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FF8E8F" w14:textId="480842CB" w:rsidR="00080512" w:rsidRPr="004D0DAA" w:rsidRDefault="00080512">
      <w:pPr>
        <w:pStyle w:val="ZA"/>
        <w:framePr w:wrap="notBeside"/>
      </w:pPr>
      <w:bookmarkStart w:id="0" w:name="page1"/>
      <w:r w:rsidRPr="004D0DAA">
        <w:rPr>
          <w:sz w:val="64"/>
        </w:rPr>
        <w:t xml:space="preserve">3GPP TS </w:t>
      </w:r>
      <w:r w:rsidR="00D8009D" w:rsidRPr="004D0DAA">
        <w:rPr>
          <w:sz w:val="64"/>
        </w:rPr>
        <w:t>44</w:t>
      </w:r>
      <w:r w:rsidRPr="004D0DAA">
        <w:rPr>
          <w:sz w:val="64"/>
        </w:rPr>
        <w:t>.</w:t>
      </w:r>
      <w:r w:rsidR="00D8009D" w:rsidRPr="004D0DAA">
        <w:rPr>
          <w:sz w:val="64"/>
        </w:rPr>
        <w:t>060</w:t>
      </w:r>
      <w:r w:rsidRPr="004D0DAA">
        <w:rPr>
          <w:sz w:val="64"/>
        </w:rPr>
        <w:t xml:space="preserve"> </w:t>
      </w:r>
      <w:r w:rsidRPr="004D0DAA">
        <w:t>V</w:t>
      </w:r>
      <w:r w:rsidR="00483DA2" w:rsidRPr="004D0DAA">
        <w:t>1</w:t>
      </w:r>
      <w:r w:rsidR="004F5B2F">
        <w:t>9</w:t>
      </w:r>
      <w:r w:rsidR="00483DA2" w:rsidRPr="004D0DAA">
        <w:t xml:space="preserve">.0.0 </w:t>
      </w:r>
      <w:r w:rsidRPr="004D0DAA">
        <w:rPr>
          <w:sz w:val="32"/>
        </w:rPr>
        <w:t>(</w:t>
      </w:r>
      <w:r w:rsidR="00483DA2" w:rsidRPr="004D0DAA">
        <w:rPr>
          <w:sz w:val="32"/>
        </w:rPr>
        <w:t>202</w:t>
      </w:r>
      <w:r w:rsidR="004F5B2F">
        <w:rPr>
          <w:sz w:val="32"/>
        </w:rPr>
        <w:t>5</w:t>
      </w:r>
      <w:r w:rsidR="00483DA2" w:rsidRPr="004D0DAA">
        <w:rPr>
          <w:sz w:val="32"/>
        </w:rPr>
        <w:t>-0</w:t>
      </w:r>
      <w:r w:rsidR="004F5B2F">
        <w:rPr>
          <w:sz w:val="32"/>
        </w:rPr>
        <w:t>9</w:t>
      </w:r>
      <w:r w:rsidR="00483DA2" w:rsidRPr="004D0DAA">
        <w:rPr>
          <w:sz w:val="32"/>
        </w:rPr>
        <w:t>)</w:t>
      </w:r>
    </w:p>
    <w:p w14:paraId="710CB254" w14:textId="77777777" w:rsidR="00080512" w:rsidRPr="004D0DAA" w:rsidRDefault="00080512">
      <w:pPr>
        <w:pStyle w:val="ZB"/>
        <w:framePr w:wrap="notBeside"/>
      </w:pPr>
      <w:r w:rsidRPr="004D0DAA">
        <w:t>Technical Specification</w:t>
      </w:r>
    </w:p>
    <w:p w14:paraId="0F222B11" w14:textId="77777777" w:rsidR="00080512" w:rsidRPr="004D0DAA" w:rsidRDefault="00080512">
      <w:pPr>
        <w:pStyle w:val="ZT"/>
        <w:framePr w:wrap="notBeside"/>
      </w:pPr>
      <w:r w:rsidRPr="004D0DAA">
        <w:t>3rd Generation Partnership Project;</w:t>
      </w:r>
    </w:p>
    <w:p w14:paraId="2CDAEA0B" w14:textId="77777777" w:rsidR="00080512" w:rsidRPr="004D0DAA" w:rsidRDefault="00326119">
      <w:pPr>
        <w:pStyle w:val="ZT"/>
        <w:framePr w:wrap="notBeside"/>
      </w:pPr>
      <w:r w:rsidRPr="004D0DAA">
        <w:t>Technical Specification Group Radio Access Network</w:t>
      </w:r>
      <w:r w:rsidR="00080512" w:rsidRPr="004D0DAA">
        <w:t>;</w:t>
      </w:r>
    </w:p>
    <w:p w14:paraId="65516AAE" w14:textId="77777777" w:rsidR="00080512" w:rsidRPr="004D0DAA" w:rsidRDefault="007E1B1D">
      <w:pPr>
        <w:pStyle w:val="ZT"/>
        <w:framePr w:wrap="notBeside"/>
      </w:pPr>
      <w:r w:rsidRPr="004D0DAA">
        <w:t>General Packet Radio Service (GPRS)</w:t>
      </w:r>
      <w:r w:rsidR="00080512" w:rsidRPr="004D0DAA">
        <w:t>;</w:t>
      </w:r>
    </w:p>
    <w:p w14:paraId="7F76885F" w14:textId="77777777" w:rsidR="00080512" w:rsidRPr="004D0DAA" w:rsidRDefault="007E1B1D">
      <w:pPr>
        <w:pStyle w:val="ZT"/>
        <w:framePr w:wrap="notBeside"/>
        <w:rPr>
          <w:sz w:val="32"/>
        </w:rPr>
      </w:pPr>
      <w:r w:rsidRPr="004D0DAA">
        <w:rPr>
          <w:sz w:val="32"/>
        </w:rPr>
        <w:t>Mobile Station (MS) - Base Station System (BSS) interface;</w:t>
      </w:r>
    </w:p>
    <w:p w14:paraId="015AABB0" w14:textId="77777777" w:rsidR="007E1B1D" w:rsidRPr="004D0DAA" w:rsidRDefault="007E1B1D">
      <w:pPr>
        <w:pStyle w:val="ZT"/>
        <w:framePr w:wrap="notBeside"/>
        <w:rPr>
          <w:sz w:val="32"/>
          <w:szCs w:val="32"/>
        </w:rPr>
      </w:pPr>
      <w:r w:rsidRPr="004D0DAA">
        <w:rPr>
          <w:sz w:val="32"/>
          <w:szCs w:val="32"/>
        </w:rPr>
        <w:t>Radio Link Control / Medium Access Control (RLC/MAC) protocol</w:t>
      </w:r>
    </w:p>
    <w:p w14:paraId="0E792621" w14:textId="7B405251" w:rsidR="00080512" w:rsidRPr="004D0DAA" w:rsidRDefault="00FC1192">
      <w:pPr>
        <w:pStyle w:val="ZT"/>
        <w:framePr w:wrap="notBeside"/>
        <w:rPr>
          <w:i/>
          <w:sz w:val="28"/>
        </w:rPr>
      </w:pPr>
      <w:r w:rsidRPr="004D0DAA">
        <w:t>(</w:t>
      </w:r>
      <w:r w:rsidRPr="004D0DAA">
        <w:rPr>
          <w:rStyle w:val="ZGSM"/>
        </w:rPr>
        <w:t xml:space="preserve">Release </w:t>
      </w:r>
      <w:r w:rsidR="00483DA2" w:rsidRPr="004D0DAA">
        <w:rPr>
          <w:rStyle w:val="ZGSM"/>
        </w:rPr>
        <w:t>1</w:t>
      </w:r>
      <w:r w:rsidR="004F5B2F">
        <w:rPr>
          <w:rStyle w:val="ZGSM"/>
        </w:rPr>
        <w:t>9</w:t>
      </w:r>
      <w:r w:rsidRPr="004D0DAA">
        <w:t>)</w:t>
      </w:r>
    </w:p>
    <w:p w14:paraId="58B87364" w14:textId="42CB16F2" w:rsidR="00FC1192" w:rsidRPr="004D0DAA" w:rsidRDefault="00FC1192" w:rsidP="00FC1192">
      <w:pPr>
        <w:pStyle w:val="ZU"/>
        <w:framePr w:h="4929" w:hRule="exact" w:wrap="notBeside"/>
        <w:tabs>
          <w:tab w:val="right" w:pos="10206"/>
        </w:tabs>
        <w:jc w:val="left"/>
        <w:rPr>
          <w:color w:val="0000FF"/>
        </w:rPr>
      </w:pPr>
      <w:r w:rsidRPr="004D0DAA">
        <w:object w:dxaOrig="6937" w:dyaOrig="2617" w14:anchorId="637D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96818" r:id="rId9"/>
        </w:object>
      </w:r>
      <w:r w:rsidRPr="004D0DAA">
        <w:rPr>
          <w:color w:val="0000FF"/>
        </w:rPr>
        <w:tab/>
      </w:r>
      <w:r w:rsidR="004E5EC3" w:rsidRPr="004D0DAA">
        <w:drawing>
          <wp:inline distT="0" distB="0" distL="0" distR="0" wp14:anchorId="5CD37FA4" wp14:editId="78BB4175">
            <wp:extent cx="162306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372F9989" w14:textId="77777777" w:rsidR="00080512" w:rsidRPr="004D0DAA" w:rsidRDefault="00080512">
      <w:pPr>
        <w:pStyle w:val="ZU"/>
        <w:framePr w:h="4929" w:hRule="exact" w:wrap="notBeside"/>
        <w:tabs>
          <w:tab w:val="right" w:pos="10206"/>
        </w:tabs>
        <w:jc w:val="left"/>
      </w:pPr>
    </w:p>
    <w:p w14:paraId="3821E29A" w14:textId="77777777" w:rsidR="00080512" w:rsidRPr="004D0DAA" w:rsidRDefault="00080512" w:rsidP="00734A5B">
      <w:pPr>
        <w:framePr w:h="1377" w:hRule="exact" w:wrap="notBeside" w:vAnchor="page" w:hAnchor="margin" w:y="15305"/>
        <w:rPr>
          <w:sz w:val="16"/>
        </w:rPr>
      </w:pPr>
      <w:r w:rsidRPr="004D0DAA">
        <w:rPr>
          <w:sz w:val="16"/>
        </w:rPr>
        <w:t>The present document has been developed within the 3</w:t>
      </w:r>
      <w:r w:rsidR="00F04712" w:rsidRPr="004D0DAA">
        <w:rPr>
          <w:sz w:val="16"/>
        </w:rPr>
        <w:t>rd</w:t>
      </w:r>
      <w:r w:rsidRPr="004D0DAA">
        <w:rPr>
          <w:sz w:val="16"/>
        </w:rPr>
        <w:t xml:space="preserve"> Generation Partnership Project (3GPP</w:t>
      </w:r>
      <w:r w:rsidRPr="004D0DAA">
        <w:rPr>
          <w:sz w:val="16"/>
          <w:vertAlign w:val="superscript"/>
        </w:rPr>
        <w:t xml:space="preserve"> TM</w:t>
      </w:r>
      <w:r w:rsidRPr="004D0DAA">
        <w:rPr>
          <w:sz w:val="16"/>
        </w:rPr>
        <w:t>) and may be further elaborated for the purposes of 3GPP..</w:t>
      </w:r>
      <w:r w:rsidRPr="004D0DAA">
        <w:rPr>
          <w:sz w:val="16"/>
        </w:rPr>
        <w:br/>
        <w:t>The present document has not been subject to any approval process by the 3GPP</w:t>
      </w:r>
      <w:r w:rsidRPr="004D0DAA">
        <w:rPr>
          <w:sz w:val="16"/>
          <w:vertAlign w:val="superscript"/>
        </w:rPr>
        <w:t xml:space="preserve"> </w:t>
      </w:r>
      <w:r w:rsidRPr="004D0DAA">
        <w:rPr>
          <w:sz w:val="16"/>
        </w:rPr>
        <w:t>Organizational Partners and shall not be implemented.</w:t>
      </w:r>
      <w:r w:rsidRPr="004D0DAA">
        <w:rPr>
          <w:sz w:val="16"/>
        </w:rPr>
        <w:br/>
        <w:t>This Specification is provided for future development work within 3GPP</w:t>
      </w:r>
      <w:r w:rsidRPr="004D0DAA">
        <w:rPr>
          <w:sz w:val="16"/>
          <w:vertAlign w:val="superscript"/>
        </w:rPr>
        <w:t xml:space="preserve"> </w:t>
      </w:r>
      <w:r w:rsidRPr="004D0DAA">
        <w:rPr>
          <w:sz w:val="16"/>
        </w:rPr>
        <w:t>only. The Organizational Partners accept no liability for any use of this Specification.</w:t>
      </w:r>
      <w:r w:rsidRPr="004D0DAA">
        <w:rPr>
          <w:sz w:val="16"/>
        </w:rPr>
        <w:br/>
        <w:t xml:space="preserve">Specifications and </w:t>
      </w:r>
      <w:r w:rsidR="00F653B8" w:rsidRPr="004D0DAA">
        <w:rPr>
          <w:sz w:val="16"/>
        </w:rPr>
        <w:t>Reports</w:t>
      </w:r>
      <w:r w:rsidRPr="004D0DAA">
        <w:rPr>
          <w:sz w:val="16"/>
        </w:rPr>
        <w:t xml:space="preserve"> for implementation of the 3GPP</w:t>
      </w:r>
      <w:r w:rsidRPr="004D0DAA">
        <w:rPr>
          <w:sz w:val="16"/>
          <w:vertAlign w:val="superscript"/>
        </w:rPr>
        <w:t xml:space="preserve"> TM</w:t>
      </w:r>
      <w:r w:rsidRPr="004D0DAA">
        <w:rPr>
          <w:sz w:val="16"/>
        </w:rPr>
        <w:t xml:space="preserve"> system should be obtained via the 3GPP Organizational Partners' Publications Offices.</w:t>
      </w:r>
    </w:p>
    <w:p w14:paraId="06FF12E1" w14:textId="77777777" w:rsidR="00080512" w:rsidRPr="004D0DAA" w:rsidRDefault="00080512">
      <w:pPr>
        <w:pStyle w:val="ZV"/>
        <w:framePr w:wrap="notBeside"/>
      </w:pPr>
    </w:p>
    <w:p w14:paraId="0283E88E" w14:textId="77777777" w:rsidR="00080512" w:rsidRPr="004D0DAA" w:rsidRDefault="00080512"/>
    <w:bookmarkEnd w:id="0"/>
    <w:p w14:paraId="197D4683" w14:textId="77777777" w:rsidR="00080512" w:rsidRPr="004D0DAA" w:rsidRDefault="00080512">
      <w:pPr>
        <w:sectPr w:rsidR="00080512" w:rsidRPr="004D0DAA" w:rsidSect="0074398B">
          <w:footnotePr>
            <w:numRestart w:val="eachSect"/>
          </w:footnotePr>
          <w:pgSz w:w="11907" w:h="16840"/>
          <w:pgMar w:top="2268" w:right="851" w:bottom="10773" w:left="851" w:header="0" w:footer="0" w:gutter="0"/>
          <w:cols w:space="720"/>
        </w:sectPr>
      </w:pPr>
    </w:p>
    <w:p w14:paraId="7606C889" w14:textId="77777777" w:rsidR="00080512" w:rsidRPr="004D0DAA" w:rsidRDefault="00080512">
      <w:bookmarkStart w:id="1" w:name="page2"/>
    </w:p>
    <w:p w14:paraId="7D482268" w14:textId="77777777" w:rsidR="00080512" w:rsidRPr="004D0DAA" w:rsidRDefault="00080512">
      <w:pPr>
        <w:pStyle w:val="FP"/>
        <w:framePr w:wrap="notBeside" w:hAnchor="margin" w:y="1419"/>
        <w:pBdr>
          <w:bottom w:val="single" w:sz="6" w:space="1" w:color="auto"/>
        </w:pBdr>
        <w:spacing w:before="240"/>
        <w:ind w:left="2835" w:right="2835"/>
        <w:jc w:val="center"/>
      </w:pPr>
      <w:r w:rsidRPr="004D0DAA">
        <w:t>Keywords</w:t>
      </w:r>
    </w:p>
    <w:p w14:paraId="535CECB0" w14:textId="77777777" w:rsidR="007E1B1D" w:rsidRPr="004D0DAA" w:rsidRDefault="007E1B1D" w:rsidP="007E1B1D">
      <w:pPr>
        <w:pStyle w:val="FP"/>
        <w:framePr w:wrap="notBeside" w:hAnchor="margin" w:y="1419"/>
        <w:ind w:left="2835" w:right="2835"/>
        <w:jc w:val="center"/>
        <w:rPr>
          <w:rFonts w:ascii="Arial" w:hAnsi="Arial"/>
          <w:sz w:val="18"/>
        </w:rPr>
      </w:pPr>
      <w:r w:rsidRPr="004D0DAA">
        <w:rPr>
          <w:rFonts w:ascii="Arial" w:hAnsi="Arial"/>
          <w:sz w:val="18"/>
        </w:rPr>
        <w:t>GSM, radio, GPRS, packet mode, mobile, base station</w:t>
      </w:r>
    </w:p>
    <w:p w14:paraId="2EF0EDFC" w14:textId="77777777" w:rsidR="00080512" w:rsidRPr="004D0DAA" w:rsidRDefault="00080512">
      <w:pPr>
        <w:pStyle w:val="FP"/>
        <w:framePr w:wrap="notBeside" w:hAnchor="margin" w:y="1419"/>
        <w:ind w:left="2835" w:right="2835"/>
        <w:jc w:val="center"/>
        <w:rPr>
          <w:rFonts w:ascii="Arial" w:hAnsi="Arial"/>
          <w:sz w:val="18"/>
        </w:rPr>
      </w:pPr>
    </w:p>
    <w:p w14:paraId="6BE6B26A" w14:textId="77777777" w:rsidR="00080512" w:rsidRPr="004D0DAA" w:rsidRDefault="00080512"/>
    <w:p w14:paraId="0C576C7F" w14:textId="77777777" w:rsidR="00080512" w:rsidRPr="004D0DAA" w:rsidRDefault="00080512">
      <w:pPr>
        <w:pStyle w:val="FP"/>
        <w:framePr w:wrap="notBeside" w:hAnchor="margin" w:yAlign="center"/>
        <w:spacing w:after="240"/>
        <w:ind w:left="2835" w:right="2835"/>
        <w:jc w:val="center"/>
        <w:rPr>
          <w:rFonts w:ascii="Arial" w:hAnsi="Arial"/>
          <w:b/>
          <w:i/>
        </w:rPr>
      </w:pPr>
      <w:r w:rsidRPr="004D0DAA">
        <w:rPr>
          <w:rFonts w:ascii="Arial" w:hAnsi="Arial"/>
          <w:b/>
          <w:i/>
        </w:rPr>
        <w:t>3GPP</w:t>
      </w:r>
    </w:p>
    <w:p w14:paraId="10E9EB7A" w14:textId="77777777" w:rsidR="00080512" w:rsidRPr="004D0DAA" w:rsidRDefault="00080512">
      <w:pPr>
        <w:pStyle w:val="FP"/>
        <w:framePr w:wrap="notBeside" w:hAnchor="margin" w:yAlign="center"/>
        <w:pBdr>
          <w:bottom w:val="single" w:sz="6" w:space="1" w:color="auto"/>
        </w:pBdr>
        <w:ind w:left="2835" w:right="2835"/>
        <w:jc w:val="center"/>
      </w:pPr>
      <w:r w:rsidRPr="004D0DAA">
        <w:t>Postal address</w:t>
      </w:r>
    </w:p>
    <w:p w14:paraId="78FB68A8" w14:textId="77777777" w:rsidR="00080512" w:rsidRPr="004D0DAA" w:rsidRDefault="00080512">
      <w:pPr>
        <w:pStyle w:val="FP"/>
        <w:framePr w:wrap="notBeside" w:hAnchor="margin" w:yAlign="center"/>
        <w:ind w:left="2835" w:right="2835"/>
        <w:jc w:val="center"/>
        <w:rPr>
          <w:rFonts w:ascii="Arial" w:hAnsi="Arial"/>
          <w:sz w:val="18"/>
        </w:rPr>
      </w:pPr>
    </w:p>
    <w:p w14:paraId="5FEADDDB" w14:textId="77777777" w:rsidR="00080512" w:rsidRPr="004D0DAA" w:rsidRDefault="00080512">
      <w:pPr>
        <w:pStyle w:val="FP"/>
        <w:framePr w:wrap="notBeside" w:hAnchor="margin" w:yAlign="center"/>
        <w:pBdr>
          <w:bottom w:val="single" w:sz="6" w:space="1" w:color="auto"/>
        </w:pBdr>
        <w:spacing w:before="240"/>
        <w:ind w:left="2835" w:right="2835"/>
        <w:jc w:val="center"/>
      </w:pPr>
      <w:r w:rsidRPr="004D0DAA">
        <w:t>3GPP support office address</w:t>
      </w:r>
    </w:p>
    <w:p w14:paraId="504DF8E5" w14:textId="77777777" w:rsidR="00080512" w:rsidRPr="004D0DAA" w:rsidRDefault="00080512">
      <w:pPr>
        <w:pStyle w:val="FP"/>
        <w:framePr w:wrap="notBeside" w:hAnchor="margin" w:yAlign="center"/>
        <w:ind w:left="2835" w:right="2835"/>
        <w:jc w:val="center"/>
        <w:rPr>
          <w:rFonts w:ascii="Arial" w:hAnsi="Arial"/>
          <w:sz w:val="18"/>
          <w:lang w:val="fr-FR"/>
        </w:rPr>
      </w:pPr>
      <w:r w:rsidRPr="004D0DAA">
        <w:rPr>
          <w:rFonts w:ascii="Arial" w:hAnsi="Arial"/>
          <w:sz w:val="18"/>
          <w:lang w:val="fr-FR"/>
        </w:rPr>
        <w:t>650 Route des Lucioles - Sophia Antipolis</w:t>
      </w:r>
    </w:p>
    <w:p w14:paraId="5A5236F7" w14:textId="77777777" w:rsidR="00080512" w:rsidRPr="004D0DAA" w:rsidRDefault="00080512">
      <w:pPr>
        <w:pStyle w:val="FP"/>
        <w:framePr w:wrap="notBeside" w:hAnchor="margin" w:yAlign="center"/>
        <w:ind w:left="2835" w:right="2835"/>
        <w:jc w:val="center"/>
        <w:rPr>
          <w:rFonts w:ascii="Arial" w:hAnsi="Arial"/>
          <w:sz w:val="18"/>
          <w:lang w:val="fr-FR"/>
        </w:rPr>
      </w:pPr>
      <w:r w:rsidRPr="004D0DAA">
        <w:rPr>
          <w:rFonts w:ascii="Arial" w:hAnsi="Arial"/>
          <w:sz w:val="18"/>
          <w:lang w:val="fr-FR"/>
        </w:rPr>
        <w:t>Valbonne - FRANCE</w:t>
      </w:r>
    </w:p>
    <w:p w14:paraId="1F139067" w14:textId="77777777" w:rsidR="00080512" w:rsidRPr="004D0DAA" w:rsidRDefault="00080512">
      <w:pPr>
        <w:pStyle w:val="FP"/>
        <w:framePr w:wrap="notBeside" w:hAnchor="margin" w:yAlign="center"/>
        <w:spacing w:after="20"/>
        <w:ind w:left="2835" w:right="2835"/>
        <w:jc w:val="center"/>
        <w:rPr>
          <w:rFonts w:ascii="Arial" w:hAnsi="Arial"/>
          <w:sz w:val="18"/>
        </w:rPr>
      </w:pPr>
      <w:r w:rsidRPr="004D0DAA">
        <w:rPr>
          <w:rFonts w:ascii="Arial" w:hAnsi="Arial"/>
          <w:sz w:val="18"/>
        </w:rPr>
        <w:t>Tel.: +33 4 92 94 42 00 Fax: +33 4 93 65 47 16</w:t>
      </w:r>
    </w:p>
    <w:p w14:paraId="4C977DC2" w14:textId="77777777" w:rsidR="00080512" w:rsidRPr="004D0DAA" w:rsidRDefault="00080512">
      <w:pPr>
        <w:pStyle w:val="FP"/>
        <w:framePr w:wrap="notBeside" w:hAnchor="margin" w:yAlign="center"/>
        <w:pBdr>
          <w:bottom w:val="single" w:sz="6" w:space="1" w:color="auto"/>
        </w:pBdr>
        <w:spacing w:before="240"/>
        <w:ind w:left="2835" w:right="2835"/>
        <w:jc w:val="center"/>
      </w:pPr>
      <w:r w:rsidRPr="004D0DAA">
        <w:t>Internet</w:t>
      </w:r>
    </w:p>
    <w:p w14:paraId="6AC05A1C" w14:textId="77777777" w:rsidR="00080512" w:rsidRPr="004D0DAA" w:rsidRDefault="00080512">
      <w:pPr>
        <w:pStyle w:val="FP"/>
        <w:framePr w:wrap="notBeside" w:hAnchor="margin" w:yAlign="center"/>
        <w:ind w:left="2835" w:right="2835"/>
        <w:jc w:val="center"/>
        <w:rPr>
          <w:rFonts w:ascii="Arial" w:hAnsi="Arial"/>
          <w:sz w:val="18"/>
        </w:rPr>
      </w:pPr>
      <w:r w:rsidRPr="004D0DAA">
        <w:rPr>
          <w:rFonts w:ascii="Arial" w:hAnsi="Arial"/>
          <w:sz w:val="18"/>
        </w:rPr>
        <w:t>http://www.3gpp.org</w:t>
      </w:r>
    </w:p>
    <w:p w14:paraId="704DCDD1" w14:textId="77777777" w:rsidR="00080512" w:rsidRPr="004D0DAA" w:rsidRDefault="00080512"/>
    <w:p w14:paraId="73DDCF79" w14:textId="77777777" w:rsidR="00080512" w:rsidRPr="004D0DA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0DAA">
        <w:rPr>
          <w:rFonts w:ascii="Arial" w:hAnsi="Arial"/>
          <w:b/>
          <w:i/>
          <w:noProof/>
        </w:rPr>
        <w:t>Copyright Notification</w:t>
      </w:r>
    </w:p>
    <w:p w14:paraId="1F6D3B3D" w14:textId="77777777" w:rsidR="00080512" w:rsidRPr="004D0DAA" w:rsidRDefault="00080512" w:rsidP="00FA1266">
      <w:pPr>
        <w:pStyle w:val="FP"/>
        <w:framePr w:h="3057" w:hRule="exact" w:wrap="notBeside" w:vAnchor="page" w:hAnchor="margin" w:y="12605"/>
        <w:jc w:val="center"/>
        <w:rPr>
          <w:noProof/>
        </w:rPr>
      </w:pPr>
      <w:r w:rsidRPr="004D0DAA">
        <w:rPr>
          <w:noProof/>
        </w:rPr>
        <w:t>No part may be reproduced except as authorized by written permission.</w:t>
      </w:r>
      <w:r w:rsidRPr="004D0DAA">
        <w:rPr>
          <w:noProof/>
        </w:rPr>
        <w:br/>
        <w:t>The copyright and the foregoing restriction extend to reproduction in all media.</w:t>
      </w:r>
    </w:p>
    <w:p w14:paraId="3C864463" w14:textId="77777777" w:rsidR="00080512" w:rsidRPr="004D0DAA" w:rsidRDefault="00080512" w:rsidP="00FA1266">
      <w:pPr>
        <w:pStyle w:val="FP"/>
        <w:framePr w:h="3057" w:hRule="exact" w:wrap="notBeside" w:vAnchor="page" w:hAnchor="margin" w:y="12605"/>
        <w:jc w:val="center"/>
        <w:rPr>
          <w:noProof/>
        </w:rPr>
      </w:pPr>
    </w:p>
    <w:p w14:paraId="05FA70C5" w14:textId="1ADDA84A" w:rsidR="00080512" w:rsidRPr="004D0DAA" w:rsidRDefault="00DC309B" w:rsidP="00FA1266">
      <w:pPr>
        <w:pStyle w:val="FP"/>
        <w:framePr w:h="3057" w:hRule="exact" w:wrap="notBeside" w:vAnchor="page" w:hAnchor="margin" w:y="12605"/>
        <w:jc w:val="center"/>
        <w:rPr>
          <w:noProof/>
          <w:sz w:val="18"/>
        </w:rPr>
      </w:pPr>
      <w:r w:rsidRPr="004D0DAA">
        <w:rPr>
          <w:noProof/>
          <w:sz w:val="18"/>
        </w:rPr>
        <w:t xml:space="preserve">© </w:t>
      </w:r>
      <w:r w:rsidR="00483DA2" w:rsidRPr="004D0DAA">
        <w:rPr>
          <w:noProof/>
          <w:sz w:val="18"/>
        </w:rPr>
        <w:t>202</w:t>
      </w:r>
      <w:r w:rsidR="004F5B2F">
        <w:rPr>
          <w:noProof/>
          <w:sz w:val="18"/>
        </w:rPr>
        <w:t>5</w:t>
      </w:r>
      <w:r w:rsidR="00080512" w:rsidRPr="004D0DAA">
        <w:rPr>
          <w:noProof/>
          <w:sz w:val="18"/>
        </w:rPr>
        <w:t>, 3GPP Organizational Partners (ARIB, ATIS, CCSA, ETSI,</w:t>
      </w:r>
      <w:r w:rsidR="00F22EC7" w:rsidRPr="004D0DAA">
        <w:rPr>
          <w:noProof/>
          <w:sz w:val="18"/>
        </w:rPr>
        <w:t xml:space="preserve"> TSDSI, </w:t>
      </w:r>
      <w:r w:rsidR="00080512" w:rsidRPr="004D0DAA">
        <w:rPr>
          <w:noProof/>
          <w:sz w:val="18"/>
        </w:rPr>
        <w:t>TTA, TTC).</w:t>
      </w:r>
      <w:bookmarkStart w:id="2" w:name="copyrightaddon"/>
      <w:bookmarkEnd w:id="2"/>
    </w:p>
    <w:p w14:paraId="73C4F122" w14:textId="77777777" w:rsidR="00734A5B" w:rsidRPr="004D0DAA" w:rsidRDefault="00080512" w:rsidP="00FA1266">
      <w:pPr>
        <w:pStyle w:val="FP"/>
        <w:framePr w:h="3057" w:hRule="exact" w:wrap="notBeside" w:vAnchor="page" w:hAnchor="margin" w:y="12605"/>
        <w:jc w:val="center"/>
        <w:rPr>
          <w:noProof/>
          <w:sz w:val="18"/>
        </w:rPr>
      </w:pPr>
      <w:r w:rsidRPr="004D0DAA">
        <w:rPr>
          <w:noProof/>
          <w:sz w:val="18"/>
        </w:rPr>
        <w:t>All rights reserved.</w:t>
      </w:r>
    </w:p>
    <w:p w14:paraId="65638EB3" w14:textId="77777777" w:rsidR="00FC1192" w:rsidRPr="004D0DAA" w:rsidRDefault="00FC1192" w:rsidP="00FA1266">
      <w:pPr>
        <w:pStyle w:val="FP"/>
        <w:framePr w:h="3057" w:hRule="exact" w:wrap="notBeside" w:vAnchor="page" w:hAnchor="margin" w:y="12605"/>
        <w:rPr>
          <w:noProof/>
          <w:sz w:val="18"/>
        </w:rPr>
      </w:pPr>
    </w:p>
    <w:p w14:paraId="376651DA" w14:textId="77777777" w:rsidR="00734A5B" w:rsidRPr="004D0DAA" w:rsidRDefault="00734A5B" w:rsidP="00FA1266">
      <w:pPr>
        <w:pStyle w:val="FP"/>
        <w:framePr w:h="3057" w:hRule="exact" w:wrap="notBeside" w:vAnchor="page" w:hAnchor="margin" w:y="12605"/>
        <w:rPr>
          <w:noProof/>
          <w:sz w:val="18"/>
        </w:rPr>
      </w:pPr>
      <w:r w:rsidRPr="004D0DAA">
        <w:rPr>
          <w:noProof/>
          <w:sz w:val="18"/>
        </w:rPr>
        <w:t>UMTS™ is a Trade Mark of ETSI registered for the benefit of its members</w:t>
      </w:r>
    </w:p>
    <w:p w14:paraId="6B5EF674" w14:textId="77777777" w:rsidR="00080512" w:rsidRPr="004D0DAA" w:rsidRDefault="00734A5B" w:rsidP="00FA1266">
      <w:pPr>
        <w:pStyle w:val="FP"/>
        <w:framePr w:h="3057" w:hRule="exact" w:wrap="notBeside" w:vAnchor="page" w:hAnchor="margin" w:y="12605"/>
        <w:rPr>
          <w:noProof/>
          <w:sz w:val="18"/>
        </w:rPr>
      </w:pPr>
      <w:r w:rsidRPr="004D0DAA">
        <w:rPr>
          <w:noProof/>
          <w:sz w:val="18"/>
        </w:rPr>
        <w:t>3GPP™ is a Trade Mark of ETSI registered for the benefit of its Members and of the 3GPP Organizational Partners</w:t>
      </w:r>
      <w:r w:rsidR="00080512" w:rsidRPr="004D0DAA">
        <w:rPr>
          <w:noProof/>
          <w:sz w:val="18"/>
        </w:rPr>
        <w:br/>
      </w:r>
      <w:r w:rsidR="00FA1266" w:rsidRPr="004D0DAA">
        <w:rPr>
          <w:noProof/>
          <w:sz w:val="18"/>
        </w:rPr>
        <w:t>LTE™ is a Trade Mark of ETSI registered for the benefit of its Members and of the 3GPP Organizational Partners</w:t>
      </w:r>
    </w:p>
    <w:p w14:paraId="3521AD50" w14:textId="77777777" w:rsidR="00FA1266" w:rsidRPr="004D0DAA" w:rsidRDefault="00FA1266" w:rsidP="00FA1266">
      <w:pPr>
        <w:pStyle w:val="FP"/>
        <w:framePr w:h="3057" w:hRule="exact" w:wrap="notBeside" w:vAnchor="page" w:hAnchor="margin" w:y="12605"/>
        <w:rPr>
          <w:noProof/>
          <w:sz w:val="18"/>
        </w:rPr>
      </w:pPr>
      <w:r w:rsidRPr="004D0DAA">
        <w:rPr>
          <w:noProof/>
          <w:sz w:val="18"/>
        </w:rPr>
        <w:t>GSM® and the GSM logo are registered and owned by the GSM Association</w:t>
      </w:r>
    </w:p>
    <w:bookmarkEnd w:id="1"/>
    <w:p w14:paraId="6802A290" w14:textId="77777777" w:rsidR="00080512" w:rsidRPr="004D0DAA" w:rsidRDefault="00080512">
      <w:pPr>
        <w:pStyle w:val="TT"/>
      </w:pPr>
      <w:r w:rsidRPr="004D0DAA">
        <w:br w:type="page"/>
      </w:r>
      <w:r w:rsidRPr="004D0DAA">
        <w:lastRenderedPageBreak/>
        <w:t>Contents</w:t>
      </w:r>
    </w:p>
    <w:p w14:paraId="4823599C" w14:textId="77777777" w:rsidR="00683705" w:rsidRPr="004D0DAA" w:rsidRDefault="00683705">
      <w:pPr>
        <w:pStyle w:val="TOC1"/>
        <w:rPr>
          <w:rFonts w:ascii="Calibri" w:hAnsi="Calibri"/>
          <w:szCs w:val="22"/>
          <w:lang w:val="en-US"/>
        </w:rPr>
      </w:pPr>
      <w:r w:rsidRPr="004D0DAA">
        <w:fldChar w:fldCharType="begin" w:fldLock="1"/>
      </w:r>
      <w:r w:rsidRPr="004D0DAA">
        <w:instrText xml:space="preserve"> TOC \o "1-9" </w:instrText>
      </w:r>
      <w:r w:rsidRPr="004D0DAA">
        <w:fldChar w:fldCharType="separate"/>
      </w:r>
      <w:r w:rsidRPr="004D0DAA">
        <w:t>Foreword</w:t>
      </w:r>
      <w:r w:rsidRPr="004D0DAA">
        <w:tab/>
      </w:r>
      <w:r w:rsidRPr="004D0DAA">
        <w:fldChar w:fldCharType="begin" w:fldLock="1"/>
      </w:r>
      <w:r w:rsidRPr="004D0DAA">
        <w:instrText xml:space="preserve"> PAGEREF _Toc516669193 \h </w:instrText>
      </w:r>
      <w:r w:rsidRPr="004D0DAA">
        <w:fldChar w:fldCharType="separate"/>
      </w:r>
      <w:r w:rsidRPr="004D0DAA">
        <w:t>19</w:t>
      </w:r>
      <w:r w:rsidRPr="004D0DAA">
        <w:fldChar w:fldCharType="end"/>
      </w:r>
    </w:p>
    <w:p w14:paraId="0F3193B6" w14:textId="77777777" w:rsidR="00683705" w:rsidRPr="004D0DAA" w:rsidRDefault="00683705">
      <w:pPr>
        <w:pStyle w:val="TOC1"/>
        <w:rPr>
          <w:rFonts w:ascii="Calibri" w:hAnsi="Calibri"/>
          <w:szCs w:val="22"/>
          <w:lang w:val="en-US"/>
        </w:rPr>
      </w:pPr>
      <w:r w:rsidRPr="004D0DAA">
        <w:t>1</w:t>
      </w:r>
      <w:r w:rsidRPr="004D0DAA">
        <w:rPr>
          <w:rFonts w:ascii="Calibri" w:hAnsi="Calibri"/>
          <w:szCs w:val="22"/>
          <w:lang w:val="en-US"/>
        </w:rPr>
        <w:tab/>
      </w:r>
      <w:r w:rsidRPr="004D0DAA">
        <w:t>Scope</w:t>
      </w:r>
      <w:r w:rsidRPr="004D0DAA">
        <w:tab/>
      </w:r>
      <w:r w:rsidRPr="004D0DAA">
        <w:fldChar w:fldCharType="begin" w:fldLock="1"/>
      </w:r>
      <w:r w:rsidRPr="004D0DAA">
        <w:instrText xml:space="preserve"> PAGEREF _Toc516669194 \h </w:instrText>
      </w:r>
      <w:r w:rsidRPr="004D0DAA">
        <w:fldChar w:fldCharType="separate"/>
      </w:r>
      <w:r w:rsidRPr="004D0DAA">
        <w:t>20</w:t>
      </w:r>
      <w:r w:rsidRPr="004D0DAA">
        <w:fldChar w:fldCharType="end"/>
      </w:r>
    </w:p>
    <w:p w14:paraId="7BFC5F04" w14:textId="77777777" w:rsidR="00683705" w:rsidRPr="004D0DAA" w:rsidRDefault="00683705">
      <w:pPr>
        <w:pStyle w:val="TOC2"/>
        <w:rPr>
          <w:rFonts w:ascii="Calibri" w:hAnsi="Calibri"/>
          <w:sz w:val="22"/>
          <w:szCs w:val="22"/>
          <w:lang w:val="en-US"/>
        </w:rPr>
      </w:pPr>
      <w:r w:rsidRPr="004D0DAA">
        <w:t>1.1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_Toc516669195 \h </w:instrText>
      </w:r>
      <w:r w:rsidRPr="004D0DAA">
        <w:fldChar w:fldCharType="separate"/>
      </w:r>
      <w:r w:rsidRPr="004D0DAA">
        <w:t>20</w:t>
      </w:r>
      <w:r w:rsidRPr="004D0DAA">
        <w:fldChar w:fldCharType="end"/>
      </w:r>
    </w:p>
    <w:p w14:paraId="1BD61B9C" w14:textId="77777777" w:rsidR="00683705" w:rsidRPr="004D0DAA" w:rsidRDefault="00683705">
      <w:pPr>
        <w:pStyle w:val="TOC2"/>
        <w:rPr>
          <w:rFonts w:ascii="Calibri" w:hAnsi="Calibri"/>
          <w:sz w:val="22"/>
          <w:szCs w:val="22"/>
          <w:lang w:val="en-US"/>
        </w:rPr>
      </w:pPr>
      <w:r w:rsidRPr="004D0DAA">
        <w:t>1.2</w:t>
      </w:r>
      <w:r w:rsidRPr="004D0DAA">
        <w:rPr>
          <w:rFonts w:ascii="Calibri" w:hAnsi="Calibri"/>
          <w:sz w:val="22"/>
          <w:szCs w:val="22"/>
          <w:lang w:val="en-US"/>
        </w:rPr>
        <w:tab/>
      </w:r>
      <w:r w:rsidRPr="004D0DAA">
        <w:t>Related documents</w:t>
      </w:r>
      <w:r w:rsidRPr="004D0DAA">
        <w:tab/>
      </w:r>
      <w:r w:rsidRPr="004D0DAA">
        <w:fldChar w:fldCharType="begin" w:fldLock="1"/>
      </w:r>
      <w:r w:rsidRPr="004D0DAA">
        <w:instrText xml:space="preserve"> PAGEREF _Toc516669196 \h </w:instrText>
      </w:r>
      <w:r w:rsidRPr="004D0DAA">
        <w:fldChar w:fldCharType="separate"/>
      </w:r>
      <w:r w:rsidRPr="004D0DAA">
        <w:t>20</w:t>
      </w:r>
      <w:r w:rsidRPr="004D0DAA">
        <w:fldChar w:fldCharType="end"/>
      </w:r>
    </w:p>
    <w:p w14:paraId="7FEDEC96" w14:textId="77777777" w:rsidR="00683705" w:rsidRPr="004D0DAA" w:rsidRDefault="00683705">
      <w:pPr>
        <w:pStyle w:val="TOC2"/>
        <w:rPr>
          <w:rFonts w:ascii="Calibri" w:hAnsi="Calibri"/>
          <w:sz w:val="22"/>
          <w:szCs w:val="22"/>
          <w:lang w:val="en-US"/>
        </w:rPr>
      </w:pPr>
      <w:r w:rsidRPr="004D0DAA">
        <w:t>1.3</w:t>
      </w:r>
      <w:r w:rsidRPr="004D0DAA">
        <w:rPr>
          <w:rFonts w:ascii="Calibri" w:hAnsi="Calibri"/>
          <w:sz w:val="22"/>
          <w:szCs w:val="22"/>
          <w:lang w:val="en-US"/>
        </w:rPr>
        <w:tab/>
      </w:r>
      <w:r w:rsidRPr="004D0DAA">
        <w:t>Use of logical control channels</w:t>
      </w:r>
      <w:r w:rsidRPr="004D0DAA">
        <w:tab/>
      </w:r>
      <w:r w:rsidRPr="004D0DAA">
        <w:fldChar w:fldCharType="begin" w:fldLock="1"/>
      </w:r>
      <w:r w:rsidRPr="004D0DAA">
        <w:instrText xml:space="preserve"> PAGEREF _Toc516669197 \h </w:instrText>
      </w:r>
      <w:r w:rsidRPr="004D0DAA">
        <w:fldChar w:fldCharType="separate"/>
      </w:r>
      <w:r w:rsidRPr="004D0DAA">
        <w:t>20</w:t>
      </w:r>
      <w:r w:rsidRPr="004D0DAA">
        <w:fldChar w:fldCharType="end"/>
      </w:r>
    </w:p>
    <w:p w14:paraId="659A2A2E" w14:textId="77777777" w:rsidR="00683705" w:rsidRPr="004D0DAA" w:rsidRDefault="00683705">
      <w:pPr>
        <w:pStyle w:val="TOC2"/>
        <w:rPr>
          <w:rFonts w:ascii="Calibri" w:hAnsi="Calibri"/>
          <w:sz w:val="22"/>
          <w:szCs w:val="22"/>
          <w:lang w:val="en-US"/>
        </w:rPr>
      </w:pPr>
      <w:r w:rsidRPr="004D0DAA">
        <w:t>1.4</w:t>
      </w:r>
      <w:r w:rsidRPr="004D0DAA">
        <w:rPr>
          <w:rFonts w:ascii="Calibri" w:hAnsi="Calibri"/>
          <w:sz w:val="22"/>
          <w:szCs w:val="22"/>
          <w:lang w:val="en-US"/>
        </w:rPr>
        <w:tab/>
      </w:r>
      <w:r w:rsidRPr="004D0DAA">
        <w:t>Use of logical traffic channels</w:t>
      </w:r>
      <w:r w:rsidRPr="004D0DAA">
        <w:tab/>
      </w:r>
      <w:r w:rsidRPr="004D0DAA">
        <w:fldChar w:fldCharType="begin" w:fldLock="1"/>
      </w:r>
      <w:r w:rsidRPr="004D0DAA">
        <w:instrText xml:space="preserve"> PAGEREF _Toc516669198 \h </w:instrText>
      </w:r>
      <w:r w:rsidRPr="004D0DAA">
        <w:fldChar w:fldCharType="separate"/>
      </w:r>
      <w:r w:rsidRPr="004D0DAA">
        <w:t>21</w:t>
      </w:r>
      <w:r w:rsidRPr="004D0DAA">
        <w:fldChar w:fldCharType="end"/>
      </w:r>
    </w:p>
    <w:p w14:paraId="665111EE" w14:textId="77777777" w:rsidR="00683705" w:rsidRPr="004D0DAA" w:rsidRDefault="00683705">
      <w:pPr>
        <w:pStyle w:val="TOC2"/>
        <w:rPr>
          <w:rFonts w:ascii="Calibri" w:hAnsi="Calibri"/>
          <w:sz w:val="22"/>
          <w:szCs w:val="22"/>
          <w:lang w:val="en-US"/>
        </w:rPr>
      </w:pPr>
      <w:r w:rsidRPr="004D0DAA">
        <w:t>1.5</w:t>
      </w:r>
      <w:r w:rsidRPr="004D0DAA">
        <w:rPr>
          <w:rFonts w:ascii="Calibri" w:hAnsi="Calibri"/>
          <w:sz w:val="22"/>
          <w:szCs w:val="22"/>
          <w:lang w:val="en-US"/>
        </w:rPr>
        <w:tab/>
      </w:r>
      <w:r w:rsidRPr="004D0DAA">
        <w:t>Conventions</w:t>
      </w:r>
      <w:r w:rsidRPr="004D0DAA">
        <w:tab/>
      </w:r>
      <w:r w:rsidRPr="004D0DAA">
        <w:fldChar w:fldCharType="begin" w:fldLock="1"/>
      </w:r>
      <w:r w:rsidRPr="004D0DAA">
        <w:instrText xml:space="preserve"> PAGEREF _Toc516669199 \h </w:instrText>
      </w:r>
      <w:r w:rsidRPr="004D0DAA">
        <w:fldChar w:fldCharType="separate"/>
      </w:r>
      <w:r w:rsidRPr="004D0DAA">
        <w:t>22</w:t>
      </w:r>
      <w:r w:rsidRPr="004D0DAA">
        <w:fldChar w:fldCharType="end"/>
      </w:r>
    </w:p>
    <w:p w14:paraId="4F29D4E4" w14:textId="77777777" w:rsidR="00683705" w:rsidRPr="004D0DAA" w:rsidRDefault="00683705">
      <w:pPr>
        <w:pStyle w:val="TOC2"/>
        <w:rPr>
          <w:rFonts w:ascii="Calibri" w:hAnsi="Calibri"/>
          <w:sz w:val="22"/>
          <w:szCs w:val="22"/>
          <w:lang w:val="en-US"/>
        </w:rPr>
      </w:pPr>
      <w:r w:rsidRPr="004D0DAA">
        <w:t>1.6</w:t>
      </w:r>
      <w:r w:rsidRPr="004D0DAA">
        <w:rPr>
          <w:rFonts w:ascii="Calibri" w:hAnsi="Calibri"/>
          <w:sz w:val="22"/>
          <w:szCs w:val="22"/>
          <w:lang w:val="en-US"/>
        </w:rPr>
        <w:tab/>
      </w:r>
      <w:r w:rsidRPr="004D0DAA">
        <w:t>Restrictions</w:t>
      </w:r>
      <w:r w:rsidRPr="004D0DAA">
        <w:tab/>
      </w:r>
      <w:r w:rsidRPr="004D0DAA">
        <w:fldChar w:fldCharType="begin" w:fldLock="1"/>
      </w:r>
      <w:r w:rsidRPr="004D0DAA">
        <w:instrText xml:space="preserve"> PAGEREF _Toc516669200 \h </w:instrText>
      </w:r>
      <w:r w:rsidRPr="004D0DAA">
        <w:fldChar w:fldCharType="separate"/>
      </w:r>
      <w:r w:rsidRPr="004D0DAA">
        <w:t>22</w:t>
      </w:r>
      <w:r w:rsidRPr="004D0DAA">
        <w:fldChar w:fldCharType="end"/>
      </w:r>
    </w:p>
    <w:p w14:paraId="12D90B38" w14:textId="77777777" w:rsidR="00683705" w:rsidRPr="004D0DAA" w:rsidRDefault="00683705">
      <w:pPr>
        <w:pStyle w:val="TOC1"/>
        <w:rPr>
          <w:rFonts w:ascii="Calibri" w:hAnsi="Calibri"/>
          <w:szCs w:val="22"/>
          <w:lang w:val="en-US"/>
        </w:rPr>
      </w:pPr>
      <w:r w:rsidRPr="004D0DAA">
        <w:t>2</w:t>
      </w:r>
      <w:r w:rsidRPr="004D0DAA">
        <w:rPr>
          <w:rFonts w:ascii="Calibri" w:hAnsi="Calibri"/>
          <w:szCs w:val="22"/>
          <w:lang w:val="en-US"/>
        </w:rPr>
        <w:tab/>
      </w:r>
      <w:r w:rsidRPr="004D0DAA">
        <w:t>References</w:t>
      </w:r>
      <w:r w:rsidRPr="004D0DAA">
        <w:tab/>
      </w:r>
      <w:r w:rsidRPr="004D0DAA">
        <w:fldChar w:fldCharType="begin" w:fldLock="1"/>
      </w:r>
      <w:r w:rsidRPr="004D0DAA">
        <w:instrText xml:space="preserve"> PAGEREF _Toc516669201 \h </w:instrText>
      </w:r>
      <w:r w:rsidRPr="004D0DAA">
        <w:fldChar w:fldCharType="separate"/>
      </w:r>
      <w:r w:rsidRPr="004D0DAA">
        <w:t>22</w:t>
      </w:r>
      <w:r w:rsidRPr="004D0DAA">
        <w:fldChar w:fldCharType="end"/>
      </w:r>
    </w:p>
    <w:p w14:paraId="2B901566" w14:textId="77777777" w:rsidR="00683705" w:rsidRPr="004D0DAA" w:rsidRDefault="00683705">
      <w:pPr>
        <w:pStyle w:val="TOC1"/>
        <w:rPr>
          <w:rFonts w:ascii="Calibri" w:hAnsi="Calibri"/>
          <w:szCs w:val="22"/>
          <w:lang w:val="en-US"/>
        </w:rPr>
      </w:pPr>
      <w:r w:rsidRPr="004D0DAA">
        <w:t>3</w:t>
      </w:r>
      <w:r w:rsidRPr="004D0DAA">
        <w:rPr>
          <w:rFonts w:ascii="Calibri" w:hAnsi="Calibri"/>
          <w:szCs w:val="22"/>
          <w:lang w:val="en-US"/>
        </w:rPr>
        <w:tab/>
      </w:r>
      <w:r w:rsidRPr="004D0DAA">
        <w:t>Definitions, abbreviations and symbols</w:t>
      </w:r>
      <w:r w:rsidRPr="004D0DAA">
        <w:tab/>
      </w:r>
      <w:r w:rsidRPr="004D0DAA">
        <w:fldChar w:fldCharType="begin" w:fldLock="1"/>
      </w:r>
      <w:r w:rsidRPr="004D0DAA">
        <w:instrText xml:space="preserve"> PAGEREF _Toc516669202 \h </w:instrText>
      </w:r>
      <w:r w:rsidRPr="004D0DAA">
        <w:fldChar w:fldCharType="separate"/>
      </w:r>
      <w:r w:rsidRPr="004D0DAA">
        <w:t>25</w:t>
      </w:r>
      <w:r w:rsidRPr="004D0DAA">
        <w:fldChar w:fldCharType="end"/>
      </w:r>
    </w:p>
    <w:p w14:paraId="5191AA6B" w14:textId="77777777" w:rsidR="00683705" w:rsidRPr="004D0DAA" w:rsidRDefault="00683705">
      <w:pPr>
        <w:pStyle w:val="TOC2"/>
        <w:rPr>
          <w:rFonts w:ascii="Calibri" w:hAnsi="Calibri"/>
          <w:sz w:val="22"/>
          <w:szCs w:val="22"/>
          <w:lang w:val="en-US"/>
        </w:rPr>
      </w:pPr>
      <w:r w:rsidRPr="004D0DAA">
        <w:t>3.1</w:t>
      </w:r>
      <w:r w:rsidRPr="004D0DAA">
        <w:rPr>
          <w:rFonts w:ascii="Calibri" w:hAnsi="Calibri"/>
          <w:sz w:val="22"/>
          <w:szCs w:val="22"/>
          <w:lang w:val="en-US"/>
        </w:rPr>
        <w:tab/>
      </w:r>
      <w:r w:rsidRPr="004D0DAA">
        <w:t>Definitions</w:t>
      </w:r>
      <w:r w:rsidRPr="004D0DAA">
        <w:tab/>
      </w:r>
      <w:r w:rsidRPr="004D0DAA">
        <w:fldChar w:fldCharType="begin" w:fldLock="1"/>
      </w:r>
      <w:r w:rsidRPr="004D0DAA">
        <w:instrText xml:space="preserve"> PAGEREF _Toc516669203 \h </w:instrText>
      </w:r>
      <w:r w:rsidRPr="004D0DAA">
        <w:fldChar w:fldCharType="separate"/>
      </w:r>
      <w:r w:rsidRPr="004D0DAA">
        <w:t>25</w:t>
      </w:r>
      <w:r w:rsidRPr="004D0DAA">
        <w:fldChar w:fldCharType="end"/>
      </w:r>
    </w:p>
    <w:p w14:paraId="5C43A5D5" w14:textId="77777777" w:rsidR="00683705" w:rsidRPr="004D0DAA" w:rsidRDefault="00683705">
      <w:pPr>
        <w:pStyle w:val="TOC2"/>
        <w:rPr>
          <w:rFonts w:ascii="Calibri" w:hAnsi="Calibri"/>
          <w:sz w:val="22"/>
          <w:szCs w:val="22"/>
          <w:lang w:val="en-US"/>
        </w:rPr>
      </w:pPr>
      <w:r w:rsidRPr="004D0DAA">
        <w:t>3.2</w:t>
      </w:r>
      <w:r w:rsidRPr="004D0DAA">
        <w:rPr>
          <w:rFonts w:ascii="Calibri" w:hAnsi="Calibri"/>
          <w:sz w:val="22"/>
          <w:szCs w:val="22"/>
          <w:lang w:val="en-US"/>
        </w:rPr>
        <w:tab/>
      </w:r>
      <w:r w:rsidRPr="004D0DAA">
        <w:t>Abbreviations</w:t>
      </w:r>
      <w:r w:rsidRPr="004D0DAA">
        <w:tab/>
      </w:r>
      <w:r w:rsidRPr="004D0DAA">
        <w:fldChar w:fldCharType="begin" w:fldLock="1"/>
      </w:r>
      <w:r w:rsidRPr="004D0DAA">
        <w:instrText xml:space="preserve"> PAGEREF _Toc516669204 \h </w:instrText>
      </w:r>
      <w:r w:rsidRPr="004D0DAA">
        <w:fldChar w:fldCharType="separate"/>
      </w:r>
      <w:r w:rsidRPr="004D0DAA">
        <w:t>30</w:t>
      </w:r>
      <w:r w:rsidRPr="004D0DAA">
        <w:fldChar w:fldCharType="end"/>
      </w:r>
    </w:p>
    <w:p w14:paraId="2A3DC9DA" w14:textId="77777777" w:rsidR="00683705" w:rsidRPr="004D0DAA" w:rsidRDefault="00683705">
      <w:pPr>
        <w:pStyle w:val="TOC2"/>
        <w:rPr>
          <w:rFonts w:ascii="Calibri" w:hAnsi="Calibri"/>
          <w:sz w:val="22"/>
          <w:szCs w:val="22"/>
          <w:lang w:val="en-US"/>
        </w:rPr>
      </w:pPr>
      <w:r w:rsidRPr="004D0DAA">
        <w:t>3.3</w:t>
      </w:r>
      <w:r w:rsidRPr="004D0DAA">
        <w:rPr>
          <w:rFonts w:ascii="Calibri" w:hAnsi="Calibri"/>
          <w:sz w:val="22"/>
          <w:szCs w:val="22"/>
          <w:lang w:val="en-US"/>
        </w:rPr>
        <w:tab/>
      </w:r>
      <w:r w:rsidRPr="004D0DAA">
        <w:t>Symbols</w:t>
      </w:r>
      <w:r w:rsidRPr="004D0DAA">
        <w:tab/>
      </w:r>
      <w:r w:rsidRPr="004D0DAA">
        <w:fldChar w:fldCharType="begin" w:fldLock="1"/>
      </w:r>
      <w:r w:rsidRPr="004D0DAA">
        <w:instrText xml:space="preserve"> PAGEREF _Toc516669205 \h </w:instrText>
      </w:r>
      <w:r w:rsidRPr="004D0DAA">
        <w:fldChar w:fldCharType="separate"/>
      </w:r>
      <w:r w:rsidRPr="004D0DAA">
        <w:t>32</w:t>
      </w:r>
      <w:r w:rsidRPr="004D0DAA">
        <w:fldChar w:fldCharType="end"/>
      </w:r>
    </w:p>
    <w:p w14:paraId="1F757222" w14:textId="77777777" w:rsidR="00683705" w:rsidRPr="004D0DAA" w:rsidRDefault="00683705">
      <w:pPr>
        <w:pStyle w:val="TOC1"/>
        <w:rPr>
          <w:rFonts w:ascii="Calibri" w:hAnsi="Calibri"/>
          <w:szCs w:val="22"/>
          <w:lang w:val="en-US"/>
        </w:rPr>
      </w:pPr>
      <w:r w:rsidRPr="004D0DAA">
        <w:t>4</w:t>
      </w:r>
      <w:r w:rsidRPr="004D0DAA">
        <w:rPr>
          <w:rFonts w:ascii="Calibri" w:hAnsi="Calibri"/>
          <w:szCs w:val="22"/>
          <w:lang w:val="en-US"/>
        </w:rPr>
        <w:tab/>
      </w:r>
      <w:r w:rsidRPr="004D0DAA">
        <w:t>Layered overview of radio interface</w:t>
      </w:r>
      <w:r w:rsidRPr="004D0DAA">
        <w:tab/>
      </w:r>
      <w:r w:rsidRPr="004D0DAA">
        <w:fldChar w:fldCharType="begin" w:fldLock="1"/>
      </w:r>
      <w:r w:rsidRPr="004D0DAA">
        <w:instrText xml:space="preserve"> PAGEREF _Toc516669206 \h </w:instrText>
      </w:r>
      <w:r w:rsidRPr="004D0DAA">
        <w:fldChar w:fldCharType="separate"/>
      </w:r>
      <w:r w:rsidRPr="004D0DAA">
        <w:t>32</w:t>
      </w:r>
      <w:r w:rsidRPr="004D0DAA">
        <w:fldChar w:fldCharType="end"/>
      </w:r>
    </w:p>
    <w:p w14:paraId="77A85631" w14:textId="77777777" w:rsidR="00683705" w:rsidRPr="004D0DAA" w:rsidRDefault="00683705">
      <w:pPr>
        <w:pStyle w:val="TOC2"/>
        <w:rPr>
          <w:rFonts w:ascii="Calibri" w:hAnsi="Calibri"/>
          <w:sz w:val="22"/>
          <w:szCs w:val="22"/>
          <w:lang w:val="en-US"/>
        </w:rPr>
      </w:pPr>
      <w:r w:rsidRPr="004D0DAA">
        <w:t>4.1</w:t>
      </w:r>
      <w:r w:rsidRPr="004D0DAA">
        <w:rPr>
          <w:rFonts w:ascii="Calibri" w:hAnsi="Calibri"/>
          <w:sz w:val="22"/>
          <w:szCs w:val="22"/>
          <w:lang w:val="en-US"/>
        </w:rPr>
        <w:tab/>
      </w:r>
      <w:r w:rsidRPr="004D0DAA">
        <w:t>Layer services</w:t>
      </w:r>
      <w:r w:rsidRPr="004D0DAA">
        <w:tab/>
      </w:r>
      <w:r w:rsidRPr="004D0DAA">
        <w:fldChar w:fldCharType="begin" w:fldLock="1"/>
      </w:r>
      <w:r w:rsidRPr="004D0DAA">
        <w:instrText xml:space="preserve"> PAGEREF _Toc516669207 \h </w:instrText>
      </w:r>
      <w:r w:rsidRPr="004D0DAA">
        <w:fldChar w:fldCharType="separate"/>
      </w:r>
      <w:r w:rsidRPr="004D0DAA">
        <w:t>34</w:t>
      </w:r>
      <w:r w:rsidRPr="004D0DAA">
        <w:fldChar w:fldCharType="end"/>
      </w:r>
    </w:p>
    <w:p w14:paraId="0FFF9FD2" w14:textId="77777777" w:rsidR="00683705" w:rsidRPr="004D0DAA" w:rsidRDefault="00683705">
      <w:pPr>
        <w:pStyle w:val="TOC2"/>
        <w:rPr>
          <w:rFonts w:ascii="Calibri" w:hAnsi="Calibri"/>
          <w:sz w:val="22"/>
          <w:szCs w:val="22"/>
          <w:lang w:val="en-US"/>
        </w:rPr>
      </w:pPr>
      <w:r w:rsidRPr="004D0DAA">
        <w:t>4.2</w:t>
      </w:r>
      <w:r w:rsidRPr="004D0DAA">
        <w:rPr>
          <w:rFonts w:ascii="Calibri" w:hAnsi="Calibri"/>
          <w:sz w:val="22"/>
          <w:szCs w:val="22"/>
          <w:lang w:val="en-US"/>
        </w:rPr>
        <w:tab/>
      </w:r>
      <w:r w:rsidRPr="004D0DAA">
        <w:t>Layer functions</w:t>
      </w:r>
      <w:r w:rsidRPr="004D0DAA">
        <w:tab/>
      </w:r>
      <w:r w:rsidRPr="004D0DAA">
        <w:fldChar w:fldCharType="begin" w:fldLock="1"/>
      </w:r>
      <w:r w:rsidRPr="004D0DAA">
        <w:instrText xml:space="preserve"> PAGEREF _Toc516669208 \h </w:instrText>
      </w:r>
      <w:r w:rsidRPr="004D0DAA">
        <w:fldChar w:fldCharType="separate"/>
      </w:r>
      <w:r w:rsidRPr="004D0DAA">
        <w:t>34</w:t>
      </w:r>
      <w:r w:rsidRPr="004D0DAA">
        <w:fldChar w:fldCharType="end"/>
      </w:r>
    </w:p>
    <w:p w14:paraId="5CA3053E" w14:textId="77777777" w:rsidR="00683705" w:rsidRPr="004D0DAA" w:rsidRDefault="00683705">
      <w:pPr>
        <w:pStyle w:val="TOC2"/>
        <w:rPr>
          <w:rFonts w:ascii="Calibri" w:hAnsi="Calibri"/>
          <w:sz w:val="22"/>
          <w:szCs w:val="22"/>
          <w:lang w:val="en-US"/>
        </w:rPr>
      </w:pPr>
      <w:r w:rsidRPr="004D0DAA">
        <w:t>4.3</w:t>
      </w:r>
      <w:r w:rsidRPr="004D0DAA">
        <w:rPr>
          <w:rFonts w:ascii="Calibri" w:hAnsi="Calibri"/>
          <w:sz w:val="22"/>
          <w:szCs w:val="22"/>
          <w:lang w:val="en-US"/>
        </w:rPr>
        <w:tab/>
      </w:r>
      <w:r w:rsidRPr="004D0DAA">
        <w:t>Service primitives</w:t>
      </w:r>
      <w:r w:rsidRPr="004D0DAA">
        <w:tab/>
      </w:r>
      <w:r w:rsidRPr="004D0DAA">
        <w:fldChar w:fldCharType="begin" w:fldLock="1"/>
      </w:r>
      <w:r w:rsidRPr="004D0DAA">
        <w:instrText xml:space="preserve"> PAGEREF _Toc516669209 \h </w:instrText>
      </w:r>
      <w:r w:rsidRPr="004D0DAA">
        <w:fldChar w:fldCharType="separate"/>
      </w:r>
      <w:r w:rsidRPr="004D0DAA">
        <w:t>35</w:t>
      </w:r>
      <w:r w:rsidRPr="004D0DAA">
        <w:fldChar w:fldCharType="end"/>
      </w:r>
    </w:p>
    <w:p w14:paraId="750D0013" w14:textId="77777777" w:rsidR="00683705" w:rsidRPr="004D0DAA" w:rsidRDefault="00683705">
      <w:pPr>
        <w:pStyle w:val="TOC2"/>
        <w:rPr>
          <w:rFonts w:ascii="Calibri" w:hAnsi="Calibri"/>
          <w:sz w:val="22"/>
          <w:szCs w:val="22"/>
          <w:lang w:val="en-US"/>
        </w:rPr>
      </w:pPr>
      <w:r w:rsidRPr="004D0DAA">
        <w:t>4.4</w:t>
      </w:r>
      <w:r w:rsidRPr="004D0DAA">
        <w:rPr>
          <w:rFonts w:ascii="Calibri" w:hAnsi="Calibri"/>
          <w:sz w:val="22"/>
          <w:szCs w:val="22"/>
          <w:lang w:val="en-US"/>
        </w:rPr>
        <w:tab/>
      </w:r>
      <w:r w:rsidRPr="004D0DAA">
        <w:t>Services required from lower layers</w:t>
      </w:r>
      <w:r w:rsidRPr="004D0DAA">
        <w:tab/>
      </w:r>
      <w:r w:rsidRPr="004D0DAA">
        <w:fldChar w:fldCharType="begin" w:fldLock="1"/>
      </w:r>
      <w:r w:rsidRPr="004D0DAA">
        <w:instrText xml:space="preserve"> PAGEREF _Toc516669210 \h </w:instrText>
      </w:r>
      <w:r w:rsidRPr="004D0DAA">
        <w:fldChar w:fldCharType="separate"/>
      </w:r>
      <w:r w:rsidRPr="004D0DAA">
        <w:t>35</w:t>
      </w:r>
      <w:r w:rsidRPr="004D0DAA">
        <w:fldChar w:fldCharType="end"/>
      </w:r>
    </w:p>
    <w:p w14:paraId="0EC8CFF7" w14:textId="77777777" w:rsidR="00683705" w:rsidRPr="004D0DAA" w:rsidRDefault="00683705">
      <w:pPr>
        <w:pStyle w:val="TOC1"/>
        <w:rPr>
          <w:rFonts w:ascii="Calibri" w:hAnsi="Calibri"/>
          <w:szCs w:val="22"/>
          <w:lang w:val="en-US"/>
        </w:rPr>
      </w:pPr>
      <w:r w:rsidRPr="004D0DAA">
        <w:t>5</w:t>
      </w:r>
      <w:r w:rsidRPr="004D0DAA">
        <w:rPr>
          <w:rFonts w:ascii="Calibri" w:hAnsi="Calibri"/>
          <w:szCs w:val="22"/>
          <w:lang w:val="en-US"/>
        </w:rPr>
        <w:tab/>
      </w:r>
      <w:r w:rsidRPr="004D0DAA">
        <w:t>Introduction to the Medium Access Control (MAC) procedures</w:t>
      </w:r>
      <w:r w:rsidRPr="004D0DAA">
        <w:tab/>
      </w:r>
      <w:r w:rsidRPr="004D0DAA">
        <w:fldChar w:fldCharType="begin" w:fldLock="1"/>
      </w:r>
      <w:r w:rsidRPr="004D0DAA">
        <w:instrText xml:space="preserve"> PAGEREF _Toc516669211 \h </w:instrText>
      </w:r>
      <w:r w:rsidRPr="004D0DAA">
        <w:fldChar w:fldCharType="separate"/>
      </w:r>
      <w:r w:rsidRPr="004D0DAA">
        <w:t>35</w:t>
      </w:r>
      <w:r w:rsidRPr="004D0DAA">
        <w:fldChar w:fldCharType="end"/>
      </w:r>
    </w:p>
    <w:p w14:paraId="48DF0255" w14:textId="77777777" w:rsidR="00683705" w:rsidRPr="004D0DAA" w:rsidRDefault="00683705">
      <w:pPr>
        <w:pStyle w:val="TOC2"/>
        <w:rPr>
          <w:rFonts w:ascii="Calibri" w:hAnsi="Calibri"/>
          <w:sz w:val="22"/>
          <w:szCs w:val="22"/>
          <w:lang w:val="en-US"/>
        </w:rPr>
      </w:pPr>
      <w:r w:rsidRPr="004D0DAA">
        <w:t>5.1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_Toc516669212 \h </w:instrText>
      </w:r>
      <w:r w:rsidRPr="004D0DAA">
        <w:fldChar w:fldCharType="separate"/>
      </w:r>
      <w:r w:rsidRPr="004D0DAA">
        <w:t>35</w:t>
      </w:r>
      <w:r w:rsidRPr="004D0DAA">
        <w:fldChar w:fldCharType="end"/>
      </w:r>
    </w:p>
    <w:p w14:paraId="2E695B49" w14:textId="77777777" w:rsidR="00683705" w:rsidRPr="004D0DAA" w:rsidRDefault="00683705">
      <w:pPr>
        <w:pStyle w:val="TOC2"/>
        <w:rPr>
          <w:rFonts w:ascii="Calibri" w:hAnsi="Calibri"/>
          <w:sz w:val="22"/>
          <w:szCs w:val="22"/>
          <w:lang w:val="en-US"/>
        </w:rPr>
      </w:pPr>
      <w:r w:rsidRPr="004D0DAA">
        <w:t>5.2</w:t>
      </w:r>
      <w:r w:rsidRPr="004D0DAA">
        <w:rPr>
          <w:rFonts w:ascii="Calibri" w:hAnsi="Calibri"/>
          <w:sz w:val="22"/>
          <w:szCs w:val="22"/>
          <w:lang w:val="en-US"/>
        </w:rPr>
        <w:tab/>
      </w:r>
      <w:r w:rsidRPr="004D0DAA">
        <w:t>Multiplexing principles</w:t>
      </w:r>
      <w:r w:rsidRPr="004D0DAA">
        <w:tab/>
      </w:r>
      <w:r w:rsidRPr="004D0DAA">
        <w:fldChar w:fldCharType="begin" w:fldLock="1"/>
      </w:r>
      <w:r w:rsidRPr="004D0DAA">
        <w:instrText xml:space="preserve"> PAGEREF _Toc516669213 \h </w:instrText>
      </w:r>
      <w:r w:rsidRPr="004D0DAA">
        <w:fldChar w:fldCharType="separate"/>
      </w:r>
      <w:r w:rsidRPr="004D0DAA">
        <w:t>36</w:t>
      </w:r>
      <w:r w:rsidRPr="004D0DAA">
        <w:fldChar w:fldCharType="end"/>
      </w:r>
    </w:p>
    <w:p w14:paraId="1ADFC249" w14:textId="77777777" w:rsidR="00683705" w:rsidRPr="004D0DAA" w:rsidRDefault="00683705">
      <w:pPr>
        <w:pStyle w:val="TOC3"/>
        <w:rPr>
          <w:rFonts w:ascii="Calibri" w:hAnsi="Calibri"/>
          <w:sz w:val="22"/>
          <w:szCs w:val="22"/>
          <w:lang w:val="en-US"/>
        </w:rPr>
      </w:pPr>
      <w:r w:rsidRPr="004D0DAA">
        <w:t>5.2.1</w:t>
      </w:r>
      <w:r w:rsidRPr="004D0DAA">
        <w:rPr>
          <w:rFonts w:ascii="Calibri" w:hAnsi="Calibri"/>
          <w:sz w:val="22"/>
          <w:szCs w:val="22"/>
          <w:lang w:val="en-US"/>
        </w:rPr>
        <w:tab/>
      </w:r>
      <w:r w:rsidRPr="004D0DAA">
        <w:t>Temporary Block Flow</w:t>
      </w:r>
      <w:r w:rsidRPr="004D0DAA">
        <w:tab/>
      </w:r>
      <w:r w:rsidRPr="004D0DAA">
        <w:fldChar w:fldCharType="begin" w:fldLock="1"/>
      </w:r>
      <w:r w:rsidRPr="004D0DAA">
        <w:instrText xml:space="preserve"> PAGEREF _Toc516669214 \h </w:instrText>
      </w:r>
      <w:r w:rsidRPr="004D0DAA">
        <w:fldChar w:fldCharType="separate"/>
      </w:r>
      <w:r w:rsidRPr="004D0DAA">
        <w:t>36</w:t>
      </w:r>
      <w:r w:rsidRPr="004D0DAA">
        <w:fldChar w:fldCharType="end"/>
      </w:r>
    </w:p>
    <w:p w14:paraId="152D17EE" w14:textId="77777777" w:rsidR="00683705" w:rsidRPr="004D0DAA" w:rsidRDefault="00683705">
      <w:pPr>
        <w:pStyle w:val="TOC3"/>
        <w:rPr>
          <w:rFonts w:ascii="Calibri" w:hAnsi="Calibri"/>
          <w:sz w:val="22"/>
          <w:szCs w:val="22"/>
          <w:lang w:val="en-US"/>
        </w:rPr>
      </w:pPr>
      <w:r w:rsidRPr="004D0DAA">
        <w:t>5.2.2</w:t>
      </w:r>
      <w:r w:rsidRPr="004D0DAA">
        <w:rPr>
          <w:rFonts w:ascii="Calibri" w:hAnsi="Calibri"/>
          <w:sz w:val="22"/>
          <w:szCs w:val="22"/>
          <w:lang w:val="en-US"/>
        </w:rPr>
        <w:tab/>
      </w:r>
      <w:r w:rsidRPr="004D0DAA">
        <w:t>Temporary Flow Identity</w:t>
      </w:r>
      <w:r w:rsidRPr="004D0DAA">
        <w:tab/>
      </w:r>
      <w:r w:rsidRPr="004D0DAA">
        <w:fldChar w:fldCharType="begin" w:fldLock="1"/>
      </w:r>
      <w:r w:rsidRPr="004D0DAA">
        <w:instrText xml:space="preserve"> PAGEREF _Toc516669215 \h </w:instrText>
      </w:r>
      <w:r w:rsidRPr="004D0DAA">
        <w:fldChar w:fldCharType="separate"/>
      </w:r>
      <w:r w:rsidRPr="004D0DAA">
        <w:t>37</w:t>
      </w:r>
      <w:r w:rsidRPr="004D0DAA">
        <w:fldChar w:fldCharType="end"/>
      </w:r>
    </w:p>
    <w:p w14:paraId="7DFBBBC8" w14:textId="77777777" w:rsidR="00683705" w:rsidRPr="004D0DAA" w:rsidRDefault="00683705">
      <w:pPr>
        <w:pStyle w:val="TOC3"/>
        <w:rPr>
          <w:rFonts w:ascii="Calibri" w:hAnsi="Calibri"/>
          <w:sz w:val="22"/>
          <w:szCs w:val="22"/>
          <w:lang w:val="en-US"/>
        </w:rPr>
      </w:pPr>
      <w:r w:rsidRPr="004D0DAA">
        <w:t>5.2.3</w:t>
      </w:r>
      <w:r w:rsidRPr="004D0DAA">
        <w:rPr>
          <w:rFonts w:ascii="Calibri" w:hAnsi="Calibri"/>
          <w:sz w:val="22"/>
          <w:szCs w:val="22"/>
          <w:lang w:val="en-US"/>
        </w:rPr>
        <w:tab/>
      </w:r>
      <w:r w:rsidRPr="004D0DAA">
        <w:t>Uplink State Flag</w:t>
      </w:r>
      <w:r w:rsidRPr="004D0DAA">
        <w:tab/>
      </w:r>
      <w:r w:rsidRPr="004D0DAA">
        <w:fldChar w:fldCharType="begin" w:fldLock="1"/>
      </w:r>
      <w:r w:rsidRPr="004D0DAA">
        <w:instrText xml:space="preserve"> PAGEREF _Toc516669216 \h </w:instrText>
      </w:r>
      <w:r w:rsidRPr="004D0DAA">
        <w:fldChar w:fldCharType="separate"/>
      </w:r>
      <w:r w:rsidRPr="004D0DAA">
        <w:t>38</w:t>
      </w:r>
      <w:r w:rsidRPr="004D0DAA">
        <w:fldChar w:fldCharType="end"/>
      </w:r>
    </w:p>
    <w:p w14:paraId="3D5FDBF2" w14:textId="77777777" w:rsidR="00683705" w:rsidRPr="004D0DAA" w:rsidRDefault="00683705">
      <w:pPr>
        <w:pStyle w:val="TOC3"/>
        <w:rPr>
          <w:rFonts w:ascii="Calibri" w:hAnsi="Calibri"/>
          <w:sz w:val="22"/>
          <w:szCs w:val="22"/>
          <w:lang w:val="en-US"/>
        </w:rPr>
      </w:pPr>
      <w:r w:rsidRPr="004D0DAA">
        <w:t>5.2.4</w:t>
      </w:r>
      <w:r w:rsidRPr="004D0DAA">
        <w:rPr>
          <w:rFonts w:ascii="Calibri" w:hAnsi="Calibri"/>
          <w:sz w:val="22"/>
          <w:szCs w:val="22"/>
          <w:lang w:val="en-US"/>
        </w:rPr>
        <w:tab/>
      </w:r>
      <w:r w:rsidRPr="004D0DAA">
        <w:t>Medium Access modes</w:t>
      </w:r>
      <w:r w:rsidRPr="004D0DAA">
        <w:tab/>
      </w:r>
      <w:r w:rsidRPr="004D0DAA">
        <w:fldChar w:fldCharType="begin" w:fldLock="1"/>
      </w:r>
      <w:r w:rsidRPr="004D0DAA">
        <w:instrText xml:space="preserve"> PAGEREF _Toc516669217 \h </w:instrText>
      </w:r>
      <w:r w:rsidRPr="004D0DAA">
        <w:fldChar w:fldCharType="separate"/>
      </w:r>
      <w:r w:rsidRPr="004D0DAA">
        <w:t>38</w:t>
      </w:r>
      <w:r w:rsidRPr="004D0DAA">
        <w:fldChar w:fldCharType="end"/>
      </w:r>
    </w:p>
    <w:p w14:paraId="2185A929" w14:textId="77777777" w:rsidR="00683705" w:rsidRPr="004D0DAA" w:rsidRDefault="00683705">
      <w:pPr>
        <w:pStyle w:val="TOC3"/>
        <w:rPr>
          <w:rFonts w:ascii="Calibri" w:hAnsi="Calibri"/>
          <w:sz w:val="22"/>
          <w:szCs w:val="22"/>
          <w:lang w:val="en-US"/>
        </w:rPr>
      </w:pPr>
      <w:r w:rsidRPr="004D0DAA">
        <w:t>5.2.4a</w:t>
      </w:r>
      <w:r w:rsidRPr="004D0DAA">
        <w:rPr>
          <w:rFonts w:ascii="Calibri" w:hAnsi="Calibri"/>
          <w:sz w:val="22"/>
          <w:szCs w:val="22"/>
          <w:lang w:val="en-US"/>
        </w:rPr>
        <w:tab/>
      </w:r>
      <w:r w:rsidRPr="004D0DAA">
        <w:t>Multiplexing of GPRS, EGPRS and EGPRS2 capable mobile stations</w:t>
      </w:r>
      <w:r w:rsidRPr="004D0DAA">
        <w:tab/>
      </w:r>
      <w:r w:rsidRPr="004D0DAA">
        <w:fldChar w:fldCharType="begin" w:fldLock="1"/>
      </w:r>
      <w:r w:rsidRPr="004D0DAA">
        <w:instrText xml:space="preserve"> PAGEREF _Toc516669218 \h </w:instrText>
      </w:r>
      <w:r w:rsidRPr="004D0DAA">
        <w:fldChar w:fldCharType="separate"/>
      </w:r>
      <w:r w:rsidRPr="004D0DAA">
        <w:t>38</w:t>
      </w:r>
      <w:r w:rsidRPr="004D0DAA">
        <w:fldChar w:fldCharType="end"/>
      </w:r>
    </w:p>
    <w:p w14:paraId="1FB73FFF" w14:textId="77777777" w:rsidR="00683705" w:rsidRPr="004D0DAA" w:rsidRDefault="00683705">
      <w:pPr>
        <w:pStyle w:val="TOC2"/>
        <w:rPr>
          <w:rFonts w:ascii="Calibri" w:hAnsi="Calibri"/>
          <w:sz w:val="22"/>
          <w:szCs w:val="22"/>
          <w:lang w:val="en-US"/>
        </w:rPr>
      </w:pPr>
      <w:r w:rsidRPr="004D0DAA">
        <w:t>5.3</w:t>
      </w:r>
      <w:r w:rsidRPr="004D0DAA">
        <w:rPr>
          <w:rFonts w:ascii="Calibri" w:hAnsi="Calibri"/>
          <w:sz w:val="22"/>
          <w:szCs w:val="22"/>
          <w:lang w:val="en-US"/>
        </w:rPr>
        <w:tab/>
      </w:r>
      <w:r w:rsidRPr="004D0DAA">
        <w:t>Packet idle mode</w:t>
      </w:r>
      <w:r w:rsidRPr="004D0DAA">
        <w:tab/>
      </w:r>
      <w:r w:rsidRPr="004D0DAA">
        <w:fldChar w:fldCharType="begin" w:fldLock="1"/>
      </w:r>
      <w:r w:rsidRPr="004D0DAA">
        <w:instrText xml:space="preserve"> PAGEREF _Toc516669219 \h </w:instrText>
      </w:r>
      <w:r w:rsidRPr="004D0DAA">
        <w:fldChar w:fldCharType="separate"/>
      </w:r>
      <w:r w:rsidRPr="004D0DAA">
        <w:t>39</w:t>
      </w:r>
      <w:r w:rsidRPr="004D0DAA">
        <w:fldChar w:fldCharType="end"/>
      </w:r>
    </w:p>
    <w:p w14:paraId="541ED2A8" w14:textId="77777777" w:rsidR="00683705" w:rsidRPr="004D0DAA" w:rsidRDefault="00683705">
      <w:pPr>
        <w:pStyle w:val="TOC3"/>
        <w:rPr>
          <w:rFonts w:ascii="Calibri" w:hAnsi="Calibri"/>
          <w:sz w:val="22"/>
          <w:szCs w:val="22"/>
          <w:lang w:val="en-US"/>
        </w:rPr>
      </w:pPr>
      <w:r w:rsidRPr="004D0DAA">
        <w:t>5.3.1</w:t>
      </w:r>
      <w:r w:rsidRPr="004D0DAA">
        <w:rPr>
          <w:rFonts w:ascii="Calibri" w:hAnsi="Calibri"/>
          <w:sz w:val="22"/>
          <w:szCs w:val="22"/>
          <w:lang w:val="en-US"/>
        </w:rPr>
        <w:tab/>
      </w:r>
      <w:r w:rsidRPr="004D0DAA">
        <w:t>Broadcast/multicast receive mode</w:t>
      </w:r>
      <w:r w:rsidRPr="004D0DAA">
        <w:tab/>
      </w:r>
      <w:r w:rsidRPr="004D0DAA">
        <w:fldChar w:fldCharType="begin" w:fldLock="1"/>
      </w:r>
      <w:r w:rsidRPr="004D0DAA">
        <w:instrText xml:space="preserve"> PAGEREF _Toc516669220 \h </w:instrText>
      </w:r>
      <w:r w:rsidRPr="004D0DAA">
        <w:fldChar w:fldCharType="separate"/>
      </w:r>
      <w:r w:rsidRPr="004D0DAA">
        <w:t>40</w:t>
      </w:r>
      <w:r w:rsidRPr="004D0DAA">
        <w:fldChar w:fldCharType="end"/>
      </w:r>
    </w:p>
    <w:p w14:paraId="3D8459A3" w14:textId="77777777" w:rsidR="00683705" w:rsidRPr="004D0DAA" w:rsidRDefault="00683705">
      <w:pPr>
        <w:pStyle w:val="TOC2"/>
        <w:rPr>
          <w:rFonts w:ascii="Calibri" w:hAnsi="Calibri"/>
          <w:sz w:val="22"/>
          <w:szCs w:val="22"/>
          <w:lang w:val="en-US"/>
        </w:rPr>
      </w:pPr>
      <w:r w:rsidRPr="004D0DAA">
        <w:t>5.4</w:t>
      </w:r>
      <w:r w:rsidRPr="004D0DAA">
        <w:rPr>
          <w:rFonts w:ascii="Calibri" w:hAnsi="Calibri"/>
          <w:sz w:val="22"/>
          <w:szCs w:val="22"/>
          <w:lang w:val="en-US"/>
        </w:rPr>
        <w:tab/>
      </w:r>
      <w:r w:rsidRPr="004D0DAA">
        <w:t>Packet transfer mode</w:t>
      </w:r>
      <w:r w:rsidRPr="004D0DAA">
        <w:tab/>
      </w:r>
      <w:r w:rsidRPr="004D0DAA">
        <w:fldChar w:fldCharType="begin" w:fldLock="1"/>
      </w:r>
      <w:r w:rsidRPr="004D0DAA">
        <w:instrText xml:space="preserve"> PAGEREF _Toc516669221 \h </w:instrText>
      </w:r>
      <w:r w:rsidRPr="004D0DAA">
        <w:fldChar w:fldCharType="separate"/>
      </w:r>
      <w:r w:rsidRPr="004D0DAA">
        <w:t>40</w:t>
      </w:r>
      <w:r w:rsidRPr="004D0DAA">
        <w:fldChar w:fldCharType="end"/>
      </w:r>
    </w:p>
    <w:p w14:paraId="196F9D8E" w14:textId="77777777" w:rsidR="00683705" w:rsidRPr="004D0DAA" w:rsidRDefault="00683705">
      <w:pPr>
        <w:pStyle w:val="TOC2"/>
        <w:rPr>
          <w:rFonts w:ascii="Calibri" w:hAnsi="Calibri"/>
          <w:sz w:val="22"/>
          <w:szCs w:val="22"/>
          <w:lang w:val="en-US"/>
        </w:rPr>
      </w:pPr>
      <w:r w:rsidRPr="004D0DAA">
        <w:t>5.4a</w:t>
      </w:r>
      <w:r w:rsidRPr="004D0DAA">
        <w:rPr>
          <w:rFonts w:ascii="Calibri" w:hAnsi="Calibri"/>
          <w:sz w:val="22"/>
          <w:szCs w:val="22"/>
          <w:lang w:val="en-US"/>
        </w:rPr>
        <w:tab/>
      </w:r>
      <w:r w:rsidRPr="004D0DAA">
        <w:t>Dual transfer mode</w:t>
      </w:r>
      <w:r w:rsidRPr="004D0DAA">
        <w:tab/>
      </w:r>
      <w:r w:rsidRPr="004D0DAA">
        <w:fldChar w:fldCharType="begin" w:fldLock="1"/>
      </w:r>
      <w:r w:rsidRPr="004D0DAA">
        <w:instrText xml:space="preserve"> PAGEREF _Toc516669222 \h </w:instrText>
      </w:r>
      <w:r w:rsidRPr="004D0DAA">
        <w:fldChar w:fldCharType="separate"/>
      </w:r>
      <w:r w:rsidRPr="004D0DAA">
        <w:t>41</w:t>
      </w:r>
      <w:r w:rsidRPr="004D0DAA">
        <w:fldChar w:fldCharType="end"/>
      </w:r>
    </w:p>
    <w:p w14:paraId="69FC142B" w14:textId="77777777" w:rsidR="00683705" w:rsidRPr="004D0DAA" w:rsidRDefault="00683705">
      <w:pPr>
        <w:pStyle w:val="TOC2"/>
        <w:rPr>
          <w:rFonts w:ascii="Calibri" w:hAnsi="Calibri"/>
          <w:sz w:val="22"/>
          <w:szCs w:val="22"/>
          <w:lang w:val="en-US"/>
        </w:rPr>
      </w:pPr>
      <w:r w:rsidRPr="004D0DAA">
        <w:t>5.5</w:t>
      </w:r>
      <w:r w:rsidRPr="004D0DAA">
        <w:rPr>
          <w:rFonts w:ascii="Calibri" w:hAnsi="Calibri"/>
          <w:sz w:val="22"/>
          <w:szCs w:val="22"/>
          <w:lang w:val="en-US"/>
        </w:rPr>
        <w:tab/>
      </w:r>
      <w:r w:rsidRPr="004D0DAA">
        <w:t>General procedures in packet idle and packet transfer modes</w:t>
      </w:r>
      <w:r w:rsidRPr="004D0DAA">
        <w:tab/>
      </w:r>
      <w:r w:rsidRPr="004D0DAA">
        <w:fldChar w:fldCharType="begin" w:fldLock="1"/>
      </w:r>
      <w:r w:rsidRPr="004D0DAA">
        <w:instrText xml:space="preserve"> PAGEREF _Toc516669223 \h </w:instrText>
      </w:r>
      <w:r w:rsidRPr="004D0DAA">
        <w:fldChar w:fldCharType="separate"/>
      </w:r>
      <w:r w:rsidRPr="004D0DAA">
        <w:t>41</w:t>
      </w:r>
      <w:r w:rsidRPr="004D0DAA">
        <w:fldChar w:fldCharType="end"/>
      </w:r>
    </w:p>
    <w:p w14:paraId="069EAFAF" w14:textId="77777777" w:rsidR="00683705" w:rsidRPr="004D0DAA" w:rsidRDefault="00683705">
      <w:pPr>
        <w:pStyle w:val="TOC3"/>
        <w:rPr>
          <w:rFonts w:ascii="Calibri" w:hAnsi="Calibri"/>
          <w:sz w:val="22"/>
          <w:szCs w:val="22"/>
          <w:lang w:val="en-US"/>
        </w:rPr>
      </w:pPr>
      <w:r w:rsidRPr="004D0DAA">
        <w:t>5.5.1</w:t>
      </w:r>
      <w:r w:rsidRPr="004D0DAA">
        <w:rPr>
          <w:rFonts w:ascii="Calibri" w:hAnsi="Calibri"/>
          <w:sz w:val="22"/>
          <w:szCs w:val="22"/>
          <w:lang w:val="en-US"/>
        </w:rPr>
        <w:tab/>
      </w:r>
      <w:r w:rsidRPr="004D0DAA">
        <w:t>Mobile station side</w:t>
      </w:r>
      <w:r w:rsidRPr="004D0DAA">
        <w:tab/>
      </w:r>
      <w:r w:rsidRPr="004D0DAA">
        <w:fldChar w:fldCharType="begin" w:fldLock="1"/>
      </w:r>
      <w:r w:rsidRPr="004D0DAA">
        <w:instrText xml:space="preserve"> PAGEREF _Toc516669224 \h </w:instrText>
      </w:r>
      <w:r w:rsidRPr="004D0DAA">
        <w:fldChar w:fldCharType="separate"/>
      </w:r>
      <w:r w:rsidRPr="004D0DAA">
        <w:t>41</w:t>
      </w:r>
      <w:r w:rsidRPr="004D0DAA">
        <w:fldChar w:fldCharType="end"/>
      </w:r>
    </w:p>
    <w:p w14:paraId="10C67BEF" w14:textId="77777777" w:rsidR="00683705" w:rsidRPr="004D0DAA" w:rsidRDefault="00683705">
      <w:pPr>
        <w:pStyle w:val="TOC4"/>
        <w:rPr>
          <w:rFonts w:ascii="Calibri" w:hAnsi="Calibri"/>
          <w:sz w:val="22"/>
          <w:szCs w:val="22"/>
          <w:lang w:val="en-US"/>
        </w:rPr>
      </w:pPr>
      <w:r w:rsidRPr="004D0DAA">
        <w:t>5.5.0.1 Indication of a selected PLMN using PLMN Index</w:t>
      </w:r>
      <w:r w:rsidRPr="004D0DAA">
        <w:tab/>
      </w:r>
      <w:r w:rsidRPr="004D0DAA">
        <w:fldChar w:fldCharType="begin" w:fldLock="1"/>
      </w:r>
      <w:r w:rsidRPr="004D0DAA">
        <w:instrText xml:space="preserve"> PAGEREF _Toc516669225 \h </w:instrText>
      </w:r>
      <w:r w:rsidRPr="004D0DAA">
        <w:fldChar w:fldCharType="separate"/>
      </w:r>
      <w:r w:rsidRPr="004D0DAA">
        <w:t>41</w:t>
      </w:r>
      <w:r w:rsidRPr="004D0DAA">
        <w:fldChar w:fldCharType="end"/>
      </w:r>
    </w:p>
    <w:p w14:paraId="298D2B82" w14:textId="77777777" w:rsidR="00683705" w:rsidRPr="004D0DAA" w:rsidRDefault="00683705">
      <w:pPr>
        <w:pStyle w:val="TOC4"/>
        <w:rPr>
          <w:rFonts w:ascii="Calibri" w:hAnsi="Calibri"/>
          <w:sz w:val="22"/>
          <w:szCs w:val="22"/>
          <w:lang w:val="en-US"/>
        </w:rPr>
      </w:pPr>
      <w:r w:rsidRPr="004D0DAA">
        <w:t>5.5.0.2</w:t>
      </w:r>
      <w:r w:rsidRPr="004D0DAA">
        <w:rPr>
          <w:rFonts w:ascii="Calibri" w:hAnsi="Calibri"/>
          <w:sz w:val="22"/>
          <w:szCs w:val="22"/>
          <w:lang w:val="en-US"/>
        </w:rPr>
        <w:tab/>
      </w:r>
      <w:r w:rsidRPr="004D0DAA">
        <w:t>Indication of DCN-ID</w:t>
      </w:r>
      <w:r w:rsidRPr="004D0DAA">
        <w:tab/>
      </w:r>
      <w:r w:rsidRPr="004D0DAA">
        <w:fldChar w:fldCharType="begin" w:fldLock="1"/>
      </w:r>
      <w:r w:rsidRPr="004D0DAA">
        <w:instrText xml:space="preserve"> PAGEREF _Toc516669226 \h </w:instrText>
      </w:r>
      <w:r w:rsidRPr="004D0DAA">
        <w:fldChar w:fldCharType="separate"/>
      </w:r>
      <w:r w:rsidRPr="004D0DAA">
        <w:t>42</w:t>
      </w:r>
      <w:r w:rsidRPr="004D0DAA">
        <w:fldChar w:fldCharType="end"/>
      </w:r>
    </w:p>
    <w:p w14:paraId="27CAF019" w14:textId="77777777" w:rsidR="00683705" w:rsidRPr="004D0DAA" w:rsidRDefault="00683705">
      <w:pPr>
        <w:pStyle w:val="TOC4"/>
        <w:rPr>
          <w:rFonts w:ascii="Calibri" w:hAnsi="Calibri"/>
          <w:sz w:val="22"/>
          <w:szCs w:val="22"/>
          <w:lang w:val="en-US"/>
        </w:rPr>
      </w:pPr>
      <w:r w:rsidRPr="004D0DAA">
        <w:t>5.5.1.1</w:t>
      </w:r>
      <w:r w:rsidRPr="004D0DAA">
        <w:rPr>
          <w:rFonts w:ascii="Calibri" w:hAnsi="Calibri"/>
          <w:sz w:val="22"/>
          <w:szCs w:val="22"/>
          <w:lang w:val="en-US"/>
        </w:rPr>
        <w:tab/>
      </w:r>
      <w:r w:rsidRPr="004D0DAA">
        <w:t>Cell reselection</w:t>
      </w:r>
      <w:r w:rsidRPr="004D0DAA">
        <w:tab/>
      </w:r>
      <w:r w:rsidRPr="004D0DAA">
        <w:fldChar w:fldCharType="begin" w:fldLock="1"/>
      </w:r>
      <w:r w:rsidRPr="004D0DAA">
        <w:instrText xml:space="preserve"> PAGEREF _Toc516669227 \h </w:instrText>
      </w:r>
      <w:r w:rsidRPr="004D0DAA">
        <w:fldChar w:fldCharType="separate"/>
      </w:r>
      <w:r w:rsidRPr="004D0DAA">
        <w:t>42</w:t>
      </w:r>
      <w:r w:rsidRPr="004D0DAA">
        <w:fldChar w:fldCharType="end"/>
      </w:r>
    </w:p>
    <w:p w14:paraId="2F69A8B4" w14:textId="77777777" w:rsidR="00683705" w:rsidRPr="004D0DAA" w:rsidRDefault="00683705">
      <w:pPr>
        <w:pStyle w:val="TOC4"/>
        <w:rPr>
          <w:rFonts w:ascii="Calibri" w:hAnsi="Calibri"/>
          <w:sz w:val="22"/>
          <w:szCs w:val="22"/>
          <w:lang w:val="en-US"/>
        </w:rPr>
      </w:pPr>
      <w:r w:rsidRPr="004D0DAA">
        <w:t>5.5.1.1a</w:t>
      </w:r>
      <w:r w:rsidRPr="004D0DAA">
        <w:rPr>
          <w:rFonts w:ascii="Calibri" w:hAnsi="Calibri"/>
          <w:sz w:val="22"/>
          <w:szCs w:val="22"/>
          <w:lang w:val="en-US"/>
        </w:rPr>
        <w:tab/>
      </w:r>
      <w:r w:rsidRPr="004D0DAA">
        <w:t>Network Assisted Cell Change</w:t>
      </w:r>
      <w:r w:rsidRPr="004D0DAA">
        <w:tab/>
      </w:r>
      <w:r w:rsidRPr="004D0DAA">
        <w:fldChar w:fldCharType="begin" w:fldLock="1"/>
      </w:r>
      <w:r w:rsidRPr="004D0DAA">
        <w:instrText xml:space="preserve"> PAGEREF _Toc516669228 \h </w:instrText>
      </w:r>
      <w:r w:rsidRPr="004D0DAA">
        <w:fldChar w:fldCharType="separate"/>
      </w:r>
      <w:r w:rsidRPr="004D0DAA">
        <w:t>43</w:t>
      </w:r>
      <w:r w:rsidRPr="004D0DAA">
        <w:fldChar w:fldCharType="end"/>
      </w:r>
    </w:p>
    <w:p w14:paraId="0379CF05" w14:textId="77777777" w:rsidR="00683705" w:rsidRPr="004D0DAA" w:rsidRDefault="00683705">
      <w:pPr>
        <w:pStyle w:val="TOC4"/>
        <w:rPr>
          <w:rFonts w:ascii="Calibri" w:hAnsi="Calibri"/>
          <w:sz w:val="22"/>
          <w:szCs w:val="22"/>
          <w:lang w:val="en-US"/>
        </w:rPr>
      </w:pPr>
      <w:r w:rsidRPr="004D0DAA">
        <w:t>5.5.1.1a.1</w:t>
      </w:r>
      <w:r w:rsidRPr="004D0DAA">
        <w:rPr>
          <w:rFonts w:ascii="Calibri" w:hAnsi="Calibri"/>
          <w:sz w:val="22"/>
          <w:szCs w:val="22"/>
          <w:lang w:val="en-US"/>
        </w:rPr>
        <w:tab/>
      </w:r>
      <w:r w:rsidRPr="004D0DAA">
        <w:t>Neighbour Cell System Information Distribution</w:t>
      </w:r>
      <w:r w:rsidRPr="004D0DAA">
        <w:tab/>
      </w:r>
      <w:r w:rsidRPr="004D0DAA">
        <w:fldChar w:fldCharType="begin" w:fldLock="1"/>
      </w:r>
      <w:r w:rsidRPr="004D0DAA">
        <w:instrText xml:space="preserve"> PAGEREF _Toc516669229 \h </w:instrText>
      </w:r>
      <w:r w:rsidRPr="004D0DAA">
        <w:fldChar w:fldCharType="separate"/>
      </w:r>
      <w:r w:rsidRPr="004D0DAA">
        <w:t>44</w:t>
      </w:r>
      <w:r w:rsidRPr="004D0DAA">
        <w:fldChar w:fldCharType="end"/>
      </w:r>
    </w:p>
    <w:p w14:paraId="7307AD2F" w14:textId="77777777" w:rsidR="00683705" w:rsidRPr="004D0DAA" w:rsidRDefault="00683705">
      <w:pPr>
        <w:pStyle w:val="TOC4"/>
        <w:rPr>
          <w:rFonts w:ascii="Calibri" w:hAnsi="Calibri"/>
          <w:sz w:val="22"/>
          <w:szCs w:val="22"/>
          <w:lang w:val="en-US"/>
        </w:rPr>
      </w:pPr>
      <w:r w:rsidRPr="004D0DAA">
        <w:t>5.5.1.1a.2</w:t>
      </w:r>
      <w:r w:rsidRPr="004D0DAA">
        <w:rPr>
          <w:rFonts w:ascii="Calibri" w:hAnsi="Calibri"/>
          <w:sz w:val="22"/>
          <w:szCs w:val="22"/>
          <w:lang w:val="en-US"/>
        </w:rPr>
        <w:tab/>
      </w:r>
      <w:r w:rsidRPr="004D0DAA">
        <w:t>CCN Mode</w:t>
      </w:r>
      <w:r w:rsidRPr="004D0DAA">
        <w:tab/>
      </w:r>
      <w:r w:rsidRPr="004D0DAA">
        <w:fldChar w:fldCharType="begin" w:fldLock="1"/>
      </w:r>
      <w:r w:rsidRPr="004D0DAA">
        <w:instrText xml:space="preserve"> PAGEREF _Toc516669230 \h </w:instrText>
      </w:r>
      <w:r w:rsidRPr="004D0DAA">
        <w:fldChar w:fldCharType="separate"/>
      </w:r>
      <w:r w:rsidRPr="004D0DAA">
        <w:t>44</w:t>
      </w:r>
      <w:r w:rsidRPr="004D0DAA">
        <w:fldChar w:fldCharType="end"/>
      </w:r>
    </w:p>
    <w:p w14:paraId="088BD106" w14:textId="77777777" w:rsidR="00683705" w:rsidRPr="004D0DAA" w:rsidRDefault="00683705">
      <w:pPr>
        <w:pStyle w:val="TOC4"/>
        <w:rPr>
          <w:rFonts w:ascii="Calibri" w:hAnsi="Calibri"/>
          <w:sz w:val="22"/>
          <w:szCs w:val="22"/>
          <w:lang w:val="en-US"/>
        </w:rPr>
      </w:pPr>
      <w:r w:rsidRPr="004D0DAA">
        <w:t>5.5.1.1b</w:t>
      </w:r>
      <w:r w:rsidRPr="004D0DAA">
        <w:rPr>
          <w:rFonts w:ascii="Calibri" w:hAnsi="Calibri"/>
          <w:sz w:val="22"/>
          <w:szCs w:val="22"/>
          <w:lang w:val="en-US"/>
        </w:rPr>
        <w:tab/>
      </w:r>
      <w:r w:rsidRPr="004D0DAA">
        <w:t>Release of RR connection</w:t>
      </w:r>
      <w:r w:rsidRPr="004D0DAA">
        <w:tab/>
      </w:r>
      <w:r w:rsidRPr="004D0DAA">
        <w:fldChar w:fldCharType="begin" w:fldLock="1"/>
      </w:r>
      <w:r w:rsidRPr="004D0DAA">
        <w:instrText xml:space="preserve"> PAGEREF _Toc516669231 \h </w:instrText>
      </w:r>
      <w:r w:rsidRPr="004D0DAA">
        <w:fldChar w:fldCharType="separate"/>
      </w:r>
      <w:r w:rsidRPr="004D0DAA">
        <w:t>44</w:t>
      </w:r>
      <w:r w:rsidRPr="004D0DAA">
        <w:fldChar w:fldCharType="end"/>
      </w:r>
    </w:p>
    <w:p w14:paraId="76DE8AD9" w14:textId="77777777" w:rsidR="00683705" w:rsidRPr="004D0DAA" w:rsidRDefault="00683705">
      <w:pPr>
        <w:pStyle w:val="TOC5"/>
        <w:rPr>
          <w:rFonts w:ascii="Calibri" w:hAnsi="Calibri"/>
          <w:sz w:val="22"/>
          <w:szCs w:val="22"/>
          <w:lang w:val="en-US"/>
        </w:rPr>
      </w:pPr>
      <w:r w:rsidRPr="004D0DAA">
        <w:t>5.5.1.1b.1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_Toc516669232 \h </w:instrText>
      </w:r>
      <w:r w:rsidRPr="004D0DAA">
        <w:fldChar w:fldCharType="separate"/>
      </w:r>
      <w:r w:rsidRPr="004D0DAA">
        <w:t>44</w:t>
      </w:r>
      <w:r w:rsidRPr="004D0DAA">
        <w:fldChar w:fldCharType="end"/>
      </w:r>
    </w:p>
    <w:p w14:paraId="5281A576" w14:textId="77777777" w:rsidR="00683705" w:rsidRPr="004D0DAA" w:rsidRDefault="00683705">
      <w:pPr>
        <w:pStyle w:val="TOC5"/>
        <w:rPr>
          <w:rFonts w:ascii="Calibri" w:hAnsi="Calibri"/>
          <w:sz w:val="22"/>
          <w:szCs w:val="22"/>
          <w:lang w:val="en-US"/>
        </w:rPr>
      </w:pPr>
      <w:r w:rsidRPr="004D0DAA">
        <w:t>5.5.1.1b.2</w:t>
      </w:r>
      <w:r w:rsidRPr="004D0DAA">
        <w:rPr>
          <w:rFonts w:ascii="Calibri" w:hAnsi="Calibri"/>
          <w:sz w:val="22"/>
          <w:szCs w:val="22"/>
          <w:lang w:val="en-US"/>
        </w:rPr>
        <w:tab/>
      </w:r>
      <w:r w:rsidRPr="004D0DAA">
        <w:t>Continuation of PBCCH information</w:t>
      </w:r>
      <w:r w:rsidRPr="004D0DAA">
        <w:tab/>
      </w:r>
      <w:r w:rsidRPr="004D0DAA">
        <w:fldChar w:fldCharType="begin" w:fldLock="1"/>
      </w:r>
      <w:r w:rsidRPr="004D0DAA">
        <w:instrText xml:space="preserve"> PAGEREF _Toc516669233 \h </w:instrText>
      </w:r>
      <w:r w:rsidRPr="004D0DAA">
        <w:fldChar w:fldCharType="separate"/>
      </w:r>
      <w:r w:rsidRPr="004D0DAA">
        <w:t>44</w:t>
      </w:r>
      <w:r w:rsidRPr="004D0DAA">
        <w:fldChar w:fldCharType="end"/>
      </w:r>
    </w:p>
    <w:p w14:paraId="52B578CE" w14:textId="77777777" w:rsidR="00683705" w:rsidRPr="004D0DAA" w:rsidRDefault="00683705">
      <w:pPr>
        <w:pStyle w:val="TOC5"/>
        <w:rPr>
          <w:rFonts w:ascii="Calibri" w:hAnsi="Calibri"/>
          <w:sz w:val="22"/>
          <w:szCs w:val="22"/>
          <w:lang w:val="en-US"/>
        </w:rPr>
      </w:pPr>
      <w:r w:rsidRPr="004D0DAA">
        <w:t>5.5.1.1b.3</w:t>
      </w:r>
      <w:r w:rsidRPr="004D0DAA">
        <w:rPr>
          <w:rFonts w:ascii="Calibri" w:hAnsi="Calibri"/>
          <w:sz w:val="22"/>
          <w:szCs w:val="22"/>
          <w:lang w:val="en-US"/>
        </w:rPr>
        <w:tab/>
      </w:r>
      <w:r w:rsidRPr="004D0DAA">
        <w:t>Continuation of BCCH information</w:t>
      </w:r>
      <w:r w:rsidRPr="004D0DAA">
        <w:tab/>
      </w:r>
      <w:r w:rsidRPr="004D0DAA">
        <w:fldChar w:fldCharType="begin" w:fldLock="1"/>
      </w:r>
      <w:r w:rsidRPr="004D0DAA">
        <w:instrText xml:space="preserve"> PAGEREF _Toc516669234 \h </w:instrText>
      </w:r>
      <w:r w:rsidRPr="004D0DAA">
        <w:fldChar w:fldCharType="separate"/>
      </w:r>
      <w:r w:rsidRPr="004D0DAA">
        <w:t>45</w:t>
      </w:r>
      <w:r w:rsidRPr="004D0DAA">
        <w:fldChar w:fldCharType="end"/>
      </w:r>
    </w:p>
    <w:p w14:paraId="16E867FB" w14:textId="77777777" w:rsidR="00683705" w:rsidRPr="004D0DAA" w:rsidRDefault="00683705">
      <w:pPr>
        <w:pStyle w:val="TOC5"/>
        <w:rPr>
          <w:rFonts w:ascii="Calibri" w:hAnsi="Calibri"/>
          <w:sz w:val="22"/>
          <w:szCs w:val="22"/>
          <w:lang w:val="en-US"/>
        </w:rPr>
      </w:pPr>
      <w:r w:rsidRPr="004D0DAA">
        <w:t>5.5.1.1b.4</w:t>
      </w:r>
      <w:r w:rsidRPr="004D0DAA">
        <w:rPr>
          <w:rFonts w:ascii="Calibri" w:hAnsi="Calibri"/>
          <w:sz w:val="22"/>
          <w:szCs w:val="22"/>
          <w:lang w:val="en-US"/>
        </w:rPr>
        <w:tab/>
      </w:r>
      <w:r w:rsidRPr="004D0DAA">
        <w:t>Receipt of PSI14 message in dual transfer mode</w:t>
      </w:r>
      <w:r w:rsidRPr="004D0DAA">
        <w:tab/>
      </w:r>
      <w:r w:rsidRPr="004D0DAA">
        <w:fldChar w:fldCharType="begin" w:fldLock="1"/>
      </w:r>
      <w:r w:rsidRPr="004D0DAA">
        <w:instrText xml:space="preserve"> PAGEREF _Toc516669235 \h </w:instrText>
      </w:r>
      <w:r w:rsidRPr="004D0DAA">
        <w:fldChar w:fldCharType="separate"/>
      </w:r>
      <w:r w:rsidRPr="004D0DAA">
        <w:t>45</w:t>
      </w:r>
      <w:r w:rsidRPr="004D0DAA">
        <w:fldChar w:fldCharType="end"/>
      </w:r>
    </w:p>
    <w:p w14:paraId="6CE9C64C" w14:textId="77777777" w:rsidR="00683705" w:rsidRPr="004D0DAA" w:rsidRDefault="00683705">
      <w:pPr>
        <w:pStyle w:val="TOC5"/>
        <w:rPr>
          <w:rFonts w:ascii="Calibri" w:hAnsi="Calibri"/>
          <w:sz w:val="22"/>
          <w:szCs w:val="22"/>
          <w:lang w:val="en-US"/>
        </w:rPr>
      </w:pPr>
      <w:r w:rsidRPr="004D0DAA">
        <w:t>5.5.1.1b.5</w:t>
      </w:r>
      <w:r w:rsidRPr="004D0DAA">
        <w:rPr>
          <w:rFonts w:ascii="Calibri" w:hAnsi="Calibri"/>
          <w:sz w:val="22"/>
          <w:szCs w:val="22"/>
          <w:lang w:val="en-US"/>
        </w:rPr>
        <w:tab/>
      </w:r>
      <w:r w:rsidRPr="004D0DAA">
        <w:t>Acquisition of system information for enhanced DTM CS release procedure in dual transfer mode</w:t>
      </w:r>
      <w:r w:rsidRPr="004D0DAA">
        <w:tab/>
      </w:r>
      <w:r w:rsidRPr="004D0DAA">
        <w:fldChar w:fldCharType="begin" w:fldLock="1"/>
      </w:r>
      <w:r w:rsidRPr="004D0DAA">
        <w:instrText xml:space="preserve"> PAGEREF _Toc516669236 \h </w:instrText>
      </w:r>
      <w:r w:rsidRPr="004D0DAA">
        <w:fldChar w:fldCharType="separate"/>
      </w:r>
      <w:r w:rsidRPr="004D0DAA">
        <w:t>45</w:t>
      </w:r>
      <w:r w:rsidRPr="004D0DAA">
        <w:fldChar w:fldCharType="end"/>
      </w:r>
    </w:p>
    <w:p w14:paraId="5F6941B3" w14:textId="77777777" w:rsidR="00683705" w:rsidRPr="004D0DAA" w:rsidRDefault="00683705">
      <w:pPr>
        <w:pStyle w:val="TOC4"/>
        <w:rPr>
          <w:rFonts w:ascii="Calibri" w:hAnsi="Calibri"/>
          <w:sz w:val="22"/>
          <w:szCs w:val="22"/>
          <w:lang w:val="en-US"/>
        </w:rPr>
      </w:pPr>
      <w:r w:rsidRPr="004D0DAA">
        <w:t>5.5.1.1c</w:t>
      </w:r>
      <w:r w:rsidRPr="004D0DAA">
        <w:rPr>
          <w:rFonts w:ascii="Calibri" w:hAnsi="Calibri"/>
          <w:sz w:val="22"/>
          <w:szCs w:val="22"/>
          <w:lang w:val="en-US"/>
        </w:rPr>
        <w:tab/>
      </w:r>
      <w:r w:rsidRPr="004D0DAA">
        <w:t>Inter-RAT cell re-selection based on priority information</w:t>
      </w:r>
      <w:r w:rsidRPr="004D0DAA">
        <w:tab/>
      </w:r>
      <w:r w:rsidRPr="004D0DAA">
        <w:fldChar w:fldCharType="begin" w:fldLock="1"/>
      </w:r>
      <w:r w:rsidRPr="004D0DAA">
        <w:instrText xml:space="preserve"> PAGEREF _Toc516669237 \h </w:instrText>
      </w:r>
      <w:r w:rsidRPr="004D0DAA">
        <w:fldChar w:fldCharType="separate"/>
      </w:r>
      <w:r w:rsidRPr="004D0DAA">
        <w:t>46</w:t>
      </w:r>
      <w:r w:rsidRPr="004D0DAA">
        <w:fldChar w:fldCharType="end"/>
      </w:r>
    </w:p>
    <w:p w14:paraId="640A660A" w14:textId="77777777" w:rsidR="00683705" w:rsidRPr="004D0DAA" w:rsidRDefault="00683705">
      <w:pPr>
        <w:pStyle w:val="TOC5"/>
        <w:rPr>
          <w:rFonts w:ascii="Calibri" w:hAnsi="Calibri"/>
          <w:sz w:val="22"/>
          <w:szCs w:val="22"/>
          <w:lang w:val="en-US"/>
        </w:rPr>
      </w:pPr>
      <w:r w:rsidRPr="004D0DAA">
        <w:t>5.5.1.1c.1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_Toc516669238 \h </w:instrText>
      </w:r>
      <w:r w:rsidRPr="004D0DAA">
        <w:fldChar w:fldCharType="separate"/>
      </w:r>
      <w:r w:rsidRPr="004D0DAA">
        <w:t>46</w:t>
      </w:r>
      <w:r w:rsidRPr="004D0DAA">
        <w:fldChar w:fldCharType="end"/>
      </w:r>
    </w:p>
    <w:p w14:paraId="7DF96AB1" w14:textId="77777777" w:rsidR="00683705" w:rsidRPr="004D0DAA" w:rsidRDefault="00683705">
      <w:pPr>
        <w:pStyle w:val="TOC5"/>
        <w:rPr>
          <w:rFonts w:ascii="Calibri" w:hAnsi="Calibri"/>
          <w:sz w:val="22"/>
          <w:szCs w:val="22"/>
          <w:lang w:val="en-US"/>
        </w:rPr>
      </w:pPr>
      <w:r w:rsidRPr="004D0DAA">
        <w:t>5.5.1.1c.2</w:t>
      </w:r>
      <w:r w:rsidRPr="004D0DAA">
        <w:rPr>
          <w:rFonts w:ascii="Calibri" w:hAnsi="Calibri"/>
          <w:sz w:val="22"/>
          <w:szCs w:val="22"/>
          <w:lang w:val="en-US"/>
        </w:rPr>
        <w:tab/>
      </w:r>
      <w:r w:rsidRPr="004D0DAA">
        <w:t>Common priorities information</w:t>
      </w:r>
      <w:r w:rsidRPr="004D0DAA">
        <w:tab/>
      </w:r>
      <w:r w:rsidRPr="004D0DAA">
        <w:fldChar w:fldCharType="begin" w:fldLock="1"/>
      </w:r>
      <w:r w:rsidRPr="004D0DAA">
        <w:instrText xml:space="preserve"> PAGEREF _Toc516669239 \h </w:instrText>
      </w:r>
      <w:r w:rsidRPr="004D0DAA">
        <w:fldChar w:fldCharType="separate"/>
      </w:r>
      <w:r w:rsidRPr="004D0DAA">
        <w:t>47</w:t>
      </w:r>
      <w:r w:rsidRPr="004D0DAA">
        <w:fldChar w:fldCharType="end"/>
      </w:r>
    </w:p>
    <w:p w14:paraId="647EF911" w14:textId="77777777" w:rsidR="00683705" w:rsidRPr="004D0DAA" w:rsidRDefault="00683705">
      <w:pPr>
        <w:pStyle w:val="TOC5"/>
        <w:rPr>
          <w:rFonts w:ascii="Calibri" w:hAnsi="Calibri"/>
          <w:sz w:val="22"/>
          <w:szCs w:val="22"/>
          <w:lang w:val="en-US"/>
        </w:rPr>
      </w:pPr>
      <w:r w:rsidRPr="004D0DAA">
        <w:t>5.5.1.1</w:t>
      </w:r>
      <w:r w:rsidRPr="004D0DAA">
        <w:rPr>
          <w:lang w:eastAsia="zh-CN"/>
        </w:rPr>
        <w:t>c.3</w:t>
      </w:r>
      <w:r w:rsidRPr="004D0DAA">
        <w:rPr>
          <w:rFonts w:ascii="Calibri" w:hAnsi="Calibri"/>
          <w:sz w:val="22"/>
          <w:szCs w:val="22"/>
          <w:lang w:val="en-US"/>
        </w:rPr>
        <w:tab/>
      </w:r>
      <w:r w:rsidRPr="004D0DAA">
        <w:rPr>
          <w:lang w:eastAsia="zh-CN"/>
        </w:rPr>
        <w:t>Provision of i</w:t>
      </w:r>
      <w:r w:rsidRPr="004D0DAA">
        <w:t>ndividual priorities information</w:t>
      </w:r>
      <w:r w:rsidRPr="004D0DAA">
        <w:tab/>
      </w:r>
      <w:r w:rsidRPr="004D0DAA">
        <w:fldChar w:fldCharType="begin" w:fldLock="1"/>
      </w:r>
      <w:r w:rsidRPr="004D0DAA">
        <w:instrText xml:space="preserve"> PAGEREF _Toc516669240 \h </w:instrText>
      </w:r>
      <w:r w:rsidRPr="004D0DAA">
        <w:fldChar w:fldCharType="separate"/>
      </w:r>
      <w:r w:rsidRPr="004D0DAA">
        <w:t>47</w:t>
      </w:r>
      <w:r w:rsidRPr="004D0DAA">
        <w:fldChar w:fldCharType="end"/>
      </w:r>
    </w:p>
    <w:p w14:paraId="7625E940" w14:textId="77777777" w:rsidR="00683705" w:rsidRPr="004D0DAA" w:rsidRDefault="00683705">
      <w:pPr>
        <w:pStyle w:val="TOC5"/>
        <w:rPr>
          <w:rFonts w:ascii="Calibri" w:hAnsi="Calibri"/>
          <w:sz w:val="22"/>
          <w:szCs w:val="22"/>
          <w:lang w:val="en-US"/>
        </w:rPr>
      </w:pPr>
      <w:r w:rsidRPr="004D0DAA">
        <w:t>5.5.1.1</w:t>
      </w:r>
      <w:r w:rsidRPr="004D0DAA">
        <w:rPr>
          <w:lang w:eastAsia="zh-CN"/>
        </w:rPr>
        <w:t>d</w:t>
      </w:r>
      <w:r w:rsidRPr="004D0DAA">
        <w:rPr>
          <w:rFonts w:ascii="Calibri" w:hAnsi="Calibri"/>
          <w:sz w:val="22"/>
          <w:szCs w:val="22"/>
          <w:lang w:val="en-US"/>
        </w:rPr>
        <w:tab/>
      </w:r>
      <w:r w:rsidRPr="004D0DAA">
        <w:rPr>
          <w:lang w:eastAsia="zh-CN"/>
        </w:rPr>
        <w:t>(void)</w:t>
      </w:r>
      <w:r w:rsidRPr="004D0DAA">
        <w:tab/>
      </w:r>
      <w:r w:rsidRPr="004D0DAA">
        <w:fldChar w:fldCharType="begin" w:fldLock="1"/>
      </w:r>
      <w:r w:rsidRPr="004D0DAA">
        <w:instrText xml:space="preserve"> PAGEREF _Toc516669241 \h </w:instrText>
      </w:r>
      <w:r w:rsidRPr="004D0DAA">
        <w:fldChar w:fldCharType="separate"/>
      </w:r>
      <w:r w:rsidRPr="004D0DAA">
        <w:t>47</w:t>
      </w:r>
      <w:r w:rsidRPr="004D0DAA">
        <w:fldChar w:fldCharType="end"/>
      </w:r>
    </w:p>
    <w:p w14:paraId="2772218E" w14:textId="77777777" w:rsidR="00683705" w:rsidRPr="004D0DAA" w:rsidRDefault="00683705">
      <w:pPr>
        <w:pStyle w:val="TOC4"/>
        <w:rPr>
          <w:rFonts w:ascii="Calibri" w:hAnsi="Calibri"/>
          <w:sz w:val="22"/>
          <w:szCs w:val="22"/>
          <w:lang w:val="en-US"/>
        </w:rPr>
      </w:pPr>
      <w:r w:rsidRPr="004D0DAA">
        <w:t>5.5.1.2</w:t>
      </w:r>
      <w:r w:rsidRPr="004D0DAA">
        <w:rPr>
          <w:rFonts w:ascii="Calibri" w:hAnsi="Calibri"/>
          <w:sz w:val="22"/>
          <w:szCs w:val="22"/>
          <w:lang w:val="en-US"/>
        </w:rPr>
        <w:tab/>
      </w:r>
      <w:r w:rsidRPr="004D0DAA">
        <w:t>System information on PBCCH</w:t>
      </w:r>
      <w:r w:rsidRPr="004D0DAA">
        <w:tab/>
      </w:r>
      <w:r w:rsidRPr="004D0DAA">
        <w:fldChar w:fldCharType="begin" w:fldLock="1"/>
      </w:r>
      <w:r w:rsidRPr="004D0DAA">
        <w:instrText xml:space="preserve"> PAGEREF _Toc516669242 \h </w:instrText>
      </w:r>
      <w:r w:rsidRPr="004D0DAA">
        <w:fldChar w:fldCharType="separate"/>
      </w:r>
      <w:r w:rsidRPr="004D0DAA">
        <w:t>47</w:t>
      </w:r>
      <w:r w:rsidRPr="004D0DAA">
        <w:fldChar w:fldCharType="end"/>
      </w:r>
    </w:p>
    <w:p w14:paraId="607E0E3D" w14:textId="77777777" w:rsidR="00683705" w:rsidRPr="004D0DAA" w:rsidRDefault="00683705">
      <w:pPr>
        <w:pStyle w:val="TOC5"/>
        <w:rPr>
          <w:rFonts w:ascii="Calibri" w:hAnsi="Calibri"/>
          <w:sz w:val="22"/>
          <w:szCs w:val="22"/>
          <w:lang w:val="en-US"/>
        </w:rPr>
      </w:pPr>
      <w:r w:rsidRPr="004D0DAA">
        <w:t>5.5.1.2.1</w:t>
      </w:r>
      <w:r w:rsidRPr="004D0DAA">
        <w:rPr>
          <w:rFonts w:ascii="Calibri" w:hAnsi="Calibri"/>
          <w:sz w:val="22"/>
          <w:szCs w:val="22"/>
          <w:lang w:val="en-US"/>
        </w:rPr>
        <w:tab/>
      </w:r>
      <w:r w:rsidRPr="004D0DAA">
        <w:t>Supervision of PBCCH_CHANGE_MARK and update of PBCCH information</w:t>
      </w:r>
      <w:r w:rsidRPr="004D0DAA">
        <w:tab/>
      </w:r>
      <w:r w:rsidRPr="004D0DAA">
        <w:fldChar w:fldCharType="begin" w:fldLock="1"/>
      </w:r>
      <w:r w:rsidRPr="004D0DAA">
        <w:instrText xml:space="preserve"> PAGEREF _Toc516669243 \h </w:instrText>
      </w:r>
      <w:r w:rsidRPr="004D0DAA">
        <w:fldChar w:fldCharType="separate"/>
      </w:r>
      <w:r w:rsidRPr="004D0DAA">
        <w:t>48</w:t>
      </w:r>
      <w:r w:rsidRPr="004D0DAA">
        <w:fldChar w:fldCharType="end"/>
      </w:r>
    </w:p>
    <w:p w14:paraId="5EF52934" w14:textId="77777777" w:rsidR="00683705" w:rsidRPr="004D0DAA" w:rsidRDefault="00683705">
      <w:pPr>
        <w:pStyle w:val="TOC5"/>
        <w:rPr>
          <w:rFonts w:ascii="Calibri" w:hAnsi="Calibri"/>
          <w:sz w:val="22"/>
          <w:szCs w:val="22"/>
          <w:lang w:val="en-US"/>
        </w:rPr>
      </w:pPr>
      <w:r w:rsidRPr="004D0DAA">
        <w:t>5.5.1.2.2</w:t>
      </w:r>
      <w:r w:rsidRPr="004D0DAA">
        <w:rPr>
          <w:rFonts w:ascii="Calibri" w:hAnsi="Calibri"/>
          <w:sz w:val="22"/>
          <w:szCs w:val="22"/>
          <w:lang w:val="en-US"/>
        </w:rPr>
        <w:tab/>
      </w:r>
      <w:r w:rsidRPr="004D0DAA">
        <w:t>Replacement of PBCCH</w:t>
      </w:r>
      <w:r w:rsidRPr="004D0DAA">
        <w:tab/>
      </w:r>
      <w:r w:rsidRPr="004D0DAA">
        <w:fldChar w:fldCharType="begin" w:fldLock="1"/>
      </w:r>
      <w:r w:rsidRPr="004D0DAA">
        <w:instrText xml:space="preserve"> PAGEREF _Toc516669244 \h </w:instrText>
      </w:r>
      <w:r w:rsidRPr="004D0DAA">
        <w:fldChar w:fldCharType="separate"/>
      </w:r>
      <w:r w:rsidRPr="004D0DAA">
        <w:t>48</w:t>
      </w:r>
      <w:r w:rsidRPr="004D0DAA">
        <w:fldChar w:fldCharType="end"/>
      </w:r>
    </w:p>
    <w:p w14:paraId="7E3A9112" w14:textId="77777777" w:rsidR="00683705" w:rsidRPr="004D0DAA" w:rsidRDefault="00683705">
      <w:pPr>
        <w:pStyle w:val="TOC5"/>
        <w:rPr>
          <w:rFonts w:ascii="Calibri" w:hAnsi="Calibri"/>
          <w:sz w:val="22"/>
          <w:szCs w:val="22"/>
          <w:lang w:val="en-US"/>
        </w:rPr>
      </w:pPr>
      <w:r w:rsidRPr="004D0DAA">
        <w:t>5.5.1.2.3</w:t>
      </w:r>
      <w:r w:rsidRPr="004D0DAA">
        <w:rPr>
          <w:rFonts w:ascii="Calibri" w:hAnsi="Calibri"/>
          <w:sz w:val="22"/>
          <w:szCs w:val="22"/>
          <w:lang w:val="en-US"/>
        </w:rPr>
        <w:tab/>
      </w:r>
      <w:r w:rsidRPr="004D0DAA">
        <w:t>PSI1 reception failure</w:t>
      </w:r>
      <w:r w:rsidRPr="004D0DAA">
        <w:tab/>
      </w:r>
      <w:r w:rsidRPr="004D0DAA">
        <w:fldChar w:fldCharType="begin" w:fldLock="1"/>
      </w:r>
      <w:r w:rsidRPr="004D0DAA">
        <w:instrText xml:space="preserve"> PAGEREF _Toc516669245 \h </w:instrText>
      </w:r>
      <w:r w:rsidRPr="004D0DAA">
        <w:fldChar w:fldCharType="separate"/>
      </w:r>
      <w:r w:rsidRPr="004D0DAA">
        <w:t>49</w:t>
      </w:r>
      <w:r w:rsidRPr="004D0DAA">
        <w:fldChar w:fldCharType="end"/>
      </w:r>
    </w:p>
    <w:p w14:paraId="27DC4FEF" w14:textId="77777777" w:rsidR="00683705" w:rsidRPr="004D0DAA" w:rsidRDefault="00683705">
      <w:pPr>
        <w:pStyle w:val="TOC4"/>
        <w:rPr>
          <w:rFonts w:ascii="Calibri" w:hAnsi="Calibri"/>
          <w:sz w:val="22"/>
          <w:szCs w:val="22"/>
          <w:lang w:val="en-US"/>
        </w:rPr>
      </w:pPr>
      <w:r w:rsidRPr="004D0DAA">
        <w:lastRenderedPageBreak/>
        <w:t>5.5.1.3</w:t>
      </w:r>
      <w:r w:rsidRPr="004D0DAA">
        <w:rPr>
          <w:rFonts w:ascii="Calibri" w:hAnsi="Calibri"/>
          <w:sz w:val="22"/>
          <w:szCs w:val="22"/>
          <w:lang w:val="en-US"/>
        </w:rPr>
        <w:tab/>
      </w:r>
      <w:r w:rsidRPr="004D0DAA">
        <w:t>System information on BCCH</w:t>
      </w:r>
      <w:r w:rsidRPr="004D0DAA">
        <w:tab/>
      </w:r>
      <w:r w:rsidRPr="004D0DAA">
        <w:fldChar w:fldCharType="begin" w:fldLock="1"/>
      </w:r>
      <w:r w:rsidRPr="004D0DAA">
        <w:instrText xml:space="preserve"> PAGEREF _Toc516669246 \h </w:instrText>
      </w:r>
      <w:r w:rsidRPr="004D0DAA">
        <w:fldChar w:fldCharType="separate"/>
      </w:r>
      <w:r w:rsidRPr="004D0DAA">
        <w:t>49</w:t>
      </w:r>
      <w:r w:rsidRPr="004D0DAA">
        <w:fldChar w:fldCharType="end"/>
      </w:r>
    </w:p>
    <w:p w14:paraId="49F348FC" w14:textId="77777777" w:rsidR="00683705" w:rsidRPr="004D0DAA" w:rsidRDefault="00683705">
      <w:pPr>
        <w:pStyle w:val="TOC5"/>
        <w:rPr>
          <w:rFonts w:ascii="Calibri" w:hAnsi="Calibri"/>
          <w:sz w:val="22"/>
          <w:szCs w:val="22"/>
          <w:lang w:val="en-US"/>
        </w:rPr>
      </w:pPr>
      <w:r w:rsidRPr="004D0DAA">
        <w:t>5.5.1.3.1</w:t>
      </w:r>
      <w:r w:rsidRPr="004D0DAA">
        <w:rPr>
          <w:rFonts w:ascii="Calibri" w:hAnsi="Calibri"/>
          <w:sz w:val="22"/>
          <w:szCs w:val="22"/>
          <w:lang w:val="en-US"/>
        </w:rPr>
        <w:tab/>
      </w:r>
      <w:r w:rsidRPr="004D0DAA">
        <w:t>Supervision of BCCH_CHANGE_MARK and update of BCCH information</w:t>
      </w:r>
      <w:r w:rsidRPr="004D0DAA">
        <w:tab/>
      </w:r>
      <w:r w:rsidRPr="004D0DAA">
        <w:fldChar w:fldCharType="begin" w:fldLock="1"/>
      </w:r>
      <w:r w:rsidRPr="004D0DAA">
        <w:instrText xml:space="preserve"> PAGEREF _Toc516669247 \h </w:instrText>
      </w:r>
      <w:r w:rsidRPr="004D0DAA">
        <w:fldChar w:fldCharType="separate"/>
      </w:r>
      <w:r w:rsidRPr="004D0DAA">
        <w:t>49</w:t>
      </w:r>
      <w:r w:rsidRPr="004D0DAA">
        <w:fldChar w:fldCharType="end"/>
      </w:r>
    </w:p>
    <w:p w14:paraId="1543B820" w14:textId="77777777" w:rsidR="00683705" w:rsidRPr="004D0DAA" w:rsidRDefault="00683705">
      <w:pPr>
        <w:pStyle w:val="TOC5"/>
        <w:rPr>
          <w:rFonts w:ascii="Calibri" w:hAnsi="Calibri"/>
          <w:sz w:val="22"/>
          <w:szCs w:val="22"/>
          <w:lang w:val="en-US"/>
        </w:rPr>
      </w:pPr>
      <w:r w:rsidRPr="004D0DAA">
        <w:t>5.5.1.3.2</w:t>
      </w:r>
      <w:r w:rsidRPr="004D0DAA">
        <w:rPr>
          <w:rFonts w:ascii="Calibri" w:hAnsi="Calibri"/>
          <w:sz w:val="22"/>
          <w:szCs w:val="22"/>
          <w:lang w:val="en-US"/>
        </w:rPr>
        <w:tab/>
      </w:r>
      <w:r w:rsidRPr="004D0DAA">
        <w:t>Establishment of PBCCH</w:t>
      </w:r>
      <w:r w:rsidRPr="004D0DAA">
        <w:tab/>
      </w:r>
      <w:r w:rsidRPr="004D0DAA">
        <w:fldChar w:fldCharType="begin" w:fldLock="1"/>
      </w:r>
      <w:r w:rsidRPr="004D0DAA">
        <w:instrText xml:space="preserve"> PAGEREF _Toc516669248 \h </w:instrText>
      </w:r>
      <w:r w:rsidRPr="004D0DAA">
        <w:fldChar w:fldCharType="separate"/>
      </w:r>
      <w:r w:rsidRPr="004D0DAA">
        <w:t>50</w:t>
      </w:r>
      <w:r w:rsidRPr="004D0DAA">
        <w:fldChar w:fldCharType="end"/>
      </w:r>
    </w:p>
    <w:p w14:paraId="61FB6F87" w14:textId="77777777" w:rsidR="00683705" w:rsidRPr="004D0DAA" w:rsidRDefault="00683705">
      <w:pPr>
        <w:pStyle w:val="TOC5"/>
        <w:rPr>
          <w:rFonts w:ascii="Calibri" w:hAnsi="Calibri"/>
          <w:sz w:val="22"/>
          <w:szCs w:val="22"/>
          <w:lang w:val="en-US"/>
        </w:rPr>
      </w:pPr>
      <w:r w:rsidRPr="004D0DAA">
        <w:t>5.5.1.3.3</w:t>
      </w:r>
      <w:r w:rsidRPr="004D0DAA">
        <w:rPr>
          <w:rFonts w:ascii="Calibri" w:hAnsi="Calibri"/>
          <w:sz w:val="22"/>
          <w:szCs w:val="22"/>
          <w:lang w:val="en-US"/>
        </w:rPr>
        <w:tab/>
      </w:r>
      <w:r w:rsidRPr="004D0DAA">
        <w:t>SI13 reception failure</w:t>
      </w:r>
      <w:r w:rsidRPr="004D0DAA">
        <w:tab/>
      </w:r>
      <w:r w:rsidRPr="004D0DAA">
        <w:fldChar w:fldCharType="begin" w:fldLock="1"/>
      </w:r>
      <w:r w:rsidRPr="004D0DAA">
        <w:instrText xml:space="preserve"> PAGEREF _Toc516669249 \h </w:instrText>
      </w:r>
      <w:r w:rsidRPr="004D0DAA">
        <w:fldChar w:fldCharType="separate"/>
      </w:r>
      <w:r w:rsidRPr="004D0DAA">
        <w:t>50</w:t>
      </w:r>
      <w:r w:rsidRPr="004D0DAA">
        <w:fldChar w:fldCharType="end"/>
      </w:r>
    </w:p>
    <w:p w14:paraId="05F267F6" w14:textId="77777777" w:rsidR="00683705" w:rsidRPr="004D0DAA" w:rsidRDefault="00683705">
      <w:pPr>
        <w:pStyle w:val="TOC4"/>
        <w:rPr>
          <w:rFonts w:ascii="Calibri" w:hAnsi="Calibri"/>
          <w:sz w:val="22"/>
          <w:szCs w:val="22"/>
          <w:lang w:val="en-US"/>
        </w:rPr>
      </w:pPr>
      <w:r w:rsidRPr="004D0DAA">
        <w:t>5.5.1.3a</w:t>
      </w:r>
      <w:r w:rsidRPr="004D0DAA">
        <w:rPr>
          <w:rFonts w:ascii="Calibri" w:hAnsi="Calibri"/>
          <w:sz w:val="22"/>
          <w:szCs w:val="22"/>
          <w:lang w:val="en-US"/>
        </w:rPr>
        <w:tab/>
      </w:r>
      <w:r w:rsidRPr="004D0DAA">
        <w:t>System information on EC-BCCH</w:t>
      </w:r>
      <w:r w:rsidRPr="004D0DAA">
        <w:tab/>
      </w:r>
      <w:r w:rsidRPr="004D0DAA">
        <w:fldChar w:fldCharType="begin" w:fldLock="1"/>
      </w:r>
      <w:r w:rsidRPr="004D0DAA">
        <w:instrText xml:space="preserve"> PAGEREF _Toc516669250 \h </w:instrText>
      </w:r>
      <w:r w:rsidRPr="004D0DAA">
        <w:fldChar w:fldCharType="separate"/>
      </w:r>
      <w:r w:rsidRPr="004D0DAA">
        <w:t>50</w:t>
      </w:r>
      <w:r w:rsidRPr="004D0DAA">
        <w:fldChar w:fldCharType="end"/>
      </w:r>
    </w:p>
    <w:p w14:paraId="3F8AFAA5" w14:textId="77777777" w:rsidR="00683705" w:rsidRPr="004D0DAA" w:rsidRDefault="00683705">
      <w:pPr>
        <w:pStyle w:val="TOC4"/>
        <w:rPr>
          <w:rFonts w:ascii="Calibri" w:hAnsi="Calibri"/>
          <w:sz w:val="22"/>
          <w:szCs w:val="22"/>
          <w:lang w:val="en-US"/>
        </w:rPr>
      </w:pPr>
      <w:r w:rsidRPr="004D0DAA">
        <w:t>5.5.1.4</w:t>
      </w:r>
      <w:r w:rsidRPr="004D0DAA">
        <w:rPr>
          <w:rFonts w:ascii="Calibri" w:hAnsi="Calibri"/>
          <w:sz w:val="22"/>
          <w:szCs w:val="22"/>
          <w:lang w:val="en-US"/>
        </w:rPr>
        <w:tab/>
      </w:r>
      <w:r w:rsidRPr="004D0DAA">
        <w:t>Acquisition of system information on the broadcast channel</w:t>
      </w:r>
      <w:r w:rsidRPr="004D0DAA">
        <w:tab/>
      </w:r>
      <w:r w:rsidRPr="004D0DAA">
        <w:fldChar w:fldCharType="begin" w:fldLock="1"/>
      </w:r>
      <w:r w:rsidRPr="004D0DAA">
        <w:instrText xml:space="preserve"> PAGEREF _Toc516669251 \h </w:instrText>
      </w:r>
      <w:r w:rsidRPr="004D0DAA">
        <w:fldChar w:fldCharType="separate"/>
      </w:r>
      <w:r w:rsidRPr="004D0DAA">
        <w:t>50</w:t>
      </w:r>
      <w:r w:rsidRPr="004D0DAA">
        <w:fldChar w:fldCharType="end"/>
      </w:r>
    </w:p>
    <w:p w14:paraId="51BE6136" w14:textId="77777777" w:rsidR="00683705" w:rsidRPr="004D0DAA" w:rsidRDefault="00683705">
      <w:pPr>
        <w:pStyle w:val="TOC5"/>
        <w:rPr>
          <w:rFonts w:ascii="Calibri" w:hAnsi="Calibri"/>
          <w:sz w:val="22"/>
          <w:szCs w:val="22"/>
          <w:lang w:val="en-US"/>
        </w:rPr>
      </w:pPr>
      <w:r w:rsidRPr="004D0DAA">
        <w:t>5.5.1.4.1</w:t>
      </w:r>
      <w:r w:rsidRPr="004D0DAA">
        <w:rPr>
          <w:rFonts w:ascii="Calibri" w:hAnsi="Calibri"/>
          <w:sz w:val="22"/>
          <w:szCs w:val="22"/>
          <w:lang w:val="en-US"/>
        </w:rPr>
        <w:tab/>
      </w:r>
      <w:r w:rsidRPr="004D0DAA">
        <w:t>Consistent sets of system information messages</w:t>
      </w:r>
      <w:r w:rsidRPr="004D0DAA">
        <w:tab/>
      </w:r>
      <w:r w:rsidRPr="004D0DAA">
        <w:fldChar w:fldCharType="begin" w:fldLock="1"/>
      </w:r>
      <w:r w:rsidRPr="004D0DAA">
        <w:instrText xml:space="preserve"> PAGEREF _Toc516669252 \h </w:instrText>
      </w:r>
      <w:r w:rsidRPr="004D0DAA">
        <w:fldChar w:fldCharType="separate"/>
      </w:r>
      <w:r w:rsidRPr="004D0DAA">
        <w:t>51</w:t>
      </w:r>
      <w:r w:rsidRPr="004D0DAA">
        <w:fldChar w:fldCharType="end"/>
      </w:r>
    </w:p>
    <w:p w14:paraId="0FA42338" w14:textId="77777777" w:rsidR="00683705" w:rsidRPr="004D0DAA" w:rsidRDefault="00683705">
      <w:pPr>
        <w:pStyle w:val="TOC5"/>
        <w:rPr>
          <w:rFonts w:ascii="Calibri" w:hAnsi="Calibri"/>
          <w:sz w:val="22"/>
          <w:szCs w:val="22"/>
          <w:lang w:val="en-US"/>
        </w:rPr>
      </w:pPr>
      <w:r w:rsidRPr="004D0DAA">
        <w:t>5.5.1.4.2</w:t>
      </w:r>
      <w:r w:rsidRPr="004D0DAA">
        <w:rPr>
          <w:rFonts w:ascii="Calibri" w:hAnsi="Calibri"/>
          <w:sz w:val="22"/>
          <w:szCs w:val="22"/>
          <w:lang w:val="en-US"/>
        </w:rPr>
        <w:tab/>
      </w:r>
      <w:r w:rsidRPr="004D0DAA">
        <w:t>Suspension of operation to receive system information</w:t>
      </w:r>
      <w:r w:rsidRPr="004D0DAA">
        <w:tab/>
      </w:r>
      <w:r w:rsidRPr="004D0DAA">
        <w:fldChar w:fldCharType="begin" w:fldLock="1"/>
      </w:r>
      <w:r w:rsidRPr="004D0DAA">
        <w:instrText xml:space="preserve"> PAGEREF _Toc516669253 \h </w:instrText>
      </w:r>
      <w:r w:rsidRPr="004D0DAA">
        <w:fldChar w:fldCharType="separate"/>
      </w:r>
      <w:r w:rsidRPr="004D0DAA">
        <w:t>51</w:t>
      </w:r>
      <w:r w:rsidRPr="004D0DAA">
        <w:fldChar w:fldCharType="end"/>
      </w:r>
    </w:p>
    <w:p w14:paraId="26E7E394" w14:textId="77777777" w:rsidR="00683705" w:rsidRPr="004D0DAA" w:rsidRDefault="00683705">
      <w:pPr>
        <w:pStyle w:val="TOC5"/>
        <w:rPr>
          <w:rFonts w:ascii="Calibri" w:hAnsi="Calibri"/>
          <w:sz w:val="22"/>
          <w:szCs w:val="22"/>
          <w:lang w:val="en-US"/>
        </w:rPr>
      </w:pPr>
      <w:r w:rsidRPr="004D0DAA">
        <w:t>5.5.1.4.3</w:t>
      </w:r>
      <w:r w:rsidRPr="004D0DAA">
        <w:rPr>
          <w:rFonts w:ascii="Calibri" w:hAnsi="Calibri"/>
          <w:sz w:val="22"/>
          <w:szCs w:val="22"/>
          <w:lang w:val="en-US"/>
        </w:rPr>
        <w:tab/>
      </w:r>
      <w:r w:rsidRPr="004D0DAA">
        <w:t>Request for acquisition of system information</w:t>
      </w:r>
      <w:r w:rsidRPr="004D0DAA">
        <w:tab/>
      </w:r>
      <w:r w:rsidRPr="004D0DAA">
        <w:fldChar w:fldCharType="begin" w:fldLock="1"/>
      </w:r>
      <w:r w:rsidRPr="004D0DAA">
        <w:instrText xml:space="preserve"> PAGEREF _Toc516669254 \h </w:instrText>
      </w:r>
      <w:r w:rsidRPr="004D0DAA">
        <w:fldChar w:fldCharType="separate"/>
      </w:r>
      <w:r w:rsidRPr="004D0DAA">
        <w:t>52</w:t>
      </w:r>
      <w:r w:rsidRPr="004D0DAA">
        <w:fldChar w:fldCharType="end"/>
      </w:r>
    </w:p>
    <w:p w14:paraId="29125C24" w14:textId="77777777" w:rsidR="00683705" w:rsidRPr="004D0DAA" w:rsidRDefault="00683705">
      <w:pPr>
        <w:pStyle w:val="TOC4"/>
        <w:rPr>
          <w:rFonts w:ascii="Calibri" w:hAnsi="Calibri"/>
          <w:sz w:val="22"/>
          <w:szCs w:val="22"/>
          <w:lang w:val="fr-FR"/>
        </w:rPr>
      </w:pPr>
      <w:r w:rsidRPr="004D0DAA">
        <w:rPr>
          <w:lang w:val="fr-FR"/>
        </w:rPr>
        <w:t>5.5.1.5</w:t>
      </w:r>
      <w:r w:rsidRPr="004D0DAA">
        <w:rPr>
          <w:rFonts w:ascii="Calibri" w:hAnsi="Calibri"/>
          <w:sz w:val="22"/>
          <w:szCs w:val="22"/>
          <w:lang w:val="fr-FR"/>
        </w:rPr>
        <w:tab/>
      </w:r>
      <w:r w:rsidRPr="004D0DAA">
        <w:rPr>
          <w:lang w:val="fr-FR"/>
        </w:rPr>
        <w:t>Discontinuous reception (DRX)</w:t>
      </w:r>
      <w:r w:rsidRPr="004D0DAA">
        <w:rPr>
          <w:lang w:val="fr-FR"/>
        </w:rPr>
        <w:tab/>
      </w:r>
      <w:r w:rsidRPr="004D0DAA">
        <w:fldChar w:fldCharType="begin" w:fldLock="1"/>
      </w:r>
      <w:r w:rsidRPr="004D0DAA">
        <w:rPr>
          <w:lang w:val="fr-FR"/>
        </w:rPr>
        <w:instrText xml:space="preserve"> PAGEREF _Toc516669255 \h </w:instrText>
      </w:r>
      <w:r w:rsidRPr="004D0DAA">
        <w:fldChar w:fldCharType="separate"/>
      </w:r>
      <w:r w:rsidRPr="004D0DAA">
        <w:rPr>
          <w:lang w:val="fr-FR"/>
        </w:rPr>
        <w:t>53</w:t>
      </w:r>
      <w:r w:rsidRPr="004D0DAA">
        <w:fldChar w:fldCharType="end"/>
      </w:r>
    </w:p>
    <w:p w14:paraId="40658D78" w14:textId="77777777" w:rsidR="00683705" w:rsidRPr="004D0DAA" w:rsidRDefault="00683705">
      <w:pPr>
        <w:pStyle w:val="TOC4"/>
        <w:rPr>
          <w:rFonts w:ascii="Calibri" w:hAnsi="Calibri"/>
          <w:sz w:val="22"/>
          <w:szCs w:val="22"/>
          <w:lang w:val="fr-FR"/>
        </w:rPr>
      </w:pPr>
      <w:r w:rsidRPr="004D0DAA">
        <w:rPr>
          <w:lang w:val="fr-FR"/>
        </w:rPr>
        <w:t>5.5.1.6</w:t>
      </w:r>
      <w:r w:rsidRPr="004D0DAA">
        <w:rPr>
          <w:rFonts w:ascii="Calibri" w:hAnsi="Calibri"/>
          <w:sz w:val="22"/>
          <w:szCs w:val="22"/>
          <w:lang w:val="fr-FR"/>
        </w:rPr>
        <w:tab/>
      </w:r>
      <w:r w:rsidRPr="004D0DAA">
        <w:rPr>
          <w:lang w:val="fr-FR"/>
        </w:rPr>
        <w:t>Page mode procedures on PCCCH</w:t>
      </w:r>
      <w:r w:rsidRPr="004D0DAA">
        <w:rPr>
          <w:lang w:val="fr-FR"/>
        </w:rPr>
        <w:tab/>
      </w:r>
      <w:r w:rsidRPr="004D0DAA">
        <w:fldChar w:fldCharType="begin" w:fldLock="1"/>
      </w:r>
      <w:r w:rsidRPr="004D0DAA">
        <w:rPr>
          <w:lang w:val="fr-FR"/>
        </w:rPr>
        <w:instrText xml:space="preserve"> PAGEREF _Toc516669256 \h </w:instrText>
      </w:r>
      <w:r w:rsidRPr="004D0DAA">
        <w:fldChar w:fldCharType="separate"/>
      </w:r>
      <w:r w:rsidRPr="004D0DAA">
        <w:rPr>
          <w:lang w:val="fr-FR"/>
        </w:rPr>
        <w:t>55</w:t>
      </w:r>
      <w:r w:rsidRPr="004D0DAA">
        <w:fldChar w:fldCharType="end"/>
      </w:r>
    </w:p>
    <w:p w14:paraId="12F11DDF" w14:textId="77777777" w:rsidR="00683705" w:rsidRPr="004D0DAA" w:rsidRDefault="00683705">
      <w:pPr>
        <w:pStyle w:val="TOC4"/>
        <w:rPr>
          <w:rFonts w:ascii="Calibri" w:hAnsi="Calibri"/>
          <w:sz w:val="22"/>
          <w:szCs w:val="22"/>
          <w:lang w:val="en-US"/>
        </w:rPr>
      </w:pPr>
      <w:r w:rsidRPr="004D0DAA">
        <w:t>5.5.1.7</w:t>
      </w:r>
      <w:r w:rsidRPr="004D0DAA">
        <w:rPr>
          <w:rFonts w:ascii="Calibri" w:hAnsi="Calibri"/>
          <w:sz w:val="22"/>
          <w:szCs w:val="22"/>
          <w:lang w:val="en-US"/>
        </w:rPr>
        <w:tab/>
      </w:r>
      <w:r w:rsidRPr="004D0DAA">
        <w:t>Frequency Parameters</w:t>
      </w:r>
      <w:r w:rsidRPr="004D0DAA">
        <w:tab/>
      </w:r>
      <w:r w:rsidRPr="004D0DAA">
        <w:fldChar w:fldCharType="begin" w:fldLock="1"/>
      </w:r>
      <w:r w:rsidRPr="004D0DAA">
        <w:instrText xml:space="preserve"> PAGEREF _Toc516669257 \h </w:instrText>
      </w:r>
      <w:r w:rsidRPr="004D0DAA">
        <w:fldChar w:fldCharType="separate"/>
      </w:r>
      <w:r w:rsidRPr="004D0DAA">
        <w:t>55</w:t>
      </w:r>
      <w:r w:rsidRPr="004D0DAA">
        <w:fldChar w:fldCharType="end"/>
      </w:r>
    </w:p>
    <w:p w14:paraId="4713AF5B" w14:textId="77777777" w:rsidR="00683705" w:rsidRPr="004D0DAA" w:rsidRDefault="00683705">
      <w:pPr>
        <w:pStyle w:val="TOC4"/>
        <w:rPr>
          <w:rFonts w:ascii="Calibri" w:hAnsi="Calibri"/>
          <w:sz w:val="22"/>
          <w:szCs w:val="22"/>
          <w:lang w:val="en-US"/>
        </w:rPr>
      </w:pPr>
      <w:r w:rsidRPr="004D0DAA">
        <w:t>5.5.1.8</w:t>
      </w:r>
      <w:r w:rsidRPr="004D0DAA">
        <w:rPr>
          <w:rFonts w:ascii="Calibri" w:hAnsi="Calibri"/>
          <w:sz w:val="22"/>
          <w:szCs w:val="22"/>
          <w:lang w:val="en-US"/>
        </w:rPr>
        <w:tab/>
      </w:r>
      <w:r w:rsidRPr="004D0DAA">
        <w:t>TLLI management</w:t>
      </w:r>
      <w:r w:rsidRPr="004D0DAA">
        <w:tab/>
      </w:r>
      <w:r w:rsidRPr="004D0DAA">
        <w:fldChar w:fldCharType="begin" w:fldLock="1"/>
      </w:r>
      <w:r w:rsidRPr="004D0DAA">
        <w:instrText xml:space="preserve"> PAGEREF _Toc516669258 \h </w:instrText>
      </w:r>
      <w:r w:rsidRPr="004D0DAA">
        <w:fldChar w:fldCharType="separate"/>
      </w:r>
      <w:r w:rsidRPr="004D0DAA">
        <w:t>58</w:t>
      </w:r>
      <w:r w:rsidRPr="004D0DAA">
        <w:fldChar w:fldCharType="end"/>
      </w:r>
    </w:p>
    <w:p w14:paraId="593B0A80" w14:textId="77777777" w:rsidR="00683705" w:rsidRPr="004D0DAA" w:rsidRDefault="00683705">
      <w:pPr>
        <w:pStyle w:val="TOC4"/>
        <w:rPr>
          <w:rFonts w:ascii="Calibri" w:hAnsi="Calibri"/>
          <w:sz w:val="22"/>
          <w:szCs w:val="22"/>
          <w:lang w:val="en-US"/>
        </w:rPr>
      </w:pPr>
      <w:r w:rsidRPr="004D0DAA">
        <w:t>5.5.1.9</w:t>
      </w:r>
      <w:r w:rsidRPr="004D0DAA">
        <w:rPr>
          <w:rFonts w:ascii="Calibri" w:hAnsi="Calibri"/>
          <w:sz w:val="22"/>
          <w:szCs w:val="22"/>
          <w:lang w:val="en-US"/>
        </w:rPr>
        <w:tab/>
      </w:r>
      <w:r w:rsidRPr="004D0DAA">
        <w:t>Packet Flow Context (PFC)</w:t>
      </w:r>
      <w:r w:rsidRPr="004D0DAA">
        <w:tab/>
      </w:r>
      <w:r w:rsidRPr="004D0DAA">
        <w:fldChar w:fldCharType="begin" w:fldLock="1"/>
      </w:r>
      <w:r w:rsidRPr="004D0DAA">
        <w:instrText xml:space="preserve"> PAGEREF _Toc516669259 \h </w:instrText>
      </w:r>
      <w:r w:rsidRPr="004D0DAA">
        <w:fldChar w:fldCharType="separate"/>
      </w:r>
      <w:r w:rsidRPr="004D0DAA">
        <w:t>58</w:t>
      </w:r>
      <w:r w:rsidRPr="004D0DAA">
        <w:fldChar w:fldCharType="end"/>
      </w:r>
    </w:p>
    <w:p w14:paraId="490EC58A" w14:textId="77777777" w:rsidR="00683705" w:rsidRPr="004D0DAA" w:rsidRDefault="00683705">
      <w:pPr>
        <w:pStyle w:val="TOC4"/>
        <w:rPr>
          <w:rFonts w:ascii="Calibri" w:hAnsi="Calibri"/>
          <w:sz w:val="22"/>
          <w:szCs w:val="22"/>
          <w:lang w:val="en-US"/>
        </w:rPr>
      </w:pPr>
      <w:r w:rsidRPr="004D0DAA">
        <w:t>5.5.1.10</w:t>
      </w:r>
      <w:r w:rsidRPr="004D0DAA">
        <w:rPr>
          <w:rFonts w:ascii="Calibri" w:hAnsi="Calibri"/>
          <w:sz w:val="22"/>
          <w:szCs w:val="22"/>
          <w:lang w:val="en-US"/>
        </w:rPr>
        <w:tab/>
      </w:r>
      <w:r w:rsidRPr="004D0DAA">
        <w:t>Acquisition of E-UTRAN Information on the PACCH</w:t>
      </w:r>
      <w:r w:rsidRPr="004D0DAA">
        <w:tab/>
      </w:r>
      <w:r w:rsidRPr="004D0DAA">
        <w:fldChar w:fldCharType="begin" w:fldLock="1"/>
      </w:r>
      <w:r w:rsidRPr="004D0DAA">
        <w:instrText xml:space="preserve"> PAGEREF _Toc516669260 \h </w:instrText>
      </w:r>
      <w:r w:rsidRPr="004D0DAA">
        <w:fldChar w:fldCharType="separate"/>
      </w:r>
      <w:r w:rsidRPr="004D0DAA">
        <w:t>59</w:t>
      </w:r>
      <w:r w:rsidRPr="004D0DAA">
        <w:fldChar w:fldCharType="end"/>
      </w:r>
    </w:p>
    <w:p w14:paraId="56BD0E55" w14:textId="77777777" w:rsidR="00683705" w:rsidRPr="004D0DAA" w:rsidRDefault="00683705">
      <w:pPr>
        <w:pStyle w:val="TOC3"/>
        <w:rPr>
          <w:rFonts w:ascii="Calibri" w:hAnsi="Calibri"/>
          <w:sz w:val="22"/>
          <w:szCs w:val="22"/>
          <w:lang w:val="en-US"/>
        </w:rPr>
      </w:pPr>
      <w:r w:rsidRPr="004D0DAA">
        <w:t>5.5.2</w:t>
      </w:r>
      <w:r w:rsidRPr="004D0DAA">
        <w:rPr>
          <w:rFonts w:ascii="Calibri" w:hAnsi="Calibri"/>
          <w:sz w:val="22"/>
          <w:szCs w:val="22"/>
          <w:lang w:val="en-US"/>
        </w:rPr>
        <w:tab/>
      </w:r>
      <w:r w:rsidRPr="004D0DAA">
        <w:t>Network side</w:t>
      </w:r>
      <w:r w:rsidRPr="004D0DAA">
        <w:tab/>
      </w:r>
      <w:r w:rsidRPr="004D0DAA">
        <w:fldChar w:fldCharType="begin" w:fldLock="1"/>
      </w:r>
      <w:r w:rsidRPr="004D0DAA">
        <w:instrText xml:space="preserve"> PAGEREF _Toc516669261 \h </w:instrText>
      </w:r>
      <w:r w:rsidRPr="004D0DAA">
        <w:fldChar w:fldCharType="separate"/>
      </w:r>
      <w:r w:rsidRPr="004D0DAA">
        <w:t>60</w:t>
      </w:r>
      <w:r w:rsidRPr="004D0DAA">
        <w:fldChar w:fldCharType="end"/>
      </w:r>
    </w:p>
    <w:p w14:paraId="2DDBAC7F" w14:textId="77777777" w:rsidR="00683705" w:rsidRPr="004D0DAA" w:rsidRDefault="00683705">
      <w:pPr>
        <w:pStyle w:val="TOC4"/>
        <w:rPr>
          <w:rFonts w:ascii="Calibri" w:hAnsi="Calibri"/>
          <w:sz w:val="22"/>
          <w:szCs w:val="22"/>
          <w:lang w:val="en-US"/>
        </w:rPr>
      </w:pPr>
      <w:r w:rsidRPr="004D0DAA">
        <w:t>5.5.2.1</w:t>
      </w:r>
      <w:r w:rsidRPr="004D0DAA">
        <w:rPr>
          <w:rFonts w:ascii="Calibri" w:hAnsi="Calibri"/>
          <w:sz w:val="22"/>
          <w:szCs w:val="22"/>
          <w:lang w:val="en-US"/>
        </w:rPr>
        <w:tab/>
      </w:r>
      <w:r w:rsidRPr="004D0DAA">
        <w:t>System Information broadcasting</w:t>
      </w:r>
      <w:r w:rsidRPr="004D0DAA">
        <w:tab/>
      </w:r>
      <w:r w:rsidRPr="004D0DAA">
        <w:fldChar w:fldCharType="begin" w:fldLock="1"/>
      </w:r>
      <w:r w:rsidRPr="004D0DAA">
        <w:instrText xml:space="preserve"> PAGEREF _Toc516669262 \h </w:instrText>
      </w:r>
      <w:r w:rsidRPr="004D0DAA">
        <w:fldChar w:fldCharType="separate"/>
      </w:r>
      <w:r w:rsidRPr="004D0DAA">
        <w:t>60</w:t>
      </w:r>
      <w:r w:rsidRPr="004D0DAA">
        <w:fldChar w:fldCharType="end"/>
      </w:r>
    </w:p>
    <w:p w14:paraId="5F7540E7" w14:textId="77777777" w:rsidR="00683705" w:rsidRPr="004D0DAA" w:rsidRDefault="00683705">
      <w:pPr>
        <w:pStyle w:val="TOC5"/>
        <w:rPr>
          <w:rFonts w:ascii="Calibri" w:hAnsi="Calibri"/>
          <w:sz w:val="22"/>
          <w:szCs w:val="22"/>
          <w:lang w:val="en-US"/>
        </w:rPr>
      </w:pPr>
      <w:r w:rsidRPr="004D0DAA">
        <w:t>5.5.2.1.1</w:t>
      </w:r>
      <w:r w:rsidRPr="004D0DAA">
        <w:rPr>
          <w:rFonts w:ascii="Calibri" w:hAnsi="Calibri"/>
          <w:sz w:val="22"/>
          <w:szCs w:val="22"/>
          <w:lang w:val="en-US"/>
        </w:rPr>
        <w:tab/>
      </w:r>
      <w:r w:rsidRPr="004D0DAA">
        <w:t>System information on PBCCH</w:t>
      </w:r>
      <w:r w:rsidRPr="004D0DAA">
        <w:tab/>
      </w:r>
      <w:r w:rsidRPr="004D0DAA">
        <w:fldChar w:fldCharType="begin" w:fldLock="1"/>
      </w:r>
      <w:r w:rsidRPr="004D0DAA">
        <w:instrText xml:space="preserve"> PAGEREF _Toc516669263 \h </w:instrText>
      </w:r>
      <w:r w:rsidRPr="004D0DAA">
        <w:fldChar w:fldCharType="separate"/>
      </w:r>
      <w:r w:rsidRPr="004D0DAA">
        <w:t>60</w:t>
      </w:r>
      <w:r w:rsidRPr="004D0DAA">
        <w:fldChar w:fldCharType="end"/>
      </w:r>
    </w:p>
    <w:p w14:paraId="3047C3AC" w14:textId="77777777" w:rsidR="00683705" w:rsidRPr="004D0DAA" w:rsidRDefault="00683705">
      <w:pPr>
        <w:pStyle w:val="TOC5"/>
        <w:rPr>
          <w:rFonts w:ascii="Calibri" w:hAnsi="Calibri"/>
          <w:sz w:val="22"/>
          <w:szCs w:val="22"/>
          <w:lang w:val="en-US"/>
        </w:rPr>
      </w:pPr>
      <w:r w:rsidRPr="004D0DAA">
        <w:t>5.5.2.1.2</w:t>
      </w:r>
      <w:r w:rsidRPr="004D0DAA">
        <w:rPr>
          <w:rFonts w:ascii="Calibri" w:hAnsi="Calibri"/>
          <w:sz w:val="22"/>
          <w:szCs w:val="22"/>
          <w:lang w:val="en-US"/>
        </w:rPr>
        <w:tab/>
      </w:r>
      <w:r w:rsidRPr="004D0DAA">
        <w:t>System information on BCCH</w:t>
      </w:r>
      <w:r w:rsidRPr="004D0DAA">
        <w:tab/>
      </w:r>
      <w:r w:rsidRPr="004D0DAA">
        <w:fldChar w:fldCharType="begin" w:fldLock="1"/>
      </w:r>
      <w:r w:rsidRPr="004D0DAA">
        <w:instrText xml:space="preserve"> PAGEREF _Toc516669264 \h </w:instrText>
      </w:r>
      <w:r w:rsidRPr="004D0DAA">
        <w:fldChar w:fldCharType="separate"/>
      </w:r>
      <w:r w:rsidRPr="004D0DAA">
        <w:t>60</w:t>
      </w:r>
      <w:r w:rsidRPr="004D0DAA">
        <w:fldChar w:fldCharType="end"/>
      </w:r>
    </w:p>
    <w:p w14:paraId="4C2A6A96" w14:textId="77777777" w:rsidR="00683705" w:rsidRPr="004D0DAA" w:rsidRDefault="00683705">
      <w:pPr>
        <w:pStyle w:val="TOC5"/>
        <w:rPr>
          <w:rFonts w:ascii="Calibri" w:hAnsi="Calibri"/>
          <w:sz w:val="22"/>
          <w:szCs w:val="22"/>
          <w:lang w:val="en-US"/>
        </w:rPr>
      </w:pPr>
      <w:r w:rsidRPr="004D0DAA">
        <w:t>5.5.2.1.3</w:t>
      </w:r>
      <w:r w:rsidRPr="004D0DAA">
        <w:rPr>
          <w:rFonts w:ascii="Calibri" w:hAnsi="Calibri"/>
          <w:sz w:val="22"/>
          <w:szCs w:val="22"/>
          <w:lang w:val="en-US"/>
        </w:rPr>
        <w:tab/>
      </w:r>
      <w:r w:rsidRPr="004D0DAA">
        <w:t>System information on PACCH (and other logical channels)</w:t>
      </w:r>
      <w:r w:rsidRPr="004D0DAA">
        <w:tab/>
      </w:r>
      <w:r w:rsidRPr="004D0DAA">
        <w:fldChar w:fldCharType="begin" w:fldLock="1"/>
      </w:r>
      <w:r w:rsidRPr="004D0DAA">
        <w:instrText xml:space="preserve"> PAGEREF _Toc516669265 \h </w:instrText>
      </w:r>
      <w:r w:rsidRPr="004D0DAA">
        <w:fldChar w:fldCharType="separate"/>
      </w:r>
      <w:r w:rsidRPr="004D0DAA">
        <w:t>61</w:t>
      </w:r>
      <w:r w:rsidRPr="004D0DAA">
        <w:fldChar w:fldCharType="end"/>
      </w:r>
    </w:p>
    <w:p w14:paraId="1247D2D0" w14:textId="77777777" w:rsidR="00683705" w:rsidRPr="004D0DAA" w:rsidRDefault="00683705">
      <w:pPr>
        <w:pStyle w:val="TOC5"/>
        <w:rPr>
          <w:rFonts w:ascii="Calibri" w:hAnsi="Calibri"/>
          <w:sz w:val="22"/>
          <w:szCs w:val="22"/>
          <w:lang w:val="en-US"/>
        </w:rPr>
      </w:pPr>
      <w:r w:rsidRPr="004D0DAA">
        <w:t>5.5.2.1.3a</w:t>
      </w:r>
      <w:r w:rsidRPr="004D0DAA">
        <w:rPr>
          <w:rFonts w:ascii="Calibri" w:hAnsi="Calibri"/>
          <w:sz w:val="22"/>
          <w:szCs w:val="22"/>
          <w:lang w:val="en-US"/>
        </w:rPr>
        <w:tab/>
      </w:r>
      <w:r w:rsidRPr="004D0DAA">
        <w:t>Rules for (P)SI distribution within Packet Serving Cell Data messages</w:t>
      </w:r>
      <w:r w:rsidRPr="004D0DAA">
        <w:tab/>
      </w:r>
      <w:r w:rsidRPr="004D0DAA">
        <w:fldChar w:fldCharType="begin" w:fldLock="1"/>
      </w:r>
      <w:r w:rsidRPr="004D0DAA">
        <w:instrText xml:space="preserve"> PAGEREF _Toc516669266 \h </w:instrText>
      </w:r>
      <w:r w:rsidRPr="004D0DAA">
        <w:fldChar w:fldCharType="separate"/>
      </w:r>
      <w:r w:rsidRPr="004D0DAA">
        <w:t>62</w:t>
      </w:r>
      <w:r w:rsidRPr="004D0DAA">
        <w:fldChar w:fldCharType="end"/>
      </w:r>
    </w:p>
    <w:p w14:paraId="686F32A0" w14:textId="77777777" w:rsidR="00683705" w:rsidRPr="004D0DAA" w:rsidRDefault="00683705">
      <w:pPr>
        <w:pStyle w:val="TOC5"/>
        <w:rPr>
          <w:rFonts w:ascii="Calibri" w:hAnsi="Calibri"/>
          <w:sz w:val="22"/>
          <w:szCs w:val="22"/>
          <w:lang w:val="en-US"/>
        </w:rPr>
      </w:pPr>
      <w:r w:rsidRPr="004D0DAA">
        <w:t>5.5.2.1.3b</w:t>
      </w:r>
      <w:r w:rsidRPr="004D0DAA">
        <w:rPr>
          <w:rFonts w:ascii="Calibri" w:hAnsi="Calibri"/>
          <w:sz w:val="22"/>
          <w:szCs w:val="22"/>
          <w:lang w:val="en-US"/>
        </w:rPr>
        <w:tab/>
      </w:r>
      <w:r w:rsidRPr="004D0DAA">
        <w:t>Rules for (P)SI distribution on PACCH of an MBMS radio bearer</w:t>
      </w:r>
      <w:r w:rsidRPr="004D0DAA">
        <w:tab/>
      </w:r>
      <w:r w:rsidRPr="004D0DAA">
        <w:fldChar w:fldCharType="begin" w:fldLock="1"/>
      </w:r>
      <w:r w:rsidRPr="004D0DAA">
        <w:instrText xml:space="preserve"> PAGEREF _Toc516669267 \h </w:instrText>
      </w:r>
      <w:r w:rsidRPr="004D0DAA">
        <w:fldChar w:fldCharType="separate"/>
      </w:r>
      <w:r w:rsidRPr="004D0DAA">
        <w:t>62</w:t>
      </w:r>
      <w:r w:rsidRPr="004D0DAA">
        <w:fldChar w:fldCharType="end"/>
      </w:r>
    </w:p>
    <w:p w14:paraId="0CF625C1" w14:textId="77777777" w:rsidR="00683705" w:rsidRPr="004D0DAA" w:rsidRDefault="00683705">
      <w:pPr>
        <w:pStyle w:val="TOC5"/>
        <w:rPr>
          <w:rFonts w:ascii="Calibri" w:hAnsi="Calibri"/>
          <w:sz w:val="22"/>
          <w:szCs w:val="22"/>
          <w:lang w:val="en-US"/>
        </w:rPr>
      </w:pPr>
      <w:r w:rsidRPr="004D0DAA">
        <w:t>5.5.2.1.4</w:t>
      </w:r>
      <w:r w:rsidRPr="004D0DAA">
        <w:rPr>
          <w:rFonts w:ascii="Calibri" w:hAnsi="Calibri"/>
          <w:sz w:val="22"/>
          <w:szCs w:val="22"/>
          <w:lang w:val="en-US"/>
        </w:rPr>
        <w:tab/>
      </w:r>
      <w:r w:rsidRPr="004D0DAA">
        <w:t>Consistent sets of system information messages</w:t>
      </w:r>
      <w:r w:rsidRPr="004D0DAA">
        <w:tab/>
      </w:r>
      <w:r w:rsidRPr="004D0DAA">
        <w:fldChar w:fldCharType="begin" w:fldLock="1"/>
      </w:r>
      <w:r w:rsidRPr="004D0DAA">
        <w:instrText xml:space="preserve"> PAGEREF _Toc516669268 \h </w:instrText>
      </w:r>
      <w:r w:rsidRPr="004D0DAA">
        <w:fldChar w:fldCharType="separate"/>
      </w:r>
      <w:r w:rsidRPr="004D0DAA">
        <w:t>62</w:t>
      </w:r>
      <w:r w:rsidRPr="004D0DAA">
        <w:fldChar w:fldCharType="end"/>
      </w:r>
    </w:p>
    <w:p w14:paraId="5A1319BB" w14:textId="77777777" w:rsidR="00683705" w:rsidRPr="004D0DAA" w:rsidRDefault="00683705">
      <w:pPr>
        <w:pStyle w:val="TOC4"/>
        <w:rPr>
          <w:rFonts w:ascii="Calibri" w:hAnsi="Calibri"/>
          <w:sz w:val="22"/>
          <w:szCs w:val="22"/>
          <w:lang w:val="en-US"/>
        </w:rPr>
      </w:pPr>
      <w:r w:rsidRPr="004D0DAA">
        <w:t>5.5.2.2</w:t>
      </w:r>
      <w:r w:rsidRPr="004D0DAA">
        <w:rPr>
          <w:rFonts w:ascii="Calibri" w:hAnsi="Calibri"/>
          <w:sz w:val="22"/>
          <w:szCs w:val="22"/>
          <w:lang w:val="en-US"/>
        </w:rPr>
        <w:tab/>
      </w:r>
      <w:r w:rsidRPr="004D0DAA">
        <w:t>Paging</w:t>
      </w:r>
      <w:r w:rsidRPr="004D0DAA">
        <w:tab/>
      </w:r>
      <w:r w:rsidRPr="004D0DAA">
        <w:fldChar w:fldCharType="begin" w:fldLock="1"/>
      </w:r>
      <w:r w:rsidRPr="004D0DAA">
        <w:instrText xml:space="preserve"> PAGEREF _Toc516669269 \h </w:instrText>
      </w:r>
      <w:r w:rsidRPr="004D0DAA">
        <w:fldChar w:fldCharType="separate"/>
      </w:r>
      <w:r w:rsidRPr="004D0DAA">
        <w:t>63</w:t>
      </w:r>
      <w:r w:rsidRPr="004D0DAA">
        <w:fldChar w:fldCharType="end"/>
      </w:r>
    </w:p>
    <w:p w14:paraId="29CEF2C0" w14:textId="77777777" w:rsidR="00683705" w:rsidRPr="004D0DAA" w:rsidRDefault="00683705">
      <w:pPr>
        <w:pStyle w:val="TOC4"/>
        <w:rPr>
          <w:rFonts w:ascii="Calibri" w:hAnsi="Calibri"/>
          <w:sz w:val="22"/>
          <w:szCs w:val="22"/>
          <w:lang w:val="en-US"/>
        </w:rPr>
      </w:pPr>
      <w:r w:rsidRPr="004D0DAA">
        <w:t>5.5.2.3</w:t>
      </w:r>
      <w:r w:rsidRPr="004D0DAA">
        <w:rPr>
          <w:rFonts w:ascii="Calibri" w:hAnsi="Calibri"/>
          <w:sz w:val="22"/>
          <w:szCs w:val="22"/>
          <w:lang w:val="en-US"/>
        </w:rPr>
        <w:tab/>
      </w:r>
      <w:r w:rsidRPr="004D0DAA">
        <w:t>Network Assisted Cell Change</w:t>
      </w:r>
      <w:r w:rsidRPr="004D0DAA">
        <w:tab/>
      </w:r>
      <w:r w:rsidRPr="004D0DAA">
        <w:fldChar w:fldCharType="begin" w:fldLock="1"/>
      </w:r>
      <w:r w:rsidRPr="004D0DAA">
        <w:instrText xml:space="preserve"> PAGEREF _Toc516669270 \h </w:instrText>
      </w:r>
      <w:r w:rsidRPr="004D0DAA">
        <w:fldChar w:fldCharType="separate"/>
      </w:r>
      <w:r w:rsidRPr="004D0DAA">
        <w:t>64</w:t>
      </w:r>
      <w:r w:rsidRPr="004D0DAA">
        <w:fldChar w:fldCharType="end"/>
      </w:r>
    </w:p>
    <w:p w14:paraId="03438519" w14:textId="77777777" w:rsidR="00683705" w:rsidRPr="004D0DAA" w:rsidRDefault="00683705">
      <w:pPr>
        <w:pStyle w:val="TOC4"/>
        <w:rPr>
          <w:rFonts w:ascii="Calibri" w:hAnsi="Calibri"/>
          <w:sz w:val="22"/>
          <w:szCs w:val="22"/>
          <w:lang w:val="en-US"/>
        </w:rPr>
      </w:pPr>
      <w:r w:rsidRPr="004D0DAA">
        <w:t>5.5.2.4</w:t>
      </w:r>
      <w:r w:rsidRPr="004D0DAA">
        <w:rPr>
          <w:rFonts w:ascii="Calibri" w:hAnsi="Calibri"/>
          <w:sz w:val="22"/>
          <w:szCs w:val="22"/>
          <w:lang w:val="en-US"/>
        </w:rPr>
        <w:tab/>
      </w:r>
      <w:r w:rsidRPr="004D0DAA">
        <w:t>Packet Switched Handover</w:t>
      </w:r>
      <w:r w:rsidRPr="004D0DAA">
        <w:tab/>
      </w:r>
      <w:r w:rsidRPr="004D0DAA">
        <w:fldChar w:fldCharType="begin" w:fldLock="1"/>
      </w:r>
      <w:r w:rsidRPr="004D0DAA">
        <w:instrText xml:space="preserve"> PAGEREF _Toc516669271 \h </w:instrText>
      </w:r>
      <w:r w:rsidRPr="004D0DAA">
        <w:fldChar w:fldCharType="separate"/>
      </w:r>
      <w:r w:rsidRPr="004D0DAA">
        <w:t>64</w:t>
      </w:r>
      <w:r w:rsidRPr="004D0DAA">
        <w:fldChar w:fldCharType="end"/>
      </w:r>
    </w:p>
    <w:p w14:paraId="5055BF49" w14:textId="77777777" w:rsidR="00683705" w:rsidRPr="004D0DAA" w:rsidRDefault="00683705">
      <w:pPr>
        <w:pStyle w:val="TOC2"/>
        <w:rPr>
          <w:rFonts w:ascii="Calibri" w:hAnsi="Calibri"/>
          <w:sz w:val="22"/>
          <w:szCs w:val="22"/>
          <w:lang w:val="en-US"/>
        </w:rPr>
      </w:pPr>
      <w:r w:rsidRPr="004D0DAA">
        <w:t>5.6</w:t>
      </w:r>
      <w:r w:rsidRPr="004D0DAA">
        <w:rPr>
          <w:rFonts w:ascii="Calibri" w:hAnsi="Calibri"/>
          <w:sz w:val="22"/>
          <w:szCs w:val="22"/>
          <w:lang w:val="en-US"/>
        </w:rPr>
        <w:tab/>
      </w:r>
      <w:r w:rsidRPr="004D0DAA">
        <w:t>Measurement reports</w:t>
      </w:r>
      <w:r w:rsidRPr="004D0DAA">
        <w:tab/>
      </w:r>
      <w:r w:rsidRPr="004D0DAA">
        <w:fldChar w:fldCharType="begin" w:fldLock="1"/>
      </w:r>
      <w:r w:rsidRPr="004D0DAA">
        <w:instrText xml:space="preserve"> PAGEREF _Toc516669272 \h </w:instrText>
      </w:r>
      <w:r w:rsidRPr="004D0DAA">
        <w:fldChar w:fldCharType="separate"/>
      </w:r>
      <w:r w:rsidRPr="004D0DAA">
        <w:t>64</w:t>
      </w:r>
      <w:r w:rsidRPr="004D0DAA">
        <w:fldChar w:fldCharType="end"/>
      </w:r>
    </w:p>
    <w:p w14:paraId="04983E00" w14:textId="77777777" w:rsidR="00683705" w:rsidRPr="004D0DAA" w:rsidRDefault="00683705">
      <w:pPr>
        <w:pStyle w:val="TOC3"/>
        <w:rPr>
          <w:rFonts w:ascii="Calibri" w:hAnsi="Calibri"/>
          <w:sz w:val="22"/>
          <w:szCs w:val="22"/>
          <w:lang w:val="en-US"/>
        </w:rPr>
      </w:pPr>
      <w:r w:rsidRPr="004D0DAA">
        <w:t>5.6.0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_Toc516669273 \h </w:instrText>
      </w:r>
      <w:r w:rsidRPr="004D0DAA">
        <w:fldChar w:fldCharType="separate"/>
      </w:r>
      <w:r w:rsidRPr="004D0DAA">
        <w:t>64</w:t>
      </w:r>
      <w:r w:rsidRPr="004D0DAA">
        <w:fldChar w:fldCharType="end"/>
      </w:r>
    </w:p>
    <w:p w14:paraId="5F8F2E62" w14:textId="77777777" w:rsidR="00683705" w:rsidRPr="004D0DAA" w:rsidRDefault="00683705">
      <w:pPr>
        <w:pStyle w:val="TOC3"/>
        <w:rPr>
          <w:rFonts w:ascii="Calibri" w:hAnsi="Calibri"/>
          <w:sz w:val="22"/>
          <w:szCs w:val="22"/>
          <w:lang w:val="en-US"/>
        </w:rPr>
      </w:pPr>
      <w:r w:rsidRPr="004D0DAA">
        <w:t>5.6.1</w:t>
      </w:r>
      <w:r w:rsidRPr="004D0DAA">
        <w:rPr>
          <w:rFonts w:ascii="Calibri" w:hAnsi="Calibri"/>
          <w:sz w:val="22"/>
          <w:szCs w:val="22"/>
          <w:lang w:val="en-US"/>
        </w:rPr>
        <w:tab/>
      </w:r>
      <w:r w:rsidRPr="004D0DAA">
        <w:t>Network Control (NC) measurement reporting</w:t>
      </w:r>
      <w:r w:rsidRPr="004D0DAA">
        <w:tab/>
      </w:r>
      <w:r w:rsidRPr="004D0DAA">
        <w:fldChar w:fldCharType="begin" w:fldLock="1"/>
      </w:r>
      <w:r w:rsidRPr="004D0DAA">
        <w:instrText xml:space="preserve"> PAGEREF _Toc516669274 \h </w:instrText>
      </w:r>
      <w:r w:rsidRPr="004D0DAA">
        <w:fldChar w:fldCharType="separate"/>
      </w:r>
      <w:r w:rsidRPr="004D0DAA">
        <w:t>65</w:t>
      </w:r>
      <w:r w:rsidRPr="004D0DAA">
        <w:fldChar w:fldCharType="end"/>
      </w:r>
    </w:p>
    <w:p w14:paraId="12F36223" w14:textId="77777777" w:rsidR="00683705" w:rsidRPr="004D0DAA" w:rsidRDefault="00683705">
      <w:pPr>
        <w:pStyle w:val="TOC3"/>
        <w:rPr>
          <w:rFonts w:ascii="Calibri" w:hAnsi="Calibri"/>
          <w:sz w:val="22"/>
          <w:szCs w:val="22"/>
          <w:lang w:val="en-US"/>
        </w:rPr>
      </w:pPr>
      <w:r w:rsidRPr="004D0DAA">
        <w:t>5.6.2</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_Toc516669275 \h </w:instrText>
      </w:r>
      <w:r w:rsidRPr="004D0DAA">
        <w:fldChar w:fldCharType="separate"/>
      </w:r>
      <w:r w:rsidRPr="004D0DAA">
        <w:t>66</w:t>
      </w:r>
      <w:r w:rsidRPr="004D0DAA">
        <w:fldChar w:fldCharType="end"/>
      </w:r>
    </w:p>
    <w:p w14:paraId="1E0887D9" w14:textId="77777777" w:rsidR="00683705" w:rsidRPr="004D0DAA" w:rsidRDefault="00683705">
      <w:pPr>
        <w:pStyle w:val="TOC3"/>
        <w:rPr>
          <w:rFonts w:ascii="Calibri" w:hAnsi="Calibri"/>
          <w:sz w:val="22"/>
          <w:szCs w:val="22"/>
          <w:lang w:val="en-US"/>
        </w:rPr>
      </w:pPr>
      <w:r w:rsidRPr="004D0DAA">
        <w:t>5.6.3</w:t>
      </w:r>
      <w:r w:rsidRPr="004D0DAA">
        <w:rPr>
          <w:rFonts w:ascii="Calibri" w:hAnsi="Calibri"/>
          <w:sz w:val="22"/>
          <w:szCs w:val="22"/>
          <w:lang w:val="en-US"/>
        </w:rPr>
        <w:tab/>
      </w:r>
      <w:r w:rsidRPr="004D0DAA">
        <w:t>Additional measurement and reporting parameters</w:t>
      </w:r>
      <w:r w:rsidRPr="004D0DAA">
        <w:tab/>
      </w:r>
      <w:r w:rsidRPr="004D0DAA">
        <w:fldChar w:fldCharType="begin" w:fldLock="1"/>
      </w:r>
      <w:r w:rsidRPr="004D0DAA">
        <w:instrText xml:space="preserve"> PAGEREF _Toc516669276 \h </w:instrText>
      </w:r>
      <w:r w:rsidRPr="004D0DAA">
        <w:fldChar w:fldCharType="separate"/>
      </w:r>
      <w:r w:rsidRPr="004D0DAA">
        <w:t>66</w:t>
      </w:r>
      <w:r w:rsidRPr="004D0DAA">
        <w:fldChar w:fldCharType="end"/>
      </w:r>
    </w:p>
    <w:p w14:paraId="48504CF9" w14:textId="77777777" w:rsidR="00683705" w:rsidRPr="004D0DAA" w:rsidRDefault="00683705">
      <w:pPr>
        <w:pStyle w:val="TOC4"/>
        <w:rPr>
          <w:rFonts w:ascii="Calibri" w:hAnsi="Calibri"/>
          <w:sz w:val="22"/>
          <w:szCs w:val="22"/>
          <w:lang w:val="en-US"/>
        </w:rPr>
      </w:pPr>
      <w:r w:rsidRPr="004D0DAA">
        <w:t>5.6.3.1</w:t>
      </w:r>
      <w:r w:rsidRPr="004D0DAA">
        <w:rPr>
          <w:rFonts w:ascii="Calibri" w:hAnsi="Calibri"/>
          <w:sz w:val="22"/>
          <w:szCs w:val="22"/>
          <w:lang w:val="en-US"/>
        </w:rPr>
        <w:tab/>
      </w:r>
      <w:r w:rsidRPr="004D0DAA">
        <w:t>Deriving the 3G Neighbour Cell list from the 3G Neighbour Cell description</w:t>
      </w:r>
      <w:r w:rsidRPr="004D0DAA">
        <w:tab/>
      </w:r>
      <w:r w:rsidRPr="004D0DAA">
        <w:fldChar w:fldCharType="begin" w:fldLock="1"/>
      </w:r>
      <w:r w:rsidRPr="004D0DAA">
        <w:instrText xml:space="preserve"> PAGEREF _Toc516669277 \h </w:instrText>
      </w:r>
      <w:r w:rsidRPr="004D0DAA">
        <w:fldChar w:fldCharType="separate"/>
      </w:r>
      <w:r w:rsidRPr="004D0DAA">
        <w:t>66</w:t>
      </w:r>
      <w:r w:rsidRPr="004D0DAA">
        <w:fldChar w:fldCharType="end"/>
      </w:r>
    </w:p>
    <w:p w14:paraId="4BA5CEB0" w14:textId="77777777" w:rsidR="00683705" w:rsidRPr="004D0DAA" w:rsidRDefault="00683705">
      <w:pPr>
        <w:pStyle w:val="TOC4"/>
        <w:rPr>
          <w:rFonts w:ascii="Calibri" w:hAnsi="Calibri"/>
          <w:sz w:val="22"/>
          <w:szCs w:val="22"/>
          <w:lang w:val="en-US"/>
        </w:rPr>
      </w:pPr>
      <w:r w:rsidRPr="004D0DAA">
        <w:t>5.6.3.1a</w:t>
      </w:r>
      <w:r w:rsidRPr="004D0DAA">
        <w:rPr>
          <w:rFonts w:ascii="Calibri" w:hAnsi="Calibri"/>
          <w:sz w:val="22"/>
          <w:szCs w:val="22"/>
          <w:lang w:val="en-US"/>
        </w:rPr>
        <w:tab/>
      </w:r>
      <w:r w:rsidRPr="004D0DAA">
        <w:t>Deriving the E-UTRAN Neighbour Cell list from the Repeated E-UTRAN Neighbour Cell information</w:t>
      </w:r>
      <w:r w:rsidRPr="004D0DAA">
        <w:tab/>
      </w:r>
      <w:r w:rsidRPr="004D0DAA">
        <w:fldChar w:fldCharType="begin" w:fldLock="1"/>
      </w:r>
      <w:r w:rsidRPr="004D0DAA">
        <w:instrText xml:space="preserve"> PAGEREF _Toc516669278 \h </w:instrText>
      </w:r>
      <w:r w:rsidRPr="004D0DAA">
        <w:fldChar w:fldCharType="separate"/>
      </w:r>
      <w:r w:rsidRPr="004D0DAA">
        <w:t>67</w:t>
      </w:r>
      <w:r w:rsidRPr="004D0DAA">
        <w:fldChar w:fldCharType="end"/>
      </w:r>
    </w:p>
    <w:p w14:paraId="32F714CC" w14:textId="77777777" w:rsidR="00683705" w:rsidRPr="004D0DAA" w:rsidRDefault="00683705">
      <w:pPr>
        <w:pStyle w:val="TOC4"/>
        <w:rPr>
          <w:rFonts w:ascii="Calibri" w:hAnsi="Calibri"/>
          <w:sz w:val="22"/>
          <w:szCs w:val="22"/>
          <w:lang w:val="en-US"/>
        </w:rPr>
      </w:pPr>
      <w:r w:rsidRPr="004D0DAA">
        <w:t>5.6.3.2</w:t>
      </w:r>
      <w:r w:rsidRPr="004D0DAA">
        <w:rPr>
          <w:rFonts w:ascii="Calibri" w:hAnsi="Calibri"/>
          <w:sz w:val="22"/>
          <w:szCs w:val="22"/>
          <w:lang w:val="en-US"/>
        </w:rPr>
        <w:tab/>
      </w:r>
      <w:r w:rsidRPr="004D0DAA">
        <w:t>Deriving BA(GPRS) and the GSM Neighbour Cell list</w:t>
      </w:r>
      <w:r w:rsidRPr="004D0DAA">
        <w:tab/>
      </w:r>
      <w:r w:rsidRPr="004D0DAA">
        <w:fldChar w:fldCharType="begin" w:fldLock="1"/>
      </w:r>
      <w:r w:rsidRPr="004D0DAA">
        <w:instrText xml:space="preserve"> PAGEREF _Toc516669279 \h </w:instrText>
      </w:r>
      <w:r w:rsidRPr="004D0DAA">
        <w:fldChar w:fldCharType="separate"/>
      </w:r>
      <w:r w:rsidRPr="004D0DAA">
        <w:t>68</w:t>
      </w:r>
      <w:r w:rsidRPr="004D0DAA">
        <w:fldChar w:fldCharType="end"/>
      </w:r>
    </w:p>
    <w:p w14:paraId="4BE5AE4D" w14:textId="77777777" w:rsidR="00683705" w:rsidRPr="004D0DAA" w:rsidRDefault="00683705">
      <w:pPr>
        <w:pStyle w:val="TOC4"/>
        <w:rPr>
          <w:rFonts w:ascii="Calibri" w:hAnsi="Calibri"/>
          <w:sz w:val="22"/>
          <w:szCs w:val="22"/>
          <w:lang w:val="en-US"/>
        </w:rPr>
      </w:pPr>
      <w:r w:rsidRPr="004D0DAA">
        <w:t>5.6.3.3</w:t>
      </w:r>
      <w:r w:rsidRPr="004D0DAA">
        <w:rPr>
          <w:rFonts w:ascii="Calibri" w:hAnsi="Calibri"/>
          <w:sz w:val="22"/>
          <w:szCs w:val="22"/>
          <w:lang w:val="en-US"/>
        </w:rPr>
        <w:tab/>
      </w:r>
      <w:r w:rsidRPr="004D0DAA">
        <w:t>Deriving the Neighbour Cell list from the GSM Neighbour Cell list and the 3G Neighbour Cell list</w:t>
      </w:r>
      <w:r w:rsidRPr="004D0DAA">
        <w:tab/>
      </w:r>
      <w:r w:rsidRPr="004D0DAA">
        <w:fldChar w:fldCharType="begin" w:fldLock="1"/>
      </w:r>
      <w:r w:rsidRPr="004D0DAA">
        <w:instrText xml:space="preserve"> PAGEREF _Toc516669280 \h </w:instrText>
      </w:r>
      <w:r w:rsidRPr="004D0DAA">
        <w:fldChar w:fldCharType="separate"/>
      </w:r>
      <w:r w:rsidRPr="004D0DAA">
        <w:t>69</w:t>
      </w:r>
      <w:r w:rsidRPr="004D0DAA">
        <w:fldChar w:fldCharType="end"/>
      </w:r>
    </w:p>
    <w:p w14:paraId="455C91CB" w14:textId="77777777" w:rsidR="00683705" w:rsidRPr="004D0DAA" w:rsidRDefault="00683705">
      <w:pPr>
        <w:pStyle w:val="TOC4"/>
        <w:rPr>
          <w:rFonts w:ascii="Calibri" w:hAnsi="Calibri"/>
          <w:sz w:val="22"/>
          <w:szCs w:val="22"/>
          <w:lang w:val="en-US"/>
        </w:rPr>
      </w:pPr>
      <w:r w:rsidRPr="004D0DAA">
        <w:t>5.6.3.4</w:t>
      </w:r>
      <w:r w:rsidRPr="004D0DAA">
        <w:rPr>
          <w:rFonts w:ascii="Calibri" w:hAnsi="Calibri"/>
          <w:sz w:val="22"/>
          <w:szCs w:val="22"/>
          <w:lang w:val="en-US"/>
        </w:rPr>
        <w:tab/>
      </w:r>
      <w:r w:rsidRPr="004D0DAA">
        <w:t>GPRS Real Time Differences</w:t>
      </w:r>
      <w:r w:rsidRPr="004D0DAA">
        <w:tab/>
      </w:r>
      <w:r w:rsidRPr="004D0DAA">
        <w:fldChar w:fldCharType="begin" w:fldLock="1"/>
      </w:r>
      <w:r w:rsidRPr="004D0DAA">
        <w:instrText xml:space="preserve"> PAGEREF _Toc516669281 \h </w:instrText>
      </w:r>
      <w:r w:rsidRPr="004D0DAA">
        <w:fldChar w:fldCharType="separate"/>
      </w:r>
      <w:r w:rsidRPr="004D0DAA">
        <w:t>69</w:t>
      </w:r>
      <w:r w:rsidRPr="004D0DAA">
        <w:fldChar w:fldCharType="end"/>
      </w:r>
    </w:p>
    <w:p w14:paraId="0B520013" w14:textId="77777777" w:rsidR="00683705" w:rsidRPr="004D0DAA" w:rsidRDefault="00683705">
      <w:pPr>
        <w:pStyle w:val="TOC4"/>
        <w:rPr>
          <w:rFonts w:ascii="Calibri" w:hAnsi="Calibri"/>
          <w:sz w:val="22"/>
          <w:szCs w:val="22"/>
          <w:lang w:val="en-US"/>
        </w:rPr>
      </w:pPr>
      <w:r w:rsidRPr="004D0DAA">
        <w:t>5.6.3.5</w:t>
      </w:r>
      <w:r w:rsidRPr="004D0DAA">
        <w:rPr>
          <w:rFonts w:ascii="Calibri" w:hAnsi="Calibri"/>
          <w:sz w:val="22"/>
          <w:szCs w:val="22"/>
          <w:lang w:val="en-US"/>
        </w:rPr>
        <w:tab/>
      </w:r>
      <w:r w:rsidRPr="004D0DAA">
        <w:t>GPRS Report Priority Descriptions</w:t>
      </w:r>
      <w:r w:rsidRPr="004D0DAA">
        <w:tab/>
      </w:r>
      <w:r w:rsidRPr="004D0DAA">
        <w:fldChar w:fldCharType="begin" w:fldLock="1"/>
      </w:r>
      <w:r w:rsidRPr="004D0DAA">
        <w:instrText xml:space="preserve"> PAGEREF _Toc516669282 \h </w:instrText>
      </w:r>
      <w:r w:rsidRPr="004D0DAA">
        <w:fldChar w:fldCharType="separate"/>
      </w:r>
      <w:r w:rsidRPr="004D0DAA">
        <w:t>70</w:t>
      </w:r>
      <w:r w:rsidRPr="004D0DAA">
        <w:fldChar w:fldCharType="end"/>
      </w:r>
    </w:p>
    <w:p w14:paraId="63D99EE2" w14:textId="77777777" w:rsidR="00683705" w:rsidRPr="004D0DAA" w:rsidRDefault="00683705">
      <w:pPr>
        <w:pStyle w:val="TOC4"/>
        <w:rPr>
          <w:rFonts w:ascii="Calibri" w:hAnsi="Calibri"/>
          <w:sz w:val="22"/>
          <w:szCs w:val="22"/>
          <w:lang w:val="en-US"/>
        </w:rPr>
      </w:pPr>
      <w:r w:rsidRPr="004D0DAA">
        <w:t>5.6.3.6</w:t>
      </w:r>
      <w:r w:rsidRPr="004D0DAA">
        <w:rPr>
          <w:rFonts w:ascii="Calibri" w:hAnsi="Calibri"/>
          <w:sz w:val="22"/>
          <w:szCs w:val="22"/>
          <w:lang w:val="en-US"/>
        </w:rPr>
        <w:tab/>
      </w:r>
      <w:r w:rsidRPr="004D0DAA">
        <w:t>GPRS Measurement Parameters and GPRS 3G Measurement Parameters</w:t>
      </w:r>
      <w:r w:rsidRPr="004D0DAA">
        <w:tab/>
      </w:r>
      <w:r w:rsidRPr="004D0DAA">
        <w:fldChar w:fldCharType="begin" w:fldLock="1"/>
      </w:r>
      <w:r w:rsidRPr="004D0DAA">
        <w:instrText xml:space="preserve"> PAGEREF _Toc516669283 \h </w:instrText>
      </w:r>
      <w:r w:rsidRPr="004D0DAA">
        <w:fldChar w:fldCharType="separate"/>
      </w:r>
      <w:r w:rsidRPr="004D0DAA">
        <w:t>70</w:t>
      </w:r>
      <w:r w:rsidRPr="004D0DAA">
        <w:fldChar w:fldCharType="end"/>
      </w:r>
    </w:p>
    <w:p w14:paraId="2EB136F8" w14:textId="77777777" w:rsidR="00683705" w:rsidRPr="004D0DAA" w:rsidRDefault="00683705">
      <w:pPr>
        <w:pStyle w:val="TOC4"/>
        <w:rPr>
          <w:rFonts w:ascii="Calibri" w:hAnsi="Calibri"/>
          <w:sz w:val="22"/>
          <w:szCs w:val="22"/>
          <w:lang w:val="en-US"/>
        </w:rPr>
      </w:pPr>
      <w:r w:rsidRPr="004D0DAA">
        <w:t>5.6.3.6a</w:t>
      </w:r>
      <w:r w:rsidRPr="004D0DAA">
        <w:rPr>
          <w:rFonts w:ascii="Calibri" w:hAnsi="Calibri"/>
          <w:sz w:val="22"/>
          <w:szCs w:val="22"/>
          <w:lang w:val="en-US"/>
        </w:rPr>
        <w:tab/>
      </w:r>
      <w:r w:rsidRPr="004D0DAA">
        <w:t>GPRS E-UTRAN Measurement Parameters</w:t>
      </w:r>
      <w:r w:rsidRPr="004D0DAA">
        <w:tab/>
      </w:r>
      <w:r w:rsidRPr="004D0DAA">
        <w:fldChar w:fldCharType="begin" w:fldLock="1"/>
      </w:r>
      <w:r w:rsidRPr="004D0DAA">
        <w:instrText xml:space="preserve"> PAGEREF _Toc516669284 \h </w:instrText>
      </w:r>
      <w:r w:rsidRPr="004D0DAA">
        <w:fldChar w:fldCharType="separate"/>
      </w:r>
      <w:r w:rsidRPr="004D0DAA">
        <w:t>70</w:t>
      </w:r>
      <w:r w:rsidRPr="004D0DAA">
        <w:fldChar w:fldCharType="end"/>
      </w:r>
    </w:p>
    <w:p w14:paraId="5F968D07" w14:textId="77777777" w:rsidR="00683705" w:rsidRPr="004D0DAA" w:rsidRDefault="00683705">
      <w:pPr>
        <w:pStyle w:val="TOC4"/>
        <w:rPr>
          <w:rFonts w:ascii="Calibri" w:hAnsi="Calibri"/>
          <w:sz w:val="22"/>
          <w:szCs w:val="22"/>
          <w:lang w:val="en-US"/>
        </w:rPr>
      </w:pPr>
      <w:r w:rsidRPr="004D0DAA">
        <w:t>5.6.3.7</w:t>
      </w:r>
      <w:r w:rsidRPr="004D0DAA">
        <w:rPr>
          <w:rFonts w:ascii="Calibri" w:hAnsi="Calibri"/>
          <w:sz w:val="22"/>
          <w:szCs w:val="22"/>
          <w:lang w:val="en-US"/>
        </w:rPr>
        <w:tab/>
      </w:r>
      <w:r w:rsidRPr="004D0DAA">
        <w:t>The GPRS 3G Cell Reselection list</w:t>
      </w:r>
      <w:r w:rsidRPr="004D0DAA">
        <w:tab/>
      </w:r>
      <w:r w:rsidRPr="004D0DAA">
        <w:fldChar w:fldCharType="begin" w:fldLock="1"/>
      </w:r>
      <w:r w:rsidRPr="004D0DAA">
        <w:instrText xml:space="preserve"> PAGEREF _Toc516669285 \h </w:instrText>
      </w:r>
      <w:r w:rsidRPr="004D0DAA">
        <w:fldChar w:fldCharType="separate"/>
      </w:r>
      <w:r w:rsidRPr="004D0DAA">
        <w:t>71</w:t>
      </w:r>
      <w:r w:rsidRPr="004D0DAA">
        <w:fldChar w:fldCharType="end"/>
      </w:r>
    </w:p>
    <w:p w14:paraId="2DAD2394" w14:textId="77777777" w:rsidR="00683705" w:rsidRPr="004D0DAA" w:rsidRDefault="00683705">
      <w:pPr>
        <w:pStyle w:val="TOC4"/>
        <w:rPr>
          <w:rFonts w:ascii="Calibri" w:hAnsi="Calibri"/>
          <w:sz w:val="22"/>
          <w:szCs w:val="22"/>
          <w:lang w:val="en-US"/>
        </w:rPr>
      </w:pPr>
      <w:r w:rsidRPr="004D0DAA">
        <w:t>5.6.3.7a</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_Toc516669286 \h </w:instrText>
      </w:r>
      <w:r w:rsidRPr="004D0DAA">
        <w:fldChar w:fldCharType="separate"/>
      </w:r>
      <w:r w:rsidRPr="004D0DAA">
        <w:t>71</w:t>
      </w:r>
      <w:r w:rsidRPr="004D0DAA">
        <w:fldChar w:fldCharType="end"/>
      </w:r>
    </w:p>
    <w:p w14:paraId="663ABD07" w14:textId="77777777" w:rsidR="00683705" w:rsidRPr="004D0DAA" w:rsidRDefault="00683705">
      <w:pPr>
        <w:pStyle w:val="TOC4"/>
        <w:rPr>
          <w:rFonts w:ascii="Calibri" w:hAnsi="Calibri"/>
          <w:sz w:val="22"/>
          <w:szCs w:val="22"/>
          <w:lang w:val="en-US"/>
        </w:rPr>
      </w:pPr>
      <w:r w:rsidRPr="004D0DAA">
        <w:t>5.6.3.7</w:t>
      </w:r>
      <w:r w:rsidRPr="004D0DAA">
        <w:rPr>
          <w:lang w:eastAsia="zh-CN"/>
        </w:rPr>
        <w:t>b</w:t>
      </w:r>
      <w:r w:rsidRPr="004D0DAA">
        <w:rPr>
          <w:rFonts w:ascii="Calibri" w:hAnsi="Calibri"/>
          <w:sz w:val="22"/>
          <w:szCs w:val="22"/>
          <w:lang w:val="en-US"/>
        </w:rPr>
        <w:tab/>
      </w:r>
      <w:r w:rsidRPr="004D0DAA">
        <w:t>The 3G </w:t>
      </w:r>
      <w:r w:rsidRPr="004D0DAA">
        <w:rPr>
          <w:lang w:eastAsia="zh-CN"/>
        </w:rPr>
        <w:t>Frequency</w:t>
      </w:r>
      <w:r w:rsidRPr="004D0DAA">
        <w:t xml:space="preserve"> list</w:t>
      </w:r>
      <w:r w:rsidRPr="004D0DAA">
        <w:tab/>
      </w:r>
      <w:r w:rsidRPr="004D0DAA">
        <w:fldChar w:fldCharType="begin" w:fldLock="1"/>
      </w:r>
      <w:r w:rsidRPr="004D0DAA">
        <w:instrText xml:space="preserve"> PAGEREF _Toc516669287 \h </w:instrText>
      </w:r>
      <w:r w:rsidRPr="004D0DAA">
        <w:fldChar w:fldCharType="separate"/>
      </w:r>
      <w:r w:rsidRPr="004D0DAA">
        <w:t>71</w:t>
      </w:r>
      <w:r w:rsidRPr="004D0DAA">
        <w:fldChar w:fldCharType="end"/>
      </w:r>
    </w:p>
    <w:p w14:paraId="7672B4B1" w14:textId="77777777" w:rsidR="00683705" w:rsidRPr="004D0DAA" w:rsidRDefault="00683705">
      <w:pPr>
        <w:pStyle w:val="TOC4"/>
        <w:rPr>
          <w:rFonts w:ascii="Calibri" w:hAnsi="Calibri"/>
          <w:sz w:val="22"/>
          <w:szCs w:val="22"/>
          <w:lang w:val="en-US"/>
        </w:rPr>
      </w:pPr>
      <w:r w:rsidRPr="004D0DAA">
        <w:t>5.6.3.8</w:t>
      </w:r>
      <w:r w:rsidRPr="004D0DAA">
        <w:rPr>
          <w:rFonts w:ascii="Calibri" w:hAnsi="Calibri"/>
          <w:sz w:val="22"/>
          <w:szCs w:val="22"/>
          <w:lang w:val="en-US"/>
        </w:rPr>
        <w:tab/>
      </w:r>
      <w:r w:rsidRPr="004D0DAA">
        <w:t>Closed Subscriber Group Information</w:t>
      </w:r>
      <w:r w:rsidRPr="004D0DAA">
        <w:tab/>
      </w:r>
      <w:r w:rsidRPr="004D0DAA">
        <w:fldChar w:fldCharType="begin" w:fldLock="1"/>
      </w:r>
      <w:r w:rsidRPr="004D0DAA">
        <w:instrText xml:space="preserve"> PAGEREF _Toc516669288 \h </w:instrText>
      </w:r>
      <w:r w:rsidRPr="004D0DAA">
        <w:fldChar w:fldCharType="separate"/>
      </w:r>
      <w:r w:rsidRPr="004D0DAA">
        <w:t>71</w:t>
      </w:r>
      <w:r w:rsidRPr="004D0DAA">
        <w:fldChar w:fldCharType="end"/>
      </w:r>
    </w:p>
    <w:p w14:paraId="298AF3DF" w14:textId="77777777" w:rsidR="00683705" w:rsidRPr="004D0DAA" w:rsidRDefault="00683705">
      <w:pPr>
        <w:pStyle w:val="TOC4"/>
        <w:rPr>
          <w:rFonts w:ascii="Calibri" w:hAnsi="Calibri"/>
          <w:sz w:val="22"/>
          <w:szCs w:val="22"/>
          <w:lang w:val="en-US"/>
        </w:rPr>
      </w:pPr>
      <w:r w:rsidRPr="004D0DAA">
        <w:t>5.6.3.9</w:t>
      </w:r>
      <w:r w:rsidRPr="004D0DAA">
        <w:rPr>
          <w:rFonts w:ascii="Calibri" w:hAnsi="Calibri"/>
          <w:sz w:val="22"/>
          <w:szCs w:val="22"/>
          <w:lang w:val="en-US"/>
        </w:rPr>
        <w:tab/>
      </w:r>
      <w:r w:rsidRPr="004D0DAA">
        <w:t>Reporting of CSG Cells and Hybrid Cells</w:t>
      </w:r>
      <w:r w:rsidRPr="004D0DAA">
        <w:tab/>
      </w:r>
      <w:r w:rsidRPr="004D0DAA">
        <w:fldChar w:fldCharType="begin" w:fldLock="1"/>
      </w:r>
      <w:r w:rsidRPr="004D0DAA">
        <w:instrText xml:space="preserve"> PAGEREF _Toc516669289 \h </w:instrText>
      </w:r>
      <w:r w:rsidRPr="004D0DAA">
        <w:fldChar w:fldCharType="separate"/>
      </w:r>
      <w:r w:rsidRPr="004D0DAA">
        <w:t>72</w:t>
      </w:r>
      <w:r w:rsidRPr="004D0DAA">
        <w:fldChar w:fldCharType="end"/>
      </w:r>
    </w:p>
    <w:p w14:paraId="52BA785E" w14:textId="77777777" w:rsidR="00683705" w:rsidRPr="004D0DAA" w:rsidRDefault="00683705">
      <w:pPr>
        <w:pStyle w:val="TOC3"/>
        <w:rPr>
          <w:rFonts w:ascii="Calibri" w:hAnsi="Calibri"/>
          <w:sz w:val="22"/>
          <w:szCs w:val="22"/>
          <w:lang w:val="en-US"/>
        </w:rPr>
      </w:pPr>
      <w:r w:rsidRPr="004D0DAA">
        <w:t>5.6.4</w:t>
      </w:r>
      <w:r w:rsidRPr="004D0DAA">
        <w:rPr>
          <w:rFonts w:ascii="Calibri" w:hAnsi="Calibri"/>
          <w:sz w:val="22"/>
          <w:szCs w:val="22"/>
          <w:lang w:val="en-US"/>
        </w:rPr>
        <w:tab/>
      </w:r>
      <w:r w:rsidRPr="004D0DAA">
        <w:t>Measurement reporting in broadcast/multicast receive mode</w:t>
      </w:r>
      <w:r w:rsidRPr="004D0DAA">
        <w:tab/>
      </w:r>
      <w:r w:rsidRPr="004D0DAA">
        <w:fldChar w:fldCharType="begin" w:fldLock="1"/>
      </w:r>
      <w:r w:rsidRPr="004D0DAA">
        <w:instrText xml:space="preserve"> PAGEREF _Toc516669290 \h </w:instrText>
      </w:r>
      <w:r w:rsidRPr="004D0DAA">
        <w:fldChar w:fldCharType="separate"/>
      </w:r>
      <w:r w:rsidRPr="004D0DAA">
        <w:t>73</w:t>
      </w:r>
      <w:r w:rsidRPr="004D0DAA">
        <w:fldChar w:fldCharType="end"/>
      </w:r>
    </w:p>
    <w:p w14:paraId="56A89D7E" w14:textId="77777777" w:rsidR="00683705" w:rsidRPr="004D0DAA" w:rsidRDefault="00683705">
      <w:pPr>
        <w:pStyle w:val="TOC2"/>
        <w:rPr>
          <w:rFonts w:ascii="Calibri" w:hAnsi="Calibri"/>
          <w:sz w:val="22"/>
          <w:szCs w:val="22"/>
          <w:lang w:val="en-US"/>
        </w:rPr>
      </w:pPr>
      <w:r w:rsidRPr="004D0DAA">
        <w:t>5.7</w:t>
      </w:r>
      <w:r w:rsidRPr="004D0DAA">
        <w:rPr>
          <w:rFonts w:ascii="Calibri" w:hAnsi="Calibri"/>
          <w:sz w:val="22"/>
          <w:szCs w:val="22"/>
          <w:lang w:val="en-US"/>
        </w:rPr>
        <w:tab/>
      </w:r>
      <w:r w:rsidRPr="004D0DAA">
        <w:t>Dual transfer mode enhancements</w:t>
      </w:r>
      <w:r w:rsidRPr="004D0DAA">
        <w:tab/>
      </w:r>
      <w:r w:rsidRPr="004D0DAA">
        <w:fldChar w:fldCharType="begin" w:fldLock="1"/>
      </w:r>
      <w:r w:rsidRPr="004D0DAA">
        <w:instrText xml:space="preserve"> PAGEREF _Toc516669291 \h </w:instrText>
      </w:r>
      <w:r w:rsidRPr="004D0DAA">
        <w:fldChar w:fldCharType="separate"/>
      </w:r>
      <w:r w:rsidRPr="004D0DAA">
        <w:t>74</w:t>
      </w:r>
      <w:r w:rsidRPr="004D0DAA">
        <w:fldChar w:fldCharType="end"/>
      </w:r>
    </w:p>
    <w:p w14:paraId="1DAEC178" w14:textId="77777777" w:rsidR="00683705" w:rsidRPr="004D0DAA" w:rsidRDefault="00683705">
      <w:pPr>
        <w:pStyle w:val="TOC2"/>
        <w:rPr>
          <w:rFonts w:ascii="Calibri" w:hAnsi="Calibri"/>
          <w:sz w:val="22"/>
          <w:szCs w:val="22"/>
          <w:lang w:val="en-US"/>
        </w:rPr>
      </w:pPr>
      <w:r w:rsidRPr="004D0DAA">
        <w:t>5.8</w:t>
      </w:r>
      <w:r w:rsidRPr="004D0DAA">
        <w:rPr>
          <w:rFonts w:ascii="Calibri" w:hAnsi="Calibri"/>
          <w:sz w:val="22"/>
          <w:szCs w:val="22"/>
          <w:lang w:val="en-US"/>
        </w:rPr>
        <w:tab/>
      </w:r>
      <w:r w:rsidRPr="004D0DAA">
        <w:t>DTM Handover</w:t>
      </w:r>
      <w:r w:rsidRPr="004D0DAA">
        <w:tab/>
      </w:r>
      <w:r w:rsidRPr="004D0DAA">
        <w:fldChar w:fldCharType="begin" w:fldLock="1"/>
      </w:r>
      <w:r w:rsidRPr="004D0DAA">
        <w:instrText xml:space="preserve"> PAGEREF _Toc516669292 \h </w:instrText>
      </w:r>
      <w:r w:rsidRPr="004D0DAA">
        <w:fldChar w:fldCharType="separate"/>
      </w:r>
      <w:r w:rsidRPr="004D0DAA">
        <w:t>74</w:t>
      </w:r>
      <w:r w:rsidRPr="004D0DAA">
        <w:fldChar w:fldCharType="end"/>
      </w:r>
    </w:p>
    <w:p w14:paraId="5440D223" w14:textId="77777777" w:rsidR="00683705" w:rsidRPr="004D0DAA" w:rsidRDefault="00683705">
      <w:pPr>
        <w:pStyle w:val="TOC2"/>
        <w:rPr>
          <w:rFonts w:ascii="Calibri" w:hAnsi="Calibri"/>
          <w:sz w:val="22"/>
          <w:szCs w:val="22"/>
          <w:lang w:val="en-US"/>
        </w:rPr>
      </w:pPr>
      <w:r w:rsidRPr="004D0DAA">
        <w:t>5.9</w:t>
      </w:r>
      <w:r w:rsidRPr="004D0DAA">
        <w:rPr>
          <w:rFonts w:ascii="Calibri" w:hAnsi="Calibri"/>
          <w:sz w:val="22"/>
          <w:szCs w:val="22"/>
          <w:lang w:val="en-US"/>
        </w:rPr>
        <w:tab/>
      </w:r>
      <w:r w:rsidRPr="004D0DAA">
        <w:t>Downlink Dual Carrier</w:t>
      </w:r>
      <w:r w:rsidRPr="004D0DAA">
        <w:tab/>
      </w:r>
      <w:r w:rsidRPr="004D0DAA">
        <w:fldChar w:fldCharType="begin" w:fldLock="1"/>
      </w:r>
      <w:r w:rsidRPr="004D0DAA">
        <w:instrText xml:space="preserve"> PAGEREF _Toc516669293 \h </w:instrText>
      </w:r>
      <w:r w:rsidRPr="004D0DAA">
        <w:fldChar w:fldCharType="separate"/>
      </w:r>
      <w:r w:rsidRPr="004D0DAA">
        <w:t>74</w:t>
      </w:r>
      <w:r w:rsidRPr="004D0DAA">
        <w:fldChar w:fldCharType="end"/>
      </w:r>
    </w:p>
    <w:p w14:paraId="55CA75BC" w14:textId="77777777" w:rsidR="00683705" w:rsidRPr="004D0DAA" w:rsidRDefault="00683705">
      <w:pPr>
        <w:pStyle w:val="TOC2"/>
        <w:rPr>
          <w:rFonts w:ascii="Calibri" w:hAnsi="Calibri"/>
          <w:sz w:val="22"/>
          <w:szCs w:val="22"/>
          <w:lang w:val="en-US"/>
        </w:rPr>
      </w:pPr>
      <w:r w:rsidRPr="004D0DAA">
        <w:t>5.10</w:t>
      </w:r>
      <w:r w:rsidRPr="004D0DAA">
        <w:rPr>
          <w:rFonts w:ascii="Calibri" w:hAnsi="Calibri"/>
          <w:sz w:val="22"/>
          <w:szCs w:val="22"/>
          <w:lang w:val="en-US"/>
        </w:rPr>
        <w:tab/>
      </w:r>
      <w:r w:rsidRPr="004D0DAA">
        <w:t>ETWS Primary Notification</w:t>
      </w:r>
      <w:r w:rsidRPr="004D0DAA">
        <w:tab/>
      </w:r>
      <w:r w:rsidRPr="004D0DAA">
        <w:fldChar w:fldCharType="begin" w:fldLock="1"/>
      </w:r>
      <w:r w:rsidRPr="004D0DAA">
        <w:instrText xml:space="preserve"> PAGEREF _Toc516669294 \h </w:instrText>
      </w:r>
      <w:r w:rsidRPr="004D0DAA">
        <w:fldChar w:fldCharType="separate"/>
      </w:r>
      <w:r w:rsidRPr="004D0DAA">
        <w:t>74</w:t>
      </w:r>
      <w:r w:rsidRPr="004D0DAA">
        <w:fldChar w:fldCharType="end"/>
      </w:r>
    </w:p>
    <w:p w14:paraId="53139226" w14:textId="77777777" w:rsidR="00683705" w:rsidRPr="004D0DAA" w:rsidRDefault="00683705">
      <w:pPr>
        <w:pStyle w:val="TOC2"/>
        <w:rPr>
          <w:rFonts w:ascii="Calibri" w:hAnsi="Calibri"/>
          <w:sz w:val="22"/>
          <w:szCs w:val="22"/>
          <w:lang w:val="en-US"/>
        </w:rPr>
      </w:pPr>
      <w:r w:rsidRPr="004D0DAA">
        <w:t>5.11</w:t>
      </w:r>
      <w:r w:rsidRPr="004D0DAA">
        <w:rPr>
          <w:rFonts w:ascii="Calibri" w:hAnsi="Calibri"/>
          <w:sz w:val="22"/>
          <w:szCs w:val="22"/>
          <w:lang w:val="en-US"/>
        </w:rPr>
        <w:tab/>
      </w:r>
      <w:r w:rsidRPr="004D0DAA">
        <w:t>Enhanced Multiplexing for Single TBF</w:t>
      </w:r>
      <w:r w:rsidRPr="004D0DAA">
        <w:tab/>
      </w:r>
      <w:r w:rsidRPr="004D0DAA">
        <w:fldChar w:fldCharType="begin" w:fldLock="1"/>
      </w:r>
      <w:r w:rsidRPr="004D0DAA">
        <w:instrText xml:space="preserve"> PAGEREF _Toc516669295 \h </w:instrText>
      </w:r>
      <w:r w:rsidRPr="004D0DAA">
        <w:fldChar w:fldCharType="separate"/>
      </w:r>
      <w:r w:rsidRPr="004D0DAA">
        <w:t>74</w:t>
      </w:r>
      <w:r w:rsidRPr="004D0DAA">
        <w:fldChar w:fldCharType="end"/>
      </w:r>
    </w:p>
    <w:p w14:paraId="30DAA861" w14:textId="77777777" w:rsidR="00683705" w:rsidRPr="004D0DAA" w:rsidRDefault="00683705">
      <w:pPr>
        <w:pStyle w:val="TOC3"/>
        <w:rPr>
          <w:rFonts w:ascii="Calibri" w:hAnsi="Calibri"/>
          <w:sz w:val="22"/>
          <w:szCs w:val="22"/>
          <w:lang w:val="en-US"/>
        </w:rPr>
      </w:pPr>
      <w:r w:rsidRPr="004D0DAA">
        <w:t>5.12</w:t>
      </w:r>
      <w:r w:rsidRPr="004D0DAA">
        <w:rPr>
          <w:rFonts w:ascii="Calibri" w:hAnsi="Calibri"/>
          <w:sz w:val="22"/>
          <w:szCs w:val="22"/>
          <w:lang w:val="en-US"/>
        </w:rPr>
        <w:tab/>
      </w:r>
      <w:r w:rsidRPr="004D0DAA">
        <w:t>Enhanced Multiplexing for a Single RLC Entity</w:t>
      </w:r>
      <w:r w:rsidRPr="004D0DAA">
        <w:tab/>
      </w:r>
      <w:r w:rsidRPr="004D0DAA">
        <w:fldChar w:fldCharType="begin" w:fldLock="1"/>
      </w:r>
      <w:r w:rsidRPr="004D0DAA">
        <w:instrText xml:space="preserve"> PAGEREF _Toc516669296 \h </w:instrText>
      </w:r>
      <w:r w:rsidRPr="004D0DAA">
        <w:fldChar w:fldCharType="separate"/>
      </w:r>
      <w:r w:rsidRPr="004D0DAA">
        <w:t>75</w:t>
      </w:r>
      <w:r w:rsidRPr="004D0DAA">
        <w:fldChar w:fldCharType="end"/>
      </w:r>
    </w:p>
    <w:p w14:paraId="4F7A4C48" w14:textId="77777777" w:rsidR="00683705" w:rsidRPr="004D0DAA" w:rsidRDefault="00683705">
      <w:pPr>
        <w:pStyle w:val="TOC2"/>
        <w:rPr>
          <w:rFonts w:ascii="Calibri" w:hAnsi="Calibri"/>
          <w:sz w:val="22"/>
          <w:szCs w:val="22"/>
          <w:lang w:val="en-US"/>
        </w:rPr>
      </w:pPr>
      <w:r w:rsidRPr="004D0DAA">
        <w:t>5.13</w:t>
      </w:r>
      <w:r w:rsidRPr="004D0DAA">
        <w:rPr>
          <w:rFonts w:ascii="Calibri" w:hAnsi="Calibri"/>
          <w:sz w:val="22"/>
          <w:szCs w:val="22"/>
          <w:lang w:val="en-US"/>
        </w:rPr>
        <w:tab/>
      </w:r>
      <w:r w:rsidRPr="004D0DAA">
        <w:t>Downlink Multi Carrier</w:t>
      </w:r>
      <w:r w:rsidRPr="004D0DAA">
        <w:tab/>
      </w:r>
      <w:r w:rsidRPr="004D0DAA">
        <w:fldChar w:fldCharType="begin" w:fldLock="1"/>
      </w:r>
      <w:r w:rsidRPr="004D0DAA">
        <w:instrText xml:space="preserve"> PAGEREF _Toc516669297 \h </w:instrText>
      </w:r>
      <w:r w:rsidRPr="004D0DAA">
        <w:fldChar w:fldCharType="separate"/>
      </w:r>
      <w:r w:rsidRPr="004D0DAA">
        <w:t>76</w:t>
      </w:r>
      <w:r w:rsidRPr="004D0DAA">
        <w:fldChar w:fldCharType="end"/>
      </w:r>
    </w:p>
    <w:p w14:paraId="21CD4518" w14:textId="77777777" w:rsidR="00683705" w:rsidRPr="004D0DAA" w:rsidRDefault="00683705">
      <w:pPr>
        <w:pStyle w:val="TOC1"/>
        <w:rPr>
          <w:rFonts w:ascii="Calibri" w:hAnsi="Calibri"/>
          <w:szCs w:val="22"/>
          <w:lang w:val="en-US"/>
        </w:rPr>
      </w:pPr>
      <w:r w:rsidRPr="004D0DAA">
        <w:t>6</w:t>
      </w:r>
      <w:r w:rsidRPr="004D0DAA">
        <w:rPr>
          <w:rFonts w:ascii="Calibri" w:hAnsi="Calibri"/>
          <w:szCs w:val="22"/>
          <w:lang w:val="en-US"/>
        </w:rPr>
        <w:tab/>
      </w:r>
      <w:r w:rsidRPr="004D0DAA">
        <w:t>Paging procedures</w:t>
      </w:r>
      <w:r w:rsidRPr="004D0DAA">
        <w:tab/>
      </w:r>
      <w:r w:rsidRPr="004D0DAA">
        <w:fldChar w:fldCharType="begin" w:fldLock="1"/>
      </w:r>
      <w:r w:rsidRPr="004D0DAA">
        <w:instrText xml:space="preserve"> PAGEREF _Toc516669298 \h </w:instrText>
      </w:r>
      <w:r w:rsidRPr="004D0DAA">
        <w:fldChar w:fldCharType="separate"/>
      </w:r>
      <w:r w:rsidRPr="004D0DAA">
        <w:t>77</w:t>
      </w:r>
      <w:r w:rsidRPr="004D0DAA">
        <w:fldChar w:fldCharType="end"/>
      </w:r>
    </w:p>
    <w:p w14:paraId="5AE06283" w14:textId="77777777" w:rsidR="00683705" w:rsidRPr="004D0DAA" w:rsidRDefault="00683705">
      <w:pPr>
        <w:pStyle w:val="TOC2"/>
        <w:rPr>
          <w:rFonts w:ascii="Calibri" w:hAnsi="Calibri"/>
          <w:sz w:val="22"/>
          <w:szCs w:val="22"/>
          <w:lang w:val="en-US"/>
        </w:rPr>
      </w:pPr>
      <w:r w:rsidRPr="004D0DAA">
        <w:t>6.1</w:t>
      </w:r>
      <w:r w:rsidRPr="004D0DAA">
        <w:rPr>
          <w:rFonts w:ascii="Calibri" w:hAnsi="Calibri"/>
          <w:sz w:val="22"/>
          <w:szCs w:val="22"/>
          <w:lang w:val="en-US"/>
        </w:rPr>
        <w:tab/>
      </w:r>
      <w:r w:rsidRPr="004D0DAA">
        <w:t>Paging procedure for RR connection establishment</w:t>
      </w:r>
      <w:r w:rsidRPr="004D0DAA">
        <w:tab/>
      </w:r>
      <w:r w:rsidRPr="004D0DAA">
        <w:fldChar w:fldCharType="begin" w:fldLock="1"/>
      </w:r>
      <w:r w:rsidRPr="004D0DAA">
        <w:instrText xml:space="preserve"> PAGEREF _Toc516669299 \h </w:instrText>
      </w:r>
      <w:r w:rsidRPr="004D0DAA">
        <w:fldChar w:fldCharType="separate"/>
      </w:r>
      <w:r w:rsidRPr="004D0DAA">
        <w:t>77</w:t>
      </w:r>
      <w:r w:rsidRPr="004D0DAA">
        <w:fldChar w:fldCharType="end"/>
      </w:r>
    </w:p>
    <w:p w14:paraId="6D302FA7" w14:textId="77777777" w:rsidR="00683705" w:rsidRPr="004D0DAA" w:rsidRDefault="00683705">
      <w:pPr>
        <w:pStyle w:val="TOC3"/>
        <w:rPr>
          <w:rFonts w:ascii="Calibri" w:hAnsi="Calibri"/>
          <w:sz w:val="22"/>
          <w:szCs w:val="22"/>
          <w:lang w:val="en-US"/>
        </w:rPr>
      </w:pPr>
      <w:r w:rsidRPr="004D0DAA">
        <w:t>6.1.1</w:t>
      </w:r>
      <w:r w:rsidRPr="004D0DAA">
        <w:rPr>
          <w:rFonts w:ascii="Calibri" w:hAnsi="Calibri"/>
          <w:sz w:val="22"/>
          <w:szCs w:val="22"/>
          <w:lang w:val="en-US"/>
        </w:rPr>
        <w:tab/>
      </w:r>
      <w:r w:rsidRPr="004D0DAA">
        <w:t>Paging initiation using paging subchannel on CCCH</w:t>
      </w:r>
      <w:r w:rsidRPr="004D0DAA">
        <w:tab/>
      </w:r>
      <w:r w:rsidRPr="004D0DAA">
        <w:fldChar w:fldCharType="begin" w:fldLock="1"/>
      </w:r>
      <w:r w:rsidRPr="004D0DAA">
        <w:instrText xml:space="preserve"> PAGEREF _Toc516669300 \h </w:instrText>
      </w:r>
      <w:r w:rsidRPr="004D0DAA">
        <w:fldChar w:fldCharType="separate"/>
      </w:r>
      <w:r w:rsidRPr="004D0DAA">
        <w:t>77</w:t>
      </w:r>
      <w:r w:rsidRPr="004D0DAA">
        <w:fldChar w:fldCharType="end"/>
      </w:r>
    </w:p>
    <w:p w14:paraId="6CA1015E" w14:textId="77777777" w:rsidR="00683705" w:rsidRPr="004D0DAA" w:rsidRDefault="00683705">
      <w:pPr>
        <w:pStyle w:val="TOC3"/>
        <w:rPr>
          <w:rFonts w:ascii="Calibri" w:hAnsi="Calibri"/>
          <w:sz w:val="22"/>
          <w:szCs w:val="22"/>
          <w:lang w:val="en-US"/>
        </w:rPr>
      </w:pPr>
      <w:r w:rsidRPr="004D0DAA">
        <w:t>6.1.2</w:t>
      </w:r>
      <w:r w:rsidRPr="004D0DAA">
        <w:rPr>
          <w:rFonts w:ascii="Calibri" w:hAnsi="Calibri"/>
          <w:sz w:val="22"/>
          <w:szCs w:val="22"/>
          <w:lang w:val="en-US"/>
        </w:rPr>
        <w:tab/>
      </w:r>
      <w:r w:rsidRPr="004D0DAA">
        <w:t>Paging initiation using paging subchannel on PCCCH</w:t>
      </w:r>
      <w:r w:rsidRPr="004D0DAA">
        <w:tab/>
      </w:r>
      <w:r w:rsidRPr="004D0DAA">
        <w:fldChar w:fldCharType="begin" w:fldLock="1"/>
      </w:r>
      <w:r w:rsidRPr="004D0DAA">
        <w:instrText xml:space="preserve"> PAGEREF _Toc516669301 \h </w:instrText>
      </w:r>
      <w:r w:rsidRPr="004D0DAA">
        <w:fldChar w:fldCharType="separate"/>
      </w:r>
      <w:r w:rsidRPr="004D0DAA">
        <w:t>77</w:t>
      </w:r>
      <w:r w:rsidRPr="004D0DAA">
        <w:fldChar w:fldCharType="end"/>
      </w:r>
    </w:p>
    <w:p w14:paraId="77BE5BF8" w14:textId="77777777" w:rsidR="00683705" w:rsidRPr="004D0DAA" w:rsidRDefault="00683705">
      <w:pPr>
        <w:pStyle w:val="TOC3"/>
        <w:rPr>
          <w:rFonts w:ascii="Calibri" w:hAnsi="Calibri"/>
          <w:sz w:val="22"/>
          <w:szCs w:val="22"/>
          <w:lang w:val="en-US"/>
        </w:rPr>
      </w:pPr>
      <w:r w:rsidRPr="004D0DAA">
        <w:t>6.1.3</w:t>
      </w:r>
      <w:r w:rsidRPr="004D0DAA">
        <w:rPr>
          <w:rFonts w:ascii="Calibri" w:hAnsi="Calibri"/>
          <w:sz w:val="22"/>
          <w:szCs w:val="22"/>
          <w:lang w:val="en-US"/>
        </w:rPr>
        <w:tab/>
      </w:r>
      <w:r w:rsidRPr="004D0DAA">
        <w:t>Paging initiation using PACCH</w:t>
      </w:r>
      <w:r w:rsidRPr="004D0DAA">
        <w:tab/>
      </w:r>
      <w:r w:rsidRPr="004D0DAA">
        <w:fldChar w:fldCharType="begin" w:fldLock="1"/>
      </w:r>
      <w:r w:rsidRPr="004D0DAA">
        <w:instrText xml:space="preserve"> PAGEREF _Toc516669302 \h </w:instrText>
      </w:r>
      <w:r w:rsidRPr="004D0DAA">
        <w:fldChar w:fldCharType="separate"/>
      </w:r>
      <w:r w:rsidRPr="004D0DAA">
        <w:t>78</w:t>
      </w:r>
      <w:r w:rsidRPr="004D0DAA">
        <w:fldChar w:fldCharType="end"/>
      </w:r>
    </w:p>
    <w:p w14:paraId="5CDB3DCA" w14:textId="77777777" w:rsidR="00683705" w:rsidRPr="004D0DAA" w:rsidRDefault="00683705">
      <w:pPr>
        <w:pStyle w:val="TOC3"/>
        <w:rPr>
          <w:rFonts w:ascii="Calibri" w:hAnsi="Calibri"/>
          <w:sz w:val="22"/>
          <w:szCs w:val="22"/>
          <w:lang w:val="en-US"/>
        </w:rPr>
      </w:pPr>
      <w:r w:rsidRPr="004D0DAA">
        <w:t>6.1.4</w:t>
      </w:r>
      <w:r w:rsidRPr="004D0DAA">
        <w:rPr>
          <w:rFonts w:ascii="Calibri" w:hAnsi="Calibri"/>
          <w:sz w:val="22"/>
          <w:szCs w:val="22"/>
          <w:lang w:val="en-US"/>
        </w:rPr>
        <w:tab/>
      </w:r>
      <w:r w:rsidRPr="004D0DAA">
        <w:t>Paging response</w:t>
      </w:r>
      <w:r w:rsidRPr="004D0DAA">
        <w:tab/>
      </w:r>
      <w:r w:rsidRPr="004D0DAA">
        <w:fldChar w:fldCharType="begin" w:fldLock="1"/>
      </w:r>
      <w:r w:rsidRPr="004D0DAA">
        <w:instrText xml:space="preserve"> PAGEREF _Toc516669303 \h </w:instrText>
      </w:r>
      <w:r w:rsidRPr="004D0DAA">
        <w:fldChar w:fldCharType="separate"/>
      </w:r>
      <w:r w:rsidRPr="004D0DAA">
        <w:t>78</w:t>
      </w:r>
      <w:r w:rsidRPr="004D0DAA">
        <w:fldChar w:fldCharType="end"/>
      </w:r>
    </w:p>
    <w:p w14:paraId="61DE6298" w14:textId="77777777" w:rsidR="00683705" w:rsidRPr="004D0DAA" w:rsidRDefault="00683705">
      <w:pPr>
        <w:pStyle w:val="TOC2"/>
        <w:rPr>
          <w:rFonts w:ascii="Calibri" w:hAnsi="Calibri"/>
          <w:sz w:val="22"/>
          <w:szCs w:val="22"/>
          <w:lang w:val="en-US"/>
        </w:rPr>
      </w:pPr>
      <w:r w:rsidRPr="004D0DAA">
        <w:t>6.2</w:t>
      </w:r>
      <w:r w:rsidRPr="004D0DAA">
        <w:rPr>
          <w:rFonts w:ascii="Calibri" w:hAnsi="Calibri"/>
          <w:sz w:val="22"/>
          <w:szCs w:val="22"/>
          <w:lang w:val="en-US"/>
        </w:rPr>
        <w:tab/>
      </w:r>
      <w:r w:rsidRPr="004D0DAA">
        <w:t>Paging procedure for downlink packet transfer</w:t>
      </w:r>
      <w:r w:rsidRPr="004D0DAA">
        <w:tab/>
      </w:r>
      <w:r w:rsidRPr="004D0DAA">
        <w:fldChar w:fldCharType="begin" w:fldLock="1"/>
      </w:r>
      <w:r w:rsidRPr="004D0DAA">
        <w:instrText xml:space="preserve"> PAGEREF _Toc516669304 \h </w:instrText>
      </w:r>
      <w:r w:rsidRPr="004D0DAA">
        <w:fldChar w:fldCharType="separate"/>
      </w:r>
      <w:r w:rsidRPr="004D0DAA">
        <w:t>79</w:t>
      </w:r>
      <w:r w:rsidRPr="004D0DAA">
        <w:fldChar w:fldCharType="end"/>
      </w:r>
    </w:p>
    <w:p w14:paraId="2B7956DC" w14:textId="77777777" w:rsidR="00683705" w:rsidRPr="004D0DAA" w:rsidRDefault="00683705">
      <w:pPr>
        <w:pStyle w:val="TOC3"/>
        <w:rPr>
          <w:rFonts w:ascii="Calibri" w:hAnsi="Calibri"/>
          <w:sz w:val="22"/>
          <w:szCs w:val="22"/>
          <w:lang w:val="en-US"/>
        </w:rPr>
      </w:pPr>
      <w:r w:rsidRPr="004D0DAA">
        <w:lastRenderedPageBreak/>
        <w:t>6.2.1</w:t>
      </w:r>
      <w:r w:rsidRPr="004D0DAA">
        <w:rPr>
          <w:rFonts w:ascii="Calibri" w:hAnsi="Calibri"/>
          <w:sz w:val="22"/>
          <w:szCs w:val="22"/>
          <w:lang w:val="en-US"/>
        </w:rPr>
        <w:tab/>
      </w:r>
      <w:r w:rsidRPr="004D0DAA">
        <w:t>Paging procedure using paging subchannel on CCCH</w:t>
      </w:r>
      <w:r w:rsidRPr="004D0DAA">
        <w:tab/>
      </w:r>
      <w:r w:rsidRPr="004D0DAA">
        <w:fldChar w:fldCharType="begin" w:fldLock="1"/>
      </w:r>
      <w:r w:rsidRPr="004D0DAA">
        <w:instrText xml:space="preserve"> PAGEREF _Toc516669305 \h </w:instrText>
      </w:r>
      <w:r w:rsidRPr="004D0DAA">
        <w:fldChar w:fldCharType="separate"/>
      </w:r>
      <w:r w:rsidRPr="004D0DAA">
        <w:t>79</w:t>
      </w:r>
      <w:r w:rsidRPr="004D0DAA">
        <w:fldChar w:fldCharType="end"/>
      </w:r>
    </w:p>
    <w:p w14:paraId="6905F024" w14:textId="77777777" w:rsidR="00683705" w:rsidRPr="004D0DAA" w:rsidRDefault="00683705">
      <w:pPr>
        <w:pStyle w:val="TOC3"/>
        <w:rPr>
          <w:rFonts w:ascii="Calibri" w:hAnsi="Calibri"/>
          <w:sz w:val="22"/>
          <w:szCs w:val="22"/>
          <w:lang w:val="en-US"/>
        </w:rPr>
      </w:pPr>
      <w:r w:rsidRPr="004D0DAA">
        <w:t>6.2.2</w:t>
      </w:r>
      <w:r w:rsidRPr="004D0DAA">
        <w:rPr>
          <w:rFonts w:ascii="Calibri" w:hAnsi="Calibri"/>
          <w:sz w:val="22"/>
          <w:szCs w:val="22"/>
          <w:lang w:val="en-US"/>
        </w:rPr>
        <w:tab/>
      </w:r>
      <w:r w:rsidRPr="004D0DAA">
        <w:t>Paging using paging subchannel on PCCCH</w:t>
      </w:r>
      <w:r w:rsidRPr="004D0DAA">
        <w:tab/>
      </w:r>
      <w:r w:rsidRPr="004D0DAA">
        <w:fldChar w:fldCharType="begin" w:fldLock="1"/>
      </w:r>
      <w:r w:rsidRPr="004D0DAA">
        <w:instrText xml:space="preserve"> PAGEREF _Toc516669306 \h </w:instrText>
      </w:r>
      <w:r w:rsidRPr="004D0DAA">
        <w:fldChar w:fldCharType="separate"/>
      </w:r>
      <w:r w:rsidRPr="004D0DAA">
        <w:t>79</w:t>
      </w:r>
      <w:r w:rsidRPr="004D0DAA">
        <w:fldChar w:fldCharType="end"/>
      </w:r>
    </w:p>
    <w:p w14:paraId="23DA7417" w14:textId="77777777" w:rsidR="00683705" w:rsidRPr="004D0DAA" w:rsidRDefault="00683705">
      <w:pPr>
        <w:pStyle w:val="TOC3"/>
        <w:rPr>
          <w:rFonts w:ascii="Calibri" w:hAnsi="Calibri"/>
          <w:sz w:val="22"/>
          <w:szCs w:val="22"/>
          <w:lang w:val="en-US"/>
        </w:rPr>
      </w:pPr>
      <w:r w:rsidRPr="004D0DAA">
        <w:t>6.2.3</w:t>
      </w:r>
      <w:r w:rsidRPr="004D0DAA">
        <w:rPr>
          <w:rFonts w:ascii="Calibri" w:hAnsi="Calibri"/>
          <w:sz w:val="22"/>
          <w:szCs w:val="22"/>
          <w:lang w:val="en-US"/>
        </w:rPr>
        <w:tab/>
      </w:r>
      <w:r w:rsidRPr="004D0DAA">
        <w:t>Paging response</w:t>
      </w:r>
      <w:r w:rsidRPr="004D0DAA">
        <w:tab/>
      </w:r>
      <w:r w:rsidRPr="004D0DAA">
        <w:fldChar w:fldCharType="begin" w:fldLock="1"/>
      </w:r>
      <w:r w:rsidRPr="004D0DAA">
        <w:instrText xml:space="preserve"> PAGEREF _Toc516669307 \h </w:instrText>
      </w:r>
      <w:r w:rsidRPr="004D0DAA">
        <w:fldChar w:fldCharType="separate"/>
      </w:r>
      <w:r w:rsidRPr="004D0DAA">
        <w:t>79</w:t>
      </w:r>
      <w:r w:rsidRPr="004D0DAA">
        <w:fldChar w:fldCharType="end"/>
      </w:r>
    </w:p>
    <w:p w14:paraId="0EA4561F" w14:textId="77777777" w:rsidR="00683705" w:rsidRPr="004D0DAA" w:rsidRDefault="00683705">
      <w:pPr>
        <w:pStyle w:val="TOC3"/>
        <w:rPr>
          <w:rFonts w:ascii="Calibri" w:hAnsi="Calibri"/>
          <w:sz w:val="22"/>
          <w:szCs w:val="22"/>
          <w:lang w:val="en-US"/>
        </w:rPr>
      </w:pPr>
      <w:r w:rsidRPr="004D0DAA">
        <w:t>6.2.4</w:t>
      </w:r>
      <w:r w:rsidRPr="004D0DAA">
        <w:rPr>
          <w:rFonts w:ascii="Calibri" w:hAnsi="Calibri"/>
          <w:sz w:val="22"/>
          <w:szCs w:val="22"/>
          <w:lang w:val="en-US"/>
        </w:rPr>
        <w:tab/>
      </w:r>
      <w:r w:rsidRPr="004D0DAA">
        <w:t>Paging procedure using paging subchannel on EC-CCCH</w:t>
      </w:r>
      <w:r w:rsidRPr="004D0DAA">
        <w:tab/>
      </w:r>
      <w:r w:rsidRPr="004D0DAA">
        <w:fldChar w:fldCharType="begin" w:fldLock="1"/>
      </w:r>
      <w:r w:rsidRPr="004D0DAA">
        <w:instrText xml:space="preserve"> PAGEREF _Toc516669308 \h </w:instrText>
      </w:r>
      <w:r w:rsidRPr="004D0DAA">
        <w:fldChar w:fldCharType="separate"/>
      </w:r>
      <w:r w:rsidRPr="004D0DAA">
        <w:t>79</w:t>
      </w:r>
      <w:r w:rsidRPr="004D0DAA">
        <w:fldChar w:fldCharType="end"/>
      </w:r>
    </w:p>
    <w:p w14:paraId="5188ACD7" w14:textId="77777777" w:rsidR="00683705" w:rsidRPr="004D0DAA" w:rsidRDefault="00683705">
      <w:pPr>
        <w:pStyle w:val="TOC3"/>
        <w:rPr>
          <w:rFonts w:ascii="Calibri" w:hAnsi="Calibri"/>
          <w:sz w:val="22"/>
          <w:szCs w:val="22"/>
          <w:lang w:val="en-US"/>
        </w:rPr>
      </w:pPr>
      <w:r w:rsidRPr="004D0DAA">
        <w:t>6.3</w:t>
      </w:r>
      <w:r w:rsidRPr="004D0DAA">
        <w:rPr>
          <w:rFonts w:ascii="Calibri" w:hAnsi="Calibri"/>
          <w:sz w:val="22"/>
          <w:szCs w:val="22"/>
          <w:lang w:val="en-US"/>
        </w:rPr>
        <w:tab/>
      </w:r>
      <w:r w:rsidRPr="004D0DAA">
        <w:t>Paging Procedures for MBMS Notification</w:t>
      </w:r>
      <w:r w:rsidRPr="004D0DAA">
        <w:tab/>
      </w:r>
      <w:r w:rsidRPr="004D0DAA">
        <w:fldChar w:fldCharType="begin" w:fldLock="1"/>
      </w:r>
      <w:r w:rsidRPr="004D0DAA">
        <w:instrText xml:space="preserve"> PAGEREF _Toc516669309 \h </w:instrText>
      </w:r>
      <w:r w:rsidRPr="004D0DAA">
        <w:fldChar w:fldCharType="separate"/>
      </w:r>
      <w:r w:rsidRPr="004D0DAA">
        <w:t>79</w:t>
      </w:r>
      <w:r w:rsidRPr="004D0DAA">
        <w:fldChar w:fldCharType="end"/>
      </w:r>
    </w:p>
    <w:p w14:paraId="035B9C2F" w14:textId="77777777" w:rsidR="00683705" w:rsidRPr="004D0DAA" w:rsidRDefault="00683705">
      <w:pPr>
        <w:pStyle w:val="TOC3"/>
        <w:rPr>
          <w:rFonts w:ascii="Calibri" w:hAnsi="Calibri"/>
          <w:sz w:val="22"/>
          <w:szCs w:val="22"/>
          <w:lang w:val="en-US"/>
        </w:rPr>
      </w:pPr>
      <w:r w:rsidRPr="004D0DAA">
        <w:t>6.3.1</w:t>
      </w:r>
      <w:r w:rsidRPr="004D0DAA">
        <w:rPr>
          <w:rFonts w:ascii="Calibri" w:hAnsi="Calibri"/>
          <w:sz w:val="22"/>
          <w:szCs w:val="22"/>
          <w:lang w:val="en-US"/>
        </w:rPr>
        <w:tab/>
      </w:r>
      <w:r w:rsidRPr="004D0DAA">
        <w:t>Notification to mobile station in packet idle mode</w:t>
      </w:r>
      <w:r w:rsidRPr="004D0DAA">
        <w:tab/>
      </w:r>
      <w:r w:rsidRPr="004D0DAA">
        <w:fldChar w:fldCharType="begin" w:fldLock="1"/>
      </w:r>
      <w:r w:rsidRPr="004D0DAA">
        <w:instrText xml:space="preserve"> PAGEREF _Toc516669310 \h </w:instrText>
      </w:r>
      <w:r w:rsidRPr="004D0DAA">
        <w:fldChar w:fldCharType="separate"/>
      </w:r>
      <w:r w:rsidRPr="004D0DAA">
        <w:t>79</w:t>
      </w:r>
      <w:r w:rsidRPr="004D0DAA">
        <w:fldChar w:fldCharType="end"/>
      </w:r>
    </w:p>
    <w:p w14:paraId="6C837603" w14:textId="77777777" w:rsidR="00683705" w:rsidRPr="004D0DAA" w:rsidRDefault="00683705">
      <w:pPr>
        <w:pStyle w:val="TOC3"/>
        <w:rPr>
          <w:rFonts w:ascii="Calibri" w:hAnsi="Calibri"/>
          <w:sz w:val="22"/>
          <w:szCs w:val="22"/>
          <w:lang w:val="en-US"/>
        </w:rPr>
      </w:pPr>
      <w:r w:rsidRPr="004D0DAA">
        <w:t>6.3.1.1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_Toc516669311 \h </w:instrText>
      </w:r>
      <w:r w:rsidRPr="004D0DAA">
        <w:fldChar w:fldCharType="separate"/>
      </w:r>
      <w:r w:rsidRPr="004D0DAA">
        <w:t>79</w:t>
      </w:r>
      <w:r w:rsidRPr="004D0DAA">
        <w:fldChar w:fldCharType="end"/>
      </w:r>
    </w:p>
    <w:p w14:paraId="0A53411C" w14:textId="77777777" w:rsidR="00683705" w:rsidRPr="004D0DAA" w:rsidRDefault="00683705">
      <w:pPr>
        <w:pStyle w:val="TOC3"/>
        <w:rPr>
          <w:rFonts w:ascii="Calibri" w:hAnsi="Calibri"/>
          <w:sz w:val="22"/>
          <w:szCs w:val="22"/>
          <w:lang w:val="en-US"/>
        </w:rPr>
      </w:pPr>
      <w:r w:rsidRPr="004D0DAA">
        <w:t>6.3.1.2</w:t>
      </w:r>
      <w:r w:rsidRPr="004D0DAA">
        <w:rPr>
          <w:rFonts w:ascii="Calibri" w:hAnsi="Calibri"/>
          <w:sz w:val="22"/>
          <w:szCs w:val="22"/>
          <w:lang w:val="en-US"/>
        </w:rPr>
        <w:tab/>
      </w:r>
      <w:r w:rsidRPr="004D0DAA">
        <w:t>Paging procedure for MBMS notification using paging subchannel on CCCH</w:t>
      </w:r>
      <w:r w:rsidRPr="004D0DAA">
        <w:tab/>
      </w:r>
      <w:r w:rsidRPr="004D0DAA">
        <w:fldChar w:fldCharType="begin" w:fldLock="1"/>
      </w:r>
      <w:r w:rsidRPr="004D0DAA">
        <w:instrText xml:space="preserve"> PAGEREF _Toc516669312 \h </w:instrText>
      </w:r>
      <w:r w:rsidRPr="004D0DAA">
        <w:fldChar w:fldCharType="separate"/>
      </w:r>
      <w:r w:rsidRPr="004D0DAA">
        <w:t>80</w:t>
      </w:r>
      <w:r w:rsidRPr="004D0DAA">
        <w:fldChar w:fldCharType="end"/>
      </w:r>
    </w:p>
    <w:p w14:paraId="36F597EE" w14:textId="77777777" w:rsidR="00683705" w:rsidRPr="004D0DAA" w:rsidRDefault="00683705">
      <w:pPr>
        <w:pStyle w:val="TOC3"/>
        <w:rPr>
          <w:rFonts w:ascii="Calibri" w:hAnsi="Calibri"/>
          <w:sz w:val="22"/>
          <w:szCs w:val="22"/>
          <w:lang w:val="en-US"/>
        </w:rPr>
      </w:pPr>
      <w:r w:rsidRPr="004D0DAA">
        <w:t>6.3.1.3</w:t>
      </w:r>
      <w:r w:rsidRPr="004D0DAA">
        <w:rPr>
          <w:rFonts w:ascii="Calibri" w:hAnsi="Calibri"/>
          <w:sz w:val="22"/>
          <w:szCs w:val="22"/>
          <w:lang w:val="en-US"/>
        </w:rPr>
        <w:tab/>
      </w:r>
      <w:r w:rsidRPr="004D0DAA">
        <w:t>Paging procedure for MBMS notification using paging subchannel on PCCCH</w:t>
      </w:r>
      <w:r w:rsidRPr="004D0DAA">
        <w:tab/>
      </w:r>
      <w:r w:rsidRPr="004D0DAA">
        <w:fldChar w:fldCharType="begin" w:fldLock="1"/>
      </w:r>
      <w:r w:rsidRPr="004D0DAA">
        <w:instrText xml:space="preserve"> PAGEREF _Toc516669313 \h </w:instrText>
      </w:r>
      <w:r w:rsidRPr="004D0DAA">
        <w:fldChar w:fldCharType="separate"/>
      </w:r>
      <w:r w:rsidRPr="004D0DAA">
        <w:t>80</w:t>
      </w:r>
      <w:r w:rsidRPr="004D0DAA">
        <w:fldChar w:fldCharType="end"/>
      </w:r>
    </w:p>
    <w:p w14:paraId="06D24740" w14:textId="77777777" w:rsidR="00683705" w:rsidRPr="004D0DAA" w:rsidRDefault="00683705">
      <w:pPr>
        <w:pStyle w:val="TOC4"/>
        <w:rPr>
          <w:rFonts w:ascii="Calibri" w:hAnsi="Calibri"/>
          <w:sz w:val="22"/>
          <w:szCs w:val="22"/>
          <w:lang w:val="en-US"/>
        </w:rPr>
      </w:pPr>
      <w:r w:rsidRPr="004D0DAA">
        <w:t>6.3.1.3.1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_Toc516669314 \h </w:instrText>
      </w:r>
      <w:r w:rsidRPr="004D0DAA">
        <w:fldChar w:fldCharType="separate"/>
      </w:r>
      <w:r w:rsidRPr="004D0DAA">
        <w:t>80</w:t>
      </w:r>
      <w:r w:rsidRPr="004D0DAA">
        <w:fldChar w:fldCharType="end"/>
      </w:r>
    </w:p>
    <w:p w14:paraId="4C042828" w14:textId="77777777" w:rsidR="00683705" w:rsidRPr="004D0DAA" w:rsidRDefault="00683705">
      <w:pPr>
        <w:pStyle w:val="TOC4"/>
        <w:rPr>
          <w:rFonts w:ascii="Calibri" w:hAnsi="Calibri"/>
          <w:sz w:val="22"/>
          <w:szCs w:val="22"/>
          <w:lang w:val="en-US"/>
        </w:rPr>
      </w:pPr>
      <w:r w:rsidRPr="004D0DAA">
        <w:t>6.3.1.3.2</w:t>
      </w:r>
      <w:r w:rsidRPr="004D0DAA">
        <w:rPr>
          <w:rFonts w:ascii="Calibri" w:hAnsi="Calibri"/>
          <w:sz w:val="22"/>
          <w:szCs w:val="22"/>
          <w:lang w:val="en-US"/>
        </w:rPr>
        <w:tab/>
      </w:r>
      <w:r w:rsidRPr="004D0DAA">
        <w:rPr>
          <w:lang w:eastAsia="ko-KR"/>
        </w:rPr>
        <w:t>MBMS pre-notification</w:t>
      </w:r>
      <w:r w:rsidRPr="004D0DAA">
        <w:tab/>
      </w:r>
      <w:r w:rsidRPr="004D0DAA">
        <w:fldChar w:fldCharType="begin" w:fldLock="1"/>
      </w:r>
      <w:r w:rsidRPr="004D0DAA">
        <w:instrText xml:space="preserve"> PAGEREF _Toc516669315 \h </w:instrText>
      </w:r>
      <w:r w:rsidRPr="004D0DAA">
        <w:fldChar w:fldCharType="separate"/>
      </w:r>
      <w:r w:rsidRPr="004D0DAA">
        <w:t>80</w:t>
      </w:r>
      <w:r w:rsidRPr="004D0DAA">
        <w:fldChar w:fldCharType="end"/>
      </w:r>
    </w:p>
    <w:p w14:paraId="5685726D" w14:textId="77777777" w:rsidR="00683705" w:rsidRPr="004D0DAA" w:rsidRDefault="00683705">
      <w:pPr>
        <w:pStyle w:val="TOC4"/>
        <w:rPr>
          <w:rFonts w:ascii="Calibri" w:hAnsi="Calibri"/>
          <w:sz w:val="22"/>
          <w:szCs w:val="22"/>
          <w:lang w:val="en-US"/>
        </w:rPr>
      </w:pPr>
      <w:r w:rsidRPr="004D0DAA">
        <w:t>6.3.1.3.3</w:t>
      </w:r>
      <w:r w:rsidRPr="004D0DAA">
        <w:rPr>
          <w:rFonts w:ascii="Calibri" w:hAnsi="Calibri"/>
          <w:sz w:val="22"/>
          <w:szCs w:val="22"/>
          <w:lang w:val="en-US"/>
        </w:rPr>
        <w:tab/>
      </w:r>
      <w:r w:rsidRPr="004D0DAA">
        <w:rPr>
          <w:lang w:eastAsia="ko-KR"/>
        </w:rPr>
        <w:t>MBMS notification</w:t>
      </w:r>
      <w:r w:rsidRPr="004D0DAA">
        <w:tab/>
      </w:r>
      <w:r w:rsidRPr="004D0DAA">
        <w:fldChar w:fldCharType="begin" w:fldLock="1"/>
      </w:r>
      <w:r w:rsidRPr="004D0DAA">
        <w:instrText xml:space="preserve"> PAGEREF _Toc516669316 \h </w:instrText>
      </w:r>
      <w:r w:rsidRPr="004D0DAA">
        <w:fldChar w:fldCharType="separate"/>
      </w:r>
      <w:r w:rsidRPr="004D0DAA">
        <w:t>81</w:t>
      </w:r>
      <w:r w:rsidRPr="004D0DAA">
        <w:fldChar w:fldCharType="end"/>
      </w:r>
    </w:p>
    <w:p w14:paraId="5883AF04" w14:textId="77777777" w:rsidR="00683705" w:rsidRPr="004D0DAA" w:rsidRDefault="00683705">
      <w:pPr>
        <w:pStyle w:val="TOC3"/>
        <w:rPr>
          <w:rFonts w:ascii="Calibri" w:hAnsi="Calibri"/>
          <w:sz w:val="22"/>
          <w:szCs w:val="22"/>
          <w:lang w:val="en-US"/>
        </w:rPr>
      </w:pPr>
      <w:r w:rsidRPr="004D0DAA">
        <w:t>6.3.1.3a</w:t>
      </w:r>
      <w:r w:rsidRPr="004D0DAA">
        <w:rPr>
          <w:rFonts w:ascii="Calibri" w:hAnsi="Calibri"/>
          <w:sz w:val="22"/>
          <w:szCs w:val="22"/>
          <w:lang w:val="en-US"/>
        </w:rPr>
        <w:tab/>
      </w:r>
      <w:r w:rsidRPr="004D0DAA">
        <w:t>Paging procedure for MBMS notification using PACCH</w:t>
      </w:r>
      <w:r w:rsidRPr="004D0DAA">
        <w:tab/>
      </w:r>
      <w:r w:rsidRPr="004D0DAA">
        <w:fldChar w:fldCharType="begin" w:fldLock="1"/>
      </w:r>
      <w:r w:rsidRPr="004D0DAA">
        <w:instrText xml:space="preserve"> PAGEREF _Toc516669317 \h </w:instrText>
      </w:r>
      <w:r w:rsidRPr="004D0DAA">
        <w:fldChar w:fldCharType="separate"/>
      </w:r>
      <w:r w:rsidRPr="004D0DAA">
        <w:t>81</w:t>
      </w:r>
      <w:r w:rsidRPr="004D0DAA">
        <w:fldChar w:fldCharType="end"/>
      </w:r>
    </w:p>
    <w:p w14:paraId="4EDE0A1D" w14:textId="77777777" w:rsidR="00683705" w:rsidRPr="004D0DAA" w:rsidRDefault="00683705">
      <w:pPr>
        <w:pStyle w:val="TOC3"/>
        <w:rPr>
          <w:rFonts w:ascii="Calibri" w:hAnsi="Calibri"/>
          <w:sz w:val="22"/>
          <w:szCs w:val="22"/>
          <w:lang w:val="en-US"/>
        </w:rPr>
      </w:pPr>
      <w:r w:rsidRPr="004D0DAA">
        <w:t>6.3.1.4</w:t>
      </w:r>
      <w:r w:rsidRPr="004D0DAA">
        <w:rPr>
          <w:rFonts w:ascii="Calibri" w:hAnsi="Calibri"/>
          <w:sz w:val="22"/>
          <w:szCs w:val="22"/>
          <w:lang w:val="en-US"/>
        </w:rPr>
        <w:tab/>
      </w:r>
      <w:r w:rsidRPr="004D0DAA">
        <w:t>Response to MBMS Notification</w:t>
      </w:r>
      <w:r w:rsidRPr="004D0DAA">
        <w:tab/>
      </w:r>
      <w:r w:rsidRPr="004D0DAA">
        <w:fldChar w:fldCharType="begin" w:fldLock="1"/>
      </w:r>
      <w:r w:rsidRPr="004D0DAA">
        <w:instrText xml:space="preserve"> PAGEREF _Toc516669318 \h </w:instrText>
      </w:r>
      <w:r w:rsidRPr="004D0DAA">
        <w:fldChar w:fldCharType="separate"/>
      </w:r>
      <w:r w:rsidRPr="004D0DAA">
        <w:t>82</w:t>
      </w:r>
      <w:r w:rsidRPr="004D0DAA">
        <w:fldChar w:fldCharType="end"/>
      </w:r>
    </w:p>
    <w:p w14:paraId="3736D653" w14:textId="77777777" w:rsidR="00683705" w:rsidRPr="004D0DAA" w:rsidRDefault="00683705">
      <w:pPr>
        <w:pStyle w:val="TOC3"/>
        <w:rPr>
          <w:rFonts w:ascii="Calibri" w:hAnsi="Calibri"/>
          <w:sz w:val="22"/>
          <w:szCs w:val="22"/>
          <w:lang w:val="en-US"/>
        </w:rPr>
      </w:pPr>
      <w:r w:rsidRPr="004D0DAA">
        <w:t>6.3.2</w:t>
      </w:r>
      <w:r w:rsidRPr="004D0DAA">
        <w:rPr>
          <w:rFonts w:ascii="Calibri" w:hAnsi="Calibri"/>
          <w:sz w:val="22"/>
          <w:szCs w:val="22"/>
          <w:lang w:val="en-US"/>
        </w:rPr>
        <w:tab/>
      </w:r>
      <w:r w:rsidRPr="004D0DAA">
        <w:t>Notification to mobile station in packet transfer mode or in dual transfer mode</w:t>
      </w:r>
      <w:r w:rsidRPr="004D0DAA">
        <w:tab/>
      </w:r>
      <w:r w:rsidRPr="004D0DAA">
        <w:fldChar w:fldCharType="begin" w:fldLock="1"/>
      </w:r>
      <w:r w:rsidRPr="004D0DAA">
        <w:instrText xml:space="preserve"> PAGEREF _Toc516669319 \h </w:instrText>
      </w:r>
      <w:r w:rsidRPr="004D0DAA">
        <w:fldChar w:fldCharType="separate"/>
      </w:r>
      <w:r w:rsidRPr="004D0DAA">
        <w:t>82</w:t>
      </w:r>
      <w:r w:rsidRPr="004D0DAA">
        <w:fldChar w:fldCharType="end"/>
      </w:r>
    </w:p>
    <w:p w14:paraId="4DC8F52F" w14:textId="77777777" w:rsidR="00683705" w:rsidRPr="004D0DAA" w:rsidRDefault="00683705">
      <w:pPr>
        <w:pStyle w:val="TOC4"/>
        <w:rPr>
          <w:rFonts w:ascii="Calibri" w:hAnsi="Calibri"/>
          <w:sz w:val="22"/>
          <w:szCs w:val="22"/>
          <w:lang w:val="en-US"/>
        </w:rPr>
      </w:pPr>
      <w:r w:rsidRPr="004D0DAA">
        <w:t>6.3.2.1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_Toc516669320 \h </w:instrText>
      </w:r>
      <w:r w:rsidRPr="004D0DAA">
        <w:fldChar w:fldCharType="separate"/>
      </w:r>
      <w:r w:rsidRPr="004D0DAA">
        <w:t>82</w:t>
      </w:r>
      <w:r w:rsidRPr="004D0DAA">
        <w:fldChar w:fldCharType="end"/>
      </w:r>
    </w:p>
    <w:p w14:paraId="3172ED68" w14:textId="77777777" w:rsidR="00683705" w:rsidRPr="004D0DAA" w:rsidRDefault="00683705">
      <w:pPr>
        <w:pStyle w:val="TOC4"/>
        <w:rPr>
          <w:rFonts w:ascii="Calibri" w:hAnsi="Calibri"/>
          <w:sz w:val="22"/>
          <w:szCs w:val="22"/>
          <w:lang w:val="en-US"/>
        </w:rPr>
      </w:pPr>
      <w:r w:rsidRPr="004D0DAA">
        <w:t>6.3.2.2</w:t>
      </w:r>
      <w:r w:rsidRPr="004D0DAA">
        <w:rPr>
          <w:rFonts w:ascii="Calibri" w:hAnsi="Calibri"/>
          <w:sz w:val="22"/>
          <w:szCs w:val="22"/>
          <w:lang w:val="en-US"/>
        </w:rPr>
        <w:tab/>
      </w:r>
      <w:r w:rsidRPr="004D0DAA">
        <w:t>MBMS Notification using the PACCH</w:t>
      </w:r>
      <w:r w:rsidRPr="004D0DAA">
        <w:tab/>
      </w:r>
      <w:r w:rsidRPr="004D0DAA">
        <w:fldChar w:fldCharType="begin" w:fldLock="1"/>
      </w:r>
      <w:r w:rsidRPr="004D0DAA">
        <w:instrText xml:space="preserve"> PAGEREF _Toc516669321 \h </w:instrText>
      </w:r>
      <w:r w:rsidRPr="004D0DAA">
        <w:fldChar w:fldCharType="separate"/>
      </w:r>
      <w:r w:rsidRPr="004D0DAA">
        <w:t>82</w:t>
      </w:r>
      <w:r w:rsidRPr="004D0DAA">
        <w:fldChar w:fldCharType="end"/>
      </w:r>
    </w:p>
    <w:p w14:paraId="210A86C0" w14:textId="77777777" w:rsidR="00683705" w:rsidRPr="004D0DAA" w:rsidRDefault="00683705">
      <w:pPr>
        <w:pStyle w:val="TOC4"/>
        <w:rPr>
          <w:rFonts w:ascii="Calibri" w:hAnsi="Calibri"/>
          <w:sz w:val="22"/>
          <w:szCs w:val="22"/>
          <w:lang w:val="en-US"/>
        </w:rPr>
      </w:pPr>
      <w:r w:rsidRPr="004D0DAA">
        <w:t>6.3.2.3</w:t>
      </w:r>
      <w:r w:rsidRPr="004D0DAA">
        <w:rPr>
          <w:rFonts w:ascii="Calibri" w:hAnsi="Calibri"/>
          <w:sz w:val="22"/>
          <w:szCs w:val="22"/>
          <w:lang w:val="en-US"/>
        </w:rPr>
        <w:tab/>
      </w:r>
      <w:r w:rsidRPr="004D0DAA">
        <w:t>Response to MBMS Notification received on PACCH</w:t>
      </w:r>
      <w:r w:rsidRPr="004D0DAA">
        <w:tab/>
      </w:r>
      <w:r w:rsidRPr="004D0DAA">
        <w:fldChar w:fldCharType="begin" w:fldLock="1"/>
      </w:r>
      <w:r w:rsidRPr="004D0DAA">
        <w:instrText xml:space="preserve"> PAGEREF _Toc516669322 \h </w:instrText>
      </w:r>
      <w:r w:rsidRPr="004D0DAA">
        <w:fldChar w:fldCharType="separate"/>
      </w:r>
      <w:r w:rsidRPr="004D0DAA">
        <w:t>83</w:t>
      </w:r>
      <w:r w:rsidRPr="004D0DAA">
        <w:fldChar w:fldCharType="end"/>
      </w:r>
    </w:p>
    <w:p w14:paraId="2BE030AB" w14:textId="77777777" w:rsidR="00683705" w:rsidRPr="004D0DAA" w:rsidRDefault="00683705">
      <w:pPr>
        <w:pStyle w:val="TOC2"/>
        <w:rPr>
          <w:rFonts w:ascii="Calibri" w:hAnsi="Calibri"/>
          <w:sz w:val="22"/>
          <w:szCs w:val="22"/>
          <w:lang w:val="en-US"/>
        </w:rPr>
      </w:pPr>
      <w:r w:rsidRPr="004D0DAA">
        <w:t>6.4</w:t>
      </w:r>
      <w:r w:rsidRPr="004D0DAA">
        <w:rPr>
          <w:rFonts w:ascii="Calibri" w:hAnsi="Calibri"/>
          <w:sz w:val="22"/>
          <w:szCs w:val="22"/>
          <w:lang w:val="en-US"/>
        </w:rPr>
        <w:tab/>
      </w:r>
      <w:r w:rsidRPr="004D0DAA">
        <w:t>Paging Procedure for ETWS Primary Notification delivery</w:t>
      </w:r>
      <w:r w:rsidRPr="004D0DAA">
        <w:tab/>
      </w:r>
      <w:r w:rsidRPr="004D0DAA">
        <w:fldChar w:fldCharType="begin" w:fldLock="1"/>
      </w:r>
      <w:r w:rsidRPr="004D0DAA">
        <w:instrText xml:space="preserve"> PAGEREF _Toc516669323 \h </w:instrText>
      </w:r>
      <w:r w:rsidRPr="004D0DAA">
        <w:fldChar w:fldCharType="separate"/>
      </w:r>
      <w:r w:rsidRPr="004D0DAA">
        <w:t>83</w:t>
      </w:r>
      <w:r w:rsidRPr="004D0DAA">
        <w:fldChar w:fldCharType="end"/>
      </w:r>
    </w:p>
    <w:p w14:paraId="52B7DD72" w14:textId="77777777" w:rsidR="00683705" w:rsidRPr="004D0DAA" w:rsidRDefault="00683705">
      <w:pPr>
        <w:pStyle w:val="TOC3"/>
        <w:rPr>
          <w:rFonts w:ascii="Calibri" w:hAnsi="Calibri"/>
          <w:sz w:val="22"/>
          <w:szCs w:val="22"/>
          <w:lang w:val="en-US"/>
        </w:rPr>
      </w:pPr>
      <w:r w:rsidRPr="004D0DAA">
        <w:t>6.4.1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_Toc516669324 \h </w:instrText>
      </w:r>
      <w:r w:rsidRPr="004D0DAA">
        <w:fldChar w:fldCharType="separate"/>
      </w:r>
      <w:r w:rsidRPr="004D0DAA">
        <w:t>83</w:t>
      </w:r>
      <w:r w:rsidRPr="004D0DAA">
        <w:fldChar w:fldCharType="end"/>
      </w:r>
    </w:p>
    <w:p w14:paraId="72B749A2" w14:textId="77777777" w:rsidR="00683705" w:rsidRPr="004D0DAA" w:rsidRDefault="00683705">
      <w:pPr>
        <w:pStyle w:val="TOC3"/>
        <w:rPr>
          <w:rFonts w:ascii="Calibri" w:hAnsi="Calibri"/>
          <w:sz w:val="22"/>
          <w:szCs w:val="22"/>
          <w:lang w:val="en-US"/>
        </w:rPr>
      </w:pPr>
      <w:r w:rsidRPr="004D0DAA">
        <w:t>6.4.2</w:t>
      </w:r>
      <w:r w:rsidRPr="004D0DAA">
        <w:rPr>
          <w:rFonts w:ascii="Calibri" w:hAnsi="Calibri"/>
          <w:sz w:val="22"/>
          <w:szCs w:val="22"/>
          <w:lang w:val="en-US"/>
        </w:rPr>
        <w:tab/>
      </w:r>
      <w:r w:rsidRPr="004D0DAA">
        <w:t>ETWS Primary Notification delivery using paging subchannel on CCCH</w:t>
      </w:r>
      <w:r w:rsidRPr="004D0DAA">
        <w:tab/>
      </w:r>
      <w:r w:rsidRPr="004D0DAA">
        <w:fldChar w:fldCharType="begin" w:fldLock="1"/>
      </w:r>
      <w:r w:rsidRPr="004D0DAA">
        <w:instrText xml:space="preserve"> PAGEREF _Toc516669325 \h </w:instrText>
      </w:r>
      <w:r w:rsidRPr="004D0DAA">
        <w:fldChar w:fldCharType="separate"/>
      </w:r>
      <w:r w:rsidRPr="004D0DAA">
        <w:t>83</w:t>
      </w:r>
      <w:r w:rsidRPr="004D0DAA">
        <w:fldChar w:fldCharType="end"/>
      </w:r>
    </w:p>
    <w:p w14:paraId="7C90C947" w14:textId="77777777" w:rsidR="00683705" w:rsidRPr="004D0DAA" w:rsidRDefault="00683705">
      <w:pPr>
        <w:pStyle w:val="TOC3"/>
        <w:rPr>
          <w:rFonts w:ascii="Calibri" w:hAnsi="Calibri"/>
          <w:sz w:val="22"/>
          <w:szCs w:val="22"/>
          <w:lang w:val="en-US"/>
        </w:rPr>
      </w:pPr>
      <w:r w:rsidRPr="004D0DAA">
        <w:t>6.4.3</w:t>
      </w:r>
      <w:r w:rsidRPr="004D0DAA">
        <w:rPr>
          <w:rFonts w:ascii="Calibri" w:hAnsi="Calibri"/>
          <w:sz w:val="22"/>
          <w:szCs w:val="22"/>
          <w:lang w:val="en-US"/>
        </w:rPr>
        <w:tab/>
      </w:r>
      <w:r w:rsidRPr="004D0DAA">
        <w:t>ETWS Primary Notification delivery using paging subchannel on PCCCH</w:t>
      </w:r>
      <w:r w:rsidRPr="004D0DAA">
        <w:tab/>
      </w:r>
      <w:r w:rsidRPr="004D0DAA">
        <w:fldChar w:fldCharType="begin" w:fldLock="1"/>
      </w:r>
      <w:r w:rsidRPr="004D0DAA">
        <w:instrText xml:space="preserve"> PAGEREF _Toc516669326 \h </w:instrText>
      </w:r>
      <w:r w:rsidRPr="004D0DAA">
        <w:fldChar w:fldCharType="separate"/>
      </w:r>
      <w:r w:rsidRPr="004D0DAA">
        <w:t>83</w:t>
      </w:r>
      <w:r w:rsidRPr="004D0DAA">
        <w:fldChar w:fldCharType="end"/>
      </w:r>
    </w:p>
    <w:p w14:paraId="5986ABB1" w14:textId="77777777" w:rsidR="00683705" w:rsidRPr="004D0DAA" w:rsidRDefault="00683705">
      <w:pPr>
        <w:pStyle w:val="TOC3"/>
        <w:rPr>
          <w:rFonts w:ascii="Calibri" w:hAnsi="Calibri"/>
          <w:sz w:val="22"/>
          <w:szCs w:val="22"/>
          <w:lang w:val="en-US"/>
        </w:rPr>
      </w:pPr>
      <w:r w:rsidRPr="004D0DAA">
        <w:t>6.4.4</w:t>
      </w:r>
      <w:r w:rsidRPr="004D0DAA">
        <w:rPr>
          <w:rFonts w:ascii="Calibri" w:hAnsi="Calibri"/>
          <w:sz w:val="22"/>
          <w:szCs w:val="22"/>
          <w:lang w:val="en-US"/>
        </w:rPr>
        <w:tab/>
      </w:r>
      <w:r w:rsidRPr="004D0DAA">
        <w:t>Reception of ETWS Primary Notification message</w:t>
      </w:r>
      <w:r w:rsidRPr="004D0DAA">
        <w:tab/>
      </w:r>
      <w:r w:rsidRPr="004D0DAA">
        <w:fldChar w:fldCharType="begin" w:fldLock="1"/>
      </w:r>
      <w:r w:rsidRPr="004D0DAA">
        <w:instrText xml:space="preserve"> PAGEREF _Toc516669327 \h </w:instrText>
      </w:r>
      <w:r w:rsidRPr="004D0DAA">
        <w:fldChar w:fldCharType="separate"/>
      </w:r>
      <w:r w:rsidRPr="004D0DAA">
        <w:t>83</w:t>
      </w:r>
      <w:r w:rsidRPr="004D0DAA">
        <w:fldChar w:fldCharType="end"/>
      </w:r>
    </w:p>
    <w:p w14:paraId="1E758BBB" w14:textId="77777777" w:rsidR="00683705" w:rsidRPr="004D0DAA" w:rsidRDefault="00683705">
      <w:pPr>
        <w:pStyle w:val="TOC1"/>
        <w:rPr>
          <w:rFonts w:ascii="Calibri" w:hAnsi="Calibri"/>
          <w:szCs w:val="22"/>
          <w:lang w:val="en-US"/>
        </w:rPr>
      </w:pPr>
      <w:r w:rsidRPr="004D0DAA">
        <w:t>7</w:t>
      </w:r>
      <w:r w:rsidRPr="004D0DAA">
        <w:rPr>
          <w:rFonts w:ascii="Calibri" w:hAnsi="Calibri"/>
          <w:szCs w:val="22"/>
          <w:lang w:val="en-US"/>
        </w:rPr>
        <w:tab/>
      </w:r>
      <w:r w:rsidRPr="004D0DAA">
        <w:t>Medium Access Control (MAC) procedures on PCCCH</w:t>
      </w:r>
      <w:r w:rsidRPr="004D0DAA">
        <w:tab/>
      </w:r>
      <w:r w:rsidRPr="004D0DAA">
        <w:fldChar w:fldCharType="begin" w:fldLock="1"/>
      </w:r>
      <w:r w:rsidRPr="004D0DAA">
        <w:instrText xml:space="preserve"> PAGEREF _Toc516669328 \h </w:instrText>
      </w:r>
      <w:r w:rsidRPr="004D0DAA">
        <w:fldChar w:fldCharType="separate"/>
      </w:r>
      <w:r w:rsidRPr="004D0DAA">
        <w:t>84</w:t>
      </w:r>
      <w:r w:rsidRPr="004D0DAA">
        <w:fldChar w:fldCharType="end"/>
      </w:r>
    </w:p>
    <w:p w14:paraId="1E7E4407" w14:textId="77777777" w:rsidR="00683705" w:rsidRPr="004D0DAA" w:rsidRDefault="00683705">
      <w:pPr>
        <w:pStyle w:val="TOC2"/>
        <w:rPr>
          <w:rFonts w:ascii="Calibri" w:hAnsi="Calibri"/>
          <w:sz w:val="22"/>
          <w:szCs w:val="22"/>
          <w:lang w:val="en-US"/>
        </w:rPr>
      </w:pPr>
      <w:r w:rsidRPr="004D0DAA">
        <w:t>7.0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_Toc516669329 \h </w:instrText>
      </w:r>
      <w:r w:rsidRPr="004D0DAA">
        <w:fldChar w:fldCharType="separate"/>
      </w:r>
      <w:r w:rsidRPr="004D0DAA">
        <w:t>84</w:t>
      </w:r>
      <w:r w:rsidRPr="004D0DAA">
        <w:fldChar w:fldCharType="end"/>
      </w:r>
    </w:p>
    <w:p w14:paraId="6D0471C5" w14:textId="77777777" w:rsidR="00683705" w:rsidRPr="004D0DAA" w:rsidRDefault="00683705">
      <w:pPr>
        <w:pStyle w:val="TOC2"/>
        <w:rPr>
          <w:rFonts w:ascii="Calibri" w:hAnsi="Calibri"/>
          <w:sz w:val="22"/>
          <w:szCs w:val="22"/>
          <w:lang w:val="en-US"/>
        </w:rPr>
      </w:pPr>
      <w:r w:rsidRPr="004D0DAA">
        <w:t>7.0a</w:t>
      </w:r>
      <w:r w:rsidRPr="004D0DAA">
        <w:rPr>
          <w:rFonts w:ascii="Calibri" w:hAnsi="Calibri"/>
          <w:sz w:val="22"/>
          <w:szCs w:val="22"/>
          <w:lang w:val="en-US"/>
        </w:rPr>
        <w:tab/>
      </w:r>
      <w:r w:rsidRPr="004D0DAA">
        <w:t>Support of multiple TBF procedures</w:t>
      </w:r>
      <w:r w:rsidRPr="004D0DAA">
        <w:tab/>
      </w:r>
      <w:r w:rsidRPr="004D0DAA">
        <w:fldChar w:fldCharType="begin" w:fldLock="1"/>
      </w:r>
      <w:r w:rsidRPr="004D0DAA">
        <w:instrText xml:space="preserve"> PAGEREF _Toc516669330 \h </w:instrText>
      </w:r>
      <w:r w:rsidRPr="004D0DAA">
        <w:fldChar w:fldCharType="separate"/>
      </w:r>
      <w:r w:rsidRPr="004D0DAA">
        <w:t>84</w:t>
      </w:r>
      <w:r w:rsidRPr="004D0DAA">
        <w:fldChar w:fldCharType="end"/>
      </w:r>
    </w:p>
    <w:p w14:paraId="5E8D795E" w14:textId="77777777" w:rsidR="00683705" w:rsidRPr="004D0DAA" w:rsidRDefault="00683705">
      <w:pPr>
        <w:pStyle w:val="TOC2"/>
        <w:rPr>
          <w:rFonts w:ascii="Calibri" w:hAnsi="Calibri"/>
          <w:sz w:val="22"/>
          <w:szCs w:val="22"/>
          <w:lang w:val="en-US"/>
        </w:rPr>
      </w:pPr>
      <w:r w:rsidRPr="004D0DAA">
        <w:t>7.0b</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_Toc516669331 \h </w:instrText>
      </w:r>
      <w:r w:rsidRPr="004D0DAA">
        <w:fldChar w:fldCharType="separate"/>
      </w:r>
      <w:r w:rsidRPr="004D0DAA">
        <w:t>85</w:t>
      </w:r>
      <w:r w:rsidRPr="004D0DAA">
        <w:fldChar w:fldCharType="end"/>
      </w:r>
    </w:p>
    <w:p w14:paraId="7475ED14" w14:textId="77777777" w:rsidR="00683705" w:rsidRPr="004D0DAA" w:rsidRDefault="00683705">
      <w:pPr>
        <w:pStyle w:val="TOC2"/>
        <w:rPr>
          <w:rFonts w:ascii="Calibri" w:hAnsi="Calibri"/>
          <w:sz w:val="22"/>
          <w:szCs w:val="22"/>
          <w:lang w:val="en-US"/>
        </w:rPr>
      </w:pPr>
      <w:r w:rsidRPr="004D0DAA">
        <w:t>7.1</w:t>
      </w:r>
      <w:r w:rsidRPr="004D0DAA">
        <w:rPr>
          <w:rFonts w:ascii="Calibri" w:hAnsi="Calibri"/>
          <w:sz w:val="22"/>
          <w:szCs w:val="22"/>
          <w:lang w:val="en-US"/>
        </w:rPr>
        <w:tab/>
      </w:r>
      <w:r w:rsidRPr="004D0DAA">
        <w:t>TBF establishment initiated by the mobile station on PCCCH</w:t>
      </w:r>
      <w:r w:rsidRPr="004D0DAA">
        <w:tab/>
      </w:r>
      <w:r w:rsidRPr="004D0DAA">
        <w:fldChar w:fldCharType="begin" w:fldLock="1"/>
      </w:r>
      <w:r w:rsidRPr="004D0DAA">
        <w:instrText xml:space="preserve"> PAGEREF _Toc516669332 \h </w:instrText>
      </w:r>
      <w:r w:rsidRPr="004D0DAA">
        <w:fldChar w:fldCharType="separate"/>
      </w:r>
      <w:r w:rsidRPr="004D0DAA">
        <w:t>85</w:t>
      </w:r>
      <w:r w:rsidRPr="004D0DAA">
        <w:fldChar w:fldCharType="end"/>
      </w:r>
    </w:p>
    <w:p w14:paraId="6B15019D" w14:textId="77777777" w:rsidR="00683705" w:rsidRPr="004D0DAA" w:rsidRDefault="00683705">
      <w:pPr>
        <w:pStyle w:val="TOC3"/>
        <w:rPr>
          <w:rFonts w:ascii="Calibri" w:hAnsi="Calibri"/>
          <w:sz w:val="22"/>
          <w:szCs w:val="22"/>
          <w:lang w:val="en-US"/>
        </w:rPr>
      </w:pPr>
      <w:r w:rsidRPr="004D0DAA">
        <w:t>7.1.1</w:t>
      </w:r>
      <w:r w:rsidRPr="004D0DAA">
        <w:rPr>
          <w:rFonts w:ascii="Calibri" w:hAnsi="Calibri"/>
          <w:sz w:val="22"/>
          <w:szCs w:val="22"/>
          <w:lang w:val="en-US"/>
        </w:rPr>
        <w:tab/>
      </w:r>
      <w:r w:rsidRPr="004D0DAA">
        <w:t>Permission to access the network</w:t>
      </w:r>
      <w:r w:rsidRPr="004D0DAA">
        <w:tab/>
      </w:r>
      <w:r w:rsidRPr="004D0DAA">
        <w:fldChar w:fldCharType="begin" w:fldLock="1"/>
      </w:r>
      <w:r w:rsidRPr="004D0DAA">
        <w:instrText xml:space="preserve"> PAGEREF _Toc516669333 \h </w:instrText>
      </w:r>
      <w:r w:rsidRPr="004D0DAA">
        <w:fldChar w:fldCharType="separate"/>
      </w:r>
      <w:r w:rsidRPr="004D0DAA">
        <w:t>85</w:t>
      </w:r>
      <w:r w:rsidRPr="004D0DAA">
        <w:fldChar w:fldCharType="end"/>
      </w:r>
    </w:p>
    <w:p w14:paraId="1FEBCCDD" w14:textId="77777777" w:rsidR="00683705" w:rsidRPr="004D0DAA" w:rsidRDefault="00683705">
      <w:pPr>
        <w:pStyle w:val="TOC3"/>
        <w:rPr>
          <w:rFonts w:ascii="Calibri" w:hAnsi="Calibri"/>
          <w:sz w:val="22"/>
          <w:szCs w:val="22"/>
          <w:lang w:val="en-US"/>
        </w:rPr>
      </w:pPr>
      <w:r w:rsidRPr="004D0DAA">
        <w:t>7.1.2</w:t>
      </w:r>
      <w:r w:rsidRPr="004D0DAA">
        <w:rPr>
          <w:rFonts w:ascii="Calibri" w:hAnsi="Calibri"/>
          <w:sz w:val="22"/>
          <w:szCs w:val="22"/>
          <w:lang w:val="en-US"/>
        </w:rPr>
        <w:tab/>
      </w:r>
      <w:r w:rsidRPr="004D0DAA">
        <w:t>Initiation of a TBF establishment</w:t>
      </w:r>
      <w:r w:rsidRPr="004D0DAA">
        <w:tab/>
      </w:r>
      <w:r w:rsidRPr="004D0DAA">
        <w:fldChar w:fldCharType="begin" w:fldLock="1"/>
      </w:r>
      <w:r w:rsidRPr="004D0DAA">
        <w:instrText xml:space="preserve"> PAGEREF _Toc516669334 \h </w:instrText>
      </w:r>
      <w:r w:rsidRPr="004D0DAA">
        <w:fldChar w:fldCharType="separate"/>
      </w:r>
      <w:r w:rsidRPr="004D0DAA">
        <w:t>86</w:t>
      </w:r>
      <w:r w:rsidRPr="004D0DAA">
        <w:fldChar w:fldCharType="end"/>
      </w:r>
    </w:p>
    <w:p w14:paraId="341EF242" w14:textId="77777777" w:rsidR="00683705" w:rsidRPr="004D0DAA" w:rsidRDefault="00683705">
      <w:pPr>
        <w:pStyle w:val="TOC4"/>
        <w:rPr>
          <w:rFonts w:ascii="Calibri" w:hAnsi="Calibri"/>
          <w:sz w:val="22"/>
          <w:szCs w:val="22"/>
          <w:lang w:val="en-US"/>
        </w:rPr>
      </w:pPr>
      <w:r w:rsidRPr="004D0DAA">
        <w:t>7.1.2.1</w:t>
      </w:r>
      <w:r w:rsidRPr="004D0DAA">
        <w:rPr>
          <w:rFonts w:ascii="Calibri" w:hAnsi="Calibri"/>
          <w:sz w:val="22"/>
          <w:szCs w:val="22"/>
          <w:lang w:val="en-US"/>
        </w:rPr>
        <w:tab/>
      </w:r>
      <w:r w:rsidRPr="004D0DAA">
        <w:t>Initiation of the packet access procedure</w:t>
      </w:r>
      <w:r w:rsidRPr="004D0DAA">
        <w:tab/>
      </w:r>
      <w:r w:rsidRPr="004D0DAA">
        <w:fldChar w:fldCharType="begin" w:fldLock="1"/>
      </w:r>
      <w:r w:rsidRPr="004D0DAA">
        <w:instrText xml:space="preserve"> PAGEREF _Toc516669335 \h </w:instrText>
      </w:r>
      <w:r w:rsidRPr="004D0DAA">
        <w:fldChar w:fldCharType="separate"/>
      </w:r>
      <w:r w:rsidRPr="004D0DAA">
        <w:t>86</w:t>
      </w:r>
      <w:r w:rsidRPr="004D0DAA">
        <w:fldChar w:fldCharType="end"/>
      </w:r>
    </w:p>
    <w:p w14:paraId="22409BC1" w14:textId="77777777" w:rsidR="00683705" w:rsidRPr="004D0DAA" w:rsidRDefault="00683705">
      <w:pPr>
        <w:pStyle w:val="TOC5"/>
        <w:rPr>
          <w:rFonts w:ascii="Calibri" w:hAnsi="Calibri"/>
          <w:sz w:val="22"/>
          <w:szCs w:val="22"/>
          <w:lang w:val="en-US"/>
        </w:rPr>
      </w:pPr>
      <w:r w:rsidRPr="004D0DAA">
        <w:t>7.1.2.1.1</w:t>
      </w:r>
      <w:r w:rsidRPr="004D0DAA">
        <w:rPr>
          <w:rFonts w:ascii="Calibri" w:hAnsi="Calibri"/>
          <w:sz w:val="22"/>
          <w:szCs w:val="22"/>
          <w:lang w:val="en-US"/>
        </w:rPr>
        <w:tab/>
      </w:r>
      <w:r w:rsidRPr="004D0DAA">
        <w:t>Access persistence control on PRACH</w:t>
      </w:r>
      <w:r w:rsidRPr="004D0DAA">
        <w:tab/>
      </w:r>
      <w:r w:rsidRPr="004D0DAA">
        <w:fldChar w:fldCharType="begin" w:fldLock="1"/>
      </w:r>
      <w:r w:rsidRPr="004D0DAA">
        <w:instrText xml:space="preserve"> PAGEREF _Toc516669336 \h </w:instrText>
      </w:r>
      <w:r w:rsidRPr="004D0DAA">
        <w:fldChar w:fldCharType="separate"/>
      </w:r>
      <w:r w:rsidRPr="004D0DAA">
        <w:t>87</w:t>
      </w:r>
      <w:r w:rsidRPr="004D0DAA">
        <w:fldChar w:fldCharType="end"/>
      </w:r>
    </w:p>
    <w:p w14:paraId="23A4036C" w14:textId="77777777" w:rsidR="00683705" w:rsidRPr="004D0DAA" w:rsidRDefault="00683705">
      <w:pPr>
        <w:pStyle w:val="TOC4"/>
        <w:rPr>
          <w:rFonts w:ascii="Calibri" w:hAnsi="Calibri"/>
          <w:sz w:val="22"/>
          <w:szCs w:val="22"/>
          <w:lang w:val="en-US"/>
        </w:rPr>
      </w:pPr>
      <w:r w:rsidRPr="004D0DAA">
        <w:t>7.1.2.2</w:t>
      </w:r>
      <w:r w:rsidRPr="004D0DAA">
        <w:rPr>
          <w:rFonts w:ascii="Calibri" w:hAnsi="Calibri"/>
          <w:sz w:val="22"/>
          <w:szCs w:val="22"/>
          <w:lang w:val="en-US"/>
        </w:rPr>
        <w:tab/>
      </w:r>
      <w:r w:rsidRPr="004D0DAA">
        <w:t>Packet assignment procedure</w:t>
      </w:r>
      <w:r w:rsidRPr="004D0DAA">
        <w:tab/>
      </w:r>
      <w:r w:rsidRPr="004D0DAA">
        <w:fldChar w:fldCharType="begin" w:fldLock="1"/>
      </w:r>
      <w:r w:rsidRPr="004D0DAA">
        <w:instrText xml:space="preserve"> PAGEREF _Toc516669337 \h </w:instrText>
      </w:r>
      <w:r w:rsidRPr="004D0DAA">
        <w:fldChar w:fldCharType="separate"/>
      </w:r>
      <w:r w:rsidRPr="004D0DAA">
        <w:t>89</w:t>
      </w:r>
      <w:r w:rsidRPr="004D0DAA">
        <w:fldChar w:fldCharType="end"/>
      </w:r>
    </w:p>
    <w:p w14:paraId="66240493" w14:textId="77777777" w:rsidR="00683705" w:rsidRPr="004D0DAA" w:rsidRDefault="00683705">
      <w:pPr>
        <w:pStyle w:val="TOC5"/>
        <w:rPr>
          <w:rFonts w:ascii="Calibri" w:hAnsi="Calibri"/>
          <w:sz w:val="22"/>
          <w:szCs w:val="22"/>
          <w:lang w:val="en-US"/>
        </w:rPr>
      </w:pPr>
      <w:r w:rsidRPr="004D0DAA">
        <w:t>7.1.2.2.1</w:t>
      </w:r>
      <w:r w:rsidRPr="004D0DAA">
        <w:rPr>
          <w:rFonts w:ascii="Calibri" w:hAnsi="Calibri"/>
          <w:sz w:val="22"/>
          <w:szCs w:val="22"/>
          <w:lang w:val="en-US"/>
        </w:rPr>
        <w:tab/>
      </w:r>
      <w:r w:rsidRPr="004D0DAA">
        <w:t>On receipt of a PACKET CHANNEL REQUEST or EGPRS PACKET CHANNEL REQUEST message</w:t>
      </w:r>
      <w:r w:rsidRPr="004D0DAA">
        <w:tab/>
      </w:r>
      <w:r w:rsidRPr="004D0DAA">
        <w:fldChar w:fldCharType="begin" w:fldLock="1"/>
      </w:r>
      <w:r w:rsidRPr="004D0DAA">
        <w:instrText xml:space="preserve"> PAGEREF _Toc516669338 \h </w:instrText>
      </w:r>
      <w:r w:rsidRPr="004D0DAA">
        <w:fldChar w:fldCharType="separate"/>
      </w:r>
      <w:r w:rsidRPr="004D0DAA">
        <w:t>89</w:t>
      </w:r>
      <w:r w:rsidRPr="004D0DAA">
        <w:fldChar w:fldCharType="end"/>
      </w:r>
    </w:p>
    <w:p w14:paraId="0ED05A0A" w14:textId="77777777" w:rsidR="00683705" w:rsidRPr="004D0DAA" w:rsidRDefault="00683705">
      <w:pPr>
        <w:pStyle w:val="TOC5"/>
        <w:rPr>
          <w:rFonts w:ascii="Calibri" w:hAnsi="Calibri"/>
          <w:sz w:val="22"/>
          <w:szCs w:val="22"/>
          <w:lang w:val="en-US"/>
        </w:rPr>
      </w:pPr>
      <w:r w:rsidRPr="004D0DAA">
        <w:t>7.1.2.2.1a</w:t>
      </w:r>
      <w:r w:rsidRPr="004D0DAA">
        <w:rPr>
          <w:rFonts w:ascii="Calibri" w:hAnsi="Calibri"/>
          <w:sz w:val="22"/>
          <w:szCs w:val="22"/>
          <w:lang w:val="en-US"/>
        </w:rPr>
        <w:tab/>
      </w:r>
      <w:r w:rsidRPr="004D0DAA">
        <w:t>Acquisition of MS Radio Access Capability information within EGPRS TBF establishment procedure</w:t>
      </w:r>
      <w:r w:rsidRPr="004D0DAA">
        <w:tab/>
      </w:r>
      <w:r w:rsidRPr="004D0DAA">
        <w:fldChar w:fldCharType="begin" w:fldLock="1"/>
      </w:r>
      <w:r w:rsidRPr="004D0DAA">
        <w:instrText xml:space="preserve"> PAGEREF _Toc516669339 \h </w:instrText>
      </w:r>
      <w:r w:rsidRPr="004D0DAA">
        <w:fldChar w:fldCharType="separate"/>
      </w:r>
      <w:r w:rsidRPr="004D0DAA">
        <w:t>90</w:t>
      </w:r>
      <w:r w:rsidRPr="004D0DAA">
        <w:fldChar w:fldCharType="end"/>
      </w:r>
    </w:p>
    <w:p w14:paraId="6A1AF4EB" w14:textId="77777777" w:rsidR="00683705" w:rsidRPr="004D0DAA" w:rsidRDefault="00683705">
      <w:pPr>
        <w:pStyle w:val="TOC5"/>
        <w:rPr>
          <w:rFonts w:ascii="Calibri" w:hAnsi="Calibri"/>
          <w:sz w:val="22"/>
          <w:szCs w:val="22"/>
          <w:lang w:val="en-US"/>
        </w:rPr>
      </w:pPr>
      <w:r w:rsidRPr="004D0DAA">
        <w:t>7.1.2.2.2</w:t>
      </w:r>
      <w:r w:rsidRPr="004D0DAA">
        <w:rPr>
          <w:rFonts w:ascii="Calibri" w:hAnsi="Calibri"/>
          <w:sz w:val="22"/>
          <w:szCs w:val="22"/>
          <w:lang w:val="en-US"/>
        </w:rPr>
        <w:tab/>
      </w:r>
      <w:r w:rsidRPr="004D0DAA">
        <w:t>Packet access queuing notification procedure</w:t>
      </w:r>
      <w:r w:rsidRPr="004D0DAA">
        <w:tab/>
      </w:r>
      <w:r w:rsidRPr="004D0DAA">
        <w:fldChar w:fldCharType="begin" w:fldLock="1"/>
      </w:r>
      <w:r w:rsidRPr="004D0DAA">
        <w:instrText xml:space="preserve"> PAGEREF _Toc516669340 \h </w:instrText>
      </w:r>
      <w:r w:rsidRPr="004D0DAA">
        <w:fldChar w:fldCharType="separate"/>
      </w:r>
      <w:r w:rsidRPr="004D0DAA">
        <w:t>91</w:t>
      </w:r>
      <w:r w:rsidRPr="004D0DAA">
        <w:fldChar w:fldCharType="end"/>
      </w:r>
    </w:p>
    <w:p w14:paraId="2732B98F" w14:textId="77777777" w:rsidR="00683705" w:rsidRPr="004D0DAA" w:rsidRDefault="00683705">
      <w:pPr>
        <w:pStyle w:val="TOC5"/>
        <w:rPr>
          <w:rFonts w:ascii="Calibri" w:hAnsi="Calibri"/>
          <w:sz w:val="22"/>
          <w:szCs w:val="22"/>
          <w:lang w:val="en-US"/>
        </w:rPr>
      </w:pPr>
      <w:r w:rsidRPr="004D0DAA">
        <w:t>7.1.2.2.3</w:t>
      </w:r>
      <w:r w:rsidRPr="004D0DAA">
        <w:rPr>
          <w:rFonts w:ascii="Calibri" w:hAnsi="Calibri"/>
          <w:sz w:val="22"/>
          <w:szCs w:val="22"/>
          <w:lang w:val="en-US"/>
        </w:rPr>
        <w:tab/>
      </w:r>
      <w:r w:rsidRPr="004D0DAA">
        <w:t>Packet polling procedure</w:t>
      </w:r>
      <w:r w:rsidRPr="004D0DAA">
        <w:tab/>
      </w:r>
      <w:r w:rsidRPr="004D0DAA">
        <w:fldChar w:fldCharType="begin" w:fldLock="1"/>
      </w:r>
      <w:r w:rsidRPr="004D0DAA">
        <w:instrText xml:space="preserve"> PAGEREF _Toc516669341 \h </w:instrText>
      </w:r>
      <w:r w:rsidRPr="004D0DAA">
        <w:fldChar w:fldCharType="separate"/>
      </w:r>
      <w:r w:rsidRPr="004D0DAA">
        <w:t>91</w:t>
      </w:r>
      <w:r w:rsidRPr="004D0DAA">
        <w:fldChar w:fldCharType="end"/>
      </w:r>
    </w:p>
    <w:p w14:paraId="600562C9" w14:textId="77777777" w:rsidR="00683705" w:rsidRPr="004D0DAA" w:rsidRDefault="00683705">
      <w:pPr>
        <w:pStyle w:val="TOC5"/>
        <w:rPr>
          <w:rFonts w:ascii="Calibri" w:hAnsi="Calibri"/>
          <w:sz w:val="22"/>
          <w:szCs w:val="22"/>
          <w:lang w:val="en-US"/>
        </w:rPr>
      </w:pPr>
      <w:r w:rsidRPr="004D0DAA">
        <w:t>7.1.2.2.4</w:t>
      </w:r>
      <w:r w:rsidRPr="004D0DAA">
        <w:rPr>
          <w:rFonts w:ascii="Calibri" w:hAnsi="Calibri"/>
          <w:sz w:val="22"/>
          <w:szCs w:val="22"/>
          <w:lang w:val="en-US"/>
        </w:rPr>
        <w:tab/>
      </w:r>
      <w:r w:rsidRPr="004D0DAA">
        <w:t>Packet access reject procedure</w:t>
      </w:r>
      <w:r w:rsidRPr="004D0DAA">
        <w:tab/>
      </w:r>
      <w:r w:rsidRPr="004D0DAA">
        <w:fldChar w:fldCharType="begin" w:fldLock="1"/>
      </w:r>
      <w:r w:rsidRPr="004D0DAA">
        <w:instrText xml:space="preserve"> PAGEREF _Toc516669342 \h </w:instrText>
      </w:r>
      <w:r w:rsidRPr="004D0DAA">
        <w:fldChar w:fldCharType="separate"/>
      </w:r>
      <w:r w:rsidRPr="004D0DAA">
        <w:t>91</w:t>
      </w:r>
      <w:r w:rsidRPr="004D0DAA">
        <w:fldChar w:fldCharType="end"/>
      </w:r>
    </w:p>
    <w:p w14:paraId="49ABAFEE" w14:textId="77777777" w:rsidR="00683705" w:rsidRPr="004D0DAA" w:rsidRDefault="00683705">
      <w:pPr>
        <w:pStyle w:val="TOC4"/>
        <w:rPr>
          <w:rFonts w:ascii="Calibri" w:hAnsi="Calibri"/>
          <w:sz w:val="22"/>
          <w:szCs w:val="22"/>
          <w:lang w:val="en-US"/>
        </w:rPr>
      </w:pPr>
      <w:r w:rsidRPr="004D0DAA">
        <w:t>7.1.2.3</w:t>
      </w:r>
      <w:r w:rsidRPr="004D0DAA">
        <w:rPr>
          <w:rFonts w:ascii="Calibri" w:hAnsi="Calibri"/>
          <w:sz w:val="22"/>
          <w:szCs w:val="22"/>
          <w:lang w:val="en-US"/>
        </w:rPr>
        <w:tab/>
      </w:r>
      <w:r w:rsidRPr="004D0DAA">
        <w:t>Contention resolution at one phase access</w:t>
      </w:r>
      <w:r w:rsidRPr="004D0DAA">
        <w:tab/>
      </w:r>
      <w:r w:rsidRPr="004D0DAA">
        <w:fldChar w:fldCharType="begin" w:fldLock="1"/>
      </w:r>
      <w:r w:rsidRPr="004D0DAA">
        <w:instrText xml:space="preserve"> PAGEREF _Toc516669343 \h </w:instrText>
      </w:r>
      <w:r w:rsidRPr="004D0DAA">
        <w:fldChar w:fldCharType="separate"/>
      </w:r>
      <w:r w:rsidRPr="004D0DAA">
        <w:t>92</w:t>
      </w:r>
      <w:r w:rsidRPr="004D0DAA">
        <w:fldChar w:fldCharType="end"/>
      </w:r>
    </w:p>
    <w:p w14:paraId="5A89216A" w14:textId="77777777" w:rsidR="00683705" w:rsidRPr="004D0DAA" w:rsidRDefault="00683705">
      <w:pPr>
        <w:pStyle w:val="TOC4"/>
        <w:rPr>
          <w:rFonts w:ascii="Calibri" w:hAnsi="Calibri"/>
          <w:sz w:val="22"/>
          <w:szCs w:val="22"/>
          <w:lang w:val="en-US"/>
        </w:rPr>
      </w:pPr>
      <w:r w:rsidRPr="004D0DAA">
        <w:t>7.1.2.3a</w:t>
      </w:r>
      <w:r w:rsidRPr="004D0DAA">
        <w:rPr>
          <w:rFonts w:ascii="Calibri" w:hAnsi="Calibri"/>
          <w:sz w:val="22"/>
          <w:szCs w:val="22"/>
          <w:lang w:val="en-US"/>
        </w:rPr>
        <w:tab/>
      </w:r>
      <w:r w:rsidRPr="004D0DAA">
        <w:t>RLC/MAC procedures during contention resolution</w:t>
      </w:r>
      <w:r w:rsidRPr="004D0DAA">
        <w:tab/>
      </w:r>
      <w:r w:rsidRPr="004D0DAA">
        <w:fldChar w:fldCharType="begin" w:fldLock="1"/>
      </w:r>
      <w:r w:rsidRPr="004D0DAA">
        <w:instrText xml:space="preserve"> PAGEREF _Toc516669344 \h </w:instrText>
      </w:r>
      <w:r w:rsidRPr="004D0DAA">
        <w:fldChar w:fldCharType="separate"/>
      </w:r>
      <w:r w:rsidRPr="004D0DAA">
        <w:t>93</w:t>
      </w:r>
      <w:r w:rsidRPr="004D0DAA">
        <w:fldChar w:fldCharType="end"/>
      </w:r>
    </w:p>
    <w:p w14:paraId="59D3C52F" w14:textId="77777777" w:rsidR="00683705" w:rsidRPr="004D0DAA" w:rsidRDefault="00683705">
      <w:pPr>
        <w:pStyle w:val="TOC4"/>
        <w:rPr>
          <w:rFonts w:ascii="Calibri" w:hAnsi="Calibri"/>
          <w:sz w:val="22"/>
          <w:szCs w:val="22"/>
          <w:lang w:val="en-US"/>
        </w:rPr>
      </w:pPr>
      <w:r w:rsidRPr="004D0DAA">
        <w:t>7.1.2.4</w:t>
      </w:r>
      <w:r w:rsidRPr="004D0DAA">
        <w:rPr>
          <w:rFonts w:ascii="Calibri" w:hAnsi="Calibri"/>
          <w:sz w:val="22"/>
          <w:szCs w:val="22"/>
          <w:lang w:val="en-US"/>
        </w:rPr>
        <w:tab/>
      </w:r>
      <w:r w:rsidRPr="004D0DAA">
        <w:t>One phase packet access completion</w:t>
      </w:r>
      <w:r w:rsidRPr="004D0DAA">
        <w:tab/>
      </w:r>
      <w:r w:rsidRPr="004D0DAA">
        <w:fldChar w:fldCharType="begin" w:fldLock="1"/>
      </w:r>
      <w:r w:rsidRPr="004D0DAA">
        <w:instrText xml:space="preserve"> PAGEREF _Toc516669345 \h </w:instrText>
      </w:r>
      <w:r w:rsidRPr="004D0DAA">
        <w:fldChar w:fldCharType="separate"/>
      </w:r>
      <w:r w:rsidRPr="004D0DAA">
        <w:t>93</w:t>
      </w:r>
      <w:r w:rsidRPr="004D0DAA">
        <w:fldChar w:fldCharType="end"/>
      </w:r>
    </w:p>
    <w:p w14:paraId="2C408892" w14:textId="77777777" w:rsidR="00683705" w:rsidRPr="004D0DAA" w:rsidRDefault="00683705">
      <w:pPr>
        <w:pStyle w:val="TOC4"/>
        <w:rPr>
          <w:rFonts w:ascii="Calibri" w:hAnsi="Calibri"/>
          <w:sz w:val="22"/>
          <w:szCs w:val="22"/>
          <w:lang w:val="en-US"/>
        </w:rPr>
      </w:pPr>
      <w:r w:rsidRPr="004D0DAA">
        <w:t>7.1.2.5</w:t>
      </w:r>
      <w:r w:rsidRPr="004D0DAA">
        <w:rPr>
          <w:rFonts w:ascii="Calibri" w:hAnsi="Calibri"/>
          <w:sz w:val="22"/>
          <w:szCs w:val="22"/>
          <w:lang w:val="en-US"/>
        </w:rPr>
        <w:tab/>
      </w:r>
      <w:r w:rsidRPr="004D0DAA">
        <w:t>Timing Advance</w:t>
      </w:r>
      <w:r w:rsidRPr="004D0DAA">
        <w:tab/>
      </w:r>
      <w:r w:rsidRPr="004D0DAA">
        <w:fldChar w:fldCharType="begin" w:fldLock="1"/>
      </w:r>
      <w:r w:rsidRPr="004D0DAA">
        <w:instrText xml:space="preserve"> PAGEREF _Toc516669346 \h </w:instrText>
      </w:r>
      <w:r w:rsidRPr="004D0DAA">
        <w:fldChar w:fldCharType="separate"/>
      </w:r>
      <w:r w:rsidRPr="004D0DAA">
        <w:t>93</w:t>
      </w:r>
      <w:r w:rsidRPr="004D0DAA">
        <w:fldChar w:fldCharType="end"/>
      </w:r>
    </w:p>
    <w:p w14:paraId="42C4237A" w14:textId="77777777" w:rsidR="00683705" w:rsidRPr="004D0DAA" w:rsidRDefault="00683705">
      <w:pPr>
        <w:pStyle w:val="TOC4"/>
        <w:rPr>
          <w:rFonts w:ascii="Calibri" w:hAnsi="Calibri"/>
          <w:sz w:val="22"/>
          <w:szCs w:val="22"/>
          <w:lang w:val="en-US"/>
        </w:rPr>
      </w:pPr>
      <w:r w:rsidRPr="004D0DAA">
        <w:t>7.1.2.6</w:t>
      </w:r>
      <w:r w:rsidRPr="004D0DAA">
        <w:rPr>
          <w:rFonts w:ascii="Calibri" w:hAnsi="Calibri"/>
          <w:sz w:val="22"/>
          <w:szCs w:val="22"/>
          <w:lang w:val="en-US"/>
        </w:rPr>
        <w:tab/>
      </w:r>
      <w:r w:rsidRPr="004D0DAA">
        <w:t>PFC procedure at one phase access</w:t>
      </w:r>
      <w:r w:rsidRPr="004D0DAA">
        <w:tab/>
      </w:r>
      <w:r w:rsidRPr="004D0DAA">
        <w:fldChar w:fldCharType="begin" w:fldLock="1"/>
      </w:r>
      <w:r w:rsidRPr="004D0DAA">
        <w:instrText xml:space="preserve"> PAGEREF _Toc516669347 \h </w:instrText>
      </w:r>
      <w:r w:rsidRPr="004D0DAA">
        <w:fldChar w:fldCharType="separate"/>
      </w:r>
      <w:r w:rsidRPr="004D0DAA">
        <w:t>94</w:t>
      </w:r>
      <w:r w:rsidRPr="004D0DAA">
        <w:fldChar w:fldCharType="end"/>
      </w:r>
    </w:p>
    <w:p w14:paraId="7991E25F" w14:textId="77777777" w:rsidR="00683705" w:rsidRPr="004D0DAA" w:rsidRDefault="00683705">
      <w:pPr>
        <w:pStyle w:val="TOC3"/>
        <w:rPr>
          <w:rFonts w:ascii="Calibri" w:hAnsi="Calibri"/>
          <w:sz w:val="22"/>
          <w:szCs w:val="22"/>
          <w:lang w:val="en-US"/>
        </w:rPr>
      </w:pPr>
      <w:r w:rsidRPr="004D0DAA">
        <w:t>7.1.3</w:t>
      </w:r>
      <w:r w:rsidRPr="004D0DAA">
        <w:rPr>
          <w:rFonts w:ascii="Calibri" w:hAnsi="Calibri"/>
          <w:sz w:val="22"/>
          <w:szCs w:val="22"/>
          <w:lang w:val="en-US"/>
        </w:rPr>
        <w:tab/>
      </w:r>
      <w:r w:rsidRPr="004D0DAA">
        <w:t>TBF establishment using two phase access</w:t>
      </w:r>
      <w:r w:rsidRPr="004D0DAA">
        <w:tab/>
      </w:r>
      <w:r w:rsidRPr="004D0DAA">
        <w:fldChar w:fldCharType="begin" w:fldLock="1"/>
      </w:r>
      <w:r w:rsidRPr="004D0DAA">
        <w:instrText xml:space="preserve"> PAGEREF _Toc516669348 \h </w:instrText>
      </w:r>
      <w:r w:rsidRPr="004D0DAA">
        <w:fldChar w:fldCharType="separate"/>
      </w:r>
      <w:r w:rsidRPr="004D0DAA">
        <w:t>94</w:t>
      </w:r>
      <w:r w:rsidRPr="004D0DAA">
        <w:fldChar w:fldCharType="end"/>
      </w:r>
    </w:p>
    <w:p w14:paraId="6CA65BA8" w14:textId="77777777" w:rsidR="00683705" w:rsidRPr="004D0DAA" w:rsidRDefault="00683705">
      <w:pPr>
        <w:pStyle w:val="TOC4"/>
        <w:rPr>
          <w:rFonts w:ascii="Calibri" w:hAnsi="Calibri"/>
          <w:sz w:val="22"/>
          <w:szCs w:val="22"/>
          <w:lang w:val="en-US"/>
        </w:rPr>
      </w:pPr>
      <w:r w:rsidRPr="004D0DAA">
        <w:t>7.1.3.1</w:t>
      </w:r>
      <w:r w:rsidRPr="004D0DAA">
        <w:rPr>
          <w:rFonts w:ascii="Calibri" w:hAnsi="Calibri"/>
          <w:sz w:val="22"/>
          <w:szCs w:val="22"/>
          <w:lang w:val="en-US"/>
        </w:rPr>
        <w:tab/>
      </w:r>
      <w:r w:rsidRPr="004D0DAA">
        <w:t>Initiation of the Packet resource request procedure</w:t>
      </w:r>
      <w:r w:rsidRPr="004D0DAA">
        <w:tab/>
      </w:r>
      <w:r w:rsidRPr="004D0DAA">
        <w:fldChar w:fldCharType="begin" w:fldLock="1"/>
      </w:r>
      <w:r w:rsidRPr="004D0DAA">
        <w:instrText xml:space="preserve"> PAGEREF _Toc516669349 \h </w:instrText>
      </w:r>
      <w:r w:rsidRPr="004D0DAA">
        <w:fldChar w:fldCharType="separate"/>
      </w:r>
      <w:r w:rsidRPr="004D0DAA">
        <w:t>94</w:t>
      </w:r>
      <w:r w:rsidRPr="004D0DAA">
        <w:fldChar w:fldCharType="end"/>
      </w:r>
    </w:p>
    <w:p w14:paraId="451733B1" w14:textId="77777777" w:rsidR="00683705" w:rsidRPr="004D0DAA" w:rsidRDefault="00683705">
      <w:pPr>
        <w:pStyle w:val="TOC4"/>
        <w:rPr>
          <w:rFonts w:ascii="Calibri" w:hAnsi="Calibri"/>
          <w:sz w:val="22"/>
          <w:szCs w:val="22"/>
          <w:lang w:val="en-US"/>
        </w:rPr>
      </w:pPr>
      <w:r w:rsidRPr="004D0DAA">
        <w:t>7.1.3.2</w:t>
      </w:r>
      <w:r w:rsidRPr="004D0DAA">
        <w:rPr>
          <w:rFonts w:ascii="Calibri" w:hAnsi="Calibri"/>
          <w:sz w:val="22"/>
          <w:szCs w:val="22"/>
          <w:lang w:val="en-US"/>
        </w:rPr>
        <w:tab/>
      </w:r>
      <w:r w:rsidRPr="004D0DAA">
        <w:t>Packet resource assignment for uplink procedure</w:t>
      </w:r>
      <w:r w:rsidRPr="004D0DAA">
        <w:tab/>
      </w:r>
      <w:r w:rsidRPr="004D0DAA">
        <w:fldChar w:fldCharType="begin" w:fldLock="1"/>
      </w:r>
      <w:r w:rsidRPr="004D0DAA">
        <w:instrText xml:space="preserve"> PAGEREF _Toc516669350 \h </w:instrText>
      </w:r>
      <w:r w:rsidRPr="004D0DAA">
        <w:fldChar w:fldCharType="separate"/>
      </w:r>
      <w:r w:rsidRPr="004D0DAA">
        <w:t>95</w:t>
      </w:r>
      <w:r w:rsidRPr="004D0DAA">
        <w:fldChar w:fldCharType="end"/>
      </w:r>
    </w:p>
    <w:p w14:paraId="2626EA4A" w14:textId="77777777" w:rsidR="00683705" w:rsidRPr="004D0DAA" w:rsidRDefault="00683705">
      <w:pPr>
        <w:pStyle w:val="TOC5"/>
        <w:rPr>
          <w:rFonts w:ascii="Calibri" w:hAnsi="Calibri"/>
          <w:sz w:val="22"/>
          <w:szCs w:val="22"/>
          <w:lang w:val="en-US"/>
        </w:rPr>
      </w:pPr>
      <w:r w:rsidRPr="004D0DAA">
        <w:t>7.1.3.2.1</w:t>
      </w:r>
      <w:r w:rsidRPr="004D0DAA">
        <w:rPr>
          <w:rFonts w:ascii="Calibri" w:hAnsi="Calibri"/>
          <w:sz w:val="22"/>
          <w:szCs w:val="22"/>
          <w:lang w:val="en-US"/>
        </w:rPr>
        <w:tab/>
      </w:r>
      <w:r w:rsidRPr="004D0DAA">
        <w:t>On receipt of a PACKET RESOURCE REQUEST message</w:t>
      </w:r>
      <w:r w:rsidRPr="004D0DAA">
        <w:tab/>
      </w:r>
      <w:r w:rsidRPr="004D0DAA">
        <w:fldChar w:fldCharType="begin" w:fldLock="1"/>
      </w:r>
      <w:r w:rsidRPr="004D0DAA">
        <w:instrText xml:space="preserve"> PAGEREF _Toc516669351 \h </w:instrText>
      </w:r>
      <w:r w:rsidRPr="004D0DAA">
        <w:fldChar w:fldCharType="separate"/>
      </w:r>
      <w:r w:rsidRPr="004D0DAA">
        <w:t>96</w:t>
      </w:r>
      <w:r w:rsidRPr="004D0DAA">
        <w:fldChar w:fldCharType="end"/>
      </w:r>
    </w:p>
    <w:p w14:paraId="3DF6DC52" w14:textId="77777777" w:rsidR="00683705" w:rsidRPr="004D0DAA" w:rsidRDefault="00683705">
      <w:pPr>
        <w:pStyle w:val="TOC4"/>
        <w:rPr>
          <w:rFonts w:ascii="Calibri" w:hAnsi="Calibri"/>
          <w:sz w:val="22"/>
          <w:szCs w:val="22"/>
          <w:lang w:val="en-US"/>
        </w:rPr>
      </w:pPr>
      <w:r w:rsidRPr="004D0DAA">
        <w:t>7.1.3.3</w:t>
      </w:r>
      <w:r w:rsidRPr="004D0DAA">
        <w:rPr>
          <w:rFonts w:ascii="Calibri" w:hAnsi="Calibri"/>
          <w:sz w:val="22"/>
          <w:szCs w:val="22"/>
          <w:lang w:val="en-US"/>
        </w:rPr>
        <w:tab/>
      </w:r>
      <w:r w:rsidRPr="004D0DAA">
        <w:t>Contention resolution at two phase access</w:t>
      </w:r>
      <w:r w:rsidRPr="004D0DAA">
        <w:tab/>
      </w:r>
      <w:r w:rsidRPr="004D0DAA">
        <w:fldChar w:fldCharType="begin" w:fldLock="1"/>
      </w:r>
      <w:r w:rsidRPr="004D0DAA">
        <w:instrText xml:space="preserve"> PAGEREF _Toc516669352 \h </w:instrText>
      </w:r>
      <w:r w:rsidRPr="004D0DAA">
        <w:fldChar w:fldCharType="separate"/>
      </w:r>
      <w:r w:rsidRPr="004D0DAA">
        <w:t>97</w:t>
      </w:r>
      <w:r w:rsidRPr="004D0DAA">
        <w:fldChar w:fldCharType="end"/>
      </w:r>
    </w:p>
    <w:p w14:paraId="426EFB8C" w14:textId="77777777" w:rsidR="00683705" w:rsidRPr="004D0DAA" w:rsidRDefault="00683705">
      <w:pPr>
        <w:pStyle w:val="TOC4"/>
        <w:rPr>
          <w:rFonts w:ascii="Calibri" w:hAnsi="Calibri"/>
          <w:sz w:val="22"/>
          <w:szCs w:val="22"/>
          <w:lang w:val="en-US"/>
        </w:rPr>
      </w:pPr>
      <w:r w:rsidRPr="004D0DAA">
        <w:t>7.1.3.4</w:t>
      </w:r>
      <w:r w:rsidRPr="004D0DAA">
        <w:rPr>
          <w:rFonts w:ascii="Calibri" w:hAnsi="Calibri"/>
          <w:sz w:val="22"/>
          <w:szCs w:val="22"/>
          <w:lang w:val="en-US"/>
        </w:rPr>
        <w:tab/>
      </w:r>
      <w:r w:rsidRPr="004D0DAA">
        <w:t>Two phase packet access completion</w:t>
      </w:r>
      <w:r w:rsidRPr="004D0DAA">
        <w:tab/>
      </w:r>
      <w:r w:rsidRPr="004D0DAA">
        <w:fldChar w:fldCharType="begin" w:fldLock="1"/>
      </w:r>
      <w:r w:rsidRPr="004D0DAA">
        <w:instrText xml:space="preserve"> PAGEREF _Toc516669353 \h </w:instrText>
      </w:r>
      <w:r w:rsidRPr="004D0DAA">
        <w:fldChar w:fldCharType="separate"/>
      </w:r>
      <w:r w:rsidRPr="004D0DAA">
        <w:t>97</w:t>
      </w:r>
      <w:r w:rsidRPr="004D0DAA">
        <w:fldChar w:fldCharType="end"/>
      </w:r>
    </w:p>
    <w:p w14:paraId="36B507D2" w14:textId="77777777" w:rsidR="00683705" w:rsidRPr="004D0DAA" w:rsidRDefault="00683705">
      <w:pPr>
        <w:pStyle w:val="TOC4"/>
        <w:rPr>
          <w:rFonts w:ascii="Calibri" w:hAnsi="Calibri"/>
          <w:sz w:val="22"/>
          <w:szCs w:val="22"/>
          <w:lang w:val="en-US"/>
        </w:rPr>
      </w:pPr>
      <w:r w:rsidRPr="004D0DAA">
        <w:t>7.1.3.5</w:t>
      </w:r>
      <w:r w:rsidRPr="004D0DAA">
        <w:rPr>
          <w:rFonts w:ascii="Calibri" w:hAnsi="Calibri"/>
          <w:sz w:val="22"/>
          <w:szCs w:val="22"/>
          <w:lang w:val="en-US"/>
        </w:rPr>
        <w:tab/>
      </w:r>
      <w:r w:rsidRPr="004D0DAA">
        <w:t>Timing Advance</w:t>
      </w:r>
      <w:r w:rsidRPr="004D0DAA">
        <w:tab/>
      </w:r>
      <w:r w:rsidRPr="004D0DAA">
        <w:fldChar w:fldCharType="begin" w:fldLock="1"/>
      </w:r>
      <w:r w:rsidRPr="004D0DAA">
        <w:instrText xml:space="preserve"> PAGEREF _Toc516669354 \h </w:instrText>
      </w:r>
      <w:r w:rsidRPr="004D0DAA">
        <w:fldChar w:fldCharType="separate"/>
      </w:r>
      <w:r w:rsidRPr="004D0DAA">
        <w:t>98</w:t>
      </w:r>
      <w:r w:rsidRPr="004D0DAA">
        <w:fldChar w:fldCharType="end"/>
      </w:r>
    </w:p>
    <w:p w14:paraId="59F9D496" w14:textId="77777777" w:rsidR="00683705" w:rsidRPr="004D0DAA" w:rsidRDefault="00683705">
      <w:pPr>
        <w:pStyle w:val="TOC4"/>
        <w:rPr>
          <w:rFonts w:ascii="Calibri" w:hAnsi="Calibri"/>
          <w:sz w:val="22"/>
          <w:szCs w:val="22"/>
          <w:lang w:val="en-US"/>
        </w:rPr>
      </w:pPr>
      <w:r w:rsidRPr="004D0DAA">
        <w:t>7.1.3.6</w:t>
      </w:r>
      <w:r w:rsidRPr="004D0DAA">
        <w:rPr>
          <w:rFonts w:ascii="Calibri" w:hAnsi="Calibri"/>
          <w:sz w:val="22"/>
          <w:szCs w:val="22"/>
          <w:lang w:val="en-US"/>
        </w:rPr>
        <w:tab/>
      </w:r>
      <w:r w:rsidRPr="004D0DAA">
        <w:t>RTTI Assignments</w:t>
      </w:r>
      <w:r w:rsidRPr="004D0DAA">
        <w:tab/>
      </w:r>
      <w:r w:rsidRPr="004D0DAA">
        <w:fldChar w:fldCharType="begin" w:fldLock="1"/>
      </w:r>
      <w:r w:rsidRPr="004D0DAA">
        <w:instrText xml:space="preserve"> PAGEREF _Toc516669355 \h </w:instrText>
      </w:r>
      <w:r w:rsidRPr="004D0DAA">
        <w:fldChar w:fldCharType="separate"/>
      </w:r>
      <w:r w:rsidRPr="004D0DAA">
        <w:t>98</w:t>
      </w:r>
      <w:r w:rsidRPr="004D0DAA">
        <w:fldChar w:fldCharType="end"/>
      </w:r>
    </w:p>
    <w:p w14:paraId="605D5B67" w14:textId="77777777" w:rsidR="00683705" w:rsidRPr="004D0DAA" w:rsidRDefault="00683705">
      <w:pPr>
        <w:pStyle w:val="TOC4"/>
        <w:rPr>
          <w:rFonts w:ascii="Calibri" w:hAnsi="Calibri"/>
          <w:sz w:val="22"/>
          <w:szCs w:val="22"/>
          <w:lang w:val="en-US"/>
        </w:rPr>
      </w:pPr>
      <w:r w:rsidRPr="004D0DAA">
        <w:t>7.1.3.7</w:t>
      </w:r>
      <w:r w:rsidRPr="004D0DAA">
        <w:rPr>
          <w:rFonts w:ascii="Calibri" w:hAnsi="Calibri"/>
          <w:sz w:val="22"/>
          <w:szCs w:val="22"/>
          <w:lang w:val="en-US"/>
        </w:rPr>
        <w:tab/>
      </w:r>
      <w:r w:rsidRPr="004D0DAA">
        <w:t>MTTI Configurations</w:t>
      </w:r>
      <w:r w:rsidRPr="004D0DAA">
        <w:tab/>
      </w:r>
      <w:r w:rsidRPr="004D0DAA">
        <w:fldChar w:fldCharType="begin" w:fldLock="1"/>
      </w:r>
      <w:r w:rsidRPr="004D0DAA">
        <w:instrText xml:space="preserve"> PAGEREF _Toc516669356 \h </w:instrText>
      </w:r>
      <w:r w:rsidRPr="004D0DAA">
        <w:fldChar w:fldCharType="separate"/>
      </w:r>
      <w:r w:rsidRPr="004D0DAA">
        <w:t>99</w:t>
      </w:r>
      <w:r w:rsidRPr="004D0DAA">
        <w:fldChar w:fldCharType="end"/>
      </w:r>
    </w:p>
    <w:p w14:paraId="7888613F" w14:textId="77777777" w:rsidR="00683705" w:rsidRPr="004D0DAA" w:rsidRDefault="00683705">
      <w:pPr>
        <w:pStyle w:val="TOC3"/>
        <w:rPr>
          <w:rFonts w:ascii="Calibri" w:hAnsi="Calibri"/>
          <w:sz w:val="22"/>
          <w:szCs w:val="22"/>
          <w:lang w:val="en-US"/>
        </w:rPr>
      </w:pPr>
      <w:r w:rsidRPr="004D0DAA">
        <w:t>7.1.4</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_Toc516669357 \h </w:instrText>
      </w:r>
      <w:r w:rsidRPr="004D0DAA">
        <w:fldChar w:fldCharType="separate"/>
      </w:r>
      <w:r w:rsidRPr="004D0DAA">
        <w:t>99</w:t>
      </w:r>
      <w:r w:rsidRPr="004D0DAA">
        <w:fldChar w:fldCharType="end"/>
      </w:r>
    </w:p>
    <w:p w14:paraId="23079E22" w14:textId="77777777" w:rsidR="00683705" w:rsidRPr="004D0DAA" w:rsidRDefault="00683705">
      <w:pPr>
        <w:pStyle w:val="TOC2"/>
        <w:rPr>
          <w:rFonts w:ascii="Calibri" w:hAnsi="Calibri"/>
          <w:sz w:val="22"/>
          <w:szCs w:val="22"/>
          <w:lang w:val="en-US"/>
        </w:rPr>
      </w:pPr>
      <w:r w:rsidRPr="004D0DAA">
        <w:t>7.2</w:t>
      </w:r>
      <w:r w:rsidRPr="004D0DAA">
        <w:rPr>
          <w:rFonts w:ascii="Calibri" w:hAnsi="Calibri"/>
          <w:sz w:val="22"/>
          <w:szCs w:val="22"/>
          <w:lang w:val="en-US"/>
        </w:rPr>
        <w:tab/>
      </w:r>
      <w:r w:rsidRPr="004D0DAA">
        <w:t>TBF establishment initiated by the network on PCCCH</w:t>
      </w:r>
      <w:r w:rsidRPr="004D0DAA">
        <w:tab/>
      </w:r>
      <w:r w:rsidRPr="004D0DAA">
        <w:fldChar w:fldCharType="begin" w:fldLock="1"/>
      </w:r>
      <w:r w:rsidRPr="004D0DAA">
        <w:instrText xml:space="preserve"> PAGEREF _Toc516669358 \h </w:instrText>
      </w:r>
      <w:r w:rsidRPr="004D0DAA">
        <w:fldChar w:fldCharType="separate"/>
      </w:r>
      <w:r w:rsidRPr="004D0DAA">
        <w:t>100</w:t>
      </w:r>
      <w:r w:rsidRPr="004D0DAA">
        <w:fldChar w:fldCharType="end"/>
      </w:r>
    </w:p>
    <w:p w14:paraId="764A35B8" w14:textId="77777777" w:rsidR="00683705" w:rsidRPr="004D0DAA" w:rsidRDefault="00683705">
      <w:pPr>
        <w:pStyle w:val="TOC3"/>
        <w:rPr>
          <w:rFonts w:ascii="Calibri" w:hAnsi="Calibri"/>
          <w:sz w:val="22"/>
          <w:szCs w:val="22"/>
          <w:lang w:val="en-US"/>
        </w:rPr>
      </w:pPr>
      <w:r w:rsidRPr="004D0DAA">
        <w:t>7.2.1</w:t>
      </w:r>
      <w:r w:rsidRPr="004D0DAA">
        <w:rPr>
          <w:rFonts w:ascii="Calibri" w:hAnsi="Calibri"/>
          <w:sz w:val="22"/>
          <w:szCs w:val="22"/>
          <w:lang w:val="en-US"/>
        </w:rPr>
        <w:tab/>
      </w:r>
      <w:r w:rsidRPr="004D0DAA">
        <w:t>Entering the packet transfer mode</w:t>
      </w:r>
      <w:r w:rsidRPr="004D0DAA">
        <w:tab/>
      </w:r>
      <w:r w:rsidRPr="004D0DAA">
        <w:fldChar w:fldCharType="begin" w:fldLock="1"/>
      </w:r>
      <w:r w:rsidRPr="004D0DAA">
        <w:instrText xml:space="preserve"> PAGEREF _Toc516669359 \h </w:instrText>
      </w:r>
      <w:r w:rsidRPr="004D0DAA">
        <w:fldChar w:fldCharType="separate"/>
      </w:r>
      <w:r w:rsidRPr="004D0DAA">
        <w:t>100</w:t>
      </w:r>
      <w:r w:rsidRPr="004D0DAA">
        <w:fldChar w:fldCharType="end"/>
      </w:r>
    </w:p>
    <w:p w14:paraId="17FBDCF7" w14:textId="77777777" w:rsidR="00683705" w:rsidRPr="004D0DAA" w:rsidRDefault="00683705">
      <w:pPr>
        <w:pStyle w:val="TOC4"/>
        <w:rPr>
          <w:rFonts w:ascii="Calibri" w:hAnsi="Calibri"/>
          <w:sz w:val="22"/>
          <w:szCs w:val="22"/>
          <w:lang w:val="en-US"/>
        </w:rPr>
      </w:pPr>
      <w:r w:rsidRPr="004D0DAA">
        <w:t>7.2.1.1</w:t>
      </w:r>
      <w:r w:rsidRPr="004D0DAA">
        <w:rPr>
          <w:rFonts w:ascii="Calibri" w:hAnsi="Calibri"/>
          <w:sz w:val="22"/>
          <w:szCs w:val="22"/>
          <w:lang w:val="en-US"/>
        </w:rPr>
        <w:tab/>
      </w:r>
      <w:r w:rsidRPr="004D0DAA">
        <w:t>Packet downlink assignment procedure</w:t>
      </w:r>
      <w:r w:rsidRPr="004D0DAA">
        <w:tab/>
      </w:r>
      <w:r w:rsidRPr="004D0DAA">
        <w:fldChar w:fldCharType="begin" w:fldLock="1"/>
      </w:r>
      <w:r w:rsidRPr="004D0DAA">
        <w:instrText xml:space="preserve"> PAGEREF _Toc516669360 \h </w:instrText>
      </w:r>
      <w:r w:rsidRPr="004D0DAA">
        <w:fldChar w:fldCharType="separate"/>
      </w:r>
      <w:r w:rsidRPr="004D0DAA">
        <w:t>101</w:t>
      </w:r>
      <w:r w:rsidRPr="004D0DAA">
        <w:fldChar w:fldCharType="end"/>
      </w:r>
    </w:p>
    <w:p w14:paraId="3458B2CB" w14:textId="77777777" w:rsidR="00683705" w:rsidRPr="004D0DAA" w:rsidRDefault="00683705">
      <w:pPr>
        <w:pStyle w:val="TOC4"/>
        <w:rPr>
          <w:rFonts w:ascii="Calibri" w:hAnsi="Calibri"/>
          <w:sz w:val="22"/>
          <w:szCs w:val="22"/>
          <w:lang w:val="en-US"/>
        </w:rPr>
      </w:pPr>
      <w:r w:rsidRPr="004D0DAA">
        <w:t>7.2.1.2</w:t>
      </w:r>
      <w:r w:rsidRPr="004D0DAA">
        <w:rPr>
          <w:rFonts w:ascii="Calibri" w:hAnsi="Calibri"/>
          <w:sz w:val="22"/>
          <w:szCs w:val="22"/>
          <w:lang w:val="en-US"/>
        </w:rPr>
        <w:tab/>
      </w:r>
      <w:r w:rsidRPr="004D0DAA">
        <w:t>Packet downlink assignment procedure completion</w:t>
      </w:r>
      <w:r w:rsidRPr="004D0DAA">
        <w:tab/>
      </w:r>
      <w:r w:rsidRPr="004D0DAA">
        <w:fldChar w:fldCharType="begin" w:fldLock="1"/>
      </w:r>
      <w:r w:rsidRPr="004D0DAA">
        <w:instrText xml:space="preserve"> PAGEREF _Toc516669361 \h </w:instrText>
      </w:r>
      <w:r w:rsidRPr="004D0DAA">
        <w:fldChar w:fldCharType="separate"/>
      </w:r>
      <w:r w:rsidRPr="004D0DAA">
        <w:t>102</w:t>
      </w:r>
      <w:r w:rsidRPr="004D0DAA">
        <w:fldChar w:fldCharType="end"/>
      </w:r>
    </w:p>
    <w:p w14:paraId="49CFDF07" w14:textId="77777777" w:rsidR="00683705" w:rsidRPr="004D0DAA" w:rsidRDefault="00683705">
      <w:pPr>
        <w:pStyle w:val="TOC4"/>
        <w:rPr>
          <w:rFonts w:ascii="Calibri" w:hAnsi="Calibri"/>
          <w:sz w:val="22"/>
          <w:szCs w:val="22"/>
          <w:lang w:val="en-US"/>
        </w:rPr>
      </w:pPr>
      <w:r w:rsidRPr="004D0DAA">
        <w:t>7.2.1.3</w:t>
      </w:r>
      <w:r w:rsidRPr="004D0DAA">
        <w:rPr>
          <w:rFonts w:ascii="Calibri" w:hAnsi="Calibri"/>
          <w:sz w:val="22"/>
          <w:szCs w:val="22"/>
          <w:lang w:val="en-US"/>
        </w:rPr>
        <w:tab/>
      </w:r>
      <w:r w:rsidRPr="004D0DAA">
        <w:t>Packet polling procedure</w:t>
      </w:r>
      <w:r w:rsidRPr="004D0DAA">
        <w:tab/>
      </w:r>
      <w:r w:rsidRPr="004D0DAA">
        <w:fldChar w:fldCharType="begin" w:fldLock="1"/>
      </w:r>
      <w:r w:rsidRPr="004D0DAA">
        <w:instrText xml:space="preserve"> PAGEREF _Toc516669362 \h </w:instrText>
      </w:r>
      <w:r w:rsidRPr="004D0DAA">
        <w:fldChar w:fldCharType="separate"/>
      </w:r>
      <w:r w:rsidRPr="004D0DAA">
        <w:t>102</w:t>
      </w:r>
      <w:r w:rsidRPr="004D0DAA">
        <w:fldChar w:fldCharType="end"/>
      </w:r>
    </w:p>
    <w:p w14:paraId="46ABDBBF" w14:textId="77777777" w:rsidR="00683705" w:rsidRPr="004D0DAA" w:rsidRDefault="00683705">
      <w:pPr>
        <w:pStyle w:val="TOC3"/>
        <w:rPr>
          <w:rFonts w:ascii="Calibri" w:hAnsi="Calibri"/>
          <w:sz w:val="22"/>
          <w:szCs w:val="22"/>
          <w:lang w:val="en-US"/>
        </w:rPr>
      </w:pPr>
      <w:r w:rsidRPr="004D0DAA">
        <w:t>7.2.2</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_Toc516669363 \h </w:instrText>
      </w:r>
      <w:r w:rsidRPr="004D0DAA">
        <w:fldChar w:fldCharType="separate"/>
      </w:r>
      <w:r w:rsidRPr="004D0DAA">
        <w:t>102</w:t>
      </w:r>
      <w:r w:rsidRPr="004D0DAA">
        <w:fldChar w:fldCharType="end"/>
      </w:r>
    </w:p>
    <w:p w14:paraId="4A19FDCF" w14:textId="77777777" w:rsidR="00683705" w:rsidRPr="004D0DAA" w:rsidRDefault="00683705">
      <w:pPr>
        <w:pStyle w:val="TOC2"/>
        <w:rPr>
          <w:rFonts w:ascii="Calibri" w:hAnsi="Calibri"/>
          <w:sz w:val="22"/>
          <w:szCs w:val="22"/>
          <w:lang w:val="en-US"/>
        </w:rPr>
      </w:pPr>
      <w:r w:rsidRPr="004D0DAA">
        <w:lastRenderedPageBreak/>
        <w:t>7.3</w:t>
      </w:r>
      <w:r w:rsidRPr="004D0DAA">
        <w:rPr>
          <w:rFonts w:ascii="Calibri" w:hAnsi="Calibri"/>
          <w:sz w:val="22"/>
          <w:szCs w:val="22"/>
          <w:lang w:val="en-US"/>
        </w:rPr>
        <w:tab/>
      </w:r>
      <w:r w:rsidRPr="004D0DAA">
        <w:t>Procedure for measurement report sending in packet idle mode</w:t>
      </w:r>
      <w:r w:rsidRPr="004D0DAA">
        <w:tab/>
      </w:r>
      <w:r w:rsidRPr="004D0DAA">
        <w:fldChar w:fldCharType="begin" w:fldLock="1"/>
      </w:r>
      <w:r w:rsidRPr="004D0DAA">
        <w:instrText xml:space="preserve"> PAGEREF _Toc516669364 \h </w:instrText>
      </w:r>
      <w:r w:rsidRPr="004D0DAA">
        <w:fldChar w:fldCharType="separate"/>
      </w:r>
      <w:r w:rsidRPr="004D0DAA">
        <w:t>102</w:t>
      </w:r>
      <w:r w:rsidRPr="004D0DAA">
        <w:fldChar w:fldCharType="end"/>
      </w:r>
    </w:p>
    <w:p w14:paraId="622ADCB7" w14:textId="77777777" w:rsidR="00683705" w:rsidRPr="004D0DAA" w:rsidRDefault="00683705">
      <w:pPr>
        <w:pStyle w:val="TOC3"/>
        <w:rPr>
          <w:rFonts w:ascii="Calibri" w:hAnsi="Calibri"/>
          <w:sz w:val="22"/>
          <w:szCs w:val="22"/>
          <w:lang w:val="en-US"/>
        </w:rPr>
      </w:pPr>
      <w:r w:rsidRPr="004D0DAA">
        <w:t>7.3.1</w:t>
      </w:r>
      <w:r w:rsidRPr="004D0DAA">
        <w:rPr>
          <w:rFonts w:ascii="Calibri" w:hAnsi="Calibri"/>
          <w:sz w:val="22"/>
          <w:szCs w:val="22"/>
          <w:lang w:val="en-US"/>
        </w:rPr>
        <w:tab/>
      </w:r>
      <w:r w:rsidRPr="004D0DAA">
        <w:t>Measurement report sending procedure initiated on PCCCH</w:t>
      </w:r>
      <w:r w:rsidRPr="004D0DAA">
        <w:tab/>
      </w:r>
      <w:r w:rsidRPr="004D0DAA">
        <w:fldChar w:fldCharType="begin" w:fldLock="1"/>
      </w:r>
      <w:r w:rsidRPr="004D0DAA">
        <w:instrText xml:space="preserve"> PAGEREF _Toc516669365 \h </w:instrText>
      </w:r>
      <w:r w:rsidRPr="004D0DAA">
        <w:fldChar w:fldCharType="separate"/>
      </w:r>
      <w:r w:rsidRPr="004D0DAA">
        <w:t>103</w:t>
      </w:r>
      <w:r w:rsidRPr="004D0DAA">
        <w:fldChar w:fldCharType="end"/>
      </w:r>
    </w:p>
    <w:p w14:paraId="2162559D" w14:textId="77777777" w:rsidR="00683705" w:rsidRPr="004D0DAA" w:rsidRDefault="00683705">
      <w:pPr>
        <w:pStyle w:val="TOC4"/>
        <w:rPr>
          <w:rFonts w:ascii="Calibri" w:hAnsi="Calibri"/>
          <w:sz w:val="22"/>
          <w:szCs w:val="22"/>
          <w:lang w:val="en-US"/>
        </w:rPr>
      </w:pPr>
      <w:r w:rsidRPr="004D0DAA">
        <w:t>7.3.1.1</w:t>
      </w:r>
      <w:r w:rsidRPr="004D0DAA">
        <w:rPr>
          <w:rFonts w:ascii="Calibri" w:hAnsi="Calibri"/>
          <w:sz w:val="22"/>
          <w:szCs w:val="22"/>
          <w:lang w:val="en-US"/>
        </w:rPr>
        <w:tab/>
      </w:r>
      <w:r w:rsidRPr="004D0DAA">
        <w:t>On receipt of a PACKET CHANNEL REQUEST message</w:t>
      </w:r>
      <w:r w:rsidRPr="004D0DAA">
        <w:tab/>
      </w:r>
      <w:r w:rsidRPr="004D0DAA">
        <w:fldChar w:fldCharType="begin" w:fldLock="1"/>
      </w:r>
      <w:r w:rsidRPr="004D0DAA">
        <w:instrText xml:space="preserve"> PAGEREF _Toc516669366 \h </w:instrText>
      </w:r>
      <w:r w:rsidRPr="004D0DAA">
        <w:fldChar w:fldCharType="separate"/>
      </w:r>
      <w:r w:rsidRPr="004D0DAA">
        <w:t>103</w:t>
      </w:r>
      <w:r w:rsidRPr="004D0DAA">
        <w:fldChar w:fldCharType="end"/>
      </w:r>
    </w:p>
    <w:p w14:paraId="547B288C" w14:textId="77777777" w:rsidR="00683705" w:rsidRPr="004D0DAA" w:rsidRDefault="00683705">
      <w:pPr>
        <w:pStyle w:val="TOC4"/>
        <w:rPr>
          <w:rFonts w:ascii="Calibri" w:hAnsi="Calibri"/>
          <w:sz w:val="22"/>
          <w:szCs w:val="22"/>
          <w:lang w:val="en-US"/>
        </w:rPr>
      </w:pPr>
      <w:r w:rsidRPr="004D0DAA">
        <w:t>7.3.1.2</w:t>
      </w:r>
      <w:r w:rsidRPr="004D0DAA">
        <w:rPr>
          <w:rFonts w:ascii="Calibri" w:hAnsi="Calibri"/>
          <w:sz w:val="22"/>
          <w:szCs w:val="22"/>
          <w:lang w:val="en-US"/>
        </w:rPr>
        <w:tab/>
      </w:r>
      <w:r w:rsidRPr="004D0DAA">
        <w:t>On receipt of a PACKET UPLINK ASSIGNMENT message</w:t>
      </w:r>
      <w:r w:rsidRPr="004D0DAA">
        <w:tab/>
      </w:r>
      <w:r w:rsidRPr="004D0DAA">
        <w:fldChar w:fldCharType="begin" w:fldLock="1"/>
      </w:r>
      <w:r w:rsidRPr="004D0DAA">
        <w:instrText xml:space="preserve"> PAGEREF _Toc516669367 \h </w:instrText>
      </w:r>
      <w:r w:rsidRPr="004D0DAA">
        <w:fldChar w:fldCharType="separate"/>
      </w:r>
      <w:r w:rsidRPr="004D0DAA">
        <w:t>103</w:t>
      </w:r>
      <w:r w:rsidRPr="004D0DAA">
        <w:fldChar w:fldCharType="end"/>
      </w:r>
    </w:p>
    <w:p w14:paraId="13CF6BC3" w14:textId="77777777" w:rsidR="00683705" w:rsidRPr="004D0DAA" w:rsidRDefault="00683705">
      <w:pPr>
        <w:pStyle w:val="TOC4"/>
        <w:rPr>
          <w:rFonts w:ascii="Calibri" w:hAnsi="Calibri"/>
          <w:sz w:val="22"/>
          <w:szCs w:val="22"/>
          <w:lang w:val="en-US"/>
        </w:rPr>
      </w:pPr>
      <w:r w:rsidRPr="004D0DAA">
        <w:t>7.3.1.3</w:t>
      </w:r>
      <w:r w:rsidRPr="004D0DAA">
        <w:rPr>
          <w:rFonts w:ascii="Calibri" w:hAnsi="Calibri"/>
          <w:sz w:val="22"/>
          <w:szCs w:val="22"/>
          <w:lang w:val="en-US"/>
        </w:rPr>
        <w:tab/>
      </w:r>
      <w:r w:rsidRPr="004D0DAA">
        <w:t>On receipt of a PACKET ACCESS REJECT message</w:t>
      </w:r>
      <w:r w:rsidRPr="004D0DAA">
        <w:tab/>
      </w:r>
      <w:r w:rsidRPr="004D0DAA">
        <w:fldChar w:fldCharType="begin" w:fldLock="1"/>
      </w:r>
      <w:r w:rsidRPr="004D0DAA">
        <w:instrText xml:space="preserve"> PAGEREF _Toc516669368 \h </w:instrText>
      </w:r>
      <w:r w:rsidRPr="004D0DAA">
        <w:fldChar w:fldCharType="separate"/>
      </w:r>
      <w:r w:rsidRPr="004D0DAA">
        <w:t>103</w:t>
      </w:r>
      <w:r w:rsidRPr="004D0DAA">
        <w:fldChar w:fldCharType="end"/>
      </w:r>
    </w:p>
    <w:p w14:paraId="1765D6B5" w14:textId="77777777" w:rsidR="00683705" w:rsidRPr="004D0DAA" w:rsidRDefault="00683705">
      <w:pPr>
        <w:pStyle w:val="TOC4"/>
        <w:rPr>
          <w:rFonts w:ascii="Calibri" w:hAnsi="Calibri"/>
          <w:sz w:val="22"/>
          <w:szCs w:val="22"/>
          <w:lang w:val="en-US"/>
        </w:rPr>
      </w:pPr>
      <w:r w:rsidRPr="004D0DAA">
        <w:t>7.3.1.4</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_Toc516669369 \h </w:instrText>
      </w:r>
      <w:r w:rsidRPr="004D0DAA">
        <w:fldChar w:fldCharType="separate"/>
      </w:r>
      <w:r w:rsidRPr="004D0DAA">
        <w:t>104</w:t>
      </w:r>
      <w:r w:rsidRPr="004D0DAA">
        <w:fldChar w:fldCharType="end"/>
      </w:r>
    </w:p>
    <w:p w14:paraId="38EAA071" w14:textId="77777777" w:rsidR="00683705" w:rsidRPr="004D0DAA" w:rsidRDefault="00683705">
      <w:pPr>
        <w:pStyle w:val="TOC3"/>
        <w:rPr>
          <w:rFonts w:ascii="Calibri" w:hAnsi="Calibri"/>
          <w:sz w:val="22"/>
          <w:szCs w:val="22"/>
          <w:lang w:val="en-US"/>
        </w:rPr>
      </w:pPr>
      <w:r w:rsidRPr="004D0DAA">
        <w:t>7.3.2</w:t>
      </w:r>
      <w:r w:rsidRPr="004D0DAA">
        <w:rPr>
          <w:rFonts w:ascii="Calibri" w:hAnsi="Calibri"/>
          <w:sz w:val="22"/>
          <w:szCs w:val="22"/>
          <w:lang w:val="en-US"/>
        </w:rPr>
        <w:tab/>
      </w:r>
      <w:r w:rsidRPr="004D0DAA">
        <w:t>Measurement report sending procedure initiated on CCCH</w:t>
      </w:r>
      <w:r w:rsidRPr="004D0DAA">
        <w:tab/>
      </w:r>
      <w:r w:rsidRPr="004D0DAA">
        <w:fldChar w:fldCharType="begin" w:fldLock="1"/>
      </w:r>
      <w:r w:rsidRPr="004D0DAA">
        <w:instrText xml:space="preserve"> PAGEREF _Toc516669370 \h </w:instrText>
      </w:r>
      <w:r w:rsidRPr="004D0DAA">
        <w:fldChar w:fldCharType="separate"/>
      </w:r>
      <w:r w:rsidRPr="004D0DAA">
        <w:t>104</w:t>
      </w:r>
      <w:r w:rsidRPr="004D0DAA">
        <w:fldChar w:fldCharType="end"/>
      </w:r>
    </w:p>
    <w:p w14:paraId="1C19DBDB" w14:textId="77777777" w:rsidR="00683705" w:rsidRPr="004D0DAA" w:rsidRDefault="00683705">
      <w:pPr>
        <w:pStyle w:val="TOC2"/>
        <w:rPr>
          <w:rFonts w:ascii="Calibri" w:hAnsi="Calibri"/>
          <w:sz w:val="22"/>
          <w:szCs w:val="22"/>
          <w:lang w:val="en-US"/>
        </w:rPr>
      </w:pPr>
      <w:r w:rsidRPr="004D0DAA">
        <w:t>7.4</w:t>
      </w:r>
      <w:r w:rsidRPr="004D0DAA">
        <w:rPr>
          <w:rFonts w:ascii="Calibri" w:hAnsi="Calibri"/>
          <w:sz w:val="22"/>
          <w:szCs w:val="22"/>
          <w:lang w:val="en-US"/>
        </w:rPr>
        <w:tab/>
      </w:r>
      <w:r w:rsidRPr="004D0DAA">
        <w:t>Cell Change Order procedures in Packet Idle mode</w:t>
      </w:r>
      <w:r w:rsidRPr="004D0DAA">
        <w:tab/>
      </w:r>
      <w:r w:rsidRPr="004D0DAA">
        <w:fldChar w:fldCharType="begin" w:fldLock="1"/>
      </w:r>
      <w:r w:rsidRPr="004D0DAA">
        <w:instrText xml:space="preserve"> PAGEREF _Toc516669371 \h </w:instrText>
      </w:r>
      <w:r w:rsidRPr="004D0DAA">
        <w:fldChar w:fldCharType="separate"/>
      </w:r>
      <w:r w:rsidRPr="004D0DAA">
        <w:t>104</w:t>
      </w:r>
      <w:r w:rsidRPr="004D0DAA">
        <w:fldChar w:fldCharType="end"/>
      </w:r>
    </w:p>
    <w:p w14:paraId="27141B01" w14:textId="77777777" w:rsidR="00683705" w:rsidRPr="004D0DAA" w:rsidRDefault="00683705">
      <w:pPr>
        <w:pStyle w:val="TOC3"/>
        <w:rPr>
          <w:rFonts w:ascii="Calibri" w:hAnsi="Calibri"/>
          <w:sz w:val="22"/>
          <w:szCs w:val="22"/>
          <w:lang w:val="en-US"/>
        </w:rPr>
      </w:pPr>
      <w:r w:rsidRPr="004D0DAA">
        <w:t>7.4.1</w:t>
      </w:r>
      <w:r w:rsidRPr="004D0DAA">
        <w:rPr>
          <w:rFonts w:ascii="Calibri" w:hAnsi="Calibri"/>
          <w:sz w:val="22"/>
          <w:szCs w:val="22"/>
          <w:lang w:val="en-US"/>
        </w:rPr>
        <w:tab/>
      </w:r>
      <w:r w:rsidRPr="004D0DAA">
        <w:t>Cell Change Order procedure initiated on PCCCH</w:t>
      </w:r>
      <w:r w:rsidRPr="004D0DAA">
        <w:tab/>
      </w:r>
      <w:r w:rsidRPr="004D0DAA">
        <w:fldChar w:fldCharType="begin" w:fldLock="1"/>
      </w:r>
      <w:r w:rsidRPr="004D0DAA">
        <w:instrText xml:space="preserve"> PAGEREF _Toc516669372 \h </w:instrText>
      </w:r>
      <w:r w:rsidRPr="004D0DAA">
        <w:fldChar w:fldCharType="separate"/>
      </w:r>
      <w:r w:rsidRPr="004D0DAA">
        <w:t>104</w:t>
      </w:r>
      <w:r w:rsidRPr="004D0DAA">
        <w:fldChar w:fldCharType="end"/>
      </w:r>
    </w:p>
    <w:p w14:paraId="495CC2EA" w14:textId="77777777" w:rsidR="00683705" w:rsidRPr="004D0DAA" w:rsidRDefault="00683705">
      <w:pPr>
        <w:pStyle w:val="TOC3"/>
        <w:rPr>
          <w:rFonts w:ascii="Calibri" w:hAnsi="Calibri"/>
          <w:sz w:val="22"/>
          <w:szCs w:val="22"/>
          <w:lang w:val="en-US"/>
        </w:rPr>
      </w:pPr>
      <w:r w:rsidRPr="004D0DAA">
        <w:t>7.4.2</w:t>
      </w:r>
      <w:r w:rsidRPr="004D0DAA">
        <w:rPr>
          <w:rFonts w:ascii="Calibri" w:hAnsi="Calibri"/>
          <w:sz w:val="22"/>
          <w:szCs w:val="22"/>
          <w:lang w:val="en-US"/>
        </w:rPr>
        <w:tab/>
      </w:r>
      <w:r w:rsidRPr="004D0DAA">
        <w:t>Cell Change Order procedure initiated on CCCH</w:t>
      </w:r>
      <w:r w:rsidRPr="004D0DAA">
        <w:tab/>
      </w:r>
      <w:r w:rsidRPr="004D0DAA">
        <w:fldChar w:fldCharType="begin" w:fldLock="1"/>
      </w:r>
      <w:r w:rsidRPr="004D0DAA">
        <w:instrText xml:space="preserve"> PAGEREF _Toc516669373 \h </w:instrText>
      </w:r>
      <w:r w:rsidRPr="004D0DAA">
        <w:fldChar w:fldCharType="separate"/>
      </w:r>
      <w:r w:rsidRPr="004D0DAA">
        <w:t>105</w:t>
      </w:r>
      <w:r w:rsidRPr="004D0DAA">
        <w:fldChar w:fldCharType="end"/>
      </w:r>
    </w:p>
    <w:p w14:paraId="06AE64C7" w14:textId="77777777" w:rsidR="00683705" w:rsidRPr="004D0DAA" w:rsidRDefault="00683705">
      <w:pPr>
        <w:pStyle w:val="TOC2"/>
        <w:rPr>
          <w:rFonts w:ascii="Calibri" w:hAnsi="Calibri"/>
          <w:sz w:val="22"/>
          <w:szCs w:val="22"/>
          <w:lang w:val="en-US"/>
        </w:rPr>
      </w:pPr>
      <w:r w:rsidRPr="004D0DAA">
        <w:t>7.5</w:t>
      </w:r>
      <w:r w:rsidRPr="004D0DAA">
        <w:rPr>
          <w:rFonts w:ascii="Calibri" w:hAnsi="Calibri"/>
          <w:sz w:val="22"/>
          <w:szCs w:val="22"/>
          <w:lang w:val="en-US"/>
        </w:rPr>
        <w:tab/>
      </w:r>
      <w:r w:rsidRPr="004D0DAA">
        <w:t>Measurement Order procedures in Packet Idle mode</w:t>
      </w:r>
      <w:r w:rsidRPr="004D0DAA">
        <w:tab/>
      </w:r>
      <w:r w:rsidRPr="004D0DAA">
        <w:fldChar w:fldCharType="begin" w:fldLock="1"/>
      </w:r>
      <w:r w:rsidRPr="004D0DAA">
        <w:instrText xml:space="preserve"> PAGEREF _Toc516669374 \h </w:instrText>
      </w:r>
      <w:r w:rsidRPr="004D0DAA">
        <w:fldChar w:fldCharType="separate"/>
      </w:r>
      <w:r w:rsidRPr="004D0DAA">
        <w:t>105</w:t>
      </w:r>
      <w:r w:rsidRPr="004D0DAA">
        <w:fldChar w:fldCharType="end"/>
      </w:r>
    </w:p>
    <w:p w14:paraId="6B5CCAA2" w14:textId="77777777" w:rsidR="00683705" w:rsidRPr="004D0DAA" w:rsidRDefault="00683705">
      <w:pPr>
        <w:pStyle w:val="TOC3"/>
        <w:rPr>
          <w:rFonts w:ascii="Calibri" w:hAnsi="Calibri"/>
          <w:sz w:val="22"/>
          <w:szCs w:val="22"/>
          <w:lang w:val="en-US"/>
        </w:rPr>
      </w:pPr>
      <w:r w:rsidRPr="004D0DAA">
        <w:t>7.5.1</w:t>
      </w:r>
      <w:r w:rsidRPr="004D0DAA">
        <w:rPr>
          <w:rFonts w:ascii="Calibri" w:hAnsi="Calibri"/>
          <w:sz w:val="22"/>
          <w:szCs w:val="22"/>
          <w:lang w:val="en-US"/>
        </w:rPr>
        <w:tab/>
      </w:r>
      <w:r w:rsidRPr="004D0DAA">
        <w:t>Measurement Order procedures initiated on PCCCH</w:t>
      </w:r>
      <w:r w:rsidRPr="004D0DAA">
        <w:tab/>
      </w:r>
      <w:r w:rsidRPr="004D0DAA">
        <w:fldChar w:fldCharType="begin" w:fldLock="1"/>
      </w:r>
      <w:r w:rsidRPr="004D0DAA">
        <w:instrText xml:space="preserve"> PAGEREF _Toc516669375 \h </w:instrText>
      </w:r>
      <w:r w:rsidRPr="004D0DAA">
        <w:fldChar w:fldCharType="separate"/>
      </w:r>
      <w:r w:rsidRPr="004D0DAA">
        <w:t>106</w:t>
      </w:r>
      <w:r w:rsidRPr="004D0DAA">
        <w:fldChar w:fldCharType="end"/>
      </w:r>
    </w:p>
    <w:p w14:paraId="61D6865C" w14:textId="77777777" w:rsidR="00683705" w:rsidRPr="004D0DAA" w:rsidRDefault="00683705">
      <w:pPr>
        <w:pStyle w:val="TOC3"/>
        <w:rPr>
          <w:rFonts w:ascii="Calibri" w:hAnsi="Calibri"/>
          <w:sz w:val="22"/>
          <w:szCs w:val="22"/>
          <w:lang w:val="en-US"/>
        </w:rPr>
      </w:pPr>
      <w:r w:rsidRPr="004D0DAA">
        <w:t>7.5.2</w:t>
      </w:r>
      <w:r w:rsidRPr="004D0DAA">
        <w:rPr>
          <w:rFonts w:ascii="Calibri" w:hAnsi="Calibri"/>
          <w:sz w:val="22"/>
          <w:szCs w:val="22"/>
          <w:lang w:val="en-US"/>
        </w:rPr>
        <w:tab/>
      </w:r>
      <w:r w:rsidRPr="004D0DAA">
        <w:t>Measurement Order procedures initiated on CCCH</w:t>
      </w:r>
      <w:r w:rsidRPr="004D0DAA">
        <w:tab/>
      </w:r>
      <w:r w:rsidRPr="004D0DAA">
        <w:fldChar w:fldCharType="begin" w:fldLock="1"/>
      </w:r>
      <w:r w:rsidRPr="004D0DAA">
        <w:instrText xml:space="preserve"> PAGEREF _Toc516669376 \h </w:instrText>
      </w:r>
      <w:r w:rsidRPr="004D0DAA">
        <w:fldChar w:fldCharType="separate"/>
      </w:r>
      <w:r w:rsidRPr="004D0DAA">
        <w:t>106</w:t>
      </w:r>
      <w:r w:rsidRPr="004D0DAA">
        <w:fldChar w:fldCharType="end"/>
      </w:r>
    </w:p>
    <w:p w14:paraId="7DED6BA2" w14:textId="77777777" w:rsidR="00683705" w:rsidRPr="004D0DAA" w:rsidRDefault="00683705">
      <w:pPr>
        <w:pStyle w:val="TOC2"/>
        <w:rPr>
          <w:rFonts w:ascii="Calibri" w:hAnsi="Calibri"/>
          <w:sz w:val="22"/>
          <w:szCs w:val="22"/>
          <w:lang w:val="en-US"/>
        </w:rPr>
      </w:pPr>
      <w:r w:rsidRPr="004D0DAA">
        <w:t>7.6</w:t>
      </w:r>
      <w:r w:rsidRPr="004D0DAA">
        <w:rPr>
          <w:rFonts w:ascii="Calibri" w:hAnsi="Calibri"/>
          <w:sz w:val="22"/>
          <w:szCs w:val="22"/>
          <w:lang w:val="en-US"/>
        </w:rPr>
        <w:tab/>
      </w:r>
      <w:r w:rsidRPr="004D0DAA">
        <w:t>Packet Pause procedure</w:t>
      </w:r>
      <w:r w:rsidRPr="004D0DAA">
        <w:tab/>
      </w:r>
      <w:r w:rsidRPr="004D0DAA">
        <w:fldChar w:fldCharType="begin" w:fldLock="1"/>
      </w:r>
      <w:r w:rsidRPr="004D0DAA">
        <w:instrText xml:space="preserve"> PAGEREF _Toc516669377 \h </w:instrText>
      </w:r>
      <w:r w:rsidRPr="004D0DAA">
        <w:fldChar w:fldCharType="separate"/>
      </w:r>
      <w:r w:rsidRPr="004D0DAA">
        <w:t>106</w:t>
      </w:r>
      <w:r w:rsidRPr="004D0DAA">
        <w:fldChar w:fldCharType="end"/>
      </w:r>
    </w:p>
    <w:p w14:paraId="18471B7E" w14:textId="77777777" w:rsidR="00683705" w:rsidRPr="004D0DAA" w:rsidRDefault="00683705">
      <w:pPr>
        <w:pStyle w:val="TOC3"/>
        <w:rPr>
          <w:rFonts w:ascii="Calibri" w:hAnsi="Calibri"/>
          <w:sz w:val="22"/>
          <w:szCs w:val="22"/>
          <w:lang w:val="en-US"/>
        </w:rPr>
      </w:pPr>
      <w:r w:rsidRPr="004D0DAA">
        <w:t>7.6.1</w:t>
      </w:r>
      <w:r w:rsidRPr="004D0DAA">
        <w:rPr>
          <w:rFonts w:ascii="Calibri" w:hAnsi="Calibri"/>
          <w:sz w:val="22"/>
          <w:szCs w:val="22"/>
          <w:lang w:val="en-US"/>
        </w:rPr>
        <w:tab/>
      </w:r>
      <w:r w:rsidRPr="004D0DAA">
        <w:t>Packet pause procedure initiated on PCCCH</w:t>
      </w:r>
      <w:r w:rsidRPr="004D0DAA">
        <w:tab/>
      </w:r>
      <w:r w:rsidRPr="004D0DAA">
        <w:fldChar w:fldCharType="begin" w:fldLock="1"/>
      </w:r>
      <w:r w:rsidRPr="004D0DAA">
        <w:instrText xml:space="preserve"> PAGEREF _Toc516669378 \h </w:instrText>
      </w:r>
      <w:r w:rsidRPr="004D0DAA">
        <w:fldChar w:fldCharType="separate"/>
      </w:r>
      <w:r w:rsidRPr="004D0DAA">
        <w:t>106</w:t>
      </w:r>
      <w:r w:rsidRPr="004D0DAA">
        <w:fldChar w:fldCharType="end"/>
      </w:r>
    </w:p>
    <w:p w14:paraId="7AF66B24" w14:textId="77777777" w:rsidR="00683705" w:rsidRPr="004D0DAA" w:rsidRDefault="00683705">
      <w:pPr>
        <w:pStyle w:val="TOC4"/>
        <w:rPr>
          <w:rFonts w:ascii="Calibri" w:hAnsi="Calibri"/>
          <w:sz w:val="22"/>
          <w:szCs w:val="22"/>
          <w:lang w:val="en-US"/>
        </w:rPr>
      </w:pPr>
      <w:r w:rsidRPr="004D0DAA">
        <w:t>7.6.1.1</w:t>
      </w:r>
      <w:r w:rsidRPr="004D0DAA">
        <w:rPr>
          <w:rFonts w:ascii="Calibri" w:hAnsi="Calibri"/>
          <w:sz w:val="22"/>
          <w:szCs w:val="22"/>
          <w:lang w:val="en-US"/>
        </w:rPr>
        <w:tab/>
      </w:r>
      <w:r w:rsidRPr="004D0DAA">
        <w:t>On receipt of a PACKET CHANNEL REQUEST message</w:t>
      </w:r>
      <w:r w:rsidRPr="004D0DAA">
        <w:tab/>
      </w:r>
      <w:r w:rsidRPr="004D0DAA">
        <w:fldChar w:fldCharType="begin" w:fldLock="1"/>
      </w:r>
      <w:r w:rsidRPr="004D0DAA">
        <w:instrText xml:space="preserve"> PAGEREF _Toc516669379 \h </w:instrText>
      </w:r>
      <w:r w:rsidRPr="004D0DAA">
        <w:fldChar w:fldCharType="separate"/>
      </w:r>
      <w:r w:rsidRPr="004D0DAA">
        <w:t>106</w:t>
      </w:r>
      <w:r w:rsidRPr="004D0DAA">
        <w:fldChar w:fldCharType="end"/>
      </w:r>
    </w:p>
    <w:p w14:paraId="5A793106" w14:textId="77777777" w:rsidR="00683705" w:rsidRPr="004D0DAA" w:rsidRDefault="00683705">
      <w:pPr>
        <w:pStyle w:val="TOC4"/>
        <w:rPr>
          <w:rFonts w:ascii="Calibri" w:hAnsi="Calibri"/>
          <w:sz w:val="22"/>
          <w:szCs w:val="22"/>
          <w:lang w:val="en-US"/>
        </w:rPr>
      </w:pPr>
      <w:r w:rsidRPr="004D0DAA">
        <w:t>7.6.1.2</w:t>
      </w:r>
      <w:r w:rsidRPr="004D0DAA">
        <w:rPr>
          <w:rFonts w:ascii="Calibri" w:hAnsi="Calibri"/>
          <w:sz w:val="22"/>
          <w:szCs w:val="22"/>
          <w:lang w:val="en-US"/>
        </w:rPr>
        <w:tab/>
      </w:r>
      <w:r w:rsidRPr="004D0DAA">
        <w:t>On receipt of a PACKET UPLINK ASSIGNMENT message</w:t>
      </w:r>
      <w:r w:rsidRPr="004D0DAA">
        <w:tab/>
      </w:r>
      <w:r w:rsidRPr="004D0DAA">
        <w:fldChar w:fldCharType="begin" w:fldLock="1"/>
      </w:r>
      <w:r w:rsidRPr="004D0DAA">
        <w:instrText xml:space="preserve"> PAGEREF _Toc516669380 \h </w:instrText>
      </w:r>
      <w:r w:rsidRPr="004D0DAA">
        <w:fldChar w:fldCharType="separate"/>
      </w:r>
      <w:r w:rsidRPr="004D0DAA">
        <w:t>107</w:t>
      </w:r>
      <w:r w:rsidRPr="004D0DAA">
        <w:fldChar w:fldCharType="end"/>
      </w:r>
    </w:p>
    <w:p w14:paraId="765A9136" w14:textId="77777777" w:rsidR="00683705" w:rsidRPr="004D0DAA" w:rsidRDefault="00683705">
      <w:pPr>
        <w:pStyle w:val="TOC4"/>
        <w:rPr>
          <w:rFonts w:ascii="Calibri" w:hAnsi="Calibri"/>
          <w:sz w:val="22"/>
          <w:szCs w:val="22"/>
          <w:lang w:val="en-US"/>
        </w:rPr>
      </w:pPr>
      <w:r w:rsidRPr="004D0DAA">
        <w:t>7.6.1.3</w:t>
      </w:r>
      <w:r w:rsidRPr="004D0DAA">
        <w:rPr>
          <w:rFonts w:ascii="Calibri" w:hAnsi="Calibri"/>
          <w:sz w:val="22"/>
          <w:szCs w:val="22"/>
          <w:lang w:val="en-US"/>
        </w:rPr>
        <w:tab/>
      </w:r>
      <w:r w:rsidRPr="004D0DAA">
        <w:t>On receipt of a PACKET ACCESS REJECT message</w:t>
      </w:r>
      <w:r w:rsidRPr="004D0DAA">
        <w:tab/>
      </w:r>
      <w:r w:rsidRPr="004D0DAA">
        <w:fldChar w:fldCharType="begin" w:fldLock="1"/>
      </w:r>
      <w:r w:rsidRPr="004D0DAA">
        <w:instrText xml:space="preserve"> PAGEREF _Toc516669381 \h </w:instrText>
      </w:r>
      <w:r w:rsidRPr="004D0DAA">
        <w:fldChar w:fldCharType="separate"/>
      </w:r>
      <w:r w:rsidRPr="004D0DAA">
        <w:t>107</w:t>
      </w:r>
      <w:r w:rsidRPr="004D0DAA">
        <w:fldChar w:fldCharType="end"/>
      </w:r>
    </w:p>
    <w:p w14:paraId="0B81C340" w14:textId="77777777" w:rsidR="00683705" w:rsidRPr="004D0DAA" w:rsidRDefault="00683705">
      <w:pPr>
        <w:pStyle w:val="TOC4"/>
        <w:rPr>
          <w:rFonts w:ascii="Calibri" w:hAnsi="Calibri"/>
          <w:sz w:val="22"/>
          <w:szCs w:val="22"/>
          <w:lang w:val="en-US"/>
        </w:rPr>
      </w:pPr>
      <w:r w:rsidRPr="004D0DAA">
        <w:t>7.6.1.4</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_Toc516669382 \h </w:instrText>
      </w:r>
      <w:r w:rsidRPr="004D0DAA">
        <w:fldChar w:fldCharType="separate"/>
      </w:r>
      <w:r w:rsidRPr="004D0DAA">
        <w:t>107</w:t>
      </w:r>
      <w:r w:rsidRPr="004D0DAA">
        <w:fldChar w:fldCharType="end"/>
      </w:r>
    </w:p>
    <w:p w14:paraId="0C2C20D5" w14:textId="77777777" w:rsidR="00683705" w:rsidRPr="004D0DAA" w:rsidRDefault="00683705">
      <w:pPr>
        <w:pStyle w:val="TOC3"/>
        <w:rPr>
          <w:rFonts w:ascii="Calibri" w:hAnsi="Calibri"/>
          <w:sz w:val="22"/>
          <w:szCs w:val="22"/>
          <w:lang w:val="en-US"/>
        </w:rPr>
      </w:pPr>
      <w:r w:rsidRPr="004D0DAA">
        <w:t>7.6.2</w:t>
      </w:r>
      <w:r w:rsidRPr="004D0DAA">
        <w:rPr>
          <w:rFonts w:ascii="Calibri" w:hAnsi="Calibri"/>
          <w:sz w:val="22"/>
          <w:szCs w:val="22"/>
          <w:lang w:val="en-US"/>
        </w:rPr>
        <w:tab/>
      </w:r>
      <w:r w:rsidRPr="004D0DAA">
        <w:t>Packet pause procedure initiated on CCCH</w:t>
      </w:r>
      <w:r w:rsidRPr="004D0DAA">
        <w:tab/>
      </w:r>
      <w:r w:rsidRPr="004D0DAA">
        <w:fldChar w:fldCharType="begin" w:fldLock="1"/>
      </w:r>
      <w:r w:rsidRPr="004D0DAA">
        <w:instrText xml:space="preserve"> PAGEREF _Toc516669383 \h </w:instrText>
      </w:r>
      <w:r w:rsidRPr="004D0DAA">
        <w:fldChar w:fldCharType="separate"/>
      </w:r>
      <w:r w:rsidRPr="004D0DAA">
        <w:t>107</w:t>
      </w:r>
      <w:r w:rsidRPr="004D0DAA">
        <w:fldChar w:fldCharType="end"/>
      </w:r>
    </w:p>
    <w:p w14:paraId="13F42FCC" w14:textId="77777777" w:rsidR="00683705" w:rsidRPr="004D0DAA" w:rsidRDefault="00683705">
      <w:pPr>
        <w:pStyle w:val="TOC2"/>
        <w:rPr>
          <w:rFonts w:ascii="Calibri" w:hAnsi="Calibri"/>
          <w:sz w:val="22"/>
          <w:szCs w:val="22"/>
          <w:lang w:val="en-US"/>
        </w:rPr>
      </w:pPr>
      <w:r w:rsidRPr="004D0DAA">
        <w:t>7.7</w:t>
      </w:r>
      <w:r w:rsidRPr="004D0DAA">
        <w:rPr>
          <w:rFonts w:ascii="Calibri" w:hAnsi="Calibri"/>
          <w:sz w:val="22"/>
          <w:szCs w:val="22"/>
          <w:lang w:val="en-US"/>
        </w:rPr>
        <w:tab/>
      </w:r>
      <w:r w:rsidRPr="004D0DAA">
        <w:t>MBMS packet access and establishment procedures</w:t>
      </w:r>
      <w:r w:rsidRPr="004D0DAA">
        <w:tab/>
      </w:r>
      <w:r w:rsidRPr="004D0DAA">
        <w:fldChar w:fldCharType="begin" w:fldLock="1"/>
      </w:r>
      <w:r w:rsidRPr="004D0DAA">
        <w:instrText xml:space="preserve"> PAGEREF _Toc516669384 \h </w:instrText>
      </w:r>
      <w:r w:rsidRPr="004D0DAA">
        <w:fldChar w:fldCharType="separate"/>
      </w:r>
      <w:r w:rsidRPr="004D0DAA">
        <w:t>107</w:t>
      </w:r>
      <w:r w:rsidRPr="004D0DAA">
        <w:fldChar w:fldCharType="end"/>
      </w:r>
    </w:p>
    <w:p w14:paraId="19DA633A" w14:textId="77777777" w:rsidR="00683705" w:rsidRPr="004D0DAA" w:rsidRDefault="00683705">
      <w:pPr>
        <w:pStyle w:val="TOC3"/>
        <w:rPr>
          <w:rFonts w:ascii="Calibri" w:hAnsi="Calibri"/>
          <w:sz w:val="22"/>
          <w:szCs w:val="22"/>
          <w:lang w:val="en-US"/>
        </w:rPr>
      </w:pPr>
      <w:r w:rsidRPr="004D0DAA">
        <w:t>7.7.1</w:t>
      </w:r>
      <w:r w:rsidRPr="004D0DAA">
        <w:rPr>
          <w:rFonts w:ascii="Calibri" w:hAnsi="Calibri"/>
          <w:sz w:val="22"/>
          <w:szCs w:val="22"/>
          <w:lang w:val="en-US"/>
        </w:rPr>
        <w:tab/>
      </w:r>
      <w:r w:rsidRPr="004D0DAA">
        <w:t>MBMS packet access procedure</w:t>
      </w:r>
      <w:r w:rsidRPr="004D0DAA">
        <w:tab/>
      </w:r>
      <w:r w:rsidRPr="004D0DAA">
        <w:fldChar w:fldCharType="begin" w:fldLock="1"/>
      </w:r>
      <w:r w:rsidRPr="004D0DAA">
        <w:instrText xml:space="preserve"> PAGEREF _Toc516669385 \h </w:instrText>
      </w:r>
      <w:r w:rsidRPr="004D0DAA">
        <w:fldChar w:fldCharType="separate"/>
      </w:r>
      <w:r w:rsidRPr="004D0DAA">
        <w:t>107</w:t>
      </w:r>
      <w:r w:rsidRPr="004D0DAA">
        <w:fldChar w:fldCharType="end"/>
      </w:r>
    </w:p>
    <w:p w14:paraId="6A1D71CC" w14:textId="77777777" w:rsidR="00683705" w:rsidRPr="004D0DAA" w:rsidRDefault="00683705">
      <w:pPr>
        <w:pStyle w:val="TOC4"/>
        <w:rPr>
          <w:rFonts w:ascii="Calibri" w:hAnsi="Calibri"/>
          <w:sz w:val="22"/>
          <w:szCs w:val="22"/>
          <w:lang w:val="en-US"/>
        </w:rPr>
      </w:pPr>
      <w:r w:rsidRPr="004D0DAA">
        <w:t>7.7.1.1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_Toc516669386 \h </w:instrText>
      </w:r>
      <w:r w:rsidRPr="004D0DAA">
        <w:fldChar w:fldCharType="separate"/>
      </w:r>
      <w:r w:rsidRPr="004D0DAA">
        <w:t>107</w:t>
      </w:r>
      <w:r w:rsidRPr="004D0DAA">
        <w:fldChar w:fldCharType="end"/>
      </w:r>
    </w:p>
    <w:p w14:paraId="06A39520" w14:textId="77777777" w:rsidR="00683705" w:rsidRPr="004D0DAA" w:rsidRDefault="00683705">
      <w:pPr>
        <w:pStyle w:val="TOC4"/>
        <w:rPr>
          <w:rFonts w:ascii="Calibri" w:hAnsi="Calibri"/>
          <w:sz w:val="22"/>
          <w:szCs w:val="22"/>
          <w:lang w:val="en-US"/>
        </w:rPr>
      </w:pPr>
      <w:r w:rsidRPr="004D0DAA">
        <w:t>7.7.1.2</w:t>
      </w:r>
      <w:r w:rsidRPr="004D0DAA">
        <w:rPr>
          <w:rFonts w:ascii="Calibri" w:hAnsi="Calibri"/>
          <w:sz w:val="22"/>
          <w:szCs w:val="22"/>
          <w:lang w:val="en-US"/>
        </w:rPr>
        <w:tab/>
      </w:r>
      <w:r w:rsidRPr="004D0DAA">
        <w:t>MBMS packet access procedure on PCCCH</w:t>
      </w:r>
      <w:r w:rsidRPr="004D0DAA">
        <w:tab/>
      </w:r>
      <w:r w:rsidRPr="004D0DAA">
        <w:fldChar w:fldCharType="begin" w:fldLock="1"/>
      </w:r>
      <w:r w:rsidRPr="004D0DAA">
        <w:instrText xml:space="preserve"> PAGEREF _Toc516669387 \h </w:instrText>
      </w:r>
      <w:r w:rsidRPr="004D0DAA">
        <w:fldChar w:fldCharType="separate"/>
      </w:r>
      <w:r w:rsidRPr="004D0DAA">
        <w:t>108</w:t>
      </w:r>
      <w:r w:rsidRPr="004D0DAA">
        <w:fldChar w:fldCharType="end"/>
      </w:r>
    </w:p>
    <w:p w14:paraId="4C9CA352" w14:textId="77777777" w:rsidR="00683705" w:rsidRPr="004D0DAA" w:rsidRDefault="00683705">
      <w:pPr>
        <w:pStyle w:val="TOC5"/>
        <w:rPr>
          <w:rFonts w:ascii="Calibri" w:hAnsi="Calibri"/>
          <w:sz w:val="22"/>
          <w:szCs w:val="22"/>
          <w:lang w:val="en-US"/>
        </w:rPr>
      </w:pPr>
      <w:r w:rsidRPr="004D0DAA">
        <w:t>7.7.1.2.0</w:t>
      </w:r>
      <w:r w:rsidRPr="004D0DAA">
        <w:rPr>
          <w:rFonts w:ascii="Calibri" w:hAnsi="Calibri"/>
          <w:sz w:val="22"/>
          <w:szCs w:val="22"/>
          <w:lang w:val="en-US"/>
        </w:rPr>
        <w:tab/>
      </w:r>
      <w:r w:rsidRPr="004D0DAA">
        <w:t>Initiation of the MBMS packet access procedure</w:t>
      </w:r>
      <w:r w:rsidRPr="004D0DAA">
        <w:tab/>
      </w:r>
      <w:r w:rsidRPr="004D0DAA">
        <w:fldChar w:fldCharType="begin" w:fldLock="1"/>
      </w:r>
      <w:r w:rsidRPr="004D0DAA">
        <w:instrText xml:space="preserve"> PAGEREF _Toc516669388 \h </w:instrText>
      </w:r>
      <w:r w:rsidRPr="004D0DAA">
        <w:fldChar w:fldCharType="separate"/>
      </w:r>
      <w:r w:rsidRPr="004D0DAA">
        <w:t>108</w:t>
      </w:r>
      <w:r w:rsidRPr="004D0DAA">
        <w:fldChar w:fldCharType="end"/>
      </w:r>
    </w:p>
    <w:p w14:paraId="3032718F" w14:textId="77777777" w:rsidR="00683705" w:rsidRPr="004D0DAA" w:rsidRDefault="00683705">
      <w:pPr>
        <w:pStyle w:val="TOC5"/>
        <w:rPr>
          <w:rFonts w:ascii="Calibri" w:hAnsi="Calibri"/>
          <w:sz w:val="22"/>
          <w:szCs w:val="22"/>
          <w:lang w:val="en-US"/>
        </w:rPr>
      </w:pPr>
      <w:r w:rsidRPr="004D0DAA">
        <w:t>7.7.1.2.1</w:t>
      </w:r>
      <w:r w:rsidRPr="004D0DAA">
        <w:rPr>
          <w:rFonts w:ascii="Calibri" w:hAnsi="Calibri"/>
          <w:sz w:val="22"/>
          <w:szCs w:val="22"/>
          <w:lang w:val="en-US"/>
        </w:rPr>
        <w:tab/>
      </w:r>
      <w:r w:rsidRPr="004D0DAA">
        <w:t>On receipt of a PACKET CHANNEL REQUEST message</w:t>
      </w:r>
      <w:r w:rsidRPr="004D0DAA">
        <w:tab/>
      </w:r>
      <w:r w:rsidRPr="004D0DAA">
        <w:fldChar w:fldCharType="begin" w:fldLock="1"/>
      </w:r>
      <w:r w:rsidRPr="004D0DAA">
        <w:instrText xml:space="preserve"> PAGEREF _Toc516669389 \h </w:instrText>
      </w:r>
      <w:r w:rsidRPr="004D0DAA">
        <w:fldChar w:fldCharType="separate"/>
      </w:r>
      <w:r w:rsidRPr="004D0DAA">
        <w:t>108</w:t>
      </w:r>
      <w:r w:rsidRPr="004D0DAA">
        <w:fldChar w:fldCharType="end"/>
      </w:r>
    </w:p>
    <w:p w14:paraId="1A3B3C97" w14:textId="77777777" w:rsidR="00683705" w:rsidRPr="004D0DAA" w:rsidRDefault="00683705">
      <w:pPr>
        <w:pStyle w:val="TOC5"/>
        <w:rPr>
          <w:rFonts w:ascii="Calibri" w:hAnsi="Calibri"/>
          <w:sz w:val="22"/>
          <w:szCs w:val="22"/>
          <w:lang w:val="en-US"/>
        </w:rPr>
      </w:pPr>
      <w:r w:rsidRPr="004D0DAA">
        <w:t>7.7.1.2.2</w:t>
      </w:r>
      <w:r w:rsidRPr="004D0DAA">
        <w:rPr>
          <w:rFonts w:ascii="Calibri" w:hAnsi="Calibri"/>
          <w:sz w:val="22"/>
          <w:szCs w:val="22"/>
          <w:lang w:val="en-US"/>
        </w:rPr>
        <w:tab/>
      </w:r>
      <w:r w:rsidRPr="004D0DAA">
        <w:t>On receipt of a PACKET UPLINK ASSIGNMENT message</w:t>
      </w:r>
      <w:r w:rsidRPr="004D0DAA">
        <w:tab/>
      </w:r>
      <w:r w:rsidRPr="004D0DAA">
        <w:fldChar w:fldCharType="begin" w:fldLock="1"/>
      </w:r>
      <w:r w:rsidRPr="004D0DAA">
        <w:instrText xml:space="preserve"> PAGEREF _Toc516669390 \h </w:instrText>
      </w:r>
      <w:r w:rsidRPr="004D0DAA">
        <w:fldChar w:fldCharType="separate"/>
      </w:r>
      <w:r w:rsidRPr="004D0DAA">
        <w:t>108</w:t>
      </w:r>
      <w:r w:rsidRPr="004D0DAA">
        <w:fldChar w:fldCharType="end"/>
      </w:r>
    </w:p>
    <w:p w14:paraId="6D9024D3" w14:textId="77777777" w:rsidR="00683705" w:rsidRPr="004D0DAA" w:rsidRDefault="00683705">
      <w:pPr>
        <w:pStyle w:val="TOC5"/>
        <w:rPr>
          <w:rFonts w:ascii="Calibri" w:hAnsi="Calibri"/>
          <w:sz w:val="22"/>
          <w:szCs w:val="22"/>
          <w:lang w:val="en-US"/>
        </w:rPr>
      </w:pPr>
      <w:r w:rsidRPr="004D0DAA">
        <w:t>7.7.1.2.3</w:t>
      </w:r>
      <w:r w:rsidRPr="004D0DAA">
        <w:rPr>
          <w:rFonts w:ascii="Calibri" w:hAnsi="Calibri"/>
          <w:sz w:val="22"/>
          <w:szCs w:val="22"/>
          <w:lang w:val="en-US"/>
        </w:rPr>
        <w:tab/>
      </w:r>
      <w:r w:rsidRPr="004D0DAA">
        <w:t>On receipt of a PACKET ACCESS REJECT message</w:t>
      </w:r>
      <w:r w:rsidRPr="004D0DAA">
        <w:tab/>
      </w:r>
      <w:r w:rsidRPr="004D0DAA">
        <w:fldChar w:fldCharType="begin" w:fldLock="1"/>
      </w:r>
      <w:r w:rsidRPr="004D0DAA">
        <w:instrText xml:space="preserve"> PAGEREF _Toc516669391 \h </w:instrText>
      </w:r>
      <w:r w:rsidRPr="004D0DAA">
        <w:fldChar w:fldCharType="separate"/>
      </w:r>
      <w:r w:rsidRPr="004D0DAA">
        <w:t>109</w:t>
      </w:r>
      <w:r w:rsidRPr="004D0DAA">
        <w:fldChar w:fldCharType="end"/>
      </w:r>
    </w:p>
    <w:p w14:paraId="4DE1A6CA" w14:textId="77777777" w:rsidR="00683705" w:rsidRPr="004D0DAA" w:rsidRDefault="00683705">
      <w:pPr>
        <w:pStyle w:val="TOC5"/>
        <w:rPr>
          <w:rFonts w:ascii="Calibri" w:hAnsi="Calibri"/>
          <w:sz w:val="22"/>
          <w:szCs w:val="22"/>
          <w:lang w:val="en-US"/>
        </w:rPr>
      </w:pPr>
      <w:r w:rsidRPr="004D0DAA">
        <w:t>7.7.1.2.4</w:t>
      </w:r>
      <w:r w:rsidRPr="004D0DAA">
        <w:rPr>
          <w:rFonts w:ascii="Calibri" w:hAnsi="Calibri"/>
          <w:sz w:val="22"/>
          <w:szCs w:val="22"/>
          <w:lang w:val="en-US"/>
        </w:rPr>
        <w:tab/>
      </w:r>
      <w:r w:rsidRPr="004D0DAA">
        <w:t>On receipt of an MBMS ASSIGNMENT message</w:t>
      </w:r>
      <w:r w:rsidRPr="004D0DAA">
        <w:tab/>
      </w:r>
      <w:r w:rsidRPr="004D0DAA">
        <w:fldChar w:fldCharType="begin" w:fldLock="1"/>
      </w:r>
      <w:r w:rsidRPr="004D0DAA">
        <w:instrText xml:space="preserve"> PAGEREF _Toc516669392 \h </w:instrText>
      </w:r>
      <w:r w:rsidRPr="004D0DAA">
        <w:fldChar w:fldCharType="separate"/>
      </w:r>
      <w:r w:rsidRPr="004D0DAA">
        <w:t>109</w:t>
      </w:r>
      <w:r w:rsidRPr="004D0DAA">
        <w:fldChar w:fldCharType="end"/>
      </w:r>
    </w:p>
    <w:p w14:paraId="64C88233" w14:textId="77777777" w:rsidR="00683705" w:rsidRPr="004D0DAA" w:rsidRDefault="00683705">
      <w:pPr>
        <w:pStyle w:val="TOC5"/>
        <w:rPr>
          <w:rFonts w:ascii="Calibri" w:hAnsi="Calibri"/>
          <w:sz w:val="22"/>
          <w:szCs w:val="22"/>
          <w:lang w:val="en-US"/>
        </w:rPr>
      </w:pPr>
      <w:r w:rsidRPr="004D0DAA">
        <w:t>7.7.1.2.5</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_Toc516669393 \h </w:instrText>
      </w:r>
      <w:r w:rsidRPr="004D0DAA">
        <w:fldChar w:fldCharType="separate"/>
      </w:r>
      <w:r w:rsidRPr="004D0DAA">
        <w:t>109</w:t>
      </w:r>
      <w:r w:rsidRPr="004D0DAA">
        <w:fldChar w:fldCharType="end"/>
      </w:r>
    </w:p>
    <w:p w14:paraId="7B37D12A" w14:textId="77777777" w:rsidR="00683705" w:rsidRPr="004D0DAA" w:rsidRDefault="00683705">
      <w:pPr>
        <w:pStyle w:val="TOC4"/>
        <w:rPr>
          <w:rFonts w:ascii="Calibri" w:hAnsi="Calibri"/>
          <w:sz w:val="22"/>
          <w:szCs w:val="22"/>
          <w:lang w:val="en-US"/>
        </w:rPr>
      </w:pPr>
      <w:r w:rsidRPr="004D0DAA">
        <w:t>7.7.1.3</w:t>
      </w:r>
      <w:r w:rsidRPr="004D0DAA">
        <w:rPr>
          <w:rFonts w:ascii="Calibri" w:hAnsi="Calibri"/>
          <w:sz w:val="22"/>
          <w:szCs w:val="22"/>
          <w:lang w:val="en-US"/>
        </w:rPr>
        <w:tab/>
      </w:r>
      <w:r w:rsidRPr="004D0DAA">
        <w:t>MBMS packet access procedure on CCCH</w:t>
      </w:r>
      <w:r w:rsidRPr="004D0DAA">
        <w:tab/>
      </w:r>
      <w:r w:rsidRPr="004D0DAA">
        <w:fldChar w:fldCharType="begin" w:fldLock="1"/>
      </w:r>
      <w:r w:rsidRPr="004D0DAA">
        <w:instrText xml:space="preserve"> PAGEREF _Toc516669394 \h </w:instrText>
      </w:r>
      <w:r w:rsidRPr="004D0DAA">
        <w:fldChar w:fldCharType="separate"/>
      </w:r>
      <w:r w:rsidRPr="004D0DAA">
        <w:t>109</w:t>
      </w:r>
      <w:r w:rsidRPr="004D0DAA">
        <w:fldChar w:fldCharType="end"/>
      </w:r>
    </w:p>
    <w:p w14:paraId="27603504" w14:textId="77777777" w:rsidR="00683705" w:rsidRPr="004D0DAA" w:rsidRDefault="00683705">
      <w:pPr>
        <w:pStyle w:val="TOC4"/>
        <w:rPr>
          <w:rFonts w:ascii="Calibri" w:hAnsi="Calibri"/>
          <w:sz w:val="22"/>
          <w:szCs w:val="22"/>
          <w:lang w:val="en-US"/>
        </w:rPr>
      </w:pPr>
      <w:r w:rsidRPr="004D0DAA">
        <w:t>7.7.1.4</w:t>
      </w:r>
      <w:r w:rsidRPr="004D0DAA">
        <w:rPr>
          <w:rFonts w:ascii="Calibri" w:hAnsi="Calibri"/>
          <w:sz w:val="22"/>
          <w:szCs w:val="22"/>
          <w:lang w:val="en-US"/>
        </w:rPr>
        <w:tab/>
      </w:r>
      <w:r w:rsidRPr="004D0DAA">
        <w:t>MBMS packet access procedure on MPRACH</w:t>
      </w:r>
      <w:r w:rsidRPr="004D0DAA">
        <w:tab/>
      </w:r>
      <w:r w:rsidRPr="004D0DAA">
        <w:fldChar w:fldCharType="begin" w:fldLock="1"/>
      </w:r>
      <w:r w:rsidRPr="004D0DAA">
        <w:instrText xml:space="preserve"> PAGEREF _Toc516669395 \h </w:instrText>
      </w:r>
      <w:r w:rsidRPr="004D0DAA">
        <w:fldChar w:fldCharType="separate"/>
      </w:r>
      <w:r w:rsidRPr="004D0DAA">
        <w:t>109</w:t>
      </w:r>
      <w:r w:rsidRPr="004D0DAA">
        <w:fldChar w:fldCharType="end"/>
      </w:r>
    </w:p>
    <w:p w14:paraId="30DE9E90" w14:textId="77777777" w:rsidR="00683705" w:rsidRPr="004D0DAA" w:rsidRDefault="00683705">
      <w:pPr>
        <w:pStyle w:val="TOC5"/>
        <w:rPr>
          <w:rFonts w:ascii="Calibri" w:hAnsi="Calibri"/>
          <w:sz w:val="22"/>
          <w:szCs w:val="22"/>
          <w:lang w:val="en-US"/>
        </w:rPr>
      </w:pPr>
      <w:r w:rsidRPr="004D0DAA">
        <w:t>7.7.1.4.1</w:t>
      </w:r>
      <w:r w:rsidRPr="004D0DAA">
        <w:rPr>
          <w:rFonts w:ascii="Calibri" w:hAnsi="Calibri"/>
          <w:sz w:val="22"/>
          <w:szCs w:val="22"/>
          <w:lang w:val="en-US"/>
        </w:rPr>
        <w:tab/>
      </w:r>
      <w:r w:rsidRPr="004D0DAA">
        <w:t>Initiation of the MBMS packet access procedure on MPRACH</w:t>
      </w:r>
      <w:r w:rsidRPr="004D0DAA">
        <w:tab/>
      </w:r>
      <w:r w:rsidRPr="004D0DAA">
        <w:fldChar w:fldCharType="begin" w:fldLock="1"/>
      </w:r>
      <w:r w:rsidRPr="004D0DAA">
        <w:instrText xml:space="preserve"> PAGEREF _Toc516669396 \h </w:instrText>
      </w:r>
      <w:r w:rsidRPr="004D0DAA">
        <w:fldChar w:fldCharType="separate"/>
      </w:r>
      <w:r w:rsidRPr="004D0DAA">
        <w:t>109</w:t>
      </w:r>
      <w:r w:rsidRPr="004D0DAA">
        <w:fldChar w:fldCharType="end"/>
      </w:r>
    </w:p>
    <w:p w14:paraId="6775D86C" w14:textId="77777777" w:rsidR="00683705" w:rsidRPr="004D0DAA" w:rsidRDefault="00683705">
      <w:pPr>
        <w:pStyle w:val="TOC6"/>
        <w:rPr>
          <w:rFonts w:ascii="Calibri" w:hAnsi="Calibri"/>
          <w:sz w:val="22"/>
          <w:szCs w:val="22"/>
          <w:lang w:val="en-US"/>
        </w:rPr>
      </w:pPr>
      <w:r w:rsidRPr="004D0DAA">
        <w:t>7.7.1.4.1.1</w:t>
      </w:r>
      <w:r w:rsidRPr="004D0DAA">
        <w:rPr>
          <w:rFonts w:ascii="Calibri" w:hAnsi="Calibri"/>
          <w:sz w:val="22"/>
          <w:szCs w:val="22"/>
          <w:lang w:val="en-US"/>
        </w:rPr>
        <w:tab/>
      </w:r>
      <w:r w:rsidRPr="004D0DAA">
        <w:t>Access persistence control on MPRACH</w:t>
      </w:r>
      <w:r w:rsidRPr="004D0DAA">
        <w:tab/>
      </w:r>
      <w:r w:rsidRPr="004D0DAA">
        <w:fldChar w:fldCharType="begin" w:fldLock="1"/>
      </w:r>
      <w:r w:rsidRPr="004D0DAA">
        <w:instrText xml:space="preserve"> PAGEREF _Toc516669397 \h </w:instrText>
      </w:r>
      <w:r w:rsidRPr="004D0DAA">
        <w:fldChar w:fldCharType="separate"/>
      </w:r>
      <w:r w:rsidRPr="004D0DAA">
        <w:t>109</w:t>
      </w:r>
      <w:r w:rsidRPr="004D0DAA">
        <w:fldChar w:fldCharType="end"/>
      </w:r>
    </w:p>
    <w:p w14:paraId="2EFC8678" w14:textId="77777777" w:rsidR="00683705" w:rsidRPr="004D0DAA" w:rsidRDefault="00683705">
      <w:pPr>
        <w:pStyle w:val="TOC5"/>
        <w:rPr>
          <w:rFonts w:ascii="Calibri" w:hAnsi="Calibri"/>
          <w:sz w:val="22"/>
          <w:szCs w:val="22"/>
          <w:lang w:val="en-US"/>
        </w:rPr>
      </w:pPr>
      <w:r w:rsidRPr="004D0DAA">
        <w:t>7.7.1.4.2</w:t>
      </w:r>
      <w:r w:rsidRPr="004D0DAA">
        <w:rPr>
          <w:rFonts w:ascii="Calibri" w:hAnsi="Calibri"/>
          <w:sz w:val="22"/>
          <w:szCs w:val="22"/>
          <w:lang w:val="en-US"/>
        </w:rPr>
        <w:tab/>
      </w:r>
      <w:r w:rsidRPr="004D0DAA">
        <w:t>On receipt of an MPRACH PACKET CHANNEL REQUEST</w:t>
      </w:r>
      <w:r w:rsidRPr="004D0DAA">
        <w:tab/>
      </w:r>
      <w:r w:rsidRPr="004D0DAA">
        <w:fldChar w:fldCharType="begin" w:fldLock="1"/>
      </w:r>
      <w:r w:rsidRPr="004D0DAA">
        <w:instrText xml:space="preserve"> PAGEREF _Toc516669398 \h </w:instrText>
      </w:r>
      <w:r w:rsidRPr="004D0DAA">
        <w:fldChar w:fldCharType="separate"/>
      </w:r>
      <w:r w:rsidRPr="004D0DAA">
        <w:t>110</w:t>
      </w:r>
      <w:r w:rsidRPr="004D0DAA">
        <w:fldChar w:fldCharType="end"/>
      </w:r>
    </w:p>
    <w:p w14:paraId="28BF7E44" w14:textId="77777777" w:rsidR="00683705" w:rsidRPr="004D0DAA" w:rsidRDefault="00683705">
      <w:pPr>
        <w:pStyle w:val="TOC5"/>
        <w:rPr>
          <w:rFonts w:ascii="Calibri" w:hAnsi="Calibri"/>
          <w:sz w:val="22"/>
          <w:szCs w:val="22"/>
          <w:lang w:val="en-US"/>
        </w:rPr>
      </w:pPr>
      <w:r w:rsidRPr="004D0DAA">
        <w:t>7.7.1.4.3</w:t>
      </w:r>
      <w:r w:rsidRPr="004D0DAA">
        <w:rPr>
          <w:rFonts w:ascii="Calibri" w:hAnsi="Calibri"/>
          <w:sz w:val="22"/>
          <w:szCs w:val="22"/>
          <w:lang w:val="en-US"/>
        </w:rPr>
        <w:tab/>
      </w:r>
      <w:r w:rsidRPr="004D0DAA">
        <w:t>On receipt of a PACKET ACCESS REJECT message</w:t>
      </w:r>
      <w:r w:rsidRPr="004D0DAA">
        <w:tab/>
      </w:r>
      <w:r w:rsidRPr="004D0DAA">
        <w:fldChar w:fldCharType="begin" w:fldLock="1"/>
      </w:r>
      <w:r w:rsidRPr="004D0DAA">
        <w:instrText xml:space="preserve"> PAGEREF _Toc516669399 \h </w:instrText>
      </w:r>
      <w:r w:rsidRPr="004D0DAA">
        <w:fldChar w:fldCharType="separate"/>
      </w:r>
      <w:r w:rsidRPr="004D0DAA">
        <w:t>111</w:t>
      </w:r>
      <w:r w:rsidRPr="004D0DAA">
        <w:fldChar w:fldCharType="end"/>
      </w:r>
    </w:p>
    <w:p w14:paraId="555BB3EB" w14:textId="77777777" w:rsidR="00683705" w:rsidRPr="004D0DAA" w:rsidRDefault="00683705">
      <w:pPr>
        <w:pStyle w:val="TOC5"/>
        <w:rPr>
          <w:rFonts w:ascii="Calibri" w:hAnsi="Calibri"/>
          <w:sz w:val="22"/>
          <w:szCs w:val="22"/>
          <w:lang w:val="en-US"/>
        </w:rPr>
      </w:pPr>
      <w:r w:rsidRPr="004D0DAA">
        <w:t>7.7.1.4.4</w:t>
      </w:r>
      <w:r w:rsidRPr="004D0DAA">
        <w:rPr>
          <w:rFonts w:ascii="Calibri" w:hAnsi="Calibri"/>
          <w:sz w:val="22"/>
          <w:szCs w:val="22"/>
          <w:lang w:val="en-US"/>
        </w:rPr>
        <w:tab/>
      </w:r>
      <w:r w:rsidRPr="004D0DAA">
        <w:t>On receipt of a PACKET UPLINK ASSIGNMENT message</w:t>
      </w:r>
      <w:r w:rsidRPr="004D0DAA">
        <w:tab/>
      </w:r>
      <w:r w:rsidRPr="004D0DAA">
        <w:fldChar w:fldCharType="begin" w:fldLock="1"/>
      </w:r>
      <w:r w:rsidRPr="004D0DAA">
        <w:instrText xml:space="preserve"> PAGEREF _Toc516669400 \h </w:instrText>
      </w:r>
      <w:r w:rsidRPr="004D0DAA">
        <w:fldChar w:fldCharType="separate"/>
      </w:r>
      <w:r w:rsidRPr="004D0DAA">
        <w:t>111</w:t>
      </w:r>
      <w:r w:rsidRPr="004D0DAA">
        <w:fldChar w:fldCharType="end"/>
      </w:r>
    </w:p>
    <w:p w14:paraId="3A122792" w14:textId="77777777" w:rsidR="00683705" w:rsidRPr="004D0DAA" w:rsidRDefault="00683705">
      <w:pPr>
        <w:pStyle w:val="TOC5"/>
        <w:rPr>
          <w:rFonts w:ascii="Calibri" w:hAnsi="Calibri"/>
          <w:sz w:val="22"/>
          <w:szCs w:val="22"/>
          <w:lang w:val="en-US"/>
        </w:rPr>
      </w:pPr>
      <w:r w:rsidRPr="004D0DAA">
        <w:t>7.7.1.4.5</w:t>
      </w:r>
      <w:r w:rsidRPr="004D0DAA">
        <w:rPr>
          <w:rFonts w:ascii="Calibri" w:hAnsi="Calibri"/>
          <w:sz w:val="22"/>
          <w:szCs w:val="22"/>
          <w:lang w:val="en-US"/>
        </w:rPr>
        <w:tab/>
      </w:r>
      <w:r w:rsidRPr="004D0DAA">
        <w:t>On receipt of an MBMS ASSIGNMENT message</w:t>
      </w:r>
      <w:r w:rsidRPr="004D0DAA">
        <w:tab/>
      </w:r>
      <w:r w:rsidRPr="004D0DAA">
        <w:fldChar w:fldCharType="begin" w:fldLock="1"/>
      </w:r>
      <w:r w:rsidRPr="004D0DAA">
        <w:instrText xml:space="preserve"> PAGEREF _Toc516669401 \h </w:instrText>
      </w:r>
      <w:r w:rsidRPr="004D0DAA">
        <w:fldChar w:fldCharType="separate"/>
      </w:r>
      <w:r w:rsidRPr="004D0DAA">
        <w:t>112</w:t>
      </w:r>
      <w:r w:rsidRPr="004D0DAA">
        <w:fldChar w:fldCharType="end"/>
      </w:r>
    </w:p>
    <w:p w14:paraId="6584E6C6" w14:textId="77777777" w:rsidR="00683705" w:rsidRPr="004D0DAA" w:rsidRDefault="00683705">
      <w:pPr>
        <w:pStyle w:val="TOC3"/>
        <w:rPr>
          <w:rFonts w:ascii="Calibri" w:hAnsi="Calibri"/>
          <w:sz w:val="22"/>
          <w:szCs w:val="22"/>
          <w:lang w:val="en-US"/>
        </w:rPr>
      </w:pPr>
      <w:r w:rsidRPr="004D0DAA">
        <w:t>7.7.2</w:t>
      </w:r>
      <w:r w:rsidRPr="004D0DAA">
        <w:rPr>
          <w:rFonts w:ascii="Calibri" w:hAnsi="Calibri"/>
          <w:sz w:val="22"/>
          <w:szCs w:val="22"/>
          <w:lang w:val="en-US"/>
        </w:rPr>
        <w:tab/>
      </w:r>
      <w:r w:rsidRPr="004D0DAA">
        <w:t>Establishment of MBMS bearer</w:t>
      </w:r>
      <w:r w:rsidRPr="004D0DAA">
        <w:tab/>
      </w:r>
      <w:r w:rsidRPr="004D0DAA">
        <w:fldChar w:fldCharType="begin" w:fldLock="1"/>
      </w:r>
      <w:r w:rsidRPr="004D0DAA">
        <w:instrText xml:space="preserve"> PAGEREF _Toc516669402 \h </w:instrText>
      </w:r>
      <w:r w:rsidRPr="004D0DAA">
        <w:fldChar w:fldCharType="separate"/>
      </w:r>
      <w:r w:rsidRPr="004D0DAA">
        <w:t>112</w:t>
      </w:r>
      <w:r w:rsidRPr="004D0DAA">
        <w:fldChar w:fldCharType="end"/>
      </w:r>
    </w:p>
    <w:p w14:paraId="369638DC" w14:textId="77777777" w:rsidR="00683705" w:rsidRPr="004D0DAA" w:rsidRDefault="00683705">
      <w:pPr>
        <w:pStyle w:val="TOC4"/>
        <w:rPr>
          <w:rFonts w:ascii="Calibri" w:hAnsi="Calibri"/>
          <w:sz w:val="22"/>
          <w:szCs w:val="22"/>
          <w:lang w:val="en-US"/>
        </w:rPr>
      </w:pPr>
      <w:r w:rsidRPr="004D0DAA">
        <w:t>7.7.2.1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_Toc516669403 \h </w:instrText>
      </w:r>
      <w:r w:rsidRPr="004D0DAA">
        <w:fldChar w:fldCharType="separate"/>
      </w:r>
      <w:r w:rsidRPr="004D0DAA">
        <w:t>112</w:t>
      </w:r>
      <w:r w:rsidRPr="004D0DAA">
        <w:fldChar w:fldCharType="end"/>
      </w:r>
    </w:p>
    <w:p w14:paraId="3C101E39" w14:textId="77777777" w:rsidR="00683705" w:rsidRPr="004D0DAA" w:rsidRDefault="00683705">
      <w:pPr>
        <w:pStyle w:val="TOC4"/>
        <w:rPr>
          <w:rFonts w:ascii="Calibri" w:hAnsi="Calibri"/>
          <w:sz w:val="22"/>
          <w:szCs w:val="22"/>
          <w:lang w:val="en-US"/>
        </w:rPr>
      </w:pPr>
      <w:r w:rsidRPr="004D0DAA">
        <w:t>7.7.2.2</w:t>
      </w:r>
      <w:r w:rsidRPr="004D0DAA">
        <w:rPr>
          <w:rFonts w:ascii="Calibri" w:hAnsi="Calibri"/>
          <w:sz w:val="22"/>
          <w:szCs w:val="22"/>
          <w:lang w:val="en-US"/>
        </w:rPr>
        <w:tab/>
      </w:r>
      <w:r w:rsidRPr="004D0DAA">
        <w:t>On receipt of an MBMS ASSIGNMENT message</w:t>
      </w:r>
      <w:r w:rsidRPr="004D0DAA">
        <w:tab/>
      </w:r>
      <w:r w:rsidRPr="004D0DAA">
        <w:fldChar w:fldCharType="begin" w:fldLock="1"/>
      </w:r>
      <w:r w:rsidRPr="004D0DAA">
        <w:instrText xml:space="preserve"> PAGEREF _Toc516669404 \h </w:instrText>
      </w:r>
      <w:r w:rsidRPr="004D0DAA">
        <w:fldChar w:fldCharType="separate"/>
      </w:r>
      <w:r w:rsidRPr="004D0DAA">
        <w:t>112</w:t>
      </w:r>
      <w:r w:rsidRPr="004D0DAA">
        <w:fldChar w:fldCharType="end"/>
      </w:r>
    </w:p>
    <w:p w14:paraId="5164436D" w14:textId="77777777" w:rsidR="00683705" w:rsidRPr="004D0DAA" w:rsidRDefault="00683705">
      <w:pPr>
        <w:pStyle w:val="TOC4"/>
        <w:rPr>
          <w:rFonts w:ascii="Calibri" w:hAnsi="Calibri"/>
          <w:sz w:val="22"/>
          <w:szCs w:val="22"/>
          <w:lang w:val="en-US"/>
        </w:rPr>
      </w:pPr>
      <w:r w:rsidRPr="004D0DAA">
        <w:t>7.7.2.3</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_Toc516669405 \h </w:instrText>
      </w:r>
      <w:r w:rsidRPr="004D0DAA">
        <w:fldChar w:fldCharType="separate"/>
      </w:r>
      <w:r w:rsidRPr="004D0DAA">
        <w:t>113</w:t>
      </w:r>
      <w:r w:rsidRPr="004D0DAA">
        <w:fldChar w:fldCharType="end"/>
      </w:r>
    </w:p>
    <w:p w14:paraId="0E7B9AD2" w14:textId="77777777" w:rsidR="00683705" w:rsidRPr="004D0DAA" w:rsidRDefault="00683705">
      <w:pPr>
        <w:pStyle w:val="TOC4"/>
        <w:rPr>
          <w:rFonts w:ascii="Calibri" w:hAnsi="Calibri"/>
          <w:sz w:val="22"/>
          <w:szCs w:val="22"/>
          <w:lang w:val="en-US"/>
        </w:rPr>
      </w:pPr>
      <w:r w:rsidRPr="004D0DAA">
        <w:t>7.7.2.4</w:t>
      </w:r>
      <w:r w:rsidRPr="004D0DAA">
        <w:rPr>
          <w:rFonts w:ascii="Calibri" w:hAnsi="Calibri"/>
          <w:sz w:val="22"/>
          <w:szCs w:val="22"/>
          <w:lang w:val="en-US"/>
        </w:rPr>
        <w:tab/>
      </w:r>
      <w:r w:rsidRPr="004D0DAA">
        <w:t>MBMS address assignment procedure</w:t>
      </w:r>
      <w:r w:rsidRPr="004D0DAA">
        <w:tab/>
      </w:r>
      <w:r w:rsidRPr="004D0DAA">
        <w:fldChar w:fldCharType="begin" w:fldLock="1"/>
      </w:r>
      <w:r w:rsidRPr="004D0DAA">
        <w:instrText xml:space="preserve"> PAGEREF _Toc516669406 \h </w:instrText>
      </w:r>
      <w:r w:rsidRPr="004D0DAA">
        <w:fldChar w:fldCharType="separate"/>
      </w:r>
      <w:r w:rsidRPr="004D0DAA">
        <w:t>113</w:t>
      </w:r>
      <w:r w:rsidRPr="004D0DAA">
        <w:fldChar w:fldCharType="end"/>
      </w:r>
    </w:p>
    <w:p w14:paraId="36EF252F" w14:textId="77777777" w:rsidR="00683705" w:rsidRPr="004D0DAA" w:rsidRDefault="00683705">
      <w:pPr>
        <w:pStyle w:val="TOC4"/>
        <w:rPr>
          <w:rFonts w:ascii="Calibri" w:hAnsi="Calibri"/>
          <w:sz w:val="22"/>
          <w:szCs w:val="22"/>
          <w:lang w:val="en-US"/>
        </w:rPr>
      </w:pPr>
      <w:r w:rsidRPr="004D0DAA">
        <w:t>7.7.3</w:t>
      </w:r>
      <w:r w:rsidRPr="004D0DAA">
        <w:rPr>
          <w:rFonts w:ascii="Calibri" w:hAnsi="Calibri"/>
          <w:sz w:val="22"/>
          <w:szCs w:val="22"/>
          <w:lang w:val="en-US"/>
        </w:rPr>
        <w:tab/>
      </w:r>
      <w:r w:rsidRPr="004D0DAA">
        <w:t>MBMS Neighbour Cell Information Distribution</w:t>
      </w:r>
      <w:r w:rsidRPr="004D0DAA">
        <w:tab/>
      </w:r>
      <w:r w:rsidRPr="004D0DAA">
        <w:fldChar w:fldCharType="begin" w:fldLock="1"/>
      </w:r>
      <w:r w:rsidRPr="004D0DAA">
        <w:instrText xml:space="preserve"> PAGEREF _Toc516669407 \h </w:instrText>
      </w:r>
      <w:r w:rsidRPr="004D0DAA">
        <w:fldChar w:fldCharType="separate"/>
      </w:r>
      <w:r w:rsidRPr="004D0DAA">
        <w:t>114</w:t>
      </w:r>
      <w:r w:rsidRPr="004D0DAA">
        <w:fldChar w:fldCharType="end"/>
      </w:r>
    </w:p>
    <w:p w14:paraId="0F724D13" w14:textId="77777777" w:rsidR="00683705" w:rsidRPr="004D0DAA" w:rsidRDefault="00683705">
      <w:pPr>
        <w:pStyle w:val="TOC1"/>
        <w:rPr>
          <w:rFonts w:ascii="Calibri" w:hAnsi="Calibri"/>
          <w:szCs w:val="22"/>
          <w:lang w:val="en-US"/>
        </w:rPr>
      </w:pPr>
      <w:r w:rsidRPr="004D0DAA">
        <w:t>7a</w:t>
      </w:r>
      <w:r w:rsidRPr="004D0DAA">
        <w:rPr>
          <w:rFonts w:ascii="Calibri" w:hAnsi="Calibri"/>
          <w:szCs w:val="22"/>
          <w:lang w:val="en-US"/>
        </w:rPr>
        <w:tab/>
      </w:r>
      <w:r w:rsidRPr="004D0DAA">
        <w:t>Medium Access Control (MAC) procedures for EC-GSM-IoT on (EC-)CCCH</w:t>
      </w:r>
      <w:r w:rsidRPr="004D0DAA">
        <w:tab/>
      </w:r>
      <w:r w:rsidRPr="004D0DAA">
        <w:fldChar w:fldCharType="begin" w:fldLock="1"/>
      </w:r>
      <w:r w:rsidRPr="004D0DAA">
        <w:instrText xml:space="preserve"> PAGEREF _Toc516669408 \h </w:instrText>
      </w:r>
      <w:r w:rsidRPr="004D0DAA">
        <w:fldChar w:fldCharType="separate"/>
      </w:r>
      <w:r w:rsidRPr="004D0DAA">
        <w:t>115</w:t>
      </w:r>
      <w:r w:rsidRPr="004D0DAA">
        <w:fldChar w:fldCharType="end"/>
      </w:r>
    </w:p>
    <w:p w14:paraId="2F0392F1" w14:textId="77777777" w:rsidR="00683705" w:rsidRPr="004D0DAA" w:rsidRDefault="00683705">
      <w:pPr>
        <w:pStyle w:val="TOC2"/>
        <w:rPr>
          <w:rFonts w:ascii="Calibri" w:hAnsi="Calibri"/>
          <w:sz w:val="22"/>
          <w:szCs w:val="22"/>
          <w:lang w:val="en-US"/>
        </w:rPr>
      </w:pPr>
      <w:r w:rsidRPr="004D0DAA">
        <w:t>7a.1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_Toc516669409 \h </w:instrText>
      </w:r>
      <w:r w:rsidRPr="004D0DAA">
        <w:fldChar w:fldCharType="separate"/>
      </w:r>
      <w:r w:rsidRPr="004D0DAA">
        <w:t>115</w:t>
      </w:r>
      <w:r w:rsidRPr="004D0DAA">
        <w:fldChar w:fldCharType="end"/>
      </w:r>
    </w:p>
    <w:p w14:paraId="3728F481" w14:textId="77777777" w:rsidR="00683705" w:rsidRPr="004D0DAA" w:rsidRDefault="00683705">
      <w:pPr>
        <w:pStyle w:val="TOC2"/>
        <w:rPr>
          <w:rFonts w:ascii="Calibri" w:hAnsi="Calibri"/>
          <w:sz w:val="22"/>
          <w:szCs w:val="22"/>
          <w:lang w:val="en-US"/>
        </w:rPr>
      </w:pPr>
      <w:r w:rsidRPr="004D0DAA">
        <w:t>7a.2</w:t>
      </w:r>
      <w:r w:rsidRPr="004D0DAA">
        <w:rPr>
          <w:rFonts w:ascii="Calibri" w:hAnsi="Calibri"/>
          <w:sz w:val="22"/>
          <w:szCs w:val="22"/>
          <w:lang w:val="en-US"/>
        </w:rPr>
        <w:tab/>
      </w:r>
      <w:r w:rsidRPr="004D0DAA">
        <w:t>TBF establishment initiated by the mobile station for EC-GSM-IoT on (EC-)CCCH</w:t>
      </w:r>
      <w:r w:rsidRPr="004D0DAA">
        <w:tab/>
      </w:r>
      <w:r w:rsidRPr="004D0DAA">
        <w:fldChar w:fldCharType="begin" w:fldLock="1"/>
      </w:r>
      <w:r w:rsidRPr="004D0DAA">
        <w:instrText xml:space="preserve"> PAGEREF _Toc516669410 \h </w:instrText>
      </w:r>
      <w:r w:rsidRPr="004D0DAA">
        <w:fldChar w:fldCharType="separate"/>
      </w:r>
      <w:r w:rsidRPr="004D0DAA">
        <w:t>115</w:t>
      </w:r>
      <w:r w:rsidRPr="004D0DAA">
        <w:fldChar w:fldCharType="end"/>
      </w:r>
    </w:p>
    <w:p w14:paraId="3938C13F" w14:textId="77777777" w:rsidR="00683705" w:rsidRPr="004D0DAA" w:rsidRDefault="00683705">
      <w:pPr>
        <w:pStyle w:val="TOC3"/>
        <w:rPr>
          <w:rFonts w:ascii="Calibri" w:hAnsi="Calibri"/>
          <w:sz w:val="22"/>
          <w:szCs w:val="22"/>
          <w:lang w:val="en-US"/>
        </w:rPr>
      </w:pPr>
      <w:r w:rsidRPr="004D0DAA">
        <w:t>7a.2.1</w:t>
      </w:r>
      <w:r w:rsidRPr="004D0DAA">
        <w:rPr>
          <w:rFonts w:ascii="Calibri" w:hAnsi="Calibri"/>
          <w:sz w:val="22"/>
          <w:szCs w:val="22"/>
          <w:lang w:val="en-US"/>
        </w:rPr>
        <w:tab/>
      </w:r>
      <w:r w:rsidRPr="004D0DAA">
        <w:t>Contention Resolution</w:t>
      </w:r>
      <w:r w:rsidRPr="004D0DAA">
        <w:tab/>
      </w:r>
      <w:r w:rsidRPr="004D0DAA">
        <w:fldChar w:fldCharType="begin" w:fldLock="1"/>
      </w:r>
      <w:r w:rsidRPr="004D0DAA">
        <w:instrText xml:space="preserve"> PAGEREF _Toc516669411 \h </w:instrText>
      </w:r>
      <w:r w:rsidRPr="004D0DAA">
        <w:fldChar w:fldCharType="separate"/>
      </w:r>
      <w:r w:rsidRPr="004D0DAA">
        <w:t>115</w:t>
      </w:r>
      <w:r w:rsidRPr="004D0DAA">
        <w:fldChar w:fldCharType="end"/>
      </w:r>
    </w:p>
    <w:p w14:paraId="515A5332" w14:textId="77777777" w:rsidR="00683705" w:rsidRPr="004D0DAA" w:rsidRDefault="00683705">
      <w:pPr>
        <w:pStyle w:val="TOC4"/>
        <w:rPr>
          <w:rFonts w:ascii="Calibri" w:hAnsi="Calibri"/>
          <w:sz w:val="22"/>
          <w:szCs w:val="22"/>
          <w:lang w:val="en-US"/>
        </w:rPr>
      </w:pPr>
      <w:r w:rsidRPr="004D0DAA">
        <w:t>7a.2.1.1</w:t>
      </w:r>
      <w:r w:rsidRPr="004D0DAA">
        <w:rPr>
          <w:rFonts w:ascii="Calibri" w:hAnsi="Calibri"/>
          <w:sz w:val="22"/>
          <w:szCs w:val="22"/>
          <w:lang w:val="en-US"/>
        </w:rPr>
        <w:tab/>
      </w:r>
      <w:r w:rsidRPr="004D0DAA">
        <w:t>Contention resolution at packet access procedure using Access Burst procedure</w:t>
      </w:r>
      <w:r w:rsidRPr="004D0DAA">
        <w:tab/>
      </w:r>
      <w:r w:rsidRPr="004D0DAA">
        <w:fldChar w:fldCharType="begin" w:fldLock="1"/>
      </w:r>
      <w:r w:rsidRPr="004D0DAA">
        <w:instrText xml:space="preserve"> PAGEREF _Toc516669412 \h </w:instrText>
      </w:r>
      <w:r w:rsidRPr="004D0DAA">
        <w:fldChar w:fldCharType="separate"/>
      </w:r>
      <w:r w:rsidRPr="004D0DAA">
        <w:t>115</w:t>
      </w:r>
      <w:r w:rsidRPr="004D0DAA">
        <w:fldChar w:fldCharType="end"/>
      </w:r>
    </w:p>
    <w:p w14:paraId="11367FAE" w14:textId="77777777" w:rsidR="00683705" w:rsidRPr="004D0DAA" w:rsidRDefault="00683705">
      <w:pPr>
        <w:pStyle w:val="TOC4"/>
        <w:rPr>
          <w:rFonts w:ascii="Calibri" w:hAnsi="Calibri"/>
          <w:sz w:val="22"/>
          <w:szCs w:val="22"/>
          <w:lang w:val="en-US"/>
        </w:rPr>
      </w:pPr>
      <w:r w:rsidRPr="004D0DAA">
        <w:t>7a.2.1.2</w:t>
      </w:r>
      <w:r w:rsidRPr="004D0DAA">
        <w:rPr>
          <w:rFonts w:ascii="Calibri" w:hAnsi="Calibri"/>
          <w:sz w:val="22"/>
          <w:szCs w:val="22"/>
          <w:lang w:val="en-US"/>
        </w:rPr>
        <w:tab/>
      </w:r>
      <w:r w:rsidRPr="004D0DAA">
        <w:t>Contention resolution at packet access procedure using Enhanced Access Burst procedure</w:t>
      </w:r>
      <w:r w:rsidRPr="004D0DAA">
        <w:tab/>
      </w:r>
      <w:r w:rsidRPr="004D0DAA">
        <w:fldChar w:fldCharType="begin" w:fldLock="1"/>
      </w:r>
      <w:r w:rsidRPr="004D0DAA">
        <w:instrText xml:space="preserve"> PAGEREF _Toc516669413 \h </w:instrText>
      </w:r>
      <w:r w:rsidRPr="004D0DAA">
        <w:fldChar w:fldCharType="separate"/>
      </w:r>
      <w:r w:rsidRPr="004D0DAA">
        <w:t>117</w:t>
      </w:r>
      <w:r w:rsidRPr="004D0DAA">
        <w:fldChar w:fldCharType="end"/>
      </w:r>
    </w:p>
    <w:p w14:paraId="72CCF9DE" w14:textId="77777777" w:rsidR="00683705" w:rsidRPr="004D0DAA" w:rsidRDefault="00683705">
      <w:pPr>
        <w:pStyle w:val="TOC3"/>
        <w:rPr>
          <w:rFonts w:ascii="Calibri" w:hAnsi="Calibri"/>
          <w:sz w:val="22"/>
          <w:szCs w:val="22"/>
          <w:lang w:val="en-US"/>
        </w:rPr>
      </w:pPr>
      <w:r w:rsidRPr="004D0DAA">
        <w:t>7a.2.2</w:t>
      </w:r>
      <w:r w:rsidRPr="004D0DAA">
        <w:rPr>
          <w:rFonts w:ascii="Calibri" w:hAnsi="Calibri"/>
          <w:sz w:val="22"/>
          <w:szCs w:val="22"/>
          <w:lang w:val="en-US"/>
        </w:rPr>
        <w:tab/>
      </w:r>
      <w:r w:rsidRPr="004D0DAA">
        <w:t>RLC/MAC procedures during contention resolution</w:t>
      </w:r>
      <w:r w:rsidRPr="004D0DAA">
        <w:tab/>
      </w:r>
      <w:r w:rsidRPr="004D0DAA">
        <w:fldChar w:fldCharType="begin" w:fldLock="1"/>
      </w:r>
      <w:r w:rsidRPr="004D0DAA">
        <w:instrText xml:space="preserve"> PAGEREF _Toc516669414 \h </w:instrText>
      </w:r>
      <w:r w:rsidRPr="004D0DAA">
        <w:fldChar w:fldCharType="separate"/>
      </w:r>
      <w:r w:rsidRPr="004D0DAA">
        <w:t>118</w:t>
      </w:r>
      <w:r w:rsidRPr="004D0DAA">
        <w:fldChar w:fldCharType="end"/>
      </w:r>
    </w:p>
    <w:p w14:paraId="3C9ABAAD" w14:textId="77777777" w:rsidR="00683705" w:rsidRPr="004D0DAA" w:rsidRDefault="00683705">
      <w:pPr>
        <w:pStyle w:val="TOC3"/>
        <w:rPr>
          <w:rFonts w:ascii="Calibri" w:hAnsi="Calibri"/>
          <w:sz w:val="22"/>
          <w:szCs w:val="22"/>
          <w:lang w:val="en-US"/>
        </w:rPr>
      </w:pPr>
      <w:r w:rsidRPr="004D0DAA">
        <w:t>7a.2.3</w:t>
      </w:r>
      <w:r w:rsidRPr="004D0DAA">
        <w:rPr>
          <w:rFonts w:ascii="Calibri" w:hAnsi="Calibri"/>
          <w:sz w:val="22"/>
          <w:szCs w:val="22"/>
          <w:lang w:val="en-US"/>
        </w:rPr>
        <w:tab/>
      </w:r>
      <w:r w:rsidRPr="004D0DAA">
        <w:t>Timing Advance</w:t>
      </w:r>
      <w:r w:rsidRPr="004D0DAA">
        <w:tab/>
      </w:r>
      <w:r w:rsidRPr="004D0DAA">
        <w:fldChar w:fldCharType="begin" w:fldLock="1"/>
      </w:r>
      <w:r w:rsidRPr="004D0DAA">
        <w:instrText xml:space="preserve"> PAGEREF _Toc516669415 \h </w:instrText>
      </w:r>
      <w:r w:rsidRPr="004D0DAA">
        <w:fldChar w:fldCharType="separate"/>
      </w:r>
      <w:r w:rsidRPr="004D0DAA">
        <w:t>119</w:t>
      </w:r>
      <w:r w:rsidRPr="004D0DAA">
        <w:fldChar w:fldCharType="end"/>
      </w:r>
    </w:p>
    <w:p w14:paraId="16F85099" w14:textId="77777777" w:rsidR="00683705" w:rsidRPr="004D0DAA" w:rsidRDefault="00683705">
      <w:pPr>
        <w:pStyle w:val="TOC3"/>
        <w:rPr>
          <w:rFonts w:ascii="Calibri" w:hAnsi="Calibri"/>
          <w:sz w:val="22"/>
          <w:szCs w:val="22"/>
          <w:lang w:val="en-US"/>
        </w:rPr>
      </w:pPr>
      <w:r w:rsidRPr="004D0DAA">
        <w:t>7a.2.4</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_Toc516669416 \h </w:instrText>
      </w:r>
      <w:r w:rsidRPr="004D0DAA">
        <w:fldChar w:fldCharType="separate"/>
      </w:r>
      <w:r w:rsidRPr="004D0DAA">
        <w:t>119</w:t>
      </w:r>
      <w:r w:rsidRPr="004D0DAA">
        <w:fldChar w:fldCharType="end"/>
      </w:r>
    </w:p>
    <w:p w14:paraId="4F38B793" w14:textId="77777777" w:rsidR="00683705" w:rsidRPr="004D0DAA" w:rsidRDefault="00683705">
      <w:pPr>
        <w:pStyle w:val="TOC2"/>
        <w:rPr>
          <w:rFonts w:ascii="Calibri" w:hAnsi="Calibri"/>
          <w:sz w:val="22"/>
          <w:szCs w:val="22"/>
          <w:lang w:val="en-US"/>
        </w:rPr>
      </w:pPr>
      <w:r w:rsidRPr="004D0DAA">
        <w:t>7a.3</w:t>
      </w:r>
      <w:r w:rsidRPr="004D0DAA">
        <w:rPr>
          <w:rFonts w:ascii="Calibri" w:hAnsi="Calibri"/>
          <w:sz w:val="22"/>
          <w:szCs w:val="22"/>
          <w:lang w:val="en-US"/>
        </w:rPr>
        <w:tab/>
      </w:r>
      <w:r w:rsidRPr="004D0DAA">
        <w:t>TBF establishment initiated by the network for EC-GSM-IoT on EC-CCCH</w:t>
      </w:r>
      <w:r w:rsidRPr="004D0DAA">
        <w:tab/>
      </w:r>
      <w:r w:rsidRPr="004D0DAA">
        <w:fldChar w:fldCharType="begin" w:fldLock="1"/>
      </w:r>
      <w:r w:rsidRPr="004D0DAA">
        <w:instrText xml:space="preserve"> PAGEREF _Toc516669417 \h </w:instrText>
      </w:r>
      <w:r w:rsidRPr="004D0DAA">
        <w:fldChar w:fldCharType="separate"/>
      </w:r>
      <w:r w:rsidRPr="004D0DAA">
        <w:t>119</w:t>
      </w:r>
      <w:r w:rsidRPr="004D0DAA">
        <w:fldChar w:fldCharType="end"/>
      </w:r>
    </w:p>
    <w:p w14:paraId="4DE772DF" w14:textId="77777777" w:rsidR="00683705" w:rsidRPr="004D0DAA" w:rsidRDefault="00683705">
      <w:pPr>
        <w:pStyle w:val="TOC3"/>
        <w:rPr>
          <w:rFonts w:ascii="Calibri" w:hAnsi="Calibri"/>
          <w:sz w:val="22"/>
          <w:szCs w:val="22"/>
          <w:lang w:val="en-US"/>
        </w:rPr>
      </w:pPr>
      <w:r w:rsidRPr="004D0DAA">
        <w:t>7a.3.1</w:t>
      </w:r>
      <w:r w:rsidRPr="004D0DAA">
        <w:rPr>
          <w:rFonts w:ascii="Calibri" w:hAnsi="Calibri"/>
          <w:sz w:val="22"/>
          <w:szCs w:val="22"/>
          <w:lang w:val="en-US"/>
        </w:rPr>
        <w:tab/>
      </w:r>
      <w:r w:rsidRPr="004D0DAA">
        <w:t>Timing Advance</w:t>
      </w:r>
      <w:r w:rsidRPr="004D0DAA">
        <w:tab/>
      </w:r>
      <w:r w:rsidRPr="004D0DAA">
        <w:fldChar w:fldCharType="begin" w:fldLock="1"/>
      </w:r>
      <w:r w:rsidRPr="004D0DAA">
        <w:instrText xml:space="preserve"> PAGEREF _Toc516669418 \h </w:instrText>
      </w:r>
      <w:r w:rsidRPr="004D0DAA">
        <w:fldChar w:fldCharType="separate"/>
      </w:r>
      <w:r w:rsidRPr="004D0DAA">
        <w:t>119</w:t>
      </w:r>
      <w:r w:rsidRPr="004D0DAA">
        <w:fldChar w:fldCharType="end"/>
      </w:r>
    </w:p>
    <w:p w14:paraId="432EA124" w14:textId="77777777" w:rsidR="00683705" w:rsidRPr="004D0DAA" w:rsidRDefault="00683705">
      <w:pPr>
        <w:pStyle w:val="TOC3"/>
        <w:rPr>
          <w:rFonts w:ascii="Calibri" w:hAnsi="Calibri"/>
          <w:sz w:val="22"/>
          <w:szCs w:val="22"/>
          <w:lang w:val="en-US"/>
        </w:rPr>
      </w:pPr>
      <w:r w:rsidRPr="004D0DAA">
        <w:t>7a.3.2</w:t>
      </w:r>
      <w:r w:rsidRPr="004D0DAA">
        <w:rPr>
          <w:rFonts w:ascii="Calibri" w:hAnsi="Calibri"/>
          <w:sz w:val="22"/>
          <w:szCs w:val="22"/>
          <w:lang w:val="en-US"/>
        </w:rPr>
        <w:tab/>
      </w:r>
      <w:r w:rsidRPr="004D0DAA">
        <w:t>Packet polling procedure</w:t>
      </w:r>
      <w:r w:rsidRPr="004D0DAA">
        <w:tab/>
      </w:r>
      <w:r w:rsidRPr="004D0DAA">
        <w:fldChar w:fldCharType="begin" w:fldLock="1"/>
      </w:r>
      <w:r w:rsidRPr="004D0DAA">
        <w:instrText xml:space="preserve"> PAGEREF _Toc516669419 \h </w:instrText>
      </w:r>
      <w:r w:rsidRPr="004D0DAA">
        <w:fldChar w:fldCharType="separate"/>
      </w:r>
      <w:r w:rsidRPr="004D0DAA">
        <w:t>120</w:t>
      </w:r>
      <w:r w:rsidRPr="004D0DAA">
        <w:fldChar w:fldCharType="end"/>
      </w:r>
    </w:p>
    <w:p w14:paraId="6EE8AA88" w14:textId="77777777" w:rsidR="00683705" w:rsidRPr="004D0DAA" w:rsidRDefault="00683705">
      <w:pPr>
        <w:pStyle w:val="TOC1"/>
        <w:rPr>
          <w:rFonts w:ascii="Calibri" w:hAnsi="Calibri"/>
          <w:szCs w:val="22"/>
          <w:lang w:val="en-US"/>
        </w:rPr>
      </w:pPr>
      <w:r w:rsidRPr="004D0DAA">
        <w:t>8</w:t>
      </w:r>
      <w:r w:rsidRPr="004D0DAA">
        <w:rPr>
          <w:rFonts w:ascii="Calibri" w:hAnsi="Calibri"/>
          <w:szCs w:val="22"/>
          <w:lang w:val="en-US"/>
        </w:rPr>
        <w:tab/>
      </w:r>
      <w:r w:rsidRPr="004D0DAA">
        <w:t>Medium Access Control (MAC) Procedures in Packet Transfer Mode</w:t>
      </w:r>
      <w:r w:rsidRPr="004D0DAA">
        <w:tab/>
      </w:r>
      <w:r w:rsidRPr="004D0DAA">
        <w:fldChar w:fldCharType="begin" w:fldLock="1"/>
      </w:r>
      <w:r w:rsidRPr="004D0DAA">
        <w:instrText xml:space="preserve"> PAGEREF _Toc516669420 \h </w:instrText>
      </w:r>
      <w:r w:rsidRPr="004D0DAA">
        <w:fldChar w:fldCharType="separate"/>
      </w:r>
      <w:r w:rsidRPr="004D0DAA">
        <w:t>120</w:t>
      </w:r>
      <w:r w:rsidRPr="004D0DAA">
        <w:fldChar w:fldCharType="end"/>
      </w:r>
    </w:p>
    <w:p w14:paraId="6EE3160B" w14:textId="77777777" w:rsidR="00683705" w:rsidRPr="004D0DAA" w:rsidRDefault="00683705">
      <w:pPr>
        <w:pStyle w:val="TOC2"/>
        <w:rPr>
          <w:rFonts w:ascii="Calibri" w:hAnsi="Calibri"/>
          <w:sz w:val="22"/>
          <w:szCs w:val="22"/>
          <w:lang w:val="en-US"/>
        </w:rPr>
      </w:pPr>
      <w:r w:rsidRPr="004D0DAA">
        <w:t>8.0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_Toc516669421 \h </w:instrText>
      </w:r>
      <w:r w:rsidRPr="004D0DAA">
        <w:fldChar w:fldCharType="separate"/>
      </w:r>
      <w:r w:rsidRPr="004D0DAA">
        <w:t>120</w:t>
      </w:r>
      <w:r w:rsidRPr="004D0DAA">
        <w:fldChar w:fldCharType="end"/>
      </w:r>
    </w:p>
    <w:p w14:paraId="18D1A0E7" w14:textId="77777777" w:rsidR="00683705" w:rsidRPr="004D0DAA" w:rsidRDefault="00683705">
      <w:pPr>
        <w:pStyle w:val="TOC2"/>
        <w:rPr>
          <w:rFonts w:ascii="Calibri" w:hAnsi="Calibri"/>
          <w:sz w:val="22"/>
          <w:szCs w:val="22"/>
          <w:lang w:val="en-US"/>
        </w:rPr>
      </w:pPr>
      <w:r w:rsidRPr="004D0DAA">
        <w:t>8.1</w:t>
      </w:r>
      <w:r w:rsidRPr="004D0DAA">
        <w:rPr>
          <w:rFonts w:ascii="Calibri" w:hAnsi="Calibri"/>
          <w:sz w:val="22"/>
          <w:szCs w:val="22"/>
          <w:lang w:val="en-US"/>
        </w:rPr>
        <w:tab/>
      </w:r>
      <w:r w:rsidRPr="004D0DAA">
        <w:t>Transfer of RLC data blocks</w:t>
      </w:r>
      <w:r w:rsidRPr="004D0DAA">
        <w:tab/>
      </w:r>
      <w:r w:rsidRPr="004D0DAA">
        <w:fldChar w:fldCharType="begin" w:fldLock="1"/>
      </w:r>
      <w:r w:rsidRPr="004D0DAA">
        <w:instrText xml:space="preserve"> PAGEREF _Toc516669422 \h </w:instrText>
      </w:r>
      <w:r w:rsidRPr="004D0DAA">
        <w:fldChar w:fldCharType="separate"/>
      </w:r>
      <w:r w:rsidRPr="004D0DAA">
        <w:t>120</w:t>
      </w:r>
      <w:r w:rsidRPr="004D0DAA">
        <w:fldChar w:fldCharType="end"/>
      </w:r>
    </w:p>
    <w:p w14:paraId="3D168FF7" w14:textId="77777777" w:rsidR="00683705" w:rsidRPr="004D0DAA" w:rsidRDefault="00683705">
      <w:pPr>
        <w:pStyle w:val="TOC3"/>
        <w:rPr>
          <w:rFonts w:ascii="Calibri" w:hAnsi="Calibri"/>
          <w:sz w:val="22"/>
          <w:szCs w:val="22"/>
          <w:lang w:val="en-US"/>
        </w:rPr>
      </w:pPr>
      <w:r w:rsidRPr="004D0DAA">
        <w:t>8.1.0</w:t>
      </w:r>
      <w:r w:rsidRPr="004D0DAA">
        <w:rPr>
          <w:rFonts w:ascii="Calibri" w:hAnsi="Calibri"/>
          <w:sz w:val="22"/>
          <w:szCs w:val="22"/>
          <w:lang w:val="en-US"/>
        </w:rPr>
        <w:tab/>
      </w:r>
      <w:r w:rsidRPr="004D0DAA">
        <w:t>Medium access mode</w:t>
      </w:r>
      <w:r w:rsidRPr="004D0DAA">
        <w:tab/>
      </w:r>
      <w:r w:rsidRPr="004D0DAA">
        <w:fldChar w:fldCharType="begin" w:fldLock="1"/>
      </w:r>
      <w:r w:rsidRPr="004D0DAA">
        <w:instrText xml:space="preserve"> PAGEREF _Toc516669423 \h </w:instrText>
      </w:r>
      <w:r w:rsidRPr="004D0DAA">
        <w:fldChar w:fldCharType="separate"/>
      </w:r>
      <w:r w:rsidRPr="004D0DAA">
        <w:t>120</w:t>
      </w:r>
      <w:r w:rsidRPr="004D0DAA">
        <w:fldChar w:fldCharType="end"/>
      </w:r>
    </w:p>
    <w:p w14:paraId="259DCC9A" w14:textId="77777777" w:rsidR="00683705" w:rsidRPr="004D0DAA" w:rsidRDefault="00683705">
      <w:pPr>
        <w:pStyle w:val="TOC3"/>
        <w:rPr>
          <w:rFonts w:ascii="Calibri" w:hAnsi="Calibri"/>
          <w:sz w:val="22"/>
          <w:szCs w:val="22"/>
          <w:lang w:val="en-US"/>
        </w:rPr>
      </w:pPr>
      <w:r w:rsidRPr="004D0DAA">
        <w:lastRenderedPageBreak/>
        <w:t>8.1.1</w:t>
      </w:r>
      <w:r w:rsidRPr="004D0DAA">
        <w:rPr>
          <w:rFonts w:ascii="Calibri" w:hAnsi="Calibri"/>
          <w:sz w:val="22"/>
          <w:szCs w:val="22"/>
          <w:lang w:val="en-US"/>
        </w:rPr>
        <w:tab/>
      </w:r>
      <w:r w:rsidRPr="004D0DAA">
        <w:t>Uplink RLC data block transfer</w:t>
      </w:r>
      <w:r w:rsidRPr="004D0DAA">
        <w:tab/>
      </w:r>
      <w:r w:rsidRPr="004D0DAA">
        <w:fldChar w:fldCharType="begin" w:fldLock="1"/>
      </w:r>
      <w:r w:rsidRPr="004D0DAA">
        <w:instrText xml:space="preserve"> PAGEREF _Toc516669424 \h </w:instrText>
      </w:r>
      <w:r w:rsidRPr="004D0DAA">
        <w:fldChar w:fldCharType="separate"/>
      </w:r>
      <w:r w:rsidRPr="004D0DAA">
        <w:t>121</w:t>
      </w:r>
      <w:r w:rsidRPr="004D0DAA">
        <w:fldChar w:fldCharType="end"/>
      </w:r>
    </w:p>
    <w:p w14:paraId="31BEE991" w14:textId="77777777" w:rsidR="00683705" w:rsidRPr="004D0DAA" w:rsidRDefault="00683705">
      <w:pPr>
        <w:pStyle w:val="TOC4"/>
        <w:rPr>
          <w:rFonts w:ascii="Calibri" w:hAnsi="Calibri"/>
          <w:sz w:val="22"/>
          <w:szCs w:val="22"/>
          <w:lang w:val="en-US"/>
        </w:rPr>
      </w:pPr>
      <w:r w:rsidRPr="004D0DAA">
        <w:t>8.1.1.1</w:t>
      </w:r>
      <w:r w:rsidRPr="004D0DAA">
        <w:rPr>
          <w:rFonts w:ascii="Calibri" w:hAnsi="Calibri"/>
          <w:sz w:val="22"/>
          <w:szCs w:val="22"/>
          <w:lang w:val="en-US"/>
        </w:rPr>
        <w:tab/>
      </w:r>
      <w:r w:rsidRPr="004D0DAA">
        <w:t>Dynamic allocation uplink RLC data block transfer</w:t>
      </w:r>
      <w:r w:rsidRPr="004D0DAA">
        <w:tab/>
      </w:r>
      <w:r w:rsidRPr="004D0DAA">
        <w:fldChar w:fldCharType="begin" w:fldLock="1"/>
      </w:r>
      <w:r w:rsidRPr="004D0DAA">
        <w:instrText xml:space="preserve"> PAGEREF _Toc516669425 \h </w:instrText>
      </w:r>
      <w:r w:rsidRPr="004D0DAA">
        <w:fldChar w:fldCharType="separate"/>
      </w:r>
      <w:r w:rsidRPr="004D0DAA">
        <w:t>128</w:t>
      </w:r>
      <w:r w:rsidRPr="004D0DAA">
        <w:fldChar w:fldCharType="end"/>
      </w:r>
    </w:p>
    <w:p w14:paraId="04132D4E" w14:textId="77777777" w:rsidR="00683705" w:rsidRPr="004D0DAA" w:rsidRDefault="00683705">
      <w:pPr>
        <w:pStyle w:val="TOC5"/>
        <w:rPr>
          <w:rFonts w:ascii="Calibri" w:hAnsi="Calibri"/>
          <w:sz w:val="22"/>
          <w:szCs w:val="22"/>
          <w:lang w:val="en-US"/>
        </w:rPr>
      </w:pPr>
      <w:r w:rsidRPr="004D0DAA">
        <w:t>8.1.1.1.1</w:t>
      </w:r>
      <w:r w:rsidRPr="004D0DAA">
        <w:rPr>
          <w:rFonts w:ascii="Calibri" w:hAnsi="Calibri"/>
          <w:sz w:val="22"/>
          <w:szCs w:val="22"/>
          <w:lang w:val="en-US"/>
        </w:rPr>
        <w:tab/>
      </w:r>
      <w:r w:rsidRPr="004D0DAA">
        <w:t>PACCH operation</w:t>
      </w:r>
      <w:r w:rsidRPr="004D0DAA">
        <w:tab/>
      </w:r>
      <w:r w:rsidRPr="004D0DAA">
        <w:fldChar w:fldCharType="begin" w:fldLock="1"/>
      </w:r>
      <w:r w:rsidRPr="004D0DAA">
        <w:instrText xml:space="preserve"> PAGEREF _Toc516669426 \h </w:instrText>
      </w:r>
      <w:r w:rsidRPr="004D0DAA">
        <w:fldChar w:fldCharType="separate"/>
      </w:r>
      <w:r w:rsidRPr="004D0DAA">
        <w:t>129</w:t>
      </w:r>
      <w:r w:rsidRPr="004D0DAA">
        <w:fldChar w:fldCharType="end"/>
      </w:r>
    </w:p>
    <w:p w14:paraId="6EBDC3B4" w14:textId="77777777" w:rsidR="00683705" w:rsidRPr="004D0DAA" w:rsidRDefault="00683705">
      <w:pPr>
        <w:pStyle w:val="TOC5"/>
        <w:rPr>
          <w:rFonts w:ascii="Calibri" w:hAnsi="Calibri"/>
          <w:sz w:val="22"/>
          <w:szCs w:val="22"/>
          <w:lang w:val="en-US"/>
        </w:rPr>
      </w:pPr>
      <w:r w:rsidRPr="004D0DAA">
        <w:t>8.1.1.1.2</w:t>
      </w:r>
      <w:r w:rsidRPr="004D0DAA">
        <w:rPr>
          <w:rFonts w:ascii="Calibri" w:hAnsi="Calibri"/>
          <w:sz w:val="22"/>
          <w:szCs w:val="22"/>
          <w:lang w:val="en-US"/>
        </w:rPr>
        <w:tab/>
      </w:r>
      <w:r w:rsidRPr="004D0DAA">
        <w:t>Resource Reallocation for Uplink</w:t>
      </w:r>
      <w:r w:rsidRPr="004D0DAA">
        <w:tab/>
      </w:r>
      <w:r w:rsidRPr="004D0DAA">
        <w:fldChar w:fldCharType="begin" w:fldLock="1"/>
      </w:r>
      <w:r w:rsidRPr="004D0DAA">
        <w:instrText xml:space="preserve"> PAGEREF _Toc516669427 \h </w:instrText>
      </w:r>
      <w:r w:rsidRPr="004D0DAA">
        <w:fldChar w:fldCharType="separate"/>
      </w:r>
      <w:r w:rsidRPr="004D0DAA">
        <w:t>130</w:t>
      </w:r>
      <w:r w:rsidRPr="004D0DAA">
        <w:fldChar w:fldCharType="end"/>
      </w:r>
    </w:p>
    <w:p w14:paraId="0109BD57" w14:textId="77777777" w:rsidR="00683705" w:rsidRPr="004D0DAA" w:rsidRDefault="00683705">
      <w:pPr>
        <w:pStyle w:val="TOC6"/>
        <w:rPr>
          <w:rFonts w:ascii="Calibri" w:hAnsi="Calibri"/>
          <w:sz w:val="22"/>
          <w:szCs w:val="22"/>
          <w:lang w:val="en-US"/>
        </w:rPr>
      </w:pPr>
      <w:r w:rsidRPr="004D0DAA">
        <w:t>8.1.1.1.2.1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_Toc516669428 \h </w:instrText>
      </w:r>
      <w:r w:rsidRPr="004D0DAA">
        <w:fldChar w:fldCharType="separate"/>
      </w:r>
      <w:r w:rsidRPr="004D0DAA">
        <w:t>132</w:t>
      </w:r>
      <w:r w:rsidRPr="004D0DAA">
        <w:fldChar w:fldCharType="end"/>
      </w:r>
    </w:p>
    <w:p w14:paraId="6DB16A46" w14:textId="77777777" w:rsidR="00683705" w:rsidRPr="004D0DAA" w:rsidRDefault="00683705">
      <w:pPr>
        <w:pStyle w:val="TOC5"/>
        <w:rPr>
          <w:rFonts w:ascii="Calibri" w:hAnsi="Calibri"/>
          <w:sz w:val="22"/>
          <w:szCs w:val="22"/>
          <w:lang w:val="en-US"/>
        </w:rPr>
      </w:pPr>
      <w:r w:rsidRPr="004D0DAA">
        <w:t>8.1.1.1.3</w:t>
      </w:r>
      <w:r w:rsidRPr="004D0DAA">
        <w:rPr>
          <w:rFonts w:ascii="Calibri" w:hAnsi="Calibri"/>
          <w:sz w:val="22"/>
          <w:szCs w:val="22"/>
          <w:lang w:val="en-US"/>
        </w:rPr>
        <w:tab/>
      </w:r>
      <w:r w:rsidRPr="004D0DAA">
        <w:t>Establishment of Downlink TBF</w:t>
      </w:r>
      <w:r w:rsidRPr="004D0DAA">
        <w:tab/>
      </w:r>
      <w:r w:rsidRPr="004D0DAA">
        <w:fldChar w:fldCharType="begin" w:fldLock="1"/>
      </w:r>
      <w:r w:rsidRPr="004D0DAA">
        <w:instrText xml:space="preserve"> PAGEREF _Toc516669429 \h </w:instrText>
      </w:r>
      <w:r w:rsidRPr="004D0DAA">
        <w:fldChar w:fldCharType="separate"/>
      </w:r>
      <w:r w:rsidRPr="004D0DAA">
        <w:t>133</w:t>
      </w:r>
      <w:r w:rsidRPr="004D0DAA">
        <w:fldChar w:fldCharType="end"/>
      </w:r>
    </w:p>
    <w:p w14:paraId="4A46FE0F" w14:textId="77777777" w:rsidR="00683705" w:rsidRPr="004D0DAA" w:rsidRDefault="00683705">
      <w:pPr>
        <w:pStyle w:val="TOC6"/>
        <w:rPr>
          <w:rFonts w:ascii="Calibri" w:hAnsi="Calibri"/>
          <w:sz w:val="22"/>
          <w:szCs w:val="22"/>
          <w:lang w:val="en-US"/>
        </w:rPr>
      </w:pPr>
      <w:r w:rsidRPr="004D0DAA">
        <w:t>8.1.1.1.3.1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_Toc516669430 \h </w:instrText>
      </w:r>
      <w:r w:rsidRPr="004D0DAA">
        <w:fldChar w:fldCharType="separate"/>
      </w:r>
      <w:r w:rsidRPr="004D0DAA">
        <w:t>135</w:t>
      </w:r>
      <w:r w:rsidRPr="004D0DAA">
        <w:fldChar w:fldCharType="end"/>
      </w:r>
    </w:p>
    <w:p w14:paraId="208D69C8" w14:textId="77777777" w:rsidR="00683705" w:rsidRPr="004D0DAA" w:rsidRDefault="00683705">
      <w:pPr>
        <w:pStyle w:val="TOC4"/>
        <w:rPr>
          <w:rFonts w:ascii="Calibri" w:hAnsi="Calibri"/>
          <w:sz w:val="22"/>
          <w:szCs w:val="22"/>
          <w:lang w:val="en-US"/>
        </w:rPr>
      </w:pPr>
      <w:r w:rsidRPr="004D0DAA">
        <w:t>8.1.1.2</w:t>
      </w:r>
      <w:r w:rsidRPr="004D0DAA">
        <w:rPr>
          <w:rFonts w:ascii="Calibri" w:hAnsi="Calibri"/>
          <w:sz w:val="22"/>
          <w:szCs w:val="22"/>
          <w:lang w:val="en-US"/>
        </w:rPr>
        <w:tab/>
      </w:r>
      <w:r w:rsidRPr="004D0DAA">
        <w:t>Extended Dynamic Allocation uplink RLC data block transfer</w:t>
      </w:r>
      <w:r w:rsidRPr="004D0DAA">
        <w:tab/>
      </w:r>
      <w:r w:rsidRPr="004D0DAA">
        <w:fldChar w:fldCharType="begin" w:fldLock="1"/>
      </w:r>
      <w:r w:rsidRPr="004D0DAA">
        <w:instrText xml:space="preserve"> PAGEREF _Toc516669431 \h </w:instrText>
      </w:r>
      <w:r w:rsidRPr="004D0DAA">
        <w:fldChar w:fldCharType="separate"/>
      </w:r>
      <w:r w:rsidRPr="004D0DAA">
        <w:t>136</w:t>
      </w:r>
      <w:r w:rsidRPr="004D0DAA">
        <w:fldChar w:fldCharType="end"/>
      </w:r>
    </w:p>
    <w:p w14:paraId="6C1FD972" w14:textId="77777777" w:rsidR="00683705" w:rsidRPr="004D0DAA" w:rsidRDefault="00683705">
      <w:pPr>
        <w:pStyle w:val="TOC5"/>
        <w:rPr>
          <w:rFonts w:ascii="Calibri" w:hAnsi="Calibri"/>
          <w:sz w:val="22"/>
          <w:szCs w:val="22"/>
          <w:lang w:val="en-US"/>
        </w:rPr>
      </w:pPr>
      <w:r w:rsidRPr="004D0DAA">
        <w:t>8.1.1.2.1</w:t>
      </w:r>
      <w:r w:rsidRPr="004D0DAA">
        <w:rPr>
          <w:rFonts w:ascii="Calibri" w:hAnsi="Calibri"/>
          <w:sz w:val="22"/>
          <w:szCs w:val="22"/>
          <w:lang w:val="en-US"/>
        </w:rPr>
        <w:tab/>
      </w:r>
      <w:r w:rsidRPr="004D0DAA">
        <w:t>Uplink PDCH Allocation</w:t>
      </w:r>
      <w:r w:rsidRPr="004D0DAA">
        <w:tab/>
      </w:r>
      <w:r w:rsidRPr="004D0DAA">
        <w:fldChar w:fldCharType="begin" w:fldLock="1"/>
      </w:r>
      <w:r w:rsidRPr="004D0DAA">
        <w:instrText xml:space="preserve"> PAGEREF _Toc516669432 \h </w:instrText>
      </w:r>
      <w:r w:rsidRPr="004D0DAA">
        <w:fldChar w:fldCharType="separate"/>
      </w:r>
      <w:r w:rsidRPr="004D0DAA">
        <w:t>137</w:t>
      </w:r>
      <w:r w:rsidRPr="004D0DAA">
        <w:fldChar w:fldCharType="end"/>
      </w:r>
    </w:p>
    <w:p w14:paraId="1CE5E8AC" w14:textId="77777777" w:rsidR="00683705" w:rsidRPr="004D0DAA" w:rsidRDefault="00683705">
      <w:pPr>
        <w:pStyle w:val="TOC5"/>
        <w:rPr>
          <w:rFonts w:ascii="Calibri" w:hAnsi="Calibri"/>
          <w:sz w:val="22"/>
          <w:szCs w:val="22"/>
          <w:lang w:val="en-US"/>
        </w:rPr>
      </w:pPr>
      <w:r w:rsidRPr="004D0DAA">
        <w:t>8.1.1.2.2</w:t>
      </w:r>
      <w:r w:rsidRPr="004D0DAA">
        <w:rPr>
          <w:rFonts w:ascii="Calibri" w:hAnsi="Calibri"/>
          <w:sz w:val="22"/>
          <w:szCs w:val="22"/>
          <w:lang w:val="en-US"/>
        </w:rPr>
        <w:tab/>
      </w:r>
      <w:r w:rsidRPr="004D0DAA">
        <w:t>PACCH operation</w:t>
      </w:r>
      <w:r w:rsidRPr="004D0DAA">
        <w:tab/>
      </w:r>
      <w:r w:rsidRPr="004D0DAA">
        <w:fldChar w:fldCharType="begin" w:fldLock="1"/>
      </w:r>
      <w:r w:rsidRPr="004D0DAA">
        <w:instrText xml:space="preserve"> PAGEREF _Toc516669433 \h </w:instrText>
      </w:r>
      <w:r w:rsidRPr="004D0DAA">
        <w:fldChar w:fldCharType="separate"/>
      </w:r>
      <w:r w:rsidRPr="004D0DAA">
        <w:t>139</w:t>
      </w:r>
      <w:r w:rsidRPr="004D0DAA">
        <w:fldChar w:fldCharType="end"/>
      </w:r>
    </w:p>
    <w:p w14:paraId="3B1BC482" w14:textId="77777777" w:rsidR="00683705" w:rsidRPr="004D0DAA" w:rsidRDefault="00683705">
      <w:pPr>
        <w:pStyle w:val="TOC5"/>
        <w:rPr>
          <w:rFonts w:ascii="Calibri" w:hAnsi="Calibri"/>
          <w:sz w:val="22"/>
          <w:szCs w:val="22"/>
          <w:lang w:val="en-US"/>
        </w:rPr>
      </w:pPr>
      <w:r w:rsidRPr="004D0DAA">
        <w:t>8.1.1.2.3</w:t>
      </w:r>
      <w:r w:rsidRPr="004D0DAA">
        <w:rPr>
          <w:rFonts w:ascii="Calibri" w:hAnsi="Calibri"/>
          <w:sz w:val="22"/>
          <w:szCs w:val="22"/>
          <w:lang w:val="en-US"/>
        </w:rPr>
        <w:tab/>
      </w:r>
      <w:r w:rsidRPr="004D0DAA">
        <w:t>Neighbour cell power measurements</w:t>
      </w:r>
      <w:r w:rsidRPr="004D0DAA">
        <w:tab/>
      </w:r>
      <w:r w:rsidRPr="004D0DAA">
        <w:fldChar w:fldCharType="begin" w:fldLock="1"/>
      </w:r>
      <w:r w:rsidRPr="004D0DAA">
        <w:instrText xml:space="preserve"> PAGEREF _Toc516669434 \h </w:instrText>
      </w:r>
      <w:r w:rsidRPr="004D0DAA">
        <w:fldChar w:fldCharType="separate"/>
      </w:r>
      <w:r w:rsidRPr="004D0DAA">
        <w:t>140</w:t>
      </w:r>
      <w:r w:rsidRPr="004D0DAA">
        <w:fldChar w:fldCharType="end"/>
      </w:r>
    </w:p>
    <w:p w14:paraId="334E87A5" w14:textId="77777777" w:rsidR="00683705" w:rsidRPr="004D0DAA" w:rsidRDefault="00683705">
      <w:pPr>
        <w:pStyle w:val="TOC5"/>
        <w:rPr>
          <w:rFonts w:ascii="Calibri" w:hAnsi="Calibri"/>
          <w:sz w:val="22"/>
          <w:szCs w:val="22"/>
          <w:lang w:val="en-US"/>
        </w:rPr>
      </w:pPr>
      <w:r w:rsidRPr="004D0DAA">
        <w:t>8.1.1.2.4</w:t>
      </w:r>
      <w:r w:rsidRPr="004D0DAA">
        <w:rPr>
          <w:rFonts w:ascii="Calibri" w:hAnsi="Calibri"/>
          <w:sz w:val="22"/>
          <w:szCs w:val="22"/>
          <w:lang w:val="en-US"/>
        </w:rPr>
        <w:tab/>
      </w:r>
      <w:r w:rsidRPr="004D0DAA">
        <w:t>Shifted USF operation</w:t>
      </w:r>
      <w:r w:rsidRPr="004D0DAA">
        <w:tab/>
      </w:r>
      <w:r w:rsidRPr="004D0DAA">
        <w:fldChar w:fldCharType="begin" w:fldLock="1"/>
      </w:r>
      <w:r w:rsidRPr="004D0DAA">
        <w:instrText xml:space="preserve"> PAGEREF _Toc516669435 \h </w:instrText>
      </w:r>
      <w:r w:rsidRPr="004D0DAA">
        <w:fldChar w:fldCharType="separate"/>
      </w:r>
      <w:r w:rsidRPr="004D0DAA">
        <w:t>140</w:t>
      </w:r>
      <w:r w:rsidRPr="004D0DAA">
        <w:fldChar w:fldCharType="end"/>
      </w:r>
    </w:p>
    <w:p w14:paraId="66B6854E" w14:textId="77777777" w:rsidR="00683705" w:rsidRPr="004D0DAA" w:rsidRDefault="00683705">
      <w:pPr>
        <w:pStyle w:val="TOC4"/>
        <w:rPr>
          <w:rFonts w:ascii="Calibri" w:hAnsi="Calibri"/>
          <w:sz w:val="22"/>
          <w:szCs w:val="22"/>
          <w:lang w:val="en-US"/>
        </w:rPr>
      </w:pPr>
      <w:r w:rsidRPr="004D0DAA">
        <w:t>8.1.1.3</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_Toc516669436 \h </w:instrText>
      </w:r>
      <w:r w:rsidRPr="004D0DAA">
        <w:fldChar w:fldCharType="separate"/>
      </w:r>
      <w:r w:rsidRPr="004D0DAA">
        <w:t>140</w:t>
      </w:r>
      <w:r w:rsidRPr="004D0DAA">
        <w:fldChar w:fldCharType="end"/>
      </w:r>
    </w:p>
    <w:p w14:paraId="0324DC4E" w14:textId="77777777" w:rsidR="00683705" w:rsidRPr="004D0DAA" w:rsidRDefault="00683705">
      <w:pPr>
        <w:pStyle w:val="TOC4"/>
        <w:rPr>
          <w:rFonts w:ascii="Calibri" w:hAnsi="Calibri"/>
          <w:sz w:val="22"/>
          <w:szCs w:val="22"/>
          <w:lang w:val="en-US"/>
        </w:rPr>
      </w:pPr>
      <w:r w:rsidRPr="004D0DAA">
        <w:t>8.1.1.3a</w:t>
      </w:r>
      <w:r w:rsidRPr="004D0DAA">
        <w:rPr>
          <w:rFonts w:ascii="Calibri" w:hAnsi="Calibri"/>
          <w:sz w:val="22"/>
          <w:szCs w:val="22"/>
          <w:lang w:val="en-US"/>
        </w:rPr>
        <w:tab/>
      </w:r>
      <w:r w:rsidRPr="004D0DAA">
        <w:t>Exclusive allocation RLC data block transfer</w:t>
      </w:r>
      <w:r w:rsidRPr="004D0DAA">
        <w:tab/>
      </w:r>
      <w:r w:rsidRPr="004D0DAA">
        <w:fldChar w:fldCharType="begin" w:fldLock="1"/>
      </w:r>
      <w:r w:rsidRPr="004D0DAA">
        <w:instrText xml:space="preserve"> PAGEREF _Toc516669437 \h </w:instrText>
      </w:r>
      <w:r w:rsidRPr="004D0DAA">
        <w:fldChar w:fldCharType="separate"/>
      </w:r>
      <w:r w:rsidRPr="004D0DAA">
        <w:t>140</w:t>
      </w:r>
      <w:r w:rsidRPr="004D0DAA">
        <w:fldChar w:fldCharType="end"/>
      </w:r>
    </w:p>
    <w:p w14:paraId="38243D15" w14:textId="77777777" w:rsidR="00683705" w:rsidRPr="004D0DAA" w:rsidRDefault="00683705">
      <w:pPr>
        <w:pStyle w:val="TOC5"/>
        <w:rPr>
          <w:rFonts w:ascii="Calibri" w:hAnsi="Calibri"/>
          <w:sz w:val="22"/>
          <w:szCs w:val="22"/>
          <w:lang w:val="en-US"/>
        </w:rPr>
      </w:pPr>
      <w:r w:rsidRPr="004D0DAA">
        <w:t>8.1.1.3a.1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_Toc516669438 \h </w:instrText>
      </w:r>
      <w:r w:rsidRPr="004D0DAA">
        <w:fldChar w:fldCharType="separate"/>
      </w:r>
      <w:r w:rsidRPr="004D0DAA">
        <w:t>140</w:t>
      </w:r>
      <w:r w:rsidRPr="004D0DAA">
        <w:fldChar w:fldCharType="end"/>
      </w:r>
    </w:p>
    <w:p w14:paraId="61481091" w14:textId="77777777" w:rsidR="00683705" w:rsidRPr="004D0DAA" w:rsidRDefault="00683705">
      <w:pPr>
        <w:pStyle w:val="TOC5"/>
        <w:rPr>
          <w:rFonts w:ascii="Calibri" w:hAnsi="Calibri"/>
          <w:sz w:val="22"/>
          <w:szCs w:val="22"/>
          <w:lang w:val="en-US"/>
        </w:rPr>
      </w:pPr>
      <w:r w:rsidRPr="004D0DAA">
        <w:t>8.1.1.3a.2</w:t>
      </w:r>
      <w:r w:rsidRPr="004D0DAA">
        <w:rPr>
          <w:rFonts w:ascii="Calibri" w:hAnsi="Calibri"/>
          <w:sz w:val="22"/>
          <w:szCs w:val="22"/>
          <w:lang w:val="en-US"/>
        </w:rPr>
        <w:tab/>
      </w:r>
      <w:r w:rsidRPr="004D0DAA">
        <w:t>Radio link failure</w:t>
      </w:r>
      <w:r w:rsidRPr="004D0DAA">
        <w:tab/>
      </w:r>
      <w:r w:rsidRPr="004D0DAA">
        <w:fldChar w:fldCharType="begin" w:fldLock="1"/>
      </w:r>
      <w:r w:rsidRPr="004D0DAA">
        <w:instrText xml:space="preserve"> PAGEREF _Toc516669439 \h </w:instrText>
      </w:r>
      <w:r w:rsidRPr="004D0DAA">
        <w:fldChar w:fldCharType="separate"/>
      </w:r>
      <w:r w:rsidRPr="004D0DAA">
        <w:t>141</w:t>
      </w:r>
      <w:r w:rsidRPr="004D0DAA">
        <w:fldChar w:fldCharType="end"/>
      </w:r>
    </w:p>
    <w:p w14:paraId="24B07587" w14:textId="77777777" w:rsidR="00683705" w:rsidRPr="004D0DAA" w:rsidRDefault="00683705">
      <w:pPr>
        <w:pStyle w:val="TOC5"/>
        <w:rPr>
          <w:rFonts w:ascii="Calibri" w:hAnsi="Calibri"/>
          <w:sz w:val="22"/>
          <w:szCs w:val="22"/>
          <w:lang w:val="en-US"/>
        </w:rPr>
      </w:pPr>
      <w:r w:rsidRPr="004D0DAA">
        <w:t>8.1.1.3a.3</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_Toc516669440 \h </w:instrText>
      </w:r>
      <w:r w:rsidRPr="004D0DAA">
        <w:fldChar w:fldCharType="separate"/>
      </w:r>
      <w:r w:rsidRPr="004D0DAA">
        <w:t>141</w:t>
      </w:r>
      <w:r w:rsidRPr="004D0DAA">
        <w:fldChar w:fldCharType="end"/>
      </w:r>
    </w:p>
    <w:p w14:paraId="20997045" w14:textId="77777777" w:rsidR="00683705" w:rsidRPr="004D0DAA" w:rsidRDefault="00683705">
      <w:pPr>
        <w:pStyle w:val="TOC5"/>
        <w:rPr>
          <w:rFonts w:ascii="Calibri" w:hAnsi="Calibri"/>
          <w:sz w:val="22"/>
          <w:szCs w:val="22"/>
          <w:lang w:val="en-US"/>
        </w:rPr>
      </w:pPr>
      <w:r w:rsidRPr="004D0DAA">
        <w:t>8.1.1.3a.4</w:t>
      </w:r>
      <w:r w:rsidRPr="004D0DAA">
        <w:rPr>
          <w:rFonts w:ascii="Calibri" w:hAnsi="Calibri"/>
          <w:sz w:val="22"/>
          <w:szCs w:val="22"/>
          <w:lang w:val="en-US"/>
        </w:rPr>
        <w:tab/>
      </w:r>
      <w:r w:rsidRPr="004D0DAA">
        <w:t>PACCH operation</w:t>
      </w:r>
      <w:r w:rsidRPr="004D0DAA">
        <w:tab/>
      </w:r>
      <w:r w:rsidRPr="004D0DAA">
        <w:fldChar w:fldCharType="begin" w:fldLock="1"/>
      </w:r>
      <w:r w:rsidRPr="004D0DAA">
        <w:instrText xml:space="preserve"> PAGEREF _Toc516669441 \h </w:instrText>
      </w:r>
      <w:r w:rsidRPr="004D0DAA">
        <w:fldChar w:fldCharType="separate"/>
      </w:r>
      <w:r w:rsidRPr="004D0DAA">
        <w:t>141</w:t>
      </w:r>
      <w:r w:rsidRPr="004D0DAA">
        <w:fldChar w:fldCharType="end"/>
      </w:r>
    </w:p>
    <w:p w14:paraId="3974D1B2" w14:textId="77777777" w:rsidR="00683705" w:rsidRPr="004D0DAA" w:rsidRDefault="00683705">
      <w:pPr>
        <w:pStyle w:val="TOC5"/>
        <w:rPr>
          <w:rFonts w:ascii="Calibri" w:hAnsi="Calibri"/>
          <w:sz w:val="22"/>
          <w:szCs w:val="22"/>
          <w:lang w:val="en-US"/>
        </w:rPr>
      </w:pPr>
      <w:r w:rsidRPr="004D0DAA">
        <w:t>8.1.1.3a.5</w:t>
      </w:r>
      <w:r w:rsidRPr="004D0DAA">
        <w:rPr>
          <w:rFonts w:ascii="Calibri" w:hAnsi="Calibri"/>
          <w:sz w:val="22"/>
          <w:szCs w:val="22"/>
          <w:lang w:val="en-US"/>
        </w:rPr>
        <w:tab/>
      </w:r>
      <w:r w:rsidRPr="004D0DAA">
        <w:t>Resource Reallocation for Uplink</w:t>
      </w:r>
      <w:r w:rsidRPr="004D0DAA">
        <w:tab/>
      </w:r>
      <w:r w:rsidRPr="004D0DAA">
        <w:fldChar w:fldCharType="begin" w:fldLock="1"/>
      </w:r>
      <w:r w:rsidRPr="004D0DAA">
        <w:instrText xml:space="preserve"> PAGEREF _Toc516669442 \h </w:instrText>
      </w:r>
      <w:r w:rsidRPr="004D0DAA">
        <w:fldChar w:fldCharType="separate"/>
      </w:r>
      <w:r w:rsidRPr="004D0DAA">
        <w:t>142</w:t>
      </w:r>
      <w:r w:rsidRPr="004D0DAA">
        <w:fldChar w:fldCharType="end"/>
      </w:r>
    </w:p>
    <w:p w14:paraId="519D7035" w14:textId="77777777" w:rsidR="00683705" w:rsidRPr="004D0DAA" w:rsidRDefault="00683705">
      <w:pPr>
        <w:pStyle w:val="TOC6"/>
        <w:rPr>
          <w:rFonts w:ascii="Calibri" w:hAnsi="Calibri"/>
          <w:sz w:val="22"/>
          <w:szCs w:val="22"/>
          <w:lang w:val="en-US"/>
        </w:rPr>
      </w:pPr>
      <w:r w:rsidRPr="004D0DAA">
        <w:t>8.1.1.3a.5.1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_Toc516669443 \h </w:instrText>
      </w:r>
      <w:r w:rsidRPr="004D0DAA">
        <w:fldChar w:fldCharType="separate"/>
      </w:r>
      <w:r w:rsidRPr="004D0DAA">
        <w:t>142</w:t>
      </w:r>
      <w:r w:rsidRPr="004D0DAA">
        <w:fldChar w:fldCharType="end"/>
      </w:r>
    </w:p>
    <w:p w14:paraId="1FE6733A" w14:textId="77777777" w:rsidR="00683705" w:rsidRPr="004D0DAA" w:rsidRDefault="00683705">
      <w:pPr>
        <w:pStyle w:val="TOC6"/>
        <w:rPr>
          <w:rFonts w:ascii="Calibri" w:hAnsi="Calibri"/>
          <w:sz w:val="22"/>
          <w:szCs w:val="22"/>
          <w:lang w:val="en-US"/>
        </w:rPr>
      </w:pPr>
      <w:r w:rsidRPr="004D0DAA">
        <w:t>8.1.1.3a.5.2</w:t>
      </w:r>
      <w:r w:rsidRPr="004D0DAA">
        <w:rPr>
          <w:rFonts w:ascii="Calibri" w:hAnsi="Calibri"/>
          <w:sz w:val="22"/>
          <w:szCs w:val="22"/>
          <w:lang w:val="en-US"/>
        </w:rPr>
        <w:tab/>
      </w:r>
      <w:r w:rsidRPr="004D0DAA">
        <w:t>Change of service demand</w:t>
      </w:r>
      <w:r w:rsidRPr="004D0DAA">
        <w:tab/>
      </w:r>
      <w:r w:rsidRPr="004D0DAA">
        <w:fldChar w:fldCharType="begin" w:fldLock="1"/>
      </w:r>
      <w:r w:rsidRPr="004D0DAA">
        <w:instrText xml:space="preserve"> PAGEREF _Toc516669444 \h </w:instrText>
      </w:r>
      <w:r w:rsidRPr="004D0DAA">
        <w:fldChar w:fldCharType="separate"/>
      </w:r>
      <w:r w:rsidRPr="004D0DAA">
        <w:t>142</w:t>
      </w:r>
      <w:r w:rsidRPr="004D0DAA">
        <w:fldChar w:fldCharType="end"/>
      </w:r>
    </w:p>
    <w:p w14:paraId="66DF46F8" w14:textId="77777777" w:rsidR="00683705" w:rsidRPr="004D0DAA" w:rsidRDefault="00683705">
      <w:pPr>
        <w:pStyle w:val="TOC6"/>
        <w:rPr>
          <w:rFonts w:ascii="Calibri" w:hAnsi="Calibri"/>
          <w:sz w:val="22"/>
          <w:szCs w:val="22"/>
          <w:lang w:val="en-US"/>
        </w:rPr>
      </w:pPr>
      <w:r w:rsidRPr="004D0DAA">
        <w:t>8.1.1.3a.5.3</w:t>
      </w:r>
      <w:r w:rsidRPr="004D0DAA">
        <w:rPr>
          <w:rFonts w:ascii="Calibri" w:hAnsi="Calibri"/>
          <w:sz w:val="22"/>
          <w:szCs w:val="22"/>
          <w:lang w:val="en-US"/>
        </w:rPr>
        <w:tab/>
      </w:r>
      <w:r w:rsidRPr="004D0DAA">
        <w:t>Reallocation of radio resources for an uplink TBF</w:t>
      </w:r>
      <w:r w:rsidRPr="004D0DAA">
        <w:tab/>
      </w:r>
      <w:r w:rsidRPr="004D0DAA">
        <w:fldChar w:fldCharType="begin" w:fldLock="1"/>
      </w:r>
      <w:r w:rsidRPr="004D0DAA">
        <w:instrText xml:space="preserve"> PAGEREF _Toc516669445 \h </w:instrText>
      </w:r>
      <w:r w:rsidRPr="004D0DAA">
        <w:fldChar w:fldCharType="separate"/>
      </w:r>
      <w:r w:rsidRPr="004D0DAA">
        <w:t>142</w:t>
      </w:r>
      <w:r w:rsidRPr="004D0DAA">
        <w:fldChar w:fldCharType="end"/>
      </w:r>
    </w:p>
    <w:p w14:paraId="1EB27C33" w14:textId="77777777" w:rsidR="00683705" w:rsidRPr="004D0DAA" w:rsidRDefault="00683705">
      <w:pPr>
        <w:pStyle w:val="TOC6"/>
        <w:rPr>
          <w:rFonts w:ascii="Calibri" w:hAnsi="Calibri"/>
          <w:sz w:val="22"/>
          <w:szCs w:val="22"/>
          <w:lang w:val="en-US"/>
        </w:rPr>
      </w:pPr>
      <w:r w:rsidRPr="004D0DAA">
        <w:t>8.1.1.3a.5.4</w:t>
      </w:r>
      <w:r w:rsidRPr="004D0DAA">
        <w:rPr>
          <w:rFonts w:ascii="Calibri" w:hAnsi="Calibri"/>
          <w:sz w:val="22"/>
          <w:szCs w:val="22"/>
          <w:lang w:val="en-US"/>
        </w:rPr>
        <w:tab/>
      </w:r>
      <w:r w:rsidRPr="004D0DAA">
        <w:t>Rejection of new service demand</w:t>
      </w:r>
      <w:r w:rsidRPr="004D0DAA">
        <w:tab/>
      </w:r>
      <w:r w:rsidRPr="004D0DAA">
        <w:fldChar w:fldCharType="begin" w:fldLock="1"/>
      </w:r>
      <w:r w:rsidRPr="004D0DAA">
        <w:instrText xml:space="preserve"> PAGEREF _Toc516669446 \h </w:instrText>
      </w:r>
      <w:r w:rsidRPr="004D0DAA">
        <w:fldChar w:fldCharType="separate"/>
      </w:r>
      <w:r w:rsidRPr="004D0DAA">
        <w:t>143</w:t>
      </w:r>
      <w:r w:rsidRPr="004D0DAA">
        <w:fldChar w:fldCharType="end"/>
      </w:r>
    </w:p>
    <w:p w14:paraId="40537DC7" w14:textId="77777777" w:rsidR="00683705" w:rsidRPr="004D0DAA" w:rsidRDefault="00683705">
      <w:pPr>
        <w:pStyle w:val="TOC6"/>
        <w:rPr>
          <w:rFonts w:ascii="Calibri" w:hAnsi="Calibri"/>
          <w:sz w:val="22"/>
          <w:szCs w:val="22"/>
          <w:lang w:val="en-US"/>
        </w:rPr>
      </w:pPr>
      <w:r w:rsidRPr="004D0DAA">
        <w:t>8.1.1.3a.5.5</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_Toc516669447 \h </w:instrText>
      </w:r>
      <w:r w:rsidRPr="004D0DAA">
        <w:fldChar w:fldCharType="separate"/>
      </w:r>
      <w:r w:rsidRPr="004D0DAA">
        <w:t>143</w:t>
      </w:r>
      <w:r w:rsidRPr="004D0DAA">
        <w:fldChar w:fldCharType="end"/>
      </w:r>
    </w:p>
    <w:p w14:paraId="5E0D1F8C" w14:textId="77777777" w:rsidR="00683705" w:rsidRPr="004D0DAA" w:rsidRDefault="00683705">
      <w:pPr>
        <w:pStyle w:val="TOC5"/>
        <w:rPr>
          <w:rFonts w:ascii="Calibri" w:hAnsi="Calibri"/>
          <w:sz w:val="22"/>
          <w:szCs w:val="22"/>
          <w:lang w:val="en-US"/>
        </w:rPr>
      </w:pPr>
      <w:r w:rsidRPr="004D0DAA">
        <w:t>8.1.1.3a.6</w:t>
      </w:r>
      <w:r w:rsidRPr="004D0DAA">
        <w:rPr>
          <w:rFonts w:ascii="Calibri" w:hAnsi="Calibri"/>
          <w:sz w:val="22"/>
          <w:szCs w:val="22"/>
          <w:lang w:val="en-US"/>
        </w:rPr>
        <w:tab/>
      </w:r>
      <w:r w:rsidRPr="004D0DAA">
        <w:t>Establishment of Downlink TBF</w:t>
      </w:r>
      <w:r w:rsidRPr="004D0DAA">
        <w:tab/>
      </w:r>
      <w:r w:rsidRPr="004D0DAA">
        <w:fldChar w:fldCharType="begin" w:fldLock="1"/>
      </w:r>
      <w:r w:rsidRPr="004D0DAA">
        <w:instrText xml:space="preserve"> PAGEREF _Toc516669448 \h </w:instrText>
      </w:r>
      <w:r w:rsidRPr="004D0DAA">
        <w:fldChar w:fldCharType="separate"/>
      </w:r>
      <w:r w:rsidRPr="004D0DAA">
        <w:t>143</w:t>
      </w:r>
      <w:r w:rsidRPr="004D0DAA">
        <w:fldChar w:fldCharType="end"/>
      </w:r>
    </w:p>
    <w:p w14:paraId="3880190C" w14:textId="77777777" w:rsidR="00683705" w:rsidRPr="004D0DAA" w:rsidRDefault="00683705">
      <w:pPr>
        <w:pStyle w:val="TOC6"/>
        <w:rPr>
          <w:rFonts w:ascii="Calibri" w:hAnsi="Calibri"/>
          <w:sz w:val="22"/>
          <w:szCs w:val="22"/>
          <w:lang w:val="en-US"/>
        </w:rPr>
      </w:pPr>
      <w:r w:rsidRPr="004D0DAA">
        <w:t>8.1.1.3a.6.1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_Toc516669449 \h </w:instrText>
      </w:r>
      <w:r w:rsidRPr="004D0DAA">
        <w:fldChar w:fldCharType="separate"/>
      </w:r>
      <w:r w:rsidRPr="004D0DAA">
        <w:t>143</w:t>
      </w:r>
      <w:r w:rsidRPr="004D0DAA">
        <w:fldChar w:fldCharType="end"/>
      </w:r>
    </w:p>
    <w:p w14:paraId="254DBD60" w14:textId="77777777" w:rsidR="00683705" w:rsidRPr="004D0DAA" w:rsidRDefault="00683705">
      <w:pPr>
        <w:pStyle w:val="TOC6"/>
        <w:rPr>
          <w:rFonts w:ascii="Calibri" w:hAnsi="Calibri"/>
          <w:sz w:val="22"/>
          <w:szCs w:val="22"/>
          <w:lang w:val="en-US"/>
        </w:rPr>
      </w:pPr>
      <w:r w:rsidRPr="004D0DAA">
        <w:t>8.1.1.3a.6.2</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_Toc516669450 \h </w:instrText>
      </w:r>
      <w:r w:rsidRPr="004D0DAA">
        <w:fldChar w:fldCharType="separate"/>
      </w:r>
      <w:r w:rsidRPr="004D0DAA">
        <w:t>144</w:t>
      </w:r>
      <w:r w:rsidRPr="004D0DAA">
        <w:fldChar w:fldCharType="end"/>
      </w:r>
    </w:p>
    <w:p w14:paraId="3266C173" w14:textId="77777777" w:rsidR="00683705" w:rsidRPr="004D0DAA" w:rsidRDefault="00683705">
      <w:pPr>
        <w:pStyle w:val="TOC4"/>
        <w:rPr>
          <w:rFonts w:ascii="Calibri" w:hAnsi="Calibri"/>
          <w:sz w:val="22"/>
          <w:szCs w:val="22"/>
          <w:lang w:val="en-US"/>
        </w:rPr>
      </w:pPr>
      <w:r w:rsidRPr="004D0DAA">
        <w:t>8.1.1.3b</w:t>
      </w:r>
      <w:r w:rsidRPr="004D0DAA">
        <w:rPr>
          <w:rFonts w:ascii="Calibri" w:hAnsi="Calibri"/>
          <w:sz w:val="22"/>
          <w:szCs w:val="22"/>
        </w:rPr>
        <w:tab/>
      </w:r>
      <w:r w:rsidRPr="004D0DAA">
        <w:rPr>
          <w:lang w:val="en-US"/>
        </w:rPr>
        <w:t>Fixed Uplink Allocation RLC data block transfer</w:t>
      </w:r>
      <w:r w:rsidRPr="004D0DAA">
        <w:tab/>
      </w:r>
      <w:r w:rsidRPr="004D0DAA">
        <w:fldChar w:fldCharType="begin" w:fldLock="1"/>
      </w:r>
      <w:r w:rsidRPr="004D0DAA">
        <w:instrText xml:space="preserve"> PAGEREF _Toc516669451 \h </w:instrText>
      </w:r>
      <w:r w:rsidRPr="004D0DAA">
        <w:fldChar w:fldCharType="separate"/>
      </w:r>
      <w:r w:rsidRPr="004D0DAA">
        <w:t>144</w:t>
      </w:r>
      <w:r w:rsidRPr="004D0DAA">
        <w:fldChar w:fldCharType="end"/>
      </w:r>
    </w:p>
    <w:p w14:paraId="2B182DBF" w14:textId="77777777" w:rsidR="00683705" w:rsidRPr="004D0DAA" w:rsidRDefault="00683705">
      <w:pPr>
        <w:pStyle w:val="TOC5"/>
        <w:rPr>
          <w:rFonts w:ascii="Calibri" w:hAnsi="Calibri"/>
          <w:sz w:val="22"/>
          <w:szCs w:val="22"/>
          <w:lang w:val="en-US"/>
        </w:rPr>
      </w:pPr>
      <w:r w:rsidRPr="004D0DAA">
        <w:t>8.1.1.3b.1</w:t>
      </w:r>
      <w:r w:rsidRPr="004D0DAA">
        <w:rPr>
          <w:rFonts w:ascii="Calibri" w:hAnsi="Calibri"/>
          <w:sz w:val="22"/>
          <w:szCs w:val="22"/>
          <w:lang w:val="en-US"/>
        </w:rPr>
        <w:tab/>
      </w:r>
      <w:r w:rsidRPr="004D0DAA">
        <w:t>EC-PACCH operation</w:t>
      </w:r>
      <w:r w:rsidRPr="004D0DAA">
        <w:tab/>
      </w:r>
      <w:r w:rsidRPr="004D0DAA">
        <w:fldChar w:fldCharType="begin" w:fldLock="1"/>
      </w:r>
      <w:r w:rsidRPr="004D0DAA">
        <w:instrText xml:space="preserve"> PAGEREF _Toc516669452 \h </w:instrText>
      </w:r>
      <w:r w:rsidRPr="004D0DAA">
        <w:fldChar w:fldCharType="separate"/>
      </w:r>
      <w:r w:rsidRPr="004D0DAA">
        <w:t>145</w:t>
      </w:r>
      <w:r w:rsidRPr="004D0DAA">
        <w:fldChar w:fldCharType="end"/>
      </w:r>
    </w:p>
    <w:p w14:paraId="599FD17A" w14:textId="77777777" w:rsidR="00683705" w:rsidRPr="004D0DAA" w:rsidRDefault="00683705">
      <w:pPr>
        <w:pStyle w:val="TOC5"/>
        <w:rPr>
          <w:rFonts w:ascii="Calibri" w:hAnsi="Calibri"/>
          <w:sz w:val="22"/>
          <w:szCs w:val="22"/>
          <w:lang w:val="en-US"/>
        </w:rPr>
      </w:pPr>
      <w:r w:rsidRPr="004D0DAA">
        <w:t>8.1.1.3b.2</w:t>
      </w:r>
      <w:r w:rsidRPr="004D0DAA">
        <w:rPr>
          <w:rFonts w:ascii="Calibri" w:hAnsi="Calibri"/>
          <w:sz w:val="22"/>
          <w:szCs w:val="22"/>
          <w:lang w:val="en-US"/>
        </w:rPr>
        <w:tab/>
      </w:r>
      <w:r w:rsidRPr="004D0DAA">
        <w:t>Prolonged Resources for Uplink transmission</w:t>
      </w:r>
      <w:r w:rsidRPr="004D0DAA">
        <w:tab/>
      </w:r>
      <w:r w:rsidRPr="004D0DAA">
        <w:fldChar w:fldCharType="begin" w:fldLock="1"/>
      </w:r>
      <w:r w:rsidRPr="004D0DAA">
        <w:instrText xml:space="preserve"> PAGEREF _Toc516669453 \h </w:instrText>
      </w:r>
      <w:r w:rsidRPr="004D0DAA">
        <w:fldChar w:fldCharType="separate"/>
      </w:r>
      <w:r w:rsidRPr="004D0DAA">
        <w:t>146</w:t>
      </w:r>
      <w:r w:rsidRPr="004D0DAA">
        <w:fldChar w:fldCharType="end"/>
      </w:r>
    </w:p>
    <w:p w14:paraId="63340E09" w14:textId="77777777" w:rsidR="00683705" w:rsidRPr="004D0DAA" w:rsidRDefault="00683705">
      <w:pPr>
        <w:pStyle w:val="TOC5"/>
        <w:rPr>
          <w:rFonts w:ascii="Calibri" w:hAnsi="Calibri"/>
          <w:sz w:val="22"/>
          <w:szCs w:val="22"/>
          <w:lang w:val="en-US"/>
        </w:rPr>
      </w:pPr>
      <w:r w:rsidRPr="004D0DAA">
        <w:t>8.1.1.3b.3</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_Toc516669454 \h </w:instrText>
      </w:r>
      <w:r w:rsidRPr="004D0DAA">
        <w:fldChar w:fldCharType="separate"/>
      </w:r>
      <w:r w:rsidRPr="004D0DAA">
        <w:t>146</w:t>
      </w:r>
      <w:r w:rsidRPr="004D0DAA">
        <w:fldChar w:fldCharType="end"/>
      </w:r>
    </w:p>
    <w:p w14:paraId="5F0B4B81" w14:textId="77777777" w:rsidR="00683705" w:rsidRPr="004D0DAA" w:rsidRDefault="00683705">
      <w:pPr>
        <w:pStyle w:val="TOC5"/>
        <w:rPr>
          <w:rFonts w:ascii="Calibri" w:hAnsi="Calibri"/>
          <w:sz w:val="22"/>
          <w:szCs w:val="22"/>
          <w:lang w:val="en-US"/>
        </w:rPr>
      </w:pPr>
      <w:r w:rsidRPr="004D0DAA">
        <w:t>8.1.1.3b.4</w:t>
      </w:r>
      <w:r w:rsidRPr="004D0DAA">
        <w:rPr>
          <w:rFonts w:ascii="Calibri" w:hAnsi="Calibri"/>
          <w:sz w:val="22"/>
          <w:szCs w:val="22"/>
          <w:lang w:val="en-US"/>
        </w:rPr>
        <w:tab/>
      </w:r>
      <w:r w:rsidRPr="004D0DAA">
        <w:t xml:space="preserve"> Establishment of Downlink TBF</w:t>
      </w:r>
      <w:r w:rsidRPr="004D0DAA">
        <w:tab/>
      </w:r>
      <w:r w:rsidRPr="004D0DAA">
        <w:fldChar w:fldCharType="begin" w:fldLock="1"/>
      </w:r>
      <w:r w:rsidRPr="004D0DAA">
        <w:instrText xml:space="preserve"> PAGEREF _Toc516669455 \h </w:instrText>
      </w:r>
      <w:r w:rsidRPr="004D0DAA">
        <w:fldChar w:fldCharType="separate"/>
      </w:r>
      <w:r w:rsidRPr="004D0DAA">
        <w:t>146</w:t>
      </w:r>
      <w:r w:rsidRPr="004D0DAA">
        <w:fldChar w:fldCharType="end"/>
      </w:r>
    </w:p>
    <w:p w14:paraId="4F5C84B4" w14:textId="77777777" w:rsidR="00683705" w:rsidRPr="004D0DAA" w:rsidRDefault="00683705">
      <w:pPr>
        <w:pStyle w:val="TOC4"/>
        <w:rPr>
          <w:rFonts w:ascii="Calibri" w:hAnsi="Calibri"/>
          <w:sz w:val="22"/>
          <w:szCs w:val="22"/>
          <w:lang w:val="en-US"/>
        </w:rPr>
      </w:pPr>
      <w:r w:rsidRPr="004D0DAA">
        <w:t>8.1.1.4</w:t>
      </w:r>
      <w:r w:rsidRPr="004D0DAA">
        <w:rPr>
          <w:rFonts w:ascii="Calibri" w:hAnsi="Calibri"/>
          <w:sz w:val="22"/>
          <w:szCs w:val="22"/>
          <w:lang w:val="en-US"/>
        </w:rPr>
        <w:tab/>
      </w:r>
      <w:r w:rsidRPr="004D0DAA">
        <w:t>Network initiated release of uplink TBF</w:t>
      </w:r>
      <w:r w:rsidRPr="004D0DAA">
        <w:tab/>
      </w:r>
      <w:r w:rsidRPr="004D0DAA">
        <w:fldChar w:fldCharType="begin" w:fldLock="1"/>
      </w:r>
      <w:r w:rsidRPr="004D0DAA">
        <w:instrText xml:space="preserve"> PAGEREF _Toc516669456 \h </w:instrText>
      </w:r>
      <w:r w:rsidRPr="004D0DAA">
        <w:fldChar w:fldCharType="separate"/>
      </w:r>
      <w:r w:rsidRPr="004D0DAA">
        <w:t>146</w:t>
      </w:r>
      <w:r w:rsidRPr="004D0DAA">
        <w:fldChar w:fldCharType="end"/>
      </w:r>
    </w:p>
    <w:p w14:paraId="2B5BDC5C" w14:textId="77777777" w:rsidR="00683705" w:rsidRPr="004D0DAA" w:rsidRDefault="00683705">
      <w:pPr>
        <w:pStyle w:val="TOC4"/>
        <w:rPr>
          <w:rFonts w:ascii="Calibri" w:hAnsi="Calibri"/>
          <w:sz w:val="22"/>
          <w:szCs w:val="22"/>
          <w:lang w:val="en-US"/>
        </w:rPr>
      </w:pPr>
      <w:r w:rsidRPr="004D0DAA">
        <w:t>8.1.1.5</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_Toc516669457 \h </w:instrText>
      </w:r>
      <w:r w:rsidRPr="004D0DAA">
        <w:fldChar w:fldCharType="separate"/>
      </w:r>
      <w:r w:rsidRPr="004D0DAA">
        <w:t>147</w:t>
      </w:r>
      <w:r w:rsidRPr="004D0DAA">
        <w:fldChar w:fldCharType="end"/>
      </w:r>
    </w:p>
    <w:p w14:paraId="7E218FA2" w14:textId="77777777" w:rsidR="00683705" w:rsidRPr="004D0DAA" w:rsidRDefault="00683705">
      <w:pPr>
        <w:pStyle w:val="TOC4"/>
        <w:rPr>
          <w:rFonts w:ascii="Calibri" w:hAnsi="Calibri"/>
          <w:sz w:val="22"/>
          <w:szCs w:val="22"/>
          <w:lang w:val="en-US"/>
        </w:rPr>
      </w:pPr>
      <w:r w:rsidRPr="004D0DAA">
        <w:t>8.1.1.6</w:t>
      </w:r>
      <w:r w:rsidRPr="004D0DAA">
        <w:rPr>
          <w:rFonts w:ascii="Calibri" w:hAnsi="Calibri"/>
          <w:sz w:val="22"/>
          <w:szCs w:val="22"/>
          <w:lang w:val="en-US"/>
        </w:rPr>
        <w:tab/>
      </w:r>
      <w:r w:rsidRPr="004D0DAA">
        <w:t>Change of RLC mode in extended uplink TBF mode</w:t>
      </w:r>
      <w:r w:rsidRPr="004D0DAA">
        <w:tab/>
      </w:r>
      <w:r w:rsidRPr="004D0DAA">
        <w:fldChar w:fldCharType="begin" w:fldLock="1"/>
      </w:r>
      <w:r w:rsidRPr="004D0DAA">
        <w:instrText xml:space="preserve"> PAGEREF _Toc516669458 \h </w:instrText>
      </w:r>
      <w:r w:rsidRPr="004D0DAA">
        <w:fldChar w:fldCharType="separate"/>
      </w:r>
      <w:r w:rsidRPr="004D0DAA">
        <w:t>147</w:t>
      </w:r>
      <w:r w:rsidRPr="004D0DAA">
        <w:fldChar w:fldCharType="end"/>
      </w:r>
    </w:p>
    <w:p w14:paraId="68902E5D" w14:textId="77777777" w:rsidR="00683705" w:rsidRPr="004D0DAA" w:rsidRDefault="00683705">
      <w:pPr>
        <w:pStyle w:val="TOC5"/>
        <w:rPr>
          <w:rFonts w:ascii="Calibri" w:hAnsi="Calibri"/>
          <w:sz w:val="22"/>
          <w:szCs w:val="22"/>
          <w:lang w:val="en-US"/>
        </w:rPr>
      </w:pPr>
      <w:r w:rsidRPr="004D0DAA">
        <w:t>8.1.1.6.1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_Toc516669459 \h </w:instrText>
      </w:r>
      <w:r w:rsidRPr="004D0DAA">
        <w:fldChar w:fldCharType="separate"/>
      </w:r>
      <w:r w:rsidRPr="004D0DAA">
        <w:t>147</w:t>
      </w:r>
      <w:r w:rsidRPr="004D0DAA">
        <w:fldChar w:fldCharType="end"/>
      </w:r>
    </w:p>
    <w:p w14:paraId="7E4F9101" w14:textId="77777777" w:rsidR="00683705" w:rsidRPr="004D0DAA" w:rsidRDefault="00683705">
      <w:pPr>
        <w:pStyle w:val="TOC5"/>
        <w:rPr>
          <w:rFonts w:ascii="Calibri" w:hAnsi="Calibri"/>
          <w:sz w:val="22"/>
          <w:szCs w:val="22"/>
          <w:lang w:val="en-US"/>
        </w:rPr>
      </w:pPr>
      <w:r w:rsidRPr="004D0DAA">
        <w:t>8.1.1.6.2</w:t>
      </w:r>
      <w:r w:rsidRPr="004D0DAA">
        <w:rPr>
          <w:rFonts w:ascii="Calibri" w:hAnsi="Calibri"/>
          <w:sz w:val="22"/>
          <w:szCs w:val="22"/>
          <w:lang w:val="en-US"/>
        </w:rPr>
        <w:tab/>
      </w:r>
      <w:r w:rsidRPr="004D0DAA">
        <w:t>Change of RLC mode</w:t>
      </w:r>
      <w:r w:rsidRPr="004D0DAA">
        <w:tab/>
      </w:r>
      <w:r w:rsidRPr="004D0DAA">
        <w:fldChar w:fldCharType="begin" w:fldLock="1"/>
      </w:r>
      <w:r w:rsidRPr="004D0DAA">
        <w:instrText xml:space="preserve"> PAGEREF _Toc516669460 \h </w:instrText>
      </w:r>
      <w:r w:rsidRPr="004D0DAA">
        <w:fldChar w:fldCharType="separate"/>
      </w:r>
      <w:r w:rsidRPr="004D0DAA">
        <w:t>147</w:t>
      </w:r>
      <w:r w:rsidRPr="004D0DAA">
        <w:fldChar w:fldCharType="end"/>
      </w:r>
    </w:p>
    <w:p w14:paraId="4D7AD0CB" w14:textId="77777777" w:rsidR="00683705" w:rsidRPr="004D0DAA" w:rsidRDefault="00683705">
      <w:pPr>
        <w:pStyle w:val="TOC5"/>
        <w:rPr>
          <w:rFonts w:ascii="Calibri" w:hAnsi="Calibri"/>
          <w:sz w:val="22"/>
          <w:szCs w:val="22"/>
          <w:lang w:val="en-US"/>
        </w:rPr>
      </w:pPr>
      <w:r w:rsidRPr="004D0DAA">
        <w:t>8.1.1.6.3</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_Toc516669461 \h </w:instrText>
      </w:r>
      <w:r w:rsidRPr="004D0DAA">
        <w:fldChar w:fldCharType="separate"/>
      </w:r>
      <w:r w:rsidRPr="004D0DAA">
        <w:t>148</w:t>
      </w:r>
      <w:r w:rsidRPr="004D0DAA">
        <w:fldChar w:fldCharType="end"/>
      </w:r>
    </w:p>
    <w:p w14:paraId="7BA8D847" w14:textId="77777777" w:rsidR="00683705" w:rsidRPr="004D0DAA" w:rsidRDefault="00683705">
      <w:pPr>
        <w:pStyle w:val="TOC4"/>
        <w:rPr>
          <w:rFonts w:ascii="Calibri" w:hAnsi="Calibri"/>
          <w:sz w:val="22"/>
          <w:szCs w:val="22"/>
          <w:lang w:val="en-US"/>
        </w:rPr>
      </w:pPr>
      <w:r w:rsidRPr="004D0DAA">
        <w:t>8.1.1.7</w:t>
      </w:r>
      <w:r w:rsidRPr="004D0DAA">
        <w:rPr>
          <w:rFonts w:ascii="Calibri" w:hAnsi="Calibri"/>
          <w:sz w:val="22"/>
          <w:szCs w:val="22"/>
          <w:lang w:val="en-US"/>
        </w:rPr>
        <w:tab/>
      </w:r>
      <w:r w:rsidRPr="004D0DAA">
        <w:t>Change of EGPRS level</w:t>
      </w:r>
      <w:r w:rsidRPr="004D0DAA">
        <w:tab/>
      </w:r>
      <w:r w:rsidRPr="004D0DAA">
        <w:fldChar w:fldCharType="begin" w:fldLock="1"/>
      </w:r>
      <w:r w:rsidRPr="004D0DAA">
        <w:instrText xml:space="preserve"> PAGEREF _Toc516669462 \h </w:instrText>
      </w:r>
      <w:r w:rsidRPr="004D0DAA">
        <w:fldChar w:fldCharType="separate"/>
      </w:r>
      <w:r w:rsidRPr="004D0DAA">
        <w:t>148</w:t>
      </w:r>
      <w:r w:rsidRPr="004D0DAA">
        <w:fldChar w:fldCharType="end"/>
      </w:r>
    </w:p>
    <w:p w14:paraId="177E2883" w14:textId="77777777" w:rsidR="00683705" w:rsidRPr="004D0DAA" w:rsidRDefault="00683705">
      <w:pPr>
        <w:pStyle w:val="TOC5"/>
        <w:rPr>
          <w:rFonts w:ascii="Calibri" w:hAnsi="Calibri"/>
          <w:sz w:val="22"/>
          <w:szCs w:val="22"/>
          <w:lang w:val="en-US"/>
        </w:rPr>
      </w:pPr>
      <w:r w:rsidRPr="004D0DAA">
        <w:t>8.1.1.7.1</w:t>
      </w:r>
      <w:r w:rsidRPr="004D0DAA">
        <w:rPr>
          <w:rFonts w:ascii="Calibri" w:hAnsi="Calibri"/>
          <w:sz w:val="22"/>
          <w:szCs w:val="22"/>
          <w:lang w:val="en-US"/>
        </w:rPr>
        <w:tab/>
      </w:r>
      <w:r w:rsidRPr="004D0DAA">
        <w:t>Change of EGPRS level for downlink TBFs</w:t>
      </w:r>
      <w:r w:rsidRPr="004D0DAA">
        <w:tab/>
      </w:r>
      <w:r w:rsidRPr="004D0DAA">
        <w:fldChar w:fldCharType="begin" w:fldLock="1"/>
      </w:r>
      <w:r w:rsidRPr="004D0DAA">
        <w:instrText xml:space="preserve"> PAGEREF _Toc516669463 \h </w:instrText>
      </w:r>
      <w:r w:rsidRPr="004D0DAA">
        <w:fldChar w:fldCharType="separate"/>
      </w:r>
      <w:r w:rsidRPr="004D0DAA">
        <w:t>148</w:t>
      </w:r>
      <w:r w:rsidRPr="004D0DAA">
        <w:fldChar w:fldCharType="end"/>
      </w:r>
    </w:p>
    <w:p w14:paraId="5DE4E1DC" w14:textId="77777777" w:rsidR="00683705" w:rsidRPr="004D0DAA" w:rsidRDefault="00683705">
      <w:pPr>
        <w:pStyle w:val="TOC5"/>
        <w:rPr>
          <w:rFonts w:ascii="Calibri" w:hAnsi="Calibri"/>
          <w:sz w:val="22"/>
          <w:szCs w:val="22"/>
          <w:lang w:val="en-US"/>
        </w:rPr>
      </w:pPr>
      <w:r w:rsidRPr="004D0DAA">
        <w:t>8.1.1.7.2</w:t>
      </w:r>
      <w:r w:rsidRPr="004D0DAA">
        <w:rPr>
          <w:rFonts w:ascii="Calibri" w:hAnsi="Calibri"/>
          <w:sz w:val="22"/>
          <w:szCs w:val="22"/>
          <w:lang w:val="en-US"/>
        </w:rPr>
        <w:tab/>
      </w:r>
      <w:r w:rsidRPr="004D0DAA">
        <w:t>Change of EGPRS level for uplink TBFs</w:t>
      </w:r>
      <w:r w:rsidRPr="004D0DAA">
        <w:tab/>
      </w:r>
      <w:r w:rsidRPr="004D0DAA">
        <w:fldChar w:fldCharType="begin" w:fldLock="1"/>
      </w:r>
      <w:r w:rsidRPr="004D0DAA">
        <w:instrText xml:space="preserve"> PAGEREF _Toc516669464 \h </w:instrText>
      </w:r>
      <w:r w:rsidRPr="004D0DAA">
        <w:fldChar w:fldCharType="separate"/>
      </w:r>
      <w:r w:rsidRPr="004D0DAA">
        <w:t>148</w:t>
      </w:r>
      <w:r w:rsidRPr="004D0DAA">
        <w:fldChar w:fldCharType="end"/>
      </w:r>
    </w:p>
    <w:p w14:paraId="30B99E92" w14:textId="77777777" w:rsidR="00683705" w:rsidRPr="004D0DAA" w:rsidRDefault="00683705">
      <w:pPr>
        <w:pStyle w:val="TOC3"/>
        <w:rPr>
          <w:rFonts w:ascii="Calibri" w:hAnsi="Calibri"/>
          <w:sz w:val="22"/>
          <w:szCs w:val="22"/>
          <w:lang w:val="en-US"/>
        </w:rPr>
      </w:pPr>
      <w:r w:rsidRPr="004D0DAA">
        <w:t>8.1.2</w:t>
      </w:r>
      <w:r w:rsidRPr="004D0DAA">
        <w:rPr>
          <w:rFonts w:ascii="Calibri" w:hAnsi="Calibri"/>
          <w:sz w:val="22"/>
          <w:szCs w:val="22"/>
          <w:lang w:val="en-US"/>
        </w:rPr>
        <w:tab/>
      </w:r>
      <w:r w:rsidRPr="004D0DAA">
        <w:t>Downlink RLC data block transfer</w:t>
      </w:r>
      <w:r w:rsidRPr="004D0DAA">
        <w:tab/>
      </w:r>
      <w:r w:rsidRPr="004D0DAA">
        <w:fldChar w:fldCharType="begin" w:fldLock="1"/>
      </w:r>
      <w:r w:rsidRPr="004D0DAA">
        <w:instrText xml:space="preserve"> PAGEREF _Toc516669465 \h </w:instrText>
      </w:r>
      <w:r w:rsidRPr="004D0DAA">
        <w:fldChar w:fldCharType="separate"/>
      </w:r>
      <w:r w:rsidRPr="004D0DAA">
        <w:t>151</w:t>
      </w:r>
      <w:r w:rsidRPr="004D0DAA">
        <w:fldChar w:fldCharType="end"/>
      </w:r>
    </w:p>
    <w:p w14:paraId="5C052539" w14:textId="77777777" w:rsidR="00683705" w:rsidRPr="004D0DAA" w:rsidRDefault="00683705">
      <w:pPr>
        <w:pStyle w:val="TOC4"/>
        <w:rPr>
          <w:rFonts w:ascii="Calibri" w:hAnsi="Calibri"/>
          <w:sz w:val="22"/>
          <w:szCs w:val="22"/>
          <w:lang w:val="en-US"/>
        </w:rPr>
      </w:pPr>
      <w:r w:rsidRPr="004D0DAA">
        <w:t>8.1.2.1</w:t>
      </w:r>
      <w:r w:rsidRPr="004D0DAA">
        <w:rPr>
          <w:rFonts w:ascii="Calibri" w:hAnsi="Calibri"/>
          <w:sz w:val="22"/>
          <w:szCs w:val="22"/>
          <w:lang w:val="en-US"/>
        </w:rPr>
        <w:tab/>
      </w:r>
      <w:r w:rsidRPr="004D0DAA">
        <w:t>Downlink RLC data block transfer</w:t>
      </w:r>
      <w:r w:rsidRPr="004D0DAA">
        <w:tab/>
      </w:r>
      <w:r w:rsidRPr="004D0DAA">
        <w:fldChar w:fldCharType="begin" w:fldLock="1"/>
      </w:r>
      <w:r w:rsidRPr="004D0DAA">
        <w:instrText xml:space="preserve"> PAGEREF _Toc516669466 \h </w:instrText>
      </w:r>
      <w:r w:rsidRPr="004D0DAA">
        <w:fldChar w:fldCharType="separate"/>
      </w:r>
      <w:r w:rsidRPr="004D0DAA">
        <w:t>153</w:t>
      </w:r>
      <w:r w:rsidRPr="004D0DAA">
        <w:fldChar w:fldCharType="end"/>
      </w:r>
    </w:p>
    <w:p w14:paraId="4C71E1E9" w14:textId="77777777" w:rsidR="00683705" w:rsidRPr="004D0DAA" w:rsidRDefault="00683705">
      <w:pPr>
        <w:pStyle w:val="TOC5"/>
        <w:rPr>
          <w:rFonts w:ascii="Calibri" w:hAnsi="Calibri"/>
          <w:sz w:val="22"/>
          <w:szCs w:val="22"/>
          <w:lang w:val="en-US"/>
        </w:rPr>
      </w:pPr>
      <w:r w:rsidRPr="004D0DAA">
        <w:t>8.1.2.1.1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_Toc516669467 \h </w:instrText>
      </w:r>
      <w:r w:rsidRPr="004D0DAA">
        <w:fldChar w:fldCharType="separate"/>
      </w:r>
      <w:r w:rsidRPr="004D0DAA">
        <w:t>153</w:t>
      </w:r>
      <w:r w:rsidRPr="004D0DAA">
        <w:fldChar w:fldCharType="end"/>
      </w:r>
    </w:p>
    <w:p w14:paraId="47F47831" w14:textId="77777777" w:rsidR="00683705" w:rsidRPr="004D0DAA" w:rsidRDefault="00683705">
      <w:pPr>
        <w:pStyle w:val="TOC4"/>
        <w:rPr>
          <w:rFonts w:ascii="Calibri" w:hAnsi="Calibri"/>
          <w:sz w:val="22"/>
          <w:szCs w:val="22"/>
          <w:lang w:val="en-US"/>
        </w:rPr>
      </w:pPr>
      <w:r w:rsidRPr="004D0DAA">
        <w:t>8.1.2.2</w:t>
      </w:r>
      <w:r w:rsidRPr="004D0DAA">
        <w:rPr>
          <w:rFonts w:ascii="Calibri" w:hAnsi="Calibri"/>
          <w:sz w:val="22"/>
          <w:szCs w:val="22"/>
          <w:lang w:val="en-US"/>
        </w:rPr>
        <w:tab/>
      </w:r>
      <w:r w:rsidRPr="004D0DAA">
        <w:t>Polling for Packet Downlink Ack/Nack</w:t>
      </w:r>
      <w:r w:rsidRPr="004D0DAA">
        <w:tab/>
      </w:r>
      <w:r w:rsidRPr="004D0DAA">
        <w:fldChar w:fldCharType="begin" w:fldLock="1"/>
      </w:r>
      <w:r w:rsidRPr="004D0DAA">
        <w:instrText xml:space="preserve"> PAGEREF _Toc516669468 \h </w:instrText>
      </w:r>
      <w:r w:rsidRPr="004D0DAA">
        <w:fldChar w:fldCharType="separate"/>
      </w:r>
      <w:r w:rsidRPr="004D0DAA">
        <w:t>155</w:t>
      </w:r>
      <w:r w:rsidRPr="004D0DAA">
        <w:fldChar w:fldCharType="end"/>
      </w:r>
    </w:p>
    <w:p w14:paraId="08B3D3C2" w14:textId="77777777" w:rsidR="00683705" w:rsidRPr="004D0DAA" w:rsidRDefault="00683705">
      <w:pPr>
        <w:pStyle w:val="TOC4"/>
        <w:rPr>
          <w:rFonts w:ascii="Calibri" w:hAnsi="Calibri"/>
          <w:sz w:val="22"/>
          <w:szCs w:val="22"/>
          <w:lang w:val="en-US"/>
        </w:rPr>
      </w:pPr>
      <w:r w:rsidRPr="004D0DAA">
        <w:t>8.1.2.2a</w:t>
      </w:r>
      <w:r w:rsidRPr="004D0DAA">
        <w:rPr>
          <w:rFonts w:ascii="Calibri" w:hAnsi="Calibri"/>
          <w:sz w:val="22"/>
          <w:szCs w:val="22"/>
          <w:lang w:val="en-US"/>
        </w:rPr>
        <w:tab/>
      </w:r>
      <w:r w:rsidRPr="004D0DAA">
        <w:t>Polling for EC Packet Downlink Ack/Nack or EC Packet Downlink Ack/Nack Higher CC</w:t>
      </w:r>
      <w:r w:rsidRPr="004D0DAA">
        <w:tab/>
      </w:r>
      <w:r w:rsidRPr="004D0DAA">
        <w:fldChar w:fldCharType="begin" w:fldLock="1"/>
      </w:r>
      <w:r w:rsidRPr="004D0DAA">
        <w:instrText xml:space="preserve"> PAGEREF _Toc516669469 \h </w:instrText>
      </w:r>
      <w:r w:rsidRPr="004D0DAA">
        <w:fldChar w:fldCharType="separate"/>
      </w:r>
      <w:r w:rsidRPr="004D0DAA">
        <w:t>157</w:t>
      </w:r>
      <w:r w:rsidRPr="004D0DAA">
        <w:fldChar w:fldCharType="end"/>
      </w:r>
    </w:p>
    <w:p w14:paraId="75CF78CA" w14:textId="77777777" w:rsidR="00683705" w:rsidRPr="004D0DAA" w:rsidRDefault="00683705">
      <w:pPr>
        <w:pStyle w:val="TOC4"/>
        <w:rPr>
          <w:rFonts w:ascii="Calibri" w:hAnsi="Calibri"/>
          <w:sz w:val="22"/>
          <w:szCs w:val="22"/>
          <w:lang w:val="en-US"/>
        </w:rPr>
      </w:pPr>
      <w:r w:rsidRPr="004D0DAA">
        <w:t>8.1.2.3</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_Toc516669470 \h </w:instrText>
      </w:r>
      <w:r w:rsidRPr="004D0DAA">
        <w:fldChar w:fldCharType="separate"/>
      </w:r>
      <w:r w:rsidRPr="004D0DAA">
        <w:t>158</w:t>
      </w:r>
      <w:r w:rsidRPr="004D0DAA">
        <w:fldChar w:fldCharType="end"/>
      </w:r>
    </w:p>
    <w:p w14:paraId="3359C9E1" w14:textId="77777777" w:rsidR="00683705" w:rsidRPr="004D0DAA" w:rsidRDefault="00683705">
      <w:pPr>
        <w:pStyle w:val="TOC4"/>
        <w:rPr>
          <w:rFonts w:ascii="Calibri" w:hAnsi="Calibri"/>
          <w:sz w:val="22"/>
          <w:szCs w:val="22"/>
          <w:lang w:val="en-US"/>
        </w:rPr>
      </w:pPr>
      <w:r w:rsidRPr="004D0DAA">
        <w:t>8.1.2.4</w:t>
      </w:r>
      <w:r w:rsidRPr="004D0DAA">
        <w:rPr>
          <w:rFonts w:ascii="Calibri" w:hAnsi="Calibri"/>
          <w:sz w:val="22"/>
          <w:szCs w:val="22"/>
          <w:lang w:val="en-US"/>
        </w:rPr>
        <w:tab/>
      </w:r>
      <w:r w:rsidRPr="004D0DAA">
        <w:t>Resource Reassignment for Downlink</w:t>
      </w:r>
      <w:r w:rsidRPr="004D0DAA">
        <w:tab/>
      </w:r>
      <w:r w:rsidRPr="004D0DAA">
        <w:fldChar w:fldCharType="begin" w:fldLock="1"/>
      </w:r>
      <w:r w:rsidRPr="004D0DAA">
        <w:instrText xml:space="preserve"> PAGEREF _Toc516669471 \h </w:instrText>
      </w:r>
      <w:r w:rsidRPr="004D0DAA">
        <w:fldChar w:fldCharType="separate"/>
      </w:r>
      <w:r w:rsidRPr="004D0DAA">
        <w:t>158</w:t>
      </w:r>
      <w:r w:rsidRPr="004D0DAA">
        <w:fldChar w:fldCharType="end"/>
      </w:r>
    </w:p>
    <w:p w14:paraId="16A2972E" w14:textId="77777777" w:rsidR="00683705" w:rsidRPr="004D0DAA" w:rsidRDefault="00683705">
      <w:pPr>
        <w:pStyle w:val="TOC5"/>
        <w:rPr>
          <w:rFonts w:ascii="Calibri" w:hAnsi="Calibri"/>
          <w:sz w:val="22"/>
          <w:szCs w:val="22"/>
          <w:lang w:val="en-US"/>
        </w:rPr>
      </w:pPr>
      <w:r w:rsidRPr="004D0DAA">
        <w:t>8.1.2.4.1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_Toc516669472 \h </w:instrText>
      </w:r>
      <w:r w:rsidRPr="004D0DAA">
        <w:fldChar w:fldCharType="separate"/>
      </w:r>
      <w:r w:rsidRPr="004D0DAA">
        <w:t>158</w:t>
      </w:r>
      <w:r w:rsidRPr="004D0DAA">
        <w:fldChar w:fldCharType="end"/>
      </w:r>
    </w:p>
    <w:p w14:paraId="768E7C66" w14:textId="77777777" w:rsidR="00683705" w:rsidRPr="004D0DAA" w:rsidRDefault="00683705">
      <w:pPr>
        <w:pStyle w:val="TOC4"/>
        <w:rPr>
          <w:rFonts w:ascii="Calibri" w:hAnsi="Calibri"/>
          <w:sz w:val="22"/>
          <w:szCs w:val="22"/>
          <w:lang w:val="en-US"/>
        </w:rPr>
      </w:pPr>
      <w:r w:rsidRPr="004D0DAA">
        <w:t>8.1.2.5</w:t>
      </w:r>
      <w:r w:rsidRPr="004D0DAA">
        <w:rPr>
          <w:rFonts w:ascii="Calibri" w:hAnsi="Calibri"/>
          <w:sz w:val="22"/>
          <w:szCs w:val="22"/>
          <w:lang w:val="en-US"/>
        </w:rPr>
        <w:tab/>
      </w:r>
      <w:r w:rsidRPr="004D0DAA">
        <w:t>Establishment of uplink TBF</w:t>
      </w:r>
      <w:r w:rsidRPr="004D0DAA">
        <w:tab/>
      </w:r>
      <w:r w:rsidRPr="004D0DAA">
        <w:fldChar w:fldCharType="begin" w:fldLock="1"/>
      </w:r>
      <w:r w:rsidRPr="004D0DAA">
        <w:instrText xml:space="preserve"> PAGEREF _Toc516669473 \h </w:instrText>
      </w:r>
      <w:r w:rsidRPr="004D0DAA">
        <w:fldChar w:fldCharType="separate"/>
      </w:r>
      <w:r w:rsidRPr="004D0DAA">
        <w:t>159</w:t>
      </w:r>
      <w:r w:rsidRPr="004D0DAA">
        <w:fldChar w:fldCharType="end"/>
      </w:r>
    </w:p>
    <w:p w14:paraId="53475A34" w14:textId="77777777" w:rsidR="00683705" w:rsidRPr="004D0DAA" w:rsidRDefault="00683705">
      <w:pPr>
        <w:pStyle w:val="TOC5"/>
        <w:rPr>
          <w:rFonts w:ascii="Calibri" w:hAnsi="Calibri"/>
          <w:sz w:val="22"/>
          <w:szCs w:val="22"/>
          <w:lang w:val="en-US"/>
        </w:rPr>
      </w:pPr>
      <w:r w:rsidRPr="004D0DAA">
        <w:t>8.1.2.5.1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_Toc516669474 \h </w:instrText>
      </w:r>
      <w:r w:rsidRPr="004D0DAA">
        <w:fldChar w:fldCharType="separate"/>
      </w:r>
      <w:r w:rsidRPr="004D0DAA">
        <w:t>162</w:t>
      </w:r>
      <w:r w:rsidRPr="004D0DAA">
        <w:fldChar w:fldCharType="end"/>
      </w:r>
    </w:p>
    <w:p w14:paraId="735C4E2F" w14:textId="77777777" w:rsidR="00683705" w:rsidRPr="004D0DAA" w:rsidRDefault="00683705">
      <w:pPr>
        <w:pStyle w:val="TOC4"/>
        <w:rPr>
          <w:rFonts w:ascii="Calibri" w:hAnsi="Calibri"/>
          <w:sz w:val="22"/>
          <w:szCs w:val="22"/>
          <w:lang w:val="en-US"/>
        </w:rPr>
      </w:pPr>
      <w:r w:rsidRPr="004D0DAA">
        <w:t>8.1.2.6</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_Toc516669475 \h </w:instrText>
      </w:r>
      <w:r w:rsidRPr="004D0DAA">
        <w:fldChar w:fldCharType="separate"/>
      </w:r>
      <w:r w:rsidRPr="004D0DAA">
        <w:t>163</w:t>
      </w:r>
      <w:r w:rsidRPr="004D0DAA">
        <w:fldChar w:fldCharType="end"/>
      </w:r>
    </w:p>
    <w:p w14:paraId="37306459" w14:textId="77777777" w:rsidR="00683705" w:rsidRPr="004D0DAA" w:rsidRDefault="00683705">
      <w:pPr>
        <w:pStyle w:val="TOC4"/>
        <w:rPr>
          <w:rFonts w:ascii="Calibri" w:hAnsi="Calibri"/>
          <w:sz w:val="22"/>
          <w:szCs w:val="22"/>
          <w:lang w:val="en-US"/>
        </w:rPr>
      </w:pPr>
      <w:r w:rsidRPr="004D0DAA">
        <w:t>8.1.2.7</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_Toc516669476 \h </w:instrText>
      </w:r>
      <w:r w:rsidRPr="004D0DAA">
        <w:fldChar w:fldCharType="separate"/>
      </w:r>
      <w:r w:rsidRPr="004D0DAA">
        <w:t>163</w:t>
      </w:r>
      <w:r w:rsidRPr="004D0DAA">
        <w:fldChar w:fldCharType="end"/>
      </w:r>
    </w:p>
    <w:p w14:paraId="56868D29" w14:textId="77777777" w:rsidR="00683705" w:rsidRPr="004D0DAA" w:rsidRDefault="00683705">
      <w:pPr>
        <w:pStyle w:val="TOC4"/>
        <w:rPr>
          <w:rFonts w:ascii="Calibri" w:hAnsi="Calibri"/>
          <w:sz w:val="22"/>
          <w:szCs w:val="22"/>
          <w:lang w:val="en-US"/>
        </w:rPr>
      </w:pPr>
      <w:r w:rsidRPr="004D0DAA">
        <w:t>8.1.2.8</w:t>
      </w:r>
      <w:r w:rsidRPr="004D0DAA">
        <w:rPr>
          <w:rFonts w:ascii="Calibri" w:hAnsi="Calibri"/>
          <w:sz w:val="22"/>
          <w:szCs w:val="22"/>
          <w:lang w:val="en-US"/>
        </w:rPr>
        <w:tab/>
      </w:r>
      <w:r w:rsidRPr="004D0DAA">
        <w:t>Network initiated abnormal release of downlink TBF</w:t>
      </w:r>
      <w:r w:rsidRPr="004D0DAA">
        <w:tab/>
      </w:r>
      <w:r w:rsidRPr="004D0DAA">
        <w:fldChar w:fldCharType="begin" w:fldLock="1"/>
      </w:r>
      <w:r w:rsidRPr="004D0DAA">
        <w:instrText xml:space="preserve"> PAGEREF _Toc516669477 \h </w:instrText>
      </w:r>
      <w:r w:rsidRPr="004D0DAA">
        <w:fldChar w:fldCharType="separate"/>
      </w:r>
      <w:r w:rsidRPr="004D0DAA">
        <w:t>163</w:t>
      </w:r>
      <w:r w:rsidRPr="004D0DAA">
        <w:fldChar w:fldCharType="end"/>
      </w:r>
    </w:p>
    <w:p w14:paraId="02E24E24" w14:textId="77777777" w:rsidR="00683705" w:rsidRPr="004D0DAA" w:rsidRDefault="00683705">
      <w:pPr>
        <w:pStyle w:val="TOC3"/>
        <w:rPr>
          <w:rFonts w:ascii="Calibri" w:hAnsi="Calibri"/>
          <w:sz w:val="22"/>
          <w:szCs w:val="22"/>
          <w:lang w:val="en-US"/>
        </w:rPr>
      </w:pPr>
      <w:r w:rsidRPr="004D0DAA">
        <w:t>8.1.3</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_Toc516669478 \h </w:instrText>
      </w:r>
      <w:r w:rsidRPr="004D0DAA">
        <w:fldChar w:fldCharType="separate"/>
      </w:r>
      <w:r w:rsidRPr="004D0DAA">
        <w:t>163</w:t>
      </w:r>
      <w:r w:rsidRPr="004D0DAA">
        <w:fldChar w:fldCharType="end"/>
      </w:r>
    </w:p>
    <w:p w14:paraId="3EDC724D" w14:textId="77777777" w:rsidR="00683705" w:rsidRPr="004D0DAA" w:rsidRDefault="00683705">
      <w:pPr>
        <w:pStyle w:val="TOC3"/>
        <w:rPr>
          <w:rFonts w:ascii="Calibri" w:hAnsi="Calibri"/>
          <w:sz w:val="22"/>
          <w:szCs w:val="22"/>
          <w:lang w:val="en-US"/>
        </w:rPr>
      </w:pPr>
      <w:r w:rsidRPr="004D0DAA">
        <w:t>8.1.4</w:t>
      </w:r>
      <w:r w:rsidRPr="004D0DAA">
        <w:rPr>
          <w:rFonts w:ascii="Calibri" w:hAnsi="Calibri"/>
          <w:sz w:val="22"/>
          <w:szCs w:val="22"/>
          <w:lang w:val="en-US"/>
        </w:rPr>
        <w:tab/>
      </w:r>
      <w:r w:rsidRPr="004D0DAA">
        <w:t>RLC data block transfer during an MBMS radio bearer</w:t>
      </w:r>
      <w:r w:rsidRPr="004D0DAA">
        <w:tab/>
      </w:r>
      <w:r w:rsidRPr="004D0DAA">
        <w:fldChar w:fldCharType="begin" w:fldLock="1"/>
      </w:r>
      <w:r w:rsidRPr="004D0DAA">
        <w:instrText xml:space="preserve"> PAGEREF _Toc516669479 \h </w:instrText>
      </w:r>
      <w:r w:rsidRPr="004D0DAA">
        <w:fldChar w:fldCharType="separate"/>
      </w:r>
      <w:r w:rsidRPr="004D0DAA">
        <w:t>163</w:t>
      </w:r>
      <w:r w:rsidRPr="004D0DAA">
        <w:fldChar w:fldCharType="end"/>
      </w:r>
    </w:p>
    <w:p w14:paraId="2A19C8CC" w14:textId="77777777" w:rsidR="00683705" w:rsidRPr="004D0DAA" w:rsidRDefault="00683705">
      <w:pPr>
        <w:pStyle w:val="TOC4"/>
        <w:rPr>
          <w:rFonts w:ascii="Calibri" w:hAnsi="Calibri"/>
          <w:sz w:val="22"/>
          <w:szCs w:val="22"/>
          <w:lang w:val="en-US"/>
        </w:rPr>
      </w:pPr>
      <w:r w:rsidRPr="004D0DAA">
        <w:t>8.1.4.0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_Toc516669480 \h </w:instrText>
      </w:r>
      <w:r w:rsidRPr="004D0DAA">
        <w:fldChar w:fldCharType="separate"/>
      </w:r>
      <w:r w:rsidRPr="004D0DAA">
        <w:t>163</w:t>
      </w:r>
      <w:r w:rsidRPr="004D0DAA">
        <w:fldChar w:fldCharType="end"/>
      </w:r>
    </w:p>
    <w:p w14:paraId="3A38F5E7" w14:textId="77777777" w:rsidR="00683705" w:rsidRPr="004D0DAA" w:rsidRDefault="00683705">
      <w:pPr>
        <w:pStyle w:val="TOC4"/>
        <w:rPr>
          <w:rFonts w:ascii="Calibri" w:hAnsi="Calibri"/>
          <w:sz w:val="22"/>
          <w:szCs w:val="22"/>
          <w:lang w:val="en-US"/>
        </w:rPr>
      </w:pPr>
      <w:r w:rsidRPr="004D0DAA">
        <w:t>8.1.4.1</w:t>
      </w:r>
      <w:r w:rsidRPr="004D0DAA">
        <w:rPr>
          <w:rFonts w:ascii="Calibri" w:hAnsi="Calibri"/>
          <w:sz w:val="22"/>
          <w:szCs w:val="22"/>
          <w:lang w:val="en-US"/>
        </w:rPr>
        <w:tab/>
      </w:r>
      <w:r w:rsidRPr="004D0DAA">
        <w:t>RLC data block transfer during an MBMS radio bearer</w:t>
      </w:r>
      <w:r w:rsidRPr="004D0DAA">
        <w:tab/>
      </w:r>
      <w:r w:rsidRPr="004D0DAA">
        <w:fldChar w:fldCharType="begin" w:fldLock="1"/>
      </w:r>
      <w:r w:rsidRPr="004D0DAA">
        <w:instrText xml:space="preserve"> PAGEREF _Toc516669481 \h </w:instrText>
      </w:r>
      <w:r w:rsidRPr="004D0DAA">
        <w:fldChar w:fldCharType="separate"/>
      </w:r>
      <w:r w:rsidRPr="004D0DAA">
        <w:t>163</w:t>
      </w:r>
      <w:r w:rsidRPr="004D0DAA">
        <w:fldChar w:fldCharType="end"/>
      </w:r>
    </w:p>
    <w:p w14:paraId="363E76CF" w14:textId="77777777" w:rsidR="00683705" w:rsidRPr="004D0DAA" w:rsidRDefault="00683705">
      <w:pPr>
        <w:pStyle w:val="TOC4"/>
        <w:rPr>
          <w:rFonts w:ascii="Calibri" w:hAnsi="Calibri"/>
          <w:sz w:val="22"/>
          <w:szCs w:val="22"/>
          <w:lang w:val="en-US"/>
        </w:rPr>
      </w:pPr>
      <w:r w:rsidRPr="004D0DAA">
        <w:t>8.1.4.2</w:t>
      </w:r>
      <w:r w:rsidRPr="004D0DAA">
        <w:rPr>
          <w:rFonts w:ascii="Calibri" w:hAnsi="Calibri"/>
          <w:sz w:val="22"/>
          <w:szCs w:val="22"/>
          <w:lang w:val="en-US"/>
        </w:rPr>
        <w:tab/>
      </w:r>
      <w:r w:rsidRPr="004D0DAA">
        <w:t>Polling for MBMS Downlink Ack/Nack</w:t>
      </w:r>
      <w:r w:rsidRPr="004D0DAA">
        <w:tab/>
      </w:r>
      <w:r w:rsidRPr="004D0DAA">
        <w:fldChar w:fldCharType="begin" w:fldLock="1"/>
      </w:r>
      <w:r w:rsidRPr="004D0DAA">
        <w:instrText xml:space="preserve"> PAGEREF _Toc516669482 \h </w:instrText>
      </w:r>
      <w:r w:rsidRPr="004D0DAA">
        <w:fldChar w:fldCharType="separate"/>
      </w:r>
      <w:r w:rsidRPr="004D0DAA">
        <w:t>164</w:t>
      </w:r>
      <w:r w:rsidRPr="004D0DAA">
        <w:fldChar w:fldCharType="end"/>
      </w:r>
    </w:p>
    <w:p w14:paraId="1560BF84" w14:textId="77777777" w:rsidR="00683705" w:rsidRPr="004D0DAA" w:rsidRDefault="00683705">
      <w:pPr>
        <w:pStyle w:val="TOC4"/>
        <w:rPr>
          <w:rFonts w:ascii="Calibri" w:hAnsi="Calibri"/>
          <w:sz w:val="22"/>
          <w:szCs w:val="22"/>
          <w:lang w:val="en-US"/>
        </w:rPr>
      </w:pPr>
      <w:r w:rsidRPr="004D0DAA">
        <w:t>8.1.4.3</w:t>
      </w:r>
      <w:r w:rsidRPr="004D0DAA">
        <w:rPr>
          <w:rFonts w:ascii="Calibri" w:hAnsi="Calibri"/>
          <w:sz w:val="22"/>
          <w:szCs w:val="22"/>
          <w:lang w:val="en-US"/>
        </w:rPr>
        <w:tab/>
      </w:r>
      <w:r w:rsidRPr="004D0DAA">
        <w:t>Reconfiguration of an MBMS radio bearer</w:t>
      </w:r>
      <w:r w:rsidRPr="004D0DAA">
        <w:tab/>
      </w:r>
      <w:r w:rsidRPr="004D0DAA">
        <w:fldChar w:fldCharType="begin" w:fldLock="1"/>
      </w:r>
      <w:r w:rsidRPr="004D0DAA">
        <w:instrText xml:space="preserve"> PAGEREF _Toc516669483 \h </w:instrText>
      </w:r>
      <w:r w:rsidRPr="004D0DAA">
        <w:fldChar w:fldCharType="separate"/>
      </w:r>
      <w:r w:rsidRPr="004D0DAA">
        <w:t>164</w:t>
      </w:r>
      <w:r w:rsidRPr="004D0DAA">
        <w:fldChar w:fldCharType="end"/>
      </w:r>
    </w:p>
    <w:p w14:paraId="3B9FD60A" w14:textId="77777777" w:rsidR="00683705" w:rsidRPr="004D0DAA" w:rsidRDefault="00683705">
      <w:pPr>
        <w:pStyle w:val="TOC5"/>
        <w:rPr>
          <w:rFonts w:ascii="Calibri" w:hAnsi="Calibri"/>
          <w:sz w:val="22"/>
          <w:szCs w:val="22"/>
          <w:lang w:val="en-US"/>
        </w:rPr>
      </w:pPr>
      <w:r w:rsidRPr="004D0DAA">
        <w:t>8.1.4.3.1</w:t>
      </w:r>
      <w:r w:rsidRPr="004D0DAA">
        <w:rPr>
          <w:rFonts w:ascii="Calibri" w:hAnsi="Calibri"/>
          <w:sz w:val="22"/>
          <w:szCs w:val="22"/>
          <w:lang w:val="en-US"/>
        </w:rPr>
        <w:tab/>
      </w:r>
      <w:r w:rsidRPr="004D0DAA">
        <w:t>Individual reassignment of an MS_ID</w:t>
      </w:r>
      <w:r w:rsidRPr="004D0DAA">
        <w:tab/>
      </w:r>
      <w:r w:rsidRPr="004D0DAA">
        <w:fldChar w:fldCharType="begin" w:fldLock="1"/>
      </w:r>
      <w:r w:rsidRPr="004D0DAA">
        <w:instrText xml:space="preserve"> PAGEREF _Toc516669484 \h </w:instrText>
      </w:r>
      <w:r w:rsidRPr="004D0DAA">
        <w:fldChar w:fldCharType="separate"/>
      </w:r>
      <w:r w:rsidRPr="004D0DAA">
        <w:t>164</w:t>
      </w:r>
      <w:r w:rsidRPr="004D0DAA">
        <w:fldChar w:fldCharType="end"/>
      </w:r>
    </w:p>
    <w:p w14:paraId="7DE3021D" w14:textId="77777777" w:rsidR="00683705" w:rsidRPr="004D0DAA" w:rsidRDefault="00683705">
      <w:pPr>
        <w:pStyle w:val="TOC5"/>
        <w:rPr>
          <w:rFonts w:ascii="Calibri" w:hAnsi="Calibri"/>
          <w:sz w:val="22"/>
          <w:szCs w:val="22"/>
          <w:lang w:val="en-US"/>
        </w:rPr>
      </w:pPr>
      <w:r w:rsidRPr="004D0DAA">
        <w:t>8.1.4.3.2</w:t>
      </w:r>
      <w:r w:rsidRPr="004D0DAA">
        <w:rPr>
          <w:rFonts w:ascii="Calibri" w:hAnsi="Calibri"/>
          <w:sz w:val="22"/>
          <w:szCs w:val="22"/>
          <w:lang w:val="en-US"/>
        </w:rPr>
        <w:tab/>
      </w:r>
      <w:r w:rsidRPr="004D0DAA">
        <w:t>Reassignment of the MBMS Bearer Identity</w:t>
      </w:r>
      <w:r w:rsidRPr="004D0DAA">
        <w:tab/>
      </w:r>
      <w:r w:rsidRPr="004D0DAA">
        <w:fldChar w:fldCharType="begin" w:fldLock="1"/>
      </w:r>
      <w:r w:rsidRPr="004D0DAA">
        <w:instrText xml:space="preserve"> PAGEREF _Toc516669485 \h </w:instrText>
      </w:r>
      <w:r w:rsidRPr="004D0DAA">
        <w:fldChar w:fldCharType="separate"/>
      </w:r>
      <w:r w:rsidRPr="004D0DAA">
        <w:t>165</w:t>
      </w:r>
      <w:r w:rsidRPr="004D0DAA">
        <w:fldChar w:fldCharType="end"/>
      </w:r>
    </w:p>
    <w:p w14:paraId="08D5137E" w14:textId="77777777" w:rsidR="00683705" w:rsidRPr="004D0DAA" w:rsidRDefault="00683705">
      <w:pPr>
        <w:pStyle w:val="TOC5"/>
        <w:rPr>
          <w:rFonts w:ascii="Calibri" w:hAnsi="Calibri"/>
          <w:sz w:val="22"/>
          <w:szCs w:val="22"/>
          <w:lang w:val="en-US"/>
        </w:rPr>
      </w:pPr>
      <w:r w:rsidRPr="004D0DAA">
        <w:lastRenderedPageBreak/>
        <w:t>8.1.4.3.3</w:t>
      </w:r>
      <w:r w:rsidRPr="004D0DAA">
        <w:rPr>
          <w:rFonts w:ascii="Calibri" w:hAnsi="Calibri"/>
          <w:sz w:val="22"/>
          <w:szCs w:val="22"/>
          <w:lang w:val="en-US"/>
        </w:rPr>
        <w:tab/>
      </w:r>
      <w:r w:rsidRPr="004D0DAA">
        <w:t>Resource reassignment for an MBMS radio bearer</w:t>
      </w:r>
      <w:r w:rsidRPr="004D0DAA">
        <w:tab/>
      </w:r>
      <w:r w:rsidRPr="004D0DAA">
        <w:fldChar w:fldCharType="begin" w:fldLock="1"/>
      </w:r>
      <w:r w:rsidRPr="004D0DAA">
        <w:instrText xml:space="preserve"> PAGEREF _Toc516669486 \h </w:instrText>
      </w:r>
      <w:r w:rsidRPr="004D0DAA">
        <w:fldChar w:fldCharType="separate"/>
      </w:r>
      <w:r w:rsidRPr="004D0DAA">
        <w:t>166</w:t>
      </w:r>
      <w:r w:rsidRPr="004D0DAA">
        <w:fldChar w:fldCharType="end"/>
      </w:r>
    </w:p>
    <w:p w14:paraId="71596D1C" w14:textId="77777777" w:rsidR="00683705" w:rsidRPr="004D0DAA" w:rsidRDefault="00683705">
      <w:pPr>
        <w:pStyle w:val="TOC4"/>
        <w:rPr>
          <w:rFonts w:ascii="Calibri" w:hAnsi="Calibri"/>
          <w:sz w:val="22"/>
          <w:szCs w:val="22"/>
          <w:lang w:val="en-US"/>
        </w:rPr>
      </w:pPr>
      <w:r w:rsidRPr="004D0DAA">
        <w:t>8.1.4.4</w:t>
      </w:r>
      <w:r w:rsidRPr="004D0DAA">
        <w:rPr>
          <w:rFonts w:ascii="Calibri" w:hAnsi="Calibri"/>
          <w:sz w:val="22"/>
          <w:szCs w:val="22"/>
          <w:lang w:val="en-US"/>
        </w:rPr>
        <w:tab/>
      </w:r>
      <w:r w:rsidRPr="004D0DAA">
        <w:t>Network initiated release of an MBMS radio bearer</w:t>
      </w:r>
      <w:r w:rsidRPr="004D0DAA">
        <w:tab/>
      </w:r>
      <w:r w:rsidRPr="004D0DAA">
        <w:fldChar w:fldCharType="begin" w:fldLock="1"/>
      </w:r>
      <w:r w:rsidRPr="004D0DAA">
        <w:instrText xml:space="preserve"> PAGEREF _Toc516669487 \h </w:instrText>
      </w:r>
      <w:r w:rsidRPr="004D0DAA">
        <w:fldChar w:fldCharType="separate"/>
      </w:r>
      <w:r w:rsidRPr="004D0DAA">
        <w:t>167</w:t>
      </w:r>
      <w:r w:rsidRPr="004D0DAA">
        <w:fldChar w:fldCharType="end"/>
      </w:r>
    </w:p>
    <w:p w14:paraId="0EBBCF0D" w14:textId="77777777" w:rsidR="00683705" w:rsidRPr="004D0DAA" w:rsidRDefault="00683705">
      <w:pPr>
        <w:pStyle w:val="TOC4"/>
        <w:rPr>
          <w:rFonts w:ascii="Calibri" w:hAnsi="Calibri"/>
          <w:sz w:val="22"/>
          <w:szCs w:val="22"/>
          <w:lang w:val="en-US"/>
        </w:rPr>
      </w:pPr>
      <w:r w:rsidRPr="004D0DAA">
        <w:t>8.1.4.5</w:t>
      </w:r>
      <w:r w:rsidRPr="004D0DAA">
        <w:rPr>
          <w:rFonts w:ascii="Calibri" w:hAnsi="Calibri"/>
          <w:sz w:val="22"/>
          <w:szCs w:val="22"/>
          <w:lang w:val="en-US"/>
        </w:rPr>
        <w:tab/>
      </w:r>
      <w:r w:rsidRPr="004D0DAA">
        <w:t>Suspension/Resumption of the reception of an MBMS radio bearer</w:t>
      </w:r>
      <w:r w:rsidRPr="004D0DAA">
        <w:tab/>
      </w:r>
      <w:r w:rsidRPr="004D0DAA">
        <w:fldChar w:fldCharType="begin" w:fldLock="1"/>
      </w:r>
      <w:r w:rsidRPr="004D0DAA">
        <w:instrText xml:space="preserve"> PAGEREF _Toc516669488 \h </w:instrText>
      </w:r>
      <w:r w:rsidRPr="004D0DAA">
        <w:fldChar w:fldCharType="separate"/>
      </w:r>
      <w:r w:rsidRPr="004D0DAA">
        <w:t>168</w:t>
      </w:r>
      <w:r w:rsidRPr="004D0DAA">
        <w:fldChar w:fldCharType="end"/>
      </w:r>
    </w:p>
    <w:p w14:paraId="5602CD35" w14:textId="77777777" w:rsidR="00683705" w:rsidRPr="004D0DAA" w:rsidRDefault="00683705">
      <w:pPr>
        <w:pStyle w:val="TOC3"/>
        <w:rPr>
          <w:rFonts w:ascii="Calibri" w:hAnsi="Calibri"/>
          <w:sz w:val="22"/>
          <w:szCs w:val="22"/>
          <w:lang w:val="en-US"/>
        </w:rPr>
      </w:pPr>
      <w:r w:rsidRPr="004D0DAA">
        <w:t>8.1.5</w:t>
      </w:r>
      <w:r w:rsidRPr="004D0DAA">
        <w:rPr>
          <w:rFonts w:ascii="Calibri" w:hAnsi="Calibri"/>
          <w:sz w:val="22"/>
          <w:szCs w:val="22"/>
          <w:lang w:val="en-US"/>
        </w:rPr>
        <w:tab/>
      </w:r>
      <w:r w:rsidRPr="004D0DAA">
        <w:t>Multiple MBMS radio bearers</w:t>
      </w:r>
      <w:r w:rsidRPr="004D0DAA">
        <w:tab/>
      </w:r>
      <w:r w:rsidRPr="004D0DAA">
        <w:fldChar w:fldCharType="begin" w:fldLock="1"/>
      </w:r>
      <w:r w:rsidRPr="004D0DAA">
        <w:instrText xml:space="preserve"> PAGEREF _Toc516669489 \h </w:instrText>
      </w:r>
      <w:r w:rsidRPr="004D0DAA">
        <w:fldChar w:fldCharType="separate"/>
      </w:r>
      <w:r w:rsidRPr="004D0DAA">
        <w:t>168</w:t>
      </w:r>
      <w:r w:rsidRPr="004D0DAA">
        <w:fldChar w:fldCharType="end"/>
      </w:r>
    </w:p>
    <w:p w14:paraId="44875FE4" w14:textId="77777777" w:rsidR="00683705" w:rsidRPr="004D0DAA" w:rsidRDefault="00683705">
      <w:pPr>
        <w:pStyle w:val="TOC4"/>
        <w:rPr>
          <w:rFonts w:ascii="Calibri" w:hAnsi="Calibri"/>
          <w:sz w:val="22"/>
          <w:szCs w:val="22"/>
          <w:lang w:val="en-US"/>
        </w:rPr>
      </w:pPr>
      <w:r w:rsidRPr="004D0DAA">
        <w:t>8.1.5.1</w:t>
      </w:r>
      <w:r w:rsidRPr="004D0DAA">
        <w:rPr>
          <w:rFonts w:ascii="Calibri" w:hAnsi="Calibri"/>
          <w:sz w:val="22"/>
          <w:szCs w:val="22"/>
          <w:lang w:val="en-US"/>
        </w:rPr>
        <w:tab/>
      </w:r>
      <w:r w:rsidRPr="004D0DAA">
        <w:t>Transmission of multiple MBMS radio bearers</w:t>
      </w:r>
      <w:r w:rsidRPr="004D0DAA">
        <w:tab/>
      </w:r>
      <w:r w:rsidRPr="004D0DAA">
        <w:fldChar w:fldCharType="begin" w:fldLock="1"/>
      </w:r>
      <w:r w:rsidRPr="004D0DAA">
        <w:instrText xml:space="preserve"> PAGEREF _Toc516669490 \h </w:instrText>
      </w:r>
      <w:r w:rsidRPr="004D0DAA">
        <w:fldChar w:fldCharType="separate"/>
      </w:r>
      <w:r w:rsidRPr="004D0DAA">
        <w:t>168</w:t>
      </w:r>
      <w:r w:rsidRPr="004D0DAA">
        <w:fldChar w:fldCharType="end"/>
      </w:r>
    </w:p>
    <w:p w14:paraId="18768E6A" w14:textId="77777777" w:rsidR="00683705" w:rsidRPr="004D0DAA" w:rsidRDefault="00683705">
      <w:pPr>
        <w:pStyle w:val="TOC4"/>
        <w:rPr>
          <w:rFonts w:ascii="Calibri" w:hAnsi="Calibri"/>
          <w:sz w:val="22"/>
          <w:szCs w:val="22"/>
          <w:lang w:val="en-US"/>
        </w:rPr>
      </w:pPr>
      <w:r w:rsidRPr="004D0DAA">
        <w:t>8.1.5.2</w:t>
      </w:r>
      <w:r w:rsidRPr="004D0DAA">
        <w:rPr>
          <w:rFonts w:ascii="Calibri" w:hAnsi="Calibri"/>
          <w:sz w:val="22"/>
          <w:szCs w:val="22"/>
          <w:lang w:val="en-US"/>
        </w:rPr>
        <w:tab/>
      </w:r>
      <w:r w:rsidRPr="004D0DAA">
        <w:rPr>
          <w:lang w:eastAsia="ko-KR"/>
        </w:rPr>
        <w:t>Reception of multiple MBMS radio bearers</w:t>
      </w:r>
      <w:r w:rsidRPr="004D0DAA">
        <w:tab/>
      </w:r>
      <w:r w:rsidRPr="004D0DAA">
        <w:fldChar w:fldCharType="begin" w:fldLock="1"/>
      </w:r>
      <w:r w:rsidRPr="004D0DAA">
        <w:instrText xml:space="preserve"> PAGEREF _Toc516669491 \h </w:instrText>
      </w:r>
      <w:r w:rsidRPr="004D0DAA">
        <w:fldChar w:fldCharType="separate"/>
      </w:r>
      <w:r w:rsidRPr="004D0DAA">
        <w:t>168</w:t>
      </w:r>
      <w:r w:rsidRPr="004D0DAA">
        <w:fldChar w:fldCharType="end"/>
      </w:r>
    </w:p>
    <w:p w14:paraId="17423128" w14:textId="77777777" w:rsidR="00683705" w:rsidRPr="004D0DAA" w:rsidRDefault="00683705">
      <w:pPr>
        <w:pStyle w:val="TOC5"/>
        <w:rPr>
          <w:rFonts w:ascii="Calibri" w:hAnsi="Calibri"/>
          <w:sz w:val="22"/>
          <w:szCs w:val="22"/>
          <w:lang w:val="en-US"/>
        </w:rPr>
      </w:pPr>
      <w:r w:rsidRPr="004D0DAA">
        <w:t>8.1.5.2.1</w:t>
      </w:r>
      <w:r w:rsidRPr="004D0DAA">
        <w:rPr>
          <w:rFonts w:ascii="Calibri" w:hAnsi="Calibri"/>
          <w:sz w:val="22"/>
          <w:szCs w:val="22"/>
          <w:lang w:val="en-US"/>
        </w:rPr>
        <w:tab/>
      </w:r>
      <w:r w:rsidRPr="004D0DAA">
        <w:rPr>
          <w:lang w:eastAsia="ko-KR"/>
        </w:rPr>
        <w:t>General</w:t>
      </w:r>
      <w:r w:rsidRPr="004D0DAA">
        <w:tab/>
      </w:r>
      <w:r w:rsidRPr="004D0DAA">
        <w:fldChar w:fldCharType="begin" w:fldLock="1"/>
      </w:r>
      <w:r w:rsidRPr="004D0DAA">
        <w:instrText xml:space="preserve"> PAGEREF _Toc516669492 \h </w:instrText>
      </w:r>
      <w:r w:rsidRPr="004D0DAA">
        <w:fldChar w:fldCharType="separate"/>
      </w:r>
      <w:r w:rsidRPr="004D0DAA">
        <w:t>168</w:t>
      </w:r>
      <w:r w:rsidRPr="004D0DAA">
        <w:fldChar w:fldCharType="end"/>
      </w:r>
    </w:p>
    <w:p w14:paraId="61648B4B" w14:textId="77777777" w:rsidR="00683705" w:rsidRPr="004D0DAA" w:rsidRDefault="00683705">
      <w:pPr>
        <w:pStyle w:val="TOC5"/>
        <w:rPr>
          <w:rFonts w:ascii="Calibri" w:hAnsi="Calibri"/>
          <w:sz w:val="22"/>
          <w:szCs w:val="22"/>
          <w:lang w:val="en-US"/>
        </w:rPr>
      </w:pPr>
      <w:r w:rsidRPr="004D0DAA">
        <w:t>8.1.5.2.2</w:t>
      </w:r>
      <w:r w:rsidRPr="004D0DAA">
        <w:rPr>
          <w:rFonts w:ascii="Calibri" w:hAnsi="Calibri"/>
          <w:sz w:val="22"/>
          <w:szCs w:val="22"/>
          <w:lang w:val="en-US"/>
        </w:rPr>
        <w:tab/>
      </w:r>
      <w:r w:rsidRPr="004D0DAA">
        <w:t>Reception of notification of lower priority MBMS session whilst receiving higher priority MBMS ses</w:t>
      </w:r>
      <w:r w:rsidRPr="004D0DAA">
        <w:rPr>
          <w:lang w:eastAsia="ko-KR"/>
        </w:rPr>
        <w:t>sion(s)</w:t>
      </w:r>
      <w:r w:rsidRPr="004D0DAA">
        <w:tab/>
      </w:r>
      <w:r w:rsidRPr="004D0DAA">
        <w:fldChar w:fldCharType="begin" w:fldLock="1"/>
      </w:r>
      <w:r w:rsidRPr="004D0DAA">
        <w:instrText xml:space="preserve"> PAGEREF _Toc516669493 \h </w:instrText>
      </w:r>
      <w:r w:rsidRPr="004D0DAA">
        <w:fldChar w:fldCharType="separate"/>
      </w:r>
      <w:r w:rsidRPr="004D0DAA">
        <w:t>169</w:t>
      </w:r>
      <w:r w:rsidRPr="004D0DAA">
        <w:fldChar w:fldCharType="end"/>
      </w:r>
    </w:p>
    <w:p w14:paraId="6940AC30" w14:textId="77777777" w:rsidR="00683705" w:rsidRPr="004D0DAA" w:rsidRDefault="00683705">
      <w:pPr>
        <w:pStyle w:val="TOC5"/>
        <w:rPr>
          <w:rFonts w:ascii="Calibri" w:hAnsi="Calibri"/>
          <w:sz w:val="22"/>
          <w:szCs w:val="22"/>
          <w:lang w:val="en-US"/>
        </w:rPr>
      </w:pPr>
      <w:r w:rsidRPr="004D0DAA">
        <w:t>8.1.5.2.3</w:t>
      </w:r>
      <w:r w:rsidRPr="004D0DAA">
        <w:rPr>
          <w:rFonts w:ascii="Calibri" w:hAnsi="Calibri"/>
          <w:sz w:val="22"/>
          <w:szCs w:val="22"/>
          <w:lang w:val="en-US"/>
        </w:rPr>
        <w:tab/>
      </w:r>
      <w:r w:rsidRPr="004D0DAA">
        <w:rPr>
          <w:lang w:eastAsia="ko-KR"/>
        </w:rPr>
        <w:t>Reception of assignment of lower priority MBMS session whilst receiving higher priority MBMS session(s)</w:t>
      </w:r>
      <w:r w:rsidRPr="004D0DAA">
        <w:tab/>
      </w:r>
      <w:r w:rsidRPr="004D0DAA">
        <w:fldChar w:fldCharType="begin" w:fldLock="1"/>
      </w:r>
      <w:r w:rsidRPr="004D0DAA">
        <w:instrText xml:space="preserve"> PAGEREF _Toc516669494 \h </w:instrText>
      </w:r>
      <w:r w:rsidRPr="004D0DAA">
        <w:fldChar w:fldCharType="separate"/>
      </w:r>
      <w:r w:rsidRPr="004D0DAA">
        <w:t>169</w:t>
      </w:r>
      <w:r w:rsidRPr="004D0DAA">
        <w:fldChar w:fldCharType="end"/>
      </w:r>
    </w:p>
    <w:p w14:paraId="711A9583" w14:textId="77777777" w:rsidR="00683705" w:rsidRPr="004D0DAA" w:rsidRDefault="00683705">
      <w:pPr>
        <w:pStyle w:val="TOC5"/>
        <w:rPr>
          <w:rFonts w:ascii="Calibri" w:hAnsi="Calibri"/>
          <w:sz w:val="22"/>
          <w:szCs w:val="22"/>
          <w:lang w:val="en-US"/>
        </w:rPr>
      </w:pPr>
      <w:r w:rsidRPr="004D0DAA">
        <w:t>8.1.5.2.4</w:t>
      </w:r>
      <w:r w:rsidRPr="004D0DAA">
        <w:rPr>
          <w:rFonts w:ascii="Calibri" w:hAnsi="Calibri"/>
          <w:sz w:val="22"/>
          <w:szCs w:val="22"/>
          <w:lang w:val="en-US"/>
        </w:rPr>
        <w:tab/>
      </w:r>
      <w:r w:rsidRPr="004D0DAA">
        <w:rPr>
          <w:lang w:eastAsia="ko-KR"/>
        </w:rPr>
        <w:t>Reception of notification of higher priority MBMS session whilst receiving lower priority MBMS session(s)</w:t>
      </w:r>
      <w:r w:rsidRPr="004D0DAA">
        <w:tab/>
      </w:r>
      <w:r w:rsidRPr="004D0DAA">
        <w:fldChar w:fldCharType="begin" w:fldLock="1"/>
      </w:r>
      <w:r w:rsidRPr="004D0DAA">
        <w:instrText xml:space="preserve"> PAGEREF _Toc516669495 \h </w:instrText>
      </w:r>
      <w:r w:rsidRPr="004D0DAA">
        <w:fldChar w:fldCharType="separate"/>
      </w:r>
      <w:r w:rsidRPr="004D0DAA">
        <w:t>169</w:t>
      </w:r>
      <w:r w:rsidRPr="004D0DAA">
        <w:fldChar w:fldCharType="end"/>
      </w:r>
    </w:p>
    <w:p w14:paraId="23E6A7E5" w14:textId="77777777" w:rsidR="00683705" w:rsidRPr="004D0DAA" w:rsidRDefault="00683705">
      <w:pPr>
        <w:pStyle w:val="TOC5"/>
        <w:rPr>
          <w:rFonts w:ascii="Calibri" w:hAnsi="Calibri"/>
          <w:sz w:val="22"/>
          <w:szCs w:val="22"/>
          <w:lang w:val="en-US"/>
        </w:rPr>
      </w:pPr>
      <w:r w:rsidRPr="004D0DAA">
        <w:t>8.1.5.2.5</w:t>
      </w:r>
      <w:r w:rsidRPr="004D0DAA">
        <w:rPr>
          <w:rFonts w:ascii="Calibri" w:hAnsi="Calibri"/>
          <w:sz w:val="22"/>
          <w:szCs w:val="22"/>
          <w:lang w:val="en-US"/>
        </w:rPr>
        <w:tab/>
      </w:r>
      <w:r w:rsidRPr="004D0DAA">
        <w:rPr>
          <w:lang w:eastAsia="ko-KR"/>
        </w:rPr>
        <w:t>Reception of assignment of higher priority MBMS session whilst receiving lower priority MBMS session(s)</w:t>
      </w:r>
      <w:r w:rsidRPr="004D0DAA">
        <w:tab/>
      </w:r>
      <w:r w:rsidRPr="004D0DAA">
        <w:fldChar w:fldCharType="begin" w:fldLock="1"/>
      </w:r>
      <w:r w:rsidRPr="004D0DAA">
        <w:instrText xml:space="preserve"> PAGEREF _Toc516669496 \h </w:instrText>
      </w:r>
      <w:r w:rsidRPr="004D0DAA">
        <w:fldChar w:fldCharType="separate"/>
      </w:r>
      <w:r w:rsidRPr="004D0DAA">
        <w:t>169</w:t>
      </w:r>
      <w:r w:rsidRPr="004D0DAA">
        <w:fldChar w:fldCharType="end"/>
      </w:r>
    </w:p>
    <w:p w14:paraId="62C3C5D8" w14:textId="77777777" w:rsidR="00683705" w:rsidRPr="004D0DAA" w:rsidRDefault="00683705">
      <w:pPr>
        <w:pStyle w:val="TOC5"/>
        <w:rPr>
          <w:rFonts w:ascii="Calibri" w:hAnsi="Calibri"/>
          <w:sz w:val="22"/>
          <w:szCs w:val="22"/>
          <w:lang w:val="en-US"/>
        </w:rPr>
      </w:pPr>
      <w:r w:rsidRPr="004D0DAA">
        <w:t>8.1.5.2.6</w:t>
      </w:r>
      <w:r w:rsidRPr="004D0DAA">
        <w:rPr>
          <w:rFonts w:ascii="Calibri" w:hAnsi="Calibri"/>
          <w:sz w:val="22"/>
          <w:szCs w:val="22"/>
          <w:lang w:val="en-US"/>
        </w:rPr>
        <w:tab/>
      </w:r>
      <w:r w:rsidRPr="004D0DAA">
        <w:rPr>
          <w:lang w:eastAsia="ko-KR"/>
        </w:rPr>
        <w:t>Cell change whilst receiving multiple MBMS sessions (with MBMS supported by the network in the target cell)</w:t>
      </w:r>
      <w:r w:rsidRPr="004D0DAA">
        <w:tab/>
      </w:r>
      <w:r w:rsidRPr="004D0DAA">
        <w:fldChar w:fldCharType="begin" w:fldLock="1"/>
      </w:r>
      <w:r w:rsidRPr="004D0DAA">
        <w:instrText xml:space="preserve"> PAGEREF _Toc516669497 \h </w:instrText>
      </w:r>
      <w:r w:rsidRPr="004D0DAA">
        <w:fldChar w:fldCharType="separate"/>
      </w:r>
      <w:r w:rsidRPr="004D0DAA">
        <w:t>169</w:t>
      </w:r>
      <w:r w:rsidRPr="004D0DAA">
        <w:fldChar w:fldCharType="end"/>
      </w:r>
    </w:p>
    <w:p w14:paraId="0B89DE84" w14:textId="77777777" w:rsidR="00683705" w:rsidRPr="004D0DAA" w:rsidRDefault="00683705">
      <w:pPr>
        <w:pStyle w:val="TOC5"/>
        <w:rPr>
          <w:rFonts w:ascii="Calibri" w:hAnsi="Calibri"/>
          <w:sz w:val="22"/>
          <w:szCs w:val="22"/>
          <w:lang w:val="en-US"/>
        </w:rPr>
      </w:pPr>
      <w:r w:rsidRPr="004D0DAA">
        <w:t>8.1.5.2.7</w:t>
      </w:r>
      <w:r w:rsidRPr="004D0DAA">
        <w:rPr>
          <w:rFonts w:ascii="Calibri" w:hAnsi="Calibri"/>
          <w:sz w:val="22"/>
          <w:szCs w:val="22"/>
          <w:lang w:val="en-US"/>
        </w:rPr>
        <w:tab/>
      </w:r>
      <w:r w:rsidRPr="004D0DAA">
        <w:rPr>
          <w:lang w:eastAsia="ko-KR"/>
        </w:rPr>
        <w:t>Resource reassignment for at least one of the received MBMS radio bearers</w:t>
      </w:r>
      <w:r w:rsidRPr="004D0DAA">
        <w:tab/>
      </w:r>
      <w:r w:rsidRPr="004D0DAA">
        <w:fldChar w:fldCharType="begin" w:fldLock="1"/>
      </w:r>
      <w:r w:rsidRPr="004D0DAA">
        <w:instrText xml:space="preserve"> PAGEREF _Toc516669498 \h </w:instrText>
      </w:r>
      <w:r w:rsidRPr="004D0DAA">
        <w:fldChar w:fldCharType="separate"/>
      </w:r>
      <w:r w:rsidRPr="004D0DAA">
        <w:t>170</w:t>
      </w:r>
      <w:r w:rsidRPr="004D0DAA">
        <w:fldChar w:fldCharType="end"/>
      </w:r>
    </w:p>
    <w:p w14:paraId="432A28C6" w14:textId="77777777" w:rsidR="00683705" w:rsidRPr="004D0DAA" w:rsidRDefault="00683705">
      <w:pPr>
        <w:pStyle w:val="TOC3"/>
        <w:rPr>
          <w:rFonts w:ascii="Calibri" w:hAnsi="Calibri"/>
          <w:sz w:val="22"/>
          <w:szCs w:val="22"/>
          <w:lang w:val="en-US"/>
        </w:rPr>
      </w:pPr>
      <w:r w:rsidRPr="004D0DAA">
        <w:t>8.1.6</w:t>
      </w:r>
      <w:r w:rsidRPr="004D0DAA">
        <w:rPr>
          <w:rFonts w:ascii="Calibri" w:hAnsi="Calibri"/>
          <w:sz w:val="22"/>
          <w:szCs w:val="22"/>
          <w:lang w:val="en-US"/>
        </w:rPr>
        <w:tab/>
      </w:r>
      <w:r w:rsidRPr="004D0DAA">
        <w:t>MBMS reception resumption after cell reselection</w:t>
      </w:r>
      <w:r w:rsidRPr="004D0DAA">
        <w:tab/>
      </w:r>
      <w:r w:rsidRPr="004D0DAA">
        <w:fldChar w:fldCharType="begin" w:fldLock="1"/>
      </w:r>
      <w:r w:rsidRPr="004D0DAA">
        <w:instrText xml:space="preserve"> PAGEREF _Toc516669499 \h </w:instrText>
      </w:r>
      <w:r w:rsidRPr="004D0DAA">
        <w:fldChar w:fldCharType="separate"/>
      </w:r>
      <w:r w:rsidRPr="004D0DAA">
        <w:t>170</w:t>
      </w:r>
      <w:r w:rsidRPr="004D0DAA">
        <w:fldChar w:fldCharType="end"/>
      </w:r>
    </w:p>
    <w:p w14:paraId="436AFDF5" w14:textId="77777777" w:rsidR="00683705" w:rsidRPr="004D0DAA" w:rsidRDefault="00683705">
      <w:pPr>
        <w:pStyle w:val="TOC4"/>
        <w:rPr>
          <w:rFonts w:ascii="Calibri" w:hAnsi="Calibri"/>
          <w:sz w:val="22"/>
          <w:szCs w:val="22"/>
          <w:lang w:val="en-US"/>
        </w:rPr>
      </w:pPr>
      <w:r w:rsidRPr="004D0DAA">
        <w:t>8.1.6.1</w:t>
      </w:r>
      <w:r w:rsidRPr="004D0DAA">
        <w:rPr>
          <w:rFonts w:ascii="Calibri" w:hAnsi="Calibri"/>
          <w:sz w:val="22"/>
          <w:szCs w:val="22"/>
          <w:lang w:val="en-US"/>
        </w:rPr>
        <w:tab/>
      </w:r>
      <w:r w:rsidRPr="004D0DAA">
        <w:t>Default behaviour</w:t>
      </w:r>
      <w:r w:rsidRPr="004D0DAA">
        <w:tab/>
      </w:r>
      <w:r w:rsidRPr="004D0DAA">
        <w:fldChar w:fldCharType="begin" w:fldLock="1"/>
      </w:r>
      <w:r w:rsidRPr="004D0DAA">
        <w:instrText xml:space="preserve"> PAGEREF _Toc516669500 \h </w:instrText>
      </w:r>
      <w:r w:rsidRPr="004D0DAA">
        <w:fldChar w:fldCharType="separate"/>
      </w:r>
      <w:r w:rsidRPr="004D0DAA">
        <w:t>170</w:t>
      </w:r>
      <w:r w:rsidRPr="004D0DAA">
        <w:fldChar w:fldCharType="end"/>
      </w:r>
    </w:p>
    <w:p w14:paraId="7A9D8B86" w14:textId="77777777" w:rsidR="00683705" w:rsidRPr="004D0DAA" w:rsidRDefault="00683705">
      <w:pPr>
        <w:pStyle w:val="TOC4"/>
        <w:rPr>
          <w:rFonts w:ascii="Calibri" w:hAnsi="Calibri"/>
          <w:sz w:val="22"/>
          <w:szCs w:val="22"/>
          <w:lang w:val="en-US"/>
        </w:rPr>
      </w:pPr>
      <w:r w:rsidRPr="004D0DAA">
        <w:t>8.1.6.2</w:t>
      </w:r>
      <w:r w:rsidRPr="004D0DAA">
        <w:rPr>
          <w:rFonts w:ascii="Calibri" w:hAnsi="Calibri"/>
          <w:sz w:val="22"/>
          <w:szCs w:val="22"/>
          <w:lang w:val="en-US"/>
        </w:rPr>
        <w:tab/>
      </w:r>
      <w:r w:rsidRPr="004D0DAA">
        <w:t>Fast reception resumption</w:t>
      </w:r>
      <w:r w:rsidRPr="004D0DAA">
        <w:tab/>
      </w:r>
      <w:r w:rsidRPr="004D0DAA">
        <w:fldChar w:fldCharType="begin" w:fldLock="1"/>
      </w:r>
      <w:r w:rsidRPr="004D0DAA">
        <w:instrText xml:space="preserve"> PAGEREF _Toc516669501 \h </w:instrText>
      </w:r>
      <w:r w:rsidRPr="004D0DAA">
        <w:fldChar w:fldCharType="separate"/>
      </w:r>
      <w:r w:rsidRPr="004D0DAA">
        <w:t>170</w:t>
      </w:r>
      <w:r w:rsidRPr="004D0DAA">
        <w:fldChar w:fldCharType="end"/>
      </w:r>
    </w:p>
    <w:p w14:paraId="08FE86A0" w14:textId="77777777" w:rsidR="00683705" w:rsidRPr="004D0DAA" w:rsidRDefault="00683705">
      <w:pPr>
        <w:pStyle w:val="TOC3"/>
        <w:rPr>
          <w:rFonts w:ascii="Calibri" w:hAnsi="Calibri"/>
          <w:sz w:val="22"/>
          <w:szCs w:val="22"/>
          <w:lang w:val="en-US"/>
        </w:rPr>
      </w:pPr>
      <w:r w:rsidRPr="004D0DAA">
        <w:t>8.1.7</w:t>
      </w:r>
      <w:r w:rsidRPr="004D0DAA">
        <w:rPr>
          <w:rFonts w:ascii="Calibri" w:hAnsi="Calibri"/>
          <w:sz w:val="22"/>
          <w:szCs w:val="22"/>
          <w:lang w:val="en-US"/>
        </w:rPr>
        <w:tab/>
      </w:r>
      <w:r w:rsidRPr="004D0DAA">
        <w:rPr>
          <w:lang w:eastAsia="ko-KR"/>
        </w:rPr>
        <w:t>Packet Application Information</w:t>
      </w:r>
      <w:r w:rsidRPr="004D0DAA">
        <w:tab/>
      </w:r>
      <w:r w:rsidRPr="004D0DAA">
        <w:fldChar w:fldCharType="begin" w:fldLock="1"/>
      </w:r>
      <w:r w:rsidRPr="004D0DAA">
        <w:instrText xml:space="preserve"> PAGEREF _Toc516669502 \h </w:instrText>
      </w:r>
      <w:r w:rsidRPr="004D0DAA">
        <w:fldChar w:fldCharType="separate"/>
      </w:r>
      <w:r w:rsidRPr="004D0DAA">
        <w:t>171</w:t>
      </w:r>
      <w:r w:rsidRPr="004D0DAA">
        <w:fldChar w:fldCharType="end"/>
      </w:r>
    </w:p>
    <w:p w14:paraId="277F4DD1" w14:textId="77777777" w:rsidR="00683705" w:rsidRPr="004D0DAA" w:rsidRDefault="00683705">
      <w:pPr>
        <w:pStyle w:val="TOC4"/>
        <w:rPr>
          <w:rFonts w:ascii="Calibri" w:hAnsi="Calibri"/>
          <w:sz w:val="22"/>
          <w:szCs w:val="22"/>
          <w:lang w:val="en-US"/>
        </w:rPr>
      </w:pPr>
      <w:r w:rsidRPr="004D0DAA">
        <w:t>8.1.7.1</w:t>
      </w:r>
      <w:r w:rsidRPr="004D0DAA">
        <w:rPr>
          <w:rFonts w:ascii="Calibri" w:hAnsi="Calibri"/>
          <w:sz w:val="22"/>
          <w:szCs w:val="22"/>
          <w:lang w:val="en-US"/>
        </w:rPr>
        <w:tab/>
      </w:r>
      <w:r w:rsidRPr="004D0DAA">
        <w:rPr>
          <w:lang w:eastAsia="ko-KR"/>
        </w:rPr>
        <w:t xml:space="preserve"> General</w:t>
      </w:r>
      <w:r w:rsidRPr="004D0DAA">
        <w:tab/>
      </w:r>
      <w:r w:rsidRPr="004D0DAA">
        <w:fldChar w:fldCharType="begin" w:fldLock="1"/>
      </w:r>
      <w:r w:rsidRPr="004D0DAA">
        <w:instrText xml:space="preserve"> PAGEREF _Toc516669503 \h </w:instrText>
      </w:r>
      <w:r w:rsidRPr="004D0DAA">
        <w:fldChar w:fldCharType="separate"/>
      </w:r>
      <w:r w:rsidRPr="004D0DAA">
        <w:t>171</w:t>
      </w:r>
      <w:r w:rsidRPr="004D0DAA">
        <w:fldChar w:fldCharType="end"/>
      </w:r>
    </w:p>
    <w:p w14:paraId="59D90C69" w14:textId="77777777" w:rsidR="00683705" w:rsidRPr="004D0DAA" w:rsidRDefault="00683705">
      <w:pPr>
        <w:pStyle w:val="TOC4"/>
        <w:rPr>
          <w:rFonts w:ascii="Calibri" w:hAnsi="Calibri"/>
          <w:sz w:val="22"/>
          <w:szCs w:val="22"/>
          <w:lang w:val="en-US"/>
        </w:rPr>
      </w:pPr>
      <w:r w:rsidRPr="004D0DAA">
        <w:t>8.1.7.2</w:t>
      </w:r>
      <w:r w:rsidRPr="004D0DAA">
        <w:rPr>
          <w:rFonts w:ascii="Calibri" w:hAnsi="Calibri"/>
          <w:sz w:val="22"/>
          <w:szCs w:val="22"/>
          <w:lang w:val="en-US"/>
        </w:rPr>
        <w:tab/>
      </w:r>
      <w:r w:rsidRPr="004D0DAA">
        <w:t>Earthquake and Tsunami Warning System (ETWS)</w:t>
      </w:r>
      <w:r w:rsidRPr="004D0DAA">
        <w:tab/>
      </w:r>
      <w:r w:rsidRPr="004D0DAA">
        <w:fldChar w:fldCharType="begin" w:fldLock="1"/>
      </w:r>
      <w:r w:rsidRPr="004D0DAA">
        <w:instrText xml:space="preserve"> PAGEREF _Toc516669504 \h </w:instrText>
      </w:r>
      <w:r w:rsidRPr="004D0DAA">
        <w:fldChar w:fldCharType="separate"/>
      </w:r>
      <w:r w:rsidRPr="004D0DAA">
        <w:t>171</w:t>
      </w:r>
      <w:r w:rsidRPr="004D0DAA">
        <w:fldChar w:fldCharType="end"/>
      </w:r>
    </w:p>
    <w:p w14:paraId="76BE0EE7" w14:textId="77777777" w:rsidR="00683705" w:rsidRPr="004D0DAA" w:rsidRDefault="00683705">
      <w:pPr>
        <w:pStyle w:val="TOC3"/>
        <w:rPr>
          <w:rFonts w:ascii="Calibri" w:hAnsi="Calibri"/>
          <w:sz w:val="22"/>
          <w:szCs w:val="22"/>
          <w:lang w:val="en-US"/>
        </w:rPr>
      </w:pPr>
      <w:r w:rsidRPr="004D0DAA">
        <w:t>8.1.8</w:t>
      </w:r>
      <w:r w:rsidRPr="004D0DAA">
        <w:rPr>
          <w:rFonts w:ascii="Calibri" w:hAnsi="Calibri"/>
          <w:sz w:val="22"/>
          <w:szCs w:val="22"/>
          <w:lang w:val="en-US"/>
        </w:rPr>
        <w:tab/>
      </w:r>
      <w:r w:rsidRPr="004D0DAA">
        <w:t>Dynamic Timeslot Reduction</w:t>
      </w:r>
      <w:r w:rsidRPr="004D0DAA">
        <w:tab/>
      </w:r>
      <w:r w:rsidRPr="004D0DAA">
        <w:fldChar w:fldCharType="begin" w:fldLock="1"/>
      </w:r>
      <w:r w:rsidRPr="004D0DAA">
        <w:instrText xml:space="preserve"> PAGEREF _Toc516669505 \h </w:instrText>
      </w:r>
      <w:r w:rsidRPr="004D0DAA">
        <w:fldChar w:fldCharType="separate"/>
      </w:r>
      <w:r w:rsidRPr="004D0DAA">
        <w:t>171</w:t>
      </w:r>
      <w:r w:rsidRPr="004D0DAA">
        <w:fldChar w:fldCharType="end"/>
      </w:r>
    </w:p>
    <w:p w14:paraId="744EB04C" w14:textId="77777777" w:rsidR="00683705" w:rsidRPr="004D0DAA" w:rsidRDefault="00683705">
      <w:pPr>
        <w:pStyle w:val="TOC4"/>
        <w:rPr>
          <w:rFonts w:ascii="Calibri" w:hAnsi="Calibri"/>
          <w:sz w:val="22"/>
          <w:szCs w:val="22"/>
          <w:lang w:val="en-US"/>
        </w:rPr>
      </w:pPr>
      <w:r w:rsidRPr="004D0DAA">
        <w:t>8.1.8.1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_Toc516669506 \h </w:instrText>
      </w:r>
      <w:r w:rsidRPr="004D0DAA">
        <w:fldChar w:fldCharType="separate"/>
      </w:r>
      <w:r w:rsidRPr="004D0DAA">
        <w:t>171</w:t>
      </w:r>
      <w:r w:rsidRPr="004D0DAA">
        <w:fldChar w:fldCharType="end"/>
      </w:r>
    </w:p>
    <w:p w14:paraId="09CE4188" w14:textId="77777777" w:rsidR="00683705" w:rsidRPr="004D0DAA" w:rsidRDefault="00683705">
      <w:pPr>
        <w:pStyle w:val="TOC4"/>
        <w:rPr>
          <w:rFonts w:ascii="Calibri" w:hAnsi="Calibri"/>
          <w:sz w:val="22"/>
          <w:szCs w:val="22"/>
          <w:lang w:val="en-US"/>
        </w:rPr>
      </w:pPr>
      <w:r w:rsidRPr="004D0DAA">
        <w:t>8.1.8.2</w:t>
      </w:r>
      <w:r w:rsidRPr="004D0DAA">
        <w:rPr>
          <w:rFonts w:ascii="Calibri" w:hAnsi="Calibri"/>
          <w:sz w:val="22"/>
          <w:szCs w:val="22"/>
          <w:lang w:val="en-US"/>
        </w:rPr>
        <w:tab/>
      </w:r>
      <w:r w:rsidRPr="004D0DAA">
        <w:t>DTR Activation</w:t>
      </w:r>
      <w:r w:rsidRPr="004D0DAA">
        <w:tab/>
      </w:r>
      <w:r w:rsidRPr="004D0DAA">
        <w:fldChar w:fldCharType="begin" w:fldLock="1"/>
      </w:r>
      <w:r w:rsidRPr="004D0DAA">
        <w:instrText xml:space="preserve"> PAGEREF _Toc516669507 \h </w:instrText>
      </w:r>
      <w:r w:rsidRPr="004D0DAA">
        <w:fldChar w:fldCharType="separate"/>
      </w:r>
      <w:r w:rsidRPr="004D0DAA">
        <w:t>171</w:t>
      </w:r>
      <w:r w:rsidRPr="004D0DAA">
        <w:fldChar w:fldCharType="end"/>
      </w:r>
    </w:p>
    <w:p w14:paraId="48B4C3DD" w14:textId="77777777" w:rsidR="00683705" w:rsidRPr="004D0DAA" w:rsidRDefault="00683705">
      <w:pPr>
        <w:pStyle w:val="TOC4"/>
        <w:rPr>
          <w:rFonts w:ascii="Calibri" w:hAnsi="Calibri"/>
          <w:sz w:val="22"/>
          <w:szCs w:val="22"/>
          <w:lang w:val="en-US"/>
        </w:rPr>
      </w:pPr>
      <w:r w:rsidRPr="004D0DAA">
        <w:t>8.1.8.3</w:t>
      </w:r>
      <w:r w:rsidRPr="004D0DAA">
        <w:rPr>
          <w:rFonts w:ascii="Calibri" w:hAnsi="Calibri"/>
          <w:sz w:val="22"/>
          <w:szCs w:val="22"/>
          <w:lang w:val="en-US"/>
        </w:rPr>
        <w:tab/>
      </w:r>
      <w:r w:rsidRPr="004D0DAA">
        <w:t>Resumption to normal operation</w:t>
      </w:r>
      <w:r w:rsidRPr="004D0DAA">
        <w:tab/>
      </w:r>
      <w:r w:rsidRPr="004D0DAA">
        <w:fldChar w:fldCharType="begin" w:fldLock="1"/>
      </w:r>
      <w:r w:rsidRPr="004D0DAA">
        <w:instrText xml:space="preserve"> PAGEREF _Toc516669508 \h </w:instrText>
      </w:r>
      <w:r w:rsidRPr="004D0DAA">
        <w:fldChar w:fldCharType="separate"/>
      </w:r>
      <w:r w:rsidRPr="004D0DAA">
        <w:t>172</w:t>
      </w:r>
      <w:r w:rsidRPr="004D0DAA">
        <w:fldChar w:fldCharType="end"/>
      </w:r>
    </w:p>
    <w:p w14:paraId="59CADDBC" w14:textId="77777777" w:rsidR="00683705" w:rsidRPr="004D0DAA" w:rsidRDefault="00683705">
      <w:pPr>
        <w:pStyle w:val="TOC2"/>
        <w:rPr>
          <w:rFonts w:ascii="Calibri" w:hAnsi="Calibri"/>
          <w:sz w:val="22"/>
          <w:szCs w:val="22"/>
          <w:lang w:val="en-US"/>
        </w:rPr>
      </w:pPr>
      <w:r w:rsidRPr="004D0DAA">
        <w:t>8.2</w:t>
      </w:r>
      <w:r w:rsidRPr="004D0DAA">
        <w:rPr>
          <w:rFonts w:ascii="Calibri" w:hAnsi="Calibri"/>
          <w:sz w:val="22"/>
          <w:szCs w:val="22"/>
          <w:lang w:val="en-US"/>
        </w:rPr>
        <w:tab/>
      </w:r>
      <w:r w:rsidRPr="004D0DAA">
        <w:t>Packet PDCH Release</w:t>
      </w:r>
      <w:r w:rsidRPr="004D0DAA">
        <w:tab/>
      </w:r>
      <w:r w:rsidRPr="004D0DAA">
        <w:fldChar w:fldCharType="begin" w:fldLock="1"/>
      </w:r>
      <w:r w:rsidRPr="004D0DAA">
        <w:instrText xml:space="preserve"> PAGEREF _Toc516669509 \h </w:instrText>
      </w:r>
      <w:r w:rsidRPr="004D0DAA">
        <w:fldChar w:fldCharType="separate"/>
      </w:r>
      <w:r w:rsidRPr="004D0DAA">
        <w:t>173</w:t>
      </w:r>
      <w:r w:rsidRPr="004D0DAA">
        <w:fldChar w:fldCharType="end"/>
      </w:r>
    </w:p>
    <w:p w14:paraId="56A95714" w14:textId="77777777" w:rsidR="00683705" w:rsidRPr="004D0DAA" w:rsidRDefault="00683705">
      <w:pPr>
        <w:pStyle w:val="TOC2"/>
        <w:rPr>
          <w:rFonts w:ascii="Calibri" w:hAnsi="Calibri"/>
          <w:sz w:val="22"/>
          <w:szCs w:val="22"/>
          <w:lang w:val="en-US"/>
        </w:rPr>
      </w:pPr>
      <w:r w:rsidRPr="004D0DAA">
        <w:t>8.3</w:t>
      </w:r>
      <w:r w:rsidRPr="004D0DAA">
        <w:rPr>
          <w:rFonts w:ascii="Calibri" w:hAnsi="Calibri"/>
          <w:sz w:val="22"/>
          <w:szCs w:val="22"/>
          <w:lang w:val="en-US"/>
        </w:rPr>
        <w:tab/>
      </w:r>
      <w:r w:rsidRPr="004D0DAA">
        <w:t>Procedure for measurement report sending in Packet Transfer mode</w:t>
      </w:r>
      <w:r w:rsidRPr="004D0DAA">
        <w:tab/>
      </w:r>
      <w:r w:rsidRPr="004D0DAA">
        <w:fldChar w:fldCharType="begin" w:fldLock="1"/>
      </w:r>
      <w:r w:rsidRPr="004D0DAA">
        <w:instrText xml:space="preserve"> PAGEREF _Toc516669510 \h </w:instrText>
      </w:r>
      <w:r w:rsidRPr="004D0DAA">
        <w:fldChar w:fldCharType="separate"/>
      </w:r>
      <w:r w:rsidRPr="004D0DAA">
        <w:t>173</w:t>
      </w:r>
      <w:r w:rsidRPr="004D0DAA">
        <w:fldChar w:fldCharType="end"/>
      </w:r>
    </w:p>
    <w:p w14:paraId="397E75AE" w14:textId="77777777" w:rsidR="00683705" w:rsidRPr="004D0DAA" w:rsidRDefault="00683705">
      <w:pPr>
        <w:pStyle w:val="TOC2"/>
        <w:rPr>
          <w:rFonts w:ascii="Calibri" w:hAnsi="Calibri"/>
          <w:sz w:val="22"/>
          <w:szCs w:val="22"/>
          <w:lang w:val="en-US"/>
        </w:rPr>
      </w:pPr>
      <w:r w:rsidRPr="004D0DAA">
        <w:t>8.4</w:t>
      </w:r>
      <w:r w:rsidRPr="004D0DAA">
        <w:rPr>
          <w:rFonts w:ascii="Calibri" w:hAnsi="Calibri"/>
          <w:sz w:val="22"/>
          <w:szCs w:val="22"/>
          <w:lang w:val="en-US"/>
        </w:rPr>
        <w:tab/>
      </w:r>
      <w:r w:rsidRPr="004D0DAA">
        <w:t>Network controlled cell reselection procedure</w:t>
      </w:r>
      <w:r w:rsidRPr="004D0DAA">
        <w:tab/>
      </w:r>
      <w:r w:rsidRPr="004D0DAA">
        <w:fldChar w:fldCharType="begin" w:fldLock="1"/>
      </w:r>
      <w:r w:rsidRPr="004D0DAA">
        <w:instrText xml:space="preserve"> PAGEREF _Toc516669511 \h </w:instrText>
      </w:r>
      <w:r w:rsidRPr="004D0DAA">
        <w:fldChar w:fldCharType="separate"/>
      </w:r>
      <w:r w:rsidRPr="004D0DAA">
        <w:t>174</w:t>
      </w:r>
      <w:r w:rsidRPr="004D0DAA">
        <w:fldChar w:fldCharType="end"/>
      </w:r>
    </w:p>
    <w:p w14:paraId="43755EC4" w14:textId="77777777" w:rsidR="00683705" w:rsidRPr="004D0DAA" w:rsidRDefault="00683705">
      <w:pPr>
        <w:pStyle w:val="TOC3"/>
        <w:rPr>
          <w:rFonts w:ascii="Calibri" w:hAnsi="Calibri"/>
          <w:sz w:val="22"/>
          <w:szCs w:val="22"/>
          <w:lang w:val="en-US"/>
        </w:rPr>
      </w:pPr>
      <w:r w:rsidRPr="004D0DAA">
        <w:t>8.4.1</w:t>
      </w:r>
      <w:r w:rsidRPr="004D0DAA">
        <w:rPr>
          <w:rFonts w:ascii="Calibri" w:hAnsi="Calibri"/>
          <w:sz w:val="22"/>
          <w:szCs w:val="22"/>
          <w:lang w:val="en-US"/>
        </w:rPr>
        <w:tab/>
      </w:r>
      <w:r w:rsidRPr="004D0DAA">
        <w:t>Network controlled cell reselection completion</w:t>
      </w:r>
      <w:r w:rsidRPr="004D0DAA">
        <w:tab/>
      </w:r>
      <w:r w:rsidRPr="004D0DAA">
        <w:fldChar w:fldCharType="begin" w:fldLock="1"/>
      </w:r>
      <w:r w:rsidRPr="004D0DAA">
        <w:instrText xml:space="preserve"> PAGEREF _Toc516669512 \h </w:instrText>
      </w:r>
      <w:r w:rsidRPr="004D0DAA">
        <w:fldChar w:fldCharType="separate"/>
      </w:r>
      <w:r w:rsidRPr="004D0DAA">
        <w:t>174</w:t>
      </w:r>
      <w:r w:rsidRPr="004D0DAA">
        <w:fldChar w:fldCharType="end"/>
      </w:r>
    </w:p>
    <w:p w14:paraId="08C154C8" w14:textId="77777777" w:rsidR="00683705" w:rsidRPr="004D0DAA" w:rsidRDefault="00683705">
      <w:pPr>
        <w:pStyle w:val="TOC3"/>
        <w:rPr>
          <w:rFonts w:ascii="Calibri" w:hAnsi="Calibri"/>
          <w:sz w:val="22"/>
          <w:szCs w:val="22"/>
          <w:lang w:val="en-US"/>
        </w:rPr>
      </w:pPr>
      <w:r w:rsidRPr="004D0DAA">
        <w:t>8.4.1b</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_Toc516669513 \h </w:instrText>
      </w:r>
      <w:r w:rsidRPr="004D0DAA">
        <w:fldChar w:fldCharType="separate"/>
      </w:r>
      <w:r w:rsidRPr="004D0DAA">
        <w:t>175</w:t>
      </w:r>
      <w:r w:rsidRPr="004D0DAA">
        <w:fldChar w:fldCharType="end"/>
      </w:r>
    </w:p>
    <w:p w14:paraId="7BDE2C62" w14:textId="77777777" w:rsidR="00683705" w:rsidRPr="004D0DAA" w:rsidRDefault="00683705">
      <w:pPr>
        <w:pStyle w:val="TOC3"/>
        <w:rPr>
          <w:rFonts w:ascii="Calibri" w:hAnsi="Calibri"/>
          <w:sz w:val="22"/>
          <w:szCs w:val="22"/>
          <w:lang w:val="en-US"/>
        </w:rPr>
      </w:pPr>
      <w:r w:rsidRPr="004D0DAA">
        <w:t>8.4.2</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_Toc516669514 \h </w:instrText>
      </w:r>
      <w:r w:rsidRPr="004D0DAA">
        <w:fldChar w:fldCharType="separate"/>
      </w:r>
      <w:r w:rsidRPr="004D0DAA">
        <w:t>175</w:t>
      </w:r>
      <w:r w:rsidRPr="004D0DAA">
        <w:fldChar w:fldCharType="end"/>
      </w:r>
    </w:p>
    <w:p w14:paraId="1559A07E" w14:textId="77777777" w:rsidR="00683705" w:rsidRPr="004D0DAA" w:rsidRDefault="00683705">
      <w:pPr>
        <w:pStyle w:val="TOC2"/>
        <w:rPr>
          <w:rFonts w:ascii="Calibri" w:hAnsi="Calibri"/>
          <w:sz w:val="22"/>
          <w:szCs w:val="22"/>
          <w:lang w:val="en-US"/>
        </w:rPr>
      </w:pPr>
      <w:r w:rsidRPr="004D0DAA">
        <w:t>8.5</w:t>
      </w:r>
      <w:r w:rsidRPr="004D0DAA">
        <w:rPr>
          <w:rFonts w:ascii="Calibri" w:hAnsi="Calibri"/>
          <w:sz w:val="22"/>
          <w:szCs w:val="22"/>
          <w:lang w:val="en-US"/>
        </w:rPr>
        <w:tab/>
      </w:r>
      <w:r w:rsidRPr="004D0DAA">
        <w:t>Measurement Order procedures in Packet Transfer mode</w:t>
      </w:r>
      <w:r w:rsidRPr="004D0DAA">
        <w:tab/>
      </w:r>
      <w:r w:rsidRPr="004D0DAA">
        <w:fldChar w:fldCharType="begin" w:fldLock="1"/>
      </w:r>
      <w:r w:rsidRPr="004D0DAA">
        <w:instrText xml:space="preserve"> PAGEREF _Toc516669515 \h </w:instrText>
      </w:r>
      <w:r w:rsidRPr="004D0DAA">
        <w:fldChar w:fldCharType="separate"/>
      </w:r>
      <w:r w:rsidRPr="004D0DAA">
        <w:t>176</w:t>
      </w:r>
      <w:r w:rsidRPr="004D0DAA">
        <w:fldChar w:fldCharType="end"/>
      </w:r>
    </w:p>
    <w:p w14:paraId="2A6EC30A" w14:textId="77777777" w:rsidR="00683705" w:rsidRPr="004D0DAA" w:rsidRDefault="00683705">
      <w:pPr>
        <w:pStyle w:val="TOC2"/>
        <w:rPr>
          <w:rFonts w:ascii="Calibri" w:hAnsi="Calibri"/>
          <w:sz w:val="22"/>
          <w:szCs w:val="22"/>
          <w:lang w:val="en-US"/>
        </w:rPr>
      </w:pPr>
      <w:r w:rsidRPr="004D0DAA">
        <w:t>8.6</w:t>
      </w:r>
      <w:r w:rsidRPr="004D0DAA">
        <w:rPr>
          <w:rFonts w:ascii="Calibri" w:hAnsi="Calibri"/>
          <w:sz w:val="22"/>
          <w:szCs w:val="22"/>
          <w:lang w:val="en-US"/>
        </w:rPr>
        <w:tab/>
      </w:r>
      <w:r w:rsidRPr="004D0DAA">
        <w:t>PACKET CONTROL ACKNOWLEDGEMENT</w:t>
      </w:r>
      <w:r w:rsidRPr="004D0DAA">
        <w:tab/>
      </w:r>
      <w:r w:rsidRPr="004D0DAA">
        <w:fldChar w:fldCharType="begin" w:fldLock="1"/>
      </w:r>
      <w:r w:rsidRPr="004D0DAA">
        <w:instrText xml:space="preserve"> PAGEREF _Toc516669516 \h </w:instrText>
      </w:r>
      <w:r w:rsidRPr="004D0DAA">
        <w:fldChar w:fldCharType="separate"/>
      </w:r>
      <w:r w:rsidRPr="004D0DAA">
        <w:t>176</w:t>
      </w:r>
      <w:r w:rsidRPr="004D0DAA">
        <w:fldChar w:fldCharType="end"/>
      </w:r>
    </w:p>
    <w:p w14:paraId="763D121F" w14:textId="77777777" w:rsidR="00683705" w:rsidRPr="004D0DAA" w:rsidRDefault="00683705">
      <w:pPr>
        <w:pStyle w:val="TOC2"/>
        <w:rPr>
          <w:rFonts w:ascii="Calibri" w:hAnsi="Calibri"/>
          <w:sz w:val="22"/>
          <w:szCs w:val="22"/>
          <w:lang w:val="en-US"/>
        </w:rPr>
      </w:pPr>
      <w:r w:rsidRPr="004D0DAA">
        <w:t>8.7</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_Toc516669517 \h </w:instrText>
      </w:r>
      <w:r w:rsidRPr="004D0DAA">
        <w:fldChar w:fldCharType="separate"/>
      </w:r>
      <w:r w:rsidRPr="004D0DAA">
        <w:t>176</w:t>
      </w:r>
      <w:r w:rsidRPr="004D0DAA">
        <w:fldChar w:fldCharType="end"/>
      </w:r>
    </w:p>
    <w:p w14:paraId="1FED3802" w14:textId="77777777" w:rsidR="00683705" w:rsidRPr="004D0DAA" w:rsidRDefault="00683705">
      <w:pPr>
        <w:pStyle w:val="TOC3"/>
        <w:rPr>
          <w:rFonts w:ascii="Calibri" w:hAnsi="Calibri"/>
          <w:sz w:val="22"/>
          <w:szCs w:val="22"/>
          <w:lang w:val="en-US"/>
        </w:rPr>
      </w:pPr>
      <w:r w:rsidRPr="004D0DAA">
        <w:t>8.7.0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_Toc516669518 \h </w:instrText>
      </w:r>
      <w:r w:rsidRPr="004D0DAA">
        <w:fldChar w:fldCharType="separate"/>
      </w:r>
      <w:r w:rsidRPr="004D0DAA">
        <w:t>176</w:t>
      </w:r>
      <w:r w:rsidRPr="004D0DAA">
        <w:fldChar w:fldCharType="end"/>
      </w:r>
    </w:p>
    <w:p w14:paraId="6A8A6B3B" w14:textId="77777777" w:rsidR="00683705" w:rsidRPr="004D0DAA" w:rsidRDefault="00683705">
      <w:pPr>
        <w:pStyle w:val="TOC3"/>
        <w:rPr>
          <w:rFonts w:ascii="Calibri" w:hAnsi="Calibri"/>
          <w:sz w:val="22"/>
          <w:szCs w:val="22"/>
          <w:lang w:val="en-US"/>
        </w:rPr>
      </w:pPr>
      <w:r w:rsidRPr="004D0DAA">
        <w:t>8.7.1</w:t>
      </w:r>
      <w:r w:rsidRPr="004D0DAA">
        <w:rPr>
          <w:rFonts w:ascii="Calibri" w:hAnsi="Calibri"/>
          <w:sz w:val="22"/>
          <w:szCs w:val="22"/>
          <w:lang w:val="en-US"/>
        </w:rPr>
        <w:tab/>
      </w:r>
      <w:r w:rsidRPr="004D0DAA">
        <w:t>Abnormal release without retry</w:t>
      </w:r>
      <w:r w:rsidRPr="004D0DAA">
        <w:tab/>
      </w:r>
      <w:r w:rsidRPr="004D0DAA">
        <w:fldChar w:fldCharType="begin" w:fldLock="1"/>
      </w:r>
      <w:r w:rsidRPr="004D0DAA">
        <w:instrText xml:space="preserve"> PAGEREF _Toc516669519 \h </w:instrText>
      </w:r>
      <w:r w:rsidRPr="004D0DAA">
        <w:fldChar w:fldCharType="separate"/>
      </w:r>
      <w:r w:rsidRPr="004D0DAA">
        <w:t>177</w:t>
      </w:r>
      <w:r w:rsidRPr="004D0DAA">
        <w:fldChar w:fldCharType="end"/>
      </w:r>
    </w:p>
    <w:p w14:paraId="5B40B3B6" w14:textId="77777777" w:rsidR="00683705" w:rsidRPr="004D0DAA" w:rsidRDefault="00683705">
      <w:pPr>
        <w:pStyle w:val="TOC3"/>
        <w:rPr>
          <w:rFonts w:ascii="Calibri" w:hAnsi="Calibri"/>
          <w:sz w:val="22"/>
          <w:szCs w:val="22"/>
          <w:lang w:val="en-US"/>
        </w:rPr>
      </w:pPr>
      <w:r w:rsidRPr="004D0DAA">
        <w:t>8.7.2</w:t>
      </w:r>
      <w:r w:rsidRPr="004D0DAA">
        <w:rPr>
          <w:rFonts w:ascii="Calibri" w:hAnsi="Calibri"/>
          <w:sz w:val="22"/>
          <w:szCs w:val="22"/>
          <w:lang w:val="en-US"/>
        </w:rPr>
        <w:tab/>
      </w:r>
      <w:r w:rsidRPr="004D0DAA">
        <w:t>Abnormal release with access retry</w:t>
      </w:r>
      <w:r w:rsidRPr="004D0DAA">
        <w:tab/>
      </w:r>
      <w:r w:rsidRPr="004D0DAA">
        <w:fldChar w:fldCharType="begin" w:fldLock="1"/>
      </w:r>
      <w:r w:rsidRPr="004D0DAA">
        <w:instrText xml:space="preserve"> PAGEREF _Toc516669520 \h </w:instrText>
      </w:r>
      <w:r w:rsidRPr="004D0DAA">
        <w:fldChar w:fldCharType="separate"/>
      </w:r>
      <w:r w:rsidRPr="004D0DAA">
        <w:t>178</w:t>
      </w:r>
      <w:r w:rsidRPr="004D0DAA">
        <w:fldChar w:fldCharType="end"/>
      </w:r>
    </w:p>
    <w:p w14:paraId="5C3B41EE" w14:textId="77777777" w:rsidR="00683705" w:rsidRPr="004D0DAA" w:rsidRDefault="00683705">
      <w:pPr>
        <w:pStyle w:val="TOC3"/>
        <w:rPr>
          <w:rFonts w:ascii="Calibri" w:hAnsi="Calibri"/>
          <w:sz w:val="22"/>
          <w:szCs w:val="22"/>
          <w:lang w:val="en-US"/>
        </w:rPr>
      </w:pPr>
      <w:r w:rsidRPr="004D0DAA">
        <w:t>8.7.3</w:t>
      </w:r>
      <w:r w:rsidRPr="004D0DAA">
        <w:rPr>
          <w:rFonts w:ascii="Calibri" w:hAnsi="Calibri"/>
          <w:sz w:val="22"/>
          <w:szCs w:val="22"/>
          <w:lang w:val="en-US"/>
        </w:rPr>
        <w:tab/>
      </w:r>
      <w:r w:rsidRPr="004D0DAA">
        <w:t>Abnormal release with system information</w:t>
      </w:r>
      <w:r w:rsidRPr="004D0DAA">
        <w:tab/>
      </w:r>
      <w:r w:rsidRPr="004D0DAA">
        <w:fldChar w:fldCharType="begin" w:fldLock="1"/>
      </w:r>
      <w:r w:rsidRPr="004D0DAA">
        <w:instrText xml:space="preserve"> PAGEREF _Toc516669521 \h </w:instrText>
      </w:r>
      <w:r w:rsidRPr="004D0DAA">
        <w:fldChar w:fldCharType="separate"/>
      </w:r>
      <w:r w:rsidRPr="004D0DAA">
        <w:t>178</w:t>
      </w:r>
      <w:r w:rsidRPr="004D0DAA">
        <w:fldChar w:fldCharType="end"/>
      </w:r>
    </w:p>
    <w:p w14:paraId="685D281E" w14:textId="77777777" w:rsidR="00683705" w:rsidRPr="004D0DAA" w:rsidRDefault="00683705">
      <w:pPr>
        <w:pStyle w:val="TOC3"/>
        <w:rPr>
          <w:rFonts w:ascii="Calibri" w:hAnsi="Calibri"/>
          <w:sz w:val="22"/>
          <w:szCs w:val="22"/>
          <w:lang w:val="en-US"/>
        </w:rPr>
      </w:pPr>
      <w:r w:rsidRPr="004D0DAA">
        <w:t>8.7.4</w:t>
      </w:r>
      <w:r w:rsidRPr="004D0DAA">
        <w:rPr>
          <w:rFonts w:ascii="Calibri" w:hAnsi="Calibri"/>
          <w:sz w:val="22"/>
          <w:szCs w:val="22"/>
          <w:lang w:val="en-US"/>
        </w:rPr>
        <w:tab/>
      </w:r>
      <w:r w:rsidRPr="004D0DAA">
        <w:t>Abnormal release with RR connection establishment retry</w:t>
      </w:r>
      <w:r w:rsidRPr="004D0DAA">
        <w:tab/>
      </w:r>
      <w:r w:rsidRPr="004D0DAA">
        <w:fldChar w:fldCharType="begin" w:fldLock="1"/>
      </w:r>
      <w:r w:rsidRPr="004D0DAA">
        <w:instrText xml:space="preserve"> PAGEREF _Toc516669522 \h </w:instrText>
      </w:r>
      <w:r w:rsidRPr="004D0DAA">
        <w:fldChar w:fldCharType="separate"/>
      </w:r>
      <w:r w:rsidRPr="004D0DAA">
        <w:t>178</w:t>
      </w:r>
      <w:r w:rsidRPr="004D0DAA">
        <w:fldChar w:fldCharType="end"/>
      </w:r>
    </w:p>
    <w:p w14:paraId="58D8ECE0" w14:textId="77777777" w:rsidR="00683705" w:rsidRPr="004D0DAA" w:rsidRDefault="00683705">
      <w:pPr>
        <w:pStyle w:val="TOC2"/>
        <w:rPr>
          <w:rFonts w:ascii="Calibri" w:hAnsi="Calibri"/>
          <w:sz w:val="22"/>
          <w:szCs w:val="22"/>
          <w:lang w:val="en-US"/>
        </w:rPr>
      </w:pPr>
      <w:r w:rsidRPr="004D0DAA">
        <w:t>8.8</w:t>
      </w:r>
      <w:r w:rsidRPr="004D0DAA">
        <w:rPr>
          <w:rFonts w:ascii="Calibri" w:hAnsi="Calibri"/>
          <w:sz w:val="22"/>
          <w:szCs w:val="22"/>
          <w:lang w:val="en-US"/>
        </w:rPr>
        <w:tab/>
      </w:r>
      <w:r w:rsidRPr="004D0DAA">
        <w:t>Network Assisted Cell Change procedures</w:t>
      </w:r>
      <w:r w:rsidRPr="004D0DAA">
        <w:tab/>
      </w:r>
      <w:r w:rsidRPr="004D0DAA">
        <w:fldChar w:fldCharType="begin" w:fldLock="1"/>
      </w:r>
      <w:r w:rsidRPr="004D0DAA">
        <w:instrText xml:space="preserve"> PAGEREF _Toc516669523 \h </w:instrText>
      </w:r>
      <w:r w:rsidRPr="004D0DAA">
        <w:fldChar w:fldCharType="separate"/>
      </w:r>
      <w:r w:rsidRPr="004D0DAA">
        <w:t>178</w:t>
      </w:r>
      <w:r w:rsidRPr="004D0DAA">
        <w:fldChar w:fldCharType="end"/>
      </w:r>
    </w:p>
    <w:p w14:paraId="15042F62" w14:textId="77777777" w:rsidR="00683705" w:rsidRPr="004D0DAA" w:rsidRDefault="00683705">
      <w:pPr>
        <w:pStyle w:val="TOC3"/>
        <w:rPr>
          <w:rFonts w:ascii="Calibri" w:hAnsi="Calibri"/>
          <w:sz w:val="22"/>
          <w:szCs w:val="22"/>
          <w:lang w:val="en-US"/>
        </w:rPr>
      </w:pPr>
      <w:r w:rsidRPr="004D0DAA">
        <w:t>8.8.1</w:t>
      </w:r>
      <w:r w:rsidRPr="004D0DAA">
        <w:rPr>
          <w:rFonts w:ascii="Calibri" w:hAnsi="Calibri"/>
          <w:sz w:val="22"/>
          <w:szCs w:val="22"/>
          <w:lang w:val="en-US"/>
        </w:rPr>
        <w:tab/>
      </w:r>
      <w:r w:rsidRPr="004D0DAA">
        <w:t>Neighbour Cell System Information Distribution</w:t>
      </w:r>
      <w:r w:rsidRPr="004D0DAA">
        <w:tab/>
      </w:r>
      <w:r w:rsidRPr="004D0DAA">
        <w:fldChar w:fldCharType="begin" w:fldLock="1"/>
      </w:r>
      <w:r w:rsidRPr="004D0DAA">
        <w:instrText xml:space="preserve"> PAGEREF _Toc516669524 \h </w:instrText>
      </w:r>
      <w:r w:rsidRPr="004D0DAA">
        <w:fldChar w:fldCharType="separate"/>
      </w:r>
      <w:r w:rsidRPr="004D0DAA">
        <w:t>178</w:t>
      </w:r>
      <w:r w:rsidRPr="004D0DAA">
        <w:fldChar w:fldCharType="end"/>
      </w:r>
    </w:p>
    <w:p w14:paraId="5C9A8C8E" w14:textId="77777777" w:rsidR="00683705" w:rsidRPr="004D0DAA" w:rsidRDefault="00683705">
      <w:pPr>
        <w:pStyle w:val="TOC3"/>
        <w:rPr>
          <w:rFonts w:ascii="Calibri" w:hAnsi="Calibri"/>
          <w:sz w:val="22"/>
          <w:szCs w:val="22"/>
          <w:lang w:val="en-US"/>
        </w:rPr>
      </w:pPr>
      <w:r w:rsidRPr="004D0DAA">
        <w:t>8.8.2</w:t>
      </w:r>
      <w:r w:rsidRPr="004D0DAA">
        <w:rPr>
          <w:rFonts w:ascii="Calibri" w:hAnsi="Calibri"/>
          <w:sz w:val="22"/>
          <w:szCs w:val="22"/>
          <w:lang w:val="en-US"/>
        </w:rPr>
        <w:tab/>
      </w:r>
      <w:r w:rsidRPr="004D0DAA">
        <w:t>CCN setting procedure</w:t>
      </w:r>
      <w:r w:rsidRPr="004D0DAA">
        <w:tab/>
      </w:r>
      <w:r w:rsidRPr="004D0DAA">
        <w:fldChar w:fldCharType="begin" w:fldLock="1"/>
      </w:r>
      <w:r w:rsidRPr="004D0DAA">
        <w:instrText xml:space="preserve"> PAGEREF _Toc516669525 \h </w:instrText>
      </w:r>
      <w:r w:rsidRPr="004D0DAA">
        <w:fldChar w:fldCharType="separate"/>
      </w:r>
      <w:r w:rsidRPr="004D0DAA">
        <w:t>180</w:t>
      </w:r>
      <w:r w:rsidRPr="004D0DAA">
        <w:fldChar w:fldCharType="end"/>
      </w:r>
    </w:p>
    <w:p w14:paraId="300F0824" w14:textId="77777777" w:rsidR="00683705" w:rsidRPr="004D0DAA" w:rsidRDefault="00683705">
      <w:pPr>
        <w:pStyle w:val="TOC3"/>
        <w:rPr>
          <w:rFonts w:ascii="Calibri" w:hAnsi="Calibri"/>
          <w:sz w:val="22"/>
          <w:szCs w:val="22"/>
          <w:lang w:val="en-US"/>
        </w:rPr>
      </w:pPr>
      <w:r w:rsidRPr="004D0DAA">
        <w:t>8.8.2a</w:t>
      </w:r>
      <w:r w:rsidRPr="004D0DAA">
        <w:rPr>
          <w:rFonts w:ascii="Calibri" w:hAnsi="Calibri"/>
          <w:sz w:val="22"/>
          <w:szCs w:val="22"/>
          <w:lang w:val="en-US"/>
        </w:rPr>
        <w:tab/>
      </w:r>
      <w:r w:rsidRPr="004D0DAA">
        <w:t>CCN support description</w:t>
      </w:r>
      <w:r w:rsidRPr="004D0DAA">
        <w:tab/>
      </w:r>
      <w:r w:rsidRPr="004D0DAA">
        <w:fldChar w:fldCharType="begin" w:fldLock="1"/>
      </w:r>
      <w:r w:rsidRPr="004D0DAA">
        <w:instrText xml:space="preserve"> PAGEREF _Toc516669526 \h </w:instrText>
      </w:r>
      <w:r w:rsidRPr="004D0DAA">
        <w:fldChar w:fldCharType="separate"/>
      </w:r>
      <w:r w:rsidRPr="004D0DAA">
        <w:t>180</w:t>
      </w:r>
      <w:r w:rsidRPr="004D0DAA">
        <w:fldChar w:fldCharType="end"/>
      </w:r>
    </w:p>
    <w:p w14:paraId="4BB81DC7" w14:textId="77777777" w:rsidR="00683705" w:rsidRPr="004D0DAA" w:rsidRDefault="00683705">
      <w:pPr>
        <w:pStyle w:val="TOC3"/>
        <w:rPr>
          <w:rFonts w:ascii="Calibri" w:hAnsi="Calibri"/>
          <w:sz w:val="22"/>
          <w:szCs w:val="22"/>
          <w:lang w:val="en-US"/>
        </w:rPr>
      </w:pPr>
      <w:r w:rsidRPr="004D0DAA">
        <w:t>8.8.3</w:t>
      </w:r>
      <w:r w:rsidRPr="004D0DAA">
        <w:rPr>
          <w:rFonts w:ascii="Calibri" w:hAnsi="Calibri"/>
          <w:sz w:val="22"/>
          <w:szCs w:val="22"/>
          <w:lang w:val="en-US"/>
        </w:rPr>
        <w:tab/>
      </w:r>
      <w:r w:rsidRPr="004D0DAA">
        <w:t>Cell Change Notification procedure</w:t>
      </w:r>
      <w:r w:rsidRPr="004D0DAA">
        <w:tab/>
      </w:r>
      <w:r w:rsidRPr="004D0DAA">
        <w:fldChar w:fldCharType="begin" w:fldLock="1"/>
      </w:r>
      <w:r w:rsidRPr="004D0DAA">
        <w:instrText xml:space="preserve"> PAGEREF _Toc516669527 \h </w:instrText>
      </w:r>
      <w:r w:rsidRPr="004D0DAA">
        <w:fldChar w:fldCharType="separate"/>
      </w:r>
      <w:r w:rsidRPr="004D0DAA">
        <w:t>181</w:t>
      </w:r>
      <w:r w:rsidRPr="004D0DAA">
        <w:fldChar w:fldCharType="end"/>
      </w:r>
    </w:p>
    <w:p w14:paraId="715B26D1" w14:textId="77777777" w:rsidR="00683705" w:rsidRPr="004D0DAA" w:rsidRDefault="00683705">
      <w:pPr>
        <w:pStyle w:val="TOC2"/>
        <w:rPr>
          <w:rFonts w:ascii="Calibri" w:hAnsi="Calibri"/>
          <w:sz w:val="22"/>
          <w:szCs w:val="22"/>
          <w:lang w:val="en-US"/>
        </w:rPr>
      </w:pPr>
      <w:r w:rsidRPr="004D0DAA">
        <w:t>8.9</w:t>
      </w:r>
      <w:r w:rsidRPr="004D0DAA">
        <w:rPr>
          <w:rFonts w:ascii="Calibri" w:hAnsi="Calibri"/>
          <w:sz w:val="22"/>
          <w:szCs w:val="22"/>
          <w:lang w:val="en-US"/>
        </w:rPr>
        <w:tab/>
      </w:r>
      <w:r w:rsidRPr="004D0DAA">
        <w:t>RR connection establishment in packet transfer mode</w:t>
      </w:r>
      <w:r w:rsidRPr="004D0DAA">
        <w:tab/>
      </w:r>
      <w:r w:rsidRPr="004D0DAA">
        <w:fldChar w:fldCharType="begin" w:fldLock="1"/>
      </w:r>
      <w:r w:rsidRPr="004D0DAA">
        <w:instrText xml:space="preserve"> PAGEREF _Toc516669528 \h </w:instrText>
      </w:r>
      <w:r w:rsidRPr="004D0DAA">
        <w:fldChar w:fldCharType="separate"/>
      </w:r>
      <w:r w:rsidRPr="004D0DAA">
        <w:t>183</w:t>
      </w:r>
      <w:r w:rsidRPr="004D0DAA">
        <w:fldChar w:fldCharType="end"/>
      </w:r>
    </w:p>
    <w:p w14:paraId="50ED23B9" w14:textId="77777777" w:rsidR="00683705" w:rsidRPr="004D0DAA" w:rsidRDefault="00683705">
      <w:pPr>
        <w:pStyle w:val="TOC3"/>
        <w:rPr>
          <w:rFonts w:ascii="Calibri" w:hAnsi="Calibri"/>
          <w:sz w:val="22"/>
          <w:szCs w:val="22"/>
          <w:lang w:val="en-US"/>
        </w:rPr>
      </w:pPr>
      <w:r w:rsidRPr="004D0DAA">
        <w:t>8.9.0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_Toc516669529 \h </w:instrText>
      </w:r>
      <w:r w:rsidRPr="004D0DAA">
        <w:fldChar w:fldCharType="separate"/>
      </w:r>
      <w:r w:rsidRPr="004D0DAA">
        <w:t>183</w:t>
      </w:r>
      <w:r w:rsidRPr="004D0DAA">
        <w:fldChar w:fldCharType="end"/>
      </w:r>
    </w:p>
    <w:p w14:paraId="34805D87" w14:textId="77777777" w:rsidR="00683705" w:rsidRPr="004D0DAA" w:rsidRDefault="00683705">
      <w:pPr>
        <w:pStyle w:val="TOC3"/>
        <w:rPr>
          <w:rFonts w:ascii="Calibri" w:hAnsi="Calibri"/>
          <w:sz w:val="22"/>
          <w:szCs w:val="22"/>
          <w:lang w:val="en-US"/>
        </w:rPr>
      </w:pPr>
      <w:r w:rsidRPr="004D0DAA">
        <w:t>8.9.1</w:t>
      </w:r>
      <w:r w:rsidRPr="004D0DAA">
        <w:rPr>
          <w:rFonts w:ascii="Calibri" w:hAnsi="Calibri"/>
          <w:sz w:val="22"/>
          <w:szCs w:val="22"/>
          <w:lang w:val="en-US"/>
        </w:rPr>
        <w:tab/>
      </w:r>
      <w:r w:rsidRPr="004D0DAA">
        <w:t>Initiation</w:t>
      </w:r>
      <w:r w:rsidRPr="004D0DAA">
        <w:tab/>
      </w:r>
      <w:r w:rsidRPr="004D0DAA">
        <w:fldChar w:fldCharType="begin" w:fldLock="1"/>
      </w:r>
      <w:r w:rsidRPr="004D0DAA">
        <w:instrText xml:space="preserve"> PAGEREF _Toc516669530 \h </w:instrText>
      </w:r>
      <w:r w:rsidRPr="004D0DAA">
        <w:fldChar w:fldCharType="separate"/>
      </w:r>
      <w:r w:rsidRPr="004D0DAA">
        <w:t>183</w:t>
      </w:r>
      <w:r w:rsidRPr="004D0DAA">
        <w:fldChar w:fldCharType="end"/>
      </w:r>
    </w:p>
    <w:p w14:paraId="3B90DE68" w14:textId="77777777" w:rsidR="00683705" w:rsidRPr="004D0DAA" w:rsidRDefault="00683705">
      <w:pPr>
        <w:pStyle w:val="TOC4"/>
        <w:rPr>
          <w:rFonts w:ascii="Calibri" w:hAnsi="Calibri"/>
          <w:sz w:val="22"/>
          <w:szCs w:val="22"/>
          <w:lang w:val="en-US"/>
        </w:rPr>
      </w:pPr>
      <w:r w:rsidRPr="004D0DAA">
        <w:t>8.9.1.1</w:t>
      </w:r>
      <w:r w:rsidRPr="004D0DAA">
        <w:rPr>
          <w:rFonts w:ascii="Calibri" w:hAnsi="Calibri"/>
          <w:sz w:val="22"/>
          <w:szCs w:val="22"/>
          <w:lang w:val="en-US"/>
        </w:rPr>
        <w:tab/>
      </w:r>
      <w:r w:rsidRPr="004D0DAA">
        <w:t>Initiation by the mobile station</w:t>
      </w:r>
      <w:r w:rsidRPr="004D0DAA">
        <w:tab/>
      </w:r>
      <w:r w:rsidRPr="004D0DAA">
        <w:fldChar w:fldCharType="begin" w:fldLock="1"/>
      </w:r>
      <w:r w:rsidRPr="004D0DAA">
        <w:instrText xml:space="preserve"> PAGEREF _Toc516669531 \h </w:instrText>
      </w:r>
      <w:r w:rsidRPr="004D0DAA">
        <w:fldChar w:fldCharType="separate"/>
      </w:r>
      <w:r w:rsidRPr="004D0DAA">
        <w:t>183</w:t>
      </w:r>
      <w:r w:rsidRPr="004D0DAA">
        <w:fldChar w:fldCharType="end"/>
      </w:r>
    </w:p>
    <w:p w14:paraId="3FB117DE" w14:textId="77777777" w:rsidR="00683705" w:rsidRPr="004D0DAA" w:rsidRDefault="00683705">
      <w:pPr>
        <w:pStyle w:val="TOC5"/>
        <w:rPr>
          <w:rFonts w:ascii="Calibri" w:hAnsi="Calibri"/>
          <w:sz w:val="22"/>
          <w:szCs w:val="22"/>
          <w:lang w:val="en-US"/>
        </w:rPr>
      </w:pPr>
      <w:r w:rsidRPr="004D0DAA">
        <w:t>8.9.1.1.1</w:t>
      </w:r>
      <w:r w:rsidRPr="004D0DAA">
        <w:rPr>
          <w:rFonts w:ascii="Calibri" w:hAnsi="Calibri"/>
          <w:sz w:val="22"/>
          <w:szCs w:val="22"/>
          <w:lang w:val="en-US"/>
        </w:rPr>
        <w:tab/>
      </w:r>
      <w:r w:rsidRPr="004D0DAA">
        <w:t>Transmission of the PACKET CS REQUEST message</w:t>
      </w:r>
      <w:r w:rsidRPr="004D0DAA">
        <w:tab/>
      </w:r>
      <w:r w:rsidRPr="004D0DAA">
        <w:fldChar w:fldCharType="begin" w:fldLock="1"/>
      </w:r>
      <w:r w:rsidRPr="004D0DAA">
        <w:instrText xml:space="preserve"> PAGEREF _Toc516669532 \h </w:instrText>
      </w:r>
      <w:r w:rsidRPr="004D0DAA">
        <w:fldChar w:fldCharType="separate"/>
      </w:r>
      <w:r w:rsidRPr="004D0DAA">
        <w:t>183</w:t>
      </w:r>
      <w:r w:rsidRPr="004D0DAA">
        <w:fldChar w:fldCharType="end"/>
      </w:r>
    </w:p>
    <w:p w14:paraId="07ED828F" w14:textId="77777777" w:rsidR="00683705" w:rsidRPr="004D0DAA" w:rsidRDefault="00683705">
      <w:pPr>
        <w:pStyle w:val="TOC5"/>
        <w:rPr>
          <w:rFonts w:ascii="Calibri" w:hAnsi="Calibri"/>
          <w:sz w:val="22"/>
          <w:szCs w:val="22"/>
          <w:lang w:val="en-US"/>
        </w:rPr>
      </w:pPr>
      <w:r w:rsidRPr="004D0DAA">
        <w:t>8.9.1.1.2</w:t>
      </w:r>
      <w:r w:rsidRPr="004D0DAA">
        <w:rPr>
          <w:rFonts w:ascii="Calibri" w:hAnsi="Calibri"/>
          <w:sz w:val="22"/>
          <w:szCs w:val="22"/>
          <w:lang w:val="en-US"/>
        </w:rPr>
        <w:tab/>
      </w:r>
      <w:r w:rsidRPr="004D0DAA">
        <w:t>Answer from the network</w:t>
      </w:r>
      <w:r w:rsidRPr="004D0DAA">
        <w:tab/>
      </w:r>
      <w:r w:rsidRPr="004D0DAA">
        <w:fldChar w:fldCharType="begin" w:fldLock="1"/>
      </w:r>
      <w:r w:rsidRPr="004D0DAA">
        <w:instrText xml:space="preserve"> PAGEREF _Toc516669533 \h </w:instrText>
      </w:r>
      <w:r w:rsidRPr="004D0DAA">
        <w:fldChar w:fldCharType="separate"/>
      </w:r>
      <w:r w:rsidRPr="004D0DAA">
        <w:t>184</w:t>
      </w:r>
      <w:r w:rsidRPr="004D0DAA">
        <w:fldChar w:fldCharType="end"/>
      </w:r>
    </w:p>
    <w:p w14:paraId="3DB6526F" w14:textId="77777777" w:rsidR="00683705" w:rsidRPr="004D0DAA" w:rsidRDefault="00683705">
      <w:pPr>
        <w:pStyle w:val="TOC4"/>
        <w:rPr>
          <w:rFonts w:ascii="Calibri" w:hAnsi="Calibri"/>
          <w:sz w:val="22"/>
          <w:szCs w:val="22"/>
          <w:lang w:val="en-US"/>
        </w:rPr>
      </w:pPr>
      <w:r w:rsidRPr="004D0DAA">
        <w:t>8.9.1.2</w:t>
      </w:r>
      <w:r w:rsidRPr="004D0DAA">
        <w:rPr>
          <w:rFonts w:ascii="Calibri" w:hAnsi="Calibri"/>
          <w:sz w:val="22"/>
          <w:szCs w:val="22"/>
          <w:lang w:val="en-US"/>
        </w:rPr>
        <w:tab/>
      </w:r>
      <w:r w:rsidRPr="004D0DAA">
        <w:t>Initiation by the network</w:t>
      </w:r>
      <w:r w:rsidRPr="004D0DAA">
        <w:tab/>
      </w:r>
      <w:r w:rsidRPr="004D0DAA">
        <w:fldChar w:fldCharType="begin" w:fldLock="1"/>
      </w:r>
      <w:r w:rsidRPr="004D0DAA">
        <w:instrText xml:space="preserve"> PAGEREF _Toc516669534 \h </w:instrText>
      </w:r>
      <w:r w:rsidRPr="004D0DAA">
        <w:fldChar w:fldCharType="separate"/>
      </w:r>
      <w:r w:rsidRPr="004D0DAA">
        <w:t>184</w:t>
      </w:r>
      <w:r w:rsidRPr="004D0DAA">
        <w:fldChar w:fldCharType="end"/>
      </w:r>
    </w:p>
    <w:p w14:paraId="168545CB" w14:textId="77777777" w:rsidR="00683705" w:rsidRPr="004D0DAA" w:rsidRDefault="00683705">
      <w:pPr>
        <w:pStyle w:val="TOC3"/>
        <w:rPr>
          <w:rFonts w:ascii="Calibri" w:hAnsi="Calibri"/>
          <w:sz w:val="22"/>
          <w:szCs w:val="22"/>
          <w:lang w:val="en-US"/>
        </w:rPr>
      </w:pPr>
      <w:r w:rsidRPr="004D0DAA">
        <w:t>8.9.2</w:t>
      </w:r>
      <w:r w:rsidRPr="004D0DAA">
        <w:rPr>
          <w:rFonts w:ascii="Calibri" w:hAnsi="Calibri"/>
          <w:sz w:val="22"/>
          <w:szCs w:val="22"/>
          <w:lang w:val="en-US"/>
        </w:rPr>
        <w:tab/>
      </w:r>
      <w:r w:rsidRPr="004D0DAA">
        <w:t>Assignment</w:t>
      </w:r>
      <w:r w:rsidRPr="004D0DAA">
        <w:tab/>
      </w:r>
      <w:r w:rsidRPr="004D0DAA">
        <w:fldChar w:fldCharType="begin" w:fldLock="1"/>
      </w:r>
      <w:r w:rsidRPr="004D0DAA">
        <w:instrText xml:space="preserve"> PAGEREF _Toc516669535 \h </w:instrText>
      </w:r>
      <w:r w:rsidRPr="004D0DAA">
        <w:fldChar w:fldCharType="separate"/>
      </w:r>
      <w:r w:rsidRPr="004D0DAA">
        <w:t>184</w:t>
      </w:r>
      <w:r w:rsidRPr="004D0DAA">
        <w:fldChar w:fldCharType="end"/>
      </w:r>
    </w:p>
    <w:p w14:paraId="11D32B94" w14:textId="77777777" w:rsidR="00683705" w:rsidRPr="004D0DAA" w:rsidRDefault="00683705">
      <w:pPr>
        <w:pStyle w:val="TOC4"/>
        <w:rPr>
          <w:rFonts w:ascii="Calibri" w:hAnsi="Calibri"/>
          <w:sz w:val="22"/>
          <w:szCs w:val="22"/>
          <w:lang w:val="en-US"/>
        </w:rPr>
      </w:pPr>
      <w:r w:rsidRPr="004D0DAA">
        <w:t>8.9.2.1</w:t>
      </w:r>
      <w:r w:rsidRPr="004D0DAA">
        <w:rPr>
          <w:rFonts w:ascii="Calibri" w:hAnsi="Calibri"/>
          <w:sz w:val="22"/>
          <w:szCs w:val="22"/>
          <w:lang w:val="en-US"/>
        </w:rPr>
        <w:tab/>
      </w:r>
      <w:r w:rsidRPr="004D0DAA">
        <w:t>Assignment of both dedicated and packet resource</w:t>
      </w:r>
      <w:r w:rsidRPr="004D0DAA">
        <w:tab/>
      </w:r>
      <w:r w:rsidRPr="004D0DAA">
        <w:fldChar w:fldCharType="begin" w:fldLock="1"/>
      </w:r>
      <w:r w:rsidRPr="004D0DAA">
        <w:instrText xml:space="preserve"> PAGEREF _Toc516669536 \h </w:instrText>
      </w:r>
      <w:r w:rsidRPr="004D0DAA">
        <w:fldChar w:fldCharType="separate"/>
      </w:r>
      <w:r w:rsidRPr="004D0DAA">
        <w:t>184</w:t>
      </w:r>
      <w:r w:rsidRPr="004D0DAA">
        <w:fldChar w:fldCharType="end"/>
      </w:r>
    </w:p>
    <w:p w14:paraId="6D3B9465" w14:textId="77777777" w:rsidR="00683705" w:rsidRPr="004D0DAA" w:rsidRDefault="00683705">
      <w:pPr>
        <w:pStyle w:val="TOC4"/>
        <w:rPr>
          <w:rFonts w:ascii="Calibri" w:hAnsi="Calibri"/>
          <w:sz w:val="22"/>
          <w:szCs w:val="22"/>
          <w:lang w:val="en-US"/>
        </w:rPr>
      </w:pPr>
      <w:r w:rsidRPr="004D0DAA">
        <w:t>8.9.2.2</w:t>
      </w:r>
      <w:r w:rsidRPr="004D0DAA">
        <w:rPr>
          <w:rFonts w:ascii="Calibri" w:hAnsi="Calibri"/>
          <w:sz w:val="22"/>
          <w:szCs w:val="22"/>
          <w:lang w:val="en-US"/>
        </w:rPr>
        <w:tab/>
      </w:r>
      <w:r w:rsidRPr="004D0DAA">
        <w:t>Assignment of dedicated resource only</w:t>
      </w:r>
      <w:r w:rsidRPr="004D0DAA">
        <w:tab/>
      </w:r>
      <w:r w:rsidRPr="004D0DAA">
        <w:fldChar w:fldCharType="begin" w:fldLock="1"/>
      </w:r>
      <w:r w:rsidRPr="004D0DAA">
        <w:instrText xml:space="preserve"> PAGEREF _Toc516669537 \h </w:instrText>
      </w:r>
      <w:r w:rsidRPr="004D0DAA">
        <w:fldChar w:fldCharType="separate"/>
      </w:r>
      <w:r w:rsidRPr="004D0DAA">
        <w:t>185</w:t>
      </w:r>
      <w:r w:rsidRPr="004D0DAA">
        <w:fldChar w:fldCharType="end"/>
      </w:r>
    </w:p>
    <w:p w14:paraId="21B8D969" w14:textId="77777777" w:rsidR="00683705" w:rsidRPr="004D0DAA" w:rsidRDefault="00683705">
      <w:pPr>
        <w:pStyle w:val="TOC4"/>
        <w:rPr>
          <w:rFonts w:ascii="Calibri" w:hAnsi="Calibri"/>
          <w:sz w:val="22"/>
          <w:szCs w:val="22"/>
          <w:lang w:val="en-US"/>
        </w:rPr>
      </w:pPr>
      <w:r w:rsidRPr="004D0DAA">
        <w:t>8.9.2.3</w:t>
      </w:r>
      <w:r w:rsidRPr="004D0DAA">
        <w:rPr>
          <w:rFonts w:ascii="Calibri" w:hAnsi="Calibri"/>
          <w:sz w:val="22"/>
          <w:szCs w:val="22"/>
          <w:lang w:val="en-US"/>
        </w:rPr>
        <w:tab/>
      </w:r>
      <w:r w:rsidRPr="004D0DAA">
        <w:t>Rejection of the mobile station request</w:t>
      </w:r>
      <w:r w:rsidRPr="004D0DAA">
        <w:tab/>
      </w:r>
      <w:r w:rsidRPr="004D0DAA">
        <w:fldChar w:fldCharType="begin" w:fldLock="1"/>
      </w:r>
      <w:r w:rsidRPr="004D0DAA">
        <w:instrText xml:space="preserve"> PAGEREF _Toc516669538 \h </w:instrText>
      </w:r>
      <w:r w:rsidRPr="004D0DAA">
        <w:fldChar w:fldCharType="separate"/>
      </w:r>
      <w:r w:rsidRPr="004D0DAA">
        <w:t>185</w:t>
      </w:r>
      <w:r w:rsidRPr="004D0DAA">
        <w:fldChar w:fldCharType="end"/>
      </w:r>
    </w:p>
    <w:p w14:paraId="4B794837" w14:textId="77777777" w:rsidR="00683705" w:rsidRPr="004D0DAA" w:rsidRDefault="00683705">
      <w:pPr>
        <w:pStyle w:val="TOC3"/>
        <w:rPr>
          <w:rFonts w:ascii="Calibri" w:hAnsi="Calibri"/>
          <w:sz w:val="22"/>
          <w:szCs w:val="22"/>
          <w:lang w:val="en-US"/>
        </w:rPr>
      </w:pPr>
      <w:r w:rsidRPr="004D0DAA">
        <w:t>8.9.3</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_Toc516669539 \h </w:instrText>
      </w:r>
      <w:r w:rsidRPr="004D0DAA">
        <w:fldChar w:fldCharType="separate"/>
      </w:r>
      <w:r w:rsidRPr="004D0DAA">
        <w:t>185</w:t>
      </w:r>
      <w:r w:rsidRPr="004D0DAA">
        <w:fldChar w:fldCharType="end"/>
      </w:r>
    </w:p>
    <w:p w14:paraId="06D4533B" w14:textId="77777777" w:rsidR="00683705" w:rsidRPr="004D0DAA" w:rsidRDefault="00683705">
      <w:pPr>
        <w:pStyle w:val="TOC3"/>
        <w:rPr>
          <w:rFonts w:ascii="Calibri" w:hAnsi="Calibri"/>
          <w:sz w:val="22"/>
          <w:szCs w:val="22"/>
          <w:lang w:val="en-US"/>
        </w:rPr>
      </w:pPr>
      <w:r w:rsidRPr="004D0DAA">
        <w:t>8.9.4</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_Toc516669540 \h </w:instrText>
      </w:r>
      <w:r w:rsidRPr="004D0DAA">
        <w:fldChar w:fldCharType="separate"/>
      </w:r>
      <w:r w:rsidRPr="004D0DAA">
        <w:t>185</w:t>
      </w:r>
      <w:r w:rsidRPr="004D0DAA">
        <w:fldChar w:fldCharType="end"/>
      </w:r>
    </w:p>
    <w:p w14:paraId="1A89AB78" w14:textId="77777777" w:rsidR="00683705" w:rsidRPr="004D0DAA" w:rsidRDefault="00683705">
      <w:pPr>
        <w:pStyle w:val="TOC4"/>
        <w:rPr>
          <w:rFonts w:ascii="Calibri" w:hAnsi="Calibri"/>
          <w:sz w:val="22"/>
          <w:szCs w:val="22"/>
          <w:lang w:val="en-US"/>
        </w:rPr>
      </w:pPr>
      <w:r w:rsidRPr="004D0DAA">
        <w:t>8.9.4.1</w:t>
      </w:r>
      <w:r w:rsidRPr="004D0DAA">
        <w:rPr>
          <w:rFonts w:ascii="Calibri" w:hAnsi="Calibri"/>
          <w:sz w:val="22"/>
          <w:szCs w:val="22"/>
          <w:lang w:val="en-US"/>
        </w:rPr>
        <w:tab/>
      </w:r>
      <w:r w:rsidRPr="004D0DAA">
        <w:t>RR connection establishment initiated by the mobile station</w:t>
      </w:r>
      <w:r w:rsidRPr="004D0DAA">
        <w:tab/>
      </w:r>
      <w:r w:rsidRPr="004D0DAA">
        <w:fldChar w:fldCharType="begin" w:fldLock="1"/>
      </w:r>
      <w:r w:rsidRPr="004D0DAA">
        <w:instrText xml:space="preserve"> PAGEREF _Toc516669541 \h </w:instrText>
      </w:r>
      <w:r w:rsidRPr="004D0DAA">
        <w:fldChar w:fldCharType="separate"/>
      </w:r>
      <w:r w:rsidRPr="004D0DAA">
        <w:t>185</w:t>
      </w:r>
      <w:r w:rsidRPr="004D0DAA">
        <w:fldChar w:fldCharType="end"/>
      </w:r>
    </w:p>
    <w:p w14:paraId="2E83D471" w14:textId="77777777" w:rsidR="00683705" w:rsidRPr="004D0DAA" w:rsidRDefault="00683705">
      <w:pPr>
        <w:pStyle w:val="TOC4"/>
        <w:rPr>
          <w:rFonts w:ascii="Calibri" w:hAnsi="Calibri"/>
          <w:sz w:val="22"/>
          <w:szCs w:val="22"/>
          <w:lang w:val="en-US"/>
        </w:rPr>
      </w:pPr>
      <w:r w:rsidRPr="004D0DAA">
        <w:t>8.9.4.2</w:t>
      </w:r>
      <w:r w:rsidRPr="004D0DAA">
        <w:rPr>
          <w:rFonts w:ascii="Calibri" w:hAnsi="Calibri"/>
          <w:sz w:val="22"/>
          <w:szCs w:val="22"/>
          <w:lang w:val="en-US"/>
        </w:rPr>
        <w:tab/>
      </w:r>
      <w:r w:rsidRPr="004D0DAA">
        <w:t>RR connection establishment initiated by the network</w:t>
      </w:r>
      <w:r w:rsidRPr="004D0DAA">
        <w:tab/>
      </w:r>
      <w:r w:rsidRPr="004D0DAA">
        <w:fldChar w:fldCharType="begin" w:fldLock="1"/>
      </w:r>
      <w:r w:rsidRPr="004D0DAA">
        <w:instrText xml:space="preserve"> PAGEREF _Toc516669542 \h </w:instrText>
      </w:r>
      <w:r w:rsidRPr="004D0DAA">
        <w:fldChar w:fldCharType="separate"/>
      </w:r>
      <w:r w:rsidRPr="004D0DAA">
        <w:t>186</w:t>
      </w:r>
      <w:r w:rsidRPr="004D0DAA">
        <w:fldChar w:fldCharType="end"/>
      </w:r>
    </w:p>
    <w:p w14:paraId="1279AF39" w14:textId="77777777" w:rsidR="00683705" w:rsidRPr="004D0DAA" w:rsidRDefault="00683705">
      <w:pPr>
        <w:pStyle w:val="TOC2"/>
        <w:rPr>
          <w:rFonts w:ascii="Calibri" w:hAnsi="Calibri"/>
          <w:sz w:val="22"/>
          <w:szCs w:val="22"/>
          <w:lang w:val="en-US"/>
        </w:rPr>
      </w:pPr>
      <w:r w:rsidRPr="004D0DAA">
        <w:lastRenderedPageBreak/>
        <w:t>8.10</w:t>
      </w:r>
      <w:r w:rsidRPr="004D0DAA">
        <w:rPr>
          <w:rFonts w:ascii="Calibri" w:hAnsi="Calibri"/>
          <w:sz w:val="22"/>
          <w:szCs w:val="22"/>
          <w:lang w:val="en-US"/>
        </w:rPr>
        <w:tab/>
      </w:r>
      <w:r w:rsidRPr="004D0DAA">
        <w:t>Packet Switched Handover procedure</w:t>
      </w:r>
      <w:r w:rsidRPr="004D0DAA">
        <w:tab/>
      </w:r>
      <w:r w:rsidRPr="004D0DAA">
        <w:fldChar w:fldCharType="begin" w:fldLock="1"/>
      </w:r>
      <w:r w:rsidRPr="004D0DAA">
        <w:instrText xml:space="preserve"> PAGEREF _Toc516669543 \h </w:instrText>
      </w:r>
      <w:r w:rsidRPr="004D0DAA">
        <w:fldChar w:fldCharType="separate"/>
      </w:r>
      <w:r w:rsidRPr="004D0DAA">
        <w:t>186</w:t>
      </w:r>
      <w:r w:rsidRPr="004D0DAA">
        <w:fldChar w:fldCharType="end"/>
      </w:r>
    </w:p>
    <w:p w14:paraId="6143CBB6" w14:textId="77777777" w:rsidR="00683705" w:rsidRPr="004D0DAA" w:rsidRDefault="00683705">
      <w:pPr>
        <w:pStyle w:val="TOC3"/>
        <w:rPr>
          <w:rFonts w:ascii="Calibri" w:hAnsi="Calibri"/>
          <w:sz w:val="22"/>
          <w:szCs w:val="22"/>
          <w:lang w:val="en-US"/>
        </w:rPr>
      </w:pPr>
      <w:r w:rsidRPr="004D0DAA">
        <w:t>8.10.1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_Toc516669544 \h </w:instrText>
      </w:r>
      <w:r w:rsidRPr="004D0DAA">
        <w:fldChar w:fldCharType="separate"/>
      </w:r>
      <w:r w:rsidRPr="004D0DAA">
        <w:t>186</w:t>
      </w:r>
      <w:r w:rsidRPr="004D0DAA">
        <w:fldChar w:fldCharType="end"/>
      </w:r>
    </w:p>
    <w:p w14:paraId="00EAF331" w14:textId="77777777" w:rsidR="00683705" w:rsidRPr="004D0DAA" w:rsidRDefault="00683705">
      <w:pPr>
        <w:pStyle w:val="TOC3"/>
        <w:rPr>
          <w:rFonts w:ascii="Calibri" w:hAnsi="Calibri"/>
          <w:sz w:val="22"/>
          <w:szCs w:val="22"/>
          <w:lang w:val="en-US"/>
        </w:rPr>
      </w:pPr>
      <w:r w:rsidRPr="004D0DAA">
        <w:t>8.10.2</w:t>
      </w:r>
      <w:r w:rsidRPr="004D0DAA">
        <w:rPr>
          <w:rFonts w:ascii="Calibri" w:hAnsi="Calibri"/>
          <w:sz w:val="22"/>
          <w:szCs w:val="22"/>
          <w:lang w:val="en-US"/>
        </w:rPr>
        <w:tab/>
      </w:r>
      <w:r w:rsidRPr="004D0DAA">
        <w:t>Neighbour Cell System Information Distribution</w:t>
      </w:r>
      <w:r w:rsidRPr="004D0DAA">
        <w:tab/>
      </w:r>
      <w:r w:rsidRPr="004D0DAA">
        <w:fldChar w:fldCharType="begin" w:fldLock="1"/>
      </w:r>
      <w:r w:rsidRPr="004D0DAA">
        <w:instrText xml:space="preserve"> PAGEREF _Toc516669545 \h </w:instrText>
      </w:r>
      <w:r w:rsidRPr="004D0DAA">
        <w:fldChar w:fldCharType="separate"/>
      </w:r>
      <w:r w:rsidRPr="004D0DAA">
        <w:t>187</w:t>
      </w:r>
      <w:r w:rsidRPr="004D0DAA">
        <w:fldChar w:fldCharType="end"/>
      </w:r>
    </w:p>
    <w:p w14:paraId="50804BC2" w14:textId="77777777" w:rsidR="00683705" w:rsidRPr="004D0DAA" w:rsidRDefault="00683705">
      <w:pPr>
        <w:pStyle w:val="TOC3"/>
        <w:rPr>
          <w:rFonts w:ascii="Calibri" w:hAnsi="Calibri"/>
          <w:sz w:val="22"/>
          <w:szCs w:val="22"/>
          <w:lang w:val="en-US"/>
        </w:rPr>
      </w:pPr>
      <w:r w:rsidRPr="004D0DAA">
        <w:t>8.10.3</w:t>
      </w:r>
      <w:r w:rsidRPr="004D0DAA">
        <w:rPr>
          <w:rFonts w:ascii="Calibri" w:hAnsi="Calibri"/>
          <w:sz w:val="22"/>
          <w:szCs w:val="22"/>
          <w:lang w:val="en-US"/>
        </w:rPr>
        <w:tab/>
      </w:r>
      <w:r w:rsidRPr="004D0DAA">
        <w:t>PS Handover at the network side</w:t>
      </w:r>
      <w:r w:rsidRPr="004D0DAA">
        <w:tab/>
      </w:r>
      <w:r w:rsidRPr="004D0DAA">
        <w:fldChar w:fldCharType="begin" w:fldLock="1"/>
      </w:r>
      <w:r w:rsidRPr="004D0DAA">
        <w:instrText xml:space="preserve"> PAGEREF _Toc516669546 \h </w:instrText>
      </w:r>
      <w:r w:rsidRPr="004D0DAA">
        <w:fldChar w:fldCharType="separate"/>
      </w:r>
      <w:r w:rsidRPr="004D0DAA">
        <w:t>187</w:t>
      </w:r>
      <w:r w:rsidRPr="004D0DAA">
        <w:fldChar w:fldCharType="end"/>
      </w:r>
    </w:p>
    <w:p w14:paraId="64E72AB7" w14:textId="77777777" w:rsidR="00683705" w:rsidRPr="004D0DAA" w:rsidRDefault="00683705">
      <w:pPr>
        <w:pStyle w:val="TOC4"/>
        <w:rPr>
          <w:rFonts w:ascii="Calibri" w:hAnsi="Calibri"/>
          <w:sz w:val="22"/>
          <w:szCs w:val="22"/>
          <w:lang w:val="en-US"/>
        </w:rPr>
      </w:pPr>
      <w:r w:rsidRPr="004D0DAA">
        <w:t>8.10.3.1</w:t>
      </w:r>
      <w:r w:rsidRPr="004D0DAA">
        <w:rPr>
          <w:rFonts w:ascii="Calibri" w:hAnsi="Calibri"/>
          <w:sz w:val="22"/>
          <w:szCs w:val="22"/>
          <w:lang w:val="en-US"/>
        </w:rPr>
        <w:tab/>
      </w:r>
      <w:r w:rsidRPr="004D0DAA">
        <w:t>Initiation of PS Handover Procedure</w:t>
      </w:r>
      <w:r w:rsidRPr="004D0DAA">
        <w:tab/>
      </w:r>
      <w:r w:rsidRPr="004D0DAA">
        <w:fldChar w:fldCharType="begin" w:fldLock="1"/>
      </w:r>
      <w:r w:rsidRPr="004D0DAA">
        <w:instrText xml:space="preserve"> PAGEREF _Toc516669547 \h </w:instrText>
      </w:r>
      <w:r w:rsidRPr="004D0DAA">
        <w:fldChar w:fldCharType="separate"/>
      </w:r>
      <w:r w:rsidRPr="004D0DAA">
        <w:t>187</w:t>
      </w:r>
      <w:r w:rsidRPr="004D0DAA">
        <w:fldChar w:fldCharType="end"/>
      </w:r>
    </w:p>
    <w:p w14:paraId="135EA099" w14:textId="77777777" w:rsidR="00683705" w:rsidRPr="004D0DAA" w:rsidRDefault="00683705">
      <w:pPr>
        <w:pStyle w:val="TOC4"/>
        <w:rPr>
          <w:rFonts w:ascii="Calibri" w:hAnsi="Calibri"/>
          <w:sz w:val="22"/>
          <w:szCs w:val="22"/>
          <w:lang w:val="en-US"/>
        </w:rPr>
      </w:pPr>
      <w:r w:rsidRPr="004D0DAA">
        <w:t>8.10.3.2</w:t>
      </w:r>
      <w:r w:rsidRPr="004D0DAA">
        <w:rPr>
          <w:rFonts w:ascii="Calibri" w:hAnsi="Calibri"/>
          <w:sz w:val="22"/>
          <w:szCs w:val="22"/>
          <w:lang w:val="en-US"/>
        </w:rPr>
        <w:tab/>
      </w:r>
      <w:r w:rsidRPr="004D0DAA">
        <w:t>A/Gb to A/Gb PS Handover</w:t>
      </w:r>
      <w:r w:rsidRPr="004D0DAA">
        <w:tab/>
      </w:r>
      <w:r w:rsidRPr="004D0DAA">
        <w:fldChar w:fldCharType="begin" w:fldLock="1"/>
      </w:r>
      <w:r w:rsidRPr="004D0DAA">
        <w:instrText xml:space="preserve"> PAGEREF _Toc516669548 \h </w:instrText>
      </w:r>
      <w:r w:rsidRPr="004D0DAA">
        <w:fldChar w:fldCharType="separate"/>
      </w:r>
      <w:r w:rsidRPr="004D0DAA">
        <w:t>187</w:t>
      </w:r>
      <w:r w:rsidRPr="004D0DAA">
        <w:fldChar w:fldCharType="end"/>
      </w:r>
    </w:p>
    <w:p w14:paraId="3043D990" w14:textId="77777777" w:rsidR="00683705" w:rsidRPr="004D0DAA" w:rsidRDefault="00683705">
      <w:pPr>
        <w:pStyle w:val="TOC4"/>
        <w:rPr>
          <w:rFonts w:ascii="Calibri" w:hAnsi="Calibri"/>
          <w:sz w:val="22"/>
          <w:szCs w:val="22"/>
          <w:lang w:val="en-US"/>
        </w:rPr>
      </w:pPr>
      <w:r w:rsidRPr="004D0DAA">
        <w:t>8.10.3.3</w:t>
      </w:r>
      <w:r w:rsidRPr="004D0DAA">
        <w:rPr>
          <w:rFonts w:ascii="Calibri" w:hAnsi="Calibri"/>
          <w:sz w:val="22"/>
          <w:szCs w:val="22"/>
          <w:lang w:val="en-US"/>
        </w:rPr>
        <w:tab/>
      </w:r>
      <w:r w:rsidRPr="004D0DAA">
        <w:t>GERAN A/Gb to Iu/E-UTRAN PS Handover</w:t>
      </w:r>
      <w:r w:rsidRPr="004D0DAA">
        <w:tab/>
      </w:r>
      <w:r w:rsidRPr="004D0DAA">
        <w:fldChar w:fldCharType="begin" w:fldLock="1"/>
      </w:r>
      <w:r w:rsidRPr="004D0DAA">
        <w:instrText xml:space="preserve"> PAGEREF _Toc516669549 \h </w:instrText>
      </w:r>
      <w:r w:rsidRPr="004D0DAA">
        <w:fldChar w:fldCharType="separate"/>
      </w:r>
      <w:r w:rsidRPr="004D0DAA">
        <w:t>189</w:t>
      </w:r>
      <w:r w:rsidRPr="004D0DAA">
        <w:fldChar w:fldCharType="end"/>
      </w:r>
    </w:p>
    <w:p w14:paraId="35FE23D5" w14:textId="77777777" w:rsidR="00683705" w:rsidRPr="004D0DAA" w:rsidRDefault="00683705">
      <w:pPr>
        <w:pStyle w:val="TOC4"/>
        <w:rPr>
          <w:rFonts w:ascii="Calibri" w:hAnsi="Calibri"/>
          <w:sz w:val="22"/>
          <w:szCs w:val="22"/>
          <w:lang w:val="en-US"/>
        </w:rPr>
      </w:pPr>
      <w:r w:rsidRPr="004D0DAA">
        <w:t>8.10.3.4</w:t>
      </w:r>
      <w:r w:rsidRPr="004D0DAA">
        <w:rPr>
          <w:rFonts w:ascii="Calibri" w:hAnsi="Calibri"/>
          <w:sz w:val="22"/>
          <w:szCs w:val="22"/>
          <w:lang w:val="en-US"/>
        </w:rPr>
        <w:tab/>
      </w:r>
      <w:r w:rsidRPr="004D0DAA">
        <w:t>Iu/E-UTRAN to GERAN A/Gb PS Handover</w:t>
      </w:r>
      <w:r w:rsidRPr="004D0DAA">
        <w:tab/>
      </w:r>
      <w:r w:rsidRPr="004D0DAA">
        <w:fldChar w:fldCharType="begin" w:fldLock="1"/>
      </w:r>
      <w:r w:rsidRPr="004D0DAA">
        <w:instrText xml:space="preserve"> PAGEREF _Toc516669550 \h </w:instrText>
      </w:r>
      <w:r w:rsidRPr="004D0DAA">
        <w:fldChar w:fldCharType="separate"/>
      </w:r>
      <w:r w:rsidRPr="004D0DAA">
        <w:t>189</w:t>
      </w:r>
      <w:r w:rsidRPr="004D0DAA">
        <w:fldChar w:fldCharType="end"/>
      </w:r>
    </w:p>
    <w:p w14:paraId="71B176E5" w14:textId="77777777" w:rsidR="00683705" w:rsidRPr="004D0DAA" w:rsidRDefault="00683705">
      <w:pPr>
        <w:pStyle w:val="TOC4"/>
        <w:rPr>
          <w:rFonts w:ascii="Calibri" w:hAnsi="Calibri"/>
          <w:sz w:val="22"/>
          <w:szCs w:val="22"/>
          <w:lang w:val="en-US"/>
        </w:rPr>
      </w:pPr>
      <w:r w:rsidRPr="004D0DAA">
        <w:t>8.10.3.5</w:t>
      </w:r>
      <w:r w:rsidRPr="004D0DAA">
        <w:rPr>
          <w:rFonts w:ascii="Calibri" w:hAnsi="Calibri"/>
          <w:sz w:val="22"/>
          <w:szCs w:val="22"/>
          <w:lang w:val="en-US"/>
        </w:rPr>
        <w:tab/>
      </w:r>
      <w:r w:rsidRPr="004D0DAA">
        <w:t>A/Gb to GAN PS Handover</w:t>
      </w:r>
      <w:r w:rsidRPr="004D0DAA">
        <w:tab/>
      </w:r>
      <w:r w:rsidRPr="004D0DAA">
        <w:fldChar w:fldCharType="begin" w:fldLock="1"/>
      </w:r>
      <w:r w:rsidRPr="004D0DAA">
        <w:instrText xml:space="preserve"> PAGEREF _Toc516669551 \h </w:instrText>
      </w:r>
      <w:r w:rsidRPr="004D0DAA">
        <w:fldChar w:fldCharType="separate"/>
      </w:r>
      <w:r w:rsidRPr="004D0DAA">
        <w:t>189</w:t>
      </w:r>
      <w:r w:rsidRPr="004D0DAA">
        <w:fldChar w:fldCharType="end"/>
      </w:r>
    </w:p>
    <w:p w14:paraId="402B2B33" w14:textId="77777777" w:rsidR="00683705" w:rsidRPr="004D0DAA" w:rsidRDefault="00683705">
      <w:pPr>
        <w:pStyle w:val="TOC4"/>
        <w:rPr>
          <w:rFonts w:ascii="Calibri" w:hAnsi="Calibri"/>
          <w:sz w:val="22"/>
          <w:szCs w:val="22"/>
          <w:lang w:val="en-US"/>
        </w:rPr>
      </w:pPr>
      <w:r w:rsidRPr="004D0DAA">
        <w:t>8.10.3.6</w:t>
      </w:r>
      <w:r w:rsidRPr="004D0DAA">
        <w:rPr>
          <w:rFonts w:ascii="Calibri" w:hAnsi="Calibri"/>
          <w:sz w:val="22"/>
          <w:szCs w:val="22"/>
          <w:lang w:val="en-US"/>
        </w:rPr>
        <w:tab/>
      </w:r>
      <w:r w:rsidRPr="004D0DAA">
        <w:t>GAN to A/Gb PS Handover</w:t>
      </w:r>
      <w:r w:rsidRPr="004D0DAA">
        <w:tab/>
      </w:r>
      <w:r w:rsidRPr="004D0DAA">
        <w:fldChar w:fldCharType="begin" w:fldLock="1"/>
      </w:r>
      <w:r w:rsidRPr="004D0DAA">
        <w:instrText xml:space="preserve"> PAGEREF _Toc516669552 \h </w:instrText>
      </w:r>
      <w:r w:rsidRPr="004D0DAA">
        <w:fldChar w:fldCharType="separate"/>
      </w:r>
      <w:r w:rsidRPr="004D0DAA">
        <w:t>189</w:t>
      </w:r>
      <w:r w:rsidRPr="004D0DAA">
        <w:fldChar w:fldCharType="end"/>
      </w:r>
    </w:p>
    <w:p w14:paraId="53250EAE" w14:textId="77777777" w:rsidR="00683705" w:rsidRPr="004D0DAA" w:rsidRDefault="00683705">
      <w:pPr>
        <w:pStyle w:val="TOC3"/>
        <w:rPr>
          <w:rFonts w:ascii="Calibri" w:hAnsi="Calibri"/>
          <w:sz w:val="22"/>
          <w:szCs w:val="22"/>
          <w:lang w:val="en-US"/>
        </w:rPr>
      </w:pPr>
      <w:r w:rsidRPr="004D0DAA">
        <w:t>8.10.4</w:t>
      </w:r>
      <w:r w:rsidRPr="004D0DAA">
        <w:rPr>
          <w:rFonts w:ascii="Calibri" w:hAnsi="Calibri"/>
          <w:sz w:val="22"/>
          <w:szCs w:val="22"/>
          <w:lang w:val="en-US"/>
        </w:rPr>
        <w:tab/>
      </w:r>
      <w:r w:rsidRPr="004D0DAA">
        <w:t>PS Handover at the mobile station side</w:t>
      </w:r>
      <w:r w:rsidRPr="004D0DAA">
        <w:tab/>
      </w:r>
      <w:r w:rsidRPr="004D0DAA">
        <w:fldChar w:fldCharType="begin" w:fldLock="1"/>
      </w:r>
      <w:r w:rsidRPr="004D0DAA">
        <w:instrText xml:space="preserve"> PAGEREF _Toc516669553 \h </w:instrText>
      </w:r>
      <w:r w:rsidRPr="004D0DAA">
        <w:fldChar w:fldCharType="separate"/>
      </w:r>
      <w:r w:rsidRPr="004D0DAA">
        <w:t>190</w:t>
      </w:r>
      <w:r w:rsidRPr="004D0DAA">
        <w:fldChar w:fldCharType="end"/>
      </w:r>
    </w:p>
    <w:p w14:paraId="4FB10A2B" w14:textId="77777777" w:rsidR="00683705" w:rsidRPr="004D0DAA" w:rsidRDefault="00683705">
      <w:pPr>
        <w:pStyle w:val="TOC4"/>
        <w:rPr>
          <w:rFonts w:ascii="Calibri" w:hAnsi="Calibri"/>
          <w:sz w:val="22"/>
          <w:szCs w:val="22"/>
          <w:lang w:val="en-US"/>
        </w:rPr>
      </w:pPr>
      <w:r w:rsidRPr="004D0DAA">
        <w:t>8.10.4.1</w:t>
      </w:r>
      <w:r w:rsidRPr="004D0DAA">
        <w:rPr>
          <w:rFonts w:ascii="Calibri" w:hAnsi="Calibri"/>
          <w:sz w:val="22"/>
          <w:szCs w:val="22"/>
          <w:lang w:val="en-US"/>
        </w:rPr>
        <w:tab/>
      </w:r>
      <w:r w:rsidRPr="004D0DAA">
        <w:t>A/Gb to A/Gb PS Handover</w:t>
      </w:r>
      <w:r w:rsidRPr="004D0DAA">
        <w:tab/>
      </w:r>
      <w:r w:rsidRPr="004D0DAA">
        <w:fldChar w:fldCharType="begin" w:fldLock="1"/>
      </w:r>
      <w:r w:rsidRPr="004D0DAA">
        <w:instrText xml:space="preserve"> PAGEREF _Toc516669554 \h </w:instrText>
      </w:r>
      <w:r w:rsidRPr="004D0DAA">
        <w:fldChar w:fldCharType="separate"/>
      </w:r>
      <w:r w:rsidRPr="004D0DAA">
        <w:t>190</w:t>
      </w:r>
      <w:r w:rsidRPr="004D0DAA">
        <w:fldChar w:fldCharType="end"/>
      </w:r>
    </w:p>
    <w:p w14:paraId="55DFEF1C" w14:textId="77777777" w:rsidR="00683705" w:rsidRPr="004D0DAA" w:rsidRDefault="00683705">
      <w:pPr>
        <w:pStyle w:val="TOC4"/>
        <w:rPr>
          <w:rFonts w:ascii="Calibri" w:hAnsi="Calibri"/>
          <w:sz w:val="22"/>
          <w:szCs w:val="22"/>
          <w:lang w:val="en-US"/>
        </w:rPr>
      </w:pPr>
      <w:r w:rsidRPr="004D0DAA">
        <w:t>8.10.4.2</w:t>
      </w:r>
      <w:r w:rsidRPr="004D0DAA">
        <w:rPr>
          <w:rFonts w:ascii="Calibri" w:hAnsi="Calibri"/>
          <w:sz w:val="22"/>
          <w:szCs w:val="22"/>
          <w:lang w:val="en-US"/>
        </w:rPr>
        <w:tab/>
      </w:r>
      <w:r w:rsidRPr="004D0DAA">
        <w:t>A/Gb to Iu/E-UTRAN PS Handover</w:t>
      </w:r>
      <w:r w:rsidRPr="004D0DAA">
        <w:tab/>
      </w:r>
      <w:r w:rsidRPr="004D0DAA">
        <w:fldChar w:fldCharType="begin" w:fldLock="1"/>
      </w:r>
      <w:r w:rsidRPr="004D0DAA">
        <w:instrText xml:space="preserve"> PAGEREF _Toc516669555 \h </w:instrText>
      </w:r>
      <w:r w:rsidRPr="004D0DAA">
        <w:fldChar w:fldCharType="separate"/>
      </w:r>
      <w:r w:rsidRPr="004D0DAA">
        <w:t>191</w:t>
      </w:r>
      <w:r w:rsidRPr="004D0DAA">
        <w:fldChar w:fldCharType="end"/>
      </w:r>
    </w:p>
    <w:p w14:paraId="0AE4D6B3" w14:textId="77777777" w:rsidR="00683705" w:rsidRPr="004D0DAA" w:rsidRDefault="00683705">
      <w:pPr>
        <w:pStyle w:val="TOC4"/>
        <w:rPr>
          <w:rFonts w:ascii="Calibri" w:hAnsi="Calibri"/>
          <w:sz w:val="22"/>
          <w:szCs w:val="22"/>
          <w:lang w:val="en-US"/>
        </w:rPr>
      </w:pPr>
      <w:r w:rsidRPr="004D0DAA">
        <w:t>8.10.4.3</w:t>
      </w:r>
      <w:r w:rsidRPr="004D0DAA">
        <w:rPr>
          <w:rFonts w:ascii="Calibri" w:hAnsi="Calibri"/>
          <w:sz w:val="22"/>
          <w:szCs w:val="22"/>
          <w:lang w:val="en-US"/>
        </w:rPr>
        <w:tab/>
      </w:r>
      <w:r w:rsidRPr="004D0DAA">
        <w:t>Iu/E-UTRAN to A/Gb PS Handover</w:t>
      </w:r>
      <w:r w:rsidRPr="004D0DAA">
        <w:tab/>
      </w:r>
      <w:r w:rsidRPr="004D0DAA">
        <w:fldChar w:fldCharType="begin" w:fldLock="1"/>
      </w:r>
      <w:r w:rsidRPr="004D0DAA">
        <w:instrText xml:space="preserve"> PAGEREF _Toc516669556 \h </w:instrText>
      </w:r>
      <w:r w:rsidRPr="004D0DAA">
        <w:fldChar w:fldCharType="separate"/>
      </w:r>
      <w:r w:rsidRPr="004D0DAA">
        <w:t>191</w:t>
      </w:r>
      <w:r w:rsidRPr="004D0DAA">
        <w:fldChar w:fldCharType="end"/>
      </w:r>
    </w:p>
    <w:p w14:paraId="080D361F" w14:textId="77777777" w:rsidR="00683705" w:rsidRPr="004D0DAA" w:rsidRDefault="00683705">
      <w:pPr>
        <w:pStyle w:val="TOC4"/>
        <w:rPr>
          <w:rFonts w:ascii="Calibri" w:hAnsi="Calibri"/>
          <w:sz w:val="22"/>
          <w:szCs w:val="22"/>
          <w:lang w:val="en-US"/>
        </w:rPr>
      </w:pPr>
      <w:r w:rsidRPr="004D0DAA">
        <w:t>8.10.4.4</w:t>
      </w:r>
      <w:r w:rsidRPr="004D0DAA">
        <w:rPr>
          <w:rFonts w:ascii="Calibri" w:hAnsi="Calibri"/>
          <w:sz w:val="22"/>
          <w:szCs w:val="22"/>
          <w:lang w:val="en-US"/>
        </w:rPr>
        <w:tab/>
      </w:r>
      <w:r w:rsidRPr="004D0DAA">
        <w:t>Physical channel establishment</w:t>
      </w:r>
      <w:r w:rsidRPr="004D0DAA">
        <w:tab/>
      </w:r>
      <w:r w:rsidRPr="004D0DAA">
        <w:fldChar w:fldCharType="begin" w:fldLock="1"/>
      </w:r>
      <w:r w:rsidRPr="004D0DAA">
        <w:instrText xml:space="preserve"> PAGEREF _Toc516669557 \h </w:instrText>
      </w:r>
      <w:r w:rsidRPr="004D0DAA">
        <w:fldChar w:fldCharType="separate"/>
      </w:r>
      <w:r w:rsidRPr="004D0DAA">
        <w:t>191</w:t>
      </w:r>
      <w:r w:rsidRPr="004D0DAA">
        <w:fldChar w:fldCharType="end"/>
      </w:r>
    </w:p>
    <w:p w14:paraId="7DE1F35D" w14:textId="77777777" w:rsidR="00683705" w:rsidRPr="004D0DAA" w:rsidRDefault="00683705">
      <w:pPr>
        <w:pStyle w:val="TOC5"/>
        <w:rPr>
          <w:rFonts w:ascii="Calibri" w:hAnsi="Calibri"/>
          <w:sz w:val="22"/>
          <w:szCs w:val="22"/>
          <w:lang w:val="en-US"/>
        </w:rPr>
      </w:pPr>
      <w:r w:rsidRPr="004D0DAA">
        <w:t>8.10.4.4.1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_Toc516669558 \h </w:instrText>
      </w:r>
      <w:r w:rsidRPr="004D0DAA">
        <w:fldChar w:fldCharType="separate"/>
      </w:r>
      <w:r w:rsidRPr="004D0DAA">
        <w:t>191</w:t>
      </w:r>
      <w:r w:rsidRPr="004D0DAA">
        <w:fldChar w:fldCharType="end"/>
      </w:r>
    </w:p>
    <w:p w14:paraId="60422826" w14:textId="77777777" w:rsidR="00683705" w:rsidRPr="004D0DAA" w:rsidRDefault="00683705">
      <w:pPr>
        <w:pStyle w:val="TOC5"/>
        <w:rPr>
          <w:rFonts w:ascii="Calibri" w:hAnsi="Calibri"/>
          <w:sz w:val="22"/>
          <w:szCs w:val="22"/>
          <w:lang w:val="en-US"/>
        </w:rPr>
      </w:pPr>
      <w:r w:rsidRPr="004D0DAA">
        <w:t>8.10.4.4.2</w:t>
      </w:r>
      <w:r w:rsidRPr="004D0DAA">
        <w:rPr>
          <w:rFonts w:ascii="Calibri" w:hAnsi="Calibri"/>
          <w:sz w:val="22"/>
          <w:szCs w:val="22"/>
          <w:lang w:val="en-US"/>
        </w:rPr>
        <w:tab/>
      </w:r>
      <w:r w:rsidRPr="004D0DAA">
        <w:t>Synchronized cell case</w:t>
      </w:r>
      <w:r w:rsidRPr="004D0DAA">
        <w:tab/>
      </w:r>
      <w:r w:rsidRPr="004D0DAA">
        <w:fldChar w:fldCharType="begin" w:fldLock="1"/>
      </w:r>
      <w:r w:rsidRPr="004D0DAA">
        <w:instrText xml:space="preserve"> PAGEREF _Toc516669559 \h </w:instrText>
      </w:r>
      <w:r w:rsidRPr="004D0DAA">
        <w:fldChar w:fldCharType="separate"/>
      </w:r>
      <w:r w:rsidRPr="004D0DAA">
        <w:t>192</w:t>
      </w:r>
      <w:r w:rsidRPr="004D0DAA">
        <w:fldChar w:fldCharType="end"/>
      </w:r>
    </w:p>
    <w:p w14:paraId="650B3343" w14:textId="77777777" w:rsidR="00683705" w:rsidRPr="004D0DAA" w:rsidRDefault="00683705">
      <w:pPr>
        <w:pStyle w:val="TOC5"/>
        <w:rPr>
          <w:rFonts w:ascii="Calibri" w:hAnsi="Calibri"/>
          <w:sz w:val="22"/>
          <w:szCs w:val="22"/>
          <w:lang w:val="en-US"/>
        </w:rPr>
      </w:pPr>
      <w:r w:rsidRPr="004D0DAA">
        <w:t>8.10.4.4.3</w:t>
      </w:r>
      <w:r w:rsidRPr="004D0DAA">
        <w:rPr>
          <w:rFonts w:ascii="Calibri" w:hAnsi="Calibri"/>
          <w:sz w:val="22"/>
          <w:szCs w:val="22"/>
          <w:lang w:val="en-US"/>
        </w:rPr>
        <w:tab/>
      </w:r>
      <w:r w:rsidRPr="004D0DAA">
        <w:t>Pre-synchronized cell case</w:t>
      </w:r>
      <w:r w:rsidRPr="004D0DAA">
        <w:tab/>
      </w:r>
      <w:r w:rsidRPr="004D0DAA">
        <w:fldChar w:fldCharType="begin" w:fldLock="1"/>
      </w:r>
      <w:r w:rsidRPr="004D0DAA">
        <w:instrText xml:space="preserve"> PAGEREF _Toc516669560 \h </w:instrText>
      </w:r>
      <w:r w:rsidRPr="004D0DAA">
        <w:fldChar w:fldCharType="separate"/>
      </w:r>
      <w:r w:rsidRPr="004D0DAA">
        <w:t>192</w:t>
      </w:r>
      <w:r w:rsidRPr="004D0DAA">
        <w:fldChar w:fldCharType="end"/>
      </w:r>
    </w:p>
    <w:p w14:paraId="79BA7C09" w14:textId="77777777" w:rsidR="00683705" w:rsidRPr="004D0DAA" w:rsidRDefault="00683705">
      <w:pPr>
        <w:pStyle w:val="TOC5"/>
        <w:rPr>
          <w:rFonts w:ascii="Calibri" w:hAnsi="Calibri"/>
          <w:sz w:val="22"/>
          <w:szCs w:val="22"/>
          <w:lang w:val="en-US"/>
        </w:rPr>
      </w:pPr>
      <w:r w:rsidRPr="004D0DAA">
        <w:t>8.10.4.4.4</w:t>
      </w:r>
      <w:r w:rsidRPr="004D0DAA">
        <w:rPr>
          <w:rFonts w:ascii="Calibri" w:hAnsi="Calibri"/>
          <w:sz w:val="22"/>
          <w:szCs w:val="22"/>
          <w:lang w:val="en-US"/>
        </w:rPr>
        <w:tab/>
      </w:r>
      <w:r w:rsidRPr="004D0DAA">
        <w:t>Non synchronized cell case</w:t>
      </w:r>
      <w:r w:rsidRPr="004D0DAA">
        <w:tab/>
      </w:r>
      <w:r w:rsidRPr="004D0DAA">
        <w:fldChar w:fldCharType="begin" w:fldLock="1"/>
      </w:r>
      <w:r w:rsidRPr="004D0DAA">
        <w:instrText xml:space="preserve"> PAGEREF _Toc516669561 \h </w:instrText>
      </w:r>
      <w:r w:rsidRPr="004D0DAA">
        <w:fldChar w:fldCharType="separate"/>
      </w:r>
      <w:r w:rsidRPr="004D0DAA">
        <w:t>192</w:t>
      </w:r>
      <w:r w:rsidRPr="004D0DAA">
        <w:fldChar w:fldCharType="end"/>
      </w:r>
    </w:p>
    <w:p w14:paraId="0235584A" w14:textId="77777777" w:rsidR="00683705" w:rsidRPr="004D0DAA" w:rsidRDefault="00683705">
      <w:pPr>
        <w:pStyle w:val="TOC4"/>
        <w:rPr>
          <w:rFonts w:ascii="Calibri" w:hAnsi="Calibri"/>
          <w:sz w:val="22"/>
          <w:szCs w:val="22"/>
          <w:lang w:val="en-US"/>
        </w:rPr>
      </w:pPr>
      <w:r w:rsidRPr="004D0DAA">
        <w:t>8.10.4.5</w:t>
      </w:r>
      <w:r w:rsidRPr="004D0DAA">
        <w:rPr>
          <w:rFonts w:ascii="Calibri" w:hAnsi="Calibri"/>
          <w:sz w:val="22"/>
          <w:szCs w:val="22"/>
          <w:lang w:val="en-US"/>
        </w:rPr>
        <w:tab/>
      </w:r>
      <w:r w:rsidRPr="004D0DAA">
        <w:t>A/Gb to GAN PS Handover</w:t>
      </w:r>
      <w:r w:rsidRPr="004D0DAA">
        <w:tab/>
      </w:r>
      <w:r w:rsidRPr="004D0DAA">
        <w:fldChar w:fldCharType="begin" w:fldLock="1"/>
      </w:r>
      <w:r w:rsidRPr="004D0DAA">
        <w:instrText xml:space="preserve"> PAGEREF _Toc516669562 \h </w:instrText>
      </w:r>
      <w:r w:rsidRPr="004D0DAA">
        <w:fldChar w:fldCharType="separate"/>
      </w:r>
      <w:r w:rsidRPr="004D0DAA">
        <w:t>192</w:t>
      </w:r>
      <w:r w:rsidRPr="004D0DAA">
        <w:fldChar w:fldCharType="end"/>
      </w:r>
    </w:p>
    <w:p w14:paraId="5388BB77" w14:textId="77777777" w:rsidR="00683705" w:rsidRPr="004D0DAA" w:rsidRDefault="00683705">
      <w:pPr>
        <w:pStyle w:val="TOC4"/>
        <w:rPr>
          <w:rFonts w:ascii="Calibri" w:hAnsi="Calibri"/>
          <w:sz w:val="22"/>
          <w:szCs w:val="22"/>
          <w:lang w:val="en-US"/>
        </w:rPr>
      </w:pPr>
      <w:r w:rsidRPr="004D0DAA">
        <w:t>8.10.4.6</w:t>
      </w:r>
      <w:r w:rsidRPr="004D0DAA">
        <w:rPr>
          <w:rFonts w:ascii="Calibri" w:hAnsi="Calibri"/>
          <w:sz w:val="22"/>
          <w:szCs w:val="22"/>
          <w:lang w:val="en-US"/>
        </w:rPr>
        <w:tab/>
      </w:r>
      <w:r w:rsidRPr="004D0DAA">
        <w:t>GAN to A/Gb PS Handover</w:t>
      </w:r>
      <w:r w:rsidRPr="004D0DAA">
        <w:tab/>
      </w:r>
      <w:r w:rsidRPr="004D0DAA">
        <w:fldChar w:fldCharType="begin" w:fldLock="1"/>
      </w:r>
      <w:r w:rsidRPr="004D0DAA">
        <w:instrText xml:space="preserve"> PAGEREF _Toc516669563 \h </w:instrText>
      </w:r>
      <w:r w:rsidRPr="004D0DAA">
        <w:fldChar w:fldCharType="separate"/>
      </w:r>
      <w:r w:rsidRPr="004D0DAA">
        <w:t>193</w:t>
      </w:r>
      <w:r w:rsidRPr="004D0DAA">
        <w:fldChar w:fldCharType="end"/>
      </w:r>
    </w:p>
    <w:p w14:paraId="3F8CA0FF" w14:textId="77777777" w:rsidR="00683705" w:rsidRPr="004D0DAA" w:rsidRDefault="00683705">
      <w:pPr>
        <w:pStyle w:val="TOC3"/>
        <w:rPr>
          <w:rFonts w:ascii="Calibri" w:hAnsi="Calibri"/>
          <w:sz w:val="22"/>
          <w:szCs w:val="22"/>
          <w:lang w:val="en-US"/>
        </w:rPr>
      </w:pPr>
      <w:r w:rsidRPr="004D0DAA">
        <w:t>8.10.5</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_Toc516669564 \h </w:instrText>
      </w:r>
      <w:r w:rsidRPr="004D0DAA">
        <w:fldChar w:fldCharType="separate"/>
      </w:r>
      <w:r w:rsidRPr="004D0DAA">
        <w:t>193</w:t>
      </w:r>
      <w:r w:rsidRPr="004D0DAA">
        <w:fldChar w:fldCharType="end"/>
      </w:r>
    </w:p>
    <w:p w14:paraId="11091C2C" w14:textId="77777777" w:rsidR="00683705" w:rsidRPr="004D0DAA" w:rsidRDefault="00683705">
      <w:pPr>
        <w:pStyle w:val="TOC4"/>
        <w:rPr>
          <w:rFonts w:ascii="Calibri" w:hAnsi="Calibri"/>
          <w:sz w:val="22"/>
          <w:szCs w:val="22"/>
          <w:lang w:val="en-US"/>
        </w:rPr>
      </w:pPr>
      <w:r w:rsidRPr="004D0DAA">
        <w:t>8.10.5.1</w:t>
      </w:r>
      <w:r w:rsidRPr="004D0DAA">
        <w:rPr>
          <w:rFonts w:ascii="Calibri" w:hAnsi="Calibri"/>
          <w:sz w:val="22"/>
          <w:szCs w:val="22"/>
          <w:lang w:val="en-US"/>
        </w:rPr>
        <w:tab/>
      </w:r>
      <w:r w:rsidRPr="004D0DAA">
        <w:t>MS Behaviour for A/Gb to A/Gb PS Handover</w:t>
      </w:r>
      <w:r w:rsidRPr="004D0DAA">
        <w:tab/>
      </w:r>
      <w:r w:rsidRPr="004D0DAA">
        <w:fldChar w:fldCharType="begin" w:fldLock="1"/>
      </w:r>
      <w:r w:rsidRPr="004D0DAA">
        <w:instrText xml:space="preserve"> PAGEREF _Toc516669565 \h </w:instrText>
      </w:r>
      <w:r w:rsidRPr="004D0DAA">
        <w:fldChar w:fldCharType="separate"/>
      </w:r>
      <w:r w:rsidRPr="004D0DAA">
        <w:t>193</w:t>
      </w:r>
      <w:r w:rsidRPr="004D0DAA">
        <w:fldChar w:fldCharType="end"/>
      </w:r>
    </w:p>
    <w:p w14:paraId="258A8D0B" w14:textId="77777777" w:rsidR="00683705" w:rsidRPr="004D0DAA" w:rsidRDefault="00683705">
      <w:pPr>
        <w:pStyle w:val="TOC4"/>
        <w:rPr>
          <w:rFonts w:ascii="Calibri" w:hAnsi="Calibri"/>
          <w:sz w:val="22"/>
          <w:szCs w:val="22"/>
          <w:lang w:val="en-US"/>
        </w:rPr>
      </w:pPr>
      <w:r w:rsidRPr="004D0DAA">
        <w:t>8.10.5.2</w:t>
      </w:r>
      <w:r w:rsidRPr="004D0DAA">
        <w:rPr>
          <w:rFonts w:ascii="Calibri" w:hAnsi="Calibri"/>
          <w:sz w:val="22"/>
          <w:szCs w:val="22"/>
          <w:lang w:val="en-US"/>
        </w:rPr>
        <w:tab/>
      </w:r>
      <w:r w:rsidRPr="004D0DAA">
        <w:t>MS Behaviour for A/Gb to Iu/E-UTRAN PS Handover</w:t>
      </w:r>
      <w:r w:rsidRPr="004D0DAA">
        <w:tab/>
      </w:r>
      <w:r w:rsidRPr="004D0DAA">
        <w:fldChar w:fldCharType="begin" w:fldLock="1"/>
      </w:r>
      <w:r w:rsidRPr="004D0DAA">
        <w:instrText xml:space="preserve"> PAGEREF _Toc516669566 \h </w:instrText>
      </w:r>
      <w:r w:rsidRPr="004D0DAA">
        <w:fldChar w:fldCharType="separate"/>
      </w:r>
      <w:r w:rsidRPr="004D0DAA">
        <w:t>194</w:t>
      </w:r>
      <w:r w:rsidRPr="004D0DAA">
        <w:fldChar w:fldCharType="end"/>
      </w:r>
    </w:p>
    <w:p w14:paraId="4F51964B" w14:textId="77777777" w:rsidR="00683705" w:rsidRPr="004D0DAA" w:rsidRDefault="00683705">
      <w:pPr>
        <w:pStyle w:val="TOC4"/>
        <w:rPr>
          <w:rFonts w:ascii="Calibri" w:hAnsi="Calibri"/>
          <w:sz w:val="22"/>
          <w:szCs w:val="22"/>
          <w:lang w:val="en-US"/>
        </w:rPr>
      </w:pPr>
      <w:r w:rsidRPr="004D0DAA">
        <w:t>8.10.5.3</w:t>
      </w:r>
      <w:r w:rsidRPr="004D0DAA">
        <w:rPr>
          <w:rFonts w:ascii="Calibri" w:hAnsi="Calibri"/>
          <w:sz w:val="22"/>
          <w:szCs w:val="22"/>
          <w:lang w:val="en-US"/>
        </w:rPr>
        <w:tab/>
      </w:r>
      <w:r w:rsidRPr="004D0DAA">
        <w:t>MS Behaviour for Iu/E-UTRAN to A/Gb PS Handover</w:t>
      </w:r>
      <w:r w:rsidRPr="004D0DAA">
        <w:tab/>
      </w:r>
      <w:r w:rsidRPr="004D0DAA">
        <w:fldChar w:fldCharType="begin" w:fldLock="1"/>
      </w:r>
      <w:r w:rsidRPr="004D0DAA">
        <w:instrText xml:space="preserve"> PAGEREF _Toc516669567 \h </w:instrText>
      </w:r>
      <w:r w:rsidRPr="004D0DAA">
        <w:fldChar w:fldCharType="separate"/>
      </w:r>
      <w:r w:rsidRPr="004D0DAA">
        <w:t>194</w:t>
      </w:r>
      <w:r w:rsidRPr="004D0DAA">
        <w:fldChar w:fldCharType="end"/>
      </w:r>
    </w:p>
    <w:p w14:paraId="07FF9709" w14:textId="77777777" w:rsidR="00683705" w:rsidRPr="004D0DAA" w:rsidRDefault="00683705">
      <w:pPr>
        <w:pStyle w:val="TOC4"/>
        <w:rPr>
          <w:rFonts w:ascii="Calibri" w:hAnsi="Calibri"/>
          <w:sz w:val="22"/>
          <w:szCs w:val="22"/>
          <w:lang w:val="en-US"/>
        </w:rPr>
      </w:pPr>
      <w:r w:rsidRPr="004D0DAA">
        <w:t>8.10.5.4</w:t>
      </w:r>
      <w:r w:rsidRPr="004D0DAA">
        <w:rPr>
          <w:rFonts w:ascii="Calibri" w:hAnsi="Calibri"/>
          <w:sz w:val="22"/>
          <w:szCs w:val="22"/>
          <w:lang w:val="en-US"/>
        </w:rPr>
        <w:tab/>
      </w:r>
      <w:r w:rsidRPr="004D0DAA">
        <w:t>BSS Behaviour for PS Handover from A/Gb</w:t>
      </w:r>
      <w:r w:rsidRPr="004D0DAA">
        <w:tab/>
      </w:r>
      <w:r w:rsidRPr="004D0DAA">
        <w:fldChar w:fldCharType="begin" w:fldLock="1"/>
      </w:r>
      <w:r w:rsidRPr="004D0DAA">
        <w:instrText xml:space="preserve"> PAGEREF _Toc516669568 \h </w:instrText>
      </w:r>
      <w:r w:rsidRPr="004D0DAA">
        <w:fldChar w:fldCharType="separate"/>
      </w:r>
      <w:r w:rsidRPr="004D0DAA">
        <w:t>195</w:t>
      </w:r>
      <w:r w:rsidRPr="004D0DAA">
        <w:fldChar w:fldCharType="end"/>
      </w:r>
    </w:p>
    <w:p w14:paraId="7351FB4C" w14:textId="77777777" w:rsidR="00683705" w:rsidRPr="004D0DAA" w:rsidRDefault="00683705">
      <w:pPr>
        <w:pStyle w:val="TOC4"/>
        <w:rPr>
          <w:rFonts w:ascii="Calibri" w:hAnsi="Calibri"/>
          <w:sz w:val="22"/>
          <w:szCs w:val="22"/>
          <w:lang w:val="en-US"/>
        </w:rPr>
      </w:pPr>
      <w:r w:rsidRPr="004D0DAA">
        <w:t>8.10.5.5</w:t>
      </w:r>
      <w:r w:rsidRPr="004D0DAA">
        <w:rPr>
          <w:rFonts w:ascii="Calibri" w:hAnsi="Calibri"/>
          <w:sz w:val="22"/>
          <w:szCs w:val="22"/>
          <w:lang w:val="en-US"/>
        </w:rPr>
        <w:tab/>
      </w:r>
      <w:r w:rsidRPr="004D0DAA">
        <w:t>BSS Behaviour for PS Handover to A/Gb</w:t>
      </w:r>
      <w:r w:rsidRPr="004D0DAA">
        <w:tab/>
      </w:r>
      <w:r w:rsidRPr="004D0DAA">
        <w:fldChar w:fldCharType="begin" w:fldLock="1"/>
      </w:r>
      <w:r w:rsidRPr="004D0DAA">
        <w:instrText xml:space="preserve"> PAGEREF _Toc516669569 \h </w:instrText>
      </w:r>
      <w:r w:rsidRPr="004D0DAA">
        <w:fldChar w:fldCharType="separate"/>
      </w:r>
      <w:r w:rsidRPr="004D0DAA">
        <w:t>195</w:t>
      </w:r>
      <w:r w:rsidRPr="004D0DAA">
        <w:fldChar w:fldCharType="end"/>
      </w:r>
    </w:p>
    <w:p w14:paraId="2B229A4E" w14:textId="77777777" w:rsidR="00683705" w:rsidRPr="004D0DAA" w:rsidRDefault="00683705">
      <w:pPr>
        <w:pStyle w:val="TOC4"/>
        <w:rPr>
          <w:rFonts w:ascii="Calibri" w:hAnsi="Calibri"/>
          <w:sz w:val="22"/>
          <w:szCs w:val="22"/>
          <w:lang w:val="en-US"/>
        </w:rPr>
      </w:pPr>
      <w:r w:rsidRPr="004D0DAA">
        <w:t>8.10.5.6</w:t>
      </w:r>
      <w:r w:rsidRPr="004D0DAA">
        <w:rPr>
          <w:rFonts w:ascii="Calibri" w:hAnsi="Calibri"/>
          <w:sz w:val="22"/>
          <w:szCs w:val="22"/>
          <w:lang w:val="en-US"/>
        </w:rPr>
        <w:tab/>
      </w:r>
      <w:r w:rsidRPr="004D0DAA">
        <w:t>MS Behaviour for A/Gb to GAN PS Handover</w:t>
      </w:r>
      <w:r w:rsidRPr="004D0DAA">
        <w:tab/>
      </w:r>
      <w:r w:rsidRPr="004D0DAA">
        <w:fldChar w:fldCharType="begin" w:fldLock="1"/>
      </w:r>
      <w:r w:rsidRPr="004D0DAA">
        <w:instrText xml:space="preserve"> PAGEREF _Toc516669570 \h </w:instrText>
      </w:r>
      <w:r w:rsidRPr="004D0DAA">
        <w:fldChar w:fldCharType="separate"/>
      </w:r>
      <w:r w:rsidRPr="004D0DAA">
        <w:t>195</w:t>
      </w:r>
      <w:r w:rsidRPr="004D0DAA">
        <w:fldChar w:fldCharType="end"/>
      </w:r>
    </w:p>
    <w:p w14:paraId="69867A60" w14:textId="77777777" w:rsidR="00683705" w:rsidRPr="004D0DAA" w:rsidRDefault="00683705">
      <w:pPr>
        <w:pStyle w:val="TOC4"/>
        <w:rPr>
          <w:rFonts w:ascii="Calibri" w:hAnsi="Calibri"/>
          <w:sz w:val="22"/>
          <w:szCs w:val="22"/>
          <w:lang w:val="en-US"/>
        </w:rPr>
      </w:pPr>
      <w:r w:rsidRPr="004D0DAA">
        <w:t>8.10.5.7</w:t>
      </w:r>
      <w:r w:rsidRPr="004D0DAA">
        <w:rPr>
          <w:rFonts w:ascii="Calibri" w:hAnsi="Calibri"/>
          <w:sz w:val="22"/>
          <w:szCs w:val="22"/>
          <w:lang w:val="en-US"/>
        </w:rPr>
        <w:tab/>
      </w:r>
      <w:r w:rsidRPr="004D0DAA">
        <w:t>MS Behaviour for GAN to A/Gb PS Handover</w:t>
      </w:r>
      <w:r w:rsidRPr="004D0DAA">
        <w:tab/>
      </w:r>
      <w:r w:rsidRPr="004D0DAA">
        <w:fldChar w:fldCharType="begin" w:fldLock="1"/>
      </w:r>
      <w:r w:rsidRPr="004D0DAA">
        <w:instrText xml:space="preserve"> PAGEREF _Toc516669571 \h </w:instrText>
      </w:r>
      <w:r w:rsidRPr="004D0DAA">
        <w:fldChar w:fldCharType="separate"/>
      </w:r>
      <w:r w:rsidRPr="004D0DAA">
        <w:t>195</w:t>
      </w:r>
      <w:r w:rsidRPr="004D0DAA">
        <w:fldChar w:fldCharType="end"/>
      </w:r>
    </w:p>
    <w:p w14:paraId="67119F1F" w14:textId="77777777" w:rsidR="00683705" w:rsidRPr="004D0DAA" w:rsidRDefault="00683705">
      <w:pPr>
        <w:pStyle w:val="TOC1"/>
        <w:rPr>
          <w:rFonts w:ascii="Calibri" w:hAnsi="Calibri"/>
          <w:szCs w:val="22"/>
          <w:lang w:val="en-US"/>
        </w:rPr>
      </w:pPr>
      <w:r w:rsidRPr="004D0DAA">
        <w:t>9</w:t>
      </w:r>
      <w:r w:rsidRPr="004D0DAA">
        <w:rPr>
          <w:rFonts w:ascii="Calibri" w:hAnsi="Calibri"/>
          <w:szCs w:val="22"/>
          <w:lang w:val="en-US"/>
        </w:rPr>
        <w:tab/>
      </w:r>
      <w:r w:rsidRPr="004D0DAA">
        <w:t>Radio Link Control (RLC) procedures in packet transfer mode</w:t>
      </w:r>
      <w:r w:rsidRPr="004D0DAA">
        <w:tab/>
      </w:r>
      <w:r w:rsidRPr="004D0DAA">
        <w:fldChar w:fldCharType="begin" w:fldLock="1"/>
      </w:r>
      <w:r w:rsidRPr="004D0DAA">
        <w:instrText xml:space="preserve"> PAGEREF _Toc516669572 \h </w:instrText>
      </w:r>
      <w:r w:rsidRPr="004D0DAA">
        <w:fldChar w:fldCharType="separate"/>
      </w:r>
      <w:r w:rsidRPr="004D0DAA">
        <w:t>196</w:t>
      </w:r>
      <w:r w:rsidRPr="004D0DAA">
        <w:fldChar w:fldCharType="end"/>
      </w:r>
    </w:p>
    <w:p w14:paraId="2A1257D5" w14:textId="77777777" w:rsidR="00683705" w:rsidRPr="004D0DAA" w:rsidRDefault="00683705">
      <w:pPr>
        <w:pStyle w:val="TOC2"/>
        <w:rPr>
          <w:rFonts w:ascii="Calibri" w:hAnsi="Calibri"/>
          <w:sz w:val="22"/>
          <w:szCs w:val="22"/>
          <w:lang w:val="en-US"/>
        </w:rPr>
      </w:pPr>
      <w:r w:rsidRPr="004D0DAA">
        <w:t>9.0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_Toc516669573 \h </w:instrText>
      </w:r>
      <w:r w:rsidRPr="004D0DAA">
        <w:fldChar w:fldCharType="separate"/>
      </w:r>
      <w:r w:rsidRPr="004D0DAA">
        <w:t>196</w:t>
      </w:r>
      <w:r w:rsidRPr="004D0DAA">
        <w:fldChar w:fldCharType="end"/>
      </w:r>
    </w:p>
    <w:p w14:paraId="1CC04B9D" w14:textId="77777777" w:rsidR="00683705" w:rsidRPr="004D0DAA" w:rsidRDefault="00683705">
      <w:pPr>
        <w:pStyle w:val="TOC2"/>
        <w:rPr>
          <w:rFonts w:ascii="Calibri" w:hAnsi="Calibri"/>
          <w:sz w:val="22"/>
          <w:szCs w:val="22"/>
          <w:lang w:val="en-US"/>
        </w:rPr>
      </w:pPr>
      <w:r w:rsidRPr="004D0DAA">
        <w:t>9.1</w:t>
      </w:r>
      <w:r w:rsidRPr="004D0DAA">
        <w:rPr>
          <w:rFonts w:ascii="Calibri" w:hAnsi="Calibri"/>
          <w:sz w:val="22"/>
          <w:szCs w:val="22"/>
          <w:lang w:val="en-US"/>
        </w:rPr>
        <w:tab/>
      </w:r>
      <w:r w:rsidRPr="004D0DAA">
        <w:t>Procedures and parameters for peer-to-peer operation</w:t>
      </w:r>
      <w:r w:rsidRPr="004D0DAA">
        <w:tab/>
      </w:r>
      <w:r w:rsidRPr="004D0DAA">
        <w:fldChar w:fldCharType="begin" w:fldLock="1"/>
      </w:r>
      <w:r w:rsidRPr="004D0DAA">
        <w:instrText xml:space="preserve"> PAGEREF _Toc516669574 \h </w:instrText>
      </w:r>
      <w:r w:rsidRPr="004D0DAA">
        <w:fldChar w:fldCharType="separate"/>
      </w:r>
      <w:r w:rsidRPr="004D0DAA">
        <w:t>197</w:t>
      </w:r>
      <w:r w:rsidRPr="004D0DAA">
        <w:fldChar w:fldCharType="end"/>
      </w:r>
    </w:p>
    <w:p w14:paraId="18219995" w14:textId="77777777" w:rsidR="00683705" w:rsidRPr="004D0DAA" w:rsidRDefault="00683705">
      <w:pPr>
        <w:pStyle w:val="TOC3"/>
        <w:rPr>
          <w:rFonts w:ascii="Calibri" w:hAnsi="Calibri"/>
          <w:sz w:val="22"/>
          <w:szCs w:val="22"/>
          <w:lang w:val="en-US"/>
        </w:rPr>
      </w:pPr>
      <w:r w:rsidRPr="004D0DAA">
        <w:t>9.1.1</w:t>
      </w:r>
      <w:r w:rsidRPr="004D0DAA">
        <w:rPr>
          <w:rFonts w:ascii="Calibri" w:hAnsi="Calibri"/>
          <w:sz w:val="22"/>
          <w:szCs w:val="22"/>
          <w:lang w:val="en-US"/>
        </w:rPr>
        <w:tab/>
      </w:r>
      <w:r w:rsidRPr="004D0DAA">
        <w:t>Send state variable V(S)</w:t>
      </w:r>
      <w:r w:rsidRPr="004D0DAA">
        <w:tab/>
      </w:r>
      <w:r w:rsidRPr="004D0DAA">
        <w:fldChar w:fldCharType="begin" w:fldLock="1"/>
      </w:r>
      <w:r w:rsidRPr="004D0DAA">
        <w:instrText xml:space="preserve"> PAGEREF _Toc516669575 \h </w:instrText>
      </w:r>
      <w:r w:rsidRPr="004D0DAA">
        <w:fldChar w:fldCharType="separate"/>
      </w:r>
      <w:r w:rsidRPr="004D0DAA">
        <w:t>197</w:t>
      </w:r>
      <w:r w:rsidRPr="004D0DAA">
        <w:fldChar w:fldCharType="end"/>
      </w:r>
    </w:p>
    <w:p w14:paraId="5C0DB0E9" w14:textId="77777777" w:rsidR="00683705" w:rsidRPr="004D0DAA" w:rsidRDefault="00683705">
      <w:pPr>
        <w:pStyle w:val="TOC3"/>
        <w:rPr>
          <w:rFonts w:ascii="Calibri" w:hAnsi="Calibri"/>
          <w:sz w:val="22"/>
          <w:szCs w:val="22"/>
          <w:lang w:val="en-US"/>
        </w:rPr>
      </w:pPr>
      <w:r w:rsidRPr="004D0DAA">
        <w:t>9.1.1a</w:t>
      </w:r>
      <w:r w:rsidRPr="004D0DAA">
        <w:rPr>
          <w:rFonts w:ascii="Calibri" w:hAnsi="Calibri"/>
          <w:sz w:val="22"/>
          <w:szCs w:val="22"/>
          <w:lang w:val="en-US"/>
        </w:rPr>
        <w:tab/>
      </w:r>
      <w:r w:rsidRPr="004D0DAA">
        <w:t>Control send state variable V(CS)</w:t>
      </w:r>
      <w:r w:rsidRPr="004D0DAA">
        <w:tab/>
      </w:r>
      <w:r w:rsidRPr="004D0DAA">
        <w:fldChar w:fldCharType="begin" w:fldLock="1"/>
      </w:r>
      <w:r w:rsidRPr="004D0DAA">
        <w:instrText xml:space="preserve"> PAGEREF _Toc516669576 \h </w:instrText>
      </w:r>
      <w:r w:rsidRPr="004D0DAA">
        <w:fldChar w:fldCharType="separate"/>
      </w:r>
      <w:r w:rsidRPr="004D0DAA">
        <w:t>197</w:t>
      </w:r>
      <w:r w:rsidRPr="004D0DAA">
        <w:fldChar w:fldCharType="end"/>
      </w:r>
    </w:p>
    <w:p w14:paraId="1448B4F0" w14:textId="77777777" w:rsidR="00683705" w:rsidRPr="004D0DAA" w:rsidRDefault="00683705">
      <w:pPr>
        <w:pStyle w:val="TOC3"/>
        <w:rPr>
          <w:rFonts w:ascii="Calibri" w:hAnsi="Calibri"/>
          <w:sz w:val="22"/>
          <w:szCs w:val="22"/>
          <w:lang w:val="en-US"/>
        </w:rPr>
      </w:pPr>
      <w:r w:rsidRPr="004D0DAA">
        <w:t>9.1.2</w:t>
      </w:r>
      <w:r w:rsidRPr="004D0DAA">
        <w:rPr>
          <w:rFonts w:ascii="Calibri" w:hAnsi="Calibri"/>
          <w:sz w:val="22"/>
          <w:szCs w:val="22"/>
          <w:lang w:val="en-US"/>
        </w:rPr>
        <w:tab/>
      </w:r>
      <w:r w:rsidRPr="004D0DAA">
        <w:t>Acknowledge state variable V(A)</w:t>
      </w:r>
      <w:r w:rsidRPr="004D0DAA">
        <w:tab/>
      </w:r>
      <w:r w:rsidRPr="004D0DAA">
        <w:fldChar w:fldCharType="begin" w:fldLock="1"/>
      </w:r>
      <w:r w:rsidRPr="004D0DAA">
        <w:instrText xml:space="preserve"> PAGEREF _Toc516669577 \h </w:instrText>
      </w:r>
      <w:r w:rsidRPr="004D0DAA">
        <w:fldChar w:fldCharType="separate"/>
      </w:r>
      <w:r w:rsidRPr="004D0DAA">
        <w:t>198</w:t>
      </w:r>
      <w:r w:rsidRPr="004D0DAA">
        <w:fldChar w:fldCharType="end"/>
      </w:r>
    </w:p>
    <w:p w14:paraId="445209F1" w14:textId="77777777" w:rsidR="00683705" w:rsidRPr="004D0DAA" w:rsidRDefault="00683705">
      <w:pPr>
        <w:pStyle w:val="TOC3"/>
        <w:rPr>
          <w:rFonts w:ascii="Calibri" w:hAnsi="Calibri"/>
          <w:sz w:val="22"/>
          <w:szCs w:val="22"/>
          <w:lang w:val="en-US"/>
        </w:rPr>
      </w:pPr>
      <w:r w:rsidRPr="004D0DAA">
        <w:t>9.1.3</w:t>
      </w:r>
      <w:r w:rsidRPr="004D0DAA">
        <w:rPr>
          <w:rFonts w:ascii="Calibri" w:hAnsi="Calibri"/>
          <w:sz w:val="22"/>
          <w:szCs w:val="22"/>
          <w:lang w:val="en-US"/>
        </w:rPr>
        <w:tab/>
      </w:r>
      <w:r w:rsidRPr="004D0DAA">
        <w:t>Acknowledge state array V(B)</w:t>
      </w:r>
      <w:r w:rsidRPr="004D0DAA">
        <w:tab/>
      </w:r>
      <w:r w:rsidRPr="004D0DAA">
        <w:fldChar w:fldCharType="begin" w:fldLock="1"/>
      </w:r>
      <w:r w:rsidRPr="004D0DAA">
        <w:instrText xml:space="preserve"> PAGEREF _Toc516669578 \h </w:instrText>
      </w:r>
      <w:r w:rsidRPr="004D0DAA">
        <w:fldChar w:fldCharType="separate"/>
      </w:r>
      <w:r w:rsidRPr="004D0DAA">
        <w:t>198</w:t>
      </w:r>
      <w:r w:rsidRPr="004D0DAA">
        <w:fldChar w:fldCharType="end"/>
      </w:r>
    </w:p>
    <w:p w14:paraId="1A544994" w14:textId="77777777" w:rsidR="00683705" w:rsidRPr="004D0DAA" w:rsidRDefault="00683705">
      <w:pPr>
        <w:pStyle w:val="TOC4"/>
        <w:rPr>
          <w:rFonts w:ascii="Calibri" w:hAnsi="Calibri"/>
          <w:sz w:val="22"/>
          <w:szCs w:val="22"/>
          <w:lang w:val="en-US"/>
        </w:rPr>
      </w:pPr>
      <w:r w:rsidRPr="004D0DAA">
        <w:t>9.1.3.1</w:t>
      </w:r>
      <w:r w:rsidRPr="004D0DAA">
        <w:rPr>
          <w:rFonts w:ascii="Calibri" w:hAnsi="Calibri"/>
          <w:sz w:val="22"/>
          <w:szCs w:val="22"/>
          <w:lang w:val="en-US"/>
        </w:rPr>
        <w:tab/>
      </w:r>
      <w:r w:rsidRPr="004D0DAA">
        <w:t>Acknowledge state array V(B) for GPRS TBF Mode</w:t>
      </w:r>
      <w:r w:rsidRPr="004D0DAA">
        <w:tab/>
      </w:r>
      <w:r w:rsidRPr="004D0DAA">
        <w:fldChar w:fldCharType="begin" w:fldLock="1"/>
      </w:r>
      <w:r w:rsidRPr="004D0DAA">
        <w:instrText xml:space="preserve"> PAGEREF _Toc516669579 \h </w:instrText>
      </w:r>
      <w:r w:rsidRPr="004D0DAA">
        <w:fldChar w:fldCharType="separate"/>
      </w:r>
      <w:r w:rsidRPr="004D0DAA">
        <w:t>198</w:t>
      </w:r>
      <w:r w:rsidRPr="004D0DAA">
        <w:fldChar w:fldCharType="end"/>
      </w:r>
    </w:p>
    <w:p w14:paraId="2E97833D" w14:textId="77777777" w:rsidR="00683705" w:rsidRPr="004D0DAA" w:rsidRDefault="00683705">
      <w:pPr>
        <w:pStyle w:val="TOC4"/>
        <w:rPr>
          <w:rFonts w:ascii="Calibri" w:hAnsi="Calibri"/>
          <w:sz w:val="22"/>
          <w:szCs w:val="22"/>
          <w:lang w:val="en-US"/>
        </w:rPr>
      </w:pPr>
      <w:r w:rsidRPr="004D0DAA">
        <w:t>9.1.3.2</w:t>
      </w:r>
      <w:r w:rsidRPr="004D0DAA">
        <w:rPr>
          <w:rFonts w:ascii="Calibri" w:hAnsi="Calibri"/>
          <w:sz w:val="22"/>
          <w:szCs w:val="22"/>
          <w:lang w:val="en-US"/>
        </w:rPr>
        <w:tab/>
      </w:r>
      <w:r w:rsidRPr="004D0DAA">
        <w:t>Acknowledge State Array V(B) for EGPRS TBF Mode</w:t>
      </w:r>
      <w:r w:rsidRPr="004D0DAA">
        <w:tab/>
      </w:r>
      <w:r w:rsidRPr="004D0DAA">
        <w:fldChar w:fldCharType="begin" w:fldLock="1"/>
      </w:r>
      <w:r w:rsidRPr="004D0DAA">
        <w:instrText xml:space="preserve"> PAGEREF _Toc516669580 \h </w:instrText>
      </w:r>
      <w:r w:rsidRPr="004D0DAA">
        <w:fldChar w:fldCharType="separate"/>
      </w:r>
      <w:r w:rsidRPr="004D0DAA">
        <w:t>199</w:t>
      </w:r>
      <w:r w:rsidRPr="004D0DAA">
        <w:fldChar w:fldCharType="end"/>
      </w:r>
    </w:p>
    <w:p w14:paraId="05929826" w14:textId="77777777" w:rsidR="00683705" w:rsidRPr="004D0DAA" w:rsidRDefault="00683705">
      <w:pPr>
        <w:pStyle w:val="TOC5"/>
        <w:rPr>
          <w:rFonts w:ascii="Calibri" w:hAnsi="Calibri"/>
          <w:sz w:val="22"/>
          <w:szCs w:val="22"/>
          <w:lang w:val="en-US"/>
        </w:rPr>
      </w:pPr>
      <w:r w:rsidRPr="004D0DAA">
        <w:t>9.1.3.2.1</w:t>
      </w:r>
      <w:r w:rsidRPr="004D0DAA">
        <w:rPr>
          <w:rFonts w:ascii="Calibri" w:hAnsi="Calibri"/>
          <w:sz w:val="22"/>
          <w:szCs w:val="22"/>
          <w:lang w:val="en-US"/>
        </w:rPr>
        <w:tab/>
      </w:r>
      <w:r w:rsidRPr="004D0DAA">
        <w:t>EGPRS TBF running in RLC acknowledged mode</w:t>
      </w:r>
      <w:r w:rsidRPr="004D0DAA">
        <w:tab/>
      </w:r>
      <w:r w:rsidRPr="004D0DAA">
        <w:fldChar w:fldCharType="begin" w:fldLock="1"/>
      </w:r>
      <w:r w:rsidRPr="004D0DAA">
        <w:instrText xml:space="preserve"> PAGEREF _Toc516669581 \h </w:instrText>
      </w:r>
      <w:r w:rsidRPr="004D0DAA">
        <w:fldChar w:fldCharType="separate"/>
      </w:r>
      <w:r w:rsidRPr="004D0DAA">
        <w:t>199</w:t>
      </w:r>
      <w:r w:rsidRPr="004D0DAA">
        <w:fldChar w:fldCharType="end"/>
      </w:r>
    </w:p>
    <w:p w14:paraId="63E3AD3D" w14:textId="77777777" w:rsidR="00683705" w:rsidRPr="004D0DAA" w:rsidRDefault="00683705">
      <w:pPr>
        <w:pStyle w:val="TOC5"/>
        <w:rPr>
          <w:rFonts w:ascii="Calibri" w:hAnsi="Calibri"/>
          <w:sz w:val="22"/>
          <w:szCs w:val="22"/>
          <w:lang w:val="en-US"/>
        </w:rPr>
      </w:pPr>
      <w:r w:rsidRPr="004D0DAA">
        <w:t>9.1.3.2.2</w:t>
      </w:r>
      <w:r w:rsidRPr="004D0DAA">
        <w:rPr>
          <w:rFonts w:ascii="Calibri" w:hAnsi="Calibri"/>
          <w:sz w:val="22"/>
          <w:szCs w:val="22"/>
          <w:lang w:val="en-US"/>
        </w:rPr>
        <w:tab/>
      </w:r>
      <w:r w:rsidRPr="004D0DAA">
        <w:t>EGPRS TBF running in RLC non-persistent mode</w:t>
      </w:r>
      <w:r w:rsidRPr="004D0DAA">
        <w:tab/>
      </w:r>
      <w:r w:rsidRPr="004D0DAA">
        <w:fldChar w:fldCharType="begin" w:fldLock="1"/>
      </w:r>
      <w:r w:rsidRPr="004D0DAA">
        <w:instrText xml:space="preserve"> PAGEREF _Toc516669582 \h </w:instrText>
      </w:r>
      <w:r w:rsidRPr="004D0DAA">
        <w:fldChar w:fldCharType="separate"/>
      </w:r>
      <w:r w:rsidRPr="004D0DAA">
        <w:t>200</w:t>
      </w:r>
      <w:r w:rsidRPr="004D0DAA">
        <w:fldChar w:fldCharType="end"/>
      </w:r>
    </w:p>
    <w:p w14:paraId="3079E948" w14:textId="77777777" w:rsidR="00683705" w:rsidRPr="004D0DAA" w:rsidRDefault="00683705">
      <w:pPr>
        <w:pStyle w:val="TOC4"/>
        <w:rPr>
          <w:rFonts w:ascii="Calibri" w:hAnsi="Calibri"/>
          <w:sz w:val="22"/>
          <w:szCs w:val="22"/>
          <w:lang w:val="en-US"/>
        </w:rPr>
      </w:pPr>
      <w:r w:rsidRPr="004D0DAA">
        <w:t>9.1.3.3</w:t>
      </w:r>
      <w:r w:rsidRPr="004D0DAA">
        <w:rPr>
          <w:rFonts w:ascii="Calibri" w:hAnsi="Calibri"/>
          <w:sz w:val="22"/>
          <w:szCs w:val="22"/>
          <w:lang w:val="en-US"/>
        </w:rPr>
        <w:tab/>
      </w:r>
      <w:r w:rsidRPr="004D0DAA">
        <w:t>Acknowledge State Array V(B) for MBMS Bearers</w:t>
      </w:r>
      <w:r w:rsidRPr="004D0DAA">
        <w:tab/>
      </w:r>
      <w:r w:rsidRPr="004D0DAA">
        <w:fldChar w:fldCharType="begin" w:fldLock="1"/>
      </w:r>
      <w:r w:rsidRPr="004D0DAA">
        <w:instrText xml:space="preserve"> PAGEREF _Toc516669583 \h </w:instrText>
      </w:r>
      <w:r w:rsidRPr="004D0DAA">
        <w:fldChar w:fldCharType="separate"/>
      </w:r>
      <w:r w:rsidRPr="004D0DAA">
        <w:t>201</w:t>
      </w:r>
      <w:r w:rsidRPr="004D0DAA">
        <w:fldChar w:fldCharType="end"/>
      </w:r>
    </w:p>
    <w:p w14:paraId="4FF74D1E" w14:textId="77777777" w:rsidR="00683705" w:rsidRPr="004D0DAA" w:rsidRDefault="00683705">
      <w:pPr>
        <w:pStyle w:val="TOC4"/>
        <w:rPr>
          <w:rFonts w:ascii="Calibri" w:hAnsi="Calibri"/>
          <w:sz w:val="22"/>
          <w:szCs w:val="22"/>
          <w:lang w:val="en-US"/>
        </w:rPr>
      </w:pPr>
      <w:r w:rsidRPr="004D0DAA">
        <w:t>9.1.3.4</w:t>
      </w:r>
      <w:r w:rsidRPr="004D0DAA">
        <w:rPr>
          <w:rFonts w:ascii="Calibri" w:hAnsi="Calibri"/>
          <w:sz w:val="22"/>
          <w:szCs w:val="22"/>
          <w:lang w:val="en-US"/>
        </w:rPr>
        <w:tab/>
      </w:r>
      <w:r w:rsidRPr="004D0DAA">
        <w:t>Acknowledge State Array V(B) for EC TBF Mode</w:t>
      </w:r>
      <w:r w:rsidRPr="004D0DAA">
        <w:tab/>
      </w:r>
      <w:r w:rsidRPr="004D0DAA">
        <w:fldChar w:fldCharType="begin" w:fldLock="1"/>
      </w:r>
      <w:r w:rsidRPr="004D0DAA">
        <w:instrText xml:space="preserve"> PAGEREF _Toc516669584 \h </w:instrText>
      </w:r>
      <w:r w:rsidRPr="004D0DAA">
        <w:fldChar w:fldCharType="separate"/>
      </w:r>
      <w:r w:rsidRPr="004D0DAA">
        <w:t>201</w:t>
      </w:r>
      <w:r w:rsidRPr="004D0DAA">
        <w:fldChar w:fldCharType="end"/>
      </w:r>
    </w:p>
    <w:p w14:paraId="5D564932" w14:textId="77777777" w:rsidR="00683705" w:rsidRPr="004D0DAA" w:rsidRDefault="00683705">
      <w:pPr>
        <w:pStyle w:val="TOC3"/>
        <w:rPr>
          <w:rFonts w:ascii="Calibri" w:hAnsi="Calibri"/>
          <w:sz w:val="22"/>
          <w:szCs w:val="22"/>
          <w:lang w:val="en-US"/>
        </w:rPr>
      </w:pPr>
      <w:r w:rsidRPr="004D0DAA">
        <w:t>9.1.4</w:t>
      </w:r>
      <w:r w:rsidRPr="004D0DAA">
        <w:rPr>
          <w:rFonts w:ascii="Calibri" w:hAnsi="Calibri"/>
          <w:sz w:val="22"/>
          <w:szCs w:val="22"/>
          <w:lang w:val="en-US"/>
        </w:rPr>
        <w:tab/>
      </w:r>
      <w:r w:rsidRPr="004D0DAA">
        <w:t>Block sequence number BSN</w:t>
      </w:r>
      <w:r w:rsidRPr="004D0DAA">
        <w:tab/>
      </w:r>
      <w:r w:rsidRPr="004D0DAA">
        <w:fldChar w:fldCharType="begin" w:fldLock="1"/>
      </w:r>
      <w:r w:rsidRPr="004D0DAA">
        <w:instrText xml:space="preserve"> PAGEREF _Toc516669585 \h </w:instrText>
      </w:r>
      <w:r w:rsidRPr="004D0DAA">
        <w:fldChar w:fldCharType="separate"/>
      </w:r>
      <w:r w:rsidRPr="004D0DAA">
        <w:t>201</w:t>
      </w:r>
      <w:r w:rsidRPr="004D0DAA">
        <w:fldChar w:fldCharType="end"/>
      </w:r>
    </w:p>
    <w:p w14:paraId="5242E013" w14:textId="77777777" w:rsidR="00683705" w:rsidRPr="004D0DAA" w:rsidRDefault="00683705">
      <w:pPr>
        <w:pStyle w:val="TOC4"/>
        <w:rPr>
          <w:rFonts w:ascii="Calibri" w:hAnsi="Calibri"/>
          <w:sz w:val="22"/>
          <w:szCs w:val="22"/>
          <w:lang w:val="en-US"/>
        </w:rPr>
      </w:pPr>
      <w:r w:rsidRPr="004D0DAA">
        <w:t>9.1.4.1</w:t>
      </w:r>
      <w:r w:rsidRPr="004D0DAA">
        <w:rPr>
          <w:rFonts w:ascii="Calibri" w:hAnsi="Calibri"/>
          <w:sz w:val="22"/>
          <w:szCs w:val="22"/>
          <w:lang w:val="en-US"/>
        </w:rPr>
        <w:tab/>
      </w:r>
      <w:r w:rsidRPr="004D0DAA">
        <w:t>Block sequence number BSN for GPRS TBF</w:t>
      </w:r>
      <w:r w:rsidRPr="004D0DAA">
        <w:tab/>
      </w:r>
      <w:r w:rsidRPr="004D0DAA">
        <w:fldChar w:fldCharType="begin" w:fldLock="1"/>
      </w:r>
      <w:r w:rsidRPr="004D0DAA">
        <w:instrText xml:space="preserve"> PAGEREF _Toc516669586 \h </w:instrText>
      </w:r>
      <w:r w:rsidRPr="004D0DAA">
        <w:fldChar w:fldCharType="separate"/>
      </w:r>
      <w:r w:rsidRPr="004D0DAA">
        <w:t>201</w:t>
      </w:r>
      <w:r w:rsidRPr="004D0DAA">
        <w:fldChar w:fldCharType="end"/>
      </w:r>
    </w:p>
    <w:p w14:paraId="6A9B1BBB" w14:textId="77777777" w:rsidR="00683705" w:rsidRPr="004D0DAA" w:rsidRDefault="00683705">
      <w:pPr>
        <w:pStyle w:val="TOC4"/>
        <w:rPr>
          <w:rFonts w:ascii="Calibri" w:hAnsi="Calibri"/>
          <w:sz w:val="22"/>
          <w:szCs w:val="22"/>
          <w:lang w:val="en-US"/>
        </w:rPr>
      </w:pPr>
      <w:r w:rsidRPr="004D0DAA">
        <w:t>9.1.4.2</w:t>
      </w:r>
      <w:r w:rsidRPr="004D0DAA">
        <w:rPr>
          <w:rFonts w:ascii="Calibri" w:hAnsi="Calibri"/>
          <w:sz w:val="22"/>
          <w:szCs w:val="22"/>
          <w:lang w:val="en-US"/>
        </w:rPr>
        <w:tab/>
      </w:r>
      <w:r w:rsidRPr="004D0DAA">
        <w:t>Block sequence number BSN for EGPRS TBF</w:t>
      </w:r>
      <w:r w:rsidRPr="004D0DAA">
        <w:tab/>
      </w:r>
      <w:r w:rsidRPr="004D0DAA">
        <w:fldChar w:fldCharType="begin" w:fldLock="1"/>
      </w:r>
      <w:r w:rsidRPr="004D0DAA">
        <w:instrText xml:space="preserve"> PAGEREF _Toc516669587 \h </w:instrText>
      </w:r>
      <w:r w:rsidRPr="004D0DAA">
        <w:fldChar w:fldCharType="separate"/>
      </w:r>
      <w:r w:rsidRPr="004D0DAA">
        <w:t>202</w:t>
      </w:r>
      <w:r w:rsidRPr="004D0DAA">
        <w:fldChar w:fldCharType="end"/>
      </w:r>
    </w:p>
    <w:p w14:paraId="5B83C52D" w14:textId="77777777" w:rsidR="00683705" w:rsidRPr="004D0DAA" w:rsidRDefault="00683705">
      <w:pPr>
        <w:pStyle w:val="TOC4"/>
        <w:rPr>
          <w:rFonts w:ascii="Calibri" w:hAnsi="Calibri"/>
          <w:sz w:val="22"/>
          <w:szCs w:val="22"/>
          <w:lang w:val="en-US"/>
        </w:rPr>
      </w:pPr>
      <w:r w:rsidRPr="004D0DAA">
        <w:t>9.1.4.3</w:t>
      </w:r>
      <w:r w:rsidRPr="004D0DAA">
        <w:rPr>
          <w:rFonts w:ascii="Calibri" w:hAnsi="Calibri"/>
          <w:sz w:val="22"/>
          <w:szCs w:val="22"/>
          <w:lang w:val="en-US"/>
        </w:rPr>
        <w:tab/>
      </w:r>
      <w:r w:rsidRPr="004D0DAA">
        <w:t>Block sequence number BSN for EC TBF</w:t>
      </w:r>
      <w:r w:rsidRPr="004D0DAA">
        <w:tab/>
      </w:r>
      <w:r w:rsidRPr="004D0DAA">
        <w:fldChar w:fldCharType="begin" w:fldLock="1"/>
      </w:r>
      <w:r w:rsidRPr="004D0DAA">
        <w:instrText xml:space="preserve"> PAGEREF _Toc516669588 \h </w:instrText>
      </w:r>
      <w:r w:rsidRPr="004D0DAA">
        <w:fldChar w:fldCharType="separate"/>
      </w:r>
      <w:r w:rsidRPr="004D0DAA">
        <w:t>202</w:t>
      </w:r>
      <w:r w:rsidRPr="004D0DAA">
        <w:fldChar w:fldCharType="end"/>
      </w:r>
    </w:p>
    <w:p w14:paraId="69302CEE" w14:textId="77777777" w:rsidR="00683705" w:rsidRPr="004D0DAA" w:rsidRDefault="00683705">
      <w:pPr>
        <w:pStyle w:val="TOC3"/>
        <w:rPr>
          <w:rFonts w:ascii="Calibri" w:hAnsi="Calibri"/>
          <w:sz w:val="22"/>
          <w:szCs w:val="22"/>
          <w:lang w:val="en-US"/>
        </w:rPr>
      </w:pPr>
      <w:r w:rsidRPr="004D0DAA">
        <w:t>9.1.4a</w:t>
      </w:r>
      <w:r w:rsidRPr="004D0DAA">
        <w:rPr>
          <w:rFonts w:ascii="Calibri" w:hAnsi="Calibri"/>
          <w:sz w:val="22"/>
          <w:szCs w:val="22"/>
          <w:lang w:val="en-US"/>
        </w:rPr>
        <w:tab/>
      </w:r>
      <w:r w:rsidRPr="004D0DAA">
        <w:t>Reduced Block Sequence Number RBSN</w:t>
      </w:r>
      <w:r w:rsidRPr="004D0DAA">
        <w:tab/>
      </w:r>
      <w:r w:rsidRPr="004D0DAA">
        <w:fldChar w:fldCharType="begin" w:fldLock="1"/>
      </w:r>
      <w:r w:rsidRPr="004D0DAA">
        <w:instrText xml:space="preserve"> PAGEREF _Toc516669589 \h </w:instrText>
      </w:r>
      <w:r w:rsidRPr="004D0DAA">
        <w:fldChar w:fldCharType="separate"/>
      </w:r>
      <w:r w:rsidRPr="004D0DAA">
        <w:t>202</w:t>
      </w:r>
      <w:r w:rsidRPr="004D0DAA">
        <w:fldChar w:fldCharType="end"/>
      </w:r>
    </w:p>
    <w:p w14:paraId="7838A1A4" w14:textId="77777777" w:rsidR="00683705" w:rsidRPr="004D0DAA" w:rsidRDefault="00683705">
      <w:pPr>
        <w:pStyle w:val="TOC3"/>
        <w:rPr>
          <w:rFonts w:ascii="Calibri" w:hAnsi="Calibri"/>
          <w:sz w:val="22"/>
          <w:szCs w:val="22"/>
          <w:lang w:val="en-US"/>
        </w:rPr>
      </w:pPr>
      <w:r w:rsidRPr="004D0DAA">
        <w:t>9.1.4b</w:t>
      </w:r>
      <w:r w:rsidRPr="004D0DAA">
        <w:rPr>
          <w:rFonts w:ascii="Calibri" w:hAnsi="Calibri"/>
          <w:sz w:val="22"/>
          <w:szCs w:val="22"/>
          <w:lang w:val="en-US"/>
        </w:rPr>
        <w:tab/>
      </w:r>
      <w:r w:rsidRPr="004D0DAA">
        <w:t>Reduced Block Sequence Number extension RBSNe</w:t>
      </w:r>
      <w:r w:rsidRPr="004D0DAA">
        <w:tab/>
      </w:r>
      <w:r w:rsidRPr="004D0DAA">
        <w:fldChar w:fldCharType="begin" w:fldLock="1"/>
      </w:r>
      <w:r w:rsidRPr="004D0DAA">
        <w:instrText xml:space="preserve"> PAGEREF _Toc516669590 \h </w:instrText>
      </w:r>
      <w:r w:rsidRPr="004D0DAA">
        <w:fldChar w:fldCharType="separate"/>
      </w:r>
      <w:r w:rsidRPr="004D0DAA">
        <w:t>202</w:t>
      </w:r>
      <w:r w:rsidRPr="004D0DAA">
        <w:fldChar w:fldCharType="end"/>
      </w:r>
    </w:p>
    <w:p w14:paraId="2F9E0219" w14:textId="77777777" w:rsidR="00683705" w:rsidRPr="004D0DAA" w:rsidRDefault="00683705">
      <w:pPr>
        <w:pStyle w:val="TOC3"/>
        <w:rPr>
          <w:rFonts w:ascii="Calibri" w:hAnsi="Calibri"/>
          <w:sz w:val="22"/>
          <w:szCs w:val="22"/>
          <w:lang w:val="en-US"/>
        </w:rPr>
      </w:pPr>
      <w:r w:rsidRPr="004D0DAA">
        <w:t>9.1.5</w:t>
      </w:r>
      <w:r w:rsidRPr="004D0DAA">
        <w:rPr>
          <w:rFonts w:ascii="Calibri" w:hAnsi="Calibri"/>
          <w:sz w:val="22"/>
          <w:szCs w:val="22"/>
          <w:lang w:val="en-US"/>
        </w:rPr>
        <w:tab/>
      </w:r>
      <w:r w:rsidRPr="004D0DAA">
        <w:t>Receive state variable V(R)</w:t>
      </w:r>
      <w:r w:rsidRPr="004D0DAA">
        <w:tab/>
      </w:r>
      <w:r w:rsidRPr="004D0DAA">
        <w:fldChar w:fldCharType="begin" w:fldLock="1"/>
      </w:r>
      <w:r w:rsidRPr="004D0DAA">
        <w:instrText xml:space="preserve"> PAGEREF _Toc516669591 \h </w:instrText>
      </w:r>
      <w:r w:rsidRPr="004D0DAA">
        <w:fldChar w:fldCharType="separate"/>
      </w:r>
      <w:r w:rsidRPr="004D0DAA">
        <w:t>202</w:t>
      </w:r>
      <w:r w:rsidRPr="004D0DAA">
        <w:fldChar w:fldCharType="end"/>
      </w:r>
    </w:p>
    <w:p w14:paraId="5BC333C0" w14:textId="77777777" w:rsidR="00683705" w:rsidRPr="004D0DAA" w:rsidRDefault="00683705">
      <w:pPr>
        <w:pStyle w:val="TOC3"/>
        <w:rPr>
          <w:rFonts w:ascii="Calibri" w:hAnsi="Calibri"/>
          <w:sz w:val="22"/>
          <w:szCs w:val="22"/>
          <w:lang w:val="en-US"/>
        </w:rPr>
      </w:pPr>
      <w:r w:rsidRPr="004D0DAA">
        <w:t>9.1.6</w:t>
      </w:r>
      <w:r w:rsidRPr="004D0DAA">
        <w:rPr>
          <w:rFonts w:ascii="Calibri" w:hAnsi="Calibri"/>
          <w:sz w:val="22"/>
          <w:szCs w:val="22"/>
          <w:lang w:val="en-US"/>
        </w:rPr>
        <w:tab/>
      </w:r>
      <w:r w:rsidRPr="004D0DAA">
        <w:t>Receive window state variable V(Q)</w:t>
      </w:r>
      <w:r w:rsidRPr="004D0DAA">
        <w:tab/>
      </w:r>
      <w:r w:rsidRPr="004D0DAA">
        <w:fldChar w:fldCharType="begin" w:fldLock="1"/>
      </w:r>
      <w:r w:rsidRPr="004D0DAA">
        <w:instrText xml:space="preserve"> PAGEREF _Toc516669592 \h </w:instrText>
      </w:r>
      <w:r w:rsidRPr="004D0DAA">
        <w:fldChar w:fldCharType="separate"/>
      </w:r>
      <w:r w:rsidRPr="004D0DAA">
        <w:t>202</w:t>
      </w:r>
      <w:r w:rsidRPr="004D0DAA">
        <w:fldChar w:fldCharType="end"/>
      </w:r>
    </w:p>
    <w:p w14:paraId="6AA52F34" w14:textId="77777777" w:rsidR="00683705" w:rsidRPr="004D0DAA" w:rsidRDefault="00683705">
      <w:pPr>
        <w:pStyle w:val="TOC4"/>
        <w:rPr>
          <w:rFonts w:ascii="Calibri" w:hAnsi="Calibri"/>
          <w:sz w:val="22"/>
          <w:szCs w:val="22"/>
          <w:lang w:val="en-US"/>
        </w:rPr>
      </w:pPr>
      <w:r w:rsidRPr="004D0DAA">
        <w:t>9.1.6.1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_Toc516669593 \h </w:instrText>
      </w:r>
      <w:r w:rsidRPr="004D0DAA">
        <w:fldChar w:fldCharType="separate"/>
      </w:r>
      <w:r w:rsidRPr="004D0DAA">
        <w:t>202</w:t>
      </w:r>
      <w:r w:rsidRPr="004D0DAA">
        <w:fldChar w:fldCharType="end"/>
      </w:r>
    </w:p>
    <w:p w14:paraId="5E10D1A7" w14:textId="77777777" w:rsidR="00683705" w:rsidRPr="004D0DAA" w:rsidRDefault="00683705">
      <w:pPr>
        <w:pStyle w:val="TOC4"/>
        <w:rPr>
          <w:rFonts w:ascii="Calibri" w:hAnsi="Calibri"/>
          <w:sz w:val="22"/>
          <w:szCs w:val="22"/>
          <w:lang w:val="en-US"/>
        </w:rPr>
      </w:pPr>
      <w:r w:rsidRPr="004D0DAA">
        <w:t>9.1.6.2</w:t>
      </w:r>
      <w:r w:rsidRPr="004D0DAA">
        <w:rPr>
          <w:rFonts w:ascii="Calibri" w:hAnsi="Calibri"/>
          <w:sz w:val="22"/>
          <w:szCs w:val="22"/>
          <w:lang w:val="en-US"/>
        </w:rPr>
        <w:tab/>
      </w:r>
      <w:r w:rsidRPr="004D0DAA">
        <w:t>RLC acknowledged mode</w:t>
      </w:r>
      <w:r w:rsidRPr="004D0DAA">
        <w:tab/>
      </w:r>
      <w:r w:rsidRPr="004D0DAA">
        <w:fldChar w:fldCharType="begin" w:fldLock="1"/>
      </w:r>
      <w:r w:rsidRPr="004D0DAA">
        <w:instrText xml:space="preserve"> PAGEREF _Toc516669594 \h </w:instrText>
      </w:r>
      <w:r w:rsidRPr="004D0DAA">
        <w:fldChar w:fldCharType="separate"/>
      </w:r>
      <w:r w:rsidRPr="004D0DAA">
        <w:t>202</w:t>
      </w:r>
      <w:r w:rsidRPr="004D0DAA">
        <w:fldChar w:fldCharType="end"/>
      </w:r>
    </w:p>
    <w:p w14:paraId="4647E5DC" w14:textId="77777777" w:rsidR="00683705" w:rsidRPr="004D0DAA" w:rsidRDefault="00683705">
      <w:pPr>
        <w:pStyle w:val="TOC4"/>
        <w:rPr>
          <w:rFonts w:ascii="Calibri" w:hAnsi="Calibri"/>
          <w:sz w:val="22"/>
          <w:szCs w:val="22"/>
          <w:lang w:val="en-US"/>
        </w:rPr>
      </w:pPr>
      <w:r w:rsidRPr="004D0DAA">
        <w:t>9.1.6.3</w:t>
      </w:r>
      <w:r w:rsidRPr="004D0DAA">
        <w:rPr>
          <w:rFonts w:ascii="Calibri" w:hAnsi="Calibri"/>
          <w:sz w:val="22"/>
          <w:szCs w:val="22"/>
          <w:lang w:val="en-US"/>
        </w:rPr>
        <w:tab/>
      </w:r>
      <w:r w:rsidRPr="004D0DAA">
        <w:t>RLC unacknowledged mode</w:t>
      </w:r>
      <w:r w:rsidRPr="004D0DAA">
        <w:tab/>
      </w:r>
      <w:r w:rsidRPr="004D0DAA">
        <w:fldChar w:fldCharType="begin" w:fldLock="1"/>
      </w:r>
      <w:r w:rsidRPr="004D0DAA">
        <w:instrText xml:space="preserve"> PAGEREF _Toc516669595 \h </w:instrText>
      </w:r>
      <w:r w:rsidRPr="004D0DAA">
        <w:fldChar w:fldCharType="separate"/>
      </w:r>
      <w:r w:rsidRPr="004D0DAA">
        <w:t>203</w:t>
      </w:r>
      <w:r w:rsidRPr="004D0DAA">
        <w:fldChar w:fldCharType="end"/>
      </w:r>
    </w:p>
    <w:p w14:paraId="4F49FBDE" w14:textId="77777777" w:rsidR="00683705" w:rsidRPr="004D0DAA" w:rsidRDefault="00683705">
      <w:pPr>
        <w:pStyle w:val="TOC4"/>
        <w:rPr>
          <w:rFonts w:ascii="Calibri" w:hAnsi="Calibri"/>
          <w:sz w:val="22"/>
          <w:szCs w:val="22"/>
          <w:lang w:val="en-US"/>
        </w:rPr>
      </w:pPr>
      <w:r w:rsidRPr="004D0DAA">
        <w:t>9.1.6.4</w:t>
      </w:r>
      <w:r w:rsidRPr="004D0DAA">
        <w:rPr>
          <w:rFonts w:ascii="Calibri" w:hAnsi="Calibri"/>
          <w:sz w:val="22"/>
          <w:szCs w:val="22"/>
          <w:lang w:val="en-US"/>
        </w:rPr>
        <w:tab/>
      </w:r>
      <w:r w:rsidRPr="004D0DAA">
        <w:t>RLC non-persistent mode</w:t>
      </w:r>
      <w:r w:rsidRPr="004D0DAA">
        <w:tab/>
      </w:r>
      <w:r w:rsidRPr="004D0DAA">
        <w:fldChar w:fldCharType="begin" w:fldLock="1"/>
      </w:r>
      <w:r w:rsidRPr="004D0DAA">
        <w:instrText xml:space="preserve"> PAGEREF _Toc516669596 \h </w:instrText>
      </w:r>
      <w:r w:rsidRPr="004D0DAA">
        <w:fldChar w:fldCharType="separate"/>
      </w:r>
      <w:r w:rsidRPr="004D0DAA">
        <w:t>203</w:t>
      </w:r>
      <w:r w:rsidRPr="004D0DAA">
        <w:fldChar w:fldCharType="end"/>
      </w:r>
    </w:p>
    <w:p w14:paraId="64505068" w14:textId="77777777" w:rsidR="00683705" w:rsidRPr="004D0DAA" w:rsidRDefault="00683705">
      <w:pPr>
        <w:pStyle w:val="TOC3"/>
        <w:rPr>
          <w:rFonts w:ascii="Calibri" w:hAnsi="Calibri"/>
          <w:sz w:val="22"/>
          <w:szCs w:val="22"/>
          <w:lang w:val="en-US"/>
        </w:rPr>
      </w:pPr>
      <w:r w:rsidRPr="004D0DAA">
        <w:t>9.1.7</w:t>
      </w:r>
      <w:r w:rsidRPr="004D0DAA">
        <w:rPr>
          <w:rFonts w:ascii="Calibri" w:hAnsi="Calibri"/>
          <w:sz w:val="22"/>
          <w:szCs w:val="22"/>
          <w:lang w:val="en-US"/>
        </w:rPr>
        <w:tab/>
      </w:r>
      <w:r w:rsidRPr="004D0DAA">
        <w:t>Receive state array V(N)</w:t>
      </w:r>
      <w:r w:rsidRPr="004D0DAA">
        <w:tab/>
      </w:r>
      <w:r w:rsidRPr="004D0DAA">
        <w:fldChar w:fldCharType="begin" w:fldLock="1"/>
      </w:r>
      <w:r w:rsidRPr="004D0DAA">
        <w:instrText xml:space="preserve"> PAGEREF _Toc516669597 \h </w:instrText>
      </w:r>
      <w:r w:rsidRPr="004D0DAA">
        <w:fldChar w:fldCharType="separate"/>
      </w:r>
      <w:r w:rsidRPr="004D0DAA">
        <w:t>203</w:t>
      </w:r>
      <w:r w:rsidRPr="004D0DAA">
        <w:fldChar w:fldCharType="end"/>
      </w:r>
    </w:p>
    <w:p w14:paraId="7829A109" w14:textId="77777777" w:rsidR="00683705" w:rsidRPr="004D0DAA" w:rsidRDefault="00683705">
      <w:pPr>
        <w:pStyle w:val="TOC4"/>
        <w:rPr>
          <w:rFonts w:ascii="Calibri" w:hAnsi="Calibri"/>
          <w:sz w:val="22"/>
          <w:szCs w:val="22"/>
          <w:lang w:val="en-US"/>
        </w:rPr>
      </w:pPr>
      <w:r w:rsidRPr="004D0DAA">
        <w:t>9.1.7.1</w:t>
      </w:r>
      <w:r w:rsidRPr="004D0DAA">
        <w:rPr>
          <w:rFonts w:ascii="Calibri" w:hAnsi="Calibri"/>
          <w:sz w:val="22"/>
          <w:szCs w:val="22"/>
          <w:lang w:val="en-US"/>
        </w:rPr>
        <w:tab/>
      </w:r>
      <w:r w:rsidRPr="004D0DAA">
        <w:t>Receive state array V(N) in GPRS TBF</w:t>
      </w:r>
      <w:r w:rsidRPr="004D0DAA">
        <w:tab/>
      </w:r>
      <w:r w:rsidRPr="004D0DAA">
        <w:fldChar w:fldCharType="begin" w:fldLock="1"/>
      </w:r>
      <w:r w:rsidRPr="004D0DAA">
        <w:instrText xml:space="preserve"> PAGEREF _Toc516669598 \h </w:instrText>
      </w:r>
      <w:r w:rsidRPr="004D0DAA">
        <w:fldChar w:fldCharType="separate"/>
      </w:r>
      <w:r w:rsidRPr="004D0DAA">
        <w:t>203</w:t>
      </w:r>
      <w:r w:rsidRPr="004D0DAA">
        <w:fldChar w:fldCharType="end"/>
      </w:r>
    </w:p>
    <w:p w14:paraId="7013CEC0" w14:textId="77777777" w:rsidR="00683705" w:rsidRPr="004D0DAA" w:rsidRDefault="00683705">
      <w:pPr>
        <w:pStyle w:val="TOC4"/>
        <w:rPr>
          <w:rFonts w:ascii="Calibri" w:hAnsi="Calibri"/>
          <w:sz w:val="22"/>
          <w:szCs w:val="22"/>
          <w:lang w:val="en-US"/>
        </w:rPr>
      </w:pPr>
      <w:r w:rsidRPr="004D0DAA">
        <w:t>9.1.7.2</w:t>
      </w:r>
      <w:r w:rsidRPr="004D0DAA">
        <w:rPr>
          <w:rFonts w:ascii="Calibri" w:hAnsi="Calibri"/>
          <w:sz w:val="22"/>
          <w:szCs w:val="22"/>
          <w:lang w:val="en-US"/>
        </w:rPr>
        <w:tab/>
      </w:r>
      <w:r w:rsidRPr="004D0DAA">
        <w:t>Receive state array V(N) in EGPRS TBF</w:t>
      </w:r>
      <w:r w:rsidRPr="004D0DAA">
        <w:tab/>
      </w:r>
      <w:r w:rsidRPr="004D0DAA">
        <w:fldChar w:fldCharType="begin" w:fldLock="1"/>
      </w:r>
      <w:r w:rsidRPr="004D0DAA">
        <w:instrText xml:space="preserve"> PAGEREF _Toc516669599 \h </w:instrText>
      </w:r>
      <w:r w:rsidRPr="004D0DAA">
        <w:fldChar w:fldCharType="separate"/>
      </w:r>
      <w:r w:rsidRPr="004D0DAA">
        <w:t>203</w:t>
      </w:r>
      <w:r w:rsidRPr="004D0DAA">
        <w:fldChar w:fldCharType="end"/>
      </w:r>
    </w:p>
    <w:p w14:paraId="42EF9EF3" w14:textId="77777777" w:rsidR="00683705" w:rsidRPr="004D0DAA" w:rsidRDefault="00683705">
      <w:pPr>
        <w:pStyle w:val="TOC4"/>
        <w:rPr>
          <w:rFonts w:ascii="Calibri" w:hAnsi="Calibri"/>
          <w:sz w:val="22"/>
          <w:szCs w:val="22"/>
          <w:lang w:val="en-US"/>
        </w:rPr>
      </w:pPr>
      <w:r w:rsidRPr="004D0DAA">
        <w:t>9.1.7.3</w:t>
      </w:r>
      <w:r w:rsidRPr="004D0DAA">
        <w:rPr>
          <w:rFonts w:ascii="Calibri" w:hAnsi="Calibri"/>
          <w:sz w:val="22"/>
          <w:szCs w:val="22"/>
          <w:lang w:val="en-US"/>
        </w:rPr>
        <w:tab/>
      </w:r>
      <w:r w:rsidRPr="004D0DAA">
        <w:t>Receive state array V(N) in TBF</w:t>
      </w:r>
      <w:r w:rsidRPr="004D0DAA">
        <w:rPr>
          <w:lang w:eastAsia="ko-KR"/>
        </w:rPr>
        <w:t xml:space="preserve"> with FANR activated</w:t>
      </w:r>
      <w:r w:rsidRPr="004D0DAA">
        <w:tab/>
      </w:r>
      <w:r w:rsidRPr="004D0DAA">
        <w:fldChar w:fldCharType="begin" w:fldLock="1"/>
      </w:r>
      <w:r w:rsidRPr="004D0DAA">
        <w:instrText xml:space="preserve"> PAGEREF _Toc516669600 \h </w:instrText>
      </w:r>
      <w:r w:rsidRPr="004D0DAA">
        <w:fldChar w:fldCharType="separate"/>
      </w:r>
      <w:r w:rsidRPr="004D0DAA">
        <w:t>204</w:t>
      </w:r>
      <w:r w:rsidRPr="004D0DAA">
        <w:fldChar w:fldCharType="end"/>
      </w:r>
    </w:p>
    <w:p w14:paraId="7DB1AC36" w14:textId="77777777" w:rsidR="00683705" w:rsidRPr="004D0DAA" w:rsidRDefault="00683705">
      <w:pPr>
        <w:pStyle w:val="TOC4"/>
        <w:rPr>
          <w:rFonts w:ascii="Calibri" w:hAnsi="Calibri"/>
          <w:sz w:val="22"/>
          <w:szCs w:val="22"/>
          <w:lang w:val="en-US"/>
        </w:rPr>
      </w:pPr>
      <w:r w:rsidRPr="004D0DAA">
        <w:t>9.1.7.4</w:t>
      </w:r>
      <w:r w:rsidRPr="004D0DAA">
        <w:rPr>
          <w:rFonts w:ascii="Calibri" w:hAnsi="Calibri"/>
          <w:sz w:val="22"/>
          <w:szCs w:val="22"/>
          <w:lang w:val="en-US"/>
        </w:rPr>
        <w:tab/>
      </w:r>
      <w:r w:rsidRPr="004D0DAA">
        <w:t>Receive state array V(N) in EC TBF</w:t>
      </w:r>
      <w:r w:rsidRPr="004D0DAA">
        <w:tab/>
      </w:r>
      <w:r w:rsidRPr="004D0DAA">
        <w:fldChar w:fldCharType="begin" w:fldLock="1"/>
      </w:r>
      <w:r w:rsidRPr="004D0DAA">
        <w:instrText xml:space="preserve"> PAGEREF _Toc516669601 \h </w:instrText>
      </w:r>
      <w:r w:rsidRPr="004D0DAA">
        <w:fldChar w:fldCharType="separate"/>
      </w:r>
      <w:r w:rsidRPr="004D0DAA">
        <w:t>204</w:t>
      </w:r>
      <w:r w:rsidRPr="004D0DAA">
        <w:fldChar w:fldCharType="end"/>
      </w:r>
    </w:p>
    <w:p w14:paraId="24288EF4" w14:textId="77777777" w:rsidR="00683705" w:rsidRPr="004D0DAA" w:rsidRDefault="00683705">
      <w:pPr>
        <w:pStyle w:val="TOC3"/>
        <w:rPr>
          <w:rFonts w:ascii="Calibri" w:hAnsi="Calibri"/>
          <w:sz w:val="22"/>
          <w:szCs w:val="22"/>
          <w:lang w:val="en-US"/>
        </w:rPr>
      </w:pPr>
      <w:r w:rsidRPr="004D0DAA">
        <w:t>9.1.8</w:t>
      </w:r>
      <w:r w:rsidRPr="004D0DAA">
        <w:rPr>
          <w:rFonts w:ascii="Calibri" w:hAnsi="Calibri"/>
          <w:sz w:val="22"/>
          <w:szCs w:val="22"/>
          <w:lang w:val="en-US"/>
        </w:rPr>
        <w:tab/>
      </w:r>
      <w:r w:rsidRPr="004D0DAA">
        <w:t>Starting sequence number (SSN) and received block bitmap (RBB)</w:t>
      </w:r>
      <w:r w:rsidRPr="004D0DAA">
        <w:tab/>
      </w:r>
      <w:r w:rsidRPr="004D0DAA">
        <w:fldChar w:fldCharType="begin" w:fldLock="1"/>
      </w:r>
      <w:r w:rsidRPr="004D0DAA">
        <w:instrText xml:space="preserve"> PAGEREF _Toc516669602 \h </w:instrText>
      </w:r>
      <w:r w:rsidRPr="004D0DAA">
        <w:fldChar w:fldCharType="separate"/>
      </w:r>
      <w:r w:rsidRPr="004D0DAA">
        <w:t>204</w:t>
      </w:r>
      <w:r w:rsidRPr="004D0DAA">
        <w:fldChar w:fldCharType="end"/>
      </w:r>
    </w:p>
    <w:p w14:paraId="4300D984" w14:textId="77777777" w:rsidR="00683705" w:rsidRPr="004D0DAA" w:rsidRDefault="00683705">
      <w:pPr>
        <w:pStyle w:val="TOC4"/>
        <w:rPr>
          <w:rFonts w:ascii="Calibri" w:hAnsi="Calibri"/>
          <w:sz w:val="22"/>
          <w:szCs w:val="22"/>
          <w:lang w:val="en-US"/>
        </w:rPr>
      </w:pPr>
      <w:r w:rsidRPr="004D0DAA">
        <w:t>9.1.8.1</w:t>
      </w:r>
      <w:r w:rsidRPr="004D0DAA">
        <w:rPr>
          <w:rFonts w:ascii="Calibri" w:hAnsi="Calibri"/>
          <w:sz w:val="22"/>
          <w:szCs w:val="22"/>
          <w:lang w:val="en-US"/>
        </w:rPr>
        <w:tab/>
      </w:r>
      <w:r w:rsidRPr="004D0DAA">
        <w:t>Starting sequence number (SSN) and received block bitmap (RBB) in GPRS TBF</w:t>
      </w:r>
      <w:r w:rsidRPr="004D0DAA">
        <w:tab/>
      </w:r>
      <w:r w:rsidRPr="004D0DAA">
        <w:fldChar w:fldCharType="begin" w:fldLock="1"/>
      </w:r>
      <w:r w:rsidRPr="004D0DAA">
        <w:instrText xml:space="preserve"> PAGEREF _Toc516669603 \h </w:instrText>
      </w:r>
      <w:r w:rsidRPr="004D0DAA">
        <w:fldChar w:fldCharType="separate"/>
      </w:r>
      <w:r w:rsidRPr="004D0DAA">
        <w:t>204</w:t>
      </w:r>
      <w:r w:rsidRPr="004D0DAA">
        <w:fldChar w:fldCharType="end"/>
      </w:r>
    </w:p>
    <w:p w14:paraId="12A5839C" w14:textId="77777777" w:rsidR="00683705" w:rsidRPr="004D0DAA" w:rsidRDefault="00683705">
      <w:pPr>
        <w:pStyle w:val="TOC4"/>
        <w:rPr>
          <w:rFonts w:ascii="Calibri" w:hAnsi="Calibri"/>
          <w:sz w:val="22"/>
          <w:szCs w:val="22"/>
          <w:lang w:val="en-US"/>
        </w:rPr>
      </w:pPr>
      <w:r w:rsidRPr="004D0DAA">
        <w:lastRenderedPageBreak/>
        <w:t>9.1.8.2</w:t>
      </w:r>
      <w:r w:rsidRPr="004D0DAA">
        <w:rPr>
          <w:rFonts w:ascii="Calibri" w:hAnsi="Calibri"/>
          <w:sz w:val="22"/>
          <w:szCs w:val="22"/>
          <w:lang w:val="en-US"/>
        </w:rPr>
        <w:tab/>
      </w:r>
      <w:r w:rsidRPr="004D0DAA">
        <w:t>Starting sequence number (SSN) and received block bitmap (RBB) in EGPRS TBF</w:t>
      </w:r>
      <w:r w:rsidRPr="004D0DAA">
        <w:tab/>
      </w:r>
      <w:r w:rsidRPr="004D0DAA">
        <w:fldChar w:fldCharType="begin" w:fldLock="1"/>
      </w:r>
      <w:r w:rsidRPr="004D0DAA">
        <w:instrText xml:space="preserve"> PAGEREF _Toc516669604 \h </w:instrText>
      </w:r>
      <w:r w:rsidRPr="004D0DAA">
        <w:fldChar w:fldCharType="separate"/>
      </w:r>
      <w:r w:rsidRPr="004D0DAA">
        <w:t>205</w:t>
      </w:r>
      <w:r w:rsidRPr="004D0DAA">
        <w:fldChar w:fldCharType="end"/>
      </w:r>
    </w:p>
    <w:p w14:paraId="72B6A54D" w14:textId="77777777" w:rsidR="00683705" w:rsidRPr="004D0DAA" w:rsidRDefault="00683705">
      <w:pPr>
        <w:pStyle w:val="TOC5"/>
        <w:rPr>
          <w:rFonts w:ascii="Calibri" w:hAnsi="Calibri"/>
          <w:sz w:val="22"/>
          <w:szCs w:val="22"/>
          <w:lang w:val="en-US"/>
        </w:rPr>
      </w:pPr>
      <w:r w:rsidRPr="004D0DAA">
        <w:t>9.1.8.2.1</w:t>
      </w:r>
      <w:r w:rsidRPr="004D0DAA">
        <w:rPr>
          <w:rFonts w:ascii="Calibri" w:hAnsi="Calibri"/>
          <w:sz w:val="22"/>
          <w:szCs w:val="22"/>
          <w:lang w:val="en-US"/>
        </w:rPr>
        <w:tab/>
      </w:r>
      <w:r w:rsidRPr="004D0DAA">
        <w:t>Extended Polling</w:t>
      </w:r>
      <w:r w:rsidRPr="004D0DAA">
        <w:tab/>
      </w:r>
      <w:r w:rsidRPr="004D0DAA">
        <w:fldChar w:fldCharType="begin" w:fldLock="1"/>
      </w:r>
      <w:r w:rsidRPr="004D0DAA">
        <w:instrText xml:space="preserve"> PAGEREF _Toc516669605 \h </w:instrText>
      </w:r>
      <w:r w:rsidRPr="004D0DAA">
        <w:fldChar w:fldCharType="separate"/>
      </w:r>
      <w:r w:rsidRPr="004D0DAA">
        <w:t>206</w:t>
      </w:r>
      <w:r w:rsidRPr="004D0DAA">
        <w:fldChar w:fldCharType="end"/>
      </w:r>
    </w:p>
    <w:p w14:paraId="63F06C90" w14:textId="77777777" w:rsidR="00683705" w:rsidRPr="004D0DAA" w:rsidRDefault="00683705">
      <w:pPr>
        <w:pStyle w:val="TOC5"/>
        <w:rPr>
          <w:rFonts w:ascii="Calibri" w:hAnsi="Calibri"/>
          <w:sz w:val="22"/>
          <w:szCs w:val="22"/>
          <w:lang w:val="en-US"/>
        </w:rPr>
      </w:pPr>
      <w:r w:rsidRPr="004D0DAA">
        <w:t>9.1.8.2.2</w:t>
      </w:r>
      <w:r w:rsidRPr="004D0DAA">
        <w:rPr>
          <w:rFonts w:ascii="Calibri" w:hAnsi="Calibri"/>
          <w:sz w:val="22"/>
          <w:szCs w:val="22"/>
          <w:lang w:val="en-US"/>
        </w:rPr>
        <w:tab/>
      </w:r>
      <w:r w:rsidRPr="004D0DAA">
        <w:t>Determination of SSN</w:t>
      </w:r>
      <w:r w:rsidRPr="004D0DAA">
        <w:tab/>
      </w:r>
      <w:r w:rsidRPr="004D0DAA">
        <w:fldChar w:fldCharType="begin" w:fldLock="1"/>
      </w:r>
      <w:r w:rsidRPr="004D0DAA">
        <w:instrText xml:space="preserve"> PAGEREF _Toc516669606 \h </w:instrText>
      </w:r>
      <w:r w:rsidRPr="004D0DAA">
        <w:fldChar w:fldCharType="separate"/>
      </w:r>
      <w:r w:rsidRPr="004D0DAA">
        <w:t>208</w:t>
      </w:r>
      <w:r w:rsidRPr="004D0DAA">
        <w:fldChar w:fldCharType="end"/>
      </w:r>
    </w:p>
    <w:p w14:paraId="1981B83E" w14:textId="77777777" w:rsidR="00683705" w:rsidRPr="004D0DAA" w:rsidRDefault="00683705">
      <w:pPr>
        <w:pStyle w:val="TOC5"/>
        <w:rPr>
          <w:rFonts w:ascii="Calibri" w:hAnsi="Calibri"/>
          <w:sz w:val="22"/>
          <w:szCs w:val="22"/>
          <w:lang w:val="en-US"/>
        </w:rPr>
      </w:pPr>
      <w:r w:rsidRPr="004D0DAA">
        <w:t>9.1.8.2.2a</w:t>
      </w:r>
      <w:r w:rsidRPr="004D0DAA">
        <w:rPr>
          <w:rFonts w:ascii="Calibri" w:hAnsi="Calibri"/>
          <w:sz w:val="22"/>
          <w:szCs w:val="22"/>
          <w:lang w:val="en-US"/>
        </w:rPr>
        <w:tab/>
      </w:r>
      <w:r w:rsidRPr="004D0DAA">
        <w:t>Determination of ShortSSN and SSN in the Piggy-backed Ack/Nack field</w:t>
      </w:r>
      <w:r w:rsidRPr="004D0DAA">
        <w:tab/>
      </w:r>
      <w:r w:rsidRPr="004D0DAA">
        <w:fldChar w:fldCharType="begin" w:fldLock="1"/>
      </w:r>
      <w:r w:rsidRPr="004D0DAA">
        <w:instrText xml:space="preserve"> PAGEREF _Toc516669607 \h </w:instrText>
      </w:r>
      <w:r w:rsidRPr="004D0DAA">
        <w:fldChar w:fldCharType="separate"/>
      </w:r>
      <w:r w:rsidRPr="004D0DAA">
        <w:t>210</w:t>
      </w:r>
      <w:r w:rsidRPr="004D0DAA">
        <w:fldChar w:fldCharType="end"/>
      </w:r>
    </w:p>
    <w:p w14:paraId="2085D387" w14:textId="77777777" w:rsidR="00683705" w:rsidRPr="004D0DAA" w:rsidRDefault="00683705">
      <w:pPr>
        <w:pStyle w:val="TOC5"/>
        <w:rPr>
          <w:rFonts w:ascii="Calibri" w:hAnsi="Calibri"/>
          <w:sz w:val="22"/>
          <w:szCs w:val="22"/>
          <w:lang w:val="en-US"/>
        </w:rPr>
      </w:pPr>
      <w:r w:rsidRPr="004D0DAA">
        <w:t>9.1.8.2.3</w:t>
      </w:r>
      <w:r w:rsidRPr="004D0DAA">
        <w:rPr>
          <w:rFonts w:ascii="Calibri" w:hAnsi="Calibri"/>
          <w:sz w:val="22"/>
          <w:szCs w:val="22"/>
          <w:lang w:val="en-US"/>
        </w:rPr>
        <w:tab/>
      </w:r>
      <w:r w:rsidRPr="004D0DAA">
        <w:t>Generation of the bitmap</w:t>
      </w:r>
      <w:r w:rsidRPr="004D0DAA">
        <w:tab/>
      </w:r>
      <w:r w:rsidRPr="004D0DAA">
        <w:fldChar w:fldCharType="begin" w:fldLock="1"/>
      </w:r>
      <w:r w:rsidRPr="004D0DAA">
        <w:instrText xml:space="preserve"> PAGEREF _Toc516669608 \h </w:instrText>
      </w:r>
      <w:r w:rsidRPr="004D0DAA">
        <w:fldChar w:fldCharType="separate"/>
      </w:r>
      <w:r w:rsidRPr="004D0DAA">
        <w:t>210</w:t>
      </w:r>
      <w:r w:rsidRPr="004D0DAA">
        <w:fldChar w:fldCharType="end"/>
      </w:r>
    </w:p>
    <w:p w14:paraId="4910B3F0" w14:textId="77777777" w:rsidR="00683705" w:rsidRPr="004D0DAA" w:rsidRDefault="00683705">
      <w:pPr>
        <w:pStyle w:val="TOC4"/>
        <w:rPr>
          <w:rFonts w:ascii="Calibri" w:hAnsi="Calibri"/>
          <w:sz w:val="22"/>
          <w:szCs w:val="22"/>
          <w:lang w:val="en-US"/>
        </w:rPr>
      </w:pPr>
      <w:r w:rsidRPr="004D0DAA">
        <w:t>9.1.8.2.4</w:t>
      </w:r>
      <w:r w:rsidRPr="004D0DAA">
        <w:rPr>
          <w:rFonts w:ascii="Calibri" w:hAnsi="Calibri"/>
          <w:sz w:val="22"/>
          <w:szCs w:val="22"/>
          <w:lang w:val="en-US"/>
        </w:rPr>
        <w:tab/>
      </w:r>
      <w:r w:rsidRPr="004D0DAA">
        <w:t>Interpretation of the bitmap</w:t>
      </w:r>
      <w:r w:rsidRPr="004D0DAA">
        <w:tab/>
      </w:r>
      <w:r w:rsidRPr="004D0DAA">
        <w:fldChar w:fldCharType="begin" w:fldLock="1"/>
      </w:r>
      <w:r w:rsidRPr="004D0DAA">
        <w:instrText xml:space="preserve"> PAGEREF _Toc516669609 \h </w:instrText>
      </w:r>
      <w:r w:rsidRPr="004D0DAA">
        <w:fldChar w:fldCharType="separate"/>
      </w:r>
      <w:r w:rsidRPr="004D0DAA">
        <w:t>212</w:t>
      </w:r>
      <w:r w:rsidRPr="004D0DAA">
        <w:fldChar w:fldCharType="end"/>
      </w:r>
    </w:p>
    <w:p w14:paraId="20D3EC7C" w14:textId="77777777" w:rsidR="00683705" w:rsidRPr="004D0DAA" w:rsidRDefault="00683705">
      <w:pPr>
        <w:pStyle w:val="TOC4"/>
        <w:rPr>
          <w:rFonts w:ascii="Calibri" w:hAnsi="Calibri"/>
          <w:sz w:val="22"/>
          <w:szCs w:val="22"/>
          <w:lang w:val="en-US"/>
        </w:rPr>
      </w:pPr>
      <w:r w:rsidRPr="004D0DAA">
        <w:t>9.1.8.3</w:t>
      </w:r>
      <w:r w:rsidRPr="004D0DAA">
        <w:rPr>
          <w:rFonts w:ascii="Calibri" w:hAnsi="Calibri"/>
          <w:sz w:val="22"/>
          <w:szCs w:val="22"/>
          <w:lang w:val="en-US"/>
        </w:rPr>
        <w:tab/>
      </w:r>
      <w:r w:rsidRPr="004D0DAA">
        <w:t>Starting sequence number (SSN) and received block bitmap (RBB) in EC TBF</w:t>
      </w:r>
      <w:r w:rsidRPr="004D0DAA">
        <w:tab/>
      </w:r>
      <w:r w:rsidRPr="004D0DAA">
        <w:fldChar w:fldCharType="begin" w:fldLock="1"/>
      </w:r>
      <w:r w:rsidRPr="004D0DAA">
        <w:instrText xml:space="preserve"> PAGEREF _Toc516669610 \h </w:instrText>
      </w:r>
      <w:r w:rsidRPr="004D0DAA">
        <w:fldChar w:fldCharType="separate"/>
      </w:r>
      <w:r w:rsidRPr="004D0DAA">
        <w:t>213</w:t>
      </w:r>
      <w:r w:rsidRPr="004D0DAA">
        <w:fldChar w:fldCharType="end"/>
      </w:r>
    </w:p>
    <w:p w14:paraId="7D2412E8" w14:textId="77777777" w:rsidR="00683705" w:rsidRPr="004D0DAA" w:rsidRDefault="00683705">
      <w:pPr>
        <w:pStyle w:val="TOC3"/>
        <w:rPr>
          <w:rFonts w:ascii="Calibri" w:hAnsi="Calibri"/>
          <w:sz w:val="22"/>
          <w:szCs w:val="22"/>
          <w:lang w:val="en-US"/>
        </w:rPr>
      </w:pPr>
      <w:r w:rsidRPr="004D0DAA">
        <w:t>9.1.9</w:t>
      </w:r>
      <w:r w:rsidRPr="004D0DAA">
        <w:rPr>
          <w:rFonts w:ascii="Calibri" w:hAnsi="Calibri"/>
          <w:sz w:val="22"/>
          <w:szCs w:val="22"/>
          <w:lang w:val="en-US"/>
        </w:rPr>
        <w:tab/>
      </w:r>
      <w:r w:rsidRPr="004D0DAA">
        <w:t>Window Size</w:t>
      </w:r>
      <w:r w:rsidRPr="004D0DAA">
        <w:tab/>
      </w:r>
      <w:r w:rsidRPr="004D0DAA">
        <w:fldChar w:fldCharType="begin" w:fldLock="1"/>
      </w:r>
      <w:r w:rsidRPr="004D0DAA">
        <w:instrText xml:space="preserve"> PAGEREF _Toc516669611 \h </w:instrText>
      </w:r>
      <w:r w:rsidRPr="004D0DAA">
        <w:fldChar w:fldCharType="separate"/>
      </w:r>
      <w:r w:rsidRPr="004D0DAA">
        <w:t>213</w:t>
      </w:r>
      <w:r w:rsidRPr="004D0DAA">
        <w:fldChar w:fldCharType="end"/>
      </w:r>
    </w:p>
    <w:p w14:paraId="6BF64185" w14:textId="77777777" w:rsidR="00683705" w:rsidRPr="004D0DAA" w:rsidRDefault="00683705">
      <w:pPr>
        <w:pStyle w:val="TOC4"/>
        <w:rPr>
          <w:rFonts w:ascii="Calibri" w:hAnsi="Calibri"/>
          <w:sz w:val="22"/>
          <w:szCs w:val="22"/>
          <w:lang w:val="en-US"/>
        </w:rPr>
      </w:pPr>
      <w:r w:rsidRPr="004D0DAA">
        <w:t>9.1.9.1</w:t>
      </w:r>
      <w:r w:rsidRPr="004D0DAA">
        <w:rPr>
          <w:rFonts w:ascii="Calibri" w:hAnsi="Calibri"/>
          <w:sz w:val="22"/>
          <w:szCs w:val="22"/>
          <w:lang w:val="en-US"/>
        </w:rPr>
        <w:tab/>
      </w:r>
      <w:r w:rsidRPr="004D0DAA">
        <w:t>GPRS</w:t>
      </w:r>
      <w:r w:rsidRPr="004D0DAA">
        <w:tab/>
      </w:r>
      <w:r w:rsidRPr="004D0DAA">
        <w:fldChar w:fldCharType="begin" w:fldLock="1"/>
      </w:r>
      <w:r w:rsidRPr="004D0DAA">
        <w:instrText xml:space="preserve"> PAGEREF _Toc516669612 \h </w:instrText>
      </w:r>
      <w:r w:rsidRPr="004D0DAA">
        <w:fldChar w:fldCharType="separate"/>
      </w:r>
      <w:r w:rsidRPr="004D0DAA">
        <w:t>213</w:t>
      </w:r>
      <w:r w:rsidRPr="004D0DAA">
        <w:fldChar w:fldCharType="end"/>
      </w:r>
    </w:p>
    <w:p w14:paraId="613C733E" w14:textId="77777777" w:rsidR="00683705" w:rsidRPr="004D0DAA" w:rsidRDefault="00683705">
      <w:pPr>
        <w:pStyle w:val="TOC4"/>
        <w:rPr>
          <w:rFonts w:ascii="Calibri" w:hAnsi="Calibri"/>
          <w:sz w:val="22"/>
          <w:szCs w:val="22"/>
          <w:lang w:val="en-US"/>
        </w:rPr>
      </w:pPr>
      <w:r w:rsidRPr="004D0DAA">
        <w:t>9.1.9.2</w:t>
      </w:r>
      <w:r w:rsidRPr="004D0DAA">
        <w:rPr>
          <w:rFonts w:ascii="Calibri" w:hAnsi="Calibri"/>
          <w:sz w:val="22"/>
          <w:szCs w:val="22"/>
          <w:lang w:val="en-US"/>
        </w:rPr>
        <w:tab/>
      </w:r>
      <w:r w:rsidRPr="004D0DAA">
        <w:t>EGPRS</w:t>
      </w:r>
      <w:r w:rsidRPr="004D0DAA">
        <w:tab/>
      </w:r>
      <w:r w:rsidRPr="004D0DAA">
        <w:fldChar w:fldCharType="begin" w:fldLock="1"/>
      </w:r>
      <w:r w:rsidRPr="004D0DAA">
        <w:instrText xml:space="preserve"> PAGEREF _Toc516669613 \h </w:instrText>
      </w:r>
      <w:r w:rsidRPr="004D0DAA">
        <w:fldChar w:fldCharType="separate"/>
      </w:r>
      <w:r w:rsidRPr="004D0DAA">
        <w:t>213</w:t>
      </w:r>
      <w:r w:rsidRPr="004D0DAA">
        <w:fldChar w:fldCharType="end"/>
      </w:r>
    </w:p>
    <w:p w14:paraId="671DE8F6" w14:textId="77777777" w:rsidR="00683705" w:rsidRPr="004D0DAA" w:rsidRDefault="00683705">
      <w:pPr>
        <w:pStyle w:val="TOC4"/>
        <w:rPr>
          <w:rFonts w:ascii="Calibri" w:hAnsi="Calibri"/>
          <w:sz w:val="22"/>
          <w:szCs w:val="22"/>
          <w:lang w:val="en-US"/>
        </w:rPr>
      </w:pPr>
      <w:r w:rsidRPr="004D0DAA">
        <w:t>9.1.9.2a</w:t>
      </w:r>
      <w:r w:rsidRPr="004D0DAA">
        <w:rPr>
          <w:rFonts w:ascii="Calibri" w:hAnsi="Calibri"/>
          <w:sz w:val="22"/>
          <w:szCs w:val="22"/>
          <w:lang w:val="en-US"/>
        </w:rPr>
        <w:tab/>
      </w:r>
      <w:r w:rsidRPr="004D0DAA">
        <w:t>EC-GSM-IoT</w:t>
      </w:r>
      <w:r w:rsidRPr="004D0DAA">
        <w:tab/>
      </w:r>
      <w:r w:rsidRPr="004D0DAA">
        <w:fldChar w:fldCharType="begin" w:fldLock="1"/>
      </w:r>
      <w:r w:rsidRPr="004D0DAA">
        <w:instrText xml:space="preserve"> PAGEREF _Toc516669614 \h </w:instrText>
      </w:r>
      <w:r w:rsidRPr="004D0DAA">
        <w:fldChar w:fldCharType="separate"/>
      </w:r>
      <w:r w:rsidRPr="004D0DAA">
        <w:t>216</w:t>
      </w:r>
      <w:r w:rsidRPr="004D0DAA">
        <w:fldChar w:fldCharType="end"/>
      </w:r>
    </w:p>
    <w:p w14:paraId="017F2499" w14:textId="77777777" w:rsidR="00683705" w:rsidRPr="004D0DAA" w:rsidRDefault="00683705">
      <w:pPr>
        <w:pStyle w:val="TOC4"/>
        <w:rPr>
          <w:rFonts w:ascii="Calibri" w:hAnsi="Calibri"/>
          <w:sz w:val="22"/>
          <w:szCs w:val="22"/>
          <w:lang w:val="en-US"/>
        </w:rPr>
      </w:pPr>
      <w:r w:rsidRPr="004D0DAA">
        <w:t>9.1.9.3</w:t>
      </w:r>
      <w:r w:rsidRPr="004D0DAA">
        <w:rPr>
          <w:rFonts w:ascii="Calibri" w:hAnsi="Calibri"/>
          <w:sz w:val="22"/>
          <w:szCs w:val="22"/>
          <w:lang w:val="en-US"/>
        </w:rPr>
        <w:tab/>
      </w:r>
      <w:r w:rsidRPr="004D0DAA">
        <w:t>RLC buffer</w:t>
      </w:r>
      <w:r w:rsidRPr="004D0DAA">
        <w:tab/>
      </w:r>
      <w:r w:rsidRPr="004D0DAA">
        <w:fldChar w:fldCharType="begin" w:fldLock="1"/>
      </w:r>
      <w:r w:rsidRPr="004D0DAA">
        <w:instrText xml:space="preserve"> PAGEREF _Toc516669615 \h </w:instrText>
      </w:r>
      <w:r w:rsidRPr="004D0DAA">
        <w:fldChar w:fldCharType="separate"/>
      </w:r>
      <w:r w:rsidRPr="004D0DAA">
        <w:t>216</w:t>
      </w:r>
      <w:r w:rsidRPr="004D0DAA">
        <w:fldChar w:fldCharType="end"/>
      </w:r>
    </w:p>
    <w:p w14:paraId="05ABC565" w14:textId="77777777" w:rsidR="00683705" w:rsidRPr="004D0DAA" w:rsidRDefault="00683705">
      <w:pPr>
        <w:pStyle w:val="TOC3"/>
        <w:rPr>
          <w:rFonts w:ascii="Calibri" w:hAnsi="Calibri"/>
          <w:sz w:val="22"/>
          <w:szCs w:val="22"/>
          <w:lang w:val="en-US"/>
        </w:rPr>
      </w:pPr>
      <w:r w:rsidRPr="004D0DAA">
        <w:t>9.1.10</w:t>
      </w:r>
      <w:r w:rsidRPr="004D0DAA">
        <w:rPr>
          <w:rFonts w:ascii="Calibri" w:hAnsi="Calibri"/>
          <w:sz w:val="22"/>
          <w:szCs w:val="22"/>
          <w:lang w:val="en-US"/>
        </w:rPr>
        <w:tab/>
      </w:r>
      <w:r w:rsidRPr="004D0DAA">
        <w:t>Compression</w:t>
      </w:r>
      <w:r w:rsidRPr="004D0DAA">
        <w:tab/>
      </w:r>
      <w:r w:rsidRPr="004D0DAA">
        <w:fldChar w:fldCharType="begin" w:fldLock="1"/>
      </w:r>
      <w:r w:rsidRPr="004D0DAA">
        <w:instrText xml:space="preserve"> PAGEREF _Toc516669616 \h </w:instrText>
      </w:r>
      <w:r w:rsidRPr="004D0DAA">
        <w:fldChar w:fldCharType="separate"/>
      </w:r>
      <w:r w:rsidRPr="004D0DAA">
        <w:t>216</w:t>
      </w:r>
      <w:r w:rsidRPr="004D0DAA">
        <w:fldChar w:fldCharType="end"/>
      </w:r>
    </w:p>
    <w:p w14:paraId="29C075EE" w14:textId="77777777" w:rsidR="00683705" w:rsidRPr="004D0DAA" w:rsidRDefault="00683705">
      <w:pPr>
        <w:pStyle w:val="TOC3"/>
        <w:rPr>
          <w:rFonts w:ascii="Calibri" w:hAnsi="Calibri"/>
          <w:sz w:val="22"/>
          <w:szCs w:val="22"/>
          <w:lang w:val="en-US"/>
        </w:rPr>
      </w:pPr>
      <w:r w:rsidRPr="004D0DAA">
        <w:t>9.1.11</w:t>
      </w:r>
      <w:r w:rsidRPr="004D0DAA">
        <w:rPr>
          <w:rFonts w:ascii="Calibri" w:hAnsi="Calibri"/>
          <w:sz w:val="22"/>
          <w:szCs w:val="22"/>
          <w:lang w:val="en-US"/>
        </w:rPr>
        <w:tab/>
      </w:r>
      <w:r w:rsidRPr="004D0DAA">
        <w:t>Segmentation of upper layer PDUs into RLC data units</w:t>
      </w:r>
      <w:r w:rsidRPr="004D0DAA">
        <w:tab/>
      </w:r>
      <w:r w:rsidRPr="004D0DAA">
        <w:fldChar w:fldCharType="begin" w:fldLock="1"/>
      </w:r>
      <w:r w:rsidRPr="004D0DAA">
        <w:instrText xml:space="preserve"> PAGEREF _Toc516669617 \h </w:instrText>
      </w:r>
      <w:r w:rsidRPr="004D0DAA">
        <w:fldChar w:fldCharType="separate"/>
      </w:r>
      <w:r w:rsidRPr="004D0DAA">
        <w:t>219</w:t>
      </w:r>
      <w:r w:rsidRPr="004D0DAA">
        <w:fldChar w:fldCharType="end"/>
      </w:r>
    </w:p>
    <w:p w14:paraId="57790050" w14:textId="77777777" w:rsidR="00683705" w:rsidRPr="004D0DAA" w:rsidRDefault="00683705">
      <w:pPr>
        <w:pStyle w:val="TOC3"/>
        <w:rPr>
          <w:rFonts w:ascii="Calibri" w:hAnsi="Calibri"/>
          <w:sz w:val="22"/>
          <w:szCs w:val="22"/>
          <w:lang w:val="en-US"/>
        </w:rPr>
      </w:pPr>
      <w:r w:rsidRPr="004D0DAA">
        <w:t>9.1.12</w:t>
      </w:r>
      <w:r w:rsidRPr="004D0DAA">
        <w:rPr>
          <w:rFonts w:ascii="Calibri" w:hAnsi="Calibri"/>
          <w:sz w:val="22"/>
          <w:szCs w:val="22"/>
          <w:lang w:val="en-US"/>
        </w:rPr>
        <w:tab/>
      </w:r>
      <w:r w:rsidRPr="004D0DAA">
        <w:t>Re-assembly of upper layer PDUs from RLC data units</w:t>
      </w:r>
      <w:r w:rsidRPr="004D0DAA">
        <w:tab/>
      </w:r>
      <w:r w:rsidRPr="004D0DAA">
        <w:fldChar w:fldCharType="begin" w:fldLock="1"/>
      </w:r>
      <w:r w:rsidRPr="004D0DAA">
        <w:instrText xml:space="preserve"> PAGEREF _Toc516669618 \h </w:instrText>
      </w:r>
      <w:r w:rsidRPr="004D0DAA">
        <w:fldChar w:fldCharType="separate"/>
      </w:r>
      <w:r w:rsidRPr="004D0DAA">
        <w:t>220</w:t>
      </w:r>
      <w:r w:rsidRPr="004D0DAA">
        <w:fldChar w:fldCharType="end"/>
      </w:r>
    </w:p>
    <w:p w14:paraId="580DD73D" w14:textId="77777777" w:rsidR="00683705" w:rsidRPr="004D0DAA" w:rsidRDefault="00683705">
      <w:pPr>
        <w:pStyle w:val="TOC3"/>
        <w:rPr>
          <w:rFonts w:ascii="Calibri" w:hAnsi="Calibri"/>
          <w:sz w:val="22"/>
          <w:szCs w:val="22"/>
          <w:lang w:val="en-US"/>
        </w:rPr>
      </w:pPr>
      <w:r w:rsidRPr="004D0DAA">
        <w:t>9.1.12a</w:t>
      </w:r>
      <w:r w:rsidRPr="004D0DAA">
        <w:rPr>
          <w:rFonts w:ascii="Calibri" w:hAnsi="Calibri"/>
          <w:sz w:val="22"/>
          <w:szCs w:val="22"/>
          <w:lang w:val="en-US"/>
        </w:rPr>
        <w:tab/>
      </w:r>
      <w:r w:rsidRPr="004D0DAA">
        <w:t>Segmentation of RLC/MAC control messages into RLC/MAC control blocks</w:t>
      </w:r>
      <w:r w:rsidRPr="004D0DAA">
        <w:tab/>
      </w:r>
      <w:r w:rsidRPr="004D0DAA">
        <w:fldChar w:fldCharType="begin" w:fldLock="1"/>
      </w:r>
      <w:r w:rsidRPr="004D0DAA">
        <w:instrText xml:space="preserve"> PAGEREF _Toc516669619 \h </w:instrText>
      </w:r>
      <w:r w:rsidRPr="004D0DAA">
        <w:fldChar w:fldCharType="separate"/>
      </w:r>
      <w:r w:rsidRPr="004D0DAA">
        <w:t>222</w:t>
      </w:r>
      <w:r w:rsidRPr="004D0DAA">
        <w:fldChar w:fldCharType="end"/>
      </w:r>
    </w:p>
    <w:p w14:paraId="26071CF9" w14:textId="77777777" w:rsidR="00683705" w:rsidRPr="004D0DAA" w:rsidRDefault="00683705">
      <w:pPr>
        <w:pStyle w:val="TOC3"/>
        <w:rPr>
          <w:rFonts w:ascii="Calibri" w:hAnsi="Calibri"/>
          <w:sz w:val="22"/>
          <w:szCs w:val="22"/>
          <w:lang w:val="en-US"/>
        </w:rPr>
      </w:pPr>
      <w:r w:rsidRPr="004D0DAA">
        <w:t>9.1.12b</w:t>
      </w:r>
      <w:r w:rsidRPr="004D0DAA">
        <w:rPr>
          <w:rFonts w:ascii="Calibri" w:hAnsi="Calibri"/>
          <w:sz w:val="22"/>
          <w:szCs w:val="22"/>
          <w:lang w:val="en-US"/>
        </w:rPr>
        <w:tab/>
      </w:r>
      <w:r w:rsidRPr="004D0DAA">
        <w:t>Re-assembly of RLC/MAC control messages from RLC/MAC control blocks</w:t>
      </w:r>
      <w:r w:rsidRPr="004D0DAA">
        <w:tab/>
      </w:r>
      <w:r w:rsidRPr="004D0DAA">
        <w:fldChar w:fldCharType="begin" w:fldLock="1"/>
      </w:r>
      <w:r w:rsidRPr="004D0DAA">
        <w:instrText xml:space="preserve"> PAGEREF _Toc516669620 \h </w:instrText>
      </w:r>
      <w:r w:rsidRPr="004D0DAA">
        <w:fldChar w:fldCharType="separate"/>
      </w:r>
      <w:r w:rsidRPr="004D0DAA">
        <w:t>222</w:t>
      </w:r>
      <w:r w:rsidRPr="004D0DAA">
        <w:fldChar w:fldCharType="end"/>
      </w:r>
    </w:p>
    <w:p w14:paraId="79EF3FD0" w14:textId="77777777" w:rsidR="00683705" w:rsidRPr="004D0DAA" w:rsidRDefault="00683705">
      <w:pPr>
        <w:pStyle w:val="TOC3"/>
        <w:rPr>
          <w:rFonts w:ascii="Calibri" w:hAnsi="Calibri"/>
          <w:sz w:val="22"/>
          <w:szCs w:val="22"/>
          <w:lang w:val="en-US"/>
        </w:rPr>
      </w:pPr>
      <w:r w:rsidRPr="004D0DAA">
        <w:t>9.1.13</w:t>
      </w:r>
      <w:r w:rsidRPr="004D0DAA">
        <w:rPr>
          <w:rFonts w:ascii="Calibri" w:hAnsi="Calibri"/>
          <w:sz w:val="22"/>
          <w:szCs w:val="22"/>
          <w:lang w:val="en-US"/>
        </w:rPr>
        <w:tab/>
      </w:r>
      <w:r w:rsidRPr="004D0DAA">
        <w:t>Priority of upper layer PDUs</w:t>
      </w:r>
      <w:r w:rsidRPr="004D0DAA">
        <w:tab/>
      </w:r>
      <w:r w:rsidRPr="004D0DAA">
        <w:fldChar w:fldCharType="begin" w:fldLock="1"/>
      </w:r>
      <w:r w:rsidRPr="004D0DAA">
        <w:instrText xml:space="preserve"> PAGEREF _Toc516669621 \h </w:instrText>
      </w:r>
      <w:r w:rsidRPr="004D0DAA">
        <w:fldChar w:fldCharType="separate"/>
      </w:r>
      <w:r w:rsidRPr="004D0DAA">
        <w:t>223</w:t>
      </w:r>
      <w:r w:rsidRPr="004D0DAA">
        <w:fldChar w:fldCharType="end"/>
      </w:r>
    </w:p>
    <w:p w14:paraId="6A701A14" w14:textId="77777777" w:rsidR="00683705" w:rsidRPr="004D0DAA" w:rsidRDefault="00683705">
      <w:pPr>
        <w:pStyle w:val="TOC3"/>
        <w:rPr>
          <w:rFonts w:ascii="Calibri" w:hAnsi="Calibri"/>
          <w:sz w:val="22"/>
          <w:szCs w:val="22"/>
          <w:lang w:val="en-US"/>
        </w:rPr>
      </w:pPr>
      <w:r w:rsidRPr="004D0DAA">
        <w:t>9.1.14</w:t>
      </w:r>
      <w:r w:rsidRPr="004D0DAA">
        <w:rPr>
          <w:rFonts w:ascii="Calibri" w:hAnsi="Calibri"/>
          <w:sz w:val="22"/>
          <w:szCs w:val="22"/>
          <w:lang w:val="en-US"/>
        </w:rPr>
        <w:tab/>
      </w:r>
      <w:r w:rsidRPr="004D0DAA">
        <w:t>Fast Ack/Nack Reporting</w:t>
      </w:r>
      <w:r w:rsidRPr="004D0DAA">
        <w:tab/>
      </w:r>
      <w:r w:rsidRPr="004D0DAA">
        <w:fldChar w:fldCharType="begin" w:fldLock="1"/>
      </w:r>
      <w:r w:rsidRPr="004D0DAA">
        <w:instrText xml:space="preserve"> PAGEREF _Toc516669622 \h </w:instrText>
      </w:r>
      <w:r w:rsidRPr="004D0DAA">
        <w:fldChar w:fldCharType="separate"/>
      </w:r>
      <w:r w:rsidRPr="004D0DAA">
        <w:t>223</w:t>
      </w:r>
      <w:r w:rsidRPr="004D0DAA">
        <w:fldChar w:fldCharType="end"/>
      </w:r>
    </w:p>
    <w:p w14:paraId="69A5537F" w14:textId="77777777" w:rsidR="00683705" w:rsidRPr="004D0DAA" w:rsidRDefault="00683705">
      <w:pPr>
        <w:pStyle w:val="TOC4"/>
        <w:rPr>
          <w:rFonts w:ascii="Calibri" w:hAnsi="Calibri"/>
          <w:sz w:val="22"/>
          <w:szCs w:val="22"/>
          <w:lang w:val="en-US"/>
        </w:rPr>
      </w:pPr>
      <w:r w:rsidRPr="004D0DAA">
        <w:t>9.1.14.1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_Toc516669623 \h </w:instrText>
      </w:r>
      <w:r w:rsidRPr="004D0DAA">
        <w:fldChar w:fldCharType="separate"/>
      </w:r>
      <w:r w:rsidRPr="004D0DAA">
        <w:t>223</w:t>
      </w:r>
      <w:r w:rsidRPr="004D0DAA">
        <w:fldChar w:fldCharType="end"/>
      </w:r>
    </w:p>
    <w:p w14:paraId="06810E00" w14:textId="77777777" w:rsidR="00683705" w:rsidRPr="004D0DAA" w:rsidRDefault="00683705">
      <w:pPr>
        <w:pStyle w:val="TOC4"/>
        <w:rPr>
          <w:rFonts w:ascii="Calibri" w:hAnsi="Calibri"/>
          <w:sz w:val="22"/>
          <w:szCs w:val="22"/>
          <w:lang w:val="en-US"/>
        </w:rPr>
      </w:pPr>
      <w:r w:rsidRPr="004D0DAA">
        <w:t>9.1.14.2</w:t>
      </w:r>
      <w:r w:rsidRPr="004D0DAA">
        <w:rPr>
          <w:rFonts w:ascii="Calibri" w:hAnsi="Calibri"/>
          <w:sz w:val="22"/>
          <w:szCs w:val="22"/>
          <w:lang w:val="en-US"/>
        </w:rPr>
        <w:tab/>
      </w:r>
      <w:r w:rsidRPr="004D0DAA">
        <w:t>Polled Fast Ack/Nack Reporting</w:t>
      </w:r>
      <w:r w:rsidRPr="004D0DAA">
        <w:tab/>
      </w:r>
      <w:r w:rsidRPr="004D0DAA">
        <w:fldChar w:fldCharType="begin" w:fldLock="1"/>
      </w:r>
      <w:r w:rsidRPr="004D0DAA">
        <w:instrText xml:space="preserve"> PAGEREF _Toc516669624 \h </w:instrText>
      </w:r>
      <w:r w:rsidRPr="004D0DAA">
        <w:fldChar w:fldCharType="separate"/>
      </w:r>
      <w:r w:rsidRPr="004D0DAA">
        <w:t>224</w:t>
      </w:r>
      <w:r w:rsidRPr="004D0DAA">
        <w:fldChar w:fldCharType="end"/>
      </w:r>
    </w:p>
    <w:p w14:paraId="2002C7D4" w14:textId="77777777" w:rsidR="00683705" w:rsidRPr="004D0DAA" w:rsidRDefault="00683705">
      <w:pPr>
        <w:pStyle w:val="TOC4"/>
        <w:rPr>
          <w:rFonts w:ascii="Calibri" w:hAnsi="Calibri"/>
          <w:sz w:val="22"/>
          <w:szCs w:val="22"/>
          <w:lang w:val="en-US"/>
        </w:rPr>
      </w:pPr>
      <w:r w:rsidRPr="004D0DAA">
        <w:t>9.1.14.3</w:t>
      </w:r>
      <w:r w:rsidRPr="004D0DAA">
        <w:rPr>
          <w:rFonts w:ascii="Calibri" w:hAnsi="Calibri"/>
          <w:sz w:val="22"/>
          <w:szCs w:val="22"/>
          <w:lang w:val="en-US"/>
        </w:rPr>
        <w:tab/>
      </w:r>
      <w:r w:rsidRPr="004D0DAA">
        <w:t>Event-based Fast Ack/Nack Reporting</w:t>
      </w:r>
      <w:r w:rsidRPr="004D0DAA">
        <w:tab/>
      </w:r>
      <w:r w:rsidRPr="004D0DAA">
        <w:fldChar w:fldCharType="begin" w:fldLock="1"/>
      </w:r>
      <w:r w:rsidRPr="004D0DAA">
        <w:instrText xml:space="preserve"> PAGEREF _Toc516669625 \h </w:instrText>
      </w:r>
      <w:r w:rsidRPr="004D0DAA">
        <w:fldChar w:fldCharType="separate"/>
      </w:r>
      <w:r w:rsidRPr="004D0DAA">
        <w:t>224</w:t>
      </w:r>
      <w:r w:rsidRPr="004D0DAA">
        <w:fldChar w:fldCharType="end"/>
      </w:r>
    </w:p>
    <w:p w14:paraId="25B8E1D7" w14:textId="77777777" w:rsidR="00683705" w:rsidRPr="004D0DAA" w:rsidRDefault="00683705">
      <w:pPr>
        <w:pStyle w:val="TOC3"/>
        <w:rPr>
          <w:rFonts w:ascii="Calibri" w:hAnsi="Calibri"/>
          <w:sz w:val="22"/>
          <w:szCs w:val="22"/>
          <w:lang w:val="en-US"/>
        </w:rPr>
      </w:pPr>
      <w:r w:rsidRPr="004D0DAA">
        <w:t>9.1.15</w:t>
      </w:r>
      <w:r w:rsidRPr="004D0DAA">
        <w:rPr>
          <w:rFonts w:ascii="Calibri" w:hAnsi="Calibri"/>
          <w:sz w:val="22"/>
          <w:szCs w:val="22"/>
          <w:lang w:val="en-US"/>
        </w:rPr>
        <w:tab/>
      </w:r>
      <w:r w:rsidRPr="004D0DAA">
        <w:t>Time-based encoding of the Piggy-backed Ack/Nack field</w:t>
      </w:r>
      <w:r w:rsidRPr="004D0DAA">
        <w:tab/>
      </w:r>
      <w:r w:rsidRPr="004D0DAA">
        <w:fldChar w:fldCharType="begin" w:fldLock="1"/>
      </w:r>
      <w:r w:rsidRPr="004D0DAA">
        <w:instrText xml:space="preserve"> PAGEREF _Toc516669626 \h </w:instrText>
      </w:r>
      <w:r w:rsidRPr="004D0DAA">
        <w:fldChar w:fldCharType="separate"/>
      </w:r>
      <w:r w:rsidRPr="004D0DAA">
        <w:t>225</w:t>
      </w:r>
      <w:r w:rsidRPr="004D0DAA">
        <w:fldChar w:fldCharType="end"/>
      </w:r>
    </w:p>
    <w:p w14:paraId="40BCB612" w14:textId="77777777" w:rsidR="00683705" w:rsidRPr="004D0DAA" w:rsidRDefault="00683705">
      <w:pPr>
        <w:pStyle w:val="TOC4"/>
        <w:rPr>
          <w:rFonts w:ascii="Calibri" w:hAnsi="Calibri"/>
          <w:sz w:val="22"/>
          <w:szCs w:val="22"/>
          <w:lang w:val="en-US"/>
        </w:rPr>
      </w:pPr>
      <w:r w:rsidRPr="004D0DAA">
        <w:t>9.1.15.1</w:t>
      </w:r>
      <w:r w:rsidRPr="004D0DAA">
        <w:rPr>
          <w:rFonts w:ascii="Calibri" w:hAnsi="Calibri"/>
          <w:sz w:val="22"/>
          <w:szCs w:val="22"/>
          <w:lang w:val="en-US"/>
        </w:rPr>
        <w:tab/>
      </w:r>
      <w:r w:rsidRPr="004D0DAA">
        <w:t>Generation of the bitmap</w:t>
      </w:r>
      <w:r w:rsidRPr="004D0DAA">
        <w:tab/>
      </w:r>
      <w:r w:rsidRPr="004D0DAA">
        <w:fldChar w:fldCharType="begin" w:fldLock="1"/>
      </w:r>
      <w:r w:rsidRPr="004D0DAA">
        <w:instrText xml:space="preserve"> PAGEREF _Toc516669627 \h </w:instrText>
      </w:r>
      <w:r w:rsidRPr="004D0DAA">
        <w:fldChar w:fldCharType="separate"/>
      </w:r>
      <w:r w:rsidRPr="004D0DAA">
        <w:t>225</w:t>
      </w:r>
      <w:r w:rsidRPr="004D0DAA">
        <w:fldChar w:fldCharType="end"/>
      </w:r>
    </w:p>
    <w:p w14:paraId="22A19686" w14:textId="77777777" w:rsidR="00683705" w:rsidRPr="004D0DAA" w:rsidRDefault="00683705">
      <w:pPr>
        <w:pStyle w:val="TOC4"/>
        <w:rPr>
          <w:rFonts w:ascii="Calibri" w:hAnsi="Calibri"/>
          <w:sz w:val="22"/>
          <w:szCs w:val="22"/>
          <w:lang w:val="en-US"/>
        </w:rPr>
      </w:pPr>
      <w:r w:rsidRPr="004D0DAA">
        <w:t>9.1.15.2</w:t>
      </w:r>
      <w:r w:rsidRPr="004D0DAA">
        <w:rPr>
          <w:rFonts w:ascii="Calibri" w:hAnsi="Calibri"/>
          <w:sz w:val="22"/>
          <w:szCs w:val="22"/>
          <w:lang w:val="en-US"/>
        </w:rPr>
        <w:tab/>
      </w:r>
      <w:r w:rsidRPr="004D0DAA">
        <w:t>Interpretation of the bitmap</w:t>
      </w:r>
      <w:r w:rsidRPr="004D0DAA">
        <w:tab/>
      </w:r>
      <w:r w:rsidRPr="004D0DAA">
        <w:fldChar w:fldCharType="begin" w:fldLock="1"/>
      </w:r>
      <w:r w:rsidRPr="004D0DAA">
        <w:instrText xml:space="preserve"> PAGEREF _Toc516669628 \h </w:instrText>
      </w:r>
      <w:r w:rsidRPr="004D0DAA">
        <w:fldChar w:fldCharType="separate"/>
      </w:r>
      <w:r w:rsidRPr="004D0DAA">
        <w:t>226</w:t>
      </w:r>
      <w:r w:rsidRPr="004D0DAA">
        <w:fldChar w:fldCharType="end"/>
      </w:r>
    </w:p>
    <w:p w14:paraId="2C185F2F" w14:textId="77777777" w:rsidR="00683705" w:rsidRPr="004D0DAA" w:rsidRDefault="00683705">
      <w:pPr>
        <w:pStyle w:val="TOC2"/>
        <w:rPr>
          <w:rFonts w:ascii="Calibri" w:hAnsi="Calibri"/>
          <w:sz w:val="22"/>
          <w:szCs w:val="22"/>
          <w:lang w:val="en-US"/>
        </w:rPr>
      </w:pPr>
      <w:r w:rsidRPr="004D0DAA">
        <w:t>9.2</w:t>
      </w:r>
      <w:r w:rsidRPr="004D0DAA">
        <w:rPr>
          <w:rFonts w:ascii="Calibri" w:hAnsi="Calibri"/>
          <w:sz w:val="22"/>
          <w:szCs w:val="22"/>
          <w:lang w:val="en-US"/>
        </w:rPr>
        <w:tab/>
      </w:r>
      <w:r w:rsidRPr="004D0DAA">
        <w:t>Operation during RLC/MAC control message transfer</w:t>
      </w:r>
      <w:r w:rsidRPr="004D0DAA">
        <w:tab/>
      </w:r>
      <w:r w:rsidRPr="004D0DAA">
        <w:fldChar w:fldCharType="begin" w:fldLock="1"/>
      </w:r>
      <w:r w:rsidRPr="004D0DAA">
        <w:instrText xml:space="preserve"> PAGEREF _Toc516669629 \h </w:instrText>
      </w:r>
      <w:r w:rsidRPr="004D0DAA">
        <w:fldChar w:fldCharType="separate"/>
      </w:r>
      <w:r w:rsidRPr="004D0DAA">
        <w:t>226</w:t>
      </w:r>
      <w:r w:rsidRPr="004D0DAA">
        <w:fldChar w:fldCharType="end"/>
      </w:r>
    </w:p>
    <w:p w14:paraId="3E085302" w14:textId="77777777" w:rsidR="00683705" w:rsidRPr="004D0DAA" w:rsidRDefault="00683705">
      <w:pPr>
        <w:pStyle w:val="TOC2"/>
        <w:rPr>
          <w:rFonts w:ascii="Calibri" w:hAnsi="Calibri"/>
          <w:sz w:val="22"/>
          <w:szCs w:val="22"/>
          <w:lang w:val="en-US"/>
        </w:rPr>
      </w:pPr>
      <w:r w:rsidRPr="004D0DAA">
        <w:t>9.3</w:t>
      </w:r>
      <w:r w:rsidRPr="004D0DAA">
        <w:rPr>
          <w:rFonts w:ascii="Calibri" w:hAnsi="Calibri"/>
          <w:sz w:val="22"/>
          <w:szCs w:val="22"/>
          <w:lang w:val="en-US"/>
        </w:rPr>
        <w:tab/>
      </w:r>
      <w:r w:rsidRPr="004D0DAA">
        <w:t>Operation during RLC data block transfer</w:t>
      </w:r>
      <w:r w:rsidRPr="004D0DAA">
        <w:tab/>
      </w:r>
      <w:r w:rsidRPr="004D0DAA">
        <w:fldChar w:fldCharType="begin" w:fldLock="1"/>
      </w:r>
      <w:r w:rsidRPr="004D0DAA">
        <w:instrText xml:space="preserve"> PAGEREF _Toc516669630 \h </w:instrText>
      </w:r>
      <w:r w:rsidRPr="004D0DAA">
        <w:fldChar w:fldCharType="separate"/>
      </w:r>
      <w:r w:rsidRPr="004D0DAA">
        <w:t>227</w:t>
      </w:r>
      <w:r w:rsidRPr="004D0DAA">
        <w:fldChar w:fldCharType="end"/>
      </w:r>
    </w:p>
    <w:p w14:paraId="606551C3" w14:textId="77777777" w:rsidR="00683705" w:rsidRPr="004D0DAA" w:rsidRDefault="00683705">
      <w:pPr>
        <w:pStyle w:val="TOC3"/>
        <w:rPr>
          <w:rFonts w:ascii="Calibri" w:hAnsi="Calibri"/>
          <w:sz w:val="22"/>
          <w:szCs w:val="22"/>
          <w:lang w:val="en-US"/>
        </w:rPr>
      </w:pPr>
      <w:r w:rsidRPr="004D0DAA">
        <w:t>9.3.0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_Toc516669631 \h </w:instrText>
      </w:r>
      <w:r w:rsidRPr="004D0DAA">
        <w:fldChar w:fldCharType="separate"/>
      </w:r>
      <w:r w:rsidRPr="004D0DAA">
        <w:t>227</w:t>
      </w:r>
      <w:r w:rsidRPr="004D0DAA">
        <w:fldChar w:fldCharType="end"/>
      </w:r>
    </w:p>
    <w:p w14:paraId="29FE7E1B" w14:textId="77777777" w:rsidR="00683705" w:rsidRPr="004D0DAA" w:rsidRDefault="00683705">
      <w:pPr>
        <w:pStyle w:val="TOC3"/>
        <w:rPr>
          <w:rFonts w:ascii="Calibri" w:hAnsi="Calibri"/>
          <w:sz w:val="22"/>
          <w:szCs w:val="22"/>
          <w:lang w:val="en-US"/>
        </w:rPr>
      </w:pPr>
      <w:r w:rsidRPr="004D0DAA">
        <w:t>9.3.1</w:t>
      </w:r>
      <w:r w:rsidRPr="004D0DAA">
        <w:rPr>
          <w:rFonts w:ascii="Calibri" w:hAnsi="Calibri"/>
          <w:sz w:val="22"/>
          <w:szCs w:val="22"/>
          <w:lang w:val="en-US"/>
        </w:rPr>
        <w:tab/>
      </w:r>
      <w:r w:rsidRPr="004D0DAA">
        <w:t>Countdown procedure</w:t>
      </w:r>
      <w:r w:rsidRPr="004D0DAA">
        <w:tab/>
      </w:r>
      <w:r w:rsidRPr="004D0DAA">
        <w:fldChar w:fldCharType="begin" w:fldLock="1"/>
      </w:r>
      <w:r w:rsidRPr="004D0DAA">
        <w:instrText xml:space="preserve"> PAGEREF _Toc516669632 \h </w:instrText>
      </w:r>
      <w:r w:rsidRPr="004D0DAA">
        <w:fldChar w:fldCharType="separate"/>
      </w:r>
      <w:r w:rsidRPr="004D0DAA">
        <w:t>228</w:t>
      </w:r>
      <w:r w:rsidRPr="004D0DAA">
        <w:fldChar w:fldCharType="end"/>
      </w:r>
    </w:p>
    <w:p w14:paraId="2338AA9A" w14:textId="77777777" w:rsidR="00683705" w:rsidRPr="004D0DAA" w:rsidRDefault="00683705">
      <w:pPr>
        <w:pStyle w:val="TOC4"/>
        <w:rPr>
          <w:rFonts w:ascii="Calibri" w:hAnsi="Calibri"/>
          <w:sz w:val="22"/>
          <w:szCs w:val="22"/>
          <w:lang w:val="en-US"/>
        </w:rPr>
      </w:pPr>
      <w:r w:rsidRPr="004D0DAA">
        <w:t>9.3.1.1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_Toc516669633 \h </w:instrText>
      </w:r>
      <w:r w:rsidRPr="004D0DAA">
        <w:fldChar w:fldCharType="separate"/>
      </w:r>
      <w:r w:rsidRPr="004D0DAA">
        <w:t>228</w:t>
      </w:r>
      <w:r w:rsidRPr="004D0DAA">
        <w:fldChar w:fldCharType="end"/>
      </w:r>
    </w:p>
    <w:p w14:paraId="4FF592C9" w14:textId="77777777" w:rsidR="00683705" w:rsidRPr="004D0DAA" w:rsidRDefault="00683705">
      <w:pPr>
        <w:pStyle w:val="TOC4"/>
        <w:rPr>
          <w:rFonts w:ascii="Calibri" w:hAnsi="Calibri"/>
          <w:sz w:val="22"/>
          <w:szCs w:val="22"/>
          <w:lang w:val="en-US"/>
        </w:rPr>
      </w:pPr>
      <w:r w:rsidRPr="004D0DAA">
        <w:t>9.3.1.2</w:t>
      </w:r>
      <w:r w:rsidRPr="004D0DAA">
        <w:rPr>
          <w:rFonts w:ascii="Calibri" w:hAnsi="Calibri"/>
          <w:sz w:val="22"/>
          <w:szCs w:val="22"/>
          <w:lang w:val="en-US"/>
        </w:rPr>
        <w:tab/>
      </w:r>
      <w:r w:rsidRPr="004D0DAA">
        <w:t>Non-extended uplink TBF mode</w:t>
      </w:r>
      <w:r w:rsidRPr="004D0DAA">
        <w:tab/>
      </w:r>
      <w:r w:rsidRPr="004D0DAA">
        <w:fldChar w:fldCharType="begin" w:fldLock="1"/>
      </w:r>
      <w:r w:rsidRPr="004D0DAA">
        <w:instrText xml:space="preserve"> PAGEREF _Toc516669634 \h </w:instrText>
      </w:r>
      <w:r w:rsidRPr="004D0DAA">
        <w:fldChar w:fldCharType="separate"/>
      </w:r>
      <w:r w:rsidRPr="004D0DAA">
        <w:t>229</w:t>
      </w:r>
      <w:r w:rsidRPr="004D0DAA">
        <w:fldChar w:fldCharType="end"/>
      </w:r>
    </w:p>
    <w:p w14:paraId="1B0D15BE" w14:textId="77777777" w:rsidR="00683705" w:rsidRPr="004D0DAA" w:rsidRDefault="00683705">
      <w:pPr>
        <w:pStyle w:val="TOC4"/>
        <w:rPr>
          <w:rFonts w:ascii="Calibri" w:hAnsi="Calibri"/>
          <w:sz w:val="22"/>
          <w:szCs w:val="22"/>
          <w:lang w:val="en-US"/>
        </w:rPr>
      </w:pPr>
      <w:r w:rsidRPr="004D0DAA">
        <w:t>9.3.1.3</w:t>
      </w:r>
      <w:r w:rsidRPr="004D0DAA">
        <w:rPr>
          <w:rFonts w:ascii="Calibri" w:hAnsi="Calibri"/>
          <w:sz w:val="22"/>
          <w:szCs w:val="22"/>
          <w:lang w:val="en-US"/>
        </w:rPr>
        <w:tab/>
      </w:r>
      <w:r w:rsidRPr="004D0DAA">
        <w:t>Extended uplink TBF mode</w:t>
      </w:r>
      <w:r w:rsidRPr="004D0DAA">
        <w:tab/>
      </w:r>
      <w:r w:rsidRPr="004D0DAA">
        <w:fldChar w:fldCharType="begin" w:fldLock="1"/>
      </w:r>
      <w:r w:rsidRPr="004D0DAA">
        <w:instrText xml:space="preserve"> PAGEREF _Toc516669635 \h </w:instrText>
      </w:r>
      <w:r w:rsidRPr="004D0DAA">
        <w:fldChar w:fldCharType="separate"/>
      </w:r>
      <w:r w:rsidRPr="004D0DAA">
        <w:t>229</w:t>
      </w:r>
      <w:r w:rsidRPr="004D0DAA">
        <w:fldChar w:fldCharType="end"/>
      </w:r>
    </w:p>
    <w:p w14:paraId="6007E301" w14:textId="77777777" w:rsidR="00683705" w:rsidRPr="004D0DAA" w:rsidRDefault="00683705">
      <w:pPr>
        <w:pStyle w:val="TOC4"/>
        <w:rPr>
          <w:rFonts w:ascii="Calibri" w:hAnsi="Calibri"/>
          <w:sz w:val="22"/>
          <w:szCs w:val="22"/>
          <w:lang w:val="en-US"/>
        </w:rPr>
      </w:pPr>
      <w:r w:rsidRPr="004D0DAA">
        <w:t>9.3.1.4</w:t>
      </w:r>
      <w:r w:rsidRPr="004D0DAA">
        <w:rPr>
          <w:rFonts w:ascii="Calibri" w:hAnsi="Calibri"/>
          <w:sz w:val="22"/>
          <w:szCs w:val="22"/>
          <w:lang w:val="en-US"/>
        </w:rPr>
        <w:tab/>
      </w:r>
      <w:r w:rsidRPr="004D0DAA">
        <w:t>End of uplink EC TBF</w:t>
      </w:r>
      <w:r w:rsidRPr="004D0DAA">
        <w:tab/>
      </w:r>
      <w:r w:rsidRPr="004D0DAA">
        <w:fldChar w:fldCharType="begin" w:fldLock="1"/>
      </w:r>
      <w:r w:rsidRPr="004D0DAA">
        <w:instrText xml:space="preserve"> PAGEREF _Toc516669636 \h </w:instrText>
      </w:r>
      <w:r w:rsidRPr="004D0DAA">
        <w:fldChar w:fldCharType="separate"/>
      </w:r>
      <w:r w:rsidRPr="004D0DAA">
        <w:t>229</w:t>
      </w:r>
      <w:r w:rsidRPr="004D0DAA">
        <w:fldChar w:fldCharType="end"/>
      </w:r>
    </w:p>
    <w:p w14:paraId="299C740F" w14:textId="77777777" w:rsidR="00683705" w:rsidRPr="004D0DAA" w:rsidRDefault="00683705">
      <w:pPr>
        <w:pStyle w:val="TOC3"/>
        <w:rPr>
          <w:rFonts w:ascii="Calibri" w:hAnsi="Calibri"/>
          <w:sz w:val="22"/>
          <w:szCs w:val="22"/>
          <w:lang w:val="en-US"/>
        </w:rPr>
      </w:pPr>
      <w:r w:rsidRPr="004D0DAA">
        <w:t>9.3.1a</w:t>
      </w:r>
      <w:r w:rsidRPr="004D0DAA">
        <w:rPr>
          <w:rFonts w:ascii="Calibri" w:hAnsi="Calibri"/>
          <w:sz w:val="22"/>
          <w:szCs w:val="22"/>
          <w:lang w:val="en-US"/>
        </w:rPr>
        <w:tab/>
      </w:r>
      <w:r w:rsidRPr="004D0DAA">
        <w:t>Delayed release of downlink Temporary Block Flow</w:t>
      </w:r>
      <w:r w:rsidRPr="004D0DAA">
        <w:tab/>
      </w:r>
      <w:r w:rsidRPr="004D0DAA">
        <w:fldChar w:fldCharType="begin" w:fldLock="1"/>
      </w:r>
      <w:r w:rsidRPr="004D0DAA">
        <w:instrText xml:space="preserve"> PAGEREF _Toc516669637 \h </w:instrText>
      </w:r>
      <w:r w:rsidRPr="004D0DAA">
        <w:fldChar w:fldCharType="separate"/>
      </w:r>
      <w:r w:rsidRPr="004D0DAA">
        <w:t>230</w:t>
      </w:r>
      <w:r w:rsidRPr="004D0DAA">
        <w:fldChar w:fldCharType="end"/>
      </w:r>
    </w:p>
    <w:p w14:paraId="721D1CFE" w14:textId="77777777" w:rsidR="00683705" w:rsidRPr="004D0DAA" w:rsidRDefault="00683705">
      <w:pPr>
        <w:pStyle w:val="TOC3"/>
        <w:rPr>
          <w:rFonts w:ascii="Calibri" w:hAnsi="Calibri"/>
          <w:sz w:val="22"/>
          <w:szCs w:val="22"/>
          <w:lang w:val="en-US"/>
        </w:rPr>
      </w:pPr>
      <w:r w:rsidRPr="004D0DAA">
        <w:t>9.3.1b</w:t>
      </w:r>
      <w:r w:rsidRPr="004D0DAA">
        <w:rPr>
          <w:rFonts w:ascii="Calibri" w:hAnsi="Calibri"/>
          <w:sz w:val="22"/>
          <w:szCs w:val="22"/>
          <w:lang w:val="en-US"/>
        </w:rPr>
        <w:tab/>
      </w:r>
      <w:r w:rsidRPr="004D0DAA">
        <w:t>Extended uplink TBF mode</w:t>
      </w:r>
      <w:r w:rsidRPr="004D0DAA">
        <w:tab/>
      </w:r>
      <w:r w:rsidRPr="004D0DAA">
        <w:fldChar w:fldCharType="begin" w:fldLock="1"/>
      </w:r>
      <w:r w:rsidRPr="004D0DAA">
        <w:instrText xml:space="preserve"> PAGEREF _Toc516669638 \h </w:instrText>
      </w:r>
      <w:r w:rsidRPr="004D0DAA">
        <w:fldChar w:fldCharType="separate"/>
      </w:r>
      <w:r w:rsidRPr="004D0DAA">
        <w:t>231</w:t>
      </w:r>
      <w:r w:rsidRPr="004D0DAA">
        <w:fldChar w:fldCharType="end"/>
      </w:r>
    </w:p>
    <w:p w14:paraId="61EE294B" w14:textId="77777777" w:rsidR="00683705" w:rsidRPr="004D0DAA" w:rsidRDefault="00683705">
      <w:pPr>
        <w:pStyle w:val="TOC4"/>
        <w:rPr>
          <w:rFonts w:ascii="Calibri" w:hAnsi="Calibri"/>
          <w:sz w:val="22"/>
          <w:szCs w:val="22"/>
          <w:lang w:val="en-US"/>
        </w:rPr>
      </w:pPr>
      <w:r w:rsidRPr="004D0DAA">
        <w:t>9.3.1b.1</w:t>
      </w:r>
      <w:r w:rsidRPr="004D0DAA">
        <w:rPr>
          <w:rFonts w:ascii="Calibri" w:hAnsi="Calibri"/>
          <w:sz w:val="22"/>
          <w:szCs w:val="22"/>
          <w:lang w:val="en-US"/>
        </w:rPr>
        <w:tab/>
      </w:r>
      <w:r w:rsidRPr="004D0DAA">
        <w:t>Application</w:t>
      </w:r>
      <w:r w:rsidRPr="004D0DAA">
        <w:tab/>
      </w:r>
      <w:r w:rsidRPr="004D0DAA">
        <w:fldChar w:fldCharType="begin" w:fldLock="1"/>
      </w:r>
      <w:r w:rsidRPr="004D0DAA">
        <w:instrText xml:space="preserve"> PAGEREF _Toc516669639 \h </w:instrText>
      </w:r>
      <w:r w:rsidRPr="004D0DAA">
        <w:fldChar w:fldCharType="separate"/>
      </w:r>
      <w:r w:rsidRPr="004D0DAA">
        <w:t>231</w:t>
      </w:r>
      <w:r w:rsidRPr="004D0DAA">
        <w:fldChar w:fldCharType="end"/>
      </w:r>
    </w:p>
    <w:p w14:paraId="08B3072E" w14:textId="77777777" w:rsidR="00683705" w:rsidRPr="004D0DAA" w:rsidRDefault="00683705">
      <w:pPr>
        <w:pStyle w:val="TOC4"/>
        <w:rPr>
          <w:rFonts w:ascii="Calibri" w:hAnsi="Calibri"/>
          <w:sz w:val="22"/>
          <w:szCs w:val="22"/>
          <w:lang w:val="en-US"/>
        </w:rPr>
      </w:pPr>
      <w:r w:rsidRPr="004D0DAA">
        <w:t>9.3.1b.2</w:t>
      </w:r>
      <w:r w:rsidRPr="004D0DAA">
        <w:rPr>
          <w:rFonts w:ascii="Calibri" w:hAnsi="Calibri"/>
          <w:sz w:val="22"/>
          <w:szCs w:val="22"/>
          <w:lang w:val="en-US"/>
        </w:rPr>
        <w:tab/>
      </w:r>
      <w:r w:rsidRPr="004D0DAA">
        <w:t>Operation of uplink TBF in extended uplink TBF mode</w:t>
      </w:r>
      <w:r w:rsidRPr="004D0DAA">
        <w:tab/>
      </w:r>
      <w:r w:rsidRPr="004D0DAA">
        <w:fldChar w:fldCharType="begin" w:fldLock="1"/>
      </w:r>
      <w:r w:rsidRPr="004D0DAA">
        <w:instrText xml:space="preserve"> PAGEREF _Toc516669640 \h </w:instrText>
      </w:r>
      <w:r w:rsidRPr="004D0DAA">
        <w:fldChar w:fldCharType="separate"/>
      </w:r>
      <w:r w:rsidRPr="004D0DAA">
        <w:t>231</w:t>
      </w:r>
      <w:r w:rsidRPr="004D0DAA">
        <w:fldChar w:fldCharType="end"/>
      </w:r>
    </w:p>
    <w:p w14:paraId="57271686" w14:textId="77777777" w:rsidR="00683705" w:rsidRPr="004D0DAA" w:rsidRDefault="00683705">
      <w:pPr>
        <w:pStyle w:val="TOC3"/>
        <w:rPr>
          <w:rFonts w:ascii="Calibri" w:hAnsi="Calibri"/>
          <w:sz w:val="22"/>
          <w:szCs w:val="22"/>
          <w:lang w:val="en-US"/>
        </w:rPr>
      </w:pPr>
      <w:r w:rsidRPr="004D0DAA">
        <w:t>9.3.2</w:t>
      </w:r>
      <w:r w:rsidRPr="004D0DAA">
        <w:rPr>
          <w:rFonts w:ascii="Calibri" w:hAnsi="Calibri"/>
          <w:sz w:val="22"/>
          <w:szCs w:val="22"/>
          <w:lang w:val="en-US"/>
        </w:rPr>
        <w:tab/>
      </w:r>
      <w:r w:rsidRPr="004D0DAA">
        <w:t>Acknowledged mode operation</w:t>
      </w:r>
      <w:r w:rsidRPr="004D0DAA">
        <w:tab/>
      </w:r>
      <w:r w:rsidRPr="004D0DAA">
        <w:fldChar w:fldCharType="begin" w:fldLock="1"/>
      </w:r>
      <w:r w:rsidRPr="004D0DAA">
        <w:instrText xml:space="preserve"> PAGEREF _Toc516669641 \h </w:instrText>
      </w:r>
      <w:r w:rsidRPr="004D0DAA">
        <w:fldChar w:fldCharType="separate"/>
      </w:r>
      <w:r w:rsidRPr="004D0DAA">
        <w:t>232</w:t>
      </w:r>
      <w:r w:rsidRPr="004D0DAA">
        <w:fldChar w:fldCharType="end"/>
      </w:r>
    </w:p>
    <w:p w14:paraId="1197EFF8" w14:textId="77777777" w:rsidR="00683705" w:rsidRPr="004D0DAA" w:rsidRDefault="00683705">
      <w:pPr>
        <w:pStyle w:val="TOC4"/>
        <w:rPr>
          <w:rFonts w:ascii="Calibri" w:hAnsi="Calibri"/>
          <w:sz w:val="22"/>
          <w:szCs w:val="22"/>
          <w:lang w:val="en-US"/>
        </w:rPr>
      </w:pPr>
      <w:r w:rsidRPr="004D0DAA">
        <w:t>9.3.2.0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_Toc516669642 \h </w:instrText>
      </w:r>
      <w:r w:rsidRPr="004D0DAA">
        <w:fldChar w:fldCharType="separate"/>
      </w:r>
      <w:r w:rsidRPr="004D0DAA">
        <w:t>232</w:t>
      </w:r>
      <w:r w:rsidRPr="004D0DAA">
        <w:fldChar w:fldCharType="end"/>
      </w:r>
    </w:p>
    <w:p w14:paraId="0CDDB60B" w14:textId="77777777" w:rsidR="00683705" w:rsidRPr="004D0DAA" w:rsidRDefault="00683705">
      <w:pPr>
        <w:pStyle w:val="TOC4"/>
        <w:rPr>
          <w:rFonts w:ascii="Calibri" w:hAnsi="Calibri"/>
          <w:sz w:val="22"/>
          <w:szCs w:val="22"/>
          <w:lang w:val="en-US"/>
        </w:rPr>
      </w:pPr>
      <w:r w:rsidRPr="004D0DAA">
        <w:t>9.3.2.1</w:t>
      </w:r>
      <w:r w:rsidRPr="004D0DAA">
        <w:rPr>
          <w:rFonts w:ascii="Calibri" w:hAnsi="Calibri"/>
          <w:sz w:val="22"/>
          <w:szCs w:val="22"/>
          <w:lang w:val="en-US"/>
        </w:rPr>
        <w:tab/>
      </w:r>
      <w:r w:rsidRPr="004D0DAA">
        <w:t>Additional functionality in acknowledged EGPRS TBF Mode</w:t>
      </w:r>
      <w:r w:rsidRPr="004D0DAA">
        <w:tab/>
      </w:r>
      <w:r w:rsidRPr="004D0DAA">
        <w:fldChar w:fldCharType="begin" w:fldLock="1"/>
      </w:r>
      <w:r w:rsidRPr="004D0DAA">
        <w:instrText xml:space="preserve"> PAGEREF _Toc516669643 \h </w:instrText>
      </w:r>
      <w:r w:rsidRPr="004D0DAA">
        <w:fldChar w:fldCharType="separate"/>
      </w:r>
      <w:r w:rsidRPr="004D0DAA">
        <w:t>232</w:t>
      </w:r>
      <w:r w:rsidRPr="004D0DAA">
        <w:fldChar w:fldCharType="end"/>
      </w:r>
    </w:p>
    <w:p w14:paraId="309D7945" w14:textId="77777777" w:rsidR="00683705" w:rsidRPr="004D0DAA" w:rsidRDefault="00683705">
      <w:pPr>
        <w:pStyle w:val="TOC4"/>
        <w:rPr>
          <w:rFonts w:ascii="Calibri" w:hAnsi="Calibri"/>
          <w:sz w:val="22"/>
          <w:szCs w:val="22"/>
          <w:lang w:val="en-US"/>
        </w:rPr>
      </w:pPr>
      <w:r w:rsidRPr="004D0DAA">
        <w:t>9.3.2.1a</w:t>
      </w:r>
      <w:r w:rsidRPr="004D0DAA">
        <w:rPr>
          <w:rFonts w:ascii="Calibri" w:hAnsi="Calibri"/>
          <w:sz w:val="22"/>
          <w:szCs w:val="22"/>
          <w:lang w:val="en-US"/>
        </w:rPr>
        <w:tab/>
      </w:r>
      <w:r w:rsidRPr="004D0DAA">
        <w:t>Additional functionality in acknowledged EC TBF Mode</w:t>
      </w:r>
      <w:r w:rsidRPr="004D0DAA">
        <w:tab/>
      </w:r>
      <w:r w:rsidRPr="004D0DAA">
        <w:fldChar w:fldCharType="begin" w:fldLock="1"/>
      </w:r>
      <w:r w:rsidRPr="004D0DAA">
        <w:instrText xml:space="preserve"> PAGEREF _Toc516669644 \h </w:instrText>
      </w:r>
      <w:r w:rsidRPr="004D0DAA">
        <w:fldChar w:fldCharType="separate"/>
      </w:r>
      <w:r w:rsidRPr="004D0DAA">
        <w:t>233</w:t>
      </w:r>
      <w:r w:rsidRPr="004D0DAA">
        <w:fldChar w:fldCharType="end"/>
      </w:r>
    </w:p>
    <w:p w14:paraId="24422B87" w14:textId="77777777" w:rsidR="00683705" w:rsidRPr="004D0DAA" w:rsidRDefault="00683705">
      <w:pPr>
        <w:pStyle w:val="TOC4"/>
        <w:rPr>
          <w:rFonts w:ascii="Calibri" w:hAnsi="Calibri"/>
          <w:sz w:val="22"/>
          <w:szCs w:val="22"/>
          <w:lang w:val="en-US"/>
        </w:rPr>
      </w:pPr>
      <w:r w:rsidRPr="004D0DAA">
        <w:t>9.3.2.2</w:t>
      </w:r>
      <w:r w:rsidRPr="004D0DAA">
        <w:rPr>
          <w:rFonts w:ascii="Calibri" w:hAnsi="Calibri"/>
          <w:sz w:val="22"/>
          <w:szCs w:val="22"/>
          <w:lang w:val="en-US"/>
        </w:rPr>
        <w:tab/>
      </w:r>
      <w:r w:rsidRPr="004D0DAA">
        <w:t>Establishment of Temporary Block Flow</w:t>
      </w:r>
      <w:r w:rsidRPr="004D0DAA">
        <w:tab/>
      </w:r>
      <w:r w:rsidRPr="004D0DAA">
        <w:fldChar w:fldCharType="begin" w:fldLock="1"/>
      </w:r>
      <w:r w:rsidRPr="004D0DAA">
        <w:instrText xml:space="preserve"> PAGEREF _Toc516669645 \h </w:instrText>
      </w:r>
      <w:r w:rsidRPr="004D0DAA">
        <w:fldChar w:fldCharType="separate"/>
      </w:r>
      <w:r w:rsidRPr="004D0DAA">
        <w:t>235</w:t>
      </w:r>
      <w:r w:rsidRPr="004D0DAA">
        <w:fldChar w:fldCharType="end"/>
      </w:r>
    </w:p>
    <w:p w14:paraId="198C9D42" w14:textId="77777777" w:rsidR="00683705" w:rsidRPr="004D0DAA" w:rsidRDefault="00683705">
      <w:pPr>
        <w:pStyle w:val="TOC4"/>
        <w:rPr>
          <w:rFonts w:ascii="Calibri" w:hAnsi="Calibri"/>
          <w:sz w:val="22"/>
          <w:szCs w:val="22"/>
          <w:lang w:val="en-US"/>
        </w:rPr>
      </w:pPr>
      <w:r w:rsidRPr="004D0DAA">
        <w:t>9.3.2.3</w:t>
      </w:r>
      <w:r w:rsidRPr="004D0DAA">
        <w:rPr>
          <w:rFonts w:ascii="Calibri" w:hAnsi="Calibri"/>
          <w:sz w:val="22"/>
          <w:szCs w:val="22"/>
          <w:lang w:val="en-US"/>
        </w:rPr>
        <w:tab/>
      </w:r>
      <w:r w:rsidRPr="004D0DAA">
        <w:t>Operation of uplink Temporary Block Flow</w:t>
      </w:r>
      <w:r w:rsidRPr="004D0DAA">
        <w:tab/>
      </w:r>
      <w:r w:rsidRPr="004D0DAA">
        <w:fldChar w:fldCharType="begin" w:fldLock="1"/>
      </w:r>
      <w:r w:rsidRPr="004D0DAA">
        <w:instrText xml:space="preserve"> PAGEREF _Toc516669646 \h </w:instrText>
      </w:r>
      <w:r w:rsidRPr="004D0DAA">
        <w:fldChar w:fldCharType="separate"/>
      </w:r>
      <w:r w:rsidRPr="004D0DAA">
        <w:t>235</w:t>
      </w:r>
      <w:r w:rsidRPr="004D0DAA">
        <w:fldChar w:fldCharType="end"/>
      </w:r>
    </w:p>
    <w:p w14:paraId="42799DD4" w14:textId="77777777" w:rsidR="00683705" w:rsidRPr="004D0DAA" w:rsidRDefault="00683705">
      <w:pPr>
        <w:pStyle w:val="TOC4"/>
        <w:rPr>
          <w:rFonts w:ascii="Calibri" w:hAnsi="Calibri"/>
          <w:sz w:val="22"/>
          <w:szCs w:val="22"/>
          <w:lang w:val="en-US"/>
        </w:rPr>
      </w:pPr>
      <w:r w:rsidRPr="004D0DAA">
        <w:t>9.3.2.4</w:t>
      </w:r>
      <w:r w:rsidRPr="004D0DAA">
        <w:rPr>
          <w:rFonts w:ascii="Calibri" w:hAnsi="Calibri"/>
          <w:sz w:val="22"/>
          <w:szCs w:val="22"/>
          <w:lang w:val="en-US"/>
        </w:rPr>
        <w:tab/>
      </w:r>
      <w:r w:rsidRPr="004D0DAA">
        <w:t>Release of uplink Temporary Block Flow</w:t>
      </w:r>
      <w:r w:rsidRPr="004D0DAA">
        <w:tab/>
      </w:r>
      <w:r w:rsidRPr="004D0DAA">
        <w:fldChar w:fldCharType="begin" w:fldLock="1"/>
      </w:r>
      <w:r w:rsidRPr="004D0DAA">
        <w:instrText xml:space="preserve"> PAGEREF _Toc516669647 \h </w:instrText>
      </w:r>
      <w:r w:rsidRPr="004D0DAA">
        <w:fldChar w:fldCharType="separate"/>
      </w:r>
      <w:r w:rsidRPr="004D0DAA">
        <w:t>236</w:t>
      </w:r>
      <w:r w:rsidRPr="004D0DAA">
        <w:fldChar w:fldCharType="end"/>
      </w:r>
    </w:p>
    <w:p w14:paraId="4EA8B857" w14:textId="77777777" w:rsidR="00683705" w:rsidRPr="004D0DAA" w:rsidRDefault="00683705">
      <w:pPr>
        <w:pStyle w:val="TOC5"/>
        <w:rPr>
          <w:rFonts w:ascii="Calibri" w:hAnsi="Calibri"/>
          <w:sz w:val="22"/>
          <w:szCs w:val="22"/>
          <w:lang w:val="en-US"/>
        </w:rPr>
      </w:pPr>
      <w:r w:rsidRPr="004D0DAA">
        <w:t>9.3.2.4.1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_Toc516669648 \h </w:instrText>
      </w:r>
      <w:r w:rsidRPr="004D0DAA">
        <w:fldChar w:fldCharType="separate"/>
      </w:r>
      <w:r w:rsidRPr="004D0DAA">
        <w:t>236</w:t>
      </w:r>
      <w:r w:rsidRPr="004D0DAA">
        <w:fldChar w:fldCharType="end"/>
      </w:r>
    </w:p>
    <w:p w14:paraId="39B4B1C8" w14:textId="77777777" w:rsidR="00683705" w:rsidRPr="004D0DAA" w:rsidRDefault="00683705">
      <w:pPr>
        <w:pStyle w:val="TOC5"/>
        <w:rPr>
          <w:rFonts w:ascii="Calibri" w:hAnsi="Calibri"/>
          <w:sz w:val="22"/>
          <w:szCs w:val="22"/>
          <w:lang w:val="en-US"/>
        </w:rPr>
      </w:pPr>
      <w:r w:rsidRPr="004D0DAA">
        <w:t>9.3.2.4.2</w:t>
      </w:r>
      <w:r w:rsidRPr="004D0DAA">
        <w:rPr>
          <w:rFonts w:ascii="Calibri" w:hAnsi="Calibri"/>
          <w:sz w:val="22"/>
          <w:szCs w:val="22"/>
          <w:lang w:val="en-US"/>
        </w:rPr>
        <w:tab/>
      </w:r>
      <w:r w:rsidRPr="004D0DAA">
        <w:t>Non-extended uplink TBF mode</w:t>
      </w:r>
      <w:r w:rsidRPr="004D0DAA">
        <w:tab/>
      </w:r>
      <w:r w:rsidRPr="004D0DAA">
        <w:fldChar w:fldCharType="begin" w:fldLock="1"/>
      </w:r>
      <w:r w:rsidRPr="004D0DAA">
        <w:instrText xml:space="preserve"> PAGEREF _Toc516669649 \h </w:instrText>
      </w:r>
      <w:r w:rsidRPr="004D0DAA">
        <w:fldChar w:fldCharType="separate"/>
      </w:r>
      <w:r w:rsidRPr="004D0DAA">
        <w:t>236</w:t>
      </w:r>
      <w:r w:rsidRPr="004D0DAA">
        <w:fldChar w:fldCharType="end"/>
      </w:r>
    </w:p>
    <w:p w14:paraId="641506C4" w14:textId="77777777" w:rsidR="00683705" w:rsidRPr="004D0DAA" w:rsidRDefault="00683705">
      <w:pPr>
        <w:pStyle w:val="TOC5"/>
        <w:rPr>
          <w:rFonts w:ascii="Calibri" w:hAnsi="Calibri"/>
          <w:sz w:val="22"/>
          <w:szCs w:val="22"/>
          <w:lang w:val="en-US"/>
        </w:rPr>
      </w:pPr>
      <w:r w:rsidRPr="004D0DAA">
        <w:t>9.3.2.4.3</w:t>
      </w:r>
      <w:r w:rsidRPr="004D0DAA">
        <w:rPr>
          <w:rFonts w:ascii="Calibri" w:hAnsi="Calibri"/>
          <w:sz w:val="22"/>
          <w:szCs w:val="22"/>
          <w:lang w:val="en-US"/>
        </w:rPr>
        <w:tab/>
      </w:r>
      <w:r w:rsidRPr="004D0DAA">
        <w:t>Release of uplink EC TBF</w:t>
      </w:r>
      <w:r w:rsidRPr="004D0DAA">
        <w:tab/>
      </w:r>
      <w:r w:rsidRPr="004D0DAA">
        <w:fldChar w:fldCharType="begin" w:fldLock="1"/>
      </w:r>
      <w:r w:rsidRPr="004D0DAA">
        <w:instrText xml:space="preserve"> PAGEREF _Toc516669650 \h </w:instrText>
      </w:r>
      <w:r w:rsidRPr="004D0DAA">
        <w:fldChar w:fldCharType="separate"/>
      </w:r>
      <w:r w:rsidRPr="004D0DAA">
        <w:t>237</w:t>
      </w:r>
      <w:r w:rsidRPr="004D0DAA">
        <w:fldChar w:fldCharType="end"/>
      </w:r>
    </w:p>
    <w:p w14:paraId="15B1877D" w14:textId="77777777" w:rsidR="00683705" w:rsidRPr="004D0DAA" w:rsidRDefault="00683705">
      <w:pPr>
        <w:pStyle w:val="TOC4"/>
        <w:rPr>
          <w:rFonts w:ascii="Calibri" w:hAnsi="Calibri"/>
          <w:sz w:val="22"/>
          <w:szCs w:val="22"/>
          <w:lang w:val="en-US"/>
        </w:rPr>
      </w:pPr>
      <w:r w:rsidRPr="004D0DAA">
        <w:t>9.3.2.5</w:t>
      </w:r>
      <w:r w:rsidRPr="004D0DAA">
        <w:rPr>
          <w:rFonts w:ascii="Calibri" w:hAnsi="Calibri"/>
          <w:sz w:val="22"/>
          <w:szCs w:val="22"/>
          <w:lang w:val="en-US"/>
        </w:rPr>
        <w:tab/>
      </w:r>
      <w:r w:rsidRPr="004D0DAA">
        <w:t>Operation of downlink Temporary Block Flow</w:t>
      </w:r>
      <w:r w:rsidRPr="004D0DAA">
        <w:tab/>
      </w:r>
      <w:r w:rsidRPr="004D0DAA">
        <w:fldChar w:fldCharType="begin" w:fldLock="1"/>
      </w:r>
      <w:r w:rsidRPr="004D0DAA">
        <w:instrText xml:space="preserve"> PAGEREF _Toc516669651 \h </w:instrText>
      </w:r>
      <w:r w:rsidRPr="004D0DAA">
        <w:fldChar w:fldCharType="separate"/>
      </w:r>
      <w:r w:rsidRPr="004D0DAA">
        <w:t>238</w:t>
      </w:r>
      <w:r w:rsidRPr="004D0DAA">
        <w:fldChar w:fldCharType="end"/>
      </w:r>
    </w:p>
    <w:p w14:paraId="56A78AAB" w14:textId="77777777" w:rsidR="00683705" w:rsidRPr="004D0DAA" w:rsidRDefault="00683705">
      <w:pPr>
        <w:pStyle w:val="TOC4"/>
        <w:rPr>
          <w:rFonts w:ascii="Calibri" w:hAnsi="Calibri"/>
          <w:sz w:val="22"/>
          <w:szCs w:val="22"/>
          <w:lang w:val="en-US"/>
        </w:rPr>
      </w:pPr>
      <w:r w:rsidRPr="004D0DAA">
        <w:t>9.3.2.6</w:t>
      </w:r>
      <w:r w:rsidRPr="004D0DAA">
        <w:rPr>
          <w:rFonts w:ascii="Calibri" w:hAnsi="Calibri"/>
          <w:sz w:val="22"/>
          <w:szCs w:val="22"/>
          <w:lang w:val="en-US"/>
        </w:rPr>
        <w:tab/>
      </w:r>
      <w:r w:rsidRPr="004D0DAA">
        <w:t>Release of downlink Temporary Block Flow</w:t>
      </w:r>
      <w:r w:rsidRPr="004D0DAA">
        <w:tab/>
      </w:r>
      <w:r w:rsidRPr="004D0DAA">
        <w:fldChar w:fldCharType="begin" w:fldLock="1"/>
      </w:r>
      <w:r w:rsidRPr="004D0DAA">
        <w:instrText xml:space="preserve"> PAGEREF _Toc516669652 \h </w:instrText>
      </w:r>
      <w:r w:rsidRPr="004D0DAA">
        <w:fldChar w:fldCharType="separate"/>
      </w:r>
      <w:r w:rsidRPr="004D0DAA">
        <w:t>239</w:t>
      </w:r>
      <w:r w:rsidRPr="004D0DAA">
        <w:fldChar w:fldCharType="end"/>
      </w:r>
    </w:p>
    <w:p w14:paraId="747FAE2A" w14:textId="77777777" w:rsidR="00683705" w:rsidRPr="004D0DAA" w:rsidRDefault="00683705">
      <w:pPr>
        <w:pStyle w:val="TOC3"/>
        <w:rPr>
          <w:rFonts w:ascii="Calibri" w:hAnsi="Calibri"/>
          <w:sz w:val="22"/>
          <w:szCs w:val="22"/>
          <w:lang w:val="en-US"/>
        </w:rPr>
      </w:pPr>
      <w:r w:rsidRPr="004D0DAA">
        <w:t>9.3.3</w:t>
      </w:r>
      <w:r w:rsidRPr="004D0DAA">
        <w:rPr>
          <w:rFonts w:ascii="Calibri" w:hAnsi="Calibri"/>
          <w:sz w:val="22"/>
          <w:szCs w:val="22"/>
          <w:lang w:val="en-US"/>
        </w:rPr>
        <w:tab/>
      </w:r>
      <w:r w:rsidRPr="004D0DAA">
        <w:t>Unacknowledged mode operation</w:t>
      </w:r>
      <w:r w:rsidRPr="004D0DAA">
        <w:tab/>
      </w:r>
      <w:r w:rsidRPr="004D0DAA">
        <w:fldChar w:fldCharType="begin" w:fldLock="1"/>
      </w:r>
      <w:r w:rsidRPr="004D0DAA">
        <w:instrText xml:space="preserve"> PAGEREF _Toc516669653 \h </w:instrText>
      </w:r>
      <w:r w:rsidRPr="004D0DAA">
        <w:fldChar w:fldCharType="separate"/>
      </w:r>
      <w:r w:rsidRPr="004D0DAA">
        <w:t>241</w:t>
      </w:r>
      <w:r w:rsidRPr="004D0DAA">
        <w:fldChar w:fldCharType="end"/>
      </w:r>
    </w:p>
    <w:p w14:paraId="61497E9C" w14:textId="77777777" w:rsidR="00683705" w:rsidRPr="004D0DAA" w:rsidRDefault="00683705">
      <w:pPr>
        <w:pStyle w:val="TOC4"/>
        <w:rPr>
          <w:rFonts w:ascii="Calibri" w:hAnsi="Calibri"/>
          <w:sz w:val="22"/>
          <w:szCs w:val="22"/>
          <w:lang w:val="en-US"/>
        </w:rPr>
      </w:pPr>
      <w:r w:rsidRPr="004D0DAA">
        <w:t>9.3.3.0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_Toc516669654 \h </w:instrText>
      </w:r>
      <w:r w:rsidRPr="004D0DAA">
        <w:fldChar w:fldCharType="separate"/>
      </w:r>
      <w:r w:rsidRPr="004D0DAA">
        <w:t>241</w:t>
      </w:r>
      <w:r w:rsidRPr="004D0DAA">
        <w:fldChar w:fldCharType="end"/>
      </w:r>
    </w:p>
    <w:p w14:paraId="5B8B2287" w14:textId="77777777" w:rsidR="00683705" w:rsidRPr="004D0DAA" w:rsidRDefault="00683705">
      <w:pPr>
        <w:pStyle w:val="TOC4"/>
        <w:rPr>
          <w:rFonts w:ascii="Calibri" w:hAnsi="Calibri"/>
          <w:sz w:val="22"/>
          <w:szCs w:val="22"/>
          <w:lang w:val="en-US"/>
        </w:rPr>
      </w:pPr>
      <w:r w:rsidRPr="004D0DAA">
        <w:t>9.3.3.1</w:t>
      </w:r>
      <w:r w:rsidRPr="004D0DAA">
        <w:rPr>
          <w:rFonts w:ascii="Calibri" w:hAnsi="Calibri"/>
          <w:sz w:val="22"/>
          <w:szCs w:val="22"/>
          <w:lang w:val="en-US"/>
        </w:rPr>
        <w:tab/>
      </w:r>
      <w:r w:rsidRPr="004D0DAA">
        <w:t>Establishment of Temporary Block Flow</w:t>
      </w:r>
      <w:r w:rsidRPr="004D0DAA">
        <w:tab/>
      </w:r>
      <w:r w:rsidRPr="004D0DAA">
        <w:fldChar w:fldCharType="begin" w:fldLock="1"/>
      </w:r>
      <w:r w:rsidRPr="004D0DAA">
        <w:instrText xml:space="preserve"> PAGEREF _Toc516669655 \h </w:instrText>
      </w:r>
      <w:r w:rsidRPr="004D0DAA">
        <w:fldChar w:fldCharType="separate"/>
      </w:r>
      <w:r w:rsidRPr="004D0DAA">
        <w:t>241</w:t>
      </w:r>
      <w:r w:rsidRPr="004D0DAA">
        <w:fldChar w:fldCharType="end"/>
      </w:r>
    </w:p>
    <w:p w14:paraId="03B8788D" w14:textId="77777777" w:rsidR="00683705" w:rsidRPr="004D0DAA" w:rsidRDefault="00683705">
      <w:pPr>
        <w:pStyle w:val="TOC4"/>
        <w:rPr>
          <w:rFonts w:ascii="Calibri" w:hAnsi="Calibri"/>
          <w:sz w:val="22"/>
          <w:szCs w:val="22"/>
          <w:lang w:val="en-US"/>
        </w:rPr>
      </w:pPr>
      <w:r w:rsidRPr="004D0DAA">
        <w:t>9.3.3.2</w:t>
      </w:r>
      <w:r w:rsidRPr="004D0DAA">
        <w:rPr>
          <w:rFonts w:ascii="Calibri" w:hAnsi="Calibri"/>
          <w:sz w:val="22"/>
          <w:szCs w:val="22"/>
          <w:lang w:val="en-US"/>
        </w:rPr>
        <w:tab/>
      </w:r>
      <w:r w:rsidRPr="004D0DAA">
        <w:t>Operation of uplink Temporary Block Flow</w:t>
      </w:r>
      <w:r w:rsidRPr="004D0DAA">
        <w:tab/>
      </w:r>
      <w:r w:rsidRPr="004D0DAA">
        <w:fldChar w:fldCharType="begin" w:fldLock="1"/>
      </w:r>
      <w:r w:rsidRPr="004D0DAA">
        <w:instrText xml:space="preserve"> PAGEREF _Toc516669656 \h </w:instrText>
      </w:r>
      <w:r w:rsidRPr="004D0DAA">
        <w:fldChar w:fldCharType="separate"/>
      </w:r>
      <w:r w:rsidRPr="004D0DAA">
        <w:t>241</w:t>
      </w:r>
      <w:r w:rsidRPr="004D0DAA">
        <w:fldChar w:fldCharType="end"/>
      </w:r>
    </w:p>
    <w:p w14:paraId="56F57517" w14:textId="77777777" w:rsidR="00683705" w:rsidRPr="004D0DAA" w:rsidRDefault="00683705">
      <w:pPr>
        <w:pStyle w:val="TOC4"/>
        <w:rPr>
          <w:rFonts w:ascii="Calibri" w:hAnsi="Calibri"/>
          <w:sz w:val="22"/>
          <w:szCs w:val="22"/>
          <w:lang w:val="en-US"/>
        </w:rPr>
      </w:pPr>
      <w:r w:rsidRPr="004D0DAA">
        <w:t>9.3.3.3</w:t>
      </w:r>
      <w:r w:rsidRPr="004D0DAA">
        <w:rPr>
          <w:rFonts w:ascii="Calibri" w:hAnsi="Calibri"/>
          <w:sz w:val="22"/>
          <w:szCs w:val="22"/>
          <w:lang w:val="en-US"/>
        </w:rPr>
        <w:tab/>
      </w:r>
      <w:r w:rsidRPr="004D0DAA">
        <w:t>Release of uplink Temporary Block Flow</w:t>
      </w:r>
      <w:r w:rsidRPr="004D0DAA">
        <w:tab/>
      </w:r>
      <w:r w:rsidRPr="004D0DAA">
        <w:fldChar w:fldCharType="begin" w:fldLock="1"/>
      </w:r>
      <w:r w:rsidRPr="004D0DAA">
        <w:instrText xml:space="preserve"> PAGEREF _Toc516669657 \h </w:instrText>
      </w:r>
      <w:r w:rsidRPr="004D0DAA">
        <w:fldChar w:fldCharType="separate"/>
      </w:r>
      <w:r w:rsidRPr="004D0DAA">
        <w:t>241</w:t>
      </w:r>
      <w:r w:rsidRPr="004D0DAA">
        <w:fldChar w:fldCharType="end"/>
      </w:r>
    </w:p>
    <w:p w14:paraId="2199D238" w14:textId="77777777" w:rsidR="00683705" w:rsidRPr="004D0DAA" w:rsidRDefault="00683705">
      <w:pPr>
        <w:pStyle w:val="TOC5"/>
        <w:rPr>
          <w:rFonts w:ascii="Calibri" w:hAnsi="Calibri"/>
          <w:sz w:val="22"/>
          <w:szCs w:val="22"/>
          <w:lang w:val="en-US"/>
        </w:rPr>
      </w:pPr>
      <w:r w:rsidRPr="004D0DAA">
        <w:t>9.3.3.3.1</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_Toc516669658 \h </w:instrText>
      </w:r>
      <w:r w:rsidRPr="004D0DAA">
        <w:fldChar w:fldCharType="separate"/>
      </w:r>
      <w:r w:rsidRPr="004D0DAA">
        <w:t>241</w:t>
      </w:r>
      <w:r w:rsidRPr="004D0DAA">
        <w:fldChar w:fldCharType="end"/>
      </w:r>
    </w:p>
    <w:p w14:paraId="2522602C" w14:textId="77777777" w:rsidR="00683705" w:rsidRPr="004D0DAA" w:rsidRDefault="00683705">
      <w:pPr>
        <w:pStyle w:val="TOC5"/>
        <w:rPr>
          <w:rFonts w:ascii="Calibri" w:hAnsi="Calibri"/>
          <w:sz w:val="22"/>
          <w:szCs w:val="22"/>
          <w:lang w:val="en-US"/>
        </w:rPr>
      </w:pPr>
      <w:r w:rsidRPr="004D0DAA">
        <w:t>9.3.3.3.2</w:t>
      </w:r>
      <w:r w:rsidRPr="004D0DAA">
        <w:rPr>
          <w:rFonts w:ascii="Calibri" w:hAnsi="Calibri"/>
          <w:sz w:val="22"/>
          <w:szCs w:val="22"/>
          <w:lang w:val="en-US"/>
        </w:rPr>
        <w:tab/>
      </w:r>
      <w:r w:rsidRPr="004D0DAA">
        <w:t>Non-extended uplink TBF mode</w:t>
      </w:r>
      <w:r w:rsidRPr="004D0DAA">
        <w:tab/>
      </w:r>
      <w:r w:rsidRPr="004D0DAA">
        <w:fldChar w:fldCharType="begin" w:fldLock="1"/>
      </w:r>
      <w:r w:rsidRPr="004D0DAA">
        <w:instrText xml:space="preserve"> PAGEREF _Toc516669659 \h </w:instrText>
      </w:r>
      <w:r w:rsidRPr="004D0DAA">
        <w:fldChar w:fldCharType="separate"/>
      </w:r>
      <w:r w:rsidRPr="004D0DAA">
        <w:t>242</w:t>
      </w:r>
      <w:r w:rsidRPr="004D0DAA">
        <w:fldChar w:fldCharType="end"/>
      </w:r>
    </w:p>
    <w:p w14:paraId="32D049CF" w14:textId="77777777" w:rsidR="00683705" w:rsidRPr="004D0DAA" w:rsidRDefault="00683705">
      <w:pPr>
        <w:pStyle w:val="TOC4"/>
        <w:rPr>
          <w:rFonts w:ascii="Calibri" w:hAnsi="Calibri"/>
          <w:sz w:val="22"/>
          <w:szCs w:val="22"/>
          <w:lang w:val="en-US"/>
        </w:rPr>
      </w:pPr>
      <w:r w:rsidRPr="004D0DAA">
        <w:t>9.3.3.4</w:t>
      </w:r>
      <w:r w:rsidRPr="004D0DAA">
        <w:rPr>
          <w:rFonts w:ascii="Calibri" w:hAnsi="Calibri"/>
          <w:sz w:val="22"/>
          <w:szCs w:val="22"/>
          <w:lang w:val="en-US"/>
        </w:rPr>
        <w:tab/>
      </w:r>
      <w:r w:rsidRPr="004D0DAA">
        <w:t>Operation of downlink Temporary Block Flow</w:t>
      </w:r>
      <w:r w:rsidRPr="004D0DAA">
        <w:tab/>
      </w:r>
      <w:r w:rsidRPr="004D0DAA">
        <w:fldChar w:fldCharType="begin" w:fldLock="1"/>
      </w:r>
      <w:r w:rsidRPr="004D0DAA">
        <w:instrText xml:space="preserve"> PAGEREF _Toc516669660 \h </w:instrText>
      </w:r>
      <w:r w:rsidRPr="004D0DAA">
        <w:fldChar w:fldCharType="separate"/>
      </w:r>
      <w:r w:rsidRPr="004D0DAA">
        <w:t>243</w:t>
      </w:r>
      <w:r w:rsidRPr="004D0DAA">
        <w:fldChar w:fldCharType="end"/>
      </w:r>
    </w:p>
    <w:p w14:paraId="7BAC4B29" w14:textId="77777777" w:rsidR="00683705" w:rsidRPr="004D0DAA" w:rsidRDefault="00683705">
      <w:pPr>
        <w:pStyle w:val="TOC4"/>
        <w:rPr>
          <w:rFonts w:ascii="Calibri" w:hAnsi="Calibri"/>
          <w:sz w:val="22"/>
          <w:szCs w:val="22"/>
          <w:lang w:val="en-US"/>
        </w:rPr>
      </w:pPr>
      <w:r w:rsidRPr="004D0DAA">
        <w:t>9.3.3.5</w:t>
      </w:r>
      <w:r w:rsidRPr="004D0DAA">
        <w:rPr>
          <w:rFonts w:ascii="Calibri" w:hAnsi="Calibri"/>
          <w:sz w:val="22"/>
          <w:szCs w:val="22"/>
          <w:lang w:val="en-US"/>
        </w:rPr>
        <w:tab/>
      </w:r>
      <w:r w:rsidRPr="004D0DAA">
        <w:t>Release of downlink Temporary Block Flow</w:t>
      </w:r>
      <w:r w:rsidRPr="004D0DAA">
        <w:tab/>
      </w:r>
      <w:r w:rsidRPr="004D0DAA">
        <w:fldChar w:fldCharType="begin" w:fldLock="1"/>
      </w:r>
      <w:r w:rsidRPr="004D0DAA">
        <w:instrText xml:space="preserve"> PAGEREF _Toc516669661 \h </w:instrText>
      </w:r>
      <w:r w:rsidRPr="004D0DAA">
        <w:fldChar w:fldCharType="separate"/>
      </w:r>
      <w:r w:rsidRPr="004D0DAA">
        <w:t>243</w:t>
      </w:r>
      <w:r w:rsidRPr="004D0DAA">
        <w:fldChar w:fldCharType="end"/>
      </w:r>
    </w:p>
    <w:p w14:paraId="1BCC503E" w14:textId="77777777" w:rsidR="00683705" w:rsidRPr="004D0DAA" w:rsidRDefault="00683705">
      <w:pPr>
        <w:pStyle w:val="TOC3"/>
        <w:rPr>
          <w:rFonts w:ascii="Calibri" w:hAnsi="Calibri"/>
          <w:sz w:val="22"/>
          <w:szCs w:val="22"/>
          <w:lang w:val="en-US"/>
        </w:rPr>
      </w:pPr>
      <w:r w:rsidRPr="004D0DAA">
        <w:t>9.3.4</w:t>
      </w:r>
      <w:r w:rsidRPr="004D0DAA">
        <w:rPr>
          <w:rFonts w:ascii="Calibri" w:hAnsi="Calibri"/>
          <w:sz w:val="22"/>
          <w:szCs w:val="22"/>
          <w:lang w:val="en-US"/>
        </w:rPr>
        <w:tab/>
      </w:r>
      <w:r w:rsidRPr="004D0DAA">
        <w:t>Non-persistent mode operation</w:t>
      </w:r>
      <w:r w:rsidRPr="004D0DAA">
        <w:tab/>
      </w:r>
      <w:r w:rsidRPr="004D0DAA">
        <w:fldChar w:fldCharType="begin" w:fldLock="1"/>
      </w:r>
      <w:r w:rsidRPr="004D0DAA">
        <w:instrText xml:space="preserve"> PAGEREF _Toc516669662 \h </w:instrText>
      </w:r>
      <w:r w:rsidRPr="004D0DAA">
        <w:fldChar w:fldCharType="separate"/>
      </w:r>
      <w:r w:rsidRPr="004D0DAA">
        <w:t>244</w:t>
      </w:r>
      <w:r w:rsidRPr="004D0DAA">
        <w:fldChar w:fldCharType="end"/>
      </w:r>
    </w:p>
    <w:p w14:paraId="082F272E" w14:textId="77777777" w:rsidR="00683705" w:rsidRPr="004D0DAA" w:rsidRDefault="00683705">
      <w:pPr>
        <w:pStyle w:val="TOC4"/>
        <w:rPr>
          <w:rFonts w:ascii="Calibri" w:hAnsi="Calibri"/>
          <w:sz w:val="22"/>
          <w:szCs w:val="22"/>
          <w:lang w:val="en-US"/>
        </w:rPr>
      </w:pPr>
      <w:r w:rsidRPr="004D0DAA">
        <w:t>9.3.4.0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_Toc516669663 \h </w:instrText>
      </w:r>
      <w:r w:rsidRPr="004D0DAA">
        <w:fldChar w:fldCharType="separate"/>
      </w:r>
      <w:r w:rsidRPr="004D0DAA">
        <w:t>244</w:t>
      </w:r>
      <w:r w:rsidRPr="004D0DAA">
        <w:fldChar w:fldCharType="end"/>
      </w:r>
    </w:p>
    <w:p w14:paraId="13FEBC39" w14:textId="77777777" w:rsidR="00683705" w:rsidRPr="004D0DAA" w:rsidRDefault="00683705">
      <w:pPr>
        <w:pStyle w:val="TOC4"/>
        <w:rPr>
          <w:rFonts w:ascii="Calibri" w:hAnsi="Calibri"/>
          <w:sz w:val="22"/>
          <w:szCs w:val="22"/>
          <w:lang w:val="en-US"/>
        </w:rPr>
      </w:pPr>
      <w:r w:rsidRPr="004D0DAA">
        <w:t>9.3.4.1</w:t>
      </w:r>
      <w:r w:rsidRPr="004D0DAA">
        <w:rPr>
          <w:rFonts w:ascii="Calibri" w:hAnsi="Calibri"/>
          <w:sz w:val="22"/>
          <w:szCs w:val="22"/>
          <w:lang w:val="en-US"/>
        </w:rPr>
        <w:tab/>
      </w:r>
      <w:r w:rsidRPr="004D0DAA">
        <w:t>Operation during an MBMS bearer</w:t>
      </w:r>
      <w:r w:rsidRPr="004D0DAA">
        <w:tab/>
      </w:r>
      <w:r w:rsidRPr="004D0DAA">
        <w:fldChar w:fldCharType="begin" w:fldLock="1"/>
      </w:r>
      <w:r w:rsidRPr="004D0DAA">
        <w:instrText xml:space="preserve"> PAGEREF _Toc516669664 \h </w:instrText>
      </w:r>
      <w:r w:rsidRPr="004D0DAA">
        <w:fldChar w:fldCharType="separate"/>
      </w:r>
      <w:r w:rsidRPr="004D0DAA">
        <w:t>245</w:t>
      </w:r>
      <w:r w:rsidRPr="004D0DAA">
        <w:fldChar w:fldCharType="end"/>
      </w:r>
    </w:p>
    <w:p w14:paraId="2E878623" w14:textId="77777777" w:rsidR="00683705" w:rsidRPr="004D0DAA" w:rsidRDefault="00683705">
      <w:pPr>
        <w:pStyle w:val="TOC4"/>
        <w:rPr>
          <w:rFonts w:ascii="Calibri" w:hAnsi="Calibri"/>
          <w:sz w:val="22"/>
          <w:szCs w:val="22"/>
          <w:lang w:val="en-US"/>
        </w:rPr>
      </w:pPr>
      <w:r w:rsidRPr="004D0DAA">
        <w:t>9.3.4.2</w:t>
      </w:r>
      <w:r w:rsidRPr="004D0DAA">
        <w:rPr>
          <w:rFonts w:ascii="Calibri" w:hAnsi="Calibri"/>
          <w:sz w:val="22"/>
          <w:szCs w:val="22"/>
          <w:lang w:val="en-US"/>
        </w:rPr>
        <w:tab/>
      </w:r>
      <w:r w:rsidRPr="004D0DAA">
        <w:t>Release of an MBMS radio bearer</w:t>
      </w:r>
      <w:r w:rsidRPr="004D0DAA">
        <w:tab/>
      </w:r>
      <w:r w:rsidRPr="004D0DAA">
        <w:fldChar w:fldCharType="begin" w:fldLock="1"/>
      </w:r>
      <w:r w:rsidRPr="004D0DAA">
        <w:instrText xml:space="preserve"> PAGEREF _Toc516669665 \h </w:instrText>
      </w:r>
      <w:r w:rsidRPr="004D0DAA">
        <w:fldChar w:fldCharType="separate"/>
      </w:r>
      <w:r w:rsidRPr="004D0DAA">
        <w:t>245</w:t>
      </w:r>
      <w:r w:rsidRPr="004D0DAA">
        <w:fldChar w:fldCharType="end"/>
      </w:r>
    </w:p>
    <w:p w14:paraId="2031C5BB" w14:textId="77777777" w:rsidR="00683705" w:rsidRPr="004D0DAA" w:rsidRDefault="00683705">
      <w:pPr>
        <w:pStyle w:val="TOC4"/>
        <w:rPr>
          <w:rFonts w:ascii="Calibri" w:hAnsi="Calibri"/>
          <w:sz w:val="22"/>
          <w:szCs w:val="22"/>
          <w:lang w:val="en-US"/>
        </w:rPr>
      </w:pPr>
      <w:r w:rsidRPr="004D0DAA">
        <w:lastRenderedPageBreak/>
        <w:t>9.3.4.3</w:t>
      </w:r>
      <w:r w:rsidRPr="004D0DAA">
        <w:rPr>
          <w:rFonts w:ascii="Calibri" w:hAnsi="Calibri"/>
          <w:sz w:val="22"/>
          <w:szCs w:val="22"/>
          <w:lang w:val="en-US"/>
        </w:rPr>
        <w:tab/>
      </w:r>
      <w:r w:rsidRPr="004D0DAA">
        <w:t>Operation during an EGPRS TBF</w:t>
      </w:r>
      <w:r w:rsidRPr="004D0DAA">
        <w:tab/>
      </w:r>
      <w:r w:rsidRPr="004D0DAA">
        <w:fldChar w:fldCharType="begin" w:fldLock="1"/>
      </w:r>
      <w:r w:rsidRPr="004D0DAA">
        <w:instrText xml:space="preserve"> PAGEREF _Toc516669666 \h </w:instrText>
      </w:r>
      <w:r w:rsidRPr="004D0DAA">
        <w:fldChar w:fldCharType="separate"/>
      </w:r>
      <w:r w:rsidRPr="004D0DAA">
        <w:t>245</w:t>
      </w:r>
      <w:r w:rsidRPr="004D0DAA">
        <w:fldChar w:fldCharType="end"/>
      </w:r>
    </w:p>
    <w:p w14:paraId="307B68AE" w14:textId="77777777" w:rsidR="00683705" w:rsidRPr="004D0DAA" w:rsidRDefault="00683705">
      <w:pPr>
        <w:pStyle w:val="TOC2"/>
        <w:rPr>
          <w:rFonts w:ascii="Calibri" w:hAnsi="Calibri"/>
          <w:sz w:val="22"/>
          <w:szCs w:val="22"/>
          <w:lang w:val="en-US"/>
        </w:rPr>
      </w:pPr>
      <w:r w:rsidRPr="004D0DAA">
        <w:t>9.4</w:t>
      </w:r>
      <w:r w:rsidRPr="004D0DAA">
        <w:rPr>
          <w:rFonts w:ascii="Calibri" w:hAnsi="Calibri"/>
          <w:sz w:val="22"/>
          <w:szCs w:val="22"/>
          <w:lang w:val="en-US"/>
        </w:rPr>
        <w:tab/>
      </w:r>
      <w:r w:rsidRPr="004D0DAA">
        <w:t>Abnormal release cases</w:t>
      </w:r>
      <w:r w:rsidRPr="004D0DAA">
        <w:tab/>
      </w:r>
      <w:r w:rsidRPr="004D0DAA">
        <w:fldChar w:fldCharType="begin" w:fldLock="1"/>
      </w:r>
      <w:r w:rsidRPr="004D0DAA">
        <w:instrText xml:space="preserve"> PAGEREF _Toc516669667 \h </w:instrText>
      </w:r>
      <w:r w:rsidRPr="004D0DAA">
        <w:fldChar w:fldCharType="separate"/>
      </w:r>
      <w:r w:rsidRPr="004D0DAA">
        <w:t>245</w:t>
      </w:r>
      <w:r w:rsidRPr="004D0DAA">
        <w:fldChar w:fldCharType="end"/>
      </w:r>
    </w:p>
    <w:p w14:paraId="096BBB93" w14:textId="77777777" w:rsidR="00683705" w:rsidRPr="004D0DAA" w:rsidRDefault="00683705">
      <w:pPr>
        <w:pStyle w:val="TOC3"/>
        <w:rPr>
          <w:rFonts w:ascii="Calibri" w:hAnsi="Calibri"/>
          <w:sz w:val="22"/>
          <w:szCs w:val="22"/>
          <w:lang w:val="en-US"/>
        </w:rPr>
      </w:pPr>
      <w:r w:rsidRPr="004D0DAA">
        <w:t>9.4.1</w:t>
      </w:r>
      <w:r w:rsidRPr="004D0DAA">
        <w:rPr>
          <w:rFonts w:ascii="Calibri" w:hAnsi="Calibri"/>
          <w:sz w:val="22"/>
          <w:szCs w:val="22"/>
          <w:lang w:val="en-US"/>
        </w:rPr>
        <w:tab/>
      </w:r>
      <w:r w:rsidRPr="004D0DAA">
        <w:t>Abnormal release with access retry</w:t>
      </w:r>
      <w:r w:rsidRPr="004D0DAA">
        <w:tab/>
      </w:r>
      <w:r w:rsidRPr="004D0DAA">
        <w:fldChar w:fldCharType="begin" w:fldLock="1"/>
      </w:r>
      <w:r w:rsidRPr="004D0DAA">
        <w:instrText xml:space="preserve"> PAGEREF _Toc516669668 \h </w:instrText>
      </w:r>
      <w:r w:rsidRPr="004D0DAA">
        <w:fldChar w:fldCharType="separate"/>
      </w:r>
      <w:r w:rsidRPr="004D0DAA">
        <w:t>245</w:t>
      </w:r>
      <w:r w:rsidRPr="004D0DAA">
        <w:fldChar w:fldCharType="end"/>
      </w:r>
    </w:p>
    <w:p w14:paraId="05079A26" w14:textId="77777777" w:rsidR="00683705" w:rsidRPr="004D0DAA" w:rsidRDefault="00683705">
      <w:pPr>
        <w:pStyle w:val="TOC3"/>
        <w:rPr>
          <w:rFonts w:ascii="Calibri" w:hAnsi="Calibri"/>
          <w:sz w:val="22"/>
          <w:szCs w:val="22"/>
          <w:lang w:val="en-US"/>
        </w:rPr>
      </w:pPr>
      <w:r w:rsidRPr="004D0DAA">
        <w:t>9.4.2</w:t>
      </w:r>
      <w:r w:rsidRPr="004D0DAA">
        <w:rPr>
          <w:rFonts w:ascii="Calibri" w:hAnsi="Calibri"/>
          <w:sz w:val="22"/>
          <w:szCs w:val="22"/>
          <w:lang w:val="en-US"/>
        </w:rPr>
        <w:tab/>
      </w:r>
      <w:r w:rsidRPr="004D0DAA">
        <w:t>Abnormal release with cell reselection</w:t>
      </w:r>
      <w:r w:rsidRPr="004D0DAA">
        <w:tab/>
      </w:r>
      <w:r w:rsidRPr="004D0DAA">
        <w:fldChar w:fldCharType="begin" w:fldLock="1"/>
      </w:r>
      <w:r w:rsidRPr="004D0DAA">
        <w:instrText xml:space="preserve"> PAGEREF _Toc516669669 \h </w:instrText>
      </w:r>
      <w:r w:rsidRPr="004D0DAA">
        <w:fldChar w:fldCharType="separate"/>
      </w:r>
      <w:r w:rsidRPr="004D0DAA">
        <w:t>245</w:t>
      </w:r>
      <w:r w:rsidRPr="004D0DAA">
        <w:fldChar w:fldCharType="end"/>
      </w:r>
    </w:p>
    <w:p w14:paraId="0FB14992" w14:textId="77777777" w:rsidR="00683705" w:rsidRPr="004D0DAA" w:rsidRDefault="00683705">
      <w:pPr>
        <w:pStyle w:val="TOC2"/>
        <w:rPr>
          <w:rFonts w:ascii="Calibri" w:hAnsi="Calibri"/>
          <w:sz w:val="22"/>
          <w:szCs w:val="22"/>
          <w:lang w:val="en-US"/>
        </w:rPr>
      </w:pPr>
      <w:r w:rsidRPr="004D0DAA">
        <w:t>9.5</w:t>
      </w:r>
      <w:r w:rsidRPr="004D0DAA">
        <w:rPr>
          <w:rFonts w:ascii="Calibri" w:hAnsi="Calibri"/>
          <w:sz w:val="22"/>
          <w:szCs w:val="22"/>
          <w:lang w:val="en-US"/>
        </w:rPr>
        <w:tab/>
      </w:r>
      <w:r w:rsidRPr="004D0DAA">
        <w:t>Uplink TBF release in extended uplink TBF mode</w:t>
      </w:r>
      <w:r w:rsidRPr="004D0DAA">
        <w:tab/>
      </w:r>
      <w:r w:rsidRPr="004D0DAA">
        <w:fldChar w:fldCharType="begin" w:fldLock="1"/>
      </w:r>
      <w:r w:rsidRPr="004D0DAA">
        <w:instrText xml:space="preserve"> PAGEREF _Toc516669670 \h </w:instrText>
      </w:r>
      <w:r w:rsidRPr="004D0DAA">
        <w:fldChar w:fldCharType="separate"/>
      </w:r>
      <w:r w:rsidRPr="004D0DAA">
        <w:t>245</w:t>
      </w:r>
      <w:r w:rsidRPr="004D0DAA">
        <w:fldChar w:fldCharType="end"/>
      </w:r>
    </w:p>
    <w:p w14:paraId="1F602E7F" w14:textId="77777777" w:rsidR="00683705" w:rsidRPr="004D0DAA" w:rsidRDefault="00683705">
      <w:pPr>
        <w:pStyle w:val="TOC1"/>
        <w:rPr>
          <w:rFonts w:ascii="Calibri" w:hAnsi="Calibri"/>
          <w:szCs w:val="22"/>
          <w:lang w:val="en-US"/>
        </w:rPr>
      </w:pPr>
      <w:r w:rsidRPr="004D0DAA">
        <w:t>10</w:t>
      </w:r>
      <w:r w:rsidRPr="004D0DAA">
        <w:rPr>
          <w:rFonts w:ascii="Calibri" w:hAnsi="Calibri"/>
          <w:szCs w:val="22"/>
          <w:lang w:val="en-US"/>
        </w:rPr>
        <w:tab/>
      </w:r>
      <w:r w:rsidRPr="004D0DAA">
        <w:t>RLC/MAC block structure</w:t>
      </w:r>
      <w:r w:rsidRPr="004D0DAA">
        <w:tab/>
      </w:r>
      <w:r w:rsidRPr="004D0DAA">
        <w:fldChar w:fldCharType="begin" w:fldLock="1"/>
      </w:r>
      <w:r w:rsidRPr="004D0DAA">
        <w:instrText xml:space="preserve"> PAGEREF _Toc516669671 \h </w:instrText>
      </w:r>
      <w:r w:rsidRPr="004D0DAA">
        <w:fldChar w:fldCharType="separate"/>
      </w:r>
      <w:r w:rsidRPr="004D0DAA">
        <w:t>247</w:t>
      </w:r>
      <w:r w:rsidRPr="004D0DAA">
        <w:fldChar w:fldCharType="end"/>
      </w:r>
    </w:p>
    <w:p w14:paraId="47E48A6A" w14:textId="77777777" w:rsidR="00683705" w:rsidRPr="004D0DAA" w:rsidRDefault="00683705">
      <w:pPr>
        <w:pStyle w:val="TOC2"/>
        <w:rPr>
          <w:rFonts w:ascii="Calibri" w:hAnsi="Calibri"/>
          <w:sz w:val="22"/>
          <w:szCs w:val="22"/>
          <w:lang w:val="en-US"/>
        </w:rPr>
      </w:pPr>
      <w:r w:rsidRPr="004D0DAA">
        <w:t>10.0a</w:t>
      </w:r>
      <w:r w:rsidRPr="004D0DAA">
        <w:rPr>
          <w:rFonts w:ascii="Calibri" w:hAnsi="Calibri"/>
          <w:sz w:val="22"/>
          <w:szCs w:val="22"/>
          <w:lang w:val="en-US"/>
        </w:rPr>
        <w:tab/>
      </w:r>
      <w:r w:rsidRPr="004D0DAA">
        <w:t>RLC/MAC block structure</w:t>
      </w:r>
      <w:r w:rsidRPr="004D0DAA">
        <w:tab/>
      </w:r>
      <w:r w:rsidRPr="004D0DAA">
        <w:fldChar w:fldCharType="begin" w:fldLock="1"/>
      </w:r>
      <w:r w:rsidRPr="004D0DAA">
        <w:instrText xml:space="preserve"> PAGEREF _Toc516669672 \h </w:instrText>
      </w:r>
      <w:r w:rsidRPr="004D0DAA">
        <w:fldChar w:fldCharType="separate"/>
      </w:r>
      <w:r w:rsidRPr="004D0DAA">
        <w:t>247</w:t>
      </w:r>
      <w:r w:rsidRPr="004D0DAA">
        <w:fldChar w:fldCharType="end"/>
      </w:r>
    </w:p>
    <w:p w14:paraId="259EDAE7" w14:textId="77777777" w:rsidR="00683705" w:rsidRPr="004D0DAA" w:rsidRDefault="00683705">
      <w:pPr>
        <w:pStyle w:val="TOC3"/>
        <w:rPr>
          <w:rFonts w:ascii="Calibri" w:hAnsi="Calibri"/>
          <w:sz w:val="22"/>
          <w:szCs w:val="22"/>
          <w:lang w:val="en-US"/>
        </w:rPr>
      </w:pPr>
      <w:r w:rsidRPr="004D0DAA">
        <w:t>10.0a.1</w:t>
      </w:r>
      <w:r w:rsidRPr="004D0DAA">
        <w:rPr>
          <w:rFonts w:ascii="Calibri" w:hAnsi="Calibri"/>
          <w:sz w:val="22"/>
          <w:szCs w:val="22"/>
          <w:lang w:val="en-US"/>
        </w:rPr>
        <w:tab/>
      </w:r>
      <w:r w:rsidRPr="004D0DAA">
        <w:t>GPRS RLC/MAC block for data transfer</w:t>
      </w:r>
      <w:r w:rsidRPr="004D0DAA">
        <w:tab/>
      </w:r>
      <w:r w:rsidRPr="004D0DAA">
        <w:fldChar w:fldCharType="begin" w:fldLock="1"/>
      </w:r>
      <w:r w:rsidRPr="004D0DAA">
        <w:instrText xml:space="preserve"> PAGEREF _Toc516669673 \h </w:instrText>
      </w:r>
      <w:r w:rsidRPr="004D0DAA">
        <w:fldChar w:fldCharType="separate"/>
      </w:r>
      <w:r w:rsidRPr="004D0DAA">
        <w:t>247</w:t>
      </w:r>
      <w:r w:rsidRPr="004D0DAA">
        <w:fldChar w:fldCharType="end"/>
      </w:r>
    </w:p>
    <w:p w14:paraId="5A4093F4" w14:textId="77777777" w:rsidR="00683705" w:rsidRPr="004D0DAA" w:rsidRDefault="00683705">
      <w:pPr>
        <w:pStyle w:val="TOC3"/>
        <w:rPr>
          <w:rFonts w:ascii="Calibri" w:hAnsi="Calibri"/>
          <w:sz w:val="22"/>
          <w:szCs w:val="22"/>
          <w:lang w:val="en-US"/>
        </w:rPr>
      </w:pPr>
      <w:r w:rsidRPr="004D0DAA">
        <w:t>10.0a.2</w:t>
      </w:r>
      <w:r w:rsidRPr="004D0DAA">
        <w:rPr>
          <w:rFonts w:ascii="Calibri" w:hAnsi="Calibri"/>
          <w:sz w:val="22"/>
          <w:szCs w:val="22"/>
          <w:lang w:val="en-US"/>
        </w:rPr>
        <w:tab/>
      </w:r>
      <w:r w:rsidRPr="004D0DAA">
        <w:t>EGPRS and EC-GSM-IoT RLC/MAC block for data transfer</w:t>
      </w:r>
      <w:r w:rsidRPr="004D0DAA">
        <w:tab/>
      </w:r>
      <w:r w:rsidRPr="004D0DAA">
        <w:fldChar w:fldCharType="begin" w:fldLock="1"/>
      </w:r>
      <w:r w:rsidRPr="004D0DAA">
        <w:instrText xml:space="preserve"> PAGEREF _Toc516669674 \h </w:instrText>
      </w:r>
      <w:r w:rsidRPr="004D0DAA">
        <w:fldChar w:fldCharType="separate"/>
      </w:r>
      <w:r w:rsidRPr="004D0DAA">
        <w:t>247</w:t>
      </w:r>
      <w:r w:rsidRPr="004D0DAA">
        <w:fldChar w:fldCharType="end"/>
      </w:r>
    </w:p>
    <w:p w14:paraId="7A78CEC7" w14:textId="77777777" w:rsidR="00683705" w:rsidRPr="004D0DAA" w:rsidRDefault="00683705">
      <w:pPr>
        <w:pStyle w:val="TOC3"/>
        <w:rPr>
          <w:rFonts w:ascii="Calibri" w:hAnsi="Calibri"/>
          <w:sz w:val="22"/>
          <w:szCs w:val="22"/>
          <w:lang w:val="en-US"/>
        </w:rPr>
      </w:pPr>
      <w:r w:rsidRPr="004D0DAA">
        <w:t>10.0a.3</w:t>
      </w:r>
      <w:r w:rsidRPr="004D0DAA">
        <w:rPr>
          <w:rFonts w:ascii="Calibri" w:hAnsi="Calibri"/>
          <w:sz w:val="22"/>
          <w:szCs w:val="22"/>
          <w:lang w:val="en-US"/>
        </w:rPr>
        <w:tab/>
      </w:r>
      <w:r w:rsidRPr="004D0DAA">
        <w:t>RLC/MAC block for control message transfer</w:t>
      </w:r>
      <w:r w:rsidRPr="004D0DAA">
        <w:tab/>
      </w:r>
      <w:r w:rsidRPr="004D0DAA">
        <w:fldChar w:fldCharType="begin" w:fldLock="1"/>
      </w:r>
      <w:r w:rsidRPr="004D0DAA">
        <w:instrText xml:space="preserve"> PAGEREF _Toc516669675 \h </w:instrText>
      </w:r>
      <w:r w:rsidRPr="004D0DAA">
        <w:fldChar w:fldCharType="separate"/>
      </w:r>
      <w:r w:rsidRPr="004D0DAA">
        <w:t>249</w:t>
      </w:r>
      <w:r w:rsidRPr="004D0DAA">
        <w:fldChar w:fldCharType="end"/>
      </w:r>
    </w:p>
    <w:p w14:paraId="07A1B204" w14:textId="77777777" w:rsidR="00683705" w:rsidRPr="004D0DAA" w:rsidRDefault="00683705">
      <w:pPr>
        <w:pStyle w:val="TOC2"/>
        <w:rPr>
          <w:rFonts w:ascii="Calibri" w:hAnsi="Calibri"/>
          <w:sz w:val="22"/>
          <w:szCs w:val="22"/>
          <w:lang w:val="en-US"/>
        </w:rPr>
      </w:pPr>
      <w:r w:rsidRPr="004D0DAA">
        <w:t>10.0b</w:t>
      </w:r>
      <w:r w:rsidRPr="004D0DAA">
        <w:rPr>
          <w:rFonts w:ascii="Calibri" w:hAnsi="Calibri"/>
          <w:sz w:val="22"/>
          <w:szCs w:val="22"/>
          <w:lang w:val="en-US"/>
        </w:rPr>
        <w:tab/>
      </w:r>
      <w:r w:rsidRPr="004D0DAA">
        <w:t>RLC/MAC block format conventions</w:t>
      </w:r>
      <w:r w:rsidRPr="004D0DAA">
        <w:tab/>
      </w:r>
      <w:r w:rsidRPr="004D0DAA">
        <w:fldChar w:fldCharType="begin" w:fldLock="1"/>
      </w:r>
      <w:r w:rsidRPr="004D0DAA">
        <w:instrText xml:space="preserve"> PAGEREF _Toc516669676 \h </w:instrText>
      </w:r>
      <w:r w:rsidRPr="004D0DAA">
        <w:fldChar w:fldCharType="separate"/>
      </w:r>
      <w:r w:rsidRPr="004D0DAA">
        <w:t>249</w:t>
      </w:r>
      <w:r w:rsidRPr="004D0DAA">
        <w:fldChar w:fldCharType="end"/>
      </w:r>
    </w:p>
    <w:p w14:paraId="6136F188" w14:textId="77777777" w:rsidR="00683705" w:rsidRPr="004D0DAA" w:rsidRDefault="00683705">
      <w:pPr>
        <w:pStyle w:val="TOC3"/>
        <w:rPr>
          <w:rFonts w:ascii="Calibri" w:hAnsi="Calibri"/>
          <w:sz w:val="22"/>
          <w:szCs w:val="22"/>
          <w:lang w:val="en-US"/>
        </w:rPr>
      </w:pPr>
      <w:r w:rsidRPr="004D0DAA">
        <w:t>10.0b.1</w:t>
      </w:r>
      <w:r w:rsidRPr="004D0DAA">
        <w:rPr>
          <w:rFonts w:ascii="Calibri" w:hAnsi="Calibri"/>
          <w:sz w:val="22"/>
          <w:szCs w:val="22"/>
          <w:lang w:val="en-US"/>
        </w:rPr>
        <w:tab/>
      </w:r>
      <w:r w:rsidRPr="004D0DAA">
        <w:t>Numbering convention</w:t>
      </w:r>
      <w:r w:rsidRPr="004D0DAA">
        <w:tab/>
      </w:r>
      <w:r w:rsidRPr="004D0DAA">
        <w:fldChar w:fldCharType="begin" w:fldLock="1"/>
      </w:r>
      <w:r w:rsidRPr="004D0DAA">
        <w:instrText xml:space="preserve"> PAGEREF _Toc516669677 \h </w:instrText>
      </w:r>
      <w:r w:rsidRPr="004D0DAA">
        <w:fldChar w:fldCharType="separate"/>
      </w:r>
      <w:r w:rsidRPr="004D0DAA">
        <w:t>249</w:t>
      </w:r>
      <w:r w:rsidRPr="004D0DAA">
        <w:fldChar w:fldCharType="end"/>
      </w:r>
    </w:p>
    <w:p w14:paraId="13DCE372" w14:textId="77777777" w:rsidR="00683705" w:rsidRPr="004D0DAA" w:rsidRDefault="00683705">
      <w:pPr>
        <w:pStyle w:val="TOC3"/>
        <w:rPr>
          <w:rFonts w:ascii="Calibri" w:hAnsi="Calibri"/>
          <w:sz w:val="22"/>
          <w:szCs w:val="22"/>
          <w:lang w:val="en-US"/>
        </w:rPr>
      </w:pPr>
      <w:r w:rsidRPr="004D0DAA">
        <w:t>10.0b.2</w:t>
      </w:r>
      <w:r w:rsidRPr="004D0DAA">
        <w:rPr>
          <w:rFonts w:ascii="Calibri" w:hAnsi="Calibri"/>
          <w:sz w:val="22"/>
          <w:szCs w:val="22"/>
          <w:lang w:val="en-US"/>
        </w:rPr>
        <w:tab/>
      </w:r>
      <w:r w:rsidRPr="004D0DAA">
        <w:t>Assembling conventions</w:t>
      </w:r>
      <w:r w:rsidRPr="004D0DAA">
        <w:tab/>
      </w:r>
      <w:r w:rsidRPr="004D0DAA">
        <w:fldChar w:fldCharType="begin" w:fldLock="1"/>
      </w:r>
      <w:r w:rsidRPr="004D0DAA">
        <w:instrText xml:space="preserve"> PAGEREF _Toc516669678 \h </w:instrText>
      </w:r>
      <w:r w:rsidRPr="004D0DAA">
        <w:fldChar w:fldCharType="separate"/>
      </w:r>
      <w:r w:rsidRPr="004D0DAA">
        <w:t>249</w:t>
      </w:r>
      <w:r w:rsidRPr="004D0DAA">
        <w:fldChar w:fldCharType="end"/>
      </w:r>
    </w:p>
    <w:p w14:paraId="1C0E5B9E" w14:textId="77777777" w:rsidR="00683705" w:rsidRPr="004D0DAA" w:rsidRDefault="00683705">
      <w:pPr>
        <w:pStyle w:val="TOC4"/>
        <w:rPr>
          <w:rFonts w:ascii="Calibri" w:hAnsi="Calibri"/>
          <w:sz w:val="22"/>
          <w:szCs w:val="22"/>
          <w:lang w:val="en-US"/>
        </w:rPr>
      </w:pPr>
      <w:r w:rsidRPr="004D0DAA">
        <w:t>10.0b.2.1</w:t>
      </w:r>
      <w:r w:rsidRPr="004D0DAA">
        <w:rPr>
          <w:rFonts w:ascii="Calibri" w:hAnsi="Calibri"/>
          <w:sz w:val="22"/>
          <w:szCs w:val="22"/>
          <w:lang w:val="en-US"/>
        </w:rPr>
        <w:tab/>
      </w:r>
      <w:r w:rsidRPr="004D0DAA">
        <w:t>Assembling convention for GPRS RLC data blocks and RLC/MAC control blocks, 11</w:t>
      </w:r>
      <w:r w:rsidRPr="004D0DAA">
        <w:noBreakHyphen/>
        <w:t>bit and 8</w:t>
      </w:r>
      <w:r w:rsidRPr="004D0DAA">
        <w:noBreakHyphen/>
        <w:t>bit control messages</w:t>
      </w:r>
      <w:r w:rsidRPr="004D0DAA">
        <w:tab/>
      </w:r>
      <w:r w:rsidRPr="004D0DAA">
        <w:fldChar w:fldCharType="begin" w:fldLock="1"/>
      </w:r>
      <w:r w:rsidRPr="004D0DAA">
        <w:instrText xml:space="preserve"> PAGEREF _Toc516669679 \h </w:instrText>
      </w:r>
      <w:r w:rsidRPr="004D0DAA">
        <w:fldChar w:fldCharType="separate"/>
      </w:r>
      <w:r w:rsidRPr="004D0DAA">
        <w:t>249</w:t>
      </w:r>
      <w:r w:rsidRPr="004D0DAA">
        <w:fldChar w:fldCharType="end"/>
      </w:r>
    </w:p>
    <w:p w14:paraId="6DDD6FA6" w14:textId="77777777" w:rsidR="00683705" w:rsidRPr="004D0DAA" w:rsidRDefault="00683705">
      <w:pPr>
        <w:pStyle w:val="TOC4"/>
        <w:rPr>
          <w:rFonts w:ascii="Calibri" w:hAnsi="Calibri"/>
          <w:sz w:val="22"/>
          <w:szCs w:val="22"/>
          <w:lang w:val="en-US"/>
        </w:rPr>
      </w:pPr>
      <w:r w:rsidRPr="004D0DAA">
        <w:t>10.0b.2.2</w:t>
      </w:r>
      <w:r w:rsidRPr="004D0DAA">
        <w:rPr>
          <w:rFonts w:ascii="Calibri" w:hAnsi="Calibri"/>
          <w:sz w:val="22"/>
          <w:szCs w:val="22"/>
          <w:lang w:val="en-US"/>
        </w:rPr>
        <w:tab/>
      </w:r>
      <w:r w:rsidRPr="004D0DAA">
        <w:t>Assembling convention for EGPRS and EC-GSM-IoT RLC data blocks</w:t>
      </w:r>
      <w:r w:rsidRPr="004D0DAA">
        <w:tab/>
      </w:r>
      <w:r w:rsidRPr="004D0DAA">
        <w:fldChar w:fldCharType="begin" w:fldLock="1"/>
      </w:r>
      <w:r w:rsidRPr="004D0DAA">
        <w:instrText xml:space="preserve"> PAGEREF _Toc516669680 \h </w:instrText>
      </w:r>
      <w:r w:rsidRPr="004D0DAA">
        <w:fldChar w:fldCharType="separate"/>
      </w:r>
      <w:r w:rsidRPr="004D0DAA">
        <w:t>250</w:t>
      </w:r>
      <w:r w:rsidRPr="004D0DAA">
        <w:fldChar w:fldCharType="end"/>
      </w:r>
    </w:p>
    <w:p w14:paraId="6311166F" w14:textId="77777777" w:rsidR="00683705" w:rsidRPr="004D0DAA" w:rsidRDefault="00683705">
      <w:pPr>
        <w:pStyle w:val="TOC3"/>
        <w:rPr>
          <w:rFonts w:ascii="Calibri" w:hAnsi="Calibri"/>
          <w:sz w:val="22"/>
          <w:szCs w:val="22"/>
          <w:lang w:val="en-US"/>
        </w:rPr>
      </w:pPr>
      <w:r w:rsidRPr="004D0DAA">
        <w:t>10.0b.3</w:t>
      </w:r>
      <w:r w:rsidRPr="004D0DAA">
        <w:rPr>
          <w:rFonts w:ascii="Calibri" w:hAnsi="Calibri"/>
          <w:sz w:val="22"/>
          <w:szCs w:val="22"/>
          <w:lang w:val="en-US"/>
        </w:rPr>
        <w:tab/>
      </w:r>
      <w:r w:rsidRPr="004D0DAA">
        <w:t>Field mapping conventions</w:t>
      </w:r>
      <w:r w:rsidRPr="004D0DAA">
        <w:tab/>
      </w:r>
      <w:r w:rsidRPr="004D0DAA">
        <w:fldChar w:fldCharType="begin" w:fldLock="1"/>
      </w:r>
      <w:r w:rsidRPr="004D0DAA">
        <w:instrText xml:space="preserve"> PAGEREF _Toc516669681 \h </w:instrText>
      </w:r>
      <w:r w:rsidRPr="004D0DAA">
        <w:fldChar w:fldCharType="separate"/>
      </w:r>
      <w:r w:rsidRPr="004D0DAA">
        <w:t>250</w:t>
      </w:r>
      <w:r w:rsidRPr="004D0DAA">
        <w:fldChar w:fldCharType="end"/>
      </w:r>
    </w:p>
    <w:p w14:paraId="21968627" w14:textId="77777777" w:rsidR="00683705" w:rsidRPr="004D0DAA" w:rsidRDefault="00683705">
      <w:pPr>
        <w:pStyle w:val="TOC4"/>
        <w:rPr>
          <w:rFonts w:ascii="Calibri" w:hAnsi="Calibri"/>
          <w:sz w:val="22"/>
          <w:szCs w:val="22"/>
          <w:lang w:val="en-US"/>
        </w:rPr>
      </w:pPr>
      <w:r w:rsidRPr="004D0DAA">
        <w:t>10.0b.3.1</w:t>
      </w:r>
      <w:r w:rsidRPr="004D0DAA">
        <w:rPr>
          <w:rFonts w:ascii="Calibri" w:hAnsi="Calibri"/>
          <w:sz w:val="22"/>
          <w:szCs w:val="22"/>
          <w:lang w:val="en-US"/>
        </w:rPr>
        <w:tab/>
      </w:r>
      <w:r w:rsidRPr="004D0DAA">
        <w:t>Field mapping convention for GPRS RLC data blocks, CS-1 or CS-3 encoded RLC/MAC control blocks, EC-PACCH/D and EC-PACCH/U, 11</w:t>
      </w:r>
      <w:r w:rsidRPr="004D0DAA">
        <w:noBreakHyphen/>
        <w:t>bit and 8</w:t>
      </w:r>
      <w:r w:rsidRPr="004D0DAA">
        <w:noBreakHyphen/>
        <w:t>bit control messages</w:t>
      </w:r>
      <w:r w:rsidRPr="004D0DAA">
        <w:tab/>
      </w:r>
      <w:r w:rsidRPr="004D0DAA">
        <w:fldChar w:fldCharType="begin" w:fldLock="1"/>
      </w:r>
      <w:r w:rsidRPr="004D0DAA">
        <w:instrText xml:space="preserve"> PAGEREF _Toc516669682 \h </w:instrText>
      </w:r>
      <w:r w:rsidRPr="004D0DAA">
        <w:fldChar w:fldCharType="separate"/>
      </w:r>
      <w:r w:rsidRPr="004D0DAA">
        <w:t>250</w:t>
      </w:r>
      <w:r w:rsidRPr="004D0DAA">
        <w:fldChar w:fldCharType="end"/>
      </w:r>
    </w:p>
    <w:p w14:paraId="26A55A3D" w14:textId="77777777" w:rsidR="00683705" w:rsidRPr="004D0DAA" w:rsidRDefault="00683705">
      <w:pPr>
        <w:pStyle w:val="TOC4"/>
        <w:rPr>
          <w:rFonts w:ascii="Calibri" w:hAnsi="Calibri"/>
          <w:sz w:val="22"/>
          <w:szCs w:val="22"/>
          <w:lang w:val="en-US"/>
        </w:rPr>
      </w:pPr>
      <w:r w:rsidRPr="004D0DAA">
        <w:t>10.0b.3.2</w:t>
      </w:r>
      <w:r w:rsidRPr="004D0DAA">
        <w:rPr>
          <w:rFonts w:ascii="Calibri" w:hAnsi="Calibri"/>
          <w:sz w:val="22"/>
          <w:szCs w:val="22"/>
          <w:lang w:val="en-US"/>
        </w:rPr>
        <w:tab/>
      </w:r>
      <w:r w:rsidRPr="004D0DAA">
        <w:t>Field mapping convention for EGPRS and EC-GSM-IoT RLC data blocks and MCS-0 encoded RLC/MAC control blocks</w:t>
      </w:r>
      <w:r w:rsidRPr="004D0DAA">
        <w:tab/>
      </w:r>
      <w:r w:rsidRPr="004D0DAA">
        <w:fldChar w:fldCharType="begin" w:fldLock="1"/>
      </w:r>
      <w:r w:rsidRPr="004D0DAA">
        <w:instrText xml:space="preserve"> PAGEREF _Toc516669683 \h </w:instrText>
      </w:r>
      <w:r w:rsidRPr="004D0DAA">
        <w:fldChar w:fldCharType="separate"/>
      </w:r>
      <w:r w:rsidRPr="004D0DAA">
        <w:t>250</w:t>
      </w:r>
      <w:r w:rsidRPr="004D0DAA">
        <w:fldChar w:fldCharType="end"/>
      </w:r>
    </w:p>
    <w:p w14:paraId="3083A85C" w14:textId="77777777" w:rsidR="00683705" w:rsidRPr="004D0DAA" w:rsidRDefault="00683705">
      <w:pPr>
        <w:pStyle w:val="TOC2"/>
        <w:rPr>
          <w:rFonts w:ascii="Calibri" w:hAnsi="Calibri"/>
          <w:sz w:val="22"/>
          <w:szCs w:val="22"/>
          <w:lang w:val="en-US"/>
        </w:rPr>
      </w:pPr>
      <w:r w:rsidRPr="004D0DAA">
        <w:t>10.1</w:t>
      </w:r>
      <w:r w:rsidRPr="004D0DAA">
        <w:rPr>
          <w:rFonts w:ascii="Calibri" w:hAnsi="Calibri"/>
          <w:sz w:val="22"/>
          <w:szCs w:val="22"/>
          <w:lang w:val="en-US"/>
        </w:rPr>
        <w:tab/>
      </w:r>
      <w:r w:rsidRPr="004D0DAA">
        <w:t>Spare bits</w:t>
      </w:r>
      <w:r w:rsidRPr="004D0DAA">
        <w:tab/>
      </w:r>
      <w:r w:rsidRPr="004D0DAA">
        <w:fldChar w:fldCharType="begin" w:fldLock="1"/>
      </w:r>
      <w:r w:rsidRPr="004D0DAA">
        <w:instrText xml:space="preserve"> PAGEREF _Toc516669684 \h </w:instrText>
      </w:r>
      <w:r w:rsidRPr="004D0DAA">
        <w:fldChar w:fldCharType="separate"/>
      </w:r>
      <w:r w:rsidRPr="004D0DAA">
        <w:t>251</w:t>
      </w:r>
      <w:r w:rsidRPr="004D0DAA">
        <w:fldChar w:fldCharType="end"/>
      </w:r>
    </w:p>
    <w:p w14:paraId="45DE8EDD" w14:textId="77777777" w:rsidR="00683705" w:rsidRPr="004D0DAA" w:rsidRDefault="00683705">
      <w:pPr>
        <w:pStyle w:val="TOC2"/>
        <w:rPr>
          <w:rFonts w:ascii="Calibri" w:hAnsi="Calibri"/>
          <w:sz w:val="22"/>
          <w:szCs w:val="22"/>
          <w:lang w:val="en-US"/>
        </w:rPr>
      </w:pPr>
      <w:r w:rsidRPr="004D0DAA">
        <w:t>10.2</w:t>
      </w:r>
      <w:r w:rsidRPr="004D0DAA">
        <w:rPr>
          <w:rFonts w:ascii="Calibri" w:hAnsi="Calibri"/>
          <w:sz w:val="22"/>
          <w:szCs w:val="22"/>
          <w:lang w:val="en-US"/>
        </w:rPr>
        <w:tab/>
      </w:r>
      <w:r w:rsidRPr="004D0DAA">
        <w:t>GPRS RLC data blocks</w:t>
      </w:r>
      <w:r w:rsidRPr="004D0DAA">
        <w:tab/>
      </w:r>
      <w:r w:rsidRPr="004D0DAA">
        <w:fldChar w:fldCharType="begin" w:fldLock="1"/>
      </w:r>
      <w:r w:rsidRPr="004D0DAA">
        <w:instrText xml:space="preserve"> PAGEREF _Toc516669685 \h </w:instrText>
      </w:r>
      <w:r w:rsidRPr="004D0DAA">
        <w:fldChar w:fldCharType="separate"/>
      </w:r>
      <w:r w:rsidRPr="004D0DAA">
        <w:t>251</w:t>
      </w:r>
      <w:r w:rsidRPr="004D0DAA">
        <w:fldChar w:fldCharType="end"/>
      </w:r>
    </w:p>
    <w:p w14:paraId="061B8C08" w14:textId="77777777" w:rsidR="00683705" w:rsidRPr="004D0DAA" w:rsidRDefault="00683705">
      <w:pPr>
        <w:pStyle w:val="TOC3"/>
        <w:rPr>
          <w:rFonts w:ascii="Calibri" w:hAnsi="Calibri"/>
          <w:sz w:val="22"/>
          <w:szCs w:val="22"/>
          <w:lang w:val="en-US"/>
        </w:rPr>
      </w:pPr>
      <w:r w:rsidRPr="004D0DAA">
        <w:t>10.2.1</w:t>
      </w:r>
      <w:r w:rsidRPr="004D0DAA">
        <w:rPr>
          <w:rFonts w:ascii="Calibri" w:hAnsi="Calibri"/>
          <w:sz w:val="22"/>
          <w:szCs w:val="22"/>
          <w:lang w:val="en-US"/>
        </w:rPr>
        <w:tab/>
      </w:r>
      <w:r w:rsidRPr="004D0DAA">
        <w:t>Downlink RLC data block</w:t>
      </w:r>
      <w:r w:rsidRPr="004D0DAA">
        <w:tab/>
      </w:r>
      <w:r w:rsidRPr="004D0DAA">
        <w:fldChar w:fldCharType="begin" w:fldLock="1"/>
      </w:r>
      <w:r w:rsidRPr="004D0DAA">
        <w:instrText xml:space="preserve"> PAGEREF _Toc516669686 \h </w:instrText>
      </w:r>
      <w:r w:rsidRPr="004D0DAA">
        <w:fldChar w:fldCharType="separate"/>
      </w:r>
      <w:r w:rsidRPr="004D0DAA">
        <w:t>251</w:t>
      </w:r>
      <w:r w:rsidRPr="004D0DAA">
        <w:fldChar w:fldCharType="end"/>
      </w:r>
    </w:p>
    <w:p w14:paraId="69D7B6EA" w14:textId="77777777" w:rsidR="00683705" w:rsidRPr="004D0DAA" w:rsidRDefault="00683705">
      <w:pPr>
        <w:pStyle w:val="TOC3"/>
        <w:rPr>
          <w:rFonts w:ascii="Calibri" w:hAnsi="Calibri"/>
          <w:sz w:val="22"/>
          <w:szCs w:val="22"/>
          <w:lang w:val="en-US"/>
        </w:rPr>
      </w:pPr>
      <w:r w:rsidRPr="004D0DAA">
        <w:t>10.2.2</w:t>
      </w:r>
      <w:r w:rsidRPr="004D0DAA">
        <w:rPr>
          <w:rFonts w:ascii="Calibri" w:hAnsi="Calibri"/>
          <w:sz w:val="22"/>
          <w:szCs w:val="22"/>
          <w:lang w:val="en-US"/>
        </w:rPr>
        <w:tab/>
      </w:r>
      <w:r w:rsidRPr="004D0DAA">
        <w:t>Uplink RLC data block</w:t>
      </w:r>
      <w:r w:rsidRPr="004D0DAA">
        <w:tab/>
      </w:r>
      <w:r w:rsidRPr="004D0DAA">
        <w:fldChar w:fldCharType="begin" w:fldLock="1"/>
      </w:r>
      <w:r w:rsidRPr="004D0DAA">
        <w:instrText xml:space="preserve"> PAGEREF _Toc516669687 \h </w:instrText>
      </w:r>
      <w:r w:rsidRPr="004D0DAA">
        <w:fldChar w:fldCharType="separate"/>
      </w:r>
      <w:r w:rsidRPr="004D0DAA">
        <w:t>252</w:t>
      </w:r>
      <w:r w:rsidRPr="004D0DAA">
        <w:fldChar w:fldCharType="end"/>
      </w:r>
    </w:p>
    <w:p w14:paraId="13912F10" w14:textId="77777777" w:rsidR="00683705" w:rsidRPr="004D0DAA" w:rsidRDefault="00683705">
      <w:pPr>
        <w:pStyle w:val="TOC2"/>
        <w:rPr>
          <w:rFonts w:ascii="Calibri" w:hAnsi="Calibri"/>
          <w:sz w:val="22"/>
          <w:szCs w:val="22"/>
          <w:lang w:val="en-US"/>
        </w:rPr>
      </w:pPr>
      <w:r w:rsidRPr="004D0DAA">
        <w:t>10.3</w:t>
      </w:r>
      <w:r w:rsidRPr="004D0DAA">
        <w:rPr>
          <w:rFonts w:ascii="Calibri" w:hAnsi="Calibri"/>
          <w:sz w:val="22"/>
          <w:szCs w:val="22"/>
          <w:lang w:val="en-US"/>
        </w:rPr>
        <w:tab/>
      </w:r>
      <w:r w:rsidRPr="004D0DAA">
        <w:t>RLC/MAC control blocks</w:t>
      </w:r>
      <w:r w:rsidRPr="004D0DAA">
        <w:tab/>
      </w:r>
      <w:r w:rsidRPr="004D0DAA">
        <w:fldChar w:fldCharType="begin" w:fldLock="1"/>
      </w:r>
      <w:r w:rsidRPr="004D0DAA">
        <w:instrText xml:space="preserve"> PAGEREF _Toc516669688 \h </w:instrText>
      </w:r>
      <w:r w:rsidRPr="004D0DAA">
        <w:fldChar w:fldCharType="separate"/>
      </w:r>
      <w:r w:rsidRPr="004D0DAA">
        <w:t>252</w:t>
      </w:r>
      <w:r w:rsidRPr="004D0DAA">
        <w:fldChar w:fldCharType="end"/>
      </w:r>
    </w:p>
    <w:p w14:paraId="43C73C8C" w14:textId="77777777" w:rsidR="00683705" w:rsidRPr="004D0DAA" w:rsidRDefault="00683705">
      <w:pPr>
        <w:pStyle w:val="TOC3"/>
        <w:rPr>
          <w:rFonts w:ascii="Calibri" w:hAnsi="Calibri"/>
          <w:sz w:val="22"/>
          <w:szCs w:val="22"/>
          <w:lang w:val="en-US"/>
        </w:rPr>
      </w:pPr>
      <w:r w:rsidRPr="004D0DAA">
        <w:t>10.3.1</w:t>
      </w:r>
      <w:r w:rsidRPr="004D0DAA">
        <w:rPr>
          <w:rFonts w:ascii="Calibri" w:hAnsi="Calibri"/>
          <w:sz w:val="22"/>
          <w:szCs w:val="22"/>
          <w:lang w:val="en-US"/>
        </w:rPr>
        <w:tab/>
      </w:r>
      <w:r w:rsidRPr="004D0DAA">
        <w:t>Downlink RLC/MAC control block</w:t>
      </w:r>
      <w:r w:rsidRPr="004D0DAA">
        <w:tab/>
      </w:r>
      <w:r w:rsidRPr="004D0DAA">
        <w:fldChar w:fldCharType="begin" w:fldLock="1"/>
      </w:r>
      <w:r w:rsidRPr="004D0DAA">
        <w:instrText xml:space="preserve"> PAGEREF _Toc516669689 \h </w:instrText>
      </w:r>
      <w:r w:rsidRPr="004D0DAA">
        <w:fldChar w:fldCharType="separate"/>
      </w:r>
      <w:r w:rsidRPr="004D0DAA">
        <w:t>253</w:t>
      </w:r>
      <w:r w:rsidRPr="004D0DAA">
        <w:fldChar w:fldCharType="end"/>
      </w:r>
    </w:p>
    <w:p w14:paraId="4D6AA87E" w14:textId="77777777" w:rsidR="00683705" w:rsidRPr="004D0DAA" w:rsidRDefault="00683705">
      <w:pPr>
        <w:pStyle w:val="TOC4"/>
        <w:rPr>
          <w:rFonts w:ascii="Calibri" w:hAnsi="Calibri"/>
          <w:sz w:val="22"/>
          <w:szCs w:val="22"/>
          <w:lang w:val="en-US"/>
        </w:rPr>
      </w:pPr>
      <w:r w:rsidRPr="004D0DAA">
        <w:t>10.3.1.1</w:t>
      </w:r>
      <w:r w:rsidRPr="004D0DAA">
        <w:rPr>
          <w:rFonts w:ascii="Calibri" w:hAnsi="Calibri"/>
          <w:sz w:val="22"/>
          <w:szCs w:val="22"/>
          <w:lang w:val="en-US"/>
        </w:rPr>
        <w:tab/>
      </w:r>
      <w:r w:rsidRPr="004D0DAA">
        <w:t>Blocks encoded using CS-1</w:t>
      </w:r>
      <w:r w:rsidRPr="004D0DAA">
        <w:tab/>
      </w:r>
      <w:r w:rsidRPr="004D0DAA">
        <w:fldChar w:fldCharType="begin" w:fldLock="1"/>
      </w:r>
      <w:r w:rsidRPr="004D0DAA">
        <w:instrText xml:space="preserve"> PAGEREF _Toc516669690 \h </w:instrText>
      </w:r>
      <w:r w:rsidRPr="004D0DAA">
        <w:fldChar w:fldCharType="separate"/>
      </w:r>
      <w:r w:rsidRPr="004D0DAA">
        <w:t>253</w:t>
      </w:r>
      <w:r w:rsidRPr="004D0DAA">
        <w:fldChar w:fldCharType="end"/>
      </w:r>
    </w:p>
    <w:p w14:paraId="0FCEB741" w14:textId="77777777" w:rsidR="00683705" w:rsidRPr="004D0DAA" w:rsidRDefault="00683705">
      <w:pPr>
        <w:pStyle w:val="TOC4"/>
        <w:rPr>
          <w:rFonts w:ascii="Calibri" w:hAnsi="Calibri"/>
          <w:sz w:val="22"/>
          <w:szCs w:val="22"/>
          <w:lang w:val="en-US"/>
        </w:rPr>
      </w:pPr>
      <w:r w:rsidRPr="004D0DAA">
        <w:t>10.3.1.2</w:t>
      </w:r>
      <w:r w:rsidRPr="004D0DAA">
        <w:rPr>
          <w:rFonts w:ascii="Calibri" w:hAnsi="Calibri"/>
          <w:sz w:val="22"/>
          <w:szCs w:val="22"/>
          <w:lang w:val="en-US"/>
        </w:rPr>
        <w:tab/>
      </w:r>
      <w:r w:rsidRPr="004D0DAA">
        <w:t>Blocks encoded using MCS-0</w:t>
      </w:r>
      <w:r w:rsidRPr="004D0DAA">
        <w:tab/>
      </w:r>
      <w:r w:rsidRPr="004D0DAA">
        <w:fldChar w:fldCharType="begin" w:fldLock="1"/>
      </w:r>
      <w:r w:rsidRPr="004D0DAA">
        <w:instrText xml:space="preserve"> PAGEREF _Toc516669691 \h </w:instrText>
      </w:r>
      <w:r w:rsidRPr="004D0DAA">
        <w:fldChar w:fldCharType="separate"/>
      </w:r>
      <w:r w:rsidRPr="004D0DAA">
        <w:t>253</w:t>
      </w:r>
      <w:r w:rsidRPr="004D0DAA">
        <w:fldChar w:fldCharType="end"/>
      </w:r>
    </w:p>
    <w:p w14:paraId="0858E50D" w14:textId="77777777" w:rsidR="00683705" w:rsidRPr="004D0DAA" w:rsidRDefault="00683705">
      <w:pPr>
        <w:pStyle w:val="TOC4"/>
        <w:rPr>
          <w:rFonts w:ascii="Calibri" w:hAnsi="Calibri"/>
          <w:sz w:val="22"/>
          <w:szCs w:val="22"/>
          <w:lang w:val="en-US"/>
        </w:rPr>
      </w:pPr>
      <w:r w:rsidRPr="004D0DAA">
        <w:t>10.3.1.3</w:t>
      </w:r>
      <w:r w:rsidRPr="004D0DAA">
        <w:rPr>
          <w:rFonts w:ascii="Calibri" w:hAnsi="Calibri"/>
          <w:sz w:val="22"/>
          <w:szCs w:val="22"/>
          <w:lang w:val="en-US"/>
        </w:rPr>
        <w:tab/>
      </w:r>
      <w:r w:rsidRPr="004D0DAA">
        <w:t>Blocks encoded for EC-PACCH/D</w:t>
      </w:r>
      <w:r w:rsidRPr="004D0DAA">
        <w:tab/>
      </w:r>
      <w:r w:rsidRPr="004D0DAA">
        <w:fldChar w:fldCharType="begin" w:fldLock="1"/>
      </w:r>
      <w:r w:rsidRPr="004D0DAA">
        <w:instrText xml:space="preserve"> PAGEREF _Toc516669692 \h </w:instrText>
      </w:r>
      <w:r w:rsidRPr="004D0DAA">
        <w:fldChar w:fldCharType="separate"/>
      </w:r>
      <w:r w:rsidRPr="004D0DAA">
        <w:t>254</w:t>
      </w:r>
      <w:r w:rsidRPr="004D0DAA">
        <w:fldChar w:fldCharType="end"/>
      </w:r>
    </w:p>
    <w:p w14:paraId="5557CC2F" w14:textId="77777777" w:rsidR="00683705" w:rsidRPr="004D0DAA" w:rsidRDefault="00683705">
      <w:pPr>
        <w:pStyle w:val="TOC3"/>
        <w:rPr>
          <w:rFonts w:ascii="Calibri" w:hAnsi="Calibri"/>
          <w:sz w:val="22"/>
          <w:szCs w:val="22"/>
          <w:lang w:val="en-US"/>
        </w:rPr>
      </w:pPr>
      <w:r w:rsidRPr="004D0DAA">
        <w:t>10.3.2</w:t>
      </w:r>
      <w:r w:rsidRPr="004D0DAA">
        <w:rPr>
          <w:rFonts w:ascii="Calibri" w:hAnsi="Calibri"/>
          <w:sz w:val="22"/>
          <w:szCs w:val="22"/>
          <w:lang w:val="en-US"/>
        </w:rPr>
        <w:tab/>
      </w:r>
      <w:r w:rsidRPr="004D0DAA">
        <w:t>Uplink RLC/MAC control block</w:t>
      </w:r>
      <w:r w:rsidRPr="004D0DAA">
        <w:tab/>
      </w:r>
      <w:r w:rsidRPr="004D0DAA">
        <w:fldChar w:fldCharType="begin" w:fldLock="1"/>
      </w:r>
      <w:r w:rsidRPr="004D0DAA">
        <w:instrText xml:space="preserve"> PAGEREF _Toc516669693 \h </w:instrText>
      </w:r>
      <w:r w:rsidRPr="004D0DAA">
        <w:fldChar w:fldCharType="separate"/>
      </w:r>
      <w:r w:rsidRPr="004D0DAA">
        <w:t>254</w:t>
      </w:r>
      <w:r w:rsidRPr="004D0DAA">
        <w:fldChar w:fldCharType="end"/>
      </w:r>
    </w:p>
    <w:p w14:paraId="24410436" w14:textId="77777777" w:rsidR="00683705" w:rsidRPr="004D0DAA" w:rsidRDefault="00683705">
      <w:pPr>
        <w:pStyle w:val="TOC2"/>
        <w:rPr>
          <w:rFonts w:ascii="Calibri" w:hAnsi="Calibri"/>
          <w:sz w:val="22"/>
          <w:szCs w:val="22"/>
          <w:lang w:val="en-US"/>
        </w:rPr>
      </w:pPr>
      <w:r w:rsidRPr="004D0DAA">
        <w:t>10.3a</w:t>
      </w:r>
      <w:r w:rsidRPr="004D0DAA">
        <w:rPr>
          <w:rFonts w:ascii="Calibri" w:hAnsi="Calibri"/>
          <w:sz w:val="22"/>
          <w:szCs w:val="22"/>
          <w:lang w:val="en-US"/>
        </w:rPr>
        <w:tab/>
      </w:r>
      <w:r w:rsidRPr="004D0DAA">
        <w:t>EGPRS and EC-GSM-IoT RLC data blocks and RLC/MAC headers</w:t>
      </w:r>
      <w:r w:rsidRPr="004D0DAA">
        <w:tab/>
      </w:r>
      <w:r w:rsidRPr="004D0DAA">
        <w:fldChar w:fldCharType="begin" w:fldLock="1"/>
      </w:r>
      <w:r w:rsidRPr="004D0DAA">
        <w:instrText xml:space="preserve"> PAGEREF _Toc516669694 \h </w:instrText>
      </w:r>
      <w:r w:rsidRPr="004D0DAA">
        <w:fldChar w:fldCharType="separate"/>
      </w:r>
      <w:r w:rsidRPr="004D0DAA">
        <w:t>255</w:t>
      </w:r>
      <w:r w:rsidRPr="004D0DAA">
        <w:fldChar w:fldCharType="end"/>
      </w:r>
    </w:p>
    <w:p w14:paraId="6D4B5CFD" w14:textId="77777777" w:rsidR="00683705" w:rsidRPr="004D0DAA" w:rsidRDefault="00683705">
      <w:pPr>
        <w:pStyle w:val="TOC3"/>
        <w:rPr>
          <w:rFonts w:ascii="Calibri" w:hAnsi="Calibri"/>
          <w:sz w:val="22"/>
          <w:szCs w:val="22"/>
          <w:lang w:val="en-US"/>
        </w:rPr>
      </w:pPr>
      <w:r w:rsidRPr="004D0DAA">
        <w:t>10.3a.0</w:t>
      </w:r>
      <w:r w:rsidRPr="004D0DAA">
        <w:rPr>
          <w:rFonts w:ascii="Calibri" w:hAnsi="Calibri"/>
          <w:sz w:val="22"/>
          <w:szCs w:val="22"/>
          <w:lang w:val="en-US"/>
        </w:rPr>
        <w:tab/>
      </w:r>
      <w:r w:rsidRPr="004D0DAA">
        <w:t>General</w:t>
      </w:r>
      <w:r w:rsidRPr="004D0DAA">
        <w:tab/>
      </w:r>
      <w:r w:rsidRPr="004D0DAA">
        <w:fldChar w:fldCharType="begin" w:fldLock="1"/>
      </w:r>
      <w:r w:rsidRPr="004D0DAA">
        <w:instrText xml:space="preserve"> PAGEREF _Toc516669695 \h </w:instrText>
      </w:r>
      <w:r w:rsidRPr="004D0DAA">
        <w:fldChar w:fldCharType="separate"/>
      </w:r>
      <w:r w:rsidRPr="004D0DAA">
        <w:t>255</w:t>
      </w:r>
      <w:r w:rsidRPr="004D0DAA">
        <w:fldChar w:fldCharType="end"/>
      </w:r>
    </w:p>
    <w:p w14:paraId="7F3B39C9" w14:textId="77777777" w:rsidR="00683705" w:rsidRPr="004D0DAA" w:rsidRDefault="00683705">
      <w:pPr>
        <w:pStyle w:val="TOC3"/>
        <w:rPr>
          <w:rFonts w:ascii="Calibri" w:hAnsi="Calibri"/>
          <w:sz w:val="22"/>
          <w:szCs w:val="22"/>
          <w:lang w:val="en-US"/>
        </w:rPr>
      </w:pPr>
      <w:r w:rsidRPr="004D0DAA">
        <w:t>10.3a.1</w:t>
      </w:r>
      <w:r w:rsidRPr="004D0DAA">
        <w:rPr>
          <w:rFonts w:ascii="Calibri" w:hAnsi="Calibri"/>
          <w:sz w:val="22"/>
          <w:szCs w:val="22"/>
          <w:lang w:val="en-US"/>
        </w:rPr>
        <w:tab/>
      </w:r>
      <w:r w:rsidRPr="004D0DAA">
        <w:t>Downlink RLC data block</w:t>
      </w:r>
      <w:r w:rsidRPr="004D0DAA">
        <w:tab/>
      </w:r>
      <w:r w:rsidRPr="004D0DAA">
        <w:fldChar w:fldCharType="begin" w:fldLock="1"/>
      </w:r>
      <w:r w:rsidRPr="004D0DAA">
        <w:instrText xml:space="preserve"> PAGEREF _Toc516669696 \h </w:instrText>
      </w:r>
      <w:r w:rsidRPr="004D0DAA">
        <w:fldChar w:fldCharType="separate"/>
      </w:r>
      <w:r w:rsidRPr="004D0DAA">
        <w:t>258</w:t>
      </w:r>
      <w:r w:rsidRPr="004D0DAA">
        <w:fldChar w:fldCharType="end"/>
      </w:r>
    </w:p>
    <w:p w14:paraId="1E24D92B" w14:textId="77777777" w:rsidR="00683705" w:rsidRPr="004D0DAA" w:rsidRDefault="00683705">
      <w:pPr>
        <w:pStyle w:val="TOC4"/>
        <w:rPr>
          <w:rFonts w:ascii="Calibri" w:hAnsi="Calibri"/>
          <w:sz w:val="22"/>
          <w:szCs w:val="22"/>
          <w:lang w:val="en-US"/>
        </w:rPr>
      </w:pPr>
      <w:r w:rsidRPr="004D0DAA">
        <w:t>10.3a.1.1</w:t>
      </w:r>
      <w:r w:rsidRPr="004D0DAA">
        <w:rPr>
          <w:rFonts w:ascii="Calibri" w:hAnsi="Calibri"/>
          <w:sz w:val="22"/>
          <w:szCs w:val="22"/>
          <w:lang w:val="en-US"/>
        </w:rPr>
        <w:tab/>
      </w:r>
      <w:r w:rsidRPr="004D0DAA">
        <w:t>EGPRS downlink RLC data block</w:t>
      </w:r>
      <w:r w:rsidRPr="004D0DAA">
        <w:tab/>
      </w:r>
      <w:r w:rsidRPr="004D0DAA">
        <w:fldChar w:fldCharType="begin" w:fldLock="1"/>
      </w:r>
      <w:r w:rsidRPr="004D0DAA">
        <w:instrText xml:space="preserve"> PAGEREF _Toc516669697 \h </w:instrText>
      </w:r>
      <w:r w:rsidRPr="004D0DAA">
        <w:fldChar w:fldCharType="separate"/>
      </w:r>
      <w:r w:rsidRPr="004D0DAA">
        <w:t>258</w:t>
      </w:r>
      <w:r w:rsidRPr="004D0DAA">
        <w:fldChar w:fldCharType="end"/>
      </w:r>
    </w:p>
    <w:p w14:paraId="06AC17EC" w14:textId="77777777" w:rsidR="00683705" w:rsidRPr="004D0DAA" w:rsidRDefault="00683705">
      <w:pPr>
        <w:pStyle w:val="TOC4"/>
        <w:rPr>
          <w:rFonts w:ascii="Calibri" w:hAnsi="Calibri"/>
          <w:sz w:val="22"/>
          <w:szCs w:val="22"/>
          <w:lang w:val="en-US"/>
        </w:rPr>
      </w:pPr>
      <w:r w:rsidRPr="004D0DAA">
        <w:t>10.3a.1.2</w:t>
      </w:r>
      <w:r w:rsidRPr="004D0DAA">
        <w:rPr>
          <w:rFonts w:ascii="Calibri" w:hAnsi="Calibri"/>
          <w:sz w:val="22"/>
          <w:szCs w:val="22"/>
          <w:lang w:val="en-US"/>
        </w:rPr>
        <w:tab/>
      </w:r>
      <w:r w:rsidRPr="004D0DAA">
        <w:t>EC-GSM-IoT downlink RLC data block</w:t>
      </w:r>
      <w:r w:rsidRPr="004D0DAA">
        <w:tab/>
      </w:r>
      <w:r w:rsidRPr="004D0DAA">
        <w:fldChar w:fldCharType="begin" w:fldLock="1"/>
      </w:r>
      <w:r w:rsidRPr="004D0DAA">
        <w:instrText xml:space="preserve"> PAGEREF _Toc516669698 \h </w:instrText>
      </w:r>
      <w:r w:rsidRPr="004D0DAA">
        <w:fldChar w:fldCharType="separate"/>
      </w:r>
      <w:r w:rsidRPr="004D0DAA">
        <w:t>259</w:t>
      </w:r>
      <w:r w:rsidRPr="004D0DAA">
        <w:fldChar w:fldCharType="end"/>
      </w:r>
    </w:p>
    <w:p w14:paraId="131E6F49" w14:textId="77777777" w:rsidR="00683705" w:rsidRPr="004D0DAA" w:rsidRDefault="00683705">
      <w:pPr>
        <w:pStyle w:val="TOC3"/>
        <w:rPr>
          <w:rFonts w:ascii="Calibri" w:hAnsi="Calibri"/>
          <w:sz w:val="22"/>
          <w:szCs w:val="22"/>
          <w:lang w:val="en-US"/>
        </w:rPr>
      </w:pPr>
      <w:r w:rsidRPr="004D0DAA">
        <w:t>10.3a.2</w:t>
      </w:r>
      <w:r w:rsidRPr="004D0DAA">
        <w:rPr>
          <w:rFonts w:ascii="Calibri" w:hAnsi="Calibri"/>
          <w:sz w:val="22"/>
          <w:szCs w:val="22"/>
          <w:lang w:val="en-US"/>
        </w:rPr>
        <w:tab/>
      </w:r>
      <w:r w:rsidRPr="004D0DAA">
        <w:t>Uplink RLC data block</w:t>
      </w:r>
      <w:r w:rsidRPr="004D0DAA">
        <w:tab/>
      </w:r>
      <w:r w:rsidRPr="004D0DAA">
        <w:fldChar w:fldCharType="begin" w:fldLock="1"/>
      </w:r>
      <w:r w:rsidRPr="004D0DAA">
        <w:instrText xml:space="preserve"> PAGEREF _Toc516669699 \h </w:instrText>
      </w:r>
      <w:r w:rsidRPr="004D0DAA">
        <w:fldChar w:fldCharType="separate"/>
      </w:r>
      <w:r w:rsidRPr="004D0DAA">
        <w:t>259</w:t>
      </w:r>
      <w:r w:rsidRPr="004D0DAA">
        <w:fldChar w:fldCharType="end"/>
      </w:r>
    </w:p>
    <w:p w14:paraId="119FFFFD" w14:textId="77777777" w:rsidR="00683705" w:rsidRPr="004D0DAA" w:rsidRDefault="00683705">
      <w:pPr>
        <w:pStyle w:val="TOC4"/>
        <w:rPr>
          <w:rFonts w:ascii="Calibri" w:hAnsi="Calibri"/>
          <w:sz w:val="22"/>
          <w:szCs w:val="22"/>
          <w:lang w:val="en-US"/>
        </w:rPr>
      </w:pPr>
      <w:r w:rsidRPr="004D0DAA">
        <w:t>10.3a.2.1</w:t>
      </w:r>
      <w:r w:rsidRPr="004D0DAA">
        <w:rPr>
          <w:rFonts w:ascii="Calibri" w:hAnsi="Calibri"/>
          <w:sz w:val="22"/>
          <w:szCs w:val="22"/>
          <w:lang w:val="en-US"/>
        </w:rPr>
        <w:tab/>
      </w:r>
      <w:r w:rsidRPr="004D0DAA">
        <w:t>EGPRS Uplink RLC data block</w:t>
      </w:r>
      <w:r w:rsidRPr="004D0DAA">
        <w:tab/>
      </w:r>
      <w:r w:rsidRPr="004D0DAA">
        <w:fldChar w:fldCharType="begin" w:fldLock="1"/>
      </w:r>
      <w:r w:rsidRPr="004D0DAA">
        <w:instrText xml:space="preserve"> PAGEREF _Toc516669700 \h </w:instrText>
      </w:r>
      <w:r w:rsidRPr="004D0DAA">
        <w:fldChar w:fldCharType="separate"/>
      </w:r>
      <w:r w:rsidRPr="004D0DAA">
        <w:t>259</w:t>
      </w:r>
      <w:r w:rsidRPr="004D0DAA">
        <w:fldChar w:fldCharType="end"/>
      </w:r>
    </w:p>
    <w:p w14:paraId="422C56CA" w14:textId="77777777" w:rsidR="00683705" w:rsidRPr="004D0DAA" w:rsidRDefault="00683705">
      <w:pPr>
        <w:pStyle w:val="TOC4"/>
        <w:rPr>
          <w:rFonts w:ascii="Calibri" w:hAnsi="Calibri"/>
          <w:sz w:val="22"/>
          <w:szCs w:val="22"/>
          <w:lang w:val="en-US"/>
        </w:rPr>
      </w:pPr>
      <w:r w:rsidRPr="004D0DAA">
        <w:t>10.3a.2.2</w:t>
      </w:r>
      <w:r w:rsidRPr="004D0DAA">
        <w:rPr>
          <w:rFonts w:ascii="Calibri" w:hAnsi="Calibri"/>
          <w:sz w:val="22"/>
          <w:szCs w:val="22"/>
          <w:lang w:val="en-US"/>
        </w:rPr>
        <w:tab/>
      </w:r>
      <w:r w:rsidRPr="004D0DAA">
        <w:t>EC-GSM-IoT Uplink RLC data block</w:t>
      </w:r>
      <w:r w:rsidRPr="004D0DAA">
        <w:tab/>
      </w:r>
      <w:r w:rsidRPr="004D0DAA">
        <w:fldChar w:fldCharType="begin" w:fldLock="1"/>
      </w:r>
      <w:r w:rsidRPr="004D0DAA">
        <w:instrText xml:space="preserve"> PAGEREF _Toc516669701 \h </w:instrText>
      </w:r>
      <w:r w:rsidRPr="004D0DAA">
        <w:fldChar w:fldCharType="separate"/>
      </w:r>
      <w:r w:rsidRPr="004D0DAA">
        <w:t>261</w:t>
      </w:r>
      <w:r w:rsidRPr="004D0DAA">
        <w:fldChar w:fldCharType="end"/>
      </w:r>
    </w:p>
    <w:p w14:paraId="3A0A60F8" w14:textId="77777777" w:rsidR="00683705" w:rsidRPr="004D0DAA" w:rsidRDefault="00683705">
      <w:pPr>
        <w:pStyle w:val="TOC3"/>
        <w:rPr>
          <w:rFonts w:ascii="Calibri" w:hAnsi="Calibri"/>
          <w:sz w:val="22"/>
          <w:szCs w:val="22"/>
          <w:lang w:val="en-US"/>
        </w:rPr>
      </w:pPr>
      <w:r w:rsidRPr="004D0DAA">
        <w:t>10.3a.3</w:t>
      </w:r>
      <w:r w:rsidRPr="004D0DAA">
        <w:rPr>
          <w:rFonts w:ascii="Calibri" w:hAnsi="Calibri"/>
          <w:sz w:val="22"/>
          <w:szCs w:val="22"/>
          <w:lang w:val="en-US"/>
        </w:rPr>
        <w:tab/>
      </w:r>
      <w:r w:rsidRPr="004D0DAA">
        <w:t>EGPRS and EC-GSM-IoT Downlink RLC/MAC header</w:t>
      </w:r>
      <w:r w:rsidRPr="004D0DAA">
        <w:tab/>
      </w:r>
      <w:r w:rsidRPr="004D0DAA">
        <w:fldChar w:fldCharType="begin" w:fldLock="1"/>
      </w:r>
      <w:r w:rsidRPr="004D0DAA">
        <w:instrText xml:space="preserve"> PAGEREF _Toc516669702 \h </w:instrText>
      </w:r>
      <w:r w:rsidRPr="004D0DAA">
        <w:fldChar w:fldCharType="separate"/>
      </w:r>
      <w:r w:rsidRPr="004D0DAA">
        <w:t>263</w:t>
      </w:r>
      <w:r w:rsidRPr="004D0DAA">
        <w:fldChar w:fldCharType="end"/>
      </w:r>
    </w:p>
    <w:p w14:paraId="3B36DEEA" w14:textId="77777777" w:rsidR="00683705" w:rsidRPr="004D0DAA" w:rsidRDefault="00683705">
      <w:pPr>
        <w:pStyle w:val="TOC4"/>
        <w:rPr>
          <w:rFonts w:ascii="Calibri" w:hAnsi="Calibri"/>
          <w:sz w:val="22"/>
          <w:szCs w:val="22"/>
          <w:lang w:val="en-US"/>
        </w:rPr>
      </w:pPr>
      <w:r w:rsidRPr="004D0DAA">
        <w:t>10.3a.3.1</w:t>
      </w:r>
      <w:r w:rsidRPr="004D0DAA">
        <w:rPr>
          <w:rFonts w:ascii="Calibri" w:hAnsi="Calibri"/>
          <w:sz w:val="22"/>
          <w:szCs w:val="22"/>
          <w:lang w:val="en-US"/>
        </w:rPr>
        <w:tab/>
      </w:r>
      <w:r w:rsidRPr="004D0DAA">
        <w:t>Header type 1: header for MCS-7, MCS-8 and MCS-9</w:t>
      </w:r>
      <w:r w:rsidRPr="004D0DAA">
        <w:tab/>
      </w:r>
      <w:r w:rsidRPr="004D0DAA">
        <w:fldChar w:fldCharType="begin" w:fldLock="1"/>
      </w:r>
      <w:r w:rsidRPr="004D0DAA">
        <w:instrText xml:space="preserve"> PAGEREF _Toc516669703 \h </w:instrText>
      </w:r>
      <w:r w:rsidRPr="004D0DAA">
        <w:fldChar w:fldCharType="separate"/>
      </w:r>
      <w:r w:rsidRPr="004D0DAA">
        <w:t>263</w:t>
      </w:r>
      <w:r w:rsidRPr="004D0DAA">
        <w:fldChar w:fldCharType="end"/>
      </w:r>
    </w:p>
    <w:p w14:paraId="43128229" w14:textId="77777777" w:rsidR="00683705" w:rsidRPr="004D0DAA" w:rsidRDefault="00683705">
      <w:pPr>
        <w:pStyle w:val="TOC4"/>
        <w:rPr>
          <w:rFonts w:ascii="Calibri" w:hAnsi="Calibri"/>
          <w:sz w:val="22"/>
          <w:szCs w:val="22"/>
          <w:lang w:val="en-US"/>
        </w:rPr>
      </w:pPr>
      <w:r w:rsidRPr="004D0DAA">
        <w:t>10.3a.3.2</w:t>
      </w:r>
      <w:r w:rsidRPr="004D0DAA">
        <w:rPr>
          <w:rFonts w:ascii="Calibri" w:hAnsi="Calibri"/>
          <w:sz w:val="22"/>
          <w:szCs w:val="22"/>
          <w:lang w:val="en-US"/>
        </w:rPr>
        <w:tab/>
      </w:r>
      <w:r w:rsidRPr="004D0DAA">
        <w:t>Header type 2: header for MCS-6, MCS-5, DAS-5, DAS-6 and DAS-7</w:t>
      </w:r>
      <w:r w:rsidRPr="004D0DAA">
        <w:tab/>
      </w:r>
      <w:r w:rsidRPr="004D0DAA">
        <w:fldChar w:fldCharType="begin" w:fldLock="1"/>
      </w:r>
      <w:r w:rsidRPr="004D0DAA">
        <w:instrText xml:space="preserve"> PAGEREF _Toc516669704 \h </w:instrText>
      </w:r>
      <w:r w:rsidRPr="004D0DAA">
        <w:fldChar w:fldCharType="separate"/>
      </w:r>
      <w:r w:rsidRPr="004D0DAA">
        <w:t>264</w:t>
      </w:r>
      <w:r w:rsidRPr="004D0DAA">
        <w:fldChar w:fldCharType="end"/>
      </w:r>
    </w:p>
    <w:p w14:paraId="38183FDA" w14:textId="77777777" w:rsidR="00683705" w:rsidRPr="004D0DAA" w:rsidRDefault="00683705">
      <w:pPr>
        <w:pStyle w:val="TOC4"/>
        <w:rPr>
          <w:rFonts w:ascii="Calibri" w:hAnsi="Calibri"/>
          <w:sz w:val="22"/>
          <w:szCs w:val="22"/>
          <w:lang w:val="en-US"/>
        </w:rPr>
      </w:pPr>
      <w:r w:rsidRPr="004D0DAA">
        <w:t>10.3a.3.3</w:t>
      </w:r>
      <w:r w:rsidRPr="004D0DAA">
        <w:rPr>
          <w:rFonts w:ascii="Calibri" w:hAnsi="Calibri"/>
          <w:sz w:val="22"/>
          <w:szCs w:val="22"/>
          <w:lang w:val="en-US"/>
        </w:rPr>
        <w:tab/>
      </w:r>
      <w:r w:rsidRPr="004D0DAA">
        <w:t>Header type 3: header for MCS-4, MCS-3, MCS-2, MCS-1 and MCS-0 case</w:t>
      </w:r>
      <w:r w:rsidRPr="004D0DAA">
        <w:tab/>
      </w:r>
      <w:r w:rsidRPr="004D0DAA">
        <w:fldChar w:fldCharType="begin" w:fldLock="1"/>
      </w:r>
      <w:r w:rsidRPr="004D0DAA">
        <w:instrText xml:space="preserve"> PAGEREF _Toc516669705 \h </w:instrText>
      </w:r>
      <w:r w:rsidRPr="004D0DAA">
        <w:fldChar w:fldCharType="separate"/>
      </w:r>
      <w:r w:rsidRPr="004D0DAA">
        <w:t>265</w:t>
      </w:r>
      <w:r w:rsidRPr="004D0DAA">
        <w:fldChar w:fldCharType="end"/>
      </w:r>
    </w:p>
    <w:p w14:paraId="155669B0" w14:textId="77777777" w:rsidR="00683705" w:rsidRPr="004D0DAA" w:rsidRDefault="00683705">
      <w:pPr>
        <w:pStyle w:val="TOC4"/>
        <w:rPr>
          <w:rFonts w:ascii="Calibri" w:hAnsi="Calibri"/>
          <w:sz w:val="22"/>
          <w:szCs w:val="22"/>
          <w:lang w:val="en-US"/>
        </w:rPr>
      </w:pPr>
      <w:r w:rsidRPr="004D0DAA">
        <w:t>10.3a.3.4</w:t>
      </w:r>
      <w:r w:rsidRPr="004D0DAA">
        <w:rPr>
          <w:rFonts w:ascii="Calibri" w:hAnsi="Calibri"/>
          <w:sz w:val="22"/>
          <w:szCs w:val="22"/>
          <w:lang w:val="en-US"/>
        </w:rPr>
        <w:tab/>
      </w:r>
      <w:r w:rsidRPr="004D0DAA">
        <w:t>Header type 4: header for DAS-8 and DAS-9</w:t>
      </w:r>
      <w:r w:rsidRPr="004D0DAA">
        <w:tab/>
      </w:r>
      <w:r w:rsidRPr="004D0DAA">
        <w:fldChar w:fldCharType="begin" w:fldLock="1"/>
      </w:r>
      <w:r w:rsidRPr="004D0DAA">
        <w:instrText xml:space="preserve"> PAGEREF _Toc516669706 \h </w:instrText>
      </w:r>
      <w:r w:rsidRPr="004D0DAA">
        <w:fldChar w:fldCharType="separate"/>
      </w:r>
      <w:r w:rsidRPr="004D0DAA">
        <w:t>266</w:t>
      </w:r>
      <w:r w:rsidRPr="004D0DAA">
        <w:fldChar w:fldCharType="end"/>
      </w:r>
    </w:p>
    <w:p w14:paraId="2F213019" w14:textId="77777777" w:rsidR="00683705" w:rsidRPr="004D0DAA" w:rsidRDefault="00683705">
      <w:pPr>
        <w:pStyle w:val="TOC4"/>
        <w:rPr>
          <w:rFonts w:ascii="Calibri" w:hAnsi="Calibri"/>
          <w:sz w:val="22"/>
          <w:szCs w:val="22"/>
          <w:lang w:val="en-US"/>
        </w:rPr>
      </w:pPr>
      <w:r w:rsidRPr="004D0DAA">
        <w:t>10.3a.3.5</w:t>
      </w:r>
      <w:r w:rsidRPr="004D0DAA">
        <w:rPr>
          <w:rFonts w:ascii="Calibri" w:hAnsi="Calibri"/>
          <w:sz w:val="22"/>
          <w:szCs w:val="22"/>
          <w:lang w:val="en-US"/>
        </w:rPr>
        <w:tab/>
      </w:r>
      <w:r w:rsidRPr="004D0DAA">
        <w:t>Header type 5: header for DAS-11 and DAS-12</w:t>
      </w:r>
      <w:r w:rsidRPr="004D0DAA">
        <w:tab/>
      </w:r>
      <w:r w:rsidRPr="004D0DAA">
        <w:fldChar w:fldCharType="begin" w:fldLock="1"/>
      </w:r>
      <w:r w:rsidRPr="004D0DAA">
        <w:instrText xml:space="preserve"> PAGEREF _Toc516669707 \h </w:instrText>
      </w:r>
      <w:r w:rsidRPr="004D0DAA">
        <w:fldChar w:fldCharType="separate"/>
      </w:r>
      <w:r w:rsidRPr="004D0DAA">
        <w:t>267</w:t>
      </w:r>
      <w:r w:rsidRPr="004D0DAA">
        <w:fldChar w:fldCharType="end"/>
      </w:r>
    </w:p>
    <w:p w14:paraId="273EFA89" w14:textId="77777777" w:rsidR="00683705" w:rsidRPr="004D0DAA" w:rsidRDefault="00683705">
      <w:pPr>
        <w:pStyle w:val="TOC4"/>
        <w:rPr>
          <w:rFonts w:ascii="Calibri" w:hAnsi="Calibri"/>
          <w:sz w:val="22"/>
          <w:szCs w:val="22"/>
          <w:lang w:val="en-US"/>
        </w:rPr>
      </w:pPr>
      <w:r w:rsidRPr="004D0DAA">
        <w:t>10.3a.3.6</w:t>
      </w:r>
      <w:r w:rsidRPr="004D0DAA">
        <w:rPr>
          <w:rFonts w:ascii="Calibri" w:hAnsi="Calibri"/>
          <w:sz w:val="22"/>
          <w:szCs w:val="22"/>
          <w:lang w:val="en-US"/>
        </w:rPr>
        <w:tab/>
      </w:r>
      <w:r w:rsidRPr="004D0DAA">
        <w:t>Header type 6: header for DBS-5 and DBS-6</w:t>
      </w:r>
      <w:r w:rsidRPr="004D0DAA">
        <w:tab/>
      </w:r>
      <w:r w:rsidRPr="004D0DAA">
        <w:fldChar w:fldCharType="begin" w:fldLock="1"/>
      </w:r>
      <w:r w:rsidRPr="004D0DAA">
        <w:instrText xml:space="preserve"> PAGEREF _Toc516669708 \h </w:instrText>
      </w:r>
      <w:r w:rsidRPr="004D0DAA">
        <w:fldChar w:fldCharType="separate"/>
      </w:r>
      <w:r w:rsidRPr="004D0DAA">
        <w:t>268</w:t>
      </w:r>
      <w:r w:rsidRPr="004D0DAA">
        <w:fldChar w:fldCharType="end"/>
      </w:r>
    </w:p>
    <w:p w14:paraId="361E303D" w14:textId="77777777" w:rsidR="00683705" w:rsidRPr="004D0DAA" w:rsidRDefault="00683705">
      <w:pPr>
        <w:pStyle w:val="TOC4"/>
        <w:rPr>
          <w:rFonts w:ascii="Calibri" w:hAnsi="Calibri"/>
          <w:sz w:val="22"/>
          <w:szCs w:val="22"/>
          <w:lang w:val="en-US"/>
        </w:rPr>
      </w:pPr>
      <w:r w:rsidRPr="004D0DAA">
        <w:t>10.3a.3.7</w:t>
      </w:r>
      <w:r w:rsidRPr="004D0DAA">
        <w:rPr>
          <w:rFonts w:ascii="Calibri" w:hAnsi="Calibri"/>
          <w:sz w:val="22"/>
          <w:szCs w:val="22"/>
          <w:lang w:val="en-US"/>
        </w:rPr>
        <w:tab/>
      </w:r>
      <w:r w:rsidRPr="004D0DAA">
        <w:t>Header type 7: header for DBS-7 and DBS-8</w:t>
      </w:r>
      <w:r w:rsidRPr="004D0DAA">
        <w:tab/>
      </w:r>
      <w:r w:rsidRPr="004D0DAA">
        <w:fldChar w:fldCharType="begin" w:fldLock="1"/>
      </w:r>
      <w:r w:rsidRPr="004D0DAA">
        <w:instrText xml:space="preserve"> PAGEREF _Toc516669709 \h </w:instrText>
      </w:r>
      <w:r w:rsidRPr="004D0DAA">
        <w:fldChar w:fldCharType="separate"/>
      </w:r>
      <w:r w:rsidRPr="004D0DAA">
        <w:t>268</w:t>
      </w:r>
      <w:r w:rsidRPr="004D0DAA">
        <w:fldChar w:fldCharType="end"/>
      </w:r>
    </w:p>
    <w:p w14:paraId="3F2D5F2A" w14:textId="77777777" w:rsidR="00683705" w:rsidRPr="004D0DAA" w:rsidRDefault="00683705">
      <w:pPr>
        <w:pStyle w:val="TOC4"/>
        <w:rPr>
          <w:rFonts w:ascii="Calibri" w:hAnsi="Calibri"/>
          <w:sz w:val="22"/>
          <w:szCs w:val="22"/>
          <w:lang w:val="en-US"/>
        </w:rPr>
      </w:pPr>
      <w:r w:rsidRPr="004D0DAA">
        <w:t>10.3a.3.8</w:t>
      </w:r>
      <w:r w:rsidRPr="004D0DAA">
        <w:rPr>
          <w:rFonts w:ascii="Calibri" w:hAnsi="Calibri"/>
          <w:sz w:val="22"/>
          <w:szCs w:val="22"/>
          <w:lang w:val="en-US"/>
        </w:rPr>
        <w:tab/>
      </w:r>
      <w:r w:rsidRPr="004D0DAA">
        <w:t>Header type 8: header for DBS-9 and DBS-10</w:t>
      </w:r>
      <w:r w:rsidRPr="004D0DAA">
        <w:tab/>
      </w:r>
      <w:r w:rsidRPr="004D0DAA">
        <w:fldChar w:fldCharType="begin" w:fldLock="1"/>
      </w:r>
      <w:r w:rsidRPr="004D0DAA">
        <w:instrText xml:space="preserve"> PAGEREF _Toc516669710 \h </w:instrText>
      </w:r>
      <w:r w:rsidRPr="004D0DAA">
        <w:fldChar w:fldCharType="separate"/>
      </w:r>
      <w:r w:rsidRPr="004D0DAA">
        <w:t>268</w:t>
      </w:r>
      <w:r w:rsidRPr="004D0DAA">
        <w:fldChar w:fldCharType="end"/>
      </w:r>
    </w:p>
    <w:p w14:paraId="4AA8A147" w14:textId="77777777" w:rsidR="00683705" w:rsidRPr="004D0DAA" w:rsidRDefault="00683705">
      <w:pPr>
        <w:pStyle w:val="TOC4"/>
        <w:rPr>
          <w:rFonts w:ascii="Calibri" w:hAnsi="Calibri"/>
          <w:sz w:val="22"/>
          <w:szCs w:val="22"/>
          <w:lang w:val="en-US"/>
        </w:rPr>
      </w:pPr>
      <w:r w:rsidRPr="004D0DAA">
        <w:t>10.3a.3.9</w:t>
      </w:r>
      <w:r w:rsidRPr="004D0DAA">
        <w:rPr>
          <w:rFonts w:ascii="Calibri" w:hAnsi="Calibri"/>
          <w:sz w:val="22"/>
          <w:szCs w:val="22"/>
          <w:lang w:val="en-US"/>
        </w:rPr>
        <w:tab/>
      </w:r>
      <w:r w:rsidRPr="004D0DAA">
        <w:t>Header type 9: header for DBS-11 and DBS-12</w:t>
      </w:r>
      <w:r w:rsidRPr="004D0DAA">
        <w:tab/>
      </w:r>
      <w:r w:rsidRPr="004D0DAA">
        <w:fldChar w:fldCharType="begin" w:fldLock="1"/>
      </w:r>
      <w:r w:rsidRPr="004D0DAA">
        <w:instrText xml:space="preserve"> PAGEREF _Toc516669711 \h </w:instrText>
      </w:r>
      <w:r w:rsidRPr="004D0DAA">
        <w:fldChar w:fldCharType="separate"/>
      </w:r>
      <w:r w:rsidRPr="004D0DAA">
        <w:t>268</w:t>
      </w:r>
      <w:r w:rsidRPr="004D0DAA">
        <w:fldChar w:fldCharType="end"/>
      </w:r>
    </w:p>
    <w:p w14:paraId="42400486" w14:textId="77777777" w:rsidR="00683705" w:rsidRPr="004D0DAA" w:rsidRDefault="00683705">
      <w:pPr>
        <w:pStyle w:val="TOC4"/>
        <w:rPr>
          <w:rFonts w:ascii="Calibri" w:hAnsi="Calibri"/>
          <w:sz w:val="22"/>
          <w:szCs w:val="22"/>
          <w:lang w:val="en-US"/>
        </w:rPr>
      </w:pPr>
      <w:r w:rsidRPr="004D0DAA">
        <w:t>10.3a.3.10</w:t>
      </w:r>
      <w:r w:rsidRPr="004D0DAA">
        <w:rPr>
          <w:rFonts w:ascii="Calibri" w:hAnsi="Calibri"/>
          <w:sz w:val="22"/>
          <w:szCs w:val="22"/>
          <w:lang w:val="en-US"/>
        </w:rPr>
        <w:tab/>
      </w:r>
      <w:r w:rsidRPr="004D0DAA">
        <w:t>Header type 10: header for DAS-10</w:t>
      </w:r>
      <w:r w:rsidRPr="004D0DAA">
        <w:tab/>
      </w:r>
      <w:r w:rsidRPr="004D0DAA">
        <w:fldChar w:fldCharType="begin" w:fldLock="1"/>
      </w:r>
      <w:r w:rsidRPr="004D0DAA">
        <w:instrText xml:space="preserve"> PAGEREF _Toc516669712 \h </w:instrText>
      </w:r>
      <w:r w:rsidRPr="004D0DAA">
        <w:fldChar w:fldCharType="separate"/>
      </w:r>
      <w:r w:rsidRPr="004D0DAA">
        <w:t>269</w:t>
      </w:r>
      <w:r w:rsidRPr="004D0DAA">
        <w:fldChar w:fldCharType="end"/>
      </w:r>
    </w:p>
    <w:p w14:paraId="2CFA5974" w14:textId="77777777" w:rsidR="00683705" w:rsidRPr="004D0DAA" w:rsidRDefault="00683705">
      <w:pPr>
        <w:pStyle w:val="TOC3"/>
        <w:rPr>
          <w:rFonts w:ascii="Calibri" w:hAnsi="Calibri"/>
          <w:sz w:val="22"/>
          <w:szCs w:val="22"/>
          <w:lang w:val="en-US"/>
        </w:rPr>
      </w:pPr>
      <w:r w:rsidRPr="004D0DAA">
        <w:t>10.3a.4</w:t>
      </w:r>
      <w:r w:rsidRPr="004D0DAA">
        <w:rPr>
          <w:rFonts w:ascii="Calibri" w:hAnsi="Calibri"/>
          <w:sz w:val="22"/>
          <w:szCs w:val="22"/>
          <w:lang w:val="en-US"/>
        </w:rPr>
        <w:tab/>
      </w:r>
      <w:r w:rsidRPr="004D0DAA">
        <w:t>EGPRS and EC-GSM-IoT Uplink RLC/MAC header</w:t>
      </w:r>
      <w:r w:rsidRPr="004D0DAA">
        <w:tab/>
      </w:r>
      <w:r w:rsidRPr="004D0DAA">
        <w:fldChar w:fldCharType="begin" w:fldLock="1"/>
      </w:r>
      <w:r w:rsidRPr="004D0DAA">
        <w:instrText xml:space="preserve"> PAGEREF _Toc516669713 \h </w:instrText>
      </w:r>
      <w:r w:rsidRPr="004D0DAA">
        <w:fldChar w:fldCharType="separate"/>
      </w:r>
      <w:r w:rsidRPr="004D0DAA">
        <w:t>269</w:t>
      </w:r>
      <w:r w:rsidRPr="004D0DAA">
        <w:fldChar w:fldCharType="end"/>
      </w:r>
    </w:p>
    <w:p w14:paraId="1B4689A4" w14:textId="77777777" w:rsidR="00683705" w:rsidRPr="004D0DAA" w:rsidRDefault="00683705">
      <w:pPr>
        <w:pStyle w:val="TOC4"/>
        <w:rPr>
          <w:rFonts w:ascii="Calibri" w:hAnsi="Calibri"/>
          <w:sz w:val="22"/>
          <w:szCs w:val="22"/>
          <w:lang w:val="en-US"/>
        </w:rPr>
      </w:pPr>
      <w:r w:rsidRPr="004D0DAA">
        <w:t>10.3a.4.1</w:t>
      </w:r>
      <w:r w:rsidRPr="004D0DAA">
        <w:rPr>
          <w:rFonts w:ascii="Calibri" w:hAnsi="Calibri"/>
          <w:sz w:val="22"/>
          <w:szCs w:val="22"/>
          <w:lang w:val="en-US"/>
        </w:rPr>
        <w:tab/>
      </w:r>
      <w:r w:rsidRPr="004D0DAA">
        <w:t>Header type 1: header for MCS-7, MCS-8 and MCS-9</w:t>
      </w:r>
      <w:r w:rsidRPr="004D0DAA">
        <w:tab/>
      </w:r>
      <w:r w:rsidRPr="004D0DAA">
        <w:fldChar w:fldCharType="begin" w:fldLock="1"/>
      </w:r>
      <w:r w:rsidRPr="004D0DAA">
        <w:instrText xml:space="preserve"> PAGEREF _Toc516669714 \h </w:instrText>
      </w:r>
      <w:r w:rsidRPr="004D0DAA">
        <w:fldChar w:fldCharType="separate"/>
      </w:r>
      <w:r w:rsidRPr="004D0DAA">
        <w:t>269</w:t>
      </w:r>
      <w:r w:rsidRPr="004D0DAA">
        <w:fldChar w:fldCharType="end"/>
      </w:r>
    </w:p>
    <w:p w14:paraId="7C1B0B87" w14:textId="77777777" w:rsidR="00683705" w:rsidRPr="004D0DAA" w:rsidRDefault="00683705">
      <w:pPr>
        <w:pStyle w:val="TOC4"/>
        <w:rPr>
          <w:rFonts w:ascii="Calibri" w:hAnsi="Calibri"/>
          <w:sz w:val="22"/>
          <w:szCs w:val="22"/>
          <w:lang w:val="en-US"/>
        </w:rPr>
      </w:pPr>
      <w:r w:rsidRPr="004D0DAA">
        <w:t>10.3a.4.2</w:t>
      </w:r>
      <w:r w:rsidRPr="004D0DAA">
        <w:rPr>
          <w:rFonts w:ascii="Calibri" w:hAnsi="Calibri"/>
          <w:sz w:val="22"/>
          <w:szCs w:val="22"/>
          <w:lang w:val="en-US"/>
        </w:rPr>
        <w:tab/>
      </w:r>
      <w:r w:rsidRPr="004D0DAA">
        <w:t>Header type 2: header for MCS-6 and MCS-5</w:t>
      </w:r>
      <w:r w:rsidRPr="004D0DAA">
        <w:tab/>
      </w:r>
      <w:r w:rsidRPr="004D0DAA">
        <w:fldChar w:fldCharType="begin" w:fldLock="1"/>
      </w:r>
      <w:r w:rsidRPr="004D0DAA">
        <w:instrText xml:space="preserve"> PAGEREF _Toc516669715 \h </w:instrText>
      </w:r>
      <w:r w:rsidRPr="004D0DAA">
        <w:fldChar w:fldCharType="separate"/>
      </w:r>
      <w:r w:rsidRPr="004D0DAA">
        <w:t>270</w:t>
      </w:r>
      <w:r w:rsidRPr="004D0DAA">
        <w:fldChar w:fldCharType="end"/>
      </w:r>
    </w:p>
    <w:p w14:paraId="349627AA" w14:textId="77777777" w:rsidR="00683705" w:rsidRPr="004D0DAA" w:rsidRDefault="00683705">
      <w:pPr>
        <w:pStyle w:val="TOC4"/>
        <w:rPr>
          <w:rFonts w:ascii="Calibri" w:hAnsi="Calibri"/>
          <w:sz w:val="22"/>
          <w:szCs w:val="22"/>
          <w:lang w:val="en-US"/>
        </w:rPr>
      </w:pPr>
      <w:r w:rsidRPr="004D0DAA">
        <w:t>10.3a.4.3</w:t>
      </w:r>
      <w:r w:rsidRPr="004D0DAA">
        <w:rPr>
          <w:rFonts w:ascii="Calibri" w:hAnsi="Calibri"/>
          <w:sz w:val="22"/>
          <w:szCs w:val="22"/>
          <w:lang w:val="en-US"/>
        </w:rPr>
        <w:tab/>
      </w:r>
      <w:r w:rsidRPr="004D0DAA">
        <w:t>Header type 3 : header for MCS-4, MCS-3, MCS-2 and MCS-1</w:t>
      </w:r>
      <w:r w:rsidRPr="004D0DAA">
        <w:tab/>
      </w:r>
      <w:r w:rsidRPr="004D0DAA">
        <w:fldChar w:fldCharType="begin" w:fldLock="1"/>
      </w:r>
      <w:r w:rsidRPr="004D0DAA">
        <w:instrText xml:space="preserve"> PAGEREF _Toc516669716 \h </w:instrText>
      </w:r>
      <w:r w:rsidRPr="004D0DAA">
        <w:fldChar w:fldCharType="separate"/>
      </w:r>
      <w:r w:rsidRPr="004D0DAA">
        <w:t>271</w:t>
      </w:r>
      <w:r w:rsidRPr="004D0DAA">
        <w:fldChar w:fldCharType="end"/>
      </w:r>
    </w:p>
    <w:p w14:paraId="7F7C74B4" w14:textId="77777777" w:rsidR="00683705" w:rsidRPr="004D0DAA" w:rsidRDefault="00683705">
      <w:pPr>
        <w:pStyle w:val="TOC4"/>
        <w:rPr>
          <w:rFonts w:ascii="Calibri" w:hAnsi="Calibri"/>
          <w:sz w:val="22"/>
          <w:szCs w:val="22"/>
          <w:lang w:val="en-US"/>
        </w:rPr>
      </w:pPr>
      <w:r w:rsidRPr="004D0DAA">
        <w:t>10.3a.4.4</w:t>
      </w:r>
      <w:r w:rsidRPr="004D0DAA">
        <w:rPr>
          <w:rFonts w:ascii="Calibri" w:hAnsi="Calibri"/>
          <w:sz w:val="22"/>
          <w:szCs w:val="22"/>
          <w:lang w:val="en-US"/>
        </w:rPr>
        <w:tab/>
      </w:r>
      <w:r w:rsidRPr="004D0DAA">
        <w:t>Header type 4: header for UAS-7, UAS-8 and UAS-9</w:t>
      </w:r>
      <w:r w:rsidRPr="004D0DAA">
        <w:tab/>
      </w:r>
      <w:r w:rsidRPr="004D0DAA">
        <w:fldChar w:fldCharType="begin" w:fldLock="1"/>
      </w:r>
      <w:r w:rsidRPr="004D0DAA">
        <w:instrText xml:space="preserve"> PAGEREF _Toc516669717 \h </w:instrText>
      </w:r>
      <w:r w:rsidRPr="004D0DAA">
        <w:fldChar w:fldCharType="separate"/>
      </w:r>
      <w:r w:rsidRPr="004D0DAA">
        <w:t>271</w:t>
      </w:r>
      <w:r w:rsidRPr="004D0DAA">
        <w:fldChar w:fldCharType="end"/>
      </w:r>
    </w:p>
    <w:p w14:paraId="64961653" w14:textId="77777777" w:rsidR="00683705" w:rsidRPr="004D0DAA" w:rsidRDefault="00683705">
      <w:pPr>
        <w:pStyle w:val="TOC4"/>
        <w:rPr>
          <w:rFonts w:ascii="Calibri" w:hAnsi="Calibri"/>
          <w:sz w:val="22"/>
          <w:szCs w:val="22"/>
          <w:lang w:val="en-US"/>
        </w:rPr>
      </w:pPr>
      <w:r w:rsidRPr="004D0DAA">
        <w:t>10.3a.4.5</w:t>
      </w:r>
      <w:r w:rsidRPr="004D0DAA">
        <w:rPr>
          <w:rFonts w:ascii="Calibri" w:hAnsi="Calibri"/>
          <w:sz w:val="22"/>
          <w:szCs w:val="22"/>
          <w:lang w:val="en-US"/>
        </w:rPr>
        <w:tab/>
      </w:r>
      <w:r w:rsidRPr="004D0DAA">
        <w:t>Header type 5: header for UAS-10 and UAS-11</w:t>
      </w:r>
      <w:r w:rsidRPr="004D0DAA">
        <w:tab/>
      </w:r>
      <w:r w:rsidRPr="004D0DAA">
        <w:fldChar w:fldCharType="begin" w:fldLock="1"/>
      </w:r>
      <w:r w:rsidRPr="004D0DAA">
        <w:instrText xml:space="preserve"> PAGEREF _Toc516669718 \h </w:instrText>
      </w:r>
      <w:r w:rsidRPr="004D0DAA">
        <w:fldChar w:fldCharType="separate"/>
      </w:r>
      <w:r w:rsidRPr="004D0DAA">
        <w:t>272</w:t>
      </w:r>
      <w:r w:rsidRPr="004D0DAA">
        <w:fldChar w:fldCharType="end"/>
      </w:r>
    </w:p>
    <w:p w14:paraId="6CE34E95" w14:textId="77777777" w:rsidR="00683705" w:rsidRPr="004D0DAA" w:rsidRDefault="00683705">
      <w:pPr>
        <w:pStyle w:val="TOC4"/>
        <w:rPr>
          <w:rFonts w:ascii="Calibri" w:hAnsi="Calibri"/>
          <w:sz w:val="22"/>
          <w:szCs w:val="22"/>
          <w:lang w:val="en-US"/>
        </w:rPr>
      </w:pPr>
      <w:r w:rsidRPr="004D0DAA">
        <w:t>10.3a.4.6</w:t>
      </w:r>
      <w:r w:rsidRPr="004D0DAA">
        <w:rPr>
          <w:rFonts w:ascii="Calibri" w:hAnsi="Calibri"/>
          <w:sz w:val="22"/>
          <w:szCs w:val="22"/>
          <w:lang w:val="en-US"/>
        </w:rPr>
        <w:tab/>
      </w:r>
      <w:r w:rsidRPr="004D0DAA">
        <w:t>Header type 6: header for UBS-5 and UBS-6</w:t>
      </w:r>
      <w:r w:rsidRPr="004D0DAA">
        <w:tab/>
      </w:r>
      <w:r w:rsidRPr="004D0DAA">
        <w:fldChar w:fldCharType="begin" w:fldLock="1"/>
      </w:r>
      <w:r w:rsidRPr="004D0DAA">
        <w:instrText xml:space="preserve"> PAGEREF _Toc516669719 \h </w:instrText>
      </w:r>
      <w:r w:rsidRPr="004D0DAA">
        <w:fldChar w:fldCharType="separate"/>
      </w:r>
      <w:r w:rsidRPr="004D0DAA">
        <w:t>272</w:t>
      </w:r>
      <w:r w:rsidRPr="004D0DAA">
        <w:fldChar w:fldCharType="end"/>
      </w:r>
    </w:p>
    <w:p w14:paraId="674AA190" w14:textId="77777777" w:rsidR="00683705" w:rsidRPr="004D0DAA" w:rsidRDefault="00683705">
      <w:pPr>
        <w:pStyle w:val="TOC4"/>
        <w:rPr>
          <w:rFonts w:ascii="Calibri" w:hAnsi="Calibri"/>
          <w:sz w:val="22"/>
          <w:szCs w:val="22"/>
          <w:lang w:val="en-US"/>
        </w:rPr>
      </w:pPr>
      <w:r w:rsidRPr="004D0DAA">
        <w:t>10.3a.4.7</w:t>
      </w:r>
      <w:r w:rsidRPr="004D0DAA">
        <w:rPr>
          <w:rFonts w:ascii="Calibri" w:hAnsi="Calibri"/>
          <w:sz w:val="22"/>
          <w:szCs w:val="22"/>
          <w:lang w:val="en-US"/>
        </w:rPr>
        <w:tab/>
      </w:r>
      <w:r w:rsidRPr="004D0DAA">
        <w:t>Header type 7: header for UBS-7 and UBS-8</w:t>
      </w:r>
      <w:r w:rsidRPr="004D0DAA">
        <w:tab/>
      </w:r>
      <w:r w:rsidRPr="004D0DAA">
        <w:fldChar w:fldCharType="begin" w:fldLock="1"/>
      </w:r>
      <w:r w:rsidRPr="004D0DAA">
        <w:instrText xml:space="preserve"> PAGEREF _Toc516669720 \h </w:instrText>
      </w:r>
      <w:r w:rsidRPr="004D0DAA">
        <w:fldChar w:fldCharType="separate"/>
      </w:r>
      <w:r w:rsidRPr="004D0DAA">
        <w:t>272</w:t>
      </w:r>
      <w:r w:rsidRPr="004D0DAA">
        <w:fldChar w:fldCharType="end"/>
      </w:r>
    </w:p>
    <w:p w14:paraId="3524FFD5" w14:textId="77777777" w:rsidR="00683705" w:rsidRPr="004D0DAA" w:rsidRDefault="00683705">
      <w:pPr>
        <w:pStyle w:val="TOC4"/>
        <w:rPr>
          <w:rFonts w:ascii="Calibri" w:hAnsi="Calibri"/>
          <w:sz w:val="22"/>
          <w:szCs w:val="22"/>
          <w:lang w:val="en-US"/>
        </w:rPr>
      </w:pPr>
      <w:r w:rsidRPr="004D0DAA">
        <w:t>10.3a.4.8</w:t>
      </w:r>
      <w:r w:rsidRPr="004D0DAA">
        <w:rPr>
          <w:rFonts w:ascii="Calibri" w:hAnsi="Calibri"/>
          <w:sz w:val="22"/>
          <w:szCs w:val="22"/>
          <w:lang w:val="en-US"/>
        </w:rPr>
        <w:tab/>
      </w:r>
      <w:r w:rsidRPr="004D0DAA">
        <w:t>Header type 8: header for UBS-9 and UBS-10</w:t>
      </w:r>
      <w:r w:rsidRPr="004D0DAA">
        <w:tab/>
      </w:r>
      <w:r w:rsidRPr="004D0DAA">
        <w:fldChar w:fldCharType="begin" w:fldLock="1"/>
      </w:r>
      <w:r w:rsidRPr="004D0DAA">
        <w:instrText xml:space="preserve"> PAGEREF _Toc516669721 \h </w:instrText>
      </w:r>
      <w:r w:rsidRPr="004D0DAA">
        <w:fldChar w:fldCharType="separate"/>
      </w:r>
      <w:r w:rsidRPr="004D0DAA">
        <w:t>273</w:t>
      </w:r>
      <w:r w:rsidRPr="004D0DAA">
        <w:fldChar w:fldCharType="end"/>
      </w:r>
    </w:p>
    <w:p w14:paraId="67776525" w14:textId="77777777" w:rsidR="00683705" w:rsidRPr="004D0DAA" w:rsidRDefault="00683705">
      <w:pPr>
        <w:pStyle w:val="TOC4"/>
        <w:rPr>
          <w:rFonts w:ascii="Calibri" w:hAnsi="Calibri"/>
          <w:sz w:val="22"/>
          <w:szCs w:val="22"/>
          <w:lang w:val="en-US"/>
        </w:rPr>
      </w:pPr>
      <w:r w:rsidRPr="004D0DAA">
        <w:t>10.3a.4.9</w:t>
      </w:r>
      <w:r w:rsidRPr="004D0DAA">
        <w:rPr>
          <w:rFonts w:ascii="Calibri" w:hAnsi="Calibri"/>
          <w:sz w:val="22"/>
          <w:szCs w:val="22"/>
          <w:lang w:val="en-US"/>
        </w:rPr>
        <w:tab/>
      </w:r>
      <w:r w:rsidRPr="004D0DAA">
        <w:t>Header type 9: header for UBS-11 and UBS-12</w:t>
      </w:r>
      <w:r w:rsidRPr="004D0DAA">
        <w:tab/>
      </w:r>
      <w:r w:rsidRPr="004D0DAA">
        <w:fldChar w:fldCharType="begin" w:fldLock="1"/>
      </w:r>
      <w:r w:rsidRPr="004D0DAA">
        <w:instrText xml:space="preserve"> PAGEREF _Toc516669722 \h </w:instrText>
      </w:r>
      <w:r w:rsidRPr="004D0DAA">
        <w:fldChar w:fldCharType="separate"/>
      </w:r>
      <w:r w:rsidRPr="004D0DAA">
        <w:t>273</w:t>
      </w:r>
      <w:r w:rsidRPr="004D0DAA">
        <w:fldChar w:fldCharType="end"/>
      </w:r>
    </w:p>
    <w:p w14:paraId="6A702351" w14:textId="77777777" w:rsidR="00683705" w:rsidRPr="004D0DAA" w:rsidRDefault="00683705">
      <w:pPr>
        <w:pStyle w:val="TOC4"/>
        <w:rPr>
          <w:rFonts w:ascii="Calibri" w:hAnsi="Calibri"/>
          <w:sz w:val="22"/>
          <w:szCs w:val="22"/>
          <w:lang w:val="en-US"/>
        </w:rPr>
      </w:pPr>
      <w:r w:rsidRPr="004D0DAA">
        <w:t>10.3a.4.10</w:t>
      </w:r>
      <w:r w:rsidRPr="004D0DAA">
        <w:rPr>
          <w:rFonts w:ascii="Calibri" w:hAnsi="Calibri"/>
          <w:sz w:val="22"/>
          <w:szCs w:val="22"/>
          <w:lang w:val="en-US"/>
        </w:rPr>
        <w:tab/>
      </w:r>
      <w:r w:rsidRPr="004D0DAA">
        <w:t>Header type 4: header for MCS-1’</w:t>
      </w:r>
      <w:r w:rsidRPr="004D0DAA">
        <w:tab/>
      </w:r>
      <w:r w:rsidRPr="004D0DAA">
        <w:fldChar w:fldCharType="begin" w:fldLock="1"/>
      </w:r>
      <w:r w:rsidRPr="004D0DAA">
        <w:instrText xml:space="preserve"> PAGEREF _Toc516669723 \h </w:instrText>
      </w:r>
      <w:r w:rsidRPr="004D0DAA">
        <w:fldChar w:fldCharType="separate"/>
      </w:r>
      <w:r w:rsidRPr="004D0DAA">
        <w:t>273</w:t>
      </w:r>
      <w:r w:rsidRPr="004D0DAA">
        <w:fldChar w:fldCharType="end"/>
      </w:r>
    </w:p>
    <w:p w14:paraId="6B07C353" w14:textId="77777777" w:rsidR="00683705" w:rsidRPr="004D0DAA" w:rsidRDefault="00683705">
      <w:pPr>
        <w:pStyle w:val="TOC2"/>
        <w:rPr>
          <w:rFonts w:ascii="Calibri" w:hAnsi="Calibri"/>
          <w:sz w:val="22"/>
          <w:szCs w:val="22"/>
          <w:lang w:val="en-US"/>
        </w:rPr>
      </w:pPr>
      <w:r w:rsidRPr="004D0DAA">
        <w:lastRenderedPageBreak/>
        <w:t>10.3a.5</w:t>
      </w:r>
      <w:r w:rsidRPr="004D0DAA">
        <w:rPr>
          <w:rFonts w:ascii="Calibri" w:hAnsi="Calibri"/>
          <w:sz w:val="22"/>
          <w:szCs w:val="22"/>
          <w:lang w:val="en-US"/>
        </w:rPr>
        <w:tab/>
      </w:r>
      <w:r w:rsidRPr="004D0DAA">
        <w:t>Piggy-backed Ack/Nack field (SSN-based)</w:t>
      </w:r>
      <w:r w:rsidRPr="004D0DAA">
        <w:tab/>
      </w:r>
      <w:r w:rsidRPr="004D0DAA">
        <w:fldChar w:fldCharType="begin" w:fldLock="1"/>
      </w:r>
      <w:r w:rsidRPr="004D0DAA">
        <w:instrText xml:space="preserve"> PAGEREF _Toc516669724 \h </w:instrText>
      </w:r>
      <w:r w:rsidRPr="004D0DAA">
        <w:fldChar w:fldCharType="separate"/>
      </w:r>
      <w:r w:rsidRPr="004D0DAA">
        <w:t>273</w:t>
      </w:r>
      <w:r w:rsidRPr="004D0DAA">
        <w:fldChar w:fldCharType="end"/>
      </w:r>
    </w:p>
    <w:p w14:paraId="23DD2C62" w14:textId="77777777" w:rsidR="00683705" w:rsidRPr="004D0DAA" w:rsidRDefault="00683705">
      <w:pPr>
        <w:pStyle w:val="TOC2"/>
        <w:rPr>
          <w:rFonts w:ascii="Calibri" w:hAnsi="Calibri"/>
          <w:sz w:val="22"/>
          <w:szCs w:val="22"/>
          <w:lang w:val="en-US"/>
        </w:rPr>
      </w:pPr>
      <w:r w:rsidRPr="004D0DAA">
        <w:t>10.3a.6</w:t>
      </w:r>
      <w:r w:rsidRPr="004D0DAA">
        <w:rPr>
          <w:rFonts w:ascii="Calibri" w:hAnsi="Calibri"/>
          <w:sz w:val="22"/>
          <w:szCs w:val="22"/>
          <w:lang w:val="en-US"/>
        </w:rPr>
        <w:tab/>
      </w:r>
      <w:r w:rsidRPr="004D0DAA">
        <w:t>Piggy-backed Ack/Nack field (Time-based)</w:t>
      </w:r>
      <w:r w:rsidRPr="004D0DAA">
        <w:tab/>
      </w:r>
      <w:r w:rsidRPr="004D0DAA">
        <w:fldChar w:fldCharType="begin" w:fldLock="1"/>
      </w:r>
      <w:r w:rsidRPr="004D0DAA">
        <w:instrText xml:space="preserve"> PAGEREF _Toc516669725 \h </w:instrText>
      </w:r>
      <w:r w:rsidRPr="004D0DAA">
        <w:fldChar w:fldCharType="separate"/>
      </w:r>
      <w:r w:rsidRPr="004D0DAA">
        <w:t>274</w:t>
      </w:r>
      <w:r w:rsidRPr="004D0DAA">
        <w:fldChar w:fldCharType="end"/>
      </w:r>
    </w:p>
    <w:p w14:paraId="76FC6E5C" w14:textId="77777777" w:rsidR="00683705" w:rsidRPr="004D0DAA" w:rsidRDefault="00683705">
      <w:pPr>
        <w:pStyle w:val="TOC2"/>
        <w:rPr>
          <w:rFonts w:ascii="Calibri" w:hAnsi="Calibri"/>
          <w:sz w:val="22"/>
          <w:szCs w:val="22"/>
          <w:lang w:val="en-US"/>
        </w:rPr>
      </w:pPr>
      <w:r w:rsidRPr="004D0DAA">
        <w:t>10.4</w:t>
      </w:r>
      <w:r w:rsidRPr="004D0DAA">
        <w:rPr>
          <w:rFonts w:ascii="Calibri" w:hAnsi="Calibri"/>
          <w:sz w:val="22"/>
          <w:szCs w:val="22"/>
          <w:lang w:val="en-US"/>
        </w:rPr>
        <w:tab/>
      </w:r>
      <w:r w:rsidRPr="004D0DAA">
        <w:t>Header fields</w:t>
      </w:r>
      <w:r w:rsidRPr="004D0DAA">
        <w:tab/>
      </w:r>
      <w:r w:rsidRPr="004D0DAA">
        <w:fldChar w:fldCharType="begin" w:fldLock="1"/>
      </w:r>
      <w:r w:rsidRPr="004D0DAA">
        <w:instrText xml:space="preserve"> PAGEREF _Toc516669726 \h </w:instrText>
      </w:r>
      <w:r w:rsidRPr="004D0DAA">
        <w:fldChar w:fldCharType="separate"/>
      </w:r>
      <w:r w:rsidRPr="004D0DAA">
        <w:t>274</w:t>
      </w:r>
      <w:r w:rsidRPr="004D0DAA">
        <w:fldChar w:fldCharType="end"/>
      </w:r>
    </w:p>
    <w:p w14:paraId="4D22B98E" w14:textId="77777777" w:rsidR="00683705" w:rsidRPr="004D0DAA" w:rsidRDefault="00683705">
      <w:pPr>
        <w:pStyle w:val="TOC3"/>
        <w:rPr>
          <w:rFonts w:ascii="Calibri" w:hAnsi="Calibri"/>
          <w:sz w:val="22"/>
          <w:szCs w:val="22"/>
          <w:lang w:val="en-US"/>
        </w:rPr>
      </w:pPr>
      <w:r w:rsidRPr="004D0DAA">
        <w:t>10.4.1</w:t>
      </w:r>
      <w:r w:rsidRPr="004D0DAA">
        <w:rPr>
          <w:rFonts w:ascii="Calibri" w:hAnsi="Calibri"/>
          <w:sz w:val="22"/>
          <w:szCs w:val="22"/>
          <w:lang w:val="en-US"/>
        </w:rPr>
        <w:tab/>
      </w:r>
      <w:r w:rsidRPr="004D0DAA">
        <w:t>Uplink state flag (USF) field</w:t>
      </w:r>
      <w:r w:rsidRPr="004D0DAA">
        <w:tab/>
      </w:r>
      <w:r w:rsidRPr="004D0DAA">
        <w:fldChar w:fldCharType="begin" w:fldLock="1"/>
      </w:r>
      <w:r w:rsidRPr="004D0DAA">
        <w:instrText xml:space="preserve"> PAGEREF _Toc516669727 \h </w:instrText>
      </w:r>
      <w:r w:rsidRPr="004D0DAA">
        <w:fldChar w:fldCharType="separate"/>
      </w:r>
      <w:r w:rsidRPr="004D0DAA">
        <w:t>274</w:t>
      </w:r>
      <w:r w:rsidRPr="004D0DAA">
        <w:fldChar w:fldCharType="end"/>
      </w:r>
    </w:p>
    <w:p w14:paraId="4835596C" w14:textId="77777777" w:rsidR="00683705" w:rsidRPr="004D0DAA" w:rsidRDefault="00683705">
      <w:pPr>
        <w:pStyle w:val="TOC3"/>
        <w:rPr>
          <w:rFonts w:ascii="Calibri" w:hAnsi="Calibri"/>
          <w:sz w:val="22"/>
          <w:szCs w:val="22"/>
          <w:lang w:val="en-US"/>
        </w:rPr>
      </w:pPr>
      <w:r w:rsidRPr="004D0DAA">
        <w:t>10.4.2</w:t>
      </w:r>
      <w:r w:rsidRPr="004D0DAA">
        <w:rPr>
          <w:rFonts w:ascii="Calibri" w:hAnsi="Calibri"/>
          <w:sz w:val="22"/>
          <w:szCs w:val="22"/>
          <w:lang w:val="en-US"/>
        </w:rPr>
        <w:tab/>
      </w:r>
      <w:r w:rsidRPr="004D0DAA">
        <w:t>Retry (R) bit</w:t>
      </w:r>
      <w:r w:rsidRPr="004D0DAA">
        <w:tab/>
      </w:r>
      <w:r w:rsidRPr="004D0DAA">
        <w:fldChar w:fldCharType="begin" w:fldLock="1"/>
      </w:r>
      <w:r w:rsidRPr="004D0DAA">
        <w:instrText xml:space="preserve"> PAGEREF _Toc516669728 \h </w:instrText>
      </w:r>
      <w:r w:rsidRPr="004D0DAA">
        <w:fldChar w:fldCharType="separate"/>
      </w:r>
      <w:r w:rsidRPr="004D0DAA">
        <w:t>275</w:t>
      </w:r>
      <w:r w:rsidRPr="004D0DAA">
        <w:fldChar w:fldCharType="end"/>
      </w:r>
    </w:p>
    <w:p w14:paraId="41B46019" w14:textId="77777777" w:rsidR="00683705" w:rsidRPr="004D0DAA" w:rsidRDefault="00683705">
      <w:pPr>
        <w:pStyle w:val="TOC3"/>
        <w:rPr>
          <w:rFonts w:ascii="Calibri" w:hAnsi="Calibri"/>
          <w:sz w:val="22"/>
          <w:szCs w:val="22"/>
          <w:lang w:val="en-US"/>
        </w:rPr>
      </w:pPr>
      <w:r w:rsidRPr="004D0DAA">
        <w:t>10.4.3</w:t>
      </w:r>
      <w:r w:rsidRPr="004D0DAA">
        <w:rPr>
          <w:rFonts w:ascii="Calibri" w:hAnsi="Calibri"/>
          <w:sz w:val="22"/>
          <w:szCs w:val="22"/>
          <w:lang w:val="en-US"/>
        </w:rPr>
        <w:tab/>
      </w:r>
      <w:r w:rsidRPr="004D0DAA">
        <w:t>Stall indicator (SI) bit</w:t>
      </w:r>
      <w:r w:rsidRPr="004D0DAA">
        <w:tab/>
      </w:r>
      <w:r w:rsidRPr="004D0DAA">
        <w:fldChar w:fldCharType="begin" w:fldLock="1"/>
      </w:r>
      <w:r w:rsidRPr="004D0DAA">
        <w:instrText xml:space="preserve"> PAGEREF _Toc516669729 \h </w:instrText>
      </w:r>
      <w:r w:rsidRPr="004D0DAA">
        <w:fldChar w:fldCharType="separate"/>
      </w:r>
      <w:r w:rsidRPr="004D0DAA">
        <w:t>275</w:t>
      </w:r>
      <w:r w:rsidRPr="004D0DAA">
        <w:fldChar w:fldCharType="end"/>
      </w:r>
    </w:p>
    <w:p w14:paraId="3FD76D15" w14:textId="77777777" w:rsidR="00683705" w:rsidRPr="004D0DAA" w:rsidRDefault="00683705">
      <w:pPr>
        <w:pStyle w:val="TOC3"/>
        <w:rPr>
          <w:rFonts w:ascii="Calibri" w:hAnsi="Calibri"/>
          <w:sz w:val="22"/>
          <w:szCs w:val="22"/>
          <w:lang w:val="en-US"/>
        </w:rPr>
      </w:pPr>
      <w:r w:rsidRPr="004D0DAA">
        <w:t>10.4.4</w:t>
      </w:r>
      <w:r w:rsidRPr="004D0DAA">
        <w:rPr>
          <w:rFonts w:ascii="Calibri" w:hAnsi="Calibri"/>
          <w:sz w:val="22"/>
          <w:szCs w:val="22"/>
          <w:lang w:val="en-US"/>
        </w:rPr>
        <w:tab/>
      </w:r>
      <w:r w:rsidRPr="004D0DAA">
        <w:t>Supplementary/Polling (S/P) Bit</w:t>
      </w:r>
      <w:r w:rsidRPr="004D0DAA">
        <w:tab/>
      </w:r>
      <w:r w:rsidRPr="004D0DAA">
        <w:fldChar w:fldCharType="begin" w:fldLock="1"/>
      </w:r>
      <w:r w:rsidRPr="004D0DAA">
        <w:instrText xml:space="preserve"> PAGEREF _Toc516669730 \h </w:instrText>
      </w:r>
      <w:r w:rsidRPr="004D0DAA">
        <w:fldChar w:fldCharType="separate"/>
      </w:r>
      <w:r w:rsidRPr="004D0DAA">
        <w:t>275</w:t>
      </w:r>
      <w:r w:rsidRPr="004D0DAA">
        <w:fldChar w:fldCharType="end"/>
      </w:r>
    </w:p>
    <w:p w14:paraId="46809BD7" w14:textId="77777777" w:rsidR="00683705" w:rsidRPr="004D0DAA" w:rsidRDefault="00683705">
      <w:pPr>
        <w:pStyle w:val="TOC3"/>
        <w:rPr>
          <w:rFonts w:ascii="Calibri" w:hAnsi="Calibri"/>
          <w:sz w:val="22"/>
          <w:szCs w:val="22"/>
          <w:lang w:val="en-US"/>
        </w:rPr>
      </w:pPr>
      <w:r w:rsidRPr="004D0DAA">
        <w:t>10.4.4a</w:t>
      </w:r>
      <w:r w:rsidRPr="004D0DAA">
        <w:rPr>
          <w:rFonts w:ascii="Calibri" w:hAnsi="Calibri"/>
          <w:sz w:val="22"/>
          <w:szCs w:val="22"/>
          <w:lang w:val="en-US"/>
        </w:rPr>
        <w:tab/>
      </w:r>
      <w:r w:rsidRPr="004D0DAA">
        <w:t>EGPRS Supplementary/Polling (ES/P) Field</w:t>
      </w:r>
      <w:r w:rsidRPr="004D0DAA">
        <w:tab/>
      </w:r>
      <w:r w:rsidRPr="004D0DAA">
        <w:fldChar w:fldCharType="begin" w:fldLock="1"/>
      </w:r>
      <w:r w:rsidRPr="004D0DAA">
        <w:instrText xml:space="preserve"> PAGEREF _Toc516669731 \h </w:instrText>
      </w:r>
      <w:r w:rsidRPr="004D0DAA">
        <w:fldChar w:fldCharType="separate"/>
      </w:r>
      <w:r w:rsidRPr="004D0DAA">
        <w:t>275</w:t>
      </w:r>
      <w:r w:rsidRPr="004D0DAA">
        <w:fldChar w:fldCharType="end"/>
      </w:r>
    </w:p>
    <w:p w14:paraId="4EE75F72" w14:textId="77777777" w:rsidR="00683705" w:rsidRPr="004D0DAA" w:rsidRDefault="00683705">
      <w:pPr>
        <w:pStyle w:val="TOC3"/>
        <w:rPr>
          <w:rFonts w:ascii="Calibri" w:hAnsi="Calibri"/>
          <w:sz w:val="22"/>
          <w:szCs w:val="22"/>
          <w:lang w:val="en-US"/>
        </w:rPr>
      </w:pPr>
      <w:r w:rsidRPr="004D0DAA">
        <w:t>10.4.4b</w:t>
      </w:r>
      <w:r w:rsidRPr="004D0DAA">
        <w:rPr>
          <w:rFonts w:ascii="Calibri" w:hAnsi="Calibri"/>
          <w:sz w:val="22"/>
          <w:szCs w:val="22"/>
          <w:lang w:val="en-US"/>
        </w:rPr>
        <w:tab/>
      </w:r>
      <w:r w:rsidRPr="004D0DAA">
        <w:t>Combined EGPRS Supplementary/Polling (CES/P) Field</w:t>
      </w:r>
      <w:r w:rsidRPr="004D0DAA">
        <w:tab/>
      </w:r>
      <w:r w:rsidRPr="004D0DAA">
        <w:fldChar w:fldCharType="begin" w:fldLock="1"/>
      </w:r>
      <w:r w:rsidRPr="004D0DAA">
        <w:instrText xml:space="preserve"> PAGEREF _Toc516669732 \h </w:instrText>
      </w:r>
      <w:r w:rsidRPr="004D0DAA">
        <w:fldChar w:fldCharType="separate"/>
      </w:r>
      <w:r w:rsidRPr="004D0DAA">
        <w:t>276</w:t>
      </w:r>
      <w:r w:rsidRPr="004D0DAA">
        <w:fldChar w:fldCharType="end"/>
      </w:r>
    </w:p>
    <w:p w14:paraId="1D45782D" w14:textId="77777777" w:rsidR="00683705" w:rsidRPr="004D0DAA" w:rsidRDefault="00683705">
      <w:pPr>
        <w:pStyle w:val="TOC3"/>
        <w:rPr>
          <w:rFonts w:ascii="Calibri" w:hAnsi="Calibri"/>
          <w:sz w:val="22"/>
          <w:szCs w:val="22"/>
          <w:lang w:val="en-US"/>
        </w:rPr>
      </w:pPr>
      <w:r w:rsidRPr="004D0DAA">
        <w:t>10.4.4c</w:t>
      </w:r>
      <w:r w:rsidRPr="004D0DAA">
        <w:rPr>
          <w:rFonts w:ascii="Calibri" w:hAnsi="Calibri"/>
          <w:sz w:val="22"/>
          <w:szCs w:val="22"/>
          <w:lang w:val="en-US"/>
        </w:rPr>
        <w:tab/>
      </w:r>
      <w:r w:rsidRPr="004D0DAA">
        <w:t>EC-GSM-IoT Supplementary/Polling (ECS/P) Field</w:t>
      </w:r>
      <w:r w:rsidRPr="004D0DAA">
        <w:tab/>
      </w:r>
      <w:r w:rsidRPr="004D0DAA">
        <w:fldChar w:fldCharType="begin" w:fldLock="1"/>
      </w:r>
      <w:r w:rsidRPr="004D0DAA">
        <w:instrText xml:space="preserve"> PAGEREF _Toc516669733 \h </w:instrText>
      </w:r>
      <w:r w:rsidRPr="004D0DAA">
        <w:fldChar w:fldCharType="separate"/>
      </w:r>
      <w:r w:rsidRPr="004D0DAA">
        <w:t>277</w:t>
      </w:r>
      <w:r w:rsidRPr="004D0DAA">
        <w:fldChar w:fldCharType="end"/>
      </w:r>
    </w:p>
    <w:p w14:paraId="0D200F12" w14:textId="77777777" w:rsidR="00683705" w:rsidRPr="004D0DAA" w:rsidRDefault="00683705">
      <w:pPr>
        <w:pStyle w:val="TOC3"/>
        <w:rPr>
          <w:rFonts w:ascii="Calibri" w:hAnsi="Calibri"/>
          <w:sz w:val="22"/>
          <w:szCs w:val="22"/>
          <w:lang w:val="en-US"/>
        </w:rPr>
      </w:pPr>
      <w:r w:rsidRPr="004D0DAA">
        <w:t>10.4.5</w:t>
      </w:r>
      <w:r w:rsidRPr="004D0DAA">
        <w:rPr>
          <w:rFonts w:ascii="Calibri" w:hAnsi="Calibri"/>
          <w:sz w:val="22"/>
          <w:szCs w:val="22"/>
          <w:lang w:val="en-US"/>
        </w:rPr>
        <w:tab/>
      </w:r>
      <w:r w:rsidRPr="004D0DAA">
        <w:t>Relative Reserved Block Period (RRBP) field</w:t>
      </w:r>
      <w:r w:rsidRPr="004D0DAA">
        <w:tab/>
      </w:r>
      <w:r w:rsidRPr="004D0DAA">
        <w:fldChar w:fldCharType="begin" w:fldLock="1"/>
      </w:r>
      <w:r w:rsidRPr="004D0DAA">
        <w:instrText xml:space="preserve"> PAGEREF _Toc516669734 \h </w:instrText>
      </w:r>
      <w:r w:rsidRPr="004D0DAA">
        <w:fldChar w:fldCharType="separate"/>
      </w:r>
      <w:r w:rsidRPr="004D0DAA">
        <w:t>277</w:t>
      </w:r>
      <w:r w:rsidRPr="004D0DAA">
        <w:fldChar w:fldCharType="end"/>
      </w:r>
    </w:p>
    <w:p w14:paraId="21EEEC46" w14:textId="77777777" w:rsidR="00683705" w:rsidRPr="004D0DAA" w:rsidRDefault="00683705">
      <w:pPr>
        <w:pStyle w:val="TOC4"/>
        <w:rPr>
          <w:rFonts w:ascii="Calibri" w:hAnsi="Calibri"/>
          <w:sz w:val="22"/>
          <w:szCs w:val="22"/>
          <w:lang w:val="en-US"/>
        </w:rPr>
      </w:pPr>
      <w:r w:rsidRPr="004D0DAA">
        <w:t>10.4.5.1</w:t>
      </w:r>
      <w:r w:rsidRPr="004D0DAA">
        <w:rPr>
          <w:rFonts w:ascii="Calibri" w:hAnsi="Calibri"/>
          <w:sz w:val="22"/>
          <w:szCs w:val="22"/>
          <w:lang w:val="en-US"/>
        </w:rPr>
        <w:tab/>
      </w:r>
      <w:r w:rsidRPr="004D0DAA">
        <w:t>Special requirements in dual transfer mode</w:t>
      </w:r>
      <w:r w:rsidRPr="004D0DAA">
        <w:tab/>
      </w:r>
      <w:r w:rsidRPr="004D0DAA">
        <w:fldChar w:fldCharType="begin" w:fldLock="1"/>
      </w:r>
      <w:r w:rsidRPr="004D0DAA">
        <w:instrText xml:space="preserve"> PAGEREF _Toc516669735 \h </w:instrText>
      </w:r>
      <w:r w:rsidRPr="004D0DAA">
        <w:fldChar w:fldCharType="separate"/>
      </w:r>
      <w:r w:rsidRPr="004D0DAA">
        <w:t>292</w:t>
      </w:r>
      <w:r w:rsidRPr="004D0DAA">
        <w:fldChar w:fldCharType="end"/>
      </w:r>
    </w:p>
    <w:p w14:paraId="65EAFEE3" w14:textId="77777777" w:rsidR="00683705" w:rsidRPr="004D0DAA" w:rsidRDefault="00683705">
      <w:pPr>
        <w:pStyle w:val="TOC3"/>
        <w:rPr>
          <w:rFonts w:ascii="Calibri" w:hAnsi="Calibri"/>
          <w:sz w:val="22"/>
          <w:szCs w:val="22"/>
          <w:lang w:val="en-US"/>
        </w:rPr>
      </w:pPr>
      <w:r w:rsidRPr="004D0DAA">
        <w:t>10.4.6</w:t>
      </w:r>
      <w:r w:rsidRPr="004D0DAA">
        <w:rPr>
          <w:rFonts w:ascii="Calibri" w:hAnsi="Calibri"/>
          <w:sz w:val="22"/>
          <w:szCs w:val="22"/>
          <w:lang w:val="en-US"/>
        </w:rPr>
        <w:tab/>
      </w:r>
      <w:r w:rsidRPr="004D0DAA">
        <w:t>Countdown Value (CV) field</w:t>
      </w:r>
      <w:r w:rsidRPr="004D0DAA">
        <w:tab/>
      </w:r>
      <w:r w:rsidRPr="004D0DAA">
        <w:fldChar w:fldCharType="begin" w:fldLock="1"/>
      </w:r>
      <w:r w:rsidRPr="004D0DAA">
        <w:instrText xml:space="preserve"> PAGEREF _Toc516669736 \h </w:instrText>
      </w:r>
      <w:r w:rsidRPr="004D0DAA">
        <w:fldChar w:fldCharType="separate"/>
      </w:r>
      <w:r w:rsidRPr="004D0DAA">
        <w:t>293</w:t>
      </w:r>
      <w:r w:rsidRPr="004D0DAA">
        <w:fldChar w:fldCharType="end"/>
      </w:r>
    </w:p>
    <w:p w14:paraId="034132EB" w14:textId="77777777" w:rsidR="00683705" w:rsidRPr="004D0DAA" w:rsidRDefault="00683705">
      <w:pPr>
        <w:pStyle w:val="TOC3"/>
        <w:rPr>
          <w:rFonts w:ascii="Calibri" w:hAnsi="Calibri"/>
          <w:sz w:val="22"/>
          <w:szCs w:val="22"/>
          <w:lang w:val="en-US"/>
        </w:rPr>
      </w:pPr>
      <w:r w:rsidRPr="004D0DAA">
        <w:t>10.4.6a</w:t>
      </w:r>
      <w:r w:rsidRPr="004D0DAA">
        <w:rPr>
          <w:rFonts w:ascii="Calibri" w:hAnsi="Calibri"/>
          <w:sz w:val="22"/>
          <w:szCs w:val="22"/>
          <w:lang w:val="en-US"/>
        </w:rPr>
        <w:tab/>
      </w:r>
      <w:r w:rsidRPr="004D0DAA">
        <w:t>Follow-On Indicator field (FOI)</w:t>
      </w:r>
      <w:r w:rsidRPr="004D0DAA">
        <w:tab/>
      </w:r>
      <w:r w:rsidRPr="004D0DAA">
        <w:fldChar w:fldCharType="begin" w:fldLock="1"/>
      </w:r>
      <w:r w:rsidRPr="004D0DAA">
        <w:instrText xml:space="preserve"> PAGEREF _Toc516669737 \h </w:instrText>
      </w:r>
      <w:r w:rsidRPr="004D0DAA">
        <w:fldChar w:fldCharType="separate"/>
      </w:r>
      <w:r w:rsidRPr="004D0DAA">
        <w:t>293</w:t>
      </w:r>
      <w:r w:rsidRPr="004D0DAA">
        <w:fldChar w:fldCharType="end"/>
      </w:r>
    </w:p>
    <w:p w14:paraId="774B1CC9" w14:textId="77777777" w:rsidR="00683705" w:rsidRPr="004D0DAA" w:rsidRDefault="00683705">
      <w:pPr>
        <w:pStyle w:val="TOC3"/>
        <w:rPr>
          <w:rFonts w:ascii="Calibri" w:hAnsi="Calibri"/>
          <w:sz w:val="22"/>
          <w:szCs w:val="22"/>
          <w:lang w:val="en-US"/>
        </w:rPr>
      </w:pPr>
      <w:r w:rsidRPr="004D0DAA">
        <w:t>10.4.7</w:t>
      </w:r>
      <w:r w:rsidRPr="004D0DAA">
        <w:rPr>
          <w:rFonts w:ascii="Calibri" w:hAnsi="Calibri"/>
          <w:sz w:val="22"/>
          <w:szCs w:val="22"/>
          <w:lang w:val="en-US"/>
        </w:rPr>
        <w:tab/>
      </w:r>
      <w:r w:rsidRPr="004D0DAA">
        <w:t>Payload Type field</w:t>
      </w:r>
      <w:r w:rsidRPr="004D0DAA">
        <w:tab/>
      </w:r>
      <w:r w:rsidRPr="004D0DAA">
        <w:fldChar w:fldCharType="begin" w:fldLock="1"/>
      </w:r>
      <w:r w:rsidRPr="004D0DAA">
        <w:instrText xml:space="preserve"> PAGEREF _Toc516669738 \h </w:instrText>
      </w:r>
      <w:r w:rsidRPr="004D0DAA">
        <w:fldChar w:fldCharType="separate"/>
      </w:r>
      <w:r w:rsidRPr="004D0DAA">
        <w:t>293</w:t>
      </w:r>
      <w:r w:rsidRPr="004D0DAA">
        <w:fldChar w:fldCharType="end"/>
      </w:r>
    </w:p>
    <w:p w14:paraId="179C4CCD" w14:textId="77777777" w:rsidR="00683705" w:rsidRPr="004D0DAA" w:rsidRDefault="00683705">
      <w:pPr>
        <w:pStyle w:val="TOC3"/>
        <w:rPr>
          <w:rFonts w:ascii="Calibri" w:hAnsi="Calibri"/>
          <w:sz w:val="22"/>
          <w:szCs w:val="22"/>
          <w:lang w:val="en-US"/>
        </w:rPr>
      </w:pPr>
      <w:r w:rsidRPr="004D0DAA">
        <w:t>10.4.8</w:t>
      </w:r>
      <w:r w:rsidRPr="004D0DAA">
        <w:rPr>
          <w:rFonts w:ascii="Calibri" w:hAnsi="Calibri"/>
          <w:sz w:val="22"/>
          <w:szCs w:val="22"/>
          <w:lang w:val="en-US"/>
        </w:rPr>
        <w:tab/>
      </w:r>
      <w:r w:rsidRPr="004D0DAA">
        <w:t>Final block indicator (FBI) bit</w:t>
      </w:r>
      <w:r w:rsidRPr="004D0DAA">
        <w:tab/>
      </w:r>
      <w:r w:rsidRPr="004D0DAA">
        <w:fldChar w:fldCharType="begin" w:fldLock="1"/>
      </w:r>
      <w:r w:rsidRPr="004D0DAA">
        <w:instrText xml:space="preserve"> PAGEREF _Toc516669739 \h </w:instrText>
      </w:r>
      <w:r w:rsidRPr="004D0DAA">
        <w:fldChar w:fldCharType="separate"/>
      </w:r>
      <w:r w:rsidRPr="004D0DAA">
        <w:t>294</w:t>
      </w:r>
      <w:r w:rsidRPr="004D0DAA">
        <w:fldChar w:fldCharType="end"/>
      </w:r>
    </w:p>
    <w:p w14:paraId="623B0FBD" w14:textId="77777777" w:rsidR="00683705" w:rsidRPr="004D0DAA" w:rsidRDefault="00683705">
      <w:pPr>
        <w:pStyle w:val="TOC3"/>
        <w:rPr>
          <w:rFonts w:ascii="Calibri" w:hAnsi="Calibri"/>
          <w:sz w:val="22"/>
          <w:szCs w:val="22"/>
          <w:lang w:val="en-US"/>
        </w:rPr>
      </w:pPr>
      <w:r w:rsidRPr="004D0DAA">
        <w:t>10.4.8a</w:t>
      </w:r>
      <w:r w:rsidRPr="004D0DAA">
        <w:rPr>
          <w:rFonts w:ascii="Calibri" w:hAnsi="Calibri"/>
          <w:sz w:val="22"/>
          <w:szCs w:val="22"/>
          <w:lang w:val="en-US"/>
        </w:rPr>
        <w:tab/>
      </w:r>
      <w:r w:rsidRPr="004D0DAA">
        <w:t>Coding and Puncturing Scheme indicator field (CPS)</w:t>
      </w:r>
      <w:r w:rsidRPr="004D0DAA">
        <w:tab/>
      </w:r>
      <w:r w:rsidRPr="004D0DAA">
        <w:fldChar w:fldCharType="begin" w:fldLock="1"/>
      </w:r>
      <w:r w:rsidRPr="004D0DAA">
        <w:instrText xml:space="preserve"> PAGEREF _Toc516669740 \h </w:instrText>
      </w:r>
      <w:r w:rsidRPr="004D0DAA">
        <w:fldChar w:fldCharType="separate"/>
      </w:r>
      <w:r w:rsidRPr="004D0DAA">
        <w:t>294</w:t>
      </w:r>
      <w:r w:rsidRPr="004D0DAA">
        <w:fldChar w:fldCharType="end"/>
      </w:r>
    </w:p>
    <w:p w14:paraId="0ED7B981" w14:textId="77777777" w:rsidR="00683705" w:rsidRPr="004D0DAA" w:rsidRDefault="00683705">
      <w:pPr>
        <w:pStyle w:val="TOC4"/>
        <w:rPr>
          <w:rFonts w:ascii="Calibri" w:hAnsi="Calibri"/>
          <w:sz w:val="22"/>
          <w:szCs w:val="22"/>
          <w:lang w:val="en-US"/>
        </w:rPr>
      </w:pPr>
      <w:r w:rsidRPr="004D0DAA">
        <w:t>10.4.8a.1</w:t>
      </w:r>
      <w:r w:rsidRPr="004D0DAA">
        <w:rPr>
          <w:rFonts w:ascii="Calibri" w:hAnsi="Calibri"/>
          <w:sz w:val="22"/>
          <w:szCs w:val="22"/>
          <w:lang w:val="en-US"/>
        </w:rPr>
        <w:tab/>
      </w:r>
      <w:r w:rsidRPr="004D0DAA">
        <w:t>Header type 1</w:t>
      </w:r>
      <w:r w:rsidRPr="004D0DAA">
        <w:tab/>
      </w:r>
      <w:r w:rsidRPr="004D0DAA">
        <w:fldChar w:fldCharType="begin" w:fldLock="1"/>
      </w:r>
      <w:r w:rsidRPr="004D0DAA">
        <w:instrText xml:space="preserve"> PAGEREF _Toc516669741 \h </w:instrText>
      </w:r>
      <w:r w:rsidRPr="004D0DAA">
        <w:fldChar w:fldCharType="separate"/>
      </w:r>
      <w:r w:rsidRPr="004D0DAA">
        <w:t>295</w:t>
      </w:r>
      <w:r w:rsidRPr="004D0DAA">
        <w:fldChar w:fldCharType="end"/>
      </w:r>
    </w:p>
    <w:p w14:paraId="04F4364D" w14:textId="77777777" w:rsidR="00683705" w:rsidRPr="004D0DAA" w:rsidRDefault="00683705">
      <w:pPr>
        <w:pStyle w:val="TOC4"/>
        <w:rPr>
          <w:rFonts w:ascii="Calibri" w:hAnsi="Calibri"/>
          <w:sz w:val="22"/>
          <w:szCs w:val="22"/>
          <w:lang w:val="en-US"/>
        </w:rPr>
      </w:pPr>
      <w:r w:rsidRPr="004D0DAA">
        <w:t>10.4.8a.2</w:t>
      </w:r>
      <w:r w:rsidRPr="004D0DAA">
        <w:rPr>
          <w:rFonts w:ascii="Calibri" w:hAnsi="Calibri"/>
          <w:sz w:val="22"/>
          <w:szCs w:val="22"/>
          <w:lang w:val="en-US"/>
        </w:rPr>
        <w:tab/>
      </w:r>
      <w:r w:rsidRPr="004D0DAA">
        <w:t>Header type 2</w:t>
      </w:r>
      <w:r w:rsidRPr="004D0DAA">
        <w:tab/>
      </w:r>
      <w:r w:rsidRPr="004D0DAA">
        <w:fldChar w:fldCharType="begin" w:fldLock="1"/>
      </w:r>
      <w:r w:rsidRPr="004D0DAA">
        <w:instrText xml:space="preserve"> PAGEREF _Toc516669742 \h </w:instrText>
      </w:r>
      <w:r w:rsidRPr="004D0DAA">
        <w:fldChar w:fldCharType="separate"/>
      </w:r>
      <w:r w:rsidRPr="004D0DAA">
        <w:t>295</w:t>
      </w:r>
      <w:r w:rsidRPr="004D0DAA">
        <w:fldChar w:fldCharType="end"/>
      </w:r>
    </w:p>
    <w:p w14:paraId="27D3D070" w14:textId="77777777" w:rsidR="00683705" w:rsidRPr="004D0DAA" w:rsidRDefault="00683705">
      <w:pPr>
        <w:pStyle w:val="TOC4"/>
        <w:rPr>
          <w:rFonts w:ascii="Calibri" w:hAnsi="Calibri"/>
          <w:sz w:val="22"/>
          <w:szCs w:val="22"/>
          <w:lang w:val="en-US"/>
        </w:rPr>
      </w:pPr>
      <w:r w:rsidRPr="004D0DAA">
        <w:t>10.4.8a.3</w:t>
      </w:r>
      <w:r w:rsidRPr="004D0DAA">
        <w:rPr>
          <w:rFonts w:ascii="Calibri" w:hAnsi="Calibri"/>
          <w:sz w:val="22"/>
          <w:szCs w:val="22"/>
          <w:lang w:val="en-US"/>
        </w:rPr>
        <w:tab/>
      </w:r>
      <w:r w:rsidRPr="004D0DAA">
        <w:t>Header type 3</w:t>
      </w:r>
      <w:r w:rsidRPr="004D0DAA">
        <w:tab/>
      </w:r>
      <w:r w:rsidRPr="004D0DAA">
        <w:fldChar w:fldCharType="begin" w:fldLock="1"/>
      </w:r>
      <w:r w:rsidRPr="004D0DAA">
        <w:instrText xml:space="preserve"> PAGEREF _Toc516669743 \h </w:instrText>
      </w:r>
      <w:r w:rsidRPr="004D0DAA">
        <w:fldChar w:fldCharType="separate"/>
      </w:r>
      <w:r w:rsidRPr="004D0DAA">
        <w:t>297</w:t>
      </w:r>
      <w:r w:rsidRPr="004D0DAA">
        <w:fldChar w:fldCharType="end"/>
      </w:r>
    </w:p>
    <w:p w14:paraId="03F00F77" w14:textId="77777777" w:rsidR="00683705" w:rsidRPr="004D0DAA" w:rsidRDefault="00683705">
      <w:pPr>
        <w:pStyle w:val="TOC4"/>
        <w:rPr>
          <w:rFonts w:ascii="Calibri" w:hAnsi="Calibri"/>
          <w:sz w:val="22"/>
          <w:szCs w:val="22"/>
          <w:lang w:val="en-US"/>
        </w:rPr>
      </w:pPr>
      <w:r w:rsidRPr="004D0DAA">
        <w:t>10.4.8a.4</w:t>
      </w:r>
      <w:r w:rsidRPr="004D0DAA">
        <w:rPr>
          <w:rFonts w:ascii="Calibri" w:hAnsi="Calibri"/>
          <w:sz w:val="22"/>
          <w:szCs w:val="22"/>
          <w:lang w:val="en-US"/>
        </w:rPr>
        <w:tab/>
      </w:r>
      <w:r w:rsidRPr="004D0DAA">
        <w:t>Header type 4</w:t>
      </w:r>
      <w:r w:rsidRPr="004D0DAA">
        <w:tab/>
      </w:r>
      <w:r w:rsidRPr="004D0DAA">
        <w:fldChar w:fldCharType="begin" w:fldLock="1"/>
      </w:r>
      <w:r w:rsidRPr="004D0DAA">
        <w:instrText xml:space="preserve"> PAGEREF _Toc516669744 \h </w:instrText>
      </w:r>
      <w:r w:rsidRPr="004D0DAA">
        <w:fldChar w:fldCharType="separate"/>
      </w:r>
      <w:r w:rsidRPr="004D0DAA">
        <w:t>298</w:t>
      </w:r>
      <w:r w:rsidRPr="004D0DAA">
        <w:fldChar w:fldCharType="end"/>
      </w:r>
    </w:p>
    <w:p w14:paraId="2B8DF33E" w14:textId="77777777" w:rsidR="00683705" w:rsidRPr="004D0DAA" w:rsidRDefault="00683705">
      <w:pPr>
        <w:pStyle w:val="TOC4"/>
        <w:rPr>
          <w:rFonts w:ascii="Calibri" w:hAnsi="Calibri"/>
          <w:sz w:val="22"/>
          <w:szCs w:val="22"/>
          <w:lang w:val="en-US"/>
        </w:rPr>
      </w:pPr>
      <w:r w:rsidRPr="004D0DAA">
        <w:t>10.4.8a.5</w:t>
      </w:r>
      <w:r w:rsidRPr="004D0DAA">
        <w:rPr>
          <w:rFonts w:ascii="Calibri" w:hAnsi="Calibri"/>
          <w:sz w:val="22"/>
          <w:szCs w:val="22"/>
          <w:lang w:val="en-US"/>
        </w:rPr>
        <w:tab/>
      </w:r>
      <w:r w:rsidRPr="004D0DAA">
        <w:t>Header type 5</w:t>
      </w:r>
      <w:r w:rsidRPr="004D0DAA">
        <w:tab/>
      </w:r>
      <w:r w:rsidRPr="004D0DAA">
        <w:fldChar w:fldCharType="begin" w:fldLock="1"/>
      </w:r>
      <w:r w:rsidRPr="004D0DAA">
        <w:instrText xml:space="preserve"> PAGEREF _Toc516669745 \h </w:instrText>
      </w:r>
      <w:r w:rsidRPr="004D0DAA">
        <w:fldChar w:fldCharType="separate"/>
      </w:r>
      <w:r w:rsidRPr="004D0DAA">
        <w:t>298</w:t>
      </w:r>
      <w:r w:rsidRPr="004D0DAA">
        <w:fldChar w:fldCharType="end"/>
      </w:r>
    </w:p>
    <w:p w14:paraId="7FB94F09" w14:textId="77777777" w:rsidR="00683705" w:rsidRPr="004D0DAA" w:rsidRDefault="00683705">
      <w:pPr>
        <w:pStyle w:val="TOC4"/>
        <w:rPr>
          <w:rFonts w:ascii="Calibri" w:hAnsi="Calibri"/>
          <w:sz w:val="22"/>
          <w:szCs w:val="22"/>
          <w:lang w:val="en-US"/>
        </w:rPr>
      </w:pPr>
      <w:r w:rsidRPr="004D0DAA">
        <w:t>10.4.8a.6</w:t>
      </w:r>
      <w:r w:rsidRPr="004D0DAA">
        <w:rPr>
          <w:rFonts w:ascii="Calibri" w:hAnsi="Calibri"/>
          <w:sz w:val="22"/>
          <w:szCs w:val="22"/>
          <w:lang w:val="en-US"/>
        </w:rPr>
        <w:tab/>
      </w:r>
      <w:r w:rsidRPr="004D0DAA">
        <w:t>Header type 6</w:t>
      </w:r>
      <w:r w:rsidRPr="004D0DAA">
        <w:tab/>
      </w:r>
      <w:r w:rsidRPr="004D0DAA">
        <w:fldChar w:fldCharType="begin" w:fldLock="1"/>
      </w:r>
      <w:r w:rsidRPr="004D0DAA">
        <w:instrText xml:space="preserve"> PAGEREF _Toc516669746 \h </w:instrText>
      </w:r>
      <w:r w:rsidRPr="004D0DAA">
        <w:fldChar w:fldCharType="separate"/>
      </w:r>
      <w:r w:rsidRPr="004D0DAA">
        <w:t>300</w:t>
      </w:r>
      <w:r w:rsidRPr="004D0DAA">
        <w:fldChar w:fldCharType="end"/>
      </w:r>
    </w:p>
    <w:p w14:paraId="031A1159" w14:textId="77777777" w:rsidR="00683705" w:rsidRPr="004D0DAA" w:rsidRDefault="00683705">
      <w:pPr>
        <w:pStyle w:val="TOC4"/>
        <w:rPr>
          <w:rFonts w:ascii="Calibri" w:hAnsi="Calibri"/>
          <w:sz w:val="22"/>
          <w:szCs w:val="22"/>
          <w:lang w:val="en-US"/>
        </w:rPr>
      </w:pPr>
      <w:r w:rsidRPr="004D0DAA">
        <w:t>10.4.8a.7</w:t>
      </w:r>
      <w:r w:rsidRPr="004D0DAA">
        <w:rPr>
          <w:rFonts w:ascii="Calibri" w:hAnsi="Calibri"/>
          <w:sz w:val="22"/>
          <w:szCs w:val="22"/>
          <w:lang w:val="en-US"/>
        </w:rPr>
        <w:tab/>
      </w:r>
      <w:r w:rsidRPr="004D0DAA">
        <w:t>Header type 7</w:t>
      </w:r>
      <w:r w:rsidRPr="004D0DAA">
        <w:tab/>
      </w:r>
      <w:r w:rsidRPr="004D0DAA">
        <w:fldChar w:fldCharType="begin" w:fldLock="1"/>
      </w:r>
      <w:r w:rsidRPr="004D0DAA">
        <w:instrText xml:space="preserve"> PAGEREF _Toc516669747 \h </w:instrText>
      </w:r>
      <w:r w:rsidRPr="004D0DAA">
        <w:fldChar w:fldCharType="separate"/>
      </w:r>
      <w:r w:rsidRPr="004D0DAA">
        <w:t>301</w:t>
      </w:r>
      <w:r w:rsidRPr="004D0DAA">
        <w:fldChar w:fldCharType="end"/>
      </w:r>
    </w:p>
    <w:p w14:paraId="1A18273A" w14:textId="77777777" w:rsidR="00683705" w:rsidRPr="004D0DAA" w:rsidRDefault="00683705">
      <w:pPr>
        <w:pStyle w:val="TOC4"/>
        <w:rPr>
          <w:rFonts w:ascii="Calibri" w:hAnsi="Calibri"/>
          <w:sz w:val="22"/>
          <w:szCs w:val="22"/>
          <w:lang w:val="en-US"/>
        </w:rPr>
      </w:pPr>
      <w:r w:rsidRPr="004D0DAA">
        <w:t>10.4.8a.8</w:t>
      </w:r>
      <w:r w:rsidRPr="004D0DAA">
        <w:rPr>
          <w:rFonts w:ascii="Calibri" w:hAnsi="Calibri"/>
          <w:sz w:val="22"/>
          <w:szCs w:val="22"/>
          <w:lang w:val="en-US"/>
        </w:rPr>
        <w:tab/>
      </w:r>
      <w:r w:rsidRPr="004D0DAA">
        <w:t>Header type 8</w:t>
      </w:r>
      <w:r w:rsidRPr="004D0DAA">
        <w:tab/>
      </w:r>
      <w:r w:rsidRPr="004D0DAA">
        <w:fldChar w:fldCharType="begin" w:fldLock="1"/>
      </w:r>
      <w:r w:rsidRPr="004D0DAA">
        <w:instrText xml:space="preserve"> PAGEREF _Toc516669748 \h </w:instrText>
      </w:r>
      <w:r w:rsidRPr="004D0DAA">
        <w:fldChar w:fldCharType="separate"/>
      </w:r>
      <w:r w:rsidRPr="004D0DAA">
        <w:t>301</w:t>
      </w:r>
      <w:r w:rsidRPr="004D0DAA">
        <w:fldChar w:fldCharType="end"/>
      </w:r>
    </w:p>
    <w:p w14:paraId="2BA58FC6" w14:textId="77777777" w:rsidR="00683705" w:rsidRPr="004D0DAA" w:rsidRDefault="00683705">
      <w:pPr>
        <w:pStyle w:val="TOC4"/>
        <w:rPr>
          <w:rFonts w:ascii="Calibri" w:hAnsi="Calibri"/>
          <w:sz w:val="22"/>
          <w:szCs w:val="22"/>
          <w:lang w:val="en-US"/>
        </w:rPr>
      </w:pPr>
      <w:r w:rsidRPr="004D0DAA">
        <w:t>10.4.8a.9</w:t>
      </w:r>
      <w:r w:rsidRPr="004D0DAA">
        <w:rPr>
          <w:rFonts w:ascii="Calibri" w:hAnsi="Calibri"/>
          <w:sz w:val="22"/>
          <w:szCs w:val="22"/>
          <w:lang w:val="en-US"/>
        </w:rPr>
        <w:tab/>
      </w:r>
      <w:r w:rsidRPr="004D0DAA">
        <w:t>Header type 9</w:t>
      </w:r>
      <w:r w:rsidRPr="004D0DAA">
        <w:tab/>
      </w:r>
      <w:r w:rsidRPr="004D0DAA">
        <w:fldChar w:fldCharType="begin" w:fldLock="1"/>
      </w:r>
      <w:r w:rsidRPr="004D0DAA">
        <w:instrText xml:space="preserve"> PAGEREF _Toc516669749 \h </w:instrText>
      </w:r>
      <w:r w:rsidRPr="004D0DAA">
        <w:fldChar w:fldCharType="separate"/>
      </w:r>
      <w:r w:rsidRPr="004D0DAA">
        <w:t>303</w:t>
      </w:r>
      <w:r w:rsidRPr="004D0DAA">
        <w:fldChar w:fldCharType="end"/>
      </w:r>
    </w:p>
    <w:p w14:paraId="09897626" w14:textId="77777777" w:rsidR="00683705" w:rsidRPr="004D0DAA" w:rsidRDefault="00683705">
      <w:pPr>
        <w:pStyle w:val="TOC4"/>
        <w:rPr>
          <w:rFonts w:ascii="Calibri" w:hAnsi="Calibri"/>
          <w:sz w:val="22"/>
          <w:szCs w:val="22"/>
          <w:lang w:val="en-US"/>
        </w:rPr>
      </w:pPr>
      <w:r w:rsidRPr="004D0DAA">
        <w:t>10.4.8a.10</w:t>
      </w:r>
      <w:r w:rsidRPr="004D0DAA">
        <w:rPr>
          <w:rFonts w:ascii="Calibri" w:hAnsi="Calibri"/>
          <w:sz w:val="22"/>
          <w:szCs w:val="22"/>
          <w:lang w:val="en-US"/>
        </w:rPr>
        <w:tab/>
      </w:r>
      <w:r w:rsidRPr="004D0DAA">
        <w:t>Header type 10</w:t>
      </w:r>
      <w:r w:rsidRPr="004D0DAA">
        <w:tab/>
      </w:r>
      <w:r w:rsidRPr="004D0DAA">
        <w:fldChar w:fldCharType="begin" w:fldLock="1"/>
      </w:r>
      <w:r w:rsidRPr="004D0DAA">
        <w:instrText xml:space="preserve"> PAGEREF _Toc516669750 \h </w:instrText>
      </w:r>
      <w:r w:rsidRPr="004D0DAA">
        <w:fldChar w:fldCharType="separate"/>
      </w:r>
      <w:r w:rsidRPr="004D0DAA">
        <w:t>305</w:t>
      </w:r>
      <w:r w:rsidRPr="004D0DAA">
        <w:fldChar w:fldCharType="end"/>
      </w:r>
    </w:p>
    <w:p w14:paraId="798653C3" w14:textId="77777777" w:rsidR="00683705" w:rsidRPr="004D0DAA" w:rsidRDefault="00683705">
      <w:pPr>
        <w:pStyle w:val="TOC3"/>
        <w:rPr>
          <w:rFonts w:ascii="Calibri" w:hAnsi="Calibri"/>
          <w:sz w:val="22"/>
          <w:szCs w:val="22"/>
          <w:lang w:val="en-US"/>
        </w:rPr>
      </w:pPr>
      <w:r w:rsidRPr="004D0DAA">
        <w:t>10.4.8b</w:t>
      </w:r>
      <w:r w:rsidRPr="004D0DAA">
        <w:rPr>
          <w:rFonts w:ascii="Calibri" w:hAnsi="Calibri"/>
          <w:sz w:val="22"/>
          <w:szCs w:val="22"/>
          <w:lang w:val="en-US"/>
        </w:rPr>
        <w:tab/>
      </w:r>
      <w:r w:rsidRPr="004D0DAA">
        <w:t>Split Block indicator field (SPB)</w:t>
      </w:r>
      <w:r w:rsidRPr="004D0DAA">
        <w:tab/>
      </w:r>
      <w:r w:rsidRPr="004D0DAA">
        <w:fldChar w:fldCharType="begin" w:fldLock="1"/>
      </w:r>
      <w:r w:rsidRPr="004D0DAA">
        <w:instrText xml:space="preserve"> PAGEREF _Toc516669751 \h </w:instrText>
      </w:r>
      <w:r w:rsidRPr="004D0DAA">
        <w:fldChar w:fldCharType="separate"/>
      </w:r>
      <w:r w:rsidRPr="004D0DAA">
        <w:t>306</w:t>
      </w:r>
      <w:r w:rsidRPr="004D0DAA">
        <w:fldChar w:fldCharType="end"/>
      </w:r>
    </w:p>
    <w:p w14:paraId="31485661" w14:textId="77777777" w:rsidR="00683705" w:rsidRPr="004D0DAA" w:rsidRDefault="00683705">
      <w:pPr>
        <w:pStyle w:val="TOC3"/>
        <w:rPr>
          <w:rFonts w:ascii="Calibri" w:hAnsi="Calibri"/>
          <w:sz w:val="22"/>
          <w:szCs w:val="22"/>
          <w:lang w:val="en-US"/>
        </w:rPr>
      </w:pPr>
      <w:r w:rsidRPr="004D0DAA">
        <w:t>10.4.9</w:t>
      </w:r>
      <w:r w:rsidRPr="004D0DAA">
        <w:rPr>
          <w:rFonts w:ascii="Calibri" w:hAnsi="Calibri"/>
          <w:sz w:val="22"/>
          <w:szCs w:val="22"/>
          <w:lang w:val="en-US"/>
        </w:rPr>
        <w:tab/>
      </w:r>
      <w:r w:rsidRPr="004D0DAA">
        <w:t>TLLI Indicator (TI) bit</w:t>
      </w:r>
      <w:r w:rsidRPr="004D0DAA">
        <w:tab/>
      </w:r>
      <w:r w:rsidRPr="004D0DAA">
        <w:fldChar w:fldCharType="begin" w:fldLock="1"/>
      </w:r>
      <w:r w:rsidRPr="004D0DAA">
        <w:instrText xml:space="preserve"> PAGEREF _Toc516669752 \h </w:instrText>
      </w:r>
      <w:r w:rsidRPr="004D0DAA">
        <w:fldChar w:fldCharType="separate"/>
      </w:r>
      <w:r w:rsidRPr="004D0DAA">
        <w:t>306</w:t>
      </w:r>
      <w:r w:rsidRPr="004D0DAA">
        <w:fldChar w:fldCharType="end"/>
      </w:r>
    </w:p>
    <w:p w14:paraId="3F268880" w14:textId="77777777" w:rsidR="00683705" w:rsidRPr="004D0DAA" w:rsidRDefault="00683705">
      <w:pPr>
        <w:pStyle w:val="TOC3"/>
        <w:rPr>
          <w:rFonts w:ascii="Calibri" w:hAnsi="Calibri"/>
          <w:sz w:val="22"/>
          <w:szCs w:val="22"/>
          <w:lang w:val="en-US"/>
        </w:rPr>
      </w:pPr>
      <w:r w:rsidRPr="004D0DAA">
        <w:t>10.4.9a</w:t>
      </w:r>
      <w:r w:rsidRPr="004D0DAA">
        <w:rPr>
          <w:rFonts w:ascii="Calibri" w:hAnsi="Calibri"/>
          <w:sz w:val="22"/>
          <w:szCs w:val="22"/>
          <w:lang w:val="en-US"/>
        </w:rPr>
        <w:tab/>
      </w:r>
      <w:r w:rsidRPr="004D0DAA">
        <w:t>Address Control (AC) bit</w:t>
      </w:r>
      <w:r w:rsidRPr="004D0DAA">
        <w:tab/>
      </w:r>
      <w:r w:rsidRPr="004D0DAA">
        <w:fldChar w:fldCharType="begin" w:fldLock="1"/>
      </w:r>
      <w:r w:rsidRPr="004D0DAA">
        <w:instrText xml:space="preserve"> PAGEREF _Toc516669753 \h </w:instrText>
      </w:r>
      <w:r w:rsidRPr="004D0DAA">
        <w:fldChar w:fldCharType="separate"/>
      </w:r>
      <w:r w:rsidRPr="004D0DAA">
        <w:t>306</w:t>
      </w:r>
      <w:r w:rsidRPr="004D0DAA">
        <w:fldChar w:fldCharType="end"/>
      </w:r>
    </w:p>
    <w:p w14:paraId="444F785B" w14:textId="77777777" w:rsidR="00683705" w:rsidRPr="004D0DAA" w:rsidRDefault="00683705">
      <w:pPr>
        <w:pStyle w:val="TOC3"/>
        <w:rPr>
          <w:rFonts w:ascii="Calibri" w:hAnsi="Calibri"/>
          <w:sz w:val="22"/>
          <w:szCs w:val="22"/>
          <w:lang w:val="en-US"/>
        </w:rPr>
      </w:pPr>
      <w:r w:rsidRPr="004D0DAA">
        <w:t>10.4.9b</w:t>
      </w:r>
      <w:r w:rsidRPr="004D0DAA">
        <w:rPr>
          <w:rFonts w:ascii="Calibri" w:hAnsi="Calibri"/>
          <w:sz w:val="22"/>
          <w:szCs w:val="22"/>
          <w:lang w:val="en-US"/>
        </w:rPr>
        <w:tab/>
      </w:r>
      <w:r w:rsidRPr="004D0DAA">
        <w:t>Final Segment (FS) bit</w:t>
      </w:r>
      <w:r w:rsidRPr="004D0DAA">
        <w:tab/>
      </w:r>
      <w:r w:rsidRPr="004D0DAA">
        <w:fldChar w:fldCharType="begin" w:fldLock="1"/>
      </w:r>
      <w:r w:rsidRPr="004D0DAA">
        <w:instrText xml:space="preserve"> PAGEREF _Toc516669754 \h </w:instrText>
      </w:r>
      <w:r w:rsidRPr="004D0DAA">
        <w:fldChar w:fldCharType="separate"/>
      </w:r>
      <w:r w:rsidRPr="004D0DAA">
        <w:t>307</w:t>
      </w:r>
      <w:r w:rsidRPr="004D0DAA">
        <w:fldChar w:fldCharType="end"/>
      </w:r>
    </w:p>
    <w:p w14:paraId="37C91D71" w14:textId="77777777" w:rsidR="00683705" w:rsidRPr="004D0DAA" w:rsidRDefault="00683705">
      <w:pPr>
        <w:pStyle w:val="TOC3"/>
        <w:rPr>
          <w:rFonts w:ascii="Calibri" w:hAnsi="Calibri"/>
          <w:sz w:val="22"/>
          <w:szCs w:val="22"/>
          <w:lang w:val="en-US"/>
        </w:rPr>
      </w:pPr>
      <w:r w:rsidRPr="004D0DAA">
        <w:t>10.4.9c</w:t>
      </w:r>
      <w:r w:rsidRPr="004D0DAA">
        <w:rPr>
          <w:rFonts w:ascii="Calibri" w:hAnsi="Calibri"/>
          <w:sz w:val="22"/>
          <w:szCs w:val="22"/>
          <w:lang w:val="en-US"/>
        </w:rPr>
        <w:tab/>
      </w:r>
      <w:r w:rsidRPr="004D0DAA">
        <w:t>Radio Transaction Identifier (RTI) field</w:t>
      </w:r>
      <w:r w:rsidRPr="004D0DAA">
        <w:tab/>
      </w:r>
      <w:r w:rsidRPr="004D0DAA">
        <w:fldChar w:fldCharType="begin" w:fldLock="1"/>
      </w:r>
      <w:r w:rsidRPr="004D0DAA">
        <w:instrText xml:space="preserve"> PAGEREF _Toc516669755 \h </w:instrText>
      </w:r>
      <w:r w:rsidRPr="004D0DAA">
        <w:fldChar w:fldCharType="separate"/>
      </w:r>
      <w:r w:rsidRPr="004D0DAA">
        <w:t>307</w:t>
      </w:r>
      <w:r w:rsidRPr="004D0DAA">
        <w:fldChar w:fldCharType="end"/>
      </w:r>
    </w:p>
    <w:p w14:paraId="397B3E7C" w14:textId="77777777" w:rsidR="00683705" w:rsidRPr="004D0DAA" w:rsidRDefault="00683705">
      <w:pPr>
        <w:pStyle w:val="TOC3"/>
        <w:rPr>
          <w:rFonts w:ascii="Calibri" w:hAnsi="Calibri"/>
          <w:sz w:val="22"/>
          <w:szCs w:val="22"/>
          <w:lang w:val="en-US"/>
        </w:rPr>
      </w:pPr>
      <w:r w:rsidRPr="004D0DAA">
        <w:t>10.4.9d</w:t>
      </w:r>
      <w:r w:rsidRPr="004D0DAA">
        <w:rPr>
          <w:rFonts w:ascii="Calibri" w:hAnsi="Calibri"/>
          <w:sz w:val="22"/>
          <w:szCs w:val="22"/>
          <w:lang w:val="en-US"/>
        </w:rPr>
        <w:tab/>
      </w:r>
      <w:r w:rsidRPr="004D0DAA">
        <w:t>Direction (D) bit</w:t>
      </w:r>
      <w:r w:rsidRPr="004D0DAA">
        <w:tab/>
      </w:r>
      <w:r w:rsidRPr="004D0DAA">
        <w:fldChar w:fldCharType="begin" w:fldLock="1"/>
      </w:r>
      <w:r w:rsidRPr="004D0DAA">
        <w:instrText xml:space="preserve"> PAGEREF _Toc516669756 \h </w:instrText>
      </w:r>
      <w:r w:rsidRPr="004D0DAA">
        <w:fldChar w:fldCharType="separate"/>
      </w:r>
      <w:r w:rsidRPr="004D0DAA">
        <w:t>307</w:t>
      </w:r>
      <w:r w:rsidRPr="004D0DAA">
        <w:fldChar w:fldCharType="end"/>
      </w:r>
    </w:p>
    <w:p w14:paraId="4818EAFF" w14:textId="77777777" w:rsidR="00683705" w:rsidRPr="004D0DAA" w:rsidRDefault="00683705">
      <w:pPr>
        <w:pStyle w:val="TOC3"/>
        <w:rPr>
          <w:rFonts w:ascii="Calibri" w:hAnsi="Calibri"/>
          <w:sz w:val="22"/>
          <w:szCs w:val="22"/>
          <w:lang w:val="en-US"/>
        </w:rPr>
      </w:pPr>
      <w:r w:rsidRPr="004D0DAA">
        <w:t>10.4.9e</w:t>
      </w:r>
      <w:r w:rsidRPr="004D0DAA">
        <w:rPr>
          <w:rFonts w:ascii="Calibri" w:hAnsi="Calibri"/>
          <w:sz w:val="22"/>
          <w:szCs w:val="22"/>
          <w:lang w:val="en-US"/>
        </w:rPr>
        <w:tab/>
      </w:r>
      <w:r w:rsidRPr="004D0DAA">
        <w:t>Final Segment extension (FSe) bit</w:t>
      </w:r>
      <w:r w:rsidRPr="004D0DAA">
        <w:tab/>
      </w:r>
      <w:r w:rsidRPr="004D0DAA">
        <w:fldChar w:fldCharType="begin" w:fldLock="1"/>
      </w:r>
      <w:r w:rsidRPr="004D0DAA">
        <w:instrText xml:space="preserve"> PAGEREF _Toc516669757 \h </w:instrText>
      </w:r>
      <w:r w:rsidRPr="004D0DAA">
        <w:fldChar w:fldCharType="separate"/>
      </w:r>
      <w:r w:rsidRPr="004D0DAA">
        <w:t>307</w:t>
      </w:r>
      <w:r w:rsidRPr="004D0DAA">
        <w:fldChar w:fldCharType="end"/>
      </w:r>
    </w:p>
    <w:p w14:paraId="7EFC0B34" w14:textId="77777777" w:rsidR="00683705" w:rsidRPr="004D0DAA" w:rsidRDefault="00683705">
      <w:pPr>
        <w:pStyle w:val="TOC3"/>
        <w:rPr>
          <w:rFonts w:ascii="Calibri" w:hAnsi="Calibri"/>
          <w:sz w:val="22"/>
          <w:szCs w:val="22"/>
          <w:lang w:val="en-US"/>
        </w:rPr>
      </w:pPr>
      <w:r w:rsidRPr="004D0DAA">
        <w:t>10.4.9f</w:t>
      </w:r>
      <w:r w:rsidRPr="004D0DAA">
        <w:rPr>
          <w:rFonts w:ascii="Calibri" w:hAnsi="Calibri"/>
          <w:sz w:val="22"/>
          <w:szCs w:val="22"/>
          <w:lang w:val="en-US"/>
        </w:rPr>
        <w:tab/>
      </w:r>
      <w:r w:rsidRPr="004D0DAA">
        <w:t>Reduced TLLI (rTLLI)</w:t>
      </w:r>
      <w:r w:rsidRPr="004D0DAA">
        <w:tab/>
      </w:r>
      <w:r w:rsidRPr="004D0DAA">
        <w:fldChar w:fldCharType="begin" w:fldLock="1"/>
      </w:r>
      <w:r w:rsidRPr="004D0DAA">
        <w:instrText xml:space="preserve"> PAGEREF _Toc516669758 \h </w:instrText>
      </w:r>
      <w:r w:rsidRPr="004D0DAA">
        <w:fldChar w:fldCharType="separate"/>
      </w:r>
      <w:r w:rsidRPr="004D0DAA">
        <w:t>307</w:t>
      </w:r>
      <w:r w:rsidRPr="004D0DAA">
        <w:fldChar w:fldCharType="end"/>
      </w:r>
    </w:p>
    <w:p w14:paraId="2646D08A" w14:textId="77777777" w:rsidR="00683705" w:rsidRPr="004D0DAA" w:rsidRDefault="00683705">
      <w:pPr>
        <w:pStyle w:val="TOC3"/>
        <w:rPr>
          <w:rFonts w:ascii="Calibri" w:hAnsi="Calibri"/>
          <w:sz w:val="22"/>
          <w:szCs w:val="22"/>
          <w:lang w:val="en-US"/>
        </w:rPr>
      </w:pPr>
      <w:r w:rsidRPr="004D0DAA">
        <w:t>10.4.9g</w:t>
      </w:r>
      <w:r w:rsidRPr="004D0DAA">
        <w:rPr>
          <w:rFonts w:ascii="Calibri" w:hAnsi="Calibri"/>
          <w:sz w:val="22"/>
          <w:szCs w:val="22"/>
          <w:lang w:val="en-US"/>
        </w:rPr>
        <w:tab/>
      </w:r>
      <w:r w:rsidRPr="004D0DAA">
        <w:t>Reduced TLLI Indicator (RI)</w:t>
      </w:r>
      <w:r w:rsidRPr="004D0DAA">
        <w:tab/>
      </w:r>
      <w:r w:rsidRPr="004D0DAA">
        <w:fldChar w:fldCharType="begin" w:fldLock="1"/>
      </w:r>
      <w:r w:rsidRPr="004D0DAA">
        <w:instrText xml:space="preserve"> PAGEREF _Toc516669759 \h </w:instrText>
      </w:r>
      <w:r w:rsidRPr="004D0DAA">
        <w:fldChar w:fldCharType="separate"/>
      </w:r>
      <w:r w:rsidRPr="004D0DAA">
        <w:t>307</w:t>
      </w:r>
      <w:r w:rsidRPr="004D0DAA">
        <w:fldChar w:fldCharType="end"/>
      </w:r>
    </w:p>
    <w:p w14:paraId="05BB0159" w14:textId="77777777" w:rsidR="00683705" w:rsidRPr="004D0DAA" w:rsidRDefault="00683705">
      <w:pPr>
        <w:pStyle w:val="TOC3"/>
        <w:rPr>
          <w:rFonts w:ascii="Calibri" w:hAnsi="Calibri"/>
          <w:sz w:val="22"/>
          <w:szCs w:val="22"/>
          <w:lang w:val="en-US"/>
        </w:rPr>
      </w:pPr>
      <w:r w:rsidRPr="004D0DAA">
        <w:t>10.4.10</w:t>
      </w:r>
      <w:r w:rsidRPr="004D0DAA">
        <w:rPr>
          <w:rFonts w:ascii="Calibri" w:hAnsi="Calibri"/>
          <w:sz w:val="22"/>
          <w:szCs w:val="22"/>
          <w:lang w:val="en-US"/>
        </w:rPr>
        <w:tab/>
      </w:r>
      <w:r w:rsidRPr="004D0DAA">
        <w:t>Temporary Flow Identity (TFI) field</w:t>
      </w:r>
      <w:r w:rsidRPr="004D0DAA">
        <w:tab/>
      </w:r>
      <w:r w:rsidRPr="004D0DAA">
        <w:fldChar w:fldCharType="begin" w:fldLock="1"/>
      </w:r>
      <w:r w:rsidRPr="004D0DAA">
        <w:instrText xml:space="preserve"> PAGEREF _Toc516669760 \h </w:instrText>
      </w:r>
      <w:r w:rsidRPr="004D0DAA">
        <w:fldChar w:fldCharType="separate"/>
      </w:r>
      <w:r w:rsidRPr="004D0DAA">
        <w:t>308</w:t>
      </w:r>
      <w:r w:rsidRPr="004D0DAA">
        <w:fldChar w:fldCharType="end"/>
      </w:r>
    </w:p>
    <w:p w14:paraId="722F642F" w14:textId="77777777" w:rsidR="00683705" w:rsidRPr="004D0DAA" w:rsidRDefault="00683705">
      <w:pPr>
        <w:pStyle w:val="TOC3"/>
        <w:rPr>
          <w:rFonts w:ascii="Calibri" w:hAnsi="Calibri"/>
          <w:sz w:val="22"/>
          <w:szCs w:val="22"/>
          <w:lang w:val="en-US"/>
        </w:rPr>
      </w:pPr>
      <w:r w:rsidRPr="004D0DAA">
        <w:t>10.4.10a</w:t>
      </w:r>
      <w:r w:rsidRPr="004D0DAA">
        <w:rPr>
          <w:rFonts w:ascii="Calibri" w:hAnsi="Calibri"/>
          <w:sz w:val="22"/>
          <w:szCs w:val="22"/>
          <w:lang w:val="en-US"/>
        </w:rPr>
        <w:tab/>
      </w:r>
      <w:r w:rsidRPr="004D0DAA">
        <w:t>Power Reduction (PR) field</w:t>
      </w:r>
      <w:r w:rsidRPr="004D0DAA">
        <w:tab/>
      </w:r>
      <w:r w:rsidRPr="004D0DAA">
        <w:fldChar w:fldCharType="begin" w:fldLock="1"/>
      </w:r>
      <w:r w:rsidRPr="004D0DAA">
        <w:instrText xml:space="preserve"> PAGEREF _Toc516669761 \h </w:instrText>
      </w:r>
      <w:r w:rsidRPr="004D0DAA">
        <w:fldChar w:fldCharType="separate"/>
      </w:r>
      <w:r w:rsidRPr="004D0DAA">
        <w:t>308</w:t>
      </w:r>
      <w:r w:rsidRPr="004D0DAA">
        <w:fldChar w:fldCharType="end"/>
      </w:r>
    </w:p>
    <w:p w14:paraId="1F234966" w14:textId="77777777" w:rsidR="00683705" w:rsidRPr="004D0DAA" w:rsidRDefault="00683705">
      <w:pPr>
        <w:pStyle w:val="TOC3"/>
        <w:rPr>
          <w:rFonts w:ascii="Calibri" w:hAnsi="Calibri"/>
          <w:sz w:val="22"/>
          <w:szCs w:val="22"/>
          <w:lang w:val="en-US"/>
        </w:rPr>
      </w:pPr>
      <w:r w:rsidRPr="004D0DAA">
        <w:t>10.4.10b Power Reduction extension (PRe) field</w:t>
      </w:r>
      <w:r w:rsidRPr="004D0DAA">
        <w:tab/>
      </w:r>
      <w:r w:rsidRPr="004D0DAA">
        <w:fldChar w:fldCharType="begin" w:fldLock="1"/>
      </w:r>
      <w:r w:rsidRPr="004D0DAA">
        <w:instrText xml:space="preserve"> PAGEREF _Toc516669762 \h </w:instrText>
      </w:r>
      <w:r w:rsidRPr="004D0DAA">
        <w:fldChar w:fldCharType="separate"/>
      </w:r>
      <w:r w:rsidRPr="004D0DAA">
        <w:t>309</w:t>
      </w:r>
      <w:r w:rsidRPr="004D0DAA">
        <w:fldChar w:fldCharType="end"/>
      </w:r>
    </w:p>
    <w:p w14:paraId="27C39E4E" w14:textId="77777777" w:rsidR="00683705" w:rsidRPr="004D0DAA" w:rsidRDefault="00683705">
      <w:pPr>
        <w:pStyle w:val="TOC3"/>
        <w:rPr>
          <w:rFonts w:ascii="Calibri" w:hAnsi="Calibri"/>
          <w:sz w:val="22"/>
          <w:szCs w:val="22"/>
          <w:lang w:val="en-US"/>
        </w:rPr>
      </w:pPr>
      <w:r w:rsidRPr="004D0DAA">
        <w:t>10.4.11</w:t>
      </w:r>
      <w:r w:rsidRPr="004D0DAA">
        <w:rPr>
          <w:rFonts w:ascii="Calibri" w:hAnsi="Calibri"/>
          <w:sz w:val="22"/>
          <w:szCs w:val="22"/>
          <w:lang w:val="en-US"/>
        </w:rPr>
        <w:tab/>
      </w:r>
      <w:r w:rsidRPr="004D0DAA">
        <w:t>Extension (E) Bit</w:t>
      </w:r>
      <w:r w:rsidRPr="004D0DAA">
        <w:tab/>
      </w:r>
      <w:r w:rsidRPr="004D0DAA">
        <w:fldChar w:fldCharType="begin" w:fldLock="1"/>
      </w:r>
      <w:r w:rsidRPr="004D0DAA">
        <w:instrText xml:space="preserve"> PAGEREF _Toc516669763 \h </w:instrText>
      </w:r>
      <w:r w:rsidRPr="004D0DAA">
        <w:fldChar w:fldCharType="separate"/>
      </w:r>
      <w:r w:rsidRPr="004D0DAA">
        <w:t>309</w:t>
      </w:r>
      <w:r w:rsidRPr="004D0DAA">
        <w:fldChar w:fldCharType="end"/>
      </w:r>
    </w:p>
    <w:p w14:paraId="169CDE6B" w14:textId="77777777" w:rsidR="00683705" w:rsidRPr="004D0DAA" w:rsidRDefault="00683705">
      <w:pPr>
        <w:pStyle w:val="TOC3"/>
        <w:rPr>
          <w:rFonts w:ascii="Calibri" w:hAnsi="Calibri"/>
          <w:sz w:val="22"/>
          <w:szCs w:val="22"/>
          <w:lang w:val="en-US"/>
        </w:rPr>
      </w:pPr>
      <w:r w:rsidRPr="004D0DAA">
        <w:t>10.4.12</w:t>
      </w:r>
      <w:r w:rsidRPr="004D0DAA">
        <w:rPr>
          <w:rFonts w:ascii="Calibri" w:hAnsi="Calibri"/>
          <w:sz w:val="22"/>
          <w:szCs w:val="22"/>
          <w:lang w:val="en-US"/>
        </w:rPr>
        <w:tab/>
      </w:r>
      <w:r w:rsidRPr="004D0DAA">
        <w:t>Block Sequence Number (BSN) field</w:t>
      </w:r>
      <w:r w:rsidRPr="004D0DAA">
        <w:tab/>
      </w:r>
      <w:r w:rsidRPr="004D0DAA">
        <w:fldChar w:fldCharType="begin" w:fldLock="1"/>
      </w:r>
      <w:r w:rsidRPr="004D0DAA">
        <w:instrText xml:space="preserve"> PAGEREF _Toc516669764 \h </w:instrText>
      </w:r>
      <w:r w:rsidRPr="004D0DAA">
        <w:fldChar w:fldCharType="separate"/>
      </w:r>
      <w:r w:rsidRPr="004D0DAA">
        <w:t>309</w:t>
      </w:r>
      <w:r w:rsidRPr="004D0DAA">
        <w:fldChar w:fldCharType="end"/>
      </w:r>
    </w:p>
    <w:p w14:paraId="1B0D7EAC" w14:textId="77777777" w:rsidR="00683705" w:rsidRPr="004D0DAA" w:rsidRDefault="00683705">
      <w:pPr>
        <w:pStyle w:val="TOC3"/>
        <w:rPr>
          <w:rFonts w:ascii="Calibri" w:hAnsi="Calibri"/>
          <w:sz w:val="22"/>
          <w:szCs w:val="22"/>
          <w:lang w:val="en-US"/>
        </w:rPr>
      </w:pPr>
      <w:r w:rsidRPr="004D0DAA">
        <w:t>10.4.12a</w:t>
      </w:r>
      <w:r w:rsidRPr="004D0DAA">
        <w:rPr>
          <w:rFonts w:ascii="Calibri" w:hAnsi="Calibri"/>
          <w:sz w:val="22"/>
          <w:szCs w:val="22"/>
          <w:lang w:val="en-US"/>
        </w:rPr>
        <w:tab/>
      </w:r>
      <w:r w:rsidRPr="004D0DAA">
        <w:t>Reduced Block Sequence Number (RBSN) bit</w:t>
      </w:r>
      <w:r w:rsidRPr="004D0DAA">
        <w:tab/>
      </w:r>
      <w:r w:rsidRPr="004D0DAA">
        <w:fldChar w:fldCharType="begin" w:fldLock="1"/>
      </w:r>
      <w:r w:rsidRPr="004D0DAA">
        <w:instrText xml:space="preserve"> PAGEREF _Toc516669765 \h </w:instrText>
      </w:r>
      <w:r w:rsidRPr="004D0DAA">
        <w:fldChar w:fldCharType="separate"/>
      </w:r>
      <w:r w:rsidRPr="004D0DAA">
        <w:t>310</w:t>
      </w:r>
      <w:r w:rsidRPr="004D0DAA">
        <w:fldChar w:fldCharType="end"/>
      </w:r>
    </w:p>
    <w:p w14:paraId="6FC1511E" w14:textId="77777777" w:rsidR="00683705" w:rsidRPr="004D0DAA" w:rsidRDefault="00683705">
      <w:pPr>
        <w:pStyle w:val="TOC3"/>
        <w:rPr>
          <w:rFonts w:ascii="Calibri" w:hAnsi="Calibri"/>
          <w:sz w:val="22"/>
          <w:szCs w:val="22"/>
          <w:lang w:val="en-US"/>
        </w:rPr>
      </w:pPr>
      <w:r w:rsidRPr="004D0DAA">
        <w:t>10.4.12b</w:t>
      </w:r>
      <w:r w:rsidRPr="004D0DAA">
        <w:rPr>
          <w:rFonts w:ascii="Calibri" w:hAnsi="Calibri"/>
          <w:sz w:val="22"/>
          <w:szCs w:val="22"/>
          <w:lang w:val="en-US"/>
        </w:rPr>
        <w:tab/>
      </w:r>
      <w:r w:rsidRPr="004D0DAA">
        <w:t>Reduced Block Sequence Number extension (RBSNe) field</w:t>
      </w:r>
      <w:r w:rsidRPr="004D0DAA">
        <w:tab/>
      </w:r>
      <w:r w:rsidRPr="004D0DAA">
        <w:fldChar w:fldCharType="begin" w:fldLock="1"/>
      </w:r>
      <w:r w:rsidRPr="004D0DAA">
        <w:instrText xml:space="preserve"> PAGEREF _Toc516669766 \h </w:instrText>
      </w:r>
      <w:r w:rsidRPr="004D0DAA">
        <w:fldChar w:fldCharType="separate"/>
      </w:r>
      <w:r w:rsidRPr="004D0DAA">
        <w:t>310</w:t>
      </w:r>
      <w:r w:rsidRPr="004D0DAA">
        <w:fldChar w:fldCharType="end"/>
      </w:r>
    </w:p>
    <w:p w14:paraId="6651D46C" w14:textId="77777777" w:rsidR="00683705" w:rsidRPr="004D0DAA" w:rsidRDefault="00683705">
      <w:pPr>
        <w:pStyle w:val="TOC3"/>
        <w:rPr>
          <w:rFonts w:ascii="Calibri" w:hAnsi="Calibri"/>
          <w:sz w:val="22"/>
          <w:szCs w:val="22"/>
          <w:lang w:val="en-US"/>
        </w:rPr>
      </w:pPr>
      <w:r w:rsidRPr="004D0DAA">
        <w:t>10.4.13</w:t>
      </w:r>
      <w:r w:rsidRPr="004D0DAA">
        <w:rPr>
          <w:rFonts w:ascii="Calibri" w:hAnsi="Calibri"/>
          <w:sz w:val="22"/>
          <w:szCs w:val="22"/>
          <w:lang w:val="en-US"/>
        </w:rPr>
        <w:tab/>
      </w:r>
      <w:r w:rsidRPr="004D0DAA">
        <w:t>More (M) bit</w:t>
      </w:r>
      <w:r w:rsidRPr="004D0DAA">
        <w:tab/>
      </w:r>
      <w:r w:rsidRPr="004D0DAA">
        <w:fldChar w:fldCharType="begin" w:fldLock="1"/>
      </w:r>
      <w:r w:rsidRPr="004D0DAA">
        <w:instrText xml:space="preserve"> PAGEREF _Toc516669767 \h </w:instrText>
      </w:r>
      <w:r w:rsidRPr="004D0DAA">
        <w:fldChar w:fldCharType="separate"/>
      </w:r>
      <w:r w:rsidRPr="004D0DAA">
        <w:t>311</w:t>
      </w:r>
      <w:r w:rsidRPr="004D0DAA">
        <w:fldChar w:fldCharType="end"/>
      </w:r>
    </w:p>
    <w:p w14:paraId="6C4F1C0F" w14:textId="77777777" w:rsidR="00683705" w:rsidRPr="004D0DAA" w:rsidRDefault="00683705">
      <w:pPr>
        <w:pStyle w:val="TOC3"/>
        <w:rPr>
          <w:rFonts w:ascii="Calibri" w:hAnsi="Calibri"/>
          <w:sz w:val="22"/>
          <w:szCs w:val="22"/>
          <w:lang w:val="en-US"/>
        </w:rPr>
      </w:pPr>
      <w:r w:rsidRPr="004D0DAA">
        <w:t>10.4.14</w:t>
      </w:r>
      <w:r w:rsidRPr="004D0DAA">
        <w:rPr>
          <w:rFonts w:ascii="Calibri" w:hAnsi="Calibri"/>
          <w:sz w:val="22"/>
          <w:szCs w:val="22"/>
          <w:lang w:val="en-US"/>
        </w:rPr>
        <w:tab/>
      </w:r>
      <w:r w:rsidRPr="004D0DAA">
        <w:t>Length Indicator (LI) field in GPRS TBF mode and DCCH TBF mode (</w:t>
      </w:r>
      <w:r w:rsidRPr="004D0DAA">
        <w:rPr>
          <w:i/>
          <w:iCs/>
        </w:rPr>
        <w:t>Iu mode</w:t>
      </w:r>
      <w:r w:rsidRPr="004D0DAA">
        <w:t>)</w:t>
      </w:r>
      <w:r w:rsidRPr="004D0DAA">
        <w:tab/>
      </w:r>
      <w:r w:rsidRPr="004D0DAA">
        <w:fldChar w:fldCharType="begin" w:fldLock="1"/>
      </w:r>
      <w:r w:rsidRPr="004D0DAA">
        <w:instrText xml:space="preserve"> PAGEREF _Toc516669768 \h </w:instrText>
      </w:r>
      <w:r w:rsidRPr="004D0DAA">
        <w:fldChar w:fldCharType="separate"/>
      </w:r>
      <w:r w:rsidRPr="004D0DAA">
        <w:t>311</w:t>
      </w:r>
      <w:r w:rsidRPr="004D0DAA">
        <w:fldChar w:fldCharType="end"/>
      </w:r>
    </w:p>
    <w:p w14:paraId="31F449B6" w14:textId="77777777" w:rsidR="00683705" w:rsidRPr="004D0DAA" w:rsidRDefault="00683705">
      <w:pPr>
        <w:pStyle w:val="TOC3"/>
        <w:rPr>
          <w:rFonts w:ascii="Calibri" w:hAnsi="Calibri"/>
          <w:sz w:val="22"/>
          <w:szCs w:val="22"/>
          <w:lang w:val="en-US"/>
        </w:rPr>
      </w:pPr>
      <w:r w:rsidRPr="004D0DAA">
        <w:t>10.4.14a</w:t>
      </w:r>
      <w:r w:rsidRPr="004D0DAA">
        <w:rPr>
          <w:rFonts w:ascii="Calibri" w:hAnsi="Calibri"/>
          <w:sz w:val="22"/>
          <w:szCs w:val="22"/>
          <w:lang w:val="en-US"/>
        </w:rPr>
        <w:tab/>
      </w:r>
      <w:r w:rsidRPr="004D0DAA">
        <w:t>Length Indicator (LI) field in EGPRS TBF mode, EC TBF mode and TCH TBF mode (</w:t>
      </w:r>
      <w:r w:rsidRPr="004D0DAA">
        <w:rPr>
          <w:i/>
          <w:iCs/>
        </w:rPr>
        <w:t>Iu mode</w:t>
      </w:r>
      <w:r w:rsidRPr="004D0DAA">
        <w:t>)</w:t>
      </w:r>
      <w:r w:rsidRPr="004D0DAA">
        <w:tab/>
      </w:r>
      <w:r w:rsidRPr="004D0DAA">
        <w:fldChar w:fldCharType="begin" w:fldLock="1"/>
      </w:r>
      <w:r w:rsidRPr="004D0DAA">
        <w:instrText xml:space="preserve"> PAGEREF _Toc516669769 \h </w:instrText>
      </w:r>
      <w:r w:rsidRPr="004D0DAA">
        <w:fldChar w:fldCharType="separate"/>
      </w:r>
      <w:r w:rsidRPr="004D0DAA">
        <w:t>312</w:t>
      </w:r>
      <w:r w:rsidRPr="004D0DAA">
        <w:fldChar w:fldCharType="end"/>
      </w:r>
    </w:p>
    <w:p w14:paraId="03BC9214" w14:textId="77777777" w:rsidR="00683705" w:rsidRPr="004D0DAA" w:rsidRDefault="00683705">
      <w:pPr>
        <w:pStyle w:val="TOC3"/>
        <w:rPr>
          <w:rFonts w:ascii="Calibri" w:hAnsi="Calibri"/>
          <w:sz w:val="22"/>
          <w:szCs w:val="22"/>
          <w:lang w:val="en-US"/>
        </w:rPr>
      </w:pPr>
      <w:r w:rsidRPr="004D0DAA">
        <w:t>10.4.15</w:t>
      </w:r>
      <w:r w:rsidRPr="004D0DAA">
        <w:rPr>
          <w:rFonts w:ascii="Calibri" w:hAnsi="Calibri"/>
          <w:sz w:val="22"/>
          <w:szCs w:val="22"/>
          <w:lang w:val="en-US"/>
        </w:rPr>
        <w:tab/>
      </w:r>
      <w:r w:rsidRPr="004D0DAA">
        <w:t>TLLI field</w:t>
      </w:r>
      <w:r w:rsidRPr="004D0DAA">
        <w:tab/>
      </w:r>
      <w:r w:rsidRPr="004D0DAA">
        <w:fldChar w:fldCharType="begin" w:fldLock="1"/>
      </w:r>
      <w:r w:rsidRPr="004D0DAA">
        <w:instrText xml:space="preserve"> PAGEREF _Toc516669770 \h </w:instrText>
      </w:r>
      <w:r w:rsidRPr="004D0DAA">
        <w:fldChar w:fldCharType="separate"/>
      </w:r>
      <w:r w:rsidRPr="004D0DAA">
        <w:t>316</w:t>
      </w:r>
      <w:r w:rsidRPr="004D0DAA">
        <w:fldChar w:fldCharType="end"/>
      </w:r>
    </w:p>
    <w:p w14:paraId="743CBD43" w14:textId="77777777" w:rsidR="00683705" w:rsidRPr="004D0DAA" w:rsidRDefault="00683705">
      <w:pPr>
        <w:pStyle w:val="TOC3"/>
        <w:rPr>
          <w:rFonts w:ascii="Calibri" w:hAnsi="Calibri"/>
          <w:sz w:val="22"/>
          <w:szCs w:val="22"/>
          <w:lang w:val="en-US"/>
        </w:rPr>
      </w:pPr>
      <w:r w:rsidRPr="004D0DAA">
        <w:t>10.4.16</w:t>
      </w:r>
      <w:r w:rsidRPr="004D0DAA">
        <w:rPr>
          <w:rFonts w:ascii="Calibri" w:hAnsi="Calibri"/>
          <w:sz w:val="22"/>
          <w:szCs w:val="22"/>
          <w:lang w:val="en-US"/>
        </w:rPr>
        <w:tab/>
      </w:r>
      <w:r w:rsidRPr="004D0DAA">
        <w:t>RLC data field</w:t>
      </w:r>
      <w:r w:rsidRPr="004D0DAA">
        <w:tab/>
      </w:r>
      <w:r w:rsidRPr="004D0DAA">
        <w:fldChar w:fldCharType="begin" w:fldLock="1"/>
      </w:r>
      <w:r w:rsidRPr="004D0DAA">
        <w:instrText xml:space="preserve"> PAGEREF _Toc516669771 \h </w:instrText>
      </w:r>
      <w:r w:rsidRPr="004D0DAA">
        <w:fldChar w:fldCharType="separate"/>
      </w:r>
      <w:r w:rsidRPr="004D0DAA">
        <w:t>316</w:t>
      </w:r>
      <w:r w:rsidRPr="004D0DAA">
        <w:fldChar w:fldCharType="end"/>
      </w:r>
    </w:p>
    <w:p w14:paraId="5935B5CA" w14:textId="77777777" w:rsidR="00683705" w:rsidRPr="004D0DAA" w:rsidRDefault="00683705">
      <w:pPr>
        <w:pStyle w:val="TOC3"/>
        <w:rPr>
          <w:rFonts w:ascii="Calibri" w:hAnsi="Calibri"/>
          <w:sz w:val="22"/>
          <w:szCs w:val="22"/>
          <w:lang w:val="en-US"/>
        </w:rPr>
      </w:pPr>
      <w:r w:rsidRPr="004D0DAA">
        <w:t>10.4.17</w:t>
      </w:r>
      <w:r w:rsidRPr="004D0DAA">
        <w:rPr>
          <w:rFonts w:ascii="Calibri" w:hAnsi="Calibri"/>
          <w:sz w:val="22"/>
          <w:szCs w:val="22"/>
          <w:lang w:val="en-US"/>
        </w:rPr>
        <w:tab/>
      </w:r>
      <w:r w:rsidRPr="004D0DAA">
        <w:t>Control message contents field</w:t>
      </w:r>
      <w:r w:rsidRPr="004D0DAA">
        <w:tab/>
      </w:r>
      <w:r w:rsidRPr="004D0DAA">
        <w:fldChar w:fldCharType="begin" w:fldLock="1"/>
      </w:r>
      <w:r w:rsidRPr="004D0DAA">
        <w:instrText xml:space="preserve"> PAGEREF _Toc516669772 \h </w:instrText>
      </w:r>
      <w:r w:rsidRPr="004D0DAA">
        <w:fldChar w:fldCharType="separate"/>
      </w:r>
      <w:r w:rsidRPr="004D0DAA">
        <w:t>316</w:t>
      </w:r>
      <w:r w:rsidRPr="004D0DAA">
        <w:fldChar w:fldCharType="end"/>
      </w:r>
    </w:p>
    <w:p w14:paraId="7C8BE95C" w14:textId="77777777" w:rsidR="00683705" w:rsidRPr="004D0DAA" w:rsidRDefault="00683705">
      <w:pPr>
        <w:pStyle w:val="TOC3"/>
        <w:rPr>
          <w:rFonts w:ascii="Calibri" w:hAnsi="Calibri"/>
          <w:sz w:val="22"/>
          <w:szCs w:val="22"/>
          <w:lang w:val="en-US"/>
        </w:rPr>
      </w:pPr>
      <w:r w:rsidRPr="004D0DAA">
        <w:t>10.4.18</w:t>
      </w:r>
      <w:r w:rsidRPr="004D0DAA">
        <w:rPr>
          <w:rFonts w:ascii="Calibri" w:hAnsi="Calibri"/>
          <w:sz w:val="22"/>
          <w:szCs w:val="22"/>
          <w:lang w:val="en-US"/>
        </w:rPr>
        <w:tab/>
      </w:r>
      <w:r w:rsidRPr="004D0DAA">
        <w:t>Resent Block Bit (RSB)</w:t>
      </w:r>
      <w:r w:rsidRPr="004D0DAA">
        <w:tab/>
      </w:r>
      <w:r w:rsidRPr="004D0DAA">
        <w:fldChar w:fldCharType="begin" w:fldLock="1"/>
      </w:r>
      <w:r w:rsidRPr="004D0DAA">
        <w:instrText xml:space="preserve"> PAGEREF _Toc516669773 \h </w:instrText>
      </w:r>
      <w:r w:rsidRPr="004D0DAA">
        <w:fldChar w:fldCharType="separate"/>
      </w:r>
      <w:r w:rsidRPr="004D0DAA">
        <w:t>316</w:t>
      </w:r>
      <w:r w:rsidRPr="004D0DAA">
        <w:fldChar w:fldCharType="end"/>
      </w:r>
    </w:p>
    <w:p w14:paraId="1E846C9A" w14:textId="77777777" w:rsidR="00683705" w:rsidRPr="004D0DAA" w:rsidRDefault="00683705">
      <w:pPr>
        <w:pStyle w:val="TOC3"/>
        <w:rPr>
          <w:rFonts w:ascii="Calibri" w:hAnsi="Calibri"/>
          <w:sz w:val="22"/>
          <w:szCs w:val="22"/>
          <w:lang w:val="en-US"/>
        </w:rPr>
      </w:pPr>
      <w:r w:rsidRPr="004D0DAA">
        <w:t>10.4.19</w:t>
      </w:r>
      <w:r w:rsidRPr="004D0DAA">
        <w:rPr>
          <w:rFonts w:ascii="Calibri" w:hAnsi="Calibri"/>
          <w:sz w:val="22"/>
          <w:szCs w:val="22"/>
          <w:lang w:val="en-US"/>
        </w:rPr>
        <w:tab/>
      </w:r>
      <w:r w:rsidRPr="004D0DAA">
        <w:t>PFI Indicator (PI) bit</w:t>
      </w:r>
      <w:r w:rsidRPr="004D0DAA">
        <w:tab/>
      </w:r>
      <w:r w:rsidRPr="004D0DAA">
        <w:fldChar w:fldCharType="begin" w:fldLock="1"/>
      </w:r>
      <w:r w:rsidRPr="004D0DAA">
        <w:instrText xml:space="preserve"> PAGEREF _Toc516669774 \h </w:instrText>
      </w:r>
      <w:r w:rsidRPr="004D0DAA">
        <w:fldChar w:fldCharType="separate"/>
      </w:r>
      <w:r w:rsidRPr="004D0DAA">
        <w:t>317</w:t>
      </w:r>
      <w:r w:rsidRPr="004D0DAA">
        <w:fldChar w:fldCharType="end"/>
      </w:r>
    </w:p>
    <w:p w14:paraId="5947254A" w14:textId="77777777" w:rsidR="00683705" w:rsidRPr="004D0DAA" w:rsidRDefault="00683705">
      <w:pPr>
        <w:pStyle w:val="TOC3"/>
        <w:rPr>
          <w:rFonts w:ascii="Calibri" w:hAnsi="Calibri"/>
          <w:sz w:val="22"/>
          <w:szCs w:val="22"/>
          <w:lang w:val="en-US"/>
        </w:rPr>
      </w:pPr>
      <w:r w:rsidRPr="004D0DAA">
        <w:t>10.4.20</w:t>
      </w:r>
      <w:r w:rsidRPr="004D0DAA">
        <w:rPr>
          <w:rFonts w:ascii="Calibri" w:hAnsi="Calibri"/>
          <w:sz w:val="22"/>
          <w:szCs w:val="22"/>
          <w:lang w:val="en-US"/>
        </w:rPr>
        <w:tab/>
      </w:r>
      <w:r w:rsidRPr="004D0DAA">
        <w:t>Packet Flow Identifier (PFI) field</w:t>
      </w:r>
      <w:r w:rsidRPr="004D0DAA">
        <w:tab/>
      </w:r>
      <w:r w:rsidRPr="004D0DAA">
        <w:fldChar w:fldCharType="begin" w:fldLock="1"/>
      </w:r>
      <w:r w:rsidRPr="004D0DAA">
        <w:instrText xml:space="preserve"> PAGEREF _Toc516669775 \h </w:instrText>
      </w:r>
      <w:r w:rsidRPr="004D0DAA">
        <w:fldChar w:fldCharType="separate"/>
      </w:r>
      <w:r w:rsidRPr="004D0DAA">
        <w:t>317</w:t>
      </w:r>
      <w:r w:rsidRPr="004D0DAA">
        <w:fldChar w:fldCharType="end"/>
      </w:r>
    </w:p>
    <w:p w14:paraId="196E5D74" w14:textId="77777777" w:rsidR="00683705" w:rsidRPr="004D0DAA" w:rsidRDefault="00683705">
      <w:pPr>
        <w:pStyle w:val="TOC3"/>
        <w:rPr>
          <w:rFonts w:ascii="Calibri" w:hAnsi="Calibri"/>
          <w:sz w:val="22"/>
          <w:szCs w:val="22"/>
          <w:lang w:val="en-US"/>
        </w:rPr>
      </w:pPr>
      <w:r w:rsidRPr="004D0DAA">
        <w:t>10.4.21</w:t>
      </w:r>
      <w:r w:rsidRPr="004D0DAA">
        <w:rPr>
          <w:rFonts w:ascii="Calibri" w:hAnsi="Calibri"/>
          <w:sz w:val="22"/>
          <w:szCs w:val="22"/>
          <w:lang w:val="en-US"/>
        </w:rPr>
        <w:tab/>
      </w:r>
      <w:r w:rsidRPr="004D0DAA">
        <w:t>PAN Indication (PANI) field</w:t>
      </w:r>
      <w:r w:rsidRPr="004D0DAA">
        <w:tab/>
      </w:r>
      <w:r w:rsidRPr="004D0DAA">
        <w:fldChar w:fldCharType="begin" w:fldLock="1"/>
      </w:r>
      <w:r w:rsidRPr="004D0DAA">
        <w:instrText xml:space="preserve"> PAGEREF _Toc516669776 \h </w:instrText>
      </w:r>
      <w:r w:rsidRPr="004D0DAA">
        <w:fldChar w:fldCharType="separate"/>
      </w:r>
      <w:r w:rsidRPr="004D0DAA">
        <w:t>317</w:t>
      </w:r>
      <w:r w:rsidRPr="004D0DAA">
        <w:fldChar w:fldCharType="end"/>
      </w:r>
    </w:p>
    <w:p w14:paraId="3A03EF40" w14:textId="77777777" w:rsidR="00683705" w:rsidRPr="004D0DAA" w:rsidRDefault="00683705">
      <w:pPr>
        <w:pStyle w:val="TOC3"/>
        <w:rPr>
          <w:rFonts w:ascii="Calibri" w:hAnsi="Calibri"/>
          <w:sz w:val="22"/>
          <w:szCs w:val="22"/>
          <w:lang w:val="en-US"/>
        </w:rPr>
      </w:pPr>
      <w:r w:rsidRPr="004D0DAA">
        <w:t>10.4.22</w:t>
      </w:r>
      <w:r w:rsidRPr="004D0DAA">
        <w:rPr>
          <w:rFonts w:ascii="Calibri" w:hAnsi="Calibri"/>
          <w:sz w:val="22"/>
          <w:szCs w:val="22"/>
          <w:lang w:val="en-US"/>
        </w:rPr>
        <w:tab/>
      </w:r>
      <w:r w:rsidRPr="004D0DAA">
        <w:t>Beginning of Window (BOW) field</w:t>
      </w:r>
      <w:r w:rsidRPr="004D0DAA">
        <w:tab/>
      </w:r>
      <w:r w:rsidRPr="004D0DAA">
        <w:fldChar w:fldCharType="begin" w:fldLock="1"/>
      </w:r>
      <w:r w:rsidRPr="004D0DAA">
        <w:instrText xml:space="preserve"> PAGEREF _Toc516669777 \h </w:instrText>
      </w:r>
      <w:r w:rsidRPr="004D0DAA">
        <w:fldChar w:fldCharType="separate"/>
      </w:r>
      <w:r w:rsidRPr="004D0DAA">
        <w:t>317</w:t>
      </w:r>
      <w:r w:rsidRPr="004D0DAA">
        <w:fldChar w:fldCharType="end"/>
      </w:r>
    </w:p>
    <w:p w14:paraId="43FE485C" w14:textId="77777777" w:rsidR="00683705" w:rsidRPr="004D0DAA" w:rsidRDefault="00683705">
      <w:pPr>
        <w:pStyle w:val="TOC3"/>
        <w:rPr>
          <w:rFonts w:ascii="Calibri" w:hAnsi="Calibri"/>
          <w:sz w:val="22"/>
          <w:szCs w:val="22"/>
          <w:lang w:val="en-US"/>
        </w:rPr>
      </w:pPr>
      <w:r w:rsidRPr="004D0DAA">
        <w:t>10.4.23</w:t>
      </w:r>
      <w:r w:rsidRPr="004D0DAA">
        <w:rPr>
          <w:rFonts w:ascii="Calibri" w:hAnsi="Calibri"/>
          <w:sz w:val="22"/>
          <w:szCs w:val="22"/>
          <w:lang w:val="en-US"/>
        </w:rPr>
        <w:tab/>
      </w:r>
      <w:r w:rsidRPr="004D0DAA">
        <w:t>Short Starting Sequence Number (ShortSSN) field</w:t>
      </w:r>
      <w:r w:rsidRPr="004D0DAA">
        <w:tab/>
      </w:r>
      <w:r w:rsidRPr="004D0DAA">
        <w:fldChar w:fldCharType="begin" w:fldLock="1"/>
      </w:r>
      <w:r w:rsidRPr="004D0DAA">
        <w:instrText xml:space="preserve"> PAGEREF _Toc516669778 \h </w:instrText>
      </w:r>
      <w:r w:rsidRPr="004D0DAA">
        <w:fldChar w:fldCharType="separate"/>
      </w:r>
      <w:r w:rsidRPr="004D0DAA">
        <w:t>317</w:t>
      </w:r>
      <w:r w:rsidRPr="004D0DAA">
        <w:fldChar w:fldCharType="end"/>
      </w:r>
    </w:p>
    <w:p w14:paraId="0D2AD0A9" w14:textId="77777777" w:rsidR="00683705" w:rsidRPr="004D0DAA" w:rsidRDefault="00683705">
      <w:pPr>
        <w:pStyle w:val="TOC3"/>
        <w:rPr>
          <w:rFonts w:ascii="Calibri" w:hAnsi="Calibri"/>
          <w:sz w:val="22"/>
          <w:szCs w:val="22"/>
          <w:lang w:val="en-US"/>
        </w:rPr>
      </w:pPr>
      <w:r w:rsidRPr="004D0DAA">
        <w:t>10.4.24</w:t>
      </w:r>
      <w:r w:rsidRPr="004D0DAA">
        <w:rPr>
          <w:rFonts w:ascii="Calibri" w:hAnsi="Calibri"/>
          <w:sz w:val="22"/>
          <w:szCs w:val="22"/>
          <w:lang w:val="en-US"/>
        </w:rPr>
        <w:tab/>
      </w:r>
      <w:r w:rsidRPr="004D0DAA">
        <w:t>Carrier ID (CI) field</w:t>
      </w:r>
      <w:r w:rsidRPr="004D0DAA">
        <w:tab/>
      </w:r>
      <w:r w:rsidRPr="004D0DAA">
        <w:fldChar w:fldCharType="begin" w:fldLock="1"/>
      </w:r>
      <w:r w:rsidRPr="004D0DAA">
        <w:instrText xml:space="preserve"> PAGEREF _Toc516669779 \h </w:instrText>
      </w:r>
      <w:r w:rsidRPr="004D0DAA">
        <w:fldChar w:fldCharType="separate"/>
      </w:r>
      <w:r w:rsidRPr="004D0DAA">
        <w:t>317</w:t>
      </w:r>
      <w:r w:rsidRPr="004D0DAA">
        <w:fldChar w:fldCharType="end"/>
      </w:r>
    </w:p>
    <w:p w14:paraId="3E9391B3" w14:textId="77777777" w:rsidR="00683705" w:rsidRPr="004D0DAA" w:rsidRDefault="00683705">
      <w:pPr>
        <w:pStyle w:val="TOC3"/>
        <w:rPr>
          <w:rFonts w:ascii="Calibri" w:hAnsi="Calibri"/>
          <w:sz w:val="22"/>
          <w:szCs w:val="22"/>
          <w:lang w:val="en-US"/>
        </w:rPr>
      </w:pPr>
      <w:r w:rsidRPr="004D0DAA">
        <w:t>10.4.25</w:t>
      </w:r>
      <w:r w:rsidRPr="004D0DAA">
        <w:rPr>
          <w:rFonts w:ascii="Calibri" w:hAnsi="Calibri"/>
          <w:sz w:val="22"/>
          <w:szCs w:val="22"/>
          <w:lang w:val="en-US"/>
        </w:rPr>
        <w:tab/>
      </w:r>
      <w:r w:rsidRPr="004D0DAA">
        <w:t>TN/PDCH-pair field</w:t>
      </w:r>
      <w:r w:rsidRPr="004D0DAA">
        <w:tab/>
      </w:r>
      <w:r w:rsidRPr="004D0DAA">
        <w:fldChar w:fldCharType="begin" w:fldLock="1"/>
      </w:r>
      <w:r w:rsidRPr="004D0DAA">
        <w:instrText xml:space="preserve"> PAGEREF _Toc516669780 \h </w:instrText>
      </w:r>
      <w:r w:rsidRPr="004D0DAA">
        <w:fldChar w:fldCharType="separate"/>
      </w:r>
      <w:r w:rsidRPr="004D0DAA">
        <w:t>318</w:t>
      </w:r>
      <w:r w:rsidRPr="004D0DAA">
        <w:fldChar w:fldCharType="end"/>
      </w:r>
    </w:p>
    <w:p w14:paraId="3E49639C" w14:textId="77777777" w:rsidR="00683705" w:rsidRPr="004D0DAA" w:rsidRDefault="00683705">
      <w:pPr>
        <w:pStyle w:val="TOC3"/>
        <w:rPr>
          <w:rFonts w:ascii="Calibri" w:hAnsi="Calibri"/>
          <w:sz w:val="22"/>
          <w:szCs w:val="22"/>
          <w:lang w:val="en-US"/>
        </w:rPr>
      </w:pPr>
      <w:r w:rsidRPr="004D0DAA">
        <w:t>10.4.26</w:t>
      </w:r>
      <w:r w:rsidRPr="004D0DAA">
        <w:rPr>
          <w:rFonts w:ascii="Calibri" w:hAnsi="Calibri"/>
          <w:sz w:val="22"/>
          <w:szCs w:val="22"/>
          <w:lang w:val="en-US"/>
        </w:rPr>
        <w:tab/>
      </w:r>
      <w:r w:rsidRPr="004D0DAA">
        <w:t>DTR Blks</w:t>
      </w:r>
      <w:r w:rsidRPr="004D0DAA">
        <w:tab/>
      </w:r>
      <w:r w:rsidRPr="004D0DAA">
        <w:fldChar w:fldCharType="begin" w:fldLock="1"/>
      </w:r>
      <w:r w:rsidRPr="004D0DAA">
        <w:instrText xml:space="preserve"> PAGEREF _Toc516669781 \h </w:instrText>
      </w:r>
      <w:r w:rsidRPr="004D0DAA">
        <w:fldChar w:fldCharType="separate"/>
      </w:r>
      <w:r w:rsidRPr="004D0DAA">
        <w:t>318</w:t>
      </w:r>
      <w:r w:rsidRPr="004D0DAA">
        <w:fldChar w:fldCharType="end"/>
      </w:r>
    </w:p>
    <w:p w14:paraId="207F1A83" w14:textId="77777777" w:rsidR="00683705" w:rsidRPr="004D0DAA" w:rsidRDefault="00683705">
      <w:pPr>
        <w:pStyle w:val="TOC3"/>
        <w:rPr>
          <w:rFonts w:ascii="Calibri" w:hAnsi="Calibri"/>
          <w:sz w:val="22"/>
          <w:szCs w:val="22"/>
          <w:lang w:val="en-US"/>
        </w:rPr>
      </w:pPr>
      <w:r w:rsidRPr="004D0DAA">
        <w:t>10.4.27</w:t>
      </w:r>
      <w:r w:rsidRPr="004D0DAA">
        <w:rPr>
          <w:rFonts w:ascii="Calibri" w:hAnsi="Calibri"/>
          <w:sz w:val="22"/>
          <w:szCs w:val="22"/>
          <w:lang w:val="en-US"/>
        </w:rPr>
        <w:tab/>
      </w:r>
      <w:r w:rsidRPr="004D0DAA">
        <w:t>Selected PLMN Index field</w:t>
      </w:r>
      <w:r w:rsidRPr="004D0DAA">
        <w:tab/>
      </w:r>
      <w:r w:rsidRPr="004D0DAA">
        <w:fldChar w:fldCharType="begin" w:fldLock="1"/>
      </w:r>
      <w:r w:rsidRPr="004D0DAA">
        <w:instrText xml:space="preserve"> PAGEREF _Toc516669782 \h </w:instrText>
      </w:r>
      <w:r w:rsidRPr="004D0DAA">
        <w:fldChar w:fldCharType="separate"/>
      </w:r>
      <w:r w:rsidRPr="004D0DAA">
        <w:t>318</w:t>
      </w:r>
      <w:r w:rsidRPr="004D0DAA">
        <w:fldChar w:fldCharType="end"/>
      </w:r>
    </w:p>
    <w:p w14:paraId="4728C7F7" w14:textId="77777777" w:rsidR="00683705" w:rsidRPr="004D0DAA" w:rsidRDefault="00683705">
      <w:pPr>
        <w:pStyle w:val="TOC3"/>
        <w:rPr>
          <w:rFonts w:ascii="Calibri" w:hAnsi="Calibri"/>
          <w:sz w:val="22"/>
          <w:szCs w:val="22"/>
          <w:lang w:val="en-US"/>
        </w:rPr>
      </w:pPr>
      <w:r w:rsidRPr="004D0DAA">
        <w:t>10.4.28</w:t>
      </w:r>
      <w:r w:rsidRPr="004D0DAA">
        <w:rPr>
          <w:rFonts w:ascii="Calibri" w:hAnsi="Calibri"/>
          <w:sz w:val="22"/>
          <w:szCs w:val="22"/>
          <w:lang w:val="en-US"/>
        </w:rPr>
        <w:tab/>
      </w:r>
      <w:r w:rsidRPr="004D0DAA">
        <w:t>Coverage Class field (CC)</w:t>
      </w:r>
      <w:r w:rsidRPr="004D0DAA">
        <w:tab/>
      </w:r>
      <w:r w:rsidRPr="004D0DAA">
        <w:fldChar w:fldCharType="begin" w:fldLock="1"/>
      </w:r>
      <w:r w:rsidRPr="004D0DAA">
        <w:instrText xml:space="preserve"> PAGEREF _Toc516669783 \h </w:instrText>
      </w:r>
      <w:r w:rsidRPr="004D0DAA">
        <w:fldChar w:fldCharType="separate"/>
      </w:r>
      <w:r w:rsidRPr="004D0DAA">
        <w:t>319</w:t>
      </w:r>
      <w:r w:rsidRPr="004D0DAA">
        <w:fldChar w:fldCharType="end"/>
      </w:r>
    </w:p>
    <w:p w14:paraId="028C274D" w14:textId="77777777" w:rsidR="00683705" w:rsidRPr="004D0DAA" w:rsidRDefault="00683705">
      <w:pPr>
        <w:pStyle w:val="TOC3"/>
        <w:rPr>
          <w:rFonts w:ascii="Calibri" w:hAnsi="Calibri"/>
          <w:sz w:val="22"/>
          <w:szCs w:val="22"/>
          <w:lang w:val="en-US"/>
        </w:rPr>
      </w:pPr>
      <w:r w:rsidRPr="004D0DAA">
        <w:t>10.4.29</w:t>
      </w:r>
      <w:r w:rsidRPr="004D0DAA">
        <w:rPr>
          <w:rFonts w:ascii="Calibri" w:hAnsi="Calibri"/>
          <w:sz w:val="22"/>
          <w:szCs w:val="22"/>
          <w:lang w:val="en-US"/>
        </w:rPr>
        <w:tab/>
      </w:r>
      <w:r w:rsidRPr="004D0DAA">
        <w:t>Downlink Coverage Class Estimate (DCCE)</w:t>
      </w:r>
      <w:r w:rsidRPr="004D0DAA">
        <w:tab/>
      </w:r>
      <w:r w:rsidRPr="004D0DAA">
        <w:fldChar w:fldCharType="begin" w:fldLock="1"/>
      </w:r>
      <w:r w:rsidRPr="004D0DAA">
        <w:instrText xml:space="preserve"> PAGEREF _Toc516669784 \h </w:instrText>
      </w:r>
      <w:r w:rsidRPr="004D0DAA">
        <w:fldChar w:fldCharType="separate"/>
      </w:r>
      <w:r w:rsidRPr="004D0DAA">
        <w:t>319</w:t>
      </w:r>
      <w:r w:rsidRPr="004D0DAA">
        <w:fldChar w:fldCharType="end"/>
      </w:r>
    </w:p>
    <w:p w14:paraId="55CC5CE9" w14:textId="77777777" w:rsidR="00683705" w:rsidRPr="004D0DAA" w:rsidRDefault="00683705">
      <w:pPr>
        <w:pStyle w:val="TOC3"/>
        <w:rPr>
          <w:rFonts w:ascii="Calibri" w:hAnsi="Calibri"/>
          <w:sz w:val="22"/>
          <w:szCs w:val="22"/>
          <w:lang w:val="en-US"/>
        </w:rPr>
      </w:pPr>
      <w:r w:rsidRPr="004D0DAA">
        <w:t>10.4.30</w:t>
      </w:r>
      <w:r w:rsidRPr="004D0DAA">
        <w:rPr>
          <w:rFonts w:ascii="Calibri" w:hAnsi="Calibri"/>
          <w:sz w:val="22"/>
          <w:szCs w:val="22"/>
          <w:lang w:val="en-US"/>
        </w:rPr>
        <w:tab/>
      </w:r>
      <w:r w:rsidRPr="004D0DAA">
        <w:t>Cell Identity</w:t>
      </w:r>
      <w:r w:rsidRPr="004D0DAA">
        <w:tab/>
      </w:r>
      <w:r w:rsidRPr="004D0DAA">
        <w:fldChar w:fldCharType="begin" w:fldLock="1"/>
      </w:r>
      <w:r w:rsidRPr="004D0DAA">
        <w:instrText xml:space="preserve"> PAGEREF _Toc516669785 \h </w:instrText>
      </w:r>
      <w:r w:rsidRPr="004D0DAA">
        <w:fldChar w:fldCharType="separate"/>
      </w:r>
      <w:r w:rsidRPr="004D0DAA">
        <w:t>319</w:t>
      </w:r>
      <w:r w:rsidRPr="004D0DAA">
        <w:fldChar w:fldCharType="end"/>
      </w:r>
    </w:p>
    <w:p w14:paraId="1C15295F" w14:textId="77777777" w:rsidR="00683705" w:rsidRPr="004D0DAA" w:rsidRDefault="00683705">
      <w:pPr>
        <w:pStyle w:val="TOC3"/>
        <w:rPr>
          <w:rFonts w:ascii="Calibri" w:hAnsi="Calibri"/>
          <w:sz w:val="22"/>
          <w:szCs w:val="22"/>
          <w:lang w:val="en-US"/>
        </w:rPr>
      </w:pPr>
      <w:r w:rsidRPr="004D0DAA">
        <w:lastRenderedPageBreak/>
        <w:t>10.4.31</w:t>
      </w:r>
      <w:r w:rsidRPr="004D0DAA">
        <w:rPr>
          <w:rFonts w:ascii="Calibri" w:hAnsi="Calibri"/>
          <w:sz w:val="22"/>
          <w:szCs w:val="22"/>
          <w:lang w:val="en-US"/>
        </w:rPr>
        <w:tab/>
      </w:r>
      <w:r w:rsidRPr="004D0DAA">
        <w:t>Routing Area Identification</w:t>
      </w:r>
      <w:r w:rsidRPr="004D0DAA">
        <w:tab/>
      </w:r>
      <w:r w:rsidRPr="004D0DAA">
        <w:fldChar w:fldCharType="begin" w:fldLock="1"/>
      </w:r>
      <w:r w:rsidRPr="004D0DAA">
        <w:instrText xml:space="preserve"> PAGEREF _Toc516669786 \h </w:instrText>
      </w:r>
      <w:r w:rsidRPr="004D0DAA">
        <w:fldChar w:fldCharType="separate"/>
      </w:r>
      <w:r w:rsidRPr="004D0DAA">
        <w:t>319</w:t>
      </w:r>
      <w:r w:rsidRPr="004D0DAA">
        <w:fldChar w:fldCharType="end"/>
      </w:r>
    </w:p>
    <w:p w14:paraId="72E0DA01" w14:textId="77777777" w:rsidR="00683705" w:rsidRPr="004D0DAA" w:rsidRDefault="00683705">
      <w:pPr>
        <w:pStyle w:val="TOC3"/>
        <w:rPr>
          <w:rFonts w:ascii="Calibri" w:hAnsi="Calibri"/>
          <w:sz w:val="22"/>
          <w:szCs w:val="22"/>
          <w:lang w:val="en-US"/>
        </w:rPr>
      </w:pPr>
      <w:r w:rsidRPr="004D0DAA">
        <w:t>10.4.32</w:t>
      </w:r>
      <w:r w:rsidRPr="004D0DAA">
        <w:rPr>
          <w:rFonts w:ascii="Calibri" w:hAnsi="Calibri"/>
          <w:sz w:val="22"/>
          <w:szCs w:val="22"/>
          <w:lang w:val="en-US"/>
        </w:rPr>
        <w:tab/>
      </w:r>
      <w:r w:rsidRPr="004D0DAA">
        <w:t>MS Sync Accuracy</w:t>
      </w:r>
      <w:r w:rsidRPr="004D0DAA">
        <w:tab/>
      </w:r>
      <w:r w:rsidRPr="004D0DAA">
        <w:fldChar w:fldCharType="begin" w:fldLock="1"/>
      </w:r>
      <w:r w:rsidRPr="004D0DAA">
        <w:instrText xml:space="preserve"> PAGEREF _Toc516669787 \h </w:instrText>
      </w:r>
      <w:r w:rsidRPr="004D0DAA">
        <w:fldChar w:fldCharType="separate"/>
      </w:r>
      <w:r w:rsidRPr="004D0DAA">
        <w:t>320</w:t>
      </w:r>
      <w:r w:rsidRPr="004D0DAA">
        <w:fldChar w:fldCharType="end"/>
      </w:r>
    </w:p>
    <w:p w14:paraId="371856EB" w14:textId="77777777" w:rsidR="00683705" w:rsidRPr="004D0DAA" w:rsidRDefault="00683705">
      <w:pPr>
        <w:pStyle w:val="TOC3"/>
        <w:rPr>
          <w:rFonts w:ascii="Calibri" w:hAnsi="Calibri"/>
          <w:sz w:val="22"/>
          <w:szCs w:val="22"/>
          <w:lang w:val="en-US"/>
        </w:rPr>
      </w:pPr>
      <w:r w:rsidRPr="004D0DAA">
        <w:t>10.4.33</w:t>
      </w:r>
      <w:r w:rsidRPr="004D0DAA">
        <w:rPr>
          <w:rFonts w:ascii="Calibri" w:hAnsi="Calibri"/>
          <w:sz w:val="22"/>
          <w:szCs w:val="22"/>
          <w:lang w:val="en-US"/>
        </w:rPr>
        <w:tab/>
      </w:r>
      <w:r w:rsidRPr="004D0DAA">
        <w:t>MS Transmission Offset</w:t>
      </w:r>
      <w:r w:rsidRPr="004D0DAA">
        <w:tab/>
      </w:r>
      <w:r w:rsidRPr="004D0DAA">
        <w:fldChar w:fldCharType="begin" w:fldLock="1"/>
      </w:r>
      <w:r w:rsidRPr="004D0DAA">
        <w:instrText xml:space="preserve"> PAGEREF _Toc516669788 \h </w:instrText>
      </w:r>
      <w:r w:rsidRPr="004D0DAA">
        <w:fldChar w:fldCharType="separate"/>
      </w:r>
      <w:r w:rsidRPr="004D0DAA">
        <w:t>320</w:t>
      </w:r>
      <w:r w:rsidRPr="004D0DAA">
        <w:fldChar w:fldCharType="end"/>
      </w:r>
    </w:p>
    <w:p w14:paraId="3BCB4745" w14:textId="77777777" w:rsidR="00683705" w:rsidRPr="004D0DAA" w:rsidRDefault="00683705">
      <w:pPr>
        <w:pStyle w:val="TOC3"/>
        <w:rPr>
          <w:rFonts w:ascii="Calibri" w:hAnsi="Calibri"/>
          <w:sz w:val="22"/>
          <w:szCs w:val="22"/>
          <w:lang w:val="en-US"/>
        </w:rPr>
      </w:pPr>
      <w:r w:rsidRPr="004D0DAA">
        <w:t>10.4.34 Random ID</w:t>
      </w:r>
      <w:r w:rsidRPr="004D0DAA">
        <w:tab/>
      </w:r>
      <w:r w:rsidRPr="004D0DAA">
        <w:fldChar w:fldCharType="begin" w:fldLock="1"/>
      </w:r>
      <w:r w:rsidRPr="004D0DAA">
        <w:instrText xml:space="preserve"> PAGEREF _Toc516669789 \h </w:instrText>
      </w:r>
      <w:r w:rsidRPr="004D0DAA">
        <w:fldChar w:fldCharType="separate"/>
      </w:r>
      <w:r w:rsidRPr="004D0DAA">
        <w:t>320</w:t>
      </w:r>
      <w:r w:rsidRPr="004D0DAA">
        <w:fldChar w:fldCharType="end"/>
      </w:r>
    </w:p>
    <w:p w14:paraId="0079EA00" w14:textId="77777777" w:rsidR="00683705" w:rsidRPr="004D0DAA" w:rsidRDefault="00683705">
      <w:pPr>
        <w:pStyle w:val="TOC3"/>
        <w:rPr>
          <w:rFonts w:ascii="Calibri" w:hAnsi="Calibri"/>
          <w:sz w:val="22"/>
          <w:szCs w:val="22"/>
          <w:lang w:val="en-US"/>
        </w:rPr>
      </w:pPr>
      <w:r w:rsidRPr="004D0DAA">
        <w:t>10.4.35</w:t>
      </w:r>
      <w:r w:rsidRPr="004D0DAA">
        <w:rPr>
          <w:rFonts w:ascii="Calibri" w:hAnsi="Calibri"/>
          <w:sz w:val="22"/>
          <w:szCs w:val="22"/>
          <w:lang w:val="en-US"/>
        </w:rPr>
        <w:tab/>
      </w:r>
      <w:r w:rsidRPr="004D0DAA">
        <w:t>Downlink Coverage Class (DLCC)</w:t>
      </w:r>
      <w:r w:rsidRPr="004D0DAA">
        <w:tab/>
      </w:r>
      <w:r w:rsidRPr="004D0DAA">
        <w:fldChar w:fldCharType="begin" w:fldLock="1"/>
      </w:r>
      <w:r w:rsidRPr="004D0DAA">
        <w:instrText xml:space="preserve"> PAGEREF _Toc516669790 \h </w:instrText>
      </w:r>
      <w:r w:rsidRPr="004D0DAA">
        <w:fldChar w:fldCharType="separate"/>
      </w:r>
      <w:r w:rsidRPr="004D0DAA">
        <w:t>321</w:t>
      </w:r>
      <w:r w:rsidRPr="004D0DAA">
        <w:fldChar w:fldCharType="end"/>
      </w:r>
    </w:p>
    <w:p w14:paraId="6012C3DC" w14:textId="77777777" w:rsidR="00683705" w:rsidRPr="004D0DAA" w:rsidRDefault="00683705">
      <w:pPr>
        <w:pStyle w:val="TOC3"/>
        <w:rPr>
          <w:rFonts w:ascii="Calibri" w:hAnsi="Calibri"/>
          <w:sz w:val="22"/>
          <w:szCs w:val="22"/>
          <w:lang w:val="en-US"/>
        </w:rPr>
      </w:pPr>
      <w:r w:rsidRPr="004D0DAA">
        <w:t>10.4.36</w:t>
      </w:r>
      <w:r w:rsidRPr="004D0DAA">
        <w:rPr>
          <w:rFonts w:ascii="Calibri" w:hAnsi="Calibri"/>
          <w:sz w:val="22"/>
          <w:szCs w:val="22"/>
          <w:lang w:val="en-US"/>
        </w:rPr>
        <w:tab/>
      </w:r>
      <w:r w:rsidRPr="004D0DAA">
        <w:t>DCN-ID field</w:t>
      </w:r>
      <w:r w:rsidRPr="004D0DAA">
        <w:tab/>
      </w:r>
      <w:r w:rsidRPr="004D0DAA">
        <w:fldChar w:fldCharType="begin" w:fldLock="1"/>
      </w:r>
      <w:r w:rsidRPr="004D0DAA">
        <w:instrText xml:space="preserve"> PAGEREF _Toc516669791 \h </w:instrText>
      </w:r>
      <w:r w:rsidRPr="004D0DAA">
        <w:fldChar w:fldCharType="separate"/>
      </w:r>
      <w:r w:rsidRPr="004D0DAA">
        <w:t>321</w:t>
      </w:r>
      <w:r w:rsidRPr="004D0DAA">
        <w:fldChar w:fldCharType="end"/>
      </w:r>
    </w:p>
    <w:p w14:paraId="4AF0C22A" w14:textId="77777777" w:rsidR="00683705" w:rsidRPr="004D0DAA" w:rsidRDefault="00683705">
      <w:pPr>
        <w:pStyle w:val="TOC3"/>
        <w:rPr>
          <w:rFonts w:ascii="Calibri" w:hAnsi="Calibri"/>
          <w:sz w:val="22"/>
          <w:szCs w:val="22"/>
          <w:lang w:val="en-US"/>
        </w:rPr>
      </w:pPr>
      <w:r w:rsidRPr="004D0DAA">
        <w:t>10.4.37</w:t>
      </w:r>
      <w:r w:rsidRPr="004D0DAA">
        <w:rPr>
          <w:rFonts w:ascii="Calibri" w:hAnsi="Calibri"/>
          <w:sz w:val="22"/>
          <w:szCs w:val="22"/>
          <w:lang w:val="en-US"/>
        </w:rPr>
        <w:tab/>
      </w:r>
      <w:r w:rsidRPr="004D0DAA">
        <w:t>MTA Signature</w:t>
      </w:r>
      <w:r w:rsidRPr="004D0DAA">
        <w:tab/>
      </w:r>
      <w:r w:rsidRPr="004D0DAA">
        <w:fldChar w:fldCharType="begin" w:fldLock="1"/>
      </w:r>
      <w:r w:rsidRPr="004D0DAA">
        <w:instrText xml:space="preserve"> PAGEREF _Toc516669792 \h </w:instrText>
      </w:r>
      <w:r w:rsidRPr="004D0DAA">
        <w:fldChar w:fldCharType="separate"/>
      </w:r>
      <w:r w:rsidRPr="004D0DAA">
        <w:t>321</w:t>
      </w:r>
      <w:r w:rsidRPr="004D0DAA">
        <w:fldChar w:fldCharType="end"/>
      </w:r>
    </w:p>
    <w:p w14:paraId="11559223" w14:textId="77777777" w:rsidR="00683705" w:rsidRPr="004D0DAA" w:rsidRDefault="00683705">
      <w:pPr>
        <w:pStyle w:val="TOC3"/>
        <w:rPr>
          <w:rFonts w:ascii="Calibri" w:hAnsi="Calibri"/>
          <w:sz w:val="22"/>
          <w:szCs w:val="22"/>
          <w:lang w:val="en-US"/>
        </w:rPr>
      </w:pPr>
      <w:r w:rsidRPr="004D0DAA">
        <w:t>10.4.38</w:t>
      </w:r>
      <w:r w:rsidRPr="004D0DAA">
        <w:rPr>
          <w:rFonts w:ascii="Calibri" w:hAnsi="Calibri"/>
          <w:sz w:val="22"/>
          <w:szCs w:val="22"/>
          <w:lang w:val="en-US"/>
        </w:rPr>
        <w:tab/>
      </w:r>
      <w:r w:rsidRPr="004D0DAA">
        <w:t>Final MTA Access (FMA)</w:t>
      </w:r>
      <w:r w:rsidRPr="004D0DAA">
        <w:tab/>
      </w:r>
      <w:r w:rsidRPr="004D0DAA">
        <w:fldChar w:fldCharType="begin" w:fldLock="1"/>
      </w:r>
      <w:r w:rsidRPr="004D0DAA">
        <w:instrText xml:space="preserve"> PAGEREF _Toc516669793 \h </w:instrText>
      </w:r>
      <w:r w:rsidRPr="004D0DAA">
        <w:fldChar w:fldCharType="separate"/>
      </w:r>
      <w:r w:rsidRPr="004D0DAA">
        <w:t>321</w:t>
      </w:r>
      <w:r w:rsidRPr="004D0DAA">
        <w:fldChar w:fldCharType="end"/>
      </w:r>
    </w:p>
    <w:p w14:paraId="1AD40A21" w14:textId="77777777" w:rsidR="00683705" w:rsidRPr="004D0DAA" w:rsidRDefault="00683705">
      <w:pPr>
        <w:pStyle w:val="TOC3"/>
        <w:rPr>
          <w:rFonts w:ascii="Calibri" w:hAnsi="Calibri"/>
          <w:sz w:val="22"/>
          <w:szCs w:val="22"/>
          <w:lang w:val="en-US"/>
        </w:rPr>
      </w:pPr>
      <w:r w:rsidRPr="004D0DAA">
        <w:t>10.4.39</w:t>
      </w:r>
      <w:r w:rsidRPr="004D0DAA">
        <w:rPr>
          <w:rFonts w:ascii="Calibri" w:hAnsi="Calibri"/>
          <w:sz w:val="22"/>
          <w:szCs w:val="22"/>
          <w:lang w:val="en-US"/>
        </w:rPr>
        <w:tab/>
      </w:r>
      <w:r w:rsidRPr="004D0DAA">
        <w:t>MTA Report Instance</w:t>
      </w:r>
      <w:r w:rsidRPr="004D0DAA">
        <w:tab/>
      </w:r>
      <w:r w:rsidRPr="004D0DAA">
        <w:fldChar w:fldCharType="begin" w:fldLock="1"/>
      </w:r>
      <w:r w:rsidRPr="004D0DAA">
        <w:instrText xml:space="preserve"> PAGEREF _Toc516669794 \h </w:instrText>
      </w:r>
      <w:r w:rsidRPr="004D0DAA">
        <w:fldChar w:fldCharType="separate"/>
      </w:r>
      <w:r w:rsidRPr="004D0DAA">
        <w:t>322</w:t>
      </w:r>
      <w:r w:rsidRPr="004D0DAA">
        <w:fldChar w:fldCharType="end"/>
      </w:r>
    </w:p>
    <w:p w14:paraId="53955D6B" w14:textId="77777777" w:rsidR="00683705" w:rsidRPr="004D0DAA" w:rsidRDefault="00683705">
      <w:pPr>
        <w:pStyle w:val="TOC1"/>
        <w:rPr>
          <w:rFonts w:ascii="Calibri" w:hAnsi="Calibri"/>
          <w:szCs w:val="22"/>
          <w:lang w:val="en-US"/>
        </w:rPr>
      </w:pPr>
      <w:r w:rsidRPr="004D0DAA">
        <w:t>11</w:t>
      </w:r>
      <w:r w:rsidRPr="004D0DAA">
        <w:rPr>
          <w:rFonts w:ascii="Calibri" w:hAnsi="Calibri"/>
          <w:szCs w:val="22"/>
          <w:lang w:val="en-US"/>
        </w:rPr>
        <w:tab/>
      </w:r>
      <w:r w:rsidRPr="004D0DAA">
        <w:t>Message functional definitions and contents</w:t>
      </w:r>
      <w:r w:rsidRPr="004D0DAA">
        <w:tab/>
      </w:r>
      <w:r w:rsidRPr="004D0DAA">
        <w:fldChar w:fldCharType="begin" w:fldLock="1"/>
      </w:r>
      <w:r w:rsidRPr="004D0DAA">
        <w:instrText xml:space="preserve"> PAGEREF _Toc516669795 \h </w:instrText>
      </w:r>
      <w:r w:rsidRPr="004D0DAA">
        <w:fldChar w:fldCharType="separate"/>
      </w:r>
      <w:r w:rsidRPr="004D0DAA">
        <w:t>322</w:t>
      </w:r>
      <w:r w:rsidRPr="004D0DAA">
        <w:fldChar w:fldCharType="end"/>
      </w:r>
    </w:p>
    <w:p w14:paraId="242DAC03" w14:textId="77777777" w:rsidR="00683705" w:rsidRPr="004D0DAA" w:rsidRDefault="00683705">
      <w:pPr>
        <w:pStyle w:val="TOC2"/>
        <w:rPr>
          <w:rFonts w:ascii="Calibri" w:hAnsi="Calibri"/>
          <w:sz w:val="22"/>
          <w:szCs w:val="22"/>
          <w:lang w:val="en-US"/>
        </w:rPr>
      </w:pPr>
      <w:r w:rsidRPr="004D0DAA">
        <w:t>11.1</w:t>
      </w:r>
      <w:r w:rsidRPr="004D0DAA">
        <w:rPr>
          <w:rFonts w:ascii="Calibri" w:hAnsi="Calibri"/>
          <w:sz w:val="22"/>
          <w:szCs w:val="22"/>
          <w:lang w:val="en-US"/>
        </w:rPr>
        <w:tab/>
      </w:r>
      <w:r w:rsidRPr="004D0DAA">
        <w:t>Handling of erroneous protocol data</w:t>
      </w:r>
      <w:r w:rsidRPr="004D0DAA">
        <w:tab/>
      </w:r>
      <w:r w:rsidRPr="004D0DAA">
        <w:fldChar w:fldCharType="begin" w:fldLock="1"/>
      </w:r>
      <w:r w:rsidRPr="004D0DAA">
        <w:instrText xml:space="preserve"> PAGEREF _Toc516669796 \h </w:instrText>
      </w:r>
      <w:r w:rsidRPr="004D0DAA">
        <w:fldChar w:fldCharType="separate"/>
      </w:r>
      <w:r w:rsidRPr="004D0DAA">
        <w:t>323</w:t>
      </w:r>
      <w:r w:rsidRPr="004D0DAA">
        <w:fldChar w:fldCharType="end"/>
      </w:r>
    </w:p>
    <w:p w14:paraId="072CB647" w14:textId="77777777" w:rsidR="00683705" w:rsidRPr="004D0DAA" w:rsidRDefault="00683705">
      <w:pPr>
        <w:pStyle w:val="TOC3"/>
        <w:rPr>
          <w:rFonts w:ascii="Calibri" w:hAnsi="Calibri"/>
          <w:sz w:val="22"/>
          <w:szCs w:val="22"/>
          <w:lang w:val="en-US"/>
        </w:rPr>
      </w:pPr>
      <w:r w:rsidRPr="004D0DAA">
        <w:t>11.1.1</w:t>
      </w:r>
      <w:r w:rsidRPr="004D0DAA">
        <w:rPr>
          <w:rFonts w:ascii="Calibri" w:hAnsi="Calibri"/>
          <w:sz w:val="22"/>
          <w:szCs w:val="22"/>
          <w:lang w:val="en-US"/>
        </w:rPr>
        <w:tab/>
      </w:r>
      <w:r w:rsidRPr="004D0DAA">
        <w:t>Message classification</w:t>
      </w:r>
      <w:r w:rsidRPr="004D0DAA">
        <w:tab/>
      </w:r>
      <w:r w:rsidRPr="004D0DAA">
        <w:fldChar w:fldCharType="begin" w:fldLock="1"/>
      </w:r>
      <w:r w:rsidRPr="004D0DAA">
        <w:instrText xml:space="preserve"> PAGEREF _Toc516669797 \h </w:instrText>
      </w:r>
      <w:r w:rsidRPr="004D0DAA">
        <w:fldChar w:fldCharType="separate"/>
      </w:r>
      <w:r w:rsidRPr="004D0DAA">
        <w:t>323</w:t>
      </w:r>
      <w:r w:rsidRPr="004D0DAA">
        <w:fldChar w:fldCharType="end"/>
      </w:r>
    </w:p>
    <w:p w14:paraId="59596455" w14:textId="77777777" w:rsidR="00683705" w:rsidRPr="004D0DAA" w:rsidRDefault="00683705">
      <w:pPr>
        <w:pStyle w:val="TOC4"/>
        <w:rPr>
          <w:rFonts w:ascii="Calibri" w:hAnsi="Calibri"/>
          <w:sz w:val="22"/>
          <w:szCs w:val="22"/>
          <w:lang w:val="en-US"/>
        </w:rPr>
      </w:pPr>
      <w:r w:rsidRPr="004D0DAA">
        <w:t>11.1.1.1</w:t>
      </w:r>
      <w:r w:rsidRPr="004D0DAA">
        <w:rPr>
          <w:rFonts w:ascii="Calibri" w:hAnsi="Calibri"/>
          <w:sz w:val="22"/>
          <w:szCs w:val="22"/>
          <w:lang w:val="en-US"/>
        </w:rPr>
        <w:tab/>
      </w:r>
      <w:r w:rsidRPr="004D0DAA">
        <w:t>Distribution messages</w:t>
      </w:r>
      <w:r w:rsidRPr="004D0DAA">
        <w:tab/>
      </w:r>
      <w:r w:rsidRPr="004D0DAA">
        <w:fldChar w:fldCharType="begin" w:fldLock="1"/>
      </w:r>
      <w:r w:rsidRPr="004D0DAA">
        <w:instrText xml:space="preserve"> PAGEREF _Toc516669798 \h </w:instrText>
      </w:r>
      <w:r w:rsidRPr="004D0DAA">
        <w:fldChar w:fldCharType="separate"/>
      </w:r>
      <w:r w:rsidRPr="004D0DAA">
        <w:t>323</w:t>
      </w:r>
      <w:r w:rsidRPr="004D0DAA">
        <w:fldChar w:fldCharType="end"/>
      </w:r>
    </w:p>
    <w:p w14:paraId="556B06F7" w14:textId="77777777" w:rsidR="00683705" w:rsidRPr="004D0DAA" w:rsidRDefault="00683705">
      <w:pPr>
        <w:pStyle w:val="TOC4"/>
        <w:rPr>
          <w:rFonts w:ascii="Calibri" w:hAnsi="Calibri"/>
          <w:sz w:val="22"/>
          <w:szCs w:val="22"/>
          <w:lang w:val="en-US"/>
        </w:rPr>
      </w:pPr>
      <w:r w:rsidRPr="004D0DAA">
        <w:t>11.1.1.2</w:t>
      </w:r>
      <w:r w:rsidRPr="004D0DAA">
        <w:rPr>
          <w:rFonts w:ascii="Calibri" w:hAnsi="Calibri"/>
          <w:sz w:val="22"/>
          <w:szCs w:val="22"/>
          <w:lang w:val="en-US"/>
        </w:rPr>
        <w:tab/>
      </w:r>
      <w:r w:rsidRPr="004D0DAA">
        <w:t>Non-distribution messages</w:t>
      </w:r>
      <w:r w:rsidRPr="004D0DAA">
        <w:tab/>
      </w:r>
      <w:r w:rsidRPr="004D0DAA">
        <w:fldChar w:fldCharType="begin" w:fldLock="1"/>
      </w:r>
      <w:r w:rsidRPr="004D0DAA">
        <w:instrText xml:space="preserve"> PAGEREF _Toc516669799 \h </w:instrText>
      </w:r>
      <w:r w:rsidRPr="004D0DAA">
        <w:fldChar w:fldCharType="separate"/>
      </w:r>
      <w:r w:rsidRPr="004D0DAA">
        <w:t>324</w:t>
      </w:r>
      <w:r w:rsidRPr="004D0DAA">
        <w:fldChar w:fldCharType="end"/>
      </w:r>
    </w:p>
    <w:p w14:paraId="05F715C3" w14:textId="77777777" w:rsidR="00683705" w:rsidRPr="004D0DAA" w:rsidRDefault="00683705">
      <w:pPr>
        <w:pStyle w:val="TOC5"/>
        <w:rPr>
          <w:rFonts w:ascii="Calibri" w:hAnsi="Calibri"/>
          <w:sz w:val="22"/>
          <w:szCs w:val="22"/>
          <w:lang w:val="en-US"/>
        </w:rPr>
      </w:pPr>
      <w:r w:rsidRPr="004D0DAA">
        <w:t>11.1.1.2.1</w:t>
      </w:r>
      <w:r w:rsidRPr="004D0DAA">
        <w:rPr>
          <w:rFonts w:ascii="Calibri" w:hAnsi="Calibri"/>
          <w:sz w:val="22"/>
          <w:szCs w:val="22"/>
          <w:lang w:val="en-US"/>
        </w:rPr>
        <w:tab/>
      </w:r>
      <w:r w:rsidRPr="004D0DAA">
        <w:t>Format of the address information</w:t>
      </w:r>
      <w:r w:rsidRPr="004D0DAA">
        <w:tab/>
      </w:r>
      <w:r w:rsidRPr="004D0DAA">
        <w:fldChar w:fldCharType="begin" w:fldLock="1"/>
      </w:r>
      <w:r w:rsidRPr="004D0DAA">
        <w:instrText xml:space="preserve"> PAGEREF _Toc516669800 \h </w:instrText>
      </w:r>
      <w:r w:rsidRPr="004D0DAA">
        <w:fldChar w:fldCharType="separate"/>
      </w:r>
      <w:r w:rsidRPr="004D0DAA">
        <w:t>325</w:t>
      </w:r>
      <w:r w:rsidRPr="004D0DAA">
        <w:fldChar w:fldCharType="end"/>
      </w:r>
    </w:p>
    <w:p w14:paraId="730AA01F" w14:textId="77777777" w:rsidR="00683705" w:rsidRPr="004D0DAA" w:rsidRDefault="00683705">
      <w:pPr>
        <w:pStyle w:val="TOC4"/>
        <w:rPr>
          <w:rFonts w:ascii="Calibri" w:hAnsi="Calibri"/>
          <w:sz w:val="22"/>
          <w:szCs w:val="22"/>
          <w:lang w:val="en-US"/>
        </w:rPr>
      </w:pPr>
      <w:r w:rsidRPr="004D0DAA">
        <w:t>11.1.1.3</w:t>
      </w:r>
      <w:r w:rsidRPr="004D0DAA">
        <w:rPr>
          <w:rFonts w:ascii="Calibri" w:hAnsi="Calibri"/>
          <w:sz w:val="22"/>
          <w:szCs w:val="22"/>
          <w:lang w:val="en-US"/>
        </w:rPr>
        <w:tab/>
      </w:r>
      <w:r w:rsidRPr="004D0DAA">
        <w:t>DBPSCH message (</w:t>
      </w:r>
      <w:r w:rsidRPr="004D0DAA">
        <w:rPr>
          <w:i/>
          <w:iCs/>
        </w:rPr>
        <w:t>Iu mode</w:t>
      </w:r>
      <w:r w:rsidRPr="004D0DAA">
        <w:t xml:space="preserve"> only)</w:t>
      </w:r>
      <w:r w:rsidRPr="004D0DAA">
        <w:tab/>
      </w:r>
      <w:r w:rsidRPr="004D0DAA">
        <w:fldChar w:fldCharType="begin" w:fldLock="1"/>
      </w:r>
      <w:r w:rsidRPr="004D0DAA">
        <w:instrText xml:space="preserve"> PAGEREF _Toc516669801 \h </w:instrText>
      </w:r>
      <w:r w:rsidRPr="004D0DAA">
        <w:fldChar w:fldCharType="separate"/>
      </w:r>
      <w:r w:rsidRPr="004D0DAA">
        <w:t>325</w:t>
      </w:r>
      <w:r w:rsidRPr="004D0DAA">
        <w:fldChar w:fldCharType="end"/>
      </w:r>
    </w:p>
    <w:p w14:paraId="79ADADA2" w14:textId="77777777" w:rsidR="00683705" w:rsidRPr="004D0DAA" w:rsidRDefault="00683705">
      <w:pPr>
        <w:pStyle w:val="TOC3"/>
        <w:rPr>
          <w:rFonts w:ascii="Calibri" w:hAnsi="Calibri"/>
          <w:sz w:val="22"/>
          <w:szCs w:val="22"/>
          <w:lang w:val="en-US"/>
        </w:rPr>
      </w:pPr>
      <w:r w:rsidRPr="004D0DAA">
        <w:t>11.1.2</w:t>
      </w:r>
      <w:r w:rsidRPr="004D0DAA">
        <w:rPr>
          <w:rFonts w:ascii="Calibri" w:hAnsi="Calibri"/>
          <w:sz w:val="22"/>
          <w:szCs w:val="22"/>
          <w:lang w:val="en-US"/>
        </w:rPr>
        <w:tab/>
      </w:r>
      <w:r w:rsidRPr="004D0DAA">
        <w:t>Error detection mechanism</w:t>
      </w:r>
      <w:r w:rsidRPr="004D0DAA">
        <w:tab/>
      </w:r>
      <w:r w:rsidRPr="004D0DAA">
        <w:fldChar w:fldCharType="begin" w:fldLock="1"/>
      </w:r>
      <w:r w:rsidRPr="004D0DAA">
        <w:instrText xml:space="preserve"> PAGEREF _Toc516669802 \h </w:instrText>
      </w:r>
      <w:r w:rsidRPr="004D0DAA">
        <w:fldChar w:fldCharType="separate"/>
      </w:r>
      <w:r w:rsidRPr="004D0DAA">
        <w:t>325</w:t>
      </w:r>
      <w:r w:rsidRPr="004D0DAA">
        <w:fldChar w:fldCharType="end"/>
      </w:r>
    </w:p>
    <w:p w14:paraId="16EB211B" w14:textId="77777777" w:rsidR="00683705" w:rsidRPr="004D0DAA" w:rsidRDefault="00683705">
      <w:pPr>
        <w:pStyle w:val="TOC3"/>
        <w:rPr>
          <w:rFonts w:ascii="Calibri" w:hAnsi="Calibri"/>
          <w:sz w:val="22"/>
          <w:szCs w:val="22"/>
          <w:lang w:val="en-US"/>
        </w:rPr>
      </w:pPr>
      <w:r w:rsidRPr="004D0DAA">
        <w:t>11.1.3</w:t>
      </w:r>
      <w:r w:rsidRPr="004D0DAA">
        <w:rPr>
          <w:rFonts w:ascii="Calibri" w:hAnsi="Calibri"/>
          <w:sz w:val="22"/>
          <w:szCs w:val="22"/>
          <w:lang w:val="en-US"/>
        </w:rPr>
        <w:tab/>
      </w:r>
      <w:r w:rsidRPr="004D0DAA">
        <w:t>Error labels</w:t>
      </w:r>
      <w:r w:rsidRPr="004D0DAA">
        <w:tab/>
      </w:r>
      <w:r w:rsidRPr="004D0DAA">
        <w:fldChar w:fldCharType="begin" w:fldLock="1"/>
      </w:r>
      <w:r w:rsidRPr="004D0DAA">
        <w:instrText xml:space="preserve"> PAGEREF _Toc516669803 \h </w:instrText>
      </w:r>
      <w:r w:rsidRPr="004D0DAA">
        <w:fldChar w:fldCharType="separate"/>
      </w:r>
      <w:r w:rsidRPr="004D0DAA">
        <w:t>325</w:t>
      </w:r>
      <w:r w:rsidRPr="004D0DAA">
        <w:fldChar w:fldCharType="end"/>
      </w:r>
    </w:p>
    <w:p w14:paraId="5561C905" w14:textId="77777777" w:rsidR="00683705" w:rsidRPr="004D0DAA" w:rsidRDefault="00683705">
      <w:pPr>
        <w:pStyle w:val="TOC4"/>
        <w:rPr>
          <w:rFonts w:ascii="Calibri" w:hAnsi="Calibri"/>
          <w:sz w:val="22"/>
          <w:szCs w:val="22"/>
          <w:lang w:val="en-US"/>
        </w:rPr>
      </w:pPr>
      <w:r w:rsidRPr="004D0DAA">
        <w:t>11.1.3.1</w:t>
      </w:r>
      <w:r w:rsidRPr="004D0DAA">
        <w:rPr>
          <w:rFonts w:ascii="Calibri" w:hAnsi="Calibri"/>
          <w:sz w:val="22"/>
          <w:szCs w:val="22"/>
          <w:lang w:val="en-US"/>
        </w:rPr>
        <w:tab/>
      </w:r>
      <w:r w:rsidRPr="004D0DAA">
        <w:t>Generic error labels</w:t>
      </w:r>
      <w:r w:rsidRPr="004D0DAA">
        <w:tab/>
      </w:r>
      <w:r w:rsidRPr="004D0DAA">
        <w:fldChar w:fldCharType="begin" w:fldLock="1"/>
      </w:r>
      <w:r w:rsidRPr="004D0DAA">
        <w:instrText xml:space="preserve"> PAGEREF _Toc516669804 \h </w:instrText>
      </w:r>
      <w:r w:rsidRPr="004D0DAA">
        <w:fldChar w:fldCharType="separate"/>
      </w:r>
      <w:r w:rsidRPr="004D0DAA">
        <w:t>326</w:t>
      </w:r>
      <w:r w:rsidRPr="004D0DAA">
        <w:fldChar w:fldCharType="end"/>
      </w:r>
    </w:p>
    <w:p w14:paraId="2369B835" w14:textId="77777777" w:rsidR="00683705" w:rsidRPr="004D0DAA" w:rsidRDefault="00683705">
      <w:pPr>
        <w:pStyle w:val="TOC4"/>
        <w:rPr>
          <w:rFonts w:ascii="Calibri" w:hAnsi="Calibri"/>
          <w:sz w:val="22"/>
          <w:szCs w:val="22"/>
          <w:lang w:val="en-US"/>
        </w:rPr>
      </w:pPr>
      <w:r w:rsidRPr="004D0DAA">
        <w:t>11.1.3.2</w:t>
      </w:r>
      <w:r w:rsidRPr="004D0DAA">
        <w:rPr>
          <w:rFonts w:ascii="Calibri" w:hAnsi="Calibri"/>
          <w:sz w:val="22"/>
          <w:szCs w:val="22"/>
          <w:lang w:val="en-US"/>
        </w:rPr>
        <w:tab/>
      </w:r>
      <w:r w:rsidRPr="004D0DAA">
        <w:t>'Ignore' error label</w:t>
      </w:r>
      <w:r w:rsidRPr="004D0DAA">
        <w:tab/>
      </w:r>
      <w:r w:rsidRPr="004D0DAA">
        <w:fldChar w:fldCharType="begin" w:fldLock="1"/>
      </w:r>
      <w:r w:rsidRPr="004D0DAA">
        <w:instrText xml:space="preserve"> PAGEREF _Toc516669805 \h </w:instrText>
      </w:r>
      <w:r w:rsidRPr="004D0DAA">
        <w:fldChar w:fldCharType="separate"/>
      </w:r>
      <w:r w:rsidRPr="004D0DAA">
        <w:t>327</w:t>
      </w:r>
      <w:r w:rsidRPr="004D0DAA">
        <w:fldChar w:fldCharType="end"/>
      </w:r>
    </w:p>
    <w:p w14:paraId="29CC989B" w14:textId="77777777" w:rsidR="00683705" w:rsidRPr="004D0DAA" w:rsidRDefault="00683705">
      <w:pPr>
        <w:pStyle w:val="TOC4"/>
        <w:rPr>
          <w:rFonts w:ascii="Calibri" w:hAnsi="Calibri"/>
          <w:sz w:val="22"/>
          <w:szCs w:val="22"/>
          <w:lang w:val="en-US"/>
        </w:rPr>
      </w:pPr>
      <w:r w:rsidRPr="004D0DAA">
        <w:t>11.1.3.3</w:t>
      </w:r>
      <w:r w:rsidRPr="004D0DAA">
        <w:rPr>
          <w:rFonts w:ascii="Calibri" w:hAnsi="Calibri"/>
          <w:sz w:val="22"/>
          <w:szCs w:val="22"/>
          <w:lang w:val="en-US"/>
        </w:rPr>
        <w:tab/>
      </w:r>
      <w:r w:rsidRPr="004D0DAA">
        <w:t>'Message escape' error label</w:t>
      </w:r>
      <w:r w:rsidRPr="004D0DAA">
        <w:tab/>
      </w:r>
      <w:r w:rsidRPr="004D0DAA">
        <w:fldChar w:fldCharType="begin" w:fldLock="1"/>
      </w:r>
      <w:r w:rsidRPr="004D0DAA">
        <w:instrText xml:space="preserve"> PAGEREF _Toc516669806 \h </w:instrText>
      </w:r>
      <w:r w:rsidRPr="004D0DAA">
        <w:fldChar w:fldCharType="separate"/>
      </w:r>
      <w:r w:rsidRPr="004D0DAA">
        <w:t>327</w:t>
      </w:r>
      <w:r w:rsidRPr="004D0DAA">
        <w:fldChar w:fldCharType="end"/>
      </w:r>
    </w:p>
    <w:p w14:paraId="2907337F" w14:textId="77777777" w:rsidR="00683705" w:rsidRPr="004D0DAA" w:rsidRDefault="00683705">
      <w:pPr>
        <w:pStyle w:val="TOC3"/>
        <w:rPr>
          <w:rFonts w:ascii="Calibri" w:hAnsi="Calibri"/>
          <w:sz w:val="22"/>
          <w:szCs w:val="22"/>
          <w:lang w:val="en-US"/>
        </w:rPr>
      </w:pPr>
      <w:r w:rsidRPr="004D0DAA">
        <w:t>11.1.4</w:t>
      </w:r>
      <w:r w:rsidRPr="004D0DAA">
        <w:rPr>
          <w:rFonts w:ascii="Calibri" w:hAnsi="Calibri"/>
          <w:sz w:val="22"/>
          <w:szCs w:val="22"/>
          <w:lang w:val="en-US"/>
        </w:rPr>
        <w:tab/>
      </w:r>
      <w:r w:rsidRPr="004D0DAA">
        <w:t>Error detection and order of precedence</w:t>
      </w:r>
      <w:r w:rsidRPr="004D0DAA">
        <w:tab/>
      </w:r>
      <w:r w:rsidRPr="004D0DAA">
        <w:fldChar w:fldCharType="begin" w:fldLock="1"/>
      </w:r>
      <w:r w:rsidRPr="004D0DAA">
        <w:instrText xml:space="preserve"> PAGEREF _Toc516669807 \h </w:instrText>
      </w:r>
      <w:r w:rsidRPr="004D0DAA">
        <w:fldChar w:fldCharType="separate"/>
      </w:r>
      <w:r w:rsidRPr="004D0DAA">
        <w:t>327</w:t>
      </w:r>
      <w:r w:rsidRPr="004D0DAA">
        <w:fldChar w:fldCharType="end"/>
      </w:r>
    </w:p>
    <w:p w14:paraId="144F6A07" w14:textId="77777777" w:rsidR="00683705" w:rsidRPr="004D0DAA" w:rsidRDefault="00683705">
      <w:pPr>
        <w:pStyle w:val="TOC4"/>
        <w:rPr>
          <w:rFonts w:ascii="Calibri" w:hAnsi="Calibri"/>
          <w:sz w:val="22"/>
          <w:szCs w:val="22"/>
          <w:lang w:val="en-US"/>
        </w:rPr>
      </w:pPr>
      <w:r w:rsidRPr="004D0DAA">
        <w:t>11.1.4.1</w:t>
      </w:r>
      <w:r w:rsidRPr="004D0DAA">
        <w:rPr>
          <w:rFonts w:ascii="Calibri" w:hAnsi="Calibri"/>
          <w:sz w:val="22"/>
          <w:szCs w:val="22"/>
          <w:lang w:val="en-US"/>
        </w:rPr>
        <w:tab/>
      </w:r>
      <w:r w:rsidRPr="004D0DAA">
        <w:t>Unknown message type</w:t>
      </w:r>
      <w:r w:rsidRPr="004D0DAA">
        <w:tab/>
      </w:r>
      <w:r w:rsidRPr="004D0DAA">
        <w:fldChar w:fldCharType="begin" w:fldLock="1"/>
      </w:r>
      <w:r w:rsidRPr="004D0DAA">
        <w:instrText xml:space="preserve"> PAGEREF _Toc516669808 \h </w:instrText>
      </w:r>
      <w:r w:rsidRPr="004D0DAA">
        <w:fldChar w:fldCharType="separate"/>
      </w:r>
      <w:r w:rsidRPr="004D0DAA">
        <w:t>327</w:t>
      </w:r>
      <w:r w:rsidRPr="004D0DAA">
        <w:fldChar w:fldCharType="end"/>
      </w:r>
    </w:p>
    <w:p w14:paraId="45A34EAE" w14:textId="77777777" w:rsidR="00683705" w:rsidRPr="004D0DAA" w:rsidRDefault="00683705">
      <w:pPr>
        <w:pStyle w:val="TOC4"/>
        <w:rPr>
          <w:rFonts w:ascii="Calibri" w:hAnsi="Calibri"/>
          <w:sz w:val="22"/>
          <w:szCs w:val="22"/>
          <w:lang w:val="en-US"/>
        </w:rPr>
      </w:pPr>
      <w:r w:rsidRPr="004D0DAA">
        <w:t>11.1.4.2</w:t>
      </w:r>
      <w:r w:rsidRPr="004D0DAA">
        <w:rPr>
          <w:rFonts w:ascii="Calibri" w:hAnsi="Calibri"/>
          <w:sz w:val="22"/>
          <w:szCs w:val="22"/>
          <w:lang w:val="en-US"/>
        </w:rPr>
        <w:tab/>
      </w:r>
      <w:r w:rsidRPr="004D0DAA">
        <w:t>Message not compatible with current protocol state</w:t>
      </w:r>
      <w:r w:rsidRPr="004D0DAA">
        <w:tab/>
      </w:r>
      <w:r w:rsidRPr="004D0DAA">
        <w:fldChar w:fldCharType="begin" w:fldLock="1"/>
      </w:r>
      <w:r w:rsidRPr="004D0DAA">
        <w:instrText xml:space="preserve"> PAGEREF _Toc516669809 \h </w:instrText>
      </w:r>
      <w:r w:rsidRPr="004D0DAA">
        <w:fldChar w:fldCharType="separate"/>
      </w:r>
      <w:r w:rsidRPr="004D0DAA">
        <w:t>328</w:t>
      </w:r>
      <w:r w:rsidRPr="004D0DAA">
        <w:fldChar w:fldCharType="end"/>
      </w:r>
    </w:p>
    <w:p w14:paraId="250E55A2" w14:textId="77777777" w:rsidR="00683705" w:rsidRPr="004D0DAA" w:rsidRDefault="00683705">
      <w:pPr>
        <w:pStyle w:val="TOC4"/>
        <w:rPr>
          <w:rFonts w:ascii="Calibri" w:hAnsi="Calibri"/>
          <w:sz w:val="22"/>
          <w:szCs w:val="22"/>
          <w:lang w:val="en-US"/>
        </w:rPr>
      </w:pPr>
      <w:r w:rsidRPr="004D0DAA">
        <w:t>11.1.4.3</w:t>
      </w:r>
      <w:r w:rsidRPr="004D0DAA">
        <w:rPr>
          <w:rFonts w:ascii="Calibri" w:hAnsi="Calibri"/>
          <w:sz w:val="22"/>
          <w:szCs w:val="22"/>
          <w:lang w:val="en-US"/>
        </w:rPr>
        <w:tab/>
      </w:r>
      <w:r w:rsidRPr="004D0DAA">
        <w:t>Syntactically incorrect message</w:t>
      </w:r>
      <w:r w:rsidRPr="004D0DAA">
        <w:tab/>
      </w:r>
      <w:r w:rsidRPr="004D0DAA">
        <w:fldChar w:fldCharType="begin" w:fldLock="1"/>
      </w:r>
      <w:r w:rsidRPr="004D0DAA">
        <w:instrText xml:space="preserve"> PAGEREF _Toc516669810 \h </w:instrText>
      </w:r>
      <w:r w:rsidRPr="004D0DAA">
        <w:fldChar w:fldCharType="separate"/>
      </w:r>
      <w:r w:rsidRPr="004D0DAA">
        <w:t>328</w:t>
      </w:r>
      <w:r w:rsidRPr="004D0DAA">
        <w:fldChar w:fldCharType="end"/>
      </w:r>
    </w:p>
    <w:p w14:paraId="31F7FB53" w14:textId="77777777" w:rsidR="00683705" w:rsidRPr="004D0DAA" w:rsidRDefault="00683705">
      <w:pPr>
        <w:pStyle w:val="TOC5"/>
        <w:rPr>
          <w:rFonts w:ascii="Calibri" w:hAnsi="Calibri"/>
          <w:sz w:val="22"/>
          <w:szCs w:val="22"/>
          <w:lang w:val="en-US"/>
        </w:rPr>
      </w:pPr>
      <w:r w:rsidRPr="004D0DAA">
        <w:t>11.1.4.3.1</w:t>
      </w:r>
      <w:r w:rsidRPr="004D0DAA">
        <w:rPr>
          <w:rFonts w:ascii="Calibri" w:hAnsi="Calibri"/>
          <w:sz w:val="22"/>
          <w:szCs w:val="22"/>
          <w:lang w:val="en-US"/>
        </w:rPr>
        <w:tab/>
      </w:r>
      <w:r w:rsidRPr="004D0DAA">
        <w:t>Messages with error label: 'Distribution part error'</w:t>
      </w:r>
      <w:r w:rsidRPr="004D0DAA">
        <w:tab/>
      </w:r>
      <w:r w:rsidRPr="004D0DAA">
        <w:fldChar w:fldCharType="begin" w:fldLock="1"/>
      </w:r>
      <w:r w:rsidRPr="004D0DAA">
        <w:instrText xml:space="preserve"> PAGEREF _Toc516669811 \h </w:instrText>
      </w:r>
      <w:r w:rsidRPr="004D0DAA">
        <w:fldChar w:fldCharType="separate"/>
      </w:r>
      <w:r w:rsidRPr="004D0DAA">
        <w:t>328</w:t>
      </w:r>
      <w:r w:rsidRPr="004D0DAA">
        <w:fldChar w:fldCharType="end"/>
      </w:r>
    </w:p>
    <w:p w14:paraId="11715FF8" w14:textId="77777777" w:rsidR="00683705" w:rsidRPr="004D0DAA" w:rsidRDefault="00683705">
      <w:pPr>
        <w:pStyle w:val="TOC5"/>
        <w:rPr>
          <w:rFonts w:ascii="Calibri" w:hAnsi="Calibri"/>
          <w:sz w:val="22"/>
          <w:szCs w:val="22"/>
          <w:lang w:val="en-US"/>
        </w:rPr>
      </w:pPr>
      <w:r w:rsidRPr="004D0DAA">
        <w:t>11.1.4.3.2</w:t>
      </w:r>
      <w:r w:rsidRPr="004D0DAA">
        <w:rPr>
          <w:rFonts w:ascii="Calibri" w:hAnsi="Calibri"/>
          <w:sz w:val="22"/>
          <w:szCs w:val="22"/>
          <w:lang w:val="en-US"/>
        </w:rPr>
        <w:tab/>
      </w:r>
      <w:r w:rsidRPr="004D0DAA">
        <w:t>Messages with error label: 'Address information part error'</w:t>
      </w:r>
      <w:r w:rsidRPr="004D0DAA">
        <w:tab/>
      </w:r>
      <w:r w:rsidRPr="004D0DAA">
        <w:fldChar w:fldCharType="begin" w:fldLock="1"/>
      </w:r>
      <w:r w:rsidRPr="004D0DAA">
        <w:instrText xml:space="preserve"> PAGEREF _Toc516669812 \h </w:instrText>
      </w:r>
      <w:r w:rsidRPr="004D0DAA">
        <w:fldChar w:fldCharType="separate"/>
      </w:r>
      <w:r w:rsidRPr="004D0DAA">
        <w:t>328</w:t>
      </w:r>
      <w:r w:rsidRPr="004D0DAA">
        <w:fldChar w:fldCharType="end"/>
      </w:r>
    </w:p>
    <w:p w14:paraId="457B6524" w14:textId="77777777" w:rsidR="00683705" w:rsidRPr="004D0DAA" w:rsidRDefault="00683705">
      <w:pPr>
        <w:pStyle w:val="TOC5"/>
        <w:rPr>
          <w:rFonts w:ascii="Calibri" w:hAnsi="Calibri"/>
          <w:sz w:val="22"/>
          <w:szCs w:val="22"/>
          <w:lang w:val="en-US"/>
        </w:rPr>
      </w:pPr>
      <w:r w:rsidRPr="004D0DAA">
        <w:t>11.1.4.3.3</w:t>
      </w:r>
      <w:r w:rsidRPr="004D0DAA">
        <w:rPr>
          <w:rFonts w:ascii="Calibri" w:hAnsi="Calibri"/>
          <w:sz w:val="22"/>
          <w:szCs w:val="22"/>
          <w:lang w:val="en-US"/>
        </w:rPr>
        <w:tab/>
      </w:r>
      <w:r w:rsidRPr="004D0DAA">
        <w:t>Messages with error label: 'Non-distribution part error'</w:t>
      </w:r>
      <w:r w:rsidRPr="004D0DAA">
        <w:tab/>
      </w:r>
      <w:r w:rsidRPr="004D0DAA">
        <w:fldChar w:fldCharType="begin" w:fldLock="1"/>
      </w:r>
      <w:r w:rsidRPr="004D0DAA">
        <w:instrText xml:space="preserve"> PAGEREF _Toc516669813 \h </w:instrText>
      </w:r>
      <w:r w:rsidRPr="004D0DAA">
        <w:fldChar w:fldCharType="separate"/>
      </w:r>
      <w:r w:rsidRPr="004D0DAA">
        <w:t>328</w:t>
      </w:r>
      <w:r w:rsidRPr="004D0DAA">
        <w:fldChar w:fldCharType="end"/>
      </w:r>
    </w:p>
    <w:p w14:paraId="29E3EAD3" w14:textId="77777777" w:rsidR="00683705" w:rsidRPr="004D0DAA" w:rsidRDefault="00683705">
      <w:pPr>
        <w:pStyle w:val="TOC5"/>
        <w:rPr>
          <w:rFonts w:ascii="Calibri" w:hAnsi="Calibri"/>
          <w:sz w:val="22"/>
          <w:szCs w:val="22"/>
          <w:lang w:val="en-US"/>
        </w:rPr>
      </w:pPr>
      <w:r w:rsidRPr="004D0DAA">
        <w:t>11.1.4.3.4</w:t>
      </w:r>
      <w:r w:rsidRPr="004D0DAA">
        <w:rPr>
          <w:rFonts w:ascii="Calibri" w:hAnsi="Calibri"/>
          <w:sz w:val="22"/>
          <w:szCs w:val="22"/>
          <w:lang w:val="en-US"/>
        </w:rPr>
        <w:tab/>
      </w:r>
      <w:r w:rsidRPr="004D0DAA">
        <w:t>Messages with error label: 'Message escape'</w:t>
      </w:r>
      <w:r w:rsidRPr="004D0DAA">
        <w:tab/>
      </w:r>
      <w:r w:rsidRPr="004D0DAA">
        <w:fldChar w:fldCharType="begin" w:fldLock="1"/>
      </w:r>
      <w:r w:rsidRPr="004D0DAA">
        <w:instrText xml:space="preserve"> PAGEREF _Toc516669814 \h </w:instrText>
      </w:r>
      <w:r w:rsidRPr="004D0DAA">
        <w:fldChar w:fldCharType="separate"/>
      </w:r>
      <w:r w:rsidRPr="004D0DAA">
        <w:t>328</w:t>
      </w:r>
      <w:r w:rsidRPr="004D0DAA">
        <w:fldChar w:fldCharType="end"/>
      </w:r>
    </w:p>
    <w:p w14:paraId="27B464D7" w14:textId="77777777" w:rsidR="00683705" w:rsidRPr="004D0DAA" w:rsidRDefault="00683705">
      <w:pPr>
        <w:pStyle w:val="TOC5"/>
        <w:rPr>
          <w:rFonts w:ascii="Calibri" w:hAnsi="Calibri"/>
          <w:sz w:val="22"/>
          <w:szCs w:val="22"/>
          <w:lang w:val="en-US"/>
        </w:rPr>
      </w:pPr>
      <w:r w:rsidRPr="004D0DAA">
        <w:t>11.1.4.3.5</w:t>
      </w:r>
      <w:r w:rsidRPr="004D0DAA">
        <w:rPr>
          <w:rFonts w:ascii="Calibri" w:hAnsi="Calibri"/>
          <w:sz w:val="22"/>
          <w:szCs w:val="22"/>
          <w:lang w:val="en-US"/>
        </w:rPr>
        <w:tab/>
      </w:r>
      <w:r w:rsidRPr="004D0DAA">
        <w:t>Messages with error label: 'Ignore'</w:t>
      </w:r>
      <w:r w:rsidRPr="004D0DAA">
        <w:tab/>
      </w:r>
      <w:r w:rsidRPr="004D0DAA">
        <w:fldChar w:fldCharType="begin" w:fldLock="1"/>
      </w:r>
      <w:r w:rsidRPr="004D0DAA">
        <w:instrText xml:space="preserve"> PAGEREF _Toc516669815 \h </w:instrText>
      </w:r>
      <w:r w:rsidRPr="004D0DAA">
        <w:fldChar w:fldCharType="separate"/>
      </w:r>
      <w:r w:rsidRPr="004D0DAA">
        <w:t>329</w:t>
      </w:r>
      <w:r w:rsidRPr="004D0DAA">
        <w:fldChar w:fldCharType="end"/>
      </w:r>
    </w:p>
    <w:p w14:paraId="4E8D4AD2" w14:textId="77777777" w:rsidR="00683705" w:rsidRPr="004D0DAA" w:rsidRDefault="00683705">
      <w:pPr>
        <w:pStyle w:val="TOC5"/>
        <w:rPr>
          <w:rFonts w:ascii="Calibri" w:hAnsi="Calibri"/>
          <w:sz w:val="22"/>
          <w:szCs w:val="22"/>
          <w:lang w:val="en-US"/>
        </w:rPr>
      </w:pPr>
      <w:r w:rsidRPr="004D0DAA">
        <w:t>11.1.4.3.6</w:t>
      </w:r>
      <w:r w:rsidRPr="004D0DAA">
        <w:rPr>
          <w:rFonts w:ascii="Calibri" w:hAnsi="Calibri"/>
          <w:sz w:val="22"/>
          <w:szCs w:val="22"/>
          <w:lang w:val="en-US"/>
        </w:rPr>
        <w:tab/>
      </w:r>
      <w:r w:rsidRPr="004D0DAA">
        <w:t>Messages with error label: "DBPSCH message part error"</w:t>
      </w:r>
      <w:r w:rsidRPr="004D0DAA">
        <w:tab/>
      </w:r>
      <w:r w:rsidRPr="004D0DAA">
        <w:fldChar w:fldCharType="begin" w:fldLock="1"/>
      </w:r>
      <w:r w:rsidRPr="004D0DAA">
        <w:instrText xml:space="preserve"> PAGEREF _Toc516669816 \h </w:instrText>
      </w:r>
      <w:r w:rsidRPr="004D0DAA">
        <w:fldChar w:fldCharType="separate"/>
      </w:r>
      <w:r w:rsidRPr="004D0DAA">
        <w:t>329</w:t>
      </w:r>
      <w:r w:rsidRPr="004D0DAA">
        <w:fldChar w:fldCharType="end"/>
      </w:r>
    </w:p>
    <w:p w14:paraId="1D7C3568" w14:textId="77777777" w:rsidR="00683705" w:rsidRPr="004D0DAA" w:rsidRDefault="00683705">
      <w:pPr>
        <w:pStyle w:val="TOC4"/>
        <w:rPr>
          <w:rFonts w:ascii="Calibri" w:hAnsi="Calibri"/>
          <w:sz w:val="22"/>
          <w:szCs w:val="22"/>
          <w:lang w:val="en-US"/>
        </w:rPr>
      </w:pPr>
      <w:r w:rsidRPr="004D0DAA">
        <w:t>11.1.4.4</w:t>
      </w:r>
      <w:r w:rsidRPr="004D0DAA">
        <w:rPr>
          <w:rFonts w:ascii="Calibri" w:hAnsi="Calibri"/>
          <w:sz w:val="22"/>
          <w:szCs w:val="22"/>
          <w:lang w:val="en-US"/>
        </w:rPr>
        <w:tab/>
      </w:r>
      <w:r w:rsidRPr="004D0DAA">
        <w:t>Syntactic error in truncated concatenation</w:t>
      </w:r>
      <w:r w:rsidRPr="004D0DAA">
        <w:tab/>
      </w:r>
      <w:r w:rsidRPr="004D0DAA">
        <w:fldChar w:fldCharType="begin" w:fldLock="1"/>
      </w:r>
      <w:r w:rsidRPr="004D0DAA">
        <w:instrText xml:space="preserve"> PAGEREF _Toc516669817 \h </w:instrText>
      </w:r>
      <w:r w:rsidRPr="004D0DAA">
        <w:fldChar w:fldCharType="separate"/>
      </w:r>
      <w:r w:rsidRPr="004D0DAA">
        <w:t>329</w:t>
      </w:r>
      <w:r w:rsidRPr="004D0DAA">
        <w:fldChar w:fldCharType="end"/>
      </w:r>
    </w:p>
    <w:p w14:paraId="41198576" w14:textId="77777777" w:rsidR="00683705" w:rsidRPr="004D0DAA" w:rsidRDefault="00683705">
      <w:pPr>
        <w:pStyle w:val="TOC4"/>
        <w:rPr>
          <w:rFonts w:ascii="Calibri" w:hAnsi="Calibri"/>
          <w:sz w:val="22"/>
          <w:szCs w:val="22"/>
          <w:lang w:val="en-US"/>
        </w:rPr>
      </w:pPr>
      <w:r w:rsidRPr="004D0DAA">
        <w:t>11.1.4.5</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_Toc516669818 \h </w:instrText>
      </w:r>
      <w:r w:rsidRPr="004D0DAA">
        <w:fldChar w:fldCharType="separate"/>
      </w:r>
      <w:r w:rsidRPr="004D0DAA">
        <w:t>330</w:t>
      </w:r>
      <w:r w:rsidRPr="004D0DAA">
        <w:fldChar w:fldCharType="end"/>
      </w:r>
    </w:p>
    <w:p w14:paraId="0B21DFEE" w14:textId="77777777" w:rsidR="00683705" w:rsidRPr="004D0DAA" w:rsidRDefault="00683705">
      <w:pPr>
        <w:pStyle w:val="TOC2"/>
        <w:rPr>
          <w:rFonts w:ascii="Calibri" w:hAnsi="Calibri"/>
          <w:sz w:val="22"/>
          <w:szCs w:val="22"/>
          <w:lang w:val="en-US"/>
        </w:rPr>
      </w:pPr>
      <w:r w:rsidRPr="004D0DAA">
        <w:t>11.2</w:t>
      </w:r>
      <w:r w:rsidRPr="004D0DAA">
        <w:rPr>
          <w:rFonts w:ascii="Calibri" w:hAnsi="Calibri"/>
          <w:sz w:val="22"/>
          <w:szCs w:val="22"/>
          <w:lang w:val="en-US"/>
        </w:rPr>
        <w:tab/>
      </w:r>
      <w:r w:rsidRPr="004D0DAA">
        <w:t>RLC/MAC control messages</w:t>
      </w:r>
      <w:r w:rsidRPr="004D0DAA">
        <w:tab/>
      </w:r>
      <w:r w:rsidRPr="004D0DAA">
        <w:fldChar w:fldCharType="begin" w:fldLock="1"/>
      </w:r>
      <w:r w:rsidRPr="004D0DAA">
        <w:instrText xml:space="preserve"> PAGEREF _Toc516669819 \h </w:instrText>
      </w:r>
      <w:r w:rsidRPr="004D0DAA">
        <w:fldChar w:fldCharType="separate"/>
      </w:r>
      <w:r w:rsidRPr="004D0DAA">
        <w:t>330</w:t>
      </w:r>
      <w:r w:rsidRPr="004D0DAA">
        <w:fldChar w:fldCharType="end"/>
      </w:r>
    </w:p>
    <w:p w14:paraId="2D985BB1" w14:textId="77777777" w:rsidR="00683705" w:rsidRPr="004D0DAA" w:rsidRDefault="00683705">
      <w:pPr>
        <w:pStyle w:val="TOC3"/>
        <w:rPr>
          <w:rFonts w:ascii="Calibri" w:hAnsi="Calibri"/>
          <w:sz w:val="22"/>
          <w:szCs w:val="22"/>
          <w:lang w:val="en-US"/>
        </w:rPr>
      </w:pPr>
      <w:r w:rsidRPr="004D0DAA">
        <w:t>11.2.0</w:t>
      </w:r>
      <w:r w:rsidRPr="004D0DAA">
        <w:rPr>
          <w:rFonts w:ascii="Calibri" w:hAnsi="Calibri"/>
          <w:sz w:val="22"/>
          <w:szCs w:val="22"/>
          <w:lang w:val="en-US"/>
        </w:rPr>
        <w:tab/>
      </w:r>
      <w:r w:rsidRPr="004D0DAA">
        <w:t>Message format</w:t>
      </w:r>
      <w:r w:rsidRPr="004D0DAA">
        <w:tab/>
      </w:r>
      <w:r w:rsidRPr="004D0DAA">
        <w:fldChar w:fldCharType="begin" w:fldLock="1"/>
      </w:r>
      <w:r w:rsidRPr="004D0DAA">
        <w:instrText xml:space="preserve"> PAGEREF _Toc516669820 \h </w:instrText>
      </w:r>
      <w:r w:rsidRPr="004D0DAA">
        <w:fldChar w:fldCharType="separate"/>
      </w:r>
      <w:r w:rsidRPr="004D0DAA">
        <w:t>331</w:t>
      </w:r>
      <w:r w:rsidRPr="004D0DAA">
        <w:fldChar w:fldCharType="end"/>
      </w:r>
    </w:p>
    <w:p w14:paraId="490271E9" w14:textId="77777777" w:rsidR="00683705" w:rsidRPr="004D0DAA" w:rsidRDefault="00683705">
      <w:pPr>
        <w:pStyle w:val="TOC4"/>
        <w:rPr>
          <w:rFonts w:ascii="Calibri" w:hAnsi="Calibri"/>
          <w:sz w:val="22"/>
          <w:szCs w:val="22"/>
          <w:lang w:val="en-US"/>
        </w:rPr>
      </w:pPr>
      <w:r w:rsidRPr="004D0DAA">
        <w:t>11.2.0.1</w:t>
      </w:r>
      <w:r w:rsidRPr="004D0DAA">
        <w:rPr>
          <w:rFonts w:ascii="Calibri" w:hAnsi="Calibri"/>
          <w:sz w:val="22"/>
          <w:szCs w:val="22"/>
          <w:lang w:val="en-US"/>
        </w:rPr>
        <w:tab/>
      </w:r>
      <w:r w:rsidRPr="004D0DAA">
        <w:t>Downlink RLC/MAC messages</w:t>
      </w:r>
      <w:r w:rsidRPr="004D0DAA">
        <w:tab/>
      </w:r>
      <w:r w:rsidRPr="004D0DAA">
        <w:fldChar w:fldCharType="begin" w:fldLock="1"/>
      </w:r>
      <w:r w:rsidRPr="004D0DAA">
        <w:instrText xml:space="preserve"> PAGEREF _Toc516669821 \h </w:instrText>
      </w:r>
      <w:r w:rsidRPr="004D0DAA">
        <w:fldChar w:fldCharType="separate"/>
      </w:r>
      <w:r w:rsidRPr="004D0DAA">
        <w:t>332</w:t>
      </w:r>
      <w:r w:rsidRPr="004D0DAA">
        <w:fldChar w:fldCharType="end"/>
      </w:r>
    </w:p>
    <w:p w14:paraId="7DD8E4F6" w14:textId="77777777" w:rsidR="00683705" w:rsidRPr="004D0DAA" w:rsidRDefault="00683705">
      <w:pPr>
        <w:pStyle w:val="TOC4"/>
        <w:rPr>
          <w:rFonts w:ascii="Calibri" w:hAnsi="Calibri"/>
          <w:sz w:val="22"/>
          <w:szCs w:val="22"/>
          <w:lang w:val="en-US"/>
        </w:rPr>
      </w:pPr>
      <w:r w:rsidRPr="004D0DAA">
        <w:t>11.2.0.2</w:t>
      </w:r>
      <w:r w:rsidRPr="004D0DAA">
        <w:rPr>
          <w:rFonts w:ascii="Calibri" w:hAnsi="Calibri"/>
          <w:sz w:val="22"/>
          <w:szCs w:val="22"/>
          <w:lang w:val="en-US"/>
        </w:rPr>
        <w:tab/>
      </w:r>
      <w:r w:rsidRPr="004D0DAA">
        <w:t>Uplink RLC/MAC messages</w:t>
      </w:r>
      <w:r w:rsidRPr="004D0DAA">
        <w:tab/>
      </w:r>
      <w:r w:rsidRPr="004D0DAA">
        <w:fldChar w:fldCharType="begin" w:fldLock="1"/>
      </w:r>
      <w:r w:rsidRPr="004D0DAA">
        <w:instrText xml:space="preserve"> PAGEREF _Toc516669822 \h </w:instrText>
      </w:r>
      <w:r w:rsidRPr="004D0DAA">
        <w:fldChar w:fldCharType="separate"/>
      </w:r>
      <w:r w:rsidRPr="004D0DAA">
        <w:t>333</w:t>
      </w:r>
      <w:r w:rsidRPr="004D0DAA">
        <w:fldChar w:fldCharType="end"/>
      </w:r>
    </w:p>
    <w:p w14:paraId="04D4B219" w14:textId="77777777" w:rsidR="00683705" w:rsidRPr="004D0DAA" w:rsidRDefault="00683705">
      <w:pPr>
        <w:pStyle w:val="TOC3"/>
        <w:rPr>
          <w:rFonts w:ascii="Calibri" w:hAnsi="Calibri"/>
          <w:sz w:val="22"/>
          <w:szCs w:val="22"/>
          <w:lang w:val="en-US"/>
        </w:rPr>
      </w:pPr>
      <w:r w:rsidRPr="004D0DAA">
        <w:t>11.2.1</w:t>
      </w:r>
      <w:r w:rsidRPr="004D0DAA">
        <w:rPr>
          <w:rFonts w:ascii="Calibri" w:hAnsi="Calibri"/>
          <w:sz w:val="22"/>
          <w:szCs w:val="22"/>
          <w:lang w:val="en-US"/>
        </w:rPr>
        <w:tab/>
      </w:r>
      <w:r w:rsidRPr="004D0DAA">
        <w:t>Packet Access Reject</w:t>
      </w:r>
      <w:r w:rsidRPr="004D0DAA">
        <w:tab/>
      </w:r>
      <w:r w:rsidRPr="004D0DAA">
        <w:fldChar w:fldCharType="begin" w:fldLock="1"/>
      </w:r>
      <w:r w:rsidRPr="004D0DAA">
        <w:instrText xml:space="preserve"> PAGEREF _Toc516669823 \h </w:instrText>
      </w:r>
      <w:r w:rsidRPr="004D0DAA">
        <w:fldChar w:fldCharType="separate"/>
      </w:r>
      <w:r w:rsidRPr="004D0DAA">
        <w:t>334</w:t>
      </w:r>
      <w:r w:rsidRPr="004D0DAA">
        <w:fldChar w:fldCharType="end"/>
      </w:r>
    </w:p>
    <w:p w14:paraId="6EC11EF4" w14:textId="77777777" w:rsidR="00683705" w:rsidRPr="004D0DAA" w:rsidRDefault="00683705">
      <w:pPr>
        <w:pStyle w:val="TOC3"/>
        <w:rPr>
          <w:rFonts w:ascii="Calibri" w:hAnsi="Calibri"/>
          <w:sz w:val="22"/>
          <w:szCs w:val="22"/>
          <w:lang w:val="en-US"/>
        </w:rPr>
      </w:pPr>
      <w:r w:rsidRPr="004D0DAA">
        <w:t>11.2.2</w:t>
      </w:r>
      <w:r w:rsidRPr="004D0DAA">
        <w:rPr>
          <w:rFonts w:ascii="Calibri" w:hAnsi="Calibri"/>
          <w:sz w:val="22"/>
          <w:szCs w:val="22"/>
          <w:lang w:val="en-US"/>
        </w:rPr>
        <w:tab/>
      </w:r>
      <w:r w:rsidRPr="004D0DAA">
        <w:t>Packet Control Acknowledgement</w:t>
      </w:r>
      <w:r w:rsidRPr="004D0DAA">
        <w:tab/>
      </w:r>
      <w:r w:rsidRPr="004D0DAA">
        <w:fldChar w:fldCharType="begin" w:fldLock="1"/>
      </w:r>
      <w:r w:rsidRPr="004D0DAA">
        <w:instrText xml:space="preserve"> PAGEREF _Toc516669824 \h </w:instrText>
      </w:r>
      <w:r w:rsidRPr="004D0DAA">
        <w:fldChar w:fldCharType="separate"/>
      </w:r>
      <w:r w:rsidRPr="004D0DAA">
        <w:t>336</w:t>
      </w:r>
      <w:r w:rsidRPr="004D0DAA">
        <w:fldChar w:fldCharType="end"/>
      </w:r>
    </w:p>
    <w:p w14:paraId="01CD677D" w14:textId="77777777" w:rsidR="00683705" w:rsidRPr="004D0DAA" w:rsidRDefault="00683705">
      <w:pPr>
        <w:pStyle w:val="TOC3"/>
        <w:rPr>
          <w:rFonts w:ascii="Calibri" w:hAnsi="Calibri"/>
          <w:sz w:val="22"/>
          <w:szCs w:val="22"/>
          <w:lang w:val="en-US"/>
        </w:rPr>
      </w:pPr>
      <w:r w:rsidRPr="004D0DAA">
        <w:t>11.2.2a</w:t>
      </w:r>
      <w:r w:rsidRPr="004D0DAA">
        <w:rPr>
          <w:rFonts w:ascii="Calibri" w:hAnsi="Calibri"/>
          <w:sz w:val="22"/>
          <w:szCs w:val="22"/>
          <w:lang w:val="en-US"/>
        </w:rPr>
        <w:tab/>
      </w:r>
      <w:r w:rsidRPr="004D0DAA">
        <w:t>Packet Cell Change Continue</w:t>
      </w:r>
      <w:r w:rsidRPr="004D0DAA">
        <w:tab/>
      </w:r>
      <w:r w:rsidRPr="004D0DAA">
        <w:fldChar w:fldCharType="begin" w:fldLock="1"/>
      </w:r>
      <w:r w:rsidRPr="004D0DAA">
        <w:instrText xml:space="preserve"> PAGEREF _Toc516669825 \h </w:instrText>
      </w:r>
      <w:r w:rsidRPr="004D0DAA">
        <w:fldChar w:fldCharType="separate"/>
      </w:r>
      <w:r w:rsidRPr="004D0DAA">
        <w:t>338</w:t>
      </w:r>
      <w:r w:rsidRPr="004D0DAA">
        <w:fldChar w:fldCharType="end"/>
      </w:r>
    </w:p>
    <w:p w14:paraId="4007C8CD" w14:textId="77777777" w:rsidR="00683705" w:rsidRPr="004D0DAA" w:rsidRDefault="00683705">
      <w:pPr>
        <w:pStyle w:val="TOC3"/>
        <w:rPr>
          <w:rFonts w:ascii="Calibri" w:hAnsi="Calibri"/>
          <w:sz w:val="22"/>
          <w:szCs w:val="22"/>
          <w:lang w:val="en-US"/>
        </w:rPr>
      </w:pPr>
      <w:r w:rsidRPr="004D0DAA">
        <w:t>11.2.3</w:t>
      </w:r>
      <w:r w:rsidRPr="004D0DAA">
        <w:rPr>
          <w:rFonts w:ascii="Calibri" w:hAnsi="Calibri"/>
          <w:sz w:val="22"/>
          <w:szCs w:val="22"/>
          <w:lang w:val="en-US"/>
        </w:rPr>
        <w:tab/>
      </w:r>
      <w:r w:rsidRPr="004D0DAA">
        <w:t>Packet Cell Change Failure</w:t>
      </w:r>
      <w:r w:rsidRPr="004D0DAA">
        <w:tab/>
      </w:r>
      <w:r w:rsidRPr="004D0DAA">
        <w:fldChar w:fldCharType="begin" w:fldLock="1"/>
      </w:r>
      <w:r w:rsidRPr="004D0DAA">
        <w:instrText xml:space="preserve"> PAGEREF _Toc516669826 \h </w:instrText>
      </w:r>
      <w:r w:rsidRPr="004D0DAA">
        <w:fldChar w:fldCharType="separate"/>
      </w:r>
      <w:r w:rsidRPr="004D0DAA">
        <w:t>339</w:t>
      </w:r>
      <w:r w:rsidRPr="004D0DAA">
        <w:fldChar w:fldCharType="end"/>
      </w:r>
    </w:p>
    <w:p w14:paraId="05AF48A1" w14:textId="77777777" w:rsidR="00683705" w:rsidRPr="004D0DAA" w:rsidRDefault="00683705">
      <w:pPr>
        <w:pStyle w:val="TOC3"/>
        <w:rPr>
          <w:rFonts w:ascii="Calibri" w:hAnsi="Calibri"/>
          <w:sz w:val="22"/>
          <w:szCs w:val="22"/>
          <w:lang w:val="en-US"/>
        </w:rPr>
      </w:pPr>
      <w:r w:rsidRPr="004D0DAA">
        <w:t>11.2.3a</w:t>
      </w:r>
      <w:r w:rsidRPr="004D0DAA">
        <w:rPr>
          <w:rFonts w:ascii="Calibri" w:hAnsi="Calibri"/>
          <w:sz w:val="22"/>
          <w:szCs w:val="22"/>
          <w:lang w:val="en-US"/>
        </w:rPr>
        <w:tab/>
      </w:r>
      <w:r w:rsidRPr="004D0DAA">
        <w:t>Packet Cell Change Notification</w:t>
      </w:r>
      <w:r w:rsidRPr="004D0DAA">
        <w:tab/>
      </w:r>
      <w:r w:rsidRPr="004D0DAA">
        <w:fldChar w:fldCharType="begin" w:fldLock="1"/>
      </w:r>
      <w:r w:rsidRPr="004D0DAA">
        <w:instrText xml:space="preserve"> PAGEREF _Toc516669827 \h </w:instrText>
      </w:r>
      <w:r w:rsidRPr="004D0DAA">
        <w:fldChar w:fldCharType="separate"/>
      </w:r>
      <w:r w:rsidRPr="004D0DAA">
        <w:t>341</w:t>
      </w:r>
      <w:r w:rsidRPr="004D0DAA">
        <w:fldChar w:fldCharType="end"/>
      </w:r>
    </w:p>
    <w:p w14:paraId="3081FF0A" w14:textId="77777777" w:rsidR="00683705" w:rsidRPr="004D0DAA" w:rsidRDefault="00683705">
      <w:pPr>
        <w:pStyle w:val="TOC3"/>
        <w:rPr>
          <w:rFonts w:ascii="Calibri" w:hAnsi="Calibri"/>
          <w:sz w:val="22"/>
          <w:szCs w:val="22"/>
          <w:lang w:val="en-US"/>
        </w:rPr>
      </w:pPr>
      <w:r w:rsidRPr="004D0DAA">
        <w:t>11.2.4</w:t>
      </w:r>
      <w:r w:rsidRPr="004D0DAA">
        <w:rPr>
          <w:rFonts w:ascii="Calibri" w:hAnsi="Calibri"/>
          <w:sz w:val="22"/>
          <w:szCs w:val="22"/>
          <w:lang w:val="en-US"/>
        </w:rPr>
        <w:tab/>
      </w:r>
      <w:r w:rsidRPr="004D0DAA">
        <w:t>Packet Cell Change Order</w:t>
      </w:r>
      <w:r w:rsidRPr="004D0DAA">
        <w:tab/>
      </w:r>
      <w:r w:rsidRPr="004D0DAA">
        <w:fldChar w:fldCharType="begin" w:fldLock="1"/>
      </w:r>
      <w:r w:rsidRPr="004D0DAA">
        <w:instrText xml:space="preserve"> PAGEREF _Toc516669828 \h </w:instrText>
      </w:r>
      <w:r w:rsidRPr="004D0DAA">
        <w:fldChar w:fldCharType="separate"/>
      </w:r>
      <w:r w:rsidRPr="004D0DAA">
        <w:t>345</w:t>
      </w:r>
      <w:r w:rsidRPr="004D0DAA">
        <w:fldChar w:fldCharType="end"/>
      </w:r>
    </w:p>
    <w:p w14:paraId="0621DF1B" w14:textId="77777777" w:rsidR="00683705" w:rsidRPr="004D0DAA" w:rsidRDefault="00683705">
      <w:pPr>
        <w:pStyle w:val="TOC3"/>
        <w:rPr>
          <w:rFonts w:ascii="Calibri" w:hAnsi="Calibri"/>
          <w:sz w:val="22"/>
          <w:szCs w:val="22"/>
          <w:lang w:val="en-US"/>
        </w:rPr>
      </w:pPr>
      <w:r w:rsidRPr="004D0DAA">
        <w:t>11.2.5</w:t>
      </w:r>
      <w:r w:rsidRPr="004D0DAA">
        <w:rPr>
          <w:rFonts w:ascii="Calibri" w:hAnsi="Calibri"/>
          <w:sz w:val="22"/>
          <w:szCs w:val="22"/>
          <w:lang w:val="en-US"/>
        </w:rPr>
        <w:tab/>
      </w:r>
      <w:r w:rsidRPr="004D0DAA">
        <w:t>Packet Channel Request</w:t>
      </w:r>
      <w:r w:rsidRPr="004D0DAA">
        <w:tab/>
      </w:r>
      <w:r w:rsidRPr="004D0DAA">
        <w:fldChar w:fldCharType="begin" w:fldLock="1"/>
      </w:r>
      <w:r w:rsidRPr="004D0DAA">
        <w:instrText xml:space="preserve"> PAGEREF _Toc516669829 \h </w:instrText>
      </w:r>
      <w:r w:rsidRPr="004D0DAA">
        <w:fldChar w:fldCharType="separate"/>
      </w:r>
      <w:r w:rsidRPr="004D0DAA">
        <w:t>353</w:t>
      </w:r>
      <w:r w:rsidRPr="004D0DAA">
        <w:fldChar w:fldCharType="end"/>
      </w:r>
    </w:p>
    <w:p w14:paraId="5C78B253" w14:textId="77777777" w:rsidR="00683705" w:rsidRPr="004D0DAA" w:rsidRDefault="00683705">
      <w:pPr>
        <w:pStyle w:val="TOC3"/>
        <w:rPr>
          <w:rFonts w:ascii="Calibri" w:hAnsi="Calibri"/>
          <w:sz w:val="22"/>
          <w:szCs w:val="22"/>
          <w:lang w:val="en-US"/>
        </w:rPr>
      </w:pPr>
      <w:r w:rsidRPr="004D0DAA">
        <w:t>11.2.5a</w:t>
      </w:r>
      <w:r w:rsidRPr="004D0DAA">
        <w:rPr>
          <w:rFonts w:ascii="Calibri" w:hAnsi="Calibri"/>
          <w:sz w:val="22"/>
          <w:szCs w:val="22"/>
          <w:lang w:val="en-US"/>
        </w:rPr>
        <w:tab/>
      </w:r>
      <w:r w:rsidRPr="004D0DAA">
        <w:t>EGPRS Packet Channel Request</w:t>
      </w:r>
      <w:r w:rsidRPr="004D0DAA">
        <w:tab/>
      </w:r>
      <w:r w:rsidRPr="004D0DAA">
        <w:fldChar w:fldCharType="begin" w:fldLock="1"/>
      </w:r>
      <w:r w:rsidRPr="004D0DAA">
        <w:instrText xml:space="preserve"> PAGEREF _Toc516669830 \h </w:instrText>
      </w:r>
      <w:r w:rsidRPr="004D0DAA">
        <w:fldChar w:fldCharType="separate"/>
      </w:r>
      <w:r w:rsidRPr="004D0DAA">
        <w:t>355</w:t>
      </w:r>
      <w:r w:rsidRPr="004D0DAA">
        <w:fldChar w:fldCharType="end"/>
      </w:r>
    </w:p>
    <w:p w14:paraId="1D5DF7BD" w14:textId="77777777" w:rsidR="00683705" w:rsidRPr="004D0DAA" w:rsidRDefault="00683705">
      <w:pPr>
        <w:pStyle w:val="TOC3"/>
        <w:rPr>
          <w:rFonts w:ascii="Calibri" w:hAnsi="Calibri"/>
          <w:sz w:val="22"/>
          <w:szCs w:val="22"/>
          <w:lang w:val="en-US"/>
        </w:rPr>
      </w:pPr>
      <w:r w:rsidRPr="004D0DAA">
        <w:t>11.2.5b</w:t>
      </w:r>
      <w:r w:rsidRPr="004D0DAA">
        <w:rPr>
          <w:rFonts w:ascii="Calibri" w:hAnsi="Calibri"/>
          <w:sz w:val="22"/>
          <w:szCs w:val="22"/>
          <w:lang w:val="en-US"/>
        </w:rPr>
        <w:tab/>
      </w:r>
      <w:r w:rsidRPr="004D0DAA">
        <w:t>Packet DBPSCH Assignment</w:t>
      </w:r>
      <w:r w:rsidRPr="004D0DAA">
        <w:tab/>
      </w:r>
      <w:r w:rsidRPr="004D0DAA">
        <w:fldChar w:fldCharType="begin" w:fldLock="1"/>
      </w:r>
      <w:r w:rsidRPr="004D0DAA">
        <w:instrText xml:space="preserve"> PAGEREF _Toc516669831 \h </w:instrText>
      </w:r>
      <w:r w:rsidRPr="004D0DAA">
        <w:fldChar w:fldCharType="separate"/>
      </w:r>
      <w:r w:rsidRPr="004D0DAA">
        <w:t>360</w:t>
      </w:r>
      <w:r w:rsidRPr="004D0DAA">
        <w:fldChar w:fldCharType="end"/>
      </w:r>
    </w:p>
    <w:p w14:paraId="38F5E27B" w14:textId="77777777" w:rsidR="00683705" w:rsidRPr="004D0DAA" w:rsidRDefault="00683705">
      <w:pPr>
        <w:pStyle w:val="TOC3"/>
        <w:rPr>
          <w:rFonts w:ascii="Calibri" w:hAnsi="Calibri"/>
          <w:sz w:val="22"/>
          <w:szCs w:val="22"/>
          <w:lang w:val="en-US"/>
        </w:rPr>
      </w:pPr>
      <w:r w:rsidRPr="004D0DAA">
        <w:t>11.2.5c</w:t>
      </w:r>
      <w:r w:rsidRPr="004D0DAA">
        <w:rPr>
          <w:rFonts w:ascii="Calibri" w:hAnsi="Calibri"/>
          <w:sz w:val="22"/>
          <w:szCs w:val="22"/>
          <w:lang w:val="en-US"/>
        </w:rPr>
        <w:tab/>
      </w:r>
      <w:r w:rsidRPr="004D0DAA">
        <w:t>MPRACH Packet Channel Request</w:t>
      </w:r>
      <w:r w:rsidRPr="004D0DAA">
        <w:tab/>
      </w:r>
      <w:r w:rsidRPr="004D0DAA">
        <w:fldChar w:fldCharType="begin" w:fldLock="1"/>
      </w:r>
      <w:r w:rsidRPr="004D0DAA">
        <w:instrText xml:space="preserve"> PAGEREF _Toc516669832 \h </w:instrText>
      </w:r>
      <w:r w:rsidRPr="004D0DAA">
        <w:fldChar w:fldCharType="separate"/>
      </w:r>
      <w:r w:rsidRPr="004D0DAA">
        <w:t>363</w:t>
      </w:r>
      <w:r w:rsidRPr="004D0DAA">
        <w:fldChar w:fldCharType="end"/>
      </w:r>
    </w:p>
    <w:p w14:paraId="4BFE53D6" w14:textId="77777777" w:rsidR="00683705" w:rsidRPr="004D0DAA" w:rsidRDefault="00683705">
      <w:pPr>
        <w:pStyle w:val="TOC3"/>
        <w:rPr>
          <w:rFonts w:ascii="Calibri" w:hAnsi="Calibri"/>
          <w:sz w:val="22"/>
          <w:szCs w:val="22"/>
          <w:lang w:val="en-US"/>
        </w:rPr>
      </w:pPr>
      <w:r w:rsidRPr="004D0DAA">
        <w:t>11.2.6</w:t>
      </w:r>
      <w:r w:rsidRPr="004D0DAA">
        <w:rPr>
          <w:rFonts w:ascii="Calibri" w:hAnsi="Calibri"/>
          <w:sz w:val="22"/>
          <w:szCs w:val="22"/>
          <w:lang w:val="en-US"/>
        </w:rPr>
        <w:tab/>
      </w:r>
      <w:r w:rsidRPr="004D0DAA">
        <w:t>Packet Downlink Ack/Nack</w:t>
      </w:r>
      <w:r w:rsidRPr="004D0DAA">
        <w:tab/>
      </w:r>
      <w:r w:rsidRPr="004D0DAA">
        <w:fldChar w:fldCharType="begin" w:fldLock="1"/>
      </w:r>
      <w:r w:rsidRPr="004D0DAA">
        <w:instrText xml:space="preserve"> PAGEREF _Toc516669833 \h </w:instrText>
      </w:r>
      <w:r w:rsidRPr="004D0DAA">
        <w:fldChar w:fldCharType="separate"/>
      </w:r>
      <w:r w:rsidRPr="004D0DAA">
        <w:t>363</w:t>
      </w:r>
      <w:r w:rsidRPr="004D0DAA">
        <w:fldChar w:fldCharType="end"/>
      </w:r>
    </w:p>
    <w:p w14:paraId="76E319B2" w14:textId="77777777" w:rsidR="00683705" w:rsidRPr="004D0DAA" w:rsidRDefault="00683705">
      <w:pPr>
        <w:pStyle w:val="TOC3"/>
        <w:rPr>
          <w:rFonts w:ascii="Calibri" w:hAnsi="Calibri"/>
          <w:sz w:val="22"/>
          <w:szCs w:val="22"/>
          <w:lang w:val="en-US"/>
        </w:rPr>
      </w:pPr>
      <w:r w:rsidRPr="004D0DAA">
        <w:t>11.2.6a</w:t>
      </w:r>
      <w:r w:rsidRPr="004D0DAA">
        <w:rPr>
          <w:rFonts w:ascii="Calibri" w:hAnsi="Calibri"/>
          <w:sz w:val="22"/>
          <w:szCs w:val="22"/>
          <w:lang w:val="en-US"/>
        </w:rPr>
        <w:tab/>
      </w:r>
      <w:r w:rsidRPr="004D0DAA">
        <w:t>EGPRS Packet Downlink Ack/Nack</w:t>
      </w:r>
      <w:r w:rsidRPr="004D0DAA">
        <w:tab/>
      </w:r>
      <w:r w:rsidRPr="004D0DAA">
        <w:fldChar w:fldCharType="begin" w:fldLock="1"/>
      </w:r>
      <w:r w:rsidRPr="004D0DAA">
        <w:instrText xml:space="preserve"> PAGEREF _Toc516669834 \h </w:instrText>
      </w:r>
      <w:r w:rsidRPr="004D0DAA">
        <w:fldChar w:fldCharType="separate"/>
      </w:r>
      <w:r w:rsidRPr="004D0DAA">
        <w:t>366</w:t>
      </w:r>
      <w:r w:rsidRPr="004D0DAA">
        <w:fldChar w:fldCharType="end"/>
      </w:r>
    </w:p>
    <w:p w14:paraId="015DC385" w14:textId="77777777" w:rsidR="00683705" w:rsidRPr="004D0DAA" w:rsidRDefault="00683705">
      <w:pPr>
        <w:pStyle w:val="TOC3"/>
        <w:rPr>
          <w:rFonts w:ascii="Calibri" w:hAnsi="Calibri"/>
          <w:sz w:val="22"/>
          <w:szCs w:val="22"/>
          <w:lang w:val="en-US"/>
        </w:rPr>
      </w:pPr>
      <w:r w:rsidRPr="004D0DAA">
        <w:t>11.2.6b</w:t>
      </w:r>
      <w:r w:rsidRPr="004D0DAA">
        <w:rPr>
          <w:rFonts w:ascii="Calibri" w:hAnsi="Calibri"/>
          <w:sz w:val="22"/>
          <w:szCs w:val="22"/>
          <w:lang w:val="en-US"/>
        </w:rPr>
        <w:tab/>
      </w:r>
      <w:r w:rsidRPr="004D0DAA">
        <w:t>Packet DBPSCH Downlink Ack/Nack</w:t>
      </w:r>
      <w:r w:rsidRPr="004D0DAA">
        <w:tab/>
      </w:r>
      <w:r w:rsidRPr="004D0DAA">
        <w:fldChar w:fldCharType="begin" w:fldLock="1"/>
      </w:r>
      <w:r w:rsidRPr="004D0DAA">
        <w:instrText xml:space="preserve"> PAGEREF _Toc516669835 \h </w:instrText>
      </w:r>
      <w:r w:rsidRPr="004D0DAA">
        <w:fldChar w:fldCharType="separate"/>
      </w:r>
      <w:r w:rsidRPr="004D0DAA">
        <w:t>368</w:t>
      </w:r>
      <w:r w:rsidRPr="004D0DAA">
        <w:fldChar w:fldCharType="end"/>
      </w:r>
    </w:p>
    <w:p w14:paraId="0522708E" w14:textId="77777777" w:rsidR="00683705" w:rsidRPr="004D0DAA" w:rsidRDefault="00683705">
      <w:pPr>
        <w:pStyle w:val="TOC3"/>
        <w:rPr>
          <w:rFonts w:ascii="Calibri" w:hAnsi="Calibri"/>
          <w:sz w:val="22"/>
          <w:szCs w:val="22"/>
          <w:lang w:val="en-US"/>
        </w:rPr>
      </w:pPr>
      <w:r w:rsidRPr="004D0DAA">
        <w:t>11.2.6c</w:t>
      </w:r>
      <w:r w:rsidRPr="004D0DAA">
        <w:rPr>
          <w:rFonts w:ascii="Calibri" w:hAnsi="Calibri"/>
          <w:sz w:val="22"/>
          <w:szCs w:val="22"/>
          <w:lang w:val="en-US"/>
        </w:rPr>
        <w:tab/>
      </w:r>
      <w:r w:rsidRPr="004D0DAA">
        <w:t>Packet DBPSCH Downlink Ack/Nack Type 2</w:t>
      </w:r>
      <w:r w:rsidRPr="004D0DAA">
        <w:tab/>
      </w:r>
      <w:r w:rsidRPr="004D0DAA">
        <w:fldChar w:fldCharType="begin" w:fldLock="1"/>
      </w:r>
      <w:r w:rsidRPr="004D0DAA">
        <w:instrText xml:space="preserve"> PAGEREF _Toc516669836 \h </w:instrText>
      </w:r>
      <w:r w:rsidRPr="004D0DAA">
        <w:fldChar w:fldCharType="separate"/>
      </w:r>
      <w:r w:rsidRPr="004D0DAA">
        <w:t>369</w:t>
      </w:r>
      <w:r w:rsidRPr="004D0DAA">
        <w:fldChar w:fldCharType="end"/>
      </w:r>
    </w:p>
    <w:p w14:paraId="1544A3A6" w14:textId="77777777" w:rsidR="00683705" w:rsidRPr="004D0DAA" w:rsidRDefault="00683705">
      <w:pPr>
        <w:pStyle w:val="TOC3"/>
        <w:rPr>
          <w:rFonts w:ascii="Calibri" w:hAnsi="Calibri"/>
          <w:sz w:val="22"/>
          <w:szCs w:val="22"/>
          <w:lang w:val="en-US"/>
        </w:rPr>
      </w:pPr>
      <w:r w:rsidRPr="004D0DAA">
        <w:t>11.2.6d</w:t>
      </w:r>
      <w:r w:rsidRPr="004D0DAA">
        <w:rPr>
          <w:rFonts w:ascii="Calibri" w:hAnsi="Calibri"/>
          <w:sz w:val="22"/>
          <w:szCs w:val="22"/>
          <w:lang w:val="en-US"/>
        </w:rPr>
        <w:tab/>
      </w:r>
      <w:r w:rsidRPr="004D0DAA">
        <w:t>MBMS Downlink Ack/Nack</w:t>
      </w:r>
      <w:r w:rsidRPr="004D0DAA">
        <w:tab/>
      </w:r>
      <w:r w:rsidRPr="004D0DAA">
        <w:fldChar w:fldCharType="begin" w:fldLock="1"/>
      </w:r>
      <w:r w:rsidRPr="004D0DAA">
        <w:instrText xml:space="preserve"> PAGEREF _Toc516669837 \h </w:instrText>
      </w:r>
      <w:r w:rsidRPr="004D0DAA">
        <w:fldChar w:fldCharType="separate"/>
      </w:r>
      <w:r w:rsidRPr="004D0DAA">
        <w:t>370</w:t>
      </w:r>
      <w:r w:rsidRPr="004D0DAA">
        <w:fldChar w:fldCharType="end"/>
      </w:r>
    </w:p>
    <w:p w14:paraId="0546CECA" w14:textId="77777777" w:rsidR="00683705" w:rsidRPr="004D0DAA" w:rsidRDefault="00683705">
      <w:pPr>
        <w:pStyle w:val="TOC3"/>
        <w:rPr>
          <w:rFonts w:ascii="Calibri" w:hAnsi="Calibri"/>
          <w:sz w:val="22"/>
          <w:szCs w:val="22"/>
          <w:lang w:val="en-US"/>
        </w:rPr>
      </w:pPr>
      <w:r w:rsidRPr="004D0DAA">
        <w:t>11.2.6e</w:t>
      </w:r>
      <w:r w:rsidRPr="004D0DAA">
        <w:rPr>
          <w:rFonts w:ascii="Calibri" w:hAnsi="Calibri"/>
          <w:sz w:val="22"/>
          <w:szCs w:val="22"/>
          <w:lang w:val="en-US"/>
        </w:rPr>
        <w:tab/>
      </w:r>
      <w:r w:rsidRPr="004D0DAA">
        <w:t>EGPRS Packet Downlink Ack/Nack Type 2</w:t>
      </w:r>
      <w:r w:rsidRPr="004D0DAA">
        <w:tab/>
      </w:r>
      <w:r w:rsidRPr="004D0DAA">
        <w:fldChar w:fldCharType="begin" w:fldLock="1"/>
      </w:r>
      <w:r w:rsidRPr="004D0DAA">
        <w:instrText xml:space="preserve"> PAGEREF _Toc516669838 \h </w:instrText>
      </w:r>
      <w:r w:rsidRPr="004D0DAA">
        <w:fldChar w:fldCharType="separate"/>
      </w:r>
      <w:r w:rsidRPr="004D0DAA">
        <w:t>373</w:t>
      </w:r>
      <w:r w:rsidRPr="004D0DAA">
        <w:fldChar w:fldCharType="end"/>
      </w:r>
    </w:p>
    <w:p w14:paraId="0877C76D" w14:textId="77777777" w:rsidR="00683705" w:rsidRPr="004D0DAA" w:rsidRDefault="00683705">
      <w:pPr>
        <w:pStyle w:val="TOC3"/>
        <w:rPr>
          <w:rFonts w:ascii="Calibri" w:hAnsi="Calibri"/>
          <w:sz w:val="22"/>
          <w:szCs w:val="22"/>
          <w:lang w:val="en-US"/>
        </w:rPr>
      </w:pPr>
      <w:r w:rsidRPr="004D0DAA">
        <w:t>11.2.6f</w:t>
      </w:r>
      <w:r w:rsidRPr="004D0DAA">
        <w:rPr>
          <w:rFonts w:ascii="Calibri" w:hAnsi="Calibri"/>
          <w:sz w:val="22"/>
          <w:szCs w:val="22"/>
          <w:lang w:val="en-US"/>
        </w:rPr>
        <w:tab/>
      </w:r>
      <w:r w:rsidRPr="004D0DAA">
        <w:t>EGPRS Packet Downlink Ack/Nack Type 3</w:t>
      </w:r>
      <w:r w:rsidRPr="004D0DAA">
        <w:tab/>
      </w:r>
      <w:r w:rsidRPr="004D0DAA">
        <w:fldChar w:fldCharType="begin" w:fldLock="1"/>
      </w:r>
      <w:r w:rsidRPr="004D0DAA">
        <w:instrText xml:space="preserve"> PAGEREF _Toc516669839 \h </w:instrText>
      </w:r>
      <w:r w:rsidRPr="004D0DAA">
        <w:fldChar w:fldCharType="separate"/>
      </w:r>
      <w:r w:rsidRPr="004D0DAA">
        <w:t>374</w:t>
      </w:r>
      <w:r w:rsidRPr="004D0DAA">
        <w:fldChar w:fldCharType="end"/>
      </w:r>
    </w:p>
    <w:p w14:paraId="762A546D" w14:textId="77777777" w:rsidR="00683705" w:rsidRPr="004D0DAA" w:rsidRDefault="00683705">
      <w:pPr>
        <w:pStyle w:val="TOC3"/>
        <w:rPr>
          <w:rFonts w:ascii="Calibri" w:hAnsi="Calibri"/>
          <w:sz w:val="22"/>
          <w:szCs w:val="22"/>
          <w:lang w:val="en-US"/>
        </w:rPr>
      </w:pPr>
      <w:r w:rsidRPr="004D0DAA">
        <w:t>11.2.7</w:t>
      </w:r>
      <w:r w:rsidRPr="004D0DAA">
        <w:rPr>
          <w:rFonts w:ascii="Calibri" w:hAnsi="Calibri"/>
          <w:sz w:val="22"/>
          <w:szCs w:val="22"/>
          <w:lang w:val="en-US"/>
        </w:rPr>
        <w:tab/>
      </w:r>
      <w:r w:rsidRPr="004D0DAA">
        <w:t>Packet Downlink Assignment</w:t>
      </w:r>
      <w:r w:rsidRPr="004D0DAA">
        <w:tab/>
      </w:r>
      <w:r w:rsidRPr="004D0DAA">
        <w:fldChar w:fldCharType="begin" w:fldLock="1"/>
      </w:r>
      <w:r w:rsidRPr="004D0DAA">
        <w:instrText xml:space="preserve"> PAGEREF _Toc516669840 \h </w:instrText>
      </w:r>
      <w:r w:rsidRPr="004D0DAA">
        <w:fldChar w:fldCharType="separate"/>
      </w:r>
      <w:r w:rsidRPr="004D0DAA">
        <w:t>376</w:t>
      </w:r>
      <w:r w:rsidRPr="004D0DAA">
        <w:fldChar w:fldCharType="end"/>
      </w:r>
    </w:p>
    <w:p w14:paraId="50F5D5F6" w14:textId="77777777" w:rsidR="00683705" w:rsidRPr="004D0DAA" w:rsidRDefault="00683705">
      <w:pPr>
        <w:pStyle w:val="TOC4"/>
        <w:rPr>
          <w:rFonts w:ascii="Calibri" w:hAnsi="Calibri"/>
          <w:sz w:val="22"/>
          <w:szCs w:val="22"/>
          <w:lang w:val="en-US"/>
        </w:rPr>
      </w:pPr>
      <w:r w:rsidRPr="004D0DAA">
        <w:t>11.2.7.1</w:t>
      </w:r>
      <w:r w:rsidRPr="004D0DAA">
        <w:rPr>
          <w:rFonts w:ascii="Calibri" w:hAnsi="Calibri"/>
          <w:sz w:val="22"/>
          <w:szCs w:val="22"/>
          <w:lang w:val="en-US"/>
        </w:rPr>
        <w:tab/>
      </w:r>
      <w:r w:rsidRPr="004D0DAA">
        <w:t>Special requirements in dual transfer mode for downlink TBF</w:t>
      </w:r>
      <w:r w:rsidRPr="004D0DAA">
        <w:tab/>
      </w:r>
      <w:r w:rsidRPr="004D0DAA">
        <w:fldChar w:fldCharType="begin" w:fldLock="1"/>
      </w:r>
      <w:r w:rsidRPr="004D0DAA">
        <w:instrText xml:space="preserve"> PAGEREF _Toc516669841 \h </w:instrText>
      </w:r>
      <w:r w:rsidRPr="004D0DAA">
        <w:fldChar w:fldCharType="separate"/>
      </w:r>
      <w:r w:rsidRPr="004D0DAA">
        <w:t>388</w:t>
      </w:r>
      <w:r w:rsidRPr="004D0DAA">
        <w:fldChar w:fldCharType="end"/>
      </w:r>
    </w:p>
    <w:p w14:paraId="021E0DDF" w14:textId="77777777" w:rsidR="00683705" w:rsidRPr="004D0DAA" w:rsidRDefault="00683705">
      <w:pPr>
        <w:pStyle w:val="TOC3"/>
        <w:rPr>
          <w:rFonts w:ascii="Calibri" w:hAnsi="Calibri"/>
          <w:sz w:val="22"/>
          <w:szCs w:val="22"/>
          <w:lang w:val="en-US"/>
        </w:rPr>
      </w:pPr>
      <w:r w:rsidRPr="004D0DAA">
        <w:t>11.2.7a</w:t>
      </w:r>
      <w:r w:rsidRPr="004D0DAA">
        <w:rPr>
          <w:rFonts w:ascii="Calibri" w:hAnsi="Calibri"/>
          <w:sz w:val="22"/>
          <w:szCs w:val="22"/>
          <w:lang w:val="en-US"/>
        </w:rPr>
        <w:tab/>
      </w:r>
      <w:r w:rsidRPr="004D0DAA">
        <w:t>Multiple TBF Downlink Assignment</w:t>
      </w:r>
      <w:r w:rsidRPr="004D0DAA">
        <w:tab/>
      </w:r>
      <w:r w:rsidRPr="004D0DAA">
        <w:fldChar w:fldCharType="begin" w:fldLock="1"/>
      </w:r>
      <w:r w:rsidRPr="004D0DAA">
        <w:instrText xml:space="preserve"> PAGEREF _Toc516669842 \h </w:instrText>
      </w:r>
      <w:r w:rsidRPr="004D0DAA">
        <w:fldChar w:fldCharType="separate"/>
      </w:r>
      <w:r w:rsidRPr="004D0DAA">
        <w:t>389</w:t>
      </w:r>
      <w:r w:rsidRPr="004D0DAA">
        <w:fldChar w:fldCharType="end"/>
      </w:r>
    </w:p>
    <w:p w14:paraId="5606CCC6" w14:textId="77777777" w:rsidR="00683705" w:rsidRPr="004D0DAA" w:rsidRDefault="00683705">
      <w:pPr>
        <w:pStyle w:val="TOC3"/>
        <w:rPr>
          <w:rFonts w:ascii="Calibri" w:hAnsi="Calibri"/>
          <w:sz w:val="22"/>
          <w:szCs w:val="22"/>
          <w:lang w:val="en-US"/>
        </w:rPr>
      </w:pPr>
      <w:r w:rsidRPr="004D0DAA">
        <w:t>11.2.8</w:t>
      </w:r>
      <w:r w:rsidRPr="004D0DAA">
        <w:rPr>
          <w:rFonts w:ascii="Calibri" w:hAnsi="Calibri"/>
          <w:sz w:val="22"/>
          <w:szCs w:val="22"/>
          <w:lang w:val="en-US"/>
        </w:rPr>
        <w:tab/>
      </w:r>
      <w:r w:rsidRPr="004D0DAA">
        <w:t>Packet Downlink Dummy Control Block</w:t>
      </w:r>
      <w:r w:rsidRPr="004D0DAA">
        <w:tab/>
      </w:r>
      <w:r w:rsidRPr="004D0DAA">
        <w:fldChar w:fldCharType="begin" w:fldLock="1"/>
      </w:r>
      <w:r w:rsidRPr="004D0DAA">
        <w:instrText xml:space="preserve"> PAGEREF _Toc516669843 \h </w:instrText>
      </w:r>
      <w:r w:rsidRPr="004D0DAA">
        <w:fldChar w:fldCharType="separate"/>
      </w:r>
      <w:r w:rsidRPr="004D0DAA">
        <w:t>394</w:t>
      </w:r>
      <w:r w:rsidRPr="004D0DAA">
        <w:fldChar w:fldCharType="end"/>
      </w:r>
    </w:p>
    <w:p w14:paraId="5DEA9A94" w14:textId="77777777" w:rsidR="00683705" w:rsidRPr="004D0DAA" w:rsidRDefault="00683705">
      <w:pPr>
        <w:pStyle w:val="TOC3"/>
        <w:rPr>
          <w:rFonts w:ascii="Calibri" w:hAnsi="Calibri"/>
          <w:sz w:val="22"/>
          <w:szCs w:val="22"/>
          <w:lang w:val="en-US"/>
        </w:rPr>
      </w:pPr>
      <w:r w:rsidRPr="004D0DAA">
        <w:t>11.2.8b</w:t>
      </w:r>
      <w:r w:rsidRPr="004D0DAA">
        <w:rPr>
          <w:rFonts w:ascii="Calibri" w:hAnsi="Calibri"/>
          <w:sz w:val="22"/>
          <w:szCs w:val="22"/>
          <w:lang w:val="en-US"/>
        </w:rPr>
        <w:tab/>
      </w:r>
      <w:r w:rsidRPr="004D0DAA">
        <w:t>Packet Uplink Dummy Control Block</w:t>
      </w:r>
      <w:r w:rsidRPr="004D0DAA">
        <w:tab/>
      </w:r>
      <w:r w:rsidRPr="004D0DAA">
        <w:fldChar w:fldCharType="begin" w:fldLock="1"/>
      </w:r>
      <w:r w:rsidRPr="004D0DAA">
        <w:instrText xml:space="preserve"> PAGEREF _Toc516669844 \h </w:instrText>
      </w:r>
      <w:r w:rsidRPr="004D0DAA">
        <w:fldChar w:fldCharType="separate"/>
      </w:r>
      <w:r w:rsidRPr="004D0DAA">
        <w:t>395</w:t>
      </w:r>
      <w:r w:rsidRPr="004D0DAA">
        <w:fldChar w:fldCharType="end"/>
      </w:r>
    </w:p>
    <w:p w14:paraId="0C38F7A9" w14:textId="77777777" w:rsidR="00683705" w:rsidRPr="004D0DAA" w:rsidRDefault="00683705">
      <w:pPr>
        <w:pStyle w:val="TOC3"/>
        <w:rPr>
          <w:rFonts w:ascii="Calibri" w:hAnsi="Calibri"/>
          <w:sz w:val="22"/>
          <w:szCs w:val="22"/>
          <w:lang w:val="en-US"/>
        </w:rPr>
      </w:pPr>
      <w:r w:rsidRPr="004D0DAA">
        <w:t>11.2.9</w:t>
      </w:r>
      <w:r w:rsidRPr="004D0DAA">
        <w:rPr>
          <w:rFonts w:ascii="Calibri" w:hAnsi="Calibri"/>
          <w:sz w:val="22"/>
          <w:szCs w:val="22"/>
          <w:lang w:val="en-US"/>
        </w:rPr>
        <w:tab/>
      </w:r>
      <w:r w:rsidRPr="004D0DAA">
        <w:t>Packet Measurement Report</w:t>
      </w:r>
      <w:r w:rsidRPr="004D0DAA">
        <w:tab/>
      </w:r>
      <w:r w:rsidRPr="004D0DAA">
        <w:fldChar w:fldCharType="begin" w:fldLock="1"/>
      </w:r>
      <w:r w:rsidRPr="004D0DAA">
        <w:instrText xml:space="preserve"> PAGEREF _Toc516669845 \h </w:instrText>
      </w:r>
      <w:r w:rsidRPr="004D0DAA">
        <w:fldChar w:fldCharType="separate"/>
      </w:r>
      <w:r w:rsidRPr="004D0DAA">
        <w:t>395</w:t>
      </w:r>
      <w:r w:rsidRPr="004D0DAA">
        <w:fldChar w:fldCharType="end"/>
      </w:r>
    </w:p>
    <w:p w14:paraId="0081C459" w14:textId="77777777" w:rsidR="00683705" w:rsidRPr="004D0DAA" w:rsidRDefault="00683705">
      <w:pPr>
        <w:pStyle w:val="TOC3"/>
        <w:rPr>
          <w:rFonts w:ascii="Calibri" w:hAnsi="Calibri"/>
          <w:sz w:val="22"/>
          <w:szCs w:val="22"/>
          <w:lang w:val="en-US"/>
        </w:rPr>
      </w:pPr>
      <w:r w:rsidRPr="004D0DAA">
        <w:t>11.2.9b</w:t>
      </w:r>
      <w:r w:rsidRPr="004D0DAA">
        <w:rPr>
          <w:rFonts w:ascii="Calibri" w:hAnsi="Calibri"/>
          <w:sz w:val="22"/>
          <w:szCs w:val="22"/>
          <w:lang w:val="en-US"/>
        </w:rPr>
        <w:tab/>
      </w:r>
      <w:r w:rsidRPr="004D0DAA">
        <w:t>Packet Measurement Order</w:t>
      </w:r>
      <w:r w:rsidRPr="004D0DAA">
        <w:tab/>
      </w:r>
      <w:r w:rsidRPr="004D0DAA">
        <w:fldChar w:fldCharType="begin" w:fldLock="1"/>
      </w:r>
      <w:r w:rsidRPr="004D0DAA">
        <w:instrText xml:space="preserve"> PAGEREF _Toc516669846 \h </w:instrText>
      </w:r>
      <w:r w:rsidRPr="004D0DAA">
        <w:fldChar w:fldCharType="separate"/>
      </w:r>
      <w:r w:rsidRPr="004D0DAA">
        <w:t>398</w:t>
      </w:r>
      <w:r w:rsidRPr="004D0DAA">
        <w:fldChar w:fldCharType="end"/>
      </w:r>
    </w:p>
    <w:p w14:paraId="0D56356B" w14:textId="77777777" w:rsidR="00683705" w:rsidRPr="004D0DAA" w:rsidRDefault="00683705">
      <w:pPr>
        <w:pStyle w:val="TOC4"/>
        <w:rPr>
          <w:rFonts w:ascii="Calibri" w:hAnsi="Calibri"/>
          <w:sz w:val="22"/>
          <w:szCs w:val="22"/>
          <w:lang w:val="en-US"/>
        </w:rPr>
      </w:pPr>
      <w:r w:rsidRPr="004D0DAA">
        <w:lastRenderedPageBreak/>
        <w:t>11.2.9b.1</w:t>
      </w:r>
      <w:r w:rsidRPr="004D0DAA">
        <w:rPr>
          <w:rFonts w:ascii="Calibri" w:hAnsi="Calibri"/>
          <w:sz w:val="22"/>
          <w:szCs w:val="22"/>
          <w:lang w:val="en-US"/>
        </w:rPr>
        <w:tab/>
      </w:r>
      <w:r w:rsidRPr="004D0DAA">
        <w:t>GPRS REP PRIORITY description</w:t>
      </w:r>
      <w:r w:rsidRPr="004D0DAA">
        <w:tab/>
      </w:r>
      <w:r w:rsidRPr="004D0DAA">
        <w:fldChar w:fldCharType="begin" w:fldLock="1"/>
      </w:r>
      <w:r w:rsidRPr="004D0DAA">
        <w:instrText xml:space="preserve"> PAGEREF _Toc516669847 \h </w:instrText>
      </w:r>
      <w:r w:rsidRPr="004D0DAA">
        <w:fldChar w:fldCharType="separate"/>
      </w:r>
      <w:r w:rsidRPr="004D0DAA">
        <w:t>413</w:t>
      </w:r>
      <w:r w:rsidRPr="004D0DAA">
        <w:fldChar w:fldCharType="end"/>
      </w:r>
    </w:p>
    <w:p w14:paraId="3F4C0E5B" w14:textId="77777777" w:rsidR="00683705" w:rsidRPr="004D0DAA" w:rsidRDefault="00683705">
      <w:pPr>
        <w:pStyle w:val="TOC3"/>
        <w:rPr>
          <w:rFonts w:ascii="Calibri" w:hAnsi="Calibri"/>
          <w:sz w:val="22"/>
          <w:szCs w:val="22"/>
          <w:lang w:val="en-US"/>
        </w:rPr>
      </w:pPr>
      <w:r w:rsidRPr="004D0DAA">
        <w:t>11.2.9c</w:t>
      </w:r>
      <w:r w:rsidRPr="004D0DAA">
        <w:rPr>
          <w:rFonts w:ascii="Calibri" w:hAnsi="Calibri"/>
          <w:sz w:val="22"/>
          <w:szCs w:val="22"/>
          <w:lang w:val="en-US"/>
        </w:rPr>
        <w:tab/>
      </w:r>
      <w:r w:rsidRPr="004D0DAA">
        <w:t>Packet Mobile TBF Status</w:t>
      </w:r>
      <w:r w:rsidRPr="004D0DAA">
        <w:tab/>
      </w:r>
      <w:r w:rsidRPr="004D0DAA">
        <w:fldChar w:fldCharType="begin" w:fldLock="1"/>
      </w:r>
      <w:r w:rsidRPr="004D0DAA">
        <w:instrText xml:space="preserve"> PAGEREF _Toc516669848 \h </w:instrText>
      </w:r>
      <w:r w:rsidRPr="004D0DAA">
        <w:fldChar w:fldCharType="separate"/>
      </w:r>
      <w:r w:rsidRPr="004D0DAA">
        <w:t>413</w:t>
      </w:r>
      <w:r w:rsidRPr="004D0DAA">
        <w:fldChar w:fldCharType="end"/>
      </w:r>
    </w:p>
    <w:p w14:paraId="63CF9F26" w14:textId="77777777" w:rsidR="00683705" w:rsidRPr="004D0DAA" w:rsidRDefault="00683705">
      <w:pPr>
        <w:pStyle w:val="TOC3"/>
        <w:rPr>
          <w:rFonts w:ascii="Calibri" w:hAnsi="Calibri"/>
          <w:sz w:val="22"/>
          <w:szCs w:val="22"/>
          <w:lang w:val="en-US"/>
        </w:rPr>
      </w:pPr>
      <w:r w:rsidRPr="004D0DAA">
        <w:t>11.2.9d</w:t>
      </w:r>
      <w:r w:rsidRPr="004D0DAA">
        <w:rPr>
          <w:rFonts w:ascii="Calibri" w:hAnsi="Calibri"/>
          <w:sz w:val="22"/>
          <w:szCs w:val="22"/>
          <w:lang w:val="en-US"/>
        </w:rPr>
        <w:tab/>
      </w:r>
      <w:r w:rsidRPr="004D0DAA">
        <w:t>Packet Enhanced Measurement Report</w:t>
      </w:r>
      <w:r w:rsidRPr="004D0DAA">
        <w:tab/>
      </w:r>
      <w:r w:rsidRPr="004D0DAA">
        <w:fldChar w:fldCharType="begin" w:fldLock="1"/>
      </w:r>
      <w:r w:rsidRPr="004D0DAA">
        <w:instrText xml:space="preserve"> PAGEREF _Toc516669849 \h </w:instrText>
      </w:r>
      <w:r w:rsidRPr="004D0DAA">
        <w:fldChar w:fldCharType="separate"/>
      </w:r>
      <w:r w:rsidRPr="004D0DAA">
        <w:t>414</w:t>
      </w:r>
      <w:r w:rsidRPr="004D0DAA">
        <w:fldChar w:fldCharType="end"/>
      </w:r>
    </w:p>
    <w:p w14:paraId="2F194E1F" w14:textId="77777777" w:rsidR="00683705" w:rsidRPr="004D0DAA" w:rsidRDefault="00683705">
      <w:pPr>
        <w:pStyle w:val="TOC3"/>
        <w:rPr>
          <w:rFonts w:ascii="Calibri" w:hAnsi="Calibri"/>
          <w:sz w:val="22"/>
          <w:szCs w:val="22"/>
          <w:lang w:val="en-US"/>
        </w:rPr>
      </w:pPr>
      <w:r w:rsidRPr="004D0DAA">
        <w:t>11.2.9e</w:t>
      </w:r>
      <w:r w:rsidRPr="004D0DAA">
        <w:rPr>
          <w:rFonts w:ascii="Calibri" w:hAnsi="Calibri"/>
          <w:sz w:val="22"/>
          <w:szCs w:val="22"/>
          <w:lang w:val="en-US"/>
        </w:rPr>
        <w:tab/>
      </w:r>
      <w:r w:rsidRPr="004D0DAA">
        <w:t>Packet Neighbour Cell Data</w:t>
      </w:r>
      <w:r w:rsidRPr="004D0DAA">
        <w:tab/>
      </w:r>
      <w:r w:rsidRPr="004D0DAA">
        <w:fldChar w:fldCharType="begin" w:fldLock="1"/>
      </w:r>
      <w:r w:rsidRPr="004D0DAA">
        <w:instrText xml:space="preserve"> PAGEREF _Toc516669850 \h </w:instrText>
      </w:r>
      <w:r w:rsidRPr="004D0DAA">
        <w:fldChar w:fldCharType="separate"/>
      </w:r>
      <w:r w:rsidRPr="004D0DAA">
        <w:t>417</w:t>
      </w:r>
      <w:r w:rsidRPr="004D0DAA">
        <w:fldChar w:fldCharType="end"/>
      </w:r>
    </w:p>
    <w:p w14:paraId="78D6C284" w14:textId="77777777" w:rsidR="00683705" w:rsidRPr="004D0DAA" w:rsidRDefault="00683705">
      <w:pPr>
        <w:pStyle w:val="TOC3"/>
        <w:rPr>
          <w:rFonts w:ascii="Calibri" w:hAnsi="Calibri"/>
          <w:sz w:val="22"/>
          <w:szCs w:val="22"/>
          <w:lang w:val="en-US"/>
        </w:rPr>
      </w:pPr>
      <w:r w:rsidRPr="004D0DAA">
        <w:t>11.2.10</w:t>
      </w:r>
      <w:r w:rsidRPr="004D0DAA">
        <w:rPr>
          <w:rFonts w:ascii="Calibri" w:hAnsi="Calibri"/>
          <w:sz w:val="22"/>
          <w:szCs w:val="22"/>
          <w:lang w:val="en-US"/>
        </w:rPr>
        <w:tab/>
      </w:r>
      <w:r w:rsidRPr="004D0DAA">
        <w:t>Packet Paging Request</w:t>
      </w:r>
      <w:r w:rsidRPr="004D0DAA">
        <w:tab/>
      </w:r>
      <w:r w:rsidRPr="004D0DAA">
        <w:fldChar w:fldCharType="begin" w:fldLock="1"/>
      </w:r>
      <w:r w:rsidRPr="004D0DAA">
        <w:instrText xml:space="preserve"> PAGEREF _Toc516669851 \h </w:instrText>
      </w:r>
      <w:r w:rsidRPr="004D0DAA">
        <w:fldChar w:fldCharType="separate"/>
      </w:r>
      <w:r w:rsidRPr="004D0DAA">
        <w:t>419</w:t>
      </w:r>
      <w:r w:rsidRPr="004D0DAA">
        <w:fldChar w:fldCharType="end"/>
      </w:r>
    </w:p>
    <w:p w14:paraId="61F13830" w14:textId="77777777" w:rsidR="00683705" w:rsidRPr="004D0DAA" w:rsidRDefault="00683705">
      <w:pPr>
        <w:pStyle w:val="TOC3"/>
        <w:rPr>
          <w:rFonts w:ascii="Calibri" w:hAnsi="Calibri"/>
          <w:sz w:val="22"/>
          <w:szCs w:val="22"/>
          <w:lang w:val="en-US"/>
        </w:rPr>
      </w:pPr>
      <w:r w:rsidRPr="004D0DAA">
        <w:t>11.2.11</w:t>
      </w:r>
      <w:r w:rsidRPr="004D0DAA">
        <w:rPr>
          <w:rFonts w:ascii="Calibri" w:hAnsi="Calibri"/>
          <w:sz w:val="22"/>
          <w:szCs w:val="22"/>
          <w:lang w:val="en-US"/>
        </w:rPr>
        <w:tab/>
      </w:r>
      <w:r w:rsidRPr="004D0DAA">
        <w:t>Packet PDCH Release</w:t>
      </w:r>
      <w:r w:rsidRPr="004D0DAA">
        <w:tab/>
      </w:r>
      <w:r w:rsidRPr="004D0DAA">
        <w:fldChar w:fldCharType="begin" w:fldLock="1"/>
      </w:r>
      <w:r w:rsidRPr="004D0DAA">
        <w:instrText xml:space="preserve"> PAGEREF _Toc516669852 \h </w:instrText>
      </w:r>
      <w:r w:rsidRPr="004D0DAA">
        <w:fldChar w:fldCharType="separate"/>
      </w:r>
      <w:r w:rsidRPr="004D0DAA">
        <w:t>424</w:t>
      </w:r>
      <w:r w:rsidRPr="004D0DAA">
        <w:fldChar w:fldCharType="end"/>
      </w:r>
    </w:p>
    <w:p w14:paraId="7E057B8D" w14:textId="77777777" w:rsidR="00683705" w:rsidRPr="004D0DAA" w:rsidRDefault="00683705">
      <w:pPr>
        <w:pStyle w:val="TOC3"/>
        <w:rPr>
          <w:rFonts w:ascii="Calibri" w:hAnsi="Calibri"/>
          <w:sz w:val="22"/>
          <w:szCs w:val="22"/>
          <w:lang w:val="en-US"/>
        </w:rPr>
      </w:pPr>
      <w:r w:rsidRPr="004D0DAA">
        <w:t>11.2.12</w:t>
      </w:r>
      <w:r w:rsidRPr="004D0DAA">
        <w:rPr>
          <w:rFonts w:ascii="Calibri" w:hAnsi="Calibri"/>
          <w:sz w:val="22"/>
          <w:szCs w:val="22"/>
          <w:lang w:val="en-US"/>
        </w:rPr>
        <w:tab/>
      </w:r>
      <w:r w:rsidRPr="004D0DAA">
        <w:t>Packet Polling Request</w:t>
      </w:r>
      <w:r w:rsidRPr="004D0DAA">
        <w:tab/>
      </w:r>
      <w:r w:rsidRPr="004D0DAA">
        <w:fldChar w:fldCharType="begin" w:fldLock="1"/>
      </w:r>
      <w:r w:rsidRPr="004D0DAA">
        <w:instrText xml:space="preserve"> PAGEREF _Toc516669853 \h </w:instrText>
      </w:r>
      <w:r w:rsidRPr="004D0DAA">
        <w:fldChar w:fldCharType="separate"/>
      </w:r>
      <w:r w:rsidRPr="004D0DAA">
        <w:t>425</w:t>
      </w:r>
      <w:r w:rsidRPr="004D0DAA">
        <w:fldChar w:fldCharType="end"/>
      </w:r>
    </w:p>
    <w:p w14:paraId="3361C290" w14:textId="77777777" w:rsidR="00683705" w:rsidRPr="004D0DAA" w:rsidRDefault="00683705">
      <w:pPr>
        <w:pStyle w:val="TOC3"/>
        <w:rPr>
          <w:rFonts w:ascii="Calibri" w:hAnsi="Calibri"/>
          <w:sz w:val="22"/>
          <w:szCs w:val="22"/>
          <w:lang w:val="en-US"/>
        </w:rPr>
      </w:pPr>
      <w:r w:rsidRPr="004D0DAA">
        <w:t>11.2.13</w:t>
      </w:r>
      <w:r w:rsidRPr="004D0DAA">
        <w:rPr>
          <w:rFonts w:ascii="Calibri" w:hAnsi="Calibri"/>
          <w:sz w:val="22"/>
          <w:szCs w:val="22"/>
          <w:lang w:val="en-US"/>
        </w:rPr>
        <w:tab/>
      </w:r>
      <w:r w:rsidRPr="004D0DAA">
        <w:t>Packet Power Control/Timing Advance</w:t>
      </w:r>
      <w:r w:rsidRPr="004D0DAA">
        <w:tab/>
      </w:r>
      <w:r w:rsidRPr="004D0DAA">
        <w:fldChar w:fldCharType="begin" w:fldLock="1"/>
      </w:r>
      <w:r w:rsidRPr="004D0DAA">
        <w:instrText xml:space="preserve"> PAGEREF _Toc516669854 \h </w:instrText>
      </w:r>
      <w:r w:rsidRPr="004D0DAA">
        <w:fldChar w:fldCharType="separate"/>
      </w:r>
      <w:r w:rsidRPr="004D0DAA">
        <w:t>426</w:t>
      </w:r>
      <w:r w:rsidRPr="004D0DAA">
        <w:fldChar w:fldCharType="end"/>
      </w:r>
    </w:p>
    <w:p w14:paraId="4871EF58" w14:textId="77777777" w:rsidR="00683705" w:rsidRPr="004D0DAA" w:rsidRDefault="00683705">
      <w:pPr>
        <w:pStyle w:val="TOC3"/>
        <w:rPr>
          <w:rFonts w:ascii="Calibri" w:hAnsi="Calibri"/>
          <w:sz w:val="22"/>
          <w:szCs w:val="22"/>
          <w:lang w:val="en-US"/>
        </w:rPr>
      </w:pPr>
      <w:r w:rsidRPr="004D0DAA">
        <w:t>11.2.14</w:t>
      </w:r>
      <w:r w:rsidRPr="004D0DAA">
        <w:rPr>
          <w:rFonts w:ascii="Calibri" w:hAnsi="Calibri"/>
          <w:sz w:val="22"/>
          <w:szCs w:val="22"/>
          <w:lang w:val="en-US"/>
        </w:rPr>
        <w:tab/>
      </w:r>
      <w:r w:rsidRPr="004D0DAA">
        <w:t>Packet PRACH Parameters</w:t>
      </w:r>
      <w:r w:rsidRPr="004D0DAA">
        <w:tab/>
      </w:r>
      <w:r w:rsidRPr="004D0DAA">
        <w:fldChar w:fldCharType="begin" w:fldLock="1"/>
      </w:r>
      <w:r w:rsidRPr="004D0DAA">
        <w:instrText xml:space="preserve"> PAGEREF _Toc516669855 \h </w:instrText>
      </w:r>
      <w:r w:rsidRPr="004D0DAA">
        <w:fldChar w:fldCharType="separate"/>
      </w:r>
      <w:r w:rsidRPr="004D0DAA">
        <w:t>428</w:t>
      </w:r>
      <w:r w:rsidRPr="004D0DAA">
        <w:fldChar w:fldCharType="end"/>
      </w:r>
    </w:p>
    <w:p w14:paraId="55F7E56C" w14:textId="77777777" w:rsidR="00683705" w:rsidRPr="004D0DAA" w:rsidRDefault="00683705">
      <w:pPr>
        <w:pStyle w:val="TOC3"/>
        <w:rPr>
          <w:rFonts w:ascii="Calibri" w:hAnsi="Calibri"/>
          <w:sz w:val="22"/>
          <w:szCs w:val="22"/>
          <w:lang w:val="en-US"/>
        </w:rPr>
      </w:pPr>
      <w:r w:rsidRPr="004D0DAA">
        <w:t>11.2.15</w:t>
      </w:r>
      <w:r w:rsidRPr="004D0DAA">
        <w:rPr>
          <w:rFonts w:ascii="Calibri" w:hAnsi="Calibri"/>
          <w:sz w:val="22"/>
          <w:szCs w:val="22"/>
          <w:lang w:val="en-US"/>
        </w:rPr>
        <w:tab/>
      </w:r>
      <w:r w:rsidRPr="004D0DAA">
        <w:t>Packet Queuing Notification</w:t>
      </w:r>
      <w:r w:rsidRPr="004D0DAA">
        <w:tab/>
      </w:r>
      <w:r w:rsidRPr="004D0DAA">
        <w:fldChar w:fldCharType="begin" w:fldLock="1"/>
      </w:r>
      <w:r w:rsidRPr="004D0DAA">
        <w:instrText xml:space="preserve"> PAGEREF _Toc516669856 \h </w:instrText>
      </w:r>
      <w:r w:rsidRPr="004D0DAA">
        <w:fldChar w:fldCharType="separate"/>
      </w:r>
      <w:r w:rsidRPr="004D0DAA">
        <w:t>428</w:t>
      </w:r>
      <w:r w:rsidRPr="004D0DAA">
        <w:fldChar w:fldCharType="end"/>
      </w:r>
    </w:p>
    <w:p w14:paraId="22295400" w14:textId="77777777" w:rsidR="00683705" w:rsidRPr="004D0DAA" w:rsidRDefault="00683705">
      <w:pPr>
        <w:pStyle w:val="TOC3"/>
        <w:rPr>
          <w:rFonts w:ascii="Calibri" w:hAnsi="Calibri"/>
          <w:sz w:val="22"/>
          <w:szCs w:val="22"/>
          <w:lang w:val="en-US"/>
        </w:rPr>
      </w:pPr>
      <w:r w:rsidRPr="004D0DAA">
        <w:t>11.2.16</w:t>
      </w:r>
      <w:r w:rsidRPr="004D0DAA">
        <w:rPr>
          <w:rFonts w:ascii="Calibri" w:hAnsi="Calibri"/>
          <w:sz w:val="22"/>
          <w:szCs w:val="22"/>
          <w:lang w:val="en-US"/>
        </w:rPr>
        <w:tab/>
      </w:r>
      <w:r w:rsidRPr="004D0DAA">
        <w:t>Packet Resource Request</w:t>
      </w:r>
      <w:r w:rsidRPr="004D0DAA">
        <w:tab/>
      </w:r>
      <w:r w:rsidRPr="004D0DAA">
        <w:fldChar w:fldCharType="begin" w:fldLock="1"/>
      </w:r>
      <w:r w:rsidRPr="004D0DAA">
        <w:instrText xml:space="preserve"> PAGEREF _Toc516669857 \h </w:instrText>
      </w:r>
      <w:r w:rsidRPr="004D0DAA">
        <w:fldChar w:fldCharType="separate"/>
      </w:r>
      <w:r w:rsidRPr="004D0DAA">
        <w:t>429</w:t>
      </w:r>
      <w:r w:rsidRPr="004D0DAA">
        <w:fldChar w:fldCharType="end"/>
      </w:r>
    </w:p>
    <w:p w14:paraId="26884FD4" w14:textId="77777777" w:rsidR="00683705" w:rsidRPr="004D0DAA" w:rsidRDefault="00683705">
      <w:pPr>
        <w:pStyle w:val="TOC3"/>
        <w:rPr>
          <w:rFonts w:ascii="Calibri" w:hAnsi="Calibri"/>
          <w:sz w:val="22"/>
          <w:szCs w:val="22"/>
          <w:lang w:val="en-US"/>
        </w:rPr>
      </w:pPr>
      <w:r w:rsidRPr="004D0DAA">
        <w:t>11.2.17</w:t>
      </w:r>
      <w:r w:rsidRPr="004D0DAA">
        <w:rPr>
          <w:rFonts w:ascii="Calibri" w:hAnsi="Calibri"/>
          <w:sz w:val="22"/>
          <w:szCs w:val="22"/>
          <w:lang w:val="en-US"/>
        </w:rPr>
        <w:tab/>
      </w:r>
      <w:r w:rsidRPr="004D0DAA">
        <w:t>Packet PSI Status</w:t>
      </w:r>
      <w:r w:rsidRPr="004D0DAA">
        <w:tab/>
      </w:r>
      <w:r w:rsidRPr="004D0DAA">
        <w:fldChar w:fldCharType="begin" w:fldLock="1"/>
      </w:r>
      <w:r w:rsidRPr="004D0DAA">
        <w:instrText xml:space="preserve"> PAGEREF _Toc516669858 \h </w:instrText>
      </w:r>
      <w:r w:rsidRPr="004D0DAA">
        <w:fldChar w:fldCharType="separate"/>
      </w:r>
      <w:r w:rsidRPr="004D0DAA">
        <w:t>433</w:t>
      </w:r>
      <w:r w:rsidRPr="004D0DAA">
        <w:fldChar w:fldCharType="end"/>
      </w:r>
    </w:p>
    <w:p w14:paraId="566B4AF6" w14:textId="77777777" w:rsidR="00683705" w:rsidRPr="004D0DAA" w:rsidRDefault="00683705">
      <w:pPr>
        <w:pStyle w:val="TOC3"/>
        <w:rPr>
          <w:rFonts w:ascii="Calibri" w:hAnsi="Calibri"/>
          <w:sz w:val="22"/>
          <w:szCs w:val="22"/>
          <w:lang w:val="en-US"/>
        </w:rPr>
      </w:pPr>
      <w:r w:rsidRPr="004D0DAA">
        <w:t>11.2.17a</w:t>
      </w:r>
      <w:r w:rsidRPr="004D0DAA">
        <w:rPr>
          <w:rFonts w:ascii="Calibri" w:hAnsi="Calibri"/>
          <w:sz w:val="22"/>
          <w:szCs w:val="22"/>
          <w:lang w:val="en-US"/>
        </w:rPr>
        <w:tab/>
      </w:r>
      <w:r w:rsidRPr="004D0DAA">
        <w:t>Packet Serving Cell Data</w:t>
      </w:r>
      <w:r w:rsidRPr="004D0DAA">
        <w:tab/>
      </w:r>
      <w:r w:rsidRPr="004D0DAA">
        <w:fldChar w:fldCharType="begin" w:fldLock="1"/>
      </w:r>
      <w:r w:rsidRPr="004D0DAA">
        <w:instrText xml:space="preserve"> PAGEREF _Toc516669859 \h </w:instrText>
      </w:r>
      <w:r w:rsidRPr="004D0DAA">
        <w:fldChar w:fldCharType="separate"/>
      </w:r>
      <w:r w:rsidRPr="004D0DAA">
        <w:t>434</w:t>
      </w:r>
      <w:r w:rsidRPr="004D0DAA">
        <w:fldChar w:fldCharType="end"/>
      </w:r>
    </w:p>
    <w:p w14:paraId="6D279C20" w14:textId="77777777" w:rsidR="00683705" w:rsidRPr="004D0DAA" w:rsidRDefault="00683705">
      <w:pPr>
        <w:pStyle w:val="TOC3"/>
        <w:rPr>
          <w:rFonts w:ascii="Calibri" w:hAnsi="Calibri"/>
          <w:sz w:val="22"/>
          <w:szCs w:val="22"/>
          <w:lang w:val="en-US"/>
        </w:rPr>
      </w:pPr>
      <w:r w:rsidRPr="004D0DAA">
        <w:t>11.2.17b</w:t>
      </w:r>
      <w:r w:rsidRPr="004D0DAA">
        <w:rPr>
          <w:rFonts w:ascii="Calibri" w:hAnsi="Calibri"/>
          <w:sz w:val="22"/>
          <w:szCs w:val="22"/>
          <w:lang w:val="en-US"/>
        </w:rPr>
        <w:tab/>
      </w:r>
      <w:r w:rsidRPr="004D0DAA">
        <w:t>Packet SI Status</w:t>
      </w:r>
      <w:r w:rsidRPr="004D0DAA">
        <w:tab/>
      </w:r>
      <w:r w:rsidRPr="004D0DAA">
        <w:fldChar w:fldCharType="begin" w:fldLock="1"/>
      </w:r>
      <w:r w:rsidRPr="004D0DAA">
        <w:instrText xml:space="preserve"> PAGEREF _Toc516669860 \h </w:instrText>
      </w:r>
      <w:r w:rsidRPr="004D0DAA">
        <w:fldChar w:fldCharType="separate"/>
      </w:r>
      <w:r w:rsidRPr="004D0DAA">
        <w:t>436</w:t>
      </w:r>
      <w:r w:rsidRPr="004D0DAA">
        <w:fldChar w:fldCharType="end"/>
      </w:r>
    </w:p>
    <w:p w14:paraId="239D72E2" w14:textId="77777777" w:rsidR="00683705" w:rsidRPr="004D0DAA" w:rsidRDefault="00683705">
      <w:pPr>
        <w:pStyle w:val="TOC3"/>
        <w:rPr>
          <w:rFonts w:ascii="Calibri" w:hAnsi="Calibri"/>
          <w:sz w:val="22"/>
          <w:szCs w:val="22"/>
          <w:lang w:val="en-US"/>
        </w:rPr>
      </w:pPr>
      <w:r w:rsidRPr="004D0DAA">
        <w:t>11.2.17c</w:t>
      </w:r>
      <w:r w:rsidRPr="004D0DAA">
        <w:rPr>
          <w:rFonts w:ascii="Calibri" w:hAnsi="Calibri"/>
          <w:sz w:val="22"/>
          <w:szCs w:val="22"/>
          <w:lang w:val="en-US"/>
        </w:rPr>
        <w:tab/>
      </w:r>
      <w:r w:rsidRPr="004D0DAA">
        <w:t>Packet Serving Cell SI</w:t>
      </w:r>
      <w:r w:rsidRPr="004D0DAA">
        <w:tab/>
      </w:r>
      <w:r w:rsidRPr="004D0DAA">
        <w:fldChar w:fldCharType="begin" w:fldLock="1"/>
      </w:r>
      <w:r w:rsidRPr="004D0DAA">
        <w:instrText xml:space="preserve"> PAGEREF _Toc516669861 \h </w:instrText>
      </w:r>
      <w:r w:rsidRPr="004D0DAA">
        <w:fldChar w:fldCharType="separate"/>
      </w:r>
      <w:r w:rsidRPr="004D0DAA">
        <w:t>439</w:t>
      </w:r>
      <w:r w:rsidRPr="004D0DAA">
        <w:fldChar w:fldCharType="end"/>
      </w:r>
    </w:p>
    <w:p w14:paraId="6A4D1A4C" w14:textId="77777777" w:rsidR="00683705" w:rsidRPr="004D0DAA" w:rsidRDefault="00683705">
      <w:pPr>
        <w:pStyle w:val="TOC3"/>
        <w:rPr>
          <w:rFonts w:ascii="Calibri" w:hAnsi="Calibri"/>
          <w:sz w:val="22"/>
          <w:szCs w:val="22"/>
          <w:lang w:val="en-US"/>
        </w:rPr>
      </w:pPr>
      <w:r w:rsidRPr="004D0DAA">
        <w:t>11.2.18</w:t>
      </w:r>
      <w:r w:rsidRPr="004D0DAA">
        <w:rPr>
          <w:rFonts w:ascii="Calibri" w:hAnsi="Calibri"/>
          <w:sz w:val="22"/>
          <w:szCs w:val="22"/>
          <w:lang w:val="en-US"/>
        </w:rPr>
        <w:tab/>
      </w:r>
      <w:r w:rsidRPr="004D0DAA">
        <w:t>Packet System Information Type 1</w:t>
      </w:r>
      <w:r w:rsidRPr="004D0DAA">
        <w:tab/>
      </w:r>
      <w:r w:rsidRPr="004D0DAA">
        <w:fldChar w:fldCharType="begin" w:fldLock="1"/>
      </w:r>
      <w:r w:rsidRPr="004D0DAA">
        <w:instrText xml:space="preserve"> PAGEREF _Toc516669862 \h </w:instrText>
      </w:r>
      <w:r w:rsidRPr="004D0DAA">
        <w:fldChar w:fldCharType="separate"/>
      </w:r>
      <w:r w:rsidRPr="004D0DAA">
        <w:t>440</w:t>
      </w:r>
      <w:r w:rsidRPr="004D0DAA">
        <w:fldChar w:fldCharType="end"/>
      </w:r>
    </w:p>
    <w:p w14:paraId="2AF6B96A" w14:textId="77777777" w:rsidR="00683705" w:rsidRPr="004D0DAA" w:rsidRDefault="00683705">
      <w:pPr>
        <w:pStyle w:val="TOC3"/>
        <w:rPr>
          <w:rFonts w:ascii="Calibri" w:hAnsi="Calibri"/>
          <w:sz w:val="22"/>
          <w:szCs w:val="22"/>
          <w:lang w:val="en-US"/>
        </w:rPr>
      </w:pPr>
      <w:r w:rsidRPr="004D0DAA">
        <w:t>11.2.19</w:t>
      </w:r>
      <w:r w:rsidRPr="004D0DAA">
        <w:rPr>
          <w:rFonts w:ascii="Calibri" w:hAnsi="Calibri"/>
          <w:sz w:val="22"/>
          <w:szCs w:val="22"/>
          <w:lang w:val="en-US"/>
        </w:rPr>
        <w:tab/>
      </w:r>
      <w:r w:rsidRPr="004D0DAA">
        <w:t>Packet System Information Type 2</w:t>
      </w:r>
      <w:r w:rsidRPr="004D0DAA">
        <w:tab/>
      </w:r>
      <w:r w:rsidRPr="004D0DAA">
        <w:fldChar w:fldCharType="begin" w:fldLock="1"/>
      </w:r>
      <w:r w:rsidRPr="004D0DAA">
        <w:instrText xml:space="preserve"> PAGEREF _Toc516669863 \h </w:instrText>
      </w:r>
      <w:r w:rsidRPr="004D0DAA">
        <w:fldChar w:fldCharType="separate"/>
      </w:r>
      <w:r w:rsidRPr="004D0DAA">
        <w:t>442</w:t>
      </w:r>
      <w:r w:rsidRPr="004D0DAA">
        <w:fldChar w:fldCharType="end"/>
      </w:r>
    </w:p>
    <w:p w14:paraId="5633EF3F" w14:textId="77777777" w:rsidR="00683705" w:rsidRPr="004D0DAA" w:rsidRDefault="00683705">
      <w:pPr>
        <w:pStyle w:val="TOC4"/>
        <w:rPr>
          <w:rFonts w:ascii="Calibri" w:hAnsi="Calibri"/>
          <w:sz w:val="22"/>
          <w:szCs w:val="22"/>
          <w:lang w:val="en-US"/>
        </w:rPr>
      </w:pPr>
      <w:r w:rsidRPr="004D0DAA">
        <w:t>11.2.19.1</w:t>
      </w:r>
      <w:r w:rsidRPr="004D0DAA">
        <w:rPr>
          <w:rFonts w:ascii="Calibri" w:hAnsi="Calibri"/>
          <w:sz w:val="22"/>
          <w:szCs w:val="22"/>
          <w:lang w:val="en-US"/>
        </w:rPr>
        <w:tab/>
      </w:r>
      <w:r w:rsidRPr="004D0DAA">
        <w:t>Reference Frequency Lists in PSI2</w:t>
      </w:r>
      <w:r w:rsidRPr="004D0DAA">
        <w:tab/>
      </w:r>
      <w:r w:rsidRPr="004D0DAA">
        <w:fldChar w:fldCharType="begin" w:fldLock="1"/>
      </w:r>
      <w:r w:rsidRPr="004D0DAA">
        <w:instrText xml:space="preserve"> PAGEREF _Toc516669864 \h </w:instrText>
      </w:r>
      <w:r w:rsidRPr="004D0DAA">
        <w:fldChar w:fldCharType="separate"/>
      </w:r>
      <w:r w:rsidRPr="004D0DAA">
        <w:t>446</w:t>
      </w:r>
      <w:r w:rsidRPr="004D0DAA">
        <w:fldChar w:fldCharType="end"/>
      </w:r>
    </w:p>
    <w:p w14:paraId="216E38A1" w14:textId="77777777" w:rsidR="00683705" w:rsidRPr="004D0DAA" w:rsidRDefault="00683705">
      <w:pPr>
        <w:pStyle w:val="TOC4"/>
        <w:rPr>
          <w:rFonts w:ascii="Calibri" w:hAnsi="Calibri"/>
          <w:sz w:val="22"/>
          <w:szCs w:val="22"/>
          <w:lang w:val="en-US"/>
        </w:rPr>
      </w:pPr>
      <w:r w:rsidRPr="004D0DAA">
        <w:t>11.2.19.2</w:t>
      </w:r>
      <w:r w:rsidRPr="004D0DAA">
        <w:rPr>
          <w:rFonts w:ascii="Calibri" w:hAnsi="Calibri"/>
          <w:sz w:val="22"/>
          <w:szCs w:val="22"/>
          <w:lang w:val="en-US"/>
        </w:rPr>
        <w:tab/>
      </w:r>
      <w:r w:rsidRPr="004D0DAA">
        <w:t>Cell Allocation in PSI2</w:t>
      </w:r>
      <w:r w:rsidRPr="004D0DAA">
        <w:tab/>
      </w:r>
      <w:r w:rsidRPr="004D0DAA">
        <w:fldChar w:fldCharType="begin" w:fldLock="1"/>
      </w:r>
      <w:r w:rsidRPr="004D0DAA">
        <w:instrText xml:space="preserve"> PAGEREF _Toc516669865 \h </w:instrText>
      </w:r>
      <w:r w:rsidRPr="004D0DAA">
        <w:fldChar w:fldCharType="separate"/>
      </w:r>
      <w:r w:rsidRPr="004D0DAA">
        <w:t>446</w:t>
      </w:r>
      <w:r w:rsidRPr="004D0DAA">
        <w:fldChar w:fldCharType="end"/>
      </w:r>
    </w:p>
    <w:p w14:paraId="1C7F2BD1" w14:textId="77777777" w:rsidR="00683705" w:rsidRPr="004D0DAA" w:rsidRDefault="00683705">
      <w:pPr>
        <w:pStyle w:val="TOC4"/>
        <w:rPr>
          <w:rFonts w:ascii="Calibri" w:hAnsi="Calibri"/>
          <w:sz w:val="22"/>
          <w:szCs w:val="22"/>
          <w:lang w:val="en-US"/>
        </w:rPr>
      </w:pPr>
      <w:r w:rsidRPr="004D0DAA">
        <w:t>11.2.19.3</w:t>
      </w:r>
      <w:r w:rsidRPr="004D0DAA">
        <w:rPr>
          <w:rFonts w:ascii="Calibri" w:hAnsi="Calibri"/>
          <w:sz w:val="22"/>
          <w:szCs w:val="22"/>
          <w:lang w:val="en-US"/>
        </w:rPr>
        <w:tab/>
      </w:r>
      <w:r w:rsidRPr="004D0DAA">
        <w:t>GPRS Mobile Allocation in PSI2</w:t>
      </w:r>
      <w:r w:rsidRPr="004D0DAA">
        <w:tab/>
      </w:r>
      <w:r w:rsidRPr="004D0DAA">
        <w:fldChar w:fldCharType="begin" w:fldLock="1"/>
      </w:r>
      <w:r w:rsidRPr="004D0DAA">
        <w:instrText xml:space="preserve"> PAGEREF _Toc516669866 \h </w:instrText>
      </w:r>
      <w:r w:rsidRPr="004D0DAA">
        <w:fldChar w:fldCharType="separate"/>
      </w:r>
      <w:r w:rsidRPr="004D0DAA">
        <w:t>446</w:t>
      </w:r>
      <w:r w:rsidRPr="004D0DAA">
        <w:fldChar w:fldCharType="end"/>
      </w:r>
    </w:p>
    <w:p w14:paraId="55C0B4A9" w14:textId="77777777" w:rsidR="00683705" w:rsidRPr="004D0DAA" w:rsidRDefault="00683705">
      <w:pPr>
        <w:pStyle w:val="TOC4"/>
        <w:rPr>
          <w:rFonts w:ascii="Calibri" w:hAnsi="Calibri"/>
          <w:sz w:val="22"/>
          <w:szCs w:val="22"/>
          <w:lang w:val="en-US"/>
        </w:rPr>
      </w:pPr>
      <w:r w:rsidRPr="004D0DAA">
        <w:t>11.2.19.4</w:t>
      </w:r>
      <w:r w:rsidRPr="004D0DAA">
        <w:rPr>
          <w:rFonts w:ascii="Calibri" w:hAnsi="Calibri"/>
          <w:sz w:val="22"/>
          <w:szCs w:val="22"/>
          <w:lang w:val="en-US"/>
        </w:rPr>
        <w:tab/>
      </w:r>
      <w:r w:rsidRPr="004D0DAA">
        <w:t>PCCCH Description</w:t>
      </w:r>
      <w:r w:rsidRPr="004D0DAA">
        <w:tab/>
      </w:r>
      <w:r w:rsidRPr="004D0DAA">
        <w:fldChar w:fldCharType="begin" w:fldLock="1"/>
      </w:r>
      <w:r w:rsidRPr="004D0DAA">
        <w:instrText xml:space="preserve"> PAGEREF _Toc516669867 \h </w:instrText>
      </w:r>
      <w:r w:rsidRPr="004D0DAA">
        <w:fldChar w:fldCharType="separate"/>
      </w:r>
      <w:r w:rsidRPr="004D0DAA">
        <w:t>446</w:t>
      </w:r>
      <w:r w:rsidRPr="004D0DAA">
        <w:fldChar w:fldCharType="end"/>
      </w:r>
    </w:p>
    <w:p w14:paraId="5CDF9906" w14:textId="77777777" w:rsidR="00683705" w:rsidRPr="004D0DAA" w:rsidRDefault="00683705">
      <w:pPr>
        <w:pStyle w:val="TOC4"/>
        <w:rPr>
          <w:rFonts w:ascii="Calibri" w:hAnsi="Calibri"/>
          <w:sz w:val="22"/>
          <w:szCs w:val="22"/>
          <w:lang w:val="en-US"/>
        </w:rPr>
      </w:pPr>
      <w:r w:rsidRPr="004D0DAA">
        <w:t>11.2.19.5</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_Toc516669868 \h </w:instrText>
      </w:r>
      <w:r w:rsidRPr="004D0DAA">
        <w:fldChar w:fldCharType="separate"/>
      </w:r>
      <w:r w:rsidRPr="004D0DAA">
        <w:t>446</w:t>
      </w:r>
      <w:r w:rsidRPr="004D0DAA">
        <w:fldChar w:fldCharType="end"/>
      </w:r>
    </w:p>
    <w:p w14:paraId="08FE6F06" w14:textId="77777777" w:rsidR="00683705" w:rsidRPr="004D0DAA" w:rsidRDefault="00683705">
      <w:pPr>
        <w:pStyle w:val="TOC3"/>
        <w:rPr>
          <w:rFonts w:ascii="Calibri" w:hAnsi="Calibri"/>
          <w:sz w:val="22"/>
          <w:szCs w:val="22"/>
          <w:lang w:val="en-US"/>
        </w:rPr>
      </w:pPr>
      <w:r w:rsidRPr="004D0DAA">
        <w:t>11.2.20</w:t>
      </w:r>
      <w:r w:rsidRPr="004D0DAA">
        <w:rPr>
          <w:rFonts w:ascii="Calibri" w:hAnsi="Calibri"/>
          <w:sz w:val="22"/>
          <w:szCs w:val="22"/>
          <w:lang w:val="en-US"/>
        </w:rPr>
        <w:tab/>
      </w:r>
      <w:r w:rsidRPr="004D0DAA">
        <w:t>Packet System Information Type 3</w:t>
      </w:r>
      <w:r w:rsidRPr="004D0DAA">
        <w:tab/>
      </w:r>
      <w:r w:rsidRPr="004D0DAA">
        <w:fldChar w:fldCharType="begin" w:fldLock="1"/>
      </w:r>
      <w:r w:rsidRPr="004D0DAA">
        <w:instrText xml:space="preserve"> PAGEREF _Toc516669869 \h </w:instrText>
      </w:r>
      <w:r w:rsidRPr="004D0DAA">
        <w:fldChar w:fldCharType="separate"/>
      </w:r>
      <w:r w:rsidRPr="004D0DAA">
        <w:t>446</w:t>
      </w:r>
      <w:r w:rsidRPr="004D0DAA">
        <w:fldChar w:fldCharType="end"/>
      </w:r>
    </w:p>
    <w:p w14:paraId="23F5E59D" w14:textId="77777777" w:rsidR="00683705" w:rsidRPr="004D0DAA" w:rsidRDefault="00683705">
      <w:pPr>
        <w:pStyle w:val="TOC3"/>
        <w:rPr>
          <w:rFonts w:ascii="Calibri" w:hAnsi="Calibri"/>
          <w:sz w:val="22"/>
          <w:szCs w:val="22"/>
          <w:lang w:val="en-US"/>
        </w:rPr>
      </w:pPr>
      <w:r w:rsidRPr="004D0DAA">
        <w:t>11.2.21</w:t>
      </w:r>
      <w:r w:rsidRPr="004D0DAA">
        <w:rPr>
          <w:rFonts w:ascii="Calibri" w:hAnsi="Calibri"/>
          <w:sz w:val="22"/>
          <w:szCs w:val="22"/>
          <w:lang w:val="en-US"/>
        </w:rPr>
        <w:tab/>
      </w:r>
      <w:r w:rsidRPr="004D0DAA">
        <w:t>Packet System Information Type 3 bis</w:t>
      </w:r>
      <w:r w:rsidRPr="004D0DAA">
        <w:tab/>
      </w:r>
      <w:r w:rsidRPr="004D0DAA">
        <w:fldChar w:fldCharType="begin" w:fldLock="1"/>
      </w:r>
      <w:r w:rsidRPr="004D0DAA">
        <w:instrText xml:space="preserve"> PAGEREF _Toc516669870 \h </w:instrText>
      </w:r>
      <w:r w:rsidRPr="004D0DAA">
        <w:fldChar w:fldCharType="separate"/>
      </w:r>
      <w:r w:rsidRPr="004D0DAA">
        <w:t>456</w:t>
      </w:r>
      <w:r w:rsidRPr="004D0DAA">
        <w:fldChar w:fldCharType="end"/>
      </w:r>
    </w:p>
    <w:p w14:paraId="2B7686DC" w14:textId="77777777" w:rsidR="00683705" w:rsidRPr="004D0DAA" w:rsidRDefault="00683705">
      <w:pPr>
        <w:pStyle w:val="TOC3"/>
        <w:rPr>
          <w:rFonts w:ascii="Calibri" w:hAnsi="Calibri"/>
          <w:sz w:val="22"/>
          <w:szCs w:val="22"/>
          <w:lang w:val="en-US"/>
        </w:rPr>
      </w:pPr>
      <w:r w:rsidRPr="004D0DAA">
        <w:t>11.2.21a</w:t>
      </w:r>
      <w:r w:rsidRPr="004D0DAA">
        <w:rPr>
          <w:rFonts w:ascii="Calibri" w:hAnsi="Calibri"/>
          <w:sz w:val="22"/>
          <w:szCs w:val="22"/>
          <w:lang w:val="en-US"/>
        </w:rPr>
        <w:tab/>
      </w:r>
      <w:r w:rsidRPr="004D0DAA">
        <w:t>Packet System Information Type 3 ter</w:t>
      </w:r>
      <w:r w:rsidRPr="004D0DAA">
        <w:tab/>
      </w:r>
      <w:r w:rsidRPr="004D0DAA">
        <w:fldChar w:fldCharType="begin" w:fldLock="1"/>
      </w:r>
      <w:r w:rsidRPr="004D0DAA">
        <w:instrText xml:space="preserve"> PAGEREF _Toc516669871 \h </w:instrText>
      </w:r>
      <w:r w:rsidRPr="004D0DAA">
        <w:fldChar w:fldCharType="separate"/>
      </w:r>
      <w:r w:rsidRPr="004D0DAA">
        <w:t>460</w:t>
      </w:r>
      <w:r w:rsidRPr="004D0DAA">
        <w:fldChar w:fldCharType="end"/>
      </w:r>
    </w:p>
    <w:p w14:paraId="7D20830E" w14:textId="77777777" w:rsidR="00683705" w:rsidRPr="004D0DAA" w:rsidRDefault="00683705">
      <w:pPr>
        <w:pStyle w:val="TOC4"/>
        <w:rPr>
          <w:rFonts w:ascii="Calibri" w:hAnsi="Calibri"/>
          <w:sz w:val="22"/>
          <w:szCs w:val="22"/>
          <w:lang w:val="en-US"/>
        </w:rPr>
      </w:pPr>
      <w:r w:rsidRPr="004D0DAA">
        <w:t>11.2.21a.1</w:t>
      </w:r>
      <w:r w:rsidRPr="004D0DAA">
        <w:rPr>
          <w:rFonts w:ascii="Calibri" w:hAnsi="Calibri"/>
          <w:sz w:val="22"/>
          <w:szCs w:val="22"/>
          <w:lang w:val="en-US"/>
        </w:rPr>
        <w:tab/>
      </w:r>
      <w:r w:rsidRPr="004D0DAA">
        <w:t>GPRS REP PRIORITY description</w:t>
      </w:r>
      <w:r w:rsidRPr="004D0DAA">
        <w:tab/>
      </w:r>
      <w:r w:rsidRPr="004D0DAA">
        <w:fldChar w:fldCharType="begin" w:fldLock="1"/>
      </w:r>
      <w:r w:rsidRPr="004D0DAA">
        <w:instrText xml:space="preserve"> PAGEREF _Toc516669872 \h </w:instrText>
      </w:r>
      <w:r w:rsidRPr="004D0DAA">
        <w:fldChar w:fldCharType="separate"/>
      </w:r>
      <w:r w:rsidRPr="004D0DAA">
        <w:t>462</w:t>
      </w:r>
      <w:r w:rsidRPr="004D0DAA">
        <w:fldChar w:fldCharType="end"/>
      </w:r>
    </w:p>
    <w:p w14:paraId="6350A7D2" w14:textId="77777777" w:rsidR="00683705" w:rsidRPr="004D0DAA" w:rsidRDefault="00683705">
      <w:pPr>
        <w:pStyle w:val="TOC3"/>
        <w:rPr>
          <w:rFonts w:ascii="Calibri" w:hAnsi="Calibri"/>
          <w:sz w:val="22"/>
          <w:szCs w:val="22"/>
          <w:lang w:val="en-US"/>
        </w:rPr>
      </w:pPr>
      <w:r w:rsidRPr="004D0DAA">
        <w:t>11.2.21b</w:t>
      </w:r>
      <w:r w:rsidRPr="004D0DAA">
        <w:rPr>
          <w:rFonts w:ascii="Calibri" w:hAnsi="Calibri"/>
          <w:sz w:val="22"/>
          <w:szCs w:val="22"/>
          <w:lang w:val="en-US"/>
        </w:rPr>
        <w:tab/>
      </w:r>
      <w:r w:rsidRPr="004D0DAA">
        <w:t>Packet System Information Type 3 quater</w:t>
      </w:r>
      <w:r w:rsidRPr="004D0DAA">
        <w:tab/>
      </w:r>
      <w:r w:rsidRPr="004D0DAA">
        <w:fldChar w:fldCharType="begin" w:fldLock="1"/>
      </w:r>
      <w:r w:rsidRPr="004D0DAA">
        <w:instrText xml:space="preserve"> PAGEREF _Toc516669873 \h </w:instrText>
      </w:r>
      <w:r w:rsidRPr="004D0DAA">
        <w:fldChar w:fldCharType="separate"/>
      </w:r>
      <w:r w:rsidRPr="004D0DAA">
        <w:t>462</w:t>
      </w:r>
      <w:r w:rsidRPr="004D0DAA">
        <w:fldChar w:fldCharType="end"/>
      </w:r>
    </w:p>
    <w:p w14:paraId="28430752" w14:textId="77777777" w:rsidR="00683705" w:rsidRPr="004D0DAA" w:rsidRDefault="00683705">
      <w:pPr>
        <w:pStyle w:val="TOC4"/>
        <w:rPr>
          <w:rFonts w:ascii="Calibri" w:hAnsi="Calibri"/>
          <w:sz w:val="22"/>
          <w:szCs w:val="22"/>
          <w:lang w:val="en-US"/>
        </w:rPr>
      </w:pPr>
      <w:r w:rsidRPr="004D0DAA">
        <w:t>11.2.21b.1</w:t>
      </w:r>
      <w:r w:rsidRPr="004D0DAA">
        <w:rPr>
          <w:rFonts w:ascii="Calibri" w:hAnsi="Calibri"/>
          <w:sz w:val="22"/>
          <w:szCs w:val="22"/>
          <w:lang w:val="en-US"/>
        </w:rPr>
        <w:tab/>
      </w:r>
      <w:r w:rsidRPr="004D0DAA">
        <w:t>GPRS REP PRIORITY description</w:t>
      </w:r>
      <w:r w:rsidRPr="004D0DAA">
        <w:tab/>
      </w:r>
      <w:r w:rsidRPr="004D0DAA">
        <w:fldChar w:fldCharType="begin" w:fldLock="1"/>
      </w:r>
      <w:r w:rsidRPr="004D0DAA">
        <w:instrText xml:space="preserve"> PAGEREF _Toc516669874 \h </w:instrText>
      </w:r>
      <w:r w:rsidRPr="004D0DAA">
        <w:fldChar w:fldCharType="separate"/>
      </w:r>
      <w:r w:rsidRPr="004D0DAA">
        <w:t>466</w:t>
      </w:r>
      <w:r w:rsidRPr="004D0DAA">
        <w:fldChar w:fldCharType="end"/>
      </w:r>
    </w:p>
    <w:p w14:paraId="2E7C9B13" w14:textId="77777777" w:rsidR="00683705" w:rsidRPr="004D0DAA" w:rsidRDefault="00683705">
      <w:pPr>
        <w:pStyle w:val="TOC3"/>
        <w:rPr>
          <w:rFonts w:ascii="Calibri" w:hAnsi="Calibri"/>
          <w:sz w:val="22"/>
          <w:szCs w:val="22"/>
          <w:lang w:val="en-US"/>
        </w:rPr>
      </w:pPr>
      <w:r w:rsidRPr="004D0DAA">
        <w:t>11.2.22</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_Toc516669875 \h </w:instrText>
      </w:r>
      <w:r w:rsidRPr="004D0DAA">
        <w:fldChar w:fldCharType="separate"/>
      </w:r>
      <w:r w:rsidRPr="004D0DAA">
        <w:t>466</w:t>
      </w:r>
      <w:r w:rsidRPr="004D0DAA">
        <w:fldChar w:fldCharType="end"/>
      </w:r>
    </w:p>
    <w:p w14:paraId="7D55E9E9" w14:textId="77777777" w:rsidR="00683705" w:rsidRPr="004D0DAA" w:rsidRDefault="00683705">
      <w:pPr>
        <w:pStyle w:val="TOC3"/>
        <w:rPr>
          <w:rFonts w:ascii="Calibri" w:hAnsi="Calibri"/>
          <w:sz w:val="22"/>
          <w:szCs w:val="22"/>
          <w:lang w:val="en-US"/>
        </w:rPr>
      </w:pPr>
      <w:r w:rsidRPr="004D0DAA">
        <w:t>11.2.23</w:t>
      </w:r>
      <w:r w:rsidRPr="004D0DAA">
        <w:rPr>
          <w:rFonts w:ascii="Calibri" w:hAnsi="Calibri"/>
          <w:sz w:val="22"/>
          <w:szCs w:val="22"/>
          <w:lang w:val="en-US"/>
        </w:rPr>
        <w:tab/>
      </w:r>
      <w:r w:rsidRPr="004D0DAA">
        <w:t>Packet System Information Type 5</w:t>
      </w:r>
      <w:r w:rsidRPr="004D0DAA">
        <w:tab/>
      </w:r>
      <w:r w:rsidRPr="004D0DAA">
        <w:fldChar w:fldCharType="begin" w:fldLock="1"/>
      </w:r>
      <w:r w:rsidRPr="004D0DAA">
        <w:instrText xml:space="preserve"> PAGEREF _Toc516669876 \h </w:instrText>
      </w:r>
      <w:r w:rsidRPr="004D0DAA">
        <w:fldChar w:fldCharType="separate"/>
      </w:r>
      <w:r w:rsidRPr="004D0DAA">
        <w:t>466</w:t>
      </w:r>
      <w:r w:rsidRPr="004D0DAA">
        <w:fldChar w:fldCharType="end"/>
      </w:r>
    </w:p>
    <w:p w14:paraId="63FB90D2" w14:textId="77777777" w:rsidR="00683705" w:rsidRPr="004D0DAA" w:rsidRDefault="00683705">
      <w:pPr>
        <w:pStyle w:val="TOC3"/>
        <w:rPr>
          <w:rFonts w:ascii="Calibri" w:hAnsi="Calibri"/>
          <w:sz w:val="22"/>
          <w:szCs w:val="22"/>
          <w:lang w:val="en-US"/>
        </w:rPr>
      </w:pPr>
      <w:r w:rsidRPr="004D0DAA">
        <w:t>11.2.23a</w:t>
      </w:r>
      <w:r w:rsidRPr="004D0DAA">
        <w:rPr>
          <w:rFonts w:ascii="Calibri" w:hAnsi="Calibri"/>
          <w:sz w:val="22"/>
          <w:szCs w:val="22"/>
          <w:lang w:val="en-US"/>
        </w:rPr>
        <w:tab/>
      </w:r>
      <w:r w:rsidRPr="004D0DAA">
        <w:t>Packet System Information Type 6</w:t>
      </w:r>
      <w:r w:rsidRPr="004D0DAA">
        <w:tab/>
      </w:r>
      <w:r w:rsidRPr="004D0DAA">
        <w:fldChar w:fldCharType="begin" w:fldLock="1"/>
      </w:r>
      <w:r w:rsidRPr="004D0DAA">
        <w:instrText xml:space="preserve"> PAGEREF _Toc516669877 \h </w:instrText>
      </w:r>
      <w:r w:rsidRPr="004D0DAA">
        <w:fldChar w:fldCharType="separate"/>
      </w:r>
      <w:r w:rsidRPr="004D0DAA">
        <w:t>470</w:t>
      </w:r>
      <w:r w:rsidRPr="004D0DAA">
        <w:fldChar w:fldCharType="end"/>
      </w:r>
    </w:p>
    <w:p w14:paraId="44EFA7D3" w14:textId="77777777" w:rsidR="00683705" w:rsidRPr="004D0DAA" w:rsidRDefault="00683705">
      <w:pPr>
        <w:pStyle w:val="TOC3"/>
        <w:rPr>
          <w:rFonts w:ascii="Calibri" w:hAnsi="Calibri"/>
          <w:sz w:val="22"/>
          <w:szCs w:val="22"/>
          <w:lang w:val="en-US"/>
        </w:rPr>
      </w:pPr>
      <w:r w:rsidRPr="004D0DAA">
        <w:t>11.2.23b</w:t>
      </w:r>
      <w:r w:rsidRPr="004D0DAA">
        <w:rPr>
          <w:rFonts w:ascii="Calibri" w:hAnsi="Calibri"/>
          <w:sz w:val="22"/>
          <w:szCs w:val="22"/>
          <w:lang w:val="en-US"/>
        </w:rPr>
        <w:tab/>
      </w:r>
      <w:r w:rsidRPr="004D0DAA">
        <w:t>Packet System Information Type 7</w:t>
      </w:r>
      <w:r w:rsidRPr="004D0DAA">
        <w:tab/>
      </w:r>
      <w:r w:rsidRPr="004D0DAA">
        <w:fldChar w:fldCharType="begin" w:fldLock="1"/>
      </w:r>
      <w:r w:rsidRPr="004D0DAA">
        <w:instrText xml:space="preserve"> PAGEREF _Toc516669878 \h </w:instrText>
      </w:r>
      <w:r w:rsidRPr="004D0DAA">
        <w:fldChar w:fldCharType="separate"/>
      </w:r>
      <w:r w:rsidRPr="004D0DAA">
        <w:t>471</w:t>
      </w:r>
      <w:r w:rsidRPr="004D0DAA">
        <w:fldChar w:fldCharType="end"/>
      </w:r>
    </w:p>
    <w:p w14:paraId="390613D5" w14:textId="77777777" w:rsidR="00683705" w:rsidRPr="004D0DAA" w:rsidRDefault="00683705">
      <w:pPr>
        <w:pStyle w:val="TOC3"/>
        <w:rPr>
          <w:rFonts w:ascii="Calibri" w:hAnsi="Calibri"/>
          <w:sz w:val="22"/>
          <w:szCs w:val="22"/>
          <w:lang w:val="en-US"/>
        </w:rPr>
      </w:pPr>
      <w:r w:rsidRPr="004D0DAA">
        <w:t>11.2.24</w:t>
      </w:r>
      <w:r w:rsidRPr="004D0DAA">
        <w:rPr>
          <w:rFonts w:ascii="Calibri" w:hAnsi="Calibri"/>
          <w:sz w:val="22"/>
          <w:szCs w:val="22"/>
          <w:lang w:val="en-US"/>
        </w:rPr>
        <w:tab/>
      </w:r>
      <w:r w:rsidRPr="004D0DAA">
        <w:t>Packet System Information Type 8</w:t>
      </w:r>
      <w:r w:rsidRPr="004D0DAA">
        <w:tab/>
      </w:r>
      <w:r w:rsidRPr="004D0DAA">
        <w:fldChar w:fldCharType="begin" w:fldLock="1"/>
      </w:r>
      <w:r w:rsidRPr="004D0DAA">
        <w:instrText xml:space="preserve"> PAGEREF _Toc516669879 \h </w:instrText>
      </w:r>
      <w:r w:rsidRPr="004D0DAA">
        <w:fldChar w:fldCharType="separate"/>
      </w:r>
      <w:r w:rsidRPr="004D0DAA">
        <w:t>471</w:t>
      </w:r>
      <w:r w:rsidRPr="004D0DAA">
        <w:fldChar w:fldCharType="end"/>
      </w:r>
    </w:p>
    <w:p w14:paraId="3933A57A" w14:textId="77777777" w:rsidR="00683705" w:rsidRPr="004D0DAA" w:rsidRDefault="00683705">
      <w:pPr>
        <w:pStyle w:val="TOC3"/>
        <w:rPr>
          <w:rFonts w:ascii="Calibri" w:hAnsi="Calibri"/>
          <w:sz w:val="22"/>
          <w:szCs w:val="22"/>
          <w:lang w:val="en-US"/>
        </w:rPr>
      </w:pPr>
      <w:r w:rsidRPr="004D0DAA">
        <w:t>11.2.25</w:t>
      </w:r>
      <w:r w:rsidRPr="004D0DAA">
        <w:rPr>
          <w:rFonts w:ascii="Calibri" w:hAnsi="Calibri"/>
          <w:sz w:val="22"/>
          <w:szCs w:val="22"/>
          <w:lang w:val="en-US"/>
        </w:rPr>
        <w:tab/>
      </w:r>
      <w:r w:rsidRPr="004D0DAA">
        <w:t>Packet System Information 13</w:t>
      </w:r>
      <w:r w:rsidRPr="004D0DAA">
        <w:tab/>
      </w:r>
      <w:r w:rsidRPr="004D0DAA">
        <w:fldChar w:fldCharType="begin" w:fldLock="1"/>
      </w:r>
      <w:r w:rsidRPr="004D0DAA">
        <w:instrText xml:space="preserve"> PAGEREF _Toc516669880 \h </w:instrText>
      </w:r>
      <w:r w:rsidRPr="004D0DAA">
        <w:fldChar w:fldCharType="separate"/>
      </w:r>
      <w:r w:rsidRPr="004D0DAA">
        <w:t>473</w:t>
      </w:r>
      <w:r w:rsidRPr="004D0DAA">
        <w:fldChar w:fldCharType="end"/>
      </w:r>
    </w:p>
    <w:p w14:paraId="0D5FFDA9" w14:textId="77777777" w:rsidR="00683705" w:rsidRPr="004D0DAA" w:rsidRDefault="00683705">
      <w:pPr>
        <w:pStyle w:val="TOC3"/>
        <w:rPr>
          <w:rFonts w:ascii="Calibri" w:hAnsi="Calibri"/>
          <w:sz w:val="22"/>
          <w:szCs w:val="22"/>
          <w:lang w:val="en-US"/>
        </w:rPr>
      </w:pPr>
      <w:r w:rsidRPr="004D0DAA">
        <w:t>11.2.25a</w:t>
      </w:r>
      <w:r w:rsidRPr="004D0DAA">
        <w:rPr>
          <w:rFonts w:ascii="Calibri" w:hAnsi="Calibri"/>
          <w:sz w:val="22"/>
          <w:szCs w:val="22"/>
          <w:lang w:val="en-US"/>
        </w:rPr>
        <w:tab/>
      </w:r>
      <w:r w:rsidRPr="004D0DAA">
        <w:t>Packet System Information 14</w:t>
      </w:r>
      <w:r w:rsidRPr="004D0DAA">
        <w:tab/>
      </w:r>
      <w:r w:rsidRPr="004D0DAA">
        <w:fldChar w:fldCharType="begin" w:fldLock="1"/>
      </w:r>
      <w:r w:rsidRPr="004D0DAA">
        <w:instrText xml:space="preserve"> PAGEREF _Toc516669881 \h </w:instrText>
      </w:r>
      <w:r w:rsidRPr="004D0DAA">
        <w:fldChar w:fldCharType="separate"/>
      </w:r>
      <w:r w:rsidRPr="004D0DAA">
        <w:t>477</w:t>
      </w:r>
      <w:r w:rsidRPr="004D0DAA">
        <w:fldChar w:fldCharType="end"/>
      </w:r>
    </w:p>
    <w:p w14:paraId="3692E2AF" w14:textId="77777777" w:rsidR="00683705" w:rsidRPr="004D0DAA" w:rsidRDefault="00683705">
      <w:pPr>
        <w:pStyle w:val="TOC3"/>
        <w:rPr>
          <w:rFonts w:ascii="Calibri" w:hAnsi="Calibri"/>
          <w:sz w:val="22"/>
          <w:szCs w:val="22"/>
          <w:lang w:val="en-US"/>
        </w:rPr>
      </w:pPr>
      <w:r w:rsidRPr="004D0DAA">
        <w:t>11.2.25b</w:t>
      </w:r>
      <w:r w:rsidRPr="004D0DAA">
        <w:rPr>
          <w:rFonts w:ascii="Calibri" w:hAnsi="Calibri"/>
          <w:sz w:val="22"/>
          <w:szCs w:val="22"/>
          <w:lang w:val="en-US"/>
        </w:rPr>
        <w:tab/>
      </w:r>
      <w:r w:rsidRPr="004D0DAA">
        <w:t>Packet System Information 15</w:t>
      </w:r>
      <w:r w:rsidRPr="004D0DAA">
        <w:tab/>
      </w:r>
      <w:r w:rsidRPr="004D0DAA">
        <w:fldChar w:fldCharType="begin" w:fldLock="1"/>
      </w:r>
      <w:r w:rsidRPr="004D0DAA">
        <w:instrText xml:space="preserve"> PAGEREF _Toc516669882 \h </w:instrText>
      </w:r>
      <w:r w:rsidRPr="004D0DAA">
        <w:fldChar w:fldCharType="separate"/>
      </w:r>
      <w:r w:rsidRPr="004D0DAA">
        <w:t>479</w:t>
      </w:r>
      <w:r w:rsidRPr="004D0DAA">
        <w:fldChar w:fldCharType="end"/>
      </w:r>
    </w:p>
    <w:p w14:paraId="3C0F2672" w14:textId="77777777" w:rsidR="00683705" w:rsidRPr="004D0DAA" w:rsidRDefault="00683705">
      <w:pPr>
        <w:pStyle w:val="TOC3"/>
        <w:rPr>
          <w:rFonts w:ascii="Calibri" w:hAnsi="Calibri"/>
          <w:sz w:val="22"/>
          <w:szCs w:val="22"/>
          <w:lang w:val="en-US"/>
        </w:rPr>
      </w:pPr>
      <w:r w:rsidRPr="004D0DAA">
        <w:t>11.2.25c</w:t>
      </w:r>
      <w:r w:rsidRPr="004D0DAA">
        <w:rPr>
          <w:rFonts w:ascii="Calibri" w:hAnsi="Calibri"/>
          <w:sz w:val="22"/>
          <w:szCs w:val="22"/>
          <w:lang w:val="en-US"/>
        </w:rPr>
        <w:tab/>
      </w:r>
      <w:r w:rsidRPr="004D0DAA">
        <w:t>Packet System Information Type 16</w:t>
      </w:r>
      <w:r w:rsidRPr="004D0DAA">
        <w:tab/>
      </w:r>
      <w:r w:rsidRPr="004D0DAA">
        <w:fldChar w:fldCharType="begin" w:fldLock="1"/>
      </w:r>
      <w:r w:rsidRPr="004D0DAA">
        <w:instrText xml:space="preserve"> PAGEREF _Toc516669883 \h </w:instrText>
      </w:r>
      <w:r w:rsidRPr="004D0DAA">
        <w:fldChar w:fldCharType="separate"/>
      </w:r>
      <w:r w:rsidRPr="004D0DAA">
        <w:t>479</w:t>
      </w:r>
      <w:r w:rsidRPr="004D0DAA">
        <w:fldChar w:fldCharType="end"/>
      </w:r>
    </w:p>
    <w:p w14:paraId="2C42B935" w14:textId="77777777" w:rsidR="00683705" w:rsidRPr="004D0DAA" w:rsidRDefault="00683705">
      <w:pPr>
        <w:pStyle w:val="TOC3"/>
        <w:rPr>
          <w:rFonts w:ascii="Calibri" w:hAnsi="Calibri"/>
          <w:sz w:val="22"/>
          <w:szCs w:val="22"/>
          <w:lang w:val="en-US"/>
        </w:rPr>
      </w:pPr>
      <w:r w:rsidRPr="004D0DAA">
        <w:t>11.2.26</w:t>
      </w:r>
      <w:r w:rsidRPr="004D0DAA">
        <w:rPr>
          <w:rFonts w:ascii="Calibri" w:hAnsi="Calibri"/>
          <w:sz w:val="22"/>
          <w:szCs w:val="22"/>
          <w:lang w:val="en-US"/>
        </w:rPr>
        <w:tab/>
      </w:r>
      <w:r w:rsidRPr="004D0DAA">
        <w:t>Packet TBF Release</w:t>
      </w:r>
      <w:r w:rsidRPr="004D0DAA">
        <w:tab/>
      </w:r>
      <w:r w:rsidRPr="004D0DAA">
        <w:fldChar w:fldCharType="begin" w:fldLock="1"/>
      </w:r>
      <w:r w:rsidRPr="004D0DAA">
        <w:instrText xml:space="preserve"> PAGEREF _Toc516669884 \h </w:instrText>
      </w:r>
      <w:r w:rsidRPr="004D0DAA">
        <w:fldChar w:fldCharType="separate"/>
      </w:r>
      <w:r w:rsidRPr="004D0DAA">
        <w:t>481</w:t>
      </w:r>
      <w:r w:rsidRPr="004D0DAA">
        <w:fldChar w:fldCharType="end"/>
      </w:r>
    </w:p>
    <w:p w14:paraId="16C7FF46" w14:textId="77777777" w:rsidR="00683705" w:rsidRPr="004D0DAA" w:rsidRDefault="00683705">
      <w:pPr>
        <w:pStyle w:val="TOC3"/>
        <w:rPr>
          <w:rFonts w:ascii="Calibri" w:hAnsi="Calibri"/>
          <w:sz w:val="22"/>
          <w:szCs w:val="22"/>
          <w:lang w:val="en-US"/>
        </w:rPr>
      </w:pPr>
      <w:r w:rsidRPr="004D0DAA">
        <w:t>11.2.27</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_Toc516669885 \h </w:instrText>
      </w:r>
      <w:r w:rsidRPr="004D0DAA">
        <w:fldChar w:fldCharType="separate"/>
      </w:r>
      <w:r w:rsidRPr="004D0DAA">
        <w:t>482</w:t>
      </w:r>
      <w:r w:rsidRPr="004D0DAA">
        <w:fldChar w:fldCharType="end"/>
      </w:r>
    </w:p>
    <w:p w14:paraId="1198CBD1" w14:textId="77777777" w:rsidR="00683705" w:rsidRPr="004D0DAA" w:rsidRDefault="00683705">
      <w:pPr>
        <w:pStyle w:val="TOC3"/>
        <w:rPr>
          <w:rFonts w:ascii="Calibri" w:hAnsi="Calibri"/>
          <w:sz w:val="22"/>
          <w:szCs w:val="22"/>
          <w:lang w:val="en-US"/>
        </w:rPr>
      </w:pPr>
      <w:r w:rsidRPr="004D0DAA">
        <w:t>11.2.28</w:t>
      </w:r>
      <w:r w:rsidRPr="004D0DAA">
        <w:rPr>
          <w:rFonts w:ascii="Calibri" w:hAnsi="Calibri"/>
          <w:sz w:val="22"/>
          <w:szCs w:val="22"/>
          <w:lang w:val="en-US"/>
        </w:rPr>
        <w:tab/>
      </w:r>
      <w:r w:rsidRPr="004D0DAA">
        <w:t>Packet Uplink Ack/Nack</w:t>
      </w:r>
      <w:r w:rsidRPr="004D0DAA">
        <w:tab/>
      </w:r>
      <w:r w:rsidRPr="004D0DAA">
        <w:fldChar w:fldCharType="begin" w:fldLock="1"/>
      </w:r>
      <w:r w:rsidRPr="004D0DAA">
        <w:instrText xml:space="preserve"> PAGEREF _Toc516669886 \h </w:instrText>
      </w:r>
      <w:r w:rsidRPr="004D0DAA">
        <w:fldChar w:fldCharType="separate"/>
      </w:r>
      <w:r w:rsidRPr="004D0DAA">
        <w:t>482</w:t>
      </w:r>
      <w:r w:rsidRPr="004D0DAA">
        <w:fldChar w:fldCharType="end"/>
      </w:r>
    </w:p>
    <w:p w14:paraId="2DCFCAEC" w14:textId="77777777" w:rsidR="00683705" w:rsidRPr="004D0DAA" w:rsidRDefault="00683705">
      <w:pPr>
        <w:pStyle w:val="TOC3"/>
        <w:rPr>
          <w:rFonts w:ascii="Calibri" w:hAnsi="Calibri"/>
          <w:sz w:val="22"/>
          <w:szCs w:val="22"/>
          <w:lang w:val="en-US"/>
        </w:rPr>
      </w:pPr>
      <w:r w:rsidRPr="004D0DAA">
        <w:t>11.2.28a</w:t>
      </w:r>
      <w:r w:rsidRPr="004D0DAA">
        <w:rPr>
          <w:rFonts w:ascii="Calibri" w:hAnsi="Calibri"/>
          <w:sz w:val="22"/>
          <w:szCs w:val="22"/>
          <w:lang w:val="en-US"/>
        </w:rPr>
        <w:tab/>
      </w:r>
      <w:r w:rsidRPr="004D0DAA">
        <w:t>Packet DBPSCH Uplink Ack/Nack</w:t>
      </w:r>
      <w:r w:rsidRPr="004D0DAA">
        <w:tab/>
      </w:r>
      <w:r w:rsidRPr="004D0DAA">
        <w:fldChar w:fldCharType="begin" w:fldLock="1"/>
      </w:r>
      <w:r w:rsidRPr="004D0DAA">
        <w:instrText xml:space="preserve"> PAGEREF _Toc516669887 \h </w:instrText>
      </w:r>
      <w:r w:rsidRPr="004D0DAA">
        <w:fldChar w:fldCharType="separate"/>
      </w:r>
      <w:r w:rsidRPr="004D0DAA">
        <w:t>485</w:t>
      </w:r>
      <w:r w:rsidRPr="004D0DAA">
        <w:fldChar w:fldCharType="end"/>
      </w:r>
    </w:p>
    <w:p w14:paraId="17A889D7" w14:textId="77777777" w:rsidR="00683705" w:rsidRPr="004D0DAA" w:rsidRDefault="00683705">
      <w:pPr>
        <w:pStyle w:val="TOC3"/>
        <w:rPr>
          <w:rFonts w:ascii="Calibri" w:hAnsi="Calibri"/>
          <w:sz w:val="22"/>
          <w:szCs w:val="22"/>
          <w:lang w:val="en-US"/>
        </w:rPr>
      </w:pPr>
      <w:r w:rsidRPr="004D0DAA">
        <w:t>11.2.28b</w:t>
      </w:r>
      <w:r w:rsidRPr="004D0DAA">
        <w:rPr>
          <w:rFonts w:ascii="Calibri" w:hAnsi="Calibri"/>
          <w:sz w:val="22"/>
          <w:szCs w:val="22"/>
          <w:lang w:val="en-US"/>
        </w:rPr>
        <w:tab/>
      </w:r>
      <w:r w:rsidRPr="004D0DAA">
        <w:t>Packet DBPSCH Uplink Ack/Nack Type 2</w:t>
      </w:r>
      <w:r w:rsidRPr="004D0DAA">
        <w:tab/>
      </w:r>
      <w:r w:rsidRPr="004D0DAA">
        <w:fldChar w:fldCharType="begin" w:fldLock="1"/>
      </w:r>
      <w:r w:rsidRPr="004D0DAA">
        <w:instrText xml:space="preserve"> PAGEREF _Toc516669888 \h </w:instrText>
      </w:r>
      <w:r w:rsidRPr="004D0DAA">
        <w:fldChar w:fldCharType="separate"/>
      </w:r>
      <w:r w:rsidRPr="004D0DAA">
        <w:t>487</w:t>
      </w:r>
      <w:r w:rsidRPr="004D0DAA">
        <w:fldChar w:fldCharType="end"/>
      </w:r>
    </w:p>
    <w:p w14:paraId="37BCC93C" w14:textId="77777777" w:rsidR="00683705" w:rsidRPr="004D0DAA" w:rsidRDefault="00683705">
      <w:pPr>
        <w:pStyle w:val="TOC3"/>
        <w:rPr>
          <w:rFonts w:ascii="Calibri" w:hAnsi="Calibri"/>
          <w:sz w:val="22"/>
          <w:szCs w:val="22"/>
          <w:lang w:val="en-US"/>
        </w:rPr>
      </w:pPr>
      <w:r w:rsidRPr="004D0DAA">
        <w:t>11.2.29</w:t>
      </w:r>
      <w:r w:rsidRPr="004D0DAA">
        <w:rPr>
          <w:rFonts w:ascii="Calibri" w:hAnsi="Calibri"/>
          <w:sz w:val="22"/>
          <w:szCs w:val="22"/>
          <w:lang w:val="en-US"/>
        </w:rPr>
        <w:tab/>
      </w:r>
      <w:r w:rsidRPr="004D0DAA">
        <w:t>Packet Uplink Assignment</w:t>
      </w:r>
      <w:r w:rsidRPr="004D0DAA">
        <w:tab/>
      </w:r>
      <w:r w:rsidRPr="004D0DAA">
        <w:fldChar w:fldCharType="begin" w:fldLock="1"/>
      </w:r>
      <w:r w:rsidRPr="004D0DAA">
        <w:instrText xml:space="preserve"> PAGEREF _Toc516669889 \h </w:instrText>
      </w:r>
      <w:r w:rsidRPr="004D0DAA">
        <w:fldChar w:fldCharType="separate"/>
      </w:r>
      <w:r w:rsidRPr="004D0DAA">
        <w:t>487</w:t>
      </w:r>
      <w:r w:rsidRPr="004D0DAA">
        <w:fldChar w:fldCharType="end"/>
      </w:r>
    </w:p>
    <w:p w14:paraId="6080CB40" w14:textId="77777777" w:rsidR="00683705" w:rsidRPr="004D0DAA" w:rsidRDefault="00683705">
      <w:pPr>
        <w:pStyle w:val="TOC4"/>
        <w:rPr>
          <w:rFonts w:ascii="Calibri" w:hAnsi="Calibri"/>
          <w:sz w:val="22"/>
          <w:szCs w:val="22"/>
          <w:lang w:val="en-US"/>
        </w:rPr>
      </w:pPr>
      <w:r w:rsidRPr="004D0DAA">
        <w:t>11.2.29.1</w:t>
      </w:r>
      <w:r w:rsidRPr="004D0DAA">
        <w:rPr>
          <w:rFonts w:ascii="Calibri" w:hAnsi="Calibri"/>
          <w:sz w:val="22"/>
          <w:szCs w:val="22"/>
          <w:lang w:val="en-US"/>
        </w:rPr>
        <w:tab/>
      </w:r>
      <w:r w:rsidRPr="004D0DAA">
        <w:t>Special requirements in dual transfer mode for uplink TBF</w:t>
      </w:r>
      <w:r w:rsidRPr="004D0DAA">
        <w:tab/>
      </w:r>
      <w:r w:rsidRPr="004D0DAA">
        <w:fldChar w:fldCharType="begin" w:fldLock="1"/>
      </w:r>
      <w:r w:rsidRPr="004D0DAA">
        <w:instrText xml:space="preserve"> PAGEREF _Toc516669890 \h </w:instrText>
      </w:r>
      <w:r w:rsidRPr="004D0DAA">
        <w:fldChar w:fldCharType="separate"/>
      </w:r>
      <w:r w:rsidRPr="004D0DAA">
        <w:t>500</w:t>
      </w:r>
      <w:r w:rsidRPr="004D0DAA">
        <w:fldChar w:fldCharType="end"/>
      </w:r>
    </w:p>
    <w:p w14:paraId="480248E4" w14:textId="77777777" w:rsidR="00683705" w:rsidRPr="004D0DAA" w:rsidRDefault="00683705">
      <w:pPr>
        <w:pStyle w:val="TOC3"/>
        <w:rPr>
          <w:rFonts w:ascii="Calibri" w:hAnsi="Calibri"/>
          <w:sz w:val="22"/>
          <w:szCs w:val="22"/>
          <w:lang w:val="en-US"/>
        </w:rPr>
      </w:pPr>
      <w:r w:rsidRPr="004D0DAA">
        <w:t>11.2.29a</w:t>
      </w:r>
      <w:r w:rsidRPr="004D0DAA">
        <w:rPr>
          <w:rFonts w:ascii="Calibri" w:hAnsi="Calibri"/>
          <w:sz w:val="22"/>
          <w:szCs w:val="22"/>
          <w:lang w:val="en-US"/>
        </w:rPr>
        <w:tab/>
      </w:r>
      <w:r w:rsidRPr="004D0DAA">
        <w:t>Multiple TBF Uplink Assignment</w:t>
      </w:r>
      <w:r w:rsidRPr="004D0DAA">
        <w:tab/>
      </w:r>
      <w:r w:rsidRPr="004D0DAA">
        <w:fldChar w:fldCharType="begin" w:fldLock="1"/>
      </w:r>
      <w:r w:rsidRPr="004D0DAA">
        <w:instrText xml:space="preserve"> PAGEREF _Toc516669891 \h </w:instrText>
      </w:r>
      <w:r w:rsidRPr="004D0DAA">
        <w:fldChar w:fldCharType="separate"/>
      </w:r>
      <w:r w:rsidRPr="004D0DAA">
        <w:t>501</w:t>
      </w:r>
      <w:r w:rsidRPr="004D0DAA">
        <w:fldChar w:fldCharType="end"/>
      </w:r>
    </w:p>
    <w:p w14:paraId="1AB32939" w14:textId="77777777" w:rsidR="00683705" w:rsidRPr="004D0DAA" w:rsidRDefault="00683705">
      <w:pPr>
        <w:pStyle w:val="TOC3"/>
        <w:rPr>
          <w:rFonts w:ascii="Calibri" w:hAnsi="Calibri"/>
          <w:sz w:val="22"/>
          <w:szCs w:val="22"/>
          <w:lang w:val="en-US"/>
        </w:rPr>
      </w:pPr>
      <w:r w:rsidRPr="004D0DAA">
        <w:t>11.2.30</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_Toc516669892 \h </w:instrText>
      </w:r>
      <w:r w:rsidRPr="004D0DAA">
        <w:fldChar w:fldCharType="separate"/>
      </w:r>
      <w:r w:rsidRPr="004D0DAA">
        <w:t>510</w:t>
      </w:r>
      <w:r w:rsidRPr="004D0DAA">
        <w:fldChar w:fldCharType="end"/>
      </w:r>
    </w:p>
    <w:p w14:paraId="664133BD" w14:textId="77777777" w:rsidR="00683705" w:rsidRPr="004D0DAA" w:rsidRDefault="00683705">
      <w:pPr>
        <w:pStyle w:val="TOC3"/>
        <w:rPr>
          <w:rFonts w:ascii="Calibri" w:hAnsi="Calibri"/>
          <w:sz w:val="22"/>
          <w:szCs w:val="22"/>
          <w:lang w:val="en-US"/>
        </w:rPr>
      </w:pPr>
      <w:r w:rsidRPr="004D0DAA">
        <w:t>11.2.30a</w:t>
      </w:r>
      <w:r w:rsidRPr="004D0DAA">
        <w:rPr>
          <w:rFonts w:ascii="Calibri" w:hAnsi="Calibri"/>
          <w:sz w:val="22"/>
          <w:szCs w:val="22"/>
          <w:lang w:val="en-US"/>
        </w:rPr>
        <w:tab/>
      </w:r>
      <w:r w:rsidRPr="004D0DAA">
        <w:t>Packet Pause</w:t>
      </w:r>
      <w:r w:rsidRPr="004D0DAA">
        <w:tab/>
      </w:r>
      <w:r w:rsidRPr="004D0DAA">
        <w:fldChar w:fldCharType="begin" w:fldLock="1"/>
      </w:r>
      <w:r w:rsidRPr="004D0DAA">
        <w:instrText xml:space="preserve"> PAGEREF _Toc516669893 \h </w:instrText>
      </w:r>
      <w:r w:rsidRPr="004D0DAA">
        <w:fldChar w:fldCharType="separate"/>
      </w:r>
      <w:r w:rsidRPr="004D0DAA">
        <w:t>510</w:t>
      </w:r>
      <w:r w:rsidRPr="004D0DAA">
        <w:fldChar w:fldCharType="end"/>
      </w:r>
    </w:p>
    <w:p w14:paraId="6E6AD72A" w14:textId="77777777" w:rsidR="00683705" w:rsidRPr="004D0DAA" w:rsidRDefault="00683705">
      <w:pPr>
        <w:pStyle w:val="TOC3"/>
        <w:rPr>
          <w:rFonts w:ascii="Calibri" w:hAnsi="Calibri"/>
          <w:sz w:val="22"/>
          <w:szCs w:val="22"/>
          <w:lang w:val="en-US"/>
        </w:rPr>
      </w:pPr>
      <w:r w:rsidRPr="004D0DAA">
        <w:t>11.2.31</w:t>
      </w:r>
      <w:r w:rsidRPr="004D0DAA">
        <w:rPr>
          <w:rFonts w:ascii="Calibri" w:hAnsi="Calibri"/>
          <w:sz w:val="22"/>
          <w:szCs w:val="22"/>
          <w:lang w:val="en-US"/>
        </w:rPr>
        <w:tab/>
      </w:r>
      <w:r w:rsidRPr="004D0DAA">
        <w:t>Packet Timeslot Reconfigure</w:t>
      </w:r>
      <w:r w:rsidRPr="004D0DAA">
        <w:tab/>
      </w:r>
      <w:r w:rsidRPr="004D0DAA">
        <w:fldChar w:fldCharType="begin" w:fldLock="1"/>
      </w:r>
      <w:r w:rsidRPr="004D0DAA">
        <w:instrText xml:space="preserve"> PAGEREF _Toc516669894 \h </w:instrText>
      </w:r>
      <w:r w:rsidRPr="004D0DAA">
        <w:fldChar w:fldCharType="separate"/>
      </w:r>
      <w:r w:rsidRPr="004D0DAA">
        <w:t>511</w:t>
      </w:r>
      <w:r w:rsidRPr="004D0DAA">
        <w:fldChar w:fldCharType="end"/>
      </w:r>
    </w:p>
    <w:p w14:paraId="13CD499E" w14:textId="77777777" w:rsidR="00683705" w:rsidRPr="004D0DAA" w:rsidRDefault="00683705">
      <w:pPr>
        <w:pStyle w:val="TOC4"/>
        <w:rPr>
          <w:rFonts w:ascii="Calibri" w:hAnsi="Calibri"/>
          <w:sz w:val="22"/>
          <w:szCs w:val="22"/>
          <w:lang w:val="en-US"/>
        </w:rPr>
      </w:pPr>
      <w:r w:rsidRPr="004D0DAA">
        <w:t>11.2.31.1</w:t>
      </w:r>
      <w:r w:rsidRPr="004D0DAA">
        <w:rPr>
          <w:rFonts w:ascii="Calibri" w:hAnsi="Calibri"/>
          <w:sz w:val="22"/>
          <w:szCs w:val="22"/>
          <w:lang w:val="en-US"/>
        </w:rPr>
        <w:tab/>
      </w:r>
      <w:r w:rsidRPr="004D0DAA">
        <w:t>Special requirements in dual transfer mode</w:t>
      </w:r>
      <w:r w:rsidRPr="004D0DAA">
        <w:tab/>
      </w:r>
      <w:r w:rsidRPr="004D0DAA">
        <w:fldChar w:fldCharType="begin" w:fldLock="1"/>
      </w:r>
      <w:r w:rsidRPr="004D0DAA">
        <w:instrText xml:space="preserve"> PAGEREF _Toc516669895 \h </w:instrText>
      </w:r>
      <w:r w:rsidRPr="004D0DAA">
        <w:fldChar w:fldCharType="separate"/>
      </w:r>
      <w:r w:rsidRPr="004D0DAA">
        <w:t>526</w:t>
      </w:r>
      <w:r w:rsidRPr="004D0DAA">
        <w:fldChar w:fldCharType="end"/>
      </w:r>
    </w:p>
    <w:p w14:paraId="458DE07B" w14:textId="77777777" w:rsidR="00683705" w:rsidRPr="004D0DAA" w:rsidRDefault="00683705">
      <w:pPr>
        <w:pStyle w:val="TOC3"/>
        <w:rPr>
          <w:rFonts w:ascii="Calibri" w:hAnsi="Calibri"/>
          <w:sz w:val="22"/>
          <w:szCs w:val="22"/>
          <w:lang w:val="en-US"/>
        </w:rPr>
      </w:pPr>
      <w:r w:rsidRPr="004D0DAA">
        <w:t>11.2.31a</w:t>
      </w:r>
      <w:r w:rsidRPr="004D0DAA">
        <w:rPr>
          <w:rFonts w:ascii="Calibri" w:hAnsi="Calibri"/>
          <w:sz w:val="22"/>
          <w:szCs w:val="22"/>
          <w:lang w:val="en-US"/>
        </w:rPr>
        <w:tab/>
      </w:r>
      <w:r w:rsidRPr="004D0DAA">
        <w:t>Multiple TBF Timeslot Reconfigure</w:t>
      </w:r>
      <w:r w:rsidRPr="004D0DAA">
        <w:tab/>
      </w:r>
      <w:r w:rsidRPr="004D0DAA">
        <w:fldChar w:fldCharType="begin" w:fldLock="1"/>
      </w:r>
      <w:r w:rsidRPr="004D0DAA">
        <w:instrText xml:space="preserve"> PAGEREF _Toc516669896 \h </w:instrText>
      </w:r>
      <w:r w:rsidRPr="004D0DAA">
        <w:fldChar w:fldCharType="separate"/>
      </w:r>
      <w:r w:rsidRPr="004D0DAA">
        <w:t>527</w:t>
      </w:r>
      <w:r w:rsidRPr="004D0DAA">
        <w:fldChar w:fldCharType="end"/>
      </w:r>
    </w:p>
    <w:p w14:paraId="6EE99D5B" w14:textId="77777777" w:rsidR="00683705" w:rsidRPr="004D0DAA" w:rsidRDefault="00683705">
      <w:pPr>
        <w:pStyle w:val="TOC3"/>
        <w:rPr>
          <w:rFonts w:ascii="Calibri" w:hAnsi="Calibri"/>
          <w:sz w:val="22"/>
          <w:szCs w:val="22"/>
          <w:lang w:val="en-US"/>
        </w:rPr>
      </w:pPr>
      <w:r w:rsidRPr="004D0DAA">
        <w:t>11.2.32</w:t>
      </w:r>
      <w:r w:rsidRPr="004D0DAA">
        <w:rPr>
          <w:rFonts w:ascii="Calibri" w:hAnsi="Calibri"/>
          <w:sz w:val="22"/>
          <w:szCs w:val="22"/>
          <w:lang w:val="en-US"/>
        </w:rPr>
        <w:tab/>
      </w:r>
      <w:r w:rsidRPr="004D0DAA">
        <w:t>Additional MS Radio Access Capabilities</w:t>
      </w:r>
      <w:r w:rsidRPr="004D0DAA">
        <w:tab/>
      </w:r>
      <w:r w:rsidRPr="004D0DAA">
        <w:fldChar w:fldCharType="begin" w:fldLock="1"/>
      </w:r>
      <w:r w:rsidRPr="004D0DAA">
        <w:instrText xml:space="preserve"> PAGEREF _Toc516669897 \h </w:instrText>
      </w:r>
      <w:r w:rsidRPr="004D0DAA">
        <w:fldChar w:fldCharType="separate"/>
      </w:r>
      <w:r w:rsidRPr="004D0DAA">
        <w:t>537</w:t>
      </w:r>
      <w:r w:rsidRPr="004D0DAA">
        <w:fldChar w:fldCharType="end"/>
      </w:r>
    </w:p>
    <w:p w14:paraId="1346A1A0" w14:textId="77777777" w:rsidR="00683705" w:rsidRPr="004D0DAA" w:rsidRDefault="00683705">
      <w:pPr>
        <w:pStyle w:val="TOC3"/>
        <w:rPr>
          <w:rFonts w:ascii="Calibri" w:hAnsi="Calibri"/>
          <w:sz w:val="22"/>
          <w:szCs w:val="22"/>
          <w:lang w:val="en-US"/>
        </w:rPr>
      </w:pPr>
      <w:r w:rsidRPr="004D0DAA">
        <w:t>11.2.33</w:t>
      </w:r>
      <w:r w:rsidRPr="004D0DAA">
        <w:rPr>
          <w:rFonts w:ascii="Calibri" w:hAnsi="Calibri"/>
          <w:sz w:val="22"/>
          <w:szCs w:val="22"/>
          <w:lang w:val="en-US"/>
        </w:rPr>
        <w:tab/>
      </w:r>
      <w:r w:rsidRPr="004D0DAA">
        <w:t>Handover Access (</w:t>
      </w:r>
      <w:r w:rsidRPr="004D0DAA">
        <w:rPr>
          <w:i/>
          <w:iCs/>
        </w:rPr>
        <w:t>Iu mode only</w:t>
      </w:r>
      <w:r w:rsidRPr="004D0DAA">
        <w:t>)</w:t>
      </w:r>
      <w:r w:rsidRPr="004D0DAA">
        <w:tab/>
      </w:r>
      <w:r w:rsidRPr="004D0DAA">
        <w:fldChar w:fldCharType="begin" w:fldLock="1"/>
      </w:r>
      <w:r w:rsidRPr="004D0DAA">
        <w:instrText xml:space="preserve"> PAGEREF _Toc516669898 \h </w:instrText>
      </w:r>
      <w:r w:rsidRPr="004D0DAA">
        <w:fldChar w:fldCharType="separate"/>
      </w:r>
      <w:r w:rsidRPr="004D0DAA">
        <w:t>537</w:t>
      </w:r>
      <w:r w:rsidRPr="004D0DAA">
        <w:fldChar w:fldCharType="end"/>
      </w:r>
    </w:p>
    <w:p w14:paraId="17B32A74" w14:textId="77777777" w:rsidR="00683705" w:rsidRPr="004D0DAA" w:rsidRDefault="00683705">
      <w:pPr>
        <w:pStyle w:val="TOC3"/>
        <w:rPr>
          <w:rFonts w:ascii="Calibri" w:hAnsi="Calibri"/>
          <w:sz w:val="22"/>
          <w:szCs w:val="22"/>
          <w:lang w:val="en-US"/>
        </w:rPr>
      </w:pPr>
      <w:r w:rsidRPr="004D0DAA">
        <w:t>11.2.34</w:t>
      </w:r>
      <w:r w:rsidRPr="004D0DAA">
        <w:rPr>
          <w:rFonts w:ascii="Calibri" w:hAnsi="Calibri"/>
          <w:sz w:val="22"/>
          <w:szCs w:val="22"/>
          <w:lang w:val="en-US"/>
        </w:rPr>
        <w:tab/>
      </w:r>
      <w:r w:rsidRPr="004D0DAA">
        <w:t>Physical Information (</w:t>
      </w:r>
      <w:r w:rsidRPr="004D0DAA">
        <w:rPr>
          <w:i/>
          <w:iCs/>
        </w:rPr>
        <w:t>Iu mode only</w:t>
      </w:r>
      <w:r w:rsidRPr="004D0DAA">
        <w:t>)</w:t>
      </w:r>
      <w:r w:rsidRPr="004D0DAA">
        <w:tab/>
      </w:r>
      <w:r w:rsidRPr="004D0DAA">
        <w:fldChar w:fldCharType="begin" w:fldLock="1"/>
      </w:r>
      <w:r w:rsidRPr="004D0DAA">
        <w:instrText xml:space="preserve"> PAGEREF _Toc516669899 \h </w:instrText>
      </w:r>
      <w:r w:rsidRPr="004D0DAA">
        <w:fldChar w:fldCharType="separate"/>
      </w:r>
      <w:r w:rsidRPr="004D0DAA">
        <w:t>538</w:t>
      </w:r>
      <w:r w:rsidRPr="004D0DAA">
        <w:fldChar w:fldCharType="end"/>
      </w:r>
    </w:p>
    <w:p w14:paraId="4F7067E0" w14:textId="77777777" w:rsidR="00683705" w:rsidRPr="004D0DAA" w:rsidRDefault="00683705">
      <w:pPr>
        <w:pStyle w:val="TOC3"/>
        <w:rPr>
          <w:rFonts w:ascii="Calibri" w:hAnsi="Calibri"/>
          <w:sz w:val="22"/>
          <w:szCs w:val="22"/>
          <w:lang w:val="en-US"/>
        </w:rPr>
      </w:pPr>
      <w:r w:rsidRPr="004D0DAA">
        <w:t>11.2.35</w:t>
      </w:r>
      <w:r w:rsidRPr="004D0DAA">
        <w:rPr>
          <w:rFonts w:ascii="Calibri" w:hAnsi="Calibri"/>
          <w:sz w:val="22"/>
          <w:szCs w:val="22"/>
          <w:lang w:val="en-US"/>
        </w:rPr>
        <w:tab/>
      </w:r>
      <w:r w:rsidRPr="004D0DAA">
        <w:t>Packet CS Request</w:t>
      </w:r>
      <w:r w:rsidRPr="004D0DAA">
        <w:tab/>
      </w:r>
      <w:r w:rsidRPr="004D0DAA">
        <w:fldChar w:fldCharType="begin" w:fldLock="1"/>
      </w:r>
      <w:r w:rsidRPr="004D0DAA">
        <w:instrText xml:space="preserve"> PAGEREF _Toc516669900 \h </w:instrText>
      </w:r>
      <w:r w:rsidRPr="004D0DAA">
        <w:fldChar w:fldCharType="separate"/>
      </w:r>
      <w:r w:rsidRPr="004D0DAA">
        <w:t>538</w:t>
      </w:r>
      <w:r w:rsidRPr="004D0DAA">
        <w:fldChar w:fldCharType="end"/>
      </w:r>
    </w:p>
    <w:p w14:paraId="264DDE02" w14:textId="77777777" w:rsidR="00683705" w:rsidRPr="004D0DAA" w:rsidRDefault="00683705">
      <w:pPr>
        <w:pStyle w:val="TOC3"/>
        <w:rPr>
          <w:rFonts w:ascii="Calibri" w:hAnsi="Calibri"/>
          <w:sz w:val="22"/>
          <w:szCs w:val="22"/>
          <w:lang w:val="en-US"/>
        </w:rPr>
      </w:pPr>
      <w:r w:rsidRPr="004D0DAA">
        <w:t>11.2.36</w:t>
      </w:r>
      <w:r w:rsidRPr="004D0DAA">
        <w:rPr>
          <w:rFonts w:ascii="Calibri" w:hAnsi="Calibri"/>
          <w:sz w:val="22"/>
          <w:szCs w:val="22"/>
          <w:lang w:val="en-US"/>
        </w:rPr>
        <w:tab/>
      </w:r>
      <w:r w:rsidRPr="004D0DAA">
        <w:t>Packet CS Command</w:t>
      </w:r>
      <w:r w:rsidRPr="004D0DAA">
        <w:tab/>
      </w:r>
      <w:r w:rsidRPr="004D0DAA">
        <w:fldChar w:fldCharType="begin" w:fldLock="1"/>
      </w:r>
      <w:r w:rsidRPr="004D0DAA">
        <w:instrText xml:space="preserve"> PAGEREF _Toc516669901 \h </w:instrText>
      </w:r>
      <w:r w:rsidRPr="004D0DAA">
        <w:fldChar w:fldCharType="separate"/>
      </w:r>
      <w:r w:rsidRPr="004D0DAA">
        <w:t>539</w:t>
      </w:r>
      <w:r w:rsidRPr="004D0DAA">
        <w:fldChar w:fldCharType="end"/>
      </w:r>
    </w:p>
    <w:p w14:paraId="144AC035" w14:textId="77777777" w:rsidR="00683705" w:rsidRPr="004D0DAA" w:rsidRDefault="00683705">
      <w:pPr>
        <w:pStyle w:val="TOC3"/>
        <w:rPr>
          <w:rFonts w:ascii="Calibri" w:hAnsi="Calibri"/>
          <w:sz w:val="22"/>
          <w:szCs w:val="22"/>
          <w:lang w:val="en-US"/>
        </w:rPr>
      </w:pPr>
      <w:r w:rsidRPr="004D0DAA">
        <w:t>11.2.37</w:t>
      </w:r>
      <w:r w:rsidRPr="004D0DAA">
        <w:rPr>
          <w:rFonts w:ascii="Calibri" w:hAnsi="Calibri"/>
          <w:sz w:val="22"/>
          <w:szCs w:val="22"/>
          <w:lang w:val="en-US"/>
        </w:rPr>
        <w:tab/>
      </w:r>
      <w:r w:rsidRPr="004D0DAA">
        <w:t>Packet CS Release Indication</w:t>
      </w:r>
      <w:r w:rsidRPr="004D0DAA">
        <w:tab/>
      </w:r>
      <w:r w:rsidRPr="004D0DAA">
        <w:fldChar w:fldCharType="begin" w:fldLock="1"/>
      </w:r>
      <w:r w:rsidRPr="004D0DAA">
        <w:instrText xml:space="preserve"> PAGEREF _Toc516669902 \h </w:instrText>
      </w:r>
      <w:r w:rsidRPr="004D0DAA">
        <w:fldChar w:fldCharType="separate"/>
      </w:r>
      <w:r w:rsidRPr="004D0DAA">
        <w:t>540</w:t>
      </w:r>
      <w:r w:rsidRPr="004D0DAA">
        <w:fldChar w:fldCharType="end"/>
      </w:r>
    </w:p>
    <w:p w14:paraId="12BC5DB1" w14:textId="77777777" w:rsidR="00683705" w:rsidRPr="004D0DAA" w:rsidRDefault="00683705">
      <w:pPr>
        <w:pStyle w:val="TOC3"/>
        <w:rPr>
          <w:rFonts w:ascii="Calibri" w:hAnsi="Calibri"/>
          <w:sz w:val="22"/>
          <w:szCs w:val="22"/>
          <w:lang w:val="en-US"/>
        </w:rPr>
      </w:pPr>
      <w:r w:rsidRPr="004D0DAA">
        <w:t>11.2.38</w:t>
      </w:r>
      <w:r w:rsidRPr="004D0DAA">
        <w:rPr>
          <w:rFonts w:ascii="Calibri" w:hAnsi="Calibri"/>
          <w:sz w:val="22"/>
          <w:szCs w:val="22"/>
          <w:lang w:val="en-US"/>
        </w:rPr>
        <w:tab/>
      </w:r>
      <w:r w:rsidRPr="004D0DAA">
        <w:t>MBMS Service Request</w:t>
      </w:r>
      <w:r w:rsidRPr="004D0DAA">
        <w:tab/>
      </w:r>
      <w:r w:rsidRPr="004D0DAA">
        <w:fldChar w:fldCharType="begin" w:fldLock="1"/>
      </w:r>
      <w:r w:rsidRPr="004D0DAA">
        <w:instrText xml:space="preserve"> PAGEREF _Toc516669903 \h </w:instrText>
      </w:r>
      <w:r w:rsidRPr="004D0DAA">
        <w:fldChar w:fldCharType="separate"/>
      </w:r>
      <w:r w:rsidRPr="004D0DAA">
        <w:t>548</w:t>
      </w:r>
      <w:r w:rsidRPr="004D0DAA">
        <w:fldChar w:fldCharType="end"/>
      </w:r>
    </w:p>
    <w:p w14:paraId="5F62F7C3" w14:textId="77777777" w:rsidR="00683705" w:rsidRPr="004D0DAA" w:rsidRDefault="00683705">
      <w:pPr>
        <w:pStyle w:val="TOC3"/>
        <w:rPr>
          <w:rFonts w:ascii="Calibri" w:hAnsi="Calibri"/>
          <w:sz w:val="22"/>
          <w:szCs w:val="22"/>
          <w:lang w:val="en-US"/>
        </w:rPr>
      </w:pPr>
      <w:r w:rsidRPr="004D0DAA">
        <w:t>11.2.39</w:t>
      </w:r>
      <w:r w:rsidRPr="004D0DAA">
        <w:rPr>
          <w:rFonts w:ascii="Calibri" w:hAnsi="Calibri"/>
          <w:sz w:val="22"/>
          <w:szCs w:val="22"/>
          <w:lang w:val="en-US"/>
        </w:rPr>
        <w:tab/>
      </w:r>
      <w:r w:rsidRPr="004D0DAA">
        <w:t>MBMS Assignment (Non-distribution)</w:t>
      </w:r>
      <w:r w:rsidRPr="004D0DAA">
        <w:tab/>
      </w:r>
      <w:r w:rsidRPr="004D0DAA">
        <w:fldChar w:fldCharType="begin" w:fldLock="1"/>
      </w:r>
      <w:r w:rsidRPr="004D0DAA">
        <w:instrText xml:space="preserve"> PAGEREF _Toc516669904 \h </w:instrText>
      </w:r>
      <w:r w:rsidRPr="004D0DAA">
        <w:fldChar w:fldCharType="separate"/>
      </w:r>
      <w:r w:rsidRPr="004D0DAA">
        <w:t>549</w:t>
      </w:r>
      <w:r w:rsidRPr="004D0DAA">
        <w:fldChar w:fldCharType="end"/>
      </w:r>
    </w:p>
    <w:p w14:paraId="72C7D0F9" w14:textId="77777777" w:rsidR="00683705" w:rsidRPr="004D0DAA" w:rsidRDefault="00683705">
      <w:pPr>
        <w:pStyle w:val="TOC3"/>
        <w:rPr>
          <w:rFonts w:ascii="Calibri" w:hAnsi="Calibri"/>
          <w:sz w:val="22"/>
          <w:szCs w:val="22"/>
          <w:lang w:val="en-US"/>
        </w:rPr>
      </w:pPr>
      <w:r w:rsidRPr="004D0DAA">
        <w:t>11.2.39a</w:t>
      </w:r>
      <w:r w:rsidRPr="004D0DAA">
        <w:rPr>
          <w:rFonts w:ascii="Calibri" w:hAnsi="Calibri"/>
          <w:sz w:val="22"/>
          <w:szCs w:val="22"/>
          <w:lang w:val="en-US"/>
        </w:rPr>
        <w:tab/>
      </w:r>
      <w:r w:rsidRPr="004D0DAA">
        <w:t>MBMS Assignment (Distribution)</w:t>
      </w:r>
      <w:r w:rsidRPr="004D0DAA">
        <w:tab/>
      </w:r>
      <w:r w:rsidRPr="004D0DAA">
        <w:fldChar w:fldCharType="begin" w:fldLock="1"/>
      </w:r>
      <w:r w:rsidRPr="004D0DAA">
        <w:instrText xml:space="preserve"> PAGEREF _Toc516669905 \h </w:instrText>
      </w:r>
      <w:r w:rsidRPr="004D0DAA">
        <w:fldChar w:fldCharType="separate"/>
      </w:r>
      <w:r w:rsidRPr="004D0DAA">
        <w:t>551</w:t>
      </w:r>
      <w:r w:rsidRPr="004D0DAA">
        <w:fldChar w:fldCharType="end"/>
      </w:r>
    </w:p>
    <w:p w14:paraId="76A8D830" w14:textId="77777777" w:rsidR="00683705" w:rsidRPr="004D0DAA" w:rsidRDefault="00683705">
      <w:pPr>
        <w:pStyle w:val="TOC3"/>
        <w:rPr>
          <w:rFonts w:ascii="Calibri" w:hAnsi="Calibri"/>
          <w:sz w:val="22"/>
          <w:szCs w:val="22"/>
          <w:lang w:val="en-US"/>
        </w:rPr>
      </w:pPr>
      <w:r w:rsidRPr="004D0DAA">
        <w:t>11.2.40</w:t>
      </w:r>
      <w:r w:rsidRPr="004D0DAA">
        <w:rPr>
          <w:rFonts w:ascii="Calibri" w:hAnsi="Calibri"/>
          <w:sz w:val="22"/>
          <w:szCs w:val="22"/>
          <w:lang w:val="en-US"/>
        </w:rPr>
        <w:tab/>
      </w:r>
      <w:r w:rsidRPr="004D0DAA">
        <w:t>MBMS Neighbouring Cell Information</w:t>
      </w:r>
      <w:r w:rsidRPr="004D0DAA">
        <w:tab/>
      </w:r>
      <w:r w:rsidRPr="004D0DAA">
        <w:fldChar w:fldCharType="begin" w:fldLock="1"/>
      </w:r>
      <w:r w:rsidRPr="004D0DAA">
        <w:instrText xml:space="preserve"> PAGEREF _Toc516669906 \h </w:instrText>
      </w:r>
      <w:r w:rsidRPr="004D0DAA">
        <w:fldChar w:fldCharType="separate"/>
      </w:r>
      <w:r w:rsidRPr="004D0DAA">
        <w:t>553</w:t>
      </w:r>
      <w:r w:rsidRPr="004D0DAA">
        <w:fldChar w:fldCharType="end"/>
      </w:r>
    </w:p>
    <w:p w14:paraId="467AB3D4" w14:textId="77777777" w:rsidR="00683705" w:rsidRPr="004D0DAA" w:rsidRDefault="00683705">
      <w:pPr>
        <w:pStyle w:val="TOC3"/>
        <w:rPr>
          <w:rFonts w:ascii="Calibri" w:hAnsi="Calibri"/>
          <w:sz w:val="22"/>
          <w:szCs w:val="22"/>
          <w:lang w:val="en-US"/>
        </w:rPr>
      </w:pPr>
      <w:r w:rsidRPr="004D0DAA">
        <w:t>11.2.41</w:t>
      </w:r>
      <w:r w:rsidRPr="004D0DAA">
        <w:rPr>
          <w:rFonts w:ascii="Calibri" w:hAnsi="Calibri"/>
          <w:sz w:val="22"/>
          <w:szCs w:val="22"/>
          <w:lang w:val="en-US"/>
        </w:rPr>
        <w:tab/>
      </w:r>
      <w:r w:rsidRPr="004D0DAA">
        <w:t>MBMS MS_ID Assignment</w:t>
      </w:r>
      <w:r w:rsidRPr="004D0DAA">
        <w:tab/>
      </w:r>
      <w:r w:rsidRPr="004D0DAA">
        <w:fldChar w:fldCharType="begin" w:fldLock="1"/>
      </w:r>
      <w:r w:rsidRPr="004D0DAA">
        <w:instrText xml:space="preserve"> PAGEREF _Toc516669907 \h </w:instrText>
      </w:r>
      <w:r w:rsidRPr="004D0DAA">
        <w:fldChar w:fldCharType="separate"/>
      </w:r>
      <w:r w:rsidRPr="004D0DAA">
        <w:t>557</w:t>
      </w:r>
      <w:r w:rsidRPr="004D0DAA">
        <w:fldChar w:fldCharType="end"/>
      </w:r>
    </w:p>
    <w:p w14:paraId="6C51B8BC" w14:textId="77777777" w:rsidR="00683705" w:rsidRPr="004D0DAA" w:rsidRDefault="00683705">
      <w:pPr>
        <w:pStyle w:val="TOC3"/>
        <w:rPr>
          <w:rFonts w:ascii="Calibri" w:hAnsi="Calibri"/>
          <w:sz w:val="22"/>
          <w:szCs w:val="22"/>
          <w:lang w:val="en-US"/>
        </w:rPr>
      </w:pPr>
      <w:r w:rsidRPr="004D0DAA">
        <w:t>11.2.42</w:t>
      </w:r>
      <w:r w:rsidRPr="004D0DAA">
        <w:rPr>
          <w:rFonts w:ascii="Calibri" w:hAnsi="Calibri"/>
          <w:sz w:val="22"/>
          <w:szCs w:val="22"/>
          <w:lang w:val="en-US"/>
        </w:rPr>
        <w:tab/>
      </w:r>
      <w:r w:rsidRPr="004D0DAA">
        <w:t>Packet MBMS Announcement</w:t>
      </w:r>
      <w:r w:rsidRPr="004D0DAA">
        <w:tab/>
      </w:r>
      <w:r w:rsidRPr="004D0DAA">
        <w:fldChar w:fldCharType="begin" w:fldLock="1"/>
      </w:r>
      <w:r w:rsidRPr="004D0DAA">
        <w:instrText xml:space="preserve"> PAGEREF _Toc516669908 \h </w:instrText>
      </w:r>
      <w:r w:rsidRPr="004D0DAA">
        <w:fldChar w:fldCharType="separate"/>
      </w:r>
      <w:r w:rsidRPr="004D0DAA">
        <w:t>558</w:t>
      </w:r>
      <w:r w:rsidRPr="004D0DAA">
        <w:fldChar w:fldCharType="end"/>
      </w:r>
    </w:p>
    <w:p w14:paraId="1628F3A5" w14:textId="77777777" w:rsidR="00683705" w:rsidRPr="004D0DAA" w:rsidRDefault="00683705">
      <w:pPr>
        <w:pStyle w:val="TOC3"/>
        <w:rPr>
          <w:rFonts w:ascii="Calibri" w:hAnsi="Calibri"/>
          <w:sz w:val="22"/>
          <w:szCs w:val="22"/>
          <w:lang w:val="en-US"/>
        </w:rPr>
      </w:pPr>
      <w:r w:rsidRPr="004D0DAA">
        <w:lastRenderedPageBreak/>
        <w:t>11.2.43</w:t>
      </w:r>
      <w:r w:rsidRPr="004D0DAA">
        <w:rPr>
          <w:rFonts w:ascii="Calibri" w:hAnsi="Calibri"/>
          <w:sz w:val="22"/>
          <w:szCs w:val="22"/>
          <w:lang w:val="en-US"/>
        </w:rPr>
        <w:tab/>
      </w:r>
      <w:r w:rsidRPr="004D0DAA">
        <w:t>PS Handover Command</w:t>
      </w:r>
      <w:r w:rsidRPr="004D0DAA">
        <w:tab/>
      </w:r>
      <w:r w:rsidRPr="004D0DAA">
        <w:fldChar w:fldCharType="begin" w:fldLock="1"/>
      </w:r>
      <w:r w:rsidRPr="004D0DAA">
        <w:instrText xml:space="preserve"> PAGEREF _Toc516669909 \h </w:instrText>
      </w:r>
      <w:r w:rsidRPr="004D0DAA">
        <w:fldChar w:fldCharType="separate"/>
      </w:r>
      <w:r w:rsidRPr="004D0DAA">
        <w:t>560</w:t>
      </w:r>
      <w:r w:rsidRPr="004D0DAA">
        <w:fldChar w:fldCharType="end"/>
      </w:r>
    </w:p>
    <w:p w14:paraId="3C17B16C" w14:textId="77777777" w:rsidR="00683705" w:rsidRPr="004D0DAA" w:rsidRDefault="00683705">
      <w:pPr>
        <w:pStyle w:val="TOC3"/>
        <w:rPr>
          <w:rFonts w:ascii="Calibri" w:hAnsi="Calibri"/>
          <w:sz w:val="22"/>
          <w:szCs w:val="22"/>
          <w:lang w:val="en-US"/>
        </w:rPr>
      </w:pPr>
      <w:r w:rsidRPr="004D0DAA">
        <w:t>11.2.44</w:t>
      </w:r>
      <w:r w:rsidRPr="004D0DAA">
        <w:rPr>
          <w:rFonts w:ascii="Calibri" w:hAnsi="Calibri"/>
          <w:sz w:val="22"/>
          <w:szCs w:val="22"/>
          <w:lang w:val="en-US"/>
        </w:rPr>
        <w:tab/>
      </w:r>
      <w:r w:rsidRPr="004D0DAA">
        <w:t>PS Handover Access</w:t>
      </w:r>
      <w:r w:rsidRPr="004D0DAA">
        <w:tab/>
      </w:r>
      <w:r w:rsidRPr="004D0DAA">
        <w:fldChar w:fldCharType="begin" w:fldLock="1"/>
      </w:r>
      <w:r w:rsidRPr="004D0DAA">
        <w:instrText xml:space="preserve"> PAGEREF _Toc516669910 \h </w:instrText>
      </w:r>
      <w:r w:rsidRPr="004D0DAA">
        <w:fldChar w:fldCharType="separate"/>
      </w:r>
      <w:r w:rsidRPr="004D0DAA">
        <w:t>563</w:t>
      </w:r>
      <w:r w:rsidRPr="004D0DAA">
        <w:fldChar w:fldCharType="end"/>
      </w:r>
    </w:p>
    <w:p w14:paraId="73FE43B7" w14:textId="77777777" w:rsidR="00683705" w:rsidRPr="004D0DAA" w:rsidRDefault="00683705">
      <w:pPr>
        <w:pStyle w:val="TOC3"/>
        <w:rPr>
          <w:rFonts w:ascii="Calibri" w:hAnsi="Calibri"/>
          <w:sz w:val="22"/>
          <w:szCs w:val="22"/>
          <w:lang w:val="en-US"/>
        </w:rPr>
      </w:pPr>
      <w:r w:rsidRPr="004D0DAA">
        <w:t>11.2.45</w:t>
      </w:r>
      <w:r w:rsidRPr="004D0DAA">
        <w:rPr>
          <w:rFonts w:ascii="Calibri" w:hAnsi="Calibri"/>
          <w:sz w:val="22"/>
          <w:szCs w:val="22"/>
          <w:lang w:val="en-US"/>
        </w:rPr>
        <w:tab/>
      </w:r>
      <w:r w:rsidRPr="004D0DAA">
        <w:t>Packet Physical Information (</w:t>
      </w:r>
      <w:r w:rsidRPr="004D0DAA">
        <w:rPr>
          <w:i/>
          <w:iCs/>
        </w:rPr>
        <w:t>A/Gb mode only</w:t>
      </w:r>
      <w:r w:rsidRPr="004D0DAA">
        <w:t>)</w:t>
      </w:r>
      <w:r w:rsidRPr="004D0DAA">
        <w:tab/>
      </w:r>
      <w:r w:rsidRPr="004D0DAA">
        <w:fldChar w:fldCharType="begin" w:fldLock="1"/>
      </w:r>
      <w:r w:rsidRPr="004D0DAA">
        <w:instrText xml:space="preserve"> PAGEREF _Toc516669911 \h </w:instrText>
      </w:r>
      <w:r w:rsidRPr="004D0DAA">
        <w:fldChar w:fldCharType="separate"/>
      </w:r>
      <w:r w:rsidRPr="004D0DAA">
        <w:t>564</w:t>
      </w:r>
      <w:r w:rsidRPr="004D0DAA">
        <w:fldChar w:fldCharType="end"/>
      </w:r>
    </w:p>
    <w:p w14:paraId="7C78A841" w14:textId="77777777" w:rsidR="00683705" w:rsidRPr="004D0DAA" w:rsidRDefault="00683705">
      <w:pPr>
        <w:pStyle w:val="TOC3"/>
        <w:rPr>
          <w:rFonts w:ascii="Calibri" w:hAnsi="Calibri"/>
          <w:sz w:val="22"/>
          <w:szCs w:val="22"/>
          <w:lang w:val="en-US"/>
        </w:rPr>
      </w:pPr>
      <w:r w:rsidRPr="004D0DAA">
        <w:t>11.2.46</w:t>
      </w:r>
      <w:r w:rsidRPr="004D0DAA">
        <w:rPr>
          <w:rFonts w:ascii="Calibri" w:hAnsi="Calibri"/>
          <w:sz w:val="22"/>
          <w:szCs w:val="22"/>
          <w:lang w:val="en-US"/>
        </w:rPr>
        <w:tab/>
      </w:r>
      <w:r w:rsidRPr="004D0DAA">
        <w:t>DTM Handover Command</w:t>
      </w:r>
      <w:r w:rsidRPr="004D0DAA">
        <w:tab/>
      </w:r>
      <w:r w:rsidRPr="004D0DAA">
        <w:fldChar w:fldCharType="begin" w:fldLock="1"/>
      </w:r>
      <w:r w:rsidRPr="004D0DAA">
        <w:instrText xml:space="preserve"> PAGEREF _Toc516669912 \h </w:instrText>
      </w:r>
      <w:r w:rsidRPr="004D0DAA">
        <w:fldChar w:fldCharType="separate"/>
      </w:r>
      <w:r w:rsidRPr="004D0DAA">
        <w:t>564</w:t>
      </w:r>
      <w:r w:rsidRPr="004D0DAA">
        <w:fldChar w:fldCharType="end"/>
      </w:r>
    </w:p>
    <w:p w14:paraId="3BDBD1A8" w14:textId="77777777" w:rsidR="00683705" w:rsidRPr="004D0DAA" w:rsidRDefault="00683705">
      <w:pPr>
        <w:pStyle w:val="TOC3"/>
        <w:rPr>
          <w:rFonts w:ascii="Calibri" w:hAnsi="Calibri"/>
          <w:sz w:val="22"/>
          <w:szCs w:val="22"/>
          <w:lang w:val="en-US"/>
        </w:rPr>
      </w:pPr>
      <w:r w:rsidRPr="004D0DAA">
        <w:t>11.2.47</w:t>
      </w:r>
      <w:r w:rsidRPr="004D0DAA">
        <w:rPr>
          <w:rFonts w:ascii="Calibri" w:hAnsi="Calibri"/>
          <w:sz w:val="22"/>
          <w:szCs w:val="22"/>
          <w:lang w:val="en-US"/>
        </w:rPr>
        <w:tab/>
      </w:r>
      <w:r w:rsidRPr="004D0DAA">
        <w:t>Packet Application Information</w:t>
      </w:r>
      <w:r w:rsidRPr="004D0DAA">
        <w:tab/>
      </w:r>
      <w:r w:rsidRPr="004D0DAA">
        <w:fldChar w:fldCharType="begin" w:fldLock="1"/>
      </w:r>
      <w:r w:rsidRPr="004D0DAA">
        <w:instrText xml:space="preserve"> PAGEREF _Toc516669913 \h </w:instrText>
      </w:r>
      <w:r w:rsidRPr="004D0DAA">
        <w:fldChar w:fldCharType="separate"/>
      </w:r>
      <w:r w:rsidRPr="004D0DAA">
        <w:t>566</w:t>
      </w:r>
      <w:r w:rsidRPr="004D0DAA">
        <w:fldChar w:fldCharType="end"/>
      </w:r>
    </w:p>
    <w:p w14:paraId="7B06E03C" w14:textId="77777777" w:rsidR="00683705" w:rsidRPr="004D0DAA" w:rsidRDefault="00683705">
      <w:pPr>
        <w:pStyle w:val="TOC3"/>
        <w:rPr>
          <w:rFonts w:ascii="Calibri" w:hAnsi="Calibri"/>
          <w:sz w:val="22"/>
          <w:szCs w:val="22"/>
          <w:lang w:val="en-US"/>
        </w:rPr>
      </w:pPr>
      <w:r w:rsidRPr="004D0DAA">
        <w:t>11.2.48</w:t>
      </w:r>
      <w:r w:rsidRPr="004D0DAA">
        <w:rPr>
          <w:rFonts w:ascii="Calibri" w:hAnsi="Calibri"/>
          <w:sz w:val="22"/>
          <w:szCs w:val="22"/>
          <w:lang w:val="en-US"/>
        </w:rPr>
        <w:tab/>
      </w:r>
      <w:r w:rsidRPr="004D0DAA">
        <w:t>EGPRS Packet Downlink Ack/Nack DLMC</w:t>
      </w:r>
      <w:r w:rsidRPr="004D0DAA">
        <w:tab/>
      </w:r>
      <w:r w:rsidRPr="004D0DAA">
        <w:fldChar w:fldCharType="begin" w:fldLock="1"/>
      </w:r>
      <w:r w:rsidRPr="004D0DAA">
        <w:instrText xml:space="preserve"> PAGEREF _Toc516669914 \h </w:instrText>
      </w:r>
      <w:r w:rsidRPr="004D0DAA">
        <w:fldChar w:fldCharType="separate"/>
      </w:r>
      <w:r w:rsidRPr="004D0DAA">
        <w:t>566</w:t>
      </w:r>
      <w:r w:rsidRPr="004D0DAA">
        <w:fldChar w:fldCharType="end"/>
      </w:r>
    </w:p>
    <w:p w14:paraId="51D56591" w14:textId="77777777" w:rsidR="00683705" w:rsidRPr="004D0DAA" w:rsidRDefault="00683705">
      <w:pPr>
        <w:pStyle w:val="TOC3"/>
        <w:rPr>
          <w:rFonts w:ascii="Calibri" w:hAnsi="Calibri"/>
          <w:sz w:val="22"/>
          <w:szCs w:val="22"/>
          <w:lang w:val="en-US"/>
        </w:rPr>
      </w:pPr>
      <w:r w:rsidRPr="004D0DAA">
        <w:t>11.2.49</w:t>
      </w:r>
      <w:r w:rsidRPr="004D0DAA">
        <w:rPr>
          <w:rFonts w:ascii="Calibri" w:hAnsi="Calibri"/>
          <w:sz w:val="22"/>
          <w:szCs w:val="22"/>
          <w:lang w:val="en-US"/>
        </w:rPr>
        <w:tab/>
      </w:r>
      <w:r w:rsidRPr="004D0DAA">
        <w:t>EC Packet Access Reject</w:t>
      </w:r>
      <w:r w:rsidRPr="004D0DAA">
        <w:tab/>
      </w:r>
      <w:r w:rsidRPr="004D0DAA">
        <w:fldChar w:fldCharType="begin" w:fldLock="1"/>
      </w:r>
      <w:r w:rsidRPr="004D0DAA">
        <w:instrText xml:space="preserve"> PAGEREF _Toc516669915 \h </w:instrText>
      </w:r>
      <w:r w:rsidRPr="004D0DAA">
        <w:fldChar w:fldCharType="separate"/>
      </w:r>
      <w:r w:rsidRPr="004D0DAA">
        <w:t>567</w:t>
      </w:r>
      <w:r w:rsidRPr="004D0DAA">
        <w:fldChar w:fldCharType="end"/>
      </w:r>
    </w:p>
    <w:p w14:paraId="02A64A9D" w14:textId="77777777" w:rsidR="00683705" w:rsidRPr="004D0DAA" w:rsidRDefault="00683705">
      <w:pPr>
        <w:pStyle w:val="TOC3"/>
        <w:rPr>
          <w:rFonts w:ascii="Calibri" w:hAnsi="Calibri"/>
          <w:sz w:val="22"/>
          <w:szCs w:val="22"/>
          <w:lang w:val="en-US"/>
        </w:rPr>
      </w:pPr>
      <w:r w:rsidRPr="004D0DAA">
        <w:t>11.2.50</w:t>
      </w:r>
      <w:r w:rsidRPr="004D0DAA">
        <w:rPr>
          <w:rFonts w:ascii="Calibri" w:hAnsi="Calibri"/>
          <w:sz w:val="22"/>
          <w:szCs w:val="22"/>
          <w:lang w:val="en-US"/>
        </w:rPr>
        <w:tab/>
      </w:r>
      <w:r w:rsidRPr="004D0DAA">
        <w:t>EC Packet Control Acknowledgement</w:t>
      </w:r>
      <w:r w:rsidRPr="004D0DAA">
        <w:tab/>
      </w:r>
      <w:r w:rsidRPr="004D0DAA">
        <w:fldChar w:fldCharType="begin" w:fldLock="1"/>
      </w:r>
      <w:r w:rsidRPr="004D0DAA">
        <w:instrText xml:space="preserve"> PAGEREF _Toc516669916 \h </w:instrText>
      </w:r>
      <w:r w:rsidRPr="004D0DAA">
        <w:fldChar w:fldCharType="separate"/>
      </w:r>
      <w:r w:rsidRPr="004D0DAA">
        <w:t>568</w:t>
      </w:r>
      <w:r w:rsidRPr="004D0DAA">
        <w:fldChar w:fldCharType="end"/>
      </w:r>
    </w:p>
    <w:p w14:paraId="408921D5" w14:textId="77777777" w:rsidR="00683705" w:rsidRPr="004D0DAA" w:rsidRDefault="00683705">
      <w:pPr>
        <w:pStyle w:val="TOC3"/>
        <w:rPr>
          <w:rFonts w:ascii="Calibri" w:hAnsi="Calibri"/>
          <w:sz w:val="22"/>
          <w:szCs w:val="22"/>
          <w:lang w:val="en-US"/>
        </w:rPr>
      </w:pPr>
      <w:r w:rsidRPr="004D0DAA">
        <w:t>11.2.51</w:t>
      </w:r>
      <w:r w:rsidRPr="004D0DAA">
        <w:rPr>
          <w:rFonts w:ascii="Calibri" w:hAnsi="Calibri"/>
          <w:sz w:val="22"/>
          <w:szCs w:val="22"/>
          <w:lang w:val="en-US"/>
        </w:rPr>
        <w:tab/>
      </w:r>
      <w:r w:rsidRPr="004D0DAA">
        <w:t>EC Packet Downlink Ack/Nack</w:t>
      </w:r>
      <w:r w:rsidRPr="004D0DAA">
        <w:tab/>
      </w:r>
      <w:r w:rsidRPr="004D0DAA">
        <w:fldChar w:fldCharType="begin" w:fldLock="1"/>
      </w:r>
      <w:r w:rsidRPr="004D0DAA">
        <w:instrText xml:space="preserve"> PAGEREF _Toc516669917 \h </w:instrText>
      </w:r>
      <w:r w:rsidRPr="004D0DAA">
        <w:fldChar w:fldCharType="separate"/>
      </w:r>
      <w:r w:rsidRPr="004D0DAA">
        <w:t>570</w:t>
      </w:r>
      <w:r w:rsidRPr="004D0DAA">
        <w:fldChar w:fldCharType="end"/>
      </w:r>
    </w:p>
    <w:p w14:paraId="67E3B614" w14:textId="77777777" w:rsidR="00683705" w:rsidRPr="004D0DAA" w:rsidRDefault="00683705">
      <w:pPr>
        <w:pStyle w:val="TOC3"/>
        <w:rPr>
          <w:rFonts w:ascii="Calibri" w:hAnsi="Calibri"/>
          <w:sz w:val="22"/>
          <w:szCs w:val="22"/>
          <w:lang w:val="en-US"/>
        </w:rPr>
      </w:pPr>
      <w:r w:rsidRPr="004D0DAA">
        <w:t>11.2.52</w:t>
      </w:r>
      <w:r w:rsidRPr="004D0DAA">
        <w:rPr>
          <w:rFonts w:ascii="Calibri" w:hAnsi="Calibri"/>
          <w:sz w:val="22"/>
          <w:szCs w:val="22"/>
          <w:lang w:val="en-US"/>
        </w:rPr>
        <w:tab/>
      </w:r>
      <w:r w:rsidRPr="004D0DAA">
        <w:t>EC Packet Downlink Assignment</w:t>
      </w:r>
      <w:r w:rsidRPr="004D0DAA">
        <w:tab/>
      </w:r>
      <w:r w:rsidRPr="004D0DAA">
        <w:fldChar w:fldCharType="begin" w:fldLock="1"/>
      </w:r>
      <w:r w:rsidRPr="004D0DAA">
        <w:instrText xml:space="preserve"> PAGEREF _Toc516669918 \h </w:instrText>
      </w:r>
      <w:r w:rsidRPr="004D0DAA">
        <w:fldChar w:fldCharType="separate"/>
      </w:r>
      <w:r w:rsidRPr="004D0DAA">
        <w:t>571</w:t>
      </w:r>
      <w:r w:rsidRPr="004D0DAA">
        <w:fldChar w:fldCharType="end"/>
      </w:r>
    </w:p>
    <w:p w14:paraId="25CD1BF9" w14:textId="77777777" w:rsidR="00683705" w:rsidRPr="004D0DAA" w:rsidRDefault="00683705">
      <w:pPr>
        <w:pStyle w:val="TOC3"/>
        <w:rPr>
          <w:rFonts w:ascii="Calibri" w:hAnsi="Calibri"/>
          <w:sz w:val="22"/>
          <w:szCs w:val="22"/>
          <w:lang w:val="en-US"/>
        </w:rPr>
      </w:pPr>
      <w:r w:rsidRPr="004D0DAA">
        <w:t>11.2.53</w:t>
      </w:r>
      <w:r w:rsidRPr="004D0DAA">
        <w:rPr>
          <w:rFonts w:ascii="Calibri" w:hAnsi="Calibri"/>
          <w:sz w:val="22"/>
          <w:szCs w:val="22"/>
          <w:lang w:val="en-US"/>
        </w:rPr>
        <w:tab/>
      </w:r>
      <w:r w:rsidRPr="004D0DAA">
        <w:t>EC Packet Downlink Dummy Control Block</w:t>
      </w:r>
      <w:r w:rsidRPr="004D0DAA">
        <w:tab/>
      </w:r>
      <w:r w:rsidRPr="004D0DAA">
        <w:fldChar w:fldCharType="begin" w:fldLock="1"/>
      </w:r>
      <w:r w:rsidRPr="004D0DAA">
        <w:instrText xml:space="preserve"> PAGEREF _Toc516669919 \h </w:instrText>
      </w:r>
      <w:r w:rsidRPr="004D0DAA">
        <w:fldChar w:fldCharType="separate"/>
      </w:r>
      <w:r w:rsidRPr="004D0DAA">
        <w:t>575</w:t>
      </w:r>
      <w:r w:rsidRPr="004D0DAA">
        <w:fldChar w:fldCharType="end"/>
      </w:r>
    </w:p>
    <w:p w14:paraId="48B6D8DA" w14:textId="77777777" w:rsidR="00683705" w:rsidRPr="004D0DAA" w:rsidRDefault="00683705">
      <w:pPr>
        <w:pStyle w:val="TOC3"/>
        <w:rPr>
          <w:rFonts w:ascii="Calibri" w:hAnsi="Calibri"/>
          <w:sz w:val="22"/>
          <w:szCs w:val="22"/>
          <w:lang w:val="en-US"/>
        </w:rPr>
      </w:pPr>
      <w:r w:rsidRPr="004D0DAA">
        <w:t>11.2.54</w:t>
      </w:r>
      <w:r w:rsidRPr="004D0DAA">
        <w:rPr>
          <w:rFonts w:ascii="Calibri" w:hAnsi="Calibri"/>
          <w:sz w:val="22"/>
          <w:szCs w:val="22"/>
          <w:lang w:val="en-US"/>
        </w:rPr>
        <w:tab/>
      </w:r>
      <w:r w:rsidRPr="004D0DAA">
        <w:t>EC Packet Polling Request</w:t>
      </w:r>
      <w:r w:rsidRPr="004D0DAA">
        <w:tab/>
      </w:r>
      <w:r w:rsidRPr="004D0DAA">
        <w:fldChar w:fldCharType="begin" w:fldLock="1"/>
      </w:r>
      <w:r w:rsidRPr="004D0DAA">
        <w:instrText xml:space="preserve"> PAGEREF _Toc516669920 \h </w:instrText>
      </w:r>
      <w:r w:rsidRPr="004D0DAA">
        <w:fldChar w:fldCharType="separate"/>
      </w:r>
      <w:r w:rsidRPr="004D0DAA">
        <w:t>576</w:t>
      </w:r>
      <w:r w:rsidRPr="004D0DAA">
        <w:fldChar w:fldCharType="end"/>
      </w:r>
    </w:p>
    <w:p w14:paraId="29AA0248" w14:textId="77777777" w:rsidR="00683705" w:rsidRPr="004D0DAA" w:rsidRDefault="00683705">
      <w:pPr>
        <w:pStyle w:val="TOC3"/>
        <w:rPr>
          <w:rFonts w:ascii="Calibri" w:hAnsi="Calibri"/>
          <w:sz w:val="22"/>
          <w:szCs w:val="22"/>
          <w:lang w:val="en-US"/>
        </w:rPr>
      </w:pPr>
      <w:r w:rsidRPr="004D0DAA">
        <w:t>11.2.55</w:t>
      </w:r>
      <w:r w:rsidRPr="004D0DAA">
        <w:rPr>
          <w:rFonts w:ascii="Calibri" w:hAnsi="Calibri"/>
          <w:sz w:val="22"/>
          <w:szCs w:val="22"/>
          <w:lang w:val="en-US"/>
        </w:rPr>
        <w:tab/>
      </w:r>
      <w:r w:rsidRPr="004D0DAA">
        <w:t>EC Packet Power Control/Timing Advance</w:t>
      </w:r>
      <w:r w:rsidRPr="004D0DAA">
        <w:tab/>
      </w:r>
      <w:r w:rsidRPr="004D0DAA">
        <w:fldChar w:fldCharType="begin" w:fldLock="1"/>
      </w:r>
      <w:r w:rsidRPr="004D0DAA">
        <w:instrText xml:space="preserve"> PAGEREF _Toc516669921 \h </w:instrText>
      </w:r>
      <w:r w:rsidRPr="004D0DAA">
        <w:fldChar w:fldCharType="separate"/>
      </w:r>
      <w:r w:rsidRPr="004D0DAA">
        <w:t>577</w:t>
      </w:r>
      <w:r w:rsidRPr="004D0DAA">
        <w:fldChar w:fldCharType="end"/>
      </w:r>
    </w:p>
    <w:p w14:paraId="7A264AE3" w14:textId="77777777" w:rsidR="00683705" w:rsidRPr="004D0DAA" w:rsidRDefault="00683705">
      <w:pPr>
        <w:pStyle w:val="TOC3"/>
        <w:rPr>
          <w:rFonts w:ascii="Calibri" w:hAnsi="Calibri"/>
          <w:sz w:val="22"/>
          <w:szCs w:val="22"/>
          <w:lang w:val="en-US"/>
        </w:rPr>
      </w:pPr>
      <w:r w:rsidRPr="004D0DAA">
        <w:t>11.2.56</w:t>
      </w:r>
      <w:r w:rsidRPr="004D0DAA">
        <w:rPr>
          <w:rFonts w:ascii="Calibri" w:hAnsi="Calibri"/>
          <w:sz w:val="22"/>
          <w:szCs w:val="22"/>
          <w:lang w:val="en-US"/>
        </w:rPr>
        <w:tab/>
      </w:r>
      <w:r w:rsidRPr="004D0DAA">
        <w:t>EC Packet TBF Release</w:t>
      </w:r>
      <w:r w:rsidRPr="004D0DAA">
        <w:tab/>
      </w:r>
      <w:r w:rsidRPr="004D0DAA">
        <w:fldChar w:fldCharType="begin" w:fldLock="1"/>
      </w:r>
      <w:r w:rsidRPr="004D0DAA">
        <w:instrText xml:space="preserve"> PAGEREF _Toc516669922 \h </w:instrText>
      </w:r>
      <w:r w:rsidRPr="004D0DAA">
        <w:fldChar w:fldCharType="separate"/>
      </w:r>
      <w:r w:rsidRPr="004D0DAA">
        <w:t>578</w:t>
      </w:r>
      <w:r w:rsidRPr="004D0DAA">
        <w:fldChar w:fldCharType="end"/>
      </w:r>
    </w:p>
    <w:p w14:paraId="2A13D24A" w14:textId="77777777" w:rsidR="00683705" w:rsidRPr="004D0DAA" w:rsidRDefault="00683705">
      <w:pPr>
        <w:pStyle w:val="TOC3"/>
        <w:rPr>
          <w:rFonts w:ascii="Calibri" w:hAnsi="Calibri"/>
          <w:sz w:val="22"/>
          <w:szCs w:val="22"/>
          <w:lang w:val="en-US"/>
        </w:rPr>
      </w:pPr>
      <w:r w:rsidRPr="004D0DAA">
        <w:t>11.2.57</w:t>
      </w:r>
      <w:r w:rsidRPr="004D0DAA">
        <w:rPr>
          <w:rFonts w:ascii="Calibri" w:hAnsi="Calibri"/>
          <w:sz w:val="22"/>
          <w:szCs w:val="22"/>
          <w:lang w:val="en-US"/>
        </w:rPr>
        <w:tab/>
      </w:r>
      <w:r w:rsidRPr="004D0DAA">
        <w:t>EC Packet Uplink Ack/Nack</w:t>
      </w:r>
      <w:r w:rsidRPr="004D0DAA">
        <w:tab/>
      </w:r>
      <w:r w:rsidRPr="004D0DAA">
        <w:fldChar w:fldCharType="begin" w:fldLock="1"/>
      </w:r>
      <w:r w:rsidRPr="004D0DAA">
        <w:instrText xml:space="preserve"> PAGEREF _Toc516669923 \h </w:instrText>
      </w:r>
      <w:r w:rsidRPr="004D0DAA">
        <w:fldChar w:fldCharType="separate"/>
      </w:r>
      <w:r w:rsidRPr="004D0DAA">
        <w:t>579</w:t>
      </w:r>
      <w:r w:rsidRPr="004D0DAA">
        <w:fldChar w:fldCharType="end"/>
      </w:r>
    </w:p>
    <w:p w14:paraId="5577230B" w14:textId="77777777" w:rsidR="00683705" w:rsidRPr="004D0DAA" w:rsidRDefault="00683705">
      <w:pPr>
        <w:pStyle w:val="TOC3"/>
        <w:rPr>
          <w:rFonts w:ascii="Calibri" w:hAnsi="Calibri"/>
          <w:sz w:val="22"/>
          <w:szCs w:val="22"/>
          <w:lang w:val="en-US"/>
        </w:rPr>
      </w:pPr>
      <w:r w:rsidRPr="004D0DAA">
        <w:t>11.2.58</w:t>
      </w:r>
      <w:r w:rsidRPr="004D0DAA">
        <w:rPr>
          <w:rFonts w:ascii="Calibri" w:hAnsi="Calibri"/>
          <w:sz w:val="22"/>
          <w:szCs w:val="22"/>
          <w:lang w:val="en-US"/>
        </w:rPr>
        <w:tab/>
      </w:r>
      <w:r w:rsidRPr="004D0DAA">
        <w:t>EC Packet Uplink Assignment</w:t>
      </w:r>
      <w:r w:rsidRPr="004D0DAA">
        <w:tab/>
      </w:r>
      <w:r w:rsidRPr="004D0DAA">
        <w:fldChar w:fldCharType="begin" w:fldLock="1"/>
      </w:r>
      <w:r w:rsidRPr="004D0DAA">
        <w:instrText xml:space="preserve"> PAGEREF _Toc516669924 \h </w:instrText>
      </w:r>
      <w:r w:rsidRPr="004D0DAA">
        <w:fldChar w:fldCharType="separate"/>
      </w:r>
      <w:r w:rsidRPr="004D0DAA">
        <w:t>588</w:t>
      </w:r>
      <w:r w:rsidRPr="004D0DAA">
        <w:fldChar w:fldCharType="end"/>
      </w:r>
    </w:p>
    <w:p w14:paraId="568845BF" w14:textId="77777777" w:rsidR="00683705" w:rsidRPr="004D0DAA" w:rsidRDefault="00683705">
      <w:pPr>
        <w:pStyle w:val="TOC3"/>
        <w:rPr>
          <w:rFonts w:ascii="Calibri" w:hAnsi="Calibri"/>
          <w:sz w:val="22"/>
          <w:szCs w:val="22"/>
          <w:lang w:val="en-US"/>
        </w:rPr>
      </w:pPr>
      <w:r w:rsidRPr="004D0DAA">
        <w:t>11.2.59</w:t>
      </w:r>
      <w:r w:rsidRPr="004D0DAA">
        <w:rPr>
          <w:rFonts w:ascii="Calibri" w:hAnsi="Calibri"/>
          <w:sz w:val="22"/>
          <w:szCs w:val="22"/>
          <w:lang w:val="en-US"/>
        </w:rPr>
        <w:tab/>
      </w:r>
      <w:r w:rsidRPr="004D0DAA">
        <w:t>EC Packet Uplink Ack/Nack and Contention Resolution</w:t>
      </w:r>
      <w:r w:rsidRPr="004D0DAA">
        <w:tab/>
      </w:r>
      <w:r w:rsidRPr="004D0DAA">
        <w:fldChar w:fldCharType="begin" w:fldLock="1"/>
      </w:r>
      <w:r w:rsidRPr="004D0DAA">
        <w:instrText xml:space="preserve"> PAGEREF _Toc516669925 \h </w:instrText>
      </w:r>
      <w:r w:rsidRPr="004D0DAA">
        <w:fldChar w:fldCharType="separate"/>
      </w:r>
      <w:r w:rsidRPr="004D0DAA">
        <w:t>598</w:t>
      </w:r>
      <w:r w:rsidRPr="004D0DAA">
        <w:fldChar w:fldCharType="end"/>
      </w:r>
    </w:p>
    <w:p w14:paraId="44E887AE" w14:textId="77777777" w:rsidR="00683705" w:rsidRPr="004D0DAA" w:rsidRDefault="00683705">
      <w:pPr>
        <w:pStyle w:val="TOC3"/>
        <w:rPr>
          <w:rFonts w:ascii="Calibri" w:hAnsi="Calibri"/>
          <w:sz w:val="22"/>
          <w:szCs w:val="22"/>
          <w:lang w:val="en-US"/>
        </w:rPr>
      </w:pPr>
      <w:r w:rsidRPr="004D0DAA">
        <w:t>11.2.60</w:t>
      </w:r>
      <w:r w:rsidRPr="004D0DAA">
        <w:rPr>
          <w:rFonts w:ascii="Calibri" w:hAnsi="Calibri"/>
          <w:sz w:val="22"/>
          <w:szCs w:val="22"/>
          <w:lang w:val="en-US"/>
        </w:rPr>
        <w:tab/>
      </w:r>
      <w:r w:rsidRPr="004D0DAA">
        <w:t>EC Packet Downlink Ack/Nack Higher CC</w:t>
      </w:r>
      <w:r w:rsidRPr="004D0DAA">
        <w:tab/>
      </w:r>
      <w:r w:rsidRPr="004D0DAA">
        <w:fldChar w:fldCharType="begin" w:fldLock="1"/>
      </w:r>
      <w:r w:rsidRPr="004D0DAA">
        <w:instrText xml:space="preserve"> PAGEREF _Toc516669926 \h </w:instrText>
      </w:r>
      <w:r w:rsidRPr="004D0DAA">
        <w:fldChar w:fldCharType="separate"/>
      </w:r>
      <w:r w:rsidRPr="004D0DAA">
        <w:t>603</w:t>
      </w:r>
      <w:r w:rsidRPr="004D0DAA">
        <w:fldChar w:fldCharType="end"/>
      </w:r>
    </w:p>
    <w:p w14:paraId="27A9E924" w14:textId="77777777" w:rsidR="00683705" w:rsidRPr="004D0DAA" w:rsidRDefault="00683705">
      <w:pPr>
        <w:pStyle w:val="TOC3"/>
        <w:rPr>
          <w:rFonts w:ascii="Calibri" w:hAnsi="Calibri"/>
          <w:sz w:val="22"/>
          <w:szCs w:val="22"/>
          <w:lang w:val="en-US"/>
        </w:rPr>
      </w:pPr>
      <w:r w:rsidRPr="004D0DAA">
        <w:t>11.2.61</w:t>
      </w:r>
      <w:r w:rsidRPr="004D0DAA">
        <w:rPr>
          <w:rFonts w:ascii="Calibri" w:hAnsi="Calibri"/>
          <w:sz w:val="22"/>
          <w:szCs w:val="22"/>
          <w:lang w:val="en-US"/>
        </w:rPr>
        <w:tab/>
      </w:r>
      <w:r w:rsidRPr="004D0DAA">
        <w:t>EC Packet Control Acknowledgement Higher CC</w:t>
      </w:r>
      <w:r w:rsidRPr="004D0DAA">
        <w:tab/>
      </w:r>
      <w:r w:rsidRPr="004D0DAA">
        <w:fldChar w:fldCharType="begin" w:fldLock="1"/>
      </w:r>
      <w:r w:rsidRPr="004D0DAA">
        <w:instrText xml:space="preserve"> PAGEREF _Toc516669927 \h </w:instrText>
      </w:r>
      <w:r w:rsidRPr="004D0DAA">
        <w:fldChar w:fldCharType="separate"/>
      </w:r>
      <w:r w:rsidRPr="004D0DAA">
        <w:t>604</w:t>
      </w:r>
      <w:r w:rsidRPr="004D0DAA">
        <w:fldChar w:fldCharType="end"/>
      </w:r>
    </w:p>
    <w:p w14:paraId="3C61D622" w14:textId="77777777" w:rsidR="00683705" w:rsidRPr="004D0DAA" w:rsidRDefault="00683705">
      <w:pPr>
        <w:pStyle w:val="TOC1"/>
        <w:rPr>
          <w:rFonts w:ascii="Calibri" w:hAnsi="Calibri"/>
          <w:szCs w:val="22"/>
          <w:lang w:val="en-US"/>
        </w:rPr>
      </w:pPr>
      <w:r w:rsidRPr="004D0DAA">
        <w:t>12</w:t>
      </w:r>
      <w:r w:rsidRPr="004D0DAA">
        <w:rPr>
          <w:rFonts w:ascii="Calibri" w:hAnsi="Calibri"/>
          <w:szCs w:val="22"/>
          <w:lang w:val="en-US"/>
        </w:rPr>
        <w:tab/>
      </w:r>
      <w:r w:rsidRPr="004D0DAA">
        <w:t>Information element coding</w:t>
      </w:r>
      <w:r w:rsidRPr="004D0DAA">
        <w:tab/>
      </w:r>
      <w:r w:rsidRPr="004D0DAA">
        <w:fldChar w:fldCharType="begin" w:fldLock="1"/>
      </w:r>
      <w:r w:rsidRPr="004D0DAA">
        <w:instrText xml:space="preserve"> PAGEREF _Toc516669928 \h </w:instrText>
      </w:r>
      <w:r w:rsidRPr="004D0DAA">
        <w:fldChar w:fldCharType="separate"/>
      </w:r>
      <w:r w:rsidRPr="004D0DAA">
        <w:t>605</w:t>
      </w:r>
      <w:r w:rsidRPr="004D0DAA">
        <w:fldChar w:fldCharType="end"/>
      </w:r>
    </w:p>
    <w:p w14:paraId="106097D8" w14:textId="77777777" w:rsidR="00683705" w:rsidRPr="004D0DAA" w:rsidRDefault="00683705">
      <w:pPr>
        <w:pStyle w:val="TOC2"/>
        <w:rPr>
          <w:rFonts w:ascii="Calibri" w:hAnsi="Calibri"/>
          <w:sz w:val="22"/>
          <w:szCs w:val="22"/>
          <w:lang w:val="en-US"/>
        </w:rPr>
      </w:pPr>
      <w:r w:rsidRPr="004D0DAA">
        <w:t>12.1</w:t>
      </w:r>
      <w:r w:rsidRPr="004D0DAA">
        <w:rPr>
          <w:rFonts w:ascii="Calibri" w:hAnsi="Calibri"/>
          <w:sz w:val="22"/>
          <w:szCs w:val="22"/>
          <w:lang w:val="en-US"/>
        </w:rPr>
        <w:tab/>
      </w:r>
      <w:r w:rsidRPr="004D0DAA">
        <w:t>Overview</w:t>
      </w:r>
      <w:r w:rsidRPr="004D0DAA">
        <w:tab/>
      </w:r>
      <w:r w:rsidRPr="004D0DAA">
        <w:fldChar w:fldCharType="begin" w:fldLock="1"/>
      </w:r>
      <w:r w:rsidRPr="004D0DAA">
        <w:instrText xml:space="preserve"> PAGEREF _Toc516669929 \h </w:instrText>
      </w:r>
      <w:r w:rsidRPr="004D0DAA">
        <w:fldChar w:fldCharType="separate"/>
      </w:r>
      <w:r w:rsidRPr="004D0DAA">
        <w:t>605</w:t>
      </w:r>
      <w:r w:rsidRPr="004D0DAA">
        <w:fldChar w:fldCharType="end"/>
      </w:r>
    </w:p>
    <w:p w14:paraId="64ADE380" w14:textId="77777777" w:rsidR="00683705" w:rsidRPr="004D0DAA" w:rsidRDefault="00683705">
      <w:pPr>
        <w:pStyle w:val="TOC2"/>
        <w:rPr>
          <w:rFonts w:ascii="Calibri" w:hAnsi="Calibri"/>
          <w:sz w:val="22"/>
          <w:szCs w:val="22"/>
          <w:lang w:val="en-US"/>
        </w:rPr>
      </w:pPr>
      <w:r w:rsidRPr="004D0DAA">
        <w:t>12.2</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_Toc516669930 \h </w:instrText>
      </w:r>
      <w:r w:rsidRPr="004D0DAA">
        <w:fldChar w:fldCharType="separate"/>
      </w:r>
      <w:r w:rsidRPr="004D0DAA">
        <w:t>605</w:t>
      </w:r>
      <w:r w:rsidRPr="004D0DAA">
        <w:fldChar w:fldCharType="end"/>
      </w:r>
    </w:p>
    <w:p w14:paraId="7DFDA1E1" w14:textId="77777777" w:rsidR="00683705" w:rsidRPr="004D0DAA" w:rsidRDefault="00683705">
      <w:pPr>
        <w:pStyle w:val="TOC2"/>
        <w:rPr>
          <w:rFonts w:ascii="Calibri" w:hAnsi="Calibri"/>
          <w:sz w:val="22"/>
          <w:szCs w:val="22"/>
          <w:lang w:val="en-US"/>
        </w:rPr>
      </w:pPr>
      <w:r w:rsidRPr="004D0DAA">
        <w:t>12.3</w:t>
      </w:r>
      <w:r w:rsidRPr="004D0DAA">
        <w:rPr>
          <w:rFonts w:ascii="Calibri" w:hAnsi="Calibri"/>
          <w:sz w:val="22"/>
          <w:szCs w:val="22"/>
          <w:lang w:val="en-US"/>
        </w:rPr>
        <w:tab/>
      </w:r>
      <w:r w:rsidRPr="004D0DAA">
        <w:t>Ack/Nack Description</w:t>
      </w:r>
      <w:r w:rsidRPr="004D0DAA">
        <w:tab/>
      </w:r>
      <w:r w:rsidRPr="004D0DAA">
        <w:fldChar w:fldCharType="begin" w:fldLock="1"/>
      </w:r>
      <w:r w:rsidRPr="004D0DAA">
        <w:instrText xml:space="preserve"> PAGEREF _Toc516669931 \h </w:instrText>
      </w:r>
      <w:r w:rsidRPr="004D0DAA">
        <w:fldChar w:fldCharType="separate"/>
      </w:r>
      <w:r w:rsidRPr="004D0DAA">
        <w:t>605</w:t>
      </w:r>
      <w:r w:rsidRPr="004D0DAA">
        <w:fldChar w:fldCharType="end"/>
      </w:r>
    </w:p>
    <w:p w14:paraId="063822A9" w14:textId="77777777" w:rsidR="00683705" w:rsidRPr="004D0DAA" w:rsidRDefault="00683705">
      <w:pPr>
        <w:pStyle w:val="TOC3"/>
        <w:rPr>
          <w:rFonts w:ascii="Calibri" w:hAnsi="Calibri"/>
          <w:sz w:val="22"/>
          <w:szCs w:val="22"/>
          <w:lang w:val="en-US"/>
        </w:rPr>
      </w:pPr>
      <w:r w:rsidRPr="004D0DAA">
        <w:t>12.3.1</w:t>
      </w:r>
      <w:r w:rsidRPr="004D0DAA">
        <w:rPr>
          <w:rFonts w:ascii="Calibri" w:hAnsi="Calibri"/>
          <w:sz w:val="22"/>
          <w:szCs w:val="22"/>
          <w:lang w:val="en-US"/>
        </w:rPr>
        <w:tab/>
      </w:r>
      <w:r w:rsidRPr="004D0DAA">
        <w:t>EGPRS Ack/Nack Description</w:t>
      </w:r>
      <w:r w:rsidRPr="004D0DAA">
        <w:tab/>
      </w:r>
      <w:r w:rsidRPr="004D0DAA">
        <w:fldChar w:fldCharType="begin" w:fldLock="1"/>
      </w:r>
      <w:r w:rsidRPr="004D0DAA">
        <w:instrText xml:space="preserve"> PAGEREF _Toc516669932 \h </w:instrText>
      </w:r>
      <w:r w:rsidRPr="004D0DAA">
        <w:fldChar w:fldCharType="separate"/>
      </w:r>
      <w:r w:rsidRPr="004D0DAA">
        <w:t>606</w:t>
      </w:r>
      <w:r w:rsidRPr="004D0DAA">
        <w:fldChar w:fldCharType="end"/>
      </w:r>
    </w:p>
    <w:p w14:paraId="329672DB" w14:textId="77777777" w:rsidR="00683705" w:rsidRPr="004D0DAA" w:rsidRDefault="00683705">
      <w:pPr>
        <w:pStyle w:val="TOC3"/>
        <w:rPr>
          <w:rFonts w:ascii="Calibri" w:hAnsi="Calibri"/>
          <w:sz w:val="22"/>
          <w:szCs w:val="22"/>
          <w:lang w:val="en-US"/>
        </w:rPr>
      </w:pPr>
      <w:r w:rsidRPr="004D0DAA">
        <w:t>12.3.2</w:t>
      </w:r>
      <w:r w:rsidRPr="004D0DAA">
        <w:rPr>
          <w:rFonts w:ascii="Calibri" w:hAnsi="Calibri"/>
          <w:sz w:val="22"/>
          <w:szCs w:val="22"/>
          <w:lang w:val="en-US"/>
        </w:rPr>
        <w:tab/>
      </w:r>
      <w:r w:rsidRPr="004D0DAA">
        <w:t>FLO Ack/Nack Description</w:t>
      </w:r>
      <w:r w:rsidRPr="004D0DAA">
        <w:tab/>
      </w:r>
      <w:r w:rsidRPr="004D0DAA">
        <w:fldChar w:fldCharType="begin" w:fldLock="1"/>
      </w:r>
      <w:r w:rsidRPr="004D0DAA">
        <w:instrText xml:space="preserve"> PAGEREF _Toc516669933 \h </w:instrText>
      </w:r>
      <w:r w:rsidRPr="004D0DAA">
        <w:fldChar w:fldCharType="separate"/>
      </w:r>
      <w:r w:rsidRPr="004D0DAA">
        <w:t>608</w:t>
      </w:r>
      <w:r w:rsidRPr="004D0DAA">
        <w:fldChar w:fldCharType="end"/>
      </w:r>
    </w:p>
    <w:p w14:paraId="50C0FDA5" w14:textId="77777777" w:rsidR="00683705" w:rsidRPr="004D0DAA" w:rsidRDefault="00683705">
      <w:pPr>
        <w:pStyle w:val="TOC3"/>
        <w:rPr>
          <w:rFonts w:ascii="Calibri" w:hAnsi="Calibri"/>
          <w:sz w:val="22"/>
          <w:szCs w:val="22"/>
          <w:lang w:val="en-US"/>
        </w:rPr>
      </w:pPr>
      <w:r w:rsidRPr="004D0DAA">
        <w:t>12.3.3</w:t>
      </w:r>
      <w:r w:rsidRPr="004D0DAA">
        <w:rPr>
          <w:rFonts w:ascii="Calibri" w:hAnsi="Calibri"/>
          <w:sz w:val="22"/>
          <w:szCs w:val="22"/>
          <w:lang w:val="en-US"/>
        </w:rPr>
        <w:tab/>
      </w:r>
      <w:r w:rsidRPr="004D0DAA">
        <w:t>EGPRS Ack/Nack Description DLMC</w:t>
      </w:r>
      <w:r w:rsidRPr="004D0DAA">
        <w:tab/>
      </w:r>
      <w:r w:rsidRPr="004D0DAA">
        <w:fldChar w:fldCharType="begin" w:fldLock="1"/>
      </w:r>
      <w:r w:rsidRPr="004D0DAA">
        <w:instrText xml:space="preserve"> PAGEREF _Toc516669934 \h </w:instrText>
      </w:r>
      <w:r w:rsidRPr="004D0DAA">
        <w:fldChar w:fldCharType="separate"/>
      </w:r>
      <w:r w:rsidRPr="004D0DAA">
        <w:t>609</w:t>
      </w:r>
      <w:r w:rsidRPr="004D0DAA">
        <w:fldChar w:fldCharType="end"/>
      </w:r>
    </w:p>
    <w:p w14:paraId="16CF84BA" w14:textId="77777777" w:rsidR="00683705" w:rsidRPr="004D0DAA" w:rsidRDefault="00683705">
      <w:pPr>
        <w:pStyle w:val="TOC2"/>
        <w:rPr>
          <w:rFonts w:ascii="Calibri" w:hAnsi="Calibri"/>
          <w:sz w:val="22"/>
          <w:szCs w:val="22"/>
          <w:lang w:val="en-US"/>
        </w:rPr>
      </w:pPr>
      <w:r w:rsidRPr="004D0DAA">
        <w:t>12.4</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_Toc516669935 \h </w:instrText>
      </w:r>
      <w:r w:rsidRPr="004D0DAA">
        <w:fldChar w:fldCharType="separate"/>
      </w:r>
      <w:r w:rsidRPr="004D0DAA">
        <w:t>610</w:t>
      </w:r>
      <w:r w:rsidRPr="004D0DAA">
        <w:fldChar w:fldCharType="end"/>
      </w:r>
    </w:p>
    <w:p w14:paraId="3223889F" w14:textId="77777777" w:rsidR="00683705" w:rsidRPr="004D0DAA" w:rsidRDefault="00683705">
      <w:pPr>
        <w:pStyle w:val="TOC2"/>
        <w:rPr>
          <w:rFonts w:ascii="Calibri" w:hAnsi="Calibri"/>
          <w:sz w:val="22"/>
          <w:szCs w:val="22"/>
          <w:lang w:val="en-US"/>
        </w:rPr>
      </w:pPr>
      <w:r w:rsidRPr="004D0DAA">
        <w:t>12.5</w:t>
      </w:r>
      <w:r w:rsidRPr="004D0DAA">
        <w:rPr>
          <w:rFonts w:ascii="Calibri" w:hAnsi="Calibri"/>
          <w:sz w:val="22"/>
          <w:szCs w:val="22"/>
          <w:lang w:val="en-US"/>
        </w:rPr>
        <w:tab/>
      </w:r>
      <w:r w:rsidRPr="004D0DAA">
        <w:t>EGPRS</w:t>
      </w:r>
      <w:r w:rsidRPr="004D0DAA">
        <w:tab/>
      </w:r>
      <w:r w:rsidRPr="004D0DAA">
        <w:fldChar w:fldCharType="begin" w:fldLock="1"/>
      </w:r>
      <w:r w:rsidRPr="004D0DAA">
        <w:instrText xml:space="preserve"> PAGEREF _Toc516669936 \h </w:instrText>
      </w:r>
      <w:r w:rsidRPr="004D0DAA">
        <w:fldChar w:fldCharType="separate"/>
      </w:r>
      <w:r w:rsidRPr="004D0DAA">
        <w:t>610</w:t>
      </w:r>
      <w:r w:rsidRPr="004D0DAA">
        <w:fldChar w:fldCharType="end"/>
      </w:r>
    </w:p>
    <w:p w14:paraId="183D0651" w14:textId="77777777" w:rsidR="00683705" w:rsidRPr="004D0DAA" w:rsidRDefault="00683705">
      <w:pPr>
        <w:pStyle w:val="TOC3"/>
        <w:rPr>
          <w:rFonts w:ascii="Calibri" w:hAnsi="Calibri"/>
          <w:sz w:val="22"/>
          <w:szCs w:val="22"/>
          <w:lang w:val="en-US"/>
        </w:rPr>
      </w:pPr>
      <w:r w:rsidRPr="004D0DAA">
        <w:t>12.5.1</w:t>
      </w:r>
      <w:r w:rsidRPr="004D0DAA">
        <w:rPr>
          <w:rFonts w:ascii="Calibri" w:hAnsi="Calibri"/>
          <w:sz w:val="22"/>
          <w:szCs w:val="22"/>
          <w:lang w:val="en-US"/>
        </w:rPr>
        <w:tab/>
      </w:r>
      <w:r w:rsidRPr="004D0DAA">
        <w:t>EGPRS Channel Quality Report</w:t>
      </w:r>
      <w:r w:rsidRPr="004D0DAA">
        <w:tab/>
      </w:r>
      <w:r w:rsidRPr="004D0DAA">
        <w:fldChar w:fldCharType="begin" w:fldLock="1"/>
      </w:r>
      <w:r w:rsidRPr="004D0DAA">
        <w:instrText xml:space="preserve"> PAGEREF _Toc516669937 \h </w:instrText>
      </w:r>
      <w:r w:rsidRPr="004D0DAA">
        <w:fldChar w:fldCharType="separate"/>
      </w:r>
      <w:r w:rsidRPr="004D0DAA">
        <w:t>610</w:t>
      </w:r>
      <w:r w:rsidRPr="004D0DAA">
        <w:fldChar w:fldCharType="end"/>
      </w:r>
    </w:p>
    <w:p w14:paraId="782820FF" w14:textId="77777777" w:rsidR="00683705" w:rsidRPr="004D0DAA" w:rsidRDefault="00683705">
      <w:pPr>
        <w:pStyle w:val="TOC3"/>
        <w:rPr>
          <w:rFonts w:ascii="Calibri" w:hAnsi="Calibri"/>
          <w:sz w:val="22"/>
          <w:szCs w:val="22"/>
          <w:lang w:val="en-US"/>
        </w:rPr>
      </w:pPr>
      <w:r w:rsidRPr="004D0DAA">
        <w:t>12.5.2</w:t>
      </w:r>
      <w:r w:rsidRPr="004D0DAA">
        <w:rPr>
          <w:rFonts w:ascii="Calibri" w:hAnsi="Calibri"/>
          <w:sz w:val="22"/>
          <w:szCs w:val="22"/>
          <w:lang w:val="en-US"/>
        </w:rPr>
        <w:tab/>
      </w:r>
      <w:r w:rsidRPr="004D0DAA">
        <w:t>EGPRS Window Size</w:t>
      </w:r>
      <w:r w:rsidRPr="004D0DAA">
        <w:tab/>
      </w:r>
      <w:r w:rsidRPr="004D0DAA">
        <w:fldChar w:fldCharType="begin" w:fldLock="1"/>
      </w:r>
      <w:r w:rsidRPr="004D0DAA">
        <w:instrText xml:space="preserve"> PAGEREF _Toc516669938 \h </w:instrText>
      </w:r>
      <w:r w:rsidRPr="004D0DAA">
        <w:fldChar w:fldCharType="separate"/>
      </w:r>
      <w:r w:rsidRPr="004D0DAA">
        <w:t>611</w:t>
      </w:r>
      <w:r w:rsidRPr="004D0DAA">
        <w:fldChar w:fldCharType="end"/>
      </w:r>
    </w:p>
    <w:p w14:paraId="3686D318" w14:textId="77777777" w:rsidR="00683705" w:rsidRPr="004D0DAA" w:rsidRDefault="00683705">
      <w:pPr>
        <w:pStyle w:val="TOC3"/>
        <w:rPr>
          <w:rFonts w:ascii="Calibri" w:hAnsi="Calibri"/>
          <w:sz w:val="22"/>
          <w:szCs w:val="22"/>
          <w:lang w:val="en-US"/>
        </w:rPr>
      </w:pPr>
      <w:r w:rsidRPr="004D0DAA">
        <w:t>12.5.3</w:t>
      </w:r>
      <w:r w:rsidRPr="004D0DAA">
        <w:rPr>
          <w:rFonts w:ascii="Calibri" w:hAnsi="Calibri"/>
          <w:sz w:val="22"/>
          <w:szCs w:val="22"/>
          <w:lang w:val="en-US"/>
        </w:rPr>
        <w:tab/>
      </w:r>
      <w:r w:rsidRPr="004D0DAA">
        <w:t>EGPRS BEP Link Quality Measurements IE</w:t>
      </w:r>
      <w:r w:rsidRPr="004D0DAA">
        <w:tab/>
      </w:r>
      <w:r w:rsidRPr="004D0DAA">
        <w:fldChar w:fldCharType="begin" w:fldLock="1"/>
      </w:r>
      <w:r w:rsidRPr="004D0DAA">
        <w:instrText xml:space="preserve"> PAGEREF _Toc516669939 \h </w:instrText>
      </w:r>
      <w:r w:rsidRPr="004D0DAA">
        <w:fldChar w:fldCharType="separate"/>
      </w:r>
      <w:r w:rsidRPr="004D0DAA">
        <w:t>612</w:t>
      </w:r>
      <w:r w:rsidRPr="004D0DAA">
        <w:fldChar w:fldCharType="end"/>
      </w:r>
    </w:p>
    <w:p w14:paraId="6D5D0E51" w14:textId="77777777" w:rsidR="00683705" w:rsidRPr="004D0DAA" w:rsidRDefault="00683705">
      <w:pPr>
        <w:pStyle w:val="TOC3"/>
        <w:rPr>
          <w:rFonts w:ascii="Calibri" w:hAnsi="Calibri"/>
          <w:sz w:val="22"/>
          <w:szCs w:val="22"/>
          <w:lang w:val="en-US"/>
        </w:rPr>
      </w:pPr>
      <w:r w:rsidRPr="004D0DAA">
        <w:t>12.5.4</w:t>
      </w:r>
      <w:r w:rsidRPr="004D0DAA">
        <w:rPr>
          <w:rFonts w:ascii="Calibri" w:hAnsi="Calibri"/>
          <w:sz w:val="22"/>
          <w:szCs w:val="22"/>
          <w:lang w:val="en-US"/>
        </w:rPr>
        <w:tab/>
      </w:r>
      <w:r w:rsidRPr="004D0DAA">
        <w:t>EGPRS Timeslot Link Quality Measurements IE</w:t>
      </w:r>
      <w:r w:rsidRPr="004D0DAA">
        <w:tab/>
      </w:r>
      <w:r w:rsidRPr="004D0DAA">
        <w:fldChar w:fldCharType="begin" w:fldLock="1"/>
      </w:r>
      <w:r w:rsidRPr="004D0DAA">
        <w:instrText xml:space="preserve"> PAGEREF _Toc516669940 \h </w:instrText>
      </w:r>
      <w:r w:rsidRPr="004D0DAA">
        <w:fldChar w:fldCharType="separate"/>
      </w:r>
      <w:r w:rsidRPr="004D0DAA">
        <w:t>613</w:t>
      </w:r>
      <w:r w:rsidRPr="004D0DAA">
        <w:fldChar w:fldCharType="end"/>
      </w:r>
    </w:p>
    <w:p w14:paraId="25FB2806" w14:textId="77777777" w:rsidR="00683705" w:rsidRPr="004D0DAA" w:rsidRDefault="00683705">
      <w:pPr>
        <w:pStyle w:val="TOC3"/>
        <w:rPr>
          <w:rFonts w:ascii="Calibri" w:hAnsi="Calibri"/>
          <w:sz w:val="22"/>
          <w:szCs w:val="22"/>
          <w:lang w:val="en-US"/>
        </w:rPr>
      </w:pPr>
      <w:r w:rsidRPr="004D0DAA">
        <w:t>12.5.5</w:t>
      </w:r>
      <w:r w:rsidRPr="004D0DAA">
        <w:rPr>
          <w:rFonts w:ascii="Calibri" w:hAnsi="Calibri"/>
          <w:sz w:val="22"/>
          <w:szCs w:val="22"/>
          <w:lang w:val="en-US"/>
        </w:rPr>
        <w:tab/>
      </w:r>
      <w:r w:rsidRPr="004D0DAA">
        <w:rPr>
          <w:bCs/>
        </w:rPr>
        <w:t>PDCH Pairs Description</w:t>
      </w:r>
      <w:r w:rsidRPr="004D0DAA">
        <w:tab/>
      </w:r>
      <w:r w:rsidRPr="004D0DAA">
        <w:fldChar w:fldCharType="begin" w:fldLock="1"/>
      </w:r>
      <w:r w:rsidRPr="004D0DAA">
        <w:instrText xml:space="preserve"> PAGEREF _Toc516669941 \h </w:instrText>
      </w:r>
      <w:r w:rsidRPr="004D0DAA">
        <w:fldChar w:fldCharType="separate"/>
      </w:r>
      <w:r w:rsidRPr="004D0DAA">
        <w:t>614</w:t>
      </w:r>
      <w:r w:rsidRPr="004D0DAA">
        <w:fldChar w:fldCharType="end"/>
      </w:r>
    </w:p>
    <w:p w14:paraId="2F3B258E" w14:textId="77777777" w:rsidR="00683705" w:rsidRPr="004D0DAA" w:rsidRDefault="00683705">
      <w:pPr>
        <w:pStyle w:val="TOC2"/>
        <w:rPr>
          <w:rFonts w:ascii="Calibri" w:hAnsi="Calibri"/>
          <w:sz w:val="22"/>
          <w:szCs w:val="22"/>
          <w:lang w:val="en-US"/>
        </w:rPr>
      </w:pPr>
      <w:r w:rsidRPr="004D0DAA">
        <w:t>12.5a</w:t>
      </w:r>
      <w:r w:rsidRPr="004D0DAA">
        <w:rPr>
          <w:rFonts w:ascii="Calibri" w:hAnsi="Calibri"/>
          <w:sz w:val="22"/>
          <w:szCs w:val="22"/>
          <w:lang w:val="en-US"/>
        </w:rPr>
        <w:tab/>
      </w:r>
      <w:r w:rsidRPr="004D0DAA">
        <w:t>EGPRS2</w:t>
      </w:r>
      <w:r w:rsidRPr="004D0DAA">
        <w:tab/>
      </w:r>
      <w:r w:rsidRPr="004D0DAA">
        <w:fldChar w:fldCharType="begin" w:fldLock="1"/>
      </w:r>
      <w:r w:rsidRPr="004D0DAA">
        <w:instrText xml:space="preserve"> PAGEREF _Toc516669942 \h </w:instrText>
      </w:r>
      <w:r w:rsidRPr="004D0DAA">
        <w:fldChar w:fldCharType="separate"/>
      </w:r>
      <w:r w:rsidRPr="004D0DAA">
        <w:t>615</w:t>
      </w:r>
      <w:r w:rsidRPr="004D0DAA">
        <w:fldChar w:fldCharType="end"/>
      </w:r>
    </w:p>
    <w:p w14:paraId="0B1C74FB" w14:textId="77777777" w:rsidR="00683705" w:rsidRPr="004D0DAA" w:rsidRDefault="00683705">
      <w:pPr>
        <w:pStyle w:val="TOC3"/>
        <w:rPr>
          <w:rFonts w:ascii="Calibri" w:hAnsi="Calibri"/>
          <w:sz w:val="22"/>
          <w:szCs w:val="22"/>
          <w:lang w:val="en-US"/>
        </w:rPr>
      </w:pPr>
      <w:r w:rsidRPr="004D0DAA">
        <w:t>12.5a.1</w:t>
      </w:r>
      <w:r w:rsidRPr="004D0DAA">
        <w:rPr>
          <w:rFonts w:ascii="Calibri" w:hAnsi="Calibri"/>
          <w:sz w:val="22"/>
          <w:szCs w:val="22"/>
          <w:lang w:val="en-US"/>
        </w:rPr>
        <w:tab/>
      </w:r>
      <w:r w:rsidRPr="004D0DAA">
        <w:t>EGPRS Channel Quality Report Type 2</w:t>
      </w:r>
      <w:r w:rsidRPr="004D0DAA">
        <w:tab/>
      </w:r>
      <w:r w:rsidRPr="004D0DAA">
        <w:fldChar w:fldCharType="begin" w:fldLock="1"/>
      </w:r>
      <w:r w:rsidRPr="004D0DAA">
        <w:instrText xml:space="preserve"> PAGEREF _Toc516669943 \h </w:instrText>
      </w:r>
      <w:r w:rsidRPr="004D0DAA">
        <w:fldChar w:fldCharType="separate"/>
      </w:r>
      <w:r w:rsidRPr="004D0DAA">
        <w:t>615</w:t>
      </w:r>
      <w:r w:rsidRPr="004D0DAA">
        <w:fldChar w:fldCharType="end"/>
      </w:r>
    </w:p>
    <w:p w14:paraId="5DC08418" w14:textId="77777777" w:rsidR="00683705" w:rsidRPr="004D0DAA" w:rsidRDefault="00683705">
      <w:pPr>
        <w:pStyle w:val="TOC3"/>
        <w:rPr>
          <w:rFonts w:ascii="Calibri" w:hAnsi="Calibri"/>
          <w:sz w:val="22"/>
          <w:szCs w:val="22"/>
          <w:lang w:val="en-US"/>
        </w:rPr>
      </w:pPr>
      <w:r w:rsidRPr="004D0DAA">
        <w:t>12.5a.2</w:t>
      </w:r>
      <w:r w:rsidRPr="004D0DAA">
        <w:rPr>
          <w:rFonts w:ascii="Calibri" w:hAnsi="Calibri"/>
          <w:sz w:val="22"/>
          <w:szCs w:val="22"/>
          <w:lang w:val="en-US"/>
        </w:rPr>
        <w:tab/>
      </w:r>
      <w:r w:rsidRPr="004D0DAA">
        <w:t>EGPRS BEP Link Quality Measurements Type 2 IE</w:t>
      </w:r>
      <w:r w:rsidRPr="004D0DAA">
        <w:tab/>
      </w:r>
      <w:r w:rsidRPr="004D0DAA">
        <w:fldChar w:fldCharType="begin" w:fldLock="1"/>
      </w:r>
      <w:r w:rsidRPr="004D0DAA">
        <w:instrText xml:space="preserve"> PAGEREF _Toc516669944 \h </w:instrText>
      </w:r>
      <w:r w:rsidRPr="004D0DAA">
        <w:fldChar w:fldCharType="separate"/>
      </w:r>
      <w:r w:rsidRPr="004D0DAA">
        <w:t>616</w:t>
      </w:r>
      <w:r w:rsidRPr="004D0DAA">
        <w:fldChar w:fldCharType="end"/>
      </w:r>
    </w:p>
    <w:p w14:paraId="3D986E6D" w14:textId="77777777" w:rsidR="00683705" w:rsidRPr="004D0DAA" w:rsidRDefault="00683705">
      <w:pPr>
        <w:pStyle w:val="TOC3"/>
        <w:rPr>
          <w:rFonts w:ascii="Calibri" w:hAnsi="Calibri"/>
          <w:sz w:val="22"/>
          <w:szCs w:val="22"/>
          <w:lang w:val="en-US"/>
        </w:rPr>
      </w:pPr>
      <w:r w:rsidRPr="004D0DAA">
        <w:t>12.5a.3</w:t>
      </w:r>
      <w:r w:rsidRPr="004D0DAA">
        <w:rPr>
          <w:rFonts w:ascii="Calibri" w:hAnsi="Calibri"/>
          <w:sz w:val="22"/>
          <w:szCs w:val="22"/>
          <w:lang w:val="en-US"/>
        </w:rPr>
        <w:tab/>
      </w:r>
      <w:r w:rsidRPr="004D0DAA">
        <w:t>EGPRS Timeslot Link Quality Measurements Type 2 IE</w:t>
      </w:r>
      <w:r w:rsidRPr="004D0DAA">
        <w:tab/>
      </w:r>
      <w:r w:rsidRPr="004D0DAA">
        <w:fldChar w:fldCharType="begin" w:fldLock="1"/>
      </w:r>
      <w:r w:rsidRPr="004D0DAA">
        <w:instrText xml:space="preserve"> PAGEREF _Toc516669945 \h </w:instrText>
      </w:r>
      <w:r w:rsidRPr="004D0DAA">
        <w:fldChar w:fldCharType="separate"/>
      </w:r>
      <w:r w:rsidRPr="004D0DAA">
        <w:t>617</w:t>
      </w:r>
      <w:r w:rsidRPr="004D0DAA">
        <w:fldChar w:fldCharType="end"/>
      </w:r>
    </w:p>
    <w:p w14:paraId="1BD1200B" w14:textId="77777777" w:rsidR="00683705" w:rsidRPr="004D0DAA" w:rsidRDefault="00683705">
      <w:pPr>
        <w:pStyle w:val="TOC2"/>
        <w:rPr>
          <w:rFonts w:ascii="Calibri" w:hAnsi="Calibri"/>
          <w:sz w:val="22"/>
          <w:szCs w:val="22"/>
          <w:lang w:val="en-US"/>
        </w:rPr>
      </w:pPr>
      <w:r w:rsidRPr="004D0DAA">
        <w:t>12.6</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_Toc516669946 \h </w:instrText>
      </w:r>
      <w:r w:rsidRPr="004D0DAA">
        <w:fldChar w:fldCharType="separate"/>
      </w:r>
      <w:r w:rsidRPr="004D0DAA">
        <w:t>619</w:t>
      </w:r>
      <w:r w:rsidRPr="004D0DAA">
        <w:fldChar w:fldCharType="end"/>
      </w:r>
    </w:p>
    <w:p w14:paraId="40C714AC" w14:textId="77777777" w:rsidR="00683705" w:rsidRPr="004D0DAA" w:rsidRDefault="00683705">
      <w:pPr>
        <w:pStyle w:val="TOC2"/>
        <w:rPr>
          <w:rFonts w:ascii="Calibri" w:hAnsi="Calibri"/>
          <w:sz w:val="22"/>
          <w:szCs w:val="22"/>
          <w:lang w:val="en-US"/>
        </w:rPr>
      </w:pPr>
      <w:r w:rsidRPr="004D0DAA">
        <w:t>12.7</w:t>
      </w:r>
      <w:r w:rsidRPr="004D0DAA">
        <w:rPr>
          <w:rFonts w:ascii="Calibri" w:hAnsi="Calibri"/>
          <w:sz w:val="22"/>
          <w:szCs w:val="22"/>
          <w:lang w:val="en-US"/>
        </w:rPr>
        <w:tab/>
      </w:r>
      <w:r w:rsidRPr="004D0DAA">
        <w:t>Channel Request Description</w:t>
      </w:r>
      <w:r w:rsidRPr="004D0DAA">
        <w:tab/>
      </w:r>
      <w:r w:rsidRPr="004D0DAA">
        <w:fldChar w:fldCharType="begin" w:fldLock="1"/>
      </w:r>
      <w:r w:rsidRPr="004D0DAA">
        <w:instrText xml:space="preserve"> PAGEREF _Toc516669947 \h </w:instrText>
      </w:r>
      <w:r w:rsidRPr="004D0DAA">
        <w:fldChar w:fldCharType="separate"/>
      </w:r>
      <w:r w:rsidRPr="004D0DAA">
        <w:t>619</w:t>
      </w:r>
      <w:r w:rsidRPr="004D0DAA">
        <w:fldChar w:fldCharType="end"/>
      </w:r>
    </w:p>
    <w:p w14:paraId="3070D9AF" w14:textId="77777777" w:rsidR="00683705" w:rsidRPr="004D0DAA" w:rsidRDefault="00683705">
      <w:pPr>
        <w:pStyle w:val="TOC2"/>
        <w:rPr>
          <w:rFonts w:ascii="Calibri" w:hAnsi="Calibri"/>
          <w:sz w:val="22"/>
          <w:szCs w:val="22"/>
          <w:lang w:val="en-US"/>
        </w:rPr>
      </w:pPr>
      <w:r w:rsidRPr="004D0DAA">
        <w:t>12.7a</w:t>
      </w:r>
      <w:r w:rsidRPr="004D0DAA">
        <w:rPr>
          <w:rFonts w:ascii="Calibri" w:hAnsi="Calibri"/>
          <w:sz w:val="22"/>
          <w:szCs w:val="22"/>
        </w:rPr>
        <w:tab/>
      </w:r>
      <w:r w:rsidRPr="004D0DAA">
        <w:rPr>
          <w:lang w:val="fr-FR"/>
        </w:rPr>
        <w:t>Iu mode Channel Request Description</w:t>
      </w:r>
      <w:r w:rsidRPr="004D0DAA">
        <w:tab/>
      </w:r>
      <w:r w:rsidRPr="004D0DAA">
        <w:fldChar w:fldCharType="begin" w:fldLock="1"/>
      </w:r>
      <w:r w:rsidRPr="004D0DAA">
        <w:instrText xml:space="preserve"> PAGEREF _Toc516669948 \h </w:instrText>
      </w:r>
      <w:r w:rsidRPr="004D0DAA">
        <w:fldChar w:fldCharType="separate"/>
      </w:r>
      <w:r w:rsidRPr="004D0DAA">
        <w:t>620</w:t>
      </w:r>
      <w:r w:rsidRPr="004D0DAA">
        <w:fldChar w:fldCharType="end"/>
      </w:r>
    </w:p>
    <w:p w14:paraId="745BE830" w14:textId="77777777" w:rsidR="00683705" w:rsidRPr="004D0DAA" w:rsidRDefault="00683705">
      <w:pPr>
        <w:pStyle w:val="TOC2"/>
        <w:rPr>
          <w:rFonts w:ascii="Calibri" w:hAnsi="Calibri"/>
          <w:sz w:val="22"/>
          <w:szCs w:val="22"/>
          <w:lang w:val="en-US"/>
        </w:rPr>
      </w:pPr>
      <w:r w:rsidRPr="004D0DAA">
        <w:t>12.7b</w:t>
      </w:r>
      <w:r w:rsidRPr="004D0DAA">
        <w:rPr>
          <w:rFonts w:ascii="Calibri" w:hAnsi="Calibri"/>
          <w:sz w:val="22"/>
          <w:szCs w:val="22"/>
          <w:lang w:val="en-US"/>
        </w:rPr>
        <w:tab/>
      </w:r>
      <w:r w:rsidRPr="004D0DAA">
        <w:t xml:space="preserve"> </w:t>
      </w:r>
      <w:r w:rsidRPr="004D0DAA">
        <w:rPr>
          <w:bCs/>
        </w:rPr>
        <w:t>Extended</w:t>
      </w:r>
      <w:r w:rsidRPr="004D0DAA">
        <w:t xml:space="preserve"> Channel Request Description</w:t>
      </w:r>
      <w:r w:rsidRPr="004D0DAA">
        <w:tab/>
      </w:r>
      <w:r w:rsidRPr="004D0DAA">
        <w:fldChar w:fldCharType="begin" w:fldLock="1"/>
      </w:r>
      <w:r w:rsidRPr="004D0DAA">
        <w:instrText xml:space="preserve"> PAGEREF _Toc516669949 \h </w:instrText>
      </w:r>
      <w:r w:rsidRPr="004D0DAA">
        <w:fldChar w:fldCharType="separate"/>
      </w:r>
      <w:r w:rsidRPr="004D0DAA">
        <w:t>621</w:t>
      </w:r>
      <w:r w:rsidRPr="004D0DAA">
        <w:fldChar w:fldCharType="end"/>
      </w:r>
    </w:p>
    <w:p w14:paraId="04E75C92" w14:textId="77777777" w:rsidR="00683705" w:rsidRPr="004D0DAA" w:rsidRDefault="00683705">
      <w:pPr>
        <w:pStyle w:val="TOC2"/>
        <w:rPr>
          <w:rFonts w:ascii="Calibri" w:hAnsi="Calibri"/>
          <w:sz w:val="22"/>
          <w:szCs w:val="22"/>
          <w:lang w:val="en-US"/>
        </w:rPr>
      </w:pPr>
      <w:r w:rsidRPr="004D0DAA">
        <w:t>12.8</w:t>
      </w:r>
      <w:r w:rsidRPr="004D0DAA">
        <w:rPr>
          <w:rFonts w:ascii="Calibri" w:hAnsi="Calibri"/>
          <w:sz w:val="22"/>
          <w:szCs w:val="22"/>
          <w:lang w:val="en-US"/>
        </w:rPr>
        <w:tab/>
      </w:r>
      <w:r w:rsidRPr="004D0DAA">
        <w:t>Frequency Parameters</w:t>
      </w:r>
      <w:r w:rsidRPr="004D0DAA">
        <w:tab/>
      </w:r>
      <w:r w:rsidRPr="004D0DAA">
        <w:fldChar w:fldCharType="begin" w:fldLock="1"/>
      </w:r>
      <w:r w:rsidRPr="004D0DAA">
        <w:instrText xml:space="preserve"> PAGEREF _Toc516669950 \h </w:instrText>
      </w:r>
      <w:r w:rsidRPr="004D0DAA">
        <w:fldChar w:fldCharType="separate"/>
      </w:r>
      <w:r w:rsidRPr="004D0DAA">
        <w:t>621</w:t>
      </w:r>
      <w:r w:rsidRPr="004D0DAA">
        <w:fldChar w:fldCharType="end"/>
      </w:r>
    </w:p>
    <w:p w14:paraId="3AD70C81" w14:textId="77777777" w:rsidR="00683705" w:rsidRPr="004D0DAA" w:rsidRDefault="00683705">
      <w:pPr>
        <w:pStyle w:val="TOC3"/>
        <w:rPr>
          <w:rFonts w:ascii="Calibri" w:hAnsi="Calibri"/>
          <w:sz w:val="22"/>
          <w:szCs w:val="22"/>
          <w:lang w:val="en-US"/>
        </w:rPr>
      </w:pPr>
      <w:r w:rsidRPr="004D0DAA">
        <w:t>12.8.1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_Toc516669951 \h </w:instrText>
      </w:r>
      <w:r w:rsidRPr="004D0DAA">
        <w:fldChar w:fldCharType="separate"/>
      </w:r>
      <w:r w:rsidRPr="004D0DAA">
        <w:t>623</w:t>
      </w:r>
      <w:r w:rsidRPr="004D0DAA">
        <w:fldChar w:fldCharType="end"/>
      </w:r>
    </w:p>
    <w:p w14:paraId="670784EE" w14:textId="77777777" w:rsidR="00683705" w:rsidRPr="004D0DAA" w:rsidRDefault="00683705">
      <w:pPr>
        <w:pStyle w:val="TOC3"/>
        <w:rPr>
          <w:rFonts w:ascii="Calibri" w:hAnsi="Calibri"/>
          <w:sz w:val="22"/>
          <w:szCs w:val="22"/>
          <w:lang w:val="en-US"/>
        </w:rPr>
      </w:pPr>
      <w:r w:rsidRPr="004D0DAA">
        <w:t>12.8.2</w:t>
      </w:r>
      <w:r w:rsidRPr="004D0DAA">
        <w:rPr>
          <w:rFonts w:ascii="Calibri" w:hAnsi="Calibri"/>
          <w:sz w:val="22"/>
          <w:szCs w:val="22"/>
          <w:lang w:val="en-US"/>
        </w:rPr>
        <w:tab/>
      </w:r>
      <w:r w:rsidRPr="004D0DAA">
        <w:t>Dual Carrier Frequency Parameters</w:t>
      </w:r>
      <w:r w:rsidRPr="004D0DAA">
        <w:tab/>
      </w:r>
      <w:r w:rsidRPr="004D0DAA">
        <w:fldChar w:fldCharType="begin" w:fldLock="1"/>
      </w:r>
      <w:r w:rsidRPr="004D0DAA">
        <w:instrText xml:space="preserve"> PAGEREF _Toc516669952 \h </w:instrText>
      </w:r>
      <w:r w:rsidRPr="004D0DAA">
        <w:fldChar w:fldCharType="separate"/>
      </w:r>
      <w:r w:rsidRPr="004D0DAA">
        <w:t>623</w:t>
      </w:r>
      <w:r w:rsidRPr="004D0DAA">
        <w:fldChar w:fldCharType="end"/>
      </w:r>
    </w:p>
    <w:p w14:paraId="26839706" w14:textId="77777777" w:rsidR="00683705" w:rsidRPr="004D0DAA" w:rsidRDefault="00683705">
      <w:pPr>
        <w:pStyle w:val="TOC3"/>
        <w:rPr>
          <w:rFonts w:ascii="Calibri" w:hAnsi="Calibri"/>
          <w:sz w:val="22"/>
          <w:szCs w:val="22"/>
          <w:lang w:val="en-US"/>
        </w:rPr>
      </w:pPr>
      <w:r w:rsidRPr="004D0DAA">
        <w:t>12.8.3</w:t>
      </w:r>
      <w:r w:rsidRPr="004D0DAA">
        <w:rPr>
          <w:rFonts w:ascii="Calibri" w:hAnsi="Calibri"/>
          <w:sz w:val="22"/>
          <w:szCs w:val="22"/>
          <w:lang w:val="en-US"/>
        </w:rPr>
        <w:tab/>
      </w:r>
      <w:r w:rsidRPr="004D0DAA">
        <w:t>Pulse Format description</w:t>
      </w:r>
      <w:r w:rsidRPr="004D0DAA">
        <w:tab/>
      </w:r>
      <w:r w:rsidRPr="004D0DAA">
        <w:fldChar w:fldCharType="begin" w:fldLock="1"/>
      </w:r>
      <w:r w:rsidRPr="004D0DAA">
        <w:instrText xml:space="preserve"> PAGEREF _Toc516669953 \h </w:instrText>
      </w:r>
      <w:r w:rsidRPr="004D0DAA">
        <w:fldChar w:fldCharType="separate"/>
      </w:r>
      <w:r w:rsidRPr="004D0DAA">
        <w:t>624</w:t>
      </w:r>
      <w:r w:rsidRPr="004D0DAA">
        <w:fldChar w:fldCharType="end"/>
      </w:r>
    </w:p>
    <w:p w14:paraId="21457EA0" w14:textId="77777777" w:rsidR="00683705" w:rsidRPr="004D0DAA" w:rsidRDefault="00683705">
      <w:pPr>
        <w:pStyle w:val="TOC2"/>
        <w:rPr>
          <w:rFonts w:ascii="Calibri" w:hAnsi="Calibri"/>
          <w:sz w:val="22"/>
          <w:szCs w:val="22"/>
          <w:lang w:val="en-US"/>
        </w:rPr>
      </w:pPr>
      <w:r w:rsidRPr="004D0DAA">
        <w:t>12.8.4</w:t>
      </w:r>
      <w:r w:rsidRPr="004D0DAA">
        <w:rPr>
          <w:rFonts w:ascii="Calibri" w:hAnsi="Calibri"/>
          <w:sz w:val="22"/>
          <w:szCs w:val="22"/>
          <w:lang w:val="en-US"/>
        </w:rPr>
        <w:tab/>
      </w:r>
      <w:r w:rsidRPr="004D0DAA">
        <w:t xml:space="preserve"> DLMC Frequency Parameters</w:t>
      </w:r>
      <w:r w:rsidRPr="004D0DAA">
        <w:tab/>
      </w:r>
      <w:r w:rsidRPr="004D0DAA">
        <w:fldChar w:fldCharType="begin" w:fldLock="1"/>
      </w:r>
      <w:r w:rsidRPr="004D0DAA">
        <w:instrText xml:space="preserve"> PAGEREF _Toc516669954 \h </w:instrText>
      </w:r>
      <w:r w:rsidRPr="004D0DAA">
        <w:fldChar w:fldCharType="separate"/>
      </w:r>
      <w:r w:rsidRPr="004D0DAA">
        <w:t>626</w:t>
      </w:r>
      <w:r w:rsidRPr="004D0DAA">
        <w:fldChar w:fldCharType="end"/>
      </w:r>
    </w:p>
    <w:p w14:paraId="02177182" w14:textId="77777777" w:rsidR="00683705" w:rsidRPr="004D0DAA" w:rsidRDefault="00683705">
      <w:pPr>
        <w:pStyle w:val="TOC2"/>
        <w:rPr>
          <w:rFonts w:ascii="Calibri" w:hAnsi="Calibri"/>
          <w:sz w:val="22"/>
          <w:szCs w:val="22"/>
          <w:lang w:val="en-US"/>
        </w:rPr>
      </w:pPr>
      <w:r w:rsidRPr="004D0DAA">
        <w:t>12.9</w:t>
      </w:r>
      <w:r w:rsidRPr="004D0DAA">
        <w:rPr>
          <w:rFonts w:ascii="Calibri" w:hAnsi="Calibri"/>
          <w:sz w:val="22"/>
          <w:szCs w:val="22"/>
          <w:lang w:val="en-US"/>
        </w:rPr>
        <w:tab/>
      </w:r>
      <w:r w:rsidRPr="004D0DAA">
        <w:t>Global Power Control Parameters</w:t>
      </w:r>
      <w:r w:rsidRPr="004D0DAA">
        <w:tab/>
      </w:r>
      <w:r w:rsidRPr="004D0DAA">
        <w:fldChar w:fldCharType="begin" w:fldLock="1"/>
      </w:r>
      <w:r w:rsidRPr="004D0DAA">
        <w:instrText xml:space="preserve"> PAGEREF _Toc516669955 \h </w:instrText>
      </w:r>
      <w:r w:rsidRPr="004D0DAA">
        <w:fldChar w:fldCharType="separate"/>
      </w:r>
      <w:r w:rsidRPr="004D0DAA">
        <w:t>627</w:t>
      </w:r>
      <w:r w:rsidRPr="004D0DAA">
        <w:fldChar w:fldCharType="end"/>
      </w:r>
    </w:p>
    <w:p w14:paraId="586A303D" w14:textId="77777777" w:rsidR="00683705" w:rsidRPr="004D0DAA" w:rsidRDefault="00683705">
      <w:pPr>
        <w:pStyle w:val="TOC2"/>
        <w:rPr>
          <w:rFonts w:ascii="Calibri" w:hAnsi="Calibri"/>
          <w:sz w:val="22"/>
          <w:szCs w:val="22"/>
          <w:lang w:val="en-US"/>
        </w:rPr>
      </w:pPr>
      <w:r w:rsidRPr="004D0DAA">
        <w:t>12.9a</w:t>
      </w:r>
      <w:r w:rsidRPr="004D0DAA">
        <w:rPr>
          <w:rFonts w:ascii="Calibri" w:hAnsi="Calibri"/>
          <w:sz w:val="22"/>
          <w:szCs w:val="22"/>
          <w:lang w:val="en-US"/>
        </w:rPr>
        <w:tab/>
      </w:r>
      <w:r w:rsidRPr="004D0DAA">
        <w:rPr>
          <w:bCs/>
        </w:rPr>
        <w:t>GPRS Power Control Parameters</w:t>
      </w:r>
      <w:r w:rsidRPr="004D0DAA">
        <w:tab/>
      </w:r>
      <w:r w:rsidRPr="004D0DAA">
        <w:fldChar w:fldCharType="begin" w:fldLock="1"/>
      </w:r>
      <w:r w:rsidRPr="004D0DAA">
        <w:instrText xml:space="preserve"> PAGEREF _Toc516669956 \h </w:instrText>
      </w:r>
      <w:r w:rsidRPr="004D0DAA">
        <w:fldChar w:fldCharType="separate"/>
      </w:r>
      <w:r w:rsidRPr="004D0DAA">
        <w:t>628</w:t>
      </w:r>
      <w:r w:rsidRPr="004D0DAA">
        <w:fldChar w:fldCharType="end"/>
      </w:r>
    </w:p>
    <w:p w14:paraId="7CC96DD9" w14:textId="77777777" w:rsidR="00683705" w:rsidRPr="004D0DAA" w:rsidRDefault="00683705">
      <w:pPr>
        <w:pStyle w:val="TOC2"/>
        <w:rPr>
          <w:rFonts w:ascii="Calibri" w:hAnsi="Calibri"/>
          <w:sz w:val="22"/>
          <w:szCs w:val="22"/>
          <w:lang w:val="en-US"/>
        </w:rPr>
      </w:pPr>
      <w:r w:rsidRPr="004D0DAA">
        <w:t>12.10</w:t>
      </w:r>
      <w:r w:rsidRPr="004D0DAA">
        <w:rPr>
          <w:rFonts w:ascii="Calibri" w:hAnsi="Calibri"/>
          <w:sz w:val="22"/>
          <w:szCs w:val="22"/>
          <w:lang w:val="en-US"/>
        </w:rPr>
        <w:tab/>
      </w:r>
      <w:r w:rsidRPr="004D0DAA">
        <w:t>Global TFI</w:t>
      </w:r>
      <w:r w:rsidRPr="004D0DAA">
        <w:tab/>
      </w:r>
      <w:r w:rsidRPr="004D0DAA">
        <w:fldChar w:fldCharType="begin" w:fldLock="1"/>
      </w:r>
      <w:r w:rsidRPr="004D0DAA">
        <w:instrText xml:space="preserve"> PAGEREF _Toc516669957 \h </w:instrText>
      </w:r>
      <w:r w:rsidRPr="004D0DAA">
        <w:fldChar w:fldCharType="separate"/>
      </w:r>
      <w:r w:rsidRPr="004D0DAA">
        <w:t>628</w:t>
      </w:r>
      <w:r w:rsidRPr="004D0DAA">
        <w:fldChar w:fldCharType="end"/>
      </w:r>
    </w:p>
    <w:p w14:paraId="56881EEF" w14:textId="77777777" w:rsidR="00683705" w:rsidRPr="004D0DAA" w:rsidRDefault="00683705">
      <w:pPr>
        <w:pStyle w:val="TOC2"/>
        <w:rPr>
          <w:rFonts w:ascii="Calibri" w:hAnsi="Calibri"/>
          <w:sz w:val="22"/>
          <w:szCs w:val="22"/>
          <w:lang w:val="en-US"/>
        </w:rPr>
      </w:pPr>
      <w:r w:rsidRPr="004D0DAA">
        <w:t>12.10a</w:t>
      </w:r>
      <w:r w:rsidRPr="004D0DAA">
        <w:rPr>
          <w:rFonts w:ascii="Calibri" w:hAnsi="Calibri"/>
          <w:sz w:val="22"/>
          <w:szCs w:val="22"/>
          <w:lang w:val="en-US"/>
        </w:rPr>
        <w:tab/>
      </w:r>
      <w:r w:rsidRPr="004D0DAA">
        <w:t>GPRS Mobile Allocation</w:t>
      </w:r>
      <w:r w:rsidRPr="004D0DAA">
        <w:tab/>
      </w:r>
      <w:r w:rsidRPr="004D0DAA">
        <w:fldChar w:fldCharType="begin" w:fldLock="1"/>
      </w:r>
      <w:r w:rsidRPr="004D0DAA">
        <w:instrText xml:space="preserve"> PAGEREF _Toc516669958 \h </w:instrText>
      </w:r>
      <w:r w:rsidRPr="004D0DAA">
        <w:fldChar w:fldCharType="separate"/>
      </w:r>
      <w:r w:rsidRPr="004D0DAA">
        <w:t>628</w:t>
      </w:r>
      <w:r w:rsidRPr="004D0DAA">
        <w:fldChar w:fldCharType="end"/>
      </w:r>
    </w:p>
    <w:p w14:paraId="3F178F77" w14:textId="77777777" w:rsidR="00683705" w:rsidRPr="004D0DAA" w:rsidRDefault="00683705">
      <w:pPr>
        <w:pStyle w:val="TOC3"/>
        <w:rPr>
          <w:rFonts w:ascii="Calibri" w:hAnsi="Calibri"/>
          <w:sz w:val="22"/>
          <w:szCs w:val="22"/>
          <w:lang w:val="en-US"/>
        </w:rPr>
      </w:pPr>
      <w:r w:rsidRPr="004D0DAA">
        <w:t>12.10a.1</w:t>
      </w:r>
      <w:r w:rsidRPr="004D0DAA">
        <w:rPr>
          <w:rFonts w:ascii="Calibri" w:hAnsi="Calibri"/>
          <w:sz w:val="22"/>
          <w:szCs w:val="22"/>
          <w:lang w:val="en-US"/>
        </w:rPr>
        <w:tab/>
      </w:r>
      <w:r w:rsidRPr="004D0DAA">
        <w:t>Abnormal cases</w:t>
      </w:r>
      <w:r w:rsidRPr="004D0DAA">
        <w:tab/>
      </w:r>
      <w:r w:rsidRPr="004D0DAA">
        <w:fldChar w:fldCharType="begin" w:fldLock="1"/>
      </w:r>
      <w:r w:rsidRPr="004D0DAA">
        <w:instrText xml:space="preserve"> PAGEREF _Toc516669959 \h </w:instrText>
      </w:r>
      <w:r w:rsidRPr="004D0DAA">
        <w:fldChar w:fldCharType="separate"/>
      </w:r>
      <w:r w:rsidRPr="004D0DAA">
        <w:t>630</w:t>
      </w:r>
      <w:r w:rsidRPr="004D0DAA">
        <w:fldChar w:fldCharType="end"/>
      </w:r>
    </w:p>
    <w:p w14:paraId="05E79D81" w14:textId="77777777" w:rsidR="00683705" w:rsidRPr="004D0DAA" w:rsidRDefault="00683705">
      <w:pPr>
        <w:pStyle w:val="TOC2"/>
        <w:rPr>
          <w:rFonts w:ascii="Calibri" w:hAnsi="Calibri"/>
          <w:sz w:val="22"/>
          <w:szCs w:val="22"/>
          <w:lang w:val="en-US"/>
        </w:rPr>
      </w:pPr>
      <w:r w:rsidRPr="004D0DAA">
        <w:t>12.10b</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_Toc516669960 \h </w:instrText>
      </w:r>
      <w:r w:rsidRPr="004D0DAA">
        <w:fldChar w:fldCharType="separate"/>
      </w:r>
      <w:r w:rsidRPr="004D0DAA">
        <w:t>630</w:t>
      </w:r>
      <w:r w:rsidRPr="004D0DAA">
        <w:fldChar w:fldCharType="end"/>
      </w:r>
    </w:p>
    <w:p w14:paraId="2192061A" w14:textId="77777777" w:rsidR="00683705" w:rsidRPr="004D0DAA" w:rsidRDefault="00683705">
      <w:pPr>
        <w:pStyle w:val="TOC2"/>
        <w:rPr>
          <w:rFonts w:ascii="Calibri" w:hAnsi="Calibri"/>
          <w:sz w:val="22"/>
          <w:szCs w:val="22"/>
          <w:lang w:val="en-US"/>
        </w:rPr>
      </w:pPr>
      <w:r w:rsidRPr="004D0DAA">
        <w:t>12.10c</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_Toc516669961 \h </w:instrText>
      </w:r>
      <w:r w:rsidRPr="004D0DAA">
        <w:fldChar w:fldCharType="separate"/>
      </w:r>
      <w:r w:rsidRPr="004D0DAA">
        <w:t>630</w:t>
      </w:r>
      <w:r w:rsidRPr="004D0DAA">
        <w:fldChar w:fldCharType="end"/>
      </w:r>
    </w:p>
    <w:p w14:paraId="7A00DBAC" w14:textId="77777777" w:rsidR="00683705" w:rsidRPr="004D0DAA" w:rsidRDefault="00683705">
      <w:pPr>
        <w:pStyle w:val="TOC2"/>
        <w:rPr>
          <w:rFonts w:ascii="Calibri" w:hAnsi="Calibri"/>
          <w:sz w:val="22"/>
          <w:szCs w:val="22"/>
          <w:lang w:val="en-US"/>
        </w:rPr>
      </w:pPr>
      <w:r w:rsidRPr="004D0DAA">
        <w:t>12.10d</w:t>
      </w:r>
      <w:r w:rsidRPr="004D0DAA">
        <w:rPr>
          <w:rFonts w:ascii="Calibri" w:hAnsi="Calibri"/>
          <w:sz w:val="22"/>
          <w:szCs w:val="22"/>
          <w:lang w:val="en-US"/>
        </w:rPr>
        <w:tab/>
      </w:r>
      <w:r w:rsidRPr="004D0DAA">
        <w:t>EGPRS Modulation and coding Scheme description</w:t>
      </w:r>
      <w:r w:rsidRPr="004D0DAA">
        <w:tab/>
      </w:r>
      <w:r w:rsidRPr="004D0DAA">
        <w:fldChar w:fldCharType="begin" w:fldLock="1"/>
      </w:r>
      <w:r w:rsidRPr="004D0DAA">
        <w:instrText xml:space="preserve"> PAGEREF _Toc516669962 \h </w:instrText>
      </w:r>
      <w:r w:rsidRPr="004D0DAA">
        <w:fldChar w:fldCharType="separate"/>
      </w:r>
      <w:r w:rsidRPr="004D0DAA">
        <w:t>630</w:t>
      </w:r>
      <w:r w:rsidRPr="004D0DAA">
        <w:fldChar w:fldCharType="end"/>
      </w:r>
    </w:p>
    <w:p w14:paraId="0DF85996" w14:textId="77777777" w:rsidR="00683705" w:rsidRPr="004D0DAA" w:rsidRDefault="00683705">
      <w:pPr>
        <w:pStyle w:val="TOC2"/>
        <w:rPr>
          <w:rFonts w:ascii="Calibri" w:hAnsi="Calibri"/>
          <w:sz w:val="22"/>
          <w:szCs w:val="22"/>
          <w:lang w:val="en-US"/>
        </w:rPr>
      </w:pPr>
      <w:r w:rsidRPr="004D0DAA">
        <w:t>12.10e</w:t>
      </w:r>
      <w:r w:rsidRPr="004D0DAA">
        <w:rPr>
          <w:rFonts w:ascii="Calibri" w:hAnsi="Calibri"/>
          <w:sz w:val="22"/>
          <w:szCs w:val="22"/>
          <w:lang w:val="en-US"/>
        </w:rPr>
        <w:tab/>
      </w:r>
      <w:r w:rsidRPr="004D0DAA">
        <w:t>RESEGMENT description</w:t>
      </w:r>
      <w:r w:rsidRPr="004D0DAA">
        <w:tab/>
      </w:r>
      <w:r w:rsidRPr="004D0DAA">
        <w:fldChar w:fldCharType="begin" w:fldLock="1"/>
      </w:r>
      <w:r w:rsidRPr="004D0DAA">
        <w:instrText xml:space="preserve"> PAGEREF _Toc516669963 \h </w:instrText>
      </w:r>
      <w:r w:rsidRPr="004D0DAA">
        <w:fldChar w:fldCharType="separate"/>
      </w:r>
      <w:r w:rsidRPr="004D0DAA">
        <w:t>631</w:t>
      </w:r>
      <w:r w:rsidRPr="004D0DAA">
        <w:fldChar w:fldCharType="end"/>
      </w:r>
    </w:p>
    <w:p w14:paraId="0B918BF6" w14:textId="77777777" w:rsidR="00683705" w:rsidRPr="004D0DAA" w:rsidRDefault="00683705">
      <w:pPr>
        <w:pStyle w:val="TOC2"/>
        <w:rPr>
          <w:rFonts w:ascii="Calibri" w:hAnsi="Calibri"/>
          <w:sz w:val="22"/>
          <w:szCs w:val="22"/>
          <w:lang w:val="en-US"/>
        </w:rPr>
      </w:pPr>
      <w:r w:rsidRPr="004D0DAA">
        <w:t>12.10f</w:t>
      </w:r>
      <w:r w:rsidRPr="004D0DAA">
        <w:rPr>
          <w:rFonts w:ascii="Calibri" w:hAnsi="Calibri"/>
          <w:sz w:val="22"/>
          <w:szCs w:val="22"/>
          <w:lang w:val="en-US"/>
        </w:rPr>
        <w:tab/>
      </w:r>
      <w:r w:rsidRPr="004D0DAA">
        <w:t>EGPRS Level description</w:t>
      </w:r>
      <w:r w:rsidRPr="004D0DAA">
        <w:tab/>
      </w:r>
      <w:r w:rsidRPr="004D0DAA">
        <w:fldChar w:fldCharType="begin" w:fldLock="1"/>
      </w:r>
      <w:r w:rsidRPr="004D0DAA">
        <w:instrText xml:space="preserve"> PAGEREF _Toc516669964 \h </w:instrText>
      </w:r>
      <w:r w:rsidRPr="004D0DAA">
        <w:fldChar w:fldCharType="separate"/>
      </w:r>
      <w:r w:rsidRPr="004D0DAA">
        <w:t>631</w:t>
      </w:r>
      <w:r w:rsidRPr="004D0DAA">
        <w:fldChar w:fldCharType="end"/>
      </w:r>
    </w:p>
    <w:p w14:paraId="69B3263F" w14:textId="77777777" w:rsidR="00683705" w:rsidRPr="004D0DAA" w:rsidRDefault="00683705">
      <w:pPr>
        <w:pStyle w:val="TOC2"/>
        <w:rPr>
          <w:rFonts w:ascii="Calibri" w:hAnsi="Calibri"/>
          <w:sz w:val="22"/>
          <w:szCs w:val="22"/>
          <w:lang w:val="en-US"/>
        </w:rPr>
      </w:pPr>
      <w:r w:rsidRPr="004D0DAA">
        <w:t>12.11</w:t>
      </w:r>
      <w:r w:rsidRPr="004D0DAA">
        <w:rPr>
          <w:rFonts w:ascii="Calibri" w:hAnsi="Calibri"/>
          <w:sz w:val="22"/>
          <w:szCs w:val="22"/>
          <w:lang w:val="en-US"/>
        </w:rPr>
        <w:tab/>
      </w:r>
      <w:r w:rsidRPr="004D0DAA">
        <w:t>Packet Request Reference</w:t>
      </w:r>
      <w:r w:rsidRPr="004D0DAA">
        <w:tab/>
      </w:r>
      <w:r w:rsidRPr="004D0DAA">
        <w:fldChar w:fldCharType="begin" w:fldLock="1"/>
      </w:r>
      <w:r w:rsidRPr="004D0DAA">
        <w:instrText xml:space="preserve"> PAGEREF _Toc516669965 \h </w:instrText>
      </w:r>
      <w:r w:rsidRPr="004D0DAA">
        <w:fldChar w:fldCharType="separate"/>
      </w:r>
      <w:r w:rsidRPr="004D0DAA">
        <w:t>632</w:t>
      </w:r>
      <w:r w:rsidRPr="004D0DAA">
        <w:fldChar w:fldCharType="end"/>
      </w:r>
    </w:p>
    <w:p w14:paraId="18CF1C7A" w14:textId="77777777" w:rsidR="00683705" w:rsidRPr="004D0DAA" w:rsidRDefault="00683705">
      <w:pPr>
        <w:pStyle w:val="TOC2"/>
        <w:rPr>
          <w:rFonts w:ascii="Calibri" w:hAnsi="Calibri"/>
          <w:sz w:val="22"/>
          <w:szCs w:val="22"/>
          <w:lang w:val="en-US"/>
        </w:rPr>
      </w:pPr>
      <w:r w:rsidRPr="004D0DAA">
        <w:t>12.12</w:t>
      </w:r>
      <w:r w:rsidRPr="004D0DAA">
        <w:rPr>
          <w:rFonts w:ascii="Calibri" w:hAnsi="Calibri"/>
          <w:sz w:val="22"/>
          <w:szCs w:val="22"/>
          <w:lang w:val="en-US"/>
        </w:rPr>
        <w:tab/>
      </w:r>
      <w:r w:rsidRPr="004D0DAA">
        <w:t>Packet Timing Advance</w:t>
      </w:r>
      <w:r w:rsidRPr="004D0DAA">
        <w:tab/>
      </w:r>
      <w:r w:rsidRPr="004D0DAA">
        <w:fldChar w:fldCharType="begin" w:fldLock="1"/>
      </w:r>
      <w:r w:rsidRPr="004D0DAA">
        <w:instrText xml:space="preserve"> PAGEREF _Toc516669966 \h </w:instrText>
      </w:r>
      <w:r w:rsidRPr="004D0DAA">
        <w:fldChar w:fldCharType="separate"/>
      </w:r>
      <w:r w:rsidRPr="004D0DAA">
        <w:t>632</w:t>
      </w:r>
      <w:r w:rsidRPr="004D0DAA">
        <w:fldChar w:fldCharType="end"/>
      </w:r>
    </w:p>
    <w:p w14:paraId="5C8422C6" w14:textId="77777777" w:rsidR="00683705" w:rsidRPr="004D0DAA" w:rsidRDefault="00683705">
      <w:pPr>
        <w:pStyle w:val="TOC2"/>
        <w:rPr>
          <w:rFonts w:ascii="Calibri" w:hAnsi="Calibri"/>
          <w:sz w:val="22"/>
          <w:szCs w:val="22"/>
          <w:lang w:val="en-US"/>
        </w:rPr>
      </w:pPr>
      <w:r w:rsidRPr="004D0DAA">
        <w:t>12.12a</w:t>
      </w:r>
      <w:r w:rsidRPr="004D0DAA">
        <w:rPr>
          <w:rFonts w:ascii="Calibri" w:hAnsi="Calibri"/>
          <w:sz w:val="22"/>
          <w:szCs w:val="22"/>
          <w:lang w:val="en-US"/>
        </w:rPr>
        <w:tab/>
      </w:r>
      <w:r w:rsidRPr="004D0DAA">
        <w:t>Global Packet Timing Advance</w:t>
      </w:r>
      <w:r w:rsidRPr="004D0DAA">
        <w:tab/>
      </w:r>
      <w:r w:rsidRPr="004D0DAA">
        <w:fldChar w:fldCharType="begin" w:fldLock="1"/>
      </w:r>
      <w:r w:rsidRPr="004D0DAA">
        <w:instrText xml:space="preserve"> PAGEREF _Toc516669967 \h </w:instrText>
      </w:r>
      <w:r w:rsidRPr="004D0DAA">
        <w:fldChar w:fldCharType="separate"/>
      </w:r>
      <w:r w:rsidRPr="004D0DAA">
        <w:t>633</w:t>
      </w:r>
      <w:r w:rsidRPr="004D0DAA">
        <w:fldChar w:fldCharType="end"/>
      </w:r>
    </w:p>
    <w:p w14:paraId="5436F772" w14:textId="77777777" w:rsidR="00683705" w:rsidRPr="004D0DAA" w:rsidRDefault="00683705">
      <w:pPr>
        <w:pStyle w:val="TOC2"/>
        <w:rPr>
          <w:rFonts w:ascii="Calibri" w:hAnsi="Calibri"/>
          <w:sz w:val="22"/>
          <w:szCs w:val="22"/>
          <w:lang w:val="en-US"/>
        </w:rPr>
      </w:pPr>
      <w:r w:rsidRPr="004D0DAA">
        <w:t>12.12b</w:t>
      </w:r>
      <w:r w:rsidRPr="004D0DAA">
        <w:rPr>
          <w:rFonts w:ascii="Calibri" w:hAnsi="Calibri"/>
          <w:sz w:val="22"/>
          <w:szCs w:val="22"/>
          <w:lang w:val="en-US"/>
        </w:rPr>
        <w:tab/>
      </w:r>
      <w:r w:rsidRPr="004D0DAA">
        <w:t>Packet Extended Timing Advance</w:t>
      </w:r>
      <w:r w:rsidRPr="004D0DAA">
        <w:tab/>
      </w:r>
      <w:r w:rsidRPr="004D0DAA">
        <w:fldChar w:fldCharType="begin" w:fldLock="1"/>
      </w:r>
      <w:r w:rsidRPr="004D0DAA">
        <w:instrText xml:space="preserve"> PAGEREF _Toc516669968 \h </w:instrText>
      </w:r>
      <w:r w:rsidRPr="004D0DAA">
        <w:fldChar w:fldCharType="separate"/>
      </w:r>
      <w:r w:rsidRPr="004D0DAA">
        <w:t>634</w:t>
      </w:r>
      <w:r w:rsidRPr="004D0DAA">
        <w:fldChar w:fldCharType="end"/>
      </w:r>
    </w:p>
    <w:p w14:paraId="5BBFB15F" w14:textId="77777777" w:rsidR="00683705" w:rsidRPr="004D0DAA" w:rsidRDefault="00683705">
      <w:pPr>
        <w:pStyle w:val="TOC2"/>
        <w:rPr>
          <w:rFonts w:ascii="Calibri" w:hAnsi="Calibri"/>
          <w:sz w:val="22"/>
          <w:szCs w:val="22"/>
          <w:lang w:val="en-US"/>
        </w:rPr>
      </w:pPr>
      <w:r w:rsidRPr="004D0DAA">
        <w:t>12.13</w:t>
      </w:r>
      <w:r w:rsidRPr="004D0DAA">
        <w:rPr>
          <w:rFonts w:ascii="Calibri" w:hAnsi="Calibri"/>
          <w:sz w:val="22"/>
          <w:szCs w:val="22"/>
          <w:lang w:val="en-US"/>
        </w:rPr>
        <w:tab/>
      </w:r>
      <w:r w:rsidRPr="004D0DAA">
        <w:t>Power Control Parameters</w:t>
      </w:r>
      <w:r w:rsidRPr="004D0DAA">
        <w:tab/>
      </w:r>
      <w:r w:rsidRPr="004D0DAA">
        <w:fldChar w:fldCharType="begin" w:fldLock="1"/>
      </w:r>
      <w:r w:rsidRPr="004D0DAA">
        <w:instrText xml:space="preserve"> PAGEREF _Toc516669969 \h </w:instrText>
      </w:r>
      <w:r w:rsidRPr="004D0DAA">
        <w:fldChar w:fldCharType="separate"/>
      </w:r>
      <w:r w:rsidRPr="004D0DAA">
        <w:t>634</w:t>
      </w:r>
      <w:r w:rsidRPr="004D0DAA">
        <w:fldChar w:fldCharType="end"/>
      </w:r>
    </w:p>
    <w:p w14:paraId="640464FF" w14:textId="77777777" w:rsidR="00683705" w:rsidRPr="004D0DAA" w:rsidRDefault="00683705">
      <w:pPr>
        <w:pStyle w:val="TOC2"/>
        <w:rPr>
          <w:rFonts w:ascii="Calibri" w:hAnsi="Calibri"/>
          <w:sz w:val="22"/>
          <w:szCs w:val="22"/>
          <w:lang w:val="en-US"/>
        </w:rPr>
      </w:pPr>
      <w:r w:rsidRPr="004D0DAA">
        <w:lastRenderedPageBreak/>
        <w:t>12.14</w:t>
      </w:r>
      <w:r w:rsidRPr="004D0DAA">
        <w:rPr>
          <w:rFonts w:ascii="Calibri" w:hAnsi="Calibri"/>
          <w:sz w:val="22"/>
          <w:szCs w:val="22"/>
          <w:lang w:val="en-US"/>
        </w:rPr>
        <w:tab/>
      </w:r>
      <w:r w:rsidRPr="004D0DAA">
        <w:t>PRACH Control Parameters</w:t>
      </w:r>
      <w:r w:rsidRPr="004D0DAA">
        <w:tab/>
      </w:r>
      <w:r w:rsidRPr="004D0DAA">
        <w:fldChar w:fldCharType="begin" w:fldLock="1"/>
      </w:r>
      <w:r w:rsidRPr="004D0DAA">
        <w:instrText xml:space="preserve"> PAGEREF _Toc516669970 \h </w:instrText>
      </w:r>
      <w:r w:rsidRPr="004D0DAA">
        <w:fldChar w:fldCharType="separate"/>
      </w:r>
      <w:r w:rsidRPr="004D0DAA">
        <w:t>635</w:t>
      </w:r>
      <w:r w:rsidRPr="004D0DAA">
        <w:fldChar w:fldCharType="end"/>
      </w:r>
    </w:p>
    <w:p w14:paraId="17A38286" w14:textId="77777777" w:rsidR="00683705" w:rsidRPr="004D0DAA" w:rsidRDefault="00683705">
      <w:pPr>
        <w:pStyle w:val="TOC2"/>
        <w:rPr>
          <w:rFonts w:ascii="Calibri" w:hAnsi="Calibri"/>
          <w:sz w:val="22"/>
          <w:szCs w:val="22"/>
          <w:lang w:val="en-US"/>
        </w:rPr>
      </w:pPr>
      <w:r w:rsidRPr="004D0DAA">
        <w:t>12.15</w:t>
      </w:r>
      <w:r w:rsidRPr="004D0DAA">
        <w:rPr>
          <w:rFonts w:ascii="Calibri" w:hAnsi="Calibri"/>
          <w:sz w:val="22"/>
          <w:szCs w:val="22"/>
          <w:lang w:val="en-US"/>
        </w:rPr>
        <w:tab/>
      </w:r>
      <w:r w:rsidRPr="004D0DAA">
        <w:t>Temporary Flow Identity (TFI)</w:t>
      </w:r>
      <w:r w:rsidRPr="004D0DAA">
        <w:tab/>
      </w:r>
      <w:r w:rsidRPr="004D0DAA">
        <w:fldChar w:fldCharType="begin" w:fldLock="1"/>
      </w:r>
      <w:r w:rsidRPr="004D0DAA">
        <w:instrText xml:space="preserve"> PAGEREF _Toc516669971 \h </w:instrText>
      </w:r>
      <w:r w:rsidRPr="004D0DAA">
        <w:fldChar w:fldCharType="separate"/>
      </w:r>
      <w:r w:rsidRPr="004D0DAA">
        <w:t>637</w:t>
      </w:r>
      <w:r w:rsidRPr="004D0DAA">
        <w:fldChar w:fldCharType="end"/>
      </w:r>
    </w:p>
    <w:p w14:paraId="76D31A21" w14:textId="77777777" w:rsidR="00683705" w:rsidRPr="004D0DAA" w:rsidRDefault="00683705">
      <w:pPr>
        <w:pStyle w:val="TOC2"/>
        <w:rPr>
          <w:rFonts w:ascii="Calibri" w:hAnsi="Calibri"/>
          <w:sz w:val="22"/>
          <w:szCs w:val="22"/>
          <w:lang w:val="en-US"/>
        </w:rPr>
      </w:pPr>
      <w:r w:rsidRPr="004D0DAA">
        <w:t>12.16</w:t>
      </w:r>
      <w:r w:rsidRPr="004D0DAA">
        <w:rPr>
          <w:rFonts w:ascii="Calibri" w:hAnsi="Calibri"/>
          <w:sz w:val="22"/>
          <w:szCs w:val="22"/>
          <w:lang w:val="en-US"/>
        </w:rPr>
        <w:tab/>
      </w:r>
      <w:r w:rsidRPr="004D0DAA">
        <w:t>Temporary Logical Link Identity (TLLI)/G-RNTI</w:t>
      </w:r>
      <w:r w:rsidRPr="004D0DAA">
        <w:tab/>
      </w:r>
      <w:r w:rsidRPr="004D0DAA">
        <w:fldChar w:fldCharType="begin" w:fldLock="1"/>
      </w:r>
      <w:r w:rsidRPr="004D0DAA">
        <w:instrText xml:space="preserve"> PAGEREF _Toc516669972 \h </w:instrText>
      </w:r>
      <w:r w:rsidRPr="004D0DAA">
        <w:fldChar w:fldCharType="separate"/>
      </w:r>
      <w:r w:rsidRPr="004D0DAA">
        <w:t>638</w:t>
      </w:r>
      <w:r w:rsidRPr="004D0DAA">
        <w:fldChar w:fldCharType="end"/>
      </w:r>
    </w:p>
    <w:p w14:paraId="1B9E60D2" w14:textId="77777777" w:rsidR="00683705" w:rsidRPr="004D0DAA" w:rsidRDefault="00683705">
      <w:pPr>
        <w:pStyle w:val="TOC2"/>
        <w:rPr>
          <w:rFonts w:ascii="Calibri" w:hAnsi="Calibri"/>
          <w:sz w:val="22"/>
          <w:szCs w:val="22"/>
          <w:lang w:val="en-US"/>
        </w:rPr>
      </w:pPr>
      <w:r w:rsidRPr="004D0DAA">
        <w:t>12.16a</w:t>
      </w:r>
      <w:r w:rsidRPr="004D0DAA">
        <w:rPr>
          <w:rFonts w:ascii="Calibri" w:hAnsi="Calibri"/>
          <w:sz w:val="22"/>
          <w:szCs w:val="22"/>
          <w:lang w:val="en-US"/>
        </w:rPr>
        <w:tab/>
      </w:r>
      <w:r w:rsidRPr="004D0DAA">
        <w:t>GERAN Radio Network Temporary Identity (G-RNTI)</w:t>
      </w:r>
      <w:r w:rsidRPr="004D0DAA">
        <w:tab/>
      </w:r>
      <w:r w:rsidRPr="004D0DAA">
        <w:fldChar w:fldCharType="begin" w:fldLock="1"/>
      </w:r>
      <w:r w:rsidRPr="004D0DAA">
        <w:instrText xml:space="preserve"> PAGEREF _Toc516669973 \h </w:instrText>
      </w:r>
      <w:r w:rsidRPr="004D0DAA">
        <w:fldChar w:fldCharType="separate"/>
      </w:r>
      <w:r w:rsidRPr="004D0DAA">
        <w:t>638</w:t>
      </w:r>
      <w:r w:rsidRPr="004D0DAA">
        <w:fldChar w:fldCharType="end"/>
      </w:r>
    </w:p>
    <w:p w14:paraId="25F52372" w14:textId="77777777" w:rsidR="00683705" w:rsidRPr="004D0DAA" w:rsidRDefault="00683705">
      <w:pPr>
        <w:pStyle w:val="TOC2"/>
        <w:rPr>
          <w:rFonts w:ascii="Calibri" w:hAnsi="Calibri"/>
          <w:sz w:val="22"/>
          <w:szCs w:val="22"/>
          <w:lang w:val="en-US"/>
        </w:rPr>
      </w:pPr>
      <w:r w:rsidRPr="004D0DAA">
        <w:t>12.17</w:t>
      </w:r>
      <w:r w:rsidRPr="004D0DAA">
        <w:rPr>
          <w:rFonts w:ascii="Calibri" w:hAnsi="Calibri"/>
          <w:sz w:val="22"/>
          <w:szCs w:val="22"/>
          <w:lang w:val="en-US"/>
        </w:rPr>
        <w:tab/>
      </w:r>
      <w:r w:rsidRPr="004D0DAA">
        <w:t>Temporary Queueing Identifier (TQI)</w:t>
      </w:r>
      <w:r w:rsidRPr="004D0DAA">
        <w:tab/>
      </w:r>
      <w:r w:rsidRPr="004D0DAA">
        <w:fldChar w:fldCharType="begin" w:fldLock="1"/>
      </w:r>
      <w:r w:rsidRPr="004D0DAA">
        <w:instrText xml:space="preserve"> PAGEREF _Toc516669974 \h </w:instrText>
      </w:r>
      <w:r w:rsidRPr="004D0DAA">
        <w:fldChar w:fldCharType="separate"/>
      </w:r>
      <w:r w:rsidRPr="004D0DAA">
        <w:t>638</w:t>
      </w:r>
      <w:r w:rsidRPr="004D0DAA">
        <w:fldChar w:fldCharType="end"/>
      </w:r>
    </w:p>
    <w:p w14:paraId="485D8702" w14:textId="77777777" w:rsidR="00683705" w:rsidRPr="004D0DAA" w:rsidRDefault="00683705">
      <w:pPr>
        <w:pStyle w:val="TOC2"/>
        <w:rPr>
          <w:rFonts w:ascii="Calibri" w:hAnsi="Calibri"/>
          <w:sz w:val="22"/>
          <w:szCs w:val="22"/>
          <w:lang w:val="en-US"/>
        </w:rPr>
      </w:pPr>
      <w:r w:rsidRPr="004D0DAA">
        <w:t>12.18</w:t>
      </w:r>
      <w:r w:rsidRPr="004D0DAA">
        <w:rPr>
          <w:rFonts w:ascii="Calibri" w:hAnsi="Calibri"/>
          <w:sz w:val="22"/>
          <w:szCs w:val="22"/>
          <w:lang w:val="en-US"/>
        </w:rPr>
        <w:tab/>
      </w:r>
      <w:r w:rsidRPr="004D0DAA">
        <w:t>TIMESLOT_ALLOCATION</w:t>
      </w:r>
      <w:r w:rsidRPr="004D0DAA">
        <w:tab/>
      </w:r>
      <w:r w:rsidRPr="004D0DAA">
        <w:fldChar w:fldCharType="begin" w:fldLock="1"/>
      </w:r>
      <w:r w:rsidRPr="004D0DAA">
        <w:instrText xml:space="preserve"> PAGEREF _Toc516669975 \h </w:instrText>
      </w:r>
      <w:r w:rsidRPr="004D0DAA">
        <w:fldChar w:fldCharType="separate"/>
      </w:r>
      <w:r w:rsidRPr="004D0DAA">
        <w:t>639</w:t>
      </w:r>
      <w:r w:rsidRPr="004D0DAA">
        <w:fldChar w:fldCharType="end"/>
      </w:r>
    </w:p>
    <w:p w14:paraId="47113337" w14:textId="77777777" w:rsidR="00683705" w:rsidRPr="004D0DAA" w:rsidRDefault="00683705">
      <w:pPr>
        <w:pStyle w:val="TOC2"/>
        <w:rPr>
          <w:rFonts w:ascii="Calibri" w:hAnsi="Calibri"/>
          <w:sz w:val="22"/>
          <w:szCs w:val="22"/>
          <w:lang w:val="en-US"/>
        </w:rPr>
      </w:pPr>
      <w:r w:rsidRPr="004D0DAA">
        <w:t>12.19</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_Toc516669976 \h </w:instrText>
      </w:r>
      <w:r w:rsidRPr="004D0DAA">
        <w:fldChar w:fldCharType="separate"/>
      </w:r>
      <w:r w:rsidRPr="004D0DAA">
        <w:t>639</w:t>
      </w:r>
      <w:r w:rsidRPr="004D0DAA">
        <w:fldChar w:fldCharType="end"/>
      </w:r>
    </w:p>
    <w:p w14:paraId="79E69680" w14:textId="77777777" w:rsidR="00683705" w:rsidRPr="004D0DAA" w:rsidRDefault="00683705">
      <w:pPr>
        <w:pStyle w:val="TOC2"/>
        <w:rPr>
          <w:rFonts w:ascii="Calibri" w:hAnsi="Calibri"/>
          <w:sz w:val="22"/>
          <w:szCs w:val="22"/>
          <w:lang w:val="en-US"/>
        </w:rPr>
      </w:pPr>
      <w:r w:rsidRPr="004D0DAA">
        <w:t>12.20</w:t>
      </w:r>
      <w:r w:rsidRPr="004D0DAA">
        <w:rPr>
          <w:rFonts w:ascii="Calibri" w:hAnsi="Calibri"/>
          <w:sz w:val="22"/>
          <w:szCs w:val="22"/>
          <w:lang w:val="en-US"/>
        </w:rPr>
        <w:tab/>
      </w:r>
      <w:r w:rsidRPr="004D0DAA">
        <w:t>PAGE_MODE</w:t>
      </w:r>
      <w:r w:rsidRPr="004D0DAA">
        <w:tab/>
      </w:r>
      <w:r w:rsidRPr="004D0DAA">
        <w:fldChar w:fldCharType="begin" w:fldLock="1"/>
      </w:r>
      <w:r w:rsidRPr="004D0DAA">
        <w:instrText xml:space="preserve"> PAGEREF _Toc516669977 \h </w:instrText>
      </w:r>
      <w:r w:rsidRPr="004D0DAA">
        <w:fldChar w:fldCharType="separate"/>
      </w:r>
      <w:r w:rsidRPr="004D0DAA">
        <w:t>639</w:t>
      </w:r>
      <w:r w:rsidRPr="004D0DAA">
        <w:fldChar w:fldCharType="end"/>
      </w:r>
    </w:p>
    <w:p w14:paraId="1E289E52" w14:textId="77777777" w:rsidR="00683705" w:rsidRPr="004D0DAA" w:rsidRDefault="00683705">
      <w:pPr>
        <w:pStyle w:val="TOC2"/>
        <w:rPr>
          <w:rFonts w:ascii="Calibri" w:hAnsi="Calibri"/>
          <w:sz w:val="22"/>
          <w:szCs w:val="22"/>
          <w:lang w:val="en-US"/>
        </w:rPr>
      </w:pPr>
      <w:r w:rsidRPr="004D0DAA">
        <w:t>12.21</w:t>
      </w:r>
      <w:r w:rsidRPr="004D0DAA">
        <w:rPr>
          <w:rFonts w:ascii="Calibri" w:hAnsi="Calibri"/>
          <w:sz w:val="22"/>
          <w:szCs w:val="22"/>
          <w:lang w:val="en-US"/>
        </w:rPr>
        <w:tab/>
      </w:r>
      <w:r w:rsidRPr="004D0DAA">
        <w:t>Starting Frame Number Description</w:t>
      </w:r>
      <w:r w:rsidRPr="004D0DAA">
        <w:tab/>
      </w:r>
      <w:r w:rsidRPr="004D0DAA">
        <w:fldChar w:fldCharType="begin" w:fldLock="1"/>
      </w:r>
      <w:r w:rsidRPr="004D0DAA">
        <w:instrText xml:space="preserve"> PAGEREF _Toc516669978 \h </w:instrText>
      </w:r>
      <w:r w:rsidRPr="004D0DAA">
        <w:fldChar w:fldCharType="separate"/>
      </w:r>
      <w:r w:rsidRPr="004D0DAA">
        <w:t>639</w:t>
      </w:r>
      <w:r w:rsidRPr="004D0DAA">
        <w:fldChar w:fldCharType="end"/>
      </w:r>
    </w:p>
    <w:p w14:paraId="174E5FF9" w14:textId="77777777" w:rsidR="00683705" w:rsidRPr="004D0DAA" w:rsidRDefault="00683705">
      <w:pPr>
        <w:pStyle w:val="TOC3"/>
        <w:rPr>
          <w:rFonts w:ascii="Calibri" w:hAnsi="Calibri"/>
          <w:sz w:val="22"/>
          <w:szCs w:val="22"/>
          <w:lang w:val="en-US"/>
        </w:rPr>
      </w:pPr>
      <w:r w:rsidRPr="004D0DAA">
        <w:t>12.21.1</w:t>
      </w:r>
      <w:r w:rsidRPr="004D0DAA">
        <w:rPr>
          <w:rFonts w:ascii="Calibri" w:hAnsi="Calibri"/>
          <w:sz w:val="22"/>
          <w:szCs w:val="22"/>
          <w:lang w:val="en-US"/>
        </w:rPr>
        <w:tab/>
      </w:r>
      <w:r w:rsidRPr="004D0DAA">
        <w:t>Absolute Frame Number Encoding</w:t>
      </w:r>
      <w:r w:rsidRPr="004D0DAA">
        <w:tab/>
      </w:r>
      <w:r w:rsidRPr="004D0DAA">
        <w:fldChar w:fldCharType="begin" w:fldLock="1"/>
      </w:r>
      <w:r w:rsidRPr="004D0DAA">
        <w:instrText xml:space="preserve"> PAGEREF _Toc516669979 \h </w:instrText>
      </w:r>
      <w:r w:rsidRPr="004D0DAA">
        <w:fldChar w:fldCharType="separate"/>
      </w:r>
      <w:r w:rsidRPr="004D0DAA">
        <w:t>639</w:t>
      </w:r>
      <w:r w:rsidRPr="004D0DAA">
        <w:fldChar w:fldCharType="end"/>
      </w:r>
    </w:p>
    <w:p w14:paraId="34C47F11" w14:textId="77777777" w:rsidR="00683705" w:rsidRPr="004D0DAA" w:rsidRDefault="00683705">
      <w:pPr>
        <w:pStyle w:val="TOC3"/>
        <w:rPr>
          <w:rFonts w:ascii="Calibri" w:hAnsi="Calibri"/>
          <w:sz w:val="22"/>
          <w:szCs w:val="22"/>
          <w:lang w:val="en-US"/>
        </w:rPr>
      </w:pPr>
      <w:r w:rsidRPr="004D0DAA">
        <w:t>12.21.2</w:t>
      </w:r>
      <w:r w:rsidRPr="004D0DAA">
        <w:rPr>
          <w:rFonts w:ascii="Calibri" w:hAnsi="Calibri"/>
          <w:sz w:val="22"/>
          <w:szCs w:val="22"/>
          <w:lang w:val="en-US"/>
        </w:rPr>
        <w:tab/>
      </w:r>
      <w:r w:rsidRPr="004D0DAA">
        <w:t>Relative Frame Number Encoding</w:t>
      </w:r>
      <w:r w:rsidRPr="004D0DAA">
        <w:tab/>
      </w:r>
      <w:r w:rsidRPr="004D0DAA">
        <w:fldChar w:fldCharType="begin" w:fldLock="1"/>
      </w:r>
      <w:r w:rsidRPr="004D0DAA">
        <w:instrText xml:space="preserve"> PAGEREF _Toc516669980 \h </w:instrText>
      </w:r>
      <w:r w:rsidRPr="004D0DAA">
        <w:fldChar w:fldCharType="separate"/>
      </w:r>
      <w:r w:rsidRPr="004D0DAA">
        <w:t>640</w:t>
      </w:r>
      <w:r w:rsidRPr="004D0DAA">
        <w:fldChar w:fldCharType="end"/>
      </w:r>
    </w:p>
    <w:p w14:paraId="714B7E13" w14:textId="77777777" w:rsidR="00683705" w:rsidRPr="004D0DAA" w:rsidRDefault="00683705">
      <w:pPr>
        <w:pStyle w:val="TOC2"/>
        <w:rPr>
          <w:rFonts w:ascii="Calibri" w:hAnsi="Calibri"/>
          <w:sz w:val="22"/>
          <w:szCs w:val="22"/>
          <w:lang w:val="en-US"/>
        </w:rPr>
      </w:pPr>
      <w:r w:rsidRPr="004D0DAA">
        <w:t>12.22</w:t>
      </w:r>
      <w:r w:rsidRPr="004D0DAA">
        <w:rPr>
          <w:rFonts w:ascii="Calibri" w:hAnsi="Calibri"/>
          <w:sz w:val="22"/>
          <w:szCs w:val="22"/>
          <w:lang w:val="en-US"/>
        </w:rPr>
        <w:tab/>
      </w:r>
      <w:r w:rsidRPr="004D0DAA">
        <w:t>(void)</w:t>
      </w:r>
      <w:r w:rsidRPr="004D0DAA">
        <w:tab/>
      </w:r>
      <w:r w:rsidRPr="004D0DAA">
        <w:fldChar w:fldCharType="begin" w:fldLock="1"/>
      </w:r>
      <w:r w:rsidRPr="004D0DAA">
        <w:instrText xml:space="preserve"> PAGEREF _Toc516669981 \h </w:instrText>
      </w:r>
      <w:r w:rsidRPr="004D0DAA">
        <w:fldChar w:fldCharType="separate"/>
      </w:r>
      <w:r w:rsidRPr="004D0DAA">
        <w:t>640</w:t>
      </w:r>
      <w:r w:rsidRPr="004D0DAA">
        <w:fldChar w:fldCharType="end"/>
      </w:r>
    </w:p>
    <w:p w14:paraId="78308301" w14:textId="77777777" w:rsidR="00683705" w:rsidRPr="004D0DAA" w:rsidRDefault="00683705">
      <w:pPr>
        <w:pStyle w:val="TOC2"/>
        <w:rPr>
          <w:rFonts w:ascii="Calibri" w:hAnsi="Calibri"/>
          <w:sz w:val="22"/>
          <w:szCs w:val="22"/>
          <w:lang w:val="en-US"/>
        </w:rPr>
      </w:pPr>
      <w:r w:rsidRPr="004D0DAA">
        <w:t>12.23</w:t>
      </w:r>
      <w:r w:rsidRPr="004D0DAA">
        <w:rPr>
          <w:rFonts w:ascii="Calibri" w:hAnsi="Calibri"/>
          <w:sz w:val="22"/>
          <w:szCs w:val="22"/>
          <w:lang w:val="en-US"/>
        </w:rPr>
        <w:tab/>
      </w:r>
      <w:r w:rsidRPr="004D0DAA">
        <w:t>Cell Identification</w:t>
      </w:r>
      <w:r w:rsidRPr="004D0DAA">
        <w:tab/>
      </w:r>
      <w:r w:rsidRPr="004D0DAA">
        <w:fldChar w:fldCharType="begin" w:fldLock="1"/>
      </w:r>
      <w:r w:rsidRPr="004D0DAA">
        <w:instrText xml:space="preserve"> PAGEREF _Toc516669982 \h </w:instrText>
      </w:r>
      <w:r w:rsidRPr="004D0DAA">
        <w:fldChar w:fldCharType="separate"/>
      </w:r>
      <w:r w:rsidRPr="004D0DAA">
        <w:t>640</w:t>
      </w:r>
      <w:r w:rsidRPr="004D0DAA">
        <w:fldChar w:fldCharType="end"/>
      </w:r>
    </w:p>
    <w:p w14:paraId="781EB0F9" w14:textId="77777777" w:rsidR="00683705" w:rsidRPr="004D0DAA" w:rsidRDefault="00683705">
      <w:pPr>
        <w:pStyle w:val="TOC2"/>
        <w:rPr>
          <w:rFonts w:ascii="Calibri" w:hAnsi="Calibri"/>
          <w:sz w:val="22"/>
          <w:szCs w:val="22"/>
          <w:lang w:val="en-US"/>
        </w:rPr>
      </w:pPr>
      <w:r w:rsidRPr="004D0DAA">
        <w:t>12.24</w:t>
      </w:r>
      <w:r w:rsidRPr="004D0DAA">
        <w:rPr>
          <w:rFonts w:ascii="Calibri" w:hAnsi="Calibri"/>
          <w:sz w:val="22"/>
          <w:szCs w:val="22"/>
          <w:lang w:val="en-US"/>
        </w:rPr>
        <w:tab/>
      </w:r>
      <w:r w:rsidRPr="004D0DAA">
        <w:t>GPRS Cell Options</w:t>
      </w:r>
      <w:r w:rsidRPr="004D0DAA">
        <w:tab/>
      </w:r>
      <w:r w:rsidRPr="004D0DAA">
        <w:fldChar w:fldCharType="begin" w:fldLock="1"/>
      </w:r>
      <w:r w:rsidRPr="004D0DAA">
        <w:instrText xml:space="preserve"> PAGEREF _Toc516669983 \h </w:instrText>
      </w:r>
      <w:r w:rsidRPr="004D0DAA">
        <w:fldChar w:fldCharType="separate"/>
      </w:r>
      <w:r w:rsidRPr="004D0DAA">
        <w:t>641</w:t>
      </w:r>
      <w:r w:rsidRPr="004D0DAA">
        <w:fldChar w:fldCharType="end"/>
      </w:r>
    </w:p>
    <w:p w14:paraId="4C784B26" w14:textId="77777777" w:rsidR="00683705" w:rsidRPr="004D0DAA" w:rsidRDefault="00683705">
      <w:pPr>
        <w:pStyle w:val="TOC2"/>
        <w:rPr>
          <w:rFonts w:ascii="Calibri" w:hAnsi="Calibri"/>
          <w:sz w:val="22"/>
          <w:szCs w:val="22"/>
          <w:lang w:val="en-US"/>
        </w:rPr>
      </w:pPr>
      <w:r w:rsidRPr="004D0DAA">
        <w:t>12.25</w:t>
      </w:r>
      <w:r w:rsidRPr="004D0DAA">
        <w:rPr>
          <w:rFonts w:ascii="Calibri" w:hAnsi="Calibri"/>
          <w:sz w:val="22"/>
          <w:szCs w:val="22"/>
          <w:lang w:val="en-US"/>
        </w:rPr>
        <w:tab/>
      </w:r>
      <w:r w:rsidRPr="004D0DAA">
        <w:t>PCCCH Organization Parameters</w:t>
      </w:r>
      <w:r w:rsidRPr="004D0DAA">
        <w:tab/>
      </w:r>
      <w:r w:rsidRPr="004D0DAA">
        <w:fldChar w:fldCharType="begin" w:fldLock="1"/>
      </w:r>
      <w:r w:rsidRPr="004D0DAA">
        <w:instrText xml:space="preserve"> PAGEREF _Toc516669984 \h </w:instrText>
      </w:r>
      <w:r w:rsidRPr="004D0DAA">
        <w:fldChar w:fldCharType="separate"/>
      </w:r>
      <w:r w:rsidRPr="004D0DAA">
        <w:t>645</w:t>
      </w:r>
      <w:r w:rsidRPr="004D0DAA">
        <w:fldChar w:fldCharType="end"/>
      </w:r>
    </w:p>
    <w:p w14:paraId="3DE7D309" w14:textId="77777777" w:rsidR="00683705" w:rsidRPr="004D0DAA" w:rsidRDefault="00683705">
      <w:pPr>
        <w:pStyle w:val="TOC2"/>
        <w:rPr>
          <w:rFonts w:ascii="Calibri" w:hAnsi="Calibri"/>
          <w:sz w:val="22"/>
          <w:szCs w:val="22"/>
          <w:lang w:val="en-US"/>
        </w:rPr>
      </w:pPr>
      <w:r w:rsidRPr="004D0DAA">
        <w:t>12.26</w:t>
      </w:r>
      <w:r w:rsidRPr="004D0DAA">
        <w:rPr>
          <w:rFonts w:ascii="Calibri" w:hAnsi="Calibri"/>
          <w:sz w:val="22"/>
          <w:szCs w:val="22"/>
          <w:lang w:val="en-US"/>
        </w:rPr>
        <w:tab/>
      </w:r>
      <w:r w:rsidRPr="004D0DAA">
        <w:t>Extension Bits IE</w:t>
      </w:r>
      <w:r w:rsidRPr="004D0DAA">
        <w:tab/>
      </w:r>
      <w:r w:rsidRPr="004D0DAA">
        <w:fldChar w:fldCharType="begin" w:fldLock="1"/>
      </w:r>
      <w:r w:rsidRPr="004D0DAA">
        <w:instrText xml:space="preserve"> PAGEREF _Toc516669985 \h </w:instrText>
      </w:r>
      <w:r w:rsidRPr="004D0DAA">
        <w:fldChar w:fldCharType="separate"/>
      </w:r>
      <w:r w:rsidRPr="004D0DAA">
        <w:t>645</w:t>
      </w:r>
      <w:r w:rsidRPr="004D0DAA">
        <w:fldChar w:fldCharType="end"/>
      </w:r>
    </w:p>
    <w:p w14:paraId="0197DF22" w14:textId="77777777" w:rsidR="00683705" w:rsidRPr="004D0DAA" w:rsidRDefault="00683705">
      <w:pPr>
        <w:pStyle w:val="TOC2"/>
        <w:rPr>
          <w:rFonts w:ascii="Calibri" w:hAnsi="Calibri"/>
          <w:sz w:val="22"/>
          <w:szCs w:val="22"/>
          <w:lang w:val="en-US"/>
        </w:rPr>
      </w:pPr>
      <w:r w:rsidRPr="004D0DAA">
        <w:t>12.27</w:t>
      </w:r>
      <w:r w:rsidRPr="004D0DAA">
        <w:rPr>
          <w:rFonts w:ascii="Calibri" w:hAnsi="Calibri"/>
          <w:sz w:val="22"/>
          <w:szCs w:val="22"/>
          <w:lang w:val="en-US"/>
        </w:rPr>
        <w:tab/>
      </w:r>
      <w:r w:rsidRPr="004D0DAA">
        <w:t>Non GPRS Cell Options IE</w:t>
      </w:r>
      <w:r w:rsidRPr="004D0DAA">
        <w:tab/>
      </w:r>
      <w:r w:rsidRPr="004D0DAA">
        <w:fldChar w:fldCharType="begin" w:fldLock="1"/>
      </w:r>
      <w:r w:rsidRPr="004D0DAA">
        <w:instrText xml:space="preserve"> PAGEREF _Toc516669986 \h </w:instrText>
      </w:r>
      <w:r w:rsidRPr="004D0DAA">
        <w:fldChar w:fldCharType="separate"/>
      </w:r>
      <w:r w:rsidRPr="004D0DAA">
        <w:t>646</w:t>
      </w:r>
      <w:r w:rsidRPr="004D0DAA">
        <w:fldChar w:fldCharType="end"/>
      </w:r>
    </w:p>
    <w:p w14:paraId="3A57CD2E" w14:textId="77777777" w:rsidR="00683705" w:rsidRPr="004D0DAA" w:rsidRDefault="00683705">
      <w:pPr>
        <w:pStyle w:val="TOC2"/>
        <w:rPr>
          <w:rFonts w:ascii="Calibri" w:hAnsi="Calibri"/>
          <w:sz w:val="22"/>
          <w:szCs w:val="22"/>
          <w:lang w:val="en-US"/>
        </w:rPr>
      </w:pPr>
      <w:r w:rsidRPr="004D0DAA">
        <w:t>12.28</w:t>
      </w:r>
      <w:r w:rsidRPr="004D0DAA">
        <w:rPr>
          <w:rFonts w:ascii="Calibri" w:hAnsi="Calibri"/>
          <w:sz w:val="22"/>
          <w:szCs w:val="22"/>
          <w:lang w:val="en-US"/>
        </w:rPr>
        <w:tab/>
      </w:r>
      <w:r w:rsidRPr="004D0DAA">
        <w:t>LSA Parameters</w:t>
      </w:r>
      <w:r w:rsidRPr="004D0DAA">
        <w:tab/>
      </w:r>
      <w:r w:rsidRPr="004D0DAA">
        <w:fldChar w:fldCharType="begin" w:fldLock="1"/>
      </w:r>
      <w:r w:rsidRPr="004D0DAA">
        <w:instrText xml:space="preserve"> PAGEREF _Toc516669987 \h </w:instrText>
      </w:r>
      <w:r w:rsidRPr="004D0DAA">
        <w:fldChar w:fldCharType="separate"/>
      </w:r>
      <w:r w:rsidRPr="004D0DAA">
        <w:t>647</w:t>
      </w:r>
      <w:r w:rsidRPr="004D0DAA">
        <w:fldChar w:fldCharType="end"/>
      </w:r>
    </w:p>
    <w:p w14:paraId="55672F88" w14:textId="77777777" w:rsidR="00683705" w:rsidRPr="004D0DAA" w:rsidRDefault="00683705">
      <w:pPr>
        <w:pStyle w:val="TOC2"/>
        <w:rPr>
          <w:rFonts w:ascii="Calibri" w:hAnsi="Calibri"/>
          <w:sz w:val="22"/>
          <w:szCs w:val="22"/>
          <w:lang w:val="en-US"/>
        </w:rPr>
      </w:pPr>
      <w:r w:rsidRPr="004D0DAA">
        <w:t>12.29</w:t>
      </w:r>
      <w:r w:rsidRPr="004D0DAA">
        <w:rPr>
          <w:rFonts w:ascii="Calibri" w:hAnsi="Calibri"/>
          <w:sz w:val="22"/>
          <w:szCs w:val="22"/>
          <w:lang w:val="en-US"/>
        </w:rPr>
        <w:tab/>
      </w:r>
      <w:r w:rsidRPr="004D0DAA">
        <w:t>COMPACT reduced MA</w:t>
      </w:r>
      <w:r w:rsidRPr="004D0DAA">
        <w:tab/>
      </w:r>
      <w:r w:rsidRPr="004D0DAA">
        <w:fldChar w:fldCharType="begin" w:fldLock="1"/>
      </w:r>
      <w:r w:rsidRPr="004D0DAA">
        <w:instrText xml:space="preserve"> PAGEREF _Toc516669988 \h </w:instrText>
      </w:r>
      <w:r w:rsidRPr="004D0DAA">
        <w:fldChar w:fldCharType="separate"/>
      </w:r>
      <w:r w:rsidRPr="004D0DAA">
        <w:t>647</w:t>
      </w:r>
      <w:r w:rsidRPr="004D0DAA">
        <w:fldChar w:fldCharType="end"/>
      </w:r>
    </w:p>
    <w:p w14:paraId="72976732" w14:textId="77777777" w:rsidR="00683705" w:rsidRPr="004D0DAA" w:rsidRDefault="00683705">
      <w:pPr>
        <w:pStyle w:val="TOC2"/>
        <w:rPr>
          <w:rFonts w:ascii="Calibri" w:hAnsi="Calibri"/>
          <w:sz w:val="22"/>
          <w:szCs w:val="22"/>
          <w:lang w:val="en-US"/>
        </w:rPr>
      </w:pPr>
      <w:r w:rsidRPr="004D0DAA">
        <w:t>12.30</w:t>
      </w:r>
      <w:r w:rsidRPr="004D0DAA">
        <w:rPr>
          <w:rFonts w:ascii="Calibri" w:hAnsi="Calibri"/>
          <w:sz w:val="22"/>
          <w:szCs w:val="22"/>
          <w:lang w:val="en-US"/>
        </w:rPr>
        <w:tab/>
      </w:r>
      <w:r w:rsidRPr="004D0DAA">
        <w:t>MS Radio Access Capability 2</w:t>
      </w:r>
      <w:r w:rsidRPr="004D0DAA">
        <w:tab/>
      </w:r>
      <w:r w:rsidRPr="004D0DAA">
        <w:fldChar w:fldCharType="begin" w:fldLock="1"/>
      </w:r>
      <w:r w:rsidRPr="004D0DAA">
        <w:instrText xml:space="preserve"> PAGEREF _Toc516669989 \h </w:instrText>
      </w:r>
      <w:r w:rsidRPr="004D0DAA">
        <w:fldChar w:fldCharType="separate"/>
      </w:r>
      <w:r w:rsidRPr="004D0DAA">
        <w:t>648</w:t>
      </w:r>
      <w:r w:rsidRPr="004D0DAA">
        <w:fldChar w:fldCharType="end"/>
      </w:r>
    </w:p>
    <w:p w14:paraId="355ECD7E" w14:textId="77777777" w:rsidR="00683705" w:rsidRPr="004D0DAA" w:rsidRDefault="00683705">
      <w:pPr>
        <w:pStyle w:val="TOC2"/>
        <w:rPr>
          <w:rFonts w:ascii="Calibri" w:hAnsi="Calibri"/>
          <w:sz w:val="22"/>
          <w:szCs w:val="22"/>
          <w:lang w:val="en-US"/>
        </w:rPr>
      </w:pPr>
      <w:r w:rsidRPr="004D0DAA">
        <w:t>12.31</w:t>
      </w:r>
      <w:r w:rsidRPr="004D0DAA">
        <w:rPr>
          <w:rFonts w:ascii="Calibri" w:hAnsi="Calibri"/>
          <w:sz w:val="22"/>
          <w:szCs w:val="22"/>
          <w:lang w:val="en-US"/>
        </w:rPr>
        <w:tab/>
      </w:r>
      <w:r w:rsidRPr="004D0DAA">
        <w:rPr>
          <w:i/>
        </w:rPr>
        <w:t>UTRAN FDD Target cell</w:t>
      </w:r>
      <w:r w:rsidRPr="004D0DAA">
        <w:tab/>
      </w:r>
      <w:r w:rsidRPr="004D0DAA">
        <w:fldChar w:fldCharType="begin" w:fldLock="1"/>
      </w:r>
      <w:r w:rsidRPr="004D0DAA">
        <w:instrText xml:space="preserve"> PAGEREF _Toc516669990 \h </w:instrText>
      </w:r>
      <w:r w:rsidRPr="004D0DAA">
        <w:fldChar w:fldCharType="separate"/>
      </w:r>
      <w:r w:rsidRPr="004D0DAA">
        <w:t>649</w:t>
      </w:r>
      <w:r w:rsidRPr="004D0DAA">
        <w:fldChar w:fldCharType="end"/>
      </w:r>
    </w:p>
    <w:p w14:paraId="10FE3D02" w14:textId="77777777" w:rsidR="00683705" w:rsidRPr="004D0DAA" w:rsidRDefault="00683705">
      <w:pPr>
        <w:pStyle w:val="TOC2"/>
        <w:rPr>
          <w:rFonts w:ascii="Calibri" w:hAnsi="Calibri"/>
          <w:sz w:val="22"/>
          <w:szCs w:val="22"/>
          <w:lang w:val="en-US"/>
        </w:rPr>
      </w:pPr>
      <w:r w:rsidRPr="004D0DAA">
        <w:t>12.32</w:t>
      </w:r>
      <w:r w:rsidRPr="004D0DAA">
        <w:rPr>
          <w:rFonts w:ascii="Calibri" w:hAnsi="Calibri"/>
          <w:sz w:val="22"/>
          <w:szCs w:val="22"/>
          <w:lang w:val="en-US"/>
        </w:rPr>
        <w:tab/>
      </w:r>
      <w:r w:rsidRPr="004D0DAA">
        <w:rPr>
          <w:i/>
        </w:rPr>
        <w:t>UTRAN TDD Target cell</w:t>
      </w:r>
      <w:r w:rsidRPr="004D0DAA">
        <w:tab/>
      </w:r>
      <w:r w:rsidRPr="004D0DAA">
        <w:fldChar w:fldCharType="begin" w:fldLock="1"/>
      </w:r>
      <w:r w:rsidRPr="004D0DAA">
        <w:instrText xml:space="preserve"> PAGEREF _Toc516669991 \h </w:instrText>
      </w:r>
      <w:r w:rsidRPr="004D0DAA">
        <w:fldChar w:fldCharType="separate"/>
      </w:r>
      <w:r w:rsidRPr="004D0DAA">
        <w:t>650</w:t>
      </w:r>
      <w:r w:rsidRPr="004D0DAA">
        <w:fldChar w:fldCharType="end"/>
      </w:r>
    </w:p>
    <w:p w14:paraId="04772E3A" w14:textId="77777777" w:rsidR="00683705" w:rsidRPr="004D0DAA" w:rsidRDefault="00683705">
      <w:pPr>
        <w:pStyle w:val="TOC2"/>
        <w:rPr>
          <w:rFonts w:ascii="Calibri" w:hAnsi="Calibri"/>
          <w:sz w:val="22"/>
          <w:szCs w:val="22"/>
          <w:lang w:val="en-US"/>
        </w:rPr>
      </w:pPr>
      <w:r w:rsidRPr="004D0DAA">
        <w:t>12.33</w:t>
      </w:r>
      <w:r w:rsidRPr="004D0DAA">
        <w:rPr>
          <w:rFonts w:ascii="Calibri" w:hAnsi="Calibri"/>
          <w:sz w:val="22"/>
          <w:szCs w:val="22"/>
          <w:lang w:val="en-US"/>
        </w:rPr>
        <w:tab/>
      </w:r>
      <w:r w:rsidRPr="004D0DAA">
        <w:t>Temporary Mobile Group Identity (TMGI)</w:t>
      </w:r>
      <w:r w:rsidRPr="004D0DAA">
        <w:tab/>
      </w:r>
      <w:r w:rsidRPr="004D0DAA">
        <w:fldChar w:fldCharType="begin" w:fldLock="1"/>
      </w:r>
      <w:r w:rsidRPr="004D0DAA">
        <w:instrText xml:space="preserve"> PAGEREF _Toc516669992 \h </w:instrText>
      </w:r>
      <w:r w:rsidRPr="004D0DAA">
        <w:fldChar w:fldCharType="separate"/>
      </w:r>
      <w:r w:rsidRPr="004D0DAA">
        <w:t>651</w:t>
      </w:r>
      <w:r w:rsidRPr="004D0DAA">
        <w:fldChar w:fldCharType="end"/>
      </w:r>
    </w:p>
    <w:p w14:paraId="6B3518E5" w14:textId="77777777" w:rsidR="00683705" w:rsidRPr="004D0DAA" w:rsidRDefault="00683705">
      <w:pPr>
        <w:pStyle w:val="TOC2"/>
        <w:rPr>
          <w:rFonts w:ascii="Calibri" w:hAnsi="Calibri"/>
          <w:sz w:val="22"/>
          <w:szCs w:val="22"/>
          <w:lang w:val="en-US"/>
        </w:rPr>
      </w:pPr>
      <w:r w:rsidRPr="004D0DAA">
        <w:t>12.34</w:t>
      </w:r>
      <w:r w:rsidRPr="004D0DAA">
        <w:rPr>
          <w:rFonts w:ascii="Calibri" w:hAnsi="Calibri"/>
          <w:sz w:val="22"/>
          <w:szCs w:val="22"/>
          <w:lang w:val="en-US"/>
        </w:rPr>
        <w:tab/>
      </w:r>
      <w:r w:rsidRPr="004D0DAA">
        <w:t>MBMS Bearer Identity</w:t>
      </w:r>
      <w:r w:rsidRPr="004D0DAA">
        <w:tab/>
      </w:r>
      <w:r w:rsidRPr="004D0DAA">
        <w:fldChar w:fldCharType="begin" w:fldLock="1"/>
      </w:r>
      <w:r w:rsidRPr="004D0DAA">
        <w:instrText xml:space="preserve"> PAGEREF _Toc516669993 \h </w:instrText>
      </w:r>
      <w:r w:rsidRPr="004D0DAA">
        <w:fldChar w:fldCharType="separate"/>
      </w:r>
      <w:r w:rsidRPr="004D0DAA">
        <w:t>652</w:t>
      </w:r>
      <w:r w:rsidRPr="004D0DAA">
        <w:fldChar w:fldCharType="end"/>
      </w:r>
    </w:p>
    <w:p w14:paraId="6F090160" w14:textId="77777777" w:rsidR="00683705" w:rsidRPr="004D0DAA" w:rsidRDefault="00683705">
      <w:pPr>
        <w:pStyle w:val="TOC2"/>
        <w:rPr>
          <w:rFonts w:ascii="Calibri" w:hAnsi="Calibri"/>
          <w:sz w:val="22"/>
          <w:szCs w:val="22"/>
          <w:lang w:val="en-US"/>
        </w:rPr>
      </w:pPr>
      <w:r w:rsidRPr="004D0DAA">
        <w:t>12.35</w:t>
      </w:r>
      <w:r w:rsidRPr="004D0DAA">
        <w:rPr>
          <w:rFonts w:ascii="Calibri" w:hAnsi="Calibri"/>
          <w:sz w:val="22"/>
          <w:szCs w:val="22"/>
          <w:lang w:val="en-US"/>
        </w:rPr>
        <w:tab/>
      </w:r>
      <w:r w:rsidRPr="004D0DAA">
        <w:t>MS_ID</w:t>
      </w:r>
      <w:r w:rsidRPr="004D0DAA">
        <w:tab/>
      </w:r>
      <w:r w:rsidRPr="004D0DAA">
        <w:fldChar w:fldCharType="begin" w:fldLock="1"/>
      </w:r>
      <w:r w:rsidRPr="004D0DAA">
        <w:instrText xml:space="preserve"> PAGEREF _Toc516669994 \h </w:instrText>
      </w:r>
      <w:r w:rsidRPr="004D0DAA">
        <w:fldChar w:fldCharType="separate"/>
      </w:r>
      <w:r w:rsidRPr="004D0DAA">
        <w:t>652</w:t>
      </w:r>
      <w:r w:rsidRPr="004D0DAA">
        <w:fldChar w:fldCharType="end"/>
      </w:r>
    </w:p>
    <w:p w14:paraId="4786A733" w14:textId="77777777" w:rsidR="00683705" w:rsidRPr="004D0DAA" w:rsidRDefault="00683705">
      <w:pPr>
        <w:pStyle w:val="TOC2"/>
        <w:rPr>
          <w:rFonts w:ascii="Calibri" w:hAnsi="Calibri"/>
          <w:sz w:val="22"/>
          <w:szCs w:val="22"/>
          <w:lang w:val="en-US"/>
        </w:rPr>
      </w:pPr>
      <w:r w:rsidRPr="004D0DAA">
        <w:t>12.36</w:t>
      </w:r>
      <w:r w:rsidRPr="004D0DAA">
        <w:rPr>
          <w:rFonts w:ascii="Calibri" w:hAnsi="Calibri"/>
          <w:sz w:val="22"/>
          <w:szCs w:val="22"/>
          <w:lang w:val="en-US"/>
        </w:rPr>
        <w:tab/>
      </w:r>
      <w:r w:rsidRPr="004D0DAA">
        <w:t>MBMS Channel Parameters</w:t>
      </w:r>
      <w:r w:rsidRPr="004D0DAA">
        <w:tab/>
      </w:r>
      <w:r w:rsidRPr="004D0DAA">
        <w:fldChar w:fldCharType="begin" w:fldLock="1"/>
      </w:r>
      <w:r w:rsidRPr="004D0DAA">
        <w:instrText xml:space="preserve"> PAGEREF _Toc516669995 \h </w:instrText>
      </w:r>
      <w:r w:rsidRPr="004D0DAA">
        <w:fldChar w:fldCharType="separate"/>
      </w:r>
      <w:r w:rsidRPr="004D0DAA">
        <w:t>652</w:t>
      </w:r>
      <w:r w:rsidRPr="004D0DAA">
        <w:fldChar w:fldCharType="end"/>
      </w:r>
    </w:p>
    <w:p w14:paraId="13C93BF4" w14:textId="77777777" w:rsidR="00683705" w:rsidRPr="004D0DAA" w:rsidRDefault="00683705">
      <w:pPr>
        <w:pStyle w:val="TOC2"/>
        <w:rPr>
          <w:rFonts w:ascii="Calibri" w:hAnsi="Calibri"/>
          <w:sz w:val="22"/>
          <w:szCs w:val="22"/>
          <w:lang w:val="en-US"/>
        </w:rPr>
      </w:pPr>
      <w:r w:rsidRPr="004D0DAA">
        <w:t>12.37</w:t>
      </w:r>
      <w:r w:rsidRPr="004D0DAA">
        <w:rPr>
          <w:rFonts w:ascii="Calibri" w:hAnsi="Calibri"/>
          <w:sz w:val="22"/>
          <w:szCs w:val="22"/>
        </w:rPr>
        <w:tab/>
      </w:r>
      <w:r w:rsidRPr="004D0DAA">
        <w:rPr>
          <w:lang w:val="fr-FR"/>
        </w:rPr>
        <w:t>MBMS p-t-m channel description</w:t>
      </w:r>
      <w:r w:rsidRPr="004D0DAA">
        <w:tab/>
      </w:r>
      <w:r w:rsidRPr="004D0DAA">
        <w:fldChar w:fldCharType="begin" w:fldLock="1"/>
      </w:r>
      <w:r w:rsidRPr="004D0DAA">
        <w:instrText xml:space="preserve"> PAGEREF _Toc516669996 \h </w:instrText>
      </w:r>
      <w:r w:rsidRPr="004D0DAA">
        <w:fldChar w:fldCharType="separate"/>
      </w:r>
      <w:r w:rsidRPr="004D0DAA">
        <w:t>653</w:t>
      </w:r>
      <w:r w:rsidRPr="004D0DAA">
        <w:fldChar w:fldCharType="end"/>
      </w:r>
    </w:p>
    <w:p w14:paraId="2A0DACC0" w14:textId="77777777" w:rsidR="00683705" w:rsidRPr="004D0DAA" w:rsidRDefault="00683705">
      <w:pPr>
        <w:pStyle w:val="TOC2"/>
        <w:rPr>
          <w:rFonts w:ascii="Calibri" w:hAnsi="Calibri"/>
          <w:sz w:val="22"/>
          <w:szCs w:val="22"/>
          <w:lang w:val="en-US"/>
        </w:rPr>
      </w:pPr>
      <w:r w:rsidRPr="004D0DAA">
        <w:t>12.38</w:t>
      </w:r>
      <w:r w:rsidRPr="004D0DAA">
        <w:rPr>
          <w:rFonts w:ascii="Calibri" w:hAnsi="Calibri"/>
          <w:sz w:val="22"/>
          <w:szCs w:val="22"/>
          <w:lang w:val="en-US"/>
        </w:rPr>
        <w:tab/>
      </w:r>
      <w:r w:rsidRPr="004D0DAA">
        <w:t>MPRACH description</w:t>
      </w:r>
      <w:r w:rsidRPr="004D0DAA">
        <w:tab/>
      </w:r>
      <w:r w:rsidRPr="004D0DAA">
        <w:fldChar w:fldCharType="begin" w:fldLock="1"/>
      </w:r>
      <w:r w:rsidRPr="004D0DAA">
        <w:instrText xml:space="preserve"> PAGEREF _Toc516669997 \h </w:instrText>
      </w:r>
      <w:r w:rsidRPr="004D0DAA">
        <w:fldChar w:fldCharType="separate"/>
      </w:r>
      <w:r w:rsidRPr="004D0DAA">
        <w:t>653</w:t>
      </w:r>
      <w:r w:rsidRPr="004D0DAA">
        <w:fldChar w:fldCharType="end"/>
      </w:r>
    </w:p>
    <w:p w14:paraId="69A90290" w14:textId="77777777" w:rsidR="00683705" w:rsidRPr="004D0DAA" w:rsidRDefault="00683705">
      <w:pPr>
        <w:pStyle w:val="TOC2"/>
        <w:rPr>
          <w:rFonts w:ascii="Calibri" w:hAnsi="Calibri"/>
          <w:sz w:val="22"/>
          <w:szCs w:val="22"/>
          <w:lang w:val="en-US"/>
        </w:rPr>
      </w:pPr>
      <w:r w:rsidRPr="004D0DAA">
        <w:t>12.39</w:t>
      </w:r>
      <w:r w:rsidRPr="004D0DAA">
        <w:rPr>
          <w:rFonts w:ascii="Calibri" w:hAnsi="Calibri"/>
          <w:sz w:val="22"/>
          <w:szCs w:val="22"/>
          <w:lang w:val="en-US"/>
        </w:rPr>
        <w:tab/>
      </w:r>
      <w:r w:rsidRPr="004D0DAA">
        <w:t>MBMS Sessions List</w:t>
      </w:r>
      <w:r w:rsidRPr="004D0DAA">
        <w:tab/>
      </w:r>
      <w:r w:rsidRPr="004D0DAA">
        <w:fldChar w:fldCharType="begin" w:fldLock="1"/>
      </w:r>
      <w:r w:rsidRPr="004D0DAA">
        <w:instrText xml:space="preserve"> PAGEREF _Toc516669998 \h </w:instrText>
      </w:r>
      <w:r w:rsidRPr="004D0DAA">
        <w:fldChar w:fldCharType="separate"/>
      </w:r>
      <w:r w:rsidRPr="004D0DAA">
        <w:t>654</w:t>
      </w:r>
      <w:r w:rsidRPr="004D0DAA">
        <w:fldChar w:fldCharType="end"/>
      </w:r>
    </w:p>
    <w:p w14:paraId="13D42CBA" w14:textId="77777777" w:rsidR="00683705" w:rsidRPr="004D0DAA" w:rsidRDefault="00683705">
      <w:pPr>
        <w:pStyle w:val="TOC2"/>
        <w:rPr>
          <w:rFonts w:ascii="Calibri" w:hAnsi="Calibri"/>
          <w:sz w:val="22"/>
          <w:szCs w:val="22"/>
          <w:lang w:val="en-US"/>
        </w:rPr>
      </w:pPr>
      <w:r w:rsidRPr="004D0DAA">
        <w:t>12.40</w:t>
      </w:r>
      <w:r w:rsidRPr="004D0DAA">
        <w:rPr>
          <w:rFonts w:ascii="Calibri" w:hAnsi="Calibri"/>
          <w:sz w:val="22"/>
          <w:szCs w:val="22"/>
          <w:lang w:val="en-US"/>
        </w:rPr>
        <w:tab/>
      </w:r>
      <w:r w:rsidRPr="004D0DAA">
        <w:t>MBMS Session Parameters List</w:t>
      </w:r>
      <w:r w:rsidRPr="004D0DAA">
        <w:tab/>
      </w:r>
      <w:r w:rsidRPr="004D0DAA">
        <w:fldChar w:fldCharType="begin" w:fldLock="1"/>
      </w:r>
      <w:r w:rsidRPr="004D0DAA">
        <w:instrText xml:space="preserve"> PAGEREF _Toc516669999 \h </w:instrText>
      </w:r>
      <w:r w:rsidRPr="004D0DAA">
        <w:fldChar w:fldCharType="separate"/>
      </w:r>
      <w:r w:rsidRPr="004D0DAA">
        <w:t>654</w:t>
      </w:r>
      <w:r w:rsidRPr="004D0DAA">
        <w:fldChar w:fldCharType="end"/>
      </w:r>
    </w:p>
    <w:p w14:paraId="4DC489F3" w14:textId="77777777" w:rsidR="00683705" w:rsidRPr="004D0DAA" w:rsidRDefault="00683705">
      <w:pPr>
        <w:pStyle w:val="TOC2"/>
        <w:rPr>
          <w:rFonts w:ascii="Calibri" w:hAnsi="Calibri"/>
          <w:sz w:val="22"/>
          <w:szCs w:val="22"/>
          <w:lang w:val="en-US"/>
        </w:rPr>
      </w:pPr>
      <w:r w:rsidRPr="004D0DAA">
        <w:t>12.41</w:t>
      </w:r>
      <w:r w:rsidRPr="004D0DAA">
        <w:rPr>
          <w:rFonts w:ascii="Calibri" w:hAnsi="Calibri"/>
          <w:sz w:val="22"/>
          <w:szCs w:val="22"/>
          <w:lang w:val="en-US"/>
        </w:rPr>
        <w:tab/>
      </w:r>
      <w:r w:rsidRPr="004D0DAA">
        <w:t>MPRACH Control Parameters</w:t>
      </w:r>
      <w:r w:rsidRPr="004D0DAA">
        <w:tab/>
      </w:r>
      <w:r w:rsidRPr="004D0DAA">
        <w:fldChar w:fldCharType="begin" w:fldLock="1"/>
      </w:r>
      <w:r w:rsidRPr="004D0DAA">
        <w:instrText xml:space="preserve"> PAGEREF _Toc516670000 \h </w:instrText>
      </w:r>
      <w:r w:rsidRPr="004D0DAA">
        <w:fldChar w:fldCharType="separate"/>
      </w:r>
      <w:r w:rsidRPr="004D0DAA">
        <w:t>655</w:t>
      </w:r>
      <w:r w:rsidRPr="004D0DAA">
        <w:fldChar w:fldCharType="end"/>
      </w:r>
    </w:p>
    <w:p w14:paraId="07ED19D4" w14:textId="77777777" w:rsidR="00683705" w:rsidRPr="004D0DAA" w:rsidRDefault="00683705">
      <w:pPr>
        <w:pStyle w:val="TOC2"/>
        <w:rPr>
          <w:rFonts w:ascii="Calibri" w:hAnsi="Calibri"/>
          <w:sz w:val="22"/>
          <w:szCs w:val="22"/>
          <w:lang w:val="en-US"/>
        </w:rPr>
      </w:pPr>
      <w:r w:rsidRPr="004D0DAA">
        <w:t>12.42</w:t>
      </w:r>
      <w:r w:rsidRPr="004D0DAA">
        <w:rPr>
          <w:rFonts w:ascii="Calibri" w:hAnsi="Calibri"/>
          <w:sz w:val="22"/>
          <w:szCs w:val="22"/>
          <w:lang w:val="en-US"/>
        </w:rPr>
        <w:tab/>
      </w:r>
      <w:r w:rsidRPr="004D0DAA">
        <w:t>PS Handover Radio Resources</w:t>
      </w:r>
      <w:r w:rsidRPr="004D0DAA">
        <w:tab/>
      </w:r>
      <w:r w:rsidRPr="004D0DAA">
        <w:fldChar w:fldCharType="begin" w:fldLock="1"/>
      </w:r>
      <w:r w:rsidRPr="004D0DAA">
        <w:instrText xml:space="preserve"> PAGEREF _Toc516670001 \h </w:instrText>
      </w:r>
      <w:r w:rsidRPr="004D0DAA">
        <w:fldChar w:fldCharType="separate"/>
      </w:r>
      <w:r w:rsidRPr="004D0DAA">
        <w:t>656</w:t>
      </w:r>
      <w:r w:rsidRPr="004D0DAA">
        <w:fldChar w:fldCharType="end"/>
      </w:r>
    </w:p>
    <w:p w14:paraId="2E0498BB" w14:textId="77777777" w:rsidR="00683705" w:rsidRPr="004D0DAA" w:rsidRDefault="00683705">
      <w:pPr>
        <w:pStyle w:val="TOC2"/>
        <w:rPr>
          <w:rFonts w:ascii="Calibri" w:hAnsi="Calibri"/>
          <w:sz w:val="22"/>
          <w:szCs w:val="22"/>
          <w:lang w:val="en-US"/>
        </w:rPr>
      </w:pPr>
      <w:r w:rsidRPr="004D0DAA">
        <w:t>12.42a</w:t>
      </w:r>
      <w:r w:rsidRPr="004D0DAA">
        <w:rPr>
          <w:rFonts w:ascii="Calibri" w:hAnsi="Calibri"/>
          <w:sz w:val="22"/>
          <w:szCs w:val="22"/>
          <w:lang w:val="en-US"/>
        </w:rPr>
        <w:tab/>
      </w:r>
      <w:r w:rsidRPr="004D0DAA">
        <w:t>PS Handover Radio Resources 2</w:t>
      </w:r>
      <w:r w:rsidRPr="004D0DAA">
        <w:tab/>
      </w:r>
      <w:r w:rsidRPr="004D0DAA">
        <w:fldChar w:fldCharType="begin" w:fldLock="1"/>
      </w:r>
      <w:r w:rsidRPr="004D0DAA">
        <w:instrText xml:space="preserve"> PAGEREF _Toc516670002 \h </w:instrText>
      </w:r>
      <w:r w:rsidRPr="004D0DAA">
        <w:fldChar w:fldCharType="separate"/>
      </w:r>
      <w:r w:rsidRPr="004D0DAA">
        <w:t>661</w:t>
      </w:r>
      <w:r w:rsidRPr="004D0DAA">
        <w:fldChar w:fldCharType="end"/>
      </w:r>
    </w:p>
    <w:p w14:paraId="0164190D" w14:textId="77777777" w:rsidR="00683705" w:rsidRPr="004D0DAA" w:rsidRDefault="00683705">
      <w:pPr>
        <w:pStyle w:val="TOC2"/>
        <w:rPr>
          <w:rFonts w:ascii="Calibri" w:hAnsi="Calibri"/>
          <w:sz w:val="22"/>
          <w:szCs w:val="22"/>
          <w:lang w:val="en-US"/>
        </w:rPr>
      </w:pPr>
      <w:r w:rsidRPr="004D0DAA">
        <w:t>12.42b</w:t>
      </w:r>
      <w:r w:rsidRPr="004D0DAA">
        <w:rPr>
          <w:rFonts w:ascii="Calibri" w:hAnsi="Calibri"/>
          <w:sz w:val="22"/>
          <w:szCs w:val="22"/>
          <w:lang w:val="en-US"/>
        </w:rPr>
        <w:tab/>
      </w:r>
      <w:r w:rsidRPr="004D0DAA">
        <w:t>PS Handover Radio Resources 3</w:t>
      </w:r>
      <w:r w:rsidRPr="004D0DAA">
        <w:tab/>
      </w:r>
      <w:r w:rsidRPr="004D0DAA">
        <w:fldChar w:fldCharType="begin" w:fldLock="1"/>
      </w:r>
      <w:r w:rsidRPr="004D0DAA">
        <w:instrText xml:space="preserve"> PAGEREF _Toc516670003 \h </w:instrText>
      </w:r>
      <w:r w:rsidRPr="004D0DAA">
        <w:fldChar w:fldCharType="separate"/>
      </w:r>
      <w:r w:rsidRPr="004D0DAA">
        <w:t>664</w:t>
      </w:r>
      <w:r w:rsidRPr="004D0DAA">
        <w:fldChar w:fldCharType="end"/>
      </w:r>
    </w:p>
    <w:p w14:paraId="7821B666" w14:textId="77777777" w:rsidR="00683705" w:rsidRPr="004D0DAA" w:rsidRDefault="00683705">
      <w:pPr>
        <w:pStyle w:val="TOC2"/>
        <w:rPr>
          <w:rFonts w:ascii="Calibri" w:hAnsi="Calibri"/>
          <w:sz w:val="22"/>
          <w:szCs w:val="22"/>
          <w:lang w:val="en-US"/>
        </w:rPr>
      </w:pPr>
      <w:r w:rsidRPr="004D0DAA">
        <w:t>12.43</w:t>
      </w:r>
      <w:r w:rsidRPr="004D0DAA">
        <w:rPr>
          <w:rFonts w:ascii="Calibri" w:hAnsi="Calibri"/>
          <w:sz w:val="22"/>
          <w:szCs w:val="22"/>
          <w:lang w:val="en-US"/>
        </w:rPr>
        <w:tab/>
      </w:r>
      <w:r w:rsidRPr="004D0DAA">
        <w:t>NAS Container for PS Handover</w:t>
      </w:r>
      <w:r w:rsidRPr="004D0DAA">
        <w:tab/>
      </w:r>
      <w:r w:rsidRPr="004D0DAA">
        <w:fldChar w:fldCharType="begin" w:fldLock="1"/>
      </w:r>
      <w:r w:rsidRPr="004D0DAA">
        <w:instrText xml:space="preserve"> PAGEREF _Toc516670004 \h </w:instrText>
      </w:r>
      <w:r w:rsidRPr="004D0DAA">
        <w:fldChar w:fldCharType="separate"/>
      </w:r>
      <w:r w:rsidRPr="004D0DAA">
        <w:t>670</w:t>
      </w:r>
      <w:r w:rsidRPr="004D0DAA">
        <w:fldChar w:fldCharType="end"/>
      </w:r>
    </w:p>
    <w:p w14:paraId="405F6D7A" w14:textId="77777777" w:rsidR="00683705" w:rsidRPr="004D0DAA" w:rsidRDefault="00683705">
      <w:pPr>
        <w:pStyle w:val="TOC2"/>
        <w:rPr>
          <w:rFonts w:ascii="Calibri" w:hAnsi="Calibri"/>
          <w:sz w:val="22"/>
          <w:szCs w:val="22"/>
          <w:lang w:val="en-US"/>
        </w:rPr>
      </w:pPr>
      <w:r w:rsidRPr="004D0DAA">
        <w:t>12.44</w:t>
      </w:r>
      <w:r w:rsidRPr="004D0DAA">
        <w:rPr>
          <w:rFonts w:ascii="Calibri" w:hAnsi="Calibri"/>
          <w:sz w:val="22"/>
          <w:szCs w:val="22"/>
          <w:lang w:val="en-US"/>
        </w:rPr>
        <w:tab/>
      </w:r>
      <w:r w:rsidRPr="004D0DAA">
        <w:t>Estimated Session Duration</w:t>
      </w:r>
      <w:r w:rsidRPr="004D0DAA">
        <w:tab/>
      </w:r>
      <w:r w:rsidRPr="004D0DAA">
        <w:fldChar w:fldCharType="begin" w:fldLock="1"/>
      </w:r>
      <w:r w:rsidRPr="004D0DAA">
        <w:instrText xml:space="preserve"> PAGEREF _Toc516670005 \h </w:instrText>
      </w:r>
      <w:r w:rsidRPr="004D0DAA">
        <w:fldChar w:fldCharType="separate"/>
      </w:r>
      <w:r w:rsidRPr="004D0DAA">
        <w:t>670</w:t>
      </w:r>
      <w:r w:rsidRPr="004D0DAA">
        <w:fldChar w:fldCharType="end"/>
      </w:r>
    </w:p>
    <w:p w14:paraId="27F7C175" w14:textId="77777777" w:rsidR="00683705" w:rsidRPr="004D0DAA" w:rsidRDefault="00683705">
      <w:pPr>
        <w:pStyle w:val="TOC2"/>
        <w:rPr>
          <w:rFonts w:ascii="Calibri" w:hAnsi="Calibri"/>
          <w:sz w:val="22"/>
          <w:szCs w:val="22"/>
          <w:lang w:val="en-US"/>
        </w:rPr>
      </w:pPr>
      <w:r w:rsidRPr="004D0DAA">
        <w:t>12.45</w:t>
      </w:r>
      <w:r w:rsidRPr="004D0DAA">
        <w:rPr>
          <w:rFonts w:ascii="Calibri" w:hAnsi="Calibri"/>
          <w:sz w:val="22"/>
          <w:szCs w:val="22"/>
          <w:lang w:val="en-US"/>
        </w:rPr>
        <w:tab/>
      </w:r>
      <w:r w:rsidRPr="004D0DAA">
        <w:t>MBMS In-band Signalling Indicator</w:t>
      </w:r>
      <w:r w:rsidRPr="004D0DAA">
        <w:tab/>
      </w:r>
      <w:r w:rsidRPr="004D0DAA">
        <w:fldChar w:fldCharType="begin" w:fldLock="1"/>
      </w:r>
      <w:r w:rsidRPr="004D0DAA">
        <w:instrText xml:space="preserve"> PAGEREF _Toc516670006 \h </w:instrText>
      </w:r>
      <w:r w:rsidRPr="004D0DAA">
        <w:fldChar w:fldCharType="separate"/>
      </w:r>
      <w:r w:rsidRPr="004D0DAA">
        <w:t>671</w:t>
      </w:r>
      <w:r w:rsidRPr="004D0DAA">
        <w:fldChar w:fldCharType="end"/>
      </w:r>
    </w:p>
    <w:p w14:paraId="66C55AB3" w14:textId="77777777" w:rsidR="00683705" w:rsidRPr="004D0DAA" w:rsidRDefault="00683705">
      <w:pPr>
        <w:pStyle w:val="TOC2"/>
        <w:rPr>
          <w:rFonts w:ascii="Calibri" w:hAnsi="Calibri"/>
          <w:sz w:val="22"/>
          <w:szCs w:val="22"/>
          <w:lang w:val="en-US"/>
        </w:rPr>
      </w:pPr>
      <w:r w:rsidRPr="004D0DAA">
        <w:t>12.45a</w:t>
      </w:r>
      <w:r w:rsidRPr="004D0DAA">
        <w:rPr>
          <w:rFonts w:ascii="Calibri" w:hAnsi="Calibri"/>
          <w:sz w:val="22"/>
          <w:szCs w:val="22"/>
          <w:lang w:val="en-US"/>
        </w:rPr>
        <w:tab/>
      </w:r>
      <w:r w:rsidRPr="004D0DAA">
        <w:t>NPM Transfer Time</w:t>
      </w:r>
      <w:r w:rsidRPr="004D0DAA">
        <w:tab/>
      </w:r>
      <w:r w:rsidRPr="004D0DAA">
        <w:fldChar w:fldCharType="begin" w:fldLock="1"/>
      </w:r>
      <w:r w:rsidRPr="004D0DAA">
        <w:instrText xml:space="preserve"> PAGEREF _Toc516670007 \h </w:instrText>
      </w:r>
      <w:r w:rsidRPr="004D0DAA">
        <w:fldChar w:fldCharType="separate"/>
      </w:r>
      <w:r w:rsidRPr="004D0DAA">
        <w:t>671</w:t>
      </w:r>
      <w:r w:rsidRPr="004D0DAA">
        <w:fldChar w:fldCharType="end"/>
      </w:r>
    </w:p>
    <w:p w14:paraId="3C3583E2" w14:textId="77777777" w:rsidR="00683705" w:rsidRPr="004D0DAA" w:rsidRDefault="00683705">
      <w:pPr>
        <w:pStyle w:val="TOC2"/>
        <w:rPr>
          <w:rFonts w:ascii="Calibri" w:hAnsi="Calibri"/>
          <w:sz w:val="22"/>
          <w:szCs w:val="22"/>
          <w:lang w:val="en-US"/>
        </w:rPr>
      </w:pPr>
      <w:r w:rsidRPr="004D0DAA">
        <w:t>12.45b</w:t>
      </w:r>
      <w:r w:rsidRPr="004D0DAA">
        <w:rPr>
          <w:rFonts w:ascii="Calibri" w:hAnsi="Calibri"/>
          <w:sz w:val="22"/>
          <w:szCs w:val="22"/>
          <w:lang w:val="en-US"/>
        </w:rPr>
        <w:tab/>
      </w:r>
      <w:r w:rsidRPr="004D0DAA">
        <w:t>RRC Container</w:t>
      </w:r>
      <w:r w:rsidRPr="004D0DAA">
        <w:tab/>
      </w:r>
      <w:r w:rsidRPr="004D0DAA">
        <w:fldChar w:fldCharType="begin" w:fldLock="1"/>
      </w:r>
      <w:r w:rsidRPr="004D0DAA">
        <w:instrText xml:space="preserve"> PAGEREF _Toc516670008 \h </w:instrText>
      </w:r>
      <w:r w:rsidRPr="004D0DAA">
        <w:fldChar w:fldCharType="separate"/>
      </w:r>
      <w:r w:rsidRPr="004D0DAA">
        <w:t>672</w:t>
      </w:r>
      <w:r w:rsidRPr="004D0DAA">
        <w:fldChar w:fldCharType="end"/>
      </w:r>
    </w:p>
    <w:p w14:paraId="6C113C6E" w14:textId="77777777" w:rsidR="00683705" w:rsidRPr="004D0DAA" w:rsidRDefault="00683705">
      <w:pPr>
        <w:pStyle w:val="TOC2"/>
        <w:rPr>
          <w:rFonts w:ascii="Calibri" w:hAnsi="Calibri"/>
          <w:sz w:val="22"/>
          <w:szCs w:val="22"/>
          <w:lang w:val="en-US"/>
        </w:rPr>
      </w:pPr>
      <w:r w:rsidRPr="004D0DAA">
        <w:t>12.46</w:t>
      </w:r>
      <w:r w:rsidRPr="004D0DAA">
        <w:rPr>
          <w:rFonts w:ascii="Calibri" w:hAnsi="Calibri"/>
          <w:sz w:val="22"/>
          <w:szCs w:val="22"/>
          <w:lang w:val="en-US"/>
        </w:rPr>
        <w:tab/>
      </w:r>
      <w:r w:rsidRPr="004D0DAA">
        <w:t>DTM Handover PS Radio Resources</w:t>
      </w:r>
      <w:r w:rsidRPr="004D0DAA">
        <w:tab/>
      </w:r>
      <w:r w:rsidRPr="004D0DAA">
        <w:fldChar w:fldCharType="begin" w:fldLock="1"/>
      </w:r>
      <w:r w:rsidRPr="004D0DAA">
        <w:instrText xml:space="preserve"> PAGEREF _Toc516670009 \h </w:instrText>
      </w:r>
      <w:r w:rsidRPr="004D0DAA">
        <w:fldChar w:fldCharType="separate"/>
      </w:r>
      <w:r w:rsidRPr="004D0DAA">
        <w:t>673</w:t>
      </w:r>
      <w:r w:rsidRPr="004D0DAA">
        <w:fldChar w:fldCharType="end"/>
      </w:r>
    </w:p>
    <w:p w14:paraId="6C48452A" w14:textId="77777777" w:rsidR="00683705" w:rsidRPr="004D0DAA" w:rsidRDefault="00683705">
      <w:pPr>
        <w:pStyle w:val="TOC2"/>
        <w:rPr>
          <w:rFonts w:ascii="Calibri" w:hAnsi="Calibri"/>
          <w:sz w:val="22"/>
          <w:szCs w:val="22"/>
          <w:lang w:val="en-US"/>
        </w:rPr>
      </w:pPr>
      <w:r w:rsidRPr="004D0DAA">
        <w:t>12.47</w:t>
      </w:r>
      <w:r w:rsidRPr="004D0DAA">
        <w:rPr>
          <w:rFonts w:ascii="Calibri" w:hAnsi="Calibri"/>
          <w:sz w:val="22"/>
          <w:szCs w:val="22"/>
          <w:lang w:val="en-US"/>
        </w:rPr>
        <w:tab/>
      </w:r>
      <w:r w:rsidRPr="004D0DAA">
        <w:t>DTM Handover CS Radio Resources</w:t>
      </w:r>
      <w:r w:rsidRPr="004D0DAA">
        <w:tab/>
      </w:r>
      <w:r w:rsidRPr="004D0DAA">
        <w:fldChar w:fldCharType="begin" w:fldLock="1"/>
      </w:r>
      <w:r w:rsidRPr="004D0DAA">
        <w:instrText xml:space="preserve"> PAGEREF _Toc516670010 \h </w:instrText>
      </w:r>
      <w:r w:rsidRPr="004D0DAA">
        <w:fldChar w:fldCharType="separate"/>
      </w:r>
      <w:r w:rsidRPr="004D0DAA">
        <w:t>677</w:t>
      </w:r>
      <w:r w:rsidRPr="004D0DAA">
        <w:fldChar w:fldCharType="end"/>
      </w:r>
    </w:p>
    <w:p w14:paraId="2B924A2E" w14:textId="77777777" w:rsidR="00683705" w:rsidRPr="004D0DAA" w:rsidRDefault="00683705">
      <w:pPr>
        <w:pStyle w:val="TOC2"/>
        <w:rPr>
          <w:rFonts w:ascii="Calibri" w:hAnsi="Calibri"/>
          <w:sz w:val="22"/>
          <w:szCs w:val="22"/>
          <w:lang w:val="en-US"/>
        </w:rPr>
      </w:pPr>
      <w:r w:rsidRPr="004D0DAA">
        <w:t>12.48</w:t>
      </w:r>
      <w:r w:rsidRPr="004D0DAA">
        <w:rPr>
          <w:rFonts w:ascii="Calibri" w:hAnsi="Calibri"/>
          <w:sz w:val="22"/>
          <w:szCs w:val="22"/>
          <w:lang w:val="en-US"/>
        </w:rPr>
        <w:tab/>
      </w:r>
      <w:r w:rsidRPr="004D0DAA">
        <w:t>DTM Handover PS Radio Resources 2</w:t>
      </w:r>
      <w:r w:rsidRPr="004D0DAA">
        <w:tab/>
      </w:r>
      <w:r w:rsidRPr="004D0DAA">
        <w:fldChar w:fldCharType="begin" w:fldLock="1"/>
      </w:r>
      <w:r w:rsidRPr="004D0DAA">
        <w:instrText xml:space="preserve"> PAGEREF _Toc516670011 \h </w:instrText>
      </w:r>
      <w:r w:rsidRPr="004D0DAA">
        <w:fldChar w:fldCharType="separate"/>
      </w:r>
      <w:r w:rsidRPr="004D0DAA">
        <w:t>678</w:t>
      </w:r>
      <w:r w:rsidRPr="004D0DAA">
        <w:fldChar w:fldCharType="end"/>
      </w:r>
    </w:p>
    <w:p w14:paraId="26348C2C" w14:textId="77777777" w:rsidR="00683705" w:rsidRPr="004D0DAA" w:rsidRDefault="00683705">
      <w:pPr>
        <w:pStyle w:val="TOC2"/>
        <w:rPr>
          <w:rFonts w:ascii="Calibri" w:hAnsi="Calibri"/>
          <w:sz w:val="22"/>
          <w:szCs w:val="22"/>
          <w:lang w:val="en-US"/>
        </w:rPr>
      </w:pPr>
      <w:r w:rsidRPr="004D0DAA">
        <w:t>12.48a</w:t>
      </w:r>
      <w:r w:rsidRPr="004D0DAA">
        <w:rPr>
          <w:rFonts w:ascii="Calibri" w:hAnsi="Calibri"/>
          <w:sz w:val="22"/>
          <w:szCs w:val="22"/>
        </w:rPr>
        <w:tab/>
      </w:r>
      <w:r w:rsidRPr="004D0DAA">
        <w:rPr>
          <w:lang w:val="fr-FR"/>
        </w:rPr>
        <w:t>PS resources assignment information elements</w:t>
      </w:r>
      <w:r w:rsidRPr="004D0DAA">
        <w:tab/>
      </w:r>
      <w:r w:rsidRPr="004D0DAA">
        <w:fldChar w:fldCharType="begin" w:fldLock="1"/>
      </w:r>
      <w:r w:rsidRPr="004D0DAA">
        <w:instrText xml:space="preserve"> PAGEREF _Toc516670012 \h </w:instrText>
      </w:r>
      <w:r w:rsidRPr="004D0DAA">
        <w:fldChar w:fldCharType="separate"/>
      </w:r>
      <w:r w:rsidRPr="004D0DAA">
        <w:t>681</w:t>
      </w:r>
      <w:r w:rsidRPr="004D0DAA">
        <w:fldChar w:fldCharType="end"/>
      </w:r>
    </w:p>
    <w:p w14:paraId="48F23612" w14:textId="77777777" w:rsidR="00683705" w:rsidRPr="004D0DAA" w:rsidRDefault="00683705">
      <w:pPr>
        <w:pStyle w:val="TOC3"/>
        <w:rPr>
          <w:rFonts w:ascii="Calibri" w:hAnsi="Calibri"/>
          <w:sz w:val="22"/>
          <w:szCs w:val="22"/>
          <w:lang w:val="en-US"/>
        </w:rPr>
      </w:pPr>
      <w:r w:rsidRPr="004D0DAA">
        <w:t>12.48a.1</w:t>
      </w:r>
      <w:r w:rsidRPr="004D0DAA">
        <w:rPr>
          <w:rFonts w:ascii="Calibri" w:hAnsi="Calibri"/>
          <w:sz w:val="22"/>
          <w:szCs w:val="22"/>
        </w:rPr>
        <w:tab/>
      </w:r>
      <w:r w:rsidRPr="004D0DAA">
        <w:rPr>
          <w:lang w:val="fr-FR"/>
        </w:rPr>
        <w:t>EGPRS mode 2</w:t>
      </w:r>
      <w:r w:rsidRPr="004D0DAA">
        <w:tab/>
      </w:r>
      <w:r w:rsidRPr="004D0DAA">
        <w:fldChar w:fldCharType="begin" w:fldLock="1"/>
      </w:r>
      <w:r w:rsidRPr="004D0DAA">
        <w:instrText xml:space="preserve"> PAGEREF _Toc516670013 \h </w:instrText>
      </w:r>
      <w:r w:rsidRPr="004D0DAA">
        <w:fldChar w:fldCharType="separate"/>
      </w:r>
      <w:r w:rsidRPr="004D0DAA">
        <w:t>681</w:t>
      </w:r>
      <w:r w:rsidRPr="004D0DAA">
        <w:fldChar w:fldCharType="end"/>
      </w:r>
    </w:p>
    <w:p w14:paraId="0F113253" w14:textId="77777777" w:rsidR="00683705" w:rsidRPr="004D0DAA" w:rsidRDefault="00683705">
      <w:pPr>
        <w:pStyle w:val="TOC3"/>
        <w:rPr>
          <w:rFonts w:ascii="Calibri" w:hAnsi="Calibri"/>
          <w:sz w:val="22"/>
          <w:szCs w:val="22"/>
          <w:lang w:val="en-US"/>
        </w:rPr>
      </w:pPr>
      <w:r w:rsidRPr="004D0DAA">
        <w:t>12.48a.2</w:t>
      </w:r>
      <w:r w:rsidRPr="004D0DAA">
        <w:rPr>
          <w:rFonts w:ascii="Calibri" w:hAnsi="Calibri"/>
          <w:sz w:val="22"/>
          <w:szCs w:val="22"/>
          <w:lang w:val="en-US"/>
        </w:rPr>
        <w:tab/>
      </w:r>
      <w:r w:rsidRPr="004D0DAA">
        <w:t>Single Downlink Assignment 2</w:t>
      </w:r>
      <w:r w:rsidRPr="004D0DAA">
        <w:tab/>
      </w:r>
      <w:r w:rsidRPr="004D0DAA">
        <w:fldChar w:fldCharType="begin" w:fldLock="1"/>
      </w:r>
      <w:r w:rsidRPr="004D0DAA">
        <w:instrText xml:space="preserve"> PAGEREF _Toc516670014 \h </w:instrText>
      </w:r>
      <w:r w:rsidRPr="004D0DAA">
        <w:fldChar w:fldCharType="separate"/>
      </w:r>
      <w:r w:rsidRPr="004D0DAA">
        <w:t>681</w:t>
      </w:r>
      <w:r w:rsidRPr="004D0DAA">
        <w:fldChar w:fldCharType="end"/>
      </w:r>
    </w:p>
    <w:p w14:paraId="21C44F34" w14:textId="77777777" w:rsidR="00683705" w:rsidRPr="004D0DAA" w:rsidRDefault="00683705">
      <w:pPr>
        <w:pStyle w:val="TOC3"/>
        <w:rPr>
          <w:rFonts w:ascii="Calibri" w:hAnsi="Calibri"/>
          <w:sz w:val="22"/>
          <w:szCs w:val="22"/>
          <w:lang w:val="en-US"/>
        </w:rPr>
      </w:pPr>
      <w:r w:rsidRPr="004D0DAA">
        <w:t>12.48a.3</w:t>
      </w:r>
      <w:r w:rsidRPr="004D0DAA">
        <w:rPr>
          <w:rFonts w:ascii="Calibri" w:hAnsi="Calibri"/>
          <w:sz w:val="22"/>
          <w:szCs w:val="22"/>
          <w:lang w:val="en-US"/>
        </w:rPr>
        <w:tab/>
      </w:r>
      <w:r w:rsidRPr="004D0DAA">
        <w:t>Single Uplink Assignment 2</w:t>
      </w:r>
      <w:r w:rsidRPr="004D0DAA">
        <w:tab/>
      </w:r>
      <w:r w:rsidRPr="004D0DAA">
        <w:fldChar w:fldCharType="begin" w:fldLock="1"/>
      </w:r>
      <w:r w:rsidRPr="004D0DAA">
        <w:instrText xml:space="preserve"> PAGEREF _Toc516670015 \h </w:instrText>
      </w:r>
      <w:r w:rsidRPr="004D0DAA">
        <w:fldChar w:fldCharType="separate"/>
      </w:r>
      <w:r w:rsidRPr="004D0DAA">
        <w:t>683</w:t>
      </w:r>
      <w:r w:rsidRPr="004D0DAA">
        <w:fldChar w:fldCharType="end"/>
      </w:r>
    </w:p>
    <w:p w14:paraId="031F4873" w14:textId="77777777" w:rsidR="00683705" w:rsidRPr="004D0DAA" w:rsidRDefault="00683705">
      <w:pPr>
        <w:pStyle w:val="TOC3"/>
        <w:rPr>
          <w:rFonts w:ascii="Calibri" w:hAnsi="Calibri"/>
          <w:sz w:val="22"/>
          <w:szCs w:val="22"/>
          <w:lang w:val="en-US"/>
        </w:rPr>
      </w:pPr>
      <w:r w:rsidRPr="004D0DAA">
        <w:t>12.48a.4</w:t>
      </w:r>
      <w:r w:rsidRPr="004D0DAA">
        <w:rPr>
          <w:rFonts w:ascii="Calibri" w:hAnsi="Calibri"/>
          <w:sz w:val="22"/>
          <w:szCs w:val="22"/>
          <w:lang w:val="en-US"/>
        </w:rPr>
        <w:tab/>
      </w:r>
      <w:r w:rsidRPr="004D0DAA">
        <w:t>Dynamic Allocation 2</w:t>
      </w:r>
      <w:r w:rsidRPr="004D0DAA">
        <w:tab/>
      </w:r>
      <w:r w:rsidRPr="004D0DAA">
        <w:fldChar w:fldCharType="begin" w:fldLock="1"/>
      </w:r>
      <w:r w:rsidRPr="004D0DAA">
        <w:instrText xml:space="preserve"> PAGEREF _Toc516670016 \h </w:instrText>
      </w:r>
      <w:r w:rsidRPr="004D0DAA">
        <w:fldChar w:fldCharType="separate"/>
      </w:r>
      <w:r w:rsidRPr="004D0DAA">
        <w:t>684</w:t>
      </w:r>
      <w:r w:rsidRPr="004D0DAA">
        <w:fldChar w:fldCharType="end"/>
      </w:r>
    </w:p>
    <w:p w14:paraId="622B0CFC" w14:textId="77777777" w:rsidR="00683705" w:rsidRPr="004D0DAA" w:rsidRDefault="00683705">
      <w:pPr>
        <w:pStyle w:val="TOC3"/>
        <w:rPr>
          <w:rFonts w:ascii="Calibri" w:hAnsi="Calibri"/>
          <w:sz w:val="22"/>
          <w:szCs w:val="22"/>
          <w:lang w:val="en-US"/>
        </w:rPr>
      </w:pPr>
      <w:r w:rsidRPr="004D0DAA">
        <w:t>12.48a.5</w:t>
      </w:r>
      <w:r w:rsidRPr="004D0DAA">
        <w:rPr>
          <w:rFonts w:ascii="Calibri" w:hAnsi="Calibri"/>
          <w:sz w:val="22"/>
          <w:szCs w:val="22"/>
          <w:lang w:val="en-US"/>
        </w:rPr>
        <w:tab/>
      </w:r>
      <w:r w:rsidRPr="004D0DAA">
        <w:t>Multiple Downlink Assignment 2</w:t>
      </w:r>
      <w:r w:rsidRPr="004D0DAA">
        <w:tab/>
      </w:r>
      <w:r w:rsidRPr="004D0DAA">
        <w:fldChar w:fldCharType="begin" w:fldLock="1"/>
      </w:r>
      <w:r w:rsidRPr="004D0DAA">
        <w:instrText xml:space="preserve"> PAGEREF _Toc516670017 \h </w:instrText>
      </w:r>
      <w:r w:rsidRPr="004D0DAA">
        <w:fldChar w:fldCharType="separate"/>
      </w:r>
      <w:r w:rsidRPr="004D0DAA">
        <w:t>687</w:t>
      </w:r>
      <w:r w:rsidRPr="004D0DAA">
        <w:fldChar w:fldCharType="end"/>
      </w:r>
    </w:p>
    <w:p w14:paraId="289E1C02" w14:textId="77777777" w:rsidR="00683705" w:rsidRPr="004D0DAA" w:rsidRDefault="00683705">
      <w:pPr>
        <w:pStyle w:val="TOC3"/>
        <w:rPr>
          <w:rFonts w:ascii="Calibri" w:hAnsi="Calibri"/>
          <w:sz w:val="22"/>
          <w:szCs w:val="22"/>
          <w:lang w:val="en-US"/>
        </w:rPr>
      </w:pPr>
      <w:r w:rsidRPr="004D0DAA">
        <w:t>12.48a.6</w:t>
      </w:r>
      <w:r w:rsidRPr="004D0DAA">
        <w:rPr>
          <w:rFonts w:ascii="Calibri" w:hAnsi="Calibri"/>
          <w:sz w:val="22"/>
          <w:szCs w:val="22"/>
          <w:lang w:val="en-US"/>
        </w:rPr>
        <w:tab/>
      </w:r>
      <w:r w:rsidRPr="004D0DAA">
        <w:t>Multiple Uplink Assignment 2</w:t>
      </w:r>
      <w:r w:rsidRPr="004D0DAA">
        <w:tab/>
      </w:r>
      <w:r w:rsidRPr="004D0DAA">
        <w:fldChar w:fldCharType="begin" w:fldLock="1"/>
      </w:r>
      <w:r w:rsidRPr="004D0DAA">
        <w:instrText xml:space="preserve"> PAGEREF _Toc516670018 \h </w:instrText>
      </w:r>
      <w:r w:rsidRPr="004D0DAA">
        <w:fldChar w:fldCharType="separate"/>
      </w:r>
      <w:r w:rsidRPr="004D0DAA">
        <w:t>690</w:t>
      </w:r>
      <w:r w:rsidRPr="004D0DAA">
        <w:fldChar w:fldCharType="end"/>
      </w:r>
    </w:p>
    <w:p w14:paraId="54A537E4" w14:textId="77777777" w:rsidR="00683705" w:rsidRPr="004D0DAA" w:rsidRDefault="00683705">
      <w:pPr>
        <w:pStyle w:val="TOC2"/>
        <w:rPr>
          <w:rFonts w:ascii="Calibri" w:hAnsi="Calibri"/>
          <w:sz w:val="22"/>
          <w:szCs w:val="22"/>
          <w:lang w:val="en-US"/>
        </w:rPr>
      </w:pPr>
      <w:r w:rsidRPr="004D0DAA">
        <w:t>12.49</w:t>
      </w:r>
      <w:r w:rsidRPr="004D0DAA">
        <w:rPr>
          <w:rFonts w:ascii="Calibri" w:hAnsi="Calibri"/>
          <w:sz w:val="22"/>
          <w:szCs w:val="22"/>
          <w:lang w:val="en-US"/>
        </w:rPr>
        <w:tab/>
      </w:r>
      <w:r w:rsidRPr="004D0DAA">
        <w:t>E-UTRAN Target Cell</w:t>
      </w:r>
      <w:r w:rsidRPr="004D0DAA">
        <w:tab/>
      </w:r>
      <w:r w:rsidRPr="004D0DAA">
        <w:fldChar w:fldCharType="begin" w:fldLock="1"/>
      </w:r>
      <w:r w:rsidRPr="004D0DAA">
        <w:instrText xml:space="preserve"> PAGEREF _Toc516670019 \h </w:instrText>
      </w:r>
      <w:r w:rsidRPr="004D0DAA">
        <w:fldChar w:fldCharType="separate"/>
      </w:r>
      <w:r w:rsidRPr="004D0DAA">
        <w:t>695</w:t>
      </w:r>
      <w:r w:rsidRPr="004D0DAA">
        <w:fldChar w:fldCharType="end"/>
      </w:r>
    </w:p>
    <w:p w14:paraId="615E0463" w14:textId="77777777" w:rsidR="00683705" w:rsidRPr="004D0DAA" w:rsidRDefault="00683705">
      <w:pPr>
        <w:pStyle w:val="TOC2"/>
        <w:rPr>
          <w:rFonts w:ascii="Calibri" w:hAnsi="Calibri"/>
          <w:sz w:val="22"/>
          <w:szCs w:val="22"/>
          <w:lang w:val="en-US"/>
        </w:rPr>
      </w:pPr>
      <w:r w:rsidRPr="004D0DAA">
        <w:t>12.50</w:t>
      </w:r>
      <w:r w:rsidRPr="004D0DAA">
        <w:rPr>
          <w:rFonts w:ascii="Calibri" w:hAnsi="Calibri"/>
          <w:sz w:val="22"/>
          <w:szCs w:val="22"/>
          <w:lang w:val="en-US"/>
        </w:rPr>
        <w:tab/>
      </w:r>
      <w:r w:rsidRPr="004D0DAA">
        <w:t>Individual Priorities</w:t>
      </w:r>
      <w:r w:rsidRPr="004D0DAA">
        <w:tab/>
      </w:r>
      <w:r w:rsidRPr="004D0DAA">
        <w:fldChar w:fldCharType="begin" w:fldLock="1"/>
      </w:r>
      <w:r w:rsidRPr="004D0DAA">
        <w:instrText xml:space="preserve"> PAGEREF _Toc516670020 \h </w:instrText>
      </w:r>
      <w:r w:rsidRPr="004D0DAA">
        <w:fldChar w:fldCharType="separate"/>
      </w:r>
      <w:r w:rsidRPr="004D0DAA">
        <w:t>696</w:t>
      </w:r>
      <w:r w:rsidRPr="004D0DAA">
        <w:fldChar w:fldCharType="end"/>
      </w:r>
    </w:p>
    <w:p w14:paraId="6EDB2CA5" w14:textId="77777777" w:rsidR="00683705" w:rsidRPr="004D0DAA" w:rsidRDefault="00683705">
      <w:pPr>
        <w:pStyle w:val="TOC2"/>
        <w:rPr>
          <w:rFonts w:ascii="Calibri" w:hAnsi="Calibri"/>
          <w:sz w:val="22"/>
          <w:szCs w:val="22"/>
          <w:lang w:val="en-US"/>
        </w:rPr>
      </w:pPr>
      <w:r w:rsidRPr="004D0DAA">
        <w:t>12.51</w:t>
      </w:r>
      <w:r w:rsidRPr="004D0DAA">
        <w:rPr>
          <w:rFonts w:ascii="Calibri" w:hAnsi="Calibri"/>
          <w:sz w:val="22"/>
          <w:szCs w:val="22"/>
          <w:lang w:val="en-US"/>
        </w:rPr>
        <w:tab/>
      </w:r>
      <w:r w:rsidRPr="004D0DAA">
        <w:t>GSM Priority Parameters</w:t>
      </w:r>
      <w:r w:rsidRPr="004D0DAA">
        <w:tab/>
      </w:r>
      <w:r w:rsidRPr="004D0DAA">
        <w:fldChar w:fldCharType="begin" w:fldLock="1"/>
      </w:r>
      <w:r w:rsidRPr="004D0DAA">
        <w:instrText xml:space="preserve"> PAGEREF _Toc516670021 \h </w:instrText>
      </w:r>
      <w:r w:rsidRPr="004D0DAA">
        <w:fldChar w:fldCharType="separate"/>
      </w:r>
      <w:r w:rsidRPr="004D0DAA">
        <w:t>697</w:t>
      </w:r>
      <w:r w:rsidRPr="004D0DAA">
        <w:fldChar w:fldCharType="end"/>
      </w:r>
    </w:p>
    <w:p w14:paraId="694C983F" w14:textId="77777777" w:rsidR="00683705" w:rsidRPr="004D0DAA" w:rsidRDefault="00683705">
      <w:pPr>
        <w:pStyle w:val="TOC2"/>
        <w:rPr>
          <w:rFonts w:ascii="Calibri" w:hAnsi="Calibri"/>
          <w:sz w:val="22"/>
          <w:szCs w:val="22"/>
          <w:lang w:val="en-US"/>
        </w:rPr>
      </w:pPr>
      <w:r w:rsidRPr="004D0DAA">
        <w:t>12.52</w:t>
      </w:r>
      <w:r w:rsidRPr="004D0DAA">
        <w:rPr>
          <w:rFonts w:ascii="Calibri" w:hAnsi="Calibri"/>
          <w:sz w:val="22"/>
          <w:szCs w:val="22"/>
          <w:lang w:val="en-US"/>
        </w:rPr>
        <w:tab/>
      </w:r>
      <w:r w:rsidRPr="004D0DAA">
        <w:t>3G Priority Parameters</w:t>
      </w:r>
      <w:r w:rsidRPr="004D0DAA">
        <w:tab/>
      </w:r>
      <w:r w:rsidRPr="004D0DAA">
        <w:fldChar w:fldCharType="begin" w:fldLock="1"/>
      </w:r>
      <w:r w:rsidRPr="004D0DAA">
        <w:instrText xml:space="preserve"> PAGEREF _Toc516670022 \h </w:instrText>
      </w:r>
      <w:r w:rsidRPr="004D0DAA">
        <w:fldChar w:fldCharType="separate"/>
      </w:r>
      <w:r w:rsidRPr="004D0DAA">
        <w:t>698</w:t>
      </w:r>
      <w:r w:rsidRPr="004D0DAA">
        <w:fldChar w:fldCharType="end"/>
      </w:r>
    </w:p>
    <w:p w14:paraId="3A798EB7" w14:textId="77777777" w:rsidR="00683705" w:rsidRPr="004D0DAA" w:rsidRDefault="00683705">
      <w:pPr>
        <w:pStyle w:val="TOC2"/>
        <w:rPr>
          <w:rFonts w:ascii="Calibri" w:hAnsi="Calibri"/>
          <w:sz w:val="22"/>
          <w:szCs w:val="22"/>
          <w:lang w:val="en-US"/>
        </w:rPr>
      </w:pPr>
      <w:r w:rsidRPr="004D0DAA">
        <w:t>12.53</w:t>
      </w:r>
      <w:r w:rsidRPr="004D0DAA">
        <w:rPr>
          <w:rFonts w:ascii="Calibri" w:hAnsi="Calibri"/>
          <w:sz w:val="22"/>
          <w:szCs w:val="22"/>
          <w:lang w:val="en-US"/>
        </w:rPr>
        <w:tab/>
      </w:r>
      <w:r w:rsidRPr="004D0DAA">
        <w:t>E-UTRAN Parameters</w:t>
      </w:r>
      <w:r w:rsidRPr="004D0DAA">
        <w:tab/>
      </w:r>
      <w:r w:rsidRPr="004D0DAA">
        <w:fldChar w:fldCharType="begin" w:fldLock="1"/>
      </w:r>
      <w:r w:rsidRPr="004D0DAA">
        <w:instrText xml:space="preserve"> PAGEREF _Toc516670023 \h </w:instrText>
      </w:r>
      <w:r w:rsidRPr="004D0DAA">
        <w:fldChar w:fldCharType="separate"/>
      </w:r>
      <w:r w:rsidRPr="004D0DAA">
        <w:t>699</w:t>
      </w:r>
      <w:r w:rsidRPr="004D0DAA">
        <w:fldChar w:fldCharType="end"/>
      </w:r>
    </w:p>
    <w:p w14:paraId="6464D68C" w14:textId="77777777" w:rsidR="00683705" w:rsidRPr="004D0DAA" w:rsidRDefault="00683705">
      <w:pPr>
        <w:pStyle w:val="TOC2"/>
        <w:rPr>
          <w:rFonts w:ascii="Calibri" w:hAnsi="Calibri"/>
          <w:sz w:val="22"/>
          <w:szCs w:val="22"/>
          <w:lang w:val="en-US"/>
        </w:rPr>
      </w:pPr>
      <w:r w:rsidRPr="004D0DAA">
        <w:t>12.</w:t>
      </w:r>
      <w:r w:rsidRPr="004D0DAA">
        <w:rPr>
          <w:lang w:eastAsia="zh-CN"/>
        </w:rPr>
        <w:t>54</w:t>
      </w:r>
      <w:r w:rsidRPr="004D0DAA">
        <w:rPr>
          <w:rFonts w:ascii="Calibri" w:hAnsi="Calibri"/>
          <w:sz w:val="22"/>
          <w:szCs w:val="22"/>
          <w:lang w:val="en-US"/>
        </w:rPr>
        <w:tab/>
      </w:r>
      <w:r w:rsidRPr="004D0DAA">
        <w:t>3G CSG Description</w:t>
      </w:r>
      <w:r w:rsidRPr="004D0DAA">
        <w:tab/>
      </w:r>
      <w:r w:rsidRPr="004D0DAA">
        <w:fldChar w:fldCharType="begin" w:fldLock="1"/>
      </w:r>
      <w:r w:rsidRPr="004D0DAA">
        <w:instrText xml:space="preserve"> PAGEREF _Toc516670024 \h </w:instrText>
      </w:r>
      <w:r w:rsidRPr="004D0DAA">
        <w:fldChar w:fldCharType="separate"/>
      </w:r>
      <w:r w:rsidRPr="004D0DAA">
        <w:t>701</w:t>
      </w:r>
      <w:r w:rsidRPr="004D0DAA">
        <w:fldChar w:fldCharType="end"/>
      </w:r>
    </w:p>
    <w:p w14:paraId="0B87B16C" w14:textId="77777777" w:rsidR="00683705" w:rsidRPr="004D0DAA" w:rsidRDefault="00683705">
      <w:pPr>
        <w:pStyle w:val="TOC2"/>
        <w:rPr>
          <w:rFonts w:ascii="Calibri" w:hAnsi="Calibri"/>
          <w:sz w:val="22"/>
          <w:szCs w:val="22"/>
          <w:lang w:val="en-US"/>
        </w:rPr>
      </w:pPr>
      <w:r w:rsidRPr="004D0DAA">
        <w:t>12.</w:t>
      </w:r>
      <w:r w:rsidRPr="004D0DAA">
        <w:rPr>
          <w:lang w:eastAsia="zh-CN"/>
        </w:rPr>
        <w:t>55</w:t>
      </w:r>
      <w:r w:rsidRPr="004D0DAA">
        <w:rPr>
          <w:rFonts w:ascii="Calibri" w:hAnsi="Calibri"/>
          <w:sz w:val="22"/>
          <w:szCs w:val="22"/>
          <w:lang w:val="en-US"/>
        </w:rPr>
        <w:tab/>
      </w:r>
      <w:r w:rsidRPr="004D0DAA">
        <w:t>E-UTRAN CSG Description</w:t>
      </w:r>
      <w:r w:rsidRPr="004D0DAA">
        <w:tab/>
      </w:r>
      <w:r w:rsidRPr="004D0DAA">
        <w:fldChar w:fldCharType="begin" w:fldLock="1"/>
      </w:r>
      <w:r w:rsidRPr="004D0DAA">
        <w:instrText xml:space="preserve"> PAGEREF _Toc516670025 \h </w:instrText>
      </w:r>
      <w:r w:rsidRPr="004D0DAA">
        <w:fldChar w:fldCharType="separate"/>
      </w:r>
      <w:r w:rsidRPr="004D0DAA">
        <w:t>702</w:t>
      </w:r>
      <w:r w:rsidRPr="004D0DAA">
        <w:fldChar w:fldCharType="end"/>
      </w:r>
    </w:p>
    <w:p w14:paraId="6FAE39AC" w14:textId="77777777" w:rsidR="00683705" w:rsidRPr="004D0DAA" w:rsidRDefault="00683705">
      <w:pPr>
        <w:pStyle w:val="TOC2"/>
        <w:rPr>
          <w:rFonts w:ascii="Calibri" w:hAnsi="Calibri"/>
          <w:sz w:val="22"/>
          <w:szCs w:val="22"/>
          <w:lang w:val="en-US"/>
        </w:rPr>
      </w:pPr>
      <w:r w:rsidRPr="004D0DAA">
        <w:t>12.</w:t>
      </w:r>
      <w:r w:rsidRPr="004D0DAA">
        <w:rPr>
          <w:lang w:eastAsia="zh-CN"/>
        </w:rPr>
        <w:t>56</w:t>
      </w:r>
      <w:r w:rsidRPr="004D0DAA">
        <w:rPr>
          <w:rFonts w:ascii="Calibri" w:hAnsi="Calibri"/>
          <w:sz w:val="22"/>
          <w:szCs w:val="22"/>
          <w:lang w:val="en-US"/>
        </w:rPr>
        <w:tab/>
      </w:r>
      <w:r w:rsidRPr="004D0DAA">
        <w:rPr>
          <w:lang w:eastAsia="zh-CN"/>
        </w:rPr>
        <w:t>Measurement Control Parameters</w:t>
      </w:r>
      <w:r w:rsidRPr="004D0DAA">
        <w:t xml:space="preserve"> Description</w:t>
      </w:r>
      <w:r w:rsidRPr="004D0DAA">
        <w:tab/>
      </w:r>
      <w:r w:rsidRPr="004D0DAA">
        <w:fldChar w:fldCharType="begin" w:fldLock="1"/>
      </w:r>
      <w:r w:rsidRPr="004D0DAA">
        <w:instrText xml:space="preserve"> PAGEREF _Toc516670026 \h </w:instrText>
      </w:r>
      <w:r w:rsidRPr="004D0DAA">
        <w:fldChar w:fldCharType="separate"/>
      </w:r>
      <w:r w:rsidRPr="004D0DAA">
        <w:t>702</w:t>
      </w:r>
      <w:r w:rsidRPr="004D0DAA">
        <w:fldChar w:fldCharType="end"/>
      </w:r>
    </w:p>
    <w:p w14:paraId="09E77998" w14:textId="77777777" w:rsidR="00683705" w:rsidRPr="004D0DAA" w:rsidRDefault="00683705">
      <w:pPr>
        <w:pStyle w:val="TOC2"/>
        <w:rPr>
          <w:rFonts w:ascii="Calibri" w:hAnsi="Calibri"/>
          <w:sz w:val="22"/>
          <w:szCs w:val="22"/>
          <w:lang w:val="en-US"/>
        </w:rPr>
      </w:pPr>
      <w:r w:rsidRPr="004D0DAA">
        <w:t>12.</w:t>
      </w:r>
      <w:r w:rsidRPr="004D0DAA">
        <w:rPr>
          <w:lang w:eastAsia="zh-CN"/>
        </w:rPr>
        <w:t>57</w:t>
      </w:r>
      <w:r w:rsidRPr="004D0DAA">
        <w:rPr>
          <w:rFonts w:ascii="Calibri" w:hAnsi="Calibri"/>
          <w:sz w:val="22"/>
          <w:szCs w:val="22"/>
          <w:lang w:val="en-US"/>
        </w:rPr>
        <w:tab/>
      </w:r>
      <w:r w:rsidRPr="004D0DAA">
        <w:t>PCID Group</w:t>
      </w:r>
      <w:r w:rsidRPr="004D0DAA">
        <w:tab/>
      </w:r>
      <w:r w:rsidRPr="004D0DAA">
        <w:fldChar w:fldCharType="begin" w:fldLock="1"/>
      </w:r>
      <w:r w:rsidRPr="004D0DAA">
        <w:instrText xml:space="preserve"> PAGEREF _Toc516670027 \h </w:instrText>
      </w:r>
      <w:r w:rsidRPr="004D0DAA">
        <w:fldChar w:fldCharType="separate"/>
      </w:r>
      <w:r w:rsidRPr="004D0DAA">
        <w:t>703</w:t>
      </w:r>
      <w:r w:rsidRPr="004D0DAA">
        <w:fldChar w:fldCharType="end"/>
      </w:r>
    </w:p>
    <w:p w14:paraId="1030644F" w14:textId="77777777" w:rsidR="00683705" w:rsidRPr="004D0DAA" w:rsidRDefault="00683705">
      <w:pPr>
        <w:pStyle w:val="TOC2"/>
        <w:rPr>
          <w:rFonts w:ascii="Calibri" w:hAnsi="Calibri"/>
          <w:sz w:val="22"/>
          <w:szCs w:val="22"/>
          <w:lang w:val="en-US"/>
        </w:rPr>
      </w:pPr>
      <w:r w:rsidRPr="004D0DAA">
        <w:t>12.58</w:t>
      </w:r>
      <w:r w:rsidRPr="004D0DAA">
        <w:rPr>
          <w:rFonts w:ascii="Calibri" w:hAnsi="Calibri"/>
          <w:sz w:val="22"/>
          <w:szCs w:val="22"/>
          <w:lang w:val="en-US"/>
        </w:rPr>
        <w:tab/>
      </w:r>
      <w:r w:rsidRPr="004D0DAA">
        <w:t>PSC Group</w:t>
      </w:r>
      <w:r w:rsidRPr="004D0DAA">
        <w:tab/>
      </w:r>
      <w:r w:rsidRPr="004D0DAA">
        <w:fldChar w:fldCharType="begin" w:fldLock="1"/>
      </w:r>
      <w:r w:rsidRPr="004D0DAA">
        <w:instrText xml:space="preserve"> PAGEREF _Toc516670028 \h </w:instrText>
      </w:r>
      <w:r w:rsidRPr="004D0DAA">
        <w:fldChar w:fldCharType="separate"/>
      </w:r>
      <w:r w:rsidRPr="004D0DAA">
        <w:t>704</w:t>
      </w:r>
      <w:r w:rsidRPr="004D0DAA">
        <w:fldChar w:fldCharType="end"/>
      </w:r>
    </w:p>
    <w:p w14:paraId="2B84E4FF" w14:textId="77777777" w:rsidR="00683705" w:rsidRPr="004D0DAA" w:rsidRDefault="00683705">
      <w:pPr>
        <w:pStyle w:val="TOC2"/>
        <w:rPr>
          <w:rFonts w:ascii="Calibri" w:hAnsi="Calibri"/>
          <w:sz w:val="22"/>
          <w:szCs w:val="22"/>
          <w:lang w:val="en-US"/>
        </w:rPr>
      </w:pPr>
      <w:r w:rsidRPr="004D0DAA">
        <w:t>12.59</w:t>
      </w:r>
      <w:r w:rsidRPr="004D0DAA">
        <w:rPr>
          <w:rFonts w:ascii="Calibri" w:hAnsi="Calibri"/>
          <w:sz w:val="22"/>
          <w:szCs w:val="22"/>
          <w:lang w:val="en-US"/>
        </w:rPr>
        <w:tab/>
      </w:r>
      <w:r w:rsidRPr="004D0DAA">
        <w:t>Enhanced Cell Reselection Parameters</w:t>
      </w:r>
      <w:r w:rsidRPr="004D0DAA">
        <w:tab/>
      </w:r>
      <w:r w:rsidRPr="004D0DAA">
        <w:fldChar w:fldCharType="begin" w:fldLock="1"/>
      </w:r>
      <w:r w:rsidRPr="004D0DAA">
        <w:instrText xml:space="preserve"> PAGEREF _Toc516670029 \h </w:instrText>
      </w:r>
      <w:r w:rsidRPr="004D0DAA">
        <w:fldChar w:fldCharType="separate"/>
      </w:r>
      <w:r w:rsidRPr="004D0DAA">
        <w:t>704</w:t>
      </w:r>
      <w:r w:rsidRPr="004D0DAA">
        <w:fldChar w:fldCharType="end"/>
      </w:r>
    </w:p>
    <w:p w14:paraId="2451CA41" w14:textId="77777777" w:rsidR="00683705" w:rsidRPr="004D0DAA" w:rsidRDefault="00683705">
      <w:pPr>
        <w:pStyle w:val="TOC2"/>
        <w:rPr>
          <w:rFonts w:ascii="Calibri" w:hAnsi="Calibri"/>
          <w:sz w:val="22"/>
          <w:szCs w:val="22"/>
          <w:lang w:val="en-US"/>
        </w:rPr>
      </w:pPr>
      <w:r w:rsidRPr="004D0DAA">
        <w:t>12.60</w:t>
      </w:r>
      <w:r w:rsidRPr="004D0DAA">
        <w:rPr>
          <w:rFonts w:ascii="Calibri" w:hAnsi="Calibri"/>
          <w:sz w:val="22"/>
          <w:szCs w:val="22"/>
          <w:lang w:val="en-US"/>
        </w:rPr>
        <w:tab/>
      </w:r>
      <w:r w:rsidRPr="004D0DAA">
        <w:rPr>
          <w:i/>
        </w:rPr>
        <w:t>E-UTRAN CSG Measurement Report</w:t>
      </w:r>
      <w:r w:rsidRPr="004D0DAA">
        <w:tab/>
      </w:r>
      <w:r w:rsidRPr="004D0DAA">
        <w:fldChar w:fldCharType="begin" w:fldLock="1"/>
      </w:r>
      <w:r w:rsidRPr="004D0DAA">
        <w:instrText xml:space="preserve"> PAGEREF _Toc516670030 \h </w:instrText>
      </w:r>
      <w:r w:rsidRPr="004D0DAA">
        <w:fldChar w:fldCharType="separate"/>
      </w:r>
      <w:r w:rsidRPr="004D0DAA">
        <w:t>705</w:t>
      </w:r>
      <w:r w:rsidRPr="004D0DAA">
        <w:fldChar w:fldCharType="end"/>
      </w:r>
    </w:p>
    <w:p w14:paraId="70C8DB41" w14:textId="77777777" w:rsidR="00683705" w:rsidRPr="004D0DAA" w:rsidRDefault="00683705">
      <w:pPr>
        <w:pStyle w:val="TOC2"/>
        <w:rPr>
          <w:rFonts w:ascii="Calibri" w:hAnsi="Calibri"/>
          <w:sz w:val="22"/>
          <w:szCs w:val="22"/>
          <w:lang w:val="en-US"/>
        </w:rPr>
      </w:pPr>
      <w:r w:rsidRPr="004D0DAA">
        <w:t>12.61</w:t>
      </w:r>
      <w:r w:rsidRPr="004D0DAA">
        <w:rPr>
          <w:rFonts w:ascii="Calibri" w:hAnsi="Calibri"/>
          <w:sz w:val="22"/>
          <w:szCs w:val="22"/>
          <w:lang w:val="en-US"/>
        </w:rPr>
        <w:tab/>
      </w:r>
      <w:r w:rsidRPr="004D0DAA">
        <w:rPr>
          <w:i/>
        </w:rPr>
        <w:t>UTRAN CSG Measurement Report</w:t>
      </w:r>
      <w:r w:rsidRPr="004D0DAA">
        <w:tab/>
      </w:r>
      <w:r w:rsidRPr="004D0DAA">
        <w:fldChar w:fldCharType="begin" w:fldLock="1"/>
      </w:r>
      <w:r w:rsidRPr="004D0DAA">
        <w:instrText xml:space="preserve"> PAGEREF _Toc516670031 \h </w:instrText>
      </w:r>
      <w:r w:rsidRPr="004D0DAA">
        <w:fldChar w:fldCharType="separate"/>
      </w:r>
      <w:r w:rsidRPr="004D0DAA">
        <w:t>706</w:t>
      </w:r>
      <w:r w:rsidRPr="004D0DAA">
        <w:fldChar w:fldCharType="end"/>
      </w:r>
    </w:p>
    <w:p w14:paraId="64903CEE" w14:textId="77777777" w:rsidR="00683705" w:rsidRPr="004D0DAA" w:rsidRDefault="00683705">
      <w:pPr>
        <w:pStyle w:val="TOC2"/>
        <w:rPr>
          <w:rFonts w:ascii="Calibri" w:hAnsi="Calibri"/>
          <w:sz w:val="22"/>
          <w:szCs w:val="22"/>
          <w:lang w:val="en-US"/>
        </w:rPr>
      </w:pPr>
      <w:r w:rsidRPr="004D0DAA">
        <w:lastRenderedPageBreak/>
        <w:t>12.62</w:t>
      </w:r>
      <w:r w:rsidRPr="004D0DAA">
        <w:rPr>
          <w:rFonts w:ascii="Calibri" w:hAnsi="Calibri"/>
          <w:sz w:val="22"/>
          <w:szCs w:val="22"/>
          <w:lang w:val="en-US"/>
        </w:rPr>
        <w:tab/>
      </w:r>
      <w:r w:rsidRPr="004D0DAA">
        <w:t>E-UTRAN CSG Target cell</w:t>
      </w:r>
      <w:r w:rsidRPr="004D0DAA">
        <w:tab/>
      </w:r>
      <w:r w:rsidRPr="004D0DAA">
        <w:fldChar w:fldCharType="begin" w:fldLock="1"/>
      </w:r>
      <w:r w:rsidRPr="004D0DAA">
        <w:instrText xml:space="preserve"> PAGEREF _Toc516670032 \h </w:instrText>
      </w:r>
      <w:r w:rsidRPr="004D0DAA">
        <w:fldChar w:fldCharType="separate"/>
      </w:r>
      <w:r w:rsidRPr="004D0DAA">
        <w:t>707</w:t>
      </w:r>
      <w:r w:rsidRPr="004D0DAA">
        <w:fldChar w:fldCharType="end"/>
      </w:r>
    </w:p>
    <w:p w14:paraId="0C7E5B18" w14:textId="77777777" w:rsidR="00683705" w:rsidRPr="004D0DAA" w:rsidRDefault="00683705">
      <w:pPr>
        <w:pStyle w:val="TOC2"/>
        <w:rPr>
          <w:rFonts w:ascii="Calibri" w:hAnsi="Calibri"/>
          <w:sz w:val="22"/>
          <w:szCs w:val="22"/>
          <w:lang w:val="en-US"/>
        </w:rPr>
      </w:pPr>
      <w:r w:rsidRPr="004D0DAA">
        <w:t>12.63</w:t>
      </w:r>
      <w:r w:rsidRPr="004D0DAA">
        <w:rPr>
          <w:rFonts w:ascii="Calibri" w:hAnsi="Calibri"/>
          <w:sz w:val="22"/>
          <w:szCs w:val="22"/>
          <w:lang w:val="en-US"/>
        </w:rPr>
        <w:tab/>
      </w:r>
      <w:r w:rsidRPr="004D0DAA">
        <w:t>UTRAN CSG Target cell</w:t>
      </w:r>
      <w:r w:rsidRPr="004D0DAA">
        <w:tab/>
      </w:r>
      <w:r w:rsidRPr="004D0DAA">
        <w:fldChar w:fldCharType="begin" w:fldLock="1"/>
      </w:r>
      <w:r w:rsidRPr="004D0DAA">
        <w:instrText xml:space="preserve"> PAGEREF _Toc516670033 \h </w:instrText>
      </w:r>
      <w:r w:rsidRPr="004D0DAA">
        <w:fldChar w:fldCharType="separate"/>
      </w:r>
      <w:r w:rsidRPr="004D0DAA">
        <w:t>708</w:t>
      </w:r>
      <w:r w:rsidRPr="004D0DAA">
        <w:fldChar w:fldCharType="end"/>
      </w:r>
    </w:p>
    <w:p w14:paraId="66795905" w14:textId="77777777" w:rsidR="00683705" w:rsidRPr="004D0DAA" w:rsidRDefault="00683705">
      <w:pPr>
        <w:pStyle w:val="TOC2"/>
        <w:rPr>
          <w:rFonts w:ascii="Calibri" w:hAnsi="Calibri"/>
          <w:sz w:val="22"/>
          <w:szCs w:val="22"/>
          <w:lang w:val="en-US"/>
        </w:rPr>
      </w:pPr>
      <w:r w:rsidRPr="004D0DAA">
        <w:t>12.</w:t>
      </w:r>
      <w:r w:rsidRPr="004D0DAA">
        <w:rPr>
          <w:lang w:eastAsia="zh-CN"/>
        </w:rPr>
        <w:t>64</w:t>
      </w:r>
      <w:r w:rsidRPr="004D0DAA">
        <w:rPr>
          <w:rFonts w:ascii="Calibri" w:hAnsi="Calibri"/>
          <w:sz w:val="22"/>
          <w:szCs w:val="22"/>
          <w:lang w:val="en-US"/>
        </w:rPr>
        <w:tab/>
      </w:r>
      <w:r w:rsidRPr="004D0DAA">
        <w:t xml:space="preserve">DTM Handover PS Radio Resources </w:t>
      </w:r>
      <w:r w:rsidRPr="004D0DAA">
        <w:rPr>
          <w:lang w:eastAsia="zh-CN"/>
        </w:rPr>
        <w:t>3</w:t>
      </w:r>
      <w:r w:rsidRPr="004D0DAA">
        <w:tab/>
      </w:r>
      <w:r w:rsidRPr="004D0DAA">
        <w:fldChar w:fldCharType="begin" w:fldLock="1"/>
      </w:r>
      <w:r w:rsidRPr="004D0DAA">
        <w:instrText xml:space="preserve"> PAGEREF _Toc516670034 \h </w:instrText>
      </w:r>
      <w:r w:rsidRPr="004D0DAA">
        <w:fldChar w:fldCharType="separate"/>
      </w:r>
      <w:r w:rsidRPr="004D0DAA">
        <w:t>708</w:t>
      </w:r>
      <w:r w:rsidRPr="004D0DAA">
        <w:fldChar w:fldCharType="end"/>
      </w:r>
    </w:p>
    <w:p w14:paraId="58590296" w14:textId="77777777" w:rsidR="00683705" w:rsidRPr="004D0DAA" w:rsidRDefault="00683705">
      <w:pPr>
        <w:pStyle w:val="TOC2"/>
        <w:rPr>
          <w:rFonts w:ascii="Calibri" w:hAnsi="Calibri"/>
          <w:sz w:val="22"/>
          <w:szCs w:val="22"/>
          <w:lang w:val="en-US"/>
        </w:rPr>
      </w:pPr>
      <w:r w:rsidRPr="004D0DAA">
        <w:t>12.65</w:t>
      </w:r>
      <w:r w:rsidRPr="004D0DAA">
        <w:rPr>
          <w:rFonts w:ascii="Calibri" w:hAnsi="Calibri"/>
          <w:sz w:val="22"/>
          <w:szCs w:val="22"/>
          <w:lang w:val="en-US"/>
        </w:rPr>
        <w:tab/>
      </w:r>
      <w:r w:rsidRPr="004D0DAA">
        <w:t>Dynamic Allocation 3</w:t>
      </w:r>
      <w:r w:rsidRPr="004D0DAA">
        <w:tab/>
      </w:r>
      <w:r w:rsidRPr="004D0DAA">
        <w:fldChar w:fldCharType="begin" w:fldLock="1"/>
      </w:r>
      <w:r w:rsidRPr="004D0DAA">
        <w:instrText xml:space="preserve"> PAGEREF _Toc516670035 \h </w:instrText>
      </w:r>
      <w:r w:rsidRPr="004D0DAA">
        <w:fldChar w:fldCharType="separate"/>
      </w:r>
      <w:r w:rsidRPr="004D0DAA">
        <w:t>711</w:t>
      </w:r>
      <w:r w:rsidRPr="004D0DAA">
        <w:fldChar w:fldCharType="end"/>
      </w:r>
    </w:p>
    <w:p w14:paraId="69C5124D" w14:textId="77777777" w:rsidR="00683705" w:rsidRPr="004D0DAA" w:rsidRDefault="00683705">
      <w:pPr>
        <w:pStyle w:val="TOC2"/>
        <w:rPr>
          <w:rFonts w:ascii="Calibri" w:hAnsi="Calibri"/>
          <w:sz w:val="22"/>
          <w:szCs w:val="22"/>
          <w:lang w:val="en-US"/>
        </w:rPr>
      </w:pPr>
      <w:r w:rsidRPr="004D0DAA">
        <w:t>12.66</w:t>
      </w:r>
      <w:r w:rsidRPr="004D0DAA">
        <w:rPr>
          <w:rFonts w:ascii="Calibri" w:hAnsi="Calibri"/>
          <w:sz w:val="22"/>
          <w:szCs w:val="22"/>
          <w:lang w:val="en-US"/>
        </w:rPr>
        <w:tab/>
      </w:r>
      <w:r w:rsidRPr="004D0DAA">
        <w:t>DLMC Channel Quality Report</w:t>
      </w:r>
      <w:r w:rsidRPr="004D0DAA">
        <w:tab/>
      </w:r>
      <w:r w:rsidRPr="004D0DAA">
        <w:fldChar w:fldCharType="begin" w:fldLock="1"/>
      </w:r>
      <w:r w:rsidRPr="004D0DAA">
        <w:instrText xml:space="preserve"> PAGEREF _Toc516670036 \h </w:instrText>
      </w:r>
      <w:r w:rsidRPr="004D0DAA">
        <w:fldChar w:fldCharType="separate"/>
      </w:r>
      <w:r w:rsidRPr="004D0DAA">
        <w:t>712</w:t>
      </w:r>
      <w:r w:rsidRPr="004D0DAA">
        <w:fldChar w:fldCharType="end"/>
      </w:r>
    </w:p>
    <w:p w14:paraId="485BFDB2" w14:textId="77777777" w:rsidR="00683705" w:rsidRPr="004D0DAA" w:rsidRDefault="00683705">
      <w:pPr>
        <w:pStyle w:val="TOC2"/>
        <w:rPr>
          <w:rFonts w:ascii="Calibri" w:hAnsi="Calibri"/>
          <w:sz w:val="22"/>
          <w:szCs w:val="22"/>
          <w:lang w:val="en-US"/>
        </w:rPr>
      </w:pPr>
      <w:r w:rsidRPr="004D0DAA">
        <w:t>12.67</w:t>
      </w:r>
      <w:r w:rsidRPr="004D0DAA">
        <w:rPr>
          <w:rFonts w:ascii="Calibri" w:hAnsi="Calibri"/>
          <w:sz w:val="22"/>
          <w:szCs w:val="22"/>
          <w:lang w:val="en-US"/>
        </w:rPr>
        <w:tab/>
      </w:r>
      <w:r w:rsidRPr="004D0DAA">
        <w:t>DOWNLINK_eTFI_ASSIGNMENT</w:t>
      </w:r>
      <w:r w:rsidRPr="004D0DAA">
        <w:tab/>
      </w:r>
      <w:r w:rsidRPr="004D0DAA">
        <w:fldChar w:fldCharType="begin" w:fldLock="1"/>
      </w:r>
      <w:r w:rsidRPr="004D0DAA">
        <w:instrText xml:space="preserve"> PAGEREF _Toc516670037 \h </w:instrText>
      </w:r>
      <w:r w:rsidRPr="004D0DAA">
        <w:fldChar w:fldCharType="separate"/>
      </w:r>
      <w:r w:rsidRPr="004D0DAA">
        <w:t>715</w:t>
      </w:r>
      <w:r w:rsidRPr="004D0DAA">
        <w:fldChar w:fldCharType="end"/>
      </w:r>
    </w:p>
    <w:p w14:paraId="0C207AD2" w14:textId="77777777" w:rsidR="00683705" w:rsidRPr="004D0DAA" w:rsidRDefault="00683705">
      <w:pPr>
        <w:pStyle w:val="TOC2"/>
        <w:rPr>
          <w:rFonts w:ascii="Calibri" w:hAnsi="Calibri"/>
          <w:sz w:val="22"/>
          <w:szCs w:val="22"/>
          <w:lang w:val="en-US"/>
        </w:rPr>
      </w:pPr>
      <w:r w:rsidRPr="004D0DAA">
        <w:t>12.68</w:t>
      </w:r>
      <w:r w:rsidRPr="004D0DAA">
        <w:rPr>
          <w:rFonts w:ascii="Calibri" w:hAnsi="Calibri"/>
          <w:sz w:val="22"/>
          <w:szCs w:val="22"/>
          <w:lang w:val="en-US"/>
        </w:rPr>
        <w:tab/>
      </w:r>
      <w:r w:rsidRPr="004D0DAA">
        <w:rPr>
          <w:lang w:eastAsia="en-GB"/>
        </w:rPr>
        <w:t>E-UTRAN Target Cell with extended EARFCN</w:t>
      </w:r>
      <w:r w:rsidRPr="004D0DAA">
        <w:tab/>
      </w:r>
      <w:r w:rsidRPr="004D0DAA">
        <w:fldChar w:fldCharType="begin" w:fldLock="1"/>
      </w:r>
      <w:r w:rsidRPr="004D0DAA">
        <w:instrText xml:space="preserve"> PAGEREF _Toc516670038 \h </w:instrText>
      </w:r>
      <w:r w:rsidRPr="004D0DAA">
        <w:fldChar w:fldCharType="separate"/>
      </w:r>
      <w:r w:rsidRPr="004D0DAA">
        <w:t>716</w:t>
      </w:r>
      <w:r w:rsidRPr="004D0DAA">
        <w:fldChar w:fldCharType="end"/>
      </w:r>
    </w:p>
    <w:p w14:paraId="55148602" w14:textId="77777777" w:rsidR="00683705" w:rsidRPr="004D0DAA" w:rsidRDefault="00683705">
      <w:pPr>
        <w:pStyle w:val="TOC2"/>
        <w:rPr>
          <w:rFonts w:ascii="Calibri" w:hAnsi="Calibri"/>
          <w:sz w:val="22"/>
          <w:szCs w:val="22"/>
          <w:lang w:val="en-US"/>
        </w:rPr>
      </w:pPr>
      <w:r w:rsidRPr="004D0DAA">
        <w:t>12.69</w:t>
      </w:r>
      <w:r w:rsidRPr="004D0DAA">
        <w:rPr>
          <w:rFonts w:ascii="Calibri" w:hAnsi="Calibri"/>
          <w:sz w:val="22"/>
          <w:szCs w:val="22"/>
          <w:lang w:val="en-US"/>
        </w:rPr>
        <w:tab/>
      </w:r>
      <w:r w:rsidRPr="004D0DAA">
        <w:rPr>
          <w:lang w:eastAsia="en-GB"/>
        </w:rPr>
        <w:t>E-UTRAN IPP with extended EARFCNs</w:t>
      </w:r>
      <w:r w:rsidRPr="004D0DAA">
        <w:tab/>
      </w:r>
      <w:r w:rsidRPr="004D0DAA">
        <w:fldChar w:fldCharType="begin" w:fldLock="1"/>
      </w:r>
      <w:r w:rsidRPr="004D0DAA">
        <w:instrText xml:space="preserve"> PAGEREF _Toc516670039 \h </w:instrText>
      </w:r>
      <w:r w:rsidRPr="004D0DAA">
        <w:fldChar w:fldCharType="separate"/>
      </w:r>
      <w:r w:rsidRPr="004D0DAA">
        <w:t>716</w:t>
      </w:r>
      <w:r w:rsidRPr="004D0DAA">
        <w:fldChar w:fldCharType="end"/>
      </w:r>
    </w:p>
    <w:p w14:paraId="0F65CBA7" w14:textId="77777777" w:rsidR="00683705" w:rsidRPr="004D0DAA" w:rsidRDefault="00683705">
      <w:pPr>
        <w:pStyle w:val="TOC2"/>
        <w:rPr>
          <w:rFonts w:ascii="Calibri" w:hAnsi="Calibri"/>
          <w:sz w:val="22"/>
          <w:szCs w:val="22"/>
          <w:lang w:val="en-US"/>
        </w:rPr>
      </w:pPr>
      <w:r w:rsidRPr="004D0DAA">
        <w:t>12.70</w:t>
      </w:r>
      <w:r w:rsidRPr="004D0DAA">
        <w:rPr>
          <w:rFonts w:ascii="Calibri" w:hAnsi="Calibri"/>
          <w:sz w:val="22"/>
          <w:szCs w:val="22"/>
          <w:lang w:val="en-US"/>
        </w:rPr>
        <w:tab/>
      </w:r>
      <w:r w:rsidRPr="004D0DAA">
        <w:rPr>
          <w:lang w:eastAsia="en-GB"/>
        </w:rPr>
        <w:t>E-UTRAN NC with extended EARFCNs</w:t>
      </w:r>
      <w:r w:rsidRPr="004D0DAA">
        <w:tab/>
      </w:r>
      <w:r w:rsidRPr="004D0DAA">
        <w:fldChar w:fldCharType="begin" w:fldLock="1"/>
      </w:r>
      <w:r w:rsidRPr="004D0DAA">
        <w:instrText xml:space="preserve"> PAGEREF _Toc516670040 \h </w:instrText>
      </w:r>
      <w:r w:rsidRPr="004D0DAA">
        <w:fldChar w:fldCharType="separate"/>
      </w:r>
      <w:r w:rsidRPr="004D0DAA">
        <w:t>717</w:t>
      </w:r>
      <w:r w:rsidRPr="004D0DAA">
        <w:fldChar w:fldCharType="end"/>
      </w:r>
    </w:p>
    <w:p w14:paraId="4F427FBD" w14:textId="77777777" w:rsidR="00683705" w:rsidRPr="004D0DAA" w:rsidRDefault="00683705">
      <w:pPr>
        <w:pStyle w:val="TOC2"/>
        <w:rPr>
          <w:rFonts w:ascii="Calibri" w:hAnsi="Calibri"/>
          <w:sz w:val="22"/>
          <w:szCs w:val="22"/>
          <w:lang w:val="en-US"/>
        </w:rPr>
      </w:pPr>
      <w:r w:rsidRPr="004D0DAA">
        <w:t>12.71</w:t>
      </w:r>
      <w:r w:rsidRPr="004D0DAA">
        <w:rPr>
          <w:rFonts w:ascii="Calibri" w:hAnsi="Calibri"/>
          <w:sz w:val="22"/>
          <w:szCs w:val="22"/>
          <w:lang w:val="en-US"/>
        </w:rPr>
        <w:tab/>
      </w:r>
      <w:r w:rsidRPr="004D0DAA">
        <w:t>Used DL Coverage Class</w:t>
      </w:r>
      <w:r w:rsidRPr="004D0DAA">
        <w:tab/>
      </w:r>
      <w:r w:rsidRPr="004D0DAA">
        <w:fldChar w:fldCharType="begin" w:fldLock="1"/>
      </w:r>
      <w:r w:rsidRPr="004D0DAA">
        <w:instrText xml:space="preserve"> PAGEREF _Toc516670041 \h </w:instrText>
      </w:r>
      <w:r w:rsidRPr="004D0DAA">
        <w:fldChar w:fldCharType="separate"/>
      </w:r>
      <w:r w:rsidRPr="004D0DAA">
        <w:t>718</w:t>
      </w:r>
      <w:r w:rsidRPr="004D0DAA">
        <w:fldChar w:fldCharType="end"/>
      </w:r>
    </w:p>
    <w:p w14:paraId="452B46BC" w14:textId="77777777" w:rsidR="00683705" w:rsidRPr="004D0DAA" w:rsidRDefault="00683705">
      <w:pPr>
        <w:pStyle w:val="TOC2"/>
        <w:rPr>
          <w:rFonts w:ascii="Calibri" w:hAnsi="Calibri"/>
          <w:sz w:val="22"/>
          <w:szCs w:val="22"/>
          <w:lang w:val="en-US"/>
        </w:rPr>
      </w:pPr>
      <w:r w:rsidRPr="004D0DAA">
        <w:t>12.72</w:t>
      </w:r>
      <w:r w:rsidRPr="004D0DAA">
        <w:rPr>
          <w:rFonts w:ascii="Calibri" w:hAnsi="Calibri"/>
          <w:sz w:val="22"/>
          <w:szCs w:val="22"/>
          <w:lang w:val="en-US"/>
        </w:rPr>
        <w:tab/>
      </w:r>
      <w:r w:rsidRPr="004D0DAA">
        <w:t>EC Ack/Nack Description</w:t>
      </w:r>
      <w:r w:rsidRPr="004D0DAA">
        <w:tab/>
      </w:r>
      <w:r w:rsidRPr="004D0DAA">
        <w:fldChar w:fldCharType="begin" w:fldLock="1"/>
      </w:r>
      <w:r w:rsidRPr="004D0DAA">
        <w:instrText xml:space="preserve"> PAGEREF _Toc516670042 \h </w:instrText>
      </w:r>
      <w:r w:rsidRPr="004D0DAA">
        <w:fldChar w:fldCharType="separate"/>
      </w:r>
      <w:r w:rsidRPr="004D0DAA">
        <w:t>719</w:t>
      </w:r>
      <w:r w:rsidRPr="004D0DAA">
        <w:fldChar w:fldCharType="end"/>
      </w:r>
    </w:p>
    <w:p w14:paraId="2845624E" w14:textId="77777777" w:rsidR="00683705" w:rsidRPr="004D0DAA" w:rsidRDefault="00683705">
      <w:pPr>
        <w:pStyle w:val="TOC2"/>
        <w:rPr>
          <w:rFonts w:ascii="Calibri" w:hAnsi="Calibri"/>
          <w:sz w:val="22"/>
          <w:szCs w:val="22"/>
          <w:lang w:val="en-US"/>
        </w:rPr>
      </w:pPr>
      <w:r w:rsidRPr="004D0DAA">
        <w:t>12.73</w:t>
      </w:r>
      <w:r w:rsidRPr="004D0DAA">
        <w:rPr>
          <w:rFonts w:ascii="Calibri" w:hAnsi="Calibri"/>
          <w:sz w:val="22"/>
          <w:szCs w:val="22"/>
          <w:lang w:val="en-US"/>
        </w:rPr>
        <w:tab/>
      </w:r>
      <w:r w:rsidRPr="004D0DAA">
        <w:t>EC Primary Ack/Nack Description</w:t>
      </w:r>
      <w:r w:rsidRPr="004D0DAA">
        <w:tab/>
      </w:r>
      <w:r w:rsidRPr="004D0DAA">
        <w:fldChar w:fldCharType="begin" w:fldLock="1"/>
      </w:r>
      <w:r w:rsidRPr="004D0DAA">
        <w:instrText xml:space="preserve"> PAGEREF _Toc516670043 \h </w:instrText>
      </w:r>
      <w:r w:rsidRPr="004D0DAA">
        <w:fldChar w:fldCharType="separate"/>
      </w:r>
      <w:r w:rsidRPr="004D0DAA">
        <w:t>719</w:t>
      </w:r>
      <w:r w:rsidRPr="004D0DAA">
        <w:fldChar w:fldCharType="end"/>
      </w:r>
    </w:p>
    <w:p w14:paraId="08D9132C" w14:textId="77777777" w:rsidR="00683705" w:rsidRPr="004D0DAA" w:rsidRDefault="00683705">
      <w:pPr>
        <w:pStyle w:val="TOC2"/>
        <w:rPr>
          <w:rFonts w:ascii="Calibri" w:hAnsi="Calibri"/>
          <w:sz w:val="22"/>
          <w:szCs w:val="22"/>
          <w:lang w:val="en-US"/>
        </w:rPr>
      </w:pPr>
      <w:r w:rsidRPr="004D0DAA">
        <w:t>12.74</w:t>
      </w:r>
      <w:r w:rsidRPr="004D0DAA">
        <w:rPr>
          <w:rFonts w:ascii="Calibri" w:hAnsi="Calibri"/>
          <w:sz w:val="22"/>
          <w:szCs w:val="22"/>
          <w:lang w:val="en-US"/>
        </w:rPr>
        <w:tab/>
      </w:r>
      <w:r w:rsidRPr="004D0DAA">
        <w:t>EC Packet Timing Advance</w:t>
      </w:r>
      <w:r w:rsidRPr="004D0DAA">
        <w:tab/>
      </w:r>
      <w:r w:rsidRPr="004D0DAA">
        <w:fldChar w:fldCharType="begin" w:fldLock="1"/>
      </w:r>
      <w:r w:rsidRPr="004D0DAA">
        <w:instrText xml:space="preserve"> PAGEREF _Toc516670044 \h </w:instrText>
      </w:r>
      <w:r w:rsidRPr="004D0DAA">
        <w:fldChar w:fldCharType="separate"/>
      </w:r>
      <w:r w:rsidRPr="004D0DAA">
        <w:t>719</w:t>
      </w:r>
      <w:r w:rsidRPr="004D0DAA">
        <w:fldChar w:fldCharType="end"/>
      </w:r>
    </w:p>
    <w:p w14:paraId="0AC12161" w14:textId="77777777" w:rsidR="00683705" w:rsidRPr="004D0DAA" w:rsidRDefault="00683705">
      <w:pPr>
        <w:pStyle w:val="TOC2"/>
        <w:rPr>
          <w:rFonts w:ascii="Calibri" w:hAnsi="Calibri"/>
          <w:sz w:val="22"/>
          <w:szCs w:val="22"/>
          <w:lang w:val="en-US"/>
        </w:rPr>
      </w:pPr>
      <w:r w:rsidRPr="004D0DAA">
        <w:t>12.75</w:t>
      </w:r>
      <w:r w:rsidRPr="004D0DAA">
        <w:rPr>
          <w:rFonts w:ascii="Calibri" w:hAnsi="Calibri"/>
          <w:sz w:val="22"/>
          <w:szCs w:val="22"/>
          <w:lang w:val="en-US"/>
        </w:rPr>
        <w:tab/>
      </w:r>
      <w:r w:rsidRPr="004D0DAA">
        <w:t>EC Channel Quality Report</w:t>
      </w:r>
      <w:r w:rsidRPr="004D0DAA">
        <w:tab/>
      </w:r>
      <w:r w:rsidRPr="004D0DAA">
        <w:fldChar w:fldCharType="begin" w:fldLock="1"/>
      </w:r>
      <w:r w:rsidRPr="004D0DAA">
        <w:instrText xml:space="preserve"> PAGEREF _Toc516670045 \h </w:instrText>
      </w:r>
      <w:r w:rsidRPr="004D0DAA">
        <w:fldChar w:fldCharType="separate"/>
      </w:r>
      <w:r w:rsidRPr="004D0DAA">
        <w:t>719</w:t>
      </w:r>
      <w:r w:rsidRPr="004D0DAA">
        <w:fldChar w:fldCharType="end"/>
      </w:r>
    </w:p>
    <w:p w14:paraId="2E2A4807" w14:textId="77777777" w:rsidR="00683705" w:rsidRPr="004D0DAA" w:rsidRDefault="00683705">
      <w:pPr>
        <w:pStyle w:val="TOC2"/>
        <w:rPr>
          <w:rFonts w:ascii="Calibri" w:hAnsi="Calibri"/>
          <w:sz w:val="22"/>
          <w:szCs w:val="22"/>
          <w:lang w:val="en-US"/>
        </w:rPr>
      </w:pPr>
      <w:r w:rsidRPr="004D0DAA">
        <w:t>12.76</w:t>
      </w:r>
      <w:r w:rsidRPr="004D0DAA">
        <w:rPr>
          <w:rFonts w:ascii="Calibri" w:hAnsi="Calibri"/>
          <w:sz w:val="22"/>
          <w:szCs w:val="22"/>
          <w:lang w:val="en-US"/>
        </w:rPr>
        <w:tab/>
      </w:r>
      <w:r w:rsidRPr="004D0DAA">
        <w:t>EC Channel Quality Report Higher CC</w:t>
      </w:r>
      <w:r w:rsidRPr="004D0DAA">
        <w:tab/>
      </w:r>
      <w:r w:rsidRPr="004D0DAA">
        <w:fldChar w:fldCharType="begin" w:fldLock="1"/>
      </w:r>
      <w:r w:rsidRPr="004D0DAA">
        <w:instrText xml:space="preserve"> PAGEREF _Toc516670046 \h </w:instrText>
      </w:r>
      <w:r w:rsidRPr="004D0DAA">
        <w:fldChar w:fldCharType="separate"/>
      </w:r>
      <w:r w:rsidRPr="004D0DAA">
        <w:t>720</w:t>
      </w:r>
      <w:r w:rsidRPr="004D0DAA">
        <w:fldChar w:fldCharType="end"/>
      </w:r>
    </w:p>
    <w:p w14:paraId="2719FA74" w14:textId="77777777" w:rsidR="00683705" w:rsidRPr="004D0DAA" w:rsidRDefault="00683705">
      <w:pPr>
        <w:pStyle w:val="TOC1"/>
        <w:rPr>
          <w:rFonts w:ascii="Calibri" w:hAnsi="Calibri"/>
          <w:szCs w:val="22"/>
          <w:lang w:val="en-US"/>
        </w:rPr>
      </w:pPr>
      <w:r w:rsidRPr="004D0DAA">
        <w:t>13</w:t>
      </w:r>
      <w:r w:rsidRPr="004D0DAA">
        <w:rPr>
          <w:rFonts w:ascii="Calibri" w:hAnsi="Calibri"/>
          <w:szCs w:val="22"/>
          <w:lang w:val="en-US"/>
        </w:rPr>
        <w:tab/>
      </w:r>
      <w:r w:rsidRPr="004D0DAA">
        <w:t>Timers and counters</w:t>
      </w:r>
      <w:r w:rsidRPr="004D0DAA">
        <w:tab/>
      </w:r>
      <w:r w:rsidRPr="004D0DAA">
        <w:fldChar w:fldCharType="begin" w:fldLock="1"/>
      </w:r>
      <w:r w:rsidRPr="004D0DAA">
        <w:instrText xml:space="preserve"> PAGEREF _Toc516670047 \h </w:instrText>
      </w:r>
      <w:r w:rsidRPr="004D0DAA">
        <w:fldChar w:fldCharType="separate"/>
      </w:r>
      <w:r w:rsidRPr="004D0DAA">
        <w:t>721</w:t>
      </w:r>
      <w:r w:rsidRPr="004D0DAA">
        <w:fldChar w:fldCharType="end"/>
      </w:r>
    </w:p>
    <w:p w14:paraId="2AA9F9AD" w14:textId="77777777" w:rsidR="00683705" w:rsidRPr="004D0DAA" w:rsidRDefault="00683705">
      <w:pPr>
        <w:pStyle w:val="TOC2"/>
        <w:rPr>
          <w:rFonts w:ascii="Calibri" w:hAnsi="Calibri"/>
          <w:sz w:val="22"/>
          <w:szCs w:val="22"/>
          <w:lang w:val="en-US"/>
        </w:rPr>
      </w:pPr>
      <w:r w:rsidRPr="004D0DAA">
        <w:t>13.1</w:t>
      </w:r>
      <w:r w:rsidRPr="004D0DAA">
        <w:rPr>
          <w:rFonts w:ascii="Calibri" w:hAnsi="Calibri"/>
          <w:sz w:val="22"/>
          <w:szCs w:val="22"/>
          <w:lang w:val="en-US"/>
        </w:rPr>
        <w:tab/>
      </w:r>
      <w:r w:rsidRPr="004D0DAA">
        <w:t>Timers on the Mobile Station side</w:t>
      </w:r>
      <w:r w:rsidRPr="004D0DAA">
        <w:tab/>
      </w:r>
      <w:r w:rsidRPr="004D0DAA">
        <w:fldChar w:fldCharType="begin" w:fldLock="1"/>
      </w:r>
      <w:r w:rsidRPr="004D0DAA">
        <w:instrText xml:space="preserve"> PAGEREF _Toc516670048 \h </w:instrText>
      </w:r>
      <w:r w:rsidRPr="004D0DAA">
        <w:fldChar w:fldCharType="separate"/>
      </w:r>
      <w:r w:rsidRPr="004D0DAA">
        <w:t>722</w:t>
      </w:r>
      <w:r w:rsidRPr="004D0DAA">
        <w:fldChar w:fldCharType="end"/>
      </w:r>
    </w:p>
    <w:p w14:paraId="55DC2AE7" w14:textId="77777777" w:rsidR="00683705" w:rsidRPr="004D0DAA" w:rsidRDefault="00683705">
      <w:pPr>
        <w:pStyle w:val="TOC2"/>
        <w:rPr>
          <w:rFonts w:ascii="Calibri" w:hAnsi="Calibri"/>
          <w:sz w:val="22"/>
          <w:szCs w:val="22"/>
          <w:lang w:val="en-US"/>
        </w:rPr>
      </w:pPr>
      <w:r w:rsidRPr="004D0DAA">
        <w:t>13.2</w:t>
      </w:r>
      <w:r w:rsidRPr="004D0DAA">
        <w:rPr>
          <w:rFonts w:ascii="Calibri" w:hAnsi="Calibri"/>
          <w:sz w:val="22"/>
          <w:szCs w:val="22"/>
          <w:lang w:val="en-US"/>
        </w:rPr>
        <w:tab/>
      </w:r>
      <w:r w:rsidRPr="004D0DAA">
        <w:t>Timers on the network side</w:t>
      </w:r>
      <w:r w:rsidRPr="004D0DAA">
        <w:tab/>
      </w:r>
      <w:r w:rsidRPr="004D0DAA">
        <w:fldChar w:fldCharType="begin" w:fldLock="1"/>
      </w:r>
      <w:r w:rsidRPr="004D0DAA">
        <w:instrText xml:space="preserve"> PAGEREF _Toc516670049 \h </w:instrText>
      </w:r>
      <w:r w:rsidRPr="004D0DAA">
        <w:fldChar w:fldCharType="separate"/>
      </w:r>
      <w:r w:rsidRPr="004D0DAA">
        <w:t>735</w:t>
      </w:r>
      <w:r w:rsidRPr="004D0DAA">
        <w:fldChar w:fldCharType="end"/>
      </w:r>
    </w:p>
    <w:p w14:paraId="7A66BD93" w14:textId="77777777" w:rsidR="00683705" w:rsidRPr="004D0DAA" w:rsidRDefault="00683705">
      <w:pPr>
        <w:pStyle w:val="TOC2"/>
        <w:rPr>
          <w:rFonts w:ascii="Calibri" w:hAnsi="Calibri"/>
          <w:sz w:val="22"/>
          <w:szCs w:val="22"/>
          <w:lang w:val="en-US"/>
        </w:rPr>
      </w:pPr>
      <w:r w:rsidRPr="004D0DAA">
        <w:t>13.3</w:t>
      </w:r>
      <w:r w:rsidRPr="004D0DAA">
        <w:rPr>
          <w:rFonts w:ascii="Calibri" w:hAnsi="Calibri"/>
          <w:sz w:val="22"/>
          <w:szCs w:val="22"/>
          <w:lang w:val="en-US"/>
        </w:rPr>
        <w:tab/>
      </w:r>
      <w:r w:rsidRPr="004D0DAA">
        <w:t>Counters on the Mobile Station side</w:t>
      </w:r>
      <w:r w:rsidRPr="004D0DAA">
        <w:tab/>
      </w:r>
      <w:r w:rsidRPr="004D0DAA">
        <w:fldChar w:fldCharType="begin" w:fldLock="1"/>
      </w:r>
      <w:r w:rsidRPr="004D0DAA">
        <w:instrText xml:space="preserve"> PAGEREF _Toc516670050 \h </w:instrText>
      </w:r>
      <w:r w:rsidRPr="004D0DAA">
        <w:fldChar w:fldCharType="separate"/>
      </w:r>
      <w:r w:rsidRPr="004D0DAA">
        <w:t>738</w:t>
      </w:r>
      <w:r w:rsidRPr="004D0DAA">
        <w:fldChar w:fldCharType="end"/>
      </w:r>
    </w:p>
    <w:p w14:paraId="5283B28D" w14:textId="77777777" w:rsidR="00683705" w:rsidRPr="004D0DAA" w:rsidRDefault="00683705">
      <w:pPr>
        <w:pStyle w:val="TOC2"/>
        <w:rPr>
          <w:rFonts w:ascii="Calibri" w:hAnsi="Calibri"/>
          <w:sz w:val="22"/>
          <w:szCs w:val="22"/>
          <w:lang w:val="en-US"/>
        </w:rPr>
      </w:pPr>
      <w:r w:rsidRPr="004D0DAA">
        <w:t>13.4</w:t>
      </w:r>
      <w:r w:rsidRPr="004D0DAA">
        <w:rPr>
          <w:rFonts w:ascii="Calibri" w:hAnsi="Calibri"/>
          <w:sz w:val="22"/>
          <w:szCs w:val="22"/>
          <w:lang w:val="en-US"/>
        </w:rPr>
        <w:tab/>
      </w:r>
      <w:r w:rsidRPr="004D0DAA">
        <w:t>Counters on the Network side</w:t>
      </w:r>
      <w:r w:rsidRPr="004D0DAA">
        <w:tab/>
      </w:r>
      <w:r w:rsidRPr="004D0DAA">
        <w:fldChar w:fldCharType="begin" w:fldLock="1"/>
      </w:r>
      <w:r w:rsidRPr="004D0DAA">
        <w:instrText xml:space="preserve"> PAGEREF _Toc516670051 \h </w:instrText>
      </w:r>
      <w:r w:rsidRPr="004D0DAA">
        <w:fldChar w:fldCharType="separate"/>
      </w:r>
      <w:r w:rsidRPr="004D0DAA">
        <w:t>739</w:t>
      </w:r>
      <w:r w:rsidRPr="004D0DAA">
        <w:fldChar w:fldCharType="end"/>
      </w:r>
    </w:p>
    <w:p w14:paraId="2165B8B2" w14:textId="77777777" w:rsidR="00683705" w:rsidRPr="004D0DAA" w:rsidRDefault="00683705" w:rsidP="00683705">
      <w:pPr>
        <w:pStyle w:val="TOC8"/>
        <w:tabs>
          <w:tab w:val="right" w:leader="dot" w:pos="9639"/>
        </w:tabs>
        <w:rPr>
          <w:rFonts w:ascii="Calibri" w:hAnsi="Calibri"/>
          <w:b w:val="0"/>
          <w:szCs w:val="22"/>
          <w:lang w:val="en-US"/>
        </w:rPr>
      </w:pPr>
      <w:r w:rsidRPr="004D0DAA">
        <w:t>Annex A (informative):</w:t>
      </w:r>
      <w:r w:rsidRPr="004D0DAA">
        <w:tab/>
        <w:t>Bibliography</w:t>
      </w:r>
      <w:r w:rsidRPr="004D0DAA">
        <w:tab/>
      </w:r>
      <w:r w:rsidRPr="004D0DAA">
        <w:fldChar w:fldCharType="begin" w:fldLock="1"/>
      </w:r>
      <w:r w:rsidRPr="004D0DAA">
        <w:instrText xml:space="preserve"> PAGEREF _Toc516670052 \h </w:instrText>
      </w:r>
      <w:r w:rsidRPr="004D0DAA">
        <w:fldChar w:fldCharType="separate"/>
      </w:r>
      <w:r w:rsidRPr="004D0DAA">
        <w:t>740</w:t>
      </w:r>
      <w:r w:rsidRPr="004D0DAA">
        <w:fldChar w:fldCharType="end"/>
      </w:r>
    </w:p>
    <w:p w14:paraId="566B469A" w14:textId="77777777" w:rsidR="00683705" w:rsidRPr="004D0DAA" w:rsidRDefault="00683705" w:rsidP="00683705">
      <w:pPr>
        <w:pStyle w:val="TOC8"/>
        <w:tabs>
          <w:tab w:val="right" w:leader="dot" w:pos="9639"/>
        </w:tabs>
        <w:rPr>
          <w:rFonts w:ascii="Calibri" w:hAnsi="Calibri"/>
          <w:b w:val="0"/>
          <w:szCs w:val="22"/>
          <w:lang w:val="en-US"/>
        </w:rPr>
      </w:pPr>
      <w:r w:rsidRPr="004D0DAA">
        <w:t>Annex B (informative):</w:t>
      </w:r>
      <w:r w:rsidRPr="004D0DAA">
        <w:tab/>
        <w:t>RLC data block encoding</w:t>
      </w:r>
      <w:r w:rsidRPr="004D0DAA">
        <w:tab/>
      </w:r>
      <w:r w:rsidRPr="004D0DAA">
        <w:fldChar w:fldCharType="begin" w:fldLock="1"/>
      </w:r>
      <w:r w:rsidRPr="004D0DAA">
        <w:instrText xml:space="preserve"> PAGEREF _Toc516670053 \h </w:instrText>
      </w:r>
      <w:r w:rsidRPr="004D0DAA">
        <w:fldChar w:fldCharType="separate"/>
      </w:r>
      <w:r w:rsidRPr="004D0DAA">
        <w:t>741</w:t>
      </w:r>
      <w:r w:rsidRPr="004D0DAA">
        <w:fldChar w:fldCharType="end"/>
      </w:r>
    </w:p>
    <w:p w14:paraId="6C8055CA" w14:textId="77777777" w:rsidR="00683705" w:rsidRPr="004D0DAA" w:rsidRDefault="00683705">
      <w:pPr>
        <w:pStyle w:val="TOC2"/>
        <w:rPr>
          <w:rFonts w:ascii="Calibri" w:hAnsi="Calibri"/>
          <w:sz w:val="22"/>
          <w:szCs w:val="22"/>
          <w:lang w:val="en-US"/>
        </w:rPr>
      </w:pPr>
      <w:r w:rsidRPr="004D0DAA">
        <w:t>B.1</w:t>
      </w:r>
      <w:r w:rsidRPr="004D0DAA">
        <w:rPr>
          <w:rFonts w:ascii="Calibri" w:hAnsi="Calibri"/>
          <w:sz w:val="22"/>
          <w:szCs w:val="22"/>
          <w:lang w:val="en-US"/>
        </w:rPr>
        <w:tab/>
      </w:r>
      <w:r w:rsidRPr="004D0DAA">
        <w:t>Example 1</w:t>
      </w:r>
      <w:r w:rsidRPr="004D0DAA">
        <w:tab/>
      </w:r>
      <w:r w:rsidRPr="004D0DAA">
        <w:fldChar w:fldCharType="begin" w:fldLock="1"/>
      </w:r>
      <w:r w:rsidRPr="004D0DAA">
        <w:instrText xml:space="preserve"> PAGEREF _Toc516670054 \h </w:instrText>
      </w:r>
      <w:r w:rsidRPr="004D0DAA">
        <w:fldChar w:fldCharType="separate"/>
      </w:r>
      <w:r w:rsidRPr="004D0DAA">
        <w:t>741</w:t>
      </w:r>
      <w:r w:rsidRPr="004D0DAA">
        <w:fldChar w:fldCharType="end"/>
      </w:r>
    </w:p>
    <w:p w14:paraId="12680A0A" w14:textId="77777777" w:rsidR="00683705" w:rsidRPr="004D0DAA" w:rsidRDefault="00683705">
      <w:pPr>
        <w:pStyle w:val="TOC2"/>
        <w:rPr>
          <w:rFonts w:ascii="Calibri" w:hAnsi="Calibri"/>
          <w:sz w:val="22"/>
          <w:szCs w:val="22"/>
          <w:lang w:val="en-US"/>
        </w:rPr>
      </w:pPr>
      <w:r w:rsidRPr="004D0DAA">
        <w:t>B.2</w:t>
      </w:r>
      <w:r w:rsidRPr="004D0DAA">
        <w:rPr>
          <w:rFonts w:ascii="Calibri" w:hAnsi="Calibri"/>
          <w:sz w:val="22"/>
          <w:szCs w:val="22"/>
          <w:lang w:val="en-US"/>
        </w:rPr>
        <w:tab/>
      </w:r>
      <w:r w:rsidRPr="004D0DAA">
        <w:t>Example 2</w:t>
      </w:r>
      <w:r w:rsidRPr="004D0DAA">
        <w:tab/>
      </w:r>
      <w:r w:rsidRPr="004D0DAA">
        <w:fldChar w:fldCharType="begin" w:fldLock="1"/>
      </w:r>
      <w:r w:rsidRPr="004D0DAA">
        <w:instrText xml:space="preserve"> PAGEREF _Toc516670055 \h </w:instrText>
      </w:r>
      <w:r w:rsidRPr="004D0DAA">
        <w:fldChar w:fldCharType="separate"/>
      </w:r>
      <w:r w:rsidRPr="004D0DAA">
        <w:t>741</w:t>
      </w:r>
      <w:r w:rsidRPr="004D0DAA">
        <w:fldChar w:fldCharType="end"/>
      </w:r>
    </w:p>
    <w:p w14:paraId="3C55EB96" w14:textId="77777777" w:rsidR="00683705" w:rsidRPr="004D0DAA" w:rsidRDefault="00683705">
      <w:pPr>
        <w:pStyle w:val="TOC2"/>
        <w:rPr>
          <w:rFonts w:ascii="Calibri" w:hAnsi="Calibri"/>
          <w:sz w:val="22"/>
          <w:szCs w:val="22"/>
          <w:lang w:val="en-US"/>
        </w:rPr>
      </w:pPr>
      <w:r w:rsidRPr="004D0DAA">
        <w:t>B.3</w:t>
      </w:r>
      <w:r w:rsidRPr="004D0DAA">
        <w:rPr>
          <w:rFonts w:ascii="Calibri" w:hAnsi="Calibri"/>
          <w:sz w:val="22"/>
          <w:szCs w:val="22"/>
          <w:lang w:val="en-US"/>
        </w:rPr>
        <w:tab/>
      </w:r>
      <w:r w:rsidRPr="004D0DAA">
        <w:t>Example 3</w:t>
      </w:r>
      <w:r w:rsidRPr="004D0DAA">
        <w:tab/>
      </w:r>
      <w:r w:rsidRPr="004D0DAA">
        <w:fldChar w:fldCharType="begin" w:fldLock="1"/>
      </w:r>
      <w:r w:rsidRPr="004D0DAA">
        <w:instrText xml:space="preserve"> PAGEREF _Toc516670056 \h </w:instrText>
      </w:r>
      <w:r w:rsidRPr="004D0DAA">
        <w:fldChar w:fldCharType="separate"/>
      </w:r>
      <w:r w:rsidRPr="004D0DAA">
        <w:t>742</w:t>
      </w:r>
      <w:r w:rsidRPr="004D0DAA">
        <w:fldChar w:fldCharType="end"/>
      </w:r>
    </w:p>
    <w:p w14:paraId="473BBE0C" w14:textId="77777777" w:rsidR="00683705" w:rsidRPr="004D0DAA" w:rsidRDefault="00683705">
      <w:pPr>
        <w:pStyle w:val="TOC2"/>
        <w:rPr>
          <w:rFonts w:ascii="Calibri" w:hAnsi="Calibri"/>
          <w:sz w:val="22"/>
          <w:szCs w:val="22"/>
          <w:lang w:val="en-US"/>
        </w:rPr>
      </w:pPr>
      <w:r w:rsidRPr="004D0DAA">
        <w:t>B.4</w:t>
      </w:r>
      <w:r w:rsidRPr="004D0DAA">
        <w:rPr>
          <w:rFonts w:ascii="Calibri" w:hAnsi="Calibri"/>
          <w:sz w:val="22"/>
          <w:szCs w:val="22"/>
          <w:lang w:val="en-US"/>
        </w:rPr>
        <w:tab/>
      </w:r>
      <w:r w:rsidRPr="004D0DAA">
        <w:t>Example 4</w:t>
      </w:r>
      <w:r w:rsidRPr="004D0DAA">
        <w:tab/>
      </w:r>
      <w:r w:rsidRPr="004D0DAA">
        <w:fldChar w:fldCharType="begin" w:fldLock="1"/>
      </w:r>
      <w:r w:rsidRPr="004D0DAA">
        <w:instrText xml:space="preserve"> PAGEREF _Toc516670057 \h </w:instrText>
      </w:r>
      <w:r w:rsidRPr="004D0DAA">
        <w:fldChar w:fldCharType="separate"/>
      </w:r>
      <w:r w:rsidRPr="004D0DAA">
        <w:t>744</w:t>
      </w:r>
      <w:r w:rsidRPr="004D0DAA">
        <w:fldChar w:fldCharType="end"/>
      </w:r>
    </w:p>
    <w:p w14:paraId="59F6A30E" w14:textId="77777777" w:rsidR="00683705" w:rsidRPr="004D0DAA" w:rsidRDefault="00683705">
      <w:pPr>
        <w:pStyle w:val="TOC2"/>
        <w:rPr>
          <w:rFonts w:ascii="Calibri" w:hAnsi="Calibri"/>
          <w:sz w:val="22"/>
          <w:szCs w:val="22"/>
          <w:lang w:val="en-US"/>
        </w:rPr>
      </w:pPr>
      <w:r w:rsidRPr="004D0DAA">
        <w:t>B.5</w:t>
      </w:r>
      <w:r w:rsidRPr="004D0DAA">
        <w:rPr>
          <w:rFonts w:ascii="Calibri" w:hAnsi="Calibri"/>
          <w:sz w:val="22"/>
          <w:szCs w:val="22"/>
          <w:lang w:val="en-US"/>
        </w:rPr>
        <w:tab/>
      </w:r>
      <w:r w:rsidRPr="004D0DAA">
        <w:t>Example 5</w:t>
      </w:r>
      <w:r w:rsidRPr="004D0DAA">
        <w:tab/>
      </w:r>
      <w:r w:rsidRPr="004D0DAA">
        <w:fldChar w:fldCharType="begin" w:fldLock="1"/>
      </w:r>
      <w:r w:rsidRPr="004D0DAA">
        <w:instrText xml:space="preserve"> PAGEREF _Toc516670058 \h </w:instrText>
      </w:r>
      <w:r w:rsidRPr="004D0DAA">
        <w:fldChar w:fldCharType="separate"/>
      </w:r>
      <w:r w:rsidRPr="004D0DAA">
        <w:t>745</w:t>
      </w:r>
      <w:r w:rsidRPr="004D0DAA">
        <w:fldChar w:fldCharType="end"/>
      </w:r>
    </w:p>
    <w:p w14:paraId="65DA41FA" w14:textId="77777777" w:rsidR="00683705" w:rsidRPr="004D0DAA" w:rsidRDefault="00683705">
      <w:pPr>
        <w:pStyle w:val="TOC2"/>
        <w:rPr>
          <w:rFonts w:ascii="Calibri" w:hAnsi="Calibri"/>
          <w:sz w:val="22"/>
          <w:szCs w:val="22"/>
          <w:lang w:val="en-US"/>
        </w:rPr>
      </w:pPr>
      <w:r w:rsidRPr="004D0DAA">
        <w:t>B.6</w:t>
      </w:r>
      <w:r w:rsidRPr="004D0DAA">
        <w:rPr>
          <w:rFonts w:ascii="Calibri" w:hAnsi="Calibri"/>
          <w:sz w:val="22"/>
          <w:szCs w:val="22"/>
          <w:lang w:val="en-US"/>
        </w:rPr>
        <w:tab/>
      </w:r>
      <w:r w:rsidRPr="004D0DAA">
        <w:t>Example 6</w:t>
      </w:r>
      <w:r w:rsidRPr="004D0DAA">
        <w:tab/>
      </w:r>
      <w:r w:rsidRPr="004D0DAA">
        <w:fldChar w:fldCharType="begin" w:fldLock="1"/>
      </w:r>
      <w:r w:rsidRPr="004D0DAA">
        <w:instrText xml:space="preserve"> PAGEREF _Toc516670059 \h </w:instrText>
      </w:r>
      <w:r w:rsidRPr="004D0DAA">
        <w:fldChar w:fldCharType="separate"/>
      </w:r>
      <w:r w:rsidRPr="004D0DAA">
        <w:t>745</w:t>
      </w:r>
      <w:r w:rsidRPr="004D0DAA">
        <w:fldChar w:fldCharType="end"/>
      </w:r>
    </w:p>
    <w:p w14:paraId="0121F143" w14:textId="77777777" w:rsidR="00683705" w:rsidRPr="004D0DAA" w:rsidRDefault="00683705">
      <w:pPr>
        <w:pStyle w:val="TOC2"/>
        <w:rPr>
          <w:rFonts w:ascii="Calibri" w:hAnsi="Calibri"/>
          <w:sz w:val="22"/>
          <w:szCs w:val="22"/>
          <w:lang w:val="en-US"/>
        </w:rPr>
      </w:pPr>
      <w:r w:rsidRPr="004D0DAA">
        <w:t>B.7</w:t>
      </w:r>
      <w:r w:rsidRPr="004D0DAA">
        <w:rPr>
          <w:rFonts w:ascii="Calibri" w:hAnsi="Calibri"/>
          <w:sz w:val="22"/>
          <w:szCs w:val="22"/>
          <w:lang w:val="en-US"/>
        </w:rPr>
        <w:tab/>
      </w:r>
      <w:r w:rsidRPr="004D0DAA">
        <w:t>Example 7</w:t>
      </w:r>
      <w:r w:rsidRPr="004D0DAA">
        <w:tab/>
      </w:r>
      <w:r w:rsidRPr="004D0DAA">
        <w:fldChar w:fldCharType="begin" w:fldLock="1"/>
      </w:r>
      <w:r w:rsidRPr="004D0DAA">
        <w:instrText xml:space="preserve"> PAGEREF _Toc516670060 \h </w:instrText>
      </w:r>
      <w:r w:rsidRPr="004D0DAA">
        <w:fldChar w:fldCharType="separate"/>
      </w:r>
      <w:r w:rsidRPr="004D0DAA">
        <w:t>746</w:t>
      </w:r>
      <w:r w:rsidRPr="004D0DAA">
        <w:fldChar w:fldCharType="end"/>
      </w:r>
    </w:p>
    <w:p w14:paraId="0E3137DD" w14:textId="77777777" w:rsidR="00683705" w:rsidRPr="004D0DAA" w:rsidRDefault="00683705">
      <w:pPr>
        <w:pStyle w:val="TOC2"/>
        <w:rPr>
          <w:rFonts w:ascii="Calibri" w:hAnsi="Calibri"/>
          <w:sz w:val="22"/>
          <w:szCs w:val="22"/>
          <w:lang w:val="en-US"/>
        </w:rPr>
      </w:pPr>
      <w:r w:rsidRPr="004D0DAA">
        <w:t>B.8</w:t>
      </w:r>
      <w:r w:rsidRPr="004D0DAA">
        <w:rPr>
          <w:rFonts w:ascii="Calibri" w:hAnsi="Calibri"/>
          <w:sz w:val="22"/>
          <w:szCs w:val="22"/>
          <w:lang w:val="en-US"/>
        </w:rPr>
        <w:tab/>
      </w:r>
      <w:r w:rsidRPr="004D0DAA">
        <w:t>RLC data block delimitation for EGPRS</w:t>
      </w:r>
      <w:r w:rsidRPr="004D0DAA">
        <w:tab/>
      </w:r>
      <w:r w:rsidRPr="004D0DAA">
        <w:fldChar w:fldCharType="begin" w:fldLock="1"/>
      </w:r>
      <w:r w:rsidRPr="004D0DAA">
        <w:instrText xml:space="preserve"> PAGEREF _Toc516670061 \h </w:instrText>
      </w:r>
      <w:r w:rsidRPr="004D0DAA">
        <w:fldChar w:fldCharType="separate"/>
      </w:r>
      <w:r w:rsidRPr="004D0DAA">
        <w:t>747</w:t>
      </w:r>
      <w:r w:rsidRPr="004D0DAA">
        <w:fldChar w:fldCharType="end"/>
      </w:r>
    </w:p>
    <w:p w14:paraId="1138C652" w14:textId="77777777" w:rsidR="00683705" w:rsidRPr="004D0DAA" w:rsidRDefault="00683705">
      <w:pPr>
        <w:pStyle w:val="TOC3"/>
        <w:rPr>
          <w:rFonts w:ascii="Calibri" w:hAnsi="Calibri"/>
          <w:sz w:val="22"/>
          <w:szCs w:val="22"/>
          <w:lang w:val="en-US"/>
        </w:rPr>
      </w:pPr>
      <w:r w:rsidRPr="004D0DAA">
        <w:t>B.8.1</w:t>
      </w:r>
      <w:r w:rsidRPr="004D0DAA">
        <w:rPr>
          <w:rFonts w:ascii="Calibri" w:hAnsi="Calibri"/>
          <w:sz w:val="22"/>
          <w:szCs w:val="22"/>
          <w:lang w:val="en-US"/>
        </w:rPr>
        <w:tab/>
      </w:r>
      <w:r w:rsidRPr="004D0DAA">
        <w:t>Example 1</w:t>
      </w:r>
      <w:r w:rsidRPr="004D0DAA">
        <w:tab/>
      </w:r>
      <w:r w:rsidRPr="004D0DAA">
        <w:fldChar w:fldCharType="begin" w:fldLock="1"/>
      </w:r>
      <w:r w:rsidRPr="004D0DAA">
        <w:instrText xml:space="preserve"> PAGEREF _Toc516670062 \h </w:instrText>
      </w:r>
      <w:r w:rsidRPr="004D0DAA">
        <w:fldChar w:fldCharType="separate"/>
      </w:r>
      <w:r w:rsidRPr="004D0DAA">
        <w:t>747</w:t>
      </w:r>
      <w:r w:rsidRPr="004D0DAA">
        <w:fldChar w:fldCharType="end"/>
      </w:r>
    </w:p>
    <w:p w14:paraId="4A1CFD23" w14:textId="77777777" w:rsidR="00683705" w:rsidRPr="004D0DAA" w:rsidRDefault="00683705">
      <w:pPr>
        <w:pStyle w:val="TOC3"/>
        <w:rPr>
          <w:rFonts w:ascii="Calibri" w:hAnsi="Calibri"/>
          <w:sz w:val="22"/>
          <w:szCs w:val="22"/>
          <w:lang w:val="en-US"/>
        </w:rPr>
      </w:pPr>
      <w:r w:rsidRPr="004D0DAA">
        <w:t>B.8.2</w:t>
      </w:r>
      <w:r w:rsidRPr="004D0DAA">
        <w:rPr>
          <w:rFonts w:ascii="Calibri" w:hAnsi="Calibri"/>
          <w:sz w:val="22"/>
          <w:szCs w:val="22"/>
          <w:lang w:val="en-US"/>
        </w:rPr>
        <w:tab/>
      </w:r>
      <w:r w:rsidRPr="004D0DAA">
        <w:t>Example 2</w:t>
      </w:r>
      <w:r w:rsidRPr="004D0DAA">
        <w:tab/>
      </w:r>
      <w:r w:rsidRPr="004D0DAA">
        <w:fldChar w:fldCharType="begin" w:fldLock="1"/>
      </w:r>
      <w:r w:rsidRPr="004D0DAA">
        <w:instrText xml:space="preserve"> PAGEREF _Toc516670063 \h </w:instrText>
      </w:r>
      <w:r w:rsidRPr="004D0DAA">
        <w:fldChar w:fldCharType="separate"/>
      </w:r>
      <w:r w:rsidRPr="004D0DAA">
        <w:t>748</w:t>
      </w:r>
      <w:r w:rsidRPr="004D0DAA">
        <w:fldChar w:fldCharType="end"/>
      </w:r>
    </w:p>
    <w:p w14:paraId="5527F288" w14:textId="77777777" w:rsidR="00683705" w:rsidRPr="004D0DAA" w:rsidRDefault="00683705">
      <w:pPr>
        <w:pStyle w:val="TOC3"/>
        <w:rPr>
          <w:rFonts w:ascii="Calibri" w:hAnsi="Calibri"/>
          <w:sz w:val="22"/>
          <w:szCs w:val="22"/>
          <w:lang w:val="en-US"/>
        </w:rPr>
      </w:pPr>
      <w:r w:rsidRPr="004D0DAA">
        <w:t>B.8.3</w:t>
      </w:r>
      <w:r w:rsidRPr="004D0DAA">
        <w:rPr>
          <w:rFonts w:ascii="Calibri" w:hAnsi="Calibri"/>
          <w:sz w:val="22"/>
          <w:szCs w:val="22"/>
          <w:lang w:val="en-US"/>
        </w:rPr>
        <w:tab/>
      </w:r>
      <w:r w:rsidRPr="004D0DAA">
        <w:t>Example 3</w:t>
      </w:r>
      <w:r w:rsidRPr="004D0DAA">
        <w:tab/>
      </w:r>
      <w:r w:rsidRPr="004D0DAA">
        <w:fldChar w:fldCharType="begin" w:fldLock="1"/>
      </w:r>
      <w:r w:rsidRPr="004D0DAA">
        <w:instrText xml:space="preserve"> PAGEREF _Toc516670064 \h </w:instrText>
      </w:r>
      <w:r w:rsidRPr="004D0DAA">
        <w:fldChar w:fldCharType="separate"/>
      </w:r>
      <w:r w:rsidRPr="004D0DAA">
        <w:t>750</w:t>
      </w:r>
      <w:r w:rsidRPr="004D0DAA">
        <w:fldChar w:fldCharType="end"/>
      </w:r>
    </w:p>
    <w:p w14:paraId="78902039" w14:textId="77777777" w:rsidR="00683705" w:rsidRPr="004D0DAA" w:rsidRDefault="00683705">
      <w:pPr>
        <w:pStyle w:val="TOC3"/>
        <w:rPr>
          <w:rFonts w:ascii="Calibri" w:hAnsi="Calibri"/>
          <w:sz w:val="22"/>
          <w:szCs w:val="22"/>
          <w:lang w:val="en-US"/>
        </w:rPr>
      </w:pPr>
      <w:r w:rsidRPr="004D0DAA">
        <w:t>B.8.4</w:t>
      </w:r>
      <w:r w:rsidRPr="004D0DAA">
        <w:rPr>
          <w:rFonts w:ascii="Calibri" w:hAnsi="Calibri"/>
          <w:sz w:val="22"/>
          <w:szCs w:val="22"/>
          <w:lang w:val="en-US"/>
        </w:rPr>
        <w:tab/>
      </w:r>
      <w:r w:rsidRPr="004D0DAA">
        <w:rPr>
          <w:rFonts w:cs="Arial"/>
        </w:rPr>
        <w:t>Example 4</w:t>
      </w:r>
      <w:r w:rsidRPr="004D0DAA">
        <w:tab/>
      </w:r>
      <w:r w:rsidRPr="004D0DAA">
        <w:fldChar w:fldCharType="begin" w:fldLock="1"/>
      </w:r>
      <w:r w:rsidRPr="004D0DAA">
        <w:instrText xml:space="preserve"> PAGEREF _Toc516670065 \h </w:instrText>
      </w:r>
      <w:r w:rsidRPr="004D0DAA">
        <w:fldChar w:fldCharType="separate"/>
      </w:r>
      <w:r w:rsidRPr="004D0DAA">
        <w:t>751</w:t>
      </w:r>
      <w:r w:rsidRPr="004D0DAA">
        <w:fldChar w:fldCharType="end"/>
      </w:r>
    </w:p>
    <w:p w14:paraId="4C311C39" w14:textId="77777777" w:rsidR="00683705" w:rsidRPr="004D0DAA" w:rsidRDefault="00683705" w:rsidP="00683705">
      <w:pPr>
        <w:pStyle w:val="TOC8"/>
        <w:rPr>
          <w:rFonts w:ascii="Calibri" w:hAnsi="Calibri"/>
          <w:b w:val="0"/>
          <w:szCs w:val="22"/>
          <w:lang w:val="en-US"/>
        </w:rPr>
      </w:pPr>
      <w:r w:rsidRPr="004D0DAA">
        <w:t>Annex C (informative):</w:t>
      </w:r>
      <w:r w:rsidRPr="004D0DAA">
        <w:tab/>
        <w:t>Message Sequence Diagrams</w:t>
      </w:r>
      <w:r w:rsidRPr="004D0DAA">
        <w:tab/>
      </w:r>
      <w:r w:rsidRPr="004D0DAA">
        <w:fldChar w:fldCharType="begin" w:fldLock="1"/>
      </w:r>
      <w:r w:rsidRPr="004D0DAA">
        <w:instrText xml:space="preserve"> PAGEREF _Toc516670066 \h </w:instrText>
      </w:r>
      <w:r w:rsidRPr="004D0DAA">
        <w:fldChar w:fldCharType="separate"/>
      </w:r>
      <w:r w:rsidRPr="004D0DAA">
        <w:t>753</w:t>
      </w:r>
      <w:r w:rsidRPr="004D0DAA">
        <w:fldChar w:fldCharType="end"/>
      </w:r>
    </w:p>
    <w:p w14:paraId="131497BE" w14:textId="77777777" w:rsidR="00683705" w:rsidRPr="004D0DAA" w:rsidRDefault="00683705" w:rsidP="00683705">
      <w:pPr>
        <w:pStyle w:val="TOC8"/>
        <w:tabs>
          <w:tab w:val="right" w:leader="dot" w:pos="9639"/>
        </w:tabs>
        <w:rPr>
          <w:rFonts w:ascii="Calibri" w:hAnsi="Calibri"/>
          <w:b w:val="0"/>
          <w:szCs w:val="22"/>
          <w:lang w:val="en-US"/>
        </w:rPr>
      </w:pPr>
      <w:r w:rsidRPr="004D0DAA">
        <w:t>Annex D (informative):</w:t>
      </w:r>
      <w:r w:rsidRPr="004D0DAA">
        <w:tab/>
        <w:t>(void)</w:t>
      </w:r>
      <w:r w:rsidRPr="004D0DAA">
        <w:tab/>
      </w:r>
      <w:r w:rsidRPr="004D0DAA">
        <w:fldChar w:fldCharType="begin" w:fldLock="1"/>
      </w:r>
      <w:r w:rsidRPr="004D0DAA">
        <w:instrText xml:space="preserve"> PAGEREF _Toc516670067 \h </w:instrText>
      </w:r>
      <w:r w:rsidRPr="004D0DAA">
        <w:fldChar w:fldCharType="separate"/>
      </w:r>
      <w:r w:rsidRPr="004D0DAA">
        <w:t>754</w:t>
      </w:r>
      <w:r w:rsidRPr="004D0DAA">
        <w:fldChar w:fldCharType="end"/>
      </w:r>
    </w:p>
    <w:p w14:paraId="180E101E" w14:textId="77777777" w:rsidR="00683705" w:rsidRPr="004D0DAA" w:rsidRDefault="00683705" w:rsidP="00683705">
      <w:pPr>
        <w:pStyle w:val="TOC8"/>
        <w:tabs>
          <w:tab w:val="right" w:leader="dot" w:pos="9639"/>
        </w:tabs>
        <w:rPr>
          <w:rFonts w:ascii="Calibri" w:hAnsi="Calibri"/>
          <w:b w:val="0"/>
          <w:szCs w:val="22"/>
          <w:lang w:val="en-US"/>
        </w:rPr>
      </w:pPr>
      <w:r w:rsidRPr="004D0DAA">
        <w:t>Annex E (informative):</w:t>
      </w:r>
      <w:r w:rsidRPr="004D0DAA">
        <w:tab/>
        <w:t>(void)</w:t>
      </w:r>
      <w:r w:rsidRPr="004D0DAA">
        <w:tab/>
      </w:r>
      <w:r w:rsidRPr="004D0DAA">
        <w:fldChar w:fldCharType="begin" w:fldLock="1"/>
      </w:r>
      <w:r w:rsidRPr="004D0DAA">
        <w:instrText xml:space="preserve"> PAGEREF _Toc516670068 \h </w:instrText>
      </w:r>
      <w:r w:rsidRPr="004D0DAA">
        <w:fldChar w:fldCharType="separate"/>
      </w:r>
      <w:r w:rsidRPr="004D0DAA">
        <w:t>755</w:t>
      </w:r>
      <w:r w:rsidRPr="004D0DAA">
        <w:fldChar w:fldCharType="end"/>
      </w:r>
    </w:p>
    <w:p w14:paraId="6E8D1C4C" w14:textId="77777777" w:rsidR="00683705" w:rsidRPr="004D0DAA" w:rsidRDefault="00683705" w:rsidP="00683705">
      <w:pPr>
        <w:pStyle w:val="TOC8"/>
        <w:tabs>
          <w:tab w:val="right" w:leader="dot" w:pos="9639"/>
        </w:tabs>
        <w:rPr>
          <w:rFonts w:ascii="Calibri" w:hAnsi="Calibri"/>
          <w:b w:val="0"/>
          <w:szCs w:val="22"/>
          <w:lang w:val="en-US"/>
        </w:rPr>
      </w:pPr>
      <w:r w:rsidRPr="004D0DAA">
        <w:t>Annex F (informative):</w:t>
      </w:r>
      <w:r w:rsidRPr="004D0DAA">
        <w:tab/>
        <w:t>Examples of Countdown procedure operation</w:t>
      </w:r>
      <w:r w:rsidRPr="004D0DAA">
        <w:tab/>
      </w:r>
      <w:r w:rsidRPr="004D0DAA">
        <w:fldChar w:fldCharType="begin" w:fldLock="1"/>
      </w:r>
      <w:r w:rsidRPr="004D0DAA">
        <w:instrText xml:space="preserve"> PAGEREF _Toc516670069 \h </w:instrText>
      </w:r>
      <w:r w:rsidRPr="004D0DAA">
        <w:fldChar w:fldCharType="separate"/>
      </w:r>
      <w:r w:rsidRPr="004D0DAA">
        <w:t>756</w:t>
      </w:r>
      <w:r w:rsidRPr="004D0DAA">
        <w:fldChar w:fldCharType="end"/>
      </w:r>
    </w:p>
    <w:p w14:paraId="368381CD" w14:textId="77777777" w:rsidR="00683705" w:rsidRPr="004D0DAA" w:rsidRDefault="00683705">
      <w:pPr>
        <w:pStyle w:val="TOC2"/>
        <w:rPr>
          <w:rFonts w:ascii="Calibri" w:hAnsi="Calibri"/>
          <w:sz w:val="22"/>
          <w:szCs w:val="22"/>
          <w:lang w:val="en-US"/>
        </w:rPr>
      </w:pPr>
      <w:r w:rsidRPr="004D0DAA">
        <w:t>F.1</w:t>
      </w:r>
      <w:r w:rsidRPr="004D0DAA">
        <w:rPr>
          <w:rFonts w:ascii="Calibri" w:hAnsi="Calibri"/>
          <w:sz w:val="22"/>
          <w:szCs w:val="22"/>
          <w:lang w:val="en-US"/>
        </w:rPr>
        <w:tab/>
      </w:r>
      <w:r w:rsidRPr="004D0DAA">
        <w:t>Example 1</w:t>
      </w:r>
      <w:r w:rsidRPr="004D0DAA">
        <w:tab/>
      </w:r>
      <w:r w:rsidRPr="004D0DAA">
        <w:fldChar w:fldCharType="begin" w:fldLock="1"/>
      </w:r>
      <w:r w:rsidRPr="004D0DAA">
        <w:instrText xml:space="preserve"> PAGEREF _Toc516670070 \h </w:instrText>
      </w:r>
      <w:r w:rsidRPr="004D0DAA">
        <w:fldChar w:fldCharType="separate"/>
      </w:r>
      <w:r w:rsidRPr="004D0DAA">
        <w:t>757</w:t>
      </w:r>
      <w:r w:rsidRPr="004D0DAA">
        <w:fldChar w:fldCharType="end"/>
      </w:r>
    </w:p>
    <w:p w14:paraId="6E17686A" w14:textId="77777777" w:rsidR="00683705" w:rsidRPr="004D0DAA" w:rsidRDefault="00683705">
      <w:pPr>
        <w:pStyle w:val="TOC2"/>
        <w:rPr>
          <w:rFonts w:ascii="Calibri" w:hAnsi="Calibri"/>
          <w:sz w:val="22"/>
          <w:szCs w:val="22"/>
          <w:lang w:val="en-US"/>
        </w:rPr>
      </w:pPr>
      <w:r w:rsidRPr="004D0DAA">
        <w:t>F.2</w:t>
      </w:r>
      <w:r w:rsidRPr="004D0DAA">
        <w:rPr>
          <w:rFonts w:ascii="Calibri" w:hAnsi="Calibri"/>
          <w:sz w:val="22"/>
          <w:szCs w:val="22"/>
          <w:lang w:val="en-US"/>
        </w:rPr>
        <w:tab/>
      </w:r>
      <w:r w:rsidRPr="004D0DAA">
        <w:t>Example 2</w:t>
      </w:r>
      <w:r w:rsidRPr="004D0DAA">
        <w:tab/>
      </w:r>
      <w:r w:rsidRPr="004D0DAA">
        <w:fldChar w:fldCharType="begin" w:fldLock="1"/>
      </w:r>
      <w:r w:rsidRPr="004D0DAA">
        <w:instrText xml:space="preserve"> PAGEREF _Toc516670071 \h </w:instrText>
      </w:r>
      <w:r w:rsidRPr="004D0DAA">
        <w:fldChar w:fldCharType="separate"/>
      </w:r>
      <w:r w:rsidRPr="004D0DAA">
        <w:t>758</w:t>
      </w:r>
      <w:r w:rsidRPr="004D0DAA">
        <w:fldChar w:fldCharType="end"/>
      </w:r>
    </w:p>
    <w:p w14:paraId="130DADA3" w14:textId="77777777" w:rsidR="00683705" w:rsidRPr="004D0DAA" w:rsidRDefault="00683705">
      <w:pPr>
        <w:pStyle w:val="TOC2"/>
        <w:rPr>
          <w:rFonts w:ascii="Calibri" w:hAnsi="Calibri"/>
          <w:sz w:val="22"/>
          <w:szCs w:val="22"/>
          <w:lang w:val="en-US"/>
        </w:rPr>
      </w:pPr>
      <w:r w:rsidRPr="004D0DAA">
        <w:t>F.3</w:t>
      </w:r>
      <w:r w:rsidRPr="004D0DAA">
        <w:rPr>
          <w:rFonts w:ascii="Calibri" w:hAnsi="Calibri"/>
          <w:sz w:val="22"/>
          <w:szCs w:val="22"/>
          <w:lang w:val="en-US"/>
        </w:rPr>
        <w:tab/>
      </w:r>
      <w:r w:rsidRPr="004D0DAA">
        <w:t>Example 3</w:t>
      </w:r>
      <w:r w:rsidRPr="004D0DAA">
        <w:tab/>
      </w:r>
      <w:r w:rsidRPr="004D0DAA">
        <w:fldChar w:fldCharType="begin" w:fldLock="1"/>
      </w:r>
      <w:r w:rsidRPr="004D0DAA">
        <w:instrText xml:space="preserve"> PAGEREF _Toc516670072 \h </w:instrText>
      </w:r>
      <w:r w:rsidRPr="004D0DAA">
        <w:fldChar w:fldCharType="separate"/>
      </w:r>
      <w:r w:rsidRPr="004D0DAA">
        <w:t>759</w:t>
      </w:r>
      <w:r w:rsidRPr="004D0DAA">
        <w:fldChar w:fldCharType="end"/>
      </w:r>
    </w:p>
    <w:p w14:paraId="0ECAF4E6" w14:textId="77777777" w:rsidR="00683705" w:rsidRPr="004D0DAA" w:rsidRDefault="00683705" w:rsidP="00683705">
      <w:pPr>
        <w:pStyle w:val="TOC8"/>
        <w:rPr>
          <w:rFonts w:ascii="Calibri" w:hAnsi="Calibri"/>
          <w:b w:val="0"/>
          <w:szCs w:val="22"/>
          <w:lang w:val="en-US"/>
        </w:rPr>
      </w:pPr>
      <w:r w:rsidRPr="004D0DAA">
        <w:t>Annex G (informative):</w:t>
      </w:r>
      <w:r w:rsidRPr="004D0DAA">
        <w:tab/>
        <w:t>Handling of erroneous protocol data, examples</w:t>
      </w:r>
      <w:r w:rsidRPr="004D0DAA">
        <w:tab/>
      </w:r>
      <w:r w:rsidRPr="004D0DAA">
        <w:fldChar w:fldCharType="begin" w:fldLock="1"/>
      </w:r>
      <w:r w:rsidRPr="004D0DAA">
        <w:instrText xml:space="preserve"> PAGEREF _Toc516670073 \h </w:instrText>
      </w:r>
      <w:r w:rsidRPr="004D0DAA">
        <w:fldChar w:fldCharType="separate"/>
      </w:r>
      <w:r w:rsidRPr="004D0DAA">
        <w:t>760</w:t>
      </w:r>
      <w:r w:rsidRPr="004D0DAA">
        <w:fldChar w:fldCharType="end"/>
      </w:r>
    </w:p>
    <w:p w14:paraId="1B21D541" w14:textId="77777777" w:rsidR="00683705" w:rsidRPr="004D0DAA" w:rsidRDefault="00683705">
      <w:pPr>
        <w:pStyle w:val="TOC2"/>
        <w:rPr>
          <w:rFonts w:ascii="Calibri" w:hAnsi="Calibri"/>
          <w:sz w:val="22"/>
          <w:szCs w:val="22"/>
          <w:lang w:val="en-US"/>
        </w:rPr>
      </w:pPr>
      <w:r w:rsidRPr="004D0DAA">
        <w:t>G.1</w:t>
      </w:r>
      <w:r w:rsidRPr="004D0DAA">
        <w:rPr>
          <w:rFonts w:ascii="Calibri" w:hAnsi="Calibri"/>
          <w:sz w:val="22"/>
          <w:szCs w:val="22"/>
          <w:lang w:val="en-US"/>
        </w:rPr>
        <w:tab/>
      </w:r>
      <w:r w:rsidRPr="004D0DAA">
        <w:t>Application of error labels</w:t>
      </w:r>
      <w:r w:rsidRPr="004D0DAA">
        <w:tab/>
      </w:r>
      <w:r w:rsidRPr="004D0DAA">
        <w:fldChar w:fldCharType="begin" w:fldLock="1"/>
      </w:r>
      <w:r w:rsidRPr="004D0DAA">
        <w:instrText xml:space="preserve"> PAGEREF _Toc516670074 \h </w:instrText>
      </w:r>
      <w:r w:rsidRPr="004D0DAA">
        <w:fldChar w:fldCharType="separate"/>
      </w:r>
      <w:r w:rsidRPr="004D0DAA">
        <w:t>760</w:t>
      </w:r>
      <w:r w:rsidRPr="004D0DAA">
        <w:fldChar w:fldCharType="end"/>
      </w:r>
    </w:p>
    <w:p w14:paraId="7BFECCD7" w14:textId="77777777" w:rsidR="00683705" w:rsidRPr="004D0DAA" w:rsidRDefault="00683705">
      <w:pPr>
        <w:pStyle w:val="TOC2"/>
        <w:rPr>
          <w:rFonts w:ascii="Calibri" w:hAnsi="Calibri"/>
          <w:sz w:val="22"/>
          <w:szCs w:val="22"/>
          <w:lang w:val="en-US"/>
        </w:rPr>
      </w:pPr>
      <w:r w:rsidRPr="004D0DAA">
        <w:t>G.2</w:t>
      </w:r>
      <w:r w:rsidRPr="004D0DAA">
        <w:rPr>
          <w:rFonts w:ascii="Calibri" w:hAnsi="Calibri"/>
          <w:sz w:val="22"/>
          <w:szCs w:val="22"/>
          <w:lang w:val="en-US"/>
        </w:rPr>
        <w:tab/>
      </w:r>
      <w:r w:rsidRPr="004D0DAA">
        <w:t>Application of the 'Message escape' error label</w:t>
      </w:r>
      <w:r w:rsidRPr="004D0DAA">
        <w:tab/>
      </w:r>
      <w:r w:rsidRPr="004D0DAA">
        <w:fldChar w:fldCharType="begin" w:fldLock="1"/>
      </w:r>
      <w:r w:rsidRPr="004D0DAA">
        <w:instrText xml:space="preserve"> PAGEREF _Toc516670075 \h </w:instrText>
      </w:r>
      <w:r w:rsidRPr="004D0DAA">
        <w:fldChar w:fldCharType="separate"/>
      </w:r>
      <w:r w:rsidRPr="004D0DAA">
        <w:t>761</w:t>
      </w:r>
      <w:r w:rsidRPr="004D0DAA">
        <w:fldChar w:fldCharType="end"/>
      </w:r>
    </w:p>
    <w:p w14:paraId="79055714" w14:textId="77777777" w:rsidR="00683705" w:rsidRPr="004D0DAA" w:rsidRDefault="00683705">
      <w:pPr>
        <w:pStyle w:val="TOC2"/>
        <w:rPr>
          <w:rFonts w:ascii="Calibri" w:hAnsi="Calibri"/>
          <w:sz w:val="22"/>
          <w:szCs w:val="22"/>
          <w:lang w:val="en-US"/>
        </w:rPr>
      </w:pPr>
      <w:r w:rsidRPr="004D0DAA">
        <w:t>G.3</w:t>
      </w:r>
      <w:r w:rsidRPr="004D0DAA">
        <w:rPr>
          <w:rFonts w:ascii="Calibri" w:hAnsi="Calibri"/>
          <w:sz w:val="22"/>
          <w:szCs w:val="22"/>
          <w:lang w:val="en-US"/>
        </w:rPr>
        <w:tab/>
      </w:r>
      <w:r w:rsidRPr="004D0DAA">
        <w:t>Application of truncated concatenation including 'padding bits'</w:t>
      </w:r>
      <w:r w:rsidRPr="004D0DAA">
        <w:tab/>
      </w:r>
      <w:r w:rsidRPr="004D0DAA">
        <w:fldChar w:fldCharType="begin" w:fldLock="1"/>
      </w:r>
      <w:r w:rsidRPr="004D0DAA">
        <w:instrText xml:space="preserve"> PAGEREF _Toc516670076 \h </w:instrText>
      </w:r>
      <w:r w:rsidRPr="004D0DAA">
        <w:fldChar w:fldCharType="separate"/>
      </w:r>
      <w:r w:rsidRPr="004D0DAA">
        <w:t>762</w:t>
      </w:r>
      <w:r w:rsidRPr="004D0DAA">
        <w:fldChar w:fldCharType="end"/>
      </w:r>
    </w:p>
    <w:p w14:paraId="5CEA8796" w14:textId="77777777" w:rsidR="00683705" w:rsidRPr="004D0DAA" w:rsidRDefault="00683705">
      <w:pPr>
        <w:pStyle w:val="TOC2"/>
        <w:rPr>
          <w:rFonts w:ascii="Calibri" w:hAnsi="Calibri"/>
          <w:sz w:val="22"/>
          <w:szCs w:val="22"/>
          <w:lang w:val="en-US"/>
        </w:rPr>
      </w:pPr>
      <w:r w:rsidRPr="004D0DAA">
        <w:t>G.4</w:t>
      </w:r>
      <w:r w:rsidRPr="004D0DAA">
        <w:rPr>
          <w:rFonts w:ascii="Calibri" w:hAnsi="Calibri"/>
          <w:sz w:val="22"/>
          <w:szCs w:val="22"/>
          <w:lang w:val="en-US"/>
        </w:rPr>
        <w:tab/>
      </w:r>
      <w:r w:rsidRPr="004D0DAA">
        <w:t>Message extension using 'padding bits'</w:t>
      </w:r>
      <w:r w:rsidRPr="004D0DAA">
        <w:tab/>
      </w:r>
      <w:r w:rsidRPr="004D0DAA">
        <w:fldChar w:fldCharType="begin" w:fldLock="1"/>
      </w:r>
      <w:r w:rsidRPr="004D0DAA">
        <w:instrText xml:space="preserve"> PAGEREF _Toc516670077 \h </w:instrText>
      </w:r>
      <w:r w:rsidRPr="004D0DAA">
        <w:fldChar w:fldCharType="separate"/>
      </w:r>
      <w:r w:rsidRPr="004D0DAA">
        <w:t>763</w:t>
      </w:r>
      <w:r w:rsidRPr="004D0DAA">
        <w:fldChar w:fldCharType="end"/>
      </w:r>
    </w:p>
    <w:p w14:paraId="2C605FEF" w14:textId="77777777" w:rsidR="00683705" w:rsidRPr="004D0DAA" w:rsidRDefault="00683705">
      <w:pPr>
        <w:pStyle w:val="TOC2"/>
        <w:rPr>
          <w:rFonts w:ascii="Calibri" w:hAnsi="Calibri"/>
          <w:sz w:val="22"/>
          <w:szCs w:val="22"/>
          <w:lang w:val="en-US"/>
        </w:rPr>
      </w:pPr>
      <w:r w:rsidRPr="004D0DAA">
        <w:t>G.5</w:t>
      </w:r>
      <w:r w:rsidRPr="004D0DAA">
        <w:rPr>
          <w:rFonts w:ascii="Calibri" w:hAnsi="Calibri"/>
          <w:sz w:val="22"/>
          <w:szCs w:val="22"/>
          <w:lang w:val="en-US"/>
        </w:rPr>
        <w:tab/>
      </w:r>
      <w:r w:rsidRPr="004D0DAA">
        <w:t>Message extension using the Extension Bits IE</w:t>
      </w:r>
      <w:r w:rsidRPr="004D0DAA">
        <w:tab/>
      </w:r>
      <w:r w:rsidRPr="004D0DAA">
        <w:fldChar w:fldCharType="begin" w:fldLock="1"/>
      </w:r>
      <w:r w:rsidRPr="004D0DAA">
        <w:instrText xml:space="preserve"> PAGEREF _Toc516670078 \h </w:instrText>
      </w:r>
      <w:r w:rsidRPr="004D0DAA">
        <w:fldChar w:fldCharType="separate"/>
      </w:r>
      <w:r w:rsidRPr="004D0DAA">
        <w:t>764</w:t>
      </w:r>
      <w:r w:rsidRPr="004D0DAA">
        <w:fldChar w:fldCharType="end"/>
      </w:r>
    </w:p>
    <w:p w14:paraId="084D1085" w14:textId="77777777" w:rsidR="00683705" w:rsidRPr="004D0DAA" w:rsidRDefault="00683705" w:rsidP="00683705">
      <w:pPr>
        <w:pStyle w:val="TOC8"/>
        <w:tabs>
          <w:tab w:val="right" w:leader="dot" w:pos="9639"/>
        </w:tabs>
        <w:rPr>
          <w:rFonts w:ascii="Calibri" w:hAnsi="Calibri"/>
          <w:b w:val="0"/>
          <w:szCs w:val="22"/>
          <w:lang w:val="en-US"/>
        </w:rPr>
      </w:pPr>
      <w:r w:rsidRPr="004D0DAA">
        <w:t>Annex H (informative):</w:t>
      </w:r>
      <w:r w:rsidRPr="004D0DAA">
        <w:tab/>
        <w:t>(void)</w:t>
      </w:r>
      <w:r w:rsidRPr="004D0DAA">
        <w:tab/>
      </w:r>
      <w:r w:rsidRPr="004D0DAA">
        <w:fldChar w:fldCharType="begin" w:fldLock="1"/>
      </w:r>
      <w:r w:rsidRPr="004D0DAA">
        <w:instrText xml:space="preserve"> PAGEREF _Toc516670079 \h </w:instrText>
      </w:r>
      <w:r w:rsidRPr="004D0DAA">
        <w:fldChar w:fldCharType="separate"/>
      </w:r>
      <w:r w:rsidRPr="004D0DAA">
        <w:t>765</w:t>
      </w:r>
      <w:r w:rsidRPr="004D0DAA">
        <w:fldChar w:fldCharType="end"/>
      </w:r>
    </w:p>
    <w:p w14:paraId="0F7F76BE" w14:textId="77777777" w:rsidR="00683705" w:rsidRPr="004D0DAA" w:rsidRDefault="00683705" w:rsidP="00683705">
      <w:pPr>
        <w:pStyle w:val="TOC8"/>
        <w:tabs>
          <w:tab w:val="right" w:leader="dot" w:pos="9639"/>
        </w:tabs>
        <w:rPr>
          <w:rFonts w:ascii="Calibri" w:hAnsi="Calibri"/>
          <w:b w:val="0"/>
          <w:szCs w:val="22"/>
          <w:lang w:val="en-US"/>
        </w:rPr>
      </w:pPr>
      <w:r w:rsidRPr="004D0DAA">
        <w:t>Annex I (informative):</w:t>
      </w:r>
      <w:r w:rsidRPr="004D0DAA">
        <w:tab/>
        <w:t>EGPRS RLC Window Sizes</w:t>
      </w:r>
      <w:r w:rsidRPr="004D0DAA">
        <w:tab/>
      </w:r>
      <w:r w:rsidRPr="004D0DAA">
        <w:fldChar w:fldCharType="begin" w:fldLock="1"/>
      </w:r>
      <w:r w:rsidRPr="004D0DAA">
        <w:instrText xml:space="preserve"> PAGEREF _Toc516670080 \h </w:instrText>
      </w:r>
      <w:r w:rsidRPr="004D0DAA">
        <w:fldChar w:fldCharType="separate"/>
      </w:r>
      <w:r w:rsidRPr="004D0DAA">
        <w:t>766</w:t>
      </w:r>
      <w:r w:rsidRPr="004D0DAA">
        <w:fldChar w:fldCharType="end"/>
      </w:r>
    </w:p>
    <w:p w14:paraId="27FB01E2" w14:textId="77777777" w:rsidR="00683705" w:rsidRPr="004D0DAA" w:rsidRDefault="00683705" w:rsidP="00683705">
      <w:pPr>
        <w:pStyle w:val="TOC8"/>
        <w:tabs>
          <w:tab w:val="right" w:leader="dot" w:pos="9639"/>
        </w:tabs>
        <w:rPr>
          <w:rFonts w:ascii="Calibri" w:hAnsi="Calibri"/>
          <w:b w:val="0"/>
          <w:szCs w:val="22"/>
          <w:lang w:val="en-US"/>
        </w:rPr>
      </w:pPr>
      <w:r w:rsidRPr="004D0DAA">
        <w:t>Annex J (informative):</w:t>
      </w:r>
      <w:r w:rsidRPr="004D0DAA">
        <w:tab/>
        <w:t>An example of MCS-8 retransmission</w:t>
      </w:r>
      <w:r w:rsidRPr="004D0DAA">
        <w:tab/>
      </w:r>
      <w:r w:rsidRPr="004D0DAA">
        <w:fldChar w:fldCharType="begin" w:fldLock="1"/>
      </w:r>
      <w:r w:rsidRPr="004D0DAA">
        <w:instrText xml:space="preserve"> PAGEREF _Toc516670081 \h </w:instrText>
      </w:r>
      <w:r w:rsidRPr="004D0DAA">
        <w:fldChar w:fldCharType="separate"/>
      </w:r>
      <w:r w:rsidRPr="004D0DAA">
        <w:t>768</w:t>
      </w:r>
      <w:r w:rsidRPr="004D0DAA">
        <w:fldChar w:fldCharType="end"/>
      </w:r>
    </w:p>
    <w:p w14:paraId="6384110B" w14:textId="77777777" w:rsidR="00683705" w:rsidRPr="004D0DAA" w:rsidRDefault="00683705">
      <w:pPr>
        <w:pStyle w:val="TOC2"/>
        <w:rPr>
          <w:rFonts w:ascii="Calibri" w:hAnsi="Calibri"/>
          <w:sz w:val="22"/>
          <w:szCs w:val="22"/>
          <w:lang w:val="en-US"/>
        </w:rPr>
      </w:pPr>
      <w:r w:rsidRPr="004D0DAA">
        <w:t>J.1</w:t>
      </w:r>
      <w:r w:rsidRPr="004D0DAA">
        <w:rPr>
          <w:rFonts w:ascii="Calibri" w:hAnsi="Calibri"/>
          <w:sz w:val="22"/>
          <w:szCs w:val="22"/>
          <w:lang w:val="en-US"/>
        </w:rPr>
        <w:tab/>
      </w:r>
      <w:r w:rsidRPr="004D0DAA">
        <w:t>Original MCS-8 RLC data block</w:t>
      </w:r>
      <w:r w:rsidRPr="004D0DAA">
        <w:tab/>
      </w:r>
      <w:r w:rsidRPr="004D0DAA">
        <w:fldChar w:fldCharType="begin" w:fldLock="1"/>
      </w:r>
      <w:r w:rsidRPr="004D0DAA">
        <w:instrText xml:space="preserve"> PAGEREF _Toc516670082 \h </w:instrText>
      </w:r>
      <w:r w:rsidRPr="004D0DAA">
        <w:fldChar w:fldCharType="separate"/>
      </w:r>
      <w:r w:rsidRPr="004D0DAA">
        <w:t>768</w:t>
      </w:r>
      <w:r w:rsidRPr="004D0DAA">
        <w:fldChar w:fldCharType="end"/>
      </w:r>
    </w:p>
    <w:p w14:paraId="5C8EB9F2" w14:textId="77777777" w:rsidR="00683705" w:rsidRPr="004D0DAA" w:rsidRDefault="00683705">
      <w:pPr>
        <w:pStyle w:val="TOC2"/>
        <w:rPr>
          <w:rFonts w:ascii="Calibri" w:hAnsi="Calibri"/>
          <w:sz w:val="22"/>
          <w:szCs w:val="22"/>
          <w:lang w:val="en-US"/>
        </w:rPr>
      </w:pPr>
      <w:r w:rsidRPr="004D0DAA">
        <w:t>J.2</w:t>
      </w:r>
      <w:r w:rsidRPr="004D0DAA">
        <w:rPr>
          <w:rFonts w:ascii="Calibri" w:hAnsi="Calibri"/>
          <w:sz w:val="22"/>
          <w:szCs w:val="22"/>
          <w:lang w:val="en-US"/>
        </w:rPr>
        <w:tab/>
      </w:r>
      <w:r w:rsidRPr="004D0DAA">
        <w:t>Retransmission in two MCS-6 RLC data blocks</w:t>
      </w:r>
      <w:r w:rsidRPr="004D0DAA">
        <w:tab/>
      </w:r>
      <w:r w:rsidRPr="004D0DAA">
        <w:fldChar w:fldCharType="begin" w:fldLock="1"/>
      </w:r>
      <w:r w:rsidRPr="004D0DAA">
        <w:instrText xml:space="preserve"> PAGEREF _Toc516670083 \h </w:instrText>
      </w:r>
      <w:r w:rsidRPr="004D0DAA">
        <w:fldChar w:fldCharType="separate"/>
      </w:r>
      <w:r w:rsidRPr="004D0DAA">
        <w:t>769</w:t>
      </w:r>
      <w:r w:rsidRPr="004D0DAA">
        <w:fldChar w:fldCharType="end"/>
      </w:r>
    </w:p>
    <w:p w14:paraId="6A8068C8" w14:textId="77777777" w:rsidR="00683705" w:rsidRPr="004D0DAA" w:rsidRDefault="00683705">
      <w:pPr>
        <w:pStyle w:val="TOC2"/>
        <w:rPr>
          <w:rFonts w:ascii="Calibri" w:hAnsi="Calibri"/>
          <w:sz w:val="22"/>
          <w:szCs w:val="22"/>
          <w:lang w:val="en-US"/>
        </w:rPr>
      </w:pPr>
      <w:r w:rsidRPr="004D0DAA">
        <w:lastRenderedPageBreak/>
        <w:t>J.3</w:t>
      </w:r>
      <w:r w:rsidRPr="004D0DAA">
        <w:rPr>
          <w:rFonts w:ascii="Calibri" w:hAnsi="Calibri"/>
          <w:sz w:val="22"/>
          <w:szCs w:val="22"/>
          <w:lang w:val="en-US"/>
        </w:rPr>
        <w:tab/>
      </w:r>
      <w:r w:rsidRPr="004D0DAA">
        <w:t>Retransmission in four MCS-3 RLC data blocks</w:t>
      </w:r>
      <w:r w:rsidRPr="004D0DAA">
        <w:tab/>
      </w:r>
      <w:r w:rsidRPr="004D0DAA">
        <w:fldChar w:fldCharType="begin" w:fldLock="1"/>
      </w:r>
      <w:r w:rsidRPr="004D0DAA">
        <w:instrText xml:space="preserve"> PAGEREF _Toc516670084 \h </w:instrText>
      </w:r>
      <w:r w:rsidRPr="004D0DAA">
        <w:fldChar w:fldCharType="separate"/>
      </w:r>
      <w:r w:rsidRPr="004D0DAA">
        <w:t>770</w:t>
      </w:r>
      <w:r w:rsidRPr="004D0DAA">
        <w:fldChar w:fldCharType="end"/>
      </w:r>
    </w:p>
    <w:p w14:paraId="5B40A1C3" w14:textId="77777777" w:rsidR="00683705" w:rsidRPr="004D0DAA" w:rsidRDefault="00683705" w:rsidP="00683705">
      <w:pPr>
        <w:pStyle w:val="TOC8"/>
        <w:tabs>
          <w:tab w:val="right" w:leader="dot" w:pos="9639"/>
        </w:tabs>
        <w:rPr>
          <w:rFonts w:ascii="Calibri" w:hAnsi="Calibri"/>
          <w:b w:val="0"/>
          <w:szCs w:val="22"/>
          <w:lang w:val="en-US"/>
        </w:rPr>
      </w:pPr>
      <w:r w:rsidRPr="004D0DAA">
        <w:t>Annex K (informative):</w:t>
      </w:r>
      <w:r w:rsidRPr="004D0DAA">
        <w:tab/>
        <w:t>Signalling uplink assignments for Downlink Dual Carrier and/or RTTI or MTTI configurations</w:t>
      </w:r>
      <w:r w:rsidRPr="004D0DAA">
        <w:tab/>
      </w:r>
      <w:r w:rsidRPr="004D0DAA">
        <w:fldChar w:fldCharType="begin" w:fldLock="1"/>
      </w:r>
      <w:r w:rsidRPr="004D0DAA">
        <w:instrText xml:space="preserve"> PAGEREF _Toc516670085 \h </w:instrText>
      </w:r>
      <w:r w:rsidRPr="004D0DAA">
        <w:fldChar w:fldCharType="separate"/>
      </w:r>
      <w:r w:rsidRPr="004D0DAA">
        <w:t>772</w:t>
      </w:r>
      <w:r w:rsidRPr="004D0DAA">
        <w:fldChar w:fldCharType="end"/>
      </w:r>
    </w:p>
    <w:p w14:paraId="598A9F43" w14:textId="77777777" w:rsidR="00683705" w:rsidRPr="004D0DAA" w:rsidRDefault="00683705" w:rsidP="00683705">
      <w:pPr>
        <w:pStyle w:val="TOC8"/>
        <w:tabs>
          <w:tab w:val="right" w:leader="dot" w:pos="9639"/>
        </w:tabs>
        <w:rPr>
          <w:rFonts w:ascii="Calibri" w:hAnsi="Calibri"/>
          <w:b w:val="0"/>
          <w:szCs w:val="22"/>
          <w:lang w:val="en-US"/>
        </w:rPr>
      </w:pPr>
      <w:r w:rsidRPr="004D0DAA">
        <w:t>Annex L (informative):</w:t>
      </w:r>
      <w:r w:rsidRPr="004D0DAA">
        <w:tab/>
        <w:t>MultislotClassGroup in EGPRS Packet Channel Request</w:t>
      </w:r>
      <w:r w:rsidRPr="004D0DAA">
        <w:tab/>
      </w:r>
      <w:r w:rsidRPr="004D0DAA">
        <w:fldChar w:fldCharType="begin" w:fldLock="1"/>
      </w:r>
      <w:r w:rsidRPr="004D0DAA">
        <w:instrText xml:space="preserve"> PAGEREF _Toc516670086 \h </w:instrText>
      </w:r>
      <w:r w:rsidRPr="004D0DAA">
        <w:fldChar w:fldCharType="separate"/>
      </w:r>
      <w:r w:rsidRPr="004D0DAA">
        <w:t>774</w:t>
      </w:r>
      <w:r w:rsidRPr="004D0DAA">
        <w:fldChar w:fldCharType="end"/>
      </w:r>
    </w:p>
    <w:p w14:paraId="360CBCFC" w14:textId="77777777" w:rsidR="00683705" w:rsidRPr="004D0DAA" w:rsidRDefault="00683705" w:rsidP="00683705">
      <w:pPr>
        <w:pStyle w:val="TOC8"/>
        <w:rPr>
          <w:rFonts w:ascii="Calibri" w:hAnsi="Calibri"/>
          <w:b w:val="0"/>
          <w:szCs w:val="22"/>
          <w:lang w:val="en-US"/>
        </w:rPr>
      </w:pPr>
      <w:r w:rsidRPr="004D0DAA">
        <w:t>Annex M (informative):</w:t>
      </w:r>
      <w:r w:rsidRPr="004D0DAA">
        <w:tab/>
        <w:t>MTTI Assignments and allocations</w:t>
      </w:r>
      <w:r w:rsidRPr="004D0DAA">
        <w:tab/>
      </w:r>
      <w:r w:rsidRPr="004D0DAA">
        <w:fldChar w:fldCharType="begin" w:fldLock="1"/>
      </w:r>
      <w:r w:rsidRPr="004D0DAA">
        <w:instrText xml:space="preserve"> PAGEREF _Toc516670087 \h </w:instrText>
      </w:r>
      <w:r w:rsidRPr="004D0DAA">
        <w:fldChar w:fldCharType="separate"/>
      </w:r>
      <w:r w:rsidRPr="004D0DAA">
        <w:t>775</w:t>
      </w:r>
      <w:r w:rsidRPr="004D0DAA">
        <w:fldChar w:fldCharType="end"/>
      </w:r>
    </w:p>
    <w:p w14:paraId="21BADBC0" w14:textId="77777777" w:rsidR="00683705" w:rsidRPr="004D0DAA" w:rsidRDefault="00683705" w:rsidP="00683705">
      <w:pPr>
        <w:pStyle w:val="TOC8"/>
        <w:tabs>
          <w:tab w:val="right" w:leader="dot" w:pos="9639"/>
        </w:tabs>
        <w:rPr>
          <w:rFonts w:ascii="Calibri" w:hAnsi="Calibri"/>
          <w:b w:val="0"/>
          <w:szCs w:val="22"/>
          <w:lang w:val="en-US"/>
        </w:rPr>
      </w:pPr>
      <w:r w:rsidRPr="004D0DAA">
        <w:t>Annex N (normative):</w:t>
      </w:r>
      <w:r w:rsidRPr="004D0DAA">
        <w:tab/>
        <w:t>Uplink Radio Block Transmission order for EFTA</w:t>
      </w:r>
      <w:r w:rsidRPr="004D0DAA">
        <w:tab/>
      </w:r>
      <w:r w:rsidRPr="004D0DAA">
        <w:fldChar w:fldCharType="begin" w:fldLock="1"/>
      </w:r>
      <w:r w:rsidRPr="004D0DAA">
        <w:instrText xml:space="preserve"> PAGEREF _Toc516670088 \h </w:instrText>
      </w:r>
      <w:r w:rsidRPr="004D0DAA">
        <w:fldChar w:fldCharType="separate"/>
      </w:r>
      <w:r w:rsidRPr="004D0DAA">
        <w:t>777</w:t>
      </w:r>
      <w:r w:rsidRPr="004D0DAA">
        <w:fldChar w:fldCharType="end"/>
      </w:r>
    </w:p>
    <w:p w14:paraId="188D242D" w14:textId="77777777" w:rsidR="00683705" w:rsidRPr="004D0DAA" w:rsidRDefault="00683705" w:rsidP="00683705">
      <w:pPr>
        <w:pStyle w:val="TOC8"/>
        <w:tabs>
          <w:tab w:val="right" w:leader="dot" w:pos="9639"/>
        </w:tabs>
        <w:rPr>
          <w:rFonts w:ascii="Calibri" w:hAnsi="Calibri"/>
          <w:b w:val="0"/>
          <w:szCs w:val="22"/>
          <w:lang w:val="en-US"/>
        </w:rPr>
      </w:pPr>
      <w:r w:rsidRPr="004D0DAA">
        <w:t>Annex O (informative):</w:t>
      </w:r>
      <w:r w:rsidRPr="004D0DAA">
        <w:tab/>
        <w:t>Change History</w:t>
      </w:r>
      <w:r w:rsidRPr="004D0DAA">
        <w:tab/>
      </w:r>
      <w:r w:rsidRPr="004D0DAA">
        <w:fldChar w:fldCharType="begin" w:fldLock="1"/>
      </w:r>
      <w:r w:rsidRPr="004D0DAA">
        <w:instrText xml:space="preserve"> PAGEREF _Toc516670089 \h </w:instrText>
      </w:r>
      <w:r w:rsidRPr="004D0DAA">
        <w:fldChar w:fldCharType="separate"/>
      </w:r>
      <w:r w:rsidRPr="004D0DAA">
        <w:t>778</w:t>
      </w:r>
      <w:r w:rsidRPr="004D0DAA">
        <w:fldChar w:fldCharType="end"/>
      </w:r>
    </w:p>
    <w:p w14:paraId="79B19A80" w14:textId="77777777" w:rsidR="00080512" w:rsidRPr="004D0DAA" w:rsidRDefault="00683705">
      <w:r w:rsidRPr="004D0DAA">
        <w:rPr>
          <w:noProof/>
          <w:sz w:val="22"/>
        </w:rPr>
        <w:fldChar w:fldCharType="end"/>
      </w:r>
    </w:p>
    <w:p w14:paraId="2D811DA2" w14:textId="77777777" w:rsidR="00080512" w:rsidRPr="004D0DAA" w:rsidRDefault="00080512">
      <w:pPr>
        <w:pStyle w:val="Heading1"/>
      </w:pPr>
      <w:r w:rsidRPr="004D0DAA">
        <w:br w:type="page"/>
      </w:r>
      <w:bookmarkStart w:id="3" w:name="_Toc516669193"/>
      <w:r w:rsidRPr="004D0DAA">
        <w:lastRenderedPageBreak/>
        <w:t>Foreword</w:t>
      </w:r>
      <w:bookmarkEnd w:id="3"/>
    </w:p>
    <w:p w14:paraId="4D5A9084" w14:textId="77777777" w:rsidR="00080512" w:rsidRPr="004D0DAA" w:rsidRDefault="00080512">
      <w:r w:rsidRPr="004D0DAA">
        <w:t>This Technical Specification has been produced by the 3</w:t>
      </w:r>
      <w:r w:rsidR="00F04712" w:rsidRPr="004D0DAA">
        <w:t>rd</w:t>
      </w:r>
      <w:r w:rsidRPr="004D0DAA">
        <w:t xml:space="preserve"> Generation Partnership Project (3GPP).</w:t>
      </w:r>
    </w:p>
    <w:p w14:paraId="2666E86E" w14:textId="77777777" w:rsidR="00080512" w:rsidRPr="004D0DAA" w:rsidRDefault="00080512">
      <w:r w:rsidRPr="004D0D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F7A95" w14:textId="77777777" w:rsidR="00080512" w:rsidRPr="004D0DAA" w:rsidRDefault="00080512">
      <w:pPr>
        <w:pStyle w:val="B1"/>
      </w:pPr>
      <w:r w:rsidRPr="004D0DAA">
        <w:t>Version x.y.z</w:t>
      </w:r>
    </w:p>
    <w:p w14:paraId="023E8FEF" w14:textId="77777777" w:rsidR="00080512" w:rsidRPr="004D0DAA" w:rsidRDefault="00080512">
      <w:pPr>
        <w:pStyle w:val="B1"/>
      </w:pPr>
      <w:r w:rsidRPr="004D0DAA">
        <w:t>where:</w:t>
      </w:r>
    </w:p>
    <w:p w14:paraId="35246338" w14:textId="77777777" w:rsidR="00080512" w:rsidRPr="004D0DAA" w:rsidRDefault="00080512">
      <w:pPr>
        <w:pStyle w:val="B2"/>
      </w:pPr>
      <w:r w:rsidRPr="004D0DAA">
        <w:t>x</w:t>
      </w:r>
      <w:r w:rsidRPr="004D0DAA">
        <w:tab/>
        <w:t>the first digit:</w:t>
      </w:r>
    </w:p>
    <w:p w14:paraId="4FFF394E" w14:textId="77777777" w:rsidR="00080512" w:rsidRPr="004D0DAA" w:rsidRDefault="00080512">
      <w:pPr>
        <w:pStyle w:val="B3"/>
      </w:pPr>
      <w:r w:rsidRPr="004D0DAA">
        <w:t>1</w:t>
      </w:r>
      <w:r w:rsidRPr="004D0DAA">
        <w:tab/>
        <w:t>presented to TSG for information;</w:t>
      </w:r>
    </w:p>
    <w:p w14:paraId="0D464DA4" w14:textId="77777777" w:rsidR="00080512" w:rsidRPr="004D0DAA" w:rsidRDefault="00080512">
      <w:pPr>
        <w:pStyle w:val="B3"/>
      </w:pPr>
      <w:r w:rsidRPr="004D0DAA">
        <w:t>2</w:t>
      </w:r>
      <w:r w:rsidRPr="004D0DAA">
        <w:tab/>
        <w:t>presented to TSG for approval;</w:t>
      </w:r>
    </w:p>
    <w:p w14:paraId="5D1D3A0F" w14:textId="77777777" w:rsidR="00080512" w:rsidRPr="004D0DAA" w:rsidRDefault="00080512">
      <w:pPr>
        <w:pStyle w:val="B3"/>
      </w:pPr>
      <w:r w:rsidRPr="004D0DAA">
        <w:t>3</w:t>
      </w:r>
      <w:r w:rsidRPr="004D0DAA">
        <w:tab/>
        <w:t>or greater indicates TSG approved document under change control.</w:t>
      </w:r>
    </w:p>
    <w:p w14:paraId="4549351B" w14:textId="77777777" w:rsidR="00080512" w:rsidRPr="004D0DAA" w:rsidRDefault="00080512">
      <w:pPr>
        <w:pStyle w:val="B2"/>
      </w:pPr>
      <w:r w:rsidRPr="004D0DAA">
        <w:t>y</w:t>
      </w:r>
      <w:r w:rsidRPr="004D0DAA">
        <w:tab/>
        <w:t>the second digit is incremented for all changes of substance, i.e. technical enhancements, corrections, updates, etc.</w:t>
      </w:r>
    </w:p>
    <w:p w14:paraId="2487169D" w14:textId="77777777" w:rsidR="00080512" w:rsidRPr="004D0DAA" w:rsidRDefault="00080512">
      <w:pPr>
        <w:pStyle w:val="B2"/>
      </w:pPr>
      <w:r w:rsidRPr="004D0DAA">
        <w:t>z</w:t>
      </w:r>
      <w:r w:rsidRPr="004D0DAA">
        <w:tab/>
        <w:t>the third digit is incremented when editorial only changes have been incorporated in the document.</w:t>
      </w:r>
    </w:p>
    <w:p w14:paraId="6D7B5BA6" w14:textId="77777777" w:rsidR="00711444" w:rsidRPr="004D0DAA" w:rsidRDefault="00080512" w:rsidP="00711444">
      <w:pPr>
        <w:pStyle w:val="Heading1"/>
      </w:pPr>
      <w:r w:rsidRPr="004D0DAA">
        <w:br w:type="page"/>
      </w:r>
      <w:bookmarkStart w:id="4" w:name="_Toc516669194"/>
      <w:r w:rsidR="00711444" w:rsidRPr="004D0DAA">
        <w:lastRenderedPageBreak/>
        <w:t>1</w:t>
      </w:r>
      <w:r w:rsidR="00711444" w:rsidRPr="004D0DAA">
        <w:tab/>
        <w:t>Scope</w:t>
      </w:r>
      <w:bookmarkEnd w:id="4"/>
    </w:p>
    <w:p w14:paraId="3077EE9C" w14:textId="77777777" w:rsidR="00711444" w:rsidRPr="004D0DAA" w:rsidRDefault="00711444" w:rsidP="00711444">
      <w:pPr>
        <w:pStyle w:val="Heading2"/>
      </w:pPr>
      <w:bookmarkStart w:id="5" w:name="_Toc516669195"/>
      <w:r w:rsidRPr="004D0DAA">
        <w:t>1.1</w:t>
      </w:r>
      <w:r w:rsidRPr="004D0DAA">
        <w:tab/>
        <w:t>General</w:t>
      </w:r>
      <w:bookmarkEnd w:id="5"/>
    </w:p>
    <w:p w14:paraId="0409A187" w14:textId="77777777" w:rsidR="00711444" w:rsidRPr="004D0DAA" w:rsidRDefault="00711444" w:rsidP="00711444">
      <w:r w:rsidRPr="004D0DAA">
        <w:t>This document specifies procedures for the following layers of the radio interface (</w:t>
      </w:r>
      <w:r w:rsidRPr="004D0DAA">
        <w:rPr>
          <w:i/>
        </w:rPr>
        <w:t>Um</w:t>
      </w:r>
      <w:r w:rsidRPr="004D0DAA">
        <w:t xml:space="preserve"> reference point), the interface between the GSM/EDGE Radio Access Network (GERAN) and the Mobile Station (MS):</w:t>
      </w:r>
    </w:p>
    <w:p w14:paraId="00867D22" w14:textId="77777777" w:rsidR="00711444" w:rsidRPr="004D0DAA" w:rsidRDefault="00711444" w:rsidP="00711444">
      <w:pPr>
        <w:pStyle w:val="B1"/>
      </w:pPr>
      <w:r w:rsidRPr="004D0DAA">
        <w:t>-</w:t>
      </w:r>
      <w:r w:rsidRPr="004D0DAA">
        <w:tab/>
        <w:t>Radio Link Control (RLC)</w:t>
      </w:r>
    </w:p>
    <w:p w14:paraId="427B2099" w14:textId="77777777" w:rsidR="00711444" w:rsidRPr="004D0DAA" w:rsidRDefault="00711444" w:rsidP="00711444">
      <w:pPr>
        <w:pStyle w:val="B1"/>
      </w:pPr>
      <w:r w:rsidRPr="004D0DAA">
        <w:t>-</w:t>
      </w:r>
      <w:r w:rsidRPr="004D0DAA">
        <w:tab/>
        <w:t>Medium Access Control (MAC), including Physical Link Control functions</w:t>
      </w:r>
    </w:p>
    <w:p w14:paraId="089E5D9C" w14:textId="77777777" w:rsidR="00711444" w:rsidRPr="004D0DAA" w:rsidRDefault="00711444" w:rsidP="00711444">
      <w:r w:rsidRPr="004D0DAA">
        <w:t xml:space="preserve">The procedures apply in </w:t>
      </w:r>
      <w:r w:rsidRPr="004D0DAA">
        <w:rPr>
          <w:i/>
        </w:rPr>
        <w:t>A/Gb mode</w:t>
      </w:r>
      <w:r w:rsidRPr="004D0DAA">
        <w:t xml:space="preserve"> </w:t>
      </w:r>
      <w:r w:rsidRPr="004D0DAA">
        <w:rPr>
          <w:iCs/>
        </w:rPr>
        <w:t>and may also apply in</w:t>
      </w:r>
      <w:r w:rsidRPr="004D0DAA">
        <w:rPr>
          <w:i/>
        </w:rPr>
        <w:t xml:space="preserve"> Iu mode</w:t>
      </w:r>
      <w:r w:rsidRPr="004D0DAA">
        <w:rPr>
          <w:iCs/>
        </w:rPr>
        <w:t xml:space="preserve">. </w:t>
      </w:r>
    </w:p>
    <w:p w14:paraId="3E79E850" w14:textId="77777777" w:rsidR="00711444" w:rsidRPr="004D0DAA" w:rsidRDefault="00711444" w:rsidP="00711444">
      <w:pPr>
        <w:pStyle w:val="Heading2"/>
      </w:pPr>
      <w:bookmarkStart w:id="6" w:name="_Toc516669196"/>
      <w:r w:rsidRPr="004D0DAA">
        <w:t>1.2</w:t>
      </w:r>
      <w:r w:rsidRPr="004D0DAA">
        <w:tab/>
        <w:t>Related documents</w:t>
      </w:r>
      <w:bookmarkEnd w:id="6"/>
    </w:p>
    <w:p w14:paraId="65D21934" w14:textId="77777777" w:rsidR="00711444" w:rsidRPr="004D0DAA" w:rsidRDefault="00711444" w:rsidP="00711444">
      <w:r w:rsidRPr="004D0DAA">
        <w:t>The following documents provide information related to this document:</w:t>
      </w:r>
    </w:p>
    <w:p w14:paraId="481DDF6B" w14:textId="77777777" w:rsidR="00711444" w:rsidRPr="004D0DAA" w:rsidRDefault="00711444" w:rsidP="00711444">
      <w:pPr>
        <w:pStyle w:val="B1"/>
      </w:pPr>
      <w:r w:rsidRPr="004D0DAA">
        <w:t>-</w:t>
      </w:r>
      <w:r w:rsidRPr="004D0DAA">
        <w:tab/>
        <w:t>3GPP TS 43.064 contains an overview of the GPRS radio interface (</w:t>
      </w:r>
      <w:r w:rsidRPr="004D0DAA">
        <w:rPr>
          <w:i/>
        </w:rPr>
        <w:t xml:space="preserve">Um </w:t>
      </w:r>
      <w:r w:rsidRPr="004D0DAA">
        <w:t>reference point).</w:t>
      </w:r>
    </w:p>
    <w:p w14:paraId="3D10EB8E" w14:textId="77777777" w:rsidR="00711444" w:rsidRPr="004D0DAA" w:rsidRDefault="00711444" w:rsidP="00711444">
      <w:pPr>
        <w:pStyle w:val="B1"/>
      </w:pPr>
      <w:r w:rsidRPr="004D0DAA">
        <w:t>-</w:t>
      </w:r>
      <w:r w:rsidRPr="004D0DAA">
        <w:tab/>
        <w:t xml:space="preserve">3GPP TS 44.003 specifies channel types, access capabilities and channel configurations at the </w:t>
      </w:r>
      <w:r w:rsidRPr="004D0DAA">
        <w:rPr>
          <w:i/>
        </w:rPr>
        <w:t>Um</w:t>
      </w:r>
      <w:r w:rsidRPr="004D0DAA">
        <w:t xml:space="preserve"> reference point.</w:t>
      </w:r>
    </w:p>
    <w:p w14:paraId="4D297EB3" w14:textId="77777777" w:rsidR="00711444" w:rsidRPr="004D0DAA" w:rsidRDefault="00711444" w:rsidP="00711444">
      <w:pPr>
        <w:pStyle w:val="B1"/>
      </w:pPr>
      <w:r w:rsidRPr="004D0DAA">
        <w:t>-</w:t>
      </w:r>
      <w:r w:rsidRPr="004D0DAA">
        <w:tab/>
        <w:t xml:space="preserve">3GPP TS 44.004 specifies services offered by the physical layer of the </w:t>
      </w:r>
      <w:r w:rsidRPr="004D0DAA">
        <w:rPr>
          <w:i/>
        </w:rPr>
        <w:t>Um</w:t>
      </w:r>
      <w:r w:rsidRPr="004D0DAA">
        <w:t xml:space="preserve"> reference point. It also specifies control channels. RLC and MAC use these services and control channels.</w:t>
      </w:r>
    </w:p>
    <w:p w14:paraId="4BEE8A3E" w14:textId="77777777" w:rsidR="00711444" w:rsidRPr="004D0DAA" w:rsidRDefault="00711444" w:rsidP="00711444">
      <w:pPr>
        <w:pStyle w:val="B1"/>
      </w:pPr>
      <w:r w:rsidRPr="004D0DAA">
        <w:t>-</w:t>
      </w:r>
      <w:r w:rsidRPr="004D0DAA">
        <w:tab/>
        <w:t>3GPP TS 24.007 specifies, in general terms, this protocol's structured functions, its procedures and its relationship with other layers and entities. It also specifies the basic message format and error handling applied by layer 3 protocols.</w:t>
      </w:r>
    </w:p>
    <w:p w14:paraId="193A57F9" w14:textId="77777777" w:rsidR="00711444" w:rsidRPr="004D0DAA" w:rsidRDefault="00711444" w:rsidP="00711444">
      <w:pPr>
        <w:pStyle w:val="B1"/>
      </w:pPr>
      <w:r w:rsidRPr="004D0DAA">
        <w:t>-</w:t>
      </w:r>
      <w:r w:rsidRPr="004D0DAA">
        <w:tab/>
        <w:t>3GPP TS 44.018 specifies GPRS procedures when operating on the Common Control Channel (CCCH) or on dedicated channels.</w:t>
      </w:r>
    </w:p>
    <w:p w14:paraId="6E4DB110" w14:textId="77777777" w:rsidR="00711444" w:rsidRPr="004D0DAA" w:rsidRDefault="00711444" w:rsidP="00711444">
      <w:pPr>
        <w:pStyle w:val="B1"/>
      </w:pPr>
      <w:r w:rsidRPr="004D0DAA">
        <w:t>-</w:t>
      </w:r>
      <w:r w:rsidRPr="004D0DAA">
        <w:tab/>
        <w:t>3GPP TS 44.064 specifies the Logical Link Control (LLC) layer.</w:t>
      </w:r>
    </w:p>
    <w:p w14:paraId="358EA933" w14:textId="77777777" w:rsidR="00711444" w:rsidRPr="004D0DAA" w:rsidRDefault="00711444" w:rsidP="00711444">
      <w:pPr>
        <w:pStyle w:val="B1"/>
      </w:pPr>
      <w:r w:rsidRPr="004D0DAA">
        <w:t>-</w:t>
      </w:r>
      <w:r w:rsidRPr="004D0DAA">
        <w:tab/>
        <w:t xml:space="preserve">3GPP TS 43.051 is an overall description of the GSM/EDGE Radio Access Network (GERAN) in </w:t>
      </w:r>
      <w:r w:rsidRPr="004D0DAA">
        <w:rPr>
          <w:i/>
        </w:rPr>
        <w:t>Iu mode</w:t>
      </w:r>
      <w:r w:rsidRPr="004D0DAA">
        <w:t>.</w:t>
      </w:r>
    </w:p>
    <w:p w14:paraId="3CFDE311" w14:textId="77777777" w:rsidR="00711444" w:rsidRPr="004D0DAA" w:rsidRDefault="00711444" w:rsidP="00711444">
      <w:pPr>
        <w:pStyle w:val="B1"/>
      </w:pPr>
      <w:r w:rsidRPr="004D0DAA">
        <w:t>-</w:t>
      </w:r>
      <w:r w:rsidRPr="004D0DAA">
        <w:tab/>
        <w:t>3GPP TS 51.010 specifies test procedures for radio-interface signalling.</w:t>
      </w:r>
    </w:p>
    <w:p w14:paraId="72FCDF56" w14:textId="77777777" w:rsidR="00711444" w:rsidRPr="004D0DAA" w:rsidRDefault="00711444" w:rsidP="00711444">
      <w:pPr>
        <w:pStyle w:val="Heading2"/>
      </w:pPr>
      <w:bookmarkStart w:id="7" w:name="_Toc516669197"/>
      <w:r w:rsidRPr="004D0DAA">
        <w:t>1.3</w:t>
      </w:r>
      <w:r w:rsidRPr="004D0DAA">
        <w:tab/>
        <w:t>Use of logical control channels</w:t>
      </w:r>
      <w:bookmarkEnd w:id="7"/>
    </w:p>
    <w:p w14:paraId="6A10D01D" w14:textId="77777777" w:rsidR="00711444" w:rsidRPr="004D0DAA" w:rsidRDefault="00711444" w:rsidP="00711444">
      <w:r w:rsidRPr="004D0DAA">
        <w:t>3GPP TS 45.002 defines four similar sets of logical control.</w:t>
      </w:r>
    </w:p>
    <w:p w14:paraId="220CDBB4" w14:textId="77777777" w:rsidR="00711444" w:rsidRPr="004D0DAA" w:rsidRDefault="00711444" w:rsidP="00711444">
      <w:r w:rsidRPr="004D0DAA">
        <w:t>The first set consists of the following logical control channels:</w:t>
      </w:r>
    </w:p>
    <w:p w14:paraId="625542D5" w14:textId="77777777" w:rsidR="00711444" w:rsidRPr="004D0DAA" w:rsidRDefault="00711444" w:rsidP="00711444">
      <w:pPr>
        <w:pStyle w:val="B1"/>
      </w:pPr>
      <w:r w:rsidRPr="004D0DAA">
        <w:t>-</w:t>
      </w:r>
      <w:r w:rsidRPr="004D0DAA">
        <w:tab/>
        <w:t>Broadcast Control Channel (BCCH): downlink only, used to broadcast Cell specific information;</w:t>
      </w:r>
    </w:p>
    <w:p w14:paraId="7BF1D94A" w14:textId="77777777" w:rsidR="00711444" w:rsidRPr="004D0DAA" w:rsidRDefault="00711444" w:rsidP="00711444">
      <w:pPr>
        <w:pStyle w:val="B1"/>
      </w:pPr>
      <w:r w:rsidRPr="004D0DAA">
        <w:t>-</w:t>
      </w:r>
      <w:r w:rsidRPr="004D0DAA">
        <w:tab/>
        <w:t>Paging Channel (PCH): downlink only, used to send page requests to Mobile Stations (MSs);</w:t>
      </w:r>
    </w:p>
    <w:p w14:paraId="0829EC04" w14:textId="77777777" w:rsidR="00711444" w:rsidRPr="004D0DAA" w:rsidRDefault="00711444" w:rsidP="00711444">
      <w:pPr>
        <w:pStyle w:val="B1"/>
      </w:pPr>
      <w:r w:rsidRPr="004D0DAA">
        <w:t>-</w:t>
      </w:r>
      <w:r w:rsidRPr="004D0DAA">
        <w:tab/>
        <w:t>Random Access Channel (RACH): uplink only, used to request GPRS resources or a Dedicated Control Channel;</w:t>
      </w:r>
    </w:p>
    <w:p w14:paraId="4B4FF9F1" w14:textId="77777777" w:rsidR="00711444" w:rsidRPr="004D0DAA" w:rsidRDefault="00711444" w:rsidP="00711444">
      <w:pPr>
        <w:pStyle w:val="B1"/>
      </w:pPr>
      <w:r w:rsidRPr="004D0DAA">
        <w:t>-</w:t>
      </w:r>
      <w:r w:rsidRPr="004D0DAA">
        <w:tab/>
        <w:t>Access Grant Channel (AGCH): downlink only, used to allocate GPRS resources or a Dedicated Control Channel;</w:t>
      </w:r>
    </w:p>
    <w:p w14:paraId="56347DFF" w14:textId="77777777" w:rsidR="00711444" w:rsidRPr="004D0DAA" w:rsidRDefault="00711444" w:rsidP="00711444">
      <w:r w:rsidRPr="004D0DAA">
        <w:t>The second set consists of the following logical control channels (Packet Control Channels):</w:t>
      </w:r>
    </w:p>
    <w:p w14:paraId="36D28B9C" w14:textId="77777777" w:rsidR="00711444" w:rsidRPr="004D0DAA" w:rsidRDefault="00711444" w:rsidP="00711444">
      <w:pPr>
        <w:pStyle w:val="B1"/>
      </w:pPr>
      <w:r w:rsidRPr="004D0DAA">
        <w:t>-</w:t>
      </w:r>
      <w:r w:rsidRPr="004D0DAA">
        <w:tab/>
        <w:t>Packet Broadcast Control Channel (PBCCH): downlink only, used to broadcast Cell specific information (not used, see sub-clause 1.6);</w:t>
      </w:r>
    </w:p>
    <w:p w14:paraId="4642AFB2" w14:textId="77777777" w:rsidR="00711444" w:rsidRPr="004D0DAA" w:rsidRDefault="00711444" w:rsidP="00711444">
      <w:pPr>
        <w:pStyle w:val="B1"/>
      </w:pPr>
      <w:r w:rsidRPr="004D0DAA">
        <w:t>-</w:t>
      </w:r>
      <w:r w:rsidRPr="004D0DAA">
        <w:tab/>
        <w:t>Packet Paging Channel (PPCH): downlink only, used to send page requests to Mobile Stations (MSs) (not used, see sub-clause 1.6);</w:t>
      </w:r>
    </w:p>
    <w:p w14:paraId="075B1935" w14:textId="77777777" w:rsidR="00711444" w:rsidRPr="004D0DAA" w:rsidRDefault="00711444" w:rsidP="00711444">
      <w:pPr>
        <w:pStyle w:val="B1"/>
      </w:pPr>
      <w:r w:rsidRPr="004D0DAA">
        <w:lastRenderedPageBreak/>
        <w:t>-</w:t>
      </w:r>
      <w:r w:rsidRPr="004D0DAA">
        <w:tab/>
        <w:t>Packet Random Access Channel (PRACH): uplink only, used to request GPRS resources (not used, see sub-clause 1.6);</w:t>
      </w:r>
    </w:p>
    <w:p w14:paraId="4CE2BC0D" w14:textId="77777777" w:rsidR="00711444" w:rsidRPr="004D0DAA" w:rsidRDefault="00711444" w:rsidP="00711444">
      <w:pPr>
        <w:pStyle w:val="B1"/>
      </w:pPr>
      <w:r w:rsidRPr="004D0DAA">
        <w:t>-</w:t>
      </w:r>
      <w:r w:rsidRPr="004D0DAA">
        <w:tab/>
        <w:t>Packet Access Grant Channel (PAGCH): downlink only, used to allocate GPRS resources (not used, see sub-clause 1.6);</w:t>
      </w:r>
    </w:p>
    <w:p w14:paraId="31552899" w14:textId="77777777" w:rsidR="00711444" w:rsidRPr="004D0DAA" w:rsidRDefault="00711444" w:rsidP="00711444">
      <w:pPr>
        <w:pStyle w:val="B1"/>
      </w:pPr>
      <w:r w:rsidRPr="004D0DAA">
        <w:t>-</w:t>
      </w:r>
      <w:r w:rsidRPr="004D0DAA">
        <w:tab/>
        <w:t>Packet Associated Control Channel (PACCH): bi-directional, associated with a Temporary Block Flow (TBF);</w:t>
      </w:r>
    </w:p>
    <w:p w14:paraId="2B03424F" w14:textId="77777777" w:rsidR="00711444" w:rsidRPr="004D0DAA" w:rsidRDefault="00711444" w:rsidP="00711444">
      <w:pPr>
        <w:pStyle w:val="B1"/>
      </w:pPr>
      <w:r w:rsidRPr="004D0DAA">
        <w:t>-</w:t>
      </w:r>
      <w:r w:rsidRPr="004D0DAA">
        <w:tab/>
        <w:t>Packet Timing advance control channel uplink (PTCCH/U): used to transmit random access bursts to allow estimation of the timing advance for one MS in transfer state;</w:t>
      </w:r>
    </w:p>
    <w:p w14:paraId="3713AA8A" w14:textId="77777777" w:rsidR="00711444" w:rsidRPr="004D0DAA" w:rsidRDefault="00711444" w:rsidP="00711444">
      <w:pPr>
        <w:pStyle w:val="B1"/>
      </w:pPr>
      <w:r w:rsidRPr="004D0DAA">
        <w:t>-</w:t>
      </w:r>
      <w:r w:rsidRPr="004D0DAA">
        <w:tab/>
        <w:t>Packet Timing advance control channel downlink (PTCCH/D): used to transmit timing advance updates for several MS. One PTCCH/D is paired with several PTCCH/U's.</w:t>
      </w:r>
    </w:p>
    <w:p w14:paraId="088241CF" w14:textId="77777777" w:rsidR="00711444" w:rsidRPr="004D0DAA" w:rsidRDefault="00711444" w:rsidP="00711444">
      <w:pPr>
        <w:pStyle w:val="B1"/>
      </w:pPr>
      <w:r w:rsidRPr="004D0DAA">
        <w:t>-</w:t>
      </w:r>
      <w:r w:rsidRPr="004D0DAA">
        <w:tab/>
        <w:t>MBMS Packet Random Access Channel (MPRACH): uplink only, used during the initial counting procedure for MBMS.</w:t>
      </w:r>
    </w:p>
    <w:p w14:paraId="0823553B" w14:textId="77777777" w:rsidR="00711444" w:rsidRPr="004D0DAA" w:rsidRDefault="00711444" w:rsidP="00711444">
      <w:r w:rsidRPr="004D0DAA">
        <w:t>The third set consists of the following logical control channels (COMPACT control channels):</w:t>
      </w:r>
    </w:p>
    <w:p w14:paraId="4E89604B" w14:textId="77777777" w:rsidR="00711444" w:rsidRPr="004D0DAA" w:rsidRDefault="00711444" w:rsidP="00711444">
      <w:pPr>
        <w:pStyle w:val="B1"/>
      </w:pPr>
      <w:r w:rsidRPr="004D0DAA">
        <w:t>-</w:t>
      </w:r>
      <w:r w:rsidRPr="004D0DAA">
        <w:tab/>
        <w:t>COMPACT Packet Broadcast Control Channel (CPBCCH): downlink only, used to broadcast Cell specific information; This channel broadcasts the same information as the PBCCH, but has a different physical structure (see 3GPP TS 45.002);</w:t>
      </w:r>
    </w:p>
    <w:p w14:paraId="07400F5E" w14:textId="77777777" w:rsidR="00711444" w:rsidRPr="004D0DAA" w:rsidRDefault="00711444" w:rsidP="00711444">
      <w:pPr>
        <w:pStyle w:val="B1"/>
      </w:pPr>
      <w:r w:rsidRPr="004D0DAA">
        <w:t>-</w:t>
      </w:r>
      <w:r w:rsidRPr="004D0DAA">
        <w:tab/>
        <w:t>COMPACT Packet Paging Channel (CPPCH): downlink only, used to send page requests to Mobile Stations (MSs) on a COMPACT control channel;;</w:t>
      </w:r>
    </w:p>
    <w:p w14:paraId="3F9A2EC3" w14:textId="77777777" w:rsidR="00711444" w:rsidRPr="004D0DAA" w:rsidRDefault="00711444" w:rsidP="00711444">
      <w:pPr>
        <w:pStyle w:val="B1"/>
      </w:pPr>
      <w:r w:rsidRPr="004D0DAA">
        <w:t>-</w:t>
      </w:r>
      <w:r w:rsidRPr="004D0DAA">
        <w:tab/>
        <w:t xml:space="preserve">COMPACT Packet Random Access Channel (CPRACH): uplink only, used to request GPRS resources on a COMPACT control channel; </w:t>
      </w:r>
    </w:p>
    <w:p w14:paraId="1900CFBA" w14:textId="77777777" w:rsidR="00711444" w:rsidRPr="004D0DAA" w:rsidRDefault="00711444" w:rsidP="00711444">
      <w:pPr>
        <w:pStyle w:val="B1"/>
      </w:pPr>
      <w:r w:rsidRPr="004D0DAA">
        <w:t>-</w:t>
      </w:r>
      <w:r w:rsidRPr="004D0DAA">
        <w:tab/>
        <w:t xml:space="preserve">COMPACT Packet Access Grant Channel (CPAGCH): downlink only, used to allocate GPRS resources on a COMPACT control channel; </w:t>
      </w:r>
    </w:p>
    <w:p w14:paraId="4F2DC0BA" w14:textId="77777777" w:rsidR="00711444" w:rsidRPr="004D0DAA" w:rsidRDefault="00711444" w:rsidP="00711444">
      <w:pPr>
        <w:pStyle w:val="B1"/>
      </w:pPr>
      <w:r w:rsidRPr="004D0DAA">
        <w:t>-</w:t>
      </w:r>
      <w:r w:rsidRPr="004D0DAA">
        <w:tab/>
        <w:t>Packet Associated Control Channel (PACCH): see above;</w:t>
      </w:r>
    </w:p>
    <w:p w14:paraId="29477537" w14:textId="77777777" w:rsidR="00711444" w:rsidRPr="004D0DAA" w:rsidRDefault="00711444" w:rsidP="00711444">
      <w:pPr>
        <w:pStyle w:val="B1"/>
      </w:pPr>
      <w:r w:rsidRPr="004D0DAA">
        <w:t>-</w:t>
      </w:r>
      <w:r w:rsidRPr="004D0DAA">
        <w:tab/>
        <w:t>Packet Timing advance control channel uplink (PTCCH/U): see above;</w:t>
      </w:r>
    </w:p>
    <w:p w14:paraId="35688A0F" w14:textId="77777777" w:rsidR="00711444" w:rsidRPr="004D0DAA" w:rsidRDefault="00711444" w:rsidP="00711444">
      <w:pPr>
        <w:pStyle w:val="B1"/>
      </w:pPr>
      <w:r w:rsidRPr="004D0DAA">
        <w:t>-</w:t>
      </w:r>
      <w:r w:rsidRPr="004D0DAA">
        <w:tab/>
        <w:t>Packet Timing advance control channel downlink (PTCCH/D): see above.</w:t>
      </w:r>
    </w:p>
    <w:p w14:paraId="06853B71" w14:textId="77777777" w:rsidR="00711444" w:rsidRPr="004D0DAA" w:rsidRDefault="00711444" w:rsidP="00711444">
      <w:r w:rsidRPr="004D0DAA">
        <w:t>The fourth set consists of the following logical control channels (EC-GSM-IoT control channels):</w:t>
      </w:r>
    </w:p>
    <w:p w14:paraId="4046174C" w14:textId="77777777" w:rsidR="00711444" w:rsidRPr="004D0DAA" w:rsidRDefault="00711444" w:rsidP="00711444">
      <w:pPr>
        <w:pStyle w:val="B1"/>
      </w:pPr>
      <w:r w:rsidRPr="004D0DAA">
        <w:t>-</w:t>
      </w:r>
      <w:r w:rsidRPr="004D0DAA">
        <w:tab/>
        <w:t>Extended Coverage Broadcast Control Channel (EC-BCCH): downlink only, used to broadcast Cell specific information for EC-GSM-IoT;</w:t>
      </w:r>
    </w:p>
    <w:p w14:paraId="5BF88FC1" w14:textId="77777777" w:rsidR="00711444" w:rsidRPr="004D0DAA" w:rsidRDefault="00711444" w:rsidP="00711444">
      <w:pPr>
        <w:pStyle w:val="B1"/>
      </w:pPr>
      <w:r w:rsidRPr="004D0DAA">
        <w:t>-</w:t>
      </w:r>
      <w:r w:rsidRPr="004D0DAA">
        <w:tab/>
        <w:t>Extended Coverage Paging Channel (EC-PCH): downlink only, used to send page requests to Mobile Stations (MSs) that have enabled EC operation;</w:t>
      </w:r>
    </w:p>
    <w:p w14:paraId="69AFD473" w14:textId="77777777" w:rsidR="00711444" w:rsidRPr="004D0DAA" w:rsidRDefault="00711444" w:rsidP="00711444">
      <w:pPr>
        <w:pStyle w:val="B1"/>
      </w:pPr>
      <w:r w:rsidRPr="004D0DAA">
        <w:t>-</w:t>
      </w:r>
      <w:r w:rsidRPr="004D0DAA">
        <w:tab/>
        <w:t xml:space="preserve">Extended Coverage Random Access Channel (EC-RACH): uplink only, used to request EC-GSM-IoT resources; </w:t>
      </w:r>
    </w:p>
    <w:p w14:paraId="19762ADA" w14:textId="77777777" w:rsidR="00711444" w:rsidRPr="004D0DAA" w:rsidRDefault="00711444" w:rsidP="00711444">
      <w:pPr>
        <w:pStyle w:val="B1"/>
      </w:pPr>
      <w:r w:rsidRPr="004D0DAA">
        <w:t>-</w:t>
      </w:r>
      <w:r w:rsidRPr="004D0DAA">
        <w:tab/>
        <w:t xml:space="preserve">Extended Coverage Access Grant Channel (EC-AGCH): downlink only, used to allocate EC-GSM-IoT resources; </w:t>
      </w:r>
    </w:p>
    <w:p w14:paraId="6556B653" w14:textId="77777777" w:rsidR="00711444" w:rsidRPr="004D0DAA" w:rsidRDefault="00711444" w:rsidP="00711444">
      <w:pPr>
        <w:pStyle w:val="B1"/>
      </w:pPr>
      <w:r w:rsidRPr="004D0DAA">
        <w:t>-</w:t>
      </w:r>
      <w:r w:rsidRPr="004D0DAA">
        <w:tab/>
        <w:t>Extended Coverage Packet Associated Control Channel (EC-PACCH): bi-directional, associated with an EC Temporary Block Flow (EC TBF);</w:t>
      </w:r>
    </w:p>
    <w:p w14:paraId="4A9D72C8" w14:textId="77777777" w:rsidR="00711444" w:rsidRPr="004D0DAA" w:rsidRDefault="00711444" w:rsidP="00711444">
      <w:pPr>
        <w:pStyle w:val="B1"/>
      </w:pPr>
    </w:p>
    <w:p w14:paraId="15493A53" w14:textId="77777777" w:rsidR="00711444" w:rsidRPr="004D0DAA" w:rsidRDefault="00711444" w:rsidP="00711444">
      <w:pPr>
        <w:pStyle w:val="Heading2"/>
      </w:pPr>
      <w:bookmarkStart w:id="8" w:name="_Toc516669198"/>
      <w:r w:rsidRPr="004D0DAA">
        <w:t>1.4</w:t>
      </w:r>
      <w:r w:rsidRPr="004D0DAA">
        <w:tab/>
        <w:t>Use of logical traffic channels</w:t>
      </w:r>
      <w:bookmarkEnd w:id="8"/>
    </w:p>
    <w:p w14:paraId="354F498F" w14:textId="77777777" w:rsidR="00711444" w:rsidRPr="004D0DAA" w:rsidRDefault="00711444" w:rsidP="00711444">
      <w:r w:rsidRPr="004D0DAA">
        <w:t>3GPP TS 45.002 defines the following logical traffic channels used by RLC and MAC:</w:t>
      </w:r>
    </w:p>
    <w:p w14:paraId="3DC5D0C3" w14:textId="77777777" w:rsidR="00711444" w:rsidRPr="004D0DAA" w:rsidRDefault="00711444" w:rsidP="00711444">
      <w:pPr>
        <w:pStyle w:val="B1"/>
      </w:pPr>
      <w:r w:rsidRPr="004D0DAA">
        <w:t>-</w:t>
      </w:r>
      <w:r w:rsidRPr="004D0DAA">
        <w:tab/>
        <w:t>Traffic Channel (TCH): bidirectional, carries encoded speech or user data using GMSK on a dedicated basic physical subchannel (DBPSCH). TCH can be full-rate (TCH/F) or half-rate (TCH/H).</w:t>
      </w:r>
    </w:p>
    <w:p w14:paraId="68E68C33" w14:textId="77777777" w:rsidR="00711444" w:rsidRPr="004D0DAA" w:rsidRDefault="00711444" w:rsidP="00711444">
      <w:pPr>
        <w:pStyle w:val="B1"/>
      </w:pPr>
      <w:r w:rsidRPr="004D0DAA">
        <w:t>-</w:t>
      </w:r>
      <w:r w:rsidRPr="004D0DAA">
        <w:tab/>
        <w:t>Octal Traffic Channel (O-TCH): bidirectional, carries encoded speech using 8-PSK on a DBPSCH. O-TCH can be full-rate (O</w:t>
      </w:r>
      <w:r w:rsidRPr="004D0DAA">
        <w:noBreakHyphen/>
        <w:t>TCH/F) or half-rate (O-TCH/H).</w:t>
      </w:r>
    </w:p>
    <w:p w14:paraId="6F9D65AE" w14:textId="77777777" w:rsidR="00711444" w:rsidRPr="004D0DAA" w:rsidRDefault="00711444" w:rsidP="00711444">
      <w:pPr>
        <w:pStyle w:val="B1"/>
      </w:pPr>
      <w:r w:rsidRPr="004D0DAA">
        <w:lastRenderedPageBreak/>
        <w:t>-</w:t>
      </w:r>
      <w:r w:rsidRPr="004D0DAA">
        <w:tab/>
        <w:t>Enhanced Traffic Channel (E-TCH): bidirectional, carries user data using 8-PSK on a DBPSCH.</w:t>
      </w:r>
    </w:p>
    <w:p w14:paraId="0452A64C" w14:textId="77777777" w:rsidR="00711444" w:rsidRPr="004D0DAA" w:rsidRDefault="00711444" w:rsidP="00711444">
      <w:pPr>
        <w:pStyle w:val="B1"/>
      </w:pPr>
      <w:r w:rsidRPr="004D0DAA">
        <w:t>-</w:t>
      </w:r>
      <w:r w:rsidRPr="004D0DAA">
        <w:tab/>
        <w:t>Packet Data Traffic Channel (PDTCH): downlink: carries user data using GMSK, 8-PSK, 16-QAM or 32-QAM with normal symbol rate, or QPSK, 16-QAM, or 32-QAM with higher symbol rate on a shared basic physical subchannel (SBPSCH) or a DBPSCH. PDTCHs can be full-rate (PDTCH/F) or half-rate (PDTCH/H).</w:t>
      </w:r>
    </w:p>
    <w:p w14:paraId="71C25C3E" w14:textId="77777777" w:rsidR="00711444" w:rsidRPr="004D0DAA" w:rsidRDefault="00711444" w:rsidP="00711444">
      <w:pPr>
        <w:pStyle w:val="B1"/>
      </w:pPr>
      <w:r w:rsidRPr="004D0DAA">
        <w:t>-</w:t>
      </w:r>
      <w:r w:rsidRPr="004D0DAA">
        <w:tab/>
        <w:t>Packet Data Traffic Channel (PDTCH) uplink: carries user data using GMSK, 8-PSK, 16-QAM with normal symbol rate, or QPSK, 16-QAM, 32-QAM with higher symbol rate on a shared basic physical subchannel (SBPSCH) or a DBPSCH. PDTCHs can be full-rate (PDTCH/F) or half-rate (PDTCH/H).</w:t>
      </w:r>
    </w:p>
    <w:p w14:paraId="48599DED" w14:textId="77777777" w:rsidR="00711444" w:rsidRPr="004D0DAA" w:rsidRDefault="00711444" w:rsidP="00711444">
      <w:pPr>
        <w:pStyle w:val="B1"/>
      </w:pPr>
      <w:r w:rsidRPr="004D0DAA">
        <w:t>-</w:t>
      </w:r>
      <w:r w:rsidRPr="004D0DAA">
        <w:tab/>
        <w:t>Extended Coverage Packet Data Traffic Channel (EC-PDTCH) downlink: carries user data using GMSK or 8-PSK on one or four PDCH(s).</w:t>
      </w:r>
    </w:p>
    <w:p w14:paraId="310C5A0D" w14:textId="77777777" w:rsidR="00711444" w:rsidRPr="004D0DAA" w:rsidRDefault="00711444" w:rsidP="00711444">
      <w:pPr>
        <w:pStyle w:val="B1"/>
        <w:rPr>
          <w:rStyle w:val="CommentReference"/>
        </w:rPr>
      </w:pPr>
      <w:r w:rsidRPr="004D0DAA">
        <w:t>-</w:t>
      </w:r>
      <w:r w:rsidRPr="004D0DAA">
        <w:tab/>
        <w:t>Extended Coverage Packet Data Traffic Channel (EC-PDTCH) uplink: carries user data using GMSK or 8-PSK on one or four PDCH(s).</w:t>
      </w:r>
    </w:p>
    <w:p w14:paraId="41E76D1B" w14:textId="77777777" w:rsidR="00711444" w:rsidRPr="004D0DAA" w:rsidRDefault="00711444" w:rsidP="00711444">
      <w:pPr>
        <w:pStyle w:val="Heading2"/>
      </w:pPr>
      <w:bookmarkStart w:id="9" w:name="_Toc516669199"/>
      <w:r w:rsidRPr="004D0DAA">
        <w:t>1.5</w:t>
      </w:r>
      <w:r w:rsidRPr="004D0DAA">
        <w:tab/>
        <w:t>Conventions</w:t>
      </w:r>
      <w:bookmarkEnd w:id="9"/>
    </w:p>
    <w:p w14:paraId="66516A1E" w14:textId="77777777" w:rsidR="00711444" w:rsidRPr="004D0DAA" w:rsidRDefault="00711444" w:rsidP="00711444">
      <w:r w:rsidRPr="004D0DAA">
        <w:t>Unless explicitly stated otherwise, the following conventions apply:</w:t>
      </w:r>
    </w:p>
    <w:p w14:paraId="5C60DB69" w14:textId="77777777" w:rsidR="00711444" w:rsidRPr="004D0DAA" w:rsidRDefault="00711444" w:rsidP="00711444">
      <w:pPr>
        <w:pStyle w:val="B1"/>
      </w:pPr>
      <w:r w:rsidRPr="004D0DAA">
        <w:t>-</w:t>
      </w:r>
      <w:r w:rsidRPr="004D0DAA">
        <w:tab/>
        <w:t>The notations "further study", "FS" or "FFS" indicate the annotated text is not normative.</w:t>
      </w:r>
    </w:p>
    <w:p w14:paraId="0ACE352C" w14:textId="77777777" w:rsidR="00711444" w:rsidRPr="004D0DAA" w:rsidRDefault="00711444" w:rsidP="00711444">
      <w:pPr>
        <w:pStyle w:val="B1"/>
      </w:pPr>
      <w:r w:rsidRPr="004D0DAA">
        <w:t>-</w:t>
      </w:r>
      <w:r w:rsidRPr="004D0DAA">
        <w:tab/>
        <w:t>"GPRS" refers to "GPRS and EGPRS".</w:t>
      </w:r>
    </w:p>
    <w:p w14:paraId="23DA8D49" w14:textId="77777777" w:rsidR="00711444" w:rsidRPr="004D0DAA" w:rsidRDefault="00711444" w:rsidP="00711444">
      <w:pPr>
        <w:pStyle w:val="B1"/>
      </w:pPr>
      <w:r w:rsidRPr="004D0DAA">
        <w:t>-</w:t>
      </w:r>
      <w:r w:rsidRPr="004D0DAA">
        <w:tab/>
        <w:t>"EGPRS" refers to "EGPRS</w:t>
      </w:r>
      <w:r w:rsidRPr="004D0DAA">
        <w:rPr>
          <w:rFonts w:hint="eastAsia"/>
          <w:lang w:eastAsia="ko-KR"/>
        </w:rPr>
        <w:t xml:space="preserve"> and</w:t>
      </w:r>
      <w:r w:rsidRPr="004D0DAA">
        <w:t xml:space="preserve"> EGPRS2".</w:t>
      </w:r>
    </w:p>
    <w:p w14:paraId="126AFB1F" w14:textId="77777777" w:rsidR="00711444" w:rsidRPr="004D0DAA" w:rsidRDefault="00711444" w:rsidP="00711444">
      <w:pPr>
        <w:pStyle w:val="B1"/>
      </w:pPr>
      <w:r w:rsidRPr="004D0DAA">
        <w:t>-</w:t>
      </w:r>
      <w:r w:rsidRPr="004D0DAA">
        <w:tab/>
        <w:t>"EGPRS2" refers to "EGPRS2-A and EGPRS2-B".</w:t>
      </w:r>
    </w:p>
    <w:p w14:paraId="2D308052" w14:textId="77777777" w:rsidR="00711444" w:rsidRPr="004D0DAA" w:rsidRDefault="00711444" w:rsidP="00711444">
      <w:pPr>
        <w:pStyle w:val="B1"/>
      </w:pPr>
      <w:r w:rsidRPr="004D0DAA">
        <w:t>-</w:t>
      </w:r>
      <w:r w:rsidRPr="004D0DAA">
        <w:tab/>
        <w:t>"PBCCH" refers to "PBCCH and CPBCCH".</w:t>
      </w:r>
    </w:p>
    <w:p w14:paraId="38B79C23" w14:textId="77777777" w:rsidR="00711444" w:rsidRPr="004D0DAA" w:rsidRDefault="00711444" w:rsidP="00711444">
      <w:pPr>
        <w:pStyle w:val="B1"/>
      </w:pPr>
      <w:r w:rsidRPr="004D0DAA">
        <w:t>-</w:t>
      </w:r>
      <w:r w:rsidRPr="004D0DAA">
        <w:tab/>
        <w:t>"PPCH" refers to "PPCH and CPPCH".</w:t>
      </w:r>
    </w:p>
    <w:p w14:paraId="76EDB617" w14:textId="77777777" w:rsidR="00711444" w:rsidRPr="004D0DAA" w:rsidRDefault="00711444" w:rsidP="00711444">
      <w:pPr>
        <w:pStyle w:val="B1"/>
      </w:pPr>
      <w:r w:rsidRPr="004D0DAA">
        <w:t>-</w:t>
      </w:r>
      <w:r w:rsidRPr="004D0DAA">
        <w:tab/>
        <w:t>"PRACH" refers to "PRACH and CPRACH".</w:t>
      </w:r>
    </w:p>
    <w:p w14:paraId="186F8638" w14:textId="77777777" w:rsidR="00711444" w:rsidRPr="004D0DAA" w:rsidRDefault="00711444" w:rsidP="00711444">
      <w:pPr>
        <w:pStyle w:val="B1"/>
      </w:pPr>
      <w:r w:rsidRPr="004D0DAA">
        <w:t>-</w:t>
      </w:r>
      <w:r w:rsidRPr="004D0DAA">
        <w:tab/>
        <w:t>"PAGCH" refers to "PAGCH and CPAGCH".</w:t>
      </w:r>
    </w:p>
    <w:p w14:paraId="097CE18C" w14:textId="77777777" w:rsidR="00711444" w:rsidRPr="004D0DAA" w:rsidRDefault="00711444" w:rsidP="00711444">
      <w:pPr>
        <w:pStyle w:val="B1"/>
      </w:pPr>
      <w:r w:rsidRPr="004D0DAA">
        <w:t>-</w:t>
      </w:r>
      <w:r w:rsidRPr="004D0DAA">
        <w:tab/>
        <w:t>References to "PDCH" also apply to "SBPSCH" and vice-versa.</w:t>
      </w:r>
    </w:p>
    <w:p w14:paraId="16E56B1D" w14:textId="77777777" w:rsidR="00711444" w:rsidRPr="004D0DAA" w:rsidRDefault="00711444" w:rsidP="00711444">
      <w:pPr>
        <w:ind w:left="568" w:hanging="284"/>
      </w:pPr>
      <w:r w:rsidRPr="004D0DAA">
        <w:t>-</w:t>
      </w:r>
      <w:r w:rsidRPr="004D0DAA">
        <w:tab/>
        <w:t>"MBMS Assignment" refers to either "MBMS ASSIGNMENT (NON-DISTRIBUTION)" or "MBMS ASSIGNMENT (DISTRIBUTION)".</w:t>
      </w:r>
    </w:p>
    <w:p w14:paraId="7A4AF44C" w14:textId="77777777" w:rsidR="00711444" w:rsidRPr="004D0DAA" w:rsidRDefault="00711444" w:rsidP="00711444">
      <w:pPr>
        <w:pStyle w:val="Heading2"/>
      </w:pPr>
      <w:bookmarkStart w:id="10" w:name="_Toc516669200"/>
      <w:r w:rsidRPr="004D0DAA">
        <w:t>1.6</w:t>
      </w:r>
      <w:r w:rsidRPr="004D0DAA">
        <w:tab/>
        <w:t>Restrictions</w:t>
      </w:r>
      <w:bookmarkEnd w:id="10"/>
    </w:p>
    <w:p w14:paraId="288B13BA" w14:textId="77777777" w:rsidR="00711444" w:rsidRPr="004D0DAA" w:rsidRDefault="00711444" w:rsidP="00711444">
      <w:r w:rsidRPr="004D0DAA">
        <w:t>Independently of what is stated elsewhere in this and other 3GPP specifications, mobile station support for PBCCH, PCCCH and PACKET PSI STATUS is optional for A/Gb-mode of operation. The network shall never enable PBCCH and PCCCH.</w:t>
      </w:r>
    </w:p>
    <w:p w14:paraId="7A8093D1" w14:textId="77777777" w:rsidR="00711444" w:rsidRPr="004D0DAA" w:rsidRDefault="00711444" w:rsidP="00711444">
      <w:r w:rsidRPr="004D0DAA">
        <w:t>On PACCH the network may send Packet System Information (PSI) messages PSI13, PSI14 and PSI15 but shall not send any other PSI message.</w:t>
      </w:r>
    </w:p>
    <w:p w14:paraId="31B3C38B" w14:textId="77777777" w:rsidR="00711444" w:rsidRPr="004D0DAA" w:rsidRDefault="00711444" w:rsidP="00711444">
      <w:pPr>
        <w:pStyle w:val="Heading1"/>
      </w:pPr>
      <w:bookmarkStart w:id="11" w:name="_Toc516669201"/>
      <w:r w:rsidRPr="004D0DAA">
        <w:t>2</w:t>
      </w:r>
      <w:r w:rsidRPr="004D0DAA">
        <w:tab/>
        <w:t>References</w:t>
      </w:r>
      <w:bookmarkEnd w:id="11"/>
    </w:p>
    <w:p w14:paraId="586186D5" w14:textId="77777777" w:rsidR="00711444" w:rsidRPr="004D0DAA" w:rsidRDefault="00711444" w:rsidP="00711444">
      <w:r w:rsidRPr="004D0DAA">
        <w:t>The following documents contain provisions which, through reference in this text, constitute provisions of the present document.</w:t>
      </w:r>
    </w:p>
    <w:p w14:paraId="307E8354" w14:textId="77777777" w:rsidR="00711444" w:rsidRPr="004D0DAA" w:rsidRDefault="002469C7" w:rsidP="002469C7">
      <w:pPr>
        <w:pStyle w:val="B1"/>
      </w:pPr>
      <w:r>
        <w:t>-</w:t>
      </w:r>
      <w:r>
        <w:tab/>
      </w:r>
      <w:r w:rsidR="00711444" w:rsidRPr="004D0DAA">
        <w:t>References are either specific (identified by date of publication, edition number, version number, etc.) or non</w:t>
      </w:r>
      <w:r w:rsidR="00711444" w:rsidRPr="004D0DAA">
        <w:noBreakHyphen/>
        <w:t>specific.</w:t>
      </w:r>
    </w:p>
    <w:p w14:paraId="00810137" w14:textId="77777777" w:rsidR="00711444" w:rsidRPr="004D0DAA" w:rsidRDefault="002469C7" w:rsidP="002469C7">
      <w:pPr>
        <w:pStyle w:val="B1"/>
      </w:pPr>
      <w:r>
        <w:t>-</w:t>
      </w:r>
      <w:r>
        <w:tab/>
      </w:r>
      <w:r w:rsidR="00711444" w:rsidRPr="004D0DAA">
        <w:t>For a specific reference, subsequent revisions do not apply.</w:t>
      </w:r>
    </w:p>
    <w:p w14:paraId="70184A55" w14:textId="77777777" w:rsidR="00711444" w:rsidRPr="004D0DAA" w:rsidRDefault="002469C7" w:rsidP="002469C7">
      <w:pPr>
        <w:pStyle w:val="B1"/>
      </w:pPr>
      <w:r>
        <w:lastRenderedPageBreak/>
        <w:t>-</w:t>
      </w:r>
      <w:r>
        <w:tab/>
      </w:r>
      <w:r w:rsidR="00711444" w:rsidRPr="004D0DAA">
        <w:t xml:space="preserve">For a non-specific reference, the latest version applies. In the case of a reference to a 3GPP document (including a GSM document), a non-specific reference implicitly refers to the latest version of that document </w:t>
      </w:r>
      <w:r w:rsidR="00711444" w:rsidRPr="004D0DAA">
        <w:rPr>
          <w:i/>
          <w:iCs/>
        </w:rPr>
        <w:t>in the same Release as the present document</w:t>
      </w:r>
      <w:r w:rsidR="00711444" w:rsidRPr="004D0DAA">
        <w:t>.</w:t>
      </w:r>
    </w:p>
    <w:p w14:paraId="6EE8974A" w14:textId="77777777" w:rsidR="00711444" w:rsidRPr="004D0DAA" w:rsidRDefault="00711444" w:rsidP="00711444">
      <w:pPr>
        <w:pStyle w:val="EX"/>
      </w:pPr>
      <w:r w:rsidRPr="004D0DAA">
        <w:t>[1]</w:t>
      </w:r>
      <w:r w:rsidRPr="004D0DAA">
        <w:tab/>
        <w:t>3GPP TR 21.905: "Vocabulary for 3GPP Specifications".</w:t>
      </w:r>
    </w:p>
    <w:p w14:paraId="6C00D35D" w14:textId="77777777" w:rsidR="00711444" w:rsidRPr="004D0DAA" w:rsidRDefault="00711444" w:rsidP="00711444">
      <w:pPr>
        <w:pStyle w:val="EX"/>
      </w:pPr>
      <w:r w:rsidRPr="004D0DAA">
        <w:t>[2]</w:t>
      </w:r>
      <w:r w:rsidRPr="004D0DAA">
        <w:tab/>
        <w:t>3GPP TS 22.060: "General Packet Radio Service (GPRS); Service Description; Stage 1".</w:t>
      </w:r>
    </w:p>
    <w:p w14:paraId="76B97CC2" w14:textId="77777777" w:rsidR="00711444" w:rsidRPr="004D0DAA" w:rsidRDefault="00711444" w:rsidP="00711444">
      <w:pPr>
        <w:pStyle w:val="EX"/>
      </w:pPr>
      <w:r w:rsidRPr="004D0DAA">
        <w:t>[3]</w:t>
      </w:r>
      <w:r w:rsidRPr="004D0DAA">
        <w:tab/>
        <w:t>3GPP TS 23.003: "Numbering, addressing and identification".</w:t>
      </w:r>
    </w:p>
    <w:p w14:paraId="44F426EC" w14:textId="77777777" w:rsidR="00711444" w:rsidRPr="004D0DAA" w:rsidRDefault="00711444" w:rsidP="00711444">
      <w:pPr>
        <w:pStyle w:val="EX"/>
      </w:pPr>
      <w:r w:rsidRPr="004D0DAA">
        <w:t>[4]</w:t>
      </w:r>
      <w:r w:rsidRPr="004D0DAA">
        <w:tab/>
        <w:t>3GPP TS 43.013: "Discontinuous Reception (DRX) in the GSM system".</w:t>
      </w:r>
    </w:p>
    <w:p w14:paraId="6585FCBB" w14:textId="77777777" w:rsidR="00711444" w:rsidRPr="004D0DAA" w:rsidRDefault="00711444" w:rsidP="00711444">
      <w:pPr>
        <w:pStyle w:val="EX"/>
      </w:pPr>
      <w:r w:rsidRPr="004D0DAA">
        <w:t>[5]</w:t>
      </w:r>
      <w:r w:rsidRPr="004D0DAA">
        <w:tab/>
        <w:t>3GPP TS 43.064: " Overall description of GPRS radio interface; Stage 2".</w:t>
      </w:r>
    </w:p>
    <w:p w14:paraId="603D7955" w14:textId="77777777" w:rsidR="00711444" w:rsidRPr="004D0DAA" w:rsidRDefault="00711444" w:rsidP="00711444">
      <w:pPr>
        <w:pStyle w:val="EX"/>
      </w:pPr>
      <w:r w:rsidRPr="004D0DAA">
        <w:t>[6]</w:t>
      </w:r>
      <w:r w:rsidRPr="004D0DAA">
        <w:tab/>
        <w:t>3GPP TS 24.002: "GSM - UMTS Public Land Mobile Network (PLMN) access reference configuration".</w:t>
      </w:r>
    </w:p>
    <w:p w14:paraId="3164A532" w14:textId="77777777" w:rsidR="00711444" w:rsidRPr="004D0DAA" w:rsidRDefault="00711444" w:rsidP="00711444">
      <w:pPr>
        <w:pStyle w:val="EX"/>
      </w:pPr>
      <w:r w:rsidRPr="004D0DAA">
        <w:t>[7]</w:t>
      </w:r>
      <w:r w:rsidRPr="004D0DAA">
        <w:tab/>
        <w:t>3GPP TS 44.003: "Mobile Station - Base Station System (MS-BSS) interface; Channel structures and access capabilities".</w:t>
      </w:r>
    </w:p>
    <w:p w14:paraId="7D22378B" w14:textId="77777777" w:rsidR="00711444" w:rsidRPr="004D0DAA" w:rsidRDefault="00711444" w:rsidP="00711444">
      <w:pPr>
        <w:pStyle w:val="EX"/>
      </w:pPr>
      <w:r w:rsidRPr="004D0DAA">
        <w:t>[8]</w:t>
      </w:r>
      <w:r w:rsidRPr="004D0DAA">
        <w:tab/>
        <w:t>3GPP TS 44.004: "Layer 1; General requirements".</w:t>
      </w:r>
    </w:p>
    <w:p w14:paraId="24B9BB2C" w14:textId="77777777" w:rsidR="00711444" w:rsidRPr="004D0DAA" w:rsidRDefault="00711444" w:rsidP="00711444">
      <w:pPr>
        <w:pStyle w:val="EX"/>
      </w:pPr>
      <w:r w:rsidRPr="004D0DAA">
        <w:t>[9]</w:t>
      </w:r>
      <w:r w:rsidRPr="004D0DAA">
        <w:tab/>
        <w:t>3GPP TS 44.005: "Data Link (DL) layer; General aspects".</w:t>
      </w:r>
    </w:p>
    <w:p w14:paraId="044E3B37" w14:textId="77777777" w:rsidR="00711444" w:rsidRPr="004D0DAA" w:rsidRDefault="00711444" w:rsidP="00711444">
      <w:pPr>
        <w:pStyle w:val="EX"/>
      </w:pPr>
      <w:r w:rsidRPr="004D0DAA">
        <w:t>[10]</w:t>
      </w:r>
      <w:r w:rsidRPr="004D0DAA">
        <w:tab/>
        <w:t>3GPP TS 24.007: "Mobile radio interface signalling layer 3; General aspects".</w:t>
      </w:r>
    </w:p>
    <w:p w14:paraId="4842513F" w14:textId="77777777" w:rsidR="00711444" w:rsidRPr="004D0DAA" w:rsidRDefault="00711444" w:rsidP="00711444">
      <w:pPr>
        <w:pStyle w:val="EX"/>
      </w:pPr>
      <w:r w:rsidRPr="004D0DAA">
        <w:t>[11]</w:t>
      </w:r>
      <w:r w:rsidRPr="004D0DAA">
        <w:tab/>
        <w:t>3GPP TS 44.018: "Mobile radio interface layer 3 specification; Radio Resource Control Protocol".</w:t>
      </w:r>
    </w:p>
    <w:p w14:paraId="3333B46E" w14:textId="77777777" w:rsidR="00711444" w:rsidRPr="004D0DAA" w:rsidRDefault="00711444" w:rsidP="00711444">
      <w:pPr>
        <w:pStyle w:val="EX"/>
      </w:pPr>
      <w:r w:rsidRPr="004D0DAA">
        <w:t>[12]</w:t>
      </w:r>
      <w:r w:rsidRPr="004D0DAA">
        <w:tab/>
        <w:t>3GPP TS 44.064: " Mobile Station - Serving GPRS Support Node (MS-SGSN) Logical Link Control (LLC) Layer Specification".</w:t>
      </w:r>
    </w:p>
    <w:p w14:paraId="619DB1EE" w14:textId="77777777" w:rsidR="00711444" w:rsidRPr="004D0DAA" w:rsidRDefault="00711444" w:rsidP="00711444">
      <w:pPr>
        <w:pStyle w:val="EX"/>
      </w:pPr>
      <w:r w:rsidRPr="004D0DAA">
        <w:t>[13]</w:t>
      </w:r>
      <w:r w:rsidRPr="004D0DAA">
        <w:tab/>
        <w:t>3GPP TS 45.002: "Multiplexing and multiple access on the radio path".</w:t>
      </w:r>
    </w:p>
    <w:p w14:paraId="79BFECB8" w14:textId="77777777" w:rsidR="00711444" w:rsidRPr="004D0DAA" w:rsidRDefault="00711444" w:rsidP="00711444">
      <w:pPr>
        <w:pStyle w:val="EX"/>
      </w:pPr>
      <w:r w:rsidRPr="004D0DAA">
        <w:t>[14]</w:t>
      </w:r>
      <w:r w:rsidRPr="004D0DAA">
        <w:tab/>
        <w:t>3GPP TS 45.003: "Channel coding".</w:t>
      </w:r>
    </w:p>
    <w:p w14:paraId="52E9594F" w14:textId="77777777" w:rsidR="00711444" w:rsidRPr="004D0DAA" w:rsidRDefault="00711444" w:rsidP="00711444">
      <w:pPr>
        <w:pStyle w:val="EX"/>
      </w:pPr>
      <w:r w:rsidRPr="004D0DAA">
        <w:t>[15]</w:t>
      </w:r>
      <w:r w:rsidRPr="004D0DAA">
        <w:tab/>
        <w:t>3GPP TS 45.008: "Radio subsystem link control".</w:t>
      </w:r>
    </w:p>
    <w:p w14:paraId="5D141F50" w14:textId="77777777" w:rsidR="00711444" w:rsidRPr="004D0DAA" w:rsidRDefault="00711444" w:rsidP="00711444">
      <w:pPr>
        <w:pStyle w:val="EX"/>
      </w:pPr>
      <w:r w:rsidRPr="004D0DAA">
        <w:t>[16]</w:t>
      </w:r>
      <w:r w:rsidRPr="004D0DAA">
        <w:tab/>
        <w:t>3GPP TS 45.010: "Radio subsystem synchronization".</w:t>
      </w:r>
    </w:p>
    <w:p w14:paraId="68022450" w14:textId="77777777" w:rsidR="00711444" w:rsidRPr="004D0DAA" w:rsidRDefault="00711444" w:rsidP="00711444">
      <w:pPr>
        <w:pStyle w:val="EX"/>
      </w:pPr>
      <w:r w:rsidRPr="004D0DAA">
        <w:t>[17]</w:t>
      </w:r>
      <w:r w:rsidRPr="004D0DAA">
        <w:tab/>
        <w:t>(void)</w:t>
      </w:r>
    </w:p>
    <w:p w14:paraId="3538129D" w14:textId="77777777" w:rsidR="00711444" w:rsidRPr="004D0DAA" w:rsidRDefault="00711444" w:rsidP="00711444">
      <w:pPr>
        <w:pStyle w:val="EX"/>
      </w:pPr>
      <w:r w:rsidRPr="004D0DAA">
        <w:t>[18]</w:t>
      </w:r>
      <w:r w:rsidRPr="004D0DAA">
        <w:tab/>
        <w:t>(void).</w:t>
      </w:r>
    </w:p>
    <w:p w14:paraId="432EED0C" w14:textId="77777777" w:rsidR="00711444" w:rsidRPr="004D0DAA" w:rsidRDefault="00711444" w:rsidP="00711444">
      <w:pPr>
        <w:pStyle w:val="EX"/>
      </w:pPr>
      <w:r w:rsidRPr="004D0DAA">
        <w:t>[19]</w:t>
      </w:r>
      <w:r w:rsidRPr="004D0DAA">
        <w:tab/>
        <w:t>3GPP TS 23.060: "General Packet Radio Service (GPRS); Service Description; Stage 2".</w:t>
      </w:r>
    </w:p>
    <w:p w14:paraId="7A48C14B" w14:textId="77777777" w:rsidR="00711444" w:rsidRPr="004D0DAA" w:rsidRDefault="00711444" w:rsidP="00711444">
      <w:pPr>
        <w:pStyle w:val="EX"/>
      </w:pPr>
      <w:r w:rsidRPr="004D0DAA">
        <w:t>[20]</w:t>
      </w:r>
      <w:r w:rsidRPr="004D0DAA">
        <w:tab/>
        <w:t>3GPP TS 25.331: "Radio Resource Control (RRC) protocol specification".</w:t>
      </w:r>
    </w:p>
    <w:p w14:paraId="542C5594" w14:textId="77777777" w:rsidR="00711444" w:rsidRPr="004D0DAA" w:rsidRDefault="00711444" w:rsidP="00711444">
      <w:pPr>
        <w:pStyle w:val="EX"/>
      </w:pPr>
      <w:r w:rsidRPr="004D0DAA">
        <w:t>[21]</w:t>
      </w:r>
      <w:r w:rsidRPr="004D0DAA">
        <w:tab/>
        <w:t>3GPP TS 25.133: "Requirements for support of radio resource management (FDD)".</w:t>
      </w:r>
    </w:p>
    <w:p w14:paraId="43DBE801" w14:textId="77777777" w:rsidR="00711444" w:rsidRPr="004D0DAA" w:rsidRDefault="00711444" w:rsidP="00711444">
      <w:pPr>
        <w:pStyle w:val="EX"/>
      </w:pPr>
      <w:r w:rsidRPr="004D0DAA">
        <w:t>[22]</w:t>
      </w:r>
      <w:r w:rsidRPr="004D0DAA">
        <w:tab/>
        <w:t>3GPP TS 25.123: "Requirements for support of radio resource management (TDD)".</w:t>
      </w:r>
    </w:p>
    <w:p w14:paraId="66605503" w14:textId="77777777" w:rsidR="00711444" w:rsidRPr="004D0DAA" w:rsidRDefault="00711444" w:rsidP="00711444">
      <w:pPr>
        <w:pStyle w:val="EX"/>
      </w:pPr>
      <w:r w:rsidRPr="004D0DAA">
        <w:t>[23]</w:t>
      </w:r>
      <w:r w:rsidRPr="004D0DAA">
        <w:tab/>
        <w:t>ITU-T Recommendation T.4: "Standardization of Group 3 facsimile terminals for document transmission".</w:t>
      </w:r>
    </w:p>
    <w:p w14:paraId="18AA4E73" w14:textId="77777777" w:rsidR="00711444" w:rsidRPr="004D0DAA" w:rsidRDefault="00711444" w:rsidP="00711444">
      <w:pPr>
        <w:pStyle w:val="EX"/>
      </w:pPr>
      <w:r w:rsidRPr="004D0DAA">
        <w:t>[24]</w:t>
      </w:r>
      <w:r w:rsidRPr="004D0DAA">
        <w:tab/>
        <w:t>3GPP TS 22.011: "Service accessibility".</w:t>
      </w:r>
    </w:p>
    <w:p w14:paraId="58905D01" w14:textId="77777777" w:rsidR="00711444" w:rsidRPr="004D0DAA" w:rsidRDefault="00711444" w:rsidP="00711444">
      <w:pPr>
        <w:pStyle w:val="EX"/>
      </w:pPr>
      <w:r w:rsidRPr="004D0DAA">
        <w:t>[25]</w:t>
      </w:r>
      <w:r w:rsidRPr="004D0DAA">
        <w:tab/>
        <w:t>3GPP TS 25.101: "UE Radio Transmission and Reception (FDD)".</w:t>
      </w:r>
    </w:p>
    <w:p w14:paraId="354CD74A" w14:textId="77777777" w:rsidR="00711444" w:rsidRPr="004D0DAA" w:rsidRDefault="00711444" w:rsidP="00711444">
      <w:pPr>
        <w:pStyle w:val="EX"/>
      </w:pPr>
      <w:r w:rsidRPr="004D0DAA">
        <w:t>[26]</w:t>
      </w:r>
      <w:r w:rsidRPr="004D0DAA">
        <w:tab/>
        <w:t>3GPP TS 25.102: "UTRA (UE) TDD; Radio transmission and reception".</w:t>
      </w:r>
    </w:p>
    <w:p w14:paraId="5FEC093F" w14:textId="77777777" w:rsidR="00711444" w:rsidRPr="004D0DAA" w:rsidRDefault="00711444" w:rsidP="00711444">
      <w:pPr>
        <w:pStyle w:val="EX"/>
      </w:pPr>
      <w:r w:rsidRPr="004D0DAA">
        <w:t>[27]</w:t>
      </w:r>
      <w:r w:rsidRPr="004D0DAA">
        <w:tab/>
        <w:t>3GPP TS 25.213: "Spreading and modulation (FDD)".</w:t>
      </w:r>
    </w:p>
    <w:p w14:paraId="7D2BAE25" w14:textId="77777777" w:rsidR="00711444" w:rsidRPr="004D0DAA" w:rsidRDefault="00711444" w:rsidP="00711444">
      <w:pPr>
        <w:pStyle w:val="EX"/>
      </w:pPr>
      <w:r w:rsidRPr="004D0DAA">
        <w:t>[28]</w:t>
      </w:r>
      <w:r w:rsidRPr="004D0DAA">
        <w:tab/>
        <w:t>3GPP TS 25.223: "Spreading and modulation (TDD)".</w:t>
      </w:r>
    </w:p>
    <w:p w14:paraId="0FC4AFBD" w14:textId="77777777" w:rsidR="00711444" w:rsidRPr="004D0DAA" w:rsidRDefault="00711444" w:rsidP="00711444">
      <w:pPr>
        <w:pStyle w:val="EX"/>
      </w:pPr>
      <w:r w:rsidRPr="004D0DAA">
        <w:t>[29]</w:t>
      </w:r>
      <w:r w:rsidRPr="004D0DAA">
        <w:tab/>
        <w:t>3GPP TS 25.304: "UE Procedures in Idle Mode and Procedures for Cell Reselection in Connected Mode".</w:t>
      </w:r>
    </w:p>
    <w:p w14:paraId="0796A787" w14:textId="77777777" w:rsidR="00711444" w:rsidRPr="004D0DAA" w:rsidRDefault="00711444" w:rsidP="00711444">
      <w:pPr>
        <w:pStyle w:val="EX"/>
      </w:pPr>
      <w:r w:rsidRPr="004D0DAA">
        <w:t>[30]</w:t>
      </w:r>
      <w:r w:rsidRPr="004D0DAA">
        <w:tab/>
        <w:t>3GPP TS 45.005: "Radio transmission and reception".</w:t>
      </w:r>
    </w:p>
    <w:p w14:paraId="39A58C8F" w14:textId="77777777" w:rsidR="00711444" w:rsidRPr="004D0DAA" w:rsidRDefault="00711444" w:rsidP="00711444">
      <w:pPr>
        <w:pStyle w:val="EX"/>
      </w:pPr>
      <w:r w:rsidRPr="004D0DAA">
        <w:lastRenderedPageBreak/>
        <w:t>[31]</w:t>
      </w:r>
      <w:r w:rsidRPr="004D0DAA">
        <w:tab/>
        <w:t>3GPP TS 45.009: "Link adaptation".</w:t>
      </w:r>
    </w:p>
    <w:p w14:paraId="1F0E0B5D" w14:textId="77777777" w:rsidR="00711444" w:rsidRPr="004D0DAA" w:rsidRDefault="00711444" w:rsidP="00711444">
      <w:pPr>
        <w:pStyle w:val="EX"/>
      </w:pPr>
      <w:r w:rsidRPr="004D0DAA">
        <w:t>[32]</w:t>
      </w:r>
      <w:r w:rsidRPr="004D0DAA">
        <w:tab/>
        <w:t>TIA/EIA-IS-2000-5-A: "CDMA 2000 Series".</w:t>
      </w:r>
    </w:p>
    <w:p w14:paraId="78D6B836" w14:textId="77777777" w:rsidR="00711444" w:rsidRPr="004D0DAA" w:rsidRDefault="00711444" w:rsidP="00711444">
      <w:pPr>
        <w:pStyle w:val="EX"/>
      </w:pPr>
      <w:r w:rsidRPr="004D0DAA">
        <w:t>[33]</w:t>
      </w:r>
      <w:r w:rsidRPr="004D0DAA">
        <w:tab/>
        <w:t>3GPP TS 51.010-1 (Rel-6): "Mobile Station (MS) conformance specification; Part 1: Conformance specification ".</w:t>
      </w:r>
    </w:p>
    <w:p w14:paraId="6065F01E" w14:textId="77777777" w:rsidR="00711444" w:rsidRPr="004D0DAA" w:rsidRDefault="00711444" w:rsidP="00711444">
      <w:pPr>
        <w:pStyle w:val="EX"/>
      </w:pPr>
      <w:r w:rsidRPr="004D0DAA">
        <w:t>[34]</w:t>
      </w:r>
      <w:r w:rsidRPr="004D0DAA">
        <w:tab/>
        <w:t>3GPP TS 51.010-2 (Rel-6): "Mobile Station (MS) conformance specification; Part 2: Protocol Implementation Conformance Statement (ICS); proforma specification".</w:t>
      </w:r>
    </w:p>
    <w:p w14:paraId="41B99C85" w14:textId="77777777" w:rsidR="00711444" w:rsidRPr="004D0DAA" w:rsidRDefault="00711444" w:rsidP="00711444">
      <w:pPr>
        <w:pStyle w:val="EX"/>
      </w:pPr>
      <w:r w:rsidRPr="004D0DAA">
        <w:t>[35]</w:t>
      </w:r>
      <w:r w:rsidRPr="004D0DAA">
        <w:tab/>
        <w:t>3GPP TS 51.010-3 (Rel-6): "Mobile Station (MS) conformance specification; Part 3: Layer 3 Abstract Test Suite (ATS)".</w:t>
      </w:r>
    </w:p>
    <w:p w14:paraId="08B66A32" w14:textId="77777777" w:rsidR="00711444" w:rsidRPr="004D0DAA" w:rsidRDefault="00711444" w:rsidP="00711444">
      <w:pPr>
        <w:pStyle w:val="EX"/>
      </w:pPr>
      <w:r w:rsidRPr="004D0DAA">
        <w:t>[36]</w:t>
      </w:r>
      <w:r w:rsidRPr="004D0DAA">
        <w:tab/>
        <w:t>3GPP TS 51.010-4 (Rel-6): "Mobile Station (MS) conformance specification; Part 4: SIM application toolkit conformance specification".</w:t>
      </w:r>
    </w:p>
    <w:p w14:paraId="5914A567" w14:textId="77777777" w:rsidR="00711444" w:rsidRPr="004D0DAA" w:rsidRDefault="00711444" w:rsidP="00711444">
      <w:pPr>
        <w:pStyle w:val="EX"/>
      </w:pPr>
      <w:r w:rsidRPr="004D0DAA">
        <w:t>[37]</w:t>
      </w:r>
      <w:r w:rsidRPr="004D0DAA">
        <w:rPr>
          <w:sz w:val="24"/>
        </w:rPr>
        <w:tab/>
      </w:r>
      <w:r w:rsidRPr="004D0DAA">
        <w:t>3GPP TS 51.021: "Base Station System (BSS) equipment specification; Radio aspects".</w:t>
      </w:r>
    </w:p>
    <w:p w14:paraId="081A44D3" w14:textId="77777777" w:rsidR="00711444" w:rsidRPr="004D0DAA" w:rsidRDefault="00711444" w:rsidP="00711444">
      <w:pPr>
        <w:pStyle w:val="EX"/>
      </w:pPr>
      <w:r w:rsidRPr="004D0DAA">
        <w:t>[38]</w:t>
      </w:r>
      <w:r w:rsidRPr="004D0DAA">
        <w:tab/>
        <w:t>3GPP TS 43.051: "GSM/EDGE Radio Access Network (GERAN); Overall Description - Stage 2".</w:t>
      </w:r>
    </w:p>
    <w:p w14:paraId="72CF1569" w14:textId="77777777" w:rsidR="00711444" w:rsidRPr="004D0DAA" w:rsidRDefault="00711444" w:rsidP="00711444">
      <w:pPr>
        <w:pStyle w:val="EX"/>
      </w:pPr>
      <w:r w:rsidRPr="004D0DAA">
        <w:t>[39]</w:t>
      </w:r>
      <w:r w:rsidRPr="004D0DAA">
        <w:tab/>
        <w:t>Void.</w:t>
      </w:r>
    </w:p>
    <w:p w14:paraId="0D755748" w14:textId="77777777" w:rsidR="00711444" w:rsidRPr="004D0DAA" w:rsidRDefault="00711444" w:rsidP="00711444">
      <w:pPr>
        <w:pStyle w:val="EX"/>
      </w:pPr>
      <w:r w:rsidRPr="004D0DAA">
        <w:t>[40]</w:t>
      </w:r>
      <w:r w:rsidRPr="004D0DAA">
        <w:tab/>
      </w:r>
      <w:r w:rsidRPr="004D0DAA">
        <w:tab/>
        <w:t>Michel MOULY, "CSN.1 Specification, Version 2.0", Cell &amp; Sys, ISBN: 2</w:t>
      </w:r>
      <w:r w:rsidRPr="004D0DAA">
        <w:noBreakHyphen/>
        <w:t>9510062</w:t>
      </w:r>
      <w:r w:rsidRPr="004D0DAA">
        <w:noBreakHyphen/>
        <w:t>0</w:t>
      </w:r>
      <w:r w:rsidRPr="004D0DAA">
        <w:noBreakHyphen/>
        <w:t xml:space="preserve">9. </w:t>
      </w:r>
      <w:r w:rsidRPr="004D0DAA">
        <w:br/>
        <w:t xml:space="preserve">Web: </w:t>
      </w:r>
      <w:hyperlink r:id="rId11" w:history="1">
        <w:r w:rsidRPr="004D0DAA">
          <w:t>http://perso.wanadoo.fr/cell.sys/</w:t>
        </w:r>
      </w:hyperlink>
      <w:r w:rsidRPr="004D0DAA">
        <w:t>.</w:t>
      </w:r>
    </w:p>
    <w:p w14:paraId="69A21BA0" w14:textId="77777777" w:rsidR="00711444" w:rsidRPr="004D0DAA" w:rsidRDefault="00711444" w:rsidP="00711444">
      <w:pPr>
        <w:pStyle w:val="EX"/>
        <w:rPr>
          <w:lang w:eastAsia="zh-CN"/>
        </w:rPr>
      </w:pPr>
      <w:r w:rsidRPr="004D0DAA">
        <w:t>[41]</w:t>
      </w:r>
      <w:r w:rsidRPr="004D0DAA">
        <w:tab/>
        <w:t>3GPP TS 2</w:t>
      </w:r>
      <w:r w:rsidRPr="004D0DAA">
        <w:rPr>
          <w:lang w:eastAsia="zh-CN"/>
        </w:rPr>
        <w:t>5</w:t>
      </w:r>
      <w:r w:rsidRPr="004D0DAA">
        <w:t>.</w:t>
      </w:r>
      <w:r w:rsidRPr="004D0DAA">
        <w:rPr>
          <w:lang w:eastAsia="zh-CN"/>
        </w:rPr>
        <w:t>224</w:t>
      </w:r>
      <w:r w:rsidRPr="004D0DAA">
        <w:t>: "</w:t>
      </w:r>
      <w:r w:rsidRPr="004D0DAA">
        <w:rPr>
          <w:lang w:eastAsia="zh-CN"/>
        </w:rPr>
        <w:t>Physical Layer Procedures (TDD)</w:t>
      </w:r>
      <w:r w:rsidRPr="004D0DAA">
        <w:t>".</w:t>
      </w:r>
    </w:p>
    <w:p w14:paraId="0B0ACB5B" w14:textId="77777777" w:rsidR="00711444" w:rsidRPr="004D0DAA" w:rsidRDefault="00711444" w:rsidP="00711444">
      <w:pPr>
        <w:pStyle w:val="EX"/>
      </w:pPr>
      <w:r w:rsidRPr="004D0DAA">
        <w:t>[42]</w:t>
      </w:r>
      <w:r w:rsidRPr="004D0DAA">
        <w:tab/>
        <w:t>3GPP TS 44.318: "Generic access to the A/Gb interface; Mobile GA interface layer 3 specification".</w:t>
      </w:r>
    </w:p>
    <w:p w14:paraId="382809B2" w14:textId="77777777" w:rsidR="00711444" w:rsidRPr="004D0DAA" w:rsidRDefault="00711444" w:rsidP="00711444">
      <w:pPr>
        <w:pStyle w:val="EX"/>
      </w:pPr>
      <w:r w:rsidRPr="004D0DAA">
        <w:t>[43]</w:t>
      </w:r>
      <w:r w:rsidRPr="004D0DAA">
        <w:tab/>
      </w:r>
      <w:r w:rsidRPr="004D0DAA">
        <w:tab/>
        <w:t>3GPP TS 43.129: "Packet-switched handover for GERAN A/Gb mode; Stage 2".</w:t>
      </w:r>
    </w:p>
    <w:p w14:paraId="7308CEDF" w14:textId="77777777" w:rsidR="00711444" w:rsidRPr="004D0DAA" w:rsidRDefault="00711444" w:rsidP="00711444">
      <w:pPr>
        <w:pStyle w:val="EX"/>
        <w:ind w:left="1699" w:hanging="1411"/>
      </w:pPr>
      <w:r w:rsidRPr="004D0DAA">
        <w:t>[44]</w:t>
      </w:r>
      <w:r w:rsidRPr="004D0DAA">
        <w:tab/>
        <w:t>3GPP TS 43.318: "Generic access to the A/Gb interface; Stage 2".</w:t>
      </w:r>
    </w:p>
    <w:p w14:paraId="33F53FB7" w14:textId="77777777" w:rsidR="00711444" w:rsidRPr="004D0DAA" w:rsidRDefault="00711444" w:rsidP="00711444">
      <w:pPr>
        <w:pStyle w:val="EX"/>
        <w:ind w:left="1699" w:hanging="1411"/>
      </w:pPr>
      <w:r w:rsidRPr="004D0DAA">
        <w:t>[45]</w:t>
      </w:r>
      <w:r w:rsidRPr="004D0DAA">
        <w:tab/>
        <w:t>3GPP TS 36.331: "Evolved Universal Terrestrial Radio Access (E-UTRA); Radio Resource Control (RRC); Protocol specification".</w:t>
      </w:r>
    </w:p>
    <w:p w14:paraId="629A2F50" w14:textId="77777777" w:rsidR="00711444" w:rsidRPr="004D0DAA" w:rsidRDefault="00711444" w:rsidP="00711444">
      <w:pPr>
        <w:pStyle w:val="EX"/>
      </w:pPr>
      <w:r w:rsidRPr="004D0DAA">
        <w:t>[46]</w:t>
      </w:r>
      <w:r w:rsidRPr="004D0DAA">
        <w:tab/>
        <w:t>3GPP TS 36.104: "Evolved Universal Terrestrial Radio Access (E-UTRA); Base Station (BS) radio transmission and reception".</w:t>
      </w:r>
    </w:p>
    <w:p w14:paraId="5015F61D" w14:textId="77777777" w:rsidR="00711444" w:rsidRPr="004D0DAA" w:rsidRDefault="00711444" w:rsidP="00711444">
      <w:pPr>
        <w:pStyle w:val="EX"/>
      </w:pPr>
      <w:r w:rsidRPr="004D0DAA">
        <w:t>[47]</w:t>
      </w:r>
      <w:r w:rsidRPr="004D0DAA">
        <w:tab/>
        <w:t>3GPP TS 36.211: "Evolved Universal Terrestrial Radio Access (E-UTRA); Physical Channels and Modulation".</w:t>
      </w:r>
    </w:p>
    <w:p w14:paraId="758F9F82" w14:textId="77777777" w:rsidR="00711444" w:rsidRPr="004D0DAA" w:rsidRDefault="00711444" w:rsidP="00711444">
      <w:pPr>
        <w:pStyle w:val="EX"/>
      </w:pPr>
      <w:r w:rsidRPr="004D0DAA">
        <w:t>[48]</w:t>
      </w:r>
      <w:r w:rsidRPr="004D0DAA">
        <w:tab/>
        <w:t>3GPP TS 23.041: "Tech</w:t>
      </w:r>
      <w:r w:rsidRPr="004D0DAA">
        <w:t>nical realization of Cell Broadcast Service (CBS)".</w:t>
      </w:r>
    </w:p>
    <w:p w14:paraId="21E72A6D" w14:textId="77777777" w:rsidR="00711444" w:rsidRPr="004D0DAA" w:rsidRDefault="00711444" w:rsidP="00711444">
      <w:pPr>
        <w:pStyle w:val="EX"/>
      </w:pPr>
      <w:r w:rsidRPr="004D0DAA">
        <w:t>[49]</w:t>
      </w:r>
      <w:r w:rsidRPr="004D0DAA">
        <w:tab/>
        <w:t>3GPP TS 23.122: "Non-Access-Stratum (NAS) functions related to Mobile Station (MS) in idle mode".</w:t>
      </w:r>
    </w:p>
    <w:p w14:paraId="3C53562A" w14:textId="77777777" w:rsidR="00711444" w:rsidRPr="004D0DAA" w:rsidRDefault="00711444" w:rsidP="00711444">
      <w:pPr>
        <w:pStyle w:val="EX"/>
      </w:pPr>
      <w:r w:rsidRPr="004D0DAA">
        <w:t>[50]</w:t>
      </w:r>
      <w:r w:rsidRPr="004D0DAA">
        <w:tab/>
        <w:t>3GPP TS 23.251: "Network sharing; Architecture and functional description".</w:t>
      </w:r>
    </w:p>
    <w:p w14:paraId="641D566F" w14:textId="77777777" w:rsidR="00711444" w:rsidRPr="004D0DAA" w:rsidRDefault="00711444" w:rsidP="00711444">
      <w:pPr>
        <w:pStyle w:val="EX"/>
      </w:pPr>
      <w:r w:rsidRPr="004D0DAA">
        <w:t>[51]</w:t>
      </w:r>
      <w:r w:rsidRPr="004D0DAA">
        <w:tab/>
        <w:t xml:space="preserve">3GPP TS 24.008: "Mobile Radio Interface Layer 3 specification; Core Network Protocols - Stage 3". </w:t>
      </w:r>
    </w:p>
    <w:p w14:paraId="5489BD9C" w14:textId="77777777" w:rsidR="00711444" w:rsidRPr="004D0DAA" w:rsidRDefault="00711444" w:rsidP="00711444">
      <w:pPr>
        <w:pStyle w:val="EX"/>
        <w:rPr>
          <w:lang w:eastAsia="ja-JP"/>
        </w:rPr>
      </w:pPr>
      <w:r w:rsidRPr="004D0DAA">
        <w:rPr>
          <w:lang w:eastAsia="ja-JP"/>
        </w:rPr>
        <w:t>[52]</w:t>
      </w:r>
      <w:r w:rsidRPr="004D0DAA">
        <w:rPr>
          <w:lang w:eastAsia="ja-JP"/>
        </w:rPr>
        <w:tab/>
        <w:t>3GPP TS 24.368: "Non-Access Stratum (NAS) configuration Management Object (MO)".</w:t>
      </w:r>
    </w:p>
    <w:p w14:paraId="433BE8FB" w14:textId="77777777" w:rsidR="00711444" w:rsidRPr="004D0DAA" w:rsidRDefault="00711444" w:rsidP="00711444">
      <w:pPr>
        <w:pStyle w:val="EX"/>
      </w:pPr>
      <w:r w:rsidRPr="004D0DAA">
        <w:t>[53]</w:t>
      </w:r>
      <w:r w:rsidRPr="004D0DAA">
        <w:tab/>
        <w:t>3GPP TS 31.102: "Characteristics of the USIM Application".</w:t>
      </w:r>
    </w:p>
    <w:p w14:paraId="6C65C0D2" w14:textId="77777777" w:rsidR="00711444" w:rsidRPr="004D0DAA" w:rsidRDefault="00711444" w:rsidP="00711444">
      <w:pPr>
        <w:pStyle w:val="EX"/>
      </w:pPr>
      <w:r w:rsidRPr="004D0DAA">
        <w:t>[54]</w:t>
      </w:r>
      <w:r w:rsidRPr="004D0DAA">
        <w:tab/>
        <w:t>3GPP TS 23.401: “General Packet Radio Service (GPRS) enhancements for  Evolved Universal Terrestrial Radio Access Network (E-UTRAN) access”.</w:t>
      </w:r>
    </w:p>
    <w:p w14:paraId="16A317C0" w14:textId="77777777" w:rsidR="00711444" w:rsidRPr="004D0DAA" w:rsidRDefault="00711444" w:rsidP="00711444">
      <w:pPr>
        <w:pStyle w:val="Heading1"/>
      </w:pPr>
      <w:bookmarkStart w:id="12" w:name="_Toc516669202"/>
      <w:r w:rsidRPr="004D0DAA">
        <w:lastRenderedPageBreak/>
        <w:t>3</w:t>
      </w:r>
      <w:r w:rsidRPr="004D0DAA">
        <w:tab/>
        <w:t>Definitions, abbreviations and symbols</w:t>
      </w:r>
      <w:bookmarkEnd w:id="12"/>
    </w:p>
    <w:p w14:paraId="09D2E41D" w14:textId="77777777" w:rsidR="00711444" w:rsidRPr="004D0DAA" w:rsidRDefault="00711444" w:rsidP="00711444">
      <w:pPr>
        <w:pStyle w:val="Heading2"/>
      </w:pPr>
      <w:bookmarkStart w:id="13" w:name="_Toc516669203"/>
      <w:r w:rsidRPr="004D0DAA">
        <w:t>3.1</w:t>
      </w:r>
      <w:r w:rsidRPr="004D0DAA">
        <w:tab/>
        <w:t>Definitions</w:t>
      </w:r>
      <w:bookmarkEnd w:id="13"/>
    </w:p>
    <w:p w14:paraId="7A85EB52" w14:textId="77777777" w:rsidR="00711444" w:rsidRPr="004D0DAA" w:rsidRDefault="00711444" w:rsidP="00711444">
      <w:r w:rsidRPr="004D0DAA">
        <w:t>This document uses the following definitions:</w:t>
      </w:r>
    </w:p>
    <w:p w14:paraId="7EA1B13B" w14:textId="77777777" w:rsidR="00711444" w:rsidRPr="004D0DAA" w:rsidRDefault="00711444" w:rsidP="00711444">
      <w:pPr>
        <w:rPr>
          <w:b/>
          <w:i/>
        </w:rPr>
      </w:pPr>
      <w:r w:rsidRPr="004D0DAA">
        <w:t>Additional PLMN: when network sharing is in use within a given cell, an Additional PLMN refers to a PLMN of which the PLMN ID is broadcast in the SYSTEM INFORMATION TYPE 22 message (see 3GPP TS 44.018)</w:t>
      </w:r>
    </w:p>
    <w:p w14:paraId="1C191BCC" w14:textId="77777777" w:rsidR="00711444" w:rsidRPr="004D0DAA" w:rsidRDefault="00711444" w:rsidP="00711444">
      <w:r w:rsidRPr="004D0DAA">
        <w:rPr>
          <w:b/>
          <w:i/>
        </w:rPr>
        <w:t>A/Gb mode</w:t>
      </w:r>
      <w:r w:rsidRPr="004D0DAA">
        <w:t>: mode of operation of the MS when connected to the Core Network via GERAN and the A and/or Gb interfaces.</w:t>
      </w:r>
    </w:p>
    <w:p w14:paraId="0A4C223A" w14:textId="77777777" w:rsidR="00711444" w:rsidRPr="004D0DAA" w:rsidRDefault="00711444" w:rsidP="00711444">
      <w:r w:rsidRPr="004D0DAA">
        <w:rPr>
          <w:b/>
          <w:bCs/>
        </w:rPr>
        <w:t>Basic radio block period:</w:t>
      </w:r>
      <w:r w:rsidRPr="004D0DAA">
        <w:t xml:space="preserve"> the time needed to transmit a radio block on one PDCH using a basic TTI configuration i.e. four TDMA frames.</w:t>
      </w:r>
    </w:p>
    <w:p w14:paraId="25C9B8A1" w14:textId="77777777" w:rsidR="00711444" w:rsidRPr="004D0DAA" w:rsidRDefault="00711444" w:rsidP="00711444">
      <w:r w:rsidRPr="004D0DAA">
        <w:rPr>
          <w:b/>
        </w:rPr>
        <w:t xml:space="preserve">Blind Physical Layer Transmissions: </w:t>
      </w:r>
      <w:r w:rsidRPr="004D0DAA">
        <w:t>See 3GPP TS 43.064</w:t>
      </w:r>
    </w:p>
    <w:p w14:paraId="46BCBCBF" w14:textId="77777777" w:rsidR="00711444" w:rsidRPr="004D0DAA" w:rsidRDefault="00711444" w:rsidP="00711444">
      <w:r w:rsidRPr="004D0DAA">
        <w:rPr>
          <w:b/>
        </w:rPr>
        <w:t>Block period:</w:t>
      </w:r>
      <w:r w:rsidRPr="004D0DAA">
        <w:t xml:space="preserve"> block period is the sequence of four timeslots on a PDCH used to convey one radio block</w:t>
      </w:r>
    </w:p>
    <w:p w14:paraId="51A1D76F" w14:textId="77777777" w:rsidR="00711444" w:rsidRPr="004D0DAA" w:rsidRDefault="00711444" w:rsidP="00711444">
      <w:r w:rsidRPr="004D0DAA">
        <w:rPr>
          <w:b/>
        </w:rPr>
        <w:t>Broadcast/multicast receive mode:</w:t>
      </w:r>
      <w:r w:rsidRPr="004D0DAA">
        <w:t xml:space="preserve"> In broadcast/multicast receive mode, the mobile station is receiving upper layer PDUs on packet data physical channels used for point-to-multipoint transmission (see sub-clause 5.3.1); it is not allocated any additional radio resource on packet data physical channels. Broadcast/multicast receive mode is a sub-state of packet idle mode. The mobile station listens to the PBCCH and PCCCH or, if those are not provided by the network, to the BCCH and CCCH.</w:t>
      </w:r>
    </w:p>
    <w:p w14:paraId="48D29451" w14:textId="77777777" w:rsidR="00711444" w:rsidRPr="004D0DAA" w:rsidRDefault="00711444" w:rsidP="00711444">
      <w:r w:rsidRPr="004D0DAA">
        <w:rPr>
          <w:b/>
          <w:bCs/>
        </w:rPr>
        <w:t>BTTI configuration:</w:t>
      </w:r>
      <w:r w:rsidRPr="004D0DAA">
        <w:t xml:space="preserve"> a configuration in which a radio block is sent using one PDCH in each of four consecutive TDMA frames. In a BTTI configuration, one radio block can be transmitted in a basic radio block period.</w:t>
      </w:r>
    </w:p>
    <w:p w14:paraId="5190BCD8" w14:textId="77777777" w:rsidR="00711444" w:rsidRPr="004D0DAA" w:rsidRDefault="00711444" w:rsidP="00711444">
      <w:r w:rsidRPr="004D0DAA">
        <w:rPr>
          <w:b/>
          <w:bCs/>
        </w:rPr>
        <w:t>BTTI USF mode:</w:t>
      </w:r>
      <w:r w:rsidRPr="004D0DAA">
        <w:t xml:space="preserve"> a mode in which the USF is received on one PDCH of a downlink PDCH-pair during four consecutive TDMA frames.</w:t>
      </w:r>
    </w:p>
    <w:p w14:paraId="38A98702" w14:textId="77777777" w:rsidR="00711444" w:rsidRPr="004D0DAA" w:rsidRDefault="00711444" w:rsidP="00711444">
      <w:pPr>
        <w:ind w:left="284" w:hanging="284"/>
      </w:pPr>
      <w:r w:rsidRPr="004D0DAA">
        <w:rPr>
          <w:b/>
          <w:bCs/>
        </w:rPr>
        <w:t>Cell Change Notification (CCN)</w:t>
      </w:r>
      <w:r w:rsidRPr="004D0DAA">
        <w:rPr>
          <w:b/>
        </w:rPr>
        <w:t>:</w:t>
      </w:r>
      <w:r w:rsidRPr="004D0DAA">
        <w:t xml:space="preserve"> See sub-clause 5.5.1.1a.</w:t>
      </w:r>
    </w:p>
    <w:p w14:paraId="5AAD17B7" w14:textId="77777777" w:rsidR="00711444" w:rsidRPr="004D0DAA" w:rsidRDefault="00711444" w:rsidP="00711444">
      <w:r w:rsidRPr="004D0DAA">
        <w:rPr>
          <w:b/>
        </w:rPr>
        <w:t>Common PLMN</w:t>
      </w:r>
      <w:r w:rsidRPr="004D0DAA">
        <w:t xml:space="preserve">: when network sharing is in use within a given cell, the Common PLMN refers to the PLMN of which the PLMN ID is contained in the </w:t>
      </w:r>
      <w:r w:rsidRPr="004D0DAA">
        <w:rPr>
          <w:i/>
        </w:rPr>
        <w:t>Location Area Identification</w:t>
      </w:r>
      <w:r w:rsidRPr="004D0DAA">
        <w:t xml:space="preserve"> IE broadcast in the SYSTEM INFORMATION TYPE 3 and SYSTEM INFORMATION TYPE 4 messages (see 3GPP TS 44.018, 3GPP TS 23.251 and 3GPP TS 24.008).</w:t>
      </w:r>
    </w:p>
    <w:p w14:paraId="3D73A5F7" w14:textId="77777777" w:rsidR="00711444" w:rsidRPr="004D0DAA" w:rsidRDefault="00711444" w:rsidP="00711444">
      <w:r w:rsidRPr="004D0DAA">
        <w:rPr>
          <w:b/>
          <w:bCs/>
        </w:rPr>
        <w:t>Corresponding PDCH pair:</w:t>
      </w:r>
      <w:r w:rsidRPr="004D0DAA">
        <w:t xml:space="preserve"> The Corresponding PDCH pair associated with an uplink PDCH pair which forms part of an uplink TBF assignment is the downlink PDCH pair which is monitored by the mobile station for the USF for the TBF and on which PACCH/D is transmitted. The Corresponding PDCH pair associated with a downlink PDCH pair which forms part of an downlink TBF assignment is the uplink PDCH pair on which PACCH/U is transmitted.</w:t>
      </w:r>
    </w:p>
    <w:p w14:paraId="18B2D072" w14:textId="77777777" w:rsidR="00711444" w:rsidRPr="004D0DAA" w:rsidRDefault="00711444" w:rsidP="00711444">
      <w:r w:rsidRPr="004D0DAA">
        <w:rPr>
          <w:b/>
        </w:rPr>
        <w:t>Coverage Class</w:t>
      </w:r>
      <w:r w:rsidRPr="004D0DAA">
        <w:rPr>
          <w:b/>
          <w:bCs/>
        </w:rPr>
        <w:t>:</w:t>
      </w:r>
      <w:r w:rsidRPr="004D0DAA">
        <w:t xml:space="preserve"> See 3GPP TS 43.064.</w:t>
      </w:r>
    </w:p>
    <w:p w14:paraId="1EF3657B" w14:textId="77777777" w:rsidR="00711444" w:rsidRPr="004D0DAA" w:rsidRDefault="00711444" w:rsidP="00711444">
      <w:r w:rsidRPr="004D0DAA">
        <w:rPr>
          <w:b/>
        </w:rPr>
        <w:t>CSG Cells Reporting:</w:t>
      </w:r>
      <w:r w:rsidRPr="004D0DAA">
        <w:t xml:space="preserve"> refers to the ability of the mobile station to report measurements, CSG-ID and routing parameters of CSG cells in packet transfer mode. Routing parameters include Cell Identity and optionally the PLMN-ID and (for E-UTRAN cells only) the Tracking Area Code.</w:t>
      </w:r>
    </w:p>
    <w:p w14:paraId="7A88DEC5" w14:textId="77777777" w:rsidR="00711444" w:rsidRPr="004D0DAA" w:rsidRDefault="00711444" w:rsidP="00711444">
      <w:r w:rsidRPr="004D0DAA">
        <w:rPr>
          <w:b/>
          <w:bCs/>
        </w:rPr>
        <w:t>Downlink Dual Carrier</w:t>
      </w:r>
      <w:r w:rsidRPr="004D0DAA">
        <w:rPr>
          <w:b/>
        </w:rPr>
        <w:t>:</w:t>
      </w:r>
      <w:r w:rsidRPr="004D0DAA">
        <w:t xml:space="preserve"> Downlink Dual Carrier is a feature allowing resources (for uplink and/or downlink TBFs and/or dedicated resources) to be assigned to a mobile station on up to two radio frequency channels within the same frequency band. </w:t>
      </w:r>
    </w:p>
    <w:p w14:paraId="6FD72985" w14:textId="77777777" w:rsidR="00711444" w:rsidRPr="004D0DAA" w:rsidRDefault="00711444" w:rsidP="00711444">
      <w:r w:rsidRPr="004D0DAA">
        <w:rPr>
          <w:b/>
          <w:bCs/>
        </w:rPr>
        <w:t>Downlink Dual Carrier configuration</w:t>
      </w:r>
      <w:r w:rsidRPr="004D0DAA">
        <w:rPr>
          <w:b/>
        </w:rPr>
        <w:t>:</w:t>
      </w:r>
      <w:r w:rsidRPr="004D0DAA">
        <w:t xml:space="preserve"> A Downlink Dual Carrier configuration is one in which the mobile station has radio resources assigned over two radio frequency channels. In packet transfer mode, RLC/MAC blocks for uplink TBFs can only be transmitted on one radio frequency channel in any given radio block period, and RLC/MAC blocks for downlink TBFs can be transmitted on two radio frequency channels in any given radio block period. In dual transfer mode, uplink RLC/MAC blocks can be transmitted only on the radio frequency channel on which the dedicated resource is assigned.</w:t>
      </w:r>
    </w:p>
    <w:p w14:paraId="2C60BA32" w14:textId="77777777" w:rsidR="00711444" w:rsidRPr="004D0DAA" w:rsidRDefault="00711444" w:rsidP="00711444">
      <w:r w:rsidRPr="004D0DAA">
        <w:rPr>
          <w:b/>
          <w:bCs/>
        </w:rPr>
        <w:t>Downlink Multi Carrier (DLMC)</w:t>
      </w:r>
      <w:r w:rsidRPr="004D0DAA">
        <w:rPr>
          <w:b/>
        </w:rPr>
        <w:t>:</w:t>
      </w:r>
      <w:r w:rsidRPr="004D0DAA">
        <w:t xml:space="preserve"> Downlink Multi Carrier is a feature allowing resources for a downlink TBF (and optionally an uplink TBF) to be assigned to a mobile station on two or more radio frequency channels in the same or different frequency bands using EGPRS or EGPRS2-A.</w:t>
      </w:r>
    </w:p>
    <w:p w14:paraId="15D3D2C7" w14:textId="77777777" w:rsidR="00711444" w:rsidRPr="004D0DAA" w:rsidRDefault="00711444" w:rsidP="00711444">
      <w:r w:rsidRPr="004D0DAA">
        <w:rPr>
          <w:b/>
          <w:bCs/>
        </w:rPr>
        <w:lastRenderedPageBreak/>
        <w:t>DLMC configuration</w:t>
      </w:r>
      <w:r w:rsidRPr="004D0DAA">
        <w:rPr>
          <w:b/>
        </w:rPr>
        <w:t>:</w:t>
      </w:r>
      <w:r w:rsidRPr="004D0DAA">
        <w:t xml:space="preserve"> A DLMC configuration is one in which a mobile station in packet transfer mode has a downlink TBF where radio resources are configured on two or more radio frequency channels in the same or in different frequency bands. A mobile station in a DLMC configuration with an uplink TBF can only transmit RLC/MAC blocks for the uplink TBF on one radio frequency channel in any given radio block period whereas RLC/MAC blocks for the downlink TBF can be transmitted on one or more frequency channels in any given radio block period. </w:t>
      </w:r>
    </w:p>
    <w:p w14:paraId="7A49E21F" w14:textId="77777777" w:rsidR="00711444" w:rsidRPr="004D0DAA" w:rsidRDefault="00711444" w:rsidP="00711444">
      <w:pPr>
        <w:tabs>
          <w:tab w:val="left" w:pos="9630"/>
          <w:tab w:val="left" w:pos="11520"/>
        </w:tabs>
        <w:ind w:right="1"/>
        <w:rPr>
          <w:b/>
        </w:rPr>
      </w:pPr>
      <w:r w:rsidRPr="004D0DAA">
        <w:rPr>
          <w:b/>
        </w:rPr>
        <w:t xml:space="preserve">DTM handover: </w:t>
      </w:r>
      <w:r w:rsidRPr="004D0DAA">
        <w:rPr>
          <w:bCs/>
        </w:rPr>
        <w:t>DTM handover is a feature used by the network to command a mobile station to move from its old (source) cell to a new (target) cell while operating in dual transfer mode and continue the operation of its ongoing circuit switched service and one or more of its ongoing packet switched services in the new cell. The mobile station is allocated one circuit switched radio resource and packet switched radio resources applicable to the new cell within a DTM HANDOVER COMMAND message.</w:t>
      </w:r>
    </w:p>
    <w:p w14:paraId="7F74CA8D" w14:textId="77777777" w:rsidR="00711444" w:rsidRPr="004D0DAA" w:rsidRDefault="00711444" w:rsidP="00711444">
      <w:r w:rsidRPr="004D0DAA">
        <w:rPr>
          <w:b/>
        </w:rPr>
        <w:t>Dual transfer mode:</w:t>
      </w:r>
      <w:r w:rsidRPr="004D0DAA">
        <w:t xml:space="preserve"> In dual transfer mode, the mobile station is allocated radio resources providing an RR connection (3GPP TS 44.018) and one or more Temporary Block Flows on one or more packet data physical channels. The allocation of radio resource for the RR connection and the Temporary Block Flow(s) is co-ordinated by the network in agreement with the capabilities of the mobile station in dual transfer mode.</w:t>
      </w:r>
    </w:p>
    <w:p w14:paraId="3E8B76D6" w14:textId="77777777" w:rsidR="00711444" w:rsidRPr="004D0DAA" w:rsidRDefault="00711444" w:rsidP="00711444">
      <w:r w:rsidRPr="004D0DAA">
        <w:rPr>
          <w:b/>
        </w:rPr>
        <w:t>Dynamic Timeslot Reduction</w:t>
      </w:r>
      <w:r w:rsidRPr="004D0DAA">
        <w:t>: Dynamic Timeslot Reduction (DTR) is a feature used by the network to reduce the number of downlink timeslots monitored by the mobile station during inactivity periods of an EGPRS TBF. It is applicable when extended uplink TBF mode and/or delayed downlink TBF release are used.</w:t>
      </w:r>
    </w:p>
    <w:p w14:paraId="075AD413" w14:textId="77777777" w:rsidR="00711444" w:rsidRPr="004D0DAA" w:rsidRDefault="00711444" w:rsidP="00711444">
      <w:pPr>
        <w:rPr>
          <w:b/>
        </w:rPr>
      </w:pPr>
      <w:r w:rsidRPr="004D0DAA">
        <w:rPr>
          <w:b/>
        </w:rPr>
        <w:t>Early TBF establishment:</w:t>
      </w:r>
      <w:r w:rsidRPr="004D0DAA">
        <w:t xml:space="preserve"> Procedure applicable when both the network and the mobile station support the extended uplink TBF mode, where the network keeps the uplink TBF open (by means of the extended uplink TBF mode operation) upon explicit request from the mobile station that pre-allocation is required. This allows the possibility to pre-allocate a TBF before actual data is ready for transmission.</w:t>
      </w:r>
    </w:p>
    <w:p w14:paraId="428698B2" w14:textId="77777777" w:rsidR="00711444" w:rsidRPr="004D0DAA" w:rsidRDefault="00711444" w:rsidP="00711444">
      <w:r w:rsidRPr="004D0DAA">
        <w:rPr>
          <w:b/>
        </w:rPr>
        <w:t>EC-GSM-IoT:</w:t>
      </w:r>
      <w:r w:rsidRPr="004D0DAA">
        <w:t xml:space="preserve"> See 3GPP TS 43.064.</w:t>
      </w:r>
    </w:p>
    <w:p w14:paraId="409CBC8E" w14:textId="77777777" w:rsidR="00711444" w:rsidRPr="004D0DAA" w:rsidRDefault="00711444" w:rsidP="00711444">
      <w:r w:rsidRPr="004D0DAA">
        <w:rPr>
          <w:b/>
        </w:rPr>
        <w:t>EC operation:</w:t>
      </w:r>
      <w:r w:rsidRPr="004D0DAA">
        <w:t xml:space="preserve"> See 3GPP TS 43.064.</w:t>
      </w:r>
    </w:p>
    <w:p w14:paraId="57FA6FE5" w14:textId="77777777" w:rsidR="00711444" w:rsidRPr="004D0DAA" w:rsidRDefault="00711444" w:rsidP="00711444">
      <w:r w:rsidRPr="004D0DAA">
        <w:rPr>
          <w:b/>
        </w:rPr>
        <w:t>EC TBF</w:t>
      </w:r>
      <w:r w:rsidRPr="004D0DAA">
        <w:t>: a TBF operating in EC TBF mode.</w:t>
      </w:r>
    </w:p>
    <w:p w14:paraId="3DA39C01" w14:textId="77777777" w:rsidR="00711444" w:rsidRPr="004D0DAA" w:rsidRDefault="00711444" w:rsidP="00711444">
      <w:r w:rsidRPr="004D0DAA">
        <w:rPr>
          <w:b/>
        </w:rPr>
        <w:t>EC TBF mode</w:t>
      </w:r>
      <w:r w:rsidRPr="004D0DAA">
        <w:t>: refers to a TBF supporting extended coverage by operation on the EC-PDTCH and EC-PACCH channels. A TBF in EC TBF mode may consist of multiple EC-PDTCH and EC-PACCH channels if in coverage class 1 according to defined multislot capablility of the mobile station. The EC TBF uses the EGPRS Modulation and Coding Schemes with GMSK modulation (MCS-1 to MCS-4) and optionally, with 8-PSK modulation (MCS-5 to MCS-9). An uplink TBF in EC TBF mode is allocated using fixed uplink allocation.</w:t>
      </w:r>
    </w:p>
    <w:p w14:paraId="48A496D9" w14:textId="77777777" w:rsidR="00711444" w:rsidRPr="004D0DAA" w:rsidRDefault="00711444" w:rsidP="00711444">
      <w:r w:rsidRPr="004D0DAA">
        <w:rPr>
          <w:b/>
        </w:rPr>
        <w:t>EGPRS</w:t>
      </w:r>
      <w:r w:rsidRPr="004D0DAA">
        <w:t>:</w:t>
      </w:r>
      <w:r w:rsidRPr="004D0DAA">
        <w:rPr>
          <w:b/>
        </w:rPr>
        <w:t xml:space="preserve"> </w:t>
      </w:r>
      <w:r w:rsidRPr="004D0DAA">
        <w:t>Enhanced GPRS enables higher data rates through usage of 8PSK modulation in addition to GMSK. EGPRS also enables Incremental Redundancy operation.</w:t>
      </w:r>
    </w:p>
    <w:p w14:paraId="6D3BDD6B" w14:textId="77777777" w:rsidR="00711444" w:rsidRPr="004D0DAA" w:rsidRDefault="00711444" w:rsidP="00711444">
      <w:r w:rsidRPr="004D0DAA">
        <w:rPr>
          <w:b/>
        </w:rPr>
        <w:t>EGPRS TBF mode</w:t>
      </w:r>
      <w:r w:rsidRPr="004D0DAA">
        <w:t>: refers to a TBF utilising the EGPRS enhancements (e.g. Incremental Redundancy and possibly 8-PSK) or the EGPRS2 enhancements.</w:t>
      </w:r>
    </w:p>
    <w:p w14:paraId="2CAA42DD" w14:textId="77777777" w:rsidR="00711444" w:rsidRPr="004D0DAA" w:rsidRDefault="00711444" w:rsidP="00711444">
      <w:r w:rsidRPr="004D0DAA">
        <w:rPr>
          <w:b/>
        </w:rPr>
        <w:t>EGPRS TBF</w:t>
      </w:r>
      <w:r w:rsidRPr="004D0DAA">
        <w:t xml:space="preserve">: refers to a TBF utilising the EGPRS enhancements, e.g. Incremental Redundancy and possibly 8-PSK. </w:t>
      </w:r>
    </w:p>
    <w:p w14:paraId="1AD3EED4" w14:textId="77777777" w:rsidR="00711444" w:rsidRPr="004D0DAA" w:rsidRDefault="00711444" w:rsidP="00711444">
      <w:r w:rsidRPr="004D0DAA">
        <w:rPr>
          <w:b/>
        </w:rPr>
        <w:t>EGPRS2</w:t>
      </w:r>
      <w:r w:rsidRPr="004D0DAA">
        <w:t>: In the downlink direction, Enhanced GPRS Phase 2 enables higher data rates through usage of higher symbol rate, turbo codes, and QPSK, 16-QAM and 32-QAM modulations in addition to (or instead of) GMSK and 8PSK. In the uplink direction, Enhanced GPRS Phase 2 enables higher data rates through usage of higher symbol rate, and QPSK, 16-QAM and 32-QAM modulations in addition to (or instead of) GMSK and 8PSK. EGPRS2 consists of EGPRS2-A and EGPRS2-B in both directions.</w:t>
      </w:r>
    </w:p>
    <w:p w14:paraId="4F7E0CFD" w14:textId="77777777" w:rsidR="00711444" w:rsidRPr="004D0DAA" w:rsidRDefault="00711444" w:rsidP="00711444">
      <w:r w:rsidRPr="004D0DAA">
        <w:rPr>
          <w:b/>
        </w:rPr>
        <w:t>EGPRS2-A</w:t>
      </w:r>
      <w:r w:rsidRPr="004D0DAA">
        <w:t>: In the downlink direction, Enhanced GPRS Phase 2 Level A enables higher data rates through usage of turbo codes, and 16-QAM and 32-QAM modulations in addition to GMSK and 8-PSK. In the uplink direction, Enhanced GPRS Phase 2 Level A enables higher data rates through usage of 16-QAM modulation in addition to GMSK and 8-PSK.</w:t>
      </w:r>
    </w:p>
    <w:p w14:paraId="31C514D0" w14:textId="77777777" w:rsidR="00711444" w:rsidRPr="004D0DAA" w:rsidRDefault="00711444" w:rsidP="00711444">
      <w:r w:rsidRPr="004D0DAA">
        <w:rPr>
          <w:b/>
        </w:rPr>
        <w:t>EGPRS2-B</w:t>
      </w:r>
      <w:r w:rsidRPr="004D0DAA">
        <w:t>: In the downlink direction, Enhanced GPRS Phase 2 Level B enables higher data rates through usage of higher symbol rate, turbo codes, and QPSK, 16-QAM and 32-QAM modulations in addition to GMSK or instead of 8PSK. In the uplink direction, Enhanced GPRS Phase 2 Level B enables higher data rates through usage of higher symbol rate, and QPSK, 16-QAM and 32-QAM modulations in addition to GMSK or instead of 8PSK.</w:t>
      </w:r>
    </w:p>
    <w:p w14:paraId="70BC2D4D" w14:textId="77777777" w:rsidR="00711444" w:rsidRPr="004D0DAA" w:rsidRDefault="00711444" w:rsidP="00711444">
      <w:r w:rsidRPr="004D0DAA">
        <w:rPr>
          <w:b/>
        </w:rPr>
        <w:t>EGPRS2 TBF</w:t>
      </w:r>
      <w:r w:rsidRPr="004D0DAA">
        <w:t xml:space="preserve">: refers to a TBF utilising the EGPRS2 enhancements in the direction of data transfer, downlink or uplink. More specifically, in each direction, downlink or uplink, an EGPRS2-A TBF refers to a TBF utilising the </w:t>
      </w:r>
      <w:r w:rsidRPr="004D0DAA">
        <w:lastRenderedPageBreak/>
        <w:t>EGPRS2-A enhancements and an EGPRS2-B TBF refers to a TBF utilising the EGPRS2-B enhancements. An EGPRS2 TBF operates in EGPRS TBF mode.</w:t>
      </w:r>
    </w:p>
    <w:p w14:paraId="7E22D695" w14:textId="77777777" w:rsidR="00711444" w:rsidRPr="004D0DAA" w:rsidRDefault="00711444" w:rsidP="00711444">
      <w:r w:rsidRPr="004D0DAA">
        <w:rPr>
          <w:b/>
        </w:rPr>
        <w:t>EGPRS-GMSK only TBF</w:t>
      </w:r>
      <w:r w:rsidRPr="004D0DAA">
        <w:rPr>
          <w:b/>
          <w:bCs/>
        </w:rPr>
        <w:t>:</w:t>
      </w:r>
      <w:r w:rsidRPr="004D0DAA">
        <w:t xml:space="preserve"> refers to a TBF in EGPRS TBF mode but making only use of MCS-1 to MCS-4 modulation and coding schemes. The number of PDCHs assigned to an </w:t>
      </w:r>
      <w:r w:rsidRPr="004D0DAA">
        <w:rPr>
          <w:bCs/>
        </w:rPr>
        <w:t>EGPRS-GMSK only TBF</w:t>
      </w:r>
      <w:r w:rsidRPr="004D0DAA">
        <w:rPr>
          <w:b/>
        </w:rPr>
        <w:t xml:space="preserve"> </w:t>
      </w:r>
      <w:r w:rsidRPr="004D0DAA">
        <w:t>can be extended to the maximum number of timeslots compatible with the GPRS multislot class of the MS. This mode is determined by the mobile station based on the aggregate timeslot allocation assigned by the network. In the case the aggregate timeslot allocation is not within the indicated EGPRS multislot class, but is within the indicated GPRS multislot class, a mobile station supporting this mode shall consider the TBF to be in EGPRS-GMSK only mode (see sub-clause 9.1.9.2). This mode is only applicable in packet transfer mode.</w:t>
      </w:r>
    </w:p>
    <w:p w14:paraId="198F1CD3" w14:textId="77777777" w:rsidR="00711444" w:rsidRPr="004D0DAA" w:rsidRDefault="00711444" w:rsidP="00711444">
      <w:r w:rsidRPr="004D0DAA">
        <w:rPr>
          <w:b/>
          <w:iCs/>
        </w:rPr>
        <w:t>Enhanced Flexible Timeslot Assignment (EFTA)</w:t>
      </w:r>
      <w:r w:rsidRPr="004D0DAA">
        <w:t>: Enhanced Flexible Timeslot Assignment gives the network the possibility to allocate one and the same mobile station uplink and downlink PDCH resources that overlap in time. This mobile station shall then for these overlapping instances prioritize uplink radio block transmission over attempting to read downlink radio blocks (unless performing pre-emptive retransmissions), but shall always attempt to read downlink radio blocks if it has nothing to transmit If it does not need to use all its allocated uplink PDCH resources, the mobile station shall transmit its uplink radio blocks in such a way that the number of downlink radio blocks it can read is maximized. Both network and mobile station must support extended uplink TBF mode in order for Enhanced Flexible Timeslot Assignment, EFTA, to be supported.</w:t>
      </w:r>
    </w:p>
    <w:p w14:paraId="22518686" w14:textId="77777777" w:rsidR="00711444" w:rsidRPr="004D0DAA" w:rsidRDefault="00711444" w:rsidP="00711444">
      <w:pPr>
        <w:rPr>
          <w:b/>
          <w:bCs/>
        </w:rPr>
      </w:pPr>
      <w:r w:rsidRPr="004D0DAA">
        <w:rPr>
          <w:b/>
          <w:bCs/>
        </w:rPr>
        <w:t>Enhanced Multiplexing for Single RLC Entity (EMSR)</w:t>
      </w:r>
      <w:r w:rsidRPr="004D0DAA">
        <w:t xml:space="preserve">: Refers to the multiplexing of upper layer data flows associated with multiple PFCs with at least two of them having unique TFIs within the context of a single RLC entity for single TBF operation. EMSR may only be used on a TBF operating in EGPRS TBF mode. EMSR is not applicable to Multiple TBF operation or when Exclusive Allocation is used. </w:t>
      </w:r>
    </w:p>
    <w:p w14:paraId="2CA27B2D" w14:textId="77777777" w:rsidR="00711444" w:rsidRPr="004D0DAA" w:rsidRDefault="00711444" w:rsidP="00711444">
      <w:pPr>
        <w:rPr>
          <w:b/>
          <w:bCs/>
        </w:rPr>
      </w:pPr>
      <w:r w:rsidRPr="004D0DAA">
        <w:rPr>
          <w:b/>
          <w:bCs/>
        </w:rPr>
        <w:t>Enhanced Multiplexing for Single TBF (EMST)</w:t>
      </w:r>
      <w:r w:rsidRPr="004D0DAA">
        <w:t xml:space="preserve">: refers to the multiplexing of upper layer data flows using one or more RLC entities on a single TBF where each RLC entity operates in a different RLC mode. EMST is applicable only to TBFs in EGPRS TBF mode. EMST is not applicable to Multiple TBF operation. </w:t>
      </w:r>
    </w:p>
    <w:p w14:paraId="705C4589" w14:textId="77777777" w:rsidR="00711444" w:rsidRPr="004D0DAA" w:rsidRDefault="00711444" w:rsidP="00711444">
      <w:pPr>
        <w:rPr>
          <w:lang w:eastAsia="en-GB"/>
        </w:rPr>
      </w:pPr>
      <w:r w:rsidRPr="004D0DAA">
        <w:rPr>
          <w:b/>
          <w:lang w:eastAsia="en-GB"/>
        </w:rPr>
        <w:t>Extended EARFCNs</w:t>
      </w:r>
      <w:r w:rsidRPr="004D0DAA">
        <w:rPr>
          <w:lang w:eastAsia="en-GB"/>
        </w:rPr>
        <w:t xml:space="preserve">: </w:t>
      </w:r>
      <w:r w:rsidRPr="004D0DAA">
        <w:rPr>
          <w:iCs/>
          <w:lang w:val="en-US"/>
        </w:rPr>
        <w:t>refers to extended EARFCN value range (0 …262143) with EARFCNs coded over 18 bits. MS and network support of extended EARFCNs is mandatory when network sharing is supported; support of extended EARFCNs is optional otherwise.</w:t>
      </w:r>
      <w:r w:rsidRPr="004D0DAA">
        <w:rPr>
          <w:iCs/>
          <w:lang w:val="en-US"/>
        </w:rPr>
        <w:br/>
        <w:t>When network sharing is in use within a given cell, the network shall provide extended EARFCNs within the SYSTEM INFORMATION TYPE 23 message, if broadcasted in the cell; additionally when extended EARFCNs is in use within a given cell, the network may provide at least one EARFCN value &gt; 65535 within the SYSTEM INFORMATION TYPE 2quater message.</w:t>
      </w:r>
    </w:p>
    <w:p w14:paraId="1EE490F5" w14:textId="77777777" w:rsidR="00711444" w:rsidRPr="004D0DAA" w:rsidRDefault="00711444" w:rsidP="00711444">
      <w:r w:rsidRPr="004D0DAA">
        <w:rPr>
          <w:b/>
        </w:rPr>
        <w:t>Extended uplink TBF mode</w:t>
      </w:r>
      <w:r w:rsidRPr="004D0DAA">
        <w:t xml:space="preserve">: In the </w:t>
      </w:r>
      <w:r w:rsidRPr="004D0DAA">
        <w:rPr>
          <w:i/>
        </w:rPr>
        <w:t>extended uplink TBF mode</w:t>
      </w:r>
      <w:r w:rsidRPr="004D0DAA">
        <w:t xml:space="preserve">, the uplink TBF may be maintained during temporary inactive periods, where the mobile station has no RLC information to send. The network determines the release of the uplink TBF (see sub-clause 9.3.1b). </w:t>
      </w:r>
    </w:p>
    <w:p w14:paraId="4199C7F8" w14:textId="77777777" w:rsidR="00711444" w:rsidRPr="004D0DAA" w:rsidRDefault="00711444" w:rsidP="00711444">
      <w:pPr>
        <w:rPr>
          <w:lang w:eastAsia="ko-KR"/>
        </w:rPr>
      </w:pPr>
      <w:r w:rsidRPr="004D0DAA">
        <w:rPr>
          <w:b/>
        </w:rPr>
        <w:t>Fast Ack/Nack Reporting (FANR)</w:t>
      </w:r>
      <w:r w:rsidRPr="004D0DAA">
        <w:t xml:space="preserve">: Fast Ack/Nack Reporting enables the use of </w:t>
      </w:r>
      <w:r w:rsidRPr="004D0DAA">
        <w:rPr>
          <w:rFonts w:hint="eastAsia"/>
          <w:lang w:eastAsia="ko-KR"/>
        </w:rPr>
        <w:t xml:space="preserve">a </w:t>
      </w:r>
      <w:r w:rsidRPr="004D0DAA">
        <w:t xml:space="preserve">PAN field within </w:t>
      </w:r>
      <w:r w:rsidRPr="004D0DAA">
        <w:rPr>
          <w:rFonts w:hint="eastAsia"/>
          <w:lang w:eastAsia="ko-KR"/>
        </w:rPr>
        <w:t xml:space="preserve">an </w:t>
      </w:r>
      <w:r w:rsidRPr="004D0DAA">
        <w:t xml:space="preserve">RLC/MAC block for </w:t>
      </w:r>
      <w:r w:rsidRPr="004D0DAA">
        <w:rPr>
          <w:rFonts w:hint="eastAsia"/>
          <w:lang w:eastAsia="ko-KR"/>
        </w:rPr>
        <w:t xml:space="preserve">EGPRS </w:t>
      </w:r>
      <w:r w:rsidRPr="004D0DAA">
        <w:t>data transfer</w:t>
      </w:r>
      <w:r w:rsidRPr="004D0DAA">
        <w:rPr>
          <w:rFonts w:hint="eastAsia"/>
          <w:lang w:eastAsia="ko-KR"/>
        </w:rPr>
        <w:t xml:space="preserve"> or for EGPRS2 data </w:t>
      </w:r>
      <w:r w:rsidRPr="004D0DAA">
        <w:rPr>
          <w:lang w:eastAsia="ko-KR"/>
        </w:rPr>
        <w:t>transfer</w:t>
      </w:r>
      <w:r w:rsidRPr="004D0DAA">
        <w:t xml:space="preserve">. FANR enables the mobile station to transmit in the uplink direction </w:t>
      </w:r>
      <w:r w:rsidRPr="004D0DAA">
        <w:rPr>
          <w:rFonts w:hint="eastAsia"/>
          <w:lang w:eastAsia="ko-KR"/>
        </w:rPr>
        <w:t xml:space="preserve">a </w:t>
      </w:r>
      <w:r w:rsidRPr="004D0DAA">
        <w:t xml:space="preserve">PAN field corresponding to a downlink TBF. Similarly FANR enables the network to transmit in the downlink direction </w:t>
      </w:r>
      <w:r w:rsidRPr="004D0DAA">
        <w:rPr>
          <w:rFonts w:hint="eastAsia"/>
          <w:lang w:eastAsia="ko-KR"/>
        </w:rPr>
        <w:t xml:space="preserve">a </w:t>
      </w:r>
      <w:r w:rsidRPr="004D0DAA">
        <w:t>PAN field corresponding to an uplink TBF.</w:t>
      </w:r>
    </w:p>
    <w:p w14:paraId="43993B14" w14:textId="77777777" w:rsidR="00711444" w:rsidRPr="004D0DAA" w:rsidRDefault="00711444" w:rsidP="00711444">
      <w:r w:rsidRPr="004D0DAA">
        <w:rPr>
          <w:b/>
        </w:rPr>
        <w:t>Fixed Uplink Allocation</w:t>
      </w:r>
      <w:r w:rsidRPr="004D0DAA">
        <w:t>: Static allocation (and assignment) of limited resources in the uplink over one or more TTIs, using one or more PDCHs, that does not make use of USF based allocation.</w:t>
      </w:r>
    </w:p>
    <w:p w14:paraId="687C3AC4" w14:textId="77777777" w:rsidR="00711444" w:rsidRPr="004D0DAA" w:rsidRDefault="00711444" w:rsidP="00711444">
      <w:pPr>
        <w:rPr>
          <w:lang w:eastAsia="ko-KR"/>
        </w:rPr>
      </w:pPr>
      <w:r w:rsidRPr="004D0DAA">
        <w:rPr>
          <w:b/>
          <w:iCs/>
        </w:rPr>
        <w:t>Flexible Timeslot Assignment (FTA)</w:t>
      </w:r>
      <w:r w:rsidRPr="004D0DAA">
        <w:t xml:space="preserve">: Flexible Timeslot Assignment allows increased flexibility in the assignment of PDCH resources by letting some of the limitations imposed by the mobile stations multislot class (see 3GPP 45.002) to be respected on an allocation basis (i.e. per radio block period) rather than on an assignment basis (i.e. at TBF setup time). </w:t>
      </w:r>
    </w:p>
    <w:p w14:paraId="00E75C81" w14:textId="77777777" w:rsidR="00711444" w:rsidRPr="004D0DAA" w:rsidRDefault="00711444" w:rsidP="00711444">
      <w:r w:rsidRPr="004D0DAA">
        <w:rPr>
          <w:b/>
          <w:iCs/>
        </w:rPr>
        <w:t>GAN Cell:</w:t>
      </w:r>
      <w:r w:rsidRPr="004D0DAA">
        <w:rPr>
          <w:iCs/>
        </w:rPr>
        <w:t xml:space="preserve"> A cell under control of a GANC.</w:t>
      </w:r>
    </w:p>
    <w:p w14:paraId="46D47889" w14:textId="77777777" w:rsidR="00711444" w:rsidRPr="004D0DAA" w:rsidRDefault="00711444" w:rsidP="00711444">
      <w:pPr>
        <w:rPr>
          <w:iCs/>
        </w:rPr>
      </w:pPr>
      <w:r w:rsidRPr="004D0DAA">
        <w:rPr>
          <w:b/>
          <w:bCs/>
          <w:iCs/>
        </w:rPr>
        <w:t xml:space="preserve">GAN Mode: </w:t>
      </w:r>
      <w:r w:rsidRPr="004D0DAA">
        <w:rPr>
          <w:iCs/>
        </w:rPr>
        <w:t xml:space="preserve">MS mode of operation where the MS </w:t>
      </w:r>
      <w:r w:rsidRPr="004D0DAA">
        <w:t>is connected to the Core Network via a GANC and the A and/or Gb interfaces</w:t>
      </w:r>
      <w:r w:rsidRPr="004D0DAA">
        <w:rPr>
          <w:iCs/>
        </w:rPr>
        <w:t>.</w:t>
      </w:r>
    </w:p>
    <w:p w14:paraId="6020F809" w14:textId="77777777" w:rsidR="00711444" w:rsidRPr="004D0DAA" w:rsidRDefault="00711444" w:rsidP="00711444">
      <w:r w:rsidRPr="004D0DAA">
        <w:rPr>
          <w:b/>
        </w:rPr>
        <w:t>GPRS multislot class / EGPRS multislot class</w:t>
      </w:r>
      <w:r w:rsidRPr="004D0DAA">
        <w:t>:</w:t>
      </w:r>
      <w:r w:rsidRPr="004D0DAA">
        <w:rPr>
          <w:b/>
        </w:rPr>
        <w:t xml:space="preserve"> </w:t>
      </w:r>
      <w:r w:rsidRPr="004D0DAA">
        <w:t>refers to the different mobile station capabilities to transmit and receive on different combinations of multiple PDCHs. The multislot classes are defined in 3GPP TS 45.002. Note that the mobile station may indicate different multislot classes for circuit mode services for GPRS and for EGPRS (see 3GPP TS 24.008). Different multislot class mobile stations are capable of supporting different medium access modes (see sub-clause 5.2.4).</w:t>
      </w:r>
    </w:p>
    <w:p w14:paraId="6BD85585" w14:textId="77777777" w:rsidR="00711444" w:rsidRPr="004D0DAA" w:rsidRDefault="00711444" w:rsidP="00711444">
      <w:r w:rsidRPr="004D0DAA">
        <w:rPr>
          <w:b/>
        </w:rPr>
        <w:lastRenderedPageBreak/>
        <w:t>GPRS TBF mode</w:t>
      </w:r>
      <w:r w:rsidRPr="004D0DAA">
        <w:t xml:space="preserve">: </w:t>
      </w:r>
      <w:r w:rsidRPr="004D0DAA">
        <w:rPr>
          <w:rFonts w:hint="eastAsia"/>
          <w:lang w:eastAsia="ko-KR"/>
        </w:rPr>
        <w:t xml:space="preserve">refers to </w:t>
      </w:r>
      <w:r w:rsidRPr="004D0DAA">
        <w:t>a TBF not utilising EGPRS</w:t>
      </w:r>
      <w:r w:rsidRPr="004D0DAA">
        <w:rPr>
          <w:rFonts w:hint="eastAsia"/>
          <w:lang w:eastAsia="ko-KR"/>
        </w:rPr>
        <w:t xml:space="preserve"> or EGPRS2</w:t>
      </w:r>
      <w:r w:rsidRPr="004D0DAA">
        <w:t>.</w:t>
      </w:r>
    </w:p>
    <w:p w14:paraId="6555D0DE" w14:textId="77777777" w:rsidR="00711444" w:rsidRPr="004D0DAA" w:rsidRDefault="00711444" w:rsidP="00711444">
      <w:r w:rsidRPr="004D0DAA">
        <w:rPr>
          <w:b/>
          <w:iCs/>
        </w:rPr>
        <w:t>Inter-band reception:</w:t>
      </w:r>
      <w:r w:rsidRPr="004D0DAA">
        <w:t xml:space="preserve"> see 3GPP TS 45.005.</w:t>
      </w:r>
    </w:p>
    <w:p w14:paraId="283AB0BD" w14:textId="77777777" w:rsidR="00711444" w:rsidRPr="004D0DAA" w:rsidRDefault="00711444" w:rsidP="00711444">
      <w:r w:rsidRPr="004D0DAA">
        <w:rPr>
          <w:b/>
        </w:rPr>
        <w:t>IR</w:t>
      </w:r>
      <w:r w:rsidRPr="004D0DAA">
        <w:t>: Incremental redundancy, enables higher data rates through combining information from different transmissions of RLC data blocks when decoding. Also known as Hybrid Type II/III ARQ.</w:t>
      </w:r>
    </w:p>
    <w:p w14:paraId="6E9AFF33" w14:textId="77777777" w:rsidR="00711444" w:rsidRPr="004D0DAA" w:rsidRDefault="00711444" w:rsidP="00711444">
      <w:pPr>
        <w:outlineLvl w:val="0"/>
      </w:pPr>
      <w:r w:rsidRPr="004D0DAA">
        <w:rPr>
          <w:b/>
          <w:i/>
        </w:rPr>
        <w:t>Iu mode</w:t>
      </w:r>
      <w:r w:rsidRPr="004D0DAA">
        <w:t>: mode of operation of the MS when connected to the Core Network via GERAN or UTRAN and the Iu interface.</w:t>
      </w:r>
    </w:p>
    <w:p w14:paraId="4B3D3EBD" w14:textId="77777777" w:rsidR="00711444" w:rsidRPr="004D0DAA" w:rsidRDefault="00711444" w:rsidP="00711444">
      <w:pPr>
        <w:outlineLvl w:val="0"/>
      </w:pPr>
      <w:r w:rsidRPr="004D0DAA">
        <w:rPr>
          <w:b/>
        </w:rPr>
        <w:t>MAC-dedicated state</w:t>
      </w:r>
      <w:r w:rsidRPr="004D0DAA">
        <w:t xml:space="preserve">: a MAC-control-entity state where a DBPSCH is assigned and no SBPSCH is assigned. This state only applies in </w:t>
      </w:r>
      <w:r w:rsidRPr="004D0DAA">
        <w:rPr>
          <w:i/>
        </w:rPr>
        <w:t>Iu mode</w:t>
      </w:r>
      <w:r w:rsidRPr="004D0DAA">
        <w:t>.</w:t>
      </w:r>
    </w:p>
    <w:p w14:paraId="079CB234" w14:textId="77777777" w:rsidR="00711444" w:rsidRPr="004D0DAA" w:rsidRDefault="00711444" w:rsidP="00711444">
      <w:pPr>
        <w:outlineLvl w:val="0"/>
      </w:pPr>
      <w:r w:rsidRPr="004D0DAA">
        <w:rPr>
          <w:b/>
        </w:rPr>
        <w:t>MAC-DTM state</w:t>
      </w:r>
      <w:r w:rsidRPr="004D0DAA">
        <w:t xml:space="preserve">: a MAC-control-entity state where at least one DBPSCH and one SBPSCH are assigned. This state only applies in </w:t>
      </w:r>
      <w:r w:rsidRPr="004D0DAA">
        <w:rPr>
          <w:i/>
        </w:rPr>
        <w:t>Iu mode</w:t>
      </w:r>
      <w:r w:rsidRPr="004D0DAA">
        <w:t>.</w:t>
      </w:r>
    </w:p>
    <w:p w14:paraId="216D2AB1" w14:textId="77777777" w:rsidR="00711444" w:rsidRPr="004D0DAA" w:rsidRDefault="00711444" w:rsidP="00711444">
      <w:pPr>
        <w:outlineLvl w:val="0"/>
      </w:pPr>
      <w:r w:rsidRPr="004D0DAA">
        <w:rPr>
          <w:b/>
        </w:rPr>
        <w:t>MAC-idle state</w:t>
      </w:r>
      <w:r w:rsidRPr="004D0DAA">
        <w:t xml:space="preserve">: a MAC-control-entity state where no basic physical subchannels are assigned. This state only applies in </w:t>
      </w:r>
      <w:r w:rsidRPr="004D0DAA">
        <w:rPr>
          <w:i/>
        </w:rPr>
        <w:t>Iu mode</w:t>
      </w:r>
      <w:r w:rsidRPr="004D0DAA">
        <w:t>.</w:t>
      </w:r>
    </w:p>
    <w:p w14:paraId="740B8BCF" w14:textId="77777777" w:rsidR="00711444" w:rsidRPr="004D0DAA" w:rsidRDefault="00711444" w:rsidP="00711444">
      <w:pPr>
        <w:outlineLvl w:val="0"/>
      </w:pPr>
      <w:r w:rsidRPr="004D0DAA">
        <w:rPr>
          <w:b/>
        </w:rPr>
        <w:t>MAC-shared state</w:t>
      </w:r>
      <w:r w:rsidRPr="004D0DAA">
        <w:t xml:space="preserve">: a MAC-control-entity state where at least one SBPSCH is assigned. This state only applies in </w:t>
      </w:r>
      <w:r w:rsidRPr="004D0DAA">
        <w:rPr>
          <w:i/>
        </w:rPr>
        <w:t>Iu mode</w:t>
      </w:r>
      <w:r w:rsidRPr="004D0DAA">
        <w:t>.</w:t>
      </w:r>
    </w:p>
    <w:p w14:paraId="79FF7749" w14:textId="77777777" w:rsidR="00711444" w:rsidRPr="004D0DAA" w:rsidRDefault="00711444" w:rsidP="00711444">
      <w:r w:rsidRPr="004D0DAA">
        <w:rPr>
          <w:b/>
        </w:rPr>
        <w:t>MCS</w:t>
      </w:r>
      <w:r w:rsidRPr="004D0DAA">
        <w:t xml:space="preserve">: Modulation and Coding Scheme. </w:t>
      </w:r>
    </w:p>
    <w:p w14:paraId="58902BB8" w14:textId="77777777" w:rsidR="00711444" w:rsidRPr="004D0DAA" w:rsidRDefault="00711444" w:rsidP="00711444">
      <w:pPr>
        <w:outlineLvl w:val="0"/>
      </w:pPr>
      <w:r w:rsidRPr="004D0DAA">
        <w:rPr>
          <w:b/>
        </w:rPr>
        <w:t xml:space="preserve">MS assisted Dedicated Core Networks selection: </w:t>
      </w:r>
      <w:r w:rsidRPr="004D0DAA">
        <w:t>MS assisted Dedicated Core Network selection is an optional feature wherein the selection of the Dedicated Core Network to which a BSS routes LLC PDUs is based on, in addition to the selected PLMN, the “DCN-ID” value provided by the MS (see 3GPP TS 23.401 [54]).</w:t>
      </w:r>
    </w:p>
    <w:p w14:paraId="2DEA29F5" w14:textId="77777777" w:rsidR="00711444" w:rsidRPr="004D0DAA" w:rsidRDefault="00711444" w:rsidP="00711444">
      <w:r w:rsidRPr="004D0DAA">
        <w:rPr>
          <w:b/>
          <w:bCs/>
        </w:rPr>
        <w:t xml:space="preserve">MS multislot class: </w:t>
      </w:r>
      <w:r w:rsidRPr="004D0DAA">
        <w:t>refers to GPRS multislot class in case of a GPRS TBF mode or EGPRS-GMSK only TBF mode. In case of EGPRS TBF mode, MS multislot class refers to EGPRS multislot class.</w:t>
      </w:r>
    </w:p>
    <w:p w14:paraId="0B585600" w14:textId="77777777" w:rsidR="00711444" w:rsidRPr="004D0DAA" w:rsidRDefault="00711444" w:rsidP="00711444">
      <w:r w:rsidRPr="004D0DAA">
        <w:rPr>
          <w:b/>
        </w:rPr>
        <w:t>Multilateration Timing Advance (MTA)</w:t>
      </w:r>
      <w:r w:rsidRPr="004D0DAA">
        <w:rPr>
          <w:b/>
          <w:bCs/>
        </w:rPr>
        <w:t>:</w:t>
      </w:r>
      <w:r w:rsidRPr="004D0DAA">
        <w:t xml:space="preserve"> See 3GPP TS 43.059.</w:t>
      </w:r>
    </w:p>
    <w:p w14:paraId="56E8081A" w14:textId="77777777" w:rsidR="00711444" w:rsidRPr="004D0DAA" w:rsidRDefault="00711444" w:rsidP="00711444">
      <w:r w:rsidRPr="004D0DAA">
        <w:rPr>
          <w:b/>
        </w:rPr>
        <w:t xml:space="preserve">Multiple TBF procedures: </w:t>
      </w:r>
      <w:r w:rsidRPr="004D0DAA">
        <w:t>A mobile station that supports multiple TBF procedures can support one or more concurrent TBFs in either direction while in packet transfer mode (A/Gb mode). A network that supports multiple TBF procedures can support one or more concurrent TBFs in either direction for a mobile station that supports multiple TBF procedures in packet transfer mode (A/Gb mode).</w:t>
      </w:r>
    </w:p>
    <w:p w14:paraId="1E8BBFF0" w14:textId="77777777" w:rsidR="00711444" w:rsidRPr="004D0DAA" w:rsidRDefault="00711444" w:rsidP="00711444">
      <w:r w:rsidRPr="004D0DAA">
        <w:rPr>
          <w:b/>
        </w:rPr>
        <w:t>Multiple TTI (MTTI) configuration:</w:t>
      </w:r>
      <w:r w:rsidRPr="004D0DAA">
        <w:t xml:space="preserve"> A mobile station that supports MTTI Configurations may be assigned a TBF using both RTTI resources (PDCH-pairs) and BTTI resources (PDCHs).</w:t>
      </w:r>
    </w:p>
    <w:p w14:paraId="724F22A4" w14:textId="77777777" w:rsidR="00711444" w:rsidRPr="004D0DAA" w:rsidRDefault="00711444" w:rsidP="00711444">
      <w:r w:rsidRPr="004D0DAA">
        <w:rPr>
          <w:b/>
          <w:bCs/>
        </w:rPr>
        <w:t>Network sharing:</w:t>
      </w:r>
      <w:r w:rsidRPr="004D0DAA">
        <w:t xml:space="preserve"> network sharing is an optional feature that allows different core network operators to connect to the same shared radio access network (see 3GPP TS 23.251). When network sharing is in use within a given cell, the network broadcasts within system information the PLMN identities of the PLMNs sharing the cell. A mobile station supporting network sharing uses this information for its PLMN (re)selection processes and indicates the selected PLMN to the BSS.</w:t>
      </w:r>
    </w:p>
    <w:p w14:paraId="60F0E037" w14:textId="77777777" w:rsidR="00711444" w:rsidRPr="004D0DAA" w:rsidRDefault="00711444" w:rsidP="00711444">
      <w:pPr>
        <w:rPr>
          <w:b/>
          <w:lang w:eastAsia="ko-KR"/>
        </w:rPr>
      </w:pPr>
      <w:r w:rsidRPr="004D0DAA">
        <w:rPr>
          <w:b/>
        </w:rPr>
        <w:t>Non-contiguous intra-band reception:</w:t>
      </w:r>
      <w:r w:rsidRPr="004D0DAA">
        <w:t xml:space="preserve"> see 3GPP TS 45.005.</w:t>
      </w:r>
    </w:p>
    <w:p w14:paraId="13D69AE4" w14:textId="77777777" w:rsidR="00711444" w:rsidRPr="004D0DAA" w:rsidRDefault="00711444" w:rsidP="00711444">
      <w:r w:rsidRPr="004D0DAA">
        <w:rPr>
          <w:b/>
        </w:rPr>
        <w:t>Non-extended uplink TBF mode</w:t>
      </w:r>
      <w:r w:rsidRPr="004D0DAA">
        <w:t>:</w:t>
      </w:r>
      <w:r w:rsidRPr="004D0DAA">
        <w:rPr>
          <w:b/>
        </w:rPr>
        <w:t xml:space="preserve"> </w:t>
      </w:r>
      <w:r w:rsidRPr="004D0DAA">
        <w:t xml:space="preserve">Where a distinction is needed, an uplink TBF, not operating in the extended uplink TBF mode, is referred as operating in the </w:t>
      </w:r>
      <w:r w:rsidRPr="004D0DAA">
        <w:rPr>
          <w:i/>
        </w:rPr>
        <w:t>non-extended uplink TBF mode</w:t>
      </w:r>
      <w:r w:rsidRPr="004D0DAA">
        <w:t>.</w:t>
      </w:r>
    </w:p>
    <w:p w14:paraId="2B00C870" w14:textId="77777777" w:rsidR="00711444" w:rsidRPr="004D0DAA" w:rsidRDefault="00711444" w:rsidP="00711444">
      <w:r w:rsidRPr="004D0DAA">
        <w:rPr>
          <w:b/>
          <w:bCs/>
        </w:rPr>
        <w:t>Non-synchronized PS handover:</w:t>
      </w:r>
      <w:r w:rsidRPr="004D0DAA">
        <w:t xml:space="preserve"> The basic type of PS handover which is used when the time bases of the involved cells bear no particular relationship between themselves and when the MS cannot predict the timing advance to be used in the target cell before access in this cell. The requirements that apply for the non-synchronized PS handover are given in 3GPP TS 45.010.</w:t>
      </w:r>
    </w:p>
    <w:p w14:paraId="58163F96" w14:textId="77777777" w:rsidR="00711444" w:rsidRPr="004D0DAA" w:rsidRDefault="00711444" w:rsidP="00711444">
      <w:r w:rsidRPr="004D0DAA">
        <w:rPr>
          <w:b/>
          <w:bCs/>
        </w:rPr>
        <w:t>Packet access failure</w:t>
      </w:r>
      <w:r w:rsidRPr="004D0DAA">
        <w:t>: Packet access failure refers to the access cases where the mobile station is explicitly denied access to the network, i.e. is not allowed to transmit (EGPRS) PACKET CHANNEL REQUEST or MPRACH PACKET CHANNEL REQUEST messages or receives a PACKET QUEUING NOTIFICATION message or a PACKET ACCESS REJECT message.</w:t>
      </w:r>
    </w:p>
    <w:p w14:paraId="68924198" w14:textId="77777777" w:rsidR="00711444" w:rsidRPr="004D0DAA" w:rsidRDefault="00711444" w:rsidP="00711444">
      <w:r w:rsidRPr="004D0DAA">
        <w:rPr>
          <w:b/>
        </w:rPr>
        <w:t>Packet flow context</w:t>
      </w:r>
      <w:r w:rsidRPr="004D0DAA">
        <w:t xml:space="preserve">: Packet Flow Context (PFC) procedures are described in 3GPP TS 23.060. A Packet Flow Identifier (PFI) is used to identify a PFC. </w:t>
      </w:r>
    </w:p>
    <w:p w14:paraId="4DEB57D5" w14:textId="77777777" w:rsidR="00711444" w:rsidRPr="004D0DAA" w:rsidRDefault="00711444" w:rsidP="00711444">
      <w:r w:rsidRPr="004D0DAA">
        <w:rPr>
          <w:b/>
        </w:rPr>
        <w:lastRenderedPageBreak/>
        <w:t>Packet idle mode</w:t>
      </w:r>
      <w:r w:rsidRPr="004D0DAA">
        <w:t>: In packet idle mode, the mobile station is prepared to transfer LLC PDUs on packet data physical channels (see sub-clause 5.3). The mobile station is not allocated any radio resource on a packet data physical channel; it listens to the PBCCH and PCCCH or, if those are not provided by the network, to the BCCH and the CCCH.</w:t>
      </w:r>
    </w:p>
    <w:p w14:paraId="58956AA2" w14:textId="77777777" w:rsidR="00711444" w:rsidRPr="004D0DAA" w:rsidRDefault="00711444" w:rsidP="00711444">
      <w:r w:rsidRPr="004D0DAA">
        <w:rPr>
          <w:b/>
        </w:rPr>
        <w:t>Packet transfer mode</w:t>
      </w:r>
      <w:r w:rsidRPr="004D0DAA">
        <w:t xml:space="preserve">: In packet transfer mode, the mobile station is prepared to transfer LLC PDUs on packet data physical channels (see sub-clause 5.4). The mobile station is allocated radio resource on one or more packet data physical channels for the transfer of LLC PDUs. </w:t>
      </w:r>
    </w:p>
    <w:p w14:paraId="7728A409" w14:textId="77777777" w:rsidR="00711444" w:rsidRPr="004D0DAA" w:rsidRDefault="00711444" w:rsidP="00711444">
      <w:r w:rsidRPr="004D0DAA">
        <w:rPr>
          <w:b/>
        </w:rPr>
        <w:t>Piggy-backed Ack/Nack (PAN) field</w:t>
      </w:r>
      <w:r w:rsidRPr="004D0DAA">
        <w:t>: A Piggy-backed Ack/Nack field provides acknowledgement status of downlink (respectively uplink) RLC data blocks within an uplink (respectively downlink) RLC/MAC block for data transfer.</w:t>
      </w:r>
    </w:p>
    <w:p w14:paraId="6D29EFA4" w14:textId="77777777" w:rsidR="00711444" w:rsidRPr="004D0DAA" w:rsidRDefault="00711444" w:rsidP="00711444">
      <w:r w:rsidRPr="004D0DAA">
        <w:rPr>
          <w:b/>
        </w:rPr>
        <w:t xml:space="preserve">Power Efficient Operation (PEO): </w:t>
      </w:r>
      <w:r w:rsidRPr="004D0DAA">
        <w:t>Used by a MS to reduce its power consumption through the use of relaxed mobility related requirements and the use of eDRX or PSM - see 3GPP TS 23.060 [3]. A PEO capable MS in a cell supporting PEO, that has negotiated the use of eDRX or PSM is said to have enabled PEO.</w:t>
      </w:r>
    </w:p>
    <w:p w14:paraId="7CDB68E0" w14:textId="77777777" w:rsidR="00711444" w:rsidRPr="004D0DAA" w:rsidRDefault="00711444" w:rsidP="00711444">
      <w:r w:rsidRPr="004D0DAA">
        <w:rPr>
          <w:b/>
          <w:bCs/>
        </w:rPr>
        <w:t>Pre-synchronized PS handover:</w:t>
      </w:r>
      <w:r w:rsidRPr="004D0DAA">
        <w:t xml:space="preserve"> A type of PS handover where the MS uses the timing advance included in the PS HANDOVER COMMAND message for immediate use in the target cell. The requirements that apply for the pre-synchronized PS handover are given in 3GPP TS 45.010.</w:t>
      </w:r>
    </w:p>
    <w:p w14:paraId="085354C9" w14:textId="77777777" w:rsidR="00711444" w:rsidRPr="004D0DAA" w:rsidRDefault="00711444" w:rsidP="00711444">
      <w:pPr>
        <w:rPr>
          <w:b/>
        </w:rPr>
      </w:pPr>
      <w:r w:rsidRPr="004D0DAA">
        <w:rPr>
          <w:b/>
        </w:rPr>
        <w:t xml:space="preserve">PS handover: </w:t>
      </w:r>
      <w:r w:rsidRPr="004D0DAA">
        <w:rPr>
          <w:bCs/>
        </w:rPr>
        <w:t xml:space="preserve">PS handover is a feature used by the network to command a mobile station to move from its old (source) cell to a new (target) cell while operating in packet transfer mode and continue the operation of one or more of its ongoing packet switched services in the new cell using TBF resource allocations provided within a PS HANDOVER COMMAND message. For PS handover to a GAN cell the mobile station receives the assignment of the target cell radio resources prior to receiving the PS HANDOVER COMMAND message. </w:t>
      </w:r>
    </w:p>
    <w:p w14:paraId="7FE85CC9" w14:textId="77777777" w:rsidR="00711444" w:rsidRPr="004D0DAA" w:rsidRDefault="00711444" w:rsidP="00711444">
      <w:r w:rsidRPr="004D0DAA">
        <w:rPr>
          <w:b/>
        </w:rPr>
        <w:t>Radio block</w:t>
      </w:r>
      <w:r w:rsidRPr="004D0DAA">
        <w:t>: A radio block is the sequence of four normal bursts carrying one RLC/MAC protocol data units (see 3GPP TS 44.004). (The one exception is a radio block occasionally used on PACCH consisting of a sequence of four access bursts, each carrying a repetition of one short RLC/MAC block.). A radio block is sent either on a PDCH (BTTI configuration) or a PDCH-pair (RTTI configuration).</w:t>
      </w:r>
    </w:p>
    <w:p w14:paraId="103C8CF3" w14:textId="77777777" w:rsidR="00711444" w:rsidRPr="004D0DAA" w:rsidRDefault="00711444" w:rsidP="00711444">
      <w:r w:rsidRPr="004D0DAA">
        <w:rPr>
          <w:b/>
          <w:bCs/>
        </w:rPr>
        <w:t>Random access failure</w:t>
      </w:r>
      <w:r w:rsidRPr="004D0DAA">
        <w:t xml:space="preserve">: Random access failure refers to the access case when the mobile station does not get any response from the network to its (EGPRS) PACKET CHANNEL REQUEST or MPRACH PACKET CHANNEL REQUEST messages. </w:t>
      </w:r>
    </w:p>
    <w:p w14:paraId="7DF7F88D" w14:textId="77777777" w:rsidR="00711444" w:rsidRPr="004D0DAA" w:rsidRDefault="00711444" w:rsidP="00711444">
      <w:r w:rsidRPr="004D0DAA">
        <w:rPr>
          <w:b/>
        </w:rPr>
        <w:t>Random values</w:t>
      </w:r>
      <w:r w:rsidRPr="004D0DAA">
        <w:t>:</w:t>
      </w:r>
      <w:r w:rsidRPr="004D0DAA">
        <w:rPr>
          <w:b/>
        </w:rPr>
        <w:t xml:space="preserve"> </w:t>
      </w:r>
      <w:r w:rsidRPr="004D0DAA">
        <w:t>In a number of places in this Technical Specification, it is mentioned that some value must take a "random" value, in a given range, or more generally with some statistical distribution. For such random values refer to 3GPP TS 44.018.</w:t>
      </w:r>
    </w:p>
    <w:p w14:paraId="2D0734DB" w14:textId="77777777" w:rsidR="00711444" w:rsidRPr="004D0DAA" w:rsidRDefault="00711444" w:rsidP="00711444">
      <w:r w:rsidRPr="004D0DAA">
        <w:rPr>
          <w:b/>
        </w:rPr>
        <w:t>Reduced Latency</w:t>
      </w:r>
      <w:r w:rsidRPr="004D0DAA">
        <w:t>: refers to the use of FANR either</w:t>
      </w:r>
      <w:r w:rsidRPr="004D0DAA">
        <w:rPr>
          <w:rFonts w:hint="eastAsia"/>
          <w:lang w:eastAsia="ko-KR"/>
        </w:rPr>
        <w:t xml:space="preserve"> in</w:t>
      </w:r>
      <w:r w:rsidRPr="004D0DAA">
        <w:t xml:space="preserve"> BTTI</w:t>
      </w:r>
      <w:r w:rsidRPr="004D0DAA">
        <w:rPr>
          <w:rFonts w:hint="eastAsia"/>
          <w:lang w:eastAsia="ko-KR"/>
        </w:rPr>
        <w:t xml:space="preserve"> configuration</w:t>
      </w:r>
      <w:r w:rsidRPr="004D0DAA">
        <w:t xml:space="preserve"> or </w:t>
      </w:r>
      <w:r w:rsidRPr="004D0DAA">
        <w:rPr>
          <w:rFonts w:hint="eastAsia"/>
          <w:lang w:eastAsia="ko-KR"/>
        </w:rPr>
        <w:t xml:space="preserve">in </w:t>
      </w:r>
      <w:r w:rsidRPr="004D0DAA">
        <w:t>RTTI configuration. Reduced Latency capability is required for the use of MTTI configurations.</w:t>
      </w:r>
    </w:p>
    <w:p w14:paraId="08838450" w14:textId="77777777" w:rsidR="00711444" w:rsidRPr="004D0DAA" w:rsidRDefault="00711444" w:rsidP="00711444">
      <w:r w:rsidRPr="004D0DAA">
        <w:rPr>
          <w:b/>
          <w:bCs/>
        </w:rPr>
        <w:t>Reduced radio block period:</w:t>
      </w:r>
      <w:r w:rsidRPr="004D0DAA">
        <w:t xml:space="preserve"> the time needed to transmit a radio block on a PDCH-pair using a reduced TTI configuration i.e. two TDMA frames.</w:t>
      </w:r>
    </w:p>
    <w:p w14:paraId="3877A0DE" w14:textId="77777777" w:rsidR="00711444" w:rsidRPr="004D0DAA" w:rsidRDefault="00711444" w:rsidP="00711444">
      <w:r w:rsidRPr="004D0DAA">
        <w:rPr>
          <w:b/>
        </w:rPr>
        <w:t>RLC/MAC block</w:t>
      </w:r>
      <w:r w:rsidRPr="004D0DAA">
        <w:t>:</w:t>
      </w:r>
      <w:r w:rsidRPr="004D0DAA">
        <w:rPr>
          <w:b/>
        </w:rPr>
        <w:t xml:space="preserve"> </w:t>
      </w:r>
      <w:r w:rsidRPr="004D0DAA">
        <w:t>A RLC/MAC block is the protocol data unit exchanged between RLC/MAC entities (see clause 10 and 3GPP TS 44.004).</w:t>
      </w:r>
    </w:p>
    <w:p w14:paraId="60633A24" w14:textId="77777777" w:rsidR="00711444" w:rsidRPr="004D0DAA" w:rsidRDefault="00711444" w:rsidP="00711444">
      <w:r w:rsidRPr="004D0DAA">
        <w:rPr>
          <w:b/>
        </w:rPr>
        <w:t>RLC/MAC control block</w:t>
      </w:r>
      <w:r w:rsidRPr="004D0DAA">
        <w:t>: A RLC/MAC control block is the part of an RLC/MAC block carrying a control message between RLC/MAC entities (see sub-clause 10.3).</w:t>
      </w:r>
    </w:p>
    <w:p w14:paraId="59BA5A95" w14:textId="77777777" w:rsidR="00711444" w:rsidRPr="004D0DAA" w:rsidRDefault="00711444" w:rsidP="00711444">
      <w:r w:rsidRPr="004D0DAA">
        <w:rPr>
          <w:b/>
        </w:rPr>
        <w:t>RLC data block</w:t>
      </w:r>
      <w:r w:rsidRPr="004D0DAA">
        <w:t>: A RLC data block is the part of a RLC/MAC block carrying user data or signalling data received from an upper layer (see sub-clause 10.2).</w:t>
      </w:r>
    </w:p>
    <w:p w14:paraId="5D31E85C" w14:textId="77777777" w:rsidR="00711444" w:rsidRPr="004D0DAA" w:rsidRDefault="00711444" w:rsidP="00711444">
      <w:pPr>
        <w:rPr>
          <w:bCs/>
        </w:rPr>
      </w:pPr>
      <w:r w:rsidRPr="004D0DAA">
        <w:rPr>
          <w:b/>
        </w:rPr>
        <w:t xml:space="preserve">RLC Non-Persistent Mode: </w:t>
      </w:r>
      <w:r w:rsidRPr="004D0DAA">
        <w:rPr>
          <w:bCs/>
        </w:rPr>
        <w:t xml:space="preserve">A mode of RLC operation where retransmissions are possible but it is not required that all RLC data blocks are correctly received at the receiving RLC endpoint. </w:t>
      </w:r>
    </w:p>
    <w:p w14:paraId="5EABF048" w14:textId="77777777" w:rsidR="00711444" w:rsidRPr="004D0DAA" w:rsidRDefault="00711444" w:rsidP="00711444">
      <w:r w:rsidRPr="004D0DAA">
        <w:rPr>
          <w:b/>
        </w:rPr>
        <w:t>RR connection:</w:t>
      </w:r>
      <w:r w:rsidRPr="004D0DAA">
        <w:t xml:space="preserve"> An RR connection is a physical connection established between a mobile station and the network to support the upper layers’ exchange of information flows. An RR connection is maintained and released by the two peer entities.</w:t>
      </w:r>
    </w:p>
    <w:p w14:paraId="052DD25A" w14:textId="77777777" w:rsidR="00711444" w:rsidRPr="004D0DAA" w:rsidRDefault="00711444" w:rsidP="00711444">
      <w:r w:rsidRPr="004D0DAA">
        <w:rPr>
          <w:b/>
        </w:rPr>
        <w:t>RRC connection</w:t>
      </w:r>
      <w:r w:rsidRPr="004D0DAA">
        <w:t xml:space="preserve">: An RRC connection is a point-to-point, bi-directional, logical connection between RRC peer entities in the mobile station and the GERAN characterised by the allocation of a G-RNTI. A mobile station has either zero or one RRC connections. RRC connections only apply in </w:t>
      </w:r>
      <w:r w:rsidRPr="004D0DAA">
        <w:rPr>
          <w:i/>
        </w:rPr>
        <w:t>Iu mode</w:t>
      </w:r>
      <w:r w:rsidRPr="004D0DAA">
        <w:t>.</w:t>
      </w:r>
    </w:p>
    <w:p w14:paraId="49EB7227" w14:textId="77777777" w:rsidR="00711444" w:rsidRPr="004D0DAA" w:rsidRDefault="00711444" w:rsidP="00711444">
      <w:r w:rsidRPr="004D0DAA">
        <w:rPr>
          <w:b/>
          <w:bCs/>
        </w:rPr>
        <w:lastRenderedPageBreak/>
        <w:t>RTTI configuration:</w:t>
      </w:r>
      <w:r w:rsidRPr="004D0DAA">
        <w:t xml:space="preserve"> a configuration in which a radio block is sent using two PDCHs (PDCH-pair) in either the first two or the last two TDMA frames of any given basic radio block period.</w:t>
      </w:r>
    </w:p>
    <w:p w14:paraId="6887297E" w14:textId="77777777" w:rsidR="00711444" w:rsidRPr="004D0DAA" w:rsidRDefault="00711444" w:rsidP="00711444">
      <w:r w:rsidRPr="004D0DAA">
        <w:rPr>
          <w:b/>
          <w:bCs/>
        </w:rPr>
        <w:t>RTTI USF mode:</w:t>
      </w:r>
      <w:r w:rsidRPr="004D0DAA">
        <w:t xml:space="preserve"> a mode in which the USF is received on a downlink PDCH-pair during two consecutive TDMA frames.</w:t>
      </w:r>
    </w:p>
    <w:p w14:paraId="244FB31F" w14:textId="77777777" w:rsidR="00711444" w:rsidRPr="004D0DAA" w:rsidRDefault="00711444" w:rsidP="00711444">
      <w:r w:rsidRPr="004D0DAA">
        <w:rPr>
          <w:b/>
        </w:rPr>
        <w:t xml:space="preserve">Source BSS: </w:t>
      </w:r>
      <w:r w:rsidRPr="004D0DAA">
        <w:rPr>
          <w:bCs/>
        </w:rPr>
        <w:t xml:space="preserve">Within the context of a PS handover the source BSS is the BSS controlling the cell in which the mobile station is camping prior to performing PS handover (i.e. it controls the old cell). </w:t>
      </w:r>
    </w:p>
    <w:p w14:paraId="209778C4" w14:textId="77777777" w:rsidR="00711444" w:rsidRPr="004D0DAA" w:rsidRDefault="00711444" w:rsidP="00711444">
      <w:r w:rsidRPr="004D0DAA">
        <w:rPr>
          <w:b/>
        </w:rPr>
        <w:t>Synchronized PS handover:</w:t>
      </w:r>
      <w:r w:rsidRPr="004D0DAA">
        <w:rPr>
          <w:bCs/>
        </w:rPr>
        <w:t xml:space="preserve"> A type of PS handover which is possible when </w:t>
      </w:r>
      <w:r w:rsidRPr="004D0DAA">
        <w:t>the time bases of the involved cells</w:t>
      </w:r>
      <w:r w:rsidRPr="004D0DAA">
        <w:rPr>
          <w:bCs/>
        </w:rPr>
        <w:t xml:space="preserve"> are synchronized, and for which no timing advance needs to be provided to the MS. </w:t>
      </w:r>
      <w:r w:rsidRPr="004D0DAA">
        <w:t>The requirements that apply for the synchronized PS handover are given in 3GPP TS 45.010.</w:t>
      </w:r>
    </w:p>
    <w:p w14:paraId="6E00BC22" w14:textId="77777777" w:rsidR="00711444" w:rsidRPr="004D0DAA" w:rsidRDefault="00711444" w:rsidP="00711444">
      <w:pPr>
        <w:rPr>
          <w:b/>
        </w:rPr>
      </w:pPr>
      <w:r w:rsidRPr="004D0DAA">
        <w:rPr>
          <w:b/>
        </w:rPr>
        <w:t xml:space="preserve">Target BSS: </w:t>
      </w:r>
      <w:r w:rsidRPr="004D0DAA">
        <w:rPr>
          <w:bCs/>
        </w:rPr>
        <w:t>Within the context of a PS handover the target BSS is the BSS controlling the cell in which the mobile station is camping after successful completion of PS handover (i.e. it controls the new cell). If the same BSS controls both the old cell and the new cell associated with the PS handover of any given mobile station then the source BSS and the target BSS are the same.</w:t>
      </w:r>
    </w:p>
    <w:p w14:paraId="2D3E68C0" w14:textId="77777777" w:rsidR="00711444" w:rsidRPr="004D0DAA" w:rsidRDefault="00711444" w:rsidP="00711444">
      <w:r w:rsidRPr="004D0DAA">
        <w:rPr>
          <w:b/>
        </w:rPr>
        <w:t>TBF abort</w:t>
      </w:r>
      <w:r w:rsidRPr="004D0DAA">
        <w:t>:</w:t>
      </w:r>
      <w:r w:rsidRPr="004D0DAA">
        <w:rPr>
          <w:b/>
        </w:rPr>
        <w:t xml:space="preserve"> </w:t>
      </w:r>
      <w:r w:rsidRPr="004D0DAA">
        <w:t>The term "abort" as applied to TBF is used when the TBF is abruptly stopped without using the Release of TBF procedures defined in clause 9.</w:t>
      </w:r>
    </w:p>
    <w:p w14:paraId="4E456617" w14:textId="77777777" w:rsidR="00711444" w:rsidRPr="004D0DAA" w:rsidRDefault="00711444" w:rsidP="00711444">
      <w:r w:rsidRPr="004D0DAA">
        <w:rPr>
          <w:b/>
        </w:rPr>
        <w:t>TBF release</w:t>
      </w:r>
      <w:r w:rsidRPr="004D0DAA">
        <w:t>:</w:t>
      </w:r>
      <w:r w:rsidRPr="004D0DAA">
        <w:rPr>
          <w:b/>
        </w:rPr>
        <w:t xml:space="preserve"> </w:t>
      </w:r>
      <w:r w:rsidRPr="004D0DAA">
        <w:t>The term "release" as applied to TBF is used when the TBF is stopped using one of the Release of TBF procedures defined in clause 9.</w:t>
      </w:r>
    </w:p>
    <w:p w14:paraId="576A601D" w14:textId="77777777" w:rsidR="00711444" w:rsidRPr="004D0DAA" w:rsidRDefault="00711444" w:rsidP="00711444">
      <w:r w:rsidRPr="004D0DAA">
        <w:rPr>
          <w:b/>
        </w:rPr>
        <w:t>Temporary Block Flow (TBF)</w:t>
      </w:r>
      <w:r w:rsidRPr="004D0DAA">
        <w:t xml:space="preserve">: A Temporary Block Flow is, in </w:t>
      </w:r>
      <w:r w:rsidRPr="004D0DAA">
        <w:rPr>
          <w:i/>
        </w:rPr>
        <w:t>A/Gb mode</w:t>
      </w:r>
      <w:r w:rsidRPr="004D0DAA">
        <w:t xml:space="preserve">, a physical connection used by the two RR peer entities to support the unidirectional transfer of LLC PDUs on packet data physical channels (see sub-clause 5.2.1). In </w:t>
      </w:r>
      <w:r w:rsidRPr="004D0DAA">
        <w:rPr>
          <w:i/>
        </w:rPr>
        <w:t>Iu mode</w:t>
      </w:r>
      <w:r w:rsidRPr="004D0DAA">
        <w:t>, a TBF is a logical connection offered by two MAC entities to support the unidirectional transfer of RLC PDUs on basic physical subchannels.</w:t>
      </w:r>
    </w:p>
    <w:p w14:paraId="26F6179F" w14:textId="77777777" w:rsidR="00711444" w:rsidRPr="004D0DAA" w:rsidRDefault="00711444" w:rsidP="00711444">
      <w:r w:rsidRPr="004D0DAA">
        <w:rPr>
          <w:b/>
        </w:rPr>
        <w:t>Timer Expiry</w:t>
      </w:r>
      <w:r w:rsidRPr="004D0DAA">
        <w:t>: A started timer has run the time specified.</w:t>
      </w:r>
    </w:p>
    <w:p w14:paraId="49F4F57E" w14:textId="77777777" w:rsidR="00711444" w:rsidRPr="004D0DAA" w:rsidRDefault="00711444" w:rsidP="00711444">
      <w:r w:rsidRPr="004D0DAA">
        <w:rPr>
          <w:b/>
        </w:rPr>
        <w:t>Timer Restart</w:t>
      </w:r>
      <w:r w:rsidRPr="004D0DAA">
        <w:t>: A timer that may already be running is stopped and then started again to run the time specified.</w:t>
      </w:r>
    </w:p>
    <w:p w14:paraId="557ACE98" w14:textId="77777777" w:rsidR="00711444" w:rsidRPr="004D0DAA" w:rsidRDefault="00711444" w:rsidP="00711444">
      <w:r w:rsidRPr="004D0DAA">
        <w:rPr>
          <w:b/>
        </w:rPr>
        <w:t>Timer Start</w:t>
      </w:r>
      <w:r w:rsidRPr="004D0DAA">
        <w:t>: A timer is started to run the time specified.</w:t>
      </w:r>
    </w:p>
    <w:p w14:paraId="635485AB" w14:textId="77777777" w:rsidR="00711444" w:rsidRPr="004D0DAA" w:rsidRDefault="00711444" w:rsidP="00711444">
      <w:r w:rsidRPr="004D0DAA">
        <w:rPr>
          <w:b/>
        </w:rPr>
        <w:t>Timer Stop</w:t>
      </w:r>
      <w:r w:rsidRPr="004D0DAA">
        <w:t>: A started timer is stopped and its value is then undefined.</w:t>
      </w:r>
    </w:p>
    <w:p w14:paraId="3C98D2E7" w14:textId="77777777" w:rsidR="00711444" w:rsidRPr="004D0DAA" w:rsidRDefault="00711444" w:rsidP="00711444">
      <w:r w:rsidRPr="004D0DAA">
        <w:rPr>
          <w:b/>
          <w:iCs/>
        </w:rPr>
        <w:t xml:space="preserve">Unique Frequency Parameter Set (UFPS): </w:t>
      </w:r>
      <w:r w:rsidRPr="004D0DAA">
        <w:t xml:space="preserve"> see 3GPP TS 45.008</w:t>
      </w:r>
    </w:p>
    <w:p w14:paraId="4DDFC354" w14:textId="77777777" w:rsidR="00711444" w:rsidRPr="004D0DAA" w:rsidRDefault="00711444" w:rsidP="00711444">
      <w:r w:rsidRPr="004D0DAA">
        <w:rPr>
          <w:b/>
          <w:bCs/>
        </w:rPr>
        <w:t>Uplink control timeslot</w:t>
      </w:r>
      <w:r w:rsidRPr="004D0DAA">
        <w:t>: refers to the timeslot number of the timeslot where the PACCH/U for the MS is located in case of a BTTI configuration, or to the uplink PDCH pair where the PACCH/U for the MS is located in case of an RTTI configuration. This parameter is set to the value of the Uplink Control timeslot IE in an assignment message. Otherwise, this parameter is unassigned. In A/Gb mode, this parameter is applicable only to multiple TBF procedures.</w:t>
      </w:r>
    </w:p>
    <w:p w14:paraId="1C555E6F" w14:textId="77777777" w:rsidR="00711444" w:rsidRPr="004D0DAA" w:rsidRDefault="00711444" w:rsidP="00711444">
      <w:r w:rsidRPr="004D0DAA">
        <w:rPr>
          <w:b/>
        </w:rPr>
        <w:t>Uplink State Flag (USF)</w:t>
      </w:r>
      <w:r w:rsidRPr="004D0DAA">
        <w:t>: The Uplink State Flag (USF) is used on PDCH channel(s) to allow multiplexing of uplink Radio blocks from different TBFs belonging to the same or different mobile stations (see sub-clause 5.2.3, clause 10 and 3GPP TS 45.002).</w:t>
      </w:r>
    </w:p>
    <w:p w14:paraId="121497E7" w14:textId="77777777" w:rsidR="00711444" w:rsidRPr="004D0DAA" w:rsidRDefault="00711444" w:rsidP="00711444">
      <w:r w:rsidRPr="004D0DAA">
        <w:rPr>
          <w:b/>
        </w:rPr>
        <w:t>Upper-layer PDU</w:t>
      </w:r>
      <w:r w:rsidRPr="004D0DAA">
        <w:t xml:space="preserve">: An upper-layer PDU is, in </w:t>
      </w:r>
      <w:r w:rsidRPr="004D0DAA">
        <w:rPr>
          <w:i/>
        </w:rPr>
        <w:t>A/Gb mode</w:t>
      </w:r>
      <w:r w:rsidRPr="004D0DAA">
        <w:t xml:space="preserve">, an LLC PDU and, in </w:t>
      </w:r>
      <w:r w:rsidRPr="004D0DAA">
        <w:rPr>
          <w:i/>
        </w:rPr>
        <w:t>Iu mode</w:t>
      </w:r>
      <w:r w:rsidRPr="004D0DAA">
        <w:t>, an RRC message, a PDCP PDU or a PDU from the NAS user plane.</w:t>
      </w:r>
    </w:p>
    <w:p w14:paraId="3B1428A6" w14:textId="77777777" w:rsidR="00711444" w:rsidRPr="004D0DAA" w:rsidRDefault="00711444" w:rsidP="00711444">
      <w:pPr>
        <w:pStyle w:val="Heading2"/>
      </w:pPr>
      <w:bookmarkStart w:id="14" w:name="_Toc516669204"/>
      <w:r w:rsidRPr="004D0DAA">
        <w:t>3.2</w:t>
      </w:r>
      <w:r w:rsidRPr="004D0DAA">
        <w:tab/>
        <w:t>Abbreviations</w:t>
      </w:r>
      <w:bookmarkEnd w:id="14"/>
    </w:p>
    <w:p w14:paraId="0F6836D5" w14:textId="77777777" w:rsidR="00711444" w:rsidRPr="004D0DAA" w:rsidRDefault="00711444" w:rsidP="00711444">
      <w:r w:rsidRPr="004D0DAA">
        <w:t>This document uses abbreviations from 3GPP TR 21.905 and 3GPP TS 43.064. It also uses the following abbreviations:</w:t>
      </w:r>
    </w:p>
    <w:p w14:paraId="2C0C4AA5" w14:textId="77777777" w:rsidR="00711444" w:rsidRPr="004D0DAA" w:rsidRDefault="00711444" w:rsidP="00711444">
      <w:pPr>
        <w:pStyle w:val="EW"/>
      </w:pPr>
      <w:r w:rsidRPr="004D0DAA">
        <w:t>ARI</w:t>
      </w:r>
      <w:r w:rsidRPr="004D0DAA">
        <w:tab/>
        <w:t>Access Request Identifier</w:t>
      </w:r>
    </w:p>
    <w:p w14:paraId="6E98576F" w14:textId="77777777" w:rsidR="00711444" w:rsidRPr="004D0DAA" w:rsidRDefault="00711444" w:rsidP="00711444">
      <w:pPr>
        <w:pStyle w:val="EW"/>
      </w:pPr>
      <w:r w:rsidRPr="004D0DAA">
        <w:t>ARQ</w:t>
      </w:r>
      <w:r w:rsidRPr="004D0DAA">
        <w:tab/>
        <w:t>Automatic Repeat reQuest</w:t>
      </w:r>
    </w:p>
    <w:p w14:paraId="655F1FB4" w14:textId="77777777" w:rsidR="00711444" w:rsidRPr="004D0DAA" w:rsidRDefault="00711444" w:rsidP="00711444">
      <w:pPr>
        <w:pStyle w:val="EW"/>
      </w:pPr>
      <w:r w:rsidRPr="004D0DAA">
        <w:t>AS</w:t>
      </w:r>
      <w:r w:rsidRPr="004D0DAA">
        <w:tab/>
        <w:t>Access Stratum</w:t>
      </w:r>
    </w:p>
    <w:p w14:paraId="0D502944" w14:textId="77777777" w:rsidR="00711444" w:rsidRPr="004D0DAA" w:rsidRDefault="00711444" w:rsidP="00711444">
      <w:pPr>
        <w:pStyle w:val="EW"/>
      </w:pPr>
      <w:r w:rsidRPr="004D0DAA">
        <w:t>BCCH</w:t>
      </w:r>
      <w:r w:rsidRPr="004D0DAA">
        <w:tab/>
        <w:t>Broadcast Control CHannel</w:t>
      </w:r>
    </w:p>
    <w:p w14:paraId="574BC641" w14:textId="77777777" w:rsidR="00711444" w:rsidRPr="004D0DAA" w:rsidRDefault="00711444" w:rsidP="00711444">
      <w:pPr>
        <w:pStyle w:val="EW"/>
      </w:pPr>
      <w:r w:rsidRPr="004D0DAA">
        <w:t>BSS</w:t>
      </w:r>
      <w:r w:rsidRPr="004D0DAA">
        <w:tab/>
        <w:t>Base Station Subsystem</w:t>
      </w:r>
    </w:p>
    <w:p w14:paraId="1101A06E" w14:textId="77777777" w:rsidR="00711444" w:rsidRPr="004D0DAA" w:rsidRDefault="00711444" w:rsidP="00711444">
      <w:pPr>
        <w:pStyle w:val="EW"/>
      </w:pPr>
      <w:r w:rsidRPr="004D0DAA">
        <w:t>BTTI</w:t>
      </w:r>
      <w:r w:rsidRPr="004D0DAA">
        <w:tab/>
        <w:t>Basic Transmission Time Interval</w:t>
      </w:r>
    </w:p>
    <w:p w14:paraId="06745642" w14:textId="77777777" w:rsidR="00711444" w:rsidRPr="004D0DAA" w:rsidRDefault="00711444" w:rsidP="00711444">
      <w:pPr>
        <w:pStyle w:val="EW"/>
      </w:pPr>
      <w:r w:rsidRPr="004D0DAA">
        <w:t>CBCH</w:t>
      </w:r>
      <w:r w:rsidRPr="004D0DAA">
        <w:tab/>
        <w:t>Cell Broadcast CHannel</w:t>
      </w:r>
    </w:p>
    <w:p w14:paraId="381DE197" w14:textId="77777777" w:rsidR="00711444" w:rsidRPr="004D0DAA" w:rsidRDefault="00711444" w:rsidP="00711444">
      <w:pPr>
        <w:pStyle w:val="EW"/>
      </w:pPr>
      <w:r w:rsidRPr="004D0DAA">
        <w:t>CC</w:t>
      </w:r>
      <w:r w:rsidRPr="004D0DAA">
        <w:tab/>
        <w:t>Call Control</w:t>
      </w:r>
    </w:p>
    <w:p w14:paraId="6D643FDC" w14:textId="77777777" w:rsidR="00711444" w:rsidRPr="004D0DAA" w:rsidRDefault="00711444" w:rsidP="00711444">
      <w:pPr>
        <w:pStyle w:val="EW"/>
      </w:pPr>
      <w:r w:rsidRPr="004D0DAA">
        <w:t>CC</w:t>
      </w:r>
      <w:r w:rsidRPr="004D0DAA">
        <w:tab/>
        <w:t>Coverage Class</w:t>
      </w:r>
    </w:p>
    <w:p w14:paraId="39F2CB3D" w14:textId="77777777" w:rsidR="00711444" w:rsidRPr="004D0DAA" w:rsidRDefault="00711444" w:rsidP="00711444">
      <w:pPr>
        <w:pStyle w:val="EW"/>
      </w:pPr>
      <w:r w:rsidRPr="004D0DAA">
        <w:lastRenderedPageBreak/>
        <w:t>CCCCH</w:t>
      </w:r>
      <w:r w:rsidRPr="004D0DAA">
        <w:tab/>
      </w:r>
      <w:r w:rsidRPr="004D0DAA">
        <w:rPr>
          <w:smallCaps/>
        </w:rPr>
        <w:t>Compact</w:t>
      </w:r>
      <w:r w:rsidRPr="004D0DAA">
        <w:t xml:space="preserve"> CCCH</w:t>
      </w:r>
    </w:p>
    <w:p w14:paraId="326BC7CA" w14:textId="77777777" w:rsidR="00711444" w:rsidRPr="004D0DAA" w:rsidRDefault="00711444" w:rsidP="00711444">
      <w:pPr>
        <w:pStyle w:val="EW"/>
      </w:pPr>
      <w:r w:rsidRPr="004D0DAA">
        <w:t>CCCH</w:t>
      </w:r>
      <w:r w:rsidRPr="004D0DAA">
        <w:tab/>
        <w:t>Common Control CHannel</w:t>
      </w:r>
    </w:p>
    <w:p w14:paraId="6BDC680C" w14:textId="77777777" w:rsidR="00711444" w:rsidRPr="004D0DAA" w:rsidRDefault="00711444" w:rsidP="00711444">
      <w:pPr>
        <w:pStyle w:val="EW"/>
      </w:pPr>
      <w:r w:rsidRPr="004D0DAA">
        <w:t>CCN</w:t>
      </w:r>
      <w:r w:rsidRPr="004D0DAA">
        <w:tab/>
        <w:t>Cell Change Notification</w:t>
      </w:r>
    </w:p>
    <w:p w14:paraId="01908222" w14:textId="77777777" w:rsidR="00711444" w:rsidRPr="004D0DAA" w:rsidRDefault="00711444" w:rsidP="00711444">
      <w:pPr>
        <w:pStyle w:val="EW"/>
      </w:pPr>
      <w:r w:rsidRPr="004D0DAA">
        <w:t>CN</w:t>
      </w:r>
      <w:r w:rsidRPr="004D0DAA">
        <w:tab/>
        <w:t>Core Network</w:t>
      </w:r>
    </w:p>
    <w:p w14:paraId="1FDD09E0" w14:textId="77777777" w:rsidR="00711444" w:rsidRPr="004D0DAA" w:rsidRDefault="00711444" w:rsidP="00711444">
      <w:pPr>
        <w:pStyle w:val="EW"/>
      </w:pPr>
      <w:r w:rsidRPr="004D0DAA">
        <w:t>CPBCCH</w:t>
      </w:r>
      <w:r w:rsidRPr="004D0DAA">
        <w:tab/>
      </w:r>
      <w:r w:rsidRPr="004D0DAA">
        <w:rPr>
          <w:smallCaps/>
        </w:rPr>
        <w:t>Compact</w:t>
      </w:r>
      <w:r w:rsidRPr="004D0DAA">
        <w:t xml:space="preserve"> PBCCH</w:t>
      </w:r>
    </w:p>
    <w:p w14:paraId="7DD0A0B4" w14:textId="77777777" w:rsidR="00711444" w:rsidRPr="004D0DAA" w:rsidRDefault="00711444" w:rsidP="00711444">
      <w:pPr>
        <w:pStyle w:val="EW"/>
      </w:pPr>
      <w:r w:rsidRPr="004D0DAA">
        <w:t>CS-</w:t>
      </w:r>
      <w:r w:rsidRPr="004D0DAA">
        <w:rPr>
          <w:i/>
        </w:rPr>
        <w:t>i</w:t>
      </w:r>
      <w:r w:rsidRPr="004D0DAA">
        <w:tab/>
        <w:t xml:space="preserve">GPRS Coding Scheme </w:t>
      </w:r>
      <w:r w:rsidRPr="004D0DAA">
        <w:rPr>
          <w:i/>
        </w:rPr>
        <w:t>i</w:t>
      </w:r>
    </w:p>
    <w:p w14:paraId="47B205ED" w14:textId="77777777" w:rsidR="00711444" w:rsidRPr="004D0DAA" w:rsidRDefault="00711444" w:rsidP="00711444">
      <w:pPr>
        <w:pStyle w:val="EW"/>
        <w:rPr>
          <w:rFonts w:hint="eastAsia"/>
          <w:lang w:eastAsia="ko-KR"/>
        </w:rPr>
      </w:pPr>
      <w:r w:rsidRPr="004D0DAA">
        <w:rPr>
          <w:rFonts w:hint="eastAsia"/>
          <w:lang w:eastAsia="ko-KR"/>
        </w:rPr>
        <w:t>DAS-</w:t>
      </w:r>
      <w:r w:rsidRPr="004D0DAA">
        <w:rPr>
          <w:rFonts w:hint="eastAsia"/>
          <w:i/>
          <w:iCs/>
          <w:lang w:eastAsia="ko-KR"/>
        </w:rPr>
        <w:t>i</w:t>
      </w:r>
      <w:r w:rsidRPr="004D0DAA">
        <w:rPr>
          <w:rFonts w:hint="eastAsia"/>
          <w:lang w:eastAsia="ko-KR"/>
        </w:rPr>
        <w:tab/>
        <w:t xml:space="preserve">EGPRS2 Downlink level A modulation and coding Scheme </w:t>
      </w:r>
      <w:r w:rsidRPr="004D0DAA">
        <w:rPr>
          <w:rFonts w:hint="eastAsia"/>
          <w:i/>
          <w:iCs/>
          <w:lang w:eastAsia="ko-KR"/>
        </w:rPr>
        <w:t>i</w:t>
      </w:r>
    </w:p>
    <w:p w14:paraId="139A1FF4" w14:textId="77777777" w:rsidR="00711444" w:rsidRPr="004D0DAA" w:rsidRDefault="00711444" w:rsidP="00711444">
      <w:pPr>
        <w:pStyle w:val="EW"/>
        <w:rPr>
          <w:rFonts w:hint="eastAsia"/>
          <w:lang w:eastAsia="ko-KR"/>
        </w:rPr>
      </w:pPr>
      <w:r w:rsidRPr="004D0DAA">
        <w:rPr>
          <w:rFonts w:hint="eastAsia"/>
          <w:lang w:eastAsia="ko-KR"/>
        </w:rPr>
        <w:t>DBS-</w:t>
      </w:r>
      <w:r w:rsidRPr="004D0DAA">
        <w:rPr>
          <w:rFonts w:hint="eastAsia"/>
          <w:i/>
          <w:iCs/>
          <w:lang w:eastAsia="ko-KR"/>
        </w:rPr>
        <w:t>i</w:t>
      </w:r>
      <w:r w:rsidRPr="004D0DAA">
        <w:rPr>
          <w:rFonts w:hint="eastAsia"/>
          <w:lang w:eastAsia="ko-KR"/>
        </w:rPr>
        <w:tab/>
        <w:t xml:space="preserve">EGPRS2 Downlink level B modulation and coding Scheme </w:t>
      </w:r>
      <w:r w:rsidRPr="004D0DAA">
        <w:rPr>
          <w:rFonts w:hint="eastAsia"/>
          <w:i/>
          <w:iCs/>
          <w:lang w:eastAsia="ko-KR"/>
        </w:rPr>
        <w:t>i</w:t>
      </w:r>
    </w:p>
    <w:p w14:paraId="1AC898BA" w14:textId="77777777" w:rsidR="00711444" w:rsidRPr="004D0DAA" w:rsidRDefault="00711444" w:rsidP="00711444">
      <w:pPr>
        <w:pStyle w:val="EW"/>
      </w:pPr>
      <w:r w:rsidRPr="004D0DAA">
        <w:t>DC</w:t>
      </w:r>
      <w:r w:rsidRPr="004D0DAA">
        <w:tab/>
        <w:t>Dedicated Control</w:t>
      </w:r>
    </w:p>
    <w:p w14:paraId="1C97DD2E" w14:textId="77777777" w:rsidR="00711444" w:rsidRPr="004D0DAA" w:rsidRDefault="00711444" w:rsidP="00711444">
      <w:pPr>
        <w:pStyle w:val="EW"/>
        <w:keepLines w:val="0"/>
      </w:pPr>
      <w:r w:rsidRPr="004D0DAA">
        <w:t>DCN-ID</w:t>
      </w:r>
      <w:r w:rsidRPr="004D0DAA">
        <w:tab/>
        <w:t>Dedicated Core Network ID</w:t>
      </w:r>
    </w:p>
    <w:p w14:paraId="090CFDBD" w14:textId="77777777" w:rsidR="00711444" w:rsidRPr="004D0DAA" w:rsidRDefault="00711444" w:rsidP="00711444">
      <w:pPr>
        <w:pStyle w:val="EW"/>
      </w:pPr>
      <w:r w:rsidRPr="004D0DAA">
        <w:t>DLC</w:t>
      </w:r>
      <w:r w:rsidRPr="004D0DAA">
        <w:tab/>
        <w:t>Data Link Control</w:t>
      </w:r>
    </w:p>
    <w:p w14:paraId="526EEED6" w14:textId="77777777" w:rsidR="00711444" w:rsidRPr="004D0DAA" w:rsidRDefault="00711444" w:rsidP="00711444">
      <w:pPr>
        <w:pStyle w:val="EW"/>
      </w:pPr>
      <w:r w:rsidRPr="004D0DAA">
        <w:t>DLMC</w:t>
      </w:r>
      <w:r w:rsidRPr="004D0DAA">
        <w:tab/>
        <w:t>Downlink Multi Carrier</w:t>
      </w:r>
    </w:p>
    <w:p w14:paraId="04CD63E8" w14:textId="77777777" w:rsidR="00711444" w:rsidRPr="004D0DAA" w:rsidRDefault="00711444" w:rsidP="00711444">
      <w:pPr>
        <w:pStyle w:val="EW"/>
      </w:pPr>
      <w:r w:rsidRPr="004D0DAA">
        <w:t>DBPSCH</w:t>
      </w:r>
      <w:r w:rsidRPr="004D0DAA">
        <w:tab/>
        <w:t>Dedicated Basic Physical Sub CHannel</w:t>
      </w:r>
    </w:p>
    <w:p w14:paraId="567E7ECA" w14:textId="77777777" w:rsidR="00711444" w:rsidRPr="004D0DAA" w:rsidRDefault="00711444" w:rsidP="00711444">
      <w:pPr>
        <w:pStyle w:val="EW"/>
      </w:pPr>
      <w:r w:rsidRPr="004D0DAA">
        <w:t>DTR</w:t>
      </w:r>
      <w:r w:rsidRPr="004D0DAA">
        <w:tab/>
        <w:t>Dynamic Timeslot Reduction</w:t>
      </w:r>
    </w:p>
    <w:p w14:paraId="4DD2FE79" w14:textId="77777777" w:rsidR="00711444" w:rsidRPr="004D0DAA" w:rsidRDefault="00711444" w:rsidP="00711444">
      <w:pPr>
        <w:pStyle w:val="EW"/>
      </w:pPr>
      <w:r w:rsidRPr="004D0DAA">
        <w:t>EC-AGCH</w:t>
      </w:r>
      <w:r w:rsidRPr="004D0DAA">
        <w:tab/>
        <w:t>Extended Coverage Access Grant CHannel</w:t>
      </w:r>
    </w:p>
    <w:p w14:paraId="327941CC" w14:textId="77777777" w:rsidR="00711444" w:rsidRPr="004D0DAA" w:rsidRDefault="00711444" w:rsidP="00711444">
      <w:pPr>
        <w:pStyle w:val="EW"/>
      </w:pPr>
      <w:r w:rsidRPr="004D0DAA">
        <w:t>EC-BCCH</w:t>
      </w:r>
      <w:r w:rsidRPr="004D0DAA">
        <w:tab/>
        <w:t>Extended Coverage BroadCast CHannel</w:t>
      </w:r>
    </w:p>
    <w:p w14:paraId="70DE00C7" w14:textId="77777777" w:rsidR="00711444" w:rsidRPr="004D0DAA" w:rsidRDefault="00711444" w:rsidP="00711444">
      <w:pPr>
        <w:pStyle w:val="EW"/>
      </w:pPr>
      <w:r w:rsidRPr="004D0DAA">
        <w:t>EC-CCCH</w:t>
      </w:r>
      <w:r w:rsidRPr="004D0DAA">
        <w:tab/>
        <w:t>Extended Coverage Common Control CHannel</w:t>
      </w:r>
    </w:p>
    <w:p w14:paraId="0FD0D20D" w14:textId="77777777" w:rsidR="00711444" w:rsidRPr="004D0DAA" w:rsidRDefault="00711444" w:rsidP="00711444">
      <w:pPr>
        <w:pStyle w:val="EW"/>
      </w:pPr>
      <w:r w:rsidRPr="004D0DAA">
        <w:t>EC-PCH</w:t>
      </w:r>
      <w:r w:rsidRPr="004D0DAA">
        <w:tab/>
        <w:t>Extended Coverage Paging CHannel</w:t>
      </w:r>
    </w:p>
    <w:p w14:paraId="5916E4A9" w14:textId="77777777" w:rsidR="00711444" w:rsidRPr="004D0DAA" w:rsidRDefault="00711444" w:rsidP="00711444">
      <w:pPr>
        <w:pStyle w:val="EW"/>
      </w:pPr>
      <w:r w:rsidRPr="004D0DAA">
        <w:t>EC-RACH</w:t>
      </w:r>
      <w:r w:rsidRPr="004D0DAA">
        <w:tab/>
        <w:t>Extended Coverage Random Access CHannel</w:t>
      </w:r>
    </w:p>
    <w:p w14:paraId="5E4EFA1D" w14:textId="77777777" w:rsidR="00711444" w:rsidRPr="004D0DAA" w:rsidRDefault="00711444" w:rsidP="00711444">
      <w:pPr>
        <w:pStyle w:val="EW"/>
      </w:pPr>
      <w:r w:rsidRPr="004D0DAA">
        <w:t>EC-SCH</w:t>
      </w:r>
      <w:r w:rsidRPr="004D0DAA">
        <w:tab/>
        <w:t>Extended Coverage Synchronization CHannel</w:t>
      </w:r>
    </w:p>
    <w:p w14:paraId="16DE18C2" w14:textId="77777777" w:rsidR="00711444" w:rsidRPr="004D0DAA" w:rsidRDefault="00711444" w:rsidP="00711444">
      <w:pPr>
        <w:pStyle w:val="EW"/>
      </w:pPr>
      <w:r w:rsidRPr="004D0DAA">
        <w:t>ECSD</w:t>
      </w:r>
      <w:r w:rsidRPr="004D0DAA">
        <w:tab/>
        <w:t>Enhanced Circuit Switched Data</w:t>
      </w:r>
    </w:p>
    <w:p w14:paraId="6168855E" w14:textId="77777777" w:rsidR="00711444" w:rsidRPr="004D0DAA" w:rsidRDefault="00711444" w:rsidP="00711444">
      <w:pPr>
        <w:pStyle w:val="EW"/>
      </w:pPr>
      <w:r w:rsidRPr="004D0DAA">
        <w:t>EC SI</w:t>
      </w:r>
      <w:r w:rsidRPr="004D0DAA">
        <w:tab/>
        <w:t>Extended Coverage System Information</w:t>
      </w:r>
    </w:p>
    <w:p w14:paraId="01D15E83" w14:textId="77777777" w:rsidR="00711444" w:rsidRPr="004D0DAA" w:rsidRDefault="00711444" w:rsidP="00711444">
      <w:pPr>
        <w:pStyle w:val="EW"/>
      </w:pPr>
      <w:r w:rsidRPr="004D0DAA">
        <w:t>EDGE</w:t>
      </w:r>
      <w:r w:rsidRPr="004D0DAA">
        <w:tab/>
        <w:t>Enhanced Data rates for Global Evolution</w:t>
      </w:r>
    </w:p>
    <w:p w14:paraId="582388A0" w14:textId="77777777" w:rsidR="00711444" w:rsidRPr="004D0DAA" w:rsidRDefault="00711444" w:rsidP="00711444">
      <w:pPr>
        <w:pStyle w:val="EW"/>
      </w:pPr>
      <w:r w:rsidRPr="004D0DAA">
        <w:t>E-FACCH</w:t>
      </w:r>
      <w:r w:rsidRPr="004D0DAA">
        <w:tab/>
        <w:t>Enhanced FACCH</w:t>
      </w:r>
    </w:p>
    <w:p w14:paraId="663D5571" w14:textId="77777777" w:rsidR="00711444" w:rsidRPr="004D0DAA" w:rsidRDefault="00711444" w:rsidP="00711444">
      <w:pPr>
        <w:pStyle w:val="EW"/>
      </w:pPr>
      <w:r w:rsidRPr="004D0DAA">
        <w:t>EGPRS</w:t>
      </w:r>
      <w:r w:rsidRPr="004D0DAA">
        <w:tab/>
        <w:t>Enhanced General Packet Radio Service</w:t>
      </w:r>
    </w:p>
    <w:p w14:paraId="5A03AF6F" w14:textId="77777777" w:rsidR="00711444" w:rsidRPr="004D0DAA" w:rsidRDefault="00711444" w:rsidP="00711444">
      <w:pPr>
        <w:pStyle w:val="EW"/>
      </w:pPr>
      <w:r w:rsidRPr="004D0DAA">
        <w:t>EGPRS2</w:t>
      </w:r>
      <w:r w:rsidRPr="004D0DAA">
        <w:tab/>
        <w:t>EGPRS Phase 2</w:t>
      </w:r>
    </w:p>
    <w:p w14:paraId="5A6E17EE" w14:textId="77777777" w:rsidR="00711444" w:rsidRPr="004D0DAA" w:rsidRDefault="00711444" w:rsidP="00711444">
      <w:pPr>
        <w:pStyle w:val="EW"/>
        <w:rPr>
          <w:lang w:eastAsia="ja-JP"/>
        </w:rPr>
      </w:pPr>
      <w:r w:rsidRPr="004D0DAA">
        <w:rPr>
          <w:rFonts w:hint="eastAsia"/>
          <w:lang w:eastAsia="ja-JP"/>
        </w:rPr>
        <w:t>eNB</w:t>
      </w:r>
      <w:r w:rsidRPr="004D0DAA">
        <w:rPr>
          <w:rFonts w:hint="eastAsia"/>
          <w:lang w:eastAsia="ja-JP"/>
        </w:rPr>
        <w:tab/>
        <w:t>E-UTRAN NodeB</w:t>
      </w:r>
    </w:p>
    <w:p w14:paraId="4C98E0CC" w14:textId="77777777" w:rsidR="00711444" w:rsidRPr="004D0DAA" w:rsidRDefault="00711444" w:rsidP="00711444">
      <w:pPr>
        <w:pStyle w:val="EW"/>
      </w:pPr>
      <w:r w:rsidRPr="004D0DAA">
        <w:t>E-TCH</w:t>
      </w:r>
      <w:r w:rsidRPr="004D0DAA">
        <w:tab/>
        <w:t>Enhanced TCH</w:t>
      </w:r>
    </w:p>
    <w:p w14:paraId="1FF4DC0F" w14:textId="77777777" w:rsidR="00711444" w:rsidRPr="004D0DAA" w:rsidRDefault="00711444" w:rsidP="00711444">
      <w:pPr>
        <w:pStyle w:val="EW"/>
      </w:pPr>
      <w:r w:rsidRPr="004D0DAA">
        <w:rPr>
          <w:lang w:val="en-US"/>
        </w:rPr>
        <w:t>e</w:t>
      </w:r>
      <w:r w:rsidRPr="004D0DAA">
        <w:t>TFI</w:t>
      </w:r>
      <w:r w:rsidRPr="004D0DAA">
        <w:tab/>
        <w:t>extended Temporary Flow Identifier</w:t>
      </w:r>
    </w:p>
    <w:p w14:paraId="0FAAFF26" w14:textId="77777777" w:rsidR="00711444" w:rsidRPr="004D0DAA" w:rsidRDefault="00711444" w:rsidP="00711444">
      <w:pPr>
        <w:pStyle w:val="EW"/>
      </w:pPr>
      <w:r w:rsidRPr="004D0DAA">
        <w:t>EUTRA</w:t>
      </w:r>
      <w:r w:rsidRPr="004D0DAA">
        <w:tab/>
        <w:t>Evolved UTRA</w:t>
      </w:r>
    </w:p>
    <w:p w14:paraId="2E0B0429" w14:textId="77777777" w:rsidR="00711444" w:rsidRPr="004D0DAA" w:rsidRDefault="00711444" w:rsidP="00711444">
      <w:pPr>
        <w:pStyle w:val="EW"/>
        <w:rPr>
          <w:lang w:eastAsia="ja-JP"/>
        </w:rPr>
      </w:pPr>
      <w:r w:rsidRPr="004D0DAA">
        <w:rPr>
          <w:rFonts w:hint="eastAsia"/>
          <w:lang w:eastAsia="ja-JP"/>
        </w:rPr>
        <w:t>E-UTRAN</w:t>
      </w:r>
      <w:r w:rsidRPr="004D0DAA">
        <w:rPr>
          <w:rFonts w:hint="eastAsia"/>
          <w:lang w:eastAsia="ja-JP"/>
        </w:rPr>
        <w:tab/>
        <w:t>Evolved UTRAN</w:t>
      </w:r>
    </w:p>
    <w:p w14:paraId="77AB6AF0" w14:textId="77777777" w:rsidR="00711444" w:rsidRPr="004D0DAA" w:rsidRDefault="00711444" w:rsidP="00711444">
      <w:pPr>
        <w:pStyle w:val="EW"/>
      </w:pPr>
      <w:r w:rsidRPr="004D0DAA">
        <w:t>FACCH</w:t>
      </w:r>
      <w:r w:rsidRPr="004D0DAA">
        <w:tab/>
        <w:t>Fast Associated Control CHannel</w:t>
      </w:r>
    </w:p>
    <w:p w14:paraId="0632756C" w14:textId="77777777" w:rsidR="00711444" w:rsidRPr="004D0DAA" w:rsidRDefault="00711444" w:rsidP="00711444">
      <w:pPr>
        <w:pStyle w:val="EW"/>
      </w:pPr>
      <w:r w:rsidRPr="004D0DAA">
        <w:t>FANR</w:t>
      </w:r>
      <w:r w:rsidRPr="004D0DAA">
        <w:tab/>
        <w:t>Fast Ack/Nack Reporting</w:t>
      </w:r>
    </w:p>
    <w:p w14:paraId="58CF6A01" w14:textId="77777777" w:rsidR="00711444" w:rsidRPr="004D0DAA" w:rsidRDefault="00711444" w:rsidP="00711444">
      <w:pPr>
        <w:pStyle w:val="EW"/>
      </w:pPr>
      <w:r w:rsidRPr="004D0DAA">
        <w:t>GAN</w:t>
      </w:r>
      <w:r w:rsidRPr="004D0DAA">
        <w:tab/>
        <w:t>Generic Access Network</w:t>
      </w:r>
    </w:p>
    <w:p w14:paraId="282283ED" w14:textId="77777777" w:rsidR="00711444" w:rsidRPr="004D0DAA" w:rsidRDefault="00711444" w:rsidP="00711444">
      <w:pPr>
        <w:pStyle w:val="EW"/>
      </w:pPr>
      <w:r w:rsidRPr="004D0DAA">
        <w:t>GANC</w:t>
      </w:r>
      <w:r w:rsidRPr="004D0DAA">
        <w:tab/>
        <w:t>Generic Access Network Controller</w:t>
      </w:r>
    </w:p>
    <w:p w14:paraId="4F2BF396" w14:textId="77777777" w:rsidR="00711444" w:rsidRPr="004D0DAA" w:rsidRDefault="00711444" w:rsidP="00711444">
      <w:pPr>
        <w:pStyle w:val="EW"/>
      </w:pPr>
      <w:r w:rsidRPr="004D0DAA">
        <w:t>GC</w:t>
      </w:r>
      <w:r w:rsidRPr="004D0DAA">
        <w:tab/>
        <w:t>General Control</w:t>
      </w:r>
    </w:p>
    <w:p w14:paraId="642CAF2F" w14:textId="77777777" w:rsidR="00711444" w:rsidRPr="004D0DAA" w:rsidRDefault="00711444" w:rsidP="00711444">
      <w:pPr>
        <w:pStyle w:val="EW"/>
      </w:pPr>
      <w:r w:rsidRPr="004D0DAA">
        <w:t>GERAN</w:t>
      </w:r>
      <w:r w:rsidRPr="004D0DAA">
        <w:tab/>
      </w:r>
      <w:r w:rsidRPr="004D0DAA">
        <w:rPr>
          <w:smallCaps/>
        </w:rPr>
        <w:t>Gsm/Edge</w:t>
      </w:r>
      <w:r w:rsidRPr="004D0DAA">
        <w:t xml:space="preserve"> Radio Access Network</w:t>
      </w:r>
    </w:p>
    <w:p w14:paraId="21499B48" w14:textId="77777777" w:rsidR="00711444" w:rsidRPr="004D0DAA" w:rsidRDefault="00711444" w:rsidP="00711444">
      <w:pPr>
        <w:pStyle w:val="EW"/>
      </w:pPr>
      <w:r w:rsidRPr="004D0DAA">
        <w:t>GPRS</w:t>
      </w:r>
      <w:r w:rsidRPr="004D0DAA">
        <w:tab/>
        <w:t>General Packet Radio Service</w:t>
      </w:r>
    </w:p>
    <w:p w14:paraId="1FD6E0A4" w14:textId="77777777" w:rsidR="00711444" w:rsidRPr="004D0DAA" w:rsidRDefault="00711444" w:rsidP="00711444">
      <w:pPr>
        <w:pStyle w:val="EW"/>
      </w:pPr>
      <w:r w:rsidRPr="004D0DAA">
        <w:t>GRA</w:t>
      </w:r>
      <w:r w:rsidRPr="004D0DAA">
        <w:tab/>
      </w:r>
      <w:r w:rsidRPr="004D0DAA">
        <w:rPr>
          <w:smallCaps/>
        </w:rPr>
        <w:t>Geran</w:t>
      </w:r>
      <w:r w:rsidRPr="004D0DAA">
        <w:t xml:space="preserve"> Registration Area</w:t>
      </w:r>
    </w:p>
    <w:p w14:paraId="1174B1FF" w14:textId="77777777" w:rsidR="00711444" w:rsidRPr="004D0DAA" w:rsidRDefault="00711444" w:rsidP="00711444">
      <w:pPr>
        <w:pStyle w:val="EW"/>
      </w:pPr>
      <w:r w:rsidRPr="004D0DAA">
        <w:t>G-RNTI</w:t>
      </w:r>
      <w:r w:rsidRPr="004D0DAA">
        <w:tab/>
      </w:r>
      <w:r w:rsidRPr="004D0DAA">
        <w:rPr>
          <w:smallCaps/>
        </w:rPr>
        <w:t>Geran</w:t>
      </w:r>
      <w:r w:rsidRPr="004D0DAA">
        <w:t xml:space="preserve"> Radio Network Temporary Identity</w:t>
      </w:r>
    </w:p>
    <w:p w14:paraId="44DD42E0" w14:textId="77777777" w:rsidR="00711444" w:rsidRPr="004D0DAA" w:rsidRDefault="00711444" w:rsidP="00711444">
      <w:pPr>
        <w:pStyle w:val="EW"/>
      </w:pPr>
      <w:r w:rsidRPr="004D0DAA">
        <w:t>GSM</w:t>
      </w:r>
      <w:r w:rsidRPr="004D0DAA">
        <w:tab/>
        <w:t>Global System for Mobile communications</w:t>
      </w:r>
    </w:p>
    <w:p w14:paraId="775B70E6" w14:textId="77777777" w:rsidR="00711444" w:rsidRPr="004D0DAA" w:rsidRDefault="00711444" w:rsidP="00711444">
      <w:pPr>
        <w:pStyle w:val="EW"/>
      </w:pPr>
      <w:r w:rsidRPr="004D0DAA">
        <w:t>IETF</w:t>
      </w:r>
      <w:r w:rsidRPr="004D0DAA">
        <w:tab/>
        <w:t>Internet Engineering Task Force</w:t>
      </w:r>
    </w:p>
    <w:p w14:paraId="0A072C7B" w14:textId="77777777" w:rsidR="00711444" w:rsidRPr="004D0DAA" w:rsidRDefault="00711444" w:rsidP="00711444">
      <w:pPr>
        <w:pStyle w:val="EW"/>
      </w:pPr>
      <w:r w:rsidRPr="004D0DAA">
        <w:t>IMSI</w:t>
      </w:r>
      <w:r w:rsidRPr="004D0DAA">
        <w:tab/>
        <w:t>International Mobile Subscriber Identity</w:t>
      </w:r>
    </w:p>
    <w:p w14:paraId="50422726" w14:textId="77777777" w:rsidR="00711444" w:rsidRPr="004D0DAA" w:rsidRDefault="00711444" w:rsidP="00711444">
      <w:pPr>
        <w:pStyle w:val="EW"/>
      </w:pPr>
      <w:r w:rsidRPr="004D0DAA">
        <w:t>IP</w:t>
      </w:r>
      <w:r w:rsidRPr="004D0DAA">
        <w:tab/>
        <w:t>Internet Protocol</w:t>
      </w:r>
    </w:p>
    <w:p w14:paraId="14E4CD0D" w14:textId="77777777" w:rsidR="00711444" w:rsidRPr="004D0DAA" w:rsidRDefault="00711444" w:rsidP="00711444">
      <w:pPr>
        <w:pStyle w:val="EW"/>
      </w:pPr>
      <w:r w:rsidRPr="004D0DAA">
        <w:t>LCS</w:t>
      </w:r>
      <w:r w:rsidRPr="004D0DAA">
        <w:tab/>
        <w:t>LoCation Services</w:t>
      </w:r>
    </w:p>
    <w:p w14:paraId="289B22F2" w14:textId="77777777" w:rsidR="00711444" w:rsidRPr="004D0DAA" w:rsidRDefault="00711444" w:rsidP="00711444">
      <w:pPr>
        <w:pStyle w:val="EW"/>
      </w:pPr>
      <w:r w:rsidRPr="004D0DAA">
        <w:t>LLC</w:t>
      </w:r>
      <w:r w:rsidRPr="004D0DAA">
        <w:tab/>
        <w:t>Logical Link Control</w:t>
      </w:r>
    </w:p>
    <w:p w14:paraId="629872BB" w14:textId="77777777" w:rsidR="00711444" w:rsidRPr="004D0DAA" w:rsidRDefault="00711444" w:rsidP="00711444">
      <w:pPr>
        <w:pStyle w:val="EW"/>
      </w:pPr>
      <w:r w:rsidRPr="004D0DAA">
        <w:t>MAC</w:t>
      </w:r>
      <w:r w:rsidRPr="004D0DAA">
        <w:tab/>
        <w:t>Medium Access Control</w:t>
      </w:r>
    </w:p>
    <w:p w14:paraId="0D766174" w14:textId="77777777" w:rsidR="00711444" w:rsidRPr="004D0DAA" w:rsidRDefault="00711444" w:rsidP="00711444">
      <w:pPr>
        <w:pStyle w:val="EW"/>
      </w:pPr>
      <w:r w:rsidRPr="004D0DAA">
        <w:t>MCS-</w:t>
      </w:r>
      <w:r w:rsidRPr="004D0DAA">
        <w:rPr>
          <w:i/>
        </w:rPr>
        <w:t>i</w:t>
      </w:r>
      <w:r w:rsidRPr="004D0DAA">
        <w:tab/>
        <w:t xml:space="preserve">EGPRS Modulation and Coding Scheme </w:t>
      </w:r>
      <w:r w:rsidRPr="004D0DAA">
        <w:rPr>
          <w:i/>
        </w:rPr>
        <w:t>i</w:t>
      </w:r>
    </w:p>
    <w:p w14:paraId="118559BD" w14:textId="77777777" w:rsidR="00711444" w:rsidRPr="004D0DAA" w:rsidRDefault="00711444" w:rsidP="00711444">
      <w:pPr>
        <w:pStyle w:val="EW"/>
      </w:pPr>
      <w:r w:rsidRPr="004D0DAA">
        <w:t>MM</w:t>
      </w:r>
      <w:r w:rsidRPr="004D0DAA">
        <w:tab/>
        <w:t>Mobility Management</w:t>
      </w:r>
    </w:p>
    <w:p w14:paraId="43D05CC9" w14:textId="77777777" w:rsidR="00711444" w:rsidRPr="004D0DAA" w:rsidRDefault="00711444" w:rsidP="00711444">
      <w:pPr>
        <w:pStyle w:val="EW"/>
      </w:pPr>
      <w:r w:rsidRPr="004D0DAA">
        <w:rPr>
          <w:rFonts w:hint="eastAsia"/>
          <w:lang w:eastAsia="ja-JP"/>
        </w:rPr>
        <w:t>MME</w:t>
      </w:r>
      <w:r w:rsidRPr="004D0DAA">
        <w:rPr>
          <w:rFonts w:hint="eastAsia"/>
          <w:lang w:eastAsia="ja-JP"/>
        </w:rPr>
        <w:tab/>
        <w:t>Mobility Management Entity</w:t>
      </w:r>
    </w:p>
    <w:p w14:paraId="2B845C8B" w14:textId="77777777" w:rsidR="00711444" w:rsidRPr="004D0DAA" w:rsidRDefault="00711444" w:rsidP="00711444">
      <w:pPr>
        <w:pStyle w:val="EW"/>
      </w:pPr>
      <w:r w:rsidRPr="004D0DAA">
        <w:t>MPRACH</w:t>
      </w:r>
      <w:r w:rsidRPr="004D0DAA">
        <w:tab/>
        <w:t>MBMS Packet Random Access Channel</w:t>
      </w:r>
    </w:p>
    <w:p w14:paraId="0FDF0BF4" w14:textId="77777777" w:rsidR="00711444" w:rsidRPr="004D0DAA" w:rsidRDefault="00711444" w:rsidP="00711444">
      <w:pPr>
        <w:pStyle w:val="EW"/>
        <w:rPr>
          <w:lang w:val="en-US"/>
        </w:rPr>
      </w:pPr>
      <w:r w:rsidRPr="004D0DAA">
        <w:rPr>
          <w:lang w:val="en-US"/>
        </w:rPr>
        <w:t>MS</w:t>
      </w:r>
      <w:r w:rsidRPr="004D0DAA">
        <w:rPr>
          <w:lang w:val="en-US"/>
        </w:rPr>
        <w:tab/>
        <w:t>Mobile Station</w:t>
      </w:r>
    </w:p>
    <w:p w14:paraId="7ADA3FBE" w14:textId="77777777" w:rsidR="00711444" w:rsidRPr="004D0DAA" w:rsidRDefault="00711444" w:rsidP="00711444">
      <w:pPr>
        <w:pStyle w:val="EW"/>
        <w:rPr>
          <w:lang w:val="en-US"/>
        </w:rPr>
      </w:pPr>
      <w:r w:rsidRPr="004D0DAA">
        <w:rPr>
          <w:lang w:val="en-US"/>
        </w:rPr>
        <w:t>MTA</w:t>
      </w:r>
      <w:r w:rsidRPr="004D0DAA">
        <w:rPr>
          <w:lang w:val="en-US"/>
        </w:rPr>
        <w:tab/>
        <w:t>Multilateration Timing Advance</w:t>
      </w:r>
    </w:p>
    <w:p w14:paraId="21CC4D64" w14:textId="77777777" w:rsidR="00711444" w:rsidRPr="004D0DAA" w:rsidRDefault="00711444" w:rsidP="00711444">
      <w:pPr>
        <w:pStyle w:val="EW"/>
        <w:rPr>
          <w:lang w:val="en-US"/>
        </w:rPr>
      </w:pPr>
      <w:r w:rsidRPr="004D0DAA">
        <w:rPr>
          <w:lang w:val="en-US"/>
        </w:rPr>
        <w:t>NAS</w:t>
      </w:r>
      <w:r w:rsidRPr="004D0DAA">
        <w:rPr>
          <w:lang w:val="en-US"/>
        </w:rPr>
        <w:tab/>
        <w:t>Non Access Stratum</w:t>
      </w:r>
    </w:p>
    <w:p w14:paraId="35C1C86D" w14:textId="77777777" w:rsidR="00711444" w:rsidRPr="004D0DAA" w:rsidRDefault="00711444" w:rsidP="00711444">
      <w:pPr>
        <w:pStyle w:val="EW"/>
      </w:pPr>
      <w:r w:rsidRPr="004D0DAA">
        <w:t>NSAPI</w:t>
      </w:r>
      <w:r w:rsidRPr="004D0DAA">
        <w:tab/>
        <w:t>Network-layer SAPI</w:t>
      </w:r>
    </w:p>
    <w:p w14:paraId="6632C1EE" w14:textId="77777777" w:rsidR="00711444" w:rsidRPr="004D0DAA" w:rsidRDefault="00711444" w:rsidP="00711444">
      <w:pPr>
        <w:pStyle w:val="EW"/>
      </w:pPr>
      <w:r w:rsidRPr="004D0DAA">
        <w:t>Nt</w:t>
      </w:r>
      <w:r w:rsidRPr="004D0DAA">
        <w:tab/>
        <w:t>Notification</w:t>
      </w:r>
    </w:p>
    <w:p w14:paraId="4446BA7A" w14:textId="77777777" w:rsidR="00711444" w:rsidRPr="004D0DAA" w:rsidRDefault="00711444" w:rsidP="00711444">
      <w:pPr>
        <w:pStyle w:val="EW"/>
      </w:pPr>
      <w:r w:rsidRPr="004D0DAA">
        <w:t>O-FACCH</w:t>
      </w:r>
      <w:r w:rsidRPr="004D0DAA">
        <w:tab/>
        <w:t>Octal FACCH</w:t>
      </w:r>
    </w:p>
    <w:p w14:paraId="686CAD30" w14:textId="77777777" w:rsidR="00711444" w:rsidRPr="004D0DAA" w:rsidRDefault="00711444" w:rsidP="00711444">
      <w:pPr>
        <w:pStyle w:val="EW"/>
      </w:pPr>
      <w:r w:rsidRPr="004D0DAA">
        <w:t>O-TCH</w:t>
      </w:r>
      <w:r w:rsidRPr="004D0DAA">
        <w:tab/>
        <w:t>Octal TCH</w:t>
      </w:r>
    </w:p>
    <w:p w14:paraId="2C3D0698" w14:textId="77777777" w:rsidR="00711444" w:rsidRPr="004D0DAA" w:rsidRDefault="00711444" w:rsidP="00711444">
      <w:pPr>
        <w:pStyle w:val="EW"/>
      </w:pPr>
      <w:r w:rsidRPr="004D0DAA">
        <w:t>PAN</w:t>
      </w:r>
      <w:r w:rsidRPr="004D0DAA">
        <w:tab/>
        <w:t>Piggy-backed Ack/Nack</w:t>
      </w:r>
    </w:p>
    <w:p w14:paraId="3C32CE3C" w14:textId="77777777" w:rsidR="00711444" w:rsidRPr="004D0DAA" w:rsidRDefault="00711444" w:rsidP="00711444">
      <w:pPr>
        <w:pStyle w:val="EW"/>
      </w:pPr>
      <w:r w:rsidRPr="004D0DAA">
        <w:t>PBCCH</w:t>
      </w:r>
      <w:r w:rsidRPr="004D0DAA">
        <w:tab/>
        <w:t>Packet BCCH</w:t>
      </w:r>
    </w:p>
    <w:p w14:paraId="041EA58C" w14:textId="77777777" w:rsidR="00711444" w:rsidRPr="004D0DAA" w:rsidRDefault="00711444" w:rsidP="00711444">
      <w:pPr>
        <w:pStyle w:val="EW"/>
      </w:pPr>
      <w:r w:rsidRPr="004D0DAA">
        <w:t>PDCH</w:t>
      </w:r>
      <w:r w:rsidRPr="004D0DAA">
        <w:tab/>
        <w:t>Packet Data CHannel</w:t>
      </w:r>
    </w:p>
    <w:p w14:paraId="26C1A5DB" w14:textId="77777777" w:rsidR="00711444" w:rsidRPr="004D0DAA" w:rsidRDefault="00711444" w:rsidP="00711444">
      <w:pPr>
        <w:pStyle w:val="EW"/>
      </w:pPr>
      <w:r w:rsidRPr="004D0DAA">
        <w:t>PDCP</w:t>
      </w:r>
      <w:r w:rsidRPr="004D0DAA">
        <w:tab/>
        <w:t>Packet Data Convergence Protocol</w:t>
      </w:r>
    </w:p>
    <w:p w14:paraId="6E048CA9" w14:textId="77777777" w:rsidR="00711444" w:rsidRPr="004D0DAA" w:rsidRDefault="00711444" w:rsidP="00711444">
      <w:pPr>
        <w:pStyle w:val="EW"/>
      </w:pPr>
      <w:r w:rsidRPr="004D0DAA">
        <w:lastRenderedPageBreak/>
        <w:t>PDP</w:t>
      </w:r>
      <w:r w:rsidRPr="004D0DAA">
        <w:tab/>
        <w:t>Packet Data Protocol</w:t>
      </w:r>
    </w:p>
    <w:p w14:paraId="3F9521E3" w14:textId="77777777" w:rsidR="00711444" w:rsidRPr="004D0DAA" w:rsidRDefault="00711444" w:rsidP="00711444">
      <w:pPr>
        <w:pStyle w:val="EW"/>
      </w:pPr>
      <w:r w:rsidRPr="004D0DAA">
        <w:t>PDTCH</w:t>
      </w:r>
      <w:r w:rsidRPr="004D0DAA">
        <w:tab/>
        <w:t>Packet Data TCH</w:t>
      </w:r>
    </w:p>
    <w:p w14:paraId="5741C9EB" w14:textId="77777777" w:rsidR="00711444" w:rsidRPr="004D0DAA" w:rsidRDefault="00711444" w:rsidP="00711444">
      <w:pPr>
        <w:pStyle w:val="EW"/>
      </w:pPr>
      <w:r w:rsidRPr="004D0DAA">
        <w:t>PDU</w:t>
      </w:r>
      <w:r w:rsidRPr="004D0DAA">
        <w:tab/>
        <w:t>Protocol Data Unit</w:t>
      </w:r>
    </w:p>
    <w:p w14:paraId="11EC2F04" w14:textId="77777777" w:rsidR="00711444" w:rsidRPr="004D0DAA" w:rsidRDefault="00711444" w:rsidP="00711444">
      <w:pPr>
        <w:pStyle w:val="EW"/>
      </w:pPr>
      <w:r w:rsidRPr="004D0DAA">
        <w:t>PEO</w:t>
      </w:r>
      <w:r w:rsidRPr="004D0DAA">
        <w:tab/>
        <w:t>Power Efficient Operation</w:t>
      </w:r>
    </w:p>
    <w:p w14:paraId="2CD45C7C" w14:textId="77777777" w:rsidR="00711444" w:rsidRPr="004D0DAA" w:rsidRDefault="00711444" w:rsidP="00711444">
      <w:pPr>
        <w:pStyle w:val="EW"/>
      </w:pPr>
      <w:r w:rsidRPr="004D0DAA">
        <w:t>PFC</w:t>
      </w:r>
      <w:r w:rsidRPr="004D0DAA">
        <w:tab/>
        <w:t>Packet Flow Context</w:t>
      </w:r>
    </w:p>
    <w:p w14:paraId="69ECC514" w14:textId="77777777" w:rsidR="00711444" w:rsidRPr="004D0DAA" w:rsidRDefault="00711444" w:rsidP="00711444">
      <w:pPr>
        <w:pStyle w:val="EW"/>
      </w:pPr>
      <w:r w:rsidRPr="004D0DAA">
        <w:t>PFI</w:t>
      </w:r>
      <w:r w:rsidRPr="004D0DAA">
        <w:tab/>
        <w:t>Packet Flow Identifier</w:t>
      </w:r>
    </w:p>
    <w:p w14:paraId="3B518DC5" w14:textId="77777777" w:rsidR="00711444" w:rsidRPr="004D0DAA" w:rsidRDefault="00711444" w:rsidP="00711444">
      <w:pPr>
        <w:pStyle w:val="EW"/>
      </w:pPr>
      <w:r w:rsidRPr="004D0DAA">
        <w:t>PLMN</w:t>
      </w:r>
      <w:r w:rsidRPr="004D0DAA">
        <w:tab/>
        <w:t>Public Land Mobile Network</w:t>
      </w:r>
    </w:p>
    <w:p w14:paraId="42B8A1EC" w14:textId="77777777" w:rsidR="00711444" w:rsidRPr="004D0DAA" w:rsidRDefault="00711444" w:rsidP="00711444">
      <w:pPr>
        <w:pStyle w:val="EW"/>
      </w:pPr>
      <w:r w:rsidRPr="004D0DAA">
        <w:t>PTCCH</w:t>
      </w:r>
      <w:r w:rsidRPr="004D0DAA">
        <w:tab/>
        <w:t>Packet Timing-advance Control CHannel</w:t>
      </w:r>
    </w:p>
    <w:p w14:paraId="4028AF07" w14:textId="77777777" w:rsidR="00711444" w:rsidRPr="004D0DAA" w:rsidRDefault="00711444" w:rsidP="00711444">
      <w:pPr>
        <w:pStyle w:val="EW"/>
      </w:pPr>
      <w:r w:rsidRPr="004D0DAA">
        <w:t>p-t-m</w:t>
      </w:r>
      <w:r w:rsidRPr="004D0DAA">
        <w:tab/>
        <w:t>point-to-multipoint</w:t>
      </w:r>
    </w:p>
    <w:p w14:paraId="73CF86A4" w14:textId="77777777" w:rsidR="00711444" w:rsidRPr="004D0DAA" w:rsidRDefault="00711444" w:rsidP="00711444">
      <w:pPr>
        <w:pStyle w:val="EW"/>
      </w:pPr>
      <w:r w:rsidRPr="004D0DAA">
        <w:t>P-TMSI</w:t>
      </w:r>
      <w:r w:rsidRPr="004D0DAA">
        <w:tab/>
        <w:t>Packet TMSI</w:t>
      </w:r>
    </w:p>
    <w:p w14:paraId="7B6D3F61" w14:textId="77777777" w:rsidR="00711444" w:rsidRPr="004D0DAA" w:rsidRDefault="00711444" w:rsidP="00711444">
      <w:pPr>
        <w:pStyle w:val="EW"/>
      </w:pPr>
      <w:r w:rsidRPr="004D0DAA">
        <w:t>QoS</w:t>
      </w:r>
      <w:r w:rsidRPr="004D0DAA">
        <w:tab/>
        <w:t>Quality of Service</w:t>
      </w:r>
    </w:p>
    <w:p w14:paraId="29256B8B" w14:textId="77777777" w:rsidR="00711444" w:rsidRPr="004D0DAA" w:rsidRDefault="00711444" w:rsidP="00711444">
      <w:pPr>
        <w:pStyle w:val="EW"/>
      </w:pPr>
      <w:r w:rsidRPr="004D0DAA">
        <w:t>RAB</w:t>
      </w:r>
      <w:r w:rsidRPr="004D0DAA">
        <w:tab/>
        <w:t>Radio Access Bearer</w:t>
      </w:r>
    </w:p>
    <w:p w14:paraId="1B9B7E5A" w14:textId="77777777" w:rsidR="00711444" w:rsidRPr="004D0DAA" w:rsidRDefault="00711444" w:rsidP="00711444">
      <w:pPr>
        <w:pStyle w:val="EW"/>
      </w:pPr>
      <w:r w:rsidRPr="004D0DAA">
        <w:t>RANAP</w:t>
      </w:r>
      <w:r w:rsidRPr="004D0DAA">
        <w:tab/>
        <w:t>Radio Access Network Application Part</w:t>
      </w:r>
    </w:p>
    <w:p w14:paraId="374B07C8" w14:textId="77777777" w:rsidR="00711444" w:rsidRPr="004D0DAA" w:rsidRDefault="00711444" w:rsidP="00711444">
      <w:pPr>
        <w:pStyle w:val="EW"/>
      </w:pPr>
      <w:r w:rsidRPr="004D0DAA">
        <w:t>RB</w:t>
      </w:r>
      <w:r w:rsidRPr="004D0DAA">
        <w:tab/>
        <w:t>Radio Bearer</w:t>
      </w:r>
    </w:p>
    <w:p w14:paraId="54764944" w14:textId="77777777" w:rsidR="00711444" w:rsidRPr="004D0DAA" w:rsidRDefault="00711444" w:rsidP="00711444">
      <w:pPr>
        <w:pStyle w:val="EW"/>
      </w:pPr>
      <w:r w:rsidRPr="004D0DAA">
        <w:t>RLC</w:t>
      </w:r>
      <w:r w:rsidRPr="004D0DAA">
        <w:tab/>
        <w:t>Radio Link Control</w:t>
      </w:r>
    </w:p>
    <w:p w14:paraId="58E585BA" w14:textId="77777777" w:rsidR="00711444" w:rsidRPr="004D0DAA" w:rsidRDefault="00711444" w:rsidP="00711444">
      <w:pPr>
        <w:pStyle w:val="EW"/>
      </w:pPr>
      <w:r w:rsidRPr="004D0DAA">
        <w:t>RNC</w:t>
      </w:r>
      <w:r w:rsidRPr="004D0DAA">
        <w:tab/>
        <w:t>Radio Network Controller</w:t>
      </w:r>
    </w:p>
    <w:p w14:paraId="78480A1B" w14:textId="77777777" w:rsidR="00711444" w:rsidRPr="004D0DAA" w:rsidRDefault="00711444" w:rsidP="00711444">
      <w:pPr>
        <w:pStyle w:val="EW"/>
      </w:pPr>
      <w:r w:rsidRPr="004D0DAA">
        <w:t>RNS</w:t>
      </w:r>
      <w:r w:rsidRPr="004D0DAA">
        <w:tab/>
        <w:t>Radio Network Subsystem</w:t>
      </w:r>
    </w:p>
    <w:p w14:paraId="7EB8B055" w14:textId="77777777" w:rsidR="00711444" w:rsidRPr="004D0DAA" w:rsidRDefault="00711444" w:rsidP="00711444">
      <w:pPr>
        <w:pStyle w:val="EW"/>
      </w:pPr>
      <w:r w:rsidRPr="004D0DAA">
        <w:t>RNSAP</w:t>
      </w:r>
      <w:r w:rsidRPr="004D0DAA">
        <w:tab/>
        <w:t>Radio Network Subsystem Application Part</w:t>
      </w:r>
    </w:p>
    <w:p w14:paraId="0E5196E8" w14:textId="77777777" w:rsidR="00711444" w:rsidRPr="004D0DAA" w:rsidRDefault="00711444" w:rsidP="00711444">
      <w:pPr>
        <w:pStyle w:val="EW"/>
      </w:pPr>
      <w:r w:rsidRPr="004D0DAA">
        <w:t>ROHC</w:t>
      </w:r>
      <w:r w:rsidRPr="004D0DAA">
        <w:tab/>
        <w:t>Robust Header Compression</w:t>
      </w:r>
    </w:p>
    <w:p w14:paraId="6B16F6A7" w14:textId="77777777" w:rsidR="00711444" w:rsidRPr="004D0DAA" w:rsidRDefault="00711444" w:rsidP="00711444">
      <w:pPr>
        <w:pStyle w:val="EW"/>
      </w:pPr>
      <w:r w:rsidRPr="004D0DAA">
        <w:t>RR</w:t>
      </w:r>
      <w:r w:rsidRPr="004D0DAA">
        <w:tab/>
        <w:t>Radio Resource</w:t>
      </w:r>
    </w:p>
    <w:p w14:paraId="6B016398" w14:textId="77777777" w:rsidR="00711444" w:rsidRPr="004D0DAA" w:rsidRDefault="00711444" w:rsidP="00711444">
      <w:pPr>
        <w:pStyle w:val="EW"/>
      </w:pPr>
      <w:r w:rsidRPr="004D0DAA">
        <w:t>RRC</w:t>
      </w:r>
      <w:r w:rsidRPr="004D0DAA">
        <w:tab/>
        <w:t>Radio Resource Control</w:t>
      </w:r>
    </w:p>
    <w:p w14:paraId="2F56B309" w14:textId="77777777" w:rsidR="00711444" w:rsidRPr="004D0DAA" w:rsidRDefault="00711444" w:rsidP="00711444">
      <w:pPr>
        <w:pStyle w:val="EW"/>
      </w:pPr>
      <w:r w:rsidRPr="004D0DAA">
        <w:t>RTP</w:t>
      </w:r>
      <w:r w:rsidRPr="004D0DAA">
        <w:tab/>
        <w:t>Real Time Protocol</w:t>
      </w:r>
    </w:p>
    <w:p w14:paraId="2C1F1AA4" w14:textId="77777777" w:rsidR="00711444" w:rsidRPr="004D0DAA" w:rsidRDefault="00711444" w:rsidP="00711444">
      <w:pPr>
        <w:pStyle w:val="EW"/>
      </w:pPr>
      <w:r w:rsidRPr="004D0DAA">
        <w:t>RTTI</w:t>
      </w:r>
      <w:r w:rsidRPr="004D0DAA">
        <w:tab/>
        <w:t>Reduced Transmission Time Interval</w:t>
      </w:r>
    </w:p>
    <w:p w14:paraId="404DCC29" w14:textId="77777777" w:rsidR="00711444" w:rsidRPr="004D0DAA" w:rsidRDefault="00711444" w:rsidP="00711444">
      <w:pPr>
        <w:pStyle w:val="EW"/>
      </w:pPr>
      <w:r w:rsidRPr="004D0DAA">
        <w:t>SACCH</w:t>
      </w:r>
      <w:r w:rsidRPr="004D0DAA">
        <w:tab/>
        <w:t>Slow Associated Control CHannel</w:t>
      </w:r>
    </w:p>
    <w:p w14:paraId="039E1EC9" w14:textId="77777777" w:rsidR="00711444" w:rsidRPr="004D0DAA" w:rsidRDefault="00711444" w:rsidP="00711444">
      <w:pPr>
        <w:pStyle w:val="EW"/>
      </w:pPr>
      <w:r w:rsidRPr="004D0DAA">
        <w:t>SAP</w:t>
      </w:r>
      <w:r w:rsidRPr="004D0DAA">
        <w:tab/>
        <w:t>Service Access Point</w:t>
      </w:r>
    </w:p>
    <w:p w14:paraId="640FA8FC" w14:textId="77777777" w:rsidR="00711444" w:rsidRPr="004D0DAA" w:rsidRDefault="00711444" w:rsidP="00711444">
      <w:pPr>
        <w:pStyle w:val="EW"/>
      </w:pPr>
      <w:r w:rsidRPr="004D0DAA">
        <w:t>SAPI</w:t>
      </w:r>
      <w:r w:rsidRPr="004D0DAA">
        <w:tab/>
        <w:t>Service Access Point Identifier</w:t>
      </w:r>
    </w:p>
    <w:p w14:paraId="47D2AC94" w14:textId="77777777" w:rsidR="00711444" w:rsidRPr="004D0DAA" w:rsidRDefault="00711444" w:rsidP="00711444">
      <w:pPr>
        <w:pStyle w:val="EW"/>
      </w:pPr>
      <w:r w:rsidRPr="004D0DAA">
        <w:t>SDCCH</w:t>
      </w:r>
      <w:r w:rsidRPr="004D0DAA">
        <w:tab/>
        <w:t>Stand-alone Dedicated Control CHannel</w:t>
      </w:r>
    </w:p>
    <w:p w14:paraId="78338C38" w14:textId="77777777" w:rsidR="00711444" w:rsidRPr="004D0DAA" w:rsidRDefault="00711444" w:rsidP="00711444">
      <w:pPr>
        <w:pStyle w:val="EW"/>
      </w:pPr>
      <w:r w:rsidRPr="004D0DAA">
        <w:t>SDU</w:t>
      </w:r>
      <w:r w:rsidRPr="004D0DAA">
        <w:tab/>
        <w:t>Service Data Unit</w:t>
      </w:r>
    </w:p>
    <w:p w14:paraId="6C97341B" w14:textId="77777777" w:rsidR="00711444" w:rsidRPr="004D0DAA" w:rsidRDefault="00711444" w:rsidP="00711444">
      <w:pPr>
        <w:pStyle w:val="EW"/>
      </w:pPr>
      <w:r w:rsidRPr="004D0DAA">
        <w:t>SBPSCH</w:t>
      </w:r>
      <w:r w:rsidRPr="004D0DAA">
        <w:tab/>
        <w:t>Shared Basic Physical Sub CHannel</w:t>
      </w:r>
    </w:p>
    <w:p w14:paraId="7FB6E212" w14:textId="77777777" w:rsidR="00711444" w:rsidRPr="004D0DAA" w:rsidRDefault="00711444" w:rsidP="00711444">
      <w:pPr>
        <w:pStyle w:val="EW"/>
      </w:pPr>
      <w:r w:rsidRPr="004D0DAA">
        <w:t>TBF</w:t>
      </w:r>
      <w:r w:rsidRPr="004D0DAA">
        <w:tab/>
        <w:t>Temporary Block Flow</w:t>
      </w:r>
    </w:p>
    <w:p w14:paraId="260BCCE5" w14:textId="77777777" w:rsidR="00711444" w:rsidRPr="004D0DAA" w:rsidRDefault="00711444" w:rsidP="00711444">
      <w:pPr>
        <w:pStyle w:val="EW"/>
      </w:pPr>
      <w:r w:rsidRPr="004D0DAA">
        <w:t>TCH</w:t>
      </w:r>
      <w:r w:rsidRPr="004D0DAA">
        <w:tab/>
        <w:t>Traffic Channel</w:t>
      </w:r>
    </w:p>
    <w:p w14:paraId="2DC02683" w14:textId="77777777" w:rsidR="00711444" w:rsidRPr="004D0DAA" w:rsidRDefault="00711444" w:rsidP="00711444">
      <w:pPr>
        <w:pStyle w:val="EW"/>
      </w:pPr>
      <w:r w:rsidRPr="004D0DAA">
        <w:t>TCP</w:t>
      </w:r>
      <w:r w:rsidRPr="004D0DAA">
        <w:tab/>
        <w:t>Transmission Control Protocol</w:t>
      </w:r>
    </w:p>
    <w:p w14:paraId="3F9247B5" w14:textId="77777777" w:rsidR="00711444" w:rsidRPr="004D0DAA" w:rsidRDefault="00711444" w:rsidP="00711444">
      <w:pPr>
        <w:pStyle w:val="EW"/>
      </w:pPr>
      <w:r w:rsidRPr="004D0DAA">
        <w:t>TFI</w:t>
      </w:r>
      <w:r w:rsidRPr="004D0DAA">
        <w:tab/>
        <w:t>Temporary Flow Identifier</w:t>
      </w:r>
    </w:p>
    <w:p w14:paraId="69D5B59B" w14:textId="77777777" w:rsidR="00711444" w:rsidRPr="004D0DAA" w:rsidRDefault="00711444" w:rsidP="00711444">
      <w:pPr>
        <w:pStyle w:val="EW"/>
      </w:pPr>
      <w:r w:rsidRPr="004D0DAA">
        <w:t>TLLI</w:t>
      </w:r>
      <w:r w:rsidRPr="004D0DAA">
        <w:tab/>
        <w:t>Temporary Logical Link Identifier</w:t>
      </w:r>
    </w:p>
    <w:p w14:paraId="46A4E6C1" w14:textId="77777777" w:rsidR="00711444" w:rsidRPr="004D0DAA" w:rsidRDefault="00711444" w:rsidP="00711444">
      <w:pPr>
        <w:pStyle w:val="EW"/>
      </w:pPr>
      <w:r w:rsidRPr="004D0DAA">
        <w:t>TMSI</w:t>
      </w:r>
      <w:r w:rsidRPr="004D0DAA">
        <w:tab/>
        <w:t>Temporary Mobile Subscriber Identity</w:t>
      </w:r>
    </w:p>
    <w:p w14:paraId="3F356616" w14:textId="77777777" w:rsidR="00711444" w:rsidRPr="004D0DAA" w:rsidRDefault="00711444" w:rsidP="00711444">
      <w:pPr>
        <w:pStyle w:val="EW"/>
      </w:pPr>
      <w:r w:rsidRPr="004D0DAA">
        <w:t>TSC</w:t>
      </w:r>
      <w:r w:rsidRPr="004D0DAA">
        <w:tab/>
        <w:t>Training Sequence Code</w:t>
      </w:r>
    </w:p>
    <w:p w14:paraId="7E9A2A03" w14:textId="77777777" w:rsidR="00711444" w:rsidRPr="004D0DAA" w:rsidRDefault="00711444" w:rsidP="00711444">
      <w:pPr>
        <w:pStyle w:val="EW"/>
      </w:pPr>
      <w:r w:rsidRPr="004D0DAA">
        <w:t>TTI</w:t>
      </w:r>
      <w:r w:rsidRPr="004D0DAA">
        <w:tab/>
        <w:t>Transmission Time Interval</w:t>
      </w:r>
    </w:p>
    <w:p w14:paraId="7B4AB4FD" w14:textId="77777777" w:rsidR="00711444" w:rsidRPr="004D0DAA" w:rsidRDefault="00711444" w:rsidP="00711444">
      <w:pPr>
        <w:pStyle w:val="EW"/>
        <w:rPr>
          <w:rFonts w:hint="eastAsia"/>
          <w:lang w:eastAsia="ko-KR"/>
        </w:rPr>
      </w:pPr>
      <w:r w:rsidRPr="004D0DAA">
        <w:rPr>
          <w:rFonts w:hint="eastAsia"/>
          <w:lang w:eastAsia="ko-KR"/>
        </w:rPr>
        <w:t>UAS-</w:t>
      </w:r>
      <w:r w:rsidRPr="004D0DAA">
        <w:rPr>
          <w:rFonts w:hint="eastAsia"/>
          <w:i/>
          <w:iCs/>
          <w:lang w:eastAsia="ko-KR"/>
        </w:rPr>
        <w:t>i</w:t>
      </w:r>
      <w:r w:rsidRPr="004D0DAA">
        <w:rPr>
          <w:rFonts w:hint="eastAsia"/>
          <w:lang w:eastAsia="ko-KR"/>
        </w:rPr>
        <w:tab/>
        <w:t xml:space="preserve">EGPRS2 Uplink level A modulation and coding Scheme </w:t>
      </w:r>
      <w:r w:rsidRPr="004D0DAA">
        <w:rPr>
          <w:rFonts w:hint="eastAsia"/>
          <w:i/>
          <w:iCs/>
          <w:lang w:eastAsia="ko-KR"/>
        </w:rPr>
        <w:t>i</w:t>
      </w:r>
    </w:p>
    <w:p w14:paraId="7C0E5082" w14:textId="77777777" w:rsidR="00711444" w:rsidRPr="004D0DAA" w:rsidRDefault="00711444" w:rsidP="00711444">
      <w:pPr>
        <w:pStyle w:val="EW"/>
        <w:rPr>
          <w:rFonts w:hint="eastAsia"/>
          <w:lang w:eastAsia="ko-KR"/>
        </w:rPr>
      </w:pPr>
      <w:r w:rsidRPr="004D0DAA">
        <w:rPr>
          <w:rFonts w:hint="eastAsia"/>
          <w:lang w:eastAsia="ko-KR"/>
        </w:rPr>
        <w:t>UBS-</w:t>
      </w:r>
      <w:r w:rsidRPr="004D0DAA">
        <w:rPr>
          <w:rFonts w:hint="eastAsia"/>
          <w:i/>
          <w:iCs/>
          <w:lang w:eastAsia="ko-KR"/>
        </w:rPr>
        <w:t>i</w:t>
      </w:r>
      <w:r w:rsidRPr="004D0DAA">
        <w:rPr>
          <w:rFonts w:hint="eastAsia"/>
          <w:lang w:eastAsia="ko-KR"/>
        </w:rPr>
        <w:tab/>
        <w:t xml:space="preserve">EGPRS2 Uplink level B modulation and coding Scheme </w:t>
      </w:r>
      <w:r w:rsidRPr="004D0DAA">
        <w:rPr>
          <w:rFonts w:hint="eastAsia"/>
          <w:i/>
          <w:iCs/>
          <w:lang w:eastAsia="ko-KR"/>
        </w:rPr>
        <w:t>i</w:t>
      </w:r>
    </w:p>
    <w:p w14:paraId="4C337C25" w14:textId="77777777" w:rsidR="00711444" w:rsidRPr="004D0DAA" w:rsidRDefault="00711444" w:rsidP="00711444">
      <w:pPr>
        <w:pStyle w:val="EW"/>
      </w:pPr>
      <w:r w:rsidRPr="004D0DAA">
        <w:t>UDP</w:t>
      </w:r>
      <w:r w:rsidRPr="004D0DAA">
        <w:tab/>
        <w:t xml:space="preserve">User Datagram Protocol </w:t>
      </w:r>
    </w:p>
    <w:p w14:paraId="6E2E6716" w14:textId="77777777" w:rsidR="00711444" w:rsidRPr="004D0DAA" w:rsidRDefault="00711444" w:rsidP="00711444">
      <w:pPr>
        <w:pStyle w:val="EW"/>
      </w:pPr>
      <w:r w:rsidRPr="004D0DAA">
        <w:t>UMTS</w:t>
      </w:r>
      <w:r w:rsidRPr="004D0DAA">
        <w:tab/>
        <w:t>Universal Mobile Telecommunication System</w:t>
      </w:r>
    </w:p>
    <w:p w14:paraId="0535BA6C" w14:textId="77777777" w:rsidR="00711444" w:rsidRPr="004D0DAA" w:rsidRDefault="00711444" w:rsidP="00711444">
      <w:pPr>
        <w:pStyle w:val="EW"/>
      </w:pPr>
      <w:r w:rsidRPr="004D0DAA">
        <w:t>USF</w:t>
      </w:r>
      <w:r w:rsidRPr="004D0DAA">
        <w:tab/>
        <w:t>Uplink State Flag</w:t>
      </w:r>
    </w:p>
    <w:p w14:paraId="793D656C" w14:textId="77777777" w:rsidR="00711444" w:rsidRPr="004D0DAA" w:rsidRDefault="00711444" w:rsidP="00711444">
      <w:pPr>
        <w:pStyle w:val="EX"/>
      </w:pPr>
      <w:r w:rsidRPr="004D0DAA">
        <w:t>UTRAN</w:t>
      </w:r>
      <w:r w:rsidRPr="004D0DAA">
        <w:tab/>
        <w:t>U</w:t>
      </w:r>
      <w:r w:rsidRPr="004D0DAA">
        <w:rPr>
          <w:sz w:val="16"/>
        </w:rPr>
        <w:t>MTS</w:t>
      </w:r>
      <w:r w:rsidRPr="004D0DAA">
        <w:t xml:space="preserve"> Terrestrial Radio Access Network</w:t>
      </w:r>
    </w:p>
    <w:p w14:paraId="4368D62C" w14:textId="77777777" w:rsidR="00711444" w:rsidRPr="004D0DAA" w:rsidRDefault="00711444" w:rsidP="00711444">
      <w:pPr>
        <w:pStyle w:val="Heading2"/>
      </w:pPr>
      <w:bookmarkStart w:id="15" w:name="_Toc516669205"/>
      <w:r w:rsidRPr="004D0DAA">
        <w:t>3.3</w:t>
      </w:r>
      <w:r w:rsidRPr="004D0DAA">
        <w:tab/>
        <w:t>Symbols</w:t>
      </w:r>
      <w:bookmarkEnd w:id="15"/>
    </w:p>
    <w:p w14:paraId="27ED2C3B" w14:textId="77777777" w:rsidR="00711444" w:rsidRPr="004D0DAA" w:rsidRDefault="00711444" w:rsidP="00711444">
      <w:r w:rsidRPr="004D0DAA">
        <w:t>This document uses the following symbols:</w:t>
      </w:r>
    </w:p>
    <w:p w14:paraId="50C68988" w14:textId="77777777" w:rsidR="00711444" w:rsidRPr="004D0DAA" w:rsidRDefault="00711444" w:rsidP="00711444">
      <w:pPr>
        <w:pStyle w:val="EW"/>
      </w:pPr>
      <w:r w:rsidRPr="004D0DAA">
        <w:rPr>
          <w:i/>
        </w:rPr>
        <w:t>A</w:t>
      </w:r>
      <w:r w:rsidRPr="004D0DAA">
        <w:tab/>
        <w:t>Interface between a BSS and a 2G MSC</w:t>
      </w:r>
    </w:p>
    <w:p w14:paraId="6B9705CA" w14:textId="77777777" w:rsidR="00711444" w:rsidRPr="004D0DAA" w:rsidRDefault="00711444" w:rsidP="00711444">
      <w:pPr>
        <w:pStyle w:val="EW"/>
      </w:pPr>
      <w:r w:rsidRPr="004D0DAA">
        <w:rPr>
          <w:i/>
        </w:rPr>
        <w:t>Gb</w:t>
      </w:r>
      <w:r w:rsidRPr="004D0DAA">
        <w:tab/>
        <w:t>Interface between a BSS and a 2G SGSN</w:t>
      </w:r>
    </w:p>
    <w:p w14:paraId="1BC5F8FE" w14:textId="77777777" w:rsidR="00711444" w:rsidRPr="004D0DAA" w:rsidRDefault="00711444" w:rsidP="00711444">
      <w:pPr>
        <w:pStyle w:val="EW"/>
      </w:pPr>
      <w:r w:rsidRPr="004D0DAA">
        <w:rPr>
          <w:i/>
        </w:rPr>
        <w:t>Iu</w:t>
      </w:r>
      <w:r w:rsidRPr="004D0DAA">
        <w:tab/>
        <w:t>Interface between a BSS or an RNC and a 3G MSC or a 3G SGSN</w:t>
      </w:r>
    </w:p>
    <w:p w14:paraId="14EDDD40" w14:textId="77777777" w:rsidR="00711444" w:rsidRPr="004D0DAA" w:rsidRDefault="00711444" w:rsidP="00711444">
      <w:pPr>
        <w:pStyle w:val="EW"/>
      </w:pPr>
      <w:r w:rsidRPr="004D0DAA">
        <w:rPr>
          <w:i/>
        </w:rPr>
        <w:t>Iu-cs</w:t>
      </w:r>
      <w:r w:rsidRPr="004D0DAA">
        <w:tab/>
        <w:t>Interface between a BSS or an RNC and a 3G MSC</w:t>
      </w:r>
    </w:p>
    <w:p w14:paraId="044DA3D7" w14:textId="77777777" w:rsidR="00711444" w:rsidRPr="004D0DAA" w:rsidRDefault="00711444" w:rsidP="00711444">
      <w:pPr>
        <w:pStyle w:val="EW"/>
      </w:pPr>
      <w:r w:rsidRPr="004D0DAA">
        <w:rPr>
          <w:i/>
        </w:rPr>
        <w:t>Iu-ps</w:t>
      </w:r>
      <w:r w:rsidRPr="004D0DAA">
        <w:tab/>
        <w:t>Interface between a BSS or an RNC and a 3G SGSN</w:t>
      </w:r>
    </w:p>
    <w:p w14:paraId="31931C70" w14:textId="77777777" w:rsidR="00711444" w:rsidRPr="004D0DAA" w:rsidRDefault="00711444" w:rsidP="00711444">
      <w:pPr>
        <w:pStyle w:val="EW"/>
      </w:pPr>
      <w:r w:rsidRPr="004D0DAA">
        <w:rPr>
          <w:i/>
        </w:rPr>
        <w:t>Iur-g</w:t>
      </w:r>
      <w:r w:rsidRPr="004D0DAA">
        <w:tab/>
        <w:t>Interface between two BSSs or between a BSS and an RNC</w:t>
      </w:r>
    </w:p>
    <w:p w14:paraId="73B6CA67" w14:textId="77777777" w:rsidR="00711444" w:rsidRPr="004D0DAA" w:rsidRDefault="00711444" w:rsidP="00711444">
      <w:pPr>
        <w:pStyle w:val="EX"/>
      </w:pPr>
      <w:r w:rsidRPr="004D0DAA">
        <w:rPr>
          <w:i/>
        </w:rPr>
        <w:t>Um</w:t>
      </w:r>
      <w:r w:rsidRPr="004D0DAA">
        <w:tab/>
        <w:t>Interface between an MS and the GERAN</w:t>
      </w:r>
    </w:p>
    <w:p w14:paraId="467FC9D4" w14:textId="77777777" w:rsidR="00711444" w:rsidRPr="004D0DAA" w:rsidRDefault="00711444" w:rsidP="00711444">
      <w:pPr>
        <w:pStyle w:val="Heading1"/>
      </w:pPr>
      <w:bookmarkStart w:id="16" w:name="_Toc516669206"/>
      <w:r w:rsidRPr="004D0DAA">
        <w:t>4</w:t>
      </w:r>
      <w:r w:rsidRPr="004D0DAA">
        <w:tab/>
        <w:t>Layered overview of radio interface</w:t>
      </w:r>
      <w:bookmarkEnd w:id="16"/>
    </w:p>
    <w:p w14:paraId="2F6E9FF6" w14:textId="77777777" w:rsidR="00711444" w:rsidRPr="004D0DAA" w:rsidRDefault="00711444" w:rsidP="00711444">
      <w:r w:rsidRPr="004D0DAA">
        <w:t>The Radio Resource sublayer provides the functions necessary for:</w:t>
      </w:r>
    </w:p>
    <w:p w14:paraId="41FB60F5" w14:textId="77777777" w:rsidR="00711444" w:rsidRPr="004D0DAA" w:rsidRDefault="00711444" w:rsidP="00711444">
      <w:pPr>
        <w:pStyle w:val="B1"/>
      </w:pPr>
      <w:r w:rsidRPr="004D0DAA">
        <w:lastRenderedPageBreak/>
        <w:t>-</w:t>
      </w:r>
      <w:r w:rsidRPr="004D0DAA">
        <w:tab/>
        <w:t>Radio Resource (RR) management of packet data physical channels (PDCHs); and</w:t>
      </w:r>
    </w:p>
    <w:p w14:paraId="63C36082" w14:textId="77777777" w:rsidR="00711444" w:rsidRPr="004D0DAA" w:rsidRDefault="00711444" w:rsidP="00711444">
      <w:pPr>
        <w:pStyle w:val="B1"/>
      </w:pPr>
      <w:r w:rsidRPr="004D0DAA">
        <w:t>-</w:t>
      </w:r>
      <w:r w:rsidRPr="004D0DAA">
        <w:tab/>
        <w:t>Radio Link Control and Medium Access Control (RLC/MAC) on packet data physical channels.</w:t>
      </w:r>
    </w:p>
    <w:p w14:paraId="595A3C55" w14:textId="77777777" w:rsidR="00711444" w:rsidRPr="004D0DAA" w:rsidRDefault="00711444" w:rsidP="00711444">
      <w:r w:rsidRPr="004D0DAA">
        <w:t>As shown in figure 4.1, the RR sublayer provides services to the MM and LLC sublayers. The RR sublayer utilises the services of the Data Link layer (signalling layer 2) and the Physical Link layer. The packet logical channels PBCCH, PCCCH (including PPCH, PAGCH and PRACH), PACCH and PDTCH, are multiplexed onto the packet data physical channels on a per radio block basis.</w:t>
      </w:r>
    </w:p>
    <w:p w14:paraId="75C9724D" w14:textId="77777777" w:rsidR="00711444" w:rsidRPr="004D0DAA" w:rsidRDefault="00711444" w:rsidP="00711444">
      <w:pPr>
        <w:pStyle w:val="TH"/>
      </w:pPr>
      <w:r w:rsidRPr="004D0DAA">
        <w:object w:dxaOrig="7905" w:dyaOrig="7925" w14:anchorId="38D4A9AB">
          <v:shape id="_x0000_i1027" type="#_x0000_t75" style="width:395.4pt;height:396pt" o:ole="">
            <v:imagedata r:id="rId12" o:title=""/>
          </v:shape>
          <o:OLEObject Type="Embed" ProgID="Word.Document.8" ShapeID="_x0000_i1027" DrawAspect="Content" ObjectID="_1821896819" r:id="rId13">
            <o:FieldCodes>\s</o:FieldCodes>
          </o:OLEObject>
        </w:object>
      </w:r>
    </w:p>
    <w:p w14:paraId="4C32E39E" w14:textId="77777777" w:rsidR="00711444" w:rsidRPr="004D0DAA" w:rsidRDefault="00711444" w:rsidP="00711444">
      <w:pPr>
        <w:pStyle w:val="TF"/>
      </w:pPr>
      <w:r w:rsidRPr="004D0DAA">
        <w:t>Figure 4.1: Protocol architecture of Radio Resource (RR) sublayer and RLC/MAC function</w:t>
      </w:r>
    </w:p>
    <w:p w14:paraId="5752F0C0" w14:textId="77777777" w:rsidR="00711444" w:rsidRPr="004D0DAA" w:rsidRDefault="00711444" w:rsidP="00711444">
      <w:r w:rsidRPr="004D0DAA">
        <w:t>Figure 4.2 shows how the RR sublayer provides services to the MM and LLC sublayers in EC operation. The RR sublayer utilises the services of the Data Link layer (signalling layer 2) and the Physical Link layer. The packet logical channels EC-PACCH and EC-PDTCH, are multiplexed onto the packet data physical channels on a per radio block basis or, in case a Coverage Class other than CC1 requiring the use of blind physical layer transmissions, on a predetermined number of radio blocks, using one or four PDCH(s). Blind physical layer transmissions on EC-PDTCH and EC-PACCH channels in uplink and downlink are mapped on to either 4 consecutive PDCH resources or 2 consecutive PDCH resources</w:t>
      </w:r>
      <w:r w:rsidRPr="004D0DAA">
        <w:rPr>
          <w:lang w:val="en-US"/>
        </w:rPr>
        <w:t>. The number of consecutive PDCH resources used for EC TBF operation in an EC-GSM-IoT capable cell is controlled via the EC System information type 2 message (refer to 3GPP TS 44.018).</w:t>
      </w:r>
      <w:r w:rsidRPr="004D0DAA">
        <w:t xml:space="preserve"> The mapping of EC logical channels onto physical channels shall be as specified in 3GPP TS 45.002.</w:t>
      </w:r>
    </w:p>
    <w:bookmarkStart w:id="17" w:name="_MON_1505303035"/>
    <w:bookmarkEnd w:id="17"/>
    <w:p w14:paraId="23EAD31D" w14:textId="77777777" w:rsidR="00711444" w:rsidRPr="004D0DAA" w:rsidRDefault="00711444" w:rsidP="00711444">
      <w:pPr>
        <w:pStyle w:val="TH"/>
      </w:pPr>
      <w:r w:rsidRPr="004D0DAA">
        <w:object w:dxaOrig="14570" w:dyaOrig="8100" w14:anchorId="517DDEF6">
          <v:shape id="_x0000_i1028" type="#_x0000_t75" style="width:728.4pt;height:405pt" o:ole="">
            <v:imagedata r:id="rId14" o:title=""/>
          </v:shape>
          <o:OLEObject Type="Embed" ProgID="Word.Document.8" ShapeID="_x0000_i1028" DrawAspect="Content" ObjectID="_1821896820" r:id="rId15">
            <o:FieldCodes>\s</o:FieldCodes>
          </o:OLEObject>
        </w:object>
      </w:r>
    </w:p>
    <w:p w14:paraId="02B1BF74" w14:textId="77777777" w:rsidR="00711444" w:rsidRPr="004D0DAA" w:rsidRDefault="00711444" w:rsidP="00711444">
      <w:pPr>
        <w:pStyle w:val="TF"/>
      </w:pPr>
      <w:r w:rsidRPr="004D0DAA">
        <w:t>Figure 4.2: Protocol architecture of Radio Resource (RR) sublayer and RLC/MAC function in EC operation</w:t>
      </w:r>
    </w:p>
    <w:p w14:paraId="780A764A" w14:textId="77777777" w:rsidR="00711444" w:rsidRPr="004D0DAA" w:rsidRDefault="00711444" w:rsidP="00711444">
      <w:pPr>
        <w:pStyle w:val="Heading2"/>
      </w:pPr>
      <w:bookmarkStart w:id="18" w:name="_Toc516669207"/>
      <w:r w:rsidRPr="004D0DAA">
        <w:t>4.1</w:t>
      </w:r>
      <w:r w:rsidRPr="004D0DAA">
        <w:tab/>
        <w:t>Layer services</w:t>
      </w:r>
      <w:bookmarkEnd w:id="18"/>
    </w:p>
    <w:p w14:paraId="4468FB15" w14:textId="77777777" w:rsidR="00711444" w:rsidRPr="004D0DAA" w:rsidRDefault="00711444" w:rsidP="00711444">
      <w:pPr>
        <w:keepNext/>
      </w:pPr>
      <w:r w:rsidRPr="004D0DAA">
        <w:t>The RR sublayer provides services for the transfer of upper layer PDUs using a shared medium between multiple mobile stations and the network. Direct communication is only possible between the network and one or more mobile stations. The RLC/MAC function supports three modes of operation:</w:t>
      </w:r>
    </w:p>
    <w:p w14:paraId="0A752B53" w14:textId="77777777" w:rsidR="00711444" w:rsidRPr="004D0DAA" w:rsidRDefault="00711444" w:rsidP="00711444">
      <w:pPr>
        <w:pStyle w:val="B1"/>
      </w:pPr>
      <w:r w:rsidRPr="004D0DAA">
        <w:t>-</w:t>
      </w:r>
      <w:r w:rsidRPr="004D0DAA">
        <w:tab/>
        <w:t>unacknowledged operation;</w:t>
      </w:r>
    </w:p>
    <w:p w14:paraId="4C0BC8B2" w14:textId="77777777" w:rsidR="00711444" w:rsidRPr="004D0DAA" w:rsidRDefault="00711444" w:rsidP="00711444">
      <w:pPr>
        <w:pStyle w:val="B1"/>
      </w:pPr>
      <w:r w:rsidRPr="004D0DAA">
        <w:t>-</w:t>
      </w:r>
      <w:r w:rsidRPr="004D0DAA">
        <w:tab/>
        <w:t>acknowledged operation; and</w:t>
      </w:r>
    </w:p>
    <w:p w14:paraId="7B1F41AE" w14:textId="77777777" w:rsidR="00711444" w:rsidRPr="004D0DAA" w:rsidRDefault="00711444" w:rsidP="00711444">
      <w:pPr>
        <w:pStyle w:val="B1"/>
      </w:pPr>
      <w:r w:rsidRPr="004D0DAA">
        <w:t>-</w:t>
      </w:r>
      <w:r w:rsidRPr="004D0DAA">
        <w:tab/>
        <w:t>non-persistent operation.</w:t>
      </w:r>
    </w:p>
    <w:p w14:paraId="7927BB6D" w14:textId="77777777" w:rsidR="00711444" w:rsidRPr="004D0DAA" w:rsidRDefault="00711444" w:rsidP="00711444">
      <w:r w:rsidRPr="004D0DAA">
        <w:t>Only acknowledged operation is supported in EC operation.</w:t>
      </w:r>
    </w:p>
    <w:p w14:paraId="044E3153" w14:textId="77777777" w:rsidR="00711444" w:rsidRPr="004D0DAA" w:rsidRDefault="00711444" w:rsidP="00711444">
      <w:r w:rsidRPr="004D0DAA">
        <w:t>The RR sublayer further provides services for the paging of mobile stations.</w:t>
      </w:r>
    </w:p>
    <w:p w14:paraId="46C6DFD8" w14:textId="77777777" w:rsidR="00711444" w:rsidRPr="004D0DAA" w:rsidRDefault="00711444" w:rsidP="00711444">
      <w:pPr>
        <w:pStyle w:val="Heading2"/>
      </w:pPr>
      <w:bookmarkStart w:id="19" w:name="_Toc516669208"/>
      <w:r w:rsidRPr="004D0DAA">
        <w:t>4.2</w:t>
      </w:r>
      <w:r w:rsidRPr="004D0DAA">
        <w:tab/>
        <w:t>Layer functions</w:t>
      </w:r>
      <w:bookmarkEnd w:id="19"/>
    </w:p>
    <w:p w14:paraId="56863F21" w14:textId="77777777" w:rsidR="00711444" w:rsidRPr="004D0DAA" w:rsidRDefault="00711444" w:rsidP="00711444">
      <w:r w:rsidRPr="004D0DAA">
        <w:t xml:space="preserve">The RLC function defines the procedures for segmentation and reassembly of LLC PDUs into RLC/MAC blocks and, in RLC acknowledged mode of operation, for the Backward Error Correction (BEC) procedures enabling the selective </w:t>
      </w:r>
      <w:r w:rsidRPr="004D0DAA">
        <w:lastRenderedPageBreak/>
        <w:t>retransmission of unsuccessfully delivered RLC/MAC blocks. In RLC acknowledged mode of operation, the RLC function preserves the order of higher layer PDUs provided to it.</w:t>
      </w:r>
    </w:p>
    <w:p w14:paraId="7730B0C6" w14:textId="77777777" w:rsidR="00711444" w:rsidRPr="004D0DAA" w:rsidRDefault="00711444" w:rsidP="00711444">
      <w:r w:rsidRPr="004D0DAA">
        <w:t>The RLC function provides also link adaptation.</w:t>
      </w:r>
    </w:p>
    <w:p w14:paraId="21FA8954" w14:textId="77777777" w:rsidR="00711444" w:rsidRPr="004D0DAA" w:rsidRDefault="00711444" w:rsidP="00711444">
      <w:r w:rsidRPr="004D0DAA">
        <w:t>In EC-GSM-IoT or EGPRS in RLC acknowledged mode of operation, the RLC function may provide Incremental Redundancy (IR).</w:t>
      </w:r>
    </w:p>
    <w:p w14:paraId="2373167C" w14:textId="77777777" w:rsidR="00711444" w:rsidRPr="004D0DAA" w:rsidRDefault="00711444" w:rsidP="00711444">
      <w:r w:rsidRPr="004D0DAA">
        <w:t>The MAC function defines the procedures that enable multiple mobile stations to share a common transmission medium, which may consist of several physical channels. The function may allow a mobile station to use several physical channels in parallel, i.e. use several timeslots within the TDMA frame.</w:t>
      </w:r>
    </w:p>
    <w:p w14:paraId="11326B04" w14:textId="77777777" w:rsidR="00711444" w:rsidRPr="004D0DAA" w:rsidRDefault="00711444" w:rsidP="00711444">
      <w:r w:rsidRPr="004D0DAA">
        <w:t>For the mobile station originating access, the MAC function provides the procedures, including the contention resolution procedures, for the arbitration between multiple mobile stations simultaneously attempting to access the shared transmission medium.</w:t>
      </w:r>
    </w:p>
    <w:p w14:paraId="5640355E" w14:textId="77777777" w:rsidR="00711444" w:rsidRPr="004D0DAA" w:rsidRDefault="00711444" w:rsidP="00711444">
      <w:r w:rsidRPr="004D0DAA">
        <w:t>For the mobile station terminating access, the MAC function provides the procedures for queuing and scheduling of access attempts.</w:t>
      </w:r>
    </w:p>
    <w:p w14:paraId="784C4AD6" w14:textId="77777777" w:rsidR="00711444" w:rsidRPr="004D0DAA" w:rsidRDefault="00711444" w:rsidP="00711444">
      <w:r w:rsidRPr="004D0DAA">
        <w:t xml:space="preserve">When the PS handover procedure is supported the RLC and MAC functions provide the procedures for directing a mobile station to a new cell and continuing packet switched services without the use of contention resolution procedures (i.e. RACH/PRACH) in the new cell. </w:t>
      </w:r>
    </w:p>
    <w:p w14:paraId="21DFDEF7" w14:textId="77777777" w:rsidR="00711444" w:rsidRPr="004D0DAA" w:rsidRDefault="00711444" w:rsidP="00711444">
      <w:pPr>
        <w:tabs>
          <w:tab w:val="left" w:pos="11520"/>
        </w:tabs>
        <w:ind w:right="1"/>
      </w:pPr>
      <w:r w:rsidRPr="004D0DAA">
        <w:t>When the DTM handover procedure is supported the procedures for directing a mobile station to a new cell and continuing both circuit switched and packet switched services are provided by the RLC and MAC functions, under the control of the RR function (see 3GPP TS 44.018).</w:t>
      </w:r>
    </w:p>
    <w:p w14:paraId="247980E0" w14:textId="77777777" w:rsidR="00711444" w:rsidRPr="004D0DAA" w:rsidRDefault="00711444" w:rsidP="00711444">
      <w:pPr>
        <w:pStyle w:val="Heading2"/>
      </w:pPr>
      <w:bookmarkStart w:id="20" w:name="_Toc516669209"/>
      <w:r w:rsidRPr="004D0DAA">
        <w:t>4.3</w:t>
      </w:r>
      <w:r w:rsidRPr="004D0DAA">
        <w:tab/>
        <w:t>Service primitives</w:t>
      </w:r>
      <w:bookmarkEnd w:id="20"/>
    </w:p>
    <w:p w14:paraId="6451CE5D" w14:textId="77777777" w:rsidR="00711444" w:rsidRPr="004D0DAA" w:rsidRDefault="00711444" w:rsidP="00711444">
      <w:r w:rsidRPr="004D0DAA">
        <w:t>Information flow between layers is performed by the use of Service Primitives. Service Access Points (SAP) and their corresponding Service Primitives for the RR sublayer are defined in 3GPP TS 24.007.</w:t>
      </w:r>
    </w:p>
    <w:p w14:paraId="3166C072" w14:textId="77777777" w:rsidR="00711444" w:rsidRPr="004D0DAA" w:rsidRDefault="00711444" w:rsidP="00711444">
      <w:pPr>
        <w:pStyle w:val="Heading2"/>
      </w:pPr>
      <w:bookmarkStart w:id="21" w:name="_Toc516669210"/>
      <w:r w:rsidRPr="004D0DAA">
        <w:t>4.4</w:t>
      </w:r>
      <w:r w:rsidRPr="004D0DAA">
        <w:tab/>
        <w:t>Services required from lower layers</w:t>
      </w:r>
      <w:bookmarkEnd w:id="21"/>
    </w:p>
    <w:p w14:paraId="4DF19627" w14:textId="77777777" w:rsidR="00711444" w:rsidRPr="004D0DAA" w:rsidRDefault="00711444" w:rsidP="00711444">
      <w:r w:rsidRPr="004D0DAA">
        <w:t>The RLC/MAC function uses the services provided by the physical link layer as defined in 3GPP TS 44.004.</w:t>
      </w:r>
    </w:p>
    <w:p w14:paraId="481A2D9C" w14:textId="77777777" w:rsidR="00711444" w:rsidRPr="004D0DAA" w:rsidRDefault="00711444" w:rsidP="00711444">
      <w:r w:rsidRPr="004D0DAA">
        <w:t>The RR sublayer may use the services provided by the data link layer as defined in 3GPP TS 44.005. Moreover, the RR sublayer directly uses services provided by the physical layer such as BCCH searching, as defined in 3GPP TS 44.004.</w:t>
      </w:r>
    </w:p>
    <w:p w14:paraId="2F54928A" w14:textId="77777777" w:rsidR="00711444" w:rsidRPr="004D0DAA" w:rsidRDefault="00711444" w:rsidP="00711444">
      <w:pPr>
        <w:pStyle w:val="Heading1"/>
      </w:pPr>
      <w:bookmarkStart w:id="22" w:name="_Toc516669211"/>
      <w:r w:rsidRPr="004D0DAA">
        <w:t>5</w:t>
      </w:r>
      <w:r w:rsidRPr="004D0DAA">
        <w:tab/>
        <w:t>Introduction to the Medium Access Control (MAC) procedures</w:t>
      </w:r>
      <w:bookmarkEnd w:id="22"/>
    </w:p>
    <w:p w14:paraId="5A867BF1" w14:textId="77777777" w:rsidR="00711444" w:rsidRPr="004D0DAA" w:rsidRDefault="00711444" w:rsidP="00711444">
      <w:pPr>
        <w:pStyle w:val="Heading2"/>
      </w:pPr>
      <w:bookmarkStart w:id="23" w:name="_Toc516669212"/>
      <w:r w:rsidRPr="004D0DAA">
        <w:t>5.1</w:t>
      </w:r>
      <w:r w:rsidRPr="004D0DAA">
        <w:tab/>
        <w:t>General</w:t>
      </w:r>
      <w:bookmarkEnd w:id="23"/>
    </w:p>
    <w:p w14:paraId="744DB526" w14:textId="77777777" w:rsidR="00711444" w:rsidRPr="004D0DAA" w:rsidRDefault="00711444" w:rsidP="00711444">
      <w:r w:rsidRPr="004D0DAA">
        <w:t>The Medium Access Control procedures include the functions related to the management of the shared transmission resources, e.g. the packet data physical channels and the radio link connections on packet data physical channels.</w:t>
      </w:r>
    </w:p>
    <w:p w14:paraId="642B6285" w14:textId="77777777" w:rsidR="00711444" w:rsidRPr="004D0DAA" w:rsidRDefault="00711444" w:rsidP="00711444">
      <w:r w:rsidRPr="004D0DAA">
        <w:t>The Medium Access Control procedures support the provision of Temporary Block Flows (TBFs) that allow the point-to-point transfer of signalling and user data within a cell between the network and a mobile station. The MAC procedures also support the provision of MBMS radio bearers that allow the point-to-multipoint transfer of signalling and user data within a cell between the network and one (or more) mobile station(s).</w:t>
      </w:r>
    </w:p>
    <w:p w14:paraId="6F6F81EC" w14:textId="77777777" w:rsidR="00711444" w:rsidRPr="004D0DAA" w:rsidRDefault="00711444" w:rsidP="00711444">
      <w:r w:rsidRPr="004D0DAA">
        <w:t>Moreover, the Medium Access Control procedures include the procedures for reception of PBCCH and PCCCH, which permits autonomous cell reselection performed by the mobile station (see 3GPP TS 45.008).</w:t>
      </w:r>
    </w:p>
    <w:p w14:paraId="23D8335F" w14:textId="77777777" w:rsidR="00711444" w:rsidRPr="004D0DAA" w:rsidRDefault="00711444" w:rsidP="00711444">
      <w:pPr>
        <w:pStyle w:val="Heading2"/>
      </w:pPr>
      <w:bookmarkStart w:id="24" w:name="_Toc516669213"/>
      <w:r w:rsidRPr="004D0DAA">
        <w:lastRenderedPageBreak/>
        <w:t>5.2</w:t>
      </w:r>
      <w:r w:rsidRPr="004D0DAA">
        <w:tab/>
        <w:t>Multiplexing principles</w:t>
      </w:r>
      <w:bookmarkEnd w:id="24"/>
    </w:p>
    <w:p w14:paraId="38378812" w14:textId="77777777" w:rsidR="00711444" w:rsidRPr="004D0DAA" w:rsidRDefault="00711444" w:rsidP="00711444">
      <w:pPr>
        <w:pStyle w:val="Heading3"/>
      </w:pPr>
      <w:bookmarkStart w:id="25" w:name="_Toc516669214"/>
      <w:r w:rsidRPr="004D0DAA">
        <w:t>5.2.1</w:t>
      </w:r>
      <w:r w:rsidRPr="004D0DAA">
        <w:tab/>
        <w:t>Temporary Block Flow</w:t>
      </w:r>
      <w:bookmarkEnd w:id="25"/>
    </w:p>
    <w:p w14:paraId="456BFC18" w14:textId="77777777" w:rsidR="00711444" w:rsidRPr="004D0DAA" w:rsidRDefault="00711444" w:rsidP="00711444">
      <w:r w:rsidRPr="004D0DAA">
        <w:t>A Temporary Block Flow (TBF) is a physical connection used by the two RR entities to support the unidirectional transfer of upper layer PDUs on packet data physical channels.</w:t>
      </w:r>
    </w:p>
    <w:p w14:paraId="5AB31197" w14:textId="77777777" w:rsidR="00711444" w:rsidRPr="004D0DAA" w:rsidRDefault="00711444" w:rsidP="00711444">
      <w:r w:rsidRPr="004D0DAA">
        <w:t>The TBF is allocated radio resources on one or more assigned PDCHs and comprises a number of RLC/MAC blocks carrying one or more upper layer PDUs. If Downlink Dual Carrier is supported by both the mobile station and the network, the assigned PDCHs for a given TBF may be on one or two radio frequency channels. If Downlink Multi Carrier is supported by both the mobile station and the network and a DLMC configuration is used, the assigned PDCHs for the downlink TBF shall be on two or more radio frequency channels and the assigned PDCHs for the uplink TBF (if assigned) may be on one or more radio frequency channels. The maximum number of radio frequency channels the PDCHs can be assigned on is indicated by the maximum number of downlink carriers a DLMC capable MS supports, see 3GPP TS 24.008. A TBF is temporary and is maintained only for the duration of the data transfer (i.e. until there are no more RLC/MAC blocks to be transmitted and, in RLC acknowledged mode, all of the transmitted RLC/MAC blocks have been successfully acknowledged by the receiving entity).</w:t>
      </w:r>
    </w:p>
    <w:p w14:paraId="22B6A4C6" w14:textId="77777777" w:rsidR="00711444" w:rsidRPr="004D0DAA" w:rsidRDefault="00711444" w:rsidP="00711444">
      <w:r w:rsidRPr="004D0DAA">
        <w:t>A TBF may operate in either GPRS</w:t>
      </w:r>
      <w:r w:rsidRPr="004D0DAA">
        <w:rPr>
          <w:rFonts w:hint="eastAsia"/>
          <w:lang w:eastAsia="ko-KR"/>
        </w:rPr>
        <w:t xml:space="preserve"> TBF mode</w:t>
      </w:r>
      <w:r w:rsidRPr="004D0DAA">
        <w:rPr>
          <w:lang w:eastAsia="ko-KR"/>
        </w:rPr>
        <w:t>,</w:t>
      </w:r>
      <w:r w:rsidRPr="004D0DAA">
        <w:t xml:space="preserve"> EGPRS TBF mode or EC TBF mode. For Downlink Dual Carrier and DLMC configurations TBFs shall operate in EGPRS TBF mode. </w:t>
      </w:r>
      <w:r w:rsidRPr="004D0DAA">
        <w:rPr>
          <w:rFonts w:hint="eastAsia"/>
          <w:lang w:eastAsia="zh-CN"/>
        </w:rPr>
        <w:t xml:space="preserve">A TBF assigned in IMMEDIATE PACKET ASSIGNMENT message shall operate in EGPRS TBF mode. </w:t>
      </w:r>
      <w:r w:rsidRPr="004D0DAA">
        <w:t>The network sets the TBF mode in the PACKET UPLINK ASSIGNMENT, MULTIPLE TBF UPLINK ASSIGNMENT, PACKET DOWNLINK ASSIGNMENT, MULTIPLE TBF DOWNLINK ASSIGNMENT, PACKET TIMESLOT RECONFIGURE, MULTIPLE TBF TIMESLOT RECONFIGURE, IMMEDIATE ASSIGNMENT or PACKET CS RELEASE INDICATION message, unless the TBF is assigned in EC TBF mode. The EGPRS TBF mode is only supported by EGPRS capable MSs. A TBF in EC TBF mode is assigned in an EC IMMEDIATE ASSIGNMENT, EC PACKET UPLINK ASSIGNMENT or EC PACKET DOWNLINK ASSIGNMENT message.</w:t>
      </w:r>
    </w:p>
    <w:p w14:paraId="53DC0E61" w14:textId="77777777" w:rsidR="00711444" w:rsidRPr="004D0DAA" w:rsidRDefault="00711444" w:rsidP="00711444">
      <w:r w:rsidRPr="004D0DAA">
        <w:t>If a</w:t>
      </w:r>
      <w:r w:rsidRPr="004D0DAA">
        <w:rPr>
          <w:rFonts w:hint="eastAsia"/>
          <w:lang w:eastAsia="ko-KR"/>
        </w:rPr>
        <w:t xml:space="preserve"> mobile station</w:t>
      </w:r>
      <w:r w:rsidRPr="004D0DAA">
        <w:t xml:space="preserve"> is assigned concurrent TBFs, these shall be in the same TBF mode. Concurrent TBFs either in same direction or opposite direction are not supported in EC operation.</w:t>
      </w:r>
    </w:p>
    <w:p w14:paraId="3C207FE5" w14:textId="77777777" w:rsidR="00711444" w:rsidRPr="004D0DAA" w:rsidRDefault="00711444" w:rsidP="00711444">
      <w:r w:rsidRPr="004D0DAA">
        <w:t>A TBF in EGPRS mode operates using one of four groups of modulation and coding schemes:</w:t>
      </w:r>
    </w:p>
    <w:p w14:paraId="45D75A2B" w14:textId="77777777" w:rsidR="00711444" w:rsidRPr="004D0DAA" w:rsidRDefault="00711444" w:rsidP="00711444">
      <w:pPr>
        <w:pStyle w:val="B1"/>
      </w:pPr>
      <w:r w:rsidRPr="004D0DAA">
        <w:t>-</w:t>
      </w:r>
      <w:r w:rsidRPr="004D0DAA">
        <w:tab/>
        <w:t>EGPRS-GMSK only (applicable to uplink TBFs only): this comprises MCS-1 to MCS-4</w:t>
      </w:r>
    </w:p>
    <w:p w14:paraId="71AB05A0" w14:textId="77777777" w:rsidR="00711444" w:rsidRPr="004D0DAA" w:rsidRDefault="00711444" w:rsidP="00711444">
      <w:pPr>
        <w:pStyle w:val="B1"/>
      </w:pPr>
      <w:r w:rsidRPr="004D0DAA">
        <w:t>-</w:t>
      </w:r>
      <w:r w:rsidRPr="004D0DAA">
        <w:tab/>
        <w:t>EGPRS: this comprises MCS-1 to MCS-9</w:t>
      </w:r>
    </w:p>
    <w:p w14:paraId="4903BB71" w14:textId="77777777" w:rsidR="00711444" w:rsidRPr="004D0DAA" w:rsidRDefault="00711444" w:rsidP="00711444">
      <w:pPr>
        <w:pStyle w:val="B1"/>
      </w:pPr>
      <w:r w:rsidRPr="004D0DAA">
        <w:t>-</w:t>
      </w:r>
      <w:r w:rsidRPr="004D0DAA">
        <w:tab/>
        <w:t>EGPRS2-A: for uplink TBFs, this comprises MCS-1 to MCS-6 and UAS-7 to UAS-11; for downlink TBFs, this comprises MCS-1 to MCS-4, MCS-6 (only for retransmissions of blocks originally transmitted using EGPRS), MCS-7, MCS-8 and DAS-5 to DAS-12</w:t>
      </w:r>
    </w:p>
    <w:p w14:paraId="2F3AC2AE" w14:textId="77777777" w:rsidR="00711444" w:rsidRPr="004D0DAA" w:rsidRDefault="00711444" w:rsidP="00711444">
      <w:pPr>
        <w:ind w:left="567" w:hanging="283"/>
      </w:pPr>
      <w:r w:rsidRPr="004D0DAA">
        <w:t>-</w:t>
      </w:r>
      <w:r w:rsidRPr="004D0DAA">
        <w:tab/>
        <w:t>EGPRS2-B: for uplink TBFs, this comprises MCS-1 to MCS-4 and UBS-5 to UBS-12; for downlink TBFs, this comprises MCS-1 to MCS-4, MCS-6 to MCS-9, DAS-5, DAS-6, DAS-8, DAS-9, DAS-11 and DBS-5 to DBS-12.</w:t>
      </w:r>
    </w:p>
    <w:p w14:paraId="7C4B64E0" w14:textId="77777777" w:rsidR="00711444" w:rsidRPr="004D0DAA" w:rsidRDefault="00711444" w:rsidP="00711444">
      <w:r w:rsidRPr="004D0DAA">
        <w:t>The group of modulation and coding schemes to be used on a PDTCH associated with a TBF is indicated in the assignment message. The EGPRS-GMSK only group applies if the aggregate timeslot allocation is not within the indicated EGPRS multislot class, but is within the indicated GPRS multislot class.</w:t>
      </w:r>
    </w:p>
    <w:p w14:paraId="7369D324" w14:textId="77777777" w:rsidR="00711444" w:rsidRPr="004D0DAA" w:rsidRDefault="00711444" w:rsidP="00711444">
      <w:r w:rsidRPr="004D0DAA">
        <w:t>The use of the EGPRS2-A group for uplink or downlink is only supported by MSs which are capable of EGPRS2-A or EGPRS2-B in that direction. The EGPRS2-B group is only supported by MSs which are capable of EGPRS2-B in that direction. If a mobile station supports EGPRS2, the same group of modulation and coding schemes shall be used for all TBFs in a given direction.</w:t>
      </w:r>
    </w:p>
    <w:p w14:paraId="3DD61054" w14:textId="77777777" w:rsidR="00711444" w:rsidRPr="004D0DAA" w:rsidRDefault="00711444" w:rsidP="00711444">
      <w:r w:rsidRPr="004D0DAA">
        <w:t>A TBF in EC TBF mode operates using one of two groups of modulation and coding schemes (both applicable to both uplink and downlink TBFs):</w:t>
      </w:r>
    </w:p>
    <w:p w14:paraId="583D30EB" w14:textId="77777777" w:rsidR="00711444" w:rsidRPr="004D0DAA" w:rsidRDefault="00711444" w:rsidP="00711444">
      <w:pPr>
        <w:pStyle w:val="B1"/>
      </w:pPr>
      <w:r w:rsidRPr="004D0DAA">
        <w:t>-</w:t>
      </w:r>
      <w:r w:rsidRPr="004D0DAA">
        <w:tab/>
        <w:t>EGPRS-GMSK only: this comprises MCS-1 to MCS-4</w:t>
      </w:r>
    </w:p>
    <w:p w14:paraId="3E8A8F5F" w14:textId="77777777" w:rsidR="00711444" w:rsidRPr="004D0DAA" w:rsidRDefault="00711444" w:rsidP="00711444">
      <w:pPr>
        <w:pStyle w:val="B1"/>
      </w:pPr>
      <w:r w:rsidRPr="004D0DAA">
        <w:t>-</w:t>
      </w:r>
      <w:r w:rsidRPr="004D0DAA">
        <w:tab/>
        <w:t>EGPRS: this comprises MCS-1 to MCS-9</w:t>
      </w:r>
    </w:p>
    <w:p w14:paraId="64AB0DD8" w14:textId="77777777" w:rsidR="00711444" w:rsidRPr="004D0DAA" w:rsidRDefault="00711444" w:rsidP="00711444">
      <w:pPr>
        <w:rPr>
          <w:lang w:eastAsia="ko-KR"/>
        </w:rPr>
      </w:pPr>
      <w:r w:rsidRPr="004D0DAA">
        <w:rPr>
          <w:rFonts w:hint="eastAsia"/>
          <w:lang w:eastAsia="ko-KR"/>
        </w:rPr>
        <w:t xml:space="preserve">If a mobile station </w:t>
      </w:r>
      <w:r w:rsidRPr="004D0DAA">
        <w:rPr>
          <w:lang w:eastAsia="ko-KR"/>
        </w:rPr>
        <w:t xml:space="preserve">indicates </w:t>
      </w:r>
      <w:r w:rsidRPr="004D0DAA">
        <w:rPr>
          <w:rFonts w:hint="eastAsia"/>
          <w:lang w:eastAsia="ko-KR"/>
        </w:rPr>
        <w:t xml:space="preserve">support </w:t>
      </w:r>
      <w:r w:rsidRPr="004D0DAA">
        <w:rPr>
          <w:lang w:eastAsia="ko-KR"/>
        </w:rPr>
        <w:t xml:space="preserve">of </w:t>
      </w:r>
      <w:r w:rsidRPr="004D0DAA">
        <w:rPr>
          <w:rFonts w:hint="eastAsia"/>
          <w:lang w:eastAsia="ko-KR"/>
        </w:rPr>
        <w:t>Reduced Latency</w:t>
      </w:r>
      <w:r w:rsidRPr="004D0DAA">
        <w:rPr>
          <w:lang w:eastAsia="ko-KR"/>
        </w:rPr>
        <w:t xml:space="preserve"> (see 3GPP TS 24.008)</w:t>
      </w:r>
      <w:r w:rsidRPr="004D0DAA">
        <w:rPr>
          <w:rFonts w:hint="eastAsia"/>
          <w:lang w:eastAsia="ko-KR"/>
        </w:rPr>
        <w:t xml:space="preserve">, it may be assigned TBFs </w:t>
      </w:r>
      <w:r w:rsidRPr="004D0DAA">
        <w:rPr>
          <w:lang w:eastAsia="ko-KR"/>
        </w:rPr>
        <w:t xml:space="preserve">with </w:t>
      </w:r>
      <w:r w:rsidRPr="004D0DAA">
        <w:rPr>
          <w:rFonts w:hint="eastAsia"/>
          <w:lang w:eastAsia="ko-KR"/>
        </w:rPr>
        <w:t>FANR</w:t>
      </w:r>
      <w:r w:rsidRPr="004D0DAA">
        <w:rPr>
          <w:lang w:eastAsia="ko-KR"/>
        </w:rPr>
        <w:t xml:space="preserve"> activated (see sub-clause 9.1.14), </w:t>
      </w:r>
      <w:r w:rsidRPr="004D0DAA">
        <w:rPr>
          <w:rFonts w:hint="eastAsia"/>
          <w:lang w:eastAsia="ko-KR"/>
        </w:rPr>
        <w:t>either in BTTI configuration</w:t>
      </w:r>
      <w:r w:rsidRPr="004D0DAA">
        <w:rPr>
          <w:lang w:eastAsia="ko-KR"/>
        </w:rPr>
        <w:t>,</w:t>
      </w:r>
      <w:r w:rsidRPr="004D0DAA">
        <w:rPr>
          <w:rFonts w:hint="eastAsia"/>
          <w:lang w:eastAsia="ko-KR"/>
        </w:rPr>
        <w:t xml:space="preserve"> RTTI configuration</w:t>
      </w:r>
      <w:r w:rsidRPr="004D0DAA">
        <w:rPr>
          <w:lang w:eastAsia="ko-KR"/>
        </w:rPr>
        <w:t xml:space="preserve"> or (if the mobile additionally supports MTTI configurations)  MTTI configuration</w:t>
      </w:r>
      <w:r w:rsidRPr="004D0DAA">
        <w:rPr>
          <w:rFonts w:hint="eastAsia"/>
          <w:lang w:eastAsia="ko-KR"/>
        </w:rPr>
        <w:t>.</w:t>
      </w:r>
      <w:r w:rsidRPr="004D0DAA">
        <w:rPr>
          <w:lang w:eastAsia="ko-KR"/>
        </w:rPr>
        <w:t xml:space="preserve"> </w:t>
      </w:r>
      <w:r w:rsidRPr="004D0DAA">
        <w:rPr>
          <w:rFonts w:hint="eastAsia"/>
          <w:lang w:eastAsia="ko-KR"/>
        </w:rPr>
        <w:t xml:space="preserve">If a mobile station </w:t>
      </w:r>
      <w:r w:rsidRPr="004D0DAA">
        <w:rPr>
          <w:lang w:eastAsia="ko-KR"/>
        </w:rPr>
        <w:t xml:space="preserve">indicates </w:t>
      </w:r>
      <w:r w:rsidRPr="004D0DAA">
        <w:rPr>
          <w:rFonts w:hint="eastAsia"/>
          <w:lang w:eastAsia="ko-KR"/>
        </w:rPr>
        <w:t xml:space="preserve">support </w:t>
      </w:r>
      <w:r w:rsidRPr="004D0DAA">
        <w:rPr>
          <w:lang w:eastAsia="ko-KR"/>
        </w:rPr>
        <w:t xml:space="preserve">of FANR (see 3GPP TS </w:t>
      </w:r>
      <w:r w:rsidRPr="004D0DAA">
        <w:rPr>
          <w:lang w:eastAsia="ko-KR"/>
        </w:rPr>
        <w:lastRenderedPageBreak/>
        <w:t>24.008)</w:t>
      </w:r>
      <w:r w:rsidRPr="004D0DAA">
        <w:rPr>
          <w:rFonts w:hint="eastAsia"/>
          <w:lang w:eastAsia="ko-KR"/>
        </w:rPr>
        <w:t xml:space="preserve">, it may be assigned TBFs </w:t>
      </w:r>
      <w:r w:rsidRPr="004D0DAA">
        <w:rPr>
          <w:lang w:eastAsia="ko-KR"/>
        </w:rPr>
        <w:t xml:space="preserve">with </w:t>
      </w:r>
      <w:r w:rsidRPr="004D0DAA">
        <w:rPr>
          <w:rFonts w:hint="eastAsia"/>
          <w:lang w:eastAsia="ko-KR"/>
        </w:rPr>
        <w:t>FANR</w:t>
      </w:r>
      <w:r w:rsidRPr="004D0DAA">
        <w:rPr>
          <w:lang w:eastAsia="ko-KR"/>
        </w:rPr>
        <w:t xml:space="preserve"> activated (see sub-clause 9.1.14) </w:t>
      </w:r>
      <w:r w:rsidRPr="004D0DAA">
        <w:rPr>
          <w:rFonts w:hint="eastAsia"/>
          <w:lang w:eastAsia="ko-KR"/>
        </w:rPr>
        <w:t>in BTTI configuration</w:t>
      </w:r>
      <w:r w:rsidRPr="004D0DAA">
        <w:rPr>
          <w:lang w:eastAsia="ko-KR"/>
        </w:rPr>
        <w:t xml:space="preserve"> only.</w:t>
      </w:r>
      <w:r w:rsidRPr="004D0DAA">
        <w:rPr>
          <w:rFonts w:hint="eastAsia"/>
          <w:lang w:eastAsia="ko-KR"/>
        </w:rPr>
        <w:t xml:space="preserve"> </w:t>
      </w:r>
      <w:r w:rsidRPr="004D0DAA">
        <w:rPr>
          <w:lang w:eastAsia="ko-KR"/>
        </w:rPr>
        <w:t>The network shall ensure that, i</w:t>
      </w:r>
      <w:r w:rsidRPr="004D0DAA">
        <w:rPr>
          <w:rFonts w:hint="eastAsia"/>
          <w:lang w:eastAsia="ko-KR"/>
        </w:rPr>
        <w:t xml:space="preserve">f a mobile station is assigned a TBF </w:t>
      </w:r>
      <w:r w:rsidRPr="004D0DAA">
        <w:rPr>
          <w:lang w:eastAsia="ko-KR"/>
        </w:rPr>
        <w:t xml:space="preserve">with </w:t>
      </w:r>
      <w:r w:rsidRPr="004D0DAA">
        <w:rPr>
          <w:rFonts w:hint="eastAsia"/>
          <w:lang w:eastAsia="ko-KR"/>
        </w:rPr>
        <w:t>FANR</w:t>
      </w:r>
      <w:r w:rsidRPr="004D0DAA">
        <w:rPr>
          <w:lang w:eastAsia="ko-KR"/>
        </w:rPr>
        <w:t xml:space="preserve"> activated</w:t>
      </w:r>
      <w:r w:rsidRPr="004D0DAA">
        <w:rPr>
          <w:rFonts w:hint="eastAsia"/>
          <w:lang w:eastAsia="ko-KR"/>
        </w:rPr>
        <w:t xml:space="preserve">, </w:t>
      </w:r>
      <w:r w:rsidRPr="004D0DAA">
        <w:rPr>
          <w:lang w:eastAsia="ko-KR"/>
        </w:rPr>
        <w:t xml:space="preserve">FANR shall be activated for </w:t>
      </w:r>
      <w:r w:rsidRPr="004D0DAA">
        <w:rPr>
          <w:rFonts w:hint="eastAsia"/>
          <w:lang w:eastAsia="ko-KR"/>
        </w:rPr>
        <w:t>all concurrent TBFs assigned to th</w:t>
      </w:r>
      <w:r w:rsidRPr="004D0DAA">
        <w:rPr>
          <w:lang w:eastAsia="ko-KR"/>
        </w:rPr>
        <w:t>at</w:t>
      </w:r>
      <w:r w:rsidRPr="004D0DAA">
        <w:rPr>
          <w:rFonts w:hint="eastAsia"/>
          <w:lang w:eastAsia="ko-KR"/>
        </w:rPr>
        <w:t xml:space="preserve"> mobile station.</w:t>
      </w:r>
    </w:p>
    <w:p w14:paraId="113F0B9C" w14:textId="77777777" w:rsidR="00711444" w:rsidRPr="004D0DAA" w:rsidRDefault="00711444" w:rsidP="00711444">
      <w:pPr>
        <w:rPr>
          <w:lang w:eastAsia="ko-KR"/>
        </w:rPr>
      </w:pPr>
      <w:r w:rsidRPr="004D0DAA">
        <w:t xml:space="preserve">For the case where a mobile station supports multiple TBF procedures the maximum number of TBFs it can support concurrently is not specified. Mobile station implementations are expected to ensure that the mobile station can support a sufficient number of TBFs to operate all the PDP contexts it has activated. As such, a mobile station may choose to release, modify or activate one or more PDP contexts when prioritizing the services it wants to operate concurrently. The network is not required to consider any potential complexity limitations regarding the number of concurrent TBFs when establishing an uplink or downlink TBF for a mobile station that supports multiple TBF procedures. </w:t>
      </w:r>
    </w:p>
    <w:p w14:paraId="3AAD27FA" w14:textId="77777777" w:rsidR="00711444" w:rsidRPr="004D0DAA" w:rsidRDefault="00711444" w:rsidP="00711444">
      <w:r w:rsidRPr="004D0DAA">
        <w:t xml:space="preserve">The following messages are used only if both the </w:t>
      </w:r>
      <w:r w:rsidRPr="004D0DAA">
        <w:rPr>
          <w:rFonts w:hint="eastAsia"/>
          <w:lang w:eastAsia="ko-KR"/>
        </w:rPr>
        <w:t>mobile station</w:t>
      </w:r>
      <w:r w:rsidRPr="004D0DAA">
        <w:t xml:space="preserve"> and </w:t>
      </w:r>
      <w:r w:rsidRPr="004D0DAA">
        <w:rPr>
          <w:rFonts w:hint="eastAsia"/>
          <w:lang w:eastAsia="ko-KR"/>
        </w:rPr>
        <w:t xml:space="preserve">the </w:t>
      </w:r>
      <w:r w:rsidRPr="004D0DAA">
        <w:t xml:space="preserve">network support multiple TBF procedures: </w:t>
      </w:r>
    </w:p>
    <w:p w14:paraId="1FE38687" w14:textId="77777777" w:rsidR="00711444" w:rsidRPr="004D0DAA" w:rsidRDefault="00711444" w:rsidP="00711444">
      <w:pPr>
        <w:pStyle w:val="B1"/>
      </w:pPr>
      <w:r w:rsidRPr="004D0DAA">
        <w:t>-</w:t>
      </w:r>
      <w:r w:rsidRPr="004D0DAA">
        <w:tab/>
        <w:t>MULTIPLE TBF UPLINK ASSIGNMENT</w:t>
      </w:r>
    </w:p>
    <w:p w14:paraId="76ACA150" w14:textId="77777777" w:rsidR="00711444" w:rsidRPr="004D0DAA" w:rsidRDefault="00711444" w:rsidP="00711444">
      <w:pPr>
        <w:pStyle w:val="B1"/>
      </w:pPr>
      <w:r w:rsidRPr="004D0DAA">
        <w:t>-</w:t>
      </w:r>
      <w:r w:rsidRPr="004D0DAA">
        <w:tab/>
        <w:t>MULTIPLE TBF DOWNLINK ASSIGNMENT</w:t>
      </w:r>
    </w:p>
    <w:p w14:paraId="57B563B6" w14:textId="77777777" w:rsidR="00711444" w:rsidRPr="004D0DAA" w:rsidRDefault="00711444" w:rsidP="00711444">
      <w:pPr>
        <w:pStyle w:val="B1"/>
      </w:pPr>
      <w:r w:rsidRPr="004D0DAA">
        <w:t>-</w:t>
      </w:r>
      <w:r w:rsidRPr="004D0DAA">
        <w:tab/>
        <w:t>MULTIPLE TBF TIMESLOT RECONFIGURE.</w:t>
      </w:r>
    </w:p>
    <w:p w14:paraId="64BF1B73" w14:textId="77777777" w:rsidR="00711444" w:rsidRPr="004D0DAA" w:rsidRDefault="00711444" w:rsidP="00711444">
      <w:pPr>
        <w:pStyle w:val="Heading3"/>
      </w:pPr>
      <w:bookmarkStart w:id="26" w:name="_Toc516669215"/>
      <w:r w:rsidRPr="004D0DAA">
        <w:t>5.2.2</w:t>
      </w:r>
      <w:r w:rsidRPr="004D0DAA">
        <w:tab/>
        <w:t>Temporary Flow Identity</w:t>
      </w:r>
      <w:bookmarkEnd w:id="26"/>
    </w:p>
    <w:p w14:paraId="128CFEEB" w14:textId="77777777" w:rsidR="00711444" w:rsidRPr="004D0DAA" w:rsidRDefault="00711444" w:rsidP="00711444">
      <w:r w:rsidRPr="004D0DAA">
        <w:t xml:space="preserve">Each TBF is assigned a Temporary Flow Identity (TFI) by the network. The mobile station shall assume that the TFI value is unique among concurrent TBFs in the same direction (uplink or downlink) on all PDCHs used for the TBF. In (E)GPRS, the same TFI value may be used concurrently for TBFs on other PDCHs in the same direction and for TBFs in the opposite direction. In EC-GSM-IoT the same TFI value may be used for EC TBFs on different PDCHs in the same direction and for EC TBFs in opposite direction. In EC operation a mobile station shall only support one ongoing EC TBF. </w:t>
      </w:r>
      <w:r w:rsidRPr="004D0DAA">
        <w:rPr>
          <w:rFonts w:hint="eastAsia"/>
        </w:rPr>
        <w:t xml:space="preserve">For a TBF </w:t>
      </w:r>
      <w:r w:rsidRPr="004D0DAA">
        <w:t xml:space="preserve">with </w:t>
      </w:r>
      <w:r w:rsidRPr="004D0DAA">
        <w:rPr>
          <w:rFonts w:hint="eastAsia"/>
        </w:rPr>
        <w:t>FANR</w:t>
      </w:r>
      <w:r w:rsidRPr="004D0DAA">
        <w:t xml:space="preserve"> activated, the TFI value shall be unique among concurrent TBFs assigned to one mobile station in the same direction (uplink or downlink). If Enhanced Multiplexing for Single TBF (EMST) is used, the network shall assign, according to the rules above, a unique TFI value to each RLC entity multiplexed on the TBF. If Enhanced Multiplexing for Single RLC Entity (EMSR) is supported by a mobile station the network may allocate multiple PFCs on a common RLC entity where at least two of these PFCs are allocated a unique TFI value (see sub-clause 5.12). The downlink TBF of a mobile station in a DLMC configuration may be assigned an eTFI if the maximum number of downlink timeslots the mobile supports is greater than 20. The eTFI supplements the TFI so that combined they uniquely identify the downlink TBF on all of the PDCH resources allocated for that TBF on a given downlink carrier. The TBF may be assigned different eTFI – TFI combinations for each downlink carrier used in a given DLMC configuration. If a mobile station receives an RLC/MAC control block which includes a downlink TFI equal to a TFI supported by a downlink TBF assigned to the mobile station, which is received on a timeslot or PDCH-pair which is not a timeslot or PDCH-pair which is assigned to the mobile station as part of that TBF, the mobile station shall consider that message as not addressed to it. If a mobile station receives an RLC/MAC control block which includes an uplink TFI equal to a TFI supported by an uplink TBF assigned to the mobile station, which is received on a timeslot or PDCH-pair which does not correspond to a timeslot or PDCH-pair which is assigned to the mobile station as part of that TBF, the mobile station shall consider that message as not addressed to it.</w:t>
      </w:r>
    </w:p>
    <w:p w14:paraId="461C45AD" w14:textId="77777777" w:rsidR="00711444" w:rsidRPr="004D0DAA" w:rsidRDefault="00711444" w:rsidP="00711444">
      <w:pPr>
        <w:pStyle w:val="NO"/>
      </w:pPr>
      <w:r w:rsidRPr="004D0DAA">
        <w:t>NOTE:</w:t>
      </w:r>
      <w:r w:rsidRPr="004D0DAA">
        <w:tab/>
        <w:t>The behaviour of the mobile station in case it receives a control block not addressed to it is specified in sub-clause 10.4.10</w:t>
      </w:r>
    </w:p>
    <w:p w14:paraId="45A9E28D" w14:textId="77777777" w:rsidR="00711444" w:rsidRPr="004D0DAA" w:rsidRDefault="00711444" w:rsidP="00711444">
      <w:r w:rsidRPr="004D0DAA">
        <w:t>An RLC/MAC block associated with a certain TBF shall comprise a TFI. The TBF is identified by the TFI together with, in case of a RLC data block, the direction (uplink or downlink) in which the RLC data block is sent; and in case of a RLC/MAC control message, the direction in which the RLC/MAC control message is sent and the message type. In the case of a DLMC configuration where a downlink TBF is assigned an eTFI on a specific downlink carrier, an RLC/MAC block associated with that TBF on that downlink carrier shall comprise a TFI and an eTFI (see sub-clause 10.0a.2).</w:t>
      </w:r>
    </w:p>
    <w:p w14:paraId="216519DC" w14:textId="77777777" w:rsidR="00711444" w:rsidRPr="004D0DAA" w:rsidRDefault="00711444" w:rsidP="00711444">
      <w:pPr>
        <w:tabs>
          <w:tab w:val="left" w:pos="5670"/>
        </w:tabs>
        <w:spacing w:after="120"/>
      </w:pPr>
      <w:r w:rsidRPr="004D0DAA">
        <w:t>Global_TFI is used to unambiguously identify the mobile station in packet transfer mode, MAC-Shared state, dual transfer mode or MAC-DTM state within an uplink or downlink RLC/MAC control message. In the case of a DLMC configuration and a mobile station supporting eTFI, Global_TFI and eTFI may be used to unambiguously identify the mobile station in packet transfer mode within a downlink RLC/MAC control message. If present, the Global TFI addresses the MS using either:</w:t>
      </w:r>
    </w:p>
    <w:p w14:paraId="3E9DD035" w14:textId="77777777" w:rsidR="00711444" w:rsidRPr="004D0DAA" w:rsidRDefault="00711444" w:rsidP="00711444">
      <w:pPr>
        <w:pStyle w:val="B1"/>
        <w:rPr>
          <w:lang w:eastAsia="ko-KR"/>
        </w:rPr>
      </w:pPr>
      <w:r w:rsidRPr="004D0DAA">
        <w:t>-</w:t>
      </w:r>
      <w:r w:rsidRPr="004D0DAA">
        <w:tab/>
        <w:t>an uplink TFI identifying an uplink TBF assigned to the MS such that the timeslot or PDCH-pair on which the Global TFI is sent corresponds to a timeslot or PDCH-pair assigned to that TBF, or</w:t>
      </w:r>
    </w:p>
    <w:p w14:paraId="47495F70" w14:textId="77777777" w:rsidR="00711444" w:rsidRPr="004D0DAA" w:rsidRDefault="00711444" w:rsidP="00711444">
      <w:pPr>
        <w:pStyle w:val="B1"/>
        <w:rPr>
          <w:lang w:eastAsia="ko-KR"/>
        </w:rPr>
      </w:pPr>
      <w:r w:rsidRPr="004D0DAA">
        <w:t>-</w:t>
      </w:r>
      <w:r w:rsidRPr="004D0DAA">
        <w:tab/>
        <w:t>a downlink TFI identifying a downlink TBF assigned to the MS such that the timeslot or PDCH-pair on which the Global TFI is sent is a timeslot or PDCH-pair assigned to that TBF.</w:t>
      </w:r>
    </w:p>
    <w:p w14:paraId="64DF31E3" w14:textId="77777777" w:rsidR="00711444" w:rsidRPr="004D0DAA" w:rsidRDefault="00711444" w:rsidP="00711444">
      <w:pPr>
        <w:tabs>
          <w:tab w:val="left" w:pos="5670"/>
        </w:tabs>
        <w:spacing w:after="120"/>
      </w:pPr>
      <w:r w:rsidRPr="004D0DAA">
        <w:lastRenderedPageBreak/>
        <w:t xml:space="preserve">If there is a choice of TFI to use, which TFI is used is at the discretion of the sender except where explicitly defined by procedure. For the mobile station in broadcast/multicast receive mode, the Global TFI </w:t>
      </w:r>
      <w:r w:rsidRPr="004D0DAA">
        <w:rPr>
          <w:lang w:eastAsia="ko-KR"/>
        </w:rPr>
        <w:t xml:space="preserve">includes the MBMS Bearer Identity of the MBMS radio bearer the </w:t>
      </w:r>
      <w:r w:rsidRPr="004D0DAA">
        <w:t xml:space="preserve">RLC/MAC control </w:t>
      </w:r>
      <w:r w:rsidRPr="004D0DAA">
        <w:rPr>
          <w:lang w:eastAsia="ko-KR"/>
        </w:rPr>
        <w:t>message relates to (</w:t>
      </w:r>
      <w:r w:rsidRPr="004D0DAA">
        <w:t xml:space="preserve">in the most significant bit(s) of </w:t>
      </w:r>
      <w:r w:rsidRPr="004D0DAA">
        <w:rPr>
          <w:lang w:eastAsia="ko-KR"/>
        </w:rPr>
        <w:t>the DOWNLINK_TFI field)</w:t>
      </w:r>
      <w:r w:rsidRPr="004D0DAA">
        <w:t xml:space="preserve"> </w:t>
      </w:r>
      <w:r w:rsidRPr="004D0DAA">
        <w:rPr>
          <w:lang w:eastAsia="ko-KR"/>
        </w:rPr>
        <w:t xml:space="preserve">and, </w:t>
      </w:r>
      <w:r w:rsidRPr="004D0DAA">
        <w:t>where explicitly defined by procedure,</w:t>
      </w:r>
      <w:r w:rsidRPr="004D0DAA">
        <w:rPr>
          <w:lang w:eastAsia="ko-KR"/>
        </w:rPr>
        <w:t xml:space="preserve"> the current MS_ID of the mobile station the message relates to (in </w:t>
      </w:r>
      <w:r w:rsidRPr="004D0DAA">
        <w:t xml:space="preserve">the remaining least significant bit(s) of </w:t>
      </w:r>
      <w:r w:rsidRPr="004D0DAA">
        <w:rPr>
          <w:lang w:eastAsia="ko-KR"/>
        </w:rPr>
        <w:t>the DOWNLINK_TFI field).</w:t>
      </w:r>
    </w:p>
    <w:p w14:paraId="6189C860" w14:textId="77777777" w:rsidR="00711444" w:rsidRPr="004D0DAA" w:rsidRDefault="00711444" w:rsidP="00711444">
      <w:pPr>
        <w:pStyle w:val="Heading3"/>
      </w:pPr>
      <w:bookmarkStart w:id="27" w:name="_Toc516669216"/>
      <w:r w:rsidRPr="004D0DAA">
        <w:t>5.2.3</w:t>
      </w:r>
      <w:r w:rsidRPr="004D0DAA">
        <w:tab/>
        <w:t>Uplink State Flag</w:t>
      </w:r>
      <w:bookmarkEnd w:id="27"/>
    </w:p>
    <w:p w14:paraId="7DD8EED3" w14:textId="77777777" w:rsidR="00711444" w:rsidRPr="004D0DAA" w:rsidRDefault="00711444" w:rsidP="00711444">
      <w:r w:rsidRPr="004D0DAA">
        <w:t>An Uplink State Flag (USF) is included in the header of each RLC/MAC block on a downlink PDCH, as specified in clause 10. It may be used by the network to control the multiplexing of different mobile stations and TBFs on an uplink PDCH. The use of USF is further specified in 3GPP TS 45.002.</w:t>
      </w:r>
    </w:p>
    <w:p w14:paraId="064F20B2" w14:textId="77777777" w:rsidR="00711444" w:rsidRPr="004D0DAA" w:rsidRDefault="00711444" w:rsidP="00711444">
      <w:pPr>
        <w:pStyle w:val="Heading3"/>
      </w:pPr>
      <w:bookmarkStart w:id="28" w:name="_Toc516669217"/>
      <w:r w:rsidRPr="004D0DAA">
        <w:t>5.2.4</w:t>
      </w:r>
      <w:r w:rsidRPr="004D0DAA">
        <w:tab/>
        <w:t>Medium Access modes</w:t>
      </w:r>
      <w:bookmarkEnd w:id="28"/>
    </w:p>
    <w:p w14:paraId="24A612E0" w14:textId="77777777" w:rsidR="00711444" w:rsidRPr="004D0DAA" w:rsidRDefault="00711444" w:rsidP="00711444">
      <w:r w:rsidRPr="004D0DAA">
        <w:t>Four medium access modes are supported:</w:t>
      </w:r>
    </w:p>
    <w:p w14:paraId="122ED66C" w14:textId="77777777" w:rsidR="00711444" w:rsidRPr="004D0DAA" w:rsidRDefault="00711444" w:rsidP="00711444">
      <w:pPr>
        <w:pStyle w:val="B1"/>
      </w:pPr>
      <w:r w:rsidRPr="004D0DAA">
        <w:t>-</w:t>
      </w:r>
      <w:r w:rsidRPr="004D0DAA">
        <w:tab/>
        <w:t>Dynamic Allocation, characterised by that the mobile station detecting an assigned USF value for each assigned uplink PDCH when operating in BTTI configuration or each assigned uplink PDCH-pair when operating in RTTI configuration</w:t>
      </w:r>
      <w:r w:rsidRPr="004D0DAA">
        <w:rPr>
          <w:rFonts w:hint="eastAsia"/>
          <w:strike/>
          <w:lang w:eastAsia="ko-KR"/>
        </w:rPr>
        <w:t xml:space="preserve"> </w:t>
      </w:r>
      <w:r w:rsidRPr="004D0DAA">
        <w:t>and block or group of four blocks that it is allowed to transmit on that PDCH/PDCH-pair (see sub-clause 8.1.1.1);</w:t>
      </w:r>
    </w:p>
    <w:p w14:paraId="29E4A5CF" w14:textId="77777777" w:rsidR="00711444" w:rsidRPr="004D0DAA" w:rsidRDefault="00711444" w:rsidP="00711444">
      <w:pPr>
        <w:pStyle w:val="B1"/>
      </w:pPr>
      <w:r w:rsidRPr="004D0DAA">
        <w:t>-</w:t>
      </w:r>
      <w:r w:rsidRPr="004D0DAA">
        <w:tab/>
        <w:t xml:space="preserve">Extended Dynamic Allocation is characterised by the mobile station detecting an assigned USF value for any assigned uplink PDCH when operating in BTTI configuration or any assigned uplink PDCH-pair when operating in RTTI configuration, allowing the mobile station to transmit on that PDCH/PDCH-pair and all higher numbered assigned PDCHs/PDCH-pairs in the same block or group of four blocks (see sub-clause 8.1.1.2); </w:t>
      </w:r>
    </w:p>
    <w:p w14:paraId="43B9AEFF" w14:textId="77777777" w:rsidR="00711444" w:rsidRPr="004D0DAA" w:rsidRDefault="00711444" w:rsidP="00711444">
      <w:pPr>
        <w:pStyle w:val="B1"/>
      </w:pPr>
      <w:r w:rsidRPr="004D0DAA">
        <w:t>-</w:t>
      </w:r>
      <w:r w:rsidRPr="004D0DAA">
        <w:tab/>
        <w:t>Exclusive Allocation, characterised by the mobile station being granted the exclusive right to transmit on the assigned PDCH/H for the duration of an uplink TBF (see sub-clause 8.1.1.3a). Exclusive allocation is applicable only in dual transfer mode. When using exclusive allocation, only one TBF shall be established in the uplink.</w:t>
      </w:r>
    </w:p>
    <w:p w14:paraId="457B3A56" w14:textId="77777777" w:rsidR="00711444" w:rsidRPr="004D0DAA" w:rsidRDefault="00711444" w:rsidP="00711444">
      <w:pPr>
        <w:pStyle w:val="B1"/>
      </w:pPr>
      <w:r w:rsidRPr="004D0DAA">
        <w:t>-</w:t>
      </w:r>
      <w:r w:rsidRPr="004D0DAA">
        <w:tab/>
        <w:t>Fixed Uplink Allocation, characterised by the mobile station being allocated uplink resources in an (EC-)AGCH assignment message or in an RLC/MAC control message (see sub-clause 8.1.1.3b). Fixed uplink allocation is applicable only in EC TBF mode. The uplink resources are allocated according to the uplink Coverage Class that the mobile station is assigned.</w:t>
      </w:r>
    </w:p>
    <w:p w14:paraId="2379DCF2" w14:textId="77777777" w:rsidR="00711444" w:rsidRPr="004D0DAA" w:rsidRDefault="00711444" w:rsidP="00711444">
      <w:r w:rsidRPr="004D0DAA">
        <w:t>Dynamic Allocation medium access mode shall be supported by all networks that support GPRS. The support of Extended Dynamic Allocation is optional for the network.</w:t>
      </w:r>
    </w:p>
    <w:p w14:paraId="151DF261" w14:textId="77777777" w:rsidR="00711444" w:rsidRPr="004D0DAA" w:rsidRDefault="00711444" w:rsidP="00711444">
      <w:r w:rsidRPr="004D0DAA">
        <w:t>Dynamic Allocation shall be supported in all mobile stations, except if the mobile station only supports EC operation in which case only Fixed Uplink Allocation needs to be supported. The support of Extended Dynamic Allocation is mandatory for mobile stations of multislot classes 22, 24, 25 and 27, for multislot class type 1 mobile stations that can transmit on three or more timeslots (either PDCH or TCH), and for mobile stations supporting Flexible Timeslot Assignment (see 3GPP TS 24.008). The support of Extended Dynamic Allocation for other mobile stations is optional and shall be indicated in the MS Radio Access Capability.</w:t>
      </w:r>
    </w:p>
    <w:p w14:paraId="38E82B23" w14:textId="77777777" w:rsidR="00711444" w:rsidRPr="004D0DAA" w:rsidRDefault="00711444" w:rsidP="00711444">
      <w:pPr>
        <w:pStyle w:val="NO"/>
      </w:pPr>
      <w:r w:rsidRPr="004D0DAA">
        <w:t>NOTE:</w:t>
      </w:r>
      <w:r w:rsidRPr="004D0DAA">
        <w:tab/>
        <w:t>Flexible Timeslot Assignment is applicable only when Extended Dynamic Allocation is used, or as explicitly indicated for certain RTTI configurations in 3GPP TS 45.002.</w:t>
      </w:r>
    </w:p>
    <w:p w14:paraId="3DCBA486" w14:textId="77777777" w:rsidR="00711444" w:rsidRPr="004D0DAA" w:rsidRDefault="00711444" w:rsidP="00711444">
      <w:r w:rsidRPr="004D0DAA">
        <w:t>The exclusive allocation shall be used in dual transfer mode during uplink operation with a half-rate PDCH.</w:t>
      </w:r>
    </w:p>
    <w:p w14:paraId="4873751B" w14:textId="77777777" w:rsidR="00711444" w:rsidRPr="004D0DAA" w:rsidRDefault="00711444" w:rsidP="00711444">
      <w:r w:rsidRPr="004D0DAA">
        <w:t>The network shall ensure that the medium access mode and the resource allocation used for a mobile station are compatible with the permitted multislot configurations (see 3GPP TS 45.002).</w:t>
      </w:r>
    </w:p>
    <w:p w14:paraId="10607124" w14:textId="77777777" w:rsidR="00711444" w:rsidRPr="004D0DAA" w:rsidRDefault="00711444" w:rsidP="00711444">
      <w:pPr>
        <w:pStyle w:val="Heading3"/>
      </w:pPr>
      <w:bookmarkStart w:id="29" w:name="_Toc516669218"/>
      <w:r w:rsidRPr="004D0DAA">
        <w:t>5.2.4a</w:t>
      </w:r>
      <w:r w:rsidRPr="004D0DAA">
        <w:tab/>
        <w:t>Multiplexing of GPRS, EGPRS and EGPRS2 capable mobile stations</w:t>
      </w:r>
      <w:bookmarkEnd w:id="29"/>
    </w:p>
    <w:p w14:paraId="5EE12DDF" w14:textId="77777777" w:rsidR="00711444" w:rsidRPr="004D0DAA" w:rsidRDefault="00711444" w:rsidP="00711444">
      <w:r w:rsidRPr="004D0DAA">
        <w:t>GPRS, EGPRS, EGPRS2 and EC GSM-IoT capable mobile stations can be multiplexed dynamically on the same PDCH.</w:t>
      </w:r>
    </w:p>
    <w:p w14:paraId="7FA99BE6" w14:textId="77777777" w:rsidR="00711444" w:rsidRPr="004D0DAA" w:rsidRDefault="00711444" w:rsidP="00711444">
      <w:r w:rsidRPr="004D0DAA">
        <w:t>If dynamic or extended dynamic allocation is used, a mobile station shall be able to decode the USF that allocates the uplink to that mobile station as follows,</w:t>
      </w:r>
    </w:p>
    <w:p w14:paraId="28CEC93B" w14:textId="77777777" w:rsidR="00711444" w:rsidRPr="004D0DAA" w:rsidRDefault="00711444" w:rsidP="00711444">
      <w:pPr>
        <w:pStyle w:val="B1"/>
      </w:pPr>
      <w:r w:rsidRPr="004D0DAA">
        <w:lastRenderedPageBreak/>
        <w:t xml:space="preserve">- </w:t>
      </w:r>
      <w:r w:rsidRPr="004D0DAA">
        <w:tab/>
        <w:t xml:space="preserve">For a mobile station supporting only GPRS the network shall use GMSK modulation, i.e. either CS-1 to CS-4 or ,MCS-0, MCS-1 to MCS-4, in those blocks. The other blocks may use other modulations. </w:t>
      </w:r>
    </w:p>
    <w:p w14:paraId="200AADE2" w14:textId="77777777" w:rsidR="00711444" w:rsidRPr="004D0DAA" w:rsidRDefault="00711444" w:rsidP="00711444">
      <w:pPr>
        <w:pStyle w:val="B1"/>
      </w:pPr>
      <w:r w:rsidRPr="004D0DAA">
        <w:t xml:space="preserve">- </w:t>
      </w:r>
      <w:r w:rsidRPr="004D0DAA">
        <w:tab/>
        <w:t>For a mobile station supporting EGPRS, the network may use either GMSK modulation or 8-PSK modulation, i.e. CS-1 to CS-4, MCS-0, MCS-1 to MCS-4, MCS-5 to MCS-9 or DAS-5 to DAS-7 in those blocks.</w:t>
      </w:r>
    </w:p>
    <w:p w14:paraId="54BD7B96" w14:textId="77777777" w:rsidR="00711444" w:rsidRPr="004D0DAA" w:rsidRDefault="00711444" w:rsidP="00711444">
      <w:pPr>
        <w:pStyle w:val="B1"/>
      </w:pPr>
      <w:r w:rsidRPr="004D0DAA">
        <w:t xml:space="preserve">- </w:t>
      </w:r>
      <w:r w:rsidRPr="004D0DAA">
        <w:tab/>
        <w:t xml:space="preserve">For a mobile station supporting EGPRS2-A in the downlink, the network may use either GMSK, 8-PSK, 16-QAM or 32-QAM modulation with normal symbol rate, i.e. CS-1 to CS-4, MCS-0, MCS-1 to MCS-9 or DAS-5 to DAS-12 in those blocks. </w:t>
      </w:r>
    </w:p>
    <w:p w14:paraId="043B0416" w14:textId="77777777" w:rsidR="00711444" w:rsidRPr="004D0DAA" w:rsidRDefault="00711444" w:rsidP="00711444">
      <w:pPr>
        <w:pStyle w:val="B1"/>
      </w:pPr>
      <w:r w:rsidRPr="004D0DAA">
        <w:t xml:space="preserve">- </w:t>
      </w:r>
      <w:r w:rsidRPr="004D0DAA">
        <w:tab/>
        <w:t xml:space="preserve">For a mobile station supporting EGPRS2-B in the downlink, the network may use GMSK, 8-PSK, 16-QAM and 32-QAM modulations with normal symbol rate, or QPSK, 16-QAM or 32-QAM modulations with higher symbol rate in those blocks, i.e. CS-1 to CS-4, MCS-0, MCS-1 to MCS-9, DAS-5 to DAS-12 or DBS-5 to DBS-12. </w:t>
      </w:r>
    </w:p>
    <w:p w14:paraId="67186441" w14:textId="77777777" w:rsidR="00711444" w:rsidRPr="004D0DAA" w:rsidRDefault="00711444" w:rsidP="00711444">
      <w:pPr>
        <w:pStyle w:val="B1"/>
      </w:pPr>
      <w:r w:rsidRPr="004D0DAA">
        <w:t>-     For a mobile station supporting eTFI, the network may use CS-1 for RLC/MAC control blocks irrespective of whether or not the RLC/MAC control blocks are associated with a TBF assigned an eTFI (see sub-clause 5.2.2, 8.1.1.1.1 and 8.1.1.2.2).</w:t>
      </w:r>
    </w:p>
    <w:p w14:paraId="2DCB0E85" w14:textId="77777777" w:rsidR="00711444" w:rsidRPr="004D0DAA" w:rsidRDefault="00711444" w:rsidP="00711444">
      <w:r w:rsidRPr="004D0DAA">
        <w:t>One exception to the list above is for mobile stations not supporting eTFI where the network shall not use RLC/MAC control blocks associated with a TBF assigned an eTFI.</w:t>
      </w:r>
    </w:p>
    <w:p w14:paraId="61F8D649" w14:textId="77777777" w:rsidR="00711444" w:rsidRPr="004D0DAA" w:rsidRDefault="00711444" w:rsidP="00711444">
      <w:r w:rsidRPr="004D0DAA">
        <w:t>If Fixed Uplink Allocation is used, the mobile station does not decode any USF for uplink allocation. The USF shall however be included in downlink RLC blocks sent to a mobile station in EC operation in case another mobile station using dynamic or extended dynamic allocation is monitoring the same downlink channel.</w:t>
      </w:r>
    </w:p>
    <w:p w14:paraId="2241A3C9" w14:textId="77777777" w:rsidR="00711444" w:rsidRPr="004D0DAA" w:rsidRDefault="00711444" w:rsidP="00711444">
      <w:r w:rsidRPr="004D0DAA">
        <w:t>A mobile station assigned an uplink TBF using FANR shall be able to decode the PAN in a downlink block. If the PAN is addressed to a mobile station other than the one to which the data in the RLC/MAC block is addressed, then the network may use in this block any of the modulation and coding schemes allowed for USF transmission to that mobile station. One exception applies for a mobile station not supporting eTFI in which case the network shall not address the PAN to that mobile station if the RLC/MAC block is associated with a TBF assigned an eTFI (see sub-clause 8.1.2.1) unless the assigned eTFI field equals ‘000’. For a mobile station supporting eTFI (see sub-clause 5.2.2) the network may address the PAN to that mobile station irrespective of whether or not the RLC/MAC block is associated with a TBF assigned an eTFI.</w:t>
      </w:r>
    </w:p>
    <w:p w14:paraId="4B3513C3" w14:textId="77777777" w:rsidR="00711444" w:rsidRPr="004D0DAA" w:rsidRDefault="00711444" w:rsidP="00711444">
      <w:pPr>
        <w:pStyle w:val="NO"/>
      </w:pPr>
      <w:r w:rsidRPr="004D0DAA">
        <w:t>NOTE 1:</w:t>
      </w:r>
      <w:r w:rsidRPr="004D0DAA">
        <w:tab/>
        <w:t>The stealing bits in the EGPRS GMSK blocks are set to indicate CS-4. The coding and interleaving of the USF is done as defined for CS-4. That leads to:</w:t>
      </w:r>
    </w:p>
    <w:p w14:paraId="4E43ED17" w14:textId="77777777" w:rsidR="00711444" w:rsidRPr="004D0DAA" w:rsidRDefault="00711444" w:rsidP="00711444">
      <w:pPr>
        <w:pStyle w:val="B4"/>
      </w:pPr>
      <w:r w:rsidRPr="004D0DAA">
        <w:t>1)</w:t>
      </w:r>
      <w:r w:rsidRPr="004D0DAA">
        <w:tab/>
        <w:t>A GPRS mobile station is able to detect the USF in EGPRS GMSK blocks. The risk that the rest of the block will be misinterpreted as valid information is low;</w:t>
      </w:r>
    </w:p>
    <w:p w14:paraId="1EEB6F9D" w14:textId="77777777" w:rsidR="00711444" w:rsidRPr="004D0DAA" w:rsidRDefault="00711444" w:rsidP="00711444">
      <w:pPr>
        <w:pStyle w:val="B4"/>
      </w:pPr>
      <w:r w:rsidRPr="004D0DAA">
        <w:t>2)</w:t>
      </w:r>
      <w:r w:rsidRPr="004D0DAA">
        <w:tab/>
        <w:t>An EGPRS mobile station cannot differentiate CS-4 blocks from EGPRS GMSK blocks by decoding the stealing bits only. However, an EGPRS mobile station in EGPRS TBF mode needs only to decode GMSK blocks assuming either of MCS-1 to MCS-4, in order to determine if they were aimed for it.</w:t>
      </w:r>
    </w:p>
    <w:p w14:paraId="49258EDC" w14:textId="77777777" w:rsidR="00711444" w:rsidRPr="004D0DAA" w:rsidRDefault="00711444" w:rsidP="00711444">
      <w:pPr>
        <w:pStyle w:val="NO"/>
      </w:pPr>
      <w:r w:rsidRPr="004D0DAA">
        <w:t>NOTE 2:</w:t>
      </w:r>
      <w:r w:rsidRPr="004D0DAA">
        <w:tab/>
        <w:t>Due to mobile station synchronisation reasons, special requirements apply for the scheduling, the modulation and coding scheme and the output power of blocks that are transmitted to a mobile station with an active uplink or downlink TBF, see 3GPP TS 45.008.</w:t>
      </w:r>
    </w:p>
    <w:p w14:paraId="40E669EF" w14:textId="77777777" w:rsidR="00711444" w:rsidRPr="004D0DAA" w:rsidRDefault="00711444" w:rsidP="00711444">
      <w:r w:rsidRPr="004D0DAA">
        <w:t>A mobile station shall only attempt to decode USF or PAN in a downlink radio block transmitted using a TSC it has been assigned. A mobile station that supports the extended TSC sets (see 3GPP TS 45.002 [32]) can have up to two TSCs assigned for a given PDCH and shall attempt to decode USF or PAN in a downlink radio block it receives on that PDCH using its assigned TSC(s).</w:t>
      </w:r>
    </w:p>
    <w:p w14:paraId="627AD1C2" w14:textId="77777777" w:rsidR="00711444" w:rsidRPr="004D0DAA" w:rsidRDefault="00711444" w:rsidP="00711444">
      <w:pPr>
        <w:pStyle w:val="Heading2"/>
      </w:pPr>
      <w:bookmarkStart w:id="30" w:name="_Toc516669219"/>
      <w:r w:rsidRPr="004D0DAA">
        <w:t>5.3</w:t>
      </w:r>
      <w:r w:rsidRPr="004D0DAA">
        <w:tab/>
        <w:t>Packet idle mode</w:t>
      </w:r>
      <w:bookmarkEnd w:id="30"/>
    </w:p>
    <w:p w14:paraId="1CCDFAD0" w14:textId="77777777" w:rsidR="00711444" w:rsidRPr="004D0DAA" w:rsidRDefault="00711444" w:rsidP="00711444">
      <w:r w:rsidRPr="004D0DAA">
        <w:t>In packet idle mode no temporary block flow (TBF) exists.</w:t>
      </w:r>
    </w:p>
    <w:p w14:paraId="251BB04A" w14:textId="77777777" w:rsidR="00711444" w:rsidRPr="004D0DAA" w:rsidRDefault="00711444" w:rsidP="00711444">
      <w:r w:rsidRPr="004D0DAA">
        <w:t>In packet idle mode, the mobile station monitors the relevant paging subchannels on PCCCH, if such is present in the cell. If a PCCCH is not present in the cell, the mobile station monitors the relevant paging subchannels on CCCH or, if the mobile station has enabled EC operation, on EC-CCCH.</w:t>
      </w:r>
    </w:p>
    <w:p w14:paraId="3246DF99" w14:textId="77777777" w:rsidR="00711444" w:rsidRPr="004D0DAA" w:rsidRDefault="00711444" w:rsidP="00711444">
      <w:r w:rsidRPr="004D0DAA">
        <w:t>In packet idle mode, upper layers may require the transfer of an upper layer PDU, which implicitly triggers the establishment of a TBF and the transition to packet transfer mode.</w:t>
      </w:r>
    </w:p>
    <w:p w14:paraId="63FCCCD1" w14:textId="77777777" w:rsidR="00711444" w:rsidRPr="004D0DAA" w:rsidRDefault="00711444" w:rsidP="00711444">
      <w:r w:rsidRPr="004D0DAA">
        <w:lastRenderedPageBreak/>
        <w:t>In packet idle mode, upper layers may require the establishment of an RR connection. When the mobile station enters dedicated mode (see 3GPP TS 44.018), it may leave the packet idle mode, if the mobile station limitations make it unable to handle the RR connection and the procedures in packet idle mode simultaneously. A mobile station that has enabled PEO may use mobile originated RR connection establishment for GSM services (see 3GPP TS 23.060 [19]) while in packet idle mode. If it establishes a RR connection then it shall leave the packet idle mode and shall only re-enter packet idle mode when the RR connection is released.</w:t>
      </w:r>
    </w:p>
    <w:p w14:paraId="744A5EC4" w14:textId="77777777" w:rsidR="00711444" w:rsidRPr="004D0DAA" w:rsidRDefault="00711444" w:rsidP="00711444">
      <w:r w:rsidRPr="004D0DAA">
        <w:t>In packet idle mode, if a mobile station starts listening to an MBMS radio bearer, it shall enter broadcast/multicast receive mode (see sub-clause 5.3.1).</w:t>
      </w:r>
    </w:p>
    <w:p w14:paraId="6422742C" w14:textId="77777777" w:rsidR="00711444" w:rsidRPr="004D0DAA" w:rsidRDefault="00711444" w:rsidP="00711444">
      <w:pPr>
        <w:pStyle w:val="Heading3"/>
      </w:pPr>
      <w:bookmarkStart w:id="31" w:name="_Toc516669220"/>
      <w:r w:rsidRPr="004D0DAA">
        <w:t>5.3.1</w:t>
      </w:r>
      <w:r w:rsidRPr="004D0DAA">
        <w:tab/>
        <w:t>Broadcast/multicast receive mode</w:t>
      </w:r>
      <w:bookmarkEnd w:id="31"/>
    </w:p>
    <w:p w14:paraId="18CF9647" w14:textId="77777777" w:rsidR="00711444" w:rsidRPr="004D0DAA" w:rsidRDefault="00711444" w:rsidP="00711444">
      <w:r w:rsidRPr="004D0DAA">
        <w:t>In broadcast/multicast receive mode, the mobile station listens to an MBMS radio bearer.</w:t>
      </w:r>
    </w:p>
    <w:p w14:paraId="6EC4D08C" w14:textId="77777777" w:rsidR="00711444" w:rsidRPr="004D0DAA" w:rsidRDefault="00711444" w:rsidP="00711444">
      <w:r w:rsidRPr="004D0DAA">
        <w:t>Broadcast/multicast receive mode can only be entered by a mobile station when in packet idle mode; when leaving broadcast/multicast receive mode, the mobile station shall return to packet idle mode.</w:t>
      </w:r>
    </w:p>
    <w:p w14:paraId="0F8171E4" w14:textId="77777777" w:rsidR="00711444" w:rsidRPr="004D0DAA" w:rsidRDefault="00711444" w:rsidP="00711444">
      <w:r w:rsidRPr="004D0DAA">
        <w:t>Whenever a mobile station leaves broadcast/multicast receive mode to enter packet transfer mode, upon returning to packet idle mode it may re-enter broadcast/multicast receive mode to resume the reception of the ongoing MBMS session(s).</w:t>
      </w:r>
    </w:p>
    <w:p w14:paraId="73FAE203" w14:textId="77777777" w:rsidR="00711444" w:rsidRPr="004D0DAA" w:rsidRDefault="00711444" w:rsidP="00711444">
      <w:r w:rsidRPr="004D0DAA">
        <w:t>The mobile station receives the system information and paging messages on the (P)BCCH and (P)CCCH as specified for packet idle mode or on the PACCH/D associated with the MBMS radio bearer, depending on the value of the MBMS In-band Signalling Indicator information element included in the MBMS ASSIGNMENT and MBMS NEIGHBOURING CELL INFORMATION messages.</w:t>
      </w:r>
    </w:p>
    <w:p w14:paraId="7ABD710A" w14:textId="77777777" w:rsidR="00711444" w:rsidRPr="004D0DAA" w:rsidRDefault="00711444" w:rsidP="00711444">
      <w:r w:rsidRPr="004D0DAA">
        <w:t xml:space="preserve">If the use of in-band signalling has been indicated (by the MBMS In-band Signalling Indicator), only mobile stations that have an MS_ID on the MBMS radio bearer shall be addressed with paging messages on the PACCH/D of that MBMS radio bearer. Mobile stations without an MS_ID shall continue monitoring </w:t>
      </w:r>
      <w:r w:rsidRPr="004D0DAA">
        <w:rPr>
          <w:lang w:eastAsia="ko-KR"/>
        </w:rPr>
        <w:t>their paging groups on the paging channel(s) on the (P)CCCH and skip the reception of the radio blocks of the MBMS radio bearer that prevent the monitoring of their paging groups, if needed.</w:t>
      </w:r>
      <w:r w:rsidRPr="004D0DAA">
        <w:t xml:space="preserve"> In this specification, requirements for mobile stations in packet idle mode apply also to mobile stations in broadcast/multicast receive mode unless stated otherwise.</w:t>
      </w:r>
    </w:p>
    <w:p w14:paraId="50A698D3" w14:textId="77777777" w:rsidR="00711444" w:rsidRPr="004D0DAA" w:rsidRDefault="00711444" w:rsidP="00711444">
      <w:pPr>
        <w:pStyle w:val="Heading2"/>
      </w:pPr>
      <w:bookmarkStart w:id="32" w:name="_Toc516669221"/>
      <w:r w:rsidRPr="004D0DAA">
        <w:t>5.4</w:t>
      </w:r>
      <w:r w:rsidRPr="004D0DAA">
        <w:tab/>
        <w:t>Packet transfer mode</w:t>
      </w:r>
      <w:bookmarkEnd w:id="32"/>
    </w:p>
    <w:p w14:paraId="2241AACD" w14:textId="77777777" w:rsidR="00711444" w:rsidRPr="004D0DAA" w:rsidRDefault="00711444" w:rsidP="00711444">
      <w:r w:rsidRPr="004D0DAA">
        <w:t>In packet transfer mode, the mobile station is allocated radio resources providing one or more TBFs for physical point-to-point connection(s) on one or more packet data physical channels for the unidirectional transfer of upper layer PDUs between the network and the mobile station. Successive transfer of one or more upper layer PDUs is possible. Concurrent TBFs may be established in opposite directions, unless the mobile station is in EC operation. The RR sublayer provides the following services:</w:t>
      </w:r>
    </w:p>
    <w:p w14:paraId="4C422D46" w14:textId="77777777" w:rsidR="00711444" w:rsidRPr="004D0DAA" w:rsidRDefault="00711444" w:rsidP="00711444">
      <w:pPr>
        <w:pStyle w:val="B1"/>
      </w:pPr>
      <w:r w:rsidRPr="004D0DAA">
        <w:t>-</w:t>
      </w:r>
      <w:r w:rsidRPr="004D0DAA">
        <w:tab/>
        <w:t>transfer of upper layer PDUs in RLC acknowledged mode;</w:t>
      </w:r>
    </w:p>
    <w:p w14:paraId="21CFB61E" w14:textId="77777777" w:rsidR="00711444" w:rsidRPr="004D0DAA" w:rsidRDefault="00711444" w:rsidP="00711444">
      <w:pPr>
        <w:pStyle w:val="B1"/>
      </w:pPr>
      <w:r w:rsidRPr="004D0DAA">
        <w:t>-</w:t>
      </w:r>
      <w:r w:rsidRPr="004D0DAA">
        <w:tab/>
        <w:t>transfer of upper layer PDUs in RLC unacknowledged mode;</w:t>
      </w:r>
    </w:p>
    <w:p w14:paraId="388A4EA7" w14:textId="77777777" w:rsidR="00711444" w:rsidRPr="004D0DAA" w:rsidRDefault="00711444" w:rsidP="00711444">
      <w:pPr>
        <w:pStyle w:val="B1"/>
      </w:pPr>
      <w:r w:rsidRPr="004D0DAA">
        <w:t>-</w:t>
      </w:r>
      <w:r w:rsidRPr="004D0DAA">
        <w:tab/>
        <w:t xml:space="preserve">transfer of upper layer PDUs in RLC non-persistent mode. </w:t>
      </w:r>
    </w:p>
    <w:p w14:paraId="2CF82786" w14:textId="77777777" w:rsidR="00711444" w:rsidRPr="004D0DAA" w:rsidRDefault="00711444" w:rsidP="00711444">
      <w:r w:rsidRPr="004D0DAA">
        <w:t>Only RLC acknowledged mode is supported for an EC TBF.</w:t>
      </w:r>
    </w:p>
    <w:p w14:paraId="471104C3" w14:textId="77777777" w:rsidR="00711444" w:rsidRPr="004D0DAA" w:rsidRDefault="00711444" w:rsidP="00711444">
      <w:r w:rsidRPr="004D0DAA">
        <w:t>When a transfer of upper layer PDUs terminates, in either downlink or uplink direction, the corresponding TBF is released. In packet transfer mode, when all TBFs have been released, in downlink and uplink direction, the mobile station returns to packet idle mode.</w:t>
      </w:r>
    </w:p>
    <w:p w14:paraId="72F098CF" w14:textId="77777777" w:rsidR="00711444" w:rsidRPr="004D0DAA" w:rsidRDefault="00711444" w:rsidP="00711444">
      <w:pPr>
        <w:keepNext/>
        <w:keepLines/>
      </w:pPr>
      <w:r w:rsidRPr="004D0DAA">
        <w:t>In packet transfer mode, upper layers may require the establishment of an RR connection. When the mobile station enters dedicated mode (see 3GPP TS 44.018), it may abort all ongoing TBFs and leave the packet transfer mode, if the mobile station limitations make it unable to handle the RR connection and the procedures in packet transfer mode simultaneously. A MS that has enabled PEO may use mobile originated RR connection establishment for GSM services (see 3GPP TS 23.060 [19]) while in packet transfer mode in which case it shall abort the ongoing TBFs, leave packet transfer mode and enter packet idle mode when the RR connection is released.</w:t>
      </w:r>
    </w:p>
    <w:p w14:paraId="13233397" w14:textId="77777777" w:rsidR="00711444" w:rsidRPr="004D0DAA" w:rsidRDefault="00711444" w:rsidP="00711444">
      <w:r w:rsidRPr="004D0DAA">
        <w:t xml:space="preserve">In packet transfer mode, a mobile station that supports PS handover may be ordered to move to a new cell through the use of a PS HANDOVER COMMAND message that provides resources to be used for one or more of its ongoing TBFs in the new cell (e.g. TBF resources in the new cell that have been pre-allocated by the target BSS). A mobile station </w:t>
      </w:r>
      <w:r w:rsidRPr="004D0DAA">
        <w:lastRenderedPageBreak/>
        <w:t xml:space="preserve">indicates that it supports PS handover in the PS Handover Capability field/GAN PS Handover Capability field in the </w:t>
      </w:r>
      <w:r w:rsidRPr="004D0DAA">
        <w:rPr>
          <w:i/>
          <w:iCs/>
        </w:rPr>
        <w:t xml:space="preserve">MS Radio Access Capability </w:t>
      </w:r>
      <w:r w:rsidRPr="004D0DAA">
        <w:t xml:space="preserve">IE (see 3GPP TS 24.008). An E-UTRAN capable mobile station indicates that it supports PS handover to E-UTRAN in the "GERAN to E-UTRAN support in GERAN packet transfer mode" field of the </w:t>
      </w:r>
      <w:r w:rsidRPr="004D0DAA">
        <w:rPr>
          <w:i/>
          <w:iCs/>
        </w:rPr>
        <w:t xml:space="preserve">MS Radio Access Capability </w:t>
      </w:r>
      <w:r w:rsidRPr="004D0DAA">
        <w:t>IE (see 3GPP TS 24.008). The network may initiate the PS handover procedure as a result of various trigger conditions as described in sub-clause 8.10.3.1. The PS handover procedure is described in sub-clause 8.10.</w:t>
      </w:r>
    </w:p>
    <w:p w14:paraId="487EDB08" w14:textId="77777777" w:rsidR="00711444" w:rsidRPr="004D0DAA" w:rsidRDefault="00711444" w:rsidP="00711444">
      <w:pPr>
        <w:pStyle w:val="Heading2"/>
      </w:pPr>
      <w:bookmarkStart w:id="33" w:name="_Toc516669222"/>
      <w:r w:rsidRPr="004D0DAA">
        <w:t>5.4a</w:t>
      </w:r>
      <w:r w:rsidRPr="004D0DAA">
        <w:tab/>
        <w:t>Dual transfer mode</w:t>
      </w:r>
      <w:bookmarkEnd w:id="33"/>
    </w:p>
    <w:p w14:paraId="45A59E11" w14:textId="77777777" w:rsidR="00711444" w:rsidRPr="004D0DAA" w:rsidRDefault="00711444" w:rsidP="00711444">
      <w:r w:rsidRPr="004D0DAA">
        <w:t>In dual transfer mode, the mobile station is allocated radio resources providing an RR connection on a dedicated traffic channel and one or more TBFs on one or more packet data physical channels. The allocation of radio resources for the RR connection and the TBFs is co-ordinated by the network, in agreement with the capabilities of the mobile station in dual transfer mode.</w:t>
      </w:r>
    </w:p>
    <w:p w14:paraId="7DADDC0C" w14:textId="77777777" w:rsidR="00711444" w:rsidRPr="004D0DAA" w:rsidRDefault="00711444" w:rsidP="00711444">
      <w:r w:rsidRPr="004D0DAA">
        <w:t xml:space="preserve">If a mobile station that supports multiple TBF procedures has entered dual transfer mode where an uplink TBF is operating in exclusive allocation mode then no additional uplink TBFs may be requested. If exclusive allocation is not used a mobile station in dual transfer mode that supports multiple TBF procedures may request the establishment of one or more additional uplink TBFs by sending a </w:t>
      </w:r>
      <w:r w:rsidRPr="004D0DAA">
        <w:rPr>
          <w:caps/>
        </w:rPr>
        <w:t>Packet Resource Request</w:t>
      </w:r>
      <w:r w:rsidRPr="004D0DAA">
        <w:t xml:space="preserve"> message on the PACCH. If this occurs and the network determines that re-allocation of the RR connection is required before it can satisfy the requested TBFs it sends the mobile station a DTM ASSIGNMENT COMMAND message to reallocate the RR connection and a combination of one or more ongoing uplink and downlink TBFs as specified in 3GPP TS 44.018. </w:t>
      </w:r>
    </w:p>
    <w:p w14:paraId="11DFAB74" w14:textId="77777777" w:rsidR="00711444" w:rsidRPr="004D0DAA" w:rsidRDefault="00711444" w:rsidP="00711444">
      <w:r w:rsidRPr="004D0DAA">
        <w:t>Successive transfer of one or more upper layer PDUs is possible. Concurrent TBFs may be established in opposite directions. Mobile stations supporting multiple TBF procedures may have multiple concurrent TBFs established in opposite directions. The transfer of upper layer PDUs in RLC acknowledged or RLC unacknowledged mode is provided.</w:t>
      </w:r>
    </w:p>
    <w:p w14:paraId="4CC1349E" w14:textId="77777777" w:rsidR="00711444" w:rsidRPr="004D0DAA" w:rsidRDefault="00711444" w:rsidP="00711444">
      <w:r w:rsidRPr="004D0DAA">
        <w:t>When a transfer of upper layer PDUs terminates, in either downlink or uplink direction, the corresponding TBF is released. In dual transfer mode, when all TBFs have been released, in downlink and uplink directions, the mobile station enters dedicated mode.</w:t>
      </w:r>
    </w:p>
    <w:p w14:paraId="2B0C6312" w14:textId="77777777" w:rsidR="00711444" w:rsidRPr="004D0DAA" w:rsidRDefault="00711444" w:rsidP="00711444">
      <w:r w:rsidRPr="004D0DAA">
        <w:t>In dual transfer mode, at the release of the RR connection, the mobile station may abort all ongoing TBFs and enter packet idle mode. If the mobile station and the network support enhanced DTM CS release procedure the mobile station may continue in packet transfer mode without entering packet idle mode, after the release of the RR connection.</w:t>
      </w:r>
    </w:p>
    <w:p w14:paraId="154182EE" w14:textId="77777777" w:rsidR="00711444" w:rsidRPr="004D0DAA" w:rsidRDefault="00711444" w:rsidP="00711444">
      <w:pPr>
        <w:pStyle w:val="Heading2"/>
      </w:pPr>
      <w:bookmarkStart w:id="34" w:name="_Toc516669223"/>
      <w:r w:rsidRPr="004D0DAA">
        <w:t>5.5</w:t>
      </w:r>
      <w:r w:rsidRPr="004D0DAA">
        <w:tab/>
        <w:t>General procedures in packet idle and packet transfer modes</w:t>
      </w:r>
      <w:bookmarkEnd w:id="34"/>
    </w:p>
    <w:p w14:paraId="0D48B2B1" w14:textId="77777777" w:rsidR="00711444" w:rsidRPr="004D0DAA" w:rsidRDefault="00711444" w:rsidP="00711444">
      <w:r w:rsidRPr="004D0DAA">
        <w:t>Unless explicitly stated, the requirements in this sub-clause (and sub-clauses) apply only in packet idle mode and in packet transfer mode, neither in dedicated mode nor in dual transfer mode.</w:t>
      </w:r>
    </w:p>
    <w:p w14:paraId="38FBD5B1" w14:textId="77777777" w:rsidR="00711444" w:rsidRPr="004D0DAA" w:rsidRDefault="00711444" w:rsidP="00711444">
      <w:pPr>
        <w:pStyle w:val="Heading3"/>
      </w:pPr>
      <w:bookmarkStart w:id="35" w:name="_Toc516669224"/>
      <w:r w:rsidRPr="004D0DAA">
        <w:t>5.5.1</w:t>
      </w:r>
      <w:r w:rsidRPr="004D0DAA">
        <w:tab/>
        <w:t>Mobile station side</w:t>
      </w:r>
      <w:bookmarkEnd w:id="35"/>
    </w:p>
    <w:p w14:paraId="3041B348" w14:textId="77777777" w:rsidR="00711444" w:rsidRPr="004D0DAA" w:rsidRDefault="00711444" w:rsidP="00711444">
      <w:r w:rsidRPr="004D0DAA">
        <w:t>The mobile station in either packet idle or packet transfer modes shall monitor the system information broadcast in the cell. A MS that has enabled PEO shall monitor system information as described in 3GPP TS 44.018 [11] while in packet idle mode and is not required to monitor system information while in packet transfer mode. A mobile station in EC operation shall not monitor the system information broadcast in the cell when in packet transfer mode.</w:t>
      </w:r>
    </w:p>
    <w:p w14:paraId="63878BAC" w14:textId="77777777" w:rsidR="00711444" w:rsidRPr="004D0DAA" w:rsidRDefault="00711444" w:rsidP="00711444">
      <w:r w:rsidRPr="004D0DAA">
        <w:t>In packet idle mode, the mobile station shall monitor the radio blocks on PCCCH, CCCH or EC-CCCH, as defined in sub-clauses 5.5.1.5 and 5.5.1.6. The determination of the paging group for the mobile station is defined in 3GPP TS 45.002.</w:t>
      </w:r>
    </w:p>
    <w:p w14:paraId="6206405D" w14:textId="77777777" w:rsidR="00711444" w:rsidRPr="004D0DAA" w:rsidRDefault="00711444" w:rsidP="00711444">
      <w:pPr>
        <w:pStyle w:val="Heading4"/>
      </w:pPr>
      <w:bookmarkStart w:id="36" w:name="_Toc516669225"/>
      <w:r w:rsidRPr="004D0DAA">
        <w:t>5.5.0.1 Indication of a selected PLMN using PLMN Index</w:t>
      </w:r>
      <w:bookmarkEnd w:id="36"/>
    </w:p>
    <w:p w14:paraId="24E02BCB" w14:textId="77777777" w:rsidR="00711444" w:rsidRPr="004D0DAA" w:rsidRDefault="00711444" w:rsidP="00711444">
      <w:r w:rsidRPr="004D0DAA">
        <w:t xml:space="preserve">A mobile station supporting network sharing shall indicate the selected PLMN to the network when sending an upper layer PDU using a foreign TLLI or a random TLLI (see 3GPP TS 23.003) address for this transmission. The mobile station shall set the value of the </w:t>
      </w:r>
      <w:r w:rsidRPr="004D0DAA">
        <w:rPr>
          <w:i/>
        </w:rPr>
        <w:t>Selected PLMN Index</w:t>
      </w:r>
      <w:r w:rsidRPr="004D0DAA">
        <w:t xml:space="preserve"> field in the first RLC data block used to transfer the PDU (see sub-clauses 10.4.14 and 10.4.14a.) to whichever of the following was the most recently received:</w:t>
      </w:r>
    </w:p>
    <w:p w14:paraId="46FCD5D3" w14:textId="77777777" w:rsidR="00711444" w:rsidRPr="004D0DAA" w:rsidRDefault="00711444" w:rsidP="00711444">
      <w:pPr>
        <w:pStyle w:val="B1"/>
      </w:pPr>
      <w:r w:rsidRPr="004D0DAA">
        <w:lastRenderedPageBreak/>
        <w:t>-</w:t>
      </w:r>
      <w:r w:rsidRPr="004D0DAA">
        <w:tab/>
        <w:t xml:space="preserve">the corresponding PLMN ID index of the selected PLMN, if the selected PLMN is acquired from the system information when the SI22IND field contained in the </w:t>
      </w:r>
      <w:r w:rsidRPr="004D0DAA">
        <w:rPr>
          <w:i/>
        </w:rPr>
        <w:t>Control Channel Description</w:t>
      </w:r>
      <w:r w:rsidRPr="004D0DAA">
        <w:t xml:space="preserve"> IE in the SYSTEM INFORMATION TYPE 3 message (see 3GPP TS 44.018) indicates that network sharing is used; or</w:t>
      </w:r>
    </w:p>
    <w:p w14:paraId="6CA3D9A4" w14:textId="77777777" w:rsidR="00711444" w:rsidRPr="004D0DAA" w:rsidRDefault="00711444" w:rsidP="00711444">
      <w:pPr>
        <w:pStyle w:val="B1"/>
      </w:pPr>
      <w:r w:rsidRPr="004D0DAA">
        <w:t>-</w:t>
      </w:r>
      <w:r w:rsidRPr="004D0DAA">
        <w:tab/>
        <w:t>the Selected PLMN Index received in the PS HANDOVER COMMAND message; or</w:t>
      </w:r>
    </w:p>
    <w:p w14:paraId="64E1482F" w14:textId="77777777" w:rsidR="00711444" w:rsidRPr="004D0DAA" w:rsidRDefault="00711444" w:rsidP="00711444">
      <w:pPr>
        <w:pStyle w:val="B1"/>
      </w:pPr>
      <w:r w:rsidRPr="004D0DAA">
        <w:t>-</w:t>
      </w:r>
      <w:r w:rsidRPr="004D0DAA">
        <w:tab/>
        <w:t>the Selected PLMN index as indicated by the PLMN Index IE received in the CS HANDOVER COMMAND or DTM HANDOVER COMMAND (see 3GPP TS  44.018); or</w:t>
      </w:r>
    </w:p>
    <w:p w14:paraId="319B2A96" w14:textId="77777777" w:rsidR="00711444" w:rsidRPr="004D0DAA" w:rsidRDefault="00711444" w:rsidP="00711444">
      <w:pPr>
        <w:pStyle w:val="B1"/>
      </w:pPr>
      <w:r w:rsidRPr="004D0DAA">
        <w:t>-</w:t>
      </w:r>
      <w:r w:rsidRPr="004D0DAA">
        <w:tab/>
        <w:t>for a mobile station in EC operation, the corresponding PLMN ID index of the selected PLMN, if the selected PLMN is acquired from the EC SYSTEM INFORMATION TYPE 4 message (see 3GPP TS 44.018).</w:t>
      </w:r>
    </w:p>
    <w:p w14:paraId="28BD8B78" w14:textId="77777777" w:rsidR="00711444" w:rsidRPr="004D0DAA" w:rsidRDefault="00711444" w:rsidP="00711444">
      <w:pPr>
        <w:pStyle w:val="FP"/>
      </w:pPr>
    </w:p>
    <w:p w14:paraId="0A9C3F4E" w14:textId="77777777" w:rsidR="00711444" w:rsidRPr="004D0DAA" w:rsidRDefault="00711444" w:rsidP="00711444">
      <w:pPr>
        <w:pStyle w:val="Heading4"/>
      </w:pPr>
      <w:bookmarkStart w:id="37" w:name="_Toc516669226"/>
      <w:r w:rsidRPr="004D0DAA">
        <w:t>5.5.0.2</w:t>
      </w:r>
      <w:r w:rsidRPr="004D0DAA">
        <w:tab/>
        <w:t>Indication of DCN-ID</w:t>
      </w:r>
      <w:bookmarkEnd w:id="37"/>
    </w:p>
    <w:p w14:paraId="27355C78" w14:textId="77777777" w:rsidR="00711444" w:rsidRPr="004D0DAA" w:rsidRDefault="00711444" w:rsidP="00711444">
      <w:pPr>
        <w:pStyle w:val="B1"/>
      </w:pPr>
      <w:r w:rsidRPr="004D0DAA">
        <w:t xml:space="preserve">A mobile station supporting MS assisted Dedicated Core Network selection shall indicate the DCN-ID (corresponding to its selected PLMN) to a network supporting MS assisted Dedicated Core Network selection when sending an upper layer PDU using a foreign TLLI or a random TLLI (see 3GPP TS 23.003) address for this transmission. The mobile station shall set the value of the </w:t>
      </w:r>
      <w:r w:rsidRPr="004D0DAA">
        <w:rPr>
          <w:i/>
        </w:rPr>
        <w:t>DCN-ID</w:t>
      </w:r>
      <w:r w:rsidRPr="004D0DAA">
        <w:t xml:space="preserve"> in the first RLC data block used to transfer the PDU (see sub-clauses 10.4.14 and 10.4.14a.) according to the </w:t>
      </w:r>
      <w:r w:rsidRPr="004D0DAA">
        <w:rPr>
          <w:i/>
        </w:rPr>
        <w:t>DCN-ID</w:t>
      </w:r>
      <w:r w:rsidRPr="004D0DAA">
        <w:t xml:space="preserve"> value indicated by upper layers (see 3GPP TS 23.401 [54] and 3GPP TS 24.008 [51]).</w:t>
      </w:r>
    </w:p>
    <w:p w14:paraId="452925DC" w14:textId="77777777" w:rsidR="00711444" w:rsidRPr="004D0DAA" w:rsidRDefault="00711444" w:rsidP="00711444">
      <w:pPr>
        <w:pStyle w:val="Heading4"/>
      </w:pPr>
      <w:bookmarkStart w:id="38" w:name="_Toc516669227"/>
      <w:r w:rsidRPr="004D0DAA">
        <w:t>5.5.1.1</w:t>
      </w:r>
      <w:r w:rsidRPr="004D0DAA">
        <w:tab/>
        <w:t>Cell reselection</w:t>
      </w:r>
      <w:bookmarkEnd w:id="38"/>
    </w:p>
    <w:p w14:paraId="569E4096" w14:textId="77777777" w:rsidR="00711444" w:rsidRPr="004D0DAA" w:rsidRDefault="00711444" w:rsidP="00711444">
      <w:r w:rsidRPr="004D0DAA">
        <w:t>Cell reselection in packet idle and packet transfer modes is specified in 3GPP TS 45.008. The RR entity on the mobile station side indicates to the upper layers the availability of a cell and a cell change when decided by the RR sublayer. Upper layers are advised of system information broadcast in the cell when a new cell has been selected, or when a relevant part of this information changes.</w:t>
      </w:r>
    </w:p>
    <w:p w14:paraId="1020A844" w14:textId="77777777" w:rsidR="00711444" w:rsidRPr="004D0DAA" w:rsidRDefault="00711444" w:rsidP="00711444">
      <w:r w:rsidRPr="004D0DAA">
        <w:t>When the mobile station reselects a new (target) cell, the support of GPRS in the target cell is indicated in system information sent on BCCH, see 3GPP TS 44.018. If the mobile station has received a PBCCH description for the target cell, it shall assume that GPRS is supported, without further receiving system information on BCCH. The support for EC GSM-IoT in the target cell is indicated by the presence of the EC-SCH.</w:t>
      </w:r>
    </w:p>
    <w:p w14:paraId="4FE3F026" w14:textId="77777777" w:rsidR="00711444" w:rsidRPr="004D0DAA" w:rsidRDefault="00711444" w:rsidP="00711444">
      <w:pPr>
        <w:pStyle w:val="NO"/>
      </w:pPr>
      <w:r w:rsidRPr="004D0DAA">
        <w:t>NOTE:</w:t>
      </w:r>
      <w:r w:rsidRPr="004D0DAA">
        <w:tab/>
        <w:t>A PBCCH description for the target cell may be received in the packet system information (neighbour cell information in PSI3 and 3bis) and/or in the MBMS NEIGHBOURING CELL INFORMATION message (for a mobile station in broadcast/multicast receive mode) in the old serving cell, or in a BCCH message (SI13) in the target cell.</w:t>
      </w:r>
    </w:p>
    <w:p w14:paraId="7680CB87" w14:textId="77777777" w:rsidR="00711444" w:rsidRPr="004D0DAA" w:rsidRDefault="00711444" w:rsidP="00711444">
      <w:r w:rsidRPr="004D0DAA">
        <w:t>If a cell supports GPRS, the mobile station may perform packet access. If a cell does not support GPRS, the mobile station is not allowed to perform packet access.</w:t>
      </w:r>
    </w:p>
    <w:p w14:paraId="460CDF32" w14:textId="77777777" w:rsidR="00711444" w:rsidRPr="004D0DAA" w:rsidRDefault="00711444" w:rsidP="00711444">
      <w:r w:rsidRPr="004D0DAA">
        <w:t>If a cell supports EC-GSM-IoT, a mobile station that is EC-GSM-IoT capable may enable EC operation and perform packet access to request a TBF in EC TBF mode. If a cell does not support EC-GSM-IoT, the mobile station may not enable EC operation in that cell and it may not perform packet access to request a TBF in EC TBF mode.</w:t>
      </w:r>
    </w:p>
    <w:p w14:paraId="76DB6364" w14:textId="77777777" w:rsidR="00711444" w:rsidRPr="004D0DAA" w:rsidRDefault="00711444" w:rsidP="00711444">
      <w:r w:rsidRPr="004D0DAA">
        <w:t>When a cell reselection is determined by the mobile station or ordered by the network, the mobile station may continue its operation in packet idle or in packet transfer mode in the old serving cell, while acquiring certain system information for the target cell.</w:t>
      </w:r>
    </w:p>
    <w:p w14:paraId="5980F88D" w14:textId="77777777" w:rsidR="00711444" w:rsidRPr="004D0DAA" w:rsidRDefault="00711444" w:rsidP="00711444">
      <w:r w:rsidRPr="004D0DAA">
        <w:t>When a cell reselection is determined by the mobile station in broadcast/multicast receive mode shall leave the old serving cell immediately if the distribution of MBMS NEIGHBOURING CELL INFORMATION messages is not supported in the old serving cell (see sub-clause 7.7.3). If the distribution of MBMS NEIGHBOURING CELL INFORMATION messages is supported in the old serving cell, the mobile station shall continue its operation in broadcast/multicast receive mode in the old serving cell as follows:</w:t>
      </w:r>
    </w:p>
    <w:p w14:paraId="43CC1190" w14:textId="77777777" w:rsidR="00711444" w:rsidRPr="004D0DAA" w:rsidRDefault="00711444" w:rsidP="00711444">
      <w:pPr>
        <w:pStyle w:val="B1"/>
      </w:pPr>
      <w:r w:rsidRPr="004D0DAA">
        <w:t>-</w:t>
      </w:r>
      <w:r w:rsidRPr="004D0DAA">
        <w:tab/>
        <w:t xml:space="preserve">if the mobile station has received for the target cell the MBMS bearer description for each session it is acquiring it shall leave the cell immediately after it receives an MBMS NEIGHBOURING CELL INFORMATION message for that target cell with the same MBMS_PTM_CHANGE_MARK as the last one received (see note), or after 1s after cell reselection is determined, whichever occurs first; </w:t>
      </w:r>
    </w:p>
    <w:p w14:paraId="06CAA113" w14:textId="77777777" w:rsidR="00711444" w:rsidRPr="004D0DAA" w:rsidRDefault="00711444" w:rsidP="00711444">
      <w:pPr>
        <w:pStyle w:val="B1"/>
      </w:pPr>
      <w:r w:rsidRPr="004D0DAA">
        <w:t>-</w:t>
      </w:r>
      <w:r w:rsidRPr="004D0DAA">
        <w:tab/>
        <w:t>otherwise the mobile station shall leave the cell immediately after 1s after cell reselection is determined.</w:t>
      </w:r>
    </w:p>
    <w:p w14:paraId="26920EA0" w14:textId="77777777" w:rsidR="00711444" w:rsidRPr="004D0DAA" w:rsidRDefault="00711444" w:rsidP="00711444">
      <w:pPr>
        <w:pStyle w:val="NO"/>
      </w:pPr>
      <w:r w:rsidRPr="004D0DAA">
        <w:lastRenderedPageBreak/>
        <w:t>NOTE 1:</w:t>
      </w:r>
      <w:r w:rsidRPr="004D0DAA">
        <w:tab/>
        <w:t>An MBMS_PTM_CHANGE_MARK is one received in an MBMS NEIGHBOURING CELL INFORMATION message for a session the mobile station is acquiring.</w:t>
      </w:r>
    </w:p>
    <w:p w14:paraId="4C47D6DB" w14:textId="77777777" w:rsidR="00711444" w:rsidRPr="004D0DAA" w:rsidRDefault="00711444" w:rsidP="00711444">
      <w:pPr>
        <w:pStyle w:val="NO"/>
      </w:pPr>
      <w:r w:rsidRPr="004D0DAA">
        <w:t>NOTE 2:</w:t>
      </w:r>
      <w:r w:rsidRPr="004D0DAA">
        <w:tab/>
        <w:t>The behaviour of the mobile station after leaving the old serving cell is described in sub-clause 8.1.6.</w:t>
      </w:r>
    </w:p>
    <w:p w14:paraId="7B0A7B61" w14:textId="77777777" w:rsidR="00711444" w:rsidRPr="004D0DAA" w:rsidRDefault="00711444" w:rsidP="00711444">
      <w:r w:rsidRPr="004D0DAA">
        <w:t>If the old cell does not support CCN, the operation in the old cell shall be aborted when one of the following conditions are met:</w:t>
      </w:r>
    </w:p>
    <w:p w14:paraId="5C2C20B0" w14:textId="77777777" w:rsidR="00711444" w:rsidRPr="004D0DAA" w:rsidRDefault="00711444" w:rsidP="00711444">
      <w:pPr>
        <w:pStyle w:val="B1"/>
      </w:pPr>
      <w:r w:rsidRPr="004D0DAA">
        <w:t>-</w:t>
      </w:r>
      <w:r w:rsidRPr="004D0DAA">
        <w:tab/>
        <w:t>the mobile station starts to receive information on PBCCH in the target cell;</w:t>
      </w:r>
    </w:p>
    <w:p w14:paraId="23EEE1DF" w14:textId="77777777" w:rsidR="00711444" w:rsidRPr="004D0DAA" w:rsidRDefault="00711444" w:rsidP="00711444">
      <w:pPr>
        <w:pStyle w:val="B1"/>
      </w:pPr>
      <w:r w:rsidRPr="004D0DAA">
        <w:t>-</w:t>
      </w:r>
      <w:r w:rsidRPr="004D0DAA">
        <w:tab/>
        <w:t>the mobile station has received the SI13 message (see 3GPP TS 44.018) and there is no PBCCH present in the target cell; or</w:t>
      </w:r>
    </w:p>
    <w:p w14:paraId="1E5BEB00" w14:textId="77777777" w:rsidR="00711444" w:rsidRPr="004D0DAA" w:rsidRDefault="00711444" w:rsidP="00711444">
      <w:pPr>
        <w:pStyle w:val="B1"/>
      </w:pPr>
      <w:r w:rsidRPr="004D0DAA">
        <w:t>-</w:t>
      </w:r>
      <w:r w:rsidRPr="004D0DAA">
        <w:tab/>
        <w:t>the criteria for camping on the old cell are no longer fulfilled (see 3GPP TS 45.008).</w:t>
      </w:r>
    </w:p>
    <w:p w14:paraId="47532150" w14:textId="77777777" w:rsidR="00711444" w:rsidRPr="004D0DAA" w:rsidRDefault="00711444" w:rsidP="00711444">
      <w:r w:rsidRPr="004D0DAA">
        <w:t>For a mobile station that has enabled EC operation, the operation in the old cell shall be aborted when one of the following conditions are met:</w:t>
      </w:r>
    </w:p>
    <w:p w14:paraId="5B31CA62" w14:textId="77777777" w:rsidR="00711444" w:rsidRPr="004D0DAA" w:rsidRDefault="00711444" w:rsidP="00711444">
      <w:pPr>
        <w:pStyle w:val="B1"/>
      </w:pPr>
      <w:r w:rsidRPr="004D0DAA">
        <w:t>-</w:t>
      </w:r>
      <w:r w:rsidRPr="004D0DAA">
        <w:tab/>
        <w:t>the mobile station starts to receive information on BCCH or EC-BCCH in the target cell; or</w:t>
      </w:r>
    </w:p>
    <w:p w14:paraId="202E0704" w14:textId="77777777" w:rsidR="00711444" w:rsidRPr="004D0DAA" w:rsidRDefault="00711444" w:rsidP="00711444">
      <w:pPr>
        <w:pStyle w:val="B1"/>
      </w:pPr>
      <w:r w:rsidRPr="004D0DAA">
        <w:t>-</w:t>
      </w:r>
      <w:r w:rsidRPr="004D0DAA">
        <w:tab/>
        <w:t>the criteria for camping on the old cell are no longer fulfilled (see 3GPP TS 45.008).</w:t>
      </w:r>
    </w:p>
    <w:p w14:paraId="20CFF022" w14:textId="77777777" w:rsidR="00711444" w:rsidRPr="004D0DAA" w:rsidRDefault="00711444" w:rsidP="00711444">
      <w:r w:rsidRPr="004D0DAA">
        <w:t>If PBCCH is present in the target cell, the mobile station shall delay the start of receiving information on PBCCH until the first occurrence of PSI1 in block B0. If the reception of PSI1 or PSI2 messages fails (see sub-clause 5.5.1.2) the mobile station may re-establish and continue its operation in the old cell, until the next occurrence of PSI1 in block B0, unless the mobile station is in broadcast/multicast receive mode and performs fast reception resumption (see sub-clause 8.1.6.2) of at least one MBMS session in the target cell.</w:t>
      </w:r>
    </w:p>
    <w:p w14:paraId="643C0D5C" w14:textId="77777777" w:rsidR="00711444" w:rsidRPr="004D0DAA" w:rsidRDefault="00711444" w:rsidP="00711444">
      <w:r w:rsidRPr="004D0DAA">
        <w:t>While the operation is maintained in the old cell, the mobile station may suspend its TBF(s) or suspend the monitoring of radio blocks on PCCCH and CCCH, in order to receive necessary information on BCCH in the target cell. Such suspension may be required in both packet idle and packet transfer modes, but shall not apply in broadcast/multicast receive mode. It is performed without notification to the network.</w:t>
      </w:r>
    </w:p>
    <w:p w14:paraId="6ED9676C" w14:textId="77777777" w:rsidR="00711444" w:rsidRPr="004D0DAA" w:rsidRDefault="00711444" w:rsidP="00711444">
      <w:pPr>
        <w:keepLines/>
        <w:numPr>
          <w:ilvl w:val="12"/>
          <w:numId w:val="0"/>
        </w:numPr>
      </w:pPr>
      <w:r w:rsidRPr="004D0DAA">
        <w:t>Suspension of the operation in the old cell for this purpose is allowed during the time required, for each message and according to the mobile station's multislot class, to receive the required messages on BCCH in the target cell. The allowable suspension of an uplink TBF may be extended with one block period, in case of dynamic or extended dynamic allocation, if the mobile station is unable to receive the corresponding USF due to the suspension of downlink operation.</w:t>
      </w:r>
    </w:p>
    <w:p w14:paraId="256194BE" w14:textId="77777777" w:rsidR="00711444" w:rsidRPr="004D0DAA" w:rsidRDefault="00711444" w:rsidP="00711444">
      <w:r w:rsidRPr="004D0DAA">
        <w:t>When the conditions are fulfilled to switch to the new cell, the mobile station shall abort all TBFs in progress by immediately ceasing to decode the downlink, ceasing to transmit on the uplink, stopping all RLC/MAC timers except for timers related to measurement reporting. The mobile station shall then switch to the identified specified new cell and shall obey the relevant RLC/MAC procedures on this new cell.</w:t>
      </w:r>
    </w:p>
    <w:p w14:paraId="2B941644" w14:textId="77777777" w:rsidR="00711444" w:rsidRPr="004D0DAA" w:rsidRDefault="00711444" w:rsidP="00711444">
      <w:r w:rsidRPr="004D0DAA">
        <w:t>If the old cell supports CCN, a mobile station shall, when the cell reselection has been determined for other reason than path loss criterion parameter C1 becomes negative, follow the procedures for Network Assisted Cell Change as specified in sub-clauses 5.5.1.1a.2 and 8.8.2.</w:t>
      </w:r>
    </w:p>
    <w:p w14:paraId="6B26EEFD" w14:textId="77777777" w:rsidR="00711444" w:rsidRPr="004D0DAA" w:rsidRDefault="00711444" w:rsidP="00711444">
      <w:r w:rsidRPr="004D0DAA">
        <w:t>If the old cell supports CCN, a mobile station may, when the cell reselection has been determined because the path loss criterion parameter C1 has become negative, follow the procedures for Network Assisted Cell Change as specified in sub-clauses 5.5.1.1a.2 and 8.8.2.</w:t>
      </w:r>
    </w:p>
    <w:p w14:paraId="4FAB5A44" w14:textId="77777777" w:rsidR="00711444" w:rsidRPr="004D0DAA" w:rsidRDefault="00711444" w:rsidP="00711444">
      <w:r w:rsidRPr="004D0DAA">
        <w:t>Under no circumstances and independent of whether CCN mode is supported, operations in the old cell shall be continued more than 5 s after a cell reselection has been determined.</w:t>
      </w:r>
    </w:p>
    <w:p w14:paraId="7BB2D45E" w14:textId="77777777" w:rsidR="00711444" w:rsidRPr="004D0DAA" w:rsidRDefault="00711444" w:rsidP="00711444">
      <w:pPr>
        <w:pStyle w:val="Heading4"/>
      </w:pPr>
      <w:bookmarkStart w:id="39" w:name="_Toc516669228"/>
      <w:r w:rsidRPr="004D0DAA">
        <w:t>5.5.1.1a</w:t>
      </w:r>
      <w:r w:rsidRPr="004D0DAA">
        <w:tab/>
        <w:t>Network Assisted Cell Change</w:t>
      </w:r>
      <w:bookmarkEnd w:id="39"/>
    </w:p>
    <w:p w14:paraId="168A090C" w14:textId="77777777" w:rsidR="00711444" w:rsidRPr="004D0DAA" w:rsidRDefault="00711444" w:rsidP="00711444">
      <w:r w:rsidRPr="004D0DAA">
        <w:t>The mobile station shall support the Network Assisted Cell Change procedures. The Network Assisted Cell Change consists of two independent procedures:</w:t>
      </w:r>
    </w:p>
    <w:p w14:paraId="4889BE3E" w14:textId="77777777" w:rsidR="00711444" w:rsidRPr="004D0DAA" w:rsidRDefault="00711444" w:rsidP="00711444">
      <w:pPr>
        <w:pStyle w:val="B1"/>
      </w:pPr>
      <w:r w:rsidRPr="004D0DAA">
        <w:t>-</w:t>
      </w:r>
      <w:r w:rsidRPr="004D0DAA">
        <w:tab/>
        <w:t xml:space="preserve">One procedure that can assist a mobile station in packet transfer mode or MAC-Shared state with neighbour cell system information for a GSM neighbouring cell required for initial packet access after a cell change; </w:t>
      </w:r>
    </w:p>
    <w:p w14:paraId="675422CB" w14:textId="77777777" w:rsidR="00711444" w:rsidRPr="004D0DAA" w:rsidRDefault="00711444" w:rsidP="00711444">
      <w:pPr>
        <w:pStyle w:val="B1"/>
      </w:pPr>
      <w:r w:rsidRPr="004D0DAA">
        <w:lastRenderedPageBreak/>
        <w:t>-</w:t>
      </w:r>
      <w:r w:rsidRPr="004D0DAA">
        <w:tab/>
        <w:t>one procedure in which the mobile station notifies the network when it has determined to reselect to another GSM</w:t>
      </w:r>
      <w:r w:rsidRPr="004D0DAA">
        <w:rPr>
          <w:rFonts w:hint="eastAsia"/>
          <w:lang w:eastAsia="zh-CN"/>
        </w:rPr>
        <w:t>,</w:t>
      </w:r>
      <w:r w:rsidRPr="004D0DAA">
        <w:t xml:space="preserve"> to a 3G</w:t>
      </w:r>
      <w:r w:rsidRPr="004D0DAA">
        <w:rPr>
          <w:rFonts w:hint="eastAsia"/>
          <w:lang w:eastAsia="zh-CN"/>
        </w:rPr>
        <w:t>,</w:t>
      </w:r>
      <w:r w:rsidRPr="004D0DAA">
        <w:t xml:space="preserve"> </w:t>
      </w:r>
      <w:r w:rsidRPr="004D0DAA">
        <w:rPr>
          <w:rFonts w:hint="eastAsia"/>
          <w:lang w:eastAsia="zh-CN"/>
        </w:rPr>
        <w:t xml:space="preserve">or to an E-UTRAN </w:t>
      </w:r>
      <w:r w:rsidRPr="004D0DAA">
        <w:t>cell and delays the cell re-selection (CCN mode procedures) to let the network e.g. in the case of reselection to a GSM cell, respond with neighbour cell system information.</w:t>
      </w:r>
    </w:p>
    <w:p w14:paraId="21C7B085" w14:textId="77777777" w:rsidR="00711444" w:rsidRPr="004D0DAA" w:rsidRDefault="00711444" w:rsidP="00711444">
      <w:r w:rsidRPr="004D0DAA">
        <w:t xml:space="preserve">The Network Assisted Cell Change procedures are part of the </w:t>
      </w:r>
      <w:r w:rsidRPr="004D0DAA">
        <w:rPr>
          <w:i/>
        </w:rPr>
        <w:t>GERAN Feature Package 1</w:t>
      </w:r>
      <w:r w:rsidRPr="004D0DAA">
        <w:t xml:space="preserve">. A mobile station indicating support of the </w:t>
      </w:r>
      <w:r w:rsidRPr="004D0DAA">
        <w:rPr>
          <w:i/>
        </w:rPr>
        <w:t>GERAN Feature Package 1</w:t>
      </w:r>
      <w:r w:rsidRPr="004D0DAA">
        <w:t xml:space="preserve"> in the Mobile Station Classmark 3 IE, the MS Radio Access Capability IE and the MS Radio Access Capability 2 IE supports the Network Assisted Cell Change procedures (see 3GPP TS 24.008).</w:t>
      </w:r>
    </w:p>
    <w:p w14:paraId="04CBB1F1" w14:textId="77777777" w:rsidR="00711444" w:rsidRPr="004D0DAA" w:rsidRDefault="00711444" w:rsidP="00711444">
      <w:pPr>
        <w:pStyle w:val="Heading4"/>
      </w:pPr>
      <w:bookmarkStart w:id="40" w:name="_Toc516669229"/>
      <w:r w:rsidRPr="004D0DAA">
        <w:t>5.5.1.1a.1</w:t>
      </w:r>
      <w:r w:rsidRPr="004D0DAA">
        <w:tab/>
        <w:t>Neighbour Cell System Information Distribution</w:t>
      </w:r>
      <w:bookmarkEnd w:id="40"/>
    </w:p>
    <w:p w14:paraId="157612F1" w14:textId="77777777" w:rsidR="00711444" w:rsidRPr="004D0DAA" w:rsidRDefault="00711444" w:rsidP="00711444">
      <w:r w:rsidRPr="004D0DAA">
        <w:t xml:space="preserve">The network may send GSM neighbour cell system information to a mobile station in packet transfer mode or MAC-Shared state. A mobile station, which receives this information, shall store the information for 30 seconds and during that period the information can be used for initial access in the neighbour cell (see sub-clause 8.8.1). </w:t>
      </w:r>
    </w:p>
    <w:p w14:paraId="6DC1575A" w14:textId="77777777" w:rsidR="00711444" w:rsidRPr="004D0DAA" w:rsidRDefault="00711444" w:rsidP="00711444">
      <w:pPr>
        <w:pStyle w:val="Heading4"/>
      </w:pPr>
      <w:bookmarkStart w:id="41" w:name="_Toc516669230"/>
      <w:r w:rsidRPr="004D0DAA">
        <w:t>5.5.1.1a.2</w:t>
      </w:r>
      <w:r w:rsidRPr="004D0DAA">
        <w:tab/>
        <w:t>CCN Mode</w:t>
      </w:r>
      <w:bookmarkEnd w:id="41"/>
    </w:p>
    <w:p w14:paraId="2D41138E" w14:textId="77777777" w:rsidR="00711444" w:rsidRPr="004D0DAA" w:rsidRDefault="00711444" w:rsidP="00711444">
      <w:pPr>
        <w:rPr>
          <w:i/>
        </w:rPr>
      </w:pPr>
      <w:r w:rsidRPr="004D0DAA">
        <w:t xml:space="preserve">A mobile station, which has </w:t>
      </w:r>
      <w:r w:rsidRPr="004D0DAA">
        <w:rPr>
          <w:i/>
        </w:rPr>
        <w:t>CCN Enabled</w:t>
      </w:r>
      <w:r w:rsidRPr="004D0DAA">
        <w:t>,</w:t>
      </w:r>
      <w:r w:rsidRPr="004D0DAA">
        <w:rPr>
          <w:i/>
        </w:rPr>
        <w:t xml:space="preserve"> </w:t>
      </w:r>
      <w:r w:rsidRPr="004D0DAA">
        <w:t xml:space="preserve">can enter </w:t>
      </w:r>
      <w:r w:rsidRPr="004D0DAA">
        <w:rPr>
          <w:i/>
        </w:rPr>
        <w:t>CCN Mode.</w:t>
      </w:r>
    </w:p>
    <w:p w14:paraId="3497EBCE" w14:textId="77777777" w:rsidR="00711444" w:rsidRPr="004D0DAA" w:rsidRDefault="00711444" w:rsidP="00711444">
      <w:r w:rsidRPr="004D0DAA">
        <w:t>The mobile station shall enable CCN when the following criteria are fulfilled:</w:t>
      </w:r>
    </w:p>
    <w:p w14:paraId="433E00AC" w14:textId="77777777" w:rsidR="00711444" w:rsidRPr="004D0DAA" w:rsidRDefault="00711444" w:rsidP="00711444">
      <w:pPr>
        <w:pStyle w:val="B1"/>
      </w:pPr>
      <w:r w:rsidRPr="004D0DAA">
        <w:t>-</w:t>
      </w:r>
      <w:r w:rsidRPr="004D0DAA">
        <w:tab/>
        <w:t>the mobile station is camping on a cell (see 3GPP TS 45.008); and</w:t>
      </w:r>
    </w:p>
    <w:p w14:paraId="3CACA139" w14:textId="77777777" w:rsidR="00711444" w:rsidRPr="004D0DAA" w:rsidRDefault="00711444" w:rsidP="00711444">
      <w:pPr>
        <w:pStyle w:val="B1"/>
      </w:pPr>
      <w:r w:rsidRPr="004D0DAA">
        <w:t>-</w:t>
      </w:r>
      <w:r w:rsidRPr="004D0DAA">
        <w:tab/>
        <w:t>the network indicates CCN ACTIVE/3G CCN ACTIVE/E-UTRAN CCN ACTIVE either in system information to all mobile stations in the cell or in an individual order to a certain mobile station; and</w:t>
      </w:r>
    </w:p>
    <w:p w14:paraId="45B1E046" w14:textId="77777777" w:rsidR="00711444" w:rsidRPr="004D0DAA" w:rsidRDefault="00711444" w:rsidP="00711444">
      <w:pPr>
        <w:pStyle w:val="B1"/>
      </w:pPr>
      <w:r w:rsidRPr="004D0DAA">
        <w:t>-</w:t>
      </w:r>
      <w:r w:rsidRPr="004D0DAA">
        <w:tab/>
        <w:t>the mobile station is neither in dedicated mode nor Dual Transfer Mode; and</w:t>
      </w:r>
    </w:p>
    <w:p w14:paraId="53F5ABBB" w14:textId="77777777" w:rsidR="00711444" w:rsidRPr="004D0DAA" w:rsidRDefault="00711444" w:rsidP="00711444">
      <w:pPr>
        <w:pStyle w:val="B1"/>
      </w:pPr>
      <w:r w:rsidRPr="004D0DAA">
        <w:t>-</w:t>
      </w:r>
      <w:r w:rsidRPr="004D0DAA">
        <w:tab/>
        <w:t>the mobile station is in NC0 or in NC1 mode; and</w:t>
      </w:r>
    </w:p>
    <w:p w14:paraId="12C9F7A8" w14:textId="77777777" w:rsidR="00711444" w:rsidRPr="004D0DAA" w:rsidRDefault="00711444" w:rsidP="00711444">
      <w:pPr>
        <w:pStyle w:val="B1"/>
      </w:pPr>
      <w:r w:rsidRPr="004D0DAA">
        <w:t>-</w:t>
      </w:r>
      <w:r w:rsidRPr="004D0DAA">
        <w:tab/>
        <w:t>the mobile station is in Packet Transfer mode.</w:t>
      </w:r>
    </w:p>
    <w:p w14:paraId="692EAFE3" w14:textId="77777777" w:rsidR="00711444" w:rsidRPr="004D0DAA" w:rsidRDefault="00711444" w:rsidP="00711444">
      <w:r w:rsidRPr="004D0DAA">
        <w:t>The CCN procedures and the criteria for entering and leaving CCN mode are specified in sub-clauses 8.8.2 and 8.8.3.</w:t>
      </w:r>
    </w:p>
    <w:p w14:paraId="3F1E78B9" w14:textId="77777777" w:rsidR="00711444" w:rsidRPr="004D0DAA" w:rsidRDefault="00711444" w:rsidP="00711444">
      <w:pPr>
        <w:pStyle w:val="Heading4"/>
      </w:pPr>
      <w:bookmarkStart w:id="42" w:name="_Toc516669231"/>
      <w:r w:rsidRPr="004D0DAA">
        <w:t>5.5.1.1b</w:t>
      </w:r>
      <w:r w:rsidRPr="004D0DAA">
        <w:tab/>
        <w:t>Release of RR connection</w:t>
      </w:r>
      <w:bookmarkEnd w:id="42"/>
    </w:p>
    <w:p w14:paraId="0F0A2235" w14:textId="77777777" w:rsidR="00711444" w:rsidRPr="004D0DAA" w:rsidRDefault="00711444" w:rsidP="00711444">
      <w:pPr>
        <w:pStyle w:val="Heading5"/>
      </w:pPr>
      <w:bookmarkStart w:id="43" w:name="_Toc516669232"/>
      <w:r w:rsidRPr="004D0DAA">
        <w:t>5.5.1.1b.1</w:t>
      </w:r>
      <w:r w:rsidRPr="004D0DAA">
        <w:tab/>
        <w:t>General</w:t>
      </w:r>
      <w:bookmarkEnd w:id="43"/>
    </w:p>
    <w:p w14:paraId="12CF0C4B" w14:textId="77777777" w:rsidR="00711444" w:rsidRPr="004D0DAA" w:rsidRDefault="00711444" w:rsidP="00711444">
      <w:r w:rsidRPr="004D0DAA">
        <w:t xml:space="preserve">After the release of an RR connection (see 3GPP TS 44.018, </w:t>
      </w:r>
      <w:r w:rsidRPr="004D0DAA">
        <w:rPr>
          <w:i/>
        </w:rPr>
        <w:t>Normal release procedure</w:t>
      </w:r>
      <w:r w:rsidRPr="004D0DAA">
        <w:t xml:space="preserve"> and </w:t>
      </w:r>
      <w:r w:rsidRPr="004D0DAA">
        <w:rPr>
          <w:i/>
        </w:rPr>
        <w:t>Abnormal cases</w:t>
      </w:r>
      <w:r w:rsidRPr="004D0DAA">
        <w:t>), if the mobile station during the RR connection is unable to monitor the system information broadcast on BCCH or PBCCH (i.e. GPRS class B or GPRS class</w:t>
      </w:r>
      <w:r w:rsidRPr="004D0DAA">
        <w:rPr>
          <w:sz w:val="16"/>
        </w:rPr>
        <w:t xml:space="preserve"> </w:t>
      </w:r>
      <w:r w:rsidRPr="004D0DAA">
        <w:t>A mode of operation using DTM), the mobile station shall acquire the system information broadcast in the serving cell. The acquisition of system information shall be performed according to the requirements in sub-clause 5.5.1.2 (PBCCH present in the cell) or sub-clause 5.5.1.3 (PBCCH not present in the cell). The mobile station shall not attempt a packet access or accept a packet downlink assignment before those requirements are fulfilled.</w:t>
      </w:r>
    </w:p>
    <w:p w14:paraId="2C176633" w14:textId="77777777" w:rsidR="00711444" w:rsidRPr="004D0DAA" w:rsidRDefault="00711444" w:rsidP="00711444">
      <w:r w:rsidRPr="004D0DAA">
        <w:t>The following exceptions, stated in sub-clauses 5.5.1.1b.2 to 5.5.1.1b.</w:t>
      </w:r>
      <w:r w:rsidRPr="004D0DAA">
        <w:rPr>
          <w:rFonts w:hint="eastAsia"/>
          <w:lang w:eastAsia="ko-KR"/>
        </w:rPr>
        <w:t xml:space="preserve"> 5</w:t>
      </w:r>
      <w:r w:rsidRPr="004D0DAA">
        <w:t>, may apply.</w:t>
      </w:r>
    </w:p>
    <w:p w14:paraId="18B87AE9" w14:textId="77777777" w:rsidR="00711444" w:rsidRPr="004D0DAA" w:rsidRDefault="00711444" w:rsidP="00711444">
      <w:pPr>
        <w:pStyle w:val="Heading5"/>
      </w:pPr>
      <w:bookmarkStart w:id="44" w:name="_Toc516669233"/>
      <w:r w:rsidRPr="004D0DAA">
        <w:t>5.5.1.1b.2</w:t>
      </w:r>
      <w:r w:rsidRPr="004D0DAA">
        <w:tab/>
        <w:t>Continuation of PBCCH information</w:t>
      </w:r>
      <w:bookmarkEnd w:id="44"/>
    </w:p>
    <w:p w14:paraId="785001F3" w14:textId="77777777" w:rsidR="00711444" w:rsidRPr="004D0DAA" w:rsidRDefault="00711444" w:rsidP="00711444">
      <w:r w:rsidRPr="004D0DAA">
        <w:t xml:space="preserve">At the establishment of an RR connection and if PBCCH is present in the cell, the mobile station may keep the PSI messages received on PBCCH before the RR connection establishment. </w:t>
      </w:r>
    </w:p>
    <w:p w14:paraId="3067C828" w14:textId="77777777" w:rsidR="00711444" w:rsidRPr="004D0DAA" w:rsidRDefault="00711444" w:rsidP="00711444">
      <w:r w:rsidRPr="004D0DAA">
        <w:t>If the RR connection is established, maintained and released in the same serving cell and the MS has received PSI14 messages or received and acted upon PSI1 messages during dual transfer mode at least every 30 seconds such that</w:t>
      </w:r>
    </w:p>
    <w:p w14:paraId="18766A32" w14:textId="77777777" w:rsidR="00711444" w:rsidRPr="004D0DAA" w:rsidRDefault="00711444" w:rsidP="00711444">
      <w:pPr>
        <w:pStyle w:val="B1"/>
      </w:pPr>
      <w:r w:rsidRPr="004D0DAA">
        <w:t>-</w:t>
      </w:r>
      <w:r w:rsidRPr="004D0DAA">
        <w:tab/>
        <w:t>for PSI1, the value of the PBCCH_CHANGE_MARK has indicated no change in the PSI messages (see sub-clause 5.5.1.2.1), and</w:t>
      </w:r>
    </w:p>
    <w:p w14:paraId="11D4B478" w14:textId="77777777" w:rsidR="00711444" w:rsidRPr="004D0DAA" w:rsidRDefault="00711444" w:rsidP="00711444">
      <w:pPr>
        <w:pStyle w:val="B1"/>
      </w:pPr>
      <w:r w:rsidRPr="004D0DAA">
        <w:t>-</w:t>
      </w:r>
      <w:r w:rsidRPr="004D0DAA">
        <w:tab/>
        <w:t xml:space="preserve">for PSI14, all instances of the PSI14 messages indicate no change in the contents of PSI messages, </w:t>
      </w:r>
    </w:p>
    <w:p w14:paraId="281C0AD4" w14:textId="77777777" w:rsidR="00711444" w:rsidRPr="004D0DAA" w:rsidRDefault="00711444" w:rsidP="00711444">
      <w:r w:rsidRPr="004D0DAA">
        <w:lastRenderedPageBreak/>
        <w:t xml:space="preserve">the mobile station may resume the supervision of PBCCH_CHANGE_MARK and update of PBCCH information, defined in sub-clause 5.5.1.2.1, and need not initiate a </w:t>
      </w:r>
      <w:r w:rsidRPr="004D0DAA">
        <w:rPr>
          <w:i/>
        </w:rPr>
        <w:t>complete acquisition</w:t>
      </w:r>
      <w:r w:rsidRPr="004D0DAA">
        <w:t xml:space="preserve"> of PBCCH information, as specified in sub-clause 5.5.1.2.</w:t>
      </w:r>
    </w:p>
    <w:p w14:paraId="56D83970" w14:textId="77777777" w:rsidR="00711444" w:rsidRPr="004D0DAA" w:rsidRDefault="00711444" w:rsidP="00711444">
      <w:pPr>
        <w:pStyle w:val="Heading5"/>
      </w:pPr>
      <w:bookmarkStart w:id="45" w:name="_Toc516669234"/>
      <w:r w:rsidRPr="004D0DAA">
        <w:t>5.5.1.1b.3</w:t>
      </w:r>
      <w:r w:rsidRPr="004D0DAA">
        <w:tab/>
        <w:t>Continuation of BCCH information</w:t>
      </w:r>
      <w:bookmarkEnd w:id="45"/>
    </w:p>
    <w:p w14:paraId="40205009" w14:textId="77777777" w:rsidR="00711444" w:rsidRPr="004D0DAA" w:rsidRDefault="00711444" w:rsidP="00711444">
      <w:r w:rsidRPr="004D0DAA">
        <w:t xml:space="preserve">At the establishment of an RR connection and if PBCCH is not present in the cell, the mobile station may keep the SI messages received on BCCH before the RR connection establishment. </w:t>
      </w:r>
    </w:p>
    <w:p w14:paraId="32AB34A6" w14:textId="77777777" w:rsidR="00711444" w:rsidRPr="004D0DAA" w:rsidRDefault="00711444" w:rsidP="00711444">
      <w:r w:rsidRPr="004D0DAA">
        <w:t xml:space="preserve">If the RR connection is established, maintained and released in the same serving cell and the MS has received PSI14 messages or received and acted upon PSI13/SI13 messages during dual transfer mode at least every 30 seconds such that the value of the BCCH_CHANGE_MARK has indicated no change in the SI messages (see sub-clause 5.5.1.3.1), the mobile station may resume the supervision of BCCH_CHANGE_MARK and update of BCCH information, defined in sub-clause 5.5.1.3.1, and need not initiate a </w:t>
      </w:r>
      <w:r w:rsidRPr="004D0DAA">
        <w:rPr>
          <w:i/>
        </w:rPr>
        <w:t>complete acquisition</w:t>
      </w:r>
      <w:r w:rsidRPr="004D0DAA">
        <w:t xml:space="preserve"> of BCCH information, as specified in sub-clause 5.5.1.3.</w:t>
      </w:r>
    </w:p>
    <w:p w14:paraId="6D0F93CD" w14:textId="77777777" w:rsidR="00711444" w:rsidRPr="004D0DAA" w:rsidRDefault="00711444" w:rsidP="00711444">
      <w:pPr>
        <w:pStyle w:val="Heading5"/>
      </w:pPr>
      <w:bookmarkStart w:id="46" w:name="_Toc516669235"/>
      <w:r w:rsidRPr="004D0DAA">
        <w:t>5.5.1.1b.4</w:t>
      </w:r>
      <w:r w:rsidRPr="004D0DAA">
        <w:tab/>
        <w:t>Receipt of PSI14 message in dual transfer mode</w:t>
      </w:r>
      <w:bookmarkEnd w:id="46"/>
    </w:p>
    <w:p w14:paraId="09A614F7" w14:textId="77777777" w:rsidR="00711444" w:rsidRPr="004D0DAA" w:rsidRDefault="00711444" w:rsidP="00711444">
      <w:r w:rsidRPr="004D0DAA">
        <w:t>In dual transfer mode, the mobile station may receive the PSI14 message on PACCH in the serving cell. If the RR connection is released in the same serving cell within 30 s after the PSI14 message was last received, the mobile station may use the PSI14 message as a substitute for the SI13 message after the release of the RR connection, until the SI13 message has been received or the mobile station starts to receive information on PBCCH.</w:t>
      </w:r>
    </w:p>
    <w:p w14:paraId="437EF403" w14:textId="77777777" w:rsidR="00711444" w:rsidRPr="004D0DAA" w:rsidRDefault="00711444" w:rsidP="00711444">
      <w:r w:rsidRPr="004D0DAA">
        <w:t>The presence of a PBCCH in the cell is indicated by a PBCCH description in the PSI14 message. If the message does not contain the PBCCH description, the mobile station shall assume that PBCCH is not present in the cell.</w:t>
      </w:r>
    </w:p>
    <w:p w14:paraId="7863FE57" w14:textId="77777777" w:rsidR="00711444" w:rsidRPr="004D0DAA" w:rsidRDefault="00711444" w:rsidP="00711444">
      <w:r w:rsidRPr="004D0DAA">
        <w:t xml:space="preserve">After the release of the RR connection and if PBCCH is present in the cell, the mobile station shall perform a </w:t>
      </w:r>
      <w:r w:rsidRPr="004D0DAA">
        <w:rPr>
          <w:i/>
        </w:rPr>
        <w:t>complete acquisition</w:t>
      </w:r>
      <w:r w:rsidRPr="004D0DAA">
        <w:t xml:space="preserve"> of PBCCH information, as defined in sub-clause 5.5.1.2.</w:t>
      </w:r>
    </w:p>
    <w:p w14:paraId="2F2134FC" w14:textId="77777777" w:rsidR="00711444" w:rsidRPr="004D0DAA" w:rsidRDefault="00711444" w:rsidP="00711444">
      <w:r w:rsidRPr="004D0DAA">
        <w:t xml:space="preserve">After the release of the RR connection and if PBCCH is not present in the cell, the mobile station shall perform a </w:t>
      </w:r>
      <w:r w:rsidRPr="004D0DAA">
        <w:rPr>
          <w:i/>
        </w:rPr>
        <w:t>complete acquisition</w:t>
      </w:r>
      <w:r w:rsidRPr="004D0DAA">
        <w:t xml:space="preserve"> of BCCH information, as defined in sub-clause 5.5.1.3. The mobile station shall attempt to receive the SI13 (or PSI13) message within 30 s after the last receipt of the PSI14 message.</w:t>
      </w:r>
    </w:p>
    <w:p w14:paraId="27FA783F" w14:textId="77777777" w:rsidR="00711444" w:rsidRPr="004D0DAA" w:rsidRDefault="00711444" w:rsidP="00711444">
      <w:pPr>
        <w:pStyle w:val="Heading5"/>
      </w:pPr>
      <w:bookmarkStart w:id="47" w:name="_Toc516669236"/>
      <w:r w:rsidRPr="004D0DAA">
        <w:t>5.5.1.1b.5</w:t>
      </w:r>
      <w:r w:rsidRPr="004D0DAA">
        <w:tab/>
        <w:t>Acquisition of system information for enhanced DTM CS release procedure in dual transfer mode</w:t>
      </w:r>
      <w:bookmarkEnd w:id="47"/>
    </w:p>
    <w:p w14:paraId="4EE3D46A" w14:textId="77777777" w:rsidR="00711444" w:rsidRPr="004D0DAA" w:rsidRDefault="00711444" w:rsidP="00711444">
      <w:r w:rsidRPr="004D0DAA">
        <w:t xml:space="preserve">If the mobile station and the network support enhanced DTM CS release procedure, the network may delay the release of the RR connection until the mobile station has received the needed system information, in order to maintain the radio resources on the PDCH(s) after the release of the RR connection. </w:t>
      </w:r>
    </w:p>
    <w:p w14:paraId="1558C3F2" w14:textId="77777777" w:rsidR="00711444" w:rsidRPr="004D0DAA" w:rsidRDefault="00711444" w:rsidP="00711444">
      <w:r w:rsidRPr="004D0DAA">
        <w:t>The network initiates enhanced DTM CS release by sending the PACKET CS RELEASE INDICATION message on PACCH with the ENHANCED_DTM_CS_RELEASE_INDICATION parameter set to indicate that the RR connection is to be released (i.e. upon subsequent transmission of the CHANNEL RELEASE message to the mobile station) and starts timer T3197.</w:t>
      </w:r>
    </w:p>
    <w:p w14:paraId="0961E1CD" w14:textId="77777777" w:rsidR="00711444" w:rsidRPr="004D0DAA" w:rsidRDefault="00711444" w:rsidP="00711444">
      <w:r w:rsidRPr="004D0DAA">
        <w:t>On receipt of PACKET CS RELEASE INDICATION message with the ENHANCED_DTM_CS_RELEASE_INDICATION parameter set to indicate that the RR connection is to be released, the mobile station shall send the PACKET SI STATUS (respectively PACKET PSI STATUS if the PBCCH is present) message on PACCH to indicate which system information messages were stored while in the dual transfer mode by the mobile station. The following system information (respectively packet system information) messages are required to maintain radio resources and enter packet transfer mode after the release of the RR connection:</w:t>
      </w:r>
    </w:p>
    <w:p w14:paraId="0B202282" w14:textId="77777777" w:rsidR="00711444" w:rsidRPr="004D0DAA" w:rsidRDefault="00711444" w:rsidP="00711444">
      <w:pPr>
        <w:pStyle w:val="B1"/>
      </w:pPr>
      <w:r w:rsidRPr="004D0DAA">
        <w:t>-</w:t>
      </w:r>
      <w:r w:rsidRPr="004D0DAA">
        <w:tab/>
        <w:t xml:space="preserve">PSI1, PSI2 and PSI14 in the </w:t>
      </w:r>
      <w:r w:rsidRPr="004D0DAA">
        <w:rPr>
          <w:i/>
        </w:rPr>
        <w:t>Received PSI Message List</w:t>
      </w:r>
      <w:r w:rsidRPr="004D0DAA">
        <w:t>; or respectively</w:t>
      </w:r>
    </w:p>
    <w:p w14:paraId="6AD88F12" w14:textId="77777777" w:rsidR="00711444" w:rsidRPr="004D0DAA" w:rsidRDefault="00711444" w:rsidP="00711444">
      <w:pPr>
        <w:pStyle w:val="B1"/>
      </w:pPr>
      <w:r w:rsidRPr="004D0DAA">
        <w:t>-</w:t>
      </w:r>
      <w:r w:rsidRPr="004D0DAA">
        <w:tab/>
        <w:t xml:space="preserve">SI13, SI3 and SI1, if present, in the </w:t>
      </w:r>
      <w:r w:rsidRPr="004D0DAA">
        <w:rPr>
          <w:i/>
        </w:rPr>
        <w:t>Received SI Message List</w:t>
      </w:r>
      <w:r w:rsidRPr="004D0DAA">
        <w:t>.</w:t>
      </w:r>
    </w:p>
    <w:p w14:paraId="10F58813" w14:textId="77777777" w:rsidR="00711444" w:rsidRPr="004D0DAA" w:rsidRDefault="00711444" w:rsidP="00711444">
      <w:r w:rsidRPr="004D0DAA">
        <w:t>The PSI (respectively SI) messages listed above shall be indicated as the first PSI (respectively SI) messages indicated in the PACKET PSI STATUS (respectively PACKET SI STATUS) messages. If other PSI (respectively SI) messages are indicated in the PACKET PSI STATUS (respectively PACKET SI STATUS) message, the priority order defined in Table 5.5.1.4.3.1 shall apply.</w:t>
      </w:r>
    </w:p>
    <w:p w14:paraId="3671EEFC" w14:textId="77777777" w:rsidR="00711444" w:rsidRPr="004D0DAA" w:rsidRDefault="00711444" w:rsidP="00711444">
      <w:r w:rsidRPr="004D0DAA">
        <w:t xml:space="preserve">In case the mobile station has no information available to determine whether PBCCH is allocated in the cell or not, the mobile station shall transmit the PACKET SI STATUS message where an empty </w:t>
      </w:r>
      <w:r w:rsidRPr="004D0DAA">
        <w:rPr>
          <w:i/>
          <w:iCs/>
        </w:rPr>
        <w:t>Received SI Message List</w:t>
      </w:r>
      <w:r w:rsidRPr="004D0DAA">
        <w:t xml:space="preserve"> is indicated. </w:t>
      </w:r>
      <w:r w:rsidRPr="004D0DAA">
        <w:lastRenderedPageBreak/>
        <w:t>Upon reception of such message, the network shall determine that the mobile station has no knowledge whether PBCCH is present in the cell. In this case the network shall start transmitting the PSI messages if PBCCH is present in the cell or, otherwise, SI messages.</w:t>
      </w:r>
    </w:p>
    <w:p w14:paraId="4BEA0839" w14:textId="77777777" w:rsidR="00711444" w:rsidRPr="004D0DAA" w:rsidRDefault="00711444" w:rsidP="00711444">
      <w:r w:rsidRPr="004D0DAA">
        <w:t xml:space="preserve">The mobile station may request the release of the RR connection and packet resources (e.g. if combined RAU procedure shall be performed after the release of the RR connection) with </w:t>
      </w:r>
      <w:r w:rsidRPr="004D0DAA">
        <w:rPr>
          <w:i/>
          <w:iCs/>
        </w:rPr>
        <w:t>PS_REL_REQ</w:t>
      </w:r>
      <w:r w:rsidRPr="004D0DAA">
        <w:t xml:space="preserve"> field sent in the PACKET SI STATUS (respectively PACKET PSI STATUS) message.</w:t>
      </w:r>
    </w:p>
    <w:p w14:paraId="6C4A41E7" w14:textId="77777777" w:rsidR="00711444" w:rsidRPr="004D0DAA" w:rsidRDefault="00711444" w:rsidP="00711444">
      <w:r w:rsidRPr="004D0DAA">
        <w:t>On receipt of the PACKET SI STATUS (respectively PACKET PSI STATUS) message the network shall send the missing system information messages by using the PACKET SERVING CELL SI message or it shall send respectively the corresponding packet system information messages.</w:t>
      </w:r>
    </w:p>
    <w:p w14:paraId="77CF3AE4" w14:textId="77777777" w:rsidR="00711444" w:rsidRPr="004D0DAA" w:rsidRDefault="00711444" w:rsidP="00711444">
      <w:r w:rsidRPr="004D0DAA">
        <w:t>The mobile station is allowed to send the PACKET SI STATUS (respectively PACKET PSI STATUS) message twice and the second sending occurrence of this message shall take place at the first suitable opportunity at least one second after the first transmission of that message. Whenever the mobile station has received all required system information (respectively packet system information) messages, it shall send the PACKET SI STATUS (respectively PACKET PSI STATUS) message at the first suitable opportunity, even if it has already sent the PACKET SI STATUS (respectively PACKET PSI STATUS) twice.</w:t>
      </w:r>
    </w:p>
    <w:p w14:paraId="64134652" w14:textId="77777777" w:rsidR="00711444" w:rsidRPr="004D0DAA" w:rsidRDefault="00711444" w:rsidP="00711444">
      <w:r w:rsidRPr="004D0DAA">
        <w:t>When the network receives the PACKET SI STATUS (respectively PACKET PSI STATUS) message indicating that all required system information (respectively packet system information) messages have been received by the mobile station it shall stop timer T3197, start timer T3109 (see 3GPP TS 44.018) and send the CHANNEL RELEASE message on the main DCCH indicating that the mobile station is allowed to continue in packet transfer mode after the release of the RR connection (see 3GPP TS 44.018). Upon reception of the CHANNEL RELEASE message the mobile station shall release the RR connection, continue in packet transfer mode and re-configure the packet resources (if provided by the PACKET CS RELEASE INDICATION message).</w:t>
      </w:r>
    </w:p>
    <w:p w14:paraId="527D9D9E" w14:textId="77777777" w:rsidR="00711444" w:rsidRPr="004D0DAA" w:rsidRDefault="00711444" w:rsidP="00711444">
      <w:r w:rsidRPr="004D0DAA">
        <w:t>If continuous timing advance parameters are provided to the mobile station in the PACKET CS RELEASE INDICATION message, the mobile station shall start the continuous timing advance procedure upon entering packet transfer mode. The mobile station shall use the last timing advance value received whilst in dual transfer mode until a new value of the timing advance is provided to the mobile station according to the procedures defined for packet transfer mode.</w:t>
      </w:r>
    </w:p>
    <w:p w14:paraId="38148A78" w14:textId="77777777" w:rsidR="00711444" w:rsidRPr="004D0DAA" w:rsidRDefault="00711444" w:rsidP="00711444">
      <w:r w:rsidRPr="004D0DAA">
        <w:t>If timer T3197 expires before the network receives the PACKET SI STATUS (respectively PACKET PSI STATUS) message indicating that all required system information (respectively packet system information) messages have been received by the mobile station, the network shall release the RR connection by sending the CHANNEL RELEASE message on the main DCCH indicating that the mobile station is not allowed to continue in packet transfer mode after the release of the RR connection (see 3GPP TS 44.018).</w:t>
      </w:r>
    </w:p>
    <w:p w14:paraId="0710EFCB" w14:textId="77777777" w:rsidR="00711444" w:rsidRPr="004D0DAA" w:rsidRDefault="00711444" w:rsidP="00711444">
      <w:pPr>
        <w:pStyle w:val="Heading4"/>
      </w:pPr>
      <w:bookmarkStart w:id="48" w:name="_Toc516669237"/>
      <w:r w:rsidRPr="004D0DAA">
        <w:t>5.5.1.1c</w:t>
      </w:r>
      <w:r w:rsidRPr="004D0DAA">
        <w:tab/>
        <w:t>Inter-RAT cell re-selection based on priority information</w:t>
      </w:r>
      <w:bookmarkEnd w:id="48"/>
    </w:p>
    <w:p w14:paraId="2FCBFC30" w14:textId="77777777" w:rsidR="00711444" w:rsidRPr="004D0DAA" w:rsidRDefault="00711444" w:rsidP="00711444">
      <w:pPr>
        <w:pStyle w:val="Heading5"/>
      </w:pPr>
      <w:bookmarkStart w:id="49" w:name="_Toc516669238"/>
      <w:r w:rsidRPr="004D0DAA">
        <w:t>5.5.1.1c.1</w:t>
      </w:r>
      <w:r w:rsidRPr="004D0DAA">
        <w:tab/>
        <w:t>General</w:t>
      </w:r>
      <w:bookmarkEnd w:id="49"/>
    </w:p>
    <w:p w14:paraId="3F96952E" w14:textId="77777777" w:rsidR="00711444" w:rsidRPr="004D0DAA" w:rsidRDefault="00711444" w:rsidP="00711444">
      <w:r w:rsidRPr="004D0DAA">
        <w:t>The network may provide priority information to enable priority-based cell reselection (see 3GPP TS 45.008). Inter-RAT cell reselection based on priority information applies only in case of autonomous cell reselection.</w:t>
      </w:r>
    </w:p>
    <w:p w14:paraId="0EE5D417" w14:textId="77777777" w:rsidR="00711444" w:rsidRPr="004D0DAA" w:rsidRDefault="00711444" w:rsidP="00711444">
      <w:r w:rsidRPr="004D0DAA">
        <w:t xml:space="preserve">Two sets of priorities are defined for inter-RAT cell re-selection based on priority information: common priorities (see sub-clause 5.5.1.1c.2) and individual priorities (see sub-clause 5.5.1.1c.3). The mobile station shall delete all priorities when switched off. </w:t>
      </w:r>
    </w:p>
    <w:p w14:paraId="220629AF" w14:textId="77777777" w:rsidR="00711444" w:rsidRPr="004D0DAA" w:rsidRDefault="00711444" w:rsidP="00711444">
      <w:r w:rsidRPr="004D0DAA">
        <w:t xml:space="preserve">While providing common or individual priorities, the network shall ensure that the GERAN priority value is different from all E-UTRAN priority values and from all UTRAN priority values, and that all UTRAN priority values are different from all E-UTRAN priority values. In addition, if for some E-UTRAN frequencies THRESH_E-UTRAN_high_Q is provided in the </w:t>
      </w:r>
      <w:r w:rsidRPr="004D0DAA">
        <w:rPr>
          <w:i/>
        </w:rPr>
        <w:t>Enhanced Cell Reselection Parameters Description</w:t>
      </w:r>
      <w:r w:rsidRPr="004D0DAA">
        <w:t xml:space="preserve"> IE in the PACKET MEASUREMENT ORDER message, the network shall ensure that the priority value for any frequency for which THRESH_E-UTRAN_high_Q is provided is different from the priority value for all frequencies for which THRESH_E-UTRAN_high_Q is not provided.</w:t>
      </w:r>
    </w:p>
    <w:p w14:paraId="6179E24F" w14:textId="77777777" w:rsidR="00711444" w:rsidRPr="004D0DAA" w:rsidRDefault="00711444" w:rsidP="00711444">
      <w:r w:rsidRPr="004D0DAA">
        <w:t>The mobile station shall determine each set, considering only individual priorities (respectively common priorities) when building the set of individual (respectively common) priorities. The mobile station shall perform the following steps, in the specified order:</w:t>
      </w:r>
    </w:p>
    <w:p w14:paraId="1BEBD255" w14:textId="77777777" w:rsidR="00711444" w:rsidRPr="004D0DAA" w:rsidRDefault="00711444" w:rsidP="00711444">
      <w:pPr>
        <w:pStyle w:val="B1"/>
      </w:pPr>
      <w:r w:rsidRPr="004D0DAA">
        <w:lastRenderedPageBreak/>
        <w:t>-</w:t>
      </w:r>
      <w:r w:rsidRPr="004D0DAA">
        <w:tab/>
        <w:t>If the same priority value is assigned to GERAN and to one or more UTRAN or E-UTRAN frequencies then all such UTRAN and E-UTRAN priority values are considered as not in the set of priorities.</w:t>
      </w:r>
    </w:p>
    <w:p w14:paraId="40F0D45B" w14:textId="77777777" w:rsidR="00711444" w:rsidRPr="004D0DAA" w:rsidRDefault="00711444" w:rsidP="00711444">
      <w:pPr>
        <w:pStyle w:val="B1"/>
      </w:pPr>
      <w:r w:rsidRPr="004D0DAA">
        <w:t>-</w:t>
      </w:r>
      <w:r w:rsidRPr="004D0DAA">
        <w:tab/>
        <w:t>If the same priority value is assigned to one or more UTRAN frequencies and one or more E-UTRAN frequencies, then all such priority values are considered as not in the set of priorities.</w:t>
      </w:r>
    </w:p>
    <w:p w14:paraId="720F79DA" w14:textId="77777777" w:rsidR="00711444" w:rsidRPr="004D0DAA" w:rsidRDefault="00711444" w:rsidP="00711444">
      <w:pPr>
        <w:pStyle w:val="B1"/>
      </w:pPr>
      <w:r w:rsidRPr="004D0DAA">
        <w:t>-</w:t>
      </w:r>
      <w:r w:rsidRPr="004D0DAA">
        <w:tab/>
        <w:t>If the same priority value is assigned to one or more E-UTRAN frequencies for which THRESH_E-UTRAN_high_Q is provided and one or more E-UTRAN frequencies for which THRESH_E-UTRAN_high_Q is not provided then all such priority values are considered as not in the set of priorities.</w:t>
      </w:r>
    </w:p>
    <w:p w14:paraId="56C29562" w14:textId="77777777" w:rsidR="00711444" w:rsidRPr="004D0DAA" w:rsidRDefault="00711444" w:rsidP="00711444">
      <w:pPr>
        <w:pStyle w:val="NO"/>
      </w:pPr>
      <w:r w:rsidRPr="004D0DAA">
        <w:t>NOTE 1:</w:t>
      </w:r>
      <w:r w:rsidRPr="004D0DAA">
        <w:tab/>
        <w:t>These steps mean that if, for example, there are two UTRAN priority values, one E-UTRAN priority value (for a frequency for which THRESH_E-UTRAN_high_Q is provided) and one E-UTRAN priority value (for a frequency for which THRESH_E-UTRAN_high_Q is not provided) that are all the same, then all four priority values are considered as not in the set of priorities.</w:t>
      </w:r>
    </w:p>
    <w:p w14:paraId="01E9ADBE" w14:textId="77777777" w:rsidR="00711444" w:rsidRPr="004D0DAA" w:rsidRDefault="00711444" w:rsidP="00711444">
      <w:r w:rsidRPr="004D0DAA">
        <w:t>A set of individual priorities is valid if it contains at least one priority.</w:t>
      </w:r>
    </w:p>
    <w:p w14:paraId="7CBAFD07" w14:textId="77777777" w:rsidR="00711444" w:rsidRPr="004D0DAA" w:rsidRDefault="00711444" w:rsidP="00711444">
      <w:r w:rsidRPr="004D0DAA">
        <w:t>A set of common priorities is valid if both of the following conditions are met:</w:t>
      </w:r>
    </w:p>
    <w:p w14:paraId="2C89FFCA" w14:textId="77777777" w:rsidR="00711444" w:rsidRPr="004D0DAA" w:rsidRDefault="00711444" w:rsidP="00711444">
      <w:pPr>
        <w:pStyle w:val="B1"/>
      </w:pPr>
      <w:r w:rsidRPr="004D0DAA">
        <w:t>-</w:t>
      </w:r>
      <w:r w:rsidRPr="004D0DAA">
        <w:tab/>
        <w:t>The set of priorities includes a priority for GERAN;</w:t>
      </w:r>
    </w:p>
    <w:p w14:paraId="4526B7BB" w14:textId="77777777" w:rsidR="00711444" w:rsidRPr="004D0DAA" w:rsidRDefault="00711444" w:rsidP="00711444">
      <w:pPr>
        <w:pStyle w:val="B1"/>
      </w:pPr>
      <w:r w:rsidRPr="004D0DAA">
        <w:t>-</w:t>
      </w:r>
      <w:r w:rsidRPr="004D0DAA">
        <w:tab/>
        <w:t>The mobile station does not have a valid set of individual priorities.</w:t>
      </w:r>
    </w:p>
    <w:p w14:paraId="7963687B" w14:textId="77777777" w:rsidR="00711444" w:rsidRPr="004D0DAA" w:rsidRDefault="00711444" w:rsidP="00711444">
      <w:r w:rsidRPr="004D0DAA">
        <w:t>If the mobile station has a valid set of priorities, the priorities in this set shall be used for priority-based reselection as specified in 3GPP TS 45.008.</w:t>
      </w:r>
    </w:p>
    <w:p w14:paraId="75AC37EF" w14:textId="77777777" w:rsidR="00711444" w:rsidRPr="004D0DAA" w:rsidRDefault="00711444" w:rsidP="00711444">
      <w:pPr>
        <w:pStyle w:val="NO"/>
      </w:pPr>
      <w:r w:rsidRPr="004D0DAA">
        <w:t>NOTE 2:  It is possible that individual priorities inherited from UTRAN or E-UTRAN (see sub-clause 5.5.1.1c.3) do not contain a priority for GERAN.</w:t>
      </w:r>
    </w:p>
    <w:p w14:paraId="6AEAB266" w14:textId="77777777" w:rsidR="00711444" w:rsidRPr="004D0DAA" w:rsidRDefault="00711444" w:rsidP="00711444">
      <w:pPr>
        <w:pStyle w:val="Heading5"/>
      </w:pPr>
      <w:bookmarkStart w:id="50" w:name="_Toc516669239"/>
      <w:r w:rsidRPr="004D0DAA">
        <w:t>5.5.1.1c.2</w:t>
      </w:r>
      <w:r w:rsidRPr="004D0DAA">
        <w:tab/>
        <w:t>Common priorities information</w:t>
      </w:r>
      <w:bookmarkEnd w:id="50"/>
    </w:p>
    <w:p w14:paraId="48CAE685" w14:textId="77777777" w:rsidR="00711444" w:rsidRPr="004D0DAA" w:rsidRDefault="00711444" w:rsidP="00711444">
      <w:pPr>
        <w:tabs>
          <w:tab w:val="left" w:pos="9127"/>
        </w:tabs>
      </w:pPr>
      <w:r w:rsidRPr="004D0DAA">
        <w:t>The mobile station may receive common priorities information as specified in 3GPP TS 44.018.</w:t>
      </w:r>
    </w:p>
    <w:p w14:paraId="2AFA52B6" w14:textId="77777777" w:rsidR="00711444" w:rsidRPr="004D0DAA" w:rsidRDefault="00711444" w:rsidP="00711444">
      <w:pPr>
        <w:rPr>
          <w:lang w:eastAsia="en-GB"/>
        </w:rPr>
      </w:pPr>
      <w:r w:rsidRPr="004D0DAA">
        <w:rPr>
          <w:lang w:eastAsia="en-GB"/>
        </w:rPr>
        <w:t xml:space="preserve">In addition, a mobile station may receive common priorities information in the PACKET MEASUREMENT ORDER message in the </w:t>
      </w:r>
      <w:r w:rsidRPr="004D0DAA">
        <w:rPr>
          <w:i/>
          <w:lang w:eastAsia="en-GB"/>
        </w:rPr>
        <w:t xml:space="preserve">Priority and E-UTRAN Parameters Description </w:t>
      </w:r>
      <w:r w:rsidRPr="004D0DAA">
        <w:rPr>
          <w:lang w:eastAsia="en-GB"/>
        </w:rPr>
        <w:t xml:space="preserve">IE, or for a mobile station supporting extended EARFCNs, in the </w:t>
      </w:r>
      <w:r w:rsidRPr="004D0DAA">
        <w:rPr>
          <w:i/>
          <w:lang w:eastAsia="en-GB"/>
        </w:rPr>
        <w:t xml:space="preserve">E-UTRAN NC with extended EARFCNs </w:t>
      </w:r>
      <w:r w:rsidRPr="004D0DAA">
        <w:rPr>
          <w:lang w:eastAsia="en-GB"/>
        </w:rPr>
        <w:t>IE.</w:t>
      </w:r>
    </w:p>
    <w:p w14:paraId="6043D427" w14:textId="77777777" w:rsidR="00711444" w:rsidRPr="004D0DAA" w:rsidRDefault="00711444" w:rsidP="00711444">
      <w:pPr>
        <w:pStyle w:val="Heading5"/>
        <w:rPr>
          <w:rFonts w:hint="eastAsia"/>
        </w:rPr>
      </w:pPr>
      <w:bookmarkStart w:id="51" w:name="_Toc516669240"/>
      <w:r w:rsidRPr="004D0DAA">
        <w:t>5.5.1.1</w:t>
      </w:r>
      <w:r w:rsidRPr="004D0DAA">
        <w:rPr>
          <w:lang w:eastAsia="zh-CN"/>
        </w:rPr>
        <w:t>c.3</w:t>
      </w:r>
      <w:r w:rsidRPr="004D0DAA">
        <w:rPr>
          <w:lang w:eastAsia="zh-CN"/>
        </w:rPr>
        <w:tab/>
        <w:t>Provision of i</w:t>
      </w:r>
      <w:r w:rsidRPr="004D0DAA">
        <w:t>ndividual priorit</w:t>
      </w:r>
      <w:r w:rsidRPr="004D0DAA">
        <w:rPr>
          <w:rFonts w:hint="eastAsia"/>
        </w:rPr>
        <w:t>ies</w:t>
      </w:r>
      <w:r w:rsidRPr="004D0DAA">
        <w:t xml:space="preserve"> information</w:t>
      </w:r>
      <w:bookmarkEnd w:id="51"/>
    </w:p>
    <w:p w14:paraId="252EB350" w14:textId="77777777" w:rsidR="00711444" w:rsidRPr="004D0DAA" w:rsidRDefault="00711444" w:rsidP="00711444">
      <w:r w:rsidRPr="004D0DAA">
        <w:rPr>
          <w:lang w:eastAsia="zh-CN"/>
        </w:rPr>
        <w:t>The provision of individual priorities information is described in 3GPP TS 44.018.</w:t>
      </w:r>
    </w:p>
    <w:p w14:paraId="0BA1C10F" w14:textId="77777777" w:rsidR="00711444" w:rsidRPr="004D0DAA" w:rsidRDefault="00711444" w:rsidP="00711444">
      <w:pPr>
        <w:pStyle w:val="Heading5"/>
      </w:pPr>
      <w:bookmarkStart w:id="52" w:name="_Toc516669241"/>
      <w:r w:rsidRPr="004D0DAA">
        <w:t>5.5.1.1</w:t>
      </w:r>
      <w:r w:rsidRPr="004D0DAA">
        <w:rPr>
          <w:rFonts w:hint="eastAsia"/>
          <w:lang w:eastAsia="zh-CN"/>
        </w:rPr>
        <w:t>d</w:t>
      </w:r>
      <w:r w:rsidRPr="004D0DAA">
        <w:rPr>
          <w:lang w:eastAsia="zh-CN"/>
        </w:rPr>
        <w:tab/>
        <w:t>(void)</w:t>
      </w:r>
      <w:bookmarkEnd w:id="52"/>
    </w:p>
    <w:p w14:paraId="57780A61" w14:textId="77777777" w:rsidR="00711444" w:rsidRPr="004D0DAA" w:rsidRDefault="00711444" w:rsidP="00711444">
      <w:pPr>
        <w:pStyle w:val="Heading4"/>
      </w:pPr>
      <w:bookmarkStart w:id="53" w:name="_Toc516669242"/>
      <w:r w:rsidRPr="004D0DAA">
        <w:t>5.5.1.2</w:t>
      </w:r>
      <w:r w:rsidRPr="004D0DAA">
        <w:tab/>
        <w:t>System information on PBCCH</w:t>
      </w:r>
      <w:bookmarkEnd w:id="53"/>
    </w:p>
    <w:p w14:paraId="33331257" w14:textId="77777777" w:rsidR="00711444" w:rsidRPr="004D0DAA" w:rsidRDefault="00711444" w:rsidP="00711444">
      <w:r w:rsidRPr="004D0DAA">
        <w:t>If PBCCH is present in the serving cell, the mobile station shall receive the PACKET SYSTEM INFORMATION (PSI) messages broadcast on PBCCH. The parameters determining the schedule of PSI messages on PBCCH are provided in the PSI1 message.</w:t>
      </w:r>
    </w:p>
    <w:p w14:paraId="49536B0C" w14:textId="77777777" w:rsidR="00711444" w:rsidRPr="004D0DAA" w:rsidRDefault="00711444" w:rsidP="00711444">
      <w:r w:rsidRPr="004D0DAA">
        <w:t xml:space="preserve">When a new cell has been selected where PBCCH is present, the mobile station shall perform a </w:t>
      </w:r>
      <w:r w:rsidRPr="004D0DAA">
        <w:rPr>
          <w:i/>
        </w:rPr>
        <w:t>complete acquisition</w:t>
      </w:r>
      <w:r w:rsidRPr="004D0DAA">
        <w:t xml:space="preserve"> of PBCCH messages (see 5.5.1.4). The mobile station shall not perform packet access in the selected cell, or enter the packet transfer mode or the MAC-Shared state, until it has:</w:t>
      </w:r>
    </w:p>
    <w:p w14:paraId="203E843A" w14:textId="77777777" w:rsidR="00711444" w:rsidRPr="004D0DAA" w:rsidRDefault="00711444" w:rsidP="00711444">
      <w:pPr>
        <w:pStyle w:val="B1"/>
      </w:pPr>
      <w:r w:rsidRPr="004D0DAA">
        <w:t>-</w:t>
      </w:r>
      <w:r w:rsidRPr="004D0DAA">
        <w:tab/>
        <w:t>acquired the PACKET SYSTEM INFORMATION TYPE 1 (PSI1) message;</w:t>
      </w:r>
    </w:p>
    <w:p w14:paraId="196368E2" w14:textId="77777777" w:rsidR="00711444" w:rsidRPr="004D0DAA" w:rsidRDefault="00711444" w:rsidP="00711444">
      <w:pPr>
        <w:pStyle w:val="B1"/>
      </w:pPr>
      <w:r w:rsidRPr="004D0DAA">
        <w:t>-</w:t>
      </w:r>
      <w:r w:rsidRPr="004D0DAA">
        <w:tab/>
        <w:t>acquired a consistent set of PSI2 messages; and</w:t>
      </w:r>
    </w:p>
    <w:p w14:paraId="15BB6857" w14:textId="77777777" w:rsidR="00711444" w:rsidRPr="004D0DAA" w:rsidRDefault="00711444" w:rsidP="00711444">
      <w:pPr>
        <w:pStyle w:val="B1"/>
      </w:pPr>
      <w:r w:rsidRPr="004D0DAA">
        <w:t>-</w:t>
      </w:r>
      <w:r w:rsidRPr="004D0DAA">
        <w:tab/>
        <w:t>made at least one attempt to receive the complete set of PSI messages on PBCCH.</w:t>
      </w:r>
    </w:p>
    <w:p w14:paraId="519E9AF6" w14:textId="77777777" w:rsidR="00711444" w:rsidRPr="004D0DAA" w:rsidRDefault="00711444" w:rsidP="00711444">
      <w:r w:rsidRPr="004D0DAA">
        <w:t>If the network supports the PACKET PSI STATUS message, the mobile station may perform packet access or maintain its radio resources (PDCH(s)) when the RR connection is released while in dual transfer mode, and enter packet transfer mode or the MAC-Shared state, as soon as the PSI1 message and a consistent set of PSI2 messages have been received. In this case, the mobile station shall implement the request for acquisition of system information (see 5.5.1.4.3).</w:t>
      </w:r>
    </w:p>
    <w:p w14:paraId="4CABA28A" w14:textId="77777777" w:rsidR="00711444" w:rsidRPr="004D0DAA" w:rsidRDefault="00711444" w:rsidP="00711444">
      <w:r w:rsidRPr="004D0DAA">
        <w:lastRenderedPageBreak/>
        <w:t>When the PSI1 message has been received, the mobile station shall supervise the PBCCH_CHANGE_MARK and perform update of PBCCH information as specified in sub-clause 5.5.1.2.1. In addition, while camping on a cell, the mobile station shall take into account any PSI message that may be received on PCCCH and PACCH.</w:t>
      </w:r>
    </w:p>
    <w:p w14:paraId="6F87536F" w14:textId="77777777" w:rsidR="00711444" w:rsidRPr="004D0DAA" w:rsidRDefault="00711444" w:rsidP="00711444">
      <w:r w:rsidRPr="004D0DAA">
        <w:t>Once that the mobile station starts to acquire the information on PBCCH, the information sent to a mobile station in RLC/MAC control messages shall be independent of the information provided on the BCCH. If the mobile station receives information in an RLC/MAC control message that depends on the BCCH information, the behaviour of the mobile station is not specified.</w:t>
      </w:r>
    </w:p>
    <w:p w14:paraId="3598B838" w14:textId="77777777" w:rsidR="00711444" w:rsidRPr="004D0DAA" w:rsidRDefault="00711444" w:rsidP="00711444">
      <w:pPr>
        <w:pStyle w:val="Heading5"/>
      </w:pPr>
      <w:bookmarkStart w:id="54" w:name="_Toc516669243"/>
      <w:r w:rsidRPr="004D0DAA">
        <w:t>5.5.1.2.1</w:t>
      </w:r>
      <w:r w:rsidRPr="004D0DAA">
        <w:tab/>
        <w:t>Supervision of PBCCH_CHANGE_MARK and update of PBCCH information</w:t>
      </w:r>
      <w:bookmarkEnd w:id="54"/>
    </w:p>
    <w:p w14:paraId="3EE00F97" w14:textId="77777777" w:rsidR="00711444" w:rsidRPr="004D0DAA" w:rsidRDefault="00711444" w:rsidP="00711444">
      <w:r w:rsidRPr="004D0DAA">
        <w:t>While camping on a cell where PBCCH is present, the mobile station shall attempt to receive the PSI1 message at least every 30 seconds. The mobile station shall then take into account any occurrence of the PSI1 message that may be received on PACCH during packet transfer mode or MAC-Shared state. The mobile station shall also take into account any occurrence of the PSI1 message that may be received on PCCCH during periods in packet idle mode or MAC-Idle state. If the PSI1 message is not received, the mobile station shall attempt to receive this message on PBCCH during periods in packet idle mode or MAC-Idle state.</w:t>
      </w:r>
    </w:p>
    <w:p w14:paraId="34C2E621" w14:textId="77777777" w:rsidR="00711444" w:rsidRPr="004D0DAA" w:rsidRDefault="00711444" w:rsidP="00711444">
      <w:r w:rsidRPr="004D0DAA">
        <w:t>If the mobile station has not received the PSI1 message within the last 30 seconds, it shall attempt to receive the PSI1 message each time it is scheduled on PBCCH. Such attempts shall be made during packet idle mode, packet transfer mode, MAC-Idle state and MAC Shared state. A mobile station in packet transfer mode or MAC-Shared state may suspend its TBF(s) for this purpose (see 5.5.1.4.2).</w:t>
      </w:r>
    </w:p>
    <w:p w14:paraId="34034466" w14:textId="77777777" w:rsidR="00711444" w:rsidRPr="004D0DAA" w:rsidRDefault="00711444" w:rsidP="00711444">
      <w:r w:rsidRPr="004D0DAA">
        <w:t>The PSI1 message contains the PBCCH_CHANGE_MARK and PSI_CHANGE_FIELD parameters. The mobile station shall store the value of the last PBCCH_CHANGE_MARK received.</w:t>
      </w:r>
    </w:p>
    <w:p w14:paraId="7C63D0AC" w14:textId="77777777" w:rsidR="00711444" w:rsidRPr="004D0DAA" w:rsidRDefault="00711444" w:rsidP="00711444">
      <w:r w:rsidRPr="004D0DAA">
        <w:t xml:space="preserve">If the mobile station receives a PBCCH_CHANGE_MARK and detects that the value has been incremented by one unit, compared to the previous value, the mobile station shall perform a </w:t>
      </w:r>
      <w:r w:rsidRPr="004D0DAA">
        <w:rPr>
          <w:i/>
        </w:rPr>
        <w:t>partial acquisition</w:t>
      </w:r>
      <w:r w:rsidRPr="004D0DAA">
        <w:t xml:space="preserve"> of PBCCH information. The information that shall be received is determined by the PSI_CHANGE_FIELD parameter:</w:t>
      </w:r>
    </w:p>
    <w:p w14:paraId="1C494B9A" w14:textId="77777777" w:rsidR="00711444" w:rsidRPr="004D0DAA" w:rsidRDefault="00711444" w:rsidP="00711444">
      <w:pPr>
        <w:pStyle w:val="B1"/>
      </w:pPr>
      <w:r w:rsidRPr="004D0DAA">
        <w:t>-</w:t>
      </w:r>
      <w:r w:rsidRPr="004D0DAA">
        <w:tab/>
        <w:t>If the PSI_CHANGE_FIELD parameter indicates an update of a specific type or specific types of PSI messages, the mobile station shall receive at least one instance of each of the indicated type(s) of PSI messages.</w:t>
      </w:r>
    </w:p>
    <w:p w14:paraId="42E602D3" w14:textId="77777777" w:rsidR="00711444" w:rsidRPr="004D0DAA" w:rsidRDefault="00711444" w:rsidP="00711444">
      <w:pPr>
        <w:pStyle w:val="B1"/>
      </w:pPr>
      <w:r w:rsidRPr="004D0DAA">
        <w:t>-</w:t>
      </w:r>
      <w:r w:rsidRPr="004D0DAA">
        <w:tab/>
        <w:t>If the PSI_CHANGE_FIELD parameter indicates an update of an unspecified type or types of PSI messages, the mobile station shall receive at least one message instance within each consistent set of PSI messages on PBCCH. It shall also receive all PSI messages on PBCCH not belonging to a consistent set.</w:t>
      </w:r>
    </w:p>
    <w:p w14:paraId="0D07351E" w14:textId="77777777" w:rsidR="00711444" w:rsidRPr="004D0DAA" w:rsidRDefault="00711444" w:rsidP="00711444">
      <w:pPr>
        <w:pStyle w:val="B1"/>
      </w:pPr>
      <w:r w:rsidRPr="004D0DAA">
        <w:t>-</w:t>
      </w:r>
      <w:r w:rsidRPr="004D0DAA">
        <w:tab/>
        <w:t>If the PSI_CHANGE_FIELD parameter indicates an update of an unknown type of PSI message, the mobile station is not required to receive any PBCCH information.</w:t>
      </w:r>
    </w:p>
    <w:p w14:paraId="688D78EB" w14:textId="77777777" w:rsidR="00711444" w:rsidRPr="004D0DAA" w:rsidRDefault="00711444" w:rsidP="00711444">
      <w:r w:rsidRPr="004D0DAA">
        <w:t xml:space="preserve">When a PSI message is received, the mobile station shall consider the PSI </w:t>
      </w:r>
      <w:r w:rsidRPr="004D0DAA">
        <w:rPr>
          <w:i/>
        </w:rPr>
        <w:t>change mark</w:t>
      </w:r>
      <w:r w:rsidRPr="004D0DAA">
        <w:t xml:space="preserve"> value, if such is received in the message and take appropriate action (see sub-clause 5.5.1.4.1).</w:t>
      </w:r>
    </w:p>
    <w:p w14:paraId="1664B1FB" w14:textId="77777777" w:rsidR="00711444" w:rsidRPr="004D0DAA" w:rsidRDefault="00711444" w:rsidP="00711444">
      <w:r w:rsidRPr="004D0DAA">
        <w:t xml:space="preserve">Whenever the mobile station receives a PBCCH_CHANGE_MARK and detects that the value has been incremented by more than one unit, compared to the previous value, the mobile station shall perform a </w:t>
      </w:r>
      <w:r w:rsidRPr="004D0DAA">
        <w:rPr>
          <w:i/>
        </w:rPr>
        <w:t>complete acquisition</w:t>
      </w:r>
      <w:r w:rsidRPr="004D0DAA">
        <w:t xml:space="preserve"> of PBCCH messages (see sub-clause 5.5.1.4).</w:t>
      </w:r>
    </w:p>
    <w:p w14:paraId="300C9F29" w14:textId="77777777" w:rsidR="00711444" w:rsidRPr="004D0DAA" w:rsidRDefault="00711444" w:rsidP="00711444">
      <w:pPr>
        <w:pStyle w:val="Heading5"/>
      </w:pPr>
      <w:bookmarkStart w:id="55" w:name="_Toc516669244"/>
      <w:r w:rsidRPr="004D0DAA">
        <w:t>5.5.1.2.2</w:t>
      </w:r>
      <w:r w:rsidRPr="004D0DAA">
        <w:tab/>
        <w:t>Replacement of PBCCH</w:t>
      </w:r>
      <w:bookmarkEnd w:id="55"/>
    </w:p>
    <w:p w14:paraId="6F42AB7A" w14:textId="77777777" w:rsidR="00711444" w:rsidRPr="004D0DAA" w:rsidRDefault="00711444" w:rsidP="00711444">
      <w:r w:rsidRPr="004D0DAA">
        <w:t>The mobile station may receive a PSI1 message indicating that PBCCH is being deactivated in the cell. Moreover, the mobile station may receive a PSI13 message on PACCH or PCCCH providing a different PBCCH description than the one currently being used, or a PSI13 message indicating that PBCCH is not present in the cell.</w:t>
      </w:r>
    </w:p>
    <w:p w14:paraId="6BB96160" w14:textId="77777777" w:rsidR="00711444" w:rsidRPr="004D0DAA" w:rsidRDefault="00711444" w:rsidP="00711444">
      <w:r w:rsidRPr="004D0DAA">
        <w:t>If the mobile station detects that PBCCH is being deactivated in the cell, or receives an indication that PBCCH is no longer present in the cell, it shall attempt to receive the SI13 message on BCCH. For this purpose, the mobile station may suspend its operation in packet idle mode, packet transfer mode, MAC-Idle state and MAC-Shared state (see 5.5.1.4.2). When the SI13 has been received, further action depends on the contents of the SI13 message:</w:t>
      </w:r>
    </w:p>
    <w:p w14:paraId="41D99C08" w14:textId="77777777" w:rsidR="00711444" w:rsidRPr="004D0DAA" w:rsidRDefault="00711444" w:rsidP="00711444">
      <w:pPr>
        <w:pStyle w:val="B1"/>
      </w:pPr>
      <w:r w:rsidRPr="004D0DAA">
        <w:t>-</w:t>
      </w:r>
      <w:r w:rsidRPr="004D0DAA">
        <w:tab/>
        <w:t xml:space="preserve">If the SI13 message contains a PBCCH description, the mobile station shall perform a </w:t>
      </w:r>
      <w:r w:rsidRPr="004D0DAA">
        <w:rPr>
          <w:i/>
        </w:rPr>
        <w:t>complete acquisition</w:t>
      </w:r>
      <w:r w:rsidRPr="004D0DAA">
        <w:t xml:space="preserve"> of PBCCH messages using the indicated PBCCH (see sub-clause 5.5.1.4).</w:t>
      </w:r>
    </w:p>
    <w:p w14:paraId="5443B7FF" w14:textId="77777777" w:rsidR="00711444" w:rsidRPr="004D0DAA" w:rsidRDefault="00711444" w:rsidP="00711444">
      <w:pPr>
        <w:pStyle w:val="B1"/>
      </w:pPr>
      <w:r w:rsidRPr="004D0DAA">
        <w:t>-</w:t>
      </w:r>
      <w:r w:rsidRPr="004D0DAA">
        <w:tab/>
        <w:t xml:space="preserve">If the SI13 message does not contain a PBCCH description, the mobile station shall perform a </w:t>
      </w:r>
      <w:r w:rsidRPr="004D0DAA">
        <w:rPr>
          <w:i/>
        </w:rPr>
        <w:t>complete acquisition</w:t>
      </w:r>
      <w:r w:rsidRPr="004D0DAA">
        <w:t xml:space="preserve"> of BCCH messages.</w:t>
      </w:r>
    </w:p>
    <w:p w14:paraId="44F68A5A" w14:textId="77777777" w:rsidR="00711444" w:rsidRPr="004D0DAA" w:rsidRDefault="00711444" w:rsidP="00711444">
      <w:pPr>
        <w:pStyle w:val="B1"/>
      </w:pPr>
      <w:r w:rsidRPr="004D0DAA">
        <w:lastRenderedPageBreak/>
        <w:t>-</w:t>
      </w:r>
      <w:r w:rsidRPr="004D0DAA">
        <w:tab/>
        <w:t xml:space="preserve">If the mobile station receives a PSI13 message with a PBCCH description different from that currently being used, the mobile station shall perform a </w:t>
      </w:r>
      <w:r w:rsidRPr="004D0DAA">
        <w:rPr>
          <w:i/>
        </w:rPr>
        <w:t>complete acquisition</w:t>
      </w:r>
      <w:r w:rsidRPr="004D0DAA">
        <w:t xml:space="preserve"> of PBCCH messages using the new PBCCH.</w:t>
      </w:r>
    </w:p>
    <w:p w14:paraId="41267AEF" w14:textId="77777777" w:rsidR="00711444" w:rsidRPr="004D0DAA" w:rsidRDefault="00711444" w:rsidP="00711444">
      <w:pPr>
        <w:pStyle w:val="Heading5"/>
      </w:pPr>
      <w:bookmarkStart w:id="56" w:name="_Toc516669245"/>
      <w:r w:rsidRPr="004D0DAA">
        <w:t>5.5.1.2.3</w:t>
      </w:r>
      <w:r w:rsidRPr="004D0DAA">
        <w:tab/>
        <w:t>PSI1 reception failure</w:t>
      </w:r>
      <w:bookmarkEnd w:id="56"/>
    </w:p>
    <w:p w14:paraId="7C46ED4D" w14:textId="77777777" w:rsidR="00711444" w:rsidRPr="004D0DAA" w:rsidRDefault="00711444" w:rsidP="00711444">
      <w:r w:rsidRPr="004D0DAA">
        <w:t>If the mobile station has not received the PSI1 message within the last 60 s, a PSI1 reception failure has occurred. A PSI1 reception failure shall result in a cell reselection.</w:t>
      </w:r>
    </w:p>
    <w:p w14:paraId="480A91F1" w14:textId="77777777" w:rsidR="00711444" w:rsidRPr="004D0DAA" w:rsidRDefault="00711444" w:rsidP="00711444">
      <w:pPr>
        <w:pStyle w:val="Heading4"/>
      </w:pPr>
      <w:bookmarkStart w:id="57" w:name="_Toc516669246"/>
      <w:r w:rsidRPr="004D0DAA">
        <w:t>5.5.1.3</w:t>
      </w:r>
      <w:r w:rsidRPr="004D0DAA">
        <w:tab/>
        <w:t>System information on BCCH</w:t>
      </w:r>
      <w:bookmarkEnd w:id="57"/>
    </w:p>
    <w:p w14:paraId="588DA4D7" w14:textId="77777777" w:rsidR="00711444" w:rsidRPr="004D0DAA" w:rsidRDefault="00711444" w:rsidP="00711444">
      <w:r w:rsidRPr="004D0DAA">
        <w:t>The presence of a PBCCH in the cell is indicated by a PBCCH description in the SI13 message on BCCH. If the mobile station receives an SI13 message without a PBCCH description, it shall assume that PBCCH is not present in the cell. If PBCCH is not present in the serving cell, the mobile station shall receive the SYSTEM INFORMATION (SI) messages broadcast on BCCH.</w:t>
      </w:r>
    </w:p>
    <w:p w14:paraId="4CF9A139" w14:textId="77777777" w:rsidR="00711444" w:rsidRPr="004D0DAA" w:rsidRDefault="00711444" w:rsidP="00711444">
      <w:r w:rsidRPr="004D0DAA">
        <w:t xml:space="preserve">When a new cell has been selected where PBCCH is not present, the mobile station shall perform a </w:t>
      </w:r>
      <w:r w:rsidRPr="004D0DAA">
        <w:rPr>
          <w:i/>
        </w:rPr>
        <w:t>complete acquisition</w:t>
      </w:r>
      <w:r w:rsidRPr="004D0DAA">
        <w:t xml:space="preserve"> of BCCH messages (see sub-clause 5.5.1.4). The mobile station shall not perform packet access in the selected cell, or enter the packet transfer mode, until it has:</w:t>
      </w:r>
    </w:p>
    <w:p w14:paraId="1FAAEEBC" w14:textId="77777777" w:rsidR="00711444" w:rsidRPr="004D0DAA" w:rsidRDefault="00711444" w:rsidP="00711444">
      <w:pPr>
        <w:pStyle w:val="B1"/>
      </w:pPr>
      <w:r w:rsidRPr="004D0DAA">
        <w:t>-</w:t>
      </w:r>
      <w:r w:rsidRPr="004D0DAA">
        <w:tab/>
        <w:t>acquired the SYSTEM INFORMATION TYPE 3 (SI3), SI13 and, if present, SI1 messages;</w:t>
      </w:r>
    </w:p>
    <w:p w14:paraId="7B9572C4" w14:textId="77777777" w:rsidR="00711444" w:rsidRPr="004D0DAA" w:rsidRDefault="00711444" w:rsidP="00711444">
      <w:pPr>
        <w:pStyle w:val="B1"/>
      </w:pPr>
      <w:r w:rsidRPr="004D0DAA">
        <w:t>-</w:t>
      </w:r>
      <w:r w:rsidRPr="004D0DAA">
        <w:tab/>
        <w:t>made at least one attempt to receive other SI messages that may be scheduled within one TC cycle on BCCH (see 3GPP TS 45.002).</w:t>
      </w:r>
    </w:p>
    <w:p w14:paraId="2F60CC8E" w14:textId="77777777" w:rsidR="00711444" w:rsidRPr="004D0DAA" w:rsidRDefault="00711444" w:rsidP="00711444">
      <w:r w:rsidRPr="004D0DAA">
        <w:t>If the network supports the PACKET SI STATUS message, the mobile station may perform packet access or maintain its radio resources (PDCH(s)) when the RR connection is released while in dual transfer mode, and enter packet transfer mode, as soon as the SI3, SI13 and, if present, SI1 messages have been received. In this case, the mobile station shall implement the request for acquisition of system information (see sub-clause 5.5.1.4.3).</w:t>
      </w:r>
    </w:p>
    <w:p w14:paraId="2F942719" w14:textId="77777777" w:rsidR="00711444" w:rsidRPr="004D0DAA" w:rsidRDefault="00711444" w:rsidP="00711444">
      <w:r w:rsidRPr="004D0DAA">
        <w:t>When the SI13 message has been received, the mobile station shall supervise the BCCH_CHANGE_MARK and perform update of BCCH information.</w:t>
      </w:r>
    </w:p>
    <w:p w14:paraId="61ACB6CF" w14:textId="77777777" w:rsidR="00711444" w:rsidRPr="004D0DAA" w:rsidRDefault="00711444" w:rsidP="00711444">
      <w:pPr>
        <w:pStyle w:val="Heading5"/>
      </w:pPr>
      <w:bookmarkStart w:id="58" w:name="_Toc516669247"/>
      <w:r w:rsidRPr="004D0DAA">
        <w:t>5.5.1.3.1</w:t>
      </w:r>
      <w:r w:rsidRPr="004D0DAA">
        <w:tab/>
        <w:t>Supervision of BCCH_CHANGE_MARK and update of BCCH information</w:t>
      </w:r>
      <w:bookmarkEnd w:id="58"/>
    </w:p>
    <w:p w14:paraId="39EDFD0A" w14:textId="77777777" w:rsidR="00711444" w:rsidRPr="004D0DAA" w:rsidRDefault="00711444" w:rsidP="00711444">
      <w:pPr>
        <w:keepNext/>
      </w:pPr>
      <w:r w:rsidRPr="004D0DAA">
        <w:t>While camping on a cell where PBCCH is not present, the mobile station shall attempt to receive the SI13 or the PSI13 message at least every 30 s. The mobile station shall then take into account any occurrence of the PSI13 message that may be received on PACCH during packet transfer mode. If PSI13 is not received, the mobile station shall attempt to receive the SI13 message on BCCH during periods in packet idle mode.</w:t>
      </w:r>
    </w:p>
    <w:p w14:paraId="7A113A4D" w14:textId="77777777" w:rsidR="00711444" w:rsidRPr="004D0DAA" w:rsidRDefault="00711444" w:rsidP="00711444">
      <w:r w:rsidRPr="004D0DAA">
        <w:t>If the mobile station has received neither the SI13 nor the PSI13 message within the last 30 s, it shall attempt to receive the SI13 message each time it is scheduled on BCCH. Such attempts shall be made during both packet idle and packet transfer modes. A mobile station in packet transfer mode may suspend its TBF(s) for this purpose (see sub-clause 5.5.1.4.2).</w:t>
      </w:r>
    </w:p>
    <w:p w14:paraId="01F69BBB" w14:textId="77777777" w:rsidR="00711444" w:rsidRPr="004D0DAA" w:rsidRDefault="00711444" w:rsidP="00711444">
      <w:pPr>
        <w:keepNext/>
        <w:keepLines/>
      </w:pPr>
      <w:r w:rsidRPr="004D0DAA">
        <w:t>An exception case is where a mobile station has enabled PEO in which case the mobile station shall monitor system information as described in 3GPP TS 44.018 [11] while in packet idle mode but shall not monitor system information while in packet transfer mode.</w:t>
      </w:r>
    </w:p>
    <w:p w14:paraId="6CC0FCDE" w14:textId="77777777" w:rsidR="00711444" w:rsidRPr="004D0DAA" w:rsidRDefault="00711444" w:rsidP="00711444">
      <w:r w:rsidRPr="004D0DAA">
        <w:t xml:space="preserve">The SI13 and PSI13 messages contain the BCCH_CHANGE_MARK and SI_CHANGE_FIELD parameters. When camped on a cell where PBCCH is not present, the mobile station shall store the value of the last BCCH_CHANGE_MARK received. In that case, if the mobile station detects that the value has been incremented by one unit, compared to the previous value, the mobile station shall perform a </w:t>
      </w:r>
      <w:r w:rsidRPr="004D0DAA">
        <w:rPr>
          <w:i/>
        </w:rPr>
        <w:t>partial acquisition</w:t>
      </w:r>
      <w:r w:rsidRPr="004D0DAA">
        <w:t xml:space="preserve"> of BCCH information. The information that shall be received is determined by the SI_CHANGE_FIELD parameter:</w:t>
      </w:r>
    </w:p>
    <w:p w14:paraId="42B1C9BC" w14:textId="77777777" w:rsidR="00711444" w:rsidRPr="004D0DAA" w:rsidRDefault="00711444" w:rsidP="00711444">
      <w:pPr>
        <w:pStyle w:val="B1"/>
      </w:pPr>
      <w:r w:rsidRPr="004D0DAA">
        <w:t>-</w:t>
      </w:r>
      <w:r w:rsidRPr="004D0DAA">
        <w:tab/>
        <w:t>If the SI_CHANGE_FIELD parameter indicates an update of a specific type or specific types of SI messages, the mobile station shall receive at least one instance of each of the indicated type(s) of SI messages.</w:t>
      </w:r>
    </w:p>
    <w:p w14:paraId="3995103B" w14:textId="77777777" w:rsidR="00711444" w:rsidRPr="004D0DAA" w:rsidRDefault="00711444" w:rsidP="00711444">
      <w:pPr>
        <w:pStyle w:val="B1"/>
      </w:pPr>
      <w:r w:rsidRPr="004D0DAA">
        <w:t>-</w:t>
      </w:r>
      <w:r w:rsidRPr="004D0DAA">
        <w:tab/>
        <w:t>If the SI_CHANGE_FIELD parameter indicates an update of an unspecified type or types of SI messages, the mobile station shall receive at least one message instance within each consistent set of SI messages on BCCH. It shall also receive all SI messages on BCCH not belonging to a consistent set.</w:t>
      </w:r>
    </w:p>
    <w:p w14:paraId="269C8698" w14:textId="77777777" w:rsidR="00711444" w:rsidRPr="004D0DAA" w:rsidRDefault="00711444" w:rsidP="00711444">
      <w:pPr>
        <w:pStyle w:val="B1"/>
      </w:pPr>
      <w:r w:rsidRPr="004D0DAA">
        <w:t>-</w:t>
      </w:r>
      <w:r w:rsidRPr="004D0DAA">
        <w:tab/>
        <w:t>If the SI_CHANGE_FIELD parameter indicates an update of an unknown type of SI message, the mobile station is not required to update any BCCH information.</w:t>
      </w:r>
    </w:p>
    <w:p w14:paraId="5DE442EB" w14:textId="77777777" w:rsidR="00711444" w:rsidRPr="004D0DAA" w:rsidRDefault="00711444" w:rsidP="00711444">
      <w:r w:rsidRPr="004D0DAA">
        <w:lastRenderedPageBreak/>
        <w:t xml:space="preserve">When an SI message is received, the mobile station shall consider a SI </w:t>
      </w:r>
      <w:r w:rsidRPr="004D0DAA">
        <w:rPr>
          <w:i/>
        </w:rPr>
        <w:t>change mark</w:t>
      </w:r>
      <w:r w:rsidRPr="004D0DAA">
        <w:t xml:space="preserve"> value, if such is received in the message and take appropriate action (see sub-clause 5.5.1.4.1).</w:t>
      </w:r>
    </w:p>
    <w:p w14:paraId="18E81913" w14:textId="77777777" w:rsidR="00711444" w:rsidRPr="004D0DAA" w:rsidRDefault="00711444" w:rsidP="00711444">
      <w:r w:rsidRPr="004D0DAA">
        <w:t xml:space="preserve">If the mobile station detects that the BCCH_CHANGE_MARK value has been incremented by more than one unit, compared to the previous value, the mobile station shall perform a </w:t>
      </w:r>
      <w:r w:rsidRPr="004D0DAA">
        <w:rPr>
          <w:i/>
        </w:rPr>
        <w:t>complete acquisition</w:t>
      </w:r>
      <w:r w:rsidRPr="004D0DAA">
        <w:t xml:space="preserve"> of BCCH messages (see sub-clause 5.5.1.4).</w:t>
      </w:r>
    </w:p>
    <w:p w14:paraId="1B16B05E" w14:textId="77777777" w:rsidR="00711444" w:rsidRPr="004D0DAA" w:rsidRDefault="00711444" w:rsidP="00711444">
      <w:pPr>
        <w:pStyle w:val="Heading5"/>
      </w:pPr>
      <w:bookmarkStart w:id="59" w:name="_Toc516669248"/>
      <w:r w:rsidRPr="004D0DAA">
        <w:t>5.5.1.3.2</w:t>
      </w:r>
      <w:r w:rsidRPr="004D0DAA">
        <w:tab/>
        <w:t>Establishment of PBCCH</w:t>
      </w:r>
      <w:bookmarkEnd w:id="59"/>
    </w:p>
    <w:p w14:paraId="5078BE0B" w14:textId="77777777" w:rsidR="00711444" w:rsidRPr="004D0DAA" w:rsidRDefault="00711444" w:rsidP="00711444">
      <w:r w:rsidRPr="004D0DAA">
        <w:t xml:space="preserve">The mobile station may receive an SI13 or PSI13 message providing a PBCCH description indicating that PBCCH is present in the cell. The mobile station shall then perform a </w:t>
      </w:r>
      <w:r w:rsidRPr="004D0DAA">
        <w:rPr>
          <w:i/>
        </w:rPr>
        <w:t>complete acquisition</w:t>
      </w:r>
      <w:r w:rsidRPr="004D0DAA">
        <w:t xml:space="preserve"> of PBCCH messages using the indicated PBCCH (see sub-clause 5.5.1.4).</w:t>
      </w:r>
    </w:p>
    <w:p w14:paraId="431F992B" w14:textId="77777777" w:rsidR="00711444" w:rsidRPr="004D0DAA" w:rsidRDefault="00711444" w:rsidP="00711444">
      <w:pPr>
        <w:pStyle w:val="Heading5"/>
      </w:pPr>
      <w:bookmarkStart w:id="60" w:name="_Toc516669249"/>
      <w:r w:rsidRPr="004D0DAA">
        <w:t>5.5.1.3.3</w:t>
      </w:r>
      <w:r w:rsidRPr="004D0DAA">
        <w:tab/>
        <w:t>SI13 reception failure</w:t>
      </w:r>
      <w:bookmarkEnd w:id="60"/>
    </w:p>
    <w:p w14:paraId="2E43D30D" w14:textId="77777777" w:rsidR="00711444" w:rsidRPr="004D0DAA" w:rsidRDefault="00711444" w:rsidP="00711444">
      <w:r w:rsidRPr="004D0DAA">
        <w:t>If the mobile station has not received the SI13 or the PSI13 message within the last 60 s, a SI13 reception failure has occurred. An SI13 reception failure shall result in a cell reselection.</w:t>
      </w:r>
    </w:p>
    <w:p w14:paraId="7B0457AF" w14:textId="77777777" w:rsidR="00711444" w:rsidRPr="004D0DAA" w:rsidRDefault="00711444" w:rsidP="00711444">
      <w:pPr>
        <w:pStyle w:val="Heading4"/>
      </w:pPr>
      <w:bookmarkStart w:id="61" w:name="_Toc516669250"/>
      <w:r w:rsidRPr="004D0DAA">
        <w:t>5.5.1.3a</w:t>
      </w:r>
      <w:r w:rsidRPr="004D0DAA">
        <w:tab/>
        <w:t>System information on EC-BCCH</w:t>
      </w:r>
      <w:bookmarkEnd w:id="61"/>
    </w:p>
    <w:p w14:paraId="70A4DD17" w14:textId="77777777" w:rsidR="00711444" w:rsidRPr="004D0DAA" w:rsidRDefault="00711444" w:rsidP="00711444">
      <w:r w:rsidRPr="004D0DAA">
        <w:t>A mobile station that has enabled EC operation in a cell shall receive the EC SYSTEM INFORMATION messages broadcast on EC-BCCH (EC SI). The EC-BCCH shall be present in a cell that supports EC-GSM-IoT.</w:t>
      </w:r>
    </w:p>
    <w:p w14:paraId="7FC2B9C2" w14:textId="77777777" w:rsidR="00711444" w:rsidRPr="004D0DAA" w:rsidRDefault="00711444" w:rsidP="00711444">
      <w:r w:rsidRPr="004D0DAA">
        <w:t xml:space="preserve">When a mobile station that is EC-GSM-IoT capable has selected a new cell that supports EC-GSM-IoT, the mobile station shall perform a </w:t>
      </w:r>
      <w:r w:rsidRPr="004D0DAA">
        <w:rPr>
          <w:i/>
        </w:rPr>
        <w:t>complete acquisition</w:t>
      </w:r>
      <w:r w:rsidRPr="004D0DAA">
        <w:t xml:space="preserve"> of EC-BCCH messages, see 3GPP TS 44.018. The mobile station shall not perform packet access in the selected cell, or enter the packet transfer mode, until it has acquired the full set of system information messages scheduled on the EC-BCCH.</w:t>
      </w:r>
    </w:p>
    <w:p w14:paraId="6C5D31CC" w14:textId="77777777" w:rsidR="00711444" w:rsidRPr="004D0DAA" w:rsidRDefault="00711444" w:rsidP="00711444">
      <w:pPr>
        <w:pStyle w:val="Heading4"/>
      </w:pPr>
      <w:bookmarkStart w:id="62" w:name="_Toc516669251"/>
      <w:r w:rsidRPr="004D0DAA">
        <w:t>5.5.1.4</w:t>
      </w:r>
      <w:r w:rsidRPr="004D0DAA">
        <w:tab/>
        <w:t>Acquisition of system information on the broadcast channel</w:t>
      </w:r>
      <w:bookmarkEnd w:id="62"/>
    </w:p>
    <w:p w14:paraId="4E4C55B8" w14:textId="77777777" w:rsidR="00711444" w:rsidRPr="004D0DAA" w:rsidRDefault="00711444" w:rsidP="00711444">
      <w:r w:rsidRPr="004D0DAA">
        <w:t xml:space="preserve">This procedure shall be used by a mobile station that supports GPRS (in </w:t>
      </w:r>
      <w:r w:rsidRPr="004D0DAA">
        <w:rPr>
          <w:i/>
        </w:rPr>
        <w:t>A/Gb mode)</w:t>
      </w:r>
      <w:r w:rsidRPr="004D0DAA">
        <w:t xml:space="preserve"> or </w:t>
      </w:r>
      <w:r w:rsidRPr="004D0DAA">
        <w:rPr>
          <w:i/>
        </w:rPr>
        <w:t>Iu mode</w:t>
      </w:r>
      <w:r w:rsidRPr="004D0DAA">
        <w:t xml:space="preserve"> in order to perform a complete or partial acquisition of either PBCCH or BCCH information. As part of this procedure, the mobile station may implement the request for acquisition of system information as specified in sub-clause 5.5.1.4.3.</w:t>
      </w:r>
    </w:p>
    <w:p w14:paraId="6181625C" w14:textId="77777777" w:rsidR="00711444" w:rsidRPr="004D0DAA" w:rsidRDefault="00711444" w:rsidP="00711444">
      <w:r w:rsidRPr="004D0DAA">
        <w:t>The procedure to be used by a mobile station that has enabled EC operation, is described in 3GPP TS 44.018.</w:t>
      </w:r>
    </w:p>
    <w:p w14:paraId="3BA7608D" w14:textId="77777777" w:rsidR="00711444" w:rsidRPr="004D0DAA" w:rsidRDefault="00711444" w:rsidP="00711444">
      <w:r w:rsidRPr="004D0DAA">
        <w:t>When PBCCH is not present in a cell this procedure starts:</w:t>
      </w:r>
    </w:p>
    <w:p w14:paraId="1F2FE81A" w14:textId="77777777" w:rsidR="00711444" w:rsidRPr="004D0DAA" w:rsidRDefault="00711444" w:rsidP="00711444">
      <w:pPr>
        <w:pStyle w:val="B1"/>
      </w:pPr>
      <w:r w:rsidRPr="004D0DAA">
        <w:t>-</w:t>
      </w:r>
      <w:r w:rsidRPr="004D0DAA">
        <w:tab/>
        <w:t xml:space="preserve">when the mobile station is camped on BCCH and receives a BCCH_CHANGE_MARK or SI </w:t>
      </w:r>
      <w:r w:rsidRPr="004D0DAA">
        <w:rPr>
          <w:i/>
        </w:rPr>
        <w:t>change mark</w:t>
      </w:r>
      <w:r w:rsidRPr="004D0DAA">
        <w:t xml:space="preserve"> value indicating that system information is changed. </w:t>
      </w:r>
    </w:p>
    <w:p w14:paraId="0BE7EFFC" w14:textId="77777777" w:rsidR="00711444" w:rsidRPr="004D0DAA" w:rsidRDefault="00711444" w:rsidP="00711444">
      <w:r w:rsidRPr="004D0DAA">
        <w:t>When PBCCH is present in a cell this procedure starts:</w:t>
      </w:r>
    </w:p>
    <w:p w14:paraId="5BEE5569" w14:textId="77777777" w:rsidR="00711444" w:rsidRPr="004D0DAA" w:rsidRDefault="00711444" w:rsidP="00711444">
      <w:pPr>
        <w:pStyle w:val="B1"/>
      </w:pPr>
      <w:r w:rsidRPr="004D0DAA">
        <w:t>-</w:t>
      </w:r>
      <w:r w:rsidRPr="004D0DAA">
        <w:tab/>
        <w:t xml:space="preserve">when the mobile station is camped on PBCCH and receives a PBCCH_CHANGE_MARK or PSI </w:t>
      </w:r>
      <w:r w:rsidRPr="004D0DAA">
        <w:rPr>
          <w:i/>
        </w:rPr>
        <w:t>change mark</w:t>
      </w:r>
      <w:r w:rsidRPr="004D0DAA">
        <w:t xml:space="preserve"> value indicating that packet system information is changed.</w:t>
      </w:r>
    </w:p>
    <w:p w14:paraId="614F8631" w14:textId="77777777" w:rsidR="00711444" w:rsidRPr="004D0DAA" w:rsidRDefault="00711444" w:rsidP="00711444">
      <w:r w:rsidRPr="004D0DAA">
        <w:t>Moreover, the procedure shall start at any other indication, which may be received by the mobile station, that the stored system information for the serving cell is no longer valid.</w:t>
      </w:r>
    </w:p>
    <w:p w14:paraId="42DBF8F7" w14:textId="77777777" w:rsidR="00711444" w:rsidRPr="004D0DAA" w:rsidRDefault="00711444" w:rsidP="00711444">
      <w:r w:rsidRPr="004D0DAA">
        <w:t>At cell selection or cell reselection, in case PBCCH is present in the target cell, this procedure starts when the mobile station starts to receive the information on PBCCH. In case PBCCH is not present in the target cell, the procedure starts when the mobile station has received the SI13 message.</w:t>
      </w:r>
    </w:p>
    <w:p w14:paraId="0BEAFC8B" w14:textId="77777777" w:rsidR="00711444" w:rsidRPr="004D0DAA" w:rsidRDefault="00711444" w:rsidP="00711444">
      <w:r w:rsidRPr="004D0DAA">
        <w:t xml:space="preserve">In a </w:t>
      </w:r>
      <w:r w:rsidRPr="004D0DAA">
        <w:rPr>
          <w:i/>
        </w:rPr>
        <w:t>complete acquisition</w:t>
      </w:r>
      <w:r w:rsidRPr="004D0DAA">
        <w:t xml:space="preserve"> of either PBCCH or BCCH information, the mobile station shall receive all PSI or SI messages that are scheduled on the respective broadcast channel. The mobile station shall delete any PSI or SI </w:t>
      </w:r>
      <w:r w:rsidRPr="004D0DAA">
        <w:rPr>
          <w:i/>
        </w:rPr>
        <w:t>change mark</w:t>
      </w:r>
      <w:r w:rsidRPr="004D0DAA">
        <w:t xml:space="preserve"> value that was stored before the acquisition of PBCCH or BCCH information started.</w:t>
      </w:r>
    </w:p>
    <w:p w14:paraId="50E707AF" w14:textId="77777777" w:rsidR="00711444" w:rsidRPr="004D0DAA" w:rsidRDefault="00711444" w:rsidP="00711444">
      <w:r w:rsidRPr="004D0DAA">
        <w:t xml:space="preserve">In a </w:t>
      </w:r>
      <w:r w:rsidRPr="004D0DAA">
        <w:rPr>
          <w:i/>
        </w:rPr>
        <w:t>partial acquisition</w:t>
      </w:r>
      <w:r w:rsidRPr="004D0DAA">
        <w:t xml:space="preserve"> of either PBCCH or BCCH information, only a certain subset of the PSI or SI messages that are scheduled on the respective broadcast channel shall be received. The mobile station may consider the state of the PSI or SI </w:t>
      </w:r>
      <w:r w:rsidRPr="004D0DAA">
        <w:rPr>
          <w:i/>
        </w:rPr>
        <w:t>change mark</w:t>
      </w:r>
      <w:r w:rsidRPr="004D0DAA">
        <w:t xml:space="preserve"> values, without restriction, to reduce the total number of messages to receive.</w:t>
      </w:r>
    </w:p>
    <w:p w14:paraId="4A1E9E57" w14:textId="77777777" w:rsidR="00711444" w:rsidRPr="004D0DAA" w:rsidRDefault="00711444" w:rsidP="00711444">
      <w:r w:rsidRPr="004D0DAA">
        <w:t xml:space="preserve">When the mobile station acquires a set of PSI or SI messages on the respective broadcast channels, it may receive these messages during packet idle mode, packet transfer mode, MAC-Idle state, MAC-Shared state and broadcast/multicast </w:t>
      </w:r>
      <w:r w:rsidRPr="004D0DAA">
        <w:lastRenderedPageBreak/>
        <w:t>receive mode. While the mobile station is in packet idle mode or MAC-Idle state or broadcast/multicast receive mode if the network has indicated that the system information is not sent on the PACCH, an attempt to receive a required message shall be made each time the message is scheduled on the broadcast channel, until the message is received. While the mobile station is in packet transfer mode, MAC-Shared state or broadcast/multicast receive mode if the nework has indicated that the system information is sent on the PACCH, it shall receive any PSI message that is sent by the network on PACCH. While the mobile station is in dual transfer mode or MAC-DTM state, it may disregard any PSI message except PSI14 message that is sent by the network on PACCH.</w:t>
      </w:r>
    </w:p>
    <w:p w14:paraId="13AD3A50" w14:textId="77777777" w:rsidR="00711444" w:rsidRPr="004D0DAA" w:rsidRDefault="00711444" w:rsidP="00711444">
      <w:r w:rsidRPr="004D0DAA">
        <w:t xml:space="preserve">If the mobile station has not received the required messages within 10 seconds after the start of this procedure, an attempt to receive a missing message shall be made each time the message is scheduled on the broadcast channel. These attempts shall then be performed during packet idle mode, packet transfer mode, MAC-Idle state, MAC-Shared state and broadcast/multicast receive mode. A mobile station in packet transfer mode or MAC-Shared state may suspend its TBF(s) for this purpose, as specified in 5.5.1.4.2. A mobile station in broadcast/multicast receive mode may </w:t>
      </w:r>
      <w:r w:rsidRPr="004D0DAA">
        <w:rPr>
          <w:lang w:eastAsia="ko-KR"/>
        </w:rPr>
        <w:t xml:space="preserve">skip the reception of radio blocks of the MBMS radio bearer for the same purpose, </w:t>
      </w:r>
      <w:r w:rsidRPr="004D0DAA">
        <w:t>as specified in 5.5.1.4.2.</w:t>
      </w:r>
    </w:p>
    <w:p w14:paraId="77A2C635" w14:textId="77777777" w:rsidR="00711444" w:rsidRPr="004D0DAA" w:rsidRDefault="00711444" w:rsidP="00711444">
      <w:r w:rsidRPr="004D0DAA">
        <w:t xml:space="preserve">A second acquisition of either PBCCH or BCCH information may be initiated (e.g. when the mobile station receives a PSI or SI </w:t>
      </w:r>
      <w:r w:rsidRPr="004D0DAA">
        <w:rPr>
          <w:i/>
        </w:rPr>
        <w:t>change mark</w:t>
      </w:r>
      <w:r w:rsidRPr="004D0DAA">
        <w:t xml:space="preserve"> value) before a previous acquisition is completed.</w:t>
      </w:r>
      <w:r w:rsidRPr="004D0DAA">
        <w:rPr>
          <w:sz w:val="16"/>
        </w:rPr>
        <w:t xml:space="preserve"> </w:t>
      </w:r>
      <w:r w:rsidRPr="004D0DAA">
        <w:t>In this case, the mobile station shall discard and immediately begin re-acquiring all the system information messages of the particular type to which the changemark value refers.</w:t>
      </w:r>
    </w:p>
    <w:p w14:paraId="3A9AD378" w14:textId="77777777" w:rsidR="00711444" w:rsidRPr="004D0DAA" w:rsidRDefault="00711444" w:rsidP="00711444">
      <w:r w:rsidRPr="004D0DAA">
        <w:t xml:space="preserve">To allow future extension of PSI message types, the mobile station may disregard a message in a position within the schedule of PSI messages on PBCCH, where it receives a valid RLC/MAC control block, but diagnoses an unknown or unexpected (non-PSI) message type. When this condition is detected, the mobile station needs not to receive the PBCCH block in this position again, until a change in the schedule of PBCCH messages is detected or a </w:t>
      </w:r>
      <w:r w:rsidRPr="004D0DAA">
        <w:rPr>
          <w:i/>
        </w:rPr>
        <w:t>complete acquisition</w:t>
      </w:r>
      <w:r w:rsidRPr="004D0DAA">
        <w:t xml:space="preserve"> of PBCCH information is required.</w:t>
      </w:r>
    </w:p>
    <w:p w14:paraId="60AF71F1" w14:textId="77777777" w:rsidR="00711444" w:rsidRPr="004D0DAA" w:rsidRDefault="00711444" w:rsidP="00711444">
      <w:pPr>
        <w:pStyle w:val="Heading5"/>
      </w:pPr>
      <w:bookmarkStart w:id="63" w:name="_Toc516669252"/>
      <w:r w:rsidRPr="004D0DAA">
        <w:t>5.5.1.4.1</w:t>
      </w:r>
      <w:r w:rsidRPr="004D0DAA">
        <w:tab/>
        <w:t>Consistent sets of system information messages</w:t>
      </w:r>
      <w:bookmarkEnd w:id="63"/>
    </w:p>
    <w:p w14:paraId="45B3121A" w14:textId="77777777" w:rsidR="00711444" w:rsidRPr="004D0DAA" w:rsidRDefault="00711444" w:rsidP="00711444">
      <w:r w:rsidRPr="004D0DAA">
        <w:t xml:space="preserve">A mobile station, receiving a PSI or SI message belonging to a consistent set of system information messages, shall store the last PSI or SI </w:t>
      </w:r>
      <w:r w:rsidRPr="004D0DAA">
        <w:rPr>
          <w:i/>
        </w:rPr>
        <w:t>change mark</w:t>
      </w:r>
      <w:r w:rsidRPr="004D0DAA">
        <w:t xml:space="preserve"> value received for the set of messages (see table 5.5.2.1.4.1). A mobile station lacking all non-GSM capabilities defined for PSI6, PSI7, SI 18 or SI 20 shall consider those message as irrelevant when making a determination of whether or not a consistent set of system information messages has been received.</w:t>
      </w:r>
    </w:p>
    <w:p w14:paraId="01CA4A56" w14:textId="77777777" w:rsidR="00711444" w:rsidRPr="004D0DAA" w:rsidRDefault="00711444" w:rsidP="00711444">
      <w:r w:rsidRPr="004D0DAA">
        <w:t>A mobile station that does not support UTRAN shall consider a PSI3quater message as irrelevant when making a determination of whether or not a consistent set of system information messages has been received.</w:t>
      </w:r>
    </w:p>
    <w:p w14:paraId="48928561" w14:textId="77777777" w:rsidR="00711444" w:rsidRPr="004D0DAA" w:rsidRDefault="00711444" w:rsidP="00711444">
      <w:r w:rsidRPr="004D0DAA">
        <w:t xml:space="preserve">Whenever mobile station receives a PSI or SI </w:t>
      </w:r>
      <w:r w:rsidRPr="004D0DAA">
        <w:rPr>
          <w:i/>
        </w:rPr>
        <w:t>change mark</w:t>
      </w:r>
      <w:r w:rsidRPr="004D0DAA">
        <w:t xml:space="preserve"> value, which is not equal to the previously stored value for the set of messages, the mobile station shall perform a </w:t>
      </w:r>
      <w:r w:rsidRPr="004D0DAA">
        <w:rPr>
          <w:i/>
        </w:rPr>
        <w:t>partial acquisition</w:t>
      </w:r>
      <w:r w:rsidRPr="004D0DAA">
        <w:t xml:space="preserve"> of either PBCCH or BCCH information. It shall then receive all instances of the PSI or SI messages belonging to the consistent set of system information messages.</w:t>
      </w:r>
    </w:p>
    <w:p w14:paraId="3813C6AA" w14:textId="77777777" w:rsidR="00711444" w:rsidRPr="004D0DAA" w:rsidRDefault="00711444" w:rsidP="00711444">
      <w:r w:rsidRPr="004D0DAA">
        <w:t xml:space="preserve">If a mobile station detects an inconsistency amongst the PSI or SI </w:t>
      </w:r>
      <w:r w:rsidRPr="004D0DAA">
        <w:rPr>
          <w:i/>
        </w:rPr>
        <w:t>count</w:t>
      </w:r>
      <w:r w:rsidRPr="004D0DAA">
        <w:t xml:space="preserve"> and </w:t>
      </w:r>
      <w:r w:rsidRPr="004D0DAA">
        <w:rPr>
          <w:i/>
        </w:rPr>
        <w:t>index</w:t>
      </w:r>
      <w:r w:rsidRPr="004D0DAA">
        <w:t xml:space="preserve"> parameters within a consistent set of system information messages or any other inconsistency making the information that is contained invalid, the mobile station shall discard the messages received so far and delete the stored PSI or SI </w:t>
      </w:r>
      <w:r w:rsidRPr="004D0DAA">
        <w:rPr>
          <w:i/>
        </w:rPr>
        <w:t>change mark</w:t>
      </w:r>
      <w:r w:rsidRPr="004D0DAA">
        <w:t xml:space="preserve"> value. The mobile station may then restart the acquisition of the affected system information messages.</w:t>
      </w:r>
    </w:p>
    <w:p w14:paraId="69B92BDE" w14:textId="77777777" w:rsidR="00711444" w:rsidRPr="004D0DAA" w:rsidRDefault="00711444" w:rsidP="00711444">
      <w:pPr>
        <w:pStyle w:val="Heading5"/>
      </w:pPr>
      <w:bookmarkStart w:id="64" w:name="_Toc516669253"/>
      <w:r w:rsidRPr="004D0DAA">
        <w:t>5.5.1.4.2</w:t>
      </w:r>
      <w:r w:rsidRPr="004D0DAA">
        <w:tab/>
        <w:t>Suspension of operation to receive system information</w:t>
      </w:r>
      <w:bookmarkEnd w:id="64"/>
    </w:p>
    <w:p w14:paraId="7FD4C1C1" w14:textId="77777777" w:rsidR="00711444" w:rsidRPr="004D0DAA" w:rsidRDefault="00711444" w:rsidP="00711444">
      <w:r w:rsidRPr="004D0DAA">
        <w:t xml:space="preserve">During certain conditions, the mobile station in packet transfer mode or MAC-Shared state is allowed to suspend its TBF(s) to receive certain information on PBCCH or BCCH. A mobile station in broadcast/multicast receive mode may </w:t>
      </w:r>
      <w:r w:rsidRPr="004D0DAA">
        <w:rPr>
          <w:lang w:eastAsia="ko-KR"/>
        </w:rPr>
        <w:t>suspend the reception of radio blocks of the MBMS radio bearer for the same purpose</w:t>
      </w:r>
      <w:r w:rsidRPr="004D0DAA">
        <w:t>. Such suspension is made without notification to the network. A mobile station in EC operation shall not suspend its TBF for reception of EC system information.</w:t>
      </w:r>
    </w:p>
    <w:p w14:paraId="201A0EB6" w14:textId="77777777" w:rsidR="00711444" w:rsidRPr="004D0DAA" w:rsidRDefault="00711444" w:rsidP="00711444">
      <w:r w:rsidRPr="004D0DAA">
        <w:t>Suspension of its TBF(s) or suspension of the reception of radio blocks of the MBMS radio bearer for this purpose is allowed during the time required, for each message and according to the mobile station's multislot class, to receive the required messages on PBCCH or BCCH. The allowable suspension of an uplink TBF may be extended with one block period, in case of dynamic or extended dynamic allocation, if the mobile station is unable to receive the corresponding USF due to the suspension of downlink operation. In case it conflicts with the transmission of a polling response, priority shall be given to the acquisition of blocks on the PBCCH or BCCH channel.</w:t>
      </w:r>
    </w:p>
    <w:p w14:paraId="22B330DD" w14:textId="77777777" w:rsidR="00711444" w:rsidRPr="004D0DAA" w:rsidRDefault="00711444" w:rsidP="00711444">
      <w:pPr>
        <w:pStyle w:val="Heading5"/>
      </w:pPr>
      <w:bookmarkStart w:id="65" w:name="_Toc516669254"/>
      <w:r w:rsidRPr="004D0DAA">
        <w:lastRenderedPageBreak/>
        <w:t>5.5.1.4.3</w:t>
      </w:r>
      <w:r w:rsidRPr="004D0DAA">
        <w:tab/>
        <w:t>Request for acquisition of system information</w:t>
      </w:r>
      <w:bookmarkEnd w:id="65"/>
    </w:p>
    <w:p w14:paraId="4F665278" w14:textId="77777777" w:rsidR="00711444" w:rsidRPr="004D0DAA" w:rsidRDefault="00711444" w:rsidP="00711444">
      <w:r w:rsidRPr="004D0DAA">
        <w:t>As an option, the mobile station may implement the request for acquisition of system information. If the network supports the PACKET PSI STATUS message or the PACKET SI STATUS message, the mobile station shall then send the PACKET PSI STATUS message to the network, each time an acquisition of PBCCH information is initiated or the PACKET SI STATUS message to the network, each time an acquisition of BCCH information is initiated.</w:t>
      </w:r>
    </w:p>
    <w:p w14:paraId="2376AAAD" w14:textId="77777777" w:rsidR="00711444" w:rsidRPr="004D0DAA" w:rsidRDefault="00711444" w:rsidP="00711444">
      <w:r w:rsidRPr="004D0DAA">
        <w:t>A mobile station supporting the Network Assisted Cell Change or enhanced DTM CS release procedures shall implement the request for acquisition of system information (see sub-clauses 5.5.1.1a and 5.5.1.1b.5).</w:t>
      </w:r>
    </w:p>
    <w:p w14:paraId="1A7E639A" w14:textId="77777777" w:rsidR="00711444" w:rsidRPr="004D0DAA" w:rsidRDefault="00711444" w:rsidP="00711444">
      <w:r w:rsidRPr="004D0DAA">
        <w:t>The PACKET SI STATUS message shall always contain the PSCSI_SUPPORT field.</w:t>
      </w:r>
    </w:p>
    <w:p w14:paraId="7DBFB99F" w14:textId="77777777" w:rsidR="00711444" w:rsidRPr="004D0DAA" w:rsidRDefault="00711444" w:rsidP="00711444">
      <w:r w:rsidRPr="004D0DAA">
        <w:t xml:space="preserve">The PACKET PSI STATUS (respectively PACKET SI STATUS) message shall indicate the present status of PSI (respectively SI) messages stored in or requested but not received by the mobile station. The mobile station shall include as many PSI (respectively SI) message types that fit into the </w:t>
      </w:r>
      <w:r w:rsidRPr="004D0DAA">
        <w:rPr>
          <w:i/>
        </w:rPr>
        <w:t>Received PSI Message List</w:t>
      </w:r>
      <w:r w:rsidRPr="004D0DAA">
        <w:t xml:space="preserve"> (respectively </w:t>
      </w:r>
      <w:r w:rsidRPr="004D0DAA">
        <w:rPr>
          <w:i/>
        </w:rPr>
        <w:t>Received SI Message List</w:t>
      </w:r>
      <w:r w:rsidRPr="004D0DAA">
        <w:t xml:space="preserve">) construction in the PACKET PSI STATUS (respectively PACKET SI STATUS) message and that meet the following criteria: </w:t>
      </w:r>
    </w:p>
    <w:p w14:paraId="3F410F2F" w14:textId="77777777" w:rsidR="00711444" w:rsidRPr="004D0DAA" w:rsidRDefault="00711444" w:rsidP="00711444">
      <w:pPr>
        <w:pStyle w:val="B1"/>
      </w:pPr>
      <w:r w:rsidRPr="004D0DAA">
        <w:t>-</w:t>
      </w:r>
      <w:r w:rsidRPr="004D0DAA">
        <w:tab/>
        <w:t>The PSI (respectively SI) message type is relevant for the mobile station, based on the features the mobile station supports (e.g. non-GSM and multi-RAT capabilities); and</w:t>
      </w:r>
    </w:p>
    <w:p w14:paraId="3DF052D2" w14:textId="77777777" w:rsidR="00711444" w:rsidRPr="004D0DAA" w:rsidRDefault="00711444" w:rsidP="00711444">
      <w:pPr>
        <w:pStyle w:val="B1"/>
      </w:pPr>
      <w:r w:rsidRPr="004D0DAA">
        <w:t>-</w:t>
      </w:r>
      <w:r w:rsidRPr="004D0DAA">
        <w:tab/>
        <w:t>In case of optional PSI (respectively SI) messages types, the PSI (respectively SI) message type shall be indicated by the network as present on PBCCH (respectively BCCH).</w:t>
      </w:r>
    </w:p>
    <w:p w14:paraId="47A60679" w14:textId="77777777" w:rsidR="00711444" w:rsidRPr="004D0DAA" w:rsidRDefault="00711444" w:rsidP="00711444">
      <w:r w:rsidRPr="004D0DAA">
        <w:t>If the presence of an optional PSI (respectively SI) message type cannot be determined, based on the information received, the mobile station shall assume that the optional PSI (respectively SI) message type is present.</w:t>
      </w:r>
    </w:p>
    <w:p w14:paraId="47533509" w14:textId="77777777" w:rsidR="00711444" w:rsidRPr="004D0DAA" w:rsidRDefault="00711444" w:rsidP="00711444">
      <w:pPr>
        <w:pStyle w:val="NO"/>
      </w:pPr>
      <w:r w:rsidRPr="004D0DAA">
        <w:t>NOTE 1:</w:t>
      </w:r>
      <w:r w:rsidRPr="004D0DAA">
        <w:tab/>
        <w:t>On PBCCH, the presence of optional PSI messages is indicated in PSI1 and PSI2.</w:t>
      </w:r>
    </w:p>
    <w:p w14:paraId="5E267561" w14:textId="77777777" w:rsidR="00711444" w:rsidRPr="004D0DAA" w:rsidRDefault="00711444" w:rsidP="00711444">
      <w:pPr>
        <w:pStyle w:val="NO"/>
      </w:pPr>
      <w:r w:rsidRPr="004D0DAA">
        <w:t>NOTE 2:</w:t>
      </w:r>
      <w:r w:rsidRPr="004D0DAA">
        <w:tab/>
        <w:t>On BCCH, SI2, SI3, SI4 and, if present, SI9 indicate the presence of optional SI messages, except SI1. The presence of SI1 can be determined by reading the BCCH Norm block at TC = 0.</w:t>
      </w:r>
    </w:p>
    <w:p w14:paraId="047205A6" w14:textId="77777777" w:rsidR="00711444" w:rsidRPr="004D0DAA" w:rsidRDefault="00711444" w:rsidP="00711444">
      <w:r w:rsidRPr="004D0DAA">
        <w:t xml:space="preserve">The "ADDITIONAL_MSG_TYPE" information should reflect whether all PSI (respectively SI) message types that satisfy the criteria given above fit into a given PACKET PSI STATUS (respectively PACKET SI STATUS) message or not. </w:t>
      </w:r>
    </w:p>
    <w:p w14:paraId="254F6B00" w14:textId="77777777" w:rsidR="00711444" w:rsidRPr="004D0DAA" w:rsidRDefault="00711444" w:rsidP="00711444">
      <w:r w:rsidRPr="004D0DAA">
        <w:t xml:space="preserve">The message type value for these PSI (respectively SI) messages shall be included in the </w:t>
      </w:r>
      <w:r w:rsidRPr="004D0DAA">
        <w:rPr>
          <w:i/>
        </w:rPr>
        <w:t>Received PSI Message List</w:t>
      </w:r>
      <w:r w:rsidRPr="004D0DAA">
        <w:t xml:space="preserve"> (respectively </w:t>
      </w:r>
      <w:r w:rsidRPr="004D0DAA">
        <w:rPr>
          <w:i/>
        </w:rPr>
        <w:t>Received SI Message List</w:t>
      </w:r>
      <w:r w:rsidRPr="004D0DAA">
        <w:t>) in the PACKET PSI STATUS (respectively PACKET SI STATUS) message. The message types that may be indicated are given in table 5.5.1.4.3.1. The message types shall be indicated in descending order of priority. The network may use this information to determine which PSI (respectively SI) message types the mobile station is able to receive and the present status of the PSI (respectively SI) messages stored in the mobile station.</w:t>
      </w:r>
    </w:p>
    <w:p w14:paraId="72C8B397" w14:textId="77777777" w:rsidR="00711444" w:rsidRPr="004D0DAA" w:rsidRDefault="00711444" w:rsidP="00711444">
      <w:pPr>
        <w:pStyle w:val="TH"/>
      </w:pPr>
      <w:r w:rsidRPr="004D0DAA">
        <w:t>Table 5.5.1.4.3.1: Message types that may be indicated at a request for acquisition of system information during packet transfer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954"/>
      </w:tblGrid>
      <w:tr w:rsidR="00711444" w:rsidRPr="004D0DAA" w14:paraId="6AD7E19A" w14:textId="77777777" w:rsidTr="00AA2A4C">
        <w:tblPrEx>
          <w:tblCellMar>
            <w:top w:w="0" w:type="dxa"/>
            <w:bottom w:w="0" w:type="dxa"/>
          </w:tblCellMar>
        </w:tblPrEx>
        <w:trPr>
          <w:jc w:val="center"/>
        </w:trPr>
        <w:tc>
          <w:tcPr>
            <w:tcW w:w="2268" w:type="dxa"/>
            <w:vAlign w:val="center"/>
          </w:tcPr>
          <w:p w14:paraId="189EAAD5" w14:textId="77777777" w:rsidR="00711444" w:rsidRPr="004D0DAA" w:rsidRDefault="00711444" w:rsidP="00AA2A4C">
            <w:pPr>
              <w:pStyle w:val="TAH"/>
              <w:rPr>
                <w:lang w:eastAsia="en-US"/>
              </w:rPr>
            </w:pPr>
            <w:bookmarkStart w:id="66" w:name="historyclause"/>
            <w:r w:rsidRPr="004D0DAA">
              <w:rPr>
                <w:lang w:eastAsia="en-US"/>
              </w:rPr>
              <w:t>Type of status message</w:t>
            </w:r>
          </w:p>
        </w:tc>
        <w:tc>
          <w:tcPr>
            <w:tcW w:w="5954" w:type="dxa"/>
            <w:vAlign w:val="center"/>
          </w:tcPr>
          <w:p w14:paraId="1A0C7457" w14:textId="77777777" w:rsidR="00711444" w:rsidRPr="004D0DAA" w:rsidRDefault="00711444" w:rsidP="00AA2A4C">
            <w:pPr>
              <w:pStyle w:val="TAH"/>
              <w:rPr>
                <w:lang w:eastAsia="en-US"/>
              </w:rPr>
            </w:pPr>
            <w:r w:rsidRPr="004D0DAA">
              <w:rPr>
                <w:lang w:eastAsia="en-US"/>
              </w:rPr>
              <w:t>PSI (respectively SI) message types, descending order of priority</w:t>
            </w:r>
          </w:p>
        </w:tc>
      </w:tr>
      <w:tr w:rsidR="00711444" w:rsidRPr="004D0DAA" w14:paraId="2BA51A60" w14:textId="77777777" w:rsidTr="00AA2A4C">
        <w:tblPrEx>
          <w:tblCellMar>
            <w:top w:w="0" w:type="dxa"/>
            <w:bottom w:w="0" w:type="dxa"/>
          </w:tblCellMar>
        </w:tblPrEx>
        <w:trPr>
          <w:jc w:val="center"/>
        </w:trPr>
        <w:tc>
          <w:tcPr>
            <w:tcW w:w="2268" w:type="dxa"/>
            <w:vAlign w:val="center"/>
          </w:tcPr>
          <w:p w14:paraId="76F6D364" w14:textId="77777777" w:rsidR="00711444" w:rsidRPr="004D0DAA" w:rsidRDefault="00711444" w:rsidP="00AA2A4C">
            <w:pPr>
              <w:pStyle w:val="TAL"/>
              <w:rPr>
                <w:lang w:eastAsia="en-US"/>
              </w:rPr>
            </w:pPr>
            <w:r w:rsidRPr="004D0DAA">
              <w:rPr>
                <w:lang w:eastAsia="en-US"/>
              </w:rPr>
              <w:t>PACKET PSI STATUS message</w:t>
            </w:r>
          </w:p>
        </w:tc>
        <w:tc>
          <w:tcPr>
            <w:tcW w:w="5954" w:type="dxa"/>
            <w:vAlign w:val="center"/>
          </w:tcPr>
          <w:p w14:paraId="7618ACAB" w14:textId="77777777" w:rsidR="00711444" w:rsidRPr="004D0DAA" w:rsidRDefault="00711444" w:rsidP="00AA2A4C">
            <w:pPr>
              <w:pStyle w:val="TAL"/>
              <w:rPr>
                <w:lang w:eastAsia="en-US"/>
              </w:rPr>
            </w:pPr>
            <w:r w:rsidRPr="004D0DAA">
              <w:rPr>
                <w:lang w:eastAsia="en-US"/>
              </w:rPr>
              <w:t>PSI2 </w:t>
            </w:r>
            <w:r w:rsidRPr="004D0DAA">
              <w:rPr>
                <w:i/>
                <w:iCs/>
                <w:lang w:eastAsia="en-US"/>
              </w:rPr>
              <w:t>(highest priority)</w:t>
            </w:r>
            <w:r w:rsidRPr="004D0DAA">
              <w:rPr>
                <w:lang w:eastAsia="en-US"/>
              </w:rPr>
              <w:t>, PSI3, PSI3bis, PSI5, PSI3ter, PSI3quater, PSI6, PSI7, and PSI8 </w:t>
            </w:r>
            <w:r w:rsidRPr="004D0DAA">
              <w:rPr>
                <w:i/>
                <w:iCs/>
                <w:lang w:eastAsia="en-US"/>
              </w:rPr>
              <w:t>(lowest priority)</w:t>
            </w:r>
          </w:p>
        </w:tc>
      </w:tr>
      <w:tr w:rsidR="00711444" w:rsidRPr="004D0DAA" w14:paraId="0376E5D8" w14:textId="77777777" w:rsidTr="00AA2A4C">
        <w:tblPrEx>
          <w:tblCellMar>
            <w:top w:w="0" w:type="dxa"/>
            <w:bottom w:w="0" w:type="dxa"/>
          </w:tblCellMar>
        </w:tblPrEx>
        <w:trPr>
          <w:jc w:val="center"/>
        </w:trPr>
        <w:tc>
          <w:tcPr>
            <w:tcW w:w="2268" w:type="dxa"/>
            <w:vAlign w:val="center"/>
          </w:tcPr>
          <w:p w14:paraId="77F1B142" w14:textId="77777777" w:rsidR="00711444" w:rsidRPr="004D0DAA" w:rsidRDefault="00711444" w:rsidP="00AA2A4C">
            <w:pPr>
              <w:pStyle w:val="TAL"/>
              <w:rPr>
                <w:lang w:eastAsia="en-US"/>
              </w:rPr>
            </w:pPr>
            <w:r w:rsidRPr="004D0DAA">
              <w:rPr>
                <w:lang w:eastAsia="en-US"/>
              </w:rPr>
              <w:t>PACKET SI STATUS message</w:t>
            </w:r>
          </w:p>
        </w:tc>
        <w:tc>
          <w:tcPr>
            <w:tcW w:w="5954" w:type="dxa"/>
            <w:vAlign w:val="center"/>
          </w:tcPr>
          <w:p w14:paraId="0E2A2FC2" w14:textId="77777777" w:rsidR="00711444" w:rsidRPr="004D0DAA" w:rsidRDefault="00711444" w:rsidP="00AA2A4C">
            <w:pPr>
              <w:pStyle w:val="TAL"/>
              <w:rPr>
                <w:lang w:val="fr-FR" w:eastAsia="en-US"/>
              </w:rPr>
            </w:pPr>
            <w:r w:rsidRPr="004D0DAA">
              <w:rPr>
                <w:lang w:val="fr-FR" w:eastAsia="en-US"/>
              </w:rPr>
              <w:t>SI1 </w:t>
            </w:r>
            <w:r w:rsidRPr="004D0DAA">
              <w:rPr>
                <w:i/>
                <w:iCs/>
                <w:lang w:val="fr-FR" w:eastAsia="en-US"/>
              </w:rPr>
              <w:t>(highest priority)</w:t>
            </w:r>
            <w:r w:rsidRPr="004D0DAA">
              <w:rPr>
                <w:lang w:val="fr-FR" w:eastAsia="en-US"/>
              </w:rPr>
              <w:t>, SI3, SI2, SI2bis, SI2ter, SI2quater, SI4, SI2n, SI7, SI8, SI9, SI15, SI16, SI17, SI18, SI20 and SI19 </w:t>
            </w:r>
            <w:r w:rsidRPr="004D0DAA">
              <w:rPr>
                <w:i/>
                <w:iCs/>
                <w:lang w:val="fr-FR" w:eastAsia="en-US"/>
              </w:rPr>
              <w:t>(lowest priority)</w:t>
            </w:r>
          </w:p>
        </w:tc>
      </w:tr>
      <w:bookmarkEnd w:id="66"/>
    </w:tbl>
    <w:p w14:paraId="035C4413" w14:textId="77777777" w:rsidR="00711444" w:rsidRPr="004D0DAA" w:rsidRDefault="00711444" w:rsidP="00711444">
      <w:pPr>
        <w:rPr>
          <w:lang w:val="fr-FR"/>
        </w:rPr>
      </w:pPr>
    </w:p>
    <w:p w14:paraId="05AC2DA6" w14:textId="77777777" w:rsidR="00711444" w:rsidRPr="004D0DAA" w:rsidRDefault="00711444" w:rsidP="00711444">
      <w:r w:rsidRPr="004D0DAA">
        <w:t xml:space="preserve">During a partial acquisition of PSI (respectively SI) messages, see sub-clause 5.5.1.4, the mobile station may need to obtain the current PSI (respectively SI) </w:t>
      </w:r>
      <w:r w:rsidRPr="004D0DAA">
        <w:rPr>
          <w:i/>
        </w:rPr>
        <w:t>change mark</w:t>
      </w:r>
      <w:r w:rsidRPr="004D0DAA">
        <w:t xml:space="preserve"> value for certain types of PSI (respectively SI) messages. In that case, the mobile station may use this procedure and indicate the present status for that PSI (respectively SI) message type in the PACKET PSI STATUS (respectively PACKET SI STATUS) message, except that the message instance corresponding to the PSI (respectively SI) </w:t>
      </w:r>
      <w:r w:rsidRPr="004D0DAA">
        <w:rPr>
          <w:i/>
        </w:rPr>
        <w:t>index</w:t>
      </w:r>
      <w:r w:rsidRPr="004D0DAA">
        <w:t xml:space="preserve"> parameter = 0 shall be indicated as not received.</w:t>
      </w:r>
    </w:p>
    <w:p w14:paraId="395FFB3E" w14:textId="77777777" w:rsidR="00711444" w:rsidRPr="004D0DAA" w:rsidRDefault="00711444" w:rsidP="00711444">
      <w:r w:rsidRPr="004D0DAA">
        <w:t>The PACKET PSI STATUS (respectively PACKET SI STATUS) message may also be used to indicate the message type of a PSI (respectively SI) message that is required but has not been received by the mobile station.</w:t>
      </w:r>
    </w:p>
    <w:p w14:paraId="32364D5F" w14:textId="77777777" w:rsidR="00711444" w:rsidRPr="004D0DAA" w:rsidRDefault="00711444" w:rsidP="00711444">
      <w:r w:rsidRPr="004D0DAA">
        <w:t xml:space="preserve">The PACKET PSI STATUS (respectively PACKET SI STATUS) message is sent on PACCH when the mobile station is in packet transfer mode or MAC-Shared state. The first sending of this message during the acquisition of PBCCH </w:t>
      </w:r>
      <w:r w:rsidRPr="004D0DAA">
        <w:lastRenderedPageBreak/>
        <w:t>(respectively BCCH) information shall take place at the first suitable opportunity after the acquisition is initiated. This is also allowed during the contention resolution.</w:t>
      </w:r>
    </w:p>
    <w:p w14:paraId="6842F2CD" w14:textId="77777777" w:rsidR="00711444" w:rsidRPr="004D0DAA" w:rsidRDefault="00711444" w:rsidP="00711444">
      <w:pPr>
        <w:rPr>
          <w:snapToGrid w:val="0"/>
        </w:rPr>
      </w:pPr>
      <w:r w:rsidRPr="004D0DAA">
        <w:t>During the acquisition of PBCCH (respectively BCCH) information, up to four PACKET PSI STATUS (respectively PACKET SI STATUS) messages may be sent to the network. The second sending occurrence of this message shall take place at the first suitable opportunity at least one second after that the message is sent the first time. Further sending occurrences shall take place at the first suitable opportunity at least two seconds after that the message was sent the previous time.</w:t>
      </w:r>
      <w:r w:rsidRPr="004D0DAA">
        <w:rPr>
          <w:snapToGrid w:val="0"/>
        </w:rPr>
        <w:t xml:space="preserve"> At each sending occurrence, this message shall be updated according to the present status of PSI (respectively SI) messages in the mobile station.</w:t>
      </w:r>
    </w:p>
    <w:p w14:paraId="6B6992A3" w14:textId="77777777" w:rsidR="00711444" w:rsidRPr="004D0DAA" w:rsidRDefault="00711444" w:rsidP="00711444">
      <w:r w:rsidRPr="004D0DAA">
        <w:t>The PACKET PSI STATUS (respectively PACKET SI STATUS) message shall not be sent when the mobile station has started to suspend its TBF(s) in order to receive the required PSI (respectively SI) messages on PBCCH (respectively BCCH). The PACKET PSI STATUS (respectively PACKET SI STATUS) message shall not be sent when the mobile station has acquired the complete set of PSI (respectively SI) messages on PBCCH (respectively BCCH), unless a new partial or full acquisition of system information is required.</w:t>
      </w:r>
    </w:p>
    <w:p w14:paraId="4C2B7432" w14:textId="77777777" w:rsidR="00711444" w:rsidRPr="004D0DAA" w:rsidRDefault="00711444" w:rsidP="00711444">
      <w:pPr>
        <w:pStyle w:val="Heading4"/>
      </w:pPr>
      <w:bookmarkStart w:id="67" w:name="_Toc516669255"/>
      <w:r w:rsidRPr="004D0DAA">
        <w:t>5.5.1.5</w:t>
      </w:r>
      <w:r w:rsidRPr="004D0DAA">
        <w:tab/>
        <w:t>Discontinuous reception (DRX)</w:t>
      </w:r>
      <w:bookmarkEnd w:id="67"/>
    </w:p>
    <w:p w14:paraId="3A157B1B" w14:textId="77777777" w:rsidR="00711444" w:rsidRPr="004D0DAA" w:rsidRDefault="00711444" w:rsidP="00711444">
      <w:r w:rsidRPr="004D0DAA">
        <w:t>A mobile station in packet idle mode shall monitor the CCCH, PCCCH or EC-CCCH as defined in 3GPP TS 45.002.</w:t>
      </w:r>
    </w:p>
    <w:p w14:paraId="65208596" w14:textId="77777777" w:rsidR="00711444" w:rsidRPr="004D0DAA" w:rsidRDefault="00711444" w:rsidP="00711444">
      <w:r w:rsidRPr="004D0DAA">
        <w:t xml:space="preserve">In the </w:t>
      </w:r>
      <w:r w:rsidRPr="004D0DAA">
        <w:rPr>
          <w:i/>
        </w:rPr>
        <w:t>GPRS attach procedure</w:t>
      </w:r>
      <w:r w:rsidRPr="004D0DAA">
        <w:t>, defined in 3GPP TS 24.008, the mobile station requests values for the SPLIT_PG_CYCLE and NON_DRX_TIMER parameters to be applied on CCCH or PCCCH.</w:t>
      </w:r>
    </w:p>
    <w:p w14:paraId="2BB1AFF9" w14:textId="77777777" w:rsidR="00711444" w:rsidRPr="004D0DAA" w:rsidRDefault="00711444" w:rsidP="00711444">
      <w:pPr>
        <w:pStyle w:val="NO"/>
      </w:pPr>
      <w:r w:rsidRPr="004D0DAA">
        <w:t>NOTE:</w:t>
      </w:r>
      <w:r w:rsidRPr="004D0DAA">
        <w:tab/>
        <w:t>The support of the SPLIT_PG_CYCLE parameter is optional on CCCH, see 3GPP TS 45.002.</w:t>
      </w:r>
    </w:p>
    <w:p w14:paraId="5AB8AD2F" w14:textId="77777777" w:rsidR="00711444" w:rsidRPr="004D0DAA" w:rsidRDefault="00711444" w:rsidP="00711444">
      <w:pPr>
        <w:keepNext/>
        <w:keepLines/>
      </w:pPr>
      <w:r w:rsidRPr="004D0DAA">
        <w:t>The SPLIT_PG_CYCLE and NON_DRX_TIMER parameters control:</w:t>
      </w:r>
    </w:p>
    <w:p w14:paraId="79D8DA15" w14:textId="77777777" w:rsidR="00711444" w:rsidRPr="004D0DAA" w:rsidRDefault="00711444" w:rsidP="00711444">
      <w:pPr>
        <w:pStyle w:val="B1"/>
      </w:pPr>
      <w:r w:rsidRPr="004D0DAA">
        <w:t>-</w:t>
      </w:r>
      <w:r w:rsidRPr="004D0DAA">
        <w:tab/>
        <w:t>the occurrence of paging blocks on CCCH or PCCCH belonging to the mobile station (SPLIT_PG_CYCLE parameter, see 3GPP TS 45.002) in DRX mode (see 3GPP TS 43.064); and</w:t>
      </w:r>
    </w:p>
    <w:p w14:paraId="0F335B0E" w14:textId="77777777" w:rsidR="00711444" w:rsidRPr="004D0DAA" w:rsidRDefault="00711444" w:rsidP="00711444">
      <w:pPr>
        <w:pStyle w:val="B1"/>
      </w:pPr>
      <w:r w:rsidRPr="004D0DAA">
        <w:t>-</w:t>
      </w:r>
      <w:r w:rsidRPr="004D0DAA">
        <w:tab/>
        <w:t>the duration of the non-DRX mode period to be applied by the mobile station when it has left the packet transfer mode or the dual transfer mode and then enters the packet idle mode.</w:t>
      </w:r>
    </w:p>
    <w:p w14:paraId="4038F2A4" w14:textId="77777777" w:rsidR="00711444" w:rsidRPr="004D0DAA" w:rsidRDefault="00711444" w:rsidP="00711444">
      <w:r w:rsidRPr="004D0DAA">
        <w:t>There are five cases when the mobile station shall enter a non-DRX mode period.</w:t>
      </w:r>
    </w:p>
    <w:p w14:paraId="63C14D26" w14:textId="77777777" w:rsidR="00711444" w:rsidRPr="004D0DAA" w:rsidRDefault="00711444" w:rsidP="00711444">
      <w:pPr>
        <w:pStyle w:val="B1"/>
      </w:pPr>
      <w:r w:rsidRPr="004D0DAA">
        <w:t>1)</w:t>
      </w:r>
      <w:r w:rsidRPr="004D0DAA">
        <w:tab/>
        <w:t>At the transition from the packet transfer mode to the packet idle mode, the mobile station shall enter the Transfer non-DRX mode period.</w:t>
      </w:r>
    </w:p>
    <w:p w14:paraId="09B9A744" w14:textId="77777777" w:rsidR="00711444" w:rsidRPr="004D0DAA" w:rsidRDefault="00711444" w:rsidP="00711444">
      <w:pPr>
        <w:pStyle w:val="B1"/>
      </w:pPr>
      <w:r w:rsidRPr="004D0DAA">
        <w:t>2)</w:t>
      </w:r>
      <w:r w:rsidRPr="004D0DAA">
        <w:tab/>
        <w:t>At the transition from the dual transfer mode to the dedicated mode or packet idle mode, the mobile station shall enter the Transfer non-DRX mode period.</w:t>
      </w:r>
    </w:p>
    <w:p w14:paraId="325283DE" w14:textId="77777777" w:rsidR="00711444" w:rsidRPr="004D0DAA" w:rsidRDefault="00711444" w:rsidP="00711444">
      <w:pPr>
        <w:pStyle w:val="B1"/>
      </w:pPr>
      <w:r w:rsidRPr="004D0DAA">
        <w:tab/>
        <w:t xml:space="preserve">In both cases, the duration of the Transfer non-DRX mode period is determined by value of the NON_DRX_TIMER parameter, requested in the </w:t>
      </w:r>
      <w:r w:rsidRPr="004D0DAA">
        <w:rPr>
          <w:i/>
        </w:rPr>
        <w:t>GPRS attach procedure</w:t>
      </w:r>
      <w:r w:rsidRPr="004D0DAA">
        <w:t>, and the value of the DRX_TIMER_MAX parameter broadcast in the cell. The mobile station may use the minimum value of these two parameters.</w:t>
      </w:r>
    </w:p>
    <w:p w14:paraId="22999CEA" w14:textId="77777777" w:rsidR="00711444" w:rsidRPr="004D0DAA" w:rsidRDefault="00711444" w:rsidP="00711444">
      <w:pPr>
        <w:pStyle w:val="B1"/>
      </w:pPr>
      <w:r w:rsidRPr="004D0DAA">
        <w:tab/>
        <w:t>If the mobile station receives a new value of the DRX_TIMER_MAX parameter during the Transfer non-DRX mode period, the mobile station may wait to apply the new value until the next time the Transfer non-DRX mode period is entered.</w:t>
      </w:r>
    </w:p>
    <w:p w14:paraId="7A25787F" w14:textId="77777777" w:rsidR="00711444" w:rsidRPr="004D0DAA" w:rsidRDefault="00711444" w:rsidP="00711444">
      <w:pPr>
        <w:pStyle w:val="B1"/>
      </w:pPr>
      <w:r w:rsidRPr="004D0DAA">
        <w:t>3)</w:t>
      </w:r>
      <w:r w:rsidRPr="004D0DAA">
        <w:tab/>
        <w:t>A mobile station operating in NC2 mode shall enter the NC2 non-DRX mode period when it sends</w:t>
      </w:r>
      <w:r w:rsidRPr="004D0DAA">
        <w:rPr>
          <w:sz w:val="16"/>
        </w:rPr>
        <w:t xml:space="preserve"> </w:t>
      </w:r>
      <w:r w:rsidRPr="004D0DAA">
        <w:t>an NC measurement report. The duration of this period is defined by the NC_NON_DRX_PERIOD parameter.</w:t>
      </w:r>
    </w:p>
    <w:p w14:paraId="0A8CA8E2" w14:textId="77777777" w:rsidR="00711444" w:rsidRPr="004D0DAA" w:rsidRDefault="00711444" w:rsidP="00711444">
      <w:pPr>
        <w:pStyle w:val="B1"/>
      </w:pPr>
      <w:r w:rsidRPr="004D0DAA">
        <w:t>4)</w:t>
      </w:r>
      <w:r w:rsidRPr="004D0DAA">
        <w:tab/>
        <w:t xml:space="preserve">When initiating the MM procedures for </w:t>
      </w:r>
      <w:r w:rsidRPr="004D0DAA">
        <w:rPr>
          <w:i/>
        </w:rPr>
        <w:t>GPRS attach</w:t>
      </w:r>
      <w:r w:rsidRPr="004D0DAA">
        <w:t xml:space="preserve"> and </w:t>
      </w:r>
      <w:r w:rsidRPr="004D0DAA">
        <w:rPr>
          <w:i/>
        </w:rPr>
        <w:t>routeing area update</w:t>
      </w:r>
      <w:r w:rsidRPr="004D0DAA">
        <w:t xml:space="preserve"> defined in 3GPP TS 24.008, the mobile station shall enter the MM non-DRX mode period. This period ends when either of</w:t>
      </w:r>
      <w:r w:rsidRPr="004D0DAA">
        <w:rPr>
          <w:sz w:val="16"/>
        </w:rPr>
        <w:t xml:space="preserve"> </w:t>
      </w:r>
      <w:r w:rsidRPr="004D0DAA">
        <w:t>the messages GPRS ATTACH ACCEPT, GPRS ATTACH REJECT, ROUTING AREA UPDATE ACCEPT or ROUTING AREA UPDATE REJECT is received by the mobile station. This period also ends after timeout when waiting for any of these messages.</w:t>
      </w:r>
    </w:p>
    <w:p w14:paraId="5137AC9C" w14:textId="77777777" w:rsidR="00711444" w:rsidRPr="004D0DAA" w:rsidRDefault="00711444" w:rsidP="00711444">
      <w:pPr>
        <w:pStyle w:val="B1"/>
      </w:pPr>
      <w:r w:rsidRPr="004D0DAA">
        <w:t>5)</w:t>
      </w:r>
      <w:r w:rsidRPr="004D0DAA">
        <w:tab/>
        <w:t>The mobile station shall enter the MBMS non-DRX mode period when it receives a pre-notification for an MBMS service and MBMS session, and the MBMS service is a broadcast service or is a multicast service previously joined by the mobile station and the MBMS session has not yet been received by the mobile station. The mobile station shall also enter the MBMS non-DRX mode period, if not already in it, when the mobile station sends the MBMS SERVICE REQUEST message, unless the MBMS packet access procedure is performed on MPRACH during fast reception resumption. The mobile station shall also enter the MBMS non-</w:t>
      </w:r>
      <w:r w:rsidRPr="004D0DAA">
        <w:lastRenderedPageBreak/>
        <w:t>DRX mode period, if not already in it, when it receives a notification for an MBMS service and MBMS session, and the MBMS service is a broadcast service or is a multicast service previously joined by the mobile station and the MBMS session has not yet been received by the mobile station, and the notification:</w:t>
      </w:r>
    </w:p>
    <w:p w14:paraId="5FE5B396" w14:textId="77777777" w:rsidR="00711444" w:rsidRPr="004D0DAA" w:rsidRDefault="00711444" w:rsidP="00711444">
      <w:pPr>
        <w:pStyle w:val="B2"/>
      </w:pPr>
      <w:r w:rsidRPr="004D0DAA">
        <w:t>-</w:t>
      </w:r>
      <w:r w:rsidRPr="004D0DAA">
        <w:tab/>
        <w:t>indicates that no counting shall be performed and contains no MBMS p-t-m channel description;</w:t>
      </w:r>
    </w:p>
    <w:p w14:paraId="0A27764F" w14:textId="77777777" w:rsidR="00711444" w:rsidRPr="004D0DAA" w:rsidRDefault="00711444" w:rsidP="00711444">
      <w:pPr>
        <w:pStyle w:val="B2"/>
      </w:pPr>
      <w:r w:rsidRPr="004D0DAA">
        <w:t>-</w:t>
      </w:r>
      <w:r w:rsidRPr="004D0DAA">
        <w:tab/>
        <w:t xml:space="preserve">or, specifies an MBMS radio bearer starting time which has not yet elapsed. </w:t>
      </w:r>
    </w:p>
    <w:p w14:paraId="26F26EFF" w14:textId="77777777" w:rsidR="00711444" w:rsidRPr="004D0DAA" w:rsidRDefault="00711444" w:rsidP="00711444">
      <w:pPr>
        <w:pStyle w:val="B1"/>
      </w:pPr>
      <w:r w:rsidRPr="004D0DAA">
        <w:tab/>
        <w:t>The MBMS non-DRX mode period ends when a notification (containing an MBMS p-t-m channel description) or the MBMS ASSIGNMENT message, addressing the same MBMS session and not specifying an MBMS radio bearer starting time or specifying an MBMS radio bearer starting time already elapsed, is received by the mobile station. If the notification or the MBMS ASSIGNMENT message specifies an MBMS radio bearer starting time which has not yet elapsed, the period ends when the point in time denoted by the MBMS radio bearer starting time occurs, unless any subsequent notification or MBMS ASSIGNMENT message addressing the same MBMS session and received by the mobile station, before the point in time denoted by the MBMS radio bearer starting time, provides an up-to-date value of the MBMS radio bearer starting time or does not include an MBMS radio bearer starting time.</w:t>
      </w:r>
    </w:p>
    <w:p w14:paraId="3D98EC40" w14:textId="77777777" w:rsidR="00711444" w:rsidRPr="004D0DAA" w:rsidRDefault="00711444" w:rsidP="00711444">
      <w:pPr>
        <w:pStyle w:val="B1"/>
      </w:pPr>
      <w:r w:rsidRPr="004D0DAA">
        <w:tab/>
        <w:t>The MBMS non-DRX mode period also ends after timeout when waiting for the MBMS notification of the pre-notified MBMS service and MBMS session or after timeout when waiting for the MBMS ASSIGNMENT message.</w:t>
      </w:r>
    </w:p>
    <w:p w14:paraId="2EAC3542" w14:textId="77777777" w:rsidR="00711444" w:rsidRPr="004D0DAA" w:rsidRDefault="00711444" w:rsidP="00711444">
      <w:r w:rsidRPr="004D0DAA">
        <w:t>The non-DRX mode periods defined above run independent of each other and may overlap. The non-DRX mode periods have effect only in packet idle mode. In packet idle mode, the mobile station shall be in non-DRX mode during any of the non-DRX mode periods. Otherwise, the mobile station in packet idle mode may be in DRX mode.</w:t>
      </w:r>
    </w:p>
    <w:p w14:paraId="1F83EEEF" w14:textId="77777777" w:rsidR="00711444" w:rsidRPr="004D0DAA" w:rsidRDefault="00711444" w:rsidP="00711444">
      <w:r w:rsidRPr="004D0DAA">
        <w:t xml:space="preserve">If the mobile station establishes an RR connection during any of the non-DRX mode periods, then that period shall continue to run. </w:t>
      </w:r>
    </w:p>
    <w:p w14:paraId="23720504" w14:textId="77777777" w:rsidR="00711444" w:rsidRPr="004D0DAA" w:rsidRDefault="00711444" w:rsidP="00711444">
      <w:pPr>
        <w:keepNext/>
        <w:keepLines/>
      </w:pPr>
      <w:r w:rsidRPr="004D0DAA">
        <w:t>An exception case is where a mobile station has enabled PEO</w:t>
      </w:r>
      <w:r w:rsidRPr="004D0DAA">
        <w:rPr>
          <w:rFonts w:eastAsia="SimSun"/>
        </w:rPr>
        <w:t xml:space="preserve"> or EC operation </w:t>
      </w:r>
      <w:r w:rsidRPr="004D0DAA">
        <w:t xml:space="preserve">in which case it shall operate as follows: </w:t>
      </w:r>
    </w:p>
    <w:p w14:paraId="68373B26" w14:textId="77777777" w:rsidR="00711444" w:rsidRPr="004D0DAA" w:rsidRDefault="00711444" w:rsidP="00711444">
      <w:pPr>
        <w:pStyle w:val="B1"/>
      </w:pPr>
      <w:r w:rsidRPr="004D0DAA">
        <w:t>-</w:t>
      </w:r>
      <w:r w:rsidRPr="004D0DAA">
        <w:tab/>
        <w:t>When initiating the MM procedures for GPRS attach and routing area update defined in 3GPP TS 24.008 [51], the mobile station shall enter a zero length MM non-DRX mode period.</w:t>
      </w:r>
    </w:p>
    <w:p w14:paraId="29E512B3" w14:textId="77777777" w:rsidR="00711444" w:rsidRPr="004D0DAA" w:rsidRDefault="00711444" w:rsidP="00711444">
      <w:pPr>
        <w:pStyle w:val="B1"/>
      </w:pPr>
      <w:r w:rsidRPr="004D0DAA">
        <w:t>-</w:t>
      </w:r>
      <w:r w:rsidRPr="004D0DAA">
        <w:tab/>
        <w:t>If eDRX has been negotiated (see 3GPP TS 24.008 [51]) then the mobile station shall not request values for the SPLIT_PG_CYCLE or the NON_DRX_TIMER parameter.</w:t>
      </w:r>
    </w:p>
    <w:p w14:paraId="540B1419" w14:textId="77777777" w:rsidR="00711444" w:rsidRPr="004D0DAA" w:rsidRDefault="00711444" w:rsidP="00711444">
      <w:pPr>
        <w:pStyle w:val="B1"/>
      </w:pPr>
      <w:r w:rsidRPr="004D0DAA">
        <w:t>-</w:t>
      </w:r>
      <w:r w:rsidRPr="004D0DAA">
        <w:tab/>
        <w:t>At the transition from packet transfer mode to packet idle mode, the mobile station shall enter a zero-length Transfer non-DRX mode period.</w:t>
      </w:r>
    </w:p>
    <w:p w14:paraId="480EF054" w14:textId="77777777" w:rsidR="00711444" w:rsidRPr="004D0DAA" w:rsidRDefault="00711444" w:rsidP="00711444">
      <w:pPr>
        <w:pStyle w:val="B1"/>
      </w:pPr>
      <w:r w:rsidRPr="004D0DAA">
        <w:t>-</w:t>
      </w:r>
      <w:r w:rsidRPr="004D0DAA">
        <w:tab/>
        <w:t xml:space="preserve">It may negotiate the use of eDRX or PSM with eDRX.  If it has negotiated eDRX or PSM with eDRX then it shall consider eDRX to be supported in all cells in the corresponding Routing Area (i.e. eDRX is negotiated at the Routing Area level). </w:t>
      </w:r>
    </w:p>
    <w:p w14:paraId="002699EA" w14:textId="77777777" w:rsidR="00711444" w:rsidRPr="004D0DAA" w:rsidRDefault="00711444" w:rsidP="00711444">
      <w:pPr>
        <w:pStyle w:val="B1"/>
      </w:pPr>
      <w:r w:rsidRPr="004D0DAA">
        <w:t>-</w:t>
      </w:r>
      <w:r w:rsidRPr="004D0DAA">
        <w:tab/>
        <w:t xml:space="preserve">If a mobile station that has enabled PEO enters extended uplink TBF mode (see sub-clauses 9.3.1a and 9.3.1b) then it monitors the downlink PACCH starting with the 2nd 52-multiframe following the 52-multiframe in which it received the PACKET UPLINK ACK/NACK message confirming reception of all uplink RLC data blocks. More specifically, when there is no ongoing downlink TBF it monitors radio block [(IMSI mod 1e7) mod 12] in that 52-multiframe and in each subsequent 52-multiframe for a matching PACCH message for as long as it remains in extended UL TBF mode or it receives a matching PACCH message assigning it a downlink TBF. </w:t>
      </w:r>
    </w:p>
    <w:p w14:paraId="63EB5FDA" w14:textId="77777777" w:rsidR="00711444" w:rsidRPr="004D0DAA" w:rsidRDefault="00711444" w:rsidP="00711444">
      <w:pPr>
        <w:pStyle w:val="B1"/>
        <w:rPr>
          <w:rFonts w:eastAsia="SimSun"/>
          <w:lang w:val="en-US"/>
        </w:rPr>
      </w:pPr>
      <w:r w:rsidRPr="004D0DAA">
        <w:rPr>
          <w:rFonts w:eastAsia="SimSun"/>
        </w:rPr>
        <w:t>-</w:t>
      </w:r>
      <w:r w:rsidRPr="004D0DAA">
        <w:rPr>
          <w:rFonts w:eastAsia="SimSun"/>
        </w:rPr>
        <w:tab/>
        <w:t xml:space="preserve">If the mobile station in EC operation is indicated to continue monitoring the EC-PACCH in the EC PACKET UPLINK ACK/NACK with the Final Ack Indicator bit set to '1', then it monitors the EC-PACCH, according to its allocated downlink Coverage Class of the TBF, </w:t>
      </w:r>
      <w:r w:rsidRPr="004D0DAA">
        <w:t>after an initial waiting time as indicated in the EC PACKET UPLINK ACK/NACK message</w:t>
      </w:r>
      <w:r w:rsidRPr="004D0DAA">
        <w:rPr>
          <w:rFonts w:eastAsia="SimSun"/>
          <w:lang w:val="en-US"/>
        </w:rPr>
        <w:t>. The mobile station then monitors the EC-PACCH</w:t>
      </w:r>
      <w:r w:rsidRPr="004D0DAA">
        <w:t>, using a monitoring pattern as indicated in the EC PACKET UPLINK ACK/NACK message,</w:t>
      </w:r>
      <w:r w:rsidRPr="004D0DAA">
        <w:rPr>
          <w:rFonts w:eastAsia="SimSun"/>
          <w:lang w:val="en-US"/>
        </w:rPr>
        <w:t xml:space="preserve"> for as long as timer T3238 is running.</w:t>
      </w:r>
    </w:p>
    <w:p w14:paraId="57C910BA" w14:textId="77777777" w:rsidR="00711444" w:rsidRPr="004D0DAA" w:rsidRDefault="00711444" w:rsidP="00711444">
      <w:pPr>
        <w:pStyle w:val="B1"/>
      </w:pPr>
      <w:r w:rsidRPr="004D0DAA">
        <w:rPr>
          <w:rFonts w:eastAsia="SimSun"/>
        </w:rPr>
        <w:t>-</w:t>
      </w:r>
      <w:r w:rsidRPr="004D0DAA">
        <w:rPr>
          <w:rFonts w:eastAsia="SimSun"/>
        </w:rPr>
        <w:tab/>
      </w:r>
      <w:r w:rsidRPr="004D0DAA">
        <w:t>A mobile station that has enabled EC operation and negotiated eDRX shall monitor the EC-CCCH according to the selected downlink Coverage Class and the negotiated eDRX value, see 3GPP TS 45.008. If no eDRX value has been negotiated, the mobile station shall monitor the EC-CCCH according to the selected downlink Coverage Class and the lowest eDRX value. While in packet idle mode with the Ready timer running a mobile station that has enabled EC operation shall always use the lowest eDRX cycle (see 3GPP TS 45.002 [13]).</w:t>
      </w:r>
    </w:p>
    <w:p w14:paraId="57939253" w14:textId="77777777" w:rsidR="00711444" w:rsidRPr="004D0DAA" w:rsidRDefault="00711444" w:rsidP="00711444">
      <w:pPr>
        <w:pStyle w:val="B1"/>
      </w:pPr>
      <w:r w:rsidRPr="004D0DAA">
        <w:lastRenderedPageBreak/>
        <w:t>-</w:t>
      </w:r>
      <w:r w:rsidRPr="004D0DAA">
        <w:tab/>
        <w:t xml:space="preserve">A mobile station that has enabled PEO uses the lowest eDRX cycle (see 3GPP TS 45.002 [13]) while the Ready timer is running. If eDRX has been negotiated then upon expiration of the Ready timer the mobile station enters the eDRX based power saving state and uses its negotiated eDRX (see 3GPP TS 45.002 [13]). </w:t>
      </w:r>
    </w:p>
    <w:p w14:paraId="5361636D" w14:textId="77777777" w:rsidR="00711444" w:rsidRPr="004D0DAA" w:rsidRDefault="00711444" w:rsidP="00711444">
      <w:pPr>
        <w:pStyle w:val="B1"/>
      </w:pPr>
      <w:r w:rsidRPr="004D0DAA">
        <w:t>-</w:t>
      </w:r>
      <w:r w:rsidRPr="004D0DAA">
        <w:tab/>
        <w:t xml:space="preserve">If PSM has been negotiated (see 3GPP TS 24.008 [51]) it starts the active timer upon expiration of the ready timer. While the active timer is running it remains reachable using the eDRX value last negotiated with the network. If no eDRX value has been negotiated then it uses the DRX cycle applicable to the serving cell while the Active timer is running. When the active timer expires the mobile station enters the PSM based power saving state and will not be reachable until the next time it performs an uplink data transfer. </w:t>
      </w:r>
    </w:p>
    <w:p w14:paraId="5A302E4E" w14:textId="77777777" w:rsidR="00711444" w:rsidRPr="004D0DAA" w:rsidRDefault="00711444" w:rsidP="00711444">
      <w:pPr>
        <w:pStyle w:val="Heading4"/>
      </w:pPr>
      <w:bookmarkStart w:id="68" w:name="_Toc516669256"/>
      <w:r w:rsidRPr="004D0DAA">
        <w:t>5.5.1.6</w:t>
      </w:r>
      <w:r w:rsidRPr="004D0DAA">
        <w:tab/>
        <w:t>Page mode procedures on PCCCH</w:t>
      </w:r>
      <w:bookmarkEnd w:id="68"/>
    </w:p>
    <w:p w14:paraId="056D3AC9" w14:textId="77777777" w:rsidR="00711444" w:rsidRPr="004D0DAA" w:rsidRDefault="00711444" w:rsidP="00711444">
      <w:r w:rsidRPr="004D0DAA">
        <w:t>The network sends page mode information in all downlink message on PCCCH (and PACCH, see note). The page mode information controls possible additional requirements on a mobile station receiving the message.</w:t>
      </w:r>
    </w:p>
    <w:p w14:paraId="4A74D955" w14:textId="77777777" w:rsidR="00711444" w:rsidRPr="004D0DAA" w:rsidRDefault="00711444" w:rsidP="00711444">
      <w:pPr>
        <w:pStyle w:val="NO"/>
      </w:pPr>
      <w:r w:rsidRPr="004D0DAA">
        <w:t>NOTE:</w:t>
      </w:r>
      <w:r w:rsidRPr="004D0DAA">
        <w:tab/>
        <w:t>PCCCH, PDTCH and PACCH may be operated in frame stealing mode on the same PDCH. A mobile station in packet idle mode or MAC-Idle state shall consider any RLC/MAC control message received in such a radio block as belonging to PCCCH. A mobile station in packet transfer mode, dual transfer mode, MAC-Shared state or MAC-DTM state shall consider any RLC/MAC control message received as belonging to PACCH.</w:t>
      </w:r>
    </w:p>
    <w:p w14:paraId="7FC26113" w14:textId="77777777" w:rsidR="00711444" w:rsidRPr="004D0DAA" w:rsidRDefault="00711444" w:rsidP="00711444">
      <w:r w:rsidRPr="004D0DAA">
        <w:t>A mobile station in packet transfer mode, dual transfer mode, MAC-Shared state or MAC-DTM state shall not consider the page mode information received in any message that is received on a PDCH.</w:t>
      </w:r>
    </w:p>
    <w:p w14:paraId="5F1315E1" w14:textId="77777777" w:rsidR="00711444" w:rsidRPr="004D0DAA" w:rsidRDefault="00711444" w:rsidP="00711444">
      <w:r w:rsidRPr="004D0DAA">
        <w:t>A mobile station in packet idle mode or MAC-Idle state shall take into account the page mode information in any message received in a radio block on PCCCH corresponding to its paging group. The mobile station shall not take into account the page mode information in a message received in any other radio block than those corresponding to its paging group. The requirements yielded by the page mode information are as follows:</w:t>
      </w:r>
    </w:p>
    <w:p w14:paraId="7A3B3BDD" w14:textId="77777777" w:rsidR="00711444" w:rsidRPr="004D0DAA" w:rsidRDefault="00711444" w:rsidP="00711444">
      <w:pPr>
        <w:pStyle w:val="B1"/>
      </w:pPr>
      <w:r w:rsidRPr="004D0DAA">
        <w:t>-</w:t>
      </w:r>
      <w:r w:rsidRPr="004D0DAA">
        <w:tab/>
      </w:r>
      <w:r w:rsidRPr="004D0DAA">
        <w:rPr>
          <w:i/>
        </w:rPr>
        <w:t>normal paging:</w:t>
      </w:r>
      <w:r w:rsidRPr="004D0DAA">
        <w:t xml:space="preserve"> no additional requirements;</w:t>
      </w:r>
    </w:p>
    <w:p w14:paraId="4D749967" w14:textId="77777777" w:rsidR="00711444" w:rsidRPr="004D0DAA" w:rsidRDefault="00711444" w:rsidP="00711444">
      <w:pPr>
        <w:pStyle w:val="B1"/>
      </w:pPr>
      <w:r w:rsidRPr="004D0DAA">
        <w:t>-</w:t>
      </w:r>
      <w:r w:rsidRPr="004D0DAA">
        <w:tab/>
      </w:r>
      <w:r w:rsidRPr="004D0DAA">
        <w:rPr>
          <w:i/>
        </w:rPr>
        <w:t>extended paging:</w:t>
      </w:r>
      <w:r w:rsidRPr="004D0DAA">
        <w:t xml:space="preserve"> the mobile station is required in addition to receive and analyse the possible message in the third block period on PCCCH where paging may occur (PPCH), following the block corresponding to MS's paging group;</w:t>
      </w:r>
    </w:p>
    <w:p w14:paraId="0D2DD1AC" w14:textId="77777777" w:rsidR="00711444" w:rsidRPr="004D0DAA" w:rsidRDefault="00711444" w:rsidP="00711444">
      <w:pPr>
        <w:pStyle w:val="B1"/>
      </w:pPr>
      <w:r w:rsidRPr="004D0DAA">
        <w:t>-</w:t>
      </w:r>
      <w:r w:rsidRPr="004D0DAA">
        <w:tab/>
      </w:r>
      <w:r w:rsidRPr="004D0DAA">
        <w:rPr>
          <w:i/>
        </w:rPr>
        <w:t>paging reorganization:</w:t>
      </w:r>
      <w:r w:rsidRPr="004D0DAA">
        <w:t xml:space="preserve"> The mobile station shall receive all messages on the PCCCH regardless of the BS_PAG_BLKS_RES setting. It is required to receive all PBCCH messages. When the mobile station receives the next message to its (possibly new) paging group, subsequent action is defined by the page mode information in that message;</w:t>
      </w:r>
    </w:p>
    <w:p w14:paraId="31D17160" w14:textId="77777777" w:rsidR="00711444" w:rsidRPr="004D0DAA" w:rsidRDefault="00711444" w:rsidP="00711444">
      <w:pPr>
        <w:pStyle w:val="B1"/>
      </w:pPr>
      <w:r w:rsidRPr="004D0DAA">
        <w:t>-</w:t>
      </w:r>
      <w:r w:rsidRPr="004D0DAA">
        <w:tab/>
      </w:r>
      <w:r w:rsidRPr="004D0DAA">
        <w:rPr>
          <w:i/>
        </w:rPr>
        <w:t>same as before:</w:t>
      </w:r>
      <w:r w:rsidRPr="004D0DAA">
        <w:t xml:space="preserve"> no change of page mode from the previous page mode.</w:t>
      </w:r>
    </w:p>
    <w:p w14:paraId="4AF74B10" w14:textId="77777777" w:rsidR="00711444" w:rsidRPr="004D0DAA" w:rsidRDefault="00711444" w:rsidP="00711444">
      <w:r w:rsidRPr="004D0DAA">
        <w:t>Note that a mobile station takes into account the page mode information only in packet idle mode or MAC-Idle state and only in messages received in a radio block corresponding to its paging group, whatever the currently applied requirements are (normal paging, extended paging or paging reorganization).</w:t>
      </w:r>
    </w:p>
    <w:p w14:paraId="0C0780D4" w14:textId="77777777" w:rsidR="00711444" w:rsidRPr="004D0DAA" w:rsidRDefault="00711444" w:rsidP="00711444">
      <w:r w:rsidRPr="004D0DAA">
        <w:t xml:space="preserve">When the mobile station selects a new PPCH, the initial page mode in the mobile station shall be set to paging reorganization. If an RLC/MAC block in a paging sub-channel does not contain page mode information, or if it is not received correctly, the default page mode information is </w:t>
      </w:r>
      <w:r w:rsidRPr="004D0DAA">
        <w:rPr>
          <w:i/>
        </w:rPr>
        <w:t>same as before</w:t>
      </w:r>
      <w:r w:rsidRPr="004D0DAA">
        <w:t>.</w:t>
      </w:r>
    </w:p>
    <w:p w14:paraId="16E5FA98" w14:textId="77777777" w:rsidR="00711444" w:rsidRPr="004D0DAA" w:rsidRDefault="00711444" w:rsidP="00711444">
      <w:pPr>
        <w:pStyle w:val="Heading4"/>
      </w:pPr>
      <w:bookmarkStart w:id="69" w:name="_Toc516669257"/>
      <w:r w:rsidRPr="004D0DAA">
        <w:t>5.5.1.7</w:t>
      </w:r>
      <w:r w:rsidRPr="004D0DAA">
        <w:tab/>
        <w:t>Frequency Parameters</w:t>
      </w:r>
      <w:bookmarkEnd w:id="69"/>
    </w:p>
    <w:p w14:paraId="0FCB47D4" w14:textId="77777777" w:rsidR="00711444" w:rsidRPr="004D0DAA" w:rsidRDefault="00711444" w:rsidP="00711444">
      <w:r w:rsidRPr="004D0DAA">
        <w:t>Frequency parameters may be included in the packet assignment messages (i.e., PACKET DOWNLINK ASSIGNMENT, MULTIPLE TBF DOWNLINK ASSIGNMENT, PACKET UPLINK ASSIGNMENT, MULTIPLE TBF UPLINK ASSIGNMENT, PACKET TIMESLOT RECONFIGURE, MULTIPLE TBF TIMESLOT RECONFIGURE or PACKET CS RELEASE INDICATION messages) or in the PS HANDOVER COMMAND message and define the training sequence codes(s) (TSC) and the radio frequency channels or set of radio frequency channels the mobile station is to use during the assigned TBF(s). The first packet assignment message, sent to the mobile station when it enters packet transfer mode or MAC-Shared state, shall include the frequency parameters. Subsequent packet assignment messages, sent to the mobile station during packet transfer mode or MAC-Shared state, may omit the frequency parameters. If a mobile station receives a subsequent packet assignment message, during packet transfer mode or MAC-Shared state, without the frequency parameters, the mobile station shall continue to use the previously assigned frequency parameters.</w:t>
      </w:r>
    </w:p>
    <w:p w14:paraId="048F42BF" w14:textId="77777777" w:rsidR="00711444" w:rsidRPr="004D0DAA" w:rsidRDefault="00711444" w:rsidP="00711444">
      <w:r w:rsidRPr="004D0DAA">
        <w:lastRenderedPageBreak/>
        <w:t>A packet assignment message, when sent to a mobile station in dual transfer mode or MAC-DTM state, shall not include the frequency parameters for the carrier supporting the dedicated resources in a Downlink Dual Carrier configuration. If the network intends to change the frequency allocation of the carrier supporting the dedicated resources for a mobile station in dual transfer mode or MAC-DTM state, the network may use the DTM assignment procedure defined in 3GPP TS 44.018.</w:t>
      </w:r>
    </w:p>
    <w:p w14:paraId="07004BBE" w14:textId="77777777" w:rsidR="00711444" w:rsidRPr="004D0DAA" w:rsidRDefault="00711444" w:rsidP="00711444">
      <w:r w:rsidRPr="004D0DAA">
        <w:t>If the network and mobile station both support Downlink Dual Carrier, the network may send a packet assignment message or a PS HANDOVER COMMAND message to a mobile station specifying packet resources for one or more TBFs on two carriers (referred to as carrier 1 and carrier 2) and thereby establish a Downlink Dual Carrier configuration. If the packet assignment message is sent to a mobile station in packet idle mode, this message shall include frequency parameters for both carriers. If this message is sent to a mobile station which is in packet transfer mode (and is not in a Downlink Dual Carrier configuration) the assignment message shall either:</w:t>
      </w:r>
    </w:p>
    <w:p w14:paraId="31666DE6" w14:textId="77777777" w:rsidR="00711444" w:rsidRPr="004D0DAA" w:rsidRDefault="00711444" w:rsidP="00711444">
      <w:pPr>
        <w:pStyle w:val="B1"/>
      </w:pPr>
      <w:r w:rsidRPr="004D0DAA">
        <w:t>-</w:t>
      </w:r>
      <w:r w:rsidRPr="004D0DAA">
        <w:tab/>
        <w:t>provide new frequency parameters for both carriers, or</w:t>
      </w:r>
    </w:p>
    <w:p w14:paraId="4192DB09" w14:textId="77777777" w:rsidR="00711444" w:rsidRPr="004D0DAA" w:rsidRDefault="00711444" w:rsidP="00711444">
      <w:pPr>
        <w:pStyle w:val="B1"/>
      </w:pPr>
      <w:r w:rsidRPr="004D0DAA">
        <w:t>-</w:t>
      </w:r>
      <w:r w:rsidRPr="004D0DAA">
        <w:tab/>
        <w:t>provide frequency parameters for only one carrier (carrier 2) in which case the frequency parameters for carrier 1 remain unchanged.</w:t>
      </w:r>
    </w:p>
    <w:p w14:paraId="39E9B0E0" w14:textId="77777777" w:rsidR="00711444" w:rsidRPr="004D0DAA" w:rsidRDefault="00711444" w:rsidP="00711444">
      <w:r w:rsidRPr="004D0DAA">
        <w:t>Subsequent packet assignment messages sent to a mobile station in a Downlink Dual Carrier configuration may:</w:t>
      </w:r>
    </w:p>
    <w:p w14:paraId="55335B96" w14:textId="77777777" w:rsidR="00711444" w:rsidRPr="004D0DAA" w:rsidRDefault="00711444" w:rsidP="00711444">
      <w:pPr>
        <w:pStyle w:val="B1"/>
      </w:pPr>
      <w:r w:rsidRPr="004D0DAA">
        <w:t>-</w:t>
      </w:r>
      <w:r w:rsidRPr="004D0DAA">
        <w:tab/>
        <w:t xml:space="preserve">include frequency parameters which correspond to the frequency parameters already in use for one or both carriers; or </w:t>
      </w:r>
    </w:p>
    <w:p w14:paraId="2E4D7E02" w14:textId="77777777" w:rsidR="00711444" w:rsidRPr="004D0DAA" w:rsidRDefault="00711444" w:rsidP="00711444">
      <w:pPr>
        <w:pStyle w:val="B1"/>
      </w:pPr>
      <w:r w:rsidRPr="004D0DAA">
        <w:t>-</w:t>
      </w:r>
      <w:r w:rsidRPr="004D0DAA">
        <w:tab/>
        <w:t>provide no new frequency parameters, in which case the existing parameters continue to apply; or</w:t>
      </w:r>
    </w:p>
    <w:p w14:paraId="6DE7D782" w14:textId="77777777" w:rsidR="00711444" w:rsidRPr="004D0DAA" w:rsidRDefault="00711444" w:rsidP="00711444">
      <w:pPr>
        <w:pStyle w:val="B1"/>
      </w:pPr>
      <w:r w:rsidRPr="004D0DAA">
        <w:t>-</w:t>
      </w:r>
      <w:r w:rsidRPr="004D0DAA">
        <w:tab/>
        <w:t>provide new frequency parameters for both carriers; or</w:t>
      </w:r>
    </w:p>
    <w:p w14:paraId="72438CAF" w14:textId="77777777" w:rsidR="00711444" w:rsidRPr="004D0DAA" w:rsidRDefault="00711444" w:rsidP="00711444">
      <w:pPr>
        <w:pStyle w:val="B1"/>
      </w:pPr>
      <w:r w:rsidRPr="004D0DAA">
        <w:t>-</w:t>
      </w:r>
      <w:r w:rsidRPr="004D0DAA">
        <w:tab/>
        <w:t>provide new frequency parameters for only one carrier, in which case the frequency parameters for the other carrier remain unchanged.</w:t>
      </w:r>
    </w:p>
    <w:p w14:paraId="24791C86" w14:textId="77777777" w:rsidR="00711444" w:rsidRPr="004D0DAA" w:rsidRDefault="00711444" w:rsidP="00711444">
      <w:r w:rsidRPr="004D0DAA">
        <w:t>If the network and mobile station both support Downlink Multi Carrier, the network may send a packet assignment message (i.e. PACKET DOWNLINK ASSIGNMENT or PACKET TIMESLOT RECONFIGURE messages) or a PS HANDOVER COMMAND message to a mobile station specifying packet resources that establish a DLMC configuration. The PS HANDOVER COMMAND message shall always provide new frequency parameters for use in the new cell whereas the packet assignment message may:</w:t>
      </w:r>
    </w:p>
    <w:p w14:paraId="5547F966" w14:textId="77777777" w:rsidR="00711444" w:rsidRPr="004D0DAA" w:rsidRDefault="00711444" w:rsidP="00711444">
      <w:pPr>
        <w:pStyle w:val="B1"/>
      </w:pPr>
      <w:r w:rsidRPr="004D0DAA">
        <w:t>-</w:t>
      </w:r>
      <w:r w:rsidRPr="004D0DAA">
        <w:tab/>
        <w:t xml:space="preserve">provide new frequency parameters for all newly assigned and existing carriers, or </w:t>
      </w:r>
    </w:p>
    <w:p w14:paraId="4537AB26" w14:textId="77777777" w:rsidR="00711444" w:rsidRPr="004D0DAA" w:rsidRDefault="00711444" w:rsidP="00711444">
      <w:pPr>
        <w:pStyle w:val="B1"/>
      </w:pPr>
      <w:r w:rsidRPr="004D0DAA">
        <w:t>-</w:t>
      </w:r>
      <w:r w:rsidRPr="004D0DAA">
        <w:tab/>
        <w:t>provide new frequency parameters for all newly assigned carriers, modify the frequency parameters for a subset of the existing carriers and leave the frequency parameters for the remaining existing carriers unchanged.</w:t>
      </w:r>
    </w:p>
    <w:p w14:paraId="03ADBCA1" w14:textId="77777777" w:rsidR="00711444" w:rsidRPr="004D0DAA" w:rsidRDefault="00711444" w:rsidP="00711444">
      <w:r w:rsidRPr="004D0DAA">
        <w:t>When a mobile station has resources assigned on only one carrier then, for the purposes of subsequent packet assignment messages, that carrier shall be considered carrier 1. A subsequent packet assignment message may assign resources on a second carrier, thereby establishing a Downlink Dual Carrier configuration; in this case, the packet assignment message shall provide frequency parameters for a second carrier (carrier 2) for use in a Downlink Dual Carrier configuration. Similarly, a subsequent packet assignment message may assign resources on one or more additional carriers, thereby establishing a DLMC configuration; in this case, the packet assignment message shall provide DLMC frequency parameters as required for use in a DLMC configuration.</w:t>
      </w:r>
    </w:p>
    <w:p w14:paraId="3B2A2E93" w14:textId="77777777" w:rsidR="00711444" w:rsidRPr="004D0DAA" w:rsidRDefault="00711444" w:rsidP="00711444">
      <w:r w:rsidRPr="004D0DAA">
        <w:t>A packet assignment message sent to a mobile station in packet transfer mode may specify frequency parameters for one or (in the case of a mobile station with a downlink dual carrier configuration) both carriers which are different from those currently in effect for that mobile station only in the following cases:</w:t>
      </w:r>
    </w:p>
    <w:p w14:paraId="5C499F2F" w14:textId="77777777" w:rsidR="00711444" w:rsidRPr="004D0DAA" w:rsidRDefault="00711444" w:rsidP="00711444">
      <w:pPr>
        <w:pStyle w:val="B1"/>
      </w:pPr>
      <w:r w:rsidRPr="004D0DAA">
        <w:t>a)</w:t>
      </w:r>
      <w:r w:rsidRPr="004D0DAA">
        <w:tab/>
        <w:t>the assignment message is a PACKET TIMESLOT RECONFIGURE or MULTIPLE TBF TIMESLOT RECONFIGURE message.</w:t>
      </w:r>
    </w:p>
    <w:p w14:paraId="0F6CA97D" w14:textId="77777777" w:rsidR="00711444" w:rsidRPr="004D0DAA" w:rsidRDefault="00711444" w:rsidP="00711444">
      <w:pPr>
        <w:pStyle w:val="B1"/>
      </w:pPr>
      <w:r w:rsidRPr="004D0DAA">
        <w:t>b)</w:t>
      </w:r>
      <w:r w:rsidRPr="004D0DAA">
        <w:tab/>
        <w:t>the assignment message is a PACKET DOWNLINK ASSIGNMENT message (respectively PACKET UPLINK ASSIGNMENT message) being sent to a mobile station which has no ongoing uplink (respectively downlink) TBF(s).</w:t>
      </w:r>
    </w:p>
    <w:p w14:paraId="56AEEAF6" w14:textId="77777777" w:rsidR="00711444" w:rsidRPr="004D0DAA" w:rsidRDefault="00711444" w:rsidP="00711444">
      <w:pPr>
        <w:pStyle w:val="B1"/>
      </w:pPr>
      <w:r w:rsidRPr="004D0DAA">
        <w:t>c)</w:t>
      </w:r>
      <w:r w:rsidRPr="004D0DAA">
        <w:tab/>
        <w:t>the assignment message is a MULTIPLE TBF DOWNLINK ASSIGNMENT message (respectively MULTIPLE TBF UPLINK ASSIGNMENT message) being sent to a mobile station which is or, after this assignment, will be in a downlink dual carrier configuration and has no ongoing uplink (respectively downlink) TBF(s); in this case, the ongoing downlink (respectively uplink) TBFs are implicitly reassigned on the new frequency parameters with all other parameters for those TBFs unchanged.</w:t>
      </w:r>
    </w:p>
    <w:p w14:paraId="0F78D54F" w14:textId="77777777" w:rsidR="00711444" w:rsidRPr="004D0DAA" w:rsidRDefault="00711444" w:rsidP="00711444">
      <w:pPr>
        <w:pStyle w:val="B1"/>
      </w:pPr>
      <w:r w:rsidRPr="004D0DAA">
        <w:lastRenderedPageBreak/>
        <w:t>d)</w:t>
      </w:r>
      <w:r w:rsidRPr="004D0DAA">
        <w:tab/>
        <w:t>the assignment message is a PACKET DOWNLINK ASSIGNMENT message (respectively PACKET UPLINK ASSIGNMENT message) sent to a mobile station with a downlink dual carrier configuration, where the frequency parameters for only one carrier are changed, and where no ongoing uplink (respectively downlink) TBF(s) had resources assigned on that carrier.</w:t>
      </w:r>
    </w:p>
    <w:p w14:paraId="299BE76E" w14:textId="77777777" w:rsidR="00711444" w:rsidRPr="004D0DAA" w:rsidRDefault="00711444" w:rsidP="00711444">
      <w:r w:rsidRPr="004D0DAA">
        <w:t>In cases c) and d) above, a format of the message which includes the Carrier ID field shall be used.</w:t>
      </w:r>
    </w:p>
    <w:p w14:paraId="5D0A357C" w14:textId="77777777" w:rsidR="00711444" w:rsidRPr="004D0DAA" w:rsidRDefault="00711444" w:rsidP="00711444">
      <w:r w:rsidRPr="004D0DAA">
        <w:t>When assigning resources on one carrier to a mobile station which is currently in a Downlink Dual Carrier configuration using a format of the message which does not include the Carrier ID field, the network shall always include frequency parameters; if one or more TBFs which are ongoing are not explicitly addressed in the packet assignment message and will remain ongoing after the new assignment, the included frequency parameters shall be those in use for either carrier 1 or carrier 2.</w:t>
      </w:r>
    </w:p>
    <w:p w14:paraId="6BB2BDAC" w14:textId="77777777" w:rsidR="00711444" w:rsidRPr="004D0DAA" w:rsidRDefault="00711444" w:rsidP="00711444">
      <w:r w:rsidRPr="004D0DAA">
        <w:t>A packet assignment message sent to a mobile station in packet transfer mode with a DLMC configuration may specify frequency parameters for one or more carriers which are different from those currently in effect for that mobile station only in the following cases:</w:t>
      </w:r>
    </w:p>
    <w:p w14:paraId="43235157" w14:textId="77777777" w:rsidR="00711444" w:rsidRPr="004D0DAA" w:rsidRDefault="00711444" w:rsidP="00711444">
      <w:pPr>
        <w:pStyle w:val="B1"/>
      </w:pPr>
      <w:r w:rsidRPr="004D0DAA">
        <w:t>a)</w:t>
      </w:r>
      <w:r w:rsidRPr="004D0DAA">
        <w:tab/>
        <w:t>the assignment message is a PACKET TIMESLOT RECONFIGURE message.</w:t>
      </w:r>
    </w:p>
    <w:p w14:paraId="3CF45923" w14:textId="77777777" w:rsidR="00711444" w:rsidRPr="004D0DAA" w:rsidRDefault="00711444" w:rsidP="00711444">
      <w:pPr>
        <w:pStyle w:val="B1"/>
      </w:pPr>
      <w:r w:rsidRPr="004D0DAA">
        <w:t>b)</w:t>
      </w:r>
      <w:r w:rsidRPr="004D0DAA">
        <w:tab/>
        <w:t>the assignment message is a PACKET DOWNLINK ASSIGNMENT message sent to a mobile station which has no ongoing uplink TBF.</w:t>
      </w:r>
    </w:p>
    <w:p w14:paraId="050C6817" w14:textId="77777777" w:rsidR="00711444" w:rsidRPr="004D0DAA" w:rsidRDefault="00711444" w:rsidP="00711444">
      <w:pPr>
        <w:pStyle w:val="B1"/>
      </w:pPr>
      <w:r w:rsidRPr="004D0DAA">
        <w:t xml:space="preserve">c)   the assignment message is a PACKET DOWNLINK ASSIGNMENT message sent to a mobile station which has an ongoing uplink TBF, subject to the restriction that all existing carriers on which USF is monitored remain assigned. </w:t>
      </w:r>
    </w:p>
    <w:p w14:paraId="4801DBB3" w14:textId="77777777" w:rsidR="00711444" w:rsidRPr="004D0DAA" w:rsidRDefault="00711444" w:rsidP="00711444">
      <w:pPr>
        <w:pStyle w:val="B1"/>
        <w:rPr>
          <w:rFonts w:ascii="Calibri" w:hAnsi="Calibri" w:cs="Calibri"/>
          <w:sz w:val="22"/>
          <w:szCs w:val="22"/>
        </w:rPr>
      </w:pPr>
      <w:r w:rsidRPr="004D0DAA">
        <w:t>d)  the assignment message is a PACKET UPLINK ASSIGNMENT message for the case where the ongoing downlink TBF is not modified.</w:t>
      </w:r>
    </w:p>
    <w:p w14:paraId="0A56355A" w14:textId="77777777" w:rsidR="00711444" w:rsidRPr="004D0DAA" w:rsidRDefault="00711444" w:rsidP="00711444">
      <w:r w:rsidRPr="004D0DAA">
        <w:t>Frequency parameters used for EC TBFs are specified in the EC SYSTEM INFORMATION TYPE 1 message, sent on the EC-BCCH, see 3GPP TS 44.018. The frequency parameters are included in EC Mobile Allocation sets, each set consisting of:</w:t>
      </w:r>
    </w:p>
    <w:p w14:paraId="28497093" w14:textId="77777777" w:rsidR="00711444" w:rsidRPr="004D0DAA" w:rsidRDefault="00711444" w:rsidP="00711444">
      <w:pPr>
        <w:pStyle w:val="B1"/>
      </w:pPr>
      <w:r w:rsidRPr="004D0DAA">
        <w:t>-</w:t>
      </w:r>
      <w:r w:rsidRPr="004D0DAA">
        <w:tab/>
        <w:t>radio frequencies (ARFCNs), HSN and MAIO, for a hopping radio frequency channel; or</w:t>
      </w:r>
    </w:p>
    <w:p w14:paraId="247077B1" w14:textId="77777777" w:rsidR="00711444" w:rsidRPr="004D0DAA" w:rsidRDefault="00711444" w:rsidP="00711444">
      <w:pPr>
        <w:pStyle w:val="B1"/>
      </w:pPr>
      <w:r w:rsidRPr="004D0DAA">
        <w:t>-</w:t>
      </w:r>
      <w:r w:rsidRPr="004D0DAA">
        <w:tab/>
        <w:t xml:space="preserve">a single ARFCN, for a non-hopping radio frequency channel. </w:t>
      </w:r>
    </w:p>
    <w:p w14:paraId="09AC954D" w14:textId="77777777" w:rsidR="00711444" w:rsidRPr="004D0DAA" w:rsidRDefault="00711444" w:rsidP="00711444">
      <w:r w:rsidRPr="004D0DAA">
        <w:t>The frequency parameters for a specific EC TBF are assigned in the packet assignment messages (i.e. EC IMMEDIATE ASSIGNMENT TYPE 1, EC IMMEDIATE ASSIGNMENT TYPE 2, EC DOWNLINK ASSIGNMENT, EC PACKET DOWNLINK ASSIGNMENT or EC PACKET UPLINK ASSIGNMENT message). The packet assignment messages then includes a reference to one of the EC Mobile Allocation sets in the EC SYSTEM INFORMATION TYPE 1 message and a definition of the training sequence code (TSC) to use for the EC TBF.</w:t>
      </w:r>
    </w:p>
    <w:p w14:paraId="3CE84FD7" w14:textId="77777777" w:rsidR="00711444" w:rsidRPr="004D0DAA" w:rsidRDefault="00711444" w:rsidP="00711444">
      <w:r w:rsidRPr="004D0DAA">
        <w:t>The Frequency Parameters information element is defined in sub-clause 12.8 and the Dual Carrier Frequency Parameters information element is defined in sub-clause 12.8.2 and the DLMC Frequency Parameters information element is defined in sub-clause 12.8.4. The frequency parameters may use an ARFCN defining a non-hopping radio frequency channel, or use the indirect encoding, direct encoding 1 or direct encoding 2 defining a hopping radio frequency channel.</w:t>
      </w:r>
    </w:p>
    <w:p w14:paraId="374BACAB" w14:textId="77777777" w:rsidR="00711444" w:rsidRPr="004D0DAA" w:rsidRDefault="00711444" w:rsidP="00711444">
      <w:pPr>
        <w:keepNext/>
      </w:pPr>
      <w:r w:rsidRPr="004D0DAA">
        <w:t>The indirect encoding defines the assigned set of radio frequency channels by referencing information stored within the mobile station. Such information may be received on PBCCH or BCCH (see sub-clauses 5.5.2.1, 11.2.19, 12.8 and 12.10a), or be received in a previous assignment message using one of the direct encoding options. An MA_NUMBER identifies which of up to eight stored sets of frequency parameters is to be used. The MA_NUMBER shall use the following coding:</w:t>
      </w:r>
    </w:p>
    <w:p w14:paraId="6D2BF37C" w14:textId="77777777" w:rsidR="00711444" w:rsidRPr="004D0DAA" w:rsidRDefault="00711444" w:rsidP="00711444">
      <w:pPr>
        <w:pStyle w:val="FP"/>
        <w:keepNext/>
        <w:spacing w:after="200"/>
        <w:ind w:left="2127" w:hanging="2127"/>
      </w:pPr>
      <w:r w:rsidRPr="004D0DAA">
        <w:t>MA_NUMBER = 0-13</w:t>
      </w:r>
      <w:r w:rsidRPr="004D0DAA">
        <w:tab/>
        <w:t>shall be used to reference a GPRS mobile allocation received in a PSI2 message;</w:t>
      </w:r>
    </w:p>
    <w:p w14:paraId="4A28D44E" w14:textId="77777777" w:rsidR="00711444" w:rsidRPr="004D0DAA" w:rsidRDefault="00711444" w:rsidP="00711444">
      <w:pPr>
        <w:pStyle w:val="FP"/>
        <w:keepNext/>
        <w:spacing w:after="200"/>
        <w:ind w:left="2127" w:hanging="2127"/>
      </w:pPr>
      <w:r w:rsidRPr="004D0DAA">
        <w:t>MA_NUMBER = 14</w:t>
      </w:r>
      <w:r w:rsidRPr="004D0DAA">
        <w:tab/>
        <w:t>shall be used to reference a GPRS mobile allocation received in a SI13 or PSI13 message;</w:t>
      </w:r>
    </w:p>
    <w:p w14:paraId="1B65A2B5" w14:textId="77777777" w:rsidR="00711444" w:rsidRPr="004D0DAA" w:rsidRDefault="00711444" w:rsidP="00711444">
      <w:pPr>
        <w:pStyle w:val="FP"/>
        <w:keepNext/>
        <w:spacing w:after="200"/>
        <w:ind w:left="2127" w:hanging="2127"/>
      </w:pPr>
      <w:r w:rsidRPr="004D0DAA">
        <w:t>MA_NUMBER = 15</w:t>
      </w:r>
      <w:r w:rsidRPr="004D0DAA">
        <w:tab/>
        <w:t>shall be used to reference a GPRS mobile allocation received in a previous assignment message using the direct encoding.</w:t>
      </w:r>
    </w:p>
    <w:p w14:paraId="251FC296" w14:textId="77777777" w:rsidR="00711444" w:rsidRPr="004D0DAA" w:rsidRDefault="00711444" w:rsidP="00711444">
      <w:r w:rsidRPr="004D0DAA">
        <w:t xml:space="preserve">When the indirect encoding is used, the network may include a CHANGE_MARK_1 and a CHANGE_MARK_2 in the Frequency Parameters information element. The mobile station shall then verify that it is using a set of PBCCH or </w:t>
      </w:r>
      <w:r w:rsidRPr="004D0DAA">
        <w:lastRenderedPageBreak/>
        <w:t xml:space="preserve">BCCH information identified by a PSI or SI </w:t>
      </w:r>
      <w:r w:rsidRPr="004D0DAA">
        <w:rPr>
          <w:i/>
        </w:rPr>
        <w:t>change mark</w:t>
      </w:r>
      <w:r w:rsidRPr="004D0DAA">
        <w:t xml:space="preserve"> corresponding to one of the CHANGE_MARK_1 or 2 parameters, for the decoding of the frequency information. If that is not the case, an abnormal condition occurs.</w:t>
      </w:r>
    </w:p>
    <w:p w14:paraId="4E78BD3F" w14:textId="77777777" w:rsidR="00711444" w:rsidRPr="004D0DAA" w:rsidRDefault="00711444" w:rsidP="00711444">
      <w:r w:rsidRPr="004D0DAA">
        <w:t>The direct encoding defines the assigned set of radio frequency channels by using information contained within the assignment message. The direct encoding 1 references the cell allocation or reference frequency lists received on PBCCH for the decoding of this information. The direct encoding 2 is self contained. When the direct encoding 1 or 2 is used, the mobile station shall store the received GPRS mobile allocation for possible later reference in an assignment message using the indirect encoding. Such reference shall be made using the MA_NUMBER = 15.</w:t>
      </w:r>
    </w:p>
    <w:p w14:paraId="0901020A" w14:textId="77777777" w:rsidR="00711444" w:rsidRPr="004D0DAA" w:rsidRDefault="00711444" w:rsidP="00711444">
      <w:pPr>
        <w:pStyle w:val="NO"/>
      </w:pPr>
      <w:r w:rsidRPr="004D0DAA">
        <w:t>NOTE:</w:t>
      </w:r>
      <w:r w:rsidRPr="004D0DAA">
        <w:tab/>
        <w:t>If there is a GPRS mobile allocation associated with MA_NUMBER = 15, the association shall be kept unchanged if the mobile station receives a packet assignment using the indirect encoding (referencing any value of the MA_NUMBER), the frequency parameters are not included in the packet assignment (i.e., in packet transfer mode, dual transfer mode, MAC-Shared state or MAC-DTM state) or the mobile station establishes an RR connection (for A/Gb mode) or is allocated a DBPSCH (for Iu mode).</w:t>
      </w:r>
    </w:p>
    <w:p w14:paraId="06B7FF8B" w14:textId="77777777" w:rsidR="00711444" w:rsidRPr="004D0DAA" w:rsidRDefault="00711444" w:rsidP="00711444">
      <w:r w:rsidRPr="004D0DAA">
        <w:t>For the decoding of frequency parameters, the mobile station shall be able to store the following frequency information (see sub-clauses 11.2.19, 12.8 and 12.10a):</w:t>
      </w:r>
    </w:p>
    <w:p w14:paraId="5BD33D07" w14:textId="77777777" w:rsidR="00711444" w:rsidRPr="004D0DAA" w:rsidRDefault="00711444" w:rsidP="00711444">
      <w:pPr>
        <w:pStyle w:val="B1"/>
      </w:pPr>
      <w:r w:rsidRPr="004D0DAA">
        <w:t>-</w:t>
      </w:r>
      <w:r w:rsidRPr="004D0DAA">
        <w:tab/>
        <w:t>four Reference Frequency Lists received in the PSI2 information and the corresponding RFL_NUMBERs for identification, each RFL having a contents length of up to 18 octets;</w:t>
      </w:r>
    </w:p>
    <w:p w14:paraId="51D924F6" w14:textId="77777777" w:rsidR="00711444" w:rsidRPr="004D0DAA" w:rsidRDefault="00711444" w:rsidP="00711444">
      <w:pPr>
        <w:pStyle w:val="B1"/>
      </w:pPr>
      <w:r w:rsidRPr="004D0DAA">
        <w:t>-</w:t>
      </w:r>
      <w:r w:rsidRPr="004D0DAA">
        <w:tab/>
        <w:t>a Cell Allocation received in the PSI2 information referencing up to four RFLs;</w:t>
      </w:r>
    </w:p>
    <w:p w14:paraId="126BCF08" w14:textId="77777777" w:rsidR="00711444" w:rsidRPr="004D0DAA" w:rsidRDefault="00711444" w:rsidP="00711444">
      <w:pPr>
        <w:pStyle w:val="B1"/>
      </w:pPr>
      <w:r w:rsidRPr="004D0DAA">
        <w:t>-</w:t>
      </w:r>
      <w:r w:rsidRPr="004D0DAA">
        <w:tab/>
        <w:t>seven GPRS Mobile Allocations received in the PSI2 or the SI13/PSI13 information and the corresponding MA_NUMBERs for identification, each GPRS Mobile Allocation information element having a length of up to 12 octets (96 bits); and</w:t>
      </w:r>
    </w:p>
    <w:p w14:paraId="4CF21B54" w14:textId="77777777" w:rsidR="00711444" w:rsidRPr="004D0DAA" w:rsidRDefault="00711444" w:rsidP="00711444">
      <w:pPr>
        <w:pStyle w:val="B1"/>
      </w:pPr>
      <w:r w:rsidRPr="004D0DAA">
        <w:t>-</w:t>
      </w:r>
      <w:r w:rsidRPr="004D0DAA">
        <w:tab/>
        <w:t>one GPRS mobile allocation received in an assignment message using direct encoding 1 or 2, consisting of either a GPRS Mobile Allocation information element having a length of up to 12 octets (96 bits) or a MA Frequency List having a contents length of up to 18 octets.</w:t>
      </w:r>
    </w:p>
    <w:p w14:paraId="7F0F52E8" w14:textId="77777777" w:rsidR="00711444" w:rsidRPr="004D0DAA" w:rsidRDefault="00711444" w:rsidP="00711444">
      <w:r w:rsidRPr="004D0DAA">
        <w:t>The mobile station shall be able to store the frequency information for the PCCCH description corresponding to its own PCCCH_GROUP (see sub-clause 11.2.19).</w:t>
      </w:r>
    </w:p>
    <w:p w14:paraId="09EC95FB" w14:textId="77777777" w:rsidR="00711444" w:rsidRPr="004D0DAA" w:rsidRDefault="00711444" w:rsidP="00711444">
      <w:r w:rsidRPr="004D0DAA">
        <w:t>If the mobile station supports SMSCB, it shall be able to store the frequency information for the CBCH to be used in packet idle mode or MAC-Idle state.</w:t>
      </w:r>
    </w:p>
    <w:p w14:paraId="54426FDC" w14:textId="77777777" w:rsidR="00711444" w:rsidRPr="004D0DAA" w:rsidRDefault="00711444" w:rsidP="00711444">
      <w:r w:rsidRPr="004D0DAA">
        <w:t>The frequency information that the mobile station has stored while camping on a cell shall be deleted when the mobile station reselects a new cell.</w:t>
      </w:r>
    </w:p>
    <w:p w14:paraId="13CA352C" w14:textId="77777777" w:rsidR="00711444" w:rsidRPr="004D0DAA" w:rsidRDefault="00711444" w:rsidP="00711444">
      <w:pPr>
        <w:pStyle w:val="Heading4"/>
      </w:pPr>
      <w:bookmarkStart w:id="70" w:name="_Toc516669258"/>
      <w:r w:rsidRPr="004D0DAA">
        <w:t>5.5.1.8</w:t>
      </w:r>
      <w:r w:rsidRPr="004D0DAA">
        <w:tab/>
        <w:t>TLLI management</w:t>
      </w:r>
      <w:bookmarkEnd w:id="70"/>
    </w:p>
    <w:p w14:paraId="4F66A230" w14:textId="77777777" w:rsidR="00711444" w:rsidRPr="004D0DAA" w:rsidRDefault="00711444" w:rsidP="00711444">
      <w:r w:rsidRPr="004D0DAA">
        <w:t>In case the mobile station receives a message assigning a new P-TMSI from the network during the contention resolution procedure, the mobile station shall continue to use the old TLLI until the contention resolution is completed.</w:t>
      </w:r>
    </w:p>
    <w:p w14:paraId="2F68F709" w14:textId="77777777" w:rsidR="00711444" w:rsidRPr="004D0DAA" w:rsidRDefault="00711444" w:rsidP="00711444">
      <w:r w:rsidRPr="004D0DAA">
        <w:t>After contention resolution the mobile station shall apply new TLLI in RLC/MAC control block if the mobile has received a new P-TMSI.</w:t>
      </w:r>
    </w:p>
    <w:p w14:paraId="68D9E7D0" w14:textId="77777777" w:rsidR="00711444" w:rsidRPr="004D0DAA" w:rsidRDefault="00711444" w:rsidP="00711444">
      <w:r w:rsidRPr="004D0DAA">
        <w:t>The BSS shall not include TLLI within RLC/MAC control messages it sends to a mobile station in packet transfer mode.</w:t>
      </w:r>
    </w:p>
    <w:p w14:paraId="0A9F04B6" w14:textId="77777777" w:rsidR="00711444" w:rsidRPr="004D0DAA" w:rsidRDefault="00711444" w:rsidP="00711444">
      <w:pPr>
        <w:pStyle w:val="Heading4"/>
      </w:pPr>
      <w:bookmarkStart w:id="71" w:name="_Toc516669259"/>
      <w:r w:rsidRPr="004D0DAA">
        <w:t>5.5.1.9</w:t>
      </w:r>
      <w:r w:rsidRPr="004D0DAA">
        <w:tab/>
      </w:r>
      <w:r w:rsidRPr="004D0DAA">
        <w:t>Packet Flow Context (PFC)</w:t>
      </w:r>
      <w:bookmarkEnd w:id="71"/>
    </w:p>
    <w:p w14:paraId="11846E0C" w14:textId="77777777" w:rsidR="00711444" w:rsidRPr="004D0DAA" w:rsidRDefault="00711444" w:rsidP="00711444">
      <w:r w:rsidRPr="004D0DAA">
        <w:t>Packet Flow Context (PFC) procedures are described in 3GPP TS 23.060. A Packet Flow Identifier (PFI) is used to identify a PFC.</w:t>
      </w:r>
    </w:p>
    <w:p w14:paraId="207E711E" w14:textId="77777777" w:rsidR="00711444" w:rsidRPr="004D0DAA" w:rsidRDefault="00711444" w:rsidP="00711444">
      <w:r w:rsidRPr="004D0DAA">
        <w:t xml:space="preserve">Mobile station support of packet flow context (PFC) procedures is indicated in the </w:t>
      </w:r>
      <w:r w:rsidRPr="004D0DAA">
        <w:rPr>
          <w:i/>
          <w:iCs/>
        </w:rPr>
        <w:t xml:space="preserve">MS Network Capability IE </w:t>
      </w:r>
      <w:r w:rsidRPr="004D0DAA">
        <w:t>(see 3GPP TS 24.008). Network support of packet flow context (PFC) procedures is indicated by the PFC_FEATURE_MODE parameter that is broadcast on either the BCCH or PBCCH. If the PFC_FEATURE_MODE field indicates that the network does not support PFC procedures then a mobile station shall not indicate a PFI value during uplink TBF establishment. If the PFC_FEATURE_MODE field indicates that the network supports PFC procedures then a mobile station may indicate a PFI value during uplink TBF establishment. The PFI value identifies the initial PFC used during the TBF.</w:t>
      </w:r>
    </w:p>
    <w:p w14:paraId="2DC64C90" w14:textId="77777777" w:rsidR="00711444" w:rsidRPr="004D0DAA" w:rsidRDefault="00711444" w:rsidP="00711444">
      <w:r w:rsidRPr="004D0DAA">
        <w:lastRenderedPageBreak/>
        <w:t>If the network or the mobile station indicates it supports multiple TBF procedures (see sub-clause 7.0) then it shall also indicate support for PFC procedures. When the network and the mobile station both support multiple TBF procedures then the mobile station shall indicate the PFI value associated with each uplink TBF it attempts to establish and the network shall indicate the PFI value associated with each downlink TBF it attempts to establish.</w:t>
      </w:r>
    </w:p>
    <w:p w14:paraId="2B7400C9" w14:textId="77777777" w:rsidR="00711444" w:rsidRPr="004D0DAA" w:rsidRDefault="00711444" w:rsidP="00711444">
      <w:r w:rsidRPr="004D0DAA">
        <w:t>If the network or the mobile station indicates it supports Enhanced Multiplexing for Single TBF (see sub-clause 5.10) then it shall also indicate support for PFC procedures. The mobile station supporting EMST shall indicate the PFI value associated with each RLC entity it requests to establish on an uplink TBF if the network indicates the support of PFC procedures. When EMST is used on a given TBF, the network shall always indicate the PFI value associated with each RLC entity it establishes on that TBF.</w:t>
      </w:r>
    </w:p>
    <w:p w14:paraId="1C4EFC02" w14:textId="77777777" w:rsidR="00711444" w:rsidRPr="004D0DAA" w:rsidRDefault="00711444" w:rsidP="00711444">
      <w:r w:rsidRPr="004D0DAA">
        <w:t>EMSR requires the support of PFC procedures in both the network and the mobile station (see sub-clause 5.10). A mobile station that supports EMSR shall always indicate the PFI value associated with each PFC for which it requests resources from a network that supports PFC procedures. A network that supports EMSR shall always indicate the PFI value associated with each PFC it establishes on a given RLC entity when sending an assignment message to a mobile station that supports EMSR (see sub-clause 5.2.2).</w:t>
      </w:r>
    </w:p>
    <w:p w14:paraId="1D269C2A" w14:textId="77777777" w:rsidR="00711444" w:rsidRPr="004D0DAA" w:rsidRDefault="00711444" w:rsidP="00711444">
      <w:r w:rsidRPr="004D0DAA">
        <w:t>A network or mobile station that supports PS handover or DTM handover shall also support PFC procedures.</w:t>
      </w:r>
    </w:p>
    <w:p w14:paraId="6D41BD03" w14:textId="77777777" w:rsidR="00711444" w:rsidRPr="004D0DAA" w:rsidRDefault="00711444" w:rsidP="00711444">
      <w:r w:rsidRPr="004D0DAA">
        <w:t>In case no valid PFI value is assigned for the LLC data to be transmitted, and the network indicates support for the PFC procedures, an MS supporting PFC procedures shall associate and indicate the following PFI values for the LLC data:</w:t>
      </w:r>
    </w:p>
    <w:p w14:paraId="0DFD206B" w14:textId="77777777" w:rsidR="00711444" w:rsidRPr="004D0DAA" w:rsidRDefault="00711444" w:rsidP="00711444">
      <w:pPr>
        <w:pStyle w:val="EX"/>
      </w:pPr>
      <w:r w:rsidRPr="004D0DAA">
        <w:t>PFI=0</w:t>
      </w:r>
      <w:r w:rsidRPr="004D0DAA">
        <w:tab/>
        <w:t xml:space="preserve">(Best Effort) for user data, </w:t>
      </w:r>
    </w:p>
    <w:p w14:paraId="42D153F4" w14:textId="77777777" w:rsidR="00711444" w:rsidRPr="004D0DAA" w:rsidRDefault="00711444" w:rsidP="00711444">
      <w:pPr>
        <w:pStyle w:val="EX"/>
      </w:pPr>
      <w:r w:rsidRPr="004D0DAA">
        <w:t>PFI=1</w:t>
      </w:r>
      <w:r w:rsidRPr="004D0DAA">
        <w:tab/>
        <w:t>(Signalling) for GMM/SM signalling (LLC SAPI 1), or</w:t>
      </w:r>
    </w:p>
    <w:p w14:paraId="738EA27C" w14:textId="77777777" w:rsidR="00711444" w:rsidRPr="004D0DAA" w:rsidRDefault="00711444" w:rsidP="00711444">
      <w:pPr>
        <w:pStyle w:val="EX"/>
      </w:pPr>
      <w:r w:rsidRPr="004D0DAA">
        <w:t>PFI=2</w:t>
      </w:r>
      <w:r w:rsidRPr="004D0DAA">
        <w:tab/>
        <w:t>(SMS) for Short Message Service (LLC SAPI 7), or</w:t>
      </w:r>
    </w:p>
    <w:p w14:paraId="41FC7000" w14:textId="77777777" w:rsidR="00711444" w:rsidRPr="004D0DAA" w:rsidRDefault="00711444" w:rsidP="00711444">
      <w:pPr>
        <w:pStyle w:val="EX"/>
      </w:pPr>
      <w:r w:rsidRPr="004D0DAA">
        <w:t>PFI=3</w:t>
      </w:r>
      <w:r w:rsidRPr="004D0DAA">
        <w:tab/>
        <w:t>(TOM8) for LLC SAPI 8 data.</w:t>
      </w:r>
    </w:p>
    <w:p w14:paraId="0C617AB5" w14:textId="77777777" w:rsidR="00711444" w:rsidRPr="004D0DAA" w:rsidRDefault="00711444" w:rsidP="00711444">
      <w:pPr>
        <w:pStyle w:val="Heading4"/>
      </w:pPr>
      <w:bookmarkStart w:id="72" w:name="_Toc516669260"/>
      <w:r w:rsidRPr="004D0DAA">
        <w:t>5.5.1.10</w:t>
      </w:r>
      <w:r w:rsidRPr="004D0DAA">
        <w:tab/>
        <w:t>Acquisition of E-UTRAN Information on the PACCH</w:t>
      </w:r>
      <w:bookmarkEnd w:id="72"/>
    </w:p>
    <w:p w14:paraId="12AD28E7" w14:textId="77777777" w:rsidR="00711444" w:rsidRPr="004D0DAA" w:rsidRDefault="00711444" w:rsidP="00711444">
      <w:pPr>
        <w:tabs>
          <w:tab w:val="left" w:pos="2268"/>
        </w:tabs>
        <w:rPr>
          <w:lang w:eastAsia="en-GB"/>
        </w:rPr>
      </w:pPr>
      <w:r w:rsidRPr="004D0DAA">
        <w:rPr>
          <w:lang w:eastAsia="en-GB"/>
        </w:rPr>
        <w:t xml:space="preserve">An MS that receives a full set of instances of the </w:t>
      </w:r>
      <w:r w:rsidRPr="004D0DAA">
        <w:rPr>
          <w:rFonts w:hint="eastAsia"/>
          <w:lang w:eastAsia="en-GB"/>
        </w:rPr>
        <w:t>PACKET MEASUREMENT ORDER message</w:t>
      </w:r>
      <w:r w:rsidRPr="004D0DAA">
        <w:rPr>
          <w:lang w:eastAsia="en-GB"/>
        </w:rPr>
        <w:t xml:space="preserve"> that includes one or more IEs used to provide E-UTRAN related information shall proceed as follows:</w:t>
      </w:r>
    </w:p>
    <w:p w14:paraId="1806F3C5" w14:textId="77777777" w:rsidR="00711444" w:rsidRPr="004D0DAA" w:rsidRDefault="00711444" w:rsidP="00711444">
      <w:pPr>
        <w:ind w:left="568" w:hanging="284"/>
        <w:rPr>
          <w:lang w:eastAsia="en-GB"/>
        </w:rPr>
      </w:pPr>
      <w:r w:rsidRPr="004D0DAA">
        <w:rPr>
          <w:rFonts w:hint="eastAsia"/>
          <w:lang w:eastAsia="zh-CN"/>
        </w:rPr>
        <w:t>-</w:t>
      </w:r>
      <w:r w:rsidRPr="004D0DAA">
        <w:rPr>
          <w:rFonts w:hint="eastAsia"/>
          <w:lang w:eastAsia="zh-CN"/>
        </w:rPr>
        <w:tab/>
      </w:r>
      <w:r w:rsidRPr="004D0DAA">
        <w:rPr>
          <w:lang w:eastAsia="zh-CN"/>
        </w:rPr>
        <w:t>The information provided by all instances of the</w:t>
      </w:r>
      <w:r w:rsidRPr="004D0DAA">
        <w:rPr>
          <w:i/>
          <w:lang w:eastAsia="zh-CN"/>
        </w:rPr>
        <w:t xml:space="preserve"> Repeated E-UTRAN Neighbour Cells</w:t>
      </w:r>
      <w:r w:rsidRPr="004D0DAA">
        <w:rPr>
          <w:lang w:eastAsia="zh-CN"/>
        </w:rPr>
        <w:t xml:space="preserve"> IE (alternatively, for an MS supporting extended EARFCNs, all instances of the</w:t>
      </w:r>
      <w:r w:rsidRPr="004D0DAA">
        <w:rPr>
          <w:rFonts w:hint="eastAsia"/>
          <w:i/>
          <w:lang w:eastAsia="zh-CN"/>
        </w:rPr>
        <w:t xml:space="preserve"> E-UTRAN </w:t>
      </w:r>
      <w:r w:rsidRPr="004D0DAA">
        <w:rPr>
          <w:i/>
          <w:lang w:eastAsia="zh-CN"/>
        </w:rPr>
        <w:t>NC with extended EARFCNs</w:t>
      </w:r>
      <w:r w:rsidRPr="004D0DAA">
        <w:rPr>
          <w:rFonts w:hint="eastAsia"/>
          <w:i/>
          <w:lang w:eastAsia="zh-CN"/>
        </w:rPr>
        <w:t xml:space="preserve"> </w:t>
      </w:r>
      <w:r w:rsidRPr="004D0DAA">
        <w:rPr>
          <w:rFonts w:hint="eastAsia"/>
          <w:lang w:eastAsia="zh-CN"/>
        </w:rPr>
        <w:t>IE</w:t>
      </w:r>
      <w:r w:rsidRPr="004D0DAA">
        <w:rPr>
          <w:lang w:eastAsia="zh-CN"/>
        </w:rPr>
        <w:t xml:space="preserve"> when applicable, see sub-clause 11.2.9b) shall be added to the E-UTRAN </w:t>
      </w:r>
      <w:r w:rsidRPr="004D0DAA">
        <w:rPr>
          <w:lang w:eastAsia="en-GB"/>
        </w:rPr>
        <w:t xml:space="preserve">Neighbour Cell list </w:t>
      </w:r>
      <w:r w:rsidRPr="004D0DAA">
        <w:rPr>
          <w:rFonts w:hint="eastAsia"/>
          <w:lang w:eastAsia="zh-CN"/>
        </w:rPr>
        <w:t xml:space="preserve">built by the last received </w:t>
      </w:r>
      <w:r w:rsidRPr="004D0DAA">
        <w:rPr>
          <w:lang w:eastAsia="en-GB"/>
        </w:rPr>
        <w:t xml:space="preserve">consistent set of </w:t>
      </w:r>
      <w:r w:rsidRPr="004D0DAA">
        <w:rPr>
          <w:rFonts w:hint="eastAsia"/>
          <w:lang w:eastAsia="zh-CN"/>
        </w:rPr>
        <w:t>SI2quater message</w:t>
      </w:r>
      <w:r w:rsidRPr="004D0DAA">
        <w:rPr>
          <w:lang w:val="en-US" w:eastAsia="zh-CN"/>
        </w:rPr>
        <w:t xml:space="preserve"> instances, or </w:t>
      </w:r>
      <w:r w:rsidRPr="004D0DAA">
        <w:rPr>
          <w:rFonts w:hint="eastAsia"/>
          <w:lang w:eastAsia="zh-CN"/>
        </w:rPr>
        <w:t xml:space="preserve">the last received </w:t>
      </w:r>
      <w:r w:rsidRPr="004D0DAA">
        <w:rPr>
          <w:lang w:eastAsia="en-GB"/>
        </w:rPr>
        <w:t xml:space="preserve">consistent set </w:t>
      </w:r>
      <w:r w:rsidRPr="004D0DAA">
        <w:rPr>
          <w:lang w:val="en-US" w:eastAsia="zh-CN"/>
        </w:rPr>
        <w:t>of SI23 message instances if SI23 is broadcast in the cell and for a mobile station supporting network sharing</w:t>
      </w:r>
      <w:r w:rsidRPr="004D0DAA">
        <w:rPr>
          <w:rFonts w:hint="eastAsia"/>
          <w:lang w:eastAsia="zh-CN"/>
        </w:rPr>
        <w:t xml:space="preserve"> </w:t>
      </w:r>
      <w:r w:rsidRPr="004D0DAA">
        <w:rPr>
          <w:lang w:eastAsia="en-GB"/>
        </w:rPr>
        <w:t>(see sub-clause 5.6.3.1a).</w:t>
      </w:r>
    </w:p>
    <w:p w14:paraId="5DC29BD7" w14:textId="77777777" w:rsidR="00711444" w:rsidRPr="004D0DAA" w:rsidRDefault="00711444" w:rsidP="00711444">
      <w:pPr>
        <w:ind w:left="568" w:hanging="284"/>
        <w:rPr>
          <w:lang w:eastAsia="en-GB"/>
        </w:rPr>
      </w:pPr>
      <w:r w:rsidRPr="004D0DAA">
        <w:rPr>
          <w:rFonts w:hint="eastAsia"/>
          <w:lang w:eastAsia="zh-CN"/>
        </w:rPr>
        <w:t>-</w:t>
      </w:r>
      <w:r w:rsidRPr="004D0DAA">
        <w:rPr>
          <w:rFonts w:hint="eastAsia"/>
          <w:lang w:eastAsia="zh-CN"/>
        </w:rPr>
        <w:tab/>
      </w:r>
      <w:r w:rsidRPr="004D0DAA">
        <w:rPr>
          <w:lang w:eastAsia="zh-CN"/>
        </w:rPr>
        <w:t>The information provided by all instances of the</w:t>
      </w:r>
      <w:r w:rsidRPr="004D0DAA">
        <w:rPr>
          <w:i/>
          <w:lang w:eastAsia="zh-CN"/>
        </w:rPr>
        <w:t xml:space="preserve"> Repeated</w:t>
      </w:r>
      <w:r w:rsidRPr="004D0DAA">
        <w:rPr>
          <w:i/>
          <w:lang w:eastAsia="en-GB"/>
        </w:rPr>
        <w:t xml:space="preserve"> E-UTRAN Not Allowed Cells</w:t>
      </w:r>
      <w:r w:rsidRPr="004D0DAA">
        <w:rPr>
          <w:lang w:eastAsia="zh-CN"/>
        </w:rPr>
        <w:t xml:space="preserve"> IE for any given frequency shall be used to </w:t>
      </w:r>
      <w:r w:rsidRPr="004D0DAA">
        <w:rPr>
          <w:rFonts w:hint="eastAsia"/>
          <w:lang w:eastAsia="zh-CN"/>
        </w:rPr>
        <w:t>build</w:t>
      </w:r>
      <w:r w:rsidRPr="004D0DAA">
        <w:rPr>
          <w:lang w:eastAsia="zh-CN"/>
        </w:rPr>
        <w:t xml:space="preserve"> a new E-UTRAN Not Allowed Cells list for that frequency. </w:t>
      </w:r>
    </w:p>
    <w:p w14:paraId="0DE167B1" w14:textId="77777777" w:rsidR="00711444" w:rsidRPr="004D0DAA" w:rsidRDefault="00711444" w:rsidP="00711444">
      <w:pPr>
        <w:ind w:left="568" w:hanging="284"/>
        <w:rPr>
          <w:lang w:eastAsia="en-GB"/>
        </w:rPr>
      </w:pPr>
      <w:r w:rsidRPr="004D0DAA">
        <w:rPr>
          <w:rFonts w:hint="eastAsia"/>
          <w:lang w:eastAsia="zh-CN"/>
        </w:rPr>
        <w:t>-</w:t>
      </w:r>
      <w:r w:rsidRPr="004D0DAA">
        <w:rPr>
          <w:rFonts w:hint="eastAsia"/>
          <w:lang w:eastAsia="zh-CN"/>
        </w:rPr>
        <w:tab/>
      </w:r>
      <w:r w:rsidRPr="004D0DAA">
        <w:rPr>
          <w:lang w:eastAsia="zh-CN"/>
        </w:rPr>
        <w:t>The information provided by all instances of the</w:t>
      </w:r>
      <w:r w:rsidRPr="004D0DAA">
        <w:rPr>
          <w:i/>
          <w:lang w:eastAsia="zh-CN"/>
        </w:rPr>
        <w:t xml:space="preserve"> </w:t>
      </w:r>
      <w:r w:rsidRPr="004D0DAA">
        <w:rPr>
          <w:i/>
          <w:lang w:eastAsia="en-GB"/>
        </w:rPr>
        <w:t xml:space="preserve">Repeated </w:t>
      </w:r>
      <w:r w:rsidRPr="004D0DAA">
        <w:rPr>
          <w:rFonts w:hint="eastAsia"/>
          <w:i/>
          <w:lang w:eastAsia="en-GB"/>
        </w:rPr>
        <w:t xml:space="preserve">E-UTRAN </w:t>
      </w:r>
      <w:r w:rsidRPr="004D0DAA">
        <w:rPr>
          <w:i/>
          <w:lang w:eastAsia="en-GB"/>
        </w:rPr>
        <w:t>PCID to TA mapping</w:t>
      </w:r>
      <w:r w:rsidRPr="004D0DAA">
        <w:rPr>
          <w:i/>
          <w:lang w:eastAsia="zh-CN"/>
        </w:rPr>
        <w:t xml:space="preserve"> </w:t>
      </w:r>
      <w:r w:rsidRPr="004D0DAA">
        <w:rPr>
          <w:lang w:eastAsia="zh-CN"/>
        </w:rPr>
        <w:t xml:space="preserve">IE for any given frequency shall be used to </w:t>
      </w:r>
      <w:r w:rsidRPr="004D0DAA">
        <w:rPr>
          <w:rFonts w:hint="eastAsia"/>
          <w:lang w:eastAsia="zh-CN"/>
        </w:rPr>
        <w:t>build</w:t>
      </w:r>
      <w:r w:rsidRPr="004D0DAA">
        <w:rPr>
          <w:lang w:eastAsia="zh-CN"/>
        </w:rPr>
        <w:t xml:space="preserve"> new </w:t>
      </w:r>
      <w:r w:rsidRPr="004D0DAA">
        <w:rPr>
          <w:rFonts w:hint="eastAsia"/>
          <w:lang w:eastAsia="en-GB"/>
        </w:rPr>
        <w:t xml:space="preserve">E-UTRAN </w:t>
      </w:r>
      <w:r w:rsidRPr="004D0DAA">
        <w:rPr>
          <w:lang w:eastAsia="en-GB"/>
        </w:rPr>
        <w:t>PCID to TA mapping</w:t>
      </w:r>
      <w:r w:rsidRPr="004D0DAA">
        <w:rPr>
          <w:lang w:eastAsia="zh-CN"/>
        </w:rPr>
        <w:t xml:space="preserve"> for that frequency. </w:t>
      </w:r>
    </w:p>
    <w:p w14:paraId="1B53A9F3" w14:textId="77777777" w:rsidR="00711444" w:rsidRPr="004D0DAA" w:rsidRDefault="00711444" w:rsidP="00711444">
      <w:pPr>
        <w:tabs>
          <w:tab w:val="left" w:pos="2268"/>
        </w:tabs>
        <w:rPr>
          <w:lang w:eastAsia="en-GB"/>
        </w:rPr>
      </w:pPr>
      <w:r w:rsidRPr="004D0DAA">
        <w:rPr>
          <w:lang w:eastAsia="en-GB"/>
        </w:rPr>
        <w:t xml:space="preserve">If an MS receives a full set of instances of the </w:t>
      </w:r>
      <w:r w:rsidRPr="004D0DAA">
        <w:rPr>
          <w:rFonts w:hint="eastAsia"/>
          <w:lang w:eastAsia="en-GB"/>
        </w:rPr>
        <w:t>PACKET MEASUREMENT ORDER message</w:t>
      </w:r>
      <w:r w:rsidRPr="004D0DAA">
        <w:rPr>
          <w:lang w:eastAsia="en-GB"/>
        </w:rPr>
        <w:t xml:space="preserve"> that excludes an IE used to provide E-UTRAN related information that was provided within the last received consistent set of SI2quater (or alternatively SI23)  message instances (e.g. the </w:t>
      </w:r>
      <w:r w:rsidRPr="004D0DAA">
        <w:rPr>
          <w:i/>
          <w:lang w:eastAsia="en-GB"/>
        </w:rPr>
        <w:t>Priority and E-UTRAN Parameters Description struct</w:t>
      </w:r>
      <w:r w:rsidRPr="004D0DAA">
        <w:rPr>
          <w:lang w:eastAsia="en-GB"/>
        </w:rPr>
        <w:t xml:space="preserve"> provides a "0" for the </w:t>
      </w:r>
      <w:r w:rsidRPr="004D0DAA">
        <w:rPr>
          <w:i/>
          <w:lang w:eastAsia="en-GB"/>
        </w:rPr>
        <w:t>E-UTRAN Parameters Description</w:t>
      </w:r>
      <w:r w:rsidRPr="004D0DAA">
        <w:rPr>
          <w:lang w:eastAsia="en-GB"/>
        </w:rPr>
        <w:t xml:space="preserve"> IE), the MS shall resort back to using the corresponding information provided by the last received SI2quater (or alternatively SI23) message (see NOTE 1 and NOTE 2). </w:t>
      </w:r>
    </w:p>
    <w:p w14:paraId="73AB8F0A" w14:textId="77777777" w:rsidR="00711444" w:rsidRPr="004D0DAA" w:rsidRDefault="00711444" w:rsidP="00711444">
      <w:pPr>
        <w:tabs>
          <w:tab w:val="left" w:pos="2268"/>
        </w:tabs>
        <w:rPr>
          <w:lang w:eastAsia="en-GB"/>
        </w:rPr>
      </w:pPr>
      <w:r w:rsidRPr="004D0DAA">
        <w:rPr>
          <w:lang w:eastAsia="en-GB"/>
        </w:rPr>
        <w:t xml:space="preserve">If an MS receives a full set of instances of the </w:t>
      </w:r>
      <w:r w:rsidRPr="004D0DAA">
        <w:rPr>
          <w:rFonts w:hint="eastAsia"/>
          <w:lang w:eastAsia="en-GB"/>
        </w:rPr>
        <w:t>PACKET MEASUREMENT ORDER message</w:t>
      </w:r>
      <w:r w:rsidRPr="004D0DAA">
        <w:rPr>
          <w:lang w:eastAsia="en-GB"/>
        </w:rPr>
        <w:t xml:space="preserve"> that includes an IE used to provide E-UTRAN related information that was provided within the last received consistent set of SI2quater (or alternatively SI23) message instances but none of the fields associated with the included IE provide any information, the MS shall resort back to using the corresponding information provided by the last received SI2quater (or alternatively SI23) message (see NOTE 1 and NOTE 2). </w:t>
      </w:r>
    </w:p>
    <w:p w14:paraId="179B6294" w14:textId="77777777" w:rsidR="00711444" w:rsidRPr="004D0DAA" w:rsidRDefault="00711444" w:rsidP="00711444">
      <w:pPr>
        <w:tabs>
          <w:tab w:val="left" w:pos="2268"/>
        </w:tabs>
        <w:rPr>
          <w:lang w:eastAsia="en-GB"/>
        </w:rPr>
      </w:pPr>
      <w:r w:rsidRPr="004D0DAA">
        <w:rPr>
          <w:lang w:eastAsia="en-GB"/>
        </w:rPr>
        <w:t xml:space="preserve">If an MS receives a full set of instances of the </w:t>
      </w:r>
      <w:r w:rsidRPr="004D0DAA">
        <w:rPr>
          <w:rFonts w:hint="eastAsia"/>
          <w:lang w:eastAsia="en-GB"/>
        </w:rPr>
        <w:t>PACKET MEASUREMENT ORDER message</w:t>
      </w:r>
      <w:r w:rsidRPr="004D0DAA">
        <w:rPr>
          <w:lang w:eastAsia="en-GB"/>
        </w:rPr>
        <w:t xml:space="preserve"> that includes an IE used to provide E-UTRAN related information but only a subset of the fields associated with the included IE actually provide information, the MS shall use the fields that provide information to update their corresponding stored parameters and shall use values for the fields for which no information was provided as described in Table 11.2.9b.2 (see NOTE 2).</w:t>
      </w:r>
    </w:p>
    <w:p w14:paraId="3F2189A1" w14:textId="77777777" w:rsidR="00711444" w:rsidRPr="004D0DAA" w:rsidRDefault="00711444" w:rsidP="00711444">
      <w:pPr>
        <w:tabs>
          <w:tab w:val="left" w:pos="2268"/>
        </w:tabs>
        <w:rPr>
          <w:lang w:eastAsia="en-GB"/>
        </w:rPr>
      </w:pPr>
      <w:r w:rsidRPr="004D0DAA">
        <w:rPr>
          <w:lang w:eastAsia="en-GB"/>
        </w:rPr>
        <w:lastRenderedPageBreak/>
        <w:t xml:space="preserve">If an MS receives a full set of instances of the </w:t>
      </w:r>
      <w:r w:rsidRPr="004D0DAA">
        <w:rPr>
          <w:rFonts w:hint="eastAsia"/>
          <w:lang w:eastAsia="en-GB"/>
        </w:rPr>
        <w:t>PACKET MEASUREMENT ORDER message</w:t>
      </w:r>
      <w:r w:rsidRPr="004D0DAA">
        <w:rPr>
          <w:lang w:eastAsia="en-GB"/>
        </w:rPr>
        <w:t xml:space="preserve"> that limits the information provided within the </w:t>
      </w:r>
      <w:r w:rsidRPr="004D0DAA">
        <w:rPr>
          <w:i/>
          <w:lang w:eastAsia="en-GB"/>
        </w:rPr>
        <w:t>Repeated E-UTRAN Not Allowed Cells</w:t>
      </w:r>
      <w:r w:rsidRPr="004D0DAA">
        <w:rPr>
          <w:lang w:eastAsia="en-GB"/>
        </w:rPr>
        <w:t xml:space="preserve"> IE to only providing one or more E-UTRAN frequency indices (i.e. only the E-UTRAN_FREQUENCY_INDEX field contains information), the MS shall ignore this IE.</w:t>
      </w:r>
    </w:p>
    <w:p w14:paraId="04A9B25E" w14:textId="77777777" w:rsidR="00711444" w:rsidRPr="004D0DAA" w:rsidRDefault="00711444" w:rsidP="00711444">
      <w:pPr>
        <w:pStyle w:val="NO"/>
        <w:rPr>
          <w:lang w:eastAsia="en-GB"/>
        </w:rPr>
      </w:pPr>
      <w:r w:rsidRPr="004D0DAA">
        <w:rPr>
          <w:lang w:eastAsia="en-GB"/>
        </w:rPr>
        <w:t xml:space="preserve">NOTE 1: </w:t>
      </w:r>
      <w:r w:rsidRPr="004D0DAA">
        <w:rPr>
          <w:lang w:eastAsia="en-GB"/>
        </w:rPr>
        <w:tab/>
        <w:t xml:space="preserve">If the last received consistent set of SI2quater (or alternatively SI23) message </w:t>
      </w:r>
      <w:r w:rsidRPr="004D0DAA">
        <w:rPr>
          <w:lang w:val="en-US" w:eastAsia="en-GB"/>
        </w:rPr>
        <w:t xml:space="preserve">instances </w:t>
      </w:r>
      <w:r w:rsidRPr="004D0DAA">
        <w:rPr>
          <w:lang w:eastAsia="en-GB"/>
        </w:rPr>
        <w:t>has not provided a value for any given E-UTRAN related parameter then the MS uses the default value for that parameter unless otherwise specified.</w:t>
      </w:r>
    </w:p>
    <w:p w14:paraId="7D2C818F" w14:textId="77777777" w:rsidR="00711444" w:rsidRPr="004D0DAA" w:rsidRDefault="00711444" w:rsidP="00711444">
      <w:pPr>
        <w:pStyle w:val="NO"/>
        <w:rPr>
          <w:noProof/>
        </w:rPr>
      </w:pPr>
      <w:r w:rsidRPr="004D0DAA">
        <w:rPr>
          <w:lang w:eastAsia="en-GB"/>
        </w:rPr>
        <w:t>NOTE 2:</w:t>
      </w:r>
      <w:r w:rsidRPr="004D0DAA">
        <w:rPr>
          <w:lang w:eastAsia="en-GB"/>
        </w:rPr>
        <w:tab/>
        <w:t xml:space="preserve">An MS that supports extended EARFCNs shall build its </w:t>
      </w:r>
      <w:r w:rsidRPr="004D0DAA">
        <w:rPr>
          <w:lang w:eastAsia="zh-CN"/>
        </w:rPr>
        <w:t xml:space="preserve">E-UTRAN </w:t>
      </w:r>
      <w:r w:rsidRPr="004D0DAA">
        <w:rPr>
          <w:lang w:eastAsia="en-GB"/>
        </w:rPr>
        <w:t xml:space="preserve">Neighbour Cell list from the </w:t>
      </w:r>
      <w:r w:rsidRPr="004D0DAA">
        <w:rPr>
          <w:rFonts w:hint="eastAsia"/>
          <w:i/>
          <w:lang w:eastAsia="zh-CN"/>
        </w:rPr>
        <w:t xml:space="preserve">E-UTRAN </w:t>
      </w:r>
      <w:r w:rsidRPr="004D0DAA">
        <w:rPr>
          <w:i/>
          <w:lang w:eastAsia="zh-CN"/>
        </w:rPr>
        <w:t>NC with extended EARFCNs</w:t>
      </w:r>
      <w:r w:rsidRPr="004D0DAA">
        <w:rPr>
          <w:rFonts w:hint="eastAsia"/>
          <w:i/>
          <w:lang w:eastAsia="zh-CN"/>
        </w:rPr>
        <w:t xml:space="preserve"> </w:t>
      </w:r>
      <w:r w:rsidRPr="004D0DAA">
        <w:rPr>
          <w:rFonts w:hint="eastAsia"/>
          <w:lang w:eastAsia="zh-CN"/>
        </w:rPr>
        <w:t>IE</w:t>
      </w:r>
      <w:r w:rsidRPr="004D0DAA">
        <w:rPr>
          <w:lang w:eastAsia="zh-CN"/>
        </w:rPr>
        <w:t xml:space="preserve"> when included in the </w:t>
      </w:r>
      <w:r w:rsidRPr="004D0DAA">
        <w:rPr>
          <w:rFonts w:hint="eastAsia"/>
          <w:lang w:eastAsia="en-GB"/>
        </w:rPr>
        <w:t>PACKET MEASUREMENT ORDER</w:t>
      </w:r>
      <w:r w:rsidRPr="004D0DAA">
        <w:rPr>
          <w:lang w:eastAsia="en-GB"/>
        </w:rPr>
        <w:t xml:space="preserve"> message</w:t>
      </w:r>
      <w:r w:rsidRPr="004D0DAA">
        <w:rPr>
          <w:lang w:eastAsia="zh-CN"/>
        </w:rPr>
        <w:t>.</w:t>
      </w:r>
    </w:p>
    <w:p w14:paraId="2F733ABE" w14:textId="77777777" w:rsidR="00711444" w:rsidRPr="004D0DAA" w:rsidRDefault="00711444" w:rsidP="00711444">
      <w:pPr>
        <w:pStyle w:val="Heading3"/>
      </w:pPr>
      <w:bookmarkStart w:id="73" w:name="_Toc516669261"/>
      <w:r w:rsidRPr="004D0DAA">
        <w:t>5.5.2</w:t>
      </w:r>
      <w:r w:rsidRPr="004D0DAA">
        <w:tab/>
        <w:t>Network side</w:t>
      </w:r>
      <w:bookmarkEnd w:id="73"/>
    </w:p>
    <w:p w14:paraId="72A16529" w14:textId="77777777" w:rsidR="00711444" w:rsidRPr="004D0DAA" w:rsidRDefault="00711444" w:rsidP="00711444">
      <w:pPr>
        <w:pStyle w:val="Heading4"/>
      </w:pPr>
      <w:bookmarkStart w:id="74" w:name="_Toc516669262"/>
      <w:r w:rsidRPr="004D0DAA">
        <w:t>5.5.2.1</w:t>
      </w:r>
      <w:r w:rsidRPr="004D0DAA">
        <w:tab/>
        <w:t>System Information broadcasting</w:t>
      </w:r>
      <w:bookmarkEnd w:id="74"/>
    </w:p>
    <w:p w14:paraId="34B2C371" w14:textId="77777777" w:rsidR="00711444" w:rsidRPr="004D0DAA" w:rsidRDefault="00711444" w:rsidP="00711444">
      <w:pPr>
        <w:pStyle w:val="Heading5"/>
      </w:pPr>
      <w:bookmarkStart w:id="75" w:name="_Toc516669263"/>
      <w:r w:rsidRPr="004D0DAA">
        <w:t>5.5.2.1.1</w:t>
      </w:r>
      <w:r w:rsidRPr="004D0DAA">
        <w:tab/>
        <w:t>System information on PBCCH</w:t>
      </w:r>
      <w:bookmarkEnd w:id="75"/>
    </w:p>
    <w:p w14:paraId="49008F1B" w14:textId="77777777" w:rsidR="00711444" w:rsidRPr="004D0DAA" w:rsidRDefault="00711444" w:rsidP="00711444">
      <w:pPr>
        <w:keepNext/>
        <w:keepLines/>
      </w:pPr>
      <w:r w:rsidRPr="004D0DAA">
        <w:t>If PBCCH is present in the cell, the network regularly broadcasts PACKET SYSTEM INFORMATION TYPE (PSI) 1, 2, 3 and 3bis messages, and optionally PSI3ter, PSI3quater and some types of PSI messages on the PBCCH. The PSI 2, PSI 3bis, PSI3 ter, PSI3quater messages and some further types of PSI messages may be broadcast in multiple number of instances. Based on the information broadcast in PSI messages, the mobile station is able to decide whether and how it may gain access to the system via the current cell.</w:t>
      </w:r>
    </w:p>
    <w:p w14:paraId="357EDC78" w14:textId="77777777" w:rsidR="00711444" w:rsidRPr="004D0DAA" w:rsidRDefault="00711444" w:rsidP="00711444">
      <w:pPr>
        <w:pStyle w:val="NO"/>
      </w:pPr>
      <w:r w:rsidRPr="004D0DAA">
        <w:t>NOTE:</w:t>
      </w:r>
      <w:r w:rsidRPr="004D0DAA">
        <w:tab/>
        <w:t>The network should take into account the limitations of earlier version of mobile equipments to understand the 3-digit MNC format of the location area identification, see sub-clause 12.23 and 3GPP TS 44.018, table "Location Area Identification .information element".</w:t>
      </w:r>
    </w:p>
    <w:p w14:paraId="5EDCC361" w14:textId="77777777" w:rsidR="00711444" w:rsidRPr="004D0DAA" w:rsidRDefault="00711444" w:rsidP="00711444">
      <w:r w:rsidRPr="004D0DAA">
        <w:t>Instances of the PSI 5 message are broadcast on PBCCH if the mobile stations camping on the cell shall perform measurement reporting, see 3GPP TS 45.008.</w:t>
      </w:r>
    </w:p>
    <w:p w14:paraId="56404DA2" w14:textId="77777777" w:rsidR="00711444" w:rsidRPr="004D0DAA" w:rsidRDefault="00711444" w:rsidP="00711444">
      <w:r w:rsidRPr="004D0DAA">
        <w:t>Instances of the PSI6 and PSI7 message may be broadcast on the PBCCH if non-GSM broadcast information is transmitted.</w:t>
      </w:r>
    </w:p>
    <w:p w14:paraId="7BEF212E" w14:textId="77777777" w:rsidR="00711444" w:rsidRPr="004D0DAA" w:rsidRDefault="00711444" w:rsidP="00711444">
      <w:r w:rsidRPr="004D0DAA">
        <w:t>The PSI8 message may be broadcast on the PBCCH if additional information (i.e. CBCH configuration and dynamic ARFCN mapping) shall be provided to the mobile station camping on the cell.</w:t>
      </w:r>
    </w:p>
    <w:p w14:paraId="1FD8E00B" w14:textId="77777777" w:rsidR="00711444" w:rsidRPr="004D0DAA" w:rsidRDefault="00711444" w:rsidP="00711444">
      <w:r w:rsidRPr="004D0DAA">
        <w:t>The PSI1 message contains the PBCCH_CHANGE_MARK and PSI_CHANGE_FIELD parameters. The value of the PBCCH_CHANGE_MARK may be incremented by one, modulo 8, each time the network makes a change in the PBCCH information. Such change includes any addition, removal or replacement of PSI messages, contents of PSI messages, or change in the scheduling of PSI messages on PBCCH. A change in the contents of the PSI1 message alone shall not be reflected in the PBCCH_CHANGE_MARK. When the PBCCH_CHANGE_MARK is incremented, the PSI_CHANGE_FIELD parameter shall be set to an appropriate value to indicate the nature of the latest change in the PBCCH information.</w:t>
      </w:r>
    </w:p>
    <w:p w14:paraId="5E17C310" w14:textId="77777777" w:rsidR="00711444" w:rsidRPr="004D0DAA" w:rsidRDefault="00711444" w:rsidP="00711444">
      <w:r w:rsidRPr="004D0DAA">
        <w:t>The network may increment the PBCCH_CHANGE_MARK value by more than one, modulo 8, in order to enforce a complete acquisition of PBCCH information of all mobile stations.</w:t>
      </w:r>
    </w:p>
    <w:p w14:paraId="50A31813" w14:textId="77777777" w:rsidR="00711444" w:rsidRPr="004D0DAA" w:rsidRDefault="00711444" w:rsidP="00711444">
      <w:r w:rsidRPr="004D0DAA">
        <w:t>In order to avoid extensive TBF suspensions following an increment of the PBCCH_CHANGE_MARK parameter, the network may send PSI messages on PACCH to mobile stations in packet transfer mode.</w:t>
      </w:r>
    </w:p>
    <w:p w14:paraId="1BDF73E3" w14:textId="77777777" w:rsidR="00711444" w:rsidRPr="004D0DAA" w:rsidRDefault="00711444" w:rsidP="00711444">
      <w:r w:rsidRPr="004D0DAA">
        <w:t>The network indicates the support of the PACKET PSI STATUS and EGPRS PACKET CHANNEL REQUEST messages in the PSI1 message.</w:t>
      </w:r>
    </w:p>
    <w:p w14:paraId="666D7CEA" w14:textId="77777777" w:rsidR="00711444" w:rsidRPr="004D0DAA" w:rsidRDefault="00711444" w:rsidP="00711444">
      <w:pPr>
        <w:pStyle w:val="Heading5"/>
      </w:pPr>
      <w:bookmarkStart w:id="76" w:name="_Toc516669264"/>
      <w:r w:rsidRPr="004D0DAA">
        <w:t>5.5.2.1.2</w:t>
      </w:r>
      <w:r w:rsidRPr="004D0DAA">
        <w:tab/>
        <w:t>System information on BCCH</w:t>
      </w:r>
      <w:bookmarkEnd w:id="76"/>
    </w:p>
    <w:p w14:paraId="115E18B8" w14:textId="77777777" w:rsidR="00711444" w:rsidRPr="004D0DAA" w:rsidRDefault="00711444" w:rsidP="00711444">
      <w:r w:rsidRPr="004D0DAA">
        <w:t>In addition to the requirements in 3GPP TS 44.018, a SYSTEM INFORMATION TYPE 13 (SI13) message is regularly broadcast by the network on the BCCH to support GPRS. Optionally and if PBCCH is not present in the cell, additional types of SI messages may be broadcast on BCCH. Some of them may be broadcast in multiple number of instances. If PBCCH is present in the cell, only the SI13 message is required on BCCH to support GPRS.</w:t>
      </w:r>
    </w:p>
    <w:p w14:paraId="61E6FA0C" w14:textId="77777777" w:rsidR="00711444" w:rsidRPr="004D0DAA" w:rsidRDefault="00711444" w:rsidP="00711444">
      <w:r w:rsidRPr="004D0DAA">
        <w:lastRenderedPageBreak/>
        <w:t>Based on this information, the GPRS mobile station is able to decide whether and how it gains access to the system via the current cell when PBCCH is not present.</w:t>
      </w:r>
    </w:p>
    <w:p w14:paraId="751388D4" w14:textId="77777777" w:rsidR="00711444" w:rsidRPr="004D0DAA" w:rsidRDefault="00711444" w:rsidP="00711444">
      <w:pPr>
        <w:keepNext/>
        <w:keepLines/>
      </w:pPr>
      <w:r w:rsidRPr="004D0DAA">
        <w:t>The SI13 message contains the BCCH_CHANGE_MARK and SI_CHANGE_FIELD parameters. If PBCCH is not present in the cell, the value of the BCCH_CHANGE_MARK may be incremented by one, modulo 8, each time the network makes a change in the BCCH information. Such change includes any addition, removal or replacement of SI messages, contents of SI messages, or change in the scheduling of SI messages on BCCH. Changes in the contents of the SI13 message</w:t>
      </w:r>
      <w:r w:rsidRPr="004D0DAA">
        <w:rPr>
          <w:sz w:val="16"/>
        </w:rPr>
        <w:t xml:space="preserve"> </w:t>
      </w:r>
      <w:r w:rsidRPr="004D0DAA">
        <w:t>shall not to be reflected in the BCCH_CHANGE_MARK. Changes of the contents of the RACH Control Parameters information element alone (see 3GPP TS 44.018) may optionally be reflected in the BCCH</w:t>
      </w:r>
      <w:r w:rsidRPr="004D0DAA">
        <w:rPr>
          <w:rFonts w:hint="eastAsia"/>
          <w:lang w:eastAsia="ko-KR"/>
        </w:rPr>
        <w:t>_</w:t>
      </w:r>
      <w:r w:rsidRPr="004D0DAA">
        <w:t>CHANGE</w:t>
      </w:r>
      <w:r w:rsidRPr="004D0DAA">
        <w:rPr>
          <w:rFonts w:hint="eastAsia"/>
          <w:lang w:eastAsia="ko-KR"/>
        </w:rPr>
        <w:t>_</w:t>
      </w:r>
      <w:r w:rsidRPr="004D0DAA">
        <w:t>MARK; if reflected, the SI</w:t>
      </w:r>
      <w:r w:rsidRPr="004D0DAA">
        <w:rPr>
          <w:rFonts w:hint="eastAsia"/>
          <w:lang w:eastAsia="ko-KR"/>
        </w:rPr>
        <w:t>_</w:t>
      </w:r>
      <w:r w:rsidRPr="004D0DAA">
        <w:t>CHANGE</w:t>
      </w:r>
      <w:r w:rsidRPr="004D0DAA">
        <w:rPr>
          <w:rFonts w:hint="eastAsia"/>
          <w:lang w:eastAsia="ko-KR"/>
        </w:rPr>
        <w:t>_</w:t>
      </w:r>
      <w:r w:rsidRPr="004D0DAA">
        <w:t>FIELD parameter may indicate only one of the SI message containing the RACH Control Parameters. When the BCCH_CHANGE_MARK is incremented, the SI_CHANGE_FIELD parameter shall be set to an appropriate value to indicate the nature of the latest change in the BCCH information.</w:t>
      </w:r>
    </w:p>
    <w:p w14:paraId="0975317E" w14:textId="77777777" w:rsidR="00711444" w:rsidRPr="004D0DAA" w:rsidRDefault="00711444" w:rsidP="00711444">
      <w:r w:rsidRPr="004D0DAA">
        <w:t>When PBCCH is not present in the cell, the network may increment the BCCH_CHANGE_MARK value by more than one, modulo 8, in order to enforce a complete acquisition of BCCH information of all mobile stations.</w:t>
      </w:r>
    </w:p>
    <w:p w14:paraId="6FF867A4" w14:textId="77777777" w:rsidR="00711444" w:rsidRPr="004D0DAA" w:rsidRDefault="00711444" w:rsidP="00711444">
      <w:r w:rsidRPr="004D0DAA">
        <w:t>If PBCCH is not present in the cell, instances of the SI 18 and SI 20 message may be broadcast on the BCCH if non-GSM broadcast information is transmitted.</w:t>
      </w:r>
    </w:p>
    <w:p w14:paraId="27ACF99D" w14:textId="77777777" w:rsidR="00711444" w:rsidRPr="004D0DAA" w:rsidRDefault="00711444" w:rsidP="00711444">
      <w:r w:rsidRPr="004D0DAA">
        <w:t>The network indicates the support of the PACKET SI STATUS message in the SI13 message.</w:t>
      </w:r>
    </w:p>
    <w:p w14:paraId="31F0B967" w14:textId="77777777" w:rsidR="00711444" w:rsidRPr="004D0DAA" w:rsidRDefault="00711444" w:rsidP="00711444">
      <w:pPr>
        <w:pStyle w:val="Heading5"/>
      </w:pPr>
      <w:bookmarkStart w:id="77" w:name="_Toc516669265"/>
      <w:r w:rsidRPr="004D0DAA">
        <w:t>5.5.2.1.3</w:t>
      </w:r>
      <w:r w:rsidRPr="004D0DAA">
        <w:tab/>
        <w:t>System information on PACCH (and other logical channels)</w:t>
      </w:r>
      <w:bookmarkEnd w:id="77"/>
    </w:p>
    <w:p w14:paraId="7B057530" w14:textId="77777777" w:rsidR="00711444" w:rsidRPr="004D0DAA" w:rsidRDefault="00711444" w:rsidP="00711444">
      <w:r w:rsidRPr="004D0DAA">
        <w:t>The network may broadcast PSI and SI messages on PACCH. In particular, if a mobile station is busy in packet transfer mode or MAC-Shared state and thus unable to receive the relevant blocks on the broadcast channels (PBCCH or BCCH) for a period longer than 15 seconds, the following requirements apply:</w:t>
      </w:r>
    </w:p>
    <w:p w14:paraId="1B6DAB4D" w14:textId="77777777" w:rsidR="00711444" w:rsidRPr="004D0DAA" w:rsidRDefault="00711444" w:rsidP="00711444">
      <w:pPr>
        <w:pStyle w:val="B1"/>
      </w:pPr>
      <w:r w:rsidRPr="004D0DAA">
        <w:t>-</w:t>
      </w:r>
      <w:r w:rsidRPr="004D0DAA">
        <w:tab/>
        <w:t>If PBCCH is present in the cell, the network may broadcast the PSI1 message on PACCH such that the mobile station may receive the PSI1 message at least every 15 s.</w:t>
      </w:r>
    </w:p>
    <w:p w14:paraId="59515BFF" w14:textId="77777777" w:rsidR="00711444" w:rsidRPr="004D0DAA" w:rsidRDefault="00711444" w:rsidP="00711444">
      <w:pPr>
        <w:pStyle w:val="B1"/>
      </w:pPr>
      <w:r w:rsidRPr="004D0DAA">
        <w:t>-</w:t>
      </w:r>
      <w:r w:rsidRPr="004D0DAA">
        <w:tab/>
        <w:t>If PBCCH is not present in the cell, the network may broadcast the PSI13 message on PACCH such that the mobile station may receive the PSI13 messages at least every 15 s.</w:t>
      </w:r>
    </w:p>
    <w:p w14:paraId="21433A3A" w14:textId="77777777" w:rsidR="00711444" w:rsidRPr="004D0DAA" w:rsidRDefault="00711444" w:rsidP="00711444">
      <w:r w:rsidRPr="004D0DAA">
        <w:t>If the network has indicated the use of in-band signalling for a given MBMS radio bearer (with the MBMS In-band Signalling Indicator information element included in the MBMS ASSIGNMENT message in the serving cell and/or in the MBMS NEIGHBOURING CELL INFORMATION message in the old cell), it shall broadcast the full system information on PACCH of that MBMS radio bearer, as described in sub-clause 5.5.2.1.3b.</w:t>
      </w:r>
    </w:p>
    <w:p w14:paraId="2B1D8ED3" w14:textId="77777777" w:rsidR="00711444" w:rsidRPr="004D0DAA" w:rsidRDefault="00711444" w:rsidP="00711444">
      <w:r w:rsidRPr="004D0DAA">
        <w:t>Furthermore, the network may broadcast PSI messages on PCCCH. In particular, the network may send the PSI1 and PSI13 messages on PCCCH to notify mobile stations in packet idle mode or MAC-Idle state about changes in the PBCCH information or changes of the PBCCH channel description.</w:t>
      </w:r>
    </w:p>
    <w:p w14:paraId="27FD00A2" w14:textId="77777777" w:rsidR="00711444" w:rsidRPr="004D0DAA" w:rsidRDefault="00711444" w:rsidP="00711444">
      <w:r w:rsidRPr="004D0DAA">
        <w:t>If the network supports the PACKET PSI STATUS message and this message is received from a mobile station, the network may schedule the missing PSI messages for that mobile station on PACCH (sub-clause 5.5.1.4.3). Optionally, the missing PSI messages may be sent in one or more instances of the PACKET SERVING CELL DATA message for that mobile station on PACCH.</w:t>
      </w:r>
    </w:p>
    <w:p w14:paraId="300E015F" w14:textId="77777777" w:rsidR="00711444" w:rsidRPr="004D0DAA" w:rsidRDefault="00711444" w:rsidP="00711444">
      <w:r w:rsidRPr="004D0DAA">
        <w:t>If the network supports the PACKET SI STATUS message and this message is received from a mobile station, the network may schedule the missing SI messages in one or more instances of the PACKET SERVING CELL DATA message for that mobile station on PACCH (sub-clause 5.5.1.4.3), or, in case the mobile station has indicated in the PACKET SI STATUS message that it supports the PACKET SERVING CELL SI message, the network should use the PACKET SERVING CELL SI messages instead of the PACKET SERVING CELL DATA messages.</w:t>
      </w:r>
    </w:p>
    <w:p w14:paraId="24576E08" w14:textId="77777777" w:rsidR="00711444" w:rsidRPr="004D0DAA" w:rsidRDefault="00711444" w:rsidP="00711444">
      <w:r w:rsidRPr="004D0DAA">
        <w:t xml:space="preserve">If the network supports the SI2n message, it shall always use the PACKET SERVING CELL SI message when broadcasting the SI2n messages on PACCH. </w:t>
      </w:r>
    </w:p>
    <w:p w14:paraId="4924FE8D" w14:textId="77777777" w:rsidR="00711444" w:rsidRPr="004D0DAA" w:rsidRDefault="00711444" w:rsidP="00711444">
      <w:pPr>
        <w:pStyle w:val="NO"/>
      </w:pPr>
      <w:r w:rsidRPr="004D0DAA">
        <w:t>NOTE:</w:t>
      </w:r>
      <w:r w:rsidRPr="004D0DAA">
        <w:tab/>
        <w:t>This is required due to the fact that the PACKET SERVING CELL SI is a distribution message making it possible for all mobile stations capable of decoding the SI2n message and listening to the PACCH to be able to receive the content.</w:t>
      </w:r>
    </w:p>
    <w:p w14:paraId="2B46324D" w14:textId="77777777" w:rsidR="00711444" w:rsidRPr="004D0DAA" w:rsidRDefault="00711444" w:rsidP="00711444">
      <w:r w:rsidRPr="004D0DAA">
        <w:t>The network may send the PSI14 message on PACCH to a mobile station in dual transfer mode or MAC-DTM state. The scheduling of the PSI14 message is determined by the network.</w:t>
      </w:r>
    </w:p>
    <w:p w14:paraId="3F048DF6" w14:textId="77777777" w:rsidR="00711444" w:rsidRPr="004D0DAA" w:rsidRDefault="00711444" w:rsidP="00711444">
      <w:r w:rsidRPr="004D0DAA">
        <w:lastRenderedPageBreak/>
        <w:t>If PBCCH is present in the cell and the network changes the contents of any of the PSI messages, it shall set the PSI_CHANGED_IND to "1" in all the PSI14 messages it sends in the next 30 seconds. Otherwise, the PSI_CHANGED_IND shall be set to "0".</w:t>
      </w:r>
    </w:p>
    <w:p w14:paraId="2CC6F5FA" w14:textId="77777777" w:rsidR="00711444" w:rsidRPr="004D0DAA" w:rsidRDefault="00711444" w:rsidP="00711444">
      <w:r w:rsidRPr="004D0DAA">
        <w:t>When a PSI or SI message is received on PACCH during dual transfer mode, no parameters except those relevant for monitoring possible changes in the contents of SI or PSI messages (e.g. PBCCH_CHANGE_MARK, BCCH_CHANGE_MARK, PSI_CHANGED_IND) shall be applied by the MS for operation in dual transfer mode.</w:t>
      </w:r>
    </w:p>
    <w:p w14:paraId="67D748F7" w14:textId="77777777" w:rsidR="00711444" w:rsidRPr="004D0DAA" w:rsidRDefault="00711444" w:rsidP="00711444">
      <w:r w:rsidRPr="004D0DAA">
        <w:t>The network may send neighbour cell PSI and SI messages on PACCH in one or more instances of the PACKET NEIGHBOUR CELL DATA message (see sub-clause 8.8.1).</w:t>
      </w:r>
    </w:p>
    <w:p w14:paraId="49172111" w14:textId="77777777" w:rsidR="00711444" w:rsidRPr="004D0DAA" w:rsidRDefault="00711444" w:rsidP="00711444">
      <w:pPr>
        <w:pStyle w:val="Heading5"/>
      </w:pPr>
      <w:bookmarkStart w:id="78" w:name="_Toc516669266"/>
      <w:r w:rsidRPr="004D0DAA">
        <w:t>5.5.2.1.3a</w:t>
      </w:r>
      <w:r w:rsidRPr="004D0DAA">
        <w:tab/>
        <w:t>Rules for (P)SI distribution within Packet Serving Cell Data messages</w:t>
      </w:r>
      <w:bookmarkEnd w:id="78"/>
      <w:r w:rsidRPr="004D0DAA">
        <w:t xml:space="preserve"> </w:t>
      </w:r>
    </w:p>
    <w:p w14:paraId="175C7440" w14:textId="77777777" w:rsidR="00711444" w:rsidRPr="004D0DAA" w:rsidRDefault="00711444" w:rsidP="00711444">
      <w:r w:rsidRPr="004D0DAA">
        <w:t>In order to ensure a consistent distribution and decoding of (P)SI messages contained in PACKET SERVING CELL DATA messages, the following rules shall apply:</w:t>
      </w:r>
    </w:p>
    <w:p w14:paraId="50E48461" w14:textId="77777777" w:rsidR="00711444" w:rsidRPr="004D0DAA" w:rsidRDefault="00711444" w:rsidP="00711444">
      <w:pPr>
        <w:ind w:left="568" w:hanging="284"/>
      </w:pPr>
      <w:r w:rsidRPr="004D0DAA">
        <w:t>-</w:t>
      </w:r>
      <w:r w:rsidRPr="004D0DAA">
        <w:tab/>
        <w:t>Whenever the network starts sending a set of PACKET SERVING CELL DATA message instances in response to any PACKET (P)SI STATUS message, the first PACKET SERVING CELL DATA message instance shall be started with CONTAINER_INDEX=0. If SI1 is broadcast in the serving cell and the MS has requested the SI1 message, the network shall include the SI1 message as the first SI message contained in the set of PACKET SERVING CELL DATA messages, starting from the message with CONTAINER_INDEX=0. If the MS is able to decode the first SI message contained in the set of PACKET SERVING CELL DATA messages but it was not the SI1 message, the MS shall conclude that SI1 is not broadcast in the serving cell.</w:t>
      </w:r>
    </w:p>
    <w:p w14:paraId="69B761DD" w14:textId="77777777" w:rsidR="00711444" w:rsidRPr="004D0DAA" w:rsidRDefault="00711444" w:rsidP="00711444">
      <w:pPr>
        <w:pStyle w:val="B1"/>
      </w:pPr>
      <w:r w:rsidRPr="004D0DAA">
        <w:t>-</w:t>
      </w:r>
      <w:r w:rsidRPr="004D0DAA">
        <w:tab/>
        <w:t>All subsequent instances of a PACKET SERVING CELL DATA message set shall be sent in ascending order of CONTAINER_INDEX value. It is allowed to send a PACKET SERVING CELL DATA message with the same CONTAINER_INDEX value more than once.</w:t>
      </w:r>
    </w:p>
    <w:p w14:paraId="3B325951" w14:textId="77777777" w:rsidR="00711444" w:rsidRPr="004D0DAA" w:rsidRDefault="00711444" w:rsidP="00711444">
      <w:pPr>
        <w:pStyle w:val="B1"/>
      </w:pPr>
      <w:r w:rsidRPr="004D0DAA">
        <w:t>-</w:t>
      </w:r>
      <w:r w:rsidRPr="004D0DAA">
        <w:tab/>
        <w:t>Whenever the MS receives a PACKET SERVING CELL DATA message instance with CONTAINER_INDEX=0 or with a CONTAINER_INDEX value that is less than the CONTAINER_INDEX value of the last received PACKET SERVING CELL DATA message instance, it shall delete any PACKET SERVING CELL DATA message instances it may have stored but it shall keep the already extracted PSI/SI message instances.</w:t>
      </w:r>
    </w:p>
    <w:p w14:paraId="15993FD6" w14:textId="77777777" w:rsidR="00711444" w:rsidRPr="004D0DAA" w:rsidRDefault="00711444" w:rsidP="00711444">
      <w:pPr>
        <w:pStyle w:val="B1"/>
      </w:pPr>
      <w:r w:rsidRPr="004D0DAA">
        <w:t>-</w:t>
      </w:r>
      <w:r w:rsidRPr="004D0DAA">
        <w:tab/>
        <w:t>Whenever the MS leaves packet transfer mode, it shall delete any PACKET SERVING CELL DATA message instances it may have stored but it shall keep the already extracted PSI/SI message instances.</w:t>
      </w:r>
    </w:p>
    <w:p w14:paraId="3332AC31" w14:textId="77777777" w:rsidR="00711444" w:rsidRPr="004D0DAA" w:rsidRDefault="00711444" w:rsidP="00711444">
      <w:pPr>
        <w:pStyle w:val="NO"/>
      </w:pPr>
      <w:r w:rsidRPr="004D0DAA">
        <w:t xml:space="preserve">NOTE : </w:t>
      </w:r>
      <w:r w:rsidRPr="004D0DAA">
        <w:tab/>
        <w:t>In order to increase the probability that the MS receives the PACKET SERVING CELL DATA message instances (especially the one with CONTAINER_INDEX =0), the network may poll the MS with a valid RRBP field in the RLC/MAC header of a PACKET SERVING CELL DATA message. Alternatively, the network may repeat the PACKET SERVING CELL DATA message instances one or more times.</w:t>
      </w:r>
    </w:p>
    <w:p w14:paraId="3A049729" w14:textId="77777777" w:rsidR="00711444" w:rsidRPr="004D0DAA" w:rsidRDefault="00711444" w:rsidP="00711444">
      <w:pPr>
        <w:pStyle w:val="Heading5"/>
      </w:pPr>
      <w:bookmarkStart w:id="79" w:name="_Toc516669267"/>
      <w:r w:rsidRPr="004D0DAA">
        <w:t>5.5.2.1.3b</w:t>
      </w:r>
      <w:r w:rsidRPr="004D0DAA">
        <w:tab/>
        <w:t>Rules for (P)SI distribution on PACCH of an MBMS radio bearer</w:t>
      </w:r>
      <w:bookmarkEnd w:id="79"/>
    </w:p>
    <w:p w14:paraId="5D27E50C" w14:textId="77777777" w:rsidR="00711444" w:rsidRPr="004D0DAA" w:rsidRDefault="00711444" w:rsidP="00711444">
      <w:pPr>
        <w:rPr>
          <w:rFonts w:eastAsia="SimSun"/>
          <w:lang w:eastAsia="zh-CN"/>
        </w:rPr>
      </w:pPr>
      <w:r w:rsidRPr="004D0DAA">
        <w:rPr>
          <w:rFonts w:eastAsia="SimSun"/>
          <w:lang w:eastAsia="zh-CN"/>
        </w:rPr>
        <w:t xml:space="preserve">If the network has indicated the use of in-band signalling for a given MBMS radio bearer, it shall broadcast on the PACCH the full system information provided on the (P)BCCH: </w:t>
      </w:r>
    </w:p>
    <w:p w14:paraId="5E8ADF70" w14:textId="77777777" w:rsidR="00711444" w:rsidRPr="004D0DAA" w:rsidRDefault="00711444" w:rsidP="00711444">
      <w:pPr>
        <w:pStyle w:val="B1"/>
        <w:rPr>
          <w:rFonts w:eastAsia="SimSun"/>
          <w:lang w:eastAsia="zh-CN"/>
        </w:rPr>
      </w:pPr>
      <w:r w:rsidRPr="004D0DAA">
        <w:rPr>
          <w:rFonts w:eastAsia="SimSun"/>
        </w:rPr>
        <w:t>-</w:t>
      </w:r>
      <w:r w:rsidRPr="004D0DAA">
        <w:rPr>
          <w:rFonts w:eastAsia="SimSun"/>
        </w:rPr>
        <w:tab/>
      </w:r>
      <w:r w:rsidRPr="004D0DAA">
        <w:rPr>
          <w:rFonts w:eastAsia="SimSun"/>
          <w:lang w:eastAsia="en-US"/>
        </w:rPr>
        <w:t>In case PBCCH is allocated in the cell, the network shall broadcast the consistent set of PSI messages (it broadcasts on PBCCH), on the PACCH/D of the MBMS radio bearer</w:t>
      </w:r>
      <w:r w:rsidRPr="004D0DAA">
        <w:rPr>
          <w:rFonts w:eastAsia="SimSun"/>
          <w:lang w:eastAsia="zh-CN"/>
        </w:rPr>
        <w:t>.</w:t>
      </w:r>
    </w:p>
    <w:p w14:paraId="10AAC2FA" w14:textId="77777777" w:rsidR="00711444" w:rsidRPr="004D0DAA" w:rsidRDefault="00711444" w:rsidP="00711444">
      <w:pPr>
        <w:pStyle w:val="B1"/>
        <w:rPr>
          <w:rFonts w:eastAsia="SimSun"/>
          <w:sz w:val="24"/>
          <w:szCs w:val="24"/>
          <w:lang w:eastAsia="zh-CN"/>
        </w:rPr>
      </w:pPr>
      <w:r w:rsidRPr="004D0DAA">
        <w:rPr>
          <w:rFonts w:eastAsia="SimSun"/>
          <w:lang w:eastAsia="zh-CN"/>
        </w:rPr>
        <w:t>-</w:t>
      </w:r>
      <w:r w:rsidRPr="004D0DAA">
        <w:rPr>
          <w:rFonts w:eastAsia="SimSun"/>
          <w:lang w:eastAsia="zh-CN"/>
        </w:rPr>
        <w:tab/>
        <w:t xml:space="preserve">In case PBCCH is not allocated in the cell, the network shall broadcast the consistent set of SI messages (it broadcasts on the BCCH), on the PACCH/D of the MBMS radio bearer using PACKET SERVING CELL SI messages. </w:t>
      </w:r>
    </w:p>
    <w:p w14:paraId="0206AAE5" w14:textId="77777777" w:rsidR="00711444" w:rsidRPr="004D0DAA" w:rsidRDefault="00711444" w:rsidP="00711444">
      <w:pPr>
        <w:pStyle w:val="Heading5"/>
      </w:pPr>
      <w:bookmarkStart w:id="80" w:name="_Toc516669268"/>
      <w:r w:rsidRPr="004D0DAA">
        <w:t>5.5.2.1.4</w:t>
      </w:r>
      <w:r w:rsidRPr="004D0DAA">
        <w:tab/>
        <w:t>Consistent sets of system information messages</w:t>
      </w:r>
      <w:bookmarkEnd w:id="80"/>
    </w:p>
    <w:p w14:paraId="54D6BDE6" w14:textId="77777777" w:rsidR="00711444" w:rsidRPr="004D0DAA" w:rsidRDefault="00711444" w:rsidP="00711444">
      <w:r w:rsidRPr="004D0DAA">
        <w:t>Certain types of PSI and SI messages are sent on PBCCH and BCCH in a multiple number of instances. If such a PSI or SI message type is sent on (P)BCCH, the mobile station shall receive a consistent set of that type of PSI or SI message. In some cases, more than one type of PSI messages may be joined into one consistent set, see table 5.5.2.1.4.1.</w:t>
      </w:r>
    </w:p>
    <w:p w14:paraId="4D400EED" w14:textId="77777777" w:rsidR="00711444" w:rsidRPr="004D0DAA" w:rsidRDefault="00711444" w:rsidP="00711444">
      <w:pPr>
        <w:pStyle w:val="TH"/>
      </w:pPr>
      <w:r w:rsidRPr="004D0DAA">
        <w:lastRenderedPageBreak/>
        <w:t>Table 5.5.2.1.4.1: Consistent sets of system information messages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134"/>
        <w:gridCol w:w="1134"/>
        <w:gridCol w:w="2126"/>
        <w:gridCol w:w="1843"/>
        <w:gridCol w:w="1984"/>
      </w:tblGrid>
      <w:tr w:rsidR="00711444" w:rsidRPr="004D0DAA" w14:paraId="3EA146E9" w14:textId="77777777" w:rsidTr="00AA2A4C">
        <w:tblPrEx>
          <w:tblCellMar>
            <w:top w:w="0" w:type="dxa"/>
            <w:bottom w:w="0" w:type="dxa"/>
          </w:tblCellMar>
        </w:tblPrEx>
        <w:trPr>
          <w:cantSplit/>
        </w:trPr>
        <w:tc>
          <w:tcPr>
            <w:tcW w:w="1668" w:type="dxa"/>
          </w:tcPr>
          <w:p w14:paraId="2D8979EF" w14:textId="77777777" w:rsidR="00711444" w:rsidRPr="004D0DAA" w:rsidRDefault="00711444" w:rsidP="00AA2A4C">
            <w:pPr>
              <w:pStyle w:val="TAC"/>
              <w:rPr>
                <w:lang w:eastAsia="en-US"/>
              </w:rPr>
            </w:pPr>
            <w:r w:rsidRPr="004D0DAA">
              <w:rPr>
                <w:b/>
                <w:lang w:eastAsia="en-US"/>
              </w:rPr>
              <w:t xml:space="preserve">Consistent set / </w:t>
            </w:r>
            <w:r w:rsidRPr="004D0DAA">
              <w:rPr>
                <w:b/>
                <w:lang w:eastAsia="en-US"/>
              </w:rPr>
              <w:br/>
              <w:t>Message Type(s)</w:t>
            </w:r>
          </w:p>
        </w:tc>
        <w:tc>
          <w:tcPr>
            <w:tcW w:w="1134" w:type="dxa"/>
          </w:tcPr>
          <w:p w14:paraId="0E178584" w14:textId="77777777" w:rsidR="00711444" w:rsidRPr="004D0DAA" w:rsidRDefault="00711444" w:rsidP="00AA2A4C">
            <w:pPr>
              <w:pStyle w:val="TAC"/>
              <w:rPr>
                <w:lang w:eastAsia="en-US"/>
              </w:rPr>
            </w:pPr>
            <w:r w:rsidRPr="004D0DAA">
              <w:rPr>
                <w:b/>
                <w:lang w:eastAsia="en-US"/>
              </w:rPr>
              <w:t>Broadcast</w:t>
            </w:r>
            <w:r w:rsidRPr="004D0DAA">
              <w:rPr>
                <w:b/>
                <w:lang w:eastAsia="en-US"/>
              </w:rPr>
              <w:br/>
              <w:t>Channel</w:t>
            </w:r>
          </w:p>
        </w:tc>
        <w:tc>
          <w:tcPr>
            <w:tcW w:w="1134" w:type="dxa"/>
          </w:tcPr>
          <w:p w14:paraId="3769DB91" w14:textId="77777777" w:rsidR="00711444" w:rsidRPr="004D0DAA" w:rsidRDefault="00711444" w:rsidP="00AA2A4C">
            <w:pPr>
              <w:pStyle w:val="TAC"/>
              <w:rPr>
                <w:lang w:eastAsia="en-US"/>
              </w:rPr>
            </w:pPr>
            <w:r w:rsidRPr="004D0DAA">
              <w:rPr>
                <w:b/>
                <w:lang w:eastAsia="en-US"/>
              </w:rPr>
              <w:t>Number of instances</w:t>
            </w:r>
          </w:p>
        </w:tc>
        <w:tc>
          <w:tcPr>
            <w:tcW w:w="2126" w:type="dxa"/>
          </w:tcPr>
          <w:p w14:paraId="73190F82" w14:textId="77777777" w:rsidR="00711444" w:rsidRPr="004D0DAA" w:rsidRDefault="00711444" w:rsidP="00AA2A4C">
            <w:pPr>
              <w:pStyle w:val="TAC"/>
              <w:rPr>
                <w:lang w:eastAsia="en-US"/>
              </w:rPr>
            </w:pPr>
            <w:r w:rsidRPr="004D0DAA">
              <w:rPr>
                <w:b/>
                <w:lang w:eastAsia="en-US"/>
              </w:rPr>
              <w:t>PSI or SI change mark</w:t>
            </w:r>
            <w:r w:rsidRPr="004D0DAA">
              <w:rPr>
                <w:b/>
                <w:lang w:eastAsia="en-US"/>
              </w:rPr>
              <w:br/>
              <w:t>parameter</w:t>
            </w:r>
          </w:p>
        </w:tc>
        <w:tc>
          <w:tcPr>
            <w:tcW w:w="1843" w:type="dxa"/>
          </w:tcPr>
          <w:p w14:paraId="2374D328" w14:textId="77777777" w:rsidR="00711444" w:rsidRPr="004D0DAA" w:rsidRDefault="00711444" w:rsidP="00AA2A4C">
            <w:pPr>
              <w:pStyle w:val="TAC"/>
              <w:rPr>
                <w:lang w:val="fr-FR" w:eastAsia="en-US"/>
              </w:rPr>
            </w:pPr>
            <w:r w:rsidRPr="004D0DAA">
              <w:rPr>
                <w:b/>
                <w:lang w:val="fr-FR" w:eastAsia="en-US"/>
              </w:rPr>
              <w:t xml:space="preserve">PSI or SI index </w:t>
            </w:r>
            <w:r w:rsidRPr="004D0DAA">
              <w:rPr>
                <w:b/>
                <w:lang w:val="fr-FR" w:eastAsia="en-US"/>
              </w:rPr>
              <w:br/>
              <w:t>parameter</w:t>
            </w:r>
          </w:p>
        </w:tc>
        <w:tc>
          <w:tcPr>
            <w:tcW w:w="1984" w:type="dxa"/>
          </w:tcPr>
          <w:p w14:paraId="53D572C8" w14:textId="77777777" w:rsidR="00711444" w:rsidRPr="004D0DAA" w:rsidRDefault="00711444" w:rsidP="00AA2A4C">
            <w:pPr>
              <w:pStyle w:val="TAC"/>
              <w:rPr>
                <w:lang w:eastAsia="en-US"/>
              </w:rPr>
            </w:pPr>
            <w:r w:rsidRPr="004D0DAA">
              <w:rPr>
                <w:b/>
                <w:lang w:eastAsia="en-US"/>
              </w:rPr>
              <w:t xml:space="preserve">PSI or SI count </w:t>
            </w:r>
            <w:r w:rsidRPr="004D0DAA">
              <w:rPr>
                <w:b/>
                <w:lang w:eastAsia="en-US"/>
              </w:rPr>
              <w:br/>
              <w:t>parameter</w:t>
            </w:r>
          </w:p>
        </w:tc>
      </w:tr>
      <w:tr w:rsidR="00711444" w:rsidRPr="004D0DAA" w14:paraId="16DB1915" w14:textId="77777777" w:rsidTr="00AA2A4C">
        <w:tblPrEx>
          <w:tblCellMar>
            <w:top w:w="0" w:type="dxa"/>
            <w:bottom w:w="0" w:type="dxa"/>
          </w:tblCellMar>
        </w:tblPrEx>
        <w:trPr>
          <w:cantSplit/>
        </w:trPr>
        <w:tc>
          <w:tcPr>
            <w:tcW w:w="1668" w:type="dxa"/>
          </w:tcPr>
          <w:p w14:paraId="4C2A33D5" w14:textId="77777777" w:rsidR="00711444" w:rsidRPr="004D0DAA" w:rsidRDefault="00711444" w:rsidP="00AA2A4C">
            <w:pPr>
              <w:pStyle w:val="TAL"/>
              <w:rPr>
                <w:lang w:eastAsia="en-US"/>
              </w:rPr>
            </w:pPr>
            <w:r w:rsidRPr="004D0DAA">
              <w:rPr>
                <w:lang w:eastAsia="en-US"/>
              </w:rPr>
              <w:t>PSI2</w:t>
            </w:r>
          </w:p>
        </w:tc>
        <w:tc>
          <w:tcPr>
            <w:tcW w:w="1134" w:type="dxa"/>
          </w:tcPr>
          <w:p w14:paraId="0A134E65" w14:textId="77777777" w:rsidR="00711444" w:rsidRPr="004D0DAA" w:rsidRDefault="00711444" w:rsidP="00AA2A4C">
            <w:pPr>
              <w:pStyle w:val="TAC"/>
              <w:rPr>
                <w:lang w:eastAsia="en-US"/>
              </w:rPr>
            </w:pPr>
            <w:r w:rsidRPr="004D0DAA">
              <w:rPr>
                <w:lang w:eastAsia="en-US"/>
              </w:rPr>
              <w:t>PBCCH</w:t>
            </w:r>
          </w:p>
        </w:tc>
        <w:tc>
          <w:tcPr>
            <w:tcW w:w="1134" w:type="dxa"/>
          </w:tcPr>
          <w:p w14:paraId="21B32E44" w14:textId="77777777" w:rsidR="00711444" w:rsidRPr="004D0DAA" w:rsidRDefault="00711444" w:rsidP="00AA2A4C">
            <w:pPr>
              <w:pStyle w:val="TAC"/>
              <w:rPr>
                <w:lang w:eastAsia="en-US"/>
              </w:rPr>
            </w:pPr>
            <w:r w:rsidRPr="004D0DAA">
              <w:rPr>
                <w:lang w:eastAsia="en-US"/>
              </w:rPr>
              <w:t>1 - 8</w:t>
            </w:r>
          </w:p>
        </w:tc>
        <w:tc>
          <w:tcPr>
            <w:tcW w:w="2126" w:type="dxa"/>
          </w:tcPr>
          <w:p w14:paraId="7202BBAB" w14:textId="77777777" w:rsidR="00711444" w:rsidRPr="004D0DAA" w:rsidRDefault="00711444" w:rsidP="00AA2A4C">
            <w:pPr>
              <w:pStyle w:val="TAC"/>
              <w:rPr>
                <w:lang w:eastAsia="en-US"/>
              </w:rPr>
            </w:pPr>
            <w:r w:rsidRPr="004D0DAA">
              <w:rPr>
                <w:lang w:eastAsia="en-US"/>
              </w:rPr>
              <w:t xml:space="preserve">PSI2_CHANGE_MARK (Note </w:t>
            </w:r>
            <w:r w:rsidRPr="004D0DAA">
              <w:rPr>
                <w:rFonts w:hint="eastAsia"/>
                <w:lang w:eastAsia="ko-KR"/>
              </w:rPr>
              <w:t>3</w:t>
            </w:r>
            <w:r w:rsidRPr="004D0DAA">
              <w:rPr>
                <w:lang w:eastAsia="en-US"/>
              </w:rPr>
              <w:t>)</w:t>
            </w:r>
          </w:p>
        </w:tc>
        <w:tc>
          <w:tcPr>
            <w:tcW w:w="1843" w:type="dxa"/>
          </w:tcPr>
          <w:p w14:paraId="6DE68E92" w14:textId="77777777" w:rsidR="00711444" w:rsidRPr="004D0DAA" w:rsidRDefault="00711444" w:rsidP="00AA2A4C">
            <w:pPr>
              <w:pStyle w:val="TAC"/>
              <w:rPr>
                <w:lang w:eastAsia="en-US"/>
              </w:rPr>
            </w:pPr>
            <w:r w:rsidRPr="004D0DAA">
              <w:rPr>
                <w:lang w:eastAsia="en-US"/>
              </w:rPr>
              <w:t>PSI2_INDEX</w:t>
            </w:r>
          </w:p>
        </w:tc>
        <w:tc>
          <w:tcPr>
            <w:tcW w:w="1984" w:type="dxa"/>
          </w:tcPr>
          <w:p w14:paraId="40F87631" w14:textId="77777777" w:rsidR="00711444" w:rsidRPr="004D0DAA" w:rsidRDefault="00711444" w:rsidP="00AA2A4C">
            <w:pPr>
              <w:pStyle w:val="TAC"/>
              <w:rPr>
                <w:lang w:eastAsia="en-US"/>
              </w:rPr>
            </w:pPr>
            <w:r w:rsidRPr="004D0DAA">
              <w:rPr>
                <w:lang w:eastAsia="en-US"/>
              </w:rPr>
              <w:t>PSI2_COUNT</w:t>
            </w:r>
          </w:p>
        </w:tc>
      </w:tr>
      <w:tr w:rsidR="00711444" w:rsidRPr="004D0DAA" w14:paraId="6214058A" w14:textId="77777777" w:rsidTr="00AA2A4C">
        <w:tblPrEx>
          <w:tblCellMar>
            <w:top w:w="0" w:type="dxa"/>
            <w:bottom w:w="0" w:type="dxa"/>
          </w:tblCellMar>
        </w:tblPrEx>
        <w:trPr>
          <w:cantSplit/>
        </w:trPr>
        <w:tc>
          <w:tcPr>
            <w:tcW w:w="1668" w:type="dxa"/>
          </w:tcPr>
          <w:p w14:paraId="6E5E07F4" w14:textId="77777777" w:rsidR="00711444" w:rsidRPr="004D0DAA" w:rsidRDefault="00711444" w:rsidP="00AA2A4C">
            <w:pPr>
              <w:pStyle w:val="TAL"/>
              <w:rPr>
                <w:lang w:eastAsia="en-US"/>
              </w:rPr>
            </w:pPr>
            <w:r w:rsidRPr="004D0DAA">
              <w:rPr>
                <w:lang w:eastAsia="en-US"/>
              </w:rPr>
              <w:t>PSI3</w:t>
            </w:r>
          </w:p>
        </w:tc>
        <w:tc>
          <w:tcPr>
            <w:tcW w:w="1134" w:type="dxa"/>
          </w:tcPr>
          <w:p w14:paraId="286406DD" w14:textId="77777777" w:rsidR="00711444" w:rsidRPr="004D0DAA" w:rsidRDefault="00711444" w:rsidP="00AA2A4C">
            <w:pPr>
              <w:pStyle w:val="TAC"/>
              <w:rPr>
                <w:lang w:eastAsia="en-US"/>
              </w:rPr>
            </w:pPr>
            <w:r w:rsidRPr="004D0DAA">
              <w:rPr>
                <w:lang w:eastAsia="en-US"/>
              </w:rPr>
              <w:t>PBCCH</w:t>
            </w:r>
          </w:p>
        </w:tc>
        <w:tc>
          <w:tcPr>
            <w:tcW w:w="1134" w:type="dxa"/>
          </w:tcPr>
          <w:p w14:paraId="2068236E" w14:textId="77777777" w:rsidR="00711444" w:rsidRPr="004D0DAA" w:rsidRDefault="00711444" w:rsidP="00AA2A4C">
            <w:pPr>
              <w:pStyle w:val="TAC"/>
              <w:rPr>
                <w:lang w:eastAsia="en-US"/>
              </w:rPr>
            </w:pPr>
            <w:r w:rsidRPr="004D0DAA">
              <w:rPr>
                <w:lang w:eastAsia="en-US"/>
              </w:rPr>
              <w:t>1</w:t>
            </w:r>
          </w:p>
        </w:tc>
        <w:tc>
          <w:tcPr>
            <w:tcW w:w="2126" w:type="dxa"/>
          </w:tcPr>
          <w:p w14:paraId="5623EFF4" w14:textId="77777777" w:rsidR="00711444" w:rsidRPr="004D0DAA" w:rsidRDefault="00711444" w:rsidP="00AA2A4C">
            <w:pPr>
              <w:pStyle w:val="TAC"/>
              <w:rPr>
                <w:lang w:eastAsia="en-US"/>
              </w:rPr>
            </w:pPr>
            <w:r w:rsidRPr="004D0DAA">
              <w:rPr>
                <w:lang w:eastAsia="en-US"/>
              </w:rPr>
              <w:t>PSI3_CHANGE_MARK</w:t>
            </w:r>
          </w:p>
        </w:tc>
        <w:tc>
          <w:tcPr>
            <w:tcW w:w="1843" w:type="dxa"/>
          </w:tcPr>
          <w:p w14:paraId="3BB937EF" w14:textId="77777777" w:rsidR="00711444" w:rsidRPr="004D0DAA" w:rsidRDefault="00711444" w:rsidP="00AA2A4C"/>
        </w:tc>
        <w:tc>
          <w:tcPr>
            <w:tcW w:w="1984" w:type="dxa"/>
          </w:tcPr>
          <w:p w14:paraId="4BA3B2ED" w14:textId="77777777" w:rsidR="00711444" w:rsidRPr="004D0DAA" w:rsidRDefault="00711444" w:rsidP="00AA2A4C">
            <w:pPr>
              <w:pStyle w:val="TAC"/>
              <w:rPr>
                <w:lang w:eastAsia="en-US"/>
              </w:rPr>
            </w:pPr>
          </w:p>
        </w:tc>
      </w:tr>
      <w:tr w:rsidR="00711444" w:rsidRPr="004D0DAA" w14:paraId="1A12468F" w14:textId="77777777" w:rsidTr="00AA2A4C">
        <w:tblPrEx>
          <w:tblCellMar>
            <w:top w:w="0" w:type="dxa"/>
            <w:bottom w:w="0" w:type="dxa"/>
          </w:tblCellMar>
        </w:tblPrEx>
        <w:trPr>
          <w:cantSplit/>
        </w:trPr>
        <w:tc>
          <w:tcPr>
            <w:tcW w:w="1668" w:type="dxa"/>
          </w:tcPr>
          <w:p w14:paraId="35255800" w14:textId="77777777" w:rsidR="00711444" w:rsidRPr="004D0DAA" w:rsidRDefault="00711444" w:rsidP="00AA2A4C">
            <w:pPr>
              <w:pStyle w:val="TAL"/>
              <w:rPr>
                <w:lang w:eastAsia="en-US"/>
              </w:rPr>
            </w:pPr>
            <w:r w:rsidRPr="004D0DAA">
              <w:rPr>
                <w:lang w:eastAsia="en-US"/>
              </w:rPr>
              <w:t>PSI3 bis</w:t>
            </w:r>
          </w:p>
        </w:tc>
        <w:tc>
          <w:tcPr>
            <w:tcW w:w="1134" w:type="dxa"/>
          </w:tcPr>
          <w:p w14:paraId="74ADBBCF" w14:textId="77777777" w:rsidR="00711444" w:rsidRPr="004D0DAA" w:rsidRDefault="00711444" w:rsidP="00AA2A4C">
            <w:pPr>
              <w:pStyle w:val="TAC"/>
              <w:rPr>
                <w:lang w:eastAsia="en-US"/>
              </w:rPr>
            </w:pPr>
            <w:r w:rsidRPr="004D0DAA">
              <w:rPr>
                <w:lang w:eastAsia="en-US"/>
              </w:rPr>
              <w:t>PBCCH</w:t>
            </w:r>
          </w:p>
        </w:tc>
        <w:tc>
          <w:tcPr>
            <w:tcW w:w="1134" w:type="dxa"/>
          </w:tcPr>
          <w:p w14:paraId="480ADCCD" w14:textId="77777777" w:rsidR="00711444" w:rsidRPr="004D0DAA" w:rsidRDefault="00711444" w:rsidP="00AA2A4C">
            <w:pPr>
              <w:pStyle w:val="TAC"/>
              <w:rPr>
                <w:lang w:eastAsia="en-US"/>
              </w:rPr>
            </w:pPr>
            <w:r w:rsidRPr="004D0DAA">
              <w:rPr>
                <w:lang w:eastAsia="en-US"/>
              </w:rPr>
              <w:t>1 - 16</w:t>
            </w:r>
          </w:p>
        </w:tc>
        <w:tc>
          <w:tcPr>
            <w:tcW w:w="2126" w:type="dxa"/>
          </w:tcPr>
          <w:p w14:paraId="63C56DD3" w14:textId="77777777" w:rsidR="00711444" w:rsidRPr="004D0DAA" w:rsidRDefault="00711444" w:rsidP="00AA2A4C">
            <w:pPr>
              <w:pStyle w:val="TAC"/>
              <w:rPr>
                <w:lang w:eastAsia="en-US"/>
              </w:rPr>
            </w:pPr>
            <w:r w:rsidRPr="004D0DAA">
              <w:rPr>
                <w:lang w:eastAsia="en-US"/>
              </w:rPr>
              <w:t>PSI3_CHANGE_MARK</w:t>
            </w:r>
          </w:p>
        </w:tc>
        <w:tc>
          <w:tcPr>
            <w:tcW w:w="1843" w:type="dxa"/>
          </w:tcPr>
          <w:p w14:paraId="28133130" w14:textId="77777777" w:rsidR="00711444" w:rsidRPr="004D0DAA" w:rsidRDefault="00711444" w:rsidP="00AA2A4C">
            <w:pPr>
              <w:pStyle w:val="TAC"/>
              <w:rPr>
                <w:lang w:eastAsia="en-US"/>
              </w:rPr>
            </w:pPr>
            <w:r w:rsidRPr="004D0DAA">
              <w:rPr>
                <w:lang w:eastAsia="en-US"/>
              </w:rPr>
              <w:t>PSI3bis_INDEX</w:t>
            </w:r>
          </w:p>
        </w:tc>
        <w:tc>
          <w:tcPr>
            <w:tcW w:w="1984" w:type="dxa"/>
          </w:tcPr>
          <w:p w14:paraId="0352C9BF" w14:textId="77777777" w:rsidR="00711444" w:rsidRPr="004D0DAA" w:rsidRDefault="00711444" w:rsidP="00AA2A4C">
            <w:pPr>
              <w:pStyle w:val="TAC"/>
              <w:rPr>
                <w:lang w:eastAsia="en-US"/>
              </w:rPr>
            </w:pPr>
            <w:r w:rsidRPr="004D0DAA">
              <w:rPr>
                <w:lang w:eastAsia="en-US"/>
              </w:rPr>
              <w:t>PSI3bis_COUNT</w:t>
            </w:r>
          </w:p>
        </w:tc>
      </w:tr>
      <w:tr w:rsidR="00711444" w:rsidRPr="004D0DAA" w14:paraId="7FD2329D" w14:textId="77777777" w:rsidTr="00AA2A4C">
        <w:tblPrEx>
          <w:tblCellMar>
            <w:top w:w="0" w:type="dxa"/>
            <w:bottom w:w="0" w:type="dxa"/>
          </w:tblCellMar>
        </w:tblPrEx>
        <w:trPr>
          <w:cantSplit/>
        </w:trPr>
        <w:tc>
          <w:tcPr>
            <w:tcW w:w="1668" w:type="dxa"/>
          </w:tcPr>
          <w:p w14:paraId="4A2988D5" w14:textId="77777777" w:rsidR="00711444" w:rsidRPr="004D0DAA" w:rsidRDefault="00711444" w:rsidP="00AA2A4C">
            <w:pPr>
              <w:pStyle w:val="TAL"/>
              <w:rPr>
                <w:lang w:eastAsia="en-US"/>
              </w:rPr>
            </w:pPr>
            <w:r w:rsidRPr="004D0DAA">
              <w:rPr>
                <w:lang w:eastAsia="en-US"/>
              </w:rPr>
              <w:t>PSI3 ter</w:t>
            </w:r>
          </w:p>
        </w:tc>
        <w:tc>
          <w:tcPr>
            <w:tcW w:w="1134" w:type="dxa"/>
          </w:tcPr>
          <w:p w14:paraId="36733CA7" w14:textId="77777777" w:rsidR="00711444" w:rsidRPr="004D0DAA" w:rsidRDefault="00711444" w:rsidP="00AA2A4C">
            <w:pPr>
              <w:pStyle w:val="TAC"/>
              <w:rPr>
                <w:lang w:eastAsia="en-US"/>
              </w:rPr>
            </w:pPr>
            <w:r w:rsidRPr="004D0DAA">
              <w:rPr>
                <w:lang w:eastAsia="en-US"/>
              </w:rPr>
              <w:t>PBCCH</w:t>
            </w:r>
          </w:p>
        </w:tc>
        <w:tc>
          <w:tcPr>
            <w:tcW w:w="1134" w:type="dxa"/>
          </w:tcPr>
          <w:p w14:paraId="7DEAB45F" w14:textId="77777777" w:rsidR="00711444" w:rsidRPr="004D0DAA" w:rsidRDefault="00711444" w:rsidP="00AA2A4C">
            <w:pPr>
              <w:pStyle w:val="TAC"/>
              <w:rPr>
                <w:lang w:eastAsia="en-US"/>
              </w:rPr>
            </w:pPr>
            <w:r w:rsidRPr="004D0DAA">
              <w:rPr>
                <w:lang w:eastAsia="en-US"/>
              </w:rPr>
              <w:t>0 - 16</w:t>
            </w:r>
          </w:p>
        </w:tc>
        <w:tc>
          <w:tcPr>
            <w:tcW w:w="2126" w:type="dxa"/>
          </w:tcPr>
          <w:p w14:paraId="30169B52" w14:textId="77777777" w:rsidR="00711444" w:rsidRPr="004D0DAA" w:rsidRDefault="00711444" w:rsidP="00AA2A4C">
            <w:pPr>
              <w:pStyle w:val="TAC"/>
              <w:rPr>
                <w:lang w:eastAsia="en-US"/>
              </w:rPr>
            </w:pPr>
            <w:r w:rsidRPr="004D0DAA">
              <w:rPr>
                <w:lang w:eastAsia="en-US"/>
              </w:rPr>
              <w:t>PSI3_CHANGE_MARK</w:t>
            </w:r>
          </w:p>
        </w:tc>
        <w:tc>
          <w:tcPr>
            <w:tcW w:w="1843" w:type="dxa"/>
          </w:tcPr>
          <w:p w14:paraId="6E516789" w14:textId="77777777" w:rsidR="00711444" w:rsidRPr="004D0DAA" w:rsidRDefault="00711444" w:rsidP="00AA2A4C">
            <w:pPr>
              <w:pStyle w:val="TAC"/>
              <w:rPr>
                <w:lang w:eastAsia="en-US"/>
              </w:rPr>
            </w:pPr>
            <w:r w:rsidRPr="004D0DAA">
              <w:rPr>
                <w:lang w:eastAsia="en-US"/>
              </w:rPr>
              <w:t>PSI3ter_INDEX</w:t>
            </w:r>
          </w:p>
        </w:tc>
        <w:tc>
          <w:tcPr>
            <w:tcW w:w="1984" w:type="dxa"/>
          </w:tcPr>
          <w:p w14:paraId="43FDEF4D" w14:textId="77777777" w:rsidR="00711444" w:rsidRPr="004D0DAA" w:rsidRDefault="00711444" w:rsidP="00AA2A4C">
            <w:pPr>
              <w:pStyle w:val="TAC"/>
              <w:rPr>
                <w:lang w:eastAsia="en-US"/>
              </w:rPr>
            </w:pPr>
            <w:r w:rsidRPr="004D0DAA">
              <w:rPr>
                <w:lang w:eastAsia="en-US"/>
              </w:rPr>
              <w:t>PSI3ter_COUNT</w:t>
            </w:r>
          </w:p>
        </w:tc>
      </w:tr>
      <w:tr w:rsidR="00711444" w:rsidRPr="004D0DAA" w14:paraId="12778E97" w14:textId="77777777" w:rsidTr="00AA2A4C">
        <w:tblPrEx>
          <w:tblCellMar>
            <w:top w:w="0" w:type="dxa"/>
            <w:bottom w:w="0" w:type="dxa"/>
          </w:tblCellMar>
        </w:tblPrEx>
        <w:trPr>
          <w:cantSplit/>
        </w:trPr>
        <w:tc>
          <w:tcPr>
            <w:tcW w:w="1668" w:type="dxa"/>
          </w:tcPr>
          <w:p w14:paraId="3DECA27A" w14:textId="77777777" w:rsidR="00711444" w:rsidRPr="004D0DAA" w:rsidRDefault="00711444" w:rsidP="00AA2A4C">
            <w:pPr>
              <w:pStyle w:val="TAL"/>
              <w:rPr>
                <w:lang w:eastAsia="en-US"/>
              </w:rPr>
            </w:pPr>
            <w:r w:rsidRPr="004D0DAA">
              <w:rPr>
                <w:lang w:eastAsia="en-US"/>
              </w:rPr>
              <w:t>PSI3 quater</w:t>
            </w:r>
          </w:p>
        </w:tc>
        <w:tc>
          <w:tcPr>
            <w:tcW w:w="1134" w:type="dxa"/>
          </w:tcPr>
          <w:p w14:paraId="3A21FC76" w14:textId="77777777" w:rsidR="00711444" w:rsidRPr="004D0DAA" w:rsidRDefault="00711444" w:rsidP="00AA2A4C">
            <w:pPr>
              <w:pStyle w:val="TAC"/>
              <w:rPr>
                <w:lang w:eastAsia="en-US"/>
              </w:rPr>
            </w:pPr>
            <w:r w:rsidRPr="004D0DAA">
              <w:rPr>
                <w:lang w:eastAsia="en-US"/>
              </w:rPr>
              <w:t>PBCCH</w:t>
            </w:r>
          </w:p>
        </w:tc>
        <w:tc>
          <w:tcPr>
            <w:tcW w:w="1134" w:type="dxa"/>
          </w:tcPr>
          <w:p w14:paraId="44DF020D" w14:textId="77777777" w:rsidR="00711444" w:rsidRPr="004D0DAA" w:rsidRDefault="00711444" w:rsidP="00AA2A4C">
            <w:pPr>
              <w:pStyle w:val="TAC"/>
              <w:rPr>
                <w:lang w:eastAsia="en-US"/>
              </w:rPr>
            </w:pPr>
            <w:r w:rsidRPr="004D0DAA">
              <w:rPr>
                <w:lang w:eastAsia="en-US"/>
              </w:rPr>
              <w:t>0 - 16</w:t>
            </w:r>
          </w:p>
        </w:tc>
        <w:tc>
          <w:tcPr>
            <w:tcW w:w="2126" w:type="dxa"/>
          </w:tcPr>
          <w:p w14:paraId="3A5E75A1" w14:textId="77777777" w:rsidR="00711444" w:rsidRPr="004D0DAA" w:rsidRDefault="00711444" w:rsidP="00AA2A4C">
            <w:pPr>
              <w:pStyle w:val="TAC"/>
              <w:rPr>
                <w:lang w:eastAsia="en-US"/>
              </w:rPr>
            </w:pPr>
            <w:r w:rsidRPr="004D0DAA">
              <w:rPr>
                <w:lang w:eastAsia="en-US"/>
              </w:rPr>
              <w:t>PSI3_CHANGE_MARK</w:t>
            </w:r>
          </w:p>
        </w:tc>
        <w:tc>
          <w:tcPr>
            <w:tcW w:w="1843" w:type="dxa"/>
          </w:tcPr>
          <w:p w14:paraId="54D37136" w14:textId="77777777" w:rsidR="00711444" w:rsidRPr="004D0DAA" w:rsidRDefault="00711444" w:rsidP="00AA2A4C">
            <w:pPr>
              <w:pStyle w:val="TAC"/>
              <w:rPr>
                <w:lang w:eastAsia="en-US"/>
              </w:rPr>
            </w:pPr>
            <w:r w:rsidRPr="004D0DAA">
              <w:rPr>
                <w:lang w:eastAsia="en-US"/>
              </w:rPr>
              <w:t>PSI3quater_INDEX</w:t>
            </w:r>
          </w:p>
        </w:tc>
        <w:tc>
          <w:tcPr>
            <w:tcW w:w="1984" w:type="dxa"/>
          </w:tcPr>
          <w:p w14:paraId="4EAB08A5" w14:textId="77777777" w:rsidR="00711444" w:rsidRPr="004D0DAA" w:rsidRDefault="00711444" w:rsidP="00AA2A4C">
            <w:pPr>
              <w:pStyle w:val="TAC"/>
              <w:rPr>
                <w:lang w:eastAsia="en-US"/>
              </w:rPr>
            </w:pPr>
            <w:r w:rsidRPr="004D0DAA">
              <w:rPr>
                <w:lang w:eastAsia="en-US"/>
              </w:rPr>
              <w:t>PSI3quater_COUNT</w:t>
            </w:r>
          </w:p>
        </w:tc>
      </w:tr>
      <w:tr w:rsidR="00711444" w:rsidRPr="004D0DAA" w14:paraId="449AE8B7" w14:textId="77777777" w:rsidTr="00AA2A4C">
        <w:tblPrEx>
          <w:tblCellMar>
            <w:top w:w="0" w:type="dxa"/>
            <w:bottom w:w="0" w:type="dxa"/>
          </w:tblCellMar>
        </w:tblPrEx>
        <w:trPr>
          <w:cantSplit/>
        </w:trPr>
        <w:tc>
          <w:tcPr>
            <w:tcW w:w="1668" w:type="dxa"/>
          </w:tcPr>
          <w:p w14:paraId="0FA5F8DF" w14:textId="77777777" w:rsidR="00711444" w:rsidRPr="004D0DAA" w:rsidRDefault="00711444" w:rsidP="00AA2A4C">
            <w:pPr>
              <w:pStyle w:val="TAL"/>
              <w:rPr>
                <w:lang w:eastAsia="en-US"/>
              </w:rPr>
            </w:pPr>
            <w:r w:rsidRPr="004D0DAA">
              <w:rPr>
                <w:lang w:eastAsia="en-US"/>
              </w:rPr>
              <w:t>PSI5</w:t>
            </w:r>
          </w:p>
        </w:tc>
        <w:tc>
          <w:tcPr>
            <w:tcW w:w="1134" w:type="dxa"/>
          </w:tcPr>
          <w:p w14:paraId="6D493776" w14:textId="77777777" w:rsidR="00711444" w:rsidRPr="004D0DAA" w:rsidRDefault="00711444" w:rsidP="00AA2A4C">
            <w:pPr>
              <w:pStyle w:val="TAC"/>
              <w:rPr>
                <w:lang w:eastAsia="en-US"/>
              </w:rPr>
            </w:pPr>
            <w:r w:rsidRPr="004D0DAA">
              <w:rPr>
                <w:lang w:eastAsia="en-US"/>
              </w:rPr>
              <w:t>PBCCH</w:t>
            </w:r>
          </w:p>
        </w:tc>
        <w:tc>
          <w:tcPr>
            <w:tcW w:w="1134" w:type="dxa"/>
          </w:tcPr>
          <w:p w14:paraId="2CE18967" w14:textId="77777777" w:rsidR="00711444" w:rsidRPr="004D0DAA" w:rsidRDefault="00711444" w:rsidP="00AA2A4C">
            <w:pPr>
              <w:pStyle w:val="TAC"/>
              <w:rPr>
                <w:lang w:eastAsia="en-US"/>
              </w:rPr>
            </w:pPr>
            <w:r w:rsidRPr="004D0DAA">
              <w:rPr>
                <w:lang w:eastAsia="en-US"/>
              </w:rPr>
              <w:t>0 - 8</w:t>
            </w:r>
          </w:p>
        </w:tc>
        <w:tc>
          <w:tcPr>
            <w:tcW w:w="2126" w:type="dxa"/>
          </w:tcPr>
          <w:p w14:paraId="6360FEAC" w14:textId="77777777" w:rsidR="00711444" w:rsidRPr="004D0DAA" w:rsidRDefault="00711444" w:rsidP="00AA2A4C">
            <w:pPr>
              <w:pStyle w:val="TAC"/>
              <w:rPr>
                <w:lang w:eastAsia="en-US"/>
              </w:rPr>
            </w:pPr>
            <w:r w:rsidRPr="004D0DAA">
              <w:rPr>
                <w:lang w:eastAsia="en-US"/>
              </w:rPr>
              <w:t>PSI5_CHANGE_MARK</w:t>
            </w:r>
          </w:p>
        </w:tc>
        <w:tc>
          <w:tcPr>
            <w:tcW w:w="1843" w:type="dxa"/>
          </w:tcPr>
          <w:p w14:paraId="1B16E68D" w14:textId="77777777" w:rsidR="00711444" w:rsidRPr="004D0DAA" w:rsidRDefault="00711444" w:rsidP="00AA2A4C">
            <w:pPr>
              <w:pStyle w:val="TAC"/>
              <w:rPr>
                <w:lang w:eastAsia="en-US"/>
              </w:rPr>
            </w:pPr>
            <w:r w:rsidRPr="004D0DAA">
              <w:rPr>
                <w:lang w:eastAsia="en-US"/>
              </w:rPr>
              <w:t>PSI5_INDEX</w:t>
            </w:r>
          </w:p>
        </w:tc>
        <w:tc>
          <w:tcPr>
            <w:tcW w:w="1984" w:type="dxa"/>
          </w:tcPr>
          <w:p w14:paraId="58976F6F" w14:textId="77777777" w:rsidR="00711444" w:rsidRPr="004D0DAA" w:rsidRDefault="00711444" w:rsidP="00AA2A4C">
            <w:pPr>
              <w:pStyle w:val="TAC"/>
              <w:rPr>
                <w:lang w:eastAsia="en-US"/>
              </w:rPr>
            </w:pPr>
            <w:r w:rsidRPr="004D0DAA">
              <w:rPr>
                <w:lang w:eastAsia="en-US"/>
              </w:rPr>
              <w:t>PSI5_COUNT</w:t>
            </w:r>
          </w:p>
        </w:tc>
      </w:tr>
      <w:tr w:rsidR="00711444" w:rsidRPr="004D0DAA" w14:paraId="0B7278C8" w14:textId="77777777" w:rsidTr="00AA2A4C">
        <w:tblPrEx>
          <w:tblCellMar>
            <w:top w:w="0" w:type="dxa"/>
            <w:bottom w:w="0" w:type="dxa"/>
          </w:tblCellMar>
        </w:tblPrEx>
        <w:trPr>
          <w:cantSplit/>
        </w:trPr>
        <w:tc>
          <w:tcPr>
            <w:tcW w:w="1668" w:type="dxa"/>
          </w:tcPr>
          <w:p w14:paraId="05DE83D5" w14:textId="77777777" w:rsidR="00711444" w:rsidRPr="004D0DAA" w:rsidRDefault="00711444" w:rsidP="00AA2A4C">
            <w:pPr>
              <w:pStyle w:val="TAL"/>
              <w:rPr>
                <w:lang w:eastAsia="en-US"/>
              </w:rPr>
            </w:pPr>
            <w:r w:rsidRPr="004D0DAA">
              <w:rPr>
                <w:lang w:eastAsia="en-US"/>
              </w:rPr>
              <w:t>PSI6</w:t>
            </w:r>
          </w:p>
        </w:tc>
        <w:tc>
          <w:tcPr>
            <w:tcW w:w="1134" w:type="dxa"/>
          </w:tcPr>
          <w:p w14:paraId="44744391" w14:textId="77777777" w:rsidR="00711444" w:rsidRPr="004D0DAA" w:rsidRDefault="00711444" w:rsidP="00AA2A4C">
            <w:pPr>
              <w:pStyle w:val="TAC"/>
              <w:rPr>
                <w:lang w:eastAsia="en-US"/>
              </w:rPr>
            </w:pPr>
            <w:r w:rsidRPr="004D0DAA">
              <w:rPr>
                <w:lang w:eastAsia="en-US"/>
              </w:rPr>
              <w:t>PBCCH</w:t>
            </w:r>
          </w:p>
        </w:tc>
        <w:tc>
          <w:tcPr>
            <w:tcW w:w="1134" w:type="dxa"/>
          </w:tcPr>
          <w:p w14:paraId="3B50EC90" w14:textId="77777777" w:rsidR="00711444" w:rsidRPr="004D0DAA" w:rsidRDefault="00711444" w:rsidP="00AA2A4C">
            <w:pPr>
              <w:pStyle w:val="TAC"/>
              <w:rPr>
                <w:lang w:eastAsia="en-US"/>
              </w:rPr>
            </w:pPr>
            <w:r w:rsidRPr="004D0DAA">
              <w:rPr>
                <w:lang w:eastAsia="en-US"/>
              </w:rPr>
              <w:t>0 - 8</w:t>
            </w:r>
          </w:p>
        </w:tc>
        <w:tc>
          <w:tcPr>
            <w:tcW w:w="2126" w:type="dxa"/>
          </w:tcPr>
          <w:p w14:paraId="2A9036D1" w14:textId="77777777" w:rsidR="00711444" w:rsidRPr="004D0DAA" w:rsidRDefault="00711444" w:rsidP="00AA2A4C">
            <w:pPr>
              <w:pStyle w:val="TAC"/>
              <w:rPr>
                <w:lang w:eastAsia="en-US"/>
              </w:rPr>
            </w:pPr>
            <w:r w:rsidRPr="004D0DAA">
              <w:rPr>
                <w:lang w:eastAsia="en-US"/>
              </w:rPr>
              <w:t>PSI6_CHANGE_MARK</w:t>
            </w:r>
          </w:p>
        </w:tc>
        <w:tc>
          <w:tcPr>
            <w:tcW w:w="1843" w:type="dxa"/>
          </w:tcPr>
          <w:p w14:paraId="7993B5FB" w14:textId="77777777" w:rsidR="00711444" w:rsidRPr="004D0DAA" w:rsidRDefault="00711444" w:rsidP="00AA2A4C">
            <w:pPr>
              <w:pStyle w:val="TAC"/>
              <w:rPr>
                <w:lang w:eastAsia="en-US"/>
              </w:rPr>
            </w:pPr>
            <w:r w:rsidRPr="004D0DAA">
              <w:rPr>
                <w:lang w:eastAsia="en-US"/>
              </w:rPr>
              <w:t>PSI6_INDEX</w:t>
            </w:r>
          </w:p>
        </w:tc>
        <w:tc>
          <w:tcPr>
            <w:tcW w:w="1984" w:type="dxa"/>
          </w:tcPr>
          <w:p w14:paraId="32B95805" w14:textId="77777777" w:rsidR="00711444" w:rsidRPr="004D0DAA" w:rsidRDefault="00711444" w:rsidP="00AA2A4C">
            <w:pPr>
              <w:pStyle w:val="TAC"/>
              <w:rPr>
                <w:lang w:eastAsia="en-US"/>
              </w:rPr>
            </w:pPr>
            <w:r w:rsidRPr="004D0DAA">
              <w:rPr>
                <w:lang w:eastAsia="en-US"/>
              </w:rPr>
              <w:t>PSI6_COUNT</w:t>
            </w:r>
          </w:p>
        </w:tc>
      </w:tr>
      <w:tr w:rsidR="00711444" w:rsidRPr="004D0DAA" w14:paraId="08F4B5B8" w14:textId="77777777" w:rsidTr="00AA2A4C">
        <w:tblPrEx>
          <w:tblCellMar>
            <w:top w:w="0" w:type="dxa"/>
            <w:bottom w:w="0" w:type="dxa"/>
          </w:tblCellMar>
        </w:tblPrEx>
        <w:trPr>
          <w:cantSplit/>
        </w:trPr>
        <w:tc>
          <w:tcPr>
            <w:tcW w:w="1668" w:type="dxa"/>
          </w:tcPr>
          <w:p w14:paraId="419056A4" w14:textId="77777777" w:rsidR="00711444" w:rsidRPr="004D0DAA" w:rsidRDefault="00711444" w:rsidP="00AA2A4C">
            <w:pPr>
              <w:pStyle w:val="TAL"/>
              <w:rPr>
                <w:lang w:eastAsia="en-US"/>
              </w:rPr>
            </w:pPr>
            <w:r w:rsidRPr="004D0DAA">
              <w:rPr>
                <w:lang w:eastAsia="en-US"/>
              </w:rPr>
              <w:t>PSI7</w:t>
            </w:r>
          </w:p>
        </w:tc>
        <w:tc>
          <w:tcPr>
            <w:tcW w:w="1134" w:type="dxa"/>
          </w:tcPr>
          <w:p w14:paraId="59589E14" w14:textId="77777777" w:rsidR="00711444" w:rsidRPr="004D0DAA" w:rsidRDefault="00711444" w:rsidP="00AA2A4C">
            <w:pPr>
              <w:pStyle w:val="TAC"/>
              <w:rPr>
                <w:lang w:eastAsia="en-US"/>
              </w:rPr>
            </w:pPr>
            <w:r w:rsidRPr="004D0DAA">
              <w:rPr>
                <w:lang w:eastAsia="en-US"/>
              </w:rPr>
              <w:t>PBCCH</w:t>
            </w:r>
          </w:p>
        </w:tc>
        <w:tc>
          <w:tcPr>
            <w:tcW w:w="1134" w:type="dxa"/>
          </w:tcPr>
          <w:p w14:paraId="37B55090" w14:textId="77777777" w:rsidR="00711444" w:rsidRPr="004D0DAA" w:rsidRDefault="00711444" w:rsidP="00AA2A4C">
            <w:pPr>
              <w:pStyle w:val="TAC"/>
              <w:rPr>
                <w:lang w:eastAsia="en-US"/>
              </w:rPr>
            </w:pPr>
            <w:r w:rsidRPr="004D0DAA">
              <w:rPr>
                <w:lang w:eastAsia="en-US"/>
              </w:rPr>
              <w:t>0 - 8</w:t>
            </w:r>
          </w:p>
        </w:tc>
        <w:tc>
          <w:tcPr>
            <w:tcW w:w="2126" w:type="dxa"/>
          </w:tcPr>
          <w:p w14:paraId="41E08259" w14:textId="77777777" w:rsidR="00711444" w:rsidRPr="004D0DAA" w:rsidRDefault="00711444" w:rsidP="00AA2A4C">
            <w:pPr>
              <w:pStyle w:val="TAC"/>
              <w:rPr>
                <w:lang w:eastAsia="en-US"/>
              </w:rPr>
            </w:pPr>
            <w:r w:rsidRPr="004D0DAA">
              <w:rPr>
                <w:lang w:eastAsia="en-US"/>
              </w:rPr>
              <w:t>PSI7_CHANGE_MARK</w:t>
            </w:r>
          </w:p>
        </w:tc>
        <w:tc>
          <w:tcPr>
            <w:tcW w:w="1843" w:type="dxa"/>
          </w:tcPr>
          <w:p w14:paraId="5CF56899" w14:textId="77777777" w:rsidR="00711444" w:rsidRPr="004D0DAA" w:rsidRDefault="00711444" w:rsidP="00AA2A4C">
            <w:pPr>
              <w:pStyle w:val="TAC"/>
              <w:rPr>
                <w:lang w:eastAsia="en-US"/>
              </w:rPr>
            </w:pPr>
            <w:r w:rsidRPr="004D0DAA">
              <w:rPr>
                <w:lang w:eastAsia="en-US"/>
              </w:rPr>
              <w:t>PSI7_INDEX</w:t>
            </w:r>
          </w:p>
        </w:tc>
        <w:tc>
          <w:tcPr>
            <w:tcW w:w="1984" w:type="dxa"/>
          </w:tcPr>
          <w:p w14:paraId="4DBA8E5F" w14:textId="77777777" w:rsidR="00711444" w:rsidRPr="004D0DAA" w:rsidRDefault="00711444" w:rsidP="00AA2A4C">
            <w:pPr>
              <w:pStyle w:val="TAC"/>
              <w:rPr>
                <w:lang w:eastAsia="en-US"/>
              </w:rPr>
            </w:pPr>
            <w:r w:rsidRPr="004D0DAA">
              <w:rPr>
                <w:lang w:eastAsia="en-US"/>
              </w:rPr>
              <w:t>PSI7_COUNT</w:t>
            </w:r>
          </w:p>
        </w:tc>
      </w:tr>
      <w:tr w:rsidR="00711444" w:rsidRPr="004D0DAA" w14:paraId="54D9862D" w14:textId="77777777" w:rsidTr="00AA2A4C">
        <w:tblPrEx>
          <w:tblCellMar>
            <w:top w:w="0" w:type="dxa"/>
            <w:bottom w:w="0" w:type="dxa"/>
          </w:tblCellMar>
        </w:tblPrEx>
        <w:trPr>
          <w:cantSplit/>
        </w:trPr>
        <w:tc>
          <w:tcPr>
            <w:tcW w:w="1668" w:type="dxa"/>
          </w:tcPr>
          <w:p w14:paraId="2EEC1A34" w14:textId="77777777" w:rsidR="00711444" w:rsidRPr="004D0DAA" w:rsidRDefault="00711444" w:rsidP="00AA2A4C">
            <w:pPr>
              <w:pStyle w:val="TAL"/>
              <w:rPr>
                <w:lang w:eastAsia="en-US"/>
              </w:rPr>
            </w:pPr>
            <w:r w:rsidRPr="004D0DAA">
              <w:rPr>
                <w:lang w:eastAsia="en-US"/>
              </w:rPr>
              <w:t>PSI8</w:t>
            </w:r>
          </w:p>
        </w:tc>
        <w:tc>
          <w:tcPr>
            <w:tcW w:w="1134" w:type="dxa"/>
          </w:tcPr>
          <w:p w14:paraId="32B605DF" w14:textId="77777777" w:rsidR="00711444" w:rsidRPr="004D0DAA" w:rsidRDefault="00711444" w:rsidP="00AA2A4C">
            <w:pPr>
              <w:pStyle w:val="TAC"/>
              <w:rPr>
                <w:lang w:eastAsia="en-US"/>
              </w:rPr>
            </w:pPr>
            <w:r w:rsidRPr="004D0DAA">
              <w:rPr>
                <w:lang w:eastAsia="en-US"/>
              </w:rPr>
              <w:t>PBCCH</w:t>
            </w:r>
          </w:p>
        </w:tc>
        <w:tc>
          <w:tcPr>
            <w:tcW w:w="1134" w:type="dxa"/>
          </w:tcPr>
          <w:p w14:paraId="0C0C12B5" w14:textId="77777777" w:rsidR="00711444" w:rsidRPr="004D0DAA" w:rsidRDefault="00711444" w:rsidP="00AA2A4C">
            <w:pPr>
              <w:pStyle w:val="TAC"/>
              <w:rPr>
                <w:lang w:eastAsia="en-US"/>
              </w:rPr>
            </w:pPr>
            <w:r w:rsidRPr="004D0DAA">
              <w:rPr>
                <w:lang w:eastAsia="en-US"/>
              </w:rPr>
              <w:t>0 - 8</w:t>
            </w:r>
          </w:p>
        </w:tc>
        <w:tc>
          <w:tcPr>
            <w:tcW w:w="2126" w:type="dxa"/>
          </w:tcPr>
          <w:p w14:paraId="4636634C" w14:textId="77777777" w:rsidR="00711444" w:rsidRPr="004D0DAA" w:rsidRDefault="00711444" w:rsidP="00AA2A4C">
            <w:pPr>
              <w:pStyle w:val="TAC"/>
              <w:rPr>
                <w:lang w:eastAsia="en-US"/>
              </w:rPr>
            </w:pPr>
            <w:r w:rsidRPr="004D0DAA">
              <w:rPr>
                <w:lang w:eastAsia="en-US"/>
              </w:rPr>
              <w:t>PSI8_CHANGE_MARK</w:t>
            </w:r>
          </w:p>
        </w:tc>
        <w:tc>
          <w:tcPr>
            <w:tcW w:w="1843" w:type="dxa"/>
          </w:tcPr>
          <w:p w14:paraId="2F8C47A2" w14:textId="77777777" w:rsidR="00711444" w:rsidRPr="004D0DAA" w:rsidRDefault="00711444" w:rsidP="00AA2A4C">
            <w:pPr>
              <w:pStyle w:val="TAC"/>
              <w:rPr>
                <w:lang w:eastAsia="en-US"/>
              </w:rPr>
            </w:pPr>
            <w:r w:rsidRPr="004D0DAA">
              <w:rPr>
                <w:lang w:eastAsia="en-US"/>
              </w:rPr>
              <w:t>PSI8_INDEX</w:t>
            </w:r>
          </w:p>
        </w:tc>
        <w:tc>
          <w:tcPr>
            <w:tcW w:w="1984" w:type="dxa"/>
          </w:tcPr>
          <w:p w14:paraId="33A4D058" w14:textId="77777777" w:rsidR="00711444" w:rsidRPr="004D0DAA" w:rsidRDefault="00711444" w:rsidP="00AA2A4C">
            <w:pPr>
              <w:pStyle w:val="TAC"/>
              <w:rPr>
                <w:lang w:eastAsia="en-US"/>
              </w:rPr>
            </w:pPr>
            <w:r w:rsidRPr="004D0DAA">
              <w:rPr>
                <w:lang w:eastAsia="en-US"/>
              </w:rPr>
              <w:t>PSI8_COUNT</w:t>
            </w:r>
          </w:p>
        </w:tc>
      </w:tr>
      <w:tr w:rsidR="00711444" w:rsidRPr="004D0DAA" w14:paraId="32B5B289" w14:textId="77777777" w:rsidTr="00AA2A4C">
        <w:tblPrEx>
          <w:tblCellMar>
            <w:top w:w="0" w:type="dxa"/>
            <w:bottom w:w="0" w:type="dxa"/>
          </w:tblCellMar>
        </w:tblPrEx>
        <w:trPr>
          <w:cantSplit/>
        </w:trPr>
        <w:tc>
          <w:tcPr>
            <w:tcW w:w="1668" w:type="dxa"/>
          </w:tcPr>
          <w:p w14:paraId="37FD4DC1" w14:textId="77777777" w:rsidR="00711444" w:rsidRPr="004D0DAA" w:rsidRDefault="00711444" w:rsidP="00AA2A4C">
            <w:pPr>
              <w:pStyle w:val="TAL"/>
              <w:rPr>
                <w:lang w:eastAsia="en-US"/>
              </w:rPr>
            </w:pPr>
            <w:r w:rsidRPr="004D0DAA">
              <w:rPr>
                <w:lang w:eastAsia="en-US"/>
              </w:rPr>
              <w:t>SI13</w:t>
            </w:r>
            <w:r w:rsidRPr="004D0DAA">
              <w:rPr>
                <w:lang w:eastAsia="en-US"/>
              </w:rPr>
              <w:br/>
              <w:t>(</w:t>
            </w:r>
            <w:r w:rsidRPr="004D0DAA">
              <w:rPr>
                <w:rFonts w:hint="eastAsia"/>
                <w:lang w:eastAsia="ko-KR"/>
              </w:rPr>
              <w:t>N</w:t>
            </w:r>
            <w:r w:rsidRPr="004D0DAA">
              <w:rPr>
                <w:lang w:eastAsia="en-US"/>
              </w:rPr>
              <w:t>otes1 and 2)</w:t>
            </w:r>
          </w:p>
        </w:tc>
        <w:tc>
          <w:tcPr>
            <w:tcW w:w="1134" w:type="dxa"/>
          </w:tcPr>
          <w:p w14:paraId="0B9CC40D" w14:textId="77777777" w:rsidR="00711444" w:rsidRPr="004D0DAA" w:rsidRDefault="00711444" w:rsidP="00AA2A4C">
            <w:pPr>
              <w:pStyle w:val="TAC"/>
              <w:rPr>
                <w:lang w:eastAsia="en-US"/>
              </w:rPr>
            </w:pPr>
            <w:r w:rsidRPr="004D0DAA">
              <w:rPr>
                <w:lang w:eastAsia="en-US"/>
              </w:rPr>
              <w:t>BCCH</w:t>
            </w:r>
          </w:p>
        </w:tc>
        <w:tc>
          <w:tcPr>
            <w:tcW w:w="1134" w:type="dxa"/>
          </w:tcPr>
          <w:p w14:paraId="1819DF85" w14:textId="77777777" w:rsidR="00711444" w:rsidRPr="004D0DAA" w:rsidRDefault="00711444" w:rsidP="00AA2A4C">
            <w:pPr>
              <w:pStyle w:val="TAC"/>
              <w:rPr>
                <w:lang w:eastAsia="en-US"/>
              </w:rPr>
            </w:pPr>
            <w:r w:rsidRPr="004D0DAA">
              <w:rPr>
                <w:lang w:eastAsia="en-US"/>
              </w:rPr>
              <w:t>1</w:t>
            </w:r>
          </w:p>
        </w:tc>
        <w:tc>
          <w:tcPr>
            <w:tcW w:w="2126" w:type="dxa"/>
          </w:tcPr>
          <w:p w14:paraId="33A0BF05" w14:textId="77777777" w:rsidR="00711444" w:rsidRPr="004D0DAA" w:rsidRDefault="00711444" w:rsidP="00AA2A4C">
            <w:pPr>
              <w:pStyle w:val="TAC"/>
              <w:rPr>
                <w:lang w:eastAsia="en-US"/>
              </w:rPr>
            </w:pPr>
            <w:r w:rsidRPr="004D0DAA">
              <w:rPr>
                <w:lang w:eastAsia="en-US"/>
              </w:rPr>
              <w:t xml:space="preserve">SI13_CHANGE_MARK (Note </w:t>
            </w:r>
            <w:r w:rsidRPr="004D0DAA">
              <w:rPr>
                <w:rFonts w:hint="eastAsia"/>
                <w:lang w:eastAsia="ko-KR"/>
              </w:rPr>
              <w:t>3</w:t>
            </w:r>
            <w:r w:rsidRPr="004D0DAA">
              <w:rPr>
                <w:lang w:eastAsia="en-US"/>
              </w:rPr>
              <w:t>)</w:t>
            </w:r>
          </w:p>
        </w:tc>
        <w:tc>
          <w:tcPr>
            <w:tcW w:w="1843" w:type="dxa"/>
          </w:tcPr>
          <w:p w14:paraId="38CCE428" w14:textId="77777777" w:rsidR="00711444" w:rsidRPr="004D0DAA" w:rsidRDefault="00711444" w:rsidP="00AA2A4C"/>
        </w:tc>
        <w:tc>
          <w:tcPr>
            <w:tcW w:w="1984" w:type="dxa"/>
          </w:tcPr>
          <w:p w14:paraId="275994FF" w14:textId="77777777" w:rsidR="00711444" w:rsidRPr="004D0DAA" w:rsidRDefault="00711444" w:rsidP="00AA2A4C">
            <w:pPr>
              <w:pStyle w:val="TAC"/>
              <w:rPr>
                <w:lang w:eastAsia="en-US"/>
              </w:rPr>
            </w:pPr>
          </w:p>
        </w:tc>
      </w:tr>
      <w:tr w:rsidR="00711444" w:rsidRPr="004D0DAA" w14:paraId="13AF4340" w14:textId="77777777" w:rsidTr="00AA2A4C">
        <w:tblPrEx>
          <w:tblCellMar>
            <w:top w:w="0" w:type="dxa"/>
            <w:bottom w:w="0" w:type="dxa"/>
          </w:tblCellMar>
        </w:tblPrEx>
        <w:trPr>
          <w:cantSplit/>
        </w:trPr>
        <w:tc>
          <w:tcPr>
            <w:tcW w:w="1668" w:type="dxa"/>
          </w:tcPr>
          <w:p w14:paraId="7F8EF893" w14:textId="77777777" w:rsidR="00711444" w:rsidRPr="004D0DAA" w:rsidRDefault="00711444" w:rsidP="00AA2A4C">
            <w:pPr>
              <w:pStyle w:val="TAL"/>
              <w:rPr>
                <w:lang w:eastAsia="en-US"/>
              </w:rPr>
            </w:pPr>
            <w:r w:rsidRPr="004D0DAA">
              <w:rPr>
                <w:lang w:eastAsia="en-US"/>
              </w:rPr>
              <w:t>SI2 ter</w:t>
            </w:r>
          </w:p>
        </w:tc>
        <w:tc>
          <w:tcPr>
            <w:tcW w:w="1134" w:type="dxa"/>
          </w:tcPr>
          <w:p w14:paraId="2AE31232" w14:textId="77777777" w:rsidR="00711444" w:rsidRPr="004D0DAA" w:rsidRDefault="00711444" w:rsidP="00AA2A4C">
            <w:pPr>
              <w:pStyle w:val="TAC"/>
              <w:rPr>
                <w:lang w:eastAsia="en-US"/>
              </w:rPr>
            </w:pPr>
            <w:r w:rsidRPr="004D0DAA">
              <w:rPr>
                <w:lang w:eastAsia="en-US"/>
              </w:rPr>
              <w:t>BCCH</w:t>
            </w:r>
          </w:p>
        </w:tc>
        <w:tc>
          <w:tcPr>
            <w:tcW w:w="1134" w:type="dxa"/>
          </w:tcPr>
          <w:p w14:paraId="643DC621" w14:textId="77777777" w:rsidR="00711444" w:rsidRPr="004D0DAA" w:rsidRDefault="00711444" w:rsidP="00AA2A4C">
            <w:pPr>
              <w:pStyle w:val="TAC"/>
              <w:rPr>
                <w:lang w:eastAsia="en-US"/>
              </w:rPr>
            </w:pPr>
            <w:r w:rsidRPr="004D0DAA">
              <w:rPr>
                <w:lang w:eastAsia="en-US"/>
              </w:rPr>
              <w:t>0 - 8</w:t>
            </w:r>
          </w:p>
        </w:tc>
        <w:tc>
          <w:tcPr>
            <w:tcW w:w="2126" w:type="dxa"/>
          </w:tcPr>
          <w:p w14:paraId="30E6C225" w14:textId="77777777" w:rsidR="00711444" w:rsidRPr="004D0DAA" w:rsidRDefault="00711444" w:rsidP="00AA2A4C">
            <w:pPr>
              <w:pStyle w:val="TAC"/>
              <w:rPr>
                <w:lang w:val="fr-FR" w:eastAsia="en-US"/>
              </w:rPr>
            </w:pPr>
            <w:r w:rsidRPr="004D0DAA">
              <w:rPr>
                <w:lang w:val="fr-FR" w:eastAsia="en-US"/>
              </w:rPr>
              <w:t>SI2ter_MP_CHANGE_MARK and SI2ter_3G_ CHANGE_MARK</w:t>
            </w:r>
          </w:p>
        </w:tc>
        <w:tc>
          <w:tcPr>
            <w:tcW w:w="1843" w:type="dxa"/>
          </w:tcPr>
          <w:p w14:paraId="1FB2DD56" w14:textId="77777777" w:rsidR="00711444" w:rsidRPr="004D0DAA" w:rsidRDefault="00711444" w:rsidP="00AA2A4C">
            <w:pPr>
              <w:pStyle w:val="TAC"/>
              <w:rPr>
                <w:lang w:eastAsia="en-US"/>
              </w:rPr>
            </w:pPr>
            <w:r w:rsidRPr="004D0DAA">
              <w:rPr>
                <w:lang w:eastAsia="en-US"/>
              </w:rPr>
              <w:t>SI2ter_INDEX</w:t>
            </w:r>
          </w:p>
        </w:tc>
        <w:tc>
          <w:tcPr>
            <w:tcW w:w="1984" w:type="dxa"/>
          </w:tcPr>
          <w:p w14:paraId="2BE1E231" w14:textId="77777777" w:rsidR="00711444" w:rsidRPr="004D0DAA" w:rsidRDefault="00711444" w:rsidP="00AA2A4C">
            <w:pPr>
              <w:pStyle w:val="TAC"/>
              <w:rPr>
                <w:lang w:eastAsia="en-US"/>
              </w:rPr>
            </w:pPr>
            <w:r w:rsidRPr="004D0DAA">
              <w:rPr>
                <w:lang w:eastAsia="en-US"/>
              </w:rPr>
              <w:t>SI2ter_COUNT</w:t>
            </w:r>
          </w:p>
        </w:tc>
      </w:tr>
      <w:tr w:rsidR="00711444" w:rsidRPr="004D0DAA" w14:paraId="4ED31636" w14:textId="77777777" w:rsidTr="00AA2A4C">
        <w:tblPrEx>
          <w:tblCellMar>
            <w:top w:w="0" w:type="dxa"/>
            <w:bottom w:w="0" w:type="dxa"/>
          </w:tblCellMar>
        </w:tblPrEx>
        <w:trPr>
          <w:cantSplit/>
        </w:trPr>
        <w:tc>
          <w:tcPr>
            <w:tcW w:w="1668" w:type="dxa"/>
          </w:tcPr>
          <w:p w14:paraId="45B3B2BC" w14:textId="77777777" w:rsidR="00711444" w:rsidRPr="004D0DAA" w:rsidRDefault="00711444" w:rsidP="00AA2A4C">
            <w:pPr>
              <w:pStyle w:val="TAL"/>
              <w:rPr>
                <w:lang w:eastAsia="en-US"/>
              </w:rPr>
            </w:pPr>
            <w:r w:rsidRPr="004D0DAA">
              <w:rPr>
                <w:lang w:eastAsia="en-US"/>
              </w:rPr>
              <w:t>SI2 quater</w:t>
            </w:r>
          </w:p>
        </w:tc>
        <w:tc>
          <w:tcPr>
            <w:tcW w:w="1134" w:type="dxa"/>
          </w:tcPr>
          <w:p w14:paraId="19DCB0E3" w14:textId="77777777" w:rsidR="00711444" w:rsidRPr="004D0DAA" w:rsidRDefault="00711444" w:rsidP="00AA2A4C">
            <w:pPr>
              <w:pStyle w:val="TAC"/>
              <w:rPr>
                <w:lang w:eastAsia="en-US"/>
              </w:rPr>
            </w:pPr>
            <w:r w:rsidRPr="004D0DAA">
              <w:rPr>
                <w:lang w:eastAsia="en-US"/>
              </w:rPr>
              <w:t>BCCH</w:t>
            </w:r>
          </w:p>
        </w:tc>
        <w:tc>
          <w:tcPr>
            <w:tcW w:w="1134" w:type="dxa"/>
          </w:tcPr>
          <w:p w14:paraId="427ABF18" w14:textId="77777777" w:rsidR="00711444" w:rsidRPr="004D0DAA" w:rsidRDefault="00711444" w:rsidP="00AA2A4C">
            <w:pPr>
              <w:pStyle w:val="TAC"/>
              <w:rPr>
                <w:lang w:eastAsia="en-US"/>
              </w:rPr>
            </w:pPr>
            <w:r w:rsidRPr="004D0DAA">
              <w:rPr>
                <w:lang w:eastAsia="en-US"/>
              </w:rPr>
              <w:t>0 - 16</w:t>
            </w:r>
          </w:p>
        </w:tc>
        <w:tc>
          <w:tcPr>
            <w:tcW w:w="2126" w:type="dxa"/>
          </w:tcPr>
          <w:p w14:paraId="7A01D242" w14:textId="77777777" w:rsidR="00711444" w:rsidRPr="004D0DAA" w:rsidRDefault="00711444" w:rsidP="00AA2A4C">
            <w:pPr>
              <w:pStyle w:val="TAC"/>
              <w:rPr>
                <w:lang w:eastAsia="en-US"/>
              </w:rPr>
            </w:pPr>
            <w:r w:rsidRPr="004D0DAA">
              <w:rPr>
                <w:lang w:eastAsia="en-US"/>
              </w:rPr>
              <w:t>BA_IND, 3G_BA_IND and MP_CHANGE_MARK</w:t>
            </w:r>
          </w:p>
        </w:tc>
        <w:tc>
          <w:tcPr>
            <w:tcW w:w="1843" w:type="dxa"/>
          </w:tcPr>
          <w:p w14:paraId="32EC2650" w14:textId="77777777" w:rsidR="00711444" w:rsidRPr="004D0DAA" w:rsidRDefault="00711444" w:rsidP="00AA2A4C">
            <w:pPr>
              <w:pStyle w:val="TAC"/>
              <w:rPr>
                <w:lang w:eastAsia="en-US"/>
              </w:rPr>
            </w:pPr>
            <w:r w:rsidRPr="004D0DAA">
              <w:rPr>
                <w:lang w:eastAsia="en-US"/>
              </w:rPr>
              <w:t>SI2quater_INDEX</w:t>
            </w:r>
          </w:p>
        </w:tc>
        <w:tc>
          <w:tcPr>
            <w:tcW w:w="1984" w:type="dxa"/>
          </w:tcPr>
          <w:p w14:paraId="28869A1D" w14:textId="77777777" w:rsidR="00711444" w:rsidRPr="004D0DAA" w:rsidRDefault="00711444" w:rsidP="00AA2A4C">
            <w:pPr>
              <w:pStyle w:val="TAC"/>
              <w:rPr>
                <w:lang w:eastAsia="en-US"/>
              </w:rPr>
            </w:pPr>
            <w:r w:rsidRPr="004D0DAA">
              <w:rPr>
                <w:lang w:eastAsia="en-US"/>
              </w:rPr>
              <w:t>SI2quater_COUNT</w:t>
            </w:r>
          </w:p>
        </w:tc>
      </w:tr>
      <w:tr w:rsidR="00711444" w:rsidRPr="004D0DAA" w14:paraId="1EE91ED1" w14:textId="77777777" w:rsidTr="00AA2A4C">
        <w:tblPrEx>
          <w:tblCellMar>
            <w:top w:w="0" w:type="dxa"/>
            <w:bottom w:w="0" w:type="dxa"/>
          </w:tblCellMar>
        </w:tblPrEx>
        <w:trPr>
          <w:cantSplit/>
        </w:trPr>
        <w:tc>
          <w:tcPr>
            <w:tcW w:w="1668" w:type="dxa"/>
          </w:tcPr>
          <w:p w14:paraId="130800FE" w14:textId="77777777" w:rsidR="00711444" w:rsidRPr="004D0DAA" w:rsidRDefault="00711444" w:rsidP="00AA2A4C">
            <w:pPr>
              <w:pStyle w:val="TAL"/>
              <w:rPr>
                <w:lang w:eastAsia="en-US"/>
              </w:rPr>
            </w:pPr>
            <w:r w:rsidRPr="004D0DAA">
              <w:rPr>
                <w:lang w:eastAsia="en-US"/>
              </w:rPr>
              <w:t>SI2n</w:t>
            </w:r>
          </w:p>
        </w:tc>
        <w:tc>
          <w:tcPr>
            <w:tcW w:w="1134" w:type="dxa"/>
          </w:tcPr>
          <w:p w14:paraId="351ACEEA" w14:textId="77777777" w:rsidR="00711444" w:rsidRPr="004D0DAA" w:rsidRDefault="00711444" w:rsidP="00AA2A4C">
            <w:pPr>
              <w:pStyle w:val="TAC"/>
              <w:rPr>
                <w:lang w:eastAsia="en-US"/>
              </w:rPr>
            </w:pPr>
            <w:r w:rsidRPr="004D0DAA">
              <w:rPr>
                <w:lang w:eastAsia="en-US"/>
              </w:rPr>
              <w:t>BCCH</w:t>
            </w:r>
          </w:p>
        </w:tc>
        <w:tc>
          <w:tcPr>
            <w:tcW w:w="1134" w:type="dxa"/>
          </w:tcPr>
          <w:p w14:paraId="6080BB27" w14:textId="77777777" w:rsidR="00711444" w:rsidRPr="004D0DAA" w:rsidRDefault="00711444" w:rsidP="00AA2A4C">
            <w:pPr>
              <w:pStyle w:val="TAC"/>
              <w:rPr>
                <w:lang w:eastAsia="en-US"/>
              </w:rPr>
            </w:pPr>
            <w:r w:rsidRPr="004D0DAA">
              <w:rPr>
                <w:lang w:eastAsia="en-US"/>
              </w:rPr>
              <w:t>0 - 16</w:t>
            </w:r>
          </w:p>
        </w:tc>
        <w:tc>
          <w:tcPr>
            <w:tcW w:w="2126" w:type="dxa"/>
          </w:tcPr>
          <w:p w14:paraId="4598A055" w14:textId="77777777" w:rsidR="00711444" w:rsidRPr="004D0DAA" w:rsidRDefault="00711444" w:rsidP="00AA2A4C">
            <w:pPr>
              <w:pStyle w:val="TAC"/>
              <w:rPr>
                <w:lang w:eastAsia="en-US"/>
              </w:rPr>
            </w:pPr>
            <w:r w:rsidRPr="004D0DAA">
              <w:rPr>
                <w:lang w:eastAsia="en-US"/>
              </w:rPr>
              <w:t>SI2n_CHANGE_MARK</w:t>
            </w:r>
          </w:p>
        </w:tc>
        <w:tc>
          <w:tcPr>
            <w:tcW w:w="1843" w:type="dxa"/>
          </w:tcPr>
          <w:p w14:paraId="0B4BBC91" w14:textId="77777777" w:rsidR="00711444" w:rsidRPr="004D0DAA" w:rsidRDefault="00711444" w:rsidP="00AA2A4C">
            <w:pPr>
              <w:pStyle w:val="TAC"/>
              <w:rPr>
                <w:lang w:eastAsia="en-US"/>
              </w:rPr>
            </w:pPr>
            <w:r w:rsidRPr="004D0DAA">
              <w:rPr>
                <w:lang w:eastAsia="en-US"/>
              </w:rPr>
              <w:t>SI2n_INDEX</w:t>
            </w:r>
          </w:p>
        </w:tc>
        <w:tc>
          <w:tcPr>
            <w:tcW w:w="1984" w:type="dxa"/>
          </w:tcPr>
          <w:p w14:paraId="738DB86D" w14:textId="77777777" w:rsidR="00711444" w:rsidRPr="004D0DAA" w:rsidRDefault="00711444" w:rsidP="00AA2A4C">
            <w:pPr>
              <w:pStyle w:val="TAC"/>
              <w:rPr>
                <w:lang w:eastAsia="en-US"/>
              </w:rPr>
            </w:pPr>
            <w:r w:rsidRPr="004D0DAA">
              <w:rPr>
                <w:lang w:eastAsia="en-US"/>
              </w:rPr>
              <w:t>SI2n_COUNT</w:t>
            </w:r>
          </w:p>
        </w:tc>
      </w:tr>
      <w:tr w:rsidR="00711444" w:rsidRPr="004D0DAA" w14:paraId="77CA887E" w14:textId="77777777" w:rsidTr="00AA2A4C">
        <w:tblPrEx>
          <w:tblCellMar>
            <w:top w:w="0" w:type="dxa"/>
            <w:bottom w:w="0" w:type="dxa"/>
          </w:tblCellMar>
        </w:tblPrEx>
        <w:trPr>
          <w:cantSplit/>
        </w:trPr>
        <w:tc>
          <w:tcPr>
            <w:tcW w:w="1668" w:type="dxa"/>
          </w:tcPr>
          <w:p w14:paraId="704FFD15" w14:textId="77777777" w:rsidR="00711444" w:rsidRPr="004D0DAA" w:rsidRDefault="00711444" w:rsidP="00AA2A4C">
            <w:pPr>
              <w:pStyle w:val="TAL"/>
              <w:rPr>
                <w:lang w:eastAsia="en-US"/>
              </w:rPr>
            </w:pPr>
            <w:r w:rsidRPr="004D0DAA">
              <w:rPr>
                <w:lang w:eastAsia="en-US"/>
              </w:rPr>
              <w:t>SI15</w:t>
            </w:r>
          </w:p>
        </w:tc>
        <w:tc>
          <w:tcPr>
            <w:tcW w:w="1134" w:type="dxa"/>
          </w:tcPr>
          <w:p w14:paraId="47AD0192" w14:textId="77777777" w:rsidR="00711444" w:rsidRPr="004D0DAA" w:rsidRDefault="00711444" w:rsidP="00AA2A4C">
            <w:pPr>
              <w:pStyle w:val="TAC"/>
              <w:rPr>
                <w:lang w:eastAsia="en-US"/>
              </w:rPr>
            </w:pPr>
            <w:r w:rsidRPr="004D0DAA">
              <w:rPr>
                <w:lang w:eastAsia="en-US"/>
              </w:rPr>
              <w:t>BCCH</w:t>
            </w:r>
          </w:p>
        </w:tc>
        <w:tc>
          <w:tcPr>
            <w:tcW w:w="1134" w:type="dxa"/>
          </w:tcPr>
          <w:p w14:paraId="53220A17" w14:textId="77777777" w:rsidR="00711444" w:rsidRPr="004D0DAA" w:rsidRDefault="00711444" w:rsidP="00AA2A4C">
            <w:pPr>
              <w:pStyle w:val="TAC"/>
              <w:rPr>
                <w:lang w:eastAsia="en-US"/>
              </w:rPr>
            </w:pPr>
            <w:r w:rsidRPr="004D0DAA">
              <w:rPr>
                <w:lang w:eastAsia="en-US"/>
              </w:rPr>
              <w:t>0 - 4</w:t>
            </w:r>
          </w:p>
        </w:tc>
        <w:tc>
          <w:tcPr>
            <w:tcW w:w="2126" w:type="dxa"/>
          </w:tcPr>
          <w:p w14:paraId="5BE9FC34" w14:textId="77777777" w:rsidR="00711444" w:rsidRPr="004D0DAA" w:rsidRDefault="00711444" w:rsidP="00AA2A4C">
            <w:pPr>
              <w:pStyle w:val="TAC"/>
              <w:rPr>
                <w:lang w:eastAsia="en-US"/>
              </w:rPr>
            </w:pPr>
            <w:r w:rsidRPr="004D0DAA">
              <w:rPr>
                <w:lang w:eastAsia="en-US"/>
              </w:rPr>
              <w:t>DM_CHANGE_MARK</w:t>
            </w:r>
          </w:p>
        </w:tc>
        <w:tc>
          <w:tcPr>
            <w:tcW w:w="1843" w:type="dxa"/>
          </w:tcPr>
          <w:p w14:paraId="3A7D4DA7" w14:textId="77777777" w:rsidR="00711444" w:rsidRPr="004D0DAA" w:rsidRDefault="00711444" w:rsidP="00AA2A4C">
            <w:pPr>
              <w:pStyle w:val="TAC"/>
              <w:rPr>
                <w:lang w:eastAsia="en-US"/>
              </w:rPr>
            </w:pPr>
            <w:r w:rsidRPr="004D0DAA">
              <w:rPr>
                <w:lang w:eastAsia="en-US"/>
              </w:rPr>
              <w:t>SI15_INDEX</w:t>
            </w:r>
          </w:p>
        </w:tc>
        <w:tc>
          <w:tcPr>
            <w:tcW w:w="1984" w:type="dxa"/>
          </w:tcPr>
          <w:p w14:paraId="7418D5AF" w14:textId="77777777" w:rsidR="00711444" w:rsidRPr="004D0DAA" w:rsidRDefault="00711444" w:rsidP="00AA2A4C">
            <w:pPr>
              <w:pStyle w:val="TAC"/>
              <w:rPr>
                <w:lang w:eastAsia="en-US"/>
              </w:rPr>
            </w:pPr>
            <w:r w:rsidRPr="004D0DAA">
              <w:rPr>
                <w:lang w:eastAsia="en-US"/>
              </w:rPr>
              <w:t>SI15_COUNT</w:t>
            </w:r>
          </w:p>
        </w:tc>
      </w:tr>
      <w:tr w:rsidR="00711444" w:rsidRPr="004D0DAA" w14:paraId="2E5C7A8E" w14:textId="77777777" w:rsidTr="00AA2A4C">
        <w:tblPrEx>
          <w:tblCellMar>
            <w:top w:w="0" w:type="dxa"/>
            <w:bottom w:w="0" w:type="dxa"/>
          </w:tblCellMar>
        </w:tblPrEx>
        <w:trPr>
          <w:cantSplit/>
        </w:trPr>
        <w:tc>
          <w:tcPr>
            <w:tcW w:w="1668" w:type="dxa"/>
          </w:tcPr>
          <w:p w14:paraId="2FE33599" w14:textId="77777777" w:rsidR="00711444" w:rsidRPr="004D0DAA" w:rsidRDefault="00711444" w:rsidP="00AA2A4C">
            <w:pPr>
              <w:pStyle w:val="TAL"/>
              <w:rPr>
                <w:lang w:eastAsia="en-US"/>
              </w:rPr>
            </w:pPr>
            <w:r w:rsidRPr="004D0DAA">
              <w:rPr>
                <w:lang w:eastAsia="en-US"/>
              </w:rPr>
              <w:t>SI18</w:t>
            </w:r>
          </w:p>
        </w:tc>
        <w:tc>
          <w:tcPr>
            <w:tcW w:w="1134" w:type="dxa"/>
          </w:tcPr>
          <w:p w14:paraId="3A8BF0BF" w14:textId="77777777" w:rsidR="00711444" w:rsidRPr="004D0DAA" w:rsidRDefault="00711444" w:rsidP="00AA2A4C">
            <w:pPr>
              <w:pStyle w:val="TAC"/>
              <w:rPr>
                <w:lang w:eastAsia="en-US"/>
              </w:rPr>
            </w:pPr>
            <w:r w:rsidRPr="004D0DAA">
              <w:rPr>
                <w:lang w:eastAsia="en-US"/>
              </w:rPr>
              <w:t>BCCH</w:t>
            </w:r>
          </w:p>
        </w:tc>
        <w:tc>
          <w:tcPr>
            <w:tcW w:w="1134" w:type="dxa"/>
          </w:tcPr>
          <w:p w14:paraId="259F91C6" w14:textId="77777777" w:rsidR="00711444" w:rsidRPr="004D0DAA" w:rsidRDefault="00711444" w:rsidP="00AA2A4C">
            <w:pPr>
              <w:pStyle w:val="TAC"/>
              <w:rPr>
                <w:lang w:eastAsia="en-US"/>
              </w:rPr>
            </w:pPr>
            <w:r w:rsidRPr="004D0DAA">
              <w:rPr>
                <w:lang w:eastAsia="en-US"/>
              </w:rPr>
              <w:t>0 - 8</w:t>
            </w:r>
          </w:p>
        </w:tc>
        <w:tc>
          <w:tcPr>
            <w:tcW w:w="2126" w:type="dxa"/>
          </w:tcPr>
          <w:p w14:paraId="75A83038" w14:textId="77777777" w:rsidR="00711444" w:rsidRPr="004D0DAA" w:rsidRDefault="00711444" w:rsidP="00AA2A4C">
            <w:pPr>
              <w:pStyle w:val="TAC"/>
              <w:rPr>
                <w:lang w:eastAsia="en-US"/>
              </w:rPr>
            </w:pPr>
            <w:r w:rsidRPr="004D0DAA">
              <w:rPr>
                <w:lang w:eastAsia="en-US"/>
              </w:rPr>
              <w:t>SI18_CHANGE_MARK</w:t>
            </w:r>
          </w:p>
        </w:tc>
        <w:tc>
          <w:tcPr>
            <w:tcW w:w="1843" w:type="dxa"/>
          </w:tcPr>
          <w:p w14:paraId="504EC5A2" w14:textId="77777777" w:rsidR="00711444" w:rsidRPr="004D0DAA" w:rsidRDefault="00711444" w:rsidP="00AA2A4C">
            <w:pPr>
              <w:pStyle w:val="TAC"/>
              <w:rPr>
                <w:lang w:eastAsia="en-US"/>
              </w:rPr>
            </w:pPr>
            <w:r w:rsidRPr="004D0DAA">
              <w:rPr>
                <w:lang w:eastAsia="en-US"/>
              </w:rPr>
              <w:t>SI18_INDEX</w:t>
            </w:r>
          </w:p>
        </w:tc>
        <w:tc>
          <w:tcPr>
            <w:tcW w:w="1984" w:type="dxa"/>
          </w:tcPr>
          <w:p w14:paraId="7900CA44" w14:textId="77777777" w:rsidR="00711444" w:rsidRPr="004D0DAA" w:rsidRDefault="00711444" w:rsidP="00AA2A4C">
            <w:pPr>
              <w:pStyle w:val="TAC"/>
              <w:rPr>
                <w:lang w:eastAsia="en-US"/>
              </w:rPr>
            </w:pPr>
            <w:r w:rsidRPr="004D0DAA">
              <w:rPr>
                <w:lang w:eastAsia="en-US"/>
              </w:rPr>
              <w:t>None (Note 4)</w:t>
            </w:r>
          </w:p>
        </w:tc>
      </w:tr>
      <w:tr w:rsidR="00711444" w:rsidRPr="004D0DAA" w14:paraId="0020CABE" w14:textId="77777777" w:rsidTr="00AA2A4C">
        <w:tblPrEx>
          <w:tblCellMar>
            <w:top w:w="0" w:type="dxa"/>
            <w:bottom w:w="0" w:type="dxa"/>
          </w:tblCellMar>
        </w:tblPrEx>
        <w:trPr>
          <w:cantSplit/>
        </w:trPr>
        <w:tc>
          <w:tcPr>
            <w:tcW w:w="1668" w:type="dxa"/>
          </w:tcPr>
          <w:p w14:paraId="2CD66A23" w14:textId="77777777" w:rsidR="00711444" w:rsidRPr="004D0DAA" w:rsidRDefault="00711444" w:rsidP="00AA2A4C">
            <w:pPr>
              <w:pStyle w:val="TAL"/>
              <w:rPr>
                <w:lang w:eastAsia="en-US"/>
              </w:rPr>
            </w:pPr>
            <w:r w:rsidRPr="004D0DAA">
              <w:rPr>
                <w:lang w:eastAsia="en-US"/>
              </w:rPr>
              <w:t>SI19</w:t>
            </w:r>
          </w:p>
        </w:tc>
        <w:tc>
          <w:tcPr>
            <w:tcW w:w="1134" w:type="dxa"/>
          </w:tcPr>
          <w:p w14:paraId="38B27E4F" w14:textId="77777777" w:rsidR="00711444" w:rsidRPr="004D0DAA" w:rsidRDefault="00711444" w:rsidP="00AA2A4C">
            <w:pPr>
              <w:pStyle w:val="TAC"/>
              <w:rPr>
                <w:lang w:eastAsia="en-US"/>
              </w:rPr>
            </w:pPr>
            <w:r w:rsidRPr="004D0DAA">
              <w:rPr>
                <w:lang w:eastAsia="en-US"/>
              </w:rPr>
              <w:t>BCCH</w:t>
            </w:r>
          </w:p>
        </w:tc>
        <w:tc>
          <w:tcPr>
            <w:tcW w:w="1134" w:type="dxa"/>
          </w:tcPr>
          <w:p w14:paraId="32A45C04" w14:textId="77777777" w:rsidR="00711444" w:rsidRPr="004D0DAA" w:rsidRDefault="00711444" w:rsidP="00AA2A4C">
            <w:pPr>
              <w:pStyle w:val="TAC"/>
              <w:rPr>
                <w:lang w:eastAsia="en-US"/>
              </w:rPr>
            </w:pPr>
            <w:r w:rsidRPr="004D0DAA">
              <w:rPr>
                <w:lang w:eastAsia="en-US"/>
              </w:rPr>
              <w:t>0 - 8</w:t>
            </w:r>
          </w:p>
        </w:tc>
        <w:tc>
          <w:tcPr>
            <w:tcW w:w="2126" w:type="dxa"/>
          </w:tcPr>
          <w:p w14:paraId="666ACB96" w14:textId="77777777" w:rsidR="00711444" w:rsidRPr="004D0DAA" w:rsidRDefault="00711444" w:rsidP="00AA2A4C">
            <w:pPr>
              <w:pStyle w:val="TAC"/>
              <w:rPr>
                <w:lang w:eastAsia="en-US"/>
              </w:rPr>
            </w:pPr>
            <w:r w:rsidRPr="004D0DAA">
              <w:rPr>
                <w:lang w:eastAsia="en-US"/>
              </w:rPr>
              <w:t>SI19_CHANGE_MARK</w:t>
            </w:r>
          </w:p>
        </w:tc>
        <w:tc>
          <w:tcPr>
            <w:tcW w:w="1843" w:type="dxa"/>
          </w:tcPr>
          <w:p w14:paraId="2A1113EF" w14:textId="77777777" w:rsidR="00711444" w:rsidRPr="004D0DAA" w:rsidRDefault="00711444" w:rsidP="00AA2A4C">
            <w:pPr>
              <w:pStyle w:val="TAC"/>
              <w:rPr>
                <w:lang w:eastAsia="en-US"/>
              </w:rPr>
            </w:pPr>
            <w:r w:rsidRPr="004D0DAA">
              <w:rPr>
                <w:lang w:eastAsia="en-US"/>
              </w:rPr>
              <w:t>SI19_INDEX</w:t>
            </w:r>
          </w:p>
        </w:tc>
        <w:tc>
          <w:tcPr>
            <w:tcW w:w="1984" w:type="dxa"/>
          </w:tcPr>
          <w:p w14:paraId="6C367484" w14:textId="77777777" w:rsidR="00711444" w:rsidRPr="004D0DAA" w:rsidRDefault="00711444" w:rsidP="00AA2A4C">
            <w:pPr>
              <w:pStyle w:val="TAC"/>
              <w:rPr>
                <w:lang w:eastAsia="en-US"/>
              </w:rPr>
            </w:pPr>
            <w:r w:rsidRPr="004D0DAA">
              <w:rPr>
                <w:lang w:eastAsia="en-US"/>
              </w:rPr>
              <w:t>None (Note 4)</w:t>
            </w:r>
          </w:p>
        </w:tc>
      </w:tr>
      <w:tr w:rsidR="00711444" w:rsidRPr="004D0DAA" w14:paraId="6D9B2F88" w14:textId="77777777" w:rsidTr="00AA2A4C">
        <w:tblPrEx>
          <w:tblCellMar>
            <w:top w:w="0" w:type="dxa"/>
            <w:bottom w:w="0" w:type="dxa"/>
          </w:tblCellMar>
        </w:tblPrEx>
        <w:trPr>
          <w:cantSplit/>
        </w:trPr>
        <w:tc>
          <w:tcPr>
            <w:tcW w:w="1668" w:type="dxa"/>
          </w:tcPr>
          <w:p w14:paraId="050E85F6" w14:textId="77777777" w:rsidR="00711444" w:rsidRPr="004D0DAA" w:rsidRDefault="00711444" w:rsidP="00AA2A4C">
            <w:pPr>
              <w:pStyle w:val="TAL"/>
              <w:rPr>
                <w:lang w:eastAsia="en-US"/>
              </w:rPr>
            </w:pPr>
            <w:r w:rsidRPr="004D0DAA">
              <w:rPr>
                <w:lang w:eastAsia="en-US"/>
              </w:rPr>
              <w:t>SI20</w:t>
            </w:r>
          </w:p>
        </w:tc>
        <w:tc>
          <w:tcPr>
            <w:tcW w:w="1134" w:type="dxa"/>
          </w:tcPr>
          <w:p w14:paraId="1935E4EB" w14:textId="77777777" w:rsidR="00711444" w:rsidRPr="004D0DAA" w:rsidRDefault="00711444" w:rsidP="00AA2A4C">
            <w:pPr>
              <w:pStyle w:val="TAC"/>
              <w:rPr>
                <w:lang w:eastAsia="en-US"/>
              </w:rPr>
            </w:pPr>
            <w:r w:rsidRPr="004D0DAA">
              <w:rPr>
                <w:lang w:eastAsia="en-US"/>
              </w:rPr>
              <w:t>BCCH</w:t>
            </w:r>
          </w:p>
        </w:tc>
        <w:tc>
          <w:tcPr>
            <w:tcW w:w="1134" w:type="dxa"/>
          </w:tcPr>
          <w:p w14:paraId="439BD636" w14:textId="77777777" w:rsidR="00711444" w:rsidRPr="004D0DAA" w:rsidRDefault="00711444" w:rsidP="00AA2A4C">
            <w:pPr>
              <w:pStyle w:val="TAC"/>
              <w:rPr>
                <w:lang w:eastAsia="en-US"/>
              </w:rPr>
            </w:pPr>
            <w:r w:rsidRPr="004D0DAA">
              <w:rPr>
                <w:lang w:eastAsia="en-US"/>
              </w:rPr>
              <w:t>0 - 8</w:t>
            </w:r>
          </w:p>
        </w:tc>
        <w:tc>
          <w:tcPr>
            <w:tcW w:w="2126" w:type="dxa"/>
          </w:tcPr>
          <w:p w14:paraId="4C75AA2C" w14:textId="77777777" w:rsidR="00711444" w:rsidRPr="004D0DAA" w:rsidRDefault="00711444" w:rsidP="00AA2A4C">
            <w:pPr>
              <w:pStyle w:val="TAC"/>
              <w:rPr>
                <w:lang w:eastAsia="en-US"/>
              </w:rPr>
            </w:pPr>
            <w:r w:rsidRPr="004D0DAA">
              <w:rPr>
                <w:lang w:eastAsia="en-US"/>
              </w:rPr>
              <w:t>SI20_CHANGE_MARK</w:t>
            </w:r>
          </w:p>
        </w:tc>
        <w:tc>
          <w:tcPr>
            <w:tcW w:w="1843" w:type="dxa"/>
          </w:tcPr>
          <w:p w14:paraId="590E4654" w14:textId="77777777" w:rsidR="00711444" w:rsidRPr="004D0DAA" w:rsidRDefault="00711444" w:rsidP="00AA2A4C">
            <w:pPr>
              <w:pStyle w:val="TAC"/>
              <w:rPr>
                <w:lang w:eastAsia="en-US"/>
              </w:rPr>
            </w:pPr>
            <w:r w:rsidRPr="004D0DAA">
              <w:rPr>
                <w:lang w:eastAsia="en-US"/>
              </w:rPr>
              <w:t>SI20_INDEX</w:t>
            </w:r>
          </w:p>
        </w:tc>
        <w:tc>
          <w:tcPr>
            <w:tcW w:w="1984" w:type="dxa"/>
          </w:tcPr>
          <w:p w14:paraId="13ACF762" w14:textId="77777777" w:rsidR="00711444" w:rsidRPr="004D0DAA" w:rsidRDefault="00711444" w:rsidP="00AA2A4C">
            <w:pPr>
              <w:pStyle w:val="TAC"/>
              <w:rPr>
                <w:lang w:eastAsia="en-US"/>
              </w:rPr>
            </w:pPr>
            <w:r w:rsidRPr="004D0DAA">
              <w:rPr>
                <w:lang w:eastAsia="en-US"/>
              </w:rPr>
              <w:t>None (Note 4)</w:t>
            </w:r>
          </w:p>
        </w:tc>
      </w:tr>
      <w:tr w:rsidR="00711444" w:rsidRPr="004D0DAA" w14:paraId="143D4E68" w14:textId="77777777" w:rsidTr="00AA2A4C">
        <w:tblPrEx>
          <w:tblCellMar>
            <w:top w:w="0" w:type="dxa"/>
            <w:bottom w:w="0" w:type="dxa"/>
          </w:tblCellMar>
        </w:tblPrEx>
        <w:trPr>
          <w:cantSplit/>
        </w:trPr>
        <w:tc>
          <w:tcPr>
            <w:tcW w:w="1668" w:type="dxa"/>
          </w:tcPr>
          <w:p w14:paraId="757B78CD" w14:textId="77777777" w:rsidR="00711444" w:rsidRPr="004D0DAA" w:rsidRDefault="00711444" w:rsidP="00AA2A4C">
            <w:pPr>
              <w:pStyle w:val="TAL"/>
              <w:rPr>
                <w:lang w:eastAsia="en-US"/>
              </w:rPr>
            </w:pPr>
            <w:r w:rsidRPr="004D0DAA">
              <w:rPr>
                <w:lang w:eastAsia="en-US"/>
              </w:rPr>
              <w:t>SI21</w:t>
            </w:r>
          </w:p>
        </w:tc>
        <w:tc>
          <w:tcPr>
            <w:tcW w:w="1134" w:type="dxa"/>
          </w:tcPr>
          <w:p w14:paraId="1CD64F2E" w14:textId="77777777" w:rsidR="00711444" w:rsidRPr="004D0DAA" w:rsidRDefault="00711444" w:rsidP="00AA2A4C">
            <w:pPr>
              <w:pStyle w:val="TAC"/>
              <w:rPr>
                <w:lang w:eastAsia="en-US"/>
              </w:rPr>
            </w:pPr>
            <w:r w:rsidRPr="004D0DAA">
              <w:rPr>
                <w:lang w:eastAsia="en-US"/>
              </w:rPr>
              <w:t>BCCH</w:t>
            </w:r>
          </w:p>
        </w:tc>
        <w:tc>
          <w:tcPr>
            <w:tcW w:w="1134" w:type="dxa"/>
          </w:tcPr>
          <w:p w14:paraId="64A8512E" w14:textId="77777777" w:rsidR="00711444" w:rsidRPr="004D0DAA" w:rsidRDefault="00711444" w:rsidP="00AA2A4C">
            <w:pPr>
              <w:pStyle w:val="TAC"/>
              <w:rPr>
                <w:lang w:eastAsia="en-US"/>
              </w:rPr>
            </w:pPr>
            <w:r w:rsidRPr="004D0DAA">
              <w:rPr>
                <w:lang w:eastAsia="en-US"/>
              </w:rPr>
              <w:t>0 - 8</w:t>
            </w:r>
          </w:p>
        </w:tc>
        <w:tc>
          <w:tcPr>
            <w:tcW w:w="2126" w:type="dxa"/>
          </w:tcPr>
          <w:p w14:paraId="283F37C4" w14:textId="77777777" w:rsidR="00711444" w:rsidRPr="004D0DAA" w:rsidRDefault="00711444" w:rsidP="00AA2A4C">
            <w:pPr>
              <w:pStyle w:val="TAC"/>
              <w:rPr>
                <w:lang w:eastAsia="en-US"/>
              </w:rPr>
            </w:pPr>
            <w:r w:rsidRPr="004D0DAA">
              <w:rPr>
                <w:lang w:eastAsia="en-US"/>
              </w:rPr>
              <w:t>SI21_CHANGE_MARK</w:t>
            </w:r>
          </w:p>
        </w:tc>
        <w:tc>
          <w:tcPr>
            <w:tcW w:w="1843" w:type="dxa"/>
          </w:tcPr>
          <w:p w14:paraId="1C4B1CD1" w14:textId="77777777" w:rsidR="00711444" w:rsidRPr="004D0DAA" w:rsidRDefault="00711444" w:rsidP="00AA2A4C">
            <w:pPr>
              <w:pStyle w:val="TAC"/>
              <w:rPr>
                <w:lang w:eastAsia="en-US"/>
              </w:rPr>
            </w:pPr>
            <w:r w:rsidRPr="004D0DAA">
              <w:rPr>
                <w:lang w:eastAsia="en-US"/>
              </w:rPr>
              <w:t>SI21_INDEX</w:t>
            </w:r>
          </w:p>
        </w:tc>
        <w:tc>
          <w:tcPr>
            <w:tcW w:w="1984" w:type="dxa"/>
          </w:tcPr>
          <w:p w14:paraId="089D43C3" w14:textId="77777777" w:rsidR="00711444" w:rsidRPr="004D0DAA" w:rsidRDefault="00711444" w:rsidP="00AA2A4C">
            <w:pPr>
              <w:pStyle w:val="TAC"/>
              <w:rPr>
                <w:lang w:eastAsia="en-US"/>
              </w:rPr>
            </w:pPr>
            <w:r w:rsidRPr="004D0DAA">
              <w:rPr>
                <w:lang w:eastAsia="en-US"/>
              </w:rPr>
              <w:t>SI21_COUNT</w:t>
            </w:r>
          </w:p>
        </w:tc>
      </w:tr>
      <w:tr w:rsidR="00711444" w:rsidRPr="004D0DAA" w14:paraId="714CAAAB" w14:textId="77777777" w:rsidTr="00AA2A4C">
        <w:tblPrEx>
          <w:tblCellMar>
            <w:top w:w="0" w:type="dxa"/>
            <w:bottom w:w="0" w:type="dxa"/>
          </w:tblCellMar>
        </w:tblPrEx>
        <w:trPr>
          <w:cantSplit/>
        </w:trPr>
        <w:tc>
          <w:tcPr>
            <w:tcW w:w="1668" w:type="dxa"/>
          </w:tcPr>
          <w:p w14:paraId="0EF5B8F6" w14:textId="77777777" w:rsidR="00711444" w:rsidRPr="004D0DAA" w:rsidRDefault="00711444" w:rsidP="00AA2A4C">
            <w:pPr>
              <w:pStyle w:val="TAL"/>
              <w:rPr>
                <w:lang w:eastAsia="en-US"/>
              </w:rPr>
            </w:pPr>
            <w:r w:rsidRPr="004D0DAA">
              <w:rPr>
                <w:lang w:eastAsia="en-US"/>
              </w:rPr>
              <w:t>SI22</w:t>
            </w:r>
          </w:p>
        </w:tc>
        <w:tc>
          <w:tcPr>
            <w:tcW w:w="1134" w:type="dxa"/>
          </w:tcPr>
          <w:p w14:paraId="03C56C4B" w14:textId="77777777" w:rsidR="00711444" w:rsidRPr="004D0DAA" w:rsidRDefault="00711444" w:rsidP="00AA2A4C">
            <w:pPr>
              <w:pStyle w:val="TAC"/>
              <w:rPr>
                <w:lang w:eastAsia="en-US"/>
              </w:rPr>
            </w:pPr>
            <w:r w:rsidRPr="004D0DAA">
              <w:rPr>
                <w:lang w:eastAsia="en-US"/>
              </w:rPr>
              <w:t>BCCH</w:t>
            </w:r>
          </w:p>
        </w:tc>
        <w:tc>
          <w:tcPr>
            <w:tcW w:w="1134" w:type="dxa"/>
          </w:tcPr>
          <w:p w14:paraId="47D83231" w14:textId="77777777" w:rsidR="00711444" w:rsidRPr="004D0DAA" w:rsidRDefault="00711444" w:rsidP="00AA2A4C">
            <w:pPr>
              <w:pStyle w:val="TAC"/>
              <w:rPr>
                <w:lang w:eastAsia="en-US"/>
              </w:rPr>
            </w:pPr>
            <w:r w:rsidRPr="004D0DAA">
              <w:rPr>
                <w:lang w:eastAsia="en-US"/>
              </w:rPr>
              <w:t>0 - 8</w:t>
            </w:r>
          </w:p>
        </w:tc>
        <w:tc>
          <w:tcPr>
            <w:tcW w:w="2126" w:type="dxa"/>
          </w:tcPr>
          <w:p w14:paraId="4C0A5D70" w14:textId="77777777" w:rsidR="00711444" w:rsidRPr="004D0DAA" w:rsidRDefault="00711444" w:rsidP="00AA2A4C">
            <w:pPr>
              <w:pStyle w:val="TAC"/>
              <w:rPr>
                <w:lang w:eastAsia="en-US"/>
              </w:rPr>
            </w:pPr>
            <w:r w:rsidRPr="004D0DAA">
              <w:rPr>
                <w:lang w:eastAsia="en-US"/>
              </w:rPr>
              <w:t>SI22_CHANGE_MARK</w:t>
            </w:r>
          </w:p>
        </w:tc>
        <w:tc>
          <w:tcPr>
            <w:tcW w:w="1843" w:type="dxa"/>
          </w:tcPr>
          <w:p w14:paraId="44AF7125" w14:textId="77777777" w:rsidR="00711444" w:rsidRPr="004D0DAA" w:rsidRDefault="00711444" w:rsidP="00AA2A4C">
            <w:pPr>
              <w:pStyle w:val="TAC"/>
              <w:rPr>
                <w:lang w:eastAsia="en-US"/>
              </w:rPr>
            </w:pPr>
            <w:r w:rsidRPr="004D0DAA">
              <w:rPr>
                <w:lang w:eastAsia="en-US"/>
              </w:rPr>
              <w:t>SI22_INDEX</w:t>
            </w:r>
          </w:p>
        </w:tc>
        <w:tc>
          <w:tcPr>
            <w:tcW w:w="1984" w:type="dxa"/>
          </w:tcPr>
          <w:p w14:paraId="19948205" w14:textId="77777777" w:rsidR="00711444" w:rsidRPr="004D0DAA" w:rsidRDefault="00711444" w:rsidP="00AA2A4C">
            <w:pPr>
              <w:pStyle w:val="TAC"/>
              <w:rPr>
                <w:lang w:eastAsia="en-US"/>
              </w:rPr>
            </w:pPr>
            <w:r w:rsidRPr="004D0DAA">
              <w:rPr>
                <w:lang w:eastAsia="en-US"/>
              </w:rPr>
              <w:t>SI22_COUNT</w:t>
            </w:r>
          </w:p>
        </w:tc>
      </w:tr>
      <w:tr w:rsidR="00711444" w:rsidRPr="004D0DAA" w14:paraId="7C762828" w14:textId="77777777" w:rsidTr="00AA2A4C">
        <w:tblPrEx>
          <w:tblCellMar>
            <w:top w:w="0" w:type="dxa"/>
            <w:bottom w:w="0" w:type="dxa"/>
          </w:tblCellMar>
        </w:tblPrEx>
        <w:trPr>
          <w:cantSplit/>
        </w:trPr>
        <w:tc>
          <w:tcPr>
            <w:tcW w:w="1668" w:type="dxa"/>
          </w:tcPr>
          <w:p w14:paraId="253C4C72" w14:textId="77777777" w:rsidR="00711444" w:rsidRPr="004D0DAA" w:rsidRDefault="00711444" w:rsidP="00AA2A4C">
            <w:pPr>
              <w:pStyle w:val="TAL"/>
              <w:rPr>
                <w:lang w:eastAsia="en-US"/>
              </w:rPr>
            </w:pPr>
            <w:r w:rsidRPr="004D0DAA">
              <w:rPr>
                <w:lang w:eastAsia="en-US"/>
              </w:rPr>
              <w:t>SI23</w:t>
            </w:r>
          </w:p>
        </w:tc>
        <w:tc>
          <w:tcPr>
            <w:tcW w:w="1134" w:type="dxa"/>
          </w:tcPr>
          <w:p w14:paraId="154D81AA" w14:textId="77777777" w:rsidR="00711444" w:rsidRPr="004D0DAA" w:rsidRDefault="00711444" w:rsidP="00AA2A4C">
            <w:pPr>
              <w:pStyle w:val="TAC"/>
              <w:rPr>
                <w:lang w:eastAsia="en-US"/>
              </w:rPr>
            </w:pPr>
            <w:r w:rsidRPr="004D0DAA">
              <w:rPr>
                <w:lang w:eastAsia="en-US"/>
              </w:rPr>
              <w:t>BCCH</w:t>
            </w:r>
          </w:p>
        </w:tc>
        <w:tc>
          <w:tcPr>
            <w:tcW w:w="1134" w:type="dxa"/>
          </w:tcPr>
          <w:p w14:paraId="59741ED6" w14:textId="77777777" w:rsidR="00711444" w:rsidRPr="004D0DAA" w:rsidRDefault="00711444" w:rsidP="00AA2A4C">
            <w:pPr>
              <w:pStyle w:val="TAC"/>
              <w:rPr>
                <w:lang w:eastAsia="en-US"/>
              </w:rPr>
            </w:pPr>
            <w:r w:rsidRPr="004D0DAA">
              <w:rPr>
                <w:lang w:eastAsia="en-US"/>
              </w:rPr>
              <w:t>0 - 8</w:t>
            </w:r>
          </w:p>
        </w:tc>
        <w:tc>
          <w:tcPr>
            <w:tcW w:w="2126" w:type="dxa"/>
          </w:tcPr>
          <w:p w14:paraId="56CFEDE7" w14:textId="77777777" w:rsidR="00711444" w:rsidRPr="004D0DAA" w:rsidRDefault="00711444" w:rsidP="00AA2A4C">
            <w:pPr>
              <w:pStyle w:val="TAC"/>
              <w:rPr>
                <w:lang w:eastAsia="en-US"/>
              </w:rPr>
            </w:pPr>
            <w:r w:rsidRPr="004D0DAA">
              <w:rPr>
                <w:lang w:eastAsia="en-US"/>
              </w:rPr>
              <w:t>SI23_CHANGE_MARK</w:t>
            </w:r>
          </w:p>
        </w:tc>
        <w:tc>
          <w:tcPr>
            <w:tcW w:w="1843" w:type="dxa"/>
          </w:tcPr>
          <w:p w14:paraId="01E6A1EB" w14:textId="77777777" w:rsidR="00711444" w:rsidRPr="004D0DAA" w:rsidRDefault="00711444" w:rsidP="00AA2A4C">
            <w:pPr>
              <w:pStyle w:val="TAC"/>
              <w:rPr>
                <w:lang w:eastAsia="en-US"/>
              </w:rPr>
            </w:pPr>
            <w:r w:rsidRPr="004D0DAA">
              <w:rPr>
                <w:lang w:eastAsia="en-US"/>
              </w:rPr>
              <w:t>SI23_INDEX</w:t>
            </w:r>
          </w:p>
        </w:tc>
        <w:tc>
          <w:tcPr>
            <w:tcW w:w="1984" w:type="dxa"/>
          </w:tcPr>
          <w:p w14:paraId="07DE7689" w14:textId="77777777" w:rsidR="00711444" w:rsidRPr="004D0DAA" w:rsidRDefault="00711444" w:rsidP="00AA2A4C">
            <w:pPr>
              <w:pStyle w:val="TAC"/>
              <w:rPr>
                <w:lang w:eastAsia="en-US"/>
              </w:rPr>
            </w:pPr>
            <w:r w:rsidRPr="004D0DAA">
              <w:rPr>
                <w:lang w:eastAsia="en-US"/>
              </w:rPr>
              <w:t>SI23_COUNT</w:t>
            </w:r>
          </w:p>
        </w:tc>
      </w:tr>
      <w:tr w:rsidR="00711444" w:rsidRPr="004D0DAA" w14:paraId="67F5C866" w14:textId="77777777" w:rsidTr="00AA2A4C">
        <w:tblPrEx>
          <w:tblCellMar>
            <w:top w:w="0" w:type="dxa"/>
            <w:bottom w:w="0" w:type="dxa"/>
          </w:tblCellMar>
        </w:tblPrEx>
        <w:trPr>
          <w:cantSplit/>
        </w:trPr>
        <w:tc>
          <w:tcPr>
            <w:tcW w:w="9889" w:type="dxa"/>
            <w:gridSpan w:val="6"/>
          </w:tcPr>
          <w:p w14:paraId="5BEF74D1" w14:textId="77777777" w:rsidR="00711444" w:rsidRPr="004D0DAA" w:rsidRDefault="00711444" w:rsidP="00AA2A4C">
            <w:pPr>
              <w:pStyle w:val="TAN"/>
              <w:rPr>
                <w:lang w:eastAsia="en-US"/>
              </w:rPr>
            </w:pPr>
            <w:r w:rsidRPr="004D0DAA">
              <w:rPr>
                <w:lang w:eastAsia="en-US"/>
              </w:rPr>
              <w:t>NOTE 1:</w:t>
            </w:r>
            <w:r w:rsidRPr="004D0DAA">
              <w:rPr>
                <w:lang w:eastAsia="en-US"/>
              </w:rPr>
              <w:tab/>
              <w:t>If the SI13 message provides a GPRS mobile allocation, it shall also provide an SI13_CHANGE_MARK. The SI13_CHANGE_MARK shall be used if the indirect encoding of the frequency information is applied in a packet assignment, referring to the GPRS mobile allocation provided in the SI13 message. There is only one instance of the SI13 message.</w:t>
            </w:r>
          </w:p>
          <w:p w14:paraId="0C614F05" w14:textId="77777777" w:rsidR="00711444" w:rsidRPr="004D0DAA" w:rsidRDefault="00711444" w:rsidP="00AA2A4C">
            <w:pPr>
              <w:pStyle w:val="TAN"/>
              <w:rPr>
                <w:lang w:eastAsia="en-US"/>
              </w:rPr>
            </w:pPr>
            <w:r w:rsidRPr="004D0DAA">
              <w:rPr>
                <w:lang w:eastAsia="en-US"/>
              </w:rPr>
              <w:t>NOTE 2:</w:t>
            </w:r>
            <w:r w:rsidRPr="004D0DAA">
              <w:rPr>
                <w:lang w:eastAsia="en-US"/>
              </w:rPr>
              <w:tab/>
              <w:t>The PSI13 message may be received on PACCH. It provides the same information as SI13, including the SI13_CHANGE_MARK.</w:t>
            </w:r>
          </w:p>
          <w:p w14:paraId="0C21252C" w14:textId="77777777" w:rsidR="00711444" w:rsidRPr="004D0DAA" w:rsidRDefault="00711444" w:rsidP="00AA2A4C">
            <w:pPr>
              <w:pStyle w:val="TAN"/>
              <w:rPr>
                <w:lang w:eastAsia="en-US"/>
              </w:rPr>
            </w:pPr>
            <w:r w:rsidRPr="004D0DAA">
              <w:rPr>
                <w:lang w:eastAsia="en-US"/>
              </w:rPr>
              <w:t>NOTE 3:</w:t>
            </w:r>
            <w:r w:rsidRPr="004D0DAA">
              <w:rPr>
                <w:lang w:eastAsia="en-US"/>
              </w:rPr>
              <w:tab/>
              <w:t xml:space="preserve">If PSI2 and SI13 </w:t>
            </w:r>
            <w:r w:rsidRPr="004D0DAA">
              <w:rPr>
                <w:i/>
                <w:lang w:eastAsia="en-US"/>
              </w:rPr>
              <w:t>change mark</w:t>
            </w:r>
            <w:r w:rsidRPr="004D0DAA">
              <w:rPr>
                <w:lang w:eastAsia="en-US"/>
              </w:rPr>
              <w:t xml:space="preserve"> values need to be distinguished, e.g. during an activation or release of PBCCH, the network should assign appropriate values to these parameters.</w:t>
            </w:r>
          </w:p>
          <w:p w14:paraId="6E9BBEDB" w14:textId="77777777" w:rsidR="00711444" w:rsidRPr="004D0DAA" w:rsidRDefault="00711444" w:rsidP="00AA2A4C">
            <w:pPr>
              <w:pStyle w:val="TAN"/>
              <w:rPr>
                <w:lang w:eastAsia="en-US"/>
              </w:rPr>
            </w:pPr>
            <w:r w:rsidRPr="004D0DAA">
              <w:rPr>
                <w:lang w:eastAsia="en-US"/>
              </w:rPr>
              <w:t>NOTE 4:</w:t>
            </w:r>
            <w:r w:rsidRPr="004D0DAA">
              <w:rPr>
                <w:lang w:eastAsia="en-US"/>
              </w:rPr>
              <w:tab/>
              <w:t xml:space="preserve">For SI18, SI19 and SI20 messages, there is no </w:t>
            </w:r>
            <w:r w:rsidRPr="004D0DAA">
              <w:rPr>
                <w:i/>
                <w:lang w:eastAsia="en-US"/>
              </w:rPr>
              <w:t>count</w:t>
            </w:r>
            <w:r w:rsidRPr="004D0DAA">
              <w:rPr>
                <w:lang w:eastAsia="en-US"/>
              </w:rPr>
              <w:t xml:space="preserve"> parameter (see 3GPP TS 44.018).</w:t>
            </w:r>
          </w:p>
        </w:tc>
      </w:tr>
    </w:tbl>
    <w:p w14:paraId="5B15E02C" w14:textId="77777777" w:rsidR="00711444" w:rsidRPr="004D0DAA" w:rsidRDefault="00711444" w:rsidP="00711444"/>
    <w:p w14:paraId="7145E022" w14:textId="77777777" w:rsidR="00711444" w:rsidRPr="004D0DAA" w:rsidRDefault="00711444" w:rsidP="00711444">
      <w:r w:rsidRPr="004D0DAA">
        <w:t xml:space="preserve">A consistent set of system information messages is identified by a PSI or SI </w:t>
      </w:r>
      <w:r w:rsidRPr="004D0DAA">
        <w:rPr>
          <w:i/>
        </w:rPr>
        <w:t>change mark</w:t>
      </w:r>
      <w:r w:rsidRPr="004D0DAA">
        <w:t xml:space="preserve"> parameter included in each message in the set. All messages within a consistent set shall have the same value of this parameter.</w:t>
      </w:r>
    </w:p>
    <w:p w14:paraId="20B464A0" w14:textId="77777777" w:rsidR="00711444" w:rsidRPr="004D0DAA" w:rsidRDefault="00711444" w:rsidP="00711444">
      <w:r w:rsidRPr="004D0DAA">
        <w:t xml:space="preserve">The total number of system information messages of a certain type within a consistent set is indicated by a PSI or SI </w:t>
      </w:r>
      <w:r w:rsidRPr="004D0DAA">
        <w:rPr>
          <w:i/>
        </w:rPr>
        <w:t>count</w:t>
      </w:r>
      <w:r w:rsidRPr="004D0DAA">
        <w:t xml:space="preserve"> parameter included in each message in the set. The position of a certain message instance within the consistent set of system information messages is indicated by a PSI or SI </w:t>
      </w:r>
      <w:r w:rsidRPr="004D0DAA">
        <w:rPr>
          <w:i/>
        </w:rPr>
        <w:t>index</w:t>
      </w:r>
      <w:r w:rsidRPr="004D0DAA">
        <w:t xml:space="preserve"> parameter.</w:t>
      </w:r>
    </w:p>
    <w:p w14:paraId="438513BC" w14:textId="77777777" w:rsidR="00711444" w:rsidRPr="004D0DAA" w:rsidRDefault="00711444" w:rsidP="00711444">
      <w:r w:rsidRPr="004D0DAA">
        <w:t xml:space="preserve">The PSI or SI </w:t>
      </w:r>
      <w:r w:rsidRPr="004D0DAA">
        <w:rPr>
          <w:i/>
        </w:rPr>
        <w:t>count</w:t>
      </w:r>
      <w:r w:rsidRPr="004D0DAA">
        <w:t xml:space="preserve"> parameter shall have the value N-1, where N is the number of instances of the particular message type present in the consistent set. The PSI or SI </w:t>
      </w:r>
      <w:r w:rsidRPr="004D0DAA">
        <w:rPr>
          <w:i/>
        </w:rPr>
        <w:t>index</w:t>
      </w:r>
      <w:r w:rsidRPr="004D0DAA">
        <w:t xml:space="preserve"> parameter shall have a range from zero to N-1. Different instances of a particular message type in a consistent set shall have different values of the PSI or SI </w:t>
      </w:r>
      <w:r w:rsidRPr="004D0DAA">
        <w:rPr>
          <w:i/>
        </w:rPr>
        <w:t>index</w:t>
      </w:r>
      <w:r w:rsidRPr="004D0DAA">
        <w:t xml:space="preserve"> parameter.</w:t>
      </w:r>
    </w:p>
    <w:p w14:paraId="6352E352" w14:textId="77777777" w:rsidR="00711444" w:rsidRPr="004D0DAA" w:rsidRDefault="00711444" w:rsidP="00711444">
      <w:pPr>
        <w:pStyle w:val="Heading4"/>
      </w:pPr>
      <w:bookmarkStart w:id="81" w:name="_Toc516669269"/>
      <w:r w:rsidRPr="004D0DAA">
        <w:t>5.5.2.2</w:t>
      </w:r>
      <w:r w:rsidRPr="004D0DAA">
        <w:tab/>
        <w:t>Paging</w:t>
      </w:r>
      <w:bookmarkEnd w:id="81"/>
    </w:p>
    <w:p w14:paraId="7DE79A53" w14:textId="77777777" w:rsidR="00711444" w:rsidRPr="004D0DAA" w:rsidRDefault="00711444" w:rsidP="00711444">
      <w:r w:rsidRPr="004D0DAA">
        <w:t>The network is required to send valid RLC data blocks or RLC/MAC control blocks continuously on all subchannels on PCCCH where paging can appear.</w:t>
      </w:r>
    </w:p>
    <w:p w14:paraId="391864AE" w14:textId="77777777" w:rsidR="00711444" w:rsidRPr="004D0DAA" w:rsidRDefault="00711444" w:rsidP="00711444">
      <w:pPr>
        <w:pStyle w:val="NO"/>
      </w:pPr>
      <w:r w:rsidRPr="004D0DAA">
        <w:t>NOTE:</w:t>
      </w:r>
      <w:r w:rsidRPr="004D0DAA">
        <w:tab/>
        <w:t>If RLC data blocks are sent in the blocks on PCCCH where paging may appear, the network uses the coding schemes CS-1 to CS-4, in order to avoid the expiry of the downlink signalling counter for non-EGPRS capable mobile stations (see 3GPP TS 45.002).</w:t>
      </w:r>
    </w:p>
    <w:p w14:paraId="77DB2ADE" w14:textId="77777777" w:rsidR="00711444" w:rsidRPr="004D0DAA" w:rsidRDefault="00711444" w:rsidP="00711444">
      <w:pPr>
        <w:pStyle w:val="Heading4"/>
      </w:pPr>
      <w:bookmarkStart w:id="82" w:name="_Toc516669270"/>
      <w:r w:rsidRPr="004D0DAA">
        <w:lastRenderedPageBreak/>
        <w:t>5.5.2.3</w:t>
      </w:r>
      <w:r w:rsidRPr="004D0DAA">
        <w:tab/>
        <w:t>Network Assisted Cell Change</w:t>
      </w:r>
      <w:bookmarkEnd w:id="82"/>
    </w:p>
    <w:p w14:paraId="2E0887AD" w14:textId="77777777" w:rsidR="00711444" w:rsidRPr="004D0DAA" w:rsidRDefault="00711444" w:rsidP="00711444">
      <w:r w:rsidRPr="004D0DAA">
        <w:t xml:space="preserve">A cell that supports GPRS (in </w:t>
      </w:r>
      <w:r w:rsidRPr="004D0DAA">
        <w:rPr>
          <w:i/>
        </w:rPr>
        <w:t>A/Gb mod</w:t>
      </w:r>
      <w:r w:rsidRPr="004D0DAA">
        <w:t xml:space="preserve">e) and/or </w:t>
      </w:r>
      <w:r w:rsidRPr="004D0DAA">
        <w:rPr>
          <w:i/>
        </w:rPr>
        <w:t>Iu mode</w:t>
      </w:r>
      <w:r w:rsidRPr="004D0DAA">
        <w:t xml:space="preserve"> shall indicate if CCN is enabled. This shall be indicated on BCCH and on PBCCH in the parameter CCN_ACTIVE (see sub-clause 12.24). The network may also send a PACKET MEASUREMENT ORDER message with the parameter CCN_ACTIVE set to order an individual mobile station to apply the CCN procedures in the serving cell or a PACKET CELL CHANGE ORDER or a PS HANDOVER COMMAND message to order an individual mobile station to apply the CCN procedures in the new cell. This parameter controls the overall enabling of CCN. The network may also indicate in system information messages sent on BCCH and PBCCH and individually in the PACKET MEASUREMENT ORDER or PACKET CELL CHANGE ORDER or PS HANDOVER COMMAND messages whether CCN mode shall be entered towards a particular cell (see sub-clause 8.8.2). A GSM cell that supports PS handover to </w:t>
      </w:r>
      <w:r w:rsidRPr="004D0DAA">
        <w:rPr>
          <w:i/>
          <w:iCs/>
        </w:rPr>
        <w:t>GAN mode</w:t>
      </w:r>
      <w:r w:rsidRPr="004D0DAA">
        <w:t xml:space="preserve"> shall ensure that CCN is enabled for all GAN neighbour cells.</w:t>
      </w:r>
    </w:p>
    <w:p w14:paraId="1849C999" w14:textId="77777777" w:rsidR="00711444" w:rsidRPr="004D0DAA" w:rsidRDefault="00711444" w:rsidP="00711444">
      <w:r w:rsidRPr="004D0DAA">
        <w:t>The network may also send neighbour cell system information on PACCH to be used by the mobile station at initial access after cell re-selection (see sub-clause 8.8.1).</w:t>
      </w:r>
    </w:p>
    <w:p w14:paraId="61C7AC93" w14:textId="77777777" w:rsidR="00711444" w:rsidRPr="004D0DAA" w:rsidRDefault="00711444" w:rsidP="00711444">
      <w:r w:rsidRPr="004D0DAA">
        <w:t xml:space="preserve">When the network receives a PACKET CELL CHANGE NOTIFICATION message from the mobile station, the network may respond by sending neighbour cell system information for the proposed cell or another cell and also complete the transmission of ongoing data packets before sending a PACKET CELL CHANGE CONTINUE message (to confirm the proposed cell) or a PACKET CELL CHANGE ORDER message. The neighbour cell information is sent in PACKET NEIGHBOUR CELL DATA messages. </w:t>
      </w:r>
    </w:p>
    <w:p w14:paraId="443473DF" w14:textId="77777777" w:rsidR="00711444" w:rsidRPr="004D0DAA" w:rsidRDefault="00711444" w:rsidP="00711444">
      <w:r w:rsidRPr="004D0DAA">
        <w:t>The ARFCN for BCCH and the BSIC identifying a GSM neighbour cell shall be included in the PACKET CELL CHANGE CONTINUE message in case a set of PACKET NEIGHBOUR CELL DATA messages referred by the corresponding CONTAINER_ID value was sent for that cell without ARFCN and BSIC provided. If included by the network in the PACKET CELL CHANGE CONTINUE message, ARFCN and BSIC shall reflect the cell proposed in the PACKET CELL CHANGE NOTIFICATION message. Upon reception of the PACKET CELL CHANGE CONTINUE message the mobile station shall continue the cell reselection in NC0/NC1 mode irrespective of the cell indicated in the ARFCN and BSIC parameters.</w:t>
      </w:r>
    </w:p>
    <w:p w14:paraId="2B4DFE24" w14:textId="77777777" w:rsidR="00711444" w:rsidRPr="004D0DAA" w:rsidRDefault="00711444" w:rsidP="00711444">
      <w:pPr>
        <w:pStyle w:val="Heading4"/>
      </w:pPr>
      <w:bookmarkStart w:id="83" w:name="_Toc516669271"/>
      <w:r w:rsidRPr="004D0DAA">
        <w:t>5.5.2.4</w:t>
      </w:r>
      <w:r w:rsidRPr="004D0DAA">
        <w:tab/>
        <w:t>Packet Switched Handover</w:t>
      </w:r>
      <w:bookmarkEnd w:id="83"/>
    </w:p>
    <w:p w14:paraId="6A1B7388" w14:textId="77777777" w:rsidR="00711444" w:rsidRPr="004D0DAA" w:rsidRDefault="00711444" w:rsidP="00711444">
      <w:r w:rsidRPr="004D0DAA">
        <w:t>Packet switched handover is applicable only in packet transfer mode.</w:t>
      </w:r>
    </w:p>
    <w:p w14:paraId="3A2C1B0C" w14:textId="77777777" w:rsidR="00711444" w:rsidRPr="004D0DAA" w:rsidRDefault="00711444" w:rsidP="00711444">
      <w:r w:rsidRPr="004D0DAA">
        <w:t>If the network supports PS handover it may initiate the PS handover procedure for a mobile station that supports PS handover as a result of various trigger conditions such as, but not restricted to, the following:</w:t>
      </w:r>
    </w:p>
    <w:p w14:paraId="491671C0" w14:textId="77777777" w:rsidR="00711444" w:rsidRPr="004D0DAA" w:rsidRDefault="00711444" w:rsidP="00711444">
      <w:pPr>
        <w:pStyle w:val="B1"/>
      </w:pPr>
      <w:r w:rsidRPr="004D0DAA">
        <w:t>-</w:t>
      </w:r>
      <w:r w:rsidRPr="004D0DAA">
        <w:tab/>
        <w:t>Upon reception of a PACKET CELL CHANGE NOTIFICATION message from a mobile station operating in NC0.</w:t>
      </w:r>
    </w:p>
    <w:p w14:paraId="7D16BD25" w14:textId="77777777" w:rsidR="00711444" w:rsidRPr="004D0DAA" w:rsidRDefault="00711444" w:rsidP="00711444">
      <w:pPr>
        <w:pStyle w:val="B1"/>
      </w:pPr>
      <w:r w:rsidRPr="004D0DAA">
        <w:t>-</w:t>
      </w:r>
      <w:r w:rsidRPr="004D0DAA">
        <w:tab/>
        <w:t>Upon reception of a PACKET CELL CHANGE NOTIFICATION message or measurement reports from a mobile station operating in NC1.</w:t>
      </w:r>
    </w:p>
    <w:p w14:paraId="6C6331F2" w14:textId="77777777" w:rsidR="00711444" w:rsidRPr="004D0DAA" w:rsidRDefault="00711444" w:rsidP="00711444">
      <w:pPr>
        <w:pStyle w:val="B1"/>
      </w:pPr>
      <w:r w:rsidRPr="004D0DAA">
        <w:t>-</w:t>
      </w:r>
      <w:r w:rsidRPr="004D0DAA">
        <w:tab/>
        <w:t>Upon reception of measurement reports from a mobile station operating in NC2.</w:t>
      </w:r>
    </w:p>
    <w:p w14:paraId="347FF458" w14:textId="77777777" w:rsidR="00711444" w:rsidRPr="004D0DAA" w:rsidRDefault="00711444" w:rsidP="00711444">
      <w:pPr>
        <w:pStyle w:val="B1"/>
      </w:pPr>
      <w:r w:rsidRPr="004D0DAA">
        <w:t>-</w:t>
      </w:r>
      <w:r w:rsidRPr="004D0DAA">
        <w:tab/>
        <w:t>Upon determining that resource limitations exist for the serving cell.</w:t>
      </w:r>
    </w:p>
    <w:p w14:paraId="2BCDAF4F" w14:textId="77777777" w:rsidR="00711444" w:rsidRPr="004D0DAA" w:rsidRDefault="00711444" w:rsidP="00711444">
      <w:pPr>
        <w:pStyle w:val="B1"/>
      </w:pPr>
      <w:r w:rsidRPr="004D0DAA">
        <w:t>-</w:t>
      </w:r>
      <w:r w:rsidRPr="004D0DAA">
        <w:tab/>
        <w:t xml:space="preserve">Upon receiving the </w:t>
      </w:r>
      <w:r w:rsidRPr="004D0DAA">
        <w:rPr>
          <w:i/>
          <w:iCs/>
        </w:rPr>
        <w:t>Service UTRAN CCO</w:t>
      </w:r>
      <w:r w:rsidRPr="004D0DAA">
        <w:t xml:space="preserve"> IE from the SGSN indicating that a mobile station operating in A/Gb mode would be better served in a cell supporting a different RAT.</w:t>
      </w:r>
    </w:p>
    <w:p w14:paraId="0CCB2D4A" w14:textId="77777777" w:rsidR="00711444" w:rsidRPr="004D0DAA" w:rsidRDefault="00711444" w:rsidP="00711444">
      <w:r w:rsidRPr="004D0DAA">
        <w:t xml:space="preserve">For PS handover to a GSM neighbour cell the NC mode applicable to the new cell shall be indicated by the PS HANDOVER COMMAND message sent to the mobile station in the old cell. </w:t>
      </w:r>
    </w:p>
    <w:p w14:paraId="69951D36" w14:textId="77777777" w:rsidR="00711444" w:rsidRPr="004D0DAA" w:rsidRDefault="00711444" w:rsidP="00711444">
      <w:pPr>
        <w:pStyle w:val="Heading2"/>
      </w:pPr>
      <w:bookmarkStart w:id="84" w:name="_Toc516669272"/>
      <w:r w:rsidRPr="004D0DAA">
        <w:t>5.6</w:t>
      </w:r>
      <w:r w:rsidRPr="004D0DAA">
        <w:tab/>
        <w:t>Measurement reports</w:t>
      </w:r>
      <w:bookmarkEnd w:id="84"/>
    </w:p>
    <w:p w14:paraId="188E9CB3" w14:textId="77777777" w:rsidR="00711444" w:rsidRPr="004D0DAA" w:rsidRDefault="00711444" w:rsidP="00711444">
      <w:pPr>
        <w:pStyle w:val="Heading3"/>
      </w:pPr>
      <w:bookmarkStart w:id="85" w:name="_Toc516669273"/>
      <w:r w:rsidRPr="004D0DAA">
        <w:t>5.6.0</w:t>
      </w:r>
      <w:r w:rsidRPr="004D0DAA">
        <w:tab/>
        <w:t>General</w:t>
      </w:r>
      <w:bookmarkEnd w:id="85"/>
    </w:p>
    <w:p w14:paraId="321E5113" w14:textId="77777777" w:rsidR="00711444" w:rsidRPr="004D0DAA" w:rsidRDefault="00711444" w:rsidP="00711444">
      <w:r w:rsidRPr="004D0DAA">
        <w:t>The network may request measurement reports from the MS. The measurement reporting principles are specified in 3GPP TS 45.008. The measurement reports consists of</w:t>
      </w:r>
    </w:p>
    <w:p w14:paraId="50191BC5" w14:textId="77777777" w:rsidR="00711444" w:rsidRPr="004D0DAA" w:rsidRDefault="00711444" w:rsidP="00711444">
      <w:pPr>
        <w:pStyle w:val="B1"/>
      </w:pPr>
      <w:r w:rsidRPr="004D0DAA">
        <w:t>-</w:t>
      </w:r>
      <w:r w:rsidRPr="004D0DAA">
        <w:tab/>
        <w:t xml:space="preserve">Network Control (NC) measurement reports sent when the MS is in </w:t>
      </w:r>
      <w:r w:rsidRPr="004D0DAA">
        <w:rPr>
          <w:i/>
        </w:rPr>
        <w:t>A/Gb mode</w:t>
      </w:r>
      <w:r w:rsidRPr="004D0DAA">
        <w:t xml:space="preserve"> and GMM Ready state (see 3GPP TS 24.008) or the MS is in </w:t>
      </w:r>
      <w:r w:rsidRPr="004D0DAA">
        <w:rPr>
          <w:i/>
        </w:rPr>
        <w:t>Iu mode</w:t>
      </w:r>
      <w:r w:rsidRPr="004D0DAA">
        <w:t xml:space="preserve"> and in RRC-Cell_Shared state; this may be performed with either the </w:t>
      </w:r>
      <w:r w:rsidRPr="004D0DAA">
        <w:lastRenderedPageBreak/>
        <w:t>PACKET MEASUREMENT REPORT message or the PACKET ENHANCED MEASUREMENT REPORT message.</w:t>
      </w:r>
    </w:p>
    <w:p w14:paraId="6E4B348C" w14:textId="77777777" w:rsidR="00711444" w:rsidRPr="004D0DAA" w:rsidRDefault="00711444" w:rsidP="00711444">
      <w:pPr>
        <w:pStyle w:val="Heading3"/>
      </w:pPr>
      <w:bookmarkStart w:id="86" w:name="_Toc516669274"/>
      <w:r w:rsidRPr="004D0DAA">
        <w:t>5.6.1</w:t>
      </w:r>
      <w:r w:rsidRPr="004D0DAA">
        <w:tab/>
        <w:t>Network Control (NC) measurement reporting</w:t>
      </w:r>
      <w:bookmarkEnd w:id="86"/>
    </w:p>
    <w:p w14:paraId="562BD2D9" w14:textId="77777777" w:rsidR="00711444" w:rsidRPr="004D0DAA" w:rsidRDefault="00711444" w:rsidP="00711444">
      <w:r w:rsidRPr="004D0DAA">
        <w:t>The behaviour of the mobile station is controlled by the parameter NETWORK_CONTROL_ORDER broadcast in the PSI5 message on PBCCH, in the SI13 and SI2quater messages on the BCCH and in the PSI13 message on PACCH. Alternatively, the network may send the NETWORK_CONTROL_ORDER parameters in a PACKET MEASUREMENT ORDER or in a PACKET CELL CHANGE ORDER message on PCCCH or PACCH to a particular mobile station or in a PS HANDOVER COMMAND message sent on PACCH to a particular mobile station. The parameter NETWORK_CONTROL_ORDER may have one of the values NC0, NC1, NC2 or RESET, see 3GPP TS 45.008.</w:t>
      </w:r>
    </w:p>
    <w:p w14:paraId="6A44AF90" w14:textId="77777777" w:rsidR="00711444" w:rsidRPr="004D0DAA" w:rsidRDefault="00711444" w:rsidP="00711444">
      <w:pPr>
        <w:keepNext/>
        <w:keepLines/>
      </w:pPr>
      <w:r w:rsidRPr="004D0DAA">
        <w:t>When in mode NC1 or NC2, the mobile station shall perform the NC measurements as defined in 3GPP TS 45.008. The reporting periods are indicated in the NC_REPORTING_PERIOD_I and NC_REPORTING_PERIOD_T field of the PSI5, the SI2quater, the PACKET CELL CHANGE ORDER or the PACKET MEASUREMENT ORDER message. If NC_NON_DRX_PERIOD, NC_REPORTING_PERIOD_I or NC_REPORTING_PERIOD_T have not been received by the mobile station the default values shall be used. The mobile station shall apply to the timer T3158 either the NC_REPORTING_PERIOD_I when in packet idle mode or the NC_REPORTING_PERIOD_T when in packet transfer mode. The measurement results shall be sent to the network using the procedures specified in sub-clause 7.3 for packet idle mode, and in sub-clause 8.3 for packet transfer mode.</w:t>
      </w:r>
    </w:p>
    <w:p w14:paraId="68101442" w14:textId="77777777" w:rsidR="00711444" w:rsidRPr="004D0DAA" w:rsidRDefault="00711444" w:rsidP="00711444">
      <w:r w:rsidRPr="004D0DAA">
        <w:t>On expiry of timer T3158, the mobile station shall restart timer T3158 with the indicated reporting period, perform the measurements and send either the PACKET MEASUREMENT REPORT message or the PACKET ENHANCED MEASUREMENT REPORT to the network. The condition for sending the PACKET ENHANCED MEASUREMENT REPORT message instead of the PACKET MEASUREMENT REPORT message is based on the REPORT_TYPE parameter and if the MS has received BSIC information for all cells. For the detailed conditions see sub-clauses 11.2.23, 11.2.4 and 11.2.9b and also 3GPP TS 44.018 sub-clause 10.5.2.33b. A mobile station in packet idle mode (respectively packet transfer mode) in NC2 may transmit a PACKET CELL CHANGE NOTIFICATION message, instead of a PACKET MEASUREMENT REPORT message or PACKET ENHANCED MEASUREMENT REPORT message, if the conditions in sub-clause 5.6.3.9 are met, A mobile station shall send no more than one PACKET CELL CHANGE NOTIFICATION per ([4] x NC_REPORTING_PERIOD_I) seconds (respectively ([4] x NC_REPORTING_PERIOD_T) seconds).</w:t>
      </w:r>
    </w:p>
    <w:p w14:paraId="4BE605DC" w14:textId="77777777" w:rsidR="00711444" w:rsidRPr="004D0DAA" w:rsidRDefault="00711444" w:rsidP="00711444">
      <w:r w:rsidRPr="004D0DAA">
        <w:t>A mobile station in mode NC1 or NC2 may receive a new indicated reporting period while timer T3158 is active. If the new indicated reporting period is less than the time to expiry of timer T3158, the mobile station shall immediately restart timer T3158 with the new indicated reporting period. Otherwise, the timer T3158 shall continue to run.</w:t>
      </w:r>
    </w:p>
    <w:p w14:paraId="527BB99D" w14:textId="77777777" w:rsidR="00711444" w:rsidRPr="004D0DAA" w:rsidRDefault="00711444" w:rsidP="00711444">
      <w:r w:rsidRPr="004D0DAA">
        <w:t>When changing from packet transfer mode to packet idle mode, a mobile station in mode NC1 or NC2 shall</w:t>
      </w:r>
      <w:r w:rsidRPr="004D0DAA">
        <w:rPr>
          <w:rFonts w:ascii="Arial" w:hAnsi="Arial"/>
        </w:rPr>
        <w:t xml:space="preserve"> </w:t>
      </w:r>
      <w:r w:rsidRPr="004D0DAA">
        <w:t>restart the timer T3158 with the reporting period determined by the NC_REPORTING_PERIOD_I parameter if at least one PACKET MEASUREMENT REPORT or PACKET ENHANCED MEASUREMENT REPORT message was sent in packet transfer mode. Otherwise the timer T3158 shall continue to run.</w:t>
      </w:r>
    </w:p>
    <w:p w14:paraId="6F8C9D11" w14:textId="77777777" w:rsidR="00711444" w:rsidRPr="004D0DAA" w:rsidRDefault="00711444" w:rsidP="00711444">
      <w:r w:rsidRPr="004D0DAA">
        <w:t>When changing from packet idle mode to packet tran</w:t>
      </w:r>
      <w:r w:rsidRPr="004D0DAA">
        <w:rPr>
          <w:rFonts w:hint="eastAsia"/>
          <w:lang w:eastAsia="ko-KR"/>
        </w:rPr>
        <w:t>s</w:t>
      </w:r>
      <w:r w:rsidRPr="004D0DAA">
        <w:t>fer mode, a mobile station in mode NC1 or NC2 shall</w:t>
      </w:r>
      <w:r w:rsidRPr="004D0DAA">
        <w:rPr>
          <w:rFonts w:ascii="Arial" w:hAnsi="Arial"/>
        </w:rPr>
        <w:t xml:space="preserve"> </w:t>
      </w:r>
      <w:r w:rsidRPr="004D0DAA">
        <w:t>restart the timer T3158 with the reporting period determined by the NC_REPORTING_PERIOD_T parameter if the reporting period is less than the time to expiry of timer T3158. Otherwise the timer T3158 shall continue to run.</w:t>
      </w:r>
    </w:p>
    <w:p w14:paraId="007277A3" w14:textId="77777777" w:rsidR="00711444" w:rsidRPr="004D0DAA" w:rsidRDefault="00711444" w:rsidP="00711444">
      <w:r w:rsidRPr="004D0DAA">
        <w:t>When a mobile station leaves the GMM Ready state, the timer T3158 shall be stopped and no more measurement reports shall be sent to the network.</w:t>
      </w:r>
    </w:p>
    <w:p w14:paraId="42644F67" w14:textId="77777777" w:rsidR="00711444" w:rsidRPr="004D0DAA" w:rsidRDefault="00711444" w:rsidP="00711444">
      <w:r w:rsidRPr="004D0DAA">
        <w:t>A mobile station may reselect a new cell or may be ordered to reselect a new cell with mode NC1 or NC2 while timer T3158 is active. If time to expiry of timer T3158 is greater than the indicated reporting period for the new cell, the mobile station shall immediately restart timer T3158 with the indicated reporting period for the new cell. Otherwise, the timer T3158 shall continue to run.</w:t>
      </w:r>
    </w:p>
    <w:p w14:paraId="1D46FC30" w14:textId="77777777" w:rsidR="00711444" w:rsidRPr="004D0DAA" w:rsidRDefault="00711444" w:rsidP="00711444">
      <w:pPr>
        <w:keepNext/>
        <w:keepLines/>
      </w:pPr>
      <w:r w:rsidRPr="004D0DAA">
        <w:t>At cell reselection the NC measurement parameters valid for the mobile station in the new cell (NETWORK_CONTROL_ORDER, NC_NON_DRX_PERIOD, NC_REPORTING_PERIOD_I and NC_REPORTING_PERIOD_T) are either:</w:t>
      </w:r>
    </w:p>
    <w:p w14:paraId="47456D3E" w14:textId="77777777" w:rsidR="00711444" w:rsidRPr="004D0DAA" w:rsidRDefault="00711444" w:rsidP="00711444">
      <w:pPr>
        <w:pStyle w:val="B1"/>
      </w:pPr>
      <w:r w:rsidRPr="004D0DAA">
        <w:t>-</w:t>
      </w:r>
      <w:r w:rsidRPr="004D0DAA">
        <w:tab/>
        <w:t>brought from the old cell if received in a PACKET CELL CHANGE ORDER message sent in the old cell; or</w:t>
      </w:r>
    </w:p>
    <w:p w14:paraId="4D7CB904" w14:textId="77777777" w:rsidR="00711444" w:rsidRPr="004D0DAA" w:rsidRDefault="00711444" w:rsidP="00711444">
      <w:pPr>
        <w:pStyle w:val="B1"/>
      </w:pPr>
      <w:r w:rsidRPr="004D0DAA">
        <w:t>-</w:t>
      </w:r>
      <w:r w:rsidRPr="004D0DAA">
        <w:tab/>
        <w:t xml:space="preserve">received in a broadcast PSI5, SI13, PSI13 or SI2quater message in the new cell. If no parameters have been brought from the old cell, and until individual measurement parameters are received in the new cell, the mobile </w:t>
      </w:r>
      <w:r w:rsidRPr="004D0DAA">
        <w:lastRenderedPageBreak/>
        <w:t>station shall use the broadcast measurement parameters from PSI5 if a PBCCH is allocated in the cell or SI2quater if a PBCCH is not allocated in the cell or use the default parameter values.</w:t>
      </w:r>
    </w:p>
    <w:p w14:paraId="44D2B1F5" w14:textId="77777777" w:rsidR="00711444" w:rsidRPr="004D0DAA" w:rsidRDefault="00711444" w:rsidP="00711444">
      <w:r w:rsidRPr="004D0DAA">
        <w:t>The default frequency list to be applied in the new cell following a cell reselection or the successful completion of the PS handover procedure shall be the BA(GPRS) list of that cell until a new PACKET MEASUREMENT ORDER message is received. For the case of cell reselection the BA(GPRS) list could also have been modified by frequency parameters received in a PACKET</w:t>
      </w:r>
      <w:r w:rsidRPr="004D0DAA">
        <w:rPr>
          <w:rFonts w:hint="eastAsia"/>
          <w:lang w:eastAsia="ko-KR"/>
        </w:rPr>
        <w:t xml:space="preserve"> </w:t>
      </w:r>
      <w:r w:rsidRPr="004D0DAA">
        <w:t>CELL</w:t>
      </w:r>
      <w:r w:rsidRPr="004D0DAA">
        <w:rPr>
          <w:rFonts w:hint="eastAsia"/>
          <w:lang w:eastAsia="ko-KR"/>
        </w:rPr>
        <w:t xml:space="preserve"> </w:t>
      </w:r>
      <w:r w:rsidRPr="004D0DAA">
        <w:t>CHANGE</w:t>
      </w:r>
      <w:r w:rsidRPr="004D0DAA">
        <w:rPr>
          <w:rFonts w:hint="eastAsia"/>
          <w:lang w:eastAsia="ko-KR"/>
        </w:rPr>
        <w:t xml:space="preserve"> </w:t>
      </w:r>
      <w:r w:rsidRPr="004D0DAA">
        <w:t>ORDER message in the old cell.</w:t>
      </w:r>
    </w:p>
    <w:p w14:paraId="6201E63C" w14:textId="77777777" w:rsidR="00711444" w:rsidRPr="004D0DAA" w:rsidRDefault="00711444" w:rsidP="00711444">
      <w:r w:rsidRPr="004D0DAA">
        <w:t>For (NC) measurements reporting, the Mobile Station shall use PACKET ENHANCED MEASUREMENT REPORT messages instead of PACKET MEASUREMENT REPORT messages if that is indicated by the parameter REPORT_TYPE and if at least one BSIC is allocated to each frequency in the BA(GPRS) list.</w:t>
      </w:r>
    </w:p>
    <w:p w14:paraId="7DEA6AA7" w14:textId="77777777" w:rsidR="00711444" w:rsidRPr="004D0DAA" w:rsidRDefault="00711444" w:rsidP="00711444">
      <w:r w:rsidRPr="004D0DAA">
        <w:t>For a mobile station supporting UTRAN, reports on 3G cells may also be included in the reporting. For a mobile station supporting "E-UTRAN Neighbour Cell measurements and MS autonomous cell reselection to E-UTRAN", reports on E-UTRAN cells may also be included in the reporting. For report with the PACKET MEASUREMENT REPORT message, reporting is performed on three separate lists: the BA(GPRS), the 3G Neighbour Cell List (for a multi-RAT MS supporting UTRAN) and the E-UTRAN Neighbour Cell List (for a MS supporting "E-UTRAN Neighbour Cell measurements and MS autonomous cell reselection to E-UTRAN"). For report with the PACKET ENHANCED MEASUREMENT REPORT message, reporting is performed on the Neighbour Cell List (defined in sub-clause 5.6.3.3) and the E-UTRAN Neighbour Cell List (for a multi-RAT MS supporting "E-UTRAN Neighbour Cell measurements and MS autonomous cell reselection to E-UTRAN").</w:t>
      </w:r>
    </w:p>
    <w:p w14:paraId="250A8739" w14:textId="77777777" w:rsidR="00711444" w:rsidRPr="004D0DAA" w:rsidRDefault="00711444" w:rsidP="00711444">
      <w:r w:rsidRPr="004D0DAA">
        <w:t>A multi-RAT MS supporting UTRAN and/or E-UTRAN with no</w:t>
      </w:r>
      <w:r w:rsidRPr="004D0DAA">
        <w:rPr>
          <w:rFonts w:hint="eastAsia"/>
          <w:lang w:eastAsia="zh-CN"/>
        </w:rPr>
        <w:t xml:space="preserve"> </w:t>
      </w:r>
      <w:r w:rsidRPr="004D0DAA">
        <w:rPr>
          <w:lang w:eastAsia="zh-CN"/>
        </w:rPr>
        <w:t>CSG Whitelist</w:t>
      </w:r>
      <w:r w:rsidRPr="004D0DAA">
        <w:rPr>
          <w:rFonts w:hint="eastAsia"/>
          <w:lang w:eastAsia="zh-CN"/>
        </w:rPr>
        <w:t xml:space="preserve"> or an empty </w:t>
      </w:r>
      <w:r w:rsidRPr="004D0DAA">
        <w:t xml:space="preserve">CSG Whitelist shall not send any measurement reports for cells that are known to be UTRAN/E-UTRAN CSG cells. A multi-RAT MS supporting UTRAN and/or E-UTRAN which is a member of at least one Closed Subscriber Group (i.e. at least one CSG ID is included in its </w:t>
      </w:r>
      <w:r w:rsidRPr="004D0DAA">
        <w:rPr>
          <w:bCs/>
        </w:rPr>
        <w:t>CSG</w:t>
      </w:r>
      <w:r w:rsidRPr="004D0DAA">
        <w:t xml:space="preserve"> White</w:t>
      </w:r>
      <w:r w:rsidRPr="004D0DAA">
        <w:rPr>
          <w:bCs/>
        </w:rPr>
        <w:t xml:space="preserve">list) but does not </w:t>
      </w:r>
      <w:r w:rsidRPr="004D0DAA">
        <w:t>support CSG Cells Reporting shall not send any measurement reports for cells that are known to be UTRAN/E-UTRAN CSG cells other than in a PACKET CELL CHANGE NOTIFICATION message for a CSG cell which is the proposed target cell (see sub-clause 8.8.3).</w:t>
      </w:r>
    </w:p>
    <w:p w14:paraId="1FF2679B" w14:textId="77777777" w:rsidR="00711444" w:rsidRPr="004D0DAA" w:rsidRDefault="00711444" w:rsidP="00711444">
      <w:pPr>
        <w:rPr>
          <w:bCs/>
        </w:rPr>
      </w:pPr>
      <w:r w:rsidRPr="004D0DAA">
        <w:t>The reporting of CSG cells and hybrid cells is specified in sub-clause 5.6.3.9.</w:t>
      </w:r>
    </w:p>
    <w:p w14:paraId="317D6D3E" w14:textId="77777777" w:rsidR="00711444" w:rsidRPr="004D0DAA" w:rsidRDefault="00711444" w:rsidP="00711444">
      <w:r w:rsidRPr="004D0DAA">
        <w:t>A mobile station involved in an RR connection (in class A mode of operation), shall not send Network Control measurement reports to the network during that period. The mobile station shall return to the previous reporting mode when the RR connection is released.</w:t>
      </w:r>
    </w:p>
    <w:p w14:paraId="33D4A563" w14:textId="77777777" w:rsidR="00711444" w:rsidRPr="004D0DAA" w:rsidRDefault="00711444" w:rsidP="00711444">
      <w:pPr>
        <w:pStyle w:val="Heading3"/>
      </w:pPr>
      <w:bookmarkStart w:id="87" w:name="_Toc516669275"/>
      <w:r w:rsidRPr="004D0DAA">
        <w:t>5.6.2</w:t>
      </w:r>
      <w:r w:rsidRPr="004D0DAA">
        <w:tab/>
        <w:t>(void)</w:t>
      </w:r>
      <w:bookmarkEnd w:id="87"/>
    </w:p>
    <w:p w14:paraId="7FD993D6" w14:textId="77777777" w:rsidR="00711444" w:rsidRPr="004D0DAA" w:rsidRDefault="00711444" w:rsidP="00711444">
      <w:pPr>
        <w:pStyle w:val="Heading3"/>
      </w:pPr>
      <w:bookmarkStart w:id="88" w:name="_Toc516669276"/>
      <w:r w:rsidRPr="004D0DAA">
        <w:t>5.6.3</w:t>
      </w:r>
      <w:r w:rsidRPr="004D0DAA">
        <w:tab/>
        <w:t>Additional measurement and reporting parameters</w:t>
      </w:r>
      <w:bookmarkEnd w:id="88"/>
    </w:p>
    <w:p w14:paraId="590986E1" w14:textId="77777777" w:rsidR="00711444" w:rsidRPr="004D0DAA" w:rsidRDefault="00711444" w:rsidP="00711444">
      <w:r w:rsidRPr="004D0DAA">
        <w:t>Some parameters from the PACKET MEASUREMENT ORDER, PACKET CELL CHANGE ORDER, SI2quater, SI23, PSI3bis, PSI3ter, PSI3quater or PSI5 messages allow to build GPRS Measurement Parameters, GPRS 3G Measurement Parameters, GPRS E-UTRAN Measurement Parameters and neighbour cell lists which are used for Network Control (NC) measurement reporting.</w:t>
      </w:r>
    </w:p>
    <w:p w14:paraId="5D88559B" w14:textId="77777777" w:rsidR="00711444" w:rsidRPr="004D0DAA" w:rsidRDefault="00711444" w:rsidP="00711444">
      <w:pPr>
        <w:pStyle w:val="Heading4"/>
      </w:pPr>
      <w:bookmarkStart w:id="89" w:name="_Toc516669277"/>
      <w:r w:rsidRPr="004D0DAA">
        <w:t>5.6.3.1</w:t>
      </w:r>
      <w:r w:rsidRPr="004D0DAA">
        <w:tab/>
        <w:t>Deriving the 3G Neighbour Cell list from the 3G Neighbour Cell description</w:t>
      </w:r>
      <w:bookmarkEnd w:id="89"/>
    </w:p>
    <w:p w14:paraId="5248FC6A" w14:textId="77777777" w:rsidR="00711444" w:rsidRPr="004D0DAA" w:rsidRDefault="00711444" w:rsidP="00711444">
      <w:r w:rsidRPr="004D0DAA">
        <w:t xml:space="preserve">In a cell without a PBCCH allocated, the 3G Neighbour Cell list is given by one or more instances of the SI2quater message with the same 3G_BA_IND value. </w:t>
      </w:r>
      <w:r w:rsidRPr="004D0DAA">
        <w:rPr>
          <w:rFonts w:hint="eastAsia"/>
          <w:lang w:eastAsia="zh-CN"/>
        </w:rPr>
        <w:t>I</w:t>
      </w:r>
      <w:r w:rsidRPr="004D0DAA">
        <w:t xml:space="preserve">f the SI23 message is broadcast in the cell, </w:t>
      </w:r>
      <w:r w:rsidRPr="004D0DAA">
        <w:rPr>
          <w:rFonts w:hint="eastAsia"/>
          <w:lang w:eastAsia="zh-CN"/>
        </w:rPr>
        <w:t xml:space="preserve">for </w:t>
      </w:r>
      <w:r w:rsidRPr="004D0DAA">
        <w:rPr>
          <w:rFonts w:hint="eastAsia"/>
        </w:rPr>
        <w:t xml:space="preserve">a </w:t>
      </w:r>
      <w:r w:rsidRPr="004D0DAA">
        <w:t>UTRAN capable</w:t>
      </w:r>
      <w:r w:rsidRPr="004D0DAA">
        <w:rPr>
          <w:rFonts w:hint="eastAsia"/>
        </w:rPr>
        <w:t xml:space="preserve"> </w:t>
      </w:r>
      <w:r w:rsidRPr="004D0DAA">
        <w:rPr>
          <w:rFonts w:hint="eastAsia"/>
          <w:lang w:eastAsia="zh-CN"/>
        </w:rPr>
        <w:t>mobile station</w:t>
      </w:r>
      <w:r w:rsidRPr="004D0DAA">
        <w:rPr>
          <w:rFonts w:hint="eastAsia"/>
        </w:rPr>
        <w:t xml:space="preserve"> supporting network sharing</w:t>
      </w:r>
      <w:r w:rsidRPr="004D0DAA">
        <w:rPr>
          <w:rFonts w:hint="eastAsia"/>
          <w:lang w:eastAsia="zh-CN"/>
        </w:rPr>
        <w:t xml:space="preserve"> the 3G neighbour Cell list is given by one or more instances of the PACKET </w:t>
      </w:r>
      <w:r w:rsidRPr="004D0DAA">
        <w:t xml:space="preserve">MEASUREMENT </w:t>
      </w:r>
      <w:r w:rsidRPr="004D0DAA">
        <w:rPr>
          <w:rFonts w:hint="eastAsia"/>
          <w:lang w:eastAsia="zh-CN"/>
        </w:rPr>
        <w:t>ORDER</w:t>
      </w:r>
      <w:r w:rsidRPr="004D0DAA">
        <w:t xml:space="preserve"> message</w:t>
      </w:r>
      <w:r w:rsidRPr="004D0DAA">
        <w:rPr>
          <w:rFonts w:hint="eastAsia"/>
        </w:rPr>
        <w:t xml:space="preserve"> </w:t>
      </w:r>
      <w:r w:rsidRPr="004D0DAA">
        <w:rPr>
          <w:rFonts w:hint="eastAsia"/>
          <w:lang w:eastAsia="zh-CN"/>
        </w:rPr>
        <w:t xml:space="preserve">with the </w:t>
      </w:r>
      <w:r w:rsidRPr="004D0DAA">
        <w:rPr>
          <w:lang w:eastAsia="zh-CN"/>
        </w:rPr>
        <w:t>same</w:t>
      </w:r>
      <w:r w:rsidRPr="004D0DAA">
        <w:rPr>
          <w:rFonts w:hint="eastAsia"/>
          <w:lang w:eastAsia="zh-CN"/>
        </w:rPr>
        <w:t xml:space="preserve"> 3G_BA_IND value</w:t>
      </w:r>
      <w:r w:rsidRPr="004D0DAA">
        <w:t xml:space="preserve">. </w:t>
      </w:r>
    </w:p>
    <w:p w14:paraId="550857EE" w14:textId="77777777" w:rsidR="00711444" w:rsidRPr="004D0DAA" w:rsidRDefault="00711444" w:rsidP="00711444">
      <w:r w:rsidRPr="004D0DAA">
        <w:t xml:space="preserve">In a cell with a PBCCH allocated, the 3G Neighbour Cell list is given by one or more instances of the PSI3quater message with the same PSI3_CHANGE_MARK value. </w:t>
      </w:r>
    </w:p>
    <w:p w14:paraId="3C22351B" w14:textId="77777777" w:rsidR="00711444" w:rsidRPr="004D0DAA" w:rsidRDefault="00711444" w:rsidP="00711444">
      <w:pPr>
        <w:rPr>
          <w:rFonts w:hint="eastAsia"/>
          <w:lang w:eastAsia="zh-CN"/>
        </w:rPr>
      </w:pPr>
      <w:r w:rsidRPr="004D0DAA">
        <w:t xml:space="preserve">The 3G Neighbour cell list may be modified by a PACKET CELL CHANGE ORDER message (in which case the reference list is given on the new cell) or by one or more instances of the PACKET MEASUREMENT ORDER message with the same 3G_BA_IND value as in the SI2quater message or PSI3_CHANGE_MARK value as in the PSI3quater message. </w:t>
      </w:r>
      <w:r w:rsidRPr="004D0DAA">
        <w:rPr>
          <w:rFonts w:hint="eastAsia"/>
          <w:lang w:eastAsia="zh-CN"/>
        </w:rPr>
        <w:t xml:space="preserve">A UTRAN capable </w:t>
      </w:r>
      <w:r w:rsidRPr="004D0DAA">
        <w:t xml:space="preserve">mobile station supporting network sharing </w:t>
      </w:r>
      <w:r w:rsidRPr="004D0DAA">
        <w:rPr>
          <w:rFonts w:hint="eastAsia"/>
          <w:lang w:eastAsia="zh-CN"/>
        </w:rPr>
        <w:t xml:space="preserve">shall </w:t>
      </w:r>
      <w:r w:rsidRPr="004D0DAA">
        <w:t xml:space="preserve">build its 3G Neighbour Cell list from the information received in the PACKET CELL CHANGE ORDER message (in which case </w:t>
      </w:r>
      <w:r w:rsidRPr="004D0DAA">
        <w:rPr>
          <w:rFonts w:hint="eastAsia"/>
          <w:lang w:eastAsia="zh-CN"/>
        </w:rPr>
        <w:t>the 3G Neighbour Cell list is only used in the new cell if the SI23 message is broadcast in the new cell</w:t>
      </w:r>
      <w:r w:rsidRPr="004D0DAA">
        <w:t>).</w:t>
      </w:r>
    </w:p>
    <w:p w14:paraId="075C1904" w14:textId="77777777" w:rsidR="00711444" w:rsidRPr="004D0DAA" w:rsidRDefault="00711444" w:rsidP="00711444">
      <w:r w:rsidRPr="004D0DAA">
        <w:t>The 3G Neighbour Cell list may contain up to 96 3G Neighbour Cells and/or UTRAN frequencies for RSSI reporting.</w:t>
      </w:r>
    </w:p>
    <w:p w14:paraId="73385783" w14:textId="77777777" w:rsidR="00711444" w:rsidRPr="004D0DAA" w:rsidRDefault="00711444" w:rsidP="00711444">
      <w:r w:rsidRPr="004D0DAA">
        <w:lastRenderedPageBreak/>
        <w:t xml:space="preserve">Each </w:t>
      </w:r>
      <w:r w:rsidRPr="004D0DAA">
        <w:rPr>
          <w:i/>
        </w:rPr>
        <w:t>3G Neighbour Cell Description</w:t>
      </w:r>
      <w:r w:rsidRPr="004D0DAA">
        <w:t xml:space="preserve"> received is added to the 3G Neighbour Cell list, starting with the index equal to the parameter Index_Start_3G. If this parameter is not present then the value 0 shall be used.</w:t>
      </w:r>
    </w:p>
    <w:p w14:paraId="53822B1C" w14:textId="77777777" w:rsidR="00711444" w:rsidRPr="004D0DAA" w:rsidRDefault="00711444" w:rsidP="00711444">
      <w:r w:rsidRPr="004D0DAA">
        <w:t xml:space="preserve">For each </w:t>
      </w:r>
      <w:r w:rsidRPr="004D0DAA">
        <w:rPr>
          <w:i/>
        </w:rPr>
        <w:t>3G Neighbour Cell Description</w:t>
      </w:r>
      <w:r w:rsidRPr="004D0DAA">
        <w:t xml:space="preserve"> received, the cells / UTRAN frequencies are indexed in the following order:</w:t>
      </w:r>
    </w:p>
    <w:p w14:paraId="43BCA804" w14:textId="77777777" w:rsidR="00711444" w:rsidRPr="004D0DAA" w:rsidRDefault="00711444" w:rsidP="00711444">
      <w:pPr>
        <w:ind w:left="568" w:hanging="284"/>
      </w:pPr>
      <w:r w:rsidRPr="004D0DAA">
        <w:t>1:</w:t>
      </w:r>
      <w:r w:rsidRPr="004D0DAA">
        <w:tab/>
        <w:t>UTRAN FDD cells / UTRAN FDD frequencies: FDD UARFCNs are indexed in the order of occurrence in the 3G Neighbour Cell description. For each FDD UARFCN indicating UTRAN FDD cells, the cells are indexed in the order of increasing values of the decoded FDD_CELL_INFORMATION parameters.</w:t>
      </w:r>
    </w:p>
    <w:p w14:paraId="378668F0" w14:textId="77777777" w:rsidR="00711444" w:rsidRPr="004D0DAA" w:rsidRDefault="00711444" w:rsidP="00711444">
      <w:pPr>
        <w:pStyle w:val="B1"/>
      </w:pPr>
      <w:r w:rsidRPr="004D0DAA">
        <w:t>2:</w:t>
      </w:r>
      <w:r w:rsidRPr="004D0DAA">
        <w:tab/>
        <w:t>UTRAN TDD cells / UTRAN TDD frequencies: TDD UARFCNs are indexed in the order of occurrence in the 3G Neighbour Cell description. For each TDD UARFCN indicating UTRAN TDD cells, the cells are indexed in the order of increasing values of the decoded TDD_CELL_INFORMATION parameters.</w:t>
      </w:r>
    </w:p>
    <w:p w14:paraId="3A747D9A" w14:textId="77777777" w:rsidR="00711444" w:rsidRPr="004D0DAA" w:rsidRDefault="00711444" w:rsidP="00711444">
      <w:r w:rsidRPr="004D0DAA">
        <w:t>If more than one cell / UTRAN frequency with the same index in the 3G Neighbour Cell list are provided by different instances of 3G Neighbour Cell descriptions, the cell / UTRAN frequency from the message instance with the highest index shall be used. In case the same 3G Cell / UTRAN frequency occurs more than once in the resulting 3G Neighbour Cell list, each occurrence shall be assigned an index but only the cell / UTRAN frequency with the highest index in the 3G Neighbour Cell list shall be referred to in measurement reports.</w:t>
      </w:r>
    </w:p>
    <w:p w14:paraId="2203628D" w14:textId="77777777" w:rsidR="00711444" w:rsidRPr="004D0DAA" w:rsidRDefault="00711444" w:rsidP="00711444">
      <w:r w:rsidRPr="004D0DAA">
        <w:t xml:space="preserve">The </w:t>
      </w:r>
      <w:r w:rsidRPr="004D0DAA">
        <w:rPr>
          <w:i/>
        </w:rPr>
        <w:t>3G Neighbour Cell Description</w:t>
      </w:r>
      <w:r w:rsidRPr="004D0DAA">
        <w:t xml:space="preserve"> may contain information on 3G Neighbour Cells / UTRAN frequencies to be removed (</w:t>
      </w:r>
      <w:r w:rsidRPr="004D0DAA">
        <w:rPr>
          <w:i/>
        </w:rPr>
        <w:t>REMOVED_3GCELL_Description)</w:t>
      </w:r>
      <w:r w:rsidRPr="004D0DAA">
        <w:t>. The cells / UTRAN frequencies to be removed are identified by their indices in the 3G Neighbour Cell list. Removed cells / UTRAN frequencies shall keep their indices but no measurement shall be performed. If the index is higher than 95 or points to a 3G cell / UTRAN frequency that does not exist, this shall not be considered as an error.</w:t>
      </w:r>
    </w:p>
    <w:p w14:paraId="76E87A62" w14:textId="77777777" w:rsidR="00711444" w:rsidRPr="004D0DAA" w:rsidRDefault="00711444" w:rsidP="00711444">
      <w:r w:rsidRPr="004D0DAA">
        <w:t xml:space="preserve">In a cell without PBCCH allocated, the mobile station shall only combine 3G Neighbour cells / UTRAN frequencies from SI2quater (or </w:t>
      </w:r>
      <w:r w:rsidRPr="004D0DAA">
        <w:rPr>
          <w:rFonts w:hint="eastAsia"/>
          <w:lang w:eastAsia="zh-CN"/>
        </w:rPr>
        <w:t>PACKET MEASUREMENT ORDER, if the SI23 message is broadcast</w:t>
      </w:r>
      <w:r w:rsidRPr="004D0DAA">
        <w:t>) message instances indicating the same value of the 3G_BA_IND without any message instance indicating a different value of the 3G_BA_IND received in between.</w:t>
      </w:r>
    </w:p>
    <w:p w14:paraId="4FAC0686" w14:textId="77777777" w:rsidR="00711444" w:rsidRPr="004D0DAA" w:rsidRDefault="00711444" w:rsidP="00711444">
      <w:r w:rsidRPr="004D0DAA">
        <w:t>In a cell with a PBCCH allocated, the mobile station shall only combine 3G Neighbour cells / UTRAN frequencies from PSI3quater messages indicating the same PSI3_CHANGE_MARK value.</w:t>
      </w:r>
    </w:p>
    <w:p w14:paraId="15832583" w14:textId="77777777" w:rsidR="00711444" w:rsidRPr="004D0DAA" w:rsidRDefault="00711444" w:rsidP="00711444">
      <w:r w:rsidRPr="004D0DAA">
        <w:t>If a 3G Neighbour Cell Description includes non-supported frequencies or Radio Access Technologies or if the same cell / UTRAN frequency occurs more than once, this shall not be considered as an error; indices in the 3G neighbour Cell list shall be incremented accordingly. If a cell / UTRAN frequency is provided for an index higher than 95 in the 3G Neighbour Cell list, this shall not be considered as an error; the cell / UTRAN frequency shall not be included in the 3G Neighbour Cell list.</w:t>
      </w:r>
    </w:p>
    <w:p w14:paraId="6342DC78" w14:textId="77777777" w:rsidR="00711444" w:rsidRPr="004D0DAA" w:rsidRDefault="00711444" w:rsidP="00711444">
      <w:pPr>
        <w:rPr>
          <w:rFonts w:hint="eastAsia"/>
          <w:lang w:eastAsia="zh-CN"/>
        </w:rPr>
      </w:pPr>
      <w:r w:rsidRPr="004D0DAA">
        <w:t xml:space="preserve">For a mobile station indicating support for UTRA Multiple Frequency Band Indicators (MFBI) in the MS Radio Access Capabilities IE (see 3GPP TS 24.008), the network may send different FDD ARFCN values corresponding to different frequency bands but designating the same physical UTRAN frequency in the PACKET CELL CHANGE ORDER message or in the PACKET MEASUREMENT ORDER message. </w:t>
      </w:r>
      <w:r w:rsidRPr="004D0DAA">
        <w:rPr>
          <w:lang w:eastAsia="zh-CN"/>
        </w:rPr>
        <w:t>The</w:t>
      </w:r>
      <w:r w:rsidRPr="004D0DAA">
        <w:rPr>
          <w:rFonts w:hint="eastAsia"/>
          <w:lang w:eastAsia="zh-CN"/>
        </w:rPr>
        <w:t xml:space="preserve"> network may </w:t>
      </w:r>
      <w:r w:rsidRPr="004D0DAA">
        <w:rPr>
          <w:lang w:eastAsia="zh-CN"/>
        </w:rPr>
        <w:t xml:space="preserve">also </w:t>
      </w:r>
      <w:r w:rsidRPr="004D0DAA">
        <w:rPr>
          <w:rFonts w:hint="eastAsia"/>
          <w:lang w:eastAsia="zh-CN"/>
        </w:rPr>
        <w:t xml:space="preserve">broadcast different FDD </w:t>
      </w:r>
      <w:r w:rsidRPr="004D0DAA">
        <w:t>ARFCN values corresponding to different frequency bands but designating the same physical UTRAN frequency in the SI</w:t>
      </w:r>
      <w:r w:rsidRPr="004D0DAA">
        <w:rPr>
          <w:lang w:eastAsia="zh-CN"/>
        </w:rPr>
        <w:t xml:space="preserve">2quater </w:t>
      </w:r>
      <w:r w:rsidRPr="004D0DAA">
        <w:t xml:space="preserve">message; in such a case, a mobile station supporting UTRA Multiple Frequency Band Indicators (MFBI) shall consider a FDD ARFCN value belonging to frequency band it does not support as a non-supported frequency. When a PACKET CELL CHANGE ORDER message or a PACKET MEASUREMENT ORDER message </w:t>
      </w:r>
      <w:r w:rsidRPr="004D0DAA">
        <w:rPr>
          <w:rFonts w:hint="eastAsia"/>
          <w:lang w:eastAsia="zh-CN"/>
        </w:rPr>
        <w:t xml:space="preserve">or </w:t>
      </w:r>
      <w:r w:rsidRPr="004D0DAA">
        <w:rPr>
          <w:lang w:eastAsia="zh-CN"/>
        </w:rPr>
        <w:t xml:space="preserve">a </w:t>
      </w:r>
      <w:r w:rsidRPr="004D0DAA">
        <w:t>SI</w:t>
      </w:r>
      <w:r w:rsidRPr="004D0DAA">
        <w:rPr>
          <w:lang w:eastAsia="zh-CN"/>
        </w:rPr>
        <w:t xml:space="preserve">2quater </w:t>
      </w:r>
      <w:r w:rsidRPr="004D0DAA">
        <w:rPr>
          <w:rFonts w:hint="eastAsia"/>
          <w:lang w:eastAsia="zh-CN"/>
        </w:rPr>
        <w:t xml:space="preserve">message </w:t>
      </w:r>
      <w:r w:rsidRPr="004D0DAA">
        <w:t>is received by the MFBI capable MS, each occurrence of a FDD ARFCN corresponding to different frequency bands but designating the same physical UTRAN frequency</w:t>
      </w:r>
      <w:r w:rsidRPr="004D0DAA" w:rsidDel="008D1495">
        <w:t xml:space="preserve"> </w:t>
      </w:r>
      <w:r w:rsidRPr="004D0DAA">
        <w:t xml:space="preserve">shall be assigned an index in the </w:t>
      </w:r>
      <w:r w:rsidRPr="004D0DAA">
        <w:rPr>
          <w:lang w:eastAsia="zh-CN"/>
        </w:rPr>
        <w:t>3G</w:t>
      </w:r>
      <w:r w:rsidRPr="004D0DAA">
        <w:t xml:space="preserve"> Neighbour Cell list. However, only the highest index in the list that corresponds to a supported frequency band shall be referred to in measurement reports.</w:t>
      </w:r>
    </w:p>
    <w:p w14:paraId="1710C52F" w14:textId="77777777" w:rsidR="00711444" w:rsidRPr="004D0DAA" w:rsidRDefault="00711444" w:rsidP="00711444">
      <w:r w:rsidRPr="004D0DAA">
        <w:t>The MS behaviour is not specified if the number of 3G frequencies or cells exceeds the MS monitoring capabilities as defined in 3GPP TS 45.008.</w:t>
      </w:r>
    </w:p>
    <w:p w14:paraId="79694A87" w14:textId="77777777" w:rsidR="00711444" w:rsidRPr="004D0DAA" w:rsidRDefault="00711444" w:rsidP="00711444">
      <w:pPr>
        <w:pStyle w:val="Heading4"/>
      </w:pPr>
      <w:bookmarkStart w:id="90" w:name="_Toc516669278"/>
      <w:r w:rsidRPr="004D0DAA">
        <w:t>5.6.3.1a</w:t>
      </w:r>
      <w:r w:rsidRPr="004D0DAA">
        <w:tab/>
        <w:t>Deriving the E-UTRAN Neighbour Cell list from the Repeated E-UTRAN Neighbour Cell information</w:t>
      </w:r>
      <w:bookmarkEnd w:id="90"/>
    </w:p>
    <w:p w14:paraId="575D0E8F" w14:textId="77777777" w:rsidR="00711444" w:rsidRPr="004D0DAA" w:rsidRDefault="00711444" w:rsidP="00711444">
      <w:pPr>
        <w:rPr>
          <w:lang w:eastAsia="en-GB"/>
        </w:rPr>
      </w:pPr>
      <w:r w:rsidRPr="004D0DAA">
        <w:rPr>
          <w:lang w:eastAsia="en-GB"/>
        </w:rPr>
        <w:t>The E-UTRAN Neighbour Cell list is given by one or more instances of the SI2quater message with the same 3G_BA_IND value, or alternatively, if the SI23 message is broadcast in the cell and for a mobile station supporting network sharing, by one or more instances of the SI23 message with the same SI 23_BA_IND value, see 3GPP TS 44.018.</w:t>
      </w:r>
    </w:p>
    <w:p w14:paraId="280464FC" w14:textId="77777777" w:rsidR="00711444" w:rsidRPr="004D0DAA" w:rsidRDefault="00711444" w:rsidP="00711444">
      <w:pPr>
        <w:rPr>
          <w:lang w:eastAsia="zh-CN"/>
        </w:rPr>
      </w:pPr>
      <w:r w:rsidRPr="004D0DAA">
        <w:rPr>
          <w:rFonts w:hint="eastAsia"/>
          <w:lang w:eastAsia="zh-CN"/>
        </w:rPr>
        <w:lastRenderedPageBreak/>
        <w:t xml:space="preserve">If the mobile station receives </w:t>
      </w:r>
      <w:r w:rsidRPr="004D0DAA">
        <w:rPr>
          <w:lang w:eastAsia="zh-CN"/>
        </w:rPr>
        <w:t>a full set of instances of the</w:t>
      </w:r>
      <w:r w:rsidRPr="004D0DAA">
        <w:rPr>
          <w:rFonts w:hint="eastAsia"/>
          <w:lang w:eastAsia="zh-CN"/>
        </w:rPr>
        <w:t xml:space="preserve"> PACKET MEASUREMENT ORDER message </w:t>
      </w:r>
      <w:r w:rsidRPr="004D0DAA">
        <w:rPr>
          <w:lang w:eastAsia="en-GB"/>
        </w:rPr>
        <w:t xml:space="preserve">(see sub-clause 11.2.9b) </w:t>
      </w:r>
      <w:r w:rsidRPr="004D0DAA">
        <w:rPr>
          <w:rFonts w:hint="eastAsia"/>
          <w:lang w:eastAsia="zh-CN"/>
        </w:rPr>
        <w:t>with the same 3G_BA_IND</w:t>
      </w:r>
      <w:r w:rsidRPr="004D0DAA">
        <w:rPr>
          <w:lang w:eastAsia="en-GB"/>
        </w:rPr>
        <w:t xml:space="preserve"> value as in the SI2quater message</w:t>
      </w:r>
      <w:r w:rsidRPr="004D0DAA">
        <w:rPr>
          <w:rFonts w:hint="eastAsia"/>
          <w:lang w:eastAsia="zh-CN"/>
        </w:rPr>
        <w:t>,</w:t>
      </w:r>
      <w:r w:rsidRPr="004D0DAA">
        <w:rPr>
          <w:lang w:eastAsia="zh-CN"/>
        </w:rPr>
        <w:t xml:space="preserve"> each </w:t>
      </w:r>
      <w:r w:rsidRPr="004D0DAA">
        <w:rPr>
          <w:rFonts w:hint="eastAsia"/>
          <w:i/>
          <w:lang w:eastAsia="zh-CN"/>
        </w:rPr>
        <w:t>E-UTRAN P</w:t>
      </w:r>
      <w:r w:rsidRPr="004D0DAA">
        <w:rPr>
          <w:i/>
          <w:lang w:eastAsia="zh-CN"/>
        </w:rPr>
        <w:t>arameter</w:t>
      </w:r>
      <w:r w:rsidRPr="004D0DAA">
        <w:rPr>
          <w:rFonts w:hint="eastAsia"/>
          <w:i/>
          <w:lang w:eastAsia="zh-CN"/>
        </w:rPr>
        <w:t>s</w:t>
      </w:r>
      <w:r w:rsidRPr="004D0DAA">
        <w:rPr>
          <w:i/>
          <w:lang w:eastAsia="zh-CN"/>
        </w:rPr>
        <w:t xml:space="preserve"> Description</w:t>
      </w:r>
      <w:r w:rsidRPr="004D0DAA">
        <w:rPr>
          <w:rFonts w:hint="eastAsia"/>
          <w:i/>
          <w:lang w:eastAsia="zh-CN"/>
        </w:rPr>
        <w:t xml:space="preserve"> </w:t>
      </w:r>
      <w:r w:rsidRPr="004D0DAA">
        <w:rPr>
          <w:rFonts w:hint="eastAsia"/>
          <w:lang w:eastAsia="zh-CN"/>
        </w:rPr>
        <w:t>IE</w:t>
      </w:r>
      <w:r w:rsidRPr="004D0DAA">
        <w:rPr>
          <w:lang w:eastAsia="zh-CN"/>
        </w:rPr>
        <w:t xml:space="preserve"> </w:t>
      </w:r>
      <w:r w:rsidRPr="004D0DAA">
        <w:rPr>
          <w:rFonts w:hint="eastAsia"/>
          <w:lang w:eastAsia="zh-CN"/>
        </w:rPr>
        <w:t xml:space="preserve">received </w:t>
      </w:r>
      <w:r w:rsidRPr="004D0DAA">
        <w:rPr>
          <w:lang w:eastAsia="zh-CN"/>
        </w:rPr>
        <w:t>there</w:t>
      </w:r>
      <w:r w:rsidRPr="004D0DAA">
        <w:rPr>
          <w:rFonts w:hint="eastAsia"/>
          <w:lang w:eastAsia="zh-CN"/>
        </w:rPr>
        <w:t>in</w:t>
      </w:r>
      <w:r w:rsidRPr="004D0DAA">
        <w:rPr>
          <w:lang w:eastAsia="zh-CN"/>
        </w:rPr>
        <w:t xml:space="preserve"> (alternatively, for a mobile station supporting extended EARFCNs, each</w:t>
      </w:r>
      <w:r w:rsidRPr="004D0DAA">
        <w:rPr>
          <w:rFonts w:hint="eastAsia"/>
          <w:i/>
          <w:lang w:eastAsia="zh-CN"/>
        </w:rPr>
        <w:t xml:space="preserve"> E-UTRAN </w:t>
      </w:r>
      <w:r w:rsidRPr="004D0DAA">
        <w:rPr>
          <w:i/>
          <w:lang w:eastAsia="zh-CN"/>
        </w:rPr>
        <w:t>NC with extended EARFCNs</w:t>
      </w:r>
      <w:r w:rsidRPr="004D0DAA">
        <w:rPr>
          <w:rFonts w:hint="eastAsia"/>
          <w:i/>
          <w:lang w:eastAsia="zh-CN"/>
        </w:rPr>
        <w:t xml:space="preserve"> </w:t>
      </w:r>
      <w:r w:rsidRPr="004D0DAA">
        <w:rPr>
          <w:rFonts w:hint="eastAsia"/>
          <w:lang w:eastAsia="zh-CN"/>
        </w:rPr>
        <w:t>IE</w:t>
      </w:r>
      <w:r w:rsidRPr="004D0DAA">
        <w:rPr>
          <w:lang w:eastAsia="zh-CN"/>
        </w:rPr>
        <w:t xml:space="preserve"> </w:t>
      </w:r>
      <w:r w:rsidRPr="004D0DAA">
        <w:rPr>
          <w:rFonts w:hint="eastAsia"/>
          <w:lang w:eastAsia="zh-CN"/>
        </w:rPr>
        <w:t>received</w:t>
      </w:r>
      <w:r w:rsidRPr="004D0DAA">
        <w:rPr>
          <w:lang w:eastAsia="zh-CN"/>
        </w:rPr>
        <w:t xml:space="preserve"> therein)</w:t>
      </w:r>
      <w:r w:rsidRPr="004D0DAA">
        <w:rPr>
          <w:rFonts w:hint="eastAsia"/>
          <w:lang w:eastAsia="zh-CN"/>
        </w:rPr>
        <w:t xml:space="preserve"> shall</w:t>
      </w:r>
      <w:r w:rsidRPr="004D0DAA">
        <w:rPr>
          <w:lang w:eastAsia="zh-CN"/>
        </w:rPr>
        <w:t xml:space="preserve"> </w:t>
      </w:r>
      <w:r w:rsidRPr="004D0DAA">
        <w:rPr>
          <w:rFonts w:hint="eastAsia"/>
          <w:lang w:eastAsia="zh-CN"/>
        </w:rPr>
        <w:t>be used to modify the E-UTRAN Neighbour Cell list received from SI2quater.</w:t>
      </w:r>
      <w:r w:rsidRPr="004D0DAA">
        <w:rPr>
          <w:lang w:eastAsia="en-GB"/>
        </w:rPr>
        <w:t xml:space="preserve"> When a mobile station supporting network sharing builds its E-UTRAN Neighbour Cell list from the information received in the SI23 message, this list shall only be modified if the mobile station receives a full set of instances of the PACKET MEASUREMENT ORDER message with the same 3G_BA_IND value as the SI 23_BA_IND value in the SI23 message, in which case </w:t>
      </w:r>
      <w:r w:rsidRPr="004D0DAA">
        <w:rPr>
          <w:lang w:eastAsia="zh-CN"/>
        </w:rPr>
        <w:t xml:space="preserve">each </w:t>
      </w:r>
      <w:r w:rsidRPr="004D0DAA">
        <w:rPr>
          <w:rFonts w:hint="eastAsia"/>
          <w:i/>
          <w:lang w:eastAsia="zh-CN"/>
        </w:rPr>
        <w:t>E-UTRAN P</w:t>
      </w:r>
      <w:r w:rsidRPr="004D0DAA">
        <w:rPr>
          <w:i/>
          <w:lang w:eastAsia="zh-CN"/>
        </w:rPr>
        <w:t>arameter</w:t>
      </w:r>
      <w:r w:rsidRPr="004D0DAA">
        <w:rPr>
          <w:rFonts w:hint="eastAsia"/>
          <w:i/>
          <w:lang w:eastAsia="zh-CN"/>
        </w:rPr>
        <w:t>s</w:t>
      </w:r>
      <w:r w:rsidRPr="004D0DAA">
        <w:rPr>
          <w:i/>
          <w:lang w:eastAsia="zh-CN"/>
        </w:rPr>
        <w:t xml:space="preserve"> Description</w:t>
      </w:r>
      <w:r w:rsidRPr="004D0DAA">
        <w:rPr>
          <w:rFonts w:hint="eastAsia"/>
          <w:i/>
          <w:lang w:eastAsia="zh-CN"/>
        </w:rPr>
        <w:t xml:space="preserve"> </w:t>
      </w:r>
      <w:r w:rsidRPr="004D0DAA">
        <w:rPr>
          <w:rFonts w:hint="eastAsia"/>
          <w:lang w:eastAsia="zh-CN"/>
        </w:rPr>
        <w:t>IE</w:t>
      </w:r>
      <w:r w:rsidRPr="004D0DAA">
        <w:rPr>
          <w:lang w:eastAsia="zh-CN"/>
        </w:rPr>
        <w:t xml:space="preserve"> (</w:t>
      </w:r>
      <w:r w:rsidRPr="004D0DAA">
        <w:t>alternatively, each</w:t>
      </w:r>
      <w:r w:rsidRPr="004D0DAA">
        <w:rPr>
          <w:rFonts w:hint="eastAsia"/>
          <w:i/>
          <w:lang w:eastAsia="zh-CN"/>
        </w:rPr>
        <w:t xml:space="preserve"> E-UTRAN </w:t>
      </w:r>
      <w:r w:rsidRPr="004D0DAA">
        <w:rPr>
          <w:i/>
          <w:lang w:eastAsia="zh-CN"/>
        </w:rPr>
        <w:t>NC with extended EARFCNs</w:t>
      </w:r>
      <w:r w:rsidRPr="004D0DAA">
        <w:rPr>
          <w:rFonts w:hint="eastAsia"/>
          <w:i/>
          <w:lang w:eastAsia="zh-CN"/>
        </w:rPr>
        <w:t xml:space="preserve"> </w:t>
      </w:r>
      <w:r w:rsidRPr="004D0DAA">
        <w:rPr>
          <w:rFonts w:hint="eastAsia"/>
          <w:lang w:eastAsia="zh-CN"/>
        </w:rPr>
        <w:t>IE</w:t>
      </w:r>
      <w:r w:rsidRPr="004D0DAA">
        <w:rPr>
          <w:lang w:eastAsia="zh-CN"/>
        </w:rPr>
        <w:t xml:space="preserve">) </w:t>
      </w:r>
      <w:r w:rsidRPr="004D0DAA">
        <w:rPr>
          <w:rFonts w:hint="eastAsia"/>
          <w:lang w:eastAsia="zh-CN"/>
        </w:rPr>
        <w:t xml:space="preserve">received </w:t>
      </w:r>
      <w:r w:rsidRPr="004D0DAA">
        <w:rPr>
          <w:lang w:eastAsia="zh-CN"/>
        </w:rPr>
        <w:t>there</w:t>
      </w:r>
      <w:r w:rsidRPr="004D0DAA">
        <w:rPr>
          <w:rFonts w:hint="eastAsia"/>
          <w:lang w:eastAsia="zh-CN"/>
        </w:rPr>
        <w:t>in shall</w:t>
      </w:r>
      <w:r w:rsidRPr="004D0DAA">
        <w:rPr>
          <w:lang w:eastAsia="zh-CN"/>
        </w:rPr>
        <w:t xml:space="preserve"> </w:t>
      </w:r>
      <w:r w:rsidRPr="004D0DAA">
        <w:rPr>
          <w:rFonts w:hint="eastAsia"/>
          <w:lang w:eastAsia="zh-CN"/>
        </w:rPr>
        <w:t>be used to modify the E-UTRAN Neighbour Cell list</w:t>
      </w:r>
      <w:r w:rsidRPr="004D0DAA">
        <w:rPr>
          <w:lang w:eastAsia="zh-CN"/>
        </w:rPr>
        <w:t xml:space="preserve"> received from SI23.</w:t>
      </w:r>
    </w:p>
    <w:p w14:paraId="4BA2D3A4" w14:textId="77777777" w:rsidR="00711444" w:rsidRPr="004D0DAA" w:rsidRDefault="00711444" w:rsidP="00711444">
      <w:pPr>
        <w:rPr>
          <w:lang w:eastAsia="en-GB"/>
        </w:rPr>
      </w:pPr>
      <w:r w:rsidRPr="004D0DAA">
        <w:rPr>
          <w:lang w:eastAsia="en-GB"/>
        </w:rPr>
        <w:t xml:space="preserve">If the mobile station supporting extended EARFCNs receives a PACKET MEASUREMENT ORDER message with both </w:t>
      </w:r>
      <w:r w:rsidRPr="004D0DAA">
        <w:rPr>
          <w:i/>
          <w:lang w:eastAsia="en-GB"/>
        </w:rPr>
        <w:t xml:space="preserve">Repeated E-UTRAN Neighbour Cell </w:t>
      </w:r>
      <w:r w:rsidRPr="004D0DAA">
        <w:rPr>
          <w:lang w:eastAsia="en-GB"/>
        </w:rPr>
        <w:t xml:space="preserve">IE and </w:t>
      </w:r>
      <w:r w:rsidRPr="004D0DAA">
        <w:rPr>
          <w:i/>
          <w:lang w:eastAsia="en-GB"/>
        </w:rPr>
        <w:t>E-UTRAN NC with extended EARFCNs</w:t>
      </w:r>
      <w:r w:rsidRPr="004D0DAA">
        <w:rPr>
          <w:lang w:eastAsia="en-GB"/>
        </w:rPr>
        <w:t xml:space="preserve"> IE included therein, it shall ignore the message.</w:t>
      </w:r>
    </w:p>
    <w:p w14:paraId="409E07FB" w14:textId="77777777" w:rsidR="00711444" w:rsidRPr="004D0DAA" w:rsidRDefault="00711444" w:rsidP="00711444">
      <w:pPr>
        <w:rPr>
          <w:lang w:eastAsia="en-GB"/>
        </w:rPr>
      </w:pPr>
      <w:r w:rsidRPr="004D0DAA">
        <w:rPr>
          <w:lang w:eastAsia="en-GB"/>
        </w:rPr>
        <w:t xml:space="preserve">The E-UTRAN Neighbour Cell list may contain up to 8 E-UTRAN frequencies. Each frequency described by a </w:t>
      </w:r>
      <w:r w:rsidRPr="004D0DAA">
        <w:rPr>
          <w:i/>
          <w:lang w:eastAsia="en-GB"/>
        </w:rPr>
        <w:t xml:space="preserve">Repeated E-UTRAN Neighbour Cell </w:t>
      </w:r>
      <w:r w:rsidRPr="004D0DAA">
        <w:rPr>
          <w:lang w:eastAsia="en-GB"/>
        </w:rPr>
        <w:t>IE is added to the E-UTRAN Neighbour Cell list in the order in which they appear in the message. Different instances of the Repeated E-UTRAN Neighbour Cells IE shall be evaluated in ascending order of the PMO_INDEX of the PACKET MEASUREMENT ORDER message that they are received in.</w:t>
      </w:r>
    </w:p>
    <w:p w14:paraId="09A4F404" w14:textId="77777777" w:rsidR="00711444" w:rsidRPr="004D0DAA" w:rsidRDefault="00711444" w:rsidP="00711444">
      <w:pPr>
        <w:rPr>
          <w:rFonts w:hint="eastAsia"/>
          <w:lang w:eastAsia="zh-CN"/>
        </w:rPr>
      </w:pPr>
      <w:r w:rsidRPr="004D0DAA">
        <w:rPr>
          <w:lang w:eastAsia="en-GB"/>
        </w:rPr>
        <w:t>In case the same</w:t>
      </w:r>
      <w:r w:rsidRPr="004D0DAA">
        <w:rPr>
          <w:rFonts w:hint="eastAsia"/>
          <w:lang w:eastAsia="zh-CN"/>
        </w:rPr>
        <w:t xml:space="preserve"> E-</w:t>
      </w:r>
      <w:r w:rsidRPr="004D0DAA">
        <w:rPr>
          <w:lang w:eastAsia="en-GB"/>
        </w:rPr>
        <w:t xml:space="preserve">UTRAN frequency occurs more than once in the resulting </w:t>
      </w:r>
      <w:r w:rsidRPr="004D0DAA">
        <w:rPr>
          <w:rFonts w:hint="eastAsia"/>
          <w:lang w:eastAsia="zh-CN"/>
        </w:rPr>
        <w:t>E-UTRAN</w:t>
      </w:r>
      <w:r w:rsidRPr="004D0DAA">
        <w:rPr>
          <w:lang w:eastAsia="en-GB"/>
        </w:rPr>
        <w:t xml:space="preserve"> Neighbour Cell list, each occurrence shall be assigned an index but only the </w:t>
      </w:r>
      <w:r w:rsidRPr="004D0DAA">
        <w:rPr>
          <w:rFonts w:hint="eastAsia"/>
          <w:lang w:eastAsia="zh-CN"/>
        </w:rPr>
        <w:t>E-</w:t>
      </w:r>
      <w:r w:rsidRPr="004D0DAA">
        <w:rPr>
          <w:lang w:eastAsia="en-GB"/>
        </w:rPr>
        <w:t xml:space="preserve">UTRAN frequency with the highest index in the </w:t>
      </w:r>
      <w:r w:rsidRPr="004D0DAA">
        <w:rPr>
          <w:rFonts w:hint="eastAsia"/>
          <w:lang w:eastAsia="zh-CN"/>
        </w:rPr>
        <w:t>E-</w:t>
      </w:r>
      <w:r w:rsidRPr="004D0DAA">
        <w:rPr>
          <w:lang w:eastAsia="en-GB"/>
        </w:rPr>
        <w:t xml:space="preserve">UTRAN Neighbour Cell list shall be referred to in measurement reports. </w:t>
      </w:r>
    </w:p>
    <w:p w14:paraId="1831EA0A" w14:textId="77777777" w:rsidR="00711444" w:rsidRPr="004D0DAA" w:rsidRDefault="00711444" w:rsidP="00711444">
      <w:pPr>
        <w:rPr>
          <w:rFonts w:hint="eastAsia"/>
          <w:lang w:eastAsia="zh-CN"/>
        </w:rPr>
      </w:pPr>
      <w:r w:rsidRPr="004D0DAA">
        <w:t xml:space="preserve">For a mobile station indicating support for E-UTRA Multiple Frequency Band Indicators (MFBI) in the MS Radio Access Capabilities IE (see 3GPP TS 24.008), the network may send different EARFCN values corresponding to different frequency bands but designating the same physical E-UTRAN frequency in the PACKET MEASUREMENT ORDER message. </w:t>
      </w:r>
      <w:r w:rsidRPr="004D0DAA">
        <w:rPr>
          <w:lang w:eastAsia="zh-CN"/>
        </w:rPr>
        <w:t>The</w:t>
      </w:r>
      <w:r w:rsidRPr="004D0DAA">
        <w:rPr>
          <w:rFonts w:hint="eastAsia"/>
          <w:lang w:eastAsia="zh-CN"/>
        </w:rPr>
        <w:t xml:space="preserve"> network may </w:t>
      </w:r>
      <w:r w:rsidRPr="004D0DAA">
        <w:rPr>
          <w:lang w:eastAsia="zh-CN"/>
        </w:rPr>
        <w:t xml:space="preserve">also </w:t>
      </w:r>
      <w:r w:rsidRPr="004D0DAA">
        <w:rPr>
          <w:rFonts w:hint="eastAsia"/>
          <w:lang w:eastAsia="zh-CN"/>
        </w:rPr>
        <w:t>broadcast different E</w:t>
      </w:r>
      <w:r w:rsidRPr="004D0DAA">
        <w:t xml:space="preserve">ARFCN values corresponding to different frequency bands but designating the same physical </w:t>
      </w:r>
      <w:r w:rsidRPr="004D0DAA">
        <w:rPr>
          <w:rFonts w:hint="eastAsia"/>
          <w:lang w:eastAsia="zh-CN"/>
        </w:rPr>
        <w:t>E-</w:t>
      </w:r>
      <w:r w:rsidRPr="004D0DAA">
        <w:t>UTRAN frequency in the SI</w:t>
      </w:r>
      <w:r w:rsidRPr="004D0DAA">
        <w:rPr>
          <w:lang w:eastAsia="zh-CN"/>
        </w:rPr>
        <w:t>2quater</w:t>
      </w:r>
      <w:r w:rsidRPr="004D0DAA">
        <w:t xml:space="preserve"> message</w:t>
      </w:r>
      <w:r w:rsidRPr="004D0DAA">
        <w:rPr>
          <w:rFonts w:hint="eastAsia"/>
          <w:lang w:eastAsia="zh-CN"/>
        </w:rPr>
        <w:t xml:space="preserve"> or SI23 message</w:t>
      </w:r>
      <w:r w:rsidRPr="004D0DAA">
        <w:t>; in such a case, a mobile station supporting E-UTRA Multiple Frequency Band Indicators (MFBI) shall consider an EARFCN value belonging to frequency band it does not support as a non-supported frequency.</w:t>
      </w:r>
      <w:r w:rsidRPr="004D0DAA">
        <w:rPr>
          <w:rFonts w:hint="eastAsia"/>
          <w:lang w:eastAsia="zh-CN"/>
        </w:rPr>
        <w:t xml:space="preserve"> </w:t>
      </w:r>
      <w:r w:rsidRPr="004D0DAA">
        <w:t>When a PACKET MEASUREMENT ORDER message</w:t>
      </w:r>
      <w:r w:rsidRPr="004D0DAA">
        <w:rPr>
          <w:rFonts w:hint="eastAsia"/>
          <w:lang w:eastAsia="zh-CN"/>
        </w:rPr>
        <w:t xml:space="preserve"> or </w:t>
      </w:r>
      <w:r w:rsidRPr="004D0DAA">
        <w:rPr>
          <w:lang w:eastAsia="zh-CN"/>
        </w:rPr>
        <w:t xml:space="preserve">a </w:t>
      </w:r>
      <w:r w:rsidRPr="004D0DAA">
        <w:rPr>
          <w:rFonts w:hint="eastAsia"/>
          <w:lang w:eastAsia="zh-CN"/>
        </w:rPr>
        <w:t xml:space="preserve">SI2quater message or </w:t>
      </w:r>
      <w:r w:rsidRPr="004D0DAA">
        <w:rPr>
          <w:lang w:eastAsia="zh-CN"/>
        </w:rPr>
        <w:t xml:space="preserve">a </w:t>
      </w:r>
      <w:r w:rsidRPr="004D0DAA">
        <w:rPr>
          <w:rFonts w:hint="eastAsia"/>
          <w:lang w:eastAsia="zh-CN"/>
        </w:rPr>
        <w:t>SI23 message</w:t>
      </w:r>
      <w:r w:rsidRPr="004D0DAA">
        <w:t xml:space="preserve"> is received by the MFBI capable MS, each occurrence of an EARFCN corresponding to different frequency bands</w:t>
      </w:r>
      <w:r w:rsidRPr="004D0DAA" w:rsidDel="00193D75">
        <w:t xml:space="preserve"> </w:t>
      </w:r>
      <w:r w:rsidRPr="004D0DAA">
        <w:t xml:space="preserve">but designating the same physical E-UTRAN frequency shall be assigned an index in the </w:t>
      </w:r>
      <w:r w:rsidRPr="004D0DAA">
        <w:rPr>
          <w:rFonts w:hint="eastAsia"/>
          <w:lang w:eastAsia="zh-CN"/>
        </w:rPr>
        <w:t>E-</w:t>
      </w:r>
      <w:r w:rsidRPr="004D0DAA">
        <w:t xml:space="preserve">UTRAN Neighbour Cell list. </w:t>
      </w:r>
      <w:r w:rsidRPr="004D0DAA">
        <w:rPr>
          <w:lang w:eastAsia="en-GB"/>
        </w:rPr>
        <w:t>However, only the highest index in the list that corresponds to a supported frequency band shall be referred to in measurement reports.</w:t>
      </w:r>
    </w:p>
    <w:p w14:paraId="4DEC3808" w14:textId="77777777" w:rsidR="00711444" w:rsidRPr="004D0DAA" w:rsidRDefault="00711444" w:rsidP="00711444">
      <w:pPr>
        <w:rPr>
          <w:lang w:eastAsia="en-GB"/>
        </w:rPr>
      </w:pPr>
      <w:r w:rsidRPr="004D0DAA">
        <w:rPr>
          <w:lang w:eastAsia="en-GB"/>
        </w:rPr>
        <w:t>The mobile station behaviour is not specified if the number of E-UTRAN frequencies exceeds the MS monitoring capabilities as defined in 3GPP TS 45.008.</w:t>
      </w:r>
    </w:p>
    <w:p w14:paraId="7A2E5FCC" w14:textId="77777777" w:rsidR="00711444" w:rsidRPr="004D0DAA" w:rsidRDefault="00711444" w:rsidP="00711444">
      <w:pPr>
        <w:pStyle w:val="NO"/>
        <w:rPr>
          <w:noProof/>
          <w:sz w:val="40"/>
          <w:szCs w:val="40"/>
          <w:lang w:eastAsia="ja-JP"/>
        </w:rPr>
      </w:pPr>
      <w:r w:rsidRPr="004D0DAA">
        <w:rPr>
          <w:lang w:eastAsia="en-GB"/>
        </w:rPr>
        <w:t>NOTE 1:</w:t>
      </w:r>
      <w:r w:rsidRPr="004D0DAA">
        <w:rPr>
          <w:lang w:eastAsia="en-GB"/>
        </w:rPr>
        <w:tab/>
        <w:t>Multiple instances of a PACKET MEASUREMENT ORDER message may be received as described in sub-clause 11.2.9b.</w:t>
      </w:r>
    </w:p>
    <w:p w14:paraId="601E0D98" w14:textId="77777777" w:rsidR="00711444" w:rsidRPr="004D0DAA" w:rsidRDefault="00711444" w:rsidP="00711444">
      <w:pPr>
        <w:pStyle w:val="Heading4"/>
      </w:pPr>
      <w:bookmarkStart w:id="91" w:name="_Toc516669279"/>
      <w:r w:rsidRPr="004D0DAA">
        <w:t>5.6.3.2</w:t>
      </w:r>
      <w:r w:rsidRPr="004D0DAA">
        <w:tab/>
        <w:t>Deriving BA(GPRS) and the GSM Neighbour Cell list</w:t>
      </w:r>
      <w:bookmarkEnd w:id="91"/>
    </w:p>
    <w:p w14:paraId="7BFC5D0D" w14:textId="77777777" w:rsidR="00711444" w:rsidRPr="004D0DAA" w:rsidRDefault="00711444" w:rsidP="00711444">
      <w:r w:rsidRPr="004D0DAA">
        <w:t>In a cell without a PBCCH allocated, BA(GPRS) is equal to the BA (list) from the SI2/SI2bis/SI2ter messages. BSICs from the GPRS BSIC Description from one or more instances of the SI2quater message (if broadcast) shall be associated with BA(GPRS) with the same BA_IND value to create the GSM Neighbour Cell list, as described in 3GPP TS 44.018 (sub-clause 3.4.1.2.1.2). When the mobile station has acquired the GSM Neighbour Cell list, the mobile station shall include in the measurement reports only cells present in that list. If GPRS BSIC Description is not broadcast, the GSM Neighbour Cell list is equal to BA(GPRS) (only a frequency list).</w:t>
      </w:r>
    </w:p>
    <w:p w14:paraId="1B8ABDF3" w14:textId="77777777" w:rsidR="00711444" w:rsidRPr="004D0DAA" w:rsidRDefault="00711444" w:rsidP="00711444">
      <w:r w:rsidRPr="004D0DAA">
        <w:t>In a cell with a PBCCH allocated, BA(GPRS) is derived from the neighbour cell parameters sent in PSI3 and ascending order of</w:t>
      </w:r>
      <w:r w:rsidRPr="004D0DAA">
        <w:rPr>
          <w:sz w:val="16"/>
        </w:rPr>
        <w:t xml:space="preserve"> </w:t>
      </w:r>
      <w:r w:rsidRPr="004D0DAA">
        <w:t>PSI3bis on PBCCH with the same PSI3_CHANGE_MARK value (see sub-clause 11.2.20). Each neighbour cell listed in PSI3 and in one or more instances of PSI3bis is assigned an ascending index used for measurement reports. The first neighbour cell in PSI3 has the lowest index (= 0), and the last neighbour cell in the highest indexed PSI3bis message has the highest index. The GSM Neighbour Cell list is equal to BA(GPRS).</w:t>
      </w:r>
    </w:p>
    <w:p w14:paraId="34A5E16E" w14:textId="77777777" w:rsidR="00711444" w:rsidRPr="004D0DAA" w:rsidRDefault="00711444" w:rsidP="00711444">
      <w:r w:rsidRPr="004D0DAA">
        <w:t>The GSM Neighbour Cell list may contain up to 96 GSM Neighbour Cells. The total number of frequencies to measure shall not exceed 32. If the list includes more than 32 frequencies, the MS shall only measure the 32 frequencies with the lowest indices.</w:t>
      </w:r>
    </w:p>
    <w:p w14:paraId="5AC5FDBE" w14:textId="77777777" w:rsidR="00711444" w:rsidRPr="004D0DAA" w:rsidRDefault="00711444" w:rsidP="00711444">
      <w:r w:rsidRPr="004D0DAA">
        <w:lastRenderedPageBreak/>
        <w:t>The GSM Neighbour Cell list may be modified by "NC Frequency List" in a PACKET CELL CHANGE ORDER message (in which case the reference list is given on the new cell) or one or more instances of the PACKET MEASUREMENT ORDER message with the same BA_IND value or PSI3_CHANGE_MARK value.</w:t>
      </w:r>
    </w:p>
    <w:p w14:paraId="78A4587B" w14:textId="77777777" w:rsidR="00711444" w:rsidRPr="004D0DAA" w:rsidRDefault="00711444" w:rsidP="00711444">
      <w:r w:rsidRPr="004D0DAA">
        <w:t xml:space="preserve">The "NC Frequency List" may add cells to the GSM Neighbour Cell list (see sub-clauses 11.2.4 and 11.2.9b). These cells shall be added at the end of the GSM Neighbour Cell list and indexed in the order of occurrence within the PACKET CELL CHANGE ORDER message or ascending instances of the PACKET MEASUREMENT ORDER message. The list of added cells may contain GPRS and optionally </w:t>
      </w:r>
      <w:r w:rsidRPr="004D0DAA">
        <w:rPr>
          <w:i/>
          <w:iCs/>
        </w:rPr>
        <w:t>Iu mode</w:t>
      </w:r>
      <w:r w:rsidRPr="004D0DAA">
        <w:t xml:space="preserve"> cell re-selection parameters. The "NC Frequency List" does not impact the serving cell parameters.</w:t>
      </w:r>
    </w:p>
    <w:p w14:paraId="53E36D8E" w14:textId="77777777" w:rsidR="00711444" w:rsidRPr="004D0DAA" w:rsidRDefault="00711444" w:rsidP="00711444">
      <w:r w:rsidRPr="004D0DAA">
        <w:t>The "</w:t>
      </w:r>
      <w:r w:rsidRPr="004D0DAA">
        <w:rPr>
          <w:bCs/>
        </w:rPr>
        <w:t>NC Iu Mode Only Capable Cell List</w:t>
      </w:r>
      <w:r w:rsidRPr="004D0DAA">
        <w:t xml:space="preserve">" may add cells to the GSM Neighbour Cell list (see sub-clauses 11.2.4 and 11.2.9b). These </w:t>
      </w:r>
      <w:r w:rsidRPr="004D0DAA">
        <w:rPr>
          <w:i/>
          <w:iCs/>
        </w:rPr>
        <w:t>Iu mode</w:t>
      </w:r>
      <w:r w:rsidRPr="004D0DAA">
        <w:t xml:space="preserve"> only capable cells shall be added at the end of the GSM Neighbour Cell list after </w:t>
      </w:r>
      <w:r w:rsidRPr="004D0DAA">
        <w:rPr>
          <w:i/>
          <w:iCs/>
        </w:rPr>
        <w:t>A/Gb mode</w:t>
      </w:r>
      <w:r w:rsidRPr="004D0DAA">
        <w:t xml:space="preserve"> or both </w:t>
      </w:r>
      <w:r w:rsidRPr="004D0DAA">
        <w:rPr>
          <w:i/>
          <w:iCs/>
        </w:rPr>
        <w:t xml:space="preserve">A/Gb </w:t>
      </w:r>
      <w:r w:rsidRPr="004D0DAA">
        <w:t xml:space="preserve">and </w:t>
      </w:r>
      <w:r w:rsidRPr="004D0DAA">
        <w:rPr>
          <w:i/>
          <w:iCs/>
        </w:rPr>
        <w:t xml:space="preserve">Iu mode </w:t>
      </w:r>
      <w:r w:rsidRPr="004D0DAA">
        <w:t xml:space="preserve">capable cells and indexed in the order of occurrence within the PACKET CELL CHANGE ORDER message or ascending instances of the PACKET MEASUREMENT ORDER message. The list of added cells may contain </w:t>
      </w:r>
      <w:r w:rsidRPr="004D0DAA">
        <w:rPr>
          <w:i/>
          <w:iCs/>
        </w:rPr>
        <w:t>Iu mode</w:t>
      </w:r>
      <w:r w:rsidRPr="004D0DAA">
        <w:t xml:space="preserve"> only cell re-selection parameters.</w:t>
      </w:r>
    </w:p>
    <w:p w14:paraId="56EEB8A0" w14:textId="77777777" w:rsidR="00711444" w:rsidRPr="004D0DAA" w:rsidRDefault="00711444" w:rsidP="00711444">
      <w:r w:rsidRPr="004D0DAA">
        <w:t>In case the same cell (ARFCN+BSIC) or the same ARFCN without BSIC occur more than once in the resulting GSM Neighbour Cell list, each occurrence shall be assigned an index but only the cell with the highest index shall be used for cell re-selection and referred to in measurement reports.</w:t>
      </w:r>
    </w:p>
    <w:p w14:paraId="1F2DBC60" w14:textId="77777777" w:rsidR="00711444" w:rsidRPr="004D0DAA" w:rsidRDefault="00711444" w:rsidP="00711444">
      <w:r w:rsidRPr="004D0DAA">
        <w:t>The "NC Frequency List" may delete frequencies from the BA(GPRS) list (see sub-clause 11.2.9b). The frequencies to be removed are identified by their indices in the BA(GPRS). In this case all cells associated with the removed frequencies shall be removed from the GSM Neighbour Cell list. Removed cells/frequencies shall keep their indices but no measurements or reporting shall be performed. If the index points to a cell that does not exist, this shall not be considered as an error.</w:t>
      </w:r>
    </w:p>
    <w:p w14:paraId="38A07815" w14:textId="77777777" w:rsidR="00711444" w:rsidRPr="004D0DAA" w:rsidRDefault="00711444" w:rsidP="00711444">
      <w:r w:rsidRPr="004D0DAA">
        <w:t>If the mobile station receives a PACKET MEASUREMENT ORDER message (full set of instances) with changed PMO_IND parameter value, any old "NC frequency list" shall be deleted. If the last PACKET MEASUREMENT ORDER message (full set of instances) does not contain a "NC frequency list" (no added or deleted frequencies) the mobile station shall return to BA(GPRS).</w:t>
      </w:r>
    </w:p>
    <w:p w14:paraId="7F2B82DC" w14:textId="77777777" w:rsidR="00711444" w:rsidRPr="004D0DAA" w:rsidRDefault="00711444" w:rsidP="00711444">
      <w:r w:rsidRPr="004D0DAA">
        <w:t>In a cell without PBCCH allocated, if the BA_IND parameter is changed, the mobile station shall re-read and rebuild the GSM Neighbour Cell list.</w:t>
      </w:r>
    </w:p>
    <w:p w14:paraId="43482BD5" w14:textId="77777777" w:rsidR="00711444" w:rsidRPr="004D0DAA" w:rsidRDefault="00711444" w:rsidP="00711444">
      <w:r w:rsidRPr="004D0DAA">
        <w:t>In a cell with a PBCCH allocated, if PSI3_CHANGE_MARK is changed, the mobile station shall re-read and rebuild the GSM Neighbour Cell list.</w:t>
      </w:r>
    </w:p>
    <w:p w14:paraId="42C6523C" w14:textId="77777777" w:rsidR="00711444" w:rsidRPr="004D0DAA" w:rsidRDefault="00711444" w:rsidP="00711444">
      <w:pPr>
        <w:pStyle w:val="Heading4"/>
      </w:pPr>
      <w:bookmarkStart w:id="92" w:name="_Toc516669280"/>
      <w:r w:rsidRPr="004D0DAA">
        <w:t>5.6.3.3</w:t>
      </w:r>
      <w:r w:rsidRPr="004D0DAA">
        <w:tab/>
        <w:t>Deriving the Neighbour Cell list from the GSM Neighbour Cell list and the 3G Neighbour Cell list</w:t>
      </w:r>
      <w:bookmarkEnd w:id="92"/>
    </w:p>
    <w:p w14:paraId="4D4DA90E" w14:textId="77777777" w:rsidR="00711444" w:rsidRPr="004D0DAA" w:rsidRDefault="00711444" w:rsidP="00711444">
      <w:r w:rsidRPr="004D0DAA">
        <w:t>The Neighbour Cell list may contain up to 96 Neighbour Cells. For report with the PACKET ENHANCED MEASUREMENT REPORT message, the Neighbour Cell list is the concatenation of the GSM Neighbour Cell list and the 3G Neighbour Cell list (if any). In this concatenation the value of the parameter Absolute_Index_Start_EMR is added to the 3G Neighbour Cell list indices. If the same index occurs for a GSM Cell and a 3G Cell, the GSM Cell shall be used.</w:t>
      </w:r>
    </w:p>
    <w:p w14:paraId="375B4F16" w14:textId="77777777" w:rsidR="00711444" w:rsidRPr="004D0DAA" w:rsidRDefault="00711444" w:rsidP="00711444">
      <w:pPr>
        <w:pStyle w:val="NO"/>
      </w:pPr>
      <w:r w:rsidRPr="004D0DAA">
        <w:t>NOTE:</w:t>
      </w:r>
      <w:r w:rsidRPr="004D0DAA">
        <w:tab/>
        <w:t>For report with the PACKET MEASUREMENT REPORT message, the concatenated list is not used. Instead, the two lists are used separately, as defined in table 11.2.9.2 from sub-clause 11.2.9.</w:t>
      </w:r>
    </w:p>
    <w:p w14:paraId="44F5C008" w14:textId="77777777" w:rsidR="00711444" w:rsidRPr="004D0DAA" w:rsidRDefault="00711444" w:rsidP="00711444">
      <w:pPr>
        <w:pStyle w:val="Heading4"/>
      </w:pPr>
      <w:bookmarkStart w:id="93" w:name="_Toc516669281"/>
      <w:r w:rsidRPr="004D0DAA">
        <w:t>5.6.3.4</w:t>
      </w:r>
      <w:r w:rsidRPr="004D0DAA">
        <w:tab/>
        <w:t>GPRS Real Time Differences</w:t>
      </w:r>
      <w:bookmarkEnd w:id="93"/>
    </w:p>
    <w:p w14:paraId="22D4BFDC" w14:textId="77777777" w:rsidR="00711444" w:rsidRPr="004D0DAA" w:rsidRDefault="00711444" w:rsidP="00711444">
      <w:r w:rsidRPr="004D0DAA">
        <w:t>The GPRS Real Time Difference list may contain up to 96 Real Time Difference parameters.</w:t>
      </w:r>
    </w:p>
    <w:p w14:paraId="56D1234D" w14:textId="77777777" w:rsidR="00711444" w:rsidRPr="004D0DAA" w:rsidRDefault="00711444" w:rsidP="00711444">
      <w:r w:rsidRPr="004D0DAA">
        <w:t>In a cell without PBCCH allocated, GPRS Real Time Difference</w:t>
      </w:r>
      <w:r w:rsidRPr="004D0DAA">
        <w:rPr>
          <w:sz w:val="16"/>
        </w:rPr>
        <w:t xml:space="preserve"> </w:t>
      </w:r>
      <w:r w:rsidRPr="004D0DAA">
        <w:t>information may be received from the SI2quater message and associated with the BA (list) from the SI2/SI2bis/SI2ter messages with the same BA_IND value, see 3GPP TS</w:t>
      </w:r>
      <w:r w:rsidRPr="004D0DAA">
        <w:rPr>
          <w:rFonts w:hint="eastAsia"/>
          <w:lang w:eastAsia="ko-KR"/>
        </w:rPr>
        <w:t xml:space="preserve"> 44.018</w:t>
      </w:r>
      <w:r w:rsidRPr="004D0DAA">
        <w:t>. Each frequency in the BA (list) may be associated to 0, 1 or more Real Time Difference parameters. The Real Time Difference parameters may be received before the corresponding BA (list). The parameter BA_Index_Start_RTD in each structure indicates the index of the frequency in the BA (list) to be taken as a starting reference. A sub-structure is included for each frequency referenced. Each of those sub-structures indicates if 0, 1 or more RTD parameters are present for this frequency. If a frequency in the BA (list) is not provided with Real Time Difference information by any of the message instances with correct BA_IND value, it shall be assumed that no information is available for that frequency. If the</w:t>
      </w:r>
      <w:r w:rsidRPr="004D0DAA">
        <w:rPr>
          <w:sz w:val="16"/>
        </w:rPr>
        <w:t xml:space="preserve"> </w:t>
      </w:r>
      <w:r w:rsidRPr="004D0DAA">
        <w:t>MP_CHANGE_MARK parameter is changed, the mobile station shall re-read the Real Time Difference parameters.</w:t>
      </w:r>
    </w:p>
    <w:p w14:paraId="30442CA5" w14:textId="77777777" w:rsidR="00711444" w:rsidRPr="004D0DAA" w:rsidRDefault="00711444" w:rsidP="00711444">
      <w:pPr>
        <w:keepNext/>
        <w:keepLines/>
      </w:pPr>
      <w:r w:rsidRPr="004D0DAA">
        <w:lastRenderedPageBreak/>
        <w:t>In a cell with a PBCCH allocated, GPRS Real Time Difference information may be received from the PSI3ter messages and associated with the GSM Neighbour Cell list with the same PSI3_CHANGE_MARK value. In this case each cell may be associated to 0 or 1 Real Time Difference parameter. The Real Time Difference parameters may be received before the corresponding GSM Neighbour Cell list. The parameter Cell_Index_Start_RTD in each structure indicates the index of the cell in the GSM Neighbour Cell list to be taken as a starting reference. A sub-structure is included for each GSM Neighbour Cell referenced. Each of those sub-structures indicate if 0 or 1 RTD parameter is present for this GSM Neighbour Cell. If a cell in the GSM Neighbour Cell list is not provided with</w:t>
      </w:r>
      <w:r w:rsidRPr="004D0DAA">
        <w:rPr>
          <w:sz w:val="16"/>
        </w:rPr>
        <w:t xml:space="preserve"> </w:t>
      </w:r>
      <w:r w:rsidRPr="004D0DAA">
        <w:t>Real Time Difference information by any of the message instances with correct PSI3_CHANGE_MARK value, it shall be assumed that no information is available for that cell. If some Real Time Difference information are provided for a cell that does not exist, this shall not be considered as an error. See sub-clause 11.2.21.</w:t>
      </w:r>
    </w:p>
    <w:p w14:paraId="42719074" w14:textId="77777777" w:rsidR="00711444" w:rsidRPr="004D0DAA" w:rsidRDefault="00711444" w:rsidP="00711444">
      <w:pPr>
        <w:pStyle w:val="Heading4"/>
      </w:pPr>
      <w:bookmarkStart w:id="94" w:name="_Toc516669282"/>
      <w:r w:rsidRPr="004D0DAA">
        <w:t>5.6.3.5</w:t>
      </w:r>
      <w:r w:rsidRPr="004D0DAA">
        <w:tab/>
        <w:t>GPRS Report Priority Descriptions</w:t>
      </w:r>
      <w:bookmarkEnd w:id="94"/>
    </w:p>
    <w:p w14:paraId="19BF9C2B" w14:textId="77777777" w:rsidR="00711444" w:rsidRPr="004D0DAA" w:rsidRDefault="00711444" w:rsidP="00711444">
      <w:r w:rsidRPr="004D0DAA">
        <w:t>In a cell without PBCCH allocated, Report Priority information may be received from the SYSTEM INFORMATION TYPE 2 QUATER message and associated to the Neighbour Cell list with the same BA_IND value and 3G_BA_IND value, see 3GPP TS 44.018. If the parameter MP_CHANGE_MARK is changed, the mobile shall re-read the GPRS Report Priority information. Each REP_PRIORITY bit of this field relates to indices of the Neighbour Cell list starting with index 0.</w:t>
      </w:r>
    </w:p>
    <w:p w14:paraId="66D6D1EB" w14:textId="77777777" w:rsidR="00711444" w:rsidRPr="004D0DAA" w:rsidRDefault="00711444" w:rsidP="00711444">
      <w:r w:rsidRPr="004D0DAA">
        <w:t>In a cell with a PBCCH allocated, Report Priority information for GSM cells may be received from the PACKET SYSTEM INFORMATION TYPE 3 TER message and associated to the GSM Neighbour Cell list with the same PSI3_CHANGE_MARK value, see sub-clause 11.2.21a. Each REP_PRIORITY bit of this field relates to indices of the GSM Neighbour Cell list starting with index 0.</w:t>
      </w:r>
    </w:p>
    <w:p w14:paraId="5A401C54" w14:textId="77777777" w:rsidR="00711444" w:rsidRPr="004D0DAA" w:rsidRDefault="00711444" w:rsidP="00711444">
      <w:r w:rsidRPr="004D0DAA">
        <w:t>In a cell with a PBCCH allocated, Report Priority information for 3G cells may be received from the PACKET SYSTEM INFORMATION TYPE 3 QUATER message and associated to the 3G Neighbour Cell list with the same PSI3_CHANGE_MARK value, see sub-clause 11.2.21b. Each REP_PRIORITY bit of this field relates to indices of the 3G Neighbour Cell list starting with index 0.</w:t>
      </w:r>
    </w:p>
    <w:p w14:paraId="688BBB4C" w14:textId="77777777" w:rsidR="00711444" w:rsidRPr="004D0DAA" w:rsidRDefault="00711444" w:rsidP="00711444">
      <w:r w:rsidRPr="004D0DAA">
        <w:t>If Report Priority information is received as part of a PACKET MEASUREMENT ORDER or PACKET CELL CHANGE ORDER message, it is associated to the Neighbour Cell list and may be received before the corresponding Neighbour Cell list. Each REP_PRIORITY bit of this field relates to indices of the Neighbour cell list, starting with index 0.</w:t>
      </w:r>
    </w:p>
    <w:p w14:paraId="539D4B51" w14:textId="77777777" w:rsidR="00711444" w:rsidRPr="004D0DAA" w:rsidRDefault="00711444" w:rsidP="00711444">
      <w:r w:rsidRPr="004D0DAA">
        <w:t>Indices exceeding the value 95 shall be ignored. If there are fewer indices than the number of Neighbour Cells, the value 0 shall be assumed for the missing bits.</w:t>
      </w:r>
    </w:p>
    <w:p w14:paraId="545F542A" w14:textId="77777777" w:rsidR="00711444" w:rsidRPr="004D0DAA" w:rsidRDefault="00711444" w:rsidP="00711444">
      <w:pPr>
        <w:pStyle w:val="Heading4"/>
      </w:pPr>
      <w:bookmarkStart w:id="95" w:name="_Toc516669283"/>
      <w:r w:rsidRPr="004D0DAA">
        <w:t>5.6.3.6</w:t>
      </w:r>
      <w:r w:rsidRPr="004D0DAA">
        <w:tab/>
        <w:t>GPRS Measurement Parameters and GPRS 3G Measurement Parameters</w:t>
      </w:r>
      <w:bookmarkEnd w:id="95"/>
    </w:p>
    <w:p w14:paraId="682CC51E" w14:textId="77777777" w:rsidR="00711444" w:rsidRPr="004D0DAA" w:rsidRDefault="00711444" w:rsidP="00711444">
      <w:r w:rsidRPr="004D0DAA">
        <w:t>In a cell without a PBCCH allocated, GPRS Measurement Parameters, GPRS 3G Measurement Parameters and 3G Priority Parameters may be received from SI2quater message, see 3GPP TS 44.018. When the parameter MP_CHANGE_MARK is changed, the mobile station shall re-read GPRS Measurement Parameters and GPRS 3G Measurement Parameters and 3G Priority Parameters.</w:t>
      </w:r>
    </w:p>
    <w:p w14:paraId="18930564" w14:textId="77777777" w:rsidR="00711444" w:rsidRPr="004D0DAA" w:rsidRDefault="00711444" w:rsidP="00711444">
      <w:r w:rsidRPr="004D0DAA">
        <w:t>In a cell with a PBCCH allocated, GPRS Measurement Parameters and GPRS 3G Measurement Parameters may be received from PSI3quater and PSI5</w:t>
      </w:r>
      <w:r w:rsidRPr="004D0DAA">
        <w:rPr>
          <w:sz w:val="16"/>
        </w:rPr>
        <w:t xml:space="preserve"> </w:t>
      </w:r>
      <w:r w:rsidRPr="004D0DAA">
        <w:t>messages, see sub-clauses 11.2.21b and 11.2.23. Additionally, 3G Priority Parameters may also be received from PSI3quater messages. When the PSI5_CHANGE_MARK parameter is changed, the MS shall re-read the corresponding Measurement Parameters and 3G Measurement Parameters. When the PSI3_CHANGE_MARK parameter is changed, the MS shall re-read the corresponding Measurement Parameters, 3G Priority Parameters and 3G Measurement Parameters.</w:t>
      </w:r>
    </w:p>
    <w:p w14:paraId="5B42799C" w14:textId="77777777" w:rsidR="00711444" w:rsidRPr="004D0DAA" w:rsidRDefault="00711444" w:rsidP="00711444">
      <w:r w:rsidRPr="004D0DAA">
        <w:t>If different values are received for the same parameter in different instances of a message, only the value in the instance with the highest index shall be used.</w:t>
      </w:r>
    </w:p>
    <w:p w14:paraId="20403CED" w14:textId="77777777" w:rsidR="00711444" w:rsidRPr="004D0DAA" w:rsidRDefault="00711444" w:rsidP="00711444">
      <w:pPr>
        <w:pStyle w:val="Heading4"/>
      </w:pPr>
      <w:bookmarkStart w:id="96" w:name="_Toc516669284"/>
      <w:r w:rsidRPr="004D0DAA">
        <w:t>5.6.3.6a</w:t>
      </w:r>
      <w:r w:rsidRPr="004D0DAA">
        <w:tab/>
        <w:t>GPRS E-UTRAN Measurement Parameters</w:t>
      </w:r>
      <w:bookmarkEnd w:id="96"/>
    </w:p>
    <w:p w14:paraId="5B6E0F1C" w14:textId="77777777" w:rsidR="00711444" w:rsidRPr="004D0DAA" w:rsidRDefault="00711444" w:rsidP="00711444">
      <w:r w:rsidRPr="004D0DAA">
        <w:t>This sub-clause applies only to an E-UTRAN capable mobile station.</w:t>
      </w:r>
    </w:p>
    <w:p w14:paraId="28469C29" w14:textId="77777777" w:rsidR="00711444" w:rsidRPr="004D0DAA" w:rsidRDefault="00711444" w:rsidP="00711444">
      <w:r w:rsidRPr="004D0DAA">
        <w:t xml:space="preserve">GPRS E-UTRAN Measurement Parameters may be received from SI2quater message, see 3GPP TS 44.018. </w:t>
      </w:r>
    </w:p>
    <w:p w14:paraId="37E19574" w14:textId="77777777" w:rsidR="00711444" w:rsidRPr="004D0DAA" w:rsidRDefault="00711444" w:rsidP="00711444">
      <w:pPr>
        <w:rPr>
          <w:lang w:val="en-US"/>
        </w:rPr>
      </w:pPr>
      <w:r w:rsidRPr="004D0DAA">
        <w:t xml:space="preserve">GPRS E-UTRAN Measurement Parameters may be modified by one or more instances of the PACKET MEASUREMENT ORDER message with the same 3G_BA_IND value as the SI2quater message. </w:t>
      </w:r>
    </w:p>
    <w:p w14:paraId="642F64B2" w14:textId="77777777" w:rsidR="00711444" w:rsidRPr="004D0DAA" w:rsidRDefault="00711444" w:rsidP="00711444">
      <w:r w:rsidRPr="004D0DAA">
        <w:lastRenderedPageBreak/>
        <w:t>If different values are received for the same parameter in different instances of the PACKET MEASUREMENT ORDER message, only the value in the instance with the highest index shall be used.</w:t>
      </w:r>
    </w:p>
    <w:p w14:paraId="0936ED8A" w14:textId="77777777" w:rsidR="00711444" w:rsidRPr="004D0DAA" w:rsidRDefault="00711444" w:rsidP="00711444">
      <w:pPr>
        <w:pStyle w:val="Heading4"/>
      </w:pPr>
      <w:bookmarkStart w:id="97" w:name="_Toc516669285"/>
      <w:r w:rsidRPr="004D0DAA">
        <w:t>5.6.3.7</w:t>
      </w:r>
      <w:r w:rsidRPr="004D0DAA">
        <w:tab/>
        <w:t>The GPRS 3G Cell Reselection list</w:t>
      </w:r>
      <w:bookmarkEnd w:id="97"/>
    </w:p>
    <w:p w14:paraId="1B4377B0" w14:textId="77777777" w:rsidR="00711444" w:rsidRPr="004D0DAA" w:rsidRDefault="00711444" w:rsidP="00711444">
      <w:r w:rsidRPr="004D0DAA">
        <w:t>This sub-clause applies only to a (3G) multi-RAT MS.</w:t>
      </w:r>
    </w:p>
    <w:p w14:paraId="06536964" w14:textId="77777777" w:rsidR="00711444" w:rsidRPr="004D0DAA" w:rsidRDefault="00711444" w:rsidP="00711444">
      <w:r w:rsidRPr="004D0DAA">
        <w:t>In a cell without a PBCCH allocated, the GPRS 3G Cell Reselection list is equal to the 3G Cell Reselection list that is defined in 3GPP TS 44.018.</w:t>
      </w:r>
    </w:p>
    <w:p w14:paraId="48FEDB9F" w14:textId="77777777" w:rsidR="00711444" w:rsidRPr="004D0DAA" w:rsidRDefault="00711444" w:rsidP="00711444">
      <w:r w:rsidRPr="004D0DAA">
        <w:t>In a cell with a PBCCH allocated, the GPRS 3G Cell Reselection list is the union of 3G Cells and/or 3G frequencies provided in one or more instances of the PSI3quater message. The GPRS 3G Cell Reselection list may contain up to 96 3G Cells. 3G Cells not provided explicitly in the PSI3quater message (frequencies on their own) are not included in these 96 cells. Up to 8 frequencies on their own can be added to these 96 cells.</w:t>
      </w:r>
    </w:p>
    <w:p w14:paraId="743C48BC" w14:textId="77777777" w:rsidR="00711444" w:rsidRPr="004D0DAA" w:rsidRDefault="00711444" w:rsidP="00711444">
      <w:r w:rsidRPr="004D0DAA">
        <w:t>The MS behaviour is not specified if the number of 3G frequencies or cells exceeds the MS monitoring capabilities as defined in 3GPP TS 45.008.</w:t>
      </w:r>
    </w:p>
    <w:p w14:paraId="47BF5CAB" w14:textId="77777777" w:rsidR="00711444" w:rsidRPr="004D0DAA" w:rsidRDefault="00711444" w:rsidP="00711444">
      <w:pPr>
        <w:rPr>
          <w:rFonts w:hint="eastAsia"/>
          <w:lang w:eastAsia="zh-CN"/>
        </w:rPr>
      </w:pPr>
      <w:r w:rsidRPr="004D0DAA">
        <w:rPr>
          <w:rFonts w:hint="eastAsia"/>
          <w:lang w:eastAsia="zh-CN"/>
        </w:rPr>
        <w:t>When</w:t>
      </w:r>
      <w:r w:rsidRPr="004D0DAA">
        <w:rPr>
          <w:lang w:eastAsia="zh-CN"/>
        </w:rPr>
        <w:t xml:space="preserve"> the 3G Neighbour </w:t>
      </w:r>
      <w:r w:rsidRPr="004D0DAA">
        <w:rPr>
          <w:rFonts w:hint="eastAsia"/>
          <w:lang w:eastAsia="zh-CN"/>
        </w:rPr>
        <w:t>C</w:t>
      </w:r>
      <w:r w:rsidRPr="004D0DAA">
        <w:rPr>
          <w:lang w:eastAsia="zh-CN"/>
        </w:rPr>
        <w:t xml:space="preserve">ell </w:t>
      </w:r>
      <w:r w:rsidRPr="004D0DAA">
        <w:rPr>
          <w:rFonts w:hint="eastAsia"/>
          <w:lang w:eastAsia="zh-CN"/>
        </w:rPr>
        <w:t>l</w:t>
      </w:r>
      <w:r w:rsidRPr="004D0DAA">
        <w:rPr>
          <w:lang w:eastAsia="zh-CN"/>
        </w:rPr>
        <w:t xml:space="preserve">ist is modified by a PACKET CELL CHANGE ORDER message or by one or more instances of the PACKET MEASUREMENT ORDER message with the same 3G_BA_IND value </w:t>
      </w:r>
      <w:r w:rsidRPr="004D0DAA">
        <w:t>as in the SI2quater message</w:t>
      </w:r>
      <w:r w:rsidRPr="004D0DAA">
        <w:rPr>
          <w:lang w:eastAsia="zh-CN"/>
        </w:rPr>
        <w:t>, the GPRS 3G Cell Reselection list</w:t>
      </w:r>
      <w:r w:rsidRPr="004D0DAA">
        <w:rPr>
          <w:rFonts w:hint="eastAsia"/>
          <w:lang w:eastAsia="zh-CN"/>
        </w:rPr>
        <w:t xml:space="preserve"> </w:t>
      </w:r>
      <w:r w:rsidRPr="004D0DAA">
        <w:rPr>
          <w:lang w:eastAsia="zh-CN"/>
        </w:rPr>
        <w:t xml:space="preserve">shall be </w:t>
      </w:r>
      <w:r w:rsidRPr="004D0DAA">
        <w:rPr>
          <w:rFonts w:hint="eastAsia"/>
          <w:lang w:eastAsia="zh-CN"/>
        </w:rPr>
        <w:t xml:space="preserve">updated according to </w:t>
      </w:r>
      <w:r w:rsidRPr="004D0DAA">
        <w:rPr>
          <w:lang w:eastAsia="zh-CN"/>
        </w:rPr>
        <w:t xml:space="preserve">the </w:t>
      </w:r>
      <w:r w:rsidRPr="004D0DAA">
        <w:rPr>
          <w:rFonts w:hint="eastAsia"/>
          <w:lang w:eastAsia="zh-CN"/>
        </w:rPr>
        <w:t xml:space="preserve">modified </w:t>
      </w:r>
      <w:r w:rsidRPr="004D0DAA">
        <w:rPr>
          <w:lang w:eastAsia="zh-CN"/>
        </w:rPr>
        <w:t xml:space="preserve">3G Neighbour </w:t>
      </w:r>
      <w:r w:rsidRPr="004D0DAA">
        <w:rPr>
          <w:rFonts w:hint="eastAsia"/>
          <w:lang w:eastAsia="zh-CN"/>
        </w:rPr>
        <w:t>C</w:t>
      </w:r>
      <w:r w:rsidRPr="004D0DAA">
        <w:rPr>
          <w:lang w:eastAsia="zh-CN"/>
        </w:rPr>
        <w:t xml:space="preserve">ell list. </w:t>
      </w:r>
      <w:r w:rsidRPr="004D0DAA">
        <w:rPr>
          <w:rFonts w:hint="eastAsia"/>
          <w:lang w:eastAsia="zh-CN"/>
        </w:rPr>
        <w:t>A</w:t>
      </w:r>
      <w:r w:rsidRPr="004D0DAA">
        <w:t xml:space="preserve"> </w:t>
      </w:r>
      <w:r w:rsidRPr="004D0DAA">
        <w:rPr>
          <w:rFonts w:hint="eastAsia"/>
          <w:lang w:eastAsia="zh-CN"/>
        </w:rPr>
        <w:t xml:space="preserve">UTRAN capable </w:t>
      </w:r>
      <w:r w:rsidRPr="004D0DAA">
        <w:t xml:space="preserve">mobile station supporting network sharing </w:t>
      </w:r>
      <w:r w:rsidRPr="004D0DAA">
        <w:rPr>
          <w:rFonts w:hint="eastAsia"/>
          <w:lang w:eastAsia="zh-CN"/>
        </w:rPr>
        <w:t xml:space="preserve">shall </w:t>
      </w:r>
      <w:r w:rsidRPr="004D0DAA">
        <w:t xml:space="preserve">build its 3G Cell Reselection list from the information received in the PACKET CELL CHANGE ORDER message (in which case </w:t>
      </w:r>
      <w:r w:rsidRPr="004D0DAA">
        <w:rPr>
          <w:rFonts w:hint="eastAsia"/>
          <w:lang w:eastAsia="zh-CN"/>
        </w:rPr>
        <w:t xml:space="preserve">the </w:t>
      </w:r>
      <w:r w:rsidRPr="004D0DAA">
        <w:t>3G Cell Reselection list</w:t>
      </w:r>
      <w:r w:rsidRPr="004D0DAA">
        <w:rPr>
          <w:rFonts w:hint="eastAsia"/>
          <w:lang w:eastAsia="zh-CN"/>
        </w:rPr>
        <w:t xml:space="preserve"> is only used in the new cell if the SI23 message is broadcast in the new cell</w:t>
      </w:r>
      <w:r w:rsidRPr="004D0DAA">
        <w:t>).If SI23 is broadcast in the cell and for a mobile station supporting network sharing, the 3G Cell Reselection list shall only be modified by one or more instances of the PACKET MEASUREMENT ORDER message with the same 3G_BA_IND value as the SI 23_BA_IND value broadcast in the SI23 message.</w:t>
      </w:r>
    </w:p>
    <w:p w14:paraId="1352D614" w14:textId="77777777" w:rsidR="00711444" w:rsidRPr="004D0DAA" w:rsidRDefault="00711444" w:rsidP="00711444">
      <w:pPr>
        <w:pStyle w:val="NO"/>
        <w:rPr>
          <w:rFonts w:hint="eastAsia"/>
          <w:lang w:eastAsia="zh-CN"/>
        </w:rPr>
      </w:pPr>
      <w:r w:rsidRPr="004D0DAA">
        <w:t>NOTE:</w:t>
      </w:r>
      <w:r w:rsidRPr="004D0DAA">
        <w:tab/>
        <w:t xml:space="preserve">Frequencies for which </w:t>
      </w:r>
      <w:r w:rsidRPr="004D0DAA">
        <w:rPr>
          <w:rFonts w:hint="eastAsia"/>
          <w:lang w:eastAsia="zh-CN"/>
        </w:rPr>
        <w:t xml:space="preserve">the parameter </w:t>
      </w:r>
      <w:r w:rsidRPr="004D0DAA">
        <w:t xml:space="preserve">NR_OF_FDD_CELLS is set to 0 (and FDD_Indic0 is set to 0) or NR_OF_TDD_CELLS is set to 0 (and TDD_Indic0 is set to 0) </w:t>
      </w:r>
      <w:r w:rsidRPr="004D0DAA">
        <w:rPr>
          <w:lang w:eastAsia="zh-CN"/>
        </w:rPr>
        <w:t xml:space="preserve">are not added to the </w:t>
      </w:r>
      <w:r w:rsidRPr="004D0DAA">
        <w:rPr>
          <w:rFonts w:hint="eastAsia"/>
          <w:lang w:eastAsia="zh-CN"/>
        </w:rPr>
        <w:t xml:space="preserve">GPRS </w:t>
      </w:r>
      <w:r w:rsidRPr="004D0DAA">
        <w:t>3G Cell Reselection list. They are added to the 3G Neighbour Cell list and are only used for RSSI reporting (subject to the restrictions given in 3GPP TS 45.008).</w:t>
      </w:r>
      <w:r w:rsidRPr="004D0DAA">
        <w:rPr>
          <w:rFonts w:hint="eastAsia"/>
          <w:lang w:eastAsia="zh-CN"/>
        </w:rPr>
        <w:t xml:space="preserve"> Frequencies for which</w:t>
      </w:r>
      <w:r w:rsidRPr="004D0DAA">
        <w:rPr>
          <w:lang w:eastAsia="zh-CN"/>
        </w:rPr>
        <w:t xml:space="preserve"> </w:t>
      </w:r>
      <w:r w:rsidRPr="004D0DAA">
        <w:t xml:space="preserve">NR_OF_FDD_CELLS is set to </w:t>
      </w:r>
      <w:r w:rsidRPr="004D0DAA">
        <w:rPr>
          <w:lang w:eastAsia="zh-CN"/>
        </w:rPr>
        <w:t>a</w:t>
      </w:r>
      <w:r w:rsidRPr="004D0DAA">
        <w:rPr>
          <w:rFonts w:hint="eastAsia"/>
          <w:lang w:eastAsia="zh-CN"/>
        </w:rPr>
        <w:t xml:space="preserve"> value from 17 to 31</w:t>
      </w:r>
      <w:r w:rsidRPr="004D0DAA">
        <w:rPr>
          <w:lang w:eastAsia="zh-CN"/>
        </w:rPr>
        <w:t xml:space="preserve"> </w:t>
      </w:r>
      <w:r w:rsidRPr="004D0DAA">
        <w:t xml:space="preserve">or NR_OF_TDD_CELLS is set to </w:t>
      </w:r>
      <w:r w:rsidRPr="004D0DAA">
        <w:rPr>
          <w:lang w:eastAsia="zh-CN"/>
        </w:rPr>
        <w:t>a</w:t>
      </w:r>
      <w:r w:rsidRPr="004D0DAA">
        <w:rPr>
          <w:rFonts w:hint="eastAsia"/>
          <w:lang w:eastAsia="zh-CN"/>
        </w:rPr>
        <w:t xml:space="preserve"> value from </w:t>
      </w:r>
      <w:r w:rsidRPr="004D0DAA">
        <w:rPr>
          <w:lang w:eastAsia="zh-CN"/>
        </w:rPr>
        <w:t>21</w:t>
      </w:r>
      <w:r w:rsidRPr="004D0DAA">
        <w:rPr>
          <w:rFonts w:hint="eastAsia"/>
          <w:lang w:eastAsia="zh-CN"/>
        </w:rPr>
        <w:t xml:space="preserve"> to 31 are not added to the 3G Cell Reselection list</w:t>
      </w:r>
      <w:r w:rsidRPr="004D0DAA">
        <w:rPr>
          <w:lang w:eastAsia="zh-CN"/>
        </w:rPr>
        <w:t xml:space="preserve"> (see sub-clause 11.2.9b)</w:t>
      </w:r>
      <w:r w:rsidRPr="004D0DAA">
        <w:rPr>
          <w:rFonts w:hint="eastAsia"/>
          <w:lang w:eastAsia="zh-CN"/>
        </w:rPr>
        <w:t>.</w:t>
      </w:r>
    </w:p>
    <w:p w14:paraId="6BEB7B74" w14:textId="77777777" w:rsidR="00711444" w:rsidRPr="004D0DAA" w:rsidRDefault="00711444" w:rsidP="00711444">
      <w:pPr>
        <w:pStyle w:val="Heading4"/>
      </w:pPr>
      <w:bookmarkStart w:id="98" w:name="_Toc516669286"/>
      <w:r w:rsidRPr="004D0DAA">
        <w:t>5.6.3.7a</w:t>
      </w:r>
      <w:r w:rsidRPr="004D0DAA">
        <w:tab/>
        <w:t>(void)</w:t>
      </w:r>
      <w:bookmarkEnd w:id="98"/>
    </w:p>
    <w:p w14:paraId="43EC0834" w14:textId="77777777" w:rsidR="00711444" w:rsidRPr="004D0DAA" w:rsidRDefault="00711444" w:rsidP="00711444">
      <w:pPr>
        <w:pStyle w:val="Heading4"/>
      </w:pPr>
      <w:bookmarkStart w:id="99" w:name="_Toc516669287"/>
      <w:r w:rsidRPr="004D0DAA">
        <w:t>5.6.3.7</w:t>
      </w:r>
      <w:r w:rsidRPr="004D0DAA">
        <w:rPr>
          <w:rFonts w:hint="eastAsia"/>
          <w:lang w:eastAsia="zh-CN"/>
        </w:rPr>
        <w:t>b</w:t>
      </w:r>
      <w:r w:rsidRPr="004D0DAA">
        <w:tab/>
        <w:t>The 3G </w:t>
      </w:r>
      <w:r w:rsidRPr="004D0DAA">
        <w:rPr>
          <w:rFonts w:hint="eastAsia"/>
          <w:lang w:eastAsia="zh-CN"/>
        </w:rPr>
        <w:t>Frequency</w:t>
      </w:r>
      <w:r w:rsidRPr="004D0DAA">
        <w:t xml:space="preserve"> list</w:t>
      </w:r>
      <w:bookmarkEnd w:id="99"/>
    </w:p>
    <w:p w14:paraId="51037E7E" w14:textId="77777777" w:rsidR="00711444" w:rsidRPr="004D0DAA" w:rsidRDefault="00711444" w:rsidP="00711444">
      <w:pPr>
        <w:rPr>
          <w:rFonts w:hint="eastAsia"/>
          <w:lang w:eastAsia="zh-CN"/>
        </w:rPr>
      </w:pPr>
      <w:r w:rsidRPr="004D0DAA">
        <w:rPr>
          <w:lang w:eastAsia="zh-CN"/>
        </w:rPr>
        <w:t xml:space="preserve">The 3G Frequency </w:t>
      </w:r>
      <w:r w:rsidRPr="004D0DAA">
        <w:rPr>
          <w:rFonts w:hint="eastAsia"/>
          <w:lang w:eastAsia="zh-CN"/>
        </w:rPr>
        <w:t>l</w:t>
      </w:r>
      <w:r w:rsidRPr="004D0DAA">
        <w:rPr>
          <w:lang w:eastAsia="zh-CN"/>
        </w:rPr>
        <w:t xml:space="preserve">ist consists of the set of UTRAN frequencies contained in the </w:t>
      </w:r>
      <w:r w:rsidRPr="004D0DAA">
        <w:rPr>
          <w:rFonts w:hint="eastAsia"/>
          <w:lang w:eastAsia="zh-CN"/>
        </w:rPr>
        <w:t xml:space="preserve">GPRS </w:t>
      </w:r>
      <w:r w:rsidRPr="004D0DAA">
        <w:rPr>
          <w:lang w:eastAsia="zh-CN"/>
        </w:rPr>
        <w:t xml:space="preserve">3G Cell Reselection </w:t>
      </w:r>
      <w:r w:rsidRPr="004D0DAA">
        <w:rPr>
          <w:rFonts w:hint="eastAsia"/>
          <w:lang w:eastAsia="zh-CN"/>
        </w:rPr>
        <w:t>l</w:t>
      </w:r>
      <w:r w:rsidRPr="004D0DAA">
        <w:rPr>
          <w:lang w:eastAsia="zh-CN"/>
        </w:rPr>
        <w:t>ist</w:t>
      </w:r>
      <w:r w:rsidRPr="004D0DAA">
        <w:rPr>
          <w:rFonts w:hint="eastAsia"/>
          <w:lang w:eastAsia="zh-CN"/>
        </w:rPr>
        <w:t xml:space="preserve"> </w:t>
      </w:r>
      <w:r w:rsidRPr="004D0DAA">
        <w:rPr>
          <w:rFonts w:hint="eastAsia"/>
        </w:rPr>
        <w:t xml:space="preserve">or </w:t>
      </w:r>
      <w:r w:rsidRPr="004D0DAA">
        <w:t>in the</w:t>
      </w:r>
      <w:r w:rsidRPr="004D0DAA">
        <w:rPr>
          <w:rFonts w:hint="eastAsia"/>
        </w:rPr>
        <w:t xml:space="preserve"> </w:t>
      </w:r>
      <w:r w:rsidRPr="004D0DAA">
        <w:t xml:space="preserve">3G </w:t>
      </w:r>
      <w:r w:rsidRPr="004D0DAA">
        <w:rPr>
          <w:rFonts w:hint="eastAsia"/>
        </w:rPr>
        <w:t xml:space="preserve">Neighbour </w:t>
      </w:r>
      <w:r w:rsidRPr="004D0DAA">
        <w:t xml:space="preserve">Cell </w:t>
      </w:r>
      <w:r w:rsidRPr="004D0DAA">
        <w:rPr>
          <w:rFonts w:hint="eastAsia"/>
        </w:rPr>
        <w:t>l</w:t>
      </w:r>
      <w:r w:rsidRPr="004D0DAA">
        <w:t>ist</w:t>
      </w:r>
      <w:r w:rsidRPr="004D0DAA">
        <w:rPr>
          <w:rFonts w:hint="eastAsia"/>
          <w:lang w:eastAsia="zh-CN"/>
        </w:rPr>
        <w:t>, depending on which list is being used by the mobile station</w:t>
      </w:r>
      <w:r w:rsidRPr="004D0DAA">
        <w:rPr>
          <w:lang w:eastAsia="zh-CN"/>
        </w:rPr>
        <w:t xml:space="preserve">. </w:t>
      </w:r>
      <w:r w:rsidRPr="004D0DAA">
        <w:rPr>
          <w:rFonts w:hint="eastAsia"/>
          <w:lang w:eastAsia="zh-CN"/>
        </w:rPr>
        <w:t>The 3G Frequency list is constructed as specified in 3GPP TS 44.018.</w:t>
      </w:r>
    </w:p>
    <w:p w14:paraId="0E188C2E" w14:textId="77777777" w:rsidR="00711444" w:rsidRPr="004D0DAA" w:rsidRDefault="00711444" w:rsidP="00711444">
      <w:pPr>
        <w:rPr>
          <w:lang w:eastAsia="zh-CN"/>
        </w:rPr>
      </w:pPr>
      <w:r w:rsidRPr="004D0DAA">
        <w:rPr>
          <w:lang w:eastAsia="zh-CN"/>
        </w:rPr>
        <w:t xml:space="preserve">When the 3G Neighbour cell list is modified </w:t>
      </w:r>
      <w:r w:rsidRPr="004D0DAA">
        <w:rPr>
          <w:rFonts w:hint="eastAsia"/>
          <w:lang w:eastAsia="zh-CN"/>
        </w:rPr>
        <w:t xml:space="preserve">(e.g. </w:t>
      </w:r>
      <w:r w:rsidRPr="004D0DAA">
        <w:rPr>
          <w:lang w:eastAsia="zh-CN"/>
        </w:rPr>
        <w:t>by a PACKET CELL CHANGE ORDER message or by one or more instances of the PACKET MEASUREMENT ORDER message</w:t>
      </w:r>
      <w:r w:rsidRPr="004D0DAA">
        <w:rPr>
          <w:rFonts w:hint="eastAsia"/>
          <w:lang w:eastAsia="zh-CN"/>
        </w:rPr>
        <w:t>)</w:t>
      </w:r>
      <w:r w:rsidRPr="004D0DAA">
        <w:rPr>
          <w:lang w:eastAsia="zh-CN"/>
        </w:rPr>
        <w:t xml:space="preserve">, the 3G Frequency </w:t>
      </w:r>
      <w:r w:rsidRPr="004D0DAA">
        <w:rPr>
          <w:rFonts w:hint="eastAsia"/>
          <w:lang w:eastAsia="zh-CN"/>
        </w:rPr>
        <w:t>l</w:t>
      </w:r>
      <w:r w:rsidRPr="004D0DAA">
        <w:rPr>
          <w:lang w:eastAsia="zh-CN"/>
        </w:rPr>
        <w:t xml:space="preserve">ist </w:t>
      </w:r>
      <w:r w:rsidRPr="004D0DAA">
        <w:rPr>
          <w:rFonts w:hint="eastAsia"/>
          <w:lang w:eastAsia="zh-CN"/>
        </w:rPr>
        <w:t>shall be updated</w:t>
      </w:r>
      <w:r w:rsidRPr="004D0DAA">
        <w:rPr>
          <w:lang w:eastAsia="zh-CN"/>
        </w:rPr>
        <w:t>.</w:t>
      </w:r>
    </w:p>
    <w:p w14:paraId="5EC68378" w14:textId="77777777" w:rsidR="00711444" w:rsidRPr="004D0DAA" w:rsidRDefault="00711444" w:rsidP="00711444">
      <w:pPr>
        <w:pStyle w:val="Heading4"/>
      </w:pPr>
      <w:bookmarkStart w:id="100" w:name="_Toc516669288"/>
      <w:r w:rsidRPr="004D0DAA">
        <w:t>5.6.3.8</w:t>
      </w:r>
      <w:r w:rsidRPr="004D0DAA">
        <w:tab/>
        <w:t>Closed Subscriber Group Information</w:t>
      </w:r>
      <w:bookmarkEnd w:id="100"/>
    </w:p>
    <w:p w14:paraId="00AE8CBB" w14:textId="77777777" w:rsidR="00711444" w:rsidRPr="004D0DAA" w:rsidRDefault="00711444" w:rsidP="00711444">
      <w:r w:rsidRPr="004D0DAA">
        <w:t xml:space="preserve">This applies only to a multi-RAT MS supporting UTRAN and/or E-UTRAN. One or more instances of the SI2quater or the PACKET MEASUREMENT ORDER message may provide the </w:t>
      </w:r>
      <w:r w:rsidRPr="004D0DAA">
        <w:rPr>
          <w:i/>
        </w:rPr>
        <w:t>E-UTRAN CSG Description</w:t>
      </w:r>
      <w:r w:rsidRPr="004D0DAA">
        <w:t xml:space="preserve"> IE and/or the </w:t>
      </w:r>
      <w:r w:rsidRPr="004D0DAA">
        <w:rPr>
          <w:i/>
        </w:rPr>
        <w:t>3G CSG Description</w:t>
      </w:r>
      <w:r w:rsidRPr="004D0DAA">
        <w:t xml:space="preserve"> IE. An MS supporting cell reselection to UTRAN and/or E-UTRAN shall use this information as described in 3GPP TS 45.008.</w:t>
      </w:r>
    </w:p>
    <w:p w14:paraId="43599842" w14:textId="77777777" w:rsidR="00711444" w:rsidRPr="004D0DAA" w:rsidRDefault="00711444" w:rsidP="00711444">
      <w:r w:rsidRPr="004D0DAA">
        <w:t xml:space="preserve">If an MS receives a </w:t>
      </w:r>
      <w:r w:rsidRPr="004D0DAA">
        <w:rPr>
          <w:i/>
        </w:rPr>
        <w:t>CSG_PSC_SPLIT</w:t>
      </w:r>
      <w:r w:rsidRPr="004D0DAA">
        <w:t xml:space="preserve"> IE and/or a </w:t>
      </w:r>
      <w:r w:rsidRPr="004D0DAA">
        <w:rPr>
          <w:i/>
        </w:rPr>
        <w:t>CSG_PCI_SPLIT</w:t>
      </w:r>
      <w:r w:rsidRPr="004D0DAA">
        <w:t xml:space="preserve"> IE it shall store this information and shall consider it as being valid for the specified frequencies for a period of up to 24 hours or until a new </w:t>
      </w:r>
      <w:r w:rsidRPr="004D0DAA">
        <w:rPr>
          <w:i/>
        </w:rPr>
        <w:t>CSG_PSC_SPLIT</w:t>
      </w:r>
      <w:r w:rsidRPr="004D0DAA">
        <w:t xml:space="preserve"> IE and/or a new </w:t>
      </w:r>
      <w:r w:rsidRPr="004D0DAA">
        <w:rPr>
          <w:i/>
        </w:rPr>
        <w:t>CSG_PCI_SPLIT</w:t>
      </w:r>
      <w:r w:rsidRPr="004D0DAA">
        <w:t xml:space="preserve"> IE is received, whichever occurs first.</w:t>
      </w:r>
    </w:p>
    <w:p w14:paraId="5F32E9E7" w14:textId="77777777" w:rsidR="00711444" w:rsidRPr="004D0DAA" w:rsidRDefault="00711444" w:rsidP="00711444">
      <w:r w:rsidRPr="004D0DAA">
        <w:t xml:space="preserve">Any valid "CSG PSC Split Information" received from a UTRAN frequency and stored by the mobile station shall take precedence over the information received from the </w:t>
      </w:r>
      <w:r w:rsidRPr="004D0DAA">
        <w:rPr>
          <w:i/>
        </w:rPr>
        <w:t>CSG_PSC_SPLIT</w:t>
      </w:r>
      <w:r w:rsidRPr="004D0DAA">
        <w:t xml:space="preserve"> IE for that frequency. Any valid "CSG PCI Split Information" received from an E-UTRAN frequency and stored by the mobile station shall take precedence over the information received from the</w:t>
      </w:r>
      <w:r w:rsidRPr="004D0DAA">
        <w:rPr>
          <w:i/>
        </w:rPr>
        <w:t xml:space="preserve"> CSG_PCI_SPLIT</w:t>
      </w:r>
      <w:r w:rsidRPr="004D0DAA">
        <w:t xml:space="preserve"> IE for that frequency.</w:t>
      </w:r>
    </w:p>
    <w:p w14:paraId="3F4424A0" w14:textId="77777777" w:rsidR="00711444" w:rsidRPr="004D0DAA" w:rsidRDefault="00711444" w:rsidP="00711444">
      <w:pPr>
        <w:pStyle w:val="Heading4"/>
      </w:pPr>
      <w:bookmarkStart w:id="101" w:name="_Toc516669289"/>
      <w:r w:rsidRPr="004D0DAA">
        <w:lastRenderedPageBreak/>
        <w:t>5.6.3.9</w:t>
      </w:r>
      <w:r w:rsidRPr="004D0DAA">
        <w:tab/>
        <w:t>Reporting of CSG Cells and Hybrid Cells</w:t>
      </w:r>
      <w:bookmarkEnd w:id="101"/>
    </w:p>
    <w:p w14:paraId="343DE292" w14:textId="77777777" w:rsidR="00711444" w:rsidRPr="004D0DAA" w:rsidRDefault="00711444" w:rsidP="00711444">
      <w:pPr>
        <w:rPr>
          <w:lang w:eastAsia="en-GB"/>
        </w:rPr>
      </w:pPr>
      <w:r w:rsidRPr="004D0DAA">
        <w:rPr>
          <w:lang w:eastAsia="en-GB"/>
        </w:rPr>
        <w:t>A multi-RAT mobile station in packet transfer mode may report a CSG cell or a detected hybrid cell in a PACKET MEASUREMENT REPORT</w:t>
      </w:r>
      <w:r w:rsidRPr="004D0DAA">
        <w:rPr>
          <w:rFonts w:hint="eastAsia"/>
          <w:lang w:eastAsia="ko-KR"/>
        </w:rPr>
        <w:t xml:space="preserve"> or</w:t>
      </w:r>
      <w:r w:rsidRPr="004D0DAA">
        <w:rPr>
          <w:lang w:eastAsia="en-GB"/>
        </w:rPr>
        <w:t xml:space="preserve"> PACKET ENHANCED MEASUREMENT REPORT message (see sub-clause 5.6.1) if all of the following conditions are met:</w:t>
      </w:r>
    </w:p>
    <w:p w14:paraId="4529C9B7" w14:textId="77777777" w:rsidR="00711444" w:rsidRPr="004D0DAA" w:rsidRDefault="00711444" w:rsidP="00711444">
      <w:pPr>
        <w:ind w:left="568" w:hanging="284"/>
        <w:rPr>
          <w:lang w:eastAsia="en-GB"/>
        </w:rPr>
      </w:pPr>
      <w:r w:rsidRPr="004D0DAA">
        <w:rPr>
          <w:lang w:eastAsia="en-GB"/>
        </w:rPr>
        <w:t>-</w:t>
      </w:r>
      <w:r w:rsidRPr="004D0DAA">
        <w:rPr>
          <w:lang w:eastAsia="en-GB"/>
        </w:rPr>
        <w:tab/>
        <w:t>the mobile station supports "UTRA (respectively E-UTRA) CSG Cells Reporting";</w:t>
      </w:r>
    </w:p>
    <w:p w14:paraId="6F2C40AD" w14:textId="77777777" w:rsidR="00711444" w:rsidRPr="004D0DAA" w:rsidRDefault="00711444" w:rsidP="00711444">
      <w:pPr>
        <w:ind w:left="568" w:hanging="284"/>
        <w:rPr>
          <w:lang w:eastAsia="en-GB"/>
        </w:rPr>
      </w:pPr>
      <w:r w:rsidRPr="004D0DAA">
        <w:rPr>
          <w:lang w:eastAsia="en-GB"/>
        </w:rPr>
        <w:t>-</w:t>
      </w:r>
      <w:r w:rsidRPr="004D0DAA">
        <w:rPr>
          <w:lang w:eastAsia="en-GB"/>
        </w:rPr>
        <w:tab/>
        <w:t>the CSG Whitelist (</w:t>
      </w:r>
      <w:r w:rsidRPr="004D0DAA">
        <w:rPr>
          <w:lang w:eastAsia="zh-CN"/>
        </w:rPr>
        <w:t>see 3GPP TS 23.122</w:t>
      </w:r>
      <w:r w:rsidRPr="004D0DAA">
        <w:rPr>
          <w:lang w:eastAsia="en-GB"/>
        </w:rPr>
        <w:t>) of the mobile station is not empty;</w:t>
      </w:r>
    </w:p>
    <w:p w14:paraId="0FBA2CD4" w14:textId="77777777" w:rsidR="00711444" w:rsidRPr="004D0DAA" w:rsidRDefault="00711444" w:rsidP="00711444">
      <w:pPr>
        <w:ind w:left="568" w:hanging="284"/>
        <w:rPr>
          <w:lang w:eastAsia="en-GB"/>
        </w:rPr>
      </w:pPr>
      <w:r w:rsidRPr="004D0DAA">
        <w:rPr>
          <w:lang w:eastAsia="en-GB"/>
        </w:rPr>
        <w:t>-</w:t>
      </w:r>
      <w:r w:rsidRPr="004D0DAA">
        <w:rPr>
          <w:lang w:eastAsia="en-GB"/>
        </w:rPr>
        <w:tab/>
        <w:t xml:space="preserve">the </w:t>
      </w:r>
      <w:r w:rsidRPr="004D0DAA">
        <w:rPr>
          <w:rFonts w:hint="eastAsia"/>
          <w:i/>
          <w:lang w:eastAsia="en-GB"/>
        </w:rPr>
        <w:t xml:space="preserve">UTRAN </w:t>
      </w:r>
      <w:r w:rsidRPr="004D0DAA">
        <w:rPr>
          <w:i/>
          <w:lang w:eastAsia="en-GB"/>
        </w:rPr>
        <w:t>CSG</w:t>
      </w:r>
      <w:r w:rsidRPr="004D0DAA">
        <w:rPr>
          <w:rFonts w:hint="eastAsia"/>
          <w:i/>
          <w:lang w:eastAsia="en-GB"/>
        </w:rPr>
        <w:t xml:space="preserve"> </w:t>
      </w:r>
      <w:r w:rsidRPr="004D0DAA">
        <w:rPr>
          <w:i/>
          <w:lang w:eastAsia="en-GB"/>
        </w:rPr>
        <w:t>Cells Reporting Description</w:t>
      </w:r>
      <w:r w:rsidRPr="004D0DAA">
        <w:rPr>
          <w:lang w:eastAsia="en-GB"/>
        </w:rPr>
        <w:t xml:space="preserve"> IE (respectively </w:t>
      </w:r>
      <w:r w:rsidRPr="004D0DAA">
        <w:rPr>
          <w:i/>
          <w:lang w:eastAsia="en-GB"/>
        </w:rPr>
        <w:t>E-</w:t>
      </w:r>
      <w:r w:rsidRPr="004D0DAA">
        <w:rPr>
          <w:rFonts w:hint="eastAsia"/>
          <w:i/>
          <w:lang w:eastAsia="en-GB"/>
        </w:rPr>
        <w:t xml:space="preserve">UTRAN </w:t>
      </w:r>
      <w:r w:rsidRPr="004D0DAA">
        <w:rPr>
          <w:i/>
          <w:lang w:eastAsia="en-GB"/>
        </w:rPr>
        <w:t>CSG</w:t>
      </w:r>
      <w:r w:rsidRPr="004D0DAA">
        <w:rPr>
          <w:rFonts w:hint="eastAsia"/>
          <w:i/>
          <w:lang w:eastAsia="en-GB"/>
        </w:rPr>
        <w:t xml:space="preserve"> </w:t>
      </w:r>
      <w:r w:rsidRPr="004D0DAA">
        <w:rPr>
          <w:i/>
          <w:lang w:eastAsia="en-GB"/>
        </w:rPr>
        <w:t>Cells Reporting Description</w:t>
      </w:r>
      <w:r w:rsidRPr="004D0DAA">
        <w:rPr>
          <w:lang w:eastAsia="en-GB"/>
        </w:rPr>
        <w:t xml:space="preserve"> IE) has been received from the network (see subclause 5.6.1);</w:t>
      </w:r>
    </w:p>
    <w:p w14:paraId="74567DC8" w14:textId="77777777" w:rsidR="00711444" w:rsidRPr="004D0DAA" w:rsidRDefault="00711444" w:rsidP="00711444">
      <w:pPr>
        <w:ind w:left="568" w:hanging="284"/>
        <w:rPr>
          <w:lang w:eastAsia="en-GB"/>
        </w:rPr>
      </w:pPr>
      <w:r w:rsidRPr="004D0DAA">
        <w:rPr>
          <w:lang w:eastAsia="en-GB"/>
        </w:rPr>
        <w:t>-</w:t>
      </w:r>
      <w:r w:rsidRPr="004D0DAA">
        <w:rPr>
          <w:lang w:eastAsia="en-GB"/>
        </w:rPr>
        <w:tab/>
        <w:t xml:space="preserve">the mobile station has determined that it is allowed to access the cell, i.e. the CSG ID </w:t>
      </w:r>
      <w:r w:rsidRPr="004D0DAA">
        <w:rPr>
          <w:rFonts w:hint="eastAsia"/>
          <w:lang w:eastAsia="zh-CN"/>
        </w:rPr>
        <w:t xml:space="preserve">and the PLMN ID </w:t>
      </w:r>
      <w:r w:rsidRPr="004D0DAA">
        <w:rPr>
          <w:lang w:eastAsia="en-GB"/>
        </w:rPr>
        <w:t xml:space="preserve">of the CSG cell matches one of the CSG IDs </w:t>
      </w:r>
      <w:r w:rsidRPr="004D0DAA">
        <w:rPr>
          <w:rFonts w:hint="eastAsia"/>
          <w:lang w:eastAsia="zh-CN"/>
        </w:rPr>
        <w:t>with their associated PLMN IDs</w:t>
      </w:r>
      <w:r w:rsidRPr="004D0DAA">
        <w:rPr>
          <w:lang w:eastAsia="en-GB"/>
        </w:rPr>
        <w:t xml:space="preserve"> stored in its CSG Whitelist</w:t>
      </w:r>
      <w:r w:rsidRPr="004D0DAA">
        <w:rPr>
          <w:rFonts w:hint="eastAsia"/>
          <w:lang w:eastAsia="zh-CN"/>
        </w:rPr>
        <w:t xml:space="preserve"> and the PLMN ID </w:t>
      </w:r>
      <w:r w:rsidRPr="004D0DAA">
        <w:rPr>
          <w:lang w:eastAsia="en-GB"/>
        </w:rPr>
        <w:t>of the CSG cell</w:t>
      </w:r>
      <w:r w:rsidRPr="004D0DAA">
        <w:rPr>
          <w:rFonts w:hint="eastAsia"/>
          <w:lang w:eastAsia="zh-CN"/>
        </w:rPr>
        <w:t xml:space="preserve"> </w:t>
      </w:r>
      <w:r w:rsidRPr="004D0DAA">
        <w:rPr>
          <w:lang w:eastAsia="zh-CN"/>
        </w:rPr>
        <w:t>matches the PLMN ID in the RAI received during lat</w:t>
      </w:r>
      <w:r w:rsidRPr="004D0DAA">
        <w:rPr>
          <w:rFonts w:hint="eastAsia"/>
          <w:lang w:eastAsia="zh-CN"/>
        </w:rPr>
        <w:t>est</w:t>
      </w:r>
      <w:r w:rsidRPr="004D0DAA">
        <w:rPr>
          <w:lang w:eastAsia="zh-CN"/>
        </w:rPr>
        <w:t xml:space="preserve"> </w:t>
      </w:r>
      <w:r w:rsidRPr="004D0DAA">
        <w:rPr>
          <w:rFonts w:hint="eastAsia"/>
          <w:lang w:eastAsia="zh-CN"/>
        </w:rPr>
        <w:t>regist</w:t>
      </w:r>
      <w:r w:rsidRPr="004D0DAA">
        <w:rPr>
          <w:lang w:eastAsia="zh-CN"/>
        </w:rPr>
        <w:t>ration or registration update with PS domain</w:t>
      </w:r>
      <w:r w:rsidRPr="004D0DAA">
        <w:rPr>
          <w:lang w:eastAsia="en-GB"/>
        </w:rPr>
        <w:t xml:space="preserve"> </w:t>
      </w:r>
      <w:r w:rsidRPr="004D0DAA">
        <w:rPr>
          <w:lang w:eastAsia="zh-CN"/>
        </w:rPr>
        <w:t>or that of an equivalent PLMN</w:t>
      </w:r>
      <w:r w:rsidRPr="004D0DAA">
        <w:rPr>
          <w:lang w:eastAsia="en-GB"/>
        </w:rPr>
        <w:t>;</w:t>
      </w:r>
    </w:p>
    <w:p w14:paraId="35244769" w14:textId="77777777" w:rsidR="00711444" w:rsidRPr="004D0DAA" w:rsidRDefault="00711444" w:rsidP="00711444">
      <w:pPr>
        <w:ind w:left="568" w:hanging="284"/>
        <w:rPr>
          <w:lang w:eastAsia="en-GB"/>
        </w:rPr>
      </w:pPr>
      <w:r w:rsidRPr="004D0DAA">
        <w:rPr>
          <w:lang w:eastAsia="en-GB"/>
        </w:rPr>
        <w:t>-</w:t>
      </w:r>
      <w:r w:rsidRPr="004D0DAA">
        <w:rPr>
          <w:lang w:eastAsia="en-GB"/>
        </w:rPr>
        <w:tab/>
        <w:t>the reporting criteria specified in 3GPP TS 45.008 are met.</w:t>
      </w:r>
    </w:p>
    <w:p w14:paraId="4BD45465" w14:textId="77777777" w:rsidR="00711444" w:rsidRPr="004D0DAA" w:rsidRDefault="00711444" w:rsidP="00711444">
      <w:pPr>
        <w:rPr>
          <w:lang w:eastAsia="en-GB"/>
        </w:rPr>
      </w:pPr>
      <w:r w:rsidRPr="004D0DAA">
        <w:rPr>
          <w:lang w:eastAsia="en-GB"/>
        </w:rPr>
        <w:t xml:space="preserve">Under these conditions, the mobile station may report a E-UTRAN or UTRAN CSG cell or detected hybrid cell by including the </w:t>
      </w:r>
      <w:r w:rsidRPr="004D0DAA">
        <w:rPr>
          <w:i/>
          <w:lang w:eastAsia="en-GB"/>
        </w:rPr>
        <w:t>E-UTRAN CSG Measurement Report</w:t>
      </w:r>
      <w:r w:rsidRPr="004D0DAA">
        <w:rPr>
          <w:lang w:eastAsia="en-GB"/>
        </w:rPr>
        <w:t xml:space="preserve"> IE or the </w:t>
      </w:r>
      <w:r w:rsidRPr="004D0DAA">
        <w:rPr>
          <w:i/>
          <w:lang w:eastAsia="en-GB"/>
        </w:rPr>
        <w:t>UTRAN CSG Measurement Report</w:t>
      </w:r>
      <w:r w:rsidRPr="004D0DAA">
        <w:rPr>
          <w:lang w:eastAsia="en-GB"/>
        </w:rPr>
        <w:t xml:space="preserve"> IE in the PACKET MEASUREMENT REPORT</w:t>
      </w:r>
      <w:r w:rsidRPr="004D0DAA">
        <w:rPr>
          <w:rFonts w:hint="eastAsia"/>
          <w:lang w:eastAsia="ko-KR"/>
        </w:rPr>
        <w:t xml:space="preserve"> or</w:t>
      </w:r>
      <w:r w:rsidRPr="004D0DAA">
        <w:rPr>
          <w:lang w:eastAsia="en-GB"/>
        </w:rPr>
        <w:t xml:space="preserve"> the PACKET ENHANCED MEASUREMENT REPORT message.</w:t>
      </w:r>
    </w:p>
    <w:p w14:paraId="2BB68AF2" w14:textId="77777777" w:rsidR="00711444" w:rsidRPr="004D0DAA" w:rsidRDefault="00711444" w:rsidP="00711444">
      <w:pPr>
        <w:rPr>
          <w:lang w:eastAsia="en-GB"/>
        </w:rPr>
      </w:pPr>
      <w:r w:rsidRPr="004D0DAA">
        <w:rPr>
          <w:lang w:eastAsia="en-GB"/>
        </w:rPr>
        <w:t>If one or more of these conditions are not met the multi-RAT mobile station in packet transfer mode may only report a UTRAN or E-UTRAN cell detected as a hybrid cell in a PACKET MEASUREMENT REPORT</w:t>
      </w:r>
      <w:r w:rsidRPr="004D0DAA">
        <w:rPr>
          <w:rFonts w:hint="eastAsia"/>
          <w:lang w:eastAsia="ko-KR"/>
        </w:rPr>
        <w:t xml:space="preserve"> </w:t>
      </w:r>
      <w:r w:rsidRPr="004D0DAA">
        <w:rPr>
          <w:lang w:eastAsia="ko-KR"/>
        </w:rPr>
        <w:t xml:space="preserve">message </w:t>
      </w:r>
      <w:r w:rsidRPr="004D0DAA">
        <w:rPr>
          <w:rFonts w:hint="eastAsia"/>
          <w:lang w:eastAsia="ko-KR"/>
        </w:rPr>
        <w:t>or</w:t>
      </w:r>
      <w:r w:rsidRPr="004D0DAA">
        <w:rPr>
          <w:lang w:eastAsia="en-GB"/>
        </w:rPr>
        <w:t xml:space="preserve"> PACKET ENHANCED MEASUREMENT REPORT message using the procedures for non-CSG cells defined in subclause 5.6.</w:t>
      </w:r>
    </w:p>
    <w:p w14:paraId="14FD411B" w14:textId="77777777" w:rsidR="00711444" w:rsidRPr="004D0DAA" w:rsidRDefault="00711444" w:rsidP="00711444">
      <w:pPr>
        <w:rPr>
          <w:lang w:eastAsia="en-GB"/>
        </w:rPr>
      </w:pPr>
      <w:r w:rsidRPr="004D0DAA">
        <w:rPr>
          <w:lang w:eastAsia="en-GB"/>
        </w:rPr>
        <w:t>A multi-RAT mobile station in NC2 mode may send a PACKET CELL CHANGE NOTIFICATION message on PACCH in place of a PACKET MEASUREMENT REPORT</w:t>
      </w:r>
      <w:r w:rsidRPr="004D0DAA">
        <w:rPr>
          <w:rFonts w:hint="eastAsia"/>
          <w:lang w:eastAsia="ko-KR"/>
        </w:rPr>
        <w:t xml:space="preserve"> </w:t>
      </w:r>
      <w:r w:rsidRPr="004D0DAA">
        <w:rPr>
          <w:lang w:eastAsia="ko-KR"/>
        </w:rPr>
        <w:t xml:space="preserve">message </w:t>
      </w:r>
      <w:r w:rsidRPr="004D0DAA">
        <w:rPr>
          <w:rFonts w:hint="eastAsia"/>
          <w:lang w:eastAsia="ko-KR"/>
        </w:rPr>
        <w:t>or</w:t>
      </w:r>
      <w:r w:rsidRPr="004D0DAA">
        <w:rPr>
          <w:lang w:eastAsia="en-GB"/>
        </w:rPr>
        <w:t xml:space="preserve"> PACKET ENHANCED MEASUREMENT REPORT message (see sub-clause 5.6.1), indicating a target cell which is a CSG cell or detected hybrid cell whose CSG ID is in the CSG whitelist of the MS if all of the following conditions are met:</w:t>
      </w:r>
    </w:p>
    <w:p w14:paraId="52B75E75" w14:textId="77777777" w:rsidR="00711444" w:rsidRPr="004D0DAA" w:rsidRDefault="00711444" w:rsidP="00711444">
      <w:pPr>
        <w:ind w:left="568" w:hanging="284"/>
        <w:rPr>
          <w:lang w:eastAsia="en-GB"/>
        </w:rPr>
      </w:pPr>
      <w:r w:rsidRPr="004D0DAA">
        <w:rPr>
          <w:lang w:eastAsia="en-GB"/>
        </w:rPr>
        <w:t>-</w:t>
      </w:r>
      <w:r w:rsidRPr="004D0DAA">
        <w:rPr>
          <w:lang w:eastAsia="en-GB"/>
        </w:rPr>
        <w:tab/>
        <w:t>the CSG Whitelist of the mobile station is not empty; and</w:t>
      </w:r>
    </w:p>
    <w:p w14:paraId="5FAF8A70" w14:textId="77777777" w:rsidR="00711444" w:rsidRPr="004D0DAA" w:rsidRDefault="00711444" w:rsidP="00711444">
      <w:pPr>
        <w:ind w:left="568" w:hanging="284"/>
        <w:rPr>
          <w:lang w:eastAsia="en-GB"/>
        </w:rPr>
      </w:pPr>
      <w:r w:rsidRPr="004D0DAA">
        <w:rPr>
          <w:lang w:eastAsia="en-GB"/>
        </w:rPr>
        <w:t>-</w:t>
      </w:r>
      <w:r w:rsidRPr="004D0DAA">
        <w:rPr>
          <w:lang w:eastAsia="en-GB"/>
        </w:rPr>
        <w:tab/>
        <w:t xml:space="preserve">for a UTRAN cell, either the MS does not support "UTRA CSG Cells Reporting" or the </w:t>
      </w:r>
      <w:r w:rsidRPr="004D0DAA">
        <w:rPr>
          <w:rFonts w:hint="eastAsia"/>
          <w:i/>
          <w:lang w:eastAsia="en-GB"/>
        </w:rPr>
        <w:t xml:space="preserve">UTRAN </w:t>
      </w:r>
      <w:r w:rsidRPr="004D0DAA">
        <w:rPr>
          <w:i/>
          <w:lang w:eastAsia="en-GB"/>
        </w:rPr>
        <w:t>CSG</w:t>
      </w:r>
      <w:r w:rsidRPr="004D0DAA">
        <w:rPr>
          <w:rFonts w:hint="eastAsia"/>
          <w:i/>
          <w:lang w:eastAsia="en-GB"/>
        </w:rPr>
        <w:t xml:space="preserve"> </w:t>
      </w:r>
      <w:r w:rsidRPr="004D0DAA">
        <w:rPr>
          <w:i/>
          <w:lang w:eastAsia="en-GB"/>
        </w:rPr>
        <w:t>Cells Reporting Description</w:t>
      </w:r>
      <w:r w:rsidRPr="004D0DAA">
        <w:rPr>
          <w:lang w:eastAsia="en-GB"/>
        </w:rPr>
        <w:t xml:space="preserve"> IE has not been received from the network (or both); and</w:t>
      </w:r>
    </w:p>
    <w:p w14:paraId="6C5EE604" w14:textId="77777777" w:rsidR="00711444" w:rsidRPr="004D0DAA" w:rsidRDefault="00711444" w:rsidP="00711444">
      <w:pPr>
        <w:ind w:left="568" w:hanging="284"/>
        <w:rPr>
          <w:lang w:eastAsia="en-GB"/>
        </w:rPr>
      </w:pPr>
      <w:r w:rsidRPr="004D0DAA">
        <w:rPr>
          <w:lang w:eastAsia="en-GB"/>
        </w:rPr>
        <w:t>-</w:t>
      </w:r>
      <w:r w:rsidRPr="004D0DAA">
        <w:rPr>
          <w:lang w:eastAsia="en-GB"/>
        </w:rPr>
        <w:tab/>
        <w:t xml:space="preserve">for an E-UTRAN cell, either the MS does not support "E-UTRA CSG Cells Reporting" or the </w:t>
      </w:r>
      <w:r w:rsidRPr="004D0DAA">
        <w:rPr>
          <w:i/>
          <w:lang w:eastAsia="en-GB"/>
        </w:rPr>
        <w:t>E-</w:t>
      </w:r>
      <w:r w:rsidRPr="004D0DAA">
        <w:rPr>
          <w:rFonts w:hint="eastAsia"/>
          <w:i/>
          <w:lang w:eastAsia="en-GB"/>
        </w:rPr>
        <w:t xml:space="preserve">UTRAN </w:t>
      </w:r>
      <w:r w:rsidRPr="004D0DAA">
        <w:rPr>
          <w:i/>
          <w:lang w:eastAsia="en-GB"/>
        </w:rPr>
        <w:t>CSG</w:t>
      </w:r>
      <w:r w:rsidRPr="004D0DAA">
        <w:rPr>
          <w:rFonts w:hint="eastAsia"/>
          <w:i/>
          <w:lang w:eastAsia="en-GB"/>
        </w:rPr>
        <w:t xml:space="preserve"> </w:t>
      </w:r>
      <w:r w:rsidRPr="004D0DAA">
        <w:rPr>
          <w:i/>
          <w:lang w:eastAsia="en-GB"/>
        </w:rPr>
        <w:t>Cells Reporting Description</w:t>
      </w:r>
      <w:r w:rsidRPr="004D0DAA">
        <w:rPr>
          <w:lang w:eastAsia="en-GB"/>
        </w:rPr>
        <w:t xml:space="preserve"> IE has not been received from the network (or both); and</w:t>
      </w:r>
    </w:p>
    <w:p w14:paraId="0FAB26E9" w14:textId="77777777" w:rsidR="00711444" w:rsidRPr="004D0DAA" w:rsidRDefault="00711444" w:rsidP="00711444">
      <w:pPr>
        <w:ind w:left="568" w:hanging="284"/>
        <w:rPr>
          <w:lang w:eastAsia="en-GB"/>
        </w:rPr>
      </w:pPr>
      <w:r w:rsidRPr="004D0DAA">
        <w:rPr>
          <w:lang w:eastAsia="en-GB"/>
        </w:rPr>
        <w:t>-</w:t>
      </w:r>
      <w:r w:rsidRPr="004D0DAA">
        <w:rPr>
          <w:lang w:eastAsia="en-GB"/>
        </w:rPr>
        <w:tab/>
        <w:t>the cell reselection criteria for autonomous reselection towards a CSG cell in NC0/NC1 mode (see 3GPP TS 45.008) have been met and;</w:t>
      </w:r>
    </w:p>
    <w:p w14:paraId="34006B13" w14:textId="77777777" w:rsidR="00711444" w:rsidRPr="004D0DAA" w:rsidRDefault="00711444" w:rsidP="00711444">
      <w:pPr>
        <w:ind w:left="568" w:hanging="284"/>
        <w:rPr>
          <w:lang w:eastAsia="en-GB"/>
        </w:rPr>
      </w:pPr>
      <w:r w:rsidRPr="004D0DAA">
        <w:rPr>
          <w:lang w:eastAsia="en-GB"/>
        </w:rPr>
        <w:t>-</w:t>
      </w:r>
      <w:r w:rsidRPr="004D0DAA">
        <w:rPr>
          <w:lang w:eastAsia="en-GB"/>
        </w:rPr>
        <w:tab/>
        <w:t xml:space="preserve">the </w:t>
      </w:r>
      <w:r w:rsidRPr="004D0DAA">
        <w:rPr>
          <w:i/>
          <w:lang w:eastAsia="en-GB"/>
        </w:rPr>
        <w:t>NC2_CSG_PCCN_permitted</w:t>
      </w:r>
      <w:r w:rsidRPr="004D0DAA">
        <w:rPr>
          <w:lang w:eastAsia="en-GB"/>
        </w:rPr>
        <w:t xml:space="preserve"> field (see 3GPP TS 44.018) has been received in System Information Type 2quater and is equal to '1'.</w:t>
      </w:r>
    </w:p>
    <w:p w14:paraId="0F1874BF" w14:textId="77777777" w:rsidR="00711444" w:rsidRPr="004D0DAA" w:rsidRDefault="00711444" w:rsidP="00711444">
      <w:pPr>
        <w:keepLines/>
        <w:ind w:left="1135" w:hanging="851"/>
        <w:rPr>
          <w:lang w:eastAsia="en-GB"/>
        </w:rPr>
      </w:pPr>
      <w:r w:rsidRPr="004D0DAA">
        <w:rPr>
          <w:lang w:eastAsia="en-GB"/>
        </w:rPr>
        <w:t>NOTE:</w:t>
      </w:r>
      <w:r w:rsidRPr="004D0DAA">
        <w:rPr>
          <w:lang w:eastAsia="en-GB"/>
        </w:rPr>
        <w:tab/>
        <w:t>The sending of the PACKET CELL CHANGE NOTIFICATION message when these conditions are met is not conditional on the setting of 3G_CCN_ACTIVE or E-UTRAN_CCN_ACTIVE.</w:t>
      </w:r>
    </w:p>
    <w:p w14:paraId="384389BF" w14:textId="77777777" w:rsidR="00711444" w:rsidRPr="004D0DAA" w:rsidRDefault="00711444" w:rsidP="00711444">
      <w:pPr>
        <w:rPr>
          <w:lang w:eastAsia="en-GB"/>
        </w:rPr>
      </w:pPr>
      <w:r w:rsidRPr="004D0DAA">
        <w:rPr>
          <w:lang w:eastAsia="en-GB"/>
        </w:rPr>
        <w:t xml:space="preserve">If these conditions are met and a mobile station sends a PACKET CELL CHANGE NOTIFICATION message, it shall indicate the CSG cell as the target cell in the PACKET CELL CHANGE NOTIFICATION message using the </w:t>
      </w:r>
      <w:r w:rsidRPr="004D0DAA">
        <w:rPr>
          <w:i/>
          <w:lang w:eastAsia="en-GB"/>
        </w:rPr>
        <w:t xml:space="preserve">3G Target Cell Struct </w:t>
      </w:r>
      <w:r w:rsidRPr="004D0DAA">
        <w:rPr>
          <w:lang w:eastAsia="en-GB"/>
        </w:rPr>
        <w:t xml:space="preserve">or </w:t>
      </w:r>
      <w:r w:rsidRPr="004D0DAA">
        <w:rPr>
          <w:i/>
          <w:lang w:eastAsia="en-GB"/>
        </w:rPr>
        <w:t>E-UTRAN Target Cell Struct</w:t>
      </w:r>
      <w:r w:rsidRPr="004D0DAA">
        <w:rPr>
          <w:lang w:eastAsia="en-GB"/>
        </w:rPr>
        <w:t xml:space="preserve"> (</w:t>
      </w:r>
      <w:r w:rsidRPr="004D0DAA">
        <w:rPr>
          <w:lang w:eastAsia="zh-CN"/>
        </w:rPr>
        <w:t xml:space="preserve">alternatively, if the mobile station and the network supports extended EARFCNs, the </w:t>
      </w:r>
      <w:r w:rsidRPr="004D0DAA">
        <w:rPr>
          <w:i/>
          <w:lang w:eastAsia="en-GB"/>
        </w:rPr>
        <w:t>E-UTRAN Target Cell with extended EARFCN struct</w:t>
      </w:r>
      <w:r w:rsidRPr="004D0DAA">
        <w:rPr>
          <w:lang w:eastAsia="en-GB"/>
        </w:rPr>
        <w:t>) and shall include the CSG Discriminator bit. The remaining contents of the PACKET CELL CHANGE NOTIFICATION message shall be as specified for the case of entering CCN mode (see sub-clause 8.8.3). The network may respond to the PACKET CELL CHANGE NOTIFICATION with a PACKET CELL CHANGE ORDER message. The mobile station shall not enter CCN mode and shall not perform a cell change unless a PACKET CELL CHANGE ORDER message is received.</w:t>
      </w:r>
    </w:p>
    <w:p w14:paraId="12082D5F" w14:textId="77777777" w:rsidR="00711444" w:rsidRPr="004D0DAA" w:rsidRDefault="00711444" w:rsidP="00711444">
      <w:pPr>
        <w:keepLines/>
        <w:ind w:left="1135" w:hanging="851"/>
        <w:rPr>
          <w:lang w:eastAsia="en-GB"/>
        </w:rPr>
      </w:pPr>
      <w:r w:rsidRPr="004D0DAA">
        <w:rPr>
          <w:lang w:eastAsia="en-GB"/>
        </w:rPr>
        <w:t>NOTE:</w:t>
      </w:r>
      <w:r w:rsidRPr="004D0DAA">
        <w:rPr>
          <w:lang w:eastAsia="en-GB"/>
        </w:rPr>
        <w:tab/>
        <w:t xml:space="preserve">The use of PACKET CELL CHANGE NOTIFICATION message to report a CSG cell by a mobile station in packet transfer mode in NC0/NC1 mode (including the case where the MS supports CSG Cells Reporting and the </w:t>
      </w:r>
      <w:r w:rsidRPr="004D0DAA">
        <w:rPr>
          <w:i/>
          <w:lang w:eastAsia="en-GB"/>
        </w:rPr>
        <w:t>CSG</w:t>
      </w:r>
      <w:r w:rsidRPr="004D0DAA">
        <w:rPr>
          <w:rFonts w:hint="eastAsia"/>
          <w:i/>
          <w:lang w:eastAsia="en-GB"/>
        </w:rPr>
        <w:t xml:space="preserve"> </w:t>
      </w:r>
      <w:r w:rsidRPr="004D0DAA">
        <w:rPr>
          <w:i/>
          <w:lang w:eastAsia="en-GB"/>
        </w:rPr>
        <w:t>Cells Reporting Description</w:t>
      </w:r>
      <w:r w:rsidRPr="004D0DAA">
        <w:rPr>
          <w:lang w:eastAsia="en-GB"/>
        </w:rPr>
        <w:t xml:space="preserve"> IE has been received from the network) is specified in sub-clause 8.8.3.</w:t>
      </w:r>
    </w:p>
    <w:p w14:paraId="5EC145D7" w14:textId="77777777" w:rsidR="00711444" w:rsidRPr="004D0DAA" w:rsidRDefault="00711444" w:rsidP="00711444">
      <w:pPr>
        <w:rPr>
          <w:lang w:eastAsia="en-GB"/>
        </w:rPr>
      </w:pPr>
      <w:r w:rsidRPr="004D0DAA">
        <w:rPr>
          <w:lang w:eastAsia="en-GB"/>
        </w:rPr>
        <w:lastRenderedPageBreak/>
        <w:t>The CSG Discriminator</w:t>
      </w:r>
      <w:r w:rsidRPr="004D0DAA">
        <w:rPr>
          <w:rFonts w:hint="eastAsia"/>
          <w:lang w:eastAsia="ko-KR"/>
        </w:rPr>
        <w:t xml:space="preserve"> shall be </w:t>
      </w:r>
      <w:r w:rsidRPr="004D0DAA">
        <w:rPr>
          <w:lang w:eastAsia="ko-KR"/>
        </w:rPr>
        <w:t>incremented by one modulo 2</w:t>
      </w:r>
      <w:r w:rsidRPr="004D0DAA">
        <w:rPr>
          <w:rFonts w:hint="eastAsia"/>
          <w:lang w:eastAsia="ko-KR"/>
        </w:rPr>
        <w:t xml:space="preserve"> whenever the mobile station reports </w:t>
      </w:r>
      <w:r w:rsidRPr="004D0DAA">
        <w:rPr>
          <w:lang w:eastAsia="ko-KR"/>
        </w:rPr>
        <w:t xml:space="preserve">a </w:t>
      </w:r>
      <w:r w:rsidRPr="004D0DAA">
        <w:rPr>
          <w:rFonts w:hint="eastAsia"/>
          <w:lang w:eastAsia="ko-KR"/>
        </w:rPr>
        <w:t xml:space="preserve">different CSG cell having the same physical layer parameters </w:t>
      </w:r>
      <w:r w:rsidRPr="004D0DAA">
        <w:rPr>
          <w:lang w:eastAsia="ko-KR"/>
        </w:rPr>
        <w:t>as</w:t>
      </w:r>
      <w:r w:rsidRPr="004D0DAA">
        <w:rPr>
          <w:rFonts w:hint="eastAsia"/>
          <w:lang w:eastAsia="ko-KR"/>
        </w:rPr>
        <w:t xml:space="preserve"> the previously reported CSG cell. </w:t>
      </w:r>
      <w:r w:rsidRPr="004D0DAA">
        <w:rPr>
          <w:lang w:eastAsia="ko-KR"/>
        </w:rPr>
        <w:t>T</w:t>
      </w:r>
      <w:r w:rsidRPr="004D0DAA">
        <w:rPr>
          <w:rFonts w:hint="eastAsia"/>
          <w:lang w:eastAsia="ko-KR"/>
        </w:rPr>
        <w:t xml:space="preserve">he </w:t>
      </w:r>
      <w:r w:rsidRPr="004D0DAA">
        <w:rPr>
          <w:lang w:eastAsia="ko-KR"/>
        </w:rPr>
        <w:t>initial</w:t>
      </w:r>
      <w:r w:rsidRPr="004D0DAA">
        <w:rPr>
          <w:rFonts w:hint="eastAsia"/>
          <w:lang w:eastAsia="ko-KR"/>
        </w:rPr>
        <w:t xml:space="preserve"> value of the </w:t>
      </w:r>
      <w:r w:rsidRPr="004D0DAA">
        <w:rPr>
          <w:lang w:eastAsia="en-GB"/>
        </w:rPr>
        <w:t xml:space="preserve">CSG Discriminator </w:t>
      </w:r>
      <w:r w:rsidRPr="004D0DAA">
        <w:rPr>
          <w:rFonts w:hint="eastAsia"/>
          <w:lang w:eastAsia="ko-KR"/>
        </w:rPr>
        <w:t>is 0</w:t>
      </w:r>
      <w:r w:rsidRPr="004D0DAA">
        <w:rPr>
          <w:lang w:eastAsia="en-GB"/>
        </w:rPr>
        <w:t>. The mobile station shall use individual sequences of CSG Discriminator for CSG cells with different physical layer parameters.</w:t>
      </w:r>
    </w:p>
    <w:p w14:paraId="37A12904" w14:textId="77777777" w:rsidR="00711444" w:rsidRPr="004D0DAA" w:rsidRDefault="00711444" w:rsidP="00711444">
      <w:pPr>
        <w:pStyle w:val="NO"/>
        <w:ind w:left="0" w:firstLine="0"/>
        <w:rPr>
          <w:noProof/>
          <w:sz w:val="40"/>
          <w:szCs w:val="40"/>
          <w:lang w:eastAsia="ja-JP"/>
        </w:rPr>
      </w:pPr>
      <w:r w:rsidRPr="004D0DAA">
        <w:rPr>
          <w:lang w:eastAsia="en-GB"/>
        </w:rPr>
        <w:t>When the mobile station leaves NC2 mode or moves to a new cell, the mobile station shall delete all CSG Discriminator information.</w:t>
      </w:r>
    </w:p>
    <w:p w14:paraId="3CAF451C" w14:textId="77777777" w:rsidR="00711444" w:rsidRPr="004D0DAA" w:rsidRDefault="00711444" w:rsidP="00711444">
      <w:pPr>
        <w:pStyle w:val="Heading3"/>
      </w:pPr>
      <w:bookmarkStart w:id="102" w:name="_Toc516669290"/>
      <w:r w:rsidRPr="004D0DAA">
        <w:t>5.6.4</w:t>
      </w:r>
      <w:r w:rsidRPr="004D0DAA">
        <w:tab/>
        <w:t>Measurement reporting in broadcast/multicast receive mode</w:t>
      </w:r>
      <w:bookmarkEnd w:id="102"/>
    </w:p>
    <w:p w14:paraId="2AFB2807" w14:textId="77777777" w:rsidR="00711444" w:rsidRPr="004D0DAA" w:rsidRDefault="00711444" w:rsidP="00711444">
      <w:r w:rsidRPr="004D0DAA">
        <w:t xml:space="preserve">The mobile station in broadcast/multicast receive mode shall report neighbouring cell measurements when polled for an MBMS DOWNLINK ACK/NACK message according to the procedures specified in sub-clause 8.1.4.2. Measurement reporting in broadcast/multicast receive mode shall not affect the procedure for NC measurement reporting defined in sub-clause 5.6.1. </w:t>
      </w:r>
    </w:p>
    <w:p w14:paraId="003B5AC1" w14:textId="77777777" w:rsidR="00711444" w:rsidRPr="004D0DAA" w:rsidRDefault="00711444" w:rsidP="00711444">
      <w:r w:rsidRPr="004D0DAA">
        <w:t>For reporting neighbouring cells in the MBMS Neighbouring Cell Report struct, the following rules apply:</w:t>
      </w:r>
    </w:p>
    <w:p w14:paraId="00155929" w14:textId="77777777" w:rsidR="00711444" w:rsidRPr="004D0DAA" w:rsidRDefault="00711444" w:rsidP="00711444">
      <w:pPr>
        <w:pStyle w:val="B1"/>
      </w:pPr>
      <w:r w:rsidRPr="004D0DAA">
        <w:t>-</w:t>
      </w:r>
      <w:r w:rsidRPr="004D0DAA">
        <w:tab/>
        <w:t>the neighbouring cells shall belong to the six strongest non-serving and allowed (see 3GPP TS 45.008) carriers</w:t>
      </w:r>
    </w:p>
    <w:p w14:paraId="4E0A3277" w14:textId="77777777" w:rsidR="00711444" w:rsidRPr="004D0DAA" w:rsidRDefault="00711444" w:rsidP="00711444">
      <w:pPr>
        <w:pStyle w:val="B1"/>
      </w:pPr>
      <w:r w:rsidRPr="004D0DAA">
        <w:t>-</w:t>
      </w:r>
      <w:r w:rsidRPr="004D0DAA">
        <w:tab/>
        <w:t>the cells for which cell reselection parameters have been acquired, shall be reported in decreasing order of the corresponding cell re-selection ranking (see 3GPP TS 45.008), i.e. the highest ranked first.</w:t>
      </w:r>
    </w:p>
    <w:p w14:paraId="783EECC3" w14:textId="77777777" w:rsidR="00711444" w:rsidRPr="004D0DAA" w:rsidRDefault="00711444" w:rsidP="00711444">
      <w:pPr>
        <w:pStyle w:val="B1"/>
      </w:pPr>
      <w:r w:rsidRPr="004D0DAA">
        <w:t>-</w:t>
      </w:r>
      <w:r w:rsidRPr="004D0DAA">
        <w:tab/>
        <w:t xml:space="preserve">the neighbouring cells for which cell reselection parameters have not been acquired, shall be reported in decreasing order of the received signal level average (see 3GPP TS 45.008), i.e. the neighbouring cell with highest received signal average first. </w:t>
      </w:r>
    </w:p>
    <w:p w14:paraId="210DDDBE" w14:textId="77777777" w:rsidR="00711444" w:rsidRPr="004D0DAA" w:rsidRDefault="00711444" w:rsidP="00711444">
      <w:pPr>
        <w:pStyle w:val="B1"/>
      </w:pPr>
      <w:r w:rsidRPr="004D0DAA">
        <w:t>-</w:t>
      </w:r>
      <w:r w:rsidRPr="004D0DAA">
        <w:tab/>
        <w:t>in case there are cells for which cell reselection parameters have and cells for which cell reselection parameters have not been acquired to be included in the MBMS Neighbouring Cell Report struct, the cells shall be reported in alternating order, starting with the highest ranked cell for which cell reselection parameters have been acquired.</w:t>
      </w:r>
    </w:p>
    <w:p w14:paraId="2C0080E4" w14:textId="77777777" w:rsidR="00711444" w:rsidRPr="004D0DAA" w:rsidRDefault="00711444" w:rsidP="00711444">
      <w:pPr>
        <w:pStyle w:val="B1"/>
      </w:pPr>
      <w:r w:rsidRPr="004D0DAA">
        <w:t>-</w:t>
      </w:r>
      <w:r w:rsidRPr="004D0DAA">
        <w:tab/>
        <w:t>the MBMS Neighbouring Cell Report struct shall include as many cells as possible but shall not exceed 6 cells.</w:t>
      </w:r>
    </w:p>
    <w:p w14:paraId="2A5D6D84" w14:textId="77777777" w:rsidR="00711444" w:rsidRPr="004D0DAA" w:rsidRDefault="00711444" w:rsidP="00711444">
      <w:pPr>
        <w:pStyle w:val="EX"/>
      </w:pPr>
      <w:r w:rsidRPr="004D0DAA">
        <w:t>EXAMPLE:</w:t>
      </w:r>
      <w:r w:rsidRPr="004D0DAA">
        <w:tab/>
        <w:t xml:space="preserve">there is space to report 4 neighbouring cells in the MBMS DOWNLINK ACK/NACK message. </w:t>
      </w:r>
      <w:r w:rsidRPr="004D0DAA">
        <w:br/>
      </w:r>
      <w:r w:rsidRPr="004D0DAA">
        <w:br/>
        <w:t>In this case, the neighbouring cells in the MBMS Neighbouring Cell Report stuct shall be reported in the following order :</w:t>
      </w:r>
      <w:r w:rsidRPr="004D0DAA">
        <w:br/>
      </w:r>
      <w:r w:rsidRPr="004D0DAA">
        <w:br/>
        <w:t>y(1), n(1), y(2), y(3), cells y(4) and y(5) are not reported,</w:t>
      </w:r>
      <w:r w:rsidRPr="004D0DAA">
        <w:br/>
      </w:r>
      <w:r w:rsidRPr="004D0DAA">
        <w:br/>
        <w:t xml:space="preserve">where </w:t>
      </w:r>
      <w:r w:rsidRPr="004D0DAA">
        <w:br/>
      </w:r>
      <w:r w:rsidRPr="004D0DAA">
        <w:br/>
        <w:t>y(1) is the highest ranked cell for which cell reselection parameters have been acquired</w:t>
      </w:r>
      <w:r w:rsidRPr="004D0DAA">
        <w:br/>
        <w:t>y(2) is the 2</w:t>
      </w:r>
      <w:r w:rsidRPr="004D0DAA">
        <w:rPr>
          <w:vertAlign w:val="superscript"/>
        </w:rPr>
        <w:t>nd</w:t>
      </w:r>
      <w:r w:rsidRPr="004D0DAA">
        <w:t xml:space="preserve"> highest ranked cell for which cell reselection parameters have been acquired</w:t>
      </w:r>
      <w:r w:rsidRPr="004D0DAA">
        <w:br/>
        <w:t>y(3) is the 3</w:t>
      </w:r>
      <w:r w:rsidRPr="004D0DAA">
        <w:rPr>
          <w:vertAlign w:val="superscript"/>
        </w:rPr>
        <w:t>rd</w:t>
      </w:r>
      <w:r w:rsidRPr="004D0DAA">
        <w:t xml:space="preserve"> highest ranked cell for which cell reselection parameters have been acquired</w:t>
      </w:r>
      <w:r w:rsidRPr="004D0DAA">
        <w:br/>
        <w:t>y(4) is the 4</w:t>
      </w:r>
      <w:r w:rsidRPr="004D0DAA">
        <w:rPr>
          <w:vertAlign w:val="superscript"/>
        </w:rPr>
        <w:t>th</w:t>
      </w:r>
      <w:r w:rsidRPr="004D0DAA">
        <w:t xml:space="preserve"> highest ranked cell for which cell reselection parameters have been acquired</w:t>
      </w:r>
      <w:r w:rsidRPr="004D0DAA">
        <w:br/>
        <w:t>y(5) is the 5</w:t>
      </w:r>
      <w:r w:rsidRPr="004D0DAA">
        <w:rPr>
          <w:vertAlign w:val="superscript"/>
        </w:rPr>
        <w:t>th</w:t>
      </w:r>
      <w:r w:rsidRPr="004D0DAA">
        <w:t xml:space="preserve"> highest ranked cell for which cell reselection parameters have been acquired</w:t>
      </w:r>
      <w:r w:rsidRPr="004D0DAA">
        <w:br/>
        <w:t>n(1) is the highest ranked (and the only one within the 6 strongest) cell for which cell reselection parameters have not been acquired</w:t>
      </w:r>
      <w:r w:rsidRPr="004D0DAA">
        <w:br/>
      </w:r>
    </w:p>
    <w:p w14:paraId="5D3F2DC1" w14:textId="77777777" w:rsidR="00711444" w:rsidRPr="004D0DAA" w:rsidRDefault="00711444" w:rsidP="00711444">
      <w:r w:rsidRPr="004D0DAA">
        <w:t>If cell re-selection is triggered towards a neighbouring cell (see 3GPP TS 45.008), the mobile station shall indicate this to the network with the RESEL_CRITERIA_FULFILLED parameter when reporting measurement results for that cell. In this case, the mobile station shall not include any other measurement results for any other neighbouring cell in the MBMS Neighbouring Cell Report struct.</w:t>
      </w:r>
    </w:p>
    <w:p w14:paraId="5BCB25EB" w14:textId="77777777" w:rsidR="00711444" w:rsidRPr="004D0DAA" w:rsidRDefault="00711444" w:rsidP="00711444">
      <w:r w:rsidRPr="004D0DAA">
        <w:t xml:space="preserve">When reporting measurement results for a neighbouring cell, the mobile station shall indicate with the RESEL_PARAMS_ACQUIRED parameter whether it has acquired the reselection parameters for that cell. The mobile station shall also indicate whether it has received (as described in sub-clause 7.7.3) the MBMS bearer parameters in that cell for the MBMS session acknowledged in the MBMS DOWNLINK ACK/NACK message. If so the mobile station shall indicate the latest corresponding (i.e. for that cell and that session) MBMS_PTM_CHANGE_MARK parameter received. The network may use this information to schedule MBMS NEIGHBOURING CELL INFORMATION messages accordingly. If for a given session the network has received from a mobile station an indication that no </w:t>
      </w:r>
      <w:r w:rsidRPr="004D0DAA">
        <w:lastRenderedPageBreak/>
        <w:t>MBMS bearer parameters for that session in a neighbouring cell have been received, the network may establish that session in that neighbouring cell, if not already established provided that that cell supports MBMS and belongs to the MBMS service area.</w:t>
      </w:r>
    </w:p>
    <w:p w14:paraId="1B7A9C4A" w14:textId="77777777" w:rsidR="00711444" w:rsidRPr="004D0DAA" w:rsidRDefault="00711444" w:rsidP="00711444">
      <w:pPr>
        <w:pStyle w:val="Heading2"/>
      </w:pPr>
      <w:bookmarkStart w:id="103" w:name="_Toc516669291"/>
      <w:r w:rsidRPr="004D0DAA">
        <w:t>5.7</w:t>
      </w:r>
      <w:r w:rsidRPr="004D0DAA">
        <w:tab/>
        <w:t>Dual transfer mode enhancements</w:t>
      </w:r>
      <w:bookmarkEnd w:id="103"/>
    </w:p>
    <w:p w14:paraId="49CA7649" w14:textId="77777777" w:rsidR="00711444" w:rsidRPr="004D0DAA" w:rsidRDefault="00711444" w:rsidP="00711444">
      <w:r w:rsidRPr="004D0DAA">
        <w:t>The mobile station and the network may support enhanced DTM CS establishment and enhanced DTM CS release procedures, called DTM enhancements.</w:t>
      </w:r>
    </w:p>
    <w:p w14:paraId="77289938" w14:textId="77777777" w:rsidR="00711444" w:rsidRPr="004D0DAA" w:rsidRDefault="00711444" w:rsidP="00711444">
      <w:r w:rsidRPr="004D0DAA">
        <w:t>By using enhanced DTM CS establishment procedure, an RR connection can be initiated by either the mobile station or the network while the mobile station is in packet transfer mode. The procedure is specified in sub-clause 8.9.</w:t>
      </w:r>
    </w:p>
    <w:p w14:paraId="6B8AFD37" w14:textId="77777777" w:rsidR="00711444" w:rsidRPr="004D0DAA" w:rsidRDefault="00711444" w:rsidP="00711444">
      <w:r w:rsidRPr="004D0DAA">
        <w:t xml:space="preserve">By using enhanced DTM CS release, the network may delay the release of the RR connection until the mobile station in dual transfer mode has received the required system information, in order to maintain the radio resources (PDCH(s)) after the release of the RR connection while in dual transfer mode, as specified in sub-clause 5.5.1.1b.5. </w:t>
      </w:r>
    </w:p>
    <w:p w14:paraId="4E211B32" w14:textId="77777777" w:rsidR="00711444" w:rsidRPr="004D0DAA" w:rsidRDefault="00711444" w:rsidP="00711444">
      <w:r w:rsidRPr="004D0DAA">
        <w:t xml:space="preserve">The support of the DTM enhancements is optional for the mobile station and the network and is indicated in the </w:t>
      </w:r>
      <w:r w:rsidRPr="004D0DAA">
        <w:rPr>
          <w:i/>
          <w:iCs/>
        </w:rPr>
        <w:t xml:space="preserve">Mobile Station Classmark 3 </w:t>
      </w:r>
      <w:r w:rsidRPr="004D0DAA">
        <w:t xml:space="preserve">IE, the </w:t>
      </w:r>
      <w:r w:rsidRPr="004D0DAA">
        <w:rPr>
          <w:i/>
          <w:iCs/>
        </w:rPr>
        <w:t>MS Radio Access Capability</w:t>
      </w:r>
      <w:r w:rsidRPr="004D0DAA">
        <w:t xml:space="preserve"> IE and the </w:t>
      </w:r>
      <w:r w:rsidRPr="004D0DAA">
        <w:rPr>
          <w:i/>
          <w:iCs/>
        </w:rPr>
        <w:t>GPRS Cell Options</w:t>
      </w:r>
      <w:r w:rsidRPr="004D0DAA">
        <w:t xml:space="preserve"> IE. A mobile station supporting the DTM enhancements shall also support the extended RLC/MAC control message segmentation as defined in 9.1.12a. The DTM enhancements shall be used if the mobile station and the network support them.</w:t>
      </w:r>
    </w:p>
    <w:p w14:paraId="671D1C83" w14:textId="77777777" w:rsidR="00711444" w:rsidRPr="004D0DAA" w:rsidRDefault="00711444" w:rsidP="00711444">
      <w:pPr>
        <w:pStyle w:val="Heading2"/>
        <w:tabs>
          <w:tab w:val="left" w:pos="11520"/>
        </w:tabs>
        <w:rPr>
          <w:b/>
        </w:rPr>
      </w:pPr>
      <w:bookmarkStart w:id="104" w:name="_Toc516669292"/>
      <w:r w:rsidRPr="004D0DAA">
        <w:t>5.8</w:t>
      </w:r>
      <w:r w:rsidRPr="004D0DAA">
        <w:tab/>
        <w:t>DTM Handover</w:t>
      </w:r>
      <w:bookmarkEnd w:id="104"/>
    </w:p>
    <w:p w14:paraId="62DBB524" w14:textId="77777777" w:rsidR="00711444" w:rsidRPr="004D0DAA" w:rsidRDefault="00711444" w:rsidP="00711444">
      <w:r w:rsidRPr="004D0DAA">
        <w:t>Mobile station and network support for DTM handover is optional. The mobile station shall indicate its support for DTM handover in the Mobile Station Classmark 3 IE and the MS Radio Access Capabilities IE (see 3GPP TS 24.008). A mobile station supporting DTM handover shall also support the extended RLC/MAC control message segmentation as defined in sub-clause 9.1.12a. The DTM handover procedure consists of the CS handover procedure (see 3GPP TS 44.018) and the PS handover procedure (see sub-clause 8.10) running in parallel with exceptions as outlined in 3GPP TS 48.008.</w:t>
      </w:r>
    </w:p>
    <w:p w14:paraId="21C100F8" w14:textId="77777777" w:rsidR="00711444" w:rsidRPr="004D0DAA" w:rsidRDefault="00711444" w:rsidP="00711444">
      <w:pPr>
        <w:pStyle w:val="Heading2"/>
        <w:tabs>
          <w:tab w:val="left" w:pos="11520"/>
        </w:tabs>
      </w:pPr>
      <w:bookmarkStart w:id="105" w:name="_Toc516669293"/>
      <w:r w:rsidRPr="004D0DAA">
        <w:t>5.9</w:t>
      </w:r>
      <w:r w:rsidRPr="004D0DAA">
        <w:tab/>
        <w:t>Downlink Dual Carrier</w:t>
      </w:r>
      <w:bookmarkEnd w:id="105"/>
    </w:p>
    <w:p w14:paraId="044EEA3D" w14:textId="77777777" w:rsidR="00711444" w:rsidRPr="004D0DAA" w:rsidRDefault="00711444" w:rsidP="00711444">
      <w:r w:rsidRPr="004D0DAA">
        <w:t xml:space="preserve">Mobile station and network support for Downlink Dual Carrier is optional. The mobile station shall indicate its support for Downlink Dual Carrier in the </w:t>
      </w:r>
      <w:r w:rsidRPr="004D0DAA">
        <w:rPr>
          <w:i/>
        </w:rPr>
        <w:t>MS Radio Access Capabilities</w:t>
      </w:r>
      <w:r w:rsidRPr="004D0DAA">
        <w:t xml:space="preserve"> IE (see 3GPP TS 24.008). A mobile station and a network that support Downlink Dual Carrier shall also support EGPRS TBFs. A mobile station supporting Downlink Dual Carrier shall also support the extended RLC/MAC control message segmentation as defined in sub-clause 9.1.12a.</w:t>
      </w:r>
    </w:p>
    <w:p w14:paraId="627CC5DA" w14:textId="77777777" w:rsidR="00711444" w:rsidRPr="004D0DAA" w:rsidRDefault="00711444" w:rsidP="00711444">
      <w:r w:rsidRPr="004D0DAA">
        <w:t>Downlink Dual Carrier enables downlink TBFs and uplink TBFs to use allocated resources on one or more assigned PDCHs on two different radio frequency channels. Uplink RLC/MAC blocks shall not be scheduled on both carriers of a downlink dual carrier configuration in the same radio block period. Downlink RLC/MAC blocks may be scheduled on both carriers of a downlink dual carrier configuration in the same radio block period.</w:t>
      </w:r>
    </w:p>
    <w:p w14:paraId="67BF3607" w14:textId="77777777" w:rsidR="00711444" w:rsidRPr="004D0DAA" w:rsidRDefault="00711444" w:rsidP="00711444">
      <w:r w:rsidRPr="004D0DAA">
        <w:t xml:space="preserve">If the network initially assigns a mobile station radio resources on only one carrier, it can extend this assignment to adownlink dual carrier configuration by sending a new single carrier assignment to the mobile station including assigned radio resources for the second carrier, without changing the resources already assigned for the initial carrier. Alternatively the network can include radio resources for two carriers in an initial or subsequent assignment message. </w:t>
      </w:r>
    </w:p>
    <w:p w14:paraId="2D8891B8" w14:textId="77777777" w:rsidR="00711444" w:rsidRPr="004D0DAA" w:rsidRDefault="00711444" w:rsidP="00711444">
      <w:pPr>
        <w:pStyle w:val="Heading2"/>
      </w:pPr>
      <w:bookmarkStart w:id="106" w:name="_Toc516669294"/>
      <w:r w:rsidRPr="004D0DAA">
        <w:t>5.10</w:t>
      </w:r>
      <w:r w:rsidRPr="004D0DAA">
        <w:tab/>
        <w:t>ETWS Primary Notification</w:t>
      </w:r>
      <w:bookmarkEnd w:id="106"/>
    </w:p>
    <w:p w14:paraId="6B4B1E40" w14:textId="77777777" w:rsidR="00711444" w:rsidRPr="004D0DAA" w:rsidRDefault="00711444" w:rsidP="00711444">
      <w:r w:rsidRPr="004D0DAA">
        <w:t>Mobile station support for reception of Earthquake and Tsunami Warning System (ETWS) Primary Notification messages is optional. A mobile station supporting reception of ETWS Primary Notification shall also support the extended RLC/MAC control message segmentation as defined in sub-clause 9.1.12a.</w:t>
      </w:r>
    </w:p>
    <w:p w14:paraId="3BD4785C" w14:textId="77777777" w:rsidR="00711444" w:rsidRPr="004D0DAA" w:rsidRDefault="00711444" w:rsidP="00711444">
      <w:pPr>
        <w:pStyle w:val="Heading2"/>
      </w:pPr>
      <w:bookmarkStart w:id="107" w:name="_Toc516669295"/>
      <w:r w:rsidRPr="004D0DAA">
        <w:t>5.11</w:t>
      </w:r>
      <w:r w:rsidRPr="004D0DAA">
        <w:tab/>
        <w:t>Enhanced Multiplexing for Single TBF</w:t>
      </w:r>
      <w:bookmarkEnd w:id="107"/>
    </w:p>
    <w:p w14:paraId="611A25AE" w14:textId="77777777" w:rsidR="00711444" w:rsidRPr="004D0DAA" w:rsidRDefault="00711444" w:rsidP="00711444">
      <w:r w:rsidRPr="004D0DAA">
        <w:t xml:space="preserve">Mobile station and network support for Enhanced Multiplexing for Single TBF (EMST) is optional. The mobile station shall indicate its support for EMST in the </w:t>
      </w:r>
      <w:r w:rsidRPr="004D0DAA">
        <w:rPr>
          <w:i/>
          <w:iCs/>
        </w:rPr>
        <w:t>MS Radio Access Capability</w:t>
      </w:r>
      <w:r w:rsidRPr="004D0DAA">
        <w:t xml:space="preserve"> IE (see 3GPP TS 24.008). The mobile station supporting EMST and RLC non-persistent mode shall be able to operate up to three RLC entities on a single TBF </w:t>
      </w:r>
      <w:r w:rsidRPr="004D0DAA">
        <w:lastRenderedPageBreak/>
        <w:t>concurrently. The mobile station supporting EMST and not supporting RLC non-persistent mode shall be able to operate up to two RLC entities on a single TBF concurrently. A mobile station and a network that support EMST shall also support EGPRS. A network supporting EMST shall also support the delayed release of downlink TBF and extended uplink TBF mode (see sub-clauses 9.3.1a and 9.3.1b).</w:t>
      </w:r>
    </w:p>
    <w:p w14:paraId="43247042" w14:textId="77777777" w:rsidR="00711444" w:rsidRPr="004D0DAA" w:rsidRDefault="00711444" w:rsidP="00711444">
      <w:r w:rsidRPr="004D0DAA">
        <w:t xml:space="preserve">EMST enables the allocation and multiplexing of one or more RLC entities on a single TBF. In the uplink, each RLC entity allocated on the TBF shall operate according to radio parameters (radio priority and peak throughput) of </w:t>
      </w:r>
      <w:r w:rsidRPr="004D0DAA">
        <w:rPr>
          <w:rFonts w:hint="eastAsia"/>
          <w:lang w:eastAsia="ko-KR"/>
        </w:rPr>
        <w:t xml:space="preserve">the </w:t>
      </w:r>
      <w:r w:rsidRPr="004D0DAA">
        <w:t xml:space="preserve">PFC currently being served, </w:t>
      </w:r>
      <w:r w:rsidRPr="004D0DAA">
        <w:rPr>
          <w:rFonts w:hint="eastAsia"/>
          <w:lang w:eastAsia="ko-KR"/>
        </w:rPr>
        <w:t>however</w:t>
      </w:r>
      <w:r w:rsidRPr="004D0DAA">
        <w:t xml:space="preserve"> </w:t>
      </w:r>
      <w:r w:rsidRPr="004D0DAA">
        <w:rPr>
          <w:rFonts w:hint="eastAsia"/>
          <w:lang w:eastAsia="ko-KR"/>
        </w:rPr>
        <w:t xml:space="preserve">different </w:t>
      </w:r>
      <w:r w:rsidRPr="004D0DAA">
        <w:t xml:space="preserve">RLC entities </w:t>
      </w:r>
      <w:r w:rsidRPr="004D0DAA">
        <w:rPr>
          <w:rFonts w:hint="eastAsia"/>
          <w:lang w:eastAsia="ko-KR"/>
        </w:rPr>
        <w:t xml:space="preserve">allocated on the same uplink TBF </w:t>
      </w:r>
      <w:r w:rsidRPr="004D0DAA">
        <w:t xml:space="preserve">may  </w:t>
      </w:r>
      <w:r w:rsidRPr="004D0DAA">
        <w:rPr>
          <w:rFonts w:hint="eastAsia"/>
          <w:lang w:eastAsia="ko-KR"/>
        </w:rPr>
        <w:t xml:space="preserve">operate according to </w:t>
      </w:r>
      <w:r w:rsidRPr="004D0DAA">
        <w:t>different radio parameters. The RLC entities allocated on the TBF shall operate in different RLC modes. The TBF shall be maintained when packet transfer switches between RLC entities using different RLC modes and/or radio priorities. The network shall not assign more than one RLC entity operating in a give RLC mode to a single TBF.</w:t>
      </w:r>
    </w:p>
    <w:p w14:paraId="67F36AF7" w14:textId="77777777" w:rsidR="00711444" w:rsidRPr="004D0DAA" w:rsidRDefault="00711444" w:rsidP="00711444">
      <w:pPr>
        <w:pStyle w:val="NO"/>
      </w:pPr>
      <w:r w:rsidRPr="004D0DAA">
        <w:t>NOTE:</w:t>
      </w:r>
      <w:r w:rsidRPr="004D0DAA">
        <w:tab/>
        <w:t>It is for further study, whether a specific PFC multiplexing shall apply if EMST is used.</w:t>
      </w:r>
    </w:p>
    <w:p w14:paraId="005B8184" w14:textId="77777777" w:rsidR="00711444" w:rsidRPr="004D0DAA" w:rsidRDefault="00711444" w:rsidP="00711444">
      <w:r w:rsidRPr="004D0DAA">
        <w:t>Each RLC entity allocated on a TBF using EMST shall be assigned a unique TFI as specified in sub-clause 5.2.2.</w:t>
      </w:r>
    </w:p>
    <w:p w14:paraId="51845B20" w14:textId="77777777" w:rsidR="00711444" w:rsidRPr="004D0DAA" w:rsidRDefault="00711444" w:rsidP="00711444">
      <w:r w:rsidRPr="004D0DAA">
        <w:t>An uplink TBF using EMST shall be assigned a unique USF as specified in sub-clause 5.2.3. The use of USF for an uplink TBF using EMST is the same as specified for an uplink TBF not using EMST.</w:t>
      </w:r>
    </w:p>
    <w:p w14:paraId="5DA8C0FA" w14:textId="77777777" w:rsidR="00711444" w:rsidRPr="004D0DAA" w:rsidRDefault="00711444" w:rsidP="00711444">
      <w:r w:rsidRPr="004D0DAA">
        <w:t>On an uplink TBF using EMST, the mobile station shall use the same rules for multiplexing LLC PDUs as specified for a single RLC entity case, i.e. use peak throughput and radio priority to decide how data from different PFCs are multiplexed.</w:t>
      </w:r>
    </w:p>
    <w:p w14:paraId="2E0023B1" w14:textId="77777777" w:rsidR="00711444" w:rsidRPr="004D0DAA" w:rsidRDefault="00711444" w:rsidP="00711444">
      <w:pPr>
        <w:pStyle w:val="Heading3"/>
      </w:pPr>
      <w:bookmarkStart w:id="108" w:name="_Toc516669296"/>
      <w:r w:rsidRPr="004D0DAA">
        <w:t>5.12</w:t>
      </w:r>
      <w:r w:rsidRPr="004D0DAA">
        <w:tab/>
        <w:t>Enhanced Multiplexing for a Single RLC Entity</w:t>
      </w:r>
      <w:bookmarkEnd w:id="108"/>
    </w:p>
    <w:p w14:paraId="56661437" w14:textId="77777777" w:rsidR="00711444" w:rsidRPr="004D0DAA" w:rsidRDefault="00711444" w:rsidP="00711444">
      <w:r w:rsidRPr="004D0DAA">
        <w:t xml:space="preserve">Mobile station and network support for Enhanced Multiplexing for a Single RLC Entity (EMSR) is optional. The mobile station shall indicate its support for EMSR in the </w:t>
      </w:r>
      <w:r w:rsidRPr="004D0DAA">
        <w:rPr>
          <w:i/>
          <w:iCs/>
        </w:rPr>
        <w:t>MS Radio Access Capability</w:t>
      </w:r>
      <w:r w:rsidRPr="004D0DAA">
        <w:t xml:space="preserve"> IE (see 3GPP TS 24.008). A network that supports EMSR shall also support the delayed release of a downlink TBF and extended uplink TBF mode (see sub-clauses 9.3.1a and 9.3.1b). A mobile station that supports EMSR shall support extended uplink TBF mode. </w:t>
      </w:r>
    </w:p>
    <w:p w14:paraId="252276CC" w14:textId="77777777" w:rsidR="00711444" w:rsidRPr="004D0DAA" w:rsidRDefault="00711444" w:rsidP="00711444">
      <w:r w:rsidRPr="004D0DAA">
        <w:t>EMSR is enabled for a given RLC entity when the network allocates multiple PFCs with at least two of them having unique TFI values within the context of that RLC entity. EMSR is disabled for a given RLC entity if that RLC entity is no longer allocated multiple PFCs with at least two of them having unique TFI values.</w:t>
      </w:r>
    </w:p>
    <w:p w14:paraId="36342A68" w14:textId="77777777" w:rsidR="00711444" w:rsidRPr="004D0DAA" w:rsidRDefault="00711444" w:rsidP="00711444">
      <w:r w:rsidRPr="004D0DAA">
        <w:t xml:space="preserve">If EMSR is enabled for a given RLC entity then uplink resource reallocation/downlink resource reassignment is not performed whenever RLC data block transmission priority decisions made in the MS or in the BSS result in switching between PFCs assigned to the same RLC entity but having different TFI values. If EMSR is enabled and a new upper layer PDU becomes available but is not associated with a PFC for which the MS has already sent a PACKET RESOURCE REQUEST message (and received a corresponding assignment message), then the MS shall proceed as described in sub-clause 8.1.1.1.2 regarding how the transmission of the new LLC PDU is to be managed.  Similarly, if EMSR is enabled and a new upper layer PDU becomes available but is not associated with a PFC for which the MS has already received a downlink assignment message then the BSS shall perform downlink resource reassignment and the MS shall proceed as described in sub-clause 8.1.2.4.  An uplink TBF using EMSR shall be assigned a unique USF as specified in sub-clause 5.2.3. </w:t>
      </w:r>
    </w:p>
    <w:p w14:paraId="0A4B9766" w14:textId="77777777" w:rsidR="00711444" w:rsidRPr="004D0DAA" w:rsidRDefault="00711444" w:rsidP="00711444">
      <w:r w:rsidRPr="004D0DAA">
        <w:t>If EMSR is enabled for a given RLC entity, the determination of the relative transmission priority of upper layer PDUs is implementation specific. The transmission of upper layer PDUs may be suspended or resumed depending on their relative priorities as specified in sub-clauses 9.1.11 and 9.1.12.</w:t>
      </w:r>
    </w:p>
    <w:p w14:paraId="10FBDFB3" w14:textId="77777777" w:rsidR="00711444" w:rsidRPr="004D0DAA" w:rsidRDefault="00711444" w:rsidP="00711444">
      <w:r w:rsidRPr="004D0DAA">
        <w:t>If EMSR is enabled for a given RLC entity, the network may send the mobile station an assignment message (e.g. PACKET TIMESLOT RECONFIGURE, PACKET UPLINK ASSIGNMENT or PACKET DOWNLINK ASSIGNMENT message) that excludes a subset of the PFCs previously allocated to that RLC entity without releasing the RLC entity. In this case:</w:t>
      </w:r>
    </w:p>
    <w:p w14:paraId="29C19FFC" w14:textId="77777777" w:rsidR="00711444" w:rsidRPr="004D0DAA" w:rsidRDefault="00711444" w:rsidP="00711444">
      <w:pPr>
        <w:pStyle w:val="B1"/>
      </w:pPr>
      <w:r w:rsidRPr="004D0DAA">
        <w:t>-    Upon reception of the assignment message, the mobile station may discard all upper layer PDUs corresponding to an excluded PFC for which transmission has not yet started.</w:t>
      </w:r>
    </w:p>
    <w:p w14:paraId="042344BE" w14:textId="77777777" w:rsidR="00711444" w:rsidRPr="004D0DAA" w:rsidRDefault="00711444" w:rsidP="00711444">
      <w:pPr>
        <w:pStyle w:val="B1"/>
      </w:pPr>
      <w:r w:rsidRPr="004D0DAA">
        <w:t>-    Upon determining that there are no outstanding upper layer PDUs corresponding to an excluded PFC, the mobile station shall consider that PFC as no longer allocated to the corresponding RLC entity. The mobile station shall also consider the TFI value associated with such a PFC as no longer allocated to the corresponding RLC entity if there are no remaining PFCs allocated to that RLC entity still associated with that TFI value.</w:t>
      </w:r>
    </w:p>
    <w:p w14:paraId="5810D75B" w14:textId="77777777" w:rsidR="00711444" w:rsidRPr="004D0DAA" w:rsidRDefault="00711444" w:rsidP="00711444">
      <w:pPr>
        <w:pStyle w:val="B1"/>
      </w:pPr>
      <w:r w:rsidRPr="004D0DAA">
        <w:t>-</w:t>
      </w:r>
      <w:r w:rsidRPr="004D0DAA">
        <w:tab/>
        <w:t>If the mobile station has more upper layer PDUs to send for an excluded PFC then it shall send a PACKET RESOURCE REQUEST message requesting resources for that PFC as described in this sub-clause.</w:t>
      </w:r>
    </w:p>
    <w:p w14:paraId="1922AFF4" w14:textId="77777777" w:rsidR="00711444" w:rsidRPr="004D0DAA" w:rsidRDefault="00711444" w:rsidP="00711444">
      <w:pPr>
        <w:pStyle w:val="Heading2"/>
        <w:tabs>
          <w:tab w:val="left" w:pos="11520"/>
        </w:tabs>
      </w:pPr>
      <w:bookmarkStart w:id="109" w:name="_Toc516669297"/>
      <w:r w:rsidRPr="004D0DAA">
        <w:lastRenderedPageBreak/>
        <w:t>5.13</w:t>
      </w:r>
      <w:r w:rsidRPr="004D0DAA">
        <w:tab/>
        <w:t>Downlink Multi Carrier</w:t>
      </w:r>
      <w:bookmarkEnd w:id="109"/>
    </w:p>
    <w:p w14:paraId="62C4DAB6" w14:textId="77777777" w:rsidR="00711444" w:rsidRPr="004D0DAA" w:rsidRDefault="00711444" w:rsidP="00711444">
      <w:r w:rsidRPr="004D0DAA">
        <w:t xml:space="preserve">Mobile station and network support for Downlink Multi Carrier is optional. The mobile station shall indicate its support for DLMC configuration in the </w:t>
      </w:r>
      <w:r w:rsidRPr="004D0DAA">
        <w:rPr>
          <w:i/>
        </w:rPr>
        <w:t xml:space="preserve">MS Radio Access Capability </w:t>
      </w:r>
      <w:r w:rsidRPr="004D0DAA">
        <w:t>IE (see 3GPP TS 24.008). A mobile station and a network that support DLMC configuration shall support:</w:t>
      </w:r>
    </w:p>
    <w:p w14:paraId="3507655D" w14:textId="77777777" w:rsidR="00711444" w:rsidRPr="004D0DAA" w:rsidRDefault="00711444" w:rsidP="00711444">
      <w:pPr>
        <w:pStyle w:val="B1"/>
        <w:spacing w:after="120"/>
      </w:pPr>
      <w:r w:rsidRPr="004D0DAA">
        <w:t>-</w:t>
      </w:r>
      <w:r w:rsidRPr="004D0DAA">
        <w:tab/>
        <w:t>the assignment of only one EGPRS TBF on the downlink where multiple PDCHs may be assigned on two or more different radio frequency channels.</w:t>
      </w:r>
    </w:p>
    <w:p w14:paraId="77C8742D" w14:textId="77777777" w:rsidR="00711444" w:rsidRPr="004D0DAA" w:rsidRDefault="00711444" w:rsidP="00711444">
      <w:pPr>
        <w:pStyle w:val="B2"/>
      </w:pPr>
      <w:r w:rsidRPr="004D0DAA">
        <w:t>-</w:t>
      </w:r>
      <w:r w:rsidRPr="004D0DAA">
        <w:tab/>
        <w:t>extended RLC/MAC control message segmentation as defined in sub-clause 9.1.12a.</w:t>
      </w:r>
    </w:p>
    <w:p w14:paraId="601DE8EB" w14:textId="77777777" w:rsidR="00711444" w:rsidRPr="004D0DAA" w:rsidRDefault="00711444" w:rsidP="00711444">
      <w:pPr>
        <w:pStyle w:val="B2"/>
      </w:pPr>
      <w:r w:rsidRPr="004D0DAA">
        <w:t>-</w:t>
      </w:r>
      <w:r w:rsidRPr="004D0DAA">
        <w:tab/>
        <w:t>the optional assignment of one EGPRS TBF on the uplink.  If assigned, one or more PDCHs may be assigned on one or more uplink radio frequency channels where each uplink radio frequency channel corresponds to an assigned downlink radio frequency channel.</w:t>
      </w:r>
    </w:p>
    <w:p w14:paraId="767D61E6" w14:textId="77777777" w:rsidR="00711444" w:rsidRPr="004D0DAA" w:rsidRDefault="00711444" w:rsidP="00711444">
      <w:r w:rsidRPr="004D0DAA">
        <w:t xml:space="preserve">A mobile station that supports DLMC configuration shall, within the </w:t>
      </w:r>
      <w:r w:rsidRPr="004D0DAA">
        <w:rPr>
          <w:i/>
        </w:rPr>
        <w:t>MS Radio Access Capability</w:t>
      </w:r>
      <w:r w:rsidRPr="004D0DAA">
        <w:t xml:space="preserve"> IE (see 3GPP TS 24.008), indicate the maximum number of downlink carriers it supports, the maximum number of downlink timeslots it supports, the maximum bandwidth it supports, and whether or not it support non-contiguous intra-band reception and/or inter-band reception.</w:t>
      </w:r>
    </w:p>
    <w:p w14:paraId="4321AF4A" w14:textId="77777777" w:rsidR="00711444" w:rsidRPr="004D0DAA" w:rsidRDefault="00711444" w:rsidP="00711444">
      <w:r w:rsidRPr="004D0DAA">
        <w:t>A mobile station that supports DLMC configuration may be assigned one or more UFPS (see 3GPP TS 45.008 [15]) where the assigned UFPS(s) and their associated carriers are numbered as described in sub-clause 8.1.1.1.3. For the case where a UFPS is defined by a mobile allocation (see sub-clause 12.10a) a mobile station in DLMC configuration will perform carrier selection to determine the set of downlink carriers it can receive during any given radio block period as described in 3GPP TS 45.002 [13].</w:t>
      </w:r>
    </w:p>
    <w:p w14:paraId="7E4E71BC" w14:textId="77777777" w:rsidR="00711444" w:rsidRPr="004D0DAA" w:rsidRDefault="00711444" w:rsidP="00711444">
      <w:r w:rsidRPr="004D0DAA">
        <w:t>In DLMC configuration RLC/MAC blocks shall not be scheduled on multiple uplink carriers in the same radio block period whereas RLC/MAC blocks may be scheduled on one or more downlink carriers in the same radio block period.</w:t>
      </w:r>
    </w:p>
    <w:p w14:paraId="226E40EB" w14:textId="77777777" w:rsidR="00711444" w:rsidRPr="004D0DAA" w:rsidRDefault="00711444" w:rsidP="00711444">
      <w:r w:rsidRPr="004D0DAA">
        <w:t xml:space="preserve">If the maximum number of downlink timeslots a mobile station supports in a DLMC configuration is greater than 20 then it shall, in addition to supporting the EGPRS sequence number space (SNS) and window size, support an extended SNS of 8192, an extended window size (see sub-clause 9.0, 10.4.12 and 9.19), the assignment of eTFI values (see sub-clause 10.0a.2 and 10.0a.3) and CS-3 coding of EGPRS PACKET DOWNLINK ACK/NACK DLMC messages. The sequence number space to be used and the assigned eTFI values are indicated in the assignment message (see sub-clause 11.2.7). </w:t>
      </w:r>
    </w:p>
    <w:p w14:paraId="7ABD4884" w14:textId="77777777" w:rsidR="00711444" w:rsidRPr="004D0DAA" w:rsidRDefault="00711444" w:rsidP="00711444">
      <w:r w:rsidRPr="004D0DAA">
        <w:t>In DLMC configuration where eTFI values are assigned, the mobile station uses eTFI in combination with TFI to determine if the message (PACCH, PAN or a RLC data block) is addressed to it. See sub-clause 8.1.1.1.1, 8.1.1.2.2 and 8.1.2.1 for the use of eTFI.</w:t>
      </w:r>
    </w:p>
    <w:p w14:paraId="4A93E54A" w14:textId="77777777" w:rsidR="00711444" w:rsidRPr="004D0DAA" w:rsidRDefault="00711444" w:rsidP="00711444">
      <w:pPr>
        <w:rPr>
          <w:rFonts w:cs="Calibri"/>
          <w:sz w:val="18"/>
          <w:szCs w:val="18"/>
        </w:rPr>
      </w:pPr>
      <w:r w:rsidRPr="004D0DAA">
        <w:t xml:space="preserve">A mobile station in DLMC configuration where the continuous timing advance procedure is used shall fall back to single carrier configuration for PTCCH reception during each PTCCH frame occurring on the corresponding radio frequency channel (see sub-clause 7.1.2.5). In addition, the mobile station shall fall back to single carrier configuration for radio block reception according to a regular pre-determined interval (see 3GPP TS 45.002 [13]) using the radio frequency channel of its assigned PTCCH or using the radio frequency channel of the lowest numbered carrier (see sub-clause 8.1.1.1.3) if it has not been assigned a PTCCH. When </w:t>
      </w:r>
      <w:r w:rsidRPr="004D0DAA">
        <w:rPr>
          <w:rFonts w:hint="eastAsia"/>
        </w:rPr>
        <w:t>inter-band reception</w:t>
      </w:r>
      <w:r w:rsidRPr="004D0DAA">
        <w:t xml:space="preserve"> is used in DLMC configuration (see 3GPP TS 45.005 and 3GPP TS 45.002),</w:t>
      </w:r>
      <w:r w:rsidRPr="004D0DAA">
        <w:rPr>
          <w:rFonts w:hint="eastAsia"/>
        </w:rPr>
        <w:t xml:space="preserve"> fall</w:t>
      </w:r>
      <w:r w:rsidRPr="004D0DAA">
        <w:t xml:space="preserve"> </w:t>
      </w:r>
      <w:r w:rsidRPr="004D0DAA">
        <w:rPr>
          <w:rFonts w:hint="eastAsia"/>
        </w:rPr>
        <w:t xml:space="preserve">back to single carrier </w:t>
      </w:r>
      <w:r w:rsidRPr="004D0DAA">
        <w:t xml:space="preserve">configuration </w:t>
      </w:r>
      <w:r w:rsidRPr="004D0DAA">
        <w:rPr>
          <w:rFonts w:hint="eastAsia"/>
        </w:rPr>
        <w:t xml:space="preserve">only applies </w:t>
      </w:r>
      <w:r w:rsidRPr="004D0DAA">
        <w:t>to the frequency band where the PTCCH is assigned or where the lowest numbered carrier is assigned (if a PTCCH has not been assigned).</w:t>
      </w:r>
      <w:r w:rsidRPr="004D0DAA">
        <w:rPr>
          <w:rFonts w:cs="Calibri"/>
          <w:sz w:val="18"/>
          <w:szCs w:val="18"/>
        </w:rPr>
        <w:t xml:space="preserve"> </w:t>
      </w:r>
    </w:p>
    <w:p w14:paraId="26D0331B" w14:textId="77777777" w:rsidR="00711444" w:rsidRPr="004D0DAA" w:rsidRDefault="00711444" w:rsidP="00711444">
      <w:r w:rsidRPr="004D0DAA">
        <w:t>If a mobile station is using the continuous timing advance procedure, it shall, upon receiving an assignment message that causes it to enter DLMC configuration, continue to use the current PTCCH information for as long as the corresponding downlink carrier remains assigned unless one of the following occurs:</w:t>
      </w:r>
    </w:p>
    <w:p w14:paraId="1C4569E1" w14:textId="77777777" w:rsidR="00711444" w:rsidRPr="004D0DAA" w:rsidRDefault="00711444" w:rsidP="00711444">
      <w:pPr>
        <w:pStyle w:val="B1"/>
      </w:pPr>
      <w:r w:rsidRPr="004D0DAA">
        <w:t>-</w:t>
      </w:r>
      <w:r w:rsidRPr="004D0DAA">
        <w:tab/>
        <w:t xml:space="preserve">the current assignment message provides it with new PTCCH information. </w:t>
      </w:r>
    </w:p>
    <w:p w14:paraId="2DFB92C3" w14:textId="77777777" w:rsidR="00711444" w:rsidRPr="004D0DAA" w:rsidRDefault="00711444" w:rsidP="00711444">
      <w:pPr>
        <w:pStyle w:val="B1"/>
      </w:pPr>
      <w:r w:rsidRPr="004D0DAA">
        <w:t>-</w:t>
      </w:r>
      <w:r w:rsidRPr="004D0DAA">
        <w:tab/>
        <w:t xml:space="preserve">a subsequent assignment message or a Packet Power Control/Timing Advance message provides it with new PTCCH information. </w:t>
      </w:r>
    </w:p>
    <w:p w14:paraId="273A1B42" w14:textId="77777777" w:rsidR="00711444" w:rsidRPr="004D0DAA" w:rsidRDefault="00711444" w:rsidP="00711444">
      <w:pPr>
        <w:pStyle w:val="B1"/>
      </w:pPr>
      <w:r w:rsidRPr="004D0DAA">
        <w:t>-</w:t>
      </w:r>
      <w:r w:rsidRPr="004D0DAA">
        <w:tab/>
        <w:t>a subsequent assignment message results in the mobile station no longer being in a DLMC configuration (but still in packet transfer mode) in which case it shall consider the PTCCH allocation to be on the remaining carrier.</w:t>
      </w:r>
    </w:p>
    <w:p w14:paraId="7B347356" w14:textId="77777777" w:rsidR="00711444" w:rsidRPr="004D0DAA" w:rsidRDefault="00711444" w:rsidP="00711444">
      <w:pPr>
        <w:pStyle w:val="Heading1"/>
      </w:pPr>
      <w:bookmarkStart w:id="110" w:name="_Toc516669298"/>
      <w:r w:rsidRPr="004D0DAA">
        <w:lastRenderedPageBreak/>
        <w:t>6</w:t>
      </w:r>
      <w:r w:rsidRPr="004D0DAA">
        <w:tab/>
        <w:t>Paging procedures</w:t>
      </w:r>
      <w:bookmarkEnd w:id="110"/>
    </w:p>
    <w:p w14:paraId="2639AB92" w14:textId="77777777" w:rsidR="00711444" w:rsidRPr="004D0DAA" w:rsidRDefault="00711444" w:rsidP="00711444">
      <w:pPr>
        <w:keepNext/>
        <w:keepLines/>
      </w:pPr>
      <w:r w:rsidRPr="004D0DAA">
        <w:t>For a mobile station in packet idle mode, the network may use the paging procedures to initiate the establishment of an RR connection, to trigger a cell update from the mobile station prior to a downlink packet transfer, or to send MBMS notification. A number of mobile stations can be paged for either downlink packet transfer or RR connection establishment in the same paging message. Mobile terminated RR connection establishment for GSM services (see 3GPP TS 23.060 [19] shall not be used in packet idle mode when a mobile station has enabled PEO.</w:t>
      </w:r>
    </w:p>
    <w:p w14:paraId="0D77C74D" w14:textId="77777777" w:rsidR="00711444" w:rsidRPr="004D0DAA" w:rsidRDefault="00711444" w:rsidP="00711444">
      <w:pPr>
        <w:keepNext/>
        <w:keepLines/>
      </w:pPr>
      <w:r w:rsidRPr="004D0DAA">
        <w:t xml:space="preserve">For a mobile station in packet transfer mode, the network may use the paging procedures to initiate the establishment of an RR connection. A number of mobile stations can be paged for RR connection establishment in the same paging message. After sending the mobile station a PS HANDOVER COMMAND message the network shall not use paging procedures to initiate the establishment of an RR connection for that mobile station until the PS handover procedure has been completed (see sub-clause 8.10). Mobile terminated RR connection establishment for GSM services (see 3GPP TS 23.060 [19]) shall not be used in packet transfer mode when a mobile station has enabled PEO. </w:t>
      </w:r>
    </w:p>
    <w:p w14:paraId="47257E7C" w14:textId="77777777" w:rsidR="00711444" w:rsidRPr="004D0DAA" w:rsidRDefault="00711444" w:rsidP="00711444">
      <w:r w:rsidRPr="004D0DAA">
        <w:t>Paging procedures for RR connection establishment are described in sub-clause 6.1. Paging procedures for downlink packet transfer are described in sub-clause 6.2.</w:t>
      </w:r>
    </w:p>
    <w:p w14:paraId="047226A7" w14:textId="77777777" w:rsidR="00711444" w:rsidRPr="004D0DAA" w:rsidRDefault="00711444" w:rsidP="00711444">
      <w:pPr>
        <w:pStyle w:val="Heading2"/>
      </w:pPr>
      <w:bookmarkStart w:id="111" w:name="_Toc516669299"/>
      <w:r w:rsidRPr="004D0DAA">
        <w:t>6.1</w:t>
      </w:r>
      <w:r w:rsidRPr="004D0DAA">
        <w:tab/>
        <w:t>Paging procedure for RR connection establishment</w:t>
      </w:r>
      <w:bookmarkEnd w:id="111"/>
    </w:p>
    <w:p w14:paraId="2A4192B6" w14:textId="77777777" w:rsidR="00711444" w:rsidRPr="004D0DAA" w:rsidRDefault="00711444" w:rsidP="00711444">
      <w:r w:rsidRPr="004D0DAA">
        <w:t>The network may initiate the establishment of an RR connection by the paging procedure for RR connection establishment.</w:t>
      </w:r>
    </w:p>
    <w:p w14:paraId="30A612E1" w14:textId="77777777" w:rsidR="00711444" w:rsidRPr="004D0DAA" w:rsidRDefault="00711444" w:rsidP="00711444">
      <w:r w:rsidRPr="004D0DAA">
        <w:t>The network initiates the paging procedure for RR connection establishment by sending a paging request message on the appropriate paging subchannel on CCCH or PCCCH, addressing the mobile station and indicating RR connection establishment.</w:t>
      </w:r>
    </w:p>
    <w:p w14:paraId="6E2F1581" w14:textId="77777777" w:rsidR="00711444" w:rsidRPr="004D0DAA" w:rsidRDefault="00711444" w:rsidP="00711444">
      <w:r w:rsidRPr="004D0DAA">
        <w:t>The paging subchannels on CCCH and PCCCH are specified in 3GPP TS 45.002 and 3GPP TS 43.013. The paging request message for RR connection establishment is sent on the PCCCH if the mobile station is GPRS attached, PCCCH is present in the cell and the network operates in network mode of operation I (see 3GPP TS 23.060). Otherwise, the paging request message is sent on CCCH.</w:t>
      </w:r>
    </w:p>
    <w:p w14:paraId="1F58F8EA" w14:textId="77777777" w:rsidR="00711444" w:rsidRPr="004D0DAA" w:rsidRDefault="00711444" w:rsidP="00711444">
      <w:r w:rsidRPr="004D0DAA">
        <w:t>The network may also page the mobile station for RR connection establishment by sending a paging request message on PACCH if the mobile station is in packet transfer mode.</w:t>
      </w:r>
    </w:p>
    <w:p w14:paraId="3351F702" w14:textId="77777777" w:rsidR="00711444" w:rsidRPr="004D0DAA" w:rsidRDefault="00711444" w:rsidP="00711444">
      <w:r w:rsidRPr="004D0DAA">
        <w:t>A mobile station in packet transfer mode is not required to decode the paging subchannels, on neither CCCH nor PCCCH, in the following two cases:</w:t>
      </w:r>
    </w:p>
    <w:p w14:paraId="6A7DE4EF" w14:textId="77777777" w:rsidR="00711444" w:rsidRPr="004D0DAA" w:rsidRDefault="00711444" w:rsidP="00711444">
      <w:pPr>
        <w:pStyle w:val="B1"/>
      </w:pPr>
      <w:r w:rsidRPr="004D0DAA">
        <w:t>-</w:t>
      </w:r>
      <w:r w:rsidRPr="004D0DAA">
        <w:tab/>
        <w:t>the mobile station is not capable to handle an RR connection and a TBF simultaneously (GPRS class B mode of operation); or</w:t>
      </w:r>
    </w:p>
    <w:p w14:paraId="7AC4A386" w14:textId="77777777" w:rsidR="00711444" w:rsidRPr="004D0DAA" w:rsidRDefault="00711444" w:rsidP="00711444">
      <w:pPr>
        <w:pStyle w:val="B1"/>
      </w:pPr>
      <w:r w:rsidRPr="004D0DAA">
        <w:t>-</w:t>
      </w:r>
      <w:r w:rsidRPr="004D0DAA">
        <w:tab/>
        <w:t>the mobile station requires that the BSS co-ordinates the allocation of radio resources for an RR connection and one or more simultaneous TBFs (GPRS class A mode of operation by means of DTM).</w:t>
      </w:r>
    </w:p>
    <w:p w14:paraId="64C251CD" w14:textId="77777777" w:rsidR="00711444" w:rsidRPr="004D0DAA" w:rsidRDefault="00711444" w:rsidP="00711444">
      <w:pPr>
        <w:pStyle w:val="Heading3"/>
      </w:pPr>
      <w:bookmarkStart w:id="112" w:name="_Toc516669300"/>
      <w:r w:rsidRPr="004D0DAA">
        <w:t>6.1.1</w:t>
      </w:r>
      <w:r w:rsidRPr="004D0DAA">
        <w:tab/>
        <w:t>Paging initiation using paging subchannel on CCCH</w:t>
      </w:r>
      <w:bookmarkEnd w:id="112"/>
    </w:p>
    <w:p w14:paraId="0DC904B6" w14:textId="77777777" w:rsidR="00711444" w:rsidRPr="004D0DAA" w:rsidRDefault="00711444" w:rsidP="00711444">
      <w:r w:rsidRPr="004D0DAA">
        <w:t>The paging initiation procedure and the paging request messages used on CCCH are specified in 3GPP TS 44.018.</w:t>
      </w:r>
    </w:p>
    <w:p w14:paraId="73C6686C" w14:textId="77777777" w:rsidR="00711444" w:rsidRPr="004D0DAA" w:rsidRDefault="00711444" w:rsidP="00711444">
      <w:pPr>
        <w:pStyle w:val="Heading3"/>
      </w:pPr>
      <w:bookmarkStart w:id="113" w:name="_Toc516669301"/>
      <w:r w:rsidRPr="004D0DAA">
        <w:t>6.1.2</w:t>
      </w:r>
      <w:r w:rsidRPr="004D0DAA">
        <w:tab/>
        <w:t>Paging initiation using paging subchannel on PCCCH</w:t>
      </w:r>
      <w:bookmarkEnd w:id="113"/>
    </w:p>
    <w:p w14:paraId="1DA0DAD1" w14:textId="77777777" w:rsidR="00711444" w:rsidRPr="004D0DAA" w:rsidRDefault="00711444" w:rsidP="00711444">
      <w:r w:rsidRPr="004D0DAA">
        <w:t xml:space="preserve">The network initiates the paging procedure by sending a PACKET </w:t>
      </w:r>
      <w:r w:rsidRPr="004D0DAA">
        <w:rPr>
          <w:caps/>
        </w:rPr>
        <w:t>paging request</w:t>
      </w:r>
      <w:r w:rsidRPr="004D0DAA">
        <w:t xml:space="preserve"> message on an appropriate paging subchannel on PCCCH, considering the DRX parameters valid for each targeted mobile station.</w:t>
      </w:r>
    </w:p>
    <w:p w14:paraId="3EF746D6" w14:textId="77777777" w:rsidR="00711444" w:rsidRPr="004D0DAA" w:rsidRDefault="00711444" w:rsidP="00711444">
      <w:r w:rsidRPr="004D0DAA">
        <w:t>For each mobile station, that is paged for RR connection establishment, a channel needed field is included in the PACKET PAGING REQUEST message, see sub-clause 11.2.10. The channel needed field defines how the mobile stations shall use the establishment cause field in the CHANNEL REQUEST message, as specified in 3GPP TS 44.018.</w:t>
      </w:r>
    </w:p>
    <w:p w14:paraId="2F656173" w14:textId="77777777" w:rsidR="00711444" w:rsidRPr="004D0DAA" w:rsidRDefault="00711444" w:rsidP="00711444">
      <w:pPr>
        <w:pStyle w:val="Heading3"/>
      </w:pPr>
      <w:bookmarkStart w:id="114" w:name="_Toc516669302"/>
      <w:r w:rsidRPr="004D0DAA">
        <w:lastRenderedPageBreak/>
        <w:t>6.1.3</w:t>
      </w:r>
      <w:r w:rsidRPr="004D0DAA">
        <w:tab/>
        <w:t>Paging initiation using PACCH</w:t>
      </w:r>
      <w:bookmarkEnd w:id="114"/>
    </w:p>
    <w:p w14:paraId="5F584D38" w14:textId="77777777" w:rsidR="00711444" w:rsidRPr="004D0DAA" w:rsidRDefault="00711444" w:rsidP="00711444">
      <w:r w:rsidRPr="004D0DAA">
        <w:t xml:space="preserve">Paging initiation using PACCH applies when sending a paging request message to a mobile station that is GPRS attached, when the mobile station is in packet transfer mode or in broadcast/multicast receive mode, if so indicated for that mobile by the network, and the network is able to co-ordinate the paging request with the radio resources allocated for the mobile station (or MBMS session) on a PDCH. </w:t>
      </w:r>
    </w:p>
    <w:p w14:paraId="59975261" w14:textId="77777777" w:rsidR="00711444" w:rsidRPr="004D0DAA" w:rsidRDefault="00711444" w:rsidP="00711444">
      <w:r w:rsidRPr="004D0DAA">
        <w:t>This kind of paging co-ordination shall be provided in network mode of operation I (see 3GPP TS 23.060). A mobile station in packet transfer mode in a cell indicating support of network mode of operation I in the NMOrelated fields broadcast on BCCH or PBCCH shall expect the paging messages to be received on the PACCH.</w:t>
      </w:r>
    </w:p>
    <w:p w14:paraId="1D4048CE" w14:textId="77777777" w:rsidR="00711444" w:rsidRPr="004D0DAA" w:rsidRDefault="00711444" w:rsidP="00711444">
      <w:r w:rsidRPr="004D0DAA">
        <w:t xml:space="preserve">This kind of paging co-ordination shall be provided for mobile stations capable of DTM if the network supports DTM. A mobile station capable of DTM in packet transfer mode in a cell indicating support of DTM procedures in the </w:t>
      </w:r>
      <w:r w:rsidRPr="004D0DAA">
        <w:rPr>
          <w:i/>
          <w:iCs/>
        </w:rPr>
        <w:t>DTM_SUPPORT</w:t>
      </w:r>
      <w:r w:rsidRPr="004D0DAA">
        <w:t xml:space="preserve"> field broadcast on BCCH or PBCCH shall expect the paging messages to be received on the PACCH.</w:t>
      </w:r>
    </w:p>
    <w:p w14:paraId="4635BA16" w14:textId="77777777" w:rsidR="00711444" w:rsidRPr="004D0DAA" w:rsidRDefault="00711444" w:rsidP="00711444">
      <w:r w:rsidRPr="004D0DAA">
        <w:t xml:space="preserve">This kind of paging co-ordination may be provided also in network mode of operation II or III regardless of the DTM capability of the cell and of the mobile station and shall be indicated in that case by setting the </w:t>
      </w:r>
      <w:r w:rsidRPr="004D0DAA">
        <w:rPr>
          <w:i/>
          <w:iCs/>
        </w:rPr>
        <w:t>BSS_PAGING_COORDINATION</w:t>
      </w:r>
      <w:r w:rsidRPr="004D0DAA">
        <w:t xml:space="preserve"> field to "The cell supports Circuit-Switched paging coordination" on BCCH or PBCCH. If such indication is received, a mobile station in packet transfer mode shall expect the paging messages to be received on the PACCH.</w:t>
      </w:r>
    </w:p>
    <w:p w14:paraId="1630C120" w14:textId="77777777" w:rsidR="00711444" w:rsidRPr="004D0DAA" w:rsidRDefault="00711444" w:rsidP="00711444">
      <w:r w:rsidRPr="004D0DAA">
        <w:t xml:space="preserve">A mobile station in broadcast/multicast receive mode shall expect the paging messages to be received on the PACCH of an MBMS radio bearer if the network has indicated so with the </w:t>
      </w:r>
      <w:r w:rsidRPr="004D0DAA">
        <w:rPr>
          <w:i/>
          <w:iCs/>
        </w:rPr>
        <w:t>MBMS In-band Signalling Indicator</w:t>
      </w:r>
      <w:r w:rsidRPr="004D0DAA">
        <w:t xml:space="preserve"> field in the MBMS ASSIGNMENT and/or MBMS NEIGHBOURING CELL INFORMATION messages, and if the mobile station has an MS_ID on that MBMS radio bearer.</w:t>
      </w:r>
    </w:p>
    <w:p w14:paraId="676DA803" w14:textId="77777777" w:rsidR="00711444" w:rsidRPr="004D0DAA" w:rsidRDefault="00711444" w:rsidP="00711444">
      <w:r w:rsidRPr="004D0DAA">
        <w:t xml:space="preserve">The network shall not send paging messages on the PACCH to a mobile station whose MS_ID has been released because the mobile station has not responded when being polled (i.e. T3195 has </w:t>
      </w:r>
      <w:r w:rsidRPr="004D0DAA">
        <w:rPr>
          <w:lang w:eastAsia="zh-CN"/>
        </w:rPr>
        <w:t>started</w:t>
      </w:r>
      <w:r w:rsidRPr="004D0DAA">
        <w:t xml:space="preserve"> for that MS_ID).</w:t>
      </w:r>
    </w:p>
    <w:p w14:paraId="74D36E8D" w14:textId="77777777" w:rsidR="00711444" w:rsidRPr="004D0DAA" w:rsidRDefault="00711444" w:rsidP="00711444">
      <w:r w:rsidRPr="004D0DAA">
        <w:rPr>
          <w:lang w:eastAsia="ko-KR"/>
        </w:rPr>
        <w:t xml:space="preserve">If a mobile station is receiving multiple MBMS radio bearers and the mobile station has an MS_ID on at least one of the MBMS radio bearers where the network has indicated that system information for the serving cell and paging messages are sent on the PACCH/D then the mobile station shall not </w:t>
      </w:r>
      <w:r w:rsidRPr="004D0DAA">
        <w:t>monitor its</w:t>
      </w:r>
      <w:r w:rsidRPr="004D0DAA">
        <w:rPr>
          <w:lang w:eastAsia="ko-KR"/>
        </w:rPr>
        <w:t xml:space="preserve"> paging group on the (P)CCCH in parallel to the MBMS radio bearers. </w:t>
      </w:r>
      <w:r w:rsidRPr="004D0DAA">
        <w:t>The network shall send the PACKET PAGING REQUEST message to the mobile station on the appropriate PACCH. The message includes the mobile station identification and the channel needed field which defines how the mobile station shall use the establishment cause field in the CHANNEL REQUEST message, as specified in 3GPP TS 44.018.</w:t>
      </w:r>
    </w:p>
    <w:p w14:paraId="6E4513E7" w14:textId="77777777" w:rsidR="00711444" w:rsidRPr="004D0DAA" w:rsidRDefault="00711444" w:rsidP="00711444">
      <w:pPr>
        <w:pStyle w:val="Heading3"/>
      </w:pPr>
      <w:bookmarkStart w:id="115" w:name="_Toc516669303"/>
      <w:r w:rsidRPr="004D0DAA">
        <w:t>6.1.4</w:t>
      </w:r>
      <w:r w:rsidRPr="004D0DAA">
        <w:tab/>
        <w:t>Paging response</w:t>
      </w:r>
      <w:bookmarkEnd w:id="115"/>
    </w:p>
    <w:p w14:paraId="6B196858" w14:textId="77777777" w:rsidR="00711444" w:rsidRPr="004D0DAA" w:rsidRDefault="00711444" w:rsidP="00711444">
      <w:r w:rsidRPr="004D0DAA">
        <w:t>Upon receipt of a Paging Request or Packet Paging Request message, for the purpose of triggering an RR connection establishment, a mobile station operating in GPRS class B mode of operation and in packet transfer mode shall either ignore or respond to the paging request according to 3GPP TS 22.060.</w:t>
      </w:r>
    </w:p>
    <w:p w14:paraId="48C4F9AB" w14:textId="77777777" w:rsidR="00711444" w:rsidRPr="004D0DAA" w:rsidRDefault="00711444" w:rsidP="00711444">
      <w:r w:rsidRPr="004D0DAA">
        <w:t>When the mobile station responds to a paging request for RR connection establishment, it shall follow the paging response procedures as specified in 3GPP TS 44.018. For that purpose, a mobile station in packet transfer mode or a mobile station that has initiated a packet access procedure may abort all ongoing TBFs or the packet access procedure in the following two cases:</w:t>
      </w:r>
    </w:p>
    <w:p w14:paraId="47AAFF25" w14:textId="77777777" w:rsidR="00711444" w:rsidRPr="004D0DAA" w:rsidRDefault="00711444" w:rsidP="00711444">
      <w:pPr>
        <w:pStyle w:val="B1"/>
      </w:pPr>
      <w:r w:rsidRPr="004D0DAA">
        <w:t>-</w:t>
      </w:r>
      <w:r w:rsidRPr="004D0DAA">
        <w:tab/>
        <w:t>the mobile station is not capable to handle an RR connection and a TBF simultaneously (GPRS class B mode of operation or a mobile station in DLMC configuration); or</w:t>
      </w:r>
    </w:p>
    <w:p w14:paraId="060B091C" w14:textId="77777777" w:rsidR="00711444" w:rsidRPr="004D0DAA" w:rsidRDefault="00711444" w:rsidP="00711444">
      <w:pPr>
        <w:pStyle w:val="B1"/>
      </w:pPr>
      <w:r w:rsidRPr="004D0DAA">
        <w:t>-</w:t>
      </w:r>
      <w:r w:rsidRPr="004D0DAA">
        <w:tab/>
        <w:t>the mobile station requires that the BSS co-ordinates the allocation of radio resources for an RR connection and one or more simultaneous TBFs (GPRS class A mode of operation by means of DTM).</w:t>
      </w:r>
    </w:p>
    <w:p w14:paraId="70692267" w14:textId="77777777" w:rsidR="00711444" w:rsidRPr="004D0DAA" w:rsidRDefault="00711444" w:rsidP="00711444">
      <w:pPr>
        <w:pStyle w:val="Heading2"/>
      </w:pPr>
      <w:bookmarkStart w:id="116" w:name="_Toc516669304"/>
      <w:r w:rsidRPr="004D0DAA">
        <w:lastRenderedPageBreak/>
        <w:t>6.2</w:t>
      </w:r>
      <w:r w:rsidRPr="004D0DAA">
        <w:tab/>
        <w:t>Paging procedure for downlink packet transfer</w:t>
      </w:r>
      <w:bookmarkEnd w:id="116"/>
    </w:p>
    <w:p w14:paraId="0C59C235" w14:textId="77777777" w:rsidR="00711444" w:rsidRPr="004D0DAA" w:rsidRDefault="00711444" w:rsidP="00711444">
      <w:pPr>
        <w:keepNext/>
        <w:keepLines/>
      </w:pPr>
      <w:r w:rsidRPr="004D0DAA">
        <w:t>The network may initiate the paging procedure for downlink packet transfer in order to obtain the mobile station cell location required for the downlink packet transfer. The procedure is triggered by a page request from the GMM sublayer on the network side, see 3GPP TS 24.007 and 3GPP TS 44.018. The procedure is initiated by sending a paging request message on the appropriate paging subchannel on CCCH, EC-CCCH or PCCCH. The paging subchannels on CCCH, EC-CCCH and PCCCH are specified in 3GPP TS 45.002 and 3GPP TS 43.013.</w:t>
      </w:r>
    </w:p>
    <w:p w14:paraId="6A7C173C" w14:textId="77777777" w:rsidR="00711444" w:rsidRPr="004D0DAA" w:rsidRDefault="00711444" w:rsidP="00711444">
      <w:r w:rsidRPr="004D0DAA">
        <w:t>The paging request message is sent on PCCCH, if PCCCH is present in the cell. Otherwise, the paging request message is sent on CCCH. A paging request message to a mobile station that has enabled EC operation is sent on EC-CCCH.</w:t>
      </w:r>
    </w:p>
    <w:p w14:paraId="35944A8A" w14:textId="77777777" w:rsidR="00711444" w:rsidRPr="004D0DAA" w:rsidRDefault="00711444" w:rsidP="00711444">
      <w:r w:rsidRPr="004D0DAA">
        <w:t>A mobile station that indicates DTM support to the network is not required to decode the paging subchannels, on neither CCCH nor PCCCH, while it is in dedicated mode. If the cell location for a mobile station that has indicated DTM support is required while the mobile station is in dedicated mode, the network may use the packet notification procedure defined in 3GPP TS 44.018.</w:t>
      </w:r>
    </w:p>
    <w:p w14:paraId="14FC5FA2" w14:textId="77777777" w:rsidR="00711444" w:rsidRPr="004D0DAA" w:rsidRDefault="00711444" w:rsidP="00711444">
      <w:pPr>
        <w:pStyle w:val="Heading3"/>
      </w:pPr>
      <w:bookmarkStart w:id="117" w:name="_Toc516669305"/>
      <w:r w:rsidRPr="004D0DAA">
        <w:t>6.2.1</w:t>
      </w:r>
      <w:r w:rsidRPr="004D0DAA">
        <w:tab/>
        <w:t>Paging procedure using paging subchannel on CCCH</w:t>
      </w:r>
      <w:bookmarkEnd w:id="117"/>
    </w:p>
    <w:p w14:paraId="30ED98FA" w14:textId="77777777" w:rsidR="00711444" w:rsidRPr="004D0DAA" w:rsidRDefault="00711444" w:rsidP="00711444">
      <w:r w:rsidRPr="004D0DAA">
        <w:t>The packet paging procedure and the paging request messages used on CCCH are specified in 3GPP TS 44.018.</w:t>
      </w:r>
    </w:p>
    <w:p w14:paraId="26128178" w14:textId="77777777" w:rsidR="00711444" w:rsidRPr="004D0DAA" w:rsidRDefault="00711444" w:rsidP="00711444">
      <w:pPr>
        <w:pStyle w:val="Heading3"/>
      </w:pPr>
      <w:bookmarkStart w:id="118" w:name="_Toc516669306"/>
      <w:r w:rsidRPr="004D0DAA">
        <w:t>6.2.2</w:t>
      </w:r>
      <w:r w:rsidRPr="004D0DAA">
        <w:tab/>
        <w:t>Paging using paging subchannel on PCCCH</w:t>
      </w:r>
      <w:bookmarkEnd w:id="118"/>
    </w:p>
    <w:p w14:paraId="2EFD997C" w14:textId="77777777" w:rsidR="00711444" w:rsidRPr="004D0DAA" w:rsidRDefault="00711444" w:rsidP="00711444">
      <w:r w:rsidRPr="004D0DAA">
        <w:t xml:space="preserve">The network initiates the paging procedure by sending a PACKET </w:t>
      </w:r>
      <w:r w:rsidRPr="004D0DAA">
        <w:rPr>
          <w:caps/>
        </w:rPr>
        <w:t>paging request</w:t>
      </w:r>
      <w:r w:rsidRPr="004D0DAA">
        <w:t xml:space="preserve"> message on an appropriate paging subchannel on PPCH, considering the DRX parameters valid for each targeted mobile station.</w:t>
      </w:r>
    </w:p>
    <w:p w14:paraId="51F5E910" w14:textId="77777777" w:rsidR="00711444" w:rsidRPr="004D0DAA" w:rsidRDefault="00711444" w:rsidP="00711444">
      <w:pPr>
        <w:pStyle w:val="Heading3"/>
      </w:pPr>
      <w:bookmarkStart w:id="119" w:name="_Toc516669307"/>
      <w:r w:rsidRPr="004D0DAA">
        <w:t>6.2.3</w:t>
      </w:r>
      <w:r w:rsidRPr="004D0DAA">
        <w:tab/>
        <w:t>Paging response</w:t>
      </w:r>
      <w:bookmarkEnd w:id="119"/>
    </w:p>
    <w:p w14:paraId="61FADB6F" w14:textId="77777777" w:rsidR="00711444" w:rsidRPr="004D0DAA" w:rsidRDefault="00711444" w:rsidP="00711444">
      <w:r w:rsidRPr="004D0DAA">
        <w:t xml:space="preserve">On receipt of a PACKET </w:t>
      </w:r>
      <w:r w:rsidRPr="004D0DAA">
        <w:rPr>
          <w:caps/>
        </w:rPr>
        <w:t>paging request</w:t>
      </w:r>
      <w:r w:rsidRPr="004D0DAA">
        <w:t xml:space="preserve"> message, the RR sublayer of addressed mobile station indicates the receipt the paging request to the GMM sublayer (see 3GPP TS 24.007 and 3GPP TS 44.018).</w:t>
      </w:r>
    </w:p>
    <w:p w14:paraId="6FC11C3F" w14:textId="77777777" w:rsidR="00711444" w:rsidRPr="004D0DAA" w:rsidRDefault="00711444" w:rsidP="00711444">
      <w:pPr>
        <w:pStyle w:val="NO"/>
      </w:pPr>
      <w:r w:rsidRPr="004D0DAA">
        <w:t>NOTE:</w:t>
      </w:r>
      <w:r w:rsidRPr="004D0DAA">
        <w:tab/>
        <w:t>The mobile station performs a pageresponse by sending an upper layer PDU to the network as defined in 3GPP TS 44.018 and 3GPP TS 44.064. The transfer of an upper layer PDU may serve as a cell update.</w:t>
      </w:r>
    </w:p>
    <w:p w14:paraId="5E657E71" w14:textId="77777777" w:rsidR="00711444" w:rsidRPr="004D0DAA" w:rsidRDefault="00711444" w:rsidP="00711444">
      <w:pPr>
        <w:pStyle w:val="Heading3"/>
      </w:pPr>
      <w:bookmarkStart w:id="120" w:name="_Toc516669308"/>
      <w:r w:rsidRPr="004D0DAA">
        <w:t>6.2.4</w:t>
      </w:r>
      <w:r w:rsidRPr="004D0DAA">
        <w:tab/>
        <w:t>Paging procedure using paging subchannel on EC-CCCH</w:t>
      </w:r>
      <w:bookmarkEnd w:id="120"/>
    </w:p>
    <w:p w14:paraId="76B0A212" w14:textId="77777777" w:rsidR="00711444" w:rsidRPr="004D0DAA" w:rsidRDefault="00711444" w:rsidP="00711444">
      <w:r w:rsidRPr="004D0DAA">
        <w:t>The packet paging procedure and the paging request messages used on EC-CCCH are specified in 3GPP TS 44.018.</w:t>
      </w:r>
    </w:p>
    <w:p w14:paraId="71467164" w14:textId="77777777" w:rsidR="00711444" w:rsidRPr="004D0DAA" w:rsidRDefault="00711444" w:rsidP="00711444">
      <w:pPr>
        <w:pStyle w:val="Heading3"/>
      </w:pPr>
      <w:bookmarkStart w:id="121" w:name="_Toc516669309"/>
      <w:r w:rsidRPr="004D0DAA">
        <w:t>6.3</w:t>
      </w:r>
      <w:r w:rsidRPr="004D0DAA">
        <w:tab/>
        <w:t>Paging Procedures for MBMS Notification</w:t>
      </w:r>
      <w:bookmarkEnd w:id="121"/>
    </w:p>
    <w:p w14:paraId="3678F60D" w14:textId="77777777" w:rsidR="00711444" w:rsidRPr="004D0DAA" w:rsidRDefault="00711444" w:rsidP="00711444">
      <w:pPr>
        <w:pStyle w:val="Heading3"/>
      </w:pPr>
      <w:bookmarkStart w:id="122" w:name="_Toc516669310"/>
      <w:r w:rsidRPr="004D0DAA">
        <w:t>6.3.1</w:t>
      </w:r>
      <w:r w:rsidRPr="004D0DAA">
        <w:tab/>
        <w:t>Notification to mobile station in packet idle mode</w:t>
      </w:r>
      <w:bookmarkEnd w:id="122"/>
    </w:p>
    <w:p w14:paraId="598419C7" w14:textId="77777777" w:rsidR="00711444" w:rsidRPr="004D0DAA" w:rsidRDefault="00711444" w:rsidP="00711444">
      <w:pPr>
        <w:pStyle w:val="Heading3"/>
      </w:pPr>
      <w:bookmarkStart w:id="123" w:name="_Toc516669311"/>
      <w:r w:rsidRPr="004D0DAA">
        <w:t>6.3.1.1</w:t>
      </w:r>
      <w:r w:rsidRPr="004D0DAA">
        <w:tab/>
        <w:t>General</w:t>
      </w:r>
      <w:bookmarkEnd w:id="123"/>
    </w:p>
    <w:p w14:paraId="3BDDC4F4" w14:textId="77777777" w:rsidR="00711444" w:rsidRPr="004D0DAA" w:rsidRDefault="00711444" w:rsidP="00711444">
      <w:pPr>
        <w:keepNext/>
        <w:keepLines/>
      </w:pPr>
      <w:r w:rsidRPr="004D0DAA">
        <w:rPr>
          <w:lang w:eastAsia="ko-KR"/>
        </w:rPr>
        <w:t>The paging procedure for MBMS notification of an MBMS session is initiated by the reception of an MBMS-SESSION-START-REQUEST PDU or of an MBMS-SESSION-UPDATE-REQUEST PDU from the SGSN for this session, see 3GPP TS 48.018. The MBMS notification may be repeated during the session.</w:t>
      </w:r>
    </w:p>
    <w:p w14:paraId="45D9A06E" w14:textId="77777777" w:rsidR="00711444" w:rsidRPr="004D0DAA" w:rsidRDefault="00711444" w:rsidP="00711444">
      <w:pPr>
        <w:keepNext/>
        <w:keepLines/>
      </w:pPr>
      <w:r w:rsidRPr="004D0DAA">
        <w:rPr>
          <w:lang w:eastAsia="ko-KR"/>
        </w:rPr>
        <w:t xml:space="preserve">The network initiates the paging procedure for MBMS notification on PCCCH (sub-clause 6.3.1.3) if PCCCH is present in the cell, otherwise on CCCH (sub-clause 6.3.1.2). The paging procedure for MBMS notification is also initiated on PACCH </w:t>
      </w:r>
      <w:r w:rsidRPr="004D0DAA">
        <w:t xml:space="preserve">when the mobile station is in broadcast/multicast receive mode, if so indicated for that mobile station by the network </w:t>
      </w:r>
      <w:r w:rsidRPr="004D0DAA">
        <w:rPr>
          <w:lang w:eastAsia="ko-KR"/>
        </w:rPr>
        <w:t>(sub-clause 6.3.1.3a)</w:t>
      </w:r>
      <w:r w:rsidRPr="004D0DAA">
        <w:t>.</w:t>
      </w:r>
    </w:p>
    <w:p w14:paraId="48EC62FE" w14:textId="77777777" w:rsidR="00711444" w:rsidRPr="004D0DAA" w:rsidRDefault="00711444" w:rsidP="00711444">
      <w:pPr>
        <w:keepNext/>
        <w:keepLines/>
        <w:rPr>
          <w:lang w:eastAsia="ko-KR"/>
        </w:rPr>
      </w:pPr>
      <w:r w:rsidRPr="004D0DAA">
        <w:rPr>
          <w:lang w:eastAsia="ko-KR"/>
        </w:rPr>
        <w:t>The paging procedure for MBMS notification consists of the following steps:</w:t>
      </w:r>
    </w:p>
    <w:p w14:paraId="2F9E8B9B" w14:textId="77777777" w:rsidR="00711444" w:rsidRPr="004D0DAA" w:rsidRDefault="00711444" w:rsidP="00711444">
      <w:pPr>
        <w:pStyle w:val="B1"/>
        <w:rPr>
          <w:lang w:eastAsia="ko-KR"/>
        </w:rPr>
      </w:pPr>
      <w:r w:rsidRPr="004D0DAA">
        <w:rPr>
          <w:lang w:eastAsia="ko-KR"/>
        </w:rPr>
        <w:t>optionally, the pre-notification of the MBMS session; and</w:t>
      </w:r>
    </w:p>
    <w:p w14:paraId="705E9146" w14:textId="77777777" w:rsidR="00711444" w:rsidRPr="004D0DAA" w:rsidRDefault="00711444" w:rsidP="00711444">
      <w:pPr>
        <w:pStyle w:val="B1"/>
        <w:rPr>
          <w:lang w:eastAsia="ko-KR"/>
        </w:rPr>
      </w:pPr>
      <w:r w:rsidRPr="004D0DAA">
        <w:rPr>
          <w:lang w:eastAsia="ko-KR"/>
        </w:rPr>
        <w:t xml:space="preserve">the </w:t>
      </w:r>
      <w:r w:rsidRPr="004D0DAA">
        <w:t>notification</w:t>
      </w:r>
      <w:r w:rsidRPr="004D0DAA">
        <w:rPr>
          <w:lang w:eastAsia="ko-KR"/>
        </w:rPr>
        <w:t xml:space="preserve"> of the MBMS session.</w:t>
      </w:r>
    </w:p>
    <w:p w14:paraId="76F80DB5" w14:textId="77777777" w:rsidR="00711444" w:rsidRPr="004D0DAA" w:rsidRDefault="00711444" w:rsidP="00711444">
      <w:pPr>
        <w:pStyle w:val="B1"/>
        <w:rPr>
          <w:lang w:eastAsia="ko-KR"/>
        </w:rPr>
      </w:pPr>
      <w:r w:rsidRPr="004D0DAA">
        <w:lastRenderedPageBreak/>
        <w:t>A mobile station in broadcast/multicast receive mode shall remain in broadcast/multicast receive mode if a paging procedure for a new MBMS session is not completed for any reason.</w:t>
      </w:r>
    </w:p>
    <w:p w14:paraId="2532CC85" w14:textId="77777777" w:rsidR="00711444" w:rsidRPr="004D0DAA" w:rsidRDefault="00711444" w:rsidP="00711444">
      <w:pPr>
        <w:pStyle w:val="Heading3"/>
      </w:pPr>
      <w:bookmarkStart w:id="124" w:name="_Toc516669312"/>
      <w:r w:rsidRPr="004D0DAA">
        <w:t>6.3.1.2</w:t>
      </w:r>
      <w:r w:rsidRPr="004D0DAA">
        <w:tab/>
        <w:t>Paging procedure for MBMS notification using paging subchannel on CCCH</w:t>
      </w:r>
      <w:bookmarkEnd w:id="124"/>
    </w:p>
    <w:p w14:paraId="28DCD638" w14:textId="77777777" w:rsidR="00711444" w:rsidRPr="004D0DAA" w:rsidRDefault="00711444" w:rsidP="00711444">
      <w:r w:rsidRPr="004D0DAA">
        <w:t>The paging procedure for MBMS notification and the paging request messages used on CCCH are specified in 3GPP TS 44.018.</w:t>
      </w:r>
    </w:p>
    <w:p w14:paraId="3B12FC42" w14:textId="77777777" w:rsidR="00711444" w:rsidRPr="004D0DAA" w:rsidRDefault="00711444" w:rsidP="00711444">
      <w:pPr>
        <w:pStyle w:val="Heading3"/>
      </w:pPr>
      <w:bookmarkStart w:id="125" w:name="_Toc516669313"/>
      <w:r w:rsidRPr="004D0DAA">
        <w:t>6.3.1.3</w:t>
      </w:r>
      <w:r w:rsidRPr="004D0DAA">
        <w:tab/>
        <w:t>Paging procedure for MBMS notification using paging subchannel on PCCCH</w:t>
      </w:r>
      <w:bookmarkEnd w:id="125"/>
    </w:p>
    <w:p w14:paraId="6264489D" w14:textId="77777777" w:rsidR="00711444" w:rsidRPr="004D0DAA" w:rsidRDefault="00711444" w:rsidP="00711444">
      <w:pPr>
        <w:pStyle w:val="Heading4"/>
      </w:pPr>
      <w:bookmarkStart w:id="126" w:name="_Toc516669314"/>
      <w:r w:rsidRPr="004D0DAA">
        <w:t>6.3.1.3.1</w:t>
      </w:r>
      <w:r w:rsidRPr="004D0DAA">
        <w:tab/>
        <w:t>General</w:t>
      </w:r>
      <w:bookmarkEnd w:id="126"/>
    </w:p>
    <w:p w14:paraId="3C42AAAB" w14:textId="77777777" w:rsidR="00711444" w:rsidRPr="004D0DAA" w:rsidRDefault="00711444" w:rsidP="00711444">
      <w:pPr>
        <w:rPr>
          <w:lang w:eastAsia="ko-KR"/>
        </w:rPr>
      </w:pPr>
      <w:r w:rsidRPr="004D0DAA">
        <w:rPr>
          <w:lang w:eastAsia="ko-KR"/>
        </w:rPr>
        <w:t xml:space="preserve">The network initiates the paging procedure for MBMS notification of an MBMS session by </w:t>
      </w:r>
      <w:r w:rsidRPr="004D0DAA">
        <w:t xml:space="preserve">sending a PACKET </w:t>
      </w:r>
      <w:r w:rsidRPr="004D0DAA">
        <w:rPr>
          <w:caps/>
        </w:rPr>
        <w:t>paging request</w:t>
      </w:r>
      <w:r w:rsidRPr="004D0DAA">
        <w:t xml:space="preserve"> message including for that session either the MBMS pre-notification (see sub-clause 6.3.1.3.2) or MBMS notification (see sub-clause 6.3.1.3.3) on one or more paging subchannels on PCCCH. </w:t>
      </w:r>
      <w:r w:rsidRPr="004D0DAA">
        <w:rPr>
          <w:lang w:eastAsia="ko-KR"/>
        </w:rPr>
        <w:t>The PACKET PAGING REQUEST message may also contain other MBMS (pre)notification(s) and/or pages as described in sub-clauses 6.1.2 and 6.2.2. The following requirements apply:</w:t>
      </w:r>
    </w:p>
    <w:p w14:paraId="649A30B8" w14:textId="77777777" w:rsidR="00711444" w:rsidRPr="004D0DAA" w:rsidRDefault="00711444" w:rsidP="00711444">
      <w:pPr>
        <w:pStyle w:val="B1"/>
        <w:rPr>
          <w:lang w:eastAsia="ko-KR"/>
        </w:rPr>
      </w:pPr>
      <w:r w:rsidRPr="004D0DAA">
        <w:rPr>
          <w:lang w:eastAsia="ko-KR"/>
        </w:rPr>
        <w:t>-</w:t>
      </w:r>
      <w:r w:rsidRPr="004D0DAA">
        <w:rPr>
          <w:lang w:eastAsia="ko-KR"/>
        </w:rPr>
        <w:tab/>
        <w:t>If in the PACKET PAGING REQUEST message the mobile station is at the same time (pre)notified (see sub-clauses 6.3.1.3.2 and 6.3.1.3.3) and paged, the mobile station shall discard all (pre)notification(s) in that message and proceed as described in sub-clause 6.1 or 6.2, whichever applies.</w:t>
      </w:r>
    </w:p>
    <w:p w14:paraId="0A4BF171" w14:textId="77777777" w:rsidR="00711444" w:rsidRPr="004D0DAA" w:rsidRDefault="00711444" w:rsidP="00711444">
      <w:pPr>
        <w:pStyle w:val="B1"/>
        <w:rPr>
          <w:lang w:eastAsia="ko-KR"/>
        </w:rPr>
      </w:pPr>
      <w:r w:rsidRPr="004D0DAA">
        <w:rPr>
          <w:lang w:eastAsia="ko-KR"/>
        </w:rPr>
        <w:t>-</w:t>
      </w:r>
      <w:r w:rsidRPr="004D0DAA">
        <w:rPr>
          <w:lang w:eastAsia="ko-KR"/>
        </w:rPr>
        <w:tab/>
        <w:t>If in the PACKET PAGING REQUEST message the mobile station is at the same time pre-notified (see sub-clause 6.3.1.3.2) and notified (see sub-clause 6.3.1.3.3), the mobile station shall discard all pre-notifications in that message and proceed as described in sub-clause 6.3.1.3.3.</w:t>
      </w:r>
    </w:p>
    <w:p w14:paraId="1E7A336D" w14:textId="77777777" w:rsidR="00711444" w:rsidRPr="004D0DAA" w:rsidRDefault="00711444" w:rsidP="00711444">
      <w:pPr>
        <w:pStyle w:val="Heading4"/>
        <w:rPr>
          <w:lang w:eastAsia="ko-KR"/>
        </w:rPr>
      </w:pPr>
      <w:bookmarkStart w:id="127" w:name="_Toc516669315"/>
      <w:r w:rsidRPr="004D0DAA">
        <w:rPr>
          <w:lang w:eastAsia="ko-KR"/>
        </w:rPr>
        <w:t>6.3.1.3.2</w:t>
      </w:r>
      <w:r w:rsidRPr="004D0DAA">
        <w:rPr>
          <w:lang w:eastAsia="ko-KR"/>
        </w:rPr>
        <w:tab/>
        <w:t>MBMS pre-notification</w:t>
      </w:r>
      <w:bookmarkEnd w:id="127"/>
      <w:r w:rsidRPr="004D0DAA">
        <w:rPr>
          <w:lang w:eastAsia="ko-KR"/>
        </w:rPr>
        <w:t xml:space="preserve"> </w:t>
      </w:r>
    </w:p>
    <w:p w14:paraId="511398FD" w14:textId="77777777" w:rsidR="00711444" w:rsidRPr="004D0DAA" w:rsidRDefault="00711444" w:rsidP="00711444">
      <w:pPr>
        <w:rPr>
          <w:lang w:eastAsia="ko-KR"/>
        </w:rPr>
      </w:pPr>
      <w:r w:rsidRPr="004D0DAA">
        <w:rPr>
          <w:lang w:eastAsia="ko-KR"/>
        </w:rPr>
        <w:t>In order to pre-notify an MBMS session, the network shall send a PACKET PAGING REQUEST message by including for that session only the TMGI and, if available, the MBMS Session Identity of that session as contained in the MBMS-SESSION-START-REQUEST PDU or in the MBMS-SESSION-UPDATE-REQUEST PDU.</w:t>
      </w:r>
    </w:p>
    <w:p w14:paraId="77E10B2E" w14:textId="77777777" w:rsidR="00711444" w:rsidRPr="004D0DAA" w:rsidRDefault="00711444" w:rsidP="00711444">
      <w:pPr>
        <w:rPr>
          <w:lang w:eastAsia="ko-KR"/>
        </w:rPr>
      </w:pPr>
      <w:r w:rsidRPr="004D0DAA">
        <w:rPr>
          <w:lang w:eastAsia="ko-KR"/>
        </w:rPr>
        <w:t xml:space="preserve">Upon reception of a PACKET PAGING REQUEST message including for an MBMS session only the TMGI and, if available, the MBMS Session Identity of that session, and if the mobile station requires reception of that session, the mobile station shall consider that session as being pre-notified (i.e. the mobile station is pre-notified). If the mobile station determines several pre-notified sessions in this message, the mobile station shall discard all pre-notifications but the pre-notification for the highest priority session. The mobile station in packet idle mode or MAC-Idle state shall then enter non-DRX mode, start timer T3220 and proceed as described in sub-clause 6.3.1.3.3. </w:t>
      </w:r>
    </w:p>
    <w:p w14:paraId="0F76EBC9" w14:textId="77777777" w:rsidR="00711444" w:rsidRPr="004D0DAA" w:rsidRDefault="00711444" w:rsidP="00711444">
      <w:pPr>
        <w:pStyle w:val="NO"/>
        <w:rPr>
          <w:lang w:eastAsia="ko-KR"/>
        </w:rPr>
      </w:pPr>
      <w:r w:rsidRPr="004D0DAA">
        <w:rPr>
          <w:lang w:eastAsia="ko-KR"/>
        </w:rPr>
        <w:t>NOTE:</w:t>
      </w:r>
      <w:r w:rsidRPr="004D0DAA">
        <w:rPr>
          <w:lang w:eastAsia="ko-KR"/>
        </w:rPr>
        <w:tab/>
        <w:t>In case all pre-notified sessions have the same priority, the selection of the highest priority session is implementation-dependent.</w:t>
      </w:r>
    </w:p>
    <w:p w14:paraId="60402C19" w14:textId="77777777" w:rsidR="00711444" w:rsidRPr="004D0DAA" w:rsidRDefault="00711444" w:rsidP="00711444">
      <w:pPr>
        <w:rPr>
          <w:lang w:eastAsia="ko-KR"/>
        </w:rPr>
      </w:pPr>
      <w:r w:rsidRPr="004D0DAA">
        <w:rPr>
          <w:lang w:eastAsia="ko-KR"/>
        </w:rPr>
        <w:t>While timer T3220 is running, the mobile station shall stop timer T3220 and discard the pre-notification if:</w:t>
      </w:r>
    </w:p>
    <w:p w14:paraId="18E8B01F" w14:textId="77777777" w:rsidR="00711444" w:rsidRPr="004D0DAA" w:rsidRDefault="00711444" w:rsidP="00711444">
      <w:pPr>
        <w:pStyle w:val="B1"/>
        <w:rPr>
          <w:lang w:eastAsia="ko-KR"/>
        </w:rPr>
      </w:pPr>
      <w:r w:rsidRPr="004D0DAA">
        <w:rPr>
          <w:lang w:eastAsia="ko-KR"/>
        </w:rPr>
        <w:t>-</w:t>
      </w:r>
      <w:r w:rsidRPr="004D0DAA">
        <w:rPr>
          <w:lang w:eastAsia="ko-KR"/>
        </w:rPr>
        <w:tab/>
        <w:t>Any other procedure on PCCCH not related to MBMS is triggered. The mobile station shall then proceed as per that procedure.</w:t>
      </w:r>
    </w:p>
    <w:p w14:paraId="31B96476" w14:textId="77777777" w:rsidR="00711444" w:rsidRPr="004D0DAA" w:rsidRDefault="00711444" w:rsidP="00711444">
      <w:pPr>
        <w:pStyle w:val="B1"/>
        <w:rPr>
          <w:lang w:eastAsia="ko-KR"/>
        </w:rPr>
      </w:pPr>
      <w:r w:rsidRPr="004D0DAA">
        <w:rPr>
          <w:lang w:eastAsia="ko-KR"/>
        </w:rPr>
        <w:t>-</w:t>
      </w:r>
      <w:r w:rsidRPr="004D0DAA">
        <w:rPr>
          <w:lang w:eastAsia="ko-KR"/>
        </w:rPr>
        <w:tab/>
        <w:t>A notification is received for a higher priority session. The mobile station shall then proceed as described in sub-clause 6.3.1.3.3.</w:t>
      </w:r>
    </w:p>
    <w:p w14:paraId="304FDC7C" w14:textId="77777777" w:rsidR="00711444" w:rsidRPr="004D0DAA" w:rsidRDefault="00711444" w:rsidP="00711444">
      <w:pPr>
        <w:rPr>
          <w:lang w:eastAsia="ko-KR"/>
        </w:rPr>
      </w:pPr>
      <w:r w:rsidRPr="004D0DAA">
        <w:rPr>
          <w:lang w:eastAsia="ko-KR"/>
        </w:rPr>
        <w:t>If while timer T3220 is running the mobile station receives a pre-notification for a higher priority session, the mobile station shall discard the pre-notification for the lower priority session, remain in non-DRX mode, restart timer T3220 and proceed as described in sub-clause 6.3.1.3.3.</w:t>
      </w:r>
    </w:p>
    <w:p w14:paraId="02CA3DD1" w14:textId="77777777" w:rsidR="00711444" w:rsidRPr="004D0DAA" w:rsidRDefault="00711444" w:rsidP="00711444">
      <w:pPr>
        <w:rPr>
          <w:lang w:eastAsia="ko-KR"/>
        </w:rPr>
      </w:pPr>
      <w:r w:rsidRPr="004D0DAA">
        <w:rPr>
          <w:lang w:eastAsia="ko-KR"/>
        </w:rPr>
        <w:t>Upon expiry of timer T3220, the mobile station in packet idle mode or MAC-Idle state shall return to DRX mode and discard the pre-notification. The mobile station in broadcast/multicast receive mode shall discard the pre-notification and remain in broadcast/multicast receive mode.</w:t>
      </w:r>
    </w:p>
    <w:p w14:paraId="23B23A51" w14:textId="77777777" w:rsidR="00711444" w:rsidRPr="004D0DAA" w:rsidRDefault="00711444" w:rsidP="00711444">
      <w:pPr>
        <w:rPr>
          <w:lang w:eastAsia="ko-KR"/>
        </w:rPr>
      </w:pPr>
      <w:r w:rsidRPr="004D0DAA">
        <w:rPr>
          <w:lang w:eastAsia="ko-KR"/>
        </w:rPr>
        <w:lastRenderedPageBreak/>
        <w:t>A mobile station in broadcast/multicast receive mode that is receiving an MBMS session shall ignore repeated pre-notifications of that session.</w:t>
      </w:r>
    </w:p>
    <w:p w14:paraId="07740288" w14:textId="77777777" w:rsidR="00711444" w:rsidRPr="004D0DAA" w:rsidRDefault="00711444" w:rsidP="00711444">
      <w:pPr>
        <w:pStyle w:val="Heading4"/>
        <w:rPr>
          <w:lang w:eastAsia="ko-KR"/>
        </w:rPr>
      </w:pPr>
      <w:bookmarkStart w:id="128" w:name="_Toc516669316"/>
      <w:r w:rsidRPr="004D0DAA">
        <w:rPr>
          <w:lang w:eastAsia="ko-KR"/>
        </w:rPr>
        <w:t>6.3.1.3.3</w:t>
      </w:r>
      <w:r w:rsidRPr="004D0DAA">
        <w:rPr>
          <w:lang w:eastAsia="ko-KR"/>
        </w:rPr>
        <w:tab/>
        <w:t>MBMS notification</w:t>
      </w:r>
      <w:bookmarkEnd w:id="128"/>
    </w:p>
    <w:p w14:paraId="0891E25E" w14:textId="77777777" w:rsidR="00711444" w:rsidRPr="004D0DAA" w:rsidRDefault="00711444" w:rsidP="00711444">
      <w:pPr>
        <w:rPr>
          <w:lang w:eastAsia="ko-KR"/>
        </w:rPr>
      </w:pPr>
      <w:r w:rsidRPr="004D0DAA">
        <w:rPr>
          <w:lang w:eastAsia="ko-KR"/>
        </w:rPr>
        <w:t>In order to notify an MBMS session, the network shall send a PACKET PAGING REQUEST message by including for that session:</w:t>
      </w:r>
    </w:p>
    <w:p w14:paraId="5FA5E426" w14:textId="77777777" w:rsidR="00711444" w:rsidRPr="004D0DAA" w:rsidRDefault="00711444" w:rsidP="00711444">
      <w:pPr>
        <w:pStyle w:val="B1"/>
        <w:rPr>
          <w:lang w:eastAsia="ko-KR"/>
        </w:rPr>
      </w:pPr>
      <w:r w:rsidRPr="004D0DAA">
        <w:rPr>
          <w:lang w:eastAsia="ko-KR"/>
        </w:rPr>
        <w:t>-</w:t>
      </w:r>
      <w:r w:rsidRPr="004D0DAA">
        <w:rPr>
          <w:lang w:eastAsia="ko-KR"/>
        </w:rPr>
        <w:tab/>
        <w:t>the TMGI and, if available, the MBMS Session Identity of that session;</w:t>
      </w:r>
    </w:p>
    <w:p w14:paraId="7A2E61E3" w14:textId="77777777" w:rsidR="00711444" w:rsidRPr="004D0DAA" w:rsidRDefault="00711444" w:rsidP="00711444">
      <w:pPr>
        <w:pStyle w:val="B1"/>
        <w:rPr>
          <w:lang w:eastAsia="ko-KR"/>
        </w:rPr>
      </w:pPr>
      <w:r w:rsidRPr="004D0DAA">
        <w:t>-</w:t>
      </w:r>
      <w:r w:rsidRPr="004D0DAA">
        <w:tab/>
        <w:t>an</w:t>
      </w:r>
      <w:r w:rsidRPr="004D0DAA">
        <w:rPr>
          <w:lang w:eastAsia="ko-KR"/>
        </w:rPr>
        <w:t xml:space="preserve"> </w:t>
      </w:r>
      <w:r w:rsidRPr="004D0DAA">
        <w:t>indication</w:t>
      </w:r>
      <w:r w:rsidRPr="004D0DAA">
        <w:rPr>
          <w:lang w:eastAsia="ko-KR"/>
        </w:rPr>
        <w:t xml:space="preserve"> whether counting shall be performed or not;</w:t>
      </w:r>
    </w:p>
    <w:p w14:paraId="606E4ABB" w14:textId="77777777" w:rsidR="00711444" w:rsidRPr="004D0DAA" w:rsidRDefault="00711444" w:rsidP="00711444">
      <w:pPr>
        <w:pStyle w:val="B1"/>
        <w:rPr>
          <w:lang w:eastAsia="ko-KR"/>
        </w:rPr>
      </w:pPr>
      <w:r w:rsidRPr="004D0DAA">
        <w:t>-</w:t>
      </w:r>
      <w:r w:rsidRPr="004D0DAA">
        <w:tab/>
      </w:r>
      <w:r w:rsidRPr="004D0DAA">
        <w:rPr>
          <w:lang w:eastAsia="ko-KR"/>
        </w:rPr>
        <w:t>optionally the MBMS p-t-m channel description allocated to that session</w:t>
      </w:r>
      <w:r w:rsidRPr="004D0DAA">
        <w:t xml:space="preserve"> and the estimated duration of the MBMS session or, if the MBMS session is ongoing, the estimated remaining duration of the MBMS session</w:t>
      </w:r>
      <w:r w:rsidRPr="004D0DAA">
        <w:rPr>
          <w:lang w:eastAsia="ko-KR"/>
        </w:rPr>
        <w:t>;</w:t>
      </w:r>
    </w:p>
    <w:p w14:paraId="0235DF26" w14:textId="77777777" w:rsidR="00711444" w:rsidRPr="004D0DAA" w:rsidRDefault="00711444" w:rsidP="00711444">
      <w:pPr>
        <w:pStyle w:val="B1"/>
        <w:rPr>
          <w:lang w:eastAsia="ko-KR"/>
        </w:rPr>
      </w:pPr>
      <w:r w:rsidRPr="004D0DAA">
        <w:rPr>
          <w:lang w:eastAsia="ko-KR"/>
        </w:rPr>
        <w:t>-</w:t>
      </w:r>
      <w:r w:rsidRPr="004D0DAA">
        <w:rPr>
          <w:lang w:eastAsia="ko-KR"/>
        </w:rPr>
        <w:tab/>
        <w:t>optionally the MPRACH description.</w:t>
      </w:r>
    </w:p>
    <w:p w14:paraId="67BE67E7" w14:textId="77777777" w:rsidR="00711444" w:rsidRPr="004D0DAA" w:rsidRDefault="00711444" w:rsidP="00711444">
      <w:pPr>
        <w:pStyle w:val="NO"/>
        <w:rPr>
          <w:lang w:eastAsia="ko-KR"/>
        </w:rPr>
      </w:pPr>
      <w:r w:rsidRPr="004D0DAA">
        <w:rPr>
          <w:lang w:eastAsia="ko-KR"/>
        </w:rPr>
        <w:t>NOTE 1:</w:t>
      </w:r>
      <w:r w:rsidRPr="004D0DAA">
        <w:rPr>
          <w:lang w:eastAsia="ko-KR"/>
        </w:rPr>
        <w:tab/>
        <w:t>If t</w:t>
      </w:r>
      <w:r w:rsidRPr="004D0DAA">
        <w:rPr>
          <w:rFonts w:eastAsia="Batang"/>
          <w:lang w:eastAsia="ko-KR"/>
        </w:rPr>
        <w:t xml:space="preserve">he </w:t>
      </w:r>
      <w:r w:rsidRPr="004D0DAA">
        <w:rPr>
          <w:rFonts w:eastAsia="Batang"/>
          <w:i/>
          <w:lang w:eastAsia="ko-KR"/>
        </w:rPr>
        <w:t>MBMS Session Repetition Number</w:t>
      </w:r>
      <w:r w:rsidRPr="004D0DAA">
        <w:rPr>
          <w:rFonts w:eastAsia="Batang"/>
          <w:lang w:eastAsia="ko-KR"/>
        </w:rPr>
        <w:t xml:space="preserve"> IE is included in the MBMS-SESSION-START-REQUEST PDU or in the MBMS-SESSION-UPDATE-REQUEST PDU (see 3GPP TS 48.018), the value part of this IE may be used by the network for </w:t>
      </w:r>
      <w:r w:rsidRPr="004D0DAA">
        <w:rPr>
          <w:rFonts w:eastAsia="Batang"/>
        </w:rPr>
        <w:t xml:space="preserve">e.g. </w:t>
      </w:r>
      <w:r w:rsidRPr="004D0DAA">
        <w:rPr>
          <w:rFonts w:eastAsia="Batang"/>
          <w:lang w:eastAsia="ko-KR"/>
        </w:rPr>
        <w:t xml:space="preserve">deciding whether or not to perform the counting procedure </w:t>
      </w:r>
      <w:r w:rsidRPr="004D0DAA">
        <w:t xml:space="preserve">or, </w:t>
      </w:r>
      <w:r w:rsidRPr="004D0DAA">
        <w:rPr>
          <w:rFonts w:eastAsia="Batang"/>
          <w:lang w:eastAsia="ko-KR"/>
        </w:rPr>
        <w:t xml:space="preserve">in conjunction with </w:t>
      </w:r>
      <w:r w:rsidRPr="004D0DAA">
        <w:t xml:space="preserve">the values of </w:t>
      </w:r>
      <w:r w:rsidRPr="004D0DAA">
        <w:rPr>
          <w:i/>
        </w:rPr>
        <w:t>Allocation/Retention Priority</w:t>
      </w:r>
      <w:r w:rsidRPr="004D0DAA">
        <w:t xml:space="preserve"> IE </w:t>
      </w:r>
      <w:r w:rsidRPr="004D0DAA">
        <w:rPr>
          <w:rFonts w:eastAsia="Batang"/>
        </w:rPr>
        <w:t>(see 3GPP TS 48.018)</w:t>
      </w:r>
      <w:r w:rsidRPr="004D0DAA">
        <w:t>, whether or not to establish an MBMS radio bearer for the session</w:t>
      </w:r>
      <w:r w:rsidRPr="004D0DAA">
        <w:rPr>
          <w:rFonts w:eastAsia="Batang"/>
          <w:lang w:eastAsia="ko-KR"/>
        </w:rPr>
        <w:t xml:space="preserve">. </w:t>
      </w:r>
    </w:p>
    <w:p w14:paraId="0EA5047B" w14:textId="77777777" w:rsidR="00711444" w:rsidRPr="004D0DAA" w:rsidRDefault="00711444" w:rsidP="00711444">
      <w:pPr>
        <w:rPr>
          <w:lang w:eastAsia="ko-KR"/>
        </w:rPr>
      </w:pPr>
      <w:r w:rsidRPr="004D0DAA">
        <w:rPr>
          <w:lang w:eastAsia="ko-KR"/>
        </w:rPr>
        <w:t xml:space="preserve">Upon reception of a PACKET PAGING REQUEST message including the notification of an MBMS session and if </w:t>
      </w:r>
      <w:r w:rsidRPr="004D0DAA">
        <w:t>the mobile station requires reception of this session</w:t>
      </w:r>
      <w:r w:rsidRPr="004D0DAA">
        <w:rPr>
          <w:lang w:eastAsia="ko-KR"/>
        </w:rPr>
        <w:t xml:space="preserve">, the mobile station shall consider that session as being notified (i.e. the mobile station is notified). If the mobile station determines several notified sessions in this message, the mobile station shall act upon the notification for the highest priority session. The mobile station shall then stop timer T3220, if running, and proceed as described in sub-clause 6.3.1.4. </w:t>
      </w:r>
    </w:p>
    <w:p w14:paraId="6BA99AF4" w14:textId="77777777" w:rsidR="00711444" w:rsidRPr="004D0DAA" w:rsidRDefault="00711444" w:rsidP="00711444">
      <w:pPr>
        <w:pStyle w:val="NO"/>
        <w:rPr>
          <w:lang w:eastAsia="ko-KR"/>
        </w:rPr>
      </w:pPr>
      <w:r w:rsidRPr="004D0DAA">
        <w:rPr>
          <w:lang w:eastAsia="ko-KR"/>
        </w:rPr>
        <w:t>NOTE 2:</w:t>
      </w:r>
      <w:r w:rsidRPr="004D0DAA">
        <w:rPr>
          <w:lang w:eastAsia="ko-KR"/>
        </w:rPr>
        <w:tab/>
        <w:t>In case all notified sessions have the same priority, the selection of the highest priority session is implementation-dependent.</w:t>
      </w:r>
    </w:p>
    <w:p w14:paraId="64AA6C4A" w14:textId="77777777" w:rsidR="00711444" w:rsidRPr="004D0DAA" w:rsidRDefault="00711444" w:rsidP="00711444">
      <w:pPr>
        <w:pStyle w:val="NO"/>
        <w:rPr>
          <w:lang w:eastAsia="ko-KR"/>
        </w:rPr>
      </w:pPr>
      <w:r w:rsidRPr="004D0DAA">
        <w:rPr>
          <w:lang w:eastAsia="ko-KR"/>
        </w:rPr>
        <w:t>NOTE 3:</w:t>
      </w:r>
      <w:r w:rsidRPr="004D0DAA">
        <w:rPr>
          <w:lang w:eastAsia="ko-KR"/>
        </w:rPr>
        <w:tab/>
        <w:t>Depending on its capabilities, the MS may act upon the notification for lower priority MBMS sessions provided it does not affect any of the following procedures for the highest priority MBMS session: response to MBMS notification (see sub-clause 6.3.1.4), establishment of MBMS bearer upon receipt of MBMS ASSIGNMENT message (see sub-clause 7.7.2.2), MBMS packet access procedure (see sub-clause 7.7.1).</w:t>
      </w:r>
    </w:p>
    <w:p w14:paraId="79093137" w14:textId="77777777" w:rsidR="00711444" w:rsidRPr="004D0DAA" w:rsidRDefault="00711444" w:rsidP="00711444">
      <w:r w:rsidRPr="004D0DAA">
        <w:t>A mobile station in broadcast/multicast receive mode that is receiving an MBMS session shall ignore repeated notifications of that session.</w:t>
      </w:r>
    </w:p>
    <w:p w14:paraId="70B1FF1E" w14:textId="77777777" w:rsidR="00711444" w:rsidRPr="004D0DAA" w:rsidRDefault="00711444" w:rsidP="00711444">
      <w:pPr>
        <w:pStyle w:val="Heading3"/>
      </w:pPr>
      <w:bookmarkStart w:id="129" w:name="_Toc516669317"/>
      <w:r w:rsidRPr="004D0DAA">
        <w:t>6.3.1.3a</w:t>
      </w:r>
      <w:r w:rsidRPr="004D0DAA">
        <w:tab/>
        <w:t>Paging procedure for MBMS notification using PACCH</w:t>
      </w:r>
      <w:bookmarkEnd w:id="129"/>
    </w:p>
    <w:p w14:paraId="779510B7" w14:textId="77777777" w:rsidR="00711444" w:rsidRPr="004D0DAA" w:rsidRDefault="00711444" w:rsidP="00711444">
      <w:r w:rsidRPr="004D0DAA">
        <w:t xml:space="preserve">A mobile station in broadcast/multicast receive mode shall expect the paging messages to be received on the PACCH of an MBMS radio bearer if the network has indicated so with the </w:t>
      </w:r>
      <w:r w:rsidRPr="004D0DAA">
        <w:rPr>
          <w:i/>
          <w:iCs/>
        </w:rPr>
        <w:t>MBMS In-band Signalling Indicator</w:t>
      </w:r>
      <w:r w:rsidRPr="004D0DAA">
        <w:t xml:space="preserve"> field in the MBMS ASSIGNMENT and/or MBMS NEIGHBOURING CELL INFORMATION messages, and if the mobile station has an MS_ID on that MBMS radio bearer.</w:t>
      </w:r>
    </w:p>
    <w:p w14:paraId="2CAF2F32" w14:textId="77777777" w:rsidR="00711444" w:rsidRPr="004D0DAA" w:rsidRDefault="00711444" w:rsidP="00711444">
      <w:pPr>
        <w:keepNext/>
        <w:keepLines/>
        <w:rPr>
          <w:lang w:eastAsia="ko-KR"/>
        </w:rPr>
      </w:pPr>
      <w:r w:rsidRPr="004D0DAA">
        <w:rPr>
          <w:lang w:eastAsia="ko-KR"/>
        </w:rPr>
        <w:t xml:space="preserve">Under the above circumstances, the network initiates the paging procedure for MBMS notification of an MBMS session not only on PCCCH (see sub-clause 6.3.1.3) if PCCCH is present in the cell, otherwise on CCCH (see sub-clause 6.3.1.2), but also by </w:t>
      </w:r>
      <w:r w:rsidRPr="004D0DAA">
        <w:t xml:space="preserve">sending a PACKET </w:t>
      </w:r>
      <w:r w:rsidRPr="004D0DAA">
        <w:rPr>
          <w:caps/>
        </w:rPr>
        <w:t>paging request</w:t>
      </w:r>
      <w:r w:rsidRPr="004D0DAA">
        <w:t xml:space="preserve"> message including for that session either the MBMS pre-notification (see sub-clause 6.3.1.3.2) or MBMS notification (see sub-clause 6.3.1.3.3) on the appropriate PACCH. </w:t>
      </w:r>
      <w:r w:rsidRPr="004D0DAA">
        <w:rPr>
          <w:lang w:eastAsia="ko-KR"/>
        </w:rPr>
        <w:t xml:space="preserve">The PACKET PAGING REQUEST message may also contain other MBMS (pre-)notification(s) and/or pages as described in sub-clauses 6.1.2 and 6.2.2 </w:t>
      </w:r>
      <w:r w:rsidRPr="004D0DAA">
        <w:t>(see sub-clause 6.3.1.3.1)</w:t>
      </w:r>
      <w:r w:rsidRPr="004D0DAA">
        <w:rPr>
          <w:lang w:eastAsia="ko-KR"/>
        </w:rPr>
        <w:t>.</w:t>
      </w:r>
    </w:p>
    <w:p w14:paraId="57B26E99" w14:textId="77777777" w:rsidR="00711444" w:rsidRPr="004D0DAA" w:rsidRDefault="00711444" w:rsidP="00711444">
      <w:pPr>
        <w:keepNext/>
        <w:keepLines/>
        <w:rPr>
          <w:lang w:eastAsia="ko-KR"/>
        </w:rPr>
      </w:pPr>
      <w:r w:rsidRPr="004D0DAA">
        <w:t xml:space="preserve">The network shall not send paging messages on the PACCH to a mobile station whose MS_ID has been released because the mobile station has not responded when being polled (i.e. T3195 has </w:t>
      </w:r>
      <w:r w:rsidRPr="004D0DAA">
        <w:rPr>
          <w:lang w:eastAsia="zh-CN"/>
        </w:rPr>
        <w:t>started</w:t>
      </w:r>
      <w:r w:rsidRPr="004D0DAA">
        <w:t xml:space="preserve"> for that MS_ID).</w:t>
      </w:r>
    </w:p>
    <w:p w14:paraId="7349D0D3" w14:textId="77777777" w:rsidR="00711444" w:rsidRPr="004D0DAA" w:rsidRDefault="00711444" w:rsidP="00711444">
      <w:pPr>
        <w:keepNext/>
        <w:keepLines/>
        <w:rPr>
          <w:lang w:eastAsia="ko-KR"/>
        </w:rPr>
      </w:pPr>
      <w:r w:rsidRPr="004D0DAA">
        <w:rPr>
          <w:lang w:eastAsia="ko-KR"/>
        </w:rPr>
        <w:t xml:space="preserve">Upon reception of MBMS notification on PACCH, the mobile station </w:t>
      </w:r>
      <w:r w:rsidRPr="004D0DAA">
        <w:t xml:space="preserve">in broadcast/multicast receive mode </w:t>
      </w:r>
      <w:r w:rsidRPr="004D0DAA">
        <w:rPr>
          <w:lang w:eastAsia="ko-KR"/>
        </w:rPr>
        <w:t>shall act according to sub-clause 8.1.5.2.</w:t>
      </w:r>
    </w:p>
    <w:p w14:paraId="71DD2868" w14:textId="77777777" w:rsidR="00711444" w:rsidRPr="004D0DAA" w:rsidRDefault="00711444" w:rsidP="00711444">
      <w:pPr>
        <w:keepNext/>
        <w:keepLines/>
        <w:rPr>
          <w:lang w:eastAsia="ko-KR"/>
        </w:rPr>
      </w:pPr>
      <w:r w:rsidRPr="004D0DAA">
        <w:rPr>
          <w:lang w:eastAsia="ko-KR"/>
        </w:rPr>
        <w:t>If the mobile station responds to the MBMS notification:</w:t>
      </w:r>
    </w:p>
    <w:p w14:paraId="4C64246D" w14:textId="77777777" w:rsidR="00711444" w:rsidRPr="004D0DAA" w:rsidRDefault="00711444" w:rsidP="00711444">
      <w:pPr>
        <w:pStyle w:val="B1"/>
        <w:rPr>
          <w:lang w:eastAsia="ko-KR"/>
        </w:rPr>
      </w:pPr>
      <w:r w:rsidRPr="004D0DAA">
        <w:t>-</w:t>
      </w:r>
      <w:r w:rsidRPr="004D0DAA">
        <w:tab/>
        <w:t>it shall act as described in sub-clause 6.3.1.4 if PCCCH is present in the cell;</w:t>
      </w:r>
    </w:p>
    <w:p w14:paraId="38D6532C" w14:textId="77777777" w:rsidR="00711444" w:rsidRPr="004D0DAA" w:rsidRDefault="00711444" w:rsidP="00711444">
      <w:pPr>
        <w:pStyle w:val="B1"/>
        <w:rPr>
          <w:lang w:eastAsia="ko-KR"/>
        </w:rPr>
      </w:pPr>
      <w:r w:rsidRPr="004D0DAA">
        <w:lastRenderedPageBreak/>
        <w:t>-</w:t>
      </w:r>
      <w:r w:rsidRPr="004D0DAA">
        <w:tab/>
        <w:t>otherwise it shall act as described in 3GPP TS 44.018 (</w:t>
      </w:r>
      <w:r w:rsidRPr="004D0DAA">
        <w:rPr>
          <w:lang w:eastAsia="ko-KR"/>
        </w:rPr>
        <w:t>sub-clause 3.5.1.3.4).</w:t>
      </w:r>
    </w:p>
    <w:p w14:paraId="11419634" w14:textId="77777777" w:rsidR="00711444" w:rsidRPr="004D0DAA" w:rsidRDefault="00711444" w:rsidP="00711444">
      <w:pPr>
        <w:pStyle w:val="Heading3"/>
      </w:pPr>
      <w:bookmarkStart w:id="130" w:name="_Toc516669318"/>
      <w:r w:rsidRPr="004D0DAA">
        <w:t>6.3.1.4</w:t>
      </w:r>
      <w:r w:rsidRPr="004D0DAA">
        <w:tab/>
        <w:t>Response to MBMS Notification</w:t>
      </w:r>
      <w:bookmarkEnd w:id="130"/>
    </w:p>
    <w:p w14:paraId="1C2C0CDA" w14:textId="77777777" w:rsidR="00711444" w:rsidRPr="004D0DAA" w:rsidRDefault="00711444" w:rsidP="00711444">
      <w:r w:rsidRPr="004D0DAA">
        <w:t>If the MBMS notification indicates that no counting shall be performed and contains no MBMS p-t-m channel description, the mobile station shall remain in or enter non-DRX mode and start timer T3214. Upon expiry of timer T3214, a mobile station in packet idle mode or MAC-Idle state (respectively broadcast-multicast receive mode) shall enter DRX mode (respectively remain in broadcast-multicast receive mode) and discard the corresponding notification. Upon reception of an MBMS ASSIGNMENT message for that session, the mobile station shall stop timer T3214 and shall proceed as described in sub-clause 7.7.2.2.</w:t>
      </w:r>
    </w:p>
    <w:p w14:paraId="60F5D75E" w14:textId="77777777" w:rsidR="00711444" w:rsidRPr="004D0DAA" w:rsidRDefault="00711444" w:rsidP="00711444">
      <w:pPr>
        <w:rPr>
          <w:lang w:eastAsia="ko-KR"/>
        </w:rPr>
      </w:pPr>
      <w:r w:rsidRPr="004D0DAA">
        <w:rPr>
          <w:lang w:eastAsia="ko-KR"/>
        </w:rPr>
        <w:t>While timer T3214 is running, the mobile station shall stop timer T3214 if:</w:t>
      </w:r>
    </w:p>
    <w:p w14:paraId="525418A0" w14:textId="77777777" w:rsidR="00711444" w:rsidRPr="004D0DAA" w:rsidRDefault="00711444" w:rsidP="00711444">
      <w:pPr>
        <w:pStyle w:val="B1"/>
        <w:rPr>
          <w:lang w:eastAsia="ko-KR"/>
        </w:rPr>
      </w:pPr>
      <w:r w:rsidRPr="004D0DAA">
        <w:rPr>
          <w:lang w:eastAsia="ko-KR"/>
        </w:rPr>
        <w:t>-</w:t>
      </w:r>
      <w:r w:rsidRPr="004D0DAA">
        <w:rPr>
          <w:lang w:eastAsia="ko-KR"/>
        </w:rPr>
        <w:tab/>
        <w:t>Any other procedure on PCCCH not related to MBMS is triggered. The mobile station shall then proceed as per that procedure;</w:t>
      </w:r>
    </w:p>
    <w:p w14:paraId="7F41860B" w14:textId="77777777" w:rsidR="00711444" w:rsidRPr="004D0DAA" w:rsidRDefault="00711444" w:rsidP="00711444">
      <w:pPr>
        <w:pStyle w:val="B1"/>
      </w:pPr>
      <w:r w:rsidRPr="004D0DAA">
        <w:rPr>
          <w:lang w:eastAsia="ko-KR"/>
        </w:rPr>
        <w:t>-</w:t>
      </w:r>
      <w:r w:rsidRPr="004D0DAA">
        <w:rPr>
          <w:lang w:eastAsia="ko-KR"/>
        </w:rPr>
        <w:tab/>
        <w:t>A notification is received for a higher priority session. The mobile station shall then proceed as per that notification. Depending on its capabilities, the MS may act upon the notification for the lower priority MBMS session provided it does not affect any of the following procedures for the higher priority MBMS session: response to MBMS notification (see present sub-clause), establishment of MBMS bearer upon receipt of MBMS ASSIGNMENT (see sub-clause 7.7.2.2), MBMS packet access procedure (see sub-clause 7.7.1).</w:t>
      </w:r>
    </w:p>
    <w:p w14:paraId="0FC03E9F" w14:textId="77777777" w:rsidR="00711444" w:rsidRPr="004D0DAA" w:rsidRDefault="00711444" w:rsidP="00711444">
      <w:r w:rsidRPr="004D0DAA">
        <w:t>If the MBMS notification indicates that counting shall be performed the mobile station shall perform an MBMS packet access procedure, as described in sub-clause 7.7.1.</w:t>
      </w:r>
    </w:p>
    <w:p w14:paraId="5D2F1F85" w14:textId="77777777" w:rsidR="00711444" w:rsidRPr="004D0DAA" w:rsidRDefault="00711444" w:rsidP="00711444">
      <w:r w:rsidRPr="004D0DAA">
        <w:t xml:space="preserve">If the MBMS notification includes an MBMS p-t-m channel description the mobile station shall set and start the session duration timer for this MBMS session with a value equal to the Estimated Session Duration (included in the MBMS Session Parameters List) and shall use information received on the PBCCH to decode the channel descriptions contained in the assignment. If frequency hopping is applied, the mobile station shall use the last CA (Cell Allocation) received on PBCCH to decode the Mobile Allocation. Alternatively, the network may provide a Mobile Allocation in the assignment. If an MBMS Radio Bearer Starting Time is indicated, the mobile station shall monitor PCCCH until the point in time denoted by the MBMS Radio Bearer Starting Time. The mobile station shall then switch to the assigned PDCHs and start timer T3190. If the MBMS Radio Bearer Starting Time has already elapsed or is not present, the mobile station shall switch to the assigned PDCHs and start timer T3190. The timer T3190 is restarted when receiving the first valid RLC data block for that session. </w:t>
      </w:r>
      <w:r w:rsidRPr="004D0DAA">
        <w:rPr>
          <w:rFonts w:eastAsia="SimSun"/>
          <w:lang w:eastAsia="zh-CN" w:bidi="he-IL"/>
        </w:rPr>
        <w:t xml:space="preserve">In EGPRS TBF mode </w:t>
      </w:r>
      <w:r w:rsidRPr="004D0DAA">
        <w:t>T3190 is also restarted</w:t>
      </w:r>
      <w:r w:rsidRPr="004D0DAA">
        <w:rPr>
          <w:rFonts w:eastAsia="SimSun"/>
          <w:lang w:eastAsia="zh-CN" w:bidi="he-IL"/>
        </w:rPr>
        <w:t xml:space="preserve"> when receiving an </w:t>
      </w:r>
      <w:r w:rsidRPr="004D0DAA">
        <w:t>erroneous RLC data block for which the header is correctly received and which addresses the mobile station. The mobile station is not allowed to send normal bursts on the uplink unless it has a valid timing advance, and is assigned an MS_ID for that session. If the mobile station receives more than one MBMS notification including an MBMS p-t-m channel description for that same session while it monitors PCCCH, it shall act upon the most recently received assignment for that session and shall ignore the previous assignment.</w:t>
      </w:r>
    </w:p>
    <w:p w14:paraId="73D90F46" w14:textId="77777777" w:rsidR="00711444" w:rsidRPr="004D0DAA" w:rsidRDefault="00711444" w:rsidP="00711444">
      <w:pPr>
        <w:rPr>
          <w:lang w:eastAsia="ko-KR"/>
        </w:rPr>
      </w:pPr>
      <w:r w:rsidRPr="004D0DAA">
        <w:t xml:space="preserve">On expiry of timer T3190, the mobile station shall abort the procedure and return to packet idle mode or MAC-Idle state. </w:t>
      </w:r>
      <w:r w:rsidRPr="004D0DAA">
        <w:rPr>
          <w:lang w:eastAsia="ko-KR"/>
        </w:rPr>
        <w:t>The mobile station in broadcast/multicast receive mode shall abort the procedure and remain in broadcast/multicast receive mode.</w:t>
      </w:r>
    </w:p>
    <w:p w14:paraId="692BE817" w14:textId="77777777" w:rsidR="00711444" w:rsidRPr="004D0DAA" w:rsidRDefault="00711444" w:rsidP="00711444">
      <w:pPr>
        <w:pStyle w:val="Heading3"/>
      </w:pPr>
      <w:bookmarkStart w:id="131" w:name="_Toc516669319"/>
      <w:r w:rsidRPr="004D0DAA">
        <w:t>6.3.2</w:t>
      </w:r>
      <w:r w:rsidRPr="004D0DAA">
        <w:tab/>
        <w:t>Notification to mobile station in packet transfer mode or in dual transfer mode</w:t>
      </w:r>
      <w:bookmarkEnd w:id="131"/>
    </w:p>
    <w:p w14:paraId="54739757" w14:textId="77777777" w:rsidR="00711444" w:rsidRPr="004D0DAA" w:rsidRDefault="00711444" w:rsidP="00711444">
      <w:pPr>
        <w:pStyle w:val="Heading4"/>
      </w:pPr>
      <w:bookmarkStart w:id="132" w:name="_Toc516669320"/>
      <w:r w:rsidRPr="004D0DAA">
        <w:t>6.3.2.1</w:t>
      </w:r>
      <w:r w:rsidRPr="004D0DAA">
        <w:tab/>
        <w:t>General</w:t>
      </w:r>
      <w:bookmarkEnd w:id="132"/>
    </w:p>
    <w:p w14:paraId="7181CE67" w14:textId="77777777" w:rsidR="00711444" w:rsidRPr="004D0DAA" w:rsidRDefault="00711444" w:rsidP="00711444">
      <w:pPr>
        <w:keepNext/>
        <w:keepLines/>
      </w:pPr>
      <w:r w:rsidRPr="004D0DAA">
        <w:t xml:space="preserve">MBMS notification initiation using PACCH applies when sending an MBMS notification to a mobile station or a group of mobile stations that is/are in packet transfer mode or in dual transfer mode. </w:t>
      </w:r>
    </w:p>
    <w:p w14:paraId="1BD8318B" w14:textId="77777777" w:rsidR="00711444" w:rsidRPr="004D0DAA" w:rsidRDefault="00711444" w:rsidP="00711444">
      <w:pPr>
        <w:pStyle w:val="Heading4"/>
      </w:pPr>
      <w:bookmarkStart w:id="133" w:name="_Toc516669321"/>
      <w:r w:rsidRPr="004D0DAA">
        <w:t>6.3.2.2</w:t>
      </w:r>
      <w:r w:rsidRPr="004D0DAA">
        <w:tab/>
        <w:t>MBMS Notification using the PACCH</w:t>
      </w:r>
      <w:bookmarkEnd w:id="133"/>
    </w:p>
    <w:p w14:paraId="4FF1592B" w14:textId="77777777" w:rsidR="00711444" w:rsidRPr="004D0DAA" w:rsidRDefault="00711444" w:rsidP="00711444">
      <w:r w:rsidRPr="004D0DAA">
        <w:t xml:space="preserve">The network may send the PACKET MBMS ANNOUNCEMENT message on any PDCH. </w:t>
      </w:r>
    </w:p>
    <w:p w14:paraId="78F69EE2" w14:textId="77777777" w:rsidR="00711444" w:rsidRPr="004D0DAA" w:rsidRDefault="00711444" w:rsidP="00711444">
      <w:r w:rsidRPr="004D0DAA">
        <w:t xml:space="preserve">Upon receipt of a PACKET MBMS ANNOUNCEMENT message containing </w:t>
      </w:r>
      <w:r w:rsidRPr="004D0DAA">
        <w:rPr>
          <w:lang w:eastAsia="ko-KR"/>
        </w:rPr>
        <w:t>a TMGI and optionally an MBMS Session Identity corresponding to an MBMS session the mobile station is required to receive</w:t>
      </w:r>
      <w:r w:rsidRPr="004D0DAA">
        <w:t xml:space="preserve">, the mobile station shall pass an indication including the TMGI, and when available the MBMS Session Identity, to the upper layers. If the Restriction Timer is included in the received PACKET MBMS ANNOUNCEMENT message, the mobile station shall </w:t>
      </w:r>
      <w:r w:rsidRPr="004D0DAA">
        <w:lastRenderedPageBreak/>
        <w:t xml:space="preserve">set and start an instance of the T3222 to the value indicated in the Restriction Timer field, otherwise if the Estimated Session Duration is included in the received PACKET MBMS ANNOUNCEMENT message the mobile station shall set and start both an instance of the T3222 and the session duration timer for this MBMS session with a value equal to the Estimated Session Duration. The mobile station shall store the MBMS specific information contained in the PACKET MBMS ANNOUNCEMENT message. </w:t>
      </w:r>
    </w:p>
    <w:p w14:paraId="283A4342" w14:textId="77777777" w:rsidR="00711444" w:rsidRPr="004D0DAA" w:rsidRDefault="00711444" w:rsidP="00711444">
      <w:r w:rsidRPr="004D0DAA">
        <w:t>If T3222 expires the mobile station shall discard the stored MBMS information associated with this instance of T3222.</w:t>
      </w:r>
    </w:p>
    <w:p w14:paraId="5E32F7E4" w14:textId="77777777" w:rsidR="00711444" w:rsidRPr="004D0DAA" w:rsidRDefault="00711444" w:rsidP="00711444">
      <w:pPr>
        <w:pStyle w:val="Heading4"/>
      </w:pPr>
      <w:bookmarkStart w:id="134" w:name="_Toc516669322"/>
      <w:r w:rsidRPr="004D0DAA">
        <w:t>6.3.2.3</w:t>
      </w:r>
      <w:r w:rsidRPr="004D0DAA">
        <w:tab/>
        <w:t>Response to MBMS Notification received on PACCH</w:t>
      </w:r>
      <w:bookmarkEnd w:id="134"/>
    </w:p>
    <w:p w14:paraId="645CD984" w14:textId="77777777" w:rsidR="00711444" w:rsidRPr="004D0DAA" w:rsidRDefault="00711444" w:rsidP="00711444">
      <w:r w:rsidRPr="004D0DAA">
        <w:t xml:space="preserve">If the mobile station enters packet idle mode and completes the Transfer non-DRX mode period before the expiry of T3222 or where no instance of T3222 was set and the PACKET MBMS ANNOUNCEMENT message did not include the MBMS p-t-m channel description, the mobile station shall stop T3222, if started, and initiates the MBMS Packet Access Procedure on a PCCCH (sub-clause 7.7.1.2) or, if a packet control channel does not exist, on a CCCH (sub-clause 7.7.1.3) or, if the PACKET MBMS ANNOUNCEMENT message contained </w:t>
      </w:r>
      <w:r w:rsidRPr="004D0DAA">
        <w:rPr>
          <w:rFonts w:cs="Arial"/>
          <w:szCs w:val="22"/>
        </w:rPr>
        <w:t xml:space="preserve">uplink resource description for an MPRACH, </w:t>
      </w:r>
      <w:r w:rsidRPr="004D0DAA">
        <w:t xml:space="preserve">on that MPRACH (sub-clause 7.7.1.4). </w:t>
      </w:r>
    </w:p>
    <w:p w14:paraId="5911882D" w14:textId="77777777" w:rsidR="00711444" w:rsidRPr="004D0DAA" w:rsidRDefault="00711444" w:rsidP="00711444">
      <w:r w:rsidRPr="004D0DAA">
        <w:t>Any MPRACH description or MBMS p-t-m channel description stored from a previously received PACKET MBMS ANNOUNCEMENT message shall be deleted after the mobile station completes cell reselection or after a handover procedure is completed.</w:t>
      </w:r>
    </w:p>
    <w:p w14:paraId="10A1FD6B" w14:textId="77777777" w:rsidR="00711444" w:rsidRPr="004D0DAA" w:rsidRDefault="00711444" w:rsidP="00711444">
      <w:r w:rsidRPr="004D0DAA">
        <w:t>If the mobile station enters packet idle mode before the expiry of T3222 and the PACKET MBMS ANNOUNCEMENT message included the MBMS p-t-m channel description, the mobile station shall stop T3222 and shall start listening to downlink RLC blocks identified by the assigned TFI on the defined PDCHs either at the point in time denoted by the MBMS Radio Bearer Starting Time, if present and not already elapsed, or immediately otherwise.</w:t>
      </w:r>
    </w:p>
    <w:p w14:paraId="3183A7E5" w14:textId="77777777" w:rsidR="00711444" w:rsidRPr="004D0DAA" w:rsidRDefault="00711444" w:rsidP="00711444">
      <w:r w:rsidRPr="004D0DAA">
        <w:t>The mobile station shall follow the procedures described in sub-clause 6.3.1.4.</w:t>
      </w:r>
    </w:p>
    <w:p w14:paraId="22CCD49C" w14:textId="77777777" w:rsidR="00711444" w:rsidRPr="004D0DAA" w:rsidRDefault="00711444" w:rsidP="00711444">
      <w:pPr>
        <w:pStyle w:val="Heading2"/>
      </w:pPr>
      <w:bookmarkStart w:id="135" w:name="_Toc516669323"/>
      <w:r w:rsidRPr="004D0DAA">
        <w:t>6.4</w:t>
      </w:r>
      <w:r w:rsidRPr="004D0DAA">
        <w:tab/>
        <w:t>Paging Procedure for ETWS Primary Notification delivery</w:t>
      </w:r>
      <w:bookmarkEnd w:id="135"/>
    </w:p>
    <w:p w14:paraId="2705250A" w14:textId="77777777" w:rsidR="00711444" w:rsidRPr="004D0DAA" w:rsidRDefault="00711444" w:rsidP="00711444">
      <w:pPr>
        <w:pStyle w:val="Heading3"/>
      </w:pPr>
      <w:bookmarkStart w:id="136" w:name="_Toc516669324"/>
      <w:r w:rsidRPr="004D0DAA">
        <w:t>6.4.1</w:t>
      </w:r>
      <w:r w:rsidRPr="004D0DAA">
        <w:tab/>
        <w:t>General</w:t>
      </w:r>
      <w:bookmarkEnd w:id="136"/>
    </w:p>
    <w:p w14:paraId="0B6AA53C" w14:textId="77777777" w:rsidR="00711444" w:rsidRPr="004D0DAA" w:rsidRDefault="00711444" w:rsidP="00711444">
      <w:r w:rsidRPr="004D0DAA">
        <w:t>The network may initiate the paging procedure for delivery of an ETWS Primary Notification message (see 3GPP TS 23.041) on PCCCH (sub-clause 6.4.3) if PCCCH is present in the cell, otherwise on CCCH (sub-clause 6.4.2).</w:t>
      </w:r>
    </w:p>
    <w:p w14:paraId="1551B5E8" w14:textId="77777777" w:rsidR="00711444" w:rsidRPr="004D0DAA" w:rsidRDefault="00711444" w:rsidP="00711444">
      <w:pPr>
        <w:pStyle w:val="Heading3"/>
      </w:pPr>
      <w:bookmarkStart w:id="137" w:name="_Toc516669325"/>
      <w:r w:rsidRPr="004D0DAA">
        <w:t>6.4.2</w:t>
      </w:r>
      <w:r w:rsidRPr="004D0DAA">
        <w:tab/>
        <w:t>ETWS Primary Notification delivery using paging subchannel on CCCH</w:t>
      </w:r>
      <w:bookmarkEnd w:id="137"/>
    </w:p>
    <w:p w14:paraId="7ABC4737" w14:textId="77777777" w:rsidR="00711444" w:rsidRPr="004D0DAA" w:rsidRDefault="00711444" w:rsidP="00711444">
      <w:r w:rsidRPr="004D0DAA">
        <w:t>The paging procedure for ETWS Primary Notification delivery and the paging request messages used on CCCH are specified in 3GPP TS 44.018.</w:t>
      </w:r>
    </w:p>
    <w:p w14:paraId="24050331" w14:textId="77777777" w:rsidR="00711444" w:rsidRPr="004D0DAA" w:rsidRDefault="00711444" w:rsidP="00711444">
      <w:pPr>
        <w:pStyle w:val="Heading3"/>
      </w:pPr>
      <w:bookmarkStart w:id="138" w:name="_Toc516669326"/>
      <w:r w:rsidRPr="004D0DAA">
        <w:t>6.4.3</w:t>
      </w:r>
      <w:r w:rsidRPr="004D0DAA">
        <w:tab/>
        <w:t>ETWS Primary Notification delivery using paging subchannel on PCCCH</w:t>
      </w:r>
      <w:bookmarkEnd w:id="138"/>
    </w:p>
    <w:p w14:paraId="6F582C2A" w14:textId="77777777" w:rsidR="00711444" w:rsidRPr="004D0DAA" w:rsidRDefault="00711444" w:rsidP="00711444">
      <w:r w:rsidRPr="004D0DAA">
        <w:t>The network initiates the paging procedure for delivery of an ETWS Primary Notification message (see 3GPP TS 23.041) by broadcasting the PACKET PAGING REQUEST message on all paging subchannels on PCCCH with the ETWS Primary Notification field present. These paging messages are sent continuously during the ETWS warning period.</w:t>
      </w:r>
    </w:p>
    <w:p w14:paraId="24A33E65" w14:textId="77777777" w:rsidR="00711444" w:rsidRPr="004D0DAA" w:rsidRDefault="00711444" w:rsidP="00711444">
      <w:r w:rsidRPr="004D0DAA">
        <w:t>Each paging message carries a segment of the actual ETWS Primary Notification message, i.e. segmentation is applicable if an ETWS Primary Notification message is too large to fit into a single PACKET PAGING REQUEST message. In order to allow a mobile station to receive the segments in any order, the size of a specific segment (retransmitted during the ETWS warning period) shall not be altered. Segments belonging to the same ETWS Primary Notification message shall be given the same Primary Notification Identifier (PNI) value.</w:t>
      </w:r>
    </w:p>
    <w:p w14:paraId="259D7B57" w14:textId="77777777" w:rsidR="00711444" w:rsidRPr="004D0DAA" w:rsidRDefault="00711444" w:rsidP="00711444">
      <w:pPr>
        <w:pStyle w:val="Heading3"/>
      </w:pPr>
      <w:bookmarkStart w:id="139" w:name="_Toc516669327"/>
      <w:r w:rsidRPr="004D0DAA">
        <w:t>6.4.4</w:t>
      </w:r>
      <w:r w:rsidRPr="004D0DAA">
        <w:tab/>
        <w:t>Reception of ETWS Primary Notification message</w:t>
      </w:r>
      <w:bookmarkEnd w:id="139"/>
    </w:p>
    <w:p w14:paraId="2591797F" w14:textId="77777777" w:rsidR="00711444" w:rsidRPr="004D0DAA" w:rsidRDefault="00711444" w:rsidP="00711444">
      <w:r w:rsidRPr="004D0DAA">
        <w:t xml:space="preserve">Upon receipt of a PACKET PAGING REQUEST message carrying a segment of an ETWS Primary Notification message, the mobile station shall leave DRX mode, start timer T3232, start reading all paging groups corresponding to </w:t>
      </w:r>
      <w:r w:rsidRPr="004D0DAA">
        <w:lastRenderedPageBreak/>
        <w:t>its PCCCH_GROUP and attempt to acquire all segments of the ETWS Primary Notification message, having the same Primary Notification Identifier (PNI) value, before delivering the assembled message to the upper layers.</w:t>
      </w:r>
    </w:p>
    <w:p w14:paraId="58EEBC26" w14:textId="77777777" w:rsidR="00711444" w:rsidRPr="004D0DAA" w:rsidRDefault="00711444" w:rsidP="00711444">
      <w:r w:rsidRPr="004D0DAA">
        <w:t>While attempting to acquire the ETWS Primary Notification message a mobile station shall continue to follow packet idle mode and connection establishment procedures. Upon initiating cell reselection or connection establishment procedures (RR connection establishment or TBF establishment) while attempting to acquire an ETWS Primary Notification message, a mobile station shall discard any partially received ETWS Primary Notification message and stop timer T3232. The mobile station shall not attempt to acquire an ETWS Primary Notification message while performing a connection establishment procedure or while performing cell reselection.</w:t>
      </w:r>
    </w:p>
    <w:p w14:paraId="59B4F4CA" w14:textId="77777777" w:rsidR="00711444" w:rsidRPr="004D0DAA" w:rsidRDefault="00711444" w:rsidP="00711444">
      <w:r w:rsidRPr="004D0DAA">
        <w:t>If the mobile station detects a change in the PNI value prior to acquiring a complete ETWS Primary Notification message, it shall abort the current message, restart timer T3232 and attempt to acquire the new message.</w:t>
      </w:r>
    </w:p>
    <w:p w14:paraId="0E1FD44F" w14:textId="77777777" w:rsidR="00711444" w:rsidRPr="004D0DAA" w:rsidRDefault="00711444" w:rsidP="00711444">
      <w:r w:rsidRPr="004D0DAA">
        <w:t>When the mobile station successfully acquires a complete ETWS Primary Notification message it shall stop timer T3232 and enter DRX mode. If timer T3232 expires the mobile station shall abort the current message and enter DRX mode.</w:t>
      </w:r>
    </w:p>
    <w:p w14:paraId="762095E4" w14:textId="77777777" w:rsidR="00711444" w:rsidRPr="004D0DAA" w:rsidRDefault="00711444" w:rsidP="00711444">
      <w:pPr>
        <w:pStyle w:val="Heading1"/>
      </w:pPr>
      <w:bookmarkStart w:id="140" w:name="_Toc516669328"/>
      <w:r w:rsidRPr="004D0DAA">
        <w:t>7</w:t>
      </w:r>
      <w:r w:rsidRPr="004D0DAA">
        <w:tab/>
        <w:t>Medium Access Control (MAC) procedures on PCCCH</w:t>
      </w:r>
      <w:bookmarkEnd w:id="140"/>
    </w:p>
    <w:p w14:paraId="5B2338B3" w14:textId="77777777" w:rsidR="00711444" w:rsidRPr="004D0DAA" w:rsidRDefault="00711444" w:rsidP="00711444">
      <w:pPr>
        <w:pStyle w:val="Heading2"/>
      </w:pPr>
      <w:bookmarkStart w:id="141" w:name="_Toc516669329"/>
      <w:r w:rsidRPr="004D0DAA">
        <w:t>7.0</w:t>
      </w:r>
      <w:r w:rsidRPr="004D0DAA">
        <w:tab/>
        <w:t>General</w:t>
      </w:r>
      <w:bookmarkEnd w:id="141"/>
    </w:p>
    <w:p w14:paraId="71430204" w14:textId="77777777" w:rsidR="00711444" w:rsidRPr="004D0DAA" w:rsidRDefault="00711444" w:rsidP="00711444">
      <w:r w:rsidRPr="004D0DAA">
        <w:t>The establishment of a Temporary Block Flow (TBF) can be initiated by either the mobile station or the network.</w:t>
      </w:r>
    </w:p>
    <w:p w14:paraId="32B14F3C" w14:textId="77777777" w:rsidR="00711444" w:rsidRPr="004D0DAA" w:rsidRDefault="00711444" w:rsidP="00711444">
      <w:r w:rsidRPr="004D0DAA">
        <w:t>The request for establishment of a TBF on PCCCH, if allocated in the cell, is described in this sub-clause. If no PCCCH is allocated in the cell, the establishment of a TBF occurs on CCCH as described in 3GPP TS 44.018. The establishment of an EC TBF, for a mobile station that has enabled EC operation, occurs on the EC-CCCH or on the CCCH as described in sub-clause 7a and in 3GPP TS 44.018.</w:t>
      </w:r>
    </w:p>
    <w:p w14:paraId="57398D55" w14:textId="77777777" w:rsidR="00711444" w:rsidRPr="004D0DAA" w:rsidRDefault="00711444" w:rsidP="00711444">
      <w:r w:rsidRPr="004D0DAA">
        <w:t>For mobile stations in packet idle mode on PCCCH, measurement reports messages are sent on temporary fixed allocations without the establishment of an uplink TBF (see sub-clause 7.3).</w:t>
      </w:r>
    </w:p>
    <w:p w14:paraId="55EFDC3B" w14:textId="77777777" w:rsidR="00711444" w:rsidRPr="004D0DAA" w:rsidRDefault="00711444" w:rsidP="00711444">
      <w:pPr>
        <w:pStyle w:val="Heading2"/>
      </w:pPr>
      <w:bookmarkStart w:id="142" w:name="_Toc516669330"/>
      <w:r w:rsidRPr="004D0DAA">
        <w:t>7.0a</w:t>
      </w:r>
      <w:r w:rsidRPr="004D0DAA">
        <w:tab/>
        <w:t>Support of multiple TBF procedures</w:t>
      </w:r>
      <w:bookmarkEnd w:id="142"/>
    </w:p>
    <w:p w14:paraId="6DE0A1EA" w14:textId="77777777" w:rsidR="00711444" w:rsidRPr="004D0DAA" w:rsidRDefault="00711444" w:rsidP="00711444">
      <w:pPr>
        <w:keepNext/>
        <w:keepLines/>
      </w:pPr>
      <w:r w:rsidRPr="004D0DAA">
        <w:t xml:space="preserve">If the mobile station supports multiple TBF procedures, the mobile station shall indicate its support in the Multiple TBF Capability field in the </w:t>
      </w:r>
      <w:r w:rsidRPr="004D0DAA">
        <w:rPr>
          <w:i/>
          <w:iCs/>
        </w:rPr>
        <w:t>MS Radio Access Capability 2</w:t>
      </w:r>
      <w:r w:rsidRPr="004D0DAA">
        <w:t xml:space="preserve"> IE. If the network supports multiple TBF procedures, the network shall indicate its support in the Multiple TBF Capability field in the </w:t>
      </w:r>
      <w:r w:rsidRPr="004D0DAA">
        <w:rPr>
          <w:i/>
          <w:iCs/>
        </w:rPr>
        <w:t>GPRS Cell Options</w:t>
      </w:r>
      <w:r w:rsidRPr="004D0DAA">
        <w:t xml:space="preserve"> IE.</w:t>
      </w:r>
    </w:p>
    <w:p w14:paraId="5DB09015" w14:textId="77777777" w:rsidR="00711444" w:rsidRPr="004D0DAA" w:rsidRDefault="00711444" w:rsidP="00711444">
      <w:pPr>
        <w:keepNext/>
        <w:keepLines/>
      </w:pPr>
      <w:r w:rsidRPr="004D0DAA">
        <w:t xml:space="preserve">If both the network and the mobile station support multiple TBF procedures, and if more than one request is received from upper layers to transfer upper layer PDUs for more than one PFC before the packet access procedure can be initiated by the mobile station, then the mobile station may initiate a packet access procedure requesting multiple TBFs. </w:t>
      </w:r>
    </w:p>
    <w:p w14:paraId="59945C0E" w14:textId="77777777" w:rsidR="00711444" w:rsidRPr="004D0DAA" w:rsidRDefault="00711444" w:rsidP="00711444">
      <w:pPr>
        <w:keepNext/>
        <w:keepLines/>
      </w:pPr>
      <w:r w:rsidRPr="004D0DAA">
        <w:t>During multiple TBF procedures in sub-clause 7:</w:t>
      </w:r>
    </w:p>
    <w:p w14:paraId="2B9C6A8A" w14:textId="77777777" w:rsidR="00711444" w:rsidRPr="004D0DAA" w:rsidRDefault="00711444" w:rsidP="00711444">
      <w:pPr>
        <w:pStyle w:val="B1"/>
      </w:pPr>
      <w:r w:rsidRPr="004D0DAA">
        <w:t>-</w:t>
      </w:r>
      <w:r w:rsidRPr="004D0DAA">
        <w:tab/>
        <w:t>The mobile station shall support the PACKET RESOURCE REQUEST message to request a single uplink TBF;</w:t>
      </w:r>
    </w:p>
    <w:p w14:paraId="2AB007BA" w14:textId="77777777" w:rsidR="00711444" w:rsidRPr="004D0DAA" w:rsidRDefault="00711444" w:rsidP="00711444">
      <w:pPr>
        <w:pStyle w:val="B1"/>
      </w:pPr>
      <w:r w:rsidRPr="004D0DAA">
        <w:t>-</w:t>
      </w:r>
      <w:r w:rsidRPr="004D0DAA">
        <w:tab/>
        <w:t>The mobile station may send the PACKET RESOURCE REQUEST message to request multiple uplink TBFs in the second phase of a two-phase access;</w:t>
      </w:r>
    </w:p>
    <w:p w14:paraId="3E252B02" w14:textId="77777777" w:rsidR="00711444" w:rsidRPr="004D0DAA" w:rsidRDefault="00711444" w:rsidP="00711444">
      <w:pPr>
        <w:pStyle w:val="B1"/>
      </w:pPr>
      <w:r w:rsidRPr="004D0DAA">
        <w:t>-</w:t>
      </w:r>
      <w:r w:rsidRPr="004D0DAA">
        <w:tab/>
        <w:t>The network shall support the PACKET UPLINK ASSIGNMENT message to assign a single uplink TBF;</w:t>
      </w:r>
    </w:p>
    <w:p w14:paraId="32EFCDA9" w14:textId="77777777" w:rsidR="00711444" w:rsidRPr="004D0DAA" w:rsidRDefault="00711444" w:rsidP="00711444">
      <w:pPr>
        <w:pStyle w:val="B1"/>
      </w:pPr>
      <w:r w:rsidRPr="004D0DAA">
        <w:t xml:space="preserve">- </w:t>
      </w:r>
      <w:r w:rsidRPr="004D0DAA">
        <w:tab/>
        <w:t xml:space="preserve">The network may send the MULTIPLE TBF UPLINK ASSIGNMENT message to assign one or more uplink TBFs to a mobile station that requested multiple TBFs in the PACKET RESOURCE REQUEST message. In this sub-clause this message shall only be sent in response to a multiple uplink resource request in the second part of a two-phase access. </w:t>
      </w:r>
    </w:p>
    <w:p w14:paraId="34B18F62" w14:textId="77777777" w:rsidR="00711444" w:rsidRPr="004D0DAA" w:rsidRDefault="00711444" w:rsidP="00711444">
      <w:pPr>
        <w:pStyle w:val="Heading2"/>
      </w:pPr>
      <w:bookmarkStart w:id="143" w:name="_Toc516669331"/>
      <w:r w:rsidRPr="004D0DAA">
        <w:lastRenderedPageBreak/>
        <w:t>7.0b</w:t>
      </w:r>
      <w:r w:rsidRPr="004D0DAA">
        <w:tab/>
        <w:t>(void)</w:t>
      </w:r>
      <w:bookmarkEnd w:id="143"/>
    </w:p>
    <w:p w14:paraId="1AD664EA" w14:textId="77777777" w:rsidR="00711444" w:rsidRPr="004D0DAA" w:rsidRDefault="00711444" w:rsidP="00711444">
      <w:pPr>
        <w:pStyle w:val="Heading2"/>
      </w:pPr>
      <w:bookmarkStart w:id="144" w:name="_Toc516669332"/>
      <w:r w:rsidRPr="004D0DAA">
        <w:t>7.1</w:t>
      </w:r>
      <w:r w:rsidRPr="004D0DAA">
        <w:tab/>
        <w:t>TBF establishment initiated by the mobile station on PCCCH</w:t>
      </w:r>
      <w:bookmarkEnd w:id="144"/>
    </w:p>
    <w:p w14:paraId="2DEA3555" w14:textId="77777777" w:rsidR="00711444" w:rsidRPr="004D0DAA" w:rsidRDefault="00711444" w:rsidP="00711444">
      <w:pPr>
        <w:keepNext/>
        <w:keepLines/>
      </w:pPr>
      <w:r w:rsidRPr="004D0DAA">
        <w:t>The purpose of the packet access procedure is to establish a TBF to support the transfer of upper-layer PDUs in the direction from the mobile station to the network. Packet access shall be done on PCCCH, as defined in this sub-clause, if a PCCCH exists. Otherwise, packet access shall be done on CCCH, as defined in 3GPP TS 44.018. The packet access can be done in either one phase (sub-clause 7.1.2) or in two phases (sub-clauses 7.1.2 and 7.1.3).</w:t>
      </w:r>
    </w:p>
    <w:p w14:paraId="0D0CCCEF" w14:textId="77777777" w:rsidR="00711444" w:rsidRPr="004D0DAA" w:rsidRDefault="00711444" w:rsidP="00711444">
      <w:r w:rsidRPr="004D0DAA">
        <w:t>TBF establishment can also be done on PACCH if a TBF for transfer of upper-layer PDUs in the direction from the network to the mobile station is already established (see sub-clause 8.1.2.5). TBF establishment can also be done on PACCH if the mobile station is releasing a TBF for transfer of upper-layer PDUs in the direction from the mobile station to the network and TBF for transfer of upper-layer PDUs in the direction from the network to the mobile station is not established (see sub-clause 9.3.2.4 and sub-clause 9.3.3.3).</w:t>
      </w:r>
    </w:p>
    <w:p w14:paraId="3F1E9224" w14:textId="77777777" w:rsidR="00711444" w:rsidRPr="004D0DAA" w:rsidRDefault="00711444" w:rsidP="00711444">
      <w:r w:rsidRPr="004D0DAA">
        <w:t>If the mobile station is in dedicated mode and both the network and the mobile station support DTM, the establishment of a TBF shall be performed by the DTM assignment procedures on the main DCCH, as defined in 3GPP TS 44.018.</w:t>
      </w:r>
    </w:p>
    <w:p w14:paraId="12D93417" w14:textId="77777777" w:rsidR="00711444" w:rsidRPr="004D0DAA" w:rsidRDefault="00711444" w:rsidP="00711444">
      <w:r w:rsidRPr="004D0DAA">
        <w:t>The packet access procedure is initiated by the mobile station. Initiation is triggered by a request from upper layers to transfer an upper-layer PDU. The request from upper layers specifies throughput, RLC mode, an optional PFI, and a Radio Priority to be associated with the packet transfer or indicates that the packet to be transferred contains signalling. If both the network and the mobile station support the extended uplink TBF mode, the request from upper layers may also specify that the upper-layer PDU is meant to pre-allocate an uplink TBF (early TBF establishment). In this case, the mobile station shall use the two phase access procedure, setting the EARLY_TBF_ESTABLISHMENT field in the PACKET RESOURCE REQUEST message to indicate pre-allocation is required (as described in sub-clause 7.1.3).</w:t>
      </w:r>
    </w:p>
    <w:p w14:paraId="31B014FF" w14:textId="77777777" w:rsidR="00711444" w:rsidRPr="004D0DAA" w:rsidRDefault="00711444" w:rsidP="00711444">
      <w:pPr>
        <w:spacing w:after="120"/>
      </w:pPr>
      <w:r w:rsidRPr="004D0DAA">
        <w:t xml:space="preserve">A mobile station indicates its support of RLC non-persistent mode in the </w:t>
      </w:r>
      <w:r w:rsidRPr="004D0DAA">
        <w:rPr>
          <w:i/>
          <w:iCs/>
        </w:rPr>
        <w:t>RLC non-persistent mode capability</w:t>
      </w:r>
      <w:r w:rsidRPr="004D0DAA">
        <w:t xml:space="preserve"> bit of the MS Radio Access Capability information element </w:t>
      </w:r>
      <w:r w:rsidRPr="004D0DAA">
        <w:rPr>
          <w:iCs/>
        </w:rPr>
        <w:t>(see 3GPP TS 24.008)</w:t>
      </w:r>
      <w:r w:rsidRPr="004D0DAA">
        <w:t xml:space="preserve">. </w:t>
      </w:r>
    </w:p>
    <w:p w14:paraId="4B224EC8" w14:textId="77777777" w:rsidR="00711444" w:rsidRPr="004D0DAA" w:rsidRDefault="00711444" w:rsidP="00711444">
      <w:r w:rsidRPr="004D0DAA">
        <w:t>A packet access procedure requesting multiple TBFs may be initiated by the mobile station if multiple TBF procedures are supported in the network and the mobile station (see sub-clause 7.0). Initiation is triggered when the mobile station receives more than one request from upper layers to transfer upper-layer PDUs before the packet access procedure can be initiated. Each request from upper layers specifies a PFI, RLC mode, Radio Priority and optionally an LLC mode to be associated with the packet transfer or indicates that the packet to be transferred contains signalling.</w:t>
      </w:r>
    </w:p>
    <w:p w14:paraId="7E3527D1" w14:textId="77777777" w:rsidR="00711444" w:rsidRPr="004D0DAA" w:rsidRDefault="00711444" w:rsidP="00711444">
      <w:r w:rsidRPr="004D0DAA">
        <w:t>Upon such a request:</w:t>
      </w:r>
    </w:p>
    <w:p w14:paraId="584582F9" w14:textId="77777777" w:rsidR="00711444" w:rsidRPr="004D0DAA" w:rsidRDefault="00711444" w:rsidP="00711444">
      <w:pPr>
        <w:pStyle w:val="B1"/>
      </w:pPr>
      <w:r w:rsidRPr="004D0DAA">
        <w:t>-</w:t>
      </w:r>
      <w:r w:rsidRPr="004D0DAA">
        <w:tab/>
        <w:t>if access to the network is allowed (sub-clause 7.1.1), the mobile station shall initiate the packet access procedure as defined in sub-clause 7.1.2.1;</w:t>
      </w:r>
    </w:p>
    <w:p w14:paraId="7DBE62A5" w14:textId="77777777" w:rsidR="00711444" w:rsidRPr="004D0DAA" w:rsidRDefault="00711444" w:rsidP="00711444">
      <w:pPr>
        <w:pStyle w:val="B1"/>
      </w:pPr>
      <w:r w:rsidRPr="004D0DAA">
        <w:t>-</w:t>
      </w:r>
      <w:r w:rsidRPr="004D0DAA">
        <w:tab/>
        <w:t>otherwise, the RR sublayer in the mobile station shall reject the request.</w:t>
      </w:r>
    </w:p>
    <w:p w14:paraId="0BDB4C21" w14:textId="77777777" w:rsidR="00711444" w:rsidRPr="004D0DAA" w:rsidRDefault="00711444" w:rsidP="00711444">
      <w:r w:rsidRPr="004D0DAA">
        <w:t>If the request from upper layers indicates signalling, the highest Radio Priority shall be used at determination if access to the network is allowed, and the acknowledged RLC mode shall be requested.</w:t>
      </w:r>
    </w:p>
    <w:p w14:paraId="77044EF3" w14:textId="77777777" w:rsidR="00711444" w:rsidRPr="004D0DAA" w:rsidRDefault="00711444" w:rsidP="00711444">
      <w:r w:rsidRPr="004D0DAA">
        <w:t>If both the mobile station and the BSS support multiple TBF procedures, or if the mobile station supports RLC non-persistent mode, the BSS may order its preferred RLC mode when establishing uplink TBF(s), independently of the RLC mode requested by the mobile station. In particular, if the mobile station supports RLC non-persistent mode the network may allocate an EGPRS TBF that uses this RLC mode.</w:t>
      </w:r>
    </w:p>
    <w:p w14:paraId="7B55AC9F" w14:textId="77777777" w:rsidR="00711444" w:rsidRPr="004D0DAA" w:rsidRDefault="00711444" w:rsidP="00711444">
      <w:pPr>
        <w:pStyle w:val="Heading3"/>
      </w:pPr>
      <w:bookmarkStart w:id="145" w:name="_Toc516669333"/>
      <w:r w:rsidRPr="004D0DAA">
        <w:t>7.1.1</w:t>
      </w:r>
      <w:r w:rsidRPr="004D0DAA">
        <w:tab/>
        <w:t>Permission to access the network</w:t>
      </w:r>
      <w:bookmarkEnd w:id="145"/>
    </w:p>
    <w:p w14:paraId="20CC42C7" w14:textId="77777777" w:rsidR="00711444" w:rsidRPr="004D0DAA" w:rsidRDefault="00711444" w:rsidP="00711444">
      <w:r w:rsidRPr="004D0DAA">
        <w:t>The network broadcasts on PBCCH and PCCCH the list of authorised access classes and authorised special access classes in the ACC_CONTR_CLASS parameter.</w:t>
      </w:r>
    </w:p>
    <w:p w14:paraId="572A9F3D" w14:textId="77777777" w:rsidR="00711444" w:rsidRPr="004D0DAA" w:rsidRDefault="00711444" w:rsidP="00711444">
      <w:r w:rsidRPr="004D0DAA">
        <w:t>Access to the network is allowed if the mobile station is a member of at least one authorised access class or special access class as defined in 3GPP TS 22.011.</w:t>
      </w:r>
    </w:p>
    <w:p w14:paraId="192BC3ED" w14:textId="77777777" w:rsidR="00711444" w:rsidRPr="004D0DAA" w:rsidRDefault="00711444" w:rsidP="00711444">
      <w:pPr>
        <w:pStyle w:val="Heading3"/>
      </w:pPr>
      <w:bookmarkStart w:id="146" w:name="_Toc516669334"/>
      <w:r w:rsidRPr="004D0DAA">
        <w:lastRenderedPageBreak/>
        <w:t>7.1.2</w:t>
      </w:r>
      <w:r w:rsidRPr="004D0DAA">
        <w:tab/>
        <w:t>Initiation of a TBF establishment</w:t>
      </w:r>
      <w:bookmarkEnd w:id="146"/>
    </w:p>
    <w:p w14:paraId="3F0809A1" w14:textId="77777777" w:rsidR="00711444" w:rsidRPr="004D0DAA" w:rsidRDefault="00711444" w:rsidP="00711444">
      <w:pPr>
        <w:pStyle w:val="Heading4"/>
      </w:pPr>
      <w:bookmarkStart w:id="147" w:name="_Toc516669335"/>
      <w:r w:rsidRPr="004D0DAA">
        <w:t>7.1.2.1</w:t>
      </w:r>
      <w:r w:rsidRPr="004D0DAA">
        <w:tab/>
        <w:t>Initiation of the packet access procedure</w:t>
      </w:r>
      <w:bookmarkEnd w:id="147"/>
    </w:p>
    <w:p w14:paraId="3266379C" w14:textId="77777777" w:rsidR="00711444" w:rsidRPr="004D0DAA" w:rsidRDefault="00711444" w:rsidP="00711444">
      <w:r w:rsidRPr="004D0DAA">
        <w:t xml:space="preserve">The mobile station shall initiate the packet access procedure by scheduling the sending of PACKET CHANNEL REQUEST messages on the PRACH corresponding to its PCCCH_GROUP and simultaneously leaving the packet idle mode. The mobile station shall use the last access parameters received on PBCCH. At sending of the first PACKET CHANNEL REQUEST message, the mobile station shall store the value for the Retry (R) bit to be transmitted in all the subsequent MAC headers as 'MS sent channel request message once'. If a second PACKET CHANNEL REQUEST message is sent, the mobile station shall change the value for the Retry (R) bit to 'MS sent channel request message </w:t>
      </w:r>
      <w:r w:rsidRPr="004D0DAA">
        <w:rPr>
          <w:rFonts w:hint="eastAsia"/>
          <w:lang w:eastAsia="ko-KR"/>
        </w:rPr>
        <w:t xml:space="preserve">twice </w:t>
      </w:r>
      <w:r w:rsidRPr="004D0DAA">
        <w:t xml:space="preserve">or more'. </w:t>
      </w:r>
    </w:p>
    <w:p w14:paraId="16703883" w14:textId="77777777" w:rsidR="00711444" w:rsidRPr="004D0DAA" w:rsidRDefault="00711444" w:rsidP="00711444">
      <w:r w:rsidRPr="004D0DAA">
        <w:t>While waiting for a response to the PACKET CHANNEL REQUEST message, the mobile station shall monitor the full PCCCH corresponding to its PCCCH_GROUP. The mobile station shall perform signal strength measurements as they are defined for packet idle mode, see 3GPP TS 45.008.</w:t>
      </w:r>
    </w:p>
    <w:p w14:paraId="6A34AF16" w14:textId="77777777" w:rsidR="00711444" w:rsidRPr="004D0DAA" w:rsidRDefault="00711444" w:rsidP="00711444">
      <w:r w:rsidRPr="004D0DAA">
        <w:t>While monitoring the full PCCCH, the mobile station shall decode any occurrence of the PERSISTENCE_LEVEL parameter included in a message received on PCCCH. When the mobile station receives the PERSISTENCE_LEVEL parameter, the value of the PERSISTENCE_LEVEL parameter shall be taken into account at the next PACKET CHANNEL REQUEST attempt that follows.</w:t>
      </w:r>
    </w:p>
    <w:p w14:paraId="022DD35C" w14:textId="77777777" w:rsidR="00711444" w:rsidRPr="004D0DAA" w:rsidRDefault="00711444" w:rsidP="00711444">
      <w:r w:rsidRPr="004D0DAA">
        <w:t>A mobile station that is IMSI attached (GPRS class A or B mode of operation) shall respond to a PACKET PAGING REQUEST message indicating an RR connection establishment. For that purpose, the mobile station may abort the packet access procedure, according to the conditions stated in sub-clause 6.1.4. The mobile station shall not respond to a PACKET PAGING REQUEST message indicating TBF establishment.</w:t>
      </w:r>
    </w:p>
    <w:p w14:paraId="33122745" w14:textId="77777777" w:rsidR="00711444" w:rsidRPr="004D0DAA" w:rsidRDefault="00711444" w:rsidP="00711444">
      <w:r w:rsidRPr="004D0DAA">
        <w:t>A mobile station that is not IMSI attached (GPRS class C mode of operation) shall not respond to any type of</w:t>
      </w:r>
      <w:r w:rsidRPr="004D0DAA">
        <w:rPr>
          <w:sz w:val="16"/>
        </w:rPr>
        <w:t xml:space="preserve"> </w:t>
      </w:r>
      <w:r w:rsidRPr="004D0DAA">
        <w:t>PACKET PAGING REQUEST messages during the packet access procedure, it shall only decode the PERSISTENCE_LEVEL parameter, if that is included in the message.</w:t>
      </w:r>
    </w:p>
    <w:p w14:paraId="5A795A68" w14:textId="77777777" w:rsidR="00711444" w:rsidRPr="004D0DAA" w:rsidRDefault="00711444" w:rsidP="00711444">
      <w:r w:rsidRPr="004D0DAA">
        <w:t>The PACKET CHANNEL REQUEST messages are sent on PRACH and contain an indication of the type of access and parameters required to indicate the mobile station's demand of radio resource.</w:t>
      </w:r>
    </w:p>
    <w:p w14:paraId="7C8E3E8A" w14:textId="77777777" w:rsidR="00711444" w:rsidRPr="004D0DAA" w:rsidRDefault="00711444" w:rsidP="00711444">
      <w:r w:rsidRPr="004D0DAA">
        <w:t>There are two formats of the PACKET CHANNEL REQUEST message containing either 8 bits or 11 bits of information. The format to be applied on PRACH is controlled by the parameter ACCESS_BURST_TYPE which is broadcast on PBCCH. The access type to be used in the PACKET CHANNEL REQUEST message for a non-EGPRS TBF mode capable MS or an EGPRS TBF mode capable MS in a non-EGPRS capable cell depends on the purpose of the packet access procedure as follows:</w:t>
      </w:r>
    </w:p>
    <w:p w14:paraId="78023083" w14:textId="77777777" w:rsidR="00711444" w:rsidRPr="004D0DAA" w:rsidRDefault="00711444" w:rsidP="00711444">
      <w:pPr>
        <w:pStyle w:val="B1"/>
      </w:pPr>
      <w:r w:rsidRPr="004D0DAA">
        <w:t>-</w:t>
      </w:r>
      <w:r w:rsidRPr="004D0DAA">
        <w:tab/>
        <w:t>If the purpose of the packet access procedure is to request multiple TBFs, the mobile station shall indicate 'Two phase access' in the PACKET CHANNEL REQUEST message;</w:t>
      </w:r>
    </w:p>
    <w:p w14:paraId="070BFF83" w14:textId="77777777" w:rsidR="00711444" w:rsidRPr="004D0DAA" w:rsidRDefault="00711444" w:rsidP="00711444">
      <w:pPr>
        <w:pStyle w:val="B1"/>
      </w:pPr>
      <w:r w:rsidRPr="004D0DAA">
        <w:t>-</w:t>
      </w:r>
      <w:r w:rsidRPr="004D0DAA">
        <w:tab/>
        <w:t>If the purpose of the packet access procedure is to request a single TBF, the mobile station shall indicate one of the following access causes:</w:t>
      </w:r>
    </w:p>
    <w:p w14:paraId="72560A0C" w14:textId="77777777" w:rsidR="00711444" w:rsidRPr="004D0DAA" w:rsidRDefault="00711444" w:rsidP="00711444">
      <w:pPr>
        <w:pStyle w:val="B2"/>
      </w:pPr>
      <w:r w:rsidRPr="004D0DAA">
        <w:t>-</w:t>
      </w:r>
      <w:r w:rsidRPr="004D0DAA">
        <w:tab/>
        <w:t>If the mobile station intends to use the TBF to send user data, it shall request two phase access if the requested RLC mode is unacknowledged mode. If the requested RLC mode is acknowledged mode, the mobile station shall request either one phase access or two phase access. In case of two phase access, if both the mobile station and the BSS support multiple TBF procedures, the BSS may order its preferred RLC mode when establishing an uplink TBF, overriding the mobile station request;</w:t>
      </w:r>
    </w:p>
    <w:p w14:paraId="69CC56CF" w14:textId="77777777" w:rsidR="00711444" w:rsidRPr="004D0DAA" w:rsidRDefault="00711444" w:rsidP="00711444">
      <w:pPr>
        <w:pStyle w:val="B2"/>
      </w:pPr>
      <w:r w:rsidRPr="004D0DAA">
        <w:t>-</w:t>
      </w:r>
      <w:r w:rsidRPr="004D0DAA">
        <w:tab/>
        <w:t>If the purpose of the packet access procedure is to send a Page Response, the mobile station shall indicate 'Page Response' in the PACKET CHANNEL REQUEST message;</w:t>
      </w:r>
    </w:p>
    <w:p w14:paraId="5F2B2521" w14:textId="77777777" w:rsidR="00711444" w:rsidRPr="004D0DAA" w:rsidRDefault="00711444" w:rsidP="00711444">
      <w:pPr>
        <w:pStyle w:val="B2"/>
      </w:pPr>
      <w:r w:rsidRPr="004D0DAA">
        <w:t>-</w:t>
      </w:r>
      <w:r w:rsidRPr="004D0DAA">
        <w:tab/>
        <w:t>If the purpose of the packet access procedure is to send a Cell update (the mobile station</w:t>
      </w:r>
      <w:r w:rsidRPr="004D0DAA">
        <w:rPr>
          <w:sz w:val="16"/>
        </w:rPr>
        <w:t xml:space="preserve"> </w:t>
      </w:r>
      <w:r w:rsidRPr="004D0DAA">
        <w:t>was in GMM READY state before the cell reselection) the mobile station shall indicate 'Cell Update' in the PACKET CHANNEL REQUEST message;</w:t>
      </w:r>
    </w:p>
    <w:p w14:paraId="153C4C57" w14:textId="77777777" w:rsidR="00711444" w:rsidRPr="004D0DAA" w:rsidRDefault="00711444" w:rsidP="00711444">
      <w:pPr>
        <w:pStyle w:val="B2"/>
      </w:pPr>
      <w:r w:rsidRPr="004D0DAA">
        <w:t>-</w:t>
      </w:r>
      <w:r w:rsidRPr="004D0DAA">
        <w:tab/>
        <w:t>If the purpose of the packet access procedure is for any other Mobility Management procedure, the mobile station shall indicate 'MM Procedure' in the PACKET CHANNEL REQUEST message;</w:t>
      </w:r>
    </w:p>
    <w:p w14:paraId="454967EB" w14:textId="77777777" w:rsidR="00711444" w:rsidRPr="004D0DAA" w:rsidRDefault="00711444" w:rsidP="00711444">
      <w:pPr>
        <w:pStyle w:val="B2"/>
      </w:pPr>
      <w:r w:rsidRPr="004D0DAA">
        <w:t>-</w:t>
      </w:r>
      <w:r w:rsidRPr="004D0DAA">
        <w:tab/>
        <w:t>If the purpose of the packet access procedure is to send a Measurement Report, the mobile station shall indicate 'Single block without TBF establishment' in the PACKET CHANNEL REQUEST message;</w:t>
      </w:r>
    </w:p>
    <w:p w14:paraId="2C2472B2" w14:textId="77777777" w:rsidR="00711444" w:rsidRPr="004D0DAA" w:rsidRDefault="00711444" w:rsidP="00711444">
      <w:pPr>
        <w:pStyle w:val="B2"/>
      </w:pPr>
      <w:r w:rsidRPr="004D0DAA">
        <w:lastRenderedPageBreak/>
        <w:t>-</w:t>
      </w:r>
      <w:r w:rsidRPr="004D0DAA">
        <w:tab/>
        <w:t>If the purpose of the packet access procedure is to send a PACKET PAUSE message, the mobile station shall indicate 'Single block without TBF establishment' in the PACKET CHANNEL REQUEST message. Upon the first attempt to send a PACKET CHANNEL REQUEST message the mobile station shall start timer T3204. If the mobile station receives a PACKET DOWNLINK ASSIGNMENT message before expiry of timer T3204, the mobile station shall ignore the message;</w:t>
      </w:r>
    </w:p>
    <w:p w14:paraId="0D50E5B8" w14:textId="77777777" w:rsidR="00711444" w:rsidRPr="004D0DAA" w:rsidRDefault="00711444" w:rsidP="00711444">
      <w:pPr>
        <w:pStyle w:val="B2"/>
      </w:pPr>
      <w:r w:rsidRPr="004D0DAA">
        <w:t>-</w:t>
      </w:r>
      <w:r w:rsidRPr="004D0DAA">
        <w:tab/>
        <w:t>If the purpose of the packet access procedure is to send an MBMS SERVICE REQUEST message to the network, the mobile station shall indicate 'Single block MBMS access' in the PACKET CHANNEL REQUEST message.</w:t>
      </w:r>
    </w:p>
    <w:p w14:paraId="73896928" w14:textId="77777777" w:rsidR="00711444" w:rsidRPr="004D0DAA" w:rsidRDefault="00711444" w:rsidP="00711444">
      <w:pPr>
        <w:rPr>
          <w:rFonts w:hint="eastAsia"/>
          <w:lang w:eastAsia="zh-CN"/>
        </w:rPr>
      </w:pPr>
      <w:r w:rsidRPr="004D0DAA">
        <w:t>EGPRS TBF mode capable mobile stations shall monitor the GPRS Cell Options IE on the PBCCH (PSI1/PSI13) for the cell's EGPRS capability and, if the mobile station is also Reduced Latency capable, the cell’s Reduced Latency Access capability. In the GPRS Cell Options IE it is also indicated if the EGPRS PACKET CHANNEL REQUEST message is supported</w:t>
      </w:r>
      <w:r w:rsidRPr="004D0DAA">
        <w:rPr>
          <w:sz w:val="16"/>
        </w:rPr>
        <w:t xml:space="preserve"> </w:t>
      </w:r>
      <w:r w:rsidRPr="004D0DAA">
        <w:t>in the cell and if Reduced Latency Access is supported in the cell. If the mobile station supports the IMMEDIATE PACKET ASSIGNMENT message, the mobile station shall monitor cell’s capability for</w:t>
      </w:r>
      <w:r w:rsidRPr="004D0DAA">
        <w:rPr>
          <w:rFonts w:hint="eastAsia"/>
          <w:lang w:eastAsia="zh-CN"/>
        </w:rPr>
        <w:t xml:space="preserve"> </w:t>
      </w:r>
      <w:r w:rsidRPr="004D0DAA">
        <w:t>IMMEDIATE PACKET ASSIGNMENT message within paging messages received on it</w:t>
      </w:r>
      <w:r w:rsidRPr="004D0DAA">
        <w:rPr>
          <w:rFonts w:hint="eastAsia"/>
          <w:lang w:eastAsia="zh-CN"/>
        </w:rPr>
        <w:t>s</w:t>
      </w:r>
      <w:r w:rsidRPr="004D0DAA">
        <w:t xml:space="preserve"> own paging sub-channel.</w:t>
      </w:r>
      <w:r w:rsidRPr="004D0DAA">
        <w:rPr>
          <w:rFonts w:hint="eastAsia"/>
          <w:lang w:eastAsia="zh-CN"/>
        </w:rPr>
        <w:t xml:space="preserve"> </w:t>
      </w:r>
      <w:r w:rsidRPr="004D0DAA">
        <w:t>The following table specifies which message and which access type shall be used by an EGPRS mobile station when accessing an EGPRS capable cell depending on the purpose of the packet access procedure, and mobile station’s and cell’s capabilities; this table covers the case where PBCCH is present in the cell (see 3GPP TS 44.018 for the case where PBCCH is not present in the cell). The network shall not indicate Reduced Latency Access is supported if the EGPRS PACKET CHANNEL REQUEST message  is not indicated as supported.</w:t>
      </w:r>
      <w:r w:rsidRPr="004D0DAA">
        <w:rPr>
          <w:rFonts w:hint="eastAsia"/>
          <w:lang w:eastAsia="zh-CN"/>
        </w:rPr>
        <w:t xml:space="preserve"> </w:t>
      </w:r>
      <w:r w:rsidRPr="004D0DAA">
        <w:t xml:space="preserve">The network shall not indicate </w:t>
      </w:r>
      <w:r w:rsidRPr="004D0DAA">
        <w:rPr>
          <w:rFonts w:hint="eastAsia"/>
          <w:lang w:eastAsia="zh-CN"/>
        </w:rPr>
        <w:t>IMMEDIATE PACKET ASSIGNMENT message</w:t>
      </w:r>
      <w:r w:rsidRPr="004D0DAA">
        <w:t xml:space="preserve"> is supported if the EGPRS PACKET CHANNEL REQUEST message is not indicated as supported.</w:t>
      </w:r>
    </w:p>
    <w:p w14:paraId="79940EE6" w14:textId="77777777" w:rsidR="00711444" w:rsidRPr="004D0DAA" w:rsidRDefault="00711444" w:rsidP="00711444">
      <w:pPr>
        <w:pStyle w:val="TH"/>
      </w:pPr>
      <w:r w:rsidRPr="004D0DAA">
        <w:t>Table 7.1.2.1.1: EGPRS PACKET CHANNEL REQUEST support</w:t>
      </w:r>
    </w:p>
    <w:tbl>
      <w:tblPr>
        <w:tblW w:w="0" w:type="auto"/>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3544"/>
        <w:gridCol w:w="3544"/>
      </w:tblGrid>
      <w:tr w:rsidR="00711444" w:rsidRPr="004D0DAA" w14:paraId="310EF8B2" w14:textId="77777777" w:rsidTr="00AA2A4C">
        <w:tblPrEx>
          <w:tblCellMar>
            <w:top w:w="0" w:type="dxa"/>
            <w:bottom w:w="0" w:type="dxa"/>
          </w:tblCellMar>
        </w:tblPrEx>
        <w:tc>
          <w:tcPr>
            <w:tcW w:w="2410" w:type="dxa"/>
            <w:shd w:val="clear" w:color="auto" w:fill="auto"/>
            <w:vAlign w:val="center"/>
          </w:tcPr>
          <w:p w14:paraId="400C98FF" w14:textId="77777777" w:rsidR="00711444" w:rsidRPr="004D0DAA" w:rsidRDefault="00711444" w:rsidP="00AA2A4C">
            <w:pPr>
              <w:pStyle w:val="TAH"/>
              <w:rPr>
                <w:lang w:eastAsia="en-US"/>
              </w:rPr>
            </w:pPr>
            <w:r w:rsidRPr="004D0DAA">
              <w:rPr>
                <w:lang w:eastAsia="en-US"/>
              </w:rPr>
              <w:t>Purpose of the packet access procedure</w:t>
            </w:r>
          </w:p>
        </w:tc>
        <w:tc>
          <w:tcPr>
            <w:tcW w:w="3544" w:type="dxa"/>
            <w:shd w:val="clear" w:color="auto" w:fill="auto"/>
            <w:vAlign w:val="center"/>
          </w:tcPr>
          <w:p w14:paraId="3E5649D3" w14:textId="77777777" w:rsidR="00711444" w:rsidRPr="004D0DAA" w:rsidRDefault="00711444" w:rsidP="00AA2A4C">
            <w:pPr>
              <w:pStyle w:val="TAH"/>
              <w:rPr>
                <w:lang w:eastAsia="en-US"/>
              </w:rPr>
            </w:pPr>
            <w:r w:rsidRPr="004D0DAA">
              <w:rPr>
                <w:lang w:eastAsia="en-US"/>
              </w:rPr>
              <w:t>EGPRS PACKET CHANNEL REQUEST supported in the cell</w:t>
            </w:r>
          </w:p>
        </w:tc>
        <w:tc>
          <w:tcPr>
            <w:tcW w:w="3544" w:type="dxa"/>
            <w:shd w:val="clear" w:color="auto" w:fill="auto"/>
            <w:vAlign w:val="center"/>
          </w:tcPr>
          <w:p w14:paraId="0F5AFFAB" w14:textId="77777777" w:rsidR="00711444" w:rsidRPr="004D0DAA" w:rsidRDefault="00711444" w:rsidP="00AA2A4C">
            <w:pPr>
              <w:pStyle w:val="TAH"/>
              <w:rPr>
                <w:lang w:eastAsia="en-US"/>
              </w:rPr>
            </w:pPr>
            <w:r w:rsidRPr="004D0DAA">
              <w:rPr>
                <w:lang w:eastAsia="en-US"/>
              </w:rPr>
              <w:t>EGPRS PACKET CHANNEL REQUEST not supported in the cell</w:t>
            </w:r>
          </w:p>
        </w:tc>
      </w:tr>
      <w:tr w:rsidR="00711444" w:rsidRPr="004D0DAA" w14:paraId="63FABEF0" w14:textId="77777777" w:rsidTr="00AA2A4C">
        <w:tblPrEx>
          <w:tblCellMar>
            <w:top w:w="0" w:type="dxa"/>
            <w:bottom w:w="0" w:type="dxa"/>
          </w:tblCellMar>
        </w:tblPrEx>
        <w:tc>
          <w:tcPr>
            <w:tcW w:w="2410" w:type="dxa"/>
            <w:shd w:val="clear" w:color="auto" w:fill="auto"/>
          </w:tcPr>
          <w:p w14:paraId="266799A2" w14:textId="77777777" w:rsidR="00711444" w:rsidRPr="004D0DAA" w:rsidRDefault="00711444" w:rsidP="00AA2A4C">
            <w:pPr>
              <w:pStyle w:val="TAL"/>
              <w:rPr>
                <w:lang w:eastAsia="en-US"/>
              </w:rPr>
            </w:pPr>
            <w:r w:rsidRPr="004D0DAA">
              <w:rPr>
                <w:lang w:eastAsia="en-US"/>
              </w:rPr>
              <w:t>User data transfer - requested RLC mode = unacknowledged</w:t>
            </w:r>
          </w:p>
        </w:tc>
        <w:tc>
          <w:tcPr>
            <w:tcW w:w="3544" w:type="dxa"/>
            <w:shd w:val="clear" w:color="auto" w:fill="auto"/>
          </w:tcPr>
          <w:p w14:paraId="6F7DB4F0" w14:textId="77777777" w:rsidR="00711444" w:rsidRPr="004D0DAA" w:rsidRDefault="00711444" w:rsidP="00AA2A4C">
            <w:pPr>
              <w:pStyle w:val="TAL"/>
              <w:rPr>
                <w:lang w:eastAsia="en-US"/>
              </w:rPr>
            </w:pPr>
            <w:r w:rsidRPr="004D0DAA">
              <w:rPr>
                <w:lang w:eastAsia="en-US"/>
              </w:rPr>
              <w:t>EGPRS PACKET CHANNEL REQUEST with access type = 'Two Phase Access Request'</w:t>
            </w:r>
          </w:p>
        </w:tc>
        <w:tc>
          <w:tcPr>
            <w:tcW w:w="3544" w:type="dxa"/>
            <w:shd w:val="clear" w:color="auto" w:fill="auto"/>
          </w:tcPr>
          <w:p w14:paraId="44935A44" w14:textId="77777777" w:rsidR="00711444" w:rsidRPr="004D0DAA" w:rsidRDefault="00711444" w:rsidP="00AA2A4C">
            <w:pPr>
              <w:pStyle w:val="TAL"/>
              <w:rPr>
                <w:lang w:eastAsia="en-US"/>
              </w:rPr>
            </w:pPr>
            <w:r w:rsidRPr="004D0DAA">
              <w:rPr>
                <w:lang w:eastAsia="en-US"/>
              </w:rPr>
              <w:t>PACKET CHANNEL REQUEST with access type = 'Two Phase Access Request' (NOTE 1)</w:t>
            </w:r>
          </w:p>
        </w:tc>
      </w:tr>
      <w:tr w:rsidR="00711444" w:rsidRPr="004D0DAA" w14:paraId="54DF14FC" w14:textId="77777777" w:rsidTr="00AA2A4C">
        <w:tblPrEx>
          <w:tblCellMar>
            <w:top w:w="0" w:type="dxa"/>
            <w:bottom w:w="0" w:type="dxa"/>
          </w:tblCellMar>
        </w:tblPrEx>
        <w:tc>
          <w:tcPr>
            <w:tcW w:w="2410" w:type="dxa"/>
            <w:shd w:val="clear" w:color="auto" w:fill="auto"/>
          </w:tcPr>
          <w:p w14:paraId="257BEE08" w14:textId="77777777" w:rsidR="00711444" w:rsidRPr="004D0DAA" w:rsidRDefault="00711444" w:rsidP="00AA2A4C">
            <w:pPr>
              <w:pStyle w:val="TAL"/>
              <w:rPr>
                <w:lang w:eastAsia="en-US"/>
              </w:rPr>
            </w:pPr>
            <w:r w:rsidRPr="004D0DAA">
              <w:rPr>
                <w:lang w:eastAsia="en-US"/>
              </w:rPr>
              <w:t>User data transfer - requested RLC mode = acknowledged</w:t>
            </w:r>
          </w:p>
        </w:tc>
        <w:tc>
          <w:tcPr>
            <w:tcW w:w="3544" w:type="dxa"/>
            <w:shd w:val="clear" w:color="auto" w:fill="auto"/>
          </w:tcPr>
          <w:p w14:paraId="1E677184" w14:textId="77777777" w:rsidR="00711444" w:rsidRPr="004D0DAA" w:rsidRDefault="00711444" w:rsidP="00AA2A4C">
            <w:pPr>
              <w:pStyle w:val="TAL"/>
              <w:rPr>
                <w:lang w:eastAsia="en-US"/>
              </w:rPr>
            </w:pPr>
            <w:r w:rsidRPr="004D0DAA">
              <w:rPr>
                <w:lang w:eastAsia="en-US"/>
              </w:rPr>
              <w:t>EGPRS PACKET CHANNEL REQUEST with access type = 'One Phase Access Request' or 'Two Phase Access Request'</w:t>
            </w:r>
          </w:p>
        </w:tc>
        <w:tc>
          <w:tcPr>
            <w:tcW w:w="3544" w:type="dxa"/>
            <w:shd w:val="clear" w:color="auto" w:fill="auto"/>
          </w:tcPr>
          <w:p w14:paraId="017A88CF" w14:textId="77777777" w:rsidR="00711444" w:rsidRPr="004D0DAA" w:rsidRDefault="00711444" w:rsidP="00AA2A4C">
            <w:pPr>
              <w:pStyle w:val="TAL"/>
              <w:rPr>
                <w:lang w:eastAsia="en-US"/>
              </w:rPr>
            </w:pPr>
            <w:r w:rsidRPr="004D0DAA">
              <w:rPr>
                <w:lang w:eastAsia="en-US"/>
              </w:rPr>
              <w:t>PACKET CHANNEL REQUEST with access type = 'Two Phase Access Request' (NOTE 1)</w:t>
            </w:r>
          </w:p>
        </w:tc>
      </w:tr>
      <w:tr w:rsidR="00711444" w:rsidRPr="004D0DAA" w14:paraId="32D5A2A5" w14:textId="77777777" w:rsidTr="00AA2A4C">
        <w:tblPrEx>
          <w:tblCellMar>
            <w:top w:w="0" w:type="dxa"/>
            <w:bottom w:w="0" w:type="dxa"/>
          </w:tblCellMar>
        </w:tblPrEx>
        <w:tc>
          <w:tcPr>
            <w:tcW w:w="2410" w:type="dxa"/>
            <w:shd w:val="clear" w:color="auto" w:fill="auto"/>
          </w:tcPr>
          <w:p w14:paraId="0D34F2B3" w14:textId="77777777" w:rsidR="00711444" w:rsidRPr="004D0DAA" w:rsidRDefault="00711444" w:rsidP="00AA2A4C">
            <w:pPr>
              <w:pStyle w:val="TAL"/>
              <w:rPr>
                <w:lang w:eastAsia="en-US"/>
              </w:rPr>
            </w:pPr>
            <w:r w:rsidRPr="004D0DAA">
              <w:rPr>
                <w:lang w:eastAsia="en-US"/>
              </w:rPr>
              <w:t>User data transfer - requested RLC mode = acknowledged (Reduced Latency supported by MS)</w:t>
            </w:r>
          </w:p>
        </w:tc>
        <w:tc>
          <w:tcPr>
            <w:tcW w:w="3544" w:type="dxa"/>
            <w:shd w:val="clear" w:color="auto" w:fill="auto"/>
          </w:tcPr>
          <w:p w14:paraId="434F723A" w14:textId="77777777" w:rsidR="00711444" w:rsidRPr="004D0DAA" w:rsidRDefault="00711444" w:rsidP="00AA2A4C">
            <w:pPr>
              <w:pStyle w:val="TAL"/>
              <w:rPr>
                <w:lang w:eastAsia="en-US"/>
              </w:rPr>
            </w:pPr>
            <w:r w:rsidRPr="004D0DAA">
              <w:rPr>
                <w:lang w:eastAsia="en-US"/>
              </w:rPr>
              <w:t>EGPRS PACKET CHANNEL REQUEST with access type = 'One Phase Access Request by Reduced Latency MS' (NOTE 3)</w:t>
            </w:r>
          </w:p>
        </w:tc>
        <w:tc>
          <w:tcPr>
            <w:tcW w:w="3544" w:type="dxa"/>
            <w:shd w:val="clear" w:color="auto" w:fill="auto"/>
          </w:tcPr>
          <w:p w14:paraId="59DDF38F" w14:textId="77777777" w:rsidR="00711444" w:rsidRPr="004D0DAA" w:rsidRDefault="00711444" w:rsidP="00AA2A4C">
            <w:pPr>
              <w:pStyle w:val="TAL"/>
              <w:rPr>
                <w:lang w:eastAsia="en-US"/>
              </w:rPr>
            </w:pPr>
            <w:r w:rsidRPr="004D0DAA">
              <w:rPr>
                <w:lang w:eastAsia="en-US"/>
              </w:rPr>
              <w:t>PACKET CHANNEL REQUEST with access type = 'Two Phase Access Request' (NOTE 1)</w:t>
            </w:r>
          </w:p>
        </w:tc>
      </w:tr>
      <w:tr w:rsidR="00711444" w:rsidRPr="004D0DAA" w14:paraId="17E01866" w14:textId="77777777" w:rsidTr="00AA2A4C">
        <w:tblPrEx>
          <w:tblCellMar>
            <w:top w:w="0" w:type="dxa"/>
            <w:bottom w:w="0" w:type="dxa"/>
          </w:tblCellMar>
        </w:tblPrEx>
        <w:tc>
          <w:tcPr>
            <w:tcW w:w="2410" w:type="dxa"/>
            <w:shd w:val="clear" w:color="auto" w:fill="auto"/>
          </w:tcPr>
          <w:p w14:paraId="48CD6AC8" w14:textId="77777777" w:rsidR="00711444" w:rsidRPr="004D0DAA" w:rsidRDefault="00711444" w:rsidP="00AA2A4C">
            <w:pPr>
              <w:pStyle w:val="TAL"/>
              <w:rPr>
                <w:lang w:eastAsia="en-US"/>
              </w:rPr>
            </w:pPr>
            <w:r w:rsidRPr="004D0DAA">
              <w:rPr>
                <w:lang w:eastAsia="en-US"/>
              </w:rPr>
              <w:t>Upper layer signalling transfer (e.g. page response, cell update, MM signalling, etc)</w:t>
            </w:r>
          </w:p>
        </w:tc>
        <w:tc>
          <w:tcPr>
            <w:tcW w:w="3544" w:type="dxa"/>
            <w:shd w:val="clear" w:color="auto" w:fill="auto"/>
          </w:tcPr>
          <w:p w14:paraId="0B866881" w14:textId="77777777" w:rsidR="00711444" w:rsidRPr="004D0DAA" w:rsidRDefault="00711444" w:rsidP="00AA2A4C">
            <w:pPr>
              <w:pStyle w:val="TAL"/>
              <w:rPr>
                <w:lang w:eastAsia="en-US"/>
              </w:rPr>
            </w:pPr>
            <w:r w:rsidRPr="004D0DAA">
              <w:rPr>
                <w:lang w:eastAsia="en-US"/>
              </w:rPr>
              <w:t>EGPRS PACKET CHANNEL REQUEST with access type = 'Signalling'</w:t>
            </w:r>
          </w:p>
        </w:tc>
        <w:tc>
          <w:tcPr>
            <w:tcW w:w="3544" w:type="dxa"/>
            <w:shd w:val="clear" w:color="auto" w:fill="auto"/>
          </w:tcPr>
          <w:p w14:paraId="3E63DB47" w14:textId="77777777" w:rsidR="00711444" w:rsidRPr="004D0DAA" w:rsidRDefault="00711444" w:rsidP="00AA2A4C">
            <w:pPr>
              <w:pStyle w:val="TAL"/>
              <w:rPr>
                <w:lang w:eastAsia="en-US"/>
              </w:rPr>
            </w:pPr>
            <w:r w:rsidRPr="004D0DAA">
              <w:rPr>
                <w:lang w:eastAsia="en-US"/>
              </w:rPr>
              <w:t>PACKET CHANNEL REQUEST with access type = 'Two Phase Access Request'</w:t>
            </w:r>
          </w:p>
        </w:tc>
      </w:tr>
      <w:tr w:rsidR="00711444" w:rsidRPr="004D0DAA" w14:paraId="5EBF3A99" w14:textId="77777777" w:rsidTr="00AA2A4C">
        <w:tblPrEx>
          <w:tblCellMar>
            <w:top w:w="0" w:type="dxa"/>
            <w:bottom w:w="0" w:type="dxa"/>
          </w:tblCellMar>
        </w:tblPrEx>
        <w:trPr>
          <w:cantSplit/>
        </w:trPr>
        <w:tc>
          <w:tcPr>
            <w:tcW w:w="2410" w:type="dxa"/>
            <w:shd w:val="clear" w:color="auto" w:fill="auto"/>
          </w:tcPr>
          <w:p w14:paraId="0B14C039" w14:textId="77777777" w:rsidR="00711444" w:rsidRPr="004D0DAA" w:rsidRDefault="00711444" w:rsidP="00AA2A4C">
            <w:pPr>
              <w:pStyle w:val="TAL"/>
              <w:rPr>
                <w:lang w:eastAsia="en-US"/>
              </w:rPr>
            </w:pPr>
            <w:r w:rsidRPr="004D0DAA">
              <w:rPr>
                <w:lang w:eastAsia="en-US"/>
              </w:rPr>
              <w:t>Sending of a measurement report or of a PACKET CELL CHANGE FAILURE</w:t>
            </w:r>
          </w:p>
        </w:tc>
        <w:tc>
          <w:tcPr>
            <w:tcW w:w="7088" w:type="dxa"/>
            <w:gridSpan w:val="2"/>
            <w:shd w:val="clear" w:color="auto" w:fill="auto"/>
          </w:tcPr>
          <w:p w14:paraId="361F02E7" w14:textId="77777777" w:rsidR="00711444" w:rsidRPr="004D0DAA" w:rsidRDefault="00711444" w:rsidP="00AA2A4C">
            <w:pPr>
              <w:pStyle w:val="TAL"/>
              <w:rPr>
                <w:lang w:eastAsia="en-US"/>
              </w:rPr>
            </w:pPr>
            <w:r w:rsidRPr="004D0DAA">
              <w:rPr>
                <w:lang w:eastAsia="en-US"/>
              </w:rPr>
              <w:t>PACKET CHANNEL REQUEST with access type = 'Single block without TBF establishment' (NOTE 1)</w:t>
            </w:r>
          </w:p>
        </w:tc>
      </w:tr>
      <w:tr w:rsidR="00711444" w:rsidRPr="004D0DAA" w14:paraId="2EDBBC51" w14:textId="77777777" w:rsidTr="00AA2A4C">
        <w:tblPrEx>
          <w:tblCellMar>
            <w:top w:w="0" w:type="dxa"/>
            <w:bottom w:w="0" w:type="dxa"/>
          </w:tblCellMar>
        </w:tblPrEx>
        <w:trPr>
          <w:cantSplit/>
        </w:trPr>
        <w:tc>
          <w:tcPr>
            <w:tcW w:w="2410" w:type="dxa"/>
            <w:shd w:val="clear" w:color="auto" w:fill="auto"/>
          </w:tcPr>
          <w:p w14:paraId="6937E1E3" w14:textId="77777777" w:rsidR="00711444" w:rsidRPr="004D0DAA" w:rsidRDefault="00711444" w:rsidP="00AA2A4C">
            <w:pPr>
              <w:pStyle w:val="TAL"/>
              <w:rPr>
                <w:lang w:eastAsia="en-US"/>
              </w:rPr>
            </w:pPr>
            <w:r w:rsidRPr="004D0DAA">
              <w:rPr>
                <w:lang w:eastAsia="en-US"/>
              </w:rPr>
              <w:t>Sending of a PACKET PAUSE message</w:t>
            </w:r>
          </w:p>
        </w:tc>
        <w:tc>
          <w:tcPr>
            <w:tcW w:w="7088" w:type="dxa"/>
            <w:gridSpan w:val="2"/>
            <w:shd w:val="clear" w:color="auto" w:fill="auto"/>
            <w:vAlign w:val="center"/>
          </w:tcPr>
          <w:p w14:paraId="1FE1A74B" w14:textId="77777777" w:rsidR="00711444" w:rsidRPr="004D0DAA" w:rsidRDefault="00711444" w:rsidP="00AA2A4C">
            <w:pPr>
              <w:pStyle w:val="TAL"/>
              <w:rPr>
                <w:lang w:eastAsia="en-US"/>
              </w:rPr>
            </w:pPr>
            <w:r w:rsidRPr="004D0DAA">
              <w:rPr>
                <w:lang w:eastAsia="en-US"/>
              </w:rPr>
              <w:t>PACKET CHANNEL REQUEST with access type = 'Single block without TBF establishment' (NOTE 1) (NOTE 2)</w:t>
            </w:r>
          </w:p>
        </w:tc>
      </w:tr>
      <w:tr w:rsidR="00711444" w:rsidRPr="004D0DAA" w14:paraId="7247166A" w14:textId="77777777" w:rsidTr="00AA2A4C">
        <w:tblPrEx>
          <w:tblCellMar>
            <w:top w:w="0" w:type="dxa"/>
            <w:bottom w:w="0" w:type="dxa"/>
          </w:tblCellMar>
        </w:tblPrEx>
        <w:trPr>
          <w:cantSplit/>
        </w:trPr>
        <w:tc>
          <w:tcPr>
            <w:tcW w:w="2410" w:type="dxa"/>
            <w:shd w:val="clear" w:color="auto" w:fill="auto"/>
          </w:tcPr>
          <w:p w14:paraId="3ED4419F" w14:textId="77777777" w:rsidR="00711444" w:rsidRPr="004D0DAA" w:rsidRDefault="00711444" w:rsidP="00AA2A4C">
            <w:pPr>
              <w:pStyle w:val="TAL"/>
              <w:rPr>
                <w:lang w:eastAsia="en-US"/>
              </w:rPr>
            </w:pPr>
            <w:r w:rsidRPr="004D0DAA">
              <w:rPr>
                <w:lang w:eastAsia="en-US"/>
              </w:rPr>
              <w:t>Sending of an MBMS Service Request message</w:t>
            </w:r>
          </w:p>
        </w:tc>
        <w:tc>
          <w:tcPr>
            <w:tcW w:w="7088" w:type="dxa"/>
            <w:gridSpan w:val="2"/>
            <w:shd w:val="clear" w:color="auto" w:fill="auto"/>
          </w:tcPr>
          <w:p w14:paraId="6FE65490" w14:textId="77777777" w:rsidR="00711444" w:rsidRPr="004D0DAA" w:rsidRDefault="00711444" w:rsidP="00AA2A4C">
            <w:pPr>
              <w:pStyle w:val="TAL"/>
              <w:rPr>
                <w:lang w:eastAsia="en-US"/>
              </w:rPr>
            </w:pPr>
            <w:r w:rsidRPr="004D0DAA">
              <w:rPr>
                <w:lang w:eastAsia="en-US"/>
              </w:rPr>
              <w:t>PACKET CHANNEL REQUEST with access type = 'Single block MBMS access' (NOTE 1)</w:t>
            </w:r>
          </w:p>
        </w:tc>
      </w:tr>
      <w:tr w:rsidR="00711444" w:rsidRPr="004D0DAA" w14:paraId="71B79A39" w14:textId="77777777" w:rsidTr="00AA2A4C">
        <w:tblPrEx>
          <w:tblCellMar>
            <w:top w:w="0" w:type="dxa"/>
            <w:bottom w:w="0" w:type="dxa"/>
          </w:tblCellMar>
        </w:tblPrEx>
        <w:trPr>
          <w:cantSplit/>
        </w:trPr>
        <w:tc>
          <w:tcPr>
            <w:tcW w:w="9498" w:type="dxa"/>
            <w:gridSpan w:val="3"/>
            <w:shd w:val="clear" w:color="auto" w:fill="auto"/>
          </w:tcPr>
          <w:p w14:paraId="2C33D553" w14:textId="77777777" w:rsidR="00711444" w:rsidRPr="004D0DAA" w:rsidRDefault="00711444" w:rsidP="00AA2A4C">
            <w:pPr>
              <w:pStyle w:val="TAN"/>
              <w:rPr>
                <w:lang w:eastAsia="en-US"/>
              </w:rPr>
            </w:pPr>
            <w:r w:rsidRPr="004D0DAA">
              <w:rPr>
                <w:lang w:eastAsia="en-US"/>
              </w:rPr>
              <w:t>NOTE 1:</w:t>
            </w:r>
            <w:r w:rsidRPr="004D0DAA">
              <w:rPr>
                <w:lang w:eastAsia="en-US"/>
              </w:rPr>
              <w:tab/>
              <w:t>The format to be used for the PACKET CHANNEL REQUEST message is defined by the parameter ACCESS_BURST_TYPE.</w:t>
            </w:r>
          </w:p>
          <w:p w14:paraId="5B8B8B85" w14:textId="77777777" w:rsidR="00711444" w:rsidRPr="004D0DAA" w:rsidRDefault="00711444" w:rsidP="00AA2A4C">
            <w:pPr>
              <w:pStyle w:val="TAN"/>
              <w:rPr>
                <w:lang w:eastAsia="en-US"/>
              </w:rPr>
            </w:pPr>
            <w:r w:rsidRPr="004D0DAA">
              <w:rPr>
                <w:lang w:eastAsia="en-US"/>
              </w:rPr>
              <w:t>NOTE 2:</w:t>
            </w:r>
            <w:r w:rsidRPr="004D0DAA">
              <w:rPr>
                <w:lang w:eastAsia="en-US"/>
              </w:rPr>
              <w:tab/>
              <w:t>Upon the first attempt to send a PACKET CHANNEL REQUEST message the mobile station shall start timer T3204. If the mobile station receives a PACKET DOWNLINK ASSIGNMENT message before expiry of timer T3204, the mobile station shall ignore the message.</w:t>
            </w:r>
          </w:p>
          <w:p w14:paraId="13745A44" w14:textId="77777777" w:rsidR="00711444" w:rsidRPr="004D0DAA" w:rsidRDefault="00711444" w:rsidP="00AA2A4C">
            <w:pPr>
              <w:pStyle w:val="TAN"/>
              <w:rPr>
                <w:lang w:eastAsia="en-US"/>
              </w:rPr>
            </w:pPr>
            <w:r w:rsidRPr="004D0DAA">
              <w:rPr>
                <w:lang w:eastAsia="en-US"/>
              </w:rPr>
              <w:t>NOTE 3:</w:t>
            </w:r>
            <w:r w:rsidRPr="004D0DAA">
              <w:rPr>
                <w:lang w:eastAsia="en-US"/>
              </w:rPr>
              <w:tab/>
              <w:t>The 'One phase Access Request by Reduced Latency MS' shall be used by the mobile station supporting reduced latency if Reduced Latency Access is supported by the network.</w:t>
            </w:r>
          </w:p>
        </w:tc>
      </w:tr>
    </w:tbl>
    <w:p w14:paraId="2BA46D67" w14:textId="77777777" w:rsidR="00711444" w:rsidRPr="004D0DAA" w:rsidRDefault="00711444" w:rsidP="00711444"/>
    <w:p w14:paraId="5E05C316" w14:textId="77777777" w:rsidR="00711444" w:rsidRPr="004D0DAA" w:rsidRDefault="00711444" w:rsidP="00711444">
      <w:pPr>
        <w:pStyle w:val="Heading5"/>
      </w:pPr>
      <w:bookmarkStart w:id="148" w:name="_Toc516669336"/>
      <w:r w:rsidRPr="004D0DAA">
        <w:t>7.1.2.1.1</w:t>
      </w:r>
      <w:r w:rsidRPr="004D0DAA">
        <w:tab/>
        <w:t>Access persistence control on PRACH</w:t>
      </w:r>
      <w:bookmarkEnd w:id="148"/>
    </w:p>
    <w:p w14:paraId="1E1A0573" w14:textId="77777777" w:rsidR="00711444" w:rsidRPr="004D0DAA" w:rsidRDefault="00711444" w:rsidP="00711444">
      <w:r w:rsidRPr="004D0DAA">
        <w:t>The mobile station shall make maximally M + 1 attempts to send a PACKET CHANNEL REQUEST (respectively EGPRS PACKET CHANNEL REQUEST) message.</w:t>
      </w:r>
    </w:p>
    <w:p w14:paraId="674FDA2D" w14:textId="77777777" w:rsidR="00711444" w:rsidRPr="004D0DAA" w:rsidRDefault="00711444" w:rsidP="00711444">
      <w:r w:rsidRPr="004D0DAA">
        <w:t>After sending each PACKET CHANNEL REQUEST (respectively EGPRS PACKET CHANNEL REQUEST) message, the mobile station shall listen to the</w:t>
      </w:r>
      <w:r w:rsidRPr="004D0DAA">
        <w:rPr>
          <w:sz w:val="16"/>
        </w:rPr>
        <w:t xml:space="preserve"> </w:t>
      </w:r>
      <w:r w:rsidRPr="004D0DAA">
        <w:t>full PCCCH corresponding to its PCCCH_GROUP.</w:t>
      </w:r>
    </w:p>
    <w:p w14:paraId="7D71E289" w14:textId="77777777" w:rsidR="00711444" w:rsidRPr="004D0DAA" w:rsidRDefault="00711444" w:rsidP="00711444">
      <w:pPr>
        <w:keepNext/>
      </w:pPr>
      <w:r w:rsidRPr="004D0DAA">
        <w:lastRenderedPageBreak/>
        <w:t>The PRACH Control Parameters IE contains the access persistence control parameters and shall be broadcast on PBCCH and PCCCH. The parameters included in the PRACH Control Parameters IE are:</w:t>
      </w:r>
    </w:p>
    <w:p w14:paraId="150C9B15" w14:textId="77777777" w:rsidR="00711444" w:rsidRPr="004D0DAA" w:rsidRDefault="00711444" w:rsidP="00711444">
      <w:pPr>
        <w:pStyle w:val="B1"/>
      </w:pPr>
      <w:r w:rsidRPr="004D0DAA">
        <w:t>-</w:t>
      </w:r>
      <w:r w:rsidRPr="004D0DAA">
        <w:tab/>
        <w:t>MAX_RETRANS, for each radio priority i (i = 1, 2, 3, 4);</w:t>
      </w:r>
    </w:p>
    <w:p w14:paraId="1FA62B1B" w14:textId="77777777" w:rsidR="00711444" w:rsidRPr="004D0DAA" w:rsidRDefault="00711444" w:rsidP="00711444">
      <w:pPr>
        <w:pStyle w:val="B1"/>
      </w:pPr>
      <w:r w:rsidRPr="004D0DAA">
        <w:t>-</w:t>
      </w:r>
      <w:r w:rsidRPr="004D0DAA">
        <w:tab/>
        <w:t xml:space="preserve">PERSISTENCE_LEVEL, which consists of the PERSISTENCE_LEVEL P(i) for each radio priority i (i = 1, 2, 3, 4); where P(i) </w:t>
      </w:r>
      <w:r w:rsidRPr="004D0DAA">
        <w:fldChar w:fldCharType="begin"/>
      </w:r>
      <w:r w:rsidRPr="004D0DAA">
        <w:instrText>symbol 206 \f "Symbol" \s 10</w:instrText>
      </w:r>
      <w:r w:rsidRPr="004D0DAA">
        <w:fldChar w:fldCharType="separate"/>
      </w:r>
      <w:r w:rsidRPr="004D0DAA">
        <w:rPr>
          <w:rFonts w:ascii="Symbol" w:hAnsi="Symbol"/>
        </w:rPr>
        <w:t>Î</w:t>
      </w:r>
      <w:r w:rsidRPr="004D0DAA">
        <w:fldChar w:fldCharType="end"/>
      </w:r>
      <w:r w:rsidRPr="004D0DAA">
        <w:t xml:space="preserve"> {0, 1, …14, 16}. If the PRACH Control Parameters IE does not contain the PERSISTENCE_LEVEL parameter, this shall be interpreted as if P(i) = 0 for all radio priorities;</w:t>
      </w:r>
    </w:p>
    <w:p w14:paraId="44D0604F" w14:textId="77777777" w:rsidR="00711444" w:rsidRPr="004D0DAA" w:rsidRDefault="00711444" w:rsidP="00711444">
      <w:pPr>
        <w:pStyle w:val="B1"/>
      </w:pPr>
      <w:r w:rsidRPr="004D0DAA">
        <w:t>-</w:t>
      </w:r>
      <w:r w:rsidRPr="004D0DAA">
        <w:tab/>
        <w:t>S;</w:t>
      </w:r>
    </w:p>
    <w:p w14:paraId="090B84B4" w14:textId="77777777" w:rsidR="00711444" w:rsidRPr="004D0DAA" w:rsidRDefault="00711444" w:rsidP="00711444">
      <w:pPr>
        <w:pStyle w:val="B1"/>
      </w:pPr>
      <w:r w:rsidRPr="004D0DAA">
        <w:t>-</w:t>
      </w:r>
      <w:r w:rsidRPr="004D0DAA">
        <w:tab/>
        <w:t>TX_INT.</w:t>
      </w:r>
    </w:p>
    <w:p w14:paraId="19EEA43E" w14:textId="77777777" w:rsidR="00711444" w:rsidRPr="004D0DAA" w:rsidRDefault="00711444" w:rsidP="00711444">
      <w:r w:rsidRPr="004D0DAA">
        <w:t>The mobile station shall start timer T3186 at the beginning of the packet access procedure. At expiry of timer T3186, the packet access procedure shall be aborted, and:</w:t>
      </w:r>
    </w:p>
    <w:p w14:paraId="731F907F" w14:textId="77777777" w:rsidR="00711444" w:rsidRPr="004D0DAA" w:rsidRDefault="00711444" w:rsidP="00711444">
      <w:pPr>
        <w:pStyle w:val="B1"/>
        <w:rPr>
          <w:lang w:eastAsia="en-US"/>
        </w:rPr>
      </w:pPr>
      <w:r w:rsidRPr="004D0DAA">
        <w:t>-</w:t>
      </w:r>
      <w:r w:rsidRPr="004D0DAA">
        <w:tab/>
      </w:r>
      <w:r w:rsidRPr="004D0DAA">
        <w:rPr>
          <w:lang w:eastAsia="en-US"/>
        </w:rPr>
        <w:t>if at least o</w:t>
      </w:r>
      <w:r w:rsidRPr="004D0DAA">
        <w:t>ne</w:t>
      </w:r>
      <w:r w:rsidRPr="004D0DAA">
        <w:rPr>
          <w:lang w:eastAsia="en-US"/>
        </w:rPr>
        <w:t xml:space="preserve"> PACKET CHANNEL REQUEST </w:t>
      </w:r>
      <w:r w:rsidRPr="004D0DAA">
        <w:t xml:space="preserve">(respectively EGPRS PACKET CHANNEL REQUEST) </w:t>
      </w:r>
      <w:r w:rsidRPr="004D0DAA">
        <w:rPr>
          <w:lang w:eastAsia="en-US"/>
        </w:rPr>
        <w:t>message was transmitted by the mobile station, a random</w:t>
      </w:r>
      <w:r w:rsidRPr="004D0DAA">
        <w:t xml:space="preserve"> access failure shall be indicated to upper layers and the mobile station shall </w:t>
      </w:r>
      <w:r w:rsidRPr="004D0DAA">
        <w:rPr>
          <w:lang w:eastAsia="en-US"/>
        </w:rPr>
        <w:t>perform autonomous cell re-selection according to 3GPP TS 43.022;</w:t>
      </w:r>
    </w:p>
    <w:p w14:paraId="1CF75E43" w14:textId="77777777" w:rsidR="00711444" w:rsidRPr="004D0DAA" w:rsidRDefault="00711444" w:rsidP="00711444">
      <w:pPr>
        <w:pStyle w:val="B1"/>
        <w:rPr>
          <w:lang w:eastAsia="ko-KR"/>
        </w:rPr>
      </w:pPr>
      <w:r w:rsidRPr="004D0DAA">
        <w:t>-</w:t>
      </w:r>
      <w:r w:rsidRPr="004D0DAA">
        <w:tab/>
      </w:r>
      <w:r w:rsidRPr="004D0DAA">
        <w:rPr>
          <w:lang w:eastAsia="en-US"/>
        </w:rPr>
        <w:t xml:space="preserve">otherwise, </w:t>
      </w:r>
      <w:r w:rsidRPr="004D0DAA">
        <w:t xml:space="preserve">a </w:t>
      </w:r>
      <w:r w:rsidRPr="004D0DAA">
        <w:rPr>
          <w:lang w:eastAsia="en-US"/>
        </w:rPr>
        <w:t>packet access failure shall be indicated to upper layers and the mobile station shall return to packet idle mode or MAC-Idle state.</w:t>
      </w:r>
    </w:p>
    <w:p w14:paraId="58E7E936" w14:textId="77777777" w:rsidR="00711444" w:rsidRPr="004D0DAA" w:rsidRDefault="00711444" w:rsidP="00711444">
      <w:r w:rsidRPr="004D0DAA">
        <w:t xml:space="preserve">The first attempt to send a PACKET CHANNEL REQUEST (respectively EGPRS PACKET CHANNEL REQUEST) message, may be initiated at the first available PRACH block on the PDCH defined by the PCCCH_GROUP for the mobile station (see 3GPP TS 45.002). The mobile station shall </w:t>
      </w:r>
      <w:r w:rsidRPr="004D0DAA">
        <w:rPr>
          <w:lang w:eastAsia="ko-KR"/>
        </w:rPr>
        <w:t>choose</w:t>
      </w:r>
      <w:r w:rsidRPr="004D0DAA">
        <w:t xml:space="preserve"> one of the four TDMA frames within the selected PRACH block randomly with a uniform probability distribution.</w:t>
      </w:r>
    </w:p>
    <w:p w14:paraId="53EA9149" w14:textId="77777777" w:rsidR="00711444" w:rsidRPr="004D0DAA" w:rsidRDefault="00711444" w:rsidP="00711444">
      <w:r w:rsidRPr="004D0DAA">
        <w:t>For each attempt, the mobile station shall draw a random value R with uniform probability distribution in the set {0, 1, …, 15}. The mobile station is allowed to transmit a PACKET CHANNEL REQUEST (respectively EGPRS PACKET CHANNEL REQUEST) message if P(i), where i is the radio priority of the TBF being established, is less than or equal to R.</w:t>
      </w:r>
    </w:p>
    <w:p w14:paraId="68D48119" w14:textId="77777777" w:rsidR="00711444" w:rsidRPr="004D0DAA" w:rsidRDefault="00711444" w:rsidP="00711444">
      <w:r w:rsidRPr="004D0DAA">
        <w:t>After each attempt, the S and T parameters are used to determine the next TDMA frame in which it may be allowed to make a successive attempt. The number of TDMA frames belonging to the PRACH on the PDCH defined by the PCCCH_GROUP for the mobile station between two successive attempts to send a PACKET</w:t>
      </w:r>
      <w:r w:rsidRPr="004D0DAA">
        <w:rPr>
          <w:sz w:val="18"/>
        </w:rPr>
        <w:t xml:space="preserve"> </w:t>
      </w:r>
      <w:r w:rsidRPr="004D0DAA">
        <w:t>CHANNEL REQUEST (respectively EGPRS PACKET CHANNEL REQUEST) message</w:t>
      </w:r>
      <w:r w:rsidRPr="004D0DAA">
        <w:rPr>
          <w:sz w:val="18"/>
        </w:rPr>
        <w:t xml:space="preserve"> </w:t>
      </w:r>
      <w:r w:rsidRPr="004D0DAA">
        <w:t>excluding the TDMA frames potentially containing the messages themselves is a random value drawn for each transmission with uniform probability distribution in the set {S, S + 1, …, S + T </w:t>
      </w:r>
      <w:r w:rsidRPr="004D0DAA">
        <w:noBreakHyphen/>
        <w:t> 1}.</w:t>
      </w:r>
    </w:p>
    <w:p w14:paraId="3B698548" w14:textId="77777777" w:rsidR="00711444" w:rsidRPr="004D0DAA" w:rsidRDefault="00711444" w:rsidP="00711444">
      <w:r w:rsidRPr="004D0DAA">
        <w:t>Here:</w:t>
      </w:r>
    </w:p>
    <w:p w14:paraId="5A2AF5E5" w14:textId="77777777" w:rsidR="00711444" w:rsidRPr="004D0DAA" w:rsidRDefault="00711444" w:rsidP="00711444">
      <w:pPr>
        <w:pStyle w:val="B1"/>
      </w:pPr>
      <w:r w:rsidRPr="004D0DAA">
        <w:t>M</w:t>
      </w:r>
      <w:r w:rsidRPr="004D0DAA">
        <w:tab/>
        <w:t>is the value of the parameter MAX_RETRANS, belonging to the Radio Priority of the access;</w:t>
      </w:r>
    </w:p>
    <w:p w14:paraId="3D282AC2" w14:textId="77777777" w:rsidR="00711444" w:rsidRPr="004D0DAA" w:rsidRDefault="00711444" w:rsidP="00711444">
      <w:pPr>
        <w:pStyle w:val="B1"/>
      </w:pPr>
      <w:r w:rsidRPr="004D0DAA">
        <w:t>T</w:t>
      </w:r>
      <w:r w:rsidRPr="004D0DAA">
        <w:tab/>
        <w:t>is the value of the parameter TX_INT;</w:t>
      </w:r>
    </w:p>
    <w:p w14:paraId="48FD22C7" w14:textId="77777777" w:rsidR="00711444" w:rsidRPr="004D0DAA" w:rsidRDefault="00711444" w:rsidP="00711444">
      <w:pPr>
        <w:pStyle w:val="B1"/>
      </w:pPr>
      <w:r w:rsidRPr="004D0DAA">
        <w:t>S</w:t>
      </w:r>
      <w:r w:rsidRPr="004D0DAA">
        <w:tab/>
        <w:t>is the value of the parameter S.</w:t>
      </w:r>
    </w:p>
    <w:p w14:paraId="322BFF04" w14:textId="77777777" w:rsidR="00711444" w:rsidRPr="004D0DAA" w:rsidRDefault="00711444" w:rsidP="00711444">
      <w:pPr>
        <w:rPr>
          <w:lang w:eastAsia="ko-KR"/>
        </w:rPr>
      </w:pPr>
      <w:r w:rsidRPr="004D0DAA">
        <w:t>Having made M + 1 attempts to send a PACKET CHANNEL REQUEST (respectively EGPRS PACKET CHANNEL REQUEST) message, the mobile station shall stop timer T3186 and start timer T3170</w:t>
      </w:r>
      <w:r w:rsidRPr="004D0DAA">
        <w:rPr>
          <w:lang w:eastAsia="ko-KR"/>
        </w:rPr>
        <w:t xml:space="preserve"> if at least one PACKET CHANNEL REQUEST </w:t>
      </w:r>
      <w:r w:rsidRPr="004D0DAA">
        <w:t xml:space="preserve">(respectively EGPRS PACKET CHANNEL REQUEST) </w:t>
      </w:r>
      <w:r w:rsidRPr="004D0DAA">
        <w:rPr>
          <w:lang w:eastAsia="ko-KR"/>
        </w:rPr>
        <w:t>message was transmitted by the mobile station</w:t>
      </w:r>
      <w:r w:rsidRPr="004D0DAA">
        <w:t>.</w:t>
      </w:r>
      <w:r w:rsidRPr="004D0DAA">
        <w:rPr>
          <w:lang w:eastAsia="ko-KR"/>
        </w:rPr>
        <w:t xml:space="preserve"> In this case,</w:t>
      </w:r>
      <w:r w:rsidRPr="004D0DAA">
        <w:t xml:space="preserve"> </w:t>
      </w:r>
      <w:r w:rsidRPr="004D0DAA">
        <w:rPr>
          <w:lang w:eastAsia="ko-KR"/>
        </w:rPr>
        <w:t>a</w:t>
      </w:r>
      <w:r w:rsidRPr="004D0DAA">
        <w:t>t expiry of timer T3170, the packet access procedure shall be aborted, a random access failure shall be indicated to upper layers and the mobile station shall</w:t>
      </w:r>
      <w:r w:rsidRPr="004D0DAA">
        <w:rPr>
          <w:sz w:val="16"/>
        </w:rPr>
        <w:t xml:space="preserve"> </w:t>
      </w:r>
      <w:r w:rsidRPr="004D0DAA">
        <w:t>perform autonomous cell re-selection according to 3GPP TS 43.022.</w:t>
      </w:r>
      <w:r w:rsidRPr="004D0DAA">
        <w:rPr>
          <w:lang w:eastAsia="ko-KR"/>
        </w:rPr>
        <w:t xml:space="preserve"> Otherwise, </w:t>
      </w:r>
      <w:r w:rsidRPr="004D0DAA">
        <w:t>the packet access procedure shall be aborted,</w:t>
      </w:r>
      <w:r w:rsidRPr="004D0DAA">
        <w:rPr>
          <w:lang w:eastAsia="ko-KR"/>
        </w:rPr>
        <w:t xml:space="preserve"> a packet access failure shall be indicated to upper layers and the mobile station shall return to packet idle mode or MAC-Idle state. </w:t>
      </w:r>
    </w:p>
    <w:p w14:paraId="5CE3044F" w14:textId="77777777" w:rsidR="00711444" w:rsidRPr="004D0DAA" w:rsidRDefault="00711444" w:rsidP="00711444">
      <w:pPr>
        <w:keepNext/>
        <w:keepLines/>
      </w:pPr>
      <w:r w:rsidRPr="004D0DAA">
        <w:lastRenderedPageBreak/>
        <w:t>If the mobile station receives a PACKET DOWNLINK ASSIGNMENT message while it is waiting for a response to a PACKET CHANNEL REQUEST (respectively EGPRS PACKET CHANNEL REQUEST) message, it shall abort the packet access procedure and respond to the PACKET DOWNLINK ASSIGNMENT message (see sub-clause 7.2.1). The mobile station shall then attempt establishment of an uplink TBF using the procedures defined in sub-clause 8.1.2.5.</w:t>
      </w:r>
    </w:p>
    <w:p w14:paraId="0C292BF6" w14:textId="77777777" w:rsidR="00711444" w:rsidRPr="004D0DAA" w:rsidRDefault="00711444" w:rsidP="00711444">
      <w:pPr>
        <w:pStyle w:val="Heading4"/>
      </w:pPr>
      <w:bookmarkStart w:id="149" w:name="_Toc516669337"/>
      <w:r w:rsidRPr="004D0DAA">
        <w:t>7.1.2.2</w:t>
      </w:r>
      <w:r w:rsidRPr="004D0DAA">
        <w:tab/>
        <w:t>Packet assignment procedure</w:t>
      </w:r>
      <w:bookmarkEnd w:id="149"/>
    </w:p>
    <w:p w14:paraId="22882701" w14:textId="77777777" w:rsidR="00711444" w:rsidRPr="004D0DAA" w:rsidRDefault="00711444" w:rsidP="00711444">
      <w:pPr>
        <w:pStyle w:val="Heading5"/>
      </w:pPr>
      <w:bookmarkStart w:id="150" w:name="_Toc516669338"/>
      <w:r w:rsidRPr="004D0DAA">
        <w:t>7.1.2.2.1</w:t>
      </w:r>
      <w:r w:rsidRPr="004D0DAA">
        <w:tab/>
        <w:t>On receipt of a PACKET CHANNEL REQUEST or EGPRS PACKET CHANNEL REQUEST message</w:t>
      </w:r>
      <w:bookmarkEnd w:id="150"/>
    </w:p>
    <w:p w14:paraId="5C4D1266" w14:textId="77777777" w:rsidR="00711444" w:rsidRPr="004D0DAA" w:rsidRDefault="00711444" w:rsidP="00711444">
      <w:r w:rsidRPr="004D0DAA">
        <w:t>On receipt of a PACKET CHANNEL REQUEST message, the network may assign a radio resource on one or more PDCHs to be used by the mobile station for the TBF in GPRS TBF mode. On receipt of an EGPRS PACKET CHANNEL REQUEST message, the network may assign a radio resource on one or more PDCHs to be used by the mobile station for the TBF in EGPRS TBF mode or GPRS TBF mode.</w:t>
      </w:r>
    </w:p>
    <w:p w14:paraId="13C7C65F" w14:textId="77777777" w:rsidR="00711444" w:rsidRPr="004D0DAA" w:rsidRDefault="00711444" w:rsidP="00711444">
      <w:r w:rsidRPr="004D0DAA">
        <w:t xml:space="preserve">The allocated PDTCH and PACCH resource is assigned to the mobile station in a PACKET UPLINK ASSIGNMENT message, sent on any PAGCH block on the same PCCCH on which the network has received the PACKET CHANNEL REQUEST or EGPRS PACKET CHANNEL REQUEST message. The </w:t>
      </w:r>
      <w:r w:rsidRPr="004D0DAA">
        <w:rPr>
          <w:i/>
        </w:rPr>
        <w:t>Packet Request Reference</w:t>
      </w:r>
      <w:r w:rsidRPr="004D0DAA">
        <w:t xml:space="preserve"> information element shall be used to address the mobile station and frequency parameters shall be included.</w:t>
      </w:r>
    </w:p>
    <w:p w14:paraId="7211F2E4" w14:textId="77777777" w:rsidR="00711444" w:rsidRPr="004D0DAA" w:rsidRDefault="00711444" w:rsidP="00711444">
      <w:r w:rsidRPr="004D0DAA">
        <w:t>A mobile station supporting Downlink Dual Carrier may be sent a PACKET UPLINK ASSIGNMENT message to assign radio resources on two different radio frequency channels for a given uplink TBF. In such a configuration, uplink radio blocks shall not be allocated on both radio frequency channels during any given radio block period.</w:t>
      </w:r>
    </w:p>
    <w:p w14:paraId="35A00080" w14:textId="77777777" w:rsidR="00711444" w:rsidRPr="004D0DAA" w:rsidRDefault="00711444" w:rsidP="00711444">
      <w:r w:rsidRPr="004D0DAA">
        <w:t xml:space="preserve">The mobile station may use information received on PBCCH, BCCH or a previous assignment message to decode the frequency parameters contained in the assignment message. If the mobile station detects an invalid </w:t>
      </w:r>
      <w:r w:rsidRPr="004D0DAA">
        <w:rPr>
          <w:i/>
        </w:rPr>
        <w:t>Frequency Parameters</w:t>
      </w:r>
      <w:r w:rsidRPr="004D0DAA">
        <w:t xml:space="preserve"> information element or an invalid </w:t>
      </w:r>
      <w:r w:rsidRPr="004D0DAA">
        <w:rPr>
          <w:i/>
        </w:rPr>
        <w:t>Dual Carrier Frequency Parameters</w:t>
      </w:r>
      <w:r w:rsidRPr="004D0DAA">
        <w:t xml:space="preserve"> information element in the assignment message, it shall abort the procedure, if required initiate a partial acquisition of PBCCH or BCCH information, and may then re-initiate this procedure.</w:t>
      </w:r>
    </w:p>
    <w:p w14:paraId="56400916" w14:textId="77777777" w:rsidR="00711444" w:rsidRPr="004D0DAA" w:rsidRDefault="00711444" w:rsidP="00711444">
      <w:r w:rsidRPr="004D0DAA">
        <w:t>If the dynamic allocation medium access mode is commanded, the network shall include the USF values allocated for PDCHs in the PACKET UPLINK ASSIGNMENT message.</w:t>
      </w:r>
    </w:p>
    <w:p w14:paraId="71A981FB" w14:textId="77777777" w:rsidR="00711444" w:rsidRPr="004D0DAA" w:rsidRDefault="00711444" w:rsidP="00711444">
      <w:pPr>
        <w:keepNext/>
        <w:keepLines/>
      </w:pPr>
      <w:r w:rsidRPr="004D0DAA">
        <w:t xml:space="preserve">Unless the mobile station has indicated a "Single Block Without TBF Establishment" or "Single block MBMS access" in a PACKET CHANNEL REQUEST message, the mobile station shall perform a two phase access if the PACKET UPLINK ASSIGNMENT message includes a Single Block Allocation struct or a Multi Block Allocation struct. </w:t>
      </w:r>
    </w:p>
    <w:p w14:paraId="0EEC7718" w14:textId="77777777" w:rsidR="00711444" w:rsidRPr="004D0DAA" w:rsidRDefault="00711444" w:rsidP="00711444">
      <w:pPr>
        <w:keepNext/>
        <w:keepLines/>
      </w:pPr>
      <w:r w:rsidRPr="004D0DAA">
        <w:t>If the PACKET UPLINK ASSIGNMENT message includes Dynamic Allocation struct and the MS has not requested ‘Single Block Without TBF Establishment’, ‘Two phase access’ , or ‘Single Block MBMS access’, the mobile station shall perform a one phase access.</w:t>
      </w:r>
    </w:p>
    <w:p w14:paraId="20A17F67" w14:textId="77777777" w:rsidR="00711444" w:rsidRPr="004D0DAA" w:rsidRDefault="00711444" w:rsidP="00711444">
      <w:pPr>
        <w:keepNext/>
        <w:keepLines/>
      </w:pPr>
      <w:r w:rsidRPr="004D0DAA">
        <w:t>In case the MS requested two phase access, the procedures in sub-clause 7.1.3 shall apply.</w:t>
      </w:r>
    </w:p>
    <w:p w14:paraId="6EA16849" w14:textId="77777777" w:rsidR="00711444" w:rsidRPr="004D0DAA" w:rsidRDefault="00711444" w:rsidP="00711444">
      <w:pPr>
        <w:keepNext/>
        <w:keepLines/>
      </w:pPr>
      <w:r w:rsidRPr="004D0DAA">
        <w:t>A mobile station that has indicated "Single Block Without TBF Establishment" in the PACKET CHANNEL REQUEST message for the purpose of sending a measurement report shall send a measurement report according to sub-clause 7.3.1.</w:t>
      </w:r>
    </w:p>
    <w:p w14:paraId="412A9881" w14:textId="77777777" w:rsidR="00711444" w:rsidRPr="004D0DAA" w:rsidRDefault="00711444" w:rsidP="00711444">
      <w:pPr>
        <w:keepNext/>
        <w:keepLines/>
      </w:pPr>
      <w:r w:rsidRPr="004D0DAA">
        <w:t>A mobile station that has indicated "Single Block Without TBF Establishment" in the PACKET CHANNEL REQUEST message for the purpose of sending a PACKET CELL CHANGE FAILURE message shall send that message according to sub-clause 8.4.2.</w:t>
      </w:r>
    </w:p>
    <w:p w14:paraId="1A295A91" w14:textId="77777777" w:rsidR="00711444" w:rsidRPr="004D0DAA" w:rsidRDefault="00711444" w:rsidP="00711444">
      <w:r w:rsidRPr="004D0DAA">
        <w:t>On receipt of a PACKET UPLINK ASSIGNMENT message corresponding to one of its 3 last PACKET CHANNEL REQUEST or EGPRS PACKET CHANNEL REQUEST messages the mobile station shall stop timers T3186 and T3170 if running and stop sending PACKET CHANNEL REQUEST or EGPRS PACKET CHANNEL REQUEST messages.</w:t>
      </w:r>
    </w:p>
    <w:p w14:paraId="3F842E03" w14:textId="77777777" w:rsidR="00711444" w:rsidRPr="004D0DAA" w:rsidRDefault="00711444" w:rsidP="00711444">
      <w:r w:rsidRPr="004D0DAA">
        <w:t>If the PACKET UPLINK ASSIGNMENT message does not specify a TBF starting time, the mobile station shall switch to the assigned PDCHs, start timer T3164 if dynamic or extended dynamic allocation is assigned and proceed with contention resolution of the one phase packet access procedure according to sub-clause 7.1.2.3 (</w:t>
      </w:r>
      <w:r w:rsidRPr="004D0DAA">
        <w:rPr>
          <w:i/>
        </w:rPr>
        <w:t>A/Gb mode</w:t>
      </w:r>
      <w:r w:rsidRPr="004D0DAA">
        <w:t>) or in case of EGPRS, sub-clause 7.1.2.3a (</w:t>
      </w:r>
      <w:r w:rsidRPr="004D0DAA">
        <w:rPr>
          <w:i/>
        </w:rPr>
        <w:t>A/Gb mode</w:t>
      </w:r>
      <w:r w:rsidRPr="004D0DAA">
        <w:t>).</w:t>
      </w:r>
    </w:p>
    <w:p w14:paraId="4CE611EA" w14:textId="77777777" w:rsidR="00711444" w:rsidRPr="004D0DAA" w:rsidRDefault="00711444" w:rsidP="00711444">
      <w:r w:rsidRPr="004D0DAA">
        <w:lastRenderedPageBreak/>
        <w:t>Unless assigning resources for RTTI, dual carrier, BTTI with FANR activated or EGPRS2 configurations, a PACKET UPLINK ASSIGNMENT message may indicate an assignment starting time in the TBF Starting Time parameter. The mobile station shall monitor the full PCCCH until the point in time denoted by the TBF Starting Time. Thereafter it shall switch to the assigned PDCHs. If dynamic or extended dynamic allocation is assigned, the mobile station shall start timer T3164. Regardless of which allocation mode is used, the mobile station shall proceed with the contention resolution defined in sub-clause 7.1.2.3 (</w:t>
      </w:r>
      <w:r w:rsidRPr="004D0DAA">
        <w:rPr>
          <w:i/>
        </w:rPr>
        <w:t>A/Gb mode</w:t>
      </w:r>
      <w:r w:rsidRPr="004D0DAA">
        <w:t>) or in case of EGPRS, sub-clause 7.1.2.3a (</w:t>
      </w:r>
      <w:r w:rsidRPr="004D0DAA">
        <w:rPr>
          <w:i/>
        </w:rPr>
        <w:t>A/Gb mode</w:t>
      </w:r>
      <w:r w:rsidRPr="004D0DAA">
        <w:t>). If the mobile station receives more than one PACKET UPLINK ASSIGNMENT message, it shall act upon the most recently received message and shall ignore the previous message.</w:t>
      </w:r>
    </w:p>
    <w:p w14:paraId="314A1C45" w14:textId="77777777" w:rsidR="00711444" w:rsidRPr="004D0DAA" w:rsidRDefault="00711444" w:rsidP="00711444">
      <w:r w:rsidRPr="004D0DAA">
        <w:t>When the mobile station switches to the assigned PDCHs, it shall take the power control parameters received in the PACKET UPLINK ASSIGNMENT message into account, perform signal strength measurements and apply output power control procedures as they are defined for packet transfer mode or MAC-Shared state (see 3GPP TS 45.008).</w:t>
      </w:r>
    </w:p>
    <w:p w14:paraId="032B49E1" w14:textId="77777777" w:rsidR="00711444" w:rsidRPr="004D0DAA" w:rsidRDefault="00711444" w:rsidP="00711444">
      <w:r w:rsidRPr="004D0DAA">
        <w:t>On receipt of a PACKET CHANNEL REQUEST message with establishment cause indicating "Two Phase Access Request" , "Single block without TBF establishment" or "Single block MBMS access", the network may allocate a single radio block on an uplink PDCH. In order to force the mobile station to make a two phase access, the network may allocate a single radio block on an uplink PDCH on receipt of a PACKET CHANNEL REQUEST message with any of the other access types.</w:t>
      </w:r>
    </w:p>
    <w:p w14:paraId="2EBDE2CE" w14:textId="77777777" w:rsidR="00711444" w:rsidRPr="004D0DAA" w:rsidRDefault="00711444" w:rsidP="00711444">
      <w:r w:rsidRPr="004D0DAA">
        <w:t>On receipt of an EGPRS PACKET CHANNEL REQUEST message with establishment cause indicating "Two Phase Access Request", the network may allocate a Multi Block allocation on an uplink PDCH. In order to force the mobile station to make a two phase access, the network may allocate a Multi Block allocation on an uplink PDCH on receipt of a EGPRS PACKET CHANNEL REQUEST message with any of the other access types.</w:t>
      </w:r>
    </w:p>
    <w:p w14:paraId="45B2B6CE" w14:textId="77777777" w:rsidR="00711444" w:rsidRPr="004D0DAA" w:rsidRDefault="00711444" w:rsidP="00711444">
      <w:r w:rsidRPr="004D0DAA">
        <w:t>If the mobile station has been allocated a single block (respectively a Multi Block allocation) in the PACKET UPLINK ASSIGNMENT message and the mobile station has not indicated "Single block without TBF establishment"</w:t>
      </w:r>
      <w:r w:rsidRPr="004D0DAA">
        <w:rPr>
          <w:sz w:val="16"/>
        </w:rPr>
        <w:t xml:space="preserve"> </w:t>
      </w:r>
      <w:r w:rsidRPr="004D0DAA">
        <w:t>(respectively "Two phase access") in the PACKET CHANNEL REQUEST (respectively EGPRS PACKET CHANNEL REQUEST) message or "Single block MBMS access" in the PACKET CHANNEL REQUEST message, the mobile station shall proceed with the two phase packet access procedure according to sub-clause 7.1.3 (</w:t>
      </w:r>
      <w:r w:rsidRPr="004D0DAA">
        <w:rPr>
          <w:i/>
        </w:rPr>
        <w:t>A/Gb mode</w:t>
      </w:r>
      <w:r w:rsidRPr="004D0DAA">
        <w:t>).</w:t>
      </w:r>
    </w:p>
    <w:p w14:paraId="741BCFA1" w14:textId="77777777" w:rsidR="00711444" w:rsidRPr="004D0DAA" w:rsidRDefault="00711444" w:rsidP="00711444">
      <w:r w:rsidRPr="004D0DAA">
        <w:t>If the mobile station has been allocated a single block in the PACKET UPLINK ASSIGNMENT message and the purpose of the packet access procedure is to send a Measurement Report message and the mobile station has indicated "Single block without TBF establishment" in the PACKET CHANNEL REQUEST message, the mobile station shall proceed according to sub-clause 7.3.1.</w:t>
      </w:r>
    </w:p>
    <w:p w14:paraId="69F948AD" w14:textId="77777777" w:rsidR="00711444" w:rsidRPr="004D0DAA" w:rsidRDefault="00711444" w:rsidP="00711444">
      <w:r w:rsidRPr="004D0DAA">
        <w:t>If the mobile station has been allocated a single block in the PACKET UPLINK ASSIGNMENT message and the purpose of the packet access procedure is to send a PACKET PAUSE message and the mobile station has indicated "Single block without TBF establishment" in the PACKET CHANNEL REQUEST message,</w:t>
      </w:r>
      <w:r w:rsidRPr="004D0DAA">
        <w:rPr>
          <w:sz w:val="16"/>
        </w:rPr>
        <w:t xml:space="preserve"> </w:t>
      </w:r>
      <w:r w:rsidRPr="004D0DAA">
        <w:t>the mobile station shall proceed according to sub-clause 7.6.</w:t>
      </w:r>
    </w:p>
    <w:p w14:paraId="1B65F1FC" w14:textId="77777777" w:rsidR="00711444" w:rsidRPr="004D0DAA" w:rsidRDefault="00711444" w:rsidP="00711444">
      <w:r w:rsidRPr="004D0DAA">
        <w:t>If the mobile station has been allocated a single block in the PACKET UPLINK ASSIGNMENT message and the purpose of the packet access procedure is to send an MBMS SERVICE REQUEST message and the mobile station has indicated "Single block MBMS access" in the PACKET CHANNEL REQUEST message,</w:t>
      </w:r>
      <w:r w:rsidRPr="004D0DAA">
        <w:rPr>
          <w:sz w:val="16"/>
        </w:rPr>
        <w:t xml:space="preserve"> </w:t>
      </w:r>
      <w:r w:rsidRPr="004D0DAA">
        <w:t>the mobile station shall proceed according to sub-clause 7.7.1.2.2.</w:t>
      </w:r>
    </w:p>
    <w:p w14:paraId="310121EC" w14:textId="77777777" w:rsidR="00711444" w:rsidRPr="004D0DAA" w:rsidRDefault="00711444" w:rsidP="00711444">
      <w:pPr>
        <w:pStyle w:val="Heading5"/>
      </w:pPr>
      <w:bookmarkStart w:id="151" w:name="_Toc516669339"/>
      <w:r w:rsidRPr="004D0DAA">
        <w:t>7.1.2.2.1a</w:t>
      </w:r>
      <w:r w:rsidRPr="004D0DAA">
        <w:tab/>
        <w:t>Acquisition of MS Radio Access Capability information within EGPRS TBF establishment procedure</w:t>
      </w:r>
      <w:bookmarkEnd w:id="151"/>
    </w:p>
    <w:p w14:paraId="137F1841" w14:textId="77777777" w:rsidR="00711444" w:rsidRPr="004D0DAA" w:rsidRDefault="00711444" w:rsidP="00711444">
      <w:pPr>
        <w:spacing w:after="120"/>
      </w:pPr>
      <w:r w:rsidRPr="004D0DAA">
        <w:t>When assigning an EGPRS TBF, the network may request information about radio access capabilities of the mobile station on one or several frequency bands within the PACKET UPLINK ASSIGNMENT message; the list of frequency bands is ordered by the network starting with the most important and ending with the least important one. The mobile station shall provide the network with its radio access capabilities for the frequency bands it supports, in the same priority order as the one specified by the network, by sending a PACKET RESOURCE REQUEST message, and an ADDITIONAL MS RADIO ACCESS CAPABILITIES message if all the requested information does not fit in the PACKET RESOURCE REQUEST. If the mobile station does not support any frequency band requested by the network, it shall report its radio access capabilities for the BCCH frequency band. The mobile station shall indicate in the PACKET RESOURCE REQUEST if it will send more information about its radio access capabilities in the ADDITIONAL MS RADIO ACCESS CAPABILITIES message. The PACKET RESOURCE REQUEST and the ADDITIONAL MS RADIO ACCESS CAPABILITIES messages shall be sent within the one or two first radio blocks allocated for the mobile station on the assigned PDCH. The mobile station shall include the TLLI in these two messages until contention resolution. After that, the mobile station may use either the uplink TFI or the TLLI when these messages are repeated.</w:t>
      </w:r>
    </w:p>
    <w:p w14:paraId="0DD22DF6" w14:textId="77777777" w:rsidR="00711444" w:rsidRPr="004D0DAA" w:rsidRDefault="00711444" w:rsidP="00711444">
      <w:r w:rsidRPr="004D0DAA">
        <w:lastRenderedPageBreak/>
        <w:t>When constructing the PACKET RESOURCE REQUEST and ADDITIONAL MS RADIO ACCESS CAPABILITIES messages the mobile station shall take care that these messages fit in one UL radio block each. See sub-clause 12.30 for additional restrictions regarding how information for a given access technology type is to be provided using these messages.</w:t>
      </w:r>
    </w:p>
    <w:p w14:paraId="533A009F" w14:textId="77777777" w:rsidR="00711444" w:rsidRPr="004D0DAA" w:rsidRDefault="00711444" w:rsidP="00711444">
      <w:pPr>
        <w:spacing w:after="120"/>
      </w:pPr>
      <w:r w:rsidRPr="004D0DAA">
        <w:t>The network may request a retransmission of the PACKET RESOURCE REQUEST and the ADDITIONAL MS RADIO ACCESS CAPABILITIES messages. A request for retransmission of one or both of these messages shall be indicated in the PACKET UPLINK ACK/NACK or the PACKET UPLINK ASSIGNMENT message. The mobile station has to indicate within the PACKET RESOURCE REQUEST message if the message is a retransmitted one. For the case of message retransmission the most recently sent instance of these messages shall be retransmitted. If these messages have not already been sent by the MS during the establishment (two phase access) or after the establishment (one phase access) of the corresponding uplink TBF then the request shall be ignored.</w:t>
      </w:r>
    </w:p>
    <w:p w14:paraId="7336ADD3" w14:textId="77777777" w:rsidR="00711444" w:rsidRPr="004D0DAA" w:rsidRDefault="00711444" w:rsidP="00711444">
      <w:pPr>
        <w:pStyle w:val="Heading5"/>
      </w:pPr>
      <w:bookmarkStart w:id="152" w:name="_Toc516669340"/>
      <w:r w:rsidRPr="004D0DAA">
        <w:t>7.1.2.2.2</w:t>
      </w:r>
      <w:r w:rsidRPr="004D0DAA">
        <w:tab/>
        <w:t>Packet access queuing notification procedure</w:t>
      </w:r>
      <w:bookmarkEnd w:id="152"/>
    </w:p>
    <w:p w14:paraId="13B75E3B" w14:textId="77777777" w:rsidR="00711444" w:rsidRPr="004D0DAA" w:rsidRDefault="00711444" w:rsidP="00711444">
      <w:r w:rsidRPr="004D0DAA">
        <w:t>The network may send to the mobile station a PACKET QUEUING NOTIFICATION message. The PACKET QUEUING NOTIFICATION message shall be sent on the same PCCCH on which the network has received the PACKET CHANNEL REQUEST or EGPRS PACKET CHANNEL REQUEST message. It contains a Temporary Queuing Identity which is later used to identify the mobile station (either when polling or sending an assignment).</w:t>
      </w:r>
    </w:p>
    <w:p w14:paraId="7CA6CA88" w14:textId="77777777" w:rsidR="00711444" w:rsidRPr="004D0DAA" w:rsidRDefault="00711444" w:rsidP="00711444">
      <w:r w:rsidRPr="004D0DAA">
        <w:t>On receipt of a PACKET QUEUING NOTIFICATION message corresponding to one of its 3 last PACKET CHANNEL REQUEST or EGPRS PACKET CHANNEL REQUEST messages, the mobile station shall stop timers T3170 and T3186 if running, start timer T3162, and stop sending PACKET CHANNEL REQUEST or EGPRS PACKET CHANNEL REQUEST messages. It shall continue to listen to the full PCCCH corresponding to its PCCCH_GROUP. If the mobile station receives a PACKET QUEUING NOTIFICATION message while waiting for the TBF Starting Time of a valid PACKET UPLINK ASSIGNMENT message, the mobile station shall ignore the PACKET QUEUING NOTIFICATION message.</w:t>
      </w:r>
    </w:p>
    <w:p w14:paraId="25B4C017" w14:textId="77777777" w:rsidR="00711444" w:rsidRPr="004D0DAA" w:rsidRDefault="00711444" w:rsidP="00711444">
      <w:r w:rsidRPr="004D0DAA">
        <w:t>The network may send to the mobile station a PACKET UPLINK ASSIGNMENT message following a PACKET QUEUING NOTIFICATION message. In this case, the reference address to the mobile station shall be the Temporary Queuing Identity received in the PACKET QUEUING NOTIFICATION message.</w:t>
      </w:r>
    </w:p>
    <w:p w14:paraId="2239EF6D" w14:textId="77777777" w:rsidR="00711444" w:rsidRPr="004D0DAA" w:rsidRDefault="00711444" w:rsidP="00711444">
      <w:r w:rsidRPr="004D0DAA">
        <w:t>On receipt of a PACKET UPLINK ASSIGNMENT message following a PACKET QUEUING NOTIFICATION message, the mobile station shall stop timer T3162 and follow the procedures defined in sub-clause 7.1.2.2.1.</w:t>
      </w:r>
    </w:p>
    <w:p w14:paraId="23A2DD80" w14:textId="77777777" w:rsidR="00711444" w:rsidRPr="004D0DAA" w:rsidRDefault="00711444" w:rsidP="00711444">
      <w:r w:rsidRPr="004D0DAA">
        <w:t>At expiry of timer T3162, the packet access procedure shall be aborted and a packet access failure shall be indicated to the upper layer and the mobile station shall return to packet idle mode or MAC-Idle state.</w:t>
      </w:r>
    </w:p>
    <w:p w14:paraId="3A18341E" w14:textId="77777777" w:rsidR="00711444" w:rsidRPr="004D0DAA" w:rsidRDefault="00711444" w:rsidP="00711444">
      <w:r w:rsidRPr="004D0DAA">
        <w:t>If the mobile station receives a PACKET DOWNLINK ASSIGNMENT message, it shall abort the packet access queuing notification procedure and respond to the PACKET DOWNLINK ASSIGNMENT message (see sub-clause 7.2.1). The mobile station shall then attempt establishment of an uplink TBF using the procedures defined in sub-clause 8.1.2.5.</w:t>
      </w:r>
    </w:p>
    <w:p w14:paraId="4D943AB7" w14:textId="77777777" w:rsidR="00711444" w:rsidRPr="004D0DAA" w:rsidRDefault="00711444" w:rsidP="00711444">
      <w:pPr>
        <w:pStyle w:val="Heading5"/>
      </w:pPr>
      <w:bookmarkStart w:id="153" w:name="_Toc516669341"/>
      <w:r w:rsidRPr="004D0DAA">
        <w:t>7.1.2.2.3</w:t>
      </w:r>
      <w:r w:rsidRPr="004D0DAA">
        <w:tab/>
        <w:t>Packet polling procedure</w:t>
      </w:r>
      <w:bookmarkEnd w:id="153"/>
    </w:p>
    <w:p w14:paraId="4A9D53D3" w14:textId="77777777" w:rsidR="00711444" w:rsidRPr="004D0DAA" w:rsidRDefault="00711444" w:rsidP="00711444">
      <w:pPr>
        <w:keepNext/>
        <w:keepLines/>
      </w:pPr>
      <w:r w:rsidRPr="004D0DAA">
        <w:t>The network may send to the mobile station a PACKET POLLING REQUEST message after having sent a PACKET QUEUING NOTIFICATION message. The PACKET POLLING REQUEST message shall be sent on the same PDCH on which the network has received the PACKET CHANNEL REQUEST or EGPRS PACKET CHANNEL REQUEST message. The mobile station shall be addressed by the Temporary Queuing Identity.</w:t>
      </w:r>
    </w:p>
    <w:p w14:paraId="10A59B39" w14:textId="77777777" w:rsidR="00711444" w:rsidRPr="004D0DAA" w:rsidRDefault="00711444" w:rsidP="00711444">
      <w:r w:rsidRPr="004D0DAA">
        <w:t>On receipt of a PACKET POLLING REQUEST message, the mobile station shall respond to the network with the PACKET CONTROL ACKNOWLEDGEMENT message in the reserved uplink radio block specified by the RRBP field. The reserved block is considered as a one block PACCH allocation.</w:t>
      </w:r>
    </w:p>
    <w:p w14:paraId="3C409DD1" w14:textId="77777777" w:rsidR="00711444" w:rsidRPr="004D0DAA" w:rsidRDefault="00711444" w:rsidP="00711444">
      <w:pPr>
        <w:pStyle w:val="Heading5"/>
      </w:pPr>
      <w:bookmarkStart w:id="154" w:name="_Toc516669342"/>
      <w:r w:rsidRPr="004D0DAA">
        <w:t>7.1.2.2.4</w:t>
      </w:r>
      <w:r w:rsidRPr="004D0DAA">
        <w:tab/>
        <w:t>Packet access reject procedure</w:t>
      </w:r>
      <w:bookmarkEnd w:id="154"/>
    </w:p>
    <w:p w14:paraId="15F3390A" w14:textId="77777777" w:rsidR="00711444" w:rsidRPr="004D0DAA" w:rsidRDefault="00711444" w:rsidP="00711444">
      <w:r w:rsidRPr="004D0DAA">
        <w:t>The network may, as response to a PACKET CHANNEL REQUEST or EGPRS PACKET CHANNEL REQUEST message, send to the mobile station a PACKET ACCESS REJECT message on any PAGCH block on the same PCCCH on which the channel request message was received. This message contains the request reference with time of reception of the PACKET CHANNEL REQUEST or EGPRS PACKET CHANNEL REQUEST message and optionally a WAIT_INDICATION field in the Reject structure of the PACKET ACCESS REJECT message.</w:t>
      </w:r>
    </w:p>
    <w:p w14:paraId="2EDFED81" w14:textId="77777777" w:rsidR="00711444" w:rsidRPr="004D0DAA" w:rsidRDefault="00711444" w:rsidP="00711444">
      <w:r w:rsidRPr="004D0DAA">
        <w:lastRenderedPageBreak/>
        <w:t>On receipt of a PACKET ACCESS REJECT message containing a Reject structure addressed to the mobile station, where the Packet Request Reference in the Reject structure corresponds to one of its 3 last PACKET CHANNEL REQUEST or EGPRS PACKET CHANNEL REQUEST messages:</w:t>
      </w:r>
    </w:p>
    <w:p w14:paraId="5FA74288" w14:textId="77777777" w:rsidR="00711444" w:rsidRPr="004D0DAA" w:rsidRDefault="00711444" w:rsidP="00711444">
      <w:pPr>
        <w:pStyle w:val="B1"/>
      </w:pPr>
      <w:r w:rsidRPr="004D0DAA">
        <w:t>-</w:t>
      </w:r>
      <w:r w:rsidRPr="004D0DAA">
        <w:tab/>
        <w:t>The mobile station shall stop timer T3186, stop sending PACKET CHANNEL REQUEST or EGPRS PACKET CHANNEL REQUEST messages, start timer T3172 with the value indicated in the WAIT_INDICATION field, start timer T3170 if it has not already been started and listen to the downlink PCCCH until timer T3170 expires. During this time, the mobile station shall ignore additional PACKET ACCESS REJECT messages, but on reception of any PACKET UPLINK ASSIGNMENT message corresponding to any other of its 3 last PACKET CHANNEL REQUEST or EGPRS PACKET CHANNEL REQUEST messages the mobile station shall stop timers T3170 and T3172 if running, and follow the procedure defined in sub-clause 7.1.2.2.1;</w:t>
      </w:r>
    </w:p>
    <w:p w14:paraId="2EB03EFD" w14:textId="77777777" w:rsidR="00711444" w:rsidRPr="004D0DAA" w:rsidRDefault="00711444" w:rsidP="00711444">
      <w:pPr>
        <w:pStyle w:val="B1"/>
      </w:pPr>
      <w:r w:rsidRPr="004D0DAA">
        <w:t>-</w:t>
      </w:r>
      <w:r w:rsidRPr="004D0DAA">
        <w:tab/>
        <w:t>If no PACKET UPLINK ASSIGNMENT message is received before expiration of timer T3170, the mobile station shall indicate a packet access failure to upper layer and return to packet idle mode (listening to its paging channel). As an option the mobile station may stop timer T3170, indicate a packet access failure to upper layer and return to packet idle mode as soon as it has received responses from the network on all or, in case more than 3 were sent, the last 3 of its PACKET CHANNEL REQUEST or EGPRS PACKET CHANNEL REQUEST messages;</w:t>
      </w:r>
    </w:p>
    <w:p w14:paraId="3A6D32BF" w14:textId="77777777" w:rsidR="00711444" w:rsidRPr="004D0DAA" w:rsidRDefault="00711444" w:rsidP="00711444">
      <w:pPr>
        <w:pStyle w:val="B1"/>
      </w:pPr>
      <w:r w:rsidRPr="004D0DAA">
        <w:t>-</w:t>
      </w:r>
      <w:r w:rsidRPr="004D0DAA">
        <w:tab/>
        <w:t>If an erroneous PACKET UPLINK ASSIGNMENT message (e.g. the mobile station has been assigned more PDCHs than it supports according to the relevant multislot configuration as defined in 3GPP TS 45.002) addressed to the mobile station is received before expiration of timer T3170, the mobile station shall stop T3170 and act as stated in sub-clause 7.1.4;</w:t>
      </w:r>
    </w:p>
    <w:p w14:paraId="0A40A421" w14:textId="77777777" w:rsidR="00711444" w:rsidRPr="004D0DAA" w:rsidRDefault="00711444" w:rsidP="00711444">
      <w:pPr>
        <w:pStyle w:val="B1"/>
      </w:pPr>
      <w:r w:rsidRPr="004D0DAA">
        <w:t>-</w:t>
      </w:r>
      <w:r w:rsidRPr="004D0DAA">
        <w:tab/>
        <w:t>If the mobile station receives a PACKET DOWNLINK ASSIGNMENT message, it shall stop timer T3170 if running and respond to the PACKET DOWNLINK ASSIGNMENT message (see sub-clause 7.2.1);</w:t>
      </w:r>
    </w:p>
    <w:p w14:paraId="6CE53830" w14:textId="77777777" w:rsidR="00711444" w:rsidRPr="004D0DAA" w:rsidRDefault="00711444" w:rsidP="00711444">
      <w:pPr>
        <w:pStyle w:val="B1"/>
      </w:pPr>
      <w:r w:rsidRPr="004D0DAA">
        <w:t>-</w:t>
      </w:r>
      <w:r w:rsidRPr="004D0DAA">
        <w:tab/>
        <w:t xml:space="preserve">The mobile station is not allowed to make a new attempt for packet access in the same cell until timer T3172 expires, but may attempt packet access in another cell after successful cell reselection for radio conditions reasons (see 3GPP TS 45.008). In </w:t>
      </w:r>
      <w:r w:rsidRPr="004D0DAA">
        <w:rPr>
          <w:i/>
        </w:rPr>
        <w:t>A/Gb mode</w:t>
      </w:r>
      <w:r w:rsidRPr="004D0DAA">
        <w:t>, a mobile station that is IMSI attached (GPRS class A or B mode of operation) may attempt to enter the dedicated mode in the same cell before timer T3172 has expired. During the time T3172 is running, the mobile station shall ignore all received PACKET PAGING REQUEST messages except paging requests sent to trigger RR connection establishment and paging requests sent to trigger the acquisition of an ETWS Primary Notification message;</w:t>
      </w:r>
    </w:p>
    <w:p w14:paraId="30A97E1A" w14:textId="77777777" w:rsidR="00711444" w:rsidRPr="004D0DAA" w:rsidRDefault="00711444" w:rsidP="00711444">
      <w:pPr>
        <w:pStyle w:val="B1"/>
      </w:pPr>
      <w:r w:rsidRPr="004D0DAA">
        <w:t>-</w:t>
      </w:r>
      <w:r w:rsidRPr="004D0DAA">
        <w:tab/>
        <w:t>The value of the WAIT_INDICATION field (i.e. timer T3172) relates to the cell from which it was received.</w:t>
      </w:r>
    </w:p>
    <w:p w14:paraId="71577E3D" w14:textId="77777777" w:rsidR="00711444" w:rsidRPr="004D0DAA" w:rsidRDefault="00711444" w:rsidP="00711444">
      <w:pPr>
        <w:pStyle w:val="Heading4"/>
      </w:pPr>
      <w:bookmarkStart w:id="155" w:name="_Toc516669343"/>
      <w:r w:rsidRPr="004D0DAA">
        <w:t>7.1.2.3</w:t>
      </w:r>
      <w:r w:rsidRPr="004D0DAA">
        <w:tab/>
        <w:t>Contention resolution at one phase access</w:t>
      </w:r>
      <w:bookmarkEnd w:id="155"/>
    </w:p>
    <w:p w14:paraId="4492DF59" w14:textId="77777777" w:rsidR="00711444" w:rsidRPr="004D0DAA" w:rsidRDefault="00711444" w:rsidP="00711444">
      <w:r w:rsidRPr="004D0DAA">
        <w:t>The TLLI is used to uniquely identify the mobile station when sending on uplink. Every RLC data block that is sent on the TBF shall include the TLLI of the mobile station, until the contention resolution is completed on the mobile station side. If MCS-7, MCS-8 or MCS-9 is used for the transmission of the TLLI in EGPRS TBF mode (i.e. the RLC/MAC block is carrying two RLC data blocks), the TLLI shall be inserted in both RLC data blocks. The TLLI shall also be included in the PACKET RESOURCE REQUEST and the ADDITIONAL MS RADIO ACCESS CAPABILITIES messages, if those are sent during the contention resolution.</w:t>
      </w:r>
    </w:p>
    <w:p w14:paraId="518F3678" w14:textId="77777777" w:rsidR="00711444" w:rsidRPr="004D0DAA" w:rsidRDefault="00711444" w:rsidP="00711444">
      <w:r w:rsidRPr="004D0DAA">
        <w:t>The retransmission of an RLC data block shall include the TLLI (or the TLLI and the PFI field), if the RLC data block was originally transmitted including these fields, also if the retransmission occurs after the completion of the contention resolution.</w:t>
      </w:r>
    </w:p>
    <w:p w14:paraId="7E296AF6" w14:textId="77777777" w:rsidR="00711444" w:rsidRPr="004D0DAA" w:rsidRDefault="00711444" w:rsidP="00711444">
      <w:r w:rsidRPr="004D0DAA">
        <w:t>At sending of the first RLC data block, the mobile station shall stop timer T3164, set counter N3104 to 1, and start timer T3166. The counter N3104 shall be stepped each time the mobile station sends an RLC/MAC block for data transfer.</w:t>
      </w:r>
    </w:p>
    <w:p w14:paraId="15F9699D" w14:textId="77777777" w:rsidR="00711444" w:rsidRPr="004D0DAA" w:rsidRDefault="00711444" w:rsidP="00711444">
      <w:r w:rsidRPr="004D0DAA">
        <w:t>The network shall respond by including the TLLI in the PACKET UPLINK ACK/NACK message after the first correctly received RLC data block that comprises the TLLI. In EGPRS TBF mode, the network may instead respond by addressing the mobile station with the TFI of the assigned TBF and including the TLLI (in the CONTENTION_RESOLUTION_TLLI field) in a PACKET UPLINK ASSIGNMENT message, if the resources allocated for the TBF need to be reallocated (see sub-clause 8.1.1.1.2).</w:t>
      </w:r>
    </w:p>
    <w:p w14:paraId="1C556475" w14:textId="77777777" w:rsidR="00711444" w:rsidRPr="004D0DAA" w:rsidRDefault="00711444" w:rsidP="00711444">
      <w:r w:rsidRPr="004D0DAA">
        <w:t>The contention resolution is completed on the network side when the network receives an RLC data block that comprises the TLLI value that identifies the mobile station and the TFI value associated with the TBF.</w:t>
      </w:r>
    </w:p>
    <w:p w14:paraId="12FBADBB" w14:textId="77777777" w:rsidR="00711444" w:rsidRPr="004D0DAA" w:rsidRDefault="00711444" w:rsidP="00711444">
      <w:r w:rsidRPr="004D0DAA">
        <w:t xml:space="preserve">The contention resolution is successfully completed on the mobile station side when the mobile station receives a PACKET UPLINK ACK/NACK message addressing the mobile station with the TFI value associated with the uplink </w:t>
      </w:r>
      <w:r w:rsidRPr="004D0DAA">
        <w:lastRenderedPageBreak/>
        <w:t>TBF and including the same TLLI value that the mobile station has included in the RLC header of the first RLC data blocks, or alternatively, in EGPRS TBF mode, a PACKET UPLINK ASSIGNMENT message addressing the mobile station with the TFI value associated with the uplink TBF and including the same TLLI value that the mobile station included in the RLC header of the first RLC data blocks. The mobile shall then stop timer T3166 and counter N3104.</w:t>
      </w:r>
    </w:p>
    <w:p w14:paraId="5C448E83" w14:textId="77777777" w:rsidR="00711444" w:rsidRPr="004D0DAA" w:rsidRDefault="00711444" w:rsidP="00711444">
      <w:r w:rsidRPr="004D0DAA">
        <w:t>The contention resolution has failed on the mobile station side when the counter N3104 reaches its maximum value, or timer T3166 expires. The contention resolution also fails, if the mobile station receives a PACKET UPLINK ACK/NACK message or in EGPRS TBF mode alternatively a PACKET UPLINK ASSIGNMENT message addressing the mobile station with the TFI associated with the uplink TBF and including a TLLI value other than that the mobile station included in the RLC header of the first RLC data blocks; in such a case, the mobile station shall not transmit a PACKET CONTROL ACKNOWLEDGEMENT in the uplink radio block specified if a valid RRBP field is received as part of the PACKET UPLINK ACK/NACK message or in EGPRS TBF mode alternatively as part of the PACKET UPLINK ASSIGNMENT message.</w:t>
      </w:r>
    </w:p>
    <w:p w14:paraId="4D1C1E8A" w14:textId="77777777" w:rsidR="00711444" w:rsidRPr="004D0DAA" w:rsidRDefault="00711444" w:rsidP="00711444">
      <w:r w:rsidRPr="004D0DAA">
        <w:t>In case of a contention resolution failure on the mobile station side, the mobile station shall reset the counter N3104 and stop timer T3166, if not expired. The mobile station shall stop transmitting on the TBF and reinitiate the packet access procedure, unless the packet access procedure has already been attempted four times. In that case, a TBF failure has occurred, see sub-clause 7.1.4.</w:t>
      </w:r>
    </w:p>
    <w:p w14:paraId="4ACC8400" w14:textId="77777777" w:rsidR="00711444" w:rsidRPr="004D0DAA" w:rsidRDefault="00711444" w:rsidP="00711444">
      <w:pPr>
        <w:pStyle w:val="Heading4"/>
      </w:pPr>
      <w:bookmarkStart w:id="156" w:name="_Toc516669344"/>
      <w:r w:rsidRPr="004D0DAA">
        <w:t>7.1.2.3a</w:t>
      </w:r>
      <w:r w:rsidRPr="004D0DAA">
        <w:tab/>
        <w:t>RLC/MAC procedures during contention resolution</w:t>
      </w:r>
      <w:bookmarkEnd w:id="156"/>
    </w:p>
    <w:p w14:paraId="22F0D51C" w14:textId="77777777" w:rsidR="00711444" w:rsidRPr="004D0DAA" w:rsidRDefault="00711444" w:rsidP="00711444">
      <w:r w:rsidRPr="004D0DAA">
        <w:t>During the contention resolution, the mobile station may receive a non-distribution RLC/MAC control message addressing the mobile station by TLLI, or the TFI value associated with the uplink TBF. The mobile station shall act on that message using the procedure defined for the message when it is received in packet transfer mode during operation on an uplink TBF (see clause 8), with the following restrictions:</w:t>
      </w:r>
    </w:p>
    <w:p w14:paraId="0C2C563C" w14:textId="77777777" w:rsidR="00711444" w:rsidRPr="004D0DAA" w:rsidRDefault="00711444" w:rsidP="00711444">
      <w:pPr>
        <w:pStyle w:val="B1"/>
      </w:pPr>
      <w:r w:rsidRPr="004D0DAA">
        <w:t>-</w:t>
      </w:r>
      <w:r w:rsidRPr="004D0DAA">
        <w:tab/>
        <w:t>The mobile station shall not accept a PACKET MEASUREMENT ORDER message, a PACKET CELL CHANGE ORDER message and a PACKET POWER CONTROL/TIMING ADVANCE message addressing the mobile station with the TFI value associated with the uplink TBF;</w:t>
      </w:r>
    </w:p>
    <w:p w14:paraId="1BF50514" w14:textId="77777777" w:rsidR="00711444" w:rsidRPr="004D0DAA" w:rsidRDefault="00711444" w:rsidP="00711444">
      <w:pPr>
        <w:pStyle w:val="B1"/>
      </w:pPr>
      <w:r w:rsidRPr="004D0DAA">
        <w:t>-</w:t>
      </w:r>
      <w:r w:rsidRPr="004D0DAA">
        <w:tab/>
        <w:t>The mobile station shall not accept a PACKET DOWNLINK ASSIGNMENT or a PACKET TIMESLOT RECONFIGURE message.</w:t>
      </w:r>
    </w:p>
    <w:p w14:paraId="21D09C78" w14:textId="77777777" w:rsidR="00711444" w:rsidRPr="004D0DAA" w:rsidRDefault="00711444" w:rsidP="00711444">
      <w:r w:rsidRPr="004D0DAA">
        <w:t>If a valid RRBP field is received as part of the RLC/MAC control block, the mobile station shall transmit a PACKET CONTROL ACKNOWLEDGEMENT message in the uplink radio block specified (see sub-clause 10.4.5) if it acts on the message; the mobile station may transmit a PACKET CONTROL ACKNOWLEDGEMENT message in the uplink radio block specified if it does not act on the message.</w:t>
      </w:r>
    </w:p>
    <w:p w14:paraId="5B0F7704" w14:textId="77777777" w:rsidR="00711444" w:rsidRPr="004D0DAA" w:rsidRDefault="00711444" w:rsidP="00711444">
      <w:r w:rsidRPr="004D0DAA">
        <w:t>If during the contention resolution, upper layers request the transfer of another upper layer PDU with a different PFI, a different Radio Priority, a different peak throughput class or a different RLC mode than the one which is in transfer, then the procedures as described in packet transfer mode (see sub-clause 8.1.1.1.2) shall be applied by the mobile station.</w:t>
      </w:r>
    </w:p>
    <w:p w14:paraId="7B55C2F8" w14:textId="77777777" w:rsidR="00711444" w:rsidRPr="004D0DAA" w:rsidRDefault="00711444" w:rsidP="00711444">
      <w:r w:rsidRPr="004D0DAA">
        <w:t>In either case, the mobile station shall continue with the contention resolution on the uplink TBF, till it either completes successfully or fails, or that the uplink TBF is released as a result of the procedure defined for the message that is received.</w:t>
      </w:r>
    </w:p>
    <w:p w14:paraId="2425A13A" w14:textId="77777777" w:rsidR="00711444" w:rsidRPr="004D0DAA" w:rsidRDefault="00711444" w:rsidP="00711444">
      <w:pPr>
        <w:pStyle w:val="Heading4"/>
      </w:pPr>
      <w:bookmarkStart w:id="157" w:name="_Toc516669345"/>
      <w:r w:rsidRPr="004D0DAA">
        <w:t>7.1.2.4</w:t>
      </w:r>
      <w:r w:rsidRPr="004D0DAA">
        <w:tab/>
        <w:t>One phase packet access completion</w:t>
      </w:r>
      <w:bookmarkEnd w:id="157"/>
    </w:p>
    <w:p w14:paraId="52A6EEBC" w14:textId="77777777" w:rsidR="00711444" w:rsidRPr="004D0DAA" w:rsidRDefault="00711444" w:rsidP="00711444">
      <w:r w:rsidRPr="004D0DAA">
        <w:t>The one phase packet access procedure is completed upon a successful contention resolution. The mobile station has entered the packet transfer mode or MAC-Shared state.</w:t>
      </w:r>
    </w:p>
    <w:p w14:paraId="692172C5" w14:textId="77777777" w:rsidR="00711444" w:rsidRPr="004D0DAA" w:rsidRDefault="00711444" w:rsidP="00711444">
      <w:pPr>
        <w:pStyle w:val="Heading4"/>
      </w:pPr>
      <w:bookmarkStart w:id="158" w:name="_Toc516669346"/>
      <w:r w:rsidRPr="004D0DAA">
        <w:t>7.1.2.5</w:t>
      </w:r>
      <w:r w:rsidRPr="004D0DAA">
        <w:tab/>
        <w:t>Timing Advance</w:t>
      </w:r>
      <w:bookmarkEnd w:id="158"/>
    </w:p>
    <w:p w14:paraId="433CCC8D" w14:textId="77777777" w:rsidR="00711444" w:rsidRPr="004D0DAA" w:rsidRDefault="00711444" w:rsidP="00711444">
      <w:r w:rsidRPr="004D0DAA">
        <w:t>Initial timing advance may be provided in the PACKET UPLINK ASSIGNMENT in the TIMING_ADVANCE_VALUE field.</w:t>
      </w:r>
    </w:p>
    <w:p w14:paraId="0E802706" w14:textId="77777777" w:rsidR="00711444" w:rsidRPr="004D0DAA" w:rsidRDefault="00711444" w:rsidP="00711444">
      <w:r w:rsidRPr="004D0DAA">
        <w:t xml:space="preserve">Thereafter either the timing advance is updated with a PACKET POWER CONTROL/TIMING ADVANCE message or a continuous timing advance procedure is used. If a Timing Advance Index is included in the assignment message, the mobile station shall use the continuous timing advance procedure, using its allocation on PTCCH (see 3GPP TS 45.010). Otherwise, the continuous timing advance procedure shall not be used. For the case where a TIMING_ADVANCE_VALUE field is not provided in the assignment message, the mobile station is not allowed to </w:t>
      </w:r>
      <w:r w:rsidRPr="004D0DAA">
        <w:lastRenderedPageBreak/>
        <w:t>send normal bursts on the uplink until it receives a valid timing advance either through the continuous timing advance procedure or in a PACKET POWER CONTROL/TIMING ADVANCE message.</w:t>
      </w:r>
    </w:p>
    <w:p w14:paraId="6565D6F0" w14:textId="77777777" w:rsidR="00711444" w:rsidRPr="004D0DAA" w:rsidRDefault="00711444" w:rsidP="00711444">
      <w:r w:rsidRPr="004D0DAA">
        <w:t>In the case of a mobile station with a Downlink Dual Carrier configuration where the continuous timing advance procedure is used there is no explicit indication of the carrier on which the PTCCH is allocated, and the mobile station shall consider the PTCCH allocation to be on carrier 1 (see sub-clause 5.5.1.7). If a mobile station with a Downlink Dual Carrier configuration subsequently receives an assignment message which results in the mobile station no longer being in a Downlink Dual Carrier configuration (but still in packet transfer mode), the mobile station shall consider the PTCCH allocation to be on the carrier on which packet resources are assigned.</w:t>
      </w:r>
    </w:p>
    <w:p w14:paraId="0EF39327" w14:textId="77777777" w:rsidR="00711444" w:rsidRPr="004D0DAA" w:rsidRDefault="00711444" w:rsidP="00711444">
      <w:r w:rsidRPr="004D0DAA">
        <w:t>In the case of a mobile station in a DLMC configuration where the continuous timing advance procedure is used the assignment message indicates the carrier on which the PTCCH is allocated. If a mobile station in a DLMC configuration subsequently receives an assignment message that results in the mobile station no longer being in a DLMC configuration (but still in packet transfer mode), the mobile station shall consider the PTCCH allocation to be on the carrier on which packet resources are assigned.</w:t>
      </w:r>
    </w:p>
    <w:p w14:paraId="3160EA1A" w14:textId="77777777" w:rsidR="00711444" w:rsidRPr="004D0DAA" w:rsidRDefault="00711444" w:rsidP="00711444">
      <w:pPr>
        <w:pStyle w:val="Heading4"/>
      </w:pPr>
      <w:bookmarkStart w:id="159" w:name="_Toc516669347"/>
      <w:r w:rsidRPr="004D0DAA">
        <w:t>7.1.2.6</w:t>
      </w:r>
      <w:r w:rsidRPr="004D0DAA">
        <w:tab/>
        <w:t>PFC procedure at one phase access</w:t>
      </w:r>
      <w:bookmarkEnd w:id="159"/>
    </w:p>
    <w:p w14:paraId="6E01C45B" w14:textId="77777777" w:rsidR="00711444" w:rsidRPr="004D0DAA" w:rsidRDefault="00711444" w:rsidP="00711444">
      <w:r w:rsidRPr="004D0DAA">
        <w:t>If the PFC_FEATURE_MODE</w:t>
      </w:r>
      <w:r w:rsidRPr="004D0DAA">
        <w:rPr>
          <w:b/>
        </w:rPr>
        <w:t xml:space="preserve"> </w:t>
      </w:r>
      <w:r w:rsidRPr="004D0DAA">
        <w:t>field indicates that the network supports PFC procedures in the system information and if a PFC exists for the LLC data to be transferred then the PFI shall be transmitted along with the TLLI of the mobile station in the RLC extended header during contention resolution. If the PFC_FEATURE_MODE</w:t>
      </w:r>
      <w:r w:rsidRPr="004D0DAA">
        <w:rPr>
          <w:b/>
        </w:rPr>
        <w:t xml:space="preserve"> </w:t>
      </w:r>
      <w:r w:rsidRPr="004D0DAA">
        <w:t>field indicates that the network does not support PFC procedures, the mobile station shall not indicate a PFI value. If no valid PFI is assigned, the default mapping defined in sub-clause 5.5.1.9 shall be used. The PFI is not used for contention resolution but is included to indicate to the network which PFC shall initially be associated with the uplink TBF.</w:t>
      </w:r>
    </w:p>
    <w:p w14:paraId="54D6B9E3" w14:textId="77777777" w:rsidR="00711444" w:rsidRPr="004D0DAA" w:rsidRDefault="00711444" w:rsidP="00711444">
      <w:pPr>
        <w:pStyle w:val="Heading3"/>
      </w:pPr>
      <w:bookmarkStart w:id="160" w:name="_Toc516669348"/>
      <w:r w:rsidRPr="004D0DAA">
        <w:t>7.1.3</w:t>
      </w:r>
      <w:r w:rsidRPr="004D0DAA">
        <w:tab/>
        <w:t>TBF establishment using two phase access</w:t>
      </w:r>
      <w:bookmarkEnd w:id="160"/>
    </w:p>
    <w:p w14:paraId="4CA629C8" w14:textId="77777777" w:rsidR="00711444" w:rsidRPr="004D0DAA" w:rsidRDefault="00711444" w:rsidP="00711444">
      <w:r w:rsidRPr="004D0DAA">
        <w:t>The two phase access procedure defined in this sub-clause, is applicable also in the case when no PCCCH is provided in the cell. For that case, the first phase is defined in 3GPP TS 44.018.</w:t>
      </w:r>
    </w:p>
    <w:p w14:paraId="1D9DC236" w14:textId="77777777" w:rsidR="00711444" w:rsidRPr="004D0DAA" w:rsidRDefault="00711444" w:rsidP="00711444">
      <w:pPr>
        <w:pStyle w:val="Heading4"/>
      </w:pPr>
      <w:bookmarkStart w:id="161" w:name="_Toc516669349"/>
      <w:r w:rsidRPr="004D0DAA">
        <w:t>7.1.3.1</w:t>
      </w:r>
      <w:r w:rsidRPr="004D0DAA">
        <w:tab/>
        <w:t>Initiation of the Packet resource request procedure</w:t>
      </w:r>
      <w:bookmarkEnd w:id="161"/>
    </w:p>
    <w:p w14:paraId="48306251" w14:textId="77777777" w:rsidR="00711444" w:rsidRPr="004D0DAA" w:rsidRDefault="00711444" w:rsidP="00711444">
      <w:pPr>
        <w:keepNext/>
        <w:keepLines/>
      </w:pPr>
      <w:r w:rsidRPr="004D0DAA">
        <w:t>In the first phase of a two phase access in a cell provided with a PCCCH, the same procedures as for one phase access are used until the network sends a PACKET UPLINK ASSIGNMENT message including a Single Block Allocation struct or Multi Block Allocation struct, denoting two phase access to the mobile station. The Multi Block Allocation struct may be used only if the mobile station has EGPRS capability (i.e. the network received an EGPRS PACKET CHANNEL REQUEST message from the mobile station). In the PACKET UPLINK ASSIGNMENT message, the network reserves a limited resource on one PDCH to the mobile station where the mobile station may transmit a PACKET RESOURCE REQUEST message and optionally an ADDITIONAL MS RADIO ACCESS CAPABILITIES message.</w:t>
      </w:r>
    </w:p>
    <w:p w14:paraId="033888F5" w14:textId="77777777" w:rsidR="00711444" w:rsidRPr="004D0DAA" w:rsidRDefault="00711444" w:rsidP="00711444">
      <w:r w:rsidRPr="004D0DAA">
        <w:t>If PCCCH is provided in the cell, a two phase access can be initiated:</w:t>
      </w:r>
    </w:p>
    <w:p w14:paraId="2AEAD614" w14:textId="77777777" w:rsidR="00711444" w:rsidRPr="004D0DAA" w:rsidRDefault="00711444" w:rsidP="00711444">
      <w:pPr>
        <w:pStyle w:val="B1"/>
      </w:pPr>
      <w:r w:rsidRPr="004D0DAA">
        <w:t>-</w:t>
      </w:r>
      <w:r w:rsidRPr="004D0DAA">
        <w:tab/>
        <w:t>by the network by ordering the mobile station to send a PACKET RESOURCE REQUEST message. The order is sent implicitly to the mobile station in the PACKET UPLINK ASSIGNMENT message by including either the Single Block Allocation struct or Multi Block Allocation struct;</w:t>
      </w:r>
    </w:p>
    <w:p w14:paraId="0E238427" w14:textId="77777777" w:rsidR="00711444" w:rsidRPr="004D0DAA" w:rsidRDefault="00711444" w:rsidP="00711444">
      <w:pPr>
        <w:pStyle w:val="B1"/>
      </w:pPr>
      <w:r w:rsidRPr="004D0DAA">
        <w:t>-</w:t>
      </w:r>
      <w:r w:rsidRPr="004D0DAA">
        <w:tab/>
        <w:t>by a mobile station, by requiring a two phase access in the PACKET CHANNEL REQUEST or EGPRS PACKET CHANNEL REQUEST message. In this case, if access is granted, the network shall order the mobile station to send a PACKET RESOURCE REQUEST message. The order is sent implicitly to the mobile station in the PACKET UPLINK ASSIGNMENT message by including the Single Block Allocation struct or Multi Block Allocation struct.</w:t>
      </w:r>
    </w:p>
    <w:p w14:paraId="03919035" w14:textId="77777777" w:rsidR="00711444" w:rsidRPr="004D0DAA" w:rsidRDefault="00711444" w:rsidP="00711444">
      <w:r w:rsidRPr="004D0DAA">
        <w:t>If no PCCCH is provided in the cell, a two phase access can be initiated by the network or by a mobile station, as defined in 3GPP TS 44.018.</w:t>
      </w:r>
    </w:p>
    <w:p w14:paraId="0255F209" w14:textId="77777777" w:rsidR="00711444" w:rsidRPr="004D0DAA" w:rsidRDefault="00711444" w:rsidP="00711444">
      <w:r w:rsidRPr="004D0DAA">
        <w:t>When the mobile station has received the PACKET UPLINK ASSIGNMENT message it shall respond with a PACKET RESOURCE REQUEST message in the first allocated radio block.</w:t>
      </w:r>
    </w:p>
    <w:p w14:paraId="36330043" w14:textId="77777777" w:rsidR="00711444" w:rsidRPr="004D0DAA" w:rsidRDefault="00711444" w:rsidP="00711444">
      <w:r w:rsidRPr="004D0DAA">
        <w:t>A mobile station supporting EGPRS shall indicate the EGPRS capability in the MS Radio Access Capability 2 IE of the PACKET RESOURCE REQUEST message.</w:t>
      </w:r>
    </w:p>
    <w:p w14:paraId="5D9DDEA3" w14:textId="77777777" w:rsidR="00711444" w:rsidRPr="004D0DAA" w:rsidRDefault="00711444" w:rsidP="00711444">
      <w:r w:rsidRPr="004D0DAA">
        <w:lastRenderedPageBreak/>
        <w:t xml:space="preserve">A mobile station supporting multiple TBF procedures shall set the Multiple TBF Capability flag in the </w:t>
      </w:r>
      <w:r w:rsidRPr="004D0DAA">
        <w:rPr>
          <w:i/>
          <w:iCs/>
        </w:rPr>
        <w:t>MS Radio Access Capability 2</w:t>
      </w:r>
      <w:r w:rsidRPr="004D0DAA">
        <w:t xml:space="preserve"> IE of the PACKET RESOURCE REQUEST message.</w:t>
      </w:r>
    </w:p>
    <w:p w14:paraId="0C72EAF6" w14:textId="77777777" w:rsidR="00711444" w:rsidRPr="004D0DAA" w:rsidRDefault="00711444" w:rsidP="00711444">
      <w:r w:rsidRPr="004D0DAA">
        <w:t xml:space="preserve">A mobile station attempting a packet access for the purpose of </w:t>
      </w:r>
      <w:r w:rsidRPr="004D0DAA">
        <w:rPr>
          <w:i/>
        </w:rPr>
        <w:t>NAS signalling</w:t>
      </w:r>
      <w:r w:rsidRPr="004D0DAA">
        <w:t xml:space="preserve"> </w:t>
      </w:r>
      <w:r w:rsidRPr="004D0DAA">
        <w:rPr>
          <w:i/>
        </w:rPr>
        <w:t>low priority</w:t>
      </w:r>
      <w:r w:rsidRPr="004D0DAA">
        <w:t xml:space="preserve"> (see 3GPP TS 24.008) shall set the </w:t>
      </w:r>
      <w:r w:rsidRPr="004D0DAA">
        <w:rPr>
          <w:i/>
        </w:rPr>
        <w:t>Low Access Priority Signalling</w:t>
      </w:r>
      <w:r w:rsidRPr="004D0DAA">
        <w:t xml:space="preserve"> field to "1" in the PACKET RESOURCE REQUEST message (see sub-clause 11.2.16). The </w:t>
      </w:r>
      <w:r w:rsidRPr="004D0DAA">
        <w:rPr>
          <w:i/>
        </w:rPr>
        <w:t>Low</w:t>
      </w:r>
      <w:r w:rsidRPr="004D0DAA">
        <w:t xml:space="preserve"> </w:t>
      </w:r>
      <w:r w:rsidRPr="004D0DAA">
        <w:rPr>
          <w:i/>
        </w:rPr>
        <w:t>Access Priority Signalling</w:t>
      </w:r>
      <w:r w:rsidRPr="004D0DAA">
        <w:t xml:space="preserve"> field shall be set to "0" if the PACKET RESOUCE REQUEST message is sent for any other reason and includes the </w:t>
      </w:r>
      <w:r w:rsidRPr="004D0DAA">
        <w:rPr>
          <w:i/>
        </w:rPr>
        <w:t>Low Access Priority Signalling</w:t>
      </w:r>
      <w:r w:rsidRPr="004D0DAA">
        <w:t xml:space="preserve"> field.</w:t>
      </w:r>
    </w:p>
    <w:p w14:paraId="2FAC8761" w14:textId="77777777" w:rsidR="00711444" w:rsidRPr="004D0DAA" w:rsidRDefault="00711444" w:rsidP="00711444">
      <w:r w:rsidRPr="004D0DAA">
        <w:t>When the mobile station switches to the assigned PDCH, it shall take the power control parameters received in the PACKET UPLINK ASSIGNMENT message into account, perform signal strength measurements and apply output power control procedures as they are defined for packet transfer mode (see 3GPP TS 45.008).</w:t>
      </w:r>
    </w:p>
    <w:p w14:paraId="08D26DEE" w14:textId="77777777" w:rsidR="00711444" w:rsidRPr="004D0DAA" w:rsidRDefault="00711444" w:rsidP="00711444">
      <w:r w:rsidRPr="004D0DAA">
        <w:t>At sending of the PACKET RESOURCE REQUEST message requesting a single uplink TBF, the mobile station shall start timer T3168. At sending of the PACKET RESOURCE REQUEST message requesting multiple TBFs, the mobile station shall start contention resolution timer T3188 and additionally one instance of T3168 for each of the resource requests for the transfer of upper layer PDUs. Furthermore, the mobile station shall not respond to PACKET DOWNLINK ASSIGNMENT or MULTIPLE TBF DOWNLINK ASSIGNMENT messages before contention resolution is completed on the mobile station side - but may acknowledge such messages if they contain a valid RRBP field.</w:t>
      </w:r>
    </w:p>
    <w:p w14:paraId="0BD00733" w14:textId="77777777" w:rsidR="00711444" w:rsidRPr="004D0DAA" w:rsidRDefault="00711444" w:rsidP="00711444">
      <w:r w:rsidRPr="004D0DAA">
        <w:t>The mobile station may indicate in the PACKET RESOURCE REQUEST message the number of octets of user data it has to transfer.</w:t>
      </w:r>
    </w:p>
    <w:p w14:paraId="46B0EACC" w14:textId="77777777" w:rsidR="00711444" w:rsidRPr="004D0DAA" w:rsidRDefault="00711444" w:rsidP="00711444">
      <w:pPr>
        <w:pStyle w:val="Heading4"/>
      </w:pPr>
      <w:bookmarkStart w:id="162" w:name="_Toc516669350"/>
      <w:r w:rsidRPr="004D0DAA">
        <w:t>7.1.3.2</w:t>
      </w:r>
      <w:r w:rsidRPr="004D0DAA">
        <w:tab/>
        <w:t>Packet resource assignment for uplink procedure</w:t>
      </w:r>
      <w:bookmarkEnd w:id="162"/>
    </w:p>
    <w:p w14:paraId="0C2C6197" w14:textId="77777777" w:rsidR="00711444" w:rsidRPr="004D0DAA" w:rsidRDefault="00711444" w:rsidP="00711444">
      <w:r w:rsidRPr="004D0DAA">
        <w:t xml:space="preserve">When assigning a Multi Block Allocation, the network may request information about radio access capabilities of the mobile station on one or several frequency bands within the PACKET UPLINK ASSIGNMENT message and allocate one or two radio blocks for uplink control messages accordingly; the list of frequency bands is ordered by the network starting with the most important and ending with the least important one. The mobile station shall provide the network with its radio access capabilities for the frequency bands it supports, in the same order of priority as specified by the network, by sending a PACKET RESOURCE REQUEST message in the first radio block on the assigned PDCH and an ADDITIONAL MS RADIO ACCESS CAPABILITIES message in the next radio block on the assigned PDCH, if the requested information does not fit in the PACKET RESOURCE REQUEST and two radio blocks have been allocated by the network. If the network does not provide an Access Technologies Request in the PACKET UPLINK ASSIGNMENT message or the mobile station does not support any frequency band requested by the network, it shall report its radio access capabilities for the frequency band of the BCCH carrier in the PACKET RESOURCE REQUEST message. </w:t>
      </w:r>
    </w:p>
    <w:p w14:paraId="1DA88A4A" w14:textId="77777777" w:rsidR="00711444" w:rsidRPr="004D0DAA" w:rsidRDefault="00711444" w:rsidP="00711444">
      <w:r w:rsidRPr="004D0DAA">
        <w:t>The mobile station shall indicate in the PACKET RESOURCE REQUEST message, by setting the ADDITIONAL MS RAC INFORMATION AVAILABLE bit, if it will send more information about its radio access capabilities in the ADDITIONAL MS RADIO ACCESS CAPABILITIES message if it has been allocated two radio blocks, or if it would have sent more information but has been allocated only one radio block. If the mobile station has been allocated two radio blocks and the requested information fit in the PACKET RESOURCE REQUEST message, no ADDITIONAL MS RADIO ACCESS CAPABILITIES message shall be sent. Instead, some uplink control block (e.g. packet measurement report, packet uplink dummy control block) may be sent by the mobile station.</w:t>
      </w:r>
    </w:p>
    <w:p w14:paraId="65CE07B5" w14:textId="77777777" w:rsidR="00711444" w:rsidRPr="004D0DAA" w:rsidRDefault="00711444" w:rsidP="00711444">
      <w:r w:rsidRPr="004D0DAA">
        <w:t>The network may indicate in the next PACKET UPLINK ASSIGNMENT or MULTIPLE TBF UPLINK ASSIGNMENT message a request for retransmission of the ADDITIONAL MS RADIO ACCESS CAPABILITIES message (see sub-clause 7.1.3.2.1).</w:t>
      </w:r>
    </w:p>
    <w:p w14:paraId="2C0A87E4" w14:textId="77777777" w:rsidR="00711444" w:rsidRPr="004D0DAA" w:rsidRDefault="00711444" w:rsidP="00711444">
      <w:r w:rsidRPr="004D0DAA">
        <w:t xml:space="preserve">When constructing the PACKET RESOURCE REQUEST and ADDITIONAL MS RADIO ACCESS CAPABILITIES messages the mobile station shall take care that these messages fit in one uplink radio block each (see sub-clause 7.1.2.2.1a). </w:t>
      </w:r>
    </w:p>
    <w:p w14:paraId="2B0C0734" w14:textId="77777777" w:rsidR="00711444" w:rsidRPr="004D0DAA" w:rsidRDefault="00711444" w:rsidP="00711444">
      <w:r w:rsidRPr="004D0DAA">
        <w:t>If the network indicates that it supports packet flow procedures via the PFC_FEATURE_MODE</w:t>
      </w:r>
      <w:r w:rsidRPr="004D0DAA">
        <w:rPr>
          <w:b/>
        </w:rPr>
        <w:t xml:space="preserve"> </w:t>
      </w:r>
      <w:r w:rsidRPr="004D0DAA">
        <w:t>in the system information, then the mobile station supporting PFC procedures shall</w:t>
      </w:r>
      <w:r w:rsidRPr="004D0DAA">
        <w:rPr>
          <w:sz w:val="16"/>
        </w:rPr>
        <w:t xml:space="preserve"> </w:t>
      </w:r>
      <w:r w:rsidRPr="004D0DAA">
        <w:t>indicate the initial PFI to be associated with the TBF in the PACKET RESOURCE REQUEST message. If the PFC_FEATURE_MODE</w:t>
      </w:r>
      <w:r w:rsidRPr="004D0DAA">
        <w:rPr>
          <w:b/>
        </w:rPr>
        <w:t xml:space="preserve"> </w:t>
      </w:r>
      <w:r w:rsidRPr="004D0DAA">
        <w:t>field indicates that the network does not support PFC procedures, the mobile station shall not indicate a PFI value. If no valid PFI is assigned, the default mapping defined in sub-clause 5.5.1.9 shall be used. If the mobile station requests multiple TBFs in the PACKET RESOURCE REQUEST message, it shall indicate the PFI to be associated with each TBF.</w:t>
      </w:r>
    </w:p>
    <w:p w14:paraId="077D1369" w14:textId="77777777" w:rsidR="00711444" w:rsidRPr="004D0DAA" w:rsidRDefault="00711444" w:rsidP="00711444">
      <w:r w:rsidRPr="004D0DAA">
        <w:t>Whenever the mobile station wants to pre-allocate an uplink TBF, it shall send a PACKET RESOURCE REQUEST message with the EARLY_TBF_ESTABLISHMENT field set to indicate pre-allocation is required.</w:t>
      </w:r>
    </w:p>
    <w:p w14:paraId="645E5B7D" w14:textId="77777777" w:rsidR="00711444" w:rsidRPr="004D0DAA" w:rsidRDefault="00711444" w:rsidP="00711444">
      <w:pPr>
        <w:pStyle w:val="Heading5"/>
      </w:pPr>
      <w:bookmarkStart w:id="163" w:name="_Toc516669351"/>
      <w:r w:rsidRPr="004D0DAA">
        <w:lastRenderedPageBreak/>
        <w:t>7.1.3.2.1</w:t>
      </w:r>
      <w:r w:rsidRPr="004D0DAA">
        <w:tab/>
        <w:t>On receipt of a PACKET RESOURCE REQUEST message</w:t>
      </w:r>
      <w:bookmarkEnd w:id="163"/>
    </w:p>
    <w:p w14:paraId="12E8BB08" w14:textId="77777777" w:rsidR="00711444" w:rsidRPr="004D0DAA" w:rsidRDefault="00711444" w:rsidP="00711444">
      <w:r w:rsidRPr="004D0DAA">
        <w:t>On receipt of a PACKET RESOURCE REQUEST message requesting a single uplink TBF scheduled with a Single Block or a Multi Block allocation, the network shall respond by sending a PACKET UPLINK ASSIGNMENT message (radio resources assignment on one or more PDCHs to be used by the mobile station for the TBF in EGPRS or GPRS TBF mode) or a PACKET ACCESS REJECT message to the mobile station on PACCH on the same PDCH on which the mobile station has sent the PACKET RESOURCE REQUEST message. If the mobile station supports RLC non-persistent mode the network may allocate an EGPRS TBF that uses this RLC mode.</w:t>
      </w:r>
    </w:p>
    <w:p w14:paraId="055BD59C" w14:textId="77777777" w:rsidR="00711444" w:rsidRPr="004D0DAA" w:rsidRDefault="00711444" w:rsidP="00711444">
      <w:r w:rsidRPr="004D0DAA">
        <w:t>On receipt of a PACKET RESOURCE REQUEST message requesting multiple uplink TBFs, the network shall respond by sending either a MULTIPLE TBF UPLINK ASSIGNMENT message or a PACKET ACCESS REJECT message to the mobile station on PACCH on the same PDCH on which the mobile station has sent the PACKET RESOURCE REQUEST message. These messages shall address (assign or reject) some or all of the resource requests in the PACKET RESOURCE REQUEST message. For the resource requests that have not been addressed by the first assignment or reject message, additional MULTIPLE TBF UPLINK ASSIGNMENT or PACKET ACCESS REJECT messages may be sent to the mobile station on the PACCH to which the mobile station has been assigned. If the mobile station supports RLC non-persistent mode the network may allocate one or more EGPRS TBFs that use this RLC mode.</w:t>
      </w:r>
    </w:p>
    <w:p w14:paraId="2F1E81E3" w14:textId="77777777" w:rsidR="00711444" w:rsidRPr="004D0DAA" w:rsidRDefault="00711444" w:rsidP="00711444">
      <w:r w:rsidRPr="004D0DAA">
        <w:t>If the received PACKET RESOURCE REQUEST message is indicating additional MS Radio Access Capabilities information available, the following additional requirements apply:</w:t>
      </w:r>
    </w:p>
    <w:p w14:paraId="4069AE7E" w14:textId="77777777" w:rsidR="00711444" w:rsidRPr="004D0DAA" w:rsidRDefault="00711444" w:rsidP="00711444">
      <w:pPr>
        <w:pStyle w:val="B1"/>
      </w:pPr>
      <w:r w:rsidRPr="004D0DAA">
        <w:t>-</w:t>
      </w:r>
      <w:r w:rsidRPr="004D0DAA">
        <w:tab/>
        <w:t>If the PACKET RESOURCE REQUEST message was scheduled with a Multi Block allocation of two blocks, the network shall respond by sending a PACKET UPLINK ASSIGNMENT or MULTIPLE TBF UPLINK ASSIGNMENT message after reception of the ADDITIONAL MS RADIO ACCESS CAPABILITIES message;</w:t>
      </w:r>
    </w:p>
    <w:p w14:paraId="3157E720" w14:textId="77777777" w:rsidR="00711444" w:rsidRPr="004D0DAA" w:rsidRDefault="00711444" w:rsidP="00711444">
      <w:pPr>
        <w:pStyle w:val="B1"/>
      </w:pPr>
      <w:r w:rsidRPr="004D0DAA">
        <w:t>-</w:t>
      </w:r>
      <w:r w:rsidRPr="004D0DAA">
        <w:tab/>
        <w:t>If the PACKET RESOURCE REQUEST message was scheduled with a Single Block allocation or with a Multi Block allocation of only one block, the network shall respond upon receipt by sending a PACKET UPLINK ASSIGNMENT or MULTIPLE TBF UPLINK ASSIGNMENT message. When assigning one or more EGPRS TBFs, the network may request additional information about radio access capabilities of the mobile station on one or several frequency bands within the PACKET UPLINK ASSIGNMENT or MULTIPLE TBF UPLINK ASSIGNMENT message; the list of frequency bands is ordered by the network starting with the most important and ending with the least important one. The mobile station shall provide the network with its radio access capabilities for the frequency bands it supports, in the same priority order as the one specified by the network, by sending an ADDITIONAL MS RADIO ACCESS CAPABILITIES message within the first radio block allocated to the mobile station on the assigned PDCH(s). When constructing the ADDITIONAL MS RADIO ACCESS CAPABILITIES message, the mobile station shall take care that this message fits in one uplink radio block (see sub-clause 7.1.2.2.1a). If the mobile station does not support any frequency band requested by the network, it shall report its radio access capabilities for the BCCH frequency band.</w:t>
      </w:r>
    </w:p>
    <w:p w14:paraId="144A77D1" w14:textId="77777777" w:rsidR="00711444" w:rsidRPr="004D0DAA" w:rsidRDefault="00711444" w:rsidP="00711444">
      <w:pPr>
        <w:keepNext/>
      </w:pPr>
      <w:r w:rsidRPr="004D0DAA">
        <w:t>In case the ADDITIONAL MS RADIO ACCESS CAPABILITIES message is not received correctly, the network may either:</w:t>
      </w:r>
    </w:p>
    <w:p w14:paraId="07E34174" w14:textId="77777777" w:rsidR="00711444" w:rsidRPr="004D0DAA" w:rsidRDefault="00711444" w:rsidP="00711444">
      <w:pPr>
        <w:pStyle w:val="B1"/>
      </w:pPr>
      <w:r w:rsidRPr="004D0DAA">
        <w:t>-</w:t>
      </w:r>
      <w:r w:rsidRPr="004D0DAA">
        <w:tab/>
        <w:t>send a PACKET UPLINK ASSIGNMENT or MULTIPLE TBF UPLINK ASSIGNMENT message assigning radio resources on one or more PDCHs to be used by the mobile station for the TBF(s) in EGPRS or GPRS TBF mode, based on the information the network has got, or let unchanged the already assigned PDCH(s);</w:t>
      </w:r>
    </w:p>
    <w:p w14:paraId="3452BF48" w14:textId="77777777" w:rsidR="00711444" w:rsidRPr="004D0DAA" w:rsidRDefault="00711444" w:rsidP="00711444">
      <w:pPr>
        <w:pStyle w:val="B1"/>
      </w:pPr>
      <w:r w:rsidRPr="004D0DAA">
        <w:t>-</w:t>
      </w:r>
      <w:r w:rsidRPr="004D0DAA">
        <w:tab/>
        <w:t>send a PACKET UPLINK ASSIGNMENT message assigning (or reassigning) radio resources on one or more PDCHs to be used by the mobile station for the TBF(s) in EGPRS TBF mode and request a retransmission of the ADDITIONAL MS RADIO ACCESS CAPABILITIES message.</w:t>
      </w:r>
    </w:p>
    <w:p w14:paraId="6580F336" w14:textId="77777777" w:rsidR="00711444" w:rsidRPr="004D0DAA" w:rsidRDefault="00711444" w:rsidP="00711444">
      <w:pPr>
        <w:keepNext/>
      </w:pPr>
      <w:r w:rsidRPr="004D0DAA">
        <w:t xml:space="preserve">In addition, in case the ADDITIONAL MS RADIO ACCESS CAPABILITIES message scheduled with a Multi Block allocation of two blocks is not received correctly, the network may either: </w:t>
      </w:r>
    </w:p>
    <w:p w14:paraId="1EFF5874" w14:textId="77777777" w:rsidR="00711444" w:rsidRPr="004D0DAA" w:rsidRDefault="00711444" w:rsidP="00711444">
      <w:pPr>
        <w:pStyle w:val="B1"/>
      </w:pPr>
      <w:r w:rsidRPr="004D0DAA">
        <w:t>-</w:t>
      </w:r>
      <w:r w:rsidRPr="004D0DAA">
        <w:tab/>
        <w:t>send a PACKET UPLINK ASSIGNMENT or MULTIPLE TBF UPLINK ASSIGNMENT message including a Multi Block allocation struct (allocating only one block) requesting a retransmission of the ADDITIONAL MS RADIO ACCESS CAPABILITIES message;</w:t>
      </w:r>
    </w:p>
    <w:p w14:paraId="44F11AF4" w14:textId="77777777" w:rsidR="00711444" w:rsidRPr="004D0DAA" w:rsidRDefault="00711444" w:rsidP="00711444">
      <w:pPr>
        <w:pStyle w:val="B1"/>
      </w:pPr>
      <w:r w:rsidRPr="004D0DAA">
        <w:t>-</w:t>
      </w:r>
      <w:r w:rsidRPr="004D0DAA">
        <w:tab/>
        <w:t>send a PACKET ACCESS REJECT message to the mobile station.</w:t>
      </w:r>
    </w:p>
    <w:p w14:paraId="70A3E10C" w14:textId="77777777" w:rsidR="00711444" w:rsidRPr="004D0DAA" w:rsidRDefault="00711444" w:rsidP="00711444">
      <w:r w:rsidRPr="004D0DAA">
        <w:t xml:space="preserve">On receipt of a PACKET UPLINK ASSIGNMENT or MULTIPLE TBF UPLINK ASSIGNMENT message where no TBF starting time is specified, the mobile station shall switch to the assigned PDCHs, stop T3168 for each resource request that is assigned a TBF in the PACKET UPLINK ASSIGNMENT or </w:t>
      </w:r>
      <w:r w:rsidRPr="004D0DAA">
        <w:rPr>
          <w:caps/>
        </w:rPr>
        <w:t>Multiple TBF Uplink Assignment</w:t>
      </w:r>
      <w:r w:rsidRPr="004D0DAA">
        <w:t xml:space="preserve"> message, and start timer T3164 for each allocated TBF if dynamic or extended dynamic allocation is assigned. If a TBF starting time is specified the mobile station shall stop T3168 for each resource request assigned a </w:t>
      </w:r>
      <w:r w:rsidRPr="004D0DAA">
        <w:lastRenderedPageBreak/>
        <w:t>TBF and wait until the indicated TBF starting time before switching to the assigned PDCHs and starting T3164 for each allocated TBF.</w:t>
      </w:r>
    </w:p>
    <w:p w14:paraId="59FD8477" w14:textId="77777777" w:rsidR="00711444" w:rsidRPr="004D0DAA" w:rsidRDefault="00711444" w:rsidP="00711444">
      <w:r w:rsidRPr="004D0DAA">
        <w:t>At sending of the first RLC data block on a TBF, the mobile station shall stop timer T3164 for that TBF.</w:t>
      </w:r>
    </w:p>
    <w:p w14:paraId="6DCFB3DA" w14:textId="77777777" w:rsidR="00711444" w:rsidRPr="004D0DAA" w:rsidRDefault="00711444" w:rsidP="00711444">
      <w:r w:rsidRPr="004D0DAA">
        <w:t xml:space="preserve">The mobile station may use information received on PBCCH, BCCH or a previous assignment message to decode the frequency parameters contained in the assignment message. If the mobile station detects an invalid Frequency Parameters information element in the assignment message, it shall abort the procedure, if required initiate a </w:t>
      </w:r>
      <w:r w:rsidRPr="004D0DAA">
        <w:rPr>
          <w:i/>
        </w:rPr>
        <w:t xml:space="preserve">partial acquisition </w:t>
      </w:r>
      <w:r w:rsidRPr="004D0DAA">
        <w:t>of PBCCH or BCCH information, and may then re-initiate the access on the PRACH.</w:t>
      </w:r>
    </w:p>
    <w:p w14:paraId="54339E3E" w14:textId="77777777" w:rsidR="00711444" w:rsidRPr="004D0DAA" w:rsidRDefault="00711444" w:rsidP="00711444">
      <w:r w:rsidRPr="004D0DAA">
        <w:t>On receipt of a PACKET ACCESS REJECT message that contains a Reject structure addressed to the mobile station, the mobile station shall stop timer T3168 and indicate a packet access failure to upper layer for each resource request which is rejected in the Reject structure.</w:t>
      </w:r>
    </w:p>
    <w:p w14:paraId="5B4A87AA" w14:textId="77777777" w:rsidR="00711444" w:rsidRPr="004D0DAA" w:rsidRDefault="00711444" w:rsidP="00711444">
      <w:r w:rsidRPr="004D0DAA">
        <w:t>If the PACKET ACCESS REJECT message contains a WAIT_INDICATION field in a Reject structure addressed to the mobile station, the mobile station shall start timer T3172 with the indicated value (Wait Indication). The mobile station is not allowed to make a new attempt for packet access in the same cell until timer T3172 expires, but may attempt packet access in another cell after successful cell reselection.</w:t>
      </w:r>
    </w:p>
    <w:p w14:paraId="5543681D" w14:textId="77777777" w:rsidR="00711444" w:rsidRPr="004D0DAA" w:rsidRDefault="00711444" w:rsidP="00711444">
      <w:r w:rsidRPr="004D0DAA">
        <w:t>When the network receives a Packet Flow Identifier (PFI) from the mobile then the network should handle the uplink transfer according the associated aggregate BSS QoS profile (ABQP). The Peak Throughput specified in the associated ABQP, available in the network, supersedes the Peak Throughput specified by the Channel Request Description IE.</w:t>
      </w:r>
    </w:p>
    <w:p w14:paraId="15FDF4D5" w14:textId="77777777" w:rsidR="00711444" w:rsidRPr="004D0DAA" w:rsidRDefault="00711444" w:rsidP="00711444">
      <w:r w:rsidRPr="004D0DAA">
        <w:t>When an uplink TBF is established in response to a PACKET RESOURCE REQUEST message with the EARLY_TBF_ESTABLISHMENT field set to indicate pre-allocation is required, a network supporting early TBF establishment should keep the uplink TBF open by means of the extended uplink TBF mode operation (see sub-clause 9.3.1b</w:t>
      </w:r>
      <w:r w:rsidRPr="004D0DAA">
        <w:rPr>
          <w:rFonts w:hint="eastAsia"/>
          <w:lang w:eastAsia="ko-KR"/>
        </w:rPr>
        <w:t>.</w:t>
      </w:r>
      <w:r w:rsidRPr="004D0DAA">
        <w:t xml:space="preserve">2). </w:t>
      </w:r>
    </w:p>
    <w:p w14:paraId="4AA6501E" w14:textId="77777777" w:rsidR="00711444" w:rsidRPr="004D0DAA" w:rsidRDefault="00711444" w:rsidP="00711444">
      <w:pPr>
        <w:pStyle w:val="Heading4"/>
      </w:pPr>
      <w:bookmarkStart w:id="164" w:name="_Toc516669352"/>
      <w:r w:rsidRPr="004D0DAA">
        <w:t>7.1.3.3</w:t>
      </w:r>
      <w:r w:rsidRPr="004D0DAA">
        <w:tab/>
        <w:t>Contention resolution at two phase access</w:t>
      </w:r>
      <w:bookmarkEnd w:id="164"/>
    </w:p>
    <w:p w14:paraId="695C6656" w14:textId="77777777" w:rsidR="00711444" w:rsidRPr="004D0DAA" w:rsidRDefault="00711444" w:rsidP="00711444">
      <w:r w:rsidRPr="004D0DAA">
        <w:t>The contention resolution is completed on the network side when the network receives a TLLI value identifying the mobile station, as part of the contention resolution procedure on the TBF.</w:t>
      </w:r>
    </w:p>
    <w:p w14:paraId="18CEF079" w14:textId="77777777" w:rsidR="00711444" w:rsidRPr="004D0DAA" w:rsidRDefault="00711444" w:rsidP="00711444">
      <w:r w:rsidRPr="004D0DAA">
        <w:t xml:space="preserve">The contention resolution is completed on the mobile station side when the mobile station receives a PACKET UPLINK ASSIGNMENT , </w:t>
      </w:r>
      <w:r w:rsidRPr="004D0DAA">
        <w:rPr>
          <w:caps/>
        </w:rPr>
        <w:t>Multiple TBF</w:t>
      </w:r>
      <w:r w:rsidRPr="004D0DAA">
        <w:t xml:space="preserve"> UPLINK ASSIGNMENT or PACKET ACCESS REJECT message with the same TLLI as the mobile station has included in the PACKET RESOURCE REQUEST and ADDITIONAL MS RADIO ACCESS CAPABILITIES messages that addresses at least one TBF for which resources were requested in the PACKET RESOURCE REQUEST message.</w:t>
      </w:r>
    </w:p>
    <w:p w14:paraId="55EC15C4" w14:textId="77777777" w:rsidR="00711444" w:rsidRPr="004D0DAA" w:rsidRDefault="00711444" w:rsidP="00711444">
      <w:pPr>
        <w:pStyle w:val="B1"/>
      </w:pPr>
      <w:r w:rsidRPr="004D0DAA">
        <w:t>-</w:t>
      </w:r>
      <w:r w:rsidRPr="004D0DAA">
        <w:tab/>
        <w:t>If the mobile station receives an assignment for its single uplink TBF request, it shall then stop timer T3168. It does not include its TLLI in any RLC data block;</w:t>
      </w:r>
    </w:p>
    <w:p w14:paraId="5D0BE8CD" w14:textId="77777777" w:rsidR="00711444" w:rsidRPr="004D0DAA" w:rsidRDefault="00711444" w:rsidP="00711444">
      <w:pPr>
        <w:pStyle w:val="B1"/>
      </w:pPr>
      <w:r w:rsidRPr="004D0DAA">
        <w:t>-</w:t>
      </w:r>
      <w:r w:rsidRPr="004D0DAA">
        <w:tab/>
        <w:t xml:space="preserve">If the mobile station receives an assignment for at least one TBF of a multiple uplink TBF request, it shall then stop timer T3188 and the instance of T3168 which was started for the assigned TBF. It does not include its TLLI in any RLC data block. </w:t>
      </w:r>
    </w:p>
    <w:p w14:paraId="2CEEF031" w14:textId="77777777" w:rsidR="00711444" w:rsidRPr="004D0DAA" w:rsidRDefault="00711444" w:rsidP="00711444">
      <w:r w:rsidRPr="004D0DAA">
        <w:t>After contention resolution is successfully completed on the mobile station side, if the mobile station requested multiple uplink TBFs and an instance of timer T3168 expires, TBF establishment for the corresponding upper layer PDU has failed. The mobile station shall reinitiate a resource request for that upper layer PDU using the procedures described in sub-clauses 8.1.1.1.2a and 8.1.1.1.2b.</w:t>
      </w:r>
    </w:p>
    <w:p w14:paraId="65815AF8" w14:textId="77777777" w:rsidR="00711444" w:rsidRPr="004D0DAA" w:rsidRDefault="00711444" w:rsidP="00711444">
      <w:r w:rsidRPr="004D0DAA">
        <w:t xml:space="preserve">The contention resolution has failed on the mobile station side when the mobile station does not receive a PACKET UPLINK ASSIGNMENT or </w:t>
      </w:r>
      <w:r w:rsidRPr="004D0DAA">
        <w:rPr>
          <w:caps/>
        </w:rPr>
        <w:t>Multiple TBF</w:t>
      </w:r>
      <w:r w:rsidRPr="004D0DAA">
        <w:t xml:space="preserve"> UPLINK ASSIGNMENT message with its TLLI assigning at least one TBF for which resources were requested before expiry of timer T3168 (single uplink TBF requested) or T3188 (multiple uplink TBFs requested). The mobile station shall then reinitiate the packet access procedure unless the packet access procedure has already been attempted four times. In that case, TBF failure has occurred and an RLC/MAC error should be reported to the higher layer for each of the TBFs for which resources were requested.</w:t>
      </w:r>
    </w:p>
    <w:p w14:paraId="2E8BCDC3" w14:textId="77777777" w:rsidR="00711444" w:rsidRPr="004D0DAA" w:rsidRDefault="00711444" w:rsidP="00711444">
      <w:pPr>
        <w:pStyle w:val="Heading4"/>
      </w:pPr>
      <w:bookmarkStart w:id="165" w:name="_Toc516669353"/>
      <w:r w:rsidRPr="004D0DAA">
        <w:t>7.1.3.4</w:t>
      </w:r>
      <w:r w:rsidRPr="004D0DAA">
        <w:tab/>
        <w:t>Two phase packet access completion</w:t>
      </w:r>
      <w:bookmarkEnd w:id="165"/>
    </w:p>
    <w:p w14:paraId="44617A5F" w14:textId="77777777" w:rsidR="00711444" w:rsidRPr="004D0DAA" w:rsidRDefault="00711444" w:rsidP="00711444">
      <w:r w:rsidRPr="004D0DAA">
        <w:t>The two phase packet access procedure is completed upon a successful contention resolution. The mobile station has entered the packet transfer mode or MAC-Shared state.</w:t>
      </w:r>
    </w:p>
    <w:p w14:paraId="6AA061C1" w14:textId="77777777" w:rsidR="00711444" w:rsidRPr="004D0DAA" w:rsidRDefault="00711444" w:rsidP="00711444">
      <w:pPr>
        <w:pStyle w:val="Heading4"/>
      </w:pPr>
      <w:bookmarkStart w:id="166" w:name="_Toc516669354"/>
      <w:r w:rsidRPr="004D0DAA">
        <w:lastRenderedPageBreak/>
        <w:t>7.1.3.5</w:t>
      </w:r>
      <w:r w:rsidRPr="004D0DAA">
        <w:tab/>
        <w:t>Timing Advance</w:t>
      </w:r>
      <w:bookmarkEnd w:id="166"/>
    </w:p>
    <w:p w14:paraId="25D321C0" w14:textId="77777777" w:rsidR="00711444" w:rsidRPr="004D0DAA" w:rsidRDefault="00711444" w:rsidP="00711444">
      <w:r w:rsidRPr="004D0DAA">
        <w:t>If a Timing Advance Index is included in the PACKET UPLINK ASSIGNMENT message, the mobile station shall use the continuous timing advance procedure, using its allocation on PTCCH (see 3GPP TS 45.010). Otherwise, the continuous timing advance procedure shall not be used.</w:t>
      </w:r>
    </w:p>
    <w:p w14:paraId="2FC28729" w14:textId="77777777" w:rsidR="00711444" w:rsidRPr="004D0DAA" w:rsidRDefault="00711444" w:rsidP="00711444">
      <w:r w:rsidRPr="004D0DAA">
        <w:t xml:space="preserve">For the case where a TIMING_ADVANCE_VALUE field is not provided in the assignment message, the mobile station shall use its previous timing advance (either assigned in the previous IMMEDIATE ASSIGNMENT </w:t>
      </w:r>
      <w:r w:rsidRPr="004D0DAA">
        <w:rPr>
          <w:rFonts w:hint="eastAsia"/>
          <w:lang w:eastAsia="zh-CN"/>
        </w:rPr>
        <w:t>or IMMEDIATE PACKET ASSIGNMENT</w:t>
      </w:r>
      <w:r w:rsidRPr="004D0DAA">
        <w:t xml:space="preserve"> message received on AGCH</w:t>
      </w:r>
      <w:r w:rsidRPr="004D0DAA">
        <w:rPr>
          <w:rFonts w:hint="eastAsia"/>
          <w:lang w:eastAsia="zh-CN"/>
        </w:rPr>
        <w:t xml:space="preserve"> </w:t>
      </w:r>
      <w:r w:rsidRPr="004D0DAA">
        <w:t>or in the previous PACKET UPLINK ASSIGNMENT message received on PAGCH or got through the continuous timing advance procedure).</w:t>
      </w:r>
    </w:p>
    <w:p w14:paraId="54C80383" w14:textId="77777777" w:rsidR="00711444" w:rsidRPr="004D0DAA" w:rsidRDefault="00711444" w:rsidP="00711444">
      <w:r w:rsidRPr="004D0DAA">
        <w:t>Otherwise, the mobile station is not allowed to send normal bursts on the uplink until it receives a valid timing advance either through the continuous timing advance procedure or in a PACKET POWER CONTROL/TIMING ADVANCE message.</w:t>
      </w:r>
    </w:p>
    <w:p w14:paraId="183BADB5" w14:textId="77777777" w:rsidR="00711444" w:rsidRPr="004D0DAA" w:rsidRDefault="00711444" w:rsidP="00711444">
      <w:r w:rsidRPr="004D0DAA">
        <w:t>In the case of a mobile station with a Dual Carrier configuration where the continuous timing advance procedure is used there is no explicit indication of the carrier on which the PTCCH is allocated, and the mobile station shall consider the PTCCH allocation to be on carrier 1 (see sub-clause 5.5.1.7). If a mobile station with a Dual Carrier configuration subsequently receives an assignment message which results in the mobile station no longer being in a Dual Carrier configuration (but still in packet transfer mode), the mobile station shall consider the PTCCH allocation to be on the carrier on which packet resources are assigned.</w:t>
      </w:r>
    </w:p>
    <w:p w14:paraId="4483A88F" w14:textId="77777777" w:rsidR="00711444" w:rsidRPr="004D0DAA" w:rsidRDefault="00711444" w:rsidP="00711444">
      <w:pPr>
        <w:pStyle w:val="Heading4"/>
      </w:pPr>
      <w:bookmarkStart w:id="167" w:name="_Toc516669355"/>
      <w:r w:rsidRPr="004D0DAA">
        <w:t>7.1.3.6</w:t>
      </w:r>
      <w:r w:rsidRPr="004D0DAA">
        <w:tab/>
        <w:t>RTTI Assignments</w:t>
      </w:r>
      <w:bookmarkEnd w:id="167"/>
    </w:p>
    <w:p w14:paraId="09E64B72" w14:textId="77777777" w:rsidR="00711444" w:rsidRPr="004D0DAA" w:rsidRDefault="00711444" w:rsidP="00711444">
      <w:r w:rsidRPr="004D0DAA">
        <w:t xml:space="preserve">If assigned resources are for an RTTI configuration, then the assignment message (e.g. PACKET DOWNLINK ASSIGNMENT, PACKET UPLINK ASSIGNMENT, etc.) specifies a set of PDCH pairs for both the uplink and downlink. </w:t>
      </w:r>
    </w:p>
    <w:p w14:paraId="62E9118E" w14:textId="77777777" w:rsidR="00711444" w:rsidRPr="004D0DAA" w:rsidRDefault="00711444" w:rsidP="00711444">
      <w:r w:rsidRPr="004D0DAA">
        <w:t>If the default single carrier PDCH pair configuration is indicated, then the assignment is for resources on a subset of the PDCH pairs consisting of the ordered sequence of timeslots pairs 0 and 1 (pair 1), 2 and 3 (pair 2), 4 and 5 (pair 3), and 6 and 7 (pair 4) in both the uplink and on the downlink. If the default dual carrier PDCH pair configuration is indicated, then the assignment is for resources on a subset of the PDCH pairs consisting of the ordered sequence of timeslots pairs 0 and 1, 2 and 3, 4 and 5, and 6 and 7 on both carriers (respectively numbered as pairs 1 to 4 on the first carrier and pairs 5 to 8 on the second carrier) in both the uplink and on the downlink. Otherwise, the assignment is for resources on a subset of the PDCH pairs as specified in the DOWNLINK_PDCH_PAIRS_C1, DOWNLINK_PDCH_PAIRS_C2, UPLINK_PDCH_PAIRS_C1 and UPLINK_PDCH_PAIRS_C2 bitmaps.</w:t>
      </w:r>
    </w:p>
    <w:p w14:paraId="225356D2" w14:textId="77777777" w:rsidR="00711444" w:rsidRPr="004D0DAA" w:rsidRDefault="00711444" w:rsidP="00711444">
      <w:r w:rsidRPr="004D0DAA">
        <w:t>If the mobile station is currently in packet transfer mode with one or more ongoing</w:t>
      </w:r>
      <w:r w:rsidRPr="004D0DAA">
        <w:rPr>
          <w:rFonts w:hint="eastAsia"/>
          <w:lang w:eastAsia="ko-KR"/>
        </w:rPr>
        <w:t xml:space="preserve"> </w:t>
      </w:r>
      <w:r w:rsidRPr="004D0DAA">
        <w:t xml:space="preserve">TBFs </w:t>
      </w:r>
      <w:r w:rsidRPr="004D0DAA">
        <w:rPr>
          <w:rFonts w:hint="eastAsia"/>
          <w:lang w:eastAsia="ko-KR"/>
        </w:rPr>
        <w:t>operating in RTTI configuration</w:t>
      </w:r>
      <w:r w:rsidRPr="004D0DAA">
        <w:t>, then the network may indicate in the assignment message that the PDCH pair configuration is 'Unchanged'. In this case, the PDCH pair configuration described in the most recently received assignment message (for this mobile station) previous to this message applies.</w:t>
      </w:r>
    </w:p>
    <w:p w14:paraId="72366EC8" w14:textId="77777777" w:rsidR="00711444" w:rsidRPr="004D0DAA" w:rsidRDefault="00711444" w:rsidP="00711444">
      <w:r w:rsidRPr="004D0DAA">
        <w:t xml:space="preserve">The </w:t>
      </w:r>
      <w:r w:rsidRPr="004D0DAA">
        <w:rPr>
          <w:i/>
        </w:rPr>
        <w:t>Uplink Assignment PDCH Pairs Description</w:t>
      </w:r>
      <w:r w:rsidRPr="004D0DAA">
        <w:t xml:space="preserve"> IE shall be included in a PACKET CS RELEASE INDICATION, PS HANDOVER COMMAND or DTM HANDOVER COMMAND message assigning an RTTI configuration for uplink TBF(s) if and only if no RTTI configuration description for downlink TBF(s) is provided in these messages.</w:t>
      </w:r>
    </w:p>
    <w:p w14:paraId="2D44ED36" w14:textId="77777777" w:rsidR="00711444" w:rsidRPr="004D0DAA" w:rsidRDefault="00711444" w:rsidP="00711444">
      <w:pPr>
        <w:rPr>
          <w:szCs w:val="18"/>
        </w:rPr>
      </w:pPr>
      <w:r w:rsidRPr="004D0DAA">
        <w:t xml:space="preserve">For the purposes of interpreting the </w:t>
      </w:r>
      <w:r w:rsidRPr="004D0DAA">
        <w:rPr>
          <w:bCs/>
          <w:szCs w:val="18"/>
        </w:rPr>
        <w:t xml:space="preserve">RTTI_DOWNLINK_PDCH_PAIR_ASSIGNMENT_SC and </w:t>
      </w:r>
      <w:r w:rsidRPr="004D0DAA">
        <w:t xml:space="preserve">RTTI_DOWNLINK_PDCH_PAIR_ASSIGNMENT_DC bitmaps and the repeated USF structures in the Dynamic Allocation 2 struct and Uplink TBF Assignment 2 struct, </w:t>
      </w:r>
      <w:r w:rsidRPr="004D0DAA">
        <w:rPr>
          <w:szCs w:val="18"/>
        </w:rPr>
        <w:t>PDCH pairs are ordered starting with the PDCH pair on carrier 1 using the lowest numbered timeslots, followed by the PDCH pair on carrier 1 using the next lowest numbered timeslots and so on, followed by the PDCH pair on carrier 2 using the lowest numbered timeslots (if present), etc.</w:t>
      </w:r>
    </w:p>
    <w:p w14:paraId="484D0283" w14:textId="77777777" w:rsidR="00711444" w:rsidRPr="004D0DAA" w:rsidRDefault="00711444" w:rsidP="00711444">
      <w:pPr>
        <w:rPr>
          <w:szCs w:val="18"/>
        </w:rPr>
      </w:pPr>
      <w:r w:rsidRPr="004D0DAA">
        <w:rPr>
          <w:szCs w:val="18"/>
        </w:rPr>
        <w:t>For an uplink PDCH pair using timeslots i and j, where j &gt; i , the corresponding downlink PDCH pair is:</w:t>
      </w:r>
    </w:p>
    <w:p w14:paraId="4D6649E2" w14:textId="77777777" w:rsidR="00711444" w:rsidRPr="004D0DAA" w:rsidRDefault="00711444" w:rsidP="00711444">
      <w:pPr>
        <w:pStyle w:val="B1"/>
      </w:pPr>
      <w:r w:rsidRPr="004D0DAA">
        <w:t>-</w:t>
      </w:r>
      <w:r w:rsidRPr="004D0DAA">
        <w:tab/>
        <w:t>the one using timeslots i and j; else, if no such PDCH pair is specified</w:t>
      </w:r>
    </w:p>
    <w:p w14:paraId="682D4B53" w14:textId="77777777" w:rsidR="00711444" w:rsidRPr="004D0DAA" w:rsidRDefault="00711444" w:rsidP="00711444">
      <w:pPr>
        <w:pStyle w:val="B1"/>
      </w:pPr>
      <w:r w:rsidRPr="004D0DAA">
        <w:t>-</w:t>
      </w:r>
      <w:r w:rsidRPr="004D0DAA">
        <w:tab/>
        <w:t>the one using timeslots i-1 and i; else, if no such PDCH pair is specified</w:t>
      </w:r>
    </w:p>
    <w:p w14:paraId="2CAFA265" w14:textId="77777777" w:rsidR="00711444" w:rsidRPr="004D0DAA" w:rsidRDefault="00711444" w:rsidP="00711444">
      <w:pPr>
        <w:pStyle w:val="B1"/>
      </w:pPr>
      <w:r w:rsidRPr="004D0DAA">
        <w:t>-</w:t>
      </w:r>
      <w:r w:rsidRPr="004D0DAA">
        <w:tab/>
        <w:t>the one using timeslots i-2 and i; else, if no such PDCH pair is specified</w:t>
      </w:r>
    </w:p>
    <w:p w14:paraId="68F5BE1A" w14:textId="77777777" w:rsidR="00711444" w:rsidRPr="004D0DAA" w:rsidRDefault="00711444" w:rsidP="00711444">
      <w:pPr>
        <w:pStyle w:val="B1"/>
      </w:pPr>
      <w:r w:rsidRPr="004D0DAA">
        <w:t>-</w:t>
      </w:r>
      <w:r w:rsidRPr="004D0DAA">
        <w:tab/>
        <w:t>the one using timeslots i-3 and i if such a PDCH pair exists.</w:t>
      </w:r>
    </w:p>
    <w:p w14:paraId="368ADB3D" w14:textId="77777777" w:rsidR="00711444" w:rsidRPr="004D0DAA" w:rsidRDefault="00711444" w:rsidP="00711444">
      <w:pPr>
        <w:pStyle w:val="NO"/>
      </w:pPr>
      <w:r w:rsidRPr="004D0DAA">
        <w:t>NOTE:</w:t>
      </w:r>
      <w:r w:rsidRPr="004D0DAA">
        <w:tab/>
        <w:t>It may be the case that there is no downlink PDCH pair which corresponds to a given uplink PDCH pair.</w:t>
      </w:r>
    </w:p>
    <w:p w14:paraId="08098D4D" w14:textId="77777777" w:rsidR="00711444" w:rsidRPr="004D0DAA" w:rsidRDefault="00711444" w:rsidP="00711444">
      <w:r w:rsidRPr="004D0DAA">
        <w:lastRenderedPageBreak/>
        <w:t>For a downlink PDCH pair, the corresponding uplink PDCH pair is the uplink PDCH pair (if it exists) for which the downlink PDCH pair is the corresponding downlink PDCH pair.</w:t>
      </w:r>
    </w:p>
    <w:p w14:paraId="717E8A27" w14:textId="77777777" w:rsidR="00711444" w:rsidRPr="004D0DAA" w:rsidRDefault="00711444" w:rsidP="00711444">
      <w:pPr>
        <w:pStyle w:val="NO"/>
      </w:pPr>
      <w:r w:rsidRPr="004D0DAA">
        <w:t>NOTE:</w:t>
      </w:r>
      <w:r w:rsidRPr="004D0DAA">
        <w:tab/>
        <w:t>It may be the case that there is no uplink PDCH pair which corresponds to a given downlink PDCH pair.</w:t>
      </w:r>
    </w:p>
    <w:p w14:paraId="1E86E970" w14:textId="77777777" w:rsidR="00711444" w:rsidRPr="004D0DAA" w:rsidRDefault="00711444" w:rsidP="00711444">
      <w:r w:rsidRPr="004D0DAA">
        <w:t>The network shall activate FANR for any assigned TBF which uses an RTTI configuration (see sub-clause 9.1.14).</w:t>
      </w:r>
    </w:p>
    <w:p w14:paraId="38B63D7D" w14:textId="77777777" w:rsidR="00711444" w:rsidRPr="004D0DAA" w:rsidRDefault="00711444" w:rsidP="00711444">
      <w:pPr>
        <w:pStyle w:val="Heading4"/>
      </w:pPr>
      <w:bookmarkStart w:id="168" w:name="_Toc516669356"/>
      <w:r w:rsidRPr="004D0DAA">
        <w:t>7.1.3.7</w:t>
      </w:r>
      <w:r w:rsidRPr="004D0DAA">
        <w:tab/>
        <w:t>MTTI Configurations</w:t>
      </w:r>
      <w:bookmarkEnd w:id="168"/>
      <w:r w:rsidRPr="004D0DAA">
        <w:t xml:space="preserve"> </w:t>
      </w:r>
    </w:p>
    <w:p w14:paraId="4261A90B" w14:textId="77777777" w:rsidR="00711444" w:rsidRPr="004D0DAA" w:rsidRDefault="00711444" w:rsidP="00711444">
      <w:r w:rsidRPr="004D0DAA">
        <w:t>If the mobile station supports MTTI configurations, the network may assign a mobile station a TBF comprising a combination of both RTTI and BTTI resources (i.e. MTTI resources). In this case the assigned MTTI resources consist of one PDCH and one or more PDCH-pairs where the PDCH is always assigned the timeslot adjacent to either the lowest or highest numbered timeslot of the assigned PDCH-pairs on that carrier. In a downlink dual carrier configuration, a TBF operating in MTTI configuration shall be assigned MTTI resources on one or both carriers. If MTTI resources are only assigned on one carrier then the remaining carrier may be assigned either BTTI or RTTI resources.</w:t>
      </w:r>
    </w:p>
    <w:p w14:paraId="379EF386" w14:textId="77777777" w:rsidR="00711444" w:rsidRPr="004D0DAA" w:rsidRDefault="00711444" w:rsidP="00711444">
      <w:pPr>
        <w:pStyle w:val="NO"/>
      </w:pPr>
      <w:r w:rsidRPr="004D0DAA">
        <w:t>NOTE:</w:t>
      </w:r>
      <w:r w:rsidRPr="004D0DAA">
        <w:tab/>
        <w:t>Examples of valid and invalid MTTI configurations are illustrated in Annex M.</w:t>
      </w:r>
    </w:p>
    <w:p w14:paraId="67F11E10" w14:textId="77777777" w:rsidR="00711444" w:rsidRPr="004D0DAA" w:rsidRDefault="00711444" w:rsidP="00711444">
      <w:r w:rsidRPr="004D0DAA">
        <w:t>The specification of the following MAC procedures includes aspects which are specific to MTTI configurations:</w:t>
      </w:r>
    </w:p>
    <w:p w14:paraId="281B4978" w14:textId="77777777" w:rsidR="00711444" w:rsidRPr="004D0DAA" w:rsidRDefault="00711444" w:rsidP="00711444">
      <w:pPr>
        <w:pStyle w:val="B1"/>
      </w:pPr>
      <w:r w:rsidRPr="004D0DAA">
        <w:t>-</w:t>
      </w:r>
      <w:r w:rsidRPr="004D0DAA">
        <w:tab/>
        <w:t>Selection of RLC data blocks for transmission on RTTI and BTTI resources (see sub-clause 8.1.1);</w:t>
      </w:r>
    </w:p>
    <w:p w14:paraId="39DE4B86" w14:textId="77777777" w:rsidR="00711444" w:rsidRPr="004D0DAA" w:rsidRDefault="00711444" w:rsidP="00711444">
      <w:pPr>
        <w:pStyle w:val="B1"/>
      </w:pPr>
      <w:r w:rsidRPr="004D0DAA">
        <w:t>-</w:t>
      </w:r>
      <w:r w:rsidRPr="004D0DAA">
        <w:tab/>
        <w:t>Uplink transfer and PACCH operation when using Extended Dynamic Allocation (see sub-clauses 8.1.1.2.1 and 8.1.1.2.2).</w:t>
      </w:r>
    </w:p>
    <w:p w14:paraId="20041FBC" w14:textId="77777777" w:rsidR="00711444" w:rsidRPr="004D0DAA" w:rsidRDefault="00711444" w:rsidP="00711444">
      <w:r w:rsidRPr="004D0DAA">
        <w:t>Other MAC procedures applicable to the RTTI and BTTI resources assigned as part of an MTTI configuration apply as if they were separate TBFs, and therefore references to a "TBF operating in RTTI configuration" (respectively "TBF operating in BTTI configuration") shall also refer to "resources operating in RTTI configuration within an MTTI configuration" (respectively "resources operating in BTTI configuration within an MTTI configuration"),.</w:t>
      </w:r>
    </w:p>
    <w:p w14:paraId="594230C8" w14:textId="77777777" w:rsidR="00711444" w:rsidRPr="004D0DAA" w:rsidRDefault="00711444" w:rsidP="00711444">
      <w:r w:rsidRPr="004D0DAA">
        <w:t>The specification of the following RLC procedures includes aspects which are specific to MTTI configurations:</w:t>
      </w:r>
    </w:p>
    <w:p w14:paraId="5B565F6B" w14:textId="77777777" w:rsidR="00711444" w:rsidRPr="004D0DAA" w:rsidRDefault="00711444" w:rsidP="00711444">
      <w:pPr>
        <w:pStyle w:val="B1"/>
      </w:pPr>
      <w:r w:rsidRPr="004D0DAA">
        <w:t>-</w:t>
      </w:r>
      <w:r w:rsidRPr="004D0DAA">
        <w:tab/>
        <w:t>Encoding and interpretation of Piggy-backed Ack/Nack fields encoded using Time-based encoding (see sub-clauses 9.1.15 and 11.2.29);</w:t>
      </w:r>
    </w:p>
    <w:p w14:paraId="1B9761E4" w14:textId="77777777" w:rsidR="00711444" w:rsidRPr="004D0DAA" w:rsidRDefault="00711444" w:rsidP="00711444">
      <w:pPr>
        <w:pStyle w:val="B1"/>
      </w:pPr>
      <w:r w:rsidRPr="004D0DAA">
        <w:t>-</w:t>
      </w:r>
      <w:r w:rsidRPr="004D0DAA">
        <w:tab/>
        <w:t>Countdown procedure: definition of MTS parameter (see sub-clause 9.3.1.1).</w:t>
      </w:r>
    </w:p>
    <w:p w14:paraId="19932F63" w14:textId="77777777" w:rsidR="00711444" w:rsidRPr="004D0DAA" w:rsidRDefault="00711444" w:rsidP="00711444">
      <w:r w:rsidRPr="004D0DAA">
        <w:t>The network shall activate FANR for any assigned TBF which uses an MTTI configuration.</w:t>
      </w:r>
    </w:p>
    <w:p w14:paraId="3E8DAE59" w14:textId="77777777" w:rsidR="00711444" w:rsidRPr="004D0DAA" w:rsidRDefault="00711444" w:rsidP="00711444">
      <w:r w:rsidRPr="004D0DAA">
        <w:t>Reaction times applicable to TBFs operating in MTTI configurations shall be those specified for TBFs operating in RTTI configurations (see 3GPP TS 45.010)</w:t>
      </w:r>
    </w:p>
    <w:p w14:paraId="5C666DD0" w14:textId="77777777" w:rsidR="00711444" w:rsidRPr="004D0DAA" w:rsidRDefault="00711444" w:rsidP="00711444">
      <w:pPr>
        <w:pStyle w:val="Heading3"/>
      </w:pPr>
      <w:bookmarkStart w:id="169" w:name="_Toc516669357"/>
      <w:r w:rsidRPr="004D0DAA">
        <w:t>7.1.4</w:t>
      </w:r>
      <w:r w:rsidRPr="004D0DAA">
        <w:tab/>
        <w:t>Abnormal cases</w:t>
      </w:r>
      <w:bookmarkEnd w:id="169"/>
    </w:p>
    <w:p w14:paraId="608FAA77" w14:textId="77777777" w:rsidR="00711444" w:rsidRPr="004D0DAA" w:rsidRDefault="00711444" w:rsidP="00711444">
      <w:r w:rsidRPr="004D0DAA">
        <w:t>If a failure occurs on the mobile station side of the new TBF before mobile station has successfully entered the packet transfer mode, the newly reserved resources are released; the subsequent behaviour of the mobile station depends on the type of failure and previous actions.</w:t>
      </w:r>
    </w:p>
    <w:p w14:paraId="028B7246" w14:textId="77777777" w:rsidR="00711444" w:rsidRPr="004D0DAA" w:rsidRDefault="00711444" w:rsidP="00711444">
      <w:pPr>
        <w:pStyle w:val="B1"/>
      </w:pPr>
      <w:r w:rsidRPr="004D0DAA">
        <w:t>-</w:t>
      </w:r>
      <w:r w:rsidRPr="004D0DAA">
        <w:tab/>
        <w:t>If the failure is due to a TLLI mismatch, or to the expiry of timers T3166 or T3168, or to the fact that the counter N3104 reaches its maximum value in the contention resolution procedure, and repetition as described in sub-clauses 7.1.2.3, 7.1.3.2.1 or 7.1.3.3 has been performed, the mobile station shall remain in packet idle mode, notify higher layer (TBF establishment failure), transactions in progress shall be aborted and cell reselection continued, unless the failure takes place during a RR-cell change order procedure, in which case the mobile behaviour shall be as described in the Abnormal cases of the RR-Network Commanded Cell Change Order Procedure in 3GPP TS 44.018;</w:t>
      </w:r>
    </w:p>
    <w:p w14:paraId="3AAB8F24" w14:textId="77777777" w:rsidR="00711444" w:rsidRPr="004D0DAA" w:rsidRDefault="00711444" w:rsidP="00711444">
      <w:pPr>
        <w:pStyle w:val="B1"/>
      </w:pPr>
      <w:r w:rsidRPr="004D0DAA">
        <w:t>-</w:t>
      </w:r>
      <w:r w:rsidRPr="004D0DAA">
        <w:tab/>
        <w:t>If the mobile station has been assigned more PDCHs than it supports according to the relevant multislot configuration as defined in 3GPP TS 45.002, the mobile station shall reinitiate the packet access procedure unless the packet access procedure has already been attempted four times. In that case, TBF failure has occurred;</w:t>
      </w:r>
    </w:p>
    <w:p w14:paraId="629F3C42" w14:textId="77777777" w:rsidR="00711444" w:rsidRPr="004D0DAA" w:rsidRDefault="00711444" w:rsidP="00711444">
      <w:pPr>
        <w:pStyle w:val="B1"/>
      </w:pPr>
      <w:r w:rsidRPr="004D0DAA">
        <w:t>-</w:t>
      </w:r>
      <w:r w:rsidRPr="004D0DAA">
        <w:tab/>
        <w:t xml:space="preserve">If the information in the PACKET UPLINK ASSIGNMENT message does not properly specify an uplink PDCH or specifies a multislot configuration that the mobile station does not support (see 3GPP TS 45.002), the mobile </w:t>
      </w:r>
      <w:r w:rsidRPr="004D0DAA">
        <w:lastRenderedPageBreak/>
        <w:t>station shall reinitiate the packet access procedure unless the packet access procedure has already been attempted four times. In that case, TBF failure has occurred;</w:t>
      </w:r>
    </w:p>
    <w:p w14:paraId="11D79B34" w14:textId="77777777" w:rsidR="00711444" w:rsidRPr="004D0DAA" w:rsidRDefault="00711444" w:rsidP="00711444">
      <w:pPr>
        <w:pStyle w:val="B1"/>
      </w:pPr>
      <w:r w:rsidRPr="004D0DAA">
        <w:t>-</w:t>
      </w:r>
      <w:r w:rsidRPr="004D0DAA">
        <w:tab/>
        <w:t>If the information in the MULTIPLE TBF UPLINK ASSIGNMENT message does not properly specify an uplink PDCH or specifies a multislot configuration that the mobile station does not support (see 3GPP TS 45.002), the mobile station shall reinitiate the packet access procedure for each of the TBFs for which there is an error unless the procedure has already been attempted 4 times for the TBF. In that case, TBF failure has occurred;</w:t>
      </w:r>
    </w:p>
    <w:p w14:paraId="1769CA99" w14:textId="77777777" w:rsidR="00711444" w:rsidRPr="004D0DAA" w:rsidRDefault="00711444" w:rsidP="00711444">
      <w:pPr>
        <w:pStyle w:val="B1"/>
      </w:pPr>
      <w:r w:rsidRPr="004D0DAA">
        <w:t>-</w:t>
      </w:r>
      <w:r w:rsidRPr="004D0DAA">
        <w:tab/>
        <w:t>If the MULTIPLE TBF UPLINK ASSIGNMENT message contains assignments including PFI values for which no TBF was requested, the mobile station shall not act upon these assignments. The mobile station shall act upon the valid assignments contained in the received message;</w:t>
      </w:r>
    </w:p>
    <w:p w14:paraId="508E059B" w14:textId="77777777" w:rsidR="00711444" w:rsidRPr="004D0DAA" w:rsidRDefault="00711444" w:rsidP="00711444">
      <w:pPr>
        <w:pStyle w:val="B1"/>
      </w:pPr>
      <w:r w:rsidRPr="004D0DAA">
        <w:t>-</w:t>
      </w:r>
      <w:r w:rsidRPr="004D0DAA">
        <w:tab/>
        <w:t>If the MULTIPLE TBF UPLINK ASSIGNMENT message contains assignments such that more than one PFI value has been assigned to the same TFI, then TBF failure has occurred for the requests containing each of those PFI values;</w:t>
      </w:r>
    </w:p>
    <w:p w14:paraId="7379E3B9" w14:textId="77777777" w:rsidR="00711444" w:rsidRPr="004D0DAA" w:rsidRDefault="00711444" w:rsidP="00711444">
      <w:pPr>
        <w:pStyle w:val="B1"/>
      </w:pPr>
      <w:r w:rsidRPr="004D0DAA">
        <w:t>-</w:t>
      </w:r>
      <w:r w:rsidRPr="004D0DAA">
        <w:tab/>
        <w:t>If the PACKET UPLINK ASSIGNMENT message contains an assignment including a PFI value for which no resources were requested, the mobile station shall not act upon the assignment. The mobile station shall reinitiate the packet access procedure unless the packet access procedure has already been attempted four times. In that case, TBF failure has occurred;</w:t>
      </w:r>
    </w:p>
    <w:p w14:paraId="262216F0" w14:textId="77777777" w:rsidR="00711444" w:rsidRPr="004D0DAA" w:rsidRDefault="00711444" w:rsidP="00711444">
      <w:pPr>
        <w:pStyle w:val="B1"/>
      </w:pPr>
      <w:r w:rsidRPr="004D0DAA">
        <w:t>-</w:t>
      </w:r>
      <w:r w:rsidRPr="004D0DAA">
        <w:tab/>
        <w:t xml:space="preserve">If the PACKET ACCESS REJECT message incorrectly specifies a </w:t>
      </w:r>
      <w:r w:rsidRPr="004D0DAA">
        <w:rPr>
          <w:i/>
        </w:rPr>
        <w:t>Reject structure</w:t>
      </w:r>
      <w:r w:rsidRPr="004D0DAA">
        <w:t xml:space="preserve"> and </w:t>
      </w:r>
      <w:r w:rsidRPr="004D0DAA">
        <w:rPr>
          <w:i/>
        </w:rPr>
        <w:t>A/Gb mode Reject structure</w:t>
      </w:r>
      <w:r w:rsidRPr="004D0DAA">
        <w:t xml:space="preserve"> for this mobile station, or contains one or more PFIs in the </w:t>
      </w:r>
      <w:r w:rsidRPr="004D0DAA">
        <w:rPr>
          <w:i/>
        </w:rPr>
        <w:t>A/Gb mode Reject structure</w:t>
      </w:r>
      <w:r w:rsidRPr="004D0DAA">
        <w:t xml:space="preserve"> for which no TBF was requested, the mobile station shall ignore this message;</w:t>
      </w:r>
    </w:p>
    <w:p w14:paraId="04D6A9DE" w14:textId="77777777" w:rsidR="00711444" w:rsidRPr="004D0DAA" w:rsidRDefault="00711444" w:rsidP="00711444">
      <w:pPr>
        <w:pStyle w:val="B1"/>
      </w:pPr>
      <w:r w:rsidRPr="004D0DAA">
        <w:t>-</w:t>
      </w:r>
      <w:r w:rsidRPr="004D0DAA">
        <w:tab/>
        <w:t>If the mobile station has been assigned a TBF in EGPRS mode and the MS does not support EGPRS, or has been assigned an MCS (e.g. 8-PSK in the Uplink) that the MS does not support, the MS shall return to packet idle mode and notify higher layers (TBF establishment failure);</w:t>
      </w:r>
    </w:p>
    <w:p w14:paraId="3A3F515C" w14:textId="77777777" w:rsidR="00711444" w:rsidRPr="004D0DAA" w:rsidRDefault="00711444" w:rsidP="00711444">
      <w:pPr>
        <w:pStyle w:val="B1"/>
      </w:pPr>
      <w:r w:rsidRPr="004D0DAA">
        <w:t>-</w:t>
      </w:r>
      <w:r w:rsidRPr="004D0DAA">
        <w:tab/>
        <w:t>On expiry of timer T3164, the mobile station shall reinitiate the packet access procedure for the corresponding TBF unless the packet access procedure has already been attempted four times for this TBF, in which case the mobile station shall notify higher layers of TBF establishment failure. If the mobile station has no remaining TBFs allocated it shall return to packet idle mode and notify higher layers (TBF establishment failure);</w:t>
      </w:r>
    </w:p>
    <w:p w14:paraId="2A211A9A" w14:textId="77777777" w:rsidR="00711444" w:rsidRPr="004D0DAA" w:rsidRDefault="00711444" w:rsidP="00711444">
      <w:pPr>
        <w:pStyle w:val="B1"/>
      </w:pPr>
      <w:r w:rsidRPr="004D0DAA">
        <w:t>-</w:t>
      </w:r>
      <w:r w:rsidRPr="004D0DAA">
        <w:tab/>
        <w:t>If the failure is due to any other reason, the mobile station shall return to packet idle mode, notify higher layer (TBF establishment failure), transactions in progress shall be aborted and cell reselection continues.</w:t>
      </w:r>
    </w:p>
    <w:p w14:paraId="53065A2A" w14:textId="77777777" w:rsidR="00711444" w:rsidRPr="004D0DAA" w:rsidRDefault="00711444" w:rsidP="00711444">
      <w:pPr>
        <w:pStyle w:val="Heading2"/>
      </w:pPr>
      <w:bookmarkStart w:id="170" w:name="_Toc516669358"/>
      <w:r w:rsidRPr="004D0DAA">
        <w:t>7.2</w:t>
      </w:r>
      <w:r w:rsidRPr="004D0DAA">
        <w:tab/>
        <w:t>TBF establishment initiated by the network on PCCCH</w:t>
      </w:r>
      <w:bookmarkEnd w:id="170"/>
    </w:p>
    <w:p w14:paraId="35BDDD64" w14:textId="77777777" w:rsidR="00711444" w:rsidRPr="004D0DAA" w:rsidRDefault="00711444" w:rsidP="00711444">
      <w:r w:rsidRPr="004D0DAA">
        <w:t>The purpose of network initiated TBF establishment is to establish a TBF to support the transfer of upper layer PDUs in the direction from the network to the mobile station. The procedure may be entered when the mobile station is in packet idle mode. Network initiated TBF establishment can also be done on PACCH if a TBF for transfer of upper layer PDUs in the direction from the mobile station to the network is already established (sub-clause 8.1.1.1.3).</w:t>
      </w:r>
    </w:p>
    <w:p w14:paraId="4FE320E4" w14:textId="77777777" w:rsidR="00711444" w:rsidRPr="004D0DAA" w:rsidRDefault="00711444" w:rsidP="00711444">
      <w:r w:rsidRPr="004D0DAA">
        <w:t>If the mobile station is in dedicated mode and both the network and the mobile station support DTM, the establishment of a TBF shall be performed by the DTM assignment procedures on the main DCCH, as defined in 3GPP TS 44.018.</w:t>
      </w:r>
    </w:p>
    <w:p w14:paraId="5771A351" w14:textId="77777777" w:rsidR="00711444" w:rsidRPr="004D0DAA" w:rsidRDefault="00711444" w:rsidP="00711444">
      <w:pPr>
        <w:pStyle w:val="Heading3"/>
      </w:pPr>
      <w:bookmarkStart w:id="171" w:name="_Toc516669359"/>
      <w:r w:rsidRPr="004D0DAA">
        <w:t>7.2.1</w:t>
      </w:r>
      <w:r w:rsidRPr="004D0DAA">
        <w:tab/>
        <w:t>Entering the packet transfer mode</w:t>
      </w:r>
      <w:bookmarkEnd w:id="171"/>
    </w:p>
    <w:p w14:paraId="3D93481F" w14:textId="77777777" w:rsidR="00711444" w:rsidRPr="004D0DAA" w:rsidRDefault="00711444" w:rsidP="00711444">
      <w:pPr>
        <w:keepLines/>
      </w:pPr>
      <w:r w:rsidRPr="004D0DAA">
        <w:t>The procedure is triggered by a request from upper layers on the network side to transfer an upper layer PDU to a mobile station in packet idle mode. The request from upper layers specifies an optional priority level, a QoS profile including the requested RLC mode, optional DRX parameters, an optional IMSI and an optional MS Radio Access Capability, multislot class and mobile classmark to be associated with the packet transfer. The request is implicit when receiving an upper layer PDU to a mobile station not already having any assigned radio resources. Upon such a request, the network shall initiate a packet downlink assignment procedure as defined in sub-clause 7.2.1.1. The BSS may order its preferred RLC mode when establishing a downlink TBF, independently of the RLC mode signalled from upper layers. If the mobile station supports RLC non-persistent mode the network may allocate a downlink EGPRS TBF that uses this RLC mode.</w:t>
      </w:r>
    </w:p>
    <w:p w14:paraId="5642A41A" w14:textId="77777777" w:rsidR="00711444" w:rsidRPr="004D0DAA" w:rsidRDefault="00711444" w:rsidP="00711444">
      <w:pPr>
        <w:pStyle w:val="Heading4"/>
      </w:pPr>
      <w:bookmarkStart w:id="172" w:name="_Toc516669360"/>
      <w:r w:rsidRPr="004D0DAA">
        <w:lastRenderedPageBreak/>
        <w:t>7.2.1.1</w:t>
      </w:r>
      <w:r w:rsidRPr="004D0DAA">
        <w:tab/>
        <w:t>Packet downlink assignment procedure</w:t>
      </w:r>
      <w:bookmarkEnd w:id="172"/>
    </w:p>
    <w:p w14:paraId="559E674A" w14:textId="77777777" w:rsidR="00711444" w:rsidRPr="004D0DAA" w:rsidRDefault="00711444" w:rsidP="00711444">
      <w:r w:rsidRPr="004D0DAA">
        <w:t>The network may assign a radio resource on one or more PDCHs to be used for the TBF. The amount of radio resource to be reserved is a network dependent choice. If the network and mobile station both support Downlink Dual Carrier, the network may assign radio resources on one or more PDCHs on two different radio frequency channels to be used for the TBF.</w:t>
      </w:r>
    </w:p>
    <w:p w14:paraId="38ED66AA" w14:textId="77777777" w:rsidR="00711444" w:rsidRPr="004D0DAA" w:rsidRDefault="00711444" w:rsidP="00711444">
      <w:r w:rsidRPr="004D0DAA">
        <w:t>The allocated radio resource is assigned to the mobile station in a PACKET DOWNLINK ASSIGNMENT message to the mobile station. The PACKET DOWNLINK ASSIGNMENT message is transmitted on the PCCCH timeslot corresponding to the PCCCH group the mobile station belongs to. The appropriate PCCCH group is calculated from the IMSI (see 3GPP TS 45.002). The behaviour of the network when the IMSI is not provided by the upper layers is implementation dependent for the calculation of the PCCCH group where the PACKET DOWNLINK ASSIGNMENT message has to be sent. If the mobile station is in non-DRX mode or if the IMSI or the DRX parameters are not provided by the upper layers, there is no further restriction on what part of the downlink PCCCH timeslot this PACKET DOWNLINK ASSIGNMENT message can be sent, provided that this part corresponds to one or more blocks where paging may appear. If the mobile station applies DRX, this message shall be sent in one or more PCCCH block(s) corresponding to a paging group determined for the mobile station in packet idle mode or MAC-Idle state (see 3GPP TS 45.002). The multislot capabilities of the mobile station shall be considered.</w:t>
      </w:r>
    </w:p>
    <w:p w14:paraId="06884700" w14:textId="77777777" w:rsidR="00711444" w:rsidRPr="004D0DAA" w:rsidRDefault="00711444" w:rsidP="00711444">
      <w:r w:rsidRPr="004D0DAA">
        <w:t>Initial timing advance can be provided in the PACKET DOWNLINK ASSIGNMENT message as Timing Advance Value field. In case valid timing advance for the mobile station is not available, the network may use one of the following two methods to trigger the mobile station to transmit a PACKET CONTROL ACKNOWLEDGEMENT message:</w:t>
      </w:r>
    </w:p>
    <w:p w14:paraId="35188A2A" w14:textId="77777777" w:rsidR="00711444" w:rsidRPr="004D0DAA" w:rsidRDefault="00711444" w:rsidP="00711444">
      <w:pPr>
        <w:pStyle w:val="B1"/>
      </w:pPr>
      <w:r w:rsidRPr="004D0DAA">
        <w:t>-</w:t>
      </w:r>
      <w:r w:rsidRPr="004D0DAA">
        <w:tab/>
        <w:t>if the PACKET DOWNLINK ASSIGNMENT message is not segmented and the CONTROL_ACK_TYPE parameter in the System Information indicates acknowledgement is access bursts, the network may set the poll bit in the PACKET DOWNLINK ASSIGNMENT message.</w:t>
      </w:r>
    </w:p>
    <w:p w14:paraId="09794BD2" w14:textId="77777777" w:rsidR="00711444" w:rsidRPr="004D0DAA" w:rsidRDefault="00711444" w:rsidP="00711444">
      <w:pPr>
        <w:pStyle w:val="B1"/>
      </w:pPr>
      <w:r w:rsidRPr="004D0DAA">
        <w:t>-</w:t>
      </w:r>
      <w:r w:rsidRPr="004D0DAA">
        <w:tab/>
        <w:t>if the PACKET DOWNLINK ASSIGNMENT message is segmented or the CONTROL_ACK_TYPE parameter in the System Information does not indicate acknowledgement is access bursts, the network may send PACKET POLLING REQUEST message with TYPE_OF_ACK parameter set to access bursts (see sub-clause 11.2.12).</w:t>
      </w:r>
    </w:p>
    <w:p w14:paraId="0D5E739C" w14:textId="77777777" w:rsidR="00711444" w:rsidRPr="004D0DAA" w:rsidRDefault="00711444" w:rsidP="00711444">
      <w:r w:rsidRPr="004D0DAA">
        <w:t>The mobile station shall then send the PACKET CONTROL ACKNOWLEDGEMENT message as four access bursts in the reserved uplink radio block specified by the RRBP field as defined in sub-clause 10.4.5.The reserved block is considered as a one block PACCH allocation. The PACKET CONTROL ACKNOWLEDGEMENT message</w:t>
      </w:r>
      <w:r w:rsidRPr="004D0DAA">
        <w:rPr>
          <w:sz w:val="16"/>
        </w:rPr>
        <w:t xml:space="preserve"> </w:t>
      </w:r>
      <w:r w:rsidRPr="004D0DAA">
        <w:t>is used to derive the timing advance.</w:t>
      </w:r>
    </w:p>
    <w:p w14:paraId="7B85E39C" w14:textId="77777777" w:rsidR="00711444" w:rsidRPr="004D0DAA" w:rsidRDefault="00711444" w:rsidP="00711444">
      <w:r w:rsidRPr="004D0DAA">
        <w:t>Thereafter, either the timing advance in the mobile station is updated with a PACKET POWER CONTROL /TIMING ADVANCE message or a continuous timing advance procedure is used. If a Timing Advance Index is included in the assignment message, the mobile station shall use the continuous timing advance procedure, using its allocation on PTCCH (see 3GPP TS 45.010). Otherwise the continuous timing advance procedure shall not be used. For the case where Timing Advance Value is not provided in the assignment message, the mobile station is not allowed to send normal bursts (e.g. PACKET DOWNLINK ACK/NACK message) on the uplink until it receives a valid timing advance either through the continuous timing advance procedure or in a PACKET POWER CONTROL /TIMING ADVANCE message.</w:t>
      </w:r>
    </w:p>
    <w:p w14:paraId="5A79E3DD" w14:textId="77777777" w:rsidR="00711444" w:rsidRPr="004D0DAA" w:rsidRDefault="00711444" w:rsidP="00711444">
      <w:r w:rsidRPr="004D0DAA">
        <w:t>In the case of a mobile station with a Downlink Dual Carrier configuration where the continuous timing advance procedure is used there is no explicit indication of the carrier on which the PTCCH is allocated, and the mobile station shall consider the PTCCH allocation to be on carrier 1 (see sub-clause 5.5.1.7). If a mobile station with a Downlink Dual Carrier configuration receives an assignment message which results in the mobile station no longer being in a Downlink Dual Carrier configuration (but still in packet transfer mode), the mobile station shall consider the PTCCH allocation to be on the carrier on which packet resources are assigned.</w:t>
      </w:r>
    </w:p>
    <w:p w14:paraId="1127696F" w14:textId="77777777" w:rsidR="00711444" w:rsidRPr="004D0DAA" w:rsidRDefault="00711444" w:rsidP="00711444">
      <w:r w:rsidRPr="004D0DAA">
        <w:t>The mobile station shall use information received on the PBCCH to decode the channel descriptions contained in the assignment. If frequency hopping is applied, the mobile station shall use the last CA received on PBCCH to decode the Mobile Allocation. Alternatively, the network may provide a Mobile Allocation in the assignment. The radio resource is assigned to the mobile station in a PACKET DOWNLINK ASSIGNMENT message. On receipt of a PACKET DOWNLINK ASSIGNMENT message, the mobile station shall switch to the assigned PDCHs.</w:t>
      </w:r>
    </w:p>
    <w:p w14:paraId="30047A20" w14:textId="77777777" w:rsidR="00711444" w:rsidRPr="004D0DAA" w:rsidRDefault="00711444" w:rsidP="00711444">
      <w:pPr>
        <w:keepLines/>
      </w:pPr>
      <w:r w:rsidRPr="004D0DAA">
        <w:t>A PACKET DOWNLINK ASSIGNMENT message may indicate an assignment starting time in the TBF Starting Time parameter. The mobile station shall monitor PCCCH until the point in time denoted by the TBF Starting Time. If the mobile station receives more than one PACKET DOWNLINK ASSIGNMENT message while it monitors the PCCCH, it shall act upon the most recently received message and shall ignore the previous message.</w:t>
      </w:r>
    </w:p>
    <w:p w14:paraId="36CDFD4F" w14:textId="77777777" w:rsidR="00711444" w:rsidRPr="004D0DAA" w:rsidRDefault="00711444" w:rsidP="00711444">
      <w:r w:rsidRPr="004D0DAA">
        <w:lastRenderedPageBreak/>
        <w:t>When the PACKET DOWNLINK ASSIGNMENT message is received and after awaiting the point in time denoted by the TBF Starting Time, if such is indicated, the mobile station shall switch to the assigned PDCHs and start timer T3190. The timer T3190 is restarted when receiving the first valid RLC data block addressed to the mobile station.</w:t>
      </w:r>
      <w:r w:rsidRPr="004D0DAA">
        <w:rPr>
          <w:rFonts w:eastAsia="SimSun"/>
          <w:lang w:eastAsia="zh-CN" w:bidi="he-IL"/>
        </w:rPr>
        <w:t xml:space="preserve"> In EGPRS TBF mode </w:t>
      </w:r>
      <w:r w:rsidRPr="004D0DAA">
        <w:t>T3190 is also restarted</w:t>
      </w:r>
      <w:r w:rsidRPr="004D0DAA">
        <w:rPr>
          <w:rFonts w:eastAsia="SimSun"/>
          <w:lang w:eastAsia="zh-CN" w:bidi="he-IL"/>
        </w:rPr>
        <w:t xml:space="preserve"> when receiving an </w:t>
      </w:r>
      <w:r w:rsidRPr="004D0DAA">
        <w:t>erroneous RLC data block for which the header is correctly received and which addresses the mobile station.</w:t>
      </w:r>
    </w:p>
    <w:p w14:paraId="177B97D1" w14:textId="77777777" w:rsidR="00711444" w:rsidRPr="004D0DAA" w:rsidRDefault="00711444" w:rsidP="00711444">
      <w:r w:rsidRPr="004D0DAA">
        <w:t>When the mobile station switches to the assigned PDCHs, it shall take the power control parameters received in the PACKET DOWNLINK ASSIGNMENT message into account, perform signal strength measurements and apply output power control procedures as they are defined for packet transfer mode or MAC-Shared state (see 3GPP TS 45.008). In the case of a mobile station with a Downlink Dual Carrier configuration, the power control parameters may be different for each of the two carriers.</w:t>
      </w:r>
    </w:p>
    <w:p w14:paraId="7B7BF7C7" w14:textId="77777777" w:rsidR="00711444" w:rsidRPr="004D0DAA" w:rsidRDefault="00711444" w:rsidP="00711444">
      <w:r w:rsidRPr="004D0DAA">
        <w:t>On expiry of timer T3190, the mobile station shall abort the procedure and return to packet idle mode or MAC-Idle state.</w:t>
      </w:r>
    </w:p>
    <w:p w14:paraId="5DDD78BD" w14:textId="77777777" w:rsidR="00711444" w:rsidRPr="004D0DAA" w:rsidRDefault="00711444" w:rsidP="00711444">
      <w:pPr>
        <w:pStyle w:val="Heading4"/>
      </w:pPr>
      <w:bookmarkStart w:id="173" w:name="_Toc516669361"/>
      <w:r w:rsidRPr="004D0DAA">
        <w:t>7.2.1.2</w:t>
      </w:r>
      <w:r w:rsidRPr="004D0DAA">
        <w:tab/>
        <w:t>Packet downlink assignment procedure completion</w:t>
      </w:r>
      <w:bookmarkEnd w:id="173"/>
    </w:p>
    <w:p w14:paraId="146DD6C9" w14:textId="77777777" w:rsidR="00711444" w:rsidRPr="004D0DAA" w:rsidRDefault="00711444" w:rsidP="00711444">
      <w:r w:rsidRPr="004D0DAA">
        <w:t>The packet downlink assignment procedure is completed when the mobile station receives a valid RLC/MAC block. The mobile station has entered the packet transfer mode or MAC-Shared state.</w:t>
      </w:r>
    </w:p>
    <w:p w14:paraId="54D5949E" w14:textId="77777777" w:rsidR="00711444" w:rsidRPr="004D0DAA" w:rsidRDefault="00711444" w:rsidP="00711444">
      <w:pPr>
        <w:pStyle w:val="Heading4"/>
      </w:pPr>
      <w:bookmarkStart w:id="174" w:name="_Toc516669362"/>
      <w:r w:rsidRPr="004D0DAA">
        <w:t>7.2.1.3</w:t>
      </w:r>
      <w:r w:rsidRPr="004D0DAA">
        <w:tab/>
        <w:t>Packet polling procedure</w:t>
      </w:r>
      <w:bookmarkEnd w:id="174"/>
    </w:p>
    <w:p w14:paraId="20B342B3" w14:textId="77777777" w:rsidR="00711444" w:rsidRPr="004D0DAA" w:rsidRDefault="00711444" w:rsidP="00711444">
      <w:r w:rsidRPr="004D0DAA">
        <w:t>The network may send to the mobile station a PACKET POLLING REQUEST message. If the MS has received a PACKET DOWNLINK ASSIGNMENT message with no starting time or with a starting time that has already elapsed, the PACKET POLLING REQUEST message shall be sent on PACCH. Otherwise the PACKET POLLING REQUEST message shall be sent on PAGCH. The mobile station shall be addressed by its TLLI (</w:t>
      </w:r>
      <w:r w:rsidRPr="004D0DAA">
        <w:rPr>
          <w:i/>
        </w:rPr>
        <w:t>A/Gb mode</w:t>
      </w:r>
      <w:r w:rsidRPr="004D0DAA">
        <w:t>), G-RNTI (</w:t>
      </w:r>
      <w:r w:rsidRPr="004D0DAA">
        <w:rPr>
          <w:i/>
        </w:rPr>
        <w:t>Iu mode</w:t>
      </w:r>
      <w:r w:rsidRPr="004D0DAA">
        <w:t>) or TFI.</w:t>
      </w:r>
    </w:p>
    <w:p w14:paraId="18128394" w14:textId="77777777" w:rsidR="00711444" w:rsidRPr="004D0DAA" w:rsidRDefault="00711444" w:rsidP="00711444">
      <w:r w:rsidRPr="004D0DAA">
        <w:t>On receipt of a PACKET POLLING REQUEST message, the mobile station shall respond to the network with the PACKET CONTROL ACKNOWLEDGEMENT message in the reserved uplink radio block specified by the RRBP field as defined in sub-clause 10.4.5. The reserved block is considered as a one block PACCH allocation.</w:t>
      </w:r>
    </w:p>
    <w:p w14:paraId="194E813C" w14:textId="77777777" w:rsidR="00711444" w:rsidRPr="004D0DAA" w:rsidRDefault="00711444" w:rsidP="00711444">
      <w:pPr>
        <w:pStyle w:val="Heading3"/>
      </w:pPr>
      <w:bookmarkStart w:id="175" w:name="_Toc516669363"/>
      <w:r w:rsidRPr="004D0DAA">
        <w:t>7.2.2</w:t>
      </w:r>
      <w:r w:rsidRPr="004D0DAA">
        <w:tab/>
        <w:t>Abnormal cases</w:t>
      </w:r>
      <w:bookmarkEnd w:id="175"/>
    </w:p>
    <w:p w14:paraId="73C0A4AC" w14:textId="77777777" w:rsidR="00711444" w:rsidRPr="004D0DAA" w:rsidRDefault="00711444" w:rsidP="00711444">
      <w:r w:rsidRPr="004D0DAA">
        <w:t>If a failure occurs on the mobile station side of the new TBF before mobile station has successfully entered the packet transfer mode or MAC-Shared state, the newly reserved resources are released; the subsequent behaviour of the mobile station depends on the type of failure and previous actions.</w:t>
      </w:r>
    </w:p>
    <w:p w14:paraId="407A5E6F" w14:textId="77777777" w:rsidR="00711444" w:rsidRPr="004D0DAA" w:rsidRDefault="00711444" w:rsidP="00711444">
      <w:pPr>
        <w:pStyle w:val="B1"/>
      </w:pPr>
      <w:r w:rsidRPr="004D0DAA">
        <w:t>-</w:t>
      </w:r>
      <w:r w:rsidRPr="004D0DAA">
        <w:tab/>
        <w:t>If the mobile station has been assigned more PDCHs than it supports according to the relevant multislot configuration as defined in 3GPP TS 45.002, the mobile station shall return to packet idle mode or MAC-Idle state;</w:t>
      </w:r>
    </w:p>
    <w:p w14:paraId="31859D38" w14:textId="77777777" w:rsidR="00711444" w:rsidRPr="004D0DAA" w:rsidRDefault="00711444" w:rsidP="00711444">
      <w:pPr>
        <w:pStyle w:val="B1"/>
      </w:pPr>
      <w:r w:rsidRPr="004D0DAA">
        <w:t>-</w:t>
      </w:r>
      <w:r w:rsidRPr="004D0DAA">
        <w:tab/>
        <w:t>If the mobile station has been assigned a TBF in EGPRS TBF mode and the MS does not support EGPRS, the MS shall return to packet idle mode or MAC-Idle state</w:t>
      </w:r>
      <w:r w:rsidRPr="004D0DAA">
        <w:rPr>
          <w:sz w:val="16"/>
        </w:rPr>
        <w:t xml:space="preserve"> </w:t>
      </w:r>
      <w:r w:rsidRPr="004D0DAA">
        <w:t>and notify higher layers (TBF establishment failure);</w:t>
      </w:r>
    </w:p>
    <w:p w14:paraId="6DED3F76" w14:textId="77777777" w:rsidR="00711444" w:rsidRPr="004D0DAA" w:rsidRDefault="00711444" w:rsidP="00711444">
      <w:pPr>
        <w:pStyle w:val="B1"/>
      </w:pPr>
      <w:r w:rsidRPr="004D0DAA">
        <w:t>-</w:t>
      </w:r>
      <w:r w:rsidRPr="004D0DAA">
        <w:tab/>
        <w:t>On expiry of timer T3190, the mobile station shall return to packet idle mode or MAC-Idle state;</w:t>
      </w:r>
    </w:p>
    <w:p w14:paraId="41A89511" w14:textId="77777777" w:rsidR="00711444" w:rsidRPr="004D0DAA" w:rsidRDefault="00711444" w:rsidP="00711444">
      <w:pPr>
        <w:pStyle w:val="B1"/>
      </w:pPr>
      <w:r w:rsidRPr="004D0DAA">
        <w:t>-</w:t>
      </w:r>
      <w:r w:rsidRPr="004D0DAA">
        <w:tab/>
        <w:t>If the failure is due to any other reason, the mobile station shall return to packet idle mode or MAC-Idle state and cell reselection continues.</w:t>
      </w:r>
    </w:p>
    <w:p w14:paraId="7B6B891C" w14:textId="77777777" w:rsidR="00711444" w:rsidRPr="004D0DAA" w:rsidRDefault="00711444" w:rsidP="00711444">
      <w:pPr>
        <w:pStyle w:val="Heading2"/>
      </w:pPr>
      <w:bookmarkStart w:id="176" w:name="_Toc516669364"/>
      <w:r w:rsidRPr="004D0DAA">
        <w:t>7.3</w:t>
      </w:r>
      <w:r w:rsidRPr="004D0DAA">
        <w:tab/>
        <w:t>Procedure for measurement report sending in packet idle mode</w:t>
      </w:r>
      <w:bookmarkEnd w:id="176"/>
    </w:p>
    <w:p w14:paraId="6777F280" w14:textId="77777777" w:rsidR="00711444" w:rsidRPr="004D0DAA" w:rsidRDefault="00711444" w:rsidP="00711444">
      <w:r w:rsidRPr="004D0DAA">
        <w:t>The procedure for measurement report sending shall be initiated by the mobile station at expiry of the NC measurement report interval timer T3158. At expiry of the timer T3158 the mobile station shall restart the expired timer T3158, perform the measurements and initiate the packet access.</w:t>
      </w:r>
    </w:p>
    <w:p w14:paraId="7F9F1819" w14:textId="77777777" w:rsidR="00711444" w:rsidRPr="004D0DAA" w:rsidRDefault="00711444" w:rsidP="00711444">
      <w:r w:rsidRPr="004D0DAA">
        <w:t>The procedure for measurement report sending is initiated by the mobile station either on PCCCH (sub-clause 7.3.1) or, if a packet control channel not exists, on CCCH (sub-clause 7.3.2).</w:t>
      </w:r>
    </w:p>
    <w:p w14:paraId="156C841A" w14:textId="77777777" w:rsidR="00711444" w:rsidRPr="004D0DAA" w:rsidRDefault="00711444" w:rsidP="00711444">
      <w:pPr>
        <w:keepLines/>
      </w:pPr>
      <w:r w:rsidRPr="004D0DAA">
        <w:lastRenderedPageBreak/>
        <w:t>If the mobile station initiates the establishment of an RR connection, the timer T3158 shall be stopped and no measurement reports shall be sent. When the RR connection is released and if the mobile station has not changed cell, the measurement reporting procedure shall be restarted.</w:t>
      </w:r>
    </w:p>
    <w:p w14:paraId="7F148739" w14:textId="77777777" w:rsidR="00711444" w:rsidRPr="004D0DAA" w:rsidRDefault="00711444" w:rsidP="00711444">
      <w:r w:rsidRPr="004D0DAA">
        <w:t>If a cell change has occurred during the RR connection, the measurements shall be cancelled until new NC orders have been received (see sub-clause 5.6).</w:t>
      </w:r>
    </w:p>
    <w:p w14:paraId="5194953C" w14:textId="77777777" w:rsidR="00711444" w:rsidRPr="004D0DAA" w:rsidRDefault="00711444" w:rsidP="00711444">
      <w:pPr>
        <w:pStyle w:val="Heading3"/>
      </w:pPr>
      <w:bookmarkStart w:id="177" w:name="_Toc516669365"/>
      <w:r w:rsidRPr="004D0DAA">
        <w:t>7.3.1</w:t>
      </w:r>
      <w:r w:rsidRPr="004D0DAA">
        <w:tab/>
        <w:t>Measurement report sending procedure initiated on PCCCH</w:t>
      </w:r>
      <w:bookmarkEnd w:id="177"/>
    </w:p>
    <w:p w14:paraId="4C2DFEA1" w14:textId="77777777" w:rsidR="00711444" w:rsidRPr="004D0DAA" w:rsidRDefault="00711444" w:rsidP="00711444">
      <w:r w:rsidRPr="004D0DAA">
        <w:t>The packet access procedure is initiated by the RR entity in the mobile station as specified in sub-clauses 7.1.2.1 and 7.1.2.2 but with access type "Single block without TBF establishment" indicated in the PACKET CHANNEL REQUEST message. In the following sub-clauses the procedure is only briefly summarised and special requirements are indicated.</w:t>
      </w:r>
    </w:p>
    <w:p w14:paraId="1B8E4C8B" w14:textId="77777777" w:rsidR="00711444" w:rsidRPr="004D0DAA" w:rsidRDefault="00711444" w:rsidP="00711444">
      <w:pPr>
        <w:pStyle w:val="Heading4"/>
      </w:pPr>
      <w:bookmarkStart w:id="178" w:name="_Toc516669366"/>
      <w:r w:rsidRPr="004D0DAA">
        <w:t>7.3.1.1</w:t>
      </w:r>
      <w:r w:rsidRPr="004D0DAA">
        <w:tab/>
        <w:t>On receipt of a PACKET CHANNEL REQUEST message</w:t>
      </w:r>
      <w:bookmarkEnd w:id="178"/>
    </w:p>
    <w:p w14:paraId="3D1B331C" w14:textId="77777777" w:rsidR="00711444" w:rsidRPr="004D0DAA" w:rsidRDefault="00711444" w:rsidP="00711444">
      <w:r w:rsidRPr="004D0DAA">
        <w:t>On receipt of a PACKET CHANNEL REQUEST message with access type indicating 'Single block without TBF establishment', the network may allocate one radio block on an uplink PDCH.</w:t>
      </w:r>
    </w:p>
    <w:p w14:paraId="57847F01" w14:textId="77777777" w:rsidR="00711444" w:rsidRPr="004D0DAA" w:rsidRDefault="00711444" w:rsidP="00711444">
      <w:r w:rsidRPr="004D0DAA">
        <w:t>If uplink resources are not available, the network may reject the access request by sending a PACKET ACCESS REJECT message (see sub-clause 7.3.1.3). The network shall not respond to a packet access for measurement reporting by sending a PACKET QUEUING NOTIFICATION message.</w:t>
      </w:r>
    </w:p>
    <w:p w14:paraId="11092E4B" w14:textId="77777777" w:rsidR="00711444" w:rsidRPr="004D0DAA" w:rsidRDefault="00711444" w:rsidP="00711444">
      <w:r w:rsidRPr="004D0DAA">
        <w:t>The radio resource is assigned to the mobile station in a PACKET UPLINK ASSIGNMENT message sent on any PAGCH on the same PCCCH on which the network has received the PACKET CHANNEL REQUEST message. The PACKET UPLINK ASSIGNMENT message shall include the following optional parameters:</w:t>
      </w:r>
    </w:p>
    <w:p w14:paraId="2841C06D" w14:textId="77777777" w:rsidR="00711444" w:rsidRPr="004D0DAA" w:rsidRDefault="00711444" w:rsidP="00711444">
      <w:pPr>
        <w:pStyle w:val="B1"/>
      </w:pPr>
      <w:r w:rsidRPr="004D0DAA">
        <w:t>-</w:t>
      </w:r>
      <w:r w:rsidRPr="004D0DAA">
        <w:tab/>
        <w:t>Power Control Parameters with timeslot allocation;</w:t>
      </w:r>
    </w:p>
    <w:p w14:paraId="7D7FCC84" w14:textId="77777777" w:rsidR="00711444" w:rsidRPr="004D0DAA" w:rsidRDefault="00711444" w:rsidP="00711444">
      <w:pPr>
        <w:pStyle w:val="B1"/>
      </w:pPr>
      <w:r w:rsidRPr="004D0DAA">
        <w:t>-</w:t>
      </w:r>
      <w:r w:rsidRPr="004D0DAA">
        <w:tab/>
        <w:t>Frequency parameters;</w:t>
      </w:r>
    </w:p>
    <w:p w14:paraId="2AD5E9A0" w14:textId="77777777" w:rsidR="00711444" w:rsidRPr="004D0DAA" w:rsidRDefault="00711444" w:rsidP="00711444">
      <w:pPr>
        <w:pStyle w:val="B1"/>
      </w:pPr>
      <w:r w:rsidRPr="004D0DAA">
        <w:t>-</w:t>
      </w:r>
      <w:r w:rsidRPr="004D0DAA">
        <w:tab/>
        <w:t>TBF_STARTING_TIME indicating the frame number of the allocated block;</w:t>
      </w:r>
    </w:p>
    <w:p w14:paraId="6B707AC3" w14:textId="77777777" w:rsidR="00711444" w:rsidRPr="004D0DAA" w:rsidRDefault="00711444" w:rsidP="00711444">
      <w:pPr>
        <w:pStyle w:val="B1"/>
      </w:pPr>
      <w:r w:rsidRPr="004D0DAA">
        <w:t>-</w:t>
      </w:r>
      <w:r w:rsidRPr="004D0DAA">
        <w:tab/>
        <w:t>TIMING_ADVANCE_VALUE;</w:t>
      </w:r>
    </w:p>
    <w:p w14:paraId="55226A4C" w14:textId="77777777" w:rsidR="00711444" w:rsidRPr="004D0DAA" w:rsidRDefault="00711444" w:rsidP="00711444">
      <w:pPr>
        <w:pStyle w:val="B1"/>
      </w:pPr>
      <w:r w:rsidRPr="004D0DAA">
        <w:t>-</w:t>
      </w:r>
      <w:r w:rsidRPr="004D0DAA">
        <w:tab/>
        <w:t>Packet Request Reference.</w:t>
      </w:r>
    </w:p>
    <w:p w14:paraId="2454CF56" w14:textId="77777777" w:rsidR="00711444" w:rsidRPr="004D0DAA" w:rsidRDefault="00711444" w:rsidP="00711444">
      <w:pPr>
        <w:pStyle w:val="Heading4"/>
      </w:pPr>
      <w:bookmarkStart w:id="179" w:name="_Toc516669367"/>
      <w:r w:rsidRPr="004D0DAA">
        <w:t>7.3.1.2</w:t>
      </w:r>
      <w:r w:rsidRPr="004D0DAA">
        <w:tab/>
        <w:t>On receipt of a PACKET UPLINK ASSIGNMENT message</w:t>
      </w:r>
      <w:bookmarkEnd w:id="179"/>
    </w:p>
    <w:p w14:paraId="64A2D508" w14:textId="77777777" w:rsidR="00711444" w:rsidRPr="004D0DAA" w:rsidRDefault="00711444" w:rsidP="00711444">
      <w:r w:rsidRPr="004D0DAA">
        <w:t>When receiving a PACKET UPLINK ASSIGNMENT message the mobile station shall send either the PACKET MEASUREMENT REPORT message or the PACKET ENHANCED MEASUREMENT REPORT message in the allocated radio block on the assigned PDCH and immediately switch back to the PCCCH in non-DRX mode (see sub-clause 5.5.1.5). No TBF is established and the network shall not acknowledge the reception of the PACKET MEASUREMENT REPORT message or the PACKET ENHANCED MEASUREMENT REPORT message.</w:t>
      </w:r>
    </w:p>
    <w:p w14:paraId="55D375FD" w14:textId="77777777" w:rsidR="00711444" w:rsidRPr="004D0DAA" w:rsidRDefault="00711444" w:rsidP="00711444">
      <w:r w:rsidRPr="004D0DAA">
        <w:t>The PACKET MEASUREMENT REPORT message shall contain the NC Measurement Report struct.</w:t>
      </w:r>
    </w:p>
    <w:p w14:paraId="2C623BD6" w14:textId="77777777" w:rsidR="00711444" w:rsidRPr="004D0DAA" w:rsidRDefault="00711444" w:rsidP="00711444">
      <w:pPr>
        <w:rPr>
          <w:lang w:eastAsia="ko-KR"/>
        </w:rPr>
      </w:pPr>
      <w:r w:rsidRPr="004D0DAA">
        <w:t xml:space="preserve">If </w:t>
      </w:r>
      <w:r w:rsidRPr="004D0DAA">
        <w:rPr>
          <w:lang w:eastAsia="ko-KR"/>
        </w:rPr>
        <w:t xml:space="preserve">timer </w:t>
      </w:r>
      <w:r w:rsidRPr="004D0DAA">
        <w:t xml:space="preserve">T3170 expires before a PACKET UPLINK ASSIGNMENT message is received, the packet access procedure is aborted, the transmission of the measurement report for that measurement period is cancelled, and the mobile station </w:t>
      </w:r>
      <w:r w:rsidRPr="004D0DAA">
        <w:rPr>
          <w:lang w:eastAsia="ko-KR"/>
        </w:rPr>
        <w:t>shall indicate a random access failure to upper layer and perform autonomous cell re-selection.</w:t>
      </w:r>
    </w:p>
    <w:p w14:paraId="4F9E3AD0" w14:textId="77777777" w:rsidR="00711444" w:rsidRPr="004D0DAA" w:rsidRDefault="00711444" w:rsidP="00711444">
      <w:pPr>
        <w:pStyle w:val="Heading4"/>
      </w:pPr>
      <w:bookmarkStart w:id="180" w:name="_Toc516669368"/>
      <w:r w:rsidRPr="004D0DAA">
        <w:t>7.3.1.3</w:t>
      </w:r>
      <w:r w:rsidRPr="004D0DAA">
        <w:tab/>
        <w:t>On receipt of a PACKET ACCESS REJECT message</w:t>
      </w:r>
      <w:bookmarkEnd w:id="180"/>
    </w:p>
    <w:p w14:paraId="04430EA4" w14:textId="77777777" w:rsidR="00711444" w:rsidRPr="004D0DAA" w:rsidRDefault="00711444" w:rsidP="00711444">
      <w:r w:rsidRPr="004D0DAA">
        <w:t>The network may send to the mobile station a PACKET ACCESS REJECT message.</w:t>
      </w:r>
    </w:p>
    <w:p w14:paraId="1B954B39" w14:textId="77777777" w:rsidR="00711444" w:rsidRPr="004D0DAA" w:rsidRDefault="00711444" w:rsidP="00711444">
      <w:r w:rsidRPr="004D0DAA">
        <w:t>The mobile station shall react to this as described in sub-clause 7.1.2.2.4 with the exception of the actions taken when either of the timers T3172 or T3162 expires. In this case, the measurement report initiating the packet access shall be discarded and the mobile station shall return to packet idle mode or MAC-Idle state.</w:t>
      </w:r>
    </w:p>
    <w:p w14:paraId="49739289" w14:textId="77777777" w:rsidR="00711444" w:rsidRPr="004D0DAA" w:rsidRDefault="00711444" w:rsidP="00711444">
      <w:r w:rsidRPr="004D0DAA">
        <w:t>If the measurement report interval timer T3158 expires before any of the timers T3172 or T3162 expires, no new measurement shall be initiated but the timer T3158 shall be restarted.</w:t>
      </w:r>
    </w:p>
    <w:p w14:paraId="71C980E3" w14:textId="77777777" w:rsidR="00711444" w:rsidRPr="004D0DAA" w:rsidRDefault="00711444" w:rsidP="00711444">
      <w:pPr>
        <w:pStyle w:val="Heading4"/>
      </w:pPr>
      <w:bookmarkStart w:id="181" w:name="_Toc516669369"/>
      <w:r w:rsidRPr="004D0DAA">
        <w:lastRenderedPageBreak/>
        <w:t>7.3.1.4</w:t>
      </w:r>
      <w:r w:rsidRPr="004D0DAA">
        <w:tab/>
        <w:t>Abnormal cases</w:t>
      </w:r>
      <w:bookmarkEnd w:id="181"/>
    </w:p>
    <w:p w14:paraId="5A626C9D" w14:textId="77777777" w:rsidR="00711444" w:rsidRPr="004D0DAA" w:rsidRDefault="00711444" w:rsidP="00711444">
      <w:pPr>
        <w:keepNext/>
        <w:rPr>
          <w:lang w:eastAsia="ko-KR"/>
        </w:rPr>
      </w:pPr>
      <w:r w:rsidRPr="004D0DAA">
        <w:rPr>
          <w:lang w:eastAsia="ko-KR"/>
        </w:rPr>
        <w:t>I</w:t>
      </w:r>
      <w:r w:rsidRPr="004D0DAA">
        <w:t>f the PACKET UPLINK ASSIGNMENT message contains faulty parameters, the mobile station shall abort the</w:t>
      </w:r>
      <w:r w:rsidRPr="004D0DAA">
        <w:rPr>
          <w:lang w:eastAsia="ko-KR"/>
        </w:rPr>
        <w:t xml:space="preserve"> packet access</w:t>
      </w:r>
      <w:r w:rsidRPr="004D0DAA">
        <w:t xml:space="preserve"> procedure and return to packet idle mode or MAC-Idle state. The measurement report initiating the packet access shall be discarded.</w:t>
      </w:r>
    </w:p>
    <w:p w14:paraId="0CEDAF76" w14:textId="77777777" w:rsidR="00711444" w:rsidRPr="004D0DAA" w:rsidRDefault="00711444" w:rsidP="00711444">
      <w:r w:rsidRPr="004D0DAA">
        <w:t xml:space="preserve">If the mobile station receives either a PACKET QUEUING NOTIFICATION message or a PACKET POLLING REQUEST message, the mobile station shall abort the </w:t>
      </w:r>
      <w:r w:rsidRPr="004D0DAA">
        <w:rPr>
          <w:lang w:eastAsia="ko-KR"/>
        </w:rPr>
        <w:t xml:space="preserve">packet access </w:t>
      </w:r>
      <w:r w:rsidRPr="004D0DAA">
        <w:t>procedure and return to packet idle mode or MAC-Idle state. The measurement report initiating the packet access shall be discarded.</w:t>
      </w:r>
    </w:p>
    <w:p w14:paraId="1570EEFA" w14:textId="77777777" w:rsidR="00711444" w:rsidRPr="004D0DAA" w:rsidRDefault="00711444" w:rsidP="00711444">
      <w:pPr>
        <w:pStyle w:val="Heading3"/>
      </w:pPr>
      <w:bookmarkStart w:id="182" w:name="_Toc516669370"/>
      <w:r w:rsidRPr="004D0DAA">
        <w:t>7.3.2</w:t>
      </w:r>
      <w:r w:rsidRPr="004D0DAA">
        <w:tab/>
        <w:t>Measurement report sending procedure initiated on CCCH</w:t>
      </w:r>
      <w:bookmarkEnd w:id="182"/>
    </w:p>
    <w:p w14:paraId="288CADA3" w14:textId="77777777" w:rsidR="00711444" w:rsidRPr="004D0DAA" w:rsidRDefault="00711444" w:rsidP="00711444">
      <w:r w:rsidRPr="004D0DAA">
        <w:t>For detailed description of the procedures following in this sub-clause, see 3GPP TS 44.018. The procedure is here only briefly summarised and special requirements are indicated.</w:t>
      </w:r>
    </w:p>
    <w:p w14:paraId="37EDFE43" w14:textId="77777777" w:rsidR="00711444" w:rsidRPr="004D0DAA" w:rsidRDefault="00711444" w:rsidP="00711444">
      <w:r w:rsidRPr="004D0DAA">
        <w:t>The packet access procedure is initiated by the RR entity in the mobile station. The mobile station sends a CHANNEL REQUEST message indicating ‘Single block packet access' on RACH. The network shall then respond with either an IMMEDIATE ASSIGNMENT message granting a "single block access" on a PDCH or an IMMEDIATE ASSIGNMENT REJECT message (see 3GPP TS 44.018).</w:t>
      </w:r>
    </w:p>
    <w:p w14:paraId="40402516" w14:textId="77777777" w:rsidR="00711444" w:rsidRPr="004D0DAA" w:rsidRDefault="00711444" w:rsidP="00711444">
      <w:r w:rsidRPr="004D0DAA">
        <w:t>If a PDCH block is assigned, the mobile station shall send either the PACKET MEASUREMENT REPORT message or the PACKET ENHANCED MEASUREMENT REPORT message in the allocated radio block on the assigned PDCH and then immediately switch back to the CCCH in non-DRX mode (see sub-clause 5.5.1.5). No TBF is established and the network shall not acknowledge the reception of the PACKET MEASUREMENT REPORT message or the PACKET ENHANCED MEASUREMENT REPORT message.</w:t>
      </w:r>
    </w:p>
    <w:p w14:paraId="77DB812D" w14:textId="77777777" w:rsidR="00711444" w:rsidRPr="004D0DAA" w:rsidRDefault="00711444" w:rsidP="00711444">
      <w:r w:rsidRPr="004D0DAA">
        <w:t>The PACKET MEASUREMENT REPORT message shall contain the NC Measurement Report struct.</w:t>
      </w:r>
    </w:p>
    <w:p w14:paraId="3AF7806D" w14:textId="77777777" w:rsidR="00711444" w:rsidRPr="004D0DAA" w:rsidRDefault="00711444" w:rsidP="00711444">
      <w:r w:rsidRPr="004D0DAA">
        <w:t>On receipt of an IMMEDIATE ASSIGNMENT REJECT message the mobile station shall follow the procedure specified in 3GPP TS 44.018 sub-clause ‘Packet access rejection' with the exception of the actions taken when either of the 3GPP TS 44.018 timers T3142 or T3146 expires. In this case, the measurement report initiating the packet access shall be discarded and the mobile station shall return to packet idle mode.</w:t>
      </w:r>
    </w:p>
    <w:p w14:paraId="4406B0C9" w14:textId="77777777" w:rsidR="00711444" w:rsidRPr="004D0DAA" w:rsidRDefault="00711444" w:rsidP="00711444">
      <w:r w:rsidRPr="004D0DAA">
        <w:t>If the measurement report interval timer T3158 expires before any of the 3GPP TS 44.018 timers T3142 or T3146 expires, no new measurement shall be initiated but the timer T3158 shall be restarted.</w:t>
      </w:r>
    </w:p>
    <w:p w14:paraId="4FB8EB08" w14:textId="77777777" w:rsidR="00711444" w:rsidRPr="004D0DAA" w:rsidRDefault="00711444" w:rsidP="00711444">
      <w:pPr>
        <w:pStyle w:val="Heading2"/>
      </w:pPr>
      <w:bookmarkStart w:id="183" w:name="_Toc516669371"/>
      <w:r w:rsidRPr="004D0DAA">
        <w:t>7.4</w:t>
      </w:r>
      <w:r w:rsidRPr="004D0DAA">
        <w:tab/>
        <w:t>Cell Change Order procedures in Packet Idle mode</w:t>
      </w:r>
      <w:bookmarkEnd w:id="183"/>
    </w:p>
    <w:p w14:paraId="041D6DD9" w14:textId="77777777" w:rsidR="00711444" w:rsidRPr="004D0DAA" w:rsidRDefault="00711444" w:rsidP="00711444">
      <w:r w:rsidRPr="004D0DAA">
        <w:t>For an individual mobile station in packet idle mode, the network may initiate the cell change order procedure either on PCCCH or, if a packet control channel does not exist, on CCCH.</w:t>
      </w:r>
    </w:p>
    <w:p w14:paraId="780BCC6F" w14:textId="77777777" w:rsidR="00711444" w:rsidRPr="004D0DAA" w:rsidRDefault="00711444" w:rsidP="00711444">
      <w:pPr>
        <w:pStyle w:val="Heading3"/>
      </w:pPr>
      <w:bookmarkStart w:id="184" w:name="_Toc516669372"/>
      <w:r w:rsidRPr="004D0DAA">
        <w:t>7.4.1</w:t>
      </w:r>
      <w:r w:rsidRPr="004D0DAA">
        <w:tab/>
        <w:t>Cell Change Order procedure initiated on PCCCH</w:t>
      </w:r>
      <w:bookmarkEnd w:id="184"/>
    </w:p>
    <w:p w14:paraId="77AEBDC6" w14:textId="77777777" w:rsidR="00711444" w:rsidRPr="004D0DAA" w:rsidRDefault="00711444" w:rsidP="00711444">
      <w:r w:rsidRPr="004D0DAA">
        <w:t>The network may initiate the cell change order procedure by sending a PACKET CELL CHANGE ORDER message in a PCCCH block monitored by the mobile station. No TBF shall be established.</w:t>
      </w:r>
    </w:p>
    <w:p w14:paraId="05B35416" w14:textId="77777777" w:rsidR="00711444" w:rsidRPr="004D0DAA" w:rsidRDefault="00711444" w:rsidP="00711444">
      <w:r w:rsidRPr="004D0DAA">
        <w:t>The PACKET CELL CHANGE ORDER message contains:</w:t>
      </w:r>
    </w:p>
    <w:p w14:paraId="4BAD8CE9" w14:textId="77777777" w:rsidR="00711444" w:rsidRPr="004D0DAA" w:rsidRDefault="00711444" w:rsidP="00711444">
      <w:pPr>
        <w:pStyle w:val="B1"/>
      </w:pPr>
      <w:r w:rsidRPr="004D0DAA">
        <w:t>-</w:t>
      </w:r>
      <w:r w:rsidRPr="004D0DAA">
        <w:tab/>
        <w:t>The characteristics of the new cell that are necessary to identify it (i.e. BSIC + BCCH frequency);</w:t>
      </w:r>
    </w:p>
    <w:p w14:paraId="5C0393F8" w14:textId="77777777" w:rsidR="00711444" w:rsidRPr="004D0DAA" w:rsidRDefault="00711444" w:rsidP="00711444">
      <w:pPr>
        <w:pStyle w:val="B1"/>
      </w:pPr>
      <w:r w:rsidRPr="004D0DAA">
        <w:t>-</w:t>
      </w:r>
      <w:r w:rsidRPr="004D0DAA">
        <w:tab/>
        <w:t>The NC measurement parameters valid for the mobile station in the new cell (NETWORK_CONTROL_ORDER and optionally: NC_NON_DRX_PERIOD, NC_REPORTING_PERIOD_I and NC_REPORTING_PERIOD_T).</w:t>
      </w:r>
    </w:p>
    <w:p w14:paraId="10507C52" w14:textId="77777777" w:rsidR="00711444" w:rsidRPr="004D0DAA" w:rsidRDefault="00711444" w:rsidP="00711444">
      <w:r w:rsidRPr="004D0DAA">
        <w:t>For a multi-RAT mobile station supporting UTRAN, the PACKET CELL CHANGE ORDER message may contain information on a UTRAN target cell; in this case, the establishment of channel(s) and subsequent measurement reporting are defined in 3GPP TS 25.331.</w:t>
      </w:r>
    </w:p>
    <w:p w14:paraId="7ABE067D" w14:textId="77777777" w:rsidR="00711444" w:rsidRPr="004D0DAA" w:rsidRDefault="00711444" w:rsidP="00711444">
      <w:r w:rsidRPr="004D0DAA">
        <w:t>For a multi-RAT mobile station supporting "CCN towards E-UTRAN, E-UTRAN Neighbour Cell measurement reporting and Network controlled cell reselection to E-UTRAN", the PACKET CELL CHANGE ORDER message may contain information on an E-UTRAN target cell; in this case, the establishment of channel(s) and subsequent measurement reporting are defined in 3GPP TS 36.331.</w:t>
      </w:r>
    </w:p>
    <w:p w14:paraId="670BEC28" w14:textId="77777777" w:rsidR="00711444" w:rsidRPr="004D0DAA" w:rsidRDefault="00711444" w:rsidP="00711444">
      <w:pPr>
        <w:keepNext/>
        <w:keepLines/>
      </w:pPr>
      <w:r w:rsidRPr="004D0DAA">
        <w:lastRenderedPageBreak/>
        <w:t>If the mobile station is not involved in an RR connection, upon receipt of the PACKET CELL CHANGE ORDER message, the mobile station shall stop all relevant RLC/MAC timers except for timers related to measurement reporting and start timer T3174. The mobile station shall then switch to the specified new cell and obey the relevant RLC/MAC procedures on this new cell. If a valid RRBP field was received in the PACKET CELL CHANGE ORDER message then the MS shall send a PACKET CONTROL ACKNOWLEDMENT message in the reserved uplink radio block specified by the RRBP field before switching to the new cell. If the timers related to measurement reporting expire while the reselection procedure has not yet been completed, these timers shall be restarted so that the mobile station resumes the measurement reporting procedures once camped on the new cell. A UTRAN capable mobile station ordered to a UTRAN cell shall obey the PACKET CELL CHANGE ORDER message irrespective of whether the target cell is known or not known (see 3GPP TS 25.133 and 3GPP TS 25.123); a</w:t>
      </w:r>
      <w:r w:rsidRPr="004D0DAA">
        <w:rPr>
          <w:rFonts w:hint="eastAsia"/>
          <w:lang w:eastAsia="zh-TW"/>
        </w:rPr>
        <w:t>n</w:t>
      </w:r>
      <w:r w:rsidRPr="004D0DAA">
        <w:t xml:space="preserve"> E-UTRAN capable mobile station ordered to a</w:t>
      </w:r>
      <w:r w:rsidRPr="004D0DAA">
        <w:rPr>
          <w:rFonts w:hint="eastAsia"/>
          <w:lang w:eastAsia="zh-TW"/>
        </w:rPr>
        <w:t>n</w:t>
      </w:r>
      <w:r w:rsidRPr="004D0DAA">
        <w:t xml:space="preserve"> E-UTRAN cell shall obey the PACKET CELL CHANGE ORDER message irrespective of whether the target cell is known or not known (see 3GPP TS 36.133).</w:t>
      </w:r>
    </w:p>
    <w:p w14:paraId="4F6FB962" w14:textId="77777777" w:rsidR="00711444" w:rsidRPr="004D0DAA" w:rsidRDefault="00711444" w:rsidP="00711444">
      <w:pPr>
        <w:keepNext/>
        <w:keepLines/>
      </w:pPr>
      <w:r w:rsidRPr="004D0DAA">
        <w:t>If the mobile station is involved in an RR connection, the mobile station shall ignore the PACKET CELL CHANGE ORDER message.</w:t>
      </w:r>
    </w:p>
    <w:p w14:paraId="0C27D24D" w14:textId="77777777" w:rsidR="00711444" w:rsidRPr="004D0DAA" w:rsidRDefault="00711444" w:rsidP="00711444">
      <w:r w:rsidRPr="004D0DAA">
        <w:t>The procedure for completion of the cell change order is defined in sub-clause 8.4.1 and abnormal procedures are defined in sub-clause 8.4.2.</w:t>
      </w:r>
    </w:p>
    <w:p w14:paraId="6EBB8473" w14:textId="77777777" w:rsidR="00711444" w:rsidRPr="004D0DAA" w:rsidRDefault="00711444" w:rsidP="00711444">
      <w:pPr>
        <w:pStyle w:val="Heading3"/>
      </w:pPr>
      <w:bookmarkStart w:id="185" w:name="_Toc516669373"/>
      <w:r w:rsidRPr="004D0DAA">
        <w:t>7.4.2</w:t>
      </w:r>
      <w:r w:rsidRPr="004D0DAA">
        <w:tab/>
        <w:t>Cell Change Order procedure initiated on CCCH</w:t>
      </w:r>
      <w:bookmarkEnd w:id="185"/>
    </w:p>
    <w:p w14:paraId="2AD51DA0" w14:textId="77777777" w:rsidR="00711444" w:rsidRPr="004D0DAA" w:rsidRDefault="00711444" w:rsidP="00711444">
      <w:r w:rsidRPr="004D0DAA">
        <w:t>The network may initiate the cell change order procedure by sending an IMMEDIATE ASSIGNMENT message for single block assignment in a CCCH block monitored by the mobile station. No TBF shall be established. The single block assignment procedure is specified in 3GPP TS 44.018.</w:t>
      </w:r>
    </w:p>
    <w:p w14:paraId="4CDE41B1" w14:textId="77777777" w:rsidR="00711444" w:rsidRPr="004D0DAA" w:rsidRDefault="00711444" w:rsidP="00711444">
      <w:r w:rsidRPr="004D0DAA">
        <w:t>The network shall then send the PACKET CELL CHANGE ORDER message in the assigned downlink block to the mobile station. The PACKET CELL CHANGE ORDER message contains:</w:t>
      </w:r>
    </w:p>
    <w:p w14:paraId="058AF07B" w14:textId="77777777" w:rsidR="00711444" w:rsidRPr="004D0DAA" w:rsidRDefault="00711444" w:rsidP="00711444">
      <w:pPr>
        <w:pStyle w:val="B1"/>
      </w:pPr>
      <w:r w:rsidRPr="004D0DAA">
        <w:t>-</w:t>
      </w:r>
      <w:r w:rsidRPr="004D0DAA">
        <w:tab/>
        <w:t>the characteristics of the new cell that are necessary to identify it (i.e. BSIC + BCCH frequency);</w:t>
      </w:r>
    </w:p>
    <w:p w14:paraId="3E38559B" w14:textId="77777777" w:rsidR="00711444" w:rsidRPr="004D0DAA" w:rsidRDefault="00711444" w:rsidP="00711444">
      <w:pPr>
        <w:pStyle w:val="B1"/>
      </w:pPr>
      <w:r w:rsidRPr="004D0DAA">
        <w:t>-</w:t>
      </w:r>
      <w:r w:rsidRPr="004D0DAA">
        <w:tab/>
        <w:t>the NC measurement parameters valid for the mobile station in the new cell (NETWORK_CONTROL_ORDER and optionally: NC_NON_DRX_PERIOD, NC_REPORTING_PERIOD_I and NC_REPORTING_PERIOD_T).</w:t>
      </w:r>
    </w:p>
    <w:p w14:paraId="1238FA9F" w14:textId="77777777" w:rsidR="00711444" w:rsidRPr="004D0DAA" w:rsidRDefault="00711444" w:rsidP="00711444">
      <w:r w:rsidRPr="004D0DAA">
        <w:t xml:space="preserve">For a multi-RAT mobile station supporting UTRAN, the PACKET CELL CHANGE ORDER message may contain information on a UTRAN target cell; in this case, the establishment of channel(s) and subsequent measurement reporting are defined in 3GPP TS 25.331. </w:t>
      </w:r>
    </w:p>
    <w:p w14:paraId="2EF35B09" w14:textId="77777777" w:rsidR="00711444" w:rsidRPr="004D0DAA" w:rsidRDefault="00711444" w:rsidP="00711444">
      <w:r w:rsidRPr="004D0DAA">
        <w:t>For a multi-RAT mobile station supporting "CCN towards E-UTRAN, E-UTRAN Neighbour Cell measurement reporting and Network controlled cell reselection to E-UTRAN", the PACKET CELL CHANGE ORDER message may contain information on an E-UTRAN target cell; in this case, the establishment of channel(s) and subsequent measurement reporting are defined in 3GPP TS 36.331.</w:t>
      </w:r>
    </w:p>
    <w:p w14:paraId="48F847BA" w14:textId="77777777" w:rsidR="00711444" w:rsidRPr="004D0DAA" w:rsidRDefault="00711444" w:rsidP="00711444">
      <w:r w:rsidRPr="004D0DAA">
        <w:t>Upon receipt of the PACKET CELL CHANGE ORDER message, the mobile station shall stop all relevant RLC/MAC timers except for timers related to measurement reporting and start timer T3174. The mobile station shall then switch to the specified new cell and obey the relevant RLC/MAC procedures on this new cell. If a valid RRBP field was received in the PACKET CELL CHANGE ORDER message then the MS shall send a PACKET CONTROL ACKNOWLEDMENT message in the reserved uplink radio block specified by the RRBP field before switching to the new cell. If the timers related to measurement reporting expire while the reselection procedure has not yet been completed, these timers shall be restarted so that the mobile station resumes the measurement reporting procedures once camped on the new cell. A UTRAN capable mobile station ordered to a UTRAN cell shall obey the PACKET CELL CHANGE ORDER message irrespective of whether or not the target cell is known (see 3GPP TS 25.133 and 3GPP TS 25.123); a</w:t>
      </w:r>
      <w:r w:rsidRPr="004D0DAA">
        <w:rPr>
          <w:rFonts w:hint="eastAsia"/>
          <w:lang w:eastAsia="zh-TW"/>
        </w:rPr>
        <w:t>n</w:t>
      </w:r>
      <w:r w:rsidRPr="004D0DAA">
        <w:t xml:space="preserve"> E-UTRAN capable mobile station ordered to a</w:t>
      </w:r>
      <w:r w:rsidRPr="004D0DAA">
        <w:rPr>
          <w:rFonts w:hint="eastAsia"/>
          <w:lang w:eastAsia="zh-TW"/>
        </w:rPr>
        <w:t>n</w:t>
      </w:r>
      <w:r w:rsidRPr="004D0DAA">
        <w:t xml:space="preserve"> E-UTRAN cell shall obey the PACKET CELL CHANGE ORDER message irrespective of whether the target cell is known or not known (see 3GPP TS 36.133).</w:t>
      </w:r>
    </w:p>
    <w:p w14:paraId="77E49424" w14:textId="77777777" w:rsidR="00711444" w:rsidRPr="004D0DAA" w:rsidRDefault="00711444" w:rsidP="00711444">
      <w:r w:rsidRPr="004D0DAA">
        <w:t>The procedure for completion of the cell change order is defined in sub-clause 8.4.1 and abnormal procedures are defined in sub-clause 8.4.2.</w:t>
      </w:r>
    </w:p>
    <w:p w14:paraId="171426A9" w14:textId="77777777" w:rsidR="00711444" w:rsidRPr="004D0DAA" w:rsidRDefault="00711444" w:rsidP="00711444">
      <w:pPr>
        <w:pStyle w:val="Heading2"/>
      </w:pPr>
      <w:bookmarkStart w:id="186" w:name="_Toc516669374"/>
      <w:r w:rsidRPr="004D0DAA">
        <w:t>7.5</w:t>
      </w:r>
      <w:r w:rsidRPr="004D0DAA">
        <w:tab/>
        <w:t>Measurement Order procedures in Packet Idle mode</w:t>
      </w:r>
      <w:bookmarkEnd w:id="186"/>
    </w:p>
    <w:p w14:paraId="7B1BE55A" w14:textId="77777777" w:rsidR="00711444" w:rsidRPr="004D0DAA" w:rsidRDefault="00711444" w:rsidP="00711444">
      <w:r w:rsidRPr="004D0DAA">
        <w:t>To send the NC Measurement order to an individual mobile station in packet idle mode, the network may establish a connection either on PCCCH or, if a packet control channel does not exist, on CCCH.</w:t>
      </w:r>
    </w:p>
    <w:p w14:paraId="783AA43B" w14:textId="77777777" w:rsidR="00711444" w:rsidRPr="004D0DAA" w:rsidRDefault="00711444" w:rsidP="00711444">
      <w:pPr>
        <w:pStyle w:val="Heading3"/>
      </w:pPr>
      <w:bookmarkStart w:id="187" w:name="_Toc516669375"/>
      <w:r w:rsidRPr="004D0DAA">
        <w:lastRenderedPageBreak/>
        <w:t>7.5.1</w:t>
      </w:r>
      <w:r w:rsidRPr="004D0DAA">
        <w:tab/>
        <w:t>Measurement Order procedures initiated on PCCCH</w:t>
      </w:r>
      <w:bookmarkEnd w:id="187"/>
    </w:p>
    <w:p w14:paraId="7CBB530E" w14:textId="77777777" w:rsidR="00711444" w:rsidRPr="004D0DAA" w:rsidRDefault="00711444" w:rsidP="00711444">
      <w:pPr>
        <w:keepNext/>
        <w:keepLines/>
      </w:pPr>
      <w:r w:rsidRPr="004D0DAA">
        <w:t>The network may initiate the measurement order procedure by sending a PACKET MEASUREMENT ORDER</w:t>
      </w:r>
      <w:r w:rsidRPr="004D0DAA">
        <w:rPr>
          <w:sz w:val="16"/>
        </w:rPr>
        <w:t xml:space="preserve"> </w:t>
      </w:r>
      <w:r w:rsidRPr="004D0DAA">
        <w:t>message in a PCCCH block monitored by the mobile station. The PACKET MEASUREMENT ORDER message overrides a broadcast PSI5 message. If the PACKET MEASUREMENT ORDER message contains multiple instances, the network shall send all instances to the mobile station.</w:t>
      </w:r>
    </w:p>
    <w:p w14:paraId="396E4862" w14:textId="77777777" w:rsidR="00711444" w:rsidRPr="004D0DAA" w:rsidRDefault="00711444" w:rsidP="00711444">
      <w:pPr>
        <w:pStyle w:val="B1"/>
      </w:pPr>
      <w:r w:rsidRPr="004D0DAA">
        <w:t>The PACKET MEASUREMENT ORDER message may contain the following optional Measurement order parameters:-</w:t>
      </w:r>
      <w:r w:rsidRPr="004D0DAA">
        <w:tab/>
        <w:t xml:space="preserve">TLLI (shall be included in </w:t>
      </w:r>
      <w:r w:rsidRPr="004D0DAA">
        <w:rPr>
          <w:i/>
        </w:rPr>
        <w:t>A/Gb mode</w:t>
      </w:r>
      <w:r w:rsidRPr="004D0DAA">
        <w:t>);</w:t>
      </w:r>
    </w:p>
    <w:p w14:paraId="56DB9AA9" w14:textId="77777777" w:rsidR="00711444" w:rsidRPr="004D0DAA" w:rsidRDefault="00711444" w:rsidP="00711444">
      <w:pPr>
        <w:pStyle w:val="B1"/>
      </w:pPr>
      <w:r w:rsidRPr="004D0DAA">
        <w:t>-</w:t>
      </w:r>
      <w:r w:rsidRPr="004D0DAA">
        <w:tab/>
        <w:t xml:space="preserve">G-RNTI (shall be included in </w:t>
      </w:r>
      <w:r w:rsidRPr="004D0DAA">
        <w:rPr>
          <w:i/>
        </w:rPr>
        <w:t>Iu mode)</w:t>
      </w:r>
      <w:r w:rsidRPr="004D0DAA">
        <w:t>;</w:t>
      </w:r>
    </w:p>
    <w:p w14:paraId="41C9350A" w14:textId="77777777" w:rsidR="00711444" w:rsidRPr="004D0DAA" w:rsidRDefault="00711444" w:rsidP="00711444">
      <w:pPr>
        <w:pStyle w:val="B1"/>
      </w:pPr>
      <w:r w:rsidRPr="004D0DAA">
        <w:t>-</w:t>
      </w:r>
      <w:r w:rsidRPr="004D0DAA">
        <w:tab/>
        <w:t>Enhanced measurement parameters.</w:t>
      </w:r>
    </w:p>
    <w:p w14:paraId="5F048CD5" w14:textId="77777777" w:rsidR="00711444" w:rsidRPr="004D0DAA" w:rsidRDefault="00711444" w:rsidP="00711444">
      <w:r w:rsidRPr="004D0DAA">
        <w:t>Upon receipt of the PACKET MEASUREMENT ORDER message, the mobile station shall store the Measurement order parameters . The mobile station shall obey the NETWORK_CONTROL_ORDER as specified in 3GPP TS 45.008 and in sub-clause 5.6.</w:t>
      </w:r>
    </w:p>
    <w:p w14:paraId="4C9BBD2A" w14:textId="77777777" w:rsidR="00711444" w:rsidRPr="004D0DAA" w:rsidRDefault="00711444" w:rsidP="00711444">
      <w:pPr>
        <w:pStyle w:val="Heading3"/>
      </w:pPr>
      <w:bookmarkStart w:id="188" w:name="_Toc516669376"/>
      <w:r w:rsidRPr="004D0DAA">
        <w:t>7.5.2</w:t>
      </w:r>
      <w:r w:rsidRPr="004D0DAA">
        <w:tab/>
        <w:t>Measurement Order procedures initiated on CCCH</w:t>
      </w:r>
      <w:bookmarkEnd w:id="188"/>
    </w:p>
    <w:p w14:paraId="0DB4E2C8" w14:textId="77777777" w:rsidR="00711444" w:rsidRPr="004D0DAA" w:rsidRDefault="00711444" w:rsidP="00711444">
      <w:r w:rsidRPr="004D0DAA">
        <w:t>The network may initiate the measurement order procedure by allocating a single block in an IMMEDIATE ASSIGNMENT message sent to the mobile station on a CCCH block in the same way as specified in sub-clause 7.4.2.</w:t>
      </w:r>
    </w:p>
    <w:p w14:paraId="6F6CC30F" w14:textId="77777777" w:rsidR="00711444" w:rsidRPr="004D0DAA" w:rsidRDefault="00711444" w:rsidP="00711444">
      <w:r w:rsidRPr="004D0DAA">
        <w:t>The network shall then send the PACKET MEASUREMENT ORDER message in the assigned downlink block to the mobile station. The PACKET MEASUREMENT ORDER message overrides a broadcast PSI5 message. If the PACKET MEASUREMENT ORDER message contains multiple instances, the network has to repeat the complete procedure with new assignment for each instance of the message.</w:t>
      </w:r>
    </w:p>
    <w:p w14:paraId="3A83FD54" w14:textId="77777777" w:rsidR="00711444" w:rsidRPr="004D0DAA" w:rsidRDefault="00711444" w:rsidP="00711444">
      <w:r w:rsidRPr="004D0DAA">
        <w:t>The PACKET MEASUREMENT ORDER message may contain the following optional Measurement order parameters:</w:t>
      </w:r>
    </w:p>
    <w:p w14:paraId="749A4220" w14:textId="77777777" w:rsidR="00711444" w:rsidRPr="004D0DAA" w:rsidRDefault="00711444" w:rsidP="00711444">
      <w:pPr>
        <w:pStyle w:val="B1"/>
      </w:pPr>
      <w:r w:rsidRPr="004D0DAA">
        <w:t>-</w:t>
      </w:r>
      <w:r w:rsidRPr="004D0DAA">
        <w:tab/>
        <w:t>TLLI (shall be included);</w:t>
      </w:r>
    </w:p>
    <w:p w14:paraId="5CE7B1D2" w14:textId="77777777" w:rsidR="00711444" w:rsidRPr="004D0DAA" w:rsidRDefault="00711444" w:rsidP="00711444">
      <w:pPr>
        <w:pStyle w:val="B1"/>
      </w:pPr>
      <w:r w:rsidRPr="004D0DAA">
        <w:t>-</w:t>
      </w:r>
      <w:r w:rsidRPr="004D0DAA">
        <w:tab/>
        <w:t>NC Measurement Parameters (NETWORK_CONTROL_ORDER; NC_NON_DRX_PERIOD; NC_REPORTING_PERIOD_I; NC_REPORTING_PERIOD_T; NC_FREQUENCY_LIST);</w:t>
      </w:r>
    </w:p>
    <w:p w14:paraId="3F9DAA38" w14:textId="77777777" w:rsidR="00711444" w:rsidRPr="004D0DAA" w:rsidRDefault="00711444" w:rsidP="00711444">
      <w:pPr>
        <w:pStyle w:val="B1"/>
      </w:pPr>
      <w:r w:rsidRPr="004D0DAA">
        <w:t>-</w:t>
      </w:r>
      <w:r w:rsidRPr="004D0DAA">
        <w:tab/>
        <w:t>Enhanced measurement parameters.</w:t>
      </w:r>
    </w:p>
    <w:p w14:paraId="1E97F386" w14:textId="77777777" w:rsidR="00711444" w:rsidRPr="004D0DAA" w:rsidRDefault="00711444" w:rsidP="00711444">
      <w:r w:rsidRPr="004D0DAA">
        <w:t>Upon receipt of the PACKET MEASUREMENT ORDER message, the mobile station shall store the Measurement order parameters . The mobile station shall obey the NETWORK_CONTROL_ORDER as specified in 3GPP TS 45.008 and in sub-clause 5.6.</w:t>
      </w:r>
    </w:p>
    <w:p w14:paraId="4666129A" w14:textId="77777777" w:rsidR="00711444" w:rsidRPr="004D0DAA" w:rsidRDefault="00711444" w:rsidP="00711444">
      <w:pPr>
        <w:pStyle w:val="Heading2"/>
      </w:pPr>
      <w:bookmarkStart w:id="189" w:name="_Toc516669377"/>
      <w:r w:rsidRPr="004D0DAA">
        <w:t>7.6</w:t>
      </w:r>
      <w:r w:rsidRPr="004D0DAA">
        <w:tab/>
        <w:t>Packet Pause procedure</w:t>
      </w:r>
      <w:bookmarkEnd w:id="189"/>
      <w:r w:rsidRPr="004D0DAA">
        <w:t xml:space="preserve"> </w:t>
      </w:r>
    </w:p>
    <w:p w14:paraId="54E47D41" w14:textId="77777777" w:rsidR="00711444" w:rsidRPr="004D0DAA" w:rsidRDefault="00711444" w:rsidP="00711444">
      <w:r w:rsidRPr="004D0DAA">
        <w:t>This procedure enables the network to pause GPRS services packet flow for a mobile station with non-GSM capabilities in the downlink direction. The procedure is initiated by the mobile station either on a PCCCH (sub-clause 7.6.1) or, if a packet control channel does not exist, on a CCCH (sub-clause 7.6.2).</w:t>
      </w:r>
    </w:p>
    <w:p w14:paraId="5CA60240" w14:textId="77777777" w:rsidR="00711444" w:rsidRPr="004D0DAA" w:rsidRDefault="00711444" w:rsidP="00711444">
      <w:pPr>
        <w:pStyle w:val="Heading3"/>
      </w:pPr>
      <w:bookmarkStart w:id="190" w:name="_Toc516669378"/>
      <w:r w:rsidRPr="004D0DAA">
        <w:t>7.6.1</w:t>
      </w:r>
      <w:r w:rsidRPr="004D0DAA">
        <w:tab/>
        <w:t>Packet pause procedure initiated on PCCCH</w:t>
      </w:r>
      <w:bookmarkEnd w:id="190"/>
    </w:p>
    <w:p w14:paraId="67B130B5" w14:textId="77777777" w:rsidR="00711444" w:rsidRPr="004D0DAA" w:rsidRDefault="00711444" w:rsidP="00711444">
      <w:r w:rsidRPr="004D0DAA">
        <w:t>The packet access procedure is initiated by the RR entity in the mobile station as specified in sub-clauses 7.1.2.1 and 7.1.2.2 but with access type ‘Single block without TBF establishment' indicated in the PACKET CHANNEL REQUEST message.</w:t>
      </w:r>
    </w:p>
    <w:p w14:paraId="13A67955" w14:textId="77777777" w:rsidR="00711444" w:rsidRPr="004D0DAA" w:rsidRDefault="00711444" w:rsidP="00711444">
      <w:pPr>
        <w:pStyle w:val="Heading4"/>
      </w:pPr>
      <w:bookmarkStart w:id="191" w:name="_Toc516669379"/>
      <w:r w:rsidRPr="004D0DAA">
        <w:t>7.6.1.1</w:t>
      </w:r>
      <w:r w:rsidRPr="004D0DAA">
        <w:tab/>
        <w:t>On receipt of a PACKET CHANNEL REQUEST message</w:t>
      </w:r>
      <w:bookmarkEnd w:id="191"/>
    </w:p>
    <w:p w14:paraId="748962BB" w14:textId="77777777" w:rsidR="00711444" w:rsidRPr="004D0DAA" w:rsidRDefault="00711444" w:rsidP="00711444">
      <w:r w:rsidRPr="004D0DAA">
        <w:t>On receipt of a PACKET CHANNEL REQUEST message with access type indicating "Single block without TBF establishment", the network may allocate one radio block on an uplink PDCH.</w:t>
      </w:r>
    </w:p>
    <w:p w14:paraId="559D8A41" w14:textId="77777777" w:rsidR="00711444" w:rsidRPr="004D0DAA" w:rsidRDefault="00711444" w:rsidP="00711444">
      <w:r w:rsidRPr="004D0DAA">
        <w:t>If uplink resources are not available, the network may reject the access request by sending a PACKET ACCESS REJECT message (see sub-clause 7.6.1.3). The network shall not respond by sending a PACKET QUEUING NOTIFICATION message.</w:t>
      </w:r>
    </w:p>
    <w:p w14:paraId="17CDD63A" w14:textId="77777777" w:rsidR="00711444" w:rsidRPr="004D0DAA" w:rsidRDefault="00711444" w:rsidP="00711444">
      <w:pPr>
        <w:keepNext/>
      </w:pPr>
      <w:r w:rsidRPr="004D0DAA">
        <w:lastRenderedPageBreak/>
        <w:t>The radio resource is assigned to the mobile station in a PACKET UPLINK ASSIGNMENT message sent on any PAGCH on the same PCCCH on which the network has received the PACKET CHANNEL REQUEST message. The PACKET UPLINK ASSIGNMENT message shall include the following optional parameters:</w:t>
      </w:r>
    </w:p>
    <w:p w14:paraId="4EA03727" w14:textId="77777777" w:rsidR="00711444" w:rsidRPr="004D0DAA" w:rsidRDefault="00711444" w:rsidP="00711444">
      <w:pPr>
        <w:pStyle w:val="B1"/>
      </w:pPr>
      <w:r w:rsidRPr="004D0DAA">
        <w:t>-</w:t>
      </w:r>
      <w:r w:rsidRPr="004D0DAA">
        <w:tab/>
        <w:t>Power Control Parameters with timeslot allocation;</w:t>
      </w:r>
    </w:p>
    <w:p w14:paraId="7370A2F7" w14:textId="77777777" w:rsidR="00711444" w:rsidRPr="004D0DAA" w:rsidRDefault="00711444" w:rsidP="00711444">
      <w:pPr>
        <w:pStyle w:val="B1"/>
      </w:pPr>
      <w:r w:rsidRPr="004D0DAA">
        <w:t>-</w:t>
      </w:r>
      <w:r w:rsidRPr="004D0DAA">
        <w:tab/>
        <w:t>Frequency parameters;</w:t>
      </w:r>
    </w:p>
    <w:p w14:paraId="4328C8BA" w14:textId="77777777" w:rsidR="00711444" w:rsidRPr="004D0DAA" w:rsidRDefault="00711444" w:rsidP="00711444">
      <w:pPr>
        <w:pStyle w:val="B1"/>
      </w:pPr>
      <w:r w:rsidRPr="004D0DAA">
        <w:t>-</w:t>
      </w:r>
      <w:r w:rsidRPr="004D0DAA">
        <w:tab/>
        <w:t>TBF_STARTING_TIME indicating the frame number of the allocated block;</w:t>
      </w:r>
    </w:p>
    <w:p w14:paraId="0EA97019" w14:textId="77777777" w:rsidR="00711444" w:rsidRPr="004D0DAA" w:rsidRDefault="00711444" w:rsidP="00711444">
      <w:pPr>
        <w:pStyle w:val="B1"/>
      </w:pPr>
      <w:r w:rsidRPr="004D0DAA">
        <w:t>-</w:t>
      </w:r>
      <w:r w:rsidRPr="004D0DAA">
        <w:tab/>
        <w:t>TIMING_ADVANCE_VALUE;</w:t>
      </w:r>
    </w:p>
    <w:p w14:paraId="153E3179" w14:textId="77777777" w:rsidR="00711444" w:rsidRPr="004D0DAA" w:rsidRDefault="00711444" w:rsidP="00711444">
      <w:pPr>
        <w:pStyle w:val="B1"/>
      </w:pPr>
      <w:r w:rsidRPr="004D0DAA">
        <w:t>-</w:t>
      </w:r>
      <w:r w:rsidRPr="004D0DAA">
        <w:tab/>
        <w:t>Packet Request Reference.</w:t>
      </w:r>
    </w:p>
    <w:p w14:paraId="0DFC9FE3" w14:textId="77777777" w:rsidR="00711444" w:rsidRPr="004D0DAA" w:rsidRDefault="00711444" w:rsidP="00711444">
      <w:pPr>
        <w:pStyle w:val="Heading4"/>
      </w:pPr>
      <w:bookmarkStart w:id="192" w:name="_Toc516669380"/>
      <w:r w:rsidRPr="004D0DAA">
        <w:t>7.6.1.2</w:t>
      </w:r>
      <w:r w:rsidRPr="004D0DAA">
        <w:tab/>
        <w:t>On receipt of a PACKET UPLINK ASSIGNMENT message</w:t>
      </w:r>
      <w:bookmarkEnd w:id="192"/>
    </w:p>
    <w:p w14:paraId="2F8E9265" w14:textId="77777777" w:rsidR="00711444" w:rsidRPr="004D0DAA" w:rsidRDefault="00711444" w:rsidP="00711444">
      <w:r w:rsidRPr="004D0DAA">
        <w:t>When receiving a PACKET UPLINK ASSIGNMENT message the mobile station shall send PACKET PAUSE in the allocated radio block on the assigned PDCH. The mobile station shall stop timer T3204. No TBF is established and the network shall not acknowledge the reception of the PACKET PAUSE message.</w:t>
      </w:r>
    </w:p>
    <w:p w14:paraId="0B92F8BF" w14:textId="77777777" w:rsidR="00711444" w:rsidRPr="004D0DAA" w:rsidRDefault="00711444" w:rsidP="00711444">
      <w:r w:rsidRPr="004D0DAA">
        <w:t>If timer T3204 expires before a PACKET UPLINK ASSIGNMENT message is received, the packet pause procedure is aborted.</w:t>
      </w:r>
    </w:p>
    <w:p w14:paraId="205D78E0" w14:textId="77777777" w:rsidR="00711444" w:rsidRPr="004D0DAA" w:rsidRDefault="00711444" w:rsidP="00711444">
      <w:pPr>
        <w:pStyle w:val="Heading4"/>
      </w:pPr>
      <w:bookmarkStart w:id="193" w:name="_Toc516669381"/>
      <w:r w:rsidRPr="004D0DAA">
        <w:t>7.6.1.3</w:t>
      </w:r>
      <w:r w:rsidRPr="004D0DAA">
        <w:tab/>
        <w:t>On receipt of a PACKET ACCESS REJECT message</w:t>
      </w:r>
      <w:bookmarkEnd w:id="193"/>
    </w:p>
    <w:p w14:paraId="3CF2F9C6" w14:textId="77777777" w:rsidR="00711444" w:rsidRPr="004D0DAA" w:rsidRDefault="00711444" w:rsidP="00711444">
      <w:r w:rsidRPr="004D0DAA">
        <w:t>The network may send to the mobile station a PACKET ACCESS REJECT message. The mobile station shall react by aborting the packet pause procedure and stopping timer T3204.</w:t>
      </w:r>
    </w:p>
    <w:p w14:paraId="5064F6F2" w14:textId="77777777" w:rsidR="00711444" w:rsidRPr="004D0DAA" w:rsidRDefault="00711444" w:rsidP="00711444">
      <w:pPr>
        <w:pStyle w:val="Heading4"/>
      </w:pPr>
      <w:bookmarkStart w:id="194" w:name="_Toc516669382"/>
      <w:r w:rsidRPr="004D0DAA">
        <w:t>7.6.1.4</w:t>
      </w:r>
      <w:r w:rsidRPr="004D0DAA">
        <w:tab/>
        <w:t>Abnormal cases</w:t>
      </w:r>
      <w:bookmarkEnd w:id="194"/>
    </w:p>
    <w:p w14:paraId="4C628FD5" w14:textId="77777777" w:rsidR="00711444" w:rsidRPr="004D0DAA" w:rsidRDefault="00711444" w:rsidP="00711444">
      <w:r w:rsidRPr="004D0DAA">
        <w:t>If on the mobile station side timer T3204 expires indicating unsuccessful channel request procedure or if the PACKET UPLINK ASSIGNMENT message contains faulty parameters, the mobile station shall abort the packet pause procedure.</w:t>
      </w:r>
    </w:p>
    <w:p w14:paraId="7C34CA1F" w14:textId="77777777" w:rsidR="00711444" w:rsidRPr="004D0DAA" w:rsidRDefault="00711444" w:rsidP="00711444">
      <w:r w:rsidRPr="004D0DAA">
        <w:t>If the mobile station receives either a PACKET QUEUING NOTIFICATION message or a PACKET POLLING REQUEST message, the mobile station shall abort the packet pause procedure.</w:t>
      </w:r>
    </w:p>
    <w:p w14:paraId="103B0F1C" w14:textId="77777777" w:rsidR="00711444" w:rsidRPr="004D0DAA" w:rsidRDefault="00711444" w:rsidP="00711444">
      <w:pPr>
        <w:pStyle w:val="Heading3"/>
      </w:pPr>
      <w:bookmarkStart w:id="195" w:name="_Toc516669383"/>
      <w:r w:rsidRPr="004D0DAA">
        <w:t>7.6.2</w:t>
      </w:r>
      <w:r w:rsidRPr="004D0DAA">
        <w:tab/>
        <w:t>Packet pause procedure initiated on CCCH</w:t>
      </w:r>
      <w:bookmarkEnd w:id="195"/>
    </w:p>
    <w:p w14:paraId="44BF64C9" w14:textId="77777777" w:rsidR="00711444" w:rsidRPr="004D0DAA" w:rsidRDefault="00711444" w:rsidP="00711444">
      <w:r w:rsidRPr="004D0DAA">
        <w:t>For a description of the procedure, see 3GPP TS 44.018.</w:t>
      </w:r>
    </w:p>
    <w:p w14:paraId="7D8A5506" w14:textId="77777777" w:rsidR="00711444" w:rsidRPr="004D0DAA" w:rsidRDefault="00711444" w:rsidP="00711444">
      <w:pPr>
        <w:pStyle w:val="Heading2"/>
      </w:pPr>
      <w:bookmarkStart w:id="196" w:name="_Toc516669384"/>
      <w:r w:rsidRPr="004D0DAA">
        <w:t>7.7</w:t>
      </w:r>
      <w:r w:rsidRPr="004D0DAA">
        <w:tab/>
        <w:t>MBMS packet access and establishment procedures</w:t>
      </w:r>
      <w:bookmarkEnd w:id="196"/>
    </w:p>
    <w:p w14:paraId="3EECB77F" w14:textId="77777777" w:rsidR="00711444" w:rsidRPr="004D0DAA" w:rsidRDefault="00711444" w:rsidP="00711444">
      <w:pPr>
        <w:pStyle w:val="Heading3"/>
      </w:pPr>
      <w:bookmarkStart w:id="197" w:name="_Toc516669385"/>
      <w:r w:rsidRPr="004D0DAA">
        <w:t>7.7.1</w:t>
      </w:r>
      <w:r w:rsidRPr="004D0DAA">
        <w:tab/>
        <w:t>MBMS packet access procedure</w:t>
      </w:r>
      <w:bookmarkEnd w:id="197"/>
    </w:p>
    <w:p w14:paraId="1A4867C5" w14:textId="77777777" w:rsidR="00711444" w:rsidRPr="004D0DAA" w:rsidRDefault="00711444" w:rsidP="00711444">
      <w:pPr>
        <w:pStyle w:val="Heading4"/>
      </w:pPr>
      <w:bookmarkStart w:id="198" w:name="_Toc516669386"/>
      <w:r w:rsidRPr="004D0DAA">
        <w:t>7.7.1.1</w:t>
      </w:r>
      <w:r w:rsidRPr="004D0DAA">
        <w:tab/>
        <w:t>General</w:t>
      </w:r>
      <w:bookmarkEnd w:id="198"/>
    </w:p>
    <w:p w14:paraId="66C1A1DE" w14:textId="77777777" w:rsidR="00711444" w:rsidRPr="004D0DAA" w:rsidRDefault="00711444" w:rsidP="00711444">
      <w:r w:rsidRPr="004D0DAA">
        <w:t xml:space="preserve">This procedure enables the network to count the number of mobile stations in a cell that want to receive an MBMS session. If the procedure is initiated by the mobile station as a response to an MBMS notification, which contains </w:t>
      </w:r>
      <w:r w:rsidRPr="004D0DAA">
        <w:rPr>
          <w:rFonts w:cs="Arial"/>
          <w:szCs w:val="22"/>
        </w:rPr>
        <w:t xml:space="preserve">uplink resource description for an MPRACH, or </w:t>
      </w:r>
      <w:r w:rsidRPr="004D0DAA">
        <w:t xml:space="preserve">after cell reselection during an ongoing MBMS session, if the mobile station is in DRX mode (e.g. it is not involved in a </w:t>
      </w:r>
      <w:r w:rsidRPr="004D0DAA">
        <w:rPr>
          <w:i/>
        </w:rPr>
        <w:t>routeing area update</w:t>
      </w:r>
      <w:r w:rsidRPr="004D0DAA">
        <w:t xml:space="preserve"> procedure) and has received in the old serving cell the indication that in the new cell an MPRACH is allocated for that MBMS session,</w:t>
      </w:r>
      <w:r w:rsidRPr="004D0DAA">
        <w:rPr>
          <w:rFonts w:cs="Arial"/>
          <w:szCs w:val="22"/>
        </w:rPr>
        <w:t xml:space="preserve"> the procedure shall be initiated </w:t>
      </w:r>
      <w:r w:rsidRPr="004D0DAA">
        <w:t>on that MPRACH (sub-clause 7.7.1.4). Otherwise the procedure is initiated by the mobile station either on a PCCCH (sub-clause 7.7.1.2) or, if a packet control channel is not allocated in the cell, on a CCCH (sub-clause 7.7.1.3).</w:t>
      </w:r>
    </w:p>
    <w:p w14:paraId="2D6BAF6B" w14:textId="77777777" w:rsidR="00711444" w:rsidRPr="004D0DAA" w:rsidRDefault="00711444" w:rsidP="00711444">
      <w:r w:rsidRPr="004D0DAA">
        <w:t>The procedure may be initiated by the mobile station either:</w:t>
      </w:r>
    </w:p>
    <w:p w14:paraId="173579AF" w14:textId="77777777" w:rsidR="00711444" w:rsidRPr="004D0DAA" w:rsidRDefault="00711444" w:rsidP="00711444">
      <w:pPr>
        <w:pStyle w:val="B1"/>
      </w:pPr>
      <w:r w:rsidRPr="004D0DAA">
        <w:t>-</w:t>
      </w:r>
      <w:r w:rsidRPr="004D0DAA">
        <w:tab/>
        <w:t>as a response to an MBMS notification where counting is requested; or</w:t>
      </w:r>
    </w:p>
    <w:p w14:paraId="7989F1EE" w14:textId="77777777" w:rsidR="00711444" w:rsidRPr="004D0DAA" w:rsidRDefault="00711444" w:rsidP="00711444">
      <w:pPr>
        <w:pStyle w:val="B1"/>
      </w:pPr>
      <w:r w:rsidRPr="004D0DAA">
        <w:lastRenderedPageBreak/>
        <w:t>-</w:t>
      </w:r>
      <w:r w:rsidRPr="004D0DAA">
        <w:tab/>
        <w:t>in the new cell after cell reselection during an ongoing MBMS session, if MBMS is supported by the network in the new cell; or</w:t>
      </w:r>
    </w:p>
    <w:p w14:paraId="3C1342FA" w14:textId="77777777" w:rsidR="00711444" w:rsidRPr="004D0DAA" w:rsidRDefault="00711444" w:rsidP="00711444">
      <w:pPr>
        <w:pStyle w:val="B1"/>
      </w:pPr>
      <w:r w:rsidRPr="004D0DAA">
        <w:t>-</w:t>
      </w:r>
      <w:r w:rsidRPr="004D0DAA">
        <w:tab/>
        <w:t>when a request is received from upper layer in the mobile station, if MBMS is supported by the network in the cell; or</w:t>
      </w:r>
    </w:p>
    <w:p w14:paraId="49FD530D" w14:textId="77777777" w:rsidR="00711444" w:rsidRPr="004D0DAA" w:rsidRDefault="00711444" w:rsidP="00711444">
      <w:pPr>
        <w:pStyle w:val="B1"/>
      </w:pPr>
      <w:r w:rsidRPr="004D0DAA">
        <w:t>-</w:t>
      </w:r>
      <w:r w:rsidRPr="004D0DAA">
        <w:tab/>
        <w:t>after timeout when waiting for an RLC block for this session.</w:t>
      </w:r>
    </w:p>
    <w:p w14:paraId="1667F896" w14:textId="77777777" w:rsidR="00711444" w:rsidRPr="004D0DAA" w:rsidRDefault="00711444" w:rsidP="00711444">
      <w:pPr>
        <w:pStyle w:val="NO"/>
      </w:pPr>
      <w:r w:rsidRPr="004D0DAA">
        <w:t xml:space="preserve">NOTE: </w:t>
      </w:r>
      <w:r w:rsidRPr="004D0DAA">
        <w:tab/>
        <w:t>The mobile station shall not initiate an MBMS packet access procedure in a new cell after cell reselection if the mobile station already has information about the location and identifier of the MBMS radio bearer relevant to the ongoing MBMS session in that new cell and it contains no uplink feedback channel.</w:t>
      </w:r>
    </w:p>
    <w:p w14:paraId="2DB84452" w14:textId="77777777" w:rsidR="00711444" w:rsidRPr="004D0DAA" w:rsidRDefault="00711444" w:rsidP="00711444">
      <w:r w:rsidRPr="004D0DAA">
        <w:t>A mobile station that is IMSI attached (GPRS class A or B mode of operation) shall respond to a PACKET PAGING REQUEST message indicating an RR connection establishment or TBF establishment. For that purpose, the mobile station shall abort the MBMS packet access procedure, according to the conditions stated in sub-clause 6.1.4.</w:t>
      </w:r>
    </w:p>
    <w:p w14:paraId="1121CF9D" w14:textId="77777777" w:rsidR="00711444" w:rsidRPr="004D0DAA" w:rsidRDefault="00711444" w:rsidP="00711444">
      <w:r w:rsidRPr="004D0DAA">
        <w:t>If the mobile station receives a PACKET DOWNLINK ASSIGNMENT message, it shall abort the MBMS packet access procedure and respond to the PACKET DOWNLINK ASSIGNMENT message (see sub-clause 7.2.1)</w:t>
      </w:r>
    </w:p>
    <w:p w14:paraId="59267AFF" w14:textId="77777777" w:rsidR="00711444" w:rsidRPr="004D0DAA" w:rsidRDefault="00711444" w:rsidP="00711444">
      <w:pPr>
        <w:pStyle w:val="Heading4"/>
      </w:pPr>
      <w:bookmarkStart w:id="199" w:name="_Toc516669387"/>
      <w:r w:rsidRPr="004D0DAA">
        <w:t>7.7.1.2</w:t>
      </w:r>
      <w:r w:rsidRPr="004D0DAA">
        <w:tab/>
        <w:t>MBMS packet access procedure on PCCCH</w:t>
      </w:r>
      <w:bookmarkEnd w:id="199"/>
    </w:p>
    <w:p w14:paraId="344974FC" w14:textId="77777777" w:rsidR="00711444" w:rsidRPr="004D0DAA" w:rsidRDefault="00711444" w:rsidP="00711444">
      <w:pPr>
        <w:pStyle w:val="Heading5"/>
      </w:pPr>
      <w:bookmarkStart w:id="200" w:name="_Toc516669388"/>
      <w:r w:rsidRPr="004D0DAA">
        <w:t>7.7.1.2.0</w:t>
      </w:r>
      <w:r w:rsidRPr="004D0DAA">
        <w:tab/>
        <w:t>Initiation of the MBMS packet access procedure</w:t>
      </w:r>
      <w:bookmarkEnd w:id="200"/>
    </w:p>
    <w:p w14:paraId="0119B40E" w14:textId="77777777" w:rsidR="00711444" w:rsidRPr="004D0DAA" w:rsidRDefault="00711444" w:rsidP="00711444">
      <w:r w:rsidRPr="004D0DAA">
        <w:t>The packet access procedure for an MBMS session is initiated by the mobile station on PCCCH, as specified in sub-clauses 7.1.2.1 with access type "Single block MBMS access" indicated in the PACKET CHANNEL REQUEST message.</w:t>
      </w:r>
    </w:p>
    <w:p w14:paraId="521D1BA8" w14:textId="77777777" w:rsidR="00711444" w:rsidRPr="004D0DAA" w:rsidRDefault="00711444" w:rsidP="00711444">
      <w:pPr>
        <w:pStyle w:val="Heading5"/>
      </w:pPr>
      <w:bookmarkStart w:id="201" w:name="_Toc516669389"/>
      <w:r w:rsidRPr="004D0DAA">
        <w:t>7.7.1.2.1</w:t>
      </w:r>
      <w:r w:rsidRPr="004D0DAA">
        <w:tab/>
        <w:t>On receipt of a PACKET CHANNEL REQUEST message</w:t>
      </w:r>
      <w:bookmarkEnd w:id="201"/>
    </w:p>
    <w:p w14:paraId="41BADA11" w14:textId="77777777" w:rsidR="00711444" w:rsidRPr="004D0DAA" w:rsidRDefault="00711444" w:rsidP="00711444">
      <w:r w:rsidRPr="004D0DAA">
        <w:t>On receipt of a PACKET CHANNEL REQUEST message with access type indicating "Single block MBMS access", the network may either allocate one radio block on an uplink PDCH, as specified in sub-clause 7.1.2.1 or, if uplink resources are not available, reject the access request by sending a PACKET ACCESS REJECT message (see sub-clause 7.7.1.2.3).</w:t>
      </w:r>
    </w:p>
    <w:p w14:paraId="384CA1E8" w14:textId="77777777" w:rsidR="00711444" w:rsidRPr="004D0DAA" w:rsidRDefault="00711444" w:rsidP="00711444">
      <w:pPr>
        <w:keepNext/>
      </w:pPr>
      <w:r w:rsidRPr="004D0DAA">
        <w:t>The radio resource is assigned to the mobile station in a PACKET UPLINK ASSIGNMENT message sent on any PAGCH on the same PCCCH on which the network has received the PACKET CHANNEL REQUEST message. The PACKET UPLINK ASSIGNMENT message shall include the following optional parameters:</w:t>
      </w:r>
    </w:p>
    <w:p w14:paraId="6EEC120D" w14:textId="77777777" w:rsidR="00711444" w:rsidRPr="004D0DAA" w:rsidRDefault="00711444" w:rsidP="00711444">
      <w:pPr>
        <w:pStyle w:val="B1"/>
      </w:pPr>
      <w:r w:rsidRPr="004D0DAA">
        <w:t>-</w:t>
      </w:r>
      <w:r w:rsidRPr="004D0DAA">
        <w:tab/>
        <w:t>Power Control Parameters with timeslot allocation;</w:t>
      </w:r>
    </w:p>
    <w:p w14:paraId="717D7594" w14:textId="77777777" w:rsidR="00711444" w:rsidRPr="004D0DAA" w:rsidRDefault="00711444" w:rsidP="00711444">
      <w:pPr>
        <w:pStyle w:val="B1"/>
      </w:pPr>
      <w:r w:rsidRPr="004D0DAA">
        <w:t>-</w:t>
      </w:r>
      <w:r w:rsidRPr="004D0DAA">
        <w:tab/>
        <w:t>Frequency parameters;</w:t>
      </w:r>
    </w:p>
    <w:p w14:paraId="7514AE84" w14:textId="77777777" w:rsidR="00711444" w:rsidRPr="004D0DAA" w:rsidRDefault="00711444" w:rsidP="00711444">
      <w:pPr>
        <w:pStyle w:val="B1"/>
      </w:pPr>
      <w:r w:rsidRPr="004D0DAA">
        <w:t>-</w:t>
      </w:r>
      <w:r w:rsidRPr="004D0DAA">
        <w:tab/>
        <w:t>TBF_STARTING_TIME indicating the frame number of the allocated block;</w:t>
      </w:r>
    </w:p>
    <w:p w14:paraId="3577F29E" w14:textId="77777777" w:rsidR="00711444" w:rsidRPr="004D0DAA" w:rsidRDefault="00711444" w:rsidP="00711444">
      <w:pPr>
        <w:pStyle w:val="B1"/>
      </w:pPr>
      <w:r w:rsidRPr="004D0DAA">
        <w:t>-</w:t>
      </w:r>
      <w:r w:rsidRPr="004D0DAA">
        <w:tab/>
        <w:t>TIMING_ADVANCE_VALUE;</w:t>
      </w:r>
    </w:p>
    <w:p w14:paraId="55A36A31" w14:textId="77777777" w:rsidR="00711444" w:rsidRPr="004D0DAA" w:rsidRDefault="00711444" w:rsidP="00711444">
      <w:pPr>
        <w:pStyle w:val="B1"/>
      </w:pPr>
      <w:r w:rsidRPr="004D0DAA">
        <w:t>-</w:t>
      </w:r>
      <w:r w:rsidRPr="004D0DAA">
        <w:tab/>
        <w:t>Packet Request Reference.</w:t>
      </w:r>
    </w:p>
    <w:p w14:paraId="792DCEFC" w14:textId="77777777" w:rsidR="00711444" w:rsidRPr="004D0DAA" w:rsidRDefault="00711444" w:rsidP="00711444">
      <w:pPr>
        <w:pStyle w:val="Heading5"/>
      </w:pPr>
      <w:bookmarkStart w:id="202" w:name="_Toc516669390"/>
      <w:r w:rsidRPr="004D0DAA">
        <w:t>7.7.1.2.2</w:t>
      </w:r>
      <w:r w:rsidRPr="004D0DAA">
        <w:tab/>
        <w:t>On receipt of a PACKET UPLINK ASSIGNMENT message</w:t>
      </w:r>
      <w:bookmarkEnd w:id="202"/>
    </w:p>
    <w:p w14:paraId="6D6A9D0B" w14:textId="77777777" w:rsidR="00711444" w:rsidRPr="004D0DAA" w:rsidRDefault="00711444" w:rsidP="00711444">
      <w:r w:rsidRPr="004D0DAA">
        <w:t>When receiving a PACKET UPLINK ASSIGNMENT message, corresponding to one of its 3 last PACKET CHANNEL REQUEST messages, the mobile station shall send the MBMS SERVICE REQUEST message in the allocated radio block on the assigned PDCH and then start timer T3214.While timer T3214 is running the mobile station shall accept reception of repeated PACKET UPLINK ASSIGNMENT messages, on any PAGCH on the same PCCCH on which the mobile station has sent the PACKET CHANNEL REQUEST message, and re-send the MBMS SERVICE REQUEST in the allocated block on the assigned PDCH and restart the timer T3214.</w:t>
      </w:r>
    </w:p>
    <w:p w14:paraId="2E17A6CF" w14:textId="77777777" w:rsidR="00711444" w:rsidRPr="004D0DAA" w:rsidRDefault="00711444" w:rsidP="00711444">
      <w:r w:rsidRPr="004D0DAA">
        <w:t>At expiry of timer T3214, a mobile station in packet idle mode or MAC-Idle state shall return to DRX mode. No radio bearer will be established in the cell for the concerned MBMS session. A mobile station in broadcast/multicast receive mode shall remain in broadcast/multicast receive mode.</w:t>
      </w:r>
    </w:p>
    <w:p w14:paraId="5C6717C2" w14:textId="77777777" w:rsidR="00711444" w:rsidRPr="004D0DAA" w:rsidRDefault="00711444" w:rsidP="00711444">
      <w:pPr>
        <w:pStyle w:val="Heading5"/>
      </w:pPr>
      <w:bookmarkStart w:id="203" w:name="_Toc516669391"/>
      <w:r w:rsidRPr="004D0DAA">
        <w:lastRenderedPageBreak/>
        <w:t>7.7.1.2.3</w:t>
      </w:r>
      <w:r w:rsidRPr="004D0DAA">
        <w:tab/>
        <w:t>On receipt of a PACKET ACCESS REJECT message</w:t>
      </w:r>
      <w:bookmarkEnd w:id="203"/>
    </w:p>
    <w:p w14:paraId="7A074F08" w14:textId="77777777" w:rsidR="00711444" w:rsidRPr="004D0DAA" w:rsidRDefault="00711444" w:rsidP="00711444">
      <w:r w:rsidRPr="004D0DAA">
        <w:t>The network may send a PACKET ACCESS REJECT message to the mobile station in response to a PACKET CHANNEL REQUEST message. The mobile station shall then react as described in sub-clause 7.1.2.2.4.</w:t>
      </w:r>
    </w:p>
    <w:p w14:paraId="056FD2C8" w14:textId="77777777" w:rsidR="00711444" w:rsidRPr="004D0DAA" w:rsidRDefault="00711444" w:rsidP="00711444">
      <w:pPr>
        <w:pStyle w:val="Heading5"/>
      </w:pPr>
      <w:bookmarkStart w:id="204" w:name="_Toc516669392"/>
      <w:r w:rsidRPr="004D0DAA">
        <w:t>7.7.1.2.4</w:t>
      </w:r>
      <w:r w:rsidRPr="004D0DAA">
        <w:tab/>
        <w:t>On receipt of an MBMS ASSIGNMENT message</w:t>
      </w:r>
      <w:bookmarkEnd w:id="204"/>
    </w:p>
    <w:p w14:paraId="2DF5F349" w14:textId="77777777" w:rsidR="00711444" w:rsidRPr="004D0DAA" w:rsidRDefault="00711444" w:rsidP="00711444">
      <w:r w:rsidRPr="004D0DAA">
        <w:t>When the mobile station receives an MBMS ASSIGNMENT message for an MBMS session, it shall stop any ongoing packet access procedure for that MBMS session and proceed according to sub-clause 7.7.2.2.</w:t>
      </w:r>
    </w:p>
    <w:p w14:paraId="4F830CF0" w14:textId="77777777" w:rsidR="00711444" w:rsidRPr="004D0DAA" w:rsidRDefault="00711444" w:rsidP="00711444">
      <w:pPr>
        <w:pStyle w:val="Heading5"/>
      </w:pPr>
      <w:bookmarkStart w:id="205" w:name="_Toc516669393"/>
      <w:r w:rsidRPr="004D0DAA">
        <w:t>7.7.1.2.5</w:t>
      </w:r>
      <w:r w:rsidRPr="004D0DAA">
        <w:tab/>
        <w:t>Abnormal cases</w:t>
      </w:r>
      <w:bookmarkEnd w:id="205"/>
    </w:p>
    <w:p w14:paraId="71942FB9" w14:textId="77777777" w:rsidR="00711444" w:rsidRPr="004D0DAA" w:rsidRDefault="00711444" w:rsidP="00711444">
      <w:r w:rsidRPr="004D0DAA">
        <w:t>If the mobile station receives a PACKET UPLINK ASSIGNMENT message that contains faulty parameters, the mobile station shall abort the MBMS packet access procedure.</w:t>
      </w:r>
    </w:p>
    <w:p w14:paraId="5CF7B28F" w14:textId="77777777" w:rsidR="00711444" w:rsidRPr="004D0DAA" w:rsidRDefault="00711444" w:rsidP="00711444">
      <w:pPr>
        <w:pStyle w:val="Heading4"/>
      </w:pPr>
      <w:bookmarkStart w:id="206" w:name="_Toc516669394"/>
      <w:r w:rsidRPr="004D0DAA">
        <w:t>7.7.1.3</w:t>
      </w:r>
      <w:r w:rsidRPr="004D0DAA">
        <w:tab/>
        <w:t>MBMS packet access procedure on CCCH</w:t>
      </w:r>
      <w:bookmarkEnd w:id="206"/>
    </w:p>
    <w:p w14:paraId="2589F696" w14:textId="77777777" w:rsidR="00711444" w:rsidRPr="004D0DAA" w:rsidRDefault="00711444" w:rsidP="00711444">
      <w:r w:rsidRPr="004D0DAA">
        <w:t>For a description of the procedure, see 3GPP TS 44.018.</w:t>
      </w:r>
    </w:p>
    <w:p w14:paraId="38C59BC7" w14:textId="77777777" w:rsidR="00711444" w:rsidRPr="004D0DAA" w:rsidRDefault="00711444" w:rsidP="00711444">
      <w:pPr>
        <w:pStyle w:val="Heading4"/>
      </w:pPr>
      <w:bookmarkStart w:id="207" w:name="_Toc516669395"/>
      <w:r w:rsidRPr="004D0DAA">
        <w:t>7.7.1.4</w:t>
      </w:r>
      <w:r w:rsidRPr="004D0DAA">
        <w:tab/>
        <w:t>MBMS packet access procedure on MPRACH</w:t>
      </w:r>
      <w:bookmarkEnd w:id="207"/>
    </w:p>
    <w:p w14:paraId="0FF5FF7B" w14:textId="77777777" w:rsidR="00711444" w:rsidRPr="004D0DAA" w:rsidRDefault="00711444" w:rsidP="00711444">
      <w:pPr>
        <w:pStyle w:val="Heading5"/>
      </w:pPr>
      <w:bookmarkStart w:id="208" w:name="_Toc516669396"/>
      <w:r w:rsidRPr="004D0DAA">
        <w:t>7.7.1.4.1</w:t>
      </w:r>
      <w:r w:rsidRPr="004D0DAA">
        <w:tab/>
        <w:t>Initiation of the MBMS packet access procedure on MPRACH</w:t>
      </w:r>
      <w:bookmarkEnd w:id="208"/>
    </w:p>
    <w:p w14:paraId="6B56D185" w14:textId="77777777" w:rsidR="00711444" w:rsidRPr="004D0DAA" w:rsidRDefault="00711444" w:rsidP="00711444">
      <w:r w:rsidRPr="004D0DAA">
        <w:t>The mobile station initiates the MBMS packet access procedure on MPRACH by sending an MPRACH PACKET CHANNEL REQUEST message (see sub-clause 11.2.5c) with access type "Single block MBMS access" on the MPRACH.</w:t>
      </w:r>
    </w:p>
    <w:p w14:paraId="7CB0D239" w14:textId="77777777" w:rsidR="00711444" w:rsidRPr="004D0DAA" w:rsidRDefault="00711444" w:rsidP="00711444">
      <w:r w:rsidRPr="004D0DAA">
        <w:t xml:space="preserve">The mobile station shall determine the control parameters from the MPRACH control parameters included in the MBMS notification or in the MBMS NEIGHBOURING CELL INFORMATION message transmitted in the old serving cell, if present. If an MPRACH control parameter is not available, the last received corresponding control parameter for the PRACH, if PCCCH is present, shall be used; otherwise the last received corresponding control parameter for the RACH shall be used. </w:t>
      </w:r>
    </w:p>
    <w:p w14:paraId="267DDF1A" w14:textId="77777777" w:rsidR="00711444" w:rsidRPr="004D0DAA" w:rsidRDefault="00711444" w:rsidP="00711444">
      <w:r w:rsidRPr="004D0DAA">
        <w:t xml:space="preserve">At sending of the first MPRACH PACKET CHANNEL REQUEST message, the mobile station shall store the value for the Retry (R) bit to be transmitted in all the subsequent MAC headers as 'MS sent channel request message once'. If a second MPRACH PACKET CHANNEL REQUEST message is sent, the mobile station shall change the value for the Retry (R) bit to 'MS sent channel request message </w:t>
      </w:r>
      <w:r w:rsidRPr="004D0DAA">
        <w:rPr>
          <w:rFonts w:hint="eastAsia"/>
          <w:lang w:eastAsia="ko-KR"/>
        </w:rPr>
        <w:t>twice</w:t>
      </w:r>
      <w:r w:rsidRPr="004D0DAA">
        <w:t xml:space="preserve"> or more'. </w:t>
      </w:r>
    </w:p>
    <w:p w14:paraId="45E4AECE" w14:textId="77777777" w:rsidR="00711444" w:rsidRPr="004D0DAA" w:rsidRDefault="00711444" w:rsidP="00711444">
      <w:r w:rsidRPr="004D0DAA">
        <w:t>While waiting for a response to the MPRACH PACKET CHANNEL REQUEST message the mobile station shall continue to monitor the CCCH/PCCCH (whichever is applicable) corresponding to its CCCH_GROUP/PCCCH_GROUP. The mobile station shall perform signal strength measurements as they are defined for packet idle mode, see 3GPP TS 45.008.</w:t>
      </w:r>
    </w:p>
    <w:p w14:paraId="7112DDD0" w14:textId="77777777" w:rsidR="00711444" w:rsidRPr="004D0DAA" w:rsidRDefault="00711444" w:rsidP="00711444">
      <w:r w:rsidRPr="004D0DAA">
        <w:t>A mobile station that is IMSI attached (GPRS class A or B mode of operation) shall respond to a PACKET PAGING REQUEST message indicating an RR connection establishment. For that purpose, the mobile station may abort the packet access procedure, according to the conditions stated in sub-clause 6.1.4. The mobile station shall not respond to a PACKET PAGING REQUEST message indicating TBF establishment.</w:t>
      </w:r>
    </w:p>
    <w:p w14:paraId="7BD4719D" w14:textId="77777777" w:rsidR="00711444" w:rsidRPr="004D0DAA" w:rsidRDefault="00711444" w:rsidP="00711444">
      <w:r w:rsidRPr="004D0DAA">
        <w:t>A mobile station that is not IMSI attached (GPRS class C mode of operation) shall not respond to any type of</w:t>
      </w:r>
      <w:r w:rsidRPr="004D0DAA">
        <w:rPr>
          <w:sz w:val="16"/>
        </w:rPr>
        <w:t xml:space="preserve"> </w:t>
      </w:r>
      <w:r w:rsidRPr="004D0DAA">
        <w:t>PACKET PAGING REQUEST messages during the packet access procedure, it shall only decode the PERSISTENCE_LEVEL parameter, if that is included in the message.</w:t>
      </w:r>
    </w:p>
    <w:p w14:paraId="20179A62" w14:textId="77777777" w:rsidR="00711444" w:rsidRPr="004D0DAA" w:rsidRDefault="00711444" w:rsidP="00711444">
      <w:pPr>
        <w:pStyle w:val="Heading6"/>
      </w:pPr>
      <w:bookmarkStart w:id="209" w:name="_Toc516669397"/>
      <w:r w:rsidRPr="004D0DAA">
        <w:t>7.7.1.4.1.1</w:t>
      </w:r>
      <w:r w:rsidRPr="004D0DAA">
        <w:tab/>
        <w:t>Access persistence control on MPRACH</w:t>
      </w:r>
      <w:bookmarkEnd w:id="209"/>
    </w:p>
    <w:p w14:paraId="448A6F4D" w14:textId="77777777" w:rsidR="00711444" w:rsidRPr="004D0DAA" w:rsidRDefault="00711444" w:rsidP="00711444">
      <w:r w:rsidRPr="004D0DAA">
        <w:t>The mobile station shall make maximally M + 1 attempts to send an MPRACH PACKET CHANNEL REQUEST message.</w:t>
      </w:r>
    </w:p>
    <w:p w14:paraId="0DDCC4AD" w14:textId="77777777" w:rsidR="00711444" w:rsidRPr="004D0DAA" w:rsidRDefault="00711444" w:rsidP="00711444">
      <w:pPr>
        <w:keepNext/>
      </w:pPr>
      <w:r w:rsidRPr="004D0DAA">
        <w:t>The mobile station shall use the control parameters determined by the procedure described in sub-clause 7.7.1.4.1:</w:t>
      </w:r>
    </w:p>
    <w:p w14:paraId="6971E34F" w14:textId="77777777" w:rsidR="00711444" w:rsidRPr="004D0DAA" w:rsidRDefault="00711444" w:rsidP="00711444">
      <w:pPr>
        <w:pStyle w:val="B1"/>
      </w:pPr>
      <w:r w:rsidRPr="004D0DAA">
        <w:t>-</w:t>
      </w:r>
      <w:r w:rsidRPr="004D0DAA">
        <w:tab/>
        <w:t>MAX_RETRANS;</w:t>
      </w:r>
    </w:p>
    <w:p w14:paraId="512A2BF5" w14:textId="77777777" w:rsidR="00711444" w:rsidRPr="004D0DAA" w:rsidRDefault="00711444" w:rsidP="00711444">
      <w:pPr>
        <w:pStyle w:val="B1"/>
      </w:pPr>
      <w:r w:rsidRPr="004D0DAA">
        <w:lastRenderedPageBreak/>
        <w:t>-</w:t>
      </w:r>
      <w:r w:rsidRPr="004D0DAA">
        <w:tab/>
        <w:t xml:space="preserve">PERSISTENCE_LEVEL, which consists of the PERSISTENCE_LEVEL P </w:t>
      </w:r>
      <w:r w:rsidRPr="004D0DAA">
        <w:fldChar w:fldCharType="begin"/>
      </w:r>
      <w:r w:rsidRPr="004D0DAA">
        <w:instrText>symbol 206 \f "Symbol" \s 10</w:instrText>
      </w:r>
      <w:r w:rsidRPr="004D0DAA">
        <w:fldChar w:fldCharType="separate"/>
      </w:r>
      <w:r w:rsidRPr="004D0DAA">
        <w:rPr>
          <w:rFonts w:ascii="Symbol" w:hAnsi="Symbol"/>
        </w:rPr>
        <w:t>Î</w:t>
      </w:r>
      <w:r w:rsidRPr="004D0DAA">
        <w:fldChar w:fldCharType="end"/>
      </w:r>
      <w:r w:rsidRPr="004D0DAA">
        <w:t xml:space="preserve"> {0, 1, …14, 16}. If the control parameters do not contain the PERSISTENCE_LEVEL parameter, this shall be interpreted as if P = 0;</w:t>
      </w:r>
    </w:p>
    <w:p w14:paraId="59E5432C" w14:textId="77777777" w:rsidR="00711444" w:rsidRPr="004D0DAA" w:rsidRDefault="00711444" w:rsidP="00711444">
      <w:pPr>
        <w:pStyle w:val="B1"/>
      </w:pPr>
      <w:r w:rsidRPr="004D0DAA">
        <w:t>-</w:t>
      </w:r>
      <w:r w:rsidRPr="004D0DAA">
        <w:tab/>
        <w:t>S;</w:t>
      </w:r>
    </w:p>
    <w:p w14:paraId="4B4EE1C6" w14:textId="77777777" w:rsidR="00711444" w:rsidRPr="004D0DAA" w:rsidRDefault="00711444" w:rsidP="00711444">
      <w:pPr>
        <w:pStyle w:val="B1"/>
      </w:pPr>
      <w:r w:rsidRPr="004D0DAA">
        <w:t>-</w:t>
      </w:r>
      <w:r w:rsidRPr="004D0DAA">
        <w:tab/>
        <w:t>TX_INT.</w:t>
      </w:r>
    </w:p>
    <w:p w14:paraId="2C384D43" w14:textId="77777777" w:rsidR="00711444" w:rsidRPr="004D0DAA" w:rsidRDefault="00711444" w:rsidP="00711444">
      <w:r w:rsidRPr="004D0DAA">
        <w:t>The mobile station shall start timer T3186 at the beginning of the MPRACH packet access procedure. At expiry of timer T3186, the MPRACH packet access procedure shall be aborted, and:</w:t>
      </w:r>
    </w:p>
    <w:p w14:paraId="06F8BF23" w14:textId="77777777" w:rsidR="00711444" w:rsidRPr="004D0DAA" w:rsidRDefault="004D0DAA" w:rsidP="004D0DAA">
      <w:pPr>
        <w:pStyle w:val="B1"/>
      </w:pPr>
      <w:r>
        <w:t>-</w:t>
      </w:r>
      <w:r>
        <w:tab/>
      </w:r>
      <w:r w:rsidR="00711444" w:rsidRPr="004D0DAA">
        <w:t>if at least one MPRACH PACKET CHANNEL REQUEST message was transmitted by the mobile station, a random access failure shall be indicated to upper layers and the mobile station shall perform autonomous cell re-selection according to 3GPP TS 43.022;</w:t>
      </w:r>
    </w:p>
    <w:p w14:paraId="0FC9533F" w14:textId="77777777" w:rsidR="00711444" w:rsidRPr="004D0DAA" w:rsidRDefault="004D0DAA" w:rsidP="004D0DAA">
      <w:pPr>
        <w:pStyle w:val="B1"/>
      </w:pPr>
      <w:r>
        <w:t>-</w:t>
      </w:r>
      <w:r>
        <w:tab/>
      </w:r>
      <w:r w:rsidR="00711444" w:rsidRPr="004D0DAA">
        <w:t>otherwise, a packet access failure shall be indicated to upper layers and the mobile station shall return to packet idle mode or MAC-Idle state.</w:t>
      </w:r>
    </w:p>
    <w:p w14:paraId="398B4DD6" w14:textId="77777777" w:rsidR="00711444" w:rsidRPr="004D0DAA" w:rsidRDefault="00711444" w:rsidP="00711444">
      <w:r w:rsidRPr="004D0DAA">
        <w:t>The first attempt to send an MPRACH PACKET CHANNEL REQUEST message may be initiated at the first available MPRACH block on the indicated PDCH. The mobile station shall choose one of the four TDMA frames within the selected MPRACH block randomly with a uniform probability distribution.</w:t>
      </w:r>
    </w:p>
    <w:p w14:paraId="3035DC31" w14:textId="77777777" w:rsidR="00711444" w:rsidRPr="004D0DAA" w:rsidRDefault="00711444" w:rsidP="00711444">
      <w:r w:rsidRPr="004D0DAA">
        <w:t>For each attempt, the mobile station shall draw a random value R with uniform probability distribution in the set {0, 1, …, 15}. The mobile station is allowed to transmit an MPRACH PACKET CHANNEL REQUEST message if P is less than or equal to R.</w:t>
      </w:r>
    </w:p>
    <w:p w14:paraId="1D4D084A" w14:textId="77777777" w:rsidR="00711444" w:rsidRPr="004D0DAA" w:rsidRDefault="00711444" w:rsidP="00711444">
      <w:r w:rsidRPr="004D0DAA">
        <w:t>After each attempt, the S and T parameters are used to determine the next TDMA frame in which it may be allowed to make a successive attempt. The number of TDMA frames, belonging to the MPRACH on the indicated PDCH, between two successive attempts to send an MPRACH PACKET</w:t>
      </w:r>
      <w:r w:rsidRPr="004D0DAA">
        <w:rPr>
          <w:sz w:val="18"/>
        </w:rPr>
        <w:t xml:space="preserve"> </w:t>
      </w:r>
      <w:r w:rsidRPr="004D0DAA">
        <w:t>CHANNEL REQUEST message,</w:t>
      </w:r>
      <w:r w:rsidRPr="004D0DAA">
        <w:rPr>
          <w:sz w:val="18"/>
        </w:rPr>
        <w:t xml:space="preserve"> </w:t>
      </w:r>
      <w:r w:rsidRPr="004D0DAA">
        <w:t>excluding the TDMA frames potentially containing the messages themselves, is a random value drawn for each transmission, with uniform probability distribution, in the set {S, S + 1, …, S + T </w:t>
      </w:r>
      <w:r w:rsidRPr="004D0DAA">
        <w:noBreakHyphen/>
        <w:t> 1};</w:t>
      </w:r>
    </w:p>
    <w:p w14:paraId="2F43B31C" w14:textId="77777777" w:rsidR="00711444" w:rsidRPr="004D0DAA" w:rsidRDefault="00711444" w:rsidP="00711444">
      <w:r w:rsidRPr="004D0DAA">
        <w:t>Here:</w:t>
      </w:r>
    </w:p>
    <w:p w14:paraId="533B03CD" w14:textId="77777777" w:rsidR="00711444" w:rsidRPr="004D0DAA" w:rsidRDefault="00711444" w:rsidP="00711444">
      <w:pPr>
        <w:pStyle w:val="B1"/>
      </w:pPr>
      <w:r w:rsidRPr="004D0DAA">
        <w:t>M</w:t>
      </w:r>
      <w:r w:rsidRPr="004D0DAA">
        <w:tab/>
        <w:t>is the value of the parameter MAX_RETRANS;</w:t>
      </w:r>
    </w:p>
    <w:p w14:paraId="1A0DA604" w14:textId="77777777" w:rsidR="00711444" w:rsidRPr="004D0DAA" w:rsidRDefault="00711444" w:rsidP="00711444">
      <w:pPr>
        <w:pStyle w:val="B1"/>
      </w:pPr>
      <w:r w:rsidRPr="004D0DAA">
        <w:t>T</w:t>
      </w:r>
      <w:r w:rsidRPr="004D0DAA">
        <w:tab/>
        <w:t>is the value of the parameter TX_INT;</w:t>
      </w:r>
    </w:p>
    <w:p w14:paraId="18A6B96D" w14:textId="77777777" w:rsidR="00711444" w:rsidRPr="004D0DAA" w:rsidRDefault="00711444" w:rsidP="00711444">
      <w:pPr>
        <w:pStyle w:val="B1"/>
      </w:pPr>
      <w:r w:rsidRPr="004D0DAA">
        <w:t>S</w:t>
      </w:r>
      <w:r w:rsidRPr="004D0DAA">
        <w:tab/>
        <w:t>is the value of the parameter S.</w:t>
      </w:r>
    </w:p>
    <w:p w14:paraId="4F24597F" w14:textId="77777777" w:rsidR="00711444" w:rsidRPr="004D0DAA" w:rsidRDefault="00711444" w:rsidP="00711444">
      <w:r w:rsidRPr="004D0DAA">
        <w:t xml:space="preserve">Having made M + 1 attempts to send an MPRACH PACKET CHANNEL REQUEST message, the mobile station shall stop timer T3186 and start timer T3170 </w:t>
      </w:r>
      <w:r w:rsidRPr="004D0DAA">
        <w:rPr>
          <w:lang w:eastAsia="ko-KR"/>
        </w:rPr>
        <w:t>if at least one MPRACH PACKET CHANNEL REQUEST</w:t>
      </w:r>
      <w:r w:rsidRPr="004D0DAA">
        <w:t xml:space="preserve"> </w:t>
      </w:r>
      <w:r w:rsidRPr="004D0DAA">
        <w:rPr>
          <w:lang w:eastAsia="ko-KR"/>
        </w:rPr>
        <w:t>message was transmitted by the mobile station</w:t>
      </w:r>
      <w:r w:rsidRPr="004D0DAA">
        <w:t>. In this case, at expiry of timer T3170, the packet access procedure shall be aborted, a random access failure shall be indicated to upper layers and the mobile station shall</w:t>
      </w:r>
      <w:r w:rsidRPr="004D0DAA">
        <w:rPr>
          <w:sz w:val="16"/>
        </w:rPr>
        <w:t xml:space="preserve"> </w:t>
      </w:r>
      <w:r w:rsidRPr="004D0DAA">
        <w:t xml:space="preserve">perform autonomous cell re-selection according to 3GPP TS 43.022. </w:t>
      </w:r>
      <w:r w:rsidRPr="004D0DAA">
        <w:rPr>
          <w:lang w:eastAsia="ko-KR"/>
        </w:rPr>
        <w:t xml:space="preserve">Otherwise, </w:t>
      </w:r>
      <w:r w:rsidRPr="004D0DAA">
        <w:t>the packet access procedure shall be aborted,</w:t>
      </w:r>
      <w:r w:rsidRPr="004D0DAA">
        <w:rPr>
          <w:lang w:eastAsia="ko-KR"/>
        </w:rPr>
        <w:t xml:space="preserve"> a packet access failure shall be indicated to upper layers and the mobile station shall return to packet idle mode or MAC-Idle state.</w:t>
      </w:r>
    </w:p>
    <w:p w14:paraId="408A413E" w14:textId="77777777" w:rsidR="00711444" w:rsidRPr="004D0DAA" w:rsidRDefault="00711444" w:rsidP="00711444">
      <w:r w:rsidRPr="004D0DAA">
        <w:t xml:space="preserve">If the mobile station receives a PACKET DOWNLINK ASSIGNMENT message while it is waiting for a response to an MPRACH PACKET CHANNEL REQUEST message, it shall abort the MBMS packet access procedure on MPRACH and respond to the PACKET DOWNLINK ASSIGNMENT message (see sub-clause 7.2.1). </w:t>
      </w:r>
    </w:p>
    <w:p w14:paraId="12F5B4C7" w14:textId="77777777" w:rsidR="00711444" w:rsidRPr="004D0DAA" w:rsidRDefault="00711444" w:rsidP="00711444">
      <w:pPr>
        <w:pStyle w:val="Heading5"/>
      </w:pPr>
      <w:bookmarkStart w:id="210" w:name="_Toc516669398"/>
      <w:r w:rsidRPr="004D0DAA">
        <w:t>7.7.1.4.2</w:t>
      </w:r>
      <w:r w:rsidRPr="004D0DAA">
        <w:tab/>
        <w:t>On receipt of an MPRACH PACKET CHANNEL REQUEST</w:t>
      </w:r>
      <w:bookmarkEnd w:id="210"/>
    </w:p>
    <w:p w14:paraId="7724F42E" w14:textId="77777777" w:rsidR="00711444" w:rsidRPr="004D0DAA" w:rsidRDefault="00711444" w:rsidP="00711444">
      <w:r w:rsidRPr="004D0DAA">
        <w:t>On receipt of an MPRACH PACKET CHANNEL REQUEST message with access type indicating "Single block MBMS access", the network shall either allocate one radio block on an uplink PDCH by sending a PACKET UPLINK ASSIGNMENT message on the downlink PDCH corresponding to the uplink PDCH where the MPRACH is allocated or, if uplink resources are not available, reject the access request by sending a PACKET ACCESS REJECT message on the same downlink PDCH (see sub-clause 7.7.1.4.3).</w:t>
      </w:r>
    </w:p>
    <w:p w14:paraId="5FB88A43" w14:textId="77777777" w:rsidR="00711444" w:rsidRPr="004D0DAA" w:rsidRDefault="00711444" w:rsidP="00711444">
      <w:r w:rsidRPr="004D0DAA">
        <w:t>The PACKET UPLINK ASSIGNMENT message shall include the optional parameters:</w:t>
      </w:r>
    </w:p>
    <w:p w14:paraId="459D086D" w14:textId="77777777" w:rsidR="00711444" w:rsidRPr="004D0DAA" w:rsidRDefault="00711444" w:rsidP="00711444">
      <w:pPr>
        <w:pStyle w:val="B1"/>
      </w:pPr>
      <w:r w:rsidRPr="004D0DAA">
        <w:t>-</w:t>
      </w:r>
      <w:r w:rsidRPr="004D0DAA">
        <w:tab/>
        <w:t>Power Control Parameters with timeslot allocation;</w:t>
      </w:r>
    </w:p>
    <w:p w14:paraId="34592081" w14:textId="77777777" w:rsidR="00711444" w:rsidRPr="004D0DAA" w:rsidRDefault="00711444" w:rsidP="00711444">
      <w:pPr>
        <w:pStyle w:val="B1"/>
      </w:pPr>
      <w:r w:rsidRPr="004D0DAA">
        <w:t>-</w:t>
      </w:r>
      <w:r w:rsidRPr="004D0DAA">
        <w:tab/>
        <w:t>Frequency parameters;</w:t>
      </w:r>
    </w:p>
    <w:p w14:paraId="5A40C5B6" w14:textId="77777777" w:rsidR="00711444" w:rsidRPr="004D0DAA" w:rsidRDefault="00711444" w:rsidP="00711444">
      <w:pPr>
        <w:pStyle w:val="B1"/>
      </w:pPr>
      <w:r w:rsidRPr="004D0DAA">
        <w:t>-</w:t>
      </w:r>
      <w:r w:rsidRPr="004D0DAA">
        <w:tab/>
        <w:t>TBF_STARTING_TIME indicating the frame number of the allocated block;</w:t>
      </w:r>
    </w:p>
    <w:p w14:paraId="01EDB096" w14:textId="77777777" w:rsidR="00711444" w:rsidRPr="004D0DAA" w:rsidRDefault="00711444" w:rsidP="00711444">
      <w:pPr>
        <w:pStyle w:val="B1"/>
      </w:pPr>
      <w:r w:rsidRPr="004D0DAA">
        <w:lastRenderedPageBreak/>
        <w:t>-</w:t>
      </w:r>
      <w:r w:rsidRPr="004D0DAA">
        <w:tab/>
        <w:t>TIMING_ADVANCE_VALUE;</w:t>
      </w:r>
    </w:p>
    <w:p w14:paraId="169C1953" w14:textId="77777777" w:rsidR="00711444" w:rsidRPr="004D0DAA" w:rsidRDefault="00711444" w:rsidP="00711444">
      <w:pPr>
        <w:pStyle w:val="B1"/>
      </w:pPr>
      <w:r w:rsidRPr="004D0DAA">
        <w:t>-</w:t>
      </w:r>
      <w:r w:rsidRPr="004D0DAA">
        <w:tab/>
        <w:t>Packet Request Reference.</w:t>
      </w:r>
    </w:p>
    <w:p w14:paraId="7D844CC8" w14:textId="77777777" w:rsidR="00711444" w:rsidRPr="004D0DAA" w:rsidRDefault="00711444" w:rsidP="00711444">
      <w:pPr>
        <w:pStyle w:val="Heading5"/>
      </w:pPr>
      <w:bookmarkStart w:id="211" w:name="_Toc516669399"/>
      <w:r w:rsidRPr="004D0DAA">
        <w:t>7.7.1.4.3</w:t>
      </w:r>
      <w:r w:rsidRPr="004D0DAA">
        <w:tab/>
        <w:t>On receipt of a PACKET ACCESS REJECT message</w:t>
      </w:r>
      <w:bookmarkEnd w:id="211"/>
    </w:p>
    <w:p w14:paraId="57829E60" w14:textId="77777777" w:rsidR="00711444" w:rsidRPr="004D0DAA" w:rsidRDefault="00711444" w:rsidP="00711444">
      <w:r w:rsidRPr="004D0DAA">
        <w:t>The network may, as response to an MPRACH PACKET CHANNEL REQUEST message, send to the mobile station a PACKET ACCESS REJECT message on the downlink PDCH corresponding to the uplink PDCH where the MPRACH is allocated. This message contains the request reference with time of reception of the MPRACH PACKET CHANNEL REQUEST message and optionally a WAIT_INDICATION field in the Reject structure of the PACKET ACCESS REJECT message.</w:t>
      </w:r>
    </w:p>
    <w:p w14:paraId="49029D52" w14:textId="77777777" w:rsidR="00711444" w:rsidRPr="004D0DAA" w:rsidRDefault="00711444" w:rsidP="00711444">
      <w:r w:rsidRPr="004D0DAA">
        <w:t>On receipt of a PACKET ACCESS REJECT message containing a Reject structure addressed to the mobile station, where the Packet Request Reference in the Reject structure corresponds to one of its 3 last MPRACH PACKET CHANNEL REQUEST messages:</w:t>
      </w:r>
    </w:p>
    <w:p w14:paraId="045A2178" w14:textId="77777777" w:rsidR="00711444" w:rsidRPr="004D0DAA" w:rsidRDefault="00711444" w:rsidP="00711444">
      <w:pPr>
        <w:pStyle w:val="B1"/>
      </w:pPr>
      <w:r w:rsidRPr="004D0DAA">
        <w:t>-</w:t>
      </w:r>
      <w:r w:rsidRPr="004D0DAA">
        <w:tab/>
        <w:t>The mobile station shall stop timer T3186, stop sending MPRACH PACKET CHANNEL REQUEST messages, start timer T3172 with the value indicated in the WAIT_INDICATION field, start timer T3170 if it has not already been started and listen to the downlink PCCCH until timer T3170 expires. During this time, the mobile station shall ignore additional PACKET ACCESS REJECT messages. During this time, on reception of any PACKET UPLINK ASSIGNMENT message corresponding to any other of its 3 last MPRACH PACKET CHANNEL REQUEST messages, the mobile station shall stop timers T3170 and T3172 if running, and follow the procedure defined in sub-clause 7.1.2.2.1b;</w:t>
      </w:r>
    </w:p>
    <w:p w14:paraId="10C2A16F" w14:textId="77777777" w:rsidR="00711444" w:rsidRPr="004D0DAA" w:rsidRDefault="00711444" w:rsidP="00711444">
      <w:pPr>
        <w:pStyle w:val="B1"/>
      </w:pPr>
      <w:r w:rsidRPr="004D0DAA">
        <w:t>-</w:t>
      </w:r>
      <w:r w:rsidRPr="004D0DAA">
        <w:tab/>
        <w:t xml:space="preserve">If no PACKET UPLINK ASSIGNMENT message is received before expiration of timer T3170, the mobile station shall indicate a packet access failure to upper layer and return to packet idle mode (listening to its paging channel). As an option the mobile station may stop timer T3170, indicate a packet access failure to upper layer and return to packet idle mode as soon as it has received responses from the network on all or, in case more than 3 were sent, the last 3 of its MPRACH PACKET CHANNEL REQUEST messages. </w:t>
      </w:r>
      <w:r w:rsidRPr="004D0DAA">
        <w:rPr>
          <w:lang w:eastAsia="ko-KR"/>
        </w:rPr>
        <w:t>If the mobile station is already engaged in a parallel broadcast/multicast session the mobile station shall remain in broadcast/multicast receive mode;</w:t>
      </w:r>
    </w:p>
    <w:p w14:paraId="15B7D294" w14:textId="77777777" w:rsidR="00711444" w:rsidRPr="004D0DAA" w:rsidRDefault="00711444" w:rsidP="00711444">
      <w:pPr>
        <w:pStyle w:val="B1"/>
      </w:pPr>
      <w:r w:rsidRPr="004D0DAA">
        <w:t>-</w:t>
      </w:r>
      <w:r w:rsidRPr="004D0DAA">
        <w:tab/>
        <w:t>If an erroneous PACKET UPLINK ASSIGNMENT message (e.g. the mobile station has been assigned more PDCHs than it supports according to the relevant multislot configuration as defined in 3GPP TS 45.002) addressed to the mobile station is received before expiration of timer T3170, the mobile station shall stop T3170 and act as stated in sub-clause 7.1.4;</w:t>
      </w:r>
    </w:p>
    <w:p w14:paraId="48163488" w14:textId="77777777" w:rsidR="00711444" w:rsidRPr="004D0DAA" w:rsidRDefault="00711444" w:rsidP="00711444">
      <w:pPr>
        <w:pStyle w:val="B1"/>
      </w:pPr>
      <w:r w:rsidRPr="004D0DAA">
        <w:t>-</w:t>
      </w:r>
      <w:r w:rsidRPr="004D0DAA">
        <w:tab/>
        <w:t>If the mobile station receives a PACKET DOWNLINK ASSIGNMENT message, it shall stop timer T3170 if running and respond to the PACKET DOWNLINK ASSIGNMENT message (see sub-clause 7.2.1);</w:t>
      </w:r>
    </w:p>
    <w:p w14:paraId="16EA2B29" w14:textId="77777777" w:rsidR="00711444" w:rsidRPr="004D0DAA" w:rsidRDefault="00711444" w:rsidP="00711444">
      <w:pPr>
        <w:pStyle w:val="B1"/>
      </w:pPr>
      <w:r w:rsidRPr="004D0DAA">
        <w:t>-</w:t>
      </w:r>
      <w:r w:rsidRPr="004D0DAA">
        <w:tab/>
        <w:t xml:space="preserve">The mobile station is not allowed to make a new attempt for packet access in the same cell until timer T3172 expires, but may attempt packet access in another cell after successful cell reselection for radio conditions reasons (see 3GPP TS 45.008). In </w:t>
      </w:r>
      <w:r w:rsidRPr="004D0DAA">
        <w:rPr>
          <w:i/>
        </w:rPr>
        <w:t>A/Gb mode</w:t>
      </w:r>
      <w:r w:rsidRPr="004D0DAA">
        <w:t>, a mobile station that is IMSI attached (GPRS class A or B mode of operation) may attempt to enter the dedicated mode in the same cell before timer T3172 has expired. During the time T3172 is running, the mobile station shall ignore all received PACKET PAGING REQUEST messages except paging requests sent to trigger RR connection establishment and paging requests sent to trigger the acquisition of an ETWS Primary Notification message;</w:t>
      </w:r>
    </w:p>
    <w:p w14:paraId="308690FF" w14:textId="77777777" w:rsidR="00711444" w:rsidRPr="004D0DAA" w:rsidRDefault="00711444" w:rsidP="00711444">
      <w:pPr>
        <w:pStyle w:val="B1"/>
      </w:pPr>
      <w:r w:rsidRPr="004D0DAA">
        <w:t>-</w:t>
      </w:r>
      <w:r w:rsidRPr="004D0DAA">
        <w:tab/>
        <w:t>The value of the WAIT_INDICATION field (i.e. timer T3172) relates to the cell from which it was received.</w:t>
      </w:r>
    </w:p>
    <w:p w14:paraId="35755CF5" w14:textId="77777777" w:rsidR="00711444" w:rsidRPr="004D0DAA" w:rsidRDefault="00711444" w:rsidP="00711444">
      <w:pPr>
        <w:pStyle w:val="Heading5"/>
      </w:pPr>
      <w:bookmarkStart w:id="212" w:name="_Toc516669400"/>
      <w:r w:rsidRPr="004D0DAA">
        <w:t>7.7.1.4.4</w:t>
      </w:r>
      <w:r w:rsidRPr="004D0DAA">
        <w:tab/>
        <w:t>On receipt of a PACKET UPLINK ASSIGNMENT message</w:t>
      </w:r>
      <w:bookmarkEnd w:id="212"/>
    </w:p>
    <w:p w14:paraId="727BE011" w14:textId="77777777" w:rsidR="00711444" w:rsidRPr="004D0DAA" w:rsidRDefault="00711444" w:rsidP="00711444">
      <w:r w:rsidRPr="004D0DAA">
        <w:t>On receipt of a PACKET UPLINK ASSIGNMENT message corresponding to one of its 3 last MPRACH PACKET CHANNEL REQUEST messages the mobile station shall stop timers T3186 and T3170 if running and stop sending MPRACH PACKET CHANNEL REQUEST messages. The mobile station shall send the MBMS SERVICE REQUEST message in the allocated radio block on the assigned PDCH and then start timer T3214. While timer T3214 is running the mobile station shall accept reception of repeated PACKET UPLINK ASSIGNMENT messages, on the downlink PDCH corresponding to the uplink PDCH where the MPRACH is allocated, and re-send the MBMS SERVICE REQUEST in the allocated block on the assigned PDCH and restart the timer T3214.</w:t>
      </w:r>
    </w:p>
    <w:p w14:paraId="154FEDCE" w14:textId="77777777" w:rsidR="00711444" w:rsidRPr="004D0DAA" w:rsidRDefault="00711444" w:rsidP="00711444">
      <w:r w:rsidRPr="004D0DAA">
        <w:t xml:space="preserve">At expiry of timer T3214, a mobile station in packet idle mode or MAC-Idle state shall return to DRX mode and shall consider the MBMS radio bearer as not established in the cell for the concerned MBMS session. A mobile station in broadcast/multicast receive mode shall remain in broadcast/multicast receive mode. </w:t>
      </w:r>
    </w:p>
    <w:p w14:paraId="3662B49B" w14:textId="77777777" w:rsidR="00711444" w:rsidRPr="004D0DAA" w:rsidRDefault="00711444" w:rsidP="00711444">
      <w:pPr>
        <w:pStyle w:val="Heading5"/>
      </w:pPr>
      <w:bookmarkStart w:id="213" w:name="_Toc516669401"/>
      <w:r w:rsidRPr="004D0DAA">
        <w:lastRenderedPageBreak/>
        <w:t>7.7.1.4.5</w:t>
      </w:r>
      <w:r w:rsidRPr="004D0DAA">
        <w:tab/>
        <w:t>On receipt of an MBMS ASSIGNMENT message</w:t>
      </w:r>
      <w:bookmarkEnd w:id="213"/>
    </w:p>
    <w:p w14:paraId="03B75DB4" w14:textId="77777777" w:rsidR="00711444" w:rsidRPr="004D0DAA" w:rsidRDefault="00711444" w:rsidP="00711444">
      <w:r w:rsidRPr="004D0DAA">
        <w:t>When the mobile station receives an MBMS ASSIGNMENT message for an MBMS session, it shall stop any ongoing packet access procedure for that MBMS session and proceed according to sub-clause 7.7.2.2.</w:t>
      </w:r>
    </w:p>
    <w:p w14:paraId="2C926921" w14:textId="77777777" w:rsidR="00711444" w:rsidRPr="004D0DAA" w:rsidRDefault="00711444" w:rsidP="00711444">
      <w:pPr>
        <w:pStyle w:val="Heading3"/>
      </w:pPr>
      <w:bookmarkStart w:id="214" w:name="_Toc516669402"/>
      <w:r w:rsidRPr="004D0DAA">
        <w:t>7.7.2</w:t>
      </w:r>
      <w:r w:rsidRPr="004D0DAA">
        <w:tab/>
        <w:t>Establishment of MBMS bearer</w:t>
      </w:r>
      <w:bookmarkEnd w:id="214"/>
    </w:p>
    <w:p w14:paraId="07D7ED4F" w14:textId="77777777" w:rsidR="00711444" w:rsidRPr="004D0DAA" w:rsidRDefault="00711444" w:rsidP="00711444">
      <w:pPr>
        <w:pStyle w:val="Heading4"/>
      </w:pPr>
      <w:bookmarkStart w:id="215" w:name="_Toc516669403"/>
      <w:r w:rsidRPr="004D0DAA">
        <w:t>7.7.2.1</w:t>
      </w:r>
      <w:r w:rsidRPr="004D0DAA">
        <w:tab/>
        <w:t>General</w:t>
      </w:r>
      <w:bookmarkEnd w:id="215"/>
    </w:p>
    <w:p w14:paraId="01B7ACC5" w14:textId="77777777" w:rsidR="00711444" w:rsidRPr="004D0DAA" w:rsidRDefault="00711444" w:rsidP="00711444">
      <w:r w:rsidRPr="004D0DAA">
        <w:t xml:space="preserve">The network may send an MBMS ASSIGNMENT message to the mobile station(s) in order to inform about the establishment of a radio bearer for an MBMS session in the cell or to notify the mobile station(s) that a radio bearer for that MBMS session is not established in the cell. The decision of whether to establish a radio bearer for an MBMS session in a cell is a network dependent choice. </w:t>
      </w:r>
    </w:p>
    <w:p w14:paraId="7E6BB676" w14:textId="77777777" w:rsidR="00711444" w:rsidRPr="004D0DAA" w:rsidRDefault="00711444" w:rsidP="00711444">
      <w:r w:rsidRPr="004D0DAA">
        <w:t xml:space="preserve">If the network sends the MBMS ASSIGNMENT message subsequent to an MBMS Notification for the same MBMS session, the MBMS ASSIGNMENT message shall be sent on any PAGCH on the same PCCCH on which the network has sent the MBMS Notification or, if a packet control channel does not exist, the IMMEDIATE ASSIGNMENT message including the </w:t>
      </w:r>
      <w:r w:rsidRPr="004D0DAA">
        <w:rPr>
          <w:i/>
        </w:rPr>
        <w:t>Multiple Blocks Packet Downlink Assignment</w:t>
      </w:r>
      <w:r w:rsidRPr="004D0DAA">
        <w:t xml:space="preserve"> construction shall be sent on any AGCH on the same CCCH on which the network has sent the MBMS Notification, followed by the MBMS ASSIGNMENT message sent on the PDCH specified by the </w:t>
      </w:r>
      <w:r w:rsidRPr="004D0DAA">
        <w:rPr>
          <w:i/>
        </w:rPr>
        <w:t>Packet Channel Description</w:t>
      </w:r>
      <w:r w:rsidRPr="004D0DAA">
        <w:t xml:space="preserve"> IE in the IMMEDIATE ASSIGNMENT message (see 3GPP TS 44.018). </w:t>
      </w:r>
    </w:p>
    <w:p w14:paraId="0543D638" w14:textId="77777777" w:rsidR="00711444" w:rsidRPr="004D0DAA" w:rsidRDefault="00711444" w:rsidP="00711444">
      <w:pPr>
        <w:tabs>
          <w:tab w:val="left" w:pos="4678"/>
        </w:tabs>
      </w:pPr>
      <w:r w:rsidRPr="004D0DAA">
        <w:t>In case the network sends the MBMS ASSIGNMENT message in response to an MBMS SERVICE REQUEST message which is not sent as a response to an MBMS Notification, the MBMS ASSIGNMENT message shall be sent either:</w:t>
      </w:r>
    </w:p>
    <w:p w14:paraId="167DC470" w14:textId="77777777" w:rsidR="00711444" w:rsidRPr="004D0DAA" w:rsidRDefault="00711444" w:rsidP="00711444">
      <w:pPr>
        <w:pStyle w:val="B1"/>
      </w:pPr>
      <w:r w:rsidRPr="004D0DAA">
        <w:t>-</w:t>
      </w:r>
      <w:r w:rsidRPr="004D0DAA">
        <w:tab/>
        <w:t xml:space="preserve">on the PCCCH corresponding to the mobile station PCCCH_GROUP, if the mobile station initiated the MBMS packet access </w:t>
      </w:r>
      <w:r w:rsidRPr="004D0DAA">
        <w:rPr>
          <w:rFonts w:cs="Arial"/>
          <w:szCs w:val="22"/>
        </w:rPr>
        <w:t xml:space="preserve">procedure </w:t>
      </w:r>
      <w:r w:rsidRPr="004D0DAA">
        <w:t xml:space="preserve">on the MPRACH, or </w:t>
      </w:r>
    </w:p>
    <w:p w14:paraId="71E5C8F6" w14:textId="77777777" w:rsidR="00711444" w:rsidRPr="004D0DAA" w:rsidRDefault="00711444" w:rsidP="00711444">
      <w:pPr>
        <w:pStyle w:val="B1"/>
      </w:pPr>
      <w:r w:rsidRPr="004D0DAA">
        <w:t>-</w:t>
      </w:r>
      <w:r w:rsidRPr="004D0DAA">
        <w:tab/>
        <w:t xml:space="preserve">on any PAGCH on the same PCCCH on which the mobile station sent the PACKET CHANNEL REQUEST message with access type "Single block MBMS access" or, </w:t>
      </w:r>
    </w:p>
    <w:p w14:paraId="175B8220" w14:textId="77777777" w:rsidR="00711444" w:rsidRPr="004D0DAA" w:rsidRDefault="00711444" w:rsidP="00711444">
      <w:pPr>
        <w:pStyle w:val="B1"/>
      </w:pPr>
      <w:r w:rsidRPr="004D0DAA">
        <w:t>-</w:t>
      </w:r>
      <w:r w:rsidRPr="004D0DAA">
        <w:tab/>
        <w:t xml:space="preserve">if a packet control channel does not exist, the IMMEDIATE ASSIGNMENT message including the </w:t>
      </w:r>
      <w:r w:rsidRPr="004D0DAA">
        <w:rPr>
          <w:i/>
        </w:rPr>
        <w:t>Multiple Blocks Packet Downlink Assignment</w:t>
      </w:r>
      <w:r w:rsidRPr="004D0DAA">
        <w:t xml:space="preserve"> construction shall be sent on the CCCH corresponding to the mobile station CCCH_GROUP, if the mobile station initiated the MBMS packet access </w:t>
      </w:r>
      <w:r w:rsidRPr="004D0DAA">
        <w:rPr>
          <w:rFonts w:cs="Arial"/>
          <w:szCs w:val="22"/>
        </w:rPr>
        <w:t xml:space="preserve">procedure </w:t>
      </w:r>
      <w:r w:rsidRPr="004D0DAA">
        <w:t xml:space="preserve">on the MPRACH, or on any AGCH on the same CCCH on which the mobile station sent the CHANNEL REQUEST message with access type "Single block MBMS access", followed by the MBMS ASSIGNMENT message sent on the PDCH specified by the </w:t>
      </w:r>
      <w:r w:rsidRPr="004D0DAA">
        <w:rPr>
          <w:i/>
        </w:rPr>
        <w:t>Packet Channel Description</w:t>
      </w:r>
      <w:r w:rsidRPr="004D0DAA">
        <w:t xml:space="preserve"> IE in the IMMEDIATE ASSIGNMENT message (see 3GPP TS 44.018).</w:t>
      </w:r>
    </w:p>
    <w:p w14:paraId="2C9BC9BD" w14:textId="77777777" w:rsidR="00711444" w:rsidRPr="004D0DAA" w:rsidRDefault="00711444" w:rsidP="00711444">
      <w:pPr>
        <w:pStyle w:val="Heading4"/>
      </w:pPr>
      <w:bookmarkStart w:id="216" w:name="_Toc516669404"/>
      <w:r w:rsidRPr="004D0DAA">
        <w:t>7.7.2.2</w:t>
      </w:r>
      <w:r w:rsidRPr="004D0DAA">
        <w:tab/>
        <w:t>On receipt of an MBMS ASSIGNMENT message</w:t>
      </w:r>
      <w:bookmarkEnd w:id="216"/>
    </w:p>
    <w:p w14:paraId="6F970F67" w14:textId="77777777" w:rsidR="00711444" w:rsidRPr="004D0DAA" w:rsidRDefault="00711444" w:rsidP="00711444">
      <w:r w:rsidRPr="004D0DAA">
        <w:t>On reception of the MBMS ASSIGNMENT message the mobile station shall stop timer T3214 if running and enters broadcast/multicast receive mode.</w:t>
      </w:r>
    </w:p>
    <w:p w14:paraId="1136E805" w14:textId="77777777" w:rsidR="00711444" w:rsidRPr="004D0DAA" w:rsidRDefault="00711444" w:rsidP="00711444">
      <w:r w:rsidRPr="004D0DAA">
        <w:t>If the MBMS ASSIGNMENT message indicates that a radio bearer is established for the MBMS session in the cell, and thus contains an MBMS bearer description, the mobile station shall set and start the session duration timer for this MBMS session with a value equal to the Estimated Session Duration and shall listen to downlink RLC blocks identified by the assigned MBMS Bearer Identity value on the defined PDCHs. The network may assign a radio resource on one or more PDCHs to be used for the radio bearer. The amount of radio resource to be reserved is a network dependent choice and shall not exceed the multislot capability of an MBMS capable mobile station (see 3GPP TS 45.002). The MBMS In-band Signalling Indicator information element included in the MBMS ASSIGNMENT message indicates whether or not the network shall send system information messages and (for mobile stations with an assigned MS_ID on that MBMS radio bearer) paging messages on the PACCH of the MBMS radio bearer.</w:t>
      </w:r>
    </w:p>
    <w:p w14:paraId="026FB633" w14:textId="77777777" w:rsidR="00711444" w:rsidRPr="004D0DAA" w:rsidRDefault="00711444" w:rsidP="00711444">
      <w:pPr>
        <w:rPr>
          <w:lang w:eastAsia="ko-KR"/>
        </w:rPr>
      </w:pPr>
      <w:r w:rsidRPr="004D0DAA">
        <w:t xml:space="preserve">The MBMS bearer description may indicate an MBMS radio bearer starting time. If the mobile station receives the MBMS ASSIGNMENT message before the MBMS radio bearer starting time has expired, it shall wait until the point in time denoted by the MBMS radio bearer starting time, leave non-DRX mode, switch to the assigned PDCHs and start timer T3190. If the mobile station receives the MBMS ASSIGNMENT message after the MBMS radio bearer starting time has expired, it shall ignore the indicated MBMS radio bearer starting time, leave non-DRX mode, immediately switch to the assigned PDCHs and start timer T3190. If the mobile station receives an MBMS ASSIGNMENT message including an MBMS bearer description without an MBMS radio bearer starting time, it shall leave non-DRX mode, </w:t>
      </w:r>
      <w:r w:rsidRPr="004D0DAA">
        <w:lastRenderedPageBreak/>
        <w:t xml:space="preserve">immediately switch to the assigned PDCHs and start timer T3190. The timer T3190 is restarted when receiving the first valid RLC data block including the assigned MBMS Bearer Identity. On expiry of timer T3190, the mobile station shall abort the procedure </w:t>
      </w:r>
      <w:r w:rsidRPr="004D0DAA">
        <w:rPr>
          <w:lang w:eastAsia="ko-KR"/>
        </w:rPr>
        <w:t>and repeat the MBMS packet access procedure for the MBMS session.</w:t>
      </w:r>
    </w:p>
    <w:p w14:paraId="12AD86B7" w14:textId="77777777" w:rsidR="00711444" w:rsidRPr="004D0DAA" w:rsidRDefault="00711444" w:rsidP="00711444">
      <w:r w:rsidRPr="004D0DAA">
        <w:t>If the mobile station receives more than one MBMS ASSIGNMENT message while it monitors the PCCCH or, if a packet control channel does not exist, the CCCH (see 3GPP TS 44.018), it shall act upon the most recently received message and shall ignore the previous message.</w:t>
      </w:r>
    </w:p>
    <w:p w14:paraId="2615D933" w14:textId="77777777" w:rsidR="00711444" w:rsidRPr="004D0DAA" w:rsidRDefault="00711444" w:rsidP="00711444">
      <w:r w:rsidRPr="004D0DAA">
        <w:t>If the MBMS ASSIGNMENT message indicates that no radio bearer is established for the MBMS session in the cell, the mobile station shall act according to the indication in the Reject cause.</w:t>
      </w:r>
    </w:p>
    <w:p w14:paraId="2F3A4548" w14:textId="77777777" w:rsidR="00711444" w:rsidRPr="004D0DAA" w:rsidRDefault="00711444" w:rsidP="00711444">
      <w:pPr>
        <w:pStyle w:val="B1"/>
      </w:pPr>
      <w:r w:rsidRPr="004D0DAA">
        <w:t>-</w:t>
      </w:r>
      <w:r w:rsidRPr="004D0DAA">
        <w:tab/>
        <w:t>If the cause value indicates that further MBMS packet accesses are allowed for this MBMS session in the same cell, as long as the session duration timer for this MBMS session in the mobile station is still running, the mobile station may perform more access attempts for the current MBMS session in this cell or in any other cell where MBMS is supported by the network;</w:t>
      </w:r>
    </w:p>
    <w:p w14:paraId="6980A722" w14:textId="77777777" w:rsidR="00711444" w:rsidRPr="004D0DAA" w:rsidRDefault="00711444" w:rsidP="00711444">
      <w:pPr>
        <w:pStyle w:val="B1"/>
      </w:pPr>
      <w:r w:rsidRPr="004D0DAA">
        <w:t>-</w:t>
      </w:r>
      <w:r w:rsidRPr="004D0DAA">
        <w:tab/>
        <w:t>If the cause value indicates that no further MBMS packet accesses are allowed for this MBMS session in the same cell, the mobile station shall not perform any further access attempts for the current MBMS session in this cell. As long as the session duration timer for this MBMS session in the mobile station is still running, the mobile station may perform access attempts for the MBMS session in any other cell to which the mobile station has performed cell reselection, if MBMS is supported by the network in that cell;</w:t>
      </w:r>
    </w:p>
    <w:p w14:paraId="0798A43D" w14:textId="77777777" w:rsidR="00711444" w:rsidRPr="004D0DAA" w:rsidRDefault="00711444" w:rsidP="00711444">
      <w:pPr>
        <w:pStyle w:val="B1"/>
      </w:pPr>
      <w:r w:rsidRPr="004D0DAA">
        <w:t>-</w:t>
      </w:r>
      <w:r w:rsidRPr="004D0DAA">
        <w:tab/>
        <w:t>If the cause value indicates that no further MBMS packet accesses are allowed for this MBMS session in the same Routing Area, the mobile station shall not perform any further access attempts for the current MBMS session in this Routing Area. As long as the session duration timer for this MBMS session in the mobile station is still running, the mobile station may perform access attempts for the MBMS session in any other cell, in any other Routing Area, to which the mobile station has performed cell reselection, if MBMS is supported by the network in that cell;</w:t>
      </w:r>
    </w:p>
    <w:p w14:paraId="05E16652" w14:textId="77777777" w:rsidR="00711444" w:rsidRPr="004D0DAA" w:rsidRDefault="00711444" w:rsidP="00711444">
      <w:pPr>
        <w:pStyle w:val="B1"/>
      </w:pPr>
      <w:r w:rsidRPr="004D0DAA">
        <w:t>-</w:t>
      </w:r>
      <w:r w:rsidRPr="004D0DAA">
        <w:tab/>
        <w:t>If the cause value indicates that no further MBMS packet accesses are allowed for this MBMS session in this PLMN, the mobile station shall not perform any further access attempts for the MBMS session.</w:t>
      </w:r>
    </w:p>
    <w:p w14:paraId="331F0712" w14:textId="77777777" w:rsidR="00711444" w:rsidRPr="004D0DAA" w:rsidRDefault="00711444" w:rsidP="00711444">
      <w:r w:rsidRPr="004D0DAA">
        <w:t>When the session duration timer for the MBMS session in the mobile station expires, the mobile station shall no longer perform access attempts for that MBMS session in any cell and shall indicate to the upper layers the end of the MBMS session.</w:t>
      </w:r>
    </w:p>
    <w:p w14:paraId="485F089E" w14:textId="77777777" w:rsidR="00711444" w:rsidRPr="004D0DAA" w:rsidRDefault="00711444" w:rsidP="00711444">
      <w:r w:rsidRPr="004D0DAA">
        <w:t>Independent on the Reject cause value received and on the expiry of the session duration timer for the MBMS session, the mobile station may always perform new MBMS packet accesses for the MBMS session if a new MBMS Notification addressing that MBMS session, and indicating that counting shall be performed, is received.</w:t>
      </w:r>
    </w:p>
    <w:p w14:paraId="00DA6F64" w14:textId="77777777" w:rsidR="00711444" w:rsidRPr="004D0DAA" w:rsidRDefault="00711444" w:rsidP="00711444">
      <w:pPr>
        <w:rPr>
          <w:lang w:eastAsia="ko-KR"/>
        </w:rPr>
      </w:pPr>
      <w:r w:rsidRPr="004D0DAA">
        <w:t xml:space="preserve">In case the network sends the MBMS ASSIGNMENT message in response to an MBMS SERVICE REQUEST message which is not sent as a response to an MBMS Notification, and the MBMS ASSIGNMENT message contains the MBMS bearer description and </w:t>
      </w:r>
      <w:r w:rsidRPr="004D0DAA">
        <w:rPr>
          <w:lang w:eastAsia="ko-KR"/>
        </w:rPr>
        <w:t>an uplink feedback channel is used, then the network may include the TLLI of the mobile station, the MS_ID and the timing advance parameters in the MBMS ASSIGNMENT message. If no MS_ID identifier is available on the network side, the network notifies the mobile station of the lack of an MS_ID identifier, preventing the mobile station from repeating the MBMS packet access procedure in this cell.</w:t>
      </w:r>
    </w:p>
    <w:p w14:paraId="56F00893" w14:textId="77777777" w:rsidR="00711444" w:rsidRPr="004D0DAA" w:rsidRDefault="00711444" w:rsidP="00711444">
      <w:pPr>
        <w:pStyle w:val="Heading4"/>
      </w:pPr>
      <w:bookmarkStart w:id="217" w:name="_Toc516669405"/>
      <w:r w:rsidRPr="004D0DAA">
        <w:t>7.7.2.3</w:t>
      </w:r>
      <w:r w:rsidRPr="004D0DAA">
        <w:tab/>
        <w:t>Abnormal cases</w:t>
      </w:r>
      <w:bookmarkEnd w:id="217"/>
    </w:p>
    <w:p w14:paraId="5185C08D" w14:textId="77777777" w:rsidR="00711444" w:rsidRPr="004D0DAA" w:rsidRDefault="00711444" w:rsidP="00711444">
      <w:r w:rsidRPr="004D0DAA">
        <w:t>If on the mobile station side timer T3214 expires indicating that no MBMS bearer will be established for the specific MBMS session in the cell or if the MBMS ASSIGNMENT message contains faulty parameters, the mobile station shall abort the MBMS packet access procedure.</w:t>
      </w:r>
    </w:p>
    <w:p w14:paraId="1338BBAA" w14:textId="77777777" w:rsidR="00711444" w:rsidRPr="004D0DAA" w:rsidRDefault="00711444" w:rsidP="00711444">
      <w:pPr>
        <w:pStyle w:val="Heading4"/>
      </w:pPr>
      <w:bookmarkStart w:id="218" w:name="_Toc516669406"/>
      <w:r w:rsidRPr="004D0DAA">
        <w:t>7.7.2.4</w:t>
      </w:r>
      <w:r w:rsidRPr="004D0DAA">
        <w:tab/>
        <w:t>MBMS address assignment procedure</w:t>
      </w:r>
      <w:bookmarkEnd w:id="218"/>
    </w:p>
    <w:p w14:paraId="02842574" w14:textId="77777777" w:rsidR="00711444" w:rsidRPr="004D0DAA" w:rsidRDefault="00711444" w:rsidP="00711444">
      <w:r w:rsidRPr="004D0DAA">
        <w:t xml:space="preserve">In case </w:t>
      </w:r>
      <w:r w:rsidRPr="004D0DAA">
        <w:rPr>
          <w:lang w:eastAsia="ko-KR"/>
        </w:rPr>
        <w:t>an uplink feedback channel is associated to an established MBMS radio bearer, then the network may assign an MS_ID to a given mobile station receiving this MBMS radio bearer by sending an MBMS MS_ID ASSIGNMENT message including the MS_ID and the timing advance parameters assigned to the mobile station. The mobile station shall be addressed by its TLLI. This message shall not be sent before the point in time denoted by the MBMS radio bearer starting time, if present in the previous MBMS ASSIGNMENT message.</w:t>
      </w:r>
    </w:p>
    <w:p w14:paraId="229D8B90" w14:textId="77777777" w:rsidR="00711444" w:rsidRPr="004D0DAA" w:rsidRDefault="00711444" w:rsidP="00711444">
      <w:r w:rsidRPr="004D0DAA">
        <w:lastRenderedPageBreak/>
        <w:t xml:space="preserve">On a given PDCH a mobile station having been assigned an MS_ID is identified with a TFI value including the MBMS Bearer Identity (in the most significant bit(s) of the TFI field) and the MS_ID (in the remaining least significant bit(s) of the TFI field). </w:t>
      </w:r>
    </w:p>
    <w:p w14:paraId="10FFE48A" w14:textId="77777777" w:rsidR="00711444" w:rsidRPr="004D0DAA" w:rsidRDefault="00711444" w:rsidP="00711444">
      <w:r w:rsidRPr="004D0DAA">
        <w:t>The mobile station shall respond with a PACKET CONTROL ACKNOWLEDGEMENT message in the uplink radio block specified if a valid RRBP field is received as part of the MBMS MS_ID ASSIGNMENT message. The network shall reset counter N3109 for that MS_ID on that MBMS radio bearer when transmitting for the first time the MBMS MS_ID ASSIGNMENT message including a polling request. If the network does not receive the PACKET CONTROL ACKNOWLEDGEMENT message in the specified radio block, it shall increment counter N3109 for that MS_ID and may retransmit the MBMS MS_ID ASSIGNMENT message. If N3109 = N3109_MAX, the network shall start timer T3199 for that MS_ID. While T3199 is running for a given MS_ID and MBMS radio bearer, the network shall not use that MS_ID in any RLC/MAC block belonging to that MBMS radio bearer. When timer T3199 expires, the network may reuse the corresponding MS_ID value for that MBMS radio bearer.</w:t>
      </w:r>
    </w:p>
    <w:p w14:paraId="43EF48B7" w14:textId="77777777" w:rsidR="00711444" w:rsidRPr="004D0DAA" w:rsidRDefault="00711444" w:rsidP="00711444">
      <w:r w:rsidRPr="004D0DAA">
        <w:t xml:space="preserve">An initial timing advance value may be provided in the MBMS ASSIGNMENT message or in the MBMS MS_ID ASSIGNMENT message in the </w:t>
      </w:r>
      <w:r w:rsidRPr="004D0DAA">
        <w:rPr>
          <w:i/>
          <w:iCs/>
        </w:rPr>
        <w:t>Packet Timing Advance</w:t>
      </w:r>
      <w:r w:rsidRPr="004D0DAA">
        <w:t xml:space="preserve"> IE. Thereafter either the timing advance is updated with a PACKET POWER CONTROL/TIMING ADVANCE message or the continuous timing advance procedure is used. If timing advance timeslot number and index are provided in the MBMS ASSIGNMENT message or in the MBMS MS_ID ASSIGNMENT message, the mobile station shall use the continuous timing advance procedure, using its allocation on PTCCH (see 3GPP TS 45.010). Otherwise, the continuous timing advance procedure shall not be used. For the case where the timing advance value is not provided in the MBMS ASSIGNMENT message or in the MBMS MS_ID ASSIGNMENT message, the mobile station is not allowed to send normal bursts (e.g. (EGPRS) PACKET DOWNLINK ACK/NACK message) on the uplink until it has received a valid timing advance either through the continuous timing advance procedure or in a PACKET POWER CONTROL/TIMING ADVANCE message.</w:t>
      </w:r>
    </w:p>
    <w:p w14:paraId="4DC5725D" w14:textId="77777777" w:rsidR="00711444" w:rsidRPr="004D0DAA" w:rsidRDefault="00711444" w:rsidP="00711444">
      <w:r w:rsidRPr="004D0DAA">
        <w:t xml:space="preserve">If the mobile station has been assigned an MS_ID in the MBMS ASSIGNMENT message before the point in time denoted by the MBMS radio bearer starting time, if present in the MBMS ASSIGNMENT message, the mobile station shall switch to the assigned PDCH(s) at the point in time denoted by the MBMS radio bearer starting time and start timers T3190 and T3290. If the MBMS radio bearer starting time has already expired or has not been included in the MBMS ASSIGNMENT message including the MS_ID, the mobile station shall switch to the assigned PDCH(s) within the reaction time defined in 3GPP TS 45.010 and start timers T3190 and T3290. If the mobile station is assigned an MS_ID in the MBMS MS_ID ASSIGNMENT message, the mobile station shall start timer T3290 within the reaction time defined in 3GPP TS 45.010. The mobile station shall restart timer T3190 whenever receiving an RLC/MAC block including the assigned MBMS Bearer Identity. </w:t>
      </w:r>
      <w:r w:rsidRPr="004D0DAA">
        <w:rPr>
          <w:rFonts w:eastAsia="SimSun"/>
          <w:lang w:eastAsia="zh-CN" w:bidi="he-IL"/>
        </w:rPr>
        <w:t xml:space="preserve">In EGPRS TBF mode </w:t>
      </w:r>
      <w:r w:rsidRPr="004D0DAA">
        <w:t>T3190 is also restarted</w:t>
      </w:r>
      <w:r w:rsidRPr="004D0DAA">
        <w:rPr>
          <w:rFonts w:eastAsia="SimSun"/>
          <w:lang w:eastAsia="zh-CN" w:bidi="he-IL"/>
        </w:rPr>
        <w:t xml:space="preserve"> when receiving an </w:t>
      </w:r>
      <w:r w:rsidRPr="004D0DAA">
        <w:t>erroneous RLC data block for which the header is correctly received and which addresses the mobile station. The mobile station with an assigned MS_ID value shall restart timer T3290 whenever receiving an RLC/MAC block including the corresponding MBMS Bearer Identity and the MS_ID in the TFI field.</w:t>
      </w:r>
    </w:p>
    <w:p w14:paraId="2AC14A7B" w14:textId="77777777" w:rsidR="00711444" w:rsidRPr="004D0DAA" w:rsidRDefault="00711444" w:rsidP="00711444">
      <w:pPr>
        <w:pStyle w:val="Heading4"/>
      </w:pPr>
      <w:bookmarkStart w:id="219" w:name="_Toc516669407"/>
      <w:r w:rsidRPr="004D0DAA">
        <w:t>7.7.3</w:t>
      </w:r>
      <w:r w:rsidRPr="004D0DAA">
        <w:tab/>
        <w:t>MBMS Neighbour Cell Information Distribution</w:t>
      </w:r>
      <w:bookmarkEnd w:id="219"/>
    </w:p>
    <w:p w14:paraId="54530B5A" w14:textId="77777777" w:rsidR="00711444" w:rsidRPr="004D0DAA" w:rsidRDefault="00711444" w:rsidP="00711444">
      <w:pPr>
        <w:tabs>
          <w:tab w:val="left" w:pos="1985"/>
        </w:tabs>
      </w:pPr>
      <w:r w:rsidRPr="004D0DAA">
        <w:t>The network shall indicate in GPRS Cell Options IE whether it supports the distribution of MBMS NEIGHBOURING CELL INFORMATION messages (see sub-clause 12.24).</w:t>
      </w:r>
    </w:p>
    <w:p w14:paraId="10E75E27" w14:textId="77777777" w:rsidR="00711444" w:rsidRPr="004D0DAA" w:rsidRDefault="00711444" w:rsidP="00711444">
      <w:pPr>
        <w:tabs>
          <w:tab w:val="left" w:pos="1985"/>
        </w:tabs>
      </w:pPr>
      <w:r w:rsidRPr="004D0DAA">
        <w:t xml:space="preserve">The network may send MBMS neighbour cell information to a mobile station during MBMS reception using the MBMS NEIGHBOURING CELL INFORMATION message on the PACCH. A mobile station, which receives this information, shall store the MBMS data channel information until refreshing or until the end of the MBMS session. During that period the information can be used for fast resumption of the MBMS reception in the neighbour cell (see sub-clause 8.1.6.2). </w:t>
      </w:r>
    </w:p>
    <w:p w14:paraId="1713CB92" w14:textId="77777777" w:rsidR="00711444" w:rsidRPr="004D0DAA" w:rsidRDefault="00711444" w:rsidP="00711444">
      <w:pPr>
        <w:tabs>
          <w:tab w:val="left" w:pos="1985"/>
        </w:tabs>
      </w:pPr>
      <w:r w:rsidRPr="004D0DAA">
        <w:t xml:space="preserve">The MS shall only combine information received in several instances of the MBMS NEIGHBOURING CELL INFORMATION messages that have the same value of the MBMS_PTM_CHANGE_MARK specified for a neighbouring cell. </w:t>
      </w:r>
    </w:p>
    <w:p w14:paraId="6D756BDD" w14:textId="77777777" w:rsidR="00711444" w:rsidRPr="004D0DAA" w:rsidRDefault="00711444" w:rsidP="00711444">
      <w:r w:rsidRPr="004D0DAA">
        <w:t xml:space="preserve">In case the target cell has PBCCH allocated, this information shall be included in the MBMS NEIGHBOURING CELL INFORMATION message, if the PBCCH parameters can be encoded via the means provided in the message. If present, the MS shall use this information in order to avoid BCCH decoding, if not otherwise necessary unless </w:t>
      </w:r>
      <w:r w:rsidRPr="004D0DAA">
        <w:rPr>
          <w:lang w:eastAsia="ko-KR"/>
        </w:rPr>
        <w:t>the PBCCH location is known via PSI3 and PSI3bis messages</w:t>
      </w:r>
      <w:r w:rsidRPr="004D0DAA">
        <w:t>, in the target cell.</w:t>
      </w:r>
    </w:p>
    <w:p w14:paraId="4CB7F698" w14:textId="77777777" w:rsidR="00711444" w:rsidRPr="004D0DAA" w:rsidRDefault="00711444" w:rsidP="00711444">
      <w:r w:rsidRPr="004D0DAA">
        <w:t>In case in the target cell an MPRACH is allocated on the uplink feedback channel of an MBMS radio bearer, this information shall be included in the MBMS NEIGHBOURING CELL INFORMATION message.</w:t>
      </w:r>
    </w:p>
    <w:p w14:paraId="487C020E" w14:textId="77777777" w:rsidR="00711444" w:rsidRPr="004D0DAA" w:rsidRDefault="00711444" w:rsidP="00711444">
      <w:pPr>
        <w:pStyle w:val="Heading1"/>
      </w:pPr>
      <w:bookmarkStart w:id="220" w:name="_Toc516669408"/>
      <w:r w:rsidRPr="004D0DAA">
        <w:lastRenderedPageBreak/>
        <w:t>7a</w:t>
      </w:r>
      <w:r w:rsidRPr="004D0DAA">
        <w:tab/>
        <w:t>Medium Access Control (MAC) procedures for EC-GSM-IoT on (EC-)CCCH</w:t>
      </w:r>
      <w:bookmarkEnd w:id="220"/>
    </w:p>
    <w:p w14:paraId="5867AEF2" w14:textId="77777777" w:rsidR="00711444" w:rsidRPr="004D0DAA" w:rsidRDefault="00711444" w:rsidP="00711444">
      <w:pPr>
        <w:pStyle w:val="Heading2"/>
      </w:pPr>
      <w:bookmarkStart w:id="221" w:name="_Toc516669409"/>
      <w:r w:rsidRPr="004D0DAA">
        <w:t>7a.1</w:t>
      </w:r>
      <w:r w:rsidRPr="004D0DAA">
        <w:tab/>
        <w:t>General</w:t>
      </w:r>
      <w:bookmarkEnd w:id="221"/>
    </w:p>
    <w:p w14:paraId="1CAF6E48" w14:textId="77777777" w:rsidR="00711444" w:rsidRPr="004D0DAA" w:rsidRDefault="00711444" w:rsidP="00711444">
      <w:r w:rsidRPr="004D0DAA">
        <w:t>The establishment of an EC Temporary Block Flow (EC TBF), for a mobile station that has enabled EC operation, is performed on the EC-CCCH. It can be initiated by either the mobile station or the network. The establishment of an EC TBF can also be performed on the CCCH if the mobile station has selected Coverage Class 1 in both the uplink and downlink directions, see 3GPP TS 45.008 and 3GPP TS 44.018, and is allowed to use the CCCH for its packet access procedure. The request for establishment of an EC TBF on the EC-CCCH or on the CCCH is described in 3GPP TS 44.018.</w:t>
      </w:r>
    </w:p>
    <w:p w14:paraId="11267702" w14:textId="77777777" w:rsidR="00711444" w:rsidRPr="004D0DAA" w:rsidRDefault="00711444" w:rsidP="00711444">
      <w:r w:rsidRPr="004D0DAA">
        <w:t>Establishment of an EC TBF in the direction from the mobile station to the network can also be initiated using the EC-PACCH if an EC TBF for transfer of upper-layer PDUs in the direction from the network to the mobile station is already established (see sub-clause 9.3.2.6). Establishment of an EC TBF for transfer of upper-layer PDUs in the direction from the network to the mobile station can also be done on the EC-PACCH if an EC TBF in the direction from the mobile station to the network has been released with an EC PACKET UPLINK ACK/NACK message indicating that the mobile station shall continue to monitor the EC-PACCH for a limited time (see sub-clause 9.3.2.4.3).</w:t>
      </w:r>
    </w:p>
    <w:p w14:paraId="0BB039B5" w14:textId="77777777" w:rsidR="00711444" w:rsidRPr="004D0DAA" w:rsidRDefault="00711444" w:rsidP="00711444">
      <w:pPr>
        <w:pStyle w:val="Heading2"/>
      </w:pPr>
      <w:bookmarkStart w:id="222" w:name="_Toc516669410"/>
      <w:r w:rsidRPr="004D0DAA">
        <w:t>7a.2</w:t>
      </w:r>
      <w:r w:rsidRPr="004D0DAA">
        <w:tab/>
        <w:t>TBF establishment initiated by the mobile station for EC-GSM-IoT on (EC-)CCCH</w:t>
      </w:r>
      <w:bookmarkEnd w:id="222"/>
    </w:p>
    <w:p w14:paraId="02A28E27" w14:textId="77777777" w:rsidR="00711444" w:rsidRPr="004D0DAA" w:rsidRDefault="00711444" w:rsidP="00711444">
      <w:r w:rsidRPr="004D0DAA">
        <w:t>The packet access procedure using the EC-CCCH or the CCCH wherein a mobile station is assigned an uplink EC TBF using fixed uplink allocation (see sub-clause 8.1.1.3b) is described in 3GPP TS 44.018.</w:t>
      </w:r>
    </w:p>
    <w:p w14:paraId="313426E4" w14:textId="77777777" w:rsidR="00711444" w:rsidRPr="004D0DAA" w:rsidRDefault="00711444" w:rsidP="00711444">
      <w:r w:rsidRPr="004D0DAA">
        <w:t>The following sub-clauses describe the contention resolution procedure and the timing advance handling at the establishment of an EC TBF for a mobile station that has enabled EC operation.</w:t>
      </w:r>
    </w:p>
    <w:p w14:paraId="38C4BF90" w14:textId="77777777" w:rsidR="00711444" w:rsidRPr="004D0DAA" w:rsidRDefault="00711444" w:rsidP="00711444">
      <w:pPr>
        <w:pStyle w:val="Heading3"/>
      </w:pPr>
      <w:bookmarkStart w:id="223" w:name="_Toc516669411"/>
      <w:r w:rsidRPr="004D0DAA">
        <w:t>7a.2.1</w:t>
      </w:r>
      <w:r w:rsidRPr="004D0DAA">
        <w:tab/>
        <w:t>Contention Resolution</w:t>
      </w:r>
      <w:bookmarkEnd w:id="223"/>
    </w:p>
    <w:p w14:paraId="6EF5D3C5" w14:textId="77777777" w:rsidR="00711444" w:rsidRPr="004D0DAA" w:rsidRDefault="00711444" w:rsidP="00711444">
      <w:r w:rsidRPr="004D0DAA">
        <w:t>The TLLI is used to uniquely identify the mobile station when sending on the uplink. A mobile station, that has enabled EC operation,</w:t>
      </w:r>
      <w:r w:rsidRPr="004D0DAA" w:rsidDel="008939E6">
        <w:t xml:space="preserve"> </w:t>
      </w:r>
      <w:r w:rsidRPr="004D0DAA">
        <w:t>includes its TLLI in one or several of the uplink blocks that are transmitted during the establishment of an EC TBF, depending on what packet access procedure is used.</w:t>
      </w:r>
    </w:p>
    <w:p w14:paraId="67CA3250" w14:textId="77777777" w:rsidR="00711444" w:rsidRPr="004D0DAA" w:rsidRDefault="00711444" w:rsidP="00711444">
      <w:r w:rsidRPr="004D0DAA">
        <w:t>The contention resolution is described for the different packet access procedures in the following sub-clauses:</w:t>
      </w:r>
    </w:p>
    <w:p w14:paraId="52F909BE" w14:textId="77777777" w:rsidR="00711444" w:rsidRPr="004D0DAA" w:rsidRDefault="00711444" w:rsidP="00711444">
      <w:pPr>
        <w:pStyle w:val="B1"/>
      </w:pPr>
      <w:r w:rsidRPr="004D0DAA">
        <w:t>-</w:t>
      </w:r>
      <w:r w:rsidRPr="004D0DAA">
        <w:tab/>
        <w:t>using Access Burst procedure, with inclusion of the full TLLI in each RLC data block that is sent on the TBF until contention resolution is completed, described in 7a.2.1.1;</w:t>
      </w:r>
    </w:p>
    <w:p w14:paraId="36F7A055" w14:textId="77777777" w:rsidR="00711444" w:rsidRPr="004D0DAA" w:rsidRDefault="00711444" w:rsidP="00711444">
      <w:pPr>
        <w:pStyle w:val="B1"/>
      </w:pPr>
      <w:r w:rsidRPr="004D0DAA">
        <w:t>-</w:t>
      </w:r>
      <w:r w:rsidRPr="004D0DAA">
        <w:tab/>
        <w:t>using Enhanced Access Burst procedure, with inclusion of the full TLLI in only the first RLC data block that is sent on the TBF and then inclusion of a limited part of the TLLI in the subsequent RLC data blocks that are sent until contention resolution is completed, described in 7a.2.1.2.</w:t>
      </w:r>
    </w:p>
    <w:p w14:paraId="54CE9C58" w14:textId="77777777" w:rsidR="00711444" w:rsidRPr="004D0DAA" w:rsidRDefault="00711444" w:rsidP="00711444">
      <w:r w:rsidRPr="004D0DAA">
        <w:t>The network indicates in the EC Immediate Assignment message which of the procedures that shall be used for the contention resolution, see 3GPP TS 44.018.</w:t>
      </w:r>
    </w:p>
    <w:p w14:paraId="1550B00B" w14:textId="77777777" w:rsidR="00711444" w:rsidRPr="004D0DAA" w:rsidRDefault="00711444" w:rsidP="00711444"/>
    <w:p w14:paraId="537E41D4" w14:textId="77777777" w:rsidR="00711444" w:rsidRPr="004D0DAA" w:rsidRDefault="00711444" w:rsidP="00711444">
      <w:pPr>
        <w:pStyle w:val="Heading4"/>
      </w:pPr>
      <w:bookmarkStart w:id="224" w:name="_Toc516669412"/>
      <w:r w:rsidRPr="004D0DAA">
        <w:t>7a.2.1.1</w:t>
      </w:r>
      <w:r w:rsidRPr="004D0DAA">
        <w:tab/>
        <w:t>Contention resolution at packet access procedure using Access Burst procedure</w:t>
      </w:r>
      <w:bookmarkEnd w:id="224"/>
    </w:p>
    <w:p w14:paraId="2DB045D2" w14:textId="77777777" w:rsidR="00711444" w:rsidRPr="004D0DAA" w:rsidRDefault="00711444" w:rsidP="00711444">
      <w:r w:rsidRPr="004D0DAA">
        <w:t>Every RLC data block that is sent on the TBF shall include the TLLI of the mobile station, until the contention resolution is completed on the mobile station side. If MCS-7, MCS-8 or MCS-9 is used for the transmission of the TLLI (i.e. the RLC/MAC block is carrying two RLC data blocks), the TLLI shall be inserted in both RLC data blocks.</w:t>
      </w:r>
    </w:p>
    <w:p w14:paraId="5E736107" w14:textId="77777777" w:rsidR="00711444" w:rsidRPr="004D0DAA" w:rsidRDefault="00711444" w:rsidP="00711444">
      <w:r w:rsidRPr="004D0DAA">
        <w:t>The retransmission of an RLC data block shall include the TLLI, if the RLC data block was originally transmitted including the TLLI, also if the retransmission occurs after the completion of the contention resolution.</w:t>
      </w:r>
    </w:p>
    <w:p w14:paraId="0B5E3E49" w14:textId="77777777" w:rsidR="00711444" w:rsidRPr="004D0DAA" w:rsidRDefault="00711444" w:rsidP="00711444">
      <w:r w:rsidRPr="004D0DAA">
        <w:lastRenderedPageBreak/>
        <w:t>After the last allocated RLC data block has been transmitted according to the initial fixed uplink allocation (received in the EC Immediate Assignment message), the mobile station shall start timer T3226. When timer T3226 expires the mobile station shall start timer T3228 and start continuously monitoring the EC-PACCH for reception of an RLC/MAC control message, see sub-clause 8.1.1.3b.</w:t>
      </w:r>
    </w:p>
    <w:p w14:paraId="398829D9" w14:textId="77777777" w:rsidR="00711444" w:rsidRPr="004D0DAA" w:rsidRDefault="00711444" w:rsidP="00711444">
      <w:r w:rsidRPr="004D0DAA">
        <w:t>When the network has correctly received an RLC data block that comprises the TLLI, it shall include the TLLI in an EC PACKET UPLINK ACK/NACK or an EC PACKET UPLINK ACK/NACK AND CONTENTION RESOLUTION message that it sends to the mobile station (i.e. to allow for contention resolution on the mobile station side). The network may, after successful reception of the TLLI, include the reduced TLLI (rTLLI) of the mobile station in an EC PACKET UPLINK ACK/NACK message that it sends to the mobile station. The rTLLI consists of the 4 least significant bits of the TLLI of the mobile station.</w:t>
      </w:r>
    </w:p>
    <w:p w14:paraId="37BA2D91" w14:textId="77777777" w:rsidR="00711444" w:rsidRPr="004D0DAA" w:rsidRDefault="00711444" w:rsidP="00711444">
      <w:r w:rsidRPr="004D0DAA">
        <w:t>After the last allocated RLC data block of a fixed uplink allocation, the network shall start timer T3227. The mobile station is only reachable on the EC-PACCH once timer T3227 has expired. When timer T3227 expires, the network shall start timer T3229 and send the EC PACKET UPLINK ACK/NACK or the EC PACKET UPLINK ACK/NACK AND CONTENTION RESOLUTION message to the mobile station. The network may send additional EC PACKET UPLINK ACK/NACK or EC PACKET UPLINK ACK/NACK AND CONTENTION RESOLUTION messages to the mobile station while timer T3229 is running. The network should then however take into account that the mobile station will stop monitoring the EC-PACCH at reception of a matching EC PACKET UPLINK ACK/NACK or a matching EC PACKET UPLINK ACK/NACK AND CONTENTION RESOLUTION message containing a fixed uplink allocation. If the network receives uplink data from the mobile station, on the resources that are part of the fixed uplink allocation, the network shall stop timer T3229, if running.</w:t>
      </w:r>
    </w:p>
    <w:p w14:paraId="7C72F54E" w14:textId="77777777" w:rsidR="00711444" w:rsidRPr="004D0DAA" w:rsidRDefault="00711444" w:rsidP="00711444">
      <w:r w:rsidRPr="004D0DAA">
        <w:t>If timer T3249 is not used, i.e. it has the value 0, the network may release the TBF and reuse the TFI resource when timer T3229 has expired and no uplink data has been received in a fixed uplink allocation sent to the mobile station in EC PACKET UPLINK ACK/NACK or EC PACKET UPLINK ACK/NACK AND CONTENTION RESOLUTION messages before expiry of timer T3229. If timer T3249 is used, i.e. it has a value &gt; 0, it shall be started at expiry of T3229. The network may send EC PACKET UPLINK ACK/NACK or EC PACKET UPLINK ACK/NACK AND CONTENTION RESOLUTION messages to the mobile station using the next higher DL Coverage Class, compared to the last assigned DL Coverage Class, while T3249 is running, see sub-clause 8.1.1.3b. When timer T3249 has expired and no uplink data has been received in a fixed uplink allocation allocated to the mobile station in EC PACKET UPLINK ACK/NACK or EC PACKET UPLINK ACK/NACK AND CONTENTION RESOLUTION messages before expiry of timer T3249 (or preceding T3229), the network may release the TBF and reuse the TFI resource.</w:t>
      </w:r>
    </w:p>
    <w:p w14:paraId="6139A52C" w14:textId="77777777" w:rsidR="00711444" w:rsidRPr="004D0DAA" w:rsidRDefault="00711444" w:rsidP="00711444">
      <w:r w:rsidRPr="004D0DAA">
        <w:t>The contention resolution is completed on the network side when the network receives an RLC data block that comprises the TLLI value that identifies the mobile station and the TFI value associated with the TBF.</w:t>
      </w:r>
    </w:p>
    <w:p w14:paraId="7B82824A" w14:textId="77777777" w:rsidR="00711444" w:rsidRPr="004D0DAA" w:rsidRDefault="00711444" w:rsidP="00711444">
      <w:r w:rsidRPr="004D0DAA">
        <w:t>When the mobile station receives an EC PACKET UPLINK ACK/NACK or an EC PACKET UPLINK ACK/NACK AND CONTENTION RESOLUTION message addressing the mobile station with the TFI value associated with the uplink TBF, the mobile station shall stop timer T3228, if running, and act on the received message, unless it included a TLLI value other than that the mobile station included in the RLC header of the RLC data blocks sent during the initial fixed uplink allocation or an rTLLI value which does not consist of the 4 least significant bits of the TLLI. If timer T3248 was running at reception of the EC PACKET UPLINK ACK/NACK or EC PACKET UPLINK ACK/NACK AND CONTENTION RESOLUTION message (and thus not T3228), the timer T3248 shall be stopped.</w:t>
      </w:r>
    </w:p>
    <w:p w14:paraId="58CD5402" w14:textId="77777777" w:rsidR="00711444" w:rsidRPr="004D0DAA" w:rsidRDefault="00711444" w:rsidP="00711444">
      <w:r w:rsidRPr="004D0DAA">
        <w:t>The contention resolution is successfully completed on the mobile station side when the mobile station receives an EC PACKET UPLINK ACK/NACK or an EC PACKET UPLINK ACK/NACK AND CONTENTION RESOLUTION message addressing the mobile station with the TFI value associated with the uplink TBF and including the same TLLI value that the mobile station has included in the RLC header of the RLC data blocks sent during the initial fixed uplink allocation. The TLLI shall thus be included in all RLC data blocks that are sent as part of the initial fixed uplink allocation.</w:t>
      </w:r>
    </w:p>
    <w:p w14:paraId="581CA5C5" w14:textId="77777777" w:rsidR="00711444" w:rsidRPr="004D0DAA" w:rsidRDefault="00711444" w:rsidP="00711444">
      <w:r w:rsidRPr="004D0DAA">
        <w:t>The mobile station has entered the packet transfer mode upon a successful contention resolution.</w:t>
      </w:r>
    </w:p>
    <w:p w14:paraId="5E10569F" w14:textId="77777777" w:rsidR="00711444" w:rsidRPr="004D0DAA" w:rsidRDefault="00711444" w:rsidP="00711444">
      <w:r w:rsidRPr="004D0DAA">
        <w:t>The contention resolution has failed on the mobile station side when timer T3228 expires, if timer T3248 (</w:t>
      </w:r>
      <w:r w:rsidRPr="004D0DAA">
        <w:rPr>
          <w:bCs/>
        </w:rPr>
        <w:t>sent in EC SI</w:t>
      </w:r>
      <w:r w:rsidRPr="004D0DAA">
        <w:t xml:space="preserve">) is not used. If timer T3248 is used, i.e. it has a value &gt; 0, it shall be started when timer T3228 expires. The contention resolution has failed on the mobile station side when timer T3248 expires. The contention resolution also fails, if the mobile station receives an EC PACKET UPLINK ACK/NACK or an EC PACKET UPLINK ACK/NACK AND CONTENTION RESOLUTION message addressing the mobile station with the TFI associated with the uplink TBF and including a TLLI value other than that the mobile station included in the RLC header of the RLC data blocks sent during the initial fixed uplink allocation or including an rTLLI value which does not consist of the 4 least significant bits of the TLLI; in such a case, the mobile station shall not transmit on any of the uplink resources that are allocated in the EC PACKET UPLINK ACK/NACK or EC PACKET UPLINK ACK/NACK AND CONTENTION </w:t>
      </w:r>
      <w:r w:rsidRPr="004D0DAA">
        <w:lastRenderedPageBreak/>
        <w:t>RESOLUTION message, nor shall it transmit an EC PACKET CONTROL ACKNOWLEDGEMENT or EC PACKET CONTROL ACKNOWLEDGEMENT HIGHER CC in the uplink resources specified if a valid RRBP field is received as part of the EC PACKET UPLINK ACK/NACK or EC PACKET UPLINK ACK/NACK AND CONTENTION RESOLUTION message.</w:t>
      </w:r>
    </w:p>
    <w:p w14:paraId="33D80CB8" w14:textId="77777777" w:rsidR="00711444" w:rsidRPr="004D0DAA" w:rsidRDefault="00711444" w:rsidP="00711444">
      <w:r w:rsidRPr="004D0DAA">
        <w:t xml:space="preserve">In case of a contention resolution failure on the mobile station side, the mobile station shall stop timer T3228, if running, stop transmitting on the TBF and enter packet idle mode. If timer T3248 was running when the contention resolution failure occurred (and thus not T3228), the timer T3248 shall be stopped. It shall then reinitiate the packet access procedure, unless the maximum allowed number of packet access procedure has already been attempted, see 3GPP TS 44.018. In that case, a TBF failure has occurred, see sub-clause 7a.2.4. </w:t>
      </w:r>
    </w:p>
    <w:p w14:paraId="026CCB76" w14:textId="77777777" w:rsidR="00711444" w:rsidRPr="004D0DAA" w:rsidRDefault="00711444" w:rsidP="00711444">
      <w:pPr>
        <w:pStyle w:val="Heading4"/>
      </w:pPr>
      <w:bookmarkStart w:id="225" w:name="_Toc516669413"/>
      <w:r w:rsidRPr="004D0DAA">
        <w:t>7a.2.1.2</w:t>
      </w:r>
      <w:r w:rsidRPr="004D0DAA">
        <w:tab/>
        <w:t>Contention resolution at packet access procedure using Enhanced Access Burst procedure</w:t>
      </w:r>
      <w:bookmarkEnd w:id="225"/>
    </w:p>
    <w:p w14:paraId="22C60E77" w14:textId="77777777" w:rsidR="00711444" w:rsidRPr="004D0DAA" w:rsidRDefault="00711444" w:rsidP="00711444">
      <w:r w:rsidRPr="004D0DAA">
        <w:t>When the Enhanced Access Burst procedure is used, only the first RLC data block that is sent on the TBF shall include the TLLI of the mobile station. If MCS-7, MCS-8 or MCS-9 is used for the transmission of the TLLI (i.e. the RLC/MAC block is carrying two RLC data blocks), the TLLI shall be inserted in both RLC data blocks that are included in the first RLC/MAC block. Every RLC data block that is sent on the TBF, except the first one, shall include the reduced TLLI (rTLLI) of the mobile station until the mobile station receives an EC PACKET UPLINK ACK/NACK AND CONTENTION RESOLUTION message or an EC PACKET UPLINK ACK/NACK message addressing the mobile station with the TFI value associated with the uplink TBF and containing either the TLLI or the rTLLI of the mobile station. The reduced TLLI (rTLLI) consists of the 4 least significant bits of the TLLI of the mobile station. The rTLLI shall not be included in the RLC/MAC header if the TLLI is included in the RLC Data block. The rTLLI value shall thus not be included in the RLC/MAC header of the first RLC Data block of a TBF, with BSN=0 and, if MCS-7, MCS-8 or MCS-9 is used for the transmission, with BSN=1, since the TLLI of the mobile station is included in the RLC data block(s).</w:t>
      </w:r>
    </w:p>
    <w:p w14:paraId="23259F3C" w14:textId="77777777" w:rsidR="00711444" w:rsidRPr="004D0DAA" w:rsidRDefault="00711444" w:rsidP="00711444">
      <w:r w:rsidRPr="004D0DAA">
        <w:t>The retransmission of an RLC data block shall include the TLLI, if the RLC data block was originally transmitted including the TLLI. The retransmission of an RLC Data block shall include the rTLLI in the RLC/MAC header if the RLC Data block was initially transmitted including the rTLLI in the RLC/MAC header.</w:t>
      </w:r>
    </w:p>
    <w:p w14:paraId="755A8D85" w14:textId="77777777" w:rsidR="00711444" w:rsidRPr="004D0DAA" w:rsidRDefault="00711444" w:rsidP="00711444">
      <w:r w:rsidRPr="004D0DAA">
        <w:t>After the last allocated RLC data block has been transmitted according to the initial fixed uplink allocation (received in the EC Immediate Assignment message), the mobile station shall start timer T3226. When timer T3226 expires the mobile station shall start timer T3228 and start continuously monitoring the EC-PACCH for reception of an RLC/MAC control message, see sub-clause 8.1.1.3b.</w:t>
      </w:r>
    </w:p>
    <w:p w14:paraId="2DF42785" w14:textId="77777777" w:rsidR="00711444" w:rsidRPr="004D0DAA" w:rsidRDefault="00711444" w:rsidP="00711444">
      <w:r w:rsidRPr="004D0DAA">
        <w:t>When the network has correctly received an RLC data block that comprises the TLLI, it shall include the TLLI in an EC PACKET UPLINK ACK/NACK or an EC PACKET UPLINK ACK/NACK AND CONTENTION RESOLUTION message that it sends to the mobile station (i.e. to allow for contention resolution on the mobile station side). If the network has received an RLC Data block with the rTLLI included in the RLC/MAC header but no RLC Data block comprising the TLLI, the network shall include the rTLLI in the next EC PACKET UPLINK ACK/NACK message that it sends to the mobile station.</w:t>
      </w:r>
    </w:p>
    <w:p w14:paraId="0A9CEB11" w14:textId="77777777" w:rsidR="00711444" w:rsidRPr="004D0DAA" w:rsidRDefault="00711444" w:rsidP="00711444">
      <w:r w:rsidRPr="004D0DAA">
        <w:t>After the last allocated RLC data block of a fixed uplink allocation, the network shall start timer T3227. The mobile station is only reachable on the EC-PACCH once timer T3227 has expired. When timer T3227 expires, the network shall start timer T3229 and send the EC PACKET UPLINK ACK/NACK or the EC PACKET UPLINK ACK/NACK AND CONTENTION RESOLUTION message to the mobile station. The network may send additional EC PACKET UPLINK ACK/NACK or EC PACKET UPLINK ACK/NACK AND CONTENTION RESOLUTION messages to the mobile station while timer T3229 is running. The network should then however take into account that the mobile station will stop monitoring the EC-PACCH at reception of a matching EC PACKET UPLINK ACK/NACK or a matching EC PACKET UPLINK ACK/NACK AND CONTENTION RESOLUTION message containing a fixed uplink allocation. If the network receives uplink data from the mobile station, on the resources that are part of the fixed uplink allocation, the network shall stop timer T3229, if running.</w:t>
      </w:r>
    </w:p>
    <w:p w14:paraId="40F2A52C" w14:textId="77777777" w:rsidR="00711444" w:rsidRPr="004D0DAA" w:rsidRDefault="00711444" w:rsidP="00711444">
      <w:r w:rsidRPr="004D0DAA">
        <w:t xml:space="preserve">If timer T3249 is not used, i.e. it has the value 0, the network may release the TBF and reuse the TFI resource when timer T3229 has expired and no uplink data has been received in a fixed uplink allocation sent to the mobile station in EC PACKET UPLINK ACK/NACK or EC PACKET UPLINK ACK/NACK AND CONTENTION RESOLUTION messages before expiry of timer T3229. If timer T3249 is used, i.e. it has a value &gt; 0, it shall be started at expiry of T3229. The network may send EC PACKET UPLINK ACK/NACK or EC PACKET UPLINK ACK/NACK AND CONTENTION RESOLUTION messages to the mobile station using the next higher DL Coverage Class, compared to the last assigned DL Coverage Class, while T3249 is running, see sub-clause 8.1.1.3b. When timer T3249 has expired and no uplink data has been received in a fixed uplink allocation allocated to the mobile station in EC PACKET </w:t>
      </w:r>
      <w:r w:rsidRPr="004D0DAA">
        <w:lastRenderedPageBreak/>
        <w:t>UPLINK ACK/NACK or EC PACKET UPLINK ACK/NACK AND CONTENTION RESOLUTION messages before expiry of timer T3249 (or preceding T3229), the network may release the TBF and reuse the TFI resource.</w:t>
      </w:r>
    </w:p>
    <w:p w14:paraId="37B75317" w14:textId="77777777" w:rsidR="00711444" w:rsidRPr="004D0DAA" w:rsidRDefault="00711444" w:rsidP="00711444">
      <w:r w:rsidRPr="004D0DAA">
        <w:t>The contention resolution is completed on the network side when the network receives an RLC data block that comprises the TLLI value that identifies the mobile station and the TFI value associated with the TBF. The subsequent RLC Data blocks that are part of the initial fixed uplink allocation are identified by the reduced TLLI (rTLLI) included in the RLC/MAC header and the TFI value associated with the TBF.</w:t>
      </w:r>
    </w:p>
    <w:p w14:paraId="0EFB657C" w14:textId="77777777" w:rsidR="00711444" w:rsidRPr="004D0DAA" w:rsidRDefault="00711444" w:rsidP="00711444">
      <w:r w:rsidRPr="004D0DAA">
        <w:t>When the mobile station receives an EC PACKET UPLINK ACK/NACK or an EC PACKET UPLINK ACK/NACK AND CONTENTION RESOLUTION message addressing the mobile station with the TFI value associated with the uplink TBF, the mobile station shall stop timer T3228, if running, and act on the received message, unless it included a TLLI value other than that the mobile station included in the RLC header, or a rTLLI value other than that the mobile station included in the RLC/MAC header, of the RLC data blocks sent during the initial fixed uplink allocation. If timer T3248 was running at reception of the EC PACKET UPLINK ACK/NACK or EC PACKET UPLINK ACK/NACK AND CONTENTION RESOLUTION message (and thus not T3228), the timer T3248 shall be stopped.</w:t>
      </w:r>
    </w:p>
    <w:p w14:paraId="5D710E80" w14:textId="77777777" w:rsidR="00711444" w:rsidRPr="004D0DAA" w:rsidRDefault="00711444" w:rsidP="00711444">
      <w:r w:rsidRPr="004D0DAA">
        <w:t>The contention resolution is successfully completed on the mobile station side when the mobile station receives an EC PACKET UPLINK ACK/NACK message addressing the mobile station with the TFI value associated with the uplink TBF and including the same TLLI value that the mobile station has included in the RLC header of the first RLC data block.</w:t>
      </w:r>
    </w:p>
    <w:p w14:paraId="55463724" w14:textId="77777777" w:rsidR="00711444" w:rsidRPr="004D0DAA" w:rsidRDefault="00711444" w:rsidP="00711444">
      <w:r w:rsidRPr="004D0DAA">
        <w:t>The mobile station has entered the packet transfer mode upon a successful contention resolution.</w:t>
      </w:r>
    </w:p>
    <w:p w14:paraId="01BE3679" w14:textId="77777777" w:rsidR="00711444" w:rsidRPr="004D0DAA" w:rsidRDefault="00711444" w:rsidP="00711444">
      <w:r w:rsidRPr="004D0DAA">
        <w:t>The contention resolution has failed on the mobile station side when timer T3228 expires, if T3248 (</w:t>
      </w:r>
      <w:r w:rsidRPr="004D0DAA">
        <w:rPr>
          <w:bCs/>
        </w:rPr>
        <w:t>sent in EC SI</w:t>
      </w:r>
      <w:r w:rsidRPr="004D0DAA">
        <w:t>) is not used. If timer T3248 is used, i.e. it has a value &gt; 0, it shall be started when timer T3228 expires. The contention resolution has failed on the mobile station side when timer T3248 expires. The contention resolution also fails, if the mobile station receives an EC PACKET UPLINK ACK/NACK or an EC PACKET UPLINK ACK/NACK AND CONTENTION RESOLUTION message addressing the mobile station with the TFI associated with the uplink TBF and including a TLLI value other than that which the mobile station included in the RLC header of the first RLC data block sent during the initial fixed uplink allocation or including an rTLLI other than that which the mobile station included in the RLC/MAC header of subsequent RLC Data blocks sent during the initial fixed uplink allocation; in such a case, the mobile station shall not transmit on any of the uplink resources that are allocated in the EC PACKET UPLINK ACK/NACK or EC PACKET UPLINK ACK/NACK AND CONTENTION RESOLUTION message, nor shall it transmit an EC PACKET CONTROL ACKNOWLEDGEMENT or EC PACKET CONTROL ACKNOWLEDGEMENT HIGHER CC in the uplink resources specified if a valid RRBP field is received as part of the EC PACKET UPLINK ACK/NACK or EC PACKET UPLINK ACK/NACK AND CONTENTION RESOLUTION message.</w:t>
      </w:r>
    </w:p>
    <w:p w14:paraId="793C83FD" w14:textId="77777777" w:rsidR="00711444" w:rsidRPr="004D0DAA" w:rsidRDefault="00711444" w:rsidP="00711444">
      <w:r w:rsidRPr="004D0DAA">
        <w:t>In case of a contention resolution failure on the mobile station side, the mobile station shall stop timer T3228, if running, stop transmitting on the TBF and enter packet idle mode. If timer T3248 was running when the contention resolution failure occurred (and thus not T3228), the timer T3248 shall be stopped. It shall then reinitiate the packet access procedure, unless the maximum allowed number of packet access procedure has already been attempted, see 3GPP TS 44.018. In that case, a TBF failure has occurred, see sub-clause 7a.2.4.</w:t>
      </w:r>
    </w:p>
    <w:p w14:paraId="21A07E6B" w14:textId="77777777" w:rsidR="00711444" w:rsidRPr="004D0DAA" w:rsidRDefault="00711444" w:rsidP="00711444"/>
    <w:p w14:paraId="251EA2DE" w14:textId="77777777" w:rsidR="00711444" w:rsidRPr="004D0DAA" w:rsidRDefault="00711444" w:rsidP="00711444">
      <w:pPr>
        <w:pStyle w:val="Heading3"/>
      </w:pPr>
      <w:bookmarkStart w:id="226" w:name="_Toc516669414"/>
      <w:r w:rsidRPr="004D0DAA">
        <w:t>7a.2.2</w:t>
      </w:r>
      <w:r w:rsidRPr="004D0DAA">
        <w:tab/>
        <w:t>RLC/MAC procedures during contention resolution</w:t>
      </w:r>
      <w:bookmarkEnd w:id="226"/>
    </w:p>
    <w:p w14:paraId="235AE9E1" w14:textId="77777777" w:rsidR="00711444" w:rsidRPr="004D0DAA" w:rsidRDefault="00711444" w:rsidP="00711444">
      <w:r w:rsidRPr="004D0DAA">
        <w:t>During the contention resolution, the only non-distribution RLC/MAC control message that the mobile station shall accept are the EC PACKET UPLINK ACK/NACK and EC PACKET UPLINK ACK/NACK AND CONTENTION RESOLUTION messages. Any other non-distribution RLC/MAC control message shall not be accepted by the mobile station.</w:t>
      </w:r>
    </w:p>
    <w:p w14:paraId="71CB1E4C" w14:textId="77777777" w:rsidR="00711444" w:rsidRPr="004D0DAA" w:rsidRDefault="00711444" w:rsidP="00711444">
      <w:r w:rsidRPr="004D0DAA">
        <w:t>If a valid RRBP field is received as part of the RLC/MAC control block containing the EC PACKET UPLINK ACK/NACK or EC PACKET UPLINK ACK/NACK AND CONTENTION RESOLUTION message addressing the mobile station, the mobile station shall transmit an EC PACKET CONTROL ACKNOWLEDGEMENT or EC PACKET CONTROL ACKNOWLEDGEMENT HIGHER CC message in the uplink resources specified (see sub-clause 10.4.5).</w:t>
      </w:r>
    </w:p>
    <w:p w14:paraId="18564758" w14:textId="77777777" w:rsidR="00711444" w:rsidRPr="004D0DAA" w:rsidRDefault="00711444" w:rsidP="00711444"/>
    <w:p w14:paraId="40FBA6A7" w14:textId="77777777" w:rsidR="00711444" w:rsidRPr="004D0DAA" w:rsidRDefault="00711444" w:rsidP="00711444">
      <w:pPr>
        <w:pStyle w:val="Heading3"/>
      </w:pPr>
      <w:bookmarkStart w:id="227" w:name="_Toc516669415"/>
      <w:r w:rsidRPr="004D0DAA">
        <w:lastRenderedPageBreak/>
        <w:t>7a.2.3</w:t>
      </w:r>
      <w:r w:rsidRPr="004D0DAA">
        <w:tab/>
        <w:t>Timing Advance</w:t>
      </w:r>
      <w:bookmarkEnd w:id="227"/>
    </w:p>
    <w:p w14:paraId="11352A8A" w14:textId="77777777" w:rsidR="00711444" w:rsidRPr="004D0DAA" w:rsidRDefault="00711444" w:rsidP="00711444">
      <w:r w:rsidRPr="004D0DAA">
        <w:t>Initial timing advance is provided in the EC Immediate Assignment messages, in the TIMING_ADVANCE_VALUE field, when the packet access is performed using the EC-RACH or RACH.</w:t>
      </w:r>
    </w:p>
    <w:p w14:paraId="3FADA9C1" w14:textId="77777777" w:rsidR="00711444" w:rsidRPr="004D0DAA" w:rsidRDefault="00711444" w:rsidP="00711444">
      <w:r w:rsidRPr="004D0DAA">
        <w:t>Thereafter the timing advance is updated with an EC PACKET POWER CONTROL/TIMING ADVANCE message or an EC PACKET UPLINK ACK/NACK message, containing a TIMING_ADVANCE_VALUE field, on the EC-PACCH.</w:t>
      </w:r>
    </w:p>
    <w:p w14:paraId="04561EBE" w14:textId="77777777" w:rsidR="00711444" w:rsidRPr="004D0DAA" w:rsidRDefault="00711444" w:rsidP="00711444"/>
    <w:p w14:paraId="76E61964" w14:textId="77777777" w:rsidR="00711444" w:rsidRPr="004D0DAA" w:rsidRDefault="00711444" w:rsidP="00711444">
      <w:pPr>
        <w:pStyle w:val="Heading3"/>
      </w:pPr>
      <w:bookmarkStart w:id="228" w:name="_Toc516669416"/>
      <w:r w:rsidRPr="004D0DAA">
        <w:t>7a.2.4</w:t>
      </w:r>
      <w:r w:rsidRPr="004D0DAA">
        <w:tab/>
        <w:t>Abnormal cases</w:t>
      </w:r>
      <w:bookmarkEnd w:id="228"/>
    </w:p>
    <w:p w14:paraId="7468FE45" w14:textId="77777777" w:rsidR="00711444" w:rsidRPr="004D0DAA" w:rsidRDefault="00711444" w:rsidP="00711444">
      <w:r w:rsidRPr="004D0DAA">
        <w:t>If a failure occurs on the mobile station side of the uplink TBF before the mobile station has successfully entered the packet transfer mode, the reserved resources are released; the subsequent behaviour of the mobile station depends on the type of failure and previous actions.</w:t>
      </w:r>
    </w:p>
    <w:p w14:paraId="7AEFA176" w14:textId="77777777" w:rsidR="00711444" w:rsidRPr="004D0DAA" w:rsidRDefault="00711444" w:rsidP="00711444">
      <w:pPr>
        <w:pStyle w:val="B1"/>
      </w:pPr>
      <w:r w:rsidRPr="004D0DAA">
        <w:t>-</w:t>
      </w:r>
      <w:r w:rsidRPr="004D0DAA">
        <w:tab/>
        <w:t>If the failure is due to a TLLI or rTLLI mismatch in the contention resolution procedure, the mobile station shall remain in packet idle mode, notify higher layers (TBF establishment failure), transactions in progress shall be aborted and the mobile station shall reinitiate the packet access procedure, unless the maximum number of access retransmissions allowed by the packet access procedure has already been attempted, see 3GPP TS 44.018. If the maximum number of access retransmissions allowed by the packet access procedure has been attempted a change of Coverage Class or cell reselection may be performed (see 3GPP TS 45.008);</w:t>
      </w:r>
    </w:p>
    <w:p w14:paraId="56122A92" w14:textId="77777777" w:rsidR="00711444" w:rsidRPr="004D0DAA" w:rsidRDefault="00711444" w:rsidP="00711444">
      <w:pPr>
        <w:pStyle w:val="B1"/>
      </w:pPr>
      <w:r w:rsidRPr="004D0DAA">
        <w:t>-</w:t>
      </w:r>
      <w:r w:rsidRPr="004D0DAA">
        <w:tab/>
        <w:t>If the failure is due to the expiry of timer T3228 (if timer T3248 is not used) or timer T3248 in the contention resolution procedure, the mobile station shall remain in packet idle mode, notify higher layers (TBF establishment failure), transactions in progress shall be aborted and the mobile station shall reinitiate the packet access procedure, unless the maximum number of access retransmissions allowed by the packet access procedure has already been attempted, see 3GPP TS 44.018. If the maximum number of access retransmissions allowed by the packet access procedure has been attempted a change of Coverage Class or cell reselection may be performed (see 3GPP TS 45.008);</w:t>
      </w:r>
    </w:p>
    <w:p w14:paraId="11F802E0" w14:textId="77777777" w:rsidR="00711444" w:rsidRPr="004D0DAA" w:rsidRDefault="00711444" w:rsidP="00711444">
      <w:pPr>
        <w:pStyle w:val="B1"/>
      </w:pPr>
      <w:r w:rsidRPr="004D0DAA">
        <w:t>-</w:t>
      </w:r>
      <w:r w:rsidRPr="004D0DAA">
        <w:tab/>
        <w:t>If the mobile station, in the EC PACKET UPLINK ACK/NACK message has been assigned an MCS that the MS does not support (e.g. with 8-PSK modulation), the MS shall return to packet idle mode and notify higher layers (TBF establishment failure);</w:t>
      </w:r>
    </w:p>
    <w:p w14:paraId="72930B10" w14:textId="77777777" w:rsidR="00711444" w:rsidRPr="004D0DAA" w:rsidRDefault="00711444" w:rsidP="00711444">
      <w:pPr>
        <w:pStyle w:val="B1"/>
      </w:pPr>
      <w:r w:rsidRPr="004D0DAA">
        <w:t>-</w:t>
      </w:r>
      <w:r w:rsidRPr="004D0DAA">
        <w:tab/>
        <w:t>If the failure is due to any other reason, the mobile station shall return to packet idle mode, notify higher layers (TBF establishment failure), transactions in progress shall be aborted and cell reselection may be performed (see 3GPP TS 45.008).</w:t>
      </w:r>
    </w:p>
    <w:p w14:paraId="0E1C4DCA" w14:textId="77777777" w:rsidR="00711444" w:rsidRPr="004D0DAA" w:rsidRDefault="00711444" w:rsidP="00711444">
      <w:pPr>
        <w:pStyle w:val="Heading2"/>
      </w:pPr>
      <w:bookmarkStart w:id="229" w:name="_Toc516669417"/>
      <w:r w:rsidRPr="004D0DAA">
        <w:t>7a.3</w:t>
      </w:r>
      <w:r w:rsidRPr="004D0DAA">
        <w:tab/>
        <w:t>TBF establishment initiated by the network for EC-GSM-IoT on EC-CCCH</w:t>
      </w:r>
      <w:bookmarkEnd w:id="229"/>
    </w:p>
    <w:p w14:paraId="6EE1044A" w14:textId="77777777" w:rsidR="00711444" w:rsidRPr="004D0DAA" w:rsidRDefault="00711444" w:rsidP="00711444">
      <w:r w:rsidRPr="004D0DAA">
        <w:t>The purpose of network initiated TBF establishment is to establish a TBF to support the transfer of upper layer PDUs in the direction from the network to the mobile station. The procedure is triggered by a request from upper layers on the network side to transfer an upper layer PDU to a mobile station in packet idle mode that has enabled EC operation. Upon such a request, the network shall initiate a packet downlink assignment procedure on the EC-CCCH as described in 3GPP TS 44.018.</w:t>
      </w:r>
    </w:p>
    <w:p w14:paraId="496E76C8" w14:textId="77777777" w:rsidR="00711444" w:rsidRPr="004D0DAA" w:rsidRDefault="00711444" w:rsidP="00711444">
      <w:r w:rsidRPr="004D0DAA">
        <w:t>On expiry of timer T3190, the mobile station shall abort the procedure and return to packet idle mode.</w:t>
      </w:r>
    </w:p>
    <w:p w14:paraId="2DCF9FB6" w14:textId="77777777" w:rsidR="00711444" w:rsidRPr="004D0DAA" w:rsidRDefault="00711444" w:rsidP="00711444">
      <w:r w:rsidRPr="004D0DAA">
        <w:t>The packet downlink assignment procedure is completed when the mobile station receives a valid RLC/MAC block. The mobile station then restarts timer T3190 and enters the packet transfer mode.</w:t>
      </w:r>
    </w:p>
    <w:p w14:paraId="112EE6C8" w14:textId="77777777" w:rsidR="00711444" w:rsidRPr="004D0DAA" w:rsidRDefault="00711444" w:rsidP="00711444">
      <w:pPr>
        <w:pStyle w:val="Heading3"/>
      </w:pPr>
      <w:bookmarkStart w:id="230" w:name="_Toc516669418"/>
      <w:r w:rsidRPr="004D0DAA">
        <w:t>7a.3.1</w:t>
      </w:r>
      <w:r w:rsidRPr="004D0DAA">
        <w:tab/>
        <w:t>Timing Advance</w:t>
      </w:r>
      <w:bookmarkEnd w:id="230"/>
    </w:p>
    <w:p w14:paraId="4F583C14" w14:textId="77777777" w:rsidR="00711444" w:rsidRPr="004D0DAA" w:rsidRDefault="00711444" w:rsidP="00711444">
      <w:r w:rsidRPr="004D0DAA">
        <w:t>Initial timing advance can be provided in the EC Downlink Assignment message in the TIMING_ADVANCE_VALUE field. In case valid timing advance for the mobile station is not available, the network may trigger the packet polling procedure (see sub-clause 7a.3.2) by transmitting an EC PACKET POLLING REQUEST message with TYPE_OF_ACK parameter set to access bursts (see sub-clause 11.2.54).</w:t>
      </w:r>
    </w:p>
    <w:p w14:paraId="0705B8AA" w14:textId="77777777" w:rsidR="00711444" w:rsidRPr="004D0DAA" w:rsidRDefault="00711444" w:rsidP="00711444">
      <w:r w:rsidRPr="004D0DAA">
        <w:lastRenderedPageBreak/>
        <w:t>The EC PACKET CONTROL ACKNOWLEDGEMENT or EC PACKET CONTROL ACKNOWLEDGEMENT HIGHER CC message, received from the mobile station,</w:t>
      </w:r>
      <w:r w:rsidRPr="004D0DAA">
        <w:rPr>
          <w:sz w:val="16"/>
        </w:rPr>
        <w:t xml:space="preserve"> </w:t>
      </w:r>
      <w:r w:rsidRPr="004D0DAA">
        <w:t>is then used to derive the timing advance of the mobile station.</w:t>
      </w:r>
    </w:p>
    <w:p w14:paraId="018A0CBB" w14:textId="77777777" w:rsidR="00711444" w:rsidRPr="004D0DAA" w:rsidRDefault="00711444" w:rsidP="00711444">
      <w:r w:rsidRPr="004D0DAA">
        <w:t>Thereafter the timing advance in the mobile station is updated with the EC PACKET POWER CONTROL /TIMING ADVANCE message. For the case where a Timing Advance Value is not provided in the EC Downlink Assignment message, the mobile station is not allowed to send normal bursts (e.g. EC PACKET DOWNLINK ACK/NACK message) on the uplink until it receives a valid timing advance in an EC PACKET POWER CONTROL /TIMING ADVANCE message.</w:t>
      </w:r>
    </w:p>
    <w:p w14:paraId="2817138A" w14:textId="77777777" w:rsidR="00711444" w:rsidRPr="004D0DAA" w:rsidRDefault="00711444" w:rsidP="00711444">
      <w:pPr>
        <w:pStyle w:val="Heading3"/>
      </w:pPr>
      <w:bookmarkStart w:id="231" w:name="_Toc516669419"/>
      <w:r w:rsidRPr="004D0DAA">
        <w:t>7a.3.2</w:t>
      </w:r>
      <w:r w:rsidRPr="004D0DAA">
        <w:tab/>
        <w:t>Packet polling procedure</w:t>
      </w:r>
      <w:bookmarkEnd w:id="231"/>
    </w:p>
    <w:p w14:paraId="1855520E" w14:textId="77777777" w:rsidR="00711444" w:rsidRPr="004D0DAA" w:rsidRDefault="00711444" w:rsidP="00711444">
      <w:r w:rsidRPr="004D0DAA">
        <w:t>The network may send an EC PACKET POLLING REQUEST message to the mobile station, where the mobile station is addressed with its TFI.</w:t>
      </w:r>
    </w:p>
    <w:p w14:paraId="1C39958D" w14:textId="77777777" w:rsidR="00711444" w:rsidRPr="004D0DAA" w:rsidRDefault="00711444" w:rsidP="00711444">
      <w:r w:rsidRPr="004D0DAA">
        <w:t>On receipt of an EC PACKET POLLING REQUEST message with the TYPE_OF_ACK parameter set to access bursts (see sub-clause 11.2.54), the mobile station shall send the EC PACKET CONTROL ACKNOWLEDGEMENT or EC PACKET CONTROL ACKNOWLEDGEMENT HIGHER CC message using identical repeated access bursts, on resources allocated by the RRBP field (as defined in sub-clause 10.4.5) and according to its uplink Coverage Class.</w:t>
      </w:r>
    </w:p>
    <w:p w14:paraId="682B15BA" w14:textId="77777777" w:rsidR="00711444" w:rsidRPr="004D0DAA" w:rsidRDefault="00711444" w:rsidP="00711444">
      <w:r w:rsidRPr="004D0DAA">
        <w:t xml:space="preserve">The mobile station shall, in the EC PACKET CONTROL ACKNOWLEDGEMENT or EC PACKET CONTROL ACKNOWLEDGEMENT HIGHER CC message, include its latest downlink Coverage Class estimation </w:t>
      </w:r>
      <w:r w:rsidRPr="004D0DAA">
        <w:rPr>
          <w:bCs/>
        </w:rPr>
        <w:t xml:space="preserve">and, in case the C value is above BT_Threshold_DL (see 3GPP TS 45.008), the latest estimated C value range </w:t>
      </w:r>
      <w:r w:rsidRPr="004D0DAA">
        <w:t>in the DL_CC_EST field.</w:t>
      </w:r>
    </w:p>
    <w:p w14:paraId="57ED7E69" w14:textId="77777777" w:rsidR="00711444" w:rsidRPr="004D0DAA" w:rsidRDefault="00711444" w:rsidP="00711444">
      <w:pPr>
        <w:pStyle w:val="Heading1"/>
      </w:pPr>
      <w:bookmarkStart w:id="232" w:name="_Toc516669420"/>
      <w:r w:rsidRPr="004D0DAA">
        <w:t>8</w:t>
      </w:r>
      <w:r w:rsidRPr="004D0DAA">
        <w:tab/>
        <w:t>Medium Access Control (MAC) Procedures in Packet Transfer Mode</w:t>
      </w:r>
      <w:bookmarkEnd w:id="232"/>
    </w:p>
    <w:p w14:paraId="4D1771A3" w14:textId="77777777" w:rsidR="00711444" w:rsidRPr="004D0DAA" w:rsidRDefault="00711444" w:rsidP="00711444">
      <w:pPr>
        <w:pStyle w:val="Heading2"/>
      </w:pPr>
      <w:bookmarkStart w:id="233" w:name="_Toc516669421"/>
      <w:r w:rsidRPr="004D0DAA">
        <w:t>8.0</w:t>
      </w:r>
      <w:r w:rsidRPr="004D0DAA">
        <w:tab/>
        <w:t>General</w:t>
      </w:r>
      <w:bookmarkEnd w:id="233"/>
    </w:p>
    <w:p w14:paraId="176F5ED9" w14:textId="77777777" w:rsidR="00711444" w:rsidRPr="004D0DAA" w:rsidRDefault="00711444" w:rsidP="00711444">
      <w:pPr>
        <w:keepNext/>
        <w:keepLines/>
      </w:pPr>
      <w:r w:rsidRPr="004D0DAA">
        <w:t>The MAC procedures defined in this sub-clause are applicable in packet transfer mode. They are applicable in dual transfer mode, if both the network and the mobile station support DTM.</w:t>
      </w:r>
    </w:p>
    <w:p w14:paraId="26965C23" w14:textId="77777777" w:rsidR="00711444" w:rsidRPr="004D0DAA" w:rsidRDefault="00711444" w:rsidP="00711444">
      <w:pPr>
        <w:keepNext/>
        <w:keepLines/>
      </w:pPr>
      <w:r w:rsidRPr="004D0DAA">
        <w:t>The procedures in this sub-clause (clause 8) shall not be used to change the frequency allocation of the carrier supporting the dedicated resources for the mobile station in dual transfer mode. None of the PACKET DOWNLINK ASSIGNMENT, the MULTIPLE TBF DOWNLINK ASSIGNMENT, the PACKET UPLINK ASSIGNMENT, the MULTIPLE TBF UPLINK ASSIGNMENT, the PACKET TIMESLOT RECONFIGURE or the MULTIPLE TBF TIMESLOT RECONFIGURE messages shall include frequency parameters for the carrier supporting the dedicated resources when they are sent to a mobile station in dual transfer mode.</w:t>
      </w:r>
    </w:p>
    <w:p w14:paraId="7159721E" w14:textId="77777777" w:rsidR="00711444" w:rsidRPr="004D0DAA" w:rsidRDefault="00711444" w:rsidP="00711444">
      <w:pPr>
        <w:pStyle w:val="NO"/>
      </w:pPr>
      <w:r w:rsidRPr="004D0DAA">
        <w:t>NOTE:</w:t>
      </w:r>
      <w:r w:rsidRPr="004D0DAA">
        <w:tab/>
        <w:t>The network may use the DTM procedures on the main DCCH (the DTM ASSIGNMENT COMMAND message), if the radio resources for the RR connection and one or more TBF(s) need to be changed (see 3GPP TS 44.018).</w:t>
      </w:r>
    </w:p>
    <w:p w14:paraId="0F7BED13" w14:textId="77777777" w:rsidR="00711444" w:rsidRPr="004D0DAA" w:rsidRDefault="00711444" w:rsidP="00711444">
      <w:pPr>
        <w:pStyle w:val="Heading2"/>
      </w:pPr>
      <w:bookmarkStart w:id="234" w:name="_Toc516669422"/>
      <w:r w:rsidRPr="004D0DAA">
        <w:t>8.1</w:t>
      </w:r>
      <w:r w:rsidRPr="004D0DAA">
        <w:tab/>
        <w:t>Transfer of RLC data blocks</w:t>
      </w:r>
      <w:bookmarkEnd w:id="234"/>
    </w:p>
    <w:p w14:paraId="2042B544" w14:textId="77777777" w:rsidR="00711444" w:rsidRPr="004D0DAA" w:rsidRDefault="00711444" w:rsidP="00711444">
      <w:pPr>
        <w:pStyle w:val="Heading3"/>
      </w:pPr>
      <w:bookmarkStart w:id="235" w:name="_Toc516669423"/>
      <w:r w:rsidRPr="004D0DAA">
        <w:t>8.1.0</w:t>
      </w:r>
      <w:r w:rsidRPr="004D0DAA">
        <w:tab/>
        <w:t>Medium access mode</w:t>
      </w:r>
      <w:bookmarkEnd w:id="235"/>
    </w:p>
    <w:p w14:paraId="3A30B07E" w14:textId="77777777" w:rsidR="00711444" w:rsidRPr="004D0DAA" w:rsidRDefault="00711444" w:rsidP="00711444">
      <w:pPr>
        <w:rPr>
          <w:lang w:val="en-US"/>
        </w:rPr>
      </w:pPr>
      <w:r w:rsidRPr="004D0DAA">
        <w:rPr>
          <w:lang w:val="en-US"/>
        </w:rPr>
        <w:t xml:space="preserve">The transfer of RLC data blocks is governed by different principles on both uplink and downlink for each of the defined medium access modes: dynamic allocation, extended dynamic allocation, exclusive allocation and fixed uplink allocation. </w:t>
      </w:r>
    </w:p>
    <w:p w14:paraId="78EFB3DA" w14:textId="77777777" w:rsidR="00711444" w:rsidRPr="004D0DAA" w:rsidRDefault="00711444" w:rsidP="00711444">
      <w:pPr>
        <w:rPr>
          <w:lang w:val="en-US" w:eastAsia="zh-CN"/>
        </w:rPr>
      </w:pPr>
      <w:r w:rsidRPr="004D0DAA">
        <w:rPr>
          <w:lang w:val="en-US"/>
        </w:rPr>
        <w:t xml:space="preserve">The exclusive allocation is applicable only in dual transfer mode and MAC-DTM state and shall be used on a half-rate PDCH. The fixed uplink allocation is applicable only for an uplink EC TBF. </w:t>
      </w:r>
    </w:p>
    <w:p w14:paraId="1ED3A97C" w14:textId="77777777" w:rsidR="00711444" w:rsidRPr="004D0DAA" w:rsidRDefault="00711444" w:rsidP="00711444">
      <w:pPr>
        <w:pStyle w:val="Heading3"/>
      </w:pPr>
      <w:bookmarkStart w:id="236" w:name="_Toc516669424"/>
      <w:r w:rsidRPr="004D0DAA">
        <w:lastRenderedPageBreak/>
        <w:t>8.1.1</w:t>
      </w:r>
      <w:r w:rsidRPr="004D0DAA">
        <w:tab/>
        <w:t>Uplink RLC data block transfer</w:t>
      </w:r>
      <w:bookmarkEnd w:id="236"/>
    </w:p>
    <w:p w14:paraId="3919B41E" w14:textId="77777777" w:rsidR="00711444" w:rsidRPr="004D0DAA" w:rsidRDefault="00711444" w:rsidP="00711444">
      <w:pPr>
        <w:rPr>
          <w:lang w:val="en-US"/>
        </w:rPr>
      </w:pPr>
      <w:r w:rsidRPr="004D0DAA">
        <w:rPr>
          <w:lang w:val="en-US"/>
        </w:rPr>
        <w:t>For a TBF operating in BTTI configuration, prior to the initiation of RLC data block transfer on the uplink, the network assigns the following parameters to characterise the uplink TBF in the uplink assignment (e.g. PACKET UPLINK ASSIGNMENT, EC PACKET UPLINK ASSIGNMENT, MULTIPLE TBF UPLINK ASSIGNMENT, PACKET TIMESLOT RECONFIGURE, MULTIPLE TBF TIMESLOT RECONFIGURE or PACKET CS RELEASE INDICATION) message:</w:t>
      </w:r>
    </w:p>
    <w:p w14:paraId="2A1FB3F9" w14:textId="77777777" w:rsidR="00711444" w:rsidRPr="004D0DAA" w:rsidRDefault="00711444" w:rsidP="00711444">
      <w:pPr>
        <w:pStyle w:val="B1"/>
        <w:rPr>
          <w:lang w:val="en-US"/>
        </w:rPr>
      </w:pPr>
      <w:r w:rsidRPr="004D0DAA">
        <w:rPr>
          <w:lang w:val="en-US"/>
        </w:rPr>
        <w:t>-</w:t>
      </w:r>
      <w:r w:rsidRPr="004D0DAA">
        <w:rPr>
          <w:lang w:val="en-US"/>
        </w:rPr>
        <w:tab/>
        <w:t>a Temporary Flow Identity (TFI).</w:t>
      </w:r>
      <w:r w:rsidRPr="004D0DAA">
        <w:rPr>
          <w:caps/>
          <w:lang w:val="en-US"/>
        </w:rPr>
        <w:t xml:space="preserve"> </w:t>
      </w:r>
      <w:r w:rsidRPr="004D0DAA">
        <w:rPr>
          <w:lang w:val="en-US"/>
        </w:rPr>
        <w:t>The mobile station shall set the TFI field of each uplink RLC data block to the TFI value assigned:</w:t>
      </w:r>
    </w:p>
    <w:p w14:paraId="1D481F77" w14:textId="77777777" w:rsidR="00711444" w:rsidRPr="004D0DAA" w:rsidRDefault="00711444" w:rsidP="00711444">
      <w:pPr>
        <w:pStyle w:val="B2"/>
        <w:rPr>
          <w:lang w:val="en-US"/>
        </w:rPr>
      </w:pPr>
      <w:r w:rsidRPr="004D0DAA">
        <w:rPr>
          <w:lang w:val="en-US"/>
        </w:rPr>
        <w:t>-</w:t>
      </w:r>
      <w:r w:rsidRPr="004D0DAA">
        <w:rPr>
          <w:lang w:val="en-US"/>
        </w:rPr>
        <w:tab/>
        <w:t xml:space="preserve">to the mobile station for that uplink TBF, </w:t>
      </w:r>
    </w:p>
    <w:p w14:paraId="72EBE10F" w14:textId="77777777" w:rsidR="00711444" w:rsidRPr="004D0DAA" w:rsidRDefault="00711444" w:rsidP="00711444">
      <w:pPr>
        <w:pStyle w:val="B2"/>
        <w:rPr>
          <w:lang w:val="en-US"/>
        </w:rPr>
      </w:pPr>
      <w:r w:rsidRPr="004D0DAA">
        <w:rPr>
          <w:lang w:val="en-US"/>
        </w:rPr>
        <w:t>-</w:t>
      </w:r>
      <w:r w:rsidRPr="004D0DAA">
        <w:rPr>
          <w:lang w:val="en-US"/>
        </w:rPr>
        <w:tab/>
        <w:t xml:space="preserve">or in case EMST is used, to the TFI value assigned to the corresponding RLC entity on that uplink TBF, </w:t>
      </w:r>
    </w:p>
    <w:p w14:paraId="5E25EB91" w14:textId="77777777" w:rsidR="00711444" w:rsidRPr="004D0DAA" w:rsidRDefault="00711444" w:rsidP="00711444">
      <w:pPr>
        <w:pStyle w:val="B2"/>
        <w:rPr>
          <w:lang w:val="en-US"/>
        </w:rPr>
      </w:pPr>
      <w:r w:rsidRPr="004D0DAA">
        <w:rPr>
          <w:lang w:val="en-US"/>
        </w:rPr>
        <w:t>-</w:t>
      </w:r>
      <w:r w:rsidRPr="004D0DAA">
        <w:rPr>
          <w:lang w:val="en-US"/>
        </w:rPr>
        <w:tab/>
        <w:t>or in case EMSR is enabled for an RLC entity, to each PFC supported by that RLC entity on the uplink TBF;</w:t>
      </w:r>
    </w:p>
    <w:p w14:paraId="6FCB01E6" w14:textId="77777777" w:rsidR="00711444" w:rsidRPr="004D0DAA" w:rsidRDefault="00711444" w:rsidP="00711444">
      <w:pPr>
        <w:pStyle w:val="B1"/>
        <w:rPr>
          <w:lang w:val="en-US"/>
        </w:rPr>
      </w:pPr>
      <w:r w:rsidRPr="004D0DAA">
        <w:rPr>
          <w:lang w:val="en-US"/>
        </w:rPr>
        <w:t>-</w:t>
      </w:r>
      <w:r w:rsidRPr="004D0DAA">
        <w:rPr>
          <w:lang w:val="en-US"/>
        </w:rPr>
        <w:tab/>
        <w:t>a set of PDCHs to be used for the uplink transfer;</w:t>
      </w:r>
    </w:p>
    <w:p w14:paraId="5A14C7CB" w14:textId="77777777" w:rsidR="00711444" w:rsidRPr="004D0DAA" w:rsidRDefault="00711444" w:rsidP="00711444">
      <w:pPr>
        <w:pStyle w:val="B1"/>
        <w:rPr>
          <w:lang w:val="en-US"/>
        </w:rPr>
      </w:pPr>
      <w:r w:rsidRPr="004D0DAA">
        <w:rPr>
          <w:lang w:val="en-US"/>
        </w:rPr>
        <w:t>-</w:t>
      </w:r>
      <w:r w:rsidRPr="004D0DAA">
        <w:rPr>
          <w:lang w:val="en-US"/>
        </w:rPr>
        <w:tab/>
        <w:t>a TBF Starting Time indication (optional in case of a dynamic or extended dynamic allocation and not applicable for dual carrier, multi carrier, BTTI with FANR activated, EGPRS2 configurations and EC TBFs);</w:t>
      </w:r>
    </w:p>
    <w:p w14:paraId="6A419EAB" w14:textId="77777777" w:rsidR="00711444" w:rsidRPr="004D0DAA" w:rsidRDefault="00711444" w:rsidP="00711444">
      <w:pPr>
        <w:pStyle w:val="B1"/>
        <w:rPr>
          <w:lang w:val="en-US"/>
        </w:rPr>
      </w:pPr>
      <w:r w:rsidRPr="004D0DAA">
        <w:rPr>
          <w:lang w:val="en-US"/>
        </w:rPr>
        <w:t>-</w:t>
      </w:r>
      <w:r w:rsidRPr="004D0DAA">
        <w:rPr>
          <w:lang w:val="en-US"/>
        </w:rPr>
        <w:tab/>
        <w:t xml:space="preserve">the PFI associated with each allocated TBF if the network and the mobile station both support multiple TBF procedures, or in case EMST is used, the PFI associated with each RLC entity on the allocated TBF, or in case EMSR is enabled for one or more RLC entities of the allocated TBF, the PFI associated with each PFC supported by these RLC entities. </w:t>
      </w:r>
    </w:p>
    <w:p w14:paraId="727103D9" w14:textId="77777777" w:rsidR="00711444" w:rsidRPr="004D0DAA" w:rsidRDefault="00711444" w:rsidP="00711444">
      <w:pPr>
        <w:pStyle w:val="B1"/>
      </w:pPr>
      <w:r w:rsidRPr="004D0DAA">
        <w:rPr>
          <w:lang w:val="en-US"/>
        </w:rPr>
        <w:t>-</w:t>
      </w:r>
      <w:r w:rsidRPr="004D0DAA">
        <w:rPr>
          <w:lang w:val="en-US"/>
        </w:rPr>
        <w:tab/>
      </w:r>
      <w:r w:rsidRPr="004D0DAA">
        <w:t>in case of an uplink EC TBF, the network also assigns the following parameters:</w:t>
      </w:r>
    </w:p>
    <w:p w14:paraId="74AD9417" w14:textId="77777777" w:rsidR="00711444" w:rsidRPr="004D0DAA" w:rsidRDefault="00711444" w:rsidP="00711444">
      <w:pPr>
        <w:pStyle w:val="B1"/>
      </w:pPr>
      <w:r w:rsidRPr="004D0DAA">
        <w:tab/>
        <w:t>-</w:t>
      </w:r>
      <w:r w:rsidRPr="004D0DAA">
        <w:tab/>
      </w:r>
      <w:r w:rsidRPr="004D0DAA">
        <w:rPr>
          <w:lang w:val="en-US"/>
        </w:rPr>
        <w:t>a set of PDCHs to be used for transmission of downlink RLC/MAC control messages</w:t>
      </w:r>
    </w:p>
    <w:p w14:paraId="421724BA" w14:textId="77777777" w:rsidR="00711444" w:rsidRPr="004D0DAA" w:rsidRDefault="00711444" w:rsidP="00711444">
      <w:pPr>
        <w:pStyle w:val="B1"/>
      </w:pPr>
      <w:r w:rsidRPr="004D0DAA">
        <w:tab/>
        <w:t>-</w:t>
      </w:r>
      <w:r w:rsidRPr="004D0DAA">
        <w:tab/>
        <w:t>uplink and downlink coverage classes.</w:t>
      </w:r>
    </w:p>
    <w:p w14:paraId="0CE8BC7B" w14:textId="77777777" w:rsidR="00711444" w:rsidRPr="004D0DAA" w:rsidRDefault="00711444" w:rsidP="00711444">
      <w:r w:rsidRPr="004D0DAA">
        <w:t xml:space="preserve">In case the RTTI configuration is supported by the network and the mobile station and an uplink TBF operating in RTTI configuration is assigned, the following parameters shall be provided by the network in the assignment message (e.g. PACKET UPLINK ASSIGNMENT, MULTIPLE TBF UPLINK ASSIGNMENT, PACKET TIMESLOT RECONFIGURE, MULTIPLE TBF TIMESLOT RECONFIGURE or PACKET CS RELEASE INDICATION). </w:t>
      </w:r>
    </w:p>
    <w:p w14:paraId="5793640B" w14:textId="77777777" w:rsidR="00711444" w:rsidRPr="004D0DAA" w:rsidRDefault="00711444" w:rsidP="00711444">
      <w:pPr>
        <w:pStyle w:val="B1"/>
      </w:pPr>
      <w:r w:rsidRPr="004D0DAA">
        <w:t>-</w:t>
      </w:r>
      <w:r w:rsidRPr="004D0DAA">
        <w:tab/>
        <w:t>a Temporary Flow Identity (TFI).</w:t>
      </w:r>
      <w:r w:rsidRPr="004D0DAA">
        <w:rPr>
          <w:caps/>
        </w:rPr>
        <w:t xml:space="preserve"> </w:t>
      </w:r>
      <w:r w:rsidRPr="004D0DAA">
        <w:t>The mobile station shall set the TFI field of each uplink RLC data block to the TFI value assigned:</w:t>
      </w:r>
    </w:p>
    <w:p w14:paraId="4C71DE06" w14:textId="77777777" w:rsidR="00711444" w:rsidRPr="004D0DAA" w:rsidRDefault="00711444" w:rsidP="00711444">
      <w:pPr>
        <w:pStyle w:val="B2"/>
      </w:pPr>
      <w:r w:rsidRPr="004D0DAA">
        <w:t>-</w:t>
      </w:r>
      <w:r w:rsidRPr="004D0DAA">
        <w:tab/>
        <w:t xml:space="preserve">to the mobile station for that uplink TBF, </w:t>
      </w:r>
    </w:p>
    <w:p w14:paraId="475F78D3" w14:textId="77777777" w:rsidR="00711444" w:rsidRPr="004D0DAA" w:rsidRDefault="00711444" w:rsidP="00711444">
      <w:pPr>
        <w:pStyle w:val="B2"/>
      </w:pPr>
      <w:r w:rsidRPr="004D0DAA">
        <w:t>-</w:t>
      </w:r>
      <w:r w:rsidRPr="004D0DAA">
        <w:tab/>
        <w:t xml:space="preserve">or in case EMST is used, to the TFI value assigned to the corresponding RLC entity on that uplink TBF, </w:t>
      </w:r>
    </w:p>
    <w:p w14:paraId="34AB1F07" w14:textId="77777777" w:rsidR="00711444" w:rsidRPr="004D0DAA" w:rsidRDefault="00711444" w:rsidP="00711444">
      <w:pPr>
        <w:pStyle w:val="B2"/>
      </w:pPr>
      <w:r w:rsidRPr="004D0DAA">
        <w:t>-</w:t>
      </w:r>
      <w:r w:rsidRPr="004D0DAA">
        <w:tab/>
        <w:t>or in case EMSR is enabled for an RLC entity, to each PFC supported by that RLC entity on the uplink TBF;</w:t>
      </w:r>
    </w:p>
    <w:p w14:paraId="23D22A5C" w14:textId="77777777" w:rsidR="00711444" w:rsidRPr="004D0DAA" w:rsidRDefault="00711444" w:rsidP="00711444">
      <w:pPr>
        <w:pStyle w:val="B1"/>
      </w:pPr>
      <w:r w:rsidRPr="004D0DAA">
        <w:t xml:space="preserve"> -</w:t>
      </w:r>
      <w:r w:rsidRPr="004D0DAA">
        <w:tab/>
        <w:t xml:space="preserve">one or more PDCH-pairs to be used for the uplink transfer; </w:t>
      </w:r>
    </w:p>
    <w:p w14:paraId="50AFC497" w14:textId="77777777" w:rsidR="00711444" w:rsidRPr="004D0DAA" w:rsidRDefault="00711444" w:rsidP="00711444">
      <w:pPr>
        <w:pStyle w:val="B1"/>
      </w:pPr>
      <w:r w:rsidRPr="004D0DAA">
        <w:t>-</w:t>
      </w:r>
      <w:r w:rsidRPr="004D0DAA">
        <w:tab/>
        <w:t xml:space="preserve">the PFI associated with each allocated TBF if the network and the mobile station both support multiple TBF procedures, or in case EMST is used, the PFI associated with each RLC entity on the allocated TBF, or in case EMSR is enabled for one or more RLC entities of the allocated TBF, the PFI associated with each PFC supported by these RLC entities; </w:t>
      </w:r>
    </w:p>
    <w:p w14:paraId="0215C567" w14:textId="77777777" w:rsidR="00711444" w:rsidRPr="004D0DAA" w:rsidRDefault="00711444" w:rsidP="00711444">
      <w:pPr>
        <w:pStyle w:val="B1"/>
      </w:pPr>
      <w:r w:rsidRPr="004D0DAA">
        <w:t>-</w:t>
      </w:r>
      <w:r w:rsidRPr="004D0DAA">
        <w:tab/>
        <w:t>BTTI USF or RTTI USF mode to be used when receiving USFs.</w:t>
      </w:r>
    </w:p>
    <w:p w14:paraId="1842AD27" w14:textId="77777777" w:rsidR="00711444" w:rsidRPr="004D0DAA" w:rsidRDefault="00711444" w:rsidP="00711444">
      <w:pPr>
        <w:keepLines/>
      </w:pPr>
      <w:r w:rsidRPr="004D0DAA">
        <w:t xml:space="preserve">For each PDCH-pair forming part of an assignment for an uplink TBF operating in RTTI configuration, the network may additionally assign a corresponding downlink PDCH-pair which shall be monitored by the mobile station for the USF (see sub-clause 7.1.3.6). </w:t>
      </w:r>
    </w:p>
    <w:p w14:paraId="50F97581" w14:textId="77777777" w:rsidR="00711444" w:rsidRPr="004D0DAA" w:rsidRDefault="00711444" w:rsidP="00711444">
      <w:r w:rsidRPr="004D0DAA">
        <w:t>The network may, at any time during uplink packet transfer, change the TTI configuration or USF mode (BTTI USF mode or RTTI USF mode) as well as the corresponding downlink PDCH-pairs of an already established uplink TBF by sending on the downlink PACCH, an uplink TBF assignment message (e.g. PACKET UPLINK ASSIGNMENT, MULTIPLE TBF UPLINK ASSIGNMENT, PACKET TIMESLOT RECONFIGURE, MULTIPLE TBF TIMESLOT RECONFIGURE or PACKET CS RELEASE INDICATION). The mobile station shall begin using the new parameters within the reaction time defined in 3GPP TS 45.010.</w:t>
      </w:r>
    </w:p>
    <w:p w14:paraId="0D1DB985" w14:textId="77777777" w:rsidR="00711444" w:rsidRPr="004D0DAA" w:rsidRDefault="00711444" w:rsidP="00711444">
      <w:r w:rsidRPr="004D0DAA">
        <w:lastRenderedPageBreak/>
        <w:t>In a Downlink Dual Carrier configuration, one or more PDCHs are assigned to a single mobile station on each of two different radio frequency channels. In a DLMC configuration, one or more PDCHs are assigned to a single mobile station on one or more of the uplink radio frequency channels that correspond to the downlink radio frequency channels assigned for the DLMC configuration. A mobile station with a Downlink Dual Carrier configuration or a DLMC configuration shall not be allocated radio blocks on multiple radio frequency channels during any given radio block period.</w:t>
      </w:r>
    </w:p>
    <w:p w14:paraId="4862ED1F" w14:textId="77777777" w:rsidR="00711444" w:rsidRPr="004D0DAA" w:rsidRDefault="00711444" w:rsidP="00711444">
      <w:pPr>
        <w:keepLines/>
        <w:rPr>
          <w:lang w:val="en-US"/>
        </w:rPr>
      </w:pPr>
      <w:r w:rsidRPr="004D0DAA">
        <w:rPr>
          <w:lang w:val="en-US"/>
        </w:rPr>
        <w:t xml:space="preserve">All the RLC data blocks of an uplink TBF initiated by one phase access, or for a mobile station in EC operation using the access burst procedure, see sub-clause 7a.2.1.1, shall each contain a TLLI (in </w:t>
      </w:r>
      <w:r w:rsidRPr="004D0DAA">
        <w:rPr>
          <w:i/>
          <w:lang w:val="en-US"/>
        </w:rPr>
        <w:t>A/Gb mode</w:t>
      </w:r>
      <w:r w:rsidRPr="004D0DAA">
        <w:rPr>
          <w:lang w:val="en-US"/>
        </w:rPr>
        <w:t xml:space="preserve">) or a G-RNTI (in </w:t>
      </w:r>
      <w:r w:rsidRPr="004D0DAA">
        <w:rPr>
          <w:i/>
          <w:lang w:val="en-US"/>
        </w:rPr>
        <w:t>Iu mode</w:t>
      </w:r>
      <w:r w:rsidRPr="004D0DAA">
        <w:rPr>
          <w:lang w:val="en-US"/>
        </w:rPr>
        <w:t xml:space="preserve">) field in the RLC data block header until the contention resolution is completed on the mobile station side (see sub-clause 7.1.2.3, 7a.2.1.1. A mobile station in EC operation using the enhanced access burst procedure, see sub-clause 7a.2.1.2, shall only include the TLLI in the first RLC data block of the uplink TBF and the rTLLI in the RLC/MAC headers of the remaining RLC data blocks until the contention resolution is completed (see sub-clause </w:t>
      </w:r>
      <w:r w:rsidRPr="004D0DAA">
        <w:t>7a.2.1.2</w:t>
      </w:r>
      <w:r w:rsidRPr="004D0DAA">
        <w:rPr>
          <w:lang w:val="en-US"/>
        </w:rPr>
        <w:t xml:space="preserve">).After the reaction time specified in 3GPP TS 45.010 no other RLC data blocks shall contain a TLLI/rTLLI field (in </w:t>
      </w:r>
      <w:r w:rsidRPr="004D0DAA">
        <w:rPr>
          <w:i/>
          <w:lang w:val="en-US"/>
        </w:rPr>
        <w:t>A/Gb mode</w:t>
      </w:r>
      <w:r w:rsidRPr="004D0DAA">
        <w:rPr>
          <w:lang w:val="en-US"/>
        </w:rPr>
        <w:t xml:space="preserve">) or a G-RNTI (in </w:t>
      </w:r>
      <w:r w:rsidRPr="004D0DAA">
        <w:rPr>
          <w:i/>
          <w:lang w:val="en-US"/>
        </w:rPr>
        <w:t>Iu mode</w:t>
      </w:r>
      <w:r w:rsidRPr="004D0DAA">
        <w:rPr>
          <w:lang w:val="en-US"/>
        </w:rPr>
        <w:t xml:space="preserve">), except for </w:t>
      </w:r>
      <w:r w:rsidRPr="004D0DAA">
        <w:rPr>
          <w:snapToGrid w:val="0"/>
          <w:lang w:val="en-US" w:eastAsia="fr-FR"/>
        </w:rPr>
        <w:t xml:space="preserve">those retransmitted RLC data blocks that originally contained a TLLI/rTLLI (in </w:t>
      </w:r>
      <w:r w:rsidRPr="004D0DAA">
        <w:rPr>
          <w:i/>
          <w:snapToGrid w:val="0"/>
          <w:lang w:val="en-US" w:eastAsia="fr-FR"/>
        </w:rPr>
        <w:t>A/Gb mode</w:t>
      </w:r>
      <w:r w:rsidRPr="004D0DAA">
        <w:rPr>
          <w:snapToGrid w:val="0"/>
          <w:lang w:val="en-US" w:eastAsia="fr-FR"/>
        </w:rPr>
        <w:t xml:space="preserve">) or a G-RNTI (in </w:t>
      </w:r>
      <w:r w:rsidRPr="004D0DAA">
        <w:rPr>
          <w:i/>
          <w:snapToGrid w:val="0"/>
          <w:lang w:val="en-US" w:eastAsia="fr-FR"/>
        </w:rPr>
        <w:t>Iu mode</w:t>
      </w:r>
      <w:r w:rsidRPr="004D0DAA">
        <w:rPr>
          <w:snapToGrid w:val="0"/>
          <w:lang w:val="en-US" w:eastAsia="fr-FR"/>
        </w:rPr>
        <w:t>),</w:t>
      </w:r>
      <w:r w:rsidRPr="004D0DAA">
        <w:rPr>
          <w:lang w:val="en-US"/>
        </w:rPr>
        <w:t xml:space="preserve"> which will be repeated including the same TLLI/rTLLI (in </w:t>
      </w:r>
      <w:r w:rsidRPr="004D0DAA">
        <w:rPr>
          <w:i/>
          <w:lang w:val="en-US"/>
        </w:rPr>
        <w:t>A/Gb mode</w:t>
      </w:r>
      <w:r w:rsidRPr="004D0DAA">
        <w:rPr>
          <w:lang w:val="en-US"/>
        </w:rPr>
        <w:t xml:space="preserve">) or G-RNTI (in </w:t>
      </w:r>
      <w:r w:rsidRPr="004D0DAA">
        <w:rPr>
          <w:i/>
          <w:lang w:val="en-US"/>
        </w:rPr>
        <w:t>Iu mode</w:t>
      </w:r>
      <w:r w:rsidRPr="004D0DAA">
        <w:rPr>
          <w:lang w:val="en-US"/>
        </w:rPr>
        <w:t xml:space="preserve">) (see sub-clause 7.1.2.3a, 7a.2.1. The TLLI_BLOCK_CHANNEL_CODING parameter in the PACKET UPLINK ASSIGNMENT or in the MULTIPLE TBF UPLINK ASSIGNMENT message indicates whether a RLC data block containing a TLLI (in </w:t>
      </w:r>
      <w:r w:rsidRPr="004D0DAA">
        <w:rPr>
          <w:i/>
          <w:lang w:val="en-US"/>
        </w:rPr>
        <w:t>A/Gb mode</w:t>
      </w:r>
      <w:r w:rsidRPr="004D0DAA">
        <w:rPr>
          <w:lang w:val="en-US"/>
        </w:rPr>
        <w:t xml:space="preserve">) or a G-RNTI (in </w:t>
      </w:r>
      <w:r w:rsidRPr="004D0DAA">
        <w:rPr>
          <w:i/>
          <w:lang w:val="en-US"/>
        </w:rPr>
        <w:t>Iu mode</w:t>
      </w:r>
      <w:r w:rsidRPr="004D0DAA">
        <w:rPr>
          <w:lang w:val="en-US"/>
        </w:rPr>
        <w:t>) field in the RLC data block header shall be encoded using CS</w:t>
      </w:r>
      <w:r w:rsidRPr="004D0DAA">
        <w:rPr>
          <w:lang w:val="en-US"/>
        </w:rPr>
        <w:noBreakHyphen/>
        <w:t>1</w:t>
      </w:r>
      <w:r w:rsidRPr="004D0DAA">
        <w:rPr>
          <w:lang w:val="en-US" w:eastAsia="ko-KR"/>
        </w:rPr>
        <w:t xml:space="preserve"> in GPRS TBF mode</w:t>
      </w:r>
      <w:r w:rsidRPr="004D0DAA">
        <w:rPr>
          <w:lang w:val="en-US"/>
        </w:rPr>
        <w:t>, or MCS-1 in EGPRS TBF mode, or using the commanded modulation and channel coding scheme (see 3GPP TS 45.003). In GPRS TBF mode, the mobile station shall send all other RLC data blocks using the commanded channel coding scheme.</w:t>
      </w:r>
    </w:p>
    <w:p w14:paraId="162F94E2" w14:textId="77777777" w:rsidR="00711444" w:rsidRPr="004D0DAA" w:rsidRDefault="00711444" w:rsidP="00711444">
      <w:pPr>
        <w:rPr>
          <w:snapToGrid w:val="0"/>
          <w:lang w:val="en-US"/>
        </w:rPr>
      </w:pPr>
      <w:r w:rsidRPr="004D0DAA">
        <w:rPr>
          <w:lang w:val="en-US"/>
        </w:rPr>
        <w:t>In EGPRS TBF mode, RLC data blocks that are transmitted for the first time shall be transmitted with the commanded MCS, except if the commanded mode is MCS-5-7, in which case the data block shall be transmitted with MCS</w:t>
      </w:r>
      <w:r w:rsidRPr="004D0DAA">
        <w:rPr>
          <w:lang w:val="en-US"/>
        </w:rPr>
        <w:noBreakHyphen/>
        <w:t>5, or if the commanded mode is MCS-6-9, in which case the data block shall be transmitted with MCS-6. In EC TBF mode, the first RLC data block shall be transmitted with the commanded MCS, except if the commanded mode is MCS-5-7, in which case the first RLC data block shall be transmitted with MCS</w:t>
      </w:r>
      <w:r w:rsidRPr="004D0DAA">
        <w:rPr>
          <w:lang w:val="en-US"/>
        </w:rPr>
        <w:noBreakHyphen/>
        <w:t xml:space="preserve">5, or if the commanded mode is MCS-6-9, in which case the first RLC data block shall be transmitted with MCS-6. In the case of a Downlink Dual Carrier configuration or a DLMC configuration the commanded MCS shall apply to all of the uplink carriers for which PDCH resources have been assigned. </w:t>
      </w:r>
      <w:r w:rsidRPr="004D0DAA">
        <w:rPr>
          <w:snapToGrid w:val="0"/>
          <w:lang w:val="en-US"/>
        </w:rPr>
        <w:t>In EGPRS TBF mode, a MS may choose an alternate MCS than the one commanded, for the initial transmission of the last RLC data blocks of the TBF under the following conditions:</w:t>
      </w:r>
    </w:p>
    <w:p w14:paraId="3A6F54AE" w14:textId="77777777" w:rsidR="00711444" w:rsidRPr="004D0DAA" w:rsidRDefault="00711444" w:rsidP="00711444">
      <w:pPr>
        <w:pStyle w:val="B1"/>
        <w:rPr>
          <w:snapToGrid w:val="0"/>
        </w:rPr>
      </w:pPr>
      <w:r w:rsidRPr="004D0DAA">
        <w:rPr>
          <w:snapToGrid w:val="0"/>
        </w:rPr>
        <w:t>-</w:t>
      </w:r>
      <w:r w:rsidRPr="004D0DAA">
        <w:rPr>
          <w:snapToGrid w:val="0"/>
        </w:rPr>
        <w:tab/>
        <w:t>the alternate MCS is more robust than the commanded MCS;</w:t>
      </w:r>
    </w:p>
    <w:p w14:paraId="5C1061FD" w14:textId="77777777" w:rsidR="00711444" w:rsidRPr="004D0DAA" w:rsidRDefault="00711444" w:rsidP="00711444">
      <w:pPr>
        <w:pStyle w:val="B1"/>
        <w:rPr>
          <w:snapToGrid w:val="0"/>
        </w:rPr>
      </w:pPr>
      <w:r w:rsidRPr="004D0DAA">
        <w:rPr>
          <w:snapToGrid w:val="0"/>
        </w:rPr>
        <w:t>-</w:t>
      </w:r>
      <w:r w:rsidRPr="004D0DAA">
        <w:rPr>
          <w:snapToGrid w:val="0"/>
        </w:rPr>
        <w:tab/>
        <w:t>the alternate MCS has already been commanded by the network during the TBF or was available for selection by the MS during the TBF according to the MCS selection rules for retransmissions; and</w:t>
      </w:r>
    </w:p>
    <w:p w14:paraId="7B8C0B63" w14:textId="77777777" w:rsidR="00711444" w:rsidRPr="004D0DAA" w:rsidRDefault="00711444" w:rsidP="00711444">
      <w:pPr>
        <w:pStyle w:val="B1"/>
        <w:rPr>
          <w:snapToGrid w:val="0"/>
        </w:rPr>
      </w:pPr>
      <w:r w:rsidRPr="004D0DAA">
        <w:rPr>
          <w:snapToGrid w:val="0"/>
        </w:rPr>
        <w:t>-</w:t>
      </w:r>
      <w:r w:rsidRPr="004D0DAA">
        <w:rPr>
          <w:snapToGrid w:val="0"/>
        </w:rPr>
        <w:tab/>
        <w:t>the TBF requires no more radio blocks for initial transmission of the RLC data blocks using the alternate MCS than would be required when using the commanded MCS.</w:t>
      </w:r>
    </w:p>
    <w:p w14:paraId="469DC50F" w14:textId="77777777" w:rsidR="00711444" w:rsidRPr="004D0DAA" w:rsidRDefault="00711444" w:rsidP="00711444">
      <w:pPr>
        <w:rPr>
          <w:rFonts w:hint="eastAsia"/>
          <w:lang w:eastAsia="ko-KR"/>
        </w:rPr>
      </w:pPr>
      <w:r w:rsidRPr="004D0DAA">
        <w:rPr>
          <w:rFonts w:hint="eastAsia"/>
          <w:lang w:eastAsia="ko-KR"/>
        </w:rPr>
        <w:t xml:space="preserve">For a TBF </w:t>
      </w:r>
      <w:r w:rsidRPr="004D0DAA">
        <w:rPr>
          <w:lang w:eastAsia="ko-KR"/>
        </w:rPr>
        <w:t>with</w:t>
      </w:r>
      <w:r w:rsidRPr="004D0DAA">
        <w:rPr>
          <w:rFonts w:hint="eastAsia"/>
          <w:lang w:eastAsia="ko-KR"/>
        </w:rPr>
        <w:t xml:space="preserve"> FANR</w:t>
      </w:r>
      <w:r w:rsidRPr="004D0DAA">
        <w:rPr>
          <w:lang w:eastAsia="ko-KR"/>
        </w:rPr>
        <w:t xml:space="preserve"> activated</w:t>
      </w:r>
      <w:r w:rsidRPr="004D0DAA">
        <w:t xml:space="preserve">, if the commanded MCS is MCS-9 (respectively MCS-4), the initial transmission of the RLC data block(s) shall be done with MCS-8 (respectively MCS-3) if a PAN field is included in the radio block. </w:t>
      </w:r>
    </w:p>
    <w:p w14:paraId="2D9DA019" w14:textId="77777777" w:rsidR="00711444" w:rsidRPr="004D0DAA" w:rsidRDefault="00711444" w:rsidP="00711444">
      <w:r w:rsidRPr="004D0DAA">
        <w:t>When EMST is used, the commanded MCS shall apply to the RLC entity on the TBF identified by the TFI included in the header of the RLC/MAC block.</w:t>
      </w:r>
    </w:p>
    <w:p w14:paraId="1313BC25" w14:textId="77777777" w:rsidR="00711444" w:rsidRPr="004D0DAA" w:rsidRDefault="00711444" w:rsidP="00711444">
      <w:pPr>
        <w:rPr>
          <w:lang w:val="en-US"/>
        </w:rPr>
      </w:pPr>
      <w:r w:rsidRPr="004D0DAA">
        <w:rPr>
          <w:lang w:val="en-US"/>
        </w:rPr>
        <w:t>A RESEGMENT bit is included within each PACKET UPLINK ACK/NACK, PACKET UPLINK ASSIGNMENT, MULTIPLE TBF UPLINK ASSIGNMENT, PACKET TIMESLOT RECONFIGURE, MULTIPLE TBF TIMESLOT RECONFIGURE or PACKET CS RELEASE INDICATION message. In EC TBF mode a RESEGMENT bit is included in the EC PACKET UPLINK ACK/NACK or the EC PACKET UPLINK ACK/NACK</w:t>
      </w:r>
      <w:r w:rsidRPr="004D0DAA">
        <w:rPr>
          <w:caps/>
        </w:rPr>
        <w:t xml:space="preserve"> AND CONTENTION RESOLUTION</w:t>
      </w:r>
      <w:r w:rsidRPr="004D0DAA">
        <w:rPr>
          <w:lang w:val="en-US"/>
        </w:rPr>
        <w:t xml:space="preserve"> message if it includes a Fixed Uplink Allocation. For initial transmissions of new RLC blocks the channel coding commanded is applied. The RESEGMENT bit is used to set the ARQ mode to type I or type II (incremental redundancy) for uplink TBFs when retransmissions are needed. For retransmissions, setting the RESEGMENT bit to '1' (type I ARQ) requires the mobile station to use an MCS within the same family as the initial transmission and the payload may be split (refer to table 8.1.1.1). For retransmissions, setting the RESEGMENT bit to '0' (type II ARQ) requires the mobile station to use an MCS within the same family as the initial transmission without splitting the payload even if the network has commanded it to use MCS</w:t>
      </w:r>
      <w:r w:rsidRPr="004D0DAA">
        <w:rPr>
          <w:lang w:val="en-US"/>
        </w:rPr>
        <w:noBreakHyphen/>
        <w:t>1, MCS</w:t>
      </w:r>
      <w:r w:rsidRPr="004D0DAA">
        <w:rPr>
          <w:lang w:val="en-US"/>
        </w:rPr>
        <w:noBreakHyphen/>
        <w:t>2 or MCS</w:t>
      </w:r>
      <w:r w:rsidRPr="004D0DAA">
        <w:rPr>
          <w:lang w:val="en-US"/>
        </w:rPr>
        <w:noBreakHyphen/>
        <w:t>3 for subsequent RLC blocks (refer to table 8.1.1.2), see note. In RLC unacknowledged mode, RESEGMENT bit shall be ignored and default value 0 should be used.</w:t>
      </w:r>
    </w:p>
    <w:p w14:paraId="7725A1D8" w14:textId="77777777" w:rsidR="00711444" w:rsidRPr="004D0DAA" w:rsidRDefault="00711444" w:rsidP="00711444">
      <w:pPr>
        <w:pStyle w:val="NO"/>
      </w:pPr>
      <w:r w:rsidRPr="004D0DAA">
        <w:t>NOTE:</w:t>
      </w:r>
      <w:r w:rsidRPr="004D0DAA">
        <w:tab/>
        <w:t>This bit is particularly useful for networks with uplink IR capability since it allows combining on retransmissions.</w:t>
      </w:r>
    </w:p>
    <w:p w14:paraId="79BEC377" w14:textId="77777777" w:rsidR="00711444" w:rsidRPr="004D0DAA" w:rsidRDefault="00711444" w:rsidP="00711444">
      <w:pPr>
        <w:pStyle w:val="TH"/>
      </w:pPr>
      <w:r w:rsidRPr="004D0DAA">
        <w:lastRenderedPageBreak/>
        <w:t xml:space="preserve">Table 8.1.1.1: Choice of MCS for retransmissions with re-segmentation </w:t>
      </w:r>
      <w:r w:rsidRPr="004D0DAA">
        <w:rPr>
          <w:lang w:val="en-US"/>
        </w:rPr>
        <w:t>(EGPRS/EC-GSM-IoT)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7"/>
        <w:gridCol w:w="794"/>
        <w:gridCol w:w="794"/>
        <w:gridCol w:w="794"/>
        <w:gridCol w:w="794"/>
        <w:gridCol w:w="794"/>
        <w:gridCol w:w="794"/>
        <w:gridCol w:w="794"/>
        <w:gridCol w:w="794"/>
        <w:gridCol w:w="794"/>
        <w:gridCol w:w="794"/>
        <w:gridCol w:w="794"/>
      </w:tblGrid>
      <w:tr w:rsidR="00711444" w:rsidRPr="004D0DAA" w14:paraId="48039456" w14:textId="77777777" w:rsidTr="00AA2A4C">
        <w:tblPrEx>
          <w:tblCellMar>
            <w:top w:w="0" w:type="dxa"/>
            <w:bottom w:w="0" w:type="dxa"/>
          </w:tblCellMar>
        </w:tblPrEx>
        <w:trPr>
          <w:cantSplit/>
          <w:trHeight w:val="575"/>
        </w:trPr>
        <w:tc>
          <w:tcPr>
            <w:tcW w:w="907" w:type="dxa"/>
          </w:tcPr>
          <w:p w14:paraId="265DB0EE" w14:textId="77777777" w:rsidR="00711444" w:rsidRPr="004D0DAA" w:rsidRDefault="00711444" w:rsidP="00AA2A4C">
            <w:pPr>
              <w:pStyle w:val="TAC"/>
              <w:rPr>
                <w:lang w:eastAsia="en-US"/>
              </w:rPr>
            </w:pPr>
            <w:r w:rsidRPr="004D0DAA">
              <w:rPr>
                <w:b/>
                <w:lang w:eastAsia="en-US"/>
              </w:rPr>
              <w:t>Scheme used for initial transmission</w:t>
            </w:r>
          </w:p>
        </w:tc>
        <w:tc>
          <w:tcPr>
            <w:tcW w:w="8734" w:type="dxa"/>
            <w:gridSpan w:val="11"/>
          </w:tcPr>
          <w:p w14:paraId="7359684F" w14:textId="77777777" w:rsidR="00711444" w:rsidRPr="004D0DAA" w:rsidRDefault="00711444" w:rsidP="00AA2A4C">
            <w:pPr>
              <w:pStyle w:val="TAC"/>
              <w:rPr>
                <w:lang w:eastAsia="en-US"/>
              </w:rPr>
            </w:pPr>
            <w:r w:rsidRPr="004D0DAA">
              <w:rPr>
                <w:b/>
                <w:lang w:eastAsia="en-US"/>
              </w:rPr>
              <w:t>Scheme to use for retransmissions after switching to a different MCS</w:t>
            </w:r>
          </w:p>
        </w:tc>
      </w:tr>
      <w:tr w:rsidR="00711444" w:rsidRPr="004D0DAA" w14:paraId="2AED36BE" w14:textId="77777777" w:rsidTr="00AA2A4C">
        <w:tblPrEx>
          <w:tblCellMar>
            <w:top w:w="0" w:type="dxa"/>
            <w:bottom w:w="0" w:type="dxa"/>
          </w:tblCellMar>
        </w:tblPrEx>
        <w:trPr>
          <w:cantSplit/>
          <w:trHeight w:val="575"/>
        </w:trPr>
        <w:tc>
          <w:tcPr>
            <w:tcW w:w="907" w:type="dxa"/>
          </w:tcPr>
          <w:p w14:paraId="4C5E87F9" w14:textId="77777777" w:rsidR="00711444" w:rsidRPr="004D0DAA" w:rsidRDefault="00711444" w:rsidP="00AA2A4C"/>
        </w:tc>
        <w:tc>
          <w:tcPr>
            <w:tcW w:w="794" w:type="dxa"/>
          </w:tcPr>
          <w:p w14:paraId="61934867" w14:textId="77777777" w:rsidR="00711444" w:rsidRPr="004D0DAA" w:rsidRDefault="00711444" w:rsidP="00AA2A4C">
            <w:pPr>
              <w:pStyle w:val="TAC"/>
              <w:rPr>
                <w:lang w:eastAsia="en-US"/>
              </w:rPr>
            </w:pPr>
            <w:r w:rsidRPr="004D0DAA">
              <w:rPr>
                <w:b/>
                <w:lang w:eastAsia="en-US"/>
              </w:rPr>
              <w:t>MCS-9 Commanded</w:t>
            </w:r>
          </w:p>
        </w:tc>
        <w:tc>
          <w:tcPr>
            <w:tcW w:w="794" w:type="dxa"/>
          </w:tcPr>
          <w:p w14:paraId="6A4D754D" w14:textId="77777777" w:rsidR="00711444" w:rsidRPr="004D0DAA" w:rsidRDefault="00711444" w:rsidP="00AA2A4C">
            <w:pPr>
              <w:pStyle w:val="TAC"/>
              <w:rPr>
                <w:lang w:eastAsia="en-US"/>
              </w:rPr>
            </w:pPr>
            <w:r w:rsidRPr="004D0DAA">
              <w:rPr>
                <w:b/>
                <w:lang w:eastAsia="en-US"/>
              </w:rPr>
              <w:t>MCS-8 Commanded</w:t>
            </w:r>
          </w:p>
        </w:tc>
        <w:tc>
          <w:tcPr>
            <w:tcW w:w="794" w:type="dxa"/>
          </w:tcPr>
          <w:p w14:paraId="3899FBAA" w14:textId="77777777" w:rsidR="00711444" w:rsidRPr="004D0DAA" w:rsidRDefault="00711444" w:rsidP="00AA2A4C">
            <w:pPr>
              <w:pStyle w:val="TAC"/>
              <w:rPr>
                <w:lang w:eastAsia="en-US"/>
              </w:rPr>
            </w:pPr>
            <w:r w:rsidRPr="004D0DAA">
              <w:rPr>
                <w:b/>
                <w:lang w:eastAsia="en-US"/>
              </w:rPr>
              <w:t>MCS-7 Commanded</w:t>
            </w:r>
          </w:p>
        </w:tc>
        <w:tc>
          <w:tcPr>
            <w:tcW w:w="794" w:type="dxa"/>
          </w:tcPr>
          <w:p w14:paraId="065889CB" w14:textId="77777777" w:rsidR="00711444" w:rsidRPr="004D0DAA" w:rsidRDefault="00711444" w:rsidP="00AA2A4C">
            <w:pPr>
              <w:pStyle w:val="TAC"/>
              <w:rPr>
                <w:lang w:eastAsia="en-US"/>
              </w:rPr>
            </w:pPr>
            <w:r w:rsidRPr="004D0DAA">
              <w:rPr>
                <w:b/>
                <w:lang w:eastAsia="en-US"/>
              </w:rPr>
              <w:t>MCS-6-9 Commanded</w:t>
            </w:r>
          </w:p>
        </w:tc>
        <w:tc>
          <w:tcPr>
            <w:tcW w:w="794" w:type="dxa"/>
          </w:tcPr>
          <w:p w14:paraId="0DAAECD8" w14:textId="77777777" w:rsidR="00711444" w:rsidRPr="004D0DAA" w:rsidRDefault="00711444" w:rsidP="00AA2A4C">
            <w:pPr>
              <w:pStyle w:val="TAC"/>
              <w:rPr>
                <w:lang w:eastAsia="en-US"/>
              </w:rPr>
            </w:pPr>
            <w:r w:rsidRPr="004D0DAA">
              <w:rPr>
                <w:b/>
                <w:lang w:eastAsia="en-US"/>
              </w:rPr>
              <w:t>MCS-6 Commanded</w:t>
            </w:r>
          </w:p>
        </w:tc>
        <w:tc>
          <w:tcPr>
            <w:tcW w:w="794" w:type="dxa"/>
          </w:tcPr>
          <w:p w14:paraId="714CC181" w14:textId="77777777" w:rsidR="00711444" w:rsidRPr="004D0DAA" w:rsidRDefault="00711444" w:rsidP="00AA2A4C">
            <w:pPr>
              <w:pStyle w:val="TAC"/>
              <w:rPr>
                <w:lang w:eastAsia="en-US"/>
              </w:rPr>
            </w:pPr>
            <w:r w:rsidRPr="004D0DAA">
              <w:rPr>
                <w:b/>
                <w:lang w:eastAsia="en-US"/>
              </w:rPr>
              <w:t>MCS-5-7 Commanded</w:t>
            </w:r>
          </w:p>
        </w:tc>
        <w:tc>
          <w:tcPr>
            <w:tcW w:w="794" w:type="dxa"/>
          </w:tcPr>
          <w:p w14:paraId="28A8640E" w14:textId="77777777" w:rsidR="00711444" w:rsidRPr="004D0DAA" w:rsidRDefault="00711444" w:rsidP="00AA2A4C">
            <w:pPr>
              <w:pStyle w:val="TAC"/>
              <w:rPr>
                <w:lang w:eastAsia="en-US"/>
              </w:rPr>
            </w:pPr>
            <w:r w:rsidRPr="004D0DAA">
              <w:rPr>
                <w:b/>
                <w:lang w:eastAsia="en-US"/>
              </w:rPr>
              <w:t>MCS-5 Commanded</w:t>
            </w:r>
          </w:p>
        </w:tc>
        <w:tc>
          <w:tcPr>
            <w:tcW w:w="794" w:type="dxa"/>
          </w:tcPr>
          <w:p w14:paraId="5F134008" w14:textId="77777777" w:rsidR="00711444" w:rsidRPr="004D0DAA" w:rsidRDefault="00711444" w:rsidP="00AA2A4C">
            <w:pPr>
              <w:pStyle w:val="TAC"/>
              <w:rPr>
                <w:lang w:eastAsia="en-US"/>
              </w:rPr>
            </w:pPr>
            <w:r w:rsidRPr="004D0DAA">
              <w:rPr>
                <w:b/>
                <w:lang w:eastAsia="en-US"/>
              </w:rPr>
              <w:t>MCS-4 Commanded</w:t>
            </w:r>
          </w:p>
        </w:tc>
        <w:tc>
          <w:tcPr>
            <w:tcW w:w="794" w:type="dxa"/>
          </w:tcPr>
          <w:p w14:paraId="008C4FAC" w14:textId="77777777" w:rsidR="00711444" w:rsidRPr="004D0DAA" w:rsidRDefault="00711444" w:rsidP="00AA2A4C">
            <w:pPr>
              <w:pStyle w:val="TAC"/>
              <w:rPr>
                <w:lang w:eastAsia="en-US"/>
              </w:rPr>
            </w:pPr>
            <w:r w:rsidRPr="004D0DAA">
              <w:rPr>
                <w:b/>
                <w:lang w:eastAsia="en-US"/>
              </w:rPr>
              <w:t>MCS-3 Commanded</w:t>
            </w:r>
          </w:p>
        </w:tc>
        <w:tc>
          <w:tcPr>
            <w:tcW w:w="794" w:type="dxa"/>
          </w:tcPr>
          <w:p w14:paraId="21D92804" w14:textId="77777777" w:rsidR="00711444" w:rsidRPr="004D0DAA" w:rsidRDefault="00711444" w:rsidP="00AA2A4C">
            <w:pPr>
              <w:pStyle w:val="TAC"/>
              <w:rPr>
                <w:lang w:eastAsia="en-US"/>
              </w:rPr>
            </w:pPr>
            <w:r w:rsidRPr="004D0DAA">
              <w:rPr>
                <w:b/>
                <w:lang w:eastAsia="en-US"/>
              </w:rPr>
              <w:t>MCS-2 Commanded</w:t>
            </w:r>
          </w:p>
        </w:tc>
        <w:tc>
          <w:tcPr>
            <w:tcW w:w="794" w:type="dxa"/>
          </w:tcPr>
          <w:p w14:paraId="22E0F394" w14:textId="77777777" w:rsidR="00711444" w:rsidRPr="004D0DAA" w:rsidRDefault="00711444" w:rsidP="00AA2A4C">
            <w:pPr>
              <w:pStyle w:val="TAC"/>
              <w:rPr>
                <w:lang w:eastAsia="en-US"/>
              </w:rPr>
            </w:pPr>
            <w:r w:rsidRPr="004D0DAA">
              <w:rPr>
                <w:b/>
                <w:lang w:eastAsia="en-US"/>
              </w:rPr>
              <w:t>MCS-1 Commanded</w:t>
            </w:r>
          </w:p>
        </w:tc>
      </w:tr>
      <w:tr w:rsidR="00711444" w:rsidRPr="004D0DAA" w14:paraId="4F320677" w14:textId="77777777" w:rsidTr="00AA2A4C">
        <w:tblPrEx>
          <w:tblCellMar>
            <w:top w:w="0" w:type="dxa"/>
            <w:bottom w:w="0" w:type="dxa"/>
          </w:tblCellMar>
        </w:tblPrEx>
        <w:tc>
          <w:tcPr>
            <w:tcW w:w="907" w:type="dxa"/>
          </w:tcPr>
          <w:p w14:paraId="6959DB2B" w14:textId="77777777" w:rsidR="00711444" w:rsidRPr="004D0DAA" w:rsidRDefault="00711444" w:rsidP="00AA2A4C">
            <w:pPr>
              <w:pStyle w:val="TAC"/>
              <w:rPr>
                <w:lang w:eastAsia="en-US"/>
              </w:rPr>
            </w:pPr>
            <w:r w:rsidRPr="004D0DAA">
              <w:rPr>
                <w:lang w:eastAsia="en-US"/>
              </w:rPr>
              <w:t>MCS-9</w:t>
            </w:r>
          </w:p>
        </w:tc>
        <w:tc>
          <w:tcPr>
            <w:tcW w:w="794" w:type="dxa"/>
          </w:tcPr>
          <w:p w14:paraId="3739F566" w14:textId="77777777" w:rsidR="00711444" w:rsidRPr="004D0DAA" w:rsidRDefault="00711444" w:rsidP="00AA2A4C">
            <w:pPr>
              <w:pStyle w:val="TAC"/>
              <w:rPr>
                <w:lang w:eastAsia="en-US"/>
              </w:rPr>
            </w:pPr>
            <w:r w:rsidRPr="004D0DAA">
              <w:rPr>
                <w:lang w:eastAsia="en-US"/>
              </w:rPr>
              <w:t>MCS-9</w:t>
            </w:r>
          </w:p>
        </w:tc>
        <w:tc>
          <w:tcPr>
            <w:tcW w:w="794" w:type="dxa"/>
          </w:tcPr>
          <w:p w14:paraId="45881415" w14:textId="77777777" w:rsidR="00711444" w:rsidRPr="004D0DAA" w:rsidRDefault="00711444" w:rsidP="00AA2A4C">
            <w:pPr>
              <w:pStyle w:val="TAC"/>
              <w:rPr>
                <w:lang w:eastAsia="en-US"/>
              </w:rPr>
            </w:pPr>
            <w:r w:rsidRPr="004D0DAA">
              <w:rPr>
                <w:lang w:eastAsia="en-US"/>
              </w:rPr>
              <w:t>MCS-6</w:t>
            </w:r>
          </w:p>
        </w:tc>
        <w:tc>
          <w:tcPr>
            <w:tcW w:w="794" w:type="dxa"/>
          </w:tcPr>
          <w:p w14:paraId="10775527" w14:textId="77777777" w:rsidR="00711444" w:rsidRPr="004D0DAA" w:rsidRDefault="00711444" w:rsidP="00AA2A4C">
            <w:pPr>
              <w:pStyle w:val="TAC"/>
              <w:rPr>
                <w:lang w:eastAsia="en-US"/>
              </w:rPr>
            </w:pPr>
            <w:r w:rsidRPr="004D0DAA">
              <w:rPr>
                <w:lang w:eastAsia="en-US"/>
              </w:rPr>
              <w:t>MCS-6</w:t>
            </w:r>
          </w:p>
        </w:tc>
        <w:tc>
          <w:tcPr>
            <w:tcW w:w="794" w:type="dxa"/>
          </w:tcPr>
          <w:p w14:paraId="4D0A85BF" w14:textId="77777777" w:rsidR="00711444" w:rsidRPr="004D0DAA" w:rsidRDefault="00711444" w:rsidP="00AA2A4C">
            <w:pPr>
              <w:pStyle w:val="TAC"/>
              <w:rPr>
                <w:lang w:eastAsia="en-US"/>
              </w:rPr>
            </w:pPr>
            <w:r w:rsidRPr="004D0DAA">
              <w:rPr>
                <w:lang w:eastAsia="en-US"/>
              </w:rPr>
              <w:t>MCS-6</w:t>
            </w:r>
          </w:p>
        </w:tc>
        <w:tc>
          <w:tcPr>
            <w:tcW w:w="794" w:type="dxa"/>
          </w:tcPr>
          <w:p w14:paraId="27B9BC4A" w14:textId="77777777" w:rsidR="00711444" w:rsidRPr="004D0DAA" w:rsidRDefault="00711444" w:rsidP="00AA2A4C">
            <w:pPr>
              <w:pStyle w:val="TAC"/>
              <w:rPr>
                <w:lang w:eastAsia="en-US"/>
              </w:rPr>
            </w:pPr>
            <w:r w:rsidRPr="004D0DAA">
              <w:rPr>
                <w:lang w:eastAsia="en-US"/>
              </w:rPr>
              <w:t>MCS-6</w:t>
            </w:r>
          </w:p>
        </w:tc>
        <w:tc>
          <w:tcPr>
            <w:tcW w:w="794" w:type="dxa"/>
          </w:tcPr>
          <w:p w14:paraId="1B793CCD" w14:textId="77777777" w:rsidR="00711444" w:rsidRPr="004D0DAA" w:rsidRDefault="00711444" w:rsidP="00AA2A4C">
            <w:pPr>
              <w:pStyle w:val="TAC"/>
              <w:rPr>
                <w:lang w:eastAsia="en-US"/>
              </w:rPr>
            </w:pPr>
            <w:r w:rsidRPr="004D0DAA">
              <w:rPr>
                <w:lang w:eastAsia="en-US"/>
              </w:rPr>
              <w:t>MCS-3</w:t>
            </w:r>
          </w:p>
        </w:tc>
        <w:tc>
          <w:tcPr>
            <w:tcW w:w="794" w:type="dxa"/>
          </w:tcPr>
          <w:p w14:paraId="151E36C1" w14:textId="77777777" w:rsidR="00711444" w:rsidRPr="004D0DAA" w:rsidRDefault="00711444" w:rsidP="00AA2A4C">
            <w:pPr>
              <w:pStyle w:val="TAC"/>
              <w:rPr>
                <w:lang w:eastAsia="en-US"/>
              </w:rPr>
            </w:pPr>
            <w:r w:rsidRPr="004D0DAA">
              <w:rPr>
                <w:lang w:eastAsia="en-US"/>
              </w:rPr>
              <w:t>MCS-3</w:t>
            </w:r>
          </w:p>
        </w:tc>
        <w:tc>
          <w:tcPr>
            <w:tcW w:w="794" w:type="dxa"/>
          </w:tcPr>
          <w:p w14:paraId="43273905" w14:textId="77777777" w:rsidR="00711444" w:rsidRPr="004D0DAA" w:rsidRDefault="00711444" w:rsidP="00AA2A4C">
            <w:pPr>
              <w:pStyle w:val="TAC"/>
              <w:rPr>
                <w:lang w:eastAsia="en-US"/>
              </w:rPr>
            </w:pPr>
            <w:r w:rsidRPr="004D0DAA">
              <w:rPr>
                <w:lang w:eastAsia="en-US"/>
              </w:rPr>
              <w:t>MCS-3</w:t>
            </w:r>
          </w:p>
        </w:tc>
        <w:tc>
          <w:tcPr>
            <w:tcW w:w="794" w:type="dxa"/>
          </w:tcPr>
          <w:p w14:paraId="52C3436A" w14:textId="77777777" w:rsidR="00711444" w:rsidRPr="004D0DAA" w:rsidRDefault="00711444" w:rsidP="00AA2A4C">
            <w:pPr>
              <w:pStyle w:val="TAC"/>
              <w:rPr>
                <w:lang w:eastAsia="en-US"/>
              </w:rPr>
            </w:pPr>
            <w:r w:rsidRPr="004D0DAA">
              <w:rPr>
                <w:lang w:eastAsia="en-US"/>
              </w:rPr>
              <w:t>MCS-3</w:t>
            </w:r>
          </w:p>
        </w:tc>
        <w:tc>
          <w:tcPr>
            <w:tcW w:w="794" w:type="dxa"/>
          </w:tcPr>
          <w:p w14:paraId="27FE281B" w14:textId="77777777" w:rsidR="00711444" w:rsidRPr="004D0DAA" w:rsidRDefault="00711444" w:rsidP="00AA2A4C">
            <w:pPr>
              <w:pStyle w:val="TAC"/>
              <w:rPr>
                <w:lang w:eastAsia="en-US"/>
              </w:rPr>
            </w:pPr>
            <w:r w:rsidRPr="004D0DAA">
              <w:rPr>
                <w:lang w:eastAsia="en-US"/>
              </w:rPr>
              <w:t>MCS-3</w:t>
            </w:r>
          </w:p>
        </w:tc>
        <w:tc>
          <w:tcPr>
            <w:tcW w:w="794" w:type="dxa"/>
          </w:tcPr>
          <w:p w14:paraId="5C554B2E" w14:textId="77777777" w:rsidR="00711444" w:rsidRPr="004D0DAA" w:rsidRDefault="00711444" w:rsidP="00AA2A4C">
            <w:pPr>
              <w:pStyle w:val="TAC"/>
              <w:rPr>
                <w:lang w:eastAsia="en-US"/>
              </w:rPr>
            </w:pPr>
            <w:r w:rsidRPr="004D0DAA">
              <w:rPr>
                <w:lang w:eastAsia="en-US"/>
              </w:rPr>
              <w:t>MCS-3</w:t>
            </w:r>
          </w:p>
        </w:tc>
      </w:tr>
      <w:tr w:rsidR="00711444" w:rsidRPr="004D0DAA" w14:paraId="3210C5E2" w14:textId="77777777" w:rsidTr="00AA2A4C">
        <w:tblPrEx>
          <w:tblCellMar>
            <w:top w:w="0" w:type="dxa"/>
            <w:bottom w:w="0" w:type="dxa"/>
          </w:tblCellMar>
        </w:tblPrEx>
        <w:tc>
          <w:tcPr>
            <w:tcW w:w="907" w:type="dxa"/>
          </w:tcPr>
          <w:p w14:paraId="4D2EEC81" w14:textId="77777777" w:rsidR="00711444" w:rsidRPr="004D0DAA" w:rsidRDefault="00711444" w:rsidP="00AA2A4C">
            <w:pPr>
              <w:pStyle w:val="TAC"/>
              <w:rPr>
                <w:lang w:eastAsia="en-US"/>
              </w:rPr>
            </w:pPr>
            <w:r w:rsidRPr="004D0DAA">
              <w:rPr>
                <w:lang w:eastAsia="en-US"/>
              </w:rPr>
              <w:t>MCS-8</w:t>
            </w:r>
          </w:p>
        </w:tc>
        <w:tc>
          <w:tcPr>
            <w:tcW w:w="794" w:type="dxa"/>
          </w:tcPr>
          <w:p w14:paraId="1C33F293" w14:textId="77777777" w:rsidR="00711444" w:rsidRPr="004D0DAA" w:rsidRDefault="00711444" w:rsidP="00AA2A4C">
            <w:pPr>
              <w:pStyle w:val="TAC"/>
              <w:rPr>
                <w:lang w:eastAsia="en-US"/>
              </w:rPr>
            </w:pPr>
            <w:r w:rsidRPr="004D0DAA">
              <w:rPr>
                <w:lang w:eastAsia="en-US"/>
              </w:rPr>
              <w:t>MCS-8</w:t>
            </w:r>
          </w:p>
        </w:tc>
        <w:tc>
          <w:tcPr>
            <w:tcW w:w="794" w:type="dxa"/>
          </w:tcPr>
          <w:p w14:paraId="0FED9F7D" w14:textId="77777777" w:rsidR="00711444" w:rsidRPr="004D0DAA" w:rsidRDefault="00711444" w:rsidP="00AA2A4C">
            <w:pPr>
              <w:pStyle w:val="TAC"/>
              <w:rPr>
                <w:lang w:eastAsia="en-US"/>
              </w:rPr>
            </w:pPr>
            <w:r w:rsidRPr="004D0DAA">
              <w:rPr>
                <w:lang w:eastAsia="en-US"/>
              </w:rPr>
              <w:t>MCS-8</w:t>
            </w:r>
          </w:p>
        </w:tc>
        <w:tc>
          <w:tcPr>
            <w:tcW w:w="794" w:type="dxa"/>
          </w:tcPr>
          <w:p w14:paraId="2A0C26B9"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794" w:type="dxa"/>
          </w:tcPr>
          <w:p w14:paraId="2F365668"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794" w:type="dxa"/>
          </w:tcPr>
          <w:p w14:paraId="529DAD65"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794" w:type="dxa"/>
          </w:tcPr>
          <w:p w14:paraId="0611DED3"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94" w:type="dxa"/>
          </w:tcPr>
          <w:p w14:paraId="769E040A"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94" w:type="dxa"/>
          </w:tcPr>
          <w:p w14:paraId="270DE719"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94" w:type="dxa"/>
          </w:tcPr>
          <w:p w14:paraId="5B678079"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94" w:type="dxa"/>
          </w:tcPr>
          <w:p w14:paraId="2CB88C5B"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94" w:type="dxa"/>
          </w:tcPr>
          <w:p w14:paraId="3EED5633"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r>
      <w:tr w:rsidR="00711444" w:rsidRPr="004D0DAA" w14:paraId="2403DA8D" w14:textId="77777777" w:rsidTr="00AA2A4C">
        <w:tblPrEx>
          <w:tblCellMar>
            <w:top w:w="0" w:type="dxa"/>
            <w:bottom w:w="0" w:type="dxa"/>
          </w:tblCellMar>
        </w:tblPrEx>
        <w:tc>
          <w:tcPr>
            <w:tcW w:w="907" w:type="dxa"/>
          </w:tcPr>
          <w:p w14:paraId="48844365" w14:textId="77777777" w:rsidR="00711444" w:rsidRPr="004D0DAA" w:rsidRDefault="00711444" w:rsidP="00AA2A4C">
            <w:pPr>
              <w:pStyle w:val="TAC"/>
              <w:rPr>
                <w:lang w:eastAsia="en-US"/>
              </w:rPr>
            </w:pPr>
            <w:r w:rsidRPr="004D0DAA">
              <w:rPr>
                <w:lang w:eastAsia="en-US"/>
              </w:rPr>
              <w:t>MCS-7</w:t>
            </w:r>
          </w:p>
        </w:tc>
        <w:tc>
          <w:tcPr>
            <w:tcW w:w="794" w:type="dxa"/>
          </w:tcPr>
          <w:p w14:paraId="151A60CC" w14:textId="77777777" w:rsidR="00711444" w:rsidRPr="004D0DAA" w:rsidRDefault="00711444" w:rsidP="00AA2A4C">
            <w:pPr>
              <w:pStyle w:val="TAC"/>
              <w:rPr>
                <w:lang w:eastAsia="en-US"/>
              </w:rPr>
            </w:pPr>
            <w:r w:rsidRPr="004D0DAA">
              <w:rPr>
                <w:lang w:eastAsia="en-US"/>
              </w:rPr>
              <w:t>MCS-7</w:t>
            </w:r>
          </w:p>
        </w:tc>
        <w:tc>
          <w:tcPr>
            <w:tcW w:w="794" w:type="dxa"/>
          </w:tcPr>
          <w:p w14:paraId="30002330" w14:textId="77777777" w:rsidR="00711444" w:rsidRPr="004D0DAA" w:rsidRDefault="00711444" w:rsidP="00AA2A4C">
            <w:pPr>
              <w:pStyle w:val="TAC"/>
              <w:rPr>
                <w:lang w:eastAsia="en-US"/>
              </w:rPr>
            </w:pPr>
            <w:r w:rsidRPr="004D0DAA">
              <w:rPr>
                <w:lang w:eastAsia="en-US"/>
              </w:rPr>
              <w:t>MCS-7</w:t>
            </w:r>
          </w:p>
        </w:tc>
        <w:tc>
          <w:tcPr>
            <w:tcW w:w="794" w:type="dxa"/>
          </w:tcPr>
          <w:p w14:paraId="1052C14E" w14:textId="77777777" w:rsidR="00711444" w:rsidRPr="004D0DAA" w:rsidRDefault="00711444" w:rsidP="00AA2A4C">
            <w:pPr>
              <w:pStyle w:val="TAC"/>
              <w:rPr>
                <w:lang w:eastAsia="en-US"/>
              </w:rPr>
            </w:pPr>
            <w:r w:rsidRPr="004D0DAA">
              <w:rPr>
                <w:lang w:eastAsia="en-US"/>
              </w:rPr>
              <w:t>MCS-7</w:t>
            </w:r>
          </w:p>
        </w:tc>
        <w:tc>
          <w:tcPr>
            <w:tcW w:w="794" w:type="dxa"/>
          </w:tcPr>
          <w:p w14:paraId="51CE9125" w14:textId="77777777" w:rsidR="00711444" w:rsidRPr="004D0DAA" w:rsidRDefault="00711444" w:rsidP="00AA2A4C">
            <w:pPr>
              <w:pStyle w:val="TAC"/>
              <w:rPr>
                <w:lang w:eastAsia="en-US"/>
              </w:rPr>
            </w:pPr>
            <w:r w:rsidRPr="004D0DAA">
              <w:rPr>
                <w:lang w:eastAsia="en-US"/>
              </w:rPr>
              <w:t>MCS-5</w:t>
            </w:r>
          </w:p>
        </w:tc>
        <w:tc>
          <w:tcPr>
            <w:tcW w:w="794" w:type="dxa"/>
          </w:tcPr>
          <w:p w14:paraId="7CA3210A" w14:textId="77777777" w:rsidR="00711444" w:rsidRPr="004D0DAA" w:rsidRDefault="00711444" w:rsidP="00AA2A4C">
            <w:pPr>
              <w:pStyle w:val="TAC"/>
              <w:rPr>
                <w:lang w:eastAsia="en-US"/>
              </w:rPr>
            </w:pPr>
            <w:r w:rsidRPr="004D0DAA">
              <w:rPr>
                <w:lang w:eastAsia="en-US"/>
              </w:rPr>
              <w:t>MCS-5</w:t>
            </w:r>
          </w:p>
        </w:tc>
        <w:tc>
          <w:tcPr>
            <w:tcW w:w="794" w:type="dxa"/>
          </w:tcPr>
          <w:p w14:paraId="19376C5B" w14:textId="77777777" w:rsidR="00711444" w:rsidRPr="004D0DAA" w:rsidRDefault="00711444" w:rsidP="00AA2A4C">
            <w:pPr>
              <w:pStyle w:val="TAC"/>
              <w:rPr>
                <w:lang w:eastAsia="en-US"/>
              </w:rPr>
            </w:pPr>
            <w:r w:rsidRPr="004D0DAA">
              <w:rPr>
                <w:lang w:eastAsia="en-US"/>
              </w:rPr>
              <w:t>MCS-5</w:t>
            </w:r>
          </w:p>
        </w:tc>
        <w:tc>
          <w:tcPr>
            <w:tcW w:w="794" w:type="dxa"/>
          </w:tcPr>
          <w:p w14:paraId="7E448BF0" w14:textId="77777777" w:rsidR="00711444" w:rsidRPr="004D0DAA" w:rsidRDefault="00711444" w:rsidP="00AA2A4C">
            <w:pPr>
              <w:pStyle w:val="TAC"/>
              <w:rPr>
                <w:lang w:eastAsia="en-US"/>
              </w:rPr>
            </w:pPr>
            <w:r w:rsidRPr="004D0DAA">
              <w:rPr>
                <w:lang w:eastAsia="en-US"/>
              </w:rPr>
              <w:t>MCS-5</w:t>
            </w:r>
          </w:p>
        </w:tc>
        <w:tc>
          <w:tcPr>
            <w:tcW w:w="794" w:type="dxa"/>
          </w:tcPr>
          <w:p w14:paraId="26B96ED3" w14:textId="77777777" w:rsidR="00711444" w:rsidRPr="004D0DAA" w:rsidRDefault="00711444" w:rsidP="00AA2A4C">
            <w:pPr>
              <w:pStyle w:val="TAC"/>
              <w:rPr>
                <w:lang w:eastAsia="en-US"/>
              </w:rPr>
            </w:pPr>
            <w:r w:rsidRPr="004D0DAA">
              <w:rPr>
                <w:lang w:eastAsia="en-US"/>
              </w:rPr>
              <w:t>MCS-2</w:t>
            </w:r>
          </w:p>
        </w:tc>
        <w:tc>
          <w:tcPr>
            <w:tcW w:w="794" w:type="dxa"/>
          </w:tcPr>
          <w:p w14:paraId="32DD5936" w14:textId="77777777" w:rsidR="00711444" w:rsidRPr="004D0DAA" w:rsidRDefault="00711444" w:rsidP="00AA2A4C">
            <w:pPr>
              <w:pStyle w:val="TAC"/>
              <w:rPr>
                <w:lang w:eastAsia="en-US"/>
              </w:rPr>
            </w:pPr>
            <w:r w:rsidRPr="004D0DAA">
              <w:rPr>
                <w:lang w:eastAsia="en-US"/>
              </w:rPr>
              <w:t>MCS-2</w:t>
            </w:r>
          </w:p>
        </w:tc>
        <w:tc>
          <w:tcPr>
            <w:tcW w:w="794" w:type="dxa"/>
          </w:tcPr>
          <w:p w14:paraId="70B44E2C" w14:textId="77777777" w:rsidR="00711444" w:rsidRPr="004D0DAA" w:rsidRDefault="00711444" w:rsidP="00AA2A4C">
            <w:pPr>
              <w:pStyle w:val="TAC"/>
              <w:rPr>
                <w:lang w:eastAsia="en-US"/>
              </w:rPr>
            </w:pPr>
            <w:r w:rsidRPr="004D0DAA">
              <w:rPr>
                <w:lang w:eastAsia="en-US"/>
              </w:rPr>
              <w:t>MCS-2</w:t>
            </w:r>
          </w:p>
        </w:tc>
        <w:tc>
          <w:tcPr>
            <w:tcW w:w="794" w:type="dxa"/>
          </w:tcPr>
          <w:p w14:paraId="5027DADB" w14:textId="77777777" w:rsidR="00711444" w:rsidRPr="004D0DAA" w:rsidRDefault="00711444" w:rsidP="00AA2A4C">
            <w:pPr>
              <w:pStyle w:val="TAC"/>
              <w:rPr>
                <w:lang w:eastAsia="en-US"/>
              </w:rPr>
            </w:pPr>
            <w:r w:rsidRPr="004D0DAA">
              <w:rPr>
                <w:lang w:eastAsia="en-US"/>
              </w:rPr>
              <w:t>MCS-2</w:t>
            </w:r>
          </w:p>
        </w:tc>
      </w:tr>
      <w:tr w:rsidR="00711444" w:rsidRPr="004D0DAA" w14:paraId="5D327488" w14:textId="77777777" w:rsidTr="00AA2A4C">
        <w:tblPrEx>
          <w:tblCellMar>
            <w:top w:w="0" w:type="dxa"/>
            <w:bottom w:w="0" w:type="dxa"/>
          </w:tblCellMar>
        </w:tblPrEx>
        <w:tc>
          <w:tcPr>
            <w:tcW w:w="907" w:type="dxa"/>
          </w:tcPr>
          <w:p w14:paraId="42E428A4" w14:textId="77777777" w:rsidR="00711444" w:rsidRPr="004D0DAA" w:rsidRDefault="00711444" w:rsidP="00AA2A4C">
            <w:pPr>
              <w:pStyle w:val="TAC"/>
              <w:rPr>
                <w:lang w:eastAsia="en-US"/>
              </w:rPr>
            </w:pPr>
            <w:r w:rsidRPr="004D0DAA">
              <w:rPr>
                <w:lang w:eastAsia="en-US"/>
              </w:rPr>
              <w:t>MCS-6</w:t>
            </w:r>
          </w:p>
        </w:tc>
        <w:tc>
          <w:tcPr>
            <w:tcW w:w="794" w:type="dxa"/>
          </w:tcPr>
          <w:p w14:paraId="45F7F81D" w14:textId="77777777" w:rsidR="00711444" w:rsidRPr="004D0DAA" w:rsidRDefault="00711444" w:rsidP="00AA2A4C">
            <w:pPr>
              <w:pStyle w:val="TAC"/>
              <w:rPr>
                <w:lang w:eastAsia="en-US"/>
              </w:rPr>
            </w:pPr>
            <w:r w:rsidRPr="004D0DAA">
              <w:rPr>
                <w:lang w:eastAsia="en-US"/>
              </w:rPr>
              <w:t>MCS-9</w:t>
            </w:r>
          </w:p>
        </w:tc>
        <w:tc>
          <w:tcPr>
            <w:tcW w:w="794" w:type="dxa"/>
          </w:tcPr>
          <w:p w14:paraId="54F656E3" w14:textId="77777777" w:rsidR="00711444" w:rsidRPr="004D0DAA" w:rsidRDefault="00711444" w:rsidP="00AA2A4C">
            <w:pPr>
              <w:pStyle w:val="TAC"/>
              <w:rPr>
                <w:lang w:eastAsia="en-US"/>
              </w:rPr>
            </w:pPr>
            <w:r w:rsidRPr="004D0DAA">
              <w:rPr>
                <w:lang w:eastAsia="en-US"/>
              </w:rPr>
              <w:t>MCS-6</w:t>
            </w:r>
          </w:p>
        </w:tc>
        <w:tc>
          <w:tcPr>
            <w:tcW w:w="794" w:type="dxa"/>
          </w:tcPr>
          <w:p w14:paraId="097020F4" w14:textId="77777777" w:rsidR="00711444" w:rsidRPr="004D0DAA" w:rsidRDefault="00711444" w:rsidP="00AA2A4C">
            <w:pPr>
              <w:pStyle w:val="TAC"/>
              <w:rPr>
                <w:lang w:eastAsia="en-US"/>
              </w:rPr>
            </w:pPr>
            <w:r w:rsidRPr="004D0DAA">
              <w:rPr>
                <w:lang w:eastAsia="en-US"/>
              </w:rPr>
              <w:t>MCS-6</w:t>
            </w:r>
          </w:p>
        </w:tc>
        <w:tc>
          <w:tcPr>
            <w:tcW w:w="794" w:type="dxa"/>
          </w:tcPr>
          <w:p w14:paraId="2DACE5FE" w14:textId="77777777" w:rsidR="00711444" w:rsidRPr="004D0DAA" w:rsidRDefault="00711444" w:rsidP="00AA2A4C">
            <w:pPr>
              <w:pStyle w:val="TAC"/>
              <w:rPr>
                <w:lang w:eastAsia="en-US"/>
              </w:rPr>
            </w:pPr>
            <w:r w:rsidRPr="004D0DAA">
              <w:rPr>
                <w:lang w:eastAsia="en-US"/>
              </w:rPr>
              <w:t>MCS-9</w:t>
            </w:r>
          </w:p>
        </w:tc>
        <w:tc>
          <w:tcPr>
            <w:tcW w:w="794" w:type="dxa"/>
          </w:tcPr>
          <w:p w14:paraId="5D000156" w14:textId="77777777" w:rsidR="00711444" w:rsidRPr="004D0DAA" w:rsidRDefault="00711444" w:rsidP="00AA2A4C">
            <w:pPr>
              <w:pStyle w:val="TAC"/>
              <w:rPr>
                <w:lang w:eastAsia="en-US"/>
              </w:rPr>
            </w:pPr>
            <w:r w:rsidRPr="004D0DAA">
              <w:rPr>
                <w:lang w:eastAsia="en-US"/>
              </w:rPr>
              <w:t>MCS-6</w:t>
            </w:r>
          </w:p>
        </w:tc>
        <w:tc>
          <w:tcPr>
            <w:tcW w:w="794" w:type="dxa"/>
          </w:tcPr>
          <w:p w14:paraId="644025B1" w14:textId="77777777" w:rsidR="00711444" w:rsidRPr="004D0DAA" w:rsidRDefault="00711444" w:rsidP="00AA2A4C">
            <w:pPr>
              <w:pStyle w:val="TAC"/>
              <w:rPr>
                <w:lang w:eastAsia="en-US"/>
              </w:rPr>
            </w:pPr>
            <w:r w:rsidRPr="004D0DAA">
              <w:rPr>
                <w:lang w:eastAsia="en-US"/>
              </w:rPr>
              <w:t>MCS-3</w:t>
            </w:r>
          </w:p>
        </w:tc>
        <w:tc>
          <w:tcPr>
            <w:tcW w:w="794" w:type="dxa"/>
          </w:tcPr>
          <w:p w14:paraId="0BF2F542" w14:textId="77777777" w:rsidR="00711444" w:rsidRPr="004D0DAA" w:rsidRDefault="00711444" w:rsidP="00AA2A4C">
            <w:pPr>
              <w:pStyle w:val="TAC"/>
              <w:rPr>
                <w:lang w:eastAsia="en-US"/>
              </w:rPr>
            </w:pPr>
            <w:r w:rsidRPr="004D0DAA">
              <w:rPr>
                <w:lang w:eastAsia="en-US"/>
              </w:rPr>
              <w:t>MCS-3</w:t>
            </w:r>
          </w:p>
        </w:tc>
        <w:tc>
          <w:tcPr>
            <w:tcW w:w="794" w:type="dxa"/>
          </w:tcPr>
          <w:p w14:paraId="02B7A56B" w14:textId="77777777" w:rsidR="00711444" w:rsidRPr="004D0DAA" w:rsidRDefault="00711444" w:rsidP="00AA2A4C">
            <w:pPr>
              <w:pStyle w:val="TAC"/>
              <w:rPr>
                <w:lang w:eastAsia="en-US"/>
              </w:rPr>
            </w:pPr>
            <w:r w:rsidRPr="004D0DAA">
              <w:rPr>
                <w:lang w:eastAsia="en-US"/>
              </w:rPr>
              <w:t>MCS-3</w:t>
            </w:r>
          </w:p>
        </w:tc>
        <w:tc>
          <w:tcPr>
            <w:tcW w:w="794" w:type="dxa"/>
          </w:tcPr>
          <w:p w14:paraId="5A51B570" w14:textId="77777777" w:rsidR="00711444" w:rsidRPr="004D0DAA" w:rsidRDefault="00711444" w:rsidP="00AA2A4C">
            <w:pPr>
              <w:pStyle w:val="TAC"/>
              <w:rPr>
                <w:lang w:eastAsia="en-US"/>
              </w:rPr>
            </w:pPr>
            <w:r w:rsidRPr="004D0DAA">
              <w:rPr>
                <w:lang w:eastAsia="en-US"/>
              </w:rPr>
              <w:t>MCS-3</w:t>
            </w:r>
          </w:p>
        </w:tc>
        <w:tc>
          <w:tcPr>
            <w:tcW w:w="794" w:type="dxa"/>
          </w:tcPr>
          <w:p w14:paraId="0BAA730B" w14:textId="77777777" w:rsidR="00711444" w:rsidRPr="004D0DAA" w:rsidRDefault="00711444" w:rsidP="00AA2A4C">
            <w:pPr>
              <w:pStyle w:val="TAC"/>
              <w:rPr>
                <w:lang w:eastAsia="en-US"/>
              </w:rPr>
            </w:pPr>
            <w:r w:rsidRPr="004D0DAA">
              <w:rPr>
                <w:lang w:eastAsia="en-US"/>
              </w:rPr>
              <w:t>MCS-3</w:t>
            </w:r>
          </w:p>
        </w:tc>
        <w:tc>
          <w:tcPr>
            <w:tcW w:w="794" w:type="dxa"/>
          </w:tcPr>
          <w:p w14:paraId="250C1FF3" w14:textId="77777777" w:rsidR="00711444" w:rsidRPr="004D0DAA" w:rsidRDefault="00711444" w:rsidP="00AA2A4C">
            <w:pPr>
              <w:pStyle w:val="TAC"/>
              <w:rPr>
                <w:lang w:eastAsia="en-US"/>
              </w:rPr>
            </w:pPr>
            <w:r w:rsidRPr="004D0DAA">
              <w:rPr>
                <w:lang w:eastAsia="en-US"/>
              </w:rPr>
              <w:t>MCS-3</w:t>
            </w:r>
          </w:p>
        </w:tc>
      </w:tr>
      <w:tr w:rsidR="00711444" w:rsidRPr="004D0DAA" w14:paraId="2F55217F" w14:textId="77777777" w:rsidTr="00AA2A4C">
        <w:tblPrEx>
          <w:tblCellMar>
            <w:top w:w="0" w:type="dxa"/>
            <w:bottom w:w="0" w:type="dxa"/>
          </w:tblCellMar>
        </w:tblPrEx>
        <w:tc>
          <w:tcPr>
            <w:tcW w:w="907" w:type="dxa"/>
          </w:tcPr>
          <w:p w14:paraId="73AD7BA4" w14:textId="77777777" w:rsidR="00711444" w:rsidRPr="004D0DAA" w:rsidRDefault="00711444" w:rsidP="00AA2A4C">
            <w:pPr>
              <w:pStyle w:val="TAC"/>
              <w:rPr>
                <w:lang w:eastAsia="en-US"/>
              </w:rPr>
            </w:pPr>
            <w:r w:rsidRPr="004D0DAA">
              <w:rPr>
                <w:lang w:eastAsia="en-US"/>
              </w:rPr>
              <w:t>MCS-5</w:t>
            </w:r>
          </w:p>
        </w:tc>
        <w:tc>
          <w:tcPr>
            <w:tcW w:w="794" w:type="dxa"/>
          </w:tcPr>
          <w:p w14:paraId="616D348B" w14:textId="77777777" w:rsidR="00711444" w:rsidRPr="004D0DAA" w:rsidRDefault="00711444" w:rsidP="00AA2A4C">
            <w:pPr>
              <w:pStyle w:val="TAC"/>
              <w:rPr>
                <w:lang w:eastAsia="en-US"/>
              </w:rPr>
            </w:pPr>
            <w:r w:rsidRPr="004D0DAA">
              <w:rPr>
                <w:lang w:eastAsia="en-US"/>
              </w:rPr>
              <w:t>MCS-7</w:t>
            </w:r>
          </w:p>
        </w:tc>
        <w:tc>
          <w:tcPr>
            <w:tcW w:w="794" w:type="dxa"/>
          </w:tcPr>
          <w:p w14:paraId="35859CFA" w14:textId="77777777" w:rsidR="00711444" w:rsidRPr="004D0DAA" w:rsidRDefault="00711444" w:rsidP="00AA2A4C">
            <w:pPr>
              <w:pStyle w:val="TAC"/>
              <w:rPr>
                <w:lang w:eastAsia="en-US"/>
              </w:rPr>
            </w:pPr>
            <w:r w:rsidRPr="004D0DAA">
              <w:rPr>
                <w:lang w:eastAsia="en-US"/>
              </w:rPr>
              <w:t>MCS-7</w:t>
            </w:r>
          </w:p>
        </w:tc>
        <w:tc>
          <w:tcPr>
            <w:tcW w:w="794" w:type="dxa"/>
          </w:tcPr>
          <w:p w14:paraId="61E3EC8C" w14:textId="77777777" w:rsidR="00711444" w:rsidRPr="004D0DAA" w:rsidRDefault="00711444" w:rsidP="00AA2A4C">
            <w:pPr>
              <w:pStyle w:val="TAC"/>
              <w:rPr>
                <w:lang w:eastAsia="en-US"/>
              </w:rPr>
            </w:pPr>
            <w:r w:rsidRPr="004D0DAA">
              <w:rPr>
                <w:lang w:eastAsia="en-US"/>
              </w:rPr>
              <w:t>MCS-7</w:t>
            </w:r>
          </w:p>
        </w:tc>
        <w:tc>
          <w:tcPr>
            <w:tcW w:w="794" w:type="dxa"/>
          </w:tcPr>
          <w:p w14:paraId="7FF6ACDE" w14:textId="77777777" w:rsidR="00711444" w:rsidRPr="004D0DAA" w:rsidRDefault="00711444" w:rsidP="00AA2A4C">
            <w:pPr>
              <w:pStyle w:val="TAC"/>
              <w:rPr>
                <w:lang w:eastAsia="en-US"/>
              </w:rPr>
            </w:pPr>
            <w:r w:rsidRPr="004D0DAA">
              <w:rPr>
                <w:lang w:eastAsia="en-US"/>
              </w:rPr>
              <w:t>MCS-5</w:t>
            </w:r>
          </w:p>
        </w:tc>
        <w:tc>
          <w:tcPr>
            <w:tcW w:w="794" w:type="dxa"/>
          </w:tcPr>
          <w:p w14:paraId="3552C413" w14:textId="77777777" w:rsidR="00711444" w:rsidRPr="004D0DAA" w:rsidRDefault="00711444" w:rsidP="00AA2A4C">
            <w:pPr>
              <w:pStyle w:val="TAC"/>
              <w:rPr>
                <w:lang w:eastAsia="en-US"/>
              </w:rPr>
            </w:pPr>
            <w:r w:rsidRPr="004D0DAA">
              <w:rPr>
                <w:lang w:eastAsia="en-US"/>
              </w:rPr>
              <w:t>MCS-5</w:t>
            </w:r>
          </w:p>
        </w:tc>
        <w:tc>
          <w:tcPr>
            <w:tcW w:w="794" w:type="dxa"/>
          </w:tcPr>
          <w:p w14:paraId="4338D775" w14:textId="77777777" w:rsidR="00711444" w:rsidRPr="004D0DAA" w:rsidRDefault="00711444" w:rsidP="00AA2A4C">
            <w:pPr>
              <w:pStyle w:val="TAC"/>
              <w:rPr>
                <w:lang w:eastAsia="en-US"/>
              </w:rPr>
            </w:pPr>
            <w:r w:rsidRPr="004D0DAA">
              <w:rPr>
                <w:lang w:eastAsia="en-US"/>
              </w:rPr>
              <w:t>MCS-7</w:t>
            </w:r>
          </w:p>
        </w:tc>
        <w:tc>
          <w:tcPr>
            <w:tcW w:w="794" w:type="dxa"/>
          </w:tcPr>
          <w:p w14:paraId="76AE7313" w14:textId="77777777" w:rsidR="00711444" w:rsidRPr="004D0DAA" w:rsidRDefault="00711444" w:rsidP="00AA2A4C">
            <w:pPr>
              <w:pStyle w:val="TAC"/>
              <w:rPr>
                <w:lang w:eastAsia="en-US"/>
              </w:rPr>
            </w:pPr>
            <w:r w:rsidRPr="004D0DAA">
              <w:rPr>
                <w:lang w:eastAsia="en-US"/>
              </w:rPr>
              <w:t>MCS-5</w:t>
            </w:r>
          </w:p>
        </w:tc>
        <w:tc>
          <w:tcPr>
            <w:tcW w:w="794" w:type="dxa"/>
          </w:tcPr>
          <w:p w14:paraId="1D819C5C" w14:textId="77777777" w:rsidR="00711444" w:rsidRPr="004D0DAA" w:rsidRDefault="00711444" w:rsidP="00AA2A4C">
            <w:pPr>
              <w:pStyle w:val="TAC"/>
              <w:rPr>
                <w:lang w:eastAsia="en-US"/>
              </w:rPr>
            </w:pPr>
            <w:r w:rsidRPr="004D0DAA">
              <w:rPr>
                <w:lang w:eastAsia="en-US"/>
              </w:rPr>
              <w:t>MCS-2</w:t>
            </w:r>
          </w:p>
        </w:tc>
        <w:tc>
          <w:tcPr>
            <w:tcW w:w="794" w:type="dxa"/>
          </w:tcPr>
          <w:p w14:paraId="10584406" w14:textId="77777777" w:rsidR="00711444" w:rsidRPr="004D0DAA" w:rsidRDefault="00711444" w:rsidP="00AA2A4C">
            <w:pPr>
              <w:pStyle w:val="TAC"/>
              <w:rPr>
                <w:lang w:eastAsia="en-US"/>
              </w:rPr>
            </w:pPr>
            <w:r w:rsidRPr="004D0DAA">
              <w:rPr>
                <w:lang w:eastAsia="en-US"/>
              </w:rPr>
              <w:t>MCS-2</w:t>
            </w:r>
          </w:p>
        </w:tc>
        <w:tc>
          <w:tcPr>
            <w:tcW w:w="794" w:type="dxa"/>
          </w:tcPr>
          <w:p w14:paraId="2536626A" w14:textId="77777777" w:rsidR="00711444" w:rsidRPr="004D0DAA" w:rsidRDefault="00711444" w:rsidP="00AA2A4C">
            <w:pPr>
              <w:pStyle w:val="TAC"/>
              <w:rPr>
                <w:lang w:eastAsia="en-US"/>
              </w:rPr>
            </w:pPr>
            <w:r w:rsidRPr="004D0DAA">
              <w:rPr>
                <w:lang w:eastAsia="en-US"/>
              </w:rPr>
              <w:t>MCS-2</w:t>
            </w:r>
          </w:p>
        </w:tc>
        <w:tc>
          <w:tcPr>
            <w:tcW w:w="794" w:type="dxa"/>
          </w:tcPr>
          <w:p w14:paraId="326A33E2" w14:textId="77777777" w:rsidR="00711444" w:rsidRPr="004D0DAA" w:rsidRDefault="00711444" w:rsidP="00AA2A4C">
            <w:pPr>
              <w:pStyle w:val="TAC"/>
              <w:rPr>
                <w:lang w:eastAsia="en-US"/>
              </w:rPr>
            </w:pPr>
            <w:r w:rsidRPr="004D0DAA">
              <w:rPr>
                <w:lang w:eastAsia="en-US"/>
              </w:rPr>
              <w:t>MCS-2</w:t>
            </w:r>
          </w:p>
        </w:tc>
      </w:tr>
      <w:tr w:rsidR="00711444" w:rsidRPr="004D0DAA" w14:paraId="36E2F36A" w14:textId="77777777" w:rsidTr="00AA2A4C">
        <w:tblPrEx>
          <w:tblCellMar>
            <w:top w:w="0" w:type="dxa"/>
            <w:bottom w:w="0" w:type="dxa"/>
          </w:tblCellMar>
        </w:tblPrEx>
        <w:tc>
          <w:tcPr>
            <w:tcW w:w="907" w:type="dxa"/>
          </w:tcPr>
          <w:p w14:paraId="6FF2C80C" w14:textId="77777777" w:rsidR="00711444" w:rsidRPr="004D0DAA" w:rsidRDefault="00711444" w:rsidP="00AA2A4C">
            <w:pPr>
              <w:pStyle w:val="TAC"/>
              <w:rPr>
                <w:lang w:eastAsia="en-US"/>
              </w:rPr>
            </w:pPr>
            <w:r w:rsidRPr="004D0DAA">
              <w:rPr>
                <w:lang w:eastAsia="en-US"/>
              </w:rPr>
              <w:t>MCS-4</w:t>
            </w:r>
          </w:p>
        </w:tc>
        <w:tc>
          <w:tcPr>
            <w:tcW w:w="794" w:type="dxa"/>
          </w:tcPr>
          <w:p w14:paraId="4FF15611" w14:textId="77777777" w:rsidR="00711444" w:rsidRPr="004D0DAA" w:rsidRDefault="00711444" w:rsidP="00AA2A4C">
            <w:pPr>
              <w:pStyle w:val="TAC"/>
              <w:rPr>
                <w:lang w:eastAsia="en-US"/>
              </w:rPr>
            </w:pPr>
            <w:r w:rsidRPr="004D0DAA">
              <w:rPr>
                <w:lang w:eastAsia="en-US"/>
              </w:rPr>
              <w:t>MCS-4</w:t>
            </w:r>
          </w:p>
        </w:tc>
        <w:tc>
          <w:tcPr>
            <w:tcW w:w="794" w:type="dxa"/>
          </w:tcPr>
          <w:p w14:paraId="787F9E9E" w14:textId="77777777" w:rsidR="00711444" w:rsidRPr="004D0DAA" w:rsidRDefault="00711444" w:rsidP="00AA2A4C">
            <w:pPr>
              <w:pStyle w:val="TAC"/>
              <w:rPr>
                <w:lang w:eastAsia="en-US"/>
              </w:rPr>
            </w:pPr>
            <w:r w:rsidRPr="004D0DAA">
              <w:rPr>
                <w:lang w:eastAsia="en-US"/>
              </w:rPr>
              <w:t>MCS-4</w:t>
            </w:r>
          </w:p>
        </w:tc>
        <w:tc>
          <w:tcPr>
            <w:tcW w:w="794" w:type="dxa"/>
          </w:tcPr>
          <w:p w14:paraId="52F50870" w14:textId="77777777" w:rsidR="00711444" w:rsidRPr="004D0DAA" w:rsidRDefault="00711444" w:rsidP="00AA2A4C">
            <w:pPr>
              <w:pStyle w:val="TAC"/>
              <w:rPr>
                <w:lang w:eastAsia="en-US"/>
              </w:rPr>
            </w:pPr>
            <w:r w:rsidRPr="004D0DAA">
              <w:rPr>
                <w:lang w:eastAsia="en-US"/>
              </w:rPr>
              <w:t>MCS-4</w:t>
            </w:r>
          </w:p>
        </w:tc>
        <w:tc>
          <w:tcPr>
            <w:tcW w:w="794" w:type="dxa"/>
          </w:tcPr>
          <w:p w14:paraId="1D51800A" w14:textId="77777777" w:rsidR="00711444" w:rsidRPr="004D0DAA" w:rsidRDefault="00711444" w:rsidP="00AA2A4C">
            <w:pPr>
              <w:pStyle w:val="TAC"/>
              <w:rPr>
                <w:lang w:eastAsia="en-US"/>
              </w:rPr>
            </w:pPr>
            <w:r w:rsidRPr="004D0DAA">
              <w:rPr>
                <w:lang w:eastAsia="en-US"/>
              </w:rPr>
              <w:t>MCS-4</w:t>
            </w:r>
          </w:p>
        </w:tc>
        <w:tc>
          <w:tcPr>
            <w:tcW w:w="794" w:type="dxa"/>
          </w:tcPr>
          <w:p w14:paraId="5AA9C0D2" w14:textId="77777777" w:rsidR="00711444" w:rsidRPr="004D0DAA" w:rsidRDefault="00711444" w:rsidP="00AA2A4C">
            <w:pPr>
              <w:pStyle w:val="TAC"/>
              <w:rPr>
                <w:lang w:eastAsia="en-US"/>
              </w:rPr>
            </w:pPr>
            <w:r w:rsidRPr="004D0DAA">
              <w:rPr>
                <w:lang w:eastAsia="en-US"/>
              </w:rPr>
              <w:t>MCS-4</w:t>
            </w:r>
          </w:p>
        </w:tc>
        <w:tc>
          <w:tcPr>
            <w:tcW w:w="794" w:type="dxa"/>
          </w:tcPr>
          <w:p w14:paraId="3D57132D" w14:textId="77777777" w:rsidR="00711444" w:rsidRPr="004D0DAA" w:rsidRDefault="00711444" w:rsidP="00AA2A4C">
            <w:pPr>
              <w:pStyle w:val="TAC"/>
              <w:rPr>
                <w:lang w:eastAsia="en-US"/>
              </w:rPr>
            </w:pPr>
            <w:r w:rsidRPr="004D0DAA">
              <w:rPr>
                <w:lang w:eastAsia="en-US"/>
              </w:rPr>
              <w:t>MCS-4</w:t>
            </w:r>
          </w:p>
        </w:tc>
        <w:tc>
          <w:tcPr>
            <w:tcW w:w="794" w:type="dxa"/>
          </w:tcPr>
          <w:p w14:paraId="50878BD9" w14:textId="77777777" w:rsidR="00711444" w:rsidRPr="004D0DAA" w:rsidRDefault="00711444" w:rsidP="00AA2A4C">
            <w:pPr>
              <w:pStyle w:val="TAC"/>
              <w:rPr>
                <w:lang w:eastAsia="en-US"/>
              </w:rPr>
            </w:pPr>
            <w:r w:rsidRPr="004D0DAA">
              <w:rPr>
                <w:lang w:eastAsia="en-US"/>
              </w:rPr>
              <w:t>MCS-4</w:t>
            </w:r>
          </w:p>
        </w:tc>
        <w:tc>
          <w:tcPr>
            <w:tcW w:w="794" w:type="dxa"/>
          </w:tcPr>
          <w:p w14:paraId="7B0CF040" w14:textId="77777777" w:rsidR="00711444" w:rsidRPr="004D0DAA" w:rsidRDefault="00711444" w:rsidP="00AA2A4C">
            <w:pPr>
              <w:pStyle w:val="TAC"/>
              <w:rPr>
                <w:lang w:eastAsia="en-US"/>
              </w:rPr>
            </w:pPr>
            <w:r w:rsidRPr="004D0DAA">
              <w:rPr>
                <w:lang w:eastAsia="en-US"/>
              </w:rPr>
              <w:t>MCS-4</w:t>
            </w:r>
          </w:p>
        </w:tc>
        <w:tc>
          <w:tcPr>
            <w:tcW w:w="794" w:type="dxa"/>
          </w:tcPr>
          <w:p w14:paraId="3A69C116" w14:textId="77777777" w:rsidR="00711444" w:rsidRPr="004D0DAA" w:rsidRDefault="00711444" w:rsidP="00AA2A4C">
            <w:pPr>
              <w:pStyle w:val="TAC"/>
              <w:rPr>
                <w:lang w:eastAsia="en-US"/>
              </w:rPr>
            </w:pPr>
            <w:r w:rsidRPr="004D0DAA">
              <w:rPr>
                <w:lang w:eastAsia="en-US"/>
              </w:rPr>
              <w:t>MCS-1</w:t>
            </w:r>
          </w:p>
        </w:tc>
        <w:tc>
          <w:tcPr>
            <w:tcW w:w="794" w:type="dxa"/>
          </w:tcPr>
          <w:p w14:paraId="062129F5" w14:textId="77777777" w:rsidR="00711444" w:rsidRPr="004D0DAA" w:rsidRDefault="00711444" w:rsidP="00AA2A4C">
            <w:pPr>
              <w:pStyle w:val="TAC"/>
              <w:rPr>
                <w:lang w:eastAsia="en-US"/>
              </w:rPr>
            </w:pPr>
            <w:r w:rsidRPr="004D0DAA">
              <w:rPr>
                <w:lang w:eastAsia="en-US"/>
              </w:rPr>
              <w:t>MCS-1</w:t>
            </w:r>
          </w:p>
        </w:tc>
        <w:tc>
          <w:tcPr>
            <w:tcW w:w="794" w:type="dxa"/>
          </w:tcPr>
          <w:p w14:paraId="415361FD" w14:textId="77777777" w:rsidR="00711444" w:rsidRPr="004D0DAA" w:rsidRDefault="00711444" w:rsidP="00AA2A4C">
            <w:pPr>
              <w:pStyle w:val="TAC"/>
              <w:rPr>
                <w:lang w:eastAsia="en-US"/>
              </w:rPr>
            </w:pPr>
            <w:r w:rsidRPr="004D0DAA">
              <w:rPr>
                <w:lang w:eastAsia="en-US"/>
              </w:rPr>
              <w:t>MCS-1</w:t>
            </w:r>
          </w:p>
        </w:tc>
      </w:tr>
      <w:tr w:rsidR="00711444" w:rsidRPr="004D0DAA" w14:paraId="5FC86012" w14:textId="77777777" w:rsidTr="00AA2A4C">
        <w:tblPrEx>
          <w:tblCellMar>
            <w:top w:w="0" w:type="dxa"/>
            <w:bottom w:w="0" w:type="dxa"/>
          </w:tblCellMar>
        </w:tblPrEx>
        <w:tc>
          <w:tcPr>
            <w:tcW w:w="907" w:type="dxa"/>
          </w:tcPr>
          <w:p w14:paraId="3BA0EE71" w14:textId="77777777" w:rsidR="00711444" w:rsidRPr="004D0DAA" w:rsidRDefault="00711444" w:rsidP="00AA2A4C">
            <w:pPr>
              <w:pStyle w:val="TAC"/>
              <w:rPr>
                <w:lang w:eastAsia="en-US"/>
              </w:rPr>
            </w:pPr>
            <w:r w:rsidRPr="004D0DAA">
              <w:rPr>
                <w:lang w:eastAsia="en-US"/>
              </w:rPr>
              <w:t>MCS-3</w:t>
            </w:r>
          </w:p>
        </w:tc>
        <w:tc>
          <w:tcPr>
            <w:tcW w:w="794" w:type="dxa"/>
          </w:tcPr>
          <w:p w14:paraId="27E84316" w14:textId="77777777" w:rsidR="00711444" w:rsidRPr="004D0DAA" w:rsidRDefault="00711444" w:rsidP="00AA2A4C">
            <w:pPr>
              <w:pStyle w:val="TAC"/>
              <w:rPr>
                <w:lang w:eastAsia="en-US"/>
              </w:rPr>
            </w:pPr>
            <w:r w:rsidRPr="004D0DAA">
              <w:rPr>
                <w:lang w:eastAsia="en-US"/>
              </w:rPr>
              <w:t>MCS-3</w:t>
            </w:r>
          </w:p>
        </w:tc>
        <w:tc>
          <w:tcPr>
            <w:tcW w:w="794" w:type="dxa"/>
          </w:tcPr>
          <w:p w14:paraId="14627B43" w14:textId="77777777" w:rsidR="00711444" w:rsidRPr="004D0DAA" w:rsidRDefault="00711444" w:rsidP="00AA2A4C">
            <w:pPr>
              <w:pStyle w:val="TAC"/>
              <w:rPr>
                <w:lang w:eastAsia="en-US"/>
              </w:rPr>
            </w:pPr>
            <w:r w:rsidRPr="004D0DAA">
              <w:rPr>
                <w:lang w:eastAsia="en-US"/>
              </w:rPr>
              <w:t>MCS-3</w:t>
            </w:r>
          </w:p>
        </w:tc>
        <w:tc>
          <w:tcPr>
            <w:tcW w:w="794" w:type="dxa"/>
          </w:tcPr>
          <w:p w14:paraId="211F6BC5" w14:textId="77777777" w:rsidR="00711444" w:rsidRPr="004D0DAA" w:rsidRDefault="00711444" w:rsidP="00AA2A4C">
            <w:pPr>
              <w:pStyle w:val="TAC"/>
              <w:rPr>
                <w:lang w:eastAsia="en-US"/>
              </w:rPr>
            </w:pPr>
            <w:r w:rsidRPr="004D0DAA">
              <w:rPr>
                <w:lang w:eastAsia="en-US"/>
              </w:rPr>
              <w:t>MCS-3</w:t>
            </w:r>
          </w:p>
        </w:tc>
        <w:tc>
          <w:tcPr>
            <w:tcW w:w="794" w:type="dxa"/>
          </w:tcPr>
          <w:p w14:paraId="4D762168" w14:textId="77777777" w:rsidR="00711444" w:rsidRPr="004D0DAA" w:rsidRDefault="00711444" w:rsidP="00AA2A4C">
            <w:pPr>
              <w:pStyle w:val="TAC"/>
              <w:rPr>
                <w:lang w:eastAsia="en-US"/>
              </w:rPr>
            </w:pPr>
            <w:r w:rsidRPr="004D0DAA">
              <w:rPr>
                <w:lang w:eastAsia="en-US"/>
              </w:rPr>
              <w:t>MCS-3</w:t>
            </w:r>
          </w:p>
        </w:tc>
        <w:tc>
          <w:tcPr>
            <w:tcW w:w="794" w:type="dxa"/>
          </w:tcPr>
          <w:p w14:paraId="47EC7F81" w14:textId="77777777" w:rsidR="00711444" w:rsidRPr="004D0DAA" w:rsidRDefault="00711444" w:rsidP="00AA2A4C">
            <w:pPr>
              <w:pStyle w:val="TAC"/>
              <w:rPr>
                <w:lang w:eastAsia="en-US"/>
              </w:rPr>
            </w:pPr>
            <w:r w:rsidRPr="004D0DAA">
              <w:rPr>
                <w:lang w:eastAsia="en-US"/>
              </w:rPr>
              <w:t>MCS-3</w:t>
            </w:r>
          </w:p>
        </w:tc>
        <w:tc>
          <w:tcPr>
            <w:tcW w:w="794" w:type="dxa"/>
          </w:tcPr>
          <w:p w14:paraId="56E440D8" w14:textId="77777777" w:rsidR="00711444" w:rsidRPr="004D0DAA" w:rsidRDefault="00711444" w:rsidP="00AA2A4C">
            <w:pPr>
              <w:pStyle w:val="TAC"/>
              <w:rPr>
                <w:lang w:eastAsia="en-US"/>
              </w:rPr>
            </w:pPr>
            <w:r w:rsidRPr="004D0DAA">
              <w:rPr>
                <w:lang w:eastAsia="en-US"/>
              </w:rPr>
              <w:t>MCS-3</w:t>
            </w:r>
          </w:p>
        </w:tc>
        <w:tc>
          <w:tcPr>
            <w:tcW w:w="794" w:type="dxa"/>
          </w:tcPr>
          <w:p w14:paraId="0D98752A" w14:textId="77777777" w:rsidR="00711444" w:rsidRPr="004D0DAA" w:rsidRDefault="00711444" w:rsidP="00AA2A4C">
            <w:pPr>
              <w:pStyle w:val="TAC"/>
              <w:rPr>
                <w:lang w:eastAsia="en-US"/>
              </w:rPr>
            </w:pPr>
            <w:r w:rsidRPr="004D0DAA">
              <w:rPr>
                <w:lang w:eastAsia="en-US"/>
              </w:rPr>
              <w:t>MCS-3</w:t>
            </w:r>
          </w:p>
        </w:tc>
        <w:tc>
          <w:tcPr>
            <w:tcW w:w="794" w:type="dxa"/>
          </w:tcPr>
          <w:p w14:paraId="2CD385CE" w14:textId="77777777" w:rsidR="00711444" w:rsidRPr="004D0DAA" w:rsidRDefault="00711444" w:rsidP="00AA2A4C">
            <w:pPr>
              <w:pStyle w:val="TAC"/>
              <w:rPr>
                <w:lang w:eastAsia="en-US"/>
              </w:rPr>
            </w:pPr>
            <w:r w:rsidRPr="004D0DAA">
              <w:rPr>
                <w:lang w:eastAsia="en-US"/>
              </w:rPr>
              <w:t>MCS-3</w:t>
            </w:r>
          </w:p>
        </w:tc>
        <w:tc>
          <w:tcPr>
            <w:tcW w:w="794" w:type="dxa"/>
          </w:tcPr>
          <w:p w14:paraId="49C0F67E" w14:textId="77777777" w:rsidR="00711444" w:rsidRPr="004D0DAA" w:rsidRDefault="00711444" w:rsidP="00AA2A4C">
            <w:pPr>
              <w:pStyle w:val="TAC"/>
              <w:rPr>
                <w:lang w:eastAsia="en-US"/>
              </w:rPr>
            </w:pPr>
            <w:r w:rsidRPr="004D0DAA">
              <w:rPr>
                <w:lang w:eastAsia="en-US"/>
              </w:rPr>
              <w:t>MCS-3</w:t>
            </w:r>
          </w:p>
        </w:tc>
        <w:tc>
          <w:tcPr>
            <w:tcW w:w="794" w:type="dxa"/>
          </w:tcPr>
          <w:p w14:paraId="0ABD24A1" w14:textId="77777777" w:rsidR="00711444" w:rsidRPr="004D0DAA" w:rsidRDefault="00711444" w:rsidP="00AA2A4C">
            <w:pPr>
              <w:pStyle w:val="TAC"/>
              <w:rPr>
                <w:lang w:eastAsia="en-US"/>
              </w:rPr>
            </w:pPr>
            <w:r w:rsidRPr="004D0DAA">
              <w:rPr>
                <w:lang w:eastAsia="en-US"/>
              </w:rPr>
              <w:t>MCS-3</w:t>
            </w:r>
          </w:p>
        </w:tc>
        <w:tc>
          <w:tcPr>
            <w:tcW w:w="794" w:type="dxa"/>
          </w:tcPr>
          <w:p w14:paraId="1532FAB3" w14:textId="77777777" w:rsidR="00711444" w:rsidRPr="004D0DAA" w:rsidRDefault="00711444" w:rsidP="00AA2A4C">
            <w:pPr>
              <w:pStyle w:val="TAC"/>
              <w:rPr>
                <w:lang w:eastAsia="en-US"/>
              </w:rPr>
            </w:pPr>
            <w:r w:rsidRPr="004D0DAA">
              <w:rPr>
                <w:lang w:eastAsia="en-US"/>
              </w:rPr>
              <w:t>MCS-3</w:t>
            </w:r>
          </w:p>
        </w:tc>
      </w:tr>
      <w:tr w:rsidR="00711444" w:rsidRPr="004D0DAA" w14:paraId="41B73A92" w14:textId="77777777" w:rsidTr="00AA2A4C">
        <w:tblPrEx>
          <w:tblCellMar>
            <w:top w:w="0" w:type="dxa"/>
            <w:bottom w:w="0" w:type="dxa"/>
          </w:tblCellMar>
        </w:tblPrEx>
        <w:tc>
          <w:tcPr>
            <w:tcW w:w="907" w:type="dxa"/>
          </w:tcPr>
          <w:p w14:paraId="251A717A" w14:textId="77777777" w:rsidR="00711444" w:rsidRPr="004D0DAA" w:rsidRDefault="00711444" w:rsidP="00AA2A4C">
            <w:pPr>
              <w:pStyle w:val="TAC"/>
              <w:rPr>
                <w:lang w:eastAsia="en-US"/>
              </w:rPr>
            </w:pPr>
            <w:r w:rsidRPr="004D0DAA">
              <w:rPr>
                <w:lang w:eastAsia="en-US"/>
              </w:rPr>
              <w:t>MCS-2</w:t>
            </w:r>
          </w:p>
        </w:tc>
        <w:tc>
          <w:tcPr>
            <w:tcW w:w="794" w:type="dxa"/>
          </w:tcPr>
          <w:p w14:paraId="02800E1F" w14:textId="77777777" w:rsidR="00711444" w:rsidRPr="004D0DAA" w:rsidRDefault="00711444" w:rsidP="00AA2A4C">
            <w:pPr>
              <w:pStyle w:val="TAC"/>
              <w:rPr>
                <w:lang w:eastAsia="en-US"/>
              </w:rPr>
            </w:pPr>
            <w:r w:rsidRPr="004D0DAA">
              <w:rPr>
                <w:lang w:eastAsia="en-US"/>
              </w:rPr>
              <w:t>MCS-2</w:t>
            </w:r>
          </w:p>
        </w:tc>
        <w:tc>
          <w:tcPr>
            <w:tcW w:w="794" w:type="dxa"/>
          </w:tcPr>
          <w:p w14:paraId="05AA629A" w14:textId="77777777" w:rsidR="00711444" w:rsidRPr="004D0DAA" w:rsidRDefault="00711444" w:rsidP="00AA2A4C">
            <w:pPr>
              <w:pStyle w:val="TAC"/>
              <w:rPr>
                <w:lang w:eastAsia="en-US"/>
              </w:rPr>
            </w:pPr>
            <w:r w:rsidRPr="004D0DAA">
              <w:rPr>
                <w:lang w:eastAsia="en-US"/>
              </w:rPr>
              <w:t>MCS-2</w:t>
            </w:r>
          </w:p>
        </w:tc>
        <w:tc>
          <w:tcPr>
            <w:tcW w:w="794" w:type="dxa"/>
          </w:tcPr>
          <w:p w14:paraId="74956F48" w14:textId="77777777" w:rsidR="00711444" w:rsidRPr="004D0DAA" w:rsidRDefault="00711444" w:rsidP="00AA2A4C">
            <w:pPr>
              <w:pStyle w:val="TAC"/>
              <w:rPr>
                <w:lang w:eastAsia="en-US"/>
              </w:rPr>
            </w:pPr>
            <w:r w:rsidRPr="004D0DAA">
              <w:rPr>
                <w:lang w:eastAsia="en-US"/>
              </w:rPr>
              <w:t>MCS-2</w:t>
            </w:r>
          </w:p>
        </w:tc>
        <w:tc>
          <w:tcPr>
            <w:tcW w:w="794" w:type="dxa"/>
          </w:tcPr>
          <w:p w14:paraId="23DB1CFA" w14:textId="77777777" w:rsidR="00711444" w:rsidRPr="004D0DAA" w:rsidRDefault="00711444" w:rsidP="00AA2A4C">
            <w:pPr>
              <w:pStyle w:val="TAC"/>
              <w:rPr>
                <w:lang w:eastAsia="en-US"/>
              </w:rPr>
            </w:pPr>
            <w:r w:rsidRPr="004D0DAA">
              <w:rPr>
                <w:lang w:eastAsia="en-US"/>
              </w:rPr>
              <w:t>MCS-2</w:t>
            </w:r>
          </w:p>
        </w:tc>
        <w:tc>
          <w:tcPr>
            <w:tcW w:w="794" w:type="dxa"/>
          </w:tcPr>
          <w:p w14:paraId="27F368E1" w14:textId="77777777" w:rsidR="00711444" w:rsidRPr="004D0DAA" w:rsidRDefault="00711444" w:rsidP="00AA2A4C">
            <w:pPr>
              <w:pStyle w:val="TAC"/>
              <w:rPr>
                <w:lang w:eastAsia="en-US"/>
              </w:rPr>
            </w:pPr>
            <w:r w:rsidRPr="004D0DAA">
              <w:rPr>
                <w:lang w:eastAsia="en-US"/>
              </w:rPr>
              <w:t>MCS-2</w:t>
            </w:r>
          </w:p>
        </w:tc>
        <w:tc>
          <w:tcPr>
            <w:tcW w:w="794" w:type="dxa"/>
          </w:tcPr>
          <w:p w14:paraId="400B5335" w14:textId="77777777" w:rsidR="00711444" w:rsidRPr="004D0DAA" w:rsidRDefault="00711444" w:rsidP="00AA2A4C">
            <w:pPr>
              <w:pStyle w:val="TAC"/>
              <w:rPr>
                <w:lang w:eastAsia="en-US"/>
              </w:rPr>
            </w:pPr>
            <w:r w:rsidRPr="004D0DAA">
              <w:rPr>
                <w:lang w:eastAsia="en-US"/>
              </w:rPr>
              <w:t>MCS-2</w:t>
            </w:r>
          </w:p>
        </w:tc>
        <w:tc>
          <w:tcPr>
            <w:tcW w:w="794" w:type="dxa"/>
          </w:tcPr>
          <w:p w14:paraId="0D83FF6F" w14:textId="77777777" w:rsidR="00711444" w:rsidRPr="004D0DAA" w:rsidRDefault="00711444" w:rsidP="00AA2A4C">
            <w:pPr>
              <w:pStyle w:val="TAC"/>
              <w:rPr>
                <w:lang w:eastAsia="en-US"/>
              </w:rPr>
            </w:pPr>
            <w:r w:rsidRPr="004D0DAA">
              <w:rPr>
                <w:lang w:eastAsia="en-US"/>
              </w:rPr>
              <w:t>MCS-2</w:t>
            </w:r>
          </w:p>
        </w:tc>
        <w:tc>
          <w:tcPr>
            <w:tcW w:w="794" w:type="dxa"/>
          </w:tcPr>
          <w:p w14:paraId="1BEAFD60" w14:textId="77777777" w:rsidR="00711444" w:rsidRPr="004D0DAA" w:rsidRDefault="00711444" w:rsidP="00AA2A4C">
            <w:pPr>
              <w:pStyle w:val="TAC"/>
              <w:rPr>
                <w:lang w:eastAsia="en-US"/>
              </w:rPr>
            </w:pPr>
            <w:r w:rsidRPr="004D0DAA">
              <w:rPr>
                <w:lang w:eastAsia="en-US"/>
              </w:rPr>
              <w:t>MCS-2</w:t>
            </w:r>
          </w:p>
        </w:tc>
        <w:tc>
          <w:tcPr>
            <w:tcW w:w="794" w:type="dxa"/>
          </w:tcPr>
          <w:p w14:paraId="2106FA42" w14:textId="77777777" w:rsidR="00711444" w:rsidRPr="004D0DAA" w:rsidRDefault="00711444" w:rsidP="00AA2A4C">
            <w:pPr>
              <w:pStyle w:val="TAC"/>
              <w:rPr>
                <w:lang w:eastAsia="en-US"/>
              </w:rPr>
            </w:pPr>
            <w:r w:rsidRPr="004D0DAA">
              <w:rPr>
                <w:lang w:eastAsia="en-US"/>
              </w:rPr>
              <w:t>MCS-2</w:t>
            </w:r>
          </w:p>
        </w:tc>
        <w:tc>
          <w:tcPr>
            <w:tcW w:w="794" w:type="dxa"/>
          </w:tcPr>
          <w:p w14:paraId="23BB7A2A" w14:textId="77777777" w:rsidR="00711444" w:rsidRPr="004D0DAA" w:rsidRDefault="00711444" w:rsidP="00AA2A4C">
            <w:pPr>
              <w:pStyle w:val="TAC"/>
              <w:rPr>
                <w:lang w:eastAsia="en-US"/>
              </w:rPr>
            </w:pPr>
            <w:r w:rsidRPr="004D0DAA">
              <w:rPr>
                <w:lang w:eastAsia="en-US"/>
              </w:rPr>
              <w:t>MCS-2</w:t>
            </w:r>
          </w:p>
        </w:tc>
        <w:tc>
          <w:tcPr>
            <w:tcW w:w="794" w:type="dxa"/>
          </w:tcPr>
          <w:p w14:paraId="6A4A5BF8" w14:textId="77777777" w:rsidR="00711444" w:rsidRPr="004D0DAA" w:rsidRDefault="00711444" w:rsidP="00AA2A4C">
            <w:pPr>
              <w:pStyle w:val="TAC"/>
              <w:rPr>
                <w:lang w:eastAsia="en-US"/>
              </w:rPr>
            </w:pPr>
            <w:r w:rsidRPr="004D0DAA">
              <w:rPr>
                <w:lang w:eastAsia="en-US"/>
              </w:rPr>
              <w:t>MCS-2</w:t>
            </w:r>
          </w:p>
        </w:tc>
      </w:tr>
      <w:tr w:rsidR="00711444" w:rsidRPr="004D0DAA" w14:paraId="58CBD002" w14:textId="77777777" w:rsidTr="00AA2A4C">
        <w:tblPrEx>
          <w:tblCellMar>
            <w:top w:w="0" w:type="dxa"/>
            <w:bottom w:w="0" w:type="dxa"/>
          </w:tblCellMar>
        </w:tblPrEx>
        <w:tc>
          <w:tcPr>
            <w:tcW w:w="907" w:type="dxa"/>
          </w:tcPr>
          <w:p w14:paraId="2D4EC816" w14:textId="77777777" w:rsidR="00711444" w:rsidRPr="004D0DAA" w:rsidRDefault="00711444" w:rsidP="00AA2A4C">
            <w:pPr>
              <w:pStyle w:val="TAC"/>
              <w:rPr>
                <w:lang w:eastAsia="en-US"/>
              </w:rPr>
            </w:pPr>
            <w:r w:rsidRPr="004D0DAA">
              <w:rPr>
                <w:lang w:eastAsia="en-US"/>
              </w:rPr>
              <w:t>MCS-1</w:t>
            </w:r>
          </w:p>
        </w:tc>
        <w:tc>
          <w:tcPr>
            <w:tcW w:w="794" w:type="dxa"/>
          </w:tcPr>
          <w:p w14:paraId="425EADB0" w14:textId="77777777" w:rsidR="00711444" w:rsidRPr="004D0DAA" w:rsidRDefault="00711444" w:rsidP="00AA2A4C">
            <w:pPr>
              <w:pStyle w:val="TAC"/>
              <w:rPr>
                <w:lang w:eastAsia="en-US"/>
              </w:rPr>
            </w:pPr>
            <w:r w:rsidRPr="004D0DAA">
              <w:rPr>
                <w:lang w:eastAsia="en-US"/>
              </w:rPr>
              <w:t>MCS-1</w:t>
            </w:r>
          </w:p>
        </w:tc>
        <w:tc>
          <w:tcPr>
            <w:tcW w:w="794" w:type="dxa"/>
          </w:tcPr>
          <w:p w14:paraId="453A0D88" w14:textId="77777777" w:rsidR="00711444" w:rsidRPr="004D0DAA" w:rsidRDefault="00711444" w:rsidP="00AA2A4C">
            <w:pPr>
              <w:pStyle w:val="TAC"/>
              <w:rPr>
                <w:lang w:eastAsia="en-US"/>
              </w:rPr>
            </w:pPr>
            <w:r w:rsidRPr="004D0DAA">
              <w:rPr>
                <w:lang w:eastAsia="en-US"/>
              </w:rPr>
              <w:t>MCS-1</w:t>
            </w:r>
          </w:p>
        </w:tc>
        <w:tc>
          <w:tcPr>
            <w:tcW w:w="794" w:type="dxa"/>
          </w:tcPr>
          <w:p w14:paraId="5F25F704" w14:textId="77777777" w:rsidR="00711444" w:rsidRPr="004D0DAA" w:rsidRDefault="00711444" w:rsidP="00AA2A4C">
            <w:pPr>
              <w:pStyle w:val="TAC"/>
              <w:rPr>
                <w:lang w:eastAsia="en-US"/>
              </w:rPr>
            </w:pPr>
            <w:r w:rsidRPr="004D0DAA">
              <w:rPr>
                <w:lang w:eastAsia="en-US"/>
              </w:rPr>
              <w:t>MCS-1</w:t>
            </w:r>
          </w:p>
        </w:tc>
        <w:tc>
          <w:tcPr>
            <w:tcW w:w="794" w:type="dxa"/>
          </w:tcPr>
          <w:p w14:paraId="4E8241C6" w14:textId="77777777" w:rsidR="00711444" w:rsidRPr="004D0DAA" w:rsidRDefault="00711444" w:rsidP="00AA2A4C">
            <w:pPr>
              <w:pStyle w:val="TAC"/>
              <w:rPr>
                <w:lang w:eastAsia="en-US"/>
              </w:rPr>
            </w:pPr>
            <w:r w:rsidRPr="004D0DAA">
              <w:rPr>
                <w:lang w:eastAsia="en-US"/>
              </w:rPr>
              <w:t>MCS-1</w:t>
            </w:r>
          </w:p>
        </w:tc>
        <w:tc>
          <w:tcPr>
            <w:tcW w:w="794" w:type="dxa"/>
          </w:tcPr>
          <w:p w14:paraId="7622234A" w14:textId="77777777" w:rsidR="00711444" w:rsidRPr="004D0DAA" w:rsidRDefault="00711444" w:rsidP="00AA2A4C">
            <w:pPr>
              <w:pStyle w:val="TAC"/>
              <w:rPr>
                <w:lang w:eastAsia="en-US"/>
              </w:rPr>
            </w:pPr>
            <w:r w:rsidRPr="004D0DAA">
              <w:rPr>
                <w:lang w:eastAsia="en-US"/>
              </w:rPr>
              <w:t>MCS-1</w:t>
            </w:r>
          </w:p>
        </w:tc>
        <w:tc>
          <w:tcPr>
            <w:tcW w:w="794" w:type="dxa"/>
          </w:tcPr>
          <w:p w14:paraId="16B0D056" w14:textId="77777777" w:rsidR="00711444" w:rsidRPr="004D0DAA" w:rsidRDefault="00711444" w:rsidP="00AA2A4C">
            <w:pPr>
              <w:pStyle w:val="TAC"/>
              <w:rPr>
                <w:lang w:eastAsia="en-US"/>
              </w:rPr>
            </w:pPr>
            <w:r w:rsidRPr="004D0DAA">
              <w:rPr>
                <w:lang w:eastAsia="en-US"/>
              </w:rPr>
              <w:t>MCS-1</w:t>
            </w:r>
          </w:p>
        </w:tc>
        <w:tc>
          <w:tcPr>
            <w:tcW w:w="794" w:type="dxa"/>
          </w:tcPr>
          <w:p w14:paraId="18352FDD" w14:textId="77777777" w:rsidR="00711444" w:rsidRPr="004D0DAA" w:rsidRDefault="00711444" w:rsidP="00AA2A4C">
            <w:pPr>
              <w:pStyle w:val="TAC"/>
              <w:rPr>
                <w:lang w:eastAsia="en-US"/>
              </w:rPr>
            </w:pPr>
            <w:r w:rsidRPr="004D0DAA">
              <w:rPr>
                <w:lang w:eastAsia="en-US"/>
              </w:rPr>
              <w:t>MCS-1</w:t>
            </w:r>
          </w:p>
        </w:tc>
        <w:tc>
          <w:tcPr>
            <w:tcW w:w="794" w:type="dxa"/>
          </w:tcPr>
          <w:p w14:paraId="4B79E2BD" w14:textId="77777777" w:rsidR="00711444" w:rsidRPr="004D0DAA" w:rsidRDefault="00711444" w:rsidP="00AA2A4C">
            <w:pPr>
              <w:pStyle w:val="TAC"/>
              <w:rPr>
                <w:lang w:eastAsia="en-US"/>
              </w:rPr>
            </w:pPr>
            <w:r w:rsidRPr="004D0DAA">
              <w:rPr>
                <w:lang w:eastAsia="en-US"/>
              </w:rPr>
              <w:t>MCS-1</w:t>
            </w:r>
          </w:p>
        </w:tc>
        <w:tc>
          <w:tcPr>
            <w:tcW w:w="794" w:type="dxa"/>
          </w:tcPr>
          <w:p w14:paraId="1DFC4202" w14:textId="77777777" w:rsidR="00711444" w:rsidRPr="004D0DAA" w:rsidRDefault="00711444" w:rsidP="00AA2A4C">
            <w:pPr>
              <w:pStyle w:val="TAC"/>
              <w:rPr>
                <w:lang w:eastAsia="en-US"/>
              </w:rPr>
            </w:pPr>
            <w:r w:rsidRPr="004D0DAA">
              <w:rPr>
                <w:lang w:eastAsia="en-US"/>
              </w:rPr>
              <w:t>MCS-1</w:t>
            </w:r>
          </w:p>
        </w:tc>
        <w:tc>
          <w:tcPr>
            <w:tcW w:w="794" w:type="dxa"/>
          </w:tcPr>
          <w:p w14:paraId="717CF5EE" w14:textId="77777777" w:rsidR="00711444" w:rsidRPr="004D0DAA" w:rsidRDefault="00711444" w:rsidP="00AA2A4C">
            <w:pPr>
              <w:pStyle w:val="TAC"/>
              <w:rPr>
                <w:lang w:eastAsia="en-US"/>
              </w:rPr>
            </w:pPr>
            <w:r w:rsidRPr="004D0DAA">
              <w:rPr>
                <w:lang w:eastAsia="en-US"/>
              </w:rPr>
              <w:t>MCS-1</w:t>
            </w:r>
          </w:p>
        </w:tc>
        <w:tc>
          <w:tcPr>
            <w:tcW w:w="794" w:type="dxa"/>
          </w:tcPr>
          <w:p w14:paraId="61F395EF" w14:textId="77777777" w:rsidR="00711444" w:rsidRPr="004D0DAA" w:rsidRDefault="00711444" w:rsidP="00AA2A4C">
            <w:pPr>
              <w:pStyle w:val="TAC"/>
              <w:rPr>
                <w:lang w:eastAsia="en-US"/>
              </w:rPr>
            </w:pPr>
            <w:r w:rsidRPr="004D0DAA">
              <w:rPr>
                <w:lang w:eastAsia="en-US"/>
              </w:rPr>
              <w:t>MCS-1</w:t>
            </w:r>
          </w:p>
        </w:tc>
      </w:tr>
      <w:tr w:rsidR="00711444" w:rsidRPr="004D0DAA" w14:paraId="44FDF502" w14:textId="77777777" w:rsidTr="00AA2A4C">
        <w:tblPrEx>
          <w:tblCellMar>
            <w:top w:w="0" w:type="dxa"/>
            <w:bottom w:w="0" w:type="dxa"/>
          </w:tblCellMar>
        </w:tblPrEx>
        <w:trPr>
          <w:cantSplit/>
        </w:trPr>
        <w:tc>
          <w:tcPr>
            <w:tcW w:w="9641" w:type="dxa"/>
            <w:gridSpan w:val="12"/>
          </w:tcPr>
          <w:p w14:paraId="1DF7C2EE" w14:textId="77777777" w:rsidR="00711444" w:rsidRPr="004D0DAA" w:rsidRDefault="00711444" w:rsidP="00AA2A4C">
            <w:pPr>
              <w:pStyle w:val="TAN"/>
              <w:rPr>
                <w:lang w:eastAsia="en-US"/>
              </w:rPr>
            </w:pPr>
            <w:r w:rsidRPr="004D0DAA">
              <w:rPr>
                <w:iCs/>
                <w:lang w:eastAsia="en-US"/>
              </w:rPr>
              <w:t>NOTE:</w:t>
            </w:r>
            <w:r w:rsidRPr="004D0DAA">
              <w:rPr>
                <w:iCs/>
                <w:lang w:eastAsia="en-US"/>
              </w:rPr>
              <w:tab/>
            </w:r>
            <w:r w:rsidRPr="004D0DAA">
              <w:rPr>
                <w:lang w:eastAsia="en-US"/>
              </w:rPr>
              <w:t>MCS to use for retransmissions when re-segmentation (RESEGMENT bit set to ‘1') is carried out (specified as a function of the scheme used for the initial transmission).</w:t>
            </w:r>
          </w:p>
        </w:tc>
      </w:tr>
    </w:tbl>
    <w:p w14:paraId="5DAD31AE" w14:textId="77777777" w:rsidR="00711444" w:rsidRPr="004D0DAA" w:rsidRDefault="00711444" w:rsidP="00711444"/>
    <w:p w14:paraId="5857C5E3" w14:textId="77777777" w:rsidR="00711444" w:rsidRPr="004D0DAA" w:rsidRDefault="00711444" w:rsidP="00711444">
      <w:pPr>
        <w:pStyle w:val="TH"/>
      </w:pPr>
      <w:r w:rsidRPr="004D0DAA">
        <w:t xml:space="preserve">Table 8.1.1.2: Choice of MCS for retransmissions without re-segmentation </w:t>
      </w:r>
      <w:r w:rsidRPr="004D0DAA">
        <w:rPr>
          <w:lang w:val="en-US"/>
        </w:rPr>
        <w:t>(EGPRS/EC-GSM-IoT)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7"/>
        <w:gridCol w:w="794"/>
        <w:gridCol w:w="794"/>
        <w:gridCol w:w="794"/>
        <w:gridCol w:w="794"/>
        <w:gridCol w:w="794"/>
        <w:gridCol w:w="794"/>
        <w:gridCol w:w="794"/>
        <w:gridCol w:w="794"/>
        <w:gridCol w:w="794"/>
        <w:gridCol w:w="794"/>
        <w:gridCol w:w="794"/>
      </w:tblGrid>
      <w:tr w:rsidR="00711444" w:rsidRPr="004D0DAA" w14:paraId="23335A9D" w14:textId="77777777" w:rsidTr="00AA2A4C">
        <w:tblPrEx>
          <w:tblCellMar>
            <w:top w:w="0" w:type="dxa"/>
            <w:bottom w:w="0" w:type="dxa"/>
          </w:tblCellMar>
        </w:tblPrEx>
        <w:trPr>
          <w:cantSplit/>
          <w:trHeight w:val="575"/>
        </w:trPr>
        <w:tc>
          <w:tcPr>
            <w:tcW w:w="907" w:type="dxa"/>
          </w:tcPr>
          <w:p w14:paraId="3A4F81F6" w14:textId="77777777" w:rsidR="00711444" w:rsidRPr="004D0DAA" w:rsidRDefault="00711444" w:rsidP="00AA2A4C">
            <w:pPr>
              <w:pStyle w:val="TAC"/>
              <w:rPr>
                <w:lang w:eastAsia="en-US"/>
              </w:rPr>
            </w:pPr>
            <w:r w:rsidRPr="004D0DAA">
              <w:rPr>
                <w:b/>
                <w:lang w:eastAsia="en-US"/>
              </w:rPr>
              <w:t>Scheme used for</w:t>
            </w:r>
          </w:p>
          <w:p w14:paraId="173994CF" w14:textId="77777777" w:rsidR="00711444" w:rsidRPr="004D0DAA" w:rsidRDefault="00711444" w:rsidP="00AA2A4C">
            <w:pPr>
              <w:pStyle w:val="TAC"/>
              <w:rPr>
                <w:lang w:eastAsia="en-US"/>
              </w:rPr>
            </w:pPr>
            <w:r w:rsidRPr="004D0DAA">
              <w:rPr>
                <w:lang w:eastAsia="en-US"/>
              </w:rPr>
              <w:t>Initial transmission</w:t>
            </w:r>
          </w:p>
        </w:tc>
        <w:tc>
          <w:tcPr>
            <w:tcW w:w="8734" w:type="dxa"/>
            <w:gridSpan w:val="11"/>
          </w:tcPr>
          <w:p w14:paraId="170E85E5" w14:textId="77777777" w:rsidR="00711444" w:rsidRPr="004D0DAA" w:rsidRDefault="00711444" w:rsidP="00AA2A4C">
            <w:pPr>
              <w:pStyle w:val="TAC"/>
              <w:rPr>
                <w:lang w:eastAsia="en-US"/>
              </w:rPr>
            </w:pPr>
            <w:r w:rsidRPr="004D0DAA">
              <w:rPr>
                <w:b/>
                <w:lang w:eastAsia="en-US"/>
              </w:rPr>
              <w:t>Scheme to use for retransmissions after switching to a different MCS</w:t>
            </w:r>
          </w:p>
        </w:tc>
      </w:tr>
      <w:tr w:rsidR="00711444" w:rsidRPr="004D0DAA" w14:paraId="46A33CAB" w14:textId="77777777" w:rsidTr="00AA2A4C">
        <w:tblPrEx>
          <w:tblCellMar>
            <w:top w:w="0" w:type="dxa"/>
            <w:bottom w:w="0" w:type="dxa"/>
          </w:tblCellMar>
        </w:tblPrEx>
        <w:trPr>
          <w:cantSplit/>
          <w:trHeight w:val="575"/>
        </w:trPr>
        <w:tc>
          <w:tcPr>
            <w:tcW w:w="907" w:type="dxa"/>
          </w:tcPr>
          <w:p w14:paraId="04280A43" w14:textId="77777777" w:rsidR="00711444" w:rsidRPr="004D0DAA" w:rsidRDefault="00711444" w:rsidP="00AA2A4C"/>
        </w:tc>
        <w:tc>
          <w:tcPr>
            <w:tcW w:w="794" w:type="dxa"/>
          </w:tcPr>
          <w:p w14:paraId="0F1E5BEC" w14:textId="77777777" w:rsidR="00711444" w:rsidRPr="004D0DAA" w:rsidRDefault="00711444" w:rsidP="00AA2A4C">
            <w:pPr>
              <w:pStyle w:val="TAC"/>
              <w:rPr>
                <w:lang w:eastAsia="en-US"/>
              </w:rPr>
            </w:pPr>
            <w:r w:rsidRPr="004D0DAA">
              <w:rPr>
                <w:b/>
                <w:lang w:eastAsia="en-US"/>
              </w:rPr>
              <w:t>MCS-9</w:t>
            </w:r>
          </w:p>
          <w:p w14:paraId="1AB92D53" w14:textId="77777777" w:rsidR="00711444" w:rsidRPr="004D0DAA" w:rsidRDefault="00711444" w:rsidP="00AA2A4C">
            <w:pPr>
              <w:pStyle w:val="TAC"/>
              <w:rPr>
                <w:lang w:eastAsia="en-US"/>
              </w:rPr>
            </w:pPr>
            <w:r w:rsidRPr="004D0DAA">
              <w:rPr>
                <w:lang w:eastAsia="en-US"/>
              </w:rPr>
              <w:t>Commanded</w:t>
            </w:r>
          </w:p>
        </w:tc>
        <w:tc>
          <w:tcPr>
            <w:tcW w:w="794" w:type="dxa"/>
          </w:tcPr>
          <w:p w14:paraId="4D0C92A8" w14:textId="77777777" w:rsidR="00711444" w:rsidRPr="004D0DAA" w:rsidRDefault="00711444" w:rsidP="00AA2A4C">
            <w:pPr>
              <w:pStyle w:val="TAC"/>
              <w:rPr>
                <w:lang w:eastAsia="en-US"/>
              </w:rPr>
            </w:pPr>
            <w:r w:rsidRPr="004D0DAA">
              <w:rPr>
                <w:b/>
                <w:lang w:eastAsia="en-US"/>
              </w:rPr>
              <w:t>MCS-8</w:t>
            </w:r>
          </w:p>
          <w:p w14:paraId="76631823" w14:textId="77777777" w:rsidR="00711444" w:rsidRPr="004D0DAA" w:rsidRDefault="00711444" w:rsidP="00AA2A4C">
            <w:pPr>
              <w:pStyle w:val="TAC"/>
              <w:rPr>
                <w:lang w:eastAsia="en-US"/>
              </w:rPr>
            </w:pPr>
            <w:r w:rsidRPr="004D0DAA">
              <w:rPr>
                <w:lang w:eastAsia="en-US"/>
              </w:rPr>
              <w:t>Commanded</w:t>
            </w:r>
          </w:p>
        </w:tc>
        <w:tc>
          <w:tcPr>
            <w:tcW w:w="794" w:type="dxa"/>
          </w:tcPr>
          <w:p w14:paraId="52A1E023" w14:textId="77777777" w:rsidR="00711444" w:rsidRPr="004D0DAA" w:rsidRDefault="00711444" w:rsidP="00AA2A4C">
            <w:pPr>
              <w:pStyle w:val="TAC"/>
              <w:rPr>
                <w:lang w:eastAsia="en-US"/>
              </w:rPr>
            </w:pPr>
            <w:r w:rsidRPr="004D0DAA">
              <w:rPr>
                <w:b/>
                <w:lang w:eastAsia="en-US"/>
              </w:rPr>
              <w:t>MCS-7</w:t>
            </w:r>
          </w:p>
          <w:p w14:paraId="27208E6F" w14:textId="77777777" w:rsidR="00711444" w:rsidRPr="004D0DAA" w:rsidRDefault="00711444" w:rsidP="00AA2A4C">
            <w:pPr>
              <w:pStyle w:val="TAC"/>
              <w:rPr>
                <w:lang w:eastAsia="en-US"/>
              </w:rPr>
            </w:pPr>
            <w:r w:rsidRPr="004D0DAA">
              <w:rPr>
                <w:lang w:eastAsia="en-US"/>
              </w:rPr>
              <w:t>Commanded</w:t>
            </w:r>
          </w:p>
        </w:tc>
        <w:tc>
          <w:tcPr>
            <w:tcW w:w="794" w:type="dxa"/>
          </w:tcPr>
          <w:p w14:paraId="27050B7F" w14:textId="77777777" w:rsidR="00711444" w:rsidRPr="004D0DAA" w:rsidRDefault="00711444" w:rsidP="00AA2A4C">
            <w:pPr>
              <w:pStyle w:val="TAC"/>
              <w:rPr>
                <w:lang w:eastAsia="en-US"/>
              </w:rPr>
            </w:pPr>
            <w:r w:rsidRPr="004D0DAA">
              <w:rPr>
                <w:b/>
                <w:lang w:eastAsia="en-US"/>
              </w:rPr>
              <w:t>MCS-6-9 Commanded</w:t>
            </w:r>
          </w:p>
        </w:tc>
        <w:tc>
          <w:tcPr>
            <w:tcW w:w="794" w:type="dxa"/>
          </w:tcPr>
          <w:p w14:paraId="0796D272" w14:textId="77777777" w:rsidR="00711444" w:rsidRPr="004D0DAA" w:rsidRDefault="00711444" w:rsidP="00AA2A4C">
            <w:pPr>
              <w:pStyle w:val="TAC"/>
              <w:rPr>
                <w:lang w:eastAsia="en-US"/>
              </w:rPr>
            </w:pPr>
            <w:r w:rsidRPr="004D0DAA">
              <w:rPr>
                <w:b/>
                <w:lang w:eastAsia="en-US"/>
              </w:rPr>
              <w:t>MCS-6</w:t>
            </w:r>
          </w:p>
          <w:p w14:paraId="40140195" w14:textId="77777777" w:rsidR="00711444" w:rsidRPr="004D0DAA" w:rsidRDefault="00711444" w:rsidP="00AA2A4C">
            <w:pPr>
              <w:pStyle w:val="TAC"/>
              <w:rPr>
                <w:lang w:eastAsia="en-US"/>
              </w:rPr>
            </w:pPr>
            <w:r w:rsidRPr="004D0DAA">
              <w:rPr>
                <w:lang w:eastAsia="en-US"/>
              </w:rPr>
              <w:t>Commanded</w:t>
            </w:r>
          </w:p>
        </w:tc>
        <w:tc>
          <w:tcPr>
            <w:tcW w:w="794" w:type="dxa"/>
          </w:tcPr>
          <w:p w14:paraId="5A8D845F" w14:textId="77777777" w:rsidR="00711444" w:rsidRPr="004D0DAA" w:rsidRDefault="00711444" w:rsidP="00AA2A4C">
            <w:pPr>
              <w:pStyle w:val="TAC"/>
              <w:rPr>
                <w:lang w:eastAsia="en-US"/>
              </w:rPr>
            </w:pPr>
            <w:r w:rsidRPr="004D0DAA">
              <w:rPr>
                <w:b/>
                <w:lang w:eastAsia="en-US"/>
              </w:rPr>
              <w:t>MCS-5-7 Commanded</w:t>
            </w:r>
          </w:p>
        </w:tc>
        <w:tc>
          <w:tcPr>
            <w:tcW w:w="794" w:type="dxa"/>
          </w:tcPr>
          <w:p w14:paraId="021C2926" w14:textId="77777777" w:rsidR="00711444" w:rsidRPr="004D0DAA" w:rsidRDefault="00711444" w:rsidP="00AA2A4C">
            <w:pPr>
              <w:pStyle w:val="TAC"/>
              <w:rPr>
                <w:lang w:eastAsia="en-US"/>
              </w:rPr>
            </w:pPr>
            <w:r w:rsidRPr="004D0DAA">
              <w:rPr>
                <w:b/>
                <w:lang w:eastAsia="en-US"/>
              </w:rPr>
              <w:t>MCS-5</w:t>
            </w:r>
          </w:p>
          <w:p w14:paraId="0D635B38" w14:textId="77777777" w:rsidR="00711444" w:rsidRPr="004D0DAA" w:rsidRDefault="00711444" w:rsidP="00AA2A4C">
            <w:pPr>
              <w:pStyle w:val="TAC"/>
              <w:rPr>
                <w:lang w:eastAsia="en-US"/>
              </w:rPr>
            </w:pPr>
            <w:r w:rsidRPr="004D0DAA">
              <w:rPr>
                <w:lang w:eastAsia="en-US"/>
              </w:rPr>
              <w:t>Commanded</w:t>
            </w:r>
          </w:p>
        </w:tc>
        <w:tc>
          <w:tcPr>
            <w:tcW w:w="794" w:type="dxa"/>
          </w:tcPr>
          <w:p w14:paraId="37AF209B" w14:textId="77777777" w:rsidR="00711444" w:rsidRPr="004D0DAA" w:rsidRDefault="00711444" w:rsidP="00AA2A4C">
            <w:pPr>
              <w:pStyle w:val="TAC"/>
              <w:rPr>
                <w:lang w:eastAsia="en-US"/>
              </w:rPr>
            </w:pPr>
            <w:r w:rsidRPr="004D0DAA">
              <w:rPr>
                <w:b/>
                <w:lang w:eastAsia="en-US"/>
              </w:rPr>
              <w:t>MCS-4</w:t>
            </w:r>
          </w:p>
          <w:p w14:paraId="548299B2" w14:textId="77777777" w:rsidR="00711444" w:rsidRPr="004D0DAA" w:rsidRDefault="00711444" w:rsidP="00AA2A4C">
            <w:pPr>
              <w:pStyle w:val="TAC"/>
              <w:rPr>
                <w:lang w:eastAsia="en-US"/>
              </w:rPr>
            </w:pPr>
            <w:r w:rsidRPr="004D0DAA">
              <w:rPr>
                <w:lang w:eastAsia="en-US"/>
              </w:rPr>
              <w:t>Commanded</w:t>
            </w:r>
          </w:p>
        </w:tc>
        <w:tc>
          <w:tcPr>
            <w:tcW w:w="794" w:type="dxa"/>
          </w:tcPr>
          <w:p w14:paraId="314F3521" w14:textId="77777777" w:rsidR="00711444" w:rsidRPr="004D0DAA" w:rsidRDefault="00711444" w:rsidP="00AA2A4C">
            <w:pPr>
              <w:pStyle w:val="TAC"/>
              <w:rPr>
                <w:lang w:eastAsia="en-US"/>
              </w:rPr>
            </w:pPr>
            <w:r w:rsidRPr="004D0DAA">
              <w:rPr>
                <w:b/>
                <w:lang w:eastAsia="en-US"/>
              </w:rPr>
              <w:t>MCS-3</w:t>
            </w:r>
          </w:p>
          <w:p w14:paraId="46B6094E" w14:textId="77777777" w:rsidR="00711444" w:rsidRPr="004D0DAA" w:rsidRDefault="00711444" w:rsidP="00AA2A4C">
            <w:pPr>
              <w:pStyle w:val="TAC"/>
              <w:rPr>
                <w:lang w:eastAsia="en-US"/>
              </w:rPr>
            </w:pPr>
            <w:r w:rsidRPr="004D0DAA">
              <w:rPr>
                <w:lang w:eastAsia="en-US"/>
              </w:rPr>
              <w:t>Commanded</w:t>
            </w:r>
          </w:p>
        </w:tc>
        <w:tc>
          <w:tcPr>
            <w:tcW w:w="794" w:type="dxa"/>
          </w:tcPr>
          <w:p w14:paraId="508FD8C4" w14:textId="77777777" w:rsidR="00711444" w:rsidRPr="004D0DAA" w:rsidRDefault="00711444" w:rsidP="00AA2A4C">
            <w:pPr>
              <w:pStyle w:val="TAC"/>
              <w:rPr>
                <w:lang w:eastAsia="en-US"/>
              </w:rPr>
            </w:pPr>
            <w:r w:rsidRPr="004D0DAA">
              <w:rPr>
                <w:b/>
                <w:lang w:eastAsia="en-US"/>
              </w:rPr>
              <w:t>MCS-2</w:t>
            </w:r>
          </w:p>
          <w:p w14:paraId="397BB277" w14:textId="77777777" w:rsidR="00711444" w:rsidRPr="004D0DAA" w:rsidRDefault="00711444" w:rsidP="00AA2A4C">
            <w:pPr>
              <w:pStyle w:val="TAC"/>
              <w:rPr>
                <w:lang w:eastAsia="en-US"/>
              </w:rPr>
            </w:pPr>
            <w:r w:rsidRPr="004D0DAA">
              <w:rPr>
                <w:lang w:eastAsia="en-US"/>
              </w:rPr>
              <w:t>Commanded</w:t>
            </w:r>
          </w:p>
        </w:tc>
        <w:tc>
          <w:tcPr>
            <w:tcW w:w="794" w:type="dxa"/>
          </w:tcPr>
          <w:p w14:paraId="597A6236" w14:textId="77777777" w:rsidR="00711444" w:rsidRPr="004D0DAA" w:rsidRDefault="00711444" w:rsidP="00AA2A4C">
            <w:pPr>
              <w:pStyle w:val="TAC"/>
              <w:rPr>
                <w:lang w:eastAsia="en-US"/>
              </w:rPr>
            </w:pPr>
            <w:r w:rsidRPr="004D0DAA">
              <w:rPr>
                <w:b/>
                <w:lang w:eastAsia="en-US"/>
              </w:rPr>
              <w:t>MCS-1</w:t>
            </w:r>
          </w:p>
          <w:p w14:paraId="4716896F" w14:textId="77777777" w:rsidR="00711444" w:rsidRPr="004D0DAA" w:rsidRDefault="00711444" w:rsidP="00AA2A4C">
            <w:pPr>
              <w:pStyle w:val="TAC"/>
              <w:rPr>
                <w:lang w:eastAsia="en-US"/>
              </w:rPr>
            </w:pPr>
            <w:r w:rsidRPr="004D0DAA">
              <w:rPr>
                <w:lang w:eastAsia="en-US"/>
              </w:rPr>
              <w:t>Commanded</w:t>
            </w:r>
          </w:p>
        </w:tc>
      </w:tr>
      <w:tr w:rsidR="00711444" w:rsidRPr="004D0DAA" w14:paraId="3214C6EB" w14:textId="77777777" w:rsidTr="00AA2A4C">
        <w:tblPrEx>
          <w:tblCellMar>
            <w:top w:w="0" w:type="dxa"/>
            <w:bottom w:w="0" w:type="dxa"/>
          </w:tblCellMar>
        </w:tblPrEx>
        <w:tc>
          <w:tcPr>
            <w:tcW w:w="907" w:type="dxa"/>
          </w:tcPr>
          <w:p w14:paraId="7F5B41B0" w14:textId="77777777" w:rsidR="00711444" w:rsidRPr="004D0DAA" w:rsidRDefault="00711444" w:rsidP="00AA2A4C">
            <w:pPr>
              <w:pStyle w:val="TAC"/>
              <w:rPr>
                <w:lang w:eastAsia="en-US"/>
              </w:rPr>
            </w:pPr>
            <w:r w:rsidRPr="004D0DAA">
              <w:rPr>
                <w:lang w:eastAsia="en-US"/>
              </w:rPr>
              <w:t>MCS-9</w:t>
            </w:r>
          </w:p>
        </w:tc>
        <w:tc>
          <w:tcPr>
            <w:tcW w:w="794" w:type="dxa"/>
          </w:tcPr>
          <w:p w14:paraId="6AF3E769" w14:textId="77777777" w:rsidR="00711444" w:rsidRPr="004D0DAA" w:rsidRDefault="00711444" w:rsidP="00AA2A4C">
            <w:pPr>
              <w:pStyle w:val="TAC"/>
              <w:rPr>
                <w:lang w:eastAsia="en-US"/>
              </w:rPr>
            </w:pPr>
            <w:r w:rsidRPr="004D0DAA">
              <w:rPr>
                <w:lang w:eastAsia="en-US"/>
              </w:rPr>
              <w:t>MCS-9</w:t>
            </w:r>
          </w:p>
        </w:tc>
        <w:tc>
          <w:tcPr>
            <w:tcW w:w="794" w:type="dxa"/>
          </w:tcPr>
          <w:p w14:paraId="2A018555" w14:textId="77777777" w:rsidR="00711444" w:rsidRPr="004D0DAA" w:rsidRDefault="00711444" w:rsidP="00AA2A4C">
            <w:pPr>
              <w:pStyle w:val="TAC"/>
              <w:rPr>
                <w:lang w:eastAsia="en-US"/>
              </w:rPr>
            </w:pPr>
            <w:r w:rsidRPr="004D0DAA">
              <w:rPr>
                <w:lang w:eastAsia="en-US"/>
              </w:rPr>
              <w:t>MCS-6</w:t>
            </w:r>
          </w:p>
        </w:tc>
        <w:tc>
          <w:tcPr>
            <w:tcW w:w="794" w:type="dxa"/>
          </w:tcPr>
          <w:p w14:paraId="1764CDCC" w14:textId="77777777" w:rsidR="00711444" w:rsidRPr="004D0DAA" w:rsidRDefault="00711444" w:rsidP="00AA2A4C">
            <w:pPr>
              <w:pStyle w:val="TAC"/>
              <w:rPr>
                <w:lang w:eastAsia="en-US"/>
              </w:rPr>
            </w:pPr>
            <w:r w:rsidRPr="004D0DAA">
              <w:rPr>
                <w:lang w:eastAsia="en-US"/>
              </w:rPr>
              <w:t>MCS-6</w:t>
            </w:r>
          </w:p>
        </w:tc>
        <w:tc>
          <w:tcPr>
            <w:tcW w:w="794" w:type="dxa"/>
          </w:tcPr>
          <w:p w14:paraId="1137BC44" w14:textId="77777777" w:rsidR="00711444" w:rsidRPr="004D0DAA" w:rsidRDefault="00711444" w:rsidP="00AA2A4C">
            <w:pPr>
              <w:pStyle w:val="TAC"/>
              <w:rPr>
                <w:lang w:eastAsia="en-US"/>
              </w:rPr>
            </w:pPr>
            <w:r w:rsidRPr="004D0DAA">
              <w:rPr>
                <w:lang w:eastAsia="en-US"/>
              </w:rPr>
              <w:t>MCS-6</w:t>
            </w:r>
          </w:p>
        </w:tc>
        <w:tc>
          <w:tcPr>
            <w:tcW w:w="794" w:type="dxa"/>
          </w:tcPr>
          <w:p w14:paraId="223E362D" w14:textId="77777777" w:rsidR="00711444" w:rsidRPr="004D0DAA" w:rsidRDefault="00711444" w:rsidP="00AA2A4C">
            <w:pPr>
              <w:pStyle w:val="TAC"/>
              <w:rPr>
                <w:lang w:eastAsia="en-US"/>
              </w:rPr>
            </w:pPr>
            <w:r w:rsidRPr="004D0DAA">
              <w:rPr>
                <w:lang w:eastAsia="en-US"/>
              </w:rPr>
              <w:t>MCS-6</w:t>
            </w:r>
          </w:p>
        </w:tc>
        <w:tc>
          <w:tcPr>
            <w:tcW w:w="794" w:type="dxa"/>
          </w:tcPr>
          <w:p w14:paraId="47B11C09" w14:textId="77777777" w:rsidR="00711444" w:rsidRPr="004D0DAA" w:rsidRDefault="00711444" w:rsidP="00AA2A4C">
            <w:pPr>
              <w:pStyle w:val="TAC"/>
              <w:rPr>
                <w:lang w:eastAsia="en-US"/>
              </w:rPr>
            </w:pPr>
            <w:r w:rsidRPr="004D0DAA">
              <w:rPr>
                <w:lang w:eastAsia="en-US"/>
              </w:rPr>
              <w:t>MCS-6</w:t>
            </w:r>
          </w:p>
        </w:tc>
        <w:tc>
          <w:tcPr>
            <w:tcW w:w="794" w:type="dxa"/>
          </w:tcPr>
          <w:p w14:paraId="708D6E3E" w14:textId="77777777" w:rsidR="00711444" w:rsidRPr="004D0DAA" w:rsidRDefault="00711444" w:rsidP="00AA2A4C">
            <w:pPr>
              <w:pStyle w:val="TAC"/>
              <w:rPr>
                <w:lang w:eastAsia="en-US"/>
              </w:rPr>
            </w:pPr>
            <w:r w:rsidRPr="004D0DAA">
              <w:rPr>
                <w:lang w:eastAsia="en-US"/>
              </w:rPr>
              <w:t>MCS-6</w:t>
            </w:r>
          </w:p>
        </w:tc>
        <w:tc>
          <w:tcPr>
            <w:tcW w:w="794" w:type="dxa"/>
          </w:tcPr>
          <w:p w14:paraId="7CCB2CB7" w14:textId="77777777" w:rsidR="00711444" w:rsidRPr="004D0DAA" w:rsidRDefault="00711444" w:rsidP="00AA2A4C">
            <w:pPr>
              <w:pStyle w:val="TAC"/>
              <w:rPr>
                <w:lang w:eastAsia="en-US"/>
              </w:rPr>
            </w:pPr>
            <w:r w:rsidRPr="004D0DAA">
              <w:rPr>
                <w:lang w:eastAsia="en-US"/>
              </w:rPr>
              <w:t>MCS-6</w:t>
            </w:r>
          </w:p>
        </w:tc>
        <w:tc>
          <w:tcPr>
            <w:tcW w:w="794" w:type="dxa"/>
          </w:tcPr>
          <w:p w14:paraId="197F73C6" w14:textId="77777777" w:rsidR="00711444" w:rsidRPr="004D0DAA" w:rsidRDefault="00711444" w:rsidP="00AA2A4C">
            <w:pPr>
              <w:pStyle w:val="TAC"/>
              <w:rPr>
                <w:lang w:eastAsia="en-US"/>
              </w:rPr>
            </w:pPr>
            <w:r w:rsidRPr="004D0DAA">
              <w:rPr>
                <w:lang w:eastAsia="en-US"/>
              </w:rPr>
              <w:t>MCS-6</w:t>
            </w:r>
          </w:p>
        </w:tc>
        <w:tc>
          <w:tcPr>
            <w:tcW w:w="794" w:type="dxa"/>
          </w:tcPr>
          <w:p w14:paraId="4989402E" w14:textId="77777777" w:rsidR="00711444" w:rsidRPr="004D0DAA" w:rsidRDefault="00711444" w:rsidP="00AA2A4C">
            <w:pPr>
              <w:pStyle w:val="TAC"/>
              <w:rPr>
                <w:lang w:eastAsia="en-US"/>
              </w:rPr>
            </w:pPr>
            <w:r w:rsidRPr="004D0DAA">
              <w:rPr>
                <w:lang w:eastAsia="en-US"/>
              </w:rPr>
              <w:t>MCS-6</w:t>
            </w:r>
          </w:p>
        </w:tc>
        <w:tc>
          <w:tcPr>
            <w:tcW w:w="794" w:type="dxa"/>
          </w:tcPr>
          <w:p w14:paraId="317008F7" w14:textId="77777777" w:rsidR="00711444" w:rsidRPr="004D0DAA" w:rsidRDefault="00711444" w:rsidP="00AA2A4C">
            <w:pPr>
              <w:pStyle w:val="TAC"/>
              <w:rPr>
                <w:lang w:eastAsia="en-US"/>
              </w:rPr>
            </w:pPr>
            <w:r w:rsidRPr="004D0DAA">
              <w:rPr>
                <w:lang w:eastAsia="en-US"/>
              </w:rPr>
              <w:t>MCS-6</w:t>
            </w:r>
          </w:p>
        </w:tc>
      </w:tr>
      <w:tr w:rsidR="00711444" w:rsidRPr="004D0DAA" w14:paraId="19F131B8" w14:textId="77777777" w:rsidTr="00AA2A4C">
        <w:tblPrEx>
          <w:tblCellMar>
            <w:top w:w="0" w:type="dxa"/>
            <w:bottom w:w="0" w:type="dxa"/>
          </w:tblCellMar>
        </w:tblPrEx>
        <w:tc>
          <w:tcPr>
            <w:tcW w:w="907" w:type="dxa"/>
          </w:tcPr>
          <w:p w14:paraId="62200162" w14:textId="77777777" w:rsidR="00711444" w:rsidRPr="004D0DAA" w:rsidRDefault="00711444" w:rsidP="00AA2A4C">
            <w:pPr>
              <w:pStyle w:val="TAC"/>
              <w:rPr>
                <w:lang w:eastAsia="en-US"/>
              </w:rPr>
            </w:pPr>
            <w:r w:rsidRPr="004D0DAA">
              <w:rPr>
                <w:lang w:eastAsia="en-US"/>
              </w:rPr>
              <w:t>MCS-8</w:t>
            </w:r>
          </w:p>
        </w:tc>
        <w:tc>
          <w:tcPr>
            <w:tcW w:w="794" w:type="dxa"/>
          </w:tcPr>
          <w:p w14:paraId="00E1E88B" w14:textId="77777777" w:rsidR="00711444" w:rsidRPr="004D0DAA" w:rsidRDefault="00711444" w:rsidP="00AA2A4C">
            <w:pPr>
              <w:pStyle w:val="TAC"/>
              <w:rPr>
                <w:lang w:eastAsia="en-US"/>
              </w:rPr>
            </w:pPr>
            <w:r w:rsidRPr="004D0DAA">
              <w:rPr>
                <w:lang w:eastAsia="en-US"/>
              </w:rPr>
              <w:t>MCS-8</w:t>
            </w:r>
          </w:p>
        </w:tc>
        <w:tc>
          <w:tcPr>
            <w:tcW w:w="794" w:type="dxa"/>
          </w:tcPr>
          <w:p w14:paraId="75A2CB19" w14:textId="77777777" w:rsidR="00711444" w:rsidRPr="004D0DAA" w:rsidRDefault="00711444" w:rsidP="00AA2A4C">
            <w:pPr>
              <w:pStyle w:val="TAC"/>
              <w:rPr>
                <w:lang w:eastAsia="en-US"/>
              </w:rPr>
            </w:pPr>
            <w:r w:rsidRPr="004D0DAA">
              <w:rPr>
                <w:lang w:eastAsia="en-US"/>
              </w:rPr>
              <w:t>MCS-8</w:t>
            </w:r>
          </w:p>
        </w:tc>
        <w:tc>
          <w:tcPr>
            <w:tcW w:w="794" w:type="dxa"/>
          </w:tcPr>
          <w:p w14:paraId="01567D8A" w14:textId="77777777" w:rsidR="00711444" w:rsidRPr="004D0DAA" w:rsidRDefault="00711444" w:rsidP="00AA2A4C">
            <w:pPr>
              <w:pStyle w:val="TAC"/>
              <w:rPr>
                <w:lang w:eastAsia="en-US"/>
              </w:rPr>
            </w:pPr>
            <w:r w:rsidRPr="004D0DAA">
              <w:rPr>
                <w:lang w:eastAsia="en-US"/>
              </w:rPr>
              <w:t>MCS-6</w:t>
            </w:r>
          </w:p>
          <w:p w14:paraId="6E1AD519" w14:textId="77777777" w:rsidR="00711444" w:rsidRPr="004D0DAA" w:rsidRDefault="00711444" w:rsidP="00AA2A4C">
            <w:pPr>
              <w:pStyle w:val="TAC"/>
              <w:rPr>
                <w:lang w:eastAsia="en-US"/>
              </w:rPr>
            </w:pPr>
            <w:r w:rsidRPr="004D0DAA">
              <w:rPr>
                <w:lang w:eastAsia="en-US"/>
              </w:rPr>
              <w:t>(pad)</w:t>
            </w:r>
          </w:p>
        </w:tc>
        <w:tc>
          <w:tcPr>
            <w:tcW w:w="794" w:type="dxa"/>
          </w:tcPr>
          <w:p w14:paraId="166E023E" w14:textId="77777777" w:rsidR="00711444" w:rsidRPr="004D0DAA" w:rsidRDefault="00711444" w:rsidP="00AA2A4C">
            <w:pPr>
              <w:pStyle w:val="TAC"/>
              <w:rPr>
                <w:lang w:eastAsia="en-US"/>
              </w:rPr>
            </w:pPr>
            <w:r w:rsidRPr="004D0DAA">
              <w:rPr>
                <w:lang w:eastAsia="en-US"/>
              </w:rPr>
              <w:t>MCS-6</w:t>
            </w:r>
          </w:p>
          <w:p w14:paraId="1558C198" w14:textId="77777777" w:rsidR="00711444" w:rsidRPr="004D0DAA" w:rsidRDefault="00711444" w:rsidP="00AA2A4C">
            <w:pPr>
              <w:pStyle w:val="TAC"/>
              <w:rPr>
                <w:lang w:eastAsia="en-US"/>
              </w:rPr>
            </w:pPr>
            <w:r w:rsidRPr="004D0DAA">
              <w:rPr>
                <w:lang w:eastAsia="en-US"/>
              </w:rPr>
              <w:t>(pad)</w:t>
            </w:r>
          </w:p>
        </w:tc>
        <w:tc>
          <w:tcPr>
            <w:tcW w:w="794" w:type="dxa"/>
          </w:tcPr>
          <w:p w14:paraId="0907991F" w14:textId="77777777" w:rsidR="00711444" w:rsidRPr="004D0DAA" w:rsidRDefault="00711444" w:rsidP="00AA2A4C">
            <w:pPr>
              <w:pStyle w:val="TAC"/>
              <w:rPr>
                <w:lang w:eastAsia="en-US"/>
              </w:rPr>
            </w:pPr>
            <w:r w:rsidRPr="004D0DAA">
              <w:rPr>
                <w:lang w:eastAsia="en-US"/>
              </w:rPr>
              <w:t>MCS-6</w:t>
            </w:r>
          </w:p>
          <w:p w14:paraId="0389F6E2" w14:textId="77777777" w:rsidR="00711444" w:rsidRPr="004D0DAA" w:rsidRDefault="00711444" w:rsidP="00AA2A4C">
            <w:pPr>
              <w:pStyle w:val="TAC"/>
              <w:rPr>
                <w:lang w:eastAsia="en-US"/>
              </w:rPr>
            </w:pPr>
            <w:r w:rsidRPr="004D0DAA">
              <w:rPr>
                <w:lang w:eastAsia="en-US"/>
              </w:rPr>
              <w:t>(pad)</w:t>
            </w:r>
          </w:p>
        </w:tc>
        <w:tc>
          <w:tcPr>
            <w:tcW w:w="794" w:type="dxa"/>
          </w:tcPr>
          <w:p w14:paraId="5ED0ED8D" w14:textId="77777777" w:rsidR="00711444" w:rsidRPr="004D0DAA" w:rsidRDefault="00711444" w:rsidP="00AA2A4C">
            <w:pPr>
              <w:pStyle w:val="TAC"/>
              <w:rPr>
                <w:lang w:eastAsia="en-US"/>
              </w:rPr>
            </w:pPr>
            <w:r w:rsidRPr="004D0DAA">
              <w:rPr>
                <w:lang w:eastAsia="en-US"/>
              </w:rPr>
              <w:t>MCS-6</w:t>
            </w:r>
          </w:p>
          <w:p w14:paraId="103635EF" w14:textId="77777777" w:rsidR="00711444" w:rsidRPr="004D0DAA" w:rsidRDefault="00711444" w:rsidP="00AA2A4C">
            <w:pPr>
              <w:pStyle w:val="TAC"/>
              <w:rPr>
                <w:lang w:eastAsia="en-US"/>
              </w:rPr>
            </w:pPr>
            <w:r w:rsidRPr="004D0DAA">
              <w:rPr>
                <w:lang w:eastAsia="en-US"/>
              </w:rPr>
              <w:t>(pad)</w:t>
            </w:r>
          </w:p>
        </w:tc>
        <w:tc>
          <w:tcPr>
            <w:tcW w:w="794" w:type="dxa"/>
          </w:tcPr>
          <w:p w14:paraId="0ABFC108" w14:textId="77777777" w:rsidR="00711444" w:rsidRPr="004D0DAA" w:rsidRDefault="00711444" w:rsidP="00AA2A4C">
            <w:pPr>
              <w:pStyle w:val="TAC"/>
              <w:rPr>
                <w:lang w:eastAsia="en-US"/>
              </w:rPr>
            </w:pPr>
            <w:r w:rsidRPr="004D0DAA">
              <w:rPr>
                <w:lang w:eastAsia="en-US"/>
              </w:rPr>
              <w:t>MCS-6</w:t>
            </w:r>
          </w:p>
          <w:p w14:paraId="795D1403" w14:textId="77777777" w:rsidR="00711444" w:rsidRPr="004D0DAA" w:rsidRDefault="00711444" w:rsidP="00AA2A4C">
            <w:pPr>
              <w:pStyle w:val="TAC"/>
              <w:rPr>
                <w:lang w:eastAsia="en-US"/>
              </w:rPr>
            </w:pPr>
            <w:r w:rsidRPr="004D0DAA">
              <w:rPr>
                <w:lang w:eastAsia="en-US"/>
              </w:rPr>
              <w:t>(pad)</w:t>
            </w:r>
          </w:p>
        </w:tc>
        <w:tc>
          <w:tcPr>
            <w:tcW w:w="794" w:type="dxa"/>
          </w:tcPr>
          <w:p w14:paraId="02D5BB91" w14:textId="77777777" w:rsidR="00711444" w:rsidRPr="004D0DAA" w:rsidRDefault="00711444" w:rsidP="00AA2A4C">
            <w:pPr>
              <w:pStyle w:val="TAC"/>
              <w:rPr>
                <w:lang w:eastAsia="en-US"/>
              </w:rPr>
            </w:pPr>
            <w:r w:rsidRPr="004D0DAA">
              <w:rPr>
                <w:lang w:eastAsia="en-US"/>
              </w:rPr>
              <w:t>MCS-6</w:t>
            </w:r>
          </w:p>
          <w:p w14:paraId="5C89628C" w14:textId="77777777" w:rsidR="00711444" w:rsidRPr="004D0DAA" w:rsidRDefault="00711444" w:rsidP="00AA2A4C">
            <w:pPr>
              <w:pStyle w:val="TAC"/>
              <w:rPr>
                <w:lang w:eastAsia="en-US"/>
              </w:rPr>
            </w:pPr>
            <w:r w:rsidRPr="004D0DAA">
              <w:rPr>
                <w:lang w:eastAsia="en-US"/>
              </w:rPr>
              <w:t>(pad)</w:t>
            </w:r>
          </w:p>
        </w:tc>
        <w:tc>
          <w:tcPr>
            <w:tcW w:w="794" w:type="dxa"/>
          </w:tcPr>
          <w:p w14:paraId="1D966988" w14:textId="77777777" w:rsidR="00711444" w:rsidRPr="004D0DAA" w:rsidRDefault="00711444" w:rsidP="00AA2A4C">
            <w:pPr>
              <w:pStyle w:val="TAC"/>
              <w:rPr>
                <w:lang w:eastAsia="en-US"/>
              </w:rPr>
            </w:pPr>
            <w:r w:rsidRPr="004D0DAA">
              <w:rPr>
                <w:lang w:eastAsia="en-US"/>
              </w:rPr>
              <w:t>MCS-6</w:t>
            </w:r>
          </w:p>
          <w:p w14:paraId="2E5B5AA1" w14:textId="77777777" w:rsidR="00711444" w:rsidRPr="004D0DAA" w:rsidRDefault="00711444" w:rsidP="00AA2A4C">
            <w:pPr>
              <w:pStyle w:val="TAC"/>
              <w:rPr>
                <w:lang w:eastAsia="en-US"/>
              </w:rPr>
            </w:pPr>
            <w:r w:rsidRPr="004D0DAA">
              <w:rPr>
                <w:lang w:eastAsia="en-US"/>
              </w:rPr>
              <w:t>(pad)</w:t>
            </w:r>
          </w:p>
        </w:tc>
        <w:tc>
          <w:tcPr>
            <w:tcW w:w="794" w:type="dxa"/>
          </w:tcPr>
          <w:p w14:paraId="01B08C43" w14:textId="77777777" w:rsidR="00711444" w:rsidRPr="004D0DAA" w:rsidRDefault="00711444" w:rsidP="00AA2A4C">
            <w:pPr>
              <w:pStyle w:val="TAC"/>
              <w:rPr>
                <w:lang w:eastAsia="en-US"/>
              </w:rPr>
            </w:pPr>
            <w:r w:rsidRPr="004D0DAA">
              <w:rPr>
                <w:lang w:eastAsia="en-US"/>
              </w:rPr>
              <w:t>MCS-6</w:t>
            </w:r>
          </w:p>
          <w:p w14:paraId="6D019B89" w14:textId="77777777" w:rsidR="00711444" w:rsidRPr="004D0DAA" w:rsidRDefault="00711444" w:rsidP="00AA2A4C">
            <w:pPr>
              <w:pStyle w:val="TAC"/>
              <w:rPr>
                <w:lang w:eastAsia="en-US"/>
              </w:rPr>
            </w:pPr>
            <w:r w:rsidRPr="004D0DAA">
              <w:rPr>
                <w:lang w:eastAsia="en-US"/>
              </w:rPr>
              <w:t>(pad)</w:t>
            </w:r>
          </w:p>
        </w:tc>
        <w:tc>
          <w:tcPr>
            <w:tcW w:w="794" w:type="dxa"/>
          </w:tcPr>
          <w:p w14:paraId="71B8D59F" w14:textId="77777777" w:rsidR="00711444" w:rsidRPr="004D0DAA" w:rsidRDefault="00711444" w:rsidP="00AA2A4C">
            <w:pPr>
              <w:pStyle w:val="TAC"/>
              <w:rPr>
                <w:lang w:eastAsia="en-US"/>
              </w:rPr>
            </w:pPr>
            <w:r w:rsidRPr="004D0DAA">
              <w:rPr>
                <w:lang w:eastAsia="en-US"/>
              </w:rPr>
              <w:t>MCS-6</w:t>
            </w:r>
          </w:p>
          <w:p w14:paraId="5AE83975" w14:textId="77777777" w:rsidR="00711444" w:rsidRPr="004D0DAA" w:rsidRDefault="00711444" w:rsidP="00AA2A4C">
            <w:pPr>
              <w:pStyle w:val="TAC"/>
              <w:rPr>
                <w:lang w:eastAsia="en-US"/>
              </w:rPr>
            </w:pPr>
            <w:r w:rsidRPr="004D0DAA">
              <w:rPr>
                <w:lang w:eastAsia="en-US"/>
              </w:rPr>
              <w:t>(pad)</w:t>
            </w:r>
          </w:p>
        </w:tc>
      </w:tr>
      <w:tr w:rsidR="00711444" w:rsidRPr="004D0DAA" w14:paraId="6B7E53A0" w14:textId="77777777" w:rsidTr="00AA2A4C">
        <w:tblPrEx>
          <w:tblCellMar>
            <w:top w:w="0" w:type="dxa"/>
            <w:bottom w:w="0" w:type="dxa"/>
          </w:tblCellMar>
        </w:tblPrEx>
        <w:tc>
          <w:tcPr>
            <w:tcW w:w="907" w:type="dxa"/>
          </w:tcPr>
          <w:p w14:paraId="550D2F1E" w14:textId="77777777" w:rsidR="00711444" w:rsidRPr="004D0DAA" w:rsidRDefault="00711444" w:rsidP="00AA2A4C">
            <w:pPr>
              <w:pStyle w:val="TAC"/>
              <w:rPr>
                <w:lang w:eastAsia="en-US"/>
              </w:rPr>
            </w:pPr>
            <w:r w:rsidRPr="004D0DAA">
              <w:rPr>
                <w:lang w:eastAsia="en-US"/>
              </w:rPr>
              <w:t>MCS-7</w:t>
            </w:r>
          </w:p>
        </w:tc>
        <w:tc>
          <w:tcPr>
            <w:tcW w:w="794" w:type="dxa"/>
          </w:tcPr>
          <w:p w14:paraId="75D5727A" w14:textId="77777777" w:rsidR="00711444" w:rsidRPr="004D0DAA" w:rsidRDefault="00711444" w:rsidP="00AA2A4C">
            <w:pPr>
              <w:pStyle w:val="TAC"/>
              <w:rPr>
                <w:lang w:eastAsia="en-US"/>
              </w:rPr>
            </w:pPr>
            <w:r w:rsidRPr="004D0DAA">
              <w:rPr>
                <w:lang w:eastAsia="en-US"/>
              </w:rPr>
              <w:t>MCS-7</w:t>
            </w:r>
          </w:p>
        </w:tc>
        <w:tc>
          <w:tcPr>
            <w:tcW w:w="794" w:type="dxa"/>
          </w:tcPr>
          <w:p w14:paraId="1895B7B2" w14:textId="77777777" w:rsidR="00711444" w:rsidRPr="004D0DAA" w:rsidRDefault="00711444" w:rsidP="00AA2A4C">
            <w:pPr>
              <w:pStyle w:val="TAC"/>
              <w:rPr>
                <w:lang w:eastAsia="en-US"/>
              </w:rPr>
            </w:pPr>
            <w:r w:rsidRPr="004D0DAA">
              <w:rPr>
                <w:lang w:eastAsia="en-US"/>
              </w:rPr>
              <w:t>MCS-7</w:t>
            </w:r>
          </w:p>
        </w:tc>
        <w:tc>
          <w:tcPr>
            <w:tcW w:w="794" w:type="dxa"/>
          </w:tcPr>
          <w:p w14:paraId="42B4E76E" w14:textId="77777777" w:rsidR="00711444" w:rsidRPr="004D0DAA" w:rsidRDefault="00711444" w:rsidP="00AA2A4C">
            <w:pPr>
              <w:pStyle w:val="TAC"/>
              <w:rPr>
                <w:lang w:eastAsia="en-US"/>
              </w:rPr>
            </w:pPr>
            <w:r w:rsidRPr="004D0DAA">
              <w:rPr>
                <w:lang w:eastAsia="en-US"/>
              </w:rPr>
              <w:t>MCS-7</w:t>
            </w:r>
          </w:p>
        </w:tc>
        <w:tc>
          <w:tcPr>
            <w:tcW w:w="794" w:type="dxa"/>
          </w:tcPr>
          <w:p w14:paraId="311F308B" w14:textId="77777777" w:rsidR="00711444" w:rsidRPr="004D0DAA" w:rsidRDefault="00711444" w:rsidP="00AA2A4C">
            <w:pPr>
              <w:pStyle w:val="TAC"/>
              <w:rPr>
                <w:lang w:eastAsia="en-US"/>
              </w:rPr>
            </w:pPr>
            <w:r w:rsidRPr="004D0DAA">
              <w:rPr>
                <w:lang w:eastAsia="en-US"/>
              </w:rPr>
              <w:t>MCS-5</w:t>
            </w:r>
          </w:p>
        </w:tc>
        <w:tc>
          <w:tcPr>
            <w:tcW w:w="794" w:type="dxa"/>
          </w:tcPr>
          <w:p w14:paraId="14960636" w14:textId="77777777" w:rsidR="00711444" w:rsidRPr="004D0DAA" w:rsidRDefault="00711444" w:rsidP="00AA2A4C">
            <w:pPr>
              <w:pStyle w:val="TAC"/>
              <w:rPr>
                <w:lang w:eastAsia="en-US"/>
              </w:rPr>
            </w:pPr>
            <w:r w:rsidRPr="004D0DAA">
              <w:rPr>
                <w:lang w:eastAsia="en-US"/>
              </w:rPr>
              <w:t>MCS-5</w:t>
            </w:r>
          </w:p>
        </w:tc>
        <w:tc>
          <w:tcPr>
            <w:tcW w:w="794" w:type="dxa"/>
          </w:tcPr>
          <w:p w14:paraId="5A79048E" w14:textId="77777777" w:rsidR="00711444" w:rsidRPr="004D0DAA" w:rsidRDefault="00711444" w:rsidP="00AA2A4C">
            <w:pPr>
              <w:pStyle w:val="TAC"/>
              <w:rPr>
                <w:lang w:eastAsia="en-US"/>
              </w:rPr>
            </w:pPr>
            <w:r w:rsidRPr="004D0DAA">
              <w:rPr>
                <w:lang w:eastAsia="en-US"/>
              </w:rPr>
              <w:t>MCS-5</w:t>
            </w:r>
          </w:p>
        </w:tc>
        <w:tc>
          <w:tcPr>
            <w:tcW w:w="794" w:type="dxa"/>
          </w:tcPr>
          <w:p w14:paraId="6FB0AB9A" w14:textId="77777777" w:rsidR="00711444" w:rsidRPr="004D0DAA" w:rsidRDefault="00711444" w:rsidP="00AA2A4C">
            <w:pPr>
              <w:pStyle w:val="TAC"/>
              <w:rPr>
                <w:lang w:eastAsia="en-US"/>
              </w:rPr>
            </w:pPr>
            <w:r w:rsidRPr="004D0DAA">
              <w:rPr>
                <w:lang w:eastAsia="en-US"/>
              </w:rPr>
              <w:t>MCS-5</w:t>
            </w:r>
          </w:p>
        </w:tc>
        <w:tc>
          <w:tcPr>
            <w:tcW w:w="794" w:type="dxa"/>
          </w:tcPr>
          <w:p w14:paraId="67B421FD" w14:textId="77777777" w:rsidR="00711444" w:rsidRPr="004D0DAA" w:rsidRDefault="00711444" w:rsidP="00AA2A4C">
            <w:pPr>
              <w:pStyle w:val="TAC"/>
              <w:rPr>
                <w:lang w:eastAsia="en-US"/>
              </w:rPr>
            </w:pPr>
            <w:r w:rsidRPr="004D0DAA">
              <w:rPr>
                <w:lang w:eastAsia="en-US"/>
              </w:rPr>
              <w:t>MCS-5</w:t>
            </w:r>
          </w:p>
        </w:tc>
        <w:tc>
          <w:tcPr>
            <w:tcW w:w="794" w:type="dxa"/>
          </w:tcPr>
          <w:p w14:paraId="0488C83F" w14:textId="77777777" w:rsidR="00711444" w:rsidRPr="004D0DAA" w:rsidRDefault="00711444" w:rsidP="00AA2A4C">
            <w:pPr>
              <w:pStyle w:val="TAC"/>
              <w:rPr>
                <w:lang w:eastAsia="en-US"/>
              </w:rPr>
            </w:pPr>
            <w:r w:rsidRPr="004D0DAA">
              <w:rPr>
                <w:lang w:eastAsia="en-US"/>
              </w:rPr>
              <w:t>MCS-5</w:t>
            </w:r>
          </w:p>
        </w:tc>
        <w:tc>
          <w:tcPr>
            <w:tcW w:w="794" w:type="dxa"/>
          </w:tcPr>
          <w:p w14:paraId="0E76CA7E" w14:textId="77777777" w:rsidR="00711444" w:rsidRPr="004D0DAA" w:rsidRDefault="00711444" w:rsidP="00AA2A4C">
            <w:pPr>
              <w:pStyle w:val="TAC"/>
              <w:rPr>
                <w:lang w:eastAsia="en-US"/>
              </w:rPr>
            </w:pPr>
            <w:r w:rsidRPr="004D0DAA">
              <w:rPr>
                <w:lang w:eastAsia="en-US"/>
              </w:rPr>
              <w:t>MCS-5</w:t>
            </w:r>
          </w:p>
        </w:tc>
        <w:tc>
          <w:tcPr>
            <w:tcW w:w="794" w:type="dxa"/>
          </w:tcPr>
          <w:p w14:paraId="7E4300B0" w14:textId="77777777" w:rsidR="00711444" w:rsidRPr="004D0DAA" w:rsidRDefault="00711444" w:rsidP="00AA2A4C">
            <w:pPr>
              <w:pStyle w:val="TAC"/>
              <w:rPr>
                <w:lang w:eastAsia="en-US"/>
              </w:rPr>
            </w:pPr>
            <w:r w:rsidRPr="004D0DAA">
              <w:rPr>
                <w:lang w:eastAsia="en-US"/>
              </w:rPr>
              <w:t>MCS-5</w:t>
            </w:r>
          </w:p>
        </w:tc>
      </w:tr>
      <w:tr w:rsidR="00711444" w:rsidRPr="004D0DAA" w14:paraId="0E691017" w14:textId="77777777" w:rsidTr="00AA2A4C">
        <w:tblPrEx>
          <w:tblCellMar>
            <w:top w:w="0" w:type="dxa"/>
            <w:bottom w:w="0" w:type="dxa"/>
          </w:tblCellMar>
        </w:tblPrEx>
        <w:tc>
          <w:tcPr>
            <w:tcW w:w="907" w:type="dxa"/>
          </w:tcPr>
          <w:p w14:paraId="685B0C58" w14:textId="77777777" w:rsidR="00711444" w:rsidRPr="004D0DAA" w:rsidRDefault="00711444" w:rsidP="00AA2A4C">
            <w:pPr>
              <w:pStyle w:val="TAC"/>
              <w:rPr>
                <w:lang w:eastAsia="en-US"/>
              </w:rPr>
            </w:pPr>
            <w:r w:rsidRPr="004D0DAA">
              <w:rPr>
                <w:lang w:eastAsia="en-US"/>
              </w:rPr>
              <w:t>MCS-6</w:t>
            </w:r>
          </w:p>
        </w:tc>
        <w:tc>
          <w:tcPr>
            <w:tcW w:w="794" w:type="dxa"/>
          </w:tcPr>
          <w:p w14:paraId="07F5897A" w14:textId="77777777" w:rsidR="00711444" w:rsidRPr="004D0DAA" w:rsidRDefault="00711444" w:rsidP="00AA2A4C">
            <w:pPr>
              <w:pStyle w:val="TAC"/>
              <w:rPr>
                <w:lang w:eastAsia="en-US"/>
              </w:rPr>
            </w:pPr>
            <w:r w:rsidRPr="004D0DAA">
              <w:rPr>
                <w:lang w:eastAsia="en-US"/>
              </w:rPr>
              <w:t>MCS-9</w:t>
            </w:r>
          </w:p>
        </w:tc>
        <w:tc>
          <w:tcPr>
            <w:tcW w:w="794" w:type="dxa"/>
          </w:tcPr>
          <w:p w14:paraId="71A7CA4F" w14:textId="77777777" w:rsidR="00711444" w:rsidRPr="004D0DAA" w:rsidRDefault="00711444" w:rsidP="00AA2A4C">
            <w:pPr>
              <w:pStyle w:val="TAC"/>
              <w:rPr>
                <w:lang w:eastAsia="en-US"/>
              </w:rPr>
            </w:pPr>
            <w:r w:rsidRPr="004D0DAA">
              <w:rPr>
                <w:lang w:eastAsia="en-US"/>
              </w:rPr>
              <w:t>MCS-6</w:t>
            </w:r>
          </w:p>
        </w:tc>
        <w:tc>
          <w:tcPr>
            <w:tcW w:w="794" w:type="dxa"/>
          </w:tcPr>
          <w:p w14:paraId="4D09335B" w14:textId="77777777" w:rsidR="00711444" w:rsidRPr="004D0DAA" w:rsidRDefault="00711444" w:rsidP="00AA2A4C">
            <w:pPr>
              <w:pStyle w:val="TAC"/>
              <w:rPr>
                <w:lang w:eastAsia="en-US"/>
              </w:rPr>
            </w:pPr>
            <w:r w:rsidRPr="004D0DAA">
              <w:rPr>
                <w:lang w:eastAsia="en-US"/>
              </w:rPr>
              <w:t>MCS-6</w:t>
            </w:r>
          </w:p>
        </w:tc>
        <w:tc>
          <w:tcPr>
            <w:tcW w:w="794" w:type="dxa"/>
          </w:tcPr>
          <w:p w14:paraId="7504113B" w14:textId="77777777" w:rsidR="00711444" w:rsidRPr="004D0DAA" w:rsidRDefault="00711444" w:rsidP="00AA2A4C">
            <w:pPr>
              <w:pStyle w:val="TAC"/>
              <w:rPr>
                <w:lang w:eastAsia="en-US"/>
              </w:rPr>
            </w:pPr>
            <w:r w:rsidRPr="004D0DAA">
              <w:rPr>
                <w:lang w:eastAsia="en-US"/>
              </w:rPr>
              <w:t>MCS-9</w:t>
            </w:r>
          </w:p>
        </w:tc>
        <w:tc>
          <w:tcPr>
            <w:tcW w:w="794" w:type="dxa"/>
          </w:tcPr>
          <w:p w14:paraId="38160935" w14:textId="77777777" w:rsidR="00711444" w:rsidRPr="004D0DAA" w:rsidRDefault="00711444" w:rsidP="00AA2A4C">
            <w:pPr>
              <w:pStyle w:val="TAC"/>
              <w:rPr>
                <w:lang w:eastAsia="en-US"/>
              </w:rPr>
            </w:pPr>
            <w:r w:rsidRPr="004D0DAA">
              <w:rPr>
                <w:lang w:eastAsia="en-US"/>
              </w:rPr>
              <w:t>MCS-6</w:t>
            </w:r>
          </w:p>
        </w:tc>
        <w:tc>
          <w:tcPr>
            <w:tcW w:w="794" w:type="dxa"/>
          </w:tcPr>
          <w:p w14:paraId="406C0B00" w14:textId="77777777" w:rsidR="00711444" w:rsidRPr="004D0DAA" w:rsidRDefault="00711444" w:rsidP="00AA2A4C">
            <w:pPr>
              <w:pStyle w:val="TAC"/>
              <w:rPr>
                <w:lang w:eastAsia="en-US"/>
              </w:rPr>
            </w:pPr>
            <w:r w:rsidRPr="004D0DAA">
              <w:rPr>
                <w:lang w:eastAsia="en-US"/>
              </w:rPr>
              <w:t>MCS-6</w:t>
            </w:r>
          </w:p>
        </w:tc>
        <w:tc>
          <w:tcPr>
            <w:tcW w:w="794" w:type="dxa"/>
          </w:tcPr>
          <w:p w14:paraId="0BEEC330" w14:textId="77777777" w:rsidR="00711444" w:rsidRPr="004D0DAA" w:rsidRDefault="00711444" w:rsidP="00AA2A4C">
            <w:pPr>
              <w:pStyle w:val="TAC"/>
              <w:rPr>
                <w:lang w:eastAsia="en-US"/>
              </w:rPr>
            </w:pPr>
            <w:r w:rsidRPr="004D0DAA">
              <w:rPr>
                <w:lang w:eastAsia="en-US"/>
              </w:rPr>
              <w:t>MCS-6</w:t>
            </w:r>
          </w:p>
        </w:tc>
        <w:tc>
          <w:tcPr>
            <w:tcW w:w="794" w:type="dxa"/>
          </w:tcPr>
          <w:p w14:paraId="61C2C727" w14:textId="77777777" w:rsidR="00711444" w:rsidRPr="004D0DAA" w:rsidRDefault="00711444" w:rsidP="00AA2A4C">
            <w:pPr>
              <w:pStyle w:val="TAC"/>
              <w:rPr>
                <w:lang w:eastAsia="en-US"/>
              </w:rPr>
            </w:pPr>
            <w:r w:rsidRPr="004D0DAA">
              <w:rPr>
                <w:lang w:eastAsia="en-US"/>
              </w:rPr>
              <w:t>MCS-6</w:t>
            </w:r>
          </w:p>
        </w:tc>
        <w:tc>
          <w:tcPr>
            <w:tcW w:w="794" w:type="dxa"/>
          </w:tcPr>
          <w:p w14:paraId="085EFE49" w14:textId="77777777" w:rsidR="00711444" w:rsidRPr="004D0DAA" w:rsidRDefault="00711444" w:rsidP="00AA2A4C">
            <w:pPr>
              <w:pStyle w:val="TAC"/>
              <w:rPr>
                <w:lang w:eastAsia="en-US"/>
              </w:rPr>
            </w:pPr>
            <w:r w:rsidRPr="004D0DAA">
              <w:rPr>
                <w:lang w:eastAsia="en-US"/>
              </w:rPr>
              <w:t>MCS-6</w:t>
            </w:r>
          </w:p>
        </w:tc>
        <w:tc>
          <w:tcPr>
            <w:tcW w:w="794" w:type="dxa"/>
          </w:tcPr>
          <w:p w14:paraId="3F4DE533" w14:textId="77777777" w:rsidR="00711444" w:rsidRPr="004D0DAA" w:rsidRDefault="00711444" w:rsidP="00AA2A4C">
            <w:pPr>
              <w:pStyle w:val="TAC"/>
              <w:rPr>
                <w:lang w:eastAsia="en-US"/>
              </w:rPr>
            </w:pPr>
            <w:r w:rsidRPr="004D0DAA">
              <w:rPr>
                <w:lang w:eastAsia="en-US"/>
              </w:rPr>
              <w:t>MCS-6</w:t>
            </w:r>
          </w:p>
        </w:tc>
        <w:tc>
          <w:tcPr>
            <w:tcW w:w="794" w:type="dxa"/>
          </w:tcPr>
          <w:p w14:paraId="2A5EB596" w14:textId="77777777" w:rsidR="00711444" w:rsidRPr="004D0DAA" w:rsidRDefault="00711444" w:rsidP="00AA2A4C">
            <w:pPr>
              <w:pStyle w:val="TAC"/>
              <w:rPr>
                <w:lang w:eastAsia="en-US"/>
              </w:rPr>
            </w:pPr>
            <w:r w:rsidRPr="004D0DAA">
              <w:rPr>
                <w:lang w:eastAsia="en-US"/>
              </w:rPr>
              <w:t>MCS-6</w:t>
            </w:r>
          </w:p>
        </w:tc>
      </w:tr>
      <w:tr w:rsidR="00711444" w:rsidRPr="004D0DAA" w14:paraId="0316441B" w14:textId="77777777" w:rsidTr="00AA2A4C">
        <w:tblPrEx>
          <w:tblCellMar>
            <w:top w:w="0" w:type="dxa"/>
            <w:bottom w:w="0" w:type="dxa"/>
          </w:tblCellMar>
        </w:tblPrEx>
        <w:tc>
          <w:tcPr>
            <w:tcW w:w="907" w:type="dxa"/>
          </w:tcPr>
          <w:p w14:paraId="6F9AF89A" w14:textId="77777777" w:rsidR="00711444" w:rsidRPr="004D0DAA" w:rsidRDefault="00711444" w:rsidP="00AA2A4C">
            <w:pPr>
              <w:pStyle w:val="TAC"/>
              <w:rPr>
                <w:lang w:eastAsia="en-US"/>
              </w:rPr>
            </w:pPr>
            <w:r w:rsidRPr="004D0DAA">
              <w:rPr>
                <w:lang w:eastAsia="en-US"/>
              </w:rPr>
              <w:t>MCS-5</w:t>
            </w:r>
          </w:p>
        </w:tc>
        <w:tc>
          <w:tcPr>
            <w:tcW w:w="794" w:type="dxa"/>
          </w:tcPr>
          <w:p w14:paraId="27401944" w14:textId="77777777" w:rsidR="00711444" w:rsidRPr="004D0DAA" w:rsidRDefault="00711444" w:rsidP="00AA2A4C">
            <w:pPr>
              <w:pStyle w:val="TAC"/>
              <w:rPr>
                <w:lang w:eastAsia="en-US"/>
              </w:rPr>
            </w:pPr>
            <w:r w:rsidRPr="004D0DAA">
              <w:rPr>
                <w:lang w:eastAsia="en-US"/>
              </w:rPr>
              <w:t>MCS-7</w:t>
            </w:r>
          </w:p>
        </w:tc>
        <w:tc>
          <w:tcPr>
            <w:tcW w:w="794" w:type="dxa"/>
          </w:tcPr>
          <w:p w14:paraId="61162024" w14:textId="77777777" w:rsidR="00711444" w:rsidRPr="004D0DAA" w:rsidRDefault="00711444" w:rsidP="00AA2A4C">
            <w:pPr>
              <w:pStyle w:val="TAC"/>
              <w:rPr>
                <w:lang w:eastAsia="en-US"/>
              </w:rPr>
            </w:pPr>
            <w:r w:rsidRPr="004D0DAA">
              <w:rPr>
                <w:lang w:eastAsia="en-US"/>
              </w:rPr>
              <w:t>MCS-7</w:t>
            </w:r>
          </w:p>
        </w:tc>
        <w:tc>
          <w:tcPr>
            <w:tcW w:w="794" w:type="dxa"/>
          </w:tcPr>
          <w:p w14:paraId="28DBE823" w14:textId="77777777" w:rsidR="00711444" w:rsidRPr="004D0DAA" w:rsidRDefault="00711444" w:rsidP="00AA2A4C">
            <w:pPr>
              <w:pStyle w:val="TAC"/>
              <w:rPr>
                <w:lang w:eastAsia="en-US"/>
              </w:rPr>
            </w:pPr>
            <w:r w:rsidRPr="004D0DAA">
              <w:rPr>
                <w:lang w:eastAsia="en-US"/>
              </w:rPr>
              <w:t>MCS-7</w:t>
            </w:r>
          </w:p>
        </w:tc>
        <w:tc>
          <w:tcPr>
            <w:tcW w:w="794" w:type="dxa"/>
          </w:tcPr>
          <w:p w14:paraId="17653F23" w14:textId="77777777" w:rsidR="00711444" w:rsidRPr="004D0DAA" w:rsidRDefault="00711444" w:rsidP="00AA2A4C">
            <w:pPr>
              <w:pStyle w:val="TAC"/>
              <w:rPr>
                <w:lang w:eastAsia="en-US"/>
              </w:rPr>
            </w:pPr>
            <w:r w:rsidRPr="004D0DAA">
              <w:rPr>
                <w:lang w:eastAsia="en-US"/>
              </w:rPr>
              <w:t>MCS-5</w:t>
            </w:r>
          </w:p>
        </w:tc>
        <w:tc>
          <w:tcPr>
            <w:tcW w:w="794" w:type="dxa"/>
          </w:tcPr>
          <w:p w14:paraId="2233F2F0" w14:textId="77777777" w:rsidR="00711444" w:rsidRPr="004D0DAA" w:rsidRDefault="00711444" w:rsidP="00AA2A4C">
            <w:pPr>
              <w:pStyle w:val="TAC"/>
              <w:rPr>
                <w:lang w:eastAsia="en-US"/>
              </w:rPr>
            </w:pPr>
            <w:r w:rsidRPr="004D0DAA">
              <w:rPr>
                <w:lang w:eastAsia="en-US"/>
              </w:rPr>
              <w:t>MCS-5</w:t>
            </w:r>
          </w:p>
        </w:tc>
        <w:tc>
          <w:tcPr>
            <w:tcW w:w="794" w:type="dxa"/>
          </w:tcPr>
          <w:p w14:paraId="3DFBB721" w14:textId="77777777" w:rsidR="00711444" w:rsidRPr="004D0DAA" w:rsidRDefault="00711444" w:rsidP="00AA2A4C">
            <w:pPr>
              <w:pStyle w:val="TAC"/>
              <w:rPr>
                <w:lang w:eastAsia="en-US"/>
              </w:rPr>
            </w:pPr>
            <w:r w:rsidRPr="004D0DAA">
              <w:rPr>
                <w:lang w:eastAsia="en-US"/>
              </w:rPr>
              <w:t>MCS-7</w:t>
            </w:r>
          </w:p>
        </w:tc>
        <w:tc>
          <w:tcPr>
            <w:tcW w:w="794" w:type="dxa"/>
          </w:tcPr>
          <w:p w14:paraId="7CAD53F0" w14:textId="77777777" w:rsidR="00711444" w:rsidRPr="004D0DAA" w:rsidRDefault="00711444" w:rsidP="00AA2A4C">
            <w:pPr>
              <w:pStyle w:val="TAC"/>
              <w:rPr>
                <w:lang w:eastAsia="en-US"/>
              </w:rPr>
            </w:pPr>
            <w:r w:rsidRPr="004D0DAA">
              <w:rPr>
                <w:lang w:eastAsia="en-US"/>
              </w:rPr>
              <w:t>MCS-5</w:t>
            </w:r>
          </w:p>
        </w:tc>
        <w:tc>
          <w:tcPr>
            <w:tcW w:w="794" w:type="dxa"/>
          </w:tcPr>
          <w:p w14:paraId="207A0E0F" w14:textId="77777777" w:rsidR="00711444" w:rsidRPr="004D0DAA" w:rsidRDefault="00711444" w:rsidP="00AA2A4C">
            <w:pPr>
              <w:pStyle w:val="TAC"/>
              <w:rPr>
                <w:lang w:eastAsia="en-US"/>
              </w:rPr>
            </w:pPr>
            <w:r w:rsidRPr="004D0DAA">
              <w:rPr>
                <w:lang w:eastAsia="en-US"/>
              </w:rPr>
              <w:t>MCS-5</w:t>
            </w:r>
          </w:p>
        </w:tc>
        <w:tc>
          <w:tcPr>
            <w:tcW w:w="794" w:type="dxa"/>
          </w:tcPr>
          <w:p w14:paraId="057A1046" w14:textId="77777777" w:rsidR="00711444" w:rsidRPr="004D0DAA" w:rsidRDefault="00711444" w:rsidP="00AA2A4C">
            <w:pPr>
              <w:pStyle w:val="TAC"/>
              <w:rPr>
                <w:lang w:eastAsia="en-US"/>
              </w:rPr>
            </w:pPr>
            <w:r w:rsidRPr="004D0DAA">
              <w:rPr>
                <w:lang w:eastAsia="en-US"/>
              </w:rPr>
              <w:t>MCS-5</w:t>
            </w:r>
          </w:p>
        </w:tc>
        <w:tc>
          <w:tcPr>
            <w:tcW w:w="794" w:type="dxa"/>
          </w:tcPr>
          <w:p w14:paraId="36CEF119" w14:textId="77777777" w:rsidR="00711444" w:rsidRPr="004D0DAA" w:rsidRDefault="00711444" w:rsidP="00AA2A4C">
            <w:pPr>
              <w:pStyle w:val="TAC"/>
              <w:rPr>
                <w:lang w:eastAsia="en-US"/>
              </w:rPr>
            </w:pPr>
            <w:r w:rsidRPr="004D0DAA">
              <w:rPr>
                <w:lang w:eastAsia="en-US"/>
              </w:rPr>
              <w:t>MCS-5</w:t>
            </w:r>
          </w:p>
        </w:tc>
        <w:tc>
          <w:tcPr>
            <w:tcW w:w="794" w:type="dxa"/>
          </w:tcPr>
          <w:p w14:paraId="3C04113E" w14:textId="77777777" w:rsidR="00711444" w:rsidRPr="004D0DAA" w:rsidRDefault="00711444" w:rsidP="00AA2A4C">
            <w:pPr>
              <w:pStyle w:val="TAC"/>
              <w:rPr>
                <w:lang w:eastAsia="en-US"/>
              </w:rPr>
            </w:pPr>
            <w:r w:rsidRPr="004D0DAA">
              <w:rPr>
                <w:lang w:eastAsia="en-US"/>
              </w:rPr>
              <w:t>MCS-5</w:t>
            </w:r>
          </w:p>
        </w:tc>
      </w:tr>
      <w:tr w:rsidR="00711444" w:rsidRPr="004D0DAA" w14:paraId="18ACDC3F" w14:textId="77777777" w:rsidTr="00AA2A4C">
        <w:tblPrEx>
          <w:tblCellMar>
            <w:top w:w="0" w:type="dxa"/>
            <w:bottom w:w="0" w:type="dxa"/>
          </w:tblCellMar>
        </w:tblPrEx>
        <w:tc>
          <w:tcPr>
            <w:tcW w:w="907" w:type="dxa"/>
          </w:tcPr>
          <w:p w14:paraId="083F655A" w14:textId="77777777" w:rsidR="00711444" w:rsidRPr="004D0DAA" w:rsidRDefault="00711444" w:rsidP="00AA2A4C">
            <w:pPr>
              <w:pStyle w:val="TAC"/>
              <w:rPr>
                <w:lang w:eastAsia="en-US"/>
              </w:rPr>
            </w:pPr>
            <w:r w:rsidRPr="004D0DAA">
              <w:rPr>
                <w:lang w:eastAsia="en-US"/>
              </w:rPr>
              <w:t>MCS-4</w:t>
            </w:r>
          </w:p>
        </w:tc>
        <w:tc>
          <w:tcPr>
            <w:tcW w:w="794" w:type="dxa"/>
          </w:tcPr>
          <w:p w14:paraId="031FE141" w14:textId="77777777" w:rsidR="00711444" w:rsidRPr="004D0DAA" w:rsidRDefault="00711444" w:rsidP="00AA2A4C">
            <w:pPr>
              <w:pStyle w:val="TAC"/>
              <w:rPr>
                <w:lang w:eastAsia="en-US"/>
              </w:rPr>
            </w:pPr>
            <w:r w:rsidRPr="004D0DAA">
              <w:rPr>
                <w:lang w:eastAsia="en-US"/>
              </w:rPr>
              <w:t>MCS-4</w:t>
            </w:r>
          </w:p>
        </w:tc>
        <w:tc>
          <w:tcPr>
            <w:tcW w:w="794" w:type="dxa"/>
          </w:tcPr>
          <w:p w14:paraId="79111D84" w14:textId="77777777" w:rsidR="00711444" w:rsidRPr="004D0DAA" w:rsidRDefault="00711444" w:rsidP="00AA2A4C">
            <w:pPr>
              <w:pStyle w:val="TAC"/>
              <w:rPr>
                <w:lang w:eastAsia="en-US"/>
              </w:rPr>
            </w:pPr>
            <w:r w:rsidRPr="004D0DAA">
              <w:rPr>
                <w:lang w:eastAsia="en-US"/>
              </w:rPr>
              <w:t>MCS-4</w:t>
            </w:r>
          </w:p>
        </w:tc>
        <w:tc>
          <w:tcPr>
            <w:tcW w:w="794" w:type="dxa"/>
          </w:tcPr>
          <w:p w14:paraId="20A65AA1" w14:textId="77777777" w:rsidR="00711444" w:rsidRPr="004D0DAA" w:rsidRDefault="00711444" w:rsidP="00AA2A4C">
            <w:pPr>
              <w:pStyle w:val="TAC"/>
              <w:rPr>
                <w:lang w:eastAsia="en-US"/>
              </w:rPr>
            </w:pPr>
            <w:r w:rsidRPr="004D0DAA">
              <w:rPr>
                <w:lang w:eastAsia="en-US"/>
              </w:rPr>
              <w:t>MCS-4</w:t>
            </w:r>
          </w:p>
        </w:tc>
        <w:tc>
          <w:tcPr>
            <w:tcW w:w="794" w:type="dxa"/>
          </w:tcPr>
          <w:p w14:paraId="28EF97F3" w14:textId="77777777" w:rsidR="00711444" w:rsidRPr="004D0DAA" w:rsidRDefault="00711444" w:rsidP="00AA2A4C">
            <w:pPr>
              <w:pStyle w:val="TAC"/>
              <w:rPr>
                <w:lang w:eastAsia="en-US"/>
              </w:rPr>
            </w:pPr>
            <w:r w:rsidRPr="004D0DAA">
              <w:rPr>
                <w:lang w:eastAsia="en-US"/>
              </w:rPr>
              <w:t>MCS-4</w:t>
            </w:r>
          </w:p>
        </w:tc>
        <w:tc>
          <w:tcPr>
            <w:tcW w:w="794" w:type="dxa"/>
          </w:tcPr>
          <w:p w14:paraId="0AA5075E" w14:textId="77777777" w:rsidR="00711444" w:rsidRPr="004D0DAA" w:rsidRDefault="00711444" w:rsidP="00AA2A4C">
            <w:pPr>
              <w:pStyle w:val="TAC"/>
              <w:rPr>
                <w:lang w:eastAsia="en-US"/>
              </w:rPr>
            </w:pPr>
            <w:r w:rsidRPr="004D0DAA">
              <w:rPr>
                <w:lang w:eastAsia="en-US"/>
              </w:rPr>
              <w:t>MCS-4</w:t>
            </w:r>
          </w:p>
        </w:tc>
        <w:tc>
          <w:tcPr>
            <w:tcW w:w="794" w:type="dxa"/>
          </w:tcPr>
          <w:p w14:paraId="78185C90" w14:textId="77777777" w:rsidR="00711444" w:rsidRPr="004D0DAA" w:rsidRDefault="00711444" w:rsidP="00AA2A4C">
            <w:pPr>
              <w:pStyle w:val="TAC"/>
              <w:rPr>
                <w:lang w:eastAsia="en-US"/>
              </w:rPr>
            </w:pPr>
            <w:r w:rsidRPr="004D0DAA">
              <w:rPr>
                <w:lang w:eastAsia="en-US"/>
              </w:rPr>
              <w:t>MCS-4</w:t>
            </w:r>
          </w:p>
        </w:tc>
        <w:tc>
          <w:tcPr>
            <w:tcW w:w="794" w:type="dxa"/>
          </w:tcPr>
          <w:p w14:paraId="59A40216" w14:textId="77777777" w:rsidR="00711444" w:rsidRPr="004D0DAA" w:rsidRDefault="00711444" w:rsidP="00AA2A4C">
            <w:pPr>
              <w:pStyle w:val="TAC"/>
              <w:rPr>
                <w:lang w:eastAsia="en-US"/>
              </w:rPr>
            </w:pPr>
            <w:r w:rsidRPr="004D0DAA">
              <w:rPr>
                <w:lang w:eastAsia="en-US"/>
              </w:rPr>
              <w:t>MCS-4</w:t>
            </w:r>
          </w:p>
        </w:tc>
        <w:tc>
          <w:tcPr>
            <w:tcW w:w="794" w:type="dxa"/>
          </w:tcPr>
          <w:p w14:paraId="03F0F6EA" w14:textId="77777777" w:rsidR="00711444" w:rsidRPr="004D0DAA" w:rsidRDefault="00711444" w:rsidP="00AA2A4C">
            <w:pPr>
              <w:pStyle w:val="TAC"/>
              <w:rPr>
                <w:lang w:eastAsia="en-US"/>
              </w:rPr>
            </w:pPr>
            <w:r w:rsidRPr="004D0DAA">
              <w:rPr>
                <w:lang w:eastAsia="en-US"/>
              </w:rPr>
              <w:t>MCS-4</w:t>
            </w:r>
          </w:p>
        </w:tc>
        <w:tc>
          <w:tcPr>
            <w:tcW w:w="794" w:type="dxa"/>
          </w:tcPr>
          <w:p w14:paraId="4E3D1838" w14:textId="77777777" w:rsidR="00711444" w:rsidRPr="004D0DAA" w:rsidRDefault="00711444" w:rsidP="00AA2A4C">
            <w:pPr>
              <w:pStyle w:val="TAC"/>
              <w:rPr>
                <w:lang w:eastAsia="en-US"/>
              </w:rPr>
            </w:pPr>
            <w:r w:rsidRPr="004D0DAA">
              <w:rPr>
                <w:lang w:eastAsia="en-US"/>
              </w:rPr>
              <w:t>MCS-4</w:t>
            </w:r>
          </w:p>
        </w:tc>
        <w:tc>
          <w:tcPr>
            <w:tcW w:w="794" w:type="dxa"/>
          </w:tcPr>
          <w:p w14:paraId="18D6F270" w14:textId="77777777" w:rsidR="00711444" w:rsidRPr="004D0DAA" w:rsidRDefault="00711444" w:rsidP="00AA2A4C">
            <w:pPr>
              <w:pStyle w:val="TAC"/>
              <w:rPr>
                <w:lang w:eastAsia="en-US"/>
              </w:rPr>
            </w:pPr>
            <w:r w:rsidRPr="004D0DAA">
              <w:rPr>
                <w:lang w:eastAsia="en-US"/>
              </w:rPr>
              <w:t>MCS-4</w:t>
            </w:r>
          </w:p>
        </w:tc>
        <w:tc>
          <w:tcPr>
            <w:tcW w:w="794" w:type="dxa"/>
          </w:tcPr>
          <w:p w14:paraId="091F8137" w14:textId="77777777" w:rsidR="00711444" w:rsidRPr="004D0DAA" w:rsidRDefault="00711444" w:rsidP="00AA2A4C">
            <w:pPr>
              <w:pStyle w:val="TAC"/>
              <w:rPr>
                <w:lang w:eastAsia="en-US"/>
              </w:rPr>
            </w:pPr>
            <w:r w:rsidRPr="004D0DAA">
              <w:rPr>
                <w:lang w:eastAsia="en-US"/>
              </w:rPr>
              <w:t>MCS-4</w:t>
            </w:r>
          </w:p>
        </w:tc>
      </w:tr>
      <w:tr w:rsidR="00711444" w:rsidRPr="004D0DAA" w14:paraId="5D50AF69" w14:textId="77777777" w:rsidTr="00AA2A4C">
        <w:tblPrEx>
          <w:tblCellMar>
            <w:top w:w="0" w:type="dxa"/>
            <w:bottom w:w="0" w:type="dxa"/>
          </w:tblCellMar>
        </w:tblPrEx>
        <w:tc>
          <w:tcPr>
            <w:tcW w:w="907" w:type="dxa"/>
          </w:tcPr>
          <w:p w14:paraId="3A8A1861" w14:textId="77777777" w:rsidR="00711444" w:rsidRPr="004D0DAA" w:rsidRDefault="00711444" w:rsidP="00AA2A4C">
            <w:pPr>
              <w:pStyle w:val="TAC"/>
              <w:rPr>
                <w:lang w:eastAsia="en-US"/>
              </w:rPr>
            </w:pPr>
            <w:r w:rsidRPr="004D0DAA">
              <w:rPr>
                <w:lang w:eastAsia="en-US"/>
              </w:rPr>
              <w:t>MCS-3</w:t>
            </w:r>
          </w:p>
        </w:tc>
        <w:tc>
          <w:tcPr>
            <w:tcW w:w="794" w:type="dxa"/>
          </w:tcPr>
          <w:p w14:paraId="5ED6239E" w14:textId="77777777" w:rsidR="00711444" w:rsidRPr="004D0DAA" w:rsidRDefault="00711444" w:rsidP="00AA2A4C">
            <w:pPr>
              <w:pStyle w:val="TAC"/>
              <w:rPr>
                <w:lang w:eastAsia="en-US"/>
              </w:rPr>
            </w:pPr>
            <w:r w:rsidRPr="004D0DAA">
              <w:rPr>
                <w:lang w:eastAsia="en-US"/>
              </w:rPr>
              <w:t>MCS-3</w:t>
            </w:r>
          </w:p>
        </w:tc>
        <w:tc>
          <w:tcPr>
            <w:tcW w:w="794" w:type="dxa"/>
          </w:tcPr>
          <w:p w14:paraId="58215131" w14:textId="77777777" w:rsidR="00711444" w:rsidRPr="004D0DAA" w:rsidRDefault="00711444" w:rsidP="00AA2A4C">
            <w:pPr>
              <w:pStyle w:val="TAC"/>
              <w:rPr>
                <w:lang w:eastAsia="en-US"/>
              </w:rPr>
            </w:pPr>
            <w:r w:rsidRPr="004D0DAA">
              <w:rPr>
                <w:lang w:eastAsia="en-US"/>
              </w:rPr>
              <w:t>MCS-3</w:t>
            </w:r>
          </w:p>
        </w:tc>
        <w:tc>
          <w:tcPr>
            <w:tcW w:w="794" w:type="dxa"/>
          </w:tcPr>
          <w:p w14:paraId="1134BB1E" w14:textId="77777777" w:rsidR="00711444" w:rsidRPr="004D0DAA" w:rsidRDefault="00711444" w:rsidP="00AA2A4C">
            <w:pPr>
              <w:pStyle w:val="TAC"/>
              <w:rPr>
                <w:lang w:eastAsia="en-US"/>
              </w:rPr>
            </w:pPr>
            <w:r w:rsidRPr="004D0DAA">
              <w:rPr>
                <w:lang w:eastAsia="en-US"/>
              </w:rPr>
              <w:t>MCS-3</w:t>
            </w:r>
          </w:p>
        </w:tc>
        <w:tc>
          <w:tcPr>
            <w:tcW w:w="794" w:type="dxa"/>
          </w:tcPr>
          <w:p w14:paraId="2EFB1A1C" w14:textId="77777777" w:rsidR="00711444" w:rsidRPr="004D0DAA" w:rsidRDefault="00711444" w:rsidP="00AA2A4C">
            <w:pPr>
              <w:pStyle w:val="TAC"/>
              <w:rPr>
                <w:lang w:eastAsia="en-US"/>
              </w:rPr>
            </w:pPr>
            <w:r w:rsidRPr="004D0DAA">
              <w:rPr>
                <w:lang w:eastAsia="en-US"/>
              </w:rPr>
              <w:t>MCS-3</w:t>
            </w:r>
          </w:p>
        </w:tc>
        <w:tc>
          <w:tcPr>
            <w:tcW w:w="794" w:type="dxa"/>
          </w:tcPr>
          <w:p w14:paraId="72255E17" w14:textId="77777777" w:rsidR="00711444" w:rsidRPr="004D0DAA" w:rsidRDefault="00711444" w:rsidP="00AA2A4C">
            <w:pPr>
              <w:pStyle w:val="TAC"/>
              <w:rPr>
                <w:lang w:eastAsia="en-US"/>
              </w:rPr>
            </w:pPr>
            <w:r w:rsidRPr="004D0DAA">
              <w:rPr>
                <w:lang w:eastAsia="en-US"/>
              </w:rPr>
              <w:t>MCS-3</w:t>
            </w:r>
          </w:p>
        </w:tc>
        <w:tc>
          <w:tcPr>
            <w:tcW w:w="794" w:type="dxa"/>
          </w:tcPr>
          <w:p w14:paraId="1E9781DB" w14:textId="77777777" w:rsidR="00711444" w:rsidRPr="004D0DAA" w:rsidRDefault="00711444" w:rsidP="00AA2A4C">
            <w:pPr>
              <w:pStyle w:val="TAC"/>
              <w:rPr>
                <w:lang w:eastAsia="en-US"/>
              </w:rPr>
            </w:pPr>
            <w:r w:rsidRPr="004D0DAA">
              <w:rPr>
                <w:lang w:eastAsia="en-US"/>
              </w:rPr>
              <w:t>MCS-3</w:t>
            </w:r>
          </w:p>
        </w:tc>
        <w:tc>
          <w:tcPr>
            <w:tcW w:w="794" w:type="dxa"/>
          </w:tcPr>
          <w:p w14:paraId="355D7ECF" w14:textId="77777777" w:rsidR="00711444" w:rsidRPr="004D0DAA" w:rsidRDefault="00711444" w:rsidP="00AA2A4C">
            <w:pPr>
              <w:pStyle w:val="TAC"/>
              <w:rPr>
                <w:lang w:eastAsia="en-US"/>
              </w:rPr>
            </w:pPr>
            <w:r w:rsidRPr="004D0DAA">
              <w:rPr>
                <w:lang w:eastAsia="en-US"/>
              </w:rPr>
              <w:t>MCS-3</w:t>
            </w:r>
          </w:p>
        </w:tc>
        <w:tc>
          <w:tcPr>
            <w:tcW w:w="794" w:type="dxa"/>
          </w:tcPr>
          <w:p w14:paraId="5ED69347" w14:textId="77777777" w:rsidR="00711444" w:rsidRPr="004D0DAA" w:rsidRDefault="00711444" w:rsidP="00AA2A4C">
            <w:pPr>
              <w:pStyle w:val="TAC"/>
              <w:rPr>
                <w:lang w:eastAsia="en-US"/>
              </w:rPr>
            </w:pPr>
            <w:r w:rsidRPr="004D0DAA">
              <w:rPr>
                <w:lang w:eastAsia="en-US"/>
              </w:rPr>
              <w:t>MCS-3</w:t>
            </w:r>
          </w:p>
        </w:tc>
        <w:tc>
          <w:tcPr>
            <w:tcW w:w="794" w:type="dxa"/>
          </w:tcPr>
          <w:p w14:paraId="68DD00F4" w14:textId="77777777" w:rsidR="00711444" w:rsidRPr="004D0DAA" w:rsidRDefault="00711444" w:rsidP="00AA2A4C">
            <w:pPr>
              <w:pStyle w:val="TAC"/>
              <w:rPr>
                <w:lang w:eastAsia="en-US"/>
              </w:rPr>
            </w:pPr>
            <w:r w:rsidRPr="004D0DAA">
              <w:rPr>
                <w:lang w:eastAsia="en-US"/>
              </w:rPr>
              <w:t>MCS-3</w:t>
            </w:r>
          </w:p>
        </w:tc>
        <w:tc>
          <w:tcPr>
            <w:tcW w:w="794" w:type="dxa"/>
          </w:tcPr>
          <w:p w14:paraId="017A7BA4" w14:textId="77777777" w:rsidR="00711444" w:rsidRPr="004D0DAA" w:rsidRDefault="00711444" w:rsidP="00AA2A4C">
            <w:pPr>
              <w:pStyle w:val="TAC"/>
              <w:rPr>
                <w:lang w:eastAsia="en-US"/>
              </w:rPr>
            </w:pPr>
            <w:r w:rsidRPr="004D0DAA">
              <w:rPr>
                <w:lang w:eastAsia="en-US"/>
              </w:rPr>
              <w:t>MCS-3</w:t>
            </w:r>
          </w:p>
        </w:tc>
        <w:tc>
          <w:tcPr>
            <w:tcW w:w="794" w:type="dxa"/>
          </w:tcPr>
          <w:p w14:paraId="52E604BD" w14:textId="77777777" w:rsidR="00711444" w:rsidRPr="004D0DAA" w:rsidRDefault="00711444" w:rsidP="00AA2A4C">
            <w:pPr>
              <w:pStyle w:val="TAC"/>
              <w:rPr>
                <w:lang w:eastAsia="en-US"/>
              </w:rPr>
            </w:pPr>
            <w:r w:rsidRPr="004D0DAA">
              <w:rPr>
                <w:lang w:eastAsia="en-US"/>
              </w:rPr>
              <w:t>MCS-3</w:t>
            </w:r>
          </w:p>
        </w:tc>
      </w:tr>
      <w:tr w:rsidR="00711444" w:rsidRPr="004D0DAA" w14:paraId="581BAF50" w14:textId="77777777" w:rsidTr="00AA2A4C">
        <w:tblPrEx>
          <w:tblCellMar>
            <w:top w:w="0" w:type="dxa"/>
            <w:bottom w:w="0" w:type="dxa"/>
          </w:tblCellMar>
        </w:tblPrEx>
        <w:tc>
          <w:tcPr>
            <w:tcW w:w="907" w:type="dxa"/>
          </w:tcPr>
          <w:p w14:paraId="7B6631E6" w14:textId="77777777" w:rsidR="00711444" w:rsidRPr="004D0DAA" w:rsidRDefault="00711444" w:rsidP="00AA2A4C">
            <w:pPr>
              <w:pStyle w:val="TAC"/>
              <w:rPr>
                <w:lang w:eastAsia="en-US"/>
              </w:rPr>
            </w:pPr>
            <w:r w:rsidRPr="004D0DAA">
              <w:rPr>
                <w:lang w:eastAsia="en-US"/>
              </w:rPr>
              <w:t>MCS-2</w:t>
            </w:r>
          </w:p>
        </w:tc>
        <w:tc>
          <w:tcPr>
            <w:tcW w:w="794" w:type="dxa"/>
          </w:tcPr>
          <w:p w14:paraId="1A952DD5" w14:textId="77777777" w:rsidR="00711444" w:rsidRPr="004D0DAA" w:rsidRDefault="00711444" w:rsidP="00AA2A4C">
            <w:pPr>
              <w:pStyle w:val="TAC"/>
              <w:rPr>
                <w:lang w:eastAsia="en-US"/>
              </w:rPr>
            </w:pPr>
            <w:r w:rsidRPr="004D0DAA">
              <w:rPr>
                <w:lang w:eastAsia="en-US"/>
              </w:rPr>
              <w:t>MCS-2</w:t>
            </w:r>
          </w:p>
        </w:tc>
        <w:tc>
          <w:tcPr>
            <w:tcW w:w="794" w:type="dxa"/>
          </w:tcPr>
          <w:p w14:paraId="680BFFCC" w14:textId="77777777" w:rsidR="00711444" w:rsidRPr="004D0DAA" w:rsidRDefault="00711444" w:rsidP="00AA2A4C">
            <w:pPr>
              <w:pStyle w:val="TAC"/>
              <w:rPr>
                <w:lang w:eastAsia="en-US"/>
              </w:rPr>
            </w:pPr>
            <w:r w:rsidRPr="004D0DAA">
              <w:rPr>
                <w:lang w:eastAsia="en-US"/>
              </w:rPr>
              <w:t>MCS-2</w:t>
            </w:r>
          </w:p>
        </w:tc>
        <w:tc>
          <w:tcPr>
            <w:tcW w:w="794" w:type="dxa"/>
          </w:tcPr>
          <w:p w14:paraId="2F611086" w14:textId="77777777" w:rsidR="00711444" w:rsidRPr="004D0DAA" w:rsidRDefault="00711444" w:rsidP="00AA2A4C">
            <w:pPr>
              <w:pStyle w:val="TAC"/>
              <w:rPr>
                <w:lang w:eastAsia="en-US"/>
              </w:rPr>
            </w:pPr>
            <w:r w:rsidRPr="004D0DAA">
              <w:rPr>
                <w:lang w:eastAsia="en-US"/>
              </w:rPr>
              <w:t>MCS-2</w:t>
            </w:r>
          </w:p>
        </w:tc>
        <w:tc>
          <w:tcPr>
            <w:tcW w:w="794" w:type="dxa"/>
          </w:tcPr>
          <w:p w14:paraId="39C3AF3C" w14:textId="77777777" w:rsidR="00711444" w:rsidRPr="004D0DAA" w:rsidRDefault="00711444" w:rsidP="00AA2A4C">
            <w:pPr>
              <w:pStyle w:val="TAC"/>
              <w:rPr>
                <w:lang w:eastAsia="en-US"/>
              </w:rPr>
            </w:pPr>
            <w:r w:rsidRPr="004D0DAA">
              <w:rPr>
                <w:lang w:eastAsia="en-US"/>
              </w:rPr>
              <w:t>MCS-2</w:t>
            </w:r>
          </w:p>
        </w:tc>
        <w:tc>
          <w:tcPr>
            <w:tcW w:w="794" w:type="dxa"/>
          </w:tcPr>
          <w:p w14:paraId="2326605F" w14:textId="77777777" w:rsidR="00711444" w:rsidRPr="004D0DAA" w:rsidRDefault="00711444" w:rsidP="00AA2A4C">
            <w:pPr>
              <w:pStyle w:val="TAC"/>
              <w:rPr>
                <w:lang w:eastAsia="en-US"/>
              </w:rPr>
            </w:pPr>
            <w:r w:rsidRPr="004D0DAA">
              <w:rPr>
                <w:lang w:eastAsia="en-US"/>
              </w:rPr>
              <w:t>MCS-2</w:t>
            </w:r>
          </w:p>
        </w:tc>
        <w:tc>
          <w:tcPr>
            <w:tcW w:w="794" w:type="dxa"/>
          </w:tcPr>
          <w:p w14:paraId="124BF29C" w14:textId="77777777" w:rsidR="00711444" w:rsidRPr="004D0DAA" w:rsidRDefault="00711444" w:rsidP="00AA2A4C">
            <w:pPr>
              <w:pStyle w:val="TAC"/>
              <w:rPr>
                <w:lang w:eastAsia="en-US"/>
              </w:rPr>
            </w:pPr>
            <w:r w:rsidRPr="004D0DAA">
              <w:rPr>
                <w:lang w:eastAsia="en-US"/>
              </w:rPr>
              <w:t>MCS-2</w:t>
            </w:r>
          </w:p>
        </w:tc>
        <w:tc>
          <w:tcPr>
            <w:tcW w:w="794" w:type="dxa"/>
          </w:tcPr>
          <w:p w14:paraId="06A6F2D6" w14:textId="77777777" w:rsidR="00711444" w:rsidRPr="004D0DAA" w:rsidRDefault="00711444" w:rsidP="00AA2A4C">
            <w:pPr>
              <w:pStyle w:val="TAC"/>
              <w:rPr>
                <w:lang w:eastAsia="en-US"/>
              </w:rPr>
            </w:pPr>
            <w:r w:rsidRPr="004D0DAA">
              <w:rPr>
                <w:lang w:eastAsia="en-US"/>
              </w:rPr>
              <w:t>MCS-2</w:t>
            </w:r>
          </w:p>
        </w:tc>
        <w:tc>
          <w:tcPr>
            <w:tcW w:w="794" w:type="dxa"/>
          </w:tcPr>
          <w:p w14:paraId="4DBEBD01" w14:textId="77777777" w:rsidR="00711444" w:rsidRPr="004D0DAA" w:rsidRDefault="00711444" w:rsidP="00AA2A4C">
            <w:pPr>
              <w:pStyle w:val="TAC"/>
              <w:rPr>
                <w:lang w:eastAsia="en-US"/>
              </w:rPr>
            </w:pPr>
            <w:r w:rsidRPr="004D0DAA">
              <w:rPr>
                <w:lang w:eastAsia="en-US"/>
              </w:rPr>
              <w:t>MCS-2</w:t>
            </w:r>
          </w:p>
        </w:tc>
        <w:tc>
          <w:tcPr>
            <w:tcW w:w="794" w:type="dxa"/>
          </w:tcPr>
          <w:p w14:paraId="2965B139" w14:textId="77777777" w:rsidR="00711444" w:rsidRPr="004D0DAA" w:rsidRDefault="00711444" w:rsidP="00AA2A4C">
            <w:pPr>
              <w:pStyle w:val="TAC"/>
              <w:rPr>
                <w:lang w:eastAsia="en-US"/>
              </w:rPr>
            </w:pPr>
            <w:r w:rsidRPr="004D0DAA">
              <w:rPr>
                <w:lang w:eastAsia="en-US"/>
              </w:rPr>
              <w:t>MCS-2</w:t>
            </w:r>
          </w:p>
        </w:tc>
        <w:tc>
          <w:tcPr>
            <w:tcW w:w="794" w:type="dxa"/>
          </w:tcPr>
          <w:p w14:paraId="3D4C93BA" w14:textId="77777777" w:rsidR="00711444" w:rsidRPr="004D0DAA" w:rsidRDefault="00711444" w:rsidP="00AA2A4C">
            <w:pPr>
              <w:pStyle w:val="TAC"/>
              <w:rPr>
                <w:lang w:eastAsia="en-US"/>
              </w:rPr>
            </w:pPr>
            <w:r w:rsidRPr="004D0DAA">
              <w:rPr>
                <w:lang w:eastAsia="en-US"/>
              </w:rPr>
              <w:t>MCS-2</w:t>
            </w:r>
          </w:p>
        </w:tc>
        <w:tc>
          <w:tcPr>
            <w:tcW w:w="794" w:type="dxa"/>
          </w:tcPr>
          <w:p w14:paraId="3DCC0D01" w14:textId="77777777" w:rsidR="00711444" w:rsidRPr="004D0DAA" w:rsidRDefault="00711444" w:rsidP="00AA2A4C">
            <w:pPr>
              <w:pStyle w:val="TAC"/>
              <w:rPr>
                <w:lang w:eastAsia="en-US"/>
              </w:rPr>
            </w:pPr>
            <w:r w:rsidRPr="004D0DAA">
              <w:rPr>
                <w:lang w:eastAsia="en-US"/>
              </w:rPr>
              <w:t>MCS-2</w:t>
            </w:r>
          </w:p>
        </w:tc>
      </w:tr>
      <w:tr w:rsidR="00711444" w:rsidRPr="004D0DAA" w14:paraId="516792E0" w14:textId="77777777" w:rsidTr="00AA2A4C">
        <w:tblPrEx>
          <w:tblCellMar>
            <w:top w:w="0" w:type="dxa"/>
            <w:bottom w:w="0" w:type="dxa"/>
          </w:tblCellMar>
        </w:tblPrEx>
        <w:tc>
          <w:tcPr>
            <w:tcW w:w="907" w:type="dxa"/>
          </w:tcPr>
          <w:p w14:paraId="392162A2" w14:textId="77777777" w:rsidR="00711444" w:rsidRPr="004D0DAA" w:rsidRDefault="00711444" w:rsidP="00AA2A4C">
            <w:pPr>
              <w:pStyle w:val="TAC"/>
              <w:rPr>
                <w:lang w:eastAsia="en-US"/>
              </w:rPr>
            </w:pPr>
            <w:r w:rsidRPr="004D0DAA">
              <w:rPr>
                <w:lang w:eastAsia="en-US"/>
              </w:rPr>
              <w:t>MCS-1</w:t>
            </w:r>
          </w:p>
        </w:tc>
        <w:tc>
          <w:tcPr>
            <w:tcW w:w="794" w:type="dxa"/>
          </w:tcPr>
          <w:p w14:paraId="50D1C122" w14:textId="77777777" w:rsidR="00711444" w:rsidRPr="004D0DAA" w:rsidRDefault="00711444" w:rsidP="00AA2A4C">
            <w:pPr>
              <w:pStyle w:val="TAC"/>
              <w:rPr>
                <w:lang w:eastAsia="en-US"/>
              </w:rPr>
            </w:pPr>
            <w:r w:rsidRPr="004D0DAA">
              <w:rPr>
                <w:lang w:eastAsia="en-US"/>
              </w:rPr>
              <w:t>MCS-1</w:t>
            </w:r>
          </w:p>
        </w:tc>
        <w:tc>
          <w:tcPr>
            <w:tcW w:w="794" w:type="dxa"/>
          </w:tcPr>
          <w:p w14:paraId="19EB1EDA" w14:textId="77777777" w:rsidR="00711444" w:rsidRPr="004D0DAA" w:rsidRDefault="00711444" w:rsidP="00AA2A4C">
            <w:pPr>
              <w:pStyle w:val="TAC"/>
              <w:rPr>
                <w:lang w:eastAsia="en-US"/>
              </w:rPr>
            </w:pPr>
            <w:r w:rsidRPr="004D0DAA">
              <w:rPr>
                <w:lang w:eastAsia="en-US"/>
              </w:rPr>
              <w:t>MCS-1</w:t>
            </w:r>
          </w:p>
        </w:tc>
        <w:tc>
          <w:tcPr>
            <w:tcW w:w="794" w:type="dxa"/>
          </w:tcPr>
          <w:p w14:paraId="6C0B6171" w14:textId="77777777" w:rsidR="00711444" w:rsidRPr="004D0DAA" w:rsidRDefault="00711444" w:rsidP="00AA2A4C">
            <w:pPr>
              <w:pStyle w:val="TAC"/>
              <w:rPr>
                <w:lang w:eastAsia="en-US"/>
              </w:rPr>
            </w:pPr>
            <w:r w:rsidRPr="004D0DAA">
              <w:rPr>
                <w:lang w:eastAsia="en-US"/>
              </w:rPr>
              <w:t>MCS-1</w:t>
            </w:r>
          </w:p>
        </w:tc>
        <w:tc>
          <w:tcPr>
            <w:tcW w:w="794" w:type="dxa"/>
          </w:tcPr>
          <w:p w14:paraId="0BA61A80" w14:textId="77777777" w:rsidR="00711444" w:rsidRPr="004D0DAA" w:rsidRDefault="00711444" w:rsidP="00AA2A4C">
            <w:pPr>
              <w:pStyle w:val="TAC"/>
              <w:rPr>
                <w:lang w:eastAsia="en-US"/>
              </w:rPr>
            </w:pPr>
            <w:r w:rsidRPr="004D0DAA">
              <w:rPr>
                <w:lang w:eastAsia="en-US"/>
              </w:rPr>
              <w:t>MCS-1</w:t>
            </w:r>
          </w:p>
        </w:tc>
        <w:tc>
          <w:tcPr>
            <w:tcW w:w="794" w:type="dxa"/>
          </w:tcPr>
          <w:p w14:paraId="7E534A15" w14:textId="77777777" w:rsidR="00711444" w:rsidRPr="004D0DAA" w:rsidRDefault="00711444" w:rsidP="00AA2A4C">
            <w:pPr>
              <w:pStyle w:val="TAC"/>
              <w:rPr>
                <w:lang w:eastAsia="en-US"/>
              </w:rPr>
            </w:pPr>
            <w:r w:rsidRPr="004D0DAA">
              <w:rPr>
                <w:lang w:eastAsia="en-US"/>
              </w:rPr>
              <w:t>MCS-1</w:t>
            </w:r>
          </w:p>
        </w:tc>
        <w:tc>
          <w:tcPr>
            <w:tcW w:w="794" w:type="dxa"/>
          </w:tcPr>
          <w:p w14:paraId="5C4E0090" w14:textId="77777777" w:rsidR="00711444" w:rsidRPr="004D0DAA" w:rsidRDefault="00711444" w:rsidP="00AA2A4C">
            <w:pPr>
              <w:pStyle w:val="TAC"/>
              <w:rPr>
                <w:lang w:eastAsia="en-US"/>
              </w:rPr>
            </w:pPr>
            <w:r w:rsidRPr="004D0DAA">
              <w:rPr>
                <w:lang w:eastAsia="en-US"/>
              </w:rPr>
              <w:t>MCS-1</w:t>
            </w:r>
          </w:p>
        </w:tc>
        <w:tc>
          <w:tcPr>
            <w:tcW w:w="794" w:type="dxa"/>
          </w:tcPr>
          <w:p w14:paraId="377874BF" w14:textId="77777777" w:rsidR="00711444" w:rsidRPr="004D0DAA" w:rsidRDefault="00711444" w:rsidP="00AA2A4C">
            <w:pPr>
              <w:pStyle w:val="TAC"/>
              <w:rPr>
                <w:lang w:eastAsia="en-US"/>
              </w:rPr>
            </w:pPr>
            <w:r w:rsidRPr="004D0DAA">
              <w:rPr>
                <w:lang w:eastAsia="en-US"/>
              </w:rPr>
              <w:t>MCS-1</w:t>
            </w:r>
          </w:p>
        </w:tc>
        <w:tc>
          <w:tcPr>
            <w:tcW w:w="794" w:type="dxa"/>
          </w:tcPr>
          <w:p w14:paraId="23239476" w14:textId="77777777" w:rsidR="00711444" w:rsidRPr="004D0DAA" w:rsidRDefault="00711444" w:rsidP="00AA2A4C">
            <w:pPr>
              <w:pStyle w:val="TAC"/>
              <w:rPr>
                <w:lang w:eastAsia="en-US"/>
              </w:rPr>
            </w:pPr>
            <w:r w:rsidRPr="004D0DAA">
              <w:rPr>
                <w:lang w:eastAsia="en-US"/>
              </w:rPr>
              <w:t>MCS-1</w:t>
            </w:r>
          </w:p>
        </w:tc>
        <w:tc>
          <w:tcPr>
            <w:tcW w:w="794" w:type="dxa"/>
          </w:tcPr>
          <w:p w14:paraId="27033AE0" w14:textId="77777777" w:rsidR="00711444" w:rsidRPr="004D0DAA" w:rsidRDefault="00711444" w:rsidP="00AA2A4C">
            <w:pPr>
              <w:pStyle w:val="TAC"/>
              <w:rPr>
                <w:lang w:eastAsia="en-US"/>
              </w:rPr>
            </w:pPr>
            <w:r w:rsidRPr="004D0DAA">
              <w:rPr>
                <w:lang w:eastAsia="en-US"/>
              </w:rPr>
              <w:t>MCS-1</w:t>
            </w:r>
          </w:p>
        </w:tc>
        <w:tc>
          <w:tcPr>
            <w:tcW w:w="794" w:type="dxa"/>
          </w:tcPr>
          <w:p w14:paraId="41F66C35" w14:textId="77777777" w:rsidR="00711444" w:rsidRPr="004D0DAA" w:rsidRDefault="00711444" w:rsidP="00AA2A4C">
            <w:pPr>
              <w:pStyle w:val="TAC"/>
              <w:rPr>
                <w:lang w:eastAsia="en-US"/>
              </w:rPr>
            </w:pPr>
            <w:r w:rsidRPr="004D0DAA">
              <w:rPr>
                <w:lang w:eastAsia="en-US"/>
              </w:rPr>
              <w:t>MCS-1</w:t>
            </w:r>
          </w:p>
        </w:tc>
        <w:tc>
          <w:tcPr>
            <w:tcW w:w="794" w:type="dxa"/>
          </w:tcPr>
          <w:p w14:paraId="25A1F603" w14:textId="77777777" w:rsidR="00711444" w:rsidRPr="004D0DAA" w:rsidRDefault="00711444" w:rsidP="00AA2A4C">
            <w:pPr>
              <w:pStyle w:val="TAC"/>
              <w:rPr>
                <w:lang w:eastAsia="en-US"/>
              </w:rPr>
            </w:pPr>
            <w:r w:rsidRPr="004D0DAA">
              <w:rPr>
                <w:lang w:eastAsia="en-US"/>
              </w:rPr>
              <w:t>MCS-1</w:t>
            </w:r>
          </w:p>
        </w:tc>
      </w:tr>
      <w:tr w:rsidR="00711444" w:rsidRPr="004D0DAA" w14:paraId="30B2B0D7" w14:textId="77777777" w:rsidTr="00AA2A4C">
        <w:tblPrEx>
          <w:tblCellMar>
            <w:top w:w="0" w:type="dxa"/>
            <w:bottom w:w="0" w:type="dxa"/>
          </w:tblCellMar>
        </w:tblPrEx>
        <w:trPr>
          <w:cantSplit/>
        </w:trPr>
        <w:tc>
          <w:tcPr>
            <w:tcW w:w="9641" w:type="dxa"/>
            <w:gridSpan w:val="12"/>
          </w:tcPr>
          <w:p w14:paraId="0D7A87A6" w14:textId="77777777" w:rsidR="00711444" w:rsidRPr="004D0DAA" w:rsidRDefault="00711444" w:rsidP="00AA2A4C">
            <w:pPr>
              <w:pStyle w:val="TAN"/>
              <w:rPr>
                <w:lang w:eastAsia="en-US"/>
              </w:rPr>
            </w:pPr>
            <w:r w:rsidRPr="004D0DAA">
              <w:rPr>
                <w:lang w:eastAsia="en-US"/>
              </w:rPr>
              <w:t>NOTE:</w:t>
            </w:r>
            <w:r w:rsidRPr="004D0DAA">
              <w:rPr>
                <w:lang w:eastAsia="en-US"/>
              </w:rPr>
              <w:tab/>
              <w:t>MCS to use for retransmissions when re-segmentation is not (</w:t>
            </w:r>
            <w:r w:rsidRPr="004D0DAA">
              <w:rPr>
                <w:iCs/>
                <w:lang w:eastAsia="en-US"/>
              </w:rPr>
              <w:t>RESEGMENT</w:t>
            </w:r>
            <w:r w:rsidRPr="004D0DAA">
              <w:rPr>
                <w:lang w:eastAsia="en-US"/>
              </w:rPr>
              <w:t xml:space="preserve"> bit set to ‘0') allowed (specified as a function of the scheme used for the initial transmission).</w:t>
            </w:r>
          </w:p>
        </w:tc>
      </w:tr>
    </w:tbl>
    <w:p w14:paraId="5236F129" w14:textId="77777777" w:rsidR="00711444" w:rsidRPr="004D0DAA" w:rsidRDefault="00711444" w:rsidP="00711444"/>
    <w:p w14:paraId="20CE8F8F" w14:textId="77777777" w:rsidR="00711444" w:rsidRPr="004D0DAA" w:rsidRDefault="00711444" w:rsidP="00711444">
      <w:pPr>
        <w:pStyle w:val="TH"/>
      </w:pPr>
      <w:r w:rsidRPr="004D0DAA">
        <w:t>Table 8.1.1.3: Choice of modulation and coding scheme for retransmissions with re-segmentation (EGPRS2-A)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802"/>
        <w:gridCol w:w="801"/>
        <w:gridCol w:w="803"/>
        <w:gridCol w:w="802"/>
        <w:gridCol w:w="803"/>
        <w:gridCol w:w="801"/>
        <w:gridCol w:w="803"/>
        <w:gridCol w:w="802"/>
        <w:gridCol w:w="802"/>
        <w:gridCol w:w="802"/>
        <w:gridCol w:w="807"/>
      </w:tblGrid>
      <w:tr w:rsidR="00711444" w:rsidRPr="004D0DAA" w14:paraId="7B88D09C" w14:textId="77777777" w:rsidTr="00AA2A4C">
        <w:tc>
          <w:tcPr>
            <w:tcW w:w="821" w:type="dxa"/>
            <w:tcMar>
              <w:left w:w="28" w:type="dxa"/>
              <w:right w:w="28" w:type="dxa"/>
            </w:tcMar>
          </w:tcPr>
          <w:p w14:paraId="2F661660" w14:textId="77777777" w:rsidR="00711444" w:rsidRPr="004D0DAA" w:rsidRDefault="00711444" w:rsidP="00AA2A4C">
            <w:pPr>
              <w:pStyle w:val="TAH"/>
              <w:rPr>
                <w:lang w:eastAsia="en-US"/>
              </w:rPr>
            </w:pPr>
            <w:r w:rsidRPr="004D0DAA">
              <w:rPr>
                <w:lang w:eastAsia="en-US"/>
              </w:rPr>
              <w:t>Scheme used for Initial transmission</w:t>
            </w:r>
          </w:p>
        </w:tc>
        <w:tc>
          <w:tcPr>
            <w:tcW w:w="9038" w:type="dxa"/>
            <w:gridSpan w:val="11"/>
          </w:tcPr>
          <w:p w14:paraId="7A7527E7" w14:textId="77777777" w:rsidR="00711444" w:rsidRPr="004D0DAA" w:rsidRDefault="00711444" w:rsidP="00AA2A4C">
            <w:pPr>
              <w:pStyle w:val="TAH"/>
              <w:rPr>
                <w:lang w:eastAsia="en-US"/>
              </w:rPr>
            </w:pPr>
            <w:r w:rsidRPr="004D0DAA">
              <w:rPr>
                <w:lang w:eastAsia="en-US"/>
              </w:rPr>
              <w:t>Scheme to use for retransmissions after switching to a different modulation and coding scheme (MCS or UAS)</w:t>
            </w:r>
          </w:p>
        </w:tc>
      </w:tr>
      <w:tr w:rsidR="00711444" w:rsidRPr="004D0DAA" w14:paraId="0676D3B9" w14:textId="77777777" w:rsidTr="00AA2A4C">
        <w:trPr>
          <w:trHeight w:val="567"/>
        </w:trPr>
        <w:tc>
          <w:tcPr>
            <w:tcW w:w="821" w:type="dxa"/>
            <w:tcMar>
              <w:left w:w="28" w:type="dxa"/>
              <w:right w:w="28" w:type="dxa"/>
            </w:tcMar>
          </w:tcPr>
          <w:p w14:paraId="4AB7EF13" w14:textId="77777777" w:rsidR="00711444" w:rsidRPr="004D0DAA" w:rsidRDefault="00711444" w:rsidP="00AA2A4C">
            <w:pPr>
              <w:spacing w:after="0"/>
              <w:jc w:val="center"/>
            </w:pPr>
          </w:p>
        </w:tc>
        <w:tc>
          <w:tcPr>
            <w:tcW w:w="821" w:type="dxa"/>
            <w:tcMar>
              <w:left w:w="57" w:type="dxa"/>
              <w:right w:w="57" w:type="dxa"/>
            </w:tcMar>
          </w:tcPr>
          <w:p w14:paraId="0D5B963B" w14:textId="77777777" w:rsidR="00711444" w:rsidRPr="004D0DAA" w:rsidRDefault="00711444" w:rsidP="00AA2A4C">
            <w:pPr>
              <w:pStyle w:val="TAC"/>
              <w:rPr>
                <w:lang w:eastAsia="en-US"/>
              </w:rPr>
            </w:pPr>
            <w:r w:rsidRPr="004D0DAA">
              <w:rPr>
                <w:b/>
                <w:bCs/>
                <w:lang w:eastAsia="en-US"/>
              </w:rPr>
              <w:t>UAS-11 Commanded</w:t>
            </w:r>
          </w:p>
        </w:tc>
        <w:tc>
          <w:tcPr>
            <w:tcW w:w="821" w:type="dxa"/>
            <w:tcMar>
              <w:left w:w="28" w:type="dxa"/>
              <w:right w:w="28" w:type="dxa"/>
            </w:tcMar>
          </w:tcPr>
          <w:p w14:paraId="0D9EFF3F" w14:textId="77777777" w:rsidR="00711444" w:rsidRPr="004D0DAA" w:rsidRDefault="00711444" w:rsidP="00AA2A4C">
            <w:pPr>
              <w:pStyle w:val="TAC"/>
              <w:rPr>
                <w:lang w:eastAsia="en-US"/>
              </w:rPr>
            </w:pPr>
            <w:r w:rsidRPr="004D0DAA">
              <w:rPr>
                <w:b/>
                <w:bCs/>
                <w:lang w:eastAsia="en-US"/>
              </w:rPr>
              <w:t>UAS-10 Commanded</w:t>
            </w:r>
          </w:p>
        </w:tc>
        <w:tc>
          <w:tcPr>
            <w:tcW w:w="822" w:type="dxa"/>
            <w:tcMar>
              <w:left w:w="28" w:type="dxa"/>
              <w:right w:w="28" w:type="dxa"/>
            </w:tcMar>
          </w:tcPr>
          <w:p w14:paraId="27B2D500" w14:textId="77777777" w:rsidR="00711444" w:rsidRPr="004D0DAA" w:rsidRDefault="00711444" w:rsidP="00AA2A4C">
            <w:pPr>
              <w:pStyle w:val="TAC"/>
              <w:rPr>
                <w:lang w:eastAsia="en-US"/>
              </w:rPr>
            </w:pPr>
            <w:r w:rsidRPr="004D0DAA">
              <w:rPr>
                <w:b/>
                <w:bCs/>
                <w:lang w:eastAsia="en-US"/>
              </w:rPr>
              <w:t>UAS-9 Commanded</w:t>
            </w:r>
          </w:p>
        </w:tc>
        <w:tc>
          <w:tcPr>
            <w:tcW w:w="821" w:type="dxa"/>
            <w:tcMar>
              <w:left w:w="28" w:type="dxa"/>
              <w:right w:w="28" w:type="dxa"/>
            </w:tcMar>
          </w:tcPr>
          <w:p w14:paraId="12A234EC" w14:textId="77777777" w:rsidR="00711444" w:rsidRPr="004D0DAA" w:rsidRDefault="00711444" w:rsidP="00AA2A4C">
            <w:pPr>
              <w:pStyle w:val="TAC"/>
              <w:rPr>
                <w:lang w:eastAsia="en-US"/>
              </w:rPr>
            </w:pPr>
            <w:r w:rsidRPr="004D0DAA">
              <w:rPr>
                <w:b/>
                <w:bCs/>
                <w:lang w:eastAsia="en-US"/>
              </w:rPr>
              <w:t>UAS-8 Commanded</w:t>
            </w:r>
          </w:p>
        </w:tc>
        <w:tc>
          <w:tcPr>
            <w:tcW w:w="822" w:type="dxa"/>
            <w:tcMar>
              <w:left w:w="28" w:type="dxa"/>
              <w:right w:w="28" w:type="dxa"/>
            </w:tcMar>
          </w:tcPr>
          <w:p w14:paraId="73D505FE" w14:textId="77777777" w:rsidR="00711444" w:rsidRPr="004D0DAA" w:rsidRDefault="00711444" w:rsidP="00AA2A4C">
            <w:pPr>
              <w:pStyle w:val="TAC"/>
              <w:rPr>
                <w:lang w:eastAsia="en-US"/>
              </w:rPr>
            </w:pPr>
            <w:r w:rsidRPr="004D0DAA">
              <w:rPr>
                <w:b/>
                <w:bCs/>
                <w:lang w:eastAsia="en-US"/>
              </w:rPr>
              <w:t>UAS-7 Commanded</w:t>
            </w:r>
          </w:p>
        </w:tc>
        <w:tc>
          <w:tcPr>
            <w:tcW w:w="820" w:type="dxa"/>
            <w:tcMar>
              <w:left w:w="28" w:type="dxa"/>
              <w:right w:w="28" w:type="dxa"/>
            </w:tcMar>
          </w:tcPr>
          <w:p w14:paraId="4E53CD52" w14:textId="77777777" w:rsidR="00711444" w:rsidRPr="004D0DAA" w:rsidRDefault="00711444" w:rsidP="00AA2A4C">
            <w:pPr>
              <w:pStyle w:val="TAC"/>
              <w:rPr>
                <w:lang w:eastAsia="en-US"/>
              </w:rPr>
            </w:pPr>
            <w:r w:rsidRPr="004D0DAA">
              <w:rPr>
                <w:b/>
                <w:bCs/>
                <w:lang w:eastAsia="en-US"/>
              </w:rPr>
              <w:t>MCS-6 Commanded</w:t>
            </w:r>
          </w:p>
        </w:tc>
        <w:tc>
          <w:tcPr>
            <w:tcW w:w="822" w:type="dxa"/>
            <w:tcMar>
              <w:left w:w="28" w:type="dxa"/>
              <w:right w:w="28" w:type="dxa"/>
            </w:tcMar>
          </w:tcPr>
          <w:p w14:paraId="7FF899ED" w14:textId="77777777" w:rsidR="00711444" w:rsidRPr="004D0DAA" w:rsidRDefault="00711444" w:rsidP="00AA2A4C">
            <w:pPr>
              <w:pStyle w:val="TAC"/>
              <w:rPr>
                <w:lang w:eastAsia="en-US"/>
              </w:rPr>
            </w:pPr>
            <w:r w:rsidRPr="004D0DAA">
              <w:rPr>
                <w:b/>
                <w:bCs/>
                <w:lang w:eastAsia="en-US"/>
              </w:rPr>
              <w:t>MCS-5 Commanded</w:t>
            </w:r>
          </w:p>
        </w:tc>
        <w:tc>
          <w:tcPr>
            <w:tcW w:w="821" w:type="dxa"/>
            <w:tcMar>
              <w:left w:w="28" w:type="dxa"/>
              <w:right w:w="28" w:type="dxa"/>
            </w:tcMar>
          </w:tcPr>
          <w:p w14:paraId="7F3622D0" w14:textId="77777777" w:rsidR="00711444" w:rsidRPr="004D0DAA" w:rsidRDefault="00711444" w:rsidP="00AA2A4C">
            <w:pPr>
              <w:pStyle w:val="TAC"/>
              <w:rPr>
                <w:lang w:eastAsia="en-US"/>
              </w:rPr>
            </w:pPr>
            <w:r w:rsidRPr="004D0DAA">
              <w:rPr>
                <w:b/>
                <w:bCs/>
                <w:lang w:eastAsia="en-US"/>
              </w:rPr>
              <w:t>MCS-4 Commanded</w:t>
            </w:r>
          </w:p>
        </w:tc>
        <w:tc>
          <w:tcPr>
            <w:tcW w:w="821" w:type="dxa"/>
            <w:tcMar>
              <w:left w:w="28" w:type="dxa"/>
              <w:right w:w="28" w:type="dxa"/>
            </w:tcMar>
          </w:tcPr>
          <w:p w14:paraId="5AE2805E" w14:textId="77777777" w:rsidR="00711444" w:rsidRPr="004D0DAA" w:rsidRDefault="00711444" w:rsidP="00AA2A4C">
            <w:pPr>
              <w:pStyle w:val="TAC"/>
              <w:rPr>
                <w:lang w:eastAsia="en-US"/>
              </w:rPr>
            </w:pPr>
            <w:r w:rsidRPr="004D0DAA">
              <w:rPr>
                <w:b/>
                <w:bCs/>
                <w:lang w:eastAsia="en-US"/>
              </w:rPr>
              <w:t>MCS-3 Commanded</w:t>
            </w:r>
          </w:p>
        </w:tc>
        <w:tc>
          <w:tcPr>
            <w:tcW w:w="821" w:type="dxa"/>
            <w:tcMar>
              <w:left w:w="28" w:type="dxa"/>
              <w:right w:w="28" w:type="dxa"/>
            </w:tcMar>
          </w:tcPr>
          <w:p w14:paraId="3E638B43" w14:textId="77777777" w:rsidR="00711444" w:rsidRPr="004D0DAA" w:rsidRDefault="00711444" w:rsidP="00AA2A4C">
            <w:pPr>
              <w:pStyle w:val="TAC"/>
              <w:rPr>
                <w:lang w:eastAsia="en-US"/>
              </w:rPr>
            </w:pPr>
            <w:r w:rsidRPr="004D0DAA">
              <w:rPr>
                <w:b/>
                <w:bCs/>
                <w:lang w:eastAsia="en-US"/>
              </w:rPr>
              <w:t>MCS-2 Commanded</w:t>
            </w:r>
          </w:p>
        </w:tc>
        <w:tc>
          <w:tcPr>
            <w:tcW w:w="826" w:type="dxa"/>
            <w:tcMar>
              <w:left w:w="28" w:type="dxa"/>
              <w:right w:w="28" w:type="dxa"/>
            </w:tcMar>
          </w:tcPr>
          <w:p w14:paraId="0BE25F83" w14:textId="77777777" w:rsidR="00711444" w:rsidRPr="004D0DAA" w:rsidRDefault="00711444" w:rsidP="00AA2A4C">
            <w:pPr>
              <w:pStyle w:val="TAC"/>
              <w:rPr>
                <w:lang w:eastAsia="en-US"/>
              </w:rPr>
            </w:pPr>
            <w:r w:rsidRPr="004D0DAA">
              <w:rPr>
                <w:b/>
                <w:bCs/>
                <w:lang w:eastAsia="en-US"/>
              </w:rPr>
              <w:t>MCS-1 Commanded</w:t>
            </w:r>
          </w:p>
        </w:tc>
      </w:tr>
      <w:tr w:rsidR="00711444" w:rsidRPr="004D0DAA" w14:paraId="11291885" w14:textId="77777777" w:rsidTr="00AA2A4C">
        <w:tc>
          <w:tcPr>
            <w:tcW w:w="821" w:type="dxa"/>
            <w:tcMar>
              <w:left w:w="28" w:type="dxa"/>
              <w:right w:w="28" w:type="dxa"/>
            </w:tcMar>
          </w:tcPr>
          <w:p w14:paraId="17A51D5A" w14:textId="77777777" w:rsidR="00711444" w:rsidRPr="004D0DAA" w:rsidRDefault="00711444" w:rsidP="00AA2A4C">
            <w:pPr>
              <w:pStyle w:val="TAC"/>
              <w:rPr>
                <w:lang w:eastAsia="en-US"/>
              </w:rPr>
            </w:pPr>
            <w:r w:rsidRPr="004D0DAA">
              <w:rPr>
                <w:lang w:eastAsia="en-US"/>
              </w:rPr>
              <w:lastRenderedPageBreak/>
              <w:t>UAS-11</w:t>
            </w:r>
          </w:p>
        </w:tc>
        <w:tc>
          <w:tcPr>
            <w:tcW w:w="821" w:type="dxa"/>
            <w:tcMar>
              <w:left w:w="28" w:type="dxa"/>
              <w:right w:w="28" w:type="dxa"/>
            </w:tcMar>
          </w:tcPr>
          <w:p w14:paraId="3463C190" w14:textId="77777777" w:rsidR="00711444" w:rsidRPr="004D0DAA" w:rsidRDefault="00711444" w:rsidP="00AA2A4C">
            <w:pPr>
              <w:pStyle w:val="TAC"/>
              <w:rPr>
                <w:lang w:eastAsia="en-US"/>
              </w:rPr>
            </w:pPr>
            <w:r w:rsidRPr="004D0DAA">
              <w:rPr>
                <w:lang w:eastAsia="en-US"/>
              </w:rPr>
              <w:t>UAS-11</w:t>
            </w:r>
          </w:p>
        </w:tc>
        <w:tc>
          <w:tcPr>
            <w:tcW w:w="821" w:type="dxa"/>
            <w:tcMar>
              <w:left w:w="28" w:type="dxa"/>
              <w:right w:w="28" w:type="dxa"/>
            </w:tcMar>
          </w:tcPr>
          <w:p w14:paraId="7205902B" w14:textId="77777777" w:rsidR="00711444" w:rsidRPr="004D0DAA" w:rsidRDefault="00711444" w:rsidP="00AA2A4C">
            <w:pPr>
              <w:pStyle w:val="TAC"/>
              <w:rPr>
                <w:lang w:eastAsia="en-US"/>
              </w:rPr>
            </w:pPr>
            <w:r w:rsidRPr="004D0DAA">
              <w:rPr>
                <w:lang w:eastAsia="en-US"/>
              </w:rPr>
              <w:t>UAS-8</w:t>
            </w:r>
          </w:p>
        </w:tc>
        <w:tc>
          <w:tcPr>
            <w:tcW w:w="822" w:type="dxa"/>
            <w:tcMar>
              <w:left w:w="28" w:type="dxa"/>
              <w:right w:w="28" w:type="dxa"/>
            </w:tcMar>
          </w:tcPr>
          <w:p w14:paraId="5A78C02C" w14:textId="77777777" w:rsidR="00711444" w:rsidRPr="004D0DAA" w:rsidRDefault="00711444" w:rsidP="00AA2A4C">
            <w:pPr>
              <w:pStyle w:val="TAC"/>
              <w:rPr>
                <w:lang w:eastAsia="en-US"/>
              </w:rPr>
            </w:pPr>
            <w:r w:rsidRPr="004D0DAA">
              <w:rPr>
                <w:lang w:eastAsia="en-US"/>
              </w:rPr>
              <w:t>UAS-8</w:t>
            </w:r>
          </w:p>
        </w:tc>
        <w:tc>
          <w:tcPr>
            <w:tcW w:w="821" w:type="dxa"/>
            <w:tcMar>
              <w:left w:w="28" w:type="dxa"/>
              <w:right w:w="28" w:type="dxa"/>
            </w:tcMar>
          </w:tcPr>
          <w:p w14:paraId="6571503E" w14:textId="77777777" w:rsidR="00711444" w:rsidRPr="004D0DAA" w:rsidRDefault="00711444" w:rsidP="00AA2A4C">
            <w:pPr>
              <w:pStyle w:val="TAC"/>
              <w:rPr>
                <w:lang w:eastAsia="en-US"/>
              </w:rPr>
            </w:pPr>
            <w:r w:rsidRPr="004D0DAA">
              <w:rPr>
                <w:lang w:eastAsia="en-US"/>
              </w:rPr>
              <w:t>UAS-8</w:t>
            </w:r>
          </w:p>
        </w:tc>
        <w:tc>
          <w:tcPr>
            <w:tcW w:w="822" w:type="dxa"/>
            <w:tcMar>
              <w:left w:w="28" w:type="dxa"/>
              <w:right w:w="28" w:type="dxa"/>
            </w:tcMar>
          </w:tcPr>
          <w:p w14:paraId="472048D1" w14:textId="77777777" w:rsidR="00711444" w:rsidRPr="004D0DAA" w:rsidRDefault="00711444" w:rsidP="00AA2A4C">
            <w:pPr>
              <w:pStyle w:val="TAC"/>
              <w:rPr>
                <w:lang w:eastAsia="en-US"/>
              </w:rPr>
            </w:pPr>
            <w:r w:rsidRPr="004D0DAA">
              <w:rPr>
                <w:lang w:eastAsia="en-US"/>
              </w:rPr>
              <w:t>MCS-6</w:t>
            </w:r>
          </w:p>
          <w:p w14:paraId="3C966227" w14:textId="77777777" w:rsidR="00711444" w:rsidRPr="004D0DAA" w:rsidRDefault="00711444" w:rsidP="00AA2A4C">
            <w:pPr>
              <w:pStyle w:val="TAC"/>
              <w:rPr>
                <w:lang w:eastAsia="en-US"/>
              </w:rPr>
            </w:pPr>
            <w:r w:rsidRPr="004D0DAA">
              <w:rPr>
                <w:lang w:eastAsia="en-US"/>
              </w:rPr>
              <w:t>(pad)</w:t>
            </w:r>
          </w:p>
        </w:tc>
        <w:tc>
          <w:tcPr>
            <w:tcW w:w="820" w:type="dxa"/>
            <w:tcMar>
              <w:left w:w="28" w:type="dxa"/>
              <w:right w:w="28" w:type="dxa"/>
            </w:tcMar>
          </w:tcPr>
          <w:p w14:paraId="70403F0B" w14:textId="77777777" w:rsidR="00711444" w:rsidRPr="004D0DAA" w:rsidRDefault="00711444" w:rsidP="00AA2A4C">
            <w:pPr>
              <w:pStyle w:val="TAC"/>
              <w:rPr>
                <w:lang w:eastAsia="en-US"/>
              </w:rPr>
            </w:pPr>
            <w:r w:rsidRPr="004D0DAA">
              <w:rPr>
                <w:lang w:eastAsia="en-US"/>
              </w:rPr>
              <w:t>MCS-6</w:t>
            </w:r>
          </w:p>
          <w:p w14:paraId="6BBF70C5" w14:textId="77777777" w:rsidR="00711444" w:rsidRPr="004D0DAA" w:rsidRDefault="00711444" w:rsidP="00AA2A4C">
            <w:pPr>
              <w:pStyle w:val="TAC"/>
              <w:rPr>
                <w:lang w:eastAsia="en-US"/>
              </w:rPr>
            </w:pPr>
            <w:r w:rsidRPr="004D0DAA">
              <w:rPr>
                <w:lang w:eastAsia="en-US"/>
              </w:rPr>
              <w:t>(pad)</w:t>
            </w:r>
          </w:p>
        </w:tc>
        <w:tc>
          <w:tcPr>
            <w:tcW w:w="822" w:type="dxa"/>
            <w:tcMar>
              <w:left w:w="28" w:type="dxa"/>
              <w:right w:w="28" w:type="dxa"/>
            </w:tcMar>
          </w:tcPr>
          <w:p w14:paraId="2A562570" w14:textId="77777777" w:rsidR="00711444" w:rsidRPr="004D0DAA" w:rsidRDefault="00711444" w:rsidP="00AA2A4C">
            <w:pPr>
              <w:pStyle w:val="TAC"/>
              <w:rPr>
                <w:lang w:eastAsia="en-US"/>
              </w:rPr>
            </w:pPr>
            <w:r w:rsidRPr="004D0DAA">
              <w:rPr>
                <w:lang w:eastAsia="en-US"/>
              </w:rPr>
              <w:t>MCS-3</w:t>
            </w:r>
          </w:p>
          <w:p w14:paraId="45E6F482" w14:textId="77777777" w:rsidR="00711444" w:rsidRPr="004D0DAA" w:rsidRDefault="00711444" w:rsidP="00AA2A4C">
            <w:pPr>
              <w:pStyle w:val="TAC"/>
              <w:rPr>
                <w:lang w:eastAsia="en-US"/>
              </w:rPr>
            </w:pPr>
            <w:r w:rsidRPr="004D0DAA">
              <w:rPr>
                <w:lang w:eastAsia="en-US"/>
              </w:rPr>
              <w:t>(pad)</w:t>
            </w:r>
          </w:p>
        </w:tc>
        <w:tc>
          <w:tcPr>
            <w:tcW w:w="821" w:type="dxa"/>
            <w:tcMar>
              <w:left w:w="28" w:type="dxa"/>
              <w:right w:w="28" w:type="dxa"/>
            </w:tcMar>
          </w:tcPr>
          <w:p w14:paraId="483EE941" w14:textId="77777777" w:rsidR="00711444" w:rsidRPr="004D0DAA" w:rsidRDefault="00711444" w:rsidP="00AA2A4C">
            <w:pPr>
              <w:pStyle w:val="TAC"/>
              <w:rPr>
                <w:lang w:eastAsia="en-US"/>
              </w:rPr>
            </w:pPr>
            <w:r w:rsidRPr="004D0DAA">
              <w:rPr>
                <w:lang w:eastAsia="en-US"/>
              </w:rPr>
              <w:t>MCS-3</w:t>
            </w:r>
          </w:p>
          <w:p w14:paraId="30874E23" w14:textId="77777777" w:rsidR="00711444" w:rsidRPr="004D0DAA" w:rsidRDefault="00711444" w:rsidP="00AA2A4C">
            <w:pPr>
              <w:pStyle w:val="TAC"/>
              <w:rPr>
                <w:lang w:eastAsia="en-US"/>
              </w:rPr>
            </w:pPr>
            <w:r w:rsidRPr="004D0DAA">
              <w:rPr>
                <w:lang w:eastAsia="en-US"/>
              </w:rPr>
              <w:t>(pad)</w:t>
            </w:r>
          </w:p>
        </w:tc>
        <w:tc>
          <w:tcPr>
            <w:tcW w:w="821" w:type="dxa"/>
            <w:tcMar>
              <w:left w:w="28" w:type="dxa"/>
              <w:right w:w="28" w:type="dxa"/>
            </w:tcMar>
          </w:tcPr>
          <w:p w14:paraId="51CD614A" w14:textId="77777777" w:rsidR="00711444" w:rsidRPr="004D0DAA" w:rsidRDefault="00711444" w:rsidP="00AA2A4C">
            <w:pPr>
              <w:pStyle w:val="TAC"/>
              <w:rPr>
                <w:lang w:eastAsia="en-US"/>
              </w:rPr>
            </w:pPr>
            <w:r w:rsidRPr="004D0DAA">
              <w:rPr>
                <w:lang w:eastAsia="en-US"/>
              </w:rPr>
              <w:t>MCS-3</w:t>
            </w:r>
          </w:p>
          <w:p w14:paraId="4F1A4626" w14:textId="77777777" w:rsidR="00711444" w:rsidRPr="004D0DAA" w:rsidRDefault="00711444" w:rsidP="00AA2A4C">
            <w:pPr>
              <w:pStyle w:val="TAC"/>
              <w:rPr>
                <w:lang w:eastAsia="en-US"/>
              </w:rPr>
            </w:pPr>
            <w:r w:rsidRPr="004D0DAA">
              <w:rPr>
                <w:lang w:eastAsia="en-US"/>
              </w:rPr>
              <w:t>(pad)</w:t>
            </w:r>
          </w:p>
        </w:tc>
        <w:tc>
          <w:tcPr>
            <w:tcW w:w="821" w:type="dxa"/>
            <w:tcMar>
              <w:left w:w="28" w:type="dxa"/>
              <w:right w:w="28" w:type="dxa"/>
            </w:tcMar>
          </w:tcPr>
          <w:p w14:paraId="3E01F9B8" w14:textId="77777777" w:rsidR="00711444" w:rsidRPr="004D0DAA" w:rsidRDefault="00711444" w:rsidP="00AA2A4C">
            <w:pPr>
              <w:pStyle w:val="TAC"/>
              <w:rPr>
                <w:lang w:eastAsia="en-US"/>
              </w:rPr>
            </w:pPr>
            <w:r w:rsidRPr="004D0DAA">
              <w:rPr>
                <w:lang w:eastAsia="en-US"/>
              </w:rPr>
              <w:t>MCS-3</w:t>
            </w:r>
          </w:p>
          <w:p w14:paraId="6CD5E07B" w14:textId="77777777" w:rsidR="00711444" w:rsidRPr="004D0DAA" w:rsidRDefault="00711444" w:rsidP="00AA2A4C">
            <w:pPr>
              <w:pStyle w:val="TAC"/>
              <w:rPr>
                <w:lang w:eastAsia="en-US"/>
              </w:rPr>
            </w:pPr>
            <w:r w:rsidRPr="004D0DAA">
              <w:rPr>
                <w:lang w:eastAsia="en-US"/>
              </w:rPr>
              <w:t>(pad)</w:t>
            </w:r>
          </w:p>
        </w:tc>
        <w:tc>
          <w:tcPr>
            <w:tcW w:w="826" w:type="dxa"/>
            <w:tcMar>
              <w:left w:w="28" w:type="dxa"/>
              <w:right w:w="28" w:type="dxa"/>
            </w:tcMar>
          </w:tcPr>
          <w:p w14:paraId="6411CA50" w14:textId="77777777" w:rsidR="00711444" w:rsidRPr="004D0DAA" w:rsidRDefault="00711444" w:rsidP="00AA2A4C">
            <w:pPr>
              <w:pStyle w:val="TAC"/>
              <w:rPr>
                <w:lang w:eastAsia="en-US"/>
              </w:rPr>
            </w:pPr>
            <w:r w:rsidRPr="004D0DAA">
              <w:rPr>
                <w:lang w:eastAsia="en-US"/>
              </w:rPr>
              <w:t>MCS-3</w:t>
            </w:r>
          </w:p>
          <w:p w14:paraId="198B542E" w14:textId="77777777" w:rsidR="00711444" w:rsidRPr="004D0DAA" w:rsidRDefault="00711444" w:rsidP="00AA2A4C">
            <w:pPr>
              <w:pStyle w:val="TAC"/>
              <w:rPr>
                <w:lang w:eastAsia="en-US"/>
              </w:rPr>
            </w:pPr>
            <w:r w:rsidRPr="004D0DAA">
              <w:rPr>
                <w:lang w:eastAsia="en-US"/>
              </w:rPr>
              <w:t>(pad)</w:t>
            </w:r>
          </w:p>
        </w:tc>
      </w:tr>
      <w:tr w:rsidR="00711444" w:rsidRPr="004D0DAA" w14:paraId="0324C98C" w14:textId="77777777" w:rsidTr="00AA2A4C">
        <w:tc>
          <w:tcPr>
            <w:tcW w:w="821" w:type="dxa"/>
            <w:tcMar>
              <w:left w:w="28" w:type="dxa"/>
              <w:right w:w="28" w:type="dxa"/>
            </w:tcMar>
          </w:tcPr>
          <w:p w14:paraId="709E5572" w14:textId="77777777" w:rsidR="00711444" w:rsidRPr="004D0DAA" w:rsidRDefault="00711444" w:rsidP="00AA2A4C">
            <w:pPr>
              <w:pStyle w:val="TAC"/>
              <w:rPr>
                <w:lang w:eastAsia="en-US"/>
              </w:rPr>
            </w:pPr>
            <w:r w:rsidRPr="004D0DAA">
              <w:rPr>
                <w:lang w:eastAsia="en-US"/>
              </w:rPr>
              <w:t>UAS-10</w:t>
            </w:r>
          </w:p>
        </w:tc>
        <w:tc>
          <w:tcPr>
            <w:tcW w:w="821" w:type="dxa"/>
            <w:tcMar>
              <w:left w:w="28" w:type="dxa"/>
              <w:right w:w="28" w:type="dxa"/>
            </w:tcMar>
          </w:tcPr>
          <w:p w14:paraId="0540D9EC" w14:textId="77777777" w:rsidR="00711444" w:rsidRPr="004D0DAA" w:rsidRDefault="00711444" w:rsidP="00AA2A4C">
            <w:pPr>
              <w:pStyle w:val="TAC"/>
              <w:rPr>
                <w:lang w:eastAsia="en-US"/>
              </w:rPr>
            </w:pPr>
            <w:r w:rsidRPr="004D0DAA">
              <w:rPr>
                <w:lang w:eastAsia="en-US"/>
              </w:rPr>
              <w:t>UAS-10</w:t>
            </w:r>
          </w:p>
        </w:tc>
        <w:tc>
          <w:tcPr>
            <w:tcW w:w="821" w:type="dxa"/>
            <w:tcMar>
              <w:left w:w="28" w:type="dxa"/>
              <w:right w:w="28" w:type="dxa"/>
            </w:tcMar>
          </w:tcPr>
          <w:p w14:paraId="23F4EE9B" w14:textId="77777777" w:rsidR="00711444" w:rsidRPr="004D0DAA" w:rsidRDefault="00711444" w:rsidP="00AA2A4C">
            <w:pPr>
              <w:pStyle w:val="TAC"/>
              <w:rPr>
                <w:lang w:eastAsia="en-US"/>
              </w:rPr>
            </w:pPr>
            <w:r w:rsidRPr="004D0DAA">
              <w:rPr>
                <w:lang w:eastAsia="en-US"/>
              </w:rPr>
              <w:t>UAS-10</w:t>
            </w:r>
          </w:p>
        </w:tc>
        <w:tc>
          <w:tcPr>
            <w:tcW w:w="822" w:type="dxa"/>
            <w:tcMar>
              <w:left w:w="28" w:type="dxa"/>
              <w:right w:w="28" w:type="dxa"/>
            </w:tcMar>
          </w:tcPr>
          <w:p w14:paraId="067268CF" w14:textId="77777777" w:rsidR="00711444" w:rsidRPr="004D0DAA" w:rsidRDefault="00711444" w:rsidP="00AA2A4C">
            <w:pPr>
              <w:pStyle w:val="TAC"/>
              <w:rPr>
                <w:lang w:eastAsia="en-US"/>
              </w:rPr>
            </w:pPr>
            <w:r w:rsidRPr="004D0DAA">
              <w:rPr>
                <w:lang w:eastAsia="en-US"/>
              </w:rPr>
              <w:t>UAS-7</w:t>
            </w:r>
          </w:p>
        </w:tc>
        <w:tc>
          <w:tcPr>
            <w:tcW w:w="821" w:type="dxa"/>
            <w:tcMar>
              <w:left w:w="28" w:type="dxa"/>
              <w:right w:w="28" w:type="dxa"/>
            </w:tcMar>
          </w:tcPr>
          <w:p w14:paraId="6E2B7F06" w14:textId="77777777" w:rsidR="00711444" w:rsidRPr="004D0DAA" w:rsidRDefault="00711444" w:rsidP="00AA2A4C">
            <w:pPr>
              <w:pStyle w:val="TAC"/>
              <w:rPr>
                <w:lang w:eastAsia="en-US"/>
              </w:rPr>
            </w:pPr>
            <w:r w:rsidRPr="004D0DAA">
              <w:rPr>
                <w:lang w:eastAsia="en-US"/>
              </w:rPr>
              <w:t>UAS-7</w:t>
            </w:r>
          </w:p>
        </w:tc>
        <w:tc>
          <w:tcPr>
            <w:tcW w:w="822" w:type="dxa"/>
            <w:tcMar>
              <w:left w:w="28" w:type="dxa"/>
              <w:right w:w="28" w:type="dxa"/>
            </w:tcMar>
          </w:tcPr>
          <w:p w14:paraId="15B5015E" w14:textId="77777777" w:rsidR="00711444" w:rsidRPr="004D0DAA" w:rsidRDefault="00711444" w:rsidP="00AA2A4C">
            <w:pPr>
              <w:pStyle w:val="TAC"/>
              <w:rPr>
                <w:lang w:eastAsia="en-US"/>
              </w:rPr>
            </w:pPr>
            <w:r w:rsidRPr="004D0DAA">
              <w:rPr>
                <w:lang w:eastAsia="en-US"/>
              </w:rPr>
              <w:t>UAS-7</w:t>
            </w:r>
          </w:p>
        </w:tc>
        <w:tc>
          <w:tcPr>
            <w:tcW w:w="820" w:type="dxa"/>
            <w:tcMar>
              <w:left w:w="28" w:type="dxa"/>
              <w:right w:w="28" w:type="dxa"/>
            </w:tcMar>
          </w:tcPr>
          <w:p w14:paraId="5C02341C" w14:textId="77777777" w:rsidR="00711444" w:rsidRPr="004D0DAA" w:rsidRDefault="00711444" w:rsidP="00AA2A4C">
            <w:pPr>
              <w:pStyle w:val="TAC"/>
              <w:rPr>
                <w:lang w:eastAsia="en-US"/>
              </w:rPr>
            </w:pPr>
            <w:r w:rsidRPr="004D0DAA">
              <w:rPr>
                <w:lang w:eastAsia="en-US"/>
              </w:rPr>
              <w:t>MCS-5</w:t>
            </w:r>
          </w:p>
        </w:tc>
        <w:tc>
          <w:tcPr>
            <w:tcW w:w="822" w:type="dxa"/>
            <w:tcMar>
              <w:left w:w="28" w:type="dxa"/>
              <w:right w:w="28" w:type="dxa"/>
            </w:tcMar>
          </w:tcPr>
          <w:p w14:paraId="5B960284" w14:textId="77777777" w:rsidR="00711444" w:rsidRPr="004D0DAA" w:rsidRDefault="00711444" w:rsidP="00AA2A4C">
            <w:pPr>
              <w:pStyle w:val="TAC"/>
              <w:rPr>
                <w:lang w:eastAsia="en-US"/>
              </w:rPr>
            </w:pPr>
            <w:r w:rsidRPr="004D0DAA">
              <w:rPr>
                <w:lang w:eastAsia="en-US"/>
              </w:rPr>
              <w:t>MCS-5</w:t>
            </w:r>
          </w:p>
        </w:tc>
        <w:tc>
          <w:tcPr>
            <w:tcW w:w="821" w:type="dxa"/>
            <w:tcMar>
              <w:left w:w="28" w:type="dxa"/>
              <w:right w:w="28" w:type="dxa"/>
            </w:tcMar>
          </w:tcPr>
          <w:p w14:paraId="24EB74D2"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77ED6138"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68B7A5BD" w14:textId="77777777" w:rsidR="00711444" w:rsidRPr="004D0DAA" w:rsidRDefault="00711444" w:rsidP="00AA2A4C">
            <w:pPr>
              <w:pStyle w:val="TAC"/>
              <w:rPr>
                <w:lang w:eastAsia="en-US"/>
              </w:rPr>
            </w:pPr>
            <w:r w:rsidRPr="004D0DAA">
              <w:rPr>
                <w:lang w:eastAsia="en-US"/>
              </w:rPr>
              <w:t>MCS-2</w:t>
            </w:r>
          </w:p>
        </w:tc>
        <w:tc>
          <w:tcPr>
            <w:tcW w:w="826" w:type="dxa"/>
            <w:tcMar>
              <w:left w:w="28" w:type="dxa"/>
              <w:right w:w="28" w:type="dxa"/>
            </w:tcMar>
          </w:tcPr>
          <w:p w14:paraId="685E425D" w14:textId="77777777" w:rsidR="00711444" w:rsidRPr="004D0DAA" w:rsidRDefault="00711444" w:rsidP="00AA2A4C">
            <w:pPr>
              <w:pStyle w:val="TAC"/>
              <w:rPr>
                <w:lang w:eastAsia="en-US"/>
              </w:rPr>
            </w:pPr>
            <w:r w:rsidRPr="004D0DAA">
              <w:rPr>
                <w:lang w:eastAsia="en-US"/>
              </w:rPr>
              <w:t>MCS-2</w:t>
            </w:r>
          </w:p>
        </w:tc>
      </w:tr>
      <w:tr w:rsidR="00711444" w:rsidRPr="004D0DAA" w14:paraId="691FE44E" w14:textId="77777777" w:rsidTr="00AA2A4C">
        <w:tc>
          <w:tcPr>
            <w:tcW w:w="821" w:type="dxa"/>
            <w:tcMar>
              <w:left w:w="28" w:type="dxa"/>
              <w:right w:w="28" w:type="dxa"/>
            </w:tcMar>
          </w:tcPr>
          <w:p w14:paraId="3554B895" w14:textId="77777777" w:rsidR="00711444" w:rsidRPr="004D0DAA" w:rsidRDefault="00711444" w:rsidP="00AA2A4C">
            <w:pPr>
              <w:pStyle w:val="TAC"/>
              <w:rPr>
                <w:lang w:eastAsia="en-US"/>
              </w:rPr>
            </w:pPr>
            <w:r w:rsidRPr="004D0DAA">
              <w:rPr>
                <w:lang w:eastAsia="en-US"/>
              </w:rPr>
              <w:t>UAS-9</w:t>
            </w:r>
          </w:p>
        </w:tc>
        <w:tc>
          <w:tcPr>
            <w:tcW w:w="821" w:type="dxa"/>
            <w:tcMar>
              <w:left w:w="28" w:type="dxa"/>
              <w:right w:w="28" w:type="dxa"/>
            </w:tcMar>
          </w:tcPr>
          <w:p w14:paraId="0E39F2DE" w14:textId="77777777" w:rsidR="00711444" w:rsidRPr="004D0DAA" w:rsidRDefault="00711444" w:rsidP="00AA2A4C">
            <w:pPr>
              <w:pStyle w:val="TAC"/>
              <w:rPr>
                <w:lang w:eastAsia="en-US"/>
              </w:rPr>
            </w:pPr>
            <w:r w:rsidRPr="004D0DAA">
              <w:rPr>
                <w:lang w:eastAsia="en-US"/>
              </w:rPr>
              <w:t>UAS-9</w:t>
            </w:r>
          </w:p>
        </w:tc>
        <w:tc>
          <w:tcPr>
            <w:tcW w:w="821" w:type="dxa"/>
            <w:tcMar>
              <w:left w:w="28" w:type="dxa"/>
              <w:right w:w="28" w:type="dxa"/>
            </w:tcMar>
          </w:tcPr>
          <w:p w14:paraId="6026E4BF" w14:textId="77777777" w:rsidR="00711444" w:rsidRPr="004D0DAA" w:rsidRDefault="00711444" w:rsidP="00AA2A4C">
            <w:pPr>
              <w:pStyle w:val="TAC"/>
              <w:rPr>
                <w:lang w:eastAsia="en-US"/>
              </w:rPr>
            </w:pPr>
            <w:r w:rsidRPr="004D0DAA">
              <w:rPr>
                <w:lang w:eastAsia="en-US"/>
              </w:rPr>
              <w:t>UAS-9</w:t>
            </w:r>
          </w:p>
        </w:tc>
        <w:tc>
          <w:tcPr>
            <w:tcW w:w="822" w:type="dxa"/>
            <w:tcMar>
              <w:left w:w="28" w:type="dxa"/>
              <w:right w:w="28" w:type="dxa"/>
            </w:tcMar>
          </w:tcPr>
          <w:p w14:paraId="4F2252C5" w14:textId="77777777" w:rsidR="00711444" w:rsidRPr="004D0DAA" w:rsidRDefault="00711444" w:rsidP="00AA2A4C">
            <w:pPr>
              <w:pStyle w:val="TAC"/>
              <w:rPr>
                <w:lang w:eastAsia="en-US"/>
              </w:rPr>
            </w:pPr>
            <w:r w:rsidRPr="004D0DAA">
              <w:rPr>
                <w:lang w:eastAsia="en-US"/>
              </w:rPr>
              <w:t>UAS-9</w:t>
            </w:r>
          </w:p>
        </w:tc>
        <w:tc>
          <w:tcPr>
            <w:tcW w:w="821" w:type="dxa"/>
            <w:tcMar>
              <w:left w:w="28" w:type="dxa"/>
              <w:right w:w="28" w:type="dxa"/>
            </w:tcMar>
          </w:tcPr>
          <w:p w14:paraId="72CE322B" w14:textId="77777777" w:rsidR="00711444" w:rsidRPr="004D0DAA" w:rsidRDefault="00711444" w:rsidP="00AA2A4C">
            <w:pPr>
              <w:pStyle w:val="TAC"/>
              <w:rPr>
                <w:lang w:eastAsia="en-US"/>
              </w:rPr>
            </w:pPr>
            <w:r w:rsidRPr="004D0DAA">
              <w:rPr>
                <w:lang w:eastAsia="en-US"/>
              </w:rPr>
              <w:t>MCS-6</w:t>
            </w:r>
          </w:p>
        </w:tc>
        <w:tc>
          <w:tcPr>
            <w:tcW w:w="822" w:type="dxa"/>
            <w:tcMar>
              <w:left w:w="28" w:type="dxa"/>
              <w:right w:w="28" w:type="dxa"/>
            </w:tcMar>
          </w:tcPr>
          <w:p w14:paraId="6B679D52" w14:textId="77777777" w:rsidR="00711444" w:rsidRPr="004D0DAA" w:rsidRDefault="00711444" w:rsidP="00AA2A4C">
            <w:pPr>
              <w:pStyle w:val="TAC"/>
              <w:rPr>
                <w:lang w:eastAsia="en-US"/>
              </w:rPr>
            </w:pPr>
            <w:r w:rsidRPr="004D0DAA">
              <w:rPr>
                <w:lang w:eastAsia="en-US"/>
              </w:rPr>
              <w:t>MCS-6</w:t>
            </w:r>
          </w:p>
        </w:tc>
        <w:tc>
          <w:tcPr>
            <w:tcW w:w="820" w:type="dxa"/>
            <w:tcMar>
              <w:left w:w="28" w:type="dxa"/>
              <w:right w:w="28" w:type="dxa"/>
            </w:tcMar>
          </w:tcPr>
          <w:p w14:paraId="010B3CD1" w14:textId="77777777" w:rsidR="00711444" w:rsidRPr="004D0DAA" w:rsidRDefault="00711444" w:rsidP="00AA2A4C">
            <w:pPr>
              <w:pStyle w:val="TAC"/>
              <w:rPr>
                <w:lang w:eastAsia="en-US"/>
              </w:rPr>
            </w:pPr>
            <w:r w:rsidRPr="004D0DAA">
              <w:rPr>
                <w:lang w:eastAsia="en-US"/>
              </w:rPr>
              <w:t>MCS-6</w:t>
            </w:r>
          </w:p>
        </w:tc>
        <w:tc>
          <w:tcPr>
            <w:tcW w:w="822" w:type="dxa"/>
            <w:tcMar>
              <w:left w:w="28" w:type="dxa"/>
              <w:right w:w="28" w:type="dxa"/>
            </w:tcMar>
          </w:tcPr>
          <w:p w14:paraId="2728D24D"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6418AC8A"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21A003F0"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12C3C93C" w14:textId="77777777" w:rsidR="00711444" w:rsidRPr="004D0DAA" w:rsidRDefault="00711444" w:rsidP="00AA2A4C">
            <w:pPr>
              <w:pStyle w:val="TAC"/>
              <w:rPr>
                <w:lang w:eastAsia="en-US"/>
              </w:rPr>
            </w:pPr>
            <w:r w:rsidRPr="004D0DAA">
              <w:rPr>
                <w:lang w:eastAsia="en-US"/>
              </w:rPr>
              <w:t>MCS-3</w:t>
            </w:r>
          </w:p>
        </w:tc>
        <w:tc>
          <w:tcPr>
            <w:tcW w:w="826" w:type="dxa"/>
            <w:tcMar>
              <w:left w:w="28" w:type="dxa"/>
              <w:right w:w="28" w:type="dxa"/>
            </w:tcMar>
          </w:tcPr>
          <w:p w14:paraId="7C0BBB5D" w14:textId="77777777" w:rsidR="00711444" w:rsidRPr="004D0DAA" w:rsidRDefault="00711444" w:rsidP="00AA2A4C">
            <w:pPr>
              <w:pStyle w:val="TAC"/>
              <w:rPr>
                <w:lang w:eastAsia="en-US"/>
              </w:rPr>
            </w:pPr>
            <w:r w:rsidRPr="004D0DAA">
              <w:rPr>
                <w:lang w:eastAsia="en-US"/>
              </w:rPr>
              <w:t>MCS-3</w:t>
            </w:r>
          </w:p>
        </w:tc>
      </w:tr>
      <w:tr w:rsidR="00711444" w:rsidRPr="004D0DAA" w14:paraId="3F1D7DE9" w14:textId="77777777" w:rsidTr="00AA2A4C">
        <w:tc>
          <w:tcPr>
            <w:tcW w:w="821" w:type="dxa"/>
            <w:tcMar>
              <w:left w:w="28" w:type="dxa"/>
              <w:right w:w="28" w:type="dxa"/>
            </w:tcMar>
          </w:tcPr>
          <w:p w14:paraId="0786788E" w14:textId="77777777" w:rsidR="00711444" w:rsidRPr="004D0DAA" w:rsidRDefault="00711444" w:rsidP="00AA2A4C">
            <w:pPr>
              <w:pStyle w:val="TAC"/>
              <w:rPr>
                <w:lang w:eastAsia="en-US"/>
              </w:rPr>
            </w:pPr>
            <w:r w:rsidRPr="004D0DAA">
              <w:rPr>
                <w:lang w:eastAsia="en-US"/>
              </w:rPr>
              <w:t>UAS-8</w:t>
            </w:r>
          </w:p>
        </w:tc>
        <w:tc>
          <w:tcPr>
            <w:tcW w:w="821" w:type="dxa"/>
            <w:tcMar>
              <w:left w:w="28" w:type="dxa"/>
              <w:right w:w="28" w:type="dxa"/>
            </w:tcMar>
          </w:tcPr>
          <w:p w14:paraId="4CCB887F" w14:textId="77777777" w:rsidR="00711444" w:rsidRPr="004D0DAA" w:rsidRDefault="00711444" w:rsidP="00AA2A4C">
            <w:pPr>
              <w:pStyle w:val="TAC"/>
              <w:rPr>
                <w:lang w:eastAsia="en-US"/>
              </w:rPr>
            </w:pPr>
            <w:r w:rsidRPr="004D0DAA">
              <w:rPr>
                <w:lang w:eastAsia="en-US"/>
              </w:rPr>
              <w:t>UAS-11</w:t>
            </w:r>
          </w:p>
        </w:tc>
        <w:tc>
          <w:tcPr>
            <w:tcW w:w="821" w:type="dxa"/>
            <w:tcMar>
              <w:left w:w="28" w:type="dxa"/>
              <w:right w:w="28" w:type="dxa"/>
            </w:tcMar>
          </w:tcPr>
          <w:p w14:paraId="374050B8" w14:textId="77777777" w:rsidR="00711444" w:rsidRPr="004D0DAA" w:rsidRDefault="00711444" w:rsidP="00AA2A4C">
            <w:pPr>
              <w:pStyle w:val="TAC"/>
              <w:rPr>
                <w:lang w:eastAsia="en-US"/>
              </w:rPr>
            </w:pPr>
            <w:r w:rsidRPr="004D0DAA">
              <w:rPr>
                <w:lang w:eastAsia="en-US"/>
              </w:rPr>
              <w:t>UAS-8</w:t>
            </w:r>
          </w:p>
        </w:tc>
        <w:tc>
          <w:tcPr>
            <w:tcW w:w="822" w:type="dxa"/>
            <w:tcMar>
              <w:left w:w="28" w:type="dxa"/>
              <w:right w:w="28" w:type="dxa"/>
            </w:tcMar>
          </w:tcPr>
          <w:p w14:paraId="396581DB" w14:textId="77777777" w:rsidR="00711444" w:rsidRPr="004D0DAA" w:rsidRDefault="00711444" w:rsidP="00AA2A4C">
            <w:pPr>
              <w:pStyle w:val="TAC"/>
              <w:rPr>
                <w:lang w:eastAsia="en-US"/>
              </w:rPr>
            </w:pPr>
            <w:r w:rsidRPr="004D0DAA">
              <w:rPr>
                <w:lang w:eastAsia="en-US"/>
              </w:rPr>
              <w:t>UAS-8</w:t>
            </w:r>
          </w:p>
        </w:tc>
        <w:tc>
          <w:tcPr>
            <w:tcW w:w="821" w:type="dxa"/>
            <w:tcMar>
              <w:left w:w="28" w:type="dxa"/>
              <w:right w:w="28" w:type="dxa"/>
            </w:tcMar>
          </w:tcPr>
          <w:p w14:paraId="06336E54" w14:textId="77777777" w:rsidR="00711444" w:rsidRPr="004D0DAA" w:rsidRDefault="00711444" w:rsidP="00AA2A4C">
            <w:pPr>
              <w:pStyle w:val="TAC"/>
              <w:rPr>
                <w:lang w:eastAsia="en-US"/>
              </w:rPr>
            </w:pPr>
            <w:r w:rsidRPr="004D0DAA">
              <w:rPr>
                <w:lang w:eastAsia="en-US"/>
              </w:rPr>
              <w:t>UAS-8</w:t>
            </w:r>
          </w:p>
        </w:tc>
        <w:tc>
          <w:tcPr>
            <w:tcW w:w="822" w:type="dxa"/>
            <w:tcMar>
              <w:left w:w="28" w:type="dxa"/>
              <w:right w:w="28" w:type="dxa"/>
            </w:tcMar>
          </w:tcPr>
          <w:p w14:paraId="7E1C2FBA"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20" w:type="dxa"/>
            <w:tcMar>
              <w:left w:w="28" w:type="dxa"/>
              <w:right w:w="28" w:type="dxa"/>
            </w:tcMar>
          </w:tcPr>
          <w:p w14:paraId="1A600103"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22" w:type="dxa"/>
            <w:tcMar>
              <w:left w:w="28" w:type="dxa"/>
              <w:right w:w="28" w:type="dxa"/>
            </w:tcMar>
          </w:tcPr>
          <w:p w14:paraId="70138F1A"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821" w:type="dxa"/>
            <w:tcMar>
              <w:left w:w="28" w:type="dxa"/>
              <w:right w:w="28" w:type="dxa"/>
            </w:tcMar>
          </w:tcPr>
          <w:p w14:paraId="3965CF6F"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821" w:type="dxa"/>
            <w:tcMar>
              <w:left w:w="28" w:type="dxa"/>
              <w:right w:w="28" w:type="dxa"/>
            </w:tcMar>
          </w:tcPr>
          <w:p w14:paraId="11D399E3"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821" w:type="dxa"/>
            <w:tcMar>
              <w:left w:w="28" w:type="dxa"/>
              <w:right w:w="28" w:type="dxa"/>
            </w:tcMar>
          </w:tcPr>
          <w:p w14:paraId="7DC354A8"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826" w:type="dxa"/>
            <w:tcMar>
              <w:left w:w="28" w:type="dxa"/>
              <w:right w:w="28" w:type="dxa"/>
            </w:tcMar>
          </w:tcPr>
          <w:p w14:paraId="49939DE7"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r>
      <w:tr w:rsidR="00711444" w:rsidRPr="004D0DAA" w14:paraId="56CFC695" w14:textId="77777777" w:rsidTr="00AA2A4C">
        <w:tc>
          <w:tcPr>
            <w:tcW w:w="821" w:type="dxa"/>
            <w:tcMar>
              <w:left w:w="28" w:type="dxa"/>
              <w:right w:w="28" w:type="dxa"/>
            </w:tcMar>
          </w:tcPr>
          <w:p w14:paraId="69742910" w14:textId="77777777" w:rsidR="00711444" w:rsidRPr="004D0DAA" w:rsidRDefault="00711444" w:rsidP="00AA2A4C">
            <w:pPr>
              <w:pStyle w:val="TAC"/>
              <w:rPr>
                <w:lang w:eastAsia="en-US"/>
              </w:rPr>
            </w:pPr>
            <w:r w:rsidRPr="004D0DAA">
              <w:rPr>
                <w:lang w:eastAsia="en-US"/>
              </w:rPr>
              <w:t>UAS-7</w:t>
            </w:r>
          </w:p>
        </w:tc>
        <w:tc>
          <w:tcPr>
            <w:tcW w:w="821" w:type="dxa"/>
            <w:tcMar>
              <w:left w:w="28" w:type="dxa"/>
              <w:right w:w="28" w:type="dxa"/>
            </w:tcMar>
          </w:tcPr>
          <w:p w14:paraId="2858275A" w14:textId="77777777" w:rsidR="00711444" w:rsidRPr="004D0DAA" w:rsidRDefault="00711444" w:rsidP="00AA2A4C">
            <w:pPr>
              <w:pStyle w:val="TAC"/>
              <w:rPr>
                <w:lang w:eastAsia="en-US"/>
              </w:rPr>
            </w:pPr>
            <w:r w:rsidRPr="004D0DAA">
              <w:rPr>
                <w:lang w:eastAsia="en-US"/>
              </w:rPr>
              <w:t>UAS-10</w:t>
            </w:r>
          </w:p>
        </w:tc>
        <w:tc>
          <w:tcPr>
            <w:tcW w:w="821" w:type="dxa"/>
            <w:tcMar>
              <w:left w:w="28" w:type="dxa"/>
              <w:right w:w="28" w:type="dxa"/>
            </w:tcMar>
          </w:tcPr>
          <w:p w14:paraId="58EA67AF" w14:textId="77777777" w:rsidR="00711444" w:rsidRPr="004D0DAA" w:rsidRDefault="00711444" w:rsidP="00AA2A4C">
            <w:pPr>
              <w:pStyle w:val="TAC"/>
              <w:rPr>
                <w:lang w:eastAsia="en-US"/>
              </w:rPr>
            </w:pPr>
            <w:r w:rsidRPr="004D0DAA">
              <w:rPr>
                <w:lang w:eastAsia="en-US"/>
              </w:rPr>
              <w:t>UAS-10</w:t>
            </w:r>
          </w:p>
        </w:tc>
        <w:tc>
          <w:tcPr>
            <w:tcW w:w="822" w:type="dxa"/>
            <w:tcMar>
              <w:left w:w="28" w:type="dxa"/>
              <w:right w:w="28" w:type="dxa"/>
            </w:tcMar>
          </w:tcPr>
          <w:p w14:paraId="3398830F" w14:textId="77777777" w:rsidR="00711444" w:rsidRPr="004D0DAA" w:rsidRDefault="00711444" w:rsidP="00AA2A4C">
            <w:pPr>
              <w:pStyle w:val="TAC"/>
              <w:rPr>
                <w:lang w:eastAsia="en-US"/>
              </w:rPr>
            </w:pPr>
            <w:r w:rsidRPr="004D0DAA">
              <w:rPr>
                <w:lang w:eastAsia="en-US"/>
              </w:rPr>
              <w:t>UAS-7</w:t>
            </w:r>
          </w:p>
        </w:tc>
        <w:tc>
          <w:tcPr>
            <w:tcW w:w="821" w:type="dxa"/>
            <w:tcMar>
              <w:left w:w="28" w:type="dxa"/>
              <w:right w:w="28" w:type="dxa"/>
            </w:tcMar>
          </w:tcPr>
          <w:p w14:paraId="7CE8B228" w14:textId="77777777" w:rsidR="00711444" w:rsidRPr="004D0DAA" w:rsidRDefault="00711444" w:rsidP="00AA2A4C">
            <w:pPr>
              <w:pStyle w:val="TAC"/>
              <w:rPr>
                <w:lang w:eastAsia="en-US"/>
              </w:rPr>
            </w:pPr>
            <w:r w:rsidRPr="004D0DAA">
              <w:rPr>
                <w:lang w:eastAsia="en-US"/>
              </w:rPr>
              <w:t>UAS-7</w:t>
            </w:r>
          </w:p>
        </w:tc>
        <w:tc>
          <w:tcPr>
            <w:tcW w:w="822" w:type="dxa"/>
            <w:tcMar>
              <w:left w:w="28" w:type="dxa"/>
              <w:right w:w="28" w:type="dxa"/>
            </w:tcMar>
          </w:tcPr>
          <w:p w14:paraId="0607B553" w14:textId="77777777" w:rsidR="00711444" w:rsidRPr="004D0DAA" w:rsidRDefault="00711444" w:rsidP="00AA2A4C">
            <w:pPr>
              <w:pStyle w:val="TAC"/>
              <w:rPr>
                <w:lang w:eastAsia="en-US"/>
              </w:rPr>
            </w:pPr>
            <w:r w:rsidRPr="004D0DAA">
              <w:rPr>
                <w:lang w:eastAsia="en-US"/>
              </w:rPr>
              <w:t>UAS-7</w:t>
            </w:r>
          </w:p>
        </w:tc>
        <w:tc>
          <w:tcPr>
            <w:tcW w:w="820" w:type="dxa"/>
            <w:tcMar>
              <w:left w:w="28" w:type="dxa"/>
              <w:right w:w="28" w:type="dxa"/>
            </w:tcMar>
          </w:tcPr>
          <w:p w14:paraId="70C3F050" w14:textId="77777777" w:rsidR="00711444" w:rsidRPr="004D0DAA" w:rsidRDefault="00711444" w:rsidP="00AA2A4C">
            <w:pPr>
              <w:pStyle w:val="TAC"/>
              <w:rPr>
                <w:lang w:eastAsia="en-US"/>
              </w:rPr>
            </w:pPr>
            <w:r w:rsidRPr="004D0DAA">
              <w:rPr>
                <w:lang w:eastAsia="en-US"/>
              </w:rPr>
              <w:t>MCS-5</w:t>
            </w:r>
          </w:p>
        </w:tc>
        <w:tc>
          <w:tcPr>
            <w:tcW w:w="822" w:type="dxa"/>
            <w:tcMar>
              <w:left w:w="28" w:type="dxa"/>
              <w:right w:w="28" w:type="dxa"/>
            </w:tcMar>
          </w:tcPr>
          <w:p w14:paraId="27E731FD" w14:textId="77777777" w:rsidR="00711444" w:rsidRPr="004D0DAA" w:rsidRDefault="00711444" w:rsidP="00AA2A4C">
            <w:pPr>
              <w:pStyle w:val="TAC"/>
              <w:rPr>
                <w:lang w:eastAsia="en-US"/>
              </w:rPr>
            </w:pPr>
            <w:r w:rsidRPr="004D0DAA">
              <w:rPr>
                <w:lang w:eastAsia="en-US"/>
              </w:rPr>
              <w:t>MCS-5</w:t>
            </w:r>
          </w:p>
        </w:tc>
        <w:tc>
          <w:tcPr>
            <w:tcW w:w="821" w:type="dxa"/>
            <w:tcMar>
              <w:left w:w="28" w:type="dxa"/>
              <w:right w:w="28" w:type="dxa"/>
            </w:tcMar>
          </w:tcPr>
          <w:p w14:paraId="6B757360"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13D81A1F"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646ECEA2" w14:textId="77777777" w:rsidR="00711444" w:rsidRPr="004D0DAA" w:rsidRDefault="00711444" w:rsidP="00AA2A4C">
            <w:pPr>
              <w:pStyle w:val="TAC"/>
              <w:rPr>
                <w:lang w:eastAsia="en-US"/>
              </w:rPr>
            </w:pPr>
            <w:r w:rsidRPr="004D0DAA">
              <w:rPr>
                <w:lang w:eastAsia="en-US"/>
              </w:rPr>
              <w:t>MCS-2</w:t>
            </w:r>
          </w:p>
        </w:tc>
        <w:tc>
          <w:tcPr>
            <w:tcW w:w="826" w:type="dxa"/>
            <w:tcMar>
              <w:left w:w="28" w:type="dxa"/>
              <w:right w:w="28" w:type="dxa"/>
            </w:tcMar>
          </w:tcPr>
          <w:p w14:paraId="09F9FF9C" w14:textId="77777777" w:rsidR="00711444" w:rsidRPr="004D0DAA" w:rsidRDefault="00711444" w:rsidP="00AA2A4C">
            <w:pPr>
              <w:pStyle w:val="TAC"/>
              <w:rPr>
                <w:lang w:eastAsia="en-US"/>
              </w:rPr>
            </w:pPr>
            <w:r w:rsidRPr="004D0DAA">
              <w:rPr>
                <w:lang w:eastAsia="en-US"/>
              </w:rPr>
              <w:t>MCS-2</w:t>
            </w:r>
          </w:p>
        </w:tc>
      </w:tr>
      <w:tr w:rsidR="00711444" w:rsidRPr="004D0DAA" w14:paraId="1F4AB25F" w14:textId="77777777" w:rsidTr="00AA2A4C">
        <w:tc>
          <w:tcPr>
            <w:tcW w:w="821" w:type="dxa"/>
            <w:tcMar>
              <w:left w:w="28" w:type="dxa"/>
              <w:right w:w="28" w:type="dxa"/>
            </w:tcMar>
          </w:tcPr>
          <w:p w14:paraId="7C0223D5" w14:textId="77777777" w:rsidR="00711444" w:rsidRPr="004D0DAA" w:rsidRDefault="00711444" w:rsidP="00AA2A4C">
            <w:pPr>
              <w:pStyle w:val="TAC"/>
              <w:rPr>
                <w:lang w:eastAsia="en-US"/>
              </w:rPr>
            </w:pPr>
            <w:r w:rsidRPr="004D0DAA">
              <w:rPr>
                <w:lang w:eastAsia="en-US"/>
              </w:rPr>
              <w:t>MCS-6</w:t>
            </w:r>
          </w:p>
        </w:tc>
        <w:tc>
          <w:tcPr>
            <w:tcW w:w="821" w:type="dxa"/>
            <w:tcMar>
              <w:left w:w="28" w:type="dxa"/>
              <w:right w:w="28" w:type="dxa"/>
            </w:tcMar>
          </w:tcPr>
          <w:p w14:paraId="79259D2F" w14:textId="77777777" w:rsidR="00711444" w:rsidRPr="004D0DAA" w:rsidRDefault="00711444" w:rsidP="00AA2A4C">
            <w:pPr>
              <w:pStyle w:val="TAC"/>
              <w:rPr>
                <w:lang w:eastAsia="en-US"/>
              </w:rPr>
            </w:pPr>
            <w:r w:rsidRPr="004D0DAA">
              <w:rPr>
                <w:lang w:eastAsia="en-US"/>
              </w:rPr>
              <w:t>UAS-9</w:t>
            </w:r>
          </w:p>
        </w:tc>
        <w:tc>
          <w:tcPr>
            <w:tcW w:w="821" w:type="dxa"/>
            <w:tcMar>
              <w:left w:w="28" w:type="dxa"/>
              <w:right w:w="28" w:type="dxa"/>
            </w:tcMar>
          </w:tcPr>
          <w:p w14:paraId="330C0930" w14:textId="77777777" w:rsidR="00711444" w:rsidRPr="004D0DAA" w:rsidRDefault="00711444" w:rsidP="00AA2A4C">
            <w:pPr>
              <w:pStyle w:val="TAC"/>
              <w:rPr>
                <w:lang w:eastAsia="en-US"/>
              </w:rPr>
            </w:pPr>
            <w:r w:rsidRPr="004D0DAA">
              <w:rPr>
                <w:lang w:eastAsia="en-US"/>
              </w:rPr>
              <w:t>UAS-9</w:t>
            </w:r>
          </w:p>
        </w:tc>
        <w:tc>
          <w:tcPr>
            <w:tcW w:w="822" w:type="dxa"/>
            <w:tcMar>
              <w:left w:w="28" w:type="dxa"/>
              <w:right w:w="28" w:type="dxa"/>
            </w:tcMar>
          </w:tcPr>
          <w:p w14:paraId="6FC94CAD" w14:textId="77777777" w:rsidR="00711444" w:rsidRPr="004D0DAA" w:rsidRDefault="00711444" w:rsidP="00AA2A4C">
            <w:pPr>
              <w:pStyle w:val="TAC"/>
              <w:rPr>
                <w:lang w:eastAsia="en-US"/>
              </w:rPr>
            </w:pPr>
            <w:r w:rsidRPr="004D0DAA">
              <w:rPr>
                <w:lang w:eastAsia="en-US"/>
              </w:rPr>
              <w:t>UAS-9</w:t>
            </w:r>
          </w:p>
        </w:tc>
        <w:tc>
          <w:tcPr>
            <w:tcW w:w="821" w:type="dxa"/>
            <w:tcMar>
              <w:left w:w="28" w:type="dxa"/>
              <w:right w:w="28" w:type="dxa"/>
            </w:tcMar>
          </w:tcPr>
          <w:p w14:paraId="188F8BAD" w14:textId="77777777" w:rsidR="00711444" w:rsidRPr="004D0DAA" w:rsidRDefault="00711444" w:rsidP="00AA2A4C">
            <w:pPr>
              <w:pStyle w:val="TAC"/>
              <w:rPr>
                <w:lang w:eastAsia="en-US"/>
              </w:rPr>
            </w:pPr>
            <w:r w:rsidRPr="004D0DAA">
              <w:rPr>
                <w:lang w:eastAsia="en-US"/>
              </w:rPr>
              <w:t>MCS-6</w:t>
            </w:r>
          </w:p>
        </w:tc>
        <w:tc>
          <w:tcPr>
            <w:tcW w:w="822" w:type="dxa"/>
            <w:tcMar>
              <w:left w:w="28" w:type="dxa"/>
              <w:right w:w="28" w:type="dxa"/>
            </w:tcMar>
          </w:tcPr>
          <w:p w14:paraId="55EE2504" w14:textId="77777777" w:rsidR="00711444" w:rsidRPr="004D0DAA" w:rsidRDefault="00711444" w:rsidP="00AA2A4C">
            <w:pPr>
              <w:pStyle w:val="TAC"/>
              <w:rPr>
                <w:lang w:eastAsia="en-US"/>
              </w:rPr>
            </w:pPr>
            <w:r w:rsidRPr="004D0DAA">
              <w:rPr>
                <w:lang w:eastAsia="en-US"/>
              </w:rPr>
              <w:t>MCS-6</w:t>
            </w:r>
          </w:p>
        </w:tc>
        <w:tc>
          <w:tcPr>
            <w:tcW w:w="820" w:type="dxa"/>
            <w:tcMar>
              <w:left w:w="28" w:type="dxa"/>
              <w:right w:w="28" w:type="dxa"/>
            </w:tcMar>
          </w:tcPr>
          <w:p w14:paraId="2C0EFAFF" w14:textId="77777777" w:rsidR="00711444" w:rsidRPr="004D0DAA" w:rsidRDefault="00711444" w:rsidP="00AA2A4C">
            <w:pPr>
              <w:pStyle w:val="TAC"/>
              <w:rPr>
                <w:lang w:eastAsia="en-US"/>
              </w:rPr>
            </w:pPr>
            <w:r w:rsidRPr="004D0DAA">
              <w:rPr>
                <w:lang w:eastAsia="en-US"/>
              </w:rPr>
              <w:t>MCS-6</w:t>
            </w:r>
          </w:p>
        </w:tc>
        <w:tc>
          <w:tcPr>
            <w:tcW w:w="822" w:type="dxa"/>
            <w:tcMar>
              <w:left w:w="28" w:type="dxa"/>
              <w:right w:w="28" w:type="dxa"/>
            </w:tcMar>
          </w:tcPr>
          <w:p w14:paraId="55BFDBBB"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3C5D7FA2"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69F63680"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2595C5BC" w14:textId="77777777" w:rsidR="00711444" w:rsidRPr="004D0DAA" w:rsidRDefault="00711444" w:rsidP="00AA2A4C">
            <w:pPr>
              <w:pStyle w:val="TAC"/>
              <w:rPr>
                <w:lang w:eastAsia="en-US"/>
              </w:rPr>
            </w:pPr>
            <w:r w:rsidRPr="004D0DAA">
              <w:rPr>
                <w:lang w:eastAsia="en-US"/>
              </w:rPr>
              <w:t>MCS-3</w:t>
            </w:r>
          </w:p>
        </w:tc>
        <w:tc>
          <w:tcPr>
            <w:tcW w:w="826" w:type="dxa"/>
            <w:tcMar>
              <w:left w:w="28" w:type="dxa"/>
              <w:right w:w="28" w:type="dxa"/>
            </w:tcMar>
          </w:tcPr>
          <w:p w14:paraId="7DCF9316" w14:textId="77777777" w:rsidR="00711444" w:rsidRPr="004D0DAA" w:rsidRDefault="00711444" w:rsidP="00AA2A4C">
            <w:pPr>
              <w:pStyle w:val="TAC"/>
              <w:rPr>
                <w:lang w:eastAsia="en-US"/>
              </w:rPr>
            </w:pPr>
            <w:r w:rsidRPr="004D0DAA">
              <w:rPr>
                <w:lang w:eastAsia="en-US"/>
              </w:rPr>
              <w:t>MCS-3</w:t>
            </w:r>
          </w:p>
        </w:tc>
      </w:tr>
      <w:tr w:rsidR="00711444" w:rsidRPr="004D0DAA" w14:paraId="5C3F244B" w14:textId="77777777" w:rsidTr="00AA2A4C">
        <w:tc>
          <w:tcPr>
            <w:tcW w:w="821" w:type="dxa"/>
            <w:tcMar>
              <w:left w:w="28" w:type="dxa"/>
              <w:right w:w="28" w:type="dxa"/>
            </w:tcMar>
          </w:tcPr>
          <w:p w14:paraId="0FA9B843" w14:textId="77777777" w:rsidR="00711444" w:rsidRPr="004D0DAA" w:rsidRDefault="00711444" w:rsidP="00AA2A4C">
            <w:pPr>
              <w:pStyle w:val="TAC"/>
              <w:rPr>
                <w:lang w:eastAsia="en-US"/>
              </w:rPr>
            </w:pPr>
            <w:r w:rsidRPr="004D0DAA">
              <w:rPr>
                <w:lang w:eastAsia="en-US"/>
              </w:rPr>
              <w:t>MCS-5</w:t>
            </w:r>
          </w:p>
        </w:tc>
        <w:tc>
          <w:tcPr>
            <w:tcW w:w="821" w:type="dxa"/>
            <w:tcMar>
              <w:left w:w="28" w:type="dxa"/>
              <w:right w:w="28" w:type="dxa"/>
            </w:tcMar>
          </w:tcPr>
          <w:p w14:paraId="7D0E9C55" w14:textId="77777777" w:rsidR="00711444" w:rsidRPr="004D0DAA" w:rsidRDefault="00711444" w:rsidP="00AA2A4C">
            <w:pPr>
              <w:pStyle w:val="TAC"/>
              <w:rPr>
                <w:lang w:eastAsia="en-US"/>
              </w:rPr>
            </w:pPr>
            <w:r w:rsidRPr="004D0DAA">
              <w:rPr>
                <w:lang w:eastAsia="en-US"/>
              </w:rPr>
              <w:t>UAS-10</w:t>
            </w:r>
          </w:p>
        </w:tc>
        <w:tc>
          <w:tcPr>
            <w:tcW w:w="821" w:type="dxa"/>
            <w:tcMar>
              <w:left w:w="28" w:type="dxa"/>
              <w:right w:w="28" w:type="dxa"/>
            </w:tcMar>
          </w:tcPr>
          <w:p w14:paraId="34905959" w14:textId="77777777" w:rsidR="00711444" w:rsidRPr="004D0DAA" w:rsidRDefault="00711444" w:rsidP="00AA2A4C">
            <w:pPr>
              <w:pStyle w:val="TAC"/>
              <w:rPr>
                <w:lang w:eastAsia="en-US"/>
              </w:rPr>
            </w:pPr>
            <w:r w:rsidRPr="004D0DAA">
              <w:rPr>
                <w:lang w:eastAsia="en-US"/>
              </w:rPr>
              <w:t>UAS-10</w:t>
            </w:r>
          </w:p>
        </w:tc>
        <w:tc>
          <w:tcPr>
            <w:tcW w:w="822" w:type="dxa"/>
            <w:tcMar>
              <w:left w:w="28" w:type="dxa"/>
              <w:right w:w="28" w:type="dxa"/>
            </w:tcMar>
          </w:tcPr>
          <w:p w14:paraId="20C07789" w14:textId="77777777" w:rsidR="00711444" w:rsidRPr="004D0DAA" w:rsidRDefault="00711444" w:rsidP="00AA2A4C">
            <w:pPr>
              <w:pStyle w:val="TAC"/>
              <w:rPr>
                <w:lang w:eastAsia="en-US"/>
              </w:rPr>
            </w:pPr>
            <w:r w:rsidRPr="004D0DAA">
              <w:rPr>
                <w:lang w:eastAsia="en-US"/>
              </w:rPr>
              <w:t>UAS-7</w:t>
            </w:r>
          </w:p>
        </w:tc>
        <w:tc>
          <w:tcPr>
            <w:tcW w:w="821" w:type="dxa"/>
            <w:tcMar>
              <w:left w:w="28" w:type="dxa"/>
              <w:right w:w="28" w:type="dxa"/>
            </w:tcMar>
          </w:tcPr>
          <w:p w14:paraId="12B69232" w14:textId="77777777" w:rsidR="00711444" w:rsidRPr="004D0DAA" w:rsidRDefault="00711444" w:rsidP="00AA2A4C">
            <w:pPr>
              <w:pStyle w:val="TAC"/>
              <w:rPr>
                <w:lang w:eastAsia="en-US"/>
              </w:rPr>
            </w:pPr>
            <w:r w:rsidRPr="004D0DAA">
              <w:rPr>
                <w:lang w:eastAsia="en-US"/>
              </w:rPr>
              <w:t>UAS-7</w:t>
            </w:r>
          </w:p>
        </w:tc>
        <w:tc>
          <w:tcPr>
            <w:tcW w:w="822" w:type="dxa"/>
            <w:tcMar>
              <w:left w:w="28" w:type="dxa"/>
              <w:right w:w="28" w:type="dxa"/>
            </w:tcMar>
          </w:tcPr>
          <w:p w14:paraId="01135053" w14:textId="77777777" w:rsidR="00711444" w:rsidRPr="004D0DAA" w:rsidRDefault="00711444" w:rsidP="00AA2A4C">
            <w:pPr>
              <w:pStyle w:val="TAC"/>
              <w:rPr>
                <w:lang w:eastAsia="en-US"/>
              </w:rPr>
            </w:pPr>
            <w:r w:rsidRPr="004D0DAA">
              <w:rPr>
                <w:lang w:eastAsia="en-US"/>
              </w:rPr>
              <w:t>UAS-7</w:t>
            </w:r>
          </w:p>
        </w:tc>
        <w:tc>
          <w:tcPr>
            <w:tcW w:w="820" w:type="dxa"/>
            <w:tcMar>
              <w:left w:w="28" w:type="dxa"/>
              <w:right w:w="28" w:type="dxa"/>
            </w:tcMar>
          </w:tcPr>
          <w:p w14:paraId="5CFD308E" w14:textId="77777777" w:rsidR="00711444" w:rsidRPr="004D0DAA" w:rsidRDefault="00711444" w:rsidP="00AA2A4C">
            <w:pPr>
              <w:pStyle w:val="TAC"/>
              <w:rPr>
                <w:lang w:eastAsia="en-US"/>
              </w:rPr>
            </w:pPr>
            <w:r w:rsidRPr="004D0DAA">
              <w:rPr>
                <w:lang w:eastAsia="en-US"/>
              </w:rPr>
              <w:t>MCS-5</w:t>
            </w:r>
          </w:p>
        </w:tc>
        <w:tc>
          <w:tcPr>
            <w:tcW w:w="822" w:type="dxa"/>
            <w:tcMar>
              <w:left w:w="28" w:type="dxa"/>
              <w:right w:w="28" w:type="dxa"/>
            </w:tcMar>
          </w:tcPr>
          <w:p w14:paraId="783C9E76" w14:textId="77777777" w:rsidR="00711444" w:rsidRPr="004D0DAA" w:rsidRDefault="00711444" w:rsidP="00AA2A4C">
            <w:pPr>
              <w:pStyle w:val="TAC"/>
              <w:rPr>
                <w:lang w:eastAsia="en-US"/>
              </w:rPr>
            </w:pPr>
            <w:r w:rsidRPr="004D0DAA">
              <w:rPr>
                <w:lang w:eastAsia="en-US"/>
              </w:rPr>
              <w:t>MCS-5</w:t>
            </w:r>
          </w:p>
        </w:tc>
        <w:tc>
          <w:tcPr>
            <w:tcW w:w="821" w:type="dxa"/>
            <w:tcMar>
              <w:left w:w="28" w:type="dxa"/>
              <w:right w:w="28" w:type="dxa"/>
            </w:tcMar>
          </w:tcPr>
          <w:p w14:paraId="4898093B"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0BA6F9B9"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1FC6E728" w14:textId="77777777" w:rsidR="00711444" w:rsidRPr="004D0DAA" w:rsidRDefault="00711444" w:rsidP="00AA2A4C">
            <w:pPr>
              <w:pStyle w:val="TAC"/>
              <w:rPr>
                <w:lang w:eastAsia="en-US"/>
              </w:rPr>
            </w:pPr>
            <w:r w:rsidRPr="004D0DAA">
              <w:rPr>
                <w:lang w:eastAsia="en-US"/>
              </w:rPr>
              <w:t>MCS-2</w:t>
            </w:r>
          </w:p>
        </w:tc>
        <w:tc>
          <w:tcPr>
            <w:tcW w:w="826" w:type="dxa"/>
            <w:tcMar>
              <w:left w:w="28" w:type="dxa"/>
              <w:right w:w="28" w:type="dxa"/>
            </w:tcMar>
          </w:tcPr>
          <w:p w14:paraId="2C9E9ECF" w14:textId="77777777" w:rsidR="00711444" w:rsidRPr="004D0DAA" w:rsidRDefault="00711444" w:rsidP="00AA2A4C">
            <w:pPr>
              <w:pStyle w:val="TAC"/>
              <w:rPr>
                <w:lang w:eastAsia="en-US"/>
              </w:rPr>
            </w:pPr>
            <w:r w:rsidRPr="004D0DAA">
              <w:rPr>
                <w:lang w:eastAsia="en-US"/>
              </w:rPr>
              <w:t>MCS-2</w:t>
            </w:r>
          </w:p>
        </w:tc>
      </w:tr>
      <w:tr w:rsidR="00711444" w:rsidRPr="004D0DAA" w14:paraId="1E7C84CF" w14:textId="77777777" w:rsidTr="00AA2A4C">
        <w:tc>
          <w:tcPr>
            <w:tcW w:w="821" w:type="dxa"/>
            <w:tcMar>
              <w:left w:w="28" w:type="dxa"/>
              <w:right w:w="28" w:type="dxa"/>
            </w:tcMar>
          </w:tcPr>
          <w:p w14:paraId="7D603AD1" w14:textId="77777777" w:rsidR="00711444" w:rsidRPr="004D0DAA" w:rsidRDefault="00711444" w:rsidP="00AA2A4C">
            <w:pPr>
              <w:pStyle w:val="TAC"/>
              <w:rPr>
                <w:lang w:eastAsia="en-US"/>
              </w:rPr>
            </w:pPr>
            <w:r w:rsidRPr="004D0DAA">
              <w:rPr>
                <w:lang w:eastAsia="en-US"/>
              </w:rPr>
              <w:t>MCS-4</w:t>
            </w:r>
          </w:p>
        </w:tc>
        <w:tc>
          <w:tcPr>
            <w:tcW w:w="821" w:type="dxa"/>
            <w:tcMar>
              <w:left w:w="28" w:type="dxa"/>
              <w:right w:w="28" w:type="dxa"/>
            </w:tcMar>
          </w:tcPr>
          <w:p w14:paraId="6FBD6181" w14:textId="77777777" w:rsidR="00711444" w:rsidRPr="004D0DAA" w:rsidRDefault="00711444" w:rsidP="00AA2A4C">
            <w:pPr>
              <w:pStyle w:val="TAC"/>
              <w:rPr>
                <w:lang w:eastAsia="en-US"/>
              </w:rPr>
            </w:pPr>
            <w:r w:rsidRPr="004D0DAA">
              <w:rPr>
                <w:lang w:eastAsia="en-US"/>
              </w:rPr>
              <w:t>MCS-4</w:t>
            </w:r>
          </w:p>
        </w:tc>
        <w:tc>
          <w:tcPr>
            <w:tcW w:w="821" w:type="dxa"/>
            <w:tcMar>
              <w:left w:w="28" w:type="dxa"/>
              <w:right w:w="28" w:type="dxa"/>
            </w:tcMar>
          </w:tcPr>
          <w:p w14:paraId="4F527C30" w14:textId="77777777" w:rsidR="00711444" w:rsidRPr="004D0DAA" w:rsidRDefault="00711444" w:rsidP="00AA2A4C">
            <w:pPr>
              <w:pStyle w:val="TAC"/>
              <w:rPr>
                <w:lang w:eastAsia="en-US"/>
              </w:rPr>
            </w:pPr>
            <w:r w:rsidRPr="004D0DAA">
              <w:rPr>
                <w:lang w:eastAsia="en-US"/>
              </w:rPr>
              <w:t>MCS-4</w:t>
            </w:r>
          </w:p>
        </w:tc>
        <w:tc>
          <w:tcPr>
            <w:tcW w:w="822" w:type="dxa"/>
            <w:tcMar>
              <w:left w:w="28" w:type="dxa"/>
              <w:right w:w="28" w:type="dxa"/>
            </w:tcMar>
          </w:tcPr>
          <w:p w14:paraId="2A730DB0" w14:textId="77777777" w:rsidR="00711444" w:rsidRPr="004D0DAA" w:rsidRDefault="00711444" w:rsidP="00AA2A4C">
            <w:pPr>
              <w:pStyle w:val="TAC"/>
              <w:rPr>
                <w:lang w:eastAsia="en-US"/>
              </w:rPr>
            </w:pPr>
            <w:r w:rsidRPr="004D0DAA">
              <w:rPr>
                <w:lang w:eastAsia="en-US"/>
              </w:rPr>
              <w:t>MCS-4</w:t>
            </w:r>
          </w:p>
        </w:tc>
        <w:tc>
          <w:tcPr>
            <w:tcW w:w="821" w:type="dxa"/>
            <w:tcMar>
              <w:left w:w="28" w:type="dxa"/>
              <w:right w:w="28" w:type="dxa"/>
            </w:tcMar>
          </w:tcPr>
          <w:p w14:paraId="1AE0E105" w14:textId="77777777" w:rsidR="00711444" w:rsidRPr="004D0DAA" w:rsidRDefault="00711444" w:rsidP="00AA2A4C">
            <w:pPr>
              <w:pStyle w:val="TAC"/>
              <w:rPr>
                <w:lang w:eastAsia="en-US"/>
              </w:rPr>
            </w:pPr>
            <w:r w:rsidRPr="004D0DAA">
              <w:rPr>
                <w:lang w:eastAsia="en-US"/>
              </w:rPr>
              <w:t>MCS-4</w:t>
            </w:r>
          </w:p>
        </w:tc>
        <w:tc>
          <w:tcPr>
            <w:tcW w:w="822" w:type="dxa"/>
            <w:tcMar>
              <w:left w:w="28" w:type="dxa"/>
              <w:right w:w="28" w:type="dxa"/>
            </w:tcMar>
          </w:tcPr>
          <w:p w14:paraId="40254C9E" w14:textId="77777777" w:rsidR="00711444" w:rsidRPr="004D0DAA" w:rsidRDefault="00711444" w:rsidP="00AA2A4C">
            <w:pPr>
              <w:pStyle w:val="TAC"/>
              <w:rPr>
                <w:lang w:eastAsia="en-US"/>
              </w:rPr>
            </w:pPr>
            <w:r w:rsidRPr="004D0DAA">
              <w:rPr>
                <w:lang w:eastAsia="en-US"/>
              </w:rPr>
              <w:t>MCS-4</w:t>
            </w:r>
          </w:p>
        </w:tc>
        <w:tc>
          <w:tcPr>
            <w:tcW w:w="820" w:type="dxa"/>
            <w:tcMar>
              <w:left w:w="28" w:type="dxa"/>
              <w:right w:w="28" w:type="dxa"/>
            </w:tcMar>
          </w:tcPr>
          <w:p w14:paraId="71F90E08" w14:textId="77777777" w:rsidR="00711444" w:rsidRPr="004D0DAA" w:rsidRDefault="00711444" w:rsidP="00AA2A4C">
            <w:pPr>
              <w:pStyle w:val="TAC"/>
              <w:rPr>
                <w:lang w:eastAsia="en-US"/>
              </w:rPr>
            </w:pPr>
            <w:r w:rsidRPr="004D0DAA">
              <w:rPr>
                <w:lang w:eastAsia="en-US"/>
              </w:rPr>
              <w:t>MCS-4</w:t>
            </w:r>
          </w:p>
        </w:tc>
        <w:tc>
          <w:tcPr>
            <w:tcW w:w="822" w:type="dxa"/>
            <w:tcMar>
              <w:left w:w="28" w:type="dxa"/>
              <w:right w:w="28" w:type="dxa"/>
            </w:tcMar>
          </w:tcPr>
          <w:p w14:paraId="7A9C316E" w14:textId="77777777" w:rsidR="00711444" w:rsidRPr="004D0DAA" w:rsidRDefault="00711444" w:rsidP="00AA2A4C">
            <w:pPr>
              <w:pStyle w:val="TAC"/>
              <w:rPr>
                <w:lang w:eastAsia="en-US"/>
              </w:rPr>
            </w:pPr>
            <w:r w:rsidRPr="004D0DAA">
              <w:rPr>
                <w:lang w:eastAsia="en-US"/>
              </w:rPr>
              <w:t>MCS-4</w:t>
            </w:r>
          </w:p>
        </w:tc>
        <w:tc>
          <w:tcPr>
            <w:tcW w:w="821" w:type="dxa"/>
            <w:tcMar>
              <w:left w:w="28" w:type="dxa"/>
              <w:right w:w="28" w:type="dxa"/>
            </w:tcMar>
          </w:tcPr>
          <w:p w14:paraId="552131C9" w14:textId="77777777" w:rsidR="00711444" w:rsidRPr="004D0DAA" w:rsidRDefault="00711444" w:rsidP="00AA2A4C">
            <w:pPr>
              <w:pStyle w:val="TAC"/>
              <w:rPr>
                <w:lang w:eastAsia="en-US"/>
              </w:rPr>
            </w:pPr>
            <w:r w:rsidRPr="004D0DAA">
              <w:rPr>
                <w:lang w:eastAsia="en-US"/>
              </w:rPr>
              <w:t>MCS-4</w:t>
            </w:r>
          </w:p>
        </w:tc>
        <w:tc>
          <w:tcPr>
            <w:tcW w:w="821" w:type="dxa"/>
            <w:tcMar>
              <w:left w:w="28" w:type="dxa"/>
              <w:right w:w="28" w:type="dxa"/>
            </w:tcMar>
          </w:tcPr>
          <w:p w14:paraId="757FCA5A"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4282D2D6" w14:textId="77777777" w:rsidR="00711444" w:rsidRPr="004D0DAA" w:rsidRDefault="00711444" w:rsidP="00AA2A4C">
            <w:pPr>
              <w:pStyle w:val="TAC"/>
              <w:rPr>
                <w:lang w:eastAsia="en-US"/>
              </w:rPr>
            </w:pPr>
            <w:r w:rsidRPr="004D0DAA">
              <w:rPr>
                <w:lang w:eastAsia="en-US"/>
              </w:rPr>
              <w:t>MCS-1</w:t>
            </w:r>
          </w:p>
        </w:tc>
        <w:tc>
          <w:tcPr>
            <w:tcW w:w="826" w:type="dxa"/>
            <w:tcMar>
              <w:left w:w="28" w:type="dxa"/>
              <w:right w:w="28" w:type="dxa"/>
            </w:tcMar>
          </w:tcPr>
          <w:p w14:paraId="2FDF2433" w14:textId="77777777" w:rsidR="00711444" w:rsidRPr="004D0DAA" w:rsidRDefault="00711444" w:rsidP="00AA2A4C">
            <w:pPr>
              <w:pStyle w:val="TAC"/>
              <w:rPr>
                <w:lang w:eastAsia="en-US"/>
              </w:rPr>
            </w:pPr>
            <w:r w:rsidRPr="004D0DAA">
              <w:rPr>
                <w:lang w:eastAsia="en-US"/>
              </w:rPr>
              <w:t>MCS-1</w:t>
            </w:r>
          </w:p>
        </w:tc>
      </w:tr>
      <w:tr w:rsidR="00711444" w:rsidRPr="004D0DAA" w14:paraId="370679BD" w14:textId="77777777" w:rsidTr="00AA2A4C">
        <w:tc>
          <w:tcPr>
            <w:tcW w:w="821" w:type="dxa"/>
            <w:tcMar>
              <w:left w:w="28" w:type="dxa"/>
              <w:right w:w="28" w:type="dxa"/>
            </w:tcMar>
          </w:tcPr>
          <w:p w14:paraId="29FFA93B"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500C0078"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777AD2BB" w14:textId="77777777" w:rsidR="00711444" w:rsidRPr="004D0DAA" w:rsidRDefault="00711444" w:rsidP="00AA2A4C">
            <w:pPr>
              <w:pStyle w:val="TAC"/>
              <w:rPr>
                <w:lang w:eastAsia="en-US"/>
              </w:rPr>
            </w:pPr>
            <w:r w:rsidRPr="004D0DAA">
              <w:rPr>
                <w:lang w:eastAsia="en-US"/>
              </w:rPr>
              <w:t>MCS-3</w:t>
            </w:r>
          </w:p>
        </w:tc>
        <w:tc>
          <w:tcPr>
            <w:tcW w:w="822" w:type="dxa"/>
            <w:tcMar>
              <w:left w:w="28" w:type="dxa"/>
              <w:right w:w="28" w:type="dxa"/>
            </w:tcMar>
          </w:tcPr>
          <w:p w14:paraId="3DF359A7"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3BC3301D" w14:textId="77777777" w:rsidR="00711444" w:rsidRPr="004D0DAA" w:rsidRDefault="00711444" w:rsidP="00AA2A4C">
            <w:pPr>
              <w:pStyle w:val="TAC"/>
              <w:rPr>
                <w:lang w:eastAsia="en-US"/>
              </w:rPr>
            </w:pPr>
            <w:r w:rsidRPr="004D0DAA">
              <w:rPr>
                <w:lang w:eastAsia="en-US"/>
              </w:rPr>
              <w:t>MCS-3</w:t>
            </w:r>
          </w:p>
        </w:tc>
        <w:tc>
          <w:tcPr>
            <w:tcW w:w="822" w:type="dxa"/>
            <w:tcMar>
              <w:left w:w="28" w:type="dxa"/>
              <w:right w:w="28" w:type="dxa"/>
            </w:tcMar>
          </w:tcPr>
          <w:p w14:paraId="4A199736" w14:textId="77777777" w:rsidR="00711444" w:rsidRPr="004D0DAA" w:rsidRDefault="00711444" w:rsidP="00AA2A4C">
            <w:pPr>
              <w:pStyle w:val="TAC"/>
              <w:rPr>
                <w:lang w:eastAsia="en-US"/>
              </w:rPr>
            </w:pPr>
            <w:r w:rsidRPr="004D0DAA">
              <w:rPr>
                <w:lang w:eastAsia="en-US"/>
              </w:rPr>
              <w:t>MCS-3</w:t>
            </w:r>
          </w:p>
        </w:tc>
        <w:tc>
          <w:tcPr>
            <w:tcW w:w="820" w:type="dxa"/>
            <w:tcMar>
              <w:left w:w="28" w:type="dxa"/>
              <w:right w:w="28" w:type="dxa"/>
            </w:tcMar>
          </w:tcPr>
          <w:p w14:paraId="52CAC1D1" w14:textId="77777777" w:rsidR="00711444" w:rsidRPr="004D0DAA" w:rsidRDefault="00711444" w:rsidP="00AA2A4C">
            <w:pPr>
              <w:pStyle w:val="TAC"/>
              <w:rPr>
                <w:lang w:eastAsia="en-US"/>
              </w:rPr>
            </w:pPr>
            <w:r w:rsidRPr="004D0DAA">
              <w:rPr>
                <w:lang w:eastAsia="en-US"/>
              </w:rPr>
              <w:t>MCS-3</w:t>
            </w:r>
          </w:p>
        </w:tc>
        <w:tc>
          <w:tcPr>
            <w:tcW w:w="822" w:type="dxa"/>
            <w:tcMar>
              <w:left w:w="28" w:type="dxa"/>
              <w:right w:w="28" w:type="dxa"/>
            </w:tcMar>
          </w:tcPr>
          <w:p w14:paraId="477A488A"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393DB944"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0FF92519" w14:textId="77777777" w:rsidR="00711444" w:rsidRPr="004D0DAA" w:rsidRDefault="00711444" w:rsidP="00AA2A4C">
            <w:pPr>
              <w:pStyle w:val="TAC"/>
              <w:rPr>
                <w:lang w:eastAsia="en-US"/>
              </w:rPr>
            </w:pPr>
            <w:r w:rsidRPr="004D0DAA">
              <w:rPr>
                <w:lang w:eastAsia="en-US"/>
              </w:rPr>
              <w:t>MCS-3</w:t>
            </w:r>
          </w:p>
        </w:tc>
        <w:tc>
          <w:tcPr>
            <w:tcW w:w="821" w:type="dxa"/>
            <w:tcMar>
              <w:left w:w="28" w:type="dxa"/>
              <w:right w:w="28" w:type="dxa"/>
            </w:tcMar>
          </w:tcPr>
          <w:p w14:paraId="6410D6D1" w14:textId="77777777" w:rsidR="00711444" w:rsidRPr="004D0DAA" w:rsidRDefault="00711444" w:rsidP="00AA2A4C">
            <w:pPr>
              <w:pStyle w:val="TAC"/>
              <w:rPr>
                <w:lang w:eastAsia="en-US"/>
              </w:rPr>
            </w:pPr>
            <w:r w:rsidRPr="004D0DAA">
              <w:rPr>
                <w:lang w:eastAsia="en-US"/>
              </w:rPr>
              <w:t>MCS-3</w:t>
            </w:r>
          </w:p>
        </w:tc>
        <w:tc>
          <w:tcPr>
            <w:tcW w:w="826" w:type="dxa"/>
            <w:tcMar>
              <w:left w:w="28" w:type="dxa"/>
              <w:right w:w="28" w:type="dxa"/>
            </w:tcMar>
          </w:tcPr>
          <w:p w14:paraId="750E0C9B" w14:textId="77777777" w:rsidR="00711444" w:rsidRPr="004D0DAA" w:rsidRDefault="00711444" w:rsidP="00AA2A4C">
            <w:pPr>
              <w:pStyle w:val="TAC"/>
              <w:rPr>
                <w:lang w:eastAsia="en-US"/>
              </w:rPr>
            </w:pPr>
            <w:r w:rsidRPr="004D0DAA">
              <w:rPr>
                <w:lang w:eastAsia="en-US"/>
              </w:rPr>
              <w:t>MCS-3</w:t>
            </w:r>
          </w:p>
        </w:tc>
      </w:tr>
      <w:tr w:rsidR="00711444" w:rsidRPr="004D0DAA" w14:paraId="24F2B033" w14:textId="77777777" w:rsidTr="00AA2A4C">
        <w:tc>
          <w:tcPr>
            <w:tcW w:w="821" w:type="dxa"/>
            <w:tcMar>
              <w:left w:w="28" w:type="dxa"/>
              <w:right w:w="28" w:type="dxa"/>
            </w:tcMar>
          </w:tcPr>
          <w:p w14:paraId="0E792300"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58407A96"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3CABA030" w14:textId="77777777" w:rsidR="00711444" w:rsidRPr="004D0DAA" w:rsidRDefault="00711444" w:rsidP="00AA2A4C">
            <w:pPr>
              <w:pStyle w:val="TAC"/>
              <w:rPr>
                <w:lang w:eastAsia="en-US"/>
              </w:rPr>
            </w:pPr>
            <w:r w:rsidRPr="004D0DAA">
              <w:rPr>
                <w:lang w:eastAsia="en-US"/>
              </w:rPr>
              <w:t>MCS-2</w:t>
            </w:r>
          </w:p>
        </w:tc>
        <w:tc>
          <w:tcPr>
            <w:tcW w:w="822" w:type="dxa"/>
            <w:tcMar>
              <w:left w:w="28" w:type="dxa"/>
              <w:right w:w="28" w:type="dxa"/>
            </w:tcMar>
          </w:tcPr>
          <w:p w14:paraId="1F2D2728"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2243FB94" w14:textId="77777777" w:rsidR="00711444" w:rsidRPr="004D0DAA" w:rsidRDefault="00711444" w:rsidP="00AA2A4C">
            <w:pPr>
              <w:pStyle w:val="TAC"/>
              <w:rPr>
                <w:lang w:eastAsia="en-US"/>
              </w:rPr>
            </w:pPr>
            <w:r w:rsidRPr="004D0DAA">
              <w:rPr>
                <w:lang w:eastAsia="en-US"/>
              </w:rPr>
              <w:t>MCS-2</w:t>
            </w:r>
          </w:p>
        </w:tc>
        <w:tc>
          <w:tcPr>
            <w:tcW w:w="822" w:type="dxa"/>
            <w:tcMar>
              <w:left w:w="28" w:type="dxa"/>
              <w:right w:w="28" w:type="dxa"/>
            </w:tcMar>
          </w:tcPr>
          <w:p w14:paraId="251732A3" w14:textId="77777777" w:rsidR="00711444" w:rsidRPr="004D0DAA" w:rsidRDefault="00711444" w:rsidP="00AA2A4C">
            <w:pPr>
              <w:pStyle w:val="TAC"/>
              <w:rPr>
                <w:lang w:eastAsia="en-US"/>
              </w:rPr>
            </w:pPr>
            <w:r w:rsidRPr="004D0DAA">
              <w:rPr>
                <w:lang w:eastAsia="en-US"/>
              </w:rPr>
              <w:t>MCS-2</w:t>
            </w:r>
          </w:p>
        </w:tc>
        <w:tc>
          <w:tcPr>
            <w:tcW w:w="820" w:type="dxa"/>
            <w:tcMar>
              <w:left w:w="28" w:type="dxa"/>
              <w:right w:w="28" w:type="dxa"/>
            </w:tcMar>
          </w:tcPr>
          <w:p w14:paraId="05FE50D7" w14:textId="77777777" w:rsidR="00711444" w:rsidRPr="004D0DAA" w:rsidRDefault="00711444" w:rsidP="00AA2A4C">
            <w:pPr>
              <w:pStyle w:val="TAC"/>
              <w:rPr>
                <w:lang w:eastAsia="en-US"/>
              </w:rPr>
            </w:pPr>
            <w:r w:rsidRPr="004D0DAA">
              <w:rPr>
                <w:lang w:eastAsia="en-US"/>
              </w:rPr>
              <w:t>MCS-2</w:t>
            </w:r>
          </w:p>
        </w:tc>
        <w:tc>
          <w:tcPr>
            <w:tcW w:w="822" w:type="dxa"/>
            <w:tcMar>
              <w:left w:w="28" w:type="dxa"/>
              <w:right w:w="28" w:type="dxa"/>
            </w:tcMar>
          </w:tcPr>
          <w:p w14:paraId="086FEF5F"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493EC9E1"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08D3A9B0" w14:textId="77777777" w:rsidR="00711444" w:rsidRPr="004D0DAA" w:rsidRDefault="00711444" w:rsidP="00AA2A4C">
            <w:pPr>
              <w:pStyle w:val="TAC"/>
              <w:rPr>
                <w:lang w:eastAsia="en-US"/>
              </w:rPr>
            </w:pPr>
            <w:r w:rsidRPr="004D0DAA">
              <w:rPr>
                <w:lang w:eastAsia="en-US"/>
              </w:rPr>
              <w:t>MCS-2</w:t>
            </w:r>
          </w:p>
        </w:tc>
        <w:tc>
          <w:tcPr>
            <w:tcW w:w="821" w:type="dxa"/>
            <w:tcMar>
              <w:left w:w="28" w:type="dxa"/>
              <w:right w:w="28" w:type="dxa"/>
            </w:tcMar>
          </w:tcPr>
          <w:p w14:paraId="3B217C76" w14:textId="77777777" w:rsidR="00711444" w:rsidRPr="004D0DAA" w:rsidRDefault="00711444" w:rsidP="00AA2A4C">
            <w:pPr>
              <w:pStyle w:val="TAC"/>
              <w:rPr>
                <w:lang w:eastAsia="en-US"/>
              </w:rPr>
            </w:pPr>
            <w:r w:rsidRPr="004D0DAA">
              <w:rPr>
                <w:lang w:eastAsia="en-US"/>
              </w:rPr>
              <w:t>MCS-2</w:t>
            </w:r>
          </w:p>
        </w:tc>
        <w:tc>
          <w:tcPr>
            <w:tcW w:w="826" w:type="dxa"/>
            <w:tcMar>
              <w:left w:w="28" w:type="dxa"/>
              <w:right w:w="28" w:type="dxa"/>
            </w:tcMar>
          </w:tcPr>
          <w:p w14:paraId="0EB08533" w14:textId="77777777" w:rsidR="00711444" w:rsidRPr="004D0DAA" w:rsidRDefault="00711444" w:rsidP="00AA2A4C">
            <w:pPr>
              <w:pStyle w:val="TAC"/>
              <w:rPr>
                <w:lang w:eastAsia="en-US"/>
              </w:rPr>
            </w:pPr>
            <w:r w:rsidRPr="004D0DAA">
              <w:rPr>
                <w:lang w:eastAsia="en-US"/>
              </w:rPr>
              <w:t>MCS-2</w:t>
            </w:r>
          </w:p>
        </w:tc>
      </w:tr>
      <w:tr w:rsidR="00711444" w:rsidRPr="004D0DAA" w14:paraId="5D58D83D" w14:textId="77777777" w:rsidTr="00AA2A4C">
        <w:tc>
          <w:tcPr>
            <w:tcW w:w="821" w:type="dxa"/>
            <w:tcMar>
              <w:left w:w="28" w:type="dxa"/>
              <w:right w:w="28" w:type="dxa"/>
            </w:tcMar>
          </w:tcPr>
          <w:p w14:paraId="0D5E50A0"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7647B129"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37646416" w14:textId="77777777" w:rsidR="00711444" w:rsidRPr="004D0DAA" w:rsidRDefault="00711444" w:rsidP="00AA2A4C">
            <w:pPr>
              <w:pStyle w:val="TAC"/>
              <w:rPr>
                <w:lang w:eastAsia="en-US"/>
              </w:rPr>
            </w:pPr>
            <w:r w:rsidRPr="004D0DAA">
              <w:rPr>
                <w:lang w:eastAsia="en-US"/>
              </w:rPr>
              <w:t>MCS-1</w:t>
            </w:r>
          </w:p>
        </w:tc>
        <w:tc>
          <w:tcPr>
            <w:tcW w:w="822" w:type="dxa"/>
            <w:tcMar>
              <w:left w:w="28" w:type="dxa"/>
              <w:right w:w="28" w:type="dxa"/>
            </w:tcMar>
          </w:tcPr>
          <w:p w14:paraId="216072F1"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0C263DF4" w14:textId="77777777" w:rsidR="00711444" w:rsidRPr="004D0DAA" w:rsidRDefault="00711444" w:rsidP="00AA2A4C">
            <w:pPr>
              <w:pStyle w:val="TAC"/>
              <w:rPr>
                <w:lang w:eastAsia="en-US"/>
              </w:rPr>
            </w:pPr>
            <w:r w:rsidRPr="004D0DAA">
              <w:rPr>
                <w:lang w:eastAsia="en-US"/>
              </w:rPr>
              <w:t>MCS-1</w:t>
            </w:r>
          </w:p>
        </w:tc>
        <w:tc>
          <w:tcPr>
            <w:tcW w:w="822" w:type="dxa"/>
            <w:tcMar>
              <w:left w:w="28" w:type="dxa"/>
              <w:right w:w="28" w:type="dxa"/>
            </w:tcMar>
          </w:tcPr>
          <w:p w14:paraId="3223682C" w14:textId="77777777" w:rsidR="00711444" w:rsidRPr="004D0DAA" w:rsidRDefault="00711444" w:rsidP="00AA2A4C">
            <w:pPr>
              <w:pStyle w:val="TAC"/>
              <w:rPr>
                <w:lang w:eastAsia="en-US"/>
              </w:rPr>
            </w:pPr>
            <w:r w:rsidRPr="004D0DAA">
              <w:rPr>
                <w:lang w:eastAsia="en-US"/>
              </w:rPr>
              <w:t>MCS-1</w:t>
            </w:r>
          </w:p>
        </w:tc>
        <w:tc>
          <w:tcPr>
            <w:tcW w:w="820" w:type="dxa"/>
            <w:tcMar>
              <w:left w:w="28" w:type="dxa"/>
              <w:right w:w="28" w:type="dxa"/>
            </w:tcMar>
          </w:tcPr>
          <w:p w14:paraId="1360321C" w14:textId="77777777" w:rsidR="00711444" w:rsidRPr="004D0DAA" w:rsidRDefault="00711444" w:rsidP="00AA2A4C">
            <w:pPr>
              <w:pStyle w:val="TAC"/>
              <w:rPr>
                <w:lang w:eastAsia="en-US"/>
              </w:rPr>
            </w:pPr>
            <w:r w:rsidRPr="004D0DAA">
              <w:rPr>
                <w:lang w:eastAsia="en-US"/>
              </w:rPr>
              <w:t>MCS-1</w:t>
            </w:r>
          </w:p>
        </w:tc>
        <w:tc>
          <w:tcPr>
            <w:tcW w:w="822" w:type="dxa"/>
            <w:tcMar>
              <w:left w:w="28" w:type="dxa"/>
              <w:right w:w="28" w:type="dxa"/>
            </w:tcMar>
          </w:tcPr>
          <w:p w14:paraId="6C6F12A4"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7C2B1FCD"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1D6FEFFD" w14:textId="77777777" w:rsidR="00711444" w:rsidRPr="004D0DAA" w:rsidRDefault="00711444" w:rsidP="00AA2A4C">
            <w:pPr>
              <w:pStyle w:val="TAC"/>
              <w:rPr>
                <w:lang w:eastAsia="en-US"/>
              </w:rPr>
            </w:pPr>
            <w:r w:rsidRPr="004D0DAA">
              <w:rPr>
                <w:lang w:eastAsia="en-US"/>
              </w:rPr>
              <w:t>MCS-1</w:t>
            </w:r>
          </w:p>
        </w:tc>
        <w:tc>
          <w:tcPr>
            <w:tcW w:w="821" w:type="dxa"/>
            <w:tcMar>
              <w:left w:w="28" w:type="dxa"/>
              <w:right w:w="28" w:type="dxa"/>
            </w:tcMar>
          </w:tcPr>
          <w:p w14:paraId="6A5681C4" w14:textId="77777777" w:rsidR="00711444" w:rsidRPr="004D0DAA" w:rsidRDefault="00711444" w:rsidP="00AA2A4C">
            <w:pPr>
              <w:pStyle w:val="TAC"/>
              <w:rPr>
                <w:lang w:eastAsia="en-US"/>
              </w:rPr>
            </w:pPr>
            <w:r w:rsidRPr="004D0DAA">
              <w:rPr>
                <w:lang w:eastAsia="en-US"/>
              </w:rPr>
              <w:t>MCS-1</w:t>
            </w:r>
          </w:p>
        </w:tc>
        <w:tc>
          <w:tcPr>
            <w:tcW w:w="826" w:type="dxa"/>
            <w:tcMar>
              <w:left w:w="28" w:type="dxa"/>
              <w:right w:w="28" w:type="dxa"/>
            </w:tcMar>
          </w:tcPr>
          <w:p w14:paraId="13BD39A3" w14:textId="77777777" w:rsidR="00711444" w:rsidRPr="004D0DAA" w:rsidRDefault="00711444" w:rsidP="00AA2A4C">
            <w:pPr>
              <w:pStyle w:val="TAC"/>
              <w:rPr>
                <w:lang w:eastAsia="en-US"/>
              </w:rPr>
            </w:pPr>
            <w:r w:rsidRPr="004D0DAA">
              <w:rPr>
                <w:lang w:eastAsia="en-US"/>
              </w:rPr>
              <w:t>MCS-1</w:t>
            </w:r>
          </w:p>
        </w:tc>
      </w:tr>
    </w:tbl>
    <w:p w14:paraId="346C7494" w14:textId="77777777" w:rsidR="00711444" w:rsidRPr="004D0DAA" w:rsidRDefault="00711444" w:rsidP="00711444"/>
    <w:p w14:paraId="3FC11221" w14:textId="77777777" w:rsidR="00711444" w:rsidRPr="004D0DAA" w:rsidRDefault="00711444" w:rsidP="00711444">
      <w:pPr>
        <w:pStyle w:val="TH"/>
      </w:pPr>
      <w:r w:rsidRPr="004D0DAA">
        <w:t>Table 8.1.1.4: Choice of modulation and coding scheme for retransmissions without re-segmentation (EGPRS2-A)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0"/>
        <w:gridCol w:w="803"/>
        <w:gridCol w:w="801"/>
        <w:gridCol w:w="803"/>
        <w:gridCol w:w="802"/>
        <w:gridCol w:w="803"/>
        <w:gridCol w:w="801"/>
        <w:gridCol w:w="803"/>
        <w:gridCol w:w="802"/>
        <w:gridCol w:w="802"/>
        <w:gridCol w:w="802"/>
        <w:gridCol w:w="807"/>
      </w:tblGrid>
      <w:tr w:rsidR="00711444" w:rsidRPr="004D0DAA" w14:paraId="526AA8C3" w14:textId="77777777" w:rsidTr="00AA2A4C">
        <w:tc>
          <w:tcPr>
            <w:tcW w:w="813" w:type="dxa"/>
            <w:shd w:val="clear" w:color="auto" w:fill="auto"/>
            <w:tcMar>
              <w:left w:w="28" w:type="dxa"/>
              <w:right w:w="28" w:type="dxa"/>
            </w:tcMar>
          </w:tcPr>
          <w:p w14:paraId="6CE156F3" w14:textId="77777777" w:rsidR="00711444" w:rsidRPr="004D0DAA" w:rsidRDefault="00711444" w:rsidP="00AA2A4C">
            <w:pPr>
              <w:pStyle w:val="TAH"/>
              <w:rPr>
                <w:lang w:eastAsia="en-US"/>
              </w:rPr>
            </w:pPr>
            <w:r w:rsidRPr="004D0DAA">
              <w:rPr>
                <w:lang w:eastAsia="en-US"/>
              </w:rPr>
              <w:t>Scheme used for Initial transmission</w:t>
            </w:r>
          </w:p>
        </w:tc>
        <w:tc>
          <w:tcPr>
            <w:tcW w:w="8962" w:type="dxa"/>
            <w:gridSpan w:val="11"/>
            <w:shd w:val="clear" w:color="auto" w:fill="auto"/>
          </w:tcPr>
          <w:p w14:paraId="1BD195C0" w14:textId="77777777" w:rsidR="00711444" w:rsidRPr="004D0DAA" w:rsidRDefault="00711444" w:rsidP="00AA2A4C">
            <w:pPr>
              <w:pStyle w:val="TAH"/>
              <w:rPr>
                <w:lang w:eastAsia="en-US"/>
              </w:rPr>
            </w:pPr>
            <w:r w:rsidRPr="004D0DAA">
              <w:rPr>
                <w:lang w:eastAsia="en-US"/>
              </w:rPr>
              <w:t>Scheme to use for retransmissions after switching to a different modulation and coding scheme (MCS or UAS)</w:t>
            </w:r>
          </w:p>
        </w:tc>
      </w:tr>
      <w:tr w:rsidR="00711444" w:rsidRPr="004D0DAA" w14:paraId="1F786111" w14:textId="77777777" w:rsidTr="00AA2A4C">
        <w:trPr>
          <w:trHeight w:val="567"/>
        </w:trPr>
        <w:tc>
          <w:tcPr>
            <w:tcW w:w="813" w:type="dxa"/>
            <w:shd w:val="clear" w:color="auto" w:fill="auto"/>
            <w:tcMar>
              <w:left w:w="28" w:type="dxa"/>
              <w:right w:w="28" w:type="dxa"/>
            </w:tcMar>
          </w:tcPr>
          <w:p w14:paraId="60D91BA7" w14:textId="77777777" w:rsidR="00711444" w:rsidRPr="004D0DAA" w:rsidRDefault="00711444" w:rsidP="00AA2A4C"/>
        </w:tc>
        <w:tc>
          <w:tcPr>
            <w:tcW w:w="815" w:type="dxa"/>
            <w:shd w:val="clear" w:color="auto" w:fill="auto"/>
            <w:tcMar>
              <w:left w:w="57" w:type="dxa"/>
              <w:right w:w="57" w:type="dxa"/>
            </w:tcMar>
          </w:tcPr>
          <w:p w14:paraId="0406B535" w14:textId="77777777" w:rsidR="00711444" w:rsidRPr="004D0DAA" w:rsidRDefault="00711444" w:rsidP="00AA2A4C">
            <w:pPr>
              <w:pStyle w:val="TAC"/>
              <w:rPr>
                <w:lang w:eastAsia="en-US"/>
              </w:rPr>
            </w:pPr>
            <w:r w:rsidRPr="004D0DAA">
              <w:rPr>
                <w:b/>
                <w:bCs/>
                <w:lang w:eastAsia="en-US"/>
              </w:rPr>
              <w:t>UAS-11 Commanded</w:t>
            </w:r>
          </w:p>
        </w:tc>
        <w:tc>
          <w:tcPr>
            <w:tcW w:w="814" w:type="dxa"/>
            <w:shd w:val="clear" w:color="auto" w:fill="auto"/>
            <w:tcMar>
              <w:left w:w="28" w:type="dxa"/>
              <w:right w:w="28" w:type="dxa"/>
            </w:tcMar>
          </w:tcPr>
          <w:p w14:paraId="10625613" w14:textId="77777777" w:rsidR="00711444" w:rsidRPr="004D0DAA" w:rsidRDefault="00711444" w:rsidP="00AA2A4C">
            <w:pPr>
              <w:pStyle w:val="TAC"/>
              <w:rPr>
                <w:lang w:eastAsia="en-US"/>
              </w:rPr>
            </w:pPr>
            <w:r w:rsidRPr="004D0DAA">
              <w:rPr>
                <w:b/>
                <w:bCs/>
                <w:lang w:eastAsia="en-US"/>
              </w:rPr>
              <w:t>UAS-10 Commanded</w:t>
            </w:r>
          </w:p>
        </w:tc>
        <w:tc>
          <w:tcPr>
            <w:tcW w:w="815" w:type="dxa"/>
            <w:shd w:val="clear" w:color="auto" w:fill="auto"/>
            <w:tcMar>
              <w:left w:w="28" w:type="dxa"/>
              <w:right w:w="28" w:type="dxa"/>
            </w:tcMar>
          </w:tcPr>
          <w:p w14:paraId="278CC3A3" w14:textId="77777777" w:rsidR="00711444" w:rsidRPr="004D0DAA" w:rsidRDefault="00711444" w:rsidP="00AA2A4C">
            <w:pPr>
              <w:pStyle w:val="TAC"/>
              <w:rPr>
                <w:lang w:eastAsia="en-US"/>
              </w:rPr>
            </w:pPr>
            <w:r w:rsidRPr="004D0DAA">
              <w:rPr>
                <w:b/>
                <w:bCs/>
                <w:lang w:eastAsia="en-US"/>
              </w:rPr>
              <w:t>UAS-9 Commanded</w:t>
            </w:r>
          </w:p>
        </w:tc>
        <w:tc>
          <w:tcPr>
            <w:tcW w:w="814" w:type="dxa"/>
            <w:shd w:val="clear" w:color="auto" w:fill="auto"/>
            <w:tcMar>
              <w:left w:w="28" w:type="dxa"/>
              <w:right w:w="28" w:type="dxa"/>
            </w:tcMar>
          </w:tcPr>
          <w:p w14:paraId="5E3A088C" w14:textId="77777777" w:rsidR="00711444" w:rsidRPr="004D0DAA" w:rsidRDefault="00711444" w:rsidP="00AA2A4C">
            <w:pPr>
              <w:pStyle w:val="TAC"/>
              <w:rPr>
                <w:lang w:eastAsia="en-US"/>
              </w:rPr>
            </w:pPr>
            <w:r w:rsidRPr="004D0DAA">
              <w:rPr>
                <w:b/>
                <w:bCs/>
                <w:lang w:eastAsia="en-US"/>
              </w:rPr>
              <w:t>UAS-8 Commanded</w:t>
            </w:r>
          </w:p>
        </w:tc>
        <w:tc>
          <w:tcPr>
            <w:tcW w:w="815" w:type="dxa"/>
            <w:shd w:val="clear" w:color="auto" w:fill="auto"/>
            <w:tcMar>
              <w:left w:w="28" w:type="dxa"/>
              <w:right w:w="28" w:type="dxa"/>
            </w:tcMar>
          </w:tcPr>
          <w:p w14:paraId="7366D5DF" w14:textId="77777777" w:rsidR="00711444" w:rsidRPr="004D0DAA" w:rsidRDefault="00711444" w:rsidP="00AA2A4C">
            <w:pPr>
              <w:pStyle w:val="TAC"/>
              <w:rPr>
                <w:lang w:eastAsia="en-US"/>
              </w:rPr>
            </w:pPr>
            <w:r w:rsidRPr="004D0DAA">
              <w:rPr>
                <w:b/>
                <w:bCs/>
                <w:lang w:eastAsia="en-US"/>
              </w:rPr>
              <w:t>UAS-7 Commanded</w:t>
            </w:r>
          </w:p>
        </w:tc>
        <w:tc>
          <w:tcPr>
            <w:tcW w:w="813" w:type="dxa"/>
            <w:shd w:val="clear" w:color="auto" w:fill="auto"/>
            <w:tcMar>
              <w:left w:w="28" w:type="dxa"/>
              <w:right w:w="28" w:type="dxa"/>
            </w:tcMar>
          </w:tcPr>
          <w:p w14:paraId="4B27C53F" w14:textId="77777777" w:rsidR="00711444" w:rsidRPr="004D0DAA" w:rsidRDefault="00711444" w:rsidP="00AA2A4C">
            <w:pPr>
              <w:pStyle w:val="TAC"/>
              <w:rPr>
                <w:lang w:eastAsia="en-US"/>
              </w:rPr>
            </w:pPr>
            <w:r w:rsidRPr="004D0DAA">
              <w:rPr>
                <w:b/>
                <w:bCs/>
                <w:lang w:eastAsia="en-US"/>
              </w:rPr>
              <w:t>MCS-6 Commanded</w:t>
            </w:r>
          </w:p>
        </w:tc>
        <w:tc>
          <w:tcPr>
            <w:tcW w:w="815" w:type="dxa"/>
            <w:shd w:val="clear" w:color="auto" w:fill="auto"/>
            <w:tcMar>
              <w:left w:w="28" w:type="dxa"/>
              <w:right w:w="28" w:type="dxa"/>
            </w:tcMar>
          </w:tcPr>
          <w:p w14:paraId="4FC6D7D4" w14:textId="77777777" w:rsidR="00711444" w:rsidRPr="004D0DAA" w:rsidRDefault="00711444" w:rsidP="00AA2A4C">
            <w:pPr>
              <w:pStyle w:val="TAC"/>
              <w:rPr>
                <w:lang w:eastAsia="en-US"/>
              </w:rPr>
            </w:pPr>
            <w:r w:rsidRPr="004D0DAA">
              <w:rPr>
                <w:b/>
                <w:bCs/>
                <w:lang w:eastAsia="en-US"/>
              </w:rPr>
              <w:t>MCS-5 Commanded</w:t>
            </w:r>
          </w:p>
        </w:tc>
        <w:tc>
          <w:tcPr>
            <w:tcW w:w="814" w:type="dxa"/>
            <w:shd w:val="clear" w:color="auto" w:fill="auto"/>
            <w:tcMar>
              <w:left w:w="28" w:type="dxa"/>
              <w:right w:w="28" w:type="dxa"/>
            </w:tcMar>
          </w:tcPr>
          <w:p w14:paraId="1A52C6F8" w14:textId="77777777" w:rsidR="00711444" w:rsidRPr="004D0DAA" w:rsidRDefault="00711444" w:rsidP="00AA2A4C">
            <w:pPr>
              <w:pStyle w:val="TAC"/>
              <w:rPr>
                <w:lang w:eastAsia="en-US"/>
              </w:rPr>
            </w:pPr>
            <w:r w:rsidRPr="004D0DAA">
              <w:rPr>
                <w:b/>
                <w:bCs/>
                <w:lang w:eastAsia="en-US"/>
              </w:rPr>
              <w:t>MCS-4 Commanded</w:t>
            </w:r>
          </w:p>
        </w:tc>
        <w:tc>
          <w:tcPr>
            <w:tcW w:w="814" w:type="dxa"/>
            <w:shd w:val="clear" w:color="auto" w:fill="auto"/>
            <w:tcMar>
              <w:left w:w="28" w:type="dxa"/>
              <w:right w:w="28" w:type="dxa"/>
            </w:tcMar>
          </w:tcPr>
          <w:p w14:paraId="74A7E198" w14:textId="77777777" w:rsidR="00711444" w:rsidRPr="004D0DAA" w:rsidRDefault="00711444" w:rsidP="00AA2A4C">
            <w:pPr>
              <w:pStyle w:val="TAC"/>
              <w:rPr>
                <w:lang w:eastAsia="en-US"/>
              </w:rPr>
            </w:pPr>
            <w:r w:rsidRPr="004D0DAA">
              <w:rPr>
                <w:b/>
                <w:bCs/>
                <w:lang w:eastAsia="en-US"/>
              </w:rPr>
              <w:t>MCS-3 Commanded</w:t>
            </w:r>
          </w:p>
        </w:tc>
        <w:tc>
          <w:tcPr>
            <w:tcW w:w="814" w:type="dxa"/>
            <w:shd w:val="clear" w:color="auto" w:fill="auto"/>
            <w:tcMar>
              <w:left w:w="28" w:type="dxa"/>
              <w:right w:w="28" w:type="dxa"/>
            </w:tcMar>
          </w:tcPr>
          <w:p w14:paraId="67868BB0" w14:textId="77777777" w:rsidR="00711444" w:rsidRPr="004D0DAA" w:rsidRDefault="00711444" w:rsidP="00AA2A4C">
            <w:pPr>
              <w:pStyle w:val="TAC"/>
              <w:rPr>
                <w:lang w:eastAsia="en-US"/>
              </w:rPr>
            </w:pPr>
            <w:r w:rsidRPr="004D0DAA">
              <w:rPr>
                <w:b/>
                <w:bCs/>
                <w:lang w:eastAsia="en-US"/>
              </w:rPr>
              <w:t>MCS-2 Commanded</w:t>
            </w:r>
          </w:p>
        </w:tc>
        <w:tc>
          <w:tcPr>
            <w:tcW w:w="819" w:type="dxa"/>
            <w:shd w:val="clear" w:color="auto" w:fill="auto"/>
            <w:tcMar>
              <w:left w:w="28" w:type="dxa"/>
              <w:right w:w="28" w:type="dxa"/>
            </w:tcMar>
          </w:tcPr>
          <w:p w14:paraId="2FA9C85D" w14:textId="77777777" w:rsidR="00711444" w:rsidRPr="004D0DAA" w:rsidRDefault="00711444" w:rsidP="00AA2A4C">
            <w:pPr>
              <w:pStyle w:val="TAC"/>
              <w:rPr>
                <w:lang w:eastAsia="en-US"/>
              </w:rPr>
            </w:pPr>
            <w:r w:rsidRPr="004D0DAA">
              <w:rPr>
                <w:b/>
                <w:bCs/>
                <w:lang w:eastAsia="en-US"/>
              </w:rPr>
              <w:t>MCS-1 Commanded</w:t>
            </w:r>
          </w:p>
        </w:tc>
      </w:tr>
      <w:tr w:rsidR="00711444" w:rsidRPr="004D0DAA" w14:paraId="31EF3F24" w14:textId="77777777" w:rsidTr="00AA2A4C">
        <w:tc>
          <w:tcPr>
            <w:tcW w:w="813" w:type="dxa"/>
            <w:shd w:val="clear" w:color="auto" w:fill="auto"/>
            <w:tcMar>
              <w:left w:w="28" w:type="dxa"/>
              <w:right w:w="28" w:type="dxa"/>
            </w:tcMar>
          </w:tcPr>
          <w:p w14:paraId="68309560" w14:textId="77777777" w:rsidR="00711444" w:rsidRPr="004D0DAA" w:rsidRDefault="00711444" w:rsidP="00AA2A4C">
            <w:pPr>
              <w:pStyle w:val="TAC"/>
              <w:rPr>
                <w:lang w:eastAsia="en-US"/>
              </w:rPr>
            </w:pPr>
            <w:r w:rsidRPr="004D0DAA">
              <w:rPr>
                <w:lang w:eastAsia="en-US"/>
              </w:rPr>
              <w:t>UAS-11</w:t>
            </w:r>
          </w:p>
        </w:tc>
        <w:tc>
          <w:tcPr>
            <w:tcW w:w="815" w:type="dxa"/>
            <w:shd w:val="clear" w:color="auto" w:fill="auto"/>
            <w:tcMar>
              <w:left w:w="28" w:type="dxa"/>
              <w:right w:w="28" w:type="dxa"/>
            </w:tcMar>
          </w:tcPr>
          <w:p w14:paraId="2ADF79AA" w14:textId="77777777" w:rsidR="00711444" w:rsidRPr="004D0DAA" w:rsidRDefault="00711444" w:rsidP="00AA2A4C">
            <w:pPr>
              <w:pStyle w:val="TAC"/>
              <w:rPr>
                <w:lang w:eastAsia="en-US"/>
              </w:rPr>
            </w:pPr>
            <w:r w:rsidRPr="004D0DAA">
              <w:rPr>
                <w:lang w:eastAsia="en-US"/>
              </w:rPr>
              <w:t>UAS-11</w:t>
            </w:r>
          </w:p>
        </w:tc>
        <w:tc>
          <w:tcPr>
            <w:tcW w:w="814" w:type="dxa"/>
            <w:shd w:val="clear" w:color="auto" w:fill="auto"/>
            <w:tcMar>
              <w:left w:w="28" w:type="dxa"/>
              <w:right w:w="28" w:type="dxa"/>
            </w:tcMar>
          </w:tcPr>
          <w:p w14:paraId="5A4B36EA" w14:textId="77777777" w:rsidR="00711444" w:rsidRPr="004D0DAA" w:rsidRDefault="00711444" w:rsidP="00AA2A4C">
            <w:pPr>
              <w:pStyle w:val="TAC"/>
              <w:rPr>
                <w:lang w:eastAsia="en-US"/>
              </w:rPr>
            </w:pPr>
            <w:r w:rsidRPr="004D0DAA">
              <w:rPr>
                <w:lang w:eastAsia="en-US"/>
              </w:rPr>
              <w:t>UAS-8</w:t>
            </w:r>
          </w:p>
        </w:tc>
        <w:tc>
          <w:tcPr>
            <w:tcW w:w="815" w:type="dxa"/>
            <w:shd w:val="clear" w:color="auto" w:fill="auto"/>
            <w:tcMar>
              <w:left w:w="28" w:type="dxa"/>
              <w:right w:w="28" w:type="dxa"/>
            </w:tcMar>
          </w:tcPr>
          <w:p w14:paraId="128685C7" w14:textId="77777777" w:rsidR="00711444" w:rsidRPr="004D0DAA" w:rsidRDefault="00711444" w:rsidP="00AA2A4C">
            <w:pPr>
              <w:pStyle w:val="TAC"/>
              <w:rPr>
                <w:lang w:eastAsia="en-US"/>
              </w:rPr>
            </w:pPr>
            <w:r w:rsidRPr="004D0DAA">
              <w:rPr>
                <w:lang w:eastAsia="en-US"/>
              </w:rPr>
              <w:t>UAS-8</w:t>
            </w:r>
          </w:p>
        </w:tc>
        <w:tc>
          <w:tcPr>
            <w:tcW w:w="814" w:type="dxa"/>
            <w:shd w:val="clear" w:color="auto" w:fill="auto"/>
            <w:tcMar>
              <w:left w:w="28" w:type="dxa"/>
              <w:right w:w="28" w:type="dxa"/>
            </w:tcMar>
          </w:tcPr>
          <w:p w14:paraId="4DC6E3CE" w14:textId="77777777" w:rsidR="00711444" w:rsidRPr="004D0DAA" w:rsidRDefault="00711444" w:rsidP="00AA2A4C">
            <w:pPr>
              <w:pStyle w:val="TAC"/>
              <w:rPr>
                <w:lang w:eastAsia="en-US"/>
              </w:rPr>
            </w:pPr>
            <w:r w:rsidRPr="004D0DAA">
              <w:rPr>
                <w:lang w:eastAsia="en-US"/>
              </w:rPr>
              <w:t>UAS-8</w:t>
            </w:r>
          </w:p>
        </w:tc>
        <w:tc>
          <w:tcPr>
            <w:tcW w:w="815" w:type="dxa"/>
            <w:shd w:val="clear" w:color="auto" w:fill="auto"/>
            <w:tcMar>
              <w:left w:w="28" w:type="dxa"/>
              <w:right w:w="28" w:type="dxa"/>
            </w:tcMar>
          </w:tcPr>
          <w:p w14:paraId="621E3EBC"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3" w:type="dxa"/>
            <w:shd w:val="clear" w:color="auto" w:fill="auto"/>
            <w:tcMar>
              <w:left w:w="28" w:type="dxa"/>
              <w:right w:w="28" w:type="dxa"/>
            </w:tcMar>
          </w:tcPr>
          <w:p w14:paraId="3D599787"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5" w:type="dxa"/>
            <w:shd w:val="clear" w:color="auto" w:fill="auto"/>
            <w:tcMar>
              <w:left w:w="28" w:type="dxa"/>
              <w:right w:w="28" w:type="dxa"/>
            </w:tcMar>
          </w:tcPr>
          <w:p w14:paraId="3116D8BB"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54854ABC"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1890EF1B"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0B31AC5D"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9" w:type="dxa"/>
            <w:shd w:val="clear" w:color="auto" w:fill="auto"/>
            <w:tcMar>
              <w:left w:w="28" w:type="dxa"/>
              <w:right w:w="28" w:type="dxa"/>
            </w:tcMar>
          </w:tcPr>
          <w:p w14:paraId="0BAE1F31"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r>
      <w:tr w:rsidR="00711444" w:rsidRPr="004D0DAA" w14:paraId="5F4F2533" w14:textId="77777777" w:rsidTr="00AA2A4C">
        <w:tc>
          <w:tcPr>
            <w:tcW w:w="813" w:type="dxa"/>
            <w:shd w:val="clear" w:color="auto" w:fill="auto"/>
            <w:tcMar>
              <w:left w:w="28" w:type="dxa"/>
              <w:right w:w="28" w:type="dxa"/>
            </w:tcMar>
          </w:tcPr>
          <w:p w14:paraId="42562597" w14:textId="77777777" w:rsidR="00711444" w:rsidRPr="004D0DAA" w:rsidRDefault="00711444" w:rsidP="00AA2A4C">
            <w:pPr>
              <w:pStyle w:val="TAC"/>
              <w:rPr>
                <w:lang w:eastAsia="en-US"/>
              </w:rPr>
            </w:pPr>
            <w:r w:rsidRPr="004D0DAA">
              <w:rPr>
                <w:lang w:eastAsia="en-US"/>
              </w:rPr>
              <w:t>UAS-10</w:t>
            </w:r>
          </w:p>
        </w:tc>
        <w:tc>
          <w:tcPr>
            <w:tcW w:w="815" w:type="dxa"/>
            <w:shd w:val="clear" w:color="auto" w:fill="auto"/>
            <w:tcMar>
              <w:left w:w="28" w:type="dxa"/>
              <w:right w:w="28" w:type="dxa"/>
            </w:tcMar>
          </w:tcPr>
          <w:p w14:paraId="7DECDFB4" w14:textId="77777777" w:rsidR="00711444" w:rsidRPr="004D0DAA" w:rsidRDefault="00711444" w:rsidP="00AA2A4C">
            <w:pPr>
              <w:pStyle w:val="TAC"/>
              <w:rPr>
                <w:lang w:eastAsia="en-US"/>
              </w:rPr>
            </w:pPr>
            <w:r w:rsidRPr="004D0DAA">
              <w:rPr>
                <w:lang w:eastAsia="en-US"/>
              </w:rPr>
              <w:t>UAS-10</w:t>
            </w:r>
          </w:p>
        </w:tc>
        <w:tc>
          <w:tcPr>
            <w:tcW w:w="814" w:type="dxa"/>
            <w:shd w:val="clear" w:color="auto" w:fill="auto"/>
            <w:tcMar>
              <w:left w:w="28" w:type="dxa"/>
              <w:right w:w="28" w:type="dxa"/>
            </w:tcMar>
          </w:tcPr>
          <w:p w14:paraId="034EF208" w14:textId="77777777" w:rsidR="00711444" w:rsidRPr="004D0DAA" w:rsidRDefault="00711444" w:rsidP="00AA2A4C">
            <w:pPr>
              <w:pStyle w:val="TAC"/>
              <w:rPr>
                <w:lang w:eastAsia="en-US"/>
              </w:rPr>
            </w:pPr>
            <w:r w:rsidRPr="004D0DAA">
              <w:rPr>
                <w:lang w:eastAsia="en-US"/>
              </w:rPr>
              <w:t>UAS-10</w:t>
            </w:r>
          </w:p>
        </w:tc>
        <w:tc>
          <w:tcPr>
            <w:tcW w:w="815" w:type="dxa"/>
            <w:shd w:val="clear" w:color="auto" w:fill="auto"/>
            <w:tcMar>
              <w:left w:w="28" w:type="dxa"/>
              <w:right w:w="28" w:type="dxa"/>
            </w:tcMar>
          </w:tcPr>
          <w:p w14:paraId="06A7D747" w14:textId="77777777" w:rsidR="00711444" w:rsidRPr="004D0DAA" w:rsidRDefault="00711444" w:rsidP="00AA2A4C">
            <w:pPr>
              <w:pStyle w:val="TAC"/>
              <w:rPr>
                <w:lang w:eastAsia="en-US"/>
              </w:rPr>
            </w:pPr>
            <w:r w:rsidRPr="004D0DAA">
              <w:rPr>
                <w:lang w:eastAsia="en-US"/>
              </w:rPr>
              <w:t>UAS-7</w:t>
            </w:r>
          </w:p>
        </w:tc>
        <w:tc>
          <w:tcPr>
            <w:tcW w:w="814" w:type="dxa"/>
            <w:shd w:val="clear" w:color="auto" w:fill="auto"/>
            <w:tcMar>
              <w:left w:w="28" w:type="dxa"/>
              <w:right w:w="28" w:type="dxa"/>
            </w:tcMar>
          </w:tcPr>
          <w:p w14:paraId="6FFA8560" w14:textId="77777777" w:rsidR="00711444" w:rsidRPr="004D0DAA" w:rsidRDefault="00711444" w:rsidP="00AA2A4C">
            <w:pPr>
              <w:pStyle w:val="TAC"/>
              <w:rPr>
                <w:lang w:eastAsia="en-US"/>
              </w:rPr>
            </w:pPr>
            <w:r w:rsidRPr="004D0DAA">
              <w:rPr>
                <w:lang w:eastAsia="en-US"/>
              </w:rPr>
              <w:t>UAS-7</w:t>
            </w:r>
          </w:p>
        </w:tc>
        <w:tc>
          <w:tcPr>
            <w:tcW w:w="815" w:type="dxa"/>
            <w:shd w:val="clear" w:color="auto" w:fill="auto"/>
            <w:tcMar>
              <w:left w:w="28" w:type="dxa"/>
              <w:right w:w="28" w:type="dxa"/>
            </w:tcMar>
          </w:tcPr>
          <w:p w14:paraId="78DBA8C0" w14:textId="77777777" w:rsidR="00711444" w:rsidRPr="004D0DAA" w:rsidRDefault="00711444" w:rsidP="00AA2A4C">
            <w:pPr>
              <w:pStyle w:val="TAC"/>
              <w:rPr>
                <w:lang w:eastAsia="en-US"/>
              </w:rPr>
            </w:pPr>
            <w:r w:rsidRPr="004D0DAA">
              <w:rPr>
                <w:lang w:eastAsia="en-US"/>
              </w:rPr>
              <w:t>UAS-7</w:t>
            </w:r>
          </w:p>
        </w:tc>
        <w:tc>
          <w:tcPr>
            <w:tcW w:w="813" w:type="dxa"/>
            <w:shd w:val="clear" w:color="auto" w:fill="auto"/>
            <w:tcMar>
              <w:left w:w="28" w:type="dxa"/>
              <w:right w:w="28" w:type="dxa"/>
            </w:tcMar>
          </w:tcPr>
          <w:p w14:paraId="1DE5CC9B" w14:textId="77777777" w:rsidR="00711444" w:rsidRPr="004D0DAA" w:rsidRDefault="00711444" w:rsidP="00AA2A4C">
            <w:pPr>
              <w:pStyle w:val="TAC"/>
              <w:rPr>
                <w:lang w:eastAsia="en-US"/>
              </w:rPr>
            </w:pPr>
            <w:r w:rsidRPr="004D0DAA">
              <w:rPr>
                <w:lang w:eastAsia="en-US"/>
              </w:rPr>
              <w:t>MCS-5</w:t>
            </w:r>
          </w:p>
        </w:tc>
        <w:tc>
          <w:tcPr>
            <w:tcW w:w="815" w:type="dxa"/>
            <w:shd w:val="clear" w:color="auto" w:fill="auto"/>
            <w:tcMar>
              <w:left w:w="28" w:type="dxa"/>
              <w:right w:w="28" w:type="dxa"/>
            </w:tcMar>
          </w:tcPr>
          <w:p w14:paraId="13E71DB8"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246BD34B"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5795A79B"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234BCA77" w14:textId="77777777" w:rsidR="00711444" w:rsidRPr="004D0DAA" w:rsidRDefault="00711444" w:rsidP="00AA2A4C">
            <w:pPr>
              <w:pStyle w:val="TAC"/>
              <w:rPr>
                <w:lang w:eastAsia="en-US"/>
              </w:rPr>
            </w:pPr>
            <w:r w:rsidRPr="004D0DAA">
              <w:rPr>
                <w:lang w:eastAsia="en-US"/>
              </w:rPr>
              <w:t>MCS-5</w:t>
            </w:r>
          </w:p>
        </w:tc>
        <w:tc>
          <w:tcPr>
            <w:tcW w:w="819" w:type="dxa"/>
            <w:shd w:val="clear" w:color="auto" w:fill="auto"/>
            <w:tcMar>
              <w:left w:w="28" w:type="dxa"/>
              <w:right w:w="28" w:type="dxa"/>
            </w:tcMar>
          </w:tcPr>
          <w:p w14:paraId="2DA2F2F3" w14:textId="77777777" w:rsidR="00711444" w:rsidRPr="004D0DAA" w:rsidRDefault="00711444" w:rsidP="00AA2A4C">
            <w:pPr>
              <w:pStyle w:val="TAC"/>
              <w:rPr>
                <w:lang w:eastAsia="en-US"/>
              </w:rPr>
            </w:pPr>
            <w:r w:rsidRPr="004D0DAA">
              <w:rPr>
                <w:lang w:eastAsia="en-US"/>
              </w:rPr>
              <w:t>MCS-5</w:t>
            </w:r>
          </w:p>
        </w:tc>
      </w:tr>
      <w:tr w:rsidR="00711444" w:rsidRPr="004D0DAA" w14:paraId="5E5FC015" w14:textId="77777777" w:rsidTr="00AA2A4C">
        <w:tc>
          <w:tcPr>
            <w:tcW w:w="813" w:type="dxa"/>
            <w:shd w:val="clear" w:color="auto" w:fill="auto"/>
            <w:tcMar>
              <w:left w:w="28" w:type="dxa"/>
              <w:right w:w="28" w:type="dxa"/>
            </w:tcMar>
          </w:tcPr>
          <w:p w14:paraId="7A52F5F5" w14:textId="77777777" w:rsidR="00711444" w:rsidRPr="004D0DAA" w:rsidRDefault="00711444" w:rsidP="00AA2A4C">
            <w:pPr>
              <w:pStyle w:val="TAC"/>
              <w:rPr>
                <w:lang w:eastAsia="en-US"/>
              </w:rPr>
            </w:pPr>
            <w:r w:rsidRPr="004D0DAA">
              <w:rPr>
                <w:lang w:eastAsia="en-US"/>
              </w:rPr>
              <w:t>UAS-9</w:t>
            </w:r>
          </w:p>
        </w:tc>
        <w:tc>
          <w:tcPr>
            <w:tcW w:w="815" w:type="dxa"/>
            <w:shd w:val="clear" w:color="auto" w:fill="auto"/>
            <w:tcMar>
              <w:left w:w="28" w:type="dxa"/>
              <w:right w:w="28" w:type="dxa"/>
            </w:tcMar>
          </w:tcPr>
          <w:p w14:paraId="5BB2AF70" w14:textId="77777777" w:rsidR="00711444" w:rsidRPr="004D0DAA" w:rsidRDefault="00711444" w:rsidP="00AA2A4C">
            <w:pPr>
              <w:pStyle w:val="TAC"/>
              <w:rPr>
                <w:lang w:eastAsia="en-US"/>
              </w:rPr>
            </w:pPr>
            <w:r w:rsidRPr="004D0DAA">
              <w:rPr>
                <w:lang w:eastAsia="en-US"/>
              </w:rPr>
              <w:t>UAS-9</w:t>
            </w:r>
          </w:p>
        </w:tc>
        <w:tc>
          <w:tcPr>
            <w:tcW w:w="814" w:type="dxa"/>
            <w:shd w:val="clear" w:color="auto" w:fill="auto"/>
            <w:tcMar>
              <w:left w:w="28" w:type="dxa"/>
              <w:right w:w="28" w:type="dxa"/>
            </w:tcMar>
          </w:tcPr>
          <w:p w14:paraId="71014A34" w14:textId="77777777" w:rsidR="00711444" w:rsidRPr="004D0DAA" w:rsidRDefault="00711444" w:rsidP="00AA2A4C">
            <w:pPr>
              <w:pStyle w:val="TAC"/>
              <w:rPr>
                <w:lang w:eastAsia="en-US"/>
              </w:rPr>
            </w:pPr>
            <w:r w:rsidRPr="004D0DAA">
              <w:rPr>
                <w:lang w:eastAsia="en-US"/>
              </w:rPr>
              <w:t>UAS-9</w:t>
            </w:r>
          </w:p>
        </w:tc>
        <w:tc>
          <w:tcPr>
            <w:tcW w:w="815" w:type="dxa"/>
            <w:shd w:val="clear" w:color="auto" w:fill="auto"/>
            <w:tcMar>
              <w:left w:w="28" w:type="dxa"/>
              <w:right w:w="28" w:type="dxa"/>
            </w:tcMar>
          </w:tcPr>
          <w:p w14:paraId="5988AA05" w14:textId="77777777" w:rsidR="00711444" w:rsidRPr="004D0DAA" w:rsidRDefault="00711444" w:rsidP="00AA2A4C">
            <w:pPr>
              <w:pStyle w:val="TAC"/>
              <w:rPr>
                <w:lang w:eastAsia="en-US"/>
              </w:rPr>
            </w:pPr>
            <w:r w:rsidRPr="004D0DAA">
              <w:rPr>
                <w:lang w:eastAsia="en-US"/>
              </w:rPr>
              <w:t>UAS-9</w:t>
            </w:r>
          </w:p>
        </w:tc>
        <w:tc>
          <w:tcPr>
            <w:tcW w:w="814" w:type="dxa"/>
            <w:shd w:val="clear" w:color="auto" w:fill="auto"/>
            <w:tcMar>
              <w:left w:w="28" w:type="dxa"/>
              <w:right w:w="28" w:type="dxa"/>
            </w:tcMar>
          </w:tcPr>
          <w:p w14:paraId="6AEF68D7" w14:textId="77777777" w:rsidR="00711444" w:rsidRPr="004D0DAA" w:rsidRDefault="00711444" w:rsidP="00AA2A4C">
            <w:pPr>
              <w:pStyle w:val="TAC"/>
              <w:rPr>
                <w:lang w:eastAsia="en-US"/>
              </w:rPr>
            </w:pPr>
            <w:r w:rsidRPr="004D0DAA">
              <w:rPr>
                <w:lang w:eastAsia="en-US"/>
              </w:rPr>
              <w:t>MCS-6</w:t>
            </w:r>
          </w:p>
        </w:tc>
        <w:tc>
          <w:tcPr>
            <w:tcW w:w="815" w:type="dxa"/>
            <w:shd w:val="clear" w:color="auto" w:fill="auto"/>
            <w:tcMar>
              <w:left w:w="28" w:type="dxa"/>
              <w:right w:w="28" w:type="dxa"/>
            </w:tcMar>
          </w:tcPr>
          <w:p w14:paraId="7D95F6F0" w14:textId="77777777" w:rsidR="00711444" w:rsidRPr="004D0DAA" w:rsidRDefault="00711444" w:rsidP="00AA2A4C">
            <w:pPr>
              <w:pStyle w:val="TAC"/>
              <w:rPr>
                <w:lang w:eastAsia="en-US"/>
              </w:rPr>
            </w:pPr>
            <w:r w:rsidRPr="004D0DAA">
              <w:rPr>
                <w:lang w:eastAsia="en-US"/>
              </w:rPr>
              <w:t>MCS-6</w:t>
            </w:r>
          </w:p>
        </w:tc>
        <w:tc>
          <w:tcPr>
            <w:tcW w:w="813" w:type="dxa"/>
            <w:shd w:val="clear" w:color="auto" w:fill="auto"/>
            <w:tcMar>
              <w:left w:w="28" w:type="dxa"/>
              <w:right w:w="28" w:type="dxa"/>
            </w:tcMar>
          </w:tcPr>
          <w:p w14:paraId="7D2F58AF" w14:textId="77777777" w:rsidR="00711444" w:rsidRPr="004D0DAA" w:rsidRDefault="00711444" w:rsidP="00AA2A4C">
            <w:pPr>
              <w:pStyle w:val="TAC"/>
              <w:rPr>
                <w:lang w:eastAsia="en-US"/>
              </w:rPr>
            </w:pPr>
            <w:r w:rsidRPr="004D0DAA">
              <w:rPr>
                <w:lang w:eastAsia="en-US"/>
              </w:rPr>
              <w:t>MCS-6</w:t>
            </w:r>
          </w:p>
        </w:tc>
        <w:tc>
          <w:tcPr>
            <w:tcW w:w="815" w:type="dxa"/>
            <w:shd w:val="clear" w:color="auto" w:fill="auto"/>
            <w:tcMar>
              <w:left w:w="28" w:type="dxa"/>
              <w:right w:w="28" w:type="dxa"/>
            </w:tcMar>
          </w:tcPr>
          <w:p w14:paraId="1C6A2963"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2FC27F87"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53A3193C"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330BFFAB" w14:textId="77777777" w:rsidR="00711444" w:rsidRPr="004D0DAA" w:rsidRDefault="00711444" w:rsidP="00AA2A4C">
            <w:pPr>
              <w:pStyle w:val="TAC"/>
              <w:rPr>
                <w:lang w:eastAsia="en-US"/>
              </w:rPr>
            </w:pPr>
            <w:r w:rsidRPr="004D0DAA">
              <w:rPr>
                <w:lang w:eastAsia="en-US"/>
              </w:rPr>
              <w:t>MCS-6</w:t>
            </w:r>
          </w:p>
        </w:tc>
        <w:tc>
          <w:tcPr>
            <w:tcW w:w="819" w:type="dxa"/>
            <w:shd w:val="clear" w:color="auto" w:fill="auto"/>
            <w:tcMar>
              <w:left w:w="28" w:type="dxa"/>
              <w:right w:w="28" w:type="dxa"/>
            </w:tcMar>
          </w:tcPr>
          <w:p w14:paraId="6E5C1A09" w14:textId="77777777" w:rsidR="00711444" w:rsidRPr="004D0DAA" w:rsidRDefault="00711444" w:rsidP="00AA2A4C">
            <w:pPr>
              <w:pStyle w:val="TAC"/>
              <w:rPr>
                <w:lang w:eastAsia="en-US"/>
              </w:rPr>
            </w:pPr>
            <w:r w:rsidRPr="004D0DAA">
              <w:rPr>
                <w:lang w:eastAsia="en-US"/>
              </w:rPr>
              <w:t>MCS-6</w:t>
            </w:r>
          </w:p>
        </w:tc>
      </w:tr>
      <w:tr w:rsidR="00711444" w:rsidRPr="004D0DAA" w14:paraId="0C035AF1" w14:textId="77777777" w:rsidTr="00AA2A4C">
        <w:tc>
          <w:tcPr>
            <w:tcW w:w="813" w:type="dxa"/>
            <w:shd w:val="clear" w:color="auto" w:fill="auto"/>
            <w:tcMar>
              <w:left w:w="28" w:type="dxa"/>
              <w:right w:w="28" w:type="dxa"/>
            </w:tcMar>
          </w:tcPr>
          <w:p w14:paraId="1A58C65D" w14:textId="77777777" w:rsidR="00711444" w:rsidRPr="004D0DAA" w:rsidRDefault="00711444" w:rsidP="00AA2A4C">
            <w:pPr>
              <w:pStyle w:val="TAC"/>
              <w:rPr>
                <w:lang w:eastAsia="en-US"/>
              </w:rPr>
            </w:pPr>
            <w:r w:rsidRPr="004D0DAA">
              <w:rPr>
                <w:lang w:eastAsia="en-US"/>
              </w:rPr>
              <w:t>UAS-8</w:t>
            </w:r>
          </w:p>
        </w:tc>
        <w:tc>
          <w:tcPr>
            <w:tcW w:w="815" w:type="dxa"/>
            <w:shd w:val="clear" w:color="auto" w:fill="auto"/>
            <w:tcMar>
              <w:left w:w="28" w:type="dxa"/>
              <w:right w:w="28" w:type="dxa"/>
            </w:tcMar>
          </w:tcPr>
          <w:p w14:paraId="5ABEA45E" w14:textId="77777777" w:rsidR="00711444" w:rsidRPr="004D0DAA" w:rsidRDefault="00711444" w:rsidP="00AA2A4C">
            <w:pPr>
              <w:pStyle w:val="TAC"/>
              <w:rPr>
                <w:lang w:eastAsia="en-US"/>
              </w:rPr>
            </w:pPr>
            <w:r w:rsidRPr="004D0DAA">
              <w:rPr>
                <w:lang w:eastAsia="en-US"/>
              </w:rPr>
              <w:t>UAS-11</w:t>
            </w:r>
          </w:p>
        </w:tc>
        <w:tc>
          <w:tcPr>
            <w:tcW w:w="814" w:type="dxa"/>
            <w:shd w:val="clear" w:color="auto" w:fill="auto"/>
            <w:tcMar>
              <w:left w:w="28" w:type="dxa"/>
              <w:right w:w="28" w:type="dxa"/>
            </w:tcMar>
          </w:tcPr>
          <w:p w14:paraId="5EB48808" w14:textId="77777777" w:rsidR="00711444" w:rsidRPr="004D0DAA" w:rsidRDefault="00711444" w:rsidP="00AA2A4C">
            <w:pPr>
              <w:pStyle w:val="TAC"/>
              <w:rPr>
                <w:lang w:eastAsia="en-US"/>
              </w:rPr>
            </w:pPr>
            <w:r w:rsidRPr="004D0DAA">
              <w:rPr>
                <w:lang w:eastAsia="en-US"/>
              </w:rPr>
              <w:t>UAS-8</w:t>
            </w:r>
          </w:p>
        </w:tc>
        <w:tc>
          <w:tcPr>
            <w:tcW w:w="815" w:type="dxa"/>
            <w:shd w:val="clear" w:color="auto" w:fill="auto"/>
            <w:tcMar>
              <w:left w:w="28" w:type="dxa"/>
              <w:right w:w="28" w:type="dxa"/>
            </w:tcMar>
          </w:tcPr>
          <w:p w14:paraId="4ED38B99" w14:textId="77777777" w:rsidR="00711444" w:rsidRPr="004D0DAA" w:rsidRDefault="00711444" w:rsidP="00AA2A4C">
            <w:pPr>
              <w:pStyle w:val="TAC"/>
              <w:rPr>
                <w:lang w:eastAsia="en-US"/>
              </w:rPr>
            </w:pPr>
            <w:r w:rsidRPr="004D0DAA">
              <w:rPr>
                <w:lang w:eastAsia="en-US"/>
              </w:rPr>
              <w:t>UAS-8</w:t>
            </w:r>
          </w:p>
        </w:tc>
        <w:tc>
          <w:tcPr>
            <w:tcW w:w="814" w:type="dxa"/>
            <w:shd w:val="clear" w:color="auto" w:fill="auto"/>
            <w:tcMar>
              <w:left w:w="28" w:type="dxa"/>
              <w:right w:w="28" w:type="dxa"/>
            </w:tcMar>
          </w:tcPr>
          <w:p w14:paraId="249F4D9E" w14:textId="77777777" w:rsidR="00711444" w:rsidRPr="004D0DAA" w:rsidRDefault="00711444" w:rsidP="00AA2A4C">
            <w:pPr>
              <w:pStyle w:val="TAC"/>
              <w:rPr>
                <w:lang w:eastAsia="en-US"/>
              </w:rPr>
            </w:pPr>
            <w:r w:rsidRPr="004D0DAA">
              <w:rPr>
                <w:lang w:eastAsia="en-US"/>
              </w:rPr>
              <w:t>UAS-8</w:t>
            </w:r>
          </w:p>
        </w:tc>
        <w:tc>
          <w:tcPr>
            <w:tcW w:w="815" w:type="dxa"/>
            <w:shd w:val="clear" w:color="auto" w:fill="auto"/>
            <w:tcMar>
              <w:left w:w="28" w:type="dxa"/>
              <w:right w:w="28" w:type="dxa"/>
            </w:tcMar>
          </w:tcPr>
          <w:p w14:paraId="0E71627F"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3" w:type="dxa"/>
            <w:shd w:val="clear" w:color="auto" w:fill="auto"/>
            <w:tcMar>
              <w:left w:w="28" w:type="dxa"/>
              <w:right w:w="28" w:type="dxa"/>
            </w:tcMar>
          </w:tcPr>
          <w:p w14:paraId="2EDC492D"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5" w:type="dxa"/>
            <w:shd w:val="clear" w:color="auto" w:fill="auto"/>
            <w:tcMar>
              <w:left w:w="28" w:type="dxa"/>
              <w:right w:w="28" w:type="dxa"/>
            </w:tcMar>
          </w:tcPr>
          <w:p w14:paraId="53F00F2D"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3B83044B"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2C488E02"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4" w:type="dxa"/>
            <w:shd w:val="clear" w:color="auto" w:fill="auto"/>
            <w:tcMar>
              <w:left w:w="28" w:type="dxa"/>
              <w:right w:w="28" w:type="dxa"/>
            </w:tcMar>
          </w:tcPr>
          <w:p w14:paraId="767CB79E"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c>
          <w:tcPr>
            <w:tcW w:w="819" w:type="dxa"/>
            <w:shd w:val="clear" w:color="auto" w:fill="auto"/>
            <w:tcMar>
              <w:left w:w="28" w:type="dxa"/>
              <w:right w:w="28" w:type="dxa"/>
            </w:tcMar>
          </w:tcPr>
          <w:p w14:paraId="299D20E3" w14:textId="77777777" w:rsidR="00711444" w:rsidRPr="004D0DAA" w:rsidRDefault="00711444" w:rsidP="00AA2A4C">
            <w:pPr>
              <w:pStyle w:val="TAC"/>
              <w:rPr>
                <w:lang w:eastAsia="en-US"/>
              </w:rPr>
            </w:pPr>
            <w:r w:rsidRPr="004D0DAA">
              <w:rPr>
                <w:lang w:eastAsia="en-US"/>
              </w:rPr>
              <w:t>MCS-6</w:t>
            </w:r>
            <w:r w:rsidRPr="004D0DAA">
              <w:rPr>
                <w:lang w:eastAsia="en-US"/>
              </w:rPr>
              <w:br/>
              <w:t>(pad)</w:t>
            </w:r>
          </w:p>
        </w:tc>
      </w:tr>
      <w:tr w:rsidR="00711444" w:rsidRPr="004D0DAA" w14:paraId="6EF2EA56" w14:textId="77777777" w:rsidTr="00AA2A4C">
        <w:tc>
          <w:tcPr>
            <w:tcW w:w="813" w:type="dxa"/>
            <w:shd w:val="clear" w:color="auto" w:fill="auto"/>
            <w:tcMar>
              <w:left w:w="28" w:type="dxa"/>
              <w:right w:w="28" w:type="dxa"/>
            </w:tcMar>
          </w:tcPr>
          <w:p w14:paraId="77C4850C" w14:textId="77777777" w:rsidR="00711444" w:rsidRPr="004D0DAA" w:rsidRDefault="00711444" w:rsidP="00AA2A4C">
            <w:pPr>
              <w:pStyle w:val="TAC"/>
              <w:rPr>
                <w:lang w:eastAsia="en-US"/>
              </w:rPr>
            </w:pPr>
            <w:r w:rsidRPr="004D0DAA">
              <w:rPr>
                <w:lang w:eastAsia="en-US"/>
              </w:rPr>
              <w:t>UAS-7</w:t>
            </w:r>
          </w:p>
        </w:tc>
        <w:tc>
          <w:tcPr>
            <w:tcW w:w="815" w:type="dxa"/>
            <w:shd w:val="clear" w:color="auto" w:fill="auto"/>
            <w:tcMar>
              <w:left w:w="28" w:type="dxa"/>
              <w:right w:w="28" w:type="dxa"/>
            </w:tcMar>
          </w:tcPr>
          <w:p w14:paraId="493111B9" w14:textId="77777777" w:rsidR="00711444" w:rsidRPr="004D0DAA" w:rsidRDefault="00711444" w:rsidP="00AA2A4C">
            <w:pPr>
              <w:pStyle w:val="TAC"/>
              <w:rPr>
                <w:lang w:eastAsia="en-US"/>
              </w:rPr>
            </w:pPr>
            <w:r w:rsidRPr="004D0DAA">
              <w:rPr>
                <w:lang w:eastAsia="en-US"/>
              </w:rPr>
              <w:t>UAS-10</w:t>
            </w:r>
          </w:p>
        </w:tc>
        <w:tc>
          <w:tcPr>
            <w:tcW w:w="814" w:type="dxa"/>
            <w:shd w:val="clear" w:color="auto" w:fill="auto"/>
            <w:tcMar>
              <w:left w:w="28" w:type="dxa"/>
              <w:right w:w="28" w:type="dxa"/>
            </w:tcMar>
          </w:tcPr>
          <w:p w14:paraId="7A81C37D" w14:textId="77777777" w:rsidR="00711444" w:rsidRPr="004D0DAA" w:rsidRDefault="00711444" w:rsidP="00AA2A4C">
            <w:pPr>
              <w:pStyle w:val="TAC"/>
              <w:rPr>
                <w:lang w:eastAsia="en-US"/>
              </w:rPr>
            </w:pPr>
            <w:r w:rsidRPr="004D0DAA">
              <w:rPr>
                <w:lang w:eastAsia="en-US"/>
              </w:rPr>
              <w:t>UAS-10</w:t>
            </w:r>
          </w:p>
        </w:tc>
        <w:tc>
          <w:tcPr>
            <w:tcW w:w="815" w:type="dxa"/>
            <w:shd w:val="clear" w:color="auto" w:fill="auto"/>
            <w:tcMar>
              <w:left w:w="28" w:type="dxa"/>
              <w:right w:w="28" w:type="dxa"/>
            </w:tcMar>
          </w:tcPr>
          <w:p w14:paraId="5F359815" w14:textId="77777777" w:rsidR="00711444" w:rsidRPr="004D0DAA" w:rsidRDefault="00711444" w:rsidP="00AA2A4C">
            <w:pPr>
              <w:pStyle w:val="TAC"/>
              <w:rPr>
                <w:lang w:eastAsia="en-US"/>
              </w:rPr>
            </w:pPr>
            <w:r w:rsidRPr="004D0DAA">
              <w:rPr>
                <w:lang w:eastAsia="en-US"/>
              </w:rPr>
              <w:t>UAS-7</w:t>
            </w:r>
          </w:p>
        </w:tc>
        <w:tc>
          <w:tcPr>
            <w:tcW w:w="814" w:type="dxa"/>
            <w:shd w:val="clear" w:color="auto" w:fill="auto"/>
            <w:tcMar>
              <w:left w:w="28" w:type="dxa"/>
              <w:right w:w="28" w:type="dxa"/>
            </w:tcMar>
          </w:tcPr>
          <w:p w14:paraId="26183945" w14:textId="77777777" w:rsidR="00711444" w:rsidRPr="004D0DAA" w:rsidRDefault="00711444" w:rsidP="00AA2A4C">
            <w:pPr>
              <w:pStyle w:val="TAC"/>
              <w:rPr>
                <w:lang w:eastAsia="en-US"/>
              </w:rPr>
            </w:pPr>
            <w:r w:rsidRPr="004D0DAA">
              <w:rPr>
                <w:lang w:eastAsia="en-US"/>
              </w:rPr>
              <w:t>UAS-7</w:t>
            </w:r>
          </w:p>
        </w:tc>
        <w:tc>
          <w:tcPr>
            <w:tcW w:w="815" w:type="dxa"/>
            <w:shd w:val="clear" w:color="auto" w:fill="auto"/>
            <w:tcMar>
              <w:left w:w="28" w:type="dxa"/>
              <w:right w:w="28" w:type="dxa"/>
            </w:tcMar>
          </w:tcPr>
          <w:p w14:paraId="0A59C52A" w14:textId="77777777" w:rsidR="00711444" w:rsidRPr="004D0DAA" w:rsidRDefault="00711444" w:rsidP="00AA2A4C">
            <w:pPr>
              <w:pStyle w:val="TAC"/>
              <w:rPr>
                <w:lang w:eastAsia="en-US"/>
              </w:rPr>
            </w:pPr>
            <w:r w:rsidRPr="004D0DAA">
              <w:rPr>
                <w:lang w:eastAsia="en-US"/>
              </w:rPr>
              <w:t>UAS-7</w:t>
            </w:r>
          </w:p>
        </w:tc>
        <w:tc>
          <w:tcPr>
            <w:tcW w:w="813" w:type="dxa"/>
            <w:shd w:val="clear" w:color="auto" w:fill="auto"/>
            <w:tcMar>
              <w:left w:w="28" w:type="dxa"/>
              <w:right w:w="28" w:type="dxa"/>
            </w:tcMar>
          </w:tcPr>
          <w:p w14:paraId="30ED9F78" w14:textId="77777777" w:rsidR="00711444" w:rsidRPr="004D0DAA" w:rsidRDefault="00711444" w:rsidP="00AA2A4C">
            <w:pPr>
              <w:pStyle w:val="TAC"/>
              <w:rPr>
                <w:lang w:eastAsia="en-US"/>
              </w:rPr>
            </w:pPr>
            <w:r w:rsidRPr="004D0DAA">
              <w:rPr>
                <w:lang w:eastAsia="en-US"/>
              </w:rPr>
              <w:t>MCS-5</w:t>
            </w:r>
          </w:p>
        </w:tc>
        <w:tc>
          <w:tcPr>
            <w:tcW w:w="815" w:type="dxa"/>
            <w:shd w:val="clear" w:color="auto" w:fill="auto"/>
            <w:tcMar>
              <w:left w:w="28" w:type="dxa"/>
              <w:right w:w="28" w:type="dxa"/>
            </w:tcMar>
          </w:tcPr>
          <w:p w14:paraId="270B95D0"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027F1087"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5FA9B4DA"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0C8BF6AD" w14:textId="77777777" w:rsidR="00711444" w:rsidRPr="004D0DAA" w:rsidRDefault="00711444" w:rsidP="00AA2A4C">
            <w:pPr>
              <w:pStyle w:val="TAC"/>
              <w:rPr>
                <w:lang w:eastAsia="en-US"/>
              </w:rPr>
            </w:pPr>
            <w:r w:rsidRPr="004D0DAA">
              <w:rPr>
                <w:lang w:eastAsia="en-US"/>
              </w:rPr>
              <w:t>MCS-5</w:t>
            </w:r>
          </w:p>
        </w:tc>
        <w:tc>
          <w:tcPr>
            <w:tcW w:w="819" w:type="dxa"/>
            <w:shd w:val="clear" w:color="auto" w:fill="auto"/>
            <w:tcMar>
              <w:left w:w="28" w:type="dxa"/>
              <w:right w:w="28" w:type="dxa"/>
            </w:tcMar>
          </w:tcPr>
          <w:p w14:paraId="70830F68" w14:textId="77777777" w:rsidR="00711444" w:rsidRPr="004D0DAA" w:rsidRDefault="00711444" w:rsidP="00AA2A4C">
            <w:pPr>
              <w:pStyle w:val="TAC"/>
              <w:rPr>
                <w:lang w:eastAsia="en-US"/>
              </w:rPr>
            </w:pPr>
            <w:r w:rsidRPr="004D0DAA">
              <w:rPr>
                <w:lang w:eastAsia="en-US"/>
              </w:rPr>
              <w:t>MCS-5</w:t>
            </w:r>
          </w:p>
        </w:tc>
      </w:tr>
      <w:tr w:rsidR="00711444" w:rsidRPr="004D0DAA" w14:paraId="13D265F7" w14:textId="77777777" w:rsidTr="00AA2A4C">
        <w:tc>
          <w:tcPr>
            <w:tcW w:w="813" w:type="dxa"/>
            <w:shd w:val="clear" w:color="auto" w:fill="auto"/>
            <w:tcMar>
              <w:left w:w="28" w:type="dxa"/>
              <w:right w:w="28" w:type="dxa"/>
            </w:tcMar>
          </w:tcPr>
          <w:p w14:paraId="7814D242" w14:textId="77777777" w:rsidR="00711444" w:rsidRPr="004D0DAA" w:rsidRDefault="00711444" w:rsidP="00AA2A4C">
            <w:pPr>
              <w:pStyle w:val="TAC"/>
              <w:rPr>
                <w:lang w:eastAsia="en-US"/>
              </w:rPr>
            </w:pPr>
            <w:r w:rsidRPr="004D0DAA">
              <w:rPr>
                <w:lang w:eastAsia="en-US"/>
              </w:rPr>
              <w:t>MCS-6</w:t>
            </w:r>
          </w:p>
        </w:tc>
        <w:tc>
          <w:tcPr>
            <w:tcW w:w="815" w:type="dxa"/>
            <w:shd w:val="clear" w:color="auto" w:fill="auto"/>
            <w:tcMar>
              <w:left w:w="28" w:type="dxa"/>
              <w:right w:w="28" w:type="dxa"/>
            </w:tcMar>
          </w:tcPr>
          <w:p w14:paraId="51D33944" w14:textId="77777777" w:rsidR="00711444" w:rsidRPr="004D0DAA" w:rsidRDefault="00711444" w:rsidP="00AA2A4C">
            <w:pPr>
              <w:pStyle w:val="TAC"/>
              <w:rPr>
                <w:lang w:eastAsia="en-US"/>
              </w:rPr>
            </w:pPr>
            <w:r w:rsidRPr="004D0DAA">
              <w:rPr>
                <w:lang w:eastAsia="en-US"/>
              </w:rPr>
              <w:t>UAS-9</w:t>
            </w:r>
          </w:p>
        </w:tc>
        <w:tc>
          <w:tcPr>
            <w:tcW w:w="814" w:type="dxa"/>
            <w:shd w:val="clear" w:color="auto" w:fill="auto"/>
            <w:tcMar>
              <w:left w:w="28" w:type="dxa"/>
              <w:right w:w="28" w:type="dxa"/>
            </w:tcMar>
          </w:tcPr>
          <w:p w14:paraId="2F48D952" w14:textId="77777777" w:rsidR="00711444" w:rsidRPr="004D0DAA" w:rsidRDefault="00711444" w:rsidP="00AA2A4C">
            <w:pPr>
              <w:pStyle w:val="TAC"/>
              <w:rPr>
                <w:lang w:eastAsia="en-US"/>
              </w:rPr>
            </w:pPr>
            <w:r w:rsidRPr="004D0DAA">
              <w:rPr>
                <w:lang w:eastAsia="en-US"/>
              </w:rPr>
              <w:t>UAS-9</w:t>
            </w:r>
          </w:p>
        </w:tc>
        <w:tc>
          <w:tcPr>
            <w:tcW w:w="815" w:type="dxa"/>
            <w:shd w:val="clear" w:color="auto" w:fill="auto"/>
            <w:tcMar>
              <w:left w:w="28" w:type="dxa"/>
              <w:right w:w="28" w:type="dxa"/>
            </w:tcMar>
          </w:tcPr>
          <w:p w14:paraId="18C5DCAF" w14:textId="77777777" w:rsidR="00711444" w:rsidRPr="004D0DAA" w:rsidRDefault="00711444" w:rsidP="00AA2A4C">
            <w:pPr>
              <w:pStyle w:val="TAC"/>
              <w:rPr>
                <w:lang w:eastAsia="en-US"/>
              </w:rPr>
            </w:pPr>
            <w:r w:rsidRPr="004D0DAA">
              <w:rPr>
                <w:lang w:eastAsia="en-US"/>
              </w:rPr>
              <w:t>UAS-9</w:t>
            </w:r>
          </w:p>
        </w:tc>
        <w:tc>
          <w:tcPr>
            <w:tcW w:w="814" w:type="dxa"/>
            <w:shd w:val="clear" w:color="auto" w:fill="auto"/>
            <w:tcMar>
              <w:left w:w="28" w:type="dxa"/>
              <w:right w:w="28" w:type="dxa"/>
            </w:tcMar>
          </w:tcPr>
          <w:p w14:paraId="79AFDA65" w14:textId="77777777" w:rsidR="00711444" w:rsidRPr="004D0DAA" w:rsidRDefault="00711444" w:rsidP="00AA2A4C">
            <w:pPr>
              <w:pStyle w:val="TAC"/>
              <w:rPr>
                <w:lang w:eastAsia="en-US"/>
              </w:rPr>
            </w:pPr>
            <w:r w:rsidRPr="004D0DAA">
              <w:rPr>
                <w:lang w:eastAsia="en-US"/>
              </w:rPr>
              <w:t>MCS-6</w:t>
            </w:r>
          </w:p>
        </w:tc>
        <w:tc>
          <w:tcPr>
            <w:tcW w:w="815" w:type="dxa"/>
            <w:shd w:val="clear" w:color="auto" w:fill="auto"/>
            <w:tcMar>
              <w:left w:w="28" w:type="dxa"/>
              <w:right w:w="28" w:type="dxa"/>
            </w:tcMar>
          </w:tcPr>
          <w:p w14:paraId="6A5A5710" w14:textId="77777777" w:rsidR="00711444" w:rsidRPr="004D0DAA" w:rsidRDefault="00711444" w:rsidP="00AA2A4C">
            <w:pPr>
              <w:pStyle w:val="TAC"/>
              <w:rPr>
                <w:lang w:eastAsia="en-US"/>
              </w:rPr>
            </w:pPr>
            <w:r w:rsidRPr="004D0DAA">
              <w:rPr>
                <w:lang w:eastAsia="en-US"/>
              </w:rPr>
              <w:t>MCS-6</w:t>
            </w:r>
          </w:p>
        </w:tc>
        <w:tc>
          <w:tcPr>
            <w:tcW w:w="813" w:type="dxa"/>
            <w:shd w:val="clear" w:color="auto" w:fill="auto"/>
            <w:tcMar>
              <w:left w:w="28" w:type="dxa"/>
              <w:right w:w="28" w:type="dxa"/>
            </w:tcMar>
          </w:tcPr>
          <w:p w14:paraId="26CB031D" w14:textId="77777777" w:rsidR="00711444" w:rsidRPr="004D0DAA" w:rsidRDefault="00711444" w:rsidP="00AA2A4C">
            <w:pPr>
              <w:pStyle w:val="TAC"/>
              <w:rPr>
                <w:lang w:eastAsia="en-US"/>
              </w:rPr>
            </w:pPr>
            <w:r w:rsidRPr="004D0DAA">
              <w:rPr>
                <w:lang w:eastAsia="en-US"/>
              </w:rPr>
              <w:t>MCS-6</w:t>
            </w:r>
          </w:p>
        </w:tc>
        <w:tc>
          <w:tcPr>
            <w:tcW w:w="815" w:type="dxa"/>
            <w:shd w:val="clear" w:color="auto" w:fill="auto"/>
            <w:tcMar>
              <w:left w:w="28" w:type="dxa"/>
              <w:right w:w="28" w:type="dxa"/>
            </w:tcMar>
          </w:tcPr>
          <w:p w14:paraId="55434481"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10A7E1F5"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1394265C" w14:textId="77777777" w:rsidR="00711444" w:rsidRPr="004D0DAA" w:rsidRDefault="00711444" w:rsidP="00AA2A4C">
            <w:pPr>
              <w:pStyle w:val="TAC"/>
              <w:rPr>
                <w:lang w:eastAsia="en-US"/>
              </w:rPr>
            </w:pPr>
            <w:r w:rsidRPr="004D0DAA">
              <w:rPr>
                <w:lang w:eastAsia="en-US"/>
              </w:rPr>
              <w:t>MCS-6</w:t>
            </w:r>
          </w:p>
        </w:tc>
        <w:tc>
          <w:tcPr>
            <w:tcW w:w="814" w:type="dxa"/>
            <w:shd w:val="clear" w:color="auto" w:fill="auto"/>
            <w:tcMar>
              <w:left w:w="28" w:type="dxa"/>
              <w:right w:w="28" w:type="dxa"/>
            </w:tcMar>
          </w:tcPr>
          <w:p w14:paraId="35904D4C" w14:textId="77777777" w:rsidR="00711444" w:rsidRPr="004D0DAA" w:rsidRDefault="00711444" w:rsidP="00AA2A4C">
            <w:pPr>
              <w:pStyle w:val="TAC"/>
              <w:rPr>
                <w:lang w:eastAsia="en-US"/>
              </w:rPr>
            </w:pPr>
            <w:r w:rsidRPr="004D0DAA">
              <w:rPr>
                <w:lang w:eastAsia="en-US"/>
              </w:rPr>
              <w:t>MCS-6</w:t>
            </w:r>
          </w:p>
        </w:tc>
        <w:tc>
          <w:tcPr>
            <w:tcW w:w="819" w:type="dxa"/>
            <w:shd w:val="clear" w:color="auto" w:fill="auto"/>
            <w:tcMar>
              <w:left w:w="28" w:type="dxa"/>
              <w:right w:w="28" w:type="dxa"/>
            </w:tcMar>
          </w:tcPr>
          <w:p w14:paraId="7BF22716" w14:textId="77777777" w:rsidR="00711444" w:rsidRPr="004D0DAA" w:rsidRDefault="00711444" w:rsidP="00AA2A4C">
            <w:pPr>
              <w:pStyle w:val="TAC"/>
              <w:rPr>
                <w:lang w:eastAsia="en-US"/>
              </w:rPr>
            </w:pPr>
            <w:r w:rsidRPr="004D0DAA">
              <w:rPr>
                <w:lang w:eastAsia="en-US"/>
              </w:rPr>
              <w:t>MCS-6</w:t>
            </w:r>
          </w:p>
        </w:tc>
      </w:tr>
      <w:tr w:rsidR="00711444" w:rsidRPr="004D0DAA" w14:paraId="71519397" w14:textId="77777777" w:rsidTr="00AA2A4C">
        <w:tc>
          <w:tcPr>
            <w:tcW w:w="813" w:type="dxa"/>
            <w:shd w:val="clear" w:color="auto" w:fill="auto"/>
            <w:tcMar>
              <w:left w:w="28" w:type="dxa"/>
              <w:right w:w="28" w:type="dxa"/>
            </w:tcMar>
          </w:tcPr>
          <w:p w14:paraId="099E68A9" w14:textId="77777777" w:rsidR="00711444" w:rsidRPr="004D0DAA" w:rsidRDefault="00711444" w:rsidP="00AA2A4C">
            <w:pPr>
              <w:pStyle w:val="TAC"/>
              <w:rPr>
                <w:lang w:eastAsia="en-US"/>
              </w:rPr>
            </w:pPr>
            <w:r w:rsidRPr="004D0DAA">
              <w:rPr>
                <w:lang w:eastAsia="en-US"/>
              </w:rPr>
              <w:t>MCS-5</w:t>
            </w:r>
          </w:p>
        </w:tc>
        <w:tc>
          <w:tcPr>
            <w:tcW w:w="815" w:type="dxa"/>
            <w:shd w:val="clear" w:color="auto" w:fill="auto"/>
            <w:tcMar>
              <w:left w:w="28" w:type="dxa"/>
              <w:right w:w="28" w:type="dxa"/>
            </w:tcMar>
          </w:tcPr>
          <w:p w14:paraId="1D21CA27" w14:textId="77777777" w:rsidR="00711444" w:rsidRPr="004D0DAA" w:rsidRDefault="00711444" w:rsidP="00AA2A4C">
            <w:pPr>
              <w:pStyle w:val="TAC"/>
              <w:rPr>
                <w:lang w:eastAsia="en-US"/>
              </w:rPr>
            </w:pPr>
            <w:r w:rsidRPr="004D0DAA">
              <w:rPr>
                <w:lang w:eastAsia="en-US"/>
              </w:rPr>
              <w:t>UAS-10</w:t>
            </w:r>
          </w:p>
        </w:tc>
        <w:tc>
          <w:tcPr>
            <w:tcW w:w="814" w:type="dxa"/>
            <w:shd w:val="clear" w:color="auto" w:fill="auto"/>
            <w:tcMar>
              <w:left w:w="28" w:type="dxa"/>
              <w:right w:w="28" w:type="dxa"/>
            </w:tcMar>
          </w:tcPr>
          <w:p w14:paraId="3454FAD5" w14:textId="77777777" w:rsidR="00711444" w:rsidRPr="004D0DAA" w:rsidRDefault="00711444" w:rsidP="00AA2A4C">
            <w:pPr>
              <w:pStyle w:val="TAC"/>
              <w:rPr>
                <w:lang w:eastAsia="en-US"/>
              </w:rPr>
            </w:pPr>
            <w:r w:rsidRPr="004D0DAA">
              <w:rPr>
                <w:lang w:eastAsia="en-US"/>
              </w:rPr>
              <w:t>UAS-10</w:t>
            </w:r>
          </w:p>
        </w:tc>
        <w:tc>
          <w:tcPr>
            <w:tcW w:w="815" w:type="dxa"/>
            <w:shd w:val="clear" w:color="auto" w:fill="auto"/>
            <w:tcMar>
              <w:left w:w="28" w:type="dxa"/>
              <w:right w:w="28" w:type="dxa"/>
            </w:tcMar>
          </w:tcPr>
          <w:p w14:paraId="3B278DDA" w14:textId="77777777" w:rsidR="00711444" w:rsidRPr="004D0DAA" w:rsidRDefault="00711444" w:rsidP="00AA2A4C">
            <w:pPr>
              <w:pStyle w:val="TAC"/>
              <w:rPr>
                <w:lang w:eastAsia="en-US"/>
              </w:rPr>
            </w:pPr>
            <w:r w:rsidRPr="004D0DAA">
              <w:rPr>
                <w:lang w:eastAsia="en-US"/>
              </w:rPr>
              <w:t>UAS-7</w:t>
            </w:r>
          </w:p>
        </w:tc>
        <w:tc>
          <w:tcPr>
            <w:tcW w:w="814" w:type="dxa"/>
            <w:shd w:val="clear" w:color="auto" w:fill="auto"/>
            <w:tcMar>
              <w:left w:w="28" w:type="dxa"/>
              <w:right w:w="28" w:type="dxa"/>
            </w:tcMar>
          </w:tcPr>
          <w:p w14:paraId="7779C12E" w14:textId="77777777" w:rsidR="00711444" w:rsidRPr="004D0DAA" w:rsidRDefault="00711444" w:rsidP="00AA2A4C">
            <w:pPr>
              <w:pStyle w:val="TAC"/>
              <w:rPr>
                <w:lang w:eastAsia="en-US"/>
              </w:rPr>
            </w:pPr>
            <w:r w:rsidRPr="004D0DAA">
              <w:rPr>
                <w:lang w:eastAsia="en-US"/>
              </w:rPr>
              <w:t>UAS-7</w:t>
            </w:r>
          </w:p>
        </w:tc>
        <w:tc>
          <w:tcPr>
            <w:tcW w:w="815" w:type="dxa"/>
            <w:shd w:val="clear" w:color="auto" w:fill="auto"/>
            <w:tcMar>
              <w:left w:w="28" w:type="dxa"/>
              <w:right w:w="28" w:type="dxa"/>
            </w:tcMar>
          </w:tcPr>
          <w:p w14:paraId="14F4EB83" w14:textId="77777777" w:rsidR="00711444" w:rsidRPr="004D0DAA" w:rsidRDefault="00711444" w:rsidP="00AA2A4C">
            <w:pPr>
              <w:pStyle w:val="TAC"/>
              <w:rPr>
                <w:lang w:eastAsia="en-US"/>
              </w:rPr>
            </w:pPr>
            <w:r w:rsidRPr="004D0DAA">
              <w:rPr>
                <w:lang w:eastAsia="en-US"/>
              </w:rPr>
              <w:t>UAS-7</w:t>
            </w:r>
          </w:p>
        </w:tc>
        <w:tc>
          <w:tcPr>
            <w:tcW w:w="813" w:type="dxa"/>
            <w:shd w:val="clear" w:color="auto" w:fill="auto"/>
            <w:tcMar>
              <w:left w:w="28" w:type="dxa"/>
              <w:right w:w="28" w:type="dxa"/>
            </w:tcMar>
          </w:tcPr>
          <w:p w14:paraId="12FBC65A" w14:textId="77777777" w:rsidR="00711444" w:rsidRPr="004D0DAA" w:rsidRDefault="00711444" w:rsidP="00AA2A4C">
            <w:pPr>
              <w:pStyle w:val="TAC"/>
              <w:rPr>
                <w:lang w:eastAsia="en-US"/>
              </w:rPr>
            </w:pPr>
            <w:r w:rsidRPr="004D0DAA">
              <w:rPr>
                <w:lang w:eastAsia="en-US"/>
              </w:rPr>
              <w:t>MCS-5</w:t>
            </w:r>
          </w:p>
        </w:tc>
        <w:tc>
          <w:tcPr>
            <w:tcW w:w="815" w:type="dxa"/>
            <w:shd w:val="clear" w:color="auto" w:fill="auto"/>
            <w:tcMar>
              <w:left w:w="28" w:type="dxa"/>
              <w:right w:w="28" w:type="dxa"/>
            </w:tcMar>
          </w:tcPr>
          <w:p w14:paraId="5FF5224A"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5A31688B"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34847968" w14:textId="77777777" w:rsidR="00711444" w:rsidRPr="004D0DAA" w:rsidRDefault="00711444" w:rsidP="00AA2A4C">
            <w:pPr>
              <w:pStyle w:val="TAC"/>
              <w:rPr>
                <w:lang w:eastAsia="en-US"/>
              </w:rPr>
            </w:pPr>
            <w:r w:rsidRPr="004D0DAA">
              <w:rPr>
                <w:lang w:eastAsia="en-US"/>
              </w:rPr>
              <w:t>MCS-5</w:t>
            </w:r>
          </w:p>
        </w:tc>
        <w:tc>
          <w:tcPr>
            <w:tcW w:w="814" w:type="dxa"/>
            <w:shd w:val="clear" w:color="auto" w:fill="auto"/>
            <w:tcMar>
              <w:left w:w="28" w:type="dxa"/>
              <w:right w:w="28" w:type="dxa"/>
            </w:tcMar>
          </w:tcPr>
          <w:p w14:paraId="59326D9C" w14:textId="77777777" w:rsidR="00711444" w:rsidRPr="004D0DAA" w:rsidRDefault="00711444" w:rsidP="00AA2A4C">
            <w:pPr>
              <w:pStyle w:val="TAC"/>
              <w:rPr>
                <w:lang w:eastAsia="en-US"/>
              </w:rPr>
            </w:pPr>
            <w:r w:rsidRPr="004D0DAA">
              <w:rPr>
                <w:lang w:eastAsia="en-US"/>
              </w:rPr>
              <w:t>MCS-5</w:t>
            </w:r>
          </w:p>
        </w:tc>
        <w:tc>
          <w:tcPr>
            <w:tcW w:w="819" w:type="dxa"/>
            <w:shd w:val="clear" w:color="auto" w:fill="auto"/>
            <w:tcMar>
              <w:left w:w="28" w:type="dxa"/>
              <w:right w:w="28" w:type="dxa"/>
            </w:tcMar>
          </w:tcPr>
          <w:p w14:paraId="7EA3E9E9" w14:textId="77777777" w:rsidR="00711444" w:rsidRPr="004D0DAA" w:rsidRDefault="00711444" w:rsidP="00AA2A4C">
            <w:pPr>
              <w:pStyle w:val="TAC"/>
              <w:rPr>
                <w:lang w:eastAsia="en-US"/>
              </w:rPr>
            </w:pPr>
            <w:r w:rsidRPr="004D0DAA">
              <w:rPr>
                <w:lang w:eastAsia="en-US"/>
              </w:rPr>
              <w:t>MCS-5</w:t>
            </w:r>
          </w:p>
        </w:tc>
      </w:tr>
      <w:tr w:rsidR="00711444" w:rsidRPr="004D0DAA" w14:paraId="180747FF" w14:textId="77777777" w:rsidTr="00AA2A4C">
        <w:tc>
          <w:tcPr>
            <w:tcW w:w="813" w:type="dxa"/>
            <w:shd w:val="clear" w:color="auto" w:fill="auto"/>
            <w:tcMar>
              <w:left w:w="28" w:type="dxa"/>
              <w:right w:w="28" w:type="dxa"/>
            </w:tcMar>
          </w:tcPr>
          <w:p w14:paraId="6198031C" w14:textId="77777777" w:rsidR="00711444" w:rsidRPr="004D0DAA" w:rsidRDefault="00711444" w:rsidP="00AA2A4C">
            <w:pPr>
              <w:pStyle w:val="TAC"/>
              <w:rPr>
                <w:lang w:eastAsia="en-US"/>
              </w:rPr>
            </w:pPr>
            <w:r w:rsidRPr="004D0DAA">
              <w:rPr>
                <w:lang w:eastAsia="en-US"/>
              </w:rPr>
              <w:t>MCS-4</w:t>
            </w:r>
          </w:p>
        </w:tc>
        <w:tc>
          <w:tcPr>
            <w:tcW w:w="815" w:type="dxa"/>
            <w:shd w:val="clear" w:color="auto" w:fill="auto"/>
            <w:tcMar>
              <w:left w:w="28" w:type="dxa"/>
              <w:right w:w="28" w:type="dxa"/>
            </w:tcMar>
          </w:tcPr>
          <w:p w14:paraId="1FBC41BC" w14:textId="77777777" w:rsidR="00711444" w:rsidRPr="004D0DAA" w:rsidRDefault="00711444" w:rsidP="00AA2A4C">
            <w:pPr>
              <w:pStyle w:val="TAC"/>
              <w:rPr>
                <w:lang w:eastAsia="en-US"/>
              </w:rPr>
            </w:pPr>
            <w:r w:rsidRPr="004D0DAA">
              <w:rPr>
                <w:lang w:eastAsia="en-US"/>
              </w:rPr>
              <w:t>MCS-4</w:t>
            </w:r>
          </w:p>
        </w:tc>
        <w:tc>
          <w:tcPr>
            <w:tcW w:w="814" w:type="dxa"/>
            <w:shd w:val="clear" w:color="auto" w:fill="auto"/>
            <w:tcMar>
              <w:left w:w="28" w:type="dxa"/>
              <w:right w:w="28" w:type="dxa"/>
            </w:tcMar>
          </w:tcPr>
          <w:p w14:paraId="143286BE" w14:textId="77777777" w:rsidR="00711444" w:rsidRPr="004D0DAA" w:rsidRDefault="00711444" w:rsidP="00AA2A4C">
            <w:pPr>
              <w:pStyle w:val="TAC"/>
              <w:rPr>
                <w:lang w:eastAsia="en-US"/>
              </w:rPr>
            </w:pPr>
            <w:r w:rsidRPr="004D0DAA">
              <w:rPr>
                <w:lang w:eastAsia="en-US"/>
              </w:rPr>
              <w:t>MCS-4</w:t>
            </w:r>
          </w:p>
        </w:tc>
        <w:tc>
          <w:tcPr>
            <w:tcW w:w="815" w:type="dxa"/>
            <w:shd w:val="clear" w:color="auto" w:fill="auto"/>
            <w:tcMar>
              <w:left w:w="28" w:type="dxa"/>
              <w:right w:w="28" w:type="dxa"/>
            </w:tcMar>
          </w:tcPr>
          <w:p w14:paraId="7167D866" w14:textId="77777777" w:rsidR="00711444" w:rsidRPr="004D0DAA" w:rsidRDefault="00711444" w:rsidP="00AA2A4C">
            <w:pPr>
              <w:pStyle w:val="TAC"/>
              <w:rPr>
                <w:lang w:eastAsia="en-US"/>
              </w:rPr>
            </w:pPr>
            <w:r w:rsidRPr="004D0DAA">
              <w:rPr>
                <w:lang w:eastAsia="en-US"/>
              </w:rPr>
              <w:t>MCS-4</w:t>
            </w:r>
          </w:p>
        </w:tc>
        <w:tc>
          <w:tcPr>
            <w:tcW w:w="814" w:type="dxa"/>
            <w:shd w:val="clear" w:color="auto" w:fill="auto"/>
            <w:tcMar>
              <w:left w:w="28" w:type="dxa"/>
              <w:right w:w="28" w:type="dxa"/>
            </w:tcMar>
          </w:tcPr>
          <w:p w14:paraId="37E5B5CB" w14:textId="77777777" w:rsidR="00711444" w:rsidRPr="004D0DAA" w:rsidRDefault="00711444" w:rsidP="00AA2A4C">
            <w:pPr>
              <w:pStyle w:val="TAC"/>
              <w:rPr>
                <w:lang w:eastAsia="en-US"/>
              </w:rPr>
            </w:pPr>
            <w:r w:rsidRPr="004D0DAA">
              <w:rPr>
                <w:lang w:eastAsia="en-US"/>
              </w:rPr>
              <w:t>MCS-4</w:t>
            </w:r>
          </w:p>
        </w:tc>
        <w:tc>
          <w:tcPr>
            <w:tcW w:w="815" w:type="dxa"/>
            <w:shd w:val="clear" w:color="auto" w:fill="auto"/>
            <w:tcMar>
              <w:left w:w="28" w:type="dxa"/>
              <w:right w:w="28" w:type="dxa"/>
            </w:tcMar>
          </w:tcPr>
          <w:p w14:paraId="027C0697" w14:textId="77777777" w:rsidR="00711444" w:rsidRPr="004D0DAA" w:rsidRDefault="00711444" w:rsidP="00AA2A4C">
            <w:pPr>
              <w:pStyle w:val="TAC"/>
              <w:rPr>
                <w:lang w:eastAsia="en-US"/>
              </w:rPr>
            </w:pPr>
            <w:r w:rsidRPr="004D0DAA">
              <w:rPr>
                <w:lang w:eastAsia="en-US"/>
              </w:rPr>
              <w:t>MCS-4</w:t>
            </w:r>
          </w:p>
        </w:tc>
        <w:tc>
          <w:tcPr>
            <w:tcW w:w="813" w:type="dxa"/>
            <w:shd w:val="clear" w:color="auto" w:fill="auto"/>
            <w:tcMar>
              <w:left w:w="28" w:type="dxa"/>
              <w:right w:w="28" w:type="dxa"/>
            </w:tcMar>
          </w:tcPr>
          <w:p w14:paraId="6B157A29" w14:textId="77777777" w:rsidR="00711444" w:rsidRPr="004D0DAA" w:rsidRDefault="00711444" w:rsidP="00AA2A4C">
            <w:pPr>
              <w:pStyle w:val="TAC"/>
              <w:rPr>
                <w:lang w:eastAsia="en-US"/>
              </w:rPr>
            </w:pPr>
            <w:r w:rsidRPr="004D0DAA">
              <w:rPr>
                <w:lang w:eastAsia="en-US"/>
              </w:rPr>
              <w:t>MCS-4</w:t>
            </w:r>
          </w:p>
        </w:tc>
        <w:tc>
          <w:tcPr>
            <w:tcW w:w="815" w:type="dxa"/>
            <w:shd w:val="clear" w:color="auto" w:fill="auto"/>
            <w:tcMar>
              <w:left w:w="28" w:type="dxa"/>
              <w:right w:w="28" w:type="dxa"/>
            </w:tcMar>
          </w:tcPr>
          <w:p w14:paraId="31FC76A7" w14:textId="77777777" w:rsidR="00711444" w:rsidRPr="004D0DAA" w:rsidRDefault="00711444" w:rsidP="00AA2A4C">
            <w:pPr>
              <w:pStyle w:val="TAC"/>
              <w:rPr>
                <w:lang w:eastAsia="en-US"/>
              </w:rPr>
            </w:pPr>
            <w:r w:rsidRPr="004D0DAA">
              <w:rPr>
                <w:lang w:eastAsia="en-US"/>
              </w:rPr>
              <w:t>MCS-4</w:t>
            </w:r>
          </w:p>
        </w:tc>
        <w:tc>
          <w:tcPr>
            <w:tcW w:w="814" w:type="dxa"/>
            <w:shd w:val="clear" w:color="auto" w:fill="auto"/>
            <w:tcMar>
              <w:left w:w="28" w:type="dxa"/>
              <w:right w:w="28" w:type="dxa"/>
            </w:tcMar>
          </w:tcPr>
          <w:p w14:paraId="3D60A389" w14:textId="77777777" w:rsidR="00711444" w:rsidRPr="004D0DAA" w:rsidRDefault="00711444" w:rsidP="00AA2A4C">
            <w:pPr>
              <w:pStyle w:val="TAC"/>
              <w:rPr>
                <w:lang w:eastAsia="en-US"/>
              </w:rPr>
            </w:pPr>
            <w:r w:rsidRPr="004D0DAA">
              <w:rPr>
                <w:lang w:eastAsia="en-US"/>
              </w:rPr>
              <w:t>MCS-4</w:t>
            </w:r>
          </w:p>
        </w:tc>
        <w:tc>
          <w:tcPr>
            <w:tcW w:w="814" w:type="dxa"/>
            <w:shd w:val="clear" w:color="auto" w:fill="auto"/>
            <w:tcMar>
              <w:left w:w="28" w:type="dxa"/>
              <w:right w:w="28" w:type="dxa"/>
            </w:tcMar>
          </w:tcPr>
          <w:p w14:paraId="3F6E8175" w14:textId="77777777" w:rsidR="00711444" w:rsidRPr="004D0DAA" w:rsidRDefault="00711444" w:rsidP="00AA2A4C">
            <w:pPr>
              <w:pStyle w:val="TAC"/>
              <w:rPr>
                <w:lang w:eastAsia="en-US"/>
              </w:rPr>
            </w:pPr>
            <w:r w:rsidRPr="004D0DAA">
              <w:rPr>
                <w:lang w:eastAsia="en-US"/>
              </w:rPr>
              <w:t>MCS-4</w:t>
            </w:r>
          </w:p>
        </w:tc>
        <w:tc>
          <w:tcPr>
            <w:tcW w:w="814" w:type="dxa"/>
            <w:shd w:val="clear" w:color="auto" w:fill="auto"/>
            <w:tcMar>
              <w:left w:w="28" w:type="dxa"/>
              <w:right w:w="28" w:type="dxa"/>
            </w:tcMar>
          </w:tcPr>
          <w:p w14:paraId="0D69324F" w14:textId="77777777" w:rsidR="00711444" w:rsidRPr="004D0DAA" w:rsidRDefault="00711444" w:rsidP="00AA2A4C">
            <w:pPr>
              <w:pStyle w:val="TAC"/>
              <w:rPr>
                <w:lang w:eastAsia="en-US"/>
              </w:rPr>
            </w:pPr>
            <w:r w:rsidRPr="004D0DAA">
              <w:rPr>
                <w:lang w:eastAsia="en-US"/>
              </w:rPr>
              <w:t>MCS-4</w:t>
            </w:r>
          </w:p>
        </w:tc>
        <w:tc>
          <w:tcPr>
            <w:tcW w:w="819" w:type="dxa"/>
            <w:shd w:val="clear" w:color="auto" w:fill="auto"/>
            <w:tcMar>
              <w:left w:w="28" w:type="dxa"/>
              <w:right w:w="28" w:type="dxa"/>
            </w:tcMar>
          </w:tcPr>
          <w:p w14:paraId="17BBBB25" w14:textId="77777777" w:rsidR="00711444" w:rsidRPr="004D0DAA" w:rsidRDefault="00711444" w:rsidP="00AA2A4C">
            <w:pPr>
              <w:pStyle w:val="TAC"/>
              <w:rPr>
                <w:lang w:eastAsia="en-US"/>
              </w:rPr>
            </w:pPr>
            <w:r w:rsidRPr="004D0DAA">
              <w:rPr>
                <w:lang w:eastAsia="en-US"/>
              </w:rPr>
              <w:t>MCS-4</w:t>
            </w:r>
          </w:p>
        </w:tc>
      </w:tr>
      <w:tr w:rsidR="00711444" w:rsidRPr="004D0DAA" w14:paraId="0C9267C1" w14:textId="77777777" w:rsidTr="00AA2A4C">
        <w:tc>
          <w:tcPr>
            <w:tcW w:w="813" w:type="dxa"/>
            <w:shd w:val="clear" w:color="auto" w:fill="auto"/>
            <w:tcMar>
              <w:left w:w="28" w:type="dxa"/>
              <w:right w:w="28" w:type="dxa"/>
            </w:tcMar>
          </w:tcPr>
          <w:p w14:paraId="6A61B509" w14:textId="77777777" w:rsidR="00711444" w:rsidRPr="004D0DAA" w:rsidRDefault="00711444" w:rsidP="00AA2A4C">
            <w:pPr>
              <w:pStyle w:val="TAC"/>
              <w:rPr>
                <w:lang w:eastAsia="en-US"/>
              </w:rPr>
            </w:pPr>
            <w:r w:rsidRPr="004D0DAA">
              <w:rPr>
                <w:lang w:eastAsia="en-US"/>
              </w:rPr>
              <w:t>MCS-3</w:t>
            </w:r>
          </w:p>
        </w:tc>
        <w:tc>
          <w:tcPr>
            <w:tcW w:w="815" w:type="dxa"/>
            <w:shd w:val="clear" w:color="auto" w:fill="auto"/>
            <w:tcMar>
              <w:left w:w="28" w:type="dxa"/>
              <w:right w:w="28" w:type="dxa"/>
            </w:tcMar>
          </w:tcPr>
          <w:p w14:paraId="416B0B56" w14:textId="77777777" w:rsidR="00711444" w:rsidRPr="004D0DAA" w:rsidRDefault="00711444" w:rsidP="00AA2A4C">
            <w:pPr>
              <w:pStyle w:val="TAC"/>
              <w:rPr>
                <w:lang w:eastAsia="en-US"/>
              </w:rPr>
            </w:pPr>
            <w:r w:rsidRPr="004D0DAA">
              <w:rPr>
                <w:lang w:eastAsia="en-US"/>
              </w:rPr>
              <w:t>MCS-3</w:t>
            </w:r>
          </w:p>
        </w:tc>
        <w:tc>
          <w:tcPr>
            <w:tcW w:w="814" w:type="dxa"/>
            <w:shd w:val="clear" w:color="auto" w:fill="auto"/>
            <w:tcMar>
              <w:left w:w="28" w:type="dxa"/>
              <w:right w:w="28" w:type="dxa"/>
            </w:tcMar>
          </w:tcPr>
          <w:p w14:paraId="429EBFC1" w14:textId="77777777" w:rsidR="00711444" w:rsidRPr="004D0DAA" w:rsidRDefault="00711444" w:rsidP="00AA2A4C">
            <w:pPr>
              <w:pStyle w:val="TAC"/>
              <w:rPr>
                <w:lang w:eastAsia="en-US"/>
              </w:rPr>
            </w:pPr>
            <w:r w:rsidRPr="004D0DAA">
              <w:rPr>
                <w:lang w:eastAsia="en-US"/>
              </w:rPr>
              <w:t>MCS-3</w:t>
            </w:r>
          </w:p>
        </w:tc>
        <w:tc>
          <w:tcPr>
            <w:tcW w:w="815" w:type="dxa"/>
            <w:shd w:val="clear" w:color="auto" w:fill="auto"/>
            <w:tcMar>
              <w:left w:w="28" w:type="dxa"/>
              <w:right w:w="28" w:type="dxa"/>
            </w:tcMar>
          </w:tcPr>
          <w:p w14:paraId="5F2F1CF6" w14:textId="77777777" w:rsidR="00711444" w:rsidRPr="004D0DAA" w:rsidRDefault="00711444" w:rsidP="00AA2A4C">
            <w:pPr>
              <w:pStyle w:val="TAC"/>
              <w:rPr>
                <w:lang w:eastAsia="en-US"/>
              </w:rPr>
            </w:pPr>
            <w:r w:rsidRPr="004D0DAA">
              <w:rPr>
                <w:lang w:eastAsia="en-US"/>
              </w:rPr>
              <w:t>MCS-3</w:t>
            </w:r>
          </w:p>
        </w:tc>
        <w:tc>
          <w:tcPr>
            <w:tcW w:w="814" w:type="dxa"/>
            <w:shd w:val="clear" w:color="auto" w:fill="auto"/>
            <w:tcMar>
              <w:left w:w="28" w:type="dxa"/>
              <w:right w:w="28" w:type="dxa"/>
            </w:tcMar>
          </w:tcPr>
          <w:p w14:paraId="2D76FF02" w14:textId="77777777" w:rsidR="00711444" w:rsidRPr="004D0DAA" w:rsidRDefault="00711444" w:rsidP="00AA2A4C">
            <w:pPr>
              <w:pStyle w:val="TAC"/>
              <w:rPr>
                <w:lang w:eastAsia="en-US"/>
              </w:rPr>
            </w:pPr>
            <w:r w:rsidRPr="004D0DAA">
              <w:rPr>
                <w:lang w:eastAsia="en-US"/>
              </w:rPr>
              <w:t>MCS-3</w:t>
            </w:r>
          </w:p>
        </w:tc>
        <w:tc>
          <w:tcPr>
            <w:tcW w:w="815" w:type="dxa"/>
            <w:shd w:val="clear" w:color="auto" w:fill="auto"/>
            <w:tcMar>
              <w:left w:w="28" w:type="dxa"/>
              <w:right w:w="28" w:type="dxa"/>
            </w:tcMar>
          </w:tcPr>
          <w:p w14:paraId="4921A9F2" w14:textId="77777777" w:rsidR="00711444" w:rsidRPr="004D0DAA" w:rsidRDefault="00711444" w:rsidP="00AA2A4C">
            <w:pPr>
              <w:pStyle w:val="TAC"/>
              <w:rPr>
                <w:lang w:eastAsia="en-US"/>
              </w:rPr>
            </w:pPr>
            <w:r w:rsidRPr="004D0DAA">
              <w:rPr>
                <w:lang w:eastAsia="en-US"/>
              </w:rPr>
              <w:t>MCS-3</w:t>
            </w:r>
          </w:p>
        </w:tc>
        <w:tc>
          <w:tcPr>
            <w:tcW w:w="813" w:type="dxa"/>
            <w:shd w:val="clear" w:color="auto" w:fill="auto"/>
            <w:tcMar>
              <w:left w:w="28" w:type="dxa"/>
              <w:right w:w="28" w:type="dxa"/>
            </w:tcMar>
          </w:tcPr>
          <w:p w14:paraId="2B8187ED" w14:textId="77777777" w:rsidR="00711444" w:rsidRPr="004D0DAA" w:rsidRDefault="00711444" w:rsidP="00AA2A4C">
            <w:pPr>
              <w:pStyle w:val="TAC"/>
              <w:rPr>
                <w:lang w:eastAsia="en-US"/>
              </w:rPr>
            </w:pPr>
            <w:r w:rsidRPr="004D0DAA">
              <w:rPr>
                <w:lang w:eastAsia="en-US"/>
              </w:rPr>
              <w:t>MCS-3</w:t>
            </w:r>
          </w:p>
        </w:tc>
        <w:tc>
          <w:tcPr>
            <w:tcW w:w="815" w:type="dxa"/>
            <w:shd w:val="clear" w:color="auto" w:fill="auto"/>
            <w:tcMar>
              <w:left w:w="28" w:type="dxa"/>
              <w:right w:w="28" w:type="dxa"/>
            </w:tcMar>
          </w:tcPr>
          <w:p w14:paraId="23484EDD" w14:textId="77777777" w:rsidR="00711444" w:rsidRPr="004D0DAA" w:rsidRDefault="00711444" w:rsidP="00AA2A4C">
            <w:pPr>
              <w:pStyle w:val="TAC"/>
              <w:rPr>
                <w:lang w:eastAsia="en-US"/>
              </w:rPr>
            </w:pPr>
            <w:r w:rsidRPr="004D0DAA">
              <w:rPr>
                <w:lang w:eastAsia="en-US"/>
              </w:rPr>
              <w:t>MCS-3</w:t>
            </w:r>
          </w:p>
        </w:tc>
        <w:tc>
          <w:tcPr>
            <w:tcW w:w="814" w:type="dxa"/>
            <w:shd w:val="clear" w:color="auto" w:fill="auto"/>
            <w:tcMar>
              <w:left w:w="28" w:type="dxa"/>
              <w:right w:w="28" w:type="dxa"/>
            </w:tcMar>
          </w:tcPr>
          <w:p w14:paraId="28063DDE" w14:textId="77777777" w:rsidR="00711444" w:rsidRPr="004D0DAA" w:rsidRDefault="00711444" w:rsidP="00AA2A4C">
            <w:pPr>
              <w:pStyle w:val="TAC"/>
              <w:rPr>
                <w:lang w:eastAsia="en-US"/>
              </w:rPr>
            </w:pPr>
            <w:r w:rsidRPr="004D0DAA">
              <w:rPr>
                <w:lang w:eastAsia="en-US"/>
              </w:rPr>
              <w:t>MCS-3</w:t>
            </w:r>
          </w:p>
        </w:tc>
        <w:tc>
          <w:tcPr>
            <w:tcW w:w="814" w:type="dxa"/>
            <w:shd w:val="clear" w:color="auto" w:fill="auto"/>
            <w:tcMar>
              <w:left w:w="28" w:type="dxa"/>
              <w:right w:w="28" w:type="dxa"/>
            </w:tcMar>
          </w:tcPr>
          <w:p w14:paraId="12802F5D" w14:textId="77777777" w:rsidR="00711444" w:rsidRPr="004D0DAA" w:rsidRDefault="00711444" w:rsidP="00AA2A4C">
            <w:pPr>
              <w:pStyle w:val="TAC"/>
              <w:rPr>
                <w:lang w:eastAsia="en-US"/>
              </w:rPr>
            </w:pPr>
            <w:r w:rsidRPr="004D0DAA">
              <w:rPr>
                <w:lang w:eastAsia="en-US"/>
              </w:rPr>
              <w:t>MCS-3</w:t>
            </w:r>
          </w:p>
        </w:tc>
        <w:tc>
          <w:tcPr>
            <w:tcW w:w="814" w:type="dxa"/>
            <w:shd w:val="clear" w:color="auto" w:fill="auto"/>
            <w:tcMar>
              <w:left w:w="28" w:type="dxa"/>
              <w:right w:w="28" w:type="dxa"/>
            </w:tcMar>
          </w:tcPr>
          <w:p w14:paraId="5AA5C1B9" w14:textId="77777777" w:rsidR="00711444" w:rsidRPr="004D0DAA" w:rsidRDefault="00711444" w:rsidP="00AA2A4C">
            <w:pPr>
              <w:pStyle w:val="TAC"/>
              <w:rPr>
                <w:lang w:eastAsia="en-US"/>
              </w:rPr>
            </w:pPr>
            <w:r w:rsidRPr="004D0DAA">
              <w:rPr>
                <w:lang w:eastAsia="en-US"/>
              </w:rPr>
              <w:t>MCS-3</w:t>
            </w:r>
          </w:p>
        </w:tc>
        <w:tc>
          <w:tcPr>
            <w:tcW w:w="819" w:type="dxa"/>
            <w:shd w:val="clear" w:color="auto" w:fill="auto"/>
            <w:tcMar>
              <w:left w:w="28" w:type="dxa"/>
              <w:right w:w="28" w:type="dxa"/>
            </w:tcMar>
          </w:tcPr>
          <w:p w14:paraId="2405C63A" w14:textId="77777777" w:rsidR="00711444" w:rsidRPr="004D0DAA" w:rsidRDefault="00711444" w:rsidP="00AA2A4C">
            <w:pPr>
              <w:pStyle w:val="TAC"/>
              <w:rPr>
                <w:lang w:eastAsia="en-US"/>
              </w:rPr>
            </w:pPr>
            <w:r w:rsidRPr="004D0DAA">
              <w:rPr>
                <w:lang w:eastAsia="en-US"/>
              </w:rPr>
              <w:t>MCS-3</w:t>
            </w:r>
          </w:p>
        </w:tc>
      </w:tr>
      <w:tr w:rsidR="00711444" w:rsidRPr="004D0DAA" w14:paraId="30B10374" w14:textId="77777777" w:rsidTr="00AA2A4C">
        <w:tc>
          <w:tcPr>
            <w:tcW w:w="813" w:type="dxa"/>
            <w:shd w:val="clear" w:color="auto" w:fill="auto"/>
            <w:tcMar>
              <w:left w:w="28" w:type="dxa"/>
              <w:right w:w="28" w:type="dxa"/>
            </w:tcMar>
          </w:tcPr>
          <w:p w14:paraId="67A311EE" w14:textId="77777777" w:rsidR="00711444" w:rsidRPr="004D0DAA" w:rsidRDefault="00711444" w:rsidP="00AA2A4C">
            <w:pPr>
              <w:pStyle w:val="TAC"/>
              <w:rPr>
                <w:lang w:eastAsia="en-US"/>
              </w:rPr>
            </w:pPr>
            <w:r w:rsidRPr="004D0DAA">
              <w:rPr>
                <w:lang w:eastAsia="en-US"/>
              </w:rPr>
              <w:t>MCS-2</w:t>
            </w:r>
          </w:p>
        </w:tc>
        <w:tc>
          <w:tcPr>
            <w:tcW w:w="815" w:type="dxa"/>
            <w:shd w:val="clear" w:color="auto" w:fill="auto"/>
            <w:tcMar>
              <w:left w:w="28" w:type="dxa"/>
              <w:right w:w="28" w:type="dxa"/>
            </w:tcMar>
          </w:tcPr>
          <w:p w14:paraId="75F3C7DA" w14:textId="77777777" w:rsidR="00711444" w:rsidRPr="004D0DAA" w:rsidRDefault="00711444" w:rsidP="00AA2A4C">
            <w:pPr>
              <w:pStyle w:val="TAC"/>
              <w:rPr>
                <w:lang w:eastAsia="en-US"/>
              </w:rPr>
            </w:pPr>
            <w:r w:rsidRPr="004D0DAA">
              <w:rPr>
                <w:lang w:eastAsia="en-US"/>
              </w:rPr>
              <w:t>MCS-2</w:t>
            </w:r>
          </w:p>
        </w:tc>
        <w:tc>
          <w:tcPr>
            <w:tcW w:w="814" w:type="dxa"/>
            <w:shd w:val="clear" w:color="auto" w:fill="auto"/>
            <w:tcMar>
              <w:left w:w="28" w:type="dxa"/>
              <w:right w:w="28" w:type="dxa"/>
            </w:tcMar>
          </w:tcPr>
          <w:p w14:paraId="2446E1B8" w14:textId="77777777" w:rsidR="00711444" w:rsidRPr="004D0DAA" w:rsidRDefault="00711444" w:rsidP="00AA2A4C">
            <w:pPr>
              <w:pStyle w:val="TAC"/>
              <w:rPr>
                <w:lang w:eastAsia="en-US"/>
              </w:rPr>
            </w:pPr>
            <w:r w:rsidRPr="004D0DAA">
              <w:rPr>
                <w:lang w:eastAsia="en-US"/>
              </w:rPr>
              <w:t>MCS-2</w:t>
            </w:r>
          </w:p>
        </w:tc>
        <w:tc>
          <w:tcPr>
            <w:tcW w:w="815" w:type="dxa"/>
            <w:shd w:val="clear" w:color="auto" w:fill="auto"/>
            <w:tcMar>
              <w:left w:w="28" w:type="dxa"/>
              <w:right w:w="28" w:type="dxa"/>
            </w:tcMar>
          </w:tcPr>
          <w:p w14:paraId="4E4E1C7F" w14:textId="77777777" w:rsidR="00711444" w:rsidRPr="004D0DAA" w:rsidRDefault="00711444" w:rsidP="00AA2A4C">
            <w:pPr>
              <w:pStyle w:val="TAC"/>
              <w:rPr>
                <w:lang w:eastAsia="en-US"/>
              </w:rPr>
            </w:pPr>
            <w:r w:rsidRPr="004D0DAA">
              <w:rPr>
                <w:lang w:eastAsia="en-US"/>
              </w:rPr>
              <w:t>MCS-2</w:t>
            </w:r>
          </w:p>
        </w:tc>
        <w:tc>
          <w:tcPr>
            <w:tcW w:w="814" w:type="dxa"/>
            <w:shd w:val="clear" w:color="auto" w:fill="auto"/>
            <w:tcMar>
              <w:left w:w="28" w:type="dxa"/>
              <w:right w:w="28" w:type="dxa"/>
            </w:tcMar>
          </w:tcPr>
          <w:p w14:paraId="25A80702" w14:textId="77777777" w:rsidR="00711444" w:rsidRPr="004D0DAA" w:rsidRDefault="00711444" w:rsidP="00AA2A4C">
            <w:pPr>
              <w:pStyle w:val="TAC"/>
              <w:rPr>
                <w:lang w:eastAsia="en-US"/>
              </w:rPr>
            </w:pPr>
            <w:r w:rsidRPr="004D0DAA">
              <w:rPr>
                <w:lang w:eastAsia="en-US"/>
              </w:rPr>
              <w:t>MCS-2</w:t>
            </w:r>
          </w:p>
        </w:tc>
        <w:tc>
          <w:tcPr>
            <w:tcW w:w="815" w:type="dxa"/>
            <w:shd w:val="clear" w:color="auto" w:fill="auto"/>
            <w:tcMar>
              <w:left w:w="28" w:type="dxa"/>
              <w:right w:w="28" w:type="dxa"/>
            </w:tcMar>
          </w:tcPr>
          <w:p w14:paraId="3A21AD85" w14:textId="77777777" w:rsidR="00711444" w:rsidRPr="004D0DAA" w:rsidRDefault="00711444" w:rsidP="00AA2A4C">
            <w:pPr>
              <w:pStyle w:val="TAC"/>
              <w:rPr>
                <w:lang w:eastAsia="en-US"/>
              </w:rPr>
            </w:pPr>
            <w:r w:rsidRPr="004D0DAA">
              <w:rPr>
                <w:lang w:eastAsia="en-US"/>
              </w:rPr>
              <w:t>MCS-2</w:t>
            </w:r>
          </w:p>
        </w:tc>
        <w:tc>
          <w:tcPr>
            <w:tcW w:w="813" w:type="dxa"/>
            <w:shd w:val="clear" w:color="auto" w:fill="auto"/>
            <w:tcMar>
              <w:left w:w="28" w:type="dxa"/>
              <w:right w:w="28" w:type="dxa"/>
            </w:tcMar>
          </w:tcPr>
          <w:p w14:paraId="390AA055" w14:textId="77777777" w:rsidR="00711444" w:rsidRPr="004D0DAA" w:rsidRDefault="00711444" w:rsidP="00AA2A4C">
            <w:pPr>
              <w:pStyle w:val="TAC"/>
              <w:rPr>
                <w:lang w:eastAsia="en-US"/>
              </w:rPr>
            </w:pPr>
            <w:r w:rsidRPr="004D0DAA">
              <w:rPr>
                <w:lang w:eastAsia="en-US"/>
              </w:rPr>
              <w:t>MCS-2</w:t>
            </w:r>
          </w:p>
        </w:tc>
        <w:tc>
          <w:tcPr>
            <w:tcW w:w="815" w:type="dxa"/>
            <w:shd w:val="clear" w:color="auto" w:fill="auto"/>
            <w:tcMar>
              <w:left w:w="28" w:type="dxa"/>
              <w:right w:w="28" w:type="dxa"/>
            </w:tcMar>
          </w:tcPr>
          <w:p w14:paraId="67B5AEA0" w14:textId="77777777" w:rsidR="00711444" w:rsidRPr="004D0DAA" w:rsidRDefault="00711444" w:rsidP="00AA2A4C">
            <w:pPr>
              <w:pStyle w:val="TAC"/>
              <w:rPr>
                <w:lang w:eastAsia="en-US"/>
              </w:rPr>
            </w:pPr>
            <w:r w:rsidRPr="004D0DAA">
              <w:rPr>
                <w:lang w:eastAsia="en-US"/>
              </w:rPr>
              <w:t>MCS-2</w:t>
            </w:r>
          </w:p>
        </w:tc>
        <w:tc>
          <w:tcPr>
            <w:tcW w:w="814" w:type="dxa"/>
            <w:shd w:val="clear" w:color="auto" w:fill="auto"/>
            <w:tcMar>
              <w:left w:w="28" w:type="dxa"/>
              <w:right w:w="28" w:type="dxa"/>
            </w:tcMar>
          </w:tcPr>
          <w:p w14:paraId="3FF9107C" w14:textId="77777777" w:rsidR="00711444" w:rsidRPr="004D0DAA" w:rsidRDefault="00711444" w:rsidP="00AA2A4C">
            <w:pPr>
              <w:pStyle w:val="TAC"/>
              <w:rPr>
                <w:lang w:eastAsia="en-US"/>
              </w:rPr>
            </w:pPr>
            <w:r w:rsidRPr="004D0DAA">
              <w:rPr>
                <w:lang w:eastAsia="en-US"/>
              </w:rPr>
              <w:t>MCS-2</w:t>
            </w:r>
          </w:p>
        </w:tc>
        <w:tc>
          <w:tcPr>
            <w:tcW w:w="814" w:type="dxa"/>
            <w:shd w:val="clear" w:color="auto" w:fill="auto"/>
            <w:tcMar>
              <w:left w:w="28" w:type="dxa"/>
              <w:right w:w="28" w:type="dxa"/>
            </w:tcMar>
          </w:tcPr>
          <w:p w14:paraId="50FA2F26" w14:textId="77777777" w:rsidR="00711444" w:rsidRPr="004D0DAA" w:rsidRDefault="00711444" w:rsidP="00AA2A4C">
            <w:pPr>
              <w:pStyle w:val="TAC"/>
              <w:rPr>
                <w:lang w:eastAsia="en-US"/>
              </w:rPr>
            </w:pPr>
            <w:r w:rsidRPr="004D0DAA">
              <w:rPr>
                <w:lang w:eastAsia="en-US"/>
              </w:rPr>
              <w:t>MCS-2</w:t>
            </w:r>
          </w:p>
        </w:tc>
        <w:tc>
          <w:tcPr>
            <w:tcW w:w="814" w:type="dxa"/>
            <w:shd w:val="clear" w:color="auto" w:fill="auto"/>
            <w:tcMar>
              <w:left w:w="28" w:type="dxa"/>
              <w:right w:w="28" w:type="dxa"/>
            </w:tcMar>
          </w:tcPr>
          <w:p w14:paraId="28EFB74C" w14:textId="77777777" w:rsidR="00711444" w:rsidRPr="004D0DAA" w:rsidRDefault="00711444" w:rsidP="00AA2A4C">
            <w:pPr>
              <w:pStyle w:val="TAC"/>
              <w:rPr>
                <w:lang w:eastAsia="en-US"/>
              </w:rPr>
            </w:pPr>
            <w:r w:rsidRPr="004D0DAA">
              <w:rPr>
                <w:lang w:eastAsia="en-US"/>
              </w:rPr>
              <w:t>MCS-2</w:t>
            </w:r>
          </w:p>
        </w:tc>
        <w:tc>
          <w:tcPr>
            <w:tcW w:w="819" w:type="dxa"/>
            <w:shd w:val="clear" w:color="auto" w:fill="auto"/>
            <w:tcMar>
              <w:left w:w="28" w:type="dxa"/>
              <w:right w:w="28" w:type="dxa"/>
            </w:tcMar>
          </w:tcPr>
          <w:p w14:paraId="0F57A711" w14:textId="77777777" w:rsidR="00711444" w:rsidRPr="004D0DAA" w:rsidRDefault="00711444" w:rsidP="00AA2A4C">
            <w:pPr>
              <w:pStyle w:val="TAC"/>
              <w:rPr>
                <w:lang w:eastAsia="en-US"/>
              </w:rPr>
            </w:pPr>
            <w:r w:rsidRPr="004D0DAA">
              <w:rPr>
                <w:lang w:eastAsia="en-US"/>
              </w:rPr>
              <w:t>MCS-2</w:t>
            </w:r>
          </w:p>
        </w:tc>
      </w:tr>
      <w:tr w:rsidR="00711444" w:rsidRPr="004D0DAA" w14:paraId="6BFED0CE" w14:textId="77777777" w:rsidTr="00AA2A4C">
        <w:tc>
          <w:tcPr>
            <w:tcW w:w="813" w:type="dxa"/>
            <w:shd w:val="clear" w:color="auto" w:fill="auto"/>
            <w:tcMar>
              <w:left w:w="28" w:type="dxa"/>
              <w:right w:w="28" w:type="dxa"/>
            </w:tcMar>
          </w:tcPr>
          <w:p w14:paraId="11DE4F89" w14:textId="77777777" w:rsidR="00711444" w:rsidRPr="004D0DAA" w:rsidRDefault="00711444" w:rsidP="00AA2A4C">
            <w:pPr>
              <w:pStyle w:val="TAC"/>
              <w:rPr>
                <w:lang w:eastAsia="en-US"/>
              </w:rPr>
            </w:pPr>
            <w:r w:rsidRPr="004D0DAA">
              <w:rPr>
                <w:lang w:eastAsia="en-US"/>
              </w:rPr>
              <w:t>MCS-1</w:t>
            </w:r>
          </w:p>
        </w:tc>
        <w:tc>
          <w:tcPr>
            <w:tcW w:w="815" w:type="dxa"/>
            <w:shd w:val="clear" w:color="auto" w:fill="auto"/>
            <w:tcMar>
              <w:left w:w="28" w:type="dxa"/>
              <w:right w:w="28" w:type="dxa"/>
            </w:tcMar>
          </w:tcPr>
          <w:p w14:paraId="189DFECF" w14:textId="77777777" w:rsidR="00711444" w:rsidRPr="004D0DAA" w:rsidRDefault="00711444" w:rsidP="00AA2A4C">
            <w:pPr>
              <w:pStyle w:val="TAC"/>
              <w:rPr>
                <w:lang w:eastAsia="en-US"/>
              </w:rPr>
            </w:pPr>
            <w:r w:rsidRPr="004D0DAA">
              <w:rPr>
                <w:lang w:eastAsia="en-US"/>
              </w:rPr>
              <w:t>MCS-1</w:t>
            </w:r>
          </w:p>
        </w:tc>
        <w:tc>
          <w:tcPr>
            <w:tcW w:w="814" w:type="dxa"/>
            <w:shd w:val="clear" w:color="auto" w:fill="auto"/>
            <w:tcMar>
              <w:left w:w="28" w:type="dxa"/>
              <w:right w:w="28" w:type="dxa"/>
            </w:tcMar>
          </w:tcPr>
          <w:p w14:paraId="0044FBFB" w14:textId="77777777" w:rsidR="00711444" w:rsidRPr="004D0DAA" w:rsidRDefault="00711444" w:rsidP="00AA2A4C">
            <w:pPr>
              <w:pStyle w:val="TAC"/>
              <w:rPr>
                <w:lang w:eastAsia="en-US"/>
              </w:rPr>
            </w:pPr>
            <w:r w:rsidRPr="004D0DAA">
              <w:rPr>
                <w:lang w:eastAsia="en-US"/>
              </w:rPr>
              <w:t>MCS-1</w:t>
            </w:r>
          </w:p>
        </w:tc>
        <w:tc>
          <w:tcPr>
            <w:tcW w:w="815" w:type="dxa"/>
            <w:shd w:val="clear" w:color="auto" w:fill="auto"/>
            <w:tcMar>
              <w:left w:w="28" w:type="dxa"/>
              <w:right w:w="28" w:type="dxa"/>
            </w:tcMar>
          </w:tcPr>
          <w:p w14:paraId="7183892C" w14:textId="77777777" w:rsidR="00711444" w:rsidRPr="004D0DAA" w:rsidRDefault="00711444" w:rsidP="00AA2A4C">
            <w:pPr>
              <w:pStyle w:val="TAC"/>
              <w:rPr>
                <w:lang w:eastAsia="en-US"/>
              </w:rPr>
            </w:pPr>
            <w:r w:rsidRPr="004D0DAA">
              <w:rPr>
                <w:lang w:eastAsia="en-US"/>
              </w:rPr>
              <w:t>MCS-1</w:t>
            </w:r>
          </w:p>
        </w:tc>
        <w:tc>
          <w:tcPr>
            <w:tcW w:w="814" w:type="dxa"/>
            <w:shd w:val="clear" w:color="auto" w:fill="auto"/>
            <w:tcMar>
              <w:left w:w="28" w:type="dxa"/>
              <w:right w:w="28" w:type="dxa"/>
            </w:tcMar>
          </w:tcPr>
          <w:p w14:paraId="5E3257A4" w14:textId="77777777" w:rsidR="00711444" w:rsidRPr="004D0DAA" w:rsidRDefault="00711444" w:rsidP="00AA2A4C">
            <w:pPr>
              <w:pStyle w:val="TAC"/>
              <w:rPr>
                <w:lang w:eastAsia="en-US"/>
              </w:rPr>
            </w:pPr>
            <w:r w:rsidRPr="004D0DAA">
              <w:rPr>
                <w:lang w:eastAsia="en-US"/>
              </w:rPr>
              <w:t>MCS-1</w:t>
            </w:r>
          </w:p>
        </w:tc>
        <w:tc>
          <w:tcPr>
            <w:tcW w:w="815" w:type="dxa"/>
            <w:shd w:val="clear" w:color="auto" w:fill="auto"/>
            <w:tcMar>
              <w:left w:w="28" w:type="dxa"/>
              <w:right w:w="28" w:type="dxa"/>
            </w:tcMar>
          </w:tcPr>
          <w:p w14:paraId="4C592424" w14:textId="77777777" w:rsidR="00711444" w:rsidRPr="004D0DAA" w:rsidRDefault="00711444" w:rsidP="00AA2A4C">
            <w:pPr>
              <w:pStyle w:val="TAC"/>
              <w:rPr>
                <w:lang w:eastAsia="en-US"/>
              </w:rPr>
            </w:pPr>
            <w:r w:rsidRPr="004D0DAA">
              <w:rPr>
                <w:lang w:eastAsia="en-US"/>
              </w:rPr>
              <w:t>MCS-1</w:t>
            </w:r>
          </w:p>
        </w:tc>
        <w:tc>
          <w:tcPr>
            <w:tcW w:w="813" w:type="dxa"/>
            <w:shd w:val="clear" w:color="auto" w:fill="auto"/>
            <w:tcMar>
              <w:left w:w="28" w:type="dxa"/>
              <w:right w:w="28" w:type="dxa"/>
            </w:tcMar>
          </w:tcPr>
          <w:p w14:paraId="12CC52B2" w14:textId="77777777" w:rsidR="00711444" w:rsidRPr="004D0DAA" w:rsidRDefault="00711444" w:rsidP="00AA2A4C">
            <w:pPr>
              <w:pStyle w:val="TAC"/>
              <w:rPr>
                <w:lang w:eastAsia="en-US"/>
              </w:rPr>
            </w:pPr>
            <w:r w:rsidRPr="004D0DAA">
              <w:rPr>
                <w:lang w:eastAsia="en-US"/>
              </w:rPr>
              <w:t>MCS-1</w:t>
            </w:r>
          </w:p>
        </w:tc>
        <w:tc>
          <w:tcPr>
            <w:tcW w:w="815" w:type="dxa"/>
            <w:shd w:val="clear" w:color="auto" w:fill="auto"/>
            <w:tcMar>
              <w:left w:w="28" w:type="dxa"/>
              <w:right w:w="28" w:type="dxa"/>
            </w:tcMar>
          </w:tcPr>
          <w:p w14:paraId="438D336E" w14:textId="77777777" w:rsidR="00711444" w:rsidRPr="004D0DAA" w:rsidRDefault="00711444" w:rsidP="00AA2A4C">
            <w:pPr>
              <w:pStyle w:val="TAC"/>
              <w:rPr>
                <w:lang w:eastAsia="en-US"/>
              </w:rPr>
            </w:pPr>
            <w:r w:rsidRPr="004D0DAA">
              <w:rPr>
                <w:lang w:eastAsia="en-US"/>
              </w:rPr>
              <w:t>MCS-1</w:t>
            </w:r>
          </w:p>
        </w:tc>
        <w:tc>
          <w:tcPr>
            <w:tcW w:w="814" w:type="dxa"/>
            <w:shd w:val="clear" w:color="auto" w:fill="auto"/>
            <w:tcMar>
              <w:left w:w="28" w:type="dxa"/>
              <w:right w:w="28" w:type="dxa"/>
            </w:tcMar>
          </w:tcPr>
          <w:p w14:paraId="1AFAE8B7" w14:textId="77777777" w:rsidR="00711444" w:rsidRPr="004D0DAA" w:rsidRDefault="00711444" w:rsidP="00AA2A4C">
            <w:pPr>
              <w:pStyle w:val="TAC"/>
              <w:rPr>
                <w:lang w:eastAsia="en-US"/>
              </w:rPr>
            </w:pPr>
            <w:r w:rsidRPr="004D0DAA">
              <w:rPr>
                <w:lang w:eastAsia="en-US"/>
              </w:rPr>
              <w:t>MCS-1</w:t>
            </w:r>
          </w:p>
        </w:tc>
        <w:tc>
          <w:tcPr>
            <w:tcW w:w="814" w:type="dxa"/>
            <w:shd w:val="clear" w:color="auto" w:fill="auto"/>
            <w:tcMar>
              <w:left w:w="28" w:type="dxa"/>
              <w:right w:w="28" w:type="dxa"/>
            </w:tcMar>
          </w:tcPr>
          <w:p w14:paraId="26BE8195" w14:textId="77777777" w:rsidR="00711444" w:rsidRPr="004D0DAA" w:rsidRDefault="00711444" w:rsidP="00AA2A4C">
            <w:pPr>
              <w:pStyle w:val="TAC"/>
              <w:rPr>
                <w:lang w:eastAsia="en-US"/>
              </w:rPr>
            </w:pPr>
            <w:r w:rsidRPr="004D0DAA">
              <w:rPr>
                <w:lang w:eastAsia="en-US"/>
              </w:rPr>
              <w:t>MCS-1</w:t>
            </w:r>
          </w:p>
        </w:tc>
        <w:tc>
          <w:tcPr>
            <w:tcW w:w="814" w:type="dxa"/>
            <w:shd w:val="clear" w:color="auto" w:fill="auto"/>
            <w:tcMar>
              <w:left w:w="28" w:type="dxa"/>
              <w:right w:w="28" w:type="dxa"/>
            </w:tcMar>
          </w:tcPr>
          <w:p w14:paraId="757E0772" w14:textId="77777777" w:rsidR="00711444" w:rsidRPr="004D0DAA" w:rsidRDefault="00711444" w:rsidP="00AA2A4C">
            <w:pPr>
              <w:pStyle w:val="TAC"/>
              <w:rPr>
                <w:lang w:eastAsia="en-US"/>
              </w:rPr>
            </w:pPr>
            <w:r w:rsidRPr="004D0DAA">
              <w:rPr>
                <w:lang w:eastAsia="en-US"/>
              </w:rPr>
              <w:t>MCS-1</w:t>
            </w:r>
          </w:p>
        </w:tc>
        <w:tc>
          <w:tcPr>
            <w:tcW w:w="819" w:type="dxa"/>
            <w:shd w:val="clear" w:color="auto" w:fill="auto"/>
            <w:tcMar>
              <w:left w:w="28" w:type="dxa"/>
              <w:right w:w="28" w:type="dxa"/>
            </w:tcMar>
          </w:tcPr>
          <w:p w14:paraId="7EF083D7" w14:textId="77777777" w:rsidR="00711444" w:rsidRPr="004D0DAA" w:rsidRDefault="00711444" w:rsidP="00AA2A4C">
            <w:pPr>
              <w:pStyle w:val="TAC"/>
              <w:rPr>
                <w:lang w:eastAsia="en-US"/>
              </w:rPr>
            </w:pPr>
            <w:r w:rsidRPr="004D0DAA">
              <w:rPr>
                <w:lang w:eastAsia="en-US"/>
              </w:rPr>
              <w:t>MCS-1</w:t>
            </w:r>
          </w:p>
        </w:tc>
      </w:tr>
    </w:tbl>
    <w:p w14:paraId="299D58DC" w14:textId="77777777" w:rsidR="00711444" w:rsidRPr="004D0DAA" w:rsidRDefault="00711444" w:rsidP="00711444"/>
    <w:p w14:paraId="1466CAAA" w14:textId="77777777" w:rsidR="00711444" w:rsidRPr="004D0DAA" w:rsidRDefault="00711444" w:rsidP="00711444">
      <w:pPr>
        <w:pStyle w:val="TH"/>
      </w:pPr>
      <w:r w:rsidRPr="004D0DAA">
        <w:lastRenderedPageBreak/>
        <w:t>Table 8.1.1.5: Choice of modulation and coding scheme for retransmissions with re-segmentation (EGPRS2-B)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
        <w:gridCol w:w="738"/>
        <w:gridCol w:w="745"/>
        <w:gridCol w:w="739"/>
        <w:gridCol w:w="740"/>
        <w:gridCol w:w="741"/>
        <w:gridCol w:w="741"/>
        <w:gridCol w:w="740"/>
        <w:gridCol w:w="741"/>
        <w:gridCol w:w="741"/>
        <w:gridCol w:w="740"/>
        <w:gridCol w:w="741"/>
        <w:gridCol w:w="745"/>
      </w:tblGrid>
      <w:tr w:rsidR="00711444" w:rsidRPr="004D0DAA" w14:paraId="211C46D8" w14:textId="77777777" w:rsidTr="00AA2A4C">
        <w:tc>
          <w:tcPr>
            <w:tcW w:w="749" w:type="dxa"/>
            <w:tcMar>
              <w:left w:w="28" w:type="dxa"/>
              <w:right w:w="28" w:type="dxa"/>
            </w:tcMar>
          </w:tcPr>
          <w:p w14:paraId="46798DF6" w14:textId="77777777" w:rsidR="00711444" w:rsidRPr="004D0DAA" w:rsidRDefault="00711444" w:rsidP="00AA2A4C">
            <w:pPr>
              <w:pStyle w:val="TAH"/>
              <w:rPr>
                <w:lang w:eastAsia="en-US"/>
              </w:rPr>
            </w:pPr>
            <w:r w:rsidRPr="004D0DAA">
              <w:rPr>
                <w:lang w:eastAsia="en-US"/>
              </w:rPr>
              <w:t>Scheme used for Initial transmission</w:t>
            </w:r>
          </w:p>
        </w:tc>
        <w:tc>
          <w:tcPr>
            <w:tcW w:w="9026" w:type="dxa"/>
            <w:gridSpan w:val="12"/>
          </w:tcPr>
          <w:p w14:paraId="4047E4AB" w14:textId="77777777" w:rsidR="00711444" w:rsidRPr="004D0DAA" w:rsidRDefault="00711444" w:rsidP="00AA2A4C">
            <w:pPr>
              <w:pStyle w:val="TAH"/>
              <w:rPr>
                <w:lang w:eastAsia="en-US"/>
              </w:rPr>
            </w:pPr>
            <w:r w:rsidRPr="004D0DAA">
              <w:rPr>
                <w:lang w:eastAsia="en-US"/>
              </w:rPr>
              <w:t>Scheme to use for retransmissions after switching to a different modulation and coding scheme (MCS or UBS)</w:t>
            </w:r>
          </w:p>
        </w:tc>
      </w:tr>
      <w:tr w:rsidR="00711444" w:rsidRPr="004D0DAA" w14:paraId="07EAE5E9" w14:textId="77777777" w:rsidTr="00AA2A4C">
        <w:trPr>
          <w:trHeight w:val="567"/>
        </w:trPr>
        <w:tc>
          <w:tcPr>
            <w:tcW w:w="749" w:type="dxa"/>
            <w:tcMar>
              <w:left w:w="28" w:type="dxa"/>
              <w:right w:w="28" w:type="dxa"/>
            </w:tcMar>
          </w:tcPr>
          <w:p w14:paraId="54D69453" w14:textId="77777777" w:rsidR="00711444" w:rsidRPr="004D0DAA" w:rsidRDefault="00711444" w:rsidP="00AA2A4C">
            <w:pPr>
              <w:spacing w:after="0"/>
              <w:jc w:val="center"/>
            </w:pPr>
          </w:p>
        </w:tc>
        <w:tc>
          <w:tcPr>
            <w:tcW w:w="750" w:type="dxa"/>
            <w:tcMar>
              <w:left w:w="28" w:type="dxa"/>
              <w:right w:w="28" w:type="dxa"/>
            </w:tcMar>
          </w:tcPr>
          <w:p w14:paraId="47051569" w14:textId="77777777" w:rsidR="00711444" w:rsidRPr="004D0DAA" w:rsidRDefault="00711444" w:rsidP="00AA2A4C">
            <w:pPr>
              <w:pStyle w:val="TAC"/>
              <w:rPr>
                <w:lang w:eastAsia="en-US"/>
              </w:rPr>
            </w:pPr>
            <w:r w:rsidRPr="004D0DAA">
              <w:rPr>
                <w:b/>
                <w:bCs/>
                <w:lang w:eastAsia="en-US"/>
              </w:rPr>
              <w:t>UBS-12 Commanded</w:t>
            </w:r>
          </w:p>
        </w:tc>
        <w:tc>
          <w:tcPr>
            <w:tcW w:w="756" w:type="dxa"/>
            <w:tcMar>
              <w:left w:w="57" w:type="dxa"/>
              <w:right w:w="57" w:type="dxa"/>
            </w:tcMar>
          </w:tcPr>
          <w:p w14:paraId="29132E25" w14:textId="77777777" w:rsidR="00711444" w:rsidRPr="004D0DAA" w:rsidRDefault="00711444" w:rsidP="00AA2A4C">
            <w:pPr>
              <w:pStyle w:val="TAC"/>
              <w:rPr>
                <w:lang w:eastAsia="en-US"/>
              </w:rPr>
            </w:pPr>
            <w:r w:rsidRPr="004D0DAA">
              <w:rPr>
                <w:b/>
                <w:bCs/>
                <w:lang w:eastAsia="en-US"/>
              </w:rPr>
              <w:t>UBS-11 Commanded</w:t>
            </w:r>
          </w:p>
        </w:tc>
        <w:tc>
          <w:tcPr>
            <w:tcW w:w="751" w:type="dxa"/>
            <w:tcMar>
              <w:left w:w="28" w:type="dxa"/>
              <w:right w:w="28" w:type="dxa"/>
            </w:tcMar>
          </w:tcPr>
          <w:p w14:paraId="5FDE027A" w14:textId="77777777" w:rsidR="00711444" w:rsidRPr="004D0DAA" w:rsidRDefault="00711444" w:rsidP="00AA2A4C">
            <w:pPr>
              <w:pStyle w:val="TAC"/>
              <w:rPr>
                <w:lang w:eastAsia="en-US"/>
              </w:rPr>
            </w:pPr>
            <w:r w:rsidRPr="004D0DAA">
              <w:rPr>
                <w:b/>
                <w:bCs/>
                <w:lang w:eastAsia="en-US"/>
              </w:rPr>
              <w:t>UBS-10 Commanded</w:t>
            </w:r>
          </w:p>
        </w:tc>
        <w:tc>
          <w:tcPr>
            <w:tcW w:w="751" w:type="dxa"/>
            <w:tcMar>
              <w:left w:w="28" w:type="dxa"/>
              <w:right w:w="28" w:type="dxa"/>
            </w:tcMar>
          </w:tcPr>
          <w:p w14:paraId="6311F5A2" w14:textId="77777777" w:rsidR="00711444" w:rsidRPr="004D0DAA" w:rsidRDefault="00711444" w:rsidP="00AA2A4C">
            <w:pPr>
              <w:pStyle w:val="TAC"/>
              <w:rPr>
                <w:lang w:eastAsia="en-US"/>
              </w:rPr>
            </w:pPr>
            <w:r w:rsidRPr="004D0DAA">
              <w:rPr>
                <w:b/>
                <w:bCs/>
                <w:lang w:eastAsia="en-US"/>
              </w:rPr>
              <w:t>UBS-9 Commanded</w:t>
            </w:r>
          </w:p>
        </w:tc>
        <w:tc>
          <w:tcPr>
            <w:tcW w:w="752" w:type="dxa"/>
            <w:tcMar>
              <w:left w:w="28" w:type="dxa"/>
              <w:right w:w="28" w:type="dxa"/>
            </w:tcMar>
          </w:tcPr>
          <w:p w14:paraId="43093699" w14:textId="77777777" w:rsidR="00711444" w:rsidRPr="004D0DAA" w:rsidRDefault="00711444" w:rsidP="00AA2A4C">
            <w:pPr>
              <w:pStyle w:val="TAC"/>
              <w:rPr>
                <w:lang w:eastAsia="en-US"/>
              </w:rPr>
            </w:pPr>
            <w:r w:rsidRPr="004D0DAA">
              <w:rPr>
                <w:b/>
                <w:bCs/>
                <w:lang w:eastAsia="en-US"/>
              </w:rPr>
              <w:t>UBS-8 Commanded</w:t>
            </w:r>
          </w:p>
        </w:tc>
        <w:tc>
          <w:tcPr>
            <w:tcW w:w="752" w:type="dxa"/>
            <w:tcMar>
              <w:left w:w="28" w:type="dxa"/>
              <w:right w:w="28" w:type="dxa"/>
            </w:tcMar>
          </w:tcPr>
          <w:p w14:paraId="538050E4" w14:textId="77777777" w:rsidR="00711444" w:rsidRPr="004D0DAA" w:rsidRDefault="00711444" w:rsidP="00AA2A4C">
            <w:pPr>
              <w:pStyle w:val="TAC"/>
              <w:rPr>
                <w:lang w:eastAsia="en-US"/>
              </w:rPr>
            </w:pPr>
            <w:r w:rsidRPr="004D0DAA">
              <w:rPr>
                <w:b/>
                <w:bCs/>
                <w:lang w:eastAsia="en-US"/>
              </w:rPr>
              <w:t>UBS-7 Commanded</w:t>
            </w:r>
          </w:p>
        </w:tc>
        <w:tc>
          <w:tcPr>
            <w:tcW w:w="751" w:type="dxa"/>
            <w:tcMar>
              <w:left w:w="28" w:type="dxa"/>
              <w:right w:w="28" w:type="dxa"/>
            </w:tcMar>
          </w:tcPr>
          <w:p w14:paraId="7CAC1557" w14:textId="77777777" w:rsidR="00711444" w:rsidRPr="004D0DAA" w:rsidRDefault="00711444" w:rsidP="00AA2A4C">
            <w:pPr>
              <w:pStyle w:val="TAC"/>
              <w:rPr>
                <w:lang w:eastAsia="en-US"/>
              </w:rPr>
            </w:pPr>
            <w:r w:rsidRPr="004D0DAA">
              <w:rPr>
                <w:b/>
                <w:bCs/>
                <w:lang w:eastAsia="en-US"/>
              </w:rPr>
              <w:t>UBS-6 Commanded</w:t>
            </w:r>
          </w:p>
        </w:tc>
        <w:tc>
          <w:tcPr>
            <w:tcW w:w="752" w:type="dxa"/>
            <w:tcMar>
              <w:left w:w="28" w:type="dxa"/>
              <w:right w:w="28" w:type="dxa"/>
            </w:tcMar>
          </w:tcPr>
          <w:p w14:paraId="70BB94A0" w14:textId="77777777" w:rsidR="00711444" w:rsidRPr="004D0DAA" w:rsidRDefault="00711444" w:rsidP="00AA2A4C">
            <w:pPr>
              <w:pStyle w:val="TAC"/>
              <w:rPr>
                <w:lang w:eastAsia="en-US"/>
              </w:rPr>
            </w:pPr>
            <w:r w:rsidRPr="004D0DAA">
              <w:rPr>
                <w:b/>
                <w:bCs/>
                <w:lang w:eastAsia="en-US"/>
              </w:rPr>
              <w:t>UBS-5 Commanded</w:t>
            </w:r>
          </w:p>
        </w:tc>
        <w:tc>
          <w:tcPr>
            <w:tcW w:w="752" w:type="dxa"/>
            <w:tcMar>
              <w:left w:w="28" w:type="dxa"/>
              <w:right w:w="28" w:type="dxa"/>
            </w:tcMar>
          </w:tcPr>
          <w:p w14:paraId="6741BF39" w14:textId="77777777" w:rsidR="00711444" w:rsidRPr="004D0DAA" w:rsidRDefault="00711444" w:rsidP="00AA2A4C">
            <w:pPr>
              <w:pStyle w:val="TAC"/>
              <w:rPr>
                <w:lang w:eastAsia="en-US"/>
              </w:rPr>
            </w:pPr>
            <w:r w:rsidRPr="004D0DAA">
              <w:rPr>
                <w:b/>
                <w:bCs/>
                <w:lang w:eastAsia="en-US"/>
              </w:rPr>
              <w:t>MCS-4 Commanded</w:t>
            </w:r>
          </w:p>
        </w:tc>
        <w:tc>
          <w:tcPr>
            <w:tcW w:w="751" w:type="dxa"/>
            <w:tcMar>
              <w:left w:w="28" w:type="dxa"/>
              <w:right w:w="28" w:type="dxa"/>
            </w:tcMar>
          </w:tcPr>
          <w:p w14:paraId="6051ECB5" w14:textId="77777777" w:rsidR="00711444" w:rsidRPr="004D0DAA" w:rsidRDefault="00711444" w:rsidP="00AA2A4C">
            <w:pPr>
              <w:pStyle w:val="TAC"/>
              <w:rPr>
                <w:lang w:eastAsia="en-US"/>
              </w:rPr>
            </w:pPr>
            <w:r w:rsidRPr="004D0DAA">
              <w:rPr>
                <w:b/>
                <w:bCs/>
                <w:lang w:eastAsia="en-US"/>
              </w:rPr>
              <w:t>MCS-3 Commanded</w:t>
            </w:r>
          </w:p>
        </w:tc>
        <w:tc>
          <w:tcPr>
            <w:tcW w:w="752" w:type="dxa"/>
            <w:tcMar>
              <w:left w:w="28" w:type="dxa"/>
              <w:right w:w="28" w:type="dxa"/>
            </w:tcMar>
          </w:tcPr>
          <w:p w14:paraId="41F2D763" w14:textId="77777777" w:rsidR="00711444" w:rsidRPr="004D0DAA" w:rsidRDefault="00711444" w:rsidP="00AA2A4C">
            <w:pPr>
              <w:pStyle w:val="TAC"/>
              <w:rPr>
                <w:lang w:eastAsia="en-US"/>
              </w:rPr>
            </w:pPr>
            <w:r w:rsidRPr="004D0DAA">
              <w:rPr>
                <w:b/>
                <w:bCs/>
                <w:lang w:eastAsia="en-US"/>
              </w:rPr>
              <w:t>MCS-2 Commanded</w:t>
            </w:r>
          </w:p>
        </w:tc>
        <w:tc>
          <w:tcPr>
            <w:tcW w:w="756" w:type="dxa"/>
            <w:tcMar>
              <w:left w:w="28" w:type="dxa"/>
              <w:right w:w="28" w:type="dxa"/>
            </w:tcMar>
          </w:tcPr>
          <w:p w14:paraId="1C3DBF91" w14:textId="77777777" w:rsidR="00711444" w:rsidRPr="004D0DAA" w:rsidRDefault="00711444" w:rsidP="00AA2A4C">
            <w:pPr>
              <w:pStyle w:val="TAC"/>
              <w:rPr>
                <w:lang w:eastAsia="en-US"/>
              </w:rPr>
            </w:pPr>
            <w:r w:rsidRPr="004D0DAA">
              <w:rPr>
                <w:b/>
                <w:bCs/>
                <w:lang w:eastAsia="en-US"/>
              </w:rPr>
              <w:t>MCS-1 Commanded</w:t>
            </w:r>
          </w:p>
        </w:tc>
      </w:tr>
      <w:tr w:rsidR="00711444" w:rsidRPr="004D0DAA" w14:paraId="1341636B" w14:textId="77777777" w:rsidTr="00AA2A4C">
        <w:tc>
          <w:tcPr>
            <w:tcW w:w="749" w:type="dxa"/>
            <w:tcMar>
              <w:left w:w="28" w:type="dxa"/>
              <w:right w:w="28" w:type="dxa"/>
            </w:tcMar>
          </w:tcPr>
          <w:p w14:paraId="5982D304" w14:textId="77777777" w:rsidR="00711444" w:rsidRPr="004D0DAA" w:rsidRDefault="00711444" w:rsidP="00AA2A4C">
            <w:pPr>
              <w:pStyle w:val="TAC"/>
              <w:rPr>
                <w:lang w:eastAsia="en-US"/>
              </w:rPr>
            </w:pPr>
            <w:r w:rsidRPr="004D0DAA">
              <w:rPr>
                <w:lang w:eastAsia="en-US"/>
              </w:rPr>
              <w:t>UBS-12</w:t>
            </w:r>
          </w:p>
        </w:tc>
        <w:tc>
          <w:tcPr>
            <w:tcW w:w="750" w:type="dxa"/>
            <w:tcMar>
              <w:left w:w="28" w:type="dxa"/>
              <w:right w:w="28" w:type="dxa"/>
            </w:tcMar>
          </w:tcPr>
          <w:p w14:paraId="0AE62336" w14:textId="77777777" w:rsidR="00711444" w:rsidRPr="004D0DAA" w:rsidRDefault="00711444" w:rsidP="00AA2A4C">
            <w:pPr>
              <w:pStyle w:val="TAC"/>
              <w:rPr>
                <w:lang w:eastAsia="en-US"/>
              </w:rPr>
            </w:pPr>
            <w:r w:rsidRPr="004D0DAA">
              <w:rPr>
                <w:lang w:eastAsia="en-US"/>
              </w:rPr>
              <w:t>UBS-12</w:t>
            </w:r>
          </w:p>
        </w:tc>
        <w:tc>
          <w:tcPr>
            <w:tcW w:w="756" w:type="dxa"/>
            <w:tcMar>
              <w:left w:w="28" w:type="dxa"/>
              <w:right w:w="28" w:type="dxa"/>
            </w:tcMar>
          </w:tcPr>
          <w:p w14:paraId="39E19187"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1D98C9C0"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09809F33"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26680FD7"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01347A4F" w14:textId="77777777" w:rsidR="00711444" w:rsidRPr="004D0DAA" w:rsidRDefault="00711444" w:rsidP="00AA2A4C">
            <w:pPr>
              <w:pStyle w:val="TAC"/>
              <w:rPr>
                <w:lang w:eastAsia="en-US"/>
              </w:rPr>
            </w:pPr>
            <w:r w:rsidRPr="004D0DAA">
              <w:rPr>
                <w:lang w:eastAsia="en-US"/>
              </w:rPr>
              <w:t>UBS-6</w:t>
            </w:r>
          </w:p>
        </w:tc>
        <w:tc>
          <w:tcPr>
            <w:tcW w:w="751" w:type="dxa"/>
            <w:tcMar>
              <w:left w:w="28" w:type="dxa"/>
              <w:right w:w="28" w:type="dxa"/>
            </w:tcMar>
          </w:tcPr>
          <w:p w14:paraId="5544DBF3" w14:textId="77777777" w:rsidR="00711444" w:rsidRPr="004D0DAA" w:rsidRDefault="00711444" w:rsidP="00AA2A4C">
            <w:pPr>
              <w:pStyle w:val="TAC"/>
              <w:rPr>
                <w:lang w:eastAsia="en-US"/>
              </w:rPr>
            </w:pPr>
            <w:r w:rsidRPr="004D0DAA">
              <w:rPr>
                <w:lang w:eastAsia="en-US"/>
              </w:rPr>
              <w:t>UBS-6</w:t>
            </w:r>
          </w:p>
        </w:tc>
        <w:tc>
          <w:tcPr>
            <w:tcW w:w="752" w:type="dxa"/>
            <w:tcMar>
              <w:left w:w="28" w:type="dxa"/>
              <w:right w:w="28" w:type="dxa"/>
            </w:tcMar>
          </w:tcPr>
          <w:p w14:paraId="4DB6DC68"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7B3272FF"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59728C15"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1A74EDC1"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12D1BCB7" w14:textId="77777777" w:rsidR="00711444" w:rsidRPr="004D0DAA" w:rsidRDefault="00711444" w:rsidP="00AA2A4C">
            <w:pPr>
              <w:pStyle w:val="TAC"/>
              <w:rPr>
                <w:lang w:eastAsia="en-US"/>
              </w:rPr>
            </w:pPr>
            <w:r w:rsidRPr="004D0DAA">
              <w:rPr>
                <w:lang w:eastAsia="en-US"/>
              </w:rPr>
              <w:t>MCS-3</w:t>
            </w:r>
          </w:p>
        </w:tc>
      </w:tr>
      <w:tr w:rsidR="00711444" w:rsidRPr="004D0DAA" w14:paraId="3ADB1138" w14:textId="77777777" w:rsidTr="00AA2A4C">
        <w:tc>
          <w:tcPr>
            <w:tcW w:w="749" w:type="dxa"/>
            <w:tcMar>
              <w:left w:w="28" w:type="dxa"/>
              <w:right w:w="28" w:type="dxa"/>
            </w:tcMar>
          </w:tcPr>
          <w:p w14:paraId="4E8FB66B" w14:textId="77777777" w:rsidR="00711444" w:rsidRPr="004D0DAA" w:rsidRDefault="00711444" w:rsidP="00AA2A4C">
            <w:pPr>
              <w:pStyle w:val="TAC"/>
              <w:rPr>
                <w:lang w:eastAsia="en-US"/>
              </w:rPr>
            </w:pPr>
            <w:r w:rsidRPr="004D0DAA">
              <w:rPr>
                <w:lang w:eastAsia="en-US"/>
              </w:rPr>
              <w:t>UBS-11</w:t>
            </w:r>
          </w:p>
        </w:tc>
        <w:tc>
          <w:tcPr>
            <w:tcW w:w="750" w:type="dxa"/>
            <w:tcMar>
              <w:left w:w="28" w:type="dxa"/>
              <w:right w:w="28" w:type="dxa"/>
            </w:tcMar>
          </w:tcPr>
          <w:p w14:paraId="7A5609B3" w14:textId="77777777" w:rsidR="00711444" w:rsidRPr="004D0DAA" w:rsidRDefault="00711444" w:rsidP="00AA2A4C">
            <w:pPr>
              <w:pStyle w:val="TAC"/>
              <w:rPr>
                <w:lang w:eastAsia="en-US"/>
              </w:rPr>
            </w:pPr>
            <w:r w:rsidRPr="004D0DAA">
              <w:rPr>
                <w:lang w:eastAsia="en-US"/>
              </w:rPr>
              <w:t>UBS-11</w:t>
            </w:r>
          </w:p>
        </w:tc>
        <w:tc>
          <w:tcPr>
            <w:tcW w:w="756" w:type="dxa"/>
            <w:tcMar>
              <w:left w:w="28" w:type="dxa"/>
              <w:right w:w="28" w:type="dxa"/>
            </w:tcMar>
          </w:tcPr>
          <w:p w14:paraId="51BF0845" w14:textId="77777777" w:rsidR="00711444" w:rsidRPr="004D0DAA" w:rsidRDefault="00711444" w:rsidP="00AA2A4C">
            <w:pPr>
              <w:pStyle w:val="TAC"/>
              <w:rPr>
                <w:lang w:eastAsia="en-US"/>
              </w:rPr>
            </w:pPr>
            <w:r w:rsidRPr="004D0DAA">
              <w:rPr>
                <w:lang w:eastAsia="en-US"/>
              </w:rPr>
              <w:t>UBS-11</w:t>
            </w:r>
          </w:p>
        </w:tc>
        <w:tc>
          <w:tcPr>
            <w:tcW w:w="751" w:type="dxa"/>
            <w:tcMar>
              <w:left w:w="28" w:type="dxa"/>
              <w:right w:w="28" w:type="dxa"/>
            </w:tcMar>
          </w:tcPr>
          <w:p w14:paraId="28AD1CCE" w14:textId="77777777" w:rsidR="00711444" w:rsidRPr="004D0DAA" w:rsidRDefault="00711444" w:rsidP="00AA2A4C">
            <w:pPr>
              <w:pStyle w:val="TAC"/>
              <w:rPr>
                <w:lang w:eastAsia="en-US"/>
              </w:rPr>
            </w:pPr>
            <w:r w:rsidRPr="004D0DAA">
              <w:rPr>
                <w:lang w:eastAsia="en-US"/>
              </w:rPr>
              <w:t>UBS-10</w:t>
            </w:r>
            <w:r w:rsidRPr="004D0DAA">
              <w:rPr>
                <w:lang w:eastAsia="en-US"/>
              </w:rPr>
              <w:br/>
              <w:t>(pad)</w:t>
            </w:r>
          </w:p>
        </w:tc>
        <w:tc>
          <w:tcPr>
            <w:tcW w:w="751" w:type="dxa"/>
            <w:tcMar>
              <w:left w:w="28" w:type="dxa"/>
              <w:right w:w="28" w:type="dxa"/>
            </w:tcMar>
          </w:tcPr>
          <w:p w14:paraId="1436C73B" w14:textId="77777777" w:rsidR="00711444" w:rsidRPr="004D0DAA" w:rsidRDefault="00711444" w:rsidP="00AA2A4C">
            <w:pPr>
              <w:pStyle w:val="TAC"/>
              <w:rPr>
                <w:lang w:eastAsia="en-US"/>
              </w:rPr>
            </w:pPr>
            <w:r w:rsidRPr="004D0DAA">
              <w:rPr>
                <w:lang w:eastAsia="en-US"/>
              </w:rPr>
              <w:t>UBS-8</w:t>
            </w:r>
            <w:r w:rsidRPr="004D0DAA">
              <w:rPr>
                <w:lang w:eastAsia="en-US"/>
              </w:rPr>
              <w:br/>
              <w:t>(pad)</w:t>
            </w:r>
          </w:p>
        </w:tc>
        <w:tc>
          <w:tcPr>
            <w:tcW w:w="752" w:type="dxa"/>
            <w:tcMar>
              <w:left w:w="28" w:type="dxa"/>
              <w:right w:w="28" w:type="dxa"/>
            </w:tcMar>
          </w:tcPr>
          <w:p w14:paraId="1485E559" w14:textId="77777777" w:rsidR="00711444" w:rsidRPr="004D0DAA" w:rsidRDefault="00711444" w:rsidP="00AA2A4C">
            <w:pPr>
              <w:pStyle w:val="TAC"/>
              <w:rPr>
                <w:lang w:eastAsia="en-US"/>
              </w:rPr>
            </w:pPr>
            <w:r w:rsidRPr="004D0DAA">
              <w:rPr>
                <w:lang w:eastAsia="en-US"/>
              </w:rPr>
              <w:t>UBS-8</w:t>
            </w:r>
            <w:r w:rsidRPr="004D0DAA">
              <w:rPr>
                <w:lang w:eastAsia="en-US"/>
              </w:rPr>
              <w:br/>
              <w:t>(pad)</w:t>
            </w:r>
          </w:p>
        </w:tc>
        <w:tc>
          <w:tcPr>
            <w:tcW w:w="752" w:type="dxa"/>
            <w:tcMar>
              <w:left w:w="28" w:type="dxa"/>
              <w:right w:w="28" w:type="dxa"/>
            </w:tcMar>
          </w:tcPr>
          <w:p w14:paraId="6FBC42AC"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1" w:type="dxa"/>
            <w:tcMar>
              <w:left w:w="28" w:type="dxa"/>
              <w:right w:w="28" w:type="dxa"/>
            </w:tcMar>
          </w:tcPr>
          <w:p w14:paraId="2456BB4B"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2" w:type="dxa"/>
            <w:tcMar>
              <w:left w:w="28" w:type="dxa"/>
              <w:right w:w="28" w:type="dxa"/>
            </w:tcMar>
          </w:tcPr>
          <w:p w14:paraId="2E5BFAFF"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52" w:type="dxa"/>
            <w:tcMar>
              <w:left w:w="28" w:type="dxa"/>
              <w:right w:w="28" w:type="dxa"/>
            </w:tcMar>
          </w:tcPr>
          <w:p w14:paraId="19B8DECF"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51" w:type="dxa"/>
            <w:tcMar>
              <w:left w:w="28" w:type="dxa"/>
              <w:right w:w="28" w:type="dxa"/>
            </w:tcMar>
          </w:tcPr>
          <w:p w14:paraId="64485A54"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52" w:type="dxa"/>
            <w:tcMar>
              <w:left w:w="28" w:type="dxa"/>
              <w:right w:w="28" w:type="dxa"/>
            </w:tcMar>
          </w:tcPr>
          <w:p w14:paraId="46BE2C05"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c>
          <w:tcPr>
            <w:tcW w:w="756" w:type="dxa"/>
            <w:tcMar>
              <w:left w:w="28" w:type="dxa"/>
              <w:right w:w="28" w:type="dxa"/>
            </w:tcMar>
          </w:tcPr>
          <w:p w14:paraId="08AB9E0D" w14:textId="77777777" w:rsidR="00711444" w:rsidRPr="004D0DAA" w:rsidRDefault="00711444" w:rsidP="00AA2A4C">
            <w:pPr>
              <w:pStyle w:val="TAC"/>
              <w:rPr>
                <w:lang w:eastAsia="en-US"/>
              </w:rPr>
            </w:pPr>
            <w:r w:rsidRPr="004D0DAA">
              <w:rPr>
                <w:lang w:eastAsia="en-US"/>
              </w:rPr>
              <w:t>MCS-3</w:t>
            </w:r>
            <w:r w:rsidRPr="004D0DAA">
              <w:rPr>
                <w:lang w:eastAsia="en-US"/>
              </w:rPr>
              <w:br/>
              <w:t>(pad)</w:t>
            </w:r>
          </w:p>
        </w:tc>
      </w:tr>
      <w:tr w:rsidR="00711444" w:rsidRPr="004D0DAA" w14:paraId="1BDE8373" w14:textId="77777777" w:rsidTr="00AA2A4C">
        <w:tc>
          <w:tcPr>
            <w:tcW w:w="749" w:type="dxa"/>
            <w:tcMar>
              <w:left w:w="28" w:type="dxa"/>
              <w:right w:w="28" w:type="dxa"/>
            </w:tcMar>
          </w:tcPr>
          <w:p w14:paraId="0130698A" w14:textId="77777777" w:rsidR="00711444" w:rsidRPr="004D0DAA" w:rsidRDefault="00711444" w:rsidP="00AA2A4C">
            <w:pPr>
              <w:pStyle w:val="TAC"/>
              <w:rPr>
                <w:lang w:eastAsia="en-US"/>
              </w:rPr>
            </w:pPr>
            <w:r w:rsidRPr="004D0DAA">
              <w:rPr>
                <w:lang w:eastAsia="en-US"/>
              </w:rPr>
              <w:t>UBS-10</w:t>
            </w:r>
          </w:p>
        </w:tc>
        <w:tc>
          <w:tcPr>
            <w:tcW w:w="750" w:type="dxa"/>
            <w:tcMar>
              <w:left w:w="28" w:type="dxa"/>
              <w:right w:w="28" w:type="dxa"/>
            </w:tcMar>
          </w:tcPr>
          <w:p w14:paraId="394D7E98" w14:textId="77777777" w:rsidR="00711444" w:rsidRPr="004D0DAA" w:rsidRDefault="00711444" w:rsidP="00AA2A4C">
            <w:pPr>
              <w:pStyle w:val="TAC"/>
              <w:rPr>
                <w:lang w:eastAsia="en-US"/>
              </w:rPr>
            </w:pPr>
            <w:r w:rsidRPr="004D0DAA">
              <w:rPr>
                <w:lang w:eastAsia="en-US"/>
              </w:rPr>
              <w:t>UBS-12</w:t>
            </w:r>
          </w:p>
        </w:tc>
        <w:tc>
          <w:tcPr>
            <w:tcW w:w="756" w:type="dxa"/>
            <w:tcMar>
              <w:left w:w="28" w:type="dxa"/>
              <w:right w:w="28" w:type="dxa"/>
            </w:tcMar>
          </w:tcPr>
          <w:p w14:paraId="6CFE4E2E"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730A3285"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6941033D"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7E261CCA"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172B653A" w14:textId="77777777" w:rsidR="00711444" w:rsidRPr="004D0DAA" w:rsidRDefault="00711444" w:rsidP="00AA2A4C">
            <w:pPr>
              <w:pStyle w:val="TAC"/>
              <w:rPr>
                <w:lang w:eastAsia="en-US"/>
              </w:rPr>
            </w:pPr>
            <w:r w:rsidRPr="004D0DAA">
              <w:rPr>
                <w:lang w:eastAsia="en-US"/>
              </w:rPr>
              <w:t>UBS-6</w:t>
            </w:r>
          </w:p>
        </w:tc>
        <w:tc>
          <w:tcPr>
            <w:tcW w:w="751" w:type="dxa"/>
            <w:tcMar>
              <w:left w:w="28" w:type="dxa"/>
              <w:right w:w="28" w:type="dxa"/>
            </w:tcMar>
          </w:tcPr>
          <w:p w14:paraId="76D70EA6" w14:textId="77777777" w:rsidR="00711444" w:rsidRPr="004D0DAA" w:rsidRDefault="00711444" w:rsidP="00AA2A4C">
            <w:pPr>
              <w:pStyle w:val="TAC"/>
              <w:rPr>
                <w:lang w:eastAsia="en-US"/>
              </w:rPr>
            </w:pPr>
            <w:r w:rsidRPr="004D0DAA">
              <w:rPr>
                <w:lang w:eastAsia="en-US"/>
              </w:rPr>
              <w:t>UBS-6</w:t>
            </w:r>
          </w:p>
        </w:tc>
        <w:tc>
          <w:tcPr>
            <w:tcW w:w="752" w:type="dxa"/>
            <w:tcMar>
              <w:left w:w="28" w:type="dxa"/>
              <w:right w:w="28" w:type="dxa"/>
            </w:tcMar>
          </w:tcPr>
          <w:p w14:paraId="3359F96E"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1DC2C602"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5432F46C"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41D7A7D4"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094E4CA1" w14:textId="77777777" w:rsidR="00711444" w:rsidRPr="004D0DAA" w:rsidRDefault="00711444" w:rsidP="00AA2A4C">
            <w:pPr>
              <w:pStyle w:val="TAC"/>
              <w:rPr>
                <w:lang w:eastAsia="en-US"/>
              </w:rPr>
            </w:pPr>
            <w:r w:rsidRPr="004D0DAA">
              <w:rPr>
                <w:lang w:eastAsia="en-US"/>
              </w:rPr>
              <w:t>MCS-3</w:t>
            </w:r>
          </w:p>
        </w:tc>
      </w:tr>
      <w:tr w:rsidR="00711444" w:rsidRPr="004D0DAA" w14:paraId="548BACA1" w14:textId="77777777" w:rsidTr="00AA2A4C">
        <w:tc>
          <w:tcPr>
            <w:tcW w:w="749" w:type="dxa"/>
            <w:tcMar>
              <w:left w:w="28" w:type="dxa"/>
              <w:right w:w="28" w:type="dxa"/>
            </w:tcMar>
          </w:tcPr>
          <w:p w14:paraId="426586C7" w14:textId="77777777" w:rsidR="00711444" w:rsidRPr="004D0DAA" w:rsidRDefault="00711444" w:rsidP="00AA2A4C">
            <w:pPr>
              <w:pStyle w:val="TAC"/>
              <w:rPr>
                <w:lang w:eastAsia="en-US"/>
              </w:rPr>
            </w:pPr>
            <w:r w:rsidRPr="004D0DAA">
              <w:rPr>
                <w:lang w:eastAsia="en-US"/>
              </w:rPr>
              <w:t>UBS-9</w:t>
            </w:r>
          </w:p>
        </w:tc>
        <w:tc>
          <w:tcPr>
            <w:tcW w:w="750" w:type="dxa"/>
            <w:tcMar>
              <w:left w:w="28" w:type="dxa"/>
              <w:right w:w="28" w:type="dxa"/>
            </w:tcMar>
          </w:tcPr>
          <w:p w14:paraId="4BF05C61" w14:textId="77777777" w:rsidR="00711444" w:rsidRPr="004D0DAA" w:rsidRDefault="00711444" w:rsidP="00AA2A4C">
            <w:pPr>
              <w:pStyle w:val="TAC"/>
              <w:rPr>
                <w:lang w:eastAsia="en-US"/>
              </w:rPr>
            </w:pPr>
            <w:r w:rsidRPr="004D0DAA">
              <w:rPr>
                <w:lang w:eastAsia="en-US"/>
              </w:rPr>
              <w:t>UBS-9</w:t>
            </w:r>
          </w:p>
        </w:tc>
        <w:tc>
          <w:tcPr>
            <w:tcW w:w="756" w:type="dxa"/>
            <w:tcMar>
              <w:left w:w="28" w:type="dxa"/>
              <w:right w:w="28" w:type="dxa"/>
            </w:tcMar>
          </w:tcPr>
          <w:p w14:paraId="5F14D824"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3DB4D44A"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5D40F459" w14:textId="77777777" w:rsidR="00711444" w:rsidRPr="004D0DAA" w:rsidRDefault="00711444" w:rsidP="00AA2A4C">
            <w:pPr>
              <w:pStyle w:val="TAC"/>
              <w:rPr>
                <w:lang w:eastAsia="en-US"/>
              </w:rPr>
            </w:pPr>
            <w:r w:rsidRPr="004D0DAA">
              <w:rPr>
                <w:lang w:eastAsia="en-US"/>
              </w:rPr>
              <w:t>UBS-9</w:t>
            </w:r>
          </w:p>
        </w:tc>
        <w:tc>
          <w:tcPr>
            <w:tcW w:w="752" w:type="dxa"/>
            <w:tcMar>
              <w:left w:w="28" w:type="dxa"/>
              <w:right w:w="28" w:type="dxa"/>
            </w:tcMar>
          </w:tcPr>
          <w:p w14:paraId="1FEACF87" w14:textId="77777777" w:rsidR="00711444" w:rsidRPr="004D0DAA" w:rsidRDefault="00711444" w:rsidP="00AA2A4C">
            <w:pPr>
              <w:pStyle w:val="TAC"/>
              <w:rPr>
                <w:lang w:eastAsia="en-US"/>
              </w:rPr>
            </w:pPr>
            <w:r w:rsidRPr="004D0DAA">
              <w:rPr>
                <w:lang w:eastAsia="en-US"/>
              </w:rPr>
              <w:t>UBS-7</w:t>
            </w:r>
          </w:p>
        </w:tc>
        <w:tc>
          <w:tcPr>
            <w:tcW w:w="752" w:type="dxa"/>
            <w:tcMar>
              <w:left w:w="28" w:type="dxa"/>
              <w:right w:w="28" w:type="dxa"/>
            </w:tcMar>
          </w:tcPr>
          <w:p w14:paraId="0E2835AE" w14:textId="77777777" w:rsidR="00711444" w:rsidRPr="004D0DAA" w:rsidRDefault="00711444" w:rsidP="00AA2A4C">
            <w:pPr>
              <w:pStyle w:val="TAC"/>
              <w:rPr>
                <w:lang w:eastAsia="en-US"/>
              </w:rPr>
            </w:pPr>
            <w:r w:rsidRPr="004D0DAA">
              <w:rPr>
                <w:lang w:eastAsia="en-US"/>
              </w:rPr>
              <w:t>UBS-7</w:t>
            </w:r>
          </w:p>
        </w:tc>
        <w:tc>
          <w:tcPr>
            <w:tcW w:w="751" w:type="dxa"/>
            <w:tcMar>
              <w:left w:w="28" w:type="dxa"/>
              <w:right w:w="28" w:type="dxa"/>
            </w:tcMar>
          </w:tcPr>
          <w:p w14:paraId="379FFA33"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0F4E53E4"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4AF511BE"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36B67D8A"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11FAF6F8" w14:textId="77777777" w:rsidR="00711444" w:rsidRPr="004D0DAA" w:rsidRDefault="00711444" w:rsidP="00AA2A4C">
            <w:pPr>
              <w:pStyle w:val="TAC"/>
              <w:rPr>
                <w:lang w:eastAsia="en-US"/>
              </w:rPr>
            </w:pPr>
            <w:r w:rsidRPr="004D0DAA">
              <w:rPr>
                <w:lang w:eastAsia="en-US"/>
              </w:rPr>
              <w:t>MCS-2</w:t>
            </w:r>
          </w:p>
        </w:tc>
        <w:tc>
          <w:tcPr>
            <w:tcW w:w="756" w:type="dxa"/>
            <w:tcMar>
              <w:left w:w="28" w:type="dxa"/>
              <w:right w:w="28" w:type="dxa"/>
            </w:tcMar>
          </w:tcPr>
          <w:p w14:paraId="63E147C8" w14:textId="77777777" w:rsidR="00711444" w:rsidRPr="004D0DAA" w:rsidRDefault="00711444" w:rsidP="00AA2A4C">
            <w:pPr>
              <w:pStyle w:val="TAC"/>
              <w:rPr>
                <w:lang w:eastAsia="en-US"/>
              </w:rPr>
            </w:pPr>
            <w:r w:rsidRPr="004D0DAA">
              <w:rPr>
                <w:lang w:eastAsia="en-US"/>
              </w:rPr>
              <w:t>MCS-2</w:t>
            </w:r>
          </w:p>
        </w:tc>
      </w:tr>
      <w:tr w:rsidR="00711444" w:rsidRPr="004D0DAA" w14:paraId="3982CF5F" w14:textId="77777777" w:rsidTr="00AA2A4C">
        <w:tc>
          <w:tcPr>
            <w:tcW w:w="749" w:type="dxa"/>
            <w:tcMar>
              <w:left w:w="28" w:type="dxa"/>
              <w:right w:w="28" w:type="dxa"/>
            </w:tcMar>
          </w:tcPr>
          <w:p w14:paraId="0D6A88B0" w14:textId="77777777" w:rsidR="00711444" w:rsidRPr="004D0DAA" w:rsidRDefault="00711444" w:rsidP="00AA2A4C">
            <w:pPr>
              <w:pStyle w:val="TAC"/>
              <w:rPr>
                <w:lang w:eastAsia="en-US"/>
              </w:rPr>
            </w:pPr>
            <w:r w:rsidRPr="004D0DAA">
              <w:rPr>
                <w:lang w:eastAsia="en-US"/>
              </w:rPr>
              <w:t>UBS-8</w:t>
            </w:r>
          </w:p>
        </w:tc>
        <w:tc>
          <w:tcPr>
            <w:tcW w:w="750" w:type="dxa"/>
            <w:tcMar>
              <w:left w:w="28" w:type="dxa"/>
              <w:right w:w="28" w:type="dxa"/>
            </w:tcMar>
          </w:tcPr>
          <w:p w14:paraId="4B0A8681" w14:textId="77777777" w:rsidR="00711444" w:rsidRPr="004D0DAA" w:rsidRDefault="00711444" w:rsidP="00AA2A4C">
            <w:pPr>
              <w:pStyle w:val="TAC"/>
              <w:rPr>
                <w:lang w:eastAsia="en-US"/>
              </w:rPr>
            </w:pPr>
            <w:r w:rsidRPr="004D0DAA">
              <w:rPr>
                <w:lang w:eastAsia="en-US"/>
              </w:rPr>
              <w:t>UBS-12</w:t>
            </w:r>
          </w:p>
        </w:tc>
        <w:tc>
          <w:tcPr>
            <w:tcW w:w="756" w:type="dxa"/>
            <w:tcMar>
              <w:left w:w="28" w:type="dxa"/>
              <w:right w:w="28" w:type="dxa"/>
            </w:tcMar>
          </w:tcPr>
          <w:p w14:paraId="6DD6D009"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64F7ECEB"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1648D2C2"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02CA18B9"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1E23262F" w14:textId="77777777" w:rsidR="00711444" w:rsidRPr="004D0DAA" w:rsidRDefault="00711444" w:rsidP="00AA2A4C">
            <w:pPr>
              <w:pStyle w:val="TAC"/>
              <w:rPr>
                <w:lang w:eastAsia="en-US"/>
              </w:rPr>
            </w:pPr>
            <w:r w:rsidRPr="004D0DAA">
              <w:rPr>
                <w:lang w:eastAsia="en-US"/>
              </w:rPr>
              <w:t>UBS-6</w:t>
            </w:r>
          </w:p>
        </w:tc>
        <w:tc>
          <w:tcPr>
            <w:tcW w:w="751" w:type="dxa"/>
            <w:tcMar>
              <w:left w:w="28" w:type="dxa"/>
              <w:right w:w="28" w:type="dxa"/>
            </w:tcMar>
          </w:tcPr>
          <w:p w14:paraId="457C9CA9" w14:textId="77777777" w:rsidR="00711444" w:rsidRPr="004D0DAA" w:rsidRDefault="00711444" w:rsidP="00AA2A4C">
            <w:pPr>
              <w:pStyle w:val="TAC"/>
              <w:rPr>
                <w:lang w:eastAsia="en-US"/>
              </w:rPr>
            </w:pPr>
            <w:r w:rsidRPr="004D0DAA">
              <w:rPr>
                <w:lang w:eastAsia="en-US"/>
              </w:rPr>
              <w:t>UBS-6</w:t>
            </w:r>
          </w:p>
        </w:tc>
        <w:tc>
          <w:tcPr>
            <w:tcW w:w="752" w:type="dxa"/>
            <w:tcMar>
              <w:left w:w="28" w:type="dxa"/>
              <w:right w:w="28" w:type="dxa"/>
            </w:tcMar>
          </w:tcPr>
          <w:p w14:paraId="5892EA17"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172B6760"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77297A61"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0D48D766"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3E7C16C8" w14:textId="77777777" w:rsidR="00711444" w:rsidRPr="004D0DAA" w:rsidRDefault="00711444" w:rsidP="00AA2A4C">
            <w:pPr>
              <w:pStyle w:val="TAC"/>
              <w:rPr>
                <w:lang w:eastAsia="en-US"/>
              </w:rPr>
            </w:pPr>
            <w:r w:rsidRPr="004D0DAA">
              <w:rPr>
                <w:lang w:eastAsia="en-US"/>
              </w:rPr>
              <w:t>MCS-3</w:t>
            </w:r>
          </w:p>
        </w:tc>
      </w:tr>
      <w:tr w:rsidR="00711444" w:rsidRPr="004D0DAA" w14:paraId="79DC74A4" w14:textId="77777777" w:rsidTr="00AA2A4C">
        <w:tc>
          <w:tcPr>
            <w:tcW w:w="749" w:type="dxa"/>
            <w:tcMar>
              <w:left w:w="28" w:type="dxa"/>
              <w:right w:w="28" w:type="dxa"/>
            </w:tcMar>
          </w:tcPr>
          <w:p w14:paraId="6A5A4BBF" w14:textId="77777777" w:rsidR="00711444" w:rsidRPr="004D0DAA" w:rsidRDefault="00711444" w:rsidP="00AA2A4C">
            <w:pPr>
              <w:pStyle w:val="TAC"/>
              <w:rPr>
                <w:lang w:eastAsia="en-US"/>
              </w:rPr>
            </w:pPr>
            <w:r w:rsidRPr="004D0DAA">
              <w:rPr>
                <w:lang w:eastAsia="en-US"/>
              </w:rPr>
              <w:t>UBS-7</w:t>
            </w:r>
          </w:p>
        </w:tc>
        <w:tc>
          <w:tcPr>
            <w:tcW w:w="750" w:type="dxa"/>
            <w:tcMar>
              <w:left w:w="28" w:type="dxa"/>
              <w:right w:w="28" w:type="dxa"/>
            </w:tcMar>
          </w:tcPr>
          <w:p w14:paraId="2518CF3B" w14:textId="77777777" w:rsidR="00711444" w:rsidRPr="004D0DAA" w:rsidRDefault="00711444" w:rsidP="00AA2A4C">
            <w:pPr>
              <w:pStyle w:val="TAC"/>
              <w:rPr>
                <w:lang w:eastAsia="en-US"/>
              </w:rPr>
            </w:pPr>
            <w:r w:rsidRPr="004D0DAA">
              <w:rPr>
                <w:lang w:eastAsia="en-US"/>
              </w:rPr>
              <w:t>UBS-9</w:t>
            </w:r>
          </w:p>
        </w:tc>
        <w:tc>
          <w:tcPr>
            <w:tcW w:w="756" w:type="dxa"/>
            <w:tcMar>
              <w:left w:w="28" w:type="dxa"/>
              <w:right w:w="28" w:type="dxa"/>
            </w:tcMar>
          </w:tcPr>
          <w:p w14:paraId="43D2D30A"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09F700DA"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63E852FB" w14:textId="77777777" w:rsidR="00711444" w:rsidRPr="004D0DAA" w:rsidRDefault="00711444" w:rsidP="00AA2A4C">
            <w:pPr>
              <w:pStyle w:val="TAC"/>
              <w:rPr>
                <w:lang w:eastAsia="en-US"/>
              </w:rPr>
            </w:pPr>
            <w:r w:rsidRPr="004D0DAA">
              <w:rPr>
                <w:lang w:eastAsia="en-US"/>
              </w:rPr>
              <w:t>UBS-9</w:t>
            </w:r>
          </w:p>
        </w:tc>
        <w:tc>
          <w:tcPr>
            <w:tcW w:w="752" w:type="dxa"/>
            <w:tcMar>
              <w:left w:w="28" w:type="dxa"/>
              <w:right w:w="28" w:type="dxa"/>
            </w:tcMar>
          </w:tcPr>
          <w:p w14:paraId="62C45254" w14:textId="77777777" w:rsidR="00711444" w:rsidRPr="004D0DAA" w:rsidRDefault="00711444" w:rsidP="00AA2A4C">
            <w:pPr>
              <w:pStyle w:val="TAC"/>
              <w:rPr>
                <w:lang w:eastAsia="en-US"/>
              </w:rPr>
            </w:pPr>
            <w:r w:rsidRPr="004D0DAA">
              <w:rPr>
                <w:lang w:eastAsia="en-US"/>
              </w:rPr>
              <w:t>UBS-7</w:t>
            </w:r>
          </w:p>
        </w:tc>
        <w:tc>
          <w:tcPr>
            <w:tcW w:w="752" w:type="dxa"/>
            <w:tcMar>
              <w:left w:w="28" w:type="dxa"/>
              <w:right w:w="28" w:type="dxa"/>
            </w:tcMar>
          </w:tcPr>
          <w:p w14:paraId="209756FB" w14:textId="77777777" w:rsidR="00711444" w:rsidRPr="004D0DAA" w:rsidRDefault="00711444" w:rsidP="00AA2A4C">
            <w:pPr>
              <w:pStyle w:val="TAC"/>
              <w:rPr>
                <w:lang w:eastAsia="en-US"/>
              </w:rPr>
            </w:pPr>
            <w:r w:rsidRPr="004D0DAA">
              <w:rPr>
                <w:lang w:eastAsia="en-US"/>
              </w:rPr>
              <w:t>UBS-7</w:t>
            </w:r>
          </w:p>
        </w:tc>
        <w:tc>
          <w:tcPr>
            <w:tcW w:w="751" w:type="dxa"/>
            <w:tcMar>
              <w:left w:w="28" w:type="dxa"/>
              <w:right w:w="28" w:type="dxa"/>
            </w:tcMar>
          </w:tcPr>
          <w:p w14:paraId="68F09553"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709D8F8E"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679924D5"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7926EF18"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65AF6540" w14:textId="77777777" w:rsidR="00711444" w:rsidRPr="004D0DAA" w:rsidRDefault="00711444" w:rsidP="00AA2A4C">
            <w:pPr>
              <w:pStyle w:val="TAC"/>
              <w:rPr>
                <w:lang w:eastAsia="en-US"/>
              </w:rPr>
            </w:pPr>
            <w:r w:rsidRPr="004D0DAA">
              <w:rPr>
                <w:lang w:eastAsia="en-US"/>
              </w:rPr>
              <w:t>MCS-2</w:t>
            </w:r>
          </w:p>
        </w:tc>
        <w:tc>
          <w:tcPr>
            <w:tcW w:w="756" w:type="dxa"/>
            <w:tcMar>
              <w:left w:w="28" w:type="dxa"/>
              <w:right w:w="28" w:type="dxa"/>
            </w:tcMar>
          </w:tcPr>
          <w:p w14:paraId="14CC3A12" w14:textId="77777777" w:rsidR="00711444" w:rsidRPr="004D0DAA" w:rsidRDefault="00711444" w:rsidP="00AA2A4C">
            <w:pPr>
              <w:pStyle w:val="TAC"/>
              <w:rPr>
                <w:lang w:eastAsia="en-US"/>
              </w:rPr>
            </w:pPr>
            <w:r w:rsidRPr="004D0DAA">
              <w:rPr>
                <w:lang w:eastAsia="en-US"/>
              </w:rPr>
              <w:t>MCS-2</w:t>
            </w:r>
          </w:p>
        </w:tc>
      </w:tr>
      <w:tr w:rsidR="00711444" w:rsidRPr="004D0DAA" w14:paraId="344DB742" w14:textId="77777777" w:rsidTr="00AA2A4C">
        <w:tc>
          <w:tcPr>
            <w:tcW w:w="749" w:type="dxa"/>
            <w:tcMar>
              <w:left w:w="28" w:type="dxa"/>
              <w:right w:w="28" w:type="dxa"/>
            </w:tcMar>
          </w:tcPr>
          <w:p w14:paraId="1973A8F3" w14:textId="77777777" w:rsidR="00711444" w:rsidRPr="004D0DAA" w:rsidRDefault="00711444" w:rsidP="00AA2A4C">
            <w:pPr>
              <w:pStyle w:val="TAC"/>
              <w:rPr>
                <w:lang w:eastAsia="en-US"/>
              </w:rPr>
            </w:pPr>
            <w:r w:rsidRPr="004D0DAA">
              <w:rPr>
                <w:lang w:eastAsia="en-US"/>
              </w:rPr>
              <w:t>UBS-6</w:t>
            </w:r>
          </w:p>
        </w:tc>
        <w:tc>
          <w:tcPr>
            <w:tcW w:w="750" w:type="dxa"/>
            <w:tcMar>
              <w:left w:w="28" w:type="dxa"/>
              <w:right w:w="28" w:type="dxa"/>
            </w:tcMar>
          </w:tcPr>
          <w:p w14:paraId="05251F03" w14:textId="77777777" w:rsidR="00711444" w:rsidRPr="004D0DAA" w:rsidRDefault="00711444" w:rsidP="00AA2A4C">
            <w:pPr>
              <w:pStyle w:val="TAC"/>
              <w:rPr>
                <w:lang w:eastAsia="en-US"/>
              </w:rPr>
            </w:pPr>
            <w:r w:rsidRPr="004D0DAA">
              <w:rPr>
                <w:lang w:eastAsia="en-US"/>
              </w:rPr>
              <w:t>UBS-12</w:t>
            </w:r>
          </w:p>
        </w:tc>
        <w:tc>
          <w:tcPr>
            <w:tcW w:w="756" w:type="dxa"/>
            <w:tcMar>
              <w:left w:w="28" w:type="dxa"/>
              <w:right w:w="28" w:type="dxa"/>
            </w:tcMar>
          </w:tcPr>
          <w:p w14:paraId="7C237A6C"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781C743F" w14:textId="77777777" w:rsidR="00711444" w:rsidRPr="004D0DAA" w:rsidRDefault="00711444" w:rsidP="00AA2A4C">
            <w:pPr>
              <w:pStyle w:val="TAC"/>
              <w:rPr>
                <w:lang w:eastAsia="en-US"/>
              </w:rPr>
            </w:pPr>
            <w:r w:rsidRPr="004D0DAA">
              <w:rPr>
                <w:lang w:eastAsia="en-US"/>
              </w:rPr>
              <w:t>UBS-10</w:t>
            </w:r>
          </w:p>
        </w:tc>
        <w:tc>
          <w:tcPr>
            <w:tcW w:w="751" w:type="dxa"/>
            <w:tcMar>
              <w:left w:w="28" w:type="dxa"/>
              <w:right w:w="28" w:type="dxa"/>
            </w:tcMar>
          </w:tcPr>
          <w:p w14:paraId="76A48E31"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21EFF101" w14:textId="77777777" w:rsidR="00711444" w:rsidRPr="004D0DAA" w:rsidRDefault="00711444" w:rsidP="00AA2A4C">
            <w:pPr>
              <w:pStyle w:val="TAC"/>
              <w:rPr>
                <w:lang w:eastAsia="en-US"/>
              </w:rPr>
            </w:pPr>
            <w:r w:rsidRPr="004D0DAA">
              <w:rPr>
                <w:lang w:eastAsia="en-US"/>
              </w:rPr>
              <w:t>UBS-8</w:t>
            </w:r>
          </w:p>
        </w:tc>
        <w:tc>
          <w:tcPr>
            <w:tcW w:w="752" w:type="dxa"/>
            <w:tcMar>
              <w:left w:w="28" w:type="dxa"/>
              <w:right w:w="28" w:type="dxa"/>
            </w:tcMar>
          </w:tcPr>
          <w:p w14:paraId="0CFD68F1" w14:textId="77777777" w:rsidR="00711444" w:rsidRPr="004D0DAA" w:rsidRDefault="00711444" w:rsidP="00AA2A4C">
            <w:pPr>
              <w:pStyle w:val="TAC"/>
              <w:rPr>
                <w:lang w:eastAsia="en-US"/>
              </w:rPr>
            </w:pPr>
            <w:r w:rsidRPr="004D0DAA">
              <w:rPr>
                <w:lang w:eastAsia="en-US"/>
              </w:rPr>
              <w:t>UBS-6</w:t>
            </w:r>
          </w:p>
        </w:tc>
        <w:tc>
          <w:tcPr>
            <w:tcW w:w="751" w:type="dxa"/>
            <w:tcMar>
              <w:left w:w="28" w:type="dxa"/>
              <w:right w:w="28" w:type="dxa"/>
            </w:tcMar>
          </w:tcPr>
          <w:p w14:paraId="70AF9427" w14:textId="77777777" w:rsidR="00711444" w:rsidRPr="004D0DAA" w:rsidRDefault="00711444" w:rsidP="00AA2A4C">
            <w:pPr>
              <w:pStyle w:val="TAC"/>
              <w:rPr>
                <w:lang w:eastAsia="en-US"/>
              </w:rPr>
            </w:pPr>
            <w:r w:rsidRPr="004D0DAA">
              <w:rPr>
                <w:lang w:eastAsia="en-US"/>
              </w:rPr>
              <w:t>UBS-6</w:t>
            </w:r>
          </w:p>
        </w:tc>
        <w:tc>
          <w:tcPr>
            <w:tcW w:w="752" w:type="dxa"/>
            <w:tcMar>
              <w:left w:w="28" w:type="dxa"/>
              <w:right w:w="28" w:type="dxa"/>
            </w:tcMar>
          </w:tcPr>
          <w:p w14:paraId="1AD39BA0"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4305FB8D"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5790336D"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5211C951"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0F6517C6" w14:textId="77777777" w:rsidR="00711444" w:rsidRPr="004D0DAA" w:rsidRDefault="00711444" w:rsidP="00AA2A4C">
            <w:pPr>
              <w:pStyle w:val="TAC"/>
              <w:rPr>
                <w:lang w:eastAsia="en-US"/>
              </w:rPr>
            </w:pPr>
            <w:r w:rsidRPr="004D0DAA">
              <w:rPr>
                <w:lang w:eastAsia="en-US"/>
              </w:rPr>
              <w:t>MCS-3</w:t>
            </w:r>
          </w:p>
        </w:tc>
      </w:tr>
      <w:tr w:rsidR="00711444" w:rsidRPr="004D0DAA" w14:paraId="7D5E8355" w14:textId="77777777" w:rsidTr="00AA2A4C">
        <w:tc>
          <w:tcPr>
            <w:tcW w:w="749" w:type="dxa"/>
            <w:tcMar>
              <w:left w:w="28" w:type="dxa"/>
              <w:right w:w="28" w:type="dxa"/>
            </w:tcMar>
          </w:tcPr>
          <w:p w14:paraId="247C3EE3" w14:textId="77777777" w:rsidR="00711444" w:rsidRPr="004D0DAA" w:rsidRDefault="00711444" w:rsidP="00AA2A4C">
            <w:pPr>
              <w:pStyle w:val="TAC"/>
              <w:rPr>
                <w:lang w:eastAsia="en-US"/>
              </w:rPr>
            </w:pPr>
            <w:r w:rsidRPr="004D0DAA">
              <w:rPr>
                <w:lang w:eastAsia="en-US"/>
              </w:rPr>
              <w:t>UBS-5</w:t>
            </w:r>
          </w:p>
        </w:tc>
        <w:tc>
          <w:tcPr>
            <w:tcW w:w="750" w:type="dxa"/>
            <w:tcMar>
              <w:left w:w="28" w:type="dxa"/>
              <w:right w:w="28" w:type="dxa"/>
            </w:tcMar>
          </w:tcPr>
          <w:p w14:paraId="4D85511F" w14:textId="77777777" w:rsidR="00711444" w:rsidRPr="004D0DAA" w:rsidRDefault="00711444" w:rsidP="00AA2A4C">
            <w:pPr>
              <w:pStyle w:val="TAC"/>
              <w:rPr>
                <w:lang w:eastAsia="en-US"/>
              </w:rPr>
            </w:pPr>
            <w:r w:rsidRPr="004D0DAA">
              <w:rPr>
                <w:lang w:eastAsia="en-US"/>
              </w:rPr>
              <w:t>UBS-9</w:t>
            </w:r>
          </w:p>
        </w:tc>
        <w:tc>
          <w:tcPr>
            <w:tcW w:w="756" w:type="dxa"/>
            <w:tcMar>
              <w:left w:w="28" w:type="dxa"/>
              <w:right w:w="28" w:type="dxa"/>
            </w:tcMar>
          </w:tcPr>
          <w:p w14:paraId="0E85F71E"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4466001B" w14:textId="77777777" w:rsidR="00711444" w:rsidRPr="004D0DAA" w:rsidRDefault="00711444" w:rsidP="00AA2A4C">
            <w:pPr>
              <w:pStyle w:val="TAC"/>
              <w:rPr>
                <w:lang w:eastAsia="en-US"/>
              </w:rPr>
            </w:pPr>
            <w:r w:rsidRPr="004D0DAA">
              <w:rPr>
                <w:lang w:eastAsia="en-US"/>
              </w:rPr>
              <w:t>UBS-9</w:t>
            </w:r>
          </w:p>
        </w:tc>
        <w:tc>
          <w:tcPr>
            <w:tcW w:w="751" w:type="dxa"/>
            <w:tcMar>
              <w:left w:w="28" w:type="dxa"/>
              <w:right w:w="28" w:type="dxa"/>
            </w:tcMar>
          </w:tcPr>
          <w:p w14:paraId="181EED38" w14:textId="77777777" w:rsidR="00711444" w:rsidRPr="004D0DAA" w:rsidRDefault="00711444" w:rsidP="00AA2A4C">
            <w:pPr>
              <w:pStyle w:val="TAC"/>
              <w:rPr>
                <w:lang w:eastAsia="en-US"/>
              </w:rPr>
            </w:pPr>
            <w:r w:rsidRPr="004D0DAA">
              <w:rPr>
                <w:lang w:eastAsia="en-US"/>
              </w:rPr>
              <w:t>UBS-9</w:t>
            </w:r>
          </w:p>
        </w:tc>
        <w:tc>
          <w:tcPr>
            <w:tcW w:w="752" w:type="dxa"/>
            <w:tcMar>
              <w:left w:w="28" w:type="dxa"/>
              <w:right w:w="28" w:type="dxa"/>
            </w:tcMar>
          </w:tcPr>
          <w:p w14:paraId="757F35E9" w14:textId="77777777" w:rsidR="00711444" w:rsidRPr="004D0DAA" w:rsidRDefault="00711444" w:rsidP="00AA2A4C">
            <w:pPr>
              <w:pStyle w:val="TAC"/>
              <w:rPr>
                <w:lang w:eastAsia="en-US"/>
              </w:rPr>
            </w:pPr>
            <w:r w:rsidRPr="004D0DAA">
              <w:rPr>
                <w:lang w:eastAsia="en-US"/>
              </w:rPr>
              <w:t>UBS-7</w:t>
            </w:r>
          </w:p>
        </w:tc>
        <w:tc>
          <w:tcPr>
            <w:tcW w:w="752" w:type="dxa"/>
            <w:tcMar>
              <w:left w:w="28" w:type="dxa"/>
              <w:right w:w="28" w:type="dxa"/>
            </w:tcMar>
          </w:tcPr>
          <w:p w14:paraId="2C44312B" w14:textId="77777777" w:rsidR="00711444" w:rsidRPr="004D0DAA" w:rsidRDefault="00711444" w:rsidP="00AA2A4C">
            <w:pPr>
              <w:pStyle w:val="TAC"/>
              <w:rPr>
                <w:lang w:eastAsia="en-US"/>
              </w:rPr>
            </w:pPr>
            <w:r w:rsidRPr="004D0DAA">
              <w:rPr>
                <w:lang w:eastAsia="en-US"/>
              </w:rPr>
              <w:t>UBS-7</w:t>
            </w:r>
          </w:p>
        </w:tc>
        <w:tc>
          <w:tcPr>
            <w:tcW w:w="751" w:type="dxa"/>
            <w:tcMar>
              <w:left w:w="28" w:type="dxa"/>
              <w:right w:w="28" w:type="dxa"/>
            </w:tcMar>
          </w:tcPr>
          <w:p w14:paraId="4F1F0C79"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752E4D3A" w14:textId="77777777" w:rsidR="00711444" w:rsidRPr="004D0DAA" w:rsidRDefault="00711444" w:rsidP="00AA2A4C">
            <w:pPr>
              <w:pStyle w:val="TAC"/>
              <w:rPr>
                <w:lang w:eastAsia="en-US"/>
              </w:rPr>
            </w:pPr>
            <w:r w:rsidRPr="004D0DAA">
              <w:rPr>
                <w:lang w:eastAsia="en-US"/>
              </w:rPr>
              <w:t>UBS-5</w:t>
            </w:r>
          </w:p>
        </w:tc>
        <w:tc>
          <w:tcPr>
            <w:tcW w:w="752" w:type="dxa"/>
            <w:tcMar>
              <w:left w:w="28" w:type="dxa"/>
              <w:right w:w="28" w:type="dxa"/>
            </w:tcMar>
          </w:tcPr>
          <w:p w14:paraId="0C55B105"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4E74C589"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70CB05DD" w14:textId="77777777" w:rsidR="00711444" w:rsidRPr="004D0DAA" w:rsidRDefault="00711444" w:rsidP="00AA2A4C">
            <w:pPr>
              <w:pStyle w:val="TAC"/>
              <w:rPr>
                <w:lang w:eastAsia="en-US"/>
              </w:rPr>
            </w:pPr>
            <w:r w:rsidRPr="004D0DAA">
              <w:rPr>
                <w:lang w:eastAsia="en-US"/>
              </w:rPr>
              <w:t>MCS-2</w:t>
            </w:r>
          </w:p>
        </w:tc>
        <w:tc>
          <w:tcPr>
            <w:tcW w:w="756" w:type="dxa"/>
            <w:tcMar>
              <w:left w:w="28" w:type="dxa"/>
              <w:right w:w="28" w:type="dxa"/>
            </w:tcMar>
          </w:tcPr>
          <w:p w14:paraId="37ACDB1C" w14:textId="77777777" w:rsidR="00711444" w:rsidRPr="004D0DAA" w:rsidRDefault="00711444" w:rsidP="00AA2A4C">
            <w:pPr>
              <w:pStyle w:val="TAC"/>
              <w:rPr>
                <w:lang w:eastAsia="en-US"/>
              </w:rPr>
            </w:pPr>
            <w:r w:rsidRPr="004D0DAA">
              <w:rPr>
                <w:lang w:eastAsia="en-US"/>
              </w:rPr>
              <w:t>MCS-2</w:t>
            </w:r>
          </w:p>
        </w:tc>
      </w:tr>
      <w:tr w:rsidR="00711444" w:rsidRPr="004D0DAA" w14:paraId="4CCBDB8F" w14:textId="77777777" w:rsidTr="00AA2A4C">
        <w:tc>
          <w:tcPr>
            <w:tcW w:w="749" w:type="dxa"/>
            <w:tcMar>
              <w:left w:w="28" w:type="dxa"/>
              <w:right w:w="28" w:type="dxa"/>
            </w:tcMar>
          </w:tcPr>
          <w:p w14:paraId="2DE13CA1" w14:textId="77777777" w:rsidR="00711444" w:rsidRPr="004D0DAA" w:rsidRDefault="00711444" w:rsidP="00AA2A4C">
            <w:pPr>
              <w:pStyle w:val="TAC"/>
              <w:rPr>
                <w:lang w:eastAsia="en-US"/>
              </w:rPr>
            </w:pPr>
            <w:r w:rsidRPr="004D0DAA">
              <w:rPr>
                <w:lang w:eastAsia="en-US"/>
              </w:rPr>
              <w:t>MCS-4</w:t>
            </w:r>
          </w:p>
        </w:tc>
        <w:tc>
          <w:tcPr>
            <w:tcW w:w="750" w:type="dxa"/>
            <w:tcMar>
              <w:left w:w="28" w:type="dxa"/>
              <w:right w:w="28" w:type="dxa"/>
            </w:tcMar>
          </w:tcPr>
          <w:p w14:paraId="34DFC3EE" w14:textId="77777777" w:rsidR="00711444" w:rsidRPr="004D0DAA" w:rsidRDefault="00711444" w:rsidP="00AA2A4C">
            <w:pPr>
              <w:pStyle w:val="TAC"/>
              <w:rPr>
                <w:lang w:eastAsia="en-US"/>
              </w:rPr>
            </w:pPr>
            <w:r w:rsidRPr="004D0DAA">
              <w:rPr>
                <w:lang w:eastAsia="en-US"/>
              </w:rPr>
              <w:t>MCS-4</w:t>
            </w:r>
          </w:p>
        </w:tc>
        <w:tc>
          <w:tcPr>
            <w:tcW w:w="756" w:type="dxa"/>
            <w:tcMar>
              <w:left w:w="28" w:type="dxa"/>
              <w:right w:w="28" w:type="dxa"/>
            </w:tcMar>
          </w:tcPr>
          <w:p w14:paraId="076C5A54" w14:textId="77777777" w:rsidR="00711444" w:rsidRPr="004D0DAA" w:rsidRDefault="00711444" w:rsidP="00AA2A4C">
            <w:pPr>
              <w:pStyle w:val="TAC"/>
              <w:rPr>
                <w:lang w:eastAsia="en-US"/>
              </w:rPr>
            </w:pPr>
            <w:r w:rsidRPr="004D0DAA">
              <w:rPr>
                <w:lang w:eastAsia="en-US"/>
              </w:rPr>
              <w:t>MCS-4</w:t>
            </w:r>
          </w:p>
        </w:tc>
        <w:tc>
          <w:tcPr>
            <w:tcW w:w="751" w:type="dxa"/>
            <w:tcMar>
              <w:left w:w="28" w:type="dxa"/>
              <w:right w:w="28" w:type="dxa"/>
            </w:tcMar>
          </w:tcPr>
          <w:p w14:paraId="62D20C53" w14:textId="77777777" w:rsidR="00711444" w:rsidRPr="004D0DAA" w:rsidRDefault="00711444" w:rsidP="00AA2A4C">
            <w:pPr>
              <w:pStyle w:val="TAC"/>
              <w:rPr>
                <w:lang w:eastAsia="en-US"/>
              </w:rPr>
            </w:pPr>
            <w:r w:rsidRPr="004D0DAA">
              <w:rPr>
                <w:lang w:eastAsia="en-US"/>
              </w:rPr>
              <w:t>MCS-4</w:t>
            </w:r>
          </w:p>
        </w:tc>
        <w:tc>
          <w:tcPr>
            <w:tcW w:w="751" w:type="dxa"/>
            <w:tcMar>
              <w:left w:w="28" w:type="dxa"/>
              <w:right w:w="28" w:type="dxa"/>
            </w:tcMar>
          </w:tcPr>
          <w:p w14:paraId="2F2FB4C1" w14:textId="77777777" w:rsidR="00711444" w:rsidRPr="004D0DAA" w:rsidRDefault="00711444" w:rsidP="00AA2A4C">
            <w:pPr>
              <w:pStyle w:val="TAC"/>
              <w:rPr>
                <w:lang w:eastAsia="en-US"/>
              </w:rPr>
            </w:pPr>
            <w:r w:rsidRPr="004D0DAA">
              <w:rPr>
                <w:lang w:eastAsia="en-US"/>
              </w:rPr>
              <w:t>MCS-4</w:t>
            </w:r>
          </w:p>
        </w:tc>
        <w:tc>
          <w:tcPr>
            <w:tcW w:w="752" w:type="dxa"/>
            <w:tcMar>
              <w:left w:w="28" w:type="dxa"/>
              <w:right w:w="28" w:type="dxa"/>
            </w:tcMar>
          </w:tcPr>
          <w:p w14:paraId="54361978" w14:textId="77777777" w:rsidR="00711444" w:rsidRPr="004D0DAA" w:rsidRDefault="00711444" w:rsidP="00AA2A4C">
            <w:pPr>
              <w:pStyle w:val="TAC"/>
              <w:rPr>
                <w:lang w:eastAsia="en-US"/>
              </w:rPr>
            </w:pPr>
            <w:r w:rsidRPr="004D0DAA">
              <w:rPr>
                <w:lang w:eastAsia="en-US"/>
              </w:rPr>
              <w:t>MCS-4</w:t>
            </w:r>
          </w:p>
        </w:tc>
        <w:tc>
          <w:tcPr>
            <w:tcW w:w="752" w:type="dxa"/>
            <w:tcMar>
              <w:left w:w="28" w:type="dxa"/>
              <w:right w:w="28" w:type="dxa"/>
            </w:tcMar>
          </w:tcPr>
          <w:p w14:paraId="3A7BE3C4" w14:textId="77777777" w:rsidR="00711444" w:rsidRPr="004D0DAA" w:rsidRDefault="00711444" w:rsidP="00AA2A4C">
            <w:pPr>
              <w:pStyle w:val="TAC"/>
              <w:rPr>
                <w:lang w:eastAsia="en-US"/>
              </w:rPr>
            </w:pPr>
            <w:r w:rsidRPr="004D0DAA">
              <w:rPr>
                <w:lang w:eastAsia="en-US"/>
              </w:rPr>
              <w:t>MCS-4</w:t>
            </w:r>
          </w:p>
        </w:tc>
        <w:tc>
          <w:tcPr>
            <w:tcW w:w="751" w:type="dxa"/>
            <w:tcMar>
              <w:left w:w="28" w:type="dxa"/>
              <w:right w:w="28" w:type="dxa"/>
            </w:tcMar>
          </w:tcPr>
          <w:p w14:paraId="3DDDA182" w14:textId="77777777" w:rsidR="00711444" w:rsidRPr="004D0DAA" w:rsidRDefault="00711444" w:rsidP="00AA2A4C">
            <w:pPr>
              <w:pStyle w:val="TAC"/>
              <w:rPr>
                <w:lang w:eastAsia="en-US"/>
              </w:rPr>
            </w:pPr>
            <w:r w:rsidRPr="004D0DAA">
              <w:rPr>
                <w:lang w:eastAsia="en-US"/>
              </w:rPr>
              <w:t>MCS-4</w:t>
            </w:r>
          </w:p>
        </w:tc>
        <w:tc>
          <w:tcPr>
            <w:tcW w:w="752" w:type="dxa"/>
            <w:tcMar>
              <w:left w:w="28" w:type="dxa"/>
              <w:right w:w="28" w:type="dxa"/>
            </w:tcMar>
          </w:tcPr>
          <w:p w14:paraId="7A89C0C1" w14:textId="77777777" w:rsidR="00711444" w:rsidRPr="004D0DAA" w:rsidRDefault="00711444" w:rsidP="00AA2A4C">
            <w:pPr>
              <w:pStyle w:val="TAC"/>
              <w:rPr>
                <w:lang w:eastAsia="en-US"/>
              </w:rPr>
            </w:pPr>
            <w:r w:rsidRPr="004D0DAA">
              <w:rPr>
                <w:lang w:eastAsia="en-US"/>
              </w:rPr>
              <w:t>MCS-4</w:t>
            </w:r>
          </w:p>
        </w:tc>
        <w:tc>
          <w:tcPr>
            <w:tcW w:w="752" w:type="dxa"/>
            <w:tcMar>
              <w:left w:w="28" w:type="dxa"/>
              <w:right w:w="28" w:type="dxa"/>
            </w:tcMar>
          </w:tcPr>
          <w:p w14:paraId="11B4A5BA" w14:textId="77777777" w:rsidR="00711444" w:rsidRPr="004D0DAA" w:rsidRDefault="00711444" w:rsidP="00AA2A4C">
            <w:pPr>
              <w:pStyle w:val="TAC"/>
              <w:rPr>
                <w:lang w:eastAsia="en-US"/>
              </w:rPr>
            </w:pPr>
            <w:r w:rsidRPr="004D0DAA">
              <w:rPr>
                <w:lang w:eastAsia="en-US"/>
              </w:rPr>
              <w:t>MCS-4</w:t>
            </w:r>
          </w:p>
        </w:tc>
        <w:tc>
          <w:tcPr>
            <w:tcW w:w="751" w:type="dxa"/>
            <w:tcMar>
              <w:left w:w="28" w:type="dxa"/>
              <w:right w:w="28" w:type="dxa"/>
            </w:tcMar>
          </w:tcPr>
          <w:p w14:paraId="5A467C8D"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5D251EF6" w14:textId="77777777" w:rsidR="00711444" w:rsidRPr="004D0DAA" w:rsidRDefault="00711444" w:rsidP="00AA2A4C">
            <w:pPr>
              <w:pStyle w:val="TAC"/>
              <w:rPr>
                <w:lang w:eastAsia="en-US"/>
              </w:rPr>
            </w:pPr>
            <w:r w:rsidRPr="004D0DAA">
              <w:rPr>
                <w:lang w:eastAsia="en-US"/>
              </w:rPr>
              <w:t>MCS-1</w:t>
            </w:r>
          </w:p>
        </w:tc>
        <w:tc>
          <w:tcPr>
            <w:tcW w:w="756" w:type="dxa"/>
            <w:tcMar>
              <w:left w:w="28" w:type="dxa"/>
              <w:right w:w="28" w:type="dxa"/>
            </w:tcMar>
          </w:tcPr>
          <w:p w14:paraId="7421B93A" w14:textId="77777777" w:rsidR="00711444" w:rsidRPr="004D0DAA" w:rsidRDefault="00711444" w:rsidP="00AA2A4C">
            <w:pPr>
              <w:pStyle w:val="TAC"/>
              <w:rPr>
                <w:lang w:eastAsia="en-US"/>
              </w:rPr>
            </w:pPr>
            <w:r w:rsidRPr="004D0DAA">
              <w:rPr>
                <w:lang w:eastAsia="en-US"/>
              </w:rPr>
              <w:t>MCS-1</w:t>
            </w:r>
          </w:p>
        </w:tc>
      </w:tr>
      <w:tr w:rsidR="00711444" w:rsidRPr="004D0DAA" w14:paraId="71E8B495" w14:textId="77777777" w:rsidTr="00AA2A4C">
        <w:tc>
          <w:tcPr>
            <w:tcW w:w="749" w:type="dxa"/>
            <w:tcMar>
              <w:left w:w="28" w:type="dxa"/>
              <w:right w:w="28" w:type="dxa"/>
            </w:tcMar>
          </w:tcPr>
          <w:p w14:paraId="43B2CF98" w14:textId="77777777" w:rsidR="00711444" w:rsidRPr="004D0DAA" w:rsidRDefault="00711444" w:rsidP="00AA2A4C">
            <w:pPr>
              <w:pStyle w:val="TAC"/>
              <w:rPr>
                <w:lang w:eastAsia="en-US"/>
              </w:rPr>
            </w:pPr>
            <w:r w:rsidRPr="004D0DAA">
              <w:rPr>
                <w:lang w:eastAsia="en-US"/>
              </w:rPr>
              <w:t>MCS-3</w:t>
            </w:r>
          </w:p>
        </w:tc>
        <w:tc>
          <w:tcPr>
            <w:tcW w:w="750" w:type="dxa"/>
            <w:tcMar>
              <w:left w:w="28" w:type="dxa"/>
              <w:right w:w="28" w:type="dxa"/>
            </w:tcMar>
          </w:tcPr>
          <w:p w14:paraId="3DD2E178"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5E209DF8"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24592A15"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0BB02C31"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009C0F00"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7DF81324"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3103495C"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66222869"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477523C1" w14:textId="77777777" w:rsidR="00711444" w:rsidRPr="004D0DAA" w:rsidRDefault="00711444" w:rsidP="00AA2A4C">
            <w:pPr>
              <w:pStyle w:val="TAC"/>
              <w:rPr>
                <w:lang w:eastAsia="en-US"/>
              </w:rPr>
            </w:pPr>
            <w:r w:rsidRPr="004D0DAA">
              <w:rPr>
                <w:lang w:eastAsia="en-US"/>
              </w:rPr>
              <w:t>MCS-3</w:t>
            </w:r>
          </w:p>
        </w:tc>
        <w:tc>
          <w:tcPr>
            <w:tcW w:w="751" w:type="dxa"/>
            <w:tcMar>
              <w:left w:w="28" w:type="dxa"/>
              <w:right w:w="28" w:type="dxa"/>
            </w:tcMar>
          </w:tcPr>
          <w:p w14:paraId="73E97442" w14:textId="77777777" w:rsidR="00711444" w:rsidRPr="004D0DAA" w:rsidRDefault="00711444" w:rsidP="00AA2A4C">
            <w:pPr>
              <w:pStyle w:val="TAC"/>
              <w:rPr>
                <w:lang w:eastAsia="en-US"/>
              </w:rPr>
            </w:pPr>
            <w:r w:rsidRPr="004D0DAA">
              <w:rPr>
                <w:lang w:eastAsia="en-US"/>
              </w:rPr>
              <w:t>MCS-3</w:t>
            </w:r>
          </w:p>
        </w:tc>
        <w:tc>
          <w:tcPr>
            <w:tcW w:w="752" w:type="dxa"/>
            <w:tcMar>
              <w:left w:w="28" w:type="dxa"/>
              <w:right w:w="28" w:type="dxa"/>
            </w:tcMar>
          </w:tcPr>
          <w:p w14:paraId="5E1DFD50" w14:textId="77777777" w:rsidR="00711444" w:rsidRPr="004D0DAA" w:rsidRDefault="00711444" w:rsidP="00AA2A4C">
            <w:pPr>
              <w:pStyle w:val="TAC"/>
              <w:rPr>
                <w:lang w:eastAsia="en-US"/>
              </w:rPr>
            </w:pPr>
            <w:r w:rsidRPr="004D0DAA">
              <w:rPr>
                <w:lang w:eastAsia="en-US"/>
              </w:rPr>
              <w:t>MCS-3</w:t>
            </w:r>
          </w:p>
        </w:tc>
        <w:tc>
          <w:tcPr>
            <w:tcW w:w="756" w:type="dxa"/>
            <w:tcMar>
              <w:left w:w="28" w:type="dxa"/>
              <w:right w:w="28" w:type="dxa"/>
            </w:tcMar>
          </w:tcPr>
          <w:p w14:paraId="3F8BD149" w14:textId="77777777" w:rsidR="00711444" w:rsidRPr="004D0DAA" w:rsidRDefault="00711444" w:rsidP="00AA2A4C">
            <w:pPr>
              <w:pStyle w:val="TAC"/>
              <w:rPr>
                <w:lang w:eastAsia="en-US"/>
              </w:rPr>
            </w:pPr>
            <w:r w:rsidRPr="004D0DAA">
              <w:rPr>
                <w:lang w:eastAsia="en-US"/>
              </w:rPr>
              <w:t>MCS-3</w:t>
            </w:r>
          </w:p>
        </w:tc>
      </w:tr>
      <w:tr w:rsidR="00711444" w:rsidRPr="004D0DAA" w14:paraId="12712CE7" w14:textId="77777777" w:rsidTr="00AA2A4C">
        <w:tc>
          <w:tcPr>
            <w:tcW w:w="749" w:type="dxa"/>
            <w:tcMar>
              <w:left w:w="28" w:type="dxa"/>
              <w:right w:w="28" w:type="dxa"/>
            </w:tcMar>
          </w:tcPr>
          <w:p w14:paraId="0764BAE2" w14:textId="77777777" w:rsidR="00711444" w:rsidRPr="004D0DAA" w:rsidRDefault="00711444" w:rsidP="00AA2A4C">
            <w:pPr>
              <w:pStyle w:val="TAC"/>
              <w:rPr>
                <w:lang w:eastAsia="en-US"/>
              </w:rPr>
            </w:pPr>
            <w:r w:rsidRPr="004D0DAA">
              <w:rPr>
                <w:lang w:eastAsia="en-US"/>
              </w:rPr>
              <w:t>MCS-2</w:t>
            </w:r>
          </w:p>
        </w:tc>
        <w:tc>
          <w:tcPr>
            <w:tcW w:w="750" w:type="dxa"/>
            <w:tcMar>
              <w:left w:w="28" w:type="dxa"/>
              <w:right w:w="28" w:type="dxa"/>
            </w:tcMar>
          </w:tcPr>
          <w:p w14:paraId="3E62223B" w14:textId="77777777" w:rsidR="00711444" w:rsidRPr="004D0DAA" w:rsidRDefault="00711444" w:rsidP="00AA2A4C">
            <w:pPr>
              <w:pStyle w:val="TAC"/>
              <w:rPr>
                <w:lang w:eastAsia="en-US"/>
              </w:rPr>
            </w:pPr>
            <w:r w:rsidRPr="004D0DAA">
              <w:rPr>
                <w:lang w:eastAsia="en-US"/>
              </w:rPr>
              <w:t>MCS-2</w:t>
            </w:r>
          </w:p>
        </w:tc>
        <w:tc>
          <w:tcPr>
            <w:tcW w:w="756" w:type="dxa"/>
            <w:tcMar>
              <w:left w:w="28" w:type="dxa"/>
              <w:right w:w="28" w:type="dxa"/>
            </w:tcMar>
          </w:tcPr>
          <w:p w14:paraId="55C7F8C4"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739F4E0B"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4181E9D7"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2FF4C209"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5BC4A072"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214C12B4"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7E763C55"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18F58AE2" w14:textId="77777777" w:rsidR="00711444" w:rsidRPr="004D0DAA" w:rsidRDefault="00711444" w:rsidP="00AA2A4C">
            <w:pPr>
              <w:pStyle w:val="TAC"/>
              <w:rPr>
                <w:lang w:eastAsia="en-US"/>
              </w:rPr>
            </w:pPr>
            <w:r w:rsidRPr="004D0DAA">
              <w:rPr>
                <w:lang w:eastAsia="en-US"/>
              </w:rPr>
              <w:t>MCS-2</w:t>
            </w:r>
          </w:p>
        </w:tc>
        <w:tc>
          <w:tcPr>
            <w:tcW w:w="751" w:type="dxa"/>
            <w:tcMar>
              <w:left w:w="28" w:type="dxa"/>
              <w:right w:w="28" w:type="dxa"/>
            </w:tcMar>
          </w:tcPr>
          <w:p w14:paraId="1EDDB946" w14:textId="77777777" w:rsidR="00711444" w:rsidRPr="004D0DAA" w:rsidRDefault="00711444" w:rsidP="00AA2A4C">
            <w:pPr>
              <w:pStyle w:val="TAC"/>
              <w:rPr>
                <w:lang w:eastAsia="en-US"/>
              </w:rPr>
            </w:pPr>
            <w:r w:rsidRPr="004D0DAA">
              <w:rPr>
                <w:lang w:eastAsia="en-US"/>
              </w:rPr>
              <w:t>MCS-2</w:t>
            </w:r>
          </w:p>
        </w:tc>
        <w:tc>
          <w:tcPr>
            <w:tcW w:w="752" w:type="dxa"/>
            <w:tcMar>
              <w:left w:w="28" w:type="dxa"/>
              <w:right w:w="28" w:type="dxa"/>
            </w:tcMar>
          </w:tcPr>
          <w:p w14:paraId="3B197C9C" w14:textId="77777777" w:rsidR="00711444" w:rsidRPr="004D0DAA" w:rsidRDefault="00711444" w:rsidP="00AA2A4C">
            <w:pPr>
              <w:pStyle w:val="TAC"/>
              <w:rPr>
                <w:lang w:eastAsia="en-US"/>
              </w:rPr>
            </w:pPr>
            <w:r w:rsidRPr="004D0DAA">
              <w:rPr>
                <w:lang w:eastAsia="en-US"/>
              </w:rPr>
              <w:t>MCS-2</w:t>
            </w:r>
          </w:p>
        </w:tc>
        <w:tc>
          <w:tcPr>
            <w:tcW w:w="756" w:type="dxa"/>
            <w:tcMar>
              <w:left w:w="28" w:type="dxa"/>
              <w:right w:w="28" w:type="dxa"/>
            </w:tcMar>
          </w:tcPr>
          <w:p w14:paraId="5BCE3FC4" w14:textId="77777777" w:rsidR="00711444" w:rsidRPr="004D0DAA" w:rsidRDefault="00711444" w:rsidP="00AA2A4C">
            <w:pPr>
              <w:pStyle w:val="TAC"/>
              <w:rPr>
                <w:lang w:eastAsia="en-US"/>
              </w:rPr>
            </w:pPr>
            <w:r w:rsidRPr="004D0DAA">
              <w:rPr>
                <w:lang w:eastAsia="en-US"/>
              </w:rPr>
              <w:t>MCS-2</w:t>
            </w:r>
          </w:p>
        </w:tc>
      </w:tr>
      <w:tr w:rsidR="00711444" w:rsidRPr="004D0DAA" w14:paraId="6561685A" w14:textId="77777777" w:rsidTr="00AA2A4C">
        <w:tc>
          <w:tcPr>
            <w:tcW w:w="749" w:type="dxa"/>
            <w:tcMar>
              <w:left w:w="28" w:type="dxa"/>
              <w:right w:w="28" w:type="dxa"/>
            </w:tcMar>
          </w:tcPr>
          <w:p w14:paraId="1AD46692" w14:textId="77777777" w:rsidR="00711444" w:rsidRPr="004D0DAA" w:rsidRDefault="00711444" w:rsidP="00AA2A4C">
            <w:pPr>
              <w:pStyle w:val="TAC"/>
              <w:rPr>
                <w:lang w:eastAsia="en-US"/>
              </w:rPr>
            </w:pPr>
            <w:r w:rsidRPr="004D0DAA">
              <w:rPr>
                <w:lang w:eastAsia="en-US"/>
              </w:rPr>
              <w:t>MCS-1</w:t>
            </w:r>
          </w:p>
        </w:tc>
        <w:tc>
          <w:tcPr>
            <w:tcW w:w="750" w:type="dxa"/>
            <w:tcMar>
              <w:left w:w="28" w:type="dxa"/>
              <w:right w:w="28" w:type="dxa"/>
            </w:tcMar>
          </w:tcPr>
          <w:p w14:paraId="616FC1E8" w14:textId="77777777" w:rsidR="00711444" w:rsidRPr="004D0DAA" w:rsidRDefault="00711444" w:rsidP="00AA2A4C">
            <w:pPr>
              <w:pStyle w:val="TAC"/>
              <w:rPr>
                <w:lang w:eastAsia="en-US"/>
              </w:rPr>
            </w:pPr>
            <w:r w:rsidRPr="004D0DAA">
              <w:rPr>
                <w:lang w:eastAsia="en-US"/>
              </w:rPr>
              <w:t>MCS-1</w:t>
            </w:r>
          </w:p>
        </w:tc>
        <w:tc>
          <w:tcPr>
            <w:tcW w:w="756" w:type="dxa"/>
            <w:tcMar>
              <w:left w:w="28" w:type="dxa"/>
              <w:right w:w="28" w:type="dxa"/>
            </w:tcMar>
          </w:tcPr>
          <w:p w14:paraId="176EDD71" w14:textId="77777777" w:rsidR="00711444" w:rsidRPr="004D0DAA" w:rsidRDefault="00711444" w:rsidP="00AA2A4C">
            <w:pPr>
              <w:pStyle w:val="TAC"/>
              <w:rPr>
                <w:lang w:eastAsia="en-US"/>
              </w:rPr>
            </w:pPr>
            <w:r w:rsidRPr="004D0DAA">
              <w:rPr>
                <w:lang w:eastAsia="en-US"/>
              </w:rPr>
              <w:t>MCS-1</w:t>
            </w:r>
          </w:p>
        </w:tc>
        <w:tc>
          <w:tcPr>
            <w:tcW w:w="751" w:type="dxa"/>
            <w:tcMar>
              <w:left w:w="28" w:type="dxa"/>
              <w:right w:w="28" w:type="dxa"/>
            </w:tcMar>
          </w:tcPr>
          <w:p w14:paraId="1331EAB5" w14:textId="77777777" w:rsidR="00711444" w:rsidRPr="004D0DAA" w:rsidRDefault="00711444" w:rsidP="00AA2A4C">
            <w:pPr>
              <w:pStyle w:val="TAC"/>
              <w:rPr>
                <w:lang w:eastAsia="en-US"/>
              </w:rPr>
            </w:pPr>
            <w:r w:rsidRPr="004D0DAA">
              <w:rPr>
                <w:lang w:eastAsia="en-US"/>
              </w:rPr>
              <w:t>MCS-1</w:t>
            </w:r>
          </w:p>
        </w:tc>
        <w:tc>
          <w:tcPr>
            <w:tcW w:w="751" w:type="dxa"/>
            <w:tcMar>
              <w:left w:w="28" w:type="dxa"/>
              <w:right w:w="28" w:type="dxa"/>
            </w:tcMar>
          </w:tcPr>
          <w:p w14:paraId="7D05CD22"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629B9812"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0625DB29" w14:textId="77777777" w:rsidR="00711444" w:rsidRPr="004D0DAA" w:rsidRDefault="00711444" w:rsidP="00AA2A4C">
            <w:pPr>
              <w:pStyle w:val="TAC"/>
              <w:rPr>
                <w:lang w:eastAsia="en-US"/>
              </w:rPr>
            </w:pPr>
            <w:r w:rsidRPr="004D0DAA">
              <w:rPr>
                <w:lang w:eastAsia="en-US"/>
              </w:rPr>
              <w:t>MCS-1</w:t>
            </w:r>
          </w:p>
        </w:tc>
        <w:tc>
          <w:tcPr>
            <w:tcW w:w="751" w:type="dxa"/>
            <w:tcMar>
              <w:left w:w="28" w:type="dxa"/>
              <w:right w:w="28" w:type="dxa"/>
            </w:tcMar>
          </w:tcPr>
          <w:p w14:paraId="75556798"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687418CB"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48E81736" w14:textId="77777777" w:rsidR="00711444" w:rsidRPr="004D0DAA" w:rsidRDefault="00711444" w:rsidP="00AA2A4C">
            <w:pPr>
              <w:pStyle w:val="TAC"/>
              <w:rPr>
                <w:lang w:eastAsia="en-US"/>
              </w:rPr>
            </w:pPr>
            <w:r w:rsidRPr="004D0DAA">
              <w:rPr>
                <w:lang w:eastAsia="en-US"/>
              </w:rPr>
              <w:t>MCS-1</w:t>
            </w:r>
          </w:p>
        </w:tc>
        <w:tc>
          <w:tcPr>
            <w:tcW w:w="751" w:type="dxa"/>
            <w:tcMar>
              <w:left w:w="28" w:type="dxa"/>
              <w:right w:w="28" w:type="dxa"/>
            </w:tcMar>
          </w:tcPr>
          <w:p w14:paraId="0ACF48F0" w14:textId="77777777" w:rsidR="00711444" w:rsidRPr="004D0DAA" w:rsidRDefault="00711444" w:rsidP="00AA2A4C">
            <w:pPr>
              <w:pStyle w:val="TAC"/>
              <w:rPr>
                <w:lang w:eastAsia="en-US"/>
              </w:rPr>
            </w:pPr>
            <w:r w:rsidRPr="004D0DAA">
              <w:rPr>
                <w:lang w:eastAsia="en-US"/>
              </w:rPr>
              <w:t>MCS-1</w:t>
            </w:r>
          </w:p>
        </w:tc>
        <w:tc>
          <w:tcPr>
            <w:tcW w:w="752" w:type="dxa"/>
            <w:tcMar>
              <w:left w:w="28" w:type="dxa"/>
              <w:right w:w="28" w:type="dxa"/>
            </w:tcMar>
          </w:tcPr>
          <w:p w14:paraId="4D2DDC41" w14:textId="77777777" w:rsidR="00711444" w:rsidRPr="004D0DAA" w:rsidRDefault="00711444" w:rsidP="00AA2A4C">
            <w:pPr>
              <w:pStyle w:val="TAC"/>
              <w:rPr>
                <w:lang w:eastAsia="en-US"/>
              </w:rPr>
            </w:pPr>
            <w:r w:rsidRPr="004D0DAA">
              <w:rPr>
                <w:lang w:eastAsia="en-US"/>
              </w:rPr>
              <w:t>MCS-1</w:t>
            </w:r>
          </w:p>
        </w:tc>
        <w:tc>
          <w:tcPr>
            <w:tcW w:w="756" w:type="dxa"/>
            <w:tcMar>
              <w:left w:w="28" w:type="dxa"/>
              <w:right w:w="28" w:type="dxa"/>
            </w:tcMar>
          </w:tcPr>
          <w:p w14:paraId="736784E0" w14:textId="77777777" w:rsidR="00711444" w:rsidRPr="004D0DAA" w:rsidRDefault="00711444" w:rsidP="00AA2A4C">
            <w:pPr>
              <w:pStyle w:val="TAC"/>
              <w:rPr>
                <w:lang w:eastAsia="en-US"/>
              </w:rPr>
            </w:pPr>
            <w:r w:rsidRPr="004D0DAA">
              <w:rPr>
                <w:lang w:eastAsia="en-US"/>
              </w:rPr>
              <w:t>MCS-1</w:t>
            </w:r>
          </w:p>
        </w:tc>
      </w:tr>
    </w:tbl>
    <w:p w14:paraId="64ED42F3" w14:textId="77777777" w:rsidR="00711444" w:rsidRPr="004D0DAA" w:rsidRDefault="00711444" w:rsidP="00711444"/>
    <w:p w14:paraId="7D2E4096" w14:textId="77777777" w:rsidR="00711444" w:rsidRPr="004D0DAA" w:rsidRDefault="00711444" w:rsidP="00711444">
      <w:pPr>
        <w:pStyle w:val="TH"/>
      </w:pPr>
      <w:r w:rsidRPr="004D0DAA">
        <w:t>Table 8.1.1.6: Choice of modulation and coding scheme for retransmissions without re-segmentation (EGPRS2-B)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
        <w:gridCol w:w="738"/>
        <w:gridCol w:w="745"/>
        <w:gridCol w:w="739"/>
        <w:gridCol w:w="740"/>
        <w:gridCol w:w="741"/>
        <w:gridCol w:w="741"/>
        <w:gridCol w:w="740"/>
        <w:gridCol w:w="741"/>
        <w:gridCol w:w="741"/>
        <w:gridCol w:w="740"/>
        <w:gridCol w:w="741"/>
        <w:gridCol w:w="745"/>
      </w:tblGrid>
      <w:tr w:rsidR="00711444" w:rsidRPr="004D0DAA" w14:paraId="702F18D2" w14:textId="77777777" w:rsidTr="00AA2A4C">
        <w:tc>
          <w:tcPr>
            <w:tcW w:w="749" w:type="dxa"/>
            <w:shd w:val="clear" w:color="auto" w:fill="auto"/>
            <w:tcMar>
              <w:left w:w="28" w:type="dxa"/>
              <w:right w:w="28" w:type="dxa"/>
            </w:tcMar>
          </w:tcPr>
          <w:p w14:paraId="7270B24D" w14:textId="77777777" w:rsidR="00711444" w:rsidRPr="004D0DAA" w:rsidRDefault="00711444" w:rsidP="00AA2A4C">
            <w:pPr>
              <w:pStyle w:val="TAH"/>
              <w:rPr>
                <w:lang w:eastAsia="en-US"/>
              </w:rPr>
            </w:pPr>
            <w:r w:rsidRPr="004D0DAA">
              <w:rPr>
                <w:lang w:eastAsia="en-US"/>
              </w:rPr>
              <w:t>Scheme used for Initial transmission</w:t>
            </w:r>
          </w:p>
        </w:tc>
        <w:tc>
          <w:tcPr>
            <w:tcW w:w="9026" w:type="dxa"/>
            <w:gridSpan w:val="12"/>
            <w:shd w:val="clear" w:color="auto" w:fill="auto"/>
          </w:tcPr>
          <w:p w14:paraId="68751EE5" w14:textId="77777777" w:rsidR="00711444" w:rsidRPr="004D0DAA" w:rsidRDefault="00711444" w:rsidP="00AA2A4C">
            <w:pPr>
              <w:pStyle w:val="TAH"/>
              <w:rPr>
                <w:lang w:eastAsia="en-US"/>
              </w:rPr>
            </w:pPr>
            <w:r w:rsidRPr="004D0DAA">
              <w:rPr>
                <w:lang w:eastAsia="en-US"/>
              </w:rPr>
              <w:t>Scheme to use for retransmissions after switching to a different modulation and coding scheme (MCS or UBS)</w:t>
            </w:r>
          </w:p>
        </w:tc>
      </w:tr>
      <w:tr w:rsidR="00711444" w:rsidRPr="004D0DAA" w14:paraId="3B9D1192" w14:textId="77777777" w:rsidTr="00AA2A4C">
        <w:trPr>
          <w:trHeight w:val="567"/>
        </w:trPr>
        <w:tc>
          <w:tcPr>
            <w:tcW w:w="749" w:type="dxa"/>
            <w:shd w:val="clear" w:color="auto" w:fill="auto"/>
            <w:tcMar>
              <w:left w:w="28" w:type="dxa"/>
              <w:right w:w="28" w:type="dxa"/>
            </w:tcMar>
          </w:tcPr>
          <w:p w14:paraId="59D82421" w14:textId="77777777" w:rsidR="00711444" w:rsidRPr="004D0DAA" w:rsidRDefault="00711444" w:rsidP="00AA2A4C"/>
        </w:tc>
        <w:tc>
          <w:tcPr>
            <w:tcW w:w="750" w:type="dxa"/>
            <w:shd w:val="clear" w:color="auto" w:fill="auto"/>
            <w:tcMar>
              <w:left w:w="28" w:type="dxa"/>
              <w:right w:w="28" w:type="dxa"/>
            </w:tcMar>
          </w:tcPr>
          <w:p w14:paraId="53EED8EF" w14:textId="77777777" w:rsidR="00711444" w:rsidRPr="004D0DAA" w:rsidRDefault="00711444" w:rsidP="00AA2A4C">
            <w:pPr>
              <w:pStyle w:val="TAC"/>
              <w:rPr>
                <w:lang w:eastAsia="en-US"/>
              </w:rPr>
            </w:pPr>
            <w:r w:rsidRPr="004D0DAA">
              <w:rPr>
                <w:b/>
                <w:bCs/>
                <w:lang w:eastAsia="en-US"/>
              </w:rPr>
              <w:t>UBS-12 Commanded</w:t>
            </w:r>
          </w:p>
        </w:tc>
        <w:tc>
          <w:tcPr>
            <w:tcW w:w="756" w:type="dxa"/>
            <w:shd w:val="clear" w:color="auto" w:fill="auto"/>
            <w:tcMar>
              <w:left w:w="57" w:type="dxa"/>
              <w:right w:w="57" w:type="dxa"/>
            </w:tcMar>
          </w:tcPr>
          <w:p w14:paraId="0D052597" w14:textId="77777777" w:rsidR="00711444" w:rsidRPr="004D0DAA" w:rsidRDefault="00711444" w:rsidP="00AA2A4C">
            <w:pPr>
              <w:pStyle w:val="TAC"/>
              <w:rPr>
                <w:lang w:eastAsia="en-US"/>
              </w:rPr>
            </w:pPr>
            <w:r w:rsidRPr="004D0DAA">
              <w:rPr>
                <w:b/>
                <w:bCs/>
                <w:lang w:eastAsia="en-US"/>
              </w:rPr>
              <w:t>UBS-11 Commanded</w:t>
            </w:r>
          </w:p>
        </w:tc>
        <w:tc>
          <w:tcPr>
            <w:tcW w:w="751" w:type="dxa"/>
            <w:shd w:val="clear" w:color="auto" w:fill="auto"/>
            <w:tcMar>
              <w:left w:w="28" w:type="dxa"/>
              <w:right w:w="28" w:type="dxa"/>
            </w:tcMar>
          </w:tcPr>
          <w:p w14:paraId="197FC063" w14:textId="77777777" w:rsidR="00711444" w:rsidRPr="004D0DAA" w:rsidRDefault="00711444" w:rsidP="00AA2A4C">
            <w:pPr>
              <w:pStyle w:val="TAC"/>
              <w:rPr>
                <w:lang w:eastAsia="en-US"/>
              </w:rPr>
            </w:pPr>
            <w:r w:rsidRPr="004D0DAA">
              <w:rPr>
                <w:b/>
                <w:bCs/>
                <w:lang w:eastAsia="en-US"/>
              </w:rPr>
              <w:t>UBS-10 Commanded</w:t>
            </w:r>
          </w:p>
        </w:tc>
        <w:tc>
          <w:tcPr>
            <w:tcW w:w="751" w:type="dxa"/>
            <w:shd w:val="clear" w:color="auto" w:fill="auto"/>
            <w:tcMar>
              <w:left w:w="28" w:type="dxa"/>
              <w:right w:w="28" w:type="dxa"/>
            </w:tcMar>
          </w:tcPr>
          <w:p w14:paraId="55046816" w14:textId="77777777" w:rsidR="00711444" w:rsidRPr="004D0DAA" w:rsidRDefault="00711444" w:rsidP="00AA2A4C">
            <w:pPr>
              <w:pStyle w:val="TAC"/>
              <w:rPr>
                <w:lang w:eastAsia="en-US"/>
              </w:rPr>
            </w:pPr>
            <w:r w:rsidRPr="004D0DAA">
              <w:rPr>
                <w:b/>
                <w:bCs/>
                <w:lang w:eastAsia="en-US"/>
              </w:rPr>
              <w:t>UBS-9 Commanded</w:t>
            </w:r>
          </w:p>
        </w:tc>
        <w:tc>
          <w:tcPr>
            <w:tcW w:w="752" w:type="dxa"/>
            <w:shd w:val="clear" w:color="auto" w:fill="auto"/>
            <w:tcMar>
              <w:left w:w="28" w:type="dxa"/>
              <w:right w:w="28" w:type="dxa"/>
            </w:tcMar>
          </w:tcPr>
          <w:p w14:paraId="2519F0D5" w14:textId="77777777" w:rsidR="00711444" w:rsidRPr="004D0DAA" w:rsidRDefault="00711444" w:rsidP="00AA2A4C">
            <w:pPr>
              <w:pStyle w:val="TAC"/>
              <w:rPr>
                <w:lang w:eastAsia="en-US"/>
              </w:rPr>
            </w:pPr>
            <w:r w:rsidRPr="004D0DAA">
              <w:rPr>
                <w:b/>
                <w:bCs/>
                <w:lang w:eastAsia="en-US"/>
              </w:rPr>
              <w:t>UBS-8 Commanded</w:t>
            </w:r>
          </w:p>
        </w:tc>
        <w:tc>
          <w:tcPr>
            <w:tcW w:w="752" w:type="dxa"/>
            <w:shd w:val="clear" w:color="auto" w:fill="auto"/>
            <w:tcMar>
              <w:left w:w="28" w:type="dxa"/>
              <w:right w:w="28" w:type="dxa"/>
            </w:tcMar>
          </w:tcPr>
          <w:p w14:paraId="6F38D0E0" w14:textId="77777777" w:rsidR="00711444" w:rsidRPr="004D0DAA" w:rsidRDefault="00711444" w:rsidP="00AA2A4C">
            <w:pPr>
              <w:pStyle w:val="TAC"/>
              <w:rPr>
                <w:lang w:eastAsia="en-US"/>
              </w:rPr>
            </w:pPr>
            <w:r w:rsidRPr="004D0DAA">
              <w:rPr>
                <w:b/>
                <w:bCs/>
                <w:lang w:eastAsia="en-US"/>
              </w:rPr>
              <w:t>UBS-7 Commanded</w:t>
            </w:r>
          </w:p>
        </w:tc>
        <w:tc>
          <w:tcPr>
            <w:tcW w:w="751" w:type="dxa"/>
            <w:shd w:val="clear" w:color="auto" w:fill="auto"/>
            <w:tcMar>
              <w:left w:w="28" w:type="dxa"/>
              <w:right w:w="28" w:type="dxa"/>
            </w:tcMar>
          </w:tcPr>
          <w:p w14:paraId="71B215BC" w14:textId="77777777" w:rsidR="00711444" w:rsidRPr="004D0DAA" w:rsidRDefault="00711444" w:rsidP="00AA2A4C">
            <w:pPr>
              <w:pStyle w:val="TAC"/>
              <w:rPr>
                <w:lang w:eastAsia="en-US"/>
              </w:rPr>
            </w:pPr>
            <w:r w:rsidRPr="004D0DAA">
              <w:rPr>
                <w:b/>
                <w:bCs/>
                <w:lang w:eastAsia="en-US"/>
              </w:rPr>
              <w:t>UBS-6 Commanded</w:t>
            </w:r>
          </w:p>
        </w:tc>
        <w:tc>
          <w:tcPr>
            <w:tcW w:w="752" w:type="dxa"/>
            <w:shd w:val="clear" w:color="auto" w:fill="auto"/>
            <w:tcMar>
              <w:left w:w="28" w:type="dxa"/>
              <w:right w:w="28" w:type="dxa"/>
            </w:tcMar>
          </w:tcPr>
          <w:p w14:paraId="57F8D0F2" w14:textId="77777777" w:rsidR="00711444" w:rsidRPr="004D0DAA" w:rsidRDefault="00711444" w:rsidP="00AA2A4C">
            <w:pPr>
              <w:pStyle w:val="TAC"/>
              <w:rPr>
                <w:lang w:eastAsia="en-US"/>
              </w:rPr>
            </w:pPr>
            <w:r w:rsidRPr="004D0DAA">
              <w:rPr>
                <w:b/>
                <w:bCs/>
                <w:lang w:eastAsia="en-US"/>
              </w:rPr>
              <w:t>UBS-5 Commanded</w:t>
            </w:r>
          </w:p>
        </w:tc>
        <w:tc>
          <w:tcPr>
            <w:tcW w:w="752" w:type="dxa"/>
            <w:shd w:val="clear" w:color="auto" w:fill="auto"/>
            <w:tcMar>
              <w:left w:w="28" w:type="dxa"/>
              <w:right w:w="28" w:type="dxa"/>
            </w:tcMar>
          </w:tcPr>
          <w:p w14:paraId="7F74B34B" w14:textId="77777777" w:rsidR="00711444" w:rsidRPr="004D0DAA" w:rsidRDefault="00711444" w:rsidP="00AA2A4C">
            <w:pPr>
              <w:pStyle w:val="TAC"/>
              <w:rPr>
                <w:lang w:eastAsia="en-US"/>
              </w:rPr>
            </w:pPr>
            <w:r w:rsidRPr="004D0DAA">
              <w:rPr>
                <w:b/>
                <w:bCs/>
                <w:lang w:eastAsia="en-US"/>
              </w:rPr>
              <w:t>MCS-4 Commanded</w:t>
            </w:r>
          </w:p>
        </w:tc>
        <w:tc>
          <w:tcPr>
            <w:tcW w:w="751" w:type="dxa"/>
            <w:shd w:val="clear" w:color="auto" w:fill="auto"/>
            <w:tcMar>
              <w:left w:w="28" w:type="dxa"/>
              <w:right w:w="28" w:type="dxa"/>
            </w:tcMar>
          </w:tcPr>
          <w:p w14:paraId="3B0F4D37" w14:textId="77777777" w:rsidR="00711444" w:rsidRPr="004D0DAA" w:rsidRDefault="00711444" w:rsidP="00AA2A4C">
            <w:pPr>
              <w:pStyle w:val="TAC"/>
              <w:rPr>
                <w:lang w:eastAsia="en-US"/>
              </w:rPr>
            </w:pPr>
            <w:r w:rsidRPr="004D0DAA">
              <w:rPr>
                <w:b/>
                <w:bCs/>
                <w:lang w:eastAsia="en-US"/>
              </w:rPr>
              <w:t>MCS-3 Commanded</w:t>
            </w:r>
          </w:p>
        </w:tc>
        <w:tc>
          <w:tcPr>
            <w:tcW w:w="752" w:type="dxa"/>
            <w:shd w:val="clear" w:color="auto" w:fill="auto"/>
            <w:tcMar>
              <w:left w:w="28" w:type="dxa"/>
              <w:right w:w="28" w:type="dxa"/>
            </w:tcMar>
          </w:tcPr>
          <w:p w14:paraId="55121251" w14:textId="77777777" w:rsidR="00711444" w:rsidRPr="004D0DAA" w:rsidRDefault="00711444" w:rsidP="00AA2A4C">
            <w:pPr>
              <w:pStyle w:val="TAC"/>
              <w:rPr>
                <w:lang w:eastAsia="en-US"/>
              </w:rPr>
            </w:pPr>
            <w:r w:rsidRPr="004D0DAA">
              <w:rPr>
                <w:b/>
                <w:bCs/>
                <w:lang w:eastAsia="en-US"/>
              </w:rPr>
              <w:t>MCS-2 Commanded</w:t>
            </w:r>
          </w:p>
        </w:tc>
        <w:tc>
          <w:tcPr>
            <w:tcW w:w="756" w:type="dxa"/>
            <w:shd w:val="clear" w:color="auto" w:fill="auto"/>
            <w:tcMar>
              <w:left w:w="28" w:type="dxa"/>
              <w:right w:w="28" w:type="dxa"/>
            </w:tcMar>
          </w:tcPr>
          <w:p w14:paraId="31559760" w14:textId="77777777" w:rsidR="00711444" w:rsidRPr="004D0DAA" w:rsidRDefault="00711444" w:rsidP="00AA2A4C">
            <w:pPr>
              <w:pStyle w:val="TAC"/>
              <w:rPr>
                <w:lang w:eastAsia="en-US"/>
              </w:rPr>
            </w:pPr>
            <w:r w:rsidRPr="004D0DAA">
              <w:rPr>
                <w:b/>
                <w:bCs/>
                <w:lang w:eastAsia="en-US"/>
              </w:rPr>
              <w:t>MCS-1 Commanded</w:t>
            </w:r>
          </w:p>
        </w:tc>
      </w:tr>
      <w:tr w:rsidR="00711444" w:rsidRPr="004D0DAA" w14:paraId="06FAF0C3" w14:textId="77777777" w:rsidTr="00AA2A4C">
        <w:tc>
          <w:tcPr>
            <w:tcW w:w="749" w:type="dxa"/>
            <w:shd w:val="clear" w:color="auto" w:fill="auto"/>
            <w:tcMar>
              <w:left w:w="28" w:type="dxa"/>
              <w:right w:w="28" w:type="dxa"/>
            </w:tcMar>
          </w:tcPr>
          <w:p w14:paraId="13B7E3C3" w14:textId="77777777" w:rsidR="00711444" w:rsidRPr="004D0DAA" w:rsidRDefault="00711444" w:rsidP="00AA2A4C">
            <w:pPr>
              <w:pStyle w:val="TAC"/>
              <w:rPr>
                <w:lang w:eastAsia="en-US"/>
              </w:rPr>
            </w:pPr>
            <w:r w:rsidRPr="004D0DAA">
              <w:rPr>
                <w:lang w:eastAsia="en-US"/>
              </w:rPr>
              <w:t>UBS-12</w:t>
            </w:r>
          </w:p>
        </w:tc>
        <w:tc>
          <w:tcPr>
            <w:tcW w:w="750" w:type="dxa"/>
            <w:shd w:val="clear" w:color="auto" w:fill="auto"/>
            <w:tcMar>
              <w:left w:w="28" w:type="dxa"/>
              <w:right w:w="28" w:type="dxa"/>
            </w:tcMar>
          </w:tcPr>
          <w:p w14:paraId="10A95B87" w14:textId="77777777" w:rsidR="00711444" w:rsidRPr="004D0DAA" w:rsidRDefault="00711444" w:rsidP="00AA2A4C">
            <w:pPr>
              <w:pStyle w:val="TAC"/>
              <w:rPr>
                <w:lang w:eastAsia="en-US"/>
              </w:rPr>
            </w:pPr>
            <w:r w:rsidRPr="004D0DAA">
              <w:rPr>
                <w:lang w:eastAsia="en-US"/>
              </w:rPr>
              <w:t>UBS-12</w:t>
            </w:r>
          </w:p>
        </w:tc>
        <w:tc>
          <w:tcPr>
            <w:tcW w:w="756" w:type="dxa"/>
            <w:shd w:val="clear" w:color="auto" w:fill="auto"/>
            <w:tcMar>
              <w:left w:w="28" w:type="dxa"/>
              <w:right w:w="28" w:type="dxa"/>
            </w:tcMar>
          </w:tcPr>
          <w:p w14:paraId="4C28F98C"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5AFA4FD7"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4FD5DF18"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5ADC7C73"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579F34B9"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11B67B18"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209D120D"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44CA3764"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1CBBD9C9"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6D9EC16B" w14:textId="77777777" w:rsidR="00711444" w:rsidRPr="004D0DAA" w:rsidRDefault="00711444" w:rsidP="00AA2A4C">
            <w:pPr>
              <w:pStyle w:val="TAC"/>
              <w:rPr>
                <w:lang w:eastAsia="en-US"/>
              </w:rPr>
            </w:pPr>
            <w:r w:rsidRPr="004D0DAA">
              <w:rPr>
                <w:lang w:eastAsia="en-US"/>
              </w:rPr>
              <w:t>UBS-6</w:t>
            </w:r>
          </w:p>
        </w:tc>
        <w:tc>
          <w:tcPr>
            <w:tcW w:w="756" w:type="dxa"/>
            <w:shd w:val="clear" w:color="auto" w:fill="auto"/>
            <w:tcMar>
              <w:left w:w="28" w:type="dxa"/>
              <w:right w:w="28" w:type="dxa"/>
            </w:tcMar>
          </w:tcPr>
          <w:p w14:paraId="7E6F180F" w14:textId="77777777" w:rsidR="00711444" w:rsidRPr="004D0DAA" w:rsidRDefault="00711444" w:rsidP="00AA2A4C">
            <w:pPr>
              <w:pStyle w:val="TAC"/>
              <w:rPr>
                <w:lang w:eastAsia="en-US"/>
              </w:rPr>
            </w:pPr>
            <w:r w:rsidRPr="004D0DAA">
              <w:rPr>
                <w:lang w:eastAsia="en-US"/>
              </w:rPr>
              <w:t>UBS-6</w:t>
            </w:r>
          </w:p>
        </w:tc>
      </w:tr>
      <w:tr w:rsidR="00711444" w:rsidRPr="004D0DAA" w14:paraId="5166A6A6" w14:textId="77777777" w:rsidTr="00AA2A4C">
        <w:tc>
          <w:tcPr>
            <w:tcW w:w="749" w:type="dxa"/>
            <w:shd w:val="clear" w:color="auto" w:fill="auto"/>
            <w:tcMar>
              <w:left w:w="28" w:type="dxa"/>
              <w:right w:w="28" w:type="dxa"/>
            </w:tcMar>
          </w:tcPr>
          <w:p w14:paraId="63F31F50" w14:textId="77777777" w:rsidR="00711444" w:rsidRPr="004D0DAA" w:rsidRDefault="00711444" w:rsidP="00AA2A4C">
            <w:pPr>
              <w:pStyle w:val="TAC"/>
              <w:rPr>
                <w:lang w:eastAsia="en-US"/>
              </w:rPr>
            </w:pPr>
            <w:r w:rsidRPr="004D0DAA">
              <w:rPr>
                <w:lang w:eastAsia="en-US"/>
              </w:rPr>
              <w:t>UBS-11</w:t>
            </w:r>
          </w:p>
        </w:tc>
        <w:tc>
          <w:tcPr>
            <w:tcW w:w="750" w:type="dxa"/>
            <w:shd w:val="clear" w:color="auto" w:fill="auto"/>
            <w:tcMar>
              <w:left w:w="28" w:type="dxa"/>
              <w:right w:w="28" w:type="dxa"/>
            </w:tcMar>
          </w:tcPr>
          <w:p w14:paraId="01051BEE" w14:textId="77777777" w:rsidR="00711444" w:rsidRPr="004D0DAA" w:rsidRDefault="00711444" w:rsidP="00AA2A4C">
            <w:pPr>
              <w:pStyle w:val="TAC"/>
              <w:rPr>
                <w:lang w:eastAsia="en-US"/>
              </w:rPr>
            </w:pPr>
            <w:r w:rsidRPr="004D0DAA">
              <w:rPr>
                <w:lang w:eastAsia="en-US"/>
              </w:rPr>
              <w:t>UBS-11</w:t>
            </w:r>
          </w:p>
        </w:tc>
        <w:tc>
          <w:tcPr>
            <w:tcW w:w="756" w:type="dxa"/>
            <w:shd w:val="clear" w:color="auto" w:fill="auto"/>
            <w:tcMar>
              <w:left w:w="28" w:type="dxa"/>
              <w:right w:w="28" w:type="dxa"/>
            </w:tcMar>
          </w:tcPr>
          <w:p w14:paraId="3C0D2119" w14:textId="77777777" w:rsidR="00711444" w:rsidRPr="004D0DAA" w:rsidRDefault="00711444" w:rsidP="00AA2A4C">
            <w:pPr>
              <w:pStyle w:val="TAC"/>
              <w:rPr>
                <w:lang w:eastAsia="en-US"/>
              </w:rPr>
            </w:pPr>
            <w:r w:rsidRPr="004D0DAA">
              <w:rPr>
                <w:lang w:eastAsia="en-US"/>
              </w:rPr>
              <w:t>UBS-11</w:t>
            </w:r>
          </w:p>
        </w:tc>
        <w:tc>
          <w:tcPr>
            <w:tcW w:w="751" w:type="dxa"/>
            <w:shd w:val="clear" w:color="auto" w:fill="auto"/>
            <w:tcMar>
              <w:left w:w="28" w:type="dxa"/>
              <w:right w:w="28" w:type="dxa"/>
            </w:tcMar>
          </w:tcPr>
          <w:p w14:paraId="5EBB994B" w14:textId="77777777" w:rsidR="00711444" w:rsidRPr="004D0DAA" w:rsidRDefault="00711444" w:rsidP="00AA2A4C">
            <w:pPr>
              <w:pStyle w:val="TAC"/>
              <w:rPr>
                <w:lang w:eastAsia="en-US"/>
              </w:rPr>
            </w:pPr>
            <w:r w:rsidRPr="004D0DAA">
              <w:rPr>
                <w:lang w:eastAsia="en-US"/>
              </w:rPr>
              <w:t>UBS-10</w:t>
            </w:r>
            <w:r w:rsidRPr="004D0DAA">
              <w:rPr>
                <w:lang w:eastAsia="en-US"/>
              </w:rPr>
              <w:br/>
              <w:t>(pad)</w:t>
            </w:r>
          </w:p>
        </w:tc>
        <w:tc>
          <w:tcPr>
            <w:tcW w:w="751" w:type="dxa"/>
            <w:shd w:val="clear" w:color="auto" w:fill="auto"/>
            <w:tcMar>
              <w:left w:w="28" w:type="dxa"/>
              <w:right w:w="28" w:type="dxa"/>
            </w:tcMar>
          </w:tcPr>
          <w:p w14:paraId="5DF4B60D" w14:textId="77777777" w:rsidR="00711444" w:rsidRPr="004D0DAA" w:rsidRDefault="00711444" w:rsidP="00AA2A4C">
            <w:pPr>
              <w:pStyle w:val="TAC"/>
              <w:rPr>
                <w:lang w:eastAsia="en-US"/>
              </w:rPr>
            </w:pPr>
            <w:r w:rsidRPr="004D0DAA">
              <w:rPr>
                <w:lang w:eastAsia="en-US"/>
              </w:rPr>
              <w:t>UBS-8</w:t>
            </w:r>
            <w:r w:rsidRPr="004D0DAA">
              <w:rPr>
                <w:lang w:eastAsia="en-US"/>
              </w:rPr>
              <w:br/>
              <w:t>(pad)</w:t>
            </w:r>
          </w:p>
        </w:tc>
        <w:tc>
          <w:tcPr>
            <w:tcW w:w="752" w:type="dxa"/>
            <w:shd w:val="clear" w:color="auto" w:fill="auto"/>
            <w:tcMar>
              <w:left w:w="28" w:type="dxa"/>
              <w:right w:w="28" w:type="dxa"/>
            </w:tcMar>
          </w:tcPr>
          <w:p w14:paraId="0FF8E878" w14:textId="77777777" w:rsidR="00711444" w:rsidRPr="004D0DAA" w:rsidRDefault="00711444" w:rsidP="00AA2A4C">
            <w:pPr>
              <w:pStyle w:val="TAC"/>
              <w:rPr>
                <w:lang w:eastAsia="en-US"/>
              </w:rPr>
            </w:pPr>
            <w:r w:rsidRPr="004D0DAA">
              <w:rPr>
                <w:lang w:eastAsia="en-US"/>
              </w:rPr>
              <w:t>UBS-8</w:t>
            </w:r>
            <w:r w:rsidRPr="004D0DAA">
              <w:rPr>
                <w:lang w:eastAsia="en-US"/>
              </w:rPr>
              <w:br/>
              <w:t>(pad)</w:t>
            </w:r>
          </w:p>
        </w:tc>
        <w:tc>
          <w:tcPr>
            <w:tcW w:w="752" w:type="dxa"/>
            <w:shd w:val="clear" w:color="auto" w:fill="auto"/>
            <w:tcMar>
              <w:left w:w="28" w:type="dxa"/>
              <w:right w:w="28" w:type="dxa"/>
            </w:tcMar>
          </w:tcPr>
          <w:p w14:paraId="5AFAEB9B"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1" w:type="dxa"/>
            <w:shd w:val="clear" w:color="auto" w:fill="auto"/>
            <w:tcMar>
              <w:left w:w="28" w:type="dxa"/>
              <w:right w:w="28" w:type="dxa"/>
            </w:tcMar>
          </w:tcPr>
          <w:p w14:paraId="672D72FF"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2" w:type="dxa"/>
            <w:shd w:val="clear" w:color="auto" w:fill="auto"/>
            <w:tcMar>
              <w:left w:w="28" w:type="dxa"/>
              <w:right w:w="28" w:type="dxa"/>
            </w:tcMar>
          </w:tcPr>
          <w:p w14:paraId="55A18ABC"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2" w:type="dxa"/>
            <w:shd w:val="clear" w:color="auto" w:fill="auto"/>
            <w:tcMar>
              <w:left w:w="28" w:type="dxa"/>
              <w:right w:w="28" w:type="dxa"/>
            </w:tcMar>
          </w:tcPr>
          <w:p w14:paraId="31542FEE"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1" w:type="dxa"/>
            <w:shd w:val="clear" w:color="auto" w:fill="auto"/>
            <w:tcMar>
              <w:left w:w="28" w:type="dxa"/>
              <w:right w:w="28" w:type="dxa"/>
            </w:tcMar>
          </w:tcPr>
          <w:p w14:paraId="05BF8AF1"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2" w:type="dxa"/>
            <w:shd w:val="clear" w:color="auto" w:fill="auto"/>
            <w:tcMar>
              <w:left w:w="28" w:type="dxa"/>
              <w:right w:w="28" w:type="dxa"/>
            </w:tcMar>
          </w:tcPr>
          <w:p w14:paraId="2041EBFC"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c>
          <w:tcPr>
            <w:tcW w:w="756" w:type="dxa"/>
            <w:shd w:val="clear" w:color="auto" w:fill="auto"/>
            <w:tcMar>
              <w:left w:w="28" w:type="dxa"/>
              <w:right w:w="28" w:type="dxa"/>
            </w:tcMar>
          </w:tcPr>
          <w:p w14:paraId="1C06F160" w14:textId="77777777" w:rsidR="00711444" w:rsidRPr="004D0DAA" w:rsidRDefault="00711444" w:rsidP="00AA2A4C">
            <w:pPr>
              <w:pStyle w:val="TAC"/>
              <w:rPr>
                <w:lang w:eastAsia="en-US"/>
              </w:rPr>
            </w:pPr>
            <w:r w:rsidRPr="004D0DAA">
              <w:rPr>
                <w:lang w:eastAsia="en-US"/>
              </w:rPr>
              <w:t>UBS-6</w:t>
            </w:r>
            <w:r w:rsidRPr="004D0DAA">
              <w:rPr>
                <w:lang w:eastAsia="en-US"/>
              </w:rPr>
              <w:br/>
              <w:t>(pad)</w:t>
            </w:r>
          </w:p>
        </w:tc>
      </w:tr>
      <w:tr w:rsidR="00711444" w:rsidRPr="004D0DAA" w14:paraId="17DA3013" w14:textId="77777777" w:rsidTr="00AA2A4C">
        <w:tc>
          <w:tcPr>
            <w:tcW w:w="749" w:type="dxa"/>
            <w:shd w:val="clear" w:color="auto" w:fill="auto"/>
            <w:tcMar>
              <w:left w:w="28" w:type="dxa"/>
              <w:right w:w="28" w:type="dxa"/>
            </w:tcMar>
          </w:tcPr>
          <w:p w14:paraId="6A13FFAD" w14:textId="77777777" w:rsidR="00711444" w:rsidRPr="004D0DAA" w:rsidRDefault="00711444" w:rsidP="00AA2A4C">
            <w:pPr>
              <w:pStyle w:val="TAC"/>
              <w:rPr>
                <w:lang w:eastAsia="en-US"/>
              </w:rPr>
            </w:pPr>
            <w:r w:rsidRPr="004D0DAA">
              <w:rPr>
                <w:lang w:eastAsia="en-US"/>
              </w:rPr>
              <w:t>UBS-10</w:t>
            </w:r>
          </w:p>
        </w:tc>
        <w:tc>
          <w:tcPr>
            <w:tcW w:w="750" w:type="dxa"/>
            <w:shd w:val="clear" w:color="auto" w:fill="auto"/>
            <w:tcMar>
              <w:left w:w="28" w:type="dxa"/>
              <w:right w:w="28" w:type="dxa"/>
            </w:tcMar>
          </w:tcPr>
          <w:p w14:paraId="1C4473BB" w14:textId="77777777" w:rsidR="00711444" w:rsidRPr="004D0DAA" w:rsidRDefault="00711444" w:rsidP="00AA2A4C">
            <w:pPr>
              <w:pStyle w:val="TAC"/>
              <w:rPr>
                <w:lang w:eastAsia="en-US"/>
              </w:rPr>
            </w:pPr>
            <w:r w:rsidRPr="004D0DAA">
              <w:rPr>
                <w:lang w:eastAsia="en-US"/>
              </w:rPr>
              <w:t>UBS-12</w:t>
            </w:r>
          </w:p>
        </w:tc>
        <w:tc>
          <w:tcPr>
            <w:tcW w:w="756" w:type="dxa"/>
            <w:shd w:val="clear" w:color="auto" w:fill="auto"/>
            <w:tcMar>
              <w:left w:w="28" w:type="dxa"/>
              <w:right w:w="28" w:type="dxa"/>
            </w:tcMar>
          </w:tcPr>
          <w:p w14:paraId="09188549"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0CBDE56A"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6C16C735"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40E522D5"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3176127B"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19AFCF01"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08A5166F"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405A5539"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64844EAF"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42CB8DC1" w14:textId="77777777" w:rsidR="00711444" w:rsidRPr="004D0DAA" w:rsidRDefault="00711444" w:rsidP="00AA2A4C">
            <w:pPr>
              <w:pStyle w:val="TAC"/>
              <w:rPr>
                <w:lang w:eastAsia="en-US"/>
              </w:rPr>
            </w:pPr>
            <w:r w:rsidRPr="004D0DAA">
              <w:rPr>
                <w:lang w:eastAsia="en-US"/>
              </w:rPr>
              <w:t>UBS-6</w:t>
            </w:r>
          </w:p>
        </w:tc>
        <w:tc>
          <w:tcPr>
            <w:tcW w:w="756" w:type="dxa"/>
            <w:shd w:val="clear" w:color="auto" w:fill="auto"/>
            <w:tcMar>
              <w:left w:w="28" w:type="dxa"/>
              <w:right w:w="28" w:type="dxa"/>
            </w:tcMar>
          </w:tcPr>
          <w:p w14:paraId="1609FA76" w14:textId="77777777" w:rsidR="00711444" w:rsidRPr="004D0DAA" w:rsidRDefault="00711444" w:rsidP="00AA2A4C">
            <w:pPr>
              <w:pStyle w:val="TAC"/>
              <w:rPr>
                <w:lang w:eastAsia="en-US"/>
              </w:rPr>
            </w:pPr>
            <w:r w:rsidRPr="004D0DAA">
              <w:rPr>
                <w:lang w:eastAsia="en-US"/>
              </w:rPr>
              <w:t>UBS-6</w:t>
            </w:r>
          </w:p>
        </w:tc>
      </w:tr>
      <w:tr w:rsidR="00711444" w:rsidRPr="004D0DAA" w14:paraId="35BE4EB5" w14:textId="77777777" w:rsidTr="00AA2A4C">
        <w:tc>
          <w:tcPr>
            <w:tcW w:w="749" w:type="dxa"/>
            <w:shd w:val="clear" w:color="auto" w:fill="auto"/>
            <w:tcMar>
              <w:left w:w="28" w:type="dxa"/>
              <w:right w:w="28" w:type="dxa"/>
            </w:tcMar>
          </w:tcPr>
          <w:p w14:paraId="28730D04" w14:textId="77777777" w:rsidR="00711444" w:rsidRPr="004D0DAA" w:rsidRDefault="00711444" w:rsidP="00AA2A4C">
            <w:pPr>
              <w:pStyle w:val="TAC"/>
              <w:rPr>
                <w:lang w:eastAsia="en-US"/>
              </w:rPr>
            </w:pPr>
            <w:r w:rsidRPr="004D0DAA">
              <w:rPr>
                <w:lang w:eastAsia="en-US"/>
              </w:rPr>
              <w:t>UBS-9</w:t>
            </w:r>
          </w:p>
        </w:tc>
        <w:tc>
          <w:tcPr>
            <w:tcW w:w="750" w:type="dxa"/>
            <w:shd w:val="clear" w:color="auto" w:fill="auto"/>
            <w:tcMar>
              <w:left w:w="28" w:type="dxa"/>
              <w:right w:w="28" w:type="dxa"/>
            </w:tcMar>
          </w:tcPr>
          <w:p w14:paraId="60C70A33" w14:textId="77777777" w:rsidR="00711444" w:rsidRPr="004D0DAA" w:rsidRDefault="00711444" w:rsidP="00AA2A4C">
            <w:pPr>
              <w:pStyle w:val="TAC"/>
              <w:rPr>
                <w:lang w:eastAsia="en-US"/>
              </w:rPr>
            </w:pPr>
            <w:r w:rsidRPr="004D0DAA">
              <w:rPr>
                <w:lang w:eastAsia="en-US"/>
              </w:rPr>
              <w:t>UBS-9</w:t>
            </w:r>
          </w:p>
        </w:tc>
        <w:tc>
          <w:tcPr>
            <w:tcW w:w="756" w:type="dxa"/>
            <w:shd w:val="clear" w:color="auto" w:fill="auto"/>
            <w:tcMar>
              <w:left w:w="28" w:type="dxa"/>
              <w:right w:w="28" w:type="dxa"/>
            </w:tcMar>
          </w:tcPr>
          <w:p w14:paraId="4EDF25C3"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61B87E82"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7DDA24CE" w14:textId="77777777" w:rsidR="00711444" w:rsidRPr="004D0DAA" w:rsidRDefault="00711444" w:rsidP="00AA2A4C">
            <w:pPr>
              <w:pStyle w:val="TAC"/>
              <w:rPr>
                <w:lang w:eastAsia="en-US"/>
              </w:rPr>
            </w:pPr>
            <w:r w:rsidRPr="004D0DAA">
              <w:rPr>
                <w:lang w:eastAsia="en-US"/>
              </w:rPr>
              <w:t>UBS-9</w:t>
            </w:r>
          </w:p>
        </w:tc>
        <w:tc>
          <w:tcPr>
            <w:tcW w:w="752" w:type="dxa"/>
            <w:shd w:val="clear" w:color="auto" w:fill="auto"/>
            <w:tcMar>
              <w:left w:w="28" w:type="dxa"/>
              <w:right w:w="28" w:type="dxa"/>
            </w:tcMar>
          </w:tcPr>
          <w:p w14:paraId="34C2DC09" w14:textId="77777777" w:rsidR="00711444" w:rsidRPr="004D0DAA" w:rsidRDefault="00711444" w:rsidP="00AA2A4C">
            <w:pPr>
              <w:pStyle w:val="TAC"/>
              <w:rPr>
                <w:lang w:eastAsia="en-US"/>
              </w:rPr>
            </w:pPr>
            <w:r w:rsidRPr="004D0DAA">
              <w:rPr>
                <w:lang w:eastAsia="en-US"/>
              </w:rPr>
              <w:t>UBS-7</w:t>
            </w:r>
          </w:p>
        </w:tc>
        <w:tc>
          <w:tcPr>
            <w:tcW w:w="752" w:type="dxa"/>
            <w:shd w:val="clear" w:color="auto" w:fill="auto"/>
            <w:tcMar>
              <w:left w:w="28" w:type="dxa"/>
              <w:right w:w="28" w:type="dxa"/>
            </w:tcMar>
          </w:tcPr>
          <w:p w14:paraId="32802002" w14:textId="77777777" w:rsidR="00711444" w:rsidRPr="004D0DAA" w:rsidRDefault="00711444" w:rsidP="00AA2A4C">
            <w:pPr>
              <w:pStyle w:val="TAC"/>
              <w:rPr>
                <w:lang w:eastAsia="en-US"/>
              </w:rPr>
            </w:pPr>
            <w:r w:rsidRPr="004D0DAA">
              <w:rPr>
                <w:lang w:eastAsia="en-US"/>
              </w:rPr>
              <w:t>UBS-7</w:t>
            </w:r>
          </w:p>
        </w:tc>
        <w:tc>
          <w:tcPr>
            <w:tcW w:w="751" w:type="dxa"/>
            <w:shd w:val="clear" w:color="auto" w:fill="auto"/>
            <w:tcMar>
              <w:left w:w="28" w:type="dxa"/>
              <w:right w:w="28" w:type="dxa"/>
            </w:tcMar>
          </w:tcPr>
          <w:p w14:paraId="7858C54A"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00959C8D"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06A379A9" w14:textId="77777777" w:rsidR="00711444" w:rsidRPr="004D0DAA" w:rsidRDefault="00711444" w:rsidP="00AA2A4C">
            <w:pPr>
              <w:pStyle w:val="TAC"/>
              <w:rPr>
                <w:lang w:eastAsia="en-US"/>
              </w:rPr>
            </w:pPr>
            <w:r w:rsidRPr="004D0DAA">
              <w:rPr>
                <w:lang w:eastAsia="en-US"/>
              </w:rPr>
              <w:t>UBS-5</w:t>
            </w:r>
          </w:p>
        </w:tc>
        <w:tc>
          <w:tcPr>
            <w:tcW w:w="751" w:type="dxa"/>
            <w:shd w:val="clear" w:color="auto" w:fill="auto"/>
            <w:tcMar>
              <w:left w:w="28" w:type="dxa"/>
              <w:right w:w="28" w:type="dxa"/>
            </w:tcMar>
          </w:tcPr>
          <w:p w14:paraId="487EF0DB"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48EAEA31" w14:textId="77777777" w:rsidR="00711444" w:rsidRPr="004D0DAA" w:rsidRDefault="00711444" w:rsidP="00AA2A4C">
            <w:pPr>
              <w:pStyle w:val="TAC"/>
              <w:rPr>
                <w:lang w:eastAsia="en-US"/>
              </w:rPr>
            </w:pPr>
            <w:r w:rsidRPr="004D0DAA">
              <w:rPr>
                <w:lang w:eastAsia="en-US"/>
              </w:rPr>
              <w:t>UBS-5</w:t>
            </w:r>
          </w:p>
        </w:tc>
        <w:tc>
          <w:tcPr>
            <w:tcW w:w="756" w:type="dxa"/>
            <w:shd w:val="clear" w:color="auto" w:fill="auto"/>
            <w:tcMar>
              <w:left w:w="28" w:type="dxa"/>
              <w:right w:w="28" w:type="dxa"/>
            </w:tcMar>
          </w:tcPr>
          <w:p w14:paraId="77273237" w14:textId="77777777" w:rsidR="00711444" w:rsidRPr="004D0DAA" w:rsidRDefault="00711444" w:rsidP="00AA2A4C">
            <w:pPr>
              <w:pStyle w:val="TAC"/>
              <w:rPr>
                <w:lang w:eastAsia="en-US"/>
              </w:rPr>
            </w:pPr>
            <w:r w:rsidRPr="004D0DAA">
              <w:rPr>
                <w:lang w:eastAsia="en-US"/>
              </w:rPr>
              <w:t>UBS-5</w:t>
            </w:r>
          </w:p>
        </w:tc>
      </w:tr>
      <w:tr w:rsidR="00711444" w:rsidRPr="004D0DAA" w14:paraId="747BA3E6" w14:textId="77777777" w:rsidTr="00AA2A4C">
        <w:tc>
          <w:tcPr>
            <w:tcW w:w="749" w:type="dxa"/>
            <w:shd w:val="clear" w:color="auto" w:fill="auto"/>
            <w:tcMar>
              <w:left w:w="28" w:type="dxa"/>
              <w:right w:w="28" w:type="dxa"/>
            </w:tcMar>
          </w:tcPr>
          <w:p w14:paraId="60DE50CA" w14:textId="77777777" w:rsidR="00711444" w:rsidRPr="004D0DAA" w:rsidRDefault="00711444" w:rsidP="00AA2A4C">
            <w:pPr>
              <w:pStyle w:val="TAC"/>
              <w:rPr>
                <w:lang w:eastAsia="en-US"/>
              </w:rPr>
            </w:pPr>
            <w:r w:rsidRPr="004D0DAA">
              <w:rPr>
                <w:lang w:eastAsia="en-US"/>
              </w:rPr>
              <w:t>UBS-8</w:t>
            </w:r>
          </w:p>
        </w:tc>
        <w:tc>
          <w:tcPr>
            <w:tcW w:w="750" w:type="dxa"/>
            <w:shd w:val="clear" w:color="auto" w:fill="auto"/>
            <w:tcMar>
              <w:left w:w="28" w:type="dxa"/>
              <w:right w:w="28" w:type="dxa"/>
            </w:tcMar>
          </w:tcPr>
          <w:p w14:paraId="4BCE49D2" w14:textId="77777777" w:rsidR="00711444" w:rsidRPr="004D0DAA" w:rsidRDefault="00711444" w:rsidP="00AA2A4C">
            <w:pPr>
              <w:pStyle w:val="TAC"/>
              <w:rPr>
                <w:lang w:eastAsia="en-US"/>
              </w:rPr>
            </w:pPr>
            <w:r w:rsidRPr="004D0DAA">
              <w:rPr>
                <w:lang w:eastAsia="en-US"/>
              </w:rPr>
              <w:t>UBS-12</w:t>
            </w:r>
          </w:p>
        </w:tc>
        <w:tc>
          <w:tcPr>
            <w:tcW w:w="756" w:type="dxa"/>
            <w:shd w:val="clear" w:color="auto" w:fill="auto"/>
            <w:tcMar>
              <w:left w:w="28" w:type="dxa"/>
              <w:right w:w="28" w:type="dxa"/>
            </w:tcMar>
          </w:tcPr>
          <w:p w14:paraId="43F2E178"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57C08CD0"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10E6E7B3"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0553733B"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6D78508F"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3BB76BA5"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06A96FCA"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2D323981"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7AD4C846"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50143165" w14:textId="77777777" w:rsidR="00711444" w:rsidRPr="004D0DAA" w:rsidRDefault="00711444" w:rsidP="00AA2A4C">
            <w:pPr>
              <w:pStyle w:val="TAC"/>
              <w:rPr>
                <w:lang w:eastAsia="en-US"/>
              </w:rPr>
            </w:pPr>
            <w:r w:rsidRPr="004D0DAA">
              <w:rPr>
                <w:lang w:eastAsia="en-US"/>
              </w:rPr>
              <w:t>UBS-6</w:t>
            </w:r>
          </w:p>
        </w:tc>
        <w:tc>
          <w:tcPr>
            <w:tcW w:w="756" w:type="dxa"/>
            <w:shd w:val="clear" w:color="auto" w:fill="auto"/>
            <w:tcMar>
              <w:left w:w="28" w:type="dxa"/>
              <w:right w:w="28" w:type="dxa"/>
            </w:tcMar>
          </w:tcPr>
          <w:p w14:paraId="31B7D538" w14:textId="77777777" w:rsidR="00711444" w:rsidRPr="004D0DAA" w:rsidRDefault="00711444" w:rsidP="00AA2A4C">
            <w:pPr>
              <w:pStyle w:val="TAC"/>
              <w:rPr>
                <w:lang w:eastAsia="en-US"/>
              </w:rPr>
            </w:pPr>
            <w:r w:rsidRPr="004D0DAA">
              <w:rPr>
                <w:lang w:eastAsia="en-US"/>
              </w:rPr>
              <w:t>UBS-6</w:t>
            </w:r>
          </w:p>
        </w:tc>
      </w:tr>
      <w:tr w:rsidR="00711444" w:rsidRPr="004D0DAA" w14:paraId="373AAFDC" w14:textId="77777777" w:rsidTr="00AA2A4C">
        <w:tc>
          <w:tcPr>
            <w:tcW w:w="749" w:type="dxa"/>
            <w:shd w:val="clear" w:color="auto" w:fill="auto"/>
            <w:tcMar>
              <w:left w:w="28" w:type="dxa"/>
              <w:right w:w="28" w:type="dxa"/>
            </w:tcMar>
          </w:tcPr>
          <w:p w14:paraId="464BB799" w14:textId="77777777" w:rsidR="00711444" w:rsidRPr="004D0DAA" w:rsidRDefault="00711444" w:rsidP="00AA2A4C">
            <w:pPr>
              <w:pStyle w:val="TAC"/>
              <w:rPr>
                <w:lang w:eastAsia="en-US"/>
              </w:rPr>
            </w:pPr>
            <w:r w:rsidRPr="004D0DAA">
              <w:rPr>
                <w:lang w:eastAsia="en-US"/>
              </w:rPr>
              <w:t>UBS-7</w:t>
            </w:r>
          </w:p>
        </w:tc>
        <w:tc>
          <w:tcPr>
            <w:tcW w:w="750" w:type="dxa"/>
            <w:shd w:val="clear" w:color="auto" w:fill="auto"/>
            <w:tcMar>
              <w:left w:w="28" w:type="dxa"/>
              <w:right w:w="28" w:type="dxa"/>
            </w:tcMar>
          </w:tcPr>
          <w:p w14:paraId="61CF4AF6" w14:textId="77777777" w:rsidR="00711444" w:rsidRPr="004D0DAA" w:rsidRDefault="00711444" w:rsidP="00AA2A4C">
            <w:pPr>
              <w:pStyle w:val="TAC"/>
              <w:rPr>
                <w:lang w:eastAsia="en-US"/>
              </w:rPr>
            </w:pPr>
            <w:r w:rsidRPr="004D0DAA">
              <w:rPr>
                <w:lang w:eastAsia="en-US"/>
              </w:rPr>
              <w:t>UBS-9</w:t>
            </w:r>
          </w:p>
        </w:tc>
        <w:tc>
          <w:tcPr>
            <w:tcW w:w="756" w:type="dxa"/>
            <w:shd w:val="clear" w:color="auto" w:fill="auto"/>
            <w:tcMar>
              <w:left w:w="28" w:type="dxa"/>
              <w:right w:w="28" w:type="dxa"/>
            </w:tcMar>
          </w:tcPr>
          <w:p w14:paraId="687BAC29"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6B889734"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721D9ED2" w14:textId="77777777" w:rsidR="00711444" w:rsidRPr="004D0DAA" w:rsidRDefault="00711444" w:rsidP="00AA2A4C">
            <w:pPr>
              <w:pStyle w:val="TAC"/>
              <w:rPr>
                <w:lang w:eastAsia="en-US"/>
              </w:rPr>
            </w:pPr>
            <w:r w:rsidRPr="004D0DAA">
              <w:rPr>
                <w:lang w:eastAsia="en-US"/>
              </w:rPr>
              <w:t>UBS-9</w:t>
            </w:r>
          </w:p>
        </w:tc>
        <w:tc>
          <w:tcPr>
            <w:tcW w:w="752" w:type="dxa"/>
            <w:shd w:val="clear" w:color="auto" w:fill="auto"/>
            <w:tcMar>
              <w:left w:w="28" w:type="dxa"/>
              <w:right w:w="28" w:type="dxa"/>
            </w:tcMar>
          </w:tcPr>
          <w:p w14:paraId="7562E515" w14:textId="77777777" w:rsidR="00711444" w:rsidRPr="004D0DAA" w:rsidRDefault="00711444" w:rsidP="00AA2A4C">
            <w:pPr>
              <w:pStyle w:val="TAC"/>
              <w:rPr>
                <w:lang w:eastAsia="en-US"/>
              </w:rPr>
            </w:pPr>
            <w:r w:rsidRPr="004D0DAA">
              <w:rPr>
                <w:lang w:eastAsia="en-US"/>
              </w:rPr>
              <w:t>UBS-7</w:t>
            </w:r>
          </w:p>
        </w:tc>
        <w:tc>
          <w:tcPr>
            <w:tcW w:w="752" w:type="dxa"/>
            <w:shd w:val="clear" w:color="auto" w:fill="auto"/>
            <w:tcMar>
              <w:left w:w="28" w:type="dxa"/>
              <w:right w:w="28" w:type="dxa"/>
            </w:tcMar>
          </w:tcPr>
          <w:p w14:paraId="6DFB4E23" w14:textId="77777777" w:rsidR="00711444" w:rsidRPr="004D0DAA" w:rsidRDefault="00711444" w:rsidP="00AA2A4C">
            <w:pPr>
              <w:pStyle w:val="TAC"/>
              <w:rPr>
                <w:lang w:eastAsia="en-US"/>
              </w:rPr>
            </w:pPr>
            <w:r w:rsidRPr="004D0DAA">
              <w:rPr>
                <w:lang w:eastAsia="en-US"/>
              </w:rPr>
              <w:t>UBS-7</w:t>
            </w:r>
          </w:p>
        </w:tc>
        <w:tc>
          <w:tcPr>
            <w:tcW w:w="751" w:type="dxa"/>
            <w:shd w:val="clear" w:color="auto" w:fill="auto"/>
            <w:tcMar>
              <w:left w:w="28" w:type="dxa"/>
              <w:right w:w="28" w:type="dxa"/>
            </w:tcMar>
          </w:tcPr>
          <w:p w14:paraId="5CF18A20"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394CDFBE"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55304800" w14:textId="77777777" w:rsidR="00711444" w:rsidRPr="004D0DAA" w:rsidRDefault="00711444" w:rsidP="00AA2A4C">
            <w:pPr>
              <w:pStyle w:val="TAC"/>
              <w:rPr>
                <w:lang w:eastAsia="en-US"/>
              </w:rPr>
            </w:pPr>
            <w:r w:rsidRPr="004D0DAA">
              <w:rPr>
                <w:lang w:eastAsia="en-US"/>
              </w:rPr>
              <w:t>UBS-5</w:t>
            </w:r>
          </w:p>
        </w:tc>
        <w:tc>
          <w:tcPr>
            <w:tcW w:w="751" w:type="dxa"/>
            <w:shd w:val="clear" w:color="auto" w:fill="auto"/>
            <w:tcMar>
              <w:left w:w="28" w:type="dxa"/>
              <w:right w:w="28" w:type="dxa"/>
            </w:tcMar>
          </w:tcPr>
          <w:p w14:paraId="384708E2"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182C9AA0" w14:textId="77777777" w:rsidR="00711444" w:rsidRPr="004D0DAA" w:rsidRDefault="00711444" w:rsidP="00AA2A4C">
            <w:pPr>
              <w:pStyle w:val="TAC"/>
              <w:rPr>
                <w:lang w:eastAsia="en-US"/>
              </w:rPr>
            </w:pPr>
            <w:r w:rsidRPr="004D0DAA">
              <w:rPr>
                <w:lang w:eastAsia="en-US"/>
              </w:rPr>
              <w:t>UBS-5</w:t>
            </w:r>
          </w:p>
        </w:tc>
        <w:tc>
          <w:tcPr>
            <w:tcW w:w="756" w:type="dxa"/>
            <w:shd w:val="clear" w:color="auto" w:fill="auto"/>
            <w:tcMar>
              <w:left w:w="28" w:type="dxa"/>
              <w:right w:w="28" w:type="dxa"/>
            </w:tcMar>
          </w:tcPr>
          <w:p w14:paraId="02349B69" w14:textId="77777777" w:rsidR="00711444" w:rsidRPr="004D0DAA" w:rsidRDefault="00711444" w:rsidP="00AA2A4C">
            <w:pPr>
              <w:pStyle w:val="TAC"/>
              <w:rPr>
                <w:lang w:eastAsia="en-US"/>
              </w:rPr>
            </w:pPr>
            <w:r w:rsidRPr="004D0DAA">
              <w:rPr>
                <w:lang w:eastAsia="en-US"/>
              </w:rPr>
              <w:t>UBS-5</w:t>
            </w:r>
          </w:p>
        </w:tc>
      </w:tr>
      <w:tr w:rsidR="00711444" w:rsidRPr="004D0DAA" w14:paraId="49D38ECD" w14:textId="77777777" w:rsidTr="00AA2A4C">
        <w:tc>
          <w:tcPr>
            <w:tcW w:w="749" w:type="dxa"/>
            <w:shd w:val="clear" w:color="auto" w:fill="auto"/>
            <w:tcMar>
              <w:left w:w="28" w:type="dxa"/>
              <w:right w:w="28" w:type="dxa"/>
            </w:tcMar>
          </w:tcPr>
          <w:p w14:paraId="617964E9" w14:textId="77777777" w:rsidR="00711444" w:rsidRPr="004D0DAA" w:rsidRDefault="00711444" w:rsidP="00AA2A4C">
            <w:pPr>
              <w:pStyle w:val="TAC"/>
              <w:rPr>
                <w:lang w:eastAsia="en-US"/>
              </w:rPr>
            </w:pPr>
            <w:r w:rsidRPr="004D0DAA">
              <w:rPr>
                <w:lang w:eastAsia="en-US"/>
              </w:rPr>
              <w:t>UBS-6</w:t>
            </w:r>
          </w:p>
        </w:tc>
        <w:tc>
          <w:tcPr>
            <w:tcW w:w="750" w:type="dxa"/>
            <w:shd w:val="clear" w:color="auto" w:fill="auto"/>
            <w:tcMar>
              <w:left w:w="28" w:type="dxa"/>
              <w:right w:w="28" w:type="dxa"/>
            </w:tcMar>
          </w:tcPr>
          <w:p w14:paraId="09213542" w14:textId="77777777" w:rsidR="00711444" w:rsidRPr="004D0DAA" w:rsidRDefault="00711444" w:rsidP="00AA2A4C">
            <w:pPr>
              <w:pStyle w:val="TAC"/>
              <w:rPr>
                <w:lang w:eastAsia="en-US"/>
              </w:rPr>
            </w:pPr>
            <w:r w:rsidRPr="004D0DAA">
              <w:rPr>
                <w:lang w:eastAsia="en-US"/>
              </w:rPr>
              <w:t>UBS-12</w:t>
            </w:r>
          </w:p>
        </w:tc>
        <w:tc>
          <w:tcPr>
            <w:tcW w:w="756" w:type="dxa"/>
            <w:shd w:val="clear" w:color="auto" w:fill="auto"/>
            <w:tcMar>
              <w:left w:w="28" w:type="dxa"/>
              <w:right w:w="28" w:type="dxa"/>
            </w:tcMar>
          </w:tcPr>
          <w:p w14:paraId="5A04ED0E"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0A072840" w14:textId="77777777" w:rsidR="00711444" w:rsidRPr="004D0DAA" w:rsidRDefault="00711444" w:rsidP="00AA2A4C">
            <w:pPr>
              <w:pStyle w:val="TAC"/>
              <w:rPr>
                <w:lang w:eastAsia="en-US"/>
              </w:rPr>
            </w:pPr>
            <w:r w:rsidRPr="004D0DAA">
              <w:rPr>
                <w:lang w:eastAsia="en-US"/>
              </w:rPr>
              <w:t>UBS-10</w:t>
            </w:r>
          </w:p>
        </w:tc>
        <w:tc>
          <w:tcPr>
            <w:tcW w:w="751" w:type="dxa"/>
            <w:shd w:val="clear" w:color="auto" w:fill="auto"/>
            <w:tcMar>
              <w:left w:w="28" w:type="dxa"/>
              <w:right w:w="28" w:type="dxa"/>
            </w:tcMar>
          </w:tcPr>
          <w:p w14:paraId="4F9FE3E2"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43F63DA0" w14:textId="77777777" w:rsidR="00711444" w:rsidRPr="004D0DAA" w:rsidRDefault="00711444" w:rsidP="00AA2A4C">
            <w:pPr>
              <w:pStyle w:val="TAC"/>
              <w:rPr>
                <w:lang w:eastAsia="en-US"/>
              </w:rPr>
            </w:pPr>
            <w:r w:rsidRPr="004D0DAA">
              <w:rPr>
                <w:lang w:eastAsia="en-US"/>
              </w:rPr>
              <w:t>UBS-8</w:t>
            </w:r>
          </w:p>
        </w:tc>
        <w:tc>
          <w:tcPr>
            <w:tcW w:w="752" w:type="dxa"/>
            <w:shd w:val="clear" w:color="auto" w:fill="auto"/>
            <w:tcMar>
              <w:left w:w="28" w:type="dxa"/>
              <w:right w:w="28" w:type="dxa"/>
            </w:tcMar>
          </w:tcPr>
          <w:p w14:paraId="58A70BE0"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1B7F67AB"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01B8D60E"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2AF87CC7" w14:textId="77777777" w:rsidR="00711444" w:rsidRPr="004D0DAA" w:rsidRDefault="00711444" w:rsidP="00AA2A4C">
            <w:pPr>
              <w:pStyle w:val="TAC"/>
              <w:rPr>
                <w:lang w:eastAsia="en-US"/>
              </w:rPr>
            </w:pPr>
            <w:r w:rsidRPr="004D0DAA">
              <w:rPr>
                <w:lang w:eastAsia="en-US"/>
              </w:rPr>
              <w:t>UBS-6</w:t>
            </w:r>
          </w:p>
        </w:tc>
        <w:tc>
          <w:tcPr>
            <w:tcW w:w="751" w:type="dxa"/>
            <w:shd w:val="clear" w:color="auto" w:fill="auto"/>
            <w:tcMar>
              <w:left w:w="28" w:type="dxa"/>
              <w:right w:w="28" w:type="dxa"/>
            </w:tcMar>
          </w:tcPr>
          <w:p w14:paraId="19D79FC9" w14:textId="77777777" w:rsidR="00711444" w:rsidRPr="004D0DAA" w:rsidRDefault="00711444" w:rsidP="00AA2A4C">
            <w:pPr>
              <w:pStyle w:val="TAC"/>
              <w:rPr>
                <w:lang w:eastAsia="en-US"/>
              </w:rPr>
            </w:pPr>
            <w:r w:rsidRPr="004D0DAA">
              <w:rPr>
                <w:lang w:eastAsia="en-US"/>
              </w:rPr>
              <w:t>UBS-6</w:t>
            </w:r>
          </w:p>
        </w:tc>
        <w:tc>
          <w:tcPr>
            <w:tcW w:w="752" w:type="dxa"/>
            <w:shd w:val="clear" w:color="auto" w:fill="auto"/>
            <w:tcMar>
              <w:left w:w="28" w:type="dxa"/>
              <w:right w:w="28" w:type="dxa"/>
            </w:tcMar>
          </w:tcPr>
          <w:p w14:paraId="0019A310" w14:textId="77777777" w:rsidR="00711444" w:rsidRPr="004D0DAA" w:rsidRDefault="00711444" w:rsidP="00AA2A4C">
            <w:pPr>
              <w:pStyle w:val="TAC"/>
              <w:rPr>
                <w:lang w:eastAsia="en-US"/>
              </w:rPr>
            </w:pPr>
            <w:r w:rsidRPr="004D0DAA">
              <w:rPr>
                <w:lang w:eastAsia="en-US"/>
              </w:rPr>
              <w:t>UBS-6</w:t>
            </w:r>
          </w:p>
        </w:tc>
        <w:tc>
          <w:tcPr>
            <w:tcW w:w="756" w:type="dxa"/>
            <w:shd w:val="clear" w:color="auto" w:fill="auto"/>
            <w:tcMar>
              <w:left w:w="28" w:type="dxa"/>
              <w:right w:w="28" w:type="dxa"/>
            </w:tcMar>
          </w:tcPr>
          <w:p w14:paraId="72914366" w14:textId="77777777" w:rsidR="00711444" w:rsidRPr="004D0DAA" w:rsidRDefault="00711444" w:rsidP="00AA2A4C">
            <w:pPr>
              <w:pStyle w:val="TAC"/>
              <w:rPr>
                <w:lang w:eastAsia="en-US"/>
              </w:rPr>
            </w:pPr>
            <w:r w:rsidRPr="004D0DAA">
              <w:rPr>
                <w:lang w:eastAsia="en-US"/>
              </w:rPr>
              <w:t>UBS-6</w:t>
            </w:r>
          </w:p>
        </w:tc>
      </w:tr>
      <w:tr w:rsidR="00711444" w:rsidRPr="004D0DAA" w14:paraId="5E42C2DA" w14:textId="77777777" w:rsidTr="00AA2A4C">
        <w:tc>
          <w:tcPr>
            <w:tcW w:w="749" w:type="dxa"/>
            <w:shd w:val="clear" w:color="auto" w:fill="auto"/>
            <w:tcMar>
              <w:left w:w="28" w:type="dxa"/>
              <w:right w:w="28" w:type="dxa"/>
            </w:tcMar>
          </w:tcPr>
          <w:p w14:paraId="541A2191" w14:textId="77777777" w:rsidR="00711444" w:rsidRPr="004D0DAA" w:rsidRDefault="00711444" w:rsidP="00AA2A4C">
            <w:pPr>
              <w:pStyle w:val="TAC"/>
              <w:rPr>
                <w:lang w:eastAsia="en-US"/>
              </w:rPr>
            </w:pPr>
            <w:r w:rsidRPr="004D0DAA">
              <w:rPr>
                <w:lang w:eastAsia="en-US"/>
              </w:rPr>
              <w:t>UBS-5</w:t>
            </w:r>
          </w:p>
        </w:tc>
        <w:tc>
          <w:tcPr>
            <w:tcW w:w="750" w:type="dxa"/>
            <w:shd w:val="clear" w:color="auto" w:fill="auto"/>
            <w:tcMar>
              <w:left w:w="28" w:type="dxa"/>
              <w:right w:w="28" w:type="dxa"/>
            </w:tcMar>
          </w:tcPr>
          <w:p w14:paraId="0986A261" w14:textId="77777777" w:rsidR="00711444" w:rsidRPr="004D0DAA" w:rsidRDefault="00711444" w:rsidP="00AA2A4C">
            <w:pPr>
              <w:pStyle w:val="TAC"/>
              <w:rPr>
                <w:lang w:eastAsia="en-US"/>
              </w:rPr>
            </w:pPr>
            <w:r w:rsidRPr="004D0DAA">
              <w:rPr>
                <w:lang w:eastAsia="en-US"/>
              </w:rPr>
              <w:t>UBS-9</w:t>
            </w:r>
          </w:p>
        </w:tc>
        <w:tc>
          <w:tcPr>
            <w:tcW w:w="756" w:type="dxa"/>
            <w:shd w:val="clear" w:color="auto" w:fill="auto"/>
            <w:tcMar>
              <w:left w:w="28" w:type="dxa"/>
              <w:right w:w="28" w:type="dxa"/>
            </w:tcMar>
          </w:tcPr>
          <w:p w14:paraId="0D100988"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3B4A52EA" w14:textId="77777777" w:rsidR="00711444" w:rsidRPr="004D0DAA" w:rsidRDefault="00711444" w:rsidP="00AA2A4C">
            <w:pPr>
              <w:pStyle w:val="TAC"/>
              <w:rPr>
                <w:lang w:eastAsia="en-US"/>
              </w:rPr>
            </w:pPr>
            <w:r w:rsidRPr="004D0DAA">
              <w:rPr>
                <w:lang w:eastAsia="en-US"/>
              </w:rPr>
              <w:t>UBS-9</w:t>
            </w:r>
          </w:p>
        </w:tc>
        <w:tc>
          <w:tcPr>
            <w:tcW w:w="751" w:type="dxa"/>
            <w:shd w:val="clear" w:color="auto" w:fill="auto"/>
            <w:tcMar>
              <w:left w:w="28" w:type="dxa"/>
              <w:right w:w="28" w:type="dxa"/>
            </w:tcMar>
          </w:tcPr>
          <w:p w14:paraId="2D5BB0CD" w14:textId="77777777" w:rsidR="00711444" w:rsidRPr="004D0DAA" w:rsidRDefault="00711444" w:rsidP="00AA2A4C">
            <w:pPr>
              <w:pStyle w:val="TAC"/>
              <w:rPr>
                <w:lang w:eastAsia="en-US"/>
              </w:rPr>
            </w:pPr>
            <w:r w:rsidRPr="004D0DAA">
              <w:rPr>
                <w:lang w:eastAsia="en-US"/>
              </w:rPr>
              <w:t>UBS-9</w:t>
            </w:r>
          </w:p>
        </w:tc>
        <w:tc>
          <w:tcPr>
            <w:tcW w:w="752" w:type="dxa"/>
            <w:shd w:val="clear" w:color="auto" w:fill="auto"/>
            <w:tcMar>
              <w:left w:w="28" w:type="dxa"/>
              <w:right w:w="28" w:type="dxa"/>
            </w:tcMar>
          </w:tcPr>
          <w:p w14:paraId="319A817D" w14:textId="77777777" w:rsidR="00711444" w:rsidRPr="004D0DAA" w:rsidRDefault="00711444" w:rsidP="00AA2A4C">
            <w:pPr>
              <w:pStyle w:val="TAC"/>
              <w:rPr>
                <w:lang w:eastAsia="en-US"/>
              </w:rPr>
            </w:pPr>
            <w:r w:rsidRPr="004D0DAA">
              <w:rPr>
                <w:lang w:eastAsia="en-US"/>
              </w:rPr>
              <w:t>UBS-7</w:t>
            </w:r>
          </w:p>
        </w:tc>
        <w:tc>
          <w:tcPr>
            <w:tcW w:w="752" w:type="dxa"/>
            <w:shd w:val="clear" w:color="auto" w:fill="auto"/>
            <w:tcMar>
              <w:left w:w="28" w:type="dxa"/>
              <w:right w:w="28" w:type="dxa"/>
            </w:tcMar>
          </w:tcPr>
          <w:p w14:paraId="0F666A29" w14:textId="77777777" w:rsidR="00711444" w:rsidRPr="004D0DAA" w:rsidRDefault="00711444" w:rsidP="00AA2A4C">
            <w:pPr>
              <w:pStyle w:val="TAC"/>
              <w:rPr>
                <w:lang w:eastAsia="en-US"/>
              </w:rPr>
            </w:pPr>
            <w:r w:rsidRPr="004D0DAA">
              <w:rPr>
                <w:lang w:eastAsia="en-US"/>
              </w:rPr>
              <w:t>UBS-7</w:t>
            </w:r>
          </w:p>
        </w:tc>
        <w:tc>
          <w:tcPr>
            <w:tcW w:w="751" w:type="dxa"/>
            <w:shd w:val="clear" w:color="auto" w:fill="auto"/>
            <w:tcMar>
              <w:left w:w="28" w:type="dxa"/>
              <w:right w:w="28" w:type="dxa"/>
            </w:tcMar>
          </w:tcPr>
          <w:p w14:paraId="670360E3"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07A8D4F0"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72FDA0F3" w14:textId="77777777" w:rsidR="00711444" w:rsidRPr="004D0DAA" w:rsidRDefault="00711444" w:rsidP="00AA2A4C">
            <w:pPr>
              <w:pStyle w:val="TAC"/>
              <w:rPr>
                <w:lang w:eastAsia="en-US"/>
              </w:rPr>
            </w:pPr>
            <w:r w:rsidRPr="004D0DAA">
              <w:rPr>
                <w:lang w:eastAsia="en-US"/>
              </w:rPr>
              <w:t>UBS-5</w:t>
            </w:r>
          </w:p>
        </w:tc>
        <w:tc>
          <w:tcPr>
            <w:tcW w:w="751" w:type="dxa"/>
            <w:shd w:val="clear" w:color="auto" w:fill="auto"/>
            <w:tcMar>
              <w:left w:w="28" w:type="dxa"/>
              <w:right w:w="28" w:type="dxa"/>
            </w:tcMar>
          </w:tcPr>
          <w:p w14:paraId="0714791A" w14:textId="77777777" w:rsidR="00711444" w:rsidRPr="004D0DAA" w:rsidRDefault="00711444" w:rsidP="00AA2A4C">
            <w:pPr>
              <w:pStyle w:val="TAC"/>
              <w:rPr>
                <w:lang w:eastAsia="en-US"/>
              </w:rPr>
            </w:pPr>
            <w:r w:rsidRPr="004D0DAA">
              <w:rPr>
                <w:lang w:eastAsia="en-US"/>
              </w:rPr>
              <w:t>UBS-5</w:t>
            </w:r>
          </w:p>
        </w:tc>
        <w:tc>
          <w:tcPr>
            <w:tcW w:w="752" w:type="dxa"/>
            <w:shd w:val="clear" w:color="auto" w:fill="auto"/>
            <w:tcMar>
              <w:left w:w="28" w:type="dxa"/>
              <w:right w:w="28" w:type="dxa"/>
            </w:tcMar>
          </w:tcPr>
          <w:p w14:paraId="3776806F" w14:textId="77777777" w:rsidR="00711444" w:rsidRPr="004D0DAA" w:rsidRDefault="00711444" w:rsidP="00AA2A4C">
            <w:pPr>
              <w:pStyle w:val="TAC"/>
              <w:rPr>
                <w:lang w:eastAsia="en-US"/>
              </w:rPr>
            </w:pPr>
            <w:r w:rsidRPr="004D0DAA">
              <w:rPr>
                <w:lang w:eastAsia="en-US"/>
              </w:rPr>
              <w:t>UBS-5</w:t>
            </w:r>
          </w:p>
        </w:tc>
        <w:tc>
          <w:tcPr>
            <w:tcW w:w="756" w:type="dxa"/>
            <w:shd w:val="clear" w:color="auto" w:fill="auto"/>
            <w:tcMar>
              <w:left w:w="28" w:type="dxa"/>
              <w:right w:w="28" w:type="dxa"/>
            </w:tcMar>
          </w:tcPr>
          <w:p w14:paraId="5829FFAF" w14:textId="77777777" w:rsidR="00711444" w:rsidRPr="004D0DAA" w:rsidRDefault="00711444" w:rsidP="00AA2A4C">
            <w:pPr>
              <w:pStyle w:val="TAC"/>
              <w:rPr>
                <w:lang w:eastAsia="en-US"/>
              </w:rPr>
            </w:pPr>
            <w:r w:rsidRPr="004D0DAA">
              <w:rPr>
                <w:lang w:eastAsia="en-US"/>
              </w:rPr>
              <w:t>UBS-5</w:t>
            </w:r>
          </w:p>
        </w:tc>
      </w:tr>
      <w:tr w:rsidR="00711444" w:rsidRPr="004D0DAA" w14:paraId="2C555A53" w14:textId="77777777" w:rsidTr="00AA2A4C">
        <w:tc>
          <w:tcPr>
            <w:tcW w:w="749" w:type="dxa"/>
            <w:shd w:val="clear" w:color="auto" w:fill="auto"/>
            <w:tcMar>
              <w:left w:w="28" w:type="dxa"/>
              <w:right w:w="28" w:type="dxa"/>
            </w:tcMar>
          </w:tcPr>
          <w:p w14:paraId="4239FCB6" w14:textId="77777777" w:rsidR="00711444" w:rsidRPr="004D0DAA" w:rsidRDefault="00711444" w:rsidP="00AA2A4C">
            <w:pPr>
              <w:pStyle w:val="TAC"/>
              <w:rPr>
                <w:lang w:eastAsia="en-US"/>
              </w:rPr>
            </w:pPr>
            <w:r w:rsidRPr="004D0DAA">
              <w:rPr>
                <w:lang w:eastAsia="en-US"/>
              </w:rPr>
              <w:t>MCS-4</w:t>
            </w:r>
          </w:p>
        </w:tc>
        <w:tc>
          <w:tcPr>
            <w:tcW w:w="750" w:type="dxa"/>
            <w:shd w:val="clear" w:color="auto" w:fill="auto"/>
            <w:tcMar>
              <w:left w:w="28" w:type="dxa"/>
              <w:right w:w="28" w:type="dxa"/>
            </w:tcMar>
          </w:tcPr>
          <w:p w14:paraId="45A0B1F3" w14:textId="77777777" w:rsidR="00711444" w:rsidRPr="004D0DAA" w:rsidRDefault="00711444" w:rsidP="00AA2A4C">
            <w:pPr>
              <w:pStyle w:val="TAC"/>
              <w:rPr>
                <w:lang w:eastAsia="en-US"/>
              </w:rPr>
            </w:pPr>
            <w:r w:rsidRPr="004D0DAA">
              <w:rPr>
                <w:lang w:eastAsia="en-US"/>
              </w:rPr>
              <w:t>MCS-4</w:t>
            </w:r>
          </w:p>
        </w:tc>
        <w:tc>
          <w:tcPr>
            <w:tcW w:w="756" w:type="dxa"/>
            <w:shd w:val="clear" w:color="auto" w:fill="auto"/>
            <w:tcMar>
              <w:left w:w="28" w:type="dxa"/>
              <w:right w:w="28" w:type="dxa"/>
            </w:tcMar>
          </w:tcPr>
          <w:p w14:paraId="40D79D54" w14:textId="77777777" w:rsidR="00711444" w:rsidRPr="004D0DAA" w:rsidRDefault="00711444" w:rsidP="00AA2A4C">
            <w:pPr>
              <w:pStyle w:val="TAC"/>
              <w:rPr>
                <w:lang w:eastAsia="en-US"/>
              </w:rPr>
            </w:pPr>
            <w:r w:rsidRPr="004D0DAA">
              <w:rPr>
                <w:lang w:eastAsia="en-US"/>
              </w:rPr>
              <w:t>MCS-4</w:t>
            </w:r>
          </w:p>
        </w:tc>
        <w:tc>
          <w:tcPr>
            <w:tcW w:w="751" w:type="dxa"/>
            <w:shd w:val="clear" w:color="auto" w:fill="auto"/>
            <w:tcMar>
              <w:left w:w="28" w:type="dxa"/>
              <w:right w:w="28" w:type="dxa"/>
            </w:tcMar>
          </w:tcPr>
          <w:p w14:paraId="2ABB887E" w14:textId="77777777" w:rsidR="00711444" w:rsidRPr="004D0DAA" w:rsidRDefault="00711444" w:rsidP="00AA2A4C">
            <w:pPr>
              <w:pStyle w:val="TAC"/>
              <w:rPr>
                <w:lang w:eastAsia="en-US"/>
              </w:rPr>
            </w:pPr>
            <w:r w:rsidRPr="004D0DAA">
              <w:rPr>
                <w:lang w:eastAsia="en-US"/>
              </w:rPr>
              <w:t>MCS-4</w:t>
            </w:r>
          </w:p>
        </w:tc>
        <w:tc>
          <w:tcPr>
            <w:tcW w:w="751" w:type="dxa"/>
            <w:shd w:val="clear" w:color="auto" w:fill="auto"/>
            <w:tcMar>
              <w:left w:w="28" w:type="dxa"/>
              <w:right w:w="28" w:type="dxa"/>
            </w:tcMar>
          </w:tcPr>
          <w:p w14:paraId="77700F9B" w14:textId="77777777" w:rsidR="00711444" w:rsidRPr="004D0DAA" w:rsidRDefault="00711444" w:rsidP="00AA2A4C">
            <w:pPr>
              <w:pStyle w:val="TAC"/>
              <w:rPr>
                <w:lang w:eastAsia="en-US"/>
              </w:rPr>
            </w:pPr>
            <w:r w:rsidRPr="004D0DAA">
              <w:rPr>
                <w:lang w:eastAsia="en-US"/>
              </w:rPr>
              <w:t>MCS-4</w:t>
            </w:r>
          </w:p>
        </w:tc>
        <w:tc>
          <w:tcPr>
            <w:tcW w:w="752" w:type="dxa"/>
            <w:shd w:val="clear" w:color="auto" w:fill="auto"/>
            <w:tcMar>
              <w:left w:w="28" w:type="dxa"/>
              <w:right w:w="28" w:type="dxa"/>
            </w:tcMar>
          </w:tcPr>
          <w:p w14:paraId="2113923D" w14:textId="77777777" w:rsidR="00711444" w:rsidRPr="004D0DAA" w:rsidRDefault="00711444" w:rsidP="00AA2A4C">
            <w:pPr>
              <w:pStyle w:val="TAC"/>
              <w:rPr>
                <w:lang w:eastAsia="en-US"/>
              </w:rPr>
            </w:pPr>
            <w:r w:rsidRPr="004D0DAA">
              <w:rPr>
                <w:lang w:eastAsia="en-US"/>
              </w:rPr>
              <w:t>MCS-4</w:t>
            </w:r>
          </w:p>
        </w:tc>
        <w:tc>
          <w:tcPr>
            <w:tcW w:w="752" w:type="dxa"/>
            <w:shd w:val="clear" w:color="auto" w:fill="auto"/>
            <w:tcMar>
              <w:left w:w="28" w:type="dxa"/>
              <w:right w:w="28" w:type="dxa"/>
            </w:tcMar>
          </w:tcPr>
          <w:p w14:paraId="06DDFB6A" w14:textId="77777777" w:rsidR="00711444" w:rsidRPr="004D0DAA" w:rsidRDefault="00711444" w:rsidP="00AA2A4C">
            <w:pPr>
              <w:pStyle w:val="TAC"/>
              <w:rPr>
                <w:lang w:eastAsia="en-US"/>
              </w:rPr>
            </w:pPr>
            <w:r w:rsidRPr="004D0DAA">
              <w:rPr>
                <w:lang w:eastAsia="en-US"/>
              </w:rPr>
              <w:t>MCS-4</w:t>
            </w:r>
          </w:p>
        </w:tc>
        <w:tc>
          <w:tcPr>
            <w:tcW w:w="751" w:type="dxa"/>
            <w:shd w:val="clear" w:color="auto" w:fill="auto"/>
            <w:tcMar>
              <w:left w:w="28" w:type="dxa"/>
              <w:right w:w="28" w:type="dxa"/>
            </w:tcMar>
          </w:tcPr>
          <w:p w14:paraId="0D02CF67" w14:textId="77777777" w:rsidR="00711444" w:rsidRPr="004D0DAA" w:rsidRDefault="00711444" w:rsidP="00AA2A4C">
            <w:pPr>
              <w:pStyle w:val="TAC"/>
              <w:rPr>
                <w:lang w:eastAsia="en-US"/>
              </w:rPr>
            </w:pPr>
            <w:r w:rsidRPr="004D0DAA">
              <w:rPr>
                <w:lang w:eastAsia="en-US"/>
              </w:rPr>
              <w:t>MCS-4</w:t>
            </w:r>
          </w:p>
        </w:tc>
        <w:tc>
          <w:tcPr>
            <w:tcW w:w="752" w:type="dxa"/>
            <w:shd w:val="clear" w:color="auto" w:fill="auto"/>
            <w:tcMar>
              <w:left w:w="28" w:type="dxa"/>
              <w:right w:w="28" w:type="dxa"/>
            </w:tcMar>
          </w:tcPr>
          <w:p w14:paraId="3FDB573E" w14:textId="77777777" w:rsidR="00711444" w:rsidRPr="004D0DAA" w:rsidRDefault="00711444" w:rsidP="00AA2A4C">
            <w:pPr>
              <w:pStyle w:val="TAC"/>
              <w:rPr>
                <w:lang w:eastAsia="en-US"/>
              </w:rPr>
            </w:pPr>
            <w:r w:rsidRPr="004D0DAA">
              <w:rPr>
                <w:lang w:eastAsia="en-US"/>
              </w:rPr>
              <w:t>MCS-4</w:t>
            </w:r>
          </w:p>
        </w:tc>
        <w:tc>
          <w:tcPr>
            <w:tcW w:w="752" w:type="dxa"/>
            <w:shd w:val="clear" w:color="auto" w:fill="auto"/>
            <w:tcMar>
              <w:left w:w="28" w:type="dxa"/>
              <w:right w:w="28" w:type="dxa"/>
            </w:tcMar>
          </w:tcPr>
          <w:p w14:paraId="5CAEC189" w14:textId="77777777" w:rsidR="00711444" w:rsidRPr="004D0DAA" w:rsidRDefault="00711444" w:rsidP="00AA2A4C">
            <w:pPr>
              <w:pStyle w:val="TAC"/>
              <w:rPr>
                <w:lang w:eastAsia="en-US"/>
              </w:rPr>
            </w:pPr>
            <w:r w:rsidRPr="004D0DAA">
              <w:rPr>
                <w:lang w:eastAsia="en-US"/>
              </w:rPr>
              <w:t>MCS-4</w:t>
            </w:r>
          </w:p>
        </w:tc>
        <w:tc>
          <w:tcPr>
            <w:tcW w:w="751" w:type="dxa"/>
            <w:shd w:val="clear" w:color="auto" w:fill="auto"/>
            <w:tcMar>
              <w:left w:w="28" w:type="dxa"/>
              <w:right w:w="28" w:type="dxa"/>
            </w:tcMar>
          </w:tcPr>
          <w:p w14:paraId="374380B5" w14:textId="77777777" w:rsidR="00711444" w:rsidRPr="004D0DAA" w:rsidRDefault="00711444" w:rsidP="00AA2A4C">
            <w:pPr>
              <w:pStyle w:val="TAC"/>
              <w:rPr>
                <w:lang w:eastAsia="en-US"/>
              </w:rPr>
            </w:pPr>
            <w:r w:rsidRPr="004D0DAA">
              <w:rPr>
                <w:lang w:eastAsia="en-US"/>
              </w:rPr>
              <w:t>MCS-4</w:t>
            </w:r>
          </w:p>
        </w:tc>
        <w:tc>
          <w:tcPr>
            <w:tcW w:w="752" w:type="dxa"/>
            <w:shd w:val="clear" w:color="auto" w:fill="auto"/>
            <w:tcMar>
              <w:left w:w="28" w:type="dxa"/>
              <w:right w:w="28" w:type="dxa"/>
            </w:tcMar>
          </w:tcPr>
          <w:p w14:paraId="33AD74B9" w14:textId="77777777" w:rsidR="00711444" w:rsidRPr="004D0DAA" w:rsidRDefault="00711444" w:rsidP="00AA2A4C">
            <w:pPr>
              <w:pStyle w:val="TAC"/>
              <w:rPr>
                <w:lang w:eastAsia="en-US"/>
              </w:rPr>
            </w:pPr>
            <w:r w:rsidRPr="004D0DAA">
              <w:rPr>
                <w:lang w:eastAsia="en-US"/>
              </w:rPr>
              <w:t>MCS-4</w:t>
            </w:r>
          </w:p>
        </w:tc>
        <w:tc>
          <w:tcPr>
            <w:tcW w:w="756" w:type="dxa"/>
            <w:shd w:val="clear" w:color="auto" w:fill="auto"/>
            <w:tcMar>
              <w:left w:w="28" w:type="dxa"/>
              <w:right w:w="28" w:type="dxa"/>
            </w:tcMar>
          </w:tcPr>
          <w:p w14:paraId="2063B64D" w14:textId="77777777" w:rsidR="00711444" w:rsidRPr="004D0DAA" w:rsidRDefault="00711444" w:rsidP="00AA2A4C">
            <w:pPr>
              <w:pStyle w:val="TAC"/>
              <w:rPr>
                <w:lang w:eastAsia="en-US"/>
              </w:rPr>
            </w:pPr>
            <w:r w:rsidRPr="004D0DAA">
              <w:rPr>
                <w:lang w:eastAsia="en-US"/>
              </w:rPr>
              <w:t>MCS-4</w:t>
            </w:r>
          </w:p>
        </w:tc>
      </w:tr>
      <w:tr w:rsidR="00711444" w:rsidRPr="004D0DAA" w14:paraId="6759EAD3" w14:textId="77777777" w:rsidTr="00AA2A4C">
        <w:tc>
          <w:tcPr>
            <w:tcW w:w="749" w:type="dxa"/>
            <w:shd w:val="clear" w:color="auto" w:fill="auto"/>
            <w:tcMar>
              <w:left w:w="28" w:type="dxa"/>
              <w:right w:w="28" w:type="dxa"/>
            </w:tcMar>
          </w:tcPr>
          <w:p w14:paraId="6176FE63" w14:textId="77777777" w:rsidR="00711444" w:rsidRPr="004D0DAA" w:rsidRDefault="00711444" w:rsidP="00AA2A4C">
            <w:pPr>
              <w:pStyle w:val="TAC"/>
              <w:rPr>
                <w:lang w:eastAsia="en-US"/>
              </w:rPr>
            </w:pPr>
            <w:r w:rsidRPr="004D0DAA">
              <w:rPr>
                <w:lang w:eastAsia="en-US"/>
              </w:rPr>
              <w:t>MCS-3</w:t>
            </w:r>
          </w:p>
        </w:tc>
        <w:tc>
          <w:tcPr>
            <w:tcW w:w="750" w:type="dxa"/>
            <w:shd w:val="clear" w:color="auto" w:fill="auto"/>
            <w:tcMar>
              <w:left w:w="28" w:type="dxa"/>
              <w:right w:w="28" w:type="dxa"/>
            </w:tcMar>
          </w:tcPr>
          <w:p w14:paraId="2D0A0CCF" w14:textId="77777777" w:rsidR="00711444" w:rsidRPr="004D0DAA" w:rsidRDefault="00711444" w:rsidP="00AA2A4C">
            <w:pPr>
              <w:pStyle w:val="TAC"/>
              <w:rPr>
                <w:lang w:eastAsia="en-US"/>
              </w:rPr>
            </w:pPr>
            <w:r w:rsidRPr="004D0DAA">
              <w:rPr>
                <w:lang w:eastAsia="en-US"/>
              </w:rPr>
              <w:t>MCS-3</w:t>
            </w:r>
          </w:p>
        </w:tc>
        <w:tc>
          <w:tcPr>
            <w:tcW w:w="756" w:type="dxa"/>
            <w:shd w:val="clear" w:color="auto" w:fill="auto"/>
            <w:tcMar>
              <w:left w:w="28" w:type="dxa"/>
              <w:right w:w="28" w:type="dxa"/>
            </w:tcMar>
          </w:tcPr>
          <w:p w14:paraId="759A29CD" w14:textId="77777777" w:rsidR="00711444" w:rsidRPr="004D0DAA" w:rsidRDefault="00711444" w:rsidP="00AA2A4C">
            <w:pPr>
              <w:pStyle w:val="TAC"/>
              <w:rPr>
                <w:lang w:eastAsia="en-US"/>
              </w:rPr>
            </w:pPr>
            <w:r w:rsidRPr="004D0DAA">
              <w:rPr>
                <w:lang w:eastAsia="en-US"/>
              </w:rPr>
              <w:t>MCS-3</w:t>
            </w:r>
          </w:p>
        </w:tc>
        <w:tc>
          <w:tcPr>
            <w:tcW w:w="751" w:type="dxa"/>
            <w:shd w:val="clear" w:color="auto" w:fill="auto"/>
            <w:tcMar>
              <w:left w:w="28" w:type="dxa"/>
              <w:right w:w="28" w:type="dxa"/>
            </w:tcMar>
          </w:tcPr>
          <w:p w14:paraId="36429E0D" w14:textId="77777777" w:rsidR="00711444" w:rsidRPr="004D0DAA" w:rsidRDefault="00711444" w:rsidP="00AA2A4C">
            <w:pPr>
              <w:pStyle w:val="TAC"/>
              <w:rPr>
                <w:lang w:eastAsia="en-US"/>
              </w:rPr>
            </w:pPr>
            <w:r w:rsidRPr="004D0DAA">
              <w:rPr>
                <w:lang w:eastAsia="en-US"/>
              </w:rPr>
              <w:t>MCS-3</w:t>
            </w:r>
          </w:p>
        </w:tc>
        <w:tc>
          <w:tcPr>
            <w:tcW w:w="751" w:type="dxa"/>
            <w:shd w:val="clear" w:color="auto" w:fill="auto"/>
            <w:tcMar>
              <w:left w:w="28" w:type="dxa"/>
              <w:right w:w="28" w:type="dxa"/>
            </w:tcMar>
          </w:tcPr>
          <w:p w14:paraId="34B626E0" w14:textId="77777777" w:rsidR="00711444" w:rsidRPr="004D0DAA" w:rsidRDefault="00711444" w:rsidP="00AA2A4C">
            <w:pPr>
              <w:pStyle w:val="TAC"/>
              <w:rPr>
                <w:lang w:eastAsia="en-US"/>
              </w:rPr>
            </w:pPr>
            <w:r w:rsidRPr="004D0DAA">
              <w:rPr>
                <w:lang w:eastAsia="en-US"/>
              </w:rPr>
              <w:t>MCS-3</w:t>
            </w:r>
          </w:p>
        </w:tc>
        <w:tc>
          <w:tcPr>
            <w:tcW w:w="752" w:type="dxa"/>
            <w:shd w:val="clear" w:color="auto" w:fill="auto"/>
            <w:tcMar>
              <w:left w:w="28" w:type="dxa"/>
              <w:right w:w="28" w:type="dxa"/>
            </w:tcMar>
          </w:tcPr>
          <w:p w14:paraId="4AFE2429" w14:textId="77777777" w:rsidR="00711444" w:rsidRPr="004D0DAA" w:rsidRDefault="00711444" w:rsidP="00AA2A4C">
            <w:pPr>
              <w:pStyle w:val="TAC"/>
              <w:rPr>
                <w:lang w:eastAsia="en-US"/>
              </w:rPr>
            </w:pPr>
            <w:r w:rsidRPr="004D0DAA">
              <w:rPr>
                <w:lang w:eastAsia="en-US"/>
              </w:rPr>
              <w:t>MCS-3</w:t>
            </w:r>
          </w:p>
        </w:tc>
        <w:tc>
          <w:tcPr>
            <w:tcW w:w="752" w:type="dxa"/>
            <w:shd w:val="clear" w:color="auto" w:fill="auto"/>
            <w:tcMar>
              <w:left w:w="28" w:type="dxa"/>
              <w:right w:w="28" w:type="dxa"/>
            </w:tcMar>
          </w:tcPr>
          <w:p w14:paraId="12BE08FF" w14:textId="77777777" w:rsidR="00711444" w:rsidRPr="004D0DAA" w:rsidRDefault="00711444" w:rsidP="00AA2A4C">
            <w:pPr>
              <w:pStyle w:val="TAC"/>
              <w:rPr>
                <w:lang w:eastAsia="en-US"/>
              </w:rPr>
            </w:pPr>
            <w:r w:rsidRPr="004D0DAA">
              <w:rPr>
                <w:lang w:eastAsia="en-US"/>
              </w:rPr>
              <w:t>MCS-3</w:t>
            </w:r>
          </w:p>
        </w:tc>
        <w:tc>
          <w:tcPr>
            <w:tcW w:w="751" w:type="dxa"/>
            <w:shd w:val="clear" w:color="auto" w:fill="auto"/>
            <w:tcMar>
              <w:left w:w="28" w:type="dxa"/>
              <w:right w:w="28" w:type="dxa"/>
            </w:tcMar>
          </w:tcPr>
          <w:p w14:paraId="1F6BD8C9" w14:textId="77777777" w:rsidR="00711444" w:rsidRPr="004D0DAA" w:rsidRDefault="00711444" w:rsidP="00AA2A4C">
            <w:pPr>
              <w:pStyle w:val="TAC"/>
              <w:rPr>
                <w:lang w:eastAsia="en-US"/>
              </w:rPr>
            </w:pPr>
            <w:r w:rsidRPr="004D0DAA">
              <w:rPr>
                <w:lang w:eastAsia="en-US"/>
              </w:rPr>
              <w:t>MCS-3</w:t>
            </w:r>
          </w:p>
        </w:tc>
        <w:tc>
          <w:tcPr>
            <w:tcW w:w="752" w:type="dxa"/>
            <w:shd w:val="clear" w:color="auto" w:fill="auto"/>
            <w:tcMar>
              <w:left w:w="28" w:type="dxa"/>
              <w:right w:w="28" w:type="dxa"/>
            </w:tcMar>
          </w:tcPr>
          <w:p w14:paraId="076848B3" w14:textId="77777777" w:rsidR="00711444" w:rsidRPr="004D0DAA" w:rsidRDefault="00711444" w:rsidP="00AA2A4C">
            <w:pPr>
              <w:pStyle w:val="TAC"/>
              <w:rPr>
                <w:lang w:eastAsia="en-US"/>
              </w:rPr>
            </w:pPr>
            <w:r w:rsidRPr="004D0DAA">
              <w:rPr>
                <w:lang w:eastAsia="en-US"/>
              </w:rPr>
              <w:t>MCS-3</w:t>
            </w:r>
          </w:p>
        </w:tc>
        <w:tc>
          <w:tcPr>
            <w:tcW w:w="752" w:type="dxa"/>
            <w:shd w:val="clear" w:color="auto" w:fill="auto"/>
            <w:tcMar>
              <w:left w:w="28" w:type="dxa"/>
              <w:right w:w="28" w:type="dxa"/>
            </w:tcMar>
          </w:tcPr>
          <w:p w14:paraId="46B9BEEA" w14:textId="77777777" w:rsidR="00711444" w:rsidRPr="004D0DAA" w:rsidRDefault="00711444" w:rsidP="00AA2A4C">
            <w:pPr>
              <w:pStyle w:val="TAC"/>
              <w:rPr>
                <w:lang w:eastAsia="en-US"/>
              </w:rPr>
            </w:pPr>
            <w:r w:rsidRPr="004D0DAA">
              <w:rPr>
                <w:lang w:eastAsia="en-US"/>
              </w:rPr>
              <w:t>MCS-3</w:t>
            </w:r>
          </w:p>
        </w:tc>
        <w:tc>
          <w:tcPr>
            <w:tcW w:w="751" w:type="dxa"/>
            <w:shd w:val="clear" w:color="auto" w:fill="auto"/>
            <w:tcMar>
              <w:left w:w="28" w:type="dxa"/>
              <w:right w:w="28" w:type="dxa"/>
            </w:tcMar>
          </w:tcPr>
          <w:p w14:paraId="5EDDE036" w14:textId="77777777" w:rsidR="00711444" w:rsidRPr="004D0DAA" w:rsidRDefault="00711444" w:rsidP="00AA2A4C">
            <w:pPr>
              <w:pStyle w:val="TAC"/>
              <w:rPr>
                <w:lang w:eastAsia="en-US"/>
              </w:rPr>
            </w:pPr>
            <w:r w:rsidRPr="004D0DAA">
              <w:rPr>
                <w:lang w:eastAsia="en-US"/>
              </w:rPr>
              <w:t>MCS-3</w:t>
            </w:r>
          </w:p>
        </w:tc>
        <w:tc>
          <w:tcPr>
            <w:tcW w:w="752" w:type="dxa"/>
            <w:shd w:val="clear" w:color="auto" w:fill="auto"/>
            <w:tcMar>
              <w:left w:w="28" w:type="dxa"/>
              <w:right w:w="28" w:type="dxa"/>
            </w:tcMar>
          </w:tcPr>
          <w:p w14:paraId="00EF6338" w14:textId="77777777" w:rsidR="00711444" w:rsidRPr="004D0DAA" w:rsidRDefault="00711444" w:rsidP="00AA2A4C">
            <w:pPr>
              <w:pStyle w:val="TAC"/>
              <w:rPr>
                <w:lang w:eastAsia="en-US"/>
              </w:rPr>
            </w:pPr>
            <w:r w:rsidRPr="004D0DAA">
              <w:rPr>
                <w:lang w:eastAsia="en-US"/>
              </w:rPr>
              <w:t>MCS-3</w:t>
            </w:r>
          </w:p>
        </w:tc>
        <w:tc>
          <w:tcPr>
            <w:tcW w:w="756" w:type="dxa"/>
            <w:shd w:val="clear" w:color="auto" w:fill="auto"/>
            <w:tcMar>
              <w:left w:w="28" w:type="dxa"/>
              <w:right w:w="28" w:type="dxa"/>
            </w:tcMar>
          </w:tcPr>
          <w:p w14:paraId="7ABE0886" w14:textId="77777777" w:rsidR="00711444" w:rsidRPr="004D0DAA" w:rsidRDefault="00711444" w:rsidP="00AA2A4C">
            <w:pPr>
              <w:pStyle w:val="TAC"/>
              <w:rPr>
                <w:lang w:eastAsia="en-US"/>
              </w:rPr>
            </w:pPr>
            <w:r w:rsidRPr="004D0DAA">
              <w:rPr>
                <w:lang w:eastAsia="en-US"/>
              </w:rPr>
              <w:t>MCS-3</w:t>
            </w:r>
          </w:p>
        </w:tc>
      </w:tr>
      <w:tr w:rsidR="00711444" w:rsidRPr="004D0DAA" w14:paraId="35C94F42" w14:textId="77777777" w:rsidTr="00AA2A4C">
        <w:tc>
          <w:tcPr>
            <w:tcW w:w="749" w:type="dxa"/>
            <w:shd w:val="clear" w:color="auto" w:fill="auto"/>
            <w:tcMar>
              <w:left w:w="28" w:type="dxa"/>
              <w:right w:w="28" w:type="dxa"/>
            </w:tcMar>
          </w:tcPr>
          <w:p w14:paraId="7F92867A" w14:textId="77777777" w:rsidR="00711444" w:rsidRPr="004D0DAA" w:rsidRDefault="00711444" w:rsidP="00AA2A4C">
            <w:pPr>
              <w:pStyle w:val="TAC"/>
              <w:rPr>
                <w:lang w:eastAsia="en-US"/>
              </w:rPr>
            </w:pPr>
            <w:r w:rsidRPr="004D0DAA">
              <w:rPr>
                <w:lang w:eastAsia="en-US"/>
              </w:rPr>
              <w:t>MCS-2</w:t>
            </w:r>
          </w:p>
        </w:tc>
        <w:tc>
          <w:tcPr>
            <w:tcW w:w="750" w:type="dxa"/>
            <w:shd w:val="clear" w:color="auto" w:fill="auto"/>
            <w:tcMar>
              <w:left w:w="28" w:type="dxa"/>
              <w:right w:w="28" w:type="dxa"/>
            </w:tcMar>
          </w:tcPr>
          <w:p w14:paraId="333DF0C1" w14:textId="77777777" w:rsidR="00711444" w:rsidRPr="004D0DAA" w:rsidRDefault="00711444" w:rsidP="00AA2A4C">
            <w:pPr>
              <w:pStyle w:val="TAC"/>
              <w:rPr>
                <w:lang w:eastAsia="en-US"/>
              </w:rPr>
            </w:pPr>
            <w:r w:rsidRPr="004D0DAA">
              <w:rPr>
                <w:lang w:eastAsia="en-US"/>
              </w:rPr>
              <w:t>MCS-2</w:t>
            </w:r>
          </w:p>
        </w:tc>
        <w:tc>
          <w:tcPr>
            <w:tcW w:w="756" w:type="dxa"/>
            <w:shd w:val="clear" w:color="auto" w:fill="auto"/>
            <w:tcMar>
              <w:left w:w="28" w:type="dxa"/>
              <w:right w:w="28" w:type="dxa"/>
            </w:tcMar>
          </w:tcPr>
          <w:p w14:paraId="6A49EE75" w14:textId="77777777" w:rsidR="00711444" w:rsidRPr="004D0DAA" w:rsidRDefault="00711444" w:rsidP="00AA2A4C">
            <w:pPr>
              <w:pStyle w:val="TAC"/>
              <w:rPr>
                <w:lang w:eastAsia="en-US"/>
              </w:rPr>
            </w:pPr>
            <w:r w:rsidRPr="004D0DAA">
              <w:rPr>
                <w:lang w:eastAsia="en-US"/>
              </w:rPr>
              <w:t>MCS-2</w:t>
            </w:r>
          </w:p>
        </w:tc>
        <w:tc>
          <w:tcPr>
            <w:tcW w:w="751" w:type="dxa"/>
            <w:shd w:val="clear" w:color="auto" w:fill="auto"/>
            <w:tcMar>
              <w:left w:w="28" w:type="dxa"/>
              <w:right w:w="28" w:type="dxa"/>
            </w:tcMar>
          </w:tcPr>
          <w:p w14:paraId="314DF03F" w14:textId="77777777" w:rsidR="00711444" w:rsidRPr="004D0DAA" w:rsidRDefault="00711444" w:rsidP="00AA2A4C">
            <w:pPr>
              <w:pStyle w:val="TAC"/>
              <w:rPr>
                <w:lang w:eastAsia="en-US"/>
              </w:rPr>
            </w:pPr>
            <w:r w:rsidRPr="004D0DAA">
              <w:rPr>
                <w:lang w:eastAsia="en-US"/>
              </w:rPr>
              <w:t>MCS-2</w:t>
            </w:r>
          </w:p>
        </w:tc>
        <w:tc>
          <w:tcPr>
            <w:tcW w:w="751" w:type="dxa"/>
            <w:shd w:val="clear" w:color="auto" w:fill="auto"/>
            <w:tcMar>
              <w:left w:w="28" w:type="dxa"/>
              <w:right w:w="28" w:type="dxa"/>
            </w:tcMar>
          </w:tcPr>
          <w:p w14:paraId="16067063" w14:textId="77777777" w:rsidR="00711444" w:rsidRPr="004D0DAA" w:rsidRDefault="00711444" w:rsidP="00AA2A4C">
            <w:pPr>
              <w:pStyle w:val="TAC"/>
              <w:rPr>
                <w:lang w:eastAsia="en-US"/>
              </w:rPr>
            </w:pPr>
            <w:r w:rsidRPr="004D0DAA">
              <w:rPr>
                <w:lang w:eastAsia="en-US"/>
              </w:rPr>
              <w:t>MCS-2</w:t>
            </w:r>
          </w:p>
        </w:tc>
        <w:tc>
          <w:tcPr>
            <w:tcW w:w="752" w:type="dxa"/>
            <w:shd w:val="clear" w:color="auto" w:fill="auto"/>
            <w:tcMar>
              <w:left w:w="28" w:type="dxa"/>
              <w:right w:w="28" w:type="dxa"/>
            </w:tcMar>
          </w:tcPr>
          <w:p w14:paraId="10125518" w14:textId="77777777" w:rsidR="00711444" w:rsidRPr="004D0DAA" w:rsidRDefault="00711444" w:rsidP="00AA2A4C">
            <w:pPr>
              <w:pStyle w:val="TAC"/>
              <w:rPr>
                <w:lang w:eastAsia="en-US"/>
              </w:rPr>
            </w:pPr>
            <w:r w:rsidRPr="004D0DAA">
              <w:rPr>
                <w:lang w:eastAsia="en-US"/>
              </w:rPr>
              <w:t>MCS-2</w:t>
            </w:r>
          </w:p>
        </w:tc>
        <w:tc>
          <w:tcPr>
            <w:tcW w:w="752" w:type="dxa"/>
            <w:shd w:val="clear" w:color="auto" w:fill="auto"/>
            <w:tcMar>
              <w:left w:w="28" w:type="dxa"/>
              <w:right w:w="28" w:type="dxa"/>
            </w:tcMar>
          </w:tcPr>
          <w:p w14:paraId="2A572601" w14:textId="77777777" w:rsidR="00711444" w:rsidRPr="004D0DAA" w:rsidRDefault="00711444" w:rsidP="00AA2A4C">
            <w:pPr>
              <w:pStyle w:val="TAC"/>
              <w:rPr>
                <w:lang w:eastAsia="en-US"/>
              </w:rPr>
            </w:pPr>
            <w:r w:rsidRPr="004D0DAA">
              <w:rPr>
                <w:lang w:eastAsia="en-US"/>
              </w:rPr>
              <w:t>MCS-2</w:t>
            </w:r>
          </w:p>
        </w:tc>
        <w:tc>
          <w:tcPr>
            <w:tcW w:w="751" w:type="dxa"/>
            <w:shd w:val="clear" w:color="auto" w:fill="auto"/>
            <w:tcMar>
              <w:left w:w="28" w:type="dxa"/>
              <w:right w:w="28" w:type="dxa"/>
            </w:tcMar>
          </w:tcPr>
          <w:p w14:paraId="6C59B540" w14:textId="77777777" w:rsidR="00711444" w:rsidRPr="004D0DAA" w:rsidRDefault="00711444" w:rsidP="00AA2A4C">
            <w:pPr>
              <w:pStyle w:val="TAC"/>
              <w:rPr>
                <w:lang w:eastAsia="en-US"/>
              </w:rPr>
            </w:pPr>
            <w:r w:rsidRPr="004D0DAA">
              <w:rPr>
                <w:lang w:eastAsia="en-US"/>
              </w:rPr>
              <w:t>MCS-2</w:t>
            </w:r>
          </w:p>
        </w:tc>
        <w:tc>
          <w:tcPr>
            <w:tcW w:w="752" w:type="dxa"/>
            <w:shd w:val="clear" w:color="auto" w:fill="auto"/>
            <w:tcMar>
              <w:left w:w="28" w:type="dxa"/>
              <w:right w:w="28" w:type="dxa"/>
            </w:tcMar>
          </w:tcPr>
          <w:p w14:paraId="488B3DA1" w14:textId="77777777" w:rsidR="00711444" w:rsidRPr="004D0DAA" w:rsidRDefault="00711444" w:rsidP="00AA2A4C">
            <w:pPr>
              <w:pStyle w:val="TAC"/>
              <w:rPr>
                <w:lang w:eastAsia="en-US"/>
              </w:rPr>
            </w:pPr>
            <w:r w:rsidRPr="004D0DAA">
              <w:rPr>
                <w:lang w:eastAsia="en-US"/>
              </w:rPr>
              <w:t>MCS-2</w:t>
            </w:r>
          </w:p>
        </w:tc>
        <w:tc>
          <w:tcPr>
            <w:tcW w:w="752" w:type="dxa"/>
            <w:shd w:val="clear" w:color="auto" w:fill="auto"/>
            <w:tcMar>
              <w:left w:w="28" w:type="dxa"/>
              <w:right w:w="28" w:type="dxa"/>
            </w:tcMar>
          </w:tcPr>
          <w:p w14:paraId="20C81A30" w14:textId="77777777" w:rsidR="00711444" w:rsidRPr="004D0DAA" w:rsidRDefault="00711444" w:rsidP="00AA2A4C">
            <w:pPr>
              <w:pStyle w:val="TAC"/>
              <w:rPr>
                <w:lang w:eastAsia="en-US"/>
              </w:rPr>
            </w:pPr>
            <w:r w:rsidRPr="004D0DAA">
              <w:rPr>
                <w:lang w:eastAsia="en-US"/>
              </w:rPr>
              <w:t>MCS-2</w:t>
            </w:r>
          </w:p>
        </w:tc>
        <w:tc>
          <w:tcPr>
            <w:tcW w:w="751" w:type="dxa"/>
            <w:shd w:val="clear" w:color="auto" w:fill="auto"/>
            <w:tcMar>
              <w:left w:w="28" w:type="dxa"/>
              <w:right w:w="28" w:type="dxa"/>
            </w:tcMar>
          </w:tcPr>
          <w:p w14:paraId="37A16EF7" w14:textId="77777777" w:rsidR="00711444" w:rsidRPr="004D0DAA" w:rsidRDefault="00711444" w:rsidP="00AA2A4C">
            <w:pPr>
              <w:pStyle w:val="TAC"/>
              <w:rPr>
                <w:lang w:eastAsia="en-US"/>
              </w:rPr>
            </w:pPr>
            <w:r w:rsidRPr="004D0DAA">
              <w:rPr>
                <w:lang w:eastAsia="en-US"/>
              </w:rPr>
              <w:t>MCS-2</w:t>
            </w:r>
          </w:p>
        </w:tc>
        <w:tc>
          <w:tcPr>
            <w:tcW w:w="752" w:type="dxa"/>
            <w:shd w:val="clear" w:color="auto" w:fill="auto"/>
            <w:tcMar>
              <w:left w:w="28" w:type="dxa"/>
              <w:right w:w="28" w:type="dxa"/>
            </w:tcMar>
          </w:tcPr>
          <w:p w14:paraId="472AD72A" w14:textId="77777777" w:rsidR="00711444" w:rsidRPr="004D0DAA" w:rsidRDefault="00711444" w:rsidP="00AA2A4C">
            <w:pPr>
              <w:pStyle w:val="TAC"/>
              <w:rPr>
                <w:lang w:eastAsia="en-US"/>
              </w:rPr>
            </w:pPr>
            <w:r w:rsidRPr="004D0DAA">
              <w:rPr>
                <w:lang w:eastAsia="en-US"/>
              </w:rPr>
              <w:t>MCS-2</w:t>
            </w:r>
          </w:p>
        </w:tc>
        <w:tc>
          <w:tcPr>
            <w:tcW w:w="756" w:type="dxa"/>
            <w:shd w:val="clear" w:color="auto" w:fill="auto"/>
            <w:tcMar>
              <w:left w:w="28" w:type="dxa"/>
              <w:right w:w="28" w:type="dxa"/>
            </w:tcMar>
          </w:tcPr>
          <w:p w14:paraId="518D5381" w14:textId="77777777" w:rsidR="00711444" w:rsidRPr="004D0DAA" w:rsidRDefault="00711444" w:rsidP="00AA2A4C">
            <w:pPr>
              <w:pStyle w:val="TAC"/>
              <w:rPr>
                <w:lang w:eastAsia="en-US"/>
              </w:rPr>
            </w:pPr>
            <w:r w:rsidRPr="004D0DAA">
              <w:rPr>
                <w:lang w:eastAsia="en-US"/>
              </w:rPr>
              <w:t>MCS-2</w:t>
            </w:r>
          </w:p>
        </w:tc>
      </w:tr>
      <w:tr w:rsidR="00711444" w:rsidRPr="004D0DAA" w14:paraId="7F4320C6" w14:textId="77777777" w:rsidTr="00AA2A4C">
        <w:tc>
          <w:tcPr>
            <w:tcW w:w="749" w:type="dxa"/>
            <w:shd w:val="clear" w:color="auto" w:fill="auto"/>
            <w:tcMar>
              <w:left w:w="28" w:type="dxa"/>
              <w:right w:w="28" w:type="dxa"/>
            </w:tcMar>
          </w:tcPr>
          <w:p w14:paraId="06F27730" w14:textId="77777777" w:rsidR="00711444" w:rsidRPr="004D0DAA" w:rsidRDefault="00711444" w:rsidP="00AA2A4C">
            <w:pPr>
              <w:pStyle w:val="TAC"/>
              <w:rPr>
                <w:lang w:eastAsia="en-US"/>
              </w:rPr>
            </w:pPr>
            <w:r w:rsidRPr="004D0DAA">
              <w:rPr>
                <w:lang w:eastAsia="en-US"/>
              </w:rPr>
              <w:t>MCS-1</w:t>
            </w:r>
          </w:p>
        </w:tc>
        <w:tc>
          <w:tcPr>
            <w:tcW w:w="750" w:type="dxa"/>
            <w:shd w:val="clear" w:color="auto" w:fill="auto"/>
            <w:tcMar>
              <w:left w:w="28" w:type="dxa"/>
              <w:right w:w="28" w:type="dxa"/>
            </w:tcMar>
          </w:tcPr>
          <w:p w14:paraId="1ED3289B" w14:textId="77777777" w:rsidR="00711444" w:rsidRPr="004D0DAA" w:rsidRDefault="00711444" w:rsidP="00AA2A4C">
            <w:pPr>
              <w:pStyle w:val="TAC"/>
              <w:rPr>
                <w:lang w:eastAsia="en-US"/>
              </w:rPr>
            </w:pPr>
            <w:r w:rsidRPr="004D0DAA">
              <w:rPr>
                <w:lang w:eastAsia="en-US"/>
              </w:rPr>
              <w:t>MCS-1</w:t>
            </w:r>
          </w:p>
        </w:tc>
        <w:tc>
          <w:tcPr>
            <w:tcW w:w="756" w:type="dxa"/>
            <w:shd w:val="clear" w:color="auto" w:fill="auto"/>
            <w:tcMar>
              <w:left w:w="28" w:type="dxa"/>
              <w:right w:w="28" w:type="dxa"/>
            </w:tcMar>
          </w:tcPr>
          <w:p w14:paraId="25C996AE" w14:textId="77777777" w:rsidR="00711444" w:rsidRPr="004D0DAA" w:rsidRDefault="00711444" w:rsidP="00AA2A4C">
            <w:pPr>
              <w:pStyle w:val="TAC"/>
              <w:rPr>
                <w:lang w:eastAsia="en-US"/>
              </w:rPr>
            </w:pPr>
            <w:r w:rsidRPr="004D0DAA">
              <w:rPr>
                <w:lang w:eastAsia="en-US"/>
              </w:rPr>
              <w:t>MCS-1</w:t>
            </w:r>
          </w:p>
        </w:tc>
        <w:tc>
          <w:tcPr>
            <w:tcW w:w="751" w:type="dxa"/>
            <w:shd w:val="clear" w:color="auto" w:fill="auto"/>
            <w:tcMar>
              <w:left w:w="28" w:type="dxa"/>
              <w:right w:w="28" w:type="dxa"/>
            </w:tcMar>
          </w:tcPr>
          <w:p w14:paraId="41A658EB" w14:textId="77777777" w:rsidR="00711444" w:rsidRPr="004D0DAA" w:rsidRDefault="00711444" w:rsidP="00AA2A4C">
            <w:pPr>
              <w:pStyle w:val="TAC"/>
              <w:rPr>
                <w:lang w:eastAsia="en-US"/>
              </w:rPr>
            </w:pPr>
            <w:r w:rsidRPr="004D0DAA">
              <w:rPr>
                <w:lang w:eastAsia="en-US"/>
              </w:rPr>
              <w:t>MCS-1</w:t>
            </w:r>
          </w:p>
        </w:tc>
        <w:tc>
          <w:tcPr>
            <w:tcW w:w="751" w:type="dxa"/>
            <w:shd w:val="clear" w:color="auto" w:fill="auto"/>
            <w:tcMar>
              <w:left w:w="28" w:type="dxa"/>
              <w:right w:w="28" w:type="dxa"/>
            </w:tcMar>
          </w:tcPr>
          <w:p w14:paraId="25AE02B1" w14:textId="77777777" w:rsidR="00711444" w:rsidRPr="004D0DAA" w:rsidRDefault="00711444" w:rsidP="00AA2A4C">
            <w:pPr>
              <w:pStyle w:val="TAC"/>
              <w:rPr>
                <w:lang w:eastAsia="en-US"/>
              </w:rPr>
            </w:pPr>
            <w:r w:rsidRPr="004D0DAA">
              <w:rPr>
                <w:lang w:eastAsia="en-US"/>
              </w:rPr>
              <w:t>MCS-1</w:t>
            </w:r>
          </w:p>
        </w:tc>
        <w:tc>
          <w:tcPr>
            <w:tcW w:w="752" w:type="dxa"/>
            <w:shd w:val="clear" w:color="auto" w:fill="auto"/>
            <w:tcMar>
              <w:left w:w="28" w:type="dxa"/>
              <w:right w:w="28" w:type="dxa"/>
            </w:tcMar>
          </w:tcPr>
          <w:p w14:paraId="1FAA198B" w14:textId="77777777" w:rsidR="00711444" w:rsidRPr="004D0DAA" w:rsidRDefault="00711444" w:rsidP="00AA2A4C">
            <w:pPr>
              <w:pStyle w:val="TAC"/>
              <w:rPr>
                <w:lang w:eastAsia="en-US"/>
              </w:rPr>
            </w:pPr>
            <w:r w:rsidRPr="004D0DAA">
              <w:rPr>
                <w:lang w:eastAsia="en-US"/>
              </w:rPr>
              <w:t>MCS-1</w:t>
            </w:r>
          </w:p>
        </w:tc>
        <w:tc>
          <w:tcPr>
            <w:tcW w:w="752" w:type="dxa"/>
            <w:shd w:val="clear" w:color="auto" w:fill="auto"/>
            <w:tcMar>
              <w:left w:w="28" w:type="dxa"/>
              <w:right w:w="28" w:type="dxa"/>
            </w:tcMar>
          </w:tcPr>
          <w:p w14:paraId="5BA2A9C9" w14:textId="77777777" w:rsidR="00711444" w:rsidRPr="004D0DAA" w:rsidRDefault="00711444" w:rsidP="00AA2A4C">
            <w:pPr>
              <w:pStyle w:val="TAC"/>
              <w:rPr>
                <w:lang w:eastAsia="en-US"/>
              </w:rPr>
            </w:pPr>
            <w:r w:rsidRPr="004D0DAA">
              <w:rPr>
                <w:lang w:eastAsia="en-US"/>
              </w:rPr>
              <w:t>MCS-1</w:t>
            </w:r>
          </w:p>
        </w:tc>
        <w:tc>
          <w:tcPr>
            <w:tcW w:w="751" w:type="dxa"/>
            <w:shd w:val="clear" w:color="auto" w:fill="auto"/>
            <w:tcMar>
              <w:left w:w="28" w:type="dxa"/>
              <w:right w:w="28" w:type="dxa"/>
            </w:tcMar>
          </w:tcPr>
          <w:p w14:paraId="0A585805" w14:textId="77777777" w:rsidR="00711444" w:rsidRPr="004D0DAA" w:rsidRDefault="00711444" w:rsidP="00AA2A4C">
            <w:pPr>
              <w:pStyle w:val="TAC"/>
              <w:rPr>
                <w:lang w:eastAsia="en-US"/>
              </w:rPr>
            </w:pPr>
            <w:r w:rsidRPr="004D0DAA">
              <w:rPr>
                <w:lang w:eastAsia="en-US"/>
              </w:rPr>
              <w:t>MCS-1</w:t>
            </w:r>
          </w:p>
        </w:tc>
        <w:tc>
          <w:tcPr>
            <w:tcW w:w="752" w:type="dxa"/>
            <w:shd w:val="clear" w:color="auto" w:fill="auto"/>
            <w:tcMar>
              <w:left w:w="28" w:type="dxa"/>
              <w:right w:w="28" w:type="dxa"/>
            </w:tcMar>
          </w:tcPr>
          <w:p w14:paraId="7A355CAE" w14:textId="77777777" w:rsidR="00711444" w:rsidRPr="004D0DAA" w:rsidRDefault="00711444" w:rsidP="00AA2A4C">
            <w:pPr>
              <w:pStyle w:val="TAC"/>
              <w:rPr>
                <w:lang w:eastAsia="en-US"/>
              </w:rPr>
            </w:pPr>
            <w:r w:rsidRPr="004D0DAA">
              <w:rPr>
                <w:lang w:eastAsia="en-US"/>
              </w:rPr>
              <w:t>MCS-1</w:t>
            </w:r>
          </w:p>
        </w:tc>
        <w:tc>
          <w:tcPr>
            <w:tcW w:w="752" w:type="dxa"/>
            <w:shd w:val="clear" w:color="auto" w:fill="auto"/>
            <w:tcMar>
              <w:left w:w="28" w:type="dxa"/>
              <w:right w:w="28" w:type="dxa"/>
            </w:tcMar>
          </w:tcPr>
          <w:p w14:paraId="6C316722" w14:textId="77777777" w:rsidR="00711444" w:rsidRPr="004D0DAA" w:rsidRDefault="00711444" w:rsidP="00AA2A4C">
            <w:pPr>
              <w:pStyle w:val="TAC"/>
              <w:rPr>
                <w:lang w:eastAsia="en-US"/>
              </w:rPr>
            </w:pPr>
            <w:r w:rsidRPr="004D0DAA">
              <w:rPr>
                <w:lang w:eastAsia="en-US"/>
              </w:rPr>
              <w:t>MCS-1</w:t>
            </w:r>
          </w:p>
        </w:tc>
        <w:tc>
          <w:tcPr>
            <w:tcW w:w="751" w:type="dxa"/>
            <w:shd w:val="clear" w:color="auto" w:fill="auto"/>
            <w:tcMar>
              <w:left w:w="28" w:type="dxa"/>
              <w:right w:w="28" w:type="dxa"/>
            </w:tcMar>
          </w:tcPr>
          <w:p w14:paraId="3E4E8128" w14:textId="77777777" w:rsidR="00711444" w:rsidRPr="004D0DAA" w:rsidRDefault="00711444" w:rsidP="00AA2A4C">
            <w:pPr>
              <w:pStyle w:val="TAC"/>
              <w:rPr>
                <w:lang w:eastAsia="en-US"/>
              </w:rPr>
            </w:pPr>
            <w:r w:rsidRPr="004D0DAA">
              <w:rPr>
                <w:lang w:eastAsia="en-US"/>
              </w:rPr>
              <w:t>MCS-1</w:t>
            </w:r>
          </w:p>
        </w:tc>
        <w:tc>
          <w:tcPr>
            <w:tcW w:w="752" w:type="dxa"/>
            <w:shd w:val="clear" w:color="auto" w:fill="auto"/>
            <w:tcMar>
              <w:left w:w="28" w:type="dxa"/>
              <w:right w:w="28" w:type="dxa"/>
            </w:tcMar>
          </w:tcPr>
          <w:p w14:paraId="64BDB478" w14:textId="77777777" w:rsidR="00711444" w:rsidRPr="004D0DAA" w:rsidRDefault="00711444" w:rsidP="00AA2A4C">
            <w:pPr>
              <w:pStyle w:val="TAC"/>
              <w:rPr>
                <w:lang w:eastAsia="en-US"/>
              </w:rPr>
            </w:pPr>
            <w:r w:rsidRPr="004D0DAA">
              <w:rPr>
                <w:lang w:eastAsia="en-US"/>
              </w:rPr>
              <w:t>MCS-1</w:t>
            </w:r>
          </w:p>
        </w:tc>
        <w:tc>
          <w:tcPr>
            <w:tcW w:w="756" w:type="dxa"/>
            <w:shd w:val="clear" w:color="auto" w:fill="auto"/>
            <w:tcMar>
              <w:left w:w="28" w:type="dxa"/>
              <w:right w:w="28" w:type="dxa"/>
            </w:tcMar>
          </w:tcPr>
          <w:p w14:paraId="5CC150BC" w14:textId="77777777" w:rsidR="00711444" w:rsidRPr="004D0DAA" w:rsidRDefault="00711444" w:rsidP="00AA2A4C">
            <w:pPr>
              <w:pStyle w:val="TAC"/>
              <w:rPr>
                <w:lang w:eastAsia="en-US"/>
              </w:rPr>
            </w:pPr>
            <w:r w:rsidRPr="004D0DAA">
              <w:rPr>
                <w:lang w:eastAsia="en-US"/>
              </w:rPr>
              <w:t>MCS-1</w:t>
            </w:r>
          </w:p>
        </w:tc>
      </w:tr>
    </w:tbl>
    <w:p w14:paraId="4D4D3C06" w14:textId="77777777" w:rsidR="00711444" w:rsidRPr="004D0DAA" w:rsidRDefault="00711444" w:rsidP="00711444">
      <w:pPr>
        <w:rPr>
          <w:rFonts w:ascii="Times" w:hAnsi="Times"/>
        </w:rPr>
      </w:pPr>
    </w:p>
    <w:p w14:paraId="270481D5" w14:textId="77777777" w:rsidR="00711444" w:rsidRPr="004D0DAA" w:rsidRDefault="00711444" w:rsidP="00711444">
      <w:pPr>
        <w:rPr>
          <w:rFonts w:ascii="Times" w:hAnsi="Times"/>
          <w:lang w:val="en-US"/>
        </w:rPr>
      </w:pPr>
      <w:r w:rsidRPr="004D0DAA">
        <w:rPr>
          <w:rFonts w:ascii="Times" w:hAnsi="Times"/>
          <w:lang w:val="en-US"/>
        </w:rPr>
        <w:t>In EGPRS (EGPRS TBF) or in EC operation (</w:t>
      </w:r>
      <w:r w:rsidRPr="004D0DAA">
        <w:rPr>
          <w:lang w:val="en-US"/>
        </w:rPr>
        <w:t>EC TBF)</w:t>
      </w:r>
      <w:r w:rsidRPr="004D0DAA">
        <w:rPr>
          <w:rFonts w:ascii="Times" w:hAnsi="Times"/>
          <w:lang w:val="en-US"/>
        </w:rPr>
        <w:t>, if these rules require a transmission (either original transmission or retransmission) in a) MCS-7 or b) MCS-8 or c) MCS</w:t>
      </w:r>
      <w:r w:rsidRPr="004D0DAA">
        <w:rPr>
          <w:rFonts w:ascii="Times" w:hAnsi="Times"/>
          <w:lang w:val="en-US"/>
        </w:rPr>
        <w:noBreakHyphen/>
        <w:t>9, but there is only one RLC block that can be transmitted in that MCS, the MS shall send that block in either MCS-5 for case a) or MCS-6 for case b) or case c). In case b), padding is permitted.</w:t>
      </w:r>
    </w:p>
    <w:p w14:paraId="72F57F13" w14:textId="77777777" w:rsidR="00711444" w:rsidRPr="004D0DAA" w:rsidRDefault="00711444" w:rsidP="00711444">
      <w:pPr>
        <w:rPr>
          <w:rFonts w:ascii="Times" w:hAnsi="Times"/>
        </w:rPr>
      </w:pPr>
      <w:r w:rsidRPr="004D0DAA">
        <w:rPr>
          <w:rFonts w:ascii="Times" w:hAnsi="Times"/>
        </w:rPr>
        <w:t>In EGPRS2, if these rules require a transmission (either original transmission or retransmission) in a modulation and coding scheme where there are fewer than the maximum number of RLC blocks that can be transmitted, the mobile station shall use the modulation and coding scheme specified in tables 8.1.1.7 and 8.1.1.8.</w:t>
      </w:r>
    </w:p>
    <w:p w14:paraId="4F18ECAB" w14:textId="77777777" w:rsidR="00711444" w:rsidRPr="004D0DAA" w:rsidRDefault="00711444" w:rsidP="00711444">
      <w:pPr>
        <w:pStyle w:val="TH"/>
      </w:pPr>
      <w:r w:rsidRPr="004D0DAA">
        <w:lastRenderedPageBreak/>
        <w:t>Table 8.1.1.7: Retransmissions with fewer RLC blocks (EGPRS2-A)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881"/>
        <w:gridCol w:w="2505"/>
      </w:tblGrid>
      <w:tr w:rsidR="00711444" w:rsidRPr="004D0DAA" w14:paraId="07E7FFEF" w14:textId="77777777" w:rsidTr="00AA2A4C">
        <w:trPr>
          <w:jc w:val="center"/>
        </w:trPr>
        <w:tc>
          <w:tcPr>
            <w:tcW w:w="2660" w:type="dxa"/>
          </w:tcPr>
          <w:p w14:paraId="0A3C4433" w14:textId="77777777" w:rsidR="00711444" w:rsidRPr="004D0DAA" w:rsidRDefault="00711444" w:rsidP="00AA2A4C">
            <w:pPr>
              <w:pStyle w:val="TAH"/>
              <w:rPr>
                <w:lang w:eastAsia="en-US"/>
              </w:rPr>
            </w:pPr>
            <w:r w:rsidRPr="004D0DAA">
              <w:rPr>
                <w:lang w:eastAsia="en-US"/>
              </w:rPr>
              <w:t>Modulation and Coding Scheme specified</w:t>
            </w:r>
          </w:p>
        </w:tc>
        <w:tc>
          <w:tcPr>
            <w:tcW w:w="2881" w:type="dxa"/>
          </w:tcPr>
          <w:p w14:paraId="45111778" w14:textId="77777777" w:rsidR="00711444" w:rsidRPr="004D0DAA" w:rsidRDefault="00711444" w:rsidP="00AA2A4C">
            <w:pPr>
              <w:pStyle w:val="TAH"/>
              <w:rPr>
                <w:lang w:eastAsia="en-US"/>
              </w:rPr>
            </w:pPr>
            <w:r w:rsidRPr="004D0DAA">
              <w:rPr>
                <w:lang w:eastAsia="en-US"/>
              </w:rPr>
              <w:t>Modulation/Coding scheme to be used (only 1 block can be transmitted)</w:t>
            </w:r>
          </w:p>
        </w:tc>
        <w:tc>
          <w:tcPr>
            <w:tcW w:w="2505" w:type="dxa"/>
          </w:tcPr>
          <w:p w14:paraId="3BBE2040" w14:textId="77777777" w:rsidR="00711444" w:rsidRPr="004D0DAA" w:rsidRDefault="00711444" w:rsidP="00AA2A4C">
            <w:pPr>
              <w:pStyle w:val="TAH"/>
              <w:rPr>
                <w:lang w:eastAsia="en-US"/>
              </w:rPr>
            </w:pPr>
            <w:r w:rsidRPr="004D0DAA">
              <w:rPr>
                <w:lang w:eastAsia="en-US"/>
              </w:rPr>
              <w:t>Modulation/Coding scheme to be used (only 2 blocks can be transmitted)</w:t>
            </w:r>
          </w:p>
        </w:tc>
      </w:tr>
      <w:tr w:rsidR="00711444" w:rsidRPr="004D0DAA" w14:paraId="5C29DC0C" w14:textId="77777777" w:rsidTr="00AA2A4C">
        <w:trPr>
          <w:jc w:val="center"/>
        </w:trPr>
        <w:tc>
          <w:tcPr>
            <w:tcW w:w="2660" w:type="dxa"/>
          </w:tcPr>
          <w:p w14:paraId="6A522EA4" w14:textId="77777777" w:rsidR="00711444" w:rsidRPr="004D0DAA" w:rsidRDefault="00711444" w:rsidP="00AA2A4C">
            <w:pPr>
              <w:pStyle w:val="TAC"/>
              <w:rPr>
                <w:lang w:eastAsia="en-US"/>
              </w:rPr>
            </w:pPr>
            <w:r w:rsidRPr="004D0DAA">
              <w:rPr>
                <w:lang w:eastAsia="en-US"/>
              </w:rPr>
              <w:t>UAS-7</w:t>
            </w:r>
          </w:p>
        </w:tc>
        <w:tc>
          <w:tcPr>
            <w:tcW w:w="2881" w:type="dxa"/>
          </w:tcPr>
          <w:p w14:paraId="6DD439F8" w14:textId="77777777" w:rsidR="00711444" w:rsidRPr="004D0DAA" w:rsidRDefault="00711444" w:rsidP="00AA2A4C">
            <w:pPr>
              <w:pStyle w:val="TAC"/>
              <w:rPr>
                <w:lang w:eastAsia="en-US"/>
              </w:rPr>
            </w:pPr>
            <w:r w:rsidRPr="004D0DAA">
              <w:rPr>
                <w:lang w:eastAsia="en-US"/>
              </w:rPr>
              <w:t>MCS-5</w:t>
            </w:r>
          </w:p>
        </w:tc>
        <w:tc>
          <w:tcPr>
            <w:tcW w:w="2505" w:type="dxa"/>
          </w:tcPr>
          <w:p w14:paraId="01C0CA9F" w14:textId="77777777" w:rsidR="00711444" w:rsidRPr="004D0DAA" w:rsidRDefault="00711444" w:rsidP="00AA2A4C">
            <w:pPr>
              <w:pStyle w:val="TAC"/>
              <w:rPr>
                <w:lang w:eastAsia="en-US"/>
              </w:rPr>
            </w:pPr>
            <w:r w:rsidRPr="004D0DAA">
              <w:rPr>
                <w:lang w:eastAsia="en-US"/>
              </w:rPr>
              <w:t>n/a</w:t>
            </w:r>
          </w:p>
        </w:tc>
      </w:tr>
      <w:tr w:rsidR="00711444" w:rsidRPr="004D0DAA" w14:paraId="69602FFD" w14:textId="77777777" w:rsidTr="00AA2A4C">
        <w:trPr>
          <w:jc w:val="center"/>
        </w:trPr>
        <w:tc>
          <w:tcPr>
            <w:tcW w:w="2660" w:type="dxa"/>
          </w:tcPr>
          <w:p w14:paraId="4CEBB198" w14:textId="77777777" w:rsidR="00711444" w:rsidRPr="004D0DAA" w:rsidRDefault="00711444" w:rsidP="00AA2A4C">
            <w:pPr>
              <w:pStyle w:val="TAC"/>
              <w:rPr>
                <w:lang w:eastAsia="en-US"/>
              </w:rPr>
            </w:pPr>
            <w:r w:rsidRPr="004D0DAA">
              <w:rPr>
                <w:lang w:eastAsia="en-US"/>
              </w:rPr>
              <w:t>UAS-8</w:t>
            </w:r>
          </w:p>
        </w:tc>
        <w:tc>
          <w:tcPr>
            <w:tcW w:w="2881" w:type="dxa"/>
          </w:tcPr>
          <w:p w14:paraId="09090105" w14:textId="77777777" w:rsidR="00711444" w:rsidRPr="004D0DAA" w:rsidRDefault="00711444" w:rsidP="00AA2A4C">
            <w:pPr>
              <w:pStyle w:val="TAC"/>
              <w:rPr>
                <w:lang w:eastAsia="en-US"/>
              </w:rPr>
            </w:pPr>
            <w:r w:rsidRPr="004D0DAA">
              <w:rPr>
                <w:lang w:eastAsia="en-US"/>
              </w:rPr>
              <w:t>MCS-6 (with padding)</w:t>
            </w:r>
          </w:p>
        </w:tc>
        <w:tc>
          <w:tcPr>
            <w:tcW w:w="2505" w:type="dxa"/>
          </w:tcPr>
          <w:p w14:paraId="3978C667" w14:textId="77777777" w:rsidR="00711444" w:rsidRPr="004D0DAA" w:rsidRDefault="00711444" w:rsidP="00AA2A4C">
            <w:pPr>
              <w:pStyle w:val="TAC"/>
              <w:rPr>
                <w:lang w:eastAsia="en-US"/>
              </w:rPr>
            </w:pPr>
            <w:r w:rsidRPr="004D0DAA">
              <w:rPr>
                <w:lang w:eastAsia="en-US"/>
              </w:rPr>
              <w:t>n/a</w:t>
            </w:r>
          </w:p>
        </w:tc>
      </w:tr>
      <w:tr w:rsidR="00711444" w:rsidRPr="004D0DAA" w14:paraId="146B5ECB" w14:textId="77777777" w:rsidTr="00AA2A4C">
        <w:trPr>
          <w:jc w:val="center"/>
        </w:trPr>
        <w:tc>
          <w:tcPr>
            <w:tcW w:w="2660" w:type="dxa"/>
          </w:tcPr>
          <w:p w14:paraId="2A1DDD32" w14:textId="77777777" w:rsidR="00711444" w:rsidRPr="004D0DAA" w:rsidRDefault="00711444" w:rsidP="00AA2A4C">
            <w:pPr>
              <w:pStyle w:val="TAC"/>
              <w:rPr>
                <w:lang w:eastAsia="en-US"/>
              </w:rPr>
            </w:pPr>
            <w:r w:rsidRPr="004D0DAA">
              <w:rPr>
                <w:lang w:eastAsia="en-US"/>
              </w:rPr>
              <w:t>UAS-9</w:t>
            </w:r>
          </w:p>
        </w:tc>
        <w:tc>
          <w:tcPr>
            <w:tcW w:w="2881" w:type="dxa"/>
          </w:tcPr>
          <w:p w14:paraId="56BB8A4C" w14:textId="77777777" w:rsidR="00711444" w:rsidRPr="004D0DAA" w:rsidRDefault="00711444" w:rsidP="00AA2A4C">
            <w:pPr>
              <w:pStyle w:val="TAC"/>
              <w:rPr>
                <w:lang w:eastAsia="en-US"/>
              </w:rPr>
            </w:pPr>
            <w:r w:rsidRPr="004D0DAA">
              <w:rPr>
                <w:lang w:eastAsia="en-US"/>
              </w:rPr>
              <w:t>MCS-6</w:t>
            </w:r>
          </w:p>
        </w:tc>
        <w:tc>
          <w:tcPr>
            <w:tcW w:w="2505" w:type="dxa"/>
          </w:tcPr>
          <w:p w14:paraId="73B57C38" w14:textId="77777777" w:rsidR="00711444" w:rsidRPr="004D0DAA" w:rsidRDefault="00711444" w:rsidP="00AA2A4C">
            <w:pPr>
              <w:pStyle w:val="TAC"/>
              <w:rPr>
                <w:lang w:eastAsia="en-US"/>
              </w:rPr>
            </w:pPr>
            <w:r w:rsidRPr="004D0DAA">
              <w:rPr>
                <w:lang w:eastAsia="en-US"/>
              </w:rPr>
              <w:t>n/a</w:t>
            </w:r>
          </w:p>
        </w:tc>
      </w:tr>
      <w:tr w:rsidR="00711444" w:rsidRPr="004D0DAA" w14:paraId="618A82B0" w14:textId="77777777" w:rsidTr="00AA2A4C">
        <w:trPr>
          <w:jc w:val="center"/>
        </w:trPr>
        <w:tc>
          <w:tcPr>
            <w:tcW w:w="2660" w:type="dxa"/>
          </w:tcPr>
          <w:p w14:paraId="76203B54" w14:textId="77777777" w:rsidR="00711444" w:rsidRPr="004D0DAA" w:rsidRDefault="00711444" w:rsidP="00AA2A4C">
            <w:pPr>
              <w:pStyle w:val="TAC"/>
              <w:rPr>
                <w:lang w:eastAsia="en-US"/>
              </w:rPr>
            </w:pPr>
            <w:r w:rsidRPr="004D0DAA">
              <w:rPr>
                <w:lang w:eastAsia="en-US"/>
              </w:rPr>
              <w:t>UAS-10</w:t>
            </w:r>
          </w:p>
        </w:tc>
        <w:tc>
          <w:tcPr>
            <w:tcW w:w="2881" w:type="dxa"/>
          </w:tcPr>
          <w:p w14:paraId="4D90FE73" w14:textId="77777777" w:rsidR="00711444" w:rsidRPr="004D0DAA" w:rsidRDefault="00711444" w:rsidP="00AA2A4C">
            <w:pPr>
              <w:pStyle w:val="TAC"/>
              <w:rPr>
                <w:lang w:eastAsia="en-US"/>
              </w:rPr>
            </w:pPr>
            <w:r w:rsidRPr="004D0DAA">
              <w:rPr>
                <w:lang w:eastAsia="en-US"/>
              </w:rPr>
              <w:t>MCS-5</w:t>
            </w:r>
          </w:p>
        </w:tc>
        <w:tc>
          <w:tcPr>
            <w:tcW w:w="2505" w:type="dxa"/>
          </w:tcPr>
          <w:p w14:paraId="4E7E6236" w14:textId="77777777" w:rsidR="00711444" w:rsidRPr="004D0DAA" w:rsidRDefault="00711444" w:rsidP="00AA2A4C">
            <w:pPr>
              <w:pStyle w:val="TAC"/>
              <w:rPr>
                <w:lang w:eastAsia="en-US"/>
              </w:rPr>
            </w:pPr>
            <w:r w:rsidRPr="004D0DAA">
              <w:rPr>
                <w:lang w:eastAsia="en-US"/>
              </w:rPr>
              <w:t>UAS-7</w:t>
            </w:r>
          </w:p>
        </w:tc>
      </w:tr>
      <w:tr w:rsidR="00711444" w:rsidRPr="004D0DAA" w14:paraId="1A29CE0C" w14:textId="77777777" w:rsidTr="00AA2A4C">
        <w:trPr>
          <w:jc w:val="center"/>
        </w:trPr>
        <w:tc>
          <w:tcPr>
            <w:tcW w:w="2660" w:type="dxa"/>
          </w:tcPr>
          <w:p w14:paraId="19C4884F" w14:textId="77777777" w:rsidR="00711444" w:rsidRPr="004D0DAA" w:rsidRDefault="00711444" w:rsidP="00AA2A4C">
            <w:pPr>
              <w:pStyle w:val="TAC"/>
              <w:rPr>
                <w:lang w:eastAsia="en-US"/>
              </w:rPr>
            </w:pPr>
            <w:r w:rsidRPr="004D0DAA">
              <w:rPr>
                <w:lang w:eastAsia="en-US"/>
              </w:rPr>
              <w:t>UAS-11</w:t>
            </w:r>
          </w:p>
        </w:tc>
        <w:tc>
          <w:tcPr>
            <w:tcW w:w="2881" w:type="dxa"/>
          </w:tcPr>
          <w:p w14:paraId="23AE0788" w14:textId="77777777" w:rsidR="00711444" w:rsidRPr="004D0DAA" w:rsidRDefault="00711444" w:rsidP="00AA2A4C">
            <w:pPr>
              <w:pStyle w:val="TAC"/>
              <w:rPr>
                <w:lang w:eastAsia="en-US"/>
              </w:rPr>
            </w:pPr>
            <w:r w:rsidRPr="004D0DAA">
              <w:rPr>
                <w:lang w:eastAsia="en-US"/>
              </w:rPr>
              <w:t>MCS-6 (with padding)</w:t>
            </w:r>
          </w:p>
        </w:tc>
        <w:tc>
          <w:tcPr>
            <w:tcW w:w="2505" w:type="dxa"/>
          </w:tcPr>
          <w:p w14:paraId="6663B529" w14:textId="77777777" w:rsidR="00711444" w:rsidRPr="004D0DAA" w:rsidRDefault="00711444" w:rsidP="00AA2A4C">
            <w:pPr>
              <w:pStyle w:val="TAC"/>
              <w:rPr>
                <w:lang w:eastAsia="en-US"/>
              </w:rPr>
            </w:pPr>
            <w:r w:rsidRPr="004D0DAA">
              <w:rPr>
                <w:lang w:eastAsia="en-US"/>
              </w:rPr>
              <w:t>UAS-8</w:t>
            </w:r>
          </w:p>
        </w:tc>
      </w:tr>
    </w:tbl>
    <w:p w14:paraId="50D26844" w14:textId="77777777" w:rsidR="00711444" w:rsidRPr="004D0DAA" w:rsidRDefault="00711444" w:rsidP="00711444">
      <w:pPr>
        <w:rPr>
          <w:rFonts w:ascii="Times" w:hAnsi="Times"/>
        </w:rPr>
      </w:pPr>
    </w:p>
    <w:p w14:paraId="32F6E49A" w14:textId="77777777" w:rsidR="00711444" w:rsidRPr="004D0DAA" w:rsidRDefault="00711444" w:rsidP="00711444">
      <w:pPr>
        <w:pStyle w:val="TH"/>
      </w:pPr>
      <w:r w:rsidRPr="004D0DAA">
        <w:t>Table 8.1.1.8: Retransmissions with fewer RLC blocks (EGPRS2-B)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2137"/>
        <w:gridCol w:w="1846"/>
        <w:gridCol w:w="1921"/>
      </w:tblGrid>
      <w:tr w:rsidR="00711444" w:rsidRPr="004D0DAA" w14:paraId="5C39F024" w14:textId="77777777" w:rsidTr="00AA2A4C">
        <w:trPr>
          <w:jc w:val="center"/>
        </w:trPr>
        <w:tc>
          <w:tcPr>
            <w:tcW w:w="2507" w:type="dxa"/>
          </w:tcPr>
          <w:p w14:paraId="44ACB100" w14:textId="77777777" w:rsidR="00711444" w:rsidRPr="004D0DAA" w:rsidRDefault="00711444" w:rsidP="00AA2A4C">
            <w:pPr>
              <w:pStyle w:val="TAH"/>
              <w:rPr>
                <w:lang w:eastAsia="en-US"/>
              </w:rPr>
            </w:pPr>
            <w:r w:rsidRPr="004D0DAA">
              <w:rPr>
                <w:lang w:eastAsia="en-US"/>
              </w:rPr>
              <w:t>Modulation and Coding Scheme Specified</w:t>
            </w:r>
          </w:p>
        </w:tc>
        <w:tc>
          <w:tcPr>
            <w:tcW w:w="2137" w:type="dxa"/>
          </w:tcPr>
          <w:p w14:paraId="300F2AA9" w14:textId="77777777" w:rsidR="00711444" w:rsidRPr="004D0DAA" w:rsidRDefault="00711444" w:rsidP="00AA2A4C">
            <w:pPr>
              <w:pStyle w:val="TAH"/>
              <w:rPr>
                <w:lang w:eastAsia="en-US"/>
              </w:rPr>
            </w:pPr>
            <w:r w:rsidRPr="004D0DAA">
              <w:rPr>
                <w:lang w:eastAsia="en-US"/>
              </w:rPr>
              <w:t>Modulation/Coding scheme to be used (only 1 block can be transmitted)</w:t>
            </w:r>
          </w:p>
        </w:tc>
        <w:tc>
          <w:tcPr>
            <w:tcW w:w="1843" w:type="dxa"/>
          </w:tcPr>
          <w:p w14:paraId="50E4712E" w14:textId="77777777" w:rsidR="00711444" w:rsidRPr="004D0DAA" w:rsidRDefault="00711444" w:rsidP="00AA2A4C">
            <w:pPr>
              <w:pStyle w:val="TAH"/>
              <w:rPr>
                <w:lang w:eastAsia="en-US"/>
              </w:rPr>
            </w:pPr>
            <w:r w:rsidRPr="004D0DAA">
              <w:rPr>
                <w:lang w:eastAsia="en-US"/>
              </w:rPr>
              <w:t>Modulation/Coding scheme to be used (only 2 blocks can be transmitted)</w:t>
            </w:r>
          </w:p>
        </w:tc>
        <w:tc>
          <w:tcPr>
            <w:tcW w:w="1921" w:type="dxa"/>
          </w:tcPr>
          <w:p w14:paraId="66D6DF1B" w14:textId="77777777" w:rsidR="00711444" w:rsidRPr="004D0DAA" w:rsidRDefault="00711444" w:rsidP="00AA2A4C">
            <w:pPr>
              <w:pStyle w:val="TAH"/>
              <w:rPr>
                <w:lang w:eastAsia="en-US"/>
              </w:rPr>
            </w:pPr>
            <w:r w:rsidRPr="004D0DAA">
              <w:rPr>
                <w:lang w:eastAsia="en-US"/>
              </w:rPr>
              <w:t>Modulation/Coding scheme to be used (only 3 blocks can be transmitted)</w:t>
            </w:r>
          </w:p>
        </w:tc>
      </w:tr>
      <w:tr w:rsidR="00711444" w:rsidRPr="004D0DAA" w14:paraId="54986154" w14:textId="77777777" w:rsidTr="00AA2A4C">
        <w:trPr>
          <w:jc w:val="center"/>
        </w:trPr>
        <w:tc>
          <w:tcPr>
            <w:tcW w:w="2507" w:type="dxa"/>
          </w:tcPr>
          <w:p w14:paraId="35BE6D0B" w14:textId="77777777" w:rsidR="00711444" w:rsidRPr="004D0DAA" w:rsidRDefault="00711444" w:rsidP="00AA2A4C">
            <w:pPr>
              <w:pStyle w:val="TAC"/>
              <w:rPr>
                <w:lang w:eastAsia="en-US"/>
              </w:rPr>
            </w:pPr>
            <w:r w:rsidRPr="004D0DAA">
              <w:rPr>
                <w:lang w:eastAsia="en-US"/>
              </w:rPr>
              <w:t>UBS-7</w:t>
            </w:r>
          </w:p>
        </w:tc>
        <w:tc>
          <w:tcPr>
            <w:tcW w:w="2137" w:type="dxa"/>
          </w:tcPr>
          <w:p w14:paraId="656A2246" w14:textId="77777777" w:rsidR="00711444" w:rsidRPr="004D0DAA" w:rsidRDefault="00711444" w:rsidP="00AA2A4C">
            <w:pPr>
              <w:pStyle w:val="TAC"/>
              <w:rPr>
                <w:lang w:eastAsia="en-US"/>
              </w:rPr>
            </w:pPr>
            <w:r w:rsidRPr="004D0DAA">
              <w:rPr>
                <w:lang w:eastAsia="en-US"/>
              </w:rPr>
              <w:t>UBS-5</w:t>
            </w:r>
          </w:p>
        </w:tc>
        <w:tc>
          <w:tcPr>
            <w:tcW w:w="1843" w:type="dxa"/>
          </w:tcPr>
          <w:p w14:paraId="33B1CB1F" w14:textId="77777777" w:rsidR="00711444" w:rsidRPr="004D0DAA" w:rsidRDefault="00711444" w:rsidP="00AA2A4C">
            <w:pPr>
              <w:pStyle w:val="TAC"/>
              <w:rPr>
                <w:lang w:eastAsia="en-US"/>
              </w:rPr>
            </w:pPr>
            <w:r w:rsidRPr="004D0DAA">
              <w:rPr>
                <w:lang w:eastAsia="en-US"/>
              </w:rPr>
              <w:t>n/a</w:t>
            </w:r>
          </w:p>
        </w:tc>
        <w:tc>
          <w:tcPr>
            <w:tcW w:w="1921" w:type="dxa"/>
          </w:tcPr>
          <w:p w14:paraId="46CA291F" w14:textId="77777777" w:rsidR="00711444" w:rsidRPr="004D0DAA" w:rsidRDefault="00711444" w:rsidP="00AA2A4C">
            <w:pPr>
              <w:pStyle w:val="TAC"/>
              <w:rPr>
                <w:lang w:eastAsia="en-US"/>
              </w:rPr>
            </w:pPr>
            <w:r w:rsidRPr="004D0DAA">
              <w:rPr>
                <w:lang w:eastAsia="en-US"/>
              </w:rPr>
              <w:t>n/a</w:t>
            </w:r>
          </w:p>
        </w:tc>
      </w:tr>
      <w:tr w:rsidR="00711444" w:rsidRPr="004D0DAA" w14:paraId="44D80D89" w14:textId="77777777" w:rsidTr="00AA2A4C">
        <w:trPr>
          <w:jc w:val="center"/>
        </w:trPr>
        <w:tc>
          <w:tcPr>
            <w:tcW w:w="2507" w:type="dxa"/>
          </w:tcPr>
          <w:p w14:paraId="74DAAFE6" w14:textId="77777777" w:rsidR="00711444" w:rsidRPr="004D0DAA" w:rsidRDefault="00711444" w:rsidP="00AA2A4C">
            <w:pPr>
              <w:pStyle w:val="TAC"/>
              <w:rPr>
                <w:lang w:eastAsia="en-US"/>
              </w:rPr>
            </w:pPr>
            <w:r w:rsidRPr="004D0DAA">
              <w:rPr>
                <w:lang w:eastAsia="en-US"/>
              </w:rPr>
              <w:t>UBS-8</w:t>
            </w:r>
          </w:p>
        </w:tc>
        <w:tc>
          <w:tcPr>
            <w:tcW w:w="2137" w:type="dxa"/>
          </w:tcPr>
          <w:p w14:paraId="049B0956" w14:textId="77777777" w:rsidR="00711444" w:rsidRPr="004D0DAA" w:rsidRDefault="00711444" w:rsidP="00AA2A4C">
            <w:pPr>
              <w:pStyle w:val="TAC"/>
              <w:rPr>
                <w:lang w:eastAsia="en-US"/>
              </w:rPr>
            </w:pPr>
            <w:r w:rsidRPr="004D0DAA">
              <w:rPr>
                <w:lang w:eastAsia="en-US"/>
              </w:rPr>
              <w:t>UBS-6</w:t>
            </w:r>
          </w:p>
        </w:tc>
        <w:tc>
          <w:tcPr>
            <w:tcW w:w="1843" w:type="dxa"/>
          </w:tcPr>
          <w:p w14:paraId="4AC1E89B" w14:textId="77777777" w:rsidR="00711444" w:rsidRPr="004D0DAA" w:rsidRDefault="00711444" w:rsidP="00AA2A4C">
            <w:pPr>
              <w:pStyle w:val="TAC"/>
              <w:rPr>
                <w:lang w:eastAsia="en-US"/>
              </w:rPr>
            </w:pPr>
            <w:r w:rsidRPr="004D0DAA">
              <w:rPr>
                <w:lang w:eastAsia="en-US"/>
              </w:rPr>
              <w:t>n/a</w:t>
            </w:r>
          </w:p>
        </w:tc>
        <w:tc>
          <w:tcPr>
            <w:tcW w:w="1921" w:type="dxa"/>
          </w:tcPr>
          <w:p w14:paraId="0C055D46" w14:textId="77777777" w:rsidR="00711444" w:rsidRPr="004D0DAA" w:rsidRDefault="00711444" w:rsidP="00AA2A4C">
            <w:pPr>
              <w:pStyle w:val="TAC"/>
              <w:rPr>
                <w:lang w:eastAsia="en-US"/>
              </w:rPr>
            </w:pPr>
            <w:r w:rsidRPr="004D0DAA">
              <w:rPr>
                <w:lang w:eastAsia="en-US"/>
              </w:rPr>
              <w:t>n/a</w:t>
            </w:r>
          </w:p>
        </w:tc>
      </w:tr>
      <w:tr w:rsidR="00711444" w:rsidRPr="004D0DAA" w14:paraId="112D2A47" w14:textId="77777777" w:rsidTr="00AA2A4C">
        <w:trPr>
          <w:jc w:val="center"/>
        </w:trPr>
        <w:tc>
          <w:tcPr>
            <w:tcW w:w="2507" w:type="dxa"/>
          </w:tcPr>
          <w:p w14:paraId="2F8C2912" w14:textId="77777777" w:rsidR="00711444" w:rsidRPr="004D0DAA" w:rsidRDefault="00711444" w:rsidP="00AA2A4C">
            <w:pPr>
              <w:pStyle w:val="TAC"/>
              <w:rPr>
                <w:lang w:eastAsia="en-US"/>
              </w:rPr>
            </w:pPr>
            <w:r w:rsidRPr="004D0DAA">
              <w:rPr>
                <w:lang w:eastAsia="en-US"/>
              </w:rPr>
              <w:t>UBS-9</w:t>
            </w:r>
          </w:p>
        </w:tc>
        <w:tc>
          <w:tcPr>
            <w:tcW w:w="2137" w:type="dxa"/>
          </w:tcPr>
          <w:p w14:paraId="2F106B63" w14:textId="77777777" w:rsidR="00711444" w:rsidRPr="004D0DAA" w:rsidRDefault="00711444" w:rsidP="00AA2A4C">
            <w:pPr>
              <w:pStyle w:val="TAC"/>
              <w:rPr>
                <w:lang w:eastAsia="en-US"/>
              </w:rPr>
            </w:pPr>
            <w:r w:rsidRPr="004D0DAA">
              <w:rPr>
                <w:lang w:eastAsia="en-US"/>
              </w:rPr>
              <w:t>UBS-5</w:t>
            </w:r>
          </w:p>
        </w:tc>
        <w:tc>
          <w:tcPr>
            <w:tcW w:w="1843" w:type="dxa"/>
          </w:tcPr>
          <w:p w14:paraId="23F47242" w14:textId="77777777" w:rsidR="00711444" w:rsidRPr="004D0DAA" w:rsidRDefault="00711444" w:rsidP="00AA2A4C">
            <w:pPr>
              <w:pStyle w:val="TAC"/>
              <w:rPr>
                <w:lang w:eastAsia="en-US"/>
              </w:rPr>
            </w:pPr>
            <w:r w:rsidRPr="004D0DAA">
              <w:rPr>
                <w:lang w:eastAsia="en-US"/>
              </w:rPr>
              <w:t>UBS-7</w:t>
            </w:r>
          </w:p>
        </w:tc>
        <w:tc>
          <w:tcPr>
            <w:tcW w:w="1921" w:type="dxa"/>
          </w:tcPr>
          <w:p w14:paraId="73D017C7" w14:textId="77777777" w:rsidR="00711444" w:rsidRPr="004D0DAA" w:rsidRDefault="00711444" w:rsidP="00AA2A4C">
            <w:pPr>
              <w:pStyle w:val="TAC"/>
              <w:rPr>
                <w:lang w:eastAsia="en-US"/>
              </w:rPr>
            </w:pPr>
            <w:r w:rsidRPr="004D0DAA">
              <w:rPr>
                <w:lang w:eastAsia="en-US"/>
              </w:rPr>
              <w:t>n/a</w:t>
            </w:r>
          </w:p>
        </w:tc>
      </w:tr>
      <w:tr w:rsidR="00711444" w:rsidRPr="004D0DAA" w14:paraId="73BD1A99" w14:textId="77777777" w:rsidTr="00AA2A4C">
        <w:trPr>
          <w:jc w:val="center"/>
        </w:trPr>
        <w:tc>
          <w:tcPr>
            <w:tcW w:w="2507" w:type="dxa"/>
          </w:tcPr>
          <w:p w14:paraId="0CBB985F" w14:textId="77777777" w:rsidR="00711444" w:rsidRPr="004D0DAA" w:rsidRDefault="00711444" w:rsidP="00AA2A4C">
            <w:pPr>
              <w:pStyle w:val="TAC"/>
              <w:rPr>
                <w:lang w:eastAsia="en-US"/>
              </w:rPr>
            </w:pPr>
            <w:r w:rsidRPr="004D0DAA">
              <w:rPr>
                <w:lang w:eastAsia="en-US"/>
              </w:rPr>
              <w:t>UBS-10</w:t>
            </w:r>
          </w:p>
        </w:tc>
        <w:tc>
          <w:tcPr>
            <w:tcW w:w="2137" w:type="dxa"/>
          </w:tcPr>
          <w:p w14:paraId="13D13F4B" w14:textId="77777777" w:rsidR="00711444" w:rsidRPr="004D0DAA" w:rsidRDefault="00711444" w:rsidP="00AA2A4C">
            <w:pPr>
              <w:pStyle w:val="TAC"/>
              <w:rPr>
                <w:lang w:eastAsia="en-US"/>
              </w:rPr>
            </w:pPr>
            <w:r w:rsidRPr="004D0DAA">
              <w:rPr>
                <w:lang w:eastAsia="en-US"/>
              </w:rPr>
              <w:t>UBS-6</w:t>
            </w:r>
          </w:p>
        </w:tc>
        <w:tc>
          <w:tcPr>
            <w:tcW w:w="1843" w:type="dxa"/>
          </w:tcPr>
          <w:p w14:paraId="5D75DE5C" w14:textId="77777777" w:rsidR="00711444" w:rsidRPr="004D0DAA" w:rsidRDefault="00711444" w:rsidP="00AA2A4C">
            <w:pPr>
              <w:pStyle w:val="TAC"/>
              <w:rPr>
                <w:lang w:eastAsia="en-US"/>
              </w:rPr>
            </w:pPr>
            <w:r w:rsidRPr="004D0DAA">
              <w:rPr>
                <w:lang w:eastAsia="en-US"/>
              </w:rPr>
              <w:t>UBS-8</w:t>
            </w:r>
          </w:p>
        </w:tc>
        <w:tc>
          <w:tcPr>
            <w:tcW w:w="1921" w:type="dxa"/>
          </w:tcPr>
          <w:p w14:paraId="0DE05F85" w14:textId="77777777" w:rsidR="00711444" w:rsidRPr="004D0DAA" w:rsidRDefault="00711444" w:rsidP="00AA2A4C">
            <w:pPr>
              <w:pStyle w:val="TAC"/>
              <w:rPr>
                <w:lang w:eastAsia="en-US"/>
              </w:rPr>
            </w:pPr>
            <w:r w:rsidRPr="004D0DAA">
              <w:rPr>
                <w:lang w:eastAsia="en-US"/>
              </w:rPr>
              <w:t>n/a</w:t>
            </w:r>
          </w:p>
        </w:tc>
      </w:tr>
      <w:tr w:rsidR="00711444" w:rsidRPr="004D0DAA" w14:paraId="07BB2E26" w14:textId="77777777" w:rsidTr="00AA2A4C">
        <w:trPr>
          <w:jc w:val="center"/>
        </w:trPr>
        <w:tc>
          <w:tcPr>
            <w:tcW w:w="2507" w:type="dxa"/>
          </w:tcPr>
          <w:p w14:paraId="38B26302" w14:textId="77777777" w:rsidR="00711444" w:rsidRPr="004D0DAA" w:rsidRDefault="00711444" w:rsidP="00AA2A4C">
            <w:pPr>
              <w:pStyle w:val="TAC"/>
              <w:rPr>
                <w:lang w:eastAsia="en-US"/>
              </w:rPr>
            </w:pPr>
            <w:r w:rsidRPr="004D0DAA">
              <w:rPr>
                <w:lang w:eastAsia="en-US"/>
              </w:rPr>
              <w:t>UBS-11</w:t>
            </w:r>
          </w:p>
        </w:tc>
        <w:tc>
          <w:tcPr>
            <w:tcW w:w="2137" w:type="dxa"/>
          </w:tcPr>
          <w:p w14:paraId="2E8D0E48" w14:textId="77777777" w:rsidR="00711444" w:rsidRPr="004D0DAA" w:rsidRDefault="00711444" w:rsidP="00AA2A4C">
            <w:pPr>
              <w:pStyle w:val="TAC"/>
              <w:rPr>
                <w:lang w:eastAsia="en-US"/>
              </w:rPr>
            </w:pPr>
            <w:r w:rsidRPr="004D0DAA">
              <w:rPr>
                <w:lang w:eastAsia="en-US"/>
              </w:rPr>
              <w:t>UBS-6 (with padding)</w:t>
            </w:r>
          </w:p>
        </w:tc>
        <w:tc>
          <w:tcPr>
            <w:tcW w:w="1843" w:type="dxa"/>
          </w:tcPr>
          <w:p w14:paraId="7469AFBA" w14:textId="77777777" w:rsidR="00711444" w:rsidRPr="004D0DAA" w:rsidRDefault="00711444" w:rsidP="00AA2A4C">
            <w:pPr>
              <w:pStyle w:val="TAC"/>
              <w:rPr>
                <w:lang w:eastAsia="en-US"/>
              </w:rPr>
            </w:pPr>
            <w:r w:rsidRPr="004D0DAA">
              <w:rPr>
                <w:lang w:eastAsia="en-US"/>
              </w:rPr>
              <w:t>UBS-8 (with padding)</w:t>
            </w:r>
          </w:p>
        </w:tc>
        <w:tc>
          <w:tcPr>
            <w:tcW w:w="1921" w:type="dxa"/>
          </w:tcPr>
          <w:p w14:paraId="15876F07" w14:textId="77777777" w:rsidR="00711444" w:rsidRPr="004D0DAA" w:rsidRDefault="00711444" w:rsidP="00AA2A4C">
            <w:pPr>
              <w:pStyle w:val="TAC"/>
              <w:rPr>
                <w:lang w:eastAsia="en-US"/>
              </w:rPr>
            </w:pPr>
            <w:r w:rsidRPr="004D0DAA">
              <w:rPr>
                <w:lang w:eastAsia="en-US"/>
              </w:rPr>
              <w:t>UBS-10 (with padding)</w:t>
            </w:r>
          </w:p>
        </w:tc>
      </w:tr>
      <w:tr w:rsidR="00711444" w:rsidRPr="004D0DAA" w14:paraId="7A84D8C3" w14:textId="77777777" w:rsidTr="00AA2A4C">
        <w:trPr>
          <w:jc w:val="center"/>
        </w:trPr>
        <w:tc>
          <w:tcPr>
            <w:tcW w:w="2507" w:type="dxa"/>
          </w:tcPr>
          <w:p w14:paraId="32E609AC" w14:textId="77777777" w:rsidR="00711444" w:rsidRPr="004D0DAA" w:rsidRDefault="00711444" w:rsidP="00AA2A4C">
            <w:pPr>
              <w:pStyle w:val="TAC"/>
              <w:rPr>
                <w:lang w:eastAsia="en-US"/>
              </w:rPr>
            </w:pPr>
            <w:r w:rsidRPr="004D0DAA">
              <w:rPr>
                <w:lang w:eastAsia="en-US"/>
              </w:rPr>
              <w:t>UBS-12</w:t>
            </w:r>
          </w:p>
        </w:tc>
        <w:tc>
          <w:tcPr>
            <w:tcW w:w="2137" w:type="dxa"/>
          </w:tcPr>
          <w:p w14:paraId="3E0DE938" w14:textId="77777777" w:rsidR="00711444" w:rsidRPr="004D0DAA" w:rsidRDefault="00711444" w:rsidP="00AA2A4C">
            <w:pPr>
              <w:pStyle w:val="TAC"/>
              <w:rPr>
                <w:lang w:eastAsia="en-US"/>
              </w:rPr>
            </w:pPr>
            <w:r w:rsidRPr="004D0DAA">
              <w:rPr>
                <w:lang w:eastAsia="en-US"/>
              </w:rPr>
              <w:t>UBS-6</w:t>
            </w:r>
          </w:p>
        </w:tc>
        <w:tc>
          <w:tcPr>
            <w:tcW w:w="1843" w:type="dxa"/>
          </w:tcPr>
          <w:p w14:paraId="36B8EC1A" w14:textId="77777777" w:rsidR="00711444" w:rsidRPr="004D0DAA" w:rsidRDefault="00711444" w:rsidP="00AA2A4C">
            <w:pPr>
              <w:pStyle w:val="TAC"/>
              <w:rPr>
                <w:lang w:eastAsia="en-US"/>
              </w:rPr>
            </w:pPr>
            <w:r w:rsidRPr="004D0DAA">
              <w:rPr>
                <w:lang w:eastAsia="en-US"/>
              </w:rPr>
              <w:t>UBS-8</w:t>
            </w:r>
          </w:p>
        </w:tc>
        <w:tc>
          <w:tcPr>
            <w:tcW w:w="1921" w:type="dxa"/>
          </w:tcPr>
          <w:p w14:paraId="6F46645B" w14:textId="77777777" w:rsidR="00711444" w:rsidRPr="004D0DAA" w:rsidRDefault="00711444" w:rsidP="00AA2A4C">
            <w:pPr>
              <w:pStyle w:val="TAC"/>
              <w:rPr>
                <w:lang w:eastAsia="en-US"/>
              </w:rPr>
            </w:pPr>
            <w:r w:rsidRPr="004D0DAA">
              <w:rPr>
                <w:lang w:eastAsia="en-US"/>
              </w:rPr>
              <w:t xml:space="preserve">UBS-10 </w:t>
            </w:r>
          </w:p>
        </w:tc>
      </w:tr>
    </w:tbl>
    <w:p w14:paraId="557CABA5" w14:textId="77777777" w:rsidR="00711444" w:rsidRPr="004D0DAA" w:rsidRDefault="00711444" w:rsidP="00711444">
      <w:pPr>
        <w:rPr>
          <w:rFonts w:ascii="Times" w:hAnsi="Times"/>
        </w:rPr>
      </w:pPr>
    </w:p>
    <w:p w14:paraId="2AD1CE0E" w14:textId="77777777" w:rsidR="00711444" w:rsidRPr="004D0DAA" w:rsidRDefault="00711444" w:rsidP="00711444">
      <w:pPr>
        <w:rPr>
          <w:rFonts w:ascii="Times" w:hAnsi="Times"/>
        </w:rPr>
      </w:pPr>
      <w:r w:rsidRPr="004D0DAA">
        <w:rPr>
          <w:rFonts w:ascii="Times" w:hAnsi="Times"/>
        </w:rPr>
        <w:t>Modulation and coding schemes to be used for retransmissions after a transition from EGPRS to EGPRS2-A or EGPRS2-B or from EGPRS2-A or EGPRS2-B to EGPRS are specified in sub-clause 8.1.1.7.2.</w:t>
      </w:r>
    </w:p>
    <w:p w14:paraId="4DDAC541" w14:textId="77777777" w:rsidR="00711444" w:rsidRPr="004D0DAA" w:rsidRDefault="00711444" w:rsidP="00711444">
      <w:pPr>
        <w:rPr>
          <w:rFonts w:ascii="Times" w:hAnsi="Times" w:hint="eastAsia"/>
          <w:lang w:eastAsia="ko-KR"/>
        </w:rPr>
      </w:pPr>
      <w:r w:rsidRPr="004D0DAA">
        <w:rPr>
          <w:rFonts w:ascii="Times" w:hAnsi="Times" w:hint="eastAsia"/>
          <w:lang w:eastAsia="ko-KR"/>
        </w:rPr>
        <w:t xml:space="preserve">For a TBF </w:t>
      </w:r>
      <w:r w:rsidRPr="004D0DAA">
        <w:rPr>
          <w:rFonts w:ascii="Times" w:hAnsi="Times"/>
          <w:lang w:eastAsia="ko-KR"/>
        </w:rPr>
        <w:t>with</w:t>
      </w:r>
      <w:r w:rsidRPr="004D0DAA">
        <w:rPr>
          <w:rFonts w:ascii="Times" w:hAnsi="Times" w:hint="eastAsia"/>
          <w:lang w:eastAsia="ko-KR"/>
        </w:rPr>
        <w:t xml:space="preserve"> FANR</w:t>
      </w:r>
      <w:r w:rsidRPr="004D0DAA">
        <w:rPr>
          <w:rFonts w:ascii="Times" w:hAnsi="Times"/>
          <w:lang w:eastAsia="ko-KR"/>
        </w:rPr>
        <w:t xml:space="preserve"> activated</w:t>
      </w:r>
      <w:r w:rsidRPr="004D0DAA">
        <w:rPr>
          <w:rFonts w:ascii="Times" w:hAnsi="Times"/>
        </w:rPr>
        <w:t>, if these rules require a retransmission in MCS-9 and a PAN field is included in an EGPRS RLC/MAC block for data transfer, the mobile station shall use MCS-6. If these rules require a retransmission in MCS-4, a PAN field is to be included in an EGPRS RLC/MAC block for data transfer and re-segmentation is allowed, the mobile station shall use MCS-1. If these rules require a retransmission in MCS-4 and re-segmentation is not allowed, the mobile station shall use MCS-4 and shall not include a PAN field in this retransmission.</w:t>
      </w:r>
    </w:p>
    <w:p w14:paraId="5CCE241B" w14:textId="77777777" w:rsidR="00711444" w:rsidRPr="004D0DAA" w:rsidRDefault="00711444" w:rsidP="00711444">
      <w:r w:rsidRPr="004D0DAA">
        <w:t>Upon receipt of a command from the network to change channel coding scheme, the mobile station shall react in accordance with the time specified in 3GPP TS 45.010.</w:t>
      </w:r>
    </w:p>
    <w:p w14:paraId="6B4C0350" w14:textId="77777777" w:rsidR="00711444" w:rsidRPr="004D0DAA" w:rsidRDefault="00711444" w:rsidP="00711444">
      <w:r w:rsidRPr="004D0DAA">
        <w:t>Upon receipt of any message containing an uplink assignment (e.g. PACKET UPLINK ASSIGNMENT, MULTIPLE TBF UPLINK ASSIGNMENT, PACKET TIMESLOT RECONFIGURE, MULTIPLE TBF TIMESLOT RECONFIGURE, PACKET UPLINK ACK/NACK or PACKET CS RELEASE INDICATION message), the mobile station shall be ready to transmit in accordance with the requirements given in 3GPP TS 45.010.</w:t>
      </w:r>
    </w:p>
    <w:p w14:paraId="5E27F64B" w14:textId="77777777" w:rsidR="00711444" w:rsidRPr="004D0DAA" w:rsidRDefault="00711444" w:rsidP="00711444">
      <w:r w:rsidRPr="004D0DAA">
        <w:t>The mobile station shall transmit RLC/MAC blocks with the following priority:</w:t>
      </w:r>
    </w:p>
    <w:p w14:paraId="3E207A2E" w14:textId="77777777" w:rsidR="00711444" w:rsidRPr="004D0DAA" w:rsidRDefault="00711444" w:rsidP="00711444">
      <w:pPr>
        <w:pStyle w:val="B1"/>
      </w:pPr>
      <w:r w:rsidRPr="004D0DAA">
        <w:t>-</w:t>
      </w:r>
      <w:r w:rsidRPr="004D0DAA">
        <w:tab/>
        <w:t>RLC/MAC control blocks containing a PACKET CS REQUEST message;</w:t>
      </w:r>
    </w:p>
    <w:p w14:paraId="7EFC15DE" w14:textId="77777777" w:rsidR="00711444" w:rsidRPr="004D0DAA" w:rsidRDefault="00711444" w:rsidP="00711444">
      <w:pPr>
        <w:pStyle w:val="B1"/>
      </w:pPr>
      <w:r w:rsidRPr="004D0DAA">
        <w:t>-</w:t>
      </w:r>
      <w:r w:rsidRPr="004D0DAA">
        <w:tab/>
        <w:t>RLC/MAC control blocks containing a PACKET CELL CHANGE NOTIFICATION message;</w:t>
      </w:r>
    </w:p>
    <w:p w14:paraId="27DFD9B7" w14:textId="77777777" w:rsidR="00711444" w:rsidRPr="004D0DAA" w:rsidRDefault="00711444" w:rsidP="00711444">
      <w:pPr>
        <w:pStyle w:val="B1"/>
      </w:pPr>
      <w:r w:rsidRPr="004D0DAA">
        <w:t>-</w:t>
      </w:r>
      <w:r w:rsidRPr="004D0DAA">
        <w:tab/>
        <w:t xml:space="preserve">Other RLC/MAC control blocks, except </w:t>
      </w:r>
    </w:p>
    <w:p w14:paraId="51B002E4" w14:textId="77777777" w:rsidR="00711444" w:rsidRPr="004D0DAA" w:rsidRDefault="00711444" w:rsidP="00711444">
      <w:pPr>
        <w:pStyle w:val="B2"/>
      </w:pPr>
      <w:r w:rsidRPr="004D0DAA">
        <w:t>-</w:t>
      </w:r>
      <w:r w:rsidRPr="004D0DAA">
        <w:tab/>
        <w:t xml:space="preserve">Packet Uplink Dummy Control Blocks; and </w:t>
      </w:r>
    </w:p>
    <w:p w14:paraId="686BD49E" w14:textId="77777777" w:rsidR="00711444" w:rsidRPr="004D0DAA" w:rsidRDefault="00711444" w:rsidP="00711444">
      <w:pPr>
        <w:pStyle w:val="B2"/>
      </w:pPr>
      <w:r w:rsidRPr="004D0DAA">
        <w:t>-</w:t>
      </w:r>
      <w:r w:rsidRPr="004D0DAA">
        <w:tab/>
        <w:t>RLC/MAC control block containing an EGPRS PACKET DOWNLINK ACK/NACK or EGPRS PACKET DOWNLINK ACK/NACK TYPE 2 or EGPRS PACKET DOWNLINK ACK/NACK TYPE 3 or EGPRS PACKET DOWNLINK ACK/NACK DLMC message, when the mobile station is polled for a PAN (see sub-clause 10.4.4a);</w:t>
      </w:r>
    </w:p>
    <w:p w14:paraId="0BC8B1E7" w14:textId="77777777" w:rsidR="00711444" w:rsidRPr="004D0DAA" w:rsidRDefault="00711444" w:rsidP="00711444">
      <w:pPr>
        <w:pStyle w:val="B1"/>
      </w:pPr>
      <w:r w:rsidRPr="004D0DAA">
        <w:t>-</w:t>
      </w:r>
      <w:r w:rsidRPr="004D0DAA">
        <w:tab/>
        <w:t>RLC data blocks</w:t>
      </w:r>
      <w:r w:rsidRPr="004D0DAA">
        <w:rPr>
          <w:rFonts w:hint="eastAsia"/>
          <w:lang w:eastAsia="ko-KR"/>
        </w:rPr>
        <w:t xml:space="preserve"> (including a PAN field if required. See sub-clauses 8.1.2.2, 9.1.8.2.1 and 9.1.14.3.)</w:t>
      </w:r>
      <w:r w:rsidRPr="004D0DAA">
        <w:rPr>
          <w:lang w:eastAsia="ko-KR"/>
        </w:rPr>
        <w:t xml:space="preserve"> except </w:t>
      </w:r>
      <w:r w:rsidRPr="004D0DAA">
        <w:t>RLC data blocks including a PAN which is sent in response to a poll where all the element(s) of V(B) have the value TENTATIVE_ACK or ACKED;</w:t>
      </w:r>
    </w:p>
    <w:p w14:paraId="2D5DB21A" w14:textId="77777777" w:rsidR="00711444" w:rsidRPr="004D0DAA" w:rsidRDefault="00711444" w:rsidP="00711444">
      <w:pPr>
        <w:pStyle w:val="B1"/>
      </w:pPr>
      <w:r w:rsidRPr="004D0DAA">
        <w:t>-</w:t>
      </w:r>
      <w:r w:rsidRPr="004D0DAA">
        <w:tab/>
        <w:t xml:space="preserve">when the mobile station is polled for a PAN (see sub-clause 10.4.4a), RLC/MAC control block containing an EGPRS PACKET DOWNLINK ACK/NACK or EGPRS PACKET DOWNLINK ACK/NACK TYPE 2 or </w:t>
      </w:r>
      <w:r w:rsidRPr="004D0DAA">
        <w:lastRenderedPageBreak/>
        <w:t xml:space="preserve">EGPRS PACKET DOWNLINK ACK/NACK TYPE 3 or EGPRS PACKET DOWNLINK ACK/NACK DLMC message; </w:t>
      </w:r>
    </w:p>
    <w:p w14:paraId="7E865859" w14:textId="77777777" w:rsidR="00711444" w:rsidRPr="004D0DAA" w:rsidRDefault="00711444" w:rsidP="00711444">
      <w:pPr>
        <w:pStyle w:val="B1"/>
      </w:pPr>
      <w:r w:rsidRPr="004D0DAA">
        <w:t>-</w:t>
      </w:r>
      <w:r w:rsidRPr="004D0DAA">
        <w:tab/>
        <w:t>RLC data block including a PAN which is sent in response to a poll where all the elements of V(B) have the value TENTATIVE_ACK or ACKED;</w:t>
      </w:r>
    </w:p>
    <w:p w14:paraId="02F8446C" w14:textId="77777777" w:rsidR="00711444" w:rsidRPr="004D0DAA" w:rsidRDefault="00711444" w:rsidP="00711444">
      <w:pPr>
        <w:pStyle w:val="B1"/>
      </w:pPr>
      <w:r w:rsidRPr="004D0DAA">
        <w:t>-</w:t>
      </w:r>
      <w:r w:rsidRPr="004D0DAA">
        <w:tab/>
        <w:t>RLC/MAC control blocks containing Packet Uplink Dummy Control Blocks.</w:t>
      </w:r>
    </w:p>
    <w:p w14:paraId="0965A0E7" w14:textId="77777777" w:rsidR="00711444" w:rsidRPr="004D0DAA" w:rsidRDefault="00711444" w:rsidP="00711444">
      <w:pPr>
        <w:rPr>
          <w:lang w:val="en-US"/>
        </w:rPr>
      </w:pPr>
      <w:r w:rsidRPr="004D0DAA">
        <w:rPr>
          <w:lang w:val="en-US"/>
        </w:rPr>
        <w:t>A mobile station in EC operation shall only send RLC data blocks according to the fixed uplink allocation received in the assignment message or in the  EC PACKET UPLINK ACK/NACK</w:t>
      </w:r>
      <w:r w:rsidRPr="004D0DAA">
        <w:rPr>
          <w:caps/>
        </w:rPr>
        <w:t xml:space="preserve"> </w:t>
      </w:r>
      <w:r w:rsidRPr="004D0DAA">
        <w:t xml:space="preserve">or the </w:t>
      </w:r>
      <w:r w:rsidRPr="004D0DAA">
        <w:rPr>
          <w:lang w:val="en-US"/>
        </w:rPr>
        <w:t>EC PACKET UPLINK ACK/NACK</w:t>
      </w:r>
      <w:r w:rsidRPr="004D0DAA">
        <w:rPr>
          <w:caps/>
        </w:rPr>
        <w:t xml:space="preserve"> AND CONTENTION RESOLUTION</w:t>
      </w:r>
      <w:r w:rsidRPr="004D0DAA">
        <w:rPr>
          <w:lang w:val="en-US"/>
        </w:rPr>
        <w:t xml:space="preserve"> message. </w:t>
      </w:r>
    </w:p>
    <w:p w14:paraId="1ADA8435" w14:textId="77777777" w:rsidR="00711444" w:rsidRPr="004D0DAA" w:rsidRDefault="00711444" w:rsidP="00711444">
      <w:r w:rsidRPr="004D0DAA">
        <w:t>If an uplink TBF operating in MTTI configuration and operating in EGPRS RLC acknowledged mode is allocated RTTI and BTTI radio blocks whose transmissions start in the same TDMA frame, the mobile station shall determine which (if any) RLC data blocks to transmit on the RTTI resources according to the above rules and those in sub-clause 9.1.3.2.1 before determining which (if any) RLC data blocks to transmit on the BTTI resources, regardless of the relative numbering of the timeslots used for the RTTI and BTTI resources.</w:t>
      </w:r>
    </w:p>
    <w:p w14:paraId="4C0E97E5" w14:textId="77777777" w:rsidR="00711444" w:rsidRPr="004D0DAA" w:rsidRDefault="00711444" w:rsidP="00711444">
      <w:pPr>
        <w:pStyle w:val="NO"/>
      </w:pPr>
      <w:r w:rsidRPr="004D0DAA">
        <w:t>NOTE:</w:t>
      </w:r>
      <w:r w:rsidRPr="004D0DAA">
        <w:tab/>
        <w:t>Within the respective reaction times specified in 3GPP TS 45.010 at uplink assignment, change of coding scheme and completion of the contention resolution at one phase access, the mobile station may send RLC/MAC control blocks containing Packet Uplink Dummy Control Blocks, if there is no other block ready to be transmitted.</w:t>
      </w:r>
    </w:p>
    <w:p w14:paraId="66E6150D" w14:textId="77777777" w:rsidR="00711444" w:rsidRPr="004D0DAA" w:rsidRDefault="00711444" w:rsidP="00711444">
      <w:r w:rsidRPr="004D0DAA">
        <w:t xml:space="preserve">In </w:t>
      </w:r>
      <w:r w:rsidRPr="004D0DAA">
        <w:rPr>
          <w:i/>
          <w:iCs/>
        </w:rPr>
        <w:t>A/Gb mode</w:t>
      </w:r>
      <w:r w:rsidRPr="004D0DAA">
        <w:t>, during the TBF, if the countdown procedure has not started or the TBF is operated in the extended uplink TBF mode (see sub-clause 9.3.1b) and multiple TBF procedures are not supported (i.e. the mobile station or the network does not support multiple TBF procedures) the mobile station shall ask for new or different radio resources, by sending a PACKET RESOURCE REQUEST message (sub-clauses 8.1.1.1.2), in the following cases;</w:t>
      </w:r>
    </w:p>
    <w:p w14:paraId="23C2889D" w14:textId="77777777" w:rsidR="00711444" w:rsidRPr="004D0DAA" w:rsidRDefault="00711444" w:rsidP="00711444">
      <w:pPr>
        <w:pStyle w:val="B1"/>
      </w:pPr>
      <w:r w:rsidRPr="004D0DAA">
        <w:t>-</w:t>
      </w:r>
      <w:r w:rsidRPr="004D0DAA">
        <w:tab/>
        <w:t>When the mobile station has indicated Page Response, Cell update or Mobility Management procedure as access type in the PACKET CHANNEL REQUEST message and it has data to send;</w:t>
      </w:r>
    </w:p>
    <w:p w14:paraId="78FFB04B" w14:textId="77777777" w:rsidR="00711444" w:rsidRPr="004D0DAA" w:rsidRDefault="00711444" w:rsidP="00711444">
      <w:pPr>
        <w:pStyle w:val="B1"/>
      </w:pPr>
      <w:r w:rsidRPr="004D0DAA">
        <w:t>-</w:t>
      </w:r>
      <w:r w:rsidRPr="004D0DAA">
        <w:tab/>
        <w:t>When the mobile station has data to send with a lower priority than indicated in the PACKET CHANNEL REQUEST or EGPRS PACKET CHANNEL REQUEST message;</w:t>
      </w:r>
    </w:p>
    <w:p w14:paraId="041B3578" w14:textId="77777777" w:rsidR="00711444" w:rsidRPr="004D0DAA" w:rsidRDefault="00711444" w:rsidP="00711444">
      <w:pPr>
        <w:pStyle w:val="B1"/>
      </w:pPr>
      <w:r w:rsidRPr="004D0DAA">
        <w:t>-</w:t>
      </w:r>
      <w:r w:rsidRPr="004D0DAA">
        <w:tab/>
        <w:t>When the mobile station has indicated 'Signalling' as access type in the EGPRS PACKET CHANNEL REQUEST message and it has data to send.</w:t>
      </w:r>
    </w:p>
    <w:p w14:paraId="22DEF8C3" w14:textId="77777777" w:rsidR="00711444" w:rsidRPr="004D0DAA" w:rsidRDefault="00711444" w:rsidP="00711444">
      <w:pPr>
        <w:rPr>
          <w:lang w:val="en-US"/>
        </w:rPr>
      </w:pPr>
      <w:r w:rsidRPr="004D0DAA">
        <w:t xml:space="preserve">An exception is the case of a mobile station using an EC TBF where </w:t>
      </w:r>
      <w:r w:rsidRPr="004D0DAA">
        <w:rPr>
          <w:lang w:val="en-US"/>
        </w:rPr>
        <w:t>PACKET RESOURCE REQUEST is not supported</w:t>
      </w:r>
      <w:r w:rsidRPr="004D0DAA">
        <w:t>.</w:t>
      </w:r>
    </w:p>
    <w:p w14:paraId="5EFA2535" w14:textId="77777777" w:rsidR="00711444" w:rsidRPr="004D0DAA" w:rsidRDefault="00711444" w:rsidP="00711444">
      <w:pPr>
        <w:rPr>
          <w:rFonts w:hint="eastAsia"/>
          <w:lang w:eastAsia="ko-KR"/>
        </w:rPr>
      </w:pPr>
      <w:r w:rsidRPr="004D0DAA">
        <w:t>In A/Gb mode or Iu mode, a mobile station that supports multiple TBF procedures shall send a PACKET RESOURCE REQUEST message to a network supporting multiple TBF procedures (see sub-clause 8.1.1.1.2), if it has data to send for one or more PFCs (A/Gb mode) or RBs (Iu mode) for which no uplink TBFs are established.</w:t>
      </w:r>
    </w:p>
    <w:p w14:paraId="3D725053" w14:textId="77777777" w:rsidR="00711444" w:rsidRPr="004D0DAA" w:rsidRDefault="00711444" w:rsidP="00711444">
      <w:pPr>
        <w:pStyle w:val="Heading4"/>
      </w:pPr>
      <w:bookmarkStart w:id="237" w:name="_Toc516669425"/>
      <w:r w:rsidRPr="004D0DAA">
        <w:lastRenderedPageBreak/>
        <w:t>8.1.1.1</w:t>
      </w:r>
      <w:r w:rsidRPr="004D0DAA">
        <w:tab/>
        <w:t>Dynamic allocation uplink RLC data block transfer</w:t>
      </w:r>
      <w:bookmarkEnd w:id="237"/>
    </w:p>
    <w:p w14:paraId="65805378" w14:textId="77777777" w:rsidR="00711444" w:rsidRPr="004D0DAA" w:rsidRDefault="00711444" w:rsidP="00711444">
      <w:pPr>
        <w:keepNext/>
        <w:keepLines/>
      </w:pPr>
      <w:r w:rsidRPr="004D0DAA">
        <w:t>This sub-clause specifies mobile station behaviour for dynamic allocation uplink RLC data block transfer while in packet transfer mode, MAC-Shared State, dual transfer mode or MAC-DTM state.</w:t>
      </w:r>
    </w:p>
    <w:p w14:paraId="070F2233" w14:textId="77777777" w:rsidR="00711444" w:rsidRPr="004D0DAA" w:rsidRDefault="00711444" w:rsidP="00711444">
      <w:pPr>
        <w:keepNext/>
        <w:keepLines/>
      </w:pPr>
      <w:r w:rsidRPr="004D0DAA">
        <w:t>When the mobile station receives an uplink assignment (e.g. PACKET UPLINK ASSIGNMENT, MULTIPLE TBF UPLINK ASSIGNMENT, PACKET TIMESLOT RECONFIGURE, MULTIPLE TBF TIMESLOT RECONFIGURE or PACKET CS RELEASE INDICATION message) that does not contain a TBF starting time, if the uplink TBF is assigned in BTTI configuration the mobile station shall begin monitoring the downlink PDCHs corresponding to (i.e. with the same timeslot number as) the assigned uplink PDCHs for the assigned USF value for each assigned uplink PDCH within the reaction time defined in 3GPP TS 45.010. Alternatively, if the uplink TBF is assigned in RTTI configuration, the mobile station shall begin monitoring the downlink PDCH-pairs corresponding to the assigned uplink PDCH-pairs for the assigned USF value within the reaction time defined in 3GPP TS 45.010. If a TBF starting time information element is present and no uplink TBFs are in progress, but one or more downlink TBFs are in progress, the mobile station shall wait until the starting time before beginning to monitor the USFs and using the newly assigned uplink TBF parameters. While waiting for the starting time, the mobile station shall monitor the assigned downlink PDCHs. If a TBF starting time information element is present and one or more uplink TBFs are already in progress, the mobile station shall continue to use the assigned parameters of the ongoing uplink TBFs until the TDMA frame number indicated by the TBF starting time occurs, at which time the mobile station shall immediately begin to use the newly assigned uplink TBF parameters. The mobile station shall continue to use the newly assigned parameters of each uplink TBF until the TBF is either released or reconfigured. If while waiting for the frame number indicated by the TBF starting time the mobile station receives another uplink assignment, the mobile station shall act upon the most recently received uplink assignment and shall ignore the previous uplink assignment.</w:t>
      </w:r>
    </w:p>
    <w:p w14:paraId="6A9FBED0" w14:textId="77777777" w:rsidR="00711444" w:rsidRPr="004D0DAA" w:rsidRDefault="00711444" w:rsidP="00711444">
      <w:pPr>
        <w:keepNext/>
        <w:keepLines/>
      </w:pPr>
      <w:r w:rsidRPr="004D0DAA">
        <w:t xml:space="preserve">If a mobile station has requested multiple uplink TBFs in a PACKET RESOURCE REQUEST message, the network may allocate resources for these TBFs by sending one or more uplink assignment messages in response (see sub-clause 8.1.1.1.2). The mobile station shall act upon each successive uplink assignment message as it is received. </w:t>
      </w:r>
    </w:p>
    <w:p w14:paraId="0D682BEC" w14:textId="77777777" w:rsidR="00711444" w:rsidRPr="004D0DAA" w:rsidRDefault="00711444" w:rsidP="00711444">
      <w:pPr>
        <w:keepNext/>
        <w:keepLines/>
      </w:pPr>
      <w:r w:rsidRPr="004D0DAA">
        <w:t xml:space="preserve">A mobile station that has a TBF operating in BTTI configuration shall monitor all the downlink PDCHs corresponding to the assigned uplink PDCHs except if the mobile station is in DTR mode (see sub-clause 8.1.8). When operating </w:t>
      </w:r>
      <w:r w:rsidRPr="004D0DAA">
        <w:rPr>
          <w:rFonts w:hint="eastAsia"/>
          <w:lang w:eastAsia="ko-KR"/>
        </w:rPr>
        <w:t xml:space="preserve">a TBF </w:t>
      </w:r>
      <w:r w:rsidRPr="004D0DAA">
        <w:t>in RTTI configuration, the mobile station shall monitor the corresponding downlink PDCH-pairs associated with the assigned uplink PDCH-pairs that can be monitored according to the number of allocated uplink PDCH-pairs and its multislot capabilities except if the mobile station is in DTR mode (see sub-clause 8.1.8).</w:t>
      </w:r>
    </w:p>
    <w:p w14:paraId="7069C7F6" w14:textId="77777777" w:rsidR="00711444" w:rsidRPr="004D0DAA" w:rsidRDefault="00711444" w:rsidP="00711444">
      <w:r w:rsidRPr="004D0DAA">
        <w:t>Whenever the mobile station detects an assigned USF value on a monitored downlink PDCH or PDCH-pair, the mobile station shall transmit either a single RLC/MAC block or a sequence of four RLC/MAC blocks on the same PDCH or corresponding PDCH-pair for that TBF except if that TBF is running in extended uplink TBF mode, in which case the mobile station may transmit RLC/MAC block(s) for other TBFs assigned on the same PDCH or corresponding PDCH-pair (see sub-clause 9.3.1b.2). The time relation between an uplink block, which the mobile station shall use for transmission, and the occurrence of the USF value is defined in 3GPP TS 45.002. The number of RLC/MAC blocks to transmit is controlled by the USF_GRANULARITY parameter characterising the uplink TBF.</w:t>
      </w:r>
    </w:p>
    <w:p w14:paraId="2529104B" w14:textId="77777777" w:rsidR="00711444" w:rsidRPr="004D0DAA" w:rsidRDefault="00711444" w:rsidP="00711444">
      <w:r w:rsidRPr="004D0DAA">
        <w:t xml:space="preserve">For a mobile station with an uplink TBF for which EFTA is used transmissions shall be performed on the uplink PDCHs or PDCH-pairs allocated by the USF as specified in Annex N. In case the mobile station also has one or more concurrent downlink TBF(s), but does not have enough RLC/MAC blocks ready for transmission to fully utilize the total number of allocated resources for uplink radio block transmission during the corresponding radio block period(s), then it shall immediately begin monitoring its assigned downlink PDCHs or PDCH-pairs after transmitting its last available RLC/MAC block taking into account the switching requirements of its multislot class (see 3GPP TS 45.002). </w:t>
      </w:r>
    </w:p>
    <w:p w14:paraId="3362E4B0" w14:textId="77777777" w:rsidR="00711444" w:rsidRPr="004D0DAA" w:rsidRDefault="00711444" w:rsidP="00711444">
      <w:r w:rsidRPr="004D0DAA">
        <w:t>An uplink TBF operating in RTTI configuration may receive the assigned USFs either in RTTI USF mode or BTTI USF mode. The USF mode is indicated during the assignment of the corresponding uplink TBF.</w:t>
      </w:r>
    </w:p>
    <w:p w14:paraId="73EC0CCD" w14:textId="77777777" w:rsidR="00711444" w:rsidRPr="004D0DAA" w:rsidRDefault="00711444" w:rsidP="00711444">
      <w:r w:rsidRPr="004D0DAA">
        <w:t>For an uplink TBF in RTTI configuration that receives the USFs in BTTI USF mode:</w:t>
      </w:r>
    </w:p>
    <w:p w14:paraId="41B3FEA5" w14:textId="77777777" w:rsidR="00711444" w:rsidRPr="004D0DAA" w:rsidRDefault="00711444" w:rsidP="00711444">
      <w:pPr>
        <w:pStyle w:val="B2"/>
      </w:pPr>
      <w:r w:rsidRPr="004D0DAA">
        <w:t>-</w:t>
      </w:r>
      <w:r w:rsidRPr="004D0DAA">
        <w:tab/>
        <w:t>An assigned USF received on the first PDCH of a monitored downlink PDCH-pair allocates resources for one or four uplink RTTI radio blocks in the first two TDMA frames of the following basic radio block period(s) on the corresponding uplink PDCH-pair, depending on the value of USF_GRANULARITY.</w:t>
      </w:r>
    </w:p>
    <w:p w14:paraId="313CE89E" w14:textId="77777777" w:rsidR="00711444" w:rsidRPr="004D0DAA" w:rsidRDefault="00711444" w:rsidP="00711444">
      <w:pPr>
        <w:pStyle w:val="B2"/>
      </w:pPr>
      <w:r w:rsidRPr="004D0DAA">
        <w:t xml:space="preserve"> -</w:t>
      </w:r>
      <w:r w:rsidRPr="004D0DAA">
        <w:tab/>
        <w:t>An assigned USF received on the second PDCH of a monitored downlink PDCH-pair allocates resources for one or four uplink RTTI radio blocks in the second two TDMA frames of the following basic radio block period(s) on the corresponding uplink PDCH-pair, depending on the value of USF_GRANULARITY.</w:t>
      </w:r>
    </w:p>
    <w:p w14:paraId="08B4C5BA" w14:textId="77777777" w:rsidR="00711444" w:rsidRPr="004D0DAA" w:rsidRDefault="00711444" w:rsidP="00711444">
      <w:r w:rsidRPr="004D0DAA">
        <w:t>For an uplink TBF in RTTI configuration that receives the USFs in RTTI USF mode:</w:t>
      </w:r>
    </w:p>
    <w:p w14:paraId="1A121942" w14:textId="77777777" w:rsidR="00711444" w:rsidRPr="004D0DAA" w:rsidRDefault="00711444" w:rsidP="00711444">
      <w:pPr>
        <w:pStyle w:val="B2"/>
      </w:pPr>
      <w:r w:rsidRPr="004D0DAA">
        <w:lastRenderedPageBreak/>
        <w:t>-</w:t>
      </w:r>
      <w:r w:rsidRPr="004D0DAA">
        <w:tab/>
        <w:t>An assigned USF received on a monitored downlink PDCH-pair in the first reduced radio block period of a given basic radio block period allocates resources for one or four uplink RTTI radio blocks in the second reduced radio block period starting in the same basic radio block period and continuing with the second reduced radio block period in the following basic radio block periods on the corresponding uplink PDCH-pair, depending on the value of USF_GRANULARITY.</w:t>
      </w:r>
    </w:p>
    <w:p w14:paraId="435FC4A7" w14:textId="77777777" w:rsidR="00711444" w:rsidRPr="004D0DAA" w:rsidRDefault="00711444" w:rsidP="00711444">
      <w:pPr>
        <w:pStyle w:val="B2"/>
      </w:pPr>
      <w:r w:rsidRPr="004D0DAA">
        <w:t xml:space="preserve"> -</w:t>
      </w:r>
      <w:r w:rsidRPr="004D0DAA">
        <w:tab/>
        <w:t>An assigned USF received on a monitored downlink PDCH-pair in the second reduced radio block period of a given basic radio block period allocates resources for one or four uplink RTTI radio blocks in the first reduced radio block period starting in the next basic radio block period and continuing with the first reduced radio block period in the following basic radio block periods on the corresponding uplink PDCH-pair, depending on the value of USF_GRANULARITY.</w:t>
      </w:r>
    </w:p>
    <w:p w14:paraId="4C08260A" w14:textId="77777777" w:rsidR="00711444" w:rsidRPr="004D0DAA" w:rsidRDefault="00711444" w:rsidP="00711444">
      <w:r w:rsidRPr="004D0DAA">
        <w:t>The time relation between the uplink radio block(s) which the mobile station shall use for transmission and the occurrence of the USF value is further defined in 3GPP TS 45.002</w:t>
      </w:r>
    </w:p>
    <w:p w14:paraId="6FA832A2" w14:textId="77777777" w:rsidR="00711444" w:rsidRPr="004D0DAA" w:rsidRDefault="00711444" w:rsidP="00711444">
      <w:r w:rsidRPr="004D0DAA">
        <w:t>In a Downlink Dual Carrier configuration, one or more PDCHs are assigned to a single mobile station on each of two different radio frequency channels. In a DLMC configuration, one or more PDCHs are assigned to a single mobile station on one or more of the uplink radio frequency channels that correspond to the downlink radio frequency channels assigned for the DLMC configuration. A mobile station with a Downlink Dual Carrier configuration or a DLMC configuration shall not be allocated radio blocks on more than one radio frequency channel during any given radio block period.</w:t>
      </w:r>
    </w:p>
    <w:p w14:paraId="22AB6B5D" w14:textId="77777777" w:rsidR="00711444" w:rsidRPr="004D0DAA" w:rsidRDefault="00711444" w:rsidP="00711444">
      <w:pPr>
        <w:tabs>
          <w:tab w:val="left" w:pos="2127"/>
        </w:tabs>
        <w:rPr>
          <w:i/>
        </w:rPr>
      </w:pPr>
      <w:r w:rsidRPr="004D0DAA">
        <w:t>When the mobile station transmits an RLC/MAC block to the network, it shall start timer T3180 for the uplink TBF on which the block was sent. When the mobile station detects an assigned USF value on a downlink PDCH corresponding to an assigned uplink PDCH for that TBF, the mobile station shall restart timer T3180. If any given timer T3180 expires, the mobile station shall perform an abnormal release with access retry (see sub-clause 8.7.2 (</w:t>
      </w:r>
      <w:r w:rsidRPr="004D0DAA">
        <w:rPr>
          <w:i/>
        </w:rPr>
        <w:t>A/Gb mode</w:t>
      </w:r>
      <w:r w:rsidRPr="004D0DAA">
        <w:t>)).</w:t>
      </w:r>
    </w:p>
    <w:p w14:paraId="254281AA" w14:textId="77777777" w:rsidR="00711444" w:rsidRPr="004D0DAA" w:rsidRDefault="00711444" w:rsidP="00711444">
      <w:r w:rsidRPr="004D0DAA">
        <w:t>Whenever the network receives a valid RLC/MAC block for any given TBF, it shall reset counter N3101 for that TBF. The network shall increment counter N3101 for each radio block, allocated to that TBF, for which no data is received. If N3101 = N3101max, the network shall stop the scheduling of RLC/MAC blocks for that TBF and start timer T3169. When T3169 expires, the network may reuse the USF and TFI(s) assigned to that TBF. If PS Handover is ongoing it is optional for the network to increment N3101.</w:t>
      </w:r>
    </w:p>
    <w:p w14:paraId="0375170D" w14:textId="77777777" w:rsidR="00711444" w:rsidRPr="004D0DAA" w:rsidRDefault="00711444" w:rsidP="00711444">
      <w:pPr>
        <w:pStyle w:val="Heading5"/>
      </w:pPr>
      <w:bookmarkStart w:id="238" w:name="_Toc516669426"/>
      <w:r w:rsidRPr="004D0DAA">
        <w:t>8.1.1.1.1</w:t>
      </w:r>
      <w:r w:rsidRPr="004D0DAA">
        <w:tab/>
        <w:t>PACCH operation</w:t>
      </w:r>
      <w:bookmarkEnd w:id="238"/>
    </w:p>
    <w:p w14:paraId="3E01FB5B" w14:textId="77777777" w:rsidR="00711444" w:rsidRPr="004D0DAA" w:rsidRDefault="00711444" w:rsidP="00711444">
      <w:r w:rsidRPr="004D0DAA">
        <w:t>The mobile station shall attempt to decode every downlink RLC/MAC block on all the downlink PDCHs corresponding to (i.e. with the same timeslot number as) the assigned uplink PDCHs when the uplink TBF operates in BTTI configuration except if the mobile station is in DTR mode (see sub-clause 8.1.8).</w:t>
      </w:r>
    </w:p>
    <w:p w14:paraId="6D149D49" w14:textId="77777777" w:rsidR="00711444" w:rsidRPr="004D0DAA" w:rsidRDefault="00711444" w:rsidP="00711444">
      <w:r w:rsidRPr="004D0DAA">
        <w:t xml:space="preserve">In case the uplink TBF operates in RTTI configuration the mobile station shall attempt to decode every downlink RLC/MAC block on the corresponding downlink PDCH-pairs being monitored (see subclause 8.1.1.1) except if the mobile station is in DTR mode (see sub-clause 8.1.8). </w:t>
      </w:r>
    </w:p>
    <w:p w14:paraId="4AE2E172" w14:textId="77777777" w:rsidR="00711444" w:rsidRPr="004D0DAA" w:rsidRDefault="00711444" w:rsidP="00711444">
      <w:r w:rsidRPr="004D0DAA">
        <w:t>Downlink PACCH blocks shall be received in the same TTI configuration as the assigned uplink TBF.</w:t>
      </w:r>
    </w:p>
    <w:p w14:paraId="7CEFA9DA" w14:textId="77777777" w:rsidR="00711444" w:rsidRPr="004D0DAA" w:rsidRDefault="00711444" w:rsidP="00711444">
      <w:r w:rsidRPr="004D0DAA">
        <w:t>Whenever the mobile station receives an RLC/MAC block containing an RLC/MAC control block, the mobile station shall attempt to interpret the message contained therein. If the message addresses the mobile station, the mobile station shall act on the message.</w:t>
      </w:r>
    </w:p>
    <w:p w14:paraId="11540F6D" w14:textId="77777777" w:rsidR="00711444" w:rsidRPr="004D0DAA" w:rsidRDefault="00711444" w:rsidP="00711444">
      <w:r w:rsidRPr="004D0DAA">
        <w:t>Whenever a mobile station, that has an assigned uplink TBF operating in BTTI configuration, detects an assigned USF value on any downlink PDCH corresponding to an assigned uplink PDCH, the mobile station may transmit a PACCH block on the same PDCH in the next block period (see 3GPP TS 45.002). Whenever a mobile station, that has an assigned uplink TBF operating in RTTI configuration, detects an assigned USF value on any corresponding downlink PDCH-pair associated with an assigned uplink PDCH-pair, the mobile station may transmit a PACCH block on the PDCH-pair. The PACCH block shall be transmitted according to the USF scheduling in sub-clause 8.1.1.1. The mobile station shall not transmit an RLC data block in any uplink radio block allocated via the polling mechanism (see sub- clauses 10.4.4, 10.4.4a, 10.4.4b) unless the uplink TBF operates in either RTTI configuration, or in BTTI configuration with FANR activated, and the mobile station is polled for a Piggy-backed Ack/Nack (see sub-clause 10.4.4b).</w:t>
      </w:r>
    </w:p>
    <w:p w14:paraId="60E08C8E" w14:textId="77777777" w:rsidR="00711444" w:rsidRPr="004D0DAA" w:rsidRDefault="00711444" w:rsidP="00711444">
      <w:r w:rsidRPr="004D0DAA">
        <w:t>In the case of a Downlink Dual Carrier configuration or a DLMC configuration, all segments belonging to each RLC/MAC control message shall be sent on PACCH blocks belonging to the same carrier.</w:t>
      </w:r>
    </w:p>
    <w:p w14:paraId="217D1A20" w14:textId="77777777" w:rsidR="00711444" w:rsidRPr="004D0DAA" w:rsidRDefault="00711444" w:rsidP="00711444">
      <w:r w:rsidRPr="004D0DAA">
        <w:t xml:space="preserve">When a mobile station in a DLMC configuration supporting more than 20 downlink timeslots sends an EGPRS Packet Downlink Ack/Nack DLMC message (see sub-clause 11.2.48) it shall be coded using CS-1 or CS-3 as indicated by the </w:t>
      </w:r>
      <w:r w:rsidRPr="004D0DAA">
        <w:lastRenderedPageBreak/>
        <w:t>most recently received assignment message. Otherwise, if it supports 20 or less downlink timeslots, EGPRS Packet Downlink Ack/Nack DLMC messages shall be coded using CS-1.</w:t>
      </w:r>
    </w:p>
    <w:p w14:paraId="575FFEBD" w14:textId="77777777" w:rsidR="00711444" w:rsidRPr="004D0DAA" w:rsidRDefault="00711444" w:rsidP="00711444">
      <w:pPr>
        <w:pStyle w:val="Heading5"/>
      </w:pPr>
      <w:bookmarkStart w:id="239" w:name="_Toc516669427"/>
      <w:r w:rsidRPr="004D0DAA">
        <w:t>8.1.1.1.2</w:t>
      </w:r>
      <w:r w:rsidRPr="004D0DAA">
        <w:tab/>
        <w:t>Resource Reallocation for Uplink</w:t>
      </w:r>
      <w:bookmarkEnd w:id="239"/>
    </w:p>
    <w:p w14:paraId="18BC6C95" w14:textId="77777777" w:rsidR="00711444" w:rsidRPr="004D0DAA" w:rsidRDefault="00711444" w:rsidP="00711444">
      <w:r w:rsidRPr="004D0DAA">
        <w:t>The mobile station and the network are not allowed to change the RLC mode nor TBF mode of an already established TBF during resource reallocation. Change of RLC mode or TBF mode shall be achieved through release of on-going TBF and establishment of a new TBF with the newly requested RLC mode or TBF mode. If a new mode is assigned by the network for an already established TBF, the MS shall ignore the new assigned mode and shall maintain the TBF in the old mode.</w:t>
      </w:r>
    </w:p>
    <w:p w14:paraId="0F9E5464" w14:textId="77777777" w:rsidR="00711444" w:rsidRPr="004D0DAA" w:rsidRDefault="00711444" w:rsidP="00711444">
      <w:r w:rsidRPr="004D0DAA">
        <w:t xml:space="preserve">During an uplink packet transfer, upper layers may request to transfer another upper layer PDU with a different PFI, a different Radio Priority, a different peak throughput class or a different RLC mode than the one which is in transfer. An upper layer PDU containing signalling shall be treated as having the highest Radio Priority, an implementation specific peak throughput class and the acknowledged RLC mode shall be requested. </w:t>
      </w:r>
    </w:p>
    <w:p w14:paraId="48184603" w14:textId="77777777" w:rsidR="00711444" w:rsidRPr="004D0DAA" w:rsidRDefault="00711444" w:rsidP="00711444">
      <w:r w:rsidRPr="004D0DAA">
        <w:t>If the mobile station or the network does not support multiple TBF procedures the following procedures apply unless resource reallocation is not needed when EMSR is enabled (see sub-clause 5.12):</w:t>
      </w:r>
    </w:p>
    <w:p w14:paraId="6642B814" w14:textId="77777777" w:rsidR="00711444" w:rsidRPr="004D0DAA" w:rsidRDefault="00711444" w:rsidP="00711444">
      <w:pPr>
        <w:pStyle w:val="B1"/>
      </w:pPr>
      <w:r w:rsidRPr="004D0DAA">
        <w:t>-</w:t>
      </w:r>
      <w:r w:rsidRPr="004D0DAA">
        <w:tab/>
        <w:t>If the mobile station has not started the countdown procedure or the TBF is operated in the extended uplink TBF mode (see sub-clause 9.3.1b) and the new upper layer PDU has the same RLC mode as the current uplink TBF, or in case EMST is used, the new upper layer PDU has the same RLC mode as any of the RLC entities allocated on the ongoing uplink TBF, and either a higher radio priority or the same radio priority but a higher peak throughput class, the mobile station shall immediately request a resource reallocation for uplink according to the new Radio Priority and peak throughput class of the new upper layer PDU by sending a PACKET RESOURCE REQUEST message on the PACCH and starting timer T3168 for the uplink TBF requested in the PACKET RESOURCE REQUEST message. Then the mobile station shall complete the transmission of the current upper layer PDU;</w:t>
      </w:r>
    </w:p>
    <w:p w14:paraId="289CD30D" w14:textId="77777777" w:rsidR="00711444" w:rsidRPr="004D0DAA" w:rsidRDefault="00711444" w:rsidP="00711444">
      <w:pPr>
        <w:pStyle w:val="B1"/>
      </w:pPr>
      <w:r w:rsidRPr="004D0DAA">
        <w:t>-</w:t>
      </w:r>
      <w:r w:rsidRPr="004D0DAA">
        <w:tab/>
        <w:t xml:space="preserve">If the new upper layer PDU has the same RLC mode as the current uplink TBF, or in case EMST is used, the new upper layer PDU has the same RLC mode as any of the RLC entities allocated to the ongoing uplink TBF, and either a lower Radio Priority or the same radio priority but a lower peak throughput class, the mobile station shall first complete the sending of the upper layer PDU in transfer. When the sending of upper layer PDUs at the higher Radio Priority or the same radio priority but higher peak throughput class stops, without waiting for the acknowledgement from the network if in RLC acknowledged mode, the mobile station shall then perform the request of a resource reallocation for uplink for any remaining upper layer PDU(s) by sending a PACKET RESOURCE REQUEST message on the PACCH and start timer T3168 for the uplink TBF requested in the PACKET RESOURCE REQUEST message. However if the upper layer PDUs at the higher Radio Priority does not completely fill the RLC data block the MS shall fill this RLC data block with payload from the new upper layer PDUs and then either transmit first the PACKET RESOURCE REQUEST message and subsequently the RLC data block or vice versa. </w:t>
      </w:r>
    </w:p>
    <w:p w14:paraId="23594FE6" w14:textId="77777777" w:rsidR="00711444" w:rsidRPr="004D0DAA" w:rsidRDefault="00711444" w:rsidP="00711444">
      <w:pPr>
        <w:pStyle w:val="B1"/>
      </w:pPr>
      <w:r w:rsidRPr="004D0DAA">
        <w:t>-</w:t>
      </w:r>
      <w:r w:rsidRPr="004D0DAA">
        <w:tab/>
        <w:t>If the mobile station or the network does not support EMST, and if the new upper layer PDU does not have the same RLC mode as the current uplink TBF but has a higher radio priority, the mobile station shall complete the transmission of the current upper layer PDU using the countdown procedure including acknowledgement from the network, if in RLC acknowledged mode. If the TBF is operated in non-extended uplink TBF mode, the mobile station shall then release the TBF and establish a new uplink TBF for transmission of the new upper layer PDU. If the TBF is operated in extended uplink TBF mode (see sub-clause 9.3.1b), the mobile station shall use the procedure in sub-clause 8.1.1.6 for changing the RLC mode. When the sending of upper layer PDUs with a higher radio priority is completed using the countdown procedure, including acknowledgement from the network if in RLC acknowledged mode, the mobile station shall try to establish an uplink TBF for the transmission of any remaining upper layer PDU(s);</w:t>
      </w:r>
    </w:p>
    <w:p w14:paraId="345AEA8B" w14:textId="77777777" w:rsidR="00711444" w:rsidRPr="004D0DAA" w:rsidRDefault="00711444" w:rsidP="00711444">
      <w:pPr>
        <w:pStyle w:val="B1"/>
      </w:pPr>
      <w:r w:rsidRPr="004D0DAA">
        <w:t>-</w:t>
      </w:r>
      <w:r w:rsidRPr="004D0DAA">
        <w:tab/>
        <w:t xml:space="preserve">If both the mobile station and the network support EMST, the TBF is operated in extended uplink TBF mode, and the new upper layer PDU does not have the same RLC mode as any of the RLC entities allocated to the ongoing uplink TBF, the mobile station shall immediately request a resource reallocation for uplink according to the Radio Priority and peak throughput class of the new upper layer PDU by sending a PACKET RESOURCE REQUEST message on the PACCH and starting timer T3168 for the uplink TBF requested in the PACKET RESOURCE REQUEST message. Then the mobile station shall continue the transmission of the current upper layer PDU; </w:t>
      </w:r>
    </w:p>
    <w:p w14:paraId="1EE4B4FC" w14:textId="77777777" w:rsidR="00711444" w:rsidRPr="004D0DAA" w:rsidRDefault="00711444" w:rsidP="00711444">
      <w:pPr>
        <w:pStyle w:val="B1"/>
      </w:pPr>
      <w:r w:rsidRPr="004D0DAA">
        <w:t>-</w:t>
      </w:r>
      <w:r w:rsidRPr="004D0DAA">
        <w:tab/>
        <w:t xml:space="preserve">If the mobile station has not started the countdown procedure or the TBF is operated in the extended uplink TBF mode (see sub-clause 9.3.1b) and the new upper layer PDU does not have the same PFI but has the same radio </w:t>
      </w:r>
      <w:r w:rsidRPr="004D0DAA">
        <w:lastRenderedPageBreak/>
        <w:t>priority and the same peak throughput class as the current uplink TBF, or if EMST is used, as one of  the current RLC entities, the mobile station shall immediately request a resource reallocation for uplink with the new PFI by sending a PACKET RESOURCE REQUEST message on the PACCH and starting timer T3168 for the uplink TBF requested in the PACKET RESOURCE REQUEST message. Then the mobile station shall complete the transmission of the current upper layer PDU.</w:t>
      </w:r>
    </w:p>
    <w:p w14:paraId="46FFDCE5" w14:textId="77777777" w:rsidR="00711444" w:rsidRPr="004D0DAA" w:rsidRDefault="00711444" w:rsidP="00711444">
      <w:r w:rsidRPr="004D0DAA">
        <w:t>If both the mobile station and the network support multiple TBF procedures the following procedures apply:</w:t>
      </w:r>
    </w:p>
    <w:p w14:paraId="60CA239E" w14:textId="77777777" w:rsidR="00711444" w:rsidRPr="004D0DAA" w:rsidRDefault="00711444" w:rsidP="00711444">
      <w:pPr>
        <w:pStyle w:val="B1"/>
      </w:pPr>
      <w:r w:rsidRPr="004D0DAA">
        <w:t>-</w:t>
      </w:r>
      <w:r w:rsidRPr="004D0DAA">
        <w:tab/>
        <w:t>The mobile station shall initiate a request for one or more new uplink TBFs when it has upper layer PDUs associated with one or more PFIs for which there are no ongoing uplink TBFs. In this case it sends a PACKET RESOURCE REQUEST message on the PACCH and starts an instance of timer T3168 for each uplink TBF requested;</w:t>
      </w:r>
    </w:p>
    <w:p w14:paraId="45C549DA" w14:textId="77777777" w:rsidR="00711444" w:rsidRPr="004D0DAA" w:rsidRDefault="00711444" w:rsidP="00711444">
      <w:pPr>
        <w:pStyle w:val="B1"/>
      </w:pPr>
      <w:r w:rsidRPr="004D0DAA">
        <w:t>-</w:t>
      </w:r>
      <w:r w:rsidRPr="004D0DAA">
        <w:tab/>
        <w:t>All ongoing uplink TBFs shall continue to operate using their currently allocated resources.</w:t>
      </w:r>
    </w:p>
    <w:p w14:paraId="3CAF07C9" w14:textId="77777777" w:rsidR="00711444" w:rsidRPr="004D0DAA" w:rsidRDefault="00711444" w:rsidP="00711444">
      <w:r w:rsidRPr="004D0DAA">
        <w:t>If both the network and the mobile station support the extended uplink TBF mode, the request from upper layers may indicate that the new upper-layer PDU is meant to pre-allocate an uplink TBF (early TBF establishment). In this case, the EARLY_TBF_ESTABLISHMENT field in the PACKET RESOURCE REQUEST message shall indicate pre-allocation is required.</w:t>
      </w:r>
    </w:p>
    <w:p w14:paraId="21CA90D3" w14:textId="77777777" w:rsidR="00711444" w:rsidRPr="004D0DAA" w:rsidRDefault="00711444" w:rsidP="00711444">
      <w:r w:rsidRPr="004D0DAA">
        <w:t>On receipt of the PACKET RESOURCE REQUEST message the network shall respond by sending either an uplink assignment message (e.g. PACKET UPLINK ASSIGNMENT, MULTIPLE TBF UPLINK ASSIGNMENT, PACKET TIMESLOT RECONFIGURE or MULTIPLE TBF TIMESLOT RECONFIGURE) or a PACKET ACCESS REJECT message to the mobile station on the downlink PACCH. If the mobile station supports RLC non-persistent mode the network may allocate one or more EGPRS TBFs that use this RLC mode.</w:t>
      </w:r>
    </w:p>
    <w:p w14:paraId="7322AA38" w14:textId="77777777" w:rsidR="00711444" w:rsidRPr="004D0DAA" w:rsidRDefault="00711444" w:rsidP="00711444">
      <w:r w:rsidRPr="004D0DAA">
        <w:t>If the mobile station or the network does not support multiple TBF procedures, then after the transmission of the PACKET RESOURCE REQUEST message with the reason for changing PFI, the radio priority or peak throughput class of an assigned uplink TBF the mobile station shall continue to use the currently assigned uplink TBF assuming that the requested radio priority or peak throughput class is already assigned to that TBF.</w:t>
      </w:r>
    </w:p>
    <w:p w14:paraId="13E90FB2" w14:textId="77777777" w:rsidR="00711444" w:rsidRPr="004D0DAA" w:rsidRDefault="00711444" w:rsidP="00711444">
      <w:pPr>
        <w:keepNext/>
        <w:keepLines/>
      </w:pPr>
      <w:r w:rsidRPr="004D0DAA">
        <w:t>If both the mobile station and the network support multiple TBF procedures, then after transmission of a PACKET RESOURCE REQUEST message the mobile station shall maintain its ongoing uplink TBFs using their currently allocated TBF parameters.</w:t>
      </w:r>
    </w:p>
    <w:p w14:paraId="6F0BE21F" w14:textId="77777777" w:rsidR="00711444" w:rsidRPr="004D0DAA" w:rsidRDefault="00711444" w:rsidP="00711444">
      <w:r w:rsidRPr="004D0DAA">
        <w:t>On receipt of an uplink assignment message (e.g. PACKET UPLINK ASSIGNMENT, MULTIPLE TBF UPLINK ASSIGNMENT, PACKET TIMESLOT RECONFIGURE or MULTIPLE TBF TIMESLOT RECONFIGURE message) sent in response to a PACKET RESOURCE REQUEST message the mobile station shall stop timer T3168 for each uplink TBF assigned in the assignment message and switch to the assigned PDCHs. A mobile station that supports multiple TBF procedures shall act on the uplink assignment message as defined in sub-clause 8.1.2.5.</w:t>
      </w:r>
    </w:p>
    <w:p w14:paraId="35EEC3E3" w14:textId="77777777" w:rsidR="00711444" w:rsidRPr="004D0DAA" w:rsidRDefault="00711444" w:rsidP="00711444">
      <w:r w:rsidRPr="004D0DAA">
        <w:t>If the mobile station or the network does not support multiple TBF procedures, the mobile station is then not allowed to send new PACKET RESOURCE REQUEST messages until either a new packet transfer request is received from the upper layers or when sending of upper layer PDU(s) at a lower Radio Priority has to be continued.</w:t>
      </w:r>
    </w:p>
    <w:p w14:paraId="23DDA26D" w14:textId="77777777" w:rsidR="00711444" w:rsidRPr="004D0DAA" w:rsidRDefault="00711444" w:rsidP="00711444">
      <w:r w:rsidRPr="004D0DAA">
        <w:t>If the mobile station or the network does not support multiple TBF procedures, upon expiry of timer T3168 the mobile station shall retransmit the PACKET RESOURCE REQUEST message unless the PACKET RESOURCE REQUEST message has already been transmitted four times in which case the mobile station shall perform an abnormal release with access retry (see sub-clause 8.7.2).</w:t>
      </w:r>
    </w:p>
    <w:p w14:paraId="08ACE39A" w14:textId="77777777" w:rsidR="00711444" w:rsidRPr="004D0DAA" w:rsidRDefault="00711444" w:rsidP="00711444">
      <w:r w:rsidRPr="004D0DAA">
        <w:t>If both the mobile station and the network support multiple TBF procedures, then upon expiry of all instances of timer T3168 the mobile station shall retransmit the PACKET RESOURCE REQUEST message to request resources for those uplink TBFs that did not receive an uplink assignment unless the PACKET RESOURCE REQUEST message has already been transmitted four times without receiving any uplink assignment in response. In this case the mobile station shall perform an abnormal release with access retry (see sub-clause 8.7.2).</w:t>
      </w:r>
    </w:p>
    <w:p w14:paraId="6BA440AB" w14:textId="77777777" w:rsidR="00711444" w:rsidRPr="004D0DAA" w:rsidRDefault="00711444" w:rsidP="00711444">
      <w:r w:rsidRPr="004D0DAA">
        <w:t>If no assignment message (e.g. PACKET UPLINK ASSIGNMENT, MULTIPLE TBF UPLINK ASSIGNMENT, PACKET TIMESLOT RECONFIGURE or MULTIPLE TBF TIMESLOT RECONFIGURE message) addressing any requested uplink TBF is received before the mobile station has completed its currently assigned TBFs the mobile station shall stop all instances of timer T3168.</w:t>
      </w:r>
    </w:p>
    <w:p w14:paraId="1751C307" w14:textId="77777777" w:rsidR="00711444" w:rsidRPr="004D0DAA" w:rsidRDefault="00711444" w:rsidP="00711444">
      <w:r w:rsidRPr="004D0DAA">
        <w:t xml:space="preserve">The network may at any time during uplink packet transfer initiate a change of resources by sending on the downlink PACCH monitored by the MS, an unsolicited uplink assignment message (e.g. PACKET UPLINK ASSIGNMENT, MULTIPLE TBF UPLINK ASSIGNMENT, PACKET TIMESLOT RECONFIGURE, MULTIPLE TBF TIMESLOT </w:t>
      </w:r>
      <w:r w:rsidRPr="004D0DAA">
        <w:lastRenderedPageBreak/>
        <w:t>RECONFIGURE or PACKET CS RELEASE INDICATION message) to the mobile station. During the reallocation, TFI is allowed to be changed. A mobile station that supports multiple TBF procedures shall act on the uplink assignment message as defined in sub-clause 8.1.2.5.</w:t>
      </w:r>
    </w:p>
    <w:p w14:paraId="36B3B464" w14:textId="77777777" w:rsidR="00711444" w:rsidRPr="004D0DAA" w:rsidRDefault="00711444" w:rsidP="00711444">
      <w:r w:rsidRPr="004D0DAA">
        <w:t>When an uplink TBF is established in response to a PACKET RESOURCE REQUEST message with the EARLY_TBF_ESTABLISHMENT field set to indicate pre-allocation is required, a network supporting early TBF establishment should keep the uplink TBF open by means of the extended uplink TBF mode operation (see sub-clause 9.3.1b</w:t>
      </w:r>
      <w:r w:rsidRPr="004D0DAA">
        <w:rPr>
          <w:rFonts w:hint="eastAsia"/>
          <w:lang w:eastAsia="ko-KR"/>
        </w:rPr>
        <w:t>.</w:t>
      </w:r>
      <w:r w:rsidRPr="004D0DAA">
        <w:t>2).</w:t>
      </w:r>
    </w:p>
    <w:p w14:paraId="271C39CB" w14:textId="77777777" w:rsidR="00711444" w:rsidRPr="004D0DAA" w:rsidRDefault="00711444" w:rsidP="00711444">
      <w:r w:rsidRPr="004D0DAA">
        <w:t>On receipt of a PACKET ACCESS REJECT message, the mobile station shall stop timer T3168, if running, for the TBFs rejected in the PACKET ACCESS REJECT message, abort the uplink TBFs and indicate a packet access failure to the upper layer associated with each rejected TBF. If no more uplink or downlink TBFs exist, the mobile station in packet transfer mode shall return to packet idle mode; the mobile station in dual transfer mode shall return to dedicated mode. The DRX mode procedures shall be applied, as specified in sub-clause 5.5.1.5.</w:t>
      </w:r>
    </w:p>
    <w:p w14:paraId="00E1F5F2" w14:textId="77777777" w:rsidR="00711444" w:rsidRPr="004D0DAA" w:rsidRDefault="00711444" w:rsidP="00711444">
      <w:pPr>
        <w:keepNext/>
      </w:pPr>
      <w:r w:rsidRPr="004D0DAA">
        <w:t>If the PACKET ACCESS REJECT message contains a WAIT_INDICATION field in a Reject structure addressed to the mobile station, the mobile station shall:</w:t>
      </w:r>
    </w:p>
    <w:p w14:paraId="77A4E62E" w14:textId="77777777" w:rsidR="00711444" w:rsidRPr="004D0DAA" w:rsidRDefault="00711444" w:rsidP="00711444">
      <w:pPr>
        <w:pStyle w:val="B1"/>
      </w:pPr>
      <w:r w:rsidRPr="004D0DAA">
        <w:t>-</w:t>
      </w:r>
      <w:r w:rsidRPr="004D0DAA">
        <w:tab/>
        <w:t>If the mobile station or the network does not support multiple TBF procedures, start timer T3172 and if the mobile station has additional RLC data blocks to transmit, it shall initiate a new uplink TBF establishment, but the mobile station is not allowed to make a new attempt for an uplink TBF establishment in the same cell until timer T3172 expires, it may, however, attempt an uplink TBF establishment in an other cell after successful cell reselection. The mobile station may attempt to enter the dedicated mode in the same cell before timer T3172 has expired. During the time T3172 is running, the mobile station shall ignore all received PACKET PAGING REQUEST messages except paging request to trigger RR connection establishment;</w:t>
      </w:r>
    </w:p>
    <w:p w14:paraId="0C1F656E" w14:textId="77777777" w:rsidR="00711444" w:rsidRPr="004D0DAA" w:rsidRDefault="00711444" w:rsidP="00711444">
      <w:pPr>
        <w:pStyle w:val="B1"/>
      </w:pPr>
      <w:r w:rsidRPr="004D0DAA">
        <w:t>-</w:t>
      </w:r>
      <w:r w:rsidRPr="004D0DAA">
        <w:tab/>
        <w:t>If both the mobile station and the network support multiple TBF procedures the mobile station shall start one instance of timer T3172 for each uplink TBF that was rejected. All TBFs in progress that are not rejected shall be maintained. The mobile station is not allowed to attempt re-establishment of a rejected uplink TBF in the same cell until its associated instance of timer T3172 expires. It may, however, attempt re-establishment of a rejected uplink TBF in another cell after successful cell reselection. The mobile station may attempt to enter the dedicated mode in the same cell before all instances of timer T3172 have expired. During the time one or more instances of T3172 are running, the mobile station shall ignore all received PACKET PAGING REQUEST messages except paging request to trigger RR connection establishment.</w:t>
      </w:r>
    </w:p>
    <w:p w14:paraId="2B82EF93" w14:textId="77777777" w:rsidR="00711444" w:rsidRPr="004D0DAA" w:rsidRDefault="00711444" w:rsidP="00711444">
      <w:r w:rsidRPr="004D0DAA">
        <w:t>The value of the WAIT_INDICATION field (i.e. timer T3172) relates to the cell from which it was received.</w:t>
      </w:r>
    </w:p>
    <w:p w14:paraId="592DA03C" w14:textId="77777777" w:rsidR="00711444" w:rsidRPr="004D0DAA" w:rsidRDefault="00711444" w:rsidP="00711444">
      <w:pPr>
        <w:pStyle w:val="Heading6"/>
      </w:pPr>
      <w:bookmarkStart w:id="240" w:name="_Toc516669428"/>
      <w:r w:rsidRPr="004D0DAA">
        <w:t>8.1.1.1.2.1</w:t>
      </w:r>
      <w:r w:rsidRPr="004D0DAA">
        <w:tab/>
        <w:t>Abnormal cases</w:t>
      </w:r>
      <w:bookmarkEnd w:id="240"/>
    </w:p>
    <w:p w14:paraId="466902BA" w14:textId="77777777" w:rsidR="00711444" w:rsidRPr="004D0DAA" w:rsidRDefault="00711444" w:rsidP="00711444">
      <w:r w:rsidRPr="004D0DAA">
        <w:t>The following abnormal cases apply:</w:t>
      </w:r>
    </w:p>
    <w:p w14:paraId="459A66BF" w14:textId="77777777" w:rsidR="00711444" w:rsidRPr="004D0DAA" w:rsidRDefault="00711444" w:rsidP="00711444">
      <w:pPr>
        <w:pStyle w:val="B1"/>
      </w:pPr>
      <w:r w:rsidRPr="004D0DAA">
        <w:t>-</w:t>
      </w:r>
      <w:r w:rsidRPr="004D0DAA">
        <w:tab/>
        <w:t>If the mobile station receives an uplink assignment message (e.g. PACKET UPLINK ASSIGNMENT, MULTIPLE TBF UPLINK ASSIGNMENT, PACKET TIMESLOT RECONFIGURE, MULTIPLE TBF TIMESLOT RECONFIGURE or PACKET CS RELEASE INDICATION message) and detects an invalid Frequency Parameters information element in the message, the mobile station shall perform an abnormal release with system information (see sub-clause 8.7.3), performing a partial acquisition of system information messages containing frequency information;</w:t>
      </w:r>
    </w:p>
    <w:p w14:paraId="4F648AAC" w14:textId="77777777" w:rsidR="00711444" w:rsidRPr="004D0DAA" w:rsidRDefault="00711444" w:rsidP="00711444">
      <w:pPr>
        <w:pStyle w:val="B1"/>
      </w:pPr>
      <w:r w:rsidRPr="004D0DAA">
        <w:t>-</w:t>
      </w:r>
      <w:r w:rsidRPr="004D0DAA">
        <w:tab/>
        <w:t>If the mobile station receives an uplink assignment message (e.g. PACKET UPLINK ASSIGNMENT, MULTIPLE TBF UPLINK ASSIGNMENT, PACKET TIMESLOT RECONFIGURE, MULTIPLE TBF TIMESLOT RECONFIGURE or PACKET CS RELEASE INDICATION message) specifying frequencies that are not all in one frequency band then the mobile station shall perform an abnormal release with access retry (see sub-clause 8.7.2);</w:t>
      </w:r>
    </w:p>
    <w:p w14:paraId="5F28C7CB" w14:textId="77777777" w:rsidR="00711444" w:rsidRPr="004D0DAA" w:rsidRDefault="00711444" w:rsidP="00711444">
      <w:pPr>
        <w:pStyle w:val="B1"/>
      </w:pPr>
      <w:r w:rsidRPr="004D0DAA">
        <w:t>-</w:t>
      </w:r>
      <w:r w:rsidRPr="004D0DAA">
        <w:tab/>
        <w:t>If the information in the PACKET UPLINK ASSIGNMENT or the MULTIPLE TBF UPLINK ASSIGNMENT message does not properly specify an uplink PDCH or specifies a multislot configuration that the mobile station does not support (see 3GPP TS 45.002), the mobile station shall perform an abnormal release with access retry (see sub-clause 8.7.2);</w:t>
      </w:r>
    </w:p>
    <w:p w14:paraId="3A859262" w14:textId="77777777" w:rsidR="00711444" w:rsidRPr="004D0DAA" w:rsidRDefault="00711444" w:rsidP="00711444">
      <w:pPr>
        <w:pStyle w:val="B1"/>
      </w:pPr>
      <w:r w:rsidRPr="004D0DAA">
        <w:t>-</w:t>
      </w:r>
      <w:r w:rsidRPr="004D0DAA">
        <w:tab/>
        <w:t>If the information in the PACKET TIMESLOT RECONFIGURE, MULTIPLE TBF TIMESLOT RECONFIGURE or PACKET CS RELEASE INDICATION message does not properly specify an uplink and downlink PDCH or specifies a multislot configuration that the mobile station does not support (see 3GPP TS 45.002), the mobile station shall perform an abnormal release with access retry (see sub-clause 8.7.2);</w:t>
      </w:r>
    </w:p>
    <w:p w14:paraId="314D9910" w14:textId="77777777" w:rsidR="00711444" w:rsidRPr="004D0DAA" w:rsidRDefault="00711444" w:rsidP="00711444">
      <w:pPr>
        <w:pStyle w:val="B1"/>
      </w:pPr>
      <w:r w:rsidRPr="004D0DAA">
        <w:lastRenderedPageBreak/>
        <w:t>-</w:t>
      </w:r>
      <w:r w:rsidRPr="004D0DAA">
        <w:tab/>
        <w:t>If the mobile station receives a PACKET UPLINK ASSIGNMENT or a MULTIPLE TBF UPLINK ASSIGNMENT message containing a Frequency Parameters information element specifying a frequency that is in a frequency band not supported by the mobile station then the mobile station shall perform an abnormal release with access retry (see sub-clause 8.7.2);</w:t>
      </w:r>
    </w:p>
    <w:p w14:paraId="08F5BE07" w14:textId="77777777" w:rsidR="00711444" w:rsidRPr="004D0DAA" w:rsidRDefault="00711444" w:rsidP="00711444">
      <w:pPr>
        <w:pStyle w:val="B1"/>
      </w:pPr>
      <w:r w:rsidRPr="004D0DAA">
        <w:t>-</w:t>
      </w:r>
      <w:r w:rsidRPr="004D0DAA">
        <w:tab/>
        <w:t>If a mobile station in dual transfer mode receives a PACKET UPLINK ASSIGNMENT, MULTIPLE TBF UPLINK ASSIGNMENT, PACKET TIMESLOT RECONFIGURE or MULTIPLE TBF TIMESLOT RECONFIGURE message including frequency parameters for the carrier supporting the dedicated resources, the mobile station shall perform an abnormal release with access retry (see sub-clause 8.7.2);</w:t>
      </w:r>
    </w:p>
    <w:p w14:paraId="5687C365" w14:textId="77777777" w:rsidR="00711444" w:rsidRPr="004D0DAA" w:rsidRDefault="00711444" w:rsidP="00711444">
      <w:pPr>
        <w:pStyle w:val="B1"/>
      </w:pPr>
      <w:r w:rsidRPr="004D0DAA">
        <w:t>-</w:t>
      </w:r>
      <w:r w:rsidRPr="004D0DAA">
        <w:tab/>
        <w:t>If a mobile station receives a PACKET UPLINK ASSIGNMENT, MULTIPLE TBF UPLINK ASSIGNMENT, PACKET TIMESLOT RECONFIGURE or MULTIPLE TBF TIMESLOT RECONFIGURE message indicating a change of EGPRS level which is forbidden (see sub-clause 8.1.1.7), the mobile station shall perform an abnormal release with access retry (see sub-clause 8.7.2);</w:t>
      </w:r>
    </w:p>
    <w:p w14:paraId="315FE404" w14:textId="77777777" w:rsidR="00711444" w:rsidRPr="004D0DAA" w:rsidRDefault="00711444" w:rsidP="00711444">
      <w:pPr>
        <w:pStyle w:val="B1"/>
      </w:pPr>
      <w:r w:rsidRPr="004D0DAA">
        <w:t>-</w:t>
      </w:r>
      <w:r w:rsidRPr="004D0DAA">
        <w:tab/>
        <w:t>If both the mobile station and the network support multiple TBF procedures and if any given uplink assignment message provides an uplink TBF allocation for a PFI not indicated in the PACKET RESOURCE REQUEST message and not associated with any ongoing uplink TBF, the mobile station shall abort the procedure and perform an abnormal release with access retry (see sub-clause 8.7.2);</w:t>
      </w:r>
    </w:p>
    <w:p w14:paraId="46BB3DA0" w14:textId="77777777" w:rsidR="00711444" w:rsidRPr="004D0DAA" w:rsidRDefault="00711444" w:rsidP="00711444">
      <w:pPr>
        <w:pStyle w:val="B1"/>
      </w:pPr>
      <w:r w:rsidRPr="004D0DAA">
        <w:t>-</w:t>
      </w:r>
      <w:r w:rsidRPr="004D0DAA">
        <w:tab/>
        <w:t>If both the mobile station and the network support EMST or EMSR and if any given uplink assignment message provides an allocation of an RLC entity for a PFI not indicated in the PACKET RESOURCE REQUEST message and not associated with any already allocated RLC entity on the uplink TBF, the mobile station shall abort the procedure and perform an abnormal release with access retry (see sub-clause 8.7.2);</w:t>
      </w:r>
    </w:p>
    <w:p w14:paraId="18380A9B" w14:textId="77777777" w:rsidR="00711444" w:rsidRPr="004D0DAA" w:rsidRDefault="00711444" w:rsidP="00711444">
      <w:pPr>
        <w:pStyle w:val="B1"/>
      </w:pPr>
      <w:r w:rsidRPr="004D0DAA">
        <w:t>-</w:t>
      </w:r>
      <w:r w:rsidRPr="004D0DAA">
        <w:tab/>
        <w:t>If both the mobile station and the network support EMST and if any given uplink assignment message includes an assignment for more RLC entities than the mobile station supports or more than one RLC entity is assigned to use same RLC mode to a TBF, the mobile station shall abort the procedure and perform abnormal release with access retry (see sub-clause 8.7.2);</w:t>
      </w:r>
    </w:p>
    <w:p w14:paraId="38FB89DE" w14:textId="77777777" w:rsidR="00711444" w:rsidRPr="004D0DAA" w:rsidRDefault="00711444" w:rsidP="00711444">
      <w:pPr>
        <w:pStyle w:val="B1"/>
      </w:pPr>
      <w:r w:rsidRPr="004D0DAA">
        <w:t>-</w:t>
      </w:r>
      <w:r w:rsidRPr="004D0DAA">
        <w:tab/>
        <w:t>If a failure in the uplink assignment message (e.g. PACKET UPLINK ASSIGNMENT, MULTIPLE TBF UPLINK ASSIGNMENT, PACKET TIMESLOT RECONFIGURE, MULTIPLE TBF TIMESLOT RECONFIGURE or PACKET CS RELEASE INDICATION message) is due to any other reason (including frequency parameters which do not comply with the requirements specified in sub-clause 5.5.1.7), the mobile station shall perform an abnormal release with access retry (see sub-clause 8.7.2).</w:t>
      </w:r>
    </w:p>
    <w:p w14:paraId="24E4CDE9" w14:textId="77777777" w:rsidR="00711444" w:rsidRPr="004D0DAA" w:rsidRDefault="00711444" w:rsidP="00711444">
      <w:pPr>
        <w:pStyle w:val="NO"/>
      </w:pPr>
      <w:r w:rsidRPr="004D0DAA">
        <w:t>NOTE:</w:t>
      </w:r>
      <w:r w:rsidRPr="004D0DAA">
        <w:tab/>
        <w:t>An uplink assignment message (e.g. PACKET UPLINK ASSIGNMENT, MULTIPLE TBF UPLINK ASSIGNMENT, PACKET TIMESLOT RECONFIGURE, MULTIPLE TBF TIMESLOT RECONFIGURE or PACKET CS RELEASE INDICATION message) received by a multi-band mobile station shall not be considered invalid if it indicates new frequencies that are all in a different frequency band to that of the PDCH(s) on which the assignment was received. The assignment may however be rendered invalid for some other reason.</w:t>
      </w:r>
    </w:p>
    <w:p w14:paraId="78BC2953" w14:textId="77777777" w:rsidR="00711444" w:rsidRPr="004D0DAA" w:rsidRDefault="00711444" w:rsidP="00711444">
      <w:pPr>
        <w:pStyle w:val="Heading5"/>
      </w:pPr>
      <w:bookmarkStart w:id="241" w:name="_Toc516669429"/>
      <w:r w:rsidRPr="004D0DAA">
        <w:t>8.1.1.1.3</w:t>
      </w:r>
      <w:r w:rsidRPr="004D0DAA">
        <w:tab/>
        <w:t>Establishment of Downlink TBF</w:t>
      </w:r>
      <w:bookmarkEnd w:id="241"/>
    </w:p>
    <w:p w14:paraId="658A5281" w14:textId="77777777" w:rsidR="00711444" w:rsidRPr="004D0DAA" w:rsidRDefault="00711444" w:rsidP="00711444">
      <w:r w:rsidRPr="004D0DAA">
        <w:t>During uplink transfer, the network may initiate the establishment of one or more downlink TBFs by sending a downlink assignment message (e.g. PACKET DOWNLINK ASSIGNMENT, MULTIPLE TBF DOWNLINK ASSIGNMENT, PACKET TIMESLOT RECONFIGURE, MULTIPLE TBF TIMESLOT RECONFIGURE, PACKET CS RELEASE INDICATION) to the mobile station on the PACCH. If a PACKET TIMESLOT RECONFIGURE or a PACKET DOWNLINK ASSIGNMENT message is sent, then the message shall contain the DOWNLINK_TFI_ASSIGNMENT field for the downlink TBF being established. If multiple TBF procedures are supported by the mobile station and the network, the network shall indicate the PFI associated with each TBF it allocates or reallocates in the downlink assignment message. The network shall not attempt to establish multiple downlink TBFs for a mobile station with only one uplink TBF unless the mobile station’s radio access capabilities are known. If EMST is used, the network shall indicate the PFI associated with each RLC entity in the downlink assignment message (i.e. PACKET DOWNLINK ASSIGNMENT, PACKET TIMESLOT RECONFIGURE or PACKET CS RELEASE INDICATION). The multislot restrictions of the mobile station shall be observed.</w:t>
      </w:r>
    </w:p>
    <w:p w14:paraId="068C1AB9" w14:textId="77777777" w:rsidR="00711444" w:rsidRPr="004D0DAA" w:rsidRDefault="00711444" w:rsidP="00711444">
      <w:r w:rsidRPr="004D0DAA">
        <w:t>A mobile station that supports multiple TBF procedures shall act on the downlink assignment message as follows:</w:t>
      </w:r>
    </w:p>
    <w:p w14:paraId="47E9E859" w14:textId="77777777" w:rsidR="00711444" w:rsidRPr="004D0DAA" w:rsidRDefault="00711444" w:rsidP="00711444">
      <w:pPr>
        <w:pStyle w:val="B1"/>
      </w:pPr>
      <w:r w:rsidRPr="004D0DAA">
        <w:t xml:space="preserve">- </w:t>
      </w:r>
      <w:r w:rsidRPr="004D0DAA">
        <w:tab/>
        <w:t>Upon reception of a PACKET DOWNLINK ASSIGNMENT message the mobile station shall release all ongoing downlink TBFs not addressed by this message and shall act on the message. All ongoing uplink TBFs shall be maintained;</w:t>
      </w:r>
    </w:p>
    <w:p w14:paraId="7383808F" w14:textId="77777777" w:rsidR="00711444" w:rsidRPr="004D0DAA" w:rsidRDefault="00711444" w:rsidP="00711444">
      <w:pPr>
        <w:pStyle w:val="B1"/>
      </w:pPr>
      <w:r w:rsidRPr="004D0DAA">
        <w:lastRenderedPageBreak/>
        <w:t xml:space="preserve">- </w:t>
      </w:r>
      <w:r w:rsidRPr="004D0DAA">
        <w:tab/>
        <w:t>Upon reception of a PACKET TIMESLOT RECONFIGURE message the mobile station shall release all ongoing uplink and downlink TBFs not addressed by this message and shall act on the message;</w:t>
      </w:r>
    </w:p>
    <w:p w14:paraId="16E7F32D" w14:textId="77777777" w:rsidR="00711444" w:rsidRPr="004D0DAA" w:rsidRDefault="00711444" w:rsidP="00711444">
      <w:pPr>
        <w:pStyle w:val="B1"/>
      </w:pPr>
      <w:r w:rsidRPr="004D0DAA">
        <w:t xml:space="preserve">- </w:t>
      </w:r>
      <w:r w:rsidRPr="004D0DAA">
        <w:tab/>
        <w:t>Upon reception of a MULTIPLE TBF DOWNLINK ASSIGNMENT message the mobile station shall maintain all ongoing TBFs not addressed by this message using its currently allocated TBF parameters and shall act on the message;</w:t>
      </w:r>
    </w:p>
    <w:p w14:paraId="5B68B753" w14:textId="77777777" w:rsidR="00711444" w:rsidRPr="004D0DAA" w:rsidRDefault="00711444" w:rsidP="00711444">
      <w:pPr>
        <w:pStyle w:val="B1"/>
      </w:pPr>
      <w:r w:rsidRPr="004D0DAA">
        <w:t xml:space="preserve">- </w:t>
      </w:r>
      <w:r w:rsidRPr="004D0DAA">
        <w:tab/>
        <w:t>Upon reception of a MULTIPLE TBF TIMESLOT RECONFIGURE message the mobile station shall release all ongoing uplink and downlink TBFs not addressed by this message and shall act on the message;</w:t>
      </w:r>
    </w:p>
    <w:p w14:paraId="5B4DCAE9" w14:textId="77777777" w:rsidR="00711444" w:rsidRPr="004D0DAA" w:rsidRDefault="00711444" w:rsidP="00711444">
      <w:pPr>
        <w:pStyle w:val="B1"/>
      </w:pPr>
      <w:r w:rsidRPr="004D0DAA">
        <w:t>-</w:t>
      </w:r>
      <w:r w:rsidRPr="004D0DAA">
        <w:tab/>
        <w:t>Upon reception of a PACKET CS RELEASE INDICATION message the mobile station shall release all ongoing uplink and/or downlink TBFs not addressed by this message and shall act on the message.</w:t>
      </w:r>
    </w:p>
    <w:p w14:paraId="526E2BBA" w14:textId="77777777" w:rsidR="00711444" w:rsidRPr="004D0DAA" w:rsidRDefault="00711444" w:rsidP="00711444">
      <w:r w:rsidRPr="004D0DAA">
        <w:t>A mobile allocation or reference frequency list, received as part of a downlink assignment, replaces the previous parameters and shall be used until a new assignment is received or the mobile station has released all TBFs.</w:t>
      </w:r>
    </w:p>
    <w:p w14:paraId="67906BAA" w14:textId="77777777" w:rsidR="00711444" w:rsidRPr="004D0DAA" w:rsidRDefault="00711444" w:rsidP="00711444">
      <w:r w:rsidRPr="004D0DAA">
        <w:t xml:space="preserve">If the network and mobile station both support Downlink Dual Carrier, the network may send a downlink assignment message (e.g. PACKET DOWNLINK ASSIGNMENT, MULTIPLE TBF DOWNLINK ASSIGNMENT, PACKET TIMESLOT RECONFIGURE, MULTIPLE TBF TIMESLOT RECONFIGURE or PACKET CS RELEASE INDICATION) to a mobile station assigning one or more TBFs with packet resources on two carriers (referred to as carrier 1 and carrier 2) and thereby establish a Downlink Dual Carrier configuration. </w:t>
      </w:r>
    </w:p>
    <w:p w14:paraId="2A7F4495" w14:textId="77777777" w:rsidR="00711444" w:rsidRPr="004D0DAA" w:rsidRDefault="00711444" w:rsidP="00711444">
      <w:r w:rsidRPr="004D0DAA">
        <w:t xml:space="preserve">If the assignment message contains the </w:t>
      </w:r>
      <w:r w:rsidRPr="004D0DAA">
        <w:rPr>
          <w:i/>
        </w:rPr>
        <w:t>Assignment Info</w:t>
      </w:r>
      <w:r w:rsidRPr="004D0DAA">
        <w:t xml:space="preserve"> IE indicating an assignment type other than 'Dual Carrier assignment', then the packet resources specified in this message replace any existing assignment for the addressed TBFs on the carrier identified by the Carrier ID field. In this case, if the assignment message addresses TBFs that currently have packet resources assigned on the other carrier (i.e. the carrier not identified by the Carrier ID field) then these packet resources shall be treated as follows:</w:t>
      </w:r>
    </w:p>
    <w:p w14:paraId="6F76CA37" w14:textId="77777777" w:rsidR="00711444" w:rsidRPr="004D0DAA" w:rsidRDefault="00711444" w:rsidP="00711444">
      <w:pPr>
        <w:pStyle w:val="B1"/>
        <w:rPr>
          <w:lang w:eastAsia="en-US"/>
        </w:rPr>
      </w:pPr>
      <w:r w:rsidRPr="004D0DAA">
        <w:rPr>
          <w:lang w:eastAsia="en-US"/>
        </w:rPr>
        <w:t>-</w:t>
      </w:r>
      <w:r w:rsidRPr="004D0DAA">
        <w:rPr>
          <w:lang w:eastAsia="en-US"/>
        </w:rPr>
        <w:tab/>
        <w:t xml:space="preserve">these resources are implicitly released, if the ASSIGNMENT TYPE field (carried in the </w:t>
      </w:r>
      <w:r w:rsidRPr="004D0DAA">
        <w:rPr>
          <w:i/>
          <w:lang w:eastAsia="en-US"/>
        </w:rPr>
        <w:t>Assignment Info IE</w:t>
      </w:r>
      <w:r w:rsidRPr="004D0DAA">
        <w:rPr>
          <w:lang w:eastAsia="en-US"/>
        </w:rPr>
        <w:t>) indicates that the assignment is an ‘Assignment on single carrier only';</w:t>
      </w:r>
    </w:p>
    <w:p w14:paraId="3B3881C3" w14:textId="77777777" w:rsidR="00711444" w:rsidRPr="004D0DAA" w:rsidRDefault="00711444" w:rsidP="00711444">
      <w:pPr>
        <w:pStyle w:val="B1"/>
        <w:rPr>
          <w:lang w:eastAsia="en-US"/>
        </w:rPr>
      </w:pPr>
      <w:r w:rsidRPr="004D0DAA">
        <w:rPr>
          <w:lang w:eastAsia="en-US"/>
        </w:rPr>
        <w:t>-</w:t>
      </w:r>
      <w:r w:rsidRPr="004D0DAA">
        <w:rPr>
          <w:lang w:eastAsia="en-US"/>
        </w:rPr>
        <w:tab/>
        <w:t>these resources are unchanged, if the ASSIGNMENT TYPE field indicates that the assignment is a ‘Modification of existing assignment’.</w:t>
      </w:r>
    </w:p>
    <w:p w14:paraId="01D6F155" w14:textId="77777777" w:rsidR="00711444" w:rsidRPr="004D0DAA" w:rsidRDefault="00711444" w:rsidP="00711444">
      <w:r w:rsidRPr="004D0DAA">
        <w:t xml:space="preserve">If the assignment message contains the </w:t>
      </w:r>
      <w:r w:rsidRPr="004D0DAA">
        <w:rPr>
          <w:i/>
        </w:rPr>
        <w:t>Assignment Info</w:t>
      </w:r>
      <w:r w:rsidRPr="004D0DAA">
        <w:t xml:space="preserve"> IE indicating an assignment type of 'Dual Carrier assignment', then the packet resources specified in this message replace any existing assignment for the addressed TBFs.</w:t>
      </w:r>
    </w:p>
    <w:p w14:paraId="2DF4F50A" w14:textId="77777777" w:rsidR="00711444" w:rsidRPr="004D0DAA" w:rsidRDefault="00711444" w:rsidP="00711444">
      <w:r w:rsidRPr="004D0DAA">
        <w:t>If the network and mobile station both support Downlink Multi Carrier, the network may send a downlink assignment message (PACKET DOWNLINK ASSIGNMENT, PACKET TIMESLOT RECONFIGURE) to a mobile station assigning a downlink TBF with packet resources on multiple downlink carriers and thereby establish a DLMC configuration.  In this case a mobile station is assigned a set of one or more UFPSs (see 3GPP TS 45.008 [15]) that in total provide up to 16 carriers. The carriers assigned to a given UFPS shall belong to the same frequency band and Mobile Allocation. If the MS has indicated it supports inter-band reception (see 3GPP TS 24.008) the set of provided carriers shall belong to a maximum of two of the supported frequency bands. The set of UFPS in a DLMC configuration are numbered UFPS</w:t>
      </w:r>
      <w:r w:rsidRPr="004D0DAA">
        <w:rPr>
          <w:vertAlign w:val="subscript"/>
        </w:rPr>
        <w:t>1</w:t>
      </w:r>
      <w:r w:rsidRPr="004D0DAA">
        <w:t>, UFPS</w:t>
      </w:r>
      <w:r w:rsidRPr="004D0DAA">
        <w:rPr>
          <w:vertAlign w:val="subscript"/>
        </w:rPr>
        <w:t>2</w:t>
      </w:r>
      <w:r w:rsidRPr="004D0DAA">
        <w:t>, and so on, ending with UFPS</w:t>
      </w:r>
      <w:r w:rsidRPr="004D0DAA">
        <w:rPr>
          <w:vertAlign w:val="subscript"/>
        </w:rPr>
        <w:t>M</w:t>
      </w:r>
      <w:r w:rsidRPr="004D0DAA">
        <w:t xml:space="preserve"> where UFPS numbering is managed as follows:</w:t>
      </w:r>
    </w:p>
    <w:p w14:paraId="29694C17" w14:textId="77777777" w:rsidR="00711444" w:rsidRPr="004D0DAA" w:rsidRDefault="00711444" w:rsidP="00711444">
      <w:pPr>
        <w:ind w:left="540" w:hanging="180"/>
      </w:pPr>
      <w:r w:rsidRPr="004D0DAA">
        <w:t>-</w:t>
      </w:r>
      <w:r w:rsidRPr="004D0DAA">
        <w:tab/>
        <w:t>If an assignment message is sent to a mobile station with an ongoing downlink TBF for which only a single carrier is assigned then that carrier shall be considered as UFPS</w:t>
      </w:r>
      <w:r w:rsidRPr="004D0DAA">
        <w:rPr>
          <w:vertAlign w:val="subscript"/>
        </w:rPr>
        <w:t>1</w:t>
      </w:r>
      <w:r w:rsidRPr="004D0DAA">
        <w:t xml:space="preserve"> for the case where the assignment message establishes a DLMC configuration information.</w:t>
      </w:r>
    </w:p>
    <w:p w14:paraId="4798D576" w14:textId="77777777" w:rsidR="00711444" w:rsidRPr="004D0DAA" w:rsidRDefault="00711444" w:rsidP="00711444">
      <w:pPr>
        <w:ind w:left="540" w:hanging="180"/>
      </w:pPr>
      <w:r w:rsidRPr="004D0DAA">
        <w:t>-</w:t>
      </w:r>
      <w:r w:rsidRPr="004D0DAA">
        <w:tab/>
        <w:t>An assignment message that assigns one or more new UFPS results in each new UFPS being numbered according to the order in which it was assigned. For example, if UFPS</w:t>
      </w:r>
      <w:r w:rsidRPr="004D0DAA">
        <w:rPr>
          <w:vertAlign w:val="subscript"/>
        </w:rPr>
        <w:t>1</w:t>
      </w:r>
      <w:r w:rsidRPr="004D0DAA">
        <w:t xml:space="preserve"> and UFPS</w:t>
      </w:r>
      <w:r w:rsidRPr="004D0DAA">
        <w:rPr>
          <w:vertAlign w:val="subscript"/>
        </w:rPr>
        <w:t>2</w:t>
      </w:r>
      <w:r w:rsidRPr="004D0DAA">
        <w:t xml:space="preserve"> are currently assigned and two new UFPS are added then the first new UFPS becomes UFPS</w:t>
      </w:r>
      <w:r w:rsidRPr="004D0DAA">
        <w:rPr>
          <w:vertAlign w:val="subscript"/>
        </w:rPr>
        <w:t>3</w:t>
      </w:r>
      <w:r w:rsidRPr="004D0DAA">
        <w:t xml:space="preserve"> and the second new UFPS becomes UFPS</w:t>
      </w:r>
      <w:r w:rsidRPr="004D0DAA">
        <w:rPr>
          <w:vertAlign w:val="subscript"/>
        </w:rPr>
        <w:t>4</w:t>
      </w:r>
      <w:r w:rsidRPr="004D0DAA">
        <w:t xml:space="preserve">. </w:t>
      </w:r>
    </w:p>
    <w:p w14:paraId="4D41F82B" w14:textId="77777777" w:rsidR="00711444" w:rsidRPr="004D0DAA" w:rsidRDefault="00711444" w:rsidP="00711444">
      <w:pPr>
        <w:ind w:left="540" w:hanging="180"/>
      </w:pPr>
      <w:r w:rsidRPr="004D0DAA">
        <w:t>-</w:t>
      </w:r>
      <w:r w:rsidRPr="004D0DAA">
        <w:tab/>
        <w:t>An assignment message that deletes one or more existing UFPS results in the remaining UFPS being renumbered to ensure sequential UFPS numbering. For example, if UFPS</w:t>
      </w:r>
      <w:r w:rsidRPr="004D0DAA">
        <w:rPr>
          <w:vertAlign w:val="subscript"/>
        </w:rPr>
        <w:t>1</w:t>
      </w:r>
      <w:r w:rsidRPr="004D0DAA">
        <w:t>, UFPS</w:t>
      </w:r>
      <w:r w:rsidRPr="004D0DAA">
        <w:rPr>
          <w:vertAlign w:val="subscript"/>
        </w:rPr>
        <w:t>2</w:t>
      </w:r>
      <w:r w:rsidRPr="004D0DAA">
        <w:t xml:space="preserve"> …UFPS</w:t>
      </w:r>
      <w:r w:rsidRPr="004D0DAA">
        <w:rPr>
          <w:vertAlign w:val="subscript"/>
        </w:rPr>
        <w:t>5</w:t>
      </w:r>
      <w:r w:rsidRPr="004D0DAA">
        <w:t xml:space="preserve"> are currently assigned and UFPS</w:t>
      </w:r>
      <w:r w:rsidRPr="004D0DAA">
        <w:rPr>
          <w:vertAlign w:val="subscript"/>
        </w:rPr>
        <w:t>3</w:t>
      </w:r>
      <w:r w:rsidRPr="004D0DAA">
        <w:t xml:space="preserve"> is deleted then UFPS</w:t>
      </w:r>
      <w:r w:rsidRPr="004D0DAA">
        <w:rPr>
          <w:vertAlign w:val="subscript"/>
        </w:rPr>
        <w:t>4</w:t>
      </w:r>
      <w:r w:rsidRPr="004D0DAA">
        <w:t xml:space="preserve"> becomes UFPS</w:t>
      </w:r>
      <w:r w:rsidRPr="004D0DAA">
        <w:rPr>
          <w:vertAlign w:val="subscript"/>
        </w:rPr>
        <w:t>3</w:t>
      </w:r>
      <w:r w:rsidRPr="004D0DAA">
        <w:t xml:space="preserve"> and UFPS</w:t>
      </w:r>
      <w:r w:rsidRPr="004D0DAA">
        <w:rPr>
          <w:vertAlign w:val="subscript"/>
        </w:rPr>
        <w:t>5</w:t>
      </w:r>
      <w:r w:rsidRPr="004D0DAA">
        <w:t xml:space="preserve"> becomes UFPS</w:t>
      </w:r>
      <w:r w:rsidRPr="004D0DAA">
        <w:rPr>
          <w:vertAlign w:val="subscript"/>
        </w:rPr>
        <w:t>4</w:t>
      </w:r>
      <w:r w:rsidRPr="004D0DAA">
        <w:t xml:space="preserve">. </w:t>
      </w:r>
    </w:p>
    <w:p w14:paraId="76DA5D76" w14:textId="77777777" w:rsidR="00711444" w:rsidRPr="004D0DAA" w:rsidRDefault="00711444" w:rsidP="00711444">
      <w:r w:rsidRPr="004D0DAA">
        <w:t>The carriers associated with a DLMC configuration are numbered in ascending order beginning with C</w:t>
      </w:r>
      <w:r w:rsidRPr="004D0DAA">
        <w:rPr>
          <w:vertAlign w:val="subscript"/>
        </w:rPr>
        <w:t>1</w:t>
      </w:r>
      <w:r w:rsidRPr="004D0DAA">
        <w:t>, followed by C</w:t>
      </w:r>
      <w:r w:rsidRPr="004D0DAA">
        <w:rPr>
          <w:vertAlign w:val="subscript"/>
        </w:rPr>
        <w:t>2</w:t>
      </w:r>
      <w:r w:rsidRPr="004D0DAA">
        <w:t>, and so on, ending with C</w:t>
      </w:r>
      <w:r w:rsidRPr="004D0DAA">
        <w:rPr>
          <w:vertAlign w:val="subscript"/>
        </w:rPr>
        <w:t>N</w:t>
      </w:r>
      <w:r w:rsidRPr="004D0DAA">
        <w:t xml:space="preserve"> where the carriers are sequentially numbered beginning with those in UFPS</w:t>
      </w:r>
      <w:r w:rsidRPr="004D0DAA">
        <w:rPr>
          <w:vertAlign w:val="subscript"/>
        </w:rPr>
        <w:t>1</w:t>
      </w:r>
      <w:r w:rsidRPr="004D0DAA">
        <w:t>, followed by those in UFPS</w:t>
      </w:r>
      <w:r w:rsidRPr="004D0DAA">
        <w:rPr>
          <w:vertAlign w:val="subscript"/>
        </w:rPr>
        <w:t>2</w:t>
      </w:r>
      <w:r w:rsidRPr="004D0DAA">
        <w:t xml:space="preserve"> and so on, ending with those in UFPS</w:t>
      </w:r>
      <w:r w:rsidRPr="004D0DAA">
        <w:rPr>
          <w:vertAlign w:val="subscript"/>
        </w:rPr>
        <w:t>M</w:t>
      </w:r>
      <w:r w:rsidRPr="004D0DAA">
        <w:t>. The ordering of carriers within a given UFPS reflects the order in which they have been assigned for that UFPS (i.e. C</w:t>
      </w:r>
      <w:r w:rsidRPr="004D0DAA">
        <w:rPr>
          <w:vertAlign w:val="subscript"/>
        </w:rPr>
        <w:t>1</w:t>
      </w:r>
      <w:r w:rsidRPr="004D0DAA">
        <w:t xml:space="preserve"> is first carrier assigned for UFPS</w:t>
      </w:r>
      <w:r w:rsidRPr="004D0DAA">
        <w:rPr>
          <w:vertAlign w:val="subscript"/>
        </w:rPr>
        <w:t>1</w:t>
      </w:r>
      <w:r w:rsidRPr="004D0DAA">
        <w:t xml:space="preserve">). </w:t>
      </w:r>
    </w:p>
    <w:p w14:paraId="324081E3" w14:textId="77777777" w:rsidR="00711444" w:rsidRPr="004D0DAA" w:rsidRDefault="00711444" w:rsidP="00711444">
      <w:r w:rsidRPr="004D0DAA">
        <w:t>If PDCH-pairs are assigned for a DLMC configuration they are numbered in ascending order starting with the lowest numbered PDCH-pair on C</w:t>
      </w:r>
      <w:r w:rsidRPr="004D0DAA">
        <w:rPr>
          <w:vertAlign w:val="subscript"/>
        </w:rPr>
        <w:t>1</w:t>
      </w:r>
      <w:r w:rsidRPr="004D0DAA">
        <w:t xml:space="preserve"> and ending with the highest numbered PDCH-pair on C</w:t>
      </w:r>
      <w:r w:rsidRPr="004D0DAA">
        <w:rPr>
          <w:vertAlign w:val="subscript"/>
        </w:rPr>
        <w:t>N</w:t>
      </w:r>
      <w:r w:rsidRPr="004D0DAA">
        <w:t xml:space="preserve">: </w:t>
      </w:r>
    </w:p>
    <w:p w14:paraId="6FC3AB6B" w14:textId="77777777" w:rsidR="00711444" w:rsidRPr="004D0DAA" w:rsidRDefault="00711444" w:rsidP="00711444">
      <w:pPr>
        <w:ind w:left="540" w:hanging="180"/>
      </w:pPr>
      <w:r w:rsidRPr="004D0DAA">
        <w:lastRenderedPageBreak/>
        <w:t>-</w:t>
      </w:r>
      <w:r w:rsidRPr="004D0DAA">
        <w:tab/>
        <w:t xml:space="preserve">The RTTI_DOWNLINK_PDCH_PAIR_ASSIGNMENT_DLMC bitmap indicates which of the PDCH pairs available on a given downlink carrier (indicated by the DOWNLINK_PDCH_PAIRS_DLMC bitmap) are assigned for DLMC configuration. </w:t>
      </w:r>
    </w:p>
    <w:p w14:paraId="40940C6D" w14:textId="77777777" w:rsidR="00711444" w:rsidRPr="004D0DAA" w:rsidRDefault="00711444" w:rsidP="00711444">
      <w:pPr>
        <w:ind w:left="540" w:hanging="180"/>
      </w:pPr>
      <w:r w:rsidRPr="004D0DAA">
        <w:t>-</w:t>
      </w:r>
      <w:r w:rsidRPr="004D0DAA">
        <w:tab/>
        <w:t xml:space="preserve">The PDCH pairs identified by the UPLINK_PDCH_PAIRS_DLMC bitmap (if any) indicate the PDCH-pairs assigned for the uplink carrier corresponding to a given downlink carrier assigned for a DLMC configuration.  </w:t>
      </w:r>
    </w:p>
    <w:p w14:paraId="0AAD8273" w14:textId="77777777" w:rsidR="00711444" w:rsidRPr="004D0DAA" w:rsidRDefault="00711444" w:rsidP="00711444">
      <w:pPr>
        <w:ind w:left="540" w:hanging="180"/>
      </w:pPr>
      <w:r w:rsidRPr="004D0DAA">
        <w:t>-</w:t>
      </w:r>
      <w:r w:rsidRPr="004D0DAA">
        <w:tab/>
        <w:t>When downlink PDCH pairs are assigned they are numbered in ascending order starting with the first PDCH-pair (PDCH-pair 1) consisting of the two lowest numbered timeslots assigned on C</w:t>
      </w:r>
      <w:r w:rsidRPr="004D0DAA">
        <w:rPr>
          <w:vertAlign w:val="subscript"/>
        </w:rPr>
        <w:t>1</w:t>
      </w:r>
      <w:r w:rsidRPr="004D0DAA">
        <w:t>, followed by the PDCH-pair consisting of the next two lowest numbered timeslots assigned on C</w:t>
      </w:r>
      <w:r w:rsidRPr="004D0DAA">
        <w:rPr>
          <w:vertAlign w:val="subscript"/>
        </w:rPr>
        <w:t>1</w:t>
      </w:r>
      <w:r w:rsidRPr="004D0DAA">
        <w:t xml:space="preserve"> (PDCH-pair 2), and so on for the remaining timeslot pairs assigned on C</w:t>
      </w:r>
      <w:r w:rsidRPr="004D0DAA">
        <w:rPr>
          <w:vertAlign w:val="subscript"/>
        </w:rPr>
        <w:t>1</w:t>
      </w:r>
      <w:r w:rsidRPr="004D0DAA">
        <w:t xml:space="preserve"> and for the assigned timeslot pairs on C</w:t>
      </w:r>
      <w:r w:rsidRPr="004D0DAA">
        <w:rPr>
          <w:vertAlign w:val="subscript"/>
        </w:rPr>
        <w:t>2</w:t>
      </w:r>
      <w:r w:rsidRPr="004D0DAA">
        <w:t>… C</w:t>
      </w:r>
      <w:r w:rsidRPr="004D0DAA">
        <w:rPr>
          <w:vertAlign w:val="subscript"/>
        </w:rPr>
        <w:t>N</w:t>
      </w:r>
      <w:r w:rsidRPr="004D0DAA">
        <w:t xml:space="preserve">. </w:t>
      </w:r>
    </w:p>
    <w:p w14:paraId="3D7228E1" w14:textId="77777777" w:rsidR="00711444" w:rsidRPr="004D0DAA" w:rsidRDefault="00711444" w:rsidP="00711444">
      <w:pPr>
        <w:ind w:left="540" w:hanging="180"/>
      </w:pPr>
      <w:r w:rsidRPr="004D0DAA">
        <w:t>-</w:t>
      </w:r>
      <w:r w:rsidRPr="004D0DAA">
        <w:tab/>
        <w:t>The highest numbered PDCH-pair consists of the two highest numbered timeslots on carrier C</w:t>
      </w:r>
      <w:r w:rsidRPr="004D0DAA">
        <w:rPr>
          <w:vertAlign w:val="subscript"/>
        </w:rPr>
        <w:t>N</w:t>
      </w:r>
      <w:r w:rsidRPr="004D0DAA">
        <w:t xml:space="preserve">. </w:t>
      </w:r>
    </w:p>
    <w:p w14:paraId="5F9714EE" w14:textId="77777777" w:rsidR="00711444" w:rsidRPr="004D0DAA" w:rsidRDefault="00711444" w:rsidP="00711444">
      <w:r w:rsidRPr="004D0DAA">
        <w:t xml:space="preserve">A mobile station in a DLMC configuration may receive subsequent assignment messages (PACKET DOWNLINK ASSIGNMENT, PACKET UPLINK ASSIGNMENT or PACKET TIMESLOT RECONFIGURE) as follows: </w:t>
      </w:r>
    </w:p>
    <w:p w14:paraId="420ADC75" w14:textId="77777777" w:rsidR="00711444" w:rsidRPr="004D0DAA" w:rsidRDefault="00B82821" w:rsidP="00B82821">
      <w:pPr>
        <w:pStyle w:val="B1"/>
      </w:pPr>
      <w:r>
        <w:t>-</w:t>
      </w:r>
      <w:r>
        <w:tab/>
      </w:r>
      <w:r w:rsidR="00711444" w:rsidRPr="004D0DAA">
        <w:t>A PACKET UPLINK ASSIGNMENT message may be used to assign packet resources on one or more of the uplink carriers corresponding to the assigned downlink carriers (see sub-clause 8.1.1.2.1) for the case where the ongoing downlink TBF does not need to be modified.</w:t>
      </w:r>
    </w:p>
    <w:p w14:paraId="35B840DB" w14:textId="77777777" w:rsidR="00711444" w:rsidRPr="004D0DAA" w:rsidRDefault="00B82821" w:rsidP="00B82821">
      <w:pPr>
        <w:pStyle w:val="B1"/>
      </w:pPr>
      <w:r>
        <w:t>-</w:t>
      </w:r>
      <w:r>
        <w:tab/>
      </w:r>
      <w:r w:rsidR="00711444" w:rsidRPr="004D0DAA">
        <w:t>A PACKET DOWNLINK ASSIGNMENT message may be used for the case where there is either no uplink TBF or the ongoing uplink TBF does not need to be modified. For the case of an ongoing uplink TBF, this message is only used if all carriers on which USF is currently monitored remain assigned.</w:t>
      </w:r>
    </w:p>
    <w:p w14:paraId="789CEEEB" w14:textId="77777777" w:rsidR="00711444" w:rsidRPr="004D0DAA" w:rsidRDefault="00B82821" w:rsidP="00B82821">
      <w:pPr>
        <w:pStyle w:val="B1"/>
      </w:pPr>
      <w:r>
        <w:t>-</w:t>
      </w:r>
      <w:r>
        <w:tab/>
      </w:r>
      <w:r w:rsidR="00711444" w:rsidRPr="004D0DAA">
        <w:t>Otherwise, the PACKET TIMESLOT RECONFIGURE message is used.</w:t>
      </w:r>
    </w:p>
    <w:p w14:paraId="378693A6" w14:textId="77777777" w:rsidR="00711444" w:rsidRPr="004D0DAA" w:rsidRDefault="00711444" w:rsidP="00711444">
      <w:r w:rsidRPr="004D0DAA">
        <w:t>On receipt of a downlink assignment message, and after the TBF starting time, if present, the mobile station shall switch to the assigned PDCHs, and start timer T3190 for each of the TBFs assigned. The operation of the downlink TBFs follows the procedures in sub-clause 8.1.2 with the following additions:</w:t>
      </w:r>
    </w:p>
    <w:p w14:paraId="40DB1EE5" w14:textId="77777777" w:rsidR="00711444" w:rsidRPr="004D0DAA" w:rsidRDefault="00711444" w:rsidP="00711444">
      <w:pPr>
        <w:pStyle w:val="B1"/>
      </w:pPr>
      <w:r w:rsidRPr="004D0DAA">
        <w:t>-</w:t>
      </w:r>
      <w:r w:rsidRPr="004D0DAA">
        <w:tab/>
        <w:t>the mobile station shall prioritise transmission of RLC/MAC control blocks associated with a downlink TBF over RLC/MAC control blocks associated with an uplink TBF;</w:t>
      </w:r>
    </w:p>
    <w:p w14:paraId="313D1DFF" w14:textId="77777777" w:rsidR="00711444" w:rsidRPr="004D0DAA" w:rsidRDefault="00711444" w:rsidP="00711444">
      <w:pPr>
        <w:pStyle w:val="B1"/>
      </w:pPr>
      <w:r w:rsidRPr="004D0DAA">
        <w:t>-</w:t>
      </w:r>
      <w:r w:rsidRPr="004D0DAA">
        <w:tab/>
        <w:t>if a timer or counter expiry causes an uplink TBF to be aborted in the mobile station, the mobile station shall perform an abnormal release with access retry as specified in sub-clause 8.7.2 (</w:t>
      </w:r>
      <w:r w:rsidRPr="004D0DAA">
        <w:rPr>
          <w:i/>
          <w:iCs/>
        </w:rPr>
        <w:t>A/Gb mode</w:t>
      </w:r>
      <w:r w:rsidRPr="004D0DAA">
        <w:t>);</w:t>
      </w:r>
    </w:p>
    <w:p w14:paraId="10B47B35" w14:textId="77777777" w:rsidR="00711444" w:rsidRPr="004D0DAA" w:rsidRDefault="00711444" w:rsidP="00711444">
      <w:pPr>
        <w:pStyle w:val="B1"/>
      </w:pPr>
      <w:r w:rsidRPr="004D0DAA">
        <w:t>-</w:t>
      </w:r>
      <w:r w:rsidRPr="004D0DAA">
        <w:tab/>
        <w:t>If one uplink and one downlink TBF are already established, then the network may send a PACKET TIMESLOT RECONFIGURE message without</w:t>
      </w:r>
      <w:r w:rsidRPr="004D0DAA">
        <w:rPr>
          <w:b/>
        </w:rPr>
        <w:t xml:space="preserve"> </w:t>
      </w:r>
      <w:r w:rsidRPr="004D0DAA">
        <w:t>DOWNLINK_TFI_ASSIGNMENT or, for a DLMC configuration, without DOWNLINK_eTFI_ASSIGNMENT. The mobile station shall interpret this as a reassignment of the timeslot allocations of the concurrent uplink and downlink TBFs and the downlink TFI is not changed.</w:t>
      </w:r>
    </w:p>
    <w:p w14:paraId="76E7633D" w14:textId="77777777" w:rsidR="00711444" w:rsidRPr="004D0DAA" w:rsidRDefault="00711444" w:rsidP="00711444">
      <w:pPr>
        <w:pStyle w:val="Heading6"/>
      </w:pPr>
      <w:bookmarkStart w:id="242" w:name="_Toc516669430"/>
      <w:r w:rsidRPr="004D0DAA">
        <w:t>8.1.1.1.3.1</w:t>
      </w:r>
      <w:r w:rsidRPr="004D0DAA">
        <w:tab/>
        <w:t>Abnormal cases</w:t>
      </w:r>
      <w:bookmarkEnd w:id="242"/>
    </w:p>
    <w:p w14:paraId="25D703D6" w14:textId="77777777" w:rsidR="00711444" w:rsidRPr="004D0DAA" w:rsidRDefault="00711444" w:rsidP="00711444">
      <w:r w:rsidRPr="004D0DAA">
        <w:t>If a failure occurs on the mobile station side before the new TBF(s) has been successfully established, the newly reserved resources are released. The subsequent behaviour of the mobile station depends on the type of failure and previous actions:</w:t>
      </w:r>
    </w:p>
    <w:p w14:paraId="44BAF924" w14:textId="77777777" w:rsidR="00711444" w:rsidRPr="004D0DAA" w:rsidRDefault="00711444" w:rsidP="00711444">
      <w:pPr>
        <w:pStyle w:val="B1"/>
      </w:pPr>
      <w:r w:rsidRPr="004D0DAA">
        <w:t>-</w:t>
      </w:r>
      <w:r w:rsidRPr="004D0DAA">
        <w:tab/>
        <w:t>If the information in the PACKET TIMESLOT RECONFIGURE or MULTIPLE TBF TIMESLOT RECONFIGURE message does not properly specify an uplink and downlink PDCH or specifies a multislot configuration that the mobile station does not support (see 3GPP TS 45.002), the mobile station shall perform an abnormal release with access retry (see sub-clause 8.7.2);</w:t>
      </w:r>
    </w:p>
    <w:p w14:paraId="53F4B018" w14:textId="77777777" w:rsidR="00711444" w:rsidRPr="004D0DAA" w:rsidRDefault="00711444" w:rsidP="00711444">
      <w:pPr>
        <w:pStyle w:val="B1"/>
      </w:pPr>
      <w:r w:rsidRPr="004D0DAA">
        <w:t>-</w:t>
      </w:r>
      <w:r w:rsidRPr="004D0DAA">
        <w:tab/>
        <w:t>If one uplink and one downlink TBF are not already established and the PACKET TIMESLOT RECONFIGURE message does not include a DOWNLINK_TFI_ASSIGNMENT field, then the mobile station shall perform an abnormal release with access retry (see sub-clause 8.7.2);</w:t>
      </w:r>
    </w:p>
    <w:p w14:paraId="6D1476A3" w14:textId="77777777" w:rsidR="00711444" w:rsidRPr="004D0DAA" w:rsidRDefault="00711444" w:rsidP="00711444">
      <w:pPr>
        <w:pStyle w:val="B1"/>
      </w:pPr>
      <w:r w:rsidRPr="004D0DAA">
        <w:t>-</w:t>
      </w:r>
      <w:r w:rsidRPr="004D0DAA">
        <w:tab/>
        <w:t>If a mobile station in dual transfer mode or MAC-DTM state receives a downlink assignment message (e.g. PACKET DOWNLINK ASSIGNMENT, MULTIPLE TBF DOWNLINK ASSIGNMENT, PACKET TIMESLOT RECONFIGURE, MULTIPLE TBF TIMESLOT RECONFIGURE or PACKET CS RELEASE INDICATION message) including frequency parameters for the carrier supporting the dedicated resources, the mobile station shall perform an abnormal release with access retry (see sub-clause 8.7.2);</w:t>
      </w:r>
    </w:p>
    <w:p w14:paraId="451836F6" w14:textId="77777777" w:rsidR="00711444" w:rsidRPr="004D0DAA" w:rsidRDefault="00711444" w:rsidP="00711444">
      <w:pPr>
        <w:pStyle w:val="B1"/>
      </w:pPr>
      <w:r w:rsidRPr="004D0DAA">
        <w:lastRenderedPageBreak/>
        <w:t>-</w:t>
      </w:r>
      <w:r w:rsidRPr="004D0DAA">
        <w:tab/>
        <w:t>If a failure in the PACKET TIMESLOT RECONFIGURE or MULTIPLE TBF TIMESLOT RECONFIGURE message is due to any other reason, the mobile station shall abort the procedure and perform an abnormal release with access retry (see sub-clause 8.7.2;</w:t>
      </w:r>
    </w:p>
    <w:p w14:paraId="4D015D00" w14:textId="77777777" w:rsidR="00711444" w:rsidRPr="004D0DAA" w:rsidRDefault="00711444" w:rsidP="00711444">
      <w:pPr>
        <w:pStyle w:val="B1"/>
      </w:pPr>
      <w:r w:rsidRPr="004D0DAA">
        <w:t>-</w:t>
      </w:r>
      <w:r w:rsidRPr="004D0DAA">
        <w:tab/>
        <w:t>If both the mobile station and the network support multiple TBF procedures and if any given downlink assignment message provides an uplink TBF allocation for a PFI not associated with any ongoing uplink TBF, the mobile station shall abort the procedure and perform an abnormal release with access retry (see sub-clause 8.7.2);</w:t>
      </w:r>
    </w:p>
    <w:p w14:paraId="4859967A" w14:textId="77777777" w:rsidR="00711444" w:rsidRPr="004D0DAA" w:rsidRDefault="00711444" w:rsidP="00711444">
      <w:pPr>
        <w:pStyle w:val="B1"/>
      </w:pPr>
      <w:r w:rsidRPr="004D0DAA">
        <w:t>-</w:t>
      </w:r>
      <w:r w:rsidRPr="004D0DAA">
        <w:tab/>
        <w:t xml:space="preserve">If a mobile station that does not support Downlink Dual Carrier receives a PACKET DOWNLINK ASSIGNMENT message, PACKET TIMESLOT RECONFIGURE message, MULTIPLE TBF DOWNLINK ASSIGNMENT message or a MULTIPLE TBF TIMESLOT RECONFIGURE message that assigns resources on more than one carrier or includes the </w:t>
      </w:r>
      <w:r w:rsidRPr="004D0DAA">
        <w:rPr>
          <w:i/>
          <w:iCs/>
        </w:rPr>
        <w:t>Assignment Info</w:t>
      </w:r>
      <w:r w:rsidRPr="004D0DAA">
        <w:t xml:space="preserve"> IE which indicates that the assignment is a 'Modification of an existing assignment' or a 'Dual Carrier assignment', the mobile station shall perform an abnormal release with access retry (see sub-clause 8.7.2);</w:t>
      </w:r>
    </w:p>
    <w:p w14:paraId="2FEE991E" w14:textId="77777777" w:rsidR="00711444" w:rsidRPr="004D0DAA" w:rsidRDefault="00711444" w:rsidP="00711444">
      <w:pPr>
        <w:pStyle w:val="B1"/>
      </w:pPr>
      <w:r w:rsidRPr="004D0DAA">
        <w:t>-</w:t>
      </w:r>
      <w:r w:rsidRPr="004D0DAA">
        <w:tab/>
        <w:t>If a mobile which supports Downlink Dual Carrier receives a PACKET DOWNLINK ASSIGNMENT message, PACKET TIMESLOT RECONFIGURE message, MULTIPLE TBF DOWNLINK ASSIGNMENT message or a MULTIPLE TBF TIMESLOT RECONFIGURE message that assigns resources on two carriers and those two carriers are not within the same frequency band, the mobile station shall perform an abnormal release with access retry (see sub-clause 8.7.2);</w:t>
      </w:r>
    </w:p>
    <w:p w14:paraId="6F74E2B8" w14:textId="77777777" w:rsidR="00711444" w:rsidRPr="004D0DAA" w:rsidRDefault="00711444" w:rsidP="00711444">
      <w:pPr>
        <w:pStyle w:val="B1"/>
      </w:pPr>
      <w:r w:rsidRPr="004D0DAA">
        <w:t>-</w:t>
      </w:r>
      <w:r w:rsidRPr="004D0DAA">
        <w:tab/>
        <w:t>If a mobile station that supports Downlink Multi Carrier receives a PACKET DOWNLINK ASSIGNMENT message or PACKET TIMESLOT RECONFIGURE message that establishes or modifies a DLMC configuration wherein resources are assigned on carriers in different frequency bands but does not support inter-band reception, the mobile station shall perform an abnormal release with access retry (see sub-clause 8.7.2);</w:t>
      </w:r>
    </w:p>
    <w:p w14:paraId="722AB057" w14:textId="77777777" w:rsidR="00711444" w:rsidRPr="004D0DAA" w:rsidRDefault="00711444" w:rsidP="00711444">
      <w:pPr>
        <w:pStyle w:val="B1"/>
      </w:pPr>
      <w:r w:rsidRPr="004D0DAA">
        <w:t>-</w:t>
      </w:r>
      <w:r w:rsidRPr="004D0DAA">
        <w:tab/>
        <w:t>If a mobile station that supports Downlink Multi Carrier receives a PACKET DOWNLINK ASSIGNMENT message or PACKET TIMESLOT RECONFIGURE message that establishes or modifies a DLMC configuration with more carriers or more downlink timeslots than it supports, or assigns eTFIs or a SNS of 8192 or CS-3 for PDAN coding when the mobile station supports 20 or fewer time slots, or assigns carriers in a frequency band it does not support, the mobile station shall perform an abnormal release with access retry (see sub-clause 8.7.2);</w:t>
      </w:r>
    </w:p>
    <w:p w14:paraId="6ABBF16A" w14:textId="77777777" w:rsidR="00711444" w:rsidRPr="004D0DAA" w:rsidRDefault="00711444" w:rsidP="00711444">
      <w:pPr>
        <w:pStyle w:val="B1"/>
      </w:pPr>
      <w:r w:rsidRPr="004D0DAA">
        <w:t>-</w:t>
      </w:r>
      <w:r w:rsidRPr="004D0DAA">
        <w:tab/>
        <w:t>If a mobile station that supports Downlink Multi Carrier receives a PACKET DOWNLINK ASSIGNMENT message that modifies a DLMC configuration that releases carriers on which USF is being monitored, the mobile station shall perform an abnormal release with access retry (see sub-clause 8.7.2);</w:t>
      </w:r>
    </w:p>
    <w:p w14:paraId="47295A6E" w14:textId="77777777" w:rsidR="00711444" w:rsidRPr="004D0DAA" w:rsidRDefault="00711444" w:rsidP="00711444">
      <w:pPr>
        <w:pStyle w:val="B1"/>
      </w:pPr>
      <w:r w:rsidRPr="004D0DAA">
        <w:t>-</w:t>
      </w:r>
      <w:r w:rsidRPr="004D0DAA">
        <w:tab/>
        <w:t xml:space="preserve">If a mobile station that supports Downlink Multi Carrier receives a PACKET DOWNLINK ASSIGNMENT message or PACKET TIMESLOT RECONFIGURE message that assigns two or more UFPSs to the same Mobile Allocation (as defined by the </w:t>
      </w:r>
      <w:r w:rsidRPr="004D0DAA">
        <w:rPr>
          <w:i/>
        </w:rPr>
        <w:t xml:space="preserve">DLMC Frequency Parameter </w:t>
      </w:r>
      <w:r w:rsidRPr="004D0DAA">
        <w:t>IE), the mobile station shall perform an abnormal release with access retry (see sub-clause 8.7.2);</w:t>
      </w:r>
    </w:p>
    <w:p w14:paraId="187F0F85" w14:textId="77777777" w:rsidR="00711444" w:rsidRPr="004D0DAA" w:rsidRDefault="00711444" w:rsidP="00711444">
      <w:pPr>
        <w:pStyle w:val="B1"/>
      </w:pPr>
      <w:r w:rsidRPr="004D0DAA">
        <w:t>-</w:t>
      </w:r>
      <w:r w:rsidRPr="004D0DAA">
        <w:tab/>
        <w:t>If a mobile station that supports Downlink Multi Carrier receives a PACKET UPLINK ASSIGNMENT message that modifies a DLMC configuration by assigning an uplink carrier that does not correspond to an existing downlink carrier, the mobile station shall perform an abnormal release with access retry (see sub-clause 8.7.2);</w:t>
      </w:r>
    </w:p>
    <w:p w14:paraId="5D8327D3" w14:textId="77777777" w:rsidR="00711444" w:rsidRPr="004D0DAA" w:rsidRDefault="00711444" w:rsidP="00711444">
      <w:pPr>
        <w:pStyle w:val="B1"/>
      </w:pPr>
      <w:r w:rsidRPr="004D0DAA">
        <w:t>-</w:t>
      </w:r>
      <w:r w:rsidRPr="004D0DAA">
        <w:tab/>
        <w:t>If a failure in the PACKET DOWNLINK ASSIGNMENT, MULTIPLE TBF DOWNLINK ASSIGNMENT or PACKET CS RELEASE INDICATION message is due to any other reason (including the presence of frequency parameters which do not comply with the requirements specified in sub-clause 5.5.1.7), the mobile station shall abort the procedure and continue the normal operation of the ongoing uplink TBFs and ongoing downlink TBFs.</w:t>
      </w:r>
    </w:p>
    <w:p w14:paraId="0B9BA093" w14:textId="77777777" w:rsidR="00711444" w:rsidRPr="004D0DAA" w:rsidRDefault="00711444" w:rsidP="00711444">
      <w:pPr>
        <w:pStyle w:val="Heading4"/>
      </w:pPr>
      <w:bookmarkStart w:id="243" w:name="_Toc516669431"/>
      <w:r w:rsidRPr="004D0DAA">
        <w:t>8.1.1.2</w:t>
      </w:r>
      <w:r w:rsidRPr="004D0DAA">
        <w:tab/>
        <w:t>Extended Dynamic Allocation uplink RLC data block transfer</w:t>
      </w:r>
      <w:bookmarkEnd w:id="243"/>
    </w:p>
    <w:p w14:paraId="6C6BCF7D" w14:textId="77777777" w:rsidR="00711444" w:rsidRPr="004D0DAA" w:rsidRDefault="00711444" w:rsidP="00711444">
      <w:r w:rsidRPr="004D0DAA">
        <w:t>The Extended Dynamic Allocation medium access method extends the Dynamic Allocation medium access method to allow higher uplink throughput.</w:t>
      </w:r>
    </w:p>
    <w:p w14:paraId="7F03CF10" w14:textId="77777777" w:rsidR="00711444" w:rsidRPr="004D0DAA" w:rsidRDefault="00711444" w:rsidP="00711444">
      <w:r w:rsidRPr="004D0DAA">
        <w:t>This sub-clause defines the extensions to the Dynamic Allocation medium access method. All procedures defined in sub-clause 8.1.1.1 apply, except where this sub-clause defines a new procedure. In cases where this sub-clause conflicts with sub-clause 8.1.1.1, this sub-clause takes precedence.</w:t>
      </w:r>
    </w:p>
    <w:p w14:paraId="502BA54D" w14:textId="77777777" w:rsidR="00711444" w:rsidRPr="004D0DAA" w:rsidRDefault="00711444" w:rsidP="00711444">
      <w:pPr>
        <w:pStyle w:val="Heading5"/>
      </w:pPr>
      <w:bookmarkStart w:id="244" w:name="_Toc516669432"/>
      <w:r w:rsidRPr="004D0DAA">
        <w:lastRenderedPageBreak/>
        <w:t>8.1.1.2.1</w:t>
      </w:r>
      <w:r w:rsidRPr="004D0DAA">
        <w:tab/>
        <w:t>Uplink PDCH Allocation</w:t>
      </w:r>
      <w:bookmarkEnd w:id="244"/>
    </w:p>
    <w:p w14:paraId="35716AFE" w14:textId="77777777" w:rsidR="00711444" w:rsidRPr="004D0DAA" w:rsidRDefault="00711444" w:rsidP="00711444">
      <w:r w:rsidRPr="004D0DAA">
        <w:t xml:space="preserve">The PACKET UPLINK ASSIGNMENT and MULTIPLE TBF UPLINK ASSIGNMENT messages assign to the mobile station a subset of 1 to N uplink PDCHs (when the uplink TBF operates in BTTI configuration) or uplink PDCH-pairs (when the uplink TBF operates in RTTI configuration), where N depends on the mobile station multislot class. </w:t>
      </w:r>
    </w:p>
    <w:p w14:paraId="5B225AF4" w14:textId="77777777" w:rsidR="00711444" w:rsidRPr="004D0DAA" w:rsidRDefault="00711444" w:rsidP="00711444">
      <w:r w:rsidRPr="004D0DAA">
        <w:t xml:space="preserve">An uplink TBF that operates in RTTI configuration may receive the assigned USFs either in BTTI USF mode or in RTTI USF mode. The indication of whether BTTI USF mode or RTTI USF mode is to be used is provided during the assignment of the corresponding uplink TBF. </w:t>
      </w:r>
    </w:p>
    <w:p w14:paraId="500823D2" w14:textId="77777777" w:rsidR="00711444" w:rsidRPr="004D0DAA" w:rsidRDefault="00711444" w:rsidP="00711444">
      <w:r w:rsidRPr="004D0DAA">
        <w:t>If a mobile station supports Downlink Dual Carrier, the PACKET UPLINK ASSIGNMENT or MULTIPLE TBF UPLINK ASSIGNMENT message may assign PDCHs (corresponding to any given uplink TBF) on more than one carrier frequency. If this occurs, the Extended Dynamic Allocation procedures shall operate independently on each of the two carriers.</w:t>
      </w:r>
    </w:p>
    <w:p w14:paraId="63531FAE" w14:textId="77777777" w:rsidR="00711444" w:rsidRPr="004D0DAA" w:rsidRDefault="00711444" w:rsidP="00711444">
      <w:r w:rsidRPr="004D0DAA">
        <w:t xml:space="preserve">A mobile station with a DLMC configuration shall only act on a PACKET UPLINK ASSIGNMENT message if it includes the </w:t>
      </w:r>
      <w:r w:rsidRPr="004D0DAA">
        <w:rPr>
          <w:rFonts w:cs="Arial"/>
          <w:i/>
          <w:szCs w:val="18"/>
        </w:rPr>
        <w:t>DLMC UL Carrier Info</w:t>
      </w:r>
      <w:r w:rsidRPr="004D0DAA">
        <w:t xml:space="preserve"> IE (see sub-clause 11.2.29). In this case the message may reference one or more of the uplink carriers corresponding to the set of downlink carriers and indicate the following:</w:t>
      </w:r>
    </w:p>
    <w:p w14:paraId="06F341BD" w14:textId="77777777" w:rsidR="00711444" w:rsidRPr="004D0DAA" w:rsidRDefault="00714E95" w:rsidP="00714E95">
      <w:pPr>
        <w:pStyle w:val="B1"/>
      </w:pPr>
      <w:r w:rsidRPr="004D0DAA">
        <w:t>-</w:t>
      </w:r>
      <w:r w:rsidRPr="004D0DAA">
        <w:tab/>
      </w:r>
      <w:r w:rsidR="00711444" w:rsidRPr="004D0DAA">
        <w:t>The referenced uplink carrier is not part of the uplink TBF in which case all resources for that uplink carrier (if any) are released.</w:t>
      </w:r>
    </w:p>
    <w:p w14:paraId="3D2D95E0" w14:textId="77777777" w:rsidR="00711444" w:rsidRPr="004D0DAA" w:rsidRDefault="00714E95" w:rsidP="00714E95">
      <w:pPr>
        <w:pStyle w:val="B1"/>
      </w:pPr>
      <w:r w:rsidRPr="004D0DAA">
        <w:t>-</w:t>
      </w:r>
      <w:r w:rsidRPr="004D0DAA">
        <w:tab/>
      </w:r>
      <w:r w:rsidR="00711444" w:rsidRPr="004D0DAA">
        <w:t>The referenced uplink carrier is part of the uplink TBF. If the message assigns no resources for that carrier then its existing resources remain unchanged. Otherwise, the assigned resources shall replace the existing resources (if any) for that carrier.</w:t>
      </w:r>
    </w:p>
    <w:p w14:paraId="18DB7E48" w14:textId="77777777" w:rsidR="00711444" w:rsidRPr="004D0DAA" w:rsidRDefault="00714E95" w:rsidP="00714E95">
      <w:pPr>
        <w:pStyle w:val="B1"/>
      </w:pPr>
      <w:r w:rsidRPr="004D0DAA">
        <w:t>-</w:t>
      </w:r>
      <w:r w:rsidRPr="004D0DAA">
        <w:tab/>
      </w:r>
      <w:r w:rsidR="00711444" w:rsidRPr="004D0DAA">
        <w:t>If the message does not reference an uplink carrier then all resources for that uplink carrier (if any) are released.</w:t>
      </w:r>
    </w:p>
    <w:p w14:paraId="378843B5" w14:textId="77777777" w:rsidR="00711444" w:rsidRPr="004D0DAA" w:rsidRDefault="00711444" w:rsidP="00711444">
      <w:r w:rsidRPr="004D0DAA">
        <w:t>A mobile station that has an uplink TBF operating in BTTI configuration shall monitor the downlink PDCHs corresponding to (i.e. with the same timeslot number as) its assigned uplink PDCHs starting with the lowest numbered PDCH, then the next lowest numbered PDCH, etc., up to the one corresponding to the highest numbered assigned uplink PDCH except if the mobile station is in DTR mode. A mobile station in DTR mode shall only monitor the timeslot indicated in the DTR information (see sub-clause 8.1.8). A mobile station that has an uplink TBF operating in RTTI configuration shall monitor the downlink PDCH-pairs starting with the one corresponding to the uplink PDCH-pair with the lowest numbered timeslots, then the next uplink PDCH-pair, etc., up to the downlink PDCH-pair corresponding to the uplink PDCH-pair with the highest numbered timeslots assigned to the mobile station except if the mobile station is in DTR mode. A mobile station in DTR mode shall only monitor the downlink PDCH-pair indicated in the DTR information (see sub-clause 8.1.8). When in dual transfer mode, the network shall not assign uplink PDCHs whose corresponding downlink PDCH cannot be monitored by the mobile station because of the presence of the uplink dedicated channel. As an exception, in the case of dual transfer mode, if the mobile station indicates support of DTM high multislot class capability, the network may also assign uplink PDCHs whose corresponding downlink PDCH cannot be monitored by the mobile station. In this case, the mobile station shall monitor only those downlink PDCHs that are feasible when taking into account the position of the uplink dedicated channel and the switching requirements of its multislot class (see 3GPP TS 45.002).</w:t>
      </w:r>
    </w:p>
    <w:p w14:paraId="019A4F66" w14:textId="77777777" w:rsidR="00711444" w:rsidRPr="004D0DAA" w:rsidRDefault="00711444" w:rsidP="00711444">
      <w:r w:rsidRPr="004D0DAA">
        <w:t>Whenever a mobile station with an uplink TBF operating in BTTI configuration detects an assigned USF value on a monitored PDCH, the mobile station shall transmit either a single RLC/MAC block or a sequence of four RLC/MAC blocks on the corresponding uplink PDCH (i.e. with the same timeslot number as the downlink PDCH on which the USF was detected) and on all higher numbered assigned uplink PDCHs except if it is in DTR mode. A mobile station in DTR mode shall perform any necessary uplink transmissions upon the detection of its assigned USF(s) using Dynamic Allocation procedures as specified in sub-clause 8.1.1.1.</w:t>
      </w:r>
    </w:p>
    <w:p w14:paraId="17E4AAF6" w14:textId="77777777" w:rsidR="00711444" w:rsidRPr="004D0DAA" w:rsidRDefault="00711444" w:rsidP="00711444">
      <w:r w:rsidRPr="004D0DAA">
        <w:t>The following applies for an uplink TBF in RTTI configuration that receives USFs in BTTI USF mode:</w:t>
      </w:r>
    </w:p>
    <w:p w14:paraId="3A7F6DF8" w14:textId="77777777" w:rsidR="00711444" w:rsidRPr="004D0DAA" w:rsidRDefault="00711444" w:rsidP="00711444">
      <w:pPr>
        <w:pStyle w:val="B1"/>
      </w:pPr>
      <w:r w:rsidRPr="004D0DAA">
        <w:t xml:space="preserve">- </w:t>
      </w:r>
      <w:r w:rsidRPr="004D0DAA">
        <w:tab/>
        <w:t>An assigned USF received on the first PDCH of a monitored downlink PDCH-pair allocates resources for one or four uplink RTTI radio blocks in the first two TDMA frames of the following basic radio block period(s) on the corresponding uplink PDCH-pair and all assigned uplink PDCH-pairs with higher numbered timeslots.</w:t>
      </w:r>
    </w:p>
    <w:p w14:paraId="45AA96D3" w14:textId="77777777" w:rsidR="00711444" w:rsidRPr="004D0DAA" w:rsidRDefault="00711444" w:rsidP="00711444">
      <w:pPr>
        <w:pStyle w:val="B1"/>
      </w:pPr>
      <w:r w:rsidRPr="004D0DAA">
        <w:t xml:space="preserve"> - </w:t>
      </w:r>
      <w:r w:rsidRPr="004D0DAA">
        <w:tab/>
        <w:t>An assigned USF received on the second PDCH of a monitored downlink PDCH-pair allocates resources for one or four uplink RTTI radio blocks in the second two TDMA frames of the following basic radio block period(s) on the corresponding uplink PDCH-pair and all assigned uplink PDCH-pairs with higher numbered timeslots.</w:t>
      </w:r>
    </w:p>
    <w:p w14:paraId="3C690900" w14:textId="77777777" w:rsidR="00711444" w:rsidRPr="004D0DAA" w:rsidRDefault="00711444" w:rsidP="00711444">
      <w:r w:rsidRPr="004D0DAA">
        <w:t>The following applies for an uplink TBF in RTTI configuration that receives USFs in RTTI USF mode:</w:t>
      </w:r>
    </w:p>
    <w:p w14:paraId="248B1181" w14:textId="77777777" w:rsidR="00711444" w:rsidRPr="004D0DAA" w:rsidRDefault="00711444" w:rsidP="00711444">
      <w:pPr>
        <w:pStyle w:val="B1"/>
      </w:pPr>
      <w:r w:rsidRPr="004D0DAA">
        <w:lastRenderedPageBreak/>
        <w:t xml:space="preserve">- </w:t>
      </w:r>
      <w:r w:rsidRPr="004D0DAA">
        <w:tab/>
        <w:t>An assigned USF received in the first reduced radio block period of a given basic radio block period on a monitored downlink PDCH-pair allocates resources for one or four uplink RTTI radio blocks in the second reduced radio block period starting in the same basic radio block period and continuing with the second reduced radio block period in the following basic radio block periods, depending on the USF granularity, on the corresponding uplink PDCH-pair and all assigned uplink PDCH-pairs with higher numbered timeslots.</w:t>
      </w:r>
    </w:p>
    <w:p w14:paraId="062B46CD" w14:textId="77777777" w:rsidR="00711444" w:rsidRPr="004D0DAA" w:rsidRDefault="00711444" w:rsidP="00711444">
      <w:pPr>
        <w:pStyle w:val="B1"/>
      </w:pPr>
      <w:r w:rsidRPr="004D0DAA">
        <w:t xml:space="preserve"> - </w:t>
      </w:r>
      <w:r w:rsidRPr="004D0DAA">
        <w:tab/>
        <w:t>An assigned USF received in the second reduced radio block period of a given basic radio block period on a monitored downlink PDCH-pair allocates resources for one or four uplink RTTI radio blocks in the first reduced radio block period starting in the next basic radio block period and continuing with the first reduced radio block period in the following basic radio block periods, depending on the USF granularity, on the corresponding uplink PDCH-pair and all assigned uplink PDCH-pairs with higher numbered timeslots.</w:t>
      </w:r>
    </w:p>
    <w:p w14:paraId="4547DE25" w14:textId="77777777" w:rsidR="00711444" w:rsidRPr="004D0DAA" w:rsidRDefault="00711444" w:rsidP="00711444">
      <w:r w:rsidRPr="004D0DAA">
        <w:t>The following applies for an uplink TBF operating in an MTTI configuration when BTTI USF mode is used (i.e. RTTI_USF_MODE is set to '0'):</w:t>
      </w:r>
    </w:p>
    <w:p w14:paraId="712209B4" w14:textId="77777777" w:rsidR="00711444" w:rsidRPr="004D0DAA" w:rsidRDefault="00711444" w:rsidP="00711444">
      <w:pPr>
        <w:pStyle w:val="B1"/>
      </w:pPr>
      <w:r w:rsidRPr="004D0DAA">
        <w:t>-</w:t>
      </w:r>
      <w:r w:rsidRPr="004D0DAA">
        <w:tab/>
        <w:t>An assigned USF received on the first or second PDCH of a monitored downlink PDCH-pair allocates resources as specified above for the case of an uplink TBF in RTTI configuration where USFs are received in BTTI USF mode. In addition, if, within the MTTI configuration, the uplink BTTI resource uses a higher numbered timeslot number than the RTTI resources, an assigned USF received on the first PDCH of a monitored downlink PDCH-pair (i.e. a PDCH-pair that corresponds to an uplink PDCH-pair that is part of the uplink MTTI configuration) allocates resources for one or four uplink BTTI radio blocks using the BTTI resources within the MTTI configuration.</w:t>
      </w:r>
    </w:p>
    <w:p w14:paraId="41DB3D8B" w14:textId="77777777" w:rsidR="00711444" w:rsidRPr="004D0DAA" w:rsidRDefault="00711444" w:rsidP="00711444">
      <w:pPr>
        <w:pStyle w:val="B1"/>
      </w:pPr>
      <w:r w:rsidRPr="004D0DAA">
        <w:t>-</w:t>
      </w:r>
      <w:r w:rsidRPr="004D0DAA">
        <w:tab/>
        <w:t>An assigned USF received on the downlink PDCH that corresponds to the uplink BTTI PDCH resource allocates resources for one or four uplink BTTI radio blocks using the BTTI resources within the MTTI configuration and, if the uplink RTTI resources use higher numbered timeslots than the uplink BTTI resource, two or eight uplink RTTI radio blocks (i.e. in both the first and second reduced radio block periods in the subsequent basic radio block period(s)) for each assigned RTTI PDCH-pair within the MTTI configuration.</w:t>
      </w:r>
    </w:p>
    <w:p w14:paraId="12D4E0C7" w14:textId="77777777" w:rsidR="00711444" w:rsidRPr="004D0DAA" w:rsidRDefault="00711444" w:rsidP="00711444">
      <w:pPr>
        <w:pStyle w:val="NO"/>
      </w:pPr>
      <w:r w:rsidRPr="004D0DAA">
        <w:t>NOTE:</w:t>
      </w:r>
      <w:r w:rsidRPr="004D0DAA">
        <w:tab/>
        <w:t>Examples of allocations of MTTI resources are given in Annex M.</w:t>
      </w:r>
    </w:p>
    <w:p w14:paraId="0BBFFF9F" w14:textId="77777777" w:rsidR="00711444" w:rsidRPr="004D0DAA" w:rsidRDefault="00711444" w:rsidP="00711444">
      <w:r w:rsidRPr="004D0DAA">
        <w:t>The following applies for an uplink TBF operating in an MTTI configuration when RTTI USF mode is used (i.e. RTTI_USF_MODE is set to '1'):</w:t>
      </w:r>
    </w:p>
    <w:p w14:paraId="5FBE3B9F" w14:textId="77777777" w:rsidR="00711444" w:rsidRPr="004D0DAA" w:rsidRDefault="00711444" w:rsidP="00711444">
      <w:pPr>
        <w:pStyle w:val="B1"/>
      </w:pPr>
      <w:r w:rsidRPr="004D0DAA">
        <w:t>-</w:t>
      </w:r>
      <w:r w:rsidRPr="004D0DAA">
        <w:tab/>
        <w:t>An assigned USF received in RTTI USF mode (i.e. on a downlink PDCH-pair corresponding to an assigned uplink PDCH-pair) allocates resources only for the assigned uplink RTTI resources, in accordance with the specifications for RTTI-only assignments. RTTI USFs do not allocate the uplink BTTI PDCH within an MTTI configuration.</w:t>
      </w:r>
    </w:p>
    <w:p w14:paraId="200219D5" w14:textId="77777777" w:rsidR="00711444" w:rsidRPr="004D0DAA" w:rsidRDefault="00711444" w:rsidP="00711444">
      <w:pPr>
        <w:pStyle w:val="B1"/>
      </w:pPr>
      <w:r w:rsidRPr="004D0DAA">
        <w:t>-</w:t>
      </w:r>
      <w:r w:rsidRPr="004D0DAA">
        <w:tab/>
        <w:t>An assigned USF received on the downlink PDCH corresponding to the uplink BTTI PDCH resource allocates resources for one or four uplink BTTI radio blocks using the BTTI resources within the MTTI configuration. In addition, if, within the MTTI configuration, the uplink BTTI resource uses a lower numbered timeslot number than the RTTI resources, then an assigned USF received on the downlink PDCH corresponding to the uplink BTTI PDCH resource allocates resources for two or eight uplink RTTI radio blocks (i.e. in both the first and second reduced radio block periods in the subsequent basic radio block period(s)) for each assigned RTTI PDCH-pair within the MTTI configuration.</w:t>
      </w:r>
    </w:p>
    <w:p w14:paraId="0BA5B668" w14:textId="77777777" w:rsidR="00711444" w:rsidRPr="004D0DAA" w:rsidRDefault="00711444" w:rsidP="00711444">
      <w:r w:rsidRPr="004D0DAA">
        <w:t xml:space="preserve">For a mobile station with an uplink TBF for which EFTA is used transmissions shall be performed on the uplink PDCHs or PDCH-pairs allocated by the USF as specified in Annex N. In case the mobile station also has one or more concurrent downlink TBF(s), but does not have enough RLC/MAC blocks ready for transmission to fully utilize the total number of allocated resources for uplink radio block transmission during the corresponding radio block period(s), then it shall immediately begin monitoring its assigned downlink PDCHs or PDCH-pairs after transmitting its last available RLC/MAC block taking into account the switching time requirements of its multislot class (see 3GPP TS 45.002). </w:t>
      </w:r>
    </w:p>
    <w:p w14:paraId="6F5365D5" w14:textId="77777777" w:rsidR="00711444" w:rsidRPr="004D0DAA" w:rsidRDefault="00711444" w:rsidP="00711444">
      <w:r w:rsidRPr="004D0DAA">
        <w:t>The time relation between an uplink block which the mobile station shall use for transmission and the occurrence of the USF value is defined in 3GPP TS 45.002. The number of RLC/MAC blocks to transmit on each allocated uplink PDCH/PDCH-pair is controlled by the USF_GRANULARITY parameter characterising the uplink TBF. The mobile station shall, in either BTTI or RTTI configuration, ignore the USF on those higher numbered PDCHs or PDCH-pairs with higher numbered timeslots during the block period where the assigned USF value is detected. In addition, if USF_GRANULARITY is set to four blocks allocation, it may ignore the USF on all other PDCHs/PDCH-pairs during the first three block periods in which the mobile station has been granted permission to transmit. As specified in 3GPP TS 45.002, the USF corresponding to the last three blocks of a four blocks allocation shall be set to an unused value for each PDCH/PDCH-pair on which the mobile station has been granted permission to transmit.</w:t>
      </w:r>
    </w:p>
    <w:p w14:paraId="6D76831A" w14:textId="77777777" w:rsidR="00711444" w:rsidRPr="004D0DAA" w:rsidRDefault="00711444" w:rsidP="00711444">
      <w:r w:rsidRPr="004D0DAA">
        <w:lastRenderedPageBreak/>
        <w:t>The mobile station shall, during a basic or reduced radio block period in which it has been granted permission to transmit, monitor the assigned USF on the downlink PDCHs/PDCH-pairs corresponding to its assigned uplink PDCHs/PDCH-pairs starting with the lowest numbered PDCH or PDCH-pair with the lowest numbered timeslots up to the highest numbered PDCH or PDCH-pair with the highest numbered timeslots which the mobile is able to monitor, taking into account the PDCHs/PDCH-pairs allocated for transmission in the basic or reduced radio block period and the switching requirements of the mobile station multislot class (see 3GPP TS 45.002). A mobile station in DTR mode shall only monitor the assigned USF on the downlink PDCH/PDCH-pair indicated in DTR information (see sub-clause 8.1.8).</w:t>
      </w:r>
    </w:p>
    <w:p w14:paraId="76907DD8" w14:textId="77777777" w:rsidR="00711444" w:rsidRPr="004D0DAA" w:rsidRDefault="00711444" w:rsidP="00711444">
      <w:r w:rsidRPr="004D0DAA">
        <w:t>If the network wishes to reduce the number of PDCHs/PDCH-pairs allocated to a mobile station per basic/reduced radio block period, the network may do so, provided that this is compatible with the mobile station’s ability to monitor the assigned USF in the downlink PDCH/PDCH-pairs corresponding to the lowest numbered uplink PDCH or PDCH-pair with the lowest numbered timeslots in the new allocation. Otherwise, the network shall not allocate any resources to that mobile station for one basic/reduced radio block period following the basic/reduced radio block period with the higher number of PDCHs/PDCH-pairs allocated.</w:t>
      </w:r>
    </w:p>
    <w:p w14:paraId="2038BBFC" w14:textId="77777777" w:rsidR="00711444" w:rsidRPr="004D0DAA" w:rsidRDefault="00711444" w:rsidP="00711444">
      <w:r w:rsidRPr="004D0DAA">
        <w:t>During the downlink block period where an uplink basic/reduced TTI radio block is allocated on a PDCH/PDCH-pair via the polling mechanism (see sub-clause 10.4.4), the mobile st</w:t>
      </w:r>
      <w:r w:rsidRPr="004D0DAA">
        <w:t>a</w:t>
      </w:r>
      <w:r w:rsidRPr="004D0DAA">
        <w:t>tion shall monitor the assigned USF on the downlink PDCHs/PDCH-pairs corresponding to its assigned uplink PDCHs/PDCH-pairs starting with the lowest numbered PDCH or PDCH-pair with the lowest numbered timeslots up to the highest numbered PDCH or PDCH-pair with the highest numbered timeslots which is feasible when taking into account the PDCHs/PDCH-pairs allocated for transmission in the basic/reduced radio block period and the switching requirements of the mobile station multislot class (see 3GPP TS 45.002).</w:t>
      </w:r>
    </w:p>
    <w:p w14:paraId="3B907768" w14:textId="77777777" w:rsidR="00711444" w:rsidRPr="004D0DAA" w:rsidRDefault="00711444" w:rsidP="00711444">
      <w:pPr>
        <w:pStyle w:val="Heading5"/>
      </w:pPr>
      <w:bookmarkStart w:id="245" w:name="_Toc516669433"/>
      <w:r w:rsidRPr="004D0DAA">
        <w:t>8.1.1.2.2</w:t>
      </w:r>
      <w:r w:rsidRPr="004D0DAA">
        <w:tab/>
        <w:t>PACCH operation</w:t>
      </w:r>
      <w:bookmarkEnd w:id="245"/>
    </w:p>
    <w:p w14:paraId="3041A7D9" w14:textId="77777777" w:rsidR="00711444" w:rsidRPr="004D0DAA" w:rsidRDefault="00711444" w:rsidP="00711444">
      <w:r w:rsidRPr="004D0DAA">
        <w:t>The mobile station shall attempt to decode every downlink RLC/MAC block on the downlink PDCH corresponding to (i.e. with the same timeslot number as) the lowest numbered timeslot in the PDCH assignment when the uplink TBF operates in the BTTI configuration. A mobile station operating in DTR mode (see sub-clause 8.1.8) shall attempt to decode every RLC/MAC block on a downlink PDCH which the mobile station is required to monitor for the assigned USF as indicated in the DTR information as specified in sub-clause 8.1.1.2.1.</w:t>
      </w:r>
    </w:p>
    <w:p w14:paraId="61D10C38" w14:textId="77777777" w:rsidR="00711444" w:rsidRPr="004D0DAA" w:rsidRDefault="00711444" w:rsidP="00711444">
      <w:r w:rsidRPr="004D0DAA">
        <w:t>In case the uplink TBF operates in RTTI configuration the mobile station shall attempt to decode every downlink RLC/MAC block on the corresponding downlink PDCH-pair associated with the lowest numbered assigned uplink PDCH-pair (i.e. with lowest time slot numbers) in the set of assigned uplink PDCH-pairs (i.e. downlink PACCH blocks are received in the same mode as the assigned uplink TBF). A mobile station operating in DTR mode (see sub-clause 8.1.8) shall attempt to decode every RLC/MAC block on a downlink PDCH-pair which the mobile station is required to monitor for the assigned USF as indicated in the DTR information as specified in sub-clause 8.1.1.2.1.</w:t>
      </w:r>
    </w:p>
    <w:p w14:paraId="2BCE98C3" w14:textId="77777777" w:rsidR="00711444" w:rsidRPr="004D0DAA" w:rsidRDefault="00711444" w:rsidP="00711444">
      <w:r w:rsidRPr="004D0DAA">
        <w:t>Whenever the mobile station receives an RLC/MAC block containing an RLC/MAC control block, the mobile station shall attempt to interpret the message contained therein. If the message addresses the mobile station, the mobile station shall act on the message.</w:t>
      </w:r>
    </w:p>
    <w:p w14:paraId="2FC73134" w14:textId="77777777" w:rsidR="00711444" w:rsidRPr="004D0DAA" w:rsidRDefault="00711444" w:rsidP="00711444">
      <w:r w:rsidRPr="004D0DAA">
        <w:t>In case the uplink TBF operates in BTTI configuration then the network shall transmit all PACCH messages on the PDCH carried on the downlink timeslot corresponding to the lowest numbered timeslot in the assignment. Additionally for the concurrent TBF case, the network may transmit PACCH messages on any of the common timeslots assigned to the downlink and uplink PDCH assignment.</w:t>
      </w:r>
    </w:p>
    <w:p w14:paraId="07B772DB" w14:textId="77777777" w:rsidR="00711444" w:rsidRPr="004D0DAA" w:rsidRDefault="00711444" w:rsidP="00711444">
      <w:r w:rsidRPr="004D0DAA">
        <w:t>In case the uplink TBF operates in RTTI configuration then the network shall transmit all PACCH messages on the corresponding downlink PDCH-pair associated with the lowest numbered assigned uplink PDCH-pair. Additionally, for the concurrent TBF case, the network may transmit PACCH messages on any of the PDCH-pairs assigned that are common to the downlink and uplink PDCH-pair assignments.</w:t>
      </w:r>
    </w:p>
    <w:p w14:paraId="23BE02AB" w14:textId="77777777" w:rsidR="00711444" w:rsidRPr="004D0DAA" w:rsidRDefault="00711444" w:rsidP="00711444">
      <w:r w:rsidRPr="004D0DAA">
        <w:t>In case the uplink TBF operates in MTTI configuration, then the network shall transmit all PACCH messages on the PDCH or PDCH-pair that uses the lowest numbered timeslot in the MTTI configuration. Additionally, for the case of concurrent uplink and downlink TBFs, the network may transmit PACCH messages on any PDCH or PDCH-pair which is common to the uplink and downlink resource assignments.</w:t>
      </w:r>
    </w:p>
    <w:p w14:paraId="4B791C0F" w14:textId="77777777" w:rsidR="00711444" w:rsidRPr="004D0DAA" w:rsidRDefault="00711444" w:rsidP="00711444">
      <w:r w:rsidRPr="004D0DAA">
        <w:t xml:space="preserve">Whenever a mobile station, that has an assigned uplink TBF that operates in BTTI configuration, detects an assigned USF value on any monitored PDCH, the mobile station may transmit a PACCH block on the same PDCH in the next block period. Whenever a mobile station, that has an assigned uplink TBF that operates in RTTI configuration, detects an assigned USF value on any corresponding downlink PDCH-pair associated with an assigned uplink PDCH-pair, the mobile station may transmit a PACCH block on the PDCH-pair. The PACCH block shall be transmitted according to </w:t>
      </w:r>
      <w:r w:rsidRPr="004D0DAA">
        <w:lastRenderedPageBreak/>
        <w:t>the USF scheduling in 8.1.1.2.1. The mobile station shall not transmit an RLC data block in any uplink radio block allocated via the polling mechanism (see sub-clauses 10.4.4, 10.4.4a, 10.4.4b) unless the uplink TBF operates in either RTTI configuration, or in BTTI configuration with FANR activated, and the mobile station is polled for a Piggy-backed Ack/Nack (see sub-clause 10.4.4b).</w:t>
      </w:r>
    </w:p>
    <w:p w14:paraId="00363F4C" w14:textId="77777777" w:rsidR="00711444" w:rsidRPr="004D0DAA" w:rsidRDefault="00711444" w:rsidP="00711444">
      <w:r w:rsidRPr="004D0DAA">
        <w:t>In the case of a Downlink Dual Carrier configuration or a DLMC configuration, all segments belonging to each RLC/MAC control message shall be sent on PACCH blocks belongi</w:t>
      </w:r>
      <w:r w:rsidRPr="004D0DAA">
        <w:t>ng to the same carrier.</w:t>
      </w:r>
    </w:p>
    <w:p w14:paraId="3C2703E7" w14:textId="77777777" w:rsidR="00711444" w:rsidRPr="004D0DAA" w:rsidRDefault="00711444" w:rsidP="00711444">
      <w:r w:rsidRPr="004D0DAA">
        <w:t>When a mobile station in a DLMC configuration supporting more than 20 downlink timeslots sends an EGPRS Packet Downlink Ack/Nack DLMC message (see sub-clause 11.2.48) it shall be coded using CS-1 or CS-3 as indicated by the most recently received assignment message. Otherwise, if it supports 20 or less downlink timeslots, EGPRS Packet Downlink Ack/Nack DLMC messages shall be coded using CS-1.</w:t>
      </w:r>
    </w:p>
    <w:p w14:paraId="3FCD7EB9" w14:textId="77777777" w:rsidR="00711444" w:rsidRPr="004D0DAA" w:rsidRDefault="00711444" w:rsidP="00711444">
      <w:pPr>
        <w:pStyle w:val="Heading5"/>
      </w:pPr>
      <w:bookmarkStart w:id="246" w:name="_Toc516669434"/>
      <w:r w:rsidRPr="004D0DAA">
        <w:t>8.1.1.2.3</w:t>
      </w:r>
      <w:r w:rsidRPr="004D0DAA">
        <w:tab/>
        <w:t>Neighbour cell power measurements</w:t>
      </w:r>
      <w:bookmarkEnd w:id="246"/>
    </w:p>
    <w:p w14:paraId="49836436" w14:textId="77777777" w:rsidR="00711444" w:rsidRPr="004D0DAA" w:rsidRDefault="00711444" w:rsidP="00711444">
      <w:r w:rsidRPr="004D0DAA">
        <w:t>The mobile station shall perform neighbour cell measurements during any unused PDCH or group of unused PDCHs where the MS's Measurement Capabilities indicate that the mobile station is capable of making a neighbour cell measurement.</w:t>
      </w:r>
    </w:p>
    <w:p w14:paraId="50A83FC3" w14:textId="77777777" w:rsidR="00711444" w:rsidRPr="004D0DAA" w:rsidRDefault="00711444" w:rsidP="00711444">
      <w:r w:rsidRPr="004D0DAA">
        <w:t>The network shall ensure that there are sufficient gaps as to allow the necessary number of measurements based upon the MS's Measurement Capabilities.</w:t>
      </w:r>
    </w:p>
    <w:p w14:paraId="61A2F501" w14:textId="77777777" w:rsidR="00711444" w:rsidRPr="004D0DAA" w:rsidRDefault="00711444" w:rsidP="00711444">
      <w:pPr>
        <w:pStyle w:val="Heading5"/>
        <w:ind w:left="0" w:firstLine="0"/>
      </w:pPr>
      <w:bookmarkStart w:id="247" w:name="_Toc516669435"/>
      <w:r w:rsidRPr="004D0DAA">
        <w:t>8.1.1.2.4</w:t>
      </w:r>
      <w:r w:rsidRPr="004D0DAA">
        <w:tab/>
        <w:t>Shifted USF operation</w:t>
      </w:r>
      <w:bookmarkEnd w:id="247"/>
    </w:p>
    <w:p w14:paraId="439E070C" w14:textId="77777777" w:rsidR="00711444" w:rsidRPr="004D0DAA" w:rsidRDefault="00711444" w:rsidP="00711444">
      <w:r w:rsidRPr="004D0DAA">
        <w:t xml:space="preserve">In some instances (see 3GPP TS 45.002), Shifted USF operation shall apply. </w:t>
      </w:r>
    </w:p>
    <w:p w14:paraId="20812F7A" w14:textId="77777777" w:rsidR="00711444" w:rsidRPr="004D0DAA" w:rsidRDefault="00711444" w:rsidP="00711444">
      <w:r w:rsidRPr="004D0DAA">
        <w:t>When Shifted USF operation is used, the USF for the first assigned uplink PDCH shall be sent on the downlink PDCH corresponding to (i.e. with the same timeslot number as) the second assigned uplink PDCH. The MS shall monitor this downlink PDCH for the USF corresponding to both the first assigned uplink PDCH and the second assigned uplink PDCH. If the USF corresponding to the first assigned uplink PDCH is detected then operation shall be as described in sub-clause 8.1.1.2.1. for the case where the assigned USF was received on the downlink PDCH corresponding to the first assigned uplink PDCH. Otherwise, operation shall be as described in sub-clause 8.1.1.2.1.</w:t>
      </w:r>
    </w:p>
    <w:p w14:paraId="1707262D" w14:textId="77777777" w:rsidR="00711444" w:rsidRPr="004D0DAA" w:rsidRDefault="00711444" w:rsidP="00711444">
      <w:r w:rsidRPr="004D0DAA">
        <w:t>The USF value corresponding to the first assigned uplink PDCH shall be different from the USF value corresponding to the second assigned uplink PDCH.</w:t>
      </w:r>
    </w:p>
    <w:p w14:paraId="0850516F" w14:textId="77777777" w:rsidR="00711444" w:rsidRPr="004D0DAA" w:rsidRDefault="00711444" w:rsidP="00711444">
      <w:r w:rsidRPr="004D0DAA">
        <w:t>When Shifted USF operation is used, PACCH operation shall be as described in sub-clause 8.1.1.2.2 except that the network shall transmit all PACCH messages on the PDCH carried on the downlink timeslot corresponding to the second lowest numbered timeslot in the uplink assignment, and the mobile station shall attempt to decode every downlink RLC/MAC block on that downlink PDCH.</w:t>
      </w:r>
    </w:p>
    <w:p w14:paraId="0C50D4F0" w14:textId="77777777" w:rsidR="00711444" w:rsidRPr="004D0DAA" w:rsidRDefault="00711444" w:rsidP="00711444">
      <w:r w:rsidRPr="004D0DAA">
        <w:t>If a PACKET PDCH RELEASE message releases the second uplink PDCH in the current timeslot configuration of a mobile station using Shifted USF operation then the first uplink timeslot shall also be considered released. If any PDCHs remain in the new timeslot configuration then normal USF operation shall continue starting on the lowest available timeslot.</w:t>
      </w:r>
    </w:p>
    <w:p w14:paraId="1405A4DA" w14:textId="77777777" w:rsidR="00711444" w:rsidRPr="004D0DAA" w:rsidRDefault="00711444" w:rsidP="00711444">
      <w:pPr>
        <w:pStyle w:val="Heading4"/>
      </w:pPr>
      <w:bookmarkStart w:id="248" w:name="_Toc516669436"/>
      <w:r w:rsidRPr="004D0DAA">
        <w:t>8.1.1.3</w:t>
      </w:r>
      <w:r w:rsidRPr="004D0DAA">
        <w:tab/>
        <w:t>(void)</w:t>
      </w:r>
      <w:bookmarkEnd w:id="248"/>
    </w:p>
    <w:p w14:paraId="3791F25F" w14:textId="77777777" w:rsidR="00711444" w:rsidRPr="004D0DAA" w:rsidRDefault="00711444" w:rsidP="00711444">
      <w:pPr>
        <w:pStyle w:val="Heading4"/>
      </w:pPr>
      <w:bookmarkStart w:id="249" w:name="_Toc516669437"/>
      <w:r w:rsidRPr="004D0DAA">
        <w:t>8.1.1.3a</w:t>
      </w:r>
      <w:r w:rsidRPr="004D0DAA">
        <w:tab/>
        <w:t>Exclusive allocation RLC data block transfer</w:t>
      </w:r>
      <w:bookmarkEnd w:id="249"/>
    </w:p>
    <w:p w14:paraId="750C02AC" w14:textId="77777777" w:rsidR="00711444" w:rsidRPr="004D0DAA" w:rsidRDefault="00711444" w:rsidP="00711444">
      <w:pPr>
        <w:pStyle w:val="Heading5"/>
      </w:pPr>
      <w:bookmarkStart w:id="250" w:name="_Toc516669438"/>
      <w:r w:rsidRPr="004D0DAA">
        <w:t>8.1.1.3a.1</w:t>
      </w:r>
      <w:r w:rsidRPr="004D0DAA">
        <w:tab/>
        <w:t>General</w:t>
      </w:r>
      <w:bookmarkEnd w:id="250"/>
    </w:p>
    <w:p w14:paraId="68CF6A5B" w14:textId="77777777" w:rsidR="00711444" w:rsidRPr="004D0DAA" w:rsidRDefault="00711444" w:rsidP="00711444">
      <w:r w:rsidRPr="004D0DAA">
        <w:t xml:space="preserve">This sub-clause specifies mobile station behaviour for </w:t>
      </w:r>
      <w:r w:rsidRPr="004D0DAA">
        <w:rPr>
          <w:i/>
        </w:rPr>
        <w:t>exclusive allocation</w:t>
      </w:r>
      <w:r w:rsidRPr="004D0DAA">
        <w:t xml:space="preserve"> of radio resources for uplink RLC data block transfer. The exclusive allocation is applicable only in dual transfer mode (for half-rate PDCHs only) and MAC-DTM state (for half-rate PDCHs only). The conditions for using exclusive allocation are specified in sub-clause 8.1.0.</w:t>
      </w:r>
    </w:p>
    <w:p w14:paraId="78301838" w14:textId="77777777" w:rsidR="00711444" w:rsidRPr="004D0DAA" w:rsidRDefault="00711444" w:rsidP="00711444">
      <w:r w:rsidRPr="004D0DAA">
        <w:t xml:space="preserve">When the mobile station receives an uplink assignment (e.g. PACKET UPLINK ASSIGNMENT, MULTIPLE TBF UPLINK ASSIGNMENT, PACKET TIMESLOT RECONFIGURE or MULTIPLE TBF TIMESLOT RECONFIGURE) that does not contain a TBF starting time, the mobile station shall switch to the assigned PDCHs and be ready to transmit within the reaction time defined in 3GPP TS 45.010. If a TBF starting time is present, the mobile station shall wait until the starting time before it switches to the assigned PDCHs and starts to transmit. If a TBF starting time is present and an uplink TBF or one or more downlink TBFs are already in progress, the mobile station </w:t>
      </w:r>
      <w:r w:rsidRPr="004D0DAA">
        <w:lastRenderedPageBreak/>
        <w:t>shall continue to use the previously assigned resources for the uplink TBF until the TBF starting time occurs. If the mobile station receives another uplink assignment, while waiting for the TBF starting time, the mobile station shall act upon the most recently received uplink assignment and shall ignore the previous one.</w:t>
      </w:r>
    </w:p>
    <w:p w14:paraId="681E2383" w14:textId="77777777" w:rsidR="00711444" w:rsidRPr="004D0DAA" w:rsidRDefault="00711444" w:rsidP="00711444">
      <w:r w:rsidRPr="004D0DAA">
        <w:t xml:space="preserve">When mobile station has received the uplink assignment and been granted the right to transmit using exclusive allocation, the mobile station shall start timer T3184 and transmit an RLC/MAC block in every uplink radio block on the PDCHs assigned for the TBF. The timer T3184 shall be restarted every time the mobile station receives a PACKET UPLINK ACK/NACK message. </w:t>
      </w:r>
    </w:p>
    <w:p w14:paraId="67454C80" w14:textId="77777777" w:rsidR="00711444" w:rsidRPr="004D0DAA" w:rsidRDefault="00711444" w:rsidP="00711444">
      <w:r w:rsidRPr="004D0DAA">
        <w:t>The timer T3184 shall be stopped at the release of the TBF. The timer T3184 shall also be stopped if the resources for the TBF are reallocated, such that the conditions for exclusive allocation are no longer fulfilled and the TBF continues using dynamic or extended dynamic allocation (see sub-clause 8.1.0).</w:t>
      </w:r>
    </w:p>
    <w:p w14:paraId="6894CAA0" w14:textId="77777777" w:rsidR="00711444" w:rsidRPr="004D0DAA" w:rsidRDefault="00711444" w:rsidP="00711444">
      <w:r w:rsidRPr="004D0DAA">
        <w:t>A mobile station supporting multiple TBF procedures and operating in DTM mode with exclusive allocation may only establish a single uplink TBF. However, one or more downlink TBFs may still be established when exclusive allocation is used for the uplink TBF. In this case the network may allocate the radio resources for the uplink TBF by sending the mobile station one of the following messages:</w:t>
      </w:r>
    </w:p>
    <w:p w14:paraId="2F2E4D31" w14:textId="77777777" w:rsidR="00711444" w:rsidRPr="004D0DAA" w:rsidRDefault="00711444" w:rsidP="00711444">
      <w:pPr>
        <w:pStyle w:val="B1"/>
      </w:pPr>
      <w:r w:rsidRPr="004D0DAA">
        <w:t>-</w:t>
      </w:r>
      <w:r w:rsidRPr="004D0DAA">
        <w:tab/>
        <w:t>A PACKET UPLINK ASSIGNMENT message if there is no more than one concurrent downlink TBF;</w:t>
      </w:r>
    </w:p>
    <w:p w14:paraId="1E542E50" w14:textId="77777777" w:rsidR="00711444" w:rsidRPr="004D0DAA" w:rsidRDefault="00711444" w:rsidP="00711444">
      <w:pPr>
        <w:pStyle w:val="B1"/>
      </w:pPr>
      <w:r w:rsidRPr="004D0DAA">
        <w:t>-</w:t>
      </w:r>
      <w:r w:rsidRPr="004D0DAA">
        <w:tab/>
        <w:t>A MULTIPLE TBF UPLINK ASSIGNMENT message if there are multiple concurrent downlink TBFs;</w:t>
      </w:r>
    </w:p>
    <w:p w14:paraId="1E8180EA" w14:textId="77777777" w:rsidR="00711444" w:rsidRPr="004D0DAA" w:rsidRDefault="00711444" w:rsidP="00711444">
      <w:pPr>
        <w:pStyle w:val="B1"/>
      </w:pPr>
      <w:r w:rsidRPr="004D0DAA">
        <w:t>-</w:t>
      </w:r>
      <w:r w:rsidRPr="004D0DAA">
        <w:tab/>
        <w:t>A PACKET TIMESLOT RECONFIGURE message if there is one concurrent downlink TBF that is also being reallocated;</w:t>
      </w:r>
    </w:p>
    <w:p w14:paraId="693B6048" w14:textId="77777777" w:rsidR="00711444" w:rsidRPr="004D0DAA" w:rsidRDefault="00711444" w:rsidP="00711444">
      <w:pPr>
        <w:pStyle w:val="B1"/>
      </w:pPr>
      <w:r w:rsidRPr="004D0DAA">
        <w:t>-</w:t>
      </w:r>
      <w:r w:rsidRPr="004D0DAA">
        <w:tab/>
        <w:t>A MULTIPLE TIMESLOT RECONFIGURE message if there are multiple concurrent downlink TBFs and at least one of them is being reallocated or there are multiple concurrent downlink TBFs and resources for at least one new downlink TBF are being allocated.</w:t>
      </w:r>
    </w:p>
    <w:p w14:paraId="25E98ABE" w14:textId="77777777" w:rsidR="00711444" w:rsidRPr="004D0DAA" w:rsidRDefault="00711444" w:rsidP="00711444">
      <w:pPr>
        <w:pStyle w:val="Heading5"/>
      </w:pPr>
      <w:bookmarkStart w:id="251" w:name="_Toc516669439"/>
      <w:r w:rsidRPr="004D0DAA">
        <w:t>8.1.1.3a.2</w:t>
      </w:r>
      <w:r w:rsidRPr="004D0DAA">
        <w:tab/>
        <w:t>Radio link failure</w:t>
      </w:r>
      <w:bookmarkEnd w:id="251"/>
    </w:p>
    <w:p w14:paraId="0B7C53AC" w14:textId="77777777" w:rsidR="00711444" w:rsidRPr="004D0DAA" w:rsidRDefault="00711444" w:rsidP="00711444">
      <w:r w:rsidRPr="004D0DAA">
        <w:t>If timer T3184 expires (see sub-clause 8.1.1.3a.1), the mobile station shall regard that as a radio link failure and perform an abnormal release with access retry (see sub-clause 8.7.2).</w:t>
      </w:r>
    </w:p>
    <w:p w14:paraId="3BA2AD40" w14:textId="77777777" w:rsidR="00711444" w:rsidRPr="004D0DAA" w:rsidRDefault="00711444" w:rsidP="00711444">
      <w:r w:rsidRPr="004D0DAA">
        <w:t>The network shall increment counter N3101 for each radio block allocated to the TBF for which no RLC/MAC block is received. Whenever the network receives an RLC/MAC block from the mobile station, it shall reset counter N3101 for that TBF. If N3101 reaches the value N3101max, the network shall stop sending PACKET UPLINK ACK/NACK messages to the mobile station for that TBF and shall start timer T3169 for the TBF. If an RLC/MAC block is received from the TBF when timer T3169 is running, the network shall stop timer T3169 and resume sending PACKET UPLINK ACK/NACK messages to the TBF. When T3169 expires, the network may consider the TBF as released and reuse the TFI value(s). If PS Handover is ongoing, it is optional for the network to increment N3101.</w:t>
      </w:r>
    </w:p>
    <w:p w14:paraId="6ADD39D4" w14:textId="77777777" w:rsidR="00711444" w:rsidRPr="004D0DAA" w:rsidRDefault="00711444" w:rsidP="00711444">
      <w:pPr>
        <w:pStyle w:val="Heading5"/>
      </w:pPr>
      <w:bookmarkStart w:id="252" w:name="_Toc516669440"/>
      <w:r w:rsidRPr="004D0DAA">
        <w:t>8.1.1.3a.3</w:t>
      </w:r>
      <w:r w:rsidRPr="004D0DAA">
        <w:tab/>
        <w:t>(void)</w:t>
      </w:r>
      <w:bookmarkEnd w:id="252"/>
    </w:p>
    <w:p w14:paraId="44006217" w14:textId="77777777" w:rsidR="00711444" w:rsidRPr="004D0DAA" w:rsidRDefault="00711444" w:rsidP="00711444">
      <w:pPr>
        <w:pStyle w:val="Heading5"/>
      </w:pPr>
      <w:bookmarkStart w:id="253" w:name="_Toc516669441"/>
      <w:r w:rsidRPr="004D0DAA">
        <w:t>8.1.1.3a.4</w:t>
      </w:r>
      <w:r w:rsidRPr="004D0DAA">
        <w:tab/>
        <w:t>PACCH operation</w:t>
      </w:r>
      <w:bookmarkEnd w:id="253"/>
    </w:p>
    <w:p w14:paraId="5DBFF1BB" w14:textId="77777777" w:rsidR="00711444" w:rsidRPr="004D0DAA" w:rsidRDefault="00711444" w:rsidP="00711444">
      <w:r w:rsidRPr="004D0DAA">
        <w:t>The mobile station shall attempt to decode every downlink RLC/MAC block on the PDCH with the lowest timeslot number assigned for an uplink TBF operating in BTTI configuration and shall attempt to decode every downlink RLC/MAC block on the PDCH-pair with the lowest timeslot numbers assigned for an uplink TBF operating in RTTI configuration. Whenever the mobile station receives an RLC/MAC block containing an RLC/MAC control block, the mobile station shall attempt to interpret the message contained therein. If the message is a distribution message or a non-distribution message that addresses the mobile station, the mobile station shall act on the message.</w:t>
      </w:r>
    </w:p>
    <w:p w14:paraId="27A989EC" w14:textId="77777777" w:rsidR="00711444" w:rsidRPr="004D0DAA" w:rsidRDefault="00711444" w:rsidP="00711444">
      <w:r w:rsidRPr="004D0DAA">
        <w:t>During the transmission on the uplink TBF, the mobile station may use any uplink RLC/MAC block, assigned for the uplink TBF, for the transmission of an RLC/MAC control block (PACCH). The mobile station shall not transmit an RLC data block in any uplink RLC/MAC block allocated to the mobile station via the polling mechanism (see sub-clause 10.4.4).</w:t>
      </w:r>
    </w:p>
    <w:p w14:paraId="2E1CE74C" w14:textId="77777777" w:rsidR="00711444" w:rsidRPr="004D0DAA" w:rsidRDefault="00711444" w:rsidP="00711444">
      <w:pPr>
        <w:pStyle w:val="Heading5"/>
      </w:pPr>
      <w:bookmarkStart w:id="254" w:name="_Toc516669442"/>
      <w:r w:rsidRPr="004D0DAA">
        <w:lastRenderedPageBreak/>
        <w:t>8.1.1.3a.5</w:t>
      </w:r>
      <w:r w:rsidRPr="004D0DAA">
        <w:tab/>
        <w:t>Resource Reallocation for Uplink</w:t>
      </w:r>
      <w:bookmarkEnd w:id="254"/>
    </w:p>
    <w:p w14:paraId="25E209CE" w14:textId="77777777" w:rsidR="00711444" w:rsidRPr="004D0DAA" w:rsidRDefault="00711444" w:rsidP="00711444">
      <w:pPr>
        <w:pStyle w:val="Heading6"/>
      </w:pPr>
      <w:bookmarkStart w:id="255" w:name="_Toc516669443"/>
      <w:r w:rsidRPr="004D0DAA">
        <w:t>8.1.1.3a.5.1</w:t>
      </w:r>
      <w:r w:rsidRPr="004D0DAA">
        <w:tab/>
        <w:t>General</w:t>
      </w:r>
      <w:bookmarkEnd w:id="255"/>
    </w:p>
    <w:p w14:paraId="6B9EEA57" w14:textId="77777777" w:rsidR="00711444" w:rsidRPr="004D0DAA" w:rsidRDefault="00711444" w:rsidP="00711444">
      <w:r w:rsidRPr="004D0DAA">
        <w:t>The reallocation of radio resources may take place during an uplink TBF, due to a change of service demand from the mobile station, or due to reasons determined by the network. This procedure shall not be used to change neither the RLC mode nor the TBF mode of the uplink TBF. A change of RLC mode or TBF mode shall be achieved through the release of the uplink TBF and establishment of a new TBF.</w:t>
      </w:r>
    </w:p>
    <w:p w14:paraId="4A9108E3" w14:textId="77777777" w:rsidR="00711444" w:rsidRPr="004D0DAA" w:rsidRDefault="00711444" w:rsidP="00711444">
      <w:pPr>
        <w:pStyle w:val="Heading6"/>
      </w:pPr>
      <w:bookmarkStart w:id="256" w:name="_Toc516669444"/>
      <w:r w:rsidRPr="004D0DAA">
        <w:t>8.1.1.3a.5.2</w:t>
      </w:r>
      <w:r w:rsidRPr="004D0DAA">
        <w:tab/>
        <w:t>Change of service demand</w:t>
      </w:r>
      <w:bookmarkEnd w:id="256"/>
    </w:p>
    <w:p w14:paraId="390EBAEA" w14:textId="77777777" w:rsidR="00711444" w:rsidRPr="004D0DAA" w:rsidRDefault="00711444" w:rsidP="00711444">
      <w:r w:rsidRPr="004D0DAA">
        <w:t>During an uplink packet transfer, upper layers may request the transfer an upper layer PDU with a different PFI, a different radio priority, a different peak throughput class or a different RLC mode than the one, which is in transfer. In case of an upper layer PDU containing signalling information, it shall be transferred with the highest radio priority and requesting acknowledged RLC mode.</w:t>
      </w:r>
    </w:p>
    <w:p w14:paraId="052583AB" w14:textId="77777777" w:rsidR="00711444" w:rsidRPr="004D0DAA" w:rsidRDefault="00711444" w:rsidP="00711444">
      <w:r w:rsidRPr="004D0DAA">
        <w:t>If upper layers request the transfer of another upper layer PDU with a different PFI, a different Radio Priority, a different peak throughput class or a different RLC mode than the one which is in transfer, then the procedures as described in packet transfer mode (see sub-clause 8.1.1.1.2) shall be applied by the mobile station.</w:t>
      </w:r>
    </w:p>
    <w:p w14:paraId="0B38F6BD" w14:textId="77777777" w:rsidR="00711444" w:rsidRPr="004D0DAA" w:rsidRDefault="00711444" w:rsidP="00711444">
      <w:r w:rsidRPr="004D0DAA">
        <w:t xml:space="preserve">If the mobile station, at the change of service demand, has started the countdown procedure (see sub-clause 9.3.1) in order to release the uplink TBF, the mobile station shall perform the release of the uplink TBF as normal. The mobile station may then establish a new uplink TBF, according to the new service demand. </w:t>
      </w:r>
    </w:p>
    <w:p w14:paraId="235E6C4E" w14:textId="77777777" w:rsidR="00711444" w:rsidRPr="004D0DAA" w:rsidRDefault="00711444" w:rsidP="00711444">
      <w:r w:rsidRPr="004D0DAA">
        <w:t xml:space="preserve">If the countdown procedure has not been started or the TBF is operated in the extended uplink TBF mode (see sub-clause 9.3.1b) and the new upper layer PDU shall be transferred with the same RLC mode as the current uplink TBF, the mobile station shall indicate a change of service demand to the network by sending a PACKET RESOURCE REQUEST message on PACCH. </w:t>
      </w:r>
    </w:p>
    <w:p w14:paraId="786DB649" w14:textId="77777777" w:rsidR="00711444" w:rsidRPr="004D0DAA" w:rsidRDefault="00711444" w:rsidP="00711444">
      <w:r w:rsidRPr="004D0DAA">
        <w:t>When the PACKET RESOURCE REQUEST message is sent, the mobile station shall start timer T3168.</w:t>
      </w:r>
    </w:p>
    <w:p w14:paraId="23F71970" w14:textId="77777777" w:rsidR="00711444" w:rsidRPr="004D0DAA" w:rsidRDefault="00711444" w:rsidP="00711444">
      <w:r w:rsidRPr="004D0DAA">
        <w:t>If the new upper layer PDU shall be transmitted with a different RLC mode than the current uplink TBF, the mobile station may complete the transmission of the preceding upper layer PDUs and shall then release the TBF and establish a new uplink TBF for transmission of the new upper layer PDU. If the TBF is operated in extended TBF mode (see sub-clause 9.3.1b), the mobile station shall use the procedure in sub-clause 8.1.1.6 for changing the RLC mode.</w:t>
      </w:r>
    </w:p>
    <w:p w14:paraId="5997AE89" w14:textId="77777777" w:rsidR="00711444" w:rsidRPr="004D0DAA" w:rsidRDefault="00711444" w:rsidP="00711444">
      <w:r w:rsidRPr="004D0DAA">
        <w:t>After the transmission of the PACKET RESOURCE REQUEST message, the mobile station shall continue to use the currently assigned uplink TBF, assuming that the network grants the requested service demand.</w:t>
      </w:r>
    </w:p>
    <w:p w14:paraId="2B0F973C" w14:textId="77777777" w:rsidR="00711444" w:rsidRPr="004D0DAA" w:rsidRDefault="00711444" w:rsidP="00711444">
      <w:r w:rsidRPr="004D0DAA">
        <w:t xml:space="preserve">On receipt of the PACKET RESOURCE REQUEST message the network shall respond by either the reallocation of radio resources for an uplink TBF (sub-clause 8.1.1.3a.5.3) or the rejection of service demand (sub-clause 8.1.1.3a.5.4). </w:t>
      </w:r>
    </w:p>
    <w:p w14:paraId="1029ADFE" w14:textId="77777777" w:rsidR="00711444" w:rsidRPr="004D0DAA" w:rsidRDefault="00711444" w:rsidP="00711444">
      <w:r w:rsidRPr="004D0DAA">
        <w:t>The mobile station shall stop timer T3168 at the receipt of a PACKET UPLINK ASSIGNMENT, a MULTIPLE TBF UPLINK ASSIGNMENT, PACKET TIMESLOT RECONFIGURE or a MULTIPLE TBF TIMESLOT RECONFIGURE message, or when the mobile station has completed its currently assigned TBFs. If timer T3168 expires, the mobile station shall retransmit the PACKET RESOURCE REQUEST message and again start timer T3168.</w:t>
      </w:r>
    </w:p>
    <w:p w14:paraId="2A04B0E8" w14:textId="77777777" w:rsidR="00711444" w:rsidRPr="004D0DAA" w:rsidRDefault="00711444" w:rsidP="00711444">
      <w:pPr>
        <w:pStyle w:val="Heading6"/>
      </w:pPr>
      <w:bookmarkStart w:id="257" w:name="_Toc516669445"/>
      <w:r w:rsidRPr="004D0DAA">
        <w:t>8.1.1.3a.5.3</w:t>
      </w:r>
      <w:r w:rsidRPr="004D0DAA">
        <w:tab/>
        <w:t>Reallocation of radio resources for an uplink TBF</w:t>
      </w:r>
      <w:bookmarkEnd w:id="257"/>
    </w:p>
    <w:p w14:paraId="110380A3" w14:textId="77777777" w:rsidR="00711444" w:rsidRPr="004D0DAA" w:rsidRDefault="00711444" w:rsidP="00711444">
      <w:r w:rsidRPr="004D0DAA">
        <w:t>The network may reallocate the radio resources for an uplink TBF by sending the mobile station a PACKET UPLINK ASSIGNMENT or a PACKET CS RELEASE INDICATION message if there is no more than one concurrent downlink TBF or a MULTIPLE TBF UPLINK ASSIGNMENT or a PACKET CS RELEASE INDICATION message if there are multiple concurrent downlink TBFs. If there is a concurrent downlink TBF and the radio resources for the downlink TBF are also affected, the network shall use a PACKET TIMESLOT RECONFIGURE or a PACKET CS RELEASE INDICATION message for the reallocation. If there are multiple concurrent downlink TBFs and the radio resources for at least one downlink TBF are also affected, the network shall use a MULTIPLE TBF TIMESLOT RECONFIGURE or a PACKET CS RELEASE INDICATION message for the reallocation.</w:t>
      </w:r>
    </w:p>
    <w:p w14:paraId="4E6AA436" w14:textId="77777777" w:rsidR="00711444" w:rsidRPr="004D0DAA" w:rsidRDefault="00711444" w:rsidP="00711444">
      <w:r w:rsidRPr="004D0DAA">
        <w:t xml:space="preserve">On receipt of the PACKET UPLINK ASSIGNMENT , the MULTIPLE TBF UPLINK ASSIGNMENT, the PACKET TIMESLOT RECONFIGURE, MULTIPLE TBF TIMESLOT RECONFIGURE or the PACKET CS RELEASE INDICATION message, the mobile station shall treat the message as an uplink assignment, as defined in sub-clause 8.1.1.1.2. On receipt of the PACKET TIMESLOT RECONFIGURE, MULTIPLE TBF TIMESLOT RECONFIGURE </w:t>
      </w:r>
      <w:r w:rsidRPr="004D0DAA">
        <w:lastRenderedPageBreak/>
        <w:t>or the PACKET CS RELEASE INDICATION message, the mobile station shall, in addition, treat the message as a downlink assignment, as defined in sub-clause 8.1.2.1.</w:t>
      </w:r>
    </w:p>
    <w:p w14:paraId="6C2A91E4" w14:textId="77777777" w:rsidR="00711444" w:rsidRPr="004D0DAA" w:rsidRDefault="00711444" w:rsidP="00711444">
      <w:pPr>
        <w:pStyle w:val="Heading6"/>
      </w:pPr>
      <w:bookmarkStart w:id="258" w:name="_Toc516669446"/>
      <w:r w:rsidRPr="004D0DAA">
        <w:t>8.1.1.3a.5.4</w:t>
      </w:r>
      <w:r w:rsidRPr="004D0DAA">
        <w:tab/>
        <w:t>Rejection of new service demand</w:t>
      </w:r>
      <w:bookmarkEnd w:id="258"/>
    </w:p>
    <w:p w14:paraId="382BD5B5" w14:textId="77777777" w:rsidR="00711444" w:rsidRPr="004D0DAA" w:rsidRDefault="00711444" w:rsidP="00711444">
      <w:r w:rsidRPr="004D0DAA">
        <w:t>On the receipt of a PACKET RESOURCE REQUEST message from the mobile station indicating a change of service demand, the network may reject the service demand by sending a PACKET ACCESS REJECT message to the mobile station.</w:t>
      </w:r>
    </w:p>
    <w:p w14:paraId="04B26097" w14:textId="77777777" w:rsidR="00711444" w:rsidRPr="004D0DAA" w:rsidRDefault="00711444" w:rsidP="00711444">
      <w:r w:rsidRPr="004D0DAA">
        <w:t>On receipt of the PACKET ACCESS REJECT message, the mobile station shall stop timer T3168 if running, abort the uplink TBF and indicate a packet access failure to upper layers. If no downlink TBF exists, the mobile station in dual transfer mode shall return to dedicated mode. The DRX mode procedures shall be applied, as specified in sub-clause 5.5.1.5.</w:t>
      </w:r>
    </w:p>
    <w:p w14:paraId="4A30408B" w14:textId="77777777" w:rsidR="00711444" w:rsidRPr="004D0DAA" w:rsidRDefault="00711444" w:rsidP="00711444">
      <w:r w:rsidRPr="004D0DAA">
        <w:t>The PACKET ACCESS REJECT message may contain a wait indication (i.e. the WAIT_INDICATION field) in the Reject structure addressed to the mobile station. In that case, the mobile station shall start timer T3172 with the indicated value. The mobile station shall not attempt to establish a new uplink TBF in the same cell while timer T3172 is running. If a successful cell reselection is performed, the mobile station shall stop timer T3172 and may establish an uplink TBF in the new cell.</w:t>
      </w:r>
    </w:p>
    <w:p w14:paraId="3828FD79" w14:textId="77777777" w:rsidR="00711444" w:rsidRPr="004D0DAA" w:rsidRDefault="00711444" w:rsidP="00711444">
      <w:r w:rsidRPr="004D0DAA">
        <w:t>While timer T3172 is running, the mobile station shall ignore any PACKET PAGING REQUEST message that may be received, except paging requests to trigger RR connection establishment and paging request including MBMS notification.</w:t>
      </w:r>
    </w:p>
    <w:p w14:paraId="1790D0CB" w14:textId="77777777" w:rsidR="00711444" w:rsidRPr="004D0DAA" w:rsidRDefault="00711444" w:rsidP="00711444">
      <w:pPr>
        <w:pStyle w:val="Heading6"/>
      </w:pPr>
      <w:bookmarkStart w:id="259" w:name="_Toc516669447"/>
      <w:r w:rsidRPr="004D0DAA">
        <w:t>8.1.1.3a.5.5</w:t>
      </w:r>
      <w:r w:rsidRPr="004D0DAA">
        <w:tab/>
        <w:t>Abnormal cases</w:t>
      </w:r>
      <w:bookmarkEnd w:id="259"/>
    </w:p>
    <w:p w14:paraId="29A6BA50" w14:textId="77777777" w:rsidR="00711444" w:rsidRPr="004D0DAA" w:rsidRDefault="00711444" w:rsidP="00711444">
      <w:r w:rsidRPr="004D0DAA">
        <w:t>The following abnormal cases apply:</w:t>
      </w:r>
    </w:p>
    <w:p w14:paraId="7C465C3C" w14:textId="77777777" w:rsidR="00711444" w:rsidRPr="004D0DAA" w:rsidRDefault="00711444" w:rsidP="00711444">
      <w:pPr>
        <w:pStyle w:val="B1"/>
      </w:pPr>
      <w:r w:rsidRPr="004D0DAA">
        <w:t>-</w:t>
      </w:r>
      <w:r w:rsidRPr="004D0DAA">
        <w:tab/>
        <w:t>If timer T3168 expires and the PACKET RESOURCE REQUEST message has already been transmitted four times, the mobile station shall perform an abnormal release with access retry (see sub-clause 8.7.2);</w:t>
      </w:r>
    </w:p>
    <w:p w14:paraId="324D6D72" w14:textId="77777777" w:rsidR="00711444" w:rsidRPr="004D0DAA" w:rsidRDefault="00711444" w:rsidP="00711444">
      <w:pPr>
        <w:pStyle w:val="B1"/>
      </w:pPr>
      <w:r w:rsidRPr="004D0DAA">
        <w:t>-</w:t>
      </w:r>
      <w:r w:rsidRPr="004D0DAA">
        <w:tab/>
        <w:t>If the mobile station receives an uplink assignment (e.g. PACKET UPLINK ASSIGNMENT, MULTIPLE TBF UPLINK ASSIGNMENT, PACKET TIMESLOT RECONFIGURE, MULTIPLE TBF TIMESLOT RECONFIGURE or PACKET CS RELEASE INDICATION message) including frequency parameters for the carrier supporting the dedicated resources, the mobile station shall perform an abnormal release with access retry (see sub-clause 8.7.2);</w:t>
      </w:r>
    </w:p>
    <w:p w14:paraId="5F6C8DCC" w14:textId="77777777" w:rsidR="00711444" w:rsidRPr="004D0DAA" w:rsidRDefault="00711444" w:rsidP="00711444">
      <w:pPr>
        <w:pStyle w:val="B1"/>
      </w:pPr>
      <w:r w:rsidRPr="004D0DAA">
        <w:t>-</w:t>
      </w:r>
      <w:r w:rsidRPr="004D0DAA">
        <w:tab/>
        <w:t>If a failure in the uplink assignment (e.g. PACKET UPLINK ASSIGNMENT, MULTIPLE TBF UPLINK ASSIGNMENT, PACKET TIMESLOT RECONFIGURE, MULTIPLE TBF TIMESLOT RECONFIGURE or PACKET CS RELEASE INDICATION message) is due to any other reason, the mobile station shall perform an abnormal release with access retry (see sub-clause 8.7.2).</w:t>
      </w:r>
    </w:p>
    <w:p w14:paraId="6288ADB7" w14:textId="77777777" w:rsidR="00711444" w:rsidRPr="004D0DAA" w:rsidRDefault="00711444" w:rsidP="00711444">
      <w:pPr>
        <w:pStyle w:val="Heading5"/>
      </w:pPr>
      <w:bookmarkStart w:id="260" w:name="_Toc516669448"/>
      <w:r w:rsidRPr="004D0DAA">
        <w:t>8.1.1.3a.6</w:t>
      </w:r>
      <w:r w:rsidRPr="004D0DAA">
        <w:tab/>
        <w:t>Establishment of Downlink TBF</w:t>
      </w:r>
      <w:bookmarkEnd w:id="260"/>
    </w:p>
    <w:p w14:paraId="307D20D2" w14:textId="77777777" w:rsidR="00711444" w:rsidRPr="004D0DAA" w:rsidRDefault="00711444" w:rsidP="00711444">
      <w:pPr>
        <w:pStyle w:val="Heading6"/>
      </w:pPr>
      <w:bookmarkStart w:id="261" w:name="_Toc516669449"/>
      <w:r w:rsidRPr="004D0DAA">
        <w:t>8.1.1.3a.6.1</w:t>
      </w:r>
      <w:r w:rsidRPr="004D0DAA">
        <w:tab/>
        <w:t>General</w:t>
      </w:r>
      <w:bookmarkEnd w:id="261"/>
    </w:p>
    <w:p w14:paraId="4B60DBE0" w14:textId="77777777" w:rsidR="00711444" w:rsidRPr="004D0DAA" w:rsidRDefault="00711444" w:rsidP="00711444">
      <w:r w:rsidRPr="004D0DAA">
        <w:t>During an uplink TBF using exclusive allocation, the network may initiate the establishment of one or more downlink TBFs by sending a downlink assignment message (e.g. PACKET DOWNLINK ASSIGNMENT, MULTIPLE TBF DOWNLINK ASSIGNMENT, PACKET TIMESLOT RECONFIGURE or MULTIPLE TBF TIMESLOT RECONFIGURE message) to the mobile station on the PACCH. If multiple TBF procedures are not supported the PACKET TIMESLOT RECONFIGURE message shall be used if the timeslot allocation for the on-going uplink TBF needs to be changed. If the mobile station and network support multiple TBF procedures the PACKET DOWNLINK ASSIGNMENT, MULTIPLE TBF DOWNLINK ASSIGNMENT, PACKET TIMESLOT RECONFIGURE and MULTIPLE TBF TIMESLOT RECONFIGURE messages shall be used as described in sub-clause 8.1.1.1.3.</w:t>
      </w:r>
    </w:p>
    <w:p w14:paraId="5DDFF412" w14:textId="77777777" w:rsidR="00711444" w:rsidRPr="004D0DAA" w:rsidRDefault="00711444" w:rsidP="00711444">
      <w:r w:rsidRPr="004D0DAA">
        <w:t xml:space="preserve">On receipt of the downlink assignment message (e.g. PACKET DOWNLINK ASSIGNMENT, MULTIPLE TBF DOWNLINK ASSIGNMENT, PACKET TIMESLOT RECONFIGURE, MULTIPLE TBF TIMESLOT RECONFIGURE or PACKET CS RELEASE INDICATION message) the mobile station shall switch to the assigned PDCHs. If the assignment message includes a TBF starting time, the mobile station shall first wait until the indicated starting time and then switch to the assigned PDCHs. If the assigning message does not include a TBF starting time, or </w:t>
      </w:r>
      <w:r w:rsidRPr="004D0DAA">
        <w:lastRenderedPageBreak/>
        <w:t>the TBF starting time has already passed when the assigning message is received, the mobile station shall switch to the assigned PDCHs within the reaction time specified in 3GPP TS 45.010.</w:t>
      </w:r>
    </w:p>
    <w:p w14:paraId="73A32C41" w14:textId="77777777" w:rsidR="00711444" w:rsidRPr="004D0DAA" w:rsidRDefault="00711444" w:rsidP="00711444">
      <w:r w:rsidRPr="004D0DAA">
        <w:t>When the mobile station switches to the assigned PDCHs, it starts timer T3190 for each downlink TBF assigned. The operation of the downlink TBFs then follows the procedures defined in sub-clause 8.1.2, with the following additions:</w:t>
      </w:r>
    </w:p>
    <w:p w14:paraId="55E5B206" w14:textId="77777777" w:rsidR="00711444" w:rsidRPr="004D0DAA" w:rsidRDefault="00711444" w:rsidP="00711444">
      <w:pPr>
        <w:pStyle w:val="B1"/>
      </w:pPr>
      <w:r w:rsidRPr="004D0DAA">
        <w:t>-</w:t>
      </w:r>
      <w:r w:rsidRPr="004D0DAA">
        <w:tab/>
        <w:t>The mobile station shall prioritise transmission of RLC/MAC control blocks associated with a downlink TBF over RLC/MAC control blocks associated with the uplink TBF;</w:t>
      </w:r>
    </w:p>
    <w:p w14:paraId="67EB661F" w14:textId="77777777" w:rsidR="00711444" w:rsidRPr="004D0DAA" w:rsidRDefault="00711444" w:rsidP="00711444">
      <w:pPr>
        <w:pStyle w:val="B1"/>
      </w:pPr>
      <w:r w:rsidRPr="004D0DAA">
        <w:t>-</w:t>
      </w:r>
      <w:r w:rsidRPr="004D0DAA">
        <w:tab/>
        <w:t>If a timer or counter expiry causes the uplink TBF to be aborted in the mobile station, the mobile station shall perform an abnormal release according to the procedure defined for the uplink TBF, which may cause also the downlink TBF to be aborted;</w:t>
      </w:r>
    </w:p>
    <w:p w14:paraId="4CB99A36" w14:textId="77777777" w:rsidR="00711444" w:rsidRPr="004D0DAA" w:rsidRDefault="00711444" w:rsidP="00711444">
      <w:pPr>
        <w:pStyle w:val="B1"/>
      </w:pPr>
      <w:r w:rsidRPr="004D0DAA">
        <w:t>-</w:t>
      </w:r>
      <w:r w:rsidRPr="004D0DAA">
        <w:tab/>
        <w:t>If one uplink and one downlink TBF are established, the network may send a PACKET TIMESLOT RECONFIGURE or PACKET CS RELEASE INDICATION message without the UPLINK_TFI_ASSIGNMENT field. The mobile station shall interpret this as a reassignment of the concurrent uplink and downlink TBFs. The TFI of the uplink TBF is not changed.</w:t>
      </w:r>
    </w:p>
    <w:p w14:paraId="075DF97D" w14:textId="77777777" w:rsidR="00711444" w:rsidRPr="004D0DAA" w:rsidRDefault="00711444" w:rsidP="00711444">
      <w:pPr>
        <w:pStyle w:val="Heading6"/>
      </w:pPr>
      <w:bookmarkStart w:id="262" w:name="_Toc516669450"/>
      <w:r w:rsidRPr="004D0DAA">
        <w:t>8.1.1.3a.6.2</w:t>
      </w:r>
      <w:r w:rsidRPr="004D0DAA">
        <w:tab/>
        <w:t>Abnormal cases</w:t>
      </w:r>
      <w:bookmarkEnd w:id="262"/>
    </w:p>
    <w:p w14:paraId="3B38EB28" w14:textId="77777777" w:rsidR="00711444" w:rsidRPr="004D0DAA" w:rsidRDefault="00711444" w:rsidP="00711444">
      <w:r w:rsidRPr="004D0DAA">
        <w:t>If a failure occurs on the mobile station side before the downlink TBF has been successfully established, the newly reserved resources are released. The subsequent behaviour of the mobile station depends on the type of failure and previous actions:</w:t>
      </w:r>
    </w:p>
    <w:p w14:paraId="11A22098" w14:textId="77777777" w:rsidR="00711444" w:rsidRPr="004D0DAA" w:rsidRDefault="00711444" w:rsidP="00711444">
      <w:pPr>
        <w:pStyle w:val="B1"/>
      </w:pPr>
      <w:r w:rsidRPr="004D0DAA">
        <w:t>-</w:t>
      </w:r>
      <w:r w:rsidRPr="004D0DAA">
        <w:tab/>
        <w:t>If the information in the PACKET TIMESLOT RECONFIGURE, MULTIPLE TBF TIMESLOT RECONFIGURE or PACKET CS RELEASE INDICATION message does not properly specify an uplink and downlink PDCH or specifies a multislot configuration that the mobile station does not support (see 3GPP TS 45.002), the mobile station shall perform an abnormal release with access retry (see sub-clause 8.7.2);</w:t>
      </w:r>
    </w:p>
    <w:p w14:paraId="13C93080" w14:textId="77777777" w:rsidR="00711444" w:rsidRPr="004D0DAA" w:rsidRDefault="00711444" w:rsidP="00711444">
      <w:pPr>
        <w:pStyle w:val="B1"/>
      </w:pPr>
      <w:r w:rsidRPr="004D0DAA">
        <w:t>-</w:t>
      </w:r>
      <w:r w:rsidRPr="004D0DAA">
        <w:tab/>
        <w:t>If a downlink TBFs is not already established and the PACKET TIMESLOT RECONFIGURE message does not include a DOWNLINK_TFI_ASSIGNMENT field, then the mobile station shall perform an abnormal release with access retry (see sub-clause 8.7.2);</w:t>
      </w:r>
    </w:p>
    <w:p w14:paraId="28566AB4" w14:textId="77777777" w:rsidR="00711444" w:rsidRPr="004D0DAA" w:rsidRDefault="00711444" w:rsidP="00711444">
      <w:pPr>
        <w:pStyle w:val="B1"/>
      </w:pPr>
      <w:r w:rsidRPr="004D0DAA">
        <w:t>-</w:t>
      </w:r>
      <w:r w:rsidRPr="004D0DAA">
        <w:tab/>
        <w:t>If a mobile station in dual transfer mode receives a PACKET DOWNLINK ASSIGNMENT</w:t>
      </w:r>
      <w:r w:rsidRPr="004D0DAA">
        <w:rPr>
          <w:rFonts w:hint="eastAsia"/>
          <w:lang w:eastAsia="ko-KR"/>
        </w:rPr>
        <w:t>,</w:t>
      </w:r>
      <w:r w:rsidRPr="004D0DAA">
        <w:t xml:space="preserve"> MULTIPLE TBF DOWNLINK ASSIGNMENT, PACKET TIMESLOT RECONFIGURE or MULTIPLE TBF TIMESLOT RECONFIGURE message including frequency parameters for the carrier supporting the dedicated resources, the mobile station shall perform an abnormal release with access retry (see sub-clause 8.7.2);</w:t>
      </w:r>
    </w:p>
    <w:p w14:paraId="16484AD1" w14:textId="77777777" w:rsidR="00711444" w:rsidRPr="004D0DAA" w:rsidRDefault="00711444" w:rsidP="00711444">
      <w:pPr>
        <w:pStyle w:val="B1"/>
      </w:pPr>
      <w:r w:rsidRPr="004D0DAA">
        <w:t>-</w:t>
      </w:r>
      <w:r w:rsidRPr="004D0DAA">
        <w:tab/>
        <w:t>If a failure in the PACKET TIMESLOT RECONFIGURE, MULTIPLE TBF TIMESLOT RECONFIGURE or PACKET CS RELEASE INDICATION message is due to any other reason, the mobile station shall abort the procedure and perform an abnormal release with access retry (see sub-clause 8.7.2);</w:t>
      </w:r>
    </w:p>
    <w:p w14:paraId="6E6AFC14" w14:textId="77777777" w:rsidR="00711444" w:rsidRPr="004D0DAA" w:rsidRDefault="00711444" w:rsidP="00711444">
      <w:pPr>
        <w:pStyle w:val="B1"/>
      </w:pPr>
      <w:r w:rsidRPr="004D0DAA">
        <w:t>-</w:t>
      </w:r>
      <w:r w:rsidRPr="004D0DAA">
        <w:tab/>
        <w:t>If a failure in the PACKET DOWNLINK ASSIGNMENT, MULTIPLE TBF DOWNLINK ASSIGNMENT message is due to any other reason, the mobile station shall abort the procedure and continue the normal operation of the ongoing uplink and downlink TBFs.</w:t>
      </w:r>
    </w:p>
    <w:p w14:paraId="19558866" w14:textId="77777777" w:rsidR="00711444" w:rsidRPr="004D0DAA" w:rsidRDefault="00711444" w:rsidP="00711444">
      <w:pPr>
        <w:pStyle w:val="Heading4"/>
        <w:rPr>
          <w:lang w:val="en-US"/>
        </w:rPr>
      </w:pPr>
      <w:bookmarkStart w:id="263" w:name="_Toc516669451"/>
      <w:r w:rsidRPr="004D0DAA">
        <w:rPr>
          <w:lang w:val="en-US"/>
        </w:rPr>
        <w:t>8.1.1.3b</w:t>
      </w:r>
      <w:r w:rsidRPr="004D0DAA">
        <w:rPr>
          <w:lang w:val="en-US"/>
        </w:rPr>
        <w:tab/>
        <w:t>Fixed Uplink Allocation RLC data block transfer</w:t>
      </w:r>
      <w:bookmarkEnd w:id="263"/>
    </w:p>
    <w:p w14:paraId="015E71B9" w14:textId="77777777" w:rsidR="00711444" w:rsidRPr="004D0DAA" w:rsidRDefault="00711444" w:rsidP="00711444">
      <w:pPr>
        <w:keepNext/>
        <w:keepLines/>
      </w:pPr>
      <w:r w:rsidRPr="004D0DAA">
        <w:t>This sub-clause specifies the behaviour for fixed uplink allocation RLC data block transfer while in packet transfer mode with an uplink EC TBF. The downlink allocation follows the procedures as described in sub-clause 8.1.2.</w:t>
      </w:r>
    </w:p>
    <w:p w14:paraId="1F3D7052" w14:textId="77777777" w:rsidR="00711444" w:rsidRPr="004D0DAA" w:rsidRDefault="00711444" w:rsidP="00711444">
      <w:r w:rsidRPr="004D0DAA">
        <w:t xml:space="preserve">When the mobile station receives a Fixed Uplink Allocation, FUA, in e.g. the EC PACKET UPLINK ASSIGNMENT or EC PACKET UPLINK ACK/NACK message it shall perform uplink transmissions according to that allocation. The uplink resources are allocated with respect to a BTTI configuration, the mobile station uplink coverage class, the assigned MCS, the number of RLC data blocks required for the EC TBF as indicated by the mobile station and with respect to the latest ack/nack status as perceived by the network, if  such exists, and transmitted to the mobile station in the message containing the FUA. The uplink resources will be allocated according to the coverage class dependent resource mapping (see 3GPP TS 45.002) and the mobile station shall transmit accordingly. </w:t>
      </w:r>
    </w:p>
    <w:p w14:paraId="130AB06B" w14:textId="77777777" w:rsidR="00711444" w:rsidRPr="004D0DAA" w:rsidRDefault="00711444" w:rsidP="00711444">
      <w:r w:rsidRPr="004D0DAA">
        <w:t xml:space="preserve">The uplink EC TBF assignment also includes resources for reception of control messages on EC-PACCH/D as a function of the uplink allocated resources. </w:t>
      </w:r>
    </w:p>
    <w:p w14:paraId="1C1EA173" w14:textId="77777777" w:rsidR="00711444" w:rsidRPr="004D0DAA" w:rsidRDefault="00711444" w:rsidP="00711444">
      <w:r w:rsidRPr="004D0DAA">
        <w:rPr>
          <w:lang w:val="en-US"/>
        </w:rPr>
        <w:t xml:space="preserve">Since fixed uplink allocation is used on the uplink, the network will always know the BSN transmitted by the mobile station within each RLC data block, and hence need not rely on RLC/MAC header decoding to acquire the BSN for the </w:t>
      </w:r>
      <w:r w:rsidRPr="004D0DAA">
        <w:rPr>
          <w:lang w:val="en-US"/>
        </w:rPr>
        <w:lastRenderedPageBreak/>
        <w:t xml:space="preserve">purpose of chase combining or incremental redundancy. One exception may apply in case the data to be transmitted by the mobile station can, due to the use of an MCS different from MCS-1, be contained in fewer RLC data blocks than allocated by the network. In that case the excessively allocated RLC data block will contain a pre-emptive uplink transmission, see </w:t>
      </w:r>
      <w:r w:rsidRPr="004D0DAA">
        <w:t>9.3.2.3</w:t>
      </w:r>
    </w:p>
    <w:p w14:paraId="5E2466D2" w14:textId="77777777" w:rsidR="00711444" w:rsidRPr="004D0DAA" w:rsidRDefault="00711444" w:rsidP="00711444">
      <w:r w:rsidRPr="004D0DAA">
        <w:t>The BSN_OFFSET field in the fixed uplink allocation defines the offset, in the list of available RLC data blocks for transmission, which shall be applied by the mobile station when selecting the RLC data blocks to transmit in the fixed uplink allocation. If the BSN_OFFSET field is not present, the mobile station shall select the RLC data blocks to transmit in the resources within the fixed uplink allocation as described in sub-clause 9.1.3.4. If the BSN_OFFSET field is present, the mobile station shall apply an offset in RLC data blocks and skip one, or several, of the RLC data blocks that would be transmitted first according to the procedures in sub-clause 9.1.3.4. In case pre-emptive transmission is required for the fixed uplink allocation, see sub-clause 9.3.2.3, the skipped RLC data blocks shall still be included when selecting RLC data blocks for pre-emptive retransmission.</w:t>
      </w:r>
    </w:p>
    <w:p w14:paraId="358964AA" w14:textId="77777777" w:rsidR="00711444" w:rsidRPr="004D0DAA" w:rsidRDefault="00711444" w:rsidP="00711444">
      <w:pPr>
        <w:keepNext/>
        <w:keepLines/>
      </w:pPr>
      <w:r w:rsidRPr="004D0DAA">
        <w:t>During the time between reception of the message containing the fixed uplink allocation until the time of transmission of the last radio block of the fixed uplink allocation, the mobile station shall not monitor the EC-PACCH on the downlink.</w:t>
      </w:r>
    </w:p>
    <w:p w14:paraId="72E78BCC" w14:textId="77777777" w:rsidR="00711444" w:rsidRPr="004D0DAA" w:rsidRDefault="00711444" w:rsidP="00711444">
      <w:pPr>
        <w:keepNext/>
        <w:keepLines/>
      </w:pPr>
      <w:r w:rsidRPr="004D0DAA">
        <w:t>When the last radio block is transmitted according to the fixed uplink allocation, the mobile station shall start timer T3226. When T3226 expires the mobile station shall start T3228 and monitor the EC-PACCH, see sub-clause 8.1.1.3b.1. If the mobile station receives an EC PACKET UPLINK ACK/NACK message or</w:t>
      </w:r>
      <w:r w:rsidRPr="004D0DAA">
        <w:rPr>
          <w:lang w:val="en-US"/>
        </w:rPr>
        <w:t xml:space="preserve"> an EC PACKET UPLINK ACK/NACK</w:t>
      </w:r>
      <w:r w:rsidRPr="004D0DAA">
        <w:rPr>
          <w:caps/>
        </w:rPr>
        <w:t xml:space="preserve"> AND CONTENTION RESOLUTION</w:t>
      </w:r>
      <w:r w:rsidRPr="004D0DAA">
        <w:t xml:space="preserve"> message addressed to it, it shall act on the message and stop timer T3228. </w:t>
      </w:r>
    </w:p>
    <w:p w14:paraId="37EAFA3C" w14:textId="77777777" w:rsidR="00711444" w:rsidRPr="004D0DAA" w:rsidRDefault="00711444" w:rsidP="00711444">
      <w:pPr>
        <w:keepNext/>
        <w:keepLines/>
      </w:pPr>
      <w:r w:rsidRPr="004D0DAA">
        <w:t xml:space="preserve">The network shall start timer T3227 after the last allocated RLC data block of the fixed uplink allocation. When timer T3227 expires, the network shall (re)start timer T3229. The network shall then send the EC PACKET UPLINK ACK/NACK message or the </w:t>
      </w:r>
      <w:r w:rsidRPr="004D0DAA">
        <w:rPr>
          <w:lang w:val="en-US"/>
        </w:rPr>
        <w:t>EC PACKET UPLINK ACK/NACK</w:t>
      </w:r>
      <w:r w:rsidRPr="004D0DAA">
        <w:rPr>
          <w:caps/>
        </w:rPr>
        <w:t xml:space="preserve"> AND CONTENTION RESOLUTION</w:t>
      </w:r>
      <w:r w:rsidRPr="004D0DAA">
        <w:t xml:space="preserve"> message to the mobile station.</w:t>
      </w:r>
    </w:p>
    <w:p w14:paraId="4C8EA3A4" w14:textId="77777777" w:rsidR="00711444" w:rsidRPr="004D0DAA" w:rsidRDefault="00711444" w:rsidP="00711444">
      <w:pPr>
        <w:keepNext/>
        <w:keepLines/>
      </w:pPr>
      <w:r w:rsidRPr="004D0DAA">
        <w:t>The mobile station is only allowed to transmit RLC data blocks in the fixed uplink allocation resources, i.e. no RLC/MAC control messages shall be sent.</w:t>
      </w:r>
    </w:p>
    <w:p w14:paraId="1728AE3C" w14:textId="77777777" w:rsidR="00711444" w:rsidRPr="004D0DAA" w:rsidRDefault="00711444" w:rsidP="00711444">
      <w:pPr>
        <w:pStyle w:val="Heading5"/>
      </w:pPr>
      <w:bookmarkStart w:id="264" w:name="_Toc516669452"/>
      <w:r w:rsidRPr="004D0DAA">
        <w:t>8.1.1.3b.1</w:t>
      </w:r>
      <w:r w:rsidRPr="004D0DAA">
        <w:tab/>
        <w:t>EC-PACCH operation</w:t>
      </w:r>
      <w:bookmarkEnd w:id="264"/>
    </w:p>
    <w:p w14:paraId="0EB0FD9B" w14:textId="77777777" w:rsidR="00711444" w:rsidRPr="004D0DAA" w:rsidRDefault="00711444" w:rsidP="00711444">
      <w:r w:rsidRPr="004D0DAA">
        <w:t xml:space="preserve">When timer T3226 expires, the mobile station shall monitor the EC-PACCH according to its assigned downlink coverage class and, as long as T3228 is running, attempt to decode every downlink RLC/MAC block on the PDCHs corresponding to the downlink assigned EC-PACCH resources. </w:t>
      </w:r>
    </w:p>
    <w:p w14:paraId="36FDD390" w14:textId="77777777" w:rsidR="00711444" w:rsidRPr="004D0DAA" w:rsidRDefault="00711444" w:rsidP="00711444">
      <w:r w:rsidRPr="004D0DAA">
        <w:t>Whenever the mobile station receives an RLC/MAC block containing an RLC/MAC control block, the mobile station shall attempt to interpret the message contained therein. If the message addresses the mobile station, the mobile station shall act on the message.</w:t>
      </w:r>
    </w:p>
    <w:p w14:paraId="42AA1441" w14:textId="77777777" w:rsidR="00711444" w:rsidRPr="004D0DAA" w:rsidRDefault="00711444" w:rsidP="00711444">
      <w:pPr>
        <w:rPr>
          <w:lang w:val="en-US"/>
        </w:rPr>
      </w:pPr>
      <w:r w:rsidRPr="004D0DAA">
        <w:t xml:space="preserve">If timer T3228 expires, the mobile station shall release the ongoing uplink TBF and may perform an abnormal release with access retry, unless timer T3248 </w:t>
      </w:r>
      <w:r w:rsidRPr="004D0DAA">
        <w:rPr>
          <w:bCs/>
        </w:rPr>
        <w:t>(sent in EC-SI) is used</w:t>
      </w:r>
      <w:r w:rsidRPr="004D0DAA">
        <w:t>. If T3248 is used,</w:t>
      </w:r>
      <w:r w:rsidRPr="004D0DAA">
        <w:rPr>
          <w:bCs/>
        </w:rPr>
        <w:t xml:space="preserve"> i.e. it has a value</w:t>
      </w:r>
      <w:r w:rsidRPr="004D0DAA">
        <w:t xml:space="preserve"> &gt; 0, the mobile station shall instead start timer T3248 and continue to monitor the DL EC-PACCH using the next higher DL Coverage Class, if such exists. </w:t>
      </w:r>
      <w:r w:rsidRPr="004D0DAA">
        <w:rPr>
          <w:lang w:val="en-US"/>
        </w:rPr>
        <w:t>If no higher DL CC than the assigned DL CC exists, the mobile station shall continue to monitor the DL EC-PACCH for reception of an EC PACKET UPLINK ACK/NACK message or an EC PACKET UPLINK ACK/NACK</w:t>
      </w:r>
      <w:r w:rsidRPr="004D0DAA">
        <w:rPr>
          <w:caps/>
        </w:rPr>
        <w:t xml:space="preserve"> AND CONTENTION RESOLUTION</w:t>
      </w:r>
      <w:r w:rsidRPr="004D0DAA">
        <w:rPr>
          <w:lang w:val="en-US"/>
        </w:rPr>
        <w:t xml:space="preserve"> message according to the last assigned DL CC until T3248 expires. </w:t>
      </w:r>
    </w:p>
    <w:p w14:paraId="11D7CC65" w14:textId="77777777" w:rsidR="00711444" w:rsidRPr="004D0DAA" w:rsidRDefault="00711444" w:rsidP="00711444">
      <w:pPr>
        <w:rPr>
          <w:lang w:val="en-US"/>
        </w:rPr>
      </w:pPr>
      <w:r w:rsidRPr="004D0DAA">
        <w:rPr>
          <w:lang w:val="en-US"/>
        </w:rPr>
        <w:t>The assigned resources (timeslots) to be used for the downlink EC-PACCH according to the next higher DL Coverage Class are either the same as the assigned timeslots for the uplink EC-PDTCH or given in the assignment message. If no valid resources for the next higher Coverage Class are assigned, the mobile station shall continue to monitor the downlink EC-PACCH using the assigned DL Coverage Class while timer T3248 is running.</w:t>
      </w:r>
    </w:p>
    <w:p w14:paraId="1EC8FCCF" w14:textId="77777777" w:rsidR="00711444" w:rsidRPr="004D0DAA" w:rsidRDefault="00711444" w:rsidP="00711444">
      <w:r w:rsidRPr="004D0DAA">
        <w:t xml:space="preserve">When the mobile station receives an EC PACKET UPLINK ACK/NACK message or an </w:t>
      </w:r>
      <w:r w:rsidRPr="004D0DAA">
        <w:rPr>
          <w:lang w:val="en-US"/>
        </w:rPr>
        <w:t>EC PACKET UPLINK ACK/NACK</w:t>
      </w:r>
      <w:r w:rsidRPr="004D0DAA">
        <w:rPr>
          <w:caps/>
        </w:rPr>
        <w:t xml:space="preserve"> AND CONTENTION RESOLUTION </w:t>
      </w:r>
      <w:r w:rsidRPr="004D0DAA">
        <w:t xml:space="preserve">message addressing the mobile station with the TFI value associated with its uplink TBF it shall stop T3228, if running. If timer T3248 was running at reception of the EC PACKET UPLINK ACK/NACK message or the </w:t>
      </w:r>
      <w:r w:rsidRPr="004D0DAA">
        <w:rPr>
          <w:lang w:val="en-US"/>
        </w:rPr>
        <w:t>EC PACKET UPLINK ACK/NACK</w:t>
      </w:r>
      <w:r w:rsidRPr="004D0DAA">
        <w:rPr>
          <w:caps/>
        </w:rPr>
        <w:t xml:space="preserve"> AND CONTENTION RESOLUTION</w:t>
      </w:r>
      <w:r w:rsidRPr="004D0DAA">
        <w:t xml:space="preserve"> message (and thus not T3228), the timer T3248 shall be stopped.</w:t>
      </w:r>
    </w:p>
    <w:p w14:paraId="1F975AEE" w14:textId="77777777" w:rsidR="00711444" w:rsidRPr="004D0DAA" w:rsidRDefault="00711444" w:rsidP="00711444">
      <w:r w:rsidRPr="004D0DAA">
        <w:t>At expiry of T3248, the mobile station shall release the ongoing uplink TBF. Abnormal release with access retry may be performed.</w:t>
      </w:r>
    </w:p>
    <w:p w14:paraId="0C882C1D" w14:textId="77777777" w:rsidR="00711444" w:rsidRPr="004D0DAA" w:rsidRDefault="00711444" w:rsidP="00711444">
      <w:r w:rsidRPr="004D0DAA">
        <w:lastRenderedPageBreak/>
        <w:t xml:space="preserve">The mobile station is only reachable on the EC-PACCH once timer T3227 has expired. When timer T3227 expires, the network shall start timer T3229 and send the EC PACKET UPLINK ACK/NACK message or the </w:t>
      </w:r>
      <w:r w:rsidRPr="004D0DAA">
        <w:rPr>
          <w:lang w:val="en-US"/>
        </w:rPr>
        <w:t>EC PACKET UPLINK ACK/NACK</w:t>
      </w:r>
      <w:r w:rsidRPr="004D0DAA">
        <w:rPr>
          <w:caps/>
        </w:rPr>
        <w:t xml:space="preserve"> AND CONTENTION RESOLUTION</w:t>
      </w:r>
      <w:r w:rsidRPr="004D0DAA">
        <w:t xml:space="preserve"> message to the mobile station. The network may send additional EC PACKET UPLINK ACK/NACK messages  or </w:t>
      </w:r>
      <w:r w:rsidRPr="004D0DAA">
        <w:rPr>
          <w:lang w:val="en-US"/>
        </w:rPr>
        <w:t>EC PACKET UPLINK ACK/NACK</w:t>
      </w:r>
      <w:r w:rsidRPr="004D0DAA">
        <w:rPr>
          <w:caps/>
        </w:rPr>
        <w:t xml:space="preserve"> AND CONTENTION RESOLUTION</w:t>
      </w:r>
      <w:r w:rsidRPr="004D0DAA">
        <w:t xml:space="preserve"> messages to the mobile station while timer T3229 is running. The network should then however take into account that the mobile station will stop monitoring the EC-PACCH at reception of an EC PACKET UPLINK ACK/NACK message or an </w:t>
      </w:r>
      <w:r w:rsidRPr="004D0DAA">
        <w:rPr>
          <w:lang w:val="en-US"/>
        </w:rPr>
        <w:t>EC PACKET UPLINK ACK/NACK</w:t>
      </w:r>
      <w:r w:rsidRPr="004D0DAA">
        <w:rPr>
          <w:caps/>
        </w:rPr>
        <w:t xml:space="preserve"> AND CONTENTION RESOLUTION </w:t>
      </w:r>
      <w:r w:rsidRPr="004D0DAA">
        <w:t>message, addressed to it, with a fixed uplink allocation. If the network receives uplink data from the mobile station, on the resources that are part of the fixed uplink allocation, the network shall stop timer T3229, if running.</w:t>
      </w:r>
    </w:p>
    <w:p w14:paraId="5F110B3B" w14:textId="77777777" w:rsidR="00711444" w:rsidRPr="004D0DAA" w:rsidRDefault="00711444" w:rsidP="00711444">
      <w:r w:rsidRPr="004D0DAA">
        <w:t xml:space="preserve">If timer T3249 (sent in EC-SI) is not used, the network may release the TBF and reuse the TFI resource when timer T3229 has expired and no uplink data has been received according to the fixed uplink allocation sent to the mobile station in an EC PACKET UPLINK ACK/NACK message or an </w:t>
      </w:r>
      <w:r w:rsidRPr="004D0DAA">
        <w:rPr>
          <w:lang w:val="en-US"/>
        </w:rPr>
        <w:t>EC PACKET UPLINK ACK/NACK</w:t>
      </w:r>
      <w:r w:rsidRPr="004D0DAA">
        <w:rPr>
          <w:caps/>
        </w:rPr>
        <w:t xml:space="preserve"> AND CONTENTION RESOLUTION </w:t>
      </w:r>
      <w:r w:rsidRPr="004D0DAA">
        <w:t xml:space="preserve">message before expiry of timer T3229. If timer T3249 is used, i.e. it has a value &gt; 0, it shall be started at expiry of T3229. The network may send the EC PACKET UPLINK ACK/NACK messages or the </w:t>
      </w:r>
      <w:r w:rsidRPr="004D0DAA">
        <w:rPr>
          <w:lang w:val="en-US"/>
        </w:rPr>
        <w:t>EC PACKET UPLINK ACK/NACK</w:t>
      </w:r>
      <w:r w:rsidRPr="004D0DAA">
        <w:rPr>
          <w:caps/>
        </w:rPr>
        <w:t xml:space="preserve"> AND CONTENTION RESOLUTION </w:t>
      </w:r>
      <w:r w:rsidRPr="004D0DAA">
        <w:t xml:space="preserve">message to the mobile station using the next higher DL Coverage Class compared to the assigned DL Coverage Class, if such exists, while T3249 is running. When timer T3249 has expired and no uplink data has been received on the resources assigned in the fixed uplink allocation sent to the mobile station in an EC PACKET UPLINK ACK/NACK message or an </w:t>
      </w:r>
      <w:r w:rsidRPr="004D0DAA">
        <w:rPr>
          <w:lang w:val="en-US"/>
        </w:rPr>
        <w:t>EC PACKET UPLINK ACK/NACK</w:t>
      </w:r>
      <w:r w:rsidRPr="004D0DAA">
        <w:rPr>
          <w:caps/>
        </w:rPr>
        <w:t xml:space="preserve"> AND CONTENTION RESOLUTION</w:t>
      </w:r>
      <w:r w:rsidRPr="004D0DAA">
        <w:t xml:space="preserve"> message before expiry of timer T3249 (or preceding T3229), the network may release the TBF and reuse the TFI resource.</w:t>
      </w:r>
    </w:p>
    <w:p w14:paraId="2BE8C734" w14:textId="77777777" w:rsidR="00711444" w:rsidRPr="004D0DAA" w:rsidRDefault="00711444" w:rsidP="00711444">
      <w:pPr>
        <w:pStyle w:val="Heading5"/>
      </w:pPr>
      <w:bookmarkStart w:id="265" w:name="_Toc516669453"/>
      <w:r w:rsidRPr="004D0DAA">
        <w:t>8.1.1.3b.2</w:t>
      </w:r>
      <w:r w:rsidRPr="004D0DAA">
        <w:tab/>
        <w:t>Prolonged Resources for Uplink transmission</w:t>
      </w:r>
      <w:bookmarkEnd w:id="265"/>
    </w:p>
    <w:p w14:paraId="1C2ED788" w14:textId="77777777" w:rsidR="00711444" w:rsidRPr="004D0DAA" w:rsidRDefault="00711444" w:rsidP="00711444">
      <w:r w:rsidRPr="004D0DAA">
        <w:t xml:space="preserve">During an EC TBF, upper layers of the mobile station may request to transfer upper layer PDUs not accounted for in the initial resource request. The mobile station may then prolong the uplink TBF by including a Countdown Value, CV, that indicates a later end of the TBF than previously indicated, unless CV=0 has already been indicated in an RLC uplink data block, see sub-clause 9.3.1 for the countdown procedure. </w:t>
      </w:r>
    </w:p>
    <w:p w14:paraId="4C0F3461" w14:textId="77777777" w:rsidR="00711444" w:rsidRPr="004D0DAA" w:rsidRDefault="00711444" w:rsidP="00711444">
      <w:pPr>
        <w:pStyle w:val="Heading5"/>
        <w:spacing w:line="360" w:lineRule="auto"/>
      </w:pPr>
      <w:bookmarkStart w:id="266" w:name="_Toc516669454"/>
      <w:r w:rsidRPr="004D0DAA">
        <w:t>8.1.1.3b.3</w:t>
      </w:r>
      <w:r w:rsidRPr="004D0DAA">
        <w:tab/>
        <w:t>Abnormal cases</w:t>
      </w:r>
      <w:bookmarkEnd w:id="266"/>
    </w:p>
    <w:p w14:paraId="7E593B03" w14:textId="77777777" w:rsidR="00711444" w:rsidRPr="004D0DAA" w:rsidRDefault="00711444" w:rsidP="00711444">
      <w:r w:rsidRPr="004D0DAA">
        <w:t>The following abnormal cases apply:</w:t>
      </w:r>
    </w:p>
    <w:p w14:paraId="4039D0C2" w14:textId="77777777" w:rsidR="00711444" w:rsidRPr="004D0DAA" w:rsidRDefault="00711444" w:rsidP="00711444">
      <w:pPr>
        <w:pStyle w:val="B1"/>
      </w:pPr>
      <w:r w:rsidRPr="004D0DAA">
        <w:t>-</w:t>
      </w:r>
      <w:r w:rsidRPr="004D0DAA">
        <w:tab/>
        <w:t>If the information in the EC PACKET UPLINK ACK/NACK message does not properly specify an uplink PDCH or specifies a multislot configuration that the mobile station does not support (see 3GPP TS 45.002), the mobile station shall perform an abnormal release with access retry (see sub-clause 8.7.2);</w:t>
      </w:r>
    </w:p>
    <w:p w14:paraId="050A8742" w14:textId="77777777" w:rsidR="00711444" w:rsidRPr="004D0DAA" w:rsidRDefault="00711444" w:rsidP="00711444">
      <w:pPr>
        <w:pStyle w:val="B1"/>
      </w:pPr>
      <w:r w:rsidRPr="004D0DAA">
        <w:t>-</w:t>
      </w:r>
      <w:r w:rsidRPr="004D0DAA">
        <w:tab/>
        <w:t>If a failure in the uplink assignment message (e.g. EC PACKET UPLINK ACK/NACK message) is due to any other reason the mobile station shall perform an abnormal release with access retry (see sub-clause 8.7.2).</w:t>
      </w:r>
    </w:p>
    <w:p w14:paraId="7FF3AE36" w14:textId="77777777" w:rsidR="00711444" w:rsidRPr="004D0DAA" w:rsidRDefault="00711444" w:rsidP="00711444">
      <w:pPr>
        <w:pStyle w:val="Heading5"/>
      </w:pPr>
      <w:bookmarkStart w:id="267" w:name="_Toc516669455"/>
      <w:r w:rsidRPr="004D0DAA">
        <w:t>8.1.1.3b.4</w:t>
      </w:r>
      <w:r w:rsidRPr="004D0DAA">
        <w:tab/>
      </w:r>
      <w:r w:rsidRPr="004D0DAA">
        <w:tab/>
        <w:t>Establishment of Downlink TBF</w:t>
      </w:r>
      <w:bookmarkEnd w:id="267"/>
    </w:p>
    <w:p w14:paraId="426F5982" w14:textId="77777777" w:rsidR="00711444" w:rsidRPr="004D0DAA" w:rsidRDefault="00711444" w:rsidP="00711444">
      <w:r w:rsidRPr="004D0DAA">
        <w:t>The network may establish a downlink EC TBF at release of the uplink EC TBF, as described in sub-clause 9.3.2.4.3.</w:t>
      </w:r>
    </w:p>
    <w:p w14:paraId="44C9AEDC" w14:textId="77777777" w:rsidR="00711444" w:rsidRPr="004D0DAA" w:rsidRDefault="00711444" w:rsidP="00711444">
      <w:pPr>
        <w:pStyle w:val="Heading4"/>
      </w:pPr>
      <w:bookmarkStart w:id="268" w:name="_Toc516669456"/>
      <w:r w:rsidRPr="004D0DAA">
        <w:t>8.1.1.4</w:t>
      </w:r>
      <w:r w:rsidRPr="004D0DAA">
        <w:tab/>
        <w:t>Network initiated release of uplink TBF</w:t>
      </w:r>
      <w:bookmarkEnd w:id="268"/>
    </w:p>
    <w:p w14:paraId="08461793" w14:textId="77777777" w:rsidR="00711444" w:rsidRPr="004D0DAA" w:rsidRDefault="00711444" w:rsidP="00711444">
      <w:r w:rsidRPr="004D0DAA">
        <w:t>The network may initiate release of an uplink TBF by transmitting a PACKET TBF RELEASE message to the mobile station on the PACCH. A cause value indicates the reason for release.</w:t>
      </w:r>
    </w:p>
    <w:p w14:paraId="04031A3A" w14:textId="77777777" w:rsidR="00711444" w:rsidRPr="004D0DAA" w:rsidRDefault="00711444" w:rsidP="00711444">
      <w:r w:rsidRPr="004D0DAA">
        <w:t>If the cause value is "Normal release" the mobile station shall continue to the next upper layer PDU boundary, starting the count down procedure (see sub-clause 9.3.1) at whatever value of CV is appropriate to count down to zero at the upper layer PDU boundary, and then release the uplink TBF according to the procedures in sub-clause 9.3.2.3 or 9.3.3.3. If multiple TBF procedures are not supported and the mobile station has more upper layer PDU(s) to send, the mobile station may initiate the establishment of a new uplink TBF as defined in sub-clause 7.1, 8.1.1. If the mobile station and network support multiple TBF procedures the mobile station may initiate the establishment of one or more new uplink TBFs as defined in sub-clause 8.1.1 and 8.1.1.1.2. If the uplink TBF is using EMST, the mobile station shall release the uplink TBF by releasing each RLC entity allocated to this TBF as specified in sub-clause 9.3.2.3 or 9.3.3.3.</w:t>
      </w:r>
    </w:p>
    <w:p w14:paraId="0611E2EA" w14:textId="77777777" w:rsidR="00711444" w:rsidRPr="004D0DAA" w:rsidRDefault="00711444" w:rsidP="00711444">
      <w:r w:rsidRPr="004D0DAA">
        <w:t xml:space="preserve">If the cause value is "Abnormal Release", the mobile station shall abort the uplink TBF and perform an abnormal release with access retry (see sub-clause 8.7.2). If a valid RRBP field is received as part of the PACKET TBF </w:t>
      </w:r>
      <w:r w:rsidRPr="004D0DAA">
        <w:lastRenderedPageBreak/>
        <w:t>RELEASE message, the mobile station shall transmit a PACKET CONTROL ACKNOWLEDGEMENT message in the uplink radio block specified.</w:t>
      </w:r>
    </w:p>
    <w:p w14:paraId="773AD530" w14:textId="77777777" w:rsidR="00711444" w:rsidRPr="004D0DAA" w:rsidRDefault="00711444" w:rsidP="00711444">
      <w:pPr>
        <w:pStyle w:val="Heading4"/>
      </w:pPr>
      <w:bookmarkStart w:id="269" w:name="_Toc516669457"/>
      <w:r w:rsidRPr="004D0DAA">
        <w:t>8.1.1.5</w:t>
      </w:r>
      <w:r w:rsidRPr="004D0DAA">
        <w:tab/>
        <w:t>Abnormal cases</w:t>
      </w:r>
      <w:bookmarkEnd w:id="269"/>
    </w:p>
    <w:p w14:paraId="27119CC2" w14:textId="77777777" w:rsidR="00711444" w:rsidRPr="004D0DAA" w:rsidRDefault="00711444" w:rsidP="00711444">
      <w:pPr>
        <w:keepNext/>
      </w:pPr>
      <w:r w:rsidRPr="004D0DAA">
        <w:t>The following abnormal cases apply:</w:t>
      </w:r>
    </w:p>
    <w:p w14:paraId="69B77DF0" w14:textId="77777777" w:rsidR="00711444" w:rsidRPr="004D0DAA" w:rsidRDefault="00711444" w:rsidP="00711444">
      <w:pPr>
        <w:pStyle w:val="B1"/>
      </w:pPr>
      <w:r w:rsidRPr="004D0DAA">
        <w:t>-</w:t>
      </w:r>
      <w:r w:rsidRPr="004D0DAA">
        <w:tab/>
        <w:t>if the mobile station receives a PACKET UPLINK ASSIGNMENT, EC PACKET UPLINK ASSIGNMENT, MULTIPLE TBF UPLINK ASSIGNMENT, PACKET TIMESLOT RECONFIGURE, MULTIPLE TBF TIMESLOT RECONFIGURE, PACKET DOWNLINK ASSIGNMENT, EC PACKET DOWNLINK ASSIGNMENT, MULTIPLE TBF DOWNLINK ASSIGNMENT or PACKET CS RELEASE INDICATION message with an invalid Frequency Parameters information element, the mobile station shall perform an abnormal release with system information (see sub-clause 8.7.3), performing a partial acquisition of system information messages containing frequency information;</w:t>
      </w:r>
    </w:p>
    <w:p w14:paraId="3F675A9F" w14:textId="77777777" w:rsidR="00711444" w:rsidRPr="004D0DAA" w:rsidRDefault="00711444" w:rsidP="00711444">
      <w:pPr>
        <w:pStyle w:val="B1"/>
      </w:pPr>
      <w:r w:rsidRPr="004D0DAA">
        <w:t>-</w:t>
      </w:r>
      <w:r w:rsidRPr="004D0DAA">
        <w:tab/>
        <w:t>if the mobile station receives a PACKET UPLINK ASSIGNMENT, MULTIPLE TBF UPLINK ASSIGNMENT, PACKET TIMESLOT RECONFIGURE, MULTIPLE TBF TIMESLOT RECONFIGURE, PACKET DOWNLINK ASSIGNMENT, MULTIPLE TBF DOWNLINK ASSIGNMENT or PACKET CS RELEASE INDICATION message specifying frequencies that are not all in one band then the mobile shall perform an abnormal release with access retry (see sub-clause 8.7.2);</w:t>
      </w:r>
    </w:p>
    <w:p w14:paraId="7B0C57F4" w14:textId="77777777" w:rsidR="00711444" w:rsidRPr="004D0DAA" w:rsidRDefault="00711444" w:rsidP="00711444">
      <w:pPr>
        <w:pStyle w:val="B1"/>
      </w:pPr>
      <w:r w:rsidRPr="004D0DAA">
        <w:t>-</w:t>
      </w:r>
      <w:r w:rsidRPr="004D0DAA">
        <w:tab/>
      </w:r>
      <w:r w:rsidRPr="004D0DAA">
        <w:rPr>
          <w:rFonts w:hint="eastAsia"/>
          <w:lang w:eastAsia="ko-KR"/>
        </w:rPr>
        <w:t xml:space="preserve">if </w:t>
      </w:r>
      <w:r w:rsidRPr="004D0DAA">
        <w:t>a mobile station in dual transfer mode receives a PACKET UPLINK ASSIGNMENT, MULTIPLE TBF UPLINK ASSIGNMENT, PACKET DOWNLINK ASSIGNMENT, MULTIPLE TBF DOWNLINK ASSIGNMENT, PACKET TIMESLOT RECONFIGURE or a MULTIPLE TBF TIMESLOT RECONFIGURE message including frequency parameters for the carrier supporting the dedicated resources, the mobile station shall perform an abnormal release with access retry (see sub-clause 8.7.2);</w:t>
      </w:r>
    </w:p>
    <w:p w14:paraId="239735CF" w14:textId="77777777" w:rsidR="00711444" w:rsidRPr="004D0DAA" w:rsidRDefault="00711444" w:rsidP="00711444">
      <w:pPr>
        <w:ind w:left="568" w:hanging="284"/>
      </w:pPr>
      <w:r w:rsidRPr="004D0DAA">
        <w:t>-</w:t>
      </w:r>
      <w:r w:rsidRPr="004D0DAA">
        <w:tab/>
        <w:t xml:space="preserve">if the mobile station receives a PACKET UPLINK ACK/NACK, an EC PACKET UPLINK ACK/NACK message or an </w:t>
      </w:r>
      <w:r w:rsidRPr="004D0DAA">
        <w:rPr>
          <w:lang w:val="en-US"/>
        </w:rPr>
        <w:t>EC PACKET UPLINK ACK/NACK</w:t>
      </w:r>
      <w:r w:rsidRPr="004D0DAA">
        <w:rPr>
          <w:caps/>
        </w:rPr>
        <w:t xml:space="preserve"> AND CONTENTION RESOLUTION</w:t>
      </w:r>
      <w:r w:rsidRPr="004D0DAA">
        <w:t xml:space="preserve"> message with missing mandatory fields, the MS shall perform an abnormal release with access retry (see sub-clause 8.7.2);</w:t>
      </w:r>
    </w:p>
    <w:p w14:paraId="7AF81DF0" w14:textId="77777777" w:rsidR="00711444" w:rsidRPr="004D0DAA" w:rsidRDefault="00711444" w:rsidP="00711444">
      <w:pPr>
        <w:pStyle w:val="B1"/>
      </w:pPr>
      <w:r w:rsidRPr="004D0DAA">
        <w:t>-</w:t>
      </w:r>
      <w:r w:rsidRPr="004D0DAA">
        <w:tab/>
        <w:t>if the mobile station is operating in the non-extended uplink TBF mode (see sub-clause 9.3.1b) and the mobile station has not started, or has started but not completed the countdown procedure for a given TBF and it receives a PACKET UPLINK ACK/NACK or an EC PACKET UPLINK ACK/NACK message with the Final Ack Indicator set for that TBF, it shall perform an abnormal release with access retry (see sub-clause 8.7.2).</w:t>
      </w:r>
    </w:p>
    <w:p w14:paraId="1BA174EE" w14:textId="77777777" w:rsidR="00711444" w:rsidRPr="004D0DAA" w:rsidRDefault="00711444" w:rsidP="00711444">
      <w:pPr>
        <w:pStyle w:val="NO"/>
      </w:pPr>
      <w:r w:rsidRPr="004D0DAA">
        <w:t>NOTE:</w:t>
      </w:r>
      <w:r w:rsidRPr="004D0DAA">
        <w:tab/>
        <w:t>A PACKET UPLINK ASSIGNMENT, MULTIPLE TBF UPLINK ASSIGNMENT, PACKET TIMESLOT RECONFIGURE, MULTIPLE TBF TIMESLOT RECONFIGURE, PACKET DOWNLINK ASSIGNMENT, MULTIPLE TBF DOWNLINK ASSIGNMENT or PACKET CS RELEASE INDICATION message sent to a multi-band mobile station shall not be considered invalid if it indicates new frequencies that are all in a different frequency band to that of the ARFCN of the serving cell.</w:t>
      </w:r>
    </w:p>
    <w:p w14:paraId="1C0F81F0" w14:textId="77777777" w:rsidR="00711444" w:rsidRPr="004D0DAA" w:rsidRDefault="00711444" w:rsidP="00711444">
      <w:pPr>
        <w:pStyle w:val="Heading4"/>
      </w:pPr>
      <w:bookmarkStart w:id="270" w:name="_Toc516669458"/>
      <w:r w:rsidRPr="004D0DAA">
        <w:t>8.1.1.6</w:t>
      </w:r>
      <w:r w:rsidRPr="004D0DAA">
        <w:tab/>
        <w:t>Change of RLC mode in extended uplink TBF mode</w:t>
      </w:r>
      <w:bookmarkEnd w:id="270"/>
    </w:p>
    <w:p w14:paraId="19F8A5DD" w14:textId="77777777" w:rsidR="00711444" w:rsidRPr="004D0DAA" w:rsidRDefault="00711444" w:rsidP="00711444">
      <w:pPr>
        <w:pStyle w:val="Heading5"/>
      </w:pPr>
      <w:bookmarkStart w:id="271" w:name="_Toc516669459"/>
      <w:r w:rsidRPr="004D0DAA">
        <w:t>8.1.1.6.1</w:t>
      </w:r>
      <w:r w:rsidRPr="004D0DAA">
        <w:tab/>
        <w:t>General</w:t>
      </w:r>
      <w:bookmarkEnd w:id="271"/>
    </w:p>
    <w:p w14:paraId="72FFC24F" w14:textId="77777777" w:rsidR="00711444" w:rsidRPr="004D0DAA" w:rsidRDefault="00711444" w:rsidP="00711444">
      <w:r w:rsidRPr="004D0DAA">
        <w:t xml:space="preserve">This procedure applies to a mobile station having an uplink TBF in extended uplink TBF mode. The procedure shall be used to release the ongoing uplink TBF and to setup a new TBF in another RLC mode. </w:t>
      </w:r>
    </w:p>
    <w:p w14:paraId="58CE4549" w14:textId="77777777" w:rsidR="00711444" w:rsidRPr="004D0DAA" w:rsidRDefault="00711444" w:rsidP="00711444">
      <w:pPr>
        <w:pStyle w:val="Heading5"/>
      </w:pPr>
      <w:bookmarkStart w:id="272" w:name="_Toc516669460"/>
      <w:r w:rsidRPr="004D0DAA">
        <w:t>8.1.1.6.2</w:t>
      </w:r>
      <w:r w:rsidRPr="004D0DAA">
        <w:tab/>
      </w:r>
      <w:r w:rsidRPr="004D0DAA">
        <w:t>Change of RLC mode</w:t>
      </w:r>
      <w:bookmarkEnd w:id="272"/>
    </w:p>
    <w:p w14:paraId="7C44F3A2" w14:textId="77777777" w:rsidR="00711444" w:rsidRPr="004D0DAA" w:rsidRDefault="00711444" w:rsidP="00711444">
      <w:r w:rsidRPr="004D0DAA">
        <w:t>The mobile station shall send a PACKET RESOURCE REQUEST message on PACCH indicating the new RLC mode and start timer T3168.</w:t>
      </w:r>
    </w:p>
    <w:p w14:paraId="7C438030" w14:textId="77777777" w:rsidR="00711444" w:rsidRPr="004D0DAA" w:rsidRDefault="00711444" w:rsidP="00711444">
      <w:r w:rsidRPr="004D0DAA">
        <w:t>If timer T3168 expires, the mobile station shall retransmit the PACKET RESOURCE REQUEST message and restart timer T3168.</w:t>
      </w:r>
    </w:p>
    <w:p w14:paraId="4499B8D5" w14:textId="77777777" w:rsidR="00711444" w:rsidRPr="004D0DAA" w:rsidRDefault="00711444" w:rsidP="00711444">
      <w:r w:rsidRPr="004D0DAA">
        <w:t>On receipt of a PACKET RESOURCE REQUEST message, indicating a change of RLC mode, the network shall release the uplink TBF at a point determined by the network, using the procedure defined in sub-clause 9.5.</w:t>
      </w:r>
    </w:p>
    <w:p w14:paraId="5854A5E9" w14:textId="77777777" w:rsidR="00711444" w:rsidRPr="004D0DAA" w:rsidRDefault="00711444" w:rsidP="00711444">
      <w:pPr>
        <w:rPr>
          <w:snapToGrid w:val="0"/>
        </w:rPr>
      </w:pPr>
      <w:r w:rsidRPr="004D0DAA">
        <w:rPr>
          <w:snapToGrid w:val="0"/>
        </w:rPr>
        <w:lastRenderedPageBreak/>
        <w:t>On receipt of PACKET UPLINK ACK/NACK with Final Ack Indicator set to '1' the mobile station shall stop timer T3168 and after sending the PACKET CONTROL ACK</w:t>
      </w:r>
      <w:r w:rsidRPr="004D0DAA">
        <w:rPr>
          <w:rFonts w:hint="eastAsia"/>
          <w:snapToGrid w:val="0"/>
          <w:lang w:eastAsia="ko-KR"/>
        </w:rPr>
        <w:t>NOWLEDGEMENT</w:t>
      </w:r>
      <w:r w:rsidRPr="004D0DAA">
        <w:rPr>
          <w:snapToGrid w:val="0"/>
        </w:rPr>
        <w:t xml:space="preserve"> </w:t>
      </w:r>
      <w:r w:rsidRPr="004D0DAA">
        <w:rPr>
          <w:rFonts w:hint="eastAsia"/>
          <w:snapToGrid w:val="0"/>
          <w:lang w:eastAsia="ko-KR"/>
        </w:rPr>
        <w:t xml:space="preserve">message </w:t>
      </w:r>
      <w:r w:rsidRPr="004D0DAA">
        <w:rPr>
          <w:snapToGrid w:val="0"/>
        </w:rPr>
        <w:t>perform the change of RLC mode by establishing a new TBF.</w:t>
      </w:r>
    </w:p>
    <w:p w14:paraId="426DB004" w14:textId="77777777" w:rsidR="00711444" w:rsidRPr="004D0DAA" w:rsidRDefault="00711444" w:rsidP="00711444">
      <w:pPr>
        <w:pStyle w:val="Heading5"/>
      </w:pPr>
      <w:bookmarkStart w:id="273" w:name="_Toc516669461"/>
      <w:r w:rsidRPr="004D0DAA">
        <w:t>8.1.1.6.3</w:t>
      </w:r>
      <w:r w:rsidRPr="004D0DAA">
        <w:tab/>
        <w:t>Abnormal cases</w:t>
      </w:r>
      <w:bookmarkEnd w:id="273"/>
    </w:p>
    <w:p w14:paraId="0506512A" w14:textId="77777777" w:rsidR="00711444" w:rsidRPr="004D0DAA" w:rsidRDefault="00711444" w:rsidP="00711444">
      <w:r w:rsidRPr="004D0DAA">
        <w:t>The following abnormal cases apply:</w:t>
      </w:r>
    </w:p>
    <w:p w14:paraId="5E646537" w14:textId="77777777" w:rsidR="00711444" w:rsidRPr="004D0DAA" w:rsidRDefault="00711444" w:rsidP="00711444">
      <w:pPr>
        <w:pStyle w:val="B1"/>
      </w:pPr>
      <w:r w:rsidRPr="004D0DAA">
        <w:t>-</w:t>
      </w:r>
      <w:r w:rsidRPr="004D0DAA">
        <w:tab/>
        <w:t>If timer T3168 expires and the PACKET RESOURCE REQUEST message has already been transmitted four times, the mobile station shall perform an abnormal release with access retry (see sub-clause 8.7.2).</w:t>
      </w:r>
    </w:p>
    <w:p w14:paraId="4C8BC838" w14:textId="77777777" w:rsidR="00711444" w:rsidRPr="004D0DAA" w:rsidRDefault="00711444" w:rsidP="00711444">
      <w:pPr>
        <w:pStyle w:val="Heading4"/>
      </w:pPr>
      <w:bookmarkStart w:id="274" w:name="_Toc516669462"/>
      <w:r w:rsidRPr="004D0DAA">
        <w:t>8.1.1.7</w:t>
      </w:r>
      <w:r w:rsidRPr="004D0DAA">
        <w:tab/>
        <w:t>Change of EGPRS level</w:t>
      </w:r>
      <w:bookmarkEnd w:id="274"/>
    </w:p>
    <w:p w14:paraId="298CF2FF" w14:textId="77777777" w:rsidR="00711444" w:rsidRPr="004D0DAA" w:rsidRDefault="00711444" w:rsidP="00711444">
      <w:pPr>
        <w:pStyle w:val="Heading5"/>
      </w:pPr>
      <w:bookmarkStart w:id="275" w:name="_Toc516669463"/>
      <w:r w:rsidRPr="004D0DAA">
        <w:t>8.1.1.7.1</w:t>
      </w:r>
      <w:r w:rsidRPr="004D0DAA">
        <w:tab/>
        <w:t>Change of EGPRS level for downlink TBFs</w:t>
      </w:r>
      <w:bookmarkEnd w:id="275"/>
    </w:p>
    <w:p w14:paraId="1F52F4A2" w14:textId="77777777" w:rsidR="00711444" w:rsidRPr="004D0DAA" w:rsidRDefault="00711444" w:rsidP="00711444">
      <w:r w:rsidRPr="004D0DAA">
        <w:t>The network may indicate to the mobile station that the EGPRS level applicable to a downlink TBF shall be changed. The mobile station shall not consider any transition (to or from any EGPRS level) to be an error, provided that the mobile station supports the new EGPRS level in the downlink. In EC operation the only level supported is EGPRS.</w:t>
      </w:r>
    </w:p>
    <w:p w14:paraId="4C7FB614" w14:textId="77777777" w:rsidR="00711444" w:rsidRPr="004D0DAA" w:rsidRDefault="00711444" w:rsidP="00711444">
      <w:pPr>
        <w:pStyle w:val="Heading5"/>
      </w:pPr>
      <w:bookmarkStart w:id="276" w:name="_Toc516669464"/>
      <w:r w:rsidRPr="004D0DAA">
        <w:t>8.1.1.7.2</w:t>
      </w:r>
      <w:r w:rsidRPr="004D0DAA">
        <w:tab/>
        <w:t>Change of EGPRS level for uplink TBFs</w:t>
      </w:r>
      <w:bookmarkEnd w:id="276"/>
    </w:p>
    <w:p w14:paraId="5A790531" w14:textId="77777777" w:rsidR="00711444" w:rsidRPr="004D0DAA" w:rsidRDefault="00711444" w:rsidP="00711444">
      <w:r w:rsidRPr="004D0DAA">
        <w:t xml:space="preserve">The network may indicate to the mobile station that the EGPRS level applicable to an uplink TBF shall be changed. The transitions which can be performed are shown in table 8.1.1.7.2.1. </w:t>
      </w:r>
    </w:p>
    <w:p w14:paraId="6FC9002A" w14:textId="77777777" w:rsidR="00711444" w:rsidRPr="004D0DAA" w:rsidRDefault="00711444" w:rsidP="00711444">
      <w:pPr>
        <w:pStyle w:val="TH"/>
      </w:pPr>
      <w:r w:rsidRPr="004D0DAA">
        <w:t>Table 8.1.1.7.2.1: Permitted EGPRS level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0"/>
        <w:gridCol w:w="2749"/>
      </w:tblGrid>
      <w:tr w:rsidR="00711444" w:rsidRPr="004D0DAA" w14:paraId="7F82F1FB" w14:textId="77777777" w:rsidTr="00AA2A4C">
        <w:tblPrEx>
          <w:tblCellMar>
            <w:top w:w="0" w:type="dxa"/>
            <w:bottom w:w="0" w:type="dxa"/>
          </w:tblCellMar>
        </w:tblPrEx>
        <w:trPr>
          <w:jc w:val="center"/>
        </w:trPr>
        <w:tc>
          <w:tcPr>
            <w:tcW w:w="2260" w:type="dxa"/>
            <w:vAlign w:val="center"/>
          </w:tcPr>
          <w:p w14:paraId="0D184385" w14:textId="77777777" w:rsidR="00711444" w:rsidRPr="004D0DAA" w:rsidRDefault="00711444" w:rsidP="00AA2A4C">
            <w:pPr>
              <w:pStyle w:val="TAH"/>
              <w:rPr>
                <w:lang w:eastAsia="en-US"/>
              </w:rPr>
            </w:pPr>
            <w:r w:rsidRPr="004D0DAA">
              <w:rPr>
                <w:lang w:eastAsia="en-US"/>
              </w:rPr>
              <w:t>Current EGPRS level</w:t>
            </w:r>
          </w:p>
        </w:tc>
        <w:tc>
          <w:tcPr>
            <w:tcW w:w="2749" w:type="dxa"/>
            <w:vAlign w:val="center"/>
          </w:tcPr>
          <w:p w14:paraId="76E30D52" w14:textId="77777777" w:rsidR="00711444" w:rsidRPr="004D0DAA" w:rsidRDefault="00711444" w:rsidP="00AA2A4C">
            <w:pPr>
              <w:pStyle w:val="TAH"/>
              <w:rPr>
                <w:lang w:eastAsia="en-US"/>
              </w:rPr>
            </w:pPr>
            <w:r w:rsidRPr="004D0DAA">
              <w:rPr>
                <w:lang w:eastAsia="en-US"/>
              </w:rPr>
              <w:t>New EGPRS Level</w:t>
            </w:r>
          </w:p>
        </w:tc>
      </w:tr>
      <w:tr w:rsidR="00711444" w:rsidRPr="004D0DAA" w14:paraId="20C47C68" w14:textId="77777777" w:rsidTr="00AA2A4C">
        <w:tblPrEx>
          <w:tblCellMar>
            <w:top w:w="0" w:type="dxa"/>
            <w:bottom w:w="0" w:type="dxa"/>
          </w:tblCellMar>
        </w:tblPrEx>
        <w:trPr>
          <w:jc w:val="center"/>
        </w:trPr>
        <w:tc>
          <w:tcPr>
            <w:tcW w:w="2260" w:type="dxa"/>
            <w:vAlign w:val="center"/>
          </w:tcPr>
          <w:p w14:paraId="5D8A194D" w14:textId="77777777" w:rsidR="00711444" w:rsidRPr="004D0DAA" w:rsidRDefault="00711444" w:rsidP="00AA2A4C">
            <w:pPr>
              <w:pStyle w:val="TAL"/>
              <w:rPr>
                <w:lang w:eastAsia="en-US"/>
              </w:rPr>
            </w:pPr>
            <w:r w:rsidRPr="004D0DAA">
              <w:rPr>
                <w:lang w:eastAsia="en-US"/>
              </w:rPr>
              <w:t>EGPRS</w:t>
            </w:r>
          </w:p>
        </w:tc>
        <w:tc>
          <w:tcPr>
            <w:tcW w:w="2749" w:type="dxa"/>
            <w:vAlign w:val="center"/>
          </w:tcPr>
          <w:p w14:paraId="15F98733" w14:textId="77777777" w:rsidR="00711444" w:rsidRPr="004D0DAA" w:rsidRDefault="00711444" w:rsidP="00AA2A4C">
            <w:pPr>
              <w:pStyle w:val="TAL"/>
              <w:rPr>
                <w:lang w:eastAsia="en-US"/>
              </w:rPr>
            </w:pPr>
            <w:r w:rsidRPr="004D0DAA">
              <w:rPr>
                <w:lang w:eastAsia="en-US"/>
              </w:rPr>
              <w:t>EGPRS2-A</w:t>
            </w:r>
          </w:p>
        </w:tc>
      </w:tr>
      <w:tr w:rsidR="00711444" w:rsidRPr="004D0DAA" w14:paraId="6B3D275B" w14:textId="77777777" w:rsidTr="00AA2A4C">
        <w:tblPrEx>
          <w:tblCellMar>
            <w:top w:w="0" w:type="dxa"/>
            <w:bottom w:w="0" w:type="dxa"/>
          </w:tblCellMar>
        </w:tblPrEx>
        <w:trPr>
          <w:jc w:val="center"/>
        </w:trPr>
        <w:tc>
          <w:tcPr>
            <w:tcW w:w="2260" w:type="dxa"/>
            <w:vAlign w:val="center"/>
          </w:tcPr>
          <w:p w14:paraId="2CE56332" w14:textId="77777777" w:rsidR="00711444" w:rsidRPr="004D0DAA" w:rsidRDefault="00711444" w:rsidP="00AA2A4C">
            <w:pPr>
              <w:pStyle w:val="TAL"/>
              <w:rPr>
                <w:lang w:eastAsia="en-US"/>
              </w:rPr>
            </w:pPr>
            <w:r w:rsidRPr="004D0DAA">
              <w:rPr>
                <w:lang w:eastAsia="en-US"/>
              </w:rPr>
              <w:t>EGPRS</w:t>
            </w:r>
          </w:p>
        </w:tc>
        <w:tc>
          <w:tcPr>
            <w:tcW w:w="2749" w:type="dxa"/>
            <w:vAlign w:val="center"/>
          </w:tcPr>
          <w:p w14:paraId="771B3E97" w14:textId="77777777" w:rsidR="00711444" w:rsidRPr="004D0DAA" w:rsidRDefault="00711444" w:rsidP="00AA2A4C">
            <w:pPr>
              <w:pStyle w:val="TAL"/>
              <w:rPr>
                <w:lang w:eastAsia="en-US"/>
              </w:rPr>
            </w:pPr>
            <w:r w:rsidRPr="004D0DAA">
              <w:rPr>
                <w:lang w:eastAsia="en-US"/>
              </w:rPr>
              <w:t>EGPRS2-B</w:t>
            </w:r>
          </w:p>
        </w:tc>
      </w:tr>
      <w:tr w:rsidR="00711444" w:rsidRPr="004D0DAA" w14:paraId="15BA4178" w14:textId="77777777" w:rsidTr="00AA2A4C">
        <w:tblPrEx>
          <w:tblCellMar>
            <w:top w:w="0" w:type="dxa"/>
            <w:bottom w:w="0" w:type="dxa"/>
          </w:tblCellMar>
        </w:tblPrEx>
        <w:trPr>
          <w:jc w:val="center"/>
        </w:trPr>
        <w:tc>
          <w:tcPr>
            <w:tcW w:w="2260" w:type="dxa"/>
            <w:vAlign w:val="center"/>
          </w:tcPr>
          <w:p w14:paraId="241BBBAE" w14:textId="77777777" w:rsidR="00711444" w:rsidRPr="004D0DAA" w:rsidRDefault="00711444" w:rsidP="00AA2A4C">
            <w:pPr>
              <w:pStyle w:val="TAL"/>
              <w:rPr>
                <w:lang w:eastAsia="en-US"/>
              </w:rPr>
            </w:pPr>
            <w:r w:rsidRPr="004D0DAA">
              <w:rPr>
                <w:lang w:eastAsia="en-US"/>
              </w:rPr>
              <w:t>EGPRS2-B</w:t>
            </w:r>
          </w:p>
        </w:tc>
        <w:tc>
          <w:tcPr>
            <w:tcW w:w="2749" w:type="dxa"/>
            <w:vAlign w:val="center"/>
          </w:tcPr>
          <w:p w14:paraId="56FBD229" w14:textId="77777777" w:rsidR="00711444" w:rsidRPr="004D0DAA" w:rsidRDefault="00711444" w:rsidP="00AA2A4C">
            <w:pPr>
              <w:pStyle w:val="TAL"/>
              <w:rPr>
                <w:lang w:eastAsia="en-US"/>
              </w:rPr>
            </w:pPr>
            <w:r w:rsidRPr="004D0DAA">
              <w:rPr>
                <w:lang w:eastAsia="en-US"/>
              </w:rPr>
              <w:t>EGPRS</w:t>
            </w:r>
          </w:p>
        </w:tc>
      </w:tr>
      <w:tr w:rsidR="00711444" w:rsidRPr="004D0DAA" w14:paraId="4EAD239A" w14:textId="77777777" w:rsidTr="00AA2A4C">
        <w:tblPrEx>
          <w:tblCellMar>
            <w:top w:w="0" w:type="dxa"/>
            <w:bottom w:w="0" w:type="dxa"/>
          </w:tblCellMar>
        </w:tblPrEx>
        <w:trPr>
          <w:jc w:val="center"/>
        </w:trPr>
        <w:tc>
          <w:tcPr>
            <w:tcW w:w="2260" w:type="dxa"/>
            <w:vAlign w:val="center"/>
          </w:tcPr>
          <w:p w14:paraId="256E5284" w14:textId="77777777" w:rsidR="00711444" w:rsidRPr="004D0DAA" w:rsidRDefault="00711444" w:rsidP="00AA2A4C">
            <w:pPr>
              <w:pStyle w:val="TAL"/>
              <w:rPr>
                <w:lang w:eastAsia="en-US"/>
              </w:rPr>
            </w:pPr>
            <w:r w:rsidRPr="004D0DAA">
              <w:rPr>
                <w:lang w:eastAsia="en-US"/>
              </w:rPr>
              <w:t>EGPRS2-A</w:t>
            </w:r>
          </w:p>
        </w:tc>
        <w:tc>
          <w:tcPr>
            <w:tcW w:w="2749" w:type="dxa"/>
            <w:vAlign w:val="center"/>
          </w:tcPr>
          <w:p w14:paraId="14605518" w14:textId="77777777" w:rsidR="00711444" w:rsidRPr="004D0DAA" w:rsidRDefault="00711444" w:rsidP="00AA2A4C">
            <w:pPr>
              <w:pStyle w:val="TAL"/>
              <w:rPr>
                <w:lang w:eastAsia="en-US"/>
              </w:rPr>
            </w:pPr>
            <w:r w:rsidRPr="004D0DAA">
              <w:rPr>
                <w:lang w:eastAsia="en-US"/>
              </w:rPr>
              <w:t>EGPRS</w:t>
            </w:r>
          </w:p>
        </w:tc>
      </w:tr>
    </w:tbl>
    <w:p w14:paraId="633BB963" w14:textId="77777777" w:rsidR="00711444" w:rsidRPr="004D0DAA" w:rsidRDefault="00711444" w:rsidP="00711444"/>
    <w:p w14:paraId="05440121" w14:textId="77777777" w:rsidR="00711444" w:rsidRPr="004D0DAA" w:rsidRDefault="00711444" w:rsidP="00711444">
      <w:r w:rsidRPr="004D0DAA">
        <w:t xml:space="preserve">In EC operation the only level supported is EGPRS. </w:t>
      </w:r>
    </w:p>
    <w:p w14:paraId="1CEC13A0" w14:textId="77777777" w:rsidR="00711444" w:rsidRPr="004D0DAA" w:rsidRDefault="00711444" w:rsidP="00711444">
      <w:r w:rsidRPr="004D0DAA">
        <w:t>Transitions not listed in Table 8.1.1.7.2.1 are not permitted.</w:t>
      </w:r>
    </w:p>
    <w:p w14:paraId="27B9A34A" w14:textId="77777777" w:rsidR="00711444" w:rsidRPr="004D0DAA" w:rsidRDefault="00711444" w:rsidP="00711444">
      <w:r w:rsidRPr="004D0DAA">
        <w:t>The modulation and coding scheme to be used for retransmissions in case of a transition from EGPRS to EGPRS2-A (respectively EGPRS2-B) is shown in Table 8.1.1.7.2.2 (respectively Table 8.1.1.7.2.3) below.</w:t>
      </w:r>
    </w:p>
    <w:p w14:paraId="17BA1046" w14:textId="77777777" w:rsidR="00711444" w:rsidRPr="004D0DAA" w:rsidRDefault="00711444" w:rsidP="00711444">
      <w:pPr>
        <w:pStyle w:val="TH"/>
      </w:pPr>
      <w:r w:rsidRPr="004D0DAA">
        <w:t>Table 8.1.1.7.2.2: Choice of modulation and coding scheme for retransmissions (initial transmission EGPRS, level changed to EGPRS2-A)</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1418"/>
        <w:gridCol w:w="1418"/>
        <w:gridCol w:w="1418"/>
        <w:gridCol w:w="1418"/>
        <w:gridCol w:w="1418"/>
      </w:tblGrid>
      <w:tr w:rsidR="00711444" w:rsidRPr="004D0DAA" w14:paraId="1D057AC0" w14:textId="77777777" w:rsidTr="00AA2A4C">
        <w:tc>
          <w:tcPr>
            <w:tcW w:w="1423" w:type="dxa"/>
            <w:tcBorders>
              <w:top w:val="single" w:sz="4" w:space="0" w:color="auto"/>
              <w:left w:val="single" w:sz="4" w:space="0" w:color="auto"/>
              <w:bottom w:val="single" w:sz="4" w:space="0" w:color="auto"/>
              <w:right w:val="single" w:sz="4" w:space="0" w:color="auto"/>
            </w:tcBorders>
          </w:tcPr>
          <w:p w14:paraId="580EFE5B" w14:textId="77777777" w:rsidR="00711444" w:rsidRPr="004D0DAA" w:rsidRDefault="00711444" w:rsidP="00AA2A4C">
            <w:pPr>
              <w:pStyle w:val="TAH"/>
              <w:rPr>
                <w:lang w:eastAsia="en-US"/>
              </w:rPr>
            </w:pPr>
            <w:r w:rsidRPr="004D0DAA">
              <w:rPr>
                <w:lang w:eastAsia="en-US"/>
              </w:rPr>
              <w:t>Scheme used for Initial transmission</w:t>
            </w:r>
          </w:p>
        </w:tc>
        <w:tc>
          <w:tcPr>
            <w:tcW w:w="7090" w:type="dxa"/>
            <w:gridSpan w:val="5"/>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240DA59" w14:textId="77777777" w:rsidR="00711444" w:rsidRPr="004D0DAA" w:rsidRDefault="00711444" w:rsidP="00AA2A4C">
            <w:pPr>
              <w:pStyle w:val="TAH"/>
              <w:rPr>
                <w:lang w:eastAsia="en-US"/>
              </w:rPr>
            </w:pPr>
            <w:r w:rsidRPr="004D0DAA">
              <w:rPr>
                <w:lang w:eastAsia="en-US"/>
              </w:rPr>
              <w:t>Scheme to use for retransmissions after switching to EGPRS2-A (MCS or UAS)</w:t>
            </w:r>
          </w:p>
        </w:tc>
      </w:tr>
      <w:tr w:rsidR="00711444" w:rsidRPr="004D0DAA" w14:paraId="3CAF855E" w14:textId="77777777" w:rsidTr="00AA2A4C">
        <w:trPr>
          <w:trHeight w:val="567"/>
        </w:trPr>
        <w:tc>
          <w:tcPr>
            <w:tcW w:w="1423" w:type="dxa"/>
            <w:tcBorders>
              <w:top w:val="single" w:sz="4" w:space="0" w:color="auto"/>
              <w:left w:val="single" w:sz="4" w:space="0" w:color="auto"/>
              <w:bottom w:val="single" w:sz="4" w:space="0" w:color="auto"/>
              <w:right w:val="single" w:sz="4" w:space="0" w:color="auto"/>
            </w:tcBorders>
            <w:shd w:val="clear" w:color="auto" w:fill="auto"/>
          </w:tcPr>
          <w:p w14:paraId="7642D93C" w14:textId="77777777" w:rsidR="00711444" w:rsidRPr="004D0DAA" w:rsidRDefault="00711444" w:rsidP="00AA2A4C"/>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94C98E" w14:textId="77777777" w:rsidR="00711444" w:rsidRPr="004D0DAA" w:rsidRDefault="00711444" w:rsidP="00AA2A4C">
            <w:pPr>
              <w:pStyle w:val="TAH"/>
              <w:rPr>
                <w:lang w:eastAsia="en-US"/>
              </w:rPr>
            </w:pPr>
            <w:r w:rsidRPr="004D0DAA">
              <w:rPr>
                <w:lang w:eastAsia="en-US"/>
              </w:rPr>
              <w:t>UAS-11 Commanded</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05490B" w14:textId="77777777" w:rsidR="00711444" w:rsidRPr="004D0DAA" w:rsidRDefault="00711444" w:rsidP="00AA2A4C">
            <w:pPr>
              <w:pStyle w:val="TAH"/>
              <w:rPr>
                <w:lang w:eastAsia="en-US"/>
              </w:rPr>
            </w:pPr>
            <w:r w:rsidRPr="004D0DAA">
              <w:rPr>
                <w:lang w:eastAsia="en-US"/>
              </w:rPr>
              <w:t>UAS-10 Commanded</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CFF998" w14:textId="77777777" w:rsidR="00711444" w:rsidRPr="004D0DAA" w:rsidRDefault="00711444" w:rsidP="00AA2A4C">
            <w:pPr>
              <w:pStyle w:val="TAH"/>
              <w:rPr>
                <w:lang w:eastAsia="en-US"/>
              </w:rPr>
            </w:pPr>
            <w:r w:rsidRPr="004D0DAA">
              <w:rPr>
                <w:lang w:eastAsia="en-US"/>
              </w:rPr>
              <w:t>UAS-9 Commanded</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A72AD0" w14:textId="77777777" w:rsidR="00711444" w:rsidRPr="004D0DAA" w:rsidRDefault="00711444" w:rsidP="00AA2A4C">
            <w:pPr>
              <w:pStyle w:val="TAH"/>
              <w:rPr>
                <w:lang w:eastAsia="en-US"/>
              </w:rPr>
            </w:pPr>
            <w:r w:rsidRPr="004D0DAA">
              <w:rPr>
                <w:lang w:eastAsia="en-US"/>
              </w:rPr>
              <w:t>UAS-8 Commanded</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224B4D" w14:textId="77777777" w:rsidR="00711444" w:rsidRPr="004D0DAA" w:rsidRDefault="00711444" w:rsidP="00AA2A4C">
            <w:pPr>
              <w:pStyle w:val="TAH"/>
              <w:rPr>
                <w:lang w:eastAsia="en-US"/>
              </w:rPr>
            </w:pPr>
            <w:r w:rsidRPr="004D0DAA">
              <w:rPr>
                <w:lang w:eastAsia="en-US"/>
              </w:rPr>
              <w:t>UAS-7 Commanded</w:t>
            </w:r>
          </w:p>
        </w:tc>
      </w:tr>
      <w:tr w:rsidR="00711444" w:rsidRPr="004D0DAA" w14:paraId="04892190"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49C2A0F" w14:textId="77777777" w:rsidR="00711444" w:rsidRPr="004D0DAA" w:rsidRDefault="00711444" w:rsidP="00AA2A4C">
            <w:pPr>
              <w:pStyle w:val="TAC"/>
              <w:rPr>
                <w:lang w:eastAsia="en-US"/>
              </w:rPr>
            </w:pPr>
            <w:r w:rsidRPr="004D0DAA">
              <w:rPr>
                <w:lang w:eastAsia="en-US"/>
              </w:rPr>
              <w:t>MCS-9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6066327"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E16C9FA"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B4F4A7E"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BE9B956" w14:textId="77777777" w:rsidR="00711444" w:rsidRPr="004D0DAA" w:rsidRDefault="00711444" w:rsidP="00AA2A4C">
            <w:pPr>
              <w:pStyle w:val="TAC"/>
              <w:rPr>
                <w:lang w:eastAsia="en-US"/>
              </w:rPr>
            </w:pPr>
            <w:r w:rsidRPr="004D0DAA">
              <w:rPr>
                <w:lang w:eastAsia="en-US"/>
              </w:rPr>
              <w:t>MCS-6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077F1EF" w14:textId="77777777" w:rsidR="00711444" w:rsidRPr="004D0DAA" w:rsidRDefault="00711444" w:rsidP="00AA2A4C">
            <w:pPr>
              <w:pStyle w:val="TAC"/>
              <w:rPr>
                <w:lang w:eastAsia="en-US"/>
              </w:rPr>
            </w:pPr>
            <w:r w:rsidRPr="004D0DAA">
              <w:rPr>
                <w:lang w:eastAsia="en-US"/>
              </w:rPr>
              <w:t>MCS-6</w:t>
            </w:r>
          </w:p>
        </w:tc>
      </w:tr>
      <w:tr w:rsidR="00711444" w:rsidRPr="004D0DAA" w14:paraId="2C85B61B"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BD94C95" w14:textId="77777777" w:rsidR="00711444" w:rsidRPr="004D0DAA" w:rsidRDefault="00711444" w:rsidP="00AA2A4C">
            <w:pPr>
              <w:pStyle w:val="TAC"/>
              <w:rPr>
                <w:lang w:eastAsia="en-US"/>
              </w:rPr>
            </w:pPr>
            <w:r w:rsidRPr="004D0DAA">
              <w:rPr>
                <w:lang w:eastAsia="en-US"/>
              </w:rPr>
              <w:t>MCS-8</w:t>
            </w:r>
          </w:p>
        </w:tc>
        <w:tc>
          <w:tcPr>
            <w:tcW w:w="7090" w:type="dxa"/>
            <w:gridSpan w:val="5"/>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A5BBD9A" w14:textId="77777777" w:rsidR="00711444" w:rsidRPr="004D0DAA" w:rsidRDefault="00711444" w:rsidP="00AA2A4C">
            <w:pPr>
              <w:pStyle w:val="TAC"/>
              <w:rPr>
                <w:lang w:eastAsia="en-US"/>
              </w:rPr>
            </w:pPr>
            <w:r w:rsidRPr="004D0DAA">
              <w:rPr>
                <w:lang w:eastAsia="en-US"/>
              </w:rPr>
              <w:t>MCS-6 (NOTE 2)</w:t>
            </w:r>
          </w:p>
        </w:tc>
      </w:tr>
      <w:tr w:rsidR="00711444" w:rsidRPr="004D0DAA" w14:paraId="5A9AACE8"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0A7F8B6" w14:textId="77777777" w:rsidR="00711444" w:rsidRPr="004D0DAA" w:rsidRDefault="00711444" w:rsidP="00AA2A4C">
            <w:pPr>
              <w:pStyle w:val="TAC"/>
              <w:rPr>
                <w:lang w:eastAsia="en-US"/>
              </w:rPr>
            </w:pPr>
            <w:r w:rsidRPr="004D0DAA">
              <w:rPr>
                <w:lang w:eastAsia="en-US"/>
              </w:rPr>
              <w:t>MCS-7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6FD1BDB" w14:textId="77777777" w:rsidR="00711444" w:rsidRPr="004D0DAA" w:rsidRDefault="00711444" w:rsidP="00AA2A4C">
            <w:pPr>
              <w:pStyle w:val="TAC"/>
              <w:rPr>
                <w:lang w:eastAsia="en-US"/>
              </w:rPr>
            </w:pPr>
            <w:r w:rsidRPr="004D0DAA">
              <w:rPr>
                <w:lang w:eastAsia="en-US"/>
              </w:rPr>
              <w:t>UAS-10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722942D" w14:textId="77777777" w:rsidR="00711444" w:rsidRPr="004D0DAA" w:rsidRDefault="00711444" w:rsidP="00AA2A4C">
            <w:pPr>
              <w:pStyle w:val="TAC"/>
              <w:rPr>
                <w:lang w:eastAsia="en-US"/>
              </w:rPr>
            </w:pPr>
            <w:r w:rsidRPr="004D0DAA">
              <w:rPr>
                <w:lang w:eastAsia="en-US"/>
              </w:rPr>
              <w:t>UAS-10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49B403E" w14:textId="77777777" w:rsidR="00711444" w:rsidRPr="004D0DAA" w:rsidRDefault="00711444" w:rsidP="00AA2A4C">
            <w:pPr>
              <w:pStyle w:val="TAC"/>
              <w:rPr>
                <w:lang w:eastAsia="en-US"/>
              </w:rPr>
            </w:pPr>
            <w:r w:rsidRPr="004D0DAA">
              <w:rPr>
                <w:lang w:eastAsia="en-US"/>
              </w:rPr>
              <w:t>UAS-7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FC3F58" w14:textId="77777777" w:rsidR="00711444" w:rsidRPr="004D0DAA" w:rsidRDefault="00711444" w:rsidP="00AA2A4C">
            <w:pPr>
              <w:pStyle w:val="TAC"/>
              <w:rPr>
                <w:lang w:eastAsia="en-US"/>
              </w:rPr>
            </w:pPr>
            <w:r w:rsidRPr="004D0DAA">
              <w:rPr>
                <w:lang w:eastAsia="en-US"/>
              </w:rPr>
              <w:t>UAS-7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2171558" w14:textId="77777777" w:rsidR="00711444" w:rsidRPr="004D0DAA" w:rsidRDefault="00711444" w:rsidP="00AA2A4C">
            <w:pPr>
              <w:pStyle w:val="TAC"/>
              <w:rPr>
                <w:lang w:eastAsia="en-US"/>
              </w:rPr>
            </w:pPr>
            <w:r w:rsidRPr="004D0DAA">
              <w:rPr>
                <w:lang w:eastAsia="en-US"/>
              </w:rPr>
              <w:t>UAS-7</w:t>
            </w:r>
          </w:p>
        </w:tc>
      </w:tr>
      <w:tr w:rsidR="00711444" w:rsidRPr="004D0DAA" w14:paraId="4E2DD29A"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AE8153F" w14:textId="77777777" w:rsidR="00711444" w:rsidRPr="004D0DAA" w:rsidRDefault="00711444" w:rsidP="00AA2A4C">
            <w:pPr>
              <w:pStyle w:val="TAC"/>
              <w:rPr>
                <w:lang w:eastAsia="en-US"/>
              </w:rPr>
            </w:pPr>
            <w:r w:rsidRPr="004D0DAA">
              <w:rPr>
                <w:lang w:eastAsia="en-US"/>
              </w:rPr>
              <w:t>MCS-6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4841157"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99A0F65"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64D78E6" w14:textId="77777777" w:rsidR="00711444" w:rsidRPr="004D0DAA" w:rsidRDefault="00711444" w:rsidP="00AA2A4C">
            <w:pPr>
              <w:pStyle w:val="TAC"/>
              <w:rPr>
                <w:lang w:eastAsia="en-US"/>
              </w:rPr>
            </w:pPr>
            <w:r w:rsidRPr="004D0DAA">
              <w:rPr>
                <w:lang w:eastAsia="en-US"/>
              </w:rPr>
              <w:t>UAS-9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523D5E9" w14:textId="77777777" w:rsidR="00711444" w:rsidRPr="004D0DAA" w:rsidRDefault="00711444" w:rsidP="00AA2A4C">
            <w:pPr>
              <w:pStyle w:val="TAC"/>
              <w:rPr>
                <w:lang w:eastAsia="en-US"/>
              </w:rPr>
            </w:pPr>
            <w:r w:rsidRPr="004D0DAA">
              <w:rPr>
                <w:lang w:eastAsia="en-US"/>
              </w:rPr>
              <w:t>MCS-6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AD23AFD" w14:textId="77777777" w:rsidR="00711444" w:rsidRPr="004D0DAA" w:rsidRDefault="00711444" w:rsidP="00AA2A4C">
            <w:pPr>
              <w:pStyle w:val="TAC"/>
              <w:rPr>
                <w:lang w:eastAsia="en-US"/>
              </w:rPr>
            </w:pPr>
            <w:r w:rsidRPr="004D0DAA">
              <w:rPr>
                <w:lang w:eastAsia="en-US"/>
              </w:rPr>
              <w:t>MCS-6</w:t>
            </w:r>
          </w:p>
        </w:tc>
      </w:tr>
      <w:tr w:rsidR="00711444" w:rsidRPr="004D0DAA" w14:paraId="38169763"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F53DDA" w14:textId="77777777" w:rsidR="00711444" w:rsidRPr="004D0DAA" w:rsidRDefault="00711444" w:rsidP="00AA2A4C">
            <w:pPr>
              <w:pStyle w:val="TAC"/>
              <w:rPr>
                <w:lang w:eastAsia="en-US"/>
              </w:rPr>
            </w:pPr>
            <w:r w:rsidRPr="004D0DAA">
              <w:rPr>
                <w:lang w:eastAsia="en-US"/>
              </w:rPr>
              <w:t>MCS-5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152C138" w14:textId="77777777" w:rsidR="00711444" w:rsidRPr="004D0DAA" w:rsidRDefault="00711444" w:rsidP="00AA2A4C">
            <w:pPr>
              <w:pStyle w:val="TAC"/>
              <w:rPr>
                <w:lang w:eastAsia="en-US"/>
              </w:rPr>
            </w:pPr>
            <w:r w:rsidRPr="004D0DAA">
              <w:rPr>
                <w:lang w:eastAsia="en-US"/>
              </w:rPr>
              <w:t>UAS-10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CB3FD5" w14:textId="77777777" w:rsidR="00711444" w:rsidRPr="004D0DAA" w:rsidRDefault="00711444" w:rsidP="00AA2A4C">
            <w:pPr>
              <w:pStyle w:val="TAC"/>
              <w:rPr>
                <w:lang w:eastAsia="en-US"/>
              </w:rPr>
            </w:pPr>
            <w:r w:rsidRPr="004D0DAA">
              <w:rPr>
                <w:lang w:eastAsia="en-US"/>
              </w:rPr>
              <w:t>UAS-10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65CBAF3" w14:textId="77777777" w:rsidR="00711444" w:rsidRPr="004D0DAA" w:rsidRDefault="00711444" w:rsidP="00AA2A4C">
            <w:pPr>
              <w:pStyle w:val="TAC"/>
              <w:rPr>
                <w:lang w:eastAsia="en-US"/>
              </w:rPr>
            </w:pPr>
            <w:r w:rsidRPr="004D0DAA">
              <w:rPr>
                <w:lang w:eastAsia="en-US"/>
              </w:rPr>
              <w:t>UAS-7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E7CDDB0" w14:textId="77777777" w:rsidR="00711444" w:rsidRPr="004D0DAA" w:rsidRDefault="00711444" w:rsidP="00AA2A4C">
            <w:pPr>
              <w:pStyle w:val="TAC"/>
              <w:rPr>
                <w:lang w:eastAsia="en-US"/>
              </w:rPr>
            </w:pPr>
            <w:r w:rsidRPr="004D0DAA">
              <w:rPr>
                <w:lang w:eastAsia="en-US"/>
              </w:rPr>
              <w:t>UAS-7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7516182" w14:textId="77777777" w:rsidR="00711444" w:rsidRPr="004D0DAA" w:rsidRDefault="00711444" w:rsidP="00AA2A4C">
            <w:pPr>
              <w:pStyle w:val="TAC"/>
              <w:rPr>
                <w:lang w:eastAsia="en-US"/>
              </w:rPr>
            </w:pPr>
            <w:r w:rsidRPr="004D0DAA">
              <w:rPr>
                <w:lang w:eastAsia="en-US"/>
              </w:rPr>
              <w:t>UAS-7</w:t>
            </w:r>
          </w:p>
        </w:tc>
      </w:tr>
      <w:tr w:rsidR="00711444" w:rsidRPr="004D0DAA" w14:paraId="0102AD8C"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5BA7EAA" w14:textId="77777777" w:rsidR="00711444" w:rsidRPr="004D0DAA" w:rsidRDefault="00711444" w:rsidP="00AA2A4C">
            <w:pPr>
              <w:pStyle w:val="TAC"/>
              <w:rPr>
                <w:lang w:eastAsia="en-US"/>
              </w:rPr>
            </w:pPr>
            <w:r w:rsidRPr="004D0DAA">
              <w:rPr>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E9A2775" w14:textId="77777777" w:rsidR="00711444" w:rsidRPr="004D0DAA" w:rsidRDefault="00711444" w:rsidP="00AA2A4C">
            <w:pPr>
              <w:pStyle w:val="TAC"/>
              <w:rPr>
                <w:lang w:eastAsia="en-US"/>
              </w:rPr>
            </w:pPr>
            <w:r w:rsidRPr="004D0DAA">
              <w:rPr>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AE89C55" w14:textId="77777777" w:rsidR="00711444" w:rsidRPr="004D0DAA" w:rsidRDefault="00711444" w:rsidP="00AA2A4C">
            <w:pPr>
              <w:pStyle w:val="TAC"/>
              <w:rPr>
                <w:lang w:eastAsia="en-US"/>
              </w:rPr>
            </w:pPr>
            <w:r w:rsidRPr="004D0DAA">
              <w:rPr>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8C220DA" w14:textId="77777777" w:rsidR="00711444" w:rsidRPr="004D0DAA" w:rsidRDefault="00711444" w:rsidP="00AA2A4C">
            <w:pPr>
              <w:pStyle w:val="TAC"/>
              <w:rPr>
                <w:lang w:eastAsia="en-US"/>
              </w:rPr>
            </w:pPr>
            <w:r w:rsidRPr="004D0DAA">
              <w:rPr>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A7318F9" w14:textId="77777777" w:rsidR="00711444" w:rsidRPr="004D0DAA" w:rsidRDefault="00711444" w:rsidP="00AA2A4C">
            <w:pPr>
              <w:pStyle w:val="TAC"/>
              <w:rPr>
                <w:lang w:eastAsia="en-US"/>
              </w:rPr>
            </w:pPr>
            <w:r w:rsidRPr="004D0DAA">
              <w:rPr>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C91D0C2" w14:textId="77777777" w:rsidR="00711444" w:rsidRPr="004D0DAA" w:rsidRDefault="00711444" w:rsidP="00AA2A4C">
            <w:pPr>
              <w:pStyle w:val="TAC"/>
              <w:rPr>
                <w:lang w:eastAsia="en-US"/>
              </w:rPr>
            </w:pPr>
            <w:r w:rsidRPr="004D0DAA">
              <w:rPr>
                <w:lang w:eastAsia="en-US"/>
              </w:rPr>
              <w:t>MCS-4</w:t>
            </w:r>
          </w:p>
        </w:tc>
      </w:tr>
      <w:tr w:rsidR="00711444" w:rsidRPr="004D0DAA" w14:paraId="6E5CE0FC"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EC88C21" w14:textId="77777777" w:rsidR="00711444" w:rsidRPr="004D0DAA" w:rsidRDefault="00711444" w:rsidP="00AA2A4C">
            <w:pPr>
              <w:pStyle w:val="TAC"/>
              <w:rPr>
                <w:lang w:eastAsia="en-US"/>
              </w:rPr>
            </w:pPr>
            <w:r w:rsidRPr="004D0DAA">
              <w:rPr>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B4B7A3" w14:textId="77777777" w:rsidR="00711444" w:rsidRPr="004D0DAA" w:rsidRDefault="00711444" w:rsidP="00AA2A4C">
            <w:pPr>
              <w:pStyle w:val="TAC"/>
              <w:rPr>
                <w:lang w:eastAsia="en-US"/>
              </w:rPr>
            </w:pPr>
            <w:r w:rsidRPr="004D0DAA">
              <w:rPr>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5F5D1DE" w14:textId="77777777" w:rsidR="00711444" w:rsidRPr="004D0DAA" w:rsidRDefault="00711444" w:rsidP="00AA2A4C">
            <w:pPr>
              <w:pStyle w:val="TAC"/>
              <w:rPr>
                <w:lang w:eastAsia="en-US"/>
              </w:rPr>
            </w:pPr>
            <w:r w:rsidRPr="004D0DAA">
              <w:rPr>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280E978" w14:textId="77777777" w:rsidR="00711444" w:rsidRPr="004D0DAA" w:rsidRDefault="00711444" w:rsidP="00AA2A4C">
            <w:pPr>
              <w:pStyle w:val="TAC"/>
              <w:rPr>
                <w:lang w:eastAsia="en-US"/>
              </w:rPr>
            </w:pPr>
            <w:r w:rsidRPr="004D0DAA">
              <w:rPr>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68986CB" w14:textId="77777777" w:rsidR="00711444" w:rsidRPr="004D0DAA" w:rsidRDefault="00711444" w:rsidP="00AA2A4C">
            <w:pPr>
              <w:pStyle w:val="TAC"/>
              <w:rPr>
                <w:lang w:eastAsia="en-US"/>
              </w:rPr>
            </w:pPr>
            <w:r w:rsidRPr="004D0DAA">
              <w:rPr>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50510A8" w14:textId="77777777" w:rsidR="00711444" w:rsidRPr="004D0DAA" w:rsidRDefault="00711444" w:rsidP="00AA2A4C">
            <w:pPr>
              <w:pStyle w:val="TAC"/>
              <w:rPr>
                <w:lang w:eastAsia="en-US"/>
              </w:rPr>
            </w:pPr>
            <w:r w:rsidRPr="004D0DAA">
              <w:rPr>
                <w:lang w:eastAsia="en-US"/>
              </w:rPr>
              <w:t>MCS-3</w:t>
            </w:r>
          </w:p>
        </w:tc>
      </w:tr>
      <w:tr w:rsidR="00711444" w:rsidRPr="004D0DAA" w14:paraId="18A7E999"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C300939" w14:textId="77777777" w:rsidR="00711444" w:rsidRPr="004D0DAA" w:rsidRDefault="00711444" w:rsidP="00AA2A4C">
            <w:pPr>
              <w:pStyle w:val="TAC"/>
              <w:rPr>
                <w:lang w:eastAsia="en-US"/>
              </w:rPr>
            </w:pPr>
            <w:r w:rsidRPr="004D0DAA">
              <w:rPr>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9DEBC47" w14:textId="77777777" w:rsidR="00711444" w:rsidRPr="004D0DAA" w:rsidRDefault="00711444" w:rsidP="00AA2A4C">
            <w:pPr>
              <w:pStyle w:val="TAC"/>
              <w:rPr>
                <w:lang w:eastAsia="en-US"/>
              </w:rPr>
            </w:pPr>
            <w:r w:rsidRPr="004D0DAA">
              <w:rPr>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0E9D146" w14:textId="77777777" w:rsidR="00711444" w:rsidRPr="004D0DAA" w:rsidRDefault="00711444" w:rsidP="00AA2A4C">
            <w:pPr>
              <w:pStyle w:val="TAC"/>
              <w:rPr>
                <w:lang w:eastAsia="en-US"/>
              </w:rPr>
            </w:pPr>
            <w:r w:rsidRPr="004D0DAA">
              <w:rPr>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50E5055" w14:textId="77777777" w:rsidR="00711444" w:rsidRPr="004D0DAA" w:rsidRDefault="00711444" w:rsidP="00AA2A4C">
            <w:pPr>
              <w:pStyle w:val="TAC"/>
              <w:rPr>
                <w:lang w:eastAsia="en-US"/>
              </w:rPr>
            </w:pPr>
            <w:r w:rsidRPr="004D0DAA">
              <w:rPr>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12CA7EC" w14:textId="77777777" w:rsidR="00711444" w:rsidRPr="004D0DAA" w:rsidRDefault="00711444" w:rsidP="00AA2A4C">
            <w:pPr>
              <w:pStyle w:val="TAC"/>
              <w:rPr>
                <w:lang w:eastAsia="en-US"/>
              </w:rPr>
            </w:pPr>
            <w:r w:rsidRPr="004D0DAA">
              <w:rPr>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932B073" w14:textId="77777777" w:rsidR="00711444" w:rsidRPr="004D0DAA" w:rsidRDefault="00711444" w:rsidP="00AA2A4C">
            <w:pPr>
              <w:pStyle w:val="TAC"/>
              <w:rPr>
                <w:lang w:eastAsia="en-US"/>
              </w:rPr>
            </w:pPr>
            <w:r w:rsidRPr="004D0DAA">
              <w:rPr>
                <w:lang w:eastAsia="en-US"/>
              </w:rPr>
              <w:t>MCS-2</w:t>
            </w:r>
          </w:p>
        </w:tc>
      </w:tr>
      <w:tr w:rsidR="00711444" w:rsidRPr="004D0DAA" w14:paraId="7602F8FB" w14:textId="77777777" w:rsidTr="00AA2A4C">
        <w:tc>
          <w:tcPr>
            <w:tcW w:w="142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CB94BF0" w14:textId="77777777" w:rsidR="00711444" w:rsidRPr="004D0DAA" w:rsidRDefault="00711444" w:rsidP="00AA2A4C">
            <w:pPr>
              <w:pStyle w:val="TAC"/>
              <w:rPr>
                <w:lang w:eastAsia="en-US"/>
              </w:rPr>
            </w:pPr>
            <w:r w:rsidRPr="004D0DAA">
              <w:rPr>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BA324F7" w14:textId="77777777" w:rsidR="00711444" w:rsidRPr="004D0DAA" w:rsidRDefault="00711444" w:rsidP="00AA2A4C">
            <w:pPr>
              <w:pStyle w:val="TAC"/>
              <w:rPr>
                <w:lang w:eastAsia="en-US"/>
              </w:rPr>
            </w:pPr>
            <w:r w:rsidRPr="004D0DAA">
              <w:rPr>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CE1A2E" w14:textId="77777777" w:rsidR="00711444" w:rsidRPr="004D0DAA" w:rsidRDefault="00711444" w:rsidP="00AA2A4C">
            <w:pPr>
              <w:pStyle w:val="TAC"/>
              <w:rPr>
                <w:lang w:eastAsia="en-US"/>
              </w:rPr>
            </w:pPr>
            <w:r w:rsidRPr="004D0DAA">
              <w:rPr>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9CF39B1" w14:textId="77777777" w:rsidR="00711444" w:rsidRPr="004D0DAA" w:rsidRDefault="00711444" w:rsidP="00AA2A4C">
            <w:pPr>
              <w:pStyle w:val="TAC"/>
              <w:rPr>
                <w:lang w:eastAsia="en-US"/>
              </w:rPr>
            </w:pPr>
            <w:r w:rsidRPr="004D0DAA">
              <w:rPr>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DE51331" w14:textId="77777777" w:rsidR="00711444" w:rsidRPr="004D0DAA" w:rsidRDefault="00711444" w:rsidP="00AA2A4C">
            <w:pPr>
              <w:pStyle w:val="TAC"/>
              <w:rPr>
                <w:lang w:eastAsia="en-US"/>
              </w:rPr>
            </w:pPr>
            <w:r w:rsidRPr="004D0DAA">
              <w:rPr>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81E1B1D" w14:textId="77777777" w:rsidR="00711444" w:rsidRPr="004D0DAA" w:rsidRDefault="00711444" w:rsidP="00AA2A4C">
            <w:pPr>
              <w:pStyle w:val="TAC"/>
              <w:rPr>
                <w:lang w:eastAsia="en-US"/>
              </w:rPr>
            </w:pPr>
            <w:r w:rsidRPr="004D0DAA">
              <w:rPr>
                <w:lang w:eastAsia="en-US"/>
              </w:rPr>
              <w:t>MCS-1</w:t>
            </w:r>
          </w:p>
        </w:tc>
      </w:tr>
      <w:tr w:rsidR="00711444" w:rsidRPr="004D0DAA" w14:paraId="2E11EB95" w14:textId="77777777" w:rsidTr="00AA2A4C">
        <w:tc>
          <w:tcPr>
            <w:tcW w:w="8513"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B16A007" w14:textId="77777777" w:rsidR="00711444" w:rsidRPr="004D0DAA" w:rsidRDefault="00711444" w:rsidP="00AA2A4C">
            <w:pPr>
              <w:pStyle w:val="TAN"/>
              <w:rPr>
                <w:lang w:eastAsia="en-US"/>
              </w:rPr>
            </w:pPr>
            <w:r w:rsidRPr="004D0DAA">
              <w:rPr>
                <w:lang w:eastAsia="en-US"/>
              </w:rPr>
              <w:t>NOTE 1:</w:t>
            </w:r>
            <w:r w:rsidRPr="004D0DAA">
              <w:rPr>
                <w:lang w:eastAsia="en-US"/>
              </w:rPr>
              <w:tab/>
              <w:t>If MCS-1 to MCS-6 is commanded, see Table 8.1.1.1 or Table 8.1.1.2 as appropriate.</w:t>
            </w:r>
          </w:p>
          <w:p w14:paraId="5E062DA5" w14:textId="77777777" w:rsidR="00711444" w:rsidRPr="004D0DAA" w:rsidRDefault="00711444" w:rsidP="00AA2A4C">
            <w:pPr>
              <w:pStyle w:val="TAN"/>
              <w:rPr>
                <w:lang w:eastAsia="en-US"/>
              </w:rPr>
            </w:pPr>
            <w:r w:rsidRPr="004D0DAA">
              <w:rPr>
                <w:lang w:eastAsia="en-US"/>
              </w:rPr>
              <w:t>NOTE 2:</w:t>
            </w:r>
            <w:r w:rsidRPr="004D0DAA">
              <w:rPr>
                <w:lang w:eastAsia="en-US"/>
              </w:rPr>
              <w:tab/>
              <w:t>In this case, 6 octets of padding are used.</w:t>
            </w:r>
          </w:p>
        </w:tc>
      </w:tr>
    </w:tbl>
    <w:p w14:paraId="00878867" w14:textId="77777777" w:rsidR="00711444" w:rsidRPr="004D0DAA" w:rsidRDefault="00711444" w:rsidP="00711444"/>
    <w:p w14:paraId="6A887FA7" w14:textId="77777777" w:rsidR="00711444" w:rsidRPr="004D0DAA" w:rsidRDefault="00711444" w:rsidP="00711444">
      <w:pPr>
        <w:pStyle w:val="TH"/>
      </w:pPr>
      <w:r w:rsidRPr="004D0DAA">
        <w:lastRenderedPageBreak/>
        <w:t>Table 8.1.1.7.2.3: Choice of modulation and coding scheme for retransmissions (initial transmission EGPRS, level changed to EGPRS2-B) with re-segmentation</w:t>
      </w:r>
    </w:p>
    <w:tbl>
      <w:tblPr>
        <w:tblW w:w="0" w:type="auto"/>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1134"/>
        <w:gridCol w:w="992"/>
        <w:gridCol w:w="993"/>
        <w:gridCol w:w="992"/>
        <w:gridCol w:w="992"/>
        <w:gridCol w:w="851"/>
        <w:gridCol w:w="850"/>
        <w:gridCol w:w="851"/>
      </w:tblGrid>
      <w:tr w:rsidR="00711444" w:rsidRPr="004D0DAA" w14:paraId="611AA7DF"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1961844" w14:textId="77777777" w:rsidR="00711444" w:rsidRPr="004D0DAA" w:rsidRDefault="00711444" w:rsidP="00AA2A4C">
            <w:pPr>
              <w:pStyle w:val="TAH"/>
              <w:rPr>
                <w:lang w:eastAsia="en-US"/>
              </w:rPr>
            </w:pPr>
            <w:r w:rsidRPr="004D0DAA">
              <w:rPr>
                <w:lang w:eastAsia="en-US"/>
              </w:rPr>
              <w:t>Scheme used for Initial transmission</w:t>
            </w:r>
          </w:p>
        </w:tc>
        <w:tc>
          <w:tcPr>
            <w:tcW w:w="7655" w:type="dxa"/>
            <w:gridSpan w:val="8"/>
            <w:tcBorders>
              <w:top w:val="single" w:sz="4" w:space="0" w:color="auto"/>
              <w:left w:val="single" w:sz="4" w:space="0" w:color="auto"/>
              <w:bottom w:val="single" w:sz="4" w:space="0" w:color="auto"/>
              <w:right w:val="single" w:sz="4" w:space="0" w:color="auto"/>
            </w:tcBorders>
          </w:tcPr>
          <w:p w14:paraId="462DAB8A" w14:textId="77777777" w:rsidR="00711444" w:rsidRPr="004D0DAA" w:rsidRDefault="00711444" w:rsidP="00AA2A4C">
            <w:pPr>
              <w:pStyle w:val="TAH"/>
              <w:rPr>
                <w:lang w:eastAsia="en-US"/>
              </w:rPr>
            </w:pPr>
            <w:r w:rsidRPr="004D0DAA">
              <w:rPr>
                <w:lang w:eastAsia="en-US"/>
              </w:rPr>
              <w:t>Scheme to use for retransmissions after switching to EGPRS2-B (MCS or UBS)</w:t>
            </w:r>
          </w:p>
        </w:tc>
      </w:tr>
      <w:tr w:rsidR="00711444" w:rsidRPr="004D0DAA" w14:paraId="34B3E98F" w14:textId="77777777" w:rsidTr="00AA2A4C">
        <w:trPr>
          <w:trHeight w:val="567"/>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56A6EE93" w14:textId="77777777" w:rsidR="00711444" w:rsidRPr="004D0DAA" w:rsidRDefault="00711444" w:rsidP="00AA2A4C">
            <w:pPr>
              <w:rPr>
                <w:szCs w:val="18"/>
              </w:rPr>
            </w:pPr>
          </w:p>
        </w:tc>
        <w:tc>
          <w:tcPr>
            <w:tcW w:w="1134" w:type="dxa"/>
            <w:tcBorders>
              <w:top w:val="single" w:sz="4" w:space="0" w:color="auto"/>
              <w:left w:val="single" w:sz="4" w:space="0" w:color="auto"/>
              <w:bottom w:val="single" w:sz="4" w:space="0" w:color="auto"/>
              <w:right w:val="single" w:sz="4" w:space="0" w:color="auto"/>
            </w:tcBorders>
          </w:tcPr>
          <w:p w14:paraId="5D1B7210" w14:textId="77777777" w:rsidR="00711444" w:rsidRPr="004D0DAA" w:rsidRDefault="00711444" w:rsidP="00AA2A4C">
            <w:pPr>
              <w:pStyle w:val="TAC"/>
              <w:rPr>
                <w:lang w:eastAsia="en-US"/>
              </w:rPr>
            </w:pPr>
            <w:r w:rsidRPr="004D0DAA">
              <w:rPr>
                <w:b/>
                <w:szCs w:val="18"/>
                <w:lang w:eastAsia="en-US"/>
              </w:rPr>
              <w:t>UBS-12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3C8E7" w14:textId="77777777" w:rsidR="00711444" w:rsidRPr="004D0DAA" w:rsidRDefault="00711444" w:rsidP="00AA2A4C">
            <w:pPr>
              <w:pStyle w:val="TAC"/>
              <w:rPr>
                <w:lang w:eastAsia="en-US"/>
              </w:rPr>
            </w:pPr>
            <w:r w:rsidRPr="004D0DAA">
              <w:rPr>
                <w:b/>
                <w:szCs w:val="18"/>
                <w:lang w:eastAsia="en-US"/>
              </w:rPr>
              <w:t>UBS-11 Commanded</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36EE76A" w14:textId="77777777" w:rsidR="00711444" w:rsidRPr="004D0DAA" w:rsidRDefault="00711444" w:rsidP="00AA2A4C">
            <w:pPr>
              <w:pStyle w:val="TAC"/>
              <w:rPr>
                <w:lang w:eastAsia="en-US"/>
              </w:rPr>
            </w:pPr>
            <w:r w:rsidRPr="004D0DAA">
              <w:rPr>
                <w:b/>
                <w:szCs w:val="18"/>
                <w:lang w:eastAsia="en-US"/>
              </w:rPr>
              <w:t>UBS-10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B08866" w14:textId="77777777" w:rsidR="00711444" w:rsidRPr="004D0DAA" w:rsidRDefault="00711444" w:rsidP="00AA2A4C">
            <w:pPr>
              <w:pStyle w:val="TAC"/>
              <w:rPr>
                <w:lang w:eastAsia="en-US"/>
              </w:rPr>
            </w:pPr>
            <w:r w:rsidRPr="004D0DAA">
              <w:rPr>
                <w:b/>
                <w:szCs w:val="18"/>
                <w:lang w:eastAsia="en-US"/>
              </w:rPr>
              <w:t>UBS-9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DB3EB" w14:textId="77777777" w:rsidR="00711444" w:rsidRPr="004D0DAA" w:rsidRDefault="00711444" w:rsidP="00AA2A4C">
            <w:pPr>
              <w:pStyle w:val="TAC"/>
              <w:rPr>
                <w:lang w:eastAsia="en-US"/>
              </w:rPr>
            </w:pPr>
            <w:r w:rsidRPr="004D0DAA">
              <w:rPr>
                <w:b/>
                <w:szCs w:val="18"/>
                <w:lang w:eastAsia="en-US"/>
              </w:rPr>
              <w:t>UBS-8 Commanded</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9C0E2B" w14:textId="77777777" w:rsidR="00711444" w:rsidRPr="004D0DAA" w:rsidRDefault="00711444" w:rsidP="00AA2A4C">
            <w:pPr>
              <w:pStyle w:val="TAC"/>
              <w:rPr>
                <w:lang w:eastAsia="en-US"/>
              </w:rPr>
            </w:pPr>
            <w:r w:rsidRPr="004D0DAA">
              <w:rPr>
                <w:b/>
                <w:szCs w:val="18"/>
                <w:lang w:eastAsia="en-US"/>
              </w:rPr>
              <w:t>UBS-7 Commanded</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3D8729E" w14:textId="77777777" w:rsidR="00711444" w:rsidRPr="004D0DAA" w:rsidRDefault="00711444" w:rsidP="00AA2A4C">
            <w:pPr>
              <w:pStyle w:val="TAC"/>
              <w:rPr>
                <w:lang w:eastAsia="en-US"/>
              </w:rPr>
            </w:pPr>
            <w:r w:rsidRPr="004D0DAA">
              <w:rPr>
                <w:b/>
                <w:szCs w:val="18"/>
                <w:lang w:eastAsia="en-US"/>
              </w:rPr>
              <w:t>UBS-6 Commanded</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14:paraId="51B1FFEC" w14:textId="77777777" w:rsidR="00711444" w:rsidRPr="004D0DAA" w:rsidRDefault="00711444" w:rsidP="00AA2A4C">
            <w:pPr>
              <w:pStyle w:val="TAC"/>
              <w:rPr>
                <w:lang w:eastAsia="en-US"/>
              </w:rPr>
            </w:pPr>
            <w:r w:rsidRPr="004D0DAA">
              <w:rPr>
                <w:b/>
                <w:szCs w:val="18"/>
                <w:lang w:eastAsia="en-US"/>
              </w:rPr>
              <w:t>UBS-5 Commanded</w:t>
            </w:r>
          </w:p>
        </w:tc>
      </w:tr>
      <w:tr w:rsidR="00711444" w:rsidRPr="004D0DAA" w14:paraId="7A56B05A"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513F135" w14:textId="77777777" w:rsidR="00711444" w:rsidRPr="004D0DAA" w:rsidRDefault="00711444" w:rsidP="00AA2A4C">
            <w:pPr>
              <w:pStyle w:val="TAC"/>
              <w:rPr>
                <w:lang w:eastAsia="en-US"/>
              </w:rPr>
            </w:pPr>
            <w:r w:rsidRPr="004D0DAA">
              <w:rPr>
                <w:szCs w:val="18"/>
                <w:lang w:eastAsia="en-US"/>
              </w:rPr>
              <w:t>MCS-9</w:t>
            </w:r>
          </w:p>
        </w:tc>
        <w:tc>
          <w:tcPr>
            <w:tcW w:w="1134" w:type="dxa"/>
            <w:tcBorders>
              <w:top w:val="single" w:sz="4" w:space="0" w:color="auto"/>
              <w:left w:val="single" w:sz="4" w:space="0" w:color="auto"/>
              <w:bottom w:val="single" w:sz="4" w:space="0" w:color="auto"/>
              <w:right w:val="single" w:sz="4" w:space="0" w:color="auto"/>
            </w:tcBorders>
          </w:tcPr>
          <w:p w14:paraId="19196B6D" w14:textId="77777777" w:rsidR="00711444" w:rsidRPr="004D0DAA" w:rsidRDefault="00711444" w:rsidP="00AA2A4C">
            <w:pPr>
              <w:pStyle w:val="TAC"/>
              <w:rPr>
                <w:lang w:eastAsia="en-US"/>
              </w:rPr>
            </w:pPr>
            <w:r w:rsidRPr="004D0DAA">
              <w:rPr>
                <w:szCs w:val="18"/>
                <w:lang w:eastAsia="en-US"/>
              </w:rPr>
              <w:t>UBS-12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F3B0119" w14:textId="77777777" w:rsidR="00711444" w:rsidRPr="004D0DAA" w:rsidRDefault="00711444" w:rsidP="00AA2A4C">
            <w:pPr>
              <w:pStyle w:val="TAC"/>
              <w:rPr>
                <w:lang w:eastAsia="en-US"/>
              </w:rPr>
            </w:pPr>
            <w:r w:rsidRPr="004D0DAA">
              <w:rPr>
                <w:szCs w:val="18"/>
                <w:lang w:eastAsia="en-US"/>
              </w:rPr>
              <w:t>UBS-10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5A60762"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D75F247"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0DC3FB2"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C846875"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EA80D58"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014D5B1" w14:textId="77777777" w:rsidR="00711444" w:rsidRPr="004D0DAA" w:rsidRDefault="00711444" w:rsidP="00AA2A4C">
            <w:pPr>
              <w:pStyle w:val="TAC"/>
              <w:rPr>
                <w:lang w:eastAsia="en-US"/>
              </w:rPr>
            </w:pPr>
            <w:r w:rsidRPr="004D0DAA">
              <w:rPr>
                <w:szCs w:val="18"/>
                <w:lang w:eastAsia="en-US"/>
              </w:rPr>
              <w:t>UBS-6</w:t>
            </w:r>
          </w:p>
        </w:tc>
      </w:tr>
      <w:tr w:rsidR="00711444" w:rsidRPr="004D0DAA" w14:paraId="6766459E"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6AB870B7" w14:textId="77777777" w:rsidR="00711444" w:rsidRPr="004D0DAA" w:rsidRDefault="00711444" w:rsidP="00AA2A4C">
            <w:pPr>
              <w:pStyle w:val="TAC"/>
              <w:rPr>
                <w:lang w:eastAsia="en-US"/>
              </w:rPr>
            </w:pPr>
            <w:r w:rsidRPr="004D0DAA">
              <w:rPr>
                <w:szCs w:val="18"/>
                <w:lang w:eastAsia="en-US"/>
              </w:rPr>
              <w:t>MCS-8</w:t>
            </w:r>
          </w:p>
        </w:tc>
        <w:tc>
          <w:tcPr>
            <w:tcW w:w="1134" w:type="dxa"/>
            <w:tcBorders>
              <w:top w:val="single" w:sz="4" w:space="0" w:color="auto"/>
              <w:left w:val="single" w:sz="4" w:space="0" w:color="auto"/>
              <w:bottom w:val="single" w:sz="4" w:space="0" w:color="auto"/>
              <w:right w:val="single" w:sz="4" w:space="0" w:color="auto"/>
            </w:tcBorders>
          </w:tcPr>
          <w:p w14:paraId="40C91EC8" w14:textId="77777777" w:rsidR="00711444" w:rsidRPr="004D0DAA" w:rsidRDefault="00711444" w:rsidP="00AA2A4C">
            <w:pPr>
              <w:pStyle w:val="TAC"/>
              <w:rPr>
                <w:lang w:eastAsia="en-US"/>
              </w:rPr>
            </w:pPr>
            <w:r w:rsidRPr="004D0DAA">
              <w:rPr>
                <w:szCs w:val="18"/>
                <w:lang w:eastAsia="en-US"/>
              </w:rPr>
              <w:t xml:space="preserve">UBS-11 </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EAEB39F" w14:textId="77777777" w:rsidR="00711444" w:rsidRPr="004D0DAA" w:rsidRDefault="00711444" w:rsidP="00AA2A4C">
            <w:pPr>
              <w:pStyle w:val="TAC"/>
              <w:rPr>
                <w:lang w:eastAsia="en-US"/>
              </w:rPr>
            </w:pPr>
            <w:r w:rsidRPr="004D0DAA">
              <w:rPr>
                <w:szCs w:val="18"/>
                <w:lang w:eastAsia="en-US"/>
              </w:rPr>
              <w:t>UBS-11</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F2DDA38"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D1948C5"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E0990C5"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003C249"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B4159F0"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52429D9" w14:textId="77777777" w:rsidR="00711444" w:rsidRPr="004D0DAA" w:rsidRDefault="00711444" w:rsidP="00AA2A4C">
            <w:pPr>
              <w:pStyle w:val="TAC"/>
              <w:rPr>
                <w:lang w:eastAsia="en-US"/>
              </w:rPr>
            </w:pPr>
            <w:r w:rsidRPr="004D0DAA">
              <w:rPr>
                <w:szCs w:val="18"/>
                <w:lang w:eastAsia="en-US"/>
              </w:rPr>
              <w:t>UBS-6</w:t>
            </w:r>
          </w:p>
        </w:tc>
      </w:tr>
      <w:tr w:rsidR="00711444" w:rsidRPr="004D0DAA" w14:paraId="3D8E9D73"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989ABCB" w14:textId="77777777" w:rsidR="00711444" w:rsidRPr="004D0DAA" w:rsidRDefault="00711444" w:rsidP="00AA2A4C">
            <w:pPr>
              <w:pStyle w:val="TAC"/>
              <w:rPr>
                <w:lang w:eastAsia="en-US"/>
              </w:rPr>
            </w:pPr>
            <w:r w:rsidRPr="004D0DAA">
              <w:rPr>
                <w:szCs w:val="18"/>
                <w:lang w:eastAsia="en-US"/>
              </w:rPr>
              <w:t>MCS-7</w:t>
            </w:r>
          </w:p>
        </w:tc>
        <w:tc>
          <w:tcPr>
            <w:tcW w:w="1134" w:type="dxa"/>
            <w:tcBorders>
              <w:top w:val="single" w:sz="4" w:space="0" w:color="auto"/>
              <w:left w:val="single" w:sz="4" w:space="0" w:color="auto"/>
              <w:bottom w:val="single" w:sz="4" w:space="0" w:color="auto"/>
              <w:right w:val="single" w:sz="4" w:space="0" w:color="auto"/>
            </w:tcBorders>
          </w:tcPr>
          <w:p w14:paraId="11906C15"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8F133B" w14:textId="77777777" w:rsidR="00711444" w:rsidRPr="004D0DAA" w:rsidRDefault="00711444" w:rsidP="00AA2A4C">
            <w:pPr>
              <w:pStyle w:val="TAC"/>
              <w:rPr>
                <w:lang w:eastAsia="en-US"/>
              </w:rPr>
            </w:pPr>
            <w:r w:rsidRPr="004D0DAA">
              <w:rPr>
                <w:szCs w:val="18"/>
                <w:lang w:eastAsia="en-US"/>
              </w:rPr>
              <w:t>UBS-9</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7E1A1B7"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605B6E2"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445C7EF" w14:textId="77777777" w:rsidR="00711444" w:rsidRPr="004D0DAA" w:rsidRDefault="00711444" w:rsidP="00AA2A4C">
            <w:pPr>
              <w:pStyle w:val="TAC"/>
              <w:rPr>
                <w:lang w:eastAsia="en-US"/>
              </w:rPr>
            </w:pPr>
            <w:r w:rsidRPr="004D0DAA">
              <w:rPr>
                <w:szCs w:val="18"/>
                <w:lang w:eastAsia="en-US"/>
              </w:rPr>
              <w:t>UBS-7</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413C868" w14:textId="77777777" w:rsidR="00711444" w:rsidRPr="004D0DAA" w:rsidRDefault="00711444" w:rsidP="00AA2A4C">
            <w:pPr>
              <w:pStyle w:val="TAC"/>
              <w:rPr>
                <w:lang w:eastAsia="en-US"/>
              </w:rPr>
            </w:pPr>
            <w:r w:rsidRPr="004D0DAA">
              <w:rPr>
                <w:szCs w:val="18"/>
                <w:lang w:eastAsia="en-US"/>
              </w:rPr>
              <w:t>UBS-7</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5FC1A8C" w14:textId="77777777" w:rsidR="00711444" w:rsidRPr="004D0DAA" w:rsidRDefault="00711444" w:rsidP="00AA2A4C">
            <w:pPr>
              <w:pStyle w:val="TAC"/>
              <w:rPr>
                <w:lang w:eastAsia="en-US"/>
              </w:rPr>
            </w:pPr>
            <w:r w:rsidRPr="004D0DAA">
              <w:rPr>
                <w:szCs w:val="18"/>
                <w:lang w:eastAsia="en-US"/>
              </w:rPr>
              <w:t>UBS-5</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3931B65" w14:textId="77777777" w:rsidR="00711444" w:rsidRPr="004D0DAA" w:rsidRDefault="00711444" w:rsidP="00AA2A4C">
            <w:pPr>
              <w:pStyle w:val="TAC"/>
              <w:rPr>
                <w:lang w:eastAsia="en-US"/>
              </w:rPr>
            </w:pPr>
            <w:r w:rsidRPr="004D0DAA">
              <w:rPr>
                <w:szCs w:val="18"/>
                <w:lang w:eastAsia="en-US"/>
              </w:rPr>
              <w:t>UBS-5</w:t>
            </w:r>
          </w:p>
        </w:tc>
      </w:tr>
      <w:tr w:rsidR="00711444" w:rsidRPr="004D0DAA" w14:paraId="0BCC0AD8"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233B219E"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tcPr>
          <w:p w14:paraId="2E855FE6" w14:textId="77777777" w:rsidR="00711444" w:rsidRPr="004D0DAA" w:rsidRDefault="00711444" w:rsidP="00AA2A4C">
            <w:pPr>
              <w:pStyle w:val="TAC"/>
              <w:rPr>
                <w:lang w:eastAsia="en-US"/>
              </w:rPr>
            </w:pPr>
            <w:r w:rsidRPr="004D0DAA">
              <w:rPr>
                <w:szCs w:val="18"/>
                <w:lang w:eastAsia="en-US"/>
              </w:rPr>
              <w:t>UBS-12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DBCC88E" w14:textId="77777777" w:rsidR="00711444" w:rsidRPr="004D0DAA" w:rsidRDefault="00711444" w:rsidP="00AA2A4C">
            <w:pPr>
              <w:pStyle w:val="TAC"/>
              <w:rPr>
                <w:lang w:eastAsia="en-US"/>
              </w:rPr>
            </w:pPr>
            <w:r w:rsidRPr="004D0DAA">
              <w:rPr>
                <w:szCs w:val="18"/>
                <w:lang w:eastAsia="en-US"/>
              </w:rPr>
              <w:t>UBS-10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E66CCCC"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8CB8674"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2F1C98A"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0CD6BDB"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3AF774A"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D803DB5" w14:textId="77777777" w:rsidR="00711444" w:rsidRPr="004D0DAA" w:rsidRDefault="00711444" w:rsidP="00AA2A4C">
            <w:pPr>
              <w:pStyle w:val="TAC"/>
              <w:rPr>
                <w:lang w:eastAsia="en-US"/>
              </w:rPr>
            </w:pPr>
            <w:r w:rsidRPr="004D0DAA">
              <w:rPr>
                <w:szCs w:val="18"/>
                <w:lang w:eastAsia="en-US"/>
              </w:rPr>
              <w:t>UBS-6</w:t>
            </w:r>
          </w:p>
        </w:tc>
      </w:tr>
      <w:tr w:rsidR="00711444" w:rsidRPr="004D0DAA" w14:paraId="1FDEA33D"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2DC8BBE3" w14:textId="77777777" w:rsidR="00711444" w:rsidRPr="004D0DAA" w:rsidRDefault="00711444" w:rsidP="00AA2A4C">
            <w:pPr>
              <w:pStyle w:val="TAC"/>
              <w:rPr>
                <w:lang w:eastAsia="en-US"/>
              </w:rPr>
            </w:pPr>
            <w:r w:rsidRPr="004D0DAA">
              <w:rPr>
                <w:szCs w:val="18"/>
                <w:lang w:eastAsia="en-US"/>
              </w:rPr>
              <w:t>MCS-5</w:t>
            </w:r>
          </w:p>
        </w:tc>
        <w:tc>
          <w:tcPr>
            <w:tcW w:w="1134" w:type="dxa"/>
            <w:tcBorders>
              <w:top w:val="single" w:sz="4" w:space="0" w:color="auto"/>
              <w:left w:val="single" w:sz="4" w:space="0" w:color="auto"/>
              <w:bottom w:val="single" w:sz="4" w:space="0" w:color="auto"/>
              <w:right w:val="single" w:sz="4" w:space="0" w:color="auto"/>
            </w:tcBorders>
          </w:tcPr>
          <w:p w14:paraId="08DCCEE2"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9F9584B" w14:textId="77777777" w:rsidR="00711444" w:rsidRPr="004D0DAA" w:rsidRDefault="00711444" w:rsidP="00AA2A4C">
            <w:pPr>
              <w:pStyle w:val="TAC"/>
              <w:rPr>
                <w:lang w:eastAsia="en-US"/>
              </w:rPr>
            </w:pPr>
            <w:r w:rsidRPr="004D0DAA">
              <w:rPr>
                <w:szCs w:val="18"/>
                <w:lang w:eastAsia="en-US"/>
              </w:rPr>
              <w:t>UBS-9</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DBD04D3"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6EC262"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F23F820" w14:textId="77777777" w:rsidR="00711444" w:rsidRPr="004D0DAA" w:rsidRDefault="00711444" w:rsidP="00AA2A4C">
            <w:pPr>
              <w:pStyle w:val="TAC"/>
              <w:rPr>
                <w:lang w:eastAsia="en-US"/>
              </w:rPr>
            </w:pPr>
            <w:r w:rsidRPr="004D0DAA">
              <w:rPr>
                <w:szCs w:val="18"/>
                <w:lang w:eastAsia="en-US"/>
              </w:rPr>
              <w:t>UBS-7</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1F2CB41" w14:textId="77777777" w:rsidR="00711444" w:rsidRPr="004D0DAA" w:rsidRDefault="00711444" w:rsidP="00AA2A4C">
            <w:pPr>
              <w:pStyle w:val="TAC"/>
              <w:rPr>
                <w:lang w:eastAsia="en-US"/>
              </w:rPr>
            </w:pPr>
            <w:r w:rsidRPr="004D0DAA">
              <w:rPr>
                <w:szCs w:val="18"/>
                <w:lang w:eastAsia="en-US"/>
              </w:rPr>
              <w:t>UBS-7</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A6C381B" w14:textId="77777777" w:rsidR="00711444" w:rsidRPr="004D0DAA" w:rsidRDefault="00711444" w:rsidP="00AA2A4C">
            <w:pPr>
              <w:pStyle w:val="TAC"/>
              <w:rPr>
                <w:lang w:eastAsia="en-US"/>
              </w:rPr>
            </w:pPr>
            <w:r w:rsidRPr="004D0DAA">
              <w:rPr>
                <w:szCs w:val="18"/>
                <w:lang w:eastAsia="en-US"/>
              </w:rPr>
              <w:t>UBS-5</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4B14632" w14:textId="77777777" w:rsidR="00711444" w:rsidRPr="004D0DAA" w:rsidRDefault="00711444" w:rsidP="00AA2A4C">
            <w:pPr>
              <w:pStyle w:val="TAC"/>
              <w:rPr>
                <w:lang w:eastAsia="en-US"/>
              </w:rPr>
            </w:pPr>
            <w:r w:rsidRPr="004D0DAA">
              <w:rPr>
                <w:szCs w:val="18"/>
                <w:lang w:eastAsia="en-US"/>
              </w:rPr>
              <w:t>UBS-5</w:t>
            </w:r>
          </w:p>
        </w:tc>
      </w:tr>
      <w:tr w:rsidR="00711444" w:rsidRPr="004D0DAA" w14:paraId="1F7C216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B29220B" w14:textId="77777777" w:rsidR="00711444" w:rsidRPr="004D0DAA" w:rsidRDefault="00711444" w:rsidP="00AA2A4C">
            <w:pPr>
              <w:pStyle w:val="TAC"/>
              <w:rPr>
                <w:lang w:eastAsia="en-US"/>
              </w:rPr>
            </w:pPr>
            <w:r w:rsidRPr="004D0DAA">
              <w:rPr>
                <w:szCs w:val="18"/>
                <w:lang w:eastAsia="en-US"/>
              </w:rPr>
              <w:t>MCS-4</w:t>
            </w:r>
          </w:p>
        </w:tc>
        <w:tc>
          <w:tcPr>
            <w:tcW w:w="1134" w:type="dxa"/>
            <w:tcBorders>
              <w:top w:val="single" w:sz="4" w:space="0" w:color="auto"/>
              <w:left w:val="single" w:sz="4" w:space="0" w:color="auto"/>
              <w:bottom w:val="single" w:sz="4" w:space="0" w:color="auto"/>
              <w:right w:val="single" w:sz="4" w:space="0" w:color="auto"/>
            </w:tcBorders>
          </w:tcPr>
          <w:p w14:paraId="340BD364"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4B98389" w14:textId="77777777" w:rsidR="00711444" w:rsidRPr="004D0DAA" w:rsidRDefault="00711444" w:rsidP="00AA2A4C">
            <w:pPr>
              <w:pStyle w:val="TAC"/>
              <w:rPr>
                <w:lang w:eastAsia="en-US"/>
              </w:rPr>
            </w:pPr>
            <w:r w:rsidRPr="004D0DAA">
              <w:rPr>
                <w:szCs w:val="18"/>
                <w:lang w:eastAsia="en-US"/>
              </w:rPr>
              <w:t>MCS-4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BF8014E"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456BB58"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E5DE6AC" w14:textId="77777777" w:rsidR="00711444" w:rsidRPr="004D0DAA" w:rsidRDefault="00711444" w:rsidP="00AA2A4C">
            <w:pPr>
              <w:pStyle w:val="TAC"/>
              <w:rPr>
                <w:lang w:eastAsia="en-US"/>
              </w:rPr>
            </w:pPr>
            <w:r w:rsidRPr="004D0DAA">
              <w:rPr>
                <w:szCs w:val="18"/>
                <w:lang w:eastAsia="en-US"/>
              </w:rPr>
              <w:t>MCS-4</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3674E2B" w14:textId="77777777" w:rsidR="00711444" w:rsidRPr="004D0DAA" w:rsidRDefault="00711444" w:rsidP="00AA2A4C">
            <w:pPr>
              <w:pStyle w:val="TAC"/>
              <w:rPr>
                <w:lang w:eastAsia="en-US"/>
              </w:rPr>
            </w:pPr>
            <w:r w:rsidRPr="004D0DAA">
              <w:rPr>
                <w:szCs w:val="18"/>
                <w:lang w:eastAsia="en-US"/>
              </w:rPr>
              <w:t>MCS-4</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D2EA0DC" w14:textId="77777777" w:rsidR="00711444" w:rsidRPr="004D0DAA" w:rsidRDefault="00711444" w:rsidP="00AA2A4C">
            <w:pPr>
              <w:pStyle w:val="TAC"/>
              <w:rPr>
                <w:lang w:eastAsia="en-US"/>
              </w:rPr>
            </w:pPr>
            <w:r w:rsidRPr="004D0DAA">
              <w:rPr>
                <w:szCs w:val="18"/>
                <w:lang w:eastAsia="en-US"/>
              </w:rPr>
              <w:t>MCS-4</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0DDFE93" w14:textId="77777777" w:rsidR="00711444" w:rsidRPr="004D0DAA" w:rsidRDefault="00711444" w:rsidP="00AA2A4C">
            <w:pPr>
              <w:pStyle w:val="TAC"/>
              <w:rPr>
                <w:lang w:eastAsia="en-US"/>
              </w:rPr>
            </w:pPr>
            <w:r w:rsidRPr="004D0DAA">
              <w:rPr>
                <w:szCs w:val="18"/>
                <w:lang w:eastAsia="en-US"/>
              </w:rPr>
              <w:t>MCS-4</w:t>
            </w:r>
          </w:p>
        </w:tc>
      </w:tr>
      <w:tr w:rsidR="00711444" w:rsidRPr="004D0DAA" w14:paraId="0653158D"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81A1148" w14:textId="77777777" w:rsidR="00711444" w:rsidRPr="004D0DAA" w:rsidRDefault="00711444" w:rsidP="00AA2A4C">
            <w:pPr>
              <w:pStyle w:val="TAC"/>
              <w:rPr>
                <w:lang w:eastAsia="en-US"/>
              </w:rPr>
            </w:pPr>
            <w:r w:rsidRPr="004D0DAA">
              <w:rPr>
                <w:szCs w:val="18"/>
                <w:lang w:eastAsia="en-US"/>
              </w:rPr>
              <w:t>MCS-3</w:t>
            </w:r>
          </w:p>
        </w:tc>
        <w:tc>
          <w:tcPr>
            <w:tcW w:w="1134" w:type="dxa"/>
            <w:tcBorders>
              <w:top w:val="single" w:sz="4" w:space="0" w:color="auto"/>
              <w:left w:val="single" w:sz="4" w:space="0" w:color="auto"/>
              <w:bottom w:val="single" w:sz="4" w:space="0" w:color="auto"/>
              <w:right w:val="single" w:sz="4" w:space="0" w:color="auto"/>
            </w:tcBorders>
          </w:tcPr>
          <w:p w14:paraId="1B15DF16"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11C0012" w14:textId="77777777" w:rsidR="00711444" w:rsidRPr="004D0DAA" w:rsidRDefault="00711444" w:rsidP="00AA2A4C">
            <w:pPr>
              <w:pStyle w:val="TAC"/>
              <w:rPr>
                <w:lang w:eastAsia="en-US"/>
              </w:rPr>
            </w:pPr>
            <w:r w:rsidRPr="004D0DAA">
              <w:rPr>
                <w:szCs w:val="18"/>
                <w:lang w:eastAsia="en-US"/>
              </w:rPr>
              <w:t>MCS-3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A3B8B68"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95FD897"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D050174" w14:textId="77777777" w:rsidR="00711444" w:rsidRPr="004D0DAA" w:rsidRDefault="00711444" w:rsidP="00AA2A4C">
            <w:pPr>
              <w:pStyle w:val="TAC"/>
              <w:rPr>
                <w:lang w:eastAsia="en-US"/>
              </w:rPr>
            </w:pPr>
            <w:r w:rsidRPr="004D0DAA">
              <w:rPr>
                <w:szCs w:val="18"/>
                <w:lang w:eastAsia="en-US"/>
              </w:rPr>
              <w:t>MCS-3</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415AEDB" w14:textId="77777777" w:rsidR="00711444" w:rsidRPr="004D0DAA" w:rsidRDefault="00711444" w:rsidP="00AA2A4C">
            <w:pPr>
              <w:pStyle w:val="TAC"/>
              <w:rPr>
                <w:lang w:eastAsia="en-US"/>
              </w:rPr>
            </w:pPr>
            <w:r w:rsidRPr="004D0DAA">
              <w:rPr>
                <w:szCs w:val="18"/>
                <w:lang w:eastAsia="en-US"/>
              </w:rPr>
              <w:t>MCS-3</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EE2012A" w14:textId="77777777" w:rsidR="00711444" w:rsidRPr="004D0DAA" w:rsidRDefault="00711444" w:rsidP="00AA2A4C">
            <w:pPr>
              <w:pStyle w:val="TAC"/>
              <w:rPr>
                <w:lang w:eastAsia="en-US"/>
              </w:rPr>
            </w:pPr>
            <w:r w:rsidRPr="004D0DAA">
              <w:rPr>
                <w:szCs w:val="18"/>
                <w:lang w:eastAsia="en-US"/>
              </w:rPr>
              <w:t>MCS-3</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F53A0F8" w14:textId="77777777" w:rsidR="00711444" w:rsidRPr="004D0DAA" w:rsidRDefault="00711444" w:rsidP="00AA2A4C">
            <w:pPr>
              <w:pStyle w:val="TAC"/>
              <w:rPr>
                <w:lang w:eastAsia="en-US"/>
              </w:rPr>
            </w:pPr>
            <w:r w:rsidRPr="004D0DAA">
              <w:rPr>
                <w:szCs w:val="18"/>
                <w:lang w:eastAsia="en-US"/>
              </w:rPr>
              <w:t>MCS-3</w:t>
            </w:r>
          </w:p>
        </w:tc>
      </w:tr>
      <w:tr w:rsidR="00711444" w:rsidRPr="004D0DAA" w14:paraId="2841038F"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C6E7254" w14:textId="77777777" w:rsidR="00711444" w:rsidRPr="004D0DAA" w:rsidRDefault="00711444" w:rsidP="00AA2A4C">
            <w:pPr>
              <w:pStyle w:val="TAC"/>
              <w:rPr>
                <w:lang w:eastAsia="en-US"/>
              </w:rPr>
            </w:pPr>
            <w:r w:rsidRPr="004D0DAA">
              <w:rPr>
                <w:szCs w:val="18"/>
                <w:lang w:eastAsia="en-US"/>
              </w:rPr>
              <w:t>MCS-2</w:t>
            </w:r>
          </w:p>
        </w:tc>
        <w:tc>
          <w:tcPr>
            <w:tcW w:w="1134" w:type="dxa"/>
            <w:tcBorders>
              <w:top w:val="single" w:sz="4" w:space="0" w:color="auto"/>
              <w:left w:val="single" w:sz="4" w:space="0" w:color="auto"/>
              <w:bottom w:val="single" w:sz="4" w:space="0" w:color="auto"/>
              <w:right w:val="single" w:sz="4" w:space="0" w:color="auto"/>
            </w:tcBorders>
          </w:tcPr>
          <w:p w14:paraId="7424CB84"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2A08056" w14:textId="77777777" w:rsidR="00711444" w:rsidRPr="004D0DAA" w:rsidRDefault="00711444" w:rsidP="00AA2A4C">
            <w:pPr>
              <w:pStyle w:val="TAC"/>
              <w:rPr>
                <w:lang w:eastAsia="en-US"/>
              </w:rPr>
            </w:pPr>
            <w:r w:rsidRPr="004D0DAA">
              <w:rPr>
                <w:szCs w:val="18"/>
                <w:lang w:eastAsia="en-US"/>
              </w:rPr>
              <w:t>MCS-2</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26846F9"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5778F3C"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6BE9CEE" w14:textId="77777777" w:rsidR="00711444" w:rsidRPr="004D0DAA" w:rsidRDefault="00711444" w:rsidP="00AA2A4C">
            <w:pPr>
              <w:pStyle w:val="TAC"/>
              <w:rPr>
                <w:lang w:eastAsia="en-US"/>
              </w:rPr>
            </w:pPr>
            <w:r w:rsidRPr="004D0DAA">
              <w:rPr>
                <w:szCs w:val="18"/>
                <w:lang w:eastAsia="en-US"/>
              </w:rPr>
              <w:t>MCS-2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9972FC6" w14:textId="77777777" w:rsidR="00711444" w:rsidRPr="004D0DAA" w:rsidRDefault="00711444" w:rsidP="00AA2A4C">
            <w:pPr>
              <w:pStyle w:val="TAC"/>
              <w:rPr>
                <w:lang w:eastAsia="en-US"/>
              </w:rPr>
            </w:pPr>
            <w:r w:rsidRPr="004D0DAA">
              <w:rPr>
                <w:szCs w:val="18"/>
                <w:lang w:eastAsia="en-US"/>
              </w:rPr>
              <w:t>MCS-2</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810AC8D" w14:textId="77777777" w:rsidR="00711444" w:rsidRPr="004D0DAA" w:rsidRDefault="00711444" w:rsidP="00AA2A4C">
            <w:pPr>
              <w:pStyle w:val="TAC"/>
              <w:rPr>
                <w:lang w:eastAsia="en-US"/>
              </w:rPr>
            </w:pPr>
            <w:r w:rsidRPr="004D0DAA">
              <w:rPr>
                <w:szCs w:val="18"/>
                <w:lang w:eastAsia="en-US"/>
              </w:rPr>
              <w:t>MCS-2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B86D2B" w14:textId="77777777" w:rsidR="00711444" w:rsidRPr="004D0DAA" w:rsidRDefault="00711444" w:rsidP="00AA2A4C">
            <w:pPr>
              <w:pStyle w:val="TAC"/>
              <w:rPr>
                <w:lang w:eastAsia="en-US"/>
              </w:rPr>
            </w:pPr>
            <w:r w:rsidRPr="004D0DAA">
              <w:rPr>
                <w:szCs w:val="18"/>
                <w:lang w:eastAsia="en-US"/>
              </w:rPr>
              <w:t>MCS-2</w:t>
            </w:r>
          </w:p>
        </w:tc>
      </w:tr>
      <w:tr w:rsidR="00711444" w:rsidRPr="004D0DAA" w14:paraId="52C043E1"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61323F04" w14:textId="77777777" w:rsidR="00711444" w:rsidRPr="004D0DAA" w:rsidRDefault="00711444" w:rsidP="00AA2A4C">
            <w:pPr>
              <w:pStyle w:val="TAC"/>
              <w:rPr>
                <w:lang w:eastAsia="en-US"/>
              </w:rPr>
            </w:pPr>
            <w:r w:rsidRPr="004D0DAA">
              <w:rPr>
                <w:szCs w:val="18"/>
                <w:lang w:eastAsia="en-US"/>
              </w:rPr>
              <w:t>MCS-1</w:t>
            </w:r>
          </w:p>
        </w:tc>
        <w:tc>
          <w:tcPr>
            <w:tcW w:w="1134" w:type="dxa"/>
            <w:tcBorders>
              <w:top w:val="single" w:sz="4" w:space="0" w:color="auto"/>
              <w:left w:val="single" w:sz="4" w:space="0" w:color="auto"/>
              <w:bottom w:val="single" w:sz="4" w:space="0" w:color="auto"/>
              <w:right w:val="single" w:sz="4" w:space="0" w:color="auto"/>
            </w:tcBorders>
          </w:tcPr>
          <w:p w14:paraId="5FA873E3"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C72B9D5" w14:textId="77777777" w:rsidR="00711444" w:rsidRPr="004D0DAA" w:rsidRDefault="00711444" w:rsidP="00AA2A4C">
            <w:pPr>
              <w:pStyle w:val="TAC"/>
              <w:rPr>
                <w:lang w:eastAsia="en-US"/>
              </w:rPr>
            </w:pPr>
            <w:r w:rsidRPr="004D0DAA">
              <w:rPr>
                <w:szCs w:val="18"/>
                <w:lang w:eastAsia="en-US"/>
              </w:rPr>
              <w:t>MCS-1</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8500F93"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724328"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4873DAF" w14:textId="77777777" w:rsidR="00711444" w:rsidRPr="004D0DAA" w:rsidRDefault="00711444" w:rsidP="00AA2A4C">
            <w:pPr>
              <w:pStyle w:val="TAC"/>
              <w:rPr>
                <w:lang w:eastAsia="en-US"/>
              </w:rPr>
            </w:pPr>
            <w:r w:rsidRPr="004D0DAA">
              <w:rPr>
                <w:szCs w:val="18"/>
                <w:lang w:eastAsia="en-US"/>
              </w:rPr>
              <w:t>MCS-1</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35628A1" w14:textId="77777777" w:rsidR="00711444" w:rsidRPr="004D0DAA" w:rsidRDefault="00711444" w:rsidP="00AA2A4C">
            <w:pPr>
              <w:pStyle w:val="TAC"/>
              <w:rPr>
                <w:lang w:eastAsia="en-US"/>
              </w:rPr>
            </w:pPr>
            <w:r w:rsidRPr="004D0DAA">
              <w:rPr>
                <w:szCs w:val="18"/>
                <w:lang w:eastAsia="en-US"/>
              </w:rPr>
              <w:t>MCS-1</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B61A252" w14:textId="77777777" w:rsidR="00711444" w:rsidRPr="004D0DAA" w:rsidRDefault="00711444" w:rsidP="00AA2A4C">
            <w:pPr>
              <w:pStyle w:val="TAC"/>
              <w:rPr>
                <w:lang w:eastAsia="en-US"/>
              </w:rPr>
            </w:pPr>
            <w:r w:rsidRPr="004D0DAA">
              <w:rPr>
                <w:szCs w:val="18"/>
                <w:lang w:eastAsia="en-US"/>
              </w:rPr>
              <w:t>MCS-1</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B9D0B1D" w14:textId="77777777" w:rsidR="00711444" w:rsidRPr="004D0DAA" w:rsidRDefault="00711444" w:rsidP="00AA2A4C">
            <w:pPr>
              <w:pStyle w:val="TAC"/>
              <w:rPr>
                <w:lang w:eastAsia="en-US"/>
              </w:rPr>
            </w:pPr>
            <w:r w:rsidRPr="004D0DAA">
              <w:rPr>
                <w:szCs w:val="18"/>
                <w:lang w:eastAsia="en-US"/>
              </w:rPr>
              <w:t>MCS-1</w:t>
            </w:r>
          </w:p>
        </w:tc>
      </w:tr>
      <w:tr w:rsidR="00711444" w:rsidRPr="004D0DAA" w14:paraId="4FC51BFC" w14:textId="77777777" w:rsidTr="00AA2A4C">
        <w:tc>
          <w:tcPr>
            <w:tcW w:w="8959" w:type="dxa"/>
            <w:gridSpan w:val="9"/>
            <w:tcBorders>
              <w:top w:val="single" w:sz="4" w:space="0" w:color="auto"/>
              <w:left w:val="single" w:sz="4" w:space="0" w:color="auto"/>
              <w:bottom w:val="single" w:sz="4" w:space="0" w:color="auto"/>
              <w:right w:val="single" w:sz="4" w:space="0" w:color="auto"/>
            </w:tcBorders>
            <w:shd w:val="clear" w:color="auto" w:fill="auto"/>
          </w:tcPr>
          <w:p w14:paraId="34F901C1" w14:textId="77777777" w:rsidR="00711444" w:rsidRPr="004D0DAA" w:rsidRDefault="00711444" w:rsidP="00AA2A4C">
            <w:pPr>
              <w:pStyle w:val="TAC"/>
              <w:rPr>
                <w:lang w:eastAsia="en-US"/>
              </w:rPr>
            </w:pPr>
            <w:r w:rsidRPr="004D0DAA">
              <w:rPr>
                <w:lang w:eastAsia="en-US"/>
              </w:rPr>
              <w:t>NOTE 1:</w:t>
            </w:r>
            <w:r w:rsidRPr="004D0DAA">
              <w:rPr>
                <w:lang w:eastAsia="en-US"/>
              </w:rPr>
              <w:tab/>
              <w:t>If MCS-1 to MCS-4 is commanded, see Table 8.1.1.1.</w:t>
            </w:r>
          </w:p>
        </w:tc>
      </w:tr>
    </w:tbl>
    <w:p w14:paraId="57CF6857" w14:textId="77777777" w:rsidR="00711444" w:rsidRPr="004D0DAA" w:rsidRDefault="00711444" w:rsidP="00711444"/>
    <w:p w14:paraId="4AE2AA9F" w14:textId="77777777" w:rsidR="00711444" w:rsidRPr="004D0DAA" w:rsidRDefault="00711444" w:rsidP="00711444">
      <w:pPr>
        <w:pStyle w:val="TH"/>
      </w:pPr>
      <w:r w:rsidRPr="004D0DAA">
        <w:t>Table 8.1.1.7.2.4a: Choice of modulation and coding scheme for retransmissions (initial transmission EGPRS, level changed to EGPRS2-B) without re-segmentation</w:t>
      </w:r>
    </w:p>
    <w:tbl>
      <w:tblPr>
        <w:tblW w:w="0" w:type="auto"/>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1134"/>
        <w:gridCol w:w="992"/>
        <w:gridCol w:w="993"/>
        <w:gridCol w:w="992"/>
        <w:gridCol w:w="992"/>
        <w:gridCol w:w="851"/>
        <w:gridCol w:w="850"/>
        <w:gridCol w:w="851"/>
      </w:tblGrid>
      <w:tr w:rsidR="00711444" w:rsidRPr="004D0DAA" w14:paraId="653A32BF"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4B86781" w14:textId="77777777" w:rsidR="00711444" w:rsidRPr="004D0DAA" w:rsidRDefault="00711444" w:rsidP="00AA2A4C">
            <w:pPr>
              <w:pStyle w:val="TAH"/>
              <w:rPr>
                <w:lang w:eastAsia="en-US"/>
              </w:rPr>
            </w:pPr>
            <w:r w:rsidRPr="004D0DAA">
              <w:rPr>
                <w:lang w:eastAsia="en-US"/>
              </w:rPr>
              <w:t>Scheme used for Initial transmission</w:t>
            </w:r>
          </w:p>
        </w:tc>
        <w:tc>
          <w:tcPr>
            <w:tcW w:w="7655" w:type="dxa"/>
            <w:gridSpan w:val="8"/>
            <w:tcBorders>
              <w:top w:val="single" w:sz="4" w:space="0" w:color="auto"/>
              <w:left w:val="single" w:sz="4" w:space="0" w:color="auto"/>
              <w:bottom w:val="single" w:sz="4" w:space="0" w:color="auto"/>
              <w:right w:val="single" w:sz="4" w:space="0" w:color="auto"/>
            </w:tcBorders>
          </w:tcPr>
          <w:p w14:paraId="6167C695" w14:textId="77777777" w:rsidR="00711444" w:rsidRPr="004D0DAA" w:rsidRDefault="00711444" w:rsidP="00AA2A4C">
            <w:pPr>
              <w:pStyle w:val="TAH"/>
              <w:rPr>
                <w:lang w:eastAsia="en-US"/>
              </w:rPr>
            </w:pPr>
            <w:r w:rsidRPr="004D0DAA">
              <w:rPr>
                <w:lang w:eastAsia="en-US"/>
              </w:rPr>
              <w:t>Scheme to use for retransmissions after switching to EGPRS2-B (MCS or UBS)</w:t>
            </w:r>
          </w:p>
        </w:tc>
      </w:tr>
      <w:tr w:rsidR="00711444" w:rsidRPr="004D0DAA" w14:paraId="7A41BD4A" w14:textId="77777777" w:rsidTr="00AA2A4C">
        <w:trPr>
          <w:trHeight w:val="567"/>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04B9A374" w14:textId="77777777" w:rsidR="00711444" w:rsidRPr="004D0DAA" w:rsidRDefault="00711444" w:rsidP="00AA2A4C"/>
        </w:tc>
        <w:tc>
          <w:tcPr>
            <w:tcW w:w="1134" w:type="dxa"/>
            <w:tcBorders>
              <w:top w:val="single" w:sz="4" w:space="0" w:color="auto"/>
              <w:left w:val="single" w:sz="4" w:space="0" w:color="auto"/>
              <w:bottom w:val="single" w:sz="4" w:space="0" w:color="auto"/>
              <w:right w:val="single" w:sz="4" w:space="0" w:color="auto"/>
            </w:tcBorders>
          </w:tcPr>
          <w:p w14:paraId="60C0595A" w14:textId="77777777" w:rsidR="00711444" w:rsidRPr="004D0DAA" w:rsidRDefault="00711444" w:rsidP="00AA2A4C">
            <w:pPr>
              <w:pStyle w:val="TAH"/>
              <w:rPr>
                <w:lang w:eastAsia="en-US"/>
              </w:rPr>
            </w:pPr>
            <w:r w:rsidRPr="004D0DAA">
              <w:rPr>
                <w:lang w:eastAsia="en-US"/>
              </w:rPr>
              <w:t>UBS-12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30C516" w14:textId="77777777" w:rsidR="00711444" w:rsidRPr="004D0DAA" w:rsidRDefault="00711444" w:rsidP="00AA2A4C">
            <w:pPr>
              <w:pStyle w:val="TAH"/>
              <w:rPr>
                <w:lang w:eastAsia="en-US"/>
              </w:rPr>
            </w:pPr>
            <w:r w:rsidRPr="004D0DAA">
              <w:rPr>
                <w:lang w:eastAsia="en-US"/>
              </w:rPr>
              <w:t>UBS-11 Commanded</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05AC57" w14:textId="77777777" w:rsidR="00711444" w:rsidRPr="004D0DAA" w:rsidRDefault="00711444" w:rsidP="00AA2A4C">
            <w:pPr>
              <w:pStyle w:val="TAH"/>
              <w:rPr>
                <w:lang w:eastAsia="en-US"/>
              </w:rPr>
            </w:pPr>
            <w:r w:rsidRPr="004D0DAA">
              <w:rPr>
                <w:lang w:eastAsia="en-US"/>
              </w:rPr>
              <w:t>UBS-10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4B16D28" w14:textId="77777777" w:rsidR="00711444" w:rsidRPr="004D0DAA" w:rsidRDefault="00711444" w:rsidP="00AA2A4C">
            <w:pPr>
              <w:pStyle w:val="TAH"/>
              <w:rPr>
                <w:lang w:eastAsia="en-US"/>
              </w:rPr>
            </w:pPr>
            <w:r w:rsidRPr="004D0DAA">
              <w:rPr>
                <w:lang w:eastAsia="en-US"/>
              </w:rPr>
              <w:t>UBS-9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B5726C" w14:textId="77777777" w:rsidR="00711444" w:rsidRPr="004D0DAA" w:rsidRDefault="00711444" w:rsidP="00AA2A4C">
            <w:pPr>
              <w:pStyle w:val="TAH"/>
              <w:rPr>
                <w:lang w:eastAsia="en-US"/>
              </w:rPr>
            </w:pPr>
            <w:r w:rsidRPr="004D0DAA">
              <w:rPr>
                <w:lang w:eastAsia="en-US"/>
              </w:rPr>
              <w:t>UBS-8 Commanded</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3595F" w14:textId="77777777" w:rsidR="00711444" w:rsidRPr="004D0DAA" w:rsidRDefault="00711444" w:rsidP="00AA2A4C">
            <w:pPr>
              <w:pStyle w:val="TAH"/>
              <w:rPr>
                <w:lang w:eastAsia="en-US"/>
              </w:rPr>
            </w:pPr>
            <w:r w:rsidRPr="004D0DAA">
              <w:rPr>
                <w:lang w:eastAsia="en-US"/>
              </w:rPr>
              <w:t>UBS-7 Commanded</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B87DEF" w14:textId="77777777" w:rsidR="00711444" w:rsidRPr="004D0DAA" w:rsidRDefault="00711444" w:rsidP="00AA2A4C">
            <w:pPr>
              <w:pStyle w:val="TAH"/>
              <w:rPr>
                <w:lang w:eastAsia="en-US"/>
              </w:rPr>
            </w:pPr>
            <w:r w:rsidRPr="004D0DAA">
              <w:rPr>
                <w:lang w:eastAsia="en-US"/>
              </w:rPr>
              <w:t>UBS-6 Commanded</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14:paraId="16C40D5F" w14:textId="77777777" w:rsidR="00711444" w:rsidRPr="004D0DAA" w:rsidRDefault="00711444" w:rsidP="00AA2A4C">
            <w:pPr>
              <w:pStyle w:val="TAH"/>
              <w:rPr>
                <w:lang w:eastAsia="en-US"/>
              </w:rPr>
            </w:pPr>
            <w:r w:rsidRPr="004D0DAA">
              <w:rPr>
                <w:lang w:eastAsia="en-US"/>
              </w:rPr>
              <w:t>UBS-5 Commanded</w:t>
            </w:r>
          </w:p>
        </w:tc>
      </w:tr>
      <w:tr w:rsidR="00711444" w:rsidRPr="004D0DAA" w14:paraId="1DE9E012"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4707C089" w14:textId="77777777" w:rsidR="00711444" w:rsidRPr="004D0DAA" w:rsidRDefault="00711444" w:rsidP="00AA2A4C">
            <w:pPr>
              <w:pStyle w:val="TAC"/>
              <w:rPr>
                <w:lang w:eastAsia="en-US"/>
              </w:rPr>
            </w:pPr>
            <w:r w:rsidRPr="004D0DAA">
              <w:rPr>
                <w:szCs w:val="18"/>
                <w:lang w:eastAsia="en-US"/>
              </w:rPr>
              <w:t>MCS-9</w:t>
            </w:r>
          </w:p>
        </w:tc>
        <w:tc>
          <w:tcPr>
            <w:tcW w:w="1134" w:type="dxa"/>
            <w:tcBorders>
              <w:top w:val="single" w:sz="4" w:space="0" w:color="auto"/>
              <w:left w:val="single" w:sz="4" w:space="0" w:color="auto"/>
              <w:bottom w:val="single" w:sz="4" w:space="0" w:color="auto"/>
              <w:right w:val="single" w:sz="4" w:space="0" w:color="auto"/>
            </w:tcBorders>
          </w:tcPr>
          <w:p w14:paraId="0F721CF7" w14:textId="77777777" w:rsidR="00711444" w:rsidRPr="004D0DAA" w:rsidRDefault="00711444" w:rsidP="00AA2A4C">
            <w:pPr>
              <w:pStyle w:val="TAC"/>
              <w:rPr>
                <w:lang w:eastAsia="en-US"/>
              </w:rPr>
            </w:pPr>
            <w:r w:rsidRPr="004D0DAA">
              <w:rPr>
                <w:szCs w:val="18"/>
                <w:lang w:eastAsia="en-US"/>
              </w:rPr>
              <w:t>UBS-12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CDF75D" w14:textId="77777777" w:rsidR="00711444" w:rsidRPr="004D0DAA" w:rsidRDefault="00711444" w:rsidP="00AA2A4C">
            <w:pPr>
              <w:pStyle w:val="TAC"/>
              <w:rPr>
                <w:lang w:eastAsia="en-US"/>
              </w:rPr>
            </w:pPr>
            <w:r w:rsidRPr="004D0DAA">
              <w:rPr>
                <w:szCs w:val="18"/>
                <w:lang w:eastAsia="en-US"/>
              </w:rPr>
              <w:t>UBS-10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3977724"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4C25714"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E935A2E"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5F76E3A"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04C86E7"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E031F8" w14:textId="77777777" w:rsidR="00711444" w:rsidRPr="004D0DAA" w:rsidRDefault="00711444" w:rsidP="00AA2A4C">
            <w:pPr>
              <w:pStyle w:val="TAC"/>
              <w:rPr>
                <w:lang w:eastAsia="en-US"/>
              </w:rPr>
            </w:pPr>
            <w:r w:rsidRPr="004D0DAA">
              <w:rPr>
                <w:szCs w:val="18"/>
                <w:lang w:eastAsia="en-US"/>
              </w:rPr>
              <w:t>UBS-6</w:t>
            </w:r>
          </w:p>
        </w:tc>
      </w:tr>
      <w:tr w:rsidR="00711444" w:rsidRPr="004D0DAA" w14:paraId="6FCAD882"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045D873" w14:textId="77777777" w:rsidR="00711444" w:rsidRPr="004D0DAA" w:rsidRDefault="00711444" w:rsidP="00AA2A4C">
            <w:pPr>
              <w:pStyle w:val="TAC"/>
              <w:rPr>
                <w:lang w:eastAsia="en-US"/>
              </w:rPr>
            </w:pPr>
            <w:r w:rsidRPr="004D0DAA">
              <w:rPr>
                <w:szCs w:val="18"/>
                <w:lang w:eastAsia="en-US"/>
              </w:rPr>
              <w:t>MCS-8</w:t>
            </w:r>
          </w:p>
        </w:tc>
        <w:tc>
          <w:tcPr>
            <w:tcW w:w="1134" w:type="dxa"/>
            <w:tcBorders>
              <w:top w:val="single" w:sz="4" w:space="0" w:color="auto"/>
              <w:left w:val="single" w:sz="4" w:space="0" w:color="auto"/>
              <w:bottom w:val="single" w:sz="4" w:space="0" w:color="auto"/>
              <w:right w:val="single" w:sz="4" w:space="0" w:color="auto"/>
            </w:tcBorders>
          </w:tcPr>
          <w:p w14:paraId="028D7951" w14:textId="77777777" w:rsidR="00711444" w:rsidRPr="004D0DAA" w:rsidRDefault="00711444" w:rsidP="00AA2A4C">
            <w:pPr>
              <w:pStyle w:val="TAC"/>
              <w:rPr>
                <w:lang w:eastAsia="en-US"/>
              </w:rPr>
            </w:pPr>
            <w:r w:rsidRPr="004D0DAA">
              <w:rPr>
                <w:szCs w:val="18"/>
                <w:lang w:eastAsia="en-US"/>
              </w:rPr>
              <w:t xml:space="preserve">UBS-11 </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873BB1F" w14:textId="77777777" w:rsidR="00711444" w:rsidRPr="004D0DAA" w:rsidRDefault="00711444" w:rsidP="00AA2A4C">
            <w:pPr>
              <w:pStyle w:val="TAC"/>
              <w:rPr>
                <w:lang w:eastAsia="en-US"/>
              </w:rPr>
            </w:pPr>
            <w:r w:rsidRPr="004D0DAA">
              <w:rPr>
                <w:szCs w:val="18"/>
                <w:lang w:eastAsia="en-US"/>
              </w:rPr>
              <w:t>UBS-11</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ADE4B8F"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D059FBC"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BCD9DF9"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A325FE2"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9950F7C"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67FCC3C" w14:textId="77777777" w:rsidR="00711444" w:rsidRPr="004D0DAA" w:rsidRDefault="00711444" w:rsidP="00AA2A4C">
            <w:pPr>
              <w:pStyle w:val="TAC"/>
              <w:rPr>
                <w:lang w:eastAsia="en-US"/>
              </w:rPr>
            </w:pPr>
            <w:r w:rsidRPr="004D0DAA">
              <w:rPr>
                <w:szCs w:val="18"/>
                <w:lang w:eastAsia="en-US"/>
              </w:rPr>
              <w:t>UBS-6</w:t>
            </w:r>
          </w:p>
        </w:tc>
      </w:tr>
      <w:tr w:rsidR="00711444" w:rsidRPr="004D0DAA" w14:paraId="4FF151F4"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3E0F4B4" w14:textId="77777777" w:rsidR="00711444" w:rsidRPr="004D0DAA" w:rsidRDefault="00711444" w:rsidP="00AA2A4C">
            <w:pPr>
              <w:pStyle w:val="TAC"/>
              <w:rPr>
                <w:lang w:eastAsia="en-US"/>
              </w:rPr>
            </w:pPr>
            <w:r w:rsidRPr="004D0DAA">
              <w:rPr>
                <w:szCs w:val="18"/>
                <w:lang w:eastAsia="en-US"/>
              </w:rPr>
              <w:t>MCS-7</w:t>
            </w:r>
          </w:p>
        </w:tc>
        <w:tc>
          <w:tcPr>
            <w:tcW w:w="1134" w:type="dxa"/>
            <w:tcBorders>
              <w:top w:val="single" w:sz="4" w:space="0" w:color="auto"/>
              <w:left w:val="single" w:sz="4" w:space="0" w:color="auto"/>
              <w:bottom w:val="single" w:sz="4" w:space="0" w:color="auto"/>
              <w:right w:val="single" w:sz="4" w:space="0" w:color="auto"/>
            </w:tcBorders>
          </w:tcPr>
          <w:p w14:paraId="7818726E"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CEAEC62" w14:textId="77777777" w:rsidR="00711444" w:rsidRPr="004D0DAA" w:rsidRDefault="00711444" w:rsidP="00AA2A4C">
            <w:pPr>
              <w:pStyle w:val="TAC"/>
              <w:rPr>
                <w:lang w:eastAsia="en-US"/>
              </w:rPr>
            </w:pPr>
            <w:r w:rsidRPr="004D0DAA">
              <w:rPr>
                <w:szCs w:val="18"/>
                <w:lang w:eastAsia="en-US"/>
              </w:rPr>
              <w:t>UBS-9</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B7B4059"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2605A85"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57D5F08" w14:textId="77777777" w:rsidR="00711444" w:rsidRPr="004D0DAA" w:rsidRDefault="00711444" w:rsidP="00AA2A4C">
            <w:pPr>
              <w:pStyle w:val="TAC"/>
              <w:rPr>
                <w:lang w:eastAsia="en-US"/>
              </w:rPr>
            </w:pPr>
            <w:r w:rsidRPr="004D0DAA">
              <w:rPr>
                <w:szCs w:val="18"/>
                <w:lang w:eastAsia="en-US"/>
              </w:rPr>
              <w:t>UBS-7</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5B39105" w14:textId="77777777" w:rsidR="00711444" w:rsidRPr="004D0DAA" w:rsidRDefault="00711444" w:rsidP="00AA2A4C">
            <w:pPr>
              <w:pStyle w:val="TAC"/>
              <w:rPr>
                <w:lang w:eastAsia="en-US"/>
              </w:rPr>
            </w:pPr>
            <w:r w:rsidRPr="004D0DAA">
              <w:rPr>
                <w:szCs w:val="18"/>
                <w:lang w:eastAsia="en-US"/>
              </w:rPr>
              <w:t>UBS-7</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4CF58DE" w14:textId="77777777" w:rsidR="00711444" w:rsidRPr="004D0DAA" w:rsidRDefault="00711444" w:rsidP="00AA2A4C">
            <w:pPr>
              <w:pStyle w:val="TAC"/>
              <w:rPr>
                <w:lang w:eastAsia="en-US"/>
              </w:rPr>
            </w:pPr>
            <w:r w:rsidRPr="004D0DAA">
              <w:rPr>
                <w:szCs w:val="18"/>
                <w:lang w:eastAsia="en-US"/>
              </w:rPr>
              <w:t>UBS-5</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190ED6E" w14:textId="77777777" w:rsidR="00711444" w:rsidRPr="004D0DAA" w:rsidRDefault="00711444" w:rsidP="00AA2A4C">
            <w:pPr>
              <w:pStyle w:val="TAC"/>
              <w:rPr>
                <w:lang w:eastAsia="en-US"/>
              </w:rPr>
            </w:pPr>
            <w:r w:rsidRPr="004D0DAA">
              <w:rPr>
                <w:szCs w:val="18"/>
                <w:lang w:eastAsia="en-US"/>
              </w:rPr>
              <w:t>UBS-5</w:t>
            </w:r>
          </w:p>
        </w:tc>
      </w:tr>
      <w:tr w:rsidR="00711444" w:rsidRPr="004D0DAA" w14:paraId="32686842"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7E1D1EF"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tcPr>
          <w:p w14:paraId="2D3FA4ED" w14:textId="77777777" w:rsidR="00711444" w:rsidRPr="004D0DAA" w:rsidRDefault="00711444" w:rsidP="00AA2A4C">
            <w:pPr>
              <w:pStyle w:val="TAC"/>
              <w:rPr>
                <w:lang w:eastAsia="en-US"/>
              </w:rPr>
            </w:pPr>
            <w:r w:rsidRPr="004D0DAA">
              <w:rPr>
                <w:szCs w:val="18"/>
                <w:lang w:eastAsia="en-US"/>
              </w:rPr>
              <w:t>UBS-12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DA6EF89" w14:textId="77777777" w:rsidR="00711444" w:rsidRPr="004D0DAA" w:rsidRDefault="00711444" w:rsidP="00AA2A4C">
            <w:pPr>
              <w:pStyle w:val="TAC"/>
              <w:rPr>
                <w:lang w:eastAsia="en-US"/>
              </w:rPr>
            </w:pPr>
            <w:r w:rsidRPr="004D0DAA">
              <w:rPr>
                <w:szCs w:val="18"/>
                <w:lang w:eastAsia="en-US"/>
              </w:rPr>
              <w:t>UBS-10</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8405A00" w14:textId="77777777" w:rsidR="00711444" w:rsidRPr="004D0DAA" w:rsidRDefault="00711444" w:rsidP="00AA2A4C">
            <w:pPr>
              <w:pStyle w:val="TAC"/>
              <w:rPr>
                <w:lang w:eastAsia="en-US"/>
              </w:rPr>
            </w:pPr>
            <w:r w:rsidRPr="004D0DAA">
              <w:rPr>
                <w:szCs w:val="18"/>
                <w:lang w:eastAsia="en-US"/>
              </w:rPr>
              <w:t>UBS-10</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C975F6" w14:textId="77777777" w:rsidR="00711444" w:rsidRPr="004D0DAA" w:rsidRDefault="00711444" w:rsidP="00AA2A4C">
            <w:pPr>
              <w:pStyle w:val="TAC"/>
              <w:rPr>
                <w:lang w:eastAsia="en-US"/>
              </w:rPr>
            </w:pPr>
            <w:r w:rsidRPr="004D0DAA">
              <w:rPr>
                <w:szCs w:val="18"/>
                <w:lang w:eastAsia="en-US"/>
              </w:rPr>
              <w:t>UBS-8</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6BF2E8A" w14:textId="77777777" w:rsidR="00711444" w:rsidRPr="004D0DAA" w:rsidRDefault="00711444" w:rsidP="00AA2A4C">
            <w:pPr>
              <w:pStyle w:val="TAC"/>
              <w:rPr>
                <w:lang w:eastAsia="en-US"/>
              </w:rPr>
            </w:pPr>
            <w:r w:rsidRPr="004D0DAA">
              <w:rPr>
                <w:szCs w:val="18"/>
                <w:lang w:eastAsia="en-US"/>
              </w:rPr>
              <w:t>UBS-8</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F694B9C" w14:textId="77777777" w:rsidR="00711444" w:rsidRPr="004D0DAA" w:rsidRDefault="00711444" w:rsidP="00AA2A4C">
            <w:pPr>
              <w:pStyle w:val="TAC"/>
              <w:rPr>
                <w:lang w:eastAsia="en-US"/>
              </w:rPr>
            </w:pPr>
            <w:r w:rsidRPr="004D0DAA">
              <w:rPr>
                <w:szCs w:val="18"/>
                <w:lang w:eastAsia="en-US"/>
              </w:rPr>
              <w:t>UBS-6</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58673AB" w14:textId="77777777" w:rsidR="00711444" w:rsidRPr="004D0DAA" w:rsidRDefault="00711444" w:rsidP="00AA2A4C">
            <w:pPr>
              <w:pStyle w:val="TAC"/>
              <w:rPr>
                <w:lang w:eastAsia="en-US"/>
              </w:rPr>
            </w:pPr>
            <w:r w:rsidRPr="004D0DAA">
              <w:rPr>
                <w:szCs w:val="18"/>
                <w:lang w:eastAsia="en-US"/>
              </w:rPr>
              <w:t>UBS-6</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210325A" w14:textId="77777777" w:rsidR="00711444" w:rsidRPr="004D0DAA" w:rsidRDefault="00711444" w:rsidP="00AA2A4C">
            <w:pPr>
              <w:pStyle w:val="TAC"/>
              <w:rPr>
                <w:lang w:eastAsia="en-US"/>
              </w:rPr>
            </w:pPr>
            <w:r w:rsidRPr="004D0DAA">
              <w:rPr>
                <w:szCs w:val="18"/>
                <w:lang w:eastAsia="en-US"/>
              </w:rPr>
              <w:t>UBS-6</w:t>
            </w:r>
          </w:p>
        </w:tc>
      </w:tr>
      <w:tr w:rsidR="00711444" w:rsidRPr="004D0DAA" w14:paraId="5EE047E8"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6A748357" w14:textId="77777777" w:rsidR="00711444" w:rsidRPr="004D0DAA" w:rsidRDefault="00711444" w:rsidP="00AA2A4C">
            <w:pPr>
              <w:pStyle w:val="TAC"/>
              <w:rPr>
                <w:lang w:eastAsia="en-US"/>
              </w:rPr>
            </w:pPr>
            <w:r w:rsidRPr="004D0DAA">
              <w:rPr>
                <w:szCs w:val="18"/>
                <w:lang w:eastAsia="en-US"/>
              </w:rPr>
              <w:t>MCS-5</w:t>
            </w:r>
          </w:p>
        </w:tc>
        <w:tc>
          <w:tcPr>
            <w:tcW w:w="1134" w:type="dxa"/>
            <w:tcBorders>
              <w:top w:val="single" w:sz="4" w:space="0" w:color="auto"/>
              <w:left w:val="single" w:sz="4" w:space="0" w:color="auto"/>
              <w:bottom w:val="single" w:sz="4" w:space="0" w:color="auto"/>
              <w:right w:val="single" w:sz="4" w:space="0" w:color="auto"/>
            </w:tcBorders>
          </w:tcPr>
          <w:p w14:paraId="12DF98DE"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6F84495" w14:textId="77777777" w:rsidR="00711444" w:rsidRPr="004D0DAA" w:rsidRDefault="00711444" w:rsidP="00AA2A4C">
            <w:pPr>
              <w:pStyle w:val="TAC"/>
              <w:rPr>
                <w:lang w:eastAsia="en-US"/>
              </w:rPr>
            </w:pPr>
            <w:r w:rsidRPr="004D0DAA">
              <w:rPr>
                <w:szCs w:val="18"/>
                <w:lang w:eastAsia="en-US"/>
              </w:rPr>
              <w:t>UBS-9</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D6BC9FE"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B30E226" w14:textId="77777777" w:rsidR="00711444" w:rsidRPr="004D0DAA" w:rsidRDefault="00711444" w:rsidP="00AA2A4C">
            <w:pPr>
              <w:pStyle w:val="TAC"/>
              <w:rPr>
                <w:lang w:eastAsia="en-US"/>
              </w:rPr>
            </w:pPr>
            <w:r w:rsidRPr="004D0DAA">
              <w:rPr>
                <w:szCs w:val="18"/>
                <w:lang w:eastAsia="en-US"/>
              </w:rPr>
              <w:t>UBS-9</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D60B395" w14:textId="77777777" w:rsidR="00711444" w:rsidRPr="004D0DAA" w:rsidRDefault="00711444" w:rsidP="00AA2A4C">
            <w:pPr>
              <w:pStyle w:val="TAC"/>
              <w:rPr>
                <w:lang w:eastAsia="en-US"/>
              </w:rPr>
            </w:pPr>
            <w:r w:rsidRPr="004D0DAA">
              <w:rPr>
                <w:szCs w:val="18"/>
                <w:lang w:eastAsia="en-US"/>
              </w:rPr>
              <w:t>UBS-7</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1D6248E" w14:textId="77777777" w:rsidR="00711444" w:rsidRPr="004D0DAA" w:rsidRDefault="00711444" w:rsidP="00AA2A4C">
            <w:pPr>
              <w:pStyle w:val="TAC"/>
              <w:rPr>
                <w:lang w:eastAsia="en-US"/>
              </w:rPr>
            </w:pPr>
            <w:r w:rsidRPr="004D0DAA">
              <w:rPr>
                <w:szCs w:val="18"/>
                <w:lang w:eastAsia="en-US"/>
              </w:rPr>
              <w:t>UBS-7</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F455C17" w14:textId="77777777" w:rsidR="00711444" w:rsidRPr="004D0DAA" w:rsidRDefault="00711444" w:rsidP="00AA2A4C">
            <w:pPr>
              <w:pStyle w:val="TAC"/>
              <w:rPr>
                <w:lang w:eastAsia="en-US"/>
              </w:rPr>
            </w:pPr>
            <w:r w:rsidRPr="004D0DAA">
              <w:rPr>
                <w:szCs w:val="18"/>
                <w:lang w:eastAsia="en-US"/>
              </w:rPr>
              <w:t>UBS-5</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2EAA59C" w14:textId="77777777" w:rsidR="00711444" w:rsidRPr="004D0DAA" w:rsidRDefault="00711444" w:rsidP="00AA2A4C">
            <w:pPr>
              <w:pStyle w:val="TAC"/>
              <w:rPr>
                <w:lang w:eastAsia="en-US"/>
              </w:rPr>
            </w:pPr>
            <w:r w:rsidRPr="004D0DAA">
              <w:rPr>
                <w:szCs w:val="18"/>
                <w:lang w:eastAsia="en-US"/>
              </w:rPr>
              <w:t>UBS-5</w:t>
            </w:r>
          </w:p>
        </w:tc>
      </w:tr>
      <w:tr w:rsidR="00711444" w:rsidRPr="004D0DAA" w14:paraId="13AF41E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D33813F" w14:textId="77777777" w:rsidR="00711444" w:rsidRPr="004D0DAA" w:rsidRDefault="00711444" w:rsidP="00AA2A4C">
            <w:pPr>
              <w:pStyle w:val="TAC"/>
              <w:rPr>
                <w:lang w:eastAsia="en-US"/>
              </w:rPr>
            </w:pPr>
            <w:r w:rsidRPr="004D0DAA">
              <w:rPr>
                <w:szCs w:val="18"/>
                <w:lang w:eastAsia="en-US"/>
              </w:rPr>
              <w:t>MCS-4</w:t>
            </w:r>
          </w:p>
        </w:tc>
        <w:tc>
          <w:tcPr>
            <w:tcW w:w="1134" w:type="dxa"/>
            <w:tcBorders>
              <w:top w:val="single" w:sz="4" w:space="0" w:color="auto"/>
              <w:left w:val="single" w:sz="4" w:space="0" w:color="auto"/>
              <w:bottom w:val="single" w:sz="4" w:space="0" w:color="auto"/>
              <w:right w:val="single" w:sz="4" w:space="0" w:color="auto"/>
            </w:tcBorders>
          </w:tcPr>
          <w:p w14:paraId="1BF2324B"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5802A02" w14:textId="77777777" w:rsidR="00711444" w:rsidRPr="004D0DAA" w:rsidRDefault="00711444" w:rsidP="00AA2A4C">
            <w:pPr>
              <w:pStyle w:val="TAC"/>
              <w:rPr>
                <w:lang w:eastAsia="en-US"/>
              </w:rPr>
            </w:pPr>
            <w:r w:rsidRPr="004D0DAA">
              <w:rPr>
                <w:szCs w:val="18"/>
                <w:lang w:eastAsia="en-US"/>
              </w:rPr>
              <w:t>MCS-4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0D86280"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8477ED2" w14:textId="77777777" w:rsidR="00711444" w:rsidRPr="004D0DAA" w:rsidRDefault="00711444" w:rsidP="00AA2A4C">
            <w:pPr>
              <w:pStyle w:val="TAC"/>
              <w:rPr>
                <w:lang w:eastAsia="en-US"/>
              </w:rPr>
            </w:pPr>
            <w:r w:rsidRPr="004D0DAA">
              <w:rPr>
                <w:szCs w:val="18"/>
                <w:lang w:eastAsia="en-US"/>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9D93294" w14:textId="77777777" w:rsidR="00711444" w:rsidRPr="004D0DAA" w:rsidRDefault="00711444" w:rsidP="00AA2A4C">
            <w:pPr>
              <w:pStyle w:val="TAC"/>
              <w:rPr>
                <w:lang w:eastAsia="en-US"/>
              </w:rPr>
            </w:pPr>
            <w:r w:rsidRPr="004D0DAA">
              <w:rPr>
                <w:szCs w:val="18"/>
                <w:lang w:eastAsia="en-US"/>
              </w:rPr>
              <w:t>MCS-4</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C762E02" w14:textId="77777777" w:rsidR="00711444" w:rsidRPr="004D0DAA" w:rsidRDefault="00711444" w:rsidP="00AA2A4C">
            <w:pPr>
              <w:pStyle w:val="TAC"/>
              <w:rPr>
                <w:lang w:eastAsia="en-US"/>
              </w:rPr>
            </w:pPr>
            <w:r w:rsidRPr="004D0DAA">
              <w:rPr>
                <w:szCs w:val="18"/>
                <w:lang w:eastAsia="en-US"/>
              </w:rPr>
              <w:t>MCS-4</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CCFDF30" w14:textId="77777777" w:rsidR="00711444" w:rsidRPr="004D0DAA" w:rsidRDefault="00711444" w:rsidP="00AA2A4C">
            <w:pPr>
              <w:pStyle w:val="TAC"/>
              <w:rPr>
                <w:lang w:eastAsia="en-US"/>
              </w:rPr>
            </w:pPr>
            <w:r w:rsidRPr="004D0DAA">
              <w:rPr>
                <w:szCs w:val="18"/>
                <w:lang w:eastAsia="en-US"/>
              </w:rPr>
              <w:t>MCS-4</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DB213D2" w14:textId="77777777" w:rsidR="00711444" w:rsidRPr="004D0DAA" w:rsidRDefault="00711444" w:rsidP="00AA2A4C">
            <w:pPr>
              <w:pStyle w:val="TAC"/>
              <w:rPr>
                <w:lang w:eastAsia="en-US"/>
              </w:rPr>
            </w:pPr>
            <w:r w:rsidRPr="004D0DAA">
              <w:rPr>
                <w:szCs w:val="18"/>
                <w:lang w:eastAsia="en-US"/>
              </w:rPr>
              <w:t>MCS-4</w:t>
            </w:r>
          </w:p>
        </w:tc>
      </w:tr>
      <w:tr w:rsidR="00711444" w:rsidRPr="004D0DAA" w14:paraId="2FCBBA17"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457FC987" w14:textId="77777777" w:rsidR="00711444" w:rsidRPr="004D0DAA" w:rsidRDefault="00711444" w:rsidP="00AA2A4C">
            <w:pPr>
              <w:pStyle w:val="TAC"/>
              <w:rPr>
                <w:lang w:eastAsia="en-US"/>
              </w:rPr>
            </w:pPr>
            <w:r w:rsidRPr="004D0DAA">
              <w:rPr>
                <w:szCs w:val="18"/>
                <w:lang w:eastAsia="en-US"/>
              </w:rPr>
              <w:t>MCS-3</w:t>
            </w:r>
          </w:p>
        </w:tc>
        <w:tc>
          <w:tcPr>
            <w:tcW w:w="1134" w:type="dxa"/>
            <w:tcBorders>
              <w:top w:val="single" w:sz="4" w:space="0" w:color="auto"/>
              <w:left w:val="single" w:sz="4" w:space="0" w:color="auto"/>
              <w:bottom w:val="single" w:sz="4" w:space="0" w:color="auto"/>
              <w:right w:val="single" w:sz="4" w:space="0" w:color="auto"/>
            </w:tcBorders>
          </w:tcPr>
          <w:p w14:paraId="526329FE"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14EC8F8" w14:textId="77777777" w:rsidR="00711444" w:rsidRPr="004D0DAA" w:rsidRDefault="00711444" w:rsidP="00AA2A4C">
            <w:pPr>
              <w:pStyle w:val="TAC"/>
              <w:rPr>
                <w:lang w:eastAsia="en-US"/>
              </w:rPr>
            </w:pPr>
            <w:r w:rsidRPr="004D0DAA">
              <w:rPr>
                <w:szCs w:val="18"/>
                <w:lang w:eastAsia="en-US"/>
              </w:rPr>
              <w:t>MCS-3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680A7D1"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0B2A89D" w14:textId="77777777" w:rsidR="00711444" w:rsidRPr="004D0DAA" w:rsidRDefault="00711444" w:rsidP="00AA2A4C">
            <w:pPr>
              <w:pStyle w:val="TAC"/>
              <w:rPr>
                <w:lang w:eastAsia="en-US"/>
              </w:rPr>
            </w:pPr>
            <w:r w:rsidRPr="004D0DAA">
              <w:rPr>
                <w:szCs w:val="18"/>
                <w:lang w:eastAsia="en-US"/>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0FB3E8A" w14:textId="77777777" w:rsidR="00711444" w:rsidRPr="004D0DAA" w:rsidRDefault="00711444" w:rsidP="00AA2A4C">
            <w:pPr>
              <w:pStyle w:val="TAC"/>
              <w:rPr>
                <w:lang w:eastAsia="en-US"/>
              </w:rPr>
            </w:pPr>
            <w:r w:rsidRPr="004D0DAA">
              <w:rPr>
                <w:szCs w:val="18"/>
                <w:lang w:eastAsia="en-US"/>
              </w:rPr>
              <w:t>MCS-3</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19B141E" w14:textId="77777777" w:rsidR="00711444" w:rsidRPr="004D0DAA" w:rsidRDefault="00711444" w:rsidP="00AA2A4C">
            <w:pPr>
              <w:pStyle w:val="TAC"/>
              <w:rPr>
                <w:lang w:eastAsia="en-US"/>
              </w:rPr>
            </w:pPr>
            <w:r w:rsidRPr="004D0DAA">
              <w:rPr>
                <w:szCs w:val="18"/>
                <w:lang w:eastAsia="en-US"/>
              </w:rPr>
              <w:t>MCS-3</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55F9087" w14:textId="77777777" w:rsidR="00711444" w:rsidRPr="004D0DAA" w:rsidRDefault="00711444" w:rsidP="00AA2A4C">
            <w:pPr>
              <w:pStyle w:val="TAC"/>
              <w:rPr>
                <w:lang w:eastAsia="en-US"/>
              </w:rPr>
            </w:pPr>
            <w:r w:rsidRPr="004D0DAA">
              <w:rPr>
                <w:szCs w:val="18"/>
                <w:lang w:eastAsia="en-US"/>
              </w:rPr>
              <w:t>MCS-3</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E384569" w14:textId="77777777" w:rsidR="00711444" w:rsidRPr="004D0DAA" w:rsidRDefault="00711444" w:rsidP="00AA2A4C">
            <w:pPr>
              <w:pStyle w:val="TAC"/>
              <w:rPr>
                <w:lang w:eastAsia="en-US"/>
              </w:rPr>
            </w:pPr>
            <w:r w:rsidRPr="004D0DAA">
              <w:rPr>
                <w:szCs w:val="18"/>
                <w:lang w:eastAsia="en-US"/>
              </w:rPr>
              <w:t>MCS-3</w:t>
            </w:r>
          </w:p>
        </w:tc>
      </w:tr>
      <w:tr w:rsidR="00711444" w:rsidRPr="004D0DAA" w14:paraId="0AB80EA8"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5AEE23E" w14:textId="77777777" w:rsidR="00711444" w:rsidRPr="004D0DAA" w:rsidRDefault="00711444" w:rsidP="00AA2A4C">
            <w:pPr>
              <w:pStyle w:val="TAC"/>
              <w:rPr>
                <w:lang w:eastAsia="en-US"/>
              </w:rPr>
            </w:pPr>
            <w:r w:rsidRPr="004D0DAA">
              <w:rPr>
                <w:szCs w:val="18"/>
                <w:lang w:eastAsia="en-US"/>
              </w:rPr>
              <w:t>MCS-2</w:t>
            </w:r>
          </w:p>
        </w:tc>
        <w:tc>
          <w:tcPr>
            <w:tcW w:w="1134" w:type="dxa"/>
            <w:tcBorders>
              <w:top w:val="single" w:sz="4" w:space="0" w:color="auto"/>
              <w:left w:val="single" w:sz="4" w:space="0" w:color="auto"/>
              <w:bottom w:val="single" w:sz="4" w:space="0" w:color="auto"/>
              <w:right w:val="single" w:sz="4" w:space="0" w:color="auto"/>
            </w:tcBorders>
          </w:tcPr>
          <w:p w14:paraId="112A2EDB"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A54423B" w14:textId="77777777" w:rsidR="00711444" w:rsidRPr="004D0DAA" w:rsidRDefault="00711444" w:rsidP="00AA2A4C">
            <w:pPr>
              <w:pStyle w:val="TAC"/>
              <w:rPr>
                <w:lang w:eastAsia="en-US"/>
              </w:rPr>
            </w:pPr>
            <w:r w:rsidRPr="004D0DAA">
              <w:rPr>
                <w:szCs w:val="18"/>
                <w:lang w:eastAsia="en-US"/>
              </w:rPr>
              <w:t>MCS-2</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D7D8D87"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4AB4172" w14:textId="77777777" w:rsidR="00711444" w:rsidRPr="004D0DAA" w:rsidRDefault="00711444" w:rsidP="00AA2A4C">
            <w:pPr>
              <w:pStyle w:val="TAC"/>
              <w:rPr>
                <w:lang w:eastAsia="en-US"/>
              </w:rPr>
            </w:pPr>
            <w:r w:rsidRPr="004D0DAA">
              <w:rPr>
                <w:szCs w:val="18"/>
                <w:lang w:eastAsia="en-US"/>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8FA7E3D" w14:textId="77777777" w:rsidR="00711444" w:rsidRPr="004D0DAA" w:rsidRDefault="00711444" w:rsidP="00AA2A4C">
            <w:pPr>
              <w:pStyle w:val="TAC"/>
              <w:rPr>
                <w:lang w:eastAsia="en-US"/>
              </w:rPr>
            </w:pPr>
            <w:r w:rsidRPr="004D0DAA">
              <w:rPr>
                <w:szCs w:val="18"/>
                <w:lang w:eastAsia="en-US"/>
              </w:rPr>
              <w:t>MCS-2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CC9E378" w14:textId="77777777" w:rsidR="00711444" w:rsidRPr="004D0DAA" w:rsidRDefault="00711444" w:rsidP="00AA2A4C">
            <w:pPr>
              <w:pStyle w:val="TAC"/>
              <w:rPr>
                <w:lang w:eastAsia="en-US"/>
              </w:rPr>
            </w:pPr>
            <w:r w:rsidRPr="004D0DAA">
              <w:rPr>
                <w:szCs w:val="18"/>
                <w:lang w:eastAsia="en-US"/>
              </w:rPr>
              <w:t>MCS-2</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8284F6F" w14:textId="77777777" w:rsidR="00711444" w:rsidRPr="004D0DAA" w:rsidRDefault="00711444" w:rsidP="00AA2A4C">
            <w:pPr>
              <w:pStyle w:val="TAC"/>
              <w:rPr>
                <w:lang w:eastAsia="en-US"/>
              </w:rPr>
            </w:pPr>
            <w:r w:rsidRPr="004D0DAA">
              <w:rPr>
                <w:szCs w:val="18"/>
                <w:lang w:eastAsia="en-US"/>
              </w:rPr>
              <w:t>MCS-2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D7C0AD3" w14:textId="77777777" w:rsidR="00711444" w:rsidRPr="004D0DAA" w:rsidRDefault="00711444" w:rsidP="00AA2A4C">
            <w:pPr>
              <w:pStyle w:val="TAC"/>
              <w:rPr>
                <w:lang w:eastAsia="en-US"/>
              </w:rPr>
            </w:pPr>
            <w:r w:rsidRPr="004D0DAA">
              <w:rPr>
                <w:szCs w:val="18"/>
                <w:lang w:eastAsia="en-US"/>
              </w:rPr>
              <w:t>MCS-2</w:t>
            </w:r>
          </w:p>
        </w:tc>
      </w:tr>
      <w:tr w:rsidR="00711444" w:rsidRPr="004D0DAA" w14:paraId="21DD4BEB"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216F9E1" w14:textId="77777777" w:rsidR="00711444" w:rsidRPr="004D0DAA" w:rsidRDefault="00711444" w:rsidP="00AA2A4C">
            <w:pPr>
              <w:pStyle w:val="TAC"/>
              <w:rPr>
                <w:lang w:eastAsia="en-US"/>
              </w:rPr>
            </w:pPr>
            <w:r w:rsidRPr="004D0DAA">
              <w:rPr>
                <w:szCs w:val="18"/>
                <w:lang w:eastAsia="en-US"/>
              </w:rPr>
              <w:t>MCS-1</w:t>
            </w:r>
          </w:p>
        </w:tc>
        <w:tc>
          <w:tcPr>
            <w:tcW w:w="1134" w:type="dxa"/>
            <w:tcBorders>
              <w:top w:val="single" w:sz="4" w:space="0" w:color="auto"/>
              <w:left w:val="single" w:sz="4" w:space="0" w:color="auto"/>
              <w:bottom w:val="single" w:sz="4" w:space="0" w:color="auto"/>
              <w:right w:val="single" w:sz="4" w:space="0" w:color="auto"/>
            </w:tcBorders>
          </w:tcPr>
          <w:p w14:paraId="567D0514"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538B007" w14:textId="77777777" w:rsidR="00711444" w:rsidRPr="004D0DAA" w:rsidRDefault="00711444" w:rsidP="00AA2A4C">
            <w:pPr>
              <w:pStyle w:val="TAC"/>
              <w:rPr>
                <w:lang w:eastAsia="en-US"/>
              </w:rPr>
            </w:pPr>
            <w:r w:rsidRPr="004D0DAA">
              <w:rPr>
                <w:szCs w:val="18"/>
                <w:lang w:eastAsia="en-US"/>
              </w:rPr>
              <w:t>MCS-1</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AC5B544"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DC7B86F" w14:textId="77777777" w:rsidR="00711444" w:rsidRPr="004D0DAA" w:rsidRDefault="00711444" w:rsidP="00AA2A4C">
            <w:pPr>
              <w:pStyle w:val="TAC"/>
              <w:rPr>
                <w:lang w:eastAsia="en-US"/>
              </w:rPr>
            </w:pPr>
            <w:r w:rsidRPr="004D0DAA">
              <w:rPr>
                <w:szCs w:val="18"/>
                <w:lang w:eastAsia="en-US"/>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1FB6626" w14:textId="77777777" w:rsidR="00711444" w:rsidRPr="004D0DAA" w:rsidRDefault="00711444" w:rsidP="00AA2A4C">
            <w:pPr>
              <w:pStyle w:val="TAC"/>
              <w:rPr>
                <w:lang w:eastAsia="en-US"/>
              </w:rPr>
            </w:pPr>
            <w:r w:rsidRPr="004D0DAA">
              <w:rPr>
                <w:szCs w:val="18"/>
                <w:lang w:eastAsia="en-US"/>
              </w:rPr>
              <w:t>MCS-1</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48A81E5" w14:textId="77777777" w:rsidR="00711444" w:rsidRPr="004D0DAA" w:rsidRDefault="00711444" w:rsidP="00AA2A4C">
            <w:pPr>
              <w:pStyle w:val="TAC"/>
              <w:rPr>
                <w:lang w:eastAsia="en-US"/>
              </w:rPr>
            </w:pPr>
            <w:r w:rsidRPr="004D0DAA">
              <w:rPr>
                <w:szCs w:val="18"/>
                <w:lang w:eastAsia="en-US"/>
              </w:rPr>
              <w:t>MCS-1</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0A5E99C" w14:textId="77777777" w:rsidR="00711444" w:rsidRPr="004D0DAA" w:rsidRDefault="00711444" w:rsidP="00AA2A4C">
            <w:pPr>
              <w:pStyle w:val="TAC"/>
              <w:rPr>
                <w:lang w:eastAsia="en-US"/>
              </w:rPr>
            </w:pPr>
            <w:r w:rsidRPr="004D0DAA">
              <w:rPr>
                <w:szCs w:val="18"/>
                <w:lang w:eastAsia="en-US"/>
              </w:rPr>
              <w:t>MCS-1</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FFF817" w14:textId="77777777" w:rsidR="00711444" w:rsidRPr="004D0DAA" w:rsidRDefault="00711444" w:rsidP="00AA2A4C">
            <w:pPr>
              <w:pStyle w:val="TAC"/>
              <w:rPr>
                <w:lang w:eastAsia="en-US"/>
              </w:rPr>
            </w:pPr>
            <w:r w:rsidRPr="004D0DAA">
              <w:rPr>
                <w:szCs w:val="18"/>
                <w:lang w:eastAsia="en-US"/>
              </w:rPr>
              <w:t>MCS-1</w:t>
            </w:r>
          </w:p>
        </w:tc>
      </w:tr>
    </w:tbl>
    <w:p w14:paraId="41B64DBD" w14:textId="77777777" w:rsidR="00711444" w:rsidRPr="004D0DAA" w:rsidRDefault="00711444" w:rsidP="00711444"/>
    <w:p w14:paraId="09D11D8F" w14:textId="77777777" w:rsidR="00711444" w:rsidRPr="004D0DAA" w:rsidRDefault="00711444" w:rsidP="00711444">
      <w:pPr>
        <w:pStyle w:val="TH"/>
      </w:pPr>
      <w:r w:rsidRPr="004D0DAA">
        <w:t>Table 8.1.1.7.2.4b: Choice of modulation and coding scheme for retransmissions (initial transmission EGPRS, level changed to EGPRS2-B) without re-segmentation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9"/>
        <w:gridCol w:w="1319"/>
        <w:gridCol w:w="1453"/>
        <w:gridCol w:w="1418"/>
        <w:gridCol w:w="1382"/>
      </w:tblGrid>
      <w:tr w:rsidR="00711444" w:rsidRPr="004D0DAA" w14:paraId="7775C19B"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667BEE2" w14:textId="77777777" w:rsidR="00711444" w:rsidRPr="004D0DAA" w:rsidRDefault="00711444" w:rsidP="00AA2A4C">
            <w:pPr>
              <w:pStyle w:val="TAH"/>
              <w:rPr>
                <w:lang w:eastAsia="en-US"/>
              </w:rPr>
            </w:pPr>
            <w:r w:rsidRPr="004D0DAA">
              <w:rPr>
                <w:lang w:eastAsia="en-US"/>
              </w:rPr>
              <w:t>Scheme used for Initial transmission</w:t>
            </w:r>
          </w:p>
        </w:tc>
        <w:tc>
          <w:tcPr>
            <w:tcW w:w="5572" w:type="dxa"/>
            <w:gridSpan w:val="4"/>
            <w:tcBorders>
              <w:top w:val="single" w:sz="4" w:space="0" w:color="auto"/>
              <w:left w:val="single" w:sz="4" w:space="0" w:color="auto"/>
              <w:bottom w:val="single" w:sz="4" w:space="0" w:color="auto"/>
              <w:right w:val="single" w:sz="4" w:space="0" w:color="auto"/>
            </w:tcBorders>
          </w:tcPr>
          <w:p w14:paraId="4512A5F7" w14:textId="77777777" w:rsidR="00711444" w:rsidRPr="004D0DAA" w:rsidRDefault="00711444" w:rsidP="00AA2A4C">
            <w:pPr>
              <w:pStyle w:val="TAH"/>
              <w:rPr>
                <w:lang w:eastAsia="en-US"/>
              </w:rPr>
            </w:pPr>
            <w:r w:rsidRPr="004D0DAA">
              <w:rPr>
                <w:lang w:eastAsia="en-US"/>
              </w:rPr>
              <w:t>Scheme to use for retransmissions after switching to EGPRS2-B (MCS or UBS)</w:t>
            </w:r>
          </w:p>
        </w:tc>
      </w:tr>
      <w:tr w:rsidR="00711444" w:rsidRPr="004D0DAA" w14:paraId="14EC215B" w14:textId="77777777" w:rsidTr="00AA2A4C">
        <w:trPr>
          <w:trHeight w:val="567"/>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7B913F15" w14:textId="77777777" w:rsidR="00711444" w:rsidRPr="004D0DAA" w:rsidRDefault="00711444" w:rsidP="00AA2A4C">
            <w:pPr>
              <w:rPr>
                <w:szCs w:val="18"/>
              </w:rPr>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E2DF880" w14:textId="77777777" w:rsidR="00711444" w:rsidRPr="004D0DAA" w:rsidRDefault="00711444" w:rsidP="00AA2A4C">
            <w:pPr>
              <w:pStyle w:val="TAC"/>
              <w:rPr>
                <w:lang w:eastAsia="en-US"/>
              </w:rPr>
            </w:pPr>
            <w:r w:rsidRPr="004D0DAA">
              <w:rPr>
                <w:b/>
                <w:szCs w:val="18"/>
                <w:lang w:eastAsia="en-US"/>
              </w:rPr>
              <w:t>MCS-4 Commanded</w:t>
            </w:r>
          </w:p>
        </w:tc>
        <w:tc>
          <w:tcPr>
            <w:tcW w:w="1453" w:type="dxa"/>
            <w:tcBorders>
              <w:top w:val="single" w:sz="4" w:space="0" w:color="auto"/>
              <w:left w:val="single" w:sz="4" w:space="0" w:color="auto"/>
              <w:bottom w:val="single" w:sz="4" w:space="0" w:color="auto"/>
              <w:right w:val="single" w:sz="4" w:space="0" w:color="auto"/>
            </w:tcBorders>
            <w:shd w:val="clear" w:color="auto" w:fill="auto"/>
          </w:tcPr>
          <w:p w14:paraId="14A30152" w14:textId="77777777" w:rsidR="00711444" w:rsidRPr="004D0DAA" w:rsidRDefault="00711444" w:rsidP="00AA2A4C">
            <w:pPr>
              <w:pStyle w:val="TAC"/>
              <w:rPr>
                <w:lang w:eastAsia="en-US"/>
              </w:rPr>
            </w:pPr>
            <w:r w:rsidRPr="004D0DAA">
              <w:rPr>
                <w:b/>
                <w:szCs w:val="18"/>
                <w:lang w:eastAsia="en-US"/>
              </w:rPr>
              <w:t>MCS-3 Commanded</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C7670D1" w14:textId="77777777" w:rsidR="00711444" w:rsidRPr="004D0DAA" w:rsidRDefault="00711444" w:rsidP="00AA2A4C">
            <w:pPr>
              <w:pStyle w:val="TAC"/>
              <w:rPr>
                <w:lang w:eastAsia="en-US"/>
              </w:rPr>
            </w:pPr>
            <w:r w:rsidRPr="004D0DAA">
              <w:rPr>
                <w:b/>
                <w:szCs w:val="18"/>
                <w:lang w:eastAsia="en-US"/>
              </w:rPr>
              <w:t>MCS-2 Commanded</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tcPr>
          <w:p w14:paraId="76D2ED72" w14:textId="77777777" w:rsidR="00711444" w:rsidRPr="004D0DAA" w:rsidRDefault="00711444" w:rsidP="00AA2A4C">
            <w:pPr>
              <w:pStyle w:val="TAC"/>
              <w:rPr>
                <w:lang w:eastAsia="en-US"/>
              </w:rPr>
            </w:pPr>
            <w:r w:rsidRPr="004D0DAA">
              <w:rPr>
                <w:b/>
                <w:szCs w:val="18"/>
                <w:lang w:eastAsia="en-US"/>
              </w:rPr>
              <w:t>MCS-1 Commanded</w:t>
            </w:r>
          </w:p>
        </w:tc>
      </w:tr>
      <w:tr w:rsidR="00711444" w:rsidRPr="004D0DAA" w14:paraId="344DA026"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41C86C1C" w14:textId="77777777" w:rsidR="00711444" w:rsidRPr="004D0DAA" w:rsidRDefault="00711444" w:rsidP="00AA2A4C">
            <w:pPr>
              <w:pStyle w:val="TAC"/>
              <w:rPr>
                <w:lang w:eastAsia="en-US"/>
              </w:rPr>
            </w:pPr>
            <w:r w:rsidRPr="004D0DAA">
              <w:rPr>
                <w:szCs w:val="18"/>
                <w:lang w:eastAsia="en-US"/>
              </w:rPr>
              <w:t>MCS-9</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0E85606" w14:textId="77777777" w:rsidR="00711444" w:rsidRPr="004D0DAA" w:rsidRDefault="00711444" w:rsidP="00AA2A4C">
            <w:pPr>
              <w:pStyle w:val="TAC"/>
              <w:rPr>
                <w:lang w:eastAsia="en-US"/>
              </w:rPr>
            </w:pPr>
            <w:r w:rsidRPr="004D0DAA">
              <w:rPr>
                <w:szCs w:val="18"/>
                <w:lang w:eastAsia="en-US"/>
              </w:rPr>
              <w:t>UBS-6</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C38F494" w14:textId="77777777" w:rsidR="00711444" w:rsidRPr="004D0DAA" w:rsidRDefault="00711444" w:rsidP="00AA2A4C">
            <w:pPr>
              <w:pStyle w:val="TAC"/>
              <w:rPr>
                <w:lang w:eastAsia="en-US"/>
              </w:rPr>
            </w:pPr>
            <w:r w:rsidRPr="004D0DAA">
              <w:rPr>
                <w:szCs w:val="18"/>
                <w:lang w:eastAsia="en-US"/>
              </w:rPr>
              <w:t>UBS-6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00BA7C9" w14:textId="77777777" w:rsidR="00711444" w:rsidRPr="004D0DAA" w:rsidRDefault="00711444" w:rsidP="00AA2A4C">
            <w:pPr>
              <w:pStyle w:val="TAC"/>
              <w:rPr>
                <w:lang w:eastAsia="en-US"/>
              </w:rPr>
            </w:pPr>
            <w:r w:rsidRPr="004D0DAA">
              <w:rPr>
                <w:szCs w:val="18"/>
                <w:lang w:eastAsia="en-US"/>
              </w:rPr>
              <w:t>UBS-6</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A309193" w14:textId="77777777" w:rsidR="00711444" w:rsidRPr="004D0DAA" w:rsidRDefault="00711444" w:rsidP="00AA2A4C">
            <w:pPr>
              <w:pStyle w:val="TAC"/>
              <w:rPr>
                <w:lang w:eastAsia="en-US"/>
              </w:rPr>
            </w:pPr>
            <w:r w:rsidRPr="004D0DAA">
              <w:rPr>
                <w:szCs w:val="18"/>
                <w:lang w:eastAsia="en-US"/>
              </w:rPr>
              <w:t>UBS-6</w:t>
            </w:r>
          </w:p>
        </w:tc>
      </w:tr>
      <w:tr w:rsidR="00711444" w:rsidRPr="004D0DAA" w14:paraId="00A0A0EC"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2105B370" w14:textId="77777777" w:rsidR="00711444" w:rsidRPr="004D0DAA" w:rsidRDefault="00711444" w:rsidP="00AA2A4C">
            <w:pPr>
              <w:pStyle w:val="TAC"/>
              <w:rPr>
                <w:lang w:eastAsia="en-US"/>
              </w:rPr>
            </w:pPr>
            <w:r w:rsidRPr="004D0DAA">
              <w:rPr>
                <w:szCs w:val="18"/>
                <w:lang w:eastAsia="en-US"/>
              </w:rPr>
              <w:t>MCS-8</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C19D29" w14:textId="77777777" w:rsidR="00711444" w:rsidRPr="004D0DAA" w:rsidRDefault="00711444" w:rsidP="00AA2A4C">
            <w:pPr>
              <w:pStyle w:val="TAC"/>
              <w:rPr>
                <w:lang w:eastAsia="en-US"/>
              </w:rPr>
            </w:pPr>
            <w:r w:rsidRPr="004D0DAA">
              <w:rPr>
                <w:szCs w:val="18"/>
                <w:lang w:eastAsia="en-US"/>
              </w:rPr>
              <w:t>UBS-6</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8B7270F" w14:textId="77777777" w:rsidR="00711444" w:rsidRPr="004D0DAA" w:rsidRDefault="00711444" w:rsidP="00AA2A4C">
            <w:pPr>
              <w:pStyle w:val="TAC"/>
              <w:rPr>
                <w:lang w:eastAsia="en-US"/>
              </w:rPr>
            </w:pPr>
            <w:r w:rsidRPr="004D0DAA">
              <w:rPr>
                <w:szCs w:val="18"/>
                <w:lang w:eastAsia="en-US"/>
              </w:rPr>
              <w:t>UBS-6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56212FC" w14:textId="77777777" w:rsidR="00711444" w:rsidRPr="004D0DAA" w:rsidRDefault="00711444" w:rsidP="00AA2A4C">
            <w:pPr>
              <w:pStyle w:val="TAC"/>
              <w:rPr>
                <w:lang w:eastAsia="en-US"/>
              </w:rPr>
            </w:pPr>
            <w:r w:rsidRPr="004D0DAA">
              <w:rPr>
                <w:szCs w:val="18"/>
                <w:lang w:eastAsia="en-US"/>
              </w:rPr>
              <w:t>UBS-6</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7F31A7" w14:textId="77777777" w:rsidR="00711444" w:rsidRPr="004D0DAA" w:rsidRDefault="00711444" w:rsidP="00AA2A4C">
            <w:pPr>
              <w:pStyle w:val="TAC"/>
              <w:rPr>
                <w:lang w:eastAsia="en-US"/>
              </w:rPr>
            </w:pPr>
            <w:r w:rsidRPr="004D0DAA">
              <w:rPr>
                <w:szCs w:val="18"/>
                <w:lang w:eastAsia="en-US"/>
              </w:rPr>
              <w:t>UBS-6</w:t>
            </w:r>
          </w:p>
        </w:tc>
      </w:tr>
      <w:tr w:rsidR="00711444" w:rsidRPr="004D0DAA" w14:paraId="79AD070D"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2D4A3BA0" w14:textId="77777777" w:rsidR="00711444" w:rsidRPr="004D0DAA" w:rsidRDefault="00711444" w:rsidP="00AA2A4C">
            <w:pPr>
              <w:pStyle w:val="TAC"/>
              <w:rPr>
                <w:lang w:eastAsia="en-US"/>
              </w:rPr>
            </w:pPr>
            <w:r w:rsidRPr="004D0DAA">
              <w:rPr>
                <w:szCs w:val="18"/>
                <w:lang w:eastAsia="en-US"/>
              </w:rPr>
              <w:t>MCS-7</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3DE4451" w14:textId="77777777" w:rsidR="00711444" w:rsidRPr="004D0DAA" w:rsidRDefault="00711444" w:rsidP="00AA2A4C">
            <w:pPr>
              <w:pStyle w:val="TAC"/>
              <w:rPr>
                <w:lang w:eastAsia="en-US"/>
              </w:rPr>
            </w:pPr>
            <w:r w:rsidRPr="004D0DAA">
              <w:rPr>
                <w:szCs w:val="18"/>
                <w:lang w:eastAsia="en-US"/>
              </w:rPr>
              <w:t>UBS-5</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0EF9893" w14:textId="77777777" w:rsidR="00711444" w:rsidRPr="004D0DAA" w:rsidRDefault="00711444" w:rsidP="00AA2A4C">
            <w:pPr>
              <w:pStyle w:val="TAC"/>
              <w:rPr>
                <w:lang w:eastAsia="en-US"/>
              </w:rPr>
            </w:pPr>
            <w:r w:rsidRPr="004D0DAA">
              <w:rPr>
                <w:szCs w:val="18"/>
                <w:lang w:eastAsia="en-US"/>
              </w:rPr>
              <w:t>UBS-5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2BD29FE" w14:textId="77777777" w:rsidR="00711444" w:rsidRPr="004D0DAA" w:rsidRDefault="00711444" w:rsidP="00AA2A4C">
            <w:pPr>
              <w:pStyle w:val="TAC"/>
              <w:rPr>
                <w:lang w:eastAsia="en-US"/>
              </w:rPr>
            </w:pPr>
            <w:r w:rsidRPr="004D0DAA">
              <w:rPr>
                <w:szCs w:val="18"/>
                <w:lang w:eastAsia="en-US"/>
              </w:rPr>
              <w:t>UBS-5</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E00A453" w14:textId="77777777" w:rsidR="00711444" w:rsidRPr="004D0DAA" w:rsidRDefault="00711444" w:rsidP="00AA2A4C">
            <w:pPr>
              <w:pStyle w:val="TAC"/>
              <w:rPr>
                <w:lang w:eastAsia="en-US"/>
              </w:rPr>
            </w:pPr>
            <w:r w:rsidRPr="004D0DAA">
              <w:rPr>
                <w:szCs w:val="18"/>
                <w:lang w:eastAsia="en-US"/>
              </w:rPr>
              <w:t>UBS-5</w:t>
            </w:r>
          </w:p>
        </w:tc>
      </w:tr>
      <w:tr w:rsidR="00711444" w:rsidRPr="004D0DAA" w14:paraId="09C7D52D"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7DF46425" w14:textId="77777777" w:rsidR="00711444" w:rsidRPr="004D0DAA" w:rsidRDefault="00711444" w:rsidP="00AA2A4C">
            <w:pPr>
              <w:pStyle w:val="TAC"/>
              <w:rPr>
                <w:lang w:eastAsia="en-US"/>
              </w:rPr>
            </w:pPr>
            <w:r w:rsidRPr="004D0DAA">
              <w:rPr>
                <w:szCs w:val="18"/>
                <w:lang w:eastAsia="en-US"/>
              </w:rPr>
              <w:t>MCS-6</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3B2EB56" w14:textId="77777777" w:rsidR="00711444" w:rsidRPr="004D0DAA" w:rsidRDefault="00711444" w:rsidP="00AA2A4C">
            <w:pPr>
              <w:pStyle w:val="TAC"/>
              <w:rPr>
                <w:lang w:eastAsia="en-US"/>
              </w:rPr>
            </w:pPr>
            <w:r w:rsidRPr="004D0DAA">
              <w:rPr>
                <w:szCs w:val="18"/>
                <w:lang w:eastAsia="en-US"/>
              </w:rPr>
              <w:t>UBS-6</w:t>
            </w:r>
            <w:r w:rsidRPr="004D0DAA">
              <w:rPr>
                <w:szCs w:val="18"/>
                <w:lang w:eastAsia="en-US"/>
              </w:rPr>
              <w:tab/>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1FAFA84" w14:textId="77777777" w:rsidR="00711444" w:rsidRPr="004D0DAA" w:rsidRDefault="00711444" w:rsidP="00AA2A4C">
            <w:pPr>
              <w:pStyle w:val="TAC"/>
              <w:rPr>
                <w:lang w:eastAsia="en-US"/>
              </w:rPr>
            </w:pPr>
            <w:r w:rsidRPr="004D0DAA">
              <w:rPr>
                <w:szCs w:val="18"/>
                <w:lang w:eastAsia="en-US"/>
              </w:rPr>
              <w:t>UBS-6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4695D3D" w14:textId="77777777" w:rsidR="00711444" w:rsidRPr="004D0DAA" w:rsidRDefault="00711444" w:rsidP="00AA2A4C">
            <w:pPr>
              <w:pStyle w:val="TAC"/>
              <w:rPr>
                <w:lang w:eastAsia="en-US"/>
              </w:rPr>
            </w:pPr>
            <w:r w:rsidRPr="004D0DAA">
              <w:rPr>
                <w:szCs w:val="18"/>
                <w:lang w:eastAsia="en-US"/>
              </w:rPr>
              <w:t>UBS-6</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92ACB58" w14:textId="77777777" w:rsidR="00711444" w:rsidRPr="004D0DAA" w:rsidRDefault="00711444" w:rsidP="00AA2A4C">
            <w:pPr>
              <w:pStyle w:val="TAC"/>
              <w:rPr>
                <w:lang w:eastAsia="en-US"/>
              </w:rPr>
            </w:pPr>
            <w:r w:rsidRPr="004D0DAA">
              <w:rPr>
                <w:szCs w:val="18"/>
                <w:lang w:eastAsia="en-US"/>
              </w:rPr>
              <w:t>UBS-6</w:t>
            </w:r>
          </w:p>
        </w:tc>
      </w:tr>
      <w:tr w:rsidR="00711444" w:rsidRPr="004D0DAA" w14:paraId="7DB1F7B4"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5249C988" w14:textId="77777777" w:rsidR="00711444" w:rsidRPr="004D0DAA" w:rsidRDefault="00711444" w:rsidP="00AA2A4C">
            <w:pPr>
              <w:pStyle w:val="TAC"/>
              <w:rPr>
                <w:lang w:eastAsia="en-US"/>
              </w:rPr>
            </w:pPr>
            <w:r w:rsidRPr="004D0DAA">
              <w:rPr>
                <w:szCs w:val="18"/>
                <w:lang w:eastAsia="en-US"/>
              </w:rPr>
              <w:t>MCS-5</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3C54A5C" w14:textId="77777777" w:rsidR="00711444" w:rsidRPr="004D0DAA" w:rsidRDefault="00711444" w:rsidP="00AA2A4C">
            <w:pPr>
              <w:pStyle w:val="TAC"/>
              <w:rPr>
                <w:lang w:eastAsia="en-US"/>
              </w:rPr>
            </w:pPr>
            <w:r w:rsidRPr="004D0DAA">
              <w:rPr>
                <w:szCs w:val="18"/>
                <w:lang w:eastAsia="en-US"/>
              </w:rPr>
              <w:t>UBS-5</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2C29119" w14:textId="77777777" w:rsidR="00711444" w:rsidRPr="004D0DAA" w:rsidRDefault="00711444" w:rsidP="00AA2A4C">
            <w:pPr>
              <w:pStyle w:val="TAC"/>
              <w:rPr>
                <w:lang w:eastAsia="en-US"/>
              </w:rPr>
            </w:pPr>
            <w:r w:rsidRPr="004D0DAA">
              <w:rPr>
                <w:szCs w:val="18"/>
                <w:lang w:eastAsia="en-US"/>
              </w:rPr>
              <w:t>UBS-5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D4558A8" w14:textId="77777777" w:rsidR="00711444" w:rsidRPr="004D0DAA" w:rsidRDefault="00711444" w:rsidP="00AA2A4C">
            <w:pPr>
              <w:pStyle w:val="TAC"/>
              <w:rPr>
                <w:lang w:eastAsia="en-US"/>
              </w:rPr>
            </w:pPr>
            <w:r w:rsidRPr="004D0DAA">
              <w:rPr>
                <w:szCs w:val="18"/>
                <w:lang w:eastAsia="en-US"/>
              </w:rPr>
              <w:t>UBS-5</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866E026" w14:textId="77777777" w:rsidR="00711444" w:rsidRPr="004D0DAA" w:rsidRDefault="00711444" w:rsidP="00AA2A4C">
            <w:pPr>
              <w:pStyle w:val="TAC"/>
              <w:rPr>
                <w:lang w:eastAsia="en-US"/>
              </w:rPr>
            </w:pPr>
            <w:r w:rsidRPr="004D0DAA">
              <w:rPr>
                <w:szCs w:val="18"/>
                <w:lang w:eastAsia="en-US"/>
              </w:rPr>
              <w:t>UBS-5</w:t>
            </w:r>
          </w:p>
        </w:tc>
      </w:tr>
      <w:tr w:rsidR="00711444" w:rsidRPr="004D0DAA" w14:paraId="590FCB98"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2F78B5CB" w14:textId="77777777" w:rsidR="00711444" w:rsidRPr="004D0DAA" w:rsidRDefault="00711444" w:rsidP="00AA2A4C">
            <w:pPr>
              <w:pStyle w:val="TAC"/>
              <w:rPr>
                <w:lang w:eastAsia="en-US"/>
              </w:rPr>
            </w:pPr>
            <w:r w:rsidRPr="004D0DAA">
              <w:rPr>
                <w:szCs w:val="18"/>
                <w:lang w:eastAsia="en-US"/>
              </w:rPr>
              <w:t>MCS-4</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4E2FAE5" w14:textId="77777777" w:rsidR="00711444" w:rsidRPr="004D0DAA" w:rsidRDefault="00711444" w:rsidP="00AA2A4C">
            <w:pPr>
              <w:pStyle w:val="TAC"/>
              <w:rPr>
                <w:lang w:eastAsia="en-US"/>
              </w:rPr>
            </w:pPr>
            <w:r w:rsidRPr="004D0DAA">
              <w:rPr>
                <w:szCs w:val="18"/>
                <w:lang w:eastAsia="en-US"/>
              </w:rPr>
              <w:t>MCS-4</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2C00E57" w14:textId="77777777" w:rsidR="00711444" w:rsidRPr="004D0DAA" w:rsidRDefault="00711444" w:rsidP="00AA2A4C">
            <w:pPr>
              <w:pStyle w:val="TAC"/>
              <w:rPr>
                <w:lang w:eastAsia="en-US"/>
              </w:rPr>
            </w:pPr>
            <w:r w:rsidRPr="004D0DAA">
              <w:rPr>
                <w:szCs w:val="18"/>
                <w:lang w:eastAsia="en-US"/>
              </w:rPr>
              <w:t>MCS-4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CF2EFB5" w14:textId="77777777" w:rsidR="00711444" w:rsidRPr="004D0DAA" w:rsidRDefault="00711444" w:rsidP="00AA2A4C">
            <w:pPr>
              <w:pStyle w:val="TAC"/>
              <w:rPr>
                <w:lang w:eastAsia="en-US"/>
              </w:rPr>
            </w:pPr>
            <w:r w:rsidRPr="004D0DAA">
              <w:rPr>
                <w:szCs w:val="18"/>
                <w:lang w:eastAsia="en-US"/>
              </w:rPr>
              <w:t>MCS-4</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EE2ACE5" w14:textId="77777777" w:rsidR="00711444" w:rsidRPr="004D0DAA" w:rsidRDefault="00711444" w:rsidP="00AA2A4C">
            <w:pPr>
              <w:pStyle w:val="TAC"/>
              <w:rPr>
                <w:lang w:eastAsia="en-US"/>
              </w:rPr>
            </w:pPr>
            <w:r w:rsidRPr="004D0DAA">
              <w:rPr>
                <w:szCs w:val="18"/>
                <w:lang w:eastAsia="en-US"/>
              </w:rPr>
              <w:t>MCS-4</w:t>
            </w:r>
          </w:p>
        </w:tc>
      </w:tr>
      <w:tr w:rsidR="00711444" w:rsidRPr="004D0DAA" w14:paraId="252D6663"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4E02708B" w14:textId="77777777" w:rsidR="00711444" w:rsidRPr="004D0DAA" w:rsidRDefault="00711444" w:rsidP="00AA2A4C">
            <w:pPr>
              <w:pStyle w:val="TAC"/>
              <w:rPr>
                <w:lang w:eastAsia="en-US"/>
              </w:rPr>
            </w:pPr>
            <w:r w:rsidRPr="004D0DAA">
              <w:rPr>
                <w:szCs w:val="18"/>
                <w:lang w:eastAsia="en-US"/>
              </w:rPr>
              <w:t>MCS-3</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A454AB" w14:textId="77777777" w:rsidR="00711444" w:rsidRPr="004D0DAA" w:rsidRDefault="00711444" w:rsidP="00AA2A4C">
            <w:pPr>
              <w:pStyle w:val="TAC"/>
              <w:rPr>
                <w:lang w:eastAsia="en-US"/>
              </w:rPr>
            </w:pPr>
            <w:r w:rsidRPr="004D0DAA">
              <w:rPr>
                <w:szCs w:val="18"/>
                <w:lang w:eastAsia="en-US"/>
              </w:rPr>
              <w:t>MCS-3</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1510B9A" w14:textId="77777777" w:rsidR="00711444" w:rsidRPr="004D0DAA" w:rsidRDefault="00711444" w:rsidP="00AA2A4C">
            <w:pPr>
              <w:pStyle w:val="TAC"/>
              <w:rPr>
                <w:lang w:eastAsia="en-US"/>
              </w:rPr>
            </w:pPr>
            <w:r w:rsidRPr="004D0DAA">
              <w:rPr>
                <w:szCs w:val="18"/>
                <w:lang w:eastAsia="en-US"/>
              </w:rPr>
              <w:t>MCS-3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D36C080" w14:textId="77777777" w:rsidR="00711444" w:rsidRPr="004D0DAA" w:rsidRDefault="00711444" w:rsidP="00AA2A4C">
            <w:pPr>
              <w:pStyle w:val="TAC"/>
              <w:rPr>
                <w:lang w:eastAsia="en-US"/>
              </w:rPr>
            </w:pPr>
            <w:r w:rsidRPr="004D0DAA">
              <w:rPr>
                <w:szCs w:val="18"/>
                <w:lang w:eastAsia="en-US"/>
              </w:rPr>
              <w:t>MCS-3</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883D91F" w14:textId="77777777" w:rsidR="00711444" w:rsidRPr="004D0DAA" w:rsidRDefault="00711444" w:rsidP="00AA2A4C">
            <w:pPr>
              <w:pStyle w:val="TAC"/>
              <w:rPr>
                <w:lang w:eastAsia="en-US"/>
              </w:rPr>
            </w:pPr>
            <w:r w:rsidRPr="004D0DAA">
              <w:rPr>
                <w:szCs w:val="18"/>
                <w:lang w:eastAsia="en-US"/>
              </w:rPr>
              <w:t>MCS-3</w:t>
            </w:r>
          </w:p>
        </w:tc>
      </w:tr>
      <w:tr w:rsidR="00711444" w:rsidRPr="004D0DAA" w14:paraId="5ADE8479"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59BD9B8F" w14:textId="77777777" w:rsidR="00711444" w:rsidRPr="004D0DAA" w:rsidRDefault="00711444" w:rsidP="00AA2A4C">
            <w:pPr>
              <w:pStyle w:val="TAC"/>
              <w:rPr>
                <w:lang w:eastAsia="en-US"/>
              </w:rPr>
            </w:pPr>
            <w:r w:rsidRPr="004D0DAA">
              <w:rPr>
                <w:szCs w:val="18"/>
                <w:lang w:eastAsia="en-US"/>
              </w:rPr>
              <w:t>MCS-2</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A05B49C" w14:textId="77777777" w:rsidR="00711444" w:rsidRPr="004D0DAA" w:rsidRDefault="00711444" w:rsidP="00AA2A4C">
            <w:pPr>
              <w:pStyle w:val="TAC"/>
              <w:rPr>
                <w:lang w:eastAsia="en-US"/>
              </w:rPr>
            </w:pPr>
            <w:r w:rsidRPr="004D0DAA">
              <w:rPr>
                <w:szCs w:val="18"/>
                <w:lang w:eastAsia="en-US"/>
              </w:rPr>
              <w:t>MCS-2</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EEA196" w14:textId="77777777" w:rsidR="00711444" w:rsidRPr="004D0DAA" w:rsidRDefault="00711444" w:rsidP="00AA2A4C">
            <w:pPr>
              <w:pStyle w:val="TAC"/>
              <w:rPr>
                <w:lang w:eastAsia="en-US"/>
              </w:rPr>
            </w:pPr>
            <w:r w:rsidRPr="004D0DAA">
              <w:rPr>
                <w:szCs w:val="18"/>
                <w:lang w:eastAsia="en-US"/>
              </w:rPr>
              <w:t>MCS-2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8B9B3F7" w14:textId="77777777" w:rsidR="00711444" w:rsidRPr="004D0DAA" w:rsidRDefault="00711444" w:rsidP="00AA2A4C">
            <w:pPr>
              <w:pStyle w:val="TAC"/>
              <w:rPr>
                <w:lang w:eastAsia="en-US"/>
              </w:rPr>
            </w:pPr>
            <w:r w:rsidRPr="004D0DAA">
              <w:rPr>
                <w:szCs w:val="18"/>
                <w:lang w:eastAsia="en-US"/>
              </w:rPr>
              <w:t>MCS-2</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739AE3F" w14:textId="77777777" w:rsidR="00711444" w:rsidRPr="004D0DAA" w:rsidRDefault="00711444" w:rsidP="00AA2A4C">
            <w:pPr>
              <w:pStyle w:val="TAC"/>
              <w:rPr>
                <w:lang w:eastAsia="en-US"/>
              </w:rPr>
            </w:pPr>
            <w:r w:rsidRPr="004D0DAA">
              <w:rPr>
                <w:szCs w:val="18"/>
                <w:lang w:eastAsia="en-US"/>
              </w:rPr>
              <w:t>MCS-2</w:t>
            </w:r>
          </w:p>
        </w:tc>
      </w:tr>
      <w:tr w:rsidR="00711444" w:rsidRPr="004D0DAA" w14:paraId="76D44221" w14:textId="77777777" w:rsidTr="00AA2A4C">
        <w:trPr>
          <w:jc w:val="center"/>
        </w:trPr>
        <w:tc>
          <w:tcPr>
            <w:tcW w:w="1729" w:type="dxa"/>
            <w:tcBorders>
              <w:top w:val="single" w:sz="4" w:space="0" w:color="auto"/>
              <w:left w:val="single" w:sz="4" w:space="0" w:color="auto"/>
              <w:bottom w:val="single" w:sz="4" w:space="0" w:color="auto"/>
              <w:right w:val="single" w:sz="4" w:space="0" w:color="auto"/>
            </w:tcBorders>
            <w:shd w:val="clear" w:color="auto" w:fill="auto"/>
          </w:tcPr>
          <w:p w14:paraId="258CEAC7" w14:textId="77777777" w:rsidR="00711444" w:rsidRPr="004D0DAA" w:rsidRDefault="00711444" w:rsidP="00AA2A4C">
            <w:pPr>
              <w:pStyle w:val="TAC"/>
              <w:rPr>
                <w:lang w:eastAsia="en-US"/>
              </w:rPr>
            </w:pPr>
            <w:r w:rsidRPr="004D0DAA">
              <w:rPr>
                <w:szCs w:val="18"/>
                <w:lang w:eastAsia="en-US"/>
              </w:rPr>
              <w:t>MCS-1</w:t>
            </w:r>
          </w:p>
        </w:tc>
        <w:tc>
          <w:tcPr>
            <w:tcW w:w="131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A179F73" w14:textId="77777777" w:rsidR="00711444" w:rsidRPr="004D0DAA" w:rsidRDefault="00711444" w:rsidP="00AA2A4C">
            <w:pPr>
              <w:pStyle w:val="TAC"/>
              <w:rPr>
                <w:lang w:eastAsia="en-US"/>
              </w:rPr>
            </w:pPr>
            <w:r w:rsidRPr="004D0DAA">
              <w:rPr>
                <w:szCs w:val="18"/>
                <w:lang w:eastAsia="en-US"/>
              </w:rPr>
              <w:t>MCS-1</w:t>
            </w:r>
          </w:p>
        </w:tc>
        <w:tc>
          <w:tcPr>
            <w:tcW w:w="145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74CB95F" w14:textId="77777777" w:rsidR="00711444" w:rsidRPr="004D0DAA" w:rsidRDefault="00711444" w:rsidP="00AA2A4C">
            <w:pPr>
              <w:pStyle w:val="TAC"/>
              <w:rPr>
                <w:lang w:eastAsia="en-US"/>
              </w:rPr>
            </w:pPr>
            <w:r w:rsidRPr="004D0DAA">
              <w:rPr>
                <w:szCs w:val="18"/>
                <w:lang w:eastAsia="en-US"/>
              </w:rPr>
              <w:t>MCS-1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5704D01" w14:textId="77777777" w:rsidR="00711444" w:rsidRPr="004D0DAA" w:rsidRDefault="00711444" w:rsidP="00AA2A4C">
            <w:pPr>
              <w:pStyle w:val="TAC"/>
              <w:rPr>
                <w:lang w:eastAsia="en-US"/>
              </w:rPr>
            </w:pPr>
            <w:r w:rsidRPr="004D0DAA">
              <w:rPr>
                <w:szCs w:val="18"/>
                <w:lang w:eastAsia="en-US"/>
              </w:rPr>
              <w:t>MCS-1</w:t>
            </w:r>
          </w:p>
        </w:tc>
        <w:tc>
          <w:tcPr>
            <w:tcW w:w="138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046CA86" w14:textId="77777777" w:rsidR="00711444" w:rsidRPr="004D0DAA" w:rsidRDefault="00711444" w:rsidP="00AA2A4C">
            <w:pPr>
              <w:pStyle w:val="TAC"/>
              <w:rPr>
                <w:lang w:eastAsia="en-US"/>
              </w:rPr>
            </w:pPr>
            <w:r w:rsidRPr="004D0DAA">
              <w:rPr>
                <w:szCs w:val="18"/>
                <w:lang w:eastAsia="en-US"/>
              </w:rPr>
              <w:t>MCS-1</w:t>
            </w:r>
          </w:p>
        </w:tc>
      </w:tr>
    </w:tbl>
    <w:p w14:paraId="47F9E8D2" w14:textId="77777777" w:rsidR="00711444" w:rsidRPr="004D0DAA" w:rsidRDefault="00711444" w:rsidP="00711444"/>
    <w:p w14:paraId="59658B71" w14:textId="77777777" w:rsidR="00711444" w:rsidRPr="004D0DAA" w:rsidRDefault="00711444" w:rsidP="00711444">
      <w:r w:rsidRPr="004D0DAA">
        <w:t>The modulation and coding scheme to be used for retransmissions in case of a transition from EGPRS2-A (respectively EGPRS2-B) to EGPRS is shown in Tables 8.1.1.7.2.5 and 8.1.1.7.2.6 (respectively Tables 8.1.1.7.2.7 and 8.1.1.7.2.8) below.</w:t>
      </w:r>
    </w:p>
    <w:p w14:paraId="27A34F03" w14:textId="77777777" w:rsidR="00711444" w:rsidRPr="004D0DAA" w:rsidRDefault="00711444" w:rsidP="00711444">
      <w:pPr>
        <w:pStyle w:val="TH"/>
      </w:pPr>
      <w:r w:rsidRPr="004D0DAA">
        <w:lastRenderedPageBreak/>
        <w:t>Table 8.1.1.7.2.5: Choice of modulation and coding scheme for retransmissions (initial transmission EGPRS2-A, level changed to EGPRS) with re-segmentation</w:t>
      </w:r>
    </w:p>
    <w:tbl>
      <w:tblPr>
        <w:tblW w:w="893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4"/>
        <w:gridCol w:w="1105"/>
        <w:gridCol w:w="1134"/>
        <w:gridCol w:w="1134"/>
        <w:gridCol w:w="993"/>
        <w:gridCol w:w="1134"/>
        <w:gridCol w:w="992"/>
        <w:gridCol w:w="1134"/>
      </w:tblGrid>
      <w:tr w:rsidR="00711444" w:rsidRPr="004D0DAA" w14:paraId="56C58651"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F1ADB37" w14:textId="77777777" w:rsidR="00711444" w:rsidRPr="004D0DAA" w:rsidRDefault="00711444" w:rsidP="00AA2A4C">
            <w:pPr>
              <w:pStyle w:val="TAH"/>
              <w:rPr>
                <w:lang w:eastAsia="en-US"/>
              </w:rPr>
            </w:pPr>
            <w:r w:rsidRPr="004D0DAA">
              <w:rPr>
                <w:lang w:eastAsia="en-US"/>
              </w:rPr>
              <w:t>Scheme used for Initial transmission</w:t>
            </w:r>
          </w:p>
        </w:tc>
        <w:tc>
          <w:tcPr>
            <w:tcW w:w="7626" w:type="dxa"/>
            <w:gridSpan w:val="7"/>
            <w:tcBorders>
              <w:top w:val="single" w:sz="4" w:space="0" w:color="auto"/>
              <w:left w:val="single" w:sz="4" w:space="0" w:color="auto"/>
              <w:bottom w:val="single" w:sz="4" w:space="0" w:color="auto"/>
              <w:right w:val="single" w:sz="4" w:space="0" w:color="auto"/>
            </w:tcBorders>
          </w:tcPr>
          <w:p w14:paraId="04589E82" w14:textId="77777777" w:rsidR="00711444" w:rsidRPr="004D0DAA" w:rsidRDefault="00711444" w:rsidP="00AA2A4C">
            <w:pPr>
              <w:pStyle w:val="TAH"/>
              <w:rPr>
                <w:lang w:eastAsia="en-US"/>
              </w:rPr>
            </w:pPr>
            <w:r w:rsidRPr="004D0DAA">
              <w:rPr>
                <w:lang w:eastAsia="en-US"/>
              </w:rPr>
              <w:t>Scheme to use for retransmissions after switching to EGPRS (MCS)</w:t>
            </w:r>
          </w:p>
        </w:tc>
      </w:tr>
      <w:tr w:rsidR="00711444" w:rsidRPr="004D0DAA" w14:paraId="71DA3570" w14:textId="77777777" w:rsidTr="00AA2A4C">
        <w:trPr>
          <w:trHeight w:val="567"/>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72BEA7E4" w14:textId="77777777" w:rsidR="00711444" w:rsidRPr="004D0DAA" w:rsidRDefault="00711444" w:rsidP="00AA2A4C"/>
        </w:tc>
        <w:tc>
          <w:tcPr>
            <w:tcW w:w="1105" w:type="dxa"/>
            <w:tcBorders>
              <w:top w:val="single" w:sz="4" w:space="0" w:color="auto"/>
              <w:left w:val="single" w:sz="4" w:space="0" w:color="auto"/>
              <w:bottom w:val="single" w:sz="4" w:space="0" w:color="auto"/>
              <w:right w:val="single" w:sz="4" w:space="0" w:color="auto"/>
            </w:tcBorders>
          </w:tcPr>
          <w:p w14:paraId="173BC733" w14:textId="77777777" w:rsidR="00711444" w:rsidRPr="004D0DAA" w:rsidRDefault="00711444" w:rsidP="00AA2A4C">
            <w:pPr>
              <w:pStyle w:val="TAH"/>
              <w:rPr>
                <w:lang w:eastAsia="en-US"/>
              </w:rPr>
            </w:pPr>
            <w:r w:rsidRPr="004D0DAA">
              <w:rPr>
                <w:lang w:eastAsia="en-US"/>
              </w:rPr>
              <w:t>MCS-9 Commanded</w:t>
            </w:r>
          </w:p>
        </w:tc>
        <w:tc>
          <w:tcPr>
            <w:tcW w:w="1134" w:type="dxa"/>
            <w:tcBorders>
              <w:top w:val="single" w:sz="4" w:space="0" w:color="auto"/>
              <w:left w:val="single" w:sz="4" w:space="0" w:color="auto"/>
              <w:bottom w:val="single" w:sz="4" w:space="0" w:color="auto"/>
              <w:right w:val="single" w:sz="4" w:space="0" w:color="auto"/>
            </w:tcBorders>
          </w:tcPr>
          <w:p w14:paraId="6B559C42" w14:textId="77777777" w:rsidR="00711444" w:rsidRPr="004D0DAA" w:rsidRDefault="00711444" w:rsidP="00AA2A4C">
            <w:pPr>
              <w:pStyle w:val="TAH"/>
              <w:rPr>
                <w:lang w:eastAsia="en-US"/>
              </w:rPr>
            </w:pPr>
            <w:r w:rsidRPr="004D0DAA">
              <w:rPr>
                <w:lang w:eastAsia="en-US"/>
              </w:rPr>
              <w:t>MCS-8 Commanded</w:t>
            </w:r>
          </w:p>
        </w:tc>
        <w:tc>
          <w:tcPr>
            <w:tcW w:w="1134" w:type="dxa"/>
            <w:tcBorders>
              <w:top w:val="single" w:sz="4" w:space="0" w:color="auto"/>
              <w:left w:val="single" w:sz="4" w:space="0" w:color="auto"/>
              <w:bottom w:val="single" w:sz="4" w:space="0" w:color="auto"/>
              <w:right w:val="single" w:sz="4" w:space="0" w:color="auto"/>
            </w:tcBorders>
          </w:tcPr>
          <w:p w14:paraId="4E587AAD" w14:textId="77777777" w:rsidR="00711444" w:rsidRPr="004D0DAA" w:rsidRDefault="00711444" w:rsidP="00AA2A4C">
            <w:pPr>
              <w:pStyle w:val="TAH"/>
              <w:rPr>
                <w:lang w:eastAsia="en-US"/>
              </w:rPr>
            </w:pPr>
            <w:r w:rsidRPr="004D0DAA">
              <w:rPr>
                <w:lang w:eastAsia="en-US"/>
              </w:rPr>
              <w:t>MCS-7 Commanded</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670B80" w14:textId="77777777" w:rsidR="00711444" w:rsidRPr="004D0DAA" w:rsidRDefault="00711444" w:rsidP="00AA2A4C">
            <w:pPr>
              <w:pStyle w:val="TAH"/>
              <w:rPr>
                <w:lang w:eastAsia="en-US"/>
              </w:rPr>
            </w:pPr>
            <w:r w:rsidRPr="004D0DAA">
              <w:rPr>
                <w:lang w:eastAsia="en-US"/>
              </w:rPr>
              <w:t>MCS-6-9 Commanded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310060" w14:textId="77777777" w:rsidR="00711444" w:rsidRPr="004D0DAA" w:rsidRDefault="00711444" w:rsidP="00AA2A4C">
            <w:pPr>
              <w:pStyle w:val="TAH"/>
              <w:rPr>
                <w:lang w:eastAsia="en-US"/>
              </w:rPr>
            </w:pPr>
            <w:r w:rsidRPr="004D0DAA">
              <w:rPr>
                <w:lang w:eastAsia="en-US"/>
              </w:rPr>
              <w:t>MCS-6 Commanded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E8124E" w14:textId="77777777" w:rsidR="00711444" w:rsidRPr="004D0DAA" w:rsidRDefault="00711444" w:rsidP="00AA2A4C">
            <w:pPr>
              <w:pStyle w:val="TAH"/>
              <w:rPr>
                <w:lang w:eastAsia="en-US"/>
              </w:rPr>
            </w:pPr>
            <w:r w:rsidRPr="004D0DAA">
              <w:rPr>
                <w:lang w:eastAsia="en-US"/>
              </w:rPr>
              <w:t>MCS-5-7 Commanded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3135A" w14:textId="77777777" w:rsidR="00711444" w:rsidRPr="004D0DAA" w:rsidRDefault="00711444" w:rsidP="00AA2A4C">
            <w:pPr>
              <w:pStyle w:val="TAH"/>
              <w:rPr>
                <w:lang w:eastAsia="en-US"/>
              </w:rPr>
            </w:pPr>
            <w:r w:rsidRPr="004D0DAA">
              <w:rPr>
                <w:lang w:eastAsia="en-US"/>
              </w:rPr>
              <w:t>MCS-5 Commanded</w:t>
            </w:r>
          </w:p>
        </w:tc>
      </w:tr>
      <w:tr w:rsidR="00711444" w:rsidRPr="004D0DAA" w14:paraId="6E4EFF4C"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B411068"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UAS-11</w:t>
            </w:r>
          </w:p>
        </w:tc>
        <w:tc>
          <w:tcPr>
            <w:tcW w:w="1105" w:type="dxa"/>
            <w:tcBorders>
              <w:top w:val="single" w:sz="4" w:space="0" w:color="auto"/>
              <w:left w:val="single" w:sz="4" w:space="0" w:color="auto"/>
              <w:bottom w:val="single" w:sz="4" w:space="0" w:color="auto"/>
              <w:right w:val="single" w:sz="4" w:space="0" w:color="auto"/>
            </w:tcBorders>
          </w:tcPr>
          <w:p w14:paraId="6A1F566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4F42611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tcPr>
          <w:p w14:paraId="4094A27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129EF5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tcPr>
          <w:p w14:paraId="60CFF8A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58412C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6D09DB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1C3FCF1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6F7D1F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7C3E9DD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93A01E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p w14:paraId="116872D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F0B174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p w14:paraId="1788987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r>
      <w:tr w:rsidR="00711444" w:rsidRPr="004D0DAA" w14:paraId="7DDF7458"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67A50B88"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UAS-10</w:t>
            </w:r>
          </w:p>
        </w:tc>
        <w:tc>
          <w:tcPr>
            <w:tcW w:w="1105" w:type="dxa"/>
            <w:tcBorders>
              <w:top w:val="single" w:sz="4" w:space="0" w:color="auto"/>
              <w:left w:val="single" w:sz="4" w:space="0" w:color="auto"/>
              <w:bottom w:val="single" w:sz="4" w:space="0" w:color="auto"/>
              <w:right w:val="single" w:sz="4" w:space="0" w:color="auto"/>
            </w:tcBorders>
          </w:tcPr>
          <w:p w14:paraId="41B8433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54F8450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537D6E3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DFA2F2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1F0296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571821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E98FAE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717E1DDF"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007F45CA"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UAS-9</w:t>
            </w:r>
          </w:p>
        </w:tc>
        <w:tc>
          <w:tcPr>
            <w:tcW w:w="1105" w:type="dxa"/>
            <w:tcBorders>
              <w:top w:val="single" w:sz="4" w:space="0" w:color="auto"/>
              <w:left w:val="single" w:sz="4" w:space="0" w:color="auto"/>
              <w:bottom w:val="single" w:sz="4" w:space="0" w:color="auto"/>
              <w:right w:val="single" w:sz="4" w:space="0" w:color="auto"/>
            </w:tcBorders>
          </w:tcPr>
          <w:p w14:paraId="2DA5069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tcBorders>
              <w:top w:val="single" w:sz="4" w:space="0" w:color="auto"/>
              <w:left w:val="single" w:sz="4" w:space="0" w:color="auto"/>
              <w:bottom w:val="single" w:sz="4" w:space="0" w:color="auto"/>
              <w:right w:val="single" w:sz="4" w:space="0" w:color="auto"/>
            </w:tcBorders>
          </w:tcPr>
          <w:p w14:paraId="2EF9944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tcBorders>
              <w:top w:val="single" w:sz="4" w:space="0" w:color="auto"/>
              <w:left w:val="single" w:sz="4" w:space="0" w:color="auto"/>
              <w:bottom w:val="single" w:sz="4" w:space="0" w:color="auto"/>
              <w:right w:val="single" w:sz="4" w:space="0" w:color="auto"/>
            </w:tcBorders>
          </w:tcPr>
          <w:p w14:paraId="37BA8EE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B09C02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01C594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A98CCF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2FCA62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r>
      <w:tr w:rsidR="00711444" w:rsidRPr="004D0DAA" w14:paraId="542F8E2E"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0E4CE4B5"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UAS-8</w:t>
            </w:r>
          </w:p>
        </w:tc>
        <w:tc>
          <w:tcPr>
            <w:tcW w:w="1105" w:type="dxa"/>
            <w:tcBorders>
              <w:top w:val="single" w:sz="4" w:space="0" w:color="auto"/>
              <w:left w:val="single" w:sz="4" w:space="0" w:color="auto"/>
              <w:bottom w:val="single" w:sz="4" w:space="0" w:color="auto"/>
              <w:right w:val="single" w:sz="4" w:space="0" w:color="auto"/>
            </w:tcBorders>
          </w:tcPr>
          <w:p w14:paraId="36EEAE6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7DA647B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tcPr>
          <w:p w14:paraId="6F191EB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31BBAB4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tcPr>
          <w:p w14:paraId="07A7363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34D87B6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00315E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416D1A7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19BFF8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8A774E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B3D847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p w14:paraId="4210617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977D29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p w14:paraId="54D6EC2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r>
      <w:tr w:rsidR="00711444" w:rsidRPr="004D0DAA" w14:paraId="3FD8E7D3"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F6E6303"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UAS-7</w:t>
            </w:r>
          </w:p>
        </w:tc>
        <w:tc>
          <w:tcPr>
            <w:tcW w:w="1105" w:type="dxa"/>
            <w:tcBorders>
              <w:top w:val="single" w:sz="4" w:space="0" w:color="auto"/>
              <w:left w:val="single" w:sz="4" w:space="0" w:color="auto"/>
              <w:bottom w:val="single" w:sz="4" w:space="0" w:color="auto"/>
              <w:right w:val="single" w:sz="4" w:space="0" w:color="auto"/>
            </w:tcBorders>
          </w:tcPr>
          <w:p w14:paraId="08D93DF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1129DD7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0E22817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CCE6F0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686387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631B7D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C65FE4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7ADA9314"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F42510E"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MCS-6</w:t>
            </w:r>
          </w:p>
        </w:tc>
        <w:tc>
          <w:tcPr>
            <w:tcW w:w="1105" w:type="dxa"/>
            <w:tcBorders>
              <w:top w:val="single" w:sz="4" w:space="0" w:color="auto"/>
              <w:left w:val="single" w:sz="4" w:space="0" w:color="auto"/>
              <w:bottom w:val="single" w:sz="4" w:space="0" w:color="auto"/>
              <w:right w:val="single" w:sz="4" w:space="0" w:color="auto"/>
            </w:tcBorders>
          </w:tcPr>
          <w:p w14:paraId="2E2C8A4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tcBorders>
              <w:top w:val="single" w:sz="4" w:space="0" w:color="auto"/>
              <w:left w:val="single" w:sz="4" w:space="0" w:color="auto"/>
              <w:bottom w:val="single" w:sz="4" w:space="0" w:color="auto"/>
              <w:right w:val="single" w:sz="4" w:space="0" w:color="auto"/>
            </w:tcBorders>
          </w:tcPr>
          <w:p w14:paraId="7DC0EFB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tcBorders>
              <w:top w:val="single" w:sz="4" w:space="0" w:color="auto"/>
              <w:left w:val="single" w:sz="4" w:space="0" w:color="auto"/>
              <w:bottom w:val="single" w:sz="4" w:space="0" w:color="auto"/>
              <w:right w:val="single" w:sz="4" w:space="0" w:color="auto"/>
            </w:tcBorders>
          </w:tcPr>
          <w:p w14:paraId="6DB88B2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BC045F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A480D7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93A2D3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7E5181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r>
      <w:tr w:rsidR="00711444" w:rsidRPr="004D0DAA" w14:paraId="02BAC3FE"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2E496D36"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MCS-5</w:t>
            </w:r>
          </w:p>
        </w:tc>
        <w:tc>
          <w:tcPr>
            <w:tcW w:w="1105" w:type="dxa"/>
            <w:tcBorders>
              <w:top w:val="single" w:sz="4" w:space="0" w:color="auto"/>
              <w:left w:val="single" w:sz="4" w:space="0" w:color="auto"/>
              <w:bottom w:val="single" w:sz="4" w:space="0" w:color="auto"/>
              <w:right w:val="single" w:sz="4" w:space="0" w:color="auto"/>
            </w:tcBorders>
          </w:tcPr>
          <w:p w14:paraId="51EF8FB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6E68B31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tcPr>
          <w:p w14:paraId="41AC981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553462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6B72EE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C8FC4A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27878B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6B9962EF"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1FDA8C3"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MCS-4</w:t>
            </w:r>
          </w:p>
        </w:tc>
        <w:tc>
          <w:tcPr>
            <w:tcW w:w="1105" w:type="dxa"/>
            <w:tcBorders>
              <w:top w:val="single" w:sz="4" w:space="0" w:color="auto"/>
              <w:left w:val="single" w:sz="4" w:space="0" w:color="auto"/>
              <w:bottom w:val="single" w:sz="4" w:space="0" w:color="auto"/>
              <w:right w:val="single" w:sz="4" w:space="0" w:color="auto"/>
            </w:tcBorders>
          </w:tcPr>
          <w:p w14:paraId="0B40113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tcBorders>
              <w:top w:val="single" w:sz="4" w:space="0" w:color="auto"/>
              <w:left w:val="single" w:sz="4" w:space="0" w:color="auto"/>
              <w:bottom w:val="single" w:sz="4" w:space="0" w:color="auto"/>
              <w:right w:val="single" w:sz="4" w:space="0" w:color="auto"/>
            </w:tcBorders>
          </w:tcPr>
          <w:p w14:paraId="33E23E2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tcBorders>
              <w:top w:val="single" w:sz="4" w:space="0" w:color="auto"/>
              <w:left w:val="single" w:sz="4" w:space="0" w:color="auto"/>
              <w:bottom w:val="single" w:sz="4" w:space="0" w:color="auto"/>
              <w:right w:val="single" w:sz="4" w:space="0" w:color="auto"/>
            </w:tcBorders>
          </w:tcPr>
          <w:p w14:paraId="09784F9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79133E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880468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C1DC82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D94AC0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r>
      <w:tr w:rsidR="00711444" w:rsidRPr="004D0DAA" w14:paraId="263F1E4D"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6756075"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MCS-3</w:t>
            </w:r>
          </w:p>
        </w:tc>
        <w:tc>
          <w:tcPr>
            <w:tcW w:w="1105" w:type="dxa"/>
            <w:tcBorders>
              <w:top w:val="single" w:sz="4" w:space="0" w:color="auto"/>
              <w:left w:val="single" w:sz="4" w:space="0" w:color="auto"/>
              <w:bottom w:val="single" w:sz="4" w:space="0" w:color="auto"/>
              <w:right w:val="single" w:sz="4" w:space="0" w:color="auto"/>
            </w:tcBorders>
          </w:tcPr>
          <w:p w14:paraId="10026F9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tcPr>
          <w:p w14:paraId="48802D9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tcPr>
          <w:p w14:paraId="786251C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EE8EBA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8A653B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FE5934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54FECE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r>
      <w:tr w:rsidR="00711444" w:rsidRPr="004D0DAA" w14:paraId="06AE15F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E7A2A0A"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MCS-2</w:t>
            </w:r>
          </w:p>
        </w:tc>
        <w:tc>
          <w:tcPr>
            <w:tcW w:w="1105" w:type="dxa"/>
            <w:tcBorders>
              <w:top w:val="single" w:sz="4" w:space="0" w:color="auto"/>
              <w:left w:val="single" w:sz="4" w:space="0" w:color="auto"/>
              <w:bottom w:val="single" w:sz="4" w:space="0" w:color="auto"/>
              <w:right w:val="single" w:sz="4" w:space="0" w:color="auto"/>
            </w:tcBorders>
          </w:tcPr>
          <w:p w14:paraId="0FABB91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tcBorders>
              <w:top w:val="single" w:sz="4" w:space="0" w:color="auto"/>
              <w:left w:val="single" w:sz="4" w:space="0" w:color="auto"/>
              <w:bottom w:val="single" w:sz="4" w:space="0" w:color="auto"/>
              <w:right w:val="single" w:sz="4" w:space="0" w:color="auto"/>
            </w:tcBorders>
          </w:tcPr>
          <w:p w14:paraId="49E7AF8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tcBorders>
              <w:top w:val="single" w:sz="4" w:space="0" w:color="auto"/>
              <w:left w:val="single" w:sz="4" w:space="0" w:color="auto"/>
              <w:bottom w:val="single" w:sz="4" w:space="0" w:color="auto"/>
              <w:right w:val="single" w:sz="4" w:space="0" w:color="auto"/>
            </w:tcBorders>
          </w:tcPr>
          <w:p w14:paraId="584656B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D788D0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4C83A3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06EFC1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CC9041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r>
      <w:tr w:rsidR="00711444" w:rsidRPr="004D0DAA" w14:paraId="0E075BE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F8D4120"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MCS-1</w:t>
            </w:r>
          </w:p>
        </w:tc>
        <w:tc>
          <w:tcPr>
            <w:tcW w:w="1105" w:type="dxa"/>
            <w:tcBorders>
              <w:top w:val="single" w:sz="4" w:space="0" w:color="auto"/>
              <w:left w:val="single" w:sz="4" w:space="0" w:color="auto"/>
              <w:bottom w:val="single" w:sz="4" w:space="0" w:color="auto"/>
              <w:right w:val="single" w:sz="4" w:space="0" w:color="auto"/>
            </w:tcBorders>
          </w:tcPr>
          <w:p w14:paraId="490862C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tcBorders>
              <w:top w:val="single" w:sz="4" w:space="0" w:color="auto"/>
              <w:left w:val="single" w:sz="4" w:space="0" w:color="auto"/>
              <w:bottom w:val="single" w:sz="4" w:space="0" w:color="auto"/>
              <w:right w:val="single" w:sz="4" w:space="0" w:color="auto"/>
            </w:tcBorders>
          </w:tcPr>
          <w:p w14:paraId="61C1892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tcBorders>
              <w:top w:val="single" w:sz="4" w:space="0" w:color="auto"/>
              <w:left w:val="single" w:sz="4" w:space="0" w:color="auto"/>
              <w:bottom w:val="single" w:sz="4" w:space="0" w:color="auto"/>
              <w:right w:val="single" w:sz="4" w:space="0" w:color="auto"/>
            </w:tcBorders>
          </w:tcPr>
          <w:p w14:paraId="58B7DE2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99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0D3875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DFB0AE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2DD85D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764B88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r>
      <w:tr w:rsidR="00711444" w:rsidRPr="004D0DAA" w14:paraId="35D933AA" w14:textId="77777777" w:rsidTr="00AA2A4C">
        <w:tc>
          <w:tcPr>
            <w:tcW w:w="8930" w:type="dxa"/>
            <w:gridSpan w:val="8"/>
            <w:tcBorders>
              <w:top w:val="single" w:sz="4" w:space="0" w:color="auto"/>
              <w:left w:val="single" w:sz="4" w:space="0" w:color="auto"/>
              <w:bottom w:val="single" w:sz="4" w:space="0" w:color="auto"/>
              <w:right w:val="single" w:sz="4" w:space="0" w:color="auto"/>
            </w:tcBorders>
            <w:shd w:val="clear" w:color="auto" w:fill="auto"/>
          </w:tcPr>
          <w:p w14:paraId="4B5D4605" w14:textId="77777777" w:rsidR="00711444" w:rsidRPr="004D0DAA" w:rsidRDefault="00711444" w:rsidP="00AA2A4C">
            <w:pPr>
              <w:pStyle w:val="TAN"/>
              <w:rPr>
                <w:lang w:eastAsia="en-US"/>
              </w:rPr>
            </w:pPr>
            <w:r w:rsidRPr="004D0DAA">
              <w:rPr>
                <w:lang w:eastAsia="en-US"/>
              </w:rPr>
              <w:t>NOTE 1:</w:t>
            </w:r>
            <w:r w:rsidRPr="004D0DAA">
              <w:rPr>
                <w:lang w:eastAsia="en-US"/>
              </w:rPr>
              <w:tab/>
              <w:t>If MCS-1 to MCS-4 is commanded, see Table 8.1.1.3.</w:t>
            </w:r>
          </w:p>
          <w:p w14:paraId="545401E3" w14:textId="77777777" w:rsidR="00711444" w:rsidRPr="004D0DAA" w:rsidRDefault="00711444" w:rsidP="00AA2A4C">
            <w:pPr>
              <w:pStyle w:val="TAN"/>
              <w:rPr>
                <w:lang w:eastAsia="en-US"/>
              </w:rPr>
            </w:pPr>
            <w:r w:rsidRPr="004D0DAA">
              <w:rPr>
                <w:lang w:eastAsia="en-US"/>
              </w:rPr>
              <w:t>NOTE 2:</w:t>
            </w:r>
            <w:r w:rsidRPr="004D0DAA">
              <w:rPr>
                <w:lang w:eastAsia="en-US"/>
              </w:rPr>
              <w:tab/>
              <w:t xml:space="preserve">In this case, 10 octets of padding </w:t>
            </w:r>
            <w:r w:rsidRPr="004D0DAA">
              <w:rPr>
                <w:rFonts w:cs="Arial"/>
                <w:szCs w:val="18"/>
                <w:lang w:eastAsia="en-US"/>
              </w:rPr>
              <w:t xml:space="preserve">are </w:t>
            </w:r>
            <w:r w:rsidRPr="004D0DAA">
              <w:rPr>
                <w:lang w:eastAsia="en-US"/>
              </w:rPr>
              <w:t>used.</w:t>
            </w:r>
          </w:p>
        </w:tc>
      </w:tr>
    </w:tbl>
    <w:p w14:paraId="689FBE32" w14:textId="77777777" w:rsidR="00711444" w:rsidRPr="004D0DAA" w:rsidRDefault="00711444" w:rsidP="00711444"/>
    <w:p w14:paraId="53508244" w14:textId="77777777" w:rsidR="00711444" w:rsidRPr="004D0DAA" w:rsidRDefault="00711444" w:rsidP="00711444">
      <w:pPr>
        <w:pStyle w:val="TH"/>
      </w:pPr>
      <w:r w:rsidRPr="004D0DAA">
        <w:t>Table 8.1.1.7.2.6: Choice of modulation and coding scheme for retransmissions (initial transmission EGPRS2-A, level changed to EGPRS) without re-segmentation</w:t>
      </w:r>
    </w:p>
    <w:tbl>
      <w:tblPr>
        <w:tblW w:w="8930" w:type="dxa"/>
        <w:tblInd w:w="45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304"/>
        <w:gridCol w:w="1105"/>
        <w:gridCol w:w="1134"/>
        <w:gridCol w:w="1134"/>
        <w:gridCol w:w="993"/>
        <w:gridCol w:w="1134"/>
        <w:gridCol w:w="992"/>
        <w:gridCol w:w="1134"/>
      </w:tblGrid>
      <w:tr w:rsidR="00711444" w:rsidRPr="004D0DAA" w14:paraId="034A7BC3" w14:textId="77777777" w:rsidTr="00AA2A4C">
        <w:trPr>
          <w:cantSplit/>
          <w:trHeight w:val="57"/>
        </w:trPr>
        <w:tc>
          <w:tcPr>
            <w:tcW w:w="1304" w:type="dxa"/>
            <w:shd w:val="clear" w:color="auto" w:fill="auto"/>
            <w:tcMar>
              <w:top w:w="0" w:type="dxa"/>
              <w:left w:w="28" w:type="dxa"/>
              <w:bottom w:w="0" w:type="dxa"/>
              <w:right w:w="28" w:type="dxa"/>
            </w:tcMar>
          </w:tcPr>
          <w:p w14:paraId="52A25F71" w14:textId="77777777" w:rsidR="00711444" w:rsidRPr="004D0DAA" w:rsidRDefault="00711444" w:rsidP="00AA2A4C">
            <w:pPr>
              <w:pStyle w:val="TAH"/>
              <w:rPr>
                <w:lang w:eastAsia="en-US"/>
              </w:rPr>
            </w:pPr>
            <w:r w:rsidRPr="004D0DAA">
              <w:rPr>
                <w:lang w:eastAsia="en-US"/>
              </w:rPr>
              <w:t>Scheme used for Initial transmission</w:t>
            </w:r>
          </w:p>
        </w:tc>
        <w:tc>
          <w:tcPr>
            <w:tcW w:w="7626" w:type="dxa"/>
            <w:gridSpan w:val="7"/>
            <w:shd w:val="clear" w:color="auto" w:fill="auto"/>
          </w:tcPr>
          <w:p w14:paraId="3A344BBE" w14:textId="77777777" w:rsidR="00711444" w:rsidRPr="004D0DAA" w:rsidRDefault="00711444" w:rsidP="00AA2A4C">
            <w:pPr>
              <w:pStyle w:val="TAH"/>
              <w:rPr>
                <w:lang w:eastAsia="en-US"/>
              </w:rPr>
            </w:pPr>
            <w:r w:rsidRPr="004D0DAA">
              <w:rPr>
                <w:lang w:eastAsia="en-US"/>
              </w:rPr>
              <w:t>Scheme to use for retransmissions after switching to EGPRS (MCS)</w:t>
            </w:r>
          </w:p>
        </w:tc>
      </w:tr>
      <w:tr w:rsidR="00711444" w:rsidRPr="004D0DAA" w14:paraId="3D9C6C21" w14:textId="77777777" w:rsidTr="00AA2A4C">
        <w:trPr>
          <w:cantSplit/>
          <w:trHeight w:val="57"/>
        </w:trPr>
        <w:tc>
          <w:tcPr>
            <w:tcW w:w="1304" w:type="dxa"/>
            <w:shd w:val="clear" w:color="auto" w:fill="auto"/>
          </w:tcPr>
          <w:p w14:paraId="5B7AA31B" w14:textId="77777777" w:rsidR="00711444" w:rsidRPr="004D0DAA" w:rsidRDefault="00711444" w:rsidP="00AA2A4C"/>
        </w:tc>
        <w:tc>
          <w:tcPr>
            <w:tcW w:w="1105" w:type="dxa"/>
            <w:shd w:val="clear" w:color="auto" w:fill="auto"/>
          </w:tcPr>
          <w:p w14:paraId="0AD036A7" w14:textId="77777777" w:rsidR="00711444" w:rsidRPr="004D0DAA" w:rsidRDefault="00711444" w:rsidP="00AA2A4C">
            <w:pPr>
              <w:pStyle w:val="TAH"/>
              <w:rPr>
                <w:lang w:eastAsia="en-US"/>
              </w:rPr>
            </w:pPr>
            <w:r w:rsidRPr="004D0DAA">
              <w:rPr>
                <w:lang w:eastAsia="en-US"/>
              </w:rPr>
              <w:t>MCS-9 Commanded</w:t>
            </w:r>
          </w:p>
        </w:tc>
        <w:tc>
          <w:tcPr>
            <w:tcW w:w="1134" w:type="dxa"/>
            <w:shd w:val="clear" w:color="auto" w:fill="auto"/>
          </w:tcPr>
          <w:p w14:paraId="70CD681A" w14:textId="77777777" w:rsidR="00711444" w:rsidRPr="004D0DAA" w:rsidRDefault="00711444" w:rsidP="00AA2A4C">
            <w:pPr>
              <w:pStyle w:val="TAH"/>
              <w:rPr>
                <w:lang w:eastAsia="en-US"/>
              </w:rPr>
            </w:pPr>
            <w:r w:rsidRPr="004D0DAA">
              <w:rPr>
                <w:lang w:eastAsia="en-US"/>
              </w:rPr>
              <w:t>MCS-8 Commanded</w:t>
            </w:r>
          </w:p>
        </w:tc>
        <w:tc>
          <w:tcPr>
            <w:tcW w:w="1134" w:type="dxa"/>
            <w:shd w:val="clear" w:color="auto" w:fill="auto"/>
          </w:tcPr>
          <w:p w14:paraId="131F9992" w14:textId="77777777" w:rsidR="00711444" w:rsidRPr="004D0DAA" w:rsidRDefault="00711444" w:rsidP="00AA2A4C">
            <w:pPr>
              <w:pStyle w:val="TAH"/>
              <w:rPr>
                <w:lang w:eastAsia="en-US"/>
              </w:rPr>
            </w:pPr>
            <w:r w:rsidRPr="004D0DAA">
              <w:rPr>
                <w:lang w:eastAsia="en-US"/>
              </w:rPr>
              <w:t>MCS-7 Commanded</w:t>
            </w:r>
          </w:p>
        </w:tc>
        <w:tc>
          <w:tcPr>
            <w:tcW w:w="993" w:type="dxa"/>
            <w:shd w:val="clear" w:color="auto" w:fill="auto"/>
          </w:tcPr>
          <w:p w14:paraId="3E532DB6" w14:textId="77777777" w:rsidR="00711444" w:rsidRPr="004D0DAA" w:rsidRDefault="00711444" w:rsidP="00AA2A4C">
            <w:pPr>
              <w:pStyle w:val="TAH"/>
              <w:rPr>
                <w:lang w:eastAsia="en-US"/>
              </w:rPr>
            </w:pPr>
            <w:r w:rsidRPr="004D0DAA">
              <w:rPr>
                <w:lang w:eastAsia="en-US"/>
              </w:rPr>
              <w:t>MCS-6-9 Commanded</w:t>
            </w:r>
          </w:p>
        </w:tc>
        <w:tc>
          <w:tcPr>
            <w:tcW w:w="1134" w:type="dxa"/>
            <w:shd w:val="clear" w:color="auto" w:fill="auto"/>
          </w:tcPr>
          <w:p w14:paraId="180D7763" w14:textId="77777777" w:rsidR="00711444" w:rsidRPr="004D0DAA" w:rsidRDefault="00711444" w:rsidP="00AA2A4C">
            <w:pPr>
              <w:pStyle w:val="TAH"/>
              <w:rPr>
                <w:lang w:eastAsia="en-US"/>
              </w:rPr>
            </w:pPr>
            <w:r w:rsidRPr="004D0DAA">
              <w:rPr>
                <w:lang w:eastAsia="en-US"/>
              </w:rPr>
              <w:t>MCS-6 Commanded</w:t>
            </w:r>
          </w:p>
        </w:tc>
        <w:tc>
          <w:tcPr>
            <w:tcW w:w="992" w:type="dxa"/>
            <w:shd w:val="clear" w:color="auto" w:fill="auto"/>
          </w:tcPr>
          <w:p w14:paraId="57A9C364" w14:textId="77777777" w:rsidR="00711444" w:rsidRPr="004D0DAA" w:rsidRDefault="00711444" w:rsidP="00AA2A4C">
            <w:pPr>
              <w:pStyle w:val="TAH"/>
              <w:rPr>
                <w:lang w:eastAsia="en-US"/>
              </w:rPr>
            </w:pPr>
            <w:r w:rsidRPr="004D0DAA">
              <w:rPr>
                <w:lang w:eastAsia="en-US"/>
              </w:rPr>
              <w:t>MCS-5-7 Commanded</w:t>
            </w:r>
          </w:p>
        </w:tc>
        <w:tc>
          <w:tcPr>
            <w:tcW w:w="1134" w:type="dxa"/>
            <w:shd w:val="clear" w:color="auto" w:fill="auto"/>
          </w:tcPr>
          <w:p w14:paraId="26B9B689" w14:textId="77777777" w:rsidR="00711444" w:rsidRPr="004D0DAA" w:rsidRDefault="00711444" w:rsidP="00AA2A4C">
            <w:pPr>
              <w:pStyle w:val="TAH"/>
              <w:rPr>
                <w:lang w:eastAsia="en-US"/>
              </w:rPr>
            </w:pPr>
            <w:r w:rsidRPr="004D0DAA">
              <w:rPr>
                <w:lang w:eastAsia="en-US"/>
              </w:rPr>
              <w:t>MCS-5 Commanded</w:t>
            </w:r>
          </w:p>
        </w:tc>
      </w:tr>
      <w:tr w:rsidR="00711444" w:rsidRPr="004D0DAA" w14:paraId="26F6DB6E" w14:textId="77777777" w:rsidTr="00AA2A4C">
        <w:trPr>
          <w:cantSplit/>
          <w:trHeight w:val="57"/>
        </w:trPr>
        <w:tc>
          <w:tcPr>
            <w:tcW w:w="1304" w:type="dxa"/>
            <w:shd w:val="clear" w:color="auto" w:fill="auto"/>
          </w:tcPr>
          <w:p w14:paraId="34ECF6F8"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UAS-11</w:t>
            </w:r>
          </w:p>
        </w:tc>
        <w:tc>
          <w:tcPr>
            <w:tcW w:w="1105" w:type="dxa"/>
            <w:shd w:val="clear" w:color="auto" w:fill="auto"/>
          </w:tcPr>
          <w:p w14:paraId="01CB5EC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720024E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Pr>
          <w:p w14:paraId="0A95852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520CBC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Pr>
          <w:p w14:paraId="76358E9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7FAD25A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3" w:type="dxa"/>
            <w:shd w:val="clear" w:color="auto" w:fill="auto"/>
            <w:tcMar>
              <w:top w:w="0" w:type="dxa"/>
              <w:left w:w="28" w:type="dxa"/>
              <w:bottom w:w="0" w:type="dxa"/>
              <w:right w:w="28" w:type="dxa"/>
            </w:tcMar>
          </w:tcPr>
          <w:p w14:paraId="3089706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3AABE7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Mar>
              <w:top w:w="0" w:type="dxa"/>
              <w:left w:w="28" w:type="dxa"/>
              <w:bottom w:w="0" w:type="dxa"/>
              <w:right w:w="28" w:type="dxa"/>
            </w:tcMar>
          </w:tcPr>
          <w:p w14:paraId="6859D64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597DABE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2" w:type="dxa"/>
            <w:shd w:val="clear" w:color="auto" w:fill="auto"/>
            <w:tcMar>
              <w:top w:w="0" w:type="dxa"/>
              <w:left w:w="28" w:type="dxa"/>
              <w:bottom w:w="0" w:type="dxa"/>
              <w:right w:w="28" w:type="dxa"/>
            </w:tcMar>
          </w:tcPr>
          <w:p w14:paraId="45393F9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40489EC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Mar>
              <w:top w:w="0" w:type="dxa"/>
              <w:left w:w="28" w:type="dxa"/>
              <w:bottom w:w="0" w:type="dxa"/>
              <w:right w:w="28" w:type="dxa"/>
            </w:tcMar>
          </w:tcPr>
          <w:p w14:paraId="3D0010D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4693963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r>
      <w:tr w:rsidR="00711444" w:rsidRPr="004D0DAA" w14:paraId="4DA131DF" w14:textId="77777777" w:rsidTr="00AA2A4C">
        <w:trPr>
          <w:cantSplit/>
          <w:trHeight w:val="57"/>
        </w:trPr>
        <w:tc>
          <w:tcPr>
            <w:tcW w:w="1304" w:type="dxa"/>
            <w:shd w:val="clear" w:color="auto" w:fill="auto"/>
          </w:tcPr>
          <w:p w14:paraId="674CD2D1"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UAS-10</w:t>
            </w:r>
          </w:p>
        </w:tc>
        <w:tc>
          <w:tcPr>
            <w:tcW w:w="1105" w:type="dxa"/>
            <w:shd w:val="clear" w:color="auto" w:fill="auto"/>
          </w:tcPr>
          <w:p w14:paraId="09407D3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0A0F451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06D9AAF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shd w:val="clear" w:color="auto" w:fill="auto"/>
            <w:tcMar>
              <w:top w:w="0" w:type="dxa"/>
              <w:left w:w="28" w:type="dxa"/>
              <w:bottom w:w="0" w:type="dxa"/>
              <w:right w:w="28" w:type="dxa"/>
            </w:tcMar>
          </w:tcPr>
          <w:p w14:paraId="677FAC8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shd w:val="clear" w:color="auto" w:fill="auto"/>
            <w:tcMar>
              <w:top w:w="0" w:type="dxa"/>
              <w:left w:w="28" w:type="dxa"/>
              <w:bottom w:w="0" w:type="dxa"/>
              <w:right w:w="28" w:type="dxa"/>
            </w:tcMar>
          </w:tcPr>
          <w:p w14:paraId="2809993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shd w:val="clear" w:color="auto" w:fill="auto"/>
            <w:tcMar>
              <w:top w:w="0" w:type="dxa"/>
              <w:left w:w="28" w:type="dxa"/>
              <w:bottom w:w="0" w:type="dxa"/>
              <w:right w:w="28" w:type="dxa"/>
            </w:tcMar>
          </w:tcPr>
          <w:p w14:paraId="1348CB3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Mar>
              <w:top w:w="0" w:type="dxa"/>
              <w:left w:w="28" w:type="dxa"/>
              <w:bottom w:w="0" w:type="dxa"/>
              <w:right w:w="28" w:type="dxa"/>
            </w:tcMar>
          </w:tcPr>
          <w:p w14:paraId="6AA817A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70696EB4" w14:textId="77777777" w:rsidTr="00AA2A4C">
        <w:trPr>
          <w:cantSplit/>
          <w:trHeight w:val="57"/>
        </w:trPr>
        <w:tc>
          <w:tcPr>
            <w:tcW w:w="1304" w:type="dxa"/>
            <w:shd w:val="clear" w:color="auto" w:fill="auto"/>
          </w:tcPr>
          <w:p w14:paraId="3C0312AD"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UAS-9</w:t>
            </w:r>
          </w:p>
        </w:tc>
        <w:tc>
          <w:tcPr>
            <w:tcW w:w="1105" w:type="dxa"/>
            <w:shd w:val="clear" w:color="auto" w:fill="auto"/>
          </w:tcPr>
          <w:p w14:paraId="5CF0487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shd w:val="clear" w:color="auto" w:fill="auto"/>
          </w:tcPr>
          <w:p w14:paraId="09180FD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shd w:val="clear" w:color="auto" w:fill="auto"/>
          </w:tcPr>
          <w:p w14:paraId="7B24571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3" w:type="dxa"/>
            <w:shd w:val="clear" w:color="auto" w:fill="auto"/>
            <w:tcMar>
              <w:top w:w="0" w:type="dxa"/>
              <w:left w:w="28" w:type="dxa"/>
              <w:bottom w:w="0" w:type="dxa"/>
              <w:right w:w="28" w:type="dxa"/>
            </w:tcMar>
          </w:tcPr>
          <w:p w14:paraId="3C2DD8B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shd w:val="clear" w:color="auto" w:fill="auto"/>
            <w:tcMar>
              <w:top w:w="0" w:type="dxa"/>
              <w:left w:w="28" w:type="dxa"/>
              <w:bottom w:w="0" w:type="dxa"/>
              <w:right w:w="28" w:type="dxa"/>
            </w:tcMar>
          </w:tcPr>
          <w:p w14:paraId="45E073F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2" w:type="dxa"/>
            <w:shd w:val="clear" w:color="auto" w:fill="auto"/>
            <w:tcMar>
              <w:top w:w="0" w:type="dxa"/>
              <w:left w:w="28" w:type="dxa"/>
              <w:bottom w:w="0" w:type="dxa"/>
              <w:right w:w="28" w:type="dxa"/>
            </w:tcMar>
          </w:tcPr>
          <w:p w14:paraId="4ECCE7F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shd w:val="clear" w:color="auto" w:fill="auto"/>
            <w:tcMar>
              <w:top w:w="0" w:type="dxa"/>
              <w:left w:w="28" w:type="dxa"/>
              <w:bottom w:w="0" w:type="dxa"/>
              <w:right w:w="28" w:type="dxa"/>
            </w:tcMar>
          </w:tcPr>
          <w:p w14:paraId="25EC2C3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r>
      <w:tr w:rsidR="00711444" w:rsidRPr="004D0DAA" w14:paraId="4FC68642" w14:textId="77777777" w:rsidTr="00AA2A4C">
        <w:trPr>
          <w:cantSplit/>
          <w:trHeight w:val="57"/>
        </w:trPr>
        <w:tc>
          <w:tcPr>
            <w:tcW w:w="1304" w:type="dxa"/>
            <w:shd w:val="clear" w:color="auto" w:fill="auto"/>
          </w:tcPr>
          <w:p w14:paraId="17C8F417"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UAS-8</w:t>
            </w:r>
          </w:p>
        </w:tc>
        <w:tc>
          <w:tcPr>
            <w:tcW w:w="1105" w:type="dxa"/>
            <w:shd w:val="clear" w:color="auto" w:fill="auto"/>
          </w:tcPr>
          <w:p w14:paraId="1348E43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6E67948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Pr>
          <w:p w14:paraId="16B9DFA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73C4DC3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Pr>
          <w:p w14:paraId="6240CA5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6A9FA42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3" w:type="dxa"/>
            <w:shd w:val="clear" w:color="auto" w:fill="auto"/>
            <w:tcMar>
              <w:top w:w="0" w:type="dxa"/>
              <w:left w:w="28" w:type="dxa"/>
              <w:bottom w:w="0" w:type="dxa"/>
              <w:right w:w="28" w:type="dxa"/>
            </w:tcMar>
          </w:tcPr>
          <w:p w14:paraId="0969549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8E0132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Mar>
              <w:top w:w="0" w:type="dxa"/>
              <w:left w:w="28" w:type="dxa"/>
              <w:bottom w:w="0" w:type="dxa"/>
              <w:right w:w="28" w:type="dxa"/>
            </w:tcMar>
          </w:tcPr>
          <w:p w14:paraId="374CA72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12B4412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992" w:type="dxa"/>
            <w:shd w:val="clear" w:color="auto" w:fill="auto"/>
            <w:tcMar>
              <w:top w:w="0" w:type="dxa"/>
              <w:left w:w="28" w:type="dxa"/>
              <w:bottom w:w="0" w:type="dxa"/>
              <w:right w:w="28" w:type="dxa"/>
            </w:tcMar>
          </w:tcPr>
          <w:p w14:paraId="2835514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207C339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c>
          <w:tcPr>
            <w:tcW w:w="1134" w:type="dxa"/>
            <w:shd w:val="clear" w:color="auto" w:fill="auto"/>
            <w:tcMar>
              <w:top w:w="0" w:type="dxa"/>
              <w:left w:w="28" w:type="dxa"/>
              <w:bottom w:w="0" w:type="dxa"/>
              <w:right w:w="28" w:type="dxa"/>
            </w:tcMar>
          </w:tcPr>
          <w:p w14:paraId="57D4DC8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p w14:paraId="1C1E419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(NOTE 2)</w:t>
            </w:r>
          </w:p>
        </w:tc>
      </w:tr>
      <w:tr w:rsidR="00711444" w:rsidRPr="004D0DAA" w14:paraId="5927F759" w14:textId="77777777" w:rsidTr="00AA2A4C">
        <w:trPr>
          <w:cantSplit/>
          <w:trHeight w:val="57"/>
        </w:trPr>
        <w:tc>
          <w:tcPr>
            <w:tcW w:w="1304" w:type="dxa"/>
            <w:shd w:val="clear" w:color="auto" w:fill="auto"/>
          </w:tcPr>
          <w:p w14:paraId="0E19745C"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UAS-7</w:t>
            </w:r>
          </w:p>
        </w:tc>
        <w:tc>
          <w:tcPr>
            <w:tcW w:w="1105" w:type="dxa"/>
            <w:shd w:val="clear" w:color="auto" w:fill="auto"/>
          </w:tcPr>
          <w:p w14:paraId="0191B3D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4DADA882"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1A2655C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shd w:val="clear" w:color="auto" w:fill="auto"/>
            <w:tcMar>
              <w:top w:w="0" w:type="dxa"/>
              <w:left w:w="28" w:type="dxa"/>
              <w:bottom w:w="0" w:type="dxa"/>
              <w:right w:w="28" w:type="dxa"/>
            </w:tcMar>
          </w:tcPr>
          <w:p w14:paraId="4BB65ED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shd w:val="clear" w:color="auto" w:fill="auto"/>
            <w:tcMar>
              <w:top w:w="0" w:type="dxa"/>
              <w:left w:w="28" w:type="dxa"/>
              <w:bottom w:w="0" w:type="dxa"/>
              <w:right w:w="28" w:type="dxa"/>
            </w:tcMar>
          </w:tcPr>
          <w:p w14:paraId="2E61D90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shd w:val="clear" w:color="auto" w:fill="auto"/>
            <w:tcMar>
              <w:top w:w="0" w:type="dxa"/>
              <w:left w:w="28" w:type="dxa"/>
              <w:bottom w:w="0" w:type="dxa"/>
              <w:right w:w="28" w:type="dxa"/>
            </w:tcMar>
          </w:tcPr>
          <w:p w14:paraId="7AD03A8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Mar>
              <w:top w:w="0" w:type="dxa"/>
              <w:left w:w="28" w:type="dxa"/>
              <w:bottom w:w="0" w:type="dxa"/>
              <w:right w:w="28" w:type="dxa"/>
            </w:tcMar>
          </w:tcPr>
          <w:p w14:paraId="216274C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3C8AC67F" w14:textId="77777777" w:rsidTr="00AA2A4C">
        <w:trPr>
          <w:cantSplit/>
          <w:trHeight w:val="57"/>
        </w:trPr>
        <w:tc>
          <w:tcPr>
            <w:tcW w:w="1304" w:type="dxa"/>
            <w:shd w:val="clear" w:color="auto" w:fill="auto"/>
          </w:tcPr>
          <w:p w14:paraId="6D48FC7A"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MCS-6</w:t>
            </w:r>
          </w:p>
        </w:tc>
        <w:tc>
          <w:tcPr>
            <w:tcW w:w="1105" w:type="dxa"/>
            <w:shd w:val="clear" w:color="auto" w:fill="auto"/>
          </w:tcPr>
          <w:p w14:paraId="240ACAC9"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shd w:val="clear" w:color="auto" w:fill="auto"/>
          </w:tcPr>
          <w:p w14:paraId="4D123B3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shd w:val="clear" w:color="auto" w:fill="auto"/>
          </w:tcPr>
          <w:p w14:paraId="4F77722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3" w:type="dxa"/>
            <w:shd w:val="clear" w:color="auto" w:fill="auto"/>
            <w:tcMar>
              <w:top w:w="0" w:type="dxa"/>
              <w:left w:w="28" w:type="dxa"/>
              <w:bottom w:w="0" w:type="dxa"/>
              <w:right w:w="28" w:type="dxa"/>
            </w:tcMar>
          </w:tcPr>
          <w:p w14:paraId="3463C1C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MCS-9</w:t>
            </w:r>
          </w:p>
        </w:tc>
        <w:tc>
          <w:tcPr>
            <w:tcW w:w="1134" w:type="dxa"/>
            <w:shd w:val="clear" w:color="auto" w:fill="auto"/>
            <w:tcMar>
              <w:top w:w="0" w:type="dxa"/>
              <w:left w:w="28" w:type="dxa"/>
              <w:bottom w:w="0" w:type="dxa"/>
              <w:right w:w="28" w:type="dxa"/>
            </w:tcMar>
          </w:tcPr>
          <w:p w14:paraId="720CAC5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992" w:type="dxa"/>
            <w:shd w:val="clear" w:color="auto" w:fill="auto"/>
            <w:tcMar>
              <w:top w:w="0" w:type="dxa"/>
              <w:left w:w="28" w:type="dxa"/>
              <w:bottom w:w="0" w:type="dxa"/>
              <w:right w:w="28" w:type="dxa"/>
            </w:tcMar>
          </w:tcPr>
          <w:p w14:paraId="6B3BFA9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c>
          <w:tcPr>
            <w:tcW w:w="1134" w:type="dxa"/>
            <w:shd w:val="clear" w:color="auto" w:fill="auto"/>
            <w:tcMar>
              <w:top w:w="0" w:type="dxa"/>
              <w:left w:w="28" w:type="dxa"/>
              <w:bottom w:w="0" w:type="dxa"/>
              <w:right w:w="28" w:type="dxa"/>
            </w:tcMar>
          </w:tcPr>
          <w:p w14:paraId="7709583B"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MCS-6</w:t>
            </w:r>
          </w:p>
        </w:tc>
      </w:tr>
      <w:tr w:rsidR="00711444" w:rsidRPr="004D0DAA" w14:paraId="1C0CF311" w14:textId="77777777" w:rsidTr="00AA2A4C">
        <w:trPr>
          <w:cantSplit/>
          <w:trHeight w:val="57"/>
        </w:trPr>
        <w:tc>
          <w:tcPr>
            <w:tcW w:w="1304" w:type="dxa"/>
            <w:shd w:val="clear" w:color="auto" w:fill="auto"/>
          </w:tcPr>
          <w:p w14:paraId="32EDC1BE"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MCS-5</w:t>
            </w:r>
          </w:p>
        </w:tc>
        <w:tc>
          <w:tcPr>
            <w:tcW w:w="1105" w:type="dxa"/>
            <w:shd w:val="clear" w:color="auto" w:fill="auto"/>
          </w:tcPr>
          <w:p w14:paraId="662E541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1A5BD2F1"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Pr>
          <w:p w14:paraId="4FB814F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993" w:type="dxa"/>
            <w:shd w:val="clear" w:color="auto" w:fill="auto"/>
            <w:tcMar>
              <w:top w:w="0" w:type="dxa"/>
              <w:left w:w="28" w:type="dxa"/>
              <w:bottom w:w="0" w:type="dxa"/>
              <w:right w:w="28" w:type="dxa"/>
            </w:tcMar>
          </w:tcPr>
          <w:p w14:paraId="6408D7B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1134" w:type="dxa"/>
            <w:shd w:val="clear" w:color="auto" w:fill="auto"/>
            <w:tcMar>
              <w:top w:w="0" w:type="dxa"/>
              <w:left w:w="28" w:type="dxa"/>
              <w:bottom w:w="0" w:type="dxa"/>
              <w:right w:w="28" w:type="dxa"/>
            </w:tcMar>
          </w:tcPr>
          <w:p w14:paraId="42476F3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c>
          <w:tcPr>
            <w:tcW w:w="992" w:type="dxa"/>
            <w:shd w:val="clear" w:color="auto" w:fill="auto"/>
            <w:tcMar>
              <w:top w:w="0" w:type="dxa"/>
              <w:left w:w="28" w:type="dxa"/>
              <w:bottom w:w="0" w:type="dxa"/>
              <w:right w:w="28" w:type="dxa"/>
            </w:tcMar>
          </w:tcPr>
          <w:p w14:paraId="4982DA5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MCS-7</w:t>
            </w:r>
          </w:p>
        </w:tc>
        <w:tc>
          <w:tcPr>
            <w:tcW w:w="1134" w:type="dxa"/>
            <w:shd w:val="clear" w:color="auto" w:fill="auto"/>
            <w:tcMar>
              <w:top w:w="0" w:type="dxa"/>
              <w:left w:w="28" w:type="dxa"/>
              <w:bottom w:w="0" w:type="dxa"/>
              <w:right w:w="28" w:type="dxa"/>
            </w:tcMar>
          </w:tcPr>
          <w:p w14:paraId="3BFE0B8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MCS-5</w:t>
            </w:r>
          </w:p>
        </w:tc>
      </w:tr>
      <w:tr w:rsidR="00711444" w:rsidRPr="004D0DAA" w14:paraId="6716392A" w14:textId="77777777" w:rsidTr="00AA2A4C">
        <w:trPr>
          <w:cantSplit/>
          <w:trHeight w:val="57"/>
        </w:trPr>
        <w:tc>
          <w:tcPr>
            <w:tcW w:w="1304" w:type="dxa"/>
            <w:shd w:val="clear" w:color="auto" w:fill="auto"/>
          </w:tcPr>
          <w:p w14:paraId="37D58F6B"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MCS-4</w:t>
            </w:r>
          </w:p>
        </w:tc>
        <w:tc>
          <w:tcPr>
            <w:tcW w:w="1105" w:type="dxa"/>
            <w:shd w:val="clear" w:color="auto" w:fill="auto"/>
          </w:tcPr>
          <w:p w14:paraId="16EBD73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shd w:val="clear" w:color="auto" w:fill="auto"/>
          </w:tcPr>
          <w:p w14:paraId="70ABF633"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shd w:val="clear" w:color="auto" w:fill="auto"/>
          </w:tcPr>
          <w:p w14:paraId="1010FC9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993" w:type="dxa"/>
            <w:shd w:val="clear" w:color="auto" w:fill="auto"/>
            <w:tcMar>
              <w:top w:w="0" w:type="dxa"/>
              <w:left w:w="28" w:type="dxa"/>
              <w:bottom w:w="0" w:type="dxa"/>
              <w:right w:w="28" w:type="dxa"/>
            </w:tcMar>
          </w:tcPr>
          <w:p w14:paraId="76B6DC4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shd w:val="clear" w:color="auto" w:fill="auto"/>
            <w:tcMar>
              <w:top w:w="0" w:type="dxa"/>
              <w:left w:w="28" w:type="dxa"/>
              <w:bottom w:w="0" w:type="dxa"/>
              <w:right w:w="28" w:type="dxa"/>
            </w:tcMar>
          </w:tcPr>
          <w:p w14:paraId="602DB58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992" w:type="dxa"/>
            <w:shd w:val="clear" w:color="auto" w:fill="auto"/>
            <w:tcMar>
              <w:top w:w="0" w:type="dxa"/>
              <w:left w:w="28" w:type="dxa"/>
              <w:bottom w:w="0" w:type="dxa"/>
              <w:right w:w="28" w:type="dxa"/>
            </w:tcMar>
          </w:tcPr>
          <w:p w14:paraId="549A1A8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c>
          <w:tcPr>
            <w:tcW w:w="1134" w:type="dxa"/>
            <w:shd w:val="clear" w:color="auto" w:fill="auto"/>
            <w:tcMar>
              <w:top w:w="0" w:type="dxa"/>
              <w:left w:w="28" w:type="dxa"/>
              <w:bottom w:w="0" w:type="dxa"/>
              <w:right w:w="28" w:type="dxa"/>
            </w:tcMar>
          </w:tcPr>
          <w:p w14:paraId="36F81A50"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MCS-4</w:t>
            </w:r>
          </w:p>
        </w:tc>
      </w:tr>
      <w:tr w:rsidR="00711444" w:rsidRPr="004D0DAA" w14:paraId="19C93127" w14:textId="77777777" w:rsidTr="00AA2A4C">
        <w:trPr>
          <w:cantSplit/>
          <w:trHeight w:val="57"/>
        </w:trPr>
        <w:tc>
          <w:tcPr>
            <w:tcW w:w="1304" w:type="dxa"/>
            <w:shd w:val="clear" w:color="auto" w:fill="auto"/>
          </w:tcPr>
          <w:p w14:paraId="5A9BF2BF"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MCS-3</w:t>
            </w:r>
          </w:p>
        </w:tc>
        <w:tc>
          <w:tcPr>
            <w:tcW w:w="1105" w:type="dxa"/>
            <w:shd w:val="clear" w:color="auto" w:fill="auto"/>
          </w:tcPr>
          <w:p w14:paraId="2BBC783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shd w:val="clear" w:color="auto" w:fill="auto"/>
          </w:tcPr>
          <w:p w14:paraId="785C5587"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shd w:val="clear" w:color="auto" w:fill="auto"/>
          </w:tcPr>
          <w:p w14:paraId="094A18C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993" w:type="dxa"/>
            <w:shd w:val="clear" w:color="auto" w:fill="auto"/>
            <w:tcMar>
              <w:top w:w="0" w:type="dxa"/>
              <w:left w:w="28" w:type="dxa"/>
              <w:bottom w:w="0" w:type="dxa"/>
              <w:right w:w="28" w:type="dxa"/>
            </w:tcMar>
          </w:tcPr>
          <w:p w14:paraId="7AA6349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shd w:val="clear" w:color="auto" w:fill="auto"/>
            <w:tcMar>
              <w:top w:w="0" w:type="dxa"/>
              <w:left w:w="28" w:type="dxa"/>
              <w:bottom w:w="0" w:type="dxa"/>
              <w:right w:w="28" w:type="dxa"/>
            </w:tcMar>
          </w:tcPr>
          <w:p w14:paraId="553C163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992" w:type="dxa"/>
            <w:shd w:val="clear" w:color="auto" w:fill="auto"/>
            <w:tcMar>
              <w:top w:w="0" w:type="dxa"/>
              <w:left w:w="28" w:type="dxa"/>
              <w:bottom w:w="0" w:type="dxa"/>
              <w:right w:w="28" w:type="dxa"/>
            </w:tcMar>
          </w:tcPr>
          <w:p w14:paraId="7D2E016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c>
          <w:tcPr>
            <w:tcW w:w="1134" w:type="dxa"/>
            <w:shd w:val="clear" w:color="auto" w:fill="auto"/>
            <w:tcMar>
              <w:top w:w="0" w:type="dxa"/>
              <w:left w:w="28" w:type="dxa"/>
              <w:bottom w:w="0" w:type="dxa"/>
              <w:right w:w="28" w:type="dxa"/>
            </w:tcMar>
          </w:tcPr>
          <w:p w14:paraId="68F8545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MCS-3</w:t>
            </w:r>
          </w:p>
        </w:tc>
      </w:tr>
      <w:tr w:rsidR="00711444" w:rsidRPr="004D0DAA" w14:paraId="2D632109" w14:textId="77777777" w:rsidTr="00AA2A4C">
        <w:trPr>
          <w:cantSplit/>
          <w:trHeight w:val="57"/>
        </w:trPr>
        <w:tc>
          <w:tcPr>
            <w:tcW w:w="1304" w:type="dxa"/>
            <w:shd w:val="clear" w:color="auto" w:fill="auto"/>
          </w:tcPr>
          <w:p w14:paraId="566F75F1"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MCS-2</w:t>
            </w:r>
          </w:p>
        </w:tc>
        <w:tc>
          <w:tcPr>
            <w:tcW w:w="1105" w:type="dxa"/>
            <w:shd w:val="clear" w:color="auto" w:fill="auto"/>
          </w:tcPr>
          <w:p w14:paraId="0D0C710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shd w:val="clear" w:color="auto" w:fill="auto"/>
          </w:tcPr>
          <w:p w14:paraId="3159B2A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shd w:val="clear" w:color="auto" w:fill="auto"/>
          </w:tcPr>
          <w:p w14:paraId="59285E1A"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993" w:type="dxa"/>
            <w:shd w:val="clear" w:color="auto" w:fill="auto"/>
            <w:tcMar>
              <w:top w:w="0" w:type="dxa"/>
              <w:left w:w="28" w:type="dxa"/>
              <w:bottom w:w="0" w:type="dxa"/>
              <w:right w:w="28" w:type="dxa"/>
            </w:tcMar>
          </w:tcPr>
          <w:p w14:paraId="7CAF01AE"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shd w:val="clear" w:color="auto" w:fill="auto"/>
            <w:tcMar>
              <w:top w:w="0" w:type="dxa"/>
              <w:left w:w="28" w:type="dxa"/>
              <w:bottom w:w="0" w:type="dxa"/>
              <w:right w:w="28" w:type="dxa"/>
            </w:tcMar>
          </w:tcPr>
          <w:p w14:paraId="60E0622D"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992" w:type="dxa"/>
            <w:shd w:val="clear" w:color="auto" w:fill="auto"/>
            <w:tcMar>
              <w:top w:w="0" w:type="dxa"/>
              <w:left w:w="28" w:type="dxa"/>
              <w:bottom w:w="0" w:type="dxa"/>
              <w:right w:w="28" w:type="dxa"/>
            </w:tcMar>
          </w:tcPr>
          <w:p w14:paraId="1B233CD4"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c>
          <w:tcPr>
            <w:tcW w:w="1134" w:type="dxa"/>
            <w:shd w:val="clear" w:color="auto" w:fill="auto"/>
            <w:tcMar>
              <w:top w:w="0" w:type="dxa"/>
              <w:left w:w="28" w:type="dxa"/>
              <w:bottom w:w="0" w:type="dxa"/>
              <w:right w:w="28" w:type="dxa"/>
            </w:tcMar>
          </w:tcPr>
          <w:p w14:paraId="31E15AB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MCS-2</w:t>
            </w:r>
          </w:p>
        </w:tc>
      </w:tr>
      <w:tr w:rsidR="00711444" w:rsidRPr="004D0DAA" w14:paraId="5D6E3F57" w14:textId="77777777" w:rsidTr="00AA2A4C">
        <w:trPr>
          <w:cantSplit/>
          <w:trHeight w:val="57"/>
        </w:trPr>
        <w:tc>
          <w:tcPr>
            <w:tcW w:w="1304" w:type="dxa"/>
            <w:shd w:val="clear" w:color="auto" w:fill="auto"/>
          </w:tcPr>
          <w:p w14:paraId="4EF73354" w14:textId="77777777" w:rsidR="00711444" w:rsidRPr="004D0DAA" w:rsidRDefault="00711444" w:rsidP="00AA2A4C">
            <w:pPr>
              <w:pStyle w:val="TOC7"/>
              <w:keepNext/>
              <w:widowControl/>
              <w:rPr>
                <w:rFonts w:ascii="Arial" w:hAnsi="Arial" w:cs="Arial"/>
                <w:sz w:val="18"/>
                <w:szCs w:val="18"/>
              </w:rPr>
            </w:pPr>
            <w:r w:rsidRPr="004D0DAA">
              <w:rPr>
                <w:rFonts w:ascii="Arial" w:hAnsi="Arial" w:cs="Arial"/>
                <w:sz w:val="18"/>
                <w:szCs w:val="18"/>
              </w:rPr>
              <w:t>MCS-1</w:t>
            </w:r>
          </w:p>
        </w:tc>
        <w:tc>
          <w:tcPr>
            <w:tcW w:w="1105" w:type="dxa"/>
            <w:shd w:val="clear" w:color="auto" w:fill="auto"/>
          </w:tcPr>
          <w:p w14:paraId="7C790E4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shd w:val="clear" w:color="auto" w:fill="auto"/>
          </w:tcPr>
          <w:p w14:paraId="4B25C828"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shd w:val="clear" w:color="auto" w:fill="auto"/>
          </w:tcPr>
          <w:p w14:paraId="037C84D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993" w:type="dxa"/>
            <w:shd w:val="clear" w:color="auto" w:fill="auto"/>
            <w:tcMar>
              <w:top w:w="0" w:type="dxa"/>
              <w:left w:w="28" w:type="dxa"/>
              <w:bottom w:w="0" w:type="dxa"/>
              <w:right w:w="28" w:type="dxa"/>
            </w:tcMar>
          </w:tcPr>
          <w:p w14:paraId="5B02066C"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shd w:val="clear" w:color="auto" w:fill="auto"/>
            <w:tcMar>
              <w:top w:w="0" w:type="dxa"/>
              <w:left w:w="28" w:type="dxa"/>
              <w:bottom w:w="0" w:type="dxa"/>
              <w:right w:w="28" w:type="dxa"/>
            </w:tcMar>
          </w:tcPr>
          <w:p w14:paraId="77BD4BE6"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992" w:type="dxa"/>
            <w:shd w:val="clear" w:color="auto" w:fill="auto"/>
            <w:tcMar>
              <w:top w:w="0" w:type="dxa"/>
              <w:left w:w="28" w:type="dxa"/>
              <w:bottom w:w="0" w:type="dxa"/>
              <w:right w:w="28" w:type="dxa"/>
            </w:tcMar>
          </w:tcPr>
          <w:p w14:paraId="3415C19F"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c>
          <w:tcPr>
            <w:tcW w:w="1134" w:type="dxa"/>
            <w:shd w:val="clear" w:color="auto" w:fill="auto"/>
            <w:tcMar>
              <w:top w:w="0" w:type="dxa"/>
              <w:left w:w="28" w:type="dxa"/>
              <w:bottom w:w="0" w:type="dxa"/>
              <w:right w:w="28" w:type="dxa"/>
            </w:tcMar>
          </w:tcPr>
          <w:p w14:paraId="41B1CF65" w14:textId="77777777" w:rsidR="00711444" w:rsidRPr="004D0DAA" w:rsidRDefault="00711444" w:rsidP="00AA2A4C">
            <w:pPr>
              <w:keepNext/>
              <w:keepLines/>
              <w:spacing w:after="0"/>
              <w:jc w:val="center"/>
              <w:rPr>
                <w:rFonts w:ascii="Arial" w:hAnsi="Arial" w:cs="Arial"/>
                <w:sz w:val="18"/>
                <w:szCs w:val="18"/>
              </w:rPr>
            </w:pPr>
            <w:r w:rsidRPr="004D0DAA">
              <w:rPr>
                <w:rFonts w:ascii="Arial" w:hAnsi="Arial" w:cs="Arial"/>
                <w:sz w:val="18"/>
                <w:szCs w:val="18"/>
              </w:rPr>
              <w:t>MCS-1</w:t>
            </w:r>
          </w:p>
        </w:tc>
      </w:tr>
      <w:tr w:rsidR="00711444" w:rsidRPr="004D0DAA" w14:paraId="0374840B" w14:textId="77777777" w:rsidTr="00AA2A4C">
        <w:trPr>
          <w:cantSplit/>
          <w:trHeight w:val="57"/>
        </w:trPr>
        <w:tc>
          <w:tcPr>
            <w:tcW w:w="8930" w:type="dxa"/>
            <w:gridSpan w:val="8"/>
            <w:shd w:val="clear" w:color="auto" w:fill="auto"/>
          </w:tcPr>
          <w:p w14:paraId="6980CACA" w14:textId="77777777" w:rsidR="00711444" w:rsidRPr="004D0DAA" w:rsidRDefault="00711444" w:rsidP="00AA2A4C">
            <w:pPr>
              <w:pStyle w:val="TAN"/>
              <w:rPr>
                <w:lang w:eastAsia="en-US"/>
              </w:rPr>
            </w:pPr>
            <w:r w:rsidRPr="004D0DAA">
              <w:rPr>
                <w:lang w:eastAsia="en-US"/>
              </w:rPr>
              <w:t>NOTE 1:</w:t>
            </w:r>
            <w:r w:rsidRPr="004D0DAA">
              <w:rPr>
                <w:lang w:eastAsia="en-US"/>
              </w:rPr>
              <w:tab/>
              <w:t>If MCS-1 to MCS-4 is commanded, see Table 8.1.1.4.</w:t>
            </w:r>
          </w:p>
          <w:p w14:paraId="0CF08D97" w14:textId="77777777" w:rsidR="00711444" w:rsidRPr="004D0DAA" w:rsidRDefault="00711444" w:rsidP="00AA2A4C">
            <w:pPr>
              <w:pStyle w:val="TAN"/>
              <w:rPr>
                <w:lang w:eastAsia="en-US"/>
              </w:rPr>
            </w:pPr>
            <w:r w:rsidRPr="004D0DAA">
              <w:rPr>
                <w:lang w:eastAsia="en-US"/>
              </w:rPr>
              <w:t>NOTE 2:</w:t>
            </w:r>
            <w:r w:rsidRPr="004D0DAA">
              <w:rPr>
                <w:lang w:eastAsia="en-US"/>
              </w:rPr>
              <w:tab/>
              <w:t xml:space="preserve">In this case, 10 octets of padding </w:t>
            </w:r>
            <w:r w:rsidRPr="004D0DAA">
              <w:rPr>
                <w:rFonts w:cs="Arial"/>
                <w:szCs w:val="18"/>
                <w:lang w:eastAsia="en-US"/>
              </w:rPr>
              <w:t xml:space="preserve">are </w:t>
            </w:r>
            <w:r w:rsidRPr="004D0DAA">
              <w:rPr>
                <w:lang w:eastAsia="en-US"/>
              </w:rPr>
              <w:t>used.</w:t>
            </w:r>
          </w:p>
        </w:tc>
      </w:tr>
    </w:tbl>
    <w:p w14:paraId="27FA5797" w14:textId="77777777" w:rsidR="00711444" w:rsidRPr="004D0DAA" w:rsidRDefault="00711444" w:rsidP="00711444"/>
    <w:p w14:paraId="49FEFB2B" w14:textId="77777777" w:rsidR="00711444" w:rsidRPr="004D0DAA" w:rsidRDefault="00711444" w:rsidP="00711444">
      <w:pPr>
        <w:pStyle w:val="TH"/>
      </w:pPr>
      <w:r w:rsidRPr="004D0DAA">
        <w:t>Table 8.1.1.7.2.7: Choice of modulation and coding scheme for retransmissions (initial transmission EGPRS2-B, level changed to EGPRS) with re-segmentation</w:t>
      </w:r>
    </w:p>
    <w:tbl>
      <w:tblPr>
        <w:tblW w:w="978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304"/>
        <w:gridCol w:w="1247"/>
        <w:gridCol w:w="1276"/>
        <w:gridCol w:w="1276"/>
        <w:gridCol w:w="1134"/>
        <w:gridCol w:w="1275"/>
        <w:gridCol w:w="1134"/>
        <w:gridCol w:w="1134"/>
      </w:tblGrid>
      <w:tr w:rsidR="00711444" w:rsidRPr="004D0DAA" w14:paraId="3B4AD04C"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5F68D1E" w14:textId="77777777" w:rsidR="00711444" w:rsidRPr="004D0DAA" w:rsidRDefault="00711444" w:rsidP="00AA2A4C">
            <w:pPr>
              <w:pStyle w:val="TAH"/>
              <w:rPr>
                <w:lang w:eastAsia="en-US"/>
              </w:rPr>
            </w:pPr>
            <w:r w:rsidRPr="004D0DAA">
              <w:rPr>
                <w:lang w:eastAsia="en-US"/>
              </w:rPr>
              <w:t>Scheme used for Initial transmission</w:t>
            </w:r>
          </w:p>
        </w:tc>
        <w:tc>
          <w:tcPr>
            <w:tcW w:w="8476" w:type="dxa"/>
            <w:gridSpan w:val="7"/>
            <w:tcBorders>
              <w:top w:val="single" w:sz="4" w:space="0" w:color="auto"/>
              <w:left w:val="single" w:sz="4" w:space="0" w:color="auto"/>
              <w:bottom w:val="single" w:sz="4" w:space="0" w:color="auto"/>
              <w:right w:val="single" w:sz="4" w:space="0" w:color="auto"/>
            </w:tcBorders>
          </w:tcPr>
          <w:p w14:paraId="6E909256" w14:textId="77777777" w:rsidR="00711444" w:rsidRPr="004D0DAA" w:rsidRDefault="00711444" w:rsidP="00AA2A4C">
            <w:pPr>
              <w:pStyle w:val="TAH"/>
              <w:rPr>
                <w:lang w:eastAsia="en-US"/>
              </w:rPr>
            </w:pPr>
            <w:r w:rsidRPr="004D0DAA">
              <w:rPr>
                <w:lang w:eastAsia="en-US"/>
              </w:rPr>
              <w:t>Scheme to use for retransmissions after switching to EGPRS (MCS)</w:t>
            </w:r>
          </w:p>
        </w:tc>
      </w:tr>
      <w:tr w:rsidR="00711444" w:rsidRPr="004D0DAA" w14:paraId="7DD20BFF" w14:textId="77777777" w:rsidTr="00AA2A4C">
        <w:trPr>
          <w:trHeight w:val="567"/>
        </w:trPr>
        <w:tc>
          <w:tcPr>
            <w:tcW w:w="1304" w:type="dxa"/>
            <w:tcBorders>
              <w:top w:val="single" w:sz="4" w:space="0" w:color="auto"/>
              <w:left w:val="single" w:sz="4" w:space="0" w:color="auto"/>
              <w:bottom w:val="single" w:sz="4" w:space="0" w:color="auto"/>
              <w:right w:val="single" w:sz="4" w:space="0" w:color="auto"/>
            </w:tcBorders>
            <w:shd w:val="clear" w:color="auto" w:fill="auto"/>
          </w:tcPr>
          <w:p w14:paraId="4025D28B" w14:textId="77777777" w:rsidR="00711444" w:rsidRPr="004D0DAA" w:rsidRDefault="00711444" w:rsidP="00AA2A4C"/>
        </w:tc>
        <w:tc>
          <w:tcPr>
            <w:tcW w:w="1247" w:type="dxa"/>
            <w:tcBorders>
              <w:top w:val="single" w:sz="4" w:space="0" w:color="auto"/>
              <w:left w:val="single" w:sz="4" w:space="0" w:color="auto"/>
              <w:bottom w:val="single" w:sz="4" w:space="0" w:color="auto"/>
              <w:right w:val="single" w:sz="4" w:space="0" w:color="auto"/>
            </w:tcBorders>
          </w:tcPr>
          <w:p w14:paraId="060AFDA9" w14:textId="77777777" w:rsidR="00711444" w:rsidRPr="004D0DAA" w:rsidRDefault="00711444" w:rsidP="00AA2A4C">
            <w:pPr>
              <w:pStyle w:val="TAH"/>
              <w:rPr>
                <w:lang w:eastAsia="en-US"/>
              </w:rPr>
            </w:pPr>
            <w:r w:rsidRPr="004D0DAA">
              <w:rPr>
                <w:lang w:eastAsia="en-US"/>
              </w:rPr>
              <w:t>MCS-9 Commanded</w:t>
            </w:r>
          </w:p>
        </w:tc>
        <w:tc>
          <w:tcPr>
            <w:tcW w:w="1276" w:type="dxa"/>
            <w:tcBorders>
              <w:top w:val="single" w:sz="4" w:space="0" w:color="auto"/>
              <w:left w:val="single" w:sz="4" w:space="0" w:color="auto"/>
              <w:bottom w:val="single" w:sz="4" w:space="0" w:color="auto"/>
              <w:right w:val="single" w:sz="4" w:space="0" w:color="auto"/>
            </w:tcBorders>
          </w:tcPr>
          <w:p w14:paraId="6EB1E3BB" w14:textId="77777777" w:rsidR="00711444" w:rsidRPr="004D0DAA" w:rsidRDefault="00711444" w:rsidP="00AA2A4C">
            <w:pPr>
              <w:pStyle w:val="TAH"/>
              <w:rPr>
                <w:lang w:eastAsia="en-US"/>
              </w:rPr>
            </w:pPr>
            <w:r w:rsidRPr="004D0DAA">
              <w:rPr>
                <w:lang w:eastAsia="en-US"/>
              </w:rPr>
              <w:t>MCS-8 Commanded</w:t>
            </w:r>
          </w:p>
        </w:tc>
        <w:tc>
          <w:tcPr>
            <w:tcW w:w="1276" w:type="dxa"/>
            <w:tcBorders>
              <w:top w:val="single" w:sz="4" w:space="0" w:color="auto"/>
              <w:left w:val="single" w:sz="4" w:space="0" w:color="auto"/>
              <w:bottom w:val="single" w:sz="4" w:space="0" w:color="auto"/>
              <w:right w:val="single" w:sz="4" w:space="0" w:color="auto"/>
            </w:tcBorders>
          </w:tcPr>
          <w:p w14:paraId="397A64A3" w14:textId="77777777" w:rsidR="00711444" w:rsidRPr="004D0DAA" w:rsidRDefault="00711444" w:rsidP="00AA2A4C">
            <w:pPr>
              <w:pStyle w:val="TAH"/>
              <w:rPr>
                <w:lang w:eastAsia="en-US"/>
              </w:rPr>
            </w:pPr>
            <w:r w:rsidRPr="004D0DAA">
              <w:rPr>
                <w:lang w:eastAsia="en-US"/>
              </w:rPr>
              <w:t>MCS-7 Commanded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383AE" w14:textId="77777777" w:rsidR="00711444" w:rsidRPr="004D0DAA" w:rsidRDefault="00711444" w:rsidP="00AA2A4C">
            <w:pPr>
              <w:pStyle w:val="TAH"/>
              <w:rPr>
                <w:lang w:eastAsia="en-US"/>
              </w:rPr>
            </w:pPr>
            <w:r w:rsidRPr="004D0DAA">
              <w:rPr>
                <w:rFonts w:cs="Arial"/>
                <w:lang w:eastAsia="en-US"/>
              </w:rPr>
              <w:t>MCS-6-9 Commanded</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58F621C" w14:textId="77777777" w:rsidR="00711444" w:rsidRPr="004D0DAA" w:rsidRDefault="00711444" w:rsidP="00AA2A4C">
            <w:pPr>
              <w:pStyle w:val="TAH"/>
              <w:rPr>
                <w:lang w:eastAsia="en-US"/>
              </w:rPr>
            </w:pPr>
            <w:r w:rsidRPr="004D0DAA">
              <w:rPr>
                <w:lang w:eastAsia="en-US"/>
              </w:rPr>
              <w:t>MCS-6 Commanded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B392FB" w14:textId="77777777" w:rsidR="00711444" w:rsidRPr="004D0DAA" w:rsidRDefault="00711444" w:rsidP="00AA2A4C">
            <w:pPr>
              <w:pStyle w:val="TAH"/>
              <w:rPr>
                <w:lang w:eastAsia="en-US"/>
              </w:rPr>
            </w:pPr>
            <w:r w:rsidRPr="004D0DAA">
              <w:rPr>
                <w:lang w:eastAsia="en-US"/>
              </w:rPr>
              <w:t>MCS-5-7 Commanded</w:t>
            </w:r>
          </w:p>
        </w:tc>
        <w:tc>
          <w:tcPr>
            <w:tcW w:w="1134" w:type="dxa"/>
          </w:tcPr>
          <w:p w14:paraId="5C1A739C" w14:textId="77777777" w:rsidR="00711444" w:rsidRPr="004D0DAA" w:rsidRDefault="00711444" w:rsidP="00AA2A4C">
            <w:pPr>
              <w:pStyle w:val="TAH"/>
              <w:rPr>
                <w:lang w:eastAsia="en-US"/>
              </w:rPr>
            </w:pPr>
            <w:r w:rsidRPr="004D0DAA">
              <w:rPr>
                <w:lang w:eastAsia="en-US"/>
              </w:rPr>
              <w:t>MCS-5 Commanded</w:t>
            </w:r>
          </w:p>
        </w:tc>
      </w:tr>
      <w:tr w:rsidR="00711444" w:rsidRPr="004D0DAA" w14:paraId="59D7C633"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E233E27" w14:textId="77777777" w:rsidR="00711444" w:rsidRPr="004D0DAA" w:rsidRDefault="00711444" w:rsidP="00AA2A4C">
            <w:pPr>
              <w:pStyle w:val="TAC"/>
              <w:rPr>
                <w:lang w:eastAsia="en-US"/>
              </w:rPr>
            </w:pPr>
            <w:r w:rsidRPr="004D0DAA">
              <w:rPr>
                <w:szCs w:val="18"/>
                <w:lang w:eastAsia="en-US"/>
              </w:rPr>
              <w:lastRenderedPageBreak/>
              <w:t>UBS-12</w:t>
            </w:r>
          </w:p>
        </w:tc>
        <w:tc>
          <w:tcPr>
            <w:tcW w:w="1247" w:type="dxa"/>
            <w:tcBorders>
              <w:top w:val="single" w:sz="4" w:space="0" w:color="auto"/>
              <w:left w:val="single" w:sz="4" w:space="0" w:color="auto"/>
              <w:bottom w:val="single" w:sz="4" w:space="0" w:color="auto"/>
              <w:right w:val="single" w:sz="4" w:space="0" w:color="auto"/>
            </w:tcBorders>
          </w:tcPr>
          <w:p w14:paraId="29145C93" w14:textId="77777777" w:rsidR="00711444" w:rsidRPr="004D0DAA" w:rsidRDefault="00711444" w:rsidP="00AA2A4C">
            <w:pPr>
              <w:pStyle w:val="TAC"/>
              <w:rPr>
                <w:lang w:eastAsia="en-US"/>
              </w:rPr>
            </w:pPr>
            <w:r w:rsidRPr="004D0DAA">
              <w:rPr>
                <w:szCs w:val="18"/>
                <w:lang w:eastAsia="en-US"/>
              </w:rPr>
              <w:t>MCS-9</w:t>
            </w:r>
          </w:p>
        </w:tc>
        <w:tc>
          <w:tcPr>
            <w:tcW w:w="1276" w:type="dxa"/>
            <w:tcBorders>
              <w:top w:val="single" w:sz="4" w:space="0" w:color="auto"/>
              <w:left w:val="single" w:sz="4" w:space="0" w:color="auto"/>
              <w:bottom w:val="single" w:sz="4" w:space="0" w:color="auto"/>
              <w:right w:val="single" w:sz="4" w:space="0" w:color="auto"/>
            </w:tcBorders>
          </w:tcPr>
          <w:p w14:paraId="0D30375E" w14:textId="77777777" w:rsidR="00711444" w:rsidRPr="004D0DAA" w:rsidRDefault="00711444" w:rsidP="00AA2A4C">
            <w:pPr>
              <w:pStyle w:val="TAC"/>
              <w:rPr>
                <w:lang w:eastAsia="en-US"/>
              </w:rPr>
            </w:pPr>
            <w:r w:rsidRPr="004D0DAA">
              <w:rPr>
                <w:szCs w:val="18"/>
                <w:lang w:eastAsia="en-US"/>
              </w:rPr>
              <w:t>MCS-6</w:t>
            </w:r>
          </w:p>
        </w:tc>
        <w:tc>
          <w:tcPr>
            <w:tcW w:w="1276" w:type="dxa"/>
            <w:tcBorders>
              <w:top w:val="single" w:sz="4" w:space="0" w:color="auto"/>
              <w:left w:val="single" w:sz="4" w:space="0" w:color="auto"/>
              <w:bottom w:val="single" w:sz="4" w:space="0" w:color="auto"/>
              <w:right w:val="single" w:sz="4" w:space="0" w:color="auto"/>
            </w:tcBorders>
          </w:tcPr>
          <w:p w14:paraId="0DC8BAF6"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8B9307A" w14:textId="77777777" w:rsidR="00711444" w:rsidRPr="004D0DAA" w:rsidRDefault="00711444" w:rsidP="00AA2A4C">
            <w:pPr>
              <w:pStyle w:val="TAC"/>
              <w:rPr>
                <w:lang w:eastAsia="en-US"/>
              </w:rPr>
            </w:pPr>
            <w:r w:rsidRPr="004D0DAA">
              <w:rPr>
                <w:szCs w:val="18"/>
                <w:lang w:eastAsia="en-US"/>
              </w:rPr>
              <w:t>MCS-9</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385B29B"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B21A891" w14:textId="77777777" w:rsidR="00711444" w:rsidRPr="004D0DAA" w:rsidRDefault="00711444" w:rsidP="00AA2A4C">
            <w:pPr>
              <w:pStyle w:val="TAC"/>
              <w:rPr>
                <w:lang w:eastAsia="en-US"/>
              </w:rPr>
            </w:pPr>
            <w:r w:rsidRPr="004D0DAA">
              <w:rPr>
                <w:szCs w:val="18"/>
                <w:lang w:eastAsia="en-US"/>
              </w:rPr>
              <w:t>MCS-3</w:t>
            </w:r>
          </w:p>
        </w:tc>
        <w:tc>
          <w:tcPr>
            <w:tcW w:w="1134" w:type="dxa"/>
          </w:tcPr>
          <w:p w14:paraId="354CAEB9" w14:textId="77777777" w:rsidR="00711444" w:rsidRPr="004D0DAA" w:rsidRDefault="00711444" w:rsidP="00AA2A4C">
            <w:pPr>
              <w:pStyle w:val="TAC"/>
              <w:rPr>
                <w:lang w:eastAsia="en-US"/>
              </w:rPr>
            </w:pPr>
            <w:r w:rsidRPr="004D0DAA">
              <w:rPr>
                <w:szCs w:val="18"/>
                <w:lang w:eastAsia="en-US"/>
              </w:rPr>
              <w:t>MCS-3</w:t>
            </w:r>
          </w:p>
        </w:tc>
      </w:tr>
      <w:tr w:rsidR="00711444" w:rsidRPr="004D0DAA" w14:paraId="785F1CD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45DB67F2" w14:textId="77777777" w:rsidR="00711444" w:rsidRPr="004D0DAA" w:rsidRDefault="00711444" w:rsidP="00AA2A4C">
            <w:pPr>
              <w:pStyle w:val="TAC"/>
              <w:rPr>
                <w:lang w:eastAsia="en-US"/>
              </w:rPr>
            </w:pPr>
            <w:r w:rsidRPr="004D0DAA">
              <w:rPr>
                <w:szCs w:val="18"/>
                <w:lang w:eastAsia="en-US"/>
              </w:rPr>
              <w:t>UBS-11</w:t>
            </w:r>
          </w:p>
        </w:tc>
        <w:tc>
          <w:tcPr>
            <w:tcW w:w="1247" w:type="dxa"/>
            <w:tcBorders>
              <w:top w:val="single" w:sz="4" w:space="0" w:color="auto"/>
              <w:left w:val="single" w:sz="4" w:space="0" w:color="auto"/>
              <w:bottom w:val="single" w:sz="4" w:space="0" w:color="auto"/>
              <w:right w:val="single" w:sz="4" w:space="0" w:color="auto"/>
            </w:tcBorders>
          </w:tcPr>
          <w:p w14:paraId="0D2F8B74" w14:textId="77777777" w:rsidR="00711444" w:rsidRPr="004D0DAA" w:rsidRDefault="00711444" w:rsidP="00AA2A4C">
            <w:pPr>
              <w:pStyle w:val="TAC"/>
              <w:rPr>
                <w:lang w:eastAsia="en-US"/>
              </w:rPr>
            </w:pPr>
            <w:r w:rsidRPr="004D0DAA">
              <w:rPr>
                <w:szCs w:val="18"/>
                <w:lang w:eastAsia="en-US"/>
              </w:rPr>
              <w:t>MCS-8</w:t>
            </w:r>
          </w:p>
        </w:tc>
        <w:tc>
          <w:tcPr>
            <w:tcW w:w="1276" w:type="dxa"/>
            <w:tcBorders>
              <w:top w:val="single" w:sz="4" w:space="0" w:color="auto"/>
              <w:left w:val="single" w:sz="4" w:space="0" w:color="auto"/>
              <w:bottom w:val="single" w:sz="4" w:space="0" w:color="auto"/>
              <w:right w:val="single" w:sz="4" w:space="0" w:color="auto"/>
            </w:tcBorders>
          </w:tcPr>
          <w:p w14:paraId="7405A120" w14:textId="77777777" w:rsidR="00711444" w:rsidRPr="004D0DAA" w:rsidRDefault="00711444" w:rsidP="00AA2A4C">
            <w:pPr>
              <w:pStyle w:val="TAC"/>
              <w:rPr>
                <w:lang w:eastAsia="en-US"/>
              </w:rPr>
            </w:pPr>
            <w:r w:rsidRPr="004D0DAA">
              <w:rPr>
                <w:szCs w:val="18"/>
                <w:lang w:eastAsia="en-US"/>
              </w:rPr>
              <w:t>MCS-8</w:t>
            </w:r>
          </w:p>
        </w:tc>
        <w:tc>
          <w:tcPr>
            <w:tcW w:w="1276" w:type="dxa"/>
            <w:tcBorders>
              <w:top w:val="single" w:sz="4" w:space="0" w:color="auto"/>
              <w:left w:val="single" w:sz="4" w:space="0" w:color="auto"/>
              <w:bottom w:val="single" w:sz="4" w:space="0" w:color="auto"/>
              <w:right w:val="single" w:sz="4" w:space="0" w:color="auto"/>
            </w:tcBorders>
          </w:tcPr>
          <w:p w14:paraId="17034D7A"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4BFF6BE" w14:textId="77777777" w:rsidR="00711444" w:rsidRPr="004D0DAA" w:rsidRDefault="00711444" w:rsidP="00AA2A4C">
            <w:pPr>
              <w:pStyle w:val="TAC"/>
              <w:rPr>
                <w:lang w:eastAsia="en-US"/>
              </w:rPr>
            </w:pPr>
            <w:r w:rsidRPr="004D0DAA">
              <w:rPr>
                <w:szCs w:val="18"/>
                <w:lang w:eastAsia="en-US"/>
              </w:rPr>
              <w:t>MCS-6</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369C46C"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BA11E35" w14:textId="77777777" w:rsidR="00711444" w:rsidRPr="004D0DAA" w:rsidRDefault="00711444" w:rsidP="00AA2A4C">
            <w:pPr>
              <w:pStyle w:val="TAC"/>
              <w:rPr>
                <w:lang w:eastAsia="en-US"/>
              </w:rPr>
            </w:pPr>
            <w:r w:rsidRPr="004D0DAA">
              <w:rPr>
                <w:szCs w:val="18"/>
                <w:lang w:eastAsia="en-US"/>
              </w:rPr>
              <w:t>MCS-3</w:t>
            </w:r>
          </w:p>
        </w:tc>
        <w:tc>
          <w:tcPr>
            <w:tcW w:w="1134" w:type="dxa"/>
          </w:tcPr>
          <w:p w14:paraId="3F1088DB" w14:textId="77777777" w:rsidR="00711444" w:rsidRPr="004D0DAA" w:rsidRDefault="00711444" w:rsidP="00AA2A4C">
            <w:pPr>
              <w:pStyle w:val="TAC"/>
              <w:rPr>
                <w:lang w:eastAsia="en-US"/>
              </w:rPr>
            </w:pPr>
            <w:r w:rsidRPr="004D0DAA">
              <w:rPr>
                <w:szCs w:val="18"/>
                <w:lang w:eastAsia="en-US"/>
              </w:rPr>
              <w:t>MCS-3</w:t>
            </w:r>
          </w:p>
        </w:tc>
      </w:tr>
      <w:tr w:rsidR="00711444" w:rsidRPr="004D0DAA" w14:paraId="2134C18A"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3E2316E" w14:textId="77777777" w:rsidR="00711444" w:rsidRPr="004D0DAA" w:rsidRDefault="00711444" w:rsidP="00AA2A4C">
            <w:pPr>
              <w:pStyle w:val="TAC"/>
              <w:rPr>
                <w:lang w:eastAsia="en-US"/>
              </w:rPr>
            </w:pPr>
            <w:r w:rsidRPr="004D0DAA">
              <w:rPr>
                <w:szCs w:val="18"/>
                <w:lang w:eastAsia="en-US"/>
              </w:rPr>
              <w:t>UBS-10</w:t>
            </w:r>
          </w:p>
        </w:tc>
        <w:tc>
          <w:tcPr>
            <w:tcW w:w="1247" w:type="dxa"/>
            <w:tcBorders>
              <w:top w:val="single" w:sz="4" w:space="0" w:color="auto"/>
              <w:left w:val="single" w:sz="4" w:space="0" w:color="auto"/>
              <w:bottom w:val="single" w:sz="4" w:space="0" w:color="auto"/>
              <w:right w:val="single" w:sz="4" w:space="0" w:color="auto"/>
            </w:tcBorders>
          </w:tcPr>
          <w:p w14:paraId="478F342F" w14:textId="77777777" w:rsidR="00711444" w:rsidRPr="004D0DAA" w:rsidRDefault="00711444" w:rsidP="00AA2A4C">
            <w:pPr>
              <w:pStyle w:val="TAC"/>
              <w:rPr>
                <w:lang w:eastAsia="en-US"/>
              </w:rPr>
            </w:pPr>
            <w:r w:rsidRPr="004D0DAA">
              <w:rPr>
                <w:szCs w:val="18"/>
                <w:lang w:eastAsia="en-US"/>
              </w:rPr>
              <w:t>MCS-8 / MCS-9 (NOTE 2)</w:t>
            </w:r>
          </w:p>
        </w:tc>
        <w:tc>
          <w:tcPr>
            <w:tcW w:w="1276" w:type="dxa"/>
            <w:tcBorders>
              <w:top w:val="single" w:sz="4" w:space="0" w:color="auto"/>
              <w:left w:val="single" w:sz="4" w:space="0" w:color="auto"/>
              <w:bottom w:val="single" w:sz="4" w:space="0" w:color="auto"/>
              <w:right w:val="single" w:sz="4" w:space="0" w:color="auto"/>
            </w:tcBorders>
          </w:tcPr>
          <w:p w14:paraId="5BD1C637" w14:textId="77777777" w:rsidR="00711444" w:rsidRPr="004D0DAA" w:rsidRDefault="00711444" w:rsidP="00AA2A4C">
            <w:pPr>
              <w:pStyle w:val="TAC"/>
              <w:rPr>
                <w:lang w:eastAsia="en-US"/>
              </w:rPr>
            </w:pPr>
            <w:r w:rsidRPr="004D0DAA">
              <w:rPr>
                <w:szCs w:val="18"/>
                <w:lang w:eastAsia="en-US"/>
              </w:rPr>
              <w:t>MCS-8 / MCS-6 (NOTE 2)</w:t>
            </w:r>
          </w:p>
        </w:tc>
        <w:tc>
          <w:tcPr>
            <w:tcW w:w="1276" w:type="dxa"/>
            <w:tcBorders>
              <w:top w:val="single" w:sz="4" w:space="0" w:color="auto"/>
              <w:left w:val="single" w:sz="4" w:space="0" w:color="auto"/>
              <w:bottom w:val="single" w:sz="4" w:space="0" w:color="auto"/>
              <w:right w:val="single" w:sz="4" w:space="0" w:color="auto"/>
            </w:tcBorders>
          </w:tcPr>
          <w:p w14:paraId="19AE0F57"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58F2A89" w14:textId="77777777" w:rsidR="00711444" w:rsidRPr="004D0DAA" w:rsidRDefault="00711444" w:rsidP="00AA2A4C">
            <w:pPr>
              <w:pStyle w:val="TAC"/>
              <w:rPr>
                <w:lang w:eastAsia="en-US"/>
              </w:rPr>
            </w:pPr>
            <w:r w:rsidRPr="004D0DAA">
              <w:rPr>
                <w:szCs w:val="18"/>
                <w:lang w:eastAsia="en-US"/>
              </w:rPr>
              <w:t>MCS-9</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05FB0E0"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2113275" w14:textId="77777777" w:rsidR="00711444" w:rsidRPr="004D0DAA" w:rsidRDefault="00711444" w:rsidP="00AA2A4C">
            <w:pPr>
              <w:pStyle w:val="TAC"/>
              <w:rPr>
                <w:lang w:eastAsia="en-US"/>
              </w:rPr>
            </w:pPr>
            <w:r w:rsidRPr="004D0DAA">
              <w:rPr>
                <w:szCs w:val="18"/>
                <w:lang w:eastAsia="en-US"/>
              </w:rPr>
              <w:t>MCS-3</w:t>
            </w:r>
          </w:p>
        </w:tc>
        <w:tc>
          <w:tcPr>
            <w:tcW w:w="1134" w:type="dxa"/>
          </w:tcPr>
          <w:p w14:paraId="38C96502" w14:textId="77777777" w:rsidR="00711444" w:rsidRPr="004D0DAA" w:rsidRDefault="00711444" w:rsidP="00AA2A4C">
            <w:pPr>
              <w:pStyle w:val="TAC"/>
              <w:rPr>
                <w:lang w:eastAsia="en-US"/>
              </w:rPr>
            </w:pPr>
            <w:r w:rsidRPr="004D0DAA">
              <w:rPr>
                <w:szCs w:val="18"/>
                <w:lang w:eastAsia="en-US"/>
              </w:rPr>
              <w:t>MCS-3</w:t>
            </w:r>
          </w:p>
        </w:tc>
      </w:tr>
      <w:tr w:rsidR="00711444" w:rsidRPr="004D0DAA" w14:paraId="19969502"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FF18D5E" w14:textId="77777777" w:rsidR="00711444" w:rsidRPr="004D0DAA" w:rsidRDefault="00711444" w:rsidP="00AA2A4C">
            <w:pPr>
              <w:pStyle w:val="TAC"/>
              <w:rPr>
                <w:lang w:eastAsia="en-US"/>
              </w:rPr>
            </w:pPr>
            <w:r w:rsidRPr="004D0DAA">
              <w:rPr>
                <w:szCs w:val="18"/>
                <w:lang w:eastAsia="en-US"/>
              </w:rPr>
              <w:t>UBS-9</w:t>
            </w:r>
          </w:p>
        </w:tc>
        <w:tc>
          <w:tcPr>
            <w:tcW w:w="1247" w:type="dxa"/>
            <w:tcBorders>
              <w:top w:val="single" w:sz="4" w:space="0" w:color="auto"/>
              <w:left w:val="single" w:sz="4" w:space="0" w:color="auto"/>
              <w:bottom w:val="single" w:sz="4" w:space="0" w:color="auto"/>
              <w:right w:val="single" w:sz="4" w:space="0" w:color="auto"/>
            </w:tcBorders>
          </w:tcPr>
          <w:p w14:paraId="70C93EDD"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737D9DE4"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351F2C8A" w14:textId="77777777" w:rsidR="00711444" w:rsidRPr="004D0DAA" w:rsidRDefault="00711444" w:rsidP="00AA2A4C">
            <w:pPr>
              <w:pStyle w:val="TAC"/>
              <w:rPr>
                <w:lang w:eastAsia="en-US"/>
              </w:rPr>
            </w:pPr>
            <w:r w:rsidRPr="004D0DAA">
              <w:rPr>
                <w:szCs w:val="18"/>
                <w:lang w:eastAsia="en-US"/>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7FC7597" w14:textId="77777777" w:rsidR="00711444" w:rsidRPr="004D0DAA" w:rsidRDefault="00711444" w:rsidP="00AA2A4C">
            <w:pPr>
              <w:pStyle w:val="TAC"/>
              <w:rPr>
                <w:lang w:eastAsia="en-US"/>
              </w:rPr>
            </w:pPr>
            <w:r w:rsidRPr="004D0DAA">
              <w:rPr>
                <w:szCs w:val="18"/>
                <w:lang w:eastAsia="en-US"/>
              </w:rPr>
              <w:t>MCS-5</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B37D1F5" w14:textId="77777777" w:rsidR="00711444" w:rsidRPr="004D0DAA" w:rsidRDefault="00711444" w:rsidP="00AA2A4C">
            <w:pPr>
              <w:pStyle w:val="TAC"/>
              <w:rPr>
                <w:lang w:eastAsia="en-US"/>
              </w:rPr>
            </w:pPr>
            <w:r w:rsidRPr="004D0DAA">
              <w:rPr>
                <w:szCs w:val="18"/>
                <w:lang w:eastAsia="en-US"/>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277E955F" w14:textId="77777777" w:rsidR="00711444" w:rsidRPr="004D0DAA" w:rsidRDefault="00711444" w:rsidP="00AA2A4C">
            <w:pPr>
              <w:pStyle w:val="TAC"/>
              <w:rPr>
                <w:lang w:eastAsia="en-US"/>
              </w:rPr>
            </w:pPr>
            <w:r w:rsidRPr="004D0DAA">
              <w:rPr>
                <w:szCs w:val="18"/>
                <w:lang w:eastAsia="en-US"/>
              </w:rPr>
              <w:t>MCS-7</w:t>
            </w:r>
          </w:p>
        </w:tc>
        <w:tc>
          <w:tcPr>
            <w:tcW w:w="1134" w:type="dxa"/>
          </w:tcPr>
          <w:p w14:paraId="3E35309C" w14:textId="77777777" w:rsidR="00711444" w:rsidRPr="004D0DAA" w:rsidRDefault="00711444" w:rsidP="00AA2A4C">
            <w:pPr>
              <w:pStyle w:val="TAC"/>
              <w:rPr>
                <w:lang w:eastAsia="en-US"/>
              </w:rPr>
            </w:pPr>
            <w:r w:rsidRPr="004D0DAA">
              <w:rPr>
                <w:szCs w:val="18"/>
                <w:lang w:eastAsia="en-US"/>
              </w:rPr>
              <w:t>MCS-5</w:t>
            </w:r>
          </w:p>
        </w:tc>
      </w:tr>
      <w:tr w:rsidR="00711444" w:rsidRPr="004D0DAA" w14:paraId="4F642232"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40DF3A61" w14:textId="77777777" w:rsidR="00711444" w:rsidRPr="004D0DAA" w:rsidRDefault="00711444" w:rsidP="00AA2A4C">
            <w:pPr>
              <w:pStyle w:val="TAC"/>
              <w:rPr>
                <w:lang w:eastAsia="en-US"/>
              </w:rPr>
            </w:pPr>
            <w:r w:rsidRPr="004D0DAA">
              <w:rPr>
                <w:szCs w:val="18"/>
                <w:lang w:eastAsia="en-US"/>
              </w:rPr>
              <w:t>UBS-8</w:t>
            </w:r>
          </w:p>
        </w:tc>
        <w:tc>
          <w:tcPr>
            <w:tcW w:w="1247" w:type="dxa"/>
            <w:tcBorders>
              <w:top w:val="single" w:sz="4" w:space="0" w:color="auto"/>
              <w:left w:val="single" w:sz="4" w:space="0" w:color="auto"/>
              <w:bottom w:val="single" w:sz="4" w:space="0" w:color="auto"/>
              <w:right w:val="single" w:sz="4" w:space="0" w:color="auto"/>
            </w:tcBorders>
          </w:tcPr>
          <w:p w14:paraId="4ECF6E1C" w14:textId="77777777" w:rsidR="00711444" w:rsidRPr="004D0DAA" w:rsidRDefault="00711444" w:rsidP="00AA2A4C">
            <w:pPr>
              <w:pStyle w:val="TAC"/>
              <w:rPr>
                <w:lang w:eastAsia="en-US"/>
              </w:rPr>
            </w:pPr>
            <w:r w:rsidRPr="004D0DAA">
              <w:rPr>
                <w:szCs w:val="18"/>
                <w:lang w:eastAsia="en-US"/>
              </w:rPr>
              <w:t>MCS-8 / MCS-9 (NOTE 2)</w:t>
            </w:r>
          </w:p>
        </w:tc>
        <w:tc>
          <w:tcPr>
            <w:tcW w:w="1276" w:type="dxa"/>
            <w:tcBorders>
              <w:top w:val="single" w:sz="4" w:space="0" w:color="auto"/>
              <w:left w:val="single" w:sz="4" w:space="0" w:color="auto"/>
              <w:bottom w:val="single" w:sz="4" w:space="0" w:color="auto"/>
              <w:right w:val="single" w:sz="4" w:space="0" w:color="auto"/>
            </w:tcBorders>
          </w:tcPr>
          <w:p w14:paraId="06BFFDF8" w14:textId="77777777" w:rsidR="00711444" w:rsidRPr="004D0DAA" w:rsidRDefault="00711444" w:rsidP="00AA2A4C">
            <w:pPr>
              <w:pStyle w:val="TAC"/>
              <w:rPr>
                <w:lang w:eastAsia="en-US"/>
              </w:rPr>
            </w:pPr>
            <w:r w:rsidRPr="004D0DAA">
              <w:rPr>
                <w:szCs w:val="18"/>
                <w:lang w:eastAsia="en-US"/>
              </w:rPr>
              <w:t>MCS-8 / MCS-6 (NOTE 2)</w:t>
            </w:r>
          </w:p>
        </w:tc>
        <w:tc>
          <w:tcPr>
            <w:tcW w:w="1276" w:type="dxa"/>
            <w:tcBorders>
              <w:top w:val="single" w:sz="4" w:space="0" w:color="auto"/>
              <w:left w:val="single" w:sz="4" w:space="0" w:color="auto"/>
              <w:bottom w:val="single" w:sz="4" w:space="0" w:color="auto"/>
              <w:right w:val="single" w:sz="4" w:space="0" w:color="auto"/>
            </w:tcBorders>
          </w:tcPr>
          <w:p w14:paraId="0E7EC5C0"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0750222" w14:textId="77777777" w:rsidR="00711444" w:rsidRPr="004D0DAA" w:rsidRDefault="00711444" w:rsidP="00AA2A4C">
            <w:pPr>
              <w:pStyle w:val="TAC"/>
              <w:rPr>
                <w:lang w:eastAsia="en-US"/>
              </w:rPr>
            </w:pPr>
            <w:r w:rsidRPr="004D0DAA">
              <w:rPr>
                <w:szCs w:val="18"/>
                <w:lang w:eastAsia="en-US"/>
              </w:rPr>
              <w:t>MCS-9</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3DFB2B6"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7D7BA3A" w14:textId="77777777" w:rsidR="00711444" w:rsidRPr="004D0DAA" w:rsidRDefault="00711444" w:rsidP="00AA2A4C">
            <w:pPr>
              <w:pStyle w:val="TAC"/>
              <w:rPr>
                <w:lang w:eastAsia="en-US"/>
              </w:rPr>
            </w:pPr>
            <w:r w:rsidRPr="004D0DAA">
              <w:rPr>
                <w:szCs w:val="18"/>
                <w:lang w:eastAsia="en-US"/>
              </w:rPr>
              <w:t>MCS-3</w:t>
            </w:r>
          </w:p>
        </w:tc>
        <w:tc>
          <w:tcPr>
            <w:tcW w:w="1134" w:type="dxa"/>
          </w:tcPr>
          <w:p w14:paraId="7A0FE8D5" w14:textId="77777777" w:rsidR="00711444" w:rsidRPr="004D0DAA" w:rsidRDefault="00711444" w:rsidP="00AA2A4C">
            <w:pPr>
              <w:pStyle w:val="TAC"/>
              <w:rPr>
                <w:lang w:eastAsia="en-US"/>
              </w:rPr>
            </w:pPr>
            <w:r w:rsidRPr="004D0DAA">
              <w:rPr>
                <w:szCs w:val="18"/>
                <w:lang w:eastAsia="en-US"/>
              </w:rPr>
              <w:t>MCS-3</w:t>
            </w:r>
          </w:p>
        </w:tc>
      </w:tr>
      <w:tr w:rsidR="00711444" w:rsidRPr="004D0DAA" w14:paraId="214AE423"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4F80CAE1" w14:textId="77777777" w:rsidR="00711444" w:rsidRPr="004D0DAA" w:rsidRDefault="00711444" w:rsidP="00AA2A4C">
            <w:pPr>
              <w:pStyle w:val="TAC"/>
              <w:rPr>
                <w:lang w:eastAsia="en-US"/>
              </w:rPr>
            </w:pPr>
            <w:r w:rsidRPr="004D0DAA">
              <w:rPr>
                <w:szCs w:val="18"/>
                <w:lang w:eastAsia="en-US"/>
              </w:rPr>
              <w:t>UBS-7</w:t>
            </w:r>
          </w:p>
        </w:tc>
        <w:tc>
          <w:tcPr>
            <w:tcW w:w="1247" w:type="dxa"/>
            <w:tcBorders>
              <w:top w:val="single" w:sz="4" w:space="0" w:color="auto"/>
              <w:left w:val="single" w:sz="4" w:space="0" w:color="auto"/>
              <w:bottom w:val="single" w:sz="4" w:space="0" w:color="auto"/>
              <w:right w:val="single" w:sz="4" w:space="0" w:color="auto"/>
            </w:tcBorders>
          </w:tcPr>
          <w:p w14:paraId="1AF3F71A"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1C5B605D"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788C80EF" w14:textId="77777777" w:rsidR="00711444" w:rsidRPr="004D0DAA" w:rsidRDefault="00711444" w:rsidP="00AA2A4C">
            <w:pPr>
              <w:pStyle w:val="TAC"/>
              <w:rPr>
                <w:lang w:eastAsia="en-US"/>
              </w:rPr>
            </w:pPr>
            <w:r w:rsidRPr="004D0DAA">
              <w:rPr>
                <w:szCs w:val="18"/>
                <w:lang w:eastAsia="en-US"/>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13B5705" w14:textId="77777777" w:rsidR="00711444" w:rsidRPr="004D0DAA" w:rsidRDefault="00711444" w:rsidP="00AA2A4C">
            <w:pPr>
              <w:pStyle w:val="TAC"/>
              <w:rPr>
                <w:lang w:eastAsia="en-US"/>
              </w:rPr>
            </w:pPr>
            <w:r w:rsidRPr="004D0DAA">
              <w:rPr>
                <w:szCs w:val="18"/>
                <w:lang w:eastAsia="en-US"/>
              </w:rPr>
              <w:t>MCS-5</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C8640F2" w14:textId="77777777" w:rsidR="00711444" w:rsidRPr="004D0DAA" w:rsidRDefault="00711444" w:rsidP="00AA2A4C">
            <w:pPr>
              <w:pStyle w:val="TAC"/>
              <w:rPr>
                <w:lang w:eastAsia="en-US"/>
              </w:rPr>
            </w:pPr>
            <w:r w:rsidRPr="004D0DAA">
              <w:rPr>
                <w:szCs w:val="18"/>
                <w:lang w:eastAsia="en-US"/>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5764D7E" w14:textId="77777777" w:rsidR="00711444" w:rsidRPr="004D0DAA" w:rsidRDefault="00711444" w:rsidP="00AA2A4C">
            <w:pPr>
              <w:pStyle w:val="TAC"/>
              <w:rPr>
                <w:lang w:eastAsia="en-US"/>
              </w:rPr>
            </w:pPr>
            <w:r w:rsidRPr="004D0DAA">
              <w:rPr>
                <w:szCs w:val="18"/>
                <w:lang w:eastAsia="en-US"/>
              </w:rPr>
              <w:t>MCS-7</w:t>
            </w:r>
          </w:p>
        </w:tc>
        <w:tc>
          <w:tcPr>
            <w:tcW w:w="1134" w:type="dxa"/>
          </w:tcPr>
          <w:p w14:paraId="0687C2DA" w14:textId="77777777" w:rsidR="00711444" w:rsidRPr="004D0DAA" w:rsidRDefault="00711444" w:rsidP="00AA2A4C">
            <w:pPr>
              <w:pStyle w:val="TAC"/>
              <w:rPr>
                <w:lang w:eastAsia="en-US"/>
              </w:rPr>
            </w:pPr>
            <w:r w:rsidRPr="004D0DAA">
              <w:rPr>
                <w:szCs w:val="18"/>
                <w:lang w:eastAsia="en-US"/>
              </w:rPr>
              <w:t>MCS-5</w:t>
            </w:r>
          </w:p>
        </w:tc>
      </w:tr>
      <w:tr w:rsidR="00711444" w:rsidRPr="004D0DAA" w14:paraId="6E63856A"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511EDC5E" w14:textId="77777777" w:rsidR="00711444" w:rsidRPr="004D0DAA" w:rsidRDefault="00711444" w:rsidP="00AA2A4C">
            <w:pPr>
              <w:pStyle w:val="TAC"/>
              <w:rPr>
                <w:lang w:eastAsia="en-US"/>
              </w:rPr>
            </w:pPr>
            <w:r w:rsidRPr="004D0DAA">
              <w:rPr>
                <w:szCs w:val="18"/>
                <w:lang w:eastAsia="en-US"/>
              </w:rPr>
              <w:t>UBS-6</w:t>
            </w:r>
          </w:p>
        </w:tc>
        <w:tc>
          <w:tcPr>
            <w:tcW w:w="1247" w:type="dxa"/>
            <w:tcBorders>
              <w:top w:val="single" w:sz="4" w:space="0" w:color="auto"/>
              <w:left w:val="single" w:sz="4" w:space="0" w:color="auto"/>
              <w:bottom w:val="single" w:sz="4" w:space="0" w:color="auto"/>
              <w:right w:val="single" w:sz="4" w:space="0" w:color="auto"/>
            </w:tcBorders>
          </w:tcPr>
          <w:p w14:paraId="27F8F132" w14:textId="77777777" w:rsidR="00711444" w:rsidRPr="004D0DAA" w:rsidRDefault="00711444" w:rsidP="00AA2A4C">
            <w:pPr>
              <w:pStyle w:val="TAC"/>
              <w:rPr>
                <w:lang w:eastAsia="en-US"/>
              </w:rPr>
            </w:pPr>
            <w:r w:rsidRPr="004D0DAA">
              <w:rPr>
                <w:szCs w:val="18"/>
                <w:lang w:eastAsia="en-US"/>
              </w:rPr>
              <w:t>MCS-8 / MCS-9 (NOTE 2)</w:t>
            </w:r>
          </w:p>
        </w:tc>
        <w:tc>
          <w:tcPr>
            <w:tcW w:w="1276" w:type="dxa"/>
            <w:tcBorders>
              <w:top w:val="single" w:sz="4" w:space="0" w:color="auto"/>
              <w:left w:val="single" w:sz="4" w:space="0" w:color="auto"/>
              <w:bottom w:val="single" w:sz="4" w:space="0" w:color="auto"/>
              <w:right w:val="single" w:sz="4" w:space="0" w:color="auto"/>
            </w:tcBorders>
          </w:tcPr>
          <w:p w14:paraId="1449C5FC" w14:textId="77777777" w:rsidR="00711444" w:rsidRPr="004D0DAA" w:rsidRDefault="00711444" w:rsidP="00AA2A4C">
            <w:pPr>
              <w:pStyle w:val="TAC"/>
              <w:rPr>
                <w:lang w:eastAsia="en-US"/>
              </w:rPr>
            </w:pPr>
            <w:r w:rsidRPr="004D0DAA">
              <w:rPr>
                <w:szCs w:val="18"/>
                <w:lang w:eastAsia="en-US"/>
              </w:rPr>
              <w:t>MCS-8 / MCS-6 (NOTE 2)</w:t>
            </w:r>
          </w:p>
        </w:tc>
        <w:tc>
          <w:tcPr>
            <w:tcW w:w="1276" w:type="dxa"/>
            <w:tcBorders>
              <w:top w:val="single" w:sz="4" w:space="0" w:color="auto"/>
              <w:left w:val="single" w:sz="4" w:space="0" w:color="auto"/>
              <w:bottom w:val="single" w:sz="4" w:space="0" w:color="auto"/>
              <w:right w:val="single" w:sz="4" w:space="0" w:color="auto"/>
            </w:tcBorders>
          </w:tcPr>
          <w:p w14:paraId="6D3D1E93"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CCAD8EC" w14:textId="77777777" w:rsidR="00711444" w:rsidRPr="004D0DAA" w:rsidRDefault="00711444" w:rsidP="00AA2A4C">
            <w:pPr>
              <w:pStyle w:val="TAC"/>
              <w:rPr>
                <w:lang w:eastAsia="en-US"/>
              </w:rPr>
            </w:pPr>
            <w:r w:rsidRPr="004D0DAA">
              <w:rPr>
                <w:szCs w:val="18"/>
                <w:lang w:eastAsia="en-US"/>
              </w:rPr>
              <w:t>MCS-6</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F0C8BF" w14:textId="77777777" w:rsidR="00711444" w:rsidRPr="004D0DAA" w:rsidRDefault="00711444" w:rsidP="00AA2A4C">
            <w:pPr>
              <w:pStyle w:val="TAC"/>
              <w:rPr>
                <w:lang w:eastAsia="en-US"/>
              </w:rPr>
            </w:pPr>
            <w:r w:rsidRPr="004D0DAA">
              <w:rPr>
                <w:szCs w:val="18"/>
                <w:lang w:eastAsia="en-US"/>
              </w:rPr>
              <w:t>MCS-6</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52409E" w14:textId="77777777" w:rsidR="00711444" w:rsidRPr="004D0DAA" w:rsidRDefault="00711444" w:rsidP="00AA2A4C">
            <w:pPr>
              <w:pStyle w:val="TAC"/>
              <w:rPr>
                <w:lang w:eastAsia="en-US"/>
              </w:rPr>
            </w:pPr>
            <w:r w:rsidRPr="004D0DAA">
              <w:rPr>
                <w:szCs w:val="18"/>
                <w:lang w:eastAsia="en-US"/>
              </w:rPr>
              <w:t>MCS-3</w:t>
            </w:r>
          </w:p>
        </w:tc>
        <w:tc>
          <w:tcPr>
            <w:tcW w:w="1134" w:type="dxa"/>
          </w:tcPr>
          <w:p w14:paraId="2A85E9B5" w14:textId="77777777" w:rsidR="00711444" w:rsidRPr="004D0DAA" w:rsidRDefault="00711444" w:rsidP="00AA2A4C">
            <w:pPr>
              <w:pStyle w:val="TAC"/>
              <w:rPr>
                <w:lang w:eastAsia="en-US"/>
              </w:rPr>
            </w:pPr>
            <w:r w:rsidRPr="004D0DAA">
              <w:rPr>
                <w:szCs w:val="18"/>
                <w:lang w:eastAsia="en-US"/>
              </w:rPr>
              <w:t>MCS-3</w:t>
            </w:r>
          </w:p>
        </w:tc>
      </w:tr>
      <w:tr w:rsidR="00711444" w:rsidRPr="004D0DAA" w14:paraId="562F9F07"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B022A57" w14:textId="77777777" w:rsidR="00711444" w:rsidRPr="004D0DAA" w:rsidRDefault="00711444" w:rsidP="00AA2A4C">
            <w:pPr>
              <w:pStyle w:val="TAC"/>
              <w:rPr>
                <w:lang w:eastAsia="en-US"/>
              </w:rPr>
            </w:pPr>
            <w:r w:rsidRPr="004D0DAA">
              <w:rPr>
                <w:szCs w:val="18"/>
                <w:lang w:eastAsia="en-US"/>
              </w:rPr>
              <w:t>UBS-5</w:t>
            </w:r>
          </w:p>
        </w:tc>
        <w:tc>
          <w:tcPr>
            <w:tcW w:w="1247" w:type="dxa"/>
            <w:tcBorders>
              <w:top w:val="single" w:sz="4" w:space="0" w:color="auto"/>
              <w:left w:val="single" w:sz="4" w:space="0" w:color="auto"/>
              <w:bottom w:val="single" w:sz="4" w:space="0" w:color="auto"/>
              <w:right w:val="single" w:sz="4" w:space="0" w:color="auto"/>
            </w:tcBorders>
          </w:tcPr>
          <w:p w14:paraId="1D1F4F1B"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552A9041" w14:textId="77777777" w:rsidR="00711444" w:rsidRPr="004D0DAA" w:rsidRDefault="00711444" w:rsidP="00AA2A4C">
            <w:pPr>
              <w:pStyle w:val="TAC"/>
              <w:rPr>
                <w:lang w:eastAsia="en-US"/>
              </w:rPr>
            </w:pPr>
            <w:r w:rsidRPr="004D0DAA">
              <w:rPr>
                <w:szCs w:val="18"/>
                <w:lang w:eastAsia="en-US"/>
              </w:rPr>
              <w:t>MCS-7</w:t>
            </w:r>
          </w:p>
        </w:tc>
        <w:tc>
          <w:tcPr>
            <w:tcW w:w="1276" w:type="dxa"/>
            <w:tcBorders>
              <w:top w:val="single" w:sz="4" w:space="0" w:color="auto"/>
              <w:left w:val="single" w:sz="4" w:space="0" w:color="auto"/>
              <w:bottom w:val="single" w:sz="4" w:space="0" w:color="auto"/>
              <w:right w:val="single" w:sz="4" w:space="0" w:color="auto"/>
            </w:tcBorders>
          </w:tcPr>
          <w:p w14:paraId="5CECF876" w14:textId="77777777" w:rsidR="00711444" w:rsidRPr="004D0DAA" w:rsidRDefault="00711444" w:rsidP="00AA2A4C">
            <w:pPr>
              <w:pStyle w:val="TAC"/>
              <w:rPr>
                <w:lang w:eastAsia="en-US"/>
              </w:rPr>
            </w:pPr>
            <w:r w:rsidRPr="004D0DAA">
              <w:rPr>
                <w:szCs w:val="18"/>
                <w:lang w:eastAsia="en-US"/>
              </w:rPr>
              <w:t>MCS-7</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A04A176" w14:textId="77777777" w:rsidR="00711444" w:rsidRPr="004D0DAA" w:rsidRDefault="00711444" w:rsidP="00AA2A4C">
            <w:pPr>
              <w:pStyle w:val="TAC"/>
              <w:rPr>
                <w:lang w:eastAsia="en-US"/>
              </w:rPr>
            </w:pPr>
            <w:r w:rsidRPr="004D0DAA">
              <w:rPr>
                <w:szCs w:val="18"/>
                <w:lang w:eastAsia="en-US"/>
              </w:rPr>
              <w:t>MCS-5</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EB2D021" w14:textId="77777777" w:rsidR="00711444" w:rsidRPr="004D0DAA" w:rsidRDefault="00711444" w:rsidP="00AA2A4C">
            <w:pPr>
              <w:pStyle w:val="TAC"/>
              <w:rPr>
                <w:lang w:eastAsia="en-US"/>
              </w:rPr>
            </w:pPr>
            <w:r w:rsidRPr="004D0DAA">
              <w:rPr>
                <w:szCs w:val="18"/>
                <w:lang w:eastAsia="en-US"/>
              </w:rPr>
              <w:t>MCS-5</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CE77EE4" w14:textId="77777777" w:rsidR="00711444" w:rsidRPr="004D0DAA" w:rsidRDefault="00711444" w:rsidP="00AA2A4C">
            <w:pPr>
              <w:pStyle w:val="TAC"/>
              <w:rPr>
                <w:lang w:eastAsia="en-US"/>
              </w:rPr>
            </w:pPr>
            <w:r w:rsidRPr="004D0DAA">
              <w:rPr>
                <w:szCs w:val="18"/>
                <w:lang w:eastAsia="en-US"/>
              </w:rPr>
              <w:t>MCS-7</w:t>
            </w:r>
          </w:p>
        </w:tc>
        <w:tc>
          <w:tcPr>
            <w:tcW w:w="1134" w:type="dxa"/>
          </w:tcPr>
          <w:p w14:paraId="37FBE93D" w14:textId="77777777" w:rsidR="00711444" w:rsidRPr="004D0DAA" w:rsidRDefault="00711444" w:rsidP="00AA2A4C">
            <w:pPr>
              <w:pStyle w:val="TAC"/>
              <w:rPr>
                <w:lang w:eastAsia="en-US"/>
              </w:rPr>
            </w:pPr>
            <w:r w:rsidRPr="004D0DAA">
              <w:rPr>
                <w:szCs w:val="18"/>
                <w:lang w:eastAsia="en-US"/>
              </w:rPr>
              <w:t>MCS-5</w:t>
            </w:r>
          </w:p>
        </w:tc>
      </w:tr>
      <w:tr w:rsidR="00711444" w:rsidRPr="004D0DAA" w14:paraId="1757232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7BF4AF86" w14:textId="77777777" w:rsidR="00711444" w:rsidRPr="004D0DAA" w:rsidRDefault="00711444" w:rsidP="00AA2A4C">
            <w:pPr>
              <w:pStyle w:val="TAC"/>
              <w:rPr>
                <w:lang w:eastAsia="en-US"/>
              </w:rPr>
            </w:pPr>
            <w:r w:rsidRPr="004D0DAA">
              <w:rPr>
                <w:szCs w:val="18"/>
                <w:lang w:eastAsia="en-US"/>
              </w:rPr>
              <w:t>MCS-4</w:t>
            </w:r>
          </w:p>
        </w:tc>
        <w:tc>
          <w:tcPr>
            <w:tcW w:w="1247" w:type="dxa"/>
            <w:tcBorders>
              <w:top w:val="single" w:sz="4" w:space="0" w:color="auto"/>
              <w:left w:val="single" w:sz="4" w:space="0" w:color="auto"/>
              <w:bottom w:val="single" w:sz="4" w:space="0" w:color="auto"/>
              <w:right w:val="single" w:sz="4" w:space="0" w:color="auto"/>
            </w:tcBorders>
          </w:tcPr>
          <w:p w14:paraId="74FE9BAA" w14:textId="77777777" w:rsidR="00711444" w:rsidRPr="004D0DAA" w:rsidRDefault="00711444" w:rsidP="00AA2A4C">
            <w:pPr>
              <w:pStyle w:val="TAC"/>
              <w:rPr>
                <w:lang w:eastAsia="en-US"/>
              </w:rPr>
            </w:pPr>
            <w:r w:rsidRPr="004D0DAA">
              <w:rPr>
                <w:szCs w:val="18"/>
                <w:lang w:eastAsia="en-US"/>
              </w:rPr>
              <w:t>MCS-4</w:t>
            </w:r>
          </w:p>
        </w:tc>
        <w:tc>
          <w:tcPr>
            <w:tcW w:w="1276" w:type="dxa"/>
            <w:tcBorders>
              <w:top w:val="single" w:sz="4" w:space="0" w:color="auto"/>
              <w:left w:val="single" w:sz="4" w:space="0" w:color="auto"/>
              <w:bottom w:val="single" w:sz="4" w:space="0" w:color="auto"/>
              <w:right w:val="single" w:sz="4" w:space="0" w:color="auto"/>
            </w:tcBorders>
          </w:tcPr>
          <w:p w14:paraId="66A6CFDA" w14:textId="77777777" w:rsidR="00711444" w:rsidRPr="004D0DAA" w:rsidRDefault="00711444" w:rsidP="00AA2A4C">
            <w:pPr>
              <w:pStyle w:val="TAC"/>
              <w:rPr>
                <w:lang w:eastAsia="en-US"/>
              </w:rPr>
            </w:pPr>
            <w:r w:rsidRPr="004D0DAA">
              <w:rPr>
                <w:szCs w:val="18"/>
                <w:lang w:eastAsia="en-US"/>
              </w:rPr>
              <w:t>MCS-4</w:t>
            </w:r>
          </w:p>
        </w:tc>
        <w:tc>
          <w:tcPr>
            <w:tcW w:w="1276" w:type="dxa"/>
            <w:tcBorders>
              <w:top w:val="single" w:sz="4" w:space="0" w:color="auto"/>
              <w:left w:val="single" w:sz="4" w:space="0" w:color="auto"/>
              <w:bottom w:val="single" w:sz="4" w:space="0" w:color="auto"/>
              <w:right w:val="single" w:sz="4" w:space="0" w:color="auto"/>
            </w:tcBorders>
          </w:tcPr>
          <w:p w14:paraId="2880CB38" w14:textId="77777777" w:rsidR="00711444" w:rsidRPr="004D0DAA" w:rsidRDefault="00711444" w:rsidP="00AA2A4C">
            <w:pPr>
              <w:pStyle w:val="TAC"/>
              <w:rPr>
                <w:lang w:eastAsia="en-US"/>
              </w:rPr>
            </w:pPr>
            <w:r w:rsidRPr="004D0DAA">
              <w:rPr>
                <w:szCs w:val="18"/>
                <w:lang w:eastAsia="en-US"/>
              </w:rPr>
              <w:t>MCS-4</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7000E1D5" w14:textId="77777777" w:rsidR="00711444" w:rsidRPr="004D0DAA" w:rsidRDefault="00711444" w:rsidP="00AA2A4C">
            <w:pPr>
              <w:pStyle w:val="TAC"/>
              <w:rPr>
                <w:lang w:eastAsia="en-US"/>
              </w:rPr>
            </w:pPr>
            <w:r w:rsidRPr="004D0DAA">
              <w:rPr>
                <w:szCs w:val="18"/>
                <w:lang w:eastAsia="en-US"/>
              </w:rPr>
              <w:t>MCS-4</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E494F3" w14:textId="77777777" w:rsidR="00711444" w:rsidRPr="004D0DAA" w:rsidRDefault="00711444" w:rsidP="00AA2A4C">
            <w:pPr>
              <w:pStyle w:val="TAC"/>
              <w:rPr>
                <w:lang w:eastAsia="en-US"/>
              </w:rPr>
            </w:pPr>
            <w:r w:rsidRPr="004D0DAA">
              <w:rPr>
                <w:szCs w:val="18"/>
                <w:lang w:eastAsia="en-US"/>
              </w:rPr>
              <w:t>MCS-4</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8330FC3" w14:textId="77777777" w:rsidR="00711444" w:rsidRPr="004D0DAA" w:rsidRDefault="00711444" w:rsidP="00AA2A4C">
            <w:pPr>
              <w:pStyle w:val="TAC"/>
              <w:rPr>
                <w:lang w:eastAsia="en-US"/>
              </w:rPr>
            </w:pPr>
            <w:r w:rsidRPr="004D0DAA">
              <w:rPr>
                <w:szCs w:val="18"/>
                <w:lang w:eastAsia="en-US"/>
              </w:rPr>
              <w:t>MCS-4</w:t>
            </w:r>
          </w:p>
        </w:tc>
        <w:tc>
          <w:tcPr>
            <w:tcW w:w="1134" w:type="dxa"/>
          </w:tcPr>
          <w:p w14:paraId="79F06B73" w14:textId="77777777" w:rsidR="00711444" w:rsidRPr="004D0DAA" w:rsidRDefault="00711444" w:rsidP="00AA2A4C">
            <w:pPr>
              <w:pStyle w:val="TAC"/>
              <w:rPr>
                <w:lang w:eastAsia="en-US"/>
              </w:rPr>
            </w:pPr>
            <w:r w:rsidRPr="004D0DAA">
              <w:rPr>
                <w:szCs w:val="18"/>
                <w:lang w:eastAsia="en-US"/>
              </w:rPr>
              <w:t>MCS-4</w:t>
            </w:r>
          </w:p>
        </w:tc>
      </w:tr>
      <w:tr w:rsidR="00711444" w:rsidRPr="004D0DAA" w14:paraId="20B0DBF6"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04EC32C3" w14:textId="77777777" w:rsidR="00711444" w:rsidRPr="004D0DAA" w:rsidRDefault="00711444" w:rsidP="00AA2A4C">
            <w:pPr>
              <w:pStyle w:val="TAC"/>
              <w:rPr>
                <w:lang w:eastAsia="en-US"/>
              </w:rPr>
            </w:pPr>
            <w:r w:rsidRPr="004D0DAA">
              <w:rPr>
                <w:szCs w:val="18"/>
                <w:lang w:eastAsia="en-US"/>
              </w:rPr>
              <w:t>MCS-3</w:t>
            </w:r>
          </w:p>
        </w:tc>
        <w:tc>
          <w:tcPr>
            <w:tcW w:w="1247" w:type="dxa"/>
            <w:tcBorders>
              <w:top w:val="single" w:sz="4" w:space="0" w:color="auto"/>
              <w:left w:val="single" w:sz="4" w:space="0" w:color="auto"/>
              <w:bottom w:val="single" w:sz="4" w:space="0" w:color="auto"/>
              <w:right w:val="single" w:sz="4" w:space="0" w:color="auto"/>
            </w:tcBorders>
          </w:tcPr>
          <w:p w14:paraId="74642107" w14:textId="77777777" w:rsidR="00711444" w:rsidRPr="004D0DAA" w:rsidRDefault="00711444" w:rsidP="00AA2A4C">
            <w:pPr>
              <w:pStyle w:val="TAC"/>
              <w:rPr>
                <w:lang w:eastAsia="en-US"/>
              </w:rPr>
            </w:pPr>
            <w:r w:rsidRPr="004D0DAA">
              <w:rPr>
                <w:szCs w:val="18"/>
                <w:lang w:eastAsia="en-US"/>
              </w:rPr>
              <w:t>MCS-3</w:t>
            </w:r>
          </w:p>
        </w:tc>
        <w:tc>
          <w:tcPr>
            <w:tcW w:w="1276" w:type="dxa"/>
            <w:tcBorders>
              <w:top w:val="single" w:sz="4" w:space="0" w:color="auto"/>
              <w:left w:val="single" w:sz="4" w:space="0" w:color="auto"/>
              <w:bottom w:val="single" w:sz="4" w:space="0" w:color="auto"/>
              <w:right w:val="single" w:sz="4" w:space="0" w:color="auto"/>
            </w:tcBorders>
          </w:tcPr>
          <w:p w14:paraId="4054009B" w14:textId="77777777" w:rsidR="00711444" w:rsidRPr="004D0DAA" w:rsidRDefault="00711444" w:rsidP="00AA2A4C">
            <w:pPr>
              <w:pStyle w:val="TAC"/>
              <w:rPr>
                <w:lang w:eastAsia="en-US"/>
              </w:rPr>
            </w:pPr>
            <w:r w:rsidRPr="004D0DAA">
              <w:rPr>
                <w:szCs w:val="18"/>
                <w:lang w:eastAsia="en-US"/>
              </w:rPr>
              <w:t>MCS-3</w:t>
            </w:r>
          </w:p>
        </w:tc>
        <w:tc>
          <w:tcPr>
            <w:tcW w:w="1276" w:type="dxa"/>
            <w:tcBorders>
              <w:top w:val="single" w:sz="4" w:space="0" w:color="auto"/>
              <w:left w:val="single" w:sz="4" w:space="0" w:color="auto"/>
              <w:bottom w:val="single" w:sz="4" w:space="0" w:color="auto"/>
              <w:right w:val="single" w:sz="4" w:space="0" w:color="auto"/>
            </w:tcBorders>
          </w:tcPr>
          <w:p w14:paraId="71A805E9" w14:textId="77777777" w:rsidR="00711444" w:rsidRPr="004D0DAA" w:rsidRDefault="00711444" w:rsidP="00AA2A4C">
            <w:pPr>
              <w:pStyle w:val="TAC"/>
              <w:rPr>
                <w:lang w:eastAsia="en-US"/>
              </w:rPr>
            </w:pPr>
            <w:r w:rsidRPr="004D0DAA">
              <w:rPr>
                <w:szCs w:val="18"/>
                <w:lang w:eastAsia="en-US"/>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5F7A00C" w14:textId="77777777" w:rsidR="00711444" w:rsidRPr="004D0DAA" w:rsidRDefault="00711444" w:rsidP="00AA2A4C">
            <w:pPr>
              <w:pStyle w:val="TAC"/>
              <w:rPr>
                <w:lang w:eastAsia="en-US"/>
              </w:rPr>
            </w:pPr>
            <w:r w:rsidRPr="004D0DAA">
              <w:rPr>
                <w:szCs w:val="18"/>
                <w:lang w:eastAsia="en-US"/>
              </w:rPr>
              <w:t>MCS-3</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17C3D57D" w14:textId="77777777" w:rsidR="00711444" w:rsidRPr="004D0DAA" w:rsidRDefault="00711444" w:rsidP="00AA2A4C">
            <w:pPr>
              <w:pStyle w:val="TAC"/>
              <w:rPr>
                <w:lang w:eastAsia="en-US"/>
              </w:rPr>
            </w:pPr>
            <w:r w:rsidRPr="004D0DAA">
              <w:rPr>
                <w:szCs w:val="18"/>
                <w:lang w:eastAsia="en-US"/>
              </w:rPr>
              <w:t>MCS-3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E1C9D1" w14:textId="77777777" w:rsidR="00711444" w:rsidRPr="004D0DAA" w:rsidRDefault="00711444" w:rsidP="00AA2A4C">
            <w:pPr>
              <w:pStyle w:val="TAC"/>
              <w:rPr>
                <w:lang w:eastAsia="en-US"/>
              </w:rPr>
            </w:pPr>
            <w:r w:rsidRPr="004D0DAA">
              <w:rPr>
                <w:szCs w:val="18"/>
                <w:lang w:eastAsia="en-US"/>
              </w:rPr>
              <w:t>MCS-3</w:t>
            </w:r>
          </w:p>
        </w:tc>
        <w:tc>
          <w:tcPr>
            <w:tcW w:w="1134" w:type="dxa"/>
          </w:tcPr>
          <w:p w14:paraId="4708339D" w14:textId="77777777" w:rsidR="00711444" w:rsidRPr="004D0DAA" w:rsidRDefault="00711444" w:rsidP="00AA2A4C">
            <w:pPr>
              <w:pStyle w:val="TAC"/>
              <w:rPr>
                <w:lang w:eastAsia="en-US"/>
              </w:rPr>
            </w:pPr>
            <w:r w:rsidRPr="004D0DAA">
              <w:rPr>
                <w:szCs w:val="18"/>
                <w:lang w:eastAsia="en-US"/>
              </w:rPr>
              <w:t>MCS-3</w:t>
            </w:r>
          </w:p>
        </w:tc>
      </w:tr>
      <w:tr w:rsidR="00711444" w:rsidRPr="004D0DAA" w14:paraId="6FAED05D"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3BF3429C" w14:textId="77777777" w:rsidR="00711444" w:rsidRPr="004D0DAA" w:rsidRDefault="00711444" w:rsidP="00AA2A4C">
            <w:pPr>
              <w:pStyle w:val="TAC"/>
              <w:rPr>
                <w:lang w:eastAsia="en-US"/>
              </w:rPr>
            </w:pPr>
            <w:r w:rsidRPr="004D0DAA">
              <w:rPr>
                <w:szCs w:val="18"/>
                <w:lang w:eastAsia="en-US"/>
              </w:rPr>
              <w:t>MCS-2</w:t>
            </w:r>
          </w:p>
        </w:tc>
        <w:tc>
          <w:tcPr>
            <w:tcW w:w="1247" w:type="dxa"/>
            <w:tcBorders>
              <w:top w:val="single" w:sz="4" w:space="0" w:color="auto"/>
              <w:left w:val="single" w:sz="4" w:space="0" w:color="auto"/>
              <w:bottom w:val="single" w:sz="4" w:space="0" w:color="auto"/>
              <w:right w:val="single" w:sz="4" w:space="0" w:color="auto"/>
            </w:tcBorders>
          </w:tcPr>
          <w:p w14:paraId="7E4F3721" w14:textId="77777777" w:rsidR="00711444" w:rsidRPr="004D0DAA" w:rsidRDefault="00711444" w:rsidP="00AA2A4C">
            <w:pPr>
              <w:pStyle w:val="TAC"/>
              <w:rPr>
                <w:lang w:eastAsia="en-US"/>
              </w:rPr>
            </w:pPr>
            <w:r w:rsidRPr="004D0DAA">
              <w:rPr>
                <w:szCs w:val="18"/>
                <w:lang w:eastAsia="en-US"/>
              </w:rPr>
              <w:t>MCS-2</w:t>
            </w:r>
          </w:p>
        </w:tc>
        <w:tc>
          <w:tcPr>
            <w:tcW w:w="1276" w:type="dxa"/>
            <w:tcBorders>
              <w:top w:val="single" w:sz="4" w:space="0" w:color="auto"/>
              <w:left w:val="single" w:sz="4" w:space="0" w:color="auto"/>
              <w:bottom w:val="single" w:sz="4" w:space="0" w:color="auto"/>
              <w:right w:val="single" w:sz="4" w:space="0" w:color="auto"/>
            </w:tcBorders>
          </w:tcPr>
          <w:p w14:paraId="4002F2BC" w14:textId="77777777" w:rsidR="00711444" w:rsidRPr="004D0DAA" w:rsidRDefault="00711444" w:rsidP="00AA2A4C">
            <w:pPr>
              <w:pStyle w:val="TAC"/>
              <w:rPr>
                <w:lang w:eastAsia="en-US"/>
              </w:rPr>
            </w:pPr>
            <w:r w:rsidRPr="004D0DAA">
              <w:rPr>
                <w:szCs w:val="18"/>
                <w:lang w:eastAsia="en-US"/>
              </w:rPr>
              <w:t>MCS-2</w:t>
            </w:r>
          </w:p>
        </w:tc>
        <w:tc>
          <w:tcPr>
            <w:tcW w:w="1276" w:type="dxa"/>
            <w:tcBorders>
              <w:top w:val="single" w:sz="4" w:space="0" w:color="auto"/>
              <w:left w:val="single" w:sz="4" w:space="0" w:color="auto"/>
              <w:bottom w:val="single" w:sz="4" w:space="0" w:color="auto"/>
              <w:right w:val="single" w:sz="4" w:space="0" w:color="auto"/>
            </w:tcBorders>
          </w:tcPr>
          <w:p w14:paraId="4C26F8FA" w14:textId="77777777" w:rsidR="00711444" w:rsidRPr="004D0DAA" w:rsidRDefault="00711444" w:rsidP="00AA2A4C">
            <w:pPr>
              <w:pStyle w:val="TAC"/>
              <w:rPr>
                <w:lang w:eastAsia="en-US"/>
              </w:rPr>
            </w:pPr>
            <w:r w:rsidRPr="004D0DAA">
              <w:rPr>
                <w:szCs w:val="18"/>
                <w:lang w:eastAsia="en-US"/>
              </w:rPr>
              <w:t>MCS-2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E2A7121" w14:textId="77777777" w:rsidR="00711444" w:rsidRPr="004D0DAA" w:rsidRDefault="00711444" w:rsidP="00AA2A4C">
            <w:pPr>
              <w:pStyle w:val="TAC"/>
              <w:rPr>
                <w:lang w:eastAsia="en-US"/>
              </w:rPr>
            </w:pPr>
            <w:r w:rsidRPr="004D0DAA">
              <w:rPr>
                <w:szCs w:val="18"/>
                <w:lang w:eastAsia="en-US"/>
              </w:rPr>
              <w:t>MCS-2</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D42BE75" w14:textId="77777777" w:rsidR="00711444" w:rsidRPr="004D0DAA" w:rsidRDefault="00711444" w:rsidP="00AA2A4C">
            <w:pPr>
              <w:pStyle w:val="TAC"/>
              <w:rPr>
                <w:lang w:eastAsia="en-US"/>
              </w:rPr>
            </w:pPr>
            <w:r w:rsidRPr="004D0DAA">
              <w:rPr>
                <w:szCs w:val="18"/>
                <w:lang w:eastAsia="en-US"/>
              </w:rPr>
              <w:t>MCS-2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54913C36" w14:textId="77777777" w:rsidR="00711444" w:rsidRPr="004D0DAA" w:rsidRDefault="00711444" w:rsidP="00AA2A4C">
            <w:pPr>
              <w:pStyle w:val="TAC"/>
              <w:rPr>
                <w:lang w:eastAsia="en-US"/>
              </w:rPr>
            </w:pPr>
            <w:r w:rsidRPr="004D0DAA">
              <w:rPr>
                <w:szCs w:val="18"/>
                <w:lang w:eastAsia="en-US"/>
              </w:rPr>
              <w:t>MCS-2</w:t>
            </w:r>
          </w:p>
        </w:tc>
        <w:tc>
          <w:tcPr>
            <w:tcW w:w="1134" w:type="dxa"/>
          </w:tcPr>
          <w:p w14:paraId="62BFB5D0" w14:textId="77777777" w:rsidR="00711444" w:rsidRPr="004D0DAA" w:rsidRDefault="00711444" w:rsidP="00AA2A4C">
            <w:pPr>
              <w:pStyle w:val="TAC"/>
              <w:rPr>
                <w:lang w:eastAsia="en-US"/>
              </w:rPr>
            </w:pPr>
            <w:r w:rsidRPr="004D0DAA">
              <w:rPr>
                <w:szCs w:val="18"/>
                <w:lang w:eastAsia="en-US"/>
              </w:rPr>
              <w:t>MCS-2</w:t>
            </w:r>
          </w:p>
        </w:tc>
      </w:tr>
      <w:tr w:rsidR="00711444" w:rsidRPr="004D0DAA" w14:paraId="2B304533" w14:textId="77777777" w:rsidTr="00AA2A4C">
        <w:tc>
          <w:tcPr>
            <w:tcW w:w="1304" w:type="dxa"/>
            <w:tcBorders>
              <w:top w:val="single" w:sz="4" w:space="0" w:color="auto"/>
              <w:left w:val="single" w:sz="4" w:space="0" w:color="auto"/>
              <w:bottom w:val="single" w:sz="4" w:space="0" w:color="auto"/>
              <w:right w:val="single" w:sz="4" w:space="0" w:color="auto"/>
            </w:tcBorders>
            <w:shd w:val="clear" w:color="auto" w:fill="auto"/>
          </w:tcPr>
          <w:p w14:paraId="207C7DE4" w14:textId="77777777" w:rsidR="00711444" w:rsidRPr="004D0DAA" w:rsidRDefault="00711444" w:rsidP="00AA2A4C">
            <w:pPr>
              <w:pStyle w:val="TAC"/>
              <w:rPr>
                <w:lang w:eastAsia="en-US"/>
              </w:rPr>
            </w:pPr>
            <w:r w:rsidRPr="004D0DAA">
              <w:rPr>
                <w:szCs w:val="18"/>
                <w:lang w:eastAsia="en-US"/>
              </w:rPr>
              <w:t>MCS-1</w:t>
            </w:r>
          </w:p>
        </w:tc>
        <w:tc>
          <w:tcPr>
            <w:tcW w:w="1247" w:type="dxa"/>
            <w:tcBorders>
              <w:top w:val="single" w:sz="4" w:space="0" w:color="auto"/>
              <w:left w:val="single" w:sz="4" w:space="0" w:color="auto"/>
              <w:bottom w:val="single" w:sz="4" w:space="0" w:color="auto"/>
              <w:right w:val="single" w:sz="4" w:space="0" w:color="auto"/>
            </w:tcBorders>
          </w:tcPr>
          <w:p w14:paraId="62F66247" w14:textId="77777777" w:rsidR="00711444" w:rsidRPr="004D0DAA" w:rsidRDefault="00711444" w:rsidP="00AA2A4C">
            <w:pPr>
              <w:pStyle w:val="TAC"/>
              <w:rPr>
                <w:lang w:eastAsia="en-US"/>
              </w:rPr>
            </w:pPr>
            <w:r w:rsidRPr="004D0DAA">
              <w:rPr>
                <w:szCs w:val="18"/>
                <w:lang w:eastAsia="en-US"/>
              </w:rPr>
              <w:t>MCS-1</w:t>
            </w:r>
          </w:p>
        </w:tc>
        <w:tc>
          <w:tcPr>
            <w:tcW w:w="1276" w:type="dxa"/>
            <w:tcBorders>
              <w:top w:val="single" w:sz="4" w:space="0" w:color="auto"/>
              <w:left w:val="single" w:sz="4" w:space="0" w:color="auto"/>
              <w:bottom w:val="single" w:sz="4" w:space="0" w:color="auto"/>
              <w:right w:val="single" w:sz="4" w:space="0" w:color="auto"/>
            </w:tcBorders>
          </w:tcPr>
          <w:p w14:paraId="21251E74" w14:textId="77777777" w:rsidR="00711444" w:rsidRPr="004D0DAA" w:rsidRDefault="00711444" w:rsidP="00AA2A4C">
            <w:pPr>
              <w:pStyle w:val="TAC"/>
              <w:rPr>
                <w:lang w:eastAsia="en-US"/>
              </w:rPr>
            </w:pPr>
            <w:r w:rsidRPr="004D0DAA">
              <w:rPr>
                <w:szCs w:val="18"/>
                <w:lang w:eastAsia="en-US"/>
              </w:rPr>
              <w:t>MCS-1</w:t>
            </w:r>
          </w:p>
        </w:tc>
        <w:tc>
          <w:tcPr>
            <w:tcW w:w="1276" w:type="dxa"/>
            <w:tcBorders>
              <w:top w:val="single" w:sz="4" w:space="0" w:color="auto"/>
              <w:left w:val="single" w:sz="4" w:space="0" w:color="auto"/>
              <w:bottom w:val="single" w:sz="4" w:space="0" w:color="auto"/>
              <w:right w:val="single" w:sz="4" w:space="0" w:color="auto"/>
            </w:tcBorders>
          </w:tcPr>
          <w:p w14:paraId="280E07C2" w14:textId="77777777" w:rsidR="00711444" w:rsidRPr="004D0DAA" w:rsidRDefault="00711444" w:rsidP="00AA2A4C">
            <w:pPr>
              <w:pStyle w:val="TAC"/>
              <w:rPr>
                <w:lang w:eastAsia="en-US"/>
              </w:rPr>
            </w:pPr>
            <w:r w:rsidRPr="004D0DAA">
              <w:rPr>
                <w:szCs w:val="18"/>
                <w:lang w:eastAsia="en-US"/>
              </w:rPr>
              <w:t>MCS-1</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D4C591F" w14:textId="77777777" w:rsidR="00711444" w:rsidRPr="004D0DAA" w:rsidRDefault="00711444" w:rsidP="00AA2A4C">
            <w:pPr>
              <w:pStyle w:val="TAC"/>
              <w:rPr>
                <w:lang w:eastAsia="en-US"/>
              </w:rPr>
            </w:pPr>
            <w:r w:rsidRPr="004D0DAA">
              <w:rPr>
                <w:szCs w:val="18"/>
                <w:lang w:eastAsia="en-US"/>
              </w:rPr>
              <w:t>MCS-1</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3503C438" w14:textId="77777777" w:rsidR="00711444" w:rsidRPr="004D0DAA" w:rsidRDefault="00711444" w:rsidP="00AA2A4C">
            <w:pPr>
              <w:pStyle w:val="TAC"/>
              <w:rPr>
                <w:lang w:eastAsia="en-US"/>
              </w:rPr>
            </w:pPr>
            <w:r w:rsidRPr="004D0DAA">
              <w:rPr>
                <w:szCs w:val="18"/>
                <w:lang w:eastAsia="en-US"/>
              </w:rPr>
              <w:t>MCS-1</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6C8B5688" w14:textId="77777777" w:rsidR="00711444" w:rsidRPr="004D0DAA" w:rsidRDefault="00711444" w:rsidP="00AA2A4C">
            <w:pPr>
              <w:pStyle w:val="TAC"/>
              <w:rPr>
                <w:lang w:eastAsia="en-US"/>
              </w:rPr>
            </w:pPr>
            <w:r w:rsidRPr="004D0DAA">
              <w:rPr>
                <w:szCs w:val="18"/>
                <w:lang w:eastAsia="en-US"/>
              </w:rPr>
              <w:t>MCS-1</w:t>
            </w:r>
          </w:p>
        </w:tc>
        <w:tc>
          <w:tcPr>
            <w:tcW w:w="1134" w:type="dxa"/>
          </w:tcPr>
          <w:p w14:paraId="38839678" w14:textId="77777777" w:rsidR="00711444" w:rsidRPr="004D0DAA" w:rsidRDefault="00711444" w:rsidP="00AA2A4C">
            <w:pPr>
              <w:pStyle w:val="TAC"/>
              <w:rPr>
                <w:lang w:eastAsia="en-US"/>
              </w:rPr>
            </w:pPr>
            <w:r w:rsidRPr="004D0DAA">
              <w:rPr>
                <w:szCs w:val="18"/>
                <w:lang w:eastAsia="en-US"/>
              </w:rPr>
              <w:t>MCS-1</w:t>
            </w:r>
          </w:p>
        </w:tc>
      </w:tr>
      <w:tr w:rsidR="00711444" w:rsidRPr="004D0DAA" w14:paraId="75270E51" w14:textId="77777777" w:rsidTr="00AA2A4C">
        <w:tc>
          <w:tcPr>
            <w:tcW w:w="9780" w:type="dxa"/>
            <w:gridSpan w:val="8"/>
            <w:tcBorders>
              <w:top w:val="single" w:sz="4" w:space="0" w:color="auto"/>
              <w:left w:val="single" w:sz="4" w:space="0" w:color="auto"/>
              <w:bottom w:val="single" w:sz="4" w:space="0" w:color="auto"/>
              <w:right w:val="single" w:sz="4" w:space="0" w:color="auto"/>
            </w:tcBorders>
            <w:shd w:val="clear" w:color="auto" w:fill="auto"/>
          </w:tcPr>
          <w:p w14:paraId="75DB7391" w14:textId="77777777" w:rsidR="00711444" w:rsidRPr="004D0DAA" w:rsidRDefault="00711444" w:rsidP="00AA2A4C">
            <w:pPr>
              <w:pStyle w:val="TAN"/>
              <w:rPr>
                <w:lang w:eastAsia="en-US"/>
              </w:rPr>
            </w:pPr>
            <w:r w:rsidRPr="004D0DAA">
              <w:rPr>
                <w:lang w:eastAsia="en-US"/>
              </w:rPr>
              <w:t>NOTE 1:</w:t>
            </w:r>
            <w:r w:rsidRPr="004D0DAA">
              <w:rPr>
                <w:lang w:eastAsia="en-US"/>
              </w:rPr>
              <w:tab/>
              <w:t>If MCS-1 to MCS-4 is commanded, see Table 8.1.1.5.</w:t>
            </w:r>
          </w:p>
          <w:p w14:paraId="7EED6ACC" w14:textId="77777777" w:rsidR="00711444" w:rsidRPr="004D0DAA" w:rsidRDefault="00711444" w:rsidP="00AA2A4C">
            <w:pPr>
              <w:pStyle w:val="TAN"/>
              <w:rPr>
                <w:lang w:eastAsia="en-US"/>
              </w:rPr>
            </w:pPr>
            <w:r w:rsidRPr="004D0DAA">
              <w:rPr>
                <w:lang w:eastAsia="en-US"/>
              </w:rPr>
              <w:t>NOTE 2:</w:t>
            </w:r>
            <w:r w:rsidRPr="004D0DAA">
              <w:rPr>
                <w:lang w:eastAsia="en-US"/>
              </w:rPr>
              <w:tab/>
              <w:t>If the last transmission was with padding, then MCS-8 is used; otherwise, the alternative coding scheme specified above is used.</w:t>
            </w:r>
          </w:p>
        </w:tc>
      </w:tr>
    </w:tbl>
    <w:p w14:paraId="765D1D27" w14:textId="77777777" w:rsidR="00711444" w:rsidRPr="004D0DAA" w:rsidRDefault="00711444" w:rsidP="00711444"/>
    <w:p w14:paraId="6D345860" w14:textId="77777777" w:rsidR="00711444" w:rsidRPr="004D0DAA" w:rsidRDefault="00711444" w:rsidP="00711444">
      <w:pPr>
        <w:pStyle w:val="TH"/>
      </w:pPr>
      <w:r w:rsidRPr="004D0DAA">
        <w:t>Table 8.1.1.7.2.8: Choice of modulation and coding scheme for retransmissions (initial transmission EGPRS2-B, level changed to EGPRS) without re-segmentation</w:t>
      </w:r>
    </w:p>
    <w:tbl>
      <w:tblPr>
        <w:tblW w:w="9497"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2"/>
        <w:gridCol w:w="2100"/>
        <w:gridCol w:w="1134"/>
        <w:gridCol w:w="992"/>
        <w:gridCol w:w="992"/>
        <w:gridCol w:w="992"/>
        <w:gridCol w:w="993"/>
        <w:gridCol w:w="992"/>
        <w:tblGridChange w:id="277">
          <w:tblGrid>
            <w:gridCol w:w="1302"/>
            <w:gridCol w:w="2100"/>
            <w:gridCol w:w="1134"/>
            <w:gridCol w:w="992"/>
            <w:gridCol w:w="992"/>
            <w:gridCol w:w="992"/>
            <w:gridCol w:w="993"/>
            <w:gridCol w:w="992"/>
          </w:tblGrid>
        </w:tblGridChange>
      </w:tblGrid>
      <w:tr w:rsidR="00711444" w:rsidRPr="004D0DAA" w14:paraId="7C160BE2"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0C2F5AC8" w14:textId="77777777" w:rsidR="00711444" w:rsidRPr="004D0DAA" w:rsidRDefault="00711444" w:rsidP="00AA2A4C">
            <w:pPr>
              <w:pStyle w:val="TAH"/>
              <w:rPr>
                <w:lang w:eastAsia="en-US"/>
              </w:rPr>
            </w:pPr>
            <w:r w:rsidRPr="004D0DAA">
              <w:rPr>
                <w:lang w:eastAsia="en-US"/>
              </w:rPr>
              <w:t>Scheme used for Initial transmission</w:t>
            </w:r>
          </w:p>
        </w:tc>
        <w:tc>
          <w:tcPr>
            <w:tcW w:w="8195" w:type="dxa"/>
            <w:gridSpan w:val="7"/>
            <w:tcBorders>
              <w:top w:val="single" w:sz="4" w:space="0" w:color="auto"/>
              <w:left w:val="single" w:sz="4" w:space="0" w:color="auto"/>
              <w:bottom w:val="single" w:sz="4" w:space="0" w:color="auto"/>
              <w:right w:val="single" w:sz="4" w:space="0" w:color="auto"/>
            </w:tcBorders>
          </w:tcPr>
          <w:p w14:paraId="0FBA6088" w14:textId="77777777" w:rsidR="00711444" w:rsidRPr="004D0DAA" w:rsidRDefault="00711444" w:rsidP="00AA2A4C">
            <w:pPr>
              <w:pStyle w:val="TAH"/>
              <w:rPr>
                <w:lang w:eastAsia="en-US"/>
              </w:rPr>
            </w:pPr>
            <w:r w:rsidRPr="004D0DAA">
              <w:rPr>
                <w:lang w:eastAsia="en-US"/>
              </w:rPr>
              <w:t>Scheme to use for retransmissions after switching to EGPRS (MCS)</w:t>
            </w:r>
          </w:p>
        </w:tc>
      </w:tr>
      <w:tr w:rsidR="00711444" w:rsidRPr="004D0DAA" w14:paraId="29DD1FC9" w14:textId="77777777" w:rsidTr="00AA2A4C">
        <w:trPr>
          <w:trHeight w:val="567"/>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4D2CC11" w14:textId="77777777" w:rsidR="00711444" w:rsidRPr="004D0DAA" w:rsidRDefault="00711444" w:rsidP="00AA2A4C"/>
        </w:tc>
        <w:tc>
          <w:tcPr>
            <w:tcW w:w="2100" w:type="dxa"/>
            <w:tcBorders>
              <w:top w:val="single" w:sz="4" w:space="0" w:color="auto"/>
              <w:left w:val="single" w:sz="4" w:space="0" w:color="auto"/>
              <w:bottom w:val="single" w:sz="4" w:space="0" w:color="auto"/>
              <w:right w:val="single" w:sz="4" w:space="0" w:color="auto"/>
            </w:tcBorders>
          </w:tcPr>
          <w:p w14:paraId="55EBA8D4" w14:textId="77777777" w:rsidR="00711444" w:rsidRPr="004D0DAA" w:rsidRDefault="00711444" w:rsidP="00AA2A4C">
            <w:pPr>
              <w:pStyle w:val="TAH"/>
              <w:rPr>
                <w:lang w:eastAsia="en-US"/>
              </w:rPr>
            </w:pPr>
            <w:r w:rsidRPr="004D0DAA">
              <w:rPr>
                <w:lang w:eastAsia="en-US"/>
              </w:rPr>
              <w:t xml:space="preserve">MCS-9 or MCS-8 or MCS-7 or </w:t>
            </w:r>
            <w:r w:rsidRPr="004D0DAA">
              <w:rPr>
                <w:rFonts w:cs="Arial"/>
                <w:lang w:eastAsia="en-US"/>
              </w:rPr>
              <w:t xml:space="preserve">MCS-6-9 or </w:t>
            </w:r>
            <w:r w:rsidRPr="004D0DAA">
              <w:rPr>
                <w:lang w:eastAsia="en-US"/>
              </w:rPr>
              <w:t xml:space="preserve">MCS-6 </w:t>
            </w:r>
          </w:p>
          <w:p w14:paraId="4CB8A235" w14:textId="77777777" w:rsidR="00711444" w:rsidRPr="004D0DAA" w:rsidRDefault="00711444" w:rsidP="00AA2A4C">
            <w:pPr>
              <w:pStyle w:val="TAH"/>
              <w:rPr>
                <w:lang w:eastAsia="en-US"/>
              </w:rPr>
            </w:pPr>
            <w:r w:rsidRPr="004D0DAA">
              <w:rPr>
                <w:lang w:eastAsia="en-US"/>
              </w:rPr>
              <w:t>Commanded</w:t>
            </w:r>
          </w:p>
        </w:tc>
        <w:tc>
          <w:tcPr>
            <w:tcW w:w="1134" w:type="dxa"/>
            <w:tcBorders>
              <w:top w:val="single" w:sz="4" w:space="0" w:color="auto"/>
              <w:left w:val="single" w:sz="4" w:space="0" w:color="auto"/>
              <w:bottom w:val="single" w:sz="4" w:space="0" w:color="auto"/>
              <w:right w:val="single" w:sz="4" w:space="0" w:color="auto"/>
            </w:tcBorders>
          </w:tcPr>
          <w:p w14:paraId="6233B93F" w14:textId="77777777" w:rsidR="00711444" w:rsidRPr="004D0DAA" w:rsidRDefault="00711444" w:rsidP="00AA2A4C">
            <w:pPr>
              <w:pStyle w:val="TAH"/>
              <w:rPr>
                <w:lang w:eastAsia="en-US"/>
              </w:rPr>
            </w:pPr>
            <w:r w:rsidRPr="004D0DAA">
              <w:rPr>
                <w:lang w:eastAsia="en-US"/>
              </w:rPr>
              <w:t xml:space="preserve">MCS-5-7  </w:t>
            </w:r>
          </w:p>
          <w:p w14:paraId="75569899" w14:textId="77777777" w:rsidR="00711444" w:rsidRPr="004D0DAA" w:rsidRDefault="00711444" w:rsidP="00AA2A4C">
            <w:pPr>
              <w:pStyle w:val="TAH"/>
              <w:rPr>
                <w:lang w:eastAsia="en-US"/>
              </w:rPr>
            </w:pPr>
            <w:r w:rsidRPr="004D0DAA">
              <w:rPr>
                <w:lang w:eastAsia="en-US"/>
              </w:rPr>
              <w:t>Commanded</w:t>
            </w:r>
          </w:p>
        </w:tc>
        <w:tc>
          <w:tcPr>
            <w:tcW w:w="992" w:type="dxa"/>
            <w:tcBorders>
              <w:top w:val="single" w:sz="4" w:space="0" w:color="auto"/>
              <w:left w:val="single" w:sz="4" w:space="0" w:color="auto"/>
              <w:bottom w:val="single" w:sz="4" w:space="0" w:color="auto"/>
              <w:right w:val="single" w:sz="4" w:space="0" w:color="auto"/>
            </w:tcBorders>
          </w:tcPr>
          <w:p w14:paraId="1629294F" w14:textId="77777777" w:rsidR="00711444" w:rsidRPr="004D0DAA" w:rsidRDefault="00711444" w:rsidP="00AA2A4C">
            <w:pPr>
              <w:pStyle w:val="TAH"/>
              <w:rPr>
                <w:lang w:eastAsia="en-US"/>
              </w:rPr>
            </w:pPr>
            <w:r w:rsidRPr="004D0DAA">
              <w:rPr>
                <w:lang w:eastAsia="en-US"/>
              </w:rPr>
              <w:t xml:space="preserve">MCS-5 </w:t>
            </w:r>
          </w:p>
          <w:p w14:paraId="44227BC3" w14:textId="77777777" w:rsidR="00711444" w:rsidRPr="004D0DAA" w:rsidRDefault="00711444" w:rsidP="00AA2A4C">
            <w:pPr>
              <w:pStyle w:val="TAH"/>
              <w:rPr>
                <w:rFonts w:cs="Arial"/>
                <w:lang w:eastAsia="en-US"/>
              </w:rPr>
            </w:pPr>
            <w:r w:rsidRPr="004D0DAA">
              <w:rPr>
                <w:lang w:eastAsia="en-US"/>
              </w:rPr>
              <w:t>Commanded</w:t>
            </w:r>
          </w:p>
        </w:tc>
        <w:tc>
          <w:tcPr>
            <w:tcW w:w="992" w:type="dxa"/>
            <w:tcBorders>
              <w:top w:val="single" w:sz="4" w:space="0" w:color="auto"/>
              <w:left w:val="single" w:sz="4" w:space="0" w:color="auto"/>
              <w:bottom w:val="single" w:sz="4" w:space="0" w:color="auto"/>
              <w:right w:val="single" w:sz="4" w:space="0" w:color="auto"/>
            </w:tcBorders>
          </w:tcPr>
          <w:p w14:paraId="79F2CD4A" w14:textId="77777777" w:rsidR="00711444" w:rsidRPr="004D0DAA" w:rsidRDefault="00711444" w:rsidP="00AA2A4C">
            <w:pPr>
              <w:pStyle w:val="TAH"/>
              <w:rPr>
                <w:lang w:eastAsia="en-US"/>
              </w:rPr>
            </w:pPr>
            <w:r w:rsidRPr="004D0DAA">
              <w:rPr>
                <w:rFonts w:cs="Arial"/>
                <w:lang w:eastAsia="en-US"/>
              </w:rPr>
              <w:t>MCS-4 Commanded</w:t>
            </w:r>
          </w:p>
        </w:tc>
        <w:tc>
          <w:tcPr>
            <w:tcW w:w="992" w:type="dxa"/>
            <w:tcBorders>
              <w:top w:val="single" w:sz="4" w:space="0" w:color="auto"/>
              <w:left w:val="single" w:sz="4" w:space="0" w:color="auto"/>
              <w:bottom w:val="single" w:sz="4" w:space="0" w:color="auto"/>
              <w:right w:val="single" w:sz="4" w:space="0" w:color="auto"/>
            </w:tcBorders>
          </w:tcPr>
          <w:p w14:paraId="72BA8DD6" w14:textId="77777777" w:rsidR="00711444" w:rsidRPr="004D0DAA" w:rsidRDefault="00711444" w:rsidP="00AA2A4C">
            <w:pPr>
              <w:pStyle w:val="TAH"/>
              <w:rPr>
                <w:lang w:eastAsia="en-US"/>
              </w:rPr>
            </w:pPr>
            <w:r w:rsidRPr="004D0DAA">
              <w:rPr>
                <w:rFonts w:cs="Arial"/>
                <w:lang w:eastAsia="en-US"/>
              </w:rPr>
              <w:t>MCS-3 Commanded</w:t>
            </w:r>
          </w:p>
        </w:tc>
        <w:tc>
          <w:tcPr>
            <w:tcW w:w="993" w:type="dxa"/>
            <w:tcBorders>
              <w:top w:val="single" w:sz="4" w:space="0" w:color="auto"/>
              <w:left w:val="single" w:sz="4" w:space="0" w:color="auto"/>
              <w:bottom w:val="single" w:sz="4" w:space="0" w:color="auto"/>
              <w:right w:val="single" w:sz="4" w:space="0" w:color="auto"/>
            </w:tcBorders>
          </w:tcPr>
          <w:p w14:paraId="79E0319E" w14:textId="77777777" w:rsidR="00711444" w:rsidRPr="004D0DAA" w:rsidRDefault="00711444" w:rsidP="00AA2A4C">
            <w:pPr>
              <w:pStyle w:val="TAH"/>
              <w:rPr>
                <w:lang w:eastAsia="en-US"/>
              </w:rPr>
            </w:pPr>
            <w:r w:rsidRPr="004D0DAA">
              <w:rPr>
                <w:rFonts w:cs="Arial"/>
                <w:lang w:eastAsia="en-US"/>
              </w:rPr>
              <w:t>MCS-2 Commanded</w:t>
            </w:r>
          </w:p>
        </w:tc>
        <w:tc>
          <w:tcPr>
            <w:tcW w:w="992" w:type="dxa"/>
          </w:tcPr>
          <w:p w14:paraId="28DC6360" w14:textId="77777777" w:rsidR="00711444" w:rsidRPr="004D0DAA" w:rsidRDefault="00711444" w:rsidP="00AA2A4C">
            <w:pPr>
              <w:pStyle w:val="TAH"/>
              <w:rPr>
                <w:lang w:eastAsia="en-US"/>
              </w:rPr>
            </w:pPr>
            <w:r w:rsidRPr="004D0DAA">
              <w:rPr>
                <w:rFonts w:cs="Arial"/>
                <w:lang w:eastAsia="en-US"/>
              </w:rPr>
              <w:t>MCS-1 Commanded</w:t>
            </w:r>
          </w:p>
        </w:tc>
      </w:tr>
      <w:tr w:rsidR="00711444" w:rsidRPr="004D0DAA" w14:paraId="62D63076"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2319278E" w14:textId="77777777" w:rsidR="00711444" w:rsidRPr="004D0DAA" w:rsidRDefault="00711444" w:rsidP="00AA2A4C">
            <w:pPr>
              <w:pStyle w:val="TAC"/>
              <w:rPr>
                <w:lang w:eastAsia="en-US"/>
              </w:rPr>
            </w:pPr>
            <w:r w:rsidRPr="004D0DAA">
              <w:rPr>
                <w:lang w:eastAsia="en-US"/>
              </w:rPr>
              <w:t>UBS-12</w:t>
            </w:r>
          </w:p>
        </w:tc>
        <w:tc>
          <w:tcPr>
            <w:tcW w:w="2100" w:type="dxa"/>
            <w:tcBorders>
              <w:top w:val="single" w:sz="4" w:space="0" w:color="auto"/>
              <w:left w:val="single" w:sz="4" w:space="0" w:color="auto"/>
              <w:right w:val="single" w:sz="4" w:space="0" w:color="auto"/>
            </w:tcBorders>
          </w:tcPr>
          <w:p w14:paraId="170F3BA5"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top w:val="single" w:sz="4" w:space="0" w:color="auto"/>
              <w:left w:val="single" w:sz="4" w:space="0" w:color="auto"/>
              <w:right w:val="single" w:sz="4" w:space="0" w:color="auto"/>
            </w:tcBorders>
            <w:shd w:val="clear" w:color="auto" w:fill="auto"/>
          </w:tcPr>
          <w:p w14:paraId="3E6FE03D"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64FA5FF2"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743FB44E" w14:textId="77777777" w:rsidR="00711444" w:rsidRPr="004D0DAA" w:rsidRDefault="00711444" w:rsidP="00AA2A4C">
            <w:pPr>
              <w:pStyle w:val="TAC"/>
              <w:rPr>
                <w:lang w:eastAsia="en-US"/>
              </w:rPr>
            </w:pPr>
            <w:r w:rsidRPr="004D0DAA">
              <w:rPr>
                <w:rFonts w:cs="Arial"/>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4AF51C08" w14:textId="77777777" w:rsidR="00711444" w:rsidRPr="004D0DAA" w:rsidRDefault="00711444" w:rsidP="00AA2A4C">
            <w:pPr>
              <w:pStyle w:val="TAC"/>
              <w:rPr>
                <w:lang w:eastAsia="en-US"/>
              </w:rPr>
            </w:pPr>
            <w:r w:rsidRPr="004D0DAA">
              <w:rPr>
                <w:rFonts w:cs="Arial"/>
                <w:lang w:eastAsia="en-US"/>
              </w:rPr>
              <w:t>MCS-6</w:t>
            </w:r>
          </w:p>
        </w:tc>
        <w:tc>
          <w:tcPr>
            <w:tcW w:w="993" w:type="dxa"/>
            <w:tcBorders>
              <w:top w:val="single" w:sz="4" w:space="0" w:color="auto"/>
              <w:left w:val="single" w:sz="4" w:space="0" w:color="auto"/>
              <w:bottom w:val="single" w:sz="4" w:space="0" w:color="auto"/>
              <w:right w:val="single" w:sz="4" w:space="0" w:color="auto"/>
            </w:tcBorders>
          </w:tcPr>
          <w:p w14:paraId="384136F3" w14:textId="77777777" w:rsidR="00711444" w:rsidRPr="004D0DAA" w:rsidRDefault="00711444" w:rsidP="00AA2A4C">
            <w:pPr>
              <w:pStyle w:val="TAC"/>
              <w:rPr>
                <w:lang w:eastAsia="en-US"/>
              </w:rPr>
            </w:pPr>
            <w:r w:rsidRPr="004D0DAA">
              <w:rPr>
                <w:rFonts w:cs="Arial"/>
                <w:lang w:eastAsia="en-US"/>
              </w:rPr>
              <w:t>MCS-6</w:t>
            </w:r>
          </w:p>
        </w:tc>
        <w:tc>
          <w:tcPr>
            <w:tcW w:w="992" w:type="dxa"/>
          </w:tcPr>
          <w:p w14:paraId="38E5CC2A" w14:textId="77777777" w:rsidR="00711444" w:rsidRPr="004D0DAA" w:rsidRDefault="00711444" w:rsidP="00AA2A4C">
            <w:pPr>
              <w:pStyle w:val="TAC"/>
              <w:rPr>
                <w:lang w:eastAsia="en-US"/>
              </w:rPr>
            </w:pPr>
            <w:r w:rsidRPr="004D0DAA">
              <w:rPr>
                <w:rFonts w:cs="Arial"/>
                <w:lang w:eastAsia="en-US"/>
              </w:rPr>
              <w:t>MCS-6</w:t>
            </w:r>
          </w:p>
        </w:tc>
      </w:tr>
      <w:tr w:rsidR="00711444" w:rsidRPr="004D0DAA" w14:paraId="3E9AA458"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4E0E0A77" w14:textId="77777777" w:rsidR="00711444" w:rsidRPr="004D0DAA" w:rsidRDefault="00711444" w:rsidP="00AA2A4C">
            <w:pPr>
              <w:pStyle w:val="TAC"/>
              <w:rPr>
                <w:lang w:eastAsia="en-US"/>
              </w:rPr>
            </w:pPr>
            <w:r w:rsidRPr="004D0DAA">
              <w:rPr>
                <w:lang w:eastAsia="en-US"/>
              </w:rPr>
              <w:t>UBS-11</w:t>
            </w:r>
          </w:p>
        </w:tc>
        <w:tc>
          <w:tcPr>
            <w:tcW w:w="2100" w:type="dxa"/>
            <w:tcBorders>
              <w:left w:val="single" w:sz="4" w:space="0" w:color="auto"/>
              <w:right w:val="single" w:sz="4" w:space="0" w:color="auto"/>
            </w:tcBorders>
          </w:tcPr>
          <w:p w14:paraId="0BB44AC7"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1EA57C14"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4D95BF31"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04D48FEC" w14:textId="77777777" w:rsidR="00711444" w:rsidRPr="004D0DAA" w:rsidRDefault="00711444" w:rsidP="00AA2A4C">
            <w:pPr>
              <w:pStyle w:val="TAC"/>
              <w:rPr>
                <w:lang w:eastAsia="en-US"/>
              </w:rPr>
            </w:pPr>
            <w:r w:rsidRPr="004D0DAA">
              <w:rPr>
                <w:rFonts w:cs="Arial"/>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69A21165" w14:textId="77777777" w:rsidR="00711444" w:rsidRPr="004D0DAA" w:rsidRDefault="00711444" w:rsidP="00AA2A4C">
            <w:pPr>
              <w:pStyle w:val="TAC"/>
              <w:rPr>
                <w:lang w:eastAsia="en-US"/>
              </w:rPr>
            </w:pPr>
            <w:r w:rsidRPr="004D0DAA">
              <w:rPr>
                <w:rFonts w:cs="Arial"/>
                <w:lang w:eastAsia="en-US"/>
              </w:rPr>
              <w:t>MCS-6</w:t>
            </w:r>
          </w:p>
        </w:tc>
        <w:tc>
          <w:tcPr>
            <w:tcW w:w="993" w:type="dxa"/>
            <w:tcBorders>
              <w:top w:val="single" w:sz="4" w:space="0" w:color="auto"/>
              <w:left w:val="single" w:sz="4" w:space="0" w:color="auto"/>
              <w:bottom w:val="single" w:sz="4" w:space="0" w:color="auto"/>
              <w:right w:val="single" w:sz="4" w:space="0" w:color="auto"/>
            </w:tcBorders>
          </w:tcPr>
          <w:p w14:paraId="09824688" w14:textId="77777777" w:rsidR="00711444" w:rsidRPr="004D0DAA" w:rsidRDefault="00711444" w:rsidP="00AA2A4C">
            <w:pPr>
              <w:pStyle w:val="TAC"/>
              <w:rPr>
                <w:lang w:eastAsia="en-US"/>
              </w:rPr>
            </w:pPr>
            <w:r w:rsidRPr="004D0DAA">
              <w:rPr>
                <w:rFonts w:cs="Arial"/>
                <w:lang w:eastAsia="en-US"/>
              </w:rPr>
              <w:t>MCS-6</w:t>
            </w:r>
          </w:p>
        </w:tc>
        <w:tc>
          <w:tcPr>
            <w:tcW w:w="992" w:type="dxa"/>
          </w:tcPr>
          <w:p w14:paraId="65D88607" w14:textId="77777777" w:rsidR="00711444" w:rsidRPr="004D0DAA" w:rsidRDefault="00711444" w:rsidP="00AA2A4C">
            <w:pPr>
              <w:pStyle w:val="TAC"/>
              <w:rPr>
                <w:lang w:eastAsia="en-US"/>
              </w:rPr>
            </w:pPr>
            <w:r w:rsidRPr="004D0DAA">
              <w:rPr>
                <w:rFonts w:cs="Arial"/>
                <w:lang w:eastAsia="en-US"/>
              </w:rPr>
              <w:t>MCS-6</w:t>
            </w:r>
          </w:p>
        </w:tc>
      </w:tr>
      <w:tr w:rsidR="00711444" w:rsidRPr="004D0DAA" w14:paraId="28513438"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4D9F89BA" w14:textId="77777777" w:rsidR="00711444" w:rsidRPr="004D0DAA" w:rsidRDefault="00711444" w:rsidP="00AA2A4C">
            <w:pPr>
              <w:pStyle w:val="TAC"/>
              <w:rPr>
                <w:lang w:eastAsia="en-US"/>
              </w:rPr>
            </w:pPr>
            <w:r w:rsidRPr="004D0DAA">
              <w:rPr>
                <w:lang w:eastAsia="en-US"/>
              </w:rPr>
              <w:t>UBS-10</w:t>
            </w:r>
          </w:p>
        </w:tc>
        <w:tc>
          <w:tcPr>
            <w:tcW w:w="2100" w:type="dxa"/>
            <w:tcBorders>
              <w:left w:val="single" w:sz="4" w:space="0" w:color="auto"/>
              <w:right w:val="single" w:sz="4" w:space="0" w:color="auto"/>
            </w:tcBorders>
          </w:tcPr>
          <w:p w14:paraId="7C738287"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76636CB3"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5F4E1260"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5123D6BF" w14:textId="77777777" w:rsidR="00711444" w:rsidRPr="004D0DAA" w:rsidRDefault="00711444" w:rsidP="00AA2A4C">
            <w:pPr>
              <w:pStyle w:val="TAC"/>
              <w:rPr>
                <w:lang w:eastAsia="en-US"/>
              </w:rPr>
            </w:pPr>
            <w:r w:rsidRPr="004D0DAA">
              <w:rPr>
                <w:rFonts w:cs="Arial"/>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66F25079" w14:textId="77777777" w:rsidR="00711444" w:rsidRPr="004D0DAA" w:rsidRDefault="00711444" w:rsidP="00AA2A4C">
            <w:pPr>
              <w:pStyle w:val="TAC"/>
              <w:rPr>
                <w:lang w:eastAsia="en-US"/>
              </w:rPr>
            </w:pPr>
            <w:r w:rsidRPr="004D0DAA">
              <w:rPr>
                <w:rFonts w:cs="Arial"/>
                <w:lang w:eastAsia="en-US"/>
              </w:rPr>
              <w:t>MCS-6</w:t>
            </w:r>
          </w:p>
        </w:tc>
        <w:tc>
          <w:tcPr>
            <w:tcW w:w="993" w:type="dxa"/>
            <w:tcBorders>
              <w:top w:val="single" w:sz="4" w:space="0" w:color="auto"/>
              <w:left w:val="single" w:sz="4" w:space="0" w:color="auto"/>
              <w:bottom w:val="single" w:sz="4" w:space="0" w:color="auto"/>
              <w:right w:val="single" w:sz="4" w:space="0" w:color="auto"/>
            </w:tcBorders>
          </w:tcPr>
          <w:p w14:paraId="79063228" w14:textId="77777777" w:rsidR="00711444" w:rsidRPr="004D0DAA" w:rsidRDefault="00711444" w:rsidP="00AA2A4C">
            <w:pPr>
              <w:pStyle w:val="TAC"/>
              <w:rPr>
                <w:lang w:eastAsia="en-US"/>
              </w:rPr>
            </w:pPr>
            <w:r w:rsidRPr="004D0DAA">
              <w:rPr>
                <w:rFonts w:cs="Arial"/>
                <w:lang w:eastAsia="en-US"/>
              </w:rPr>
              <w:t>MCS-6</w:t>
            </w:r>
          </w:p>
        </w:tc>
        <w:tc>
          <w:tcPr>
            <w:tcW w:w="992" w:type="dxa"/>
          </w:tcPr>
          <w:p w14:paraId="7DBF2090" w14:textId="77777777" w:rsidR="00711444" w:rsidRPr="004D0DAA" w:rsidRDefault="00711444" w:rsidP="00AA2A4C">
            <w:pPr>
              <w:pStyle w:val="TAC"/>
              <w:rPr>
                <w:lang w:eastAsia="en-US"/>
              </w:rPr>
            </w:pPr>
            <w:r w:rsidRPr="004D0DAA">
              <w:rPr>
                <w:rFonts w:cs="Arial"/>
                <w:lang w:eastAsia="en-US"/>
              </w:rPr>
              <w:t>MCS-6</w:t>
            </w:r>
          </w:p>
        </w:tc>
      </w:tr>
      <w:tr w:rsidR="00711444" w:rsidRPr="004D0DAA" w14:paraId="5D39B9F8"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4E4CFE37" w14:textId="77777777" w:rsidR="00711444" w:rsidRPr="004D0DAA" w:rsidRDefault="00711444" w:rsidP="00AA2A4C">
            <w:pPr>
              <w:pStyle w:val="TAC"/>
              <w:rPr>
                <w:lang w:eastAsia="en-US"/>
              </w:rPr>
            </w:pPr>
            <w:r w:rsidRPr="004D0DAA">
              <w:rPr>
                <w:lang w:eastAsia="en-US"/>
              </w:rPr>
              <w:t>UBS-9</w:t>
            </w:r>
          </w:p>
        </w:tc>
        <w:tc>
          <w:tcPr>
            <w:tcW w:w="2100" w:type="dxa"/>
            <w:tcBorders>
              <w:left w:val="single" w:sz="4" w:space="0" w:color="auto"/>
              <w:right w:val="single" w:sz="4" w:space="0" w:color="auto"/>
            </w:tcBorders>
          </w:tcPr>
          <w:p w14:paraId="7AC174D2"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6AAB8B41" w14:textId="77777777" w:rsidR="00711444" w:rsidRPr="004D0DAA" w:rsidRDefault="00711444" w:rsidP="00AA2A4C">
            <w:pPr>
              <w:pStyle w:val="TAC"/>
              <w:rPr>
                <w:lang w:eastAsia="en-US"/>
              </w:rPr>
            </w:pPr>
            <w:r w:rsidRPr="004D0DAA">
              <w:rPr>
                <w:lang w:eastAsia="en-US"/>
              </w:rPr>
              <w:t>MCS-7</w:t>
            </w:r>
          </w:p>
        </w:tc>
        <w:tc>
          <w:tcPr>
            <w:tcW w:w="992" w:type="dxa"/>
            <w:tcBorders>
              <w:top w:val="single" w:sz="4" w:space="0" w:color="auto"/>
              <w:left w:val="single" w:sz="4" w:space="0" w:color="auto"/>
              <w:bottom w:val="single" w:sz="4" w:space="0" w:color="auto"/>
              <w:right w:val="single" w:sz="4" w:space="0" w:color="auto"/>
            </w:tcBorders>
          </w:tcPr>
          <w:p w14:paraId="520A3D44" w14:textId="77777777" w:rsidR="00711444" w:rsidRPr="004D0DAA" w:rsidRDefault="00711444" w:rsidP="00AA2A4C">
            <w:pPr>
              <w:pStyle w:val="TAC"/>
              <w:rPr>
                <w:lang w:eastAsia="en-US"/>
              </w:rPr>
            </w:pPr>
            <w:r w:rsidRPr="004D0DAA">
              <w:rPr>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6DDD2ED2" w14:textId="77777777" w:rsidR="00711444" w:rsidRPr="004D0DAA" w:rsidRDefault="00711444" w:rsidP="00AA2A4C">
            <w:pPr>
              <w:pStyle w:val="TAC"/>
              <w:rPr>
                <w:lang w:eastAsia="en-US"/>
              </w:rPr>
            </w:pPr>
            <w:r w:rsidRPr="004D0DAA">
              <w:rPr>
                <w:rFonts w:cs="Arial"/>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595A1550" w14:textId="77777777" w:rsidR="00711444" w:rsidRPr="004D0DAA" w:rsidRDefault="00711444" w:rsidP="00AA2A4C">
            <w:pPr>
              <w:pStyle w:val="TAC"/>
              <w:rPr>
                <w:lang w:eastAsia="en-US"/>
              </w:rPr>
            </w:pPr>
            <w:r w:rsidRPr="004D0DAA">
              <w:rPr>
                <w:rFonts w:cs="Arial"/>
                <w:lang w:eastAsia="en-US"/>
              </w:rPr>
              <w:t>MCS-5</w:t>
            </w:r>
          </w:p>
        </w:tc>
        <w:tc>
          <w:tcPr>
            <w:tcW w:w="993" w:type="dxa"/>
            <w:tcBorders>
              <w:top w:val="single" w:sz="4" w:space="0" w:color="auto"/>
              <w:left w:val="single" w:sz="4" w:space="0" w:color="auto"/>
              <w:bottom w:val="single" w:sz="4" w:space="0" w:color="auto"/>
              <w:right w:val="single" w:sz="4" w:space="0" w:color="auto"/>
            </w:tcBorders>
          </w:tcPr>
          <w:p w14:paraId="6FF094F9" w14:textId="77777777" w:rsidR="00711444" w:rsidRPr="004D0DAA" w:rsidRDefault="00711444" w:rsidP="00AA2A4C">
            <w:pPr>
              <w:pStyle w:val="TAC"/>
              <w:rPr>
                <w:lang w:eastAsia="en-US"/>
              </w:rPr>
            </w:pPr>
            <w:r w:rsidRPr="004D0DAA">
              <w:rPr>
                <w:rFonts w:cs="Arial"/>
                <w:lang w:eastAsia="en-US"/>
              </w:rPr>
              <w:t>MCS-5</w:t>
            </w:r>
          </w:p>
        </w:tc>
        <w:tc>
          <w:tcPr>
            <w:tcW w:w="992" w:type="dxa"/>
          </w:tcPr>
          <w:p w14:paraId="7B8FF868" w14:textId="77777777" w:rsidR="00711444" w:rsidRPr="004D0DAA" w:rsidRDefault="00711444" w:rsidP="00AA2A4C">
            <w:pPr>
              <w:pStyle w:val="TAC"/>
              <w:rPr>
                <w:lang w:eastAsia="en-US"/>
              </w:rPr>
            </w:pPr>
            <w:r w:rsidRPr="004D0DAA">
              <w:rPr>
                <w:rFonts w:cs="Arial"/>
                <w:lang w:eastAsia="en-US"/>
              </w:rPr>
              <w:t>MCS-5</w:t>
            </w:r>
          </w:p>
        </w:tc>
      </w:tr>
      <w:tr w:rsidR="00711444" w:rsidRPr="004D0DAA" w14:paraId="0A72EACB"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0AA0599B" w14:textId="77777777" w:rsidR="00711444" w:rsidRPr="004D0DAA" w:rsidRDefault="00711444" w:rsidP="00AA2A4C">
            <w:pPr>
              <w:pStyle w:val="TAC"/>
              <w:rPr>
                <w:lang w:eastAsia="en-US"/>
              </w:rPr>
            </w:pPr>
            <w:r w:rsidRPr="004D0DAA">
              <w:rPr>
                <w:lang w:eastAsia="en-US"/>
              </w:rPr>
              <w:t>UBS-8</w:t>
            </w:r>
          </w:p>
        </w:tc>
        <w:tc>
          <w:tcPr>
            <w:tcW w:w="2100" w:type="dxa"/>
            <w:tcBorders>
              <w:left w:val="single" w:sz="4" w:space="0" w:color="auto"/>
              <w:right w:val="single" w:sz="4" w:space="0" w:color="auto"/>
            </w:tcBorders>
          </w:tcPr>
          <w:p w14:paraId="449A421C"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6CE70BDA"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76BEA8AC"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0B59BFB4" w14:textId="77777777" w:rsidR="00711444" w:rsidRPr="004D0DAA" w:rsidRDefault="00711444" w:rsidP="00AA2A4C">
            <w:pPr>
              <w:pStyle w:val="TAC"/>
              <w:rPr>
                <w:lang w:eastAsia="en-US"/>
              </w:rPr>
            </w:pPr>
            <w:r w:rsidRPr="004D0DAA">
              <w:rPr>
                <w:rFonts w:cs="Arial"/>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0D1C218E" w14:textId="77777777" w:rsidR="00711444" w:rsidRPr="004D0DAA" w:rsidRDefault="00711444" w:rsidP="00AA2A4C">
            <w:pPr>
              <w:pStyle w:val="TAC"/>
              <w:rPr>
                <w:lang w:eastAsia="en-US"/>
              </w:rPr>
            </w:pPr>
            <w:r w:rsidRPr="004D0DAA">
              <w:rPr>
                <w:rFonts w:cs="Arial"/>
                <w:lang w:eastAsia="en-US"/>
              </w:rPr>
              <w:t>MCS-6</w:t>
            </w:r>
          </w:p>
        </w:tc>
        <w:tc>
          <w:tcPr>
            <w:tcW w:w="993" w:type="dxa"/>
            <w:tcBorders>
              <w:top w:val="single" w:sz="4" w:space="0" w:color="auto"/>
              <w:left w:val="single" w:sz="4" w:space="0" w:color="auto"/>
              <w:bottom w:val="single" w:sz="4" w:space="0" w:color="auto"/>
              <w:right w:val="single" w:sz="4" w:space="0" w:color="auto"/>
            </w:tcBorders>
          </w:tcPr>
          <w:p w14:paraId="0B3FEACE" w14:textId="77777777" w:rsidR="00711444" w:rsidRPr="004D0DAA" w:rsidRDefault="00711444" w:rsidP="00AA2A4C">
            <w:pPr>
              <w:pStyle w:val="TAC"/>
              <w:rPr>
                <w:lang w:eastAsia="en-US"/>
              </w:rPr>
            </w:pPr>
            <w:r w:rsidRPr="004D0DAA">
              <w:rPr>
                <w:rFonts w:cs="Arial"/>
                <w:lang w:eastAsia="en-US"/>
              </w:rPr>
              <w:t>MCS-6</w:t>
            </w:r>
          </w:p>
        </w:tc>
        <w:tc>
          <w:tcPr>
            <w:tcW w:w="992" w:type="dxa"/>
          </w:tcPr>
          <w:p w14:paraId="2E1F8660" w14:textId="77777777" w:rsidR="00711444" w:rsidRPr="004D0DAA" w:rsidRDefault="00711444" w:rsidP="00AA2A4C">
            <w:pPr>
              <w:pStyle w:val="TAC"/>
              <w:rPr>
                <w:lang w:eastAsia="en-US"/>
              </w:rPr>
            </w:pPr>
            <w:r w:rsidRPr="004D0DAA">
              <w:rPr>
                <w:rFonts w:cs="Arial"/>
                <w:lang w:eastAsia="en-US"/>
              </w:rPr>
              <w:t>MCS-6</w:t>
            </w:r>
          </w:p>
        </w:tc>
      </w:tr>
      <w:tr w:rsidR="00711444" w:rsidRPr="004D0DAA" w14:paraId="71DA9C45"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75A62005" w14:textId="77777777" w:rsidR="00711444" w:rsidRPr="004D0DAA" w:rsidRDefault="00711444" w:rsidP="00AA2A4C">
            <w:pPr>
              <w:pStyle w:val="TAC"/>
              <w:rPr>
                <w:lang w:eastAsia="en-US"/>
              </w:rPr>
            </w:pPr>
            <w:r w:rsidRPr="004D0DAA">
              <w:rPr>
                <w:lang w:eastAsia="en-US"/>
              </w:rPr>
              <w:t>UBS-7</w:t>
            </w:r>
          </w:p>
        </w:tc>
        <w:tc>
          <w:tcPr>
            <w:tcW w:w="2100" w:type="dxa"/>
            <w:tcBorders>
              <w:left w:val="single" w:sz="4" w:space="0" w:color="auto"/>
              <w:right w:val="single" w:sz="4" w:space="0" w:color="auto"/>
            </w:tcBorders>
          </w:tcPr>
          <w:p w14:paraId="01275B74"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5DEC1987" w14:textId="77777777" w:rsidR="00711444" w:rsidRPr="004D0DAA" w:rsidRDefault="00711444" w:rsidP="00AA2A4C">
            <w:pPr>
              <w:pStyle w:val="TAC"/>
              <w:rPr>
                <w:lang w:eastAsia="en-US"/>
              </w:rPr>
            </w:pPr>
            <w:r w:rsidRPr="004D0DAA">
              <w:rPr>
                <w:lang w:eastAsia="en-US"/>
              </w:rPr>
              <w:t>MCS-7</w:t>
            </w:r>
          </w:p>
        </w:tc>
        <w:tc>
          <w:tcPr>
            <w:tcW w:w="992" w:type="dxa"/>
            <w:tcBorders>
              <w:top w:val="single" w:sz="4" w:space="0" w:color="auto"/>
              <w:left w:val="single" w:sz="4" w:space="0" w:color="auto"/>
              <w:bottom w:val="single" w:sz="4" w:space="0" w:color="auto"/>
              <w:right w:val="single" w:sz="4" w:space="0" w:color="auto"/>
            </w:tcBorders>
          </w:tcPr>
          <w:p w14:paraId="459C2636" w14:textId="77777777" w:rsidR="00711444" w:rsidRPr="004D0DAA" w:rsidRDefault="00711444" w:rsidP="00AA2A4C">
            <w:pPr>
              <w:pStyle w:val="TAC"/>
              <w:rPr>
                <w:lang w:eastAsia="en-US"/>
              </w:rPr>
            </w:pPr>
            <w:r w:rsidRPr="004D0DAA">
              <w:rPr>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1272C694" w14:textId="77777777" w:rsidR="00711444" w:rsidRPr="004D0DAA" w:rsidRDefault="00711444" w:rsidP="00AA2A4C">
            <w:pPr>
              <w:pStyle w:val="TAC"/>
              <w:rPr>
                <w:lang w:eastAsia="en-US"/>
              </w:rPr>
            </w:pPr>
            <w:r w:rsidRPr="004D0DAA">
              <w:rPr>
                <w:rFonts w:cs="Arial"/>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5838D0E3" w14:textId="77777777" w:rsidR="00711444" w:rsidRPr="004D0DAA" w:rsidRDefault="00711444" w:rsidP="00AA2A4C">
            <w:pPr>
              <w:pStyle w:val="TAC"/>
              <w:rPr>
                <w:lang w:eastAsia="en-US"/>
              </w:rPr>
            </w:pPr>
            <w:r w:rsidRPr="004D0DAA">
              <w:rPr>
                <w:rFonts w:cs="Arial"/>
                <w:lang w:eastAsia="en-US"/>
              </w:rPr>
              <w:t>MCS-5</w:t>
            </w:r>
          </w:p>
        </w:tc>
        <w:tc>
          <w:tcPr>
            <w:tcW w:w="993" w:type="dxa"/>
            <w:tcBorders>
              <w:top w:val="single" w:sz="4" w:space="0" w:color="auto"/>
              <w:left w:val="single" w:sz="4" w:space="0" w:color="auto"/>
              <w:bottom w:val="single" w:sz="4" w:space="0" w:color="auto"/>
              <w:right w:val="single" w:sz="4" w:space="0" w:color="auto"/>
            </w:tcBorders>
          </w:tcPr>
          <w:p w14:paraId="16B28C5A" w14:textId="77777777" w:rsidR="00711444" w:rsidRPr="004D0DAA" w:rsidRDefault="00711444" w:rsidP="00AA2A4C">
            <w:pPr>
              <w:pStyle w:val="TAC"/>
              <w:rPr>
                <w:lang w:eastAsia="en-US"/>
              </w:rPr>
            </w:pPr>
            <w:r w:rsidRPr="004D0DAA">
              <w:rPr>
                <w:rFonts w:cs="Arial"/>
                <w:lang w:eastAsia="en-US"/>
              </w:rPr>
              <w:t>MCS-5</w:t>
            </w:r>
          </w:p>
        </w:tc>
        <w:tc>
          <w:tcPr>
            <w:tcW w:w="992" w:type="dxa"/>
          </w:tcPr>
          <w:p w14:paraId="5ABF2426" w14:textId="77777777" w:rsidR="00711444" w:rsidRPr="004D0DAA" w:rsidRDefault="00711444" w:rsidP="00AA2A4C">
            <w:pPr>
              <w:pStyle w:val="TAC"/>
              <w:rPr>
                <w:lang w:eastAsia="en-US"/>
              </w:rPr>
            </w:pPr>
            <w:r w:rsidRPr="004D0DAA">
              <w:rPr>
                <w:rFonts w:cs="Arial"/>
                <w:lang w:eastAsia="en-US"/>
              </w:rPr>
              <w:t>MCS-5</w:t>
            </w:r>
          </w:p>
        </w:tc>
      </w:tr>
      <w:tr w:rsidR="00711444" w:rsidRPr="004D0DAA" w14:paraId="6A5E7437"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6AA9F46E" w14:textId="77777777" w:rsidR="00711444" w:rsidRPr="004D0DAA" w:rsidRDefault="00711444" w:rsidP="00AA2A4C">
            <w:pPr>
              <w:pStyle w:val="TAC"/>
              <w:rPr>
                <w:lang w:eastAsia="en-US"/>
              </w:rPr>
            </w:pPr>
            <w:r w:rsidRPr="004D0DAA">
              <w:rPr>
                <w:lang w:eastAsia="en-US"/>
              </w:rPr>
              <w:t>UBS-6</w:t>
            </w:r>
          </w:p>
        </w:tc>
        <w:tc>
          <w:tcPr>
            <w:tcW w:w="2100" w:type="dxa"/>
            <w:tcBorders>
              <w:left w:val="single" w:sz="4" w:space="0" w:color="auto"/>
              <w:right w:val="single" w:sz="4" w:space="0" w:color="auto"/>
            </w:tcBorders>
          </w:tcPr>
          <w:p w14:paraId="1513196C"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18C30892"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0D2C95B2" w14:textId="77777777" w:rsidR="00711444" w:rsidRPr="004D0DAA" w:rsidRDefault="00711444" w:rsidP="00AA2A4C">
            <w:pPr>
              <w:pStyle w:val="TAC"/>
              <w:rPr>
                <w:lang w:eastAsia="en-US"/>
              </w:rPr>
            </w:pPr>
            <w:r w:rsidRPr="004D0DAA">
              <w:rPr>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02777A2D" w14:textId="77777777" w:rsidR="00711444" w:rsidRPr="004D0DAA" w:rsidRDefault="00711444" w:rsidP="00AA2A4C">
            <w:pPr>
              <w:pStyle w:val="TAC"/>
              <w:rPr>
                <w:lang w:eastAsia="en-US"/>
              </w:rPr>
            </w:pPr>
            <w:r w:rsidRPr="004D0DAA">
              <w:rPr>
                <w:rFonts w:cs="Arial"/>
                <w:lang w:eastAsia="en-US"/>
              </w:rPr>
              <w:t>MCS-6</w:t>
            </w:r>
          </w:p>
        </w:tc>
        <w:tc>
          <w:tcPr>
            <w:tcW w:w="992" w:type="dxa"/>
            <w:tcBorders>
              <w:top w:val="single" w:sz="4" w:space="0" w:color="auto"/>
              <w:left w:val="single" w:sz="4" w:space="0" w:color="auto"/>
              <w:bottom w:val="single" w:sz="4" w:space="0" w:color="auto"/>
              <w:right w:val="single" w:sz="4" w:space="0" w:color="auto"/>
            </w:tcBorders>
          </w:tcPr>
          <w:p w14:paraId="3C96BFC7" w14:textId="77777777" w:rsidR="00711444" w:rsidRPr="004D0DAA" w:rsidRDefault="00711444" w:rsidP="00AA2A4C">
            <w:pPr>
              <w:pStyle w:val="TAC"/>
              <w:rPr>
                <w:lang w:eastAsia="en-US"/>
              </w:rPr>
            </w:pPr>
            <w:r w:rsidRPr="004D0DAA">
              <w:rPr>
                <w:rFonts w:cs="Arial"/>
                <w:lang w:eastAsia="en-US"/>
              </w:rPr>
              <w:t>MCS-6</w:t>
            </w:r>
          </w:p>
        </w:tc>
        <w:tc>
          <w:tcPr>
            <w:tcW w:w="993" w:type="dxa"/>
            <w:tcBorders>
              <w:top w:val="single" w:sz="4" w:space="0" w:color="auto"/>
              <w:left w:val="single" w:sz="4" w:space="0" w:color="auto"/>
              <w:bottom w:val="single" w:sz="4" w:space="0" w:color="auto"/>
              <w:right w:val="single" w:sz="4" w:space="0" w:color="auto"/>
            </w:tcBorders>
          </w:tcPr>
          <w:p w14:paraId="7E480E4F" w14:textId="77777777" w:rsidR="00711444" w:rsidRPr="004D0DAA" w:rsidRDefault="00711444" w:rsidP="00AA2A4C">
            <w:pPr>
              <w:pStyle w:val="TAC"/>
              <w:rPr>
                <w:lang w:eastAsia="en-US"/>
              </w:rPr>
            </w:pPr>
            <w:r w:rsidRPr="004D0DAA">
              <w:rPr>
                <w:rFonts w:cs="Arial"/>
                <w:lang w:eastAsia="en-US"/>
              </w:rPr>
              <w:t>MCS-6</w:t>
            </w:r>
          </w:p>
        </w:tc>
        <w:tc>
          <w:tcPr>
            <w:tcW w:w="992" w:type="dxa"/>
          </w:tcPr>
          <w:p w14:paraId="2D59D573" w14:textId="77777777" w:rsidR="00711444" w:rsidRPr="004D0DAA" w:rsidRDefault="00711444" w:rsidP="00AA2A4C">
            <w:pPr>
              <w:pStyle w:val="TAC"/>
              <w:rPr>
                <w:lang w:eastAsia="en-US"/>
              </w:rPr>
            </w:pPr>
            <w:r w:rsidRPr="004D0DAA">
              <w:rPr>
                <w:rFonts w:cs="Arial"/>
                <w:lang w:eastAsia="en-US"/>
              </w:rPr>
              <w:t>MCS-6</w:t>
            </w:r>
          </w:p>
        </w:tc>
      </w:tr>
      <w:tr w:rsidR="00711444" w:rsidRPr="004D0DAA" w14:paraId="7D2037D9"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449D6135" w14:textId="77777777" w:rsidR="00711444" w:rsidRPr="004D0DAA" w:rsidRDefault="00711444" w:rsidP="00AA2A4C">
            <w:pPr>
              <w:pStyle w:val="TAC"/>
              <w:rPr>
                <w:lang w:eastAsia="en-US"/>
              </w:rPr>
            </w:pPr>
            <w:r w:rsidRPr="004D0DAA">
              <w:rPr>
                <w:lang w:eastAsia="en-US"/>
              </w:rPr>
              <w:t>UBS-5</w:t>
            </w:r>
          </w:p>
        </w:tc>
        <w:tc>
          <w:tcPr>
            <w:tcW w:w="2100" w:type="dxa"/>
            <w:tcBorders>
              <w:left w:val="single" w:sz="4" w:space="0" w:color="auto"/>
              <w:right w:val="single" w:sz="4" w:space="0" w:color="auto"/>
            </w:tcBorders>
          </w:tcPr>
          <w:p w14:paraId="64A7186D"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7960F632" w14:textId="77777777" w:rsidR="00711444" w:rsidRPr="004D0DAA" w:rsidRDefault="00711444" w:rsidP="00AA2A4C">
            <w:pPr>
              <w:pStyle w:val="TAC"/>
              <w:rPr>
                <w:lang w:eastAsia="en-US"/>
              </w:rPr>
            </w:pPr>
            <w:r w:rsidRPr="004D0DAA">
              <w:rPr>
                <w:lang w:eastAsia="en-US"/>
              </w:rPr>
              <w:t>MCS-7</w:t>
            </w:r>
          </w:p>
        </w:tc>
        <w:tc>
          <w:tcPr>
            <w:tcW w:w="992" w:type="dxa"/>
            <w:tcBorders>
              <w:top w:val="single" w:sz="4" w:space="0" w:color="auto"/>
              <w:left w:val="single" w:sz="4" w:space="0" w:color="auto"/>
              <w:bottom w:val="single" w:sz="4" w:space="0" w:color="auto"/>
              <w:right w:val="single" w:sz="4" w:space="0" w:color="auto"/>
            </w:tcBorders>
          </w:tcPr>
          <w:p w14:paraId="17D1CBE3" w14:textId="77777777" w:rsidR="00711444" w:rsidRPr="004D0DAA" w:rsidRDefault="00711444" w:rsidP="00AA2A4C">
            <w:pPr>
              <w:pStyle w:val="TAC"/>
              <w:rPr>
                <w:lang w:eastAsia="en-US"/>
              </w:rPr>
            </w:pPr>
            <w:r w:rsidRPr="004D0DAA">
              <w:rPr>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66877058" w14:textId="77777777" w:rsidR="00711444" w:rsidRPr="004D0DAA" w:rsidRDefault="00711444" w:rsidP="00AA2A4C">
            <w:pPr>
              <w:pStyle w:val="TAC"/>
              <w:rPr>
                <w:lang w:eastAsia="en-US"/>
              </w:rPr>
            </w:pPr>
            <w:r w:rsidRPr="004D0DAA">
              <w:rPr>
                <w:rFonts w:cs="Arial"/>
                <w:lang w:eastAsia="en-US"/>
              </w:rPr>
              <w:t>MCS-5</w:t>
            </w:r>
          </w:p>
        </w:tc>
        <w:tc>
          <w:tcPr>
            <w:tcW w:w="992" w:type="dxa"/>
            <w:tcBorders>
              <w:top w:val="single" w:sz="4" w:space="0" w:color="auto"/>
              <w:left w:val="single" w:sz="4" w:space="0" w:color="auto"/>
              <w:bottom w:val="single" w:sz="4" w:space="0" w:color="auto"/>
              <w:right w:val="single" w:sz="4" w:space="0" w:color="auto"/>
            </w:tcBorders>
          </w:tcPr>
          <w:p w14:paraId="74EDD89A" w14:textId="77777777" w:rsidR="00711444" w:rsidRPr="004D0DAA" w:rsidRDefault="00711444" w:rsidP="00AA2A4C">
            <w:pPr>
              <w:pStyle w:val="TAC"/>
              <w:rPr>
                <w:lang w:eastAsia="en-US"/>
              </w:rPr>
            </w:pPr>
            <w:r w:rsidRPr="004D0DAA">
              <w:rPr>
                <w:rFonts w:cs="Arial"/>
                <w:lang w:eastAsia="en-US"/>
              </w:rPr>
              <w:t>MCS-5</w:t>
            </w:r>
          </w:p>
        </w:tc>
        <w:tc>
          <w:tcPr>
            <w:tcW w:w="993" w:type="dxa"/>
            <w:tcBorders>
              <w:top w:val="single" w:sz="4" w:space="0" w:color="auto"/>
              <w:left w:val="single" w:sz="4" w:space="0" w:color="auto"/>
              <w:bottom w:val="single" w:sz="4" w:space="0" w:color="auto"/>
              <w:right w:val="single" w:sz="4" w:space="0" w:color="auto"/>
            </w:tcBorders>
          </w:tcPr>
          <w:p w14:paraId="639B76B7" w14:textId="77777777" w:rsidR="00711444" w:rsidRPr="004D0DAA" w:rsidRDefault="00711444" w:rsidP="00AA2A4C">
            <w:pPr>
              <w:pStyle w:val="TAC"/>
              <w:rPr>
                <w:lang w:eastAsia="en-US"/>
              </w:rPr>
            </w:pPr>
            <w:r w:rsidRPr="004D0DAA">
              <w:rPr>
                <w:rFonts w:cs="Arial"/>
                <w:lang w:eastAsia="en-US"/>
              </w:rPr>
              <w:t>MCS-5</w:t>
            </w:r>
          </w:p>
        </w:tc>
        <w:tc>
          <w:tcPr>
            <w:tcW w:w="992" w:type="dxa"/>
          </w:tcPr>
          <w:p w14:paraId="5E26448A" w14:textId="77777777" w:rsidR="00711444" w:rsidRPr="004D0DAA" w:rsidRDefault="00711444" w:rsidP="00AA2A4C">
            <w:pPr>
              <w:pStyle w:val="TAC"/>
              <w:rPr>
                <w:lang w:eastAsia="en-US"/>
              </w:rPr>
            </w:pPr>
            <w:r w:rsidRPr="004D0DAA">
              <w:rPr>
                <w:rFonts w:cs="Arial"/>
                <w:lang w:eastAsia="en-US"/>
              </w:rPr>
              <w:t>MCS-5</w:t>
            </w:r>
          </w:p>
        </w:tc>
      </w:tr>
      <w:tr w:rsidR="00711444" w:rsidRPr="004D0DAA" w14:paraId="00C1340A"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580B783E" w14:textId="77777777" w:rsidR="00711444" w:rsidRPr="004D0DAA" w:rsidRDefault="00711444" w:rsidP="00AA2A4C">
            <w:pPr>
              <w:pStyle w:val="TAC"/>
              <w:rPr>
                <w:lang w:eastAsia="en-US"/>
              </w:rPr>
            </w:pPr>
            <w:r w:rsidRPr="004D0DAA">
              <w:rPr>
                <w:lang w:eastAsia="en-US"/>
              </w:rPr>
              <w:t>MCS-4</w:t>
            </w:r>
          </w:p>
        </w:tc>
        <w:tc>
          <w:tcPr>
            <w:tcW w:w="2100" w:type="dxa"/>
            <w:tcBorders>
              <w:left w:val="single" w:sz="4" w:space="0" w:color="auto"/>
              <w:right w:val="single" w:sz="4" w:space="0" w:color="auto"/>
            </w:tcBorders>
          </w:tcPr>
          <w:p w14:paraId="4B10B877"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5B81942E" w14:textId="77777777" w:rsidR="00711444" w:rsidRPr="004D0DAA" w:rsidRDefault="00711444" w:rsidP="00AA2A4C">
            <w:pPr>
              <w:pStyle w:val="TAC"/>
              <w:rPr>
                <w:lang w:eastAsia="en-US"/>
              </w:rPr>
            </w:pPr>
            <w:r w:rsidRPr="004D0DAA">
              <w:rPr>
                <w:lang w:eastAsia="en-US"/>
              </w:rPr>
              <w:t>MCS-4</w:t>
            </w:r>
          </w:p>
        </w:tc>
        <w:tc>
          <w:tcPr>
            <w:tcW w:w="992" w:type="dxa"/>
            <w:tcBorders>
              <w:top w:val="single" w:sz="4" w:space="0" w:color="auto"/>
              <w:left w:val="single" w:sz="4" w:space="0" w:color="auto"/>
              <w:bottom w:val="single" w:sz="4" w:space="0" w:color="auto"/>
              <w:right w:val="single" w:sz="4" w:space="0" w:color="auto"/>
            </w:tcBorders>
          </w:tcPr>
          <w:p w14:paraId="151E9895" w14:textId="77777777" w:rsidR="00711444" w:rsidRPr="004D0DAA" w:rsidRDefault="00711444" w:rsidP="00AA2A4C">
            <w:pPr>
              <w:pStyle w:val="TAC"/>
              <w:rPr>
                <w:lang w:eastAsia="en-US"/>
              </w:rPr>
            </w:pPr>
            <w:r w:rsidRPr="004D0DAA">
              <w:rPr>
                <w:lang w:eastAsia="en-US"/>
              </w:rPr>
              <w:t>MCS-4</w:t>
            </w:r>
          </w:p>
        </w:tc>
        <w:tc>
          <w:tcPr>
            <w:tcW w:w="992" w:type="dxa"/>
            <w:tcBorders>
              <w:top w:val="single" w:sz="4" w:space="0" w:color="auto"/>
              <w:left w:val="single" w:sz="4" w:space="0" w:color="auto"/>
              <w:bottom w:val="single" w:sz="4" w:space="0" w:color="auto"/>
              <w:right w:val="single" w:sz="4" w:space="0" w:color="auto"/>
            </w:tcBorders>
          </w:tcPr>
          <w:p w14:paraId="51D046DF" w14:textId="77777777" w:rsidR="00711444" w:rsidRPr="004D0DAA" w:rsidRDefault="00711444" w:rsidP="00AA2A4C">
            <w:pPr>
              <w:pStyle w:val="TAC"/>
              <w:rPr>
                <w:lang w:eastAsia="en-US"/>
              </w:rPr>
            </w:pPr>
            <w:r w:rsidRPr="004D0DAA">
              <w:rPr>
                <w:rFonts w:cs="Arial"/>
                <w:lang w:eastAsia="en-US"/>
              </w:rPr>
              <w:t>MCS-4</w:t>
            </w:r>
          </w:p>
        </w:tc>
        <w:tc>
          <w:tcPr>
            <w:tcW w:w="992" w:type="dxa"/>
            <w:tcBorders>
              <w:top w:val="single" w:sz="4" w:space="0" w:color="auto"/>
              <w:left w:val="single" w:sz="4" w:space="0" w:color="auto"/>
              <w:bottom w:val="single" w:sz="4" w:space="0" w:color="auto"/>
              <w:right w:val="single" w:sz="4" w:space="0" w:color="auto"/>
            </w:tcBorders>
          </w:tcPr>
          <w:p w14:paraId="3E3BC270" w14:textId="77777777" w:rsidR="00711444" w:rsidRPr="004D0DAA" w:rsidRDefault="00711444" w:rsidP="00AA2A4C">
            <w:pPr>
              <w:pStyle w:val="TAC"/>
              <w:rPr>
                <w:lang w:eastAsia="en-US"/>
              </w:rPr>
            </w:pPr>
            <w:r w:rsidRPr="004D0DAA">
              <w:rPr>
                <w:rFonts w:cs="Arial"/>
                <w:lang w:eastAsia="en-US"/>
              </w:rPr>
              <w:t>MCS-4</w:t>
            </w:r>
          </w:p>
        </w:tc>
        <w:tc>
          <w:tcPr>
            <w:tcW w:w="993" w:type="dxa"/>
            <w:tcBorders>
              <w:top w:val="single" w:sz="4" w:space="0" w:color="auto"/>
              <w:left w:val="single" w:sz="4" w:space="0" w:color="auto"/>
              <w:bottom w:val="single" w:sz="4" w:space="0" w:color="auto"/>
              <w:right w:val="single" w:sz="4" w:space="0" w:color="auto"/>
            </w:tcBorders>
          </w:tcPr>
          <w:p w14:paraId="159F0BF8" w14:textId="77777777" w:rsidR="00711444" w:rsidRPr="004D0DAA" w:rsidRDefault="00711444" w:rsidP="00AA2A4C">
            <w:pPr>
              <w:pStyle w:val="TAC"/>
              <w:rPr>
                <w:lang w:eastAsia="en-US"/>
              </w:rPr>
            </w:pPr>
            <w:r w:rsidRPr="004D0DAA">
              <w:rPr>
                <w:rFonts w:cs="Arial"/>
                <w:lang w:eastAsia="en-US"/>
              </w:rPr>
              <w:t>MCS-4</w:t>
            </w:r>
          </w:p>
        </w:tc>
        <w:tc>
          <w:tcPr>
            <w:tcW w:w="992" w:type="dxa"/>
          </w:tcPr>
          <w:p w14:paraId="119AF54D" w14:textId="77777777" w:rsidR="00711444" w:rsidRPr="004D0DAA" w:rsidRDefault="00711444" w:rsidP="00AA2A4C">
            <w:pPr>
              <w:pStyle w:val="TAC"/>
              <w:rPr>
                <w:lang w:eastAsia="en-US"/>
              </w:rPr>
            </w:pPr>
            <w:r w:rsidRPr="004D0DAA">
              <w:rPr>
                <w:rFonts w:cs="Arial"/>
                <w:lang w:eastAsia="en-US"/>
              </w:rPr>
              <w:t>MCS-4</w:t>
            </w:r>
          </w:p>
        </w:tc>
      </w:tr>
      <w:tr w:rsidR="00711444" w:rsidRPr="004D0DAA" w14:paraId="294E4AAA"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0EF6056E" w14:textId="77777777" w:rsidR="00711444" w:rsidRPr="004D0DAA" w:rsidRDefault="00711444" w:rsidP="00AA2A4C">
            <w:pPr>
              <w:pStyle w:val="TAC"/>
              <w:rPr>
                <w:lang w:eastAsia="en-US"/>
              </w:rPr>
            </w:pPr>
            <w:r w:rsidRPr="004D0DAA">
              <w:rPr>
                <w:lang w:eastAsia="en-US"/>
              </w:rPr>
              <w:t>MCS-3</w:t>
            </w:r>
          </w:p>
        </w:tc>
        <w:tc>
          <w:tcPr>
            <w:tcW w:w="2100" w:type="dxa"/>
            <w:tcBorders>
              <w:left w:val="single" w:sz="4" w:space="0" w:color="auto"/>
              <w:right w:val="single" w:sz="4" w:space="0" w:color="auto"/>
            </w:tcBorders>
          </w:tcPr>
          <w:p w14:paraId="0F3AFD5E"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6516CB29" w14:textId="77777777" w:rsidR="00711444" w:rsidRPr="004D0DAA" w:rsidRDefault="00711444" w:rsidP="00AA2A4C">
            <w:pPr>
              <w:pStyle w:val="TAC"/>
              <w:rPr>
                <w:lang w:eastAsia="en-US"/>
              </w:rPr>
            </w:pPr>
            <w:r w:rsidRPr="004D0DAA">
              <w:rPr>
                <w:lang w:eastAsia="en-US"/>
              </w:rPr>
              <w:t>MCS-3</w:t>
            </w:r>
          </w:p>
        </w:tc>
        <w:tc>
          <w:tcPr>
            <w:tcW w:w="992" w:type="dxa"/>
            <w:tcBorders>
              <w:top w:val="single" w:sz="4" w:space="0" w:color="auto"/>
              <w:left w:val="single" w:sz="4" w:space="0" w:color="auto"/>
              <w:bottom w:val="single" w:sz="4" w:space="0" w:color="auto"/>
              <w:right w:val="single" w:sz="4" w:space="0" w:color="auto"/>
            </w:tcBorders>
          </w:tcPr>
          <w:p w14:paraId="367CDB72" w14:textId="77777777" w:rsidR="00711444" w:rsidRPr="004D0DAA" w:rsidRDefault="00711444" w:rsidP="00AA2A4C">
            <w:pPr>
              <w:pStyle w:val="TAC"/>
              <w:rPr>
                <w:lang w:eastAsia="en-US"/>
              </w:rPr>
            </w:pPr>
            <w:r w:rsidRPr="004D0DAA">
              <w:rPr>
                <w:lang w:eastAsia="en-US"/>
              </w:rPr>
              <w:t>MCS-3</w:t>
            </w:r>
          </w:p>
        </w:tc>
        <w:tc>
          <w:tcPr>
            <w:tcW w:w="992" w:type="dxa"/>
            <w:tcBorders>
              <w:top w:val="single" w:sz="4" w:space="0" w:color="auto"/>
              <w:left w:val="single" w:sz="4" w:space="0" w:color="auto"/>
              <w:bottom w:val="single" w:sz="4" w:space="0" w:color="auto"/>
              <w:right w:val="single" w:sz="4" w:space="0" w:color="auto"/>
            </w:tcBorders>
          </w:tcPr>
          <w:p w14:paraId="6EFB63A7" w14:textId="77777777" w:rsidR="00711444" w:rsidRPr="004D0DAA" w:rsidRDefault="00711444" w:rsidP="00AA2A4C">
            <w:pPr>
              <w:pStyle w:val="TAC"/>
              <w:rPr>
                <w:lang w:eastAsia="en-US"/>
              </w:rPr>
            </w:pPr>
            <w:r w:rsidRPr="004D0DAA">
              <w:rPr>
                <w:rFonts w:cs="Arial"/>
                <w:lang w:eastAsia="en-US"/>
              </w:rPr>
              <w:t>MCS-3</w:t>
            </w:r>
          </w:p>
        </w:tc>
        <w:tc>
          <w:tcPr>
            <w:tcW w:w="992" w:type="dxa"/>
            <w:tcBorders>
              <w:top w:val="single" w:sz="4" w:space="0" w:color="auto"/>
              <w:left w:val="single" w:sz="4" w:space="0" w:color="auto"/>
              <w:bottom w:val="single" w:sz="4" w:space="0" w:color="auto"/>
              <w:right w:val="single" w:sz="4" w:space="0" w:color="auto"/>
            </w:tcBorders>
          </w:tcPr>
          <w:p w14:paraId="3D2AE332" w14:textId="77777777" w:rsidR="00711444" w:rsidRPr="004D0DAA" w:rsidRDefault="00711444" w:rsidP="00AA2A4C">
            <w:pPr>
              <w:pStyle w:val="TAC"/>
              <w:rPr>
                <w:lang w:eastAsia="en-US"/>
              </w:rPr>
            </w:pPr>
            <w:r w:rsidRPr="004D0DAA">
              <w:rPr>
                <w:rFonts w:cs="Arial"/>
                <w:lang w:eastAsia="en-US"/>
              </w:rPr>
              <w:t>MCS-3</w:t>
            </w:r>
          </w:p>
        </w:tc>
        <w:tc>
          <w:tcPr>
            <w:tcW w:w="993" w:type="dxa"/>
            <w:tcBorders>
              <w:top w:val="single" w:sz="4" w:space="0" w:color="auto"/>
              <w:left w:val="single" w:sz="4" w:space="0" w:color="auto"/>
              <w:bottom w:val="single" w:sz="4" w:space="0" w:color="auto"/>
              <w:right w:val="single" w:sz="4" w:space="0" w:color="auto"/>
            </w:tcBorders>
          </w:tcPr>
          <w:p w14:paraId="315AD3CD" w14:textId="77777777" w:rsidR="00711444" w:rsidRPr="004D0DAA" w:rsidRDefault="00711444" w:rsidP="00AA2A4C">
            <w:pPr>
              <w:pStyle w:val="TAC"/>
              <w:rPr>
                <w:lang w:eastAsia="en-US"/>
              </w:rPr>
            </w:pPr>
            <w:r w:rsidRPr="004D0DAA">
              <w:rPr>
                <w:rFonts w:cs="Arial"/>
                <w:lang w:eastAsia="en-US"/>
              </w:rPr>
              <w:t>MCS-3</w:t>
            </w:r>
          </w:p>
        </w:tc>
        <w:tc>
          <w:tcPr>
            <w:tcW w:w="992" w:type="dxa"/>
          </w:tcPr>
          <w:p w14:paraId="047C22C3" w14:textId="77777777" w:rsidR="00711444" w:rsidRPr="004D0DAA" w:rsidRDefault="00711444" w:rsidP="00AA2A4C">
            <w:pPr>
              <w:pStyle w:val="TAC"/>
              <w:rPr>
                <w:lang w:eastAsia="en-US"/>
              </w:rPr>
            </w:pPr>
            <w:r w:rsidRPr="004D0DAA">
              <w:rPr>
                <w:rFonts w:cs="Arial"/>
                <w:lang w:eastAsia="en-US"/>
              </w:rPr>
              <w:t>MCS-3</w:t>
            </w:r>
          </w:p>
        </w:tc>
      </w:tr>
      <w:tr w:rsidR="00711444" w:rsidRPr="004D0DAA" w14:paraId="3E1E15CD"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3B931B99" w14:textId="77777777" w:rsidR="00711444" w:rsidRPr="004D0DAA" w:rsidRDefault="00711444" w:rsidP="00AA2A4C">
            <w:pPr>
              <w:pStyle w:val="TAC"/>
              <w:rPr>
                <w:lang w:eastAsia="en-US"/>
              </w:rPr>
            </w:pPr>
            <w:r w:rsidRPr="004D0DAA">
              <w:rPr>
                <w:lang w:eastAsia="en-US"/>
              </w:rPr>
              <w:t>MCS-2</w:t>
            </w:r>
          </w:p>
        </w:tc>
        <w:tc>
          <w:tcPr>
            <w:tcW w:w="2100" w:type="dxa"/>
            <w:tcBorders>
              <w:left w:val="single" w:sz="4" w:space="0" w:color="auto"/>
              <w:right w:val="single" w:sz="4" w:space="0" w:color="auto"/>
            </w:tcBorders>
          </w:tcPr>
          <w:p w14:paraId="15968D22"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right w:val="single" w:sz="4" w:space="0" w:color="auto"/>
            </w:tcBorders>
            <w:shd w:val="clear" w:color="auto" w:fill="auto"/>
          </w:tcPr>
          <w:p w14:paraId="4BB10EF1" w14:textId="77777777" w:rsidR="00711444" w:rsidRPr="004D0DAA" w:rsidRDefault="00711444" w:rsidP="00AA2A4C">
            <w:pPr>
              <w:pStyle w:val="TAC"/>
              <w:rPr>
                <w:lang w:eastAsia="en-US"/>
              </w:rPr>
            </w:pPr>
            <w:r w:rsidRPr="004D0DAA">
              <w:rPr>
                <w:lang w:eastAsia="en-US"/>
              </w:rPr>
              <w:t>MCS-2</w:t>
            </w:r>
          </w:p>
        </w:tc>
        <w:tc>
          <w:tcPr>
            <w:tcW w:w="992" w:type="dxa"/>
            <w:tcBorders>
              <w:top w:val="single" w:sz="4" w:space="0" w:color="auto"/>
              <w:left w:val="single" w:sz="4" w:space="0" w:color="auto"/>
              <w:bottom w:val="single" w:sz="4" w:space="0" w:color="auto"/>
              <w:right w:val="single" w:sz="4" w:space="0" w:color="auto"/>
            </w:tcBorders>
          </w:tcPr>
          <w:p w14:paraId="6297193A" w14:textId="77777777" w:rsidR="00711444" w:rsidRPr="004D0DAA" w:rsidRDefault="00711444" w:rsidP="00AA2A4C">
            <w:pPr>
              <w:pStyle w:val="TAC"/>
              <w:rPr>
                <w:lang w:eastAsia="en-US"/>
              </w:rPr>
            </w:pPr>
            <w:r w:rsidRPr="004D0DAA">
              <w:rPr>
                <w:lang w:eastAsia="en-US"/>
              </w:rPr>
              <w:t>MCS-2</w:t>
            </w:r>
          </w:p>
        </w:tc>
        <w:tc>
          <w:tcPr>
            <w:tcW w:w="992" w:type="dxa"/>
            <w:tcBorders>
              <w:top w:val="single" w:sz="4" w:space="0" w:color="auto"/>
              <w:left w:val="single" w:sz="4" w:space="0" w:color="auto"/>
              <w:bottom w:val="single" w:sz="4" w:space="0" w:color="auto"/>
              <w:right w:val="single" w:sz="4" w:space="0" w:color="auto"/>
            </w:tcBorders>
          </w:tcPr>
          <w:p w14:paraId="59AFB291" w14:textId="77777777" w:rsidR="00711444" w:rsidRPr="004D0DAA" w:rsidRDefault="00711444" w:rsidP="00AA2A4C">
            <w:pPr>
              <w:pStyle w:val="TAC"/>
              <w:rPr>
                <w:lang w:eastAsia="en-US"/>
              </w:rPr>
            </w:pPr>
            <w:r w:rsidRPr="004D0DAA">
              <w:rPr>
                <w:rFonts w:cs="Arial"/>
                <w:lang w:eastAsia="en-US"/>
              </w:rPr>
              <w:t>MCS-2</w:t>
            </w:r>
          </w:p>
        </w:tc>
        <w:tc>
          <w:tcPr>
            <w:tcW w:w="992" w:type="dxa"/>
            <w:tcBorders>
              <w:top w:val="single" w:sz="4" w:space="0" w:color="auto"/>
              <w:left w:val="single" w:sz="4" w:space="0" w:color="auto"/>
              <w:bottom w:val="single" w:sz="4" w:space="0" w:color="auto"/>
              <w:right w:val="single" w:sz="4" w:space="0" w:color="auto"/>
            </w:tcBorders>
          </w:tcPr>
          <w:p w14:paraId="44623F1D" w14:textId="77777777" w:rsidR="00711444" w:rsidRPr="004D0DAA" w:rsidRDefault="00711444" w:rsidP="00AA2A4C">
            <w:pPr>
              <w:pStyle w:val="TAC"/>
              <w:rPr>
                <w:lang w:eastAsia="en-US"/>
              </w:rPr>
            </w:pPr>
            <w:r w:rsidRPr="004D0DAA">
              <w:rPr>
                <w:rFonts w:cs="Arial"/>
                <w:lang w:eastAsia="en-US"/>
              </w:rPr>
              <w:t>MCS-2</w:t>
            </w:r>
          </w:p>
        </w:tc>
        <w:tc>
          <w:tcPr>
            <w:tcW w:w="993" w:type="dxa"/>
            <w:tcBorders>
              <w:top w:val="single" w:sz="4" w:space="0" w:color="auto"/>
              <w:left w:val="single" w:sz="4" w:space="0" w:color="auto"/>
              <w:bottom w:val="single" w:sz="4" w:space="0" w:color="auto"/>
              <w:right w:val="single" w:sz="4" w:space="0" w:color="auto"/>
            </w:tcBorders>
          </w:tcPr>
          <w:p w14:paraId="081C1E98" w14:textId="77777777" w:rsidR="00711444" w:rsidRPr="004D0DAA" w:rsidRDefault="00711444" w:rsidP="00AA2A4C">
            <w:pPr>
              <w:pStyle w:val="TAC"/>
              <w:rPr>
                <w:lang w:eastAsia="en-US"/>
              </w:rPr>
            </w:pPr>
            <w:r w:rsidRPr="004D0DAA">
              <w:rPr>
                <w:rFonts w:cs="Arial"/>
                <w:lang w:eastAsia="en-US"/>
              </w:rPr>
              <w:t>MCS-2</w:t>
            </w:r>
          </w:p>
        </w:tc>
        <w:tc>
          <w:tcPr>
            <w:tcW w:w="992" w:type="dxa"/>
          </w:tcPr>
          <w:p w14:paraId="39CE65A4" w14:textId="77777777" w:rsidR="00711444" w:rsidRPr="004D0DAA" w:rsidRDefault="00711444" w:rsidP="00AA2A4C">
            <w:pPr>
              <w:pStyle w:val="TAC"/>
              <w:rPr>
                <w:lang w:eastAsia="en-US"/>
              </w:rPr>
            </w:pPr>
            <w:r w:rsidRPr="004D0DAA">
              <w:rPr>
                <w:rFonts w:cs="Arial"/>
                <w:lang w:eastAsia="en-US"/>
              </w:rPr>
              <w:t>MCS-2</w:t>
            </w:r>
          </w:p>
        </w:tc>
      </w:tr>
      <w:tr w:rsidR="00711444" w:rsidRPr="004D0DAA" w14:paraId="3B01BC1F" w14:textId="77777777" w:rsidTr="00AA2A4C">
        <w:tc>
          <w:tcPr>
            <w:tcW w:w="1302" w:type="dxa"/>
            <w:tcBorders>
              <w:top w:val="single" w:sz="4" w:space="0" w:color="auto"/>
              <w:left w:val="single" w:sz="4" w:space="0" w:color="auto"/>
              <w:bottom w:val="single" w:sz="4" w:space="0" w:color="auto"/>
              <w:right w:val="single" w:sz="4" w:space="0" w:color="auto"/>
            </w:tcBorders>
            <w:shd w:val="clear" w:color="auto" w:fill="auto"/>
          </w:tcPr>
          <w:p w14:paraId="23372F6B" w14:textId="77777777" w:rsidR="00711444" w:rsidRPr="004D0DAA" w:rsidRDefault="00711444" w:rsidP="00AA2A4C">
            <w:pPr>
              <w:pStyle w:val="TAC"/>
              <w:rPr>
                <w:lang w:eastAsia="en-US"/>
              </w:rPr>
            </w:pPr>
            <w:r w:rsidRPr="004D0DAA">
              <w:rPr>
                <w:lang w:eastAsia="en-US"/>
              </w:rPr>
              <w:t>MCS-1</w:t>
            </w:r>
          </w:p>
        </w:tc>
        <w:tc>
          <w:tcPr>
            <w:tcW w:w="2100" w:type="dxa"/>
            <w:tcBorders>
              <w:left w:val="single" w:sz="4" w:space="0" w:color="auto"/>
              <w:bottom w:val="single" w:sz="4" w:space="0" w:color="auto"/>
              <w:right w:val="single" w:sz="4" w:space="0" w:color="auto"/>
            </w:tcBorders>
          </w:tcPr>
          <w:p w14:paraId="1722DC76" w14:textId="77777777" w:rsidR="00711444" w:rsidRPr="004D0DAA" w:rsidRDefault="00711444" w:rsidP="00AA2A4C">
            <w:pPr>
              <w:pStyle w:val="TAC"/>
              <w:rPr>
                <w:lang w:eastAsia="en-US"/>
              </w:rPr>
            </w:pPr>
            <w:r w:rsidRPr="004D0DAA">
              <w:rPr>
                <w:lang w:eastAsia="en-US"/>
              </w:rPr>
              <w:t>MCSs</w:t>
            </w:r>
            <w:r w:rsidRPr="004D0DAA">
              <w:rPr>
                <w:bCs/>
                <w:lang w:eastAsia="en-US"/>
              </w:rPr>
              <w:t xml:space="preserve"> defined </w:t>
            </w:r>
            <w:r w:rsidRPr="004D0DAA">
              <w:rPr>
                <w:lang w:eastAsia="en-US"/>
              </w:rPr>
              <w:t xml:space="preserve">in Table </w:t>
            </w:r>
            <w:r w:rsidRPr="004D0DAA">
              <w:rPr>
                <w:bCs/>
                <w:lang w:eastAsia="en-US"/>
              </w:rPr>
              <w:t>8.1.1.7.2.7</w:t>
            </w:r>
          </w:p>
        </w:tc>
        <w:tc>
          <w:tcPr>
            <w:tcW w:w="1134" w:type="dxa"/>
            <w:tcBorders>
              <w:left w:val="single" w:sz="4" w:space="0" w:color="auto"/>
              <w:bottom w:val="single" w:sz="4" w:space="0" w:color="auto"/>
              <w:right w:val="single" w:sz="4" w:space="0" w:color="auto"/>
            </w:tcBorders>
            <w:shd w:val="clear" w:color="auto" w:fill="auto"/>
          </w:tcPr>
          <w:p w14:paraId="2F706460" w14:textId="77777777" w:rsidR="00711444" w:rsidRPr="004D0DAA" w:rsidRDefault="00711444" w:rsidP="00AA2A4C">
            <w:pPr>
              <w:pStyle w:val="TAC"/>
              <w:rPr>
                <w:lang w:eastAsia="en-US"/>
              </w:rPr>
            </w:pPr>
            <w:r w:rsidRPr="004D0DAA">
              <w:rPr>
                <w:lang w:eastAsia="en-US"/>
              </w:rPr>
              <w:t>MCS-1</w:t>
            </w:r>
          </w:p>
        </w:tc>
        <w:tc>
          <w:tcPr>
            <w:tcW w:w="992" w:type="dxa"/>
            <w:tcBorders>
              <w:top w:val="single" w:sz="4" w:space="0" w:color="auto"/>
              <w:left w:val="single" w:sz="4" w:space="0" w:color="auto"/>
              <w:bottom w:val="single" w:sz="4" w:space="0" w:color="auto"/>
              <w:right w:val="single" w:sz="4" w:space="0" w:color="auto"/>
            </w:tcBorders>
          </w:tcPr>
          <w:p w14:paraId="05C7719F" w14:textId="77777777" w:rsidR="00711444" w:rsidRPr="004D0DAA" w:rsidRDefault="00711444" w:rsidP="00AA2A4C">
            <w:pPr>
              <w:pStyle w:val="TAC"/>
              <w:rPr>
                <w:lang w:eastAsia="en-US"/>
              </w:rPr>
            </w:pPr>
            <w:r w:rsidRPr="004D0DAA">
              <w:rPr>
                <w:lang w:eastAsia="en-US"/>
              </w:rPr>
              <w:t>MCS-1</w:t>
            </w:r>
          </w:p>
        </w:tc>
        <w:tc>
          <w:tcPr>
            <w:tcW w:w="992" w:type="dxa"/>
            <w:tcBorders>
              <w:top w:val="single" w:sz="4" w:space="0" w:color="auto"/>
              <w:left w:val="single" w:sz="4" w:space="0" w:color="auto"/>
              <w:bottom w:val="single" w:sz="4" w:space="0" w:color="auto"/>
              <w:right w:val="single" w:sz="4" w:space="0" w:color="auto"/>
            </w:tcBorders>
          </w:tcPr>
          <w:p w14:paraId="4F5EA3D2" w14:textId="77777777" w:rsidR="00711444" w:rsidRPr="004D0DAA" w:rsidRDefault="00711444" w:rsidP="00AA2A4C">
            <w:pPr>
              <w:pStyle w:val="TAC"/>
              <w:rPr>
                <w:lang w:eastAsia="en-US"/>
              </w:rPr>
            </w:pPr>
            <w:r w:rsidRPr="004D0DAA">
              <w:rPr>
                <w:rFonts w:cs="Arial"/>
                <w:lang w:eastAsia="en-US"/>
              </w:rPr>
              <w:t>MCS-1</w:t>
            </w:r>
          </w:p>
        </w:tc>
        <w:tc>
          <w:tcPr>
            <w:tcW w:w="992" w:type="dxa"/>
            <w:tcBorders>
              <w:top w:val="single" w:sz="4" w:space="0" w:color="auto"/>
              <w:left w:val="single" w:sz="4" w:space="0" w:color="auto"/>
              <w:bottom w:val="single" w:sz="4" w:space="0" w:color="auto"/>
              <w:right w:val="single" w:sz="4" w:space="0" w:color="auto"/>
            </w:tcBorders>
          </w:tcPr>
          <w:p w14:paraId="7CBF9EEE" w14:textId="77777777" w:rsidR="00711444" w:rsidRPr="004D0DAA" w:rsidRDefault="00711444" w:rsidP="00AA2A4C">
            <w:pPr>
              <w:pStyle w:val="TAC"/>
              <w:rPr>
                <w:lang w:eastAsia="en-US"/>
              </w:rPr>
            </w:pPr>
            <w:r w:rsidRPr="004D0DAA">
              <w:rPr>
                <w:rFonts w:cs="Arial"/>
                <w:lang w:eastAsia="en-US"/>
              </w:rPr>
              <w:t>MCS-1</w:t>
            </w:r>
          </w:p>
        </w:tc>
        <w:tc>
          <w:tcPr>
            <w:tcW w:w="993" w:type="dxa"/>
            <w:tcBorders>
              <w:top w:val="single" w:sz="4" w:space="0" w:color="auto"/>
              <w:left w:val="single" w:sz="4" w:space="0" w:color="auto"/>
              <w:bottom w:val="single" w:sz="4" w:space="0" w:color="auto"/>
              <w:right w:val="single" w:sz="4" w:space="0" w:color="auto"/>
            </w:tcBorders>
          </w:tcPr>
          <w:p w14:paraId="5E410306" w14:textId="77777777" w:rsidR="00711444" w:rsidRPr="004D0DAA" w:rsidRDefault="00711444" w:rsidP="00AA2A4C">
            <w:pPr>
              <w:pStyle w:val="TAC"/>
              <w:rPr>
                <w:lang w:eastAsia="en-US"/>
              </w:rPr>
            </w:pPr>
            <w:r w:rsidRPr="004D0DAA">
              <w:rPr>
                <w:rFonts w:cs="Arial"/>
                <w:lang w:eastAsia="en-US"/>
              </w:rPr>
              <w:t>MCS-1</w:t>
            </w:r>
          </w:p>
        </w:tc>
        <w:tc>
          <w:tcPr>
            <w:tcW w:w="992" w:type="dxa"/>
          </w:tcPr>
          <w:p w14:paraId="7F1DF30A" w14:textId="77777777" w:rsidR="00711444" w:rsidRPr="004D0DAA" w:rsidRDefault="00711444" w:rsidP="00AA2A4C">
            <w:pPr>
              <w:pStyle w:val="TAC"/>
              <w:rPr>
                <w:lang w:eastAsia="en-US"/>
              </w:rPr>
            </w:pPr>
            <w:r w:rsidRPr="004D0DAA">
              <w:rPr>
                <w:rFonts w:cs="Arial"/>
                <w:lang w:eastAsia="en-US"/>
              </w:rPr>
              <w:t>MCS-1</w:t>
            </w:r>
          </w:p>
        </w:tc>
      </w:tr>
    </w:tbl>
    <w:p w14:paraId="4C9AC3E8" w14:textId="77777777" w:rsidR="00711444" w:rsidRPr="004D0DAA" w:rsidRDefault="00711444" w:rsidP="00711444"/>
    <w:p w14:paraId="685A8288" w14:textId="77777777" w:rsidR="00711444" w:rsidRPr="004D0DAA" w:rsidRDefault="00711444" w:rsidP="00711444">
      <w:pPr>
        <w:pStyle w:val="Heading3"/>
      </w:pPr>
      <w:bookmarkStart w:id="278" w:name="_Toc516669465"/>
      <w:r w:rsidRPr="004D0DAA">
        <w:t>8.1.2</w:t>
      </w:r>
      <w:r w:rsidRPr="004D0DAA">
        <w:tab/>
        <w:t>Downlink RLC data block transfer</w:t>
      </w:r>
      <w:bookmarkEnd w:id="278"/>
    </w:p>
    <w:p w14:paraId="734E80C8" w14:textId="77777777" w:rsidR="00711444" w:rsidRPr="004D0DAA" w:rsidRDefault="00711444" w:rsidP="00711444">
      <w:r w:rsidRPr="004D0DAA">
        <w:t>For a TBF in BTTI configuration, prior to the initiation of RLC data block transfer on the downlink, the network assigns the following parameters in a downlink assignment (e.g. PACKET DOWNLINK ASSIGNMENT, MULTIPLE TBF DOWNLINK ASSIGNMENT, PACKET TIMESLOT RECONFIGURE, MULTIPLE TBF TIMESLOT RECONFIGURE, EC PACKET DOWNLINK ASSIGNMENT, or PACKET CS RELEASE INDICATION) message:</w:t>
      </w:r>
    </w:p>
    <w:p w14:paraId="25AF6FA5" w14:textId="77777777" w:rsidR="00711444" w:rsidRPr="004D0DAA" w:rsidRDefault="00711444" w:rsidP="00711444">
      <w:pPr>
        <w:pStyle w:val="B1"/>
      </w:pPr>
      <w:r w:rsidRPr="004D0DAA">
        <w:lastRenderedPageBreak/>
        <w:t>-</w:t>
      </w:r>
      <w:r w:rsidRPr="004D0DAA">
        <w:tab/>
        <w:t>a Temporary Flow Identity (TFI).</w:t>
      </w:r>
      <w:r w:rsidRPr="004D0DAA">
        <w:rPr>
          <w:caps/>
        </w:rPr>
        <w:t xml:space="preserve"> </w:t>
      </w:r>
      <w:r w:rsidRPr="004D0DAA">
        <w:t xml:space="preserve">The TFI applies to all radio blocks transferred in regards to: </w:t>
      </w:r>
    </w:p>
    <w:p w14:paraId="565AD180" w14:textId="77777777" w:rsidR="00711444" w:rsidRPr="004D0DAA" w:rsidRDefault="00711444" w:rsidP="00711444">
      <w:pPr>
        <w:pStyle w:val="B2"/>
      </w:pPr>
      <w:r w:rsidRPr="004D0DAA">
        <w:t>-</w:t>
      </w:r>
      <w:r w:rsidRPr="004D0DAA">
        <w:tab/>
        <w:t xml:space="preserve">the downlink Temporary Block Flow (TBF) , </w:t>
      </w:r>
    </w:p>
    <w:p w14:paraId="7523FD0E" w14:textId="77777777" w:rsidR="00711444" w:rsidRPr="004D0DAA" w:rsidRDefault="00711444" w:rsidP="00711444">
      <w:pPr>
        <w:pStyle w:val="B2"/>
      </w:pPr>
      <w:r w:rsidRPr="004D0DAA">
        <w:t>-</w:t>
      </w:r>
      <w:r w:rsidRPr="004D0DAA">
        <w:tab/>
        <w:t xml:space="preserve">or in case EMST is used, to the RLC entity allocated on the downlink TBF, </w:t>
      </w:r>
    </w:p>
    <w:p w14:paraId="00AFEEF6" w14:textId="77777777" w:rsidR="00711444" w:rsidRPr="004D0DAA" w:rsidRDefault="00711444" w:rsidP="00711444">
      <w:pPr>
        <w:pStyle w:val="B2"/>
      </w:pPr>
      <w:r w:rsidRPr="004D0DAA">
        <w:t>-</w:t>
      </w:r>
      <w:r w:rsidRPr="004D0DAA">
        <w:tab/>
        <w:t>or in case EMSR is enabled for an RLC entity, to each PFC supported by that RLC entity on the downlink TBF;</w:t>
      </w:r>
    </w:p>
    <w:p w14:paraId="786F03FE" w14:textId="77777777" w:rsidR="00711444" w:rsidRPr="004D0DAA" w:rsidRDefault="00711444" w:rsidP="00711444">
      <w:pPr>
        <w:pStyle w:val="B2"/>
      </w:pPr>
      <w:r w:rsidRPr="004D0DAA">
        <w:t>-</w:t>
      </w:r>
      <w:r w:rsidRPr="004D0DAA">
        <w:tab/>
        <w:t>or for a DLMC configuration, to a downlink carrier assigned to the downlink TBF where different TFIs may be assigned for each carrier of the TBF;</w:t>
      </w:r>
    </w:p>
    <w:p w14:paraId="55F9230E" w14:textId="77777777" w:rsidR="00711444" w:rsidRPr="004D0DAA" w:rsidRDefault="00711444" w:rsidP="00711444">
      <w:pPr>
        <w:pStyle w:val="B1"/>
      </w:pPr>
      <w:r w:rsidRPr="004D0DAA">
        <w:t>-</w:t>
      </w:r>
      <w:r w:rsidRPr="004D0DAA">
        <w:tab/>
        <w:t xml:space="preserve">an eTFI, optionally assigned in case of a downlink TBF assigned to a MS supporting eTFI (see sub-clause 5.13); </w:t>
      </w:r>
    </w:p>
    <w:p w14:paraId="51C2B829" w14:textId="77777777" w:rsidR="00711444" w:rsidRPr="004D0DAA" w:rsidRDefault="00711444" w:rsidP="00711444">
      <w:pPr>
        <w:pStyle w:val="B1"/>
      </w:pPr>
      <w:r w:rsidRPr="004D0DAA">
        <w:t>-</w:t>
      </w:r>
      <w:r w:rsidRPr="004D0DAA">
        <w:tab/>
        <w:t>a set of PDCHs to be used for the downlink transfer;</w:t>
      </w:r>
    </w:p>
    <w:p w14:paraId="361FE233" w14:textId="77777777" w:rsidR="00711444" w:rsidRPr="004D0DAA" w:rsidRDefault="00711444" w:rsidP="00711444">
      <w:pPr>
        <w:pStyle w:val="B1"/>
      </w:pPr>
      <w:r w:rsidRPr="004D0DAA">
        <w:t>-</w:t>
      </w:r>
      <w:r w:rsidRPr="004D0DAA">
        <w:tab/>
        <w:t>optionally, a TBF starting time indication (not applicable for dual carrier, multi carrier, BTTI with FANR activated, and EGPRS2 configurations);</w:t>
      </w:r>
    </w:p>
    <w:p w14:paraId="00358830" w14:textId="77777777" w:rsidR="00711444" w:rsidRPr="004D0DAA" w:rsidRDefault="00711444" w:rsidP="00711444">
      <w:pPr>
        <w:pStyle w:val="B1"/>
      </w:pPr>
      <w:r w:rsidRPr="004D0DAA">
        <w:t>-</w:t>
      </w:r>
      <w:r w:rsidRPr="004D0DAA">
        <w:tab/>
        <w:t>a PFI associated with each allocated TBF if the network and the mobile station both support multiple TBF procedures. In case EMST is supported by the network and the mobile station, the PFI associated with each allocated RLC entity. In case EMSR is enabled for one or more RLC entities of the allocated TBF, the assignment message indicates the PFI associated with each PFC supported by these RLC entities.</w:t>
      </w:r>
    </w:p>
    <w:p w14:paraId="20B63BC2" w14:textId="77777777" w:rsidR="00711444" w:rsidRPr="004D0DAA" w:rsidRDefault="00711444" w:rsidP="00711444">
      <w:pPr>
        <w:pStyle w:val="B1"/>
      </w:pPr>
      <w:r w:rsidRPr="004D0DAA">
        <w:rPr>
          <w:lang w:val="en-US"/>
        </w:rPr>
        <w:t>-</w:t>
      </w:r>
      <w:r w:rsidRPr="004D0DAA">
        <w:rPr>
          <w:lang w:val="en-US"/>
        </w:rPr>
        <w:tab/>
      </w:r>
      <w:r w:rsidRPr="004D0DAA">
        <w:t>in case of a downlink EC TBF, the network also assigns the following parameters:</w:t>
      </w:r>
    </w:p>
    <w:p w14:paraId="0A1F3C4D" w14:textId="77777777" w:rsidR="00711444" w:rsidRPr="004D0DAA" w:rsidRDefault="00711444" w:rsidP="00711444">
      <w:pPr>
        <w:pStyle w:val="B1"/>
      </w:pPr>
      <w:r w:rsidRPr="004D0DAA">
        <w:tab/>
        <w:t>-</w:t>
      </w:r>
      <w:r w:rsidRPr="004D0DAA">
        <w:tab/>
        <w:t xml:space="preserve">uplink and downlink coverage classes; </w:t>
      </w:r>
    </w:p>
    <w:p w14:paraId="6B590806" w14:textId="77777777" w:rsidR="00711444" w:rsidRPr="004D0DAA" w:rsidRDefault="00711444" w:rsidP="00711444">
      <w:pPr>
        <w:pStyle w:val="B1"/>
      </w:pPr>
      <w:r w:rsidRPr="004D0DAA">
        <w:tab/>
        <w:t>-</w:t>
      </w:r>
      <w:r w:rsidRPr="004D0DAA">
        <w:tab/>
      </w:r>
      <w:r w:rsidRPr="004D0DAA">
        <w:rPr>
          <w:lang w:val="en-US"/>
        </w:rPr>
        <w:t>a set of PDCHs to be used for transmission of uplink RLC/MAC control messages</w:t>
      </w:r>
      <w:r w:rsidRPr="004D0DAA">
        <w:t>.</w:t>
      </w:r>
    </w:p>
    <w:p w14:paraId="5195B4E8" w14:textId="77777777" w:rsidR="00711444" w:rsidRPr="004D0DAA" w:rsidRDefault="00711444" w:rsidP="00711444">
      <w:r w:rsidRPr="004D0DAA">
        <w:t xml:space="preserve">In case RTTI configuration is supported by the network and the mobile station and a downlink TBF operating in RTTI configuration is assigned, the following parameters shall be provided by the network in the assignment message (e.g. PACKET DOWNLINK ASSIGNMENT, MULTIPLE TBF DOWNLINK ASSIGNMENT, PACKET TIMESLOT RECONFIGURE, MULTIPLE TBF TIMESLOT RECONFIGURE or PACKET CS RELEASE INDICATION). </w:t>
      </w:r>
    </w:p>
    <w:p w14:paraId="774A0351" w14:textId="77777777" w:rsidR="00711444" w:rsidRPr="004D0DAA" w:rsidRDefault="00711444" w:rsidP="00711444">
      <w:pPr>
        <w:pStyle w:val="B1"/>
      </w:pPr>
      <w:r w:rsidRPr="004D0DAA">
        <w:t>-</w:t>
      </w:r>
      <w:r w:rsidRPr="004D0DAA">
        <w:tab/>
        <w:t>a Temporary Flow Identity (TFI).</w:t>
      </w:r>
      <w:r w:rsidRPr="004D0DAA">
        <w:rPr>
          <w:caps/>
        </w:rPr>
        <w:t xml:space="preserve"> </w:t>
      </w:r>
      <w:r w:rsidRPr="004D0DAA">
        <w:t xml:space="preserve">The TFI applies to all radio blocks transferred in regards to: </w:t>
      </w:r>
    </w:p>
    <w:p w14:paraId="6D6E2EDD" w14:textId="77777777" w:rsidR="00711444" w:rsidRPr="004D0DAA" w:rsidRDefault="00711444" w:rsidP="00711444">
      <w:pPr>
        <w:pStyle w:val="B2"/>
      </w:pPr>
      <w:r w:rsidRPr="004D0DAA">
        <w:t>-</w:t>
      </w:r>
      <w:r w:rsidRPr="004D0DAA">
        <w:tab/>
        <w:t xml:space="preserve">the downlink Temporary Block Flow (TBF) , </w:t>
      </w:r>
    </w:p>
    <w:p w14:paraId="3708B89D" w14:textId="77777777" w:rsidR="00711444" w:rsidRPr="004D0DAA" w:rsidRDefault="00711444" w:rsidP="00711444">
      <w:pPr>
        <w:pStyle w:val="B2"/>
      </w:pPr>
      <w:r w:rsidRPr="004D0DAA">
        <w:t>-</w:t>
      </w:r>
      <w:r w:rsidRPr="004D0DAA">
        <w:tab/>
        <w:t xml:space="preserve">or in case EMST is used, to the RLC entity allocated on the downlink TBF, </w:t>
      </w:r>
    </w:p>
    <w:p w14:paraId="649F4144" w14:textId="77777777" w:rsidR="00711444" w:rsidRPr="004D0DAA" w:rsidRDefault="00711444" w:rsidP="00711444">
      <w:pPr>
        <w:pStyle w:val="B2"/>
      </w:pPr>
      <w:r w:rsidRPr="004D0DAA">
        <w:t>-</w:t>
      </w:r>
      <w:r w:rsidRPr="004D0DAA">
        <w:tab/>
        <w:t>or in case EMSR is enabled for an RLC entity, to each PFC supported by that RLC entity on the downlink TBF;</w:t>
      </w:r>
    </w:p>
    <w:p w14:paraId="4C97AC90" w14:textId="77777777" w:rsidR="00711444" w:rsidRPr="004D0DAA" w:rsidRDefault="00711444" w:rsidP="00711444">
      <w:pPr>
        <w:pStyle w:val="B2"/>
      </w:pPr>
      <w:r w:rsidRPr="004D0DAA">
        <w:t>-</w:t>
      </w:r>
      <w:r w:rsidRPr="004D0DAA">
        <w:tab/>
        <w:t>or for a DLMC configuration, to a downlink carrier assigned to the downlink TBF where different TFIs may be assigned for each carrier of the TBF;</w:t>
      </w:r>
    </w:p>
    <w:p w14:paraId="71C3E880" w14:textId="77777777" w:rsidR="00711444" w:rsidRPr="004D0DAA" w:rsidRDefault="00711444" w:rsidP="00711444">
      <w:pPr>
        <w:pStyle w:val="B1"/>
      </w:pPr>
      <w:r w:rsidRPr="004D0DAA">
        <w:t>-</w:t>
      </w:r>
      <w:r w:rsidRPr="004D0DAA">
        <w:tab/>
        <w:t xml:space="preserve">an eTFI, optionally assigned in case of a downlink TBF assigned to a MS supporting eTFI (see sub-clause 5.13); </w:t>
      </w:r>
    </w:p>
    <w:p w14:paraId="03BB6EB0" w14:textId="77777777" w:rsidR="00711444" w:rsidRPr="004D0DAA" w:rsidRDefault="00711444" w:rsidP="00711444">
      <w:pPr>
        <w:pStyle w:val="B1"/>
      </w:pPr>
      <w:r w:rsidRPr="004D0DAA">
        <w:t>-</w:t>
      </w:r>
      <w:r w:rsidRPr="004D0DAA">
        <w:tab/>
        <w:t>one or more downlink PDCH-pairs to be used for the downlink transfer;</w:t>
      </w:r>
    </w:p>
    <w:p w14:paraId="489216E6" w14:textId="77777777" w:rsidR="00711444" w:rsidRPr="004D0DAA" w:rsidRDefault="00711444" w:rsidP="00711444">
      <w:pPr>
        <w:pStyle w:val="B1"/>
      </w:pPr>
      <w:r w:rsidRPr="004D0DAA">
        <w:t>-</w:t>
      </w:r>
      <w:r w:rsidRPr="004D0DAA">
        <w:tab/>
        <w:t>a PFI associated with each allocated TBF if the network and the mobile station both support multiple TBF procedures. In case EMST is supported by the network and the mobile station, the PFI associated with each allocated RLC entity. In case EMSR is enabled for one or more RLC entities of the allocated TBF, the assignment message indicates the PFI associated with each PFC supported by these RLC entities.</w:t>
      </w:r>
    </w:p>
    <w:p w14:paraId="278561E7" w14:textId="77777777" w:rsidR="00711444" w:rsidRPr="004D0DAA" w:rsidRDefault="00711444" w:rsidP="00711444">
      <w:r w:rsidRPr="004D0DAA">
        <w:t>The network may, at any time during downlink packet transfer, change the TTI configuration of an already established downlink TBF by sending on the downlink PACCH a downlink TBF assignment message (e.g. PACKET DOWNLINK ASSIGNMENT, MULTIPLE TBF DOWNLINK ASSIGNMENT, PACKET TIMESLOT RECONFIGURE, MULTIPLE TBF TIMESLOT RECONFIGURE or PACKET CS RELEASE INDICATION). In case of a TTI configuration change the mobile station shall begin using the new TTI configuration within the reaction time defined in 3GPP TS 45.010.</w:t>
      </w:r>
    </w:p>
    <w:p w14:paraId="4309A76B" w14:textId="77777777" w:rsidR="00711444" w:rsidRPr="004D0DAA" w:rsidRDefault="00711444" w:rsidP="00711444">
      <w:r w:rsidRPr="004D0DAA">
        <w:t xml:space="preserve">For each TBF, the network shall prioritise RLC/MAC control blocks, not containing a PACKET DOWNLINK DUMMY CONTROL BLOCK message, to be transmitted ahead of RLC data blocks for that TBF. If the network has no other RLC/MAC block to transmit, but wishes to transmit on the downlink, the network </w:t>
      </w:r>
      <w:r w:rsidRPr="004D0DAA">
        <w:lastRenderedPageBreak/>
        <w:t>shall transmit an RLC/MAC control block containing a PACKET DOWNLINK DUMMY CONTROL BLOCK message.</w:t>
      </w:r>
    </w:p>
    <w:p w14:paraId="64689F2B" w14:textId="77777777" w:rsidR="00711444" w:rsidRPr="004D0DAA" w:rsidRDefault="00711444" w:rsidP="00711444">
      <w:r w:rsidRPr="004D0DAA">
        <w:t>For the case where EMST is used for a downlink TBF where eTFI values have been assigned, when a corresponding PAN is sent on the uplink applicable TFI and eTFI values are those associated with the RLC entity for which the PAN is sent.</w:t>
      </w:r>
    </w:p>
    <w:p w14:paraId="1CAF12A9" w14:textId="77777777" w:rsidR="00711444" w:rsidRPr="004D0DAA" w:rsidRDefault="00711444" w:rsidP="00711444">
      <w:r w:rsidRPr="004D0DAA">
        <w:t>A mobile station shall only attempt to decode downlink radio blocks transmitted using a TSC it has been assigned. A mobile station that supports the extended TSC sets (see 3GPP TS 45.002 [32]) can have up to two TSCs assigned for a given PDCH and shall attempt to decode a downlink radio block it receives on that PDCH using its assigned TSC(s).</w:t>
      </w:r>
    </w:p>
    <w:p w14:paraId="036B8F4D" w14:textId="77777777" w:rsidR="00711444" w:rsidRPr="004D0DAA" w:rsidRDefault="00711444" w:rsidP="00711444">
      <w:pPr>
        <w:pStyle w:val="Heading4"/>
      </w:pPr>
      <w:bookmarkStart w:id="279" w:name="_Toc516669466"/>
      <w:r w:rsidRPr="004D0DAA">
        <w:t>8.1.2.1</w:t>
      </w:r>
      <w:r w:rsidRPr="004D0DAA">
        <w:tab/>
        <w:t>Downlink RLC data block transfer</w:t>
      </w:r>
      <w:bookmarkEnd w:id="279"/>
    </w:p>
    <w:p w14:paraId="50652F66" w14:textId="77777777" w:rsidR="00711444" w:rsidRPr="004D0DAA" w:rsidRDefault="00711444" w:rsidP="00711444">
      <w:r w:rsidRPr="004D0DAA">
        <w:t>A network may send an unsolicited downlink assignment message to a mobile station. A mobile station that supports multiple TBF procedures shall act on the uplink assignment message as defined in sub-clause 8.1.1.1.3.</w:t>
      </w:r>
    </w:p>
    <w:p w14:paraId="54D83F42" w14:textId="77777777" w:rsidR="00711444" w:rsidRPr="004D0DAA" w:rsidRDefault="00711444" w:rsidP="00711444">
      <w:r w:rsidRPr="004D0DAA">
        <w:t>Upon reception of a downlink assignment that does not contain a TBF starting time the mobile station shall start timer T3190 for each downlink TBF assigned in the downlink assignment message and within the reaction time defined in 3GPP TS 45.010, it shall attempt to decode every downlink block on its assigned PDCHs. If the downlink assignment message (e.g. PACKET DOWNLINK ASSIGNMENT, MULTIPLE TBF DOWNLINK ASSIGNMENT, PACKET TIMESLOT RECONFIGURE, MULTIPLE TBF TIMESLOT RECONFIGURE or PACKET CS RELEASE INDICATION message) contains a TBF starting time information element and there is no downlink TBF in progress, but one or more uplink TBFs are in progress, the mobile station shall remain on the assigned PDCHs until the TDMA frame number indicated by the TBF starting time, at which time the mobile station shall start timer T3190 for each downlink TBF assigned in the downlink assignment message and immediately begin decoding the assigned downlink PDCH(s). If the downlink assignment message (e.g. PACKET DOWNLINK ASSIGNMENT, EC PACKET DOWNLINK ASSIGNMENT, MULTIPLE TBF DOWNLINK ASSIGNMENT, PACKET TIMESLOT RECONFIGURE, MULTIPLE TBF TIMESLOT RECONFIGURE or PACKET CS RELEASE INDICATION message) contains a TBF starting time and there are one or more downlink TBFs already in progress, the mobile station shall continue to use the parameters of the downlink TBFs in progress until the TDMA frame number indicated in the TBF starting time occurs, at which time the mobile station shall immediately begin to use the new assigned downlink TBF parameters. The mobile station shall continue to use the newly assigned parameters of each downlink TBF until the TBF is either released or reconfigured. If while waiting for the frame number indicated by the TBF starting time the mobile station receives another downlink assignment for the TBF, the mobile station shall act upon the most recently received downlink assignment and shall ignore the previous downlink assignment. Procedures on receipt of a downlink assignment message (e.g. PACKET DOWNLINK ASSIGNMENT or MULTIPLE TBF DOWNLINK ASSIGNMENT message) while no TBF is in progress are specified in sub-clause 7.2.1.1.</w:t>
      </w:r>
    </w:p>
    <w:p w14:paraId="06FFB3B4" w14:textId="77777777" w:rsidR="00711444" w:rsidRPr="004D0DAA" w:rsidRDefault="00711444" w:rsidP="00711444">
      <w:r w:rsidRPr="004D0DAA">
        <w:t>Subsequent assignment messages may be sent to a mobile station operating in a Downlink Dual Carrier configuration or DLMC configuration as described in sub-clause 8.1.1.1.3.</w:t>
      </w:r>
    </w:p>
    <w:p w14:paraId="1A9DA303" w14:textId="77777777" w:rsidR="00711444" w:rsidRPr="004D0DAA" w:rsidRDefault="00711444" w:rsidP="00711444">
      <w:r w:rsidRPr="004D0DAA">
        <w:t>A mobile station in DTR mode with a downlink TBF assigned shall monitor only one of the assigned PDCHs/PDCH-pairs, as specified in sub-clause 8.1.8.</w:t>
      </w:r>
    </w:p>
    <w:p w14:paraId="2C835A6C" w14:textId="77777777" w:rsidR="00711444" w:rsidRPr="004D0DAA" w:rsidRDefault="00711444" w:rsidP="00711444">
      <w:r w:rsidRPr="004D0DAA">
        <w:t xml:space="preserve">If the mobile station receives a valid RLC data block addressed to one of its TBFs, the mobile station shall restart timer T3190 for that TBF. </w:t>
      </w:r>
      <w:r w:rsidRPr="004D0DAA">
        <w:rPr>
          <w:rFonts w:eastAsia="SimSun"/>
          <w:lang w:eastAsia="zh-CN" w:bidi="he-IL"/>
        </w:rPr>
        <w:t xml:space="preserve">In EGPRS/EC TBF mode </w:t>
      </w:r>
      <w:r w:rsidRPr="004D0DAA">
        <w:t>T3190 is also restarted</w:t>
      </w:r>
      <w:r w:rsidRPr="004D0DAA">
        <w:rPr>
          <w:rFonts w:eastAsia="SimSun"/>
          <w:lang w:eastAsia="zh-CN" w:bidi="he-IL"/>
        </w:rPr>
        <w:t xml:space="preserve"> when receiving an </w:t>
      </w:r>
      <w:r w:rsidRPr="004D0DAA">
        <w:t>erroneous RLC data block for which the header is correctly received and which addresses the mobile station.</w:t>
      </w:r>
    </w:p>
    <w:p w14:paraId="46309AC7" w14:textId="77777777" w:rsidR="00711444" w:rsidRPr="004D0DAA" w:rsidRDefault="00711444" w:rsidP="00711444">
      <w:r w:rsidRPr="004D0DAA">
        <w:t xml:space="preserve">If any given timer T3190 expires, the mobile station shall release that downlink TBF. If there are one or more uplink TBFs in progress, the mobile station shall perform an abnormal release with access retry (see sub-clause 8.7.2). If any given timer T3190 expires and there are no other ongoing uplink TBFs in progress, the mobile station shall perform an abnormal release without retry (see sub-clause 8.7.1). </w:t>
      </w:r>
    </w:p>
    <w:p w14:paraId="51AEB150" w14:textId="77777777" w:rsidR="00711444" w:rsidRPr="004D0DAA" w:rsidRDefault="00711444" w:rsidP="00711444">
      <w:r w:rsidRPr="004D0DAA">
        <w:t>Upon receipt of a PACKET TBF RELEASE or EC PACKET TBF RELEASE message referring to a downlink TBF, the mobile station shall follow the procedure in sub-clause 8.1.2.8.</w:t>
      </w:r>
    </w:p>
    <w:p w14:paraId="35D52EEB" w14:textId="77777777" w:rsidR="00711444" w:rsidRPr="004D0DAA" w:rsidRDefault="00711444" w:rsidP="00711444">
      <w:pPr>
        <w:pStyle w:val="Heading5"/>
      </w:pPr>
      <w:bookmarkStart w:id="280" w:name="_Toc516669467"/>
      <w:r w:rsidRPr="004D0DAA">
        <w:t>8.1.2.1.1</w:t>
      </w:r>
      <w:r w:rsidRPr="004D0DAA">
        <w:tab/>
        <w:t>Abnormal cases</w:t>
      </w:r>
      <w:bookmarkEnd w:id="280"/>
    </w:p>
    <w:p w14:paraId="4E75B394" w14:textId="77777777" w:rsidR="00711444" w:rsidRPr="004D0DAA" w:rsidRDefault="00711444" w:rsidP="00711444">
      <w:r w:rsidRPr="004D0DAA">
        <w:t>If a failure occurs on the mobile station side before one or more new TBFs have been successfully established, the newly reserved resources are released. The subsequent behaviour of the mobile station depends on the type of failure and previous actions:</w:t>
      </w:r>
    </w:p>
    <w:p w14:paraId="1477162D" w14:textId="77777777" w:rsidR="00711444" w:rsidRPr="004D0DAA" w:rsidRDefault="00711444" w:rsidP="00711444">
      <w:pPr>
        <w:ind w:left="567" w:hanging="283"/>
      </w:pPr>
      <w:r w:rsidRPr="004D0DAA">
        <w:lastRenderedPageBreak/>
        <w:t>-</w:t>
      </w:r>
      <w:r w:rsidRPr="004D0DAA">
        <w:tab/>
        <w:t>If a mobile station receives a downlink assignment message (e.g. PACKET DOWNLINK ASSIGNMENT, EC PACKET DOWNLINK ASSIGNMENT, MULTIPLE TBF DOWNLINK ASSIGNMENT, PACKET TIMESLOT RECONFIGURE, MULTIPLE TBF TIMESLOT RECONFIGURE or PACKET CS RELEASE INDICATION message) and detects an invalid Frequency Parameters information element in the message, it shall perform an abnormal release with system information (see sub-clause 8.7.3), performing a partial acquisition of system information messages containing frequency information;</w:t>
      </w:r>
    </w:p>
    <w:p w14:paraId="379A74EB" w14:textId="77777777" w:rsidR="00711444" w:rsidRPr="004D0DAA" w:rsidRDefault="00711444" w:rsidP="00711444">
      <w:pPr>
        <w:pStyle w:val="B1"/>
      </w:pPr>
      <w:r w:rsidRPr="004D0DAA">
        <w:t>-</w:t>
      </w:r>
      <w:r w:rsidRPr="004D0DAA">
        <w:tab/>
        <w:t>If a mobile station in dual transfer mode receives a PACKET DOWNLINK ASSIGNMENT, a MULTIPLE TBF DOWNLINK ASSIGNMENT, a PACKET TIMESLOT RECONFIGURE or a MULTIPLE TBF TIMESLOT RECONFIGURE message including frequency parameters for the carrier supporting the dedicated resources, the mobile station shall perform an abnormal release with access retry if there is at least one ongoing uplink TBF (see sub-clause 8.7.2), otherwise it shall perform an abnormal release without retry (see sub-clause 8.7.1);</w:t>
      </w:r>
    </w:p>
    <w:p w14:paraId="3B843A88" w14:textId="77777777" w:rsidR="00711444" w:rsidRPr="004D0DAA" w:rsidRDefault="00711444" w:rsidP="00711444">
      <w:pPr>
        <w:pStyle w:val="B1"/>
      </w:pPr>
      <w:r w:rsidRPr="004D0DAA">
        <w:t>-</w:t>
      </w:r>
      <w:r w:rsidRPr="004D0DAA">
        <w:tab/>
        <w:t>If the information in the PACKET TIMESLOT RECONFIGURE, MULTIPLE TBF TIMESLOT RECONFIGURE or PACKET CS RELEASE INDICATION message does not properly specify an uplink and downlink PDCH or specifies a multislot configuration that the mobile station does not support (see 3GPP TS 45.002), the mobile station shall perform an abnormal release with access retry (see sub-clause 8.7.2);</w:t>
      </w:r>
    </w:p>
    <w:p w14:paraId="5AC6411B" w14:textId="77777777" w:rsidR="00711444" w:rsidRPr="004D0DAA" w:rsidRDefault="00711444" w:rsidP="00711444">
      <w:pPr>
        <w:pStyle w:val="B1"/>
      </w:pPr>
      <w:r w:rsidRPr="004D0DAA">
        <w:t>-</w:t>
      </w:r>
      <w:r w:rsidRPr="004D0DAA">
        <w:tab/>
        <w:t>If the PACKET TIMESLOT RECONFIGURE message does not include a DOWNLINK_TFI_ASSIGNMENT field, then the mobile station shall perform an abnormal release with access retry (see sub-clause 8.7.2);</w:t>
      </w:r>
    </w:p>
    <w:p w14:paraId="02BC9083" w14:textId="77777777" w:rsidR="00711444" w:rsidRPr="004D0DAA" w:rsidRDefault="00711444" w:rsidP="00711444">
      <w:pPr>
        <w:pStyle w:val="B1"/>
      </w:pPr>
      <w:r w:rsidRPr="004D0DAA">
        <w:t>-</w:t>
      </w:r>
      <w:r w:rsidRPr="004D0DAA">
        <w:tab/>
        <w:t>If a failure in the PACKET TIMESLOT RECONFIGURE, MULTIPLE TBF TIMESLOT RECONFIGURE or PACKET CS RELEASE INDICATION message is due to any other reason, the mobile station shall abort the procedure and perform an abnormal release with access retry (see sub-clause 8.7.2);</w:t>
      </w:r>
    </w:p>
    <w:p w14:paraId="1700B40E" w14:textId="77777777" w:rsidR="00711444" w:rsidRPr="004D0DAA" w:rsidRDefault="00711444" w:rsidP="00711444">
      <w:pPr>
        <w:pStyle w:val="B1"/>
      </w:pPr>
      <w:r w:rsidRPr="004D0DAA">
        <w:t>-</w:t>
      </w:r>
      <w:r w:rsidRPr="004D0DAA">
        <w:tab/>
        <w:t>If the information available in the mobile station, after the reception of a PACKET DOWNLINK ASSIGNMENT, MULTIPLE TBF DOWNLINK ASSIGNMENT or EC PACKET DOWNLINK ASSIGNMENT message does not satisfactorily define a PDCH, the mobile station shall ignore the PACKET DOWNLINK ASSIGNMENT/MULTIPLE TBF DOWNLINK ASSIGNMENT/ EC PACKET DOWNLINK ASSIGNMENT message;</w:t>
      </w:r>
    </w:p>
    <w:p w14:paraId="110834FD" w14:textId="77777777" w:rsidR="00711444" w:rsidRPr="004D0DAA" w:rsidRDefault="00711444" w:rsidP="00711444">
      <w:pPr>
        <w:pStyle w:val="B1"/>
      </w:pPr>
      <w:r w:rsidRPr="004D0DAA">
        <w:t>-</w:t>
      </w:r>
      <w:r w:rsidRPr="004D0DAA">
        <w:tab/>
        <w:t>If the mobile station does not support Downlink Dual Carrier but receives a PACKET DOWNLINK ASSIGNMENT or MULTIPLE TBF DOWNLINK ASSIGNMENT message specifying different frequency parameters than those currently in effect for the uplink TBF (see sub-clause 5.5.1.7), the mobile station shall ignore the PACKET DOWNLINK ASSIGNMENT/ MULTIPLE TBF DOWNLINK ASSIGNMENT message and continue normal operation of the uplink TBF;</w:t>
      </w:r>
    </w:p>
    <w:p w14:paraId="02E5855C" w14:textId="77777777" w:rsidR="00711444" w:rsidRPr="004D0DAA" w:rsidRDefault="00711444" w:rsidP="00711444">
      <w:pPr>
        <w:pStyle w:val="B1"/>
      </w:pPr>
      <w:r w:rsidRPr="004D0DAA">
        <w:t>-</w:t>
      </w:r>
      <w:r w:rsidRPr="004D0DAA">
        <w:tab/>
        <w:t>If the mobile station supports Downlink Dual Carrier, has one or more ongoing uplink TBFs and is not in a Downlink Dual Carrier configuration, but receives a PACKET DOWNLINK ASSIGNMENT or MULTIPLE TBF DOWNLINK ASSIGNMENT message specifying frequency parameters for carrier 1 that are different from those currently in effect for the uplink TBF, the mobile station shall ignore the PACKET DOWNLINK ASSIGNMENT/ MULTIPLE TBF DOWNLINK ASSIGNMENT message and continue normal operation of the uplink TBF;</w:t>
      </w:r>
    </w:p>
    <w:p w14:paraId="3A39DDC8" w14:textId="77777777" w:rsidR="00711444" w:rsidRPr="004D0DAA" w:rsidRDefault="00711444" w:rsidP="00711444">
      <w:pPr>
        <w:pStyle w:val="B1"/>
      </w:pPr>
      <w:r w:rsidRPr="004D0DAA">
        <w:t>-</w:t>
      </w:r>
      <w:r w:rsidRPr="004D0DAA">
        <w:tab/>
        <w:t>If both the mobile station and the network support multiple TBF procedures and if any given downlink assignment message provides an uplink TBF allocation for a PFI not associated with any ongoing uplink TBF, the mobile station shall abort the procedure and perform an abnormal release with access retry (see sub-clause 8.7.2);</w:t>
      </w:r>
    </w:p>
    <w:p w14:paraId="58FE26D0" w14:textId="77777777" w:rsidR="00711444" w:rsidRPr="004D0DAA" w:rsidRDefault="00711444" w:rsidP="00711444">
      <w:pPr>
        <w:pStyle w:val="B1"/>
      </w:pPr>
      <w:r w:rsidRPr="004D0DAA">
        <w:t>-</w:t>
      </w:r>
      <w:r w:rsidRPr="004D0DAA">
        <w:tab/>
        <w:t>If both the mobile station and the network support EMST or EMSR and if any given downlink assignment message provides an uplink resource allocation for a PFI not associated with any RLC entity allocated on the ongoing uplink TBF, the mobile station shall abort the procedure and perform an abnormal release with access retry (see sub-clause 8.7.2);</w:t>
      </w:r>
    </w:p>
    <w:p w14:paraId="2923CC49" w14:textId="77777777" w:rsidR="00711444" w:rsidRPr="004D0DAA" w:rsidRDefault="00711444" w:rsidP="00711444">
      <w:pPr>
        <w:pStyle w:val="B1"/>
      </w:pPr>
      <w:r w:rsidRPr="004D0DAA">
        <w:t>-</w:t>
      </w:r>
      <w:r w:rsidRPr="004D0DAA">
        <w:tab/>
        <w:t>If both the mobile station and the network support EMST and if any given uplink assignment message includes an assignment for more RLC entities than the mobile station supports or more than one RLC entity is assigned to use same RLC mode to a TBF, the mobile station shall abort the procedure and perform abnormal release with access retry (see sub-clause 8.7.2);</w:t>
      </w:r>
    </w:p>
    <w:p w14:paraId="5D60D460" w14:textId="77777777" w:rsidR="00711444" w:rsidRPr="004D0DAA" w:rsidRDefault="00711444" w:rsidP="00711444">
      <w:pPr>
        <w:pStyle w:val="B1"/>
      </w:pPr>
      <w:r w:rsidRPr="004D0DAA">
        <w:t xml:space="preserve">- </w:t>
      </w:r>
      <w:r w:rsidRPr="004D0DAA">
        <w:tab/>
        <w:t xml:space="preserve">If a mobile station that does not support Downlink Dual Carrier receives a downlink assignment message (e.g. PACKET DOWNLINK ASSIGNMENT, MULTIPLE TBF DOWNLINK ASSIGNMENT, PACKET TIMESLOT RECONFIGURE, MULTIPLE TBF TIMESLOT RECONFIGURE or PACKET CS RELEASE INDICATION message) that assigns resources on two carriers or includes the </w:t>
      </w:r>
      <w:r w:rsidRPr="004D0DAA">
        <w:rPr>
          <w:i/>
          <w:iCs/>
        </w:rPr>
        <w:t>Assignment Info</w:t>
      </w:r>
      <w:r w:rsidRPr="004D0DAA">
        <w:t xml:space="preserve"> IE which indicates that the assignment is a 'Modification of an existing assignment' or a 'Dual Carrier assignment', the </w:t>
      </w:r>
      <w:r w:rsidRPr="004D0DAA">
        <w:lastRenderedPageBreak/>
        <w:t>mobile station shall perform an abnormal release with access retry if there is at least one ongoing uplink TBF (see sub-clause 8.7.2), otherwise it shall perform an abnormal release without retry (see sub-clause 8.7.1);</w:t>
      </w:r>
    </w:p>
    <w:p w14:paraId="66C04821" w14:textId="77777777" w:rsidR="00711444" w:rsidRPr="004D0DAA" w:rsidRDefault="00711444" w:rsidP="00711444">
      <w:pPr>
        <w:pStyle w:val="B1"/>
      </w:pPr>
      <w:r w:rsidRPr="004D0DAA">
        <w:t>-</w:t>
      </w:r>
      <w:r w:rsidRPr="004D0DAA">
        <w:tab/>
        <w:t>If a mobile which supports Downlink Dual Carrier receives a downlink assignment message (e.g. PACKET DOWNLINK ASSIGNMENT, MULTIPLE TBF DOWNLINK ASSIGNMENT, PACKET TIMESLOT RECONFIGURE, MULTIPLE TBF TIMESLOT RECONFIGURE or PACKET CS RELEASE INDICATION message) that assigns resources on two carriers and those two carriers are not within the same frequency band, the mobile station shall perform an abnormal release with access retry (see sub-clause 8.7.2);</w:t>
      </w:r>
    </w:p>
    <w:p w14:paraId="799C1159" w14:textId="77777777" w:rsidR="00711444" w:rsidRPr="004D0DAA" w:rsidRDefault="00711444" w:rsidP="00711444">
      <w:pPr>
        <w:pStyle w:val="B1"/>
      </w:pPr>
      <w:r w:rsidRPr="004D0DAA">
        <w:t>-</w:t>
      </w:r>
      <w:r w:rsidRPr="004D0DAA">
        <w:tab/>
        <w:t>If a mobile station that supports Downlink Multi Carrier receives a PACKET DOWNLINK ASSIGNMENT message or PACKET TIMESLOT RECONFIGURE message that establishes or modifies a DLMC configuration wherein resources are assigned on carriers in different frequency bands but does not support inter-band reception, the mobile station shall perform an abnormal release with access retry (see sub-clause 8.7.2);</w:t>
      </w:r>
    </w:p>
    <w:p w14:paraId="73526ABB" w14:textId="77777777" w:rsidR="00711444" w:rsidRPr="004D0DAA" w:rsidRDefault="00711444" w:rsidP="00711444">
      <w:pPr>
        <w:pStyle w:val="B1"/>
      </w:pPr>
      <w:r w:rsidRPr="004D0DAA">
        <w:t>-</w:t>
      </w:r>
      <w:r w:rsidRPr="004D0DAA">
        <w:tab/>
        <w:t>If a mobile station that supports Downlink Multi Carrier receives a PACKET DOWNLINK ASSIGNMENT message or PACKET TIMESLOT RECONFIGURE message that establishes or modifies a DLMC configuration with more carriers or more downlink timeslots than it supports, or assigns eTFIs or a SNS of 8192 or CS-3 for PDAN coding when the mobile station supports 20 or fewer time slots, or assigns carriers in a frequency band it does not support, the mobile station shall perform an abnormal release with access retry (see sub-clause 8.7.2);</w:t>
      </w:r>
    </w:p>
    <w:p w14:paraId="3BD57B40" w14:textId="77777777" w:rsidR="00711444" w:rsidRPr="004D0DAA" w:rsidRDefault="00711444" w:rsidP="00711444">
      <w:pPr>
        <w:pStyle w:val="B1"/>
      </w:pPr>
      <w:r w:rsidRPr="004D0DAA">
        <w:t>-</w:t>
      </w:r>
      <w:r w:rsidRPr="004D0DAA">
        <w:tab/>
        <w:t>If a mobile station that supports Downlink Multi Carrier receives a PACKET DOWNLINK ASSIGNMENT message that modifies a DLMC configuration that releases carriers on which USF is being monitored, the mobile station shall perform an abnormal release with access retry (see sub-clause 8.7.2);</w:t>
      </w:r>
    </w:p>
    <w:p w14:paraId="07E60EB6" w14:textId="77777777" w:rsidR="00711444" w:rsidRPr="004D0DAA" w:rsidRDefault="00711444" w:rsidP="00711444">
      <w:pPr>
        <w:pStyle w:val="B1"/>
      </w:pPr>
      <w:r w:rsidRPr="004D0DAA">
        <w:t>-</w:t>
      </w:r>
      <w:r w:rsidRPr="004D0DAA">
        <w:tab/>
        <w:t xml:space="preserve">If a mobile station that supports Downlink Multi Carrier receives a PACKET DOWNLINK ASSIGNMENT message or PACKET TIMESLOT RECONFIGURE message that assigns two or more UFPS to the same Mobile Allocation (as defined by the </w:t>
      </w:r>
      <w:r w:rsidRPr="004D0DAA">
        <w:rPr>
          <w:i/>
        </w:rPr>
        <w:t xml:space="preserve">DLMC </w:t>
      </w:r>
      <w:r w:rsidRPr="004D0DAA">
        <w:rPr>
          <w:i/>
          <w:iCs/>
        </w:rPr>
        <w:t>Frequency Parameter</w:t>
      </w:r>
      <w:r w:rsidRPr="004D0DAA">
        <w:rPr>
          <w:i/>
        </w:rPr>
        <w:t xml:space="preserve"> </w:t>
      </w:r>
      <w:r w:rsidRPr="004D0DAA">
        <w:t>IE), the mobile station shall perform an abnormal release with access retry (see sub-clause 8.7.2);</w:t>
      </w:r>
    </w:p>
    <w:p w14:paraId="1FCF0208" w14:textId="77777777" w:rsidR="00711444" w:rsidRPr="004D0DAA" w:rsidRDefault="00711444" w:rsidP="00711444">
      <w:pPr>
        <w:pStyle w:val="B1"/>
      </w:pPr>
      <w:r w:rsidRPr="004D0DAA">
        <w:t>-</w:t>
      </w:r>
      <w:r w:rsidRPr="004D0DAA">
        <w:tab/>
        <w:t>If a mobile station that supports Downlink Multi Carrier receives a PACKET UPLINK ASSIGNMENT message that modifies a DLMC configuration by assigning an uplink carrier that does not correspond to an existing downlink carrier, the mobile station shall perform an abnormal release with access retry (see sub-clause 8.7.2);</w:t>
      </w:r>
    </w:p>
    <w:p w14:paraId="638DC34C" w14:textId="77777777" w:rsidR="00711444" w:rsidRPr="004D0DAA" w:rsidRDefault="00711444" w:rsidP="00711444">
      <w:pPr>
        <w:ind w:left="567" w:hanging="283"/>
      </w:pPr>
      <w:r w:rsidRPr="004D0DAA">
        <w:t>-</w:t>
      </w:r>
      <w:r w:rsidRPr="004D0DAA">
        <w:tab/>
        <w:t>If a failure in the PACKET DOWNLINK ASSIGNMENT, MULTIPLE TBF DOWNLINK ASSIGNMENT or EC PACKET DOWNLINK ASSIGNMENT message is due to any other reason, the mobile station shall abort the establishment of the downlink TBFs indicated in the downlink assignment message. If one or more ongoing uplink or downlink TBFs exist, the mobile station shall continue the normal operation of all the ongoing uplink TBFs. If no ongoing uplink or downlink TBFs exist, the mobile station shall perform an abnormal release without retry (see sub-clause 8.7.1).</w:t>
      </w:r>
    </w:p>
    <w:p w14:paraId="508A2502" w14:textId="77777777" w:rsidR="00711444" w:rsidRPr="004D0DAA" w:rsidRDefault="00711444" w:rsidP="00711444">
      <w:pPr>
        <w:pStyle w:val="Heading4"/>
      </w:pPr>
      <w:bookmarkStart w:id="281" w:name="_Toc516669468"/>
      <w:r w:rsidRPr="004D0DAA">
        <w:t>8.1.2.2</w:t>
      </w:r>
      <w:r w:rsidRPr="004D0DAA">
        <w:tab/>
        <w:t>Polling for Packet Downlink Ack/Nack</w:t>
      </w:r>
      <w:bookmarkEnd w:id="281"/>
    </w:p>
    <w:p w14:paraId="5EBA94DE" w14:textId="77777777" w:rsidR="00711444" w:rsidRPr="004D0DAA" w:rsidRDefault="00711444" w:rsidP="00711444">
      <w:r w:rsidRPr="004D0DAA">
        <w:t xml:space="preserve">Whenever the mobile station receives an RLC data block addressed to one of its TBFs and with a valid RRBP field </w:t>
      </w:r>
      <w:r w:rsidRPr="004D0DAA">
        <w:rPr>
          <w:rFonts w:hint="eastAsia"/>
          <w:lang w:eastAsia="ko-KR"/>
        </w:rPr>
        <w:t xml:space="preserve">or with a valid CES/P field </w:t>
      </w:r>
      <w:r w:rsidRPr="004D0DAA">
        <w:t xml:space="preserve">in the RLC data block header (i.e. is polled), the mobile station shall transmit one of the following replies in the uplink radio block specified by the RRBP field </w:t>
      </w:r>
      <w:r w:rsidRPr="004D0DAA">
        <w:rPr>
          <w:rFonts w:hint="eastAsia"/>
          <w:lang w:eastAsia="ko-KR"/>
        </w:rPr>
        <w:t xml:space="preserve">or CES/P field, </w:t>
      </w:r>
      <w:r w:rsidRPr="004D0DAA">
        <w:t>whatever the BSN value of the received RLC data block, according to the subsequent decreasing order of priority:</w:t>
      </w:r>
    </w:p>
    <w:p w14:paraId="36EDEC01" w14:textId="77777777" w:rsidR="00711444" w:rsidRPr="004D0DAA" w:rsidRDefault="00711444" w:rsidP="00711444">
      <w:pPr>
        <w:pStyle w:val="B1"/>
      </w:pPr>
      <w:r w:rsidRPr="004D0DAA">
        <w:t>1)</w:t>
      </w:r>
      <w:r w:rsidRPr="004D0DAA">
        <w:tab/>
        <w:t>a (EGPRS) PACKET DOWNLINK ACK/NACK message or EGPRS PACKET DOWNLINK ACK/NACK TYPE 2 message or EGPRS PACKET DOWNLINK ACK/NACK TYPE 3 message or EGPRS PACKET DOWNLINK ACK/NACK DLMC message containing a Final Ack Indicator;</w:t>
      </w:r>
    </w:p>
    <w:p w14:paraId="6083B6A8" w14:textId="77777777" w:rsidR="00711444" w:rsidRPr="004D0DAA" w:rsidRDefault="00711444" w:rsidP="00711444">
      <w:pPr>
        <w:pStyle w:val="B1"/>
      </w:pPr>
      <w:r w:rsidRPr="004D0DAA">
        <w:t>2)</w:t>
      </w:r>
      <w:r w:rsidRPr="004D0DAA">
        <w:tab/>
        <w:t>a PACKET CS REQUEST message, if such a message is waiting to be transmitted;</w:t>
      </w:r>
    </w:p>
    <w:p w14:paraId="38033222" w14:textId="77777777" w:rsidR="00711444" w:rsidRPr="004D0DAA" w:rsidRDefault="00711444" w:rsidP="00711444">
      <w:pPr>
        <w:pStyle w:val="B1"/>
      </w:pPr>
      <w:r w:rsidRPr="004D0DAA">
        <w:t>3)</w:t>
      </w:r>
      <w:r w:rsidRPr="004D0DAA">
        <w:tab/>
        <w:t>a PACKET CELL CHANGE NOTIFICATION message, if such a message is waiting to be transmitted;</w:t>
      </w:r>
    </w:p>
    <w:p w14:paraId="6DA719CA" w14:textId="77777777" w:rsidR="00711444" w:rsidRPr="004D0DAA" w:rsidRDefault="00711444" w:rsidP="00711444">
      <w:pPr>
        <w:pStyle w:val="B1"/>
      </w:pPr>
      <w:r w:rsidRPr="004D0DAA">
        <w:t>4)</w:t>
      </w:r>
      <w:r w:rsidRPr="004D0DAA">
        <w:tab/>
        <w:t>a (EGPRS) PACKET DOWNLINK ACK/NACK message or a EGPRS PACKET DOWNLINK ACK/NACK TYPE 2 message or a EGPRS PACKET DOWNLINK ACK/NACK DLMC message containing a Channel Request Description IE;</w:t>
      </w:r>
    </w:p>
    <w:p w14:paraId="3E95599D" w14:textId="77777777" w:rsidR="00711444" w:rsidRPr="004D0DAA" w:rsidRDefault="00711444" w:rsidP="00711444">
      <w:pPr>
        <w:pStyle w:val="B1"/>
      </w:pPr>
      <w:r w:rsidRPr="004D0DAA">
        <w:t>5)</w:t>
      </w:r>
      <w:r w:rsidRPr="004D0DAA">
        <w:tab/>
        <w:t>any other RLC/MAC control message, if such a message is waiting to be transmitted, other than a (EGPRS) PACKET DOWNLINK ACK/NACK message or EGPRS PACKET DOWNLINK ACK/NACK TYPE 2 message or EGPRS PACKET DOWNLINK ACK/NACK TYPE 3 message or EGPRS PACKET DOWNLINK ACK/NACK DLMC message;</w:t>
      </w:r>
    </w:p>
    <w:p w14:paraId="029BA000" w14:textId="77777777" w:rsidR="00711444" w:rsidRPr="004D0DAA" w:rsidRDefault="00711444" w:rsidP="00711444">
      <w:pPr>
        <w:pStyle w:val="B1"/>
      </w:pPr>
      <w:r w:rsidRPr="004D0DAA">
        <w:lastRenderedPageBreak/>
        <w:t>6)</w:t>
      </w:r>
      <w:r w:rsidRPr="004D0DAA">
        <w:tab/>
        <w:t>when FANR is activated and the mobile station is polled for a PAN (see sub-clause 10.4.4b) , a PAN field corresponding to this TBF included in an EGPRS RLC/MAC block for data transfer from one of the concurrent TBFs in uplink (see sub-clause 8.1.1.);</w:t>
      </w:r>
    </w:p>
    <w:p w14:paraId="2755C9D0" w14:textId="77777777" w:rsidR="00711444" w:rsidRPr="004D0DAA" w:rsidRDefault="00711444" w:rsidP="00711444">
      <w:pPr>
        <w:pStyle w:val="B1"/>
      </w:pPr>
      <w:r w:rsidRPr="004D0DAA">
        <w:t>7)</w:t>
      </w:r>
      <w:r w:rsidRPr="004D0DAA">
        <w:tab/>
        <w:t>a (EGPRS) PACKET DOWNLINK ACK/NACK message or EGPRS PACKET DOWNLINK ACK/NACK TYPE 2 message or EGPRS PACKET DOWNLINK ACK/NACK TYPE 3 message or EGPRS PACKET DOWNLINK ACK/NACK DLMC message not containing a Final Ack Indicator or a Channel Request Description IE.</w:t>
      </w:r>
    </w:p>
    <w:p w14:paraId="212BF1AE" w14:textId="77777777" w:rsidR="00711444" w:rsidRPr="004D0DAA" w:rsidRDefault="00711444" w:rsidP="00711444">
      <w:r w:rsidRPr="004D0DAA">
        <w:t xml:space="preserve">However, the mobile station shall transmit an RLC/MAC control message other than a (EGPRS) PACKET DOWNLINK ACK/NACK message or EGPRS PACKET DOWNLINK ACK/NACK TYPE 2 message or EGPRS PACKET DOWNLINK ACK/NACK TYPE 3 message or EGPRS PACKET DOWNLINK ACK/NACK DLMC message at most every second time it is polled for the TBF. </w:t>
      </w:r>
      <w:r w:rsidRPr="004D0DAA">
        <w:rPr>
          <w:rFonts w:hint="eastAsia"/>
          <w:lang w:eastAsia="ko-KR"/>
        </w:rPr>
        <w:t xml:space="preserve">For a TBF </w:t>
      </w:r>
      <w:r w:rsidRPr="004D0DAA">
        <w:rPr>
          <w:lang w:eastAsia="ko-KR"/>
        </w:rPr>
        <w:t xml:space="preserve">with </w:t>
      </w:r>
      <w:r w:rsidRPr="004D0DAA">
        <w:rPr>
          <w:rFonts w:hint="eastAsia"/>
          <w:lang w:eastAsia="ko-KR"/>
        </w:rPr>
        <w:t>FANR</w:t>
      </w:r>
      <w:r w:rsidRPr="004D0DAA">
        <w:rPr>
          <w:lang w:eastAsia="ko-KR"/>
        </w:rPr>
        <w:t xml:space="preserve"> activated</w:t>
      </w:r>
      <w:r w:rsidRPr="004D0DAA">
        <w:t>, the mobile station may transmit an RLC/MAC control message other than a (EGPRS) PACKET DOWNLINK ACK/NACK message or EGPRS PACKET DOWNLINK ACK/NACK TYPE 2 message or EGPRS PACKET DOWNLINK ACK/NACK TYPE 3 message or EGPRS PACKET DOWNLINK ACK/NACK DLMC message only if a (EGPRS) PACKET DOWNLINK ACK/NACK message or EGPRS PACKET DOWNLINK ACK/NACK TYPE 2 message or EGPRS PACKET DOWNLINK ACK/NACK TYPE 3 message or EGPRS PACKET DOWNLINK ACK/NACK DLMC message or EGPRS RLC/MAC block for data transfer including a PAN field was transmitted as the response to the last poll.</w:t>
      </w:r>
    </w:p>
    <w:p w14:paraId="2DE364C6" w14:textId="77777777" w:rsidR="00711444" w:rsidRPr="004D0DAA" w:rsidRDefault="00711444" w:rsidP="00711444">
      <w:r w:rsidRPr="004D0DAA">
        <w:t xml:space="preserve">The mobile station shall not send an EGPRS PACKET DOWNLINK ACK/NACK TYPE 3 message if not indicated as supported by the network according to the value of the </w:t>
      </w:r>
      <w:r w:rsidRPr="004D0DAA">
        <w:rPr>
          <w:i/>
        </w:rPr>
        <w:t xml:space="preserve">EGPRS Packet Downlink Ack/Nack Type 3 Support </w:t>
      </w:r>
      <w:r w:rsidRPr="004D0DAA">
        <w:t>field in assignment messages.</w:t>
      </w:r>
    </w:p>
    <w:p w14:paraId="079DBB20" w14:textId="77777777" w:rsidR="00711444" w:rsidRPr="004D0DAA" w:rsidRDefault="00711444" w:rsidP="00711444">
      <w:r w:rsidRPr="004D0DAA">
        <w:t>The mobile station shall not send a PACKET CONTROL ACKNOWLEDGEMENT message unless otherwise specified.</w:t>
      </w:r>
    </w:p>
    <w:p w14:paraId="49208122" w14:textId="77777777" w:rsidR="00711444" w:rsidRPr="004D0DAA" w:rsidRDefault="00711444" w:rsidP="00711444">
      <w:pPr>
        <w:rPr>
          <w:lang w:eastAsia="ko-KR"/>
        </w:rPr>
      </w:pPr>
      <w:r w:rsidRPr="004D0DAA">
        <w:t xml:space="preserve">A mobile station in packet transfer mode in a Downlink Dual Carrier configuration or a DLMC configuration </w:t>
      </w:r>
      <w:r w:rsidRPr="004D0DAA">
        <w:rPr>
          <w:lang w:eastAsia="ko-KR"/>
        </w:rPr>
        <w:t>shall respond in the uplink radio block indicated by the RRBP field</w:t>
      </w:r>
      <w:r w:rsidRPr="004D0DAA">
        <w:rPr>
          <w:rFonts w:hint="eastAsia"/>
          <w:lang w:eastAsia="ko-KR"/>
        </w:rPr>
        <w:t xml:space="preserve"> or </w:t>
      </w:r>
      <w:r w:rsidRPr="004D0DAA">
        <w:rPr>
          <w:lang w:eastAsia="ko-KR"/>
        </w:rPr>
        <w:t xml:space="preserve">by the </w:t>
      </w:r>
      <w:r w:rsidRPr="004D0DAA">
        <w:rPr>
          <w:rFonts w:hint="eastAsia"/>
          <w:lang w:eastAsia="ko-KR"/>
        </w:rPr>
        <w:t>CES/P field,</w:t>
      </w:r>
      <w:r w:rsidRPr="004D0DAA">
        <w:rPr>
          <w:lang w:eastAsia="ko-KR"/>
        </w:rPr>
        <w:t xml:space="preserve"> on the same radio frequency channel as the one where the poll was received. A mobile station in dual transfer mode in a Downlink Dual Carrier configuration shall respond in the uplink radio block on the timeslot or on the PDCH pair indicated by the RRBP field </w:t>
      </w:r>
      <w:r w:rsidRPr="004D0DAA">
        <w:rPr>
          <w:rFonts w:hint="eastAsia"/>
          <w:lang w:eastAsia="ko-KR"/>
        </w:rPr>
        <w:t xml:space="preserve">or </w:t>
      </w:r>
      <w:r w:rsidRPr="004D0DAA">
        <w:rPr>
          <w:lang w:eastAsia="ko-KR"/>
        </w:rPr>
        <w:t xml:space="preserve">by the </w:t>
      </w:r>
      <w:r w:rsidRPr="004D0DAA">
        <w:rPr>
          <w:rFonts w:hint="eastAsia"/>
          <w:lang w:eastAsia="ko-KR"/>
        </w:rPr>
        <w:t xml:space="preserve">CES/P field, </w:t>
      </w:r>
      <w:r w:rsidRPr="004D0DAA">
        <w:rPr>
          <w:rFonts w:eastAsia="MS Mincho"/>
          <w:lang w:eastAsia="ja-JP"/>
        </w:rPr>
        <w:t xml:space="preserve">on the uplink </w:t>
      </w:r>
      <w:r w:rsidRPr="004D0DAA">
        <w:rPr>
          <w:lang w:eastAsia="ko-KR"/>
        </w:rPr>
        <w:t>radio frequency channel</w:t>
      </w:r>
      <w:r w:rsidRPr="004D0DAA">
        <w:rPr>
          <w:rFonts w:eastAsia="MS Mincho"/>
          <w:lang w:eastAsia="ja-JP"/>
        </w:rPr>
        <w:t xml:space="preserve"> where the dedicated resource is assigned regardless of which downlink radio frequency channel the poll was received on. The network shall not poll the mobile station in a manner which would require the mobile station to respond on the same timeslot as that on which the dedicated resource is assigned.</w:t>
      </w:r>
    </w:p>
    <w:p w14:paraId="7F06CC44" w14:textId="77777777" w:rsidR="00711444" w:rsidRPr="004D0DAA" w:rsidRDefault="00711444" w:rsidP="00711444">
      <w:r w:rsidRPr="004D0DAA">
        <w:t>In EGPRS TBF mode the mobile station shall react on a poll inside an erroneously received RLC data block for which the header is correctly received and which addresses the mobile station.</w:t>
      </w:r>
    </w:p>
    <w:p w14:paraId="42D74184" w14:textId="77777777" w:rsidR="00711444" w:rsidRPr="004D0DAA" w:rsidRDefault="00711444" w:rsidP="00711444">
      <w:r w:rsidRPr="004D0DAA">
        <w:t>If EMST is used and the mobile station responds to the poll with a (EGPRS) PACKET DOWNLINK ACK/NACK message, an EGPRS PACKET DOWNLINK ACK/NACK TYPE 2 message, an EGPRS PACKET DOWNLINK ACK/NACK TYPE 3 message or an EGPRS PACKET DOWNLINK ACK/NACK DLMC message or an EGPRS RLC/MAC block for data transfer with a PAN field, then the message or the PAN field shall correspond to the RLC entity identified by the TFI in the header of the downlink RLC/MAC block containing the poll.</w:t>
      </w:r>
    </w:p>
    <w:p w14:paraId="56F945AF" w14:textId="77777777" w:rsidR="00711444" w:rsidRPr="004D0DAA" w:rsidRDefault="00711444" w:rsidP="00711444">
      <w:pPr>
        <w:rPr>
          <w:iCs/>
        </w:rPr>
      </w:pPr>
      <w:r w:rsidRPr="004D0DAA">
        <w:t>Whenever the network receives a valid RLC/MAC control message from a TBF, it shall reset counter N3105 for that TBF. The network shall increment counter N3105 for each radio block, allocated to that TBF with the RRBP field</w:t>
      </w:r>
      <w:r w:rsidRPr="004D0DAA">
        <w:rPr>
          <w:rFonts w:hint="eastAsia"/>
          <w:lang w:eastAsia="ko-KR"/>
        </w:rPr>
        <w:t xml:space="preserve"> or </w:t>
      </w:r>
      <w:r w:rsidRPr="004D0DAA">
        <w:rPr>
          <w:lang w:eastAsia="ko-KR"/>
        </w:rPr>
        <w:t xml:space="preserve">with the </w:t>
      </w:r>
      <w:r w:rsidRPr="004D0DAA">
        <w:rPr>
          <w:rFonts w:hint="eastAsia"/>
          <w:lang w:eastAsia="ko-KR"/>
        </w:rPr>
        <w:t>CES/P field</w:t>
      </w:r>
      <w:r w:rsidRPr="004D0DAA">
        <w:t>, for which no RLC/MAC control message is received. If N3105 = N3105max, the network shall release the downlink TBF internally and start timer T3195 for that TBF. When T3195 expires, the network may reuse the TFI(s)</w:t>
      </w:r>
      <w:r w:rsidRPr="004D0DAA">
        <w:rPr>
          <w:iCs/>
        </w:rPr>
        <w:t>.</w:t>
      </w:r>
    </w:p>
    <w:p w14:paraId="33F33785" w14:textId="77777777" w:rsidR="00711444" w:rsidRPr="004D0DAA" w:rsidRDefault="00711444" w:rsidP="00711444">
      <w:r w:rsidRPr="004D0DAA">
        <w:t>The PACKET DOWNLINK ACK/NACK message contains a Channel Quality Report (see 3GPP TS 45.008). The optional I_LEVEL measurement results shall be included in at least every other PACKET DOWNLINK ACK/NACK message.</w:t>
      </w:r>
    </w:p>
    <w:p w14:paraId="14A5C734" w14:textId="77777777" w:rsidR="00711444" w:rsidRPr="004D0DAA" w:rsidRDefault="00711444" w:rsidP="00711444">
      <w:r w:rsidRPr="004D0DAA">
        <w:t>The EGPRS PACKET DOWNLINK ACK/NACK message may contain an EGPRS Channel Quality Report (see 3GPP TS 45.008).</w:t>
      </w:r>
    </w:p>
    <w:p w14:paraId="36D7E038" w14:textId="77777777" w:rsidR="00711444" w:rsidRPr="004D0DAA" w:rsidRDefault="00711444" w:rsidP="00711444">
      <w:r w:rsidRPr="004D0DAA">
        <w:t xml:space="preserve">The EGPRS PACKET DOWNLINK ACK/NACK TYPE 2 message and the EGPRS PACKET DOWNLINK ACK/NACK TYPE 3 message may contain an EGPRS Channel Quality Report Type 2 (see 3GPP TS 45.008). The EGPRS PACKET DOWNLINK ACK/NACK DLMC message may contain the </w:t>
      </w:r>
      <w:r w:rsidRPr="004D0DAA">
        <w:rPr>
          <w:i/>
        </w:rPr>
        <w:t xml:space="preserve">DLMC Channel Quality Report </w:t>
      </w:r>
      <w:r w:rsidRPr="004D0DAA">
        <w:t>IE (see sub-clause 12.66).</w:t>
      </w:r>
    </w:p>
    <w:p w14:paraId="12C1A561" w14:textId="77777777" w:rsidR="00711444" w:rsidRPr="004D0DAA" w:rsidRDefault="00711444" w:rsidP="00711444">
      <w:r w:rsidRPr="004D0DAA">
        <w:lastRenderedPageBreak/>
        <w:t>In the case of simultaneous uplink and downlink TBFs, the transmission of the polling response takes precedence over the transmission of allocated uplink radio blocks.</w:t>
      </w:r>
    </w:p>
    <w:p w14:paraId="29F23655" w14:textId="77777777" w:rsidR="00711444" w:rsidRPr="004D0DAA" w:rsidRDefault="00711444" w:rsidP="00711444">
      <w:r w:rsidRPr="004D0DAA">
        <w:t>A mobile station of multislot class 1 to 12 or multislot class 30 to 45 need not respond to the poll if it is not compliant with the multislot class of the mobile station (see 3GPP TS 45.002).</w:t>
      </w:r>
    </w:p>
    <w:p w14:paraId="4C1B2848" w14:textId="77777777" w:rsidR="00711444" w:rsidRPr="004D0DAA" w:rsidRDefault="00711444" w:rsidP="00711444">
      <w:r w:rsidRPr="004D0DAA">
        <w:t>A mobile station of multislot class 13 to 18 shall always respond to the poll.</w:t>
      </w:r>
    </w:p>
    <w:p w14:paraId="48E51DFC" w14:textId="77777777" w:rsidR="00711444" w:rsidRPr="004D0DAA" w:rsidRDefault="00711444" w:rsidP="00711444">
      <w:r w:rsidRPr="004D0DAA">
        <w:t>A mobile station of multislot class 19 to 29 may omit the allocated downlink PDCHs with timeslot numbers greater than n+1, while transmitting the polling response on timeslot number n.</w:t>
      </w:r>
      <w:r w:rsidRPr="004D0DAA">
        <w:rPr>
          <w:b/>
        </w:rPr>
        <w:t xml:space="preserve"> </w:t>
      </w:r>
      <w:r w:rsidRPr="004D0DAA">
        <w:t>If the remaining configuration is not compliant with the multislot class of the mobile station (see 3GPP TS 45.002), the mobile station need not respond to the poll.</w:t>
      </w:r>
    </w:p>
    <w:p w14:paraId="18BC1F7F" w14:textId="77777777" w:rsidR="00711444" w:rsidRPr="004D0DAA" w:rsidRDefault="00711444" w:rsidP="00711444">
      <w:pPr>
        <w:pStyle w:val="NO"/>
      </w:pPr>
      <w:r w:rsidRPr="004D0DAA">
        <w:t>NOTE:</w:t>
      </w:r>
      <w:r w:rsidRPr="004D0DAA">
        <w:tab/>
        <w:t>The mobile station is required to make neighbour cell measurements while transmitting the polling response (see 3GPP TS 45.008).</w:t>
      </w:r>
    </w:p>
    <w:p w14:paraId="0411018A" w14:textId="77777777" w:rsidR="00711444" w:rsidRPr="004D0DAA" w:rsidRDefault="00711444" w:rsidP="00711444">
      <w:r w:rsidRPr="004D0DAA">
        <w:t>In case of simultaneous uplink and downlink TBFs and extended dynamic allocation (see sub-clause 8.1.1.2), the ne</w:t>
      </w:r>
      <w:r w:rsidRPr="004D0DAA">
        <w:t>t</w:t>
      </w:r>
      <w:r w:rsidRPr="004D0DAA">
        <w:t>work may apply polling in downlink RLC data blocks only when sent on a PDCH common for both reception and transmission (see 3GPP TS 45.002). A mobile station operating with extended dynamic allocation need to respond to polling in downlink RLC data blocks only when received on a PDCH common for both reception and transmission.</w:t>
      </w:r>
    </w:p>
    <w:p w14:paraId="1B74B9AA" w14:textId="77777777" w:rsidR="00711444" w:rsidRPr="004D0DAA" w:rsidRDefault="00711444" w:rsidP="00711444">
      <w:r w:rsidRPr="004D0DAA">
        <w:t>The mobile station shall not send a poll response using a TTI configuration that is different from that with which the poll was received.</w:t>
      </w:r>
    </w:p>
    <w:p w14:paraId="680380E1" w14:textId="77777777" w:rsidR="00711444" w:rsidRPr="004D0DAA" w:rsidRDefault="00711444" w:rsidP="00711444">
      <w:r w:rsidRPr="004D0DAA">
        <w:t>If a downlink TBF is established using a downlink assignment message indicating “MS Transmission Offset” and “MS Sync Accuracy” parameters are needed by the BSS (see sub-clause 11.2.7 and 3GPP TS 44.018 [11]) then EGPRS Packet Downlink Ack/Nack Type 2 and EGPRS Packet Downlink Ack/Nack Type 3 messages shall include these parameters when all downlink RLC data blocks have been received by the mobile station. The BSS uses the “MS Transmission Offset” parameter carried therein to adjust the estimated timing advance applicable to the mobile station (</w:t>
      </w:r>
      <w:r w:rsidRPr="004D0DAA">
        <w:rPr>
          <w:noProof/>
        </w:rPr>
        <w:t xml:space="preserve">3GPP TS 45.010) and thereby establishes a </w:t>
      </w:r>
      <w:r w:rsidRPr="004D0DAA">
        <w:t>“MultilaterationTiming Advance” value correspsonding to that mobile station. The BSS then relays the “Multilateration Timing Advance”, “Cell Identifier” of the serving cell, the “MS Sync Accuracy” and the “</w:t>
      </w:r>
      <w:r w:rsidRPr="004D0DAA">
        <w:rPr>
          <w:noProof/>
        </w:rPr>
        <w:t xml:space="preserve">BTS Reception Accuracy Value” </w:t>
      </w:r>
      <w:r w:rsidRPr="004D0DAA">
        <w:t>to the SMLC using the SCCP connection corresponding to the mobile station (see 3GPP TS 49.031).</w:t>
      </w:r>
    </w:p>
    <w:p w14:paraId="69741492" w14:textId="77777777" w:rsidR="00711444" w:rsidRPr="004D0DAA" w:rsidRDefault="00711444" w:rsidP="00711444">
      <w:pPr>
        <w:pStyle w:val="Heading4"/>
      </w:pPr>
      <w:bookmarkStart w:id="282" w:name="_Toc516669469"/>
      <w:r w:rsidRPr="004D0DAA">
        <w:t>8.1.2.2a</w:t>
      </w:r>
      <w:r w:rsidRPr="004D0DAA">
        <w:tab/>
        <w:t>Polling for EC Packet Downlink Ack/Nack or EC Packet Downlink Ack/Nack Higher CC</w:t>
      </w:r>
      <w:bookmarkEnd w:id="282"/>
    </w:p>
    <w:p w14:paraId="25462744" w14:textId="77777777" w:rsidR="00711444" w:rsidRPr="004D0DAA" w:rsidRDefault="00711444" w:rsidP="00711444">
      <w:pPr>
        <w:rPr>
          <w:lang w:eastAsia="ko-KR"/>
        </w:rPr>
      </w:pPr>
      <w:r w:rsidRPr="004D0DAA">
        <w:t>Whenever the mobile station receives an RLC data block addressed to its TBF and with a valid RRBP field</w:t>
      </w:r>
      <w:r w:rsidRPr="004D0DAA">
        <w:rPr>
          <w:lang w:eastAsia="ko-KR"/>
        </w:rPr>
        <w:t xml:space="preserve"> </w:t>
      </w:r>
      <w:r w:rsidRPr="004D0DAA">
        <w:t>in the RLC data block header (i.e. it is polled), the mobile station shall transmit a reply in the uplink radio block(s) specified by the RRBP field</w:t>
      </w:r>
      <w:r w:rsidRPr="004D0DAA">
        <w:rPr>
          <w:lang w:eastAsia="ko-KR"/>
        </w:rPr>
        <w:t>. The network can poll the mobile station in more than one downlink radio block where each valid RRBP field points to the same uplink resources to be used for transmission of the EC PACKET DOWLINK ACK/NACK message. The mobile station shall thus not automatically stop listening to the downlink when it is polled. It shall instead stop listening according to its specified reaction time, s</w:t>
      </w:r>
      <w:r w:rsidRPr="004D0DAA">
        <w:t>ee 3GPP TS 45.010,</w:t>
      </w:r>
      <w:r w:rsidRPr="004D0DAA">
        <w:rPr>
          <w:lang w:eastAsia="ko-KR"/>
        </w:rPr>
        <w:t xml:space="preserve"> before transmission of the EC PACKET DOWLINK ACK/NACK message. If the mobile station has not received an RLC data block containing the Final Block Indicator or it has received the Final Block Indicator but still has downlink data blocks that need to be negatively acknowledged, it shall transmit the EC PACKET DOWNLINK ACK/NACK or </w:t>
      </w:r>
      <w:r w:rsidRPr="004D0DAA">
        <w:t>EC PACKET DOWNLINK ACK/NACK HIGHER CC</w:t>
      </w:r>
      <w:r w:rsidRPr="004D0DAA">
        <w:rPr>
          <w:lang w:eastAsia="ko-KR"/>
        </w:rPr>
        <w:t xml:space="preserve"> message including the ack/nack description accordingly. When the Final Block Indicator is received and all downlink data blocks have been correctly received, the EC PACKET DOWNLINK ACK/NACK or </w:t>
      </w:r>
      <w:r w:rsidRPr="004D0DAA">
        <w:t>EC PACKET DOWNLINK ACK/NACK HIGHER CC</w:t>
      </w:r>
      <w:r w:rsidRPr="004D0DAA">
        <w:rPr>
          <w:lang w:eastAsia="ko-KR"/>
        </w:rPr>
        <w:t xml:space="preserve"> message shall be transmitted containing the Final Ack Indicator. If uplink data becomes available for transmission at any point in time during an ongoing downlink TBF, the mobile station can request uplink resources by including a channel request in the EC PACKET DOWNLINK ACK/NACK or </w:t>
      </w:r>
      <w:r w:rsidRPr="004D0DAA">
        <w:t>EC PACKET DOWNLINK ACK/NACK HIGHER CC</w:t>
      </w:r>
      <w:r w:rsidRPr="004D0DAA">
        <w:rPr>
          <w:lang w:eastAsia="ko-KR"/>
        </w:rPr>
        <w:t xml:space="preserve"> message.</w:t>
      </w:r>
    </w:p>
    <w:p w14:paraId="0F5D29B5" w14:textId="77777777" w:rsidR="00711444" w:rsidRPr="004D0DAA" w:rsidRDefault="00711444" w:rsidP="00711444">
      <w:r w:rsidRPr="004D0DAA">
        <w:t xml:space="preserve">After completing the transmission of an EC PACKET DOWNLINK ACK/NACK </w:t>
      </w:r>
      <w:r w:rsidRPr="004D0DAA">
        <w:rPr>
          <w:lang w:eastAsia="ko-KR"/>
        </w:rPr>
        <w:t xml:space="preserve">or </w:t>
      </w:r>
      <w:r w:rsidRPr="004D0DAA">
        <w:t xml:space="preserve">EC PACKET DOWNLINK ACK/NACK HIGHER CC message in TDMA frame N the mobile station shall resume monitoring its assigned downlink PDCH(s). The first downlink TDMA frame monitored shall be according to its assigned downlink coverage class and may start as early downlinkTDMA frame N+1 depending on the assigned uplink and downlink coverage classes. If the first downlink TDMA frame monitored occurs in downlink TDMA frame N+1 and the mobile station is unable to monitor all of its assigned downlink PDCHs therein due to multislot class limitations on switching from transmit to receive (see 3GPP TS 45.002 [13]) it shall still attempt recovery of a RLC data block (or an EC-PACCH block) using the bursts it is able to receive therein and in subsequent downlink TDMA frames.  </w:t>
      </w:r>
    </w:p>
    <w:p w14:paraId="0415BB9B" w14:textId="77777777" w:rsidR="00711444" w:rsidRPr="004D0DAA" w:rsidRDefault="00711444" w:rsidP="00711444">
      <w:r w:rsidRPr="004D0DAA">
        <w:t>In EC TBF mode the mobile station shall react on a poll inside an erroneously received RLC data block for which the header is correctly received and which addresses the mobile station.</w:t>
      </w:r>
    </w:p>
    <w:p w14:paraId="50CADB49" w14:textId="77777777" w:rsidR="00711444" w:rsidRPr="004D0DAA" w:rsidRDefault="00711444" w:rsidP="00711444">
      <w:pPr>
        <w:rPr>
          <w:iCs/>
        </w:rPr>
      </w:pPr>
      <w:r w:rsidRPr="004D0DAA">
        <w:lastRenderedPageBreak/>
        <w:t>Whenever the network receives a valid RLC/MAC control message from a TBF, it shall reset counter N3105 for that TBF. The network shall increment counter N3105 for each radio block allocated to that TBF with the RRBP field</w:t>
      </w:r>
      <w:r w:rsidRPr="004D0DAA">
        <w:rPr>
          <w:rFonts w:hint="eastAsia"/>
          <w:lang w:eastAsia="ko-KR"/>
        </w:rPr>
        <w:t xml:space="preserve"> </w:t>
      </w:r>
      <w:r w:rsidRPr="004D0DAA">
        <w:t>for which no RLC/MAC control message is received. If N3105 = N3105max, the network shall release the downlink TBF internally and start timer T3195 for that TBF. When T3195 expires, the network may reuse the TFI(s)</w:t>
      </w:r>
      <w:r w:rsidRPr="004D0DAA">
        <w:rPr>
          <w:iCs/>
        </w:rPr>
        <w:t>.</w:t>
      </w:r>
    </w:p>
    <w:p w14:paraId="114B5F48" w14:textId="77777777" w:rsidR="00711444" w:rsidRPr="004D0DAA" w:rsidRDefault="00711444" w:rsidP="00711444">
      <w:r w:rsidRPr="004D0DAA">
        <w:t xml:space="preserve">If a downlink EC TBF is established using a downlink assignment message indicating “MS Transmission Offset” and “MS Sync Accuracy” parameters are needed by the BSS (see sub-clause 11.2.52 and 3GPP TS 44.018 [11]) then EC </w:t>
      </w:r>
      <w:r w:rsidRPr="004D0DAA">
        <w:rPr>
          <w:lang w:eastAsia="ko-KR"/>
        </w:rPr>
        <w:t>PACKET DOWLINK ACK/NACK</w:t>
      </w:r>
      <w:r w:rsidRPr="004D0DAA">
        <w:t xml:space="preserve"> message shall include these parameters when all downlink RLC data blocks have been received by the mobile station. The BSS uses the “MS Transmission Offset” parameter carried therein to adjust the estimated timing advance applicable to the mobile station (</w:t>
      </w:r>
      <w:r w:rsidRPr="004D0DAA">
        <w:rPr>
          <w:noProof/>
        </w:rPr>
        <w:t xml:space="preserve">3GPP TS 45.010) and thereby establishes a </w:t>
      </w:r>
      <w:r w:rsidRPr="004D0DAA">
        <w:t>“MultilaterationTiming Advance” value correspsonding to that mobile station. The BSS then relays the “Multilateration Timing Advance”, the “Cell Identifier” of the serving cell, the “MS Sync Accuracy” and the “</w:t>
      </w:r>
      <w:r w:rsidRPr="004D0DAA">
        <w:rPr>
          <w:noProof/>
        </w:rPr>
        <w:t xml:space="preserve">BTS Reception Accuracy Value” </w:t>
      </w:r>
      <w:r w:rsidRPr="004D0DAA">
        <w:t>to the SMLC using the SCCP connection corresponding to the mobile station (see 3GPP TS 49.031).</w:t>
      </w:r>
    </w:p>
    <w:p w14:paraId="139305E1" w14:textId="77777777" w:rsidR="00711444" w:rsidRPr="004D0DAA" w:rsidRDefault="00711444" w:rsidP="00711444">
      <w:pPr>
        <w:pStyle w:val="Heading4"/>
      </w:pPr>
      <w:bookmarkStart w:id="283" w:name="_Toc516669470"/>
      <w:r w:rsidRPr="004D0DAA">
        <w:t>8.1.2.3</w:t>
      </w:r>
      <w:r w:rsidRPr="004D0DAA">
        <w:tab/>
        <w:t>(void)</w:t>
      </w:r>
      <w:bookmarkEnd w:id="283"/>
    </w:p>
    <w:p w14:paraId="0A554F79" w14:textId="77777777" w:rsidR="00711444" w:rsidRPr="004D0DAA" w:rsidRDefault="00711444" w:rsidP="00711444">
      <w:pPr>
        <w:pStyle w:val="Heading4"/>
      </w:pPr>
      <w:bookmarkStart w:id="284" w:name="_Toc516669471"/>
      <w:r w:rsidRPr="004D0DAA">
        <w:t>8.1.2.4</w:t>
      </w:r>
      <w:r w:rsidRPr="004D0DAA">
        <w:tab/>
        <w:t>Resource Reassignment for Downlink</w:t>
      </w:r>
      <w:bookmarkEnd w:id="284"/>
    </w:p>
    <w:p w14:paraId="05D69A6B" w14:textId="77777777" w:rsidR="00711444" w:rsidRPr="004D0DAA" w:rsidRDefault="00711444" w:rsidP="00711444">
      <w:r w:rsidRPr="004D0DAA">
        <w:t xml:space="preserve">The network initiates resource reassignment by sending a downlink assignment message (e.g. PACKET DOWNLINK ASSIGNMENT, MULTIPLE TBF DOWNLINK ASSIGNMENT, PACKET TIMESLOT RECONFIGURE, MULTIPLE TBF TIMESLOT RECONFIGURE or PACKET CS RELEASE INDICATION message) on the downlink PACCH. These messages indicate a change in resources in the same TBF. The Control Ack bit in the message shall be set to '0'. If multiple TBF procedures are supported by the mobile station and the network, the network shall indicate the PFI associated with each TBF it allocates or reallocates in the downlink assignment message. If EMTS is supported by the mobile station and the network, the network shall indicate the PFI associated with each RLC entity in the downlink assignment message (i.e. PACKET </w:t>
      </w:r>
      <w:r w:rsidRPr="004D0DAA">
        <w:tab/>
        <w:t>DOWNLINK ASSIGNMENT, PACKET TIMESLOT RECONFIGURE or PACKET CS RELEASE INDICATION). During the reassignment of any given TBF its associated TFI is allowed to be changed. Mobile shall use the TFI indicated in the PACKET DOWNLINK ASSIGNMENT/ MULTIPLE TBF DOWNLINK ASSIGNMENT when using the resource indicated in the message.</w:t>
      </w:r>
    </w:p>
    <w:p w14:paraId="14EEBCF6" w14:textId="77777777" w:rsidR="00711444" w:rsidRPr="004D0DAA" w:rsidRDefault="00711444" w:rsidP="00711444">
      <w:r w:rsidRPr="004D0DAA">
        <w:t>The network is not allowed to change the RLC mode nor TBF mode of an already established TBF during resource reallocation. Change of RLC mode or TBF mode shall be achieved through release of on-going TBF and establishment of a new TBF with the newly requested RLC mode or TBF mode using the procedures described in sub-clause 9.3.2.5 or sub-clause 9.3.3.5.</w:t>
      </w:r>
    </w:p>
    <w:p w14:paraId="25D3E4CA" w14:textId="77777777" w:rsidR="00711444" w:rsidRPr="004D0DAA" w:rsidRDefault="00711444" w:rsidP="00711444">
      <w:r w:rsidRPr="004D0DAA">
        <w:t>On receipt of a downlink assignment message (e.g. PACKET DOWNLINK ASSIGNMENT, MULTIPLE TBF DOWNLINK ASSIGNMENT, PACKET TIMESLOT RECONFIGURE, MULTIPLE TBF TIMESLOT RECONFIGURE or PACKET CS RELEASE INDICATION message) and after the TBF starting time, if present, the mobile station shall switch to the assigned PDCHs. Upon switching to the new PDCHs the mobile station shall restart timer T3190 for each newly assigned downlink TBF. A mobile station that supports multiple TBF procedures shall act on the uplink assignment message as defined in sub-clause 8.1.1.1.3.</w:t>
      </w:r>
    </w:p>
    <w:p w14:paraId="4CFCCE6E" w14:textId="77777777" w:rsidR="00711444" w:rsidRPr="004D0DAA" w:rsidRDefault="00711444" w:rsidP="00711444">
      <w:r w:rsidRPr="004D0DAA">
        <w:t xml:space="preserve">When the mobile station receives an RLC/MAC block addressed to (one of) its downlink TBF(s) on any of the new assigned resources it shall restart timer T3190 for that TBF. If any given timer T3190 expires, and if one or more uplink TBF is in progress, the mobile station shall perform an abnormal release with access retry (see sub-clause 8.7.2). If any given timer T3190 expires and there are no uplink TBFs in progress, the mobile station shall perform an abnormal release without retry (see sub-clause 8.7.1). </w:t>
      </w:r>
    </w:p>
    <w:p w14:paraId="198842E1" w14:textId="77777777" w:rsidR="00711444" w:rsidRPr="004D0DAA" w:rsidRDefault="00711444" w:rsidP="00711444">
      <w:pPr>
        <w:pStyle w:val="Heading5"/>
      </w:pPr>
      <w:bookmarkStart w:id="285" w:name="_Toc516669472"/>
      <w:r w:rsidRPr="004D0DAA">
        <w:t>8.1.2.4.1</w:t>
      </w:r>
      <w:r w:rsidRPr="004D0DAA">
        <w:tab/>
        <w:t>Abnormal cases</w:t>
      </w:r>
      <w:bookmarkEnd w:id="285"/>
    </w:p>
    <w:p w14:paraId="1B7A8151" w14:textId="77777777" w:rsidR="00711444" w:rsidRPr="004D0DAA" w:rsidRDefault="00711444" w:rsidP="00711444">
      <w:r w:rsidRPr="004D0DAA">
        <w:t>These abnormal cases apply during establishment of downlink TBF after downlink TBF release (see sub-clause 9.3.2.6).</w:t>
      </w:r>
    </w:p>
    <w:p w14:paraId="45BFB028" w14:textId="77777777" w:rsidR="00711444" w:rsidRPr="004D0DAA" w:rsidRDefault="00711444" w:rsidP="00711444">
      <w:r w:rsidRPr="004D0DAA">
        <w:t>If a failure occurs on the mobile station side before the new TBF has been successfully established, the newly reserved resources are released. The subsequent behaviour of the mobile station depends on the type of failure and previous actions:</w:t>
      </w:r>
    </w:p>
    <w:p w14:paraId="65D5BD0E" w14:textId="77777777" w:rsidR="00711444" w:rsidRPr="004D0DAA" w:rsidRDefault="00711444" w:rsidP="00711444">
      <w:pPr>
        <w:pStyle w:val="B1"/>
      </w:pPr>
      <w:r w:rsidRPr="004D0DAA">
        <w:t>-</w:t>
      </w:r>
      <w:r w:rsidRPr="004D0DAA">
        <w:tab/>
        <w:t xml:space="preserve">If a mobile station receives a downlink assignment message (e.g. PACKET DOWNLINK ASSIGNMENT, MULTIPLE TBF DOWNLINK ASSIGNMENT, PACKET TIMESLOT RECONFIGURE, MULTIPLE TBF TIMESLOT RECONFIGURE or PACKET CS RELEASE INDICATION message) and detects an invalid Frequency Parameters information element in the message, the mobile station shall perform an abnormal release </w:t>
      </w:r>
      <w:r w:rsidRPr="004D0DAA">
        <w:lastRenderedPageBreak/>
        <w:t>with system information (see sub-clause 8.7.3), performing a partial acquisition of system information messages containing frequency information;</w:t>
      </w:r>
    </w:p>
    <w:p w14:paraId="53C2A9B6" w14:textId="77777777" w:rsidR="00711444" w:rsidRPr="004D0DAA" w:rsidRDefault="00711444" w:rsidP="00711444">
      <w:pPr>
        <w:pStyle w:val="B1"/>
      </w:pPr>
      <w:r w:rsidRPr="004D0DAA">
        <w:t>-</w:t>
      </w:r>
      <w:r w:rsidRPr="004D0DAA">
        <w:tab/>
        <w:t>If a mobile station in dual transfer mode or MAC-DTM state receives a PACKET DOWNLINK ASSIGNMENT, a MULTIPLE TBF DOWNLINK ASSIGNMENT, a PACKET TIMESLOT RECONFIGURE or a MULTIPLE TBF TIMESLOT RECONFIGURE message including frequency parameters for the carrier supporting the dedicated resources, the mobile station shall perform an abnormal release with access retry if there is at least one ongoing uplink TBF (see sub-clause 8.7.2), otherwise it shall perform an abnormal release without retry (see sub-clause 8.7.1);</w:t>
      </w:r>
    </w:p>
    <w:p w14:paraId="6DF58CF9" w14:textId="77777777" w:rsidR="00711444" w:rsidRPr="004D0DAA" w:rsidRDefault="00711444" w:rsidP="00711444">
      <w:pPr>
        <w:pStyle w:val="B1"/>
      </w:pPr>
      <w:r w:rsidRPr="004D0DAA">
        <w:t>-</w:t>
      </w:r>
      <w:r w:rsidRPr="004D0DAA">
        <w:tab/>
        <w:t>If the information in the PACKET TIMESLOT RECONFIGURE, MULTIPLE TBF TIMESLOT RECONFIGURE or PACKET CS RELEASE INDICATION message does not properly specify an uplink and downlink PDCH or specifies a multislot configuration that the mobile station does not support (see 3GPP TS 45.002), the mobile station shall perform an abnormal release with access retry (see sub-clause 8.7.2);</w:t>
      </w:r>
    </w:p>
    <w:p w14:paraId="002E0ED8" w14:textId="77777777" w:rsidR="00711444" w:rsidRPr="004D0DAA" w:rsidRDefault="00711444" w:rsidP="00711444">
      <w:pPr>
        <w:pStyle w:val="B1"/>
      </w:pPr>
      <w:r w:rsidRPr="004D0DAA">
        <w:t>-</w:t>
      </w:r>
      <w:r w:rsidRPr="004D0DAA">
        <w:tab/>
        <w:t>If a failure in the PACKET TIMESLOT RECONFIGURE, MULTIPLE TBF TIMESLOT RECONFIGURE or PACKET CS RELEASE INDICATION message is due to any other reason, the mobile station shall abort the procedure and perform an abnormal release with access retry (see sub-clause 8.7.2);</w:t>
      </w:r>
    </w:p>
    <w:p w14:paraId="01FC149E" w14:textId="77777777" w:rsidR="00711444" w:rsidRPr="004D0DAA" w:rsidRDefault="00711444" w:rsidP="00711444">
      <w:pPr>
        <w:pStyle w:val="B1"/>
      </w:pPr>
      <w:r w:rsidRPr="004D0DAA">
        <w:t>-</w:t>
      </w:r>
      <w:r w:rsidRPr="004D0DAA">
        <w:tab/>
        <w:t>If the information available in the mobile station, after the reception of a PACKET DOWNLINK ASSIGNMENT or MULTIPLE TBF DOWNLINK ASSIGNMENT message does not satisfactorily define a PDCH, the mobile station shall ignore the PACKET DOWNLINK ASSIGNMENT / MULTIPLE TBF DOWNLINK ASSIGNMENT message and maintain its ongoing TBFs;</w:t>
      </w:r>
    </w:p>
    <w:p w14:paraId="3EAFA1F4" w14:textId="77777777" w:rsidR="00711444" w:rsidRPr="004D0DAA" w:rsidRDefault="00711444" w:rsidP="00711444">
      <w:pPr>
        <w:pStyle w:val="B1"/>
      </w:pPr>
      <w:r w:rsidRPr="004D0DAA">
        <w:t>-</w:t>
      </w:r>
      <w:r w:rsidRPr="004D0DAA">
        <w:tab/>
        <w:t>If the mobile station receives a PACKET DOWNLINK ASSIGNMENT or MULTIPLE TBF DOWNLINK ASSIGNMENT message specifying different frequency parameters than those currently in effect for its ongoing TBFs (see sub-clause 5.5.1.7), the mobile station shall ignore the PACKET DOWNLINK ASSIGNMENT message and continue normal operation of its ongoing TBFs;</w:t>
      </w:r>
    </w:p>
    <w:p w14:paraId="72E4EA76" w14:textId="77777777" w:rsidR="00711444" w:rsidRPr="004D0DAA" w:rsidRDefault="00711444" w:rsidP="00711444">
      <w:pPr>
        <w:pStyle w:val="B1"/>
      </w:pPr>
      <w:r w:rsidRPr="004D0DAA">
        <w:t>-</w:t>
      </w:r>
      <w:r w:rsidRPr="004D0DAA">
        <w:tab/>
        <w:t>If a failure in the PACKET DOWNLINK ASSIGNMENT or MULTIPLE TBF DOWNLINK ASSIGNMENT message is due to any other reason, the mobile station shall abort the establishment of the downlink TBFs indicated in the downlink assignment message. If one or more ongoing uplink or downlink TBFs exist, the mobile station shall</w:t>
      </w:r>
      <w:r w:rsidRPr="004D0DAA">
        <w:rPr>
          <w:b/>
        </w:rPr>
        <w:t xml:space="preserve"> </w:t>
      </w:r>
      <w:r w:rsidRPr="004D0DAA">
        <w:t>continue the normal operation of all ongoing uplink TBFs. If no ongoing uplink or downlink TBFs exist, the mobile station shall perform an abnormal release without retry (see sub-clause 8.7.1);</w:t>
      </w:r>
    </w:p>
    <w:p w14:paraId="5303B32B" w14:textId="77777777" w:rsidR="00711444" w:rsidRPr="004D0DAA" w:rsidRDefault="00711444" w:rsidP="00711444">
      <w:pPr>
        <w:pStyle w:val="B1"/>
      </w:pPr>
      <w:r w:rsidRPr="004D0DAA">
        <w:t>-</w:t>
      </w:r>
      <w:r w:rsidRPr="004D0DAA">
        <w:tab/>
        <w:t>If both the mobile station and the network support multiple TBF procedures and if any given downlink assignment message provides an uplink TBF allocation for a PFI not associated with any ongoing uplink TBF, the mobile station shall abort the procedure and perform an abnormal release with access retry (see sub-clause 8.7.2);</w:t>
      </w:r>
    </w:p>
    <w:p w14:paraId="4FFD4DAA" w14:textId="77777777" w:rsidR="00711444" w:rsidRPr="004D0DAA" w:rsidRDefault="00711444" w:rsidP="00711444">
      <w:pPr>
        <w:pStyle w:val="B1"/>
      </w:pPr>
      <w:r w:rsidRPr="004D0DAA">
        <w:t>-</w:t>
      </w:r>
      <w:r w:rsidRPr="004D0DAA">
        <w:tab/>
        <w:t>If both the mobile station and the network support EMST or EMSR and if any given downlink assignment message provides an uplink resource allocation for a PFI not associated with any RLC entity allocated on the ongoing uplink TBF, the mobile station shall abort the procedure and perform an abnormal release with access retry (see sub-clause 8.7.2);</w:t>
      </w:r>
    </w:p>
    <w:p w14:paraId="439952D1" w14:textId="77777777" w:rsidR="00711444" w:rsidRPr="004D0DAA" w:rsidRDefault="00711444" w:rsidP="00711444">
      <w:pPr>
        <w:pStyle w:val="B1"/>
      </w:pPr>
      <w:r w:rsidRPr="004D0DAA">
        <w:t>-</w:t>
      </w:r>
      <w:r w:rsidRPr="004D0DAA">
        <w:tab/>
        <w:t>If both the mobile station and the network support EMST and if any given uplink assignment message includes an assignment for more RLC entities than the mobile station supports or more than one RLC entity is assigned to use same RLC mode to a TBF, the mobile station shall abort the procedure and perform abnormal release with access retry (see sub-clause 8.7.2).</w:t>
      </w:r>
    </w:p>
    <w:p w14:paraId="6C0AF084" w14:textId="77777777" w:rsidR="00711444" w:rsidRPr="004D0DAA" w:rsidRDefault="00711444" w:rsidP="00711444">
      <w:pPr>
        <w:pStyle w:val="Heading4"/>
      </w:pPr>
      <w:bookmarkStart w:id="286" w:name="_Toc516669473"/>
      <w:r w:rsidRPr="004D0DAA">
        <w:t>8.1.2.5</w:t>
      </w:r>
      <w:r w:rsidRPr="004D0DAA">
        <w:tab/>
        <w:t>Establishment of uplink TBF</w:t>
      </w:r>
      <w:bookmarkEnd w:id="286"/>
    </w:p>
    <w:p w14:paraId="7AB9FAED" w14:textId="77777777" w:rsidR="00711444" w:rsidRPr="004D0DAA" w:rsidRDefault="00711444" w:rsidP="00711444">
      <w:r w:rsidRPr="004D0DAA">
        <w:t xml:space="preserve">The mobile station may request establishment of one or more uplink TBFs when there are one or more ongoing downlink TBFs by including a Channel Request Description or the Extended Channel Request Description information element in the (EGPRS) PACKET DOWNLINK ACK/NACK message or EGPRS PACKET DOWNLINK ACK/NACK TYPE 2 message, or by including a Channel Request Description information element in an EGPRS PACKET DOWNLINK ACK/NACK DLMC message. Initiation is triggered by a request from upper layers to transfer an upper layer PDU. The request from upper layers specifies a Radio Priority to be associated with the packet transfer. </w:t>
      </w:r>
    </w:p>
    <w:p w14:paraId="4BDC436B" w14:textId="77777777" w:rsidR="00711444" w:rsidRPr="004D0DAA" w:rsidRDefault="00711444" w:rsidP="00711444">
      <w:r w:rsidRPr="004D0DAA">
        <w:t>When multiple TBF procedures are not supported, the mobile station initiates the packet access procedure by sending the Channel Request Description information element in the (EGPRS) PACKET DOWNLINK ACK/NACK message or EGPRS PACKET DOWNLINK ACK/NACK TYPE 2 message or EGPRS PACKET DOWNLINK ACK/NACK DLMC message on the PACCH and starting timer T3168.</w:t>
      </w:r>
    </w:p>
    <w:p w14:paraId="5C133A4F" w14:textId="77777777" w:rsidR="00711444" w:rsidRPr="004D0DAA" w:rsidRDefault="00711444" w:rsidP="00711444">
      <w:r w:rsidRPr="004D0DAA">
        <w:lastRenderedPageBreak/>
        <w:t xml:space="preserve">When the mobile station has an ongoing downlink EC TBF, it may initiate an uplink EC TBF by including the EC Channel Request Description information element in the EC PACKET DOWNLINK ACK/NACK </w:t>
      </w:r>
      <w:r w:rsidRPr="004D0DAA">
        <w:rPr>
          <w:lang w:eastAsia="ko-KR"/>
        </w:rPr>
        <w:t xml:space="preserve">or </w:t>
      </w:r>
      <w:r w:rsidRPr="004D0DAA">
        <w:t>EC PACKET DOWNLINK ACK/NACK HIGHER CC message on the EC-PACCH and start timer T3168. The network may then establish an uplink EC TBF by sending an EC PACKET UPLINK ASSIGNMENT message to the mobile station, in which case the downlink EC TBF is released.</w:t>
      </w:r>
    </w:p>
    <w:p w14:paraId="68B0CBC1" w14:textId="77777777" w:rsidR="00711444" w:rsidRPr="004D0DAA" w:rsidRDefault="00711444" w:rsidP="00711444">
      <w:r w:rsidRPr="004D0DAA">
        <w:t>When the mobile station and the network support multiple TBF procedures the mobile station may request one or more uplink TBFs by including the Extended Channel Request Description information element in the (EGPRS) PACKET DOWNLINK ACK/NACK message or EGPRS PACKET DOWNLINK ACK/NACK TYPE 2 message and starting one instance of timer T3168 for each uplink TBF it requests. Each requested uplink TBF is associated with a different PFI. A mobile station shall continue to use its ongoing downlink TBFs unless re-allocated or released as a result of the uplink assignment message(s) sent in response by the network.</w:t>
      </w:r>
    </w:p>
    <w:p w14:paraId="618589E5" w14:textId="77777777" w:rsidR="00711444" w:rsidRPr="004D0DAA" w:rsidRDefault="00711444" w:rsidP="00711444">
      <w:r w:rsidRPr="004D0DAA">
        <w:t>If both the network and the mobile station support the extended uplink TBF mode, the request from upper layers may indicate that the new upper-layer PDU is meant to pre-allocate an uplink TBF (early TBF establishment). In this case, the EARLY_TBF_ESTABLISHMENT field in the (EGPRS) PACKET DOWNLINK ACK/NACK message or EGPRS PACKET DOWNLINK ACK/NACK TYPE 2 message shall indicate pre-allocation is required.</w:t>
      </w:r>
    </w:p>
    <w:p w14:paraId="5B080DC7" w14:textId="77777777" w:rsidR="00711444" w:rsidRPr="004D0DAA" w:rsidRDefault="00711444" w:rsidP="00711444">
      <w:r w:rsidRPr="004D0DAA">
        <w:t xml:space="preserve">On receipt of an (Extended) Channel Request Description or EC Channel Request Description information element in the (EGPRS) PACKET DOWNLINK ACK/NACK, EC PACKET DOWNLINK ACK/NACK </w:t>
      </w:r>
      <w:r w:rsidRPr="004D0DAA">
        <w:rPr>
          <w:lang w:eastAsia="ko-KR"/>
        </w:rPr>
        <w:t xml:space="preserve">or </w:t>
      </w:r>
      <w:r w:rsidRPr="004D0DAA">
        <w:t>EC PACKET DOWNLINK ACK/NACK HIGHER CC message or EGPRS PACKET DOWNLINK ACK/NACK TYPE 2 message or a Channel Request Description information element in the EGPRS PACKET DOWNLINK ACK/NACK DLMC message, the network may assign radio resources to the mobile station on one or more PDCHs by transmitting an uplink assignment message (e.g. PACKET UPLINK ASSIGNMENT, EC PACKET UPLINK ASSIGNMENT, MULTIPLE TBF UPLINK ASSIGNMENT, PACKET TIMESLOT RECONFIGURE or MULTIPLE TBF TIMESLOT RECONFIGURE message) on the (EC-)PACCH, or may reject one or more of the requests by sending a PACKET ACCESS REJECT or an EC PACKET ACCESS REJECT message on the (EC-)PACCH. If the PACKET TIMESLOT RECONFIGURE message is sent, then the message shall contain the UPLINK_TFI_ASSIGNMENT field. If the mobile station supports RLC non-persistent mode the network may allocate one or more EGPRS TBFs that use this RLC mode.</w:t>
      </w:r>
    </w:p>
    <w:p w14:paraId="5F05613C" w14:textId="77777777" w:rsidR="00711444" w:rsidRPr="004D0DAA" w:rsidRDefault="00711444" w:rsidP="00711444">
      <w:r w:rsidRPr="004D0DAA">
        <w:t>In EC operation, the downlink EC TBF is released at establishment of the uplink EC TBF.</w:t>
      </w:r>
    </w:p>
    <w:p w14:paraId="6C7021BF" w14:textId="77777777" w:rsidR="00711444" w:rsidRPr="004D0DAA" w:rsidRDefault="00711444" w:rsidP="00711444">
      <w:pPr>
        <w:keepNext/>
        <w:keepLines/>
      </w:pPr>
      <w:r w:rsidRPr="004D0DAA">
        <w:t>If multiple TBF procedures are supported by the mobile station and the network, the network shall indicate the PFI associated with each TBF it allocates or reallocates in the uplink assignment message.</w:t>
      </w:r>
    </w:p>
    <w:p w14:paraId="24CB8C42" w14:textId="77777777" w:rsidR="00711444" w:rsidRPr="004D0DAA" w:rsidRDefault="00711444" w:rsidP="00711444">
      <w:r w:rsidRPr="004D0DAA">
        <w:t>A mobile allocation or reference frequency list, when received in the Frequency Parameters IE, as part of an uplink assignment, replaces the previous parameters and shall be used until a new assignment is received or the mobile station has released all TBFs.</w:t>
      </w:r>
    </w:p>
    <w:p w14:paraId="2FD07ACC" w14:textId="77777777" w:rsidR="00711444" w:rsidRPr="004D0DAA" w:rsidRDefault="00711444" w:rsidP="00711444">
      <w:r w:rsidRPr="004D0DAA">
        <w:t>If the network and mobile station both support Downlink Dual Carrier, the network may send an uplink assignment message (e.g. PACKET UPLINK ASSIGNMENT, MULTIPLE TBF UPLINK ASSIGNMENT, PACKET TIMESLOT RECONFIGURE or MULTIPLE TBF TIMESLOT RECONFIGURE message) to a mobile station specifying one or more TBFs with packet resources on two carriers (referred to as carrier 1 and carrier 2) and thereby establish a Downlink Dual Carrier configuration. Subsequent assignment messages may be sent to a mobile station in a Downlink Dual Carrier configuration as described in sub-clause 8.1.1.1.3.</w:t>
      </w:r>
    </w:p>
    <w:p w14:paraId="6C03AE23" w14:textId="77777777" w:rsidR="00711444" w:rsidRPr="004D0DAA" w:rsidRDefault="00711444" w:rsidP="00711444">
      <w:r w:rsidRPr="004D0DAA">
        <w:t>If the network and mobile station both support Downlink Multi Carrier, the network may send a PACKET TIMESLOT RECONFIGURE message to a mobile station assigning an uplink TBF and thereby establish a DLMC configuration. Subsequent assignment messages may be sent to a mobile station in a DLMC configuration as described in sub-clause 8.1.1.1.3.</w:t>
      </w:r>
    </w:p>
    <w:p w14:paraId="643C603C" w14:textId="77777777" w:rsidR="00711444" w:rsidRPr="004D0DAA" w:rsidRDefault="00711444" w:rsidP="00711444">
      <w:r w:rsidRPr="004D0DAA">
        <w:t>On receipt of an uplink assignment message (e.g. PACKET UPLINK ASSIGNMENT, EC PACKET UPLINK ASSIGNMENT, MULTIPLE TBF UPLINK ASSIGNMENT, PACKET TIMESLOT RECONFIGURE or MULTIPLE TBF TIMESLOT RECONFIGURE message) the mobile station shall proceed as follows:</w:t>
      </w:r>
    </w:p>
    <w:p w14:paraId="7B44D0CF" w14:textId="77777777" w:rsidR="00711444" w:rsidRPr="004D0DAA" w:rsidRDefault="00711444" w:rsidP="00711444">
      <w:pPr>
        <w:pStyle w:val="B1"/>
      </w:pPr>
      <w:r w:rsidRPr="004D0DAA">
        <w:t>-</w:t>
      </w:r>
      <w:r w:rsidRPr="004D0DAA">
        <w:tab/>
        <w:t>On reception of an uplink assignment message the mobile station shall stop</w:t>
      </w:r>
      <w:r w:rsidRPr="004D0DAA">
        <w:rPr>
          <w:rFonts w:cs="Arial"/>
        </w:rPr>
        <w:t xml:space="preserve"> the instance of</w:t>
      </w:r>
      <w:r w:rsidRPr="004D0DAA">
        <w:t xml:space="preserve"> timer T3168</w:t>
      </w:r>
      <w:r w:rsidRPr="004D0DAA">
        <w:rPr>
          <w:rFonts w:cs="Arial"/>
        </w:rPr>
        <w:t xml:space="preserve"> associated with the TBF receiving a resource allocation</w:t>
      </w:r>
      <w:r w:rsidRPr="004D0DAA">
        <w:t>;</w:t>
      </w:r>
    </w:p>
    <w:p w14:paraId="1A0B8E70" w14:textId="77777777" w:rsidR="00711444" w:rsidRPr="004D0DAA" w:rsidRDefault="00711444" w:rsidP="00711444">
      <w:pPr>
        <w:pStyle w:val="B1"/>
      </w:pPr>
      <w:r w:rsidRPr="004D0DAA">
        <w:t>-</w:t>
      </w:r>
      <w:r w:rsidRPr="004D0DAA">
        <w:tab/>
        <w:t>The mobile station shall, after expiry of the TBF starting time, if present, act upon the uplink assignment</w:t>
      </w:r>
      <w:r w:rsidRPr="004D0DAA">
        <w:rPr>
          <w:rFonts w:cs="Arial"/>
        </w:rPr>
        <w:t xml:space="preserve"> received for that TBF</w:t>
      </w:r>
      <w:r w:rsidRPr="004D0DAA">
        <w:t>;</w:t>
      </w:r>
    </w:p>
    <w:p w14:paraId="48640E44" w14:textId="77777777" w:rsidR="00711444" w:rsidRPr="004D0DAA" w:rsidRDefault="00711444" w:rsidP="00711444">
      <w:pPr>
        <w:pStyle w:val="B1"/>
      </w:pPr>
      <w:r w:rsidRPr="004D0DAA">
        <w:t>-</w:t>
      </w:r>
      <w:r w:rsidRPr="004D0DAA">
        <w:tab/>
        <w:t xml:space="preserve">The mobile station shall then switch to the assigned uplink PDCHs and begin to send RLC data blocks on the assigned PDCH(s). Neither the TLLI (in </w:t>
      </w:r>
      <w:r w:rsidRPr="004D0DAA">
        <w:rPr>
          <w:i/>
        </w:rPr>
        <w:t>A/Gb mode</w:t>
      </w:r>
      <w:r w:rsidRPr="004D0DAA">
        <w:t xml:space="preserve">) nor the G-RNTI (in </w:t>
      </w:r>
      <w:r w:rsidRPr="004D0DAA">
        <w:rPr>
          <w:i/>
        </w:rPr>
        <w:t>Iu mode</w:t>
      </w:r>
      <w:r w:rsidRPr="004D0DAA">
        <w:t>) shall be included in any of the uplink RLC data blocks in that case;</w:t>
      </w:r>
    </w:p>
    <w:p w14:paraId="41842DA8" w14:textId="77777777" w:rsidR="00711444" w:rsidRPr="004D0DAA" w:rsidRDefault="00711444" w:rsidP="00711444">
      <w:pPr>
        <w:pStyle w:val="B1"/>
      </w:pPr>
      <w:r w:rsidRPr="004D0DAA">
        <w:lastRenderedPageBreak/>
        <w:t>-</w:t>
      </w:r>
      <w:r w:rsidRPr="004D0DAA">
        <w:tab/>
        <w:t>A mobile station in EC operation, i.e. with a downlink TBF, shall release the downlink TBF at the establishment of the uplink TBF and stop timer T3192, if running.</w:t>
      </w:r>
    </w:p>
    <w:p w14:paraId="06D84F8A" w14:textId="77777777" w:rsidR="00711444" w:rsidRPr="004D0DAA" w:rsidRDefault="00711444" w:rsidP="00711444">
      <w:r w:rsidRPr="004D0DAA">
        <w:t>A mobile station that supports multiple TBF procedures shall act on the uplink assignment message as follows:</w:t>
      </w:r>
    </w:p>
    <w:p w14:paraId="33701BE1" w14:textId="77777777" w:rsidR="00711444" w:rsidRPr="004D0DAA" w:rsidRDefault="00711444" w:rsidP="00711444">
      <w:pPr>
        <w:pStyle w:val="B1"/>
      </w:pPr>
      <w:r w:rsidRPr="004D0DAA">
        <w:t xml:space="preserve">- </w:t>
      </w:r>
      <w:r w:rsidRPr="004D0DAA">
        <w:tab/>
        <w:t>Upon reception of a PACKET UPLINK ASSIGNMENT message the mobile station shall release all ongoing uplink TBFs not addressed by this message and shall act on the message. If multiple uplink TBFs were requested then the mobile station shall consider those not addressed by this message as rejected and shall stop the corresponding T3168 timer instances. All ongoing downlink TBFs shall be maintained;</w:t>
      </w:r>
    </w:p>
    <w:p w14:paraId="6EEA49CC" w14:textId="77777777" w:rsidR="00711444" w:rsidRPr="004D0DAA" w:rsidRDefault="00711444" w:rsidP="00711444">
      <w:pPr>
        <w:pStyle w:val="B1"/>
      </w:pPr>
      <w:r w:rsidRPr="004D0DAA">
        <w:t xml:space="preserve">- </w:t>
      </w:r>
      <w:r w:rsidRPr="004D0DAA">
        <w:tab/>
        <w:t>Upon reception of a PACKET TIMESLOT RECONFIGURE message the mobile station shall release all ongoing uplink and downlink TBFs not addressed by this message and shall act on the message. If multiple uplink TBFs were requested then the mobile station shall consider those not addressed by this message as rejected and shall stop the corresponding T3168 timer instances;</w:t>
      </w:r>
    </w:p>
    <w:p w14:paraId="2D1E06C1" w14:textId="77777777" w:rsidR="00711444" w:rsidRPr="004D0DAA" w:rsidRDefault="00711444" w:rsidP="00711444">
      <w:pPr>
        <w:pStyle w:val="B1"/>
      </w:pPr>
      <w:r w:rsidRPr="004D0DAA">
        <w:t xml:space="preserve">- </w:t>
      </w:r>
      <w:r w:rsidRPr="004D0DAA">
        <w:tab/>
        <w:t>Upon reception of a MULTIPLE TBF UPLINK ASSIGNMENT message the mobile station shall maintain all ongoing TBFs not addressed by this message using its currently allocated TBF parameters and shall act on the message. If a requested uplink TBF is not addressed by this message and the associated timer T3168 is still running the mobile station shall wait for another instance of this message;</w:t>
      </w:r>
    </w:p>
    <w:p w14:paraId="73F5E676" w14:textId="77777777" w:rsidR="00711444" w:rsidRPr="004D0DAA" w:rsidRDefault="00711444" w:rsidP="00711444">
      <w:pPr>
        <w:pStyle w:val="B1"/>
      </w:pPr>
      <w:r w:rsidRPr="004D0DAA">
        <w:t xml:space="preserve">- </w:t>
      </w:r>
      <w:r w:rsidRPr="004D0DAA">
        <w:tab/>
        <w:t>Upon reception of a MULTIPLE TBF TIMESLOT RECONFIGURE message the mobile station shall release all ongoing uplink and downlink TBFs not addressed by this message and shall act on the message. If multiple uplink TBFs were requested then the mobile station shall consider those not addressed by this message as rejected and shall stop the corresponding T3168 timer instances.</w:t>
      </w:r>
    </w:p>
    <w:p w14:paraId="3B974097" w14:textId="77777777" w:rsidR="00711444" w:rsidRPr="004D0DAA" w:rsidRDefault="00711444" w:rsidP="00711444">
      <w:r w:rsidRPr="004D0DAA">
        <w:t>When an uplink TBF is established in response to a (EGPRS) PACKET DOWNLINK ACK/NACK message or EGPRS PACKET DOWNLINK ACK/NACK TYPE 2 message with the EARLY_TBF_ESTABLISHMENT field set to indicate pre-allocation is required, a network supporting early TBF establishment should keep the uplink TBF open by means of the extended uplink TBF mode operation (see sub-clause 9.3.1b</w:t>
      </w:r>
      <w:r w:rsidRPr="004D0DAA">
        <w:rPr>
          <w:rFonts w:hint="eastAsia"/>
          <w:lang w:eastAsia="ko-KR"/>
        </w:rPr>
        <w:t>.</w:t>
      </w:r>
      <w:r w:rsidRPr="004D0DAA">
        <w:t>2).</w:t>
      </w:r>
    </w:p>
    <w:p w14:paraId="3495C749" w14:textId="77777777" w:rsidR="00711444" w:rsidRPr="004D0DAA" w:rsidRDefault="00711444" w:rsidP="00711444">
      <w:r w:rsidRPr="004D0DAA">
        <w:t>On receipt of a PACKET ACCESS REJECT or EC PACKET ACCESS REJECT message that contains a Reject structure addressed to the mobile station, the mobile station shall stop the instance of timer T3168 associated with each uplink TBF being rejected and indicate a packet access failure to the corresponding upper layers.</w:t>
      </w:r>
    </w:p>
    <w:p w14:paraId="710AFA9B" w14:textId="77777777" w:rsidR="00711444" w:rsidRPr="004D0DAA" w:rsidRDefault="00711444" w:rsidP="00711444">
      <w:r w:rsidRPr="004D0DAA">
        <w:t>If the PACKET ACCESS REJECT or EC PACKET ACCESS REJECT message contains a WAIT_INDICATION field in a Reject structure addressed to the mobile station, it shall proceed as follows:</w:t>
      </w:r>
    </w:p>
    <w:p w14:paraId="4D3D0A43" w14:textId="77777777" w:rsidR="00711444" w:rsidRPr="004D0DAA" w:rsidRDefault="00711444" w:rsidP="00711444">
      <w:pPr>
        <w:pStyle w:val="B1"/>
      </w:pPr>
      <w:r w:rsidRPr="004D0DAA">
        <w:t>-</w:t>
      </w:r>
      <w:r w:rsidRPr="004D0DAA">
        <w:tab/>
        <w:t>If multiple TBF procedures are not supported the mobile station shall start timer T3172 with the indicated value (Wait Indication). The mobile station is not allowed to make a new attempt for uplink TBF establishment in the same cell until timer T3172 expires, but it may attempt uplink TBF establishment in another cell after successful cell reselection;</w:t>
      </w:r>
    </w:p>
    <w:p w14:paraId="39BF9338" w14:textId="77777777" w:rsidR="00711444" w:rsidRPr="004D0DAA" w:rsidRDefault="00711444" w:rsidP="00711444">
      <w:pPr>
        <w:pStyle w:val="B1"/>
      </w:pPr>
      <w:r w:rsidRPr="004D0DAA">
        <w:t>-</w:t>
      </w:r>
      <w:r w:rsidRPr="004D0DAA">
        <w:tab/>
        <w:t>If both the mobile station and the network support multiple TBF procedures the mobile station shall start one instance of timer T3172 for each uplink TBF that was rejected. All ongoing TBFs shall be maintained. The mobile station is not allowed to attempt re-establishment of a rejected uplink TBF in the same cell until its associated instance of timer T3172 expires. It may, however, attempt re-establishment of a rejected uplink TBF in another cell after successful cell reselection. The mobile station may attempt to enter the dedicated mode in the same cell before all instances of timer T3172 have expired. During the time one or more instances of T3172 are running, the mobile station shall ignore all received PACKET PAGING REQUEST messages except paging request to trigger RR connection establishment and paging request including MBMS notification.</w:t>
      </w:r>
    </w:p>
    <w:p w14:paraId="057F8DE2" w14:textId="77777777" w:rsidR="00711444" w:rsidRPr="004D0DAA" w:rsidRDefault="00711444" w:rsidP="00711444">
      <w:r w:rsidRPr="004D0DAA">
        <w:t xml:space="preserve">If all instances of timer T3168 have expired, the mobile station shall retransmit the (Extended) Channel Request Description information element in the next (EGPRS) PACKET DOWNLINK ACK/NACK message or EGPRS PACKET DOWNLINK ACK/NACK TYPE 2 message or the Channel Request Description information element in the next EGPRS PACKET DOWNLINK ACK/NACK DLMC message unless the (Extended) Channel Request Description has already been transmitted four times in which case the mobile station shall perform an abnormal release with access retry (see sub-clause 8.7.2). </w:t>
      </w:r>
    </w:p>
    <w:p w14:paraId="0972D5F8" w14:textId="77777777" w:rsidR="00711444" w:rsidRPr="004D0DAA" w:rsidRDefault="00711444" w:rsidP="00711444">
      <w:r w:rsidRPr="004D0DAA">
        <w:t xml:space="preserve">In EC operation, when the instance of timer T3168 expires, a mobile station may again include the EC Channel Request Description IE in an EC PACKET DOWNLINK ACK/NACK </w:t>
      </w:r>
      <w:r w:rsidRPr="004D0DAA">
        <w:rPr>
          <w:lang w:eastAsia="ko-KR"/>
        </w:rPr>
        <w:t xml:space="preserve">or </w:t>
      </w:r>
      <w:r w:rsidRPr="004D0DAA">
        <w:t xml:space="preserve">EC PACKET DOWNLINK ACK/NACK HIGHER CC message. The EC Channel Request Description IE may however be included in an EC PACKET DOWNLINK ACK/NACK </w:t>
      </w:r>
      <w:r w:rsidRPr="004D0DAA">
        <w:rPr>
          <w:lang w:eastAsia="ko-KR"/>
        </w:rPr>
        <w:t xml:space="preserve">or </w:t>
      </w:r>
      <w:r w:rsidRPr="004D0DAA">
        <w:t xml:space="preserve">EC PACKET DOWNLINK ACK/NACK HIGHER CC message with the Final Ack Indicator bit set to '1' even if timer T3168 is still running. A mobile station that included the EC Channel Request Description IE in an EC PACKET DOWNLINK ACK/NACK </w:t>
      </w:r>
      <w:r w:rsidRPr="004D0DAA">
        <w:rPr>
          <w:lang w:eastAsia="ko-KR"/>
        </w:rPr>
        <w:t xml:space="preserve">or </w:t>
      </w:r>
      <w:r w:rsidRPr="004D0DAA">
        <w:t xml:space="preserve">EC PACKET DOWNLINK ACK/NACK HIGHER CC message with the Final </w:t>
      </w:r>
      <w:r w:rsidRPr="004D0DAA">
        <w:lastRenderedPageBreak/>
        <w:t>Ack Indicator bit set to '1', shall release the TBF resources when timer T3168 expires, unless timer T3192 is still running. The packet access procedure may then be reinitiated on the (EC-)CCCH.</w:t>
      </w:r>
    </w:p>
    <w:p w14:paraId="15874DC8" w14:textId="77777777" w:rsidR="00711444" w:rsidRPr="004D0DAA" w:rsidRDefault="00711444" w:rsidP="00711444">
      <w:r w:rsidRPr="004D0DAA">
        <w:t>If all the ongoing downlink TBFs are released, including expiry of timer T3192, before expiry of all instances of timer T3168 and no uplink TBFs are either ongoing or have received an uplink assignment with a TBF starting time, the mobile station shall stop all remaining instances of timer T3168 and perform an abnormal release with access retry (see sub-clause 8.7.2).</w:t>
      </w:r>
    </w:p>
    <w:p w14:paraId="02BFBE76" w14:textId="77777777" w:rsidR="00711444" w:rsidRPr="004D0DAA" w:rsidRDefault="00711444" w:rsidP="00711444">
      <w:pPr>
        <w:pStyle w:val="Heading5"/>
      </w:pPr>
      <w:bookmarkStart w:id="287" w:name="_Toc516669474"/>
      <w:r w:rsidRPr="004D0DAA">
        <w:t>8.1.2.5.1</w:t>
      </w:r>
      <w:r w:rsidRPr="004D0DAA">
        <w:tab/>
        <w:t>Abnormal cases</w:t>
      </w:r>
      <w:bookmarkEnd w:id="287"/>
    </w:p>
    <w:p w14:paraId="10FA6F51" w14:textId="77777777" w:rsidR="00711444" w:rsidRPr="004D0DAA" w:rsidRDefault="00711444" w:rsidP="00711444">
      <w:r w:rsidRPr="004D0DAA">
        <w:t>If a failure occurs on the mobile station side before a new TBF has been successfully established, the newly reserved resources are released. The subsequent behaviour of the mobile station depends on the type of failure and previous actions:</w:t>
      </w:r>
    </w:p>
    <w:p w14:paraId="728D1D9D" w14:textId="77777777" w:rsidR="00711444" w:rsidRPr="004D0DAA" w:rsidRDefault="00711444" w:rsidP="00711444">
      <w:pPr>
        <w:pStyle w:val="B1"/>
      </w:pPr>
      <w:r w:rsidRPr="004D0DAA">
        <w:t>-</w:t>
      </w:r>
      <w:r w:rsidRPr="004D0DAA">
        <w:tab/>
        <w:t>If the information in the PACKET UPLINK ASSIGNMENT, EC PACKET UPLINK ASSIGNMENT or MULTIPLE TBF UPLINK ASSIGNMENT message specifies a multislot configuration that the mobile station does not support (see 3GPP TS 45.002), the mobile station shall perform an abnormal release with access retry (see sub-clause 8.7.2);</w:t>
      </w:r>
    </w:p>
    <w:p w14:paraId="2AB600CE" w14:textId="77777777" w:rsidR="00711444" w:rsidRPr="004D0DAA" w:rsidRDefault="00711444" w:rsidP="00711444">
      <w:pPr>
        <w:pStyle w:val="B1"/>
      </w:pPr>
      <w:r w:rsidRPr="004D0DAA">
        <w:t>-</w:t>
      </w:r>
      <w:r w:rsidRPr="004D0DAA">
        <w:tab/>
        <w:t>If the mobile station does not support Downlink Dual Carrier but receives a PACKET UPLINK ASSIGNMENT or a MULTIPLE TBF UPLINK ASSIGNMENT message specifying different frequency parameters than those currently in effect for the downlink TBF(s) (see sub-clause 5.5.1.7), the mobile station shall ignore the PACKET UPLINK ASSIGNMENT/ MULTIPLE TBF UPLINK ASSIGNMENT message, continue normal operation of the ongoing downlink TBF(s), and reinitiate the establishment of the uplink TBF(s) unless the establishment of the uplink TBF(s) has already been attempted four times, in which case, the mobile station shall perform the abnormal release with access retry (see sub-clause 8.7.2);</w:t>
      </w:r>
    </w:p>
    <w:p w14:paraId="2349A08D" w14:textId="77777777" w:rsidR="00711444" w:rsidRPr="004D0DAA" w:rsidRDefault="00711444" w:rsidP="00711444">
      <w:pPr>
        <w:pStyle w:val="B1"/>
      </w:pPr>
      <w:r w:rsidRPr="004D0DAA">
        <w:t>-</w:t>
      </w:r>
      <w:r w:rsidRPr="004D0DAA">
        <w:tab/>
        <w:t>If a mobile station in dual transfer mode or MAC-DTM state receives a PACKET UPLINK ASSIGNMENT or a MULTIPLE TBF UPLINK ASSIGNMENT message including frequency parameters for the carrier supporting the dedicated resources, the mobile station shall perform an abnormal release with access retry (see sub-clause 8.7.2);</w:t>
      </w:r>
    </w:p>
    <w:p w14:paraId="5AA10029" w14:textId="77777777" w:rsidR="00711444" w:rsidRPr="004D0DAA" w:rsidRDefault="00711444" w:rsidP="00711444">
      <w:pPr>
        <w:pStyle w:val="B1"/>
      </w:pPr>
      <w:r w:rsidRPr="004D0DAA">
        <w:t>-</w:t>
      </w:r>
      <w:r w:rsidRPr="004D0DAA">
        <w:tab/>
        <w:t>If a failure in the PACKET UPLINK ASSIGNMENT, EC PACKET UPLINK ASSIGNMENT or in the MULTIPLE TBF UPLINK ASSIGNMENT message is due to any other reason, the mobile station shall perform an abnormal release with access retry (see sub-clause 8.7.2);</w:t>
      </w:r>
    </w:p>
    <w:p w14:paraId="6D9014E9" w14:textId="77777777" w:rsidR="00711444" w:rsidRPr="004D0DAA" w:rsidRDefault="00711444" w:rsidP="00711444">
      <w:pPr>
        <w:pStyle w:val="B1"/>
      </w:pPr>
      <w:r w:rsidRPr="004D0DAA">
        <w:t>-</w:t>
      </w:r>
      <w:r w:rsidRPr="004D0DAA">
        <w:tab/>
        <w:t>If the information in the PACKET TIMESLOT RECONFIGURE or in the MULTIPLE TBF TIMESLOT RECONFIGURE message does not properly specify a set of uplink and downlink PDCH(s) or specifies a multislot configuration that the mobile station does not support (see 3GPP TS 45.002), the mobile station shall perform an abnormal release with access retry (see sub-clause 8.7.2);</w:t>
      </w:r>
    </w:p>
    <w:p w14:paraId="4B7F1DB0" w14:textId="77777777" w:rsidR="00711444" w:rsidRPr="004D0DAA" w:rsidRDefault="00711444" w:rsidP="00711444">
      <w:pPr>
        <w:pStyle w:val="B1"/>
      </w:pPr>
      <w:r w:rsidRPr="004D0DAA">
        <w:t>-</w:t>
      </w:r>
      <w:r w:rsidRPr="004D0DAA">
        <w:tab/>
        <w:t>If the PACKET TIMESLOT RECONFIGURE or the MULTIPLE TBF TIMESLOT RECONFIGURE message does not include a correct UPLINK_TFI_ASSIGNMENT field, then the mobile station shall perform an abnormal release with access retry (see sub-clause 8.7.2);</w:t>
      </w:r>
    </w:p>
    <w:p w14:paraId="66A2CA44" w14:textId="77777777" w:rsidR="00711444" w:rsidRPr="004D0DAA" w:rsidRDefault="00711444" w:rsidP="00711444">
      <w:pPr>
        <w:pStyle w:val="B1"/>
      </w:pPr>
      <w:r w:rsidRPr="004D0DAA">
        <w:t>-</w:t>
      </w:r>
      <w:r w:rsidRPr="004D0DAA">
        <w:tab/>
        <w:t>If a mobile station in dual transfer mode receives a PACKET TIMESLOT RECONFIGURE or a MULTIPLE TBF TIMESLOT RECONFIGURE message including frequency parameters for the carrier supporting the dedicated resources, the mobile station shall perform an abnormal release with access retry (see sub-clause 8.7.2);</w:t>
      </w:r>
    </w:p>
    <w:p w14:paraId="0E369109" w14:textId="77777777" w:rsidR="00711444" w:rsidRPr="004D0DAA" w:rsidRDefault="00711444" w:rsidP="00711444">
      <w:pPr>
        <w:pStyle w:val="B1"/>
      </w:pPr>
      <w:r w:rsidRPr="004D0DAA">
        <w:t>-</w:t>
      </w:r>
      <w:r w:rsidRPr="004D0DAA">
        <w:tab/>
        <w:t>If a failure in the PACKET TIMESLOT RECONFIGURE or in the MULTIPLE TBF TIMESLOT RECONFIGURE message is due to any other reason, the mobile station shall perform an abnormal release with access retry (see sub-clause 8.7.2);</w:t>
      </w:r>
    </w:p>
    <w:p w14:paraId="5E66C32F" w14:textId="77777777" w:rsidR="00711444" w:rsidRPr="004D0DAA" w:rsidRDefault="00711444" w:rsidP="00711444">
      <w:pPr>
        <w:pStyle w:val="B1"/>
      </w:pPr>
      <w:r w:rsidRPr="004D0DAA">
        <w:t>-</w:t>
      </w:r>
      <w:r w:rsidRPr="004D0DAA">
        <w:tab/>
        <w:t>If both the mobile station and the network support multiple TBF procedures and if any given uplink assignment message provides an uplink TBF allocation for a PFI not indicated in the request for uplink TBF sent by the mobile station , the mobile station shall abort the procedure and perform an abnormal release with access retry (see sub-clause 8.7.2);</w:t>
      </w:r>
    </w:p>
    <w:p w14:paraId="275AD5C4" w14:textId="77777777" w:rsidR="00711444" w:rsidRPr="004D0DAA" w:rsidRDefault="00711444" w:rsidP="00711444">
      <w:pPr>
        <w:pStyle w:val="B1"/>
      </w:pPr>
      <w:r w:rsidRPr="004D0DAA">
        <w:t>-</w:t>
      </w:r>
      <w:r w:rsidRPr="004D0DAA">
        <w:tab/>
        <w:t>If both the mobile station and the network support EMST and if any given uplink assignment message provides an uplink resource allocation for a PFI not indicated in the request for uplink resource sent by the mobile station, the mobile station shall abort the procedure and perform an abnormal release with access retry (see sub-clause 8.7.2);</w:t>
      </w:r>
    </w:p>
    <w:p w14:paraId="62C7850F" w14:textId="77777777" w:rsidR="00711444" w:rsidRPr="004D0DAA" w:rsidRDefault="00711444" w:rsidP="00711444">
      <w:pPr>
        <w:pStyle w:val="B1"/>
      </w:pPr>
      <w:r w:rsidRPr="004D0DAA">
        <w:lastRenderedPageBreak/>
        <w:t>-</w:t>
      </w:r>
      <w:r w:rsidRPr="004D0DAA">
        <w:tab/>
        <w:t>If both the mobile station and the network support EMST and if any given uplink assignment message includes an assignment for more RLC entities than the mobile station supports or more than one RLC entity is assigned to use same RLC mode to a TBF, the mobile station shall abort the procedure and perform abnormal release with access retry (see sub-clause 8.7.2);</w:t>
      </w:r>
    </w:p>
    <w:p w14:paraId="1B488DE2" w14:textId="77777777" w:rsidR="00711444" w:rsidRPr="004D0DAA" w:rsidRDefault="00711444" w:rsidP="00711444">
      <w:pPr>
        <w:pStyle w:val="B1"/>
      </w:pPr>
      <w:r w:rsidRPr="004D0DAA">
        <w:t>-</w:t>
      </w:r>
      <w:r w:rsidRPr="004D0DAA">
        <w:tab/>
        <w:t>If a mobile station that does not support Downlink Dual Carrier receives a PACKET UPLINK ASSIGNMENT message, PACKET TIMESLOT RECONFIGURE message, MULTIPLE TBF UPLINK ASSIGNMENT message or a MULTIPLE TBF TIMESLOT RECONFIGURE message that assigns resources on two carriers, the mobile station shall perform an abnormal release with access retry (see sub-clause 8.7.2);</w:t>
      </w:r>
    </w:p>
    <w:p w14:paraId="4977CD20" w14:textId="77777777" w:rsidR="00711444" w:rsidRPr="004D0DAA" w:rsidRDefault="00711444" w:rsidP="00711444">
      <w:pPr>
        <w:pStyle w:val="B1"/>
      </w:pPr>
      <w:r w:rsidRPr="004D0DAA">
        <w:t>-</w:t>
      </w:r>
      <w:r w:rsidRPr="004D0DAA">
        <w:tab/>
        <w:t>If a mobile which supports Downlink Dual Carrier receives a PACKET DOWNLINK ASSIGNMENT message, PACKET TIMESLOT RECONFIGURE message, MULTIPLE TBF DOWNLINK ASSIGNMENT message or a MULTIPLE TBF TIMESLOT RECONFIGURE message that assigns resources on two carriers and those two carriers are not within the same frequency band, the mobile station shall perform an abnormal release with access retry (see sub-clause 8.7.2);</w:t>
      </w:r>
    </w:p>
    <w:p w14:paraId="14051D0B" w14:textId="77777777" w:rsidR="00711444" w:rsidRPr="004D0DAA" w:rsidRDefault="00711444" w:rsidP="00711444">
      <w:pPr>
        <w:pStyle w:val="B1"/>
      </w:pPr>
      <w:r w:rsidRPr="004D0DAA">
        <w:t>-</w:t>
      </w:r>
      <w:r w:rsidRPr="004D0DAA">
        <w:tab/>
        <w:t>If the failure is due to any other reason, the mobile station shall abort the procedure and perform an abnormal release with access retry (see sub-clause 8.7.2).</w:t>
      </w:r>
    </w:p>
    <w:p w14:paraId="2337EF5D" w14:textId="77777777" w:rsidR="00711444" w:rsidRPr="004D0DAA" w:rsidRDefault="00711444" w:rsidP="00711444">
      <w:pPr>
        <w:pStyle w:val="Heading4"/>
      </w:pPr>
      <w:bookmarkStart w:id="288" w:name="_Toc516669475"/>
      <w:r w:rsidRPr="004D0DAA">
        <w:t>8.1.2.6</w:t>
      </w:r>
      <w:r w:rsidRPr="004D0DAA">
        <w:tab/>
        <w:t>(void)</w:t>
      </w:r>
      <w:bookmarkEnd w:id="288"/>
    </w:p>
    <w:p w14:paraId="33E67763" w14:textId="77777777" w:rsidR="00711444" w:rsidRPr="004D0DAA" w:rsidRDefault="00711444" w:rsidP="00711444">
      <w:pPr>
        <w:pStyle w:val="Heading4"/>
      </w:pPr>
      <w:bookmarkStart w:id="289" w:name="_Toc516669476"/>
      <w:r w:rsidRPr="004D0DAA">
        <w:t>8.1.2.7</w:t>
      </w:r>
      <w:r w:rsidRPr="004D0DAA">
        <w:tab/>
        <w:t>(void)</w:t>
      </w:r>
      <w:bookmarkEnd w:id="289"/>
    </w:p>
    <w:p w14:paraId="2B7ED813" w14:textId="77777777" w:rsidR="00711444" w:rsidRPr="004D0DAA" w:rsidRDefault="00711444" w:rsidP="00711444">
      <w:pPr>
        <w:pStyle w:val="Heading4"/>
      </w:pPr>
      <w:bookmarkStart w:id="290" w:name="_Toc516669477"/>
      <w:r w:rsidRPr="004D0DAA">
        <w:t>8.1.2.8</w:t>
      </w:r>
      <w:r w:rsidRPr="004D0DAA">
        <w:tab/>
        <w:t>Network initiated abnormal release of downlink TBF</w:t>
      </w:r>
      <w:bookmarkEnd w:id="290"/>
    </w:p>
    <w:p w14:paraId="3C3412D7" w14:textId="77777777" w:rsidR="00711444" w:rsidRPr="004D0DAA" w:rsidRDefault="00711444" w:rsidP="00711444">
      <w:r w:rsidRPr="004D0DAA">
        <w:t>The network may initiate immediate abnormal release of a downlink TBF by transmitting a PACKET TBF RELEASE message or an EC PACKET TBF RELEASE message to the mobile station on the (EC-)PACCH.</w:t>
      </w:r>
    </w:p>
    <w:p w14:paraId="34C395F4" w14:textId="77777777" w:rsidR="00711444" w:rsidRPr="004D0DAA" w:rsidRDefault="00711444" w:rsidP="00711444">
      <w:r w:rsidRPr="004D0DAA">
        <w:t>The mobile station shall immediately stop monitoring its assigned downlink PDCHs. If a valid RRBP field is received as part of the PACKET TBF RELEASE or the EC PACKET TBF RELEASE message, the mobile station shall transmit a PACKET CONTROL ACKNOWLEDGMENT or an EC PACKET CONTROL ACKNOWLEDGMENT message in the uplink resources specified.</w:t>
      </w:r>
    </w:p>
    <w:p w14:paraId="4E5C6EEE" w14:textId="77777777" w:rsidR="00711444" w:rsidRPr="004D0DAA" w:rsidRDefault="00711444" w:rsidP="00711444">
      <w:r w:rsidRPr="004D0DAA">
        <w:t xml:space="preserve">In </w:t>
      </w:r>
      <w:r w:rsidRPr="004D0DAA">
        <w:rPr>
          <w:i/>
        </w:rPr>
        <w:t>A/Gb mode</w:t>
      </w:r>
      <w:r w:rsidRPr="004D0DAA">
        <w:t>, if there are no other on-going TBFs, the mobile station in packet transfer mode shall enter packet idle mode; the mobile station in dual transfer mode shall enter dedicated mode. If there is one or more on-going TBFs, the mobile station shall remain in its current mode i.e. packet transfer mode or dual transfer mode. The DRX mode procedures shall be applied, as specified in sub-clause 5.5.1.5.</w:t>
      </w:r>
    </w:p>
    <w:p w14:paraId="4B1890A1" w14:textId="77777777" w:rsidR="00711444" w:rsidRPr="004D0DAA" w:rsidRDefault="00711444" w:rsidP="00711444">
      <w:r w:rsidRPr="004D0DAA">
        <w:t xml:space="preserve">In </w:t>
      </w:r>
      <w:r w:rsidRPr="004D0DAA">
        <w:rPr>
          <w:i/>
        </w:rPr>
        <w:t>Iu mode</w:t>
      </w:r>
      <w:r w:rsidRPr="004D0DAA">
        <w:t>, if no on-going TBFs on SBPSCH exist, the mobile station in MAC-Shared state shall enter the MAC-Idle State; the mobile station in MAC-DTM state shall enter the MAC-Dedicated state. If any on-going TBFs on SBPSCH exist, the mobile station shall remain in its current state, i.e. either MAC-Shared state or MAC-DTM state. The DRX mode procedures shall be applied.</w:t>
      </w:r>
    </w:p>
    <w:p w14:paraId="0871471C" w14:textId="77777777" w:rsidR="00711444" w:rsidRPr="004D0DAA" w:rsidRDefault="00711444" w:rsidP="00711444">
      <w:pPr>
        <w:pStyle w:val="Heading3"/>
      </w:pPr>
      <w:bookmarkStart w:id="291" w:name="_Toc516669478"/>
      <w:r w:rsidRPr="004D0DAA">
        <w:t>8.1.3</w:t>
      </w:r>
      <w:r w:rsidRPr="004D0DAA">
        <w:tab/>
        <w:t>(void)</w:t>
      </w:r>
      <w:bookmarkEnd w:id="291"/>
    </w:p>
    <w:p w14:paraId="7CC1AFBF" w14:textId="77777777" w:rsidR="00711444" w:rsidRPr="004D0DAA" w:rsidRDefault="00711444" w:rsidP="00711444">
      <w:pPr>
        <w:pStyle w:val="Heading3"/>
      </w:pPr>
      <w:bookmarkStart w:id="292" w:name="_Toc516669479"/>
      <w:r w:rsidRPr="004D0DAA">
        <w:t>8.1.4</w:t>
      </w:r>
      <w:r w:rsidRPr="004D0DAA">
        <w:tab/>
        <w:t>RLC data block transfer during an MBMS radio bearer</w:t>
      </w:r>
      <w:bookmarkEnd w:id="292"/>
    </w:p>
    <w:p w14:paraId="2D802388" w14:textId="77777777" w:rsidR="00711444" w:rsidRPr="004D0DAA" w:rsidRDefault="00711444" w:rsidP="00711444">
      <w:pPr>
        <w:pStyle w:val="Heading4"/>
      </w:pPr>
      <w:bookmarkStart w:id="293" w:name="_Toc516669480"/>
      <w:r w:rsidRPr="004D0DAA">
        <w:t>8.1.4.0</w:t>
      </w:r>
      <w:r w:rsidRPr="004D0DAA">
        <w:tab/>
        <w:t>General</w:t>
      </w:r>
      <w:bookmarkEnd w:id="293"/>
    </w:p>
    <w:p w14:paraId="27DFD6AC" w14:textId="77777777" w:rsidR="00711444" w:rsidRPr="004D0DAA" w:rsidRDefault="00711444" w:rsidP="00711444">
      <w:r w:rsidRPr="004D0DAA">
        <w:t xml:space="preserve">For each MBMS radio bearer, the network shall prioritise RLC/MAC control blocks not containing a PACKET DOWNLINK DUMMY CONTROL BLOCK message to be transmitted ahead of RLC data blocks for that MBMS radio bearer. If the network has no other RLC/MAC block to transmit, but wishes to transmit on the downlink, the network may either follow the procedure specified in sub-clause 9.3.1a, to keep the MBMS radio bearer alive or transmit an RLC/MAC control block containing a PACKET DOWNLINK DUMMY CONTROL BLOCK message. </w:t>
      </w:r>
    </w:p>
    <w:p w14:paraId="513B5C26" w14:textId="77777777" w:rsidR="00711444" w:rsidRPr="004D0DAA" w:rsidRDefault="00711444" w:rsidP="00711444">
      <w:pPr>
        <w:pStyle w:val="Heading4"/>
      </w:pPr>
      <w:bookmarkStart w:id="294" w:name="_Toc516669481"/>
      <w:r w:rsidRPr="004D0DAA">
        <w:t>8.1.4.1</w:t>
      </w:r>
      <w:r w:rsidRPr="004D0DAA">
        <w:tab/>
        <w:t>RLC data block transfer during an MBMS radio bearer</w:t>
      </w:r>
      <w:bookmarkEnd w:id="294"/>
    </w:p>
    <w:p w14:paraId="6D4B0B92" w14:textId="77777777" w:rsidR="00711444" w:rsidRPr="004D0DAA" w:rsidRDefault="00711444" w:rsidP="00711444">
      <w:r w:rsidRPr="004D0DAA">
        <w:t xml:space="preserve">Procedures on receipt of a downlink assignment message (e.g. MBMS ASSIGNMENT message) are specified in sub-clause 7.7.2.2. After switching to the assigned PDCHs, the mobile station shall start a T3190 timer instance for the corresponding MBMS radio bearer and shall attempt to decode every downlink block on the assigned PDCHs. </w:t>
      </w:r>
    </w:p>
    <w:p w14:paraId="7307E436" w14:textId="77777777" w:rsidR="00711444" w:rsidRPr="004D0DAA" w:rsidRDefault="00711444" w:rsidP="00711444">
      <w:r w:rsidRPr="004D0DAA">
        <w:lastRenderedPageBreak/>
        <w:t>Additionally, upon reception of an MBMS ASSIGNMENT or MBMS MS_ID ASSIGNMENT message assigning a specific MS_ID value to a mobile station, this mobile station shall start a T3290 timer instance for the corresponding MBMS radio bearer, as specified in sub-clause 7.7.2.4.</w:t>
      </w:r>
    </w:p>
    <w:p w14:paraId="10CAD558" w14:textId="77777777" w:rsidR="00711444" w:rsidRPr="004D0DAA" w:rsidRDefault="00711444" w:rsidP="00711444">
      <w:r w:rsidRPr="004D0DAA">
        <w:t xml:space="preserve">The mobile station shall restart the related T3190 timer instance whenever receiving a valid RLC/MAC block including the assigned MBMS Bearer Identity. </w:t>
      </w:r>
      <w:r w:rsidRPr="004D0DAA">
        <w:rPr>
          <w:rFonts w:eastAsia="SimSun"/>
          <w:lang w:eastAsia="zh-CN" w:bidi="he-IL"/>
        </w:rPr>
        <w:t xml:space="preserve">In EGPRS TBF mode </w:t>
      </w:r>
      <w:r w:rsidRPr="004D0DAA">
        <w:t>T3190 is also restarted</w:t>
      </w:r>
      <w:r w:rsidRPr="004D0DAA">
        <w:rPr>
          <w:rFonts w:eastAsia="SimSun"/>
          <w:lang w:eastAsia="zh-CN" w:bidi="he-IL"/>
        </w:rPr>
        <w:t xml:space="preserve"> when receiving an </w:t>
      </w:r>
      <w:r w:rsidRPr="004D0DAA">
        <w:t>erroneous RLC data block for which the header is correctly received and which addresses the mobile station. A mobile station with an assigned MS_ID value shall restart the related T3290 timer instance whenever receiving a valid RLC/MAC block including the corresponding MBMS Bearer Identity and the MS_ID in the TFI field.</w:t>
      </w:r>
    </w:p>
    <w:p w14:paraId="50674FD5" w14:textId="77777777" w:rsidR="00711444" w:rsidRPr="004D0DAA" w:rsidRDefault="00711444" w:rsidP="00711444">
      <w:pPr>
        <w:rPr>
          <w:lang w:eastAsia="ko-KR"/>
        </w:rPr>
      </w:pPr>
      <w:r w:rsidRPr="004D0DAA">
        <w:t xml:space="preserve">On expiry of a T3290 timer instance, the mobile station shall consider the MS_ID as released, i.e. it shall no longer answer when polled according to sub-clause 8.1.4.2 below. On expiry of a T3190 timer instance, the mobile station shall consider the related MBMS radio bearer as released </w:t>
      </w:r>
      <w:r w:rsidRPr="004D0DAA">
        <w:rPr>
          <w:lang w:eastAsia="ko-KR"/>
        </w:rPr>
        <w:t xml:space="preserve">and proceed as specified in sub-clause 7.7.1. </w:t>
      </w:r>
    </w:p>
    <w:p w14:paraId="266E876E" w14:textId="77777777" w:rsidR="00711444" w:rsidRPr="004D0DAA" w:rsidRDefault="00711444" w:rsidP="00711444">
      <w:pPr>
        <w:pStyle w:val="Heading4"/>
        <w:ind w:left="0" w:firstLine="0"/>
      </w:pPr>
      <w:bookmarkStart w:id="295" w:name="_Toc516669482"/>
      <w:r w:rsidRPr="004D0DAA">
        <w:t>8.1.4.2</w:t>
      </w:r>
      <w:r w:rsidRPr="004D0DAA">
        <w:tab/>
        <w:t>Polling for MBMS Downlink Ack/Nack</w:t>
      </w:r>
      <w:bookmarkEnd w:id="295"/>
    </w:p>
    <w:p w14:paraId="794E53C2" w14:textId="77777777" w:rsidR="00711444" w:rsidRPr="004D0DAA" w:rsidRDefault="00711444" w:rsidP="00711444">
      <w:r w:rsidRPr="004D0DAA">
        <w:t>If an uplink feedback channel is established, the network may poll any mobile station with an assigned MS_ID value by setting the (E)S/P bit and a valid RRBP field in the RLC/MAC header of an RLC/MAC block for data transfer containing both the MBMS Bearer Identity and the corresponding MS_ID value in the TFI field. Whenever a given mobile station is polled, the mobile station shall transmit an MBMS DOWNLINK ACK/NACK message in the uplink radio block specified by the RRBP field, whatever the BSN value of the received RLC data block. In GPRS TBF mode (respectively EGPRS TBF mode), the mobile station shall include the Ack/Nack Description IE (respectively the EGPRS Ack/Nack Description IE) in the message.</w:t>
      </w:r>
    </w:p>
    <w:p w14:paraId="4CF040A6" w14:textId="77777777" w:rsidR="00711444" w:rsidRPr="004D0DAA" w:rsidRDefault="00711444" w:rsidP="00711444">
      <w:r w:rsidRPr="004D0DAA">
        <w:rPr>
          <w:lang w:eastAsia="ko-KR"/>
        </w:rPr>
        <w:t xml:space="preserve">The mobile station shall include in the MBMS DOWNLINK ACK/NACK message neighbouring cells measurement results as described in sub-clause 5.6.4. In EGPRS TBF mode, the number of measurement reports included is specified in sub-clause 9.1.8.2.1. In GPRS TBF mode where cell reselection criteria are not fulfilled three measurement reports shall be included. </w:t>
      </w:r>
    </w:p>
    <w:p w14:paraId="37ECEDDB" w14:textId="77777777" w:rsidR="00711444" w:rsidRPr="004D0DAA" w:rsidRDefault="00711444" w:rsidP="00711444">
      <w:r w:rsidRPr="004D0DAA">
        <w:t>In EGPRS TBF mode, the mobile station shall react to a poll within an RLC/MAC block for data transfer if the RLC/MAC header is correctly received and addresses the mobile station (i.e. contains both the MBMS Bearer Identity and the corresponding MS_ID value in the TFI field) regardless whether the RLC data block(s) is(are) correctly received or not.</w:t>
      </w:r>
    </w:p>
    <w:p w14:paraId="176DC453" w14:textId="77777777" w:rsidR="00711444" w:rsidRPr="004D0DAA" w:rsidRDefault="00711444" w:rsidP="00711444">
      <w:r w:rsidRPr="004D0DAA">
        <w:t>The mobile station shall notify, whenever possible, the network of the release of the MS_ID (see note), for that MBMS radio bearer, on the mobile station side, by setting the MS_ID Release Indication bit to ‘1’ in the MBMS DOWNLINK ACK/NACK message. Any procedure triggering the release of the MS_ID on the mobile station side shall not be delayed by such release indication (otherwise such release indication shall not be sent).</w:t>
      </w:r>
    </w:p>
    <w:p w14:paraId="69116EDB" w14:textId="77777777" w:rsidR="00711444" w:rsidRPr="004D0DAA" w:rsidRDefault="00711444" w:rsidP="00711444">
      <w:pPr>
        <w:pStyle w:val="NO"/>
      </w:pPr>
      <w:r w:rsidRPr="004D0DAA">
        <w:t>NOTE:</w:t>
      </w:r>
      <w:r w:rsidRPr="004D0DAA">
        <w:tab/>
        <w:t>The mobile station may need to release the related MBMS session for whatever reason (e.g. due to cell re-selection, start of the reception of a higher priority MBMS session whose MBMS radio bearer description does not allow the mobile station to receive it in parallel with the current MBMS session, start of a CS connection).</w:t>
      </w:r>
    </w:p>
    <w:p w14:paraId="5CD6A511" w14:textId="77777777" w:rsidR="00711444" w:rsidRPr="004D0DAA" w:rsidRDefault="00711444" w:rsidP="00711444">
      <w:pPr>
        <w:rPr>
          <w:iCs/>
        </w:rPr>
      </w:pPr>
      <w:r w:rsidRPr="004D0DAA">
        <w:t>Whenever the network receives a valid RLC/MAC control message containing an assigned MS_ID value, it shall reset the counter N3105 for that MS_ID. The network shall increment the counter N3105 for a given MS_ID for each radio block, allocated via the polling procedure to the mobile station identified by that MS_ID value, for which no RLC/MAC control message is received. If N3105 = N3105_MBMS_MAX, the network shall release the MS_ID (i.e. shall internally remove the association between the MS_ID value and the mobile station identified during the MBMS address assignment procedure) and start timer T3195 for that MS_ID. When T3195 elapses, the network may reuse the corresponding MS_ID value</w:t>
      </w:r>
      <w:r w:rsidRPr="004D0DAA">
        <w:rPr>
          <w:iCs/>
        </w:rPr>
        <w:t>.</w:t>
      </w:r>
    </w:p>
    <w:p w14:paraId="31877164" w14:textId="77777777" w:rsidR="00711444" w:rsidRPr="004D0DAA" w:rsidRDefault="00711444" w:rsidP="00711444">
      <w:pPr>
        <w:pStyle w:val="Heading4"/>
      </w:pPr>
      <w:bookmarkStart w:id="296" w:name="_Toc516669483"/>
      <w:r w:rsidRPr="004D0DAA">
        <w:t>8.1.4.3</w:t>
      </w:r>
      <w:r w:rsidRPr="004D0DAA">
        <w:tab/>
        <w:t>Reconfiguration of an MBMS radio bearer</w:t>
      </w:r>
      <w:bookmarkEnd w:id="296"/>
    </w:p>
    <w:p w14:paraId="3415D89A" w14:textId="77777777" w:rsidR="00711444" w:rsidRPr="004D0DAA" w:rsidRDefault="00711444" w:rsidP="00711444">
      <w:pPr>
        <w:pStyle w:val="Heading5"/>
      </w:pPr>
      <w:bookmarkStart w:id="297" w:name="_Toc516669484"/>
      <w:r w:rsidRPr="004D0DAA">
        <w:t>8.1.4.3.1</w:t>
      </w:r>
      <w:r w:rsidRPr="004D0DAA">
        <w:tab/>
        <w:t>Individual reassignment of an MS_ID</w:t>
      </w:r>
      <w:bookmarkEnd w:id="297"/>
    </w:p>
    <w:p w14:paraId="45236C87" w14:textId="77777777" w:rsidR="00711444" w:rsidRPr="004D0DAA" w:rsidRDefault="00711444" w:rsidP="00711444">
      <w:pPr>
        <w:rPr>
          <w:lang w:eastAsia="ko-KR"/>
        </w:rPr>
      </w:pPr>
      <w:r w:rsidRPr="004D0DAA">
        <w:t xml:space="preserve">The network may modify or delete the MS_ID previously assigned to a given mobile station by sending </w:t>
      </w:r>
      <w:r w:rsidRPr="004D0DAA">
        <w:rPr>
          <w:lang w:eastAsia="ko-KR"/>
        </w:rPr>
        <w:t>an MBMS MS_ID ASSIGNMENT message</w:t>
      </w:r>
      <w:r w:rsidRPr="004D0DAA">
        <w:t xml:space="preserve"> on the PACCH/D, </w:t>
      </w:r>
      <w:r w:rsidRPr="004D0DAA">
        <w:rPr>
          <w:lang w:eastAsia="ko-KR"/>
        </w:rPr>
        <w:t>containing the current and, in case of a reassignment, the new MS_ID value.</w:t>
      </w:r>
    </w:p>
    <w:p w14:paraId="7B07560C" w14:textId="77777777" w:rsidR="00711444" w:rsidRPr="004D0DAA" w:rsidRDefault="00711444" w:rsidP="00711444">
      <w:pPr>
        <w:rPr>
          <w:lang w:eastAsia="ko-KR"/>
        </w:rPr>
      </w:pPr>
      <w:r w:rsidRPr="004D0DAA">
        <w:rPr>
          <w:lang w:eastAsia="ko-KR"/>
        </w:rPr>
        <w:t xml:space="preserve">The mobile station shall be addressed with the Global TFI, containing the DOWNLINK_TFI field, which includes the MBMS Bearer Identity of the MBMS radio bearer and the current MS_ID of the mobile station the message relates to. </w:t>
      </w:r>
      <w:r w:rsidRPr="004D0DAA">
        <w:rPr>
          <w:lang w:eastAsia="ko-KR"/>
        </w:rPr>
        <w:lastRenderedPageBreak/>
        <w:t xml:space="preserve">The size of the new MS_ID, if present, shall be equal to the one of the current MS_ID. If the new MS_ID is present, the network may include the </w:t>
      </w:r>
      <w:r w:rsidRPr="004D0DAA">
        <w:rPr>
          <w:i/>
          <w:iCs/>
          <w:lang w:eastAsia="ko-KR"/>
        </w:rPr>
        <w:t>Packet Timing Advance</w:t>
      </w:r>
      <w:r w:rsidRPr="004D0DAA">
        <w:rPr>
          <w:lang w:eastAsia="ko-KR"/>
        </w:rPr>
        <w:t xml:space="preserve"> IE.</w:t>
      </w:r>
    </w:p>
    <w:p w14:paraId="637D16D9" w14:textId="77777777" w:rsidR="00711444" w:rsidRPr="004D0DAA" w:rsidRDefault="00711444" w:rsidP="00711444">
      <w:pPr>
        <w:rPr>
          <w:lang w:eastAsia="ko-KR"/>
        </w:rPr>
      </w:pPr>
      <w:r w:rsidRPr="004D0DAA">
        <w:rPr>
          <w:lang w:eastAsia="ko-KR"/>
        </w:rPr>
        <w:t xml:space="preserve">When modifying or deleting the current MS_ID, the MBMS MS_ID ASSIGNMENT message shall include a current MS_ID expiry time. </w:t>
      </w:r>
    </w:p>
    <w:p w14:paraId="50E272D9" w14:textId="77777777" w:rsidR="00711444" w:rsidRPr="004D0DAA" w:rsidRDefault="00711444" w:rsidP="00711444">
      <w:pPr>
        <w:rPr>
          <w:lang w:eastAsia="ko-KR"/>
        </w:rPr>
      </w:pPr>
      <w:r w:rsidRPr="004D0DAA">
        <w:rPr>
          <w:lang w:eastAsia="ko-KR"/>
        </w:rPr>
        <w:t xml:space="preserve">In response to an MBMS DOWNLINK ACK/NACK message with </w:t>
      </w:r>
      <w:r w:rsidRPr="004D0DAA">
        <w:t xml:space="preserve">the MS_ID Release Indication bit set to ‘1’ (see sub-clause 8.1.4.2), the network may send an </w:t>
      </w:r>
      <w:r w:rsidRPr="004D0DAA">
        <w:rPr>
          <w:lang w:eastAsia="ko-KR"/>
        </w:rPr>
        <w:t xml:space="preserve">MBMS MS_ID ASSIGNMENT message to the mobile station, </w:t>
      </w:r>
      <w:r w:rsidRPr="004D0DAA">
        <w:t xml:space="preserve">deleting the MS_ID previously assigned to that mobile station on that MBMS radio bearer and setting the </w:t>
      </w:r>
      <w:r w:rsidRPr="004D0DAA">
        <w:rPr>
          <w:lang w:eastAsia="ko-KR"/>
        </w:rPr>
        <w:t xml:space="preserve">current MS_ID expiry time to the point in time when the message is transmitted to the mobile station, without further polling the mobile station on that MBMS radio bearer. The network shall then start timer T3199 for the current MS_ID. </w:t>
      </w:r>
    </w:p>
    <w:p w14:paraId="1A5CDDE1" w14:textId="77777777" w:rsidR="00711444" w:rsidRPr="004D0DAA" w:rsidRDefault="00711444" w:rsidP="00711444">
      <w:r w:rsidRPr="004D0DAA">
        <w:rPr>
          <w:lang w:eastAsia="ko-KR"/>
        </w:rPr>
        <w:t>Upon reception of an MBMS MS_ID ASSIGNMENT message, modifying or deleting the current MS_ID, the addressed mobile station shall consider the current MS_ID as released at the point in time denoted by the current MS_ID expiry time. If a new MS_ID is included in the message, the mobile station shall consider the new MS_ID as valid and restart timer T3290 at the point in time denoted by the current MS_ID expiry time and react when polled with the new MS_ID, according to sub-clause 8.1.4.2.</w:t>
      </w:r>
    </w:p>
    <w:p w14:paraId="77B8BB8E" w14:textId="77777777" w:rsidR="00711444" w:rsidRPr="004D0DAA" w:rsidRDefault="00711444" w:rsidP="00711444">
      <w:r w:rsidRPr="004D0DAA">
        <w:t>If a valid RRBP field is received as part of the MBMS MS_ID ASSIGNMENT message, the mobile station shall respond with a PACKET CONTROL ACKNOWLEDGEMENT message in the specified uplink radio block.</w:t>
      </w:r>
    </w:p>
    <w:p w14:paraId="050026FB" w14:textId="77777777" w:rsidR="00711444" w:rsidRPr="004D0DAA" w:rsidRDefault="00711444" w:rsidP="00711444">
      <w:r w:rsidRPr="004D0DAA">
        <w:t xml:space="preserve">If the network does not receive the PACKET CONTROL ACKNOWLEDGEMENT message in the specified radio block, it shall increment counter N3109 for the current MS_ID and may retransmit the MBMS MS_ID ASSIGNMENT message addressing the mobile station with the current MS_ID. If counter N3109 = N3109_MAX or at the point in time </w:t>
      </w:r>
      <w:r w:rsidRPr="004D0DAA">
        <w:rPr>
          <w:lang w:eastAsia="ko-KR"/>
        </w:rPr>
        <w:t>denoted by the current MS_ID expiry time without receiving a PACKET CONTROL ACKNOWLEDGEMENT message</w:t>
      </w:r>
      <w:r w:rsidRPr="004D0DAA">
        <w:t xml:space="preserve">, whatever occurs first, the network shall start timer T3199 for the current MS_ID. While timer T3199 is running for the current MS_ID, the network shall not include the current MS_ID in any RLC/MAC block belonging to that MBMS radio bearer. When timer T3199 expires for the current MS_ID, the network may reuse the current MS_ID resource. At the point in time </w:t>
      </w:r>
      <w:r w:rsidRPr="004D0DAA">
        <w:rPr>
          <w:lang w:eastAsia="ko-KR"/>
        </w:rPr>
        <w:t xml:space="preserve">denoted by the current MS_ID expiry time the network </w:t>
      </w:r>
      <w:r w:rsidRPr="004D0DAA">
        <w:t>shall start timer T3199 for the new MS_ID, if present. While timer T3199 is running for the new MS_ID, the network shall not include the new MS_ID in any RLC/MAC block belonging to that MBMS radio bearer. When timer T3199 expires for the new MS_ID, the network may reuse the new MS_ID resource.</w:t>
      </w:r>
    </w:p>
    <w:p w14:paraId="71E43057" w14:textId="77777777" w:rsidR="00711444" w:rsidRPr="004D0DAA" w:rsidRDefault="00711444" w:rsidP="00711444">
      <w:r w:rsidRPr="004D0DAA">
        <w:t xml:space="preserve">When modifying the current MS_ID, after the point in time denoted by the </w:t>
      </w:r>
      <w:r w:rsidRPr="004D0DAA">
        <w:rPr>
          <w:lang w:eastAsia="ko-KR"/>
        </w:rPr>
        <w:t xml:space="preserve">current MS_ID expiry time, the network shall address the mobile station with the new MS_ID, unless </w:t>
      </w:r>
      <w:r w:rsidRPr="004D0DAA">
        <w:t xml:space="preserve">counter N3109 for the current MS_ID equals N3109_MAX </w:t>
      </w:r>
      <w:r w:rsidRPr="004D0DAA">
        <w:rPr>
          <w:lang w:eastAsia="ko-KR"/>
        </w:rPr>
        <w:t xml:space="preserve">or within the point in time denoted by the current MS_ID expiry time the network has not received a PACKET </w:t>
      </w:r>
      <w:r w:rsidRPr="004D0DAA">
        <w:t xml:space="preserve">CONTROL ACKNOWLEDGEMENT message from the polled mobile station. </w:t>
      </w:r>
    </w:p>
    <w:p w14:paraId="5A1F6C8B" w14:textId="77777777" w:rsidR="00711444" w:rsidRPr="004D0DAA" w:rsidRDefault="00711444" w:rsidP="00711444">
      <w:pPr>
        <w:pStyle w:val="Heading5"/>
      </w:pPr>
      <w:bookmarkStart w:id="298" w:name="_Toc516669485"/>
      <w:r w:rsidRPr="004D0DAA">
        <w:t>8.1.4.3.2</w:t>
      </w:r>
      <w:r w:rsidRPr="004D0DAA">
        <w:tab/>
        <w:t>Reassignment of the MBMS Bearer Identity</w:t>
      </w:r>
      <w:bookmarkEnd w:id="298"/>
    </w:p>
    <w:p w14:paraId="029402EA" w14:textId="77777777" w:rsidR="00711444" w:rsidRPr="004D0DAA" w:rsidRDefault="00711444" w:rsidP="00711444">
      <w:r w:rsidRPr="004D0DAA">
        <w:t xml:space="preserve">The network may reassign the MBMS Bearer Identity previously assigned to a given MBMS radio bearer by sending </w:t>
      </w:r>
      <w:r w:rsidRPr="004D0DAA">
        <w:rPr>
          <w:lang w:eastAsia="ko-KR"/>
        </w:rPr>
        <w:t xml:space="preserve">an MBMS ASSIGNMENT </w:t>
      </w:r>
      <w:r w:rsidRPr="004D0DAA">
        <w:t xml:space="preserve">(NON-DISTRIBUTION) </w:t>
      </w:r>
      <w:r w:rsidRPr="004D0DAA">
        <w:rPr>
          <w:lang w:eastAsia="ko-KR"/>
        </w:rPr>
        <w:t>message</w:t>
      </w:r>
      <w:r w:rsidRPr="004D0DAA">
        <w:t xml:space="preserve"> on the PACCH/D, including the current MBMS Bearer Identity (in the most significant bit(s) of </w:t>
      </w:r>
      <w:r w:rsidRPr="004D0DAA">
        <w:rPr>
          <w:lang w:eastAsia="ko-KR"/>
        </w:rPr>
        <w:t>the DOWNLINK_TFI field</w:t>
      </w:r>
      <w:r w:rsidRPr="004D0DAA">
        <w:t xml:space="preserve"> contained in the Global TFI), explicitly redefining (i.e. modifying the length and/or value of) such MBMS Bearer Identity and implicitly deleting or redefining MS_IDs assigned to that MBMS radio bearer as described below.</w:t>
      </w:r>
    </w:p>
    <w:p w14:paraId="03408C80" w14:textId="77777777" w:rsidR="00711444" w:rsidRPr="004D0DAA" w:rsidRDefault="00711444" w:rsidP="00711444">
      <w:r w:rsidRPr="004D0DAA">
        <w:t xml:space="preserve">When reassigning the MBMS Bearer Identity the network shall not reuse the TFI values including the old MBMS Bearer Identity in the most significant bit(s) of the TFI field. </w:t>
      </w:r>
    </w:p>
    <w:p w14:paraId="5E5AB489" w14:textId="77777777" w:rsidR="00711444" w:rsidRPr="004D0DAA" w:rsidRDefault="00711444" w:rsidP="00711444">
      <w:r w:rsidRPr="004D0DAA">
        <w:t>If the mobile station receives more than one MBMS ASSIGNMENT (NON-DISTRIBUTION) message for a given MBMS radio bearer, it shall act upon the most recently received message and shall ignore the previous message.</w:t>
      </w:r>
    </w:p>
    <w:p w14:paraId="58CCD8C9" w14:textId="77777777" w:rsidR="00711444" w:rsidRPr="004D0DAA" w:rsidRDefault="00711444" w:rsidP="00711444">
      <w:r w:rsidRPr="004D0DAA">
        <w:t>If a valid RRBP field is received as part of the MBMS ASSIGNMENT (NON-DISTRIBUTION) message, the mobile station identified by the corresponding MS_ID shall respond with a PACKET CONTROL ACKNOWLEDGEMENT message in the specified uplink radio block.</w:t>
      </w:r>
    </w:p>
    <w:p w14:paraId="45A5743B" w14:textId="77777777" w:rsidR="00711444" w:rsidRPr="004D0DAA" w:rsidRDefault="00711444" w:rsidP="00711444">
      <w:r w:rsidRPr="004D0DAA">
        <w:t>Any redefinition of an MBMS Bearer Identity and any deletion or redefinition of MS_IDs shall apply at the point in time denoted by the MBMS radio bearer starting time, if present, and immediately otherwise:</w:t>
      </w:r>
    </w:p>
    <w:p w14:paraId="7768D3C5" w14:textId="77777777" w:rsidR="00711444" w:rsidRPr="004D0DAA" w:rsidRDefault="00711444" w:rsidP="00711444">
      <w:pPr>
        <w:pStyle w:val="B1"/>
      </w:pPr>
      <w:r w:rsidRPr="004D0DAA">
        <w:t>-</w:t>
      </w:r>
      <w:r w:rsidRPr="004D0DAA">
        <w:tab/>
        <w:t xml:space="preserve">if the new MBMS Bearer Identity field has the same length as the current one all previously assigned MS_ID values shall be considered still valid; </w:t>
      </w:r>
    </w:p>
    <w:p w14:paraId="0B9132B1" w14:textId="77777777" w:rsidR="00711444" w:rsidRPr="004D0DAA" w:rsidRDefault="00711444" w:rsidP="00711444">
      <w:pPr>
        <w:pStyle w:val="B1"/>
      </w:pPr>
      <w:r w:rsidRPr="004D0DAA">
        <w:t>-</w:t>
      </w:r>
      <w:r w:rsidRPr="004D0DAA">
        <w:tab/>
        <w:t xml:space="preserve">if the new MBMS Bearer Identity field is x bits shorter than the current one, all previously assigned MS_ID values shall be implicitly redefined by adding x most significant bits set to zero and shall be considered all valid; </w:t>
      </w:r>
    </w:p>
    <w:p w14:paraId="5C52692C" w14:textId="77777777" w:rsidR="00711444" w:rsidRPr="004D0DAA" w:rsidRDefault="00711444" w:rsidP="00711444">
      <w:pPr>
        <w:pStyle w:val="B1"/>
      </w:pPr>
      <w:r w:rsidRPr="004D0DAA">
        <w:lastRenderedPageBreak/>
        <w:t>-</w:t>
      </w:r>
      <w:r w:rsidRPr="004D0DAA">
        <w:tab/>
        <w:t xml:space="preserve">if the new MBMS Bearer Identity field is x bits longer than the current one, all previously assigned MS_ID values characterized by their x most significant bits equal to zero shall be implicitly redefined by removing these x most significant bits and still considered valid. All other assigned MS_ID values shall be considered as invalid and discarded. </w:t>
      </w:r>
    </w:p>
    <w:p w14:paraId="609991A7" w14:textId="77777777" w:rsidR="00711444" w:rsidRPr="004D0DAA" w:rsidRDefault="00711444" w:rsidP="00711444">
      <w:r w:rsidRPr="004D0DAA">
        <w:t xml:space="preserve">At the point in time denoted by the MBMS radio bearer starting time, if present, and immediately otherwise, a mobile station shall restart timer T3190 for the newly assigned MBMS Bearer Identity. The mobile station shall restart timer T3190 whenever receiving an RLC/MAC block including the new MBMS Bearer Identity. If timer T3190 expires, the mobile station shall consider the MBMS radio bearer as released and </w:t>
      </w:r>
      <w:r w:rsidRPr="004D0DAA">
        <w:rPr>
          <w:lang w:eastAsia="ko-KR"/>
        </w:rPr>
        <w:t xml:space="preserve">proceed as specified in sub-clause 7.7.1. </w:t>
      </w:r>
      <w:r w:rsidRPr="004D0DAA">
        <w:t>At the point in time denoted by the MBMS radio bearer starting time, if present, and immediately otherwise, a mobile station with an assigned MS_ID value shall start timer T3290. The mobile station shall restart timer T3290 whenever receiving an RLC/MAC block including both the new MBMS Bearer Identity and the new MS_ID in the TFI field.</w:t>
      </w:r>
    </w:p>
    <w:p w14:paraId="7E75973F" w14:textId="77777777" w:rsidR="00711444" w:rsidRPr="004D0DAA" w:rsidRDefault="00711444" w:rsidP="00711444">
      <w:r w:rsidRPr="004D0DAA">
        <w:t>The following table illustrates the definition of the new MS_ID upon reassignment of the MBMS Bearer Identity:</w:t>
      </w:r>
    </w:p>
    <w:p w14:paraId="00383517" w14:textId="77777777" w:rsidR="00711444" w:rsidRPr="004D0DAA" w:rsidRDefault="00711444" w:rsidP="00711444">
      <w:pPr>
        <w:pStyle w:val="TH"/>
      </w:pPr>
      <w:r w:rsidRPr="004D0DAA">
        <w:t>Table 8.1.4.3.2.1: Reassignment of MBMS Bearer Identity and MS_ID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42"/>
        <w:gridCol w:w="839"/>
        <w:gridCol w:w="810"/>
        <w:gridCol w:w="782"/>
        <w:gridCol w:w="811"/>
        <w:gridCol w:w="782"/>
        <w:gridCol w:w="811"/>
        <w:gridCol w:w="782"/>
        <w:gridCol w:w="805"/>
        <w:gridCol w:w="780"/>
        <w:gridCol w:w="805"/>
        <w:gridCol w:w="780"/>
      </w:tblGrid>
      <w:tr w:rsidR="00711444" w:rsidRPr="004D0DAA" w14:paraId="1C44405B" w14:textId="77777777" w:rsidTr="00AA2A4C">
        <w:tblPrEx>
          <w:tblCellMar>
            <w:top w:w="0" w:type="dxa"/>
            <w:bottom w:w="0" w:type="dxa"/>
          </w:tblCellMar>
        </w:tblPrEx>
        <w:trPr>
          <w:cantSplit/>
        </w:trPr>
        <w:tc>
          <w:tcPr>
            <w:tcW w:w="1707" w:type="dxa"/>
            <w:gridSpan w:val="2"/>
          </w:tcPr>
          <w:p w14:paraId="075967BC" w14:textId="77777777" w:rsidR="00711444" w:rsidRPr="004D0DAA" w:rsidRDefault="00711444" w:rsidP="00AA2A4C">
            <w:pPr>
              <w:pStyle w:val="TAH"/>
              <w:rPr>
                <w:lang w:eastAsia="en-US"/>
              </w:rPr>
            </w:pPr>
            <w:r w:rsidRPr="004D0DAA">
              <w:rPr>
                <w:lang w:eastAsia="en-US"/>
              </w:rPr>
              <w:t>New</w:t>
            </w:r>
          </w:p>
          <w:p w14:paraId="0BED4981" w14:textId="77777777" w:rsidR="00711444" w:rsidRPr="004D0DAA" w:rsidRDefault="00711444" w:rsidP="00AA2A4C">
            <w:pPr>
              <w:pStyle w:val="TAH"/>
              <w:rPr>
                <w:lang w:eastAsia="en-US"/>
              </w:rPr>
            </w:pPr>
            <w:r w:rsidRPr="004D0DAA">
              <w:rPr>
                <w:lang w:eastAsia="en-US"/>
              </w:rPr>
              <w:t xml:space="preserve">Current </w:t>
            </w:r>
          </w:p>
        </w:tc>
        <w:tc>
          <w:tcPr>
            <w:tcW w:w="820" w:type="dxa"/>
            <w:vAlign w:val="center"/>
          </w:tcPr>
          <w:p w14:paraId="2929902E" w14:textId="77777777" w:rsidR="00711444" w:rsidRPr="004D0DAA" w:rsidRDefault="00711444" w:rsidP="00AA2A4C">
            <w:pPr>
              <w:pStyle w:val="TAH"/>
              <w:rPr>
                <w:lang w:eastAsia="en-US"/>
              </w:rPr>
            </w:pPr>
            <w:r w:rsidRPr="004D0DAA">
              <w:rPr>
                <w:lang w:eastAsia="en-US"/>
              </w:rPr>
              <w:t>Bearer ID</w:t>
            </w:r>
          </w:p>
        </w:tc>
        <w:tc>
          <w:tcPr>
            <w:tcW w:w="792" w:type="dxa"/>
            <w:vAlign w:val="center"/>
          </w:tcPr>
          <w:p w14:paraId="3A8CF361" w14:textId="77777777" w:rsidR="00711444" w:rsidRPr="004D0DAA" w:rsidRDefault="00711444" w:rsidP="00AA2A4C">
            <w:pPr>
              <w:pStyle w:val="TAH"/>
              <w:rPr>
                <w:lang w:eastAsia="en-US"/>
              </w:rPr>
            </w:pPr>
            <w:r w:rsidRPr="004D0DAA">
              <w:rPr>
                <w:lang w:eastAsia="en-US"/>
              </w:rPr>
              <w:t>MS_ID</w:t>
            </w:r>
          </w:p>
        </w:tc>
        <w:tc>
          <w:tcPr>
            <w:tcW w:w="821" w:type="dxa"/>
            <w:vAlign w:val="center"/>
          </w:tcPr>
          <w:p w14:paraId="4C61ABCD" w14:textId="77777777" w:rsidR="00711444" w:rsidRPr="004D0DAA" w:rsidRDefault="00711444" w:rsidP="00AA2A4C">
            <w:pPr>
              <w:pStyle w:val="TAH"/>
              <w:rPr>
                <w:lang w:eastAsia="en-US"/>
              </w:rPr>
            </w:pPr>
            <w:r w:rsidRPr="004D0DAA">
              <w:rPr>
                <w:lang w:eastAsia="en-US"/>
              </w:rPr>
              <w:t>Bearer ID</w:t>
            </w:r>
          </w:p>
        </w:tc>
        <w:tc>
          <w:tcPr>
            <w:tcW w:w="792" w:type="dxa"/>
            <w:vAlign w:val="center"/>
          </w:tcPr>
          <w:p w14:paraId="5A08AFF6" w14:textId="77777777" w:rsidR="00711444" w:rsidRPr="004D0DAA" w:rsidRDefault="00711444" w:rsidP="00AA2A4C">
            <w:pPr>
              <w:pStyle w:val="TAH"/>
              <w:rPr>
                <w:lang w:eastAsia="en-US"/>
              </w:rPr>
            </w:pPr>
            <w:r w:rsidRPr="004D0DAA">
              <w:rPr>
                <w:lang w:eastAsia="en-US"/>
              </w:rPr>
              <w:t>MS_ID</w:t>
            </w:r>
          </w:p>
        </w:tc>
        <w:tc>
          <w:tcPr>
            <w:tcW w:w="821" w:type="dxa"/>
            <w:vAlign w:val="center"/>
          </w:tcPr>
          <w:p w14:paraId="1A535E11" w14:textId="77777777" w:rsidR="00711444" w:rsidRPr="004D0DAA" w:rsidRDefault="00711444" w:rsidP="00AA2A4C">
            <w:pPr>
              <w:pStyle w:val="TAH"/>
              <w:rPr>
                <w:lang w:eastAsia="en-US"/>
              </w:rPr>
            </w:pPr>
            <w:r w:rsidRPr="004D0DAA">
              <w:rPr>
                <w:lang w:eastAsia="en-US"/>
              </w:rPr>
              <w:t>Bearer ID</w:t>
            </w:r>
          </w:p>
        </w:tc>
        <w:tc>
          <w:tcPr>
            <w:tcW w:w="792" w:type="dxa"/>
            <w:vAlign w:val="center"/>
          </w:tcPr>
          <w:p w14:paraId="0B4C62A8" w14:textId="77777777" w:rsidR="00711444" w:rsidRPr="004D0DAA" w:rsidRDefault="00711444" w:rsidP="00AA2A4C">
            <w:pPr>
              <w:pStyle w:val="TAH"/>
              <w:rPr>
                <w:lang w:eastAsia="en-US"/>
              </w:rPr>
            </w:pPr>
            <w:r w:rsidRPr="004D0DAA">
              <w:rPr>
                <w:lang w:eastAsia="en-US"/>
              </w:rPr>
              <w:t>MS_ID</w:t>
            </w:r>
          </w:p>
        </w:tc>
        <w:tc>
          <w:tcPr>
            <w:tcW w:w="815" w:type="dxa"/>
            <w:vAlign w:val="center"/>
          </w:tcPr>
          <w:p w14:paraId="0C718E84" w14:textId="77777777" w:rsidR="00711444" w:rsidRPr="004D0DAA" w:rsidRDefault="00711444" w:rsidP="00AA2A4C">
            <w:pPr>
              <w:pStyle w:val="TAH"/>
              <w:rPr>
                <w:lang w:eastAsia="en-US"/>
              </w:rPr>
            </w:pPr>
            <w:r w:rsidRPr="004D0DAA">
              <w:rPr>
                <w:lang w:eastAsia="en-US"/>
              </w:rPr>
              <w:t>Bearer ID</w:t>
            </w:r>
          </w:p>
        </w:tc>
        <w:tc>
          <w:tcPr>
            <w:tcW w:w="789" w:type="dxa"/>
            <w:vAlign w:val="center"/>
          </w:tcPr>
          <w:p w14:paraId="7B751C5D" w14:textId="77777777" w:rsidR="00711444" w:rsidRPr="004D0DAA" w:rsidRDefault="00711444" w:rsidP="00AA2A4C">
            <w:pPr>
              <w:pStyle w:val="TAH"/>
              <w:rPr>
                <w:lang w:eastAsia="en-US"/>
              </w:rPr>
            </w:pPr>
            <w:r w:rsidRPr="004D0DAA">
              <w:rPr>
                <w:lang w:eastAsia="en-US"/>
              </w:rPr>
              <w:t>MS_ID</w:t>
            </w:r>
          </w:p>
        </w:tc>
        <w:tc>
          <w:tcPr>
            <w:tcW w:w="815" w:type="dxa"/>
            <w:vAlign w:val="center"/>
          </w:tcPr>
          <w:p w14:paraId="56CE27C0" w14:textId="77777777" w:rsidR="00711444" w:rsidRPr="004D0DAA" w:rsidRDefault="00711444" w:rsidP="00AA2A4C">
            <w:pPr>
              <w:pStyle w:val="TAH"/>
              <w:rPr>
                <w:lang w:eastAsia="en-US"/>
              </w:rPr>
            </w:pPr>
            <w:r w:rsidRPr="004D0DAA">
              <w:rPr>
                <w:lang w:eastAsia="en-US"/>
              </w:rPr>
              <w:t>Bearer ID</w:t>
            </w:r>
          </w:p>
        </w:tc>
        <w:tc>
          <w:tcPr>
            <w:tcW w:w="789" w:type="dxa"/>
            <w:vAlign w:val="center"/>
          </w:tcPr>
          <w:p w14:paraId="3DD7D647" w14:textId="77777777" w:rsidR="00711444" w:rsidRPr="004D0DAA" w:rsidRDefault="00711444" w:rsidP="00AA2A4C">
            <w:pPr>
              <w:pStyle w:val="TAH"/>
              <w:rPr>
                <w:lang w:eastAsia="en-US"/>
              </w:rPr>
            </w:pPr>
            <w:r w:rsidRPr="004D0DAA">
              <w:rPr>
                <w:lang w:eastAsia="en-US"/>
              </w:rPr>
              <w:t>MS_ID</w:t>
            </w:r>
          </w:p>
        </w:tc>
      </w:tr>
      <w:tr w:rsidR="00711444" w:rsidRPr="004D0DAA" w14:paraId="20629219" w14:textId="77777777" w:rsidTr="00AA2A4C">
        <w:tblPrEx>
          <w:tblCellMar>
            <w:top w:w="0" w:type="dxa"/>
            <w:bottom w:w="0" w:type="dxa"/>
          </w:tblCellMar>
        </w:tblPrEx>
        <w:trPr>
          <w:cantSplit/>
        </w:trPr>
        <w:tc>
          <w:tcPr>
            <w:tcW w:w="854" w:type="dxa"/>
          </w:tcPr>
          <w:p w14:paraId="01659F61" w14:textId="77777777" w:rsidR="00711444" w:rsidRPr="004D0DAA" w:rsidRDefault="00711444" w:rsidP="00AA2A4C">
            <w:pPr>
              <w:pStyle w:val="TAH"/>
              <w:rPr>
                <w:lang w:eastAsia="en-US"/>
              </w:rPr>
            </w:pPr>
            <w:r w:rsidRPr="004D0DAA">
              <w:rPr>
                <w:lang w:eastAsia="en-US"/>
              </w:rPr>
              <w:t>Bearer ID</w:t>
            </w:r>
          </w:p>
        </w:tc>
        <w:tc>
          <w:tcPr>
            <w:tcW w:w="853" w:type="dxa"/>
          </w:tcPr>
          <w:p w14:paraId="32A0082F" w14:textId="77777777" w:rsidR="00711444" w:rsidRPr="004D0DAA" w:rsidRDefault="00711444" w:rsidP="00AA2A4C">
            <w:pPr>
              <w:pStyle w:val="TAH"/>
              <w:rPr>
                <w:lang w:eastAsia="en-US"/>
              </w:rPr>
            </w:pPr>
            <w:r w:rsidRPr="004D0DAA">
              <w:rPr>
                <w:lang w:eastAsia="en-US"/>
              </w:rPr>
              <w:t>MS_ID</w:t>
            </w:r>
          </w:p>
        </w:tc>
        <w:tc>
          <w:tcPr>
            <w:tcW w:w="820" w:type="dxa"/>
          </w:tcPr>
          <w:p w14:paraId="4066B28A" w14:textId="77777777" w:rsidR="00711444" w:rsidRPr="004D0DAA" w:rsidRDefault="00711444" w:rsidP="00AA2A4C">
            <w:pPr>
              <w:pStyle w:val="TAH"/>
              <w:rPr>
                <w:lang w:eastAsia="en-US"/>
              </w:rPr>
            </w:pPr>
            <w:r w:rsidRPr="004D0DAA">
              <w:rPr>
                <w:lang w:eastAsia="en-US"/>
              </w:rPr>
              <w:t>5 bits</w:t>
            </w:r>
          </w:p>
        </w:tc>
        <w:tc>
          <w:tcPr>
            <w:tcW w:w="792" w:type="dxa"/>
          </w:tcPr>
          <w:p w14:paraId="3EDC37B4" w14:textId="77777777" w:rsidR="00711444" w:rsidRPr="004D0DAA" w:rsidRDefault="00711444" w:rsidP="00AA2A4C">
            <w:pPr>
              <w:pStyle w:val="TAH"/>
              <w:rPr>
                <w:lang w:eastAsia="en-US"/>
              </w:rPr>
            </w:pPr>
            <w:r w:rsidRPr="004D0DAA">
              <w:rPr>
                <w:lang w:eastAsia="en-US"/>
              </w:rPr>
              <w:t>-</w:t>
            </w:r>
          </w:p>
        </w:tc>
        <w:tc>
          <w:tcPr>
            <w:tcW w:w="821" w:type="dxa"/>
          </w:tcPr>
          <w:p w14:paraId="2151D533" w14:textId="77777777" w:rsidR="00711444" w:rsidRPr="004D0DAA" w:rsidRDefault="00711444" w:rsidP="00AA2A4C">
            <w:pPr>
              <w:pStyle w:val="TAH"/>
              <w:rPr>
                <w:lang w:eastAsia="en-US"/>
              </w:rPr>
            </w:pPr>
            <w:r w:rsidRPr="004D0DAA">
              <w:rPr>
                <w:lang w:eastAsia="en-US"/>
              </w:rPr>
              <w:t>4 bits</w:t>
            </w:r>
          </w:p>
        </w:tc>
        <w:tc>
          <w:tcPr>
            <w:tcW w:w="792" w:type="dxa"/>
          </w:tcPr>
          <w:p w14:paraId="5B6CD314" w14:textId="77777777" w:rsidR="00711444" w:rsidRPr="004D0DAA" w:rsidRDefault="00711444" w:rsidP="00AA2A4C">
            <w:pPr>
              <w:pStyle w:val="TAH"/>
              <w:rPr>
                <w:lang w:eastAsia="en-US"/>
              </w:rPr>
            </w:pPr>
            <w:r w:rsidRPr="004D0DAA">
              <w:rPr>
                <w:lang w:eastAsia="en-US"/>
              </w:rPr>
              <w:t>1 bit</w:t>
            </w:r>
          </w:p>
        </w:tc>
        <w:tc>
          <w:tcPr>
            <w:tcW w:w="821" w:type="dxa"/>
          </w:tcPr>
          <w:p w14:paraId="78EA8007" w14:textId="77777777" w:rsidR="00711444" w:rsidRPr="004D0DAA" w:rsidRDefault="00711444" w:rsidP="00AA2A4C">
            <w:pPr>
              <w:pStyle w:val="TAH"/>
              <w:rPr>
                <w:lang w:eastAsia="en-US"/>
              </w:rPr>
            </w:pPr>
            <w:r w:rsidRPr="004D0DAA">
              <w:rPr>
                <w:lang w:eastAsia="en-US"/>
              </w:rPr>
              <w:t>3 bits</w:t>
            </w:r>
          </w:p>
        </w:tc>
        <w:tc>
          <w:tcPr>
            <w:tcW w:w="792" w:type="dxa"/>
          </w:tcPr>
          <w:p w14:paraId="573E7D9C" w14:textId="77777777" w:rsidR="00711444" w:rsidRPr="004D0DAA" w:rsidRDefault="00711444" w:rsidP="00AA2A4C">
            <w:pPr>
              <w:pStyle w:val="TAH"/>
              <w:rPr>
                <w:lang w:eastAsia="en-US"/>
              </w:rPr>
            </w:pPr>
            <w:r w:rsidRPr="004D0DAA">
              <w:rPr>
                <w:lang w:eastAsia="en-US"/>
              </w:rPr>
              <w:t>2 bits</w:t>
            </w:r>
          </w:p>
        </w:tc>
        <w:tc>
          <w:tcPr>
            <w:tcW w:w="815" w:type="dxa"/>
          </w:tcPr>
          <w:p w14:paraId="1365A743" w14:textId="77777777" w:rsidR="00711444" w:rsidRPr="004D0DAA" w:rsidRDefault="00711444" w:rsidP="00AA2A4C">
            <w:pPr>
              <w:pStyle w:val="TAH"/>
              <w:rPr>
                <w:lang w:eastAsia="en-US"/>
              </w:rPr>
            </w:pPr>
            <w:r w:rsidRPr="004D0DAA">
              <w:rPr>
                <w:lang w:eastAsia="en-US"/>
              </w:rPr>
              <w:t>2 bits</w:t>
            </w:r>
          </w:p>
        </w:tc>
        <w:tc>
          <w:tcPr>
            <w:tcW w:w="789" w:type="dxa"/>
          </w:tcPr>
          <w:p w14:paraId="3DCE63CC" w14:textId="77777777" w:rsidR="00711444" w:rsidRPr="004D0DAA" w:rsidRDefault="00711444" w:rsidP="00AA2A4C">
            <w:pPr>
              <w:pStyle w:val="TAH"/>
              <w:rPr>
                <w:lang w:eastAsia="en-US"/>
              </w:rPr>
            </w:pPr>
            <w:r w:rsidRPr="004D0DAA">
              <w:rPr>
                <w:lang w:eastAsia="en-US"/>
              </w:rPr>
              <w:t>3 bits</w:t>
            </w:r>
          </w:p>
        </w:tc>
        <w:tc>
          <w:tcPr>
            <w:tcW w:w="815" w:type="dxa"/>
          </w:tcPr>
          <w:p w14:paraId="31D75443" w14:textId="77777777" w:rsidR="00711444" w:rsidRPr="004D0DAA" w:rsidRDefault="00711444" w:rsidP="00AA2A4C">
            <w:pPr>
              <w:pStyle w:val="TAH"/>
              <w:rPr>
                <w:lang w:eastAsia="en-US"/>
              </w:rPr>
            </w:pPr>
            <w:r w:rsidRPr="004D0DAA">
              <w:rPr>
                <w:lang w:eastAsia="en-US"/>
              </w:rPr>
              <w:t>1 bit</w:t>
            </w:r>
          </w:p>
        </w:tc>
        <w:tc>
          <w:tcPr>
            <w:tcW w:w="789" w:type="dxa"/>
          </w:tcPr>
          <w:p w14:paraId="2CC86F4C" w14:textId="77777777" w:rsidR="00711444" w:rsidRPr="004D0DAA" w:rsidRDefault="00711444" w:rsidP="00AA2A4C">
            <w:pPr>
              <w:pStyle w:val="TAH"/>
              <w:rPr>
                <w:lang w:eastAsia="en-US"/>
              </w:rPr>
            </w:pPr>
            <w:r w:rsidRPr="004D0DAA">
              <w:rPr>
                <w:lang w:eastAsia="en-US"/>
              </w:rPr>
              <w:t>4 bits</w:t>
            </w:r>
          </w:p>
        </w:tc>
      </w:tr>
      <w:tr w:rsidR="00711444" w:rsidRPr="004D0DAA" w14:paraId="752D527E" w14:textId="77777777" w:rsidTr="00AA2A4C">
        <w:tblPrEx>
          <w:tblCellMar>
            <w:top w:w="0" w:type="dxa"/>
            <w:bottom w:w="0" w:type="dxa"/>
          </w:tblCellMar>
        </w:tblPrEx>
        <w:trPr>
          <w:cantSplit/>
        </w:trPr>
        <w:tc>
          <w:tcPr>
            <w:tcW w:w="854" w:type="dxa"/>
            <w:vAlign w:val="center"/>
          </w:tcPr>
          <w:p w14:paraId="008B9A9C" w14:textId="77777777" w:rsidR="00711444" w:rsidRPr="004D0DAA" w:rsidRDefault="00711444" w:rsidP="00AA2A4C">
            <w:pPr>
              <w:pStyle w:val="TAH"/>
              <w:rPr>
                <w:lang w:eastAsia="en-US"/>
              </w:rPr>
            </w:pPr>
            <w:r w:rsidRPr="004D0DAA">
              <w:rPr>
                <w:lang w:eastAsia="en-US"/>
              </w:rPr>
              <w:t>5 bits</w:t>
            </w:r>
          </w:p>
        </w:tc>
        <w:tc>
          <w:tcPr>
            <w:tcW w:w="853" w:type="dxa"/>
            <w:vAlign w:val="center"/>
          </w:tcPr>
          <w:p w14:paraId="06B6F7C4" w14:textId="77777777" w:rsidR="00711444" w:rsidRPr="004D0DAA" w:rsidRDefault="00711444" w:rsidP="00AA2A4C">
            <w:pPr>
              <w:pStyle w:val="TAH"/>
              <w:rPr>
                <w:lang w:eastAsia="en-US"/>
              </w:rPr>
            </w:pPr>
            <w:r w:rsidRPr="004D0DAA">
              <w:rPr>
                <w:lang w:eastAsia="en-US"/>
              </w:rPr>
              <w:t>-</w:t>
            </w:r>
          </w:p>
        </w:tc>
        <w:tc>
          <w:tcPr>
            <w:tcW w:w="1612" w:type="dxa"/>
            <w:gridSpan w:val="2"/>
            <w:vAlign w:val="center"/>
          </w:tcPr>
          <w:p w14:paraId="344BCA4F" w14:textId="77777777" w:rsidR="00711444" w:rsidRPr="004D0DAA" w:rsidRDefault="00711444" w:rsidP="00AA2A4C">
            <w:pPr>
              <w:pStyle w:val="TAC"/>
              <w:rPr>
                <w:lang w:eastAsia="en-US"/>
              </w:rPr>
            </w:pPr>
            <w:r w:rsidRPr="004D0DAA">
              <w:rPr>
                <w:lang w:eastAsia="en-US"/>
              </w:rPr>
              <w:t>No MS_ID</w:t>
            </w:r>
          </w:p>
        </w:tc>
        <w:tc>
          <w:tcPr>
            <w:tcW w:w="1613" w:type="dxa"/>
            <w:gridSpan w:val="2"/>
            <w:vAlign w:val="center"/>
          </w:tcPr>
          <w:p w14:paraId="5A9D0F34" w14:textId="77777777" w:rsidR="00711444" w:rsidRPr="004D0DAA" w:rsidRDefault="00711444" w:rsidP="00AA2A4C">
            <w:pPr>
              <w:pStyle w:val="TAC"/>
              <w:rPr>
                <w:lang w:eastAsia="en-US"/>
              </w:rPr>
            </w:pPr>
            <w:r w:rsidRPr="004D0DAA">
              <w:rPr>
                <w:lang w:eastAsia="en-US"/>
              </w:rPr>
              <w:t>New MS_IDs available</w:t>
            </w:r>
          </w:p>
        </w:tc>
        <w:tc>
          <w:tcPr>
            <w:tcW w:w="1613" w:type="dxa"/>
            <w:gridSpan w:val="2"/>
            <w:vAlign w:val="center"/>
          </w:tcPr>
          <w:p w14:paraId="565D1F8F" w14:textId="77777777" w:rsidR="00711444" w:rsidRPr="004D0DAA" w:rsidRDefault="00711444" w:rsidP="00AA2A4C">
            <w:pPr>
              <w:pStyle w:val="TAC"/>
              <w:rPr>
                <w:lang w:eastAsia="en-US"/>
              </w:rPr>
            </w:pPr>
            <w:r w:rsidRPr="004D0DAA">
              <w:rPr>
                <w:lang w:eastAsia="en-US"/>
              </w:rPr>
              <w:t>New MS_IDs available</w:t>
            </w:r>
          </w:p>
        </w:tc>
        <w:tc>
          <w:tcPr>
            <w:tcW w:w="1604" w:type="dxa"/>
            <w:gridSpan w:val="2"/>
            <w:vAlign w:val="center"/>
          </w:tcPr>
          <w:p w14:paraId="4D90950E" w14:textId="77777777" w:rsidR="00711444" w:rsidRPr="004D0DAA" w:rsidRDefault="00711444" w:rsidP="00AA2A4C">
            <w:pPr>
              <w:pStyle w:val="TAC"/>
              <w:rPr>
                <w:lang w:eastAsia="en-US"/>
              </w:rPr>
            </w:pPr>
            <w:r w:rsidRPr="004D0DAA">
              <w:rPr>
                <w:lang w:eastAsia="en-US"/>
              </w:rPr>
              <w:t>New MS_IDs available</w:t>
            </w:r>
          </w:p>
        </w:tc>
        <w:tc>
          <w:tcPr>
            <w:tcW w:w="1604" w:type="dxa"/>
            <w:gridSpan w:val="2"/>
            <w:vAlign w:val="center"/>
          </w:tcPr>
          <w:p w14:paraId="3EB30756" w14:textId="77777777" w:rsidR="00711444" w:rsidRPr="004D0DAA" w:rsidRDefault="00711444" w:rsidP="00AA2A4C">
            <w:pPr>
              <w:pStyle w:val="TAC"/>
              <w:rPr>
                <w:lang w:eastAsia="en-US"/>
              </w:rPr>
            </w:pPr>
            <w:r w:rsidRPr="004D0DAA">
              <w:rPr>
                <w:lang w:eastAsia="en-US"/>
              </w:rPr>
              <w:t>New MS_IDs available</w:t>
            </w:r>
          </w:p>
        </w:tc>
      </w:tr>
      <w:tr w:rsidR="00711444" w:rsidRPr="004D0DAA" w14:paraId="03A230F7" w14:textId="77777777" w:rsidTr="00AA2A4C">
        <w:tblPrEx>
          <w:tblCellMar>
            <w:top w:w="0" w:type="dxa"/>
            <w:bottom w:w="0" w:type="dxa"/>
          </w:tblCellMar>
        </w:tblPrEx>
        <w:trPr>
          <w:cantSplit/>
        </w:trPr>
        <w:tc>
          <w:tcPr>
            <w:tcW w:w="854" w:type="dxa"/>
            <w:vAlign w:val="center"/>
          </w:tcPr>
          <w:p w14:paraId="66C2AD53" w14:textId="77777777" w:rsidR="00711444" w:rsidRPr="004D0DAA" w:rsidRDefault="00711444" w:rsidP="00AA2A4C">
            <w:pPr>
              <w:pStyle w:val="TAH"/>
              <w:rPr>
                <w:lang w:eastAsia="en-US"/>
              </w:rPr>
            </w:pPr>
            <w:r w:rsidRPr="004D0DAA">
              <w:rPr>
                <w:lang w:eastAsia="en-US"/>
              </w:rPr>
              <w:t>4 bits</w:t>
            </w:r>
          </w:p>
        </w:tc>
        <w:tc>
          <w:tcPr>
            <w:tcW w:w="853" w:type="dxa"/>
            <w:vAlign w:val="center"/>
          </w:tcPr>
          <w:p w14:paraId="5580253D" w14:textId="77777777" w:rsidR="00711444" w:rsidRPr="004D0DAA" w:rsidRDefault="00711444" w:rsidP="00AA2A4C">
            <w:pPr>
              <w:pStyle w:val="TAH"/>
              <w:rPr>
                <w:lang w:eastAsia="en-US"/>
              </w:rPr>
            </w:pPr>
            <w:r w:rsidRPr="004D0DAA">
              <w:rPr>
                <w:lang w:eastAsia="en-US"/>
              </w:rPr>
              <w:t>1 bit</w:t>
            </w:r>
          </w:p>
        </w:tc>
        <w:tc>
          <w:tcPr>
            <w:tcW w:w="1612" w:type="dxa"/>
            <w:gridSpan w:val="2"/>
            <w:vMerge w:val="restart"/>
            <w:vAlign w:val="center"/>
          </w:tcPr>
          <w:p w14:paraId="30217811" w14:textId="77777777" w:rsidR="00711444" w:rsidRPr="004D0DAA" w:rsidRDefault="00711444" w:rsidP="00AA2A4C">
            <w:pPr>
              <w:pStyle w:val="TAC"/>
              <w:rPr>
                <w:lang w:eastAsia="en-US"/>
              </w:rPr>
            </w:pPr>
            <w:r w:rsidRPr="004D0DAA">
              <w:rPr>
                <w:lang w:eastAsia="en-US"/>
              </w:rPr>
              <w:t>Discard current MS_ID</w:t>
            </w:r>
          </w:p>
        </w:tc>
        <w:tc>
          <w:tcPr>
            <w:tcW w:w="1613" w:type="dxa"/>
            <w:gridSpan w:val="2"/>
            <w:vAlign w:val="center"/>
          </w:tcPr>
          <w:p w14:paraId="0F07F507" w14:textId="77777777" w:rsidR="00711444" w:rsidRPr="004D0DAA" w:rsidRDefault="00711444" w:rsidP="00AA2A4C">
            <w:pPr>
              <w:pStyle w:val="TAC"/>
              <w:rPr>
                <w:lang w:eastAsia="en-US"/>
              </w:rPr>
            </w:pPr>
            <w:r w:rsidRPr="004D0DAA">
              <w:rPr>
                <w:lang w:eastAsia="en-US"/>
              </w:rPr>
              <w:t>Keep current MS_ID</w:t>
            </w:r>
          </w:p>
        </w:tc>
        <w:tc>
          <w:tcPr>
            <w:tcW w:w="1613" w:type="dxa"/>
            <w:gridSpan w:val="2"/>
            <w:vAlign w:val="center"/>
          </w:tcPr>
          <w:p w14:paraId="3F4FC0A5" w14:textId="77777777" w:rsidR="00711444" w:rsidRPr="004D0DAA" w:rsidRDefault="00711444" w:rsidP="00AA2A4C">
            <w:pPr>
              <w:pStyle w:val="TAC"/>
              <w:rPr>
                <w:lang w:eastAsia="en-US"/>
              </w:rPr>
            </w:pPr>
            <w:r w:rsidRPr="004D0DAA">
              <w:rPr>
                <w:lang w:eastAsia="en-US"/>
              </w:rPr>
              <w:t xml:space="preserve">x </w:t>
            </w:r>
            <w:r w:rsidRPr="004D0DAA">
              <w:rPr>
                <w:lang w:eastAsia="en-US"/>
              </w:rPr>
              <w:sym w:font="Wingdings" w:char="F0E0"/>
            </w:r>
            <w:r w:rsidRPr="004D0DAA">
              <w:rPr>
                <w:lang w:eastAsia="en-US"/>
              </w:rPr>
              <w:t xml:space="preserve"> 0x</w:t>
            </w:r>
          </w:p>
          <w:p w14:paraId="719E4F22" w14:textId="77777777" w:rsidR="00711444" w:rsidRPr="004D0DAA" w:rsidRDefault="00711444" w:rsidP="00AA2A4C">
            <w:pPr>
              <w:pStyle w:val="TAC"/>
              <w:rPr>
                <w:lang w:eastAsia="en-US"/>
              </w:rPr>
            </w:pPr>
            <w:r w:rsidRPr="004D0DAA">
              <w:rPr>
                <w:lang w:eastAsia="en-US"/>
              </w:rPr>
              <w:t>New MS_IDs available</w:t>
            </w:r>
          </w:p>
        </w:tc>
        <w:tc>
          <w:tcPr>
            <w:tcW w:w="1604" w:type="dxa"/>
            <w:gridSpan w:val="2"/>
            <w:vAlign w:val="center"/>
          </w:tcPr>
          <w:p w14:paraId="614EB958" w14:textId="77777777" w:rsidR="00711444" w:rsidRPr="004D0DAA" w:rsidRDefault="00711444" w:rsidP="00AA2A4C">
            <w:pPr>
              <w:pStyle w:val="TAC"/>
              <w:rPr>
                <w:lang w:eastAsia="en-US"/>
              </w:rPr>
            </w:pPr>
            <w:r w:rsidRPr="004D0DAA">
              <w:rPr>
                <w:lang w:eastAsia="en-US"/>
              </w:rPr>
              <w:t xml:space="preserve">x </w:t>
            </w:r>
            <w:r w:rsidRPr="004D0DAA">
              <w:rPr>
                <w:lang w:eastAsia="en-US"/>
              </w:rPr>
              <w:sym w:font="Wingdings" w:char="F0E0"/>
            </w:r>
            <w:r w:rsidRPr="004D0DAA">
              <w:rPr>
                <w:lang w:eastAsia="en-US"/>
              </w:rPr>
              <w:t xml:space="preserve"> 00x</w:t>
            </w:r>
          </w:p>
          <w:p w14:paraId="242957B0" w14:textId="77777777" w:rsidR="00711444" w:rsidRPr="004D0DAA" w:rsidRDefault="00711444" w:rsidP="00AA2A4C">
            <w:pPr>
              <w:pStyle w:val="TAC"/>
              <w:rPr>
                <w:lang w:eastAsia="en-US"/>
              </w:rPr>
            </w:pPr>
            <w:r w:rsidRPr="004D0DAA">
              <w:rPr>
                <w:lang w:eastAsia="en-US"/>
              </w:rPr>
              <w:t>New MS_IDs available</w:t>
            </w:r>
          </w:p>
        </w:tc>
        <w:tc>
          <w:tcPr>
            <w:tcW w:w="1604" w:type="dxa"/>
            <w:gridSpan w:val="2"/>
            <w:vAlign w:val="center"/>
          </w:tcPr>
          <w:p w14:paraId="6115B1EF" w14:textId="77777777" w:rsidR="00711444" w:rsidRPr="004D0DAA" w:rsidRDefault="00711444" w:rsidP="00AA2A4C">
            <w:pPr>
              <w:pStyle w:val="TAC"/>
              <w:rPr>
                <w:lang w:eastAsia="en-US"/>
              </w:rPr>
            </w:pPr>
            <w:r w:rsidRPr="004D0DAA">
              <w:rPr>
                <w:lang w:eastAsia="en-US"/>
              </w:rPr>
              <w:t xml:space="preserve">x </w:t>
            </w:r>
            <w:r w:rsidRPr="004D0DAA">
              <w:rPr>
                <w:lang w:eastAsia="en-US"/>
              </w:rPr>
              <w:sym w:font="Wingdings" w:char="F0E0"/>
            </w:r>
            <w:r w:rsidRPr="004D0DAA">
              <w:rPr>
                <w:lang w:eastAsia="en-US"/>
              </w:rPr>
              <w:t xml:space="preserve"> 000x</w:t>
            </w:r>
          </w:p>
          <w:p w14:paraId="1858041B" w14:textId="77777777" w:rsidR="00711444" w:rsidRPr="004D0DAA" w:rsidRDefault="00711444" w:rsidP="00AA2A4C">
            <w:pPr>
              <w:pStyle w:val="TAC"/>
              <w:rPr>
                <w:lang w:eastAsia="en-US"/>
              </w:rPr>
            </w:pPr>
            <w:r w:rsidRPr="004D0DAA">
              <w:rPr>
                <w:lang w:eastAsia="en-US"/>
              </w:rPr>
              <w:t>New MS_IDs available</w:t>
            </w:r>
          </w:p>
        </w:tc>
      </w:tr>
      <w:tr w:rsidR="00711444" w:rsidRPr="004D0DAA" w14:paraId="78CF04AB" w14:textId="77777777" w:rsidTr="00AA2A4C">
        <w:tblPrEx>
          <w:tblCellMar>
            <w:top w:w="0" w:type="dxa"/>
            <w:bottom w:w="0" w:type="dxa"/>
          </w:tblCellMar>
        </w:tblPrEx>
        <w:trPr>
          <w:cantSplit/>
        </w:trPr>
        <w:tc>
          <w:tcPr>
            <w:tcW w:w="854" w:type="dxa"/>
            <w:vAlign w:val="center"/>
          </w:tcPr>
          <w:p w14:paraId="003D2D34" w14:textId="77777777" w:rsidR="00711444" w:rsidRPr="004D0DAA" w:rsidRDefault="00711444" w:rsidP="00AA2A4C">
            <w:pPr>
              <w:pStyle w:val="TAH"/>
              <w:rPr>
                <w:lang w:eastAsia="en-US"/>
              </w:rPr>
            </w:pPr>
            <w:r w:rsidRPr="004D0DAA">
              <w:rPr>
                <w:lang w:eastAsia="en-US"/>
              </w:rPr>
              <w:t>3 bits</w:t>
            </w:r>
          </w:p>
        </w:tc>
        <w:tc>
          <w:tcPr>
            <w:tcW w:w="853" w:type="dxa"/>
            <w:vAlign w:val="center"/>
          </w:tcPr>
          <w:p w14:paraId="45FBE394" w14:textId="77777777" w:rsidR="00711444" w:rsidRPr="004D0DAA" w:rsidRDefault="00711444" w:rsidP="00AA2A4C">
            <w:pPr>
              <w:pStyle w:val="TAH"/>
              <w:rPr>
                <w:lang w:eastAsia="en-US"/>
              </w:rPr>
            </w:pPr>
            <w:r w:rsidRPr="004D0DAA">
              <w:rPr>
                <w:lang w:eastAsia="en-US"/>
              </w:rPr>
              <w:t>2 bits</w:t>
            </w:r>
          </w:p>
        </w:tc>
        <w:tc>
          <w:tcPr>
            <w:tcW w:w="1612" w:type="dxa"/>
            <w:gridSpan w:val="2"/>
            <w:vMerge/>
            <w:vAlign w:val="center"/>
          </w:tcPr>
          <w:p w14:paraId="6B568DBD" w14:textId="77777777" w:rsidR="00711444" w:rsidRPr="004D0DAA" w:rsidRDefault="00711444" w:rsidP="00AA2A4C"/>
        </w:tc>
        <w:tc>
          <w:tcPr>
            <w:tcW w:w="1613" w:type="dxa"/>
            <w:gridSpan w:val="2"/>
            <w:vAlign w:val="center"/>
          </w:tcPr>
          <w:p w14:paraId="7288863D" w14:textId="77777777" w:rsidR="00711444" w:rsidRPr="004D0DAA" w:rsidRDefault="00711444" w:rsidP="00AA2A4C">
            <w:pPr>
              <w:pStyle w:val="TAC"/>
              <w:rPr>
                <w:lang w:eastAsia="en-US"/>
              </w:rPr>
            </w:pPr>
            <w:r w:rsidRPr="004D0DAA">
              <w:rPr>
                <w:lang w:eastAsia="en-US"/>
              </w:rPr>
              <w:t xml:space="preserve">0x </w:t>
            </w:r>
            <w:r w:rsidRPr="004D0DAA">
              <w:rPr>
                <w:lang w:eastAsia="en-US"/>
              </w:rPr>
              <w:sym w:font="Wingdings" w:char="F0E0"/>
            </w:r>
            <w:r w:rsidRPr="004D0DAA">
              <w:rPr>
                <w:lang w:eastAsia="en-US"/>
              </w:rPr>
              <w:t xml:space="preserve"> x</w:t>
            </w:r>
          </w:p>
          <w:p w14:paraId="7A92D8A7" w14:textId="77777777" w:rsidR="00711444" w:rsidRPr="004D0DAA" w:rsidRDefault="00711444" w:rsidP="00AA2A4C">
            <w:pPr>
              <w:pStyle w:val="TAC"/>
              <w:rPr>
                <w:lang w:eastAsia="en-US"/>
              </w:rPr>
            </w:pPr>
            <w:r w:rsidRPr="004D0DAA">
              <w:rPr>
                <w:lang w:eastAsia="en-US"/>
              </w:rPr>
              <w:t xml:space="preserve">1x </w:t>
            </w:r>
            <w:r w:rsidRPr="004D0DAA">
              <w:rPr>
                <w:lang w:eastAsia="en-US"/>
              </w:rPr>
              <w:sym w:font="Wingdings" w:char="F0E0"/>
            </w:r>
            <w:r w:rsidRPr="004D0DAA">
              <w:rPr>
                <w:lang w:eastAsia="en-US"/>
              </w:rPr>
              <w:t xml:space="preserve"> Discard current MS_ID</w:t>
            </w:r>
          </w:p>
        </w:tc>
        <w:tc>
          <w:tcPr>
            <w:tcW w:w="1613" w:type="dxa"/>
            <w:gridSpan w:val="2"/>
            <w:vAlign w:val="center"/>
          </w:tcPr>
          <w:p w14:paraId="6E8E80AB" w14:textId="77777777" w:rsidR="00711444" w:rsidRPr="004D0DAA" w:rsidRDefault="00711444" w:rsidP="00AA2A4C">
            <w:pPr>
              <w:pStyle w:val="TAC"/>
              <w:rPr>
                <w:lang w:eastAsia="en-US"/>
              </w:rPr>
            </w:pPr>
            <w:r w:rsidRPr="004D0DAA">
              <w:rPr>
                <w:lang w:eastAsia="en-US"/>
              </w:rPr>
              <w:t>Keep current MS_ID</w:t>
            </w:r>
          </w:p>
        </w:tc>
        <w:tc>
          <w:tcPr>
            <w:tcW w:w="1604" w:type="dxa"/>
            <w:gridSpan w:val="2"/>
            <w:vAlign w:val="center"/>
          </w:tcPr>
          <w:p w14:paraId="6BEAFFA7" w14:textId="77777777" w:rsidR="00711444" w:rsidRPr="004D0DAA" w:rsidRDefault="00711444" w:rsidP="00AA2A4C">
            <w:pPr>
              <w:pStyle w:val="TAC"/>
              <w:rPr>
                <w:lang w:eastAsia="en-US"/>
              </w:rPr>
            </w:pPr>
            <w:r w:rsidRPr="004D0DAA">
              <w:rPr>
                <w:lang w:eastAsia="en-US"/>
              </w:rPr>
              <w:t xml:space="preserve">xx </w:t>
            </w:r>
            <w:r w:rsidRPr="004D0DAA">
              <w:rPr>
                <w:lang w:eastAsia="en-US"/>
              </w:rPr>
              <w:sym w:font="Wingdings" w:char="F0E0"/>
            </w:r>
            <w:r w:rsidRPr="004D0DAA">
              <w:rPr>
                <w:lang w:eastAsia="en-US"/>
              </w:rPr>
              <w:t xml:space="preserve"> 0xx</w:t>
            </w:r>
          </w:p>
          <w:p w14:paraId="315E9A49" w14:textId="77777777" w:rsidR="00711444" w:rsidRPr="004D0DAA" w:rsidRDefault="00711444" w:rsidP="00AA2A4C">
            <w:pPr>
              <w:pStyle w:val="TAC"/>
              <w:rPr>
                <w:lang w:eastAsia="en-US"/>
              </w:rPr>
            </w:pPr>
            <w:r w:rsidRPr="004D0DAA">
              <w:rPr>
                <w:lang w:eastAsia="en-US"/>
              </w:rPr>
              <w:t>New MS_IDs available</w:t>
            </w:r>
          </w:p>
        </w:tc>
        <w:tc>
          <w:tcPr>
            <w:tcW w:w="1604" w:type="dxa"/>
            <w:gridSpan w:val="2"/>
            <w:vAlign w:val="center"/>
          </w:tcPr>
          <w:p w14:paraId="1551BCA9" w14:textId="77777777" w:rsidR="00711444" w:rsidRPr="004D0DAA" w:rsidRDefault="00711444" w:rsidP="00AA2A4C">
            <w:pPr>
              <w:pStyle w:val="TAC"/>
              <w:rPr>
                <w:lang w:eastAsia="en-US"/>
              </w:rPr>
            </w:pPr>
            <w:r w:rsidRPr="004D0DAA">
              <w:rPr>
                <w:lang w:eastAsia="en-US"/>
              </w:rPr>
              <w:t xml:space="preserve">xx </w:t>
            </w:r>
            <w:r w:rsidRPr="004D0DAA">
              <w:rPr>
                <w:lang w:eastAsia="en-US"/>
              </w:rPr>
              <w:sym w:font="Wingdings" w:char="F0E0"/>
            </w:r>
            <w:r w:rsidRPr="004D0DAA">
              <w:rPr>
                <w:lang w:eastAsia="en-US"/>
              </w:rPr>
              <w:t xml:space="preserve"> 00xx</w:t>
            </w:r>
          </w:p>
          <w:p w14:paraId="7BBF6693" w14:textId="77777777" w:rsidR="00711444" w:rsidRPr="004D0DAA" w:rsidRDefault="00711444" w:rsidP="00AA2A4C">
            <w:pPr>
              <w:pStyle w:val="TAC"/>
              <w:rPr>
                <w:lang w:eastAsia="en-US"/>
              </w:rPr>
            </w:pPr>
            <w:r w:rsidRPr="004D0DAA">
              <w:rPr>
                <w:lang w:eastAsia="en-US"/>
              </w:rPr>
              <w:t>New MS_IDs available</w:t>
            </w:r>
          </w:p>
        </w:tc>
      </w:tr>
      <w:tr w:rsidR="00711444" w:rsidRPr="004D0DAA" w14:paraId="0085770E" w14:textId="77777777" w:rsidTr="00AA2A4C">
        <w:tblPrEx>
          <w:tblCellMar>
            <w:top w:w="0" w:type="dxa"/>
            <w:bottom w:w="0" w:type="dxa"/>
          </w:tblCellMar>
        </w:tblPrEx>
        <w:trPr>
          <w:cantSplit/>
        </w:trPr>
        <w:tc>
          <w:tcPr>
            <w:tcW w:w="854" w:type="dxa"/>
            <w:vAlign w:val="center"/>
          </w:tcPr>
          <w:p w14:paraId="38F30A49" w14:textId="77777777" w:rsidR="00711444" w:rsidRPr="004D0DAA" w:rsidRDefault="00711444" w:rsidP="00AA2A4C">
            <w:pPr>
              <w:pStyle w:val="TAH"/>
              <w:rPr>
                <w:lang w:eastAsia="en-US"/>
              </w:rPr>
            </w:pPr>
            <w:r w:rsidRPr="004D0DAA">
              <w:rPr>
                <w:lang w:eastAsia="en-US"/>
              </w:rPr>
              <w:t>2 bits</w:t>
            </w:r>
          </w:p>
        </w:tc>
        <w:tc>
          <w:tcPr>
            <w:tcW w:w="853" w:type="dxa"/>
            <w:vAlign w:val="center"/>
          </w:tcPr>
          <w:p w14:paraId="5EDE573A" w14:textId="77777777" w:rsidR="00711444" w:rsidRPr="004D0DAA" w:rsidRDefault="00711444" w:rsidP="00AA2A4C">
            <w:pPr>
              <w:pStyle w:val="TAH"/>
              <w:rPr>
                <w:lang w:eastAsia="en-US"/>
              </w:rPr>
            </w:pPr>
            <w:r w:rsidRPr="004D0DAA">
              <w:rPr>
                <w:lang w:eastAsia="en-US"/>
              </w:rPr>
              <w:t>3 bits</w:t>
            </w:r>
          </w:p>
        </w:tc>
        <w:tc>
          <w:tcPr>
            <w:tcW w:w="1612" w:type="dxa"/>
            <w:gridSpan w:val="2"/>
            <w:vMerge/>
            <w:vAlign w:val="center"/>
          </w:tcPr>
          <w:p w14:paraId="12C53B91" w14:textId="77777777" w:rsidR="00711444" w:rsidRPr="004D0DAA" w:rsidRDefault="00711444" w:rsidP="00AA2A4C"/>
        </w:tc>
        <w:tc>
          <w:tcPr>
            <w:tcW w:w="1613" w:type="dxa"/>
            <w:gridSpan w:val="2"/>
            <w:vAlign w:val="center"/>
          </w:tcPr>
          <w:p w14:paraId="338AE7F1" w14:textId="77777777" w:rsidR="00711444" w:rsidRPr="004D0DAA" w:rsidRDefault="00711444" w:rsidP="00AA2A4C">
            <w:pPr>
              <w:pStyle w:val="TAC"/>
              <w:rPr>
                <w:lang w:eastAsia="en-US"/>
              </w:rPr>
            </w:pPr>
            <w:r w:rsidRPr="004D0DAA">
              <w:rPr>
                <w:lang w:eastAsia="en-US"/>
              </w:rPr>
              <w:t xml:space="preserve">00x </w:t>
            </w:r>
            <w:r w:rsidRPr="004D0DAA">
              <w:rPr>
                <w:lang w:eastAsia="en-US"/>
              </w:rPr>
              <w:sym w:font="Wingdings" w:char="F0E0"/>
            </w:r>
            <w:r w:rsidRPr="004D0DAA">
              <w:rPr>
                <w:lang w:eastAsia="en-US"/>
              </w:rPr>
              <w:t xml:space="preserve"> x</w:t>
            </w:r>
          </w:p>
          <w:p w14:paraId="72F0E037" w14:textId="77777777" w:rsidR="00711444" w:rsidRPr="004D0DAA" w:rsidRDefault="00711444" w:rsidP="00AA2A4C">
            <w:pPr>
              <w:pStyle w:val="TAC"/>
              <w:rPr>
                <w:lang w:eastAsia="en-US"/>
              </w:rPr>
            </w:pPr>
            <w:r w:rsidRPr="004D0DAA">
              <w:rPr>
                <w:lang w:eastAsia="en-US"/>
              </w:rPr>
              <w:t xml:space="preserve">Other </w:t>
            </w:r>
            <w:r w:rsidRPr="004D0DAA">
              <w:rPr>
                <w:lang w:eastAsia="en-US"/>
              </w:rPr>
              <w:sym w:font="Wingdings" w:char="F0E0"/>
            </w:r>
            <w:r w:rsidRPr="004D0DAA">
              <w:rPr>
                <w:lang w:eastAsia="en-US"/>
              </w:rPr>
              <w:t xml:space="preserve"> Discard current MS_ID</w:t>
            </w:r>
          </w:p>
        </w:tc>
        <w:tc>
          <w:tcPr>
            <w:tcW w:w="1613" w:type="dxa"/>
            <w:gridSpan w:val="2"/>
            <w:vAlign w:val="center"/>
          </w:tcPr>
          <w:p w14:paraId="1DD68BC1" w14:textId="77777777" w:rsidR="00711444" w:rsidRPr="004D0DAA" w:rsidRDefault="00711444" w:rsidP="00AA2A4C">
            <w:pPr>
              <w:pStyle w:val="TAC"/>
              <w:rPr>
                <w:lang w:eastAsia="en-US"/>
              </w:rPr>
            </w:pPr>
            <w:r w:rsidRPr="004D0DAA">
              <w:rPr>
                <w:lang w:eastAsia="en-US"/>
              </w:rPr>
              <w:t xml:space="preserve">0xx </w:t>
            </w:r>
            <w:r w:rsidRPr="004D0DAA">
              <w:rPr>
                <w:lang w:eastAsia="en-US"/>
              </w:rPr>
              <w:sym w:font="Wingdings" w:char="F0E0"/>
            </w:r>
            <w:r w:rsidRPr="004D0DAA">
              <w:rPr>
                <w:lang w:eastAsia="en-US"/>
              </w:rPr>
              <w:t xml:space="preserve"> xx</w:t>
            </w:r>
          </w:p>
          <w:p w14:paraId="4ABC22A3" w14:textId="77777777" w:rsidR="00711444" w:rsidRPr="004D0DAA" w:rsidRDefault="00711444" w:rsidP="00AA2A4C">
            <w:pPr>
              <w:pStyle w:val="TAC"/>
              <w:rPr>
                <w:lang w:eastAsia="en-US"/>
              </w:rPr>
            </w:pPr>
            <w:r w:rsidRPr="004D0DAA">
              <w:rPr>
                <w:lang w:eastAsia="en-US"/>
              </w:rPr>
              <w:t xml:space="preserve">1xx </w:t>
            </w:r>
            <w:r w:rsidRPr="004D0DAA">
              <w:rPr>
                <w:lang w:eastAsia="en-US"/>
              </w:rPr>
              <w:sym w:font="Wingdings" w:char="F0E0"/>
            </w:r>
            <w:r w:rsidRPr="004D0DAA">
              <w:rPr>
                <w:lang w:eastAsia="en-US"/>
              </w:rPr>
              <w:t xml:space="preserve"> Discard current MS_ID</w:t>
            </w:r>
          </w:p>
        </w:tc>
        <w:tc>
          <w:tcPr>
            <w:tcW w:w="1604" w:type="dxa"/>
            <w:gridSpan w:val="2"/>
            <w:vAlign w:val="center"/>
          </w:tcPr>
          <w:p w14:paraId="2E89918C" w14:textId="77777777" w:rsidR="00711444" w:rsidRPr="004D0DAA" w:rsidRDefault="00711444" w:rsidP="00AA2A4C">
            <w:pPr>
              <w:pStyle w:val="TAC"/>
              <w:rPr>
                <w:lang w:eastAsia="en-US"/>
              </w:rPr>
            </w:pPr>
            <w:r w:rsidRPr="004D0DAA">
              <w:rPr>
                <w:lang w:eastAsia="en-US"/>
              </w:rPr>
              <w:t>Keep current MS_ID</w:t>
            </w:r>
          </w:p>
        </w:tc>
        <w:tc>
          <w:tcPr>
            <w:tcW w:w="1604" w:type="dxa"/>
            <w:gridSpan w:val="2"/>
            <w:vAlign w:val="center"/>
          </w:tcPr>
          <w:p w14:paraId="6EA16287" w14:textId="77777777" w:rsidR="00711444" w:rsidRPr="004D0DAA" w:rsidRDefault="00711444" w:rsidP="00AA2A4C">
            <w:pPr>
              <w:pStyle w:val="TAC"/>
              <w:rPr>
                <w:lang w:eastAsia="en-US"/>
              </w:rPr>
            </w:pPr>
            <w:r w:rsidRPr="004D0DAA">
              <w:rPr>
                <w:lang w:eastAsia="en-US"/>
              </w:rPr>
              <w:t xml:space="preserve">xxx </w:t>
            </w:r>
            <w:r w:rsidRPr="004D0DAA">
              <w:rPr>
                <w:lang w:eastAsia="en-US"/>
              </w:rPr>
              <w:sym w:font="Wingdings" w:char="F0E0"/>
            </w:r>
            <w:r w:rsidRPr="004D0DAA">
              <w:rPr>
                <w:lang w:eastAsia="en-US"/>
              </w:rPr>
              <w:t xml:space="preserve"> 0xxx</w:t>
            </w:r>
          </w:p>
          <w:p w14:paraId="404DB780" w14:textId="77777777" w:rsidR="00711444" w:rsidRPr="004D0DAA" w:rsidRDefault="00711444" w:rsidP="00AA2A4C">
            <w:pPr>
              <w:pStyle w:val="TAC"/>
              <w:rPr>
                <w:lang w:eastAsia="en-US"/>
              </w:rPr>
            </w:pPr>
            <w:r w:rsidRPr="004D0DAA">
              <w:rPr>
                <w:lang w:eastAsia="en-US"/>
              </w:rPr>
              <w:t>New MS_IDs available</w:t>
            </w:r>
          </w:p>
        </w:tc>
      </w:tr>
      <w:tr w:rsidR="00711444" w:rsidRPr="004D0DAA" w14:paraId="5B55FF99" w14:textId="77777777" w:rsidTr="00AA2A4C">
        <w:tblPrEx>
          <w:tblCellMar>
            <w:top w:w="0" w:type="dxa"/>
            <w:bottom w:w="0" w:type="dxa"/>
          </w:tblCellMar>
        </w:tblPrEx>
        <w:trPr>
          <w:cantSplit/>
        </w:trPr>
        <w:tc>
          <w:tcPr>
            <w:tcW w:w="854" w:type="dxa"/>
            <w:vAlign w:val="center"/>
          </w:tcPr>
          <w:p w14:paraId="1B35077D" w14:textId="77777777" w:rsidR="00711444" w:rsidRPr="004D0DAA" w:rsidRDefault="00711444" w:rsidP="00AA2A4C">
            <w:pPr>
              <w:pStyle w:val="TAH"/>
              <w:rPr>
                <w:lang w:eastAsia="en-US"/>
              </w:rPr>
            </w:pPr>
            <w:r w:rsidRPr="004D0DAA">
              <w:rPr>
                <w:lang w:eastAsia="en-US"/>
              </w:rPr>
              <w:t>1 bit</w:t>
            </w:r>
          </w:p>
        </w:tc>
        <w:tc>
          <w:tcPr>
            <w:tcW w:w="853" w:type="dxa"/>
            <w:vAlign w:val="center"/>
          </w:tcPr>
          <w:p w14:paraId="5C6D111D" w14:textId="77777777" w:rsidR="00711444" w:rsidRPr="004D0DAA" w:rsidRDefault="00711444" w:rsidP="00AA2A4C">
            <w:pPr>
              <w:pStyle w:val="TAH"/>
              <w:rPr>
                <w:lang w:eastAsia="en-US"/>
              </w:rPr>
            </w:pPr>
            <w:r w:rsidRPr="004D0DAA">
              <w:rPr>
                <w:lang w:eastAsia="en-US"/>
              </w:rPr>
              <w:t>4 bits</w:t>
            </w:r>
          </w:p>
        </w:tc>
        <w:tc>
          <w:tcPr>
            <w:tcW w:w="1612" w:type="dxa"/>
            <w:gridSpan w:val="2"/>
            <w:vMerge/>
            <w:vAlign w:val="center"/>
          </w:tcPr>
          <w:p w14:paraId="5F366E8C" w14:textId="77777777" w:rsidR="00711444" w:rsidRPr="004D0DAA" w:rsidRDefault="00711444" w:rsidP="00AA2A4C"/>
        </w:tc>
        <w:tc>
          <w:tcPr>
            <w:tcW w:w="1613" w:type="dxa"/>
            <w:gridSpan w:val="2"/>
            <w:vAlign w:val="center"/>
          </w:tcPr>
          <w:p w14:paraId="463BCD52" w14:textId="77777777" w:rsidR="00711444" w:rsidRPr="004D0DAA" w:rsidRDefault="00711444" w:rsidP="00AA2A4C">
            <w:pPr>
              <w:pStyle w:val="TAC"/>
              <w:rPr>
                <w:lang w:eastAsia="en-US"/>
              </w:rPr>
            </w:pPr>
            <w:r w:rsidRPr="004D0DAA">
              <w:rPr>
                <w:lang w:eastAsia="en-US"/>
              </w:rPr>
              <w:t xml:space="preserve">000x </w:t>
            </w:r>
            <w:r w:rsidRPr="004D0DAA">
              <w:rPr>
                <w:lang w:eastAsia="en-US"/>
              </w:rPr>
              <w:sym w:font="Wingdings" w:char="F0E0"/>
            </w:r>
            <w:r w:rsidRPr="004D0DAA">
              <w:rPr>
                <w:lang w:eastAsia="en-US"/>
              </w:rPr>
              <w:t xml:space="preserve"> x</w:t>
            </w:r>
          </w:p>
          <w:p w14:paraId="7F40A22B" w14:textId="77777777" w:rsidR="00711444" w:rsidRPr="004D0DAA" w:rsidRDefault="00711444" w:rsidP="00AA2A4C">
            <w:pPr>
              <w:pStyle w:val="TAC"/>
              <w:rPr>
                <w:lang w:eastAsia="en-US"/>
              </w:rPr>
            </w:pPr>
            <w:r w:rsidRPr="004D0DAA">
              <w:rPr>
                <w:lang w:eastAsia="en-US"/>
              </w:rPr>
              <w:t xml:space="preserve">Other </w:t>
            </w:r>
            <w:r w:rsidRPr="004D0DAA">
              <w:rPr>
                <w:lang w:eastAsia="en-US"/>
              </w:rPr>
              <w:sym w:font="Wingdings" w:char="F0E0"/>
            </w:r>
            <w:r w:rsidRPr="004D0DAA">
              <w:rPr>
                <w:lang w:eastAsia="en-US"/>
              </w:rPr>
              <w:t xml:space="preserve"> Discard current MS_ID</w:t>
            </w:r>
          </w:p>
        </w:tc>
        <w:tc>
          <w:tcPr>
            <w:tcW w:w="1613" w:type="dxa"/>
            <w:gridSpan w:val="2"/>
            <w:vAlign w:val="center"/>
          </w:tcPr>
          <w:p w14:paraId="6D9A5496" w14:textId="77777777" w:rsidR="00711444" w:rsidRPr="004D0DAA" w:rsidRDefault="00711444" w:rsidP="00AA2A4C">
            <w:pPr>
              <w:pStyle w:val="TAC"/>
              <w:rPr>
                <w:lang w:eastAsia="en-US"/>
              </w:rPr>
            </w:pPr>
            <w:r w:rsidRPr="004D0DAA">
              <w:rPr>
                <w:lang w:eastAsia="en-US"/>
              </w:rPr>
              <w:t xml:space="preserve">00xx </w:t>
            </w:r>
            <w:r w:rsidRPr="004D0DAA">
              <w:rPr>
                <w:lang w:eastAsia="en-US"/>
              </w:rPr>
              <w:sym w:font="Wingdings" w:char="F0E0"/>
            </w:r>
            <w:r w:rsidRPr="004D0DAA">
              <w:rPr>
                <w:lang w:eastAsia="en-US"/>
              </w:rPr>
              <w:t xml:space="preserve"> xx</w:t>
            </w:r>
          </w:p>
          <w:p w14:paraId="54AC0031" w14:textId="77777777" w:rsidR="00711444" w:rsidRPr="004D0DAA" w:rsidRDefault="00711444" w:rsidP="00AA2A4C">
            <w:pPr>
              <w:pStyle w:val="TAC"/>
              <w:rPr>
                <w:lang w:eastAsia="en-US"/>
              </w:rPr>
            </w:pPr>
            <w:r w:rsidRPr="004D0DAA">
              <w:rPr>
                <w:lang w:eastAsia="en-US"/>
              </w:rPr>
              <w:t xml:space="preserve">Other </w:t>
            </w:r>
            <w:r w:rsidRPr="004D0DAA">
              <w:rPr>
                <w:lang w:eastAsia="en-US"/>
              </w:rPr>
              <w:sym w:font="Wingdings" w:char="F0E0"/>
            </w:r>
            <w:r w:rsidRPr="004D0DAA">
              <w:rPr>
                <w:lang w:eastAsia="en-US"/>
              </w:rPr>
              <w:t xml:space="preserve"> Discard current MS_ID</w:t>
            </w:r>
          </w:p>
        </w:tc>
        <w:tc>
          <w:tcPr>
            <w:tcW w:w="1604" w:type="dxa"/>
            <w:gridSpan w:val="2"/>
            <w:vAlign w:val="center"/>
          </w:tcPr>
          <w:p w14:paraId="659041D3" w14:textId="77777777" w:rsidR="00711444" w:rsidRPr="004D0DAA" w:rsidRDefault="00711444" w:rsidP="00AA2A4C">
            <w:pPr>
              <w:pStyle w:val="TAC"/>
              <w:rPr>
                <w:lang w:eastAsia="en-US"/>
              </w:rPr>
            </w:pPr>
            <w:r w:rsidRPr="004D0DAA">
              <w:rPr>
                <w:lang w:eastAsia="en-US"/>
              </w:rPr>
              <w:t xml:space="preserve">0xxx </w:t>
            </w:r>
            <w:r w:rsidRPr="004D0DAA">
              <w:rPr>
                <w:lang w:eastAsia="en-US"/>
              </w:rPr>
              <w:sym w:font="Wingdings" w:char="F0E0"/>
            </w:r>
            <w:r w:rsidRPr="004D0DAA">
              <w:rPr>
                <w:lang w:eastAsia="en-US"/>
              </w:rPr>
              <w:t xml:space="preserve"> xxx</w:t>
            </w:r>
          </w:p>
          <w:p w14:paraId="6A3A1650" w14:textId="77777777" w:rsidR="00711444" w:rsidRPr="004D0DAA" w:rsidRDefault="00711444" w:rsidP="00AA2A4C">
            <w:pPr>
              <w:pStyle w:val="TAC"/>
              <w:rPr>
                <w:lang w:eastAsia="en-US"/>
              </w:rPr>
            </w:pPr>
            <w:r w:rsidRPr="004D0DAA">
              <w:rPr>
                <w:lang w:eastAsia="en-US"/>
              </w:rPr>
              <w:t xml:space="preserve">1xxx </w:t>
            </w:r>
            <w:r w:rsidRPr="004D0DAA">
              <w:rPr>
                <w:lang w:eastAsia="en-US"/>
              </w:rPr>
              <w:sym w:font="Wingdings" w:char="F0E0"/>
            </w:r>
            <w:r w:rsidRPr="004D0DAA">
              <w:rPr>
                <w:lang w:eastAsia="en-US"/>
              </w:rPr>
              <w:t xml:space="preserve"> Discard current MS_ID</w:t>
            </w:r>
          </w:p>
        </w:tc>
        <w:tc>
          <w:tcPr>
            <w:tcW w:w="1604" w:type="dxa"/>
            <w:gridSpan w:val="2"/>
            <w:vAlign w:val="center"/>
          </w:tcPr>
          <w:p w14:paraId="5176F306" w14:textId="77777777" w:rsidR="00711444" w:rsidRPr="004D0DAA" w:rsidRDefault="00711444" w:rsidP="00AA2A4C">
            <w:pPr>
              <w:pStyle w:val="TAC"/>
              <w:rPr>
                <w:lang w:eastAsia="en-US"/>
              </w:rPr>
            </w:pPr>
            <w:r w:rsidRPr="004D0DAA">
              <w:rPr>
                <w:lang w:eastAsia="en-US"/>
              </w:rPr>
              <w:t>Keep current MS_ID</w:t>
            </w:r>
          </w:p>
        </w:tc>
      </w:tr>
      <w:tr w:rsidR="00711444" w:rsidRPr="004D0DAA" w14:paraId="14E18896" w14:textId="77777777" w:rsidTr="00AA2A4C">
        <w:tblPrEx>
          <w:tblCellMar>
            <w:top w:w="0" w:type="dxa"/>
            <w:bottom w:w="0" w:type="dxa"/>
          </w:tblCellMar>
        </w:tblPrEx>
        <w:trPr>
          <w:cantSplit/>
        </w:trPr>
        <w:tc>
          <w:tcPr>
            <w:tcW w:w="9753" w:type="dxa"/>
            <w:gridSpan w:val="12"/>
          </w:tcPr>
          <w:p w14:paraId="0D3B894C" w14:textId="77777777" w:rsidR="00711444" w:rsidRPr="004D0DAA" w:rsidRDefault="00711444" w:rsidP="00AA2A4C">
            <w:pPr>
              <w:pStyle w:val="TAN"/>
              <w:rPr>
                <w:lang w:eastAsia="en-US"/>
              </w:rPr>
            </w:pPr>
            <w:r w:rsidRPr="004D0DAA">
              <w:rPr>
                <w:lang w:eastAsia="en-US"/>
              </w:rPr>
              <w:t>NOTE:</w:t>
            </w:r>
            <w:r w:rsidRPr="004D0DAA">
              <w:rPr>
                <w:lang w:eastAsia="en-US"/>
              </w:rPr>
              <w:tab/>
              <w:t>The following notations are used:</w:t>
            </w:r>
          </w:p>
          <w:p w14:paraId="400ECDA0" w14:textId="77777777" w:rsidR="00711444" w:rsidRPr="004D0DAA" w:rsidRDefault="00711444" w:rsidP="00AA2A4C">
            <w:pPr>
              <w:pStyle w:val="TAN"/>
              <w:rPr>
                <w:lang w:eastAsia="en-US"/>
              </w:rPr>
            </w:pPr>
            <w:r w:rsidRPr="004D0DAA">
              <w:rPr>
                <w:lang w:eastAsia="en-US"/>
              </w:rPr>
              <w:tab/>
              <w:t>"No MS_ID": no MS_ID available. MS is not allowed to use feedback</w:t>
            </w:r>
          </w:p>
          <w:p w14:paraId="12F342A1" w14:textId="77777777" w:rsidR="00711444" w:rsidRPr="004D0DAA" w:rsidRDefault="00711444" w:rsidP="00AA2A4C">
            <w:pPr>
              <w:pStyle w:val="TAN"/>
              <w:rPr>
                <w:lang w:eastAsia="en-US"/>
              </w:rPr>
            </w:pPr>
            <w:r w:rsidRPr="004D0DAA">
              <w:rPr>
                <w:lang w:eastAsia="en-US"/>
              </w:rPr>
              <w:tab/>
              <w:t>"Discard current MS_ID": MS shall discard the current MS_ID. MS is no longer allowed to use feedback</w:t>
            </w:r>
          </w:p>
          <w:p w14:paraId="194FC341" w14:textId="77777777" w:rsidR="00711444" w:rsidRPr="004D0DAA" w:rsidRDefault="00711444" w:rsidP="00AA2A4C">
            <w:pPr>
              <w:pStyle w:val="TAN"/>
              <w:rPr>
                <w:lang w:eastAsia="en-US"/>
              </w:rPr>
            </w:pPr>
            <w:r w:rsidRPr="004D0DAA">
              <w:rPr>
                <w:lang w:eastAsia="en-US"/>
              </w:rPr>
              <w:tab/>
              <w:t>"New MS_IDs available": MS_IDs are made available for incoming MSs</w:t>
            </w:r>
          </w:p>
          <w:p w14:paraId="240240E6" w14:textId="77777777" w:rsidR="00711444" w:rsidRPr="004D0DAA" w:rsidRDefault="00711444" w:rsidP="00AA2A4C">
            <w:pPr>
              <w:pStyle w:val="TAN"/>
              <w:rPr>
                <w:lang w:eastAsia="en-US"/>
              </w:rPr>
            </w:pPr>
            <w:r w:rsidRPr="004D0DAA">
              <w:rPr>
                <w:lang w:eastAsia="en-US"/>
              </w:rPr>
              <w:tab/>
              <w:t>"Keep current MS_ID": MS shall keep its current MS_ID and use feedback (i.e. reply when polled with this MS_ID)</w:t>
            </w:r>
          </w:p>
          <w:p w14:paraId="05807872" w14:textId="77777777" w:rsidR="00711444" w:rsidRPr="004D0DAA" w:rsidRDefault="00711444" w:rsidP="00AA2A4C">
            <w:pPr>
              <w:pStyle w:val="TAN"/>
              <w:rPr>
                <w:lang w:eastAsia="en-US"/>
              </w:rPr>
            </w:pPr>
            <w:r w:rsidRPr="004D0DAA">
              <w:rPr>
                <w:lang w:eastAsia="en-US"/>
              </w:rPr>
              <w:tab/>
              <w:t xml:space="preserve"> n </w:t>
            </w:r>
            <w:r w:rsidRPr="004D0DAA">
              <w:rPr>
                <w:lang w:eastAsia="en-US"/>
              </w:rPr>
              <w:sym w:font="Wingdings" w:char="F0E0"/>
            </w:r>
            <w:r w:rsidRPr="004D0DAA">
              <w:rPr>
                <w:lang w:eastAsia="en-US"/>
              </w:rPr>
              <w:t xml:space="preserve"> m: current MS_ID </w:t>
            </w:r>
            <w:r w:rsidRPr="004D0DAA">
              <w:rPr>
                <w:lang w:eastAsia="en-US"/>
              </w:rPr>
              <w:sym w:font="Wingdings" w:char="F0E0"/>
            </w:r>
            <w:r w:rsidRPr="004D0DAA">
              <w:rPr>
                <w:lang w:eastAsia="en-US"/>
              </w:rPr>
              <w:t xml:space="preserve"> new MS_ID. Defines the value of the new MS_ID based on the value of the current MS_ID </w:t>
            </w:r>
          </w:p>
          <w:p w14:paraId="2C996C6E" w14:textId="77777777" w:rsidR="00711444" w:rsidRPr="004D0DAA" w:rsidRDefault="00711444" w:rsidP="00AA2A4C">
            <w:pPr>
              <w:pStyle w:val="TAN"/>
              <w:rPr>
                <w:lang w:eastAsia="en-US"/>
              </w:rPr>
            </w:pPr>
            <w:r w:rsidRPr="004D0DAA">
              <w:rPr>
                <w:lang w:eastAsia="en-US"/>
              </w:rPr>
              <w:tab/>
              <w:t xml:space="preserve">"x" </w:t>
            </w:r>
            <w:r w:rsidRPr="004D0DAA">
              <w:rPr>
                <w:lang w:eastAsia="en-US"/>
              </w:rPr>
              <w:sym w:font="Wingdings" w:char="F0E0"/>
            </w:r>
            <w:r w:rsidRPr="004D0DAA">
              <w:rPr>
                <w:lang w:eastAsia="en-US"/>
              </w:rPr>
              <w:t xml:space="preserve"> "x" means the same bit value is used</w:t>
            </w:r>
          </w:p>
        </w:tc>
      </w:tr>
    </w:tbl>
    <w:p w14:paraId="2B41A70E" w14:textId="77777777" w:rsidR="00711444" w:rsidRPr="004D0DAA" w:rsidRDefault="00711444" w:rsidP="00711444"/>
    <w:p w14:paraId="10B27F48" w14:textId="77777777" w:rsidR="00711444" w:rsidRPr="004D0DAA" w:rsidRDefault="00711444" w:rsidP="00711444">
      <w:r w:rsidRPr="004D0DAA">
        <w:t xml:space="preserve">The network shall start timer T3191 at the point in time denoted by the MBMS radio bearer starting time, if present, and immediately otherwise. When timer T3191 expires the network may reuse the TFI values corresponding to the old MBMS Bearer Identity, i.e. the TFI values including the old MBMS Bearer Identity in the most significant bit(s) of the TFI field. </w:t>
      </w:r>
    </w:p>
    <w:p w14:paraId="2AC9B3AA" w14:textId="77777777" w:rsidR="00711444" w:rsidRPr="004D0DAA" w:rsidRDefault="00711444" w:rsidP="00711444">
      <w:pPr>
        <w:pStyle w:val="Heading5"/>
      </w:pPr>
      <w:bookmarkStart w:id="299" w:name="_Toc516669486"/>
      <w:r w:rsidRPr="004D0DAA">
        <w:t>8.1.4.3.3</w:t>
      </w:r>
      <w:r w:rsidRPr="004D0DAA">
        <w:tab/>
        <w:t>Resource reassignment for an MBMS radio bearer</w:t>
      </w:r>
      <w:bookmarkEnd w:id="299"/>
    </w:p>
    <w:p w14:paraId="16FE57AD" w14:textId="77777777" w:rsidR="00711444" w:rsidRPr="004D0DAA" w:rsidRDefault="00711444" w:rsidP="00711444">
      <w:r w:rsidRPr="004D0DAA">
        <w:t xml:space="preserve">The network may initiate resource reassignment for an MBMS radio bearer by sending the MBMS ASSIGNMENT (NON-DISTRIBUTION) message, including the MBMS Bearer Identity (in the most significant bit(s) of </w:t>
      </w:r>
      <w:r w:rsidRPr="004D0DAA">
        <w:rPr>
          <w:lang w:eastAsia="ko-KR"/>
        </w:rPr>
        <w:t>the DOWNLINK_TFI field</w:t>
      </w:r>
      <w:r w:rsidRPr="004D0DAA">
        <w:t xml:space="preserve"> contained in the Global TFI), </w:t>
      </w:r>
      <w:r w:rsidRPr="004D0DAA">
        <w:rPr>
          <w:lang w:eastAsia="ko-KR"/>
        </w:rPr>
        <w:t>on the PACCH/D of the MBMS radio bearer</w:t>
      </w:r>
      <w:r w:rsidRPr="004D0DAA">
        <w:t>. During the reassignment of the MBMS radio bearer its associated MBMS Bearer Identity may be changed.</w:t>
      </w:r>
    </w:p>
    <w:p w14:paraId="3676564C" w14:textId="77777777" w:rsidR="00711444" w:rsidRPr="004D0DAA" w:rsidRDefault="00711444" w:rsidP="00711444">
      <w:r w:rsidRPr="004D0DAA">
        <w:t>In case of partial or complete overlap between the old and the new resource configuration on the downlink, the MBMS Bearer Identity shall be changed.</w:t>
      </w:r>
    </w:p>
    <w:p w14:paraId="74D98244" w14:textId="77777777" w:rsidR="00711444" w:rsidRPr="004D0DAA" w:rsidRDefault="00711444" w:rsidP="00711444">
      <w:r w:rsidRPr="004D0DAA">
        <w:t>If the MBMS Bearer Identity is changed the network shall not reuse the TFI values including the old MBMS Bearer Identity in the most significant bit(s) of the TFI field.</w:t>
      </w:r>
    </w:p>
    <w:p w14:paraId="576750AE" w14:textId="77777777" w:rsidR="00711444" w:rsidRPr="004D0DAA" w:rsidRDefault="00711444" w:rsidP="00711444">
      <w:r w:rsidRPr="004D0DAA">
        <w:lastRenderedPageBreak/>
        <w:t>If the mobile station receives more than one MBMS ASSIGNMENT (NON-DISTRIBUTION) message for a given MBMS radio bearer, it shall act upon the most recently received message and shall ignore the previous message.</w:t>
      </w:r>
    </w:p>
    <w:p w14:paraId="318F054B" w14:textId="77777777" w:rsidR="00711444" w:rsidRPr="004D0DAA" w:rsidRDefault="00711444" w:rsidP="00711444">
      <w:pPr>
        <w:rPr>
          <w:lang w:eastAsia="ko-KR"/>
        </w:rPr>
      </w:pPr>
      <w:r w:rsidRPr="004D0DAA">
        <w:t>If a valid RRBP field is received as part of the MBMS ASSIGNMENT (NON-DISTRIBUTION) message, the mobile station identified by the corresponding MS_ID shall respond with a PACKET CONTROL ACKNOWLEDGEMENT message in the specified uplink radio block.</w:t>
      </w:r>
    </w:p>
    <w:p w14:paraId="56CADF2B" w14:textId="77777777" w:rsidR="00711444" w:rsidRPr="004D0DAA" w:rsidRDefault="00711444" w:rsidP="00711444">
      <w:pPr>
        <w:rPr>
          <w:lang w:eastAsia="ko-KR"/>
        </w:rPr>
      </w:pPr>
      <w:r w:rsidRPr="004D0DAA">
        <w:t xml:space="preserve">On receipt of an MBMS ASSIGNMENT (NON-DISTRIBUTION) message, and at the point in time denoted by the MBMS radio bearer starting time, if present, the mobile station shall switch to the assigned PDCHs. Upon switching to the assigned PDCHs the mobile station shall restart timer T3190 for the newly assigned MBMS radio bearer. The mobile station shall restart timer T3190 whenever receiving a valid RLC/MAC block belonging to that MBMS radio bearer. </w:t>
      </w:r>
      <w:r w:rsidRPr="004D0DAA">
        <w:rPr>
          <w:rFonts w:eastAsia="SimSun"/>
          <w:lang w:eastAsia="zh-CN" w:bidi="he-IL"/>
        </w:rPr>
        <w:t xml:space="preserve">In EGPRS TBF mode </w:t>
      </w:r>
      <w:r w:rsidRPr="004D0DAA">
        <w:t>T3190 is also restarted</w:t>
      </w:r>
      <w:r w:rsidRPr="004D0DAA">
        <w:rPr>
          <w:rFonts w:eastAsia="SimSun"/>
          <w:lang w:eastAsia="zh-CN" w:bidi="he-IL"/>
        </w:rPr>
        <w:t xml:space="preserve"> when receiving an </w:t>
      </w:r>
      <w:r w:rsidRPr="004D0DAA">
        <w:t xml:space="preserve">erroneous RLC data block for which the header is correctly received and which addresses the mobile station.If timer T3190 expires, the mobile station shall consider the MBMS radio bearer as released and </w:t>
      </w:r>
      <w:r w:rsidRPr="004D0DAA">
        <w:rPr>
          <w:lang w:eastAsia="ko-KR"/>
        </w:rPr>
        <w:t xml:space="preserve">proceed as specified in sub-clause 7.7.1. </w:t>
      </w:r>
      <w:r w:rsidRPr="004D0DAA">
        <w:t>Upon switching to the assigned PDCHs, a mobile station with an assigned MS_ID value shall restart timer T3290. The mobile station shall restart timer T3290 whenever receiving an RLC/MAC block including both the MBMS Bearer Identity and the MS_ID in the TFI field.</w:t>
      </w:r>
    </w:p>
    <w:p w14:paraId="3FE0550E" w14:textId="77777777" w:rsidR="00711444" w:rsidRPr="004D0DAA" w:rsidRDefault="00711444" w:rsidP="00711444">
      <w:r w:rsidRPr="004D0DAA">
        <w:t>With an MBMS ASSIGNMENT (NON-DISTRIBUTION) message the network may explicitly redefine (i.e. modify the length and/or value of) the MBMS Bearer Identity of an MBMS radio bearer and implicitly delete or redefine MS_IDs assigned to that MBMS radio bearer as specified in sub-clause 8.1.4.3.2. Any redefinition of an MBMS Bearer Identity and any deletion or redefinition of MS_IDs shall only be effective as of switching to the assigned PDCHs.</w:t>
      </w:r>
    </w:p>
    <w:p w14:paraId="1C2BCB29" w14:textId="77777777" w:rsidR="00711444" w:rsidRPr="004D0DAA" w:rsidRDefault="00711444" w:rsidP="00711444">
      <w:r w:rsidRPr="004D0DAA">
        <w:t>After resource reassignment the mobile station shall receive system information messages and paging messages on the (P)BCCH and the (P)CCCH or on the PACCH of the MBMS radio bearer, depending on the value of the MBMS In-band Signalling Indicator information element included in the MBMS ASSIGNMENT (NON-DISTRIBUTION) message and on the presence of an assigned MS_ID value.</w:t>
      </w:r>
    </w:p>
    <w:p w14:paraId="571DABE6" w14:textId="77777777" w:rsidR="00711444" w:rsidRPr="004D0DAA" w:rsidRDefault="00711444" w:rsidP="00711444">
      <w:r w:rsidRPr="004D0DAA">
        <w:t>The network shall start timer T3191 at the point in time denoted by the MBMS radio bearer starting time, if present, and immediately otherwise. When timer T3191 expires the network may reuse the TFI values corresponding to the old MBMS Bearer Identity, i.e. the TFI values including the old MBMS Bearer Identity in the most significant bit(s) of the TFI field, on the old resource configuration.</w:t>
      </w:r>
    </w:p>
    <w:p w14:paraId="285885C0" w14:textId="77777777" w:rsidR="00711444" w:rsidRPr="004D0DAA" w:rsidRDefault="00711444" w:rsidP="00711444">
      <w:pPr>
        <w:pStyle w:val="Heading4"/>
      </w:pPr>
      <w:bookmarkStart w:id="300" w:name="_Toc516669487"/>
      <w:r w:rsidRPr="004D0DAA">
        <w:t>8.1.4.4</w:t>
      </w:r>
      <w:r w:rsidRPr="004D0DAA">
        <w:tab/>
        <w:t>Network initiated release of an MBMS radio bearer</w:t>
      </w:r>
      <w:bookmarkEnd w:id="300"/>
    </w:p>
    <w:p w14:paraId="670FDF81" w14:textId="77777777" w:rsidR="00711444" w:rsidRPr="004D0DAA" w:rsidRDefault="00711444" w:rsidP="00711444">
      <w:r w:rsidRPr="004D0DAA">
        <w:t>The network may initiate the normal or abnormal release of an MBMS radio bearer by transmitting a PACKET TBF RELEASE message to the mobile station(s) on the PACCH.</w:t>
      </w:r>
    </w:p>
    <w:p w14:paraId="66FE4003" w14:textId="77777777" w:rsidR="00711444" w:rsidRPr="004D0DAA" w:rsidRDefault="00711444" w:rsidP="00711444">
      <w:r w:rsidRPr="004D0DAA">
        <w:t>The following applies when the PACKET TBF RELEASE message is used for releasing an MBMS radio bearer:</w:t>
      </w:r>
    </w:p>
    <w:p w14:paraId="42EA9F5D" w14:textId="77777777" w:rsidR="00711444" w:rsidRPr="004D0DAA" w:rsidRDefault="00711444" w:rsidP="00711444">
      <w:pPr>
        <w:pStyle w:val="B1"/>
      </w:pPr>
      <w:r w:rsidRPr="004D0DAA">
        <w:t>-</w:t>
      </w:r>
      <w:r w:rsidRPr="004D0DAA">
        <w:tab/>
        <w:t xml:space="preserve">the Global TFI shall always contain the DOWNLINK_TFI field. The most significant bit(s) of the DOWNLINK_TFI field denote(s) the MBMS Bearer Identity of the MBMS radio bearer released by the message; </w:t>
      </w:r>
    </w:p>
    <w:p w14:paraId="3DF07852" w14:textId="77777777" w:rsidR="00711444" w:rsidRPr="004D0DAA" w:rsidRDefault="00711444" w:rsidP="00711444">
      <w:pPr>
        <w:pStyle w:val="B1"/>
      </w:pPr>
      <w:r w:rsidRPr="004D0DAA">
        <w:t>-</w:t>
      </w:r>
      <w:r w:rsidRPr="004D0DAA">
        <w:tab/>
        <w:t>the UPLINK_RELEASE field shall be ignored by the mobile station;</w:t>
      </w:r>
    </w:p>
    <w:p w14:paraId="4D44AAD8" w14:textId="77777777" w:rsidR="00711444" w:rsidRPr="004D0DAA" w:rsidRDefault="00711444" w:rsidP="00711444">
      <w:pPr>
        <w:pStyle w:val="B1"/>
        <w:rPr>
          <w:bCs/>
        </w:rPr>
      </w:pPr>
      <w:r w:rsidRPr="004D0DAA">
        <w:t>-</w:t>
      </w:r>
      <w:r w:rsidRPr="004D0DAA">
        <w:tab/>
        <w:t>the DOWNLINK_RELEASE field shall always be set to the value ‘1’ by the network to indicate that the MBMS radio bearer is released</w:t>
      </w:r>
      <w:r w:rsidRPr="004D0DAA">
        <w:rPr>
          <w:bCs/>
        </w:rPr>
        <w:t>.</w:t>
      </w:r>
    </w:p>
    <w:p w14:paraId="5E5AFE21" w14:textId="77777777" w:rsidR="00711444" w:rsidRPr="004D0DAA" w:rsidRDefault="00711444" w:rsidP="00711444">
      <w:pPr>
        <w:pStyle w:val="NO"/>
      </w:pPr>
      <w:r w:rsidRPr="004D0DAA">
        <w:t>NOTE:</w:t>
      </w:r>
      <w:r w:rsidRPr="004D0DAA">
        <w:tab/>
        <w:t>The network may retransmit the PACKET TBF RELEASE message to increase the probability of its correct reception. Timer T3191 is (re)started every time the PACKET TBF RELEASE message is sent. When timer T3191 expires for the MBMS radio bearer, then the network may reuse all the TFIs related to the MBMS radio bearer.</w:t>
      </w:r>
    </w:p>
    <w:p w14:paraId="63D413C6" w14:textId="77777777" w:rsidR="00711444" w:rsidRPr="004D0DAA" w:rsidRDefault="00711444" w:rsidP="00711444">
      <w:r w:rsidRPr="004D0DAA">
        <w:t>Upon receipt of a PACKET TBF RELEASE message referring to an MBMS radio bearer the mobile station is receiving, the mobile station shall immediately consider the MBMS Bearer Identity, and the MS_ID if assigned, as released, and stop timers T3190 and T3290.</w:t>
      </w:r>
    </w:p>
    <w:p w14:paraId="5A078053" w14:textId="77777777" w:rsidR="00711444" w:rsidRPr="004D0DAA" w:rsidRDefault="00711444" w:rsidP="00711444">
      <w:r w:rsidRPr="004D0DAA">
        <w:t>If the mobile station in broadcast/multicast receive mode is not receiving any other MBMS radio bearers, it shall enter packet idle mode and apply the DRX mode procedures as specified in sub-clause 5.5.1.5, otherwise it shall remain in broadcast/multicast receive mode.</w:t>
      </w:r>
    </w:p>
    <w:p w14:paraId="6CD2D17B" w14:textId="77777777" w:rsidR="00711444" w:rsidRPr="004D0DAA" w:rsidRDefault="00711444" w:rsidP="00711444">
      <w:pPr>
        <w:pStyle w:val="Heading4"/>
      </w:pPr>
      <w:bookmarkStart w:id="301" w:name="_Toc516669488"/>
      <w:r w:rsidRPr="004D0DAA">
        <w:lastRenderedPageBreak/>
        <w:t>8.1.4.5</w:t>
      </w:r>
      <w:r w:rsidRPr="004D0DAA">
        <w:tab/>
        <w:t>Suspension/Resumption of the reception of an MBMS radio bearer</w:t>
      </w:r>
      <w:bookmarkEnd w:id="301"/>
    </w:p>
    <w:p w14:paraId="6EBB5A03" w14:textId="77777777" w:rsidR="00711444" w:rsidRPr="004D0DAA" w:rsidRDefault="00711444" w:rsidP="00711444">
      <w:pPr>
        <w:rPr>
          <w:lang w:eastAsia="ko-KR"/>
        </w:rPr>
      </w:pPr>
      <w:r w:rsidRPr="004D0DAA">
        <w:rPr>
          <w:lang w:eastAsia="ko-KR"/>
        </w:rPr>
        <w:t xml:space="preserve">In case a mobile station that supports multiple TBF procedures suspends the reception of an MBMS radio bearer for whatever reason, the mobile station may retain the MBMS bearer description for such MBMS radio bearer until the expiry of the </w:t>
      </w:r>
      <w:r w:rsidRPr="004D0DAA">
        <w:t>T3190 timer instance for the corresponding MBMS radio bearer</w:t>
      </w:r>
      <w:r w:rsidRPr="004D0DAA">
        <w:rPr>
          <w:lang w:eastAsia="ko-KR"/>
        </w:rPr>
        <w:t xml:space="preserve">. The corresponding MBMS bearer description shall be deleted if the mobile station completes a cell reselection or </w:t>
      </w:r>
      <w:r w:rsidRPr="004D0DAA">
        <w:t xml:space="preserve">the session duration timer for this MBMS session in the mobile station </w:t>
      </w:r>
      <w:r w:rsidRPr="004D0DAA">
        <w:rPr>
          <w:lang w:eastAsia="ko-KR"/>
        </w:rPr>
        <w:t>expires.</w:t>
      </w:r>
    </w:p>
    <w:p w14:paraId="24790886" w14:textId="77777777" w:rsidR="00711444" w:rsidRPr="004D0DAA" w:rsidRDefault="00711444" w:rsidP="00711444">
      <w:pPr>
        <w:rPr>
          <w:lang w:eastAsia="ko-KR"/>
        </w:rPr>
      </w:pPr>
      <w:r w:rsidRPr="004D0DAA">
        <w:rPr>
          <w:lang w:eastAsia="ko-KR"/>
        </w:rPr>
        <w:t xml:space="preserve">When the mobile station returns to packet idle mode or completes the reception of higher mobile station-specific priority MBMS session(s), preventing the mobile station from receiving the suspended MBMS session, still remaining in broadcast/multicast receive mode, </w:t>
      </w:r>
    </w:p>
    <w:p w14:paraId="5248B1A7" w14:textId="77777777" w:rsidR="00711444" w:rsidRPr="004D0DAA" w:rsidRDefault="00711444" w:rsidP="00711444">
      <w:pPr>
        <w:pStyle w:val="B1"/>
      </w:pPr>
      <w:r w:rsidRPr="004D0DAA">
        <w:t>-</w:t>
      </w:r>
      <w:r w:rsidRPr="004D0DAA">
        <w:tab/>
        <w:t>if the MBMS bearer description is still stored in the mobile station, then the mobile station may attempt to resume the reception of the suspended MBMS session (re-entering broadcast/multicast receive mode if the mobile station has previously left it);</w:t>
      </w:r>
    </w:p>
    <w:p w14:paraId="49D43D9E" w14:textId="77777777" w:rsidR="00711444" w:rsidRPr="004D0DAA" w:rsidRDefault="00711444" w:rsidP="00711444">
      <w:pPr>
        <w:pStyle w:val="B1"/>
      </w:pPr>
      <w:r w:rsidRPr="004D0DAA">
        <w:t>-</w:t>
      </w:r>
      <w:r w:rsidRPr="004D0DAA">
        <w:tab/>
        <w:t>otherwise the mobile station shall repeat the MBMS packet access procedure for the MBMS session, as specified in sub-clause 7.7.1, unless the session duration timer for this MBMS session in the mobile station has expired.</w:t>
      </w:r>
    </w:p>
    <w:p w14:paraId="6E4CAA17" w14:textId="77777777" w:rsidR="00711444" w:rsidRPr="004D0DAA" w:rsidRDefault="00711444" w:rsidP="00711444">
      <w:pPr>
        <w:pStyle w:val="Heading3"/>
      </w:pPr>
      <w:bookmarkStart w:id="302" w:name="_Toc516669489"/>
      <w:r w:rsidRPr="004D0DAA">
        <w:t>8.1.5</w:t>
      </w:r>
      <w:r w:rsidRPr="004D0DAA">
        <w:tab/>
        <w:t>Multiple MBMS radio bearers</w:t>
      </w:r>
      <w:bookmarkEnd w:id="302"/>
    </w:p>
    <w:p w14:paraId="0E263071" w14:textId="77777777" w:rsidR="00711444" w:rsidRPr="004D0DAA" w:rsidRDefault="00711444" w:rsidP="00711444">
      <w:pPr>
        <w:pStyle w:val="Heading4"/>
      </w:pPr>
      <w:bookmarkStart w:id="303" w:name="_Toc516669490"/>
      <w:r w:rsidRPr="004D0DAA">
        <w:t>8.1.5.1</w:t>
      </w:r>
      <w:r w:rsidRPr="004D0DAA">
        <w:tab/>
        <w:t>Transmission of multiple MBMS radio bearers</w:t>
      </w:r>
      <w:bookmarkEnd w:id="303"/>
    </w:p>
    <w:p w14:paraId="6A1D0ABB" w14:textId="77777777" w:rsidR="00711444" w:rsidRPr="004D0DAA" w:rsidRDefault="00711444" w:rsidP="00711444">
      <w:pPr>
        <w:rPr>
          <w:lang w:eastAsia="ko-KR"/>
        </w:rPr>
      </w:pPr>
      <w:r w:rsidRPr="004D0DAA">
        <w:rPr>
          <w:lang w:eastAsia="ko-KR"/>
        </w:rPr>
        <w:t xml:space="preserve">On a PDCH on which multiple MBMS radio bearers are multiplexed, </w:t>
      </w:r>
      <w:r w:rsidRPr="004D0DAA">
        <w:t>the TFI value(s) including an MBMS Bearer Identity (in the most significant bit(s) of the TFI field)</w:t>
      </w:r>
      <w:r w:rsidRPr="004D0DAA">
        <w:rPr>
          <w:lang w:eastAsia="ko-KR"/>
        </w:rPr>
        <w:t xml:space="preserve"> shall differ from all the other TFI values including any other </w:t>
      </w:r>
      <w:r w:rsidRPr="004D0DAA">
        <w:t>MBMS Bearer Identity</w:t>
      </w:r>
      <w:r w:rsidRPr="004D0DAA">
        <w:rPr>
          <w:lang w:eastAsia="ko-KR"/>
        </w:rPr>
        <w:t xml:space="preserve"> (</w:t>
      </w:r>
      <w:r w:rsidRPr="004D0DAA">
        <w:t>in the most significant bit(s) of the TFI field).</w:t>
      </w:r>
      <w:r w:rsidRPr="004D0DAA">
        <w:rPr>
          <w:lang w:eastAsia="ko-KR"/>
        </w:rPr>
        <w:t xml:space="preserve"> </w:t>
      </w:r>
    </w:p>
    <w:p w14:paraId="7731A429" w14:textId="77777777" w:rsidR="00711444" w:rsidRPr="004D0DAA" w:rsidRDefault="00711444" w:rsidP="00711444">
      <w:pPr>
        <w:pStyle w:val="Heading4"/>
        <w:rPr>
          <w:lang w:eastAsia="ko-KR"/>
        </w:rPr>
      </w:pPr>
      <w:bookmarkStart w:id="304" w:name="_Toc516669491"/>
      <w:r w:rsidRPr="004D0DAA">
        <w:rPr>
          <w:lang w:eastAsia="ko-KR"/>
        </w:rPr>
        <w:t>8.1.5.2</w:t>
      </w:r>
      <w:r w:rsidRPr="004D0DAA">
        <w:rPr>
          <w:lang w:eastAsia="ko-KR"/>
        </w:rPr>
        <w:tab/>
        <w:t>Reception of multiple MBMS radio bearers</w:t>
      </w:r>
      <w:bookmarkEnd w:id="304"/>
    </w:p>
    <w:p w14:paraId="4673BF3E" w14:textId="77777777" w:rsidR="00711444" w:rsidRPr="004D0DAA" w:rsidRDefault="00711444" w:rsidP="00711444">
      <w:pPr>
        <w:pStyle w:val="Heading5"/>
        <w:rPr>
          <w:lang w:eastAsia="ko-KR"/>
        </w:rPr>
      </w:pPr>
      <w:bookmarkStart w:id="305" w:name="_Toc516669492"/>
      <w:r w:rsidRPr="004D0DAA">
        <w:rPr>
          <w:lang w:eastAsia="ko-KR"/>
        </w:rPr>
        <w:t>8.1.5.2.1</w:t>
      </w:r>
      <w:r w:rsidRPr="004D0DAA">
        <w:rPr>
          <w:lang w:eastAsia="ko-KR"/>
        </w:rPr>
        <w:tab/>
        <w:t>General</w:t>
      </w:r>
      <w:bookmarkEnd w:id="305"/>
    </w:p>
    <w:p w14:paraId="617C7B39" w14:textId="77777777" w:rsidR="00711444" w:rsidRPr="004D0DAA" w:rsidRDefault="00711444" w:rsidP="00711444">
      <w:pPr>
        <w:rPr>
          <w:lang w:eastAsia="ko-KR"/>
        </w:rPr>
      </w:pPr>
      <w:r w:rsidRPr="004D0DAA">
        <w:rPr>
          <w:lang w:eastAsia="ko-KR"/>
        </w:rPr>
        <w:t>The reception of multiple MBMS radio bearers depends on the capabilities of the mobile station. If the mobile station supports multiple TBF procedures and MBMS, it shall be able to support the reception of multiple MBMS radio bearers.</w:t>
      </w:r>
    </w:p>
    <w:p w14:paraId="7F902167" w14:textId="77777777" w:rsidR="00711444" w:rsidRPr="004D0DAA" w:rsidRDefault="00711444" w:rsidP="00711444">
      <w:r w:rsidRPr="004D0DAA">
        <w:t>In this sub-clause (and sub-clauses 8.1.5.2.2 to 8.1.5.2.7) the priority is mobile station-specific and</w:t>
      </w:r>
      <w:r w:rsidRPr="004D0DAA">
        <w:rPr>
          <w:lang w:eastAsia="ko-KR"/>
        </w:rPr>
        <w:t xml:space="preserve"> </w:t>
      </w:r>
      <w:r w:rsidRPr="004D0DAA">
        <w:t>allows for prioritisation between MBMS sessions on a per-mobile station basis. If two or more MBMS sessions have the same priority, the mobile station shall perform an implementation-dependent selection of the MBMS session with the highest priority so the resulting priorities are distinct for each MBMS session.</w:t>
      </w:r>
    </w:p>
    <w:p w14:paraId="575E7B9B" w14:textId="77777777" w:rsidR="00711444" w:rsidRPr="004D0DAA" w:rsidRDefault="00711444" w:rsidP="00711444">
      <w:pPr>
        <w:rPr>
          <w:lang w:eastAsia="ko-KR"/>
        </w:rPr>
      </w:pPr>
      <w:r w:rsidRPr="004D0DAA">
        <w:rPr>
          <w:lang w:eastAsia="ko-KR"/>
        </w:rPr>
        <w:t xml:space="preserve">The mobile station shall be able, according to its capabilities, to receive as many MBMS sessions as possible in decreasing order of priority, and to transmit MBMS DOWNLINK ACK/NACK messages (when applicable) for as many MBMS sessions as possible in decreasing order of priority. </w:t>
      </w:r>
    </w:p>
    <w:p w14:paraId="5EB8C7A4" w14:textId="77777777" w:rsidR="00711444" w:rsidRPr="004D0DAA" w:rsidRDefault="00711444" w:rsidP="00711444">
      <w:pPr>
        <w:pStyle w:val="NO"/>
        <w:rPr>
          <w:lang w:eastAsia="ko-KR"/>
        </w:rPr>
      </w:pPr>
      <w:r w:rsidRPr="004D0DAA">
        <w:rPr>
          <w:lang w:eastAsia="ko-KR"/>
        </w:rPr>
        <w:t>NOTE:</w:t>
      </w:r>
      <w:r w:rsidRPr="004D0DAA">
        <w:rPr>
          <w:lang w:eastAsia="ko-KR"/>
        </w:rPr>
        <w:tab/>
        <w:t xml:space="preserve">Depending on the radio resources allocated for the MBMS radio bearers, a mobile station may not be capable of transmitting </w:t>
      </w:r>
      <w:r w:rsidRPr="004D0DAA">
        <w:t xml:space="preserve">MBMS DOWNLINK ACK/NACK </w:t>
      </w:r>
      <w:r w:rsidRPr="004D0DAA">
        <w:rPr>
          <w:lang w:eastAsia="ko-KR"/>
        </w:rPr>
        <w:t>messages on all associated uplink feedback channels.</w:t>
      </w:r>
    </w:p>
    <w:p w14:paraId="71CFD2B7" w14:textId="77777777" w:rsidR="00711444" w:rsidRPr="004D0DAA" w:rsidRDefault="00711444" w:rsidP="00711444">
      <w:pPr>
        <w:rPr>
          <w:lang w:eastAsia="ko-KR"/>
        </w:rPr>
      </w:pPr>
      <w:r w:rsidRPr="004D0DAA">
        <w:rPr>
          <w:lang w:eastAsia="ko-KR"/>
        </w:rPr>
        <w:t xml:space="preserve">If a mobile station is receiving multiple MBMS radio bearers and the mobile station has an MS_ID on at least one MBMS radio bearer where the network has indicated that system information for the serving cell and paging messages are sent on the PACCH/D, then the mobile station shall not read the system information on the (P)BCCH and shall not </w:t>
      </w:r>
      <w:r w:rsidRPr="004D0DAA">
        <w:t>monitor its</w:t>
      </w:r>
      <w:r w:rsidRPr="004D0DAA">
        <w:rPr>
          <w:lang w:eastAsia="ko-KR"/>
        </w:rPr>
        <w:t xml:space="preserve"> paging group on the (P)CCCH in parallel to the MBMS radio bearers. </w:t>
      </w:r>
    </w:p>
    <w:p w14:paraId="4CD3A526" w14:textId="77777777" w:rsidR="00711444" w:rsidRPr="004D0DAA" w:rsidRDefault="00711444" w:rsidP="00711444">
      <w:pPr>
        <w:rPr>
          <w:lang w:eastAsia="ko-KR"/>
        </w:rPr>
      </w:pPr>
      <w:r w:rsidRPr="004D0DAA">
        <w:rPr>
          <w:lang w:eastAsia="ko-KR"/>
        </w:rPr>
        <w:t xml:space="preserve">If a mobile station is receiving multiple MBMS radio bearers and the mobile station has no MS_ID on any of the MBMS radio bearers where the network has indicated that system information for the serving cell and paging messages are sent on the PACCH/D, then the mobile station shall not </w:t>
      </w:r>
      <w:r w:rsidRPr="004D0DAA">
        <w:t xml:space="preserve">read the system information on the (P)BCCH </w:t>
      </w:r>
      <w:r w:rsidRPr="004D0DAA">
        <w:rPr>
          <w:lang w:eastAsia="ko-KR"/>
        </w:rPr>
        <w:t xml:space="preserve">and shall </w:t>
      </w:r>
      <w:r w:rsidRPr="004D0DAA">
        <w:t>monitor its</w:t>
      </w:r>
      <w:r w:rsidRPr="004D0DAA">
        <w:rPr>
          <w:lang w:eastAsia="ko-KR"/>
        </w:rPr>
        <w:t xml:space="preserve"> paging group on the (P)CCCH in parallel to the MBMS radio bearers.</w:t>
      </w:r>
    </w:p>
    <w:p w14:paraId="6E738795" w14:textId="77777777" w:rsidR="00711444" w:rsidRPr="004D0DAA" w:rsidRDefault="00711444" w:rsidP="00711444">
      <w:pPr>
        <w:pStyle w:val="Heading5"/>
        <w:rPr>
          <w:lang w:eastAsia="ko-KR"/>
        </w:rPr>
      </w:pPr>
      <w:bookmarkStart w:id="306" w:name="_Toc516669493"/>
      <w:r w:rsidRPr="004D0DAA">
        <w:lastRenderedPageBreak/>
        <w:t>8.1.5.2.2</w:t>
      </w:r>
      <w:r w:rsidRPr="004D0DAA">
        <w:tab/>
        <w:t>Reception of notification of lower priority MBMS session whilst receiving higher priority MBMS ses</w:t>
      </w:r>
      <w:r w:rsidRPr="004D0DAA">
        <w:rPr>
          <w:lang w:eastAsia="ko-KR"/>
        </w:rPr>
        <w:t>sion(s)</w:t>
      </w:r>
      <w:bookmarkEnd w:id="306"/>
    </w:p>
    <w:p w14:paraId="612544BB" w14:textId="77777777" w:rsidR="00711444" w:rsidRPr="004D0DAA" w:rsidRDefault="00711444" w:rsidP="00711444">
      <w:pPr>
        <w:rPr>
          <w:lang w:eastAsia="ko-KR"/>
        </w:rPr>
      </w:pPr>
      <w:r w:rsidRPr="004D0DAA">
        <w:rPr>
          <w:lang w:eastAsia="ko-KR"/>
        </w:rPr>
        <w:t>If the mobile station in broadcast/multicast receive mode receives a notification of a lower priority MBMS session which includes the MBMS bearer description:</w:t>
      </w:r>
    </w:p>
    <w:p w14:paraId="6DCA9F75" w14:textId="77777777" w:rsidR="00711444" w:rsidRPr="004D0DAA" w:rsidRDefault="00711444" w:rsidP="00711444">
      <w:pPr>
        <w:pStyle w:val="B1"/>
        <w:rPr>
          <w:lang w:eastAsia="ko-KR"/>
        </w:rPr>
      </w:pPr>
      <w:r w:rsidRPr="004D0DAA">
        <w:rPr>
          <w:lang w:eastAsia="ko-KR"/>
        </w:rPr>
        <w:t>-</w:t>
      </w:r>
      <w:r w:rsidRPr="004D0DAA">
        <w:rPr>
          <w:lang w:eastAsia="ko-KR"/>
        </w:rPr>
        <w:tab/>
        <w:t>if the capabilities of the mobile station allow, the mobile station shall receive that MBMS session in parallel with the higher priority MBMS session(s), provided the requirements defined in sub-clause 8.1.5.2.1 are fulfilled;</w:t>
      </w:r>
    </w:p>
    <w:p w14:paraId="1154506E" w14:textId="77777777" w:rsidR="00711444" w:rsidRPr="004D0DAA" w:rsidRDefault="00711444" w:rsidP="00711444">
      <w:pPr>
        <w:pStyle w:val="B1"/>
        <w:rPr>
          <w:lang w:eastAsia="ko-KR"/>
        </w:rPr>
      </w:pPr>
      <w:r w:rsidRPr="004D0DAA">
        <w:t>-</w:t>
      </w:r>
      <w:r w:rsidRPr="004D0DAA">
        <w:tab/>
        <w:t>otherwise, the mobile station shall discard the notification.</w:t>
      </w:r>
    </w:p>
    <w:p w14:paraId="6A9E486D" w14:textId="77777777" w:rsidR="00711444" w:rsidRPr="004D0DAA" w:rsidRDefault="00711444" w:rsidP="00711444">
      <w:pPr>
        <w:rPr>
          <w:lang w:eastAsia="ko-KR"/>
        </w:rPr>
      </w:pPr>
      <w:r w:rsidRPr="004D0DAA">
        <w:rPr>
          <w:lang w:eastAsia="ko-KR"/>
        </w:rPr>
        <w:t xml:space="preserve">If the mobile station in broadcast/multicast receive mode receives a notification of a lower priority MBMS session which does not include the MBMS bearer description and requests the counting procedure, the mobile station shall not perform the MBMS packet access procedure. </w:t>
      </w:r>
    </w:p>
    <w:p w14:paraId="554D6DD7" w14:textId="77777777" w:rsidR="00711444" w:rsidRPr="004D0DAA" w:rsidRDefault="00711444" w:rsidP="00711444">
      <w:pPr>
        <w:pStyle w:val="Heading5"/>
        <w:rPr>
          <w:lang w:eastAsia="ko-KR"/>
        </w:rPr>
      </w:pPr>
      <w:bookmarkStart w:id="307" w:name="_Toc516669494"/>
      <w:r w:rsidRPr="004D0DAA">
        <w:rPr>
          <w:lang w:eastAsia="ko-KR"/>
        </w:rPr>
        <w:t>8.1.5.2.3</w:t>
      </w:r>
      <w:r w:rsidRPr="004D0DAA">
        <w:rPr>
          <w:lang w:eastAsia="ko-KR"/>
        </w:rPr>
        <w:tab/>
        <w:t>Reception of assignment of lower priority MBMS session whilst receiving higher priority MBMS session(s)</w:t>
      </w:r>
      <w:bookmarkEnd w:id="307"/>
    </w:p>
    <w:p w14:paraId="167BAEB2" w14:textId="77777777" w:rsidR="00711444" w:rsidRPr="004D0DAA" w:rsidRDefault="00711444" w:rsidP="00711444">
      <w:pPr>
        <w:rPr>
          <w:lang w:eastAsia="ko-KR"/>
        </w:rPr>
      </w:pPr>
      <w:r w:rsidRPr="004D0DAA">
        <w:rPr>
          <w:lang w:eastAsia="ko-KR"/>
        </w:rPr>
        <w:t>If the mobile station in broadcast/multicast receive mode receives an assignment for a lower priority MBMS session, the mobile station shall act upon the assignment provided the requirements defined in sub-clause 8.1.5.2.1 are fulfilled.</w:t>
      </w:r>
    </w:p>
    <w:p w14:paraId="21E9911F" w14:textId="77777777" w:rsidR="00711444" w:rsidRPr="004D0DAA" w:rsidRDefault="00711444" w:rsidP="00711444">
      <w:pPr>
        <w:pStyle w:val="Heading5"/>
        <w:rPr>
          <w:lang w:eastAsia="ko-KR"/>
        </w:rPr>
      </w:pPr>
      <w:bookmarkStart w:id="308" w:name="_Toc516669495"/>
      <w:r w:rsidRPr="004D0DAA">
        <w:rPr>
          <w:lang w:eastAsia="ko-KR"/>
        </w:rPr>
        <w:t>8.1.5.2.4</w:t>
      </w:r>
      <w:r w:rsidRPr="004D0DAA">
        <w:rPr>
          <w:lang w:eastAsia="ko-KR"/>
        </w:rPr>
        <w:tab/>
        <w:t>Reception of notification of higher priority MBMS session whilst receiving lower priority MBMS session(s)</w:t>
      </w:r>
      <w:bookmarkEnd w:id="308"/>
    </w:p>
    <w:p w14:paraId="18711D6B" w14:textId="77777777" w:rsidR="00711444" w:rsidRPr="004D0DAA" w:rsidRDefault="00711444" w:rsidP="00711444">
      <w:pPr>
        <w:rPr>
          <w:lang w:eastAsia="ko-KR"/>
        </w:rPr>
      </w:pPr>
      <w:r w:rsidRPr="004D0DAA">
        <w:rPr>
          <w:lang w:eastAsia="ko-KR"/>
        </w:rPr>
        <w:t>If the mobile station in broadcast/multicast receive mode receives a notification of a higher priority MBMS session which includes the MBMS bearer description, the mobile station shall act upon the MBMS bearer description and receive in parallel other lower priority MBMS sessions according to the requirements defined in sub-clause 8.1.5.2.1.</w:t>
      </w:r>
    </w:p>
    <w:p w14:paraId="46824C77" w14:textId="77777777" w:rsidR="00711444" w:rsidRPr="004D0DAA" w:rsidRDefault="00711444" w:rsidP="00711444">
      <w:pPr>
        <w:rPr>
          <w:lang w:eastAsia="ko-KR"/>
        </w:rPr>
      </w:pPr>
      <w:r w:rsidRPr="004D0DAA">
        <w:rPr>
          <w:lang w:eastAsia="ko-KR"/>
        </w:rPr>
        <w:t xml:space="preserve">If the mobile station in broadcast/multicast receive mode receives a notification of a higher priority MBMS session which does not include the MBMS bearer description and requests the counting procedure, then the mobile station shall suspend the reception of the lower priority MBMS session(s) and perform the MBMS packet access procedure for the higher priority MBMS session, as specified in sub-clause 7.7.1. After performing the MBMS packet access procedure, if </w:t>
      </w:r>
      <w:r w:rsidRPr="004D0DAA">
        <w:t xml:space="preserve">the MBMS bearer description(s) for the suspended </w:t>
      </w:r>
      <w:r w:rsidRPr="004D0DAA">
        <w:rPr>
          <w:lang w:eastAsia="ko-KR"/>
        </w:rPr>
        <w:t xml:space="preserve">lower priority MBMS session(s) </w:t>
      </w:r>
      <w:r w:rsidRPr="004D0DAA">
        <w:t>is (are) still stored in the mobile station, then the mobile station may attempt to resume the reception of the suspended MBMS session(s) (see sub-clause 8.1.4.5)</w:t>
      </w:r>
      <w:r w:rsidRPr="004D0DAA">
        <w:rPr>
          <w:lang w:eastAsia="ko-KR"/>
        </w:rPr>
        <w:t>.</w:t>
      </w:r>
    </w:p>
    <w:p w14:paraId="0FBC4CB9" w14:textId="77777777" w:rsidR="00711444" w:rsidRPr="004D0DAA" w:rsidRDefault="00711444" w:rsidP="00711444">
      <w:pPr>
        <w:pStyle w:val="Heading5"/>
        <w:rPr>
          <w:lang w:eastAsia="ko-KR"/>
        </w:rPr>
      </w:pPr>
      <w:bookmarkStart w:id="309" w:name="_Toc516669496"/>
      <w:r w:rsidRPr="004D0DAA">
        <w:rPr>
          <w:lang w:eastAsia="ko-KR"/>
        </w:rPr>
        <w:t>8.1.5.2.5</w:t>
      </w:r>
      <w:r w:rsidRPr="004D0DAA">
        <w:rPr>
          <w:lang w:eastAsia="ko-KR"/>
        </w:rPr>
        <w:tab/>
        <w:t>Reception of assignment of higher priority MBMS session whilst receiving lower priority MBMS session(s)</w:t>
      </w:r>
      <w:bookmarkEnd w:id="309"/>
      <w:r w:rsidRPr="004D0DAA">
        <w:rPr>
          <w:lang w:eastAsia="ko-KR"/>
        </w:rPr>
        <w:t xml:space="preserve"> </w:t>
      </w:r>
    </w:p>
    <w:p w14:paraId="45D8005E" w14:textId="77777777" w:rsidR="00711444" w:rsidRPr="004D0DAA" w:rsidRDefault="00711444" w:rsidP="00711444">
      <w:pPr>
        <w:rPr>
          <w:lang w:eastAsia="ko-KR"/>
        </w:rPr>
      </w:pPr>
      <w:r w:rsidRPr="004D0DAA">
        <w:rPr>
          <w:lang w:eastAsia="ko-KR"/>
        </w:rPr>
        <w:t>If the mobile station in broadcast/multicast receive mode receives an assignment for a higher priority MBMS session, the mobile station shall act upon the assignment and may drop lower priority MBMS sessions following the requirements defined in sub-clause 8.1.5.2.1</w:t>
      </w:r>
      <w:r w:rsidRPr="004D0DAA">
        <w:t xml:space="preserve">. </w:t>
      </w:r>
    </w:p>
    <w:p w14:paraId="0A92E19B" w14:textId="77777777" w:rsidR="00711444" w:rsidRPr="004D0DAA" w:rsidRDefault="00711444" w:rsidP="00711444">
      <w:pPr>
        <w:pStyle w:val="Heading5"/>
        <w:rPr>
          <w:lang w:eastAsia="ko-KR"/>
        </w:rPr>
      </w:pPr>
      <w:bookmarkStart w:id="310" w:name="_Toc516669497"/>
      <w:r w:rsidRPr="004D0DAA">
        <w:rPr>
          <w:lang w:eastAsia="ko-KR"/>
        </w:rPr>
        <w:t>8.1.5.2.6</w:t>
      </w:r>
      <w:r w:rsidRPr="004D0DAA">
        <w:rPr>
          <w:lang w:eastAsia="ko-KR"/>
        </w:rPr>
        <w:tab/>
        <w:t>Cell change whilst receiving multiple MBMS sessions (with MBMS supported by the network in the target cell)</w:t>
      </w:r>
      <w:bookmarkEnd w:id="310"/>
    </w:p>
    <w:p w14:paraId="3FE5A76A" w14:textId="77777777" w:rsidR="00711444" w:rsidRPr="004D0DAA" w:rsidRDefault="00711444" w:rsidP="00711444">
      <w:pPr>
        <w:rPr>
          <w:lang w:eastAsia="ko-KR"/>
        </w:rPr>
      </w:pPr>
      <w:r w:rsidRPr="004D0DAA">
        <w:rPr>
          <w:lang w:eastAsia="ko-KR"/>
        </w:rPr>
        <w:t>When the mobile station reselects a new (target) cell, the mobile station shall according to its capabilities:</w:t>
      </w:r>
    </w:p>
    <w:p w14:paraId="68545882" w14:textId="77777777" w:rsidR="00711444" w:rsidRPr="004D0DAA" w:rsidRDefault="00711444" w:rsidP="00711444">
      <w:pPr>
        <w:pStyle w:val="B1"/>
      </w:pPr>
      <w:r w:rsidRPr="004D0DAA">
        <w:t>-</w:t>
      </w:r>
      <w:r w:rsidRPr="004D0DAA">
        <w:tab/>
        <w:t>first perform fast reception resumption (see sub-clause 8.1.6.2) of as many MBMS sessions as possible in decreasing order of priority, for the sessions for which the mobile station has received in the old cell MBMS NEIGHBOURING CELL INFORMATION messages containing the MBMS bearer description of these sessions in this target cell;</w:t>
      </w:r>
    </w:p>
    <w:p w14:paraId="06D46C9D" w14:textId="77777777" w:rsidR="00711444" w:rsidRPr="004D0DAA" w:rsidRDefault="00711444" w:rsidP="00711444">
      <w:pPr>
        <w:pStyle w:val="NO"/>
      </w:pPr>
      <w:r w:rsidRPr="004D0DAA">
        <w:t>NOTE 1:</w:t>
      </w:r>
      <w:r w:rsidRPr="004D0DAA">
        <w:tab/>
        <w:t>The mobile station shall not perform MBMS packet access procedure for requesting an MS_ID for any MBMS session, with an associated uplink feedback channel, whose priority is lower than the priority of at least one of the MBMS sessions for which the MBMS bearer description is not known.</w:t>
      </w:r>
    </w:p>
    <w:p w14:paraId="1E578067" w14:textId="77777777" w:rsidR="00711444" w:rsidRPr="004D0DAA" w:rsidRDefault="00711444" w:rsidP="00711444">
      <w:pPr>
        <w:pStyle w:val="B1"/>
      </w:pPr>
      <w:r w:rsidRPr="004D0DAA">
        <w:t>-</w:t>
      </w:r>
      <w:r w:rsidRPr="004D0DAA">
        <w:tab/>
        <w:t>then perform MBMS packet access and establishment procedure as specified in sub-clause 7.7 for the sessions for which the MBMS bearer description is not known, in decreasing order of priority. The mobile station shall not operate two concurrent MBMS packet access and establishment procedures.</w:t>
      </w:r>
    </w:p>
    <w:p w14:paraId="1DE5C031" w14:textId="77777777" w:rsidR="00711444" w:rsidRPr="004D0DAA" w:rsidRDefault="00711444" w:rsidP="00711444">
      <w:pPr>
        <w:pStyle w:val="NO"/>
        <w:rPr>
          <w:lang w:eastAsia="ko-KR"/>
        </w:rPr>
      </w:pPr>
      <w:r w:rsidRPr="004D0DAA">
        <w:rPr>
          <w:lang w:eastAsia="ko-KR"/>
        </w:rPr>
        <w:lastRenderedPageBreak/>
        <w:t>NOTE 2:</w:t>
      </w:r>
      <w:r w:rsidRPr="004D0DAA">
        <w:rPr>
          <w:lang w:eastAsia="ko-KR"/>
        </w:rPr>
        <w:tab/>
        <w:t xml:space="preserve">The MBMS packet access procedure is performed in passive mode (i.e. the mobile station notifies the network in the MBMS SERVICE REQUEST message that it shall not be counted) for any MBMS session whose priority is lower than the priority of at least one of the MBMS sessions already resumed. The mobile station may then perform MBMS packet access procedure for requesting an MS_ID for the remaining MBMS sessions, with an associated uplink feedback channel, following the requirements defined in sub-clause 8.1.5.2.1. </w:t>
      </w:r>
    </w:p>
    <w:p w14:paraId="120AEA4D" w14:textId="77777777" w:rsidR="00711444" w:rsidRPr="004D0DAA" w:rsidRDefault="00711444" w:rsidP="00711444">
      <w:pPr>
        <w:pStyle w:val="NO"/>
        <w:rPr>
          <w:lang w:eastAsia="ko-KR"/>
        </w:rPr>
      </w:pPr>
      <w:r w:rsidRPr="004D0DAA">
        <w:rPr>
          <w:lang w:eastAsia="ko-KR"/>
        </w:rPr>
        <w:t>NOTE 3:</w:t>
      </w:r>
      <w:r w:rsidRPr="004D0DAA">
        <w:rPr>
          <w:lang w:eastAsia="ko-KR"/>
        </w:rPr>
        <w:tab/>
        <w:t>The mobile station shall not perform an MBMS packet access procedure for an MBMS session, if the</w:t>
      </w:r>
      <w:r w:rsidRPr="004D0DAA">
        <w:t xml:space="preserve"> session duration timer for this MBMS session in the mobile station has expired.</w:t>
      </w:r>
      <w:r w:rsidRPr="004D0DAA">
        <w:rPr>
          <w:lang w:eastAsia="ko-KR"/>
        </w:rPr>
        <w:t xml:space="preserve"> </w:t>
      </w:r>
    </w:p>
    <w:p w14:paraId="47CB3EEC" w14:textId="77777777" w:rsidR="00711444" w:rsidRPr="004D0DAA" w:rsidRDefault="00711444" w:rsidP="00711444">
      <w:pPr>
        <w:pStyle w:val="Heading5"/>
        <w:rPr>
          <w:lang w:eastAsia="ko-KR"/>
        </w:rPr>
      </w:pPr>
      <w:bookmarkStart w:id="311" w:name="_Toc516669498"/>
      <w:r w:rsidRPr="004D0DAA">
        <w:rPr>
          <w:lang w:eastAsia="ko-KR"/>
        </w:rPr>
        <w:t>8.1.5.2.7</w:t>
      </w:r>
      <w:r w:rsidRPr="004D0DAA">
        <w:rPr>
          <w:lang w:eastAsia="ko-KR"/>
        </w:rPr>
        <w:tab/>
        <w:t>Resource reassignment for at least one of the received MBMS radio bearers</w:t>
      </w:r>
      <w:bookmarkEnd w:id="311"/>
    </w:p>
    <w:p w14:paraId="5B39D15A" w14:textId="77777777" w:rsidR="00711444" w:rsidRPr="004D0DAA" w:rsidRDefault="00711444" w:rsidP="00711444">
      <w:pPr>
        <w:rPr>
          <w:lang w:eastAsia="ko-KR"/>
        </w:rPr>
      </w:pPr>
      <w:r w:rsidRPr="004D0DAA">
        <w:rPr>
          <w:lang w:eastAsia="ko-KR"/>
        </w:rPr>
        <w:t>If a mobile station is receiving multiple MBMS radio bearers and any of these is reconfigured by the network in a way that the reception of all of them is no longer consistent with the capabilities of the mobile station, then the mobile station shall continue receiving the highest priority MBMS session and as many as possible of the other MBMS sessions, following the requirements defined in sub-clause 8.1.5.2.1.</w:t>
      </w:r>
    </w:p>
    <w:p w14:paraId="54215FEE" w14:textId="77777777" w:rsidR="00711444" w:rsidRPr="004D0DAA" w:rsidRDefault="00711444" w:rsidP="00711444">
      <w:pPr>
        <w:pStyle w:val="Heading3"/>
      </w:pPr>
      <w:bookmarkStart w:id="312" w:name="_Toc516669499"/>
      <w:r w:rsidRPr="004D0DAA">
        <w:t>8.1.6</w:t>
      </w:r>
      <w:r w:rsidRPr="004D0DAA">
        <w:tab/>
        <w:t>MBMS reception resumption after cell reselection</w:t>
      </w:r>
      <w:bookmarkEnd w:id="312"/>
    </w:p>
    <w:p w14:paraId="1F6A1F6E" w14:textId="77777777" w:rsidR="00711444" w:rsidRPr="004D0DAA" w:rsidRDefault="00711444" w:rsidP="00711444">
      <w:pPr>
        <w:pStyle w:val="Heading4"/>
      </w:pPr>
      <w:bookmarkStart w:id="313" w:name="_Toc516669500"/>
      <w:r w:rsidRPr="004D0DAA">
        <w:t>8.1.6.1</w:t>
      </w:r>
      <w:r w:rsidRPr="004D0DAA">
        <w:tab/>
        <w:t>Default behaviour</w:t>
      </w:r>
      <w:bookmarkEnd w:id="313"/>
    </w:p>
    <w:p w14:paraId="45447D00" w14:textId="77777777" w:rsidR="00711444" w:rsidRPr="004D0DAA" w:rsidRDefault="00711444" w:rsidP="00711444">
      <w:pPr>
        <w:rPr>
          <w:lang w:eastAsia="ko-KR"/>
        </w:rPr>
      </w:pPr>
      <w:r w:rsidRPr="004D0DAA">
        <w:rPr>
          <w:lang w:eastAsia="ko-KR"/>
        </w:rPr>
        <w:t>If a mobile station in broadcast/multicast receive mode reselects a new (target) cell for which it does not have the description of (any of) the MBMS radio bearer(s) being allocated in this target cell for the MBMS session(s) the mobile station was receiving in the old serving cell, the mobile station shall follow the default behaviour in the target cell, as described in this sub-clause. Otherwise, the mobile station shall perform fast reception resumption, as described in sub-clause 8.1.6.2.</w:t>
      </w:r>
    </w:p>
    <w:p w14:paraId="6F7C521F" w14:textId="77777777" w:rsidR="00711444" w:rsidRPr="004D0DAA" w:rsidRDefault="00711444" w:rsidP="00711444">
      <w:pPr>
        <w:rPr>
          <w:lang w:eastAsia="ko-KR"/>
        </w:rPr>
      </w:pPr>
      <w:r w:rsidRPr="004D0DAA">
        <w:t>In the target cell, the mobile station shall first perform the acquisition of the system information on the (P)BCCH.</w:t>
      </w:r>
    </w:p>
    <w:p w14:paraId="0F676966" w14:textId="77777777" w:rsidR="00711444" w:rsidRPr="004D0DAA" w:rsidRDefault="00711444" w:rsidP="00711444">
      <w:pPr>
        <w:rPr>
          <w:lang w:eastAsia="ko-KR"/>
        </w:rPr>
      </w:pPr>
      <w:r w:rsidRPr="004D0DAA">
        <w:rPr>
          <w:lang w:eastAsia="ko-KR"/>
        </w:rPr>
        <w:t xml:space="preserve">If the </w:t>
      </w:r>
      <w:r w:rsidRPr="004D0DAA">
        <w:rPr>
          <w:i/>
          <w:lang w:eastAsia="ko-KR"/>
        </w:rPr>
        <w:t>GPRS Cell Options</w:t>
      </w:r>
      <w:r w:rsidRPr="004D0DAA">
        <w:rPr>
          <w:lang w:eastAsia="ko-KR"/>
        </w:rPr>
        <w:t xml:space="preserve"> IE denotes that the MBMS procedures are supported by the target cell, the mobile station shall then perform the MBMS packet access </w:t>
      </w:r>
      <w:r w:rsidRPr="004D0DAA">
        <w:t xml:space="preserve">and establishment procedures, as specified in sub-clause 7.7, for the MBMS session the mobile station </w:t>
      </w:r>
      <w:r w:rsidRPr="004D0DAA">
        <w:rPr>
          <w:lang w:eastAsia="ko-KR"/>
        </w:rPr>
        <w:t>was receiving in the old serving cell.</w:t>
      </w:r>
    </w:p>
    <w:p w14:paraId="0D432488" w14:textId="77777777" w:rsidR="00711444" w:rsidRPr="004D0DAA" w:rsidRDefault="00711444" w:rsidP="00711444">
      <w:pPr>
        <w:rPr>
          <w:lang w:eastAsia="ko-KR"/>
        </w:rPr>
      </w:pPr>
      <w:r w:rsidRPr="004D0DAA">
        <w:rPr>
          <w:lang w:eastAsia="ko-KR"/>
        </w:rPr>
        <w:t xml:space="preserve">In case of reception of multiple sessions, the mobile station shall obey the procedures </w:t>
      </w:r>
      <w:r w:rsidRPr="004D0DAA">
        <w:t>described in sub-clause 8.1.5.2.6</w:t>
      </w:r>
      <w:r w:rsidRPr="004D0DAA">
        <w:rPr>
          <w:lang w:eastAsia="ko-KR"/>
        </w:rPr>
        <w:t>.</w:t>
      </w:r>
    </w:p>
    <w:p w14:paraId="63DD2AE7" w14:textId="77777777" w:rsidR="00711444" w:rsidRPr="004D0DAA" w:rsidRDefault="00711444" w:rsidP="00711444">
      <w:pPr>
        <w:pStyle w:val="Heading4"/>
      </w:pPr>
      <w:bookmarkStart w:id="314" w:name="_Toc516669501"/>
      <w:r w:rsidRPr="004D0DAA">
        <w:t>8.1.6.2</w:t>
      </w:r>
      <w:r w:rsidRPr="004D0DAA">
        <w:tab/>
        <w:t>Fast reception resumption</w:t>
      </w:r>
      <w:bookmarkEnd w:id="314"/>
    </w:p>
    <w:p w14:paraId="36C3D448" w14:textId="77777777" w:rsidR="00711444" w:rsidRPr="004D0DAA" w:rsidRDefault="00711444" w:rsidP="00711444">
      <w:r w:rsidRPr="004D0DAA">
        <w:rPr>
          <w:lang w:eastAsia="ko-KR"/>
        </w:rPr>
        <w:t>If a mobile station in broadcast/multicast receive mode reselects a new (target) cell for which it has received the description of (at least one of) the MBMS radio bearer(s) being allocated in this target cell for the MBMS session(s) the mobile station was receiving in the old serving cell (see sub-clauses 5.5.1.1 and 7.7.3), the mobile station shall perform fast reception resumption in the target cell, as described in this sub-clause. Otherwise, the mobile station shall follow the default behaviour, as described in sub-clause 8.1.6.1.</w:t>
      </w:r>
    </w:p>
    <w:p w14:paraId="11B3AB5F" w14:textId="77777777" w:rsidR="00711444" w:rsidRPr="004D0DAA" w:rsidRDefault="00711444" w:rsidP="00711444">
      <w:r w:rsidRPr="004D0DAA">
        <w:t>In the target cell, the mobile station shall immediately resume the reception of the MBMS session for which the MBMS bearer description is known from the old serving cell, without first performing the acquisition of the system information. If the mobile station fails to resume the reception of the MBMS session for any reason and does not have any other MBMS bearer description known for any other MBMS session possibly received in the old serving cell, the mobile station shall then follow the default behaviour (see sub-clause 8.1.6.1).</w:t>
      </w:r>
    </w:p>
    <w:p w14:paraId="34C20D7D" w14:textId="77777777" w:rsidR="00711444" w:rsidRPr="004D0DAA" w:rsidRDefault="00711444" w:rsidP="00711444">
      <w:r w:rsidRPr="004D0DAA">
        <w:rPr>
          <w:lang w:eastAsia="ko-KR"/>
        </w:rPr>
        <w:t xml:space="preserve">The acquisition of the system information shall be performed simultaneously with the reception of the MBMS session. </w:t>
      </w:r>
      <w:r w:rsidRPr="004D0DAA">
        <w:t>If the network has indicated that the system information for the resumed MBMS session is not sent on the PACCH (with the MBMS In-band Signalling Indicator information element included in the MBMS NEIGHBOURING CELL INFORMATION message transmitted in the old serving cell), the mobile station shall perform the acquisition of the system information on the (P)BCCH. In this case,</w:t>
      </w:r>
      <w:r w:rsidRPr="004D0DAA">
        <w:rPr>
          <w:lang w:eastAsia="ko-KR"/>
        </w:rPr>
        <w:t xml:space="preserve"> </w:t>
      </w:r>
      <w:r w:rsidRPr="004D0DAA">
        <w:t>the reception of the MBMS session may need to be suspended during such acquisition. The mobile station may then attempt to resume the reception of the suspended MBMS session, according to the requirements and the procedures described in sub-clause 8.1.4.5. If the network has indicated that the system information for the resumed MBMS session is sent on the PACCH, the mobile station shall perform the acquisition of the system information on the PACCH, as described in sub-clause 5.5.2.1.3b.</w:t>
      </w:r>
    </w:p>
    <w:p w14:paraId="138C542C" w14:textId="77777777" w:rsidR="00711444" w:rsidRPr="004D0DAA" w:rsidRDefault="00711444" w:rsidP="00711444">
      <w:r w:rsidRPr="004D0DAA">
        <w:t xml:space="preserve">If the mobile station has received the indication </w:t>
      </w:r>
      <w:r w:rsidRPr="004D0DAA">
        <w:rPr>
          <w:rFonts w:cs="Arial"/>
          <w:szCs w:val="22"/>
        </w:rPr>
        <w:t>(</w:t>
      </w:r>
      <w:r w:rsidRPr="004D0DAA">
        <w:t xml:space="preserve">via the MBMS NEIGHBOURING CELL INFORMATION message transmitted in the old serving cell) that, for </w:t>
      </w:r>
      <w:r w:rsidRPr="004D0DAA">
        <w:rPr>
          <w:rFonts w:cs="Arial"/>
          <w:szCs w:val="22"/>
        </w:rPr>
        <w:t>the MBMS radio bearer corresponding to the resumed MBMS session,</w:t>
      </w:r>
      <w:r w:rsidRPr="004D0DAA">
        <w:t xml:space="preserve"> an </w:t>
      </w:r>
      <w:r w:rsidRPr="004D0DAA">
        <w:lastRenderedPageBreak/>
        <w:t>uplink feedback channel</w:t>
      </w:r>
      <w:r w:rsidRPr="004D0DAA">
        <w:rPr>
          <w:rFonts w:cs="Arial"/>
          <w:szCs w:val="22"/>
        </w:rPr>
        <w:t xml:space="preserve"> is established in the new cell, </w:t>
      </w:r>
      <w:r w:rsidRPr="004D0DAA">
        <w:t>the mobile station initiates the MBMS packet access procedure either:</w:t>
      </w:r>
    </w:p>
    <w:p w14:paraId="0985D4B5" w14:textId="77777777" w:rsidR="00711444" w:rsidRPr="004D0DAA" w:rsidRDefault="00711444" w:rsidP="00711444">
      <w:pPr>
        <w:pStyle w:val="B1"/>
      </w:pPr>
      <w:r w:rsidRPr="004D0DAA">
        <w:t>-</w:t>
      </w:r>
      <w:r w:rsidRPr="004D0DAA">
        <w:tab/>
        <w:t xml:space="preserve">on the MPRACH, if the mobile station is in DRX mode (e.g. it is not involved in a </w:t>
      </w:r>
      <w:r w:rsidRPr="004D0DAA">
        <w:rPr>
          <w:i/>
        </w:rPr>
        <w:t>routeing area update</w:t>
      </w:r>
      <w:r w:rsidRPr="004D0DAA">
        <w:t xml:space="preserve"> procedure) and received the indication that an MPRACH is allocated on the uplink feedback channel (sub-clause 7.7.1.4), or</w:t>
      </w:r>
    </w:p>
    <w:p w14:paraId="6E3DEA7C" w14:textId="77777777" w:rsidR="00711444" w:rsidRPr="004D0DAA" w:rsidRDefault="00711444" w:rsidP="00711444">
      <w:pPr>
        <w:pStyle w:val="B1"/>
      </w:pPr>
      <w:r w:rsidRPr="004D0DAA">
        <w:t>-</w:t>
      </w:r>
      <w:r w:rsidRPr="004D0DAA">
        <w:tab/>
        <w:t>on a PCCCH (sub-clause 7.7.1.2) or,</w:t>
      </w:r>
    </w:p>
    <w:p w14:paraId="585982DE" w14:textId="77777777" w:rsidR="00711444" w:rsidRPr="004D0DAA" w:rsidRDefault="00711444" w:rsidP="00711444">
      <w:pPr>
        <w:pStyle w:val="B1"/>
      </w:pPr>
      <w:r w:rsidRPr="004D0DAA">
        <w:t>-</w:t>
      </w:r>
      <w:r w:rsidRPr="004D0DAA">
        <w:tab/>
        <w:t>if a packet control channel is not allocated in the cell, on a CCCH (sub-clause 7.7.1.3).</w:t>
      </w:r>
    </w:p>
    <w:p w14:paraId="7CFE672C" w14:textId="77777777" w:rsidR="00711444" w:rsidRPr="004D0DAA" w:rsidRDefault="00711444" w:rsidP="00711444">
      <w:pPr>
        <w:rPr>
          <w:lang w:eastAsia="ko-KR"/>
        </w:rPr>
      </w:pPr>
      <w:r w:rsidRPr="004D0DAA">
        <w:rPr>
          <w:lang w:eastAsia="ko-KR"/>
        </w:rPr>
        <w:t xml:space="preserve">In case of reception of multiple sessions, the mobile station shall obey the procedures </w:t>
      </w:r>
      <w:r w:rsidRPr="004D0DAA">
        <w:t>described in sub-clause 8.1.5.2.6</w:t>
      </w:r>
      <w:r w:rsidRPr="004D0DAA">
        <w:rPr>
          <w:lang w:eastAsia="ko-KR"/>
        </w:rPr>
        <w:t>.</w:t>
      </w:r>
    </w:p>
    <w:p w14:paraId="46C8EBBC" w14:textId="77777777" w:rsidR="00711444" w:rsidRPr="004D0DAA" w:rsidRDefault="00711444" w:rsidP="00711444">
      <w:pPr>
        <w:pStyle w:val="Heading3"/>
        <w:rPr>
          <w:lang w:eastAsia="ko-KR"/>
        </w:rPr>
      </w:pPr>
      <w:bookmarkStart w:id="315" w:name="_Toc516669502"/>
      <w:r w:rsidRPr="004D0DAA">
        <w:rPr>
          <w:lang w:eastAsia="ko-KR"/>
        </w:rPr>
        <w:t>8.1.7</w:t>
      </w:r>
      <w:r w:rsidRPr="004D0DAA">
        <w:rPr>
          <w:lang w:eastAsia="ko-KR"/>
        </w:rPr>
        <w:tab/>
        <w:t>Packet Application Information</w:t>
      </w:r>
      <w:bookmarkEnd w:id="315"/>
    </w:p>
    <w:p w14:paraId="250862BD" w14:textId="77777777" w:rsidR="00711444" w:rsidRPr="004D0DAA" w:rsidRDefault="00711444" w:rsidP="00711444">
      <w:pPr>
        <w:pStyle w:val="Heading4"/>
        <w:rPr>
          <w:lang w:eastAsia="ko-KR"/>
        </w:rPr>
      </w:pPr>
      <w:bookmarkStart w:id="316" w:name="_Toc516669503"/>
      <w:r w:rsidRPr="004D0DAA">
        <w:rPr>
          <w:lang w:eastAsia="ko-KR"/>
        </w:rPr>
        <w:t>8.1.7.1</w:t>
      </w:r>
      <w:r w:rsidRPr="004D0DAA">
        <w:rPr>
          <w:lang w:eastAsia="ko-KR"/>
        </w:rPr>
        <w:tab/>
      </w:r>
      <w:r w:rsidRPr="004D0DAA">
        <w:rPr>
          <w:lang w:eastAsia="ko-KR"/>
        </w:rPr>
        <w:tab/>
        <w:t>General</w:t>
      </w:r>
      <w:bookmarkEnd w:id="316"/>
    </w:p>
    <w:p w14:paraId="4DC0C586" w14:textId="77777777" w:rsidR="00711444" w:rsidRPr="004D0DAA" w:rsidRDefault="00711444" w:rsidP="00711444">
      <w:r w:rsidRPr="004D0DAA">
        <w:t>The Packet Application Transfer procedure enables an application on the network side to transfer Application data to a mobile station.</w:t>
      </w:r>
    </w:p>
    <w:p w14:paraId="77668FDA" w14:textId="77777777" w:rsidR="00711444" w:rsidRPr="004D0DAA" w:rsidRDefault="00711444" w:rsidP="00711444">
      <w:r w:rsidRPr="004D0DAA">
        <w:t>The network may send the PACKET APPLICATION INFORMATION message to a mobile station in packet transfer mode or in dual transfer mode on the PACCH with one of the following applications:</w:t>
      </w:r>
    </w:p>
    <w:p w14:paraId="34A986CC" w14:textId="77777777" w:rsidR="00711444" w:rsidRPr="004D0DAA" w:rsidRDefault="00711444" w:rsidP="00711444">
      <w:pPr>
        <w:pStyle w:val="Heading4"/>
      </w:pPr>
      <w:bookmarkStart w:id="317" w:name="_Toc516669504"/>
      <w:r w:rsidRPr="004D0DAA">
        <w:t>8.1.7.2</w:t>
      </w:r>
      <w:r w:rsidRPr="004D0DAA">
        <w:tab/>
        <w:t>Earthquake and Tsunami Warning System (ETWS)</w:t>
      </w:r>
      <w:bookmarkEnd w:id="317"/>
    </w:p>
    <w:p w14:paraId="66A50976" w14:textId="77777777" w:rsidR="00711444" w:rsidRPr="004D0DAA" w:rsidRDefault="00711444" w:rsidP="00711444">
      <w:r w:rsidRPr="004D0DAA">
        <w:t>The PACKET APPLICATION INFORMATION message enables the network to transfer an ET</w:t>
      </w:r>
      <w:r w:rsidRPr="004D0DAA">
        <w:t>WS Primary Notification message, see 3GPP TS 23.041, to a mobile station.</w:t>
      </w:r>
    </w:p>
    <w:p w14:paraId="6468ED66" w14:textId="77777777" w:rsidR="00711444" w:rsidRPr="004D0DAA" w:rsidRDefault="00711444" w:rsidP="00711444">
      <w:r w:rsidRPr="004D0DAA">
        <w:t>A mobile station operating in packet transfer mode or in dual transfer mode may receive a PACKET APPLICATION INFORMATION message on the PACCH, Since this message may be segmented across more than two RLC/MAC control blocks, by using extended RLC/MAC control message segmentation, the mobile station shall attempt to acquire all segments of the PACKET APPLICATION INFORMATION message before attempting to decode the message. Upon receiving the complete PACKET APPLICATION INFORMATION message the ETWS Primary Notification message shall be sent to upper layers.</w:t>
      </w:r>
    </w:p>
    <w:p w14:paraId="286853B9" w14:textId="77777777" w:rsidR="00711444" w:rsidRPr="004D0DAA" w:rsidRDefault="00711444" w:rsidP="00711444">
      <w:pPr>
        <w:pStyle w:val="Heading3"/>
      </w:pPr>
      <w:bookmarkStart w:id="318" w:name="_Toc516669505"/>
      <w:r w:rsidRPr="004D0DAA">
        <w:t>8.1.8</w:t>
      </w:r>
      <w:r w:rsidRPr="004D0DAA">
        <w:tab/>
        <w:t>Dynamic Timeslot Reduction</w:t>
      </w:r>
      <w:bookmarkEnd w:id="318"/>
    </w:p>
    <w:p w14:paraId="4560A8BD" w14:textId="77777777" w:rsidR="00711444" w:rsidRPr="004D0DAA" w:rsidRDefault="00711444" w:rsidP="00711444">
      <w:pPr>
        <w:pStyle w:val="Heading4"/>
      </w:pPr>
      <w:bookmarkStart w:id="319" w:name="_Toc516669506"/>
      <w:r w:rsidRPr="004D0DAA">
        <w:t>8.1.8.1</w:t>
      </w:r>
      <w:r w:rsidRPr="004D0DAA">
        <w:tab/>
        <w:t>General</w:t>
      </w:r>
      <w:bookmarkEnd w:id="319"/>
    </w:p>
    <w:p w14:paraId="28362DE8" w14:textId="77777777" w:rsidR="00711444" w:rsidRPr="004D0DAA" w:rsidRDefault="00711444" w:rsidP="00711444">
      <w:r w:rsidRPr="004D0DAA">
        <w:t xml:space="preserve">Dynamic Timeslot Reduction (DTR) allows the network to command the mobile station in packet transfer mode to reduce the number of downlink timeslots that it is required to monitor during inactivity periods of a TBF. The network should use DTR only when extended uplink TBF mode with EXT_UTBF_NODATA set to </w:t>
      </w:r>
      <w:r w:rsidRPr="004D0DAA">
        <w:rPr>
          <w:snapToGrid w:val="0"/>
        </w:rPr>
        <w:t>'1'</w:t>
      </w:r>
      <w:r w:rsidRPr="004D0DAA">
        <w:t xml:space="preserve"> and/or delayed downlink TBF release are used. </w:t>
      </w:r>
    </w:p>
    <w:p w14:paraId="418BEF8E" w14:textId="77777777" w:rsidR="00711444" w:rsidRPr="004D0DAA" w:rsidRDefault="00711444" w:rsidP="00711444">
      <w:r w:rsidRPr="004D0DAA">
        <w:t xml:space="preserve">The network orders a mobile station that supports DTR to reduce the number of downlink timeslots it shall monitor during the inactivity periods of a TBF (as specified for delayed downlink TBF release and extended uplink TBF mode) by sending it DTR information as defined in sub-clause 8.1.8.2. </w:t>
      </w:r>
    </w:p>
    <w:p w14:paraId="3071DEFF" w14:textId="77777777" w:rsidR="00711444" w:rsidRPr="004D0DAA" w:rsidRDefault="00711444" w:rsidP="00711444">
      <w:r w:rsidRPr="004D0DAA">
        <w:t>The mobile station shall indicate its support for DTR in the MS Radio Access Capabilities IE (see 3GPP TS 24.008).</w:t>
      </w:r>
    </w:p>
    <w:p w14:paraId="1B84B042" w14:textId="77777777" w:rsidR="00711444" w:rsidRPr="004D0DAA" w:rsidRDefault="00711444" w:rsidP="00711444">
      <w:pPr>
        <w:pStyle w:val="Heading4"/>
      </w:pPr>
      <w:bookmarkStart w:id="320" w:name="_Toc516669507"/>
      <w:r w:rsidRPr="004D0DAA">
        <w:t>8.1.8.2</w:t>
      </w:r>
      <w:r w:rsidRPr="004D0DAA">
        <w:tab/>
        <w:t>DTR Activation</w:t>
      </w:r>
      <w:bookmarkEnd w:id="320"/>
    </w:p>
    <w:p w14:paraId="4C6AA2BA" w14:textId="77777777" w:rsidR="00711444" w:rsidRPr="004D0DAA" w:rsidRDefault="00711444" w:rsidP="00711444">
      <w:r w:rsidRPr="004D0DAA">
        <w:t xml:space="preserve">The network shall send DTR information including the TN/PDCH-pair field indicating the timeslot number (BTTI configuration) or the PDCH-pair number (RTTI configuration) and the carrier ID (if the mobile station is in dual carrier configuration) of the timeslot or the PDCH-pair the mobile station shall monitor for USFs and downlink RLC/MAC blocks while in DTR mode. A mobile station with an assigned uplink TBF shall ignore the DTR information in case the indicated timeslot or PDCH-pair is not within the timeslots assigned to the uplink TBF. A mobile station with an assigned downlink TBF shall ignore the DTR information if the indicated timeslot or PDCH-pair does not correspond to a timeslot or PDCH-pair assigned to the downlink TBF. For a DLMC configuration the network shall send DTR information including the TN/PDCH-pair field indicating the timeslot number (BTTI configuration) or the PDCH-pair </w:t>
      </w:r>
      <w:r w:rsidRPr="004D0DAA">
        <w:lastRenderedPageBreak/>
        <w:t>number (RTTI configuration) of the timeslot or the PDCH-pair the mobile station shall monitor for radio blocks on the downlink carrier used for fall back according to a regular pre-determined interval (see sub-clause 5.13).</w:t>
      </w:r>
    </w:p>
    <w:p w14:paraId="31F18FBD" w14:textId="77777777" w:rsidR="00711444" w:rsidRPr="004D0DAA" w:rsidRDefault="00711444" w:rsidP="00711444">
      <w:r w:rsidRPr="004D0DAA">
        <w:t xml:space="preserve">In addition, the DTR information may indicate the mobile station is only required to monitor a sub-set of the radio blocks on the monitored timeslot/PDCH-pair, as indicated by the </w:t>
      </w:r>
      <w:r w:rsidRPr="004D0DAA">
        <w:rPr>
          <w:i/>
        </w:rPr>
        <w:t>DTR Blks</w:t>
      </w:r>
      <w:r w:rsidRPr="004D0DAA">
        <w:t xml:space="preserve"> parameter.</w:t>
      </w:r>
    </w:p>
    <w:p w14:paraId="1B241B28" w14:textId="77777777" w:rsidR="00711444" w:rsidRPr="004D0DAA" w:rsidRDefault="00711444" w:rsidP="00711444">
      <w:r w:rsidRPr="004D0DAA">
        <w:t>During a downlink TBF, the network may transmit the DTR information within downlink RLC data blocks of the TBF (see sub-clause10.3a.1). During an uplink TBF, the network may transmit the DTR information within a PACKET UPLINK ACK/NACK message. If DTR information is received in a PACKET UPLINK ACK/NACK message and an RLC data block in the same block period, the mobile station shall ignore the DTR information received in the RLC data block.</w:t>
      </w:r>
    </w:p>
    <w:p w14:paraId="53328AAC" w14:textId="77777777" w:rsidR="00711444" w:rsidRPr="004D0DAA" w:rsidRDefault="00711444" w:rsidP="00711444">
      <w:r w:rsidRPr="004D0DAA">
        <w:t>A mobile station not already in DTR mode shall enter DTR mode and start monitoring only the indicated PDCH or PDCH-pair (and if applicable, carrier) within the reaction time specified in 3GPP TS 45.010, when:</w:t>
      </w:r>
    </w:p>
    <w:p w14:paraId="54FECAB7" w14:textId="77777777" w:rsidR="00711444" w:rsidRPr="004D0DAA" w:rsidRDefault="00711444" w:rsidP="00711444">
      <w:pPr>
        <w:pStyle w:val="B1"/>
      </w:pPr>
      <w:r w:rsidRPr="004D0DAA">
        <w:t>-</w:t>
      </w:r>
      <w:r w:rsidRPr="004D0DAA">
        <w:tab/>
        <w:t>DTR information was included in whichever of the following was the most recently received:</w:t>
      </w:r>
    </w:p>
    <w:p w14:paraId="4DB3AD57" w14:textId="77777777" w:rsidR="00711444" w:rsidRPr="004D0DAA" w:rsidRDefault="00711444" w:rsidP="00711444">
      <w:pPr>
        <w:pStyle w:val="B2"/>
      </w:pPr>
      <w:r w:rsidRPr="004D0DAA">
        <w:t xml:space="preserve">i) </w:t>
      </w:r>
      <w:r w:rsidRPr="004D0DAA">
        <w:tab/>
        <w:t>any PACKET UPLINK ACK/NACK message (applicable if the mobile station has an ongoing uplink TBF) and</w:t>
      </w:r>
    </w:p>
    <w:p w14:paraId="010DBACD" w14:textId="77777777" w:rsidR="00711444" w:rsidRPr="004D0DAA" w:rsidRDefault="00711444" w:rsidP="00711444">
      <w:pPr>
        <w:pStyle w:val="B2"/>
      </w:pPr>
      <w:r w:rsidRPr="004D0DAA">
        <w:t>ii)</w:t>
      </w:r>
      <w:r w:rsidRPr="004D0DAA">
        <w:tab/>
        <w:t>the RLC data block with BSN equal to V(Q) - 1 modulo SNS (applicable if the mobile station has an ongoing downlink TBF) and</w:t>
      </w:r>
    </w:p>
    <w:p w14:paraId="06C3F5EF" w14:textId="77777777" w:rsidR="00711444" w:rsidRPr="004D0DAA" w:rsidRDefault="00711444" w:rsidP="00711444">
      <w:pPr>
        <w:pStyle w:val="B1"/>
      </w:pPr>
      <w:r w:rsidRPr="004D0DAA">
        <w:t>-</w:t>
      </w:r>
      <w:r w:rsidRPr="004D0DAA">
        <w:tab/>
        <w:t>V(R) = V(Q), if the mobile station has an ongoing downlink TBF, and</w:t>
      </w:r>
    </w:p>
    <w:p w14:paraId="26BE92CA" w14:textId="77777777" w:rsidR="00711444" w:rsidRPr="004D0DAA" w:rsidRDefault="00711444" w:rsidP="00711444">
      <w:pPr>
        <w:pStyle w:val="B1"/>
      </w:pPr>
      <w:r w:rsidRPr="004D0DAA">
        <w:t>-</w:t>
      </w:r>
      <w:r w:rsidRPr="004D0DAA">
        <w:tab/>
        <w:t>if the mobile station has an ongoing uplink TBF, the RLC data block with BSN = V(S) is not available and either:</w:t>
      </w:r>
    </w:p>
    <w:p w14:paraId="781220DD" w14:textId="77777777" w:rsidR="00711444" w:rsidRPr="004D0DAA" w:rsidRDefault="00711444" w:rsidP="00711444">
      <w:pPr>
        <w:pStyle w:val="B2"/>
      </w:pPr>
      <w:r w:rsidRPr="004D0DAA">
        <w:t>-</w:t>
      </w:r>
      <w:r w:rsidRPr="004D0DAA">
        <w:tab/>
        <w:t>V(A) = V(S), or</w:t>
      </w:r>
    </w:p>
    <w:p w14:paraId="6A83BFCC" w14:textId="77777777" w:rsidR="00711444" w:rsidRPr="004D0DAA" w:rsidRDefault="00711444" w:rsidP="00711444">
      <w:pPr>
        <w:pStyle w:val="B2"/>
      </w:pPr>
      <w:r w:rsidRPr="004D0DAA">
        <w:t>-</w:t>
      </w:r>
      <w:r w:rsidRPr="004D0DAA">
        <w:tab/>
        <w:t>V(A) &lt; V(S) mod SNS, the most recently received pre-emptive transmission bit is set to '0', and no element of V(B) has the value NACKED (for RLC acknowledged mode).</w:t>
      </w:r>
    </w:p>
    <w:p w14:paraId="5B61E0EE" w14:textId="77777777" w:rsidR="00711444" w:rsidRPr="004D0DAA" w:rsidRDefault="00711444" w:rsidP="00711444">
      <w:pPr>
        <w:pStyle w:val="NO"/>
      </w:pPr>
      <w:r w:rsidRPr="004D0DAA">
        <w:t>NOTE 1:</w:t>
      </w:r>
      <w:r w:rsidRPr="004D0DAA">
        <w:tab/>
        <w:t>If the network includes DTR information in a PACKET UPLINK ACK/NACK message which includes one or more NACK indications, and the pre-emptive transmission bit is set to '0', upper layer PDUs may be delayed due to the limited uplink bandwidth available when in DTR mode. In order to ensure there are no delays in the delivery of upper layer uplink PDUs, the network should not send DTR information in a PACKET UPLINK ACK/NACK message which includes multiple NACK indications.</w:t>
      </w:r>
    </w:p>
    <w:p w14:paraId="54FEF2E9" w14:textId="77777777" w:rsidR="00711444" w:rsidRPr="004D0DAA" w:rsidRDefault="00711444" w:rsidP="00711444">
      <w:pPr>
        <w:pStyle w:val="NO"/>
      </w:pPr>
      <w:r w:rsidRPr="004D0DAA">
        <w:t>NOTE 2:</w:t>
      </w:r>
      <w:r w:rsidRPr="004D0DAA">
        <w:tab/>
        <w:t>The network may not be able to determine the exact point when the mobile station enters DTR but may use appropriate means (e.g. polling on a timeslot other than the monitored timeslot) to confirm that the MS has entered DTR.</w:t>
      </w:r>
    </w:p>
    <w:p w14:paraId="53B9B66D" w14:textId="77777777" w:rsidR="00711444" w:rsidRPr="004D0DAA" w:rsidRDefault="00711444" w:rsidP="00711444">
      <w:r w:rsidRPr="004D0DAA">
        <w:t>A mobile station already in DTR mode shall assume the DTR information is unchanged and shall therefore remain in DTR mode, i.e. the network shall ensure the DTR information is kept unchanged for this MS while it remains in DTR mode.</w:t>
      </w:r>
    </w:p>
    <w:p w14:paraId="16984F03" w14:textId="77777777" w:rsidR="00711444" w:rsidRPr="004D0DAA" w:rsidRDefault="00711444" w:rsidP="00711444">
      <w:r w:rsidRPr="004D0DAA">
        <w:t>The mobile station shall respond to any poll for PACKET DOWNLINK ACK/NACK or PACKET CONTROL ACKNOWLEDGMENT message received in radio block periods up to and including the one in which the mobile station is triggered to enter DTR mode (i.e. in which all conditions for entering DTR, as specified in this sub-clause, are met), as specified in sub-clause 8.1.2.2 and sub-clause 8.6. The mobile station shall respond to any poll for PACKET DOWNLINK ACK/NACK or PACKET CONTROL ACKNOWLEDGMENT message if it was received on the timeslot/PDCH-pair to be monitored during DTR mode and was received during a radio block period after the one in which the mobile station is triggered to enter DTR mode.</w:t>
      </w:r>
    </w:p>
    <w:p w14:paraId="6C1BF0A4" w14:textId="77777777" w:rsidR="00711444" w:rsidRPr="004D0DAA" w:rsidRDefault="00711444" w:rsidP="00711444">
      <w:r w:rsidRPr="004D0DAA">
        <w:t xml:space="preserve">When a mobile station operating concurrent TBFs in both directions is ordered to enter DTR mode, it shall apply DTR mode on both TBFs. The mobile station shall monitor the indicated PDCH or PDCH-pair for USFs and downlink RLC/MAC blocks. </w:t>
      </w:r>
    </w:p>
    <w:p w14:paraId="06EBB985" w14:textId="77777777" w:rsidR="00711444" w:rsidRPr="004D0DAA" w:rsidRDefault="00711444" w:rsidP="00711444">
      <w:pPr>
        <w:pStyle w:val="Heading4"/>
      </w:pPr>
      <w:bookmarkStart w:id="321" w:name="_Toc516669508"/>
      <w:r w:rsidRPr="004D0DAA">
        <w:t>8.1.8.3</w:t>
      </w:r>
      <w:r w:rsidRPr="004D0DAA">
        <w:tab/>
        <w:t>Resumption to normal operation</w:t>
      </w:r>
      <w:bookmarkEnd w:id="321"/>
    </w:p>
    <w:p w14:paraId="1C38D333" w14:textId="77777777" w:rsidR="00711444" w:rsidRPr="004D0DAA" w:rsidRDefault="00711444" w:rsidP="00711444">
      <w:r w:rsidRPr="004D0DAA">
        <w:t>The mobile station shall exit DTR mode within the reaction time specified in 3GPP TS 45.010:</w:t>
      </w:r>
    </w:p>
    <w:p w14:paraId="4B0B01A0" w14:textId="77777777" w:rsidR="00711444" w:rsidRPr="004D0DAA" w:rsidRDefault="00711444" w:rsidP="00711444">
      <w:pPr>
        <w:pStyle w:val="B1"/>
      </w:pPr>
      <w:r w:rsidRPr="004D0DAA">
        <w:t>-</w:t>
      </w:r>
      <w:r w:rsidRPr="004D0DAA">
        <w:tab/>
        <w:t>when an RLC data block with BSN equal to V(S) is transmitted and the medium access mode is Dynamic Allocation;</w:t>
      </w:r>
    </w:p>
    <w:p w14:paraId="004A3683" w14:textId="77777777" w:rsidR="00711444" w:rsidRPr="004D0DAA" w:rsidRDefault="00711444" w:rsidP="00711444">
      <w:pPr>
        <w:pStyle w:val="B1"/>
      </w:pPr>
      <w:r w:rsidRPr="004D0DAA">
        <w:lastRenderedPageBreak/>
        <w:t>-</w:t>
      </w:r>
      <w:r w:rsidRPr="004D0DAA">
        <w:tab/>
        <w:t>when an EGPRS RLC/MAC block for data transfer including BSN higher than V(R) modulo SNS is received;</w:t>
      </w:r>
    </w:p>
    <w:p w14:paraId="3A19FBD5" w14:textId="77777777" w:rsidR="00711444" w:rsidRPr="004D0DAA" w:rsidRDefault="00711444" w:rsidP="00711444">
      <w:pPr>
        <w:pStyle w:val="B1"/>
      </w:pPr>
      <w:r w:rsidRPr="004D0DAA">
        <w:t>-</w:t>
      </w:r>
      <w:r w:rsidRPr="004D0DAA">
        <w:tab/>
        <w:t>when an RLC data block with BSN equal to V(R) not including a valid DTR information is received;</w:t>
      </w:r>
    </w:p>
    <w:p w14:paraId="11DEF5B9" w14:textId="77777777" w:rsidR="00711444" w:rsidRPr="004D0DAA" w:rsidRDefault="00711444" w:rsidP="00711444">
      <w:pPr>
        <w:pStyle w:val="B1"/>
      </w:pPr>
      <w:r w:rsidRPr="004D0DAA">
        <w:t xml:space="preserve">- </w:t>
      </w:r>
      <w:r w:rsidRPr="004D0DAA">
        <w:tab/>
        <w:t>upon reception of an assignment message (PACKET DOWNLINK ASSIGNMENT, PACKET UPLINK ASSIGNMENT, PACKET TIMESLOT RECONFIGURE, PACKET CS RELEASE INDICATION) or PACKET UPLINK ACK/NACK message without a DTR information. If a TBF starting time information element is present in the received assignment message, the mobile station shall wait until the indicated TBF starting time before switching to the assigned PDCHs and exiting DTR mode;</w:t>
      </w:r>
    </w:p>
    <w:p w14:paraId="318565D1" w14:textId="77777777" w:rsidR="00711444" w:rsidRPr="004D0DAA" w:rsidRDefault="00711444" w:rsidP="00711444">
      <w:pPr>
        <w:pStyle w:val="B1"/>
      </w:pPr>
      <w:r w:rsidRPr="004D0DAA">
        <w:t>-</w:t>
      </w:r>
      <w:r w:rsidRPr="004D0DAA">
        <w:tab/>
        <w:t xml:space="preserve">upon reception of a PACKET PDCH RELEASE message releasing the monitored PDCH/PDCH-pair when the mobile station shall act as specified in sub-clause 8.2. </w:t>
      </w:r>
    </w:p>
    <w:p w14:paraId="659FD1D3" w14:textId="77777777" w:rsidR="00711444" w:rsidRPr="004D0DAA" w:rsidRDefault="00711444" w:rsidP="00711444">
      <w:pPr>
        <w:pStyle w:val="Heading2"/>
      </w:pPr>
      <w:bookmarkStart w:id="322" w:name="_Toc516669509"/>
      <w:r w:rsidRPr="004D0DAA">
        <w:t>8.2</w:t>
      </w:r>
      <w:r w:rsidRPr="004D0DAA">
        <w:tab/>
        <w:t>Packet PDCH Release</w:t>
      </w:r>
      <w:bookmarkEnd w:id="322"/>
    </w:p>
    <w:p w14:paraId="3F416FC2" w14:textId="77777777" w:rsidR="00711444" w:rsidRPr="004D0DAA" w:rsidRDefault="00711444" w:rsidP="00711444">
      <w:r w:rsidRPr="004D0DAA">
        <w:t>The network may broadcast the PACKET PDCH RELEASE message on PACCH to indicate one or more timeslots is no longer available for packet data service. In the case where any of these timeslots belong to an assigned PDCH pair for a TBF in RTTI configuration, the mobile stations that use any of these time slots within their assigned TBF(s) in RTTI configuration shall consider both timeslots that constitute such a PDCH pair as being released.  When a mobile station receives a PACKET PDCH RELEASE message, it shall immediately stop transmitting and receiving on all assigned PDCHs, which are indicated as not present in the TIMESLOTS_AVAILABLE field, remove those PDCHs from its list of assigned PDCHs.</w:t>
      </w:r>
    </w:p>
    <w:p w14:paraId="4C6932BA" w14:textId="77777777" w:rsidR="00711444" w:rsidRPr="004D0DAA" w:rsidRDefault="00711444" w:rsidP="00711444">
      <w:r w:rsidRPr="004D0DAA">
        <w:t>If all of the mobile station’s assigned PDCHs are removed from its list of assigned PDCHs, and, if at least one uplink TBF was in progress, the mobile station shall perform an abnormal release with access retry (see sub-clause 8.7.2). If no uplink TBFs were in progress, the mobile station shall perform an abnormal release without retry (see sub-clause 8.7.1).</w:t>
      </w:r>
    </w:p>
    <w:p w14:paraId="7ACBEDD2" w14:textId="77777777" w:rsidR="00711444" w:rsidRPr="004D0DAA" w:rsidRDefault="00711444" w:rsidP="00711444">
      <w:r w:rsidRPr="004D0DAA">
        <w:t>If the mobile station has been assigned an uplink control timeslot(s) and the PACKET PDCH RELEASE message releases this PDCH/PDCH pair, and if at least one uplink TBF was in progress, the mobile station shall perform an abnormal release with access retry (see sub-clause 8.7.2). If no uplink TBFs were in progress, the mobile station shall perform an abnormal release without retry (see sub-clause 8.7.1).</w:t>
      </w:r>
    </w:p>
    <w:p w14:paraId="7C6F92D6" w14:textId="77777777" w:rsidR="00711444" w:rsidRPr="004D0DAA" w:rsidRDefault="00711444" w:rsidP="00711444">
      <w:r w:rsidRPr="004D0DAA">
        <w:t>If the current timeslot configuration requires Shifted USF operation (see sub-clause 8.1.1.2.4) and the PACKET PDCH RELEASE message modifies the configuration in such a way that Shifted USF operation is no longer required then normal USF operation shall apply after a suitable reaction time as defined in 3GPP TS 45.010.</w:t>
      </w:r>
    </w:p>
    <w:p w14:paraId="5F611E31" w14:textId="77777777" w:rsidR="00711444" w:rsidRPr="004D0DAA" w:rsidRDefault="00711444" w:rsidP="00711444">
      <w:pPr>
        <w:pStyle w:val="Heading2"/>
      </w:pPr>
      <w:bookmarkStart w:id="323" w:name="_Toc516669510"/>
      <w:r w:rsidRPr="004D0DAA">
        <w:t>8.3</w:t>
      </w:r>
      <w:r w:rsidRPr="004D0DAA">
        <w:tab/>
        <w:t>Procedure for measurement report sending in Packet Transfer mode</w:t>
      </w:r>
      <w:bookmarkEnd w:id="323"/>
    </w:p>
    <w:p w14:paraId="2BD020C8" w14:textId="77777777" w:rsidR="00711444" w:rsidRPr="004D0DAA" w:rsidRDefault="00711444" w:rsidP="00711444">
      <w:pPr>
        <w:keepNext/>
        <w:keepLines/>
      </w:pPr>
      <w:r w:rsidRPr="004D0DAA">
        <w:t xml:space="preserve">The procedure for NC measurement report sending shall be initiated by the mobile station at expiry of the NC measurement report interval timer T3158 (see sub-clause 5.6.1). An exception is the case of a mobile station that has enabled PEO or EC operation in which case only NC0 shall be used (see 3GPP TS 45.008 [15]) and therefore NC measurement report sending shall not be initiated by the mobile station. At expiry of the timer T3158 the mobile station shall restart the timer T3158, perform the measurements and send either the PACKET MEASUREMENT REPORT message containing the ‘NC measurement report struct’ or the PACKET ENHANCED MEASUREMENT REPORT message on PACCH. </w:t>
      </w:r>
    </w:p>
    <w:p w14:paraId="6A867078" w14:textId="77777777" w:rsidR="00711444" w:rsidRPr="004D0DAA" w:rsidRDefault="00711444" w:rsidP="00711444">
      <w:r w:rsidRPr="004D0DAA">
        <w:t>Following a downlink TBF establishment, the PACKET MEASUREMENT REPORT or PACKET ENHANCED MEASUREMENT REPORT message shall not be sent on the uplink PACCH associated with this TBF until two Packet Ack/Nack ((EGPRS) PACKET DOWNLINK ACK/NACK or EGPRS PACKET DOWNLINK ACK/NACK TYPE 2 or EGPRS PACKET DOWNLINK ACK/NACK TYPE 3 or EGPRS PACKET DOWNLINK ACK/NACK DLMC) messages have been sent to the network.</w:t>
      </w:r>
    </w:p>
    <w:p w14:paraId="4295A74D" w14:textId="77777777" w:rsidR="00711444" w:rsidRPr="004D0DAA" w:rsidRDefault="00711444" w:rsidP="00711444">
      <w:pPr>
        <w:pStyle w:val="Heading2"/>
      </w:pPr>
      <w:bookmarkStart w:id="324" w:name="_Toc516669511"/>
      <w:r w:rsidRPr="004D0DAA">
        <w:lastRenderedPageBreak/>
        <w:t>8.4</w:t>
      </w:r>
      <w:r w:rsidRPr="004D0DAA">
        <w:tab/>
        <w:t>Network controlled cell reselection procedure</w:t>
      </w:r>
      <w:bookmarkEnd w:id="324"/>
    </w:p>
    <w:p w14:paraId="02400A8B" w14:textId="77777777" w:rsidR="00711444" w:rsidRPr="004D0DAA" w:rsidRDefault="00711444" w:rsidP="00711444">
      <w:pPr>
        <w:keepNext/>
        <w:keepLines/>
        <w:numPr>
          <w:ilvl w:val="12"/>
          <w:numId w:val="0"/>
        </w:numPr>
      </w:pPr>
      <w:r w:rsidRPr="004D0DAA">
        <w:t>A cell reselection is controlled either by the mobile station or by the network. An exception is the case of a mobile station that has enabled PEO in which case cell reselection is only initiated by the mobile station (see 3GPP TS 45.008 [15]).</w:t>
      </w:r>
    </w:p>
    <w:p w14:paraId="6DE13A9A" w14:textId="77777777" w:rsidR="00711444" w:rsidRPr="004D0DAA" w:rsidRDefault="00711444" w:rsidP="00711444">
      <w:r w:rsidRPr="004D0DAA">
        <w:t>When the cell reselection is controlled by the mobile station, the mobile station shall apply the cell reselection procedure defined in sub-clause 5.5.1.1 (</w:t>
      </w:r>
      <w:r w:rsidRPr="004D0DAA">
        <w:rPr>
          <w:i/>
          <w:iCs/>
        </w:rPr>
        <w:t>A/Gb mode</w:t>
      </w:r>
      <w:r w:rsidRPr="004D0DAA">
        <w:t>).</w:t>
      </w:r>
    </w:p>
    <w:p w14:paraId="74922A6B" w14:textId="77777777" w:rsidR="00711444" w:rsidRPr="004D0DAA" w:rsidRDefault="00711444" w:rsidP="00711444">
      <w:r w:rsidRPr="004D0DAA">
        <w:t>When a cell reselection is initiated by the network for an individual mobile station, the cell change order procedure is started by sending a PACKET CELL CHANGE ORDER message to the mobile station on the PCCCH or PACCH.</w:t>
      </w:r>
    </w:p>
    <w:p w14:paraId="2672412F" w14:textId="77777777" w:rsidR="00711444" w:rsidRPr="004D0DAA" w:rsidRDefault="00711444" w:rsidP="00711444">
      <w:r w:rsidRPr="004D0DAA">
        <w:t>The PACKET CELL CHANGE ORDER message contains:</w:t>
      </w:r>
    </w:p>
    <w:p w14:paraId="083B7AB9" w14:textId="77777777" w:rsidR="00711444" w:rsidRPr="004D0DAA" w:rsidRDefault="00711444" w:rsidP="00711444">
      <w:pPr>
        <w:pStyle w:val="B1"/>
      </w:pPr>
      <w:r w:rsidRPr="004D0DAA">
        <w:t>-</w:t>
      </w:r>
      <w:r w:rsidRPr="004D0DAA">
        <w:tab/>
        <w:t>The characteristics of the new cell that are necessary to identify it (i.e. BSIC + BCCH frequency);</w:t>
      </w:r>
    </w:p>
    <w:p w14:paraId="6CDFCC18" w14:textId="77777777" w:rsidR="00711444" w:rsidRPr="004D0DAA" w:rsidRDefault="00711444" w:rsidP="00711444">
      <w:pPr>
        <w:pStyle w:val="B1"/>
      </w:pPr>
      <w:r w:rsidRPr="004D0DAA">
        <w:t>-</w:t>
      </w:r>
      <w:r w:rsidRPr="004D0DAA">
        <w:tab/>
        <w:t>The NC measurement parameters valid for the mobile station in the new cell (NETWORK_CONTROL_ORDER and optionally: NC_NON_DRX_PERIOD, NC_REPORTING_PERIOD_I and NC_REPORTING_PERIOD_T);</w:t>
      </w:r>
    </w:p>
    <w:p w14:paraId="60A59A18" w14:textId="77777777" w:rsidR="00711444" w:rsidRPr="004D0DAA" w:rsidRDefault="00711444" w:rsidP="00711444">
      <w:pPr>
        <w:pStyle w:val="B1"/>
      </w:pPr>
      <w:r w:rsidRPr="004D0DAA">
        <w:t>-</w:t>
      </w:r>
      <w:r w:rsidRPr="004D0DAA">
        <w:tab/>
        <w:t>The IMMEDIATE_REL parameter;</w:t>
      </w:r>
    </w:p>
    <w:p w14:paraId="4C1581C8" w14:textId="77777777" w:rsidR="00711444" w:rsidRPr="004D0DAA" w:rsidRDefault="00711444" w:rsidP="00711444">
      <w:pPr>
        <w:pStyle w:val="B1"/>
      </w:pPr>
      <w:r w:rsidRPr="004D0DAA">
        <w:t>-</w:t>
      </w:r>
      <w:r w:rsidRPr="004D0DAA">
        <w:tab/>
        <w:t>The CCN_ACTIVE parameter and optionally the CONTAINER_ID referring to the one included in received instances of the PACKET NEIGHBOUR CELL DATA message.</w:t>
      </w:r>
    </w:p>
    <w:p w14:paraId="7020A12E" w14:textId="77777777" w:rsidR="00711444" w:rsidRPr="004D0DAA" w:rsidRDefault="00711444" w:rsidP="00711444">
      <w:r w:rsidRPr="004D0DAA">
        <w:t xml:space="preserve">For a multi-RAT mobile station supporting UTRAN, the PACKET CELL CHANGE ORDER message may contain information on a UTRAN target cell, together with the IMMEDIATE_REL parameter; the establishment of UTRAN channel(s) and subsequent measurement reporting are defined in 3GPP TS 25.331. </w:t>
      </w:r>
    </w:p>
    <w:p w14:paraId="2ED46583" w14:textId="77777777" w:rsidR="00711444" w:rsidRPr="004D0DAA" w:rsidRDefault="00711444" w:rsidP="00711444">
      <w:r w:rsidRPr="004D0DAA">
        <w:t>For a multi-RAT mobile station supporting "CCN towards E-UTRAN, E-UTRAN Neighbour Cell measurement reporting and Network controlled cell reselection to E-UTRAN", the PACKET CELL CHANGE ORDER message may contain information on an E-UTRAN target cell; in this case, the establishment of channel(s) and subsequent measurement reporting are defined in 3GPP TS 36.331.</w:t>
      </w:r>
    </w:p>
    <w:p w14:paraId="2547198D" w14:textId="77777777" w:rsidR="00711444" w:rsidRPr="004D0DAA" w:rsidRDefault="00711444" w:rsidP="00711444">
      <w:r w:rsidRPr="004D0DAA">
        <w:t>Upon receipt of the PACKET CELL CHANGE ORDER message the mobile station shall start timer T3174 and apply the cell reselection procedure defined in sub-clause 5.5.1.1 (</w:t>
      </w:r>
      <w:r w:rsidRPr="004D0DAA">
        <w:rPr>
          <w:i/>
          <w:iCs/>
        </w:rPr>
        <w:t>A/Gb mode</w:t>
      </w:r>
      <w:r w:rsidRPr="004D0DAA">
        <w:t>), with the additional rule that an immediate abort of operation in the old cell may be required by the network through the IMMEDIATE_REL field, except for the acknowledgement, by means of a PACKET CONTROL ACKNOWLEDGEMENT message, of a valid RRBP field possibly included in the PACKET CELL CHANGE ORDER message. A UTRAN capable mobile station ordered to a UTRAN cell shall obey the PACKET CELL CHANGE ORDER message irrespective of whether the target cell is known or not known (see 3GPP TS 25.133 and 3GPP TS 25.123); a</w:t>
      </w:r>
      <w:r w:rsidRPr="004D0DAA">
        <w:rPr>
          <w:rFonts w:hint="eastAsia"/>
          <w:lang w:eastAsia="zh-TW"/>
        </w:rPr>
        <w:t>n</w:t>
      </w:r>
      <w:r w:rsidRPr="004D0DAA">
        <w:t xml:space="preserve"> E-UTRAN capable mobile station ordered to a</w:t>
      </w:r>
      <w:r w:rsidRPr="004D0DAA">
        <w:rPr>
          <w:rFonts w:hint="eastAsia"/>
          <w:lang w:eastAsia="zh-TW"/>
        </w:rPr>
        <w:t>n</w:t>
      </w:r>
      <w:r w:rsidRPr="004D0DAA">
        <w:t xml:space="preserve"> E-UTRAN cell shall obey the PACKET CELL CHANGE ORDER message irrespective of whether the target cell is known or not known (see 3GPP TS 36.133).</w:t>
      </w:r>
    </w:p>
    <w:p w14:paraId="33ABEA39" w14:textId="77777777" w:rsidR="00711444" w:rsidRPr="004D0DAA" w:rsidRDefault="00711444" w:rsidP="00711444">
      <w:r w:rsidRPr="004D0DAA">
        <w:t>If the timers related to measurement reporting expire while the reselection procedure has not yet been completed, these timers shall be restarted so that the mobile station resumes the measurement reporting procedures once camped on the new cell.</w:t>
      </w:r>
    </w:p>
    <w:p w14:paraId="654568CB" w14:textId="77777777" w:rsidR="00711444" w:rsidRPr="004D0DAA" w:rsidRDefault="00711444" w:rsidP="00711444">
      <w:pPr>
        <w:pStyle w:val="Heading3"/>
      </w:pPr>
      <w:bookmarkStart w:id="325" w:name="_Toc516669512"/>
      <w:r w:rsidRPr="004D0DAA">
        <w:t>8.4.1</w:t>
      </w:r>
      <w:r w:rsidRPr="004D0DAA">
        <w:tab/>
        <w:t>Network controlled cell reselection completion</w:t>
      </w:r>
      <w:bookmarkEnd w:id="325"/>
    </w:p>
    <w:p w14:paraId="32D216A7" w14:textId="77777777" w:rsidR="00711444" w:rsidRPr="004D0DAA" w:rsidRDefault="00711444" w:rsidP="00711444">
      <w:pPr>
        <w:keepNext/>
      </w:pPr>
      <w:r w:rsidRPr="004D0DAA">
        <w:t xml:space="preserve">The mobile station shall regard the network controlled cell reselection procedure as successfully completed when it has performed access and successfully completed contention resolution in the new cell, or the GMM READY timer (see 3GPP TS 24.008) stops running during the execution of the procedure. The mobile station shall then stop timer T3174. </w:t>
      </w:r>
    </w:p>
    <w:p w14:paraId="40BBD584" w14:textId="77777777" w:rsidR="00711444" w:rsidRPr="004D0DAA" w:rsidRDefault="00711444" w:rsidP="00711444">
      <w:pPr>
        <w:pStyle w:val="NO"/>
      </w:pPr>
      <w:r w:rsidRPr="004D0DAA">
        <w:t>NOTE 1:</w:t>
      </w:r>
      <w:r w:rsidRPr="004D0DAA">
        <w:tab/>
        <w:t>Access may be performed for the establishment of a dedicated connection or an uplink TBF.</w:t>
      </w:r>
    </w:p>
    <w:p w14:paraId="00FB026C" w14:textId="77777777" w:rsidR="00711444" w:rsidRPr="004D0DAA" w:rsidRDefault="00711444" w:rsidP="00711444">
      <w:pPr>
        <w:pStyle w:val="NO"/>
      </w:pPr>
      <w:r w:rsidRPr="004D0DAA">
        <w:t>NOTE 2:</w:t>
      </w:r>
      <w:r w:rsidRPr="004D0DAA">
        <w:tab/>
        <w:t>If the GMM READY timer stops running, the mobile station shall apply the network controlled cell re-selection mode NC0 (i.e., cell re-selection using ‘normal MS control’, see 3GPP TS 45.008).</w:t>
      </w:r>
    </w:p>
    <w:p w14:paraId="38989811" w14:textId="77777777" w:rsidR="00711444" w:rsidRPr="004D0DAA" w:rsidRDefault="00711444" w:rsidP="00711444">
      <w:pPr>
        <w:keepNext/>
        <w:rPr>
          <w:rFonts w:hint="eastAsia"/>
        </w:rPr>
      </w:pPr>
      <w:r w:rsidRPr="004D0DAA">
        <w:rPr>
          <w:rFonts w:hint="eastAsia"/>
          <w:lang w:eastAsia="zh-TW"/>
        </w:rPr>
        <w:lastRenderedPageBreak/>
        <w:t>In case of inter-RAT network controlled cell reselection, t</w:t>
      </w:r>
      <w:r w:rsidRPr="004D0DAA">
        <w:rPr>
          <w:rFonts w:hint="eastAsia"/>
        </w:rPr>
        <w:t xml:space="preserve">he mobile station </w:t>
      </w:r>
      <w:r w:rsidRPr="004D0DAA">
        <w:t xml:space="preserve">shall </w:t>
      </w:r>
      <w:r w:rsidRPr="004D0DAA">
        <w:rPr>
          <w:rFonts w:hint="eastAsia"/>
        </w:rPr>
        <w:t>regard the network controlled cell re-selection as successfully completed according to specifications of the target RAT</w:t>
      </w:r>
      <w:r w:rsidRPr="004D0DAA">
        <w:t>, or</w:t>
      </w:r>
      <w:r w:rsidRPr="004D0DAA">
        <w:rPr>
          <w:rFonts w:hint="eastAsia"/>
          <w:lang w:eastAsia="zh-TW"/>
        </w:rPr>
        <w:t xml:space="preserve"> when</w:t>
      </w:r>
      <w:r w:rsidRPr="004D0DAA">
        <w:t xml:space="preserve"> the GMM READY timer (see 3GPP TS 24.008) stops running during the execution of the procedure. The mobile station shall then stop timer T3174</w:t>
      </w:r>
      <w:r w:rsidRPr="004D0DAA">
        <w:rPr>
          <w:rFonts w:hint="eastAsia"/>
        </w:rPr>
        <w:t>.</w:t>
      </w:r>
    </w:p>
    <w:p w14:paraId="510E8BCF" w14:textId="77777777" w:rsidR="00711444" w:rsidRPr="004D0DAA" w:rsidRDefault="00711444" w:rsidP="00711444">
      <w:pPr>
        <w:pStyle w:val="NO"/>
      </w:pPr>
      <w:r w:rsidRPr="004D0DAA">
        <w:t>NOTE</w:t>
      </w:r>
      <w:r w:rsidRPr="004D0DAA">
        <w:rPr>
          <w:rFonts w:hint="eastAsia"/>
          <w:lang w:eastAsia="zh-TW"/>
        </w:rPr>
        <w:t xml:space="preserve"> 3</w:t>
      </w:r>
      <w:r w:rsidRPr="004D0DAA">
        <w:t>:</w:t>
      </w:r>
      <w:r w:rsidRPr="004D0DAA">
        <w:tab/>
        <w:t xml:space="preserve">In case of network controlled cell reselection to UTRAN, the procedure is regarded as succesfully completed when the mobile station receives an RRC CONNECTION SETUP message in the target cell (see 3GPP TS 25.331). In case of network controlled cell reselection to E-UTRAN, the procedure is regarded as succesfully completed when the mobile station receives an </w:t>
      </w:r>
      <w:r w:rsidRPr="004D0DAA">
        <w:rPr>
          <w:i/>
          <w:lang w:eastAsia="zh-TW"/>
        </w:rPr>
        <w:t>RRCConnectionSetup</w:t>
      </w:r>
      <w:r w:rsidRPr="004D0DAA">
        <w:t xml:space="preserve"> message in the target cell (see 3GPP TS 36.331).</w:t>
      </w:r>
    </w:p>
    <w:p w14:paraId="36165C04" w14:textId="77777777" w:rsidR="00711444" w:rsidRPr="004D0DAA" w:rsidRDefault="00711444" w:rsidP="00711444">
      <w:pPr>
        <w:pStyle w:val="Heading3"/>
      </w:pPr>
      <w:bookmarkStart w:id="326" w:name="_Toc516669513"/>
      <w:r w:rsidRPr="004D0DAA">
        <w:t>8.4.1b</w:t>
      </w:r>
      <w:r w:rsidRPr="004D0DAA">
        <w:tab/>
        <w:t>(void)</w:t>
      </w:r>
      <w:bookmarkEnd w:id="326"/>
    </w:p>
    <w:p w14:paraId="12D4DACD" w14:textId="77777777" w:rsidR="00711444" w:rsidRPr="004D0DAA" w:rsidRDefault="00711444" w:rsidP="00711444">
      <w:pPr>
        <w:pStyle w:val="Heading3"/>
      </w:pPr>
      <w:bookmarkStart w:id="327" w:name="_Toc516669514"/>
      <w:r w:rsidRPr="004D0DAA">
        <w:t>8.4.2</w:t>
      </w:r>
      <w:r w:rsidRPr="004D0DAA">
        <w:tab/>
        <w:t>Abnormal cases</w:t>
      </w:r>
      <w:bookmarkEnd w:id="327"/>
    </w:p>
    <w:p w14:paraId="0ADA99AE" w14:textId="77777777" w:rsidR="00711444" w:rsidRPr="004D0DAA" w:rsidRDefault="00711444" w:rsidP="00711444">
      <w:r w:rsidRPr="004D0DAA">
        <w:t>In the following cases, the mobile station shall determine that the network controlled cell reselection procedure has failed:</w:t>
      </w:r>
    </w:p>
    <w:p w14:paraId="7F466C51" w14:textId="77777777" w:rsidR="00711444" w:rsidRPr="004D0DAA" w:rsidRDefault="00711444" w:rsidP="00711444">
      <w:pPr>
        <w:pStyle w:val="B1"/>
      </w:pPr>
      <w:r w:rsidRPr="004D0DAA">
        <w:t>-</w:t>
      </w:r>
      <w:r w:rsidRPr="004D0DAA">
        <w:tab/>
        <w:t xml:space="preserve">The PACKET CELL CHANGE ORDER message commands the mobile station to a frequency in a frequency band not supported by the mobile station. </w:t>
      </w:r>
      <w:r w:rsidRPr="004D0DAA">
        <w:rPr>
          <w:i/>
          <w:iCs/>
        </w:rPr>
        <w:t>Cause:</w:t>
      </w:r>
      <w:r w:rsidRPr="004D0DAA">
        <w:t xml:space="preserve"> "frequency not implemented";</w:t>
      </w:r>
    </w:p>
    <w:p w14:paraId="4BB663E6" w14:textId="77777777" w:rsidR="00711444" w:rsidRPr="004D0DAA" w:rsidRDefault="00711444" w:rsidP="00711444">
      <w:pPr>
        <w:pStyle w:val="B1"/>
      </w:pPr>
      <w:r w:rsidRPr="004D0DAA">
        <w:t>-</w:t>
      </w:r>
      <w:r w:rsidRPr="004D0DAA">
        <w:tab/>
        <w:t xml:space="preserve">The PACKET CELL CHANGE ORDER message is received while the mobile station is not in dual transfer mode but a circuit switched connection is on going. </w:t>
      </w:r>
      <w:r w:rsidRPr="004D0DAA">
        <w:rPr>
          <w:i/>
          <w:iCs/>
        </w:rPr>
        <w:t>Cause:</w:t>
      </w:r>
      <w:r w:rsidRPr="004D0DAA">
        <w:t xml:space="preserve"> "on-going CS connection";</w:t>
      </w:r>
    </w:p>
    <w:p w14:paraId="2F234DCA" w14:textId="77777777" w:rsidR="00711444" w:rsidRPr="004D0DAA" w:rsidRDefault="00711444" w:rsidP="00711444">
      <w:pPr>
        <w:pStyle w:val="B1"/>
      </w:pPr>
      <w:r w:rsidRPr="004D0DAA">
        <w:t>-</w:t>
      </w:r>
      <w:r w:rsidRPr="004D0DAA">
        <w:tab/>
        <w:t xml:space="preserve">In </w:t>
      </w:r>
      <w:r w:rsidRPr="004D0DAA">
        <w:rPr>
          <w:i/>
          <w:iCs/>
        </w:rPr>
        <w:t>A/Gb mode</w:t>
      </w:r>
      <w:r w:rsidRPr="004D0DAA">
        <w:t xml:space="preserve">, the PACKET CELL CHANGE ORDER message is received and the GMM READY timer (see 3GPP TS 24.008) is not running (i.e., mobile station in GMM STAND-BY state). </w:t>
      </w:r>
      <w:r w:rsidRPr="004D0DAA">
        <w:rPr>
          <w:i/>
          <w:iCs/>
        </w:rPr>
        <w:t>Cause,</w:t>
      </w:r>
      <w:r w:rsidRPr="004D0DAA">
        <w:t xml:space="preserve"> if the GMM READY timer has a negotiated value equal to zero: "Forced to the Standby State". </w:t>
      </w:r>
      <w:r w:rsidRPr="004D0DAA">
        <w:rPr>
          <w:i/>
          <w:iCs/>
        </w:rPr>
        <w:t>Cause,</w:t>
      </w:r>
      <w:r w:rsidRPr="004D0DAA">
        <w:t xml:space="preserve"> if the GMM READY timer has a negotiated value greater than zero: "MS in GMM Standby state";</w:t>
      </w:r>
    </w:p>
    <w:p w14:paraId="786C130C" w14:textId="77777777" w:rsidR="00711444" w:rsidRPr="004D0DAA" w:rsidRDefault="00711444" w:rsidP="00711444">
      <w:pPr>
        <w:pStyle w:val="B1"/>
      </w:pPr>
      <w:r w:rsidRPr="004D0DAA">
        <w:t>-</w:t>
      </w:r>
      <w:r w:rsidRPr="004D0DAA">
        <w:tab/>
        <w:t xml:space="preserve">Access is denied in the new cell (i.e., the mobile station receives an IMMEDIATE ASSIGNMENT REJECT, a PACKET ASSIGNMENT REJECT or, in a UTRAN cell, an RRC CONNECTION REJECT message or </w:t>
      </w:r>
      <w:r w:rsidRPr="004D0DAA">
        <w:rPr>
          <w:rFonts w:hint="eastAsia"/>
          <w:lang w:eastAsia="zh-TW"/>
        </w:rPr>
        <w:t xml:space="preserve">fails to establish an RRC connection </w:t>
      </w:r>
      <w:r w:rsidRPr="004D0DAA">
        <w:t>in an E-UTRAN cell</w:t>
      </w:r>
      <w:r w:rsidRPr="004D0DAA">
        <w:rPr>
          <w:rFonts w:hint="eastAsia"/>
          <w:lang w:eastAsia="zh-TW"/>
        </w:rPr>
        <w:t xml:space="preserve"> as </w:t>
      </w:r>
      <w:r w:rsidRPr="004D0DAA">
        <w:rPr>
          <w:lang w:eastAsia="zh-TW"/>
        </w:rPr>
        <w:t>specified</w:t>
      </w:r>
      <w:r w:rsidRPr="004D0DAA">
        <w:rPr>
          <w:rFonts w:hint="eastAsia"/>
          <w:lang w:eastAsia="zh-TW"/>
        </w:rPr>
        <w:t xml:space="preserve"> in 3GPP TS 36.331</w:t>
      </w:r>
      <w:r w:rsidRPr="004D0DAA">
        <w:t xml:space="preserve">). </w:t>
      </w:r>
      <w:r w:rsidRPr="004D0DAA">
        <w:rPr>
          <w:i/>
          <w:iCs/>
        </w:rPr>
        <w:t>Cause:</w:t>
      </w:r>
      <w:r w:rsidRPr="004D0DAA">
        <w:t xml:space="preserve"> "Immediate Assign Reject or Packet Access Reject on target cell";</w:t>
      </w:r>
    </w:p>
    <w:p w14:paraId="6523BD4D" w14:textId="77777777" w:rsidR="00711444" w:rsidRPr="004D0DAA" w:rsidRDefault="00711444" w:rsidP="00711444">
      <w:pPr>
        <w:pStyle w:val="B1"/>
      </w:pPr>
      <w:r w:rsidRPr="004D0DAA">
        <w:t>-</w:t>
      </w:r>
      <w:r w:rsidRPr="004D0DAA">
        <w:tab/>
        <w:t xml:space="preserve">The mobile station is unable to synchronise to the new cell (see 3GPP TS 45.008) or the timer T3174 expires before a successful completion of the network controlled cell reselection procedure. </w:t>
      </w:r>
      <w:r w:rsidRPr="004D0DAA">
        <w:rPr>
          <w:i/>
          <w:iCs/>
        </w:rPr>
        <w:t>Cause:</w:t>
      </w:r>
      <w:r w:rsidRPr="004D0DAA">
        <w:t xml:space="preserve"> "No response on target cell";</w:t>
      </w:r>
    </w:p>
    <w:p w14:paraId="27221C40" w14:textId="77777777" w:rsidR="00711444" w:rsidRPr="004D0DAA" w:rsidRDefault="00711444" w:rsidP="00711444">
      <w:pPr>
        <w:pStyle w:val="B1"/>
      </w:pPr>
      <w:r w:rsidRPr="004D0DAA">
        <w:t>-</w:t>
      </w:r>
      <w:r w:rsidRPr="004D0DAA">
        <w:tab/>
        <w:t>Due to any other reason (e.g. unknown or unsupported target cell information). In this case the MS shall set the ARFCN and BSIC fields to the value zero and set the cause to value "frequency not implemented".</w:t>
      </w:r>
    </w:p>
    <w:p w14:paraId="62A27E97" w14:textId="77777777" w:rsidR="00711444" w:rsidRPr="004D0DAA" w:rsidRDefault="00711444" w:rsidP="00711444">
      <w:r w:rsidRPr="004D0DAA">
        <w:t>If the mobile station determines that the network controlled cell reselection procedure has failed, the mobile station shall stop timer T3174 (if it is still running) and start timer T3176. The mobile station shall return to the old cell, where it may trigger a cell update or other GMM specific procedure. In case the mobile station synchronised and attempted to access the new cell before returning to the old cell, the mobile station shall trigger a cell update or other GMM specific procedure, as appropriate according to the GMM requirements (see 3GPP TS 24.008).</w:t>
      </w:r>
    </w:p>
    <w:p w14:paraId="0EDF61AB" w14:textId="77777777" w:rsidR="00711444" w:rsidRPr="004D0DAA" w:rsidRDefault="00711444" w:rsidP="00711444">
      <w:r w:rsidRPr="004D0DAA">
        <w:t>The mobile station shall send a PACKET CELL CHANGE FAILURE message with the appropriate cause value to the network in the old cell and stop timer T3176. The PACKET CELL CHANGE FAILURE message may be sent on PACCH when the mobile station is in packet transfer mode or MAC-Shared state. Alternatively, the mobile station may initiate random access with access type "single block without TBF establishment" (PCCCH) / "single block packet access" (CCCH) and send the PACKET CELL CHANGE FAILURE message using an allocated single uplink block.</w:t>
      </w:r>
    </w:p>
    <w:p w14:paraId="2AB2856F" w14:textId="77777777" w:rsidR="00711444" w:rsidRPr="004D0DAA" w:rsidRDefault="00711444" w:rsidP="00711444">
      <w:r w:rsidRPr="004D0DAA">
        <w:t>A mobile station shall ignore a PACKET CELL CHANGE ORDER message received while in dual transfer mode (refer to in 3GPP TS 44.018).</w:t>
      </w:r>
    </w:p>
    <w:p w14:paraId="1DB5C287" w14:textId="77777777" w:rsidR="00711444" w:rsidRPr="004D0DAA" w:rsidRDefault="00711444" w:rsidP="00711444">
      <w:r w:rsidRPr="004D0DAA">
        <w:t>If a MS which is UTRAN capable is commanded to a 3G-target cell whose description is in contradiction to the UTRAN capabilities of the mobile station, it shall include the UTRAN FDD target cell or UTRAN TDD Target cell IE in the PACKET CELL CHANGE FAILURE message.</w:t>
      </w:r>
    </w:p>
    <w:p w14:paraId="60F4684B" w14:textId="77777777" w:rsidR="00711444" w:rsidRPr="004D0DAA" w:rsidRDefault="00711444" w:rsidP="00711444">
      <w:pPr>
        <w:rPr>
          <w:lang w:eastAsia="en-GB"/>
        </w:rPr>
      </w:pPr>
      <w:r w:rsidRPr="004D0DAA">
        <w:rPr>
          <w:lang w:eastAsia="en-GB"/>
        </w:rPr>
        <w:t xml:space="preserve">If a mobile station which is E-UTRAN capable is commanded to an E-UTRAN target cell whose description is in contradiction to the E-UTRAN capabilities of the mobile station, it shall include the </w:t>
      </w:r>
      <w:r w:rsidRPr="004D0DAA">
        <w:rPr>
          <w:i/>
          <w:lang w:eastAsia="en-GB"/>
        </w:rPr>
        <w:t>E-UTRAN target cell</w:t>
      </w:r>
      <w:r w:rsidRPr="004D0DAA">
        <w:rPr>
          <w:lang w:eastAsia="en-GB"/>
        </w:rPr>
        <w:t xml:space="preserve"> IE in the </w:t>
      </w:r>
      <w:r w:rsidRPr="004D0DAA">
        <w:rPr>
          <w:lang w:eastAsia="en-GB"/>
        </w:rPr>
        <w:lastRenderedPageBreak/>
        <w:t xml:space="preserve">PACKET CELL CHANGE FAILURE message. For a mobile station supporting extended EARFCNs, it may instead include the </w:t>
      </w:r>
      <w:r w:rsidRPr="004D0DAA">
        <w:rPr>
          <w:i/>
          <w:lang w:eastAsia="en-GB"/>
        </w:rPr>
        <w:t>E-UTRAN Target cell with extended EARFCN</w:t>
      </w:r>
      <w:r w:rsidRPr="004D0DAA">
        <w:rPr>
          <w:lang w:eastAsia="en-GB"/>
        </w:rPr>
        <w:t xml:space="preserve"> IE in the PACKET CELL CHANGE FAILURE message.</w:t>
      </w:r>
    </w:p>
    <w:p w14:paraId="1B51E861" w14:textId="77777777" w:rsidR="00711444" w:rsidRPr="004D0DAA" w:rsidRDefault="00711444" w:rsidP="00711444">
      <w:pPr>
        <w:rPr>
          <w:lang w:eastAsia="en-GB"/>
        </w:rPr>
      </w:pPr>
      <w:r w:rsidRPr="004D0DAA">
        <w:rPr>
          <w:lang w:eastAsia="en-GB"/>
        </w:rPr>
        <w:t xml:space="preserve">If </w:t>
      </w:r>
      <w:r w:rsidRPr="004D0DAA">
        <w:rPr>
          <w:lang w:eastAsia="zh-CN"/>
        </w:rPr>
        <w:t xml:space="preserve">a mobile station supporting extended EARFCNs receives a </w:t>
      </w:r>
      <w:r w:rsidRPr="004D0DAA">
        <w:rPr>
          <w:rFonts w:hint="eastAsia"/>
          <w:lang w:eastAsia="zh-CN"/>
        </w:rPr>
        <w:t xml:space="preserve">PACKET </w:t>
      </w:r>
      <w:r w:rsidRPr="004D0DAA">
        <w:rPr>
          <w:lang w:eastAsia="zh-CN"/>
        </w:rPr>
        <w:t>CELL CHANGE</w:t>
      </w:r>
      <w:r w:rsidRPr="004D0DAA">
        <w:rPr>
          <w:rFonts w:hint="eastAsia"/>
          <w:lang w:eastAsia="zh-CN"/>
        </w:rPr>
        <w:t xml:space="preserve"> ORDER message</w:t>
      </w:r>
      <w:r w:rsidRPr="004D0DAA">
        <w:rPr>
          <w:lang w:eastAsia="zh-CN"/>
        </w:rPr>
        <w:t xml:space="preserve"> with both </w:t>
      </w:r>
      <w:r w:rsidRPr="004D0DAA">
        <w:rPr>
          <w:rFonts w:hint="eastAsia"/>
          <w:i/>
          <w:lang w:eastAsia="zh-CN"/>
        </w:rPr>
        <w:t xml:space="preserve">E-UTRAN </w:t>
      </w:r>
      <w:r w:rsidRPr="004D0DAA">
        <w:rPr>
          <w:i/>
          <w:lang w:eastAsia="zh-CN"/>
        </w:rPr>
        <w:t>target cell</w:t>
      </w:r>
      <w:r w:rsidRPr="004D0DAA">
        <w:rPr>
          <w:rFonts w:hint="eastAsia"/>
          <w:i/>
          <w:lang w:eastAsia="zh-CN"/>
        </w:rPr>
        <w:t xml:space="preserve"> </w:t>
      </w:r>
      <w:r w:rsidRPr="004D0DAA">
        <w:rPr>
          <w:rFonts w:hint="eastAsia"/>
          <w:lang w:eastAsia="zh-CN"/>
        </w:rPr>
        <w:t>IE</w:t>
      </w:r>
      <w:r w:rsidRPr="004D0DAA">
        <w:rPr>
          <w:lang w:eastAsia="zh-CN"/>
        </w:rPr>
        <w:t xml:space="preserve"> and </w:t>
      </w:r>
      <w:r w:rsidRPr="004D0DAA">
        <w:rPr>
          <w:rFonts w:hint="eastAsia"/>
          <w:i/>
          <w:lang w:eastAsia="zh-CN"/>
        </w:rPr>
        <w:t xml:space="preserve">E-UTRAN </w:t>
      </w:r>
      <w:r w:rsidRPr="004D0DAA">
        <w:rPr>
          <w:i/>
          <w:lang w:eastAsia="en-GB"/>
        </w:rPr>
        <w:t>Target cell with extended EARFCN</w:t>
      </w:r>
      <w:r w:rsidRPr="004D0DAA">
        <w:rPr>
          <w:lang w:eastAsia="en-GB"/>
        </w:rPr>
        <w:t xml:space="preserve"> </w:t>
      </w:r>
      <w:r w:rsidRPr="004D0DAA">
        <w:rPr>
          <w:rFonts w:hint="eastAsia"/>
          <w:lang w:eastAsia="zh-CN"/>
        </w:rPr>
        <w:t>IE</w:t>
      </w:r>
      <w:r w:rsidRPr="004D0DAA">
        <w:rPr>
          <w:lang w:eastAsia="zh-CN"/>
        </w:rPr>
        <w:t xml:space="preserve"> included therein, it shall return </w:t>
      </w:r>
      <w:r w:rsidRPr="004D0DAA">
        <w:rPr>
          <w:lang w:eastAsia="en-GB"/>
        </w:rPr>
        <w:t xml:space="preserve">the </w:t>
      </w:r>
      <w:r w:rsidRPr="004D0DAA">
        <w:rPr>
          <w:i/>
          <w:lang w:eastAsia="en-GB"/>
        </w:rPr>
        <w:t>E-UTRAN Target cell with extended EARFCN</w:t>
      </w:r>
      <w:r w:rsidRPr="004D0DAA">
        <w:rPr>
          <w:lang w:eastAsia="en-GB"/>
        </w:rPr>
        <w:t xml:space="preserve"> IE in </w:t>
      </w:r>
      <w:r w:rsidRPr="004D0DAA">
        <w:rPr>
          <w:lang w:eastAsia="zh-CN"/>
        </w:rPr>
        <w:t xml:space="preserve">the </w:t>
      </w:r>
      <w:r w:rsidRPr="004D0DAA">
        <w:rPr>
          <w:lang w:eastAsia="en-GB"/>
        </w:rPr>
        <w:t>PACKET CELL CHANGE FAILURE message</w:t>
      </w:r>
      <w:r w:rsidRPr="004D0DAA">
        <w:rPr>
          <w:lang w:eastAsia="zh-CN"/>
        </w:rPr>
        <w:t>.</w:t>
      </w:r>
    </w:p>
    <w:p w14:paraId="304C90A1" w14:textId="77777777" w:rsidR="00711444" w:rsidRPr="004D0DAA" w:rsidRDefault="00711444" w:rsidP="00711444">
      <w:r w:rsidRPr="004D0DAA">
        <w:t xml:space="preserve">In case the network controlled cell reselection procedure fails and the MS returns to the old cell, the MS shall delete any stored NC measurement parameters and revert to the broadcast parameters. </w:t>
      </w:r>
      <w:r w:rsidRPr="004D0DAA">
        <w:rPr>
          <w:rFonts w:hint="eastAsia"/>
          <w:lang w:eastAsia="ja-JP"/>
        </w:rPr>
        <w:t>If individual priorities are indicated in the PACKET CELL CHANGE ORDER message, they shall be deleted.</w:t>
      </w:r>
    </w:p>
    <w:p w14:paraId="04553D98" w14:textId="77777777" w:rsidR="00711444" w:rsidRPr="004D0DAA" w:rsidRDefault="00711444" w:rsidP="00711444">
      <w:r w:rsidRPr="004D0DAA">
        <w:t>If the mobile station is unable to synchronise to the old cell (see 3GPP TS 45.008), or if timer T3176 expires, the mobile station shall cancel the sending of the PACKET CELL CHANGE FAILURE message and perform an autonomous cell re-selection.</w:t>
      </w:r>
    </w:p>
    <w:p w14:paraId="5528A02C" w14:textId="77777777" w:rsidR="00711444" w:rsidRPr="004D0DAA" w:rsidRDefault="00711444" w:rsidP="00711444">
      <w:pPr>
        <w:pStyle w:val="Heading2"/>
      </w:pPr>
      <w:bookmarkStart w:id="328" w:name="_Toc516669515"/>
      <w:r w:rsidRPr="004D0DAA">
        <w:t>8.5</w:t>
      </w:r>
      <w:r w:rsidRPr="004D0DAA">
        <w:tab/>
        <w:t>Measurement Order procedures in Packet Transfer mode</w:t>
      </w:r>
      <w:bookmarkEnd w:id="328"/>
    </w:p>
    <w:p w14:paraId="12959B6B" w14:textId="77777777" w:rsidR="00711444" w:rsidRPr="004D0DAA" w:rsidRDefault="00711444" w:rsidP="00711444">
      <w:pPr>
        <w:keepNext/>
      </w:pPr>
      <w:r w:rsidRPr="004D0DAA">
        <w:t>The network may initiate the measurement order procedure by sending a PACKET MEASUREMENT ORDER message on the PACCH to a mobile station in packet transfer mode or in MAC-Shared state. The PACKET MEASUREMENT ORDER message overrides a broadcast PSI5 message.</w:t>
      </w:r>
    </w:p>
    <w:p w14:paraId="10780CC6" w14:textId="77777777" w:rsidR="00711444" w:rsidRPr="004D0DAA" w:rsidRDefault="00711444" w:rsidP="00711444">
      <w:pPr>
        <w:keepNext/>
      </w:pPr>
      <w:r w:rsidRPr="004D0DAA">
        <w:t>The PACKET MEASUREMENT ORDER message may also contain the following optional parameters:</w:t>
      </w:r>
    </w:p>
    <w:p w14:paraId="688EC48B" w14:textId="77777777" w:rsidR="00711444" w:rsidRPr="004D0DAA" w:rsidRDefault="00711444" w:rsidP="00711444">
      <w:pPr>
        <w:pStyle w:val="B1"/>
      </w:pPr>
      <w:r w:rsidRPr="004D0DAA">
        <w:t>-</w:t>
      </w:r>
      <w:r w:rsidRPr="004D0DAA">
        <w:tab/>
        <w:t>NC Measurement Parameters (NETWORK_CONTROL_ORDER; NC_NON_DRX_PERIOD; NC_REPORTING_PERIOD_I; NC_REPORTING_PERIOD_T; NC_FREQUENCY_LIST);</w:t>
      </w:r>
    </w:p>
    <w:p w14:paraId="481706AD" w14:textId="77777777" w:rsidR="00711444" w:rsidRPr="004D0DAA" w:rsidRDefault="00711444" w:rsidP="00711444">
      <w:pPr>
        <w:pStyle w:val="B1"/>
      </w:pPr>
      <w:r w:rsidRPr="004D0DAA">
        <w:t>-</w:t>
      </w:r>
      <w:r w:rsidRPr="004D0DAA">
        <w:tab/>
        <w:t>Enhanced measurement reporting.</w:t>
      </w:r>
    </w:p>
    <w:p w14:paraId="3667F031" w14:textId="77777777" w:rsidR="00711444" w:rsidRPr="004D0DAA" w:rsidRDefault="00711444" w:rsidP="00711444">
      <w:pPr>
        <w:keepNext/>
        <w:keepLines/>
      </w:pPr>
      <w:r w:rsidRPr="004D0DAA">
        <w:t>Upon receipt of the PACKET MEASUREMENT ORDER message, the mobile station shall store the received parameters and obey the NETWORK_CONTROL_ORDER as specified in 3GPP TS 45.008 and in sub-clause 5.6. An exception is the case of a mobile station that has enabled PEO or EC operation in which case the mobile station shall ignore the NETWORK_CONTROL_ORDER parameter if included in the message and behave as in network control mode NC0.</w:t>
      </w:r>
    </w:p>
    <w:p w14:paraId="4C765D5E" w14:textId="77777777" w:rsidR="00711444" w:rsidRPr="004D0DAA" w:rsidRDefault="00711444" w:rsidP="00711444">
      <w:pPr>
        <w:pStyle w:val="Heading2"/>
      </w:pPr>
      <w:bookmarkStart w:id="329" w:name="_Toc516669516"/>
      <w:r w:rsidRPr="004D0DAA">
        <w:t>8.6</w:t>
      </w:r>
      <w:r w:rsidRPr="004D0DAA">
        <w:tab/>
        <w:t>PACKET CONTROL ACKNOWLEDGEMENT</w:t>
      </w:r>
      <w:bookmarkEnd w:id="329"/>
    </w:p>
    <w:p w14:paraId="73E8C99E" w14:textId="77777777" w:rsidR="00711444" w:rsidRPr="004D0DAA" w:rsidRDefault="00711444" w:rsidP="00711444">
      <w:r w:rsidRPr="004D0DAA">
        <w:t xml:space="preserve">An (EC) PACKET CONTROL ACKNOWLEDGEMENT message shall always be sent in the uplink resources specified by the corresponding valid RRBP field of a downlink RLC/MAC control block, and not in any other uplink resource that may be allocated to the mobile station. However the transmission of the (EC) PACKET CONTROL ACKNOWLEDGEMENT message takes precedence over the transmission of allocated uplink radio blocks or the reception of PCCCH or assigned (EC-)PDTCH radio blocks. If transmission of the  PACKET CONTROL ACKNOWLEDGEMENT message would result in more than the maximum Tx timeslots per TDMA frame allowed by the multislot class, transmission of the highest numbered PDCH(s) shall be omitted. </w:t>
      </w:r>
    </w:p>
    <w:p w14:paraId="448BB6DF" w14:textId="77777777" w:rsidR="00711444" w:rsidRPr="004D0DAA" w:rsidRDefault="00711444" w:rsidP="00711444">
      <w:r w:rsidRPr="004D0DAA">
        <w:t>In dual transfer mode the reception and transmission of assigned TCH radio blocks on dedicated resources takes precedence over the transmission of the PACKET CONTROL ACKNOWLEDGEMENT.</w:t>
      </w:r>
    </w:p>
    <w:p w14:paraId="3EF3683F" w14:textId="77777777" w:rsidR="00711444" w:rsidRPr="004D0DAA" w:rsidRDefault="00711444" w:rsidP="00711444">
      <w:r w:rsidRPr="004D0DAA">
        <w:t xml:space="preserve">A mobile station in packet transfer mode in a Downlink Dual Carrier configuration or a DLMC configuration </w:t>
      </w:r>
      <w:r w:rsidRPr="004D0DAA">
        <w:rPr>
          <w:lang w:eastAsia="ko-KR"/>
        </w:rPr>
        <w:t xml:space="preserve">shall respond in the uplink radio block indicated by the RRBP field on the same radio frequency channel as the one where the poll was received. A mobile station in dual transfer mode in a Downlink Dual Carrier configuration shall respond in the uplink radio block on the timeslot or the PDCH pair indicated by the RRBP field (see sub-clause 10.4.5) </w:t>
      </w:r>
      <w:r w:rsidRPr="004D0DAA">
        <w:rPr>
          <w:rFonts w:eastAsia="MS Mincho"/>
          <w:lang w:eastAsia="ja-JP"/>
        </w:rPr>
        <w:t xml:space="preserve">on the uplink </w:t>
      </w:r>
      <w:r w:rsidRPr="004D0DAA">
        <w:rPr>
          <w:lang w:eastAsia="ko-KR"/>
        </w:rPr>
        <w:t>radio frequency channel</w:t>
      </w:r>
      <w:r w:rsidRPr="004D0DAA">
        <w:rPr>
          <w:rFonts w:eastAsia="MS Mincho"/>
          <w:lang w:eastAsia="ja-JP"/>
        </w:rPr>
        <w:t xml:space="preserve"> where the dedicated resource is assigned regardless of which downlink radio frequency channel the poll was received on, unless this would prevent the transmission or reception of a TCH radio block on a dedicated resource.</w:t>
      </w:r>
    </w:p>
    <w:p w14:paraId="1AF30D8F" w14:textId="77777777" w:rsidR="00711444" w:rsidRPr="004D0DAA" w:rsidRDefault="00711444" w:rsidP="00711444">
      <w:pPr>
        <w:pStyle w:val="Heading2"/>
      </w:pPr>
      <w:bookmarkStart w:id="330" w:name="_Toc516669517"/>
      <w:r w:rsidRPr="004D0DAA">
        <w:t>8.7</w:t>
      </w:r>
      <w:r w:rsidRPr="004D0DAA">
        <w:tab/>
        <w:t>Abnormal cases</w:t>
      </w:r>
      <w:bookmarkEnd w:id="330"/>
    </w:p>
    <w:p w14:paraId="795BE42A" w14:textId="77777777" w:rsidR="00711444" w:rsidRPr="004D0DAA" w:rsidRDefault="00711444" w:rsidP="00711444">
      <w:pPr>
        <w:pStyle w:val="Heading3"/>
      </w:pPr>
      <w:bookmarkStart w:id="331" w:name="_Toc516669518"/>
      <w:r w:rsidRPr="004D0DAA">
        <w:t>8.7.0</w:t>
      </w:r>
      <w:r w:rsidRPr="004D0DAA">
        <w:tab/>
        <w:t>General</w:t>
      </w:r>
      <w:bookmarkEnd w:id="331"/>
    </w:p>
    <w:p w14:paraId="554D0875" w14:textId="77777777" w:rsidR="00711444" w:rsidRPr="004D0DAA" w:rsidRDefault="00711444" w:rsidP="00711444">
      <w:r w:rsidRPr="004D0DAA">
        <w:t>The following abnormal cases apply:</w:t>
      </w:r>
    </w:p>
    <w:p w14:paraId="074A4B3F" w14:textId="77777777" w:rsidR="00711444" w:rsidRPr="004D0DAA" w:rsidRDefault="00711444" w:rsidP="00711444">
      <w:pPr>
        <w:pStyle w:val="B1"/>
      </w:pPr>
      <w:r w:rsidRPr="004D0DAA">
        <w:lastRenderedPageBreak/>
        <w:t>-</w:t>
      </w:r>
      <w:r w:rsidRPr="004D0DAA">
        <w:tab/>
        <w:t>If the PDCH containing the mobile station’s only assigned TAI value is removed, the mobile station shall, if it has at least one ongoing uplink TBF, perform an abnormal release with access retry (see sub-clause 8.7.2, and otherwise shall perform an abnormal release without retry (see sub-clause 8.7.1);</w:t>
      </w:r>
    </w:p>
    <w:p w14:paraId="48356217" w14:textId="77777777" w:rsidR="00711444" w:rsidRPr="004D0DAA" w:rsidRDefault="00711444" w:rsidP="00711444">
      <w:pPr>
        <w:pStyle w:val="B1"/>
      </w:pPr>
      <w:r w:rsidRPr="004D0DAA">
        <w:t>-</w:t>
      </w:r>
      <w:r w:rsidRPr="004D0DAA">
        <w:tab/>
        <w:t>If the NC Measurement Parameters are sent in more than one instance of the PACKET MEASUREMENT ORDER message, the mobile station shall not obey the measurement order until all instances of the message has been correctly received;</w:t>
      </w:r>
    </w:p>
    <w:p w14:paraId="4300DAA8" w14:textId="77777777" w:rsidR="00711444" w:rsidRPr="004D0DAA" w:rsidRDefault="00711444" w:rsidP="00711444">
      <w:pPr>
        <w:pStyle w:val="B1"/>
      </w:pPr>
      <w:r w:rsidRPr="004D0DAA">
        <w:t>-</w:t>
      </w:r>
      <w:r w:rsidRPr="004D0DAA">
        <w:tab/>
        <w:t>If the mobile station receives a Timing Advance Index and a Timing Advance Timeslot Number for one direction within a PACKET POWER CONTROL/TIMING ADVANCE message and the corresponding TBF does not exist, the Timing Advance Index and the Timing Advance Timeslot Number for that direction shall be ignored;</w:t>
      </w:r>
    </w:p>
    <w:p w14:paraId="12D131C1" w14:textId="77777777" w:rsidR="00711444" w:rsidRPr="004D0DAA" w:rsidRDefault="00711444" w:rsidP="00711444">
      <w:pPr>
        <w:pStyle w:val="B1"/>
      </w:pPr>
      <w:r w:rsidRPr="004D0DAA">
        <w:t>-</w:t>
      </w:r>
      <w:r w:rsidRPr="004D0DAA">
        <w:tab/>
        <w:t>While a TBF is in progress, if a mobile station receives a PACKET UPLINK ASSIGNMENT, MULTIPLE TBF UPLINK ASSIGNMENT, PACKET UPLINK ACK/NACK, PACKET TIMESLOT RECONFIGURE, MULTIPLE TBF TIMESLOT RECONFIGURE or a PACKET CS RELEASE INDICATION message with message escape bit indicating EGPRS (resp. GPRS) contents whereas the current TBF mode is GPRS (resp. EGPRS), the mobile station shall ignore the message;</w:t>
      </w:r>
    </w:p>
    <w:p w14:paraId="7E6E80F7" w14:textId="77777777" w:rsidR="00711444" w:rsidRPr="004D0DAA" w:rsidRDefault="00711444" w:rsidP="00711444">
      <w:pPr>
        <w:pStyle w:val="B1"/>
      </w:pPr>
      <w:r w:rsidRPr="004D0DAA">
        <w:t>-</w:t>
      </w:r>
      <w:r w:rsidRPr="004D0DAA">
        <w:tab/>
        <w:t>While a TBF is in progress, if a mobile station receives a PACKET DOWNLINK ASSIGNMENT message without extension message content related to R99 whereas the current TBF mode is EGPRS, the mobile station shall ignore the message;</w:t>
      </w:r>
    </w:p>
    <w:p w14:paraId="70568B59" w14:textId="77777777" w:rsidR="00711444" w:rsidRPr="004D0DAA" w:rsidRDefault="00711444" w:rsidP="00711444">
      <w:pPr>
        <w:pStyle w:val="B1"/>
      </w:pPr>
      <w:r w:rsidRPr="004D0DAA">
        <w:t>-</w:t>
      </w:r>
      <w:r w:rsidRPr="004D0DAA">
        <w:tab/>
        <w:t>While a TBF is in progress, if a mobile station receives a PACKET DOWNLINK ASSIGNMENT message with extension message content related to R99 whereas the current TBF mode is GPRS, the mobile station shall ignore the EGPRS related information and act as a GPRS MS not supporting EGPRS;</w:t>
      </w:r>
    </w:p>
    <w:p w14:paraId="432CCCD8" w14:textId="77777777" w:rsidR="00711444" w:rsidRPr="004D0DAA" w:rsidRDefault="00711444" w:rsidP="00711444">
      <w:pPr>
        <w:pStyle w:val="B1"/>
        <w:rPr>
          <w:rFonts w:hint="eastAsia"/>
          <w:lang w:eastAsia="ko-KR"/>
        </w:rPr>
      </w:pPr>
      <w:r w:rsidRPr="004D0DAA">
        <w:t>-</w:t>
      </w:r>
      <w:r w:rsidRPr="004D0DAA">
        <w:tab/>
        <w:t>In Iu mode, if the network receives a PACKET CONTROL ACKNOWLEDGEMENT message with an incorrect timeslot in the TN_RRBP field for the given radio block, then the message shall be ignored</w:t>
      </w:r>
      <w:r w:rsidRPr="004D0DAA">
        <w:rPr>
          <w:rFonts w:hint="eastAsia"/>
          <w:lang w:eastAsia="ko-KR"/>
        </w:rPr>
        <w:t>;</w:t>
      </w:r>
    </w:p>
    <w:p w14:paraId="28BB4985" w14:textId="77777777" w:rsidR="00711444" w:rsidRPr="004D0DAA" w:rsidRDefault="00711444" w:rsidP="00711444">
      <w:pPr>
        <w:pStyle w:val="B1"/>
        <w:rPr>
          <w:rFonts w:hint="eastAsia"/>
          <w:lang w:eastAsia="ko-KR"/>
        </w:rPr>
      </w:pPr>
      <w:r w:rsidRPr="004D0DAA">
        <w:rPr>
          <w:rFonts w:hint="eastAsia"/>
          <w:lang w:eastAsia="ko-KR"/>
        </w:rPr>
        <w:t>-</w:t>
      </w:r>
      <w:r w:rsidRPr="004D0DAA">
        <w:rPr>
          <w:rFonts w:hint="eastAsia"/>
          <w:lang w:eastAsia="ko-KR"/>
        </w:rPr>
        <w:tab/>
        <w:t>If a mobile station receives a PACKET UPLINK ASSIGNMENT, PACKET DOWNLINK ASSIGNMENT, MULTIPLE TBF UPLINK ASSIGNMENT, MULTIPLE TBF DOWNLINK ASSIGNMENT, PACKET TIMESLOT RECONFIGURE, MULTIPLE TBF TIMESLOT RECONFIGURE or PACKET CS RELEASE INDICATION message that would result in one or more TBFs with FANR activated and one or more TBFs with FANR not activated when considering all concurrent TBFs assigned to that mobile station, the mobile station shall perform an abnormal release with access retry if there is at least one ongoing uplink TBF (see sub-clause 8.7.2), otherwise it shall perform an abnormal release without retry (see sub-clause 8.7.1)</w:t>
      </w:r>
      <w:r w:rsidRPr="004D0DAA">
        <w:t>;</w:t>
      </w:r>
    </w:p>
    <w:p w14:paraId="34003EFF" w14:textId="77777777" w:rsidR="00711444" w:rsidRPr="004D0DAA" w:rsidRDefault="00711444" w:rsidP="00711444">
      <w:pPr>
        <w:pStyle w:val="B1"/>
        <w:rPr>
          <w:rFonts w:hint="eastAsia"/>
          <w:lang w:eastAsia="ko-KR"/>
        </w:rPr>
      </w:pPr>
      <w:r w:rsidRPr="004D0DAA">
        <w:t>-</w:t>
      </w:r>
      <w:r w:rsidRPr="004D0DAA">
        <w:tab/>
        <w:t xml:space="preserve">If a mobile station receives a PACKET UPLINK ASSIGNMENT, PACKET DOWNLINK ASSIGNMENT, PACKET TIMESLOT RECONFIGURE or PACKET CS RELEASE INDICATION message assigning two or more RLC entities operating in the same RLC mode to a TBF, or assigning more RLC entities than the mobile station supports, the mobile station </w:t>
      </w:r>
      <w:r w:rsidRPr="004D0DAA">
        <w:rPr>
          <w:rFonts w:hint="eastAsia"/>
          <w:lang w:eastAsia="ko-KR"/>
        </w:rPr>
        <w:t>shall perform an abnormal release without retry (see sub-clause 8.7.</w:t>
      </w:r>
      <w:r w:rsidRPr="004D0DAA">
        <w:rPr>
          <w:lang w:eastAsia="ko-KR"/>
        </w:rPr>
        <w:t>2</w:t>
      </w:r>
      <w:r w:rsidRPr="004D0DAA">
        <w:rPr>
          <w:rFonts w:hint="eastAsia"/>
          <w:lang w:eastAsia="ko-KR"/>
        </w:rPr>
        <w:t>)</w:t>
      </w:r>
      <w:r w:rsidRPr="004D0DAA">
        <w:t>;</w:t>
      </w:r>
    </w:p>
    <w:p w14:paraId="087D81A6" w14:textId="77777777" w:rsidR="00711444" w:rsidRPr="004D0DAA" w:rsidRDefault="00711444" w:rsidP="00711444">
      <w:pPr>
        <w:pStyle w:val="B1"/>
        <w:rPr>
          <w:rFonts w:hint="eastAsia"/>
          <w:lang w:eastAsia="ko-KR"/>
        </w:rPr>
      </w:pPr>
      <w:r w:rsidRPr="004D0DAA">
        <w:t>-</w:t>
      </w:r>
      <w:r w:rsidRPr="004D0DAA">
        <w:tab/>
        <w:t>If a mobile station receives DTR information including the TN/PDCH-pair field indicating a timeslot or a PDCH-pair which is not assigned to the mobile station as part of TBF (see sub-clause 8.1.8), the mobile station shall perform an abnormal release without retry (see sub-clause 8.7.1);</w:t>
      </w:r>
    </w:p>
    <w:p w14:paraId="51E37BF2" w14:textId="77777777" w:rsidR="00711444" w:rsidRPr="004D0DAA" w:rsidRDefault="00711444" w:rsidP="00711444">
      <w:pPr>
        <w:pStyle w:val="B1"/>
        <w:rPr>
          <w:lang w:eastAsia="ko-KR"/>
        </w:rPr>
      </w:pPr>
      <w:r w:rsidRPr="004D0DAA">
        <w:rPr>
          <w:rFonts w:hint="eastAsia"/>
          <w:lang w:eastAsia="ko-KR"/>
        </w:rPr>
        <w:t>-</w:t>
      </w:r>
      <w:r w:rsidRPr="004D0DAA">
        <w:rPr>
          <w:rFonts w:hint="eastAsia"/>
          <w:lang w:eastAsia="ko-KR"/>
        </w:rPr>
        <w:tab/>
        <w:t>If a mobile station receives a PACKET CS RELEASE INDICATION</w:t>
      </w:r>
      <w:r w:rsidRPr="004D0DAA">
        <w:t xml:space="preserve"> message including an inconsistent RTTI configuration assignment </w:t>
      </w:r>
      <w:r w:rsidRPr="004D0DAA">
        <w:rPr>
          <w:lang w:eastAsia="ko-KR"/>
        </w:rPr>
        <w:t xml:space="preserve">as per the conditions specified in </w:t>
      </w:r>
      <w:r w:rsidRPr="004D0DAA">
        <w:rPr>
          <w:rFonts w:hint="eastAsia"/>
          <w:lang w:eastAsia="ko-KR"/>
        </w:rPr>
        <w:t xml:space="preserve">sub-clause </w:t>
      </w:r>
      <w:r w:rsidRPr="004D0DAA">
        <w:rPr>
          <w:lang w:eastAsia="ko-KR"/>
        </w:rPr>
        <w:t>7</w:t>
      </w:r>
      <w:r w:rsidRPr="004D0DAA">
        <w:rPr>
          <w:rFonts w:hint="eastAsia"/>
          <w:lang w:eastAsia="ko-KR"/>
        </w:rPr>
        <w:t>.</w:t>
      </w:r>
      <w:r w:rsidRPr="004D0DAA">
        <w:rPr>
          <w:lang w:eastAsia="ko-KR"/>
        </w:rPr>
        <w:t>1</w:t>
      </w:r>
      <w:r w:rsidRPr="004D0DAA">
        <w:rPr>
          <w:rFonts w:hint="eastAsia"/>
          <w:lang w:eastAsia="ko-KR"/>
        </w:rPr>
        <w:t>.</w:t>
      </w:r>
      <w:r w:rsidRPr="004D0DAA">
        <w:rPr>
          <w:lang w:eastAsia="ko-KR"/>
        </w:rPr>
        <w:t xml:space="preserve">3.6, </w:t>
      </w:r>
      <w:r w:rsidRPr="004D0DAA">
        <w:rPr>
          <w:rFonts w:hint="eastAsia"/>
          <w:lang w:eastAsia="ko-KR"/>
        </w:rPr>
        <w:t xml:space="preserve">the mobile station shall perform an abnormal release with access retry if there is at least one ongoing uplink TBF (see sub-clause 8.7.2), otherwise it shall perform an abnormal release without retry (see sub-clause </w:t>
      </w:r>
      <w:r w:rsidRPr="004D0DAA">
        <w:rPr>
          <w:lang w:eastAsia="ko-KR"/>
        </w:rPr>
        <w:t>8.7.1</w:t>
      </w:r>
      <w:r w:rsidRPr="004D0DAA">
        <w:rPr>
          <w:rFonts w:hint="eastAsia"/>
          <w:lang w:eastAsia="ko-KR"/>
        </w:rPr>
        <w:t>).</w:t>
      </w:r>
    </w:p>
    <w:p w14:paraId="1F16C710" w14:textId="77777777" w:rsidR="00711444" w:rsidRPr="004D0DAA" w:rsidRDefault="00711444" w:rsidP="00711444">
      <w:pPr>
        <w:pStyle w:val="Heading3"/>
      </w:pPr>
      <w:bookmarkStart w:id="332" w:name="_Toc516669519"/>
      <w:r w:rsidRPr="004D0DAA">
        <w:t>8.7.1</w:t>
      </w:r>
      <w:r w:rsidRPr="004D0DAA">
        <w:tab/>
        <w:t>Abnormal release without retry</w:t>
      </w:r>
      <w:bookmarkEnd w:id="332"/>
    </w:p>
    <w:p w14:paraId="47DF639D" w14:textId="77777777" w:rsidR="00711444" w:rsidRPr="004D0DAA" w:rsidRDefault="00711444" w:rsidP="00711444">
      <w:r w:rsidRPr="004D0DAA">
        <w:t>The mobile station shall abort all TBFs on PDCH(s) in progress and report an RLC/MAC failure to upper layers. The mobile station in packet transfer mode or MAC-Shared state shall return to packet idle mode or MAC-Idle state; the mobile station in dual transfer mode or MAC-DTM state shall return to dedicated mode or MAC-Dedicated state. Upon enhanced CS release while in dual transfer mode, on receipt of PACKET CS RELEASE INDICATION message, the mobile station shall abort all TBFs in progress and return to packet idle mode when the RR connection is released. Upon mobile originated or mobile terminated RR connection establishment, on receipt of IMMEDIATE ASSIGNMENT message while in packet transfer mode, the mobile station shall enter dedicated mode. The DRX mode procedures shall be applied as specified in sub-clause 5.5.1.5.</w:t>
      </w:r>
    </w:p>
    <w:p w14:paraId="5FFD5DB8" w14:textId="77777777" w:rsidR="00711444" w:rsidRPr="004D0DAA" w:rsidRDefault="00711444" w:rsidP="00711444">
      <w:pPr>
        <w:pStyle w:val="Heading3"/>
      </w:pPr>
      <w:bookmarkStart w:id="333" w:name="_Toc516669520"/>
      <w:r w:rsidRPr="004D0DAA">
        <w:lastRenderedPageBreak/>
        <w:t>8.7.2</w:t>
      </w:r>
      <w:r w:rsidRPr="004D0DAA">
        <w:tab/>
        <w:t>Abnormal release with access retry</w:t>
      </w:r>
      <w:bookmarkEnd w:id="333"/>
    </w:p>
    <w:p w14:paraId="160133F6" w14:textId="77777777" w:rsidR="00711444" w:rsidRPr="004D0DAA" w:rsidRDefault="00711444" w:rsidP="00711444">
      <w:r w:rsidRPr="004D0DAA">
        <w:t>The mobile station shall abort all TBFs in progress. The mobile station in packet transfer mode shall return to packet idle mode and initiate the establishment of one or more new uplink TBFs, using the procedures on CCCH, PCCCH or EC-CCCH, as defined in sub-clause 7.1 and 3GPP TS 44.018.</w:t>
      </w:r>
    </w:p>
    <w:p w14:paraId="47332F38" w14:textId="77777777" w:rsidR="00711444" w:rsidRPr="004D0DAA" w:rsidRDefault="00711444" w:rsidP="00711444">
      <w:r w:rsidRPr="004D0DAA">
        <w:t>The mobile station in dual transfer mode shall return to dedicated mode and initiate the establishment of one new uplink TBF (if exclusive allocation is used) or one or more new uplink TBFs (if exclusive allocation is not used) using the appropriate DTM procedure on the main DCCH, defined in 3GPP TS 44.018. Upon enhanced CS release, on receipt of PACKET CS RELEASE INDICATION message, the mobile station shall abort all TBFs in progress and return to packet idle mode and initiate the establishment of one or more new uplink TBFs, using the procedures on CCCH or PCCCH when the RR connection is released.</w:t>
      </w:r>
    </w:p>
    <w:p w14:paraId="11A762CB" w14:textId="77777777" w:rsidR="00711444" w:rsidRPr="004D0DAA" w:rsidRDefault="00711444" w:rsidP="00711444">
      <w:r w:rsidRPr="004D0DAA">
        <w:t>Upon mobile originated or mobile terminated RR connection establishment, on receipt of IMMEDIATE ASSIGNMENT message while in packet transfer mode, the mobile station shall enter dedicated mode and initiate the establishment of one new uplink TBF (if exclusive allocation is used) or more new uplink TBFs (if exclusive allocation is not used) using the appropriate DTM procedure on the main DCCH, as defined in 3GPP TS 44.018.</w:t>
      </w:r>
    </w:p>
    <w:p w14:paraId="5D85CB5A" w14:textId="77777777" w:rsidR="00711444" w:rsidRPr="004D0DAA" w:rsidRDefault="00711444" w:rsidP="00711444">
      <w:r w:rsidRPr="004D0DAA">
        <w:t>In case the mobile station fails to establish a new uplink TBF, the mobile station shall report an RLC/MAC failure to upper layers for that TBF. The DRX mode procedures shall be applied, as specified in sub-clause 5.5.1.5.</w:t>
      </w:r>
    </w:p>
    <w:p w14:paraId="70D73214" w14:textId="77777777" w:rsidR="00711444" w:rsidRPr="004D0DAA" w:rsidRDefault="00711444" w:rsidP="00711444">
      <w:pPr>
        <w:pStyle w:val="Heading3"/>
      </w:pPr>
      <w:bookmarkStart w:id="334" w:name="_Toc516669521"/>
      <w:r w:rsidRPr="004D0DAA">
        <w:t>8.7.3</w:t>
      </w:r>
      <w:r w:rsidRPr="004D0DAA">
        <w:tab/>
        <w:t>Abnormal release with system information</w:t>
      </w:r>
      <w:bookmarkEnd w:id="334"/>
    </w:p>
    <w:p w14:paraId="0AA9292C" w14:textId="77777777" w:rsidR="00711444" w:rsidRPr="004D0DAA" w:rsidRDefault="00711444" w:rsidP="00711444">
      <w:r w:rsidRPr="004D0DAA">
        <w:t xml:space="preserve">The mobile station shall abort all of the TBFs indicated in the assignment message containing invalid frequency parameter information and proceed as follows: </w:t>
      </w:r>
    </w:p>
    <w:p w14:paraId="169D32DC" w14:textId="77777777" w:rsidR="00711444" w:rsidRPr="004D0DAA" w:rsidRDefault="00711444" w:rsidP="00711444">
      <w:pPr>
        <w:pStyle w:val="B1"/>
      </w:pPr>
      <w:r w:rsidRPr="004D0DAA">
        <w:t>-</w:t>
      </w:r>
      <w:r w:rsidRPr="004D0DAA">
        <w:tab/>
        <w:t>If there are no on-going TBFs it shall immediately return to the BCCH /EC-BCCH and reread all relevant BCCH/EC-BCCH and PBCCH information;</w:t>
      </w:r>
    </w:p>
    <w:p w14:paraId="27B4EC67" w14:textId="77777777" w:rsidR="00711444" w:rsidRPr="004D0DAA" w:rsidRDefault="00711444" w:rsidP="00711444">
      <w:pPr>
        <w:pStyle w:val="B1"/>
      </w:pPr>
      <w:r w:rsidRPr="004D0DAA">
        <w:t>-</w:t>
      </w:r>
      <w:r w:rsidRPr="004D0DAA">
        <w:tab/>
        <w:t>If the mobile station had one ongoing uplink TBF when the abnormal release occurred, the mobile station shall then perform an abnormal release with access retry (see sub-clause 8.7.2);</w:t>
      </w:r>
    </w:p>
    <w:p w14:paraId="62DDF406" w14:textId="77777777" w:rsidR="00711444" w:rsidRPr="004D0DAA" w:rsidRDefault="00711444" w:rsidP="00711444">
      <w:pPr>
        <w:pStyle w:val="B1"/>
      </w:pPr>
      <w:r w:rsidRPr="004D0DAA">
        <w:t>-</w:t>
      </w:r>
      <w:r w:rsidRPr="004D0DAA">
        <w:tab/>
        <w:t>If the mobile station had no ongoing uplink TBFs when the abnormal release occurred, it shall perform an abnormal release without retry (see sub-clause 8.7.1);</w:t>
      </w:r>
    </w:p>
    <w:p w14:paraId="77E76464" w14:textId="77777777" w:rsidR="00711444" w:rsidRPr="004D0DAA" w:rsidRDefault="00711444" w:rsidP="00711444">
      <w:pPr>
        <w:pStyle w:val="B1"/>
      </w:pPr>
      <w:r w:rsidRPr="004D0DAA">
        <w:t>-</w:t>
      </w:r>
      <w:r w:rsidRPr="004D0DAA">
        <w:tab/>
        <w:t>Otherwise, the mobile station shall maintain all its ongoing TBFs that were in progress prior to receiving the assignment message containing invalid frequency parameter information and provide a failure indication to the upper layers associated with the aborted TBFs.</w:t>
      </w:r>
    </w:p>
    <w:p w14:paraId="030344D8" w14:textId="77777777" w:rsidR="00711444" w:rsidRPr="004D0DAA" w:rsidRDefault="00711444" w:rsidP="00711444">
      <w:pPr>
        <w:pStyle w:val="Heading3"/>
      </w:pPr>
      <w:bookmarkStart w:id="335" w:name="_Toc516669522"/>
      <w:r w:rsidRPr="004D0DAA">
        <w:t>8.7.4</w:t>
      </w:r>
      <w:r w:rsidRPr="004D0DAA">
        <w:tab/>
        <w:t>Abnormal release with RR connection establishment retry</w:t>
      </w:r>
      <w:bookmarkEnd w:id="335"/>
    </w:p>
    <w:p w14:paraId="2F74D754" w14:textId="77777777" w:rsidR="00711444" w:rsidRPr="004D0DAA" w:rsidRDefault="00711444" w:rsidP="00711444">
      <w:r w:rsidRPr="004D0DAA">
        <w:t>The mobile station shall abort all TBFs in progress and report an RLC/MAC failure to upper layers. The mobile station in packet transfer mode shall return to the CCCH configuration, enter packet idle mode and initiate the establishment of the RR connection as specified in 3GPP TS 44.018.</w:t>
      </w:r>
    </w:p>
    <w:p w14:paraId="30758896" w14:textId="77777777" w:rsidR="00711444" w:rsidRPr="004D0DAA" w:rsidRDefault="00711444" w:rsidP="00711444">
      <w:pPr>
        <w:pStyle w:val="Heading2"/>
      </w:pPr>
      <w:bookmarkStart w:id="336" w:name="_Toc516669523"/>
      <w:r w:rsidRPr="004D0DAA">
        <w:t>8.8</w:t>
      </w:r>
      <w:r w:rsidRPr="004D0DAA">
        <w:tab/>
        <w:t>Network Assisted Cell Change procedures</w:t>
      </w:r>
      <w:bookmarkEnd w:id="336"/>
    </w:p>
    <w:p w14:paraId="2805AF85" w14:textId="77777777" w:rsidR="00711444" w:rsidRPr="004D0DAA" w:rsidRDefault="00711444" w:rsidP="00711444">
      <w:pPr>
        <w:pStyle w:val="Heading3"/>
      </w:pPr>
      <w:bookmarkStart w:id="337" w:name="_Toc516669524"/>
      <w:r w:rsidRPr="004D0DAA">
        <w:t>8.8.1</w:t>
      </w:r>
      <w:r w:rsidRPr="004D0DAA">
        <w:tab/>
      </w:r>
      <w:r w:rsidRPr="004D0DAA">
        <w:t>Neighbour Cell System Information Distribution</w:t>
      </w:r>
      <w:bookmarkEnd w:id="337"/>
    </w:p>
    <w:p w14:paraId="7D2B50A9" w14:textId="77777777" w:rsidR="00711444" w:rsidRPr="004D0DAA" w:rsidRDefault="00711444" w:rsidP="00711444">
      <w:r w:rsidRPr="004D0DAA">
        <w:t>A mobile station in packet transfer mode or in MAC-Shared state may receive neighbouring cell system information for GSM neighbouring cells on PACCH. System Information messages are not distributed for 3G neighbouring cells or E-UTRAN neighb</w:t>
      </w:r>
      <w:r w:rsidRPr="004D0DAA">
        <w:t>ouring cells. The neighbouring cell system information is contained in one or more instances of the PACKET NEIGHBOUR CELL DATA message and the mobile station is addressed by its TFI as follows:</w:t>
      </w:r>
    </w:p>
    <w:p w14:paraId="01C27150" w14:textId="77777777" w:rsidR="00711444" w:rsidRPr="004D0DAA" w:rsidRDefault="00711444" w:rsidP="00711444">
      <w:pPr>
        <w:pStyle w:val="B1"/>
      </w:pPr>
      <w:r w:rsidRPr="004D0DAA">
        <w:t>-</w:t>
      </w:r>
      <w:r w:rsidRPr="004D0DAA">
        <w:tab/>
        <w:t>If a PBCCH is allocated in the neighbouring cell, the instances of the message may contain the PSI1, a consistent set of PSI2 and the PSI14 messages;</w:t>
      </w:r>
    </w:p>
    <w:p w14:paraId="1B81BEBD" w14:textId="77777777" w:rsidR="00711444" w:rsidRPr="004D0DAA" w:rsidRDefault="00711444" w:rsidP="00711444">
      <w:pPr>
        <w:pStyle w:val="B1"/>
      </w:pPr>
      <w:r w:rsidRPr="004D0DAA">
        <w:t>-</w:t>
      </w:r>
      <w:r w:rsidRPr="004D0DAA">
        <w:tab/>
        <w:t>If no PBCCH is allocated in the neighbouring cell, the instances of the message may contain the SI3, SI13 and, if available, SI1 messages. If SI1 is broadcast in the target cell, the network shall include the SI1 message as the first SI message contained in the set of PACKET NEIGHBOUR CELL DATA messages, starting from the message with CONTAINER_INDEX=0.</w:t>
      </w:r>
    </w:p>
    <w:p w14:paraId="5B7F26BD" w14:textId="77777777" w:rsidR="00711444" w:rsidRPr="004D0DAA" w:rsidRDefault="00711444" w:rsidP="00711444">
      <w:r w:rsidRPr="004D0DAA">
        <w:lastRenderedPageBreak/>
        <w:t>A mobile station, which receives this information shall, independent of NC mode or CCN mode, store the last received set of the information for at least one cell. The received system information can then be used for initial access when entering the designated neighbour cell.</w:t>
      </w:r>
    </w:p>
    <w:p w14:paraId="37FDF57B" w14:textId="77777777" w:rsidR="00711444" w:rsidRPr="004D0DAA" w:rsidRDefault="00711444" w:rsidP="00711444">
      <w:r w:rsidRPr="004D0DAA">
        <w:t>All instances of the PACKET NEIGHBOUR CELL DATA message form a complete container for a certain neighbour cell. The container is addressed by a container identity (CONTAINER_ID) in each instance and optionally by the ARFCN for BCCH and the BSIC of the neighbour cell. The CONTAINER_ID shall then be included in the PACKET CELL CHANGE CONTINUE or the PACKET CELL CHANGE ORDER message together with the ARFCN and the BSIC. This is in order to map the cell identity to the container identity for which neighbour cell information was received in the PACKET NEIGHBOUR CELL DATA messages. If the ARFCN and BSIC are given for a set of PACKET NEIGHBOUR CELL DATA messages, it is sufficient to include this information in only one instance in the set.</w:t>
      </w:r>
    </w:p>
    <w:p w14:paraId="24BF3AD7" w14:textId="77777777" w:rsidR="00711444" w:rsidRPr="004D0DAA" w:rsidRDefault="00711444" w:rsidP="00711444">
      <w:r w:rsidRPr="004D0DAA">
        <w:t>In order to ensure a consistent distribution and decoding of (P)SI messages contained in PACKET NEIGHBOUR CELL DATA messages, the following rules shall apply for PACKET NEIGHBOUR CELL DATA messages with the same container identity:</w:t>
      </w:r>
    </w:p>
    <w:p w14:paraId="574104B3" w14:textId="77777777" w:rsidR="00711444" w:rsidRPr="004D0DAA" w:rsidRDefault="00711444" w:rsidP="00711444">
      <w:pPr>
        <w:pStyle w:val="B1"/>
      </w:pPr>
      <w:r w:rsidRPr="004D0DAA">
        <w:t>-</w:t>
      </w:r>
      <w:r w:rsidRPr="004D0DAA">
        <w:tab/>
        <w:t>Whenever the network starts sending a set of PACKET NEIGHBOUR CELL DATA message instances, the first PACKET NEIGHBOUR CELL DATA message instance shall be started with CONTAINER_INDEX=0;</w:t>
      </w:r>
    </w:p>
    <w:p w14:paraId="745E2283" w14:textId="77777777" w:rsidR="00711444" w:rsidRPr="004D0DAA" w:rsidRDefault="00711444" w:rsidP="00711444">
      <w:pPr>
        <w:pStyle w:val="B1"/>
      </w:pPr>
      <w:r w:rsidRPr="004D0DAA">
        <w:t>-</w:t>
      </w:r>
      <w:r w:rsidRPr="004D0DAA">
        <w:tab/>
        <w:t>All subsequent instances of a PACKET NEIGHBOUR CELL DATA message set shall be sent in ascending order of CONTAINER_INDEX value. For retransmission purposes it is allowed to send a PACKET NEIGHBOUR CELL DATA message with the same CONTAINER_INDEX value and the same content more than once;</w:t>
      </w:r>
    </w:p>
    <w:p w14:paraId="5A5EF379" w14:textId="77777777" w:rsidR="00711444" w:rsidRPr="004D0DAA" w:rsidRDefault="00711444" w:rsidP="00711444">
      <w:pPr>
        <w:pStyle w:val="B1"/>
      </w:pPr>
      <w:r w:rsidRPr="004D0DAA">
        <w:t>-</w:t>
      </w:r>
      <w:r w:rsidRPr="004D0DAA">
        <w:tab/>
        <w:t>Whenever the MS receives a PACKET NEIGHBOUR CELL DATA message instance with CONTAINER_INDEX=0 or with a CONTAINER_INDEX value that is less than the CONTAINER_INDEX value of the last received PACKET NEIGHBOUR CELL DATA message instance, it shall delete any PACKET NEIGHBOUR CELL DATA message instances it may have stored and the extracted system information of the neighbour cell;</w:t>
      </w:r>
    </w:p>
    <w:p w14:paraId="07AF5AC7" w14:textId="77777777" w:rsidR="00711444" w:rsidRPr="004D0DAA" w:rsidRDefault="00711444" w:rsidP="00711444">
      <w:pPr>
        <w:pStyle w:val="B1"/>
      </w:pPr>
      <w:r w:rsidRPr="004D0DAA">
        <w:t>-</w:t>
      </w:r>
      <w:r w:rsidRPr="004D0DAA">
        <w:tab/>
        <w:t>If the MS receives a PACKET NEIGHBOUR CELL DATA message with a different ARFCN and BSIC than was indicated in one or more already received PACKET NEIGHBOUR CELL DATA message instances, it shall delete any PACKET NEIGHBOUR CELL DATA message instances it may have stored and the extracted system information of the neighbour cell;</w:t>
      </w:r>
    </w:p>
    <w:p w14:paraId="6D3A3465" w14:textId="77777777" w:rsidR="00711444" w:rsidRPr="004D0DAA" w:rsidRDefault="00711444" w:rsidP="00711444">
      <w:pPr>
        <w:pStyle w:val="B1"/>
      </w:pPr>
      <w:r w:rsidRPr="004D0DAA">
        <w:t xml:space="preserve">- </w:t>
      </w:r>
      <w:r w:rsidRPr="004D0DAA">
        <w:tab/>
        <w:t>30 s after the reception of the latest PACKET NEIGHBOUR CELL DATA message instance, the MS shall delete any PACKET NEIGHBOUR CELL DATA message instances it may have stored the extracted system information of the neighbour cell.</w:t>
      </w:r>
    </w:p>
    <w:p w14:paraId="6CF8F80E" w14:textId="77777777" w:rsidR="00711444" w:rsidRPr="004D0DAA" w:rsidRDefault="00711444" w:rsidP="00711444">
      <w:r w:rsidRPr="004D0DAA">
        <w:t xml:space="preserve">When the mobile station receives the PACKET CELL CHANGE ORDER or the PACKET CELL CHANGE CONTINUE message the mobile station shall transmit a PACKET CONTROL ACKNOWLEDGMENT message in the specified uplink radio block if a valid RRBP field is received as part of the message; the mobile station may then switch to a new cell. If the mobile station has collected all required instances of the PACKET NEIGHBOUR CELL DATA message for the new cell already when in the old cell, then it may perform access depending on whether the PACKET PSI STATUS (or PACKET SI STATUS if PBCCH is not supported in the new cell) procedures are supported by the network in the new cell (see below). The required instances of the </w:t>
      </w:r>
      <w:r w:rsidRPr="004D0DAA">
        <w:rPr>
          <w:caps/>
        </w:rPr>
        <w:t>Packet Neighbour Cell Data</w:t>
      </w:r>
      <w:r w:rsidRPr="004D0DAA">
        <w:t xml:space="preserve"> message include PSI1, a consistent set of PSI2 messages and PSI14 (if the new cell has a PBCCH allocated) or SI3, SI13 and, if available, SI1 messages (if the new cell does not have a PBCCH allocated). If the MS is able to decode the first SI message contained in the set of PACKET NEIGHBOUR CELL DATA messages but it was not the SI1 message, the MS shall conclude that SI1 is not broadcast in that particular cell in determining when packet access is allowed in the cell (see sub-clause 5.5.1.3).</w:t>
      </w:r>
    </w:p>
    <w:p w14:paraId="26512A8C" w14:textId="77777777" w:rsidR="00711444" w:rsidRPr="004D0DAA" w:rsidRDefault="00711444" w:rsidP="00711444">
      <w:r w:rsidRPr="004D0DAA">
        <w:t xml:space="preserve">If not all required instances of the PACKET NEIGHBOUR CELL DATA message have been received before the cell change, the MS shall first obtain the PBCCH description (if available) and the missing system information messages before making initial access in the new cell. However, it may switch to the new cell as soon as PSI1 has been received (if PBCCH is supported in the new cell) or SI13 has been received (if PBCCH is not supported in the new cell). </w:t>
      </w:r>
    </w:p>
    <w:p w14:paraId="12DA0146" w14:textId="77777777" w:rsidR="00711444" w:rsidRPr="004D0DAA" w:rsidRDefault="00711444" w:rsidP="00711444">
      <w:r w:rsidRPr="004D0DAA">
        <w:t xml:space="preserve">Once all the required system information messages have been received, and if the new cell supports the PACKET PSI STATUS (respectively PACKET SI STATUS) procedures, the mobile station may perform access in the new cell and shall then use these procedures for acquisition of PSI (respectively SI) messages (see sub-clause 5.5.1.4.3). If the PACKET PSI STATUS (respectively PACKET SI STATUS) procedures are not supported by the network in the new cell, then the MS is still required to make at least one attempt to receive the complete set of PSI messages on PBCCH </w:t>
      </w:r>
      <w:r w:rsidRPr="004D0DAA">
        <w:lastRenderedPageBreak/>
        <w:t>(respectively make at least one attempt to receive other SI messages that may be scheduled within one TC cycle on BCCH) prior to perform access in the new cell (see sub-clauses 5.5.1.2 and 5.5.1.3).</w:t>
      </w:r>
    </w:p>
    <w:p w14:paraId="506F87B0" w14:textId="77777777" w:rsidR="00711444" w:rsidRPr="004D0DAA" w:rsidRDefault="00711444" w:rsidP="00711444">
      <w:pPr>
        <w:pStyle w:val="Heading3"/>
      </w:pPr>
      <w:bookmarkStart w:id="338" w:name="_Toc516669525"/>
      <w:r w:rsidRPr="004D0DAA">
        <w:t>8.8.2</w:t>
      </w:r>
      <w:r w:rsidRPr="004D0DAA">
        <w:tab/>
        <w:t>CCN setting procedure</w:t>
      </w:r>
      <w:bookmarkEnd w:id="338"/>
    </w:p>
    <w:p w14:paraId="61B539AF" w14:textId="77777777" w:rsidR="00711444" w:rsidRPr="004D0DAA" w:rsidRDefault="00711444" w:rsidP="00711444">
      <w:r w:rsidRPr="004D0DAA">
        <w:t>The network uses the parameter CCN_ACTIVE in the GPRS Cell Options IE on the BCCH (SI13) or PBCCH (PSI1/PSI13/PSI14) to indicate in the cell whether CCN is enabled for cell reselection towards GSM cells.</w:t>
      </w:r>
    </w:p>
    <w:p w14:paraId="0072EB1C" w14:textId="77777777" w:rsidR="00711444" w:rsidRPr="004D0DAA" w:rsidRDefault="00711444" w:rsidP="00711444">
      <w:r w:rsidRPr="004D0DAA">
        <w:t>The network uses the parameter 3G_CCN_ACTIVE on the BCCH (SI2quater) or PBCCH (PSI3quater) to indicate in the cell whether CCN is enabled for cell reselection towards 3G cells (including UTRAN CSG cells).</w:t>
      </w:r>
    </w:p>
    <w:p w14:paraId="53B2404D" w14:textId="77777777" w:rsidR="00711444" w:rsidRPr="004D0DAA" w:rsidRDefault="00711444" w:rsidP="00711444">
      <w:r w:rsidRPr="004D0DAA">
        <w:t>The network uses the parameter E-UTRAN_CCN_ACTIVE on the BCCH (SI2quater) to indicate in the cell whether CCN is enabled for cell reselection towards E-UTRAN cells (including E-UTRAN CSG cells).</w:t>
      </w:r>
    </w:p>
    <w:p w14:paraId="7859AD7A" w14:textId="77777777" w:rsidR="00711444" w:rsidRPr="004D0DAA" w:rsidRDefault="00711444" w:rsidP="00711444">
      <w:pPr>
        <w:pStyle w:val="B1"/>
      </w:pPr>
      <w:r w:rsidRPr="004D0DAA">
        <w:t>-</w:t>
      </w:r>
      <w:r w:rsidRPr="004D0DAA">
        <w:tab/>
        <w:t>If CCN_ACTIVE is not provided or it indicates that CCN is disabled in the cell, the mobile stations shall not follow the CCN procedures towards GSM cells. CCN_ACTIVE can also be individually sent to the mobile station in either a PACKET MEASUREMENT ORDER, a PACKET CELL CHANGE ORDER message or a PS HANDOVER COMMAND message. In the latter cases, the setting applies in the target cell;</w:t>
      </w:r>
    </w:p>
    <w:p w14:paraId="23610F04" w14:textId="77777777" w:rsidR="00711444" w:rsidRPr="004D0DAA" w:rsidRDefault="00711444" w:rsidP="00711444">
      <w:pPr>
        <w:pStyle w:val="B1"/>
      </w:pPr>
      <w:r w:rsidRPr="004D0DAA">
        <w:t>-</w:t>
      </w:r>
      <w:r w:rsidRPr="004D0DAA">
        <w:tab/>
        <w:t>If 3G_CCN_ACTIVE is not provided or it indicates that CCN is disabled in the cell, the mobile stations shall not follow the CCN procedures towards 3G cells. 3G_CCN_ACTIVE can also be individually sent to the mobile station in either a PACKET MEASUREMENT ORDER, a PACKET CELL CHANGE ORDER message or a PS HANDOVER COMMAND. In the latter cases, the setting applies in the target cell;</w:t>
      </w:r>
    </w:p>
    <w:p w14:paraId="5D89E34B" w14:textId="77777777" w:rsidR="00711444" w:rsidRPr="004D0DAA" w:rsidRDefault="00711444" w:rsidP="00711444">
      <w:pPr>
        <w:pStyle w:val="B1"/>
      </w:pPr>
      <w:r w:rsidRPr="004D0DAA">
        <w:t>-</w:t>
      </w:r>
      <w:r w:rsidRPr="004D0DAA">
        <w:tab/>
        <w:t>If E-UTRAN_CCN_ACTIVE is not provided or it indicates that CCN is disabled in the cell, the mobile station shall not follow the CCN procedures towards E-UTRAN cells. E-UTRAN_CCN_ACTIVE can also be individually sent to the mobile station in either a PACKET MEASUREMENT ORDER, a PACKET CELL CHANGE ORDER message or a PS HANDOVER COMMAND. In the latter cases, the setting applies in the target cell;</w:t>
      </w:r>
    </w:p>
    <w:p w14:paraId="0DE1A218" w14:textId="77777777" w:rsidR="00711444" w:rsidRPr="004D0DAA" w:rsidRDefault="00711444" w:rsidP="00711444">
      <w:pPr>
        <w:pStyle w:val="B1"/>
      </w:pPr>
      <w:r w:rsidRPr="004D0DAA">
        <w:t>-</w:t>
      </w:r>
      <w:r w:rsidRPr="004D0DAA">
        <w:tab/>
        <w:t>If CCN_ACTIVE indicates that CCN is enabled in the cell and a mobile station determines a cell re-selection towards one of its neighbouring GSM cells is required, it shall first check the corresponding CCN_SUPPORTED parameter if available. This allows the network to enable CCN mode towards some but not all neighbour GSM cells.</w:t>
      </w:r>
    </w:p>
    <w:p w14:paraId="24143123" w14:textId="77777777" w:rsidR="00711444" w:rsidRPr="004D0DAA" w:rsidRDefault="00711444" w:rsidP="00711444">
      <w:pPr>
        <w:pStyle w:val="NO"/>
      </w:pPr>
      <w:r w:rsidRPr="004D0DAA">
        <w:t>NOTE:</w:t>
      </w:r>
      <w:r w:rsidRPr="004D0DAA">
        <w:tab/>
        <w:t>It is not possible for the network to enable CCN mode towards individual 3G or E-UTRAN neighbour cells.</w:t>
      </w:r>
    </w:p>
    <w:p w14:paraId="35ADCAF5" w14:textId="77777777" w:rsidR="00711444" w:rsidRPr="004D0DAA" w:rsidRDefault="00711444" w:rsidP="00711444">
      <w:r w:rsidRPr="004D0DAA">
        <w:t>An individual setting of CCN shall take precedence over the broadcast setting of CCN. The latest individual ordered setting of CCN is the valid one. An individual setting of CCN is only valid within the cell it is ordered for. CCN is applicable to a mobile station in Network Control mode NC0 and NC1 but not in mode NC2 that takes precedence over CCN.</w:t>
      </w:r>
    </w:p>
    <w:p w14:paraId="674FD82B" w14:textId="77777777" w:rsidR="00711444" w:rsidRPr="004D0DAA" w:rsidRDefault="00711444" w:rsidP="00711444">
      <w:pPr>
        <w:pStyle w:val="Heading3"/>
      </w:pPr>
      <w:bookmarkStart w:id="339" w:name="_Toc516669526"/>
      <w:r w:rsidRPr="004D0DAA">
        <w:t>8.8.2a</w:t>
      </w:r>
      <w:r w:rsidRPr="004D0DAA">
        <w:tab/>
        <w:t>CCN support description</w:t>
      </w:r>
      <w:bookmarkEnd w:id="339"/>
    </w:p>
    <w:p w14:paraId="7D24C82D" w14:textId="77777777" w:rsidR="00711444" w:rsidRPr="004D0DAA" w:rsidRDefault="00711444" w:rsidP="00711444">
      <w:r w:rsidRPr="004D0DAA">
        <w:t>The CCN Support description contains the CCN_SUPPORTED parameter for each GSM cell of the GSM Neighbour Cell list.</w:t>
      </w:r>
    </w:p>
    <w:p w14:paraId="07206F65" w14:textId="77777777" w:rsidR="00711444" w:rsidRPr="004D0DAA" w:rsidRDefault="00711444" w:rsidP="00711444">
      <w:r w:rsidRPr="004D0DAA">
        <w:t>If there is no PBCCH allocated in the cell, see 3GPP TS 44.018.</w:t>
      </w:r>
    </w:p>
    <w:p w14:paraId="025E31B7" w14:textId="77777777" w:rsidR="00711444" w:rsidRPr="004D0DAA" w:rsidRDefault="00711444" w:rsidP="00711444">
      <w:r w:rsidRPr="004D0DAA">
        <w:t>If there is a PBCCH allocated in the cell, the parameter can be provided in the PSI3 message or any instance of the PSI3bis message. In that case, the bitmap applies to the GSM Neighbour Cell list having the same PSI3_CHANGE_MARK as the message in which it is provided.</w:t>
      </w:r>
    </w:p>
    <w:p w14:paraId="72A5D98C" w14:textId="77777777" w:rsidR="00711444" w:rsidRPr="004D0DAA" w:rsidRDefault="00711444" w:rsidP="00711444">
      <w:r w:rsidRPr="004D0DAA">
        <w:t>CCN_SUPPORTED parameter can also be provided in a PACKET CELL CHANGE ORDER or a PACKET MEASUREMENT ORDER message. In this case, the bitmap applies to the updated GSM Neighbour Cell list.</w:t>
      </w:r>
    </w:p>
    <w:p w14:paraId="5F97C62C" w14:textId="77777777" w:rsidR="00711444" w:rsidRPr="004D0DAA" w:rsidRDefault="00711444" w:rsidP="00711444">
      <w:r w:rsidRPr="004D0DAA">
        <w:t>Each CCN_SUPPORTED bit of this description relates to indices of the GSM Neighbour Cell list, starting with index 0. The CCN Support description may be received before the corresponding GSM Neighbour Cell list.</w:t>
      </w:r>
    </w:p>
    <w:p w14:paraId="5C9A6F8F" w14:textId="77777777" w:rsidR="00711444" w:rsidRPr="004D0DAA" w:rsidRDefault="00711444" w:rsidP="00711444">
      <w:r w:rsidRPr="004D0DAA">
        <w:t>Indices exceeding the value 95 or the number of cells in the GSM Neighbour Cell list (whichever is the lowest) shall be ignored. If there are fewer indices than the number of cells in the GSM Neighbour Cell list, the value 0 shall be assumed for the missing bits.</w:t>
      </w:r>
    </w:p>
    <w:p w14:paraId="2BB6982B" w14:textId="77777777" w:rsidR="00711444" w:rsidRPr="004D0DAA" w:rsidRDefault="00711444" w:rsidP="00711444">
      <w:r w:rsidRPr="004D0DAA">
        <w:lastRenderedPageBreak/>
        <w:t>When this information is not present but CCN is enabled in the serving cell, the mobile station shall assume that CCN is enabled towards all neighbour cells.</w:t>
      </w:r>
    </w:p>
    <w:p w14:paraId="16F86D95" w14:textId="77777777" w:rsidR="00711444" w:rsidRPr="004D0DAA" w:rsidRDefault="00711444" w:rsidP="00711444">
      <w:pPr>
        <w:pStyle w:val="Heading3"/>
      </w:pPr>
      <w:bookmarkStart w:id="340" w:name="_Toc516669527"/>
      <w:r w:rsidRPr="004D0DAA">
        <w:t>8.8.3</w:t>
      </w:r>
      <w:r w:rsidRPr="004D0DAA">
        <w:tab/>
        <w:t>Cell Change Notification procedure</w:t>
      </w:r>
      <w:bookmarkEnd w:id="340"/>
    </w:p>
    <w:p w14:paraId="5390BD4D" w14:textId="77777777" w:rsidR="00711444" w:rsidRPr="004D0DAA" w:rsidRDefault="00711444" w:rsidP="00711444">
      <w:r w:rsidRPr="004D0DAA">
        <w:t>If CCN is enabled towards the target cell (see sub-clause 5.5.1.1a), the mobile station shall behave as in network control mode NC0 or NC1 up to the point when a new cell has been chosen. If the target cell is a GSM cell, the mobile station shall then check the CCN_SUPPORTED parameter, if available, that was last received for that cell. This parameter can be sent on BCCH or PBCCH or individually in PACKET MEASUREMENT ORDER or PACKET CELL CHANGE ORDER or PS HANDOVER COMMAND messages.</w:t>
      </w:r>
    </w:p>
    <w:p w14:paraId="72BB1A72" w14:textId="77777777" w:rsidR="00711444" w:rsidRPr="004D0DAA" w:rsidRDefault="00711444" w:rsidP="00711444">
      <w:r w:rsidRPr="004D0DAA">
        <w:t>If for a GSM cell the CCN_SUPPORTED parameter is available and if it indicates that CCN mode shall not be entered towards that cell, then the mobile station shall perform the cell change and not enter CCN mode. If the cell reselection is triggered by the path loss criterion parameter C1 becoming negative, the mobile station may perform the cell change without entering the CCN mode.</w:t>
      </w:r>
    </w:p>
    <w:p w14:paraId="0EF281B3" w14:textId="77777777" w:rsidR="00711444" w:rsidRPr="004D0DAA" w:rsidRDefault="00711444" w:rsidP="00711444">
      <w:r w:rsidRPr="004D0DAA">
        <w:t xml:space="preserve">If the target cell is a GSM cell and the CCN_SUPPORTED parameter is available and if it indicates that CCN mode shall be entered towards that cell or if the CCN_SUPPORTED parameter is not available, then instead of performing the cell change, the mobile station shall start timer T3206 and enter the CCN mode. At the first possible opportunity, the MS shall then, when in CCN mode, inform the network about the proposed target cell by sending a PACKET CELL CHANGE NOTIFICATION message, stop timer T3206, start timers T3208 and T3210. </w:t>
      </w:r>
    </w:p>
    <w:p w14:paraId="0866744A" w14:textId="77777777" w:rsidR="00711444" w:rsidRPr="004D0DAA" w:rsidRDefault="00711444" w:rsidP="00711444">
      <w:r w:rsidRPr="004D0DAA">
        <w:t>If the target cell is a 3G cell and if CCN is activated towards 3G cells or if the target cell is an E-UTRAN cell and the mobile station supports "CCN towards E-UTRAN, E-UTRAN Neighbour Cell measurement reporting and Network controlled cell reselection to E-UTRAN" and if CCN is activated towards E-UTRAN cells, then instead of performing the cell change, the mobile station shall start timer T3206 and enter the CCN mode. At the first possible opportunity, the MS shall then, when in CCN mode, inform the network about the proposed target cell by sending a PACKET CELL CHANGE NOTIFICATION message, stop timer T3206, start timers T3208 and T3210.</w:t>
      </w:r>
    </w:p>
    <w:p w14:paraId="5D880091" w14:textId="77777777" w:rsidR="00711444" w:rsidRPr="004D0DAA" w:rsidRDefault="00711444" w:rsidP="00711444">
      <w:r w:rsidRPr="004D0DAA">
        <w:t>If the target cell is a GAN cell and the CCN_SUPPORTED parameter is available and if it indicates that CCN mode shall be entered towards that cell or if the CCN_SUPPORTED parameter is not available, then instead of performing the cell change, the</w:t>
      </w:r>
      <w:r w:rsidRPr="004D0DAA">
        <w:rPr>
          <w:caps/>
        </w:rPr>
        <w:t xml:space="preserve"> </w:t>
      </w:r>
      <w:r w:rsidRPr="004D0DAA">
        <w:t xml:space="preserve">mobile station shall start timer T3206 and enter the CCN mode. At the first possible opportunity, a mobile station may, when in CCN mode, send a </w:t>
      </w:r>
      <w:r w:rsidRPr="004D0DAA">
        <w:rPr>
          <w:caps/>
        </w:rPr>
        <w:t>Packet Cell Change Notification</w:t>
      </w:r>
      <w:r w:rsidRPr="004D0DAA">
        <w:t xml:space="preserve"> message that includes the ARFCN/BSIC for the GAN cell and indicates an RXLEV of 63 for the GAN cell and start timers T3208 and T3210.</w:t>
      </w:r>
    </w:p>
    <w:p w14:paraId="458A91AB" w14:textId="77777777" w:rsidR="00711444" w:rsidRPr="004D0DAA" w:rsidRDefault="00711444" w:rsidP="00711444">
      <w:r w:rsidRPr="004D0DAA">
        <w:t>The PACKET CELL CHANGE NOTIFICATION message shall contain the identity of the proposed target cell. A GSM cell shall be identified by the ARFCN for the BCCH and the BSIC. A 3G-FDD cell shall be identified by FDD_ARFCN, Bandwidth_FDD and Scrambling Code. A 3G-TDD cell shall be identified by TDD_ARFCN, Bandwidth_TDD, Cell parameter and Sync Case. An E-UTRAN cell shall be identified by EARFCN, Measurement Bandwidth and Physical Layer Cell Identity.</w:t>
      </w:r>
    </w:p>
    <w:p w14:paraId="70032289" w14:textId="77777777" w:rsidR="00711444" w:rsidRPr="004D0DAA" w:rsidRDefault="00711444" w:rsidP="00711444">
      <w:r w:rsidRPr="004D0DAA">
        <w:t>The PACKET CELL CHANGE NOTIFICATION message shall also contain measurement reports for the proposed cell and for six other (see 3GPP TS 45.008) neighbour cells, if available. If no 3G neighbour cell is available for reporting, and the 3G CCN Measurement Report Struct is included in the message, the MS shall set the N_3G field to 0 and the 3G_CELL_LIST_INDEX field to 127, see sub-clause 11.2.3a. If 3G Neighbour cells are reported, the type of report for FDD cells are specified by the FDD_REP_QUANT parameter and the number of 3G reports in the message are specified by the parameters FDD_MULTIRAT_REPORTING and TDD_MULTIRAT_REPORTING. These parameters may either be broadcast on BCCH or PBCCH or sent to the mobile station in a PACKET MEASUREMENT ORDER or PACKET CELL CHANGE ORDER message. If E-UTRAN Neighbour cells are reported, the type of report is specified by the E-UTRAN_REP_QUANT parameter and the maximum number of E-UTRAN reports in the message is specified by the parameter E-UTRAN_MULTIRAT_REPORTING. These parameters may either be broadcast on BCCH  or sent to the mobile station in a PACKET MEASUREMENT ORDER message.</w:t>
      </w:r>
    </w:p>
    <w:p w14:paraId="4350E4AB" w14:textId="77777777" w:rsidR="00711444" w:rsidRPr="004D0DAA" w:rsidRDefault="00711444" w:rsidP="00711444">
      <w:r w:rsidRPr="004D0DAA">
        <w:rPr>
          <w:lang w:eastAsia="zh-CN"/>
        </w:rPr>
        <w:t>When</w:t>
      </w:r>
      <w:r w:rsidRPr="004D0DAA">
        <w:rPr>
          <w:rFonts w:hint="eastAsia"/>
          <w:lang w:eastAsia="zh-CN"/>
        </w:rPr>
        <w:t xml:space="preserve"> a multi-RAT</w:t>
      </w:r>
      <w:r w:rsidRPr="004D0DAA">
        <w:rPr>
          <w:lang w:eastAsia="zh-CN"/>
        </w:rPr>
        <w:t xml:space="preserve"> </w:t>
      </w:r>
      <w:r w:rsidRPr="004D0DAA">
        <w:rPr>
          <w:rFonts w:hint="eastAsia"/>
          <w:lang w:eastAsia="zh-CN"/>
        </w:rPr>
        <w:t xml:space="preserve">MS </w:t>
      </w:r>
      <w:r w:rsidRPr="004D0DAA">
        <w:rPr>
          <w:lang w:eastAsia="zh-CN"/>
        </w:rPr>
        <w:t xml:space="preserve">attempts cell change to a UTRAN (respectively E-UTRAN) CSG cell </w:t>
      </w:r>
      <w:r w:rsidRPr="004D0DAA">
        <w:rPr>
          <w:rFonts w:hint="eastAsia"/>
          <w:lang w:eastAsia="ko-KR"/>
        </w:rPr>
        <w:t xml:space="preserve">or a detected hybrid cell if </w:t>
      </w:r>
      <w:r w:rsidRPr="004D0DAA">
        <w:rPr>
          <w:lang w:eastAsia="ko-KR"/>
        </w:rPr>
        <w:t xml:space="preserve">the </w:t>
      </w:r>
      <w:r w:rsidRPr="004D0DAA">
        <w:rPr>
          <w:rFonts w:hint="eastAsia"/>
          <w:lang w:eastAsia="ko-KR"/>
        </w:rPr>
        <w:t>cell</w:t>
      </w:r>
      <w:r w:rsidRPr="004D0DAA">
        <w:rPr>
          <w:lang w:eastAsia="ko-KR"/>
        </w:rPr>
        <w:t>’</w:t>
      </w:r>
      <w:r w:rsidRPr="004D0DAA">
        <w:rPr>
          <w:rFonts w:hint="eastAsia"/>
          <w:lang w:eastAsia="ko-KR"/>
        </w:rPr>
        <w:t xml:space="preserve">s </w:t>
      </w:r>
      <w:r w:rsidRPr="004D0DAA">
        <w:rPr>
          <w:lang w:eastAsia="ko-KR"/>
        </w:rPr>
        <w:t>CSG ID</w:t>
      </w:r>
      <w:r w:rsidRPr="004D0DAA">
        <w:rPr>
          <w:rFonts w:hint="eastAsia"/>
          <w:lang w:eastAsia="ko-KR"/>
        </w:rPr>
        <w:t xml:space="preserve"> is included in the CSG Whitelist of the MS </w:t>
      </w:r>
      <w:r w:rsidRPr="004D0DAA">
        <w:rPr>
          <w:lang w:eastAsia="zh-CN"/>
        </w:rPr>
        <w:t xml:space="preserve">and CCN procedures are used, if </w:t>
      </w:r>
      <w:r w:rsidRPr="004D0DAA">
        <w:t xml:space="preserve">the </w:t>
      </w:r>
      <w:r w:rsidRPr="004D0DAA">
        <w:rPr>
          <w:i/>
        </w:rPr>
        <w:t>CSG</w:t>
      </w:r>
      <w:r w:rsidRPr="004D0DAA">
        <w:rPr>
          <w:rFonts w:hint="eastAsia"/>
          <w:i/>
        </w:rPr>
        <w:t xml:space="preserve"> </w:t>
      </w:r>
      <w:r w:rsidRPr="004D0DAA">
        <w:rPr>
          <w:i/>
        </w:rPr>
        <w:t>Cells Reporting Description</w:t>
      </w:r>
      <w:r w:rsidRPr="004D0DAA">
        <w:t xml:space="preserve"> IE</w:t>
      </w:r>
      <w:r w:rsidRPr="004D0DAA">
        <w:rPr>
          <w:rFonts w:hint="eastAsia"/>
          <w:lang w:eastAsia="ko-KR"/>
        </w:rPr>
        <w:t xml:space="preserve"> </w:t>
      </w:r>
      <w:r w:rsidRPr="004D0DAA">
        <w:t xml:space="preserve">has been received from the network </w:t>
      </w:r>
      <w:r w:rsidRPr="004D0DAA">
        <w:rPr>
          <w:rFonts w:hint="eastAsia"/>
          <w:lang w:eastAsia="ko-KR"/>
        </w:rPr>
        <w:t>and the mobile station supports CSG Cells Reporting</w:t>
      </w:r>
      <w:r w:rsidRPr="004D0DAA">
        <w:t>, the mobile station shall include in</w:t>
      </w:r>
      <w:r w:rsidRPr="004D0DAA">
        <w:rPr>
          <w:lang w:eastAsia="zh-CN"/>
        </w:rPr>
        <w:t xml:space="preserve"> t</w:t>
      </w:r>
      <w:r w:rsidRPr="004D0DAA">
        <w:t>he PACKET CELL CHANGE NOTIFICATION message</w:t>
      </w:r>
      <w:r w:rsidRPr="004D0DAA">
        <w:rPr>
          <w:rFonts w:hint="eastAsia"/>
        </w:rPr>
        <w:t xml:space="preserve"> the CSG-ID and the routing parameters </w:t>
      </w:r>
      <w:r w:rsidRPr="004D0DAA">
        <w:t>of the target cell</w:t>
      </w:r>
      <w:r w:rsidRPr="004D0DAA">
        <w:rPr>
          <w:rFonts w:hint="eastAsia"/>
        </w:rPr>
        <w:t>.</w:t>
      </w:r>
      <w:r w:rsidRPr="004D0DAA">
        <w:t xml:space="preserve"> </w:t>
      </w:r>
      <w:r w:rsidRPr="004D0DAA">
        <w:rPr>
          <w:rFonts w:hint="eastAsia"/>
          <w:lang w:eastAsia="ko-KR"/>
        </w:rPr>
        <w:t>In this case, i</w:t>
      </w:r>
      <w:r w:rsidRPr="004D0DAA">
        <w:rPr>
          <w:rFonts w:hint="eastAsia"/>
        </w:rPr>
        <w:t xml:space="preserve">f </w:t>
      </w:r>
      <w:r w:rsidRPr="004D0DAA">
        <w:t>a cell change failure occurs, t</w:t>
      </w:r>
      <w:r w:rsidRPr="004D0DAA">
        <w:rPr>
          <w:rFonts w:hint="eastAsia"/>
        </w:rPr>
        <w:t xml:space="preserve">he </w:t>
      </w:r>
      <w:r w:rsidRPr="004D0DAA">
        <w:t xml:space="preserve">subsequent transmission of a PACKET CELL CHANGE </w:t>
      </w:r>
      <w:r w:rsidRPr="004D0DAA">
        <w:rPr>
          <w:rFonts w:hint="eastAsia"/>
        </w:rPr>
        <w:t xml:space="preserve">FAILURE message shall contain the </w:t>
      </w:r>
      <w:r w:rsidRPr="004D0DAA">
        <w:t>routing</w:t>
      </w:r>
      <w:r w:rsidRPr="004D0DAA">
        <w:rPr>
          <w:rFonts w:hint="eastAsia"/>
        </w:rPr>
        <w:t xml:space="preserve"> </w:t>
      </w:r>
      <w:r w:rsidRPr="004D0DAA">
        <w:t>parameters</w:t>
      </w:r>
      <w:r w:rsidRPr="004D0DAA">
        <w:rPr>
          <w:rFonts w:hint="eastAsia"/>
        </w:rPr>
        <w:t xml:space="preserve"> </w:t>
      </w:r>
      <w:r w:rsidRPr="004D0DAA">
        <w:t>of the target cell</w:t>
      </w:r>
      <w:r w:rsidRPr="004D0DAA">
        <w:rPr>
          <w:rFonts w:hint="eastAsia"/>
        </w:rPr>
        <w:t>.</w:t>
      </w:r>
    </w:p>
    <w:p w14:paraId="11615A8D" w14:textId="77777777" w:rsidR="00711444" w:rsidRPr="004D0DAA" w:rsidRDefault="00711444" w:rsidP="00711444">
      <w:r w:rsidRPr="004D0DAA">
        <w:t xml:space="preserve">In CCN mode the mobile station shall continue the data transfer and store neighbour cell system information if received in instances of the PACKET NEIGHBOUR CELL DATA message, but not perform the cell change. At receipt of the first PACKET NEIGHBOUR CELL DATA message or PACKET CELL CHANGE CONTINUE message or PACKET </w:t>
      </w:r>
      <w:r w:rsidRPr="004D0DAA">
        <w:lastRenderedPageBreak/>
        <w:t xml:space="preserve">CELL CHANGE ORDER message or PS HANDOVER COMMAND message, the mobile station shall stop the timer T3210. </w:t>
      </w:r>
    </w:p>
    <w:p w14:paraId="5EDB9250" w14:textId="77777777" w:rsidR="00711444" w:rsidRPr="004D0DAA" w:rsidRDefault="00711444" w:rsidP="00711444">
      <w:r w:rsidRPr="004D0DAA">
        <w:t>The mobile station shall retransmit the PACKET CELL CHANGE NOTIFICATION message once at the first possible opportunity when the timer T3210 expires.</w:t>
      </w:r>
    </w:p>
    <w:p w14:paraId="2888DEA8" w14:textId="77777777" w:rsidR="00711444" w:rsidRPr="004D0DAA" w:rsidRDefault="00711444" w:rsidP="00711444">
      <w:r w:rsidRPr="004D0DAA">
        <w:t>The mobile station shall leave CCN mode when either CCN is no longer enabled (towards all GSM, 3G or E-UTRAN neighbour cells with the CCN_ACTIVE/3G_CCN_ACTIVE/E-UTRAN_CCN_ACTIVE bit or towards the cell that had been re-selected) or when the network has responded with a PACKET CELL CHANGE CONTINUE or PACKET CELL CHANGE ORDER message or a PS HANDOVER COMMAND message or when either of the timers T3206 or T3208 have expired.</w:t>
      </w:r>
    </w:p>
    <w:p w14:paraId="25D29379" w14:textId="77777777" w:rsidR="00711444" w:rsidRPr="004D0DAA" w:rsidRDefault="00711444" w:rsidP="00711444">
      <w:r w:rsidRPr="004D0DAA">
        <w:t>If the mobile station has been individually ordered to enable CCN, the order is only valid within the cell where the order is given. When a cell change has been performed using the cell reselection procedure, the mobile station shall use CCN in the new cell only if individually ordered in the previous cell with the PACKET CELL CHANGE ORDER message or if individually ordered or broadcast in the new cell. When a cell change has been performed using the PS handover procedure, the mobile station shall enable CCN in the new cell only if individually ordered in the previous cell with the PS HANDOVER COMMAND message or if individually ordered or broadcast in the new cell.</w:t>
      </w:r>
    </w:p>
    <w:p w14:paraId="1A704487" w14:textId="77777777" w:rsidR="00711444" w:rsidRPr="004D0DAA" w:rsidRDefault="00711444" w:rsidP="00711444">
      <w:r w:rsidRPr="004D0DAA">
        <w:t>Upon receiving a PACKET CELL CHANGE NOTIFICATION message, the network shall ignore any 3G neighbour cell report with a 3G_CELL_LIST_INDEX equal to 127.</w:t>
      </w:r>
    </w:p>
    <w:p w14:paraId="6001B207" w14:textId="77777777" w:rsidR="00711444" w:rsidRPr="004D0DAA" w:rsidRDefault="00711444" w:rsidP="00711444">
      <w:r w:rsidRPr="004D0DAA">
        <w:t>After receiving a PACKET CELL CHANGE NOTIFICATION message from the mobile station the network can behave in different ways as described below:</w:t>
      </w:r>
    </w:p>
    <w:p w14:paraId="3C179F38" w14:textId="77777777" w:rsidR="00711444" w:rsidRPr="004D0DAA" w:rsidRDefault="00711444" w:rsidP="00711444">
      <w:pPr>
        <w:pStyle w:val="B1"/>
      </w:pPr>
      <w:r w:rsidRPr="004D0DAA">
        <w:t>1)</w:t>
      </w:r>
      <w:r w:rsidRPr="004D0DAA">
        <w:tab/>
        <w:t>The network responds with a PACKET CELL CHANGE CONTINUE message.</w:t>
      </w:r>
      <w:r w:rsidRPr="004D0DAA">
        <w:br/>
        <w:t>If a mobile station as response to a PACKET CELL CHANGE NOTIFICATION message receives a PACKET CELL CHANGE CONTINUE message without receiving any neighbour cell system information, the mobile station shall stop timer T3208, stop timer T3210 if still running, leave CCN mode and continue cell reselection in NC0/NC1 mode.</w:t>
      </w:r>
    </w:p>
    <w:p w14:paraId="7143F7AA" w14:textId="77777777" w:rsidR="00711444" w:rsidRPr="004D0DAA" w:rsidRDefault="00711444" w:rsidP="00711444">
      <w:pPr>
        <w:pStyle w:val="B1"/>
      </w:pPr>
      <w:r w:rsidRPr="004D0DAA">
        <w:t>2)</w:t>
      </w:r>
      <w:r w:rsidRPr="004D0DAA">
        <w:tab/>
        <w:t>The network sends first necessary system information for the cell proposed in the PACKET CELL CHANGE NOTIFICATION message if the proposed target cell is a GSM cell in one or more instances of the PACKET NEIGHBOUR CELL DATA message and sends then a PACKET CELL CHANGE CONTINUE message.</w:t>
      </w:r>
      <w:r w:rsidRPr="004D0DAA">
        <w:br/>
        <w:t xml:space="preserve">The mobile station shall store the received system information as specified in sub-clause 8.8.1. When the first instance of the PACKET NEIGHBOUR CELL DATA message is received, the mobile station shall stop timer T3210 if still running. When the PACKET CELL CHANGE CONTINUE message is received, the mobile station shall stop timer T3208, leave CCN mode and continue the cell reselection in NC0/NC1 mode irrespective of the cell indicated in the ARFCN and BSIC parameters in the PACKET CELL CHANGE CONTINUE message. </w:t>
      </w:r>
    </w:p>
    <w:p w14:paraId="57812A2B" w14:textId="77777777" w:rsidR="00711444" w:rsidRPr="004D0DAA" w:rsidRDefault="00711444" w:rsidP="00711444">
      <w:pPr>
        <w:pStyle w:val="B1"/>
      </w:pPr>
      <w:r w:rsidRPr="004D0DAA">
        <w:t>3)</w:t>
      </w:r>
      <w:r w:rsidRPr="004D0DAA">
        <w:tab/>
        <w:t xml:space="preserve">The network sends first necessary system information for the cell proposed in the PACKET CELL CHANGE NOTIFICATION message if the proposed target cell is a GSM cell, or for any other GSM cell, in one or more instances of the PACKET NEIGHBOUR CELL DATA message and sends then a PACKET CELL CHANGE ORDER message or a PS HANDOVER COMMAND message. </w:t>
      </w:r>
      <w:r w:rsidRPr="004D0DAA">
        <w:br/>
      </w:r>
      <w:r w:rsidRPr="004D0DAA">
        <w:br/>
        <w:t>The mobile station shall store the received system information as specified in sub-clause 8.8.1. When the first instance of the PACKET NEIGHBOUR CELL DATA message is received, the mobile station shall stop timer T3210 if still running. When the PACKET CELL CHANGE ORDER message is received, the mobile station shall stop timer T3208, leave CCN mode and follow the procedures as specified for the PACKET CELL CHANGE ORDER message (sub-clause 8.4) and in sub-clause 8.8.1. When the PS HANDOVER COMMAND message is received, the mobile station shall stop timer T3208, leave CCN mode and follow the procedures as specified for the PS HANDOVER COMMAND message in sub-clause 8.10.4.</w:t>
      </w:r>
    </w:p>
    <w:p w14:paraId="113BA5BD" w14:textId="77777777" w:rsidR="00711444" w:rsidRPr="004D0DAA" w:rsidRDefault="00711444" w:rsidP="00711444">
      <w:pPr>
        <w:pStyle w:val="B1"/>
      </w:pPr>
      <w:r w:rsidRPr="004D0DAA">
        <w:t>4)</w:t>
      </w:r>
      <w:r w:rsidRPr="004D0DAA">
        <w:tab/>
        <w:t>The network orders the mobile station into NC2 mode.</w:t>
      </w:r>
      <w:r w:rsidRPr="004D0DAA">
        <w:br/>
        <w:t xml:space="preserve">A mobile station may in response to a PACKET CELL CHANGE NOTIFICATION message receive a PACKET MEASUREMENT ORDER message from the network indicating NC2 mode. When the mobile station receives the NC2 order it shall leave CCN mode, stop timer T3208, stop timer T3210 if still running, and go into NC2 mode. </w:t>
      </w:r>
      <w:r w:rsidRPr="004D0DAA">
        <w:br/>
      </w:r>
      <w:r w:rsidRPr="004D0DAA">
        <w:br/>
        <w:t xml:space="preserve">When the NC2 mode has been ordered, the network may send PACKET NEIGHBOUR CELL DATA messages on the PACCH before sending the PACKET CELL CHANGE ORDER message to the mobile station. When the NC2 mode has been ordered, the network shall send PACKET NEIGHBOUR CELL DATA messages on the </w:t>
      </w:r>
      <w:r w:rsidRPr="004D0DAA">
        <w:lastRenderedPageBreak/>
        <w:t>PACCH before sending the PS HANDOVER COMMAND message (see sub-clause 8.10.2) to the mobile station except if these messages are not needed by the mobile station (i.e. for the case of PS handover to a GAN cell).</w:t>
      </w:r>
    </w:p>
    <w:p w14:paraId="38520FA3" w14:textId="77777777" w:rsidR="00711444" w:rsidRPr="004D0DAA" w:rsidRDefault="00711444" w:rsidP="00711444">
      <w:pPr>
        <w:pStyle w:val="B1"/>
      </w:pPr>
      <w:r w:rsidRPr="004D0DAA">
        <w:t>5)</w:t>
      </w:r>
      <w:r w:rsidRPr="004D0DAA">
        <w:tab/>
        <w:t>No network response</w:t>
      </w:r>
      <w:r w:rsidRPr="004D0DAA">
        <w:br/>
        <w:t>When timer T3210 expires, the mobile station shall retransmit once the PACKET CELL CHANGE NOTIFICATION message at the first possible opportunity.</w:t>
      </w:r>
      <w:r w:rsidRPr="004D0DAA">
        <w:br/>
        <w:t>When timer T3208 expires, the mobile station shall leave CCN mode and continue cell reselection in NC0/NC1 mode as described in sub-clause 5.5.1.1 and in 3GPP TS 45.008.</w:t>
      </w:r>
    </w:p>
    <w:p w14:paraId="3F2EC119" w14:textId="77777777" w:rsidR="00711444" w:rsidRPr="004D0DAA" w:rsidRDefault="00711444" w:rsidP="00711444">
      <w:r w:rsidRPr="004D0DAA">
        <w:t>The CCN mode is only valid in packet transfer mode or in MAC-Shared state. If the mobile station is in CCN mode when entering packet idle mode or MAC-Idle state, the mobile station shall stop the timers T3206 and T3208, stop timer T3210 if still running, leave CCN mode and continue the cell reselection procedure according to the NC0/NC1 procedures. If PACKET NEIGHBOUR CELL DATA messages are received on the PACCH before entering packet idle mode or MAC-Idle state and the cell identity parameters are included, this information may then be used at the next cell change.</w:t>
      </w:r>
    </w:p>
    <w:p w14:paraId="7FB2B099" w14:textId="77777777" w:rsidR="00711444" w:rsidRPr="004D0DAA" w:rsidRDefault="00711444" w:rsidP="00711444">
      <w:r w:rsidRPr="004D0DAA">
        <w:t>If the cell reselection criteria have changed during the time the MS is in CCN mode but the path loss criterion parameter C1 remains positive, the MS shall, without notifying the network about the new preferred cell, remain in CCN mode until the criteria for CCN mode are no longer fulfilled. When leaving CCN mode the MS shall obey the new criteria according to the normal rules as specified in sub-clause 5.5.1.1 and in 3GPP TS 45.008 unless a PACKET CELL CHANGE ORDER or a PS HANDOVER COMMAND message has been received (see bullet 3 above). If the path loss criterion parameter C1 becomes negative while the MS is in CCN mode, the MS may leave the CCN mode without notifying the network and perform the cell change.</w:t>
      </w:r>
    </w:p>
    <w:p w14:paraId="052DD998" w14:textId="77777777" w:rsidR="00711444" w:rsidRPr="004D0DAA" w:rsidRDefault="00711444" w:rsidP="00711444">
      <w:pPr>
        <w:pStyle w:val="Heading2"/>
      </w:pPr>
      <w:bookmarkStart w:id="341" w:name="_Toc516669528"/>
      <w:r w:rsidRPr="004D0DAA">
        <w:t>8.9</w:t>
      </w:r>
      <w:r w:rsidRPr="004D0DAA">
        <w:tab/>
        <w:t>RR connection establishment in packet transfer mode</w:t>
      </w:r>
      <w:bookmarkEnd w:id="341"/>
    </w:p>
    <w:p w14:paraId="4B014102" w14:textId="77777777" w:rsidR="00711444" w:rsidRPr="004D0DAA" w:rsidRDefault="00711444" w:rsidP="00711444">
      <w:pPr>
        <w:pStyle w:val="Heading3"/>
      </w:pPr>
      <w:bookmarkStart w:id="342" w:name="_Toc516669529"/>
      <w:r w:rsidRPr="004D0DAA">
        <w:t>8.9.0</w:t>
      </w:r>
      <w:r w:rsidRPr="004D0DAA">
        <w:tab/>
        <w:t>General</w:t>
      </w:r>
      <w:bookmarkEnd w:id="342"/>
    </w:p>
    <w:p w14:paraId="0A27CAB0" w14:textId="77777777" w:rsidR="00711444" w:rsidRPr="004D0DAA" w:rsidRDefault="00711444" w:rsidP="00711444">
      <w:r w:rsidRPr="004D0DAA">
        <w:t>The initiation of the procedure and the assignment of resources for the establishment of the RR connection are described in sub-clauses 8.9.1 and 8.9.2, respectively. A mobile station that has enabled PEO may use mobile originated RR connection establishment for GSM services (see 3GPP TS 23.060 [19]) while in packet transfer mode in which case it shall abort the ongoing TBFs, leave packet transfer mode and enter packet idle mode when the RR connection is released.</w:t>
      </w:r>
    </w:p>
    <w:p w14:paraId="33977710" w14:textId="77777777" w:rsidR="00711444" w:rsidRPr="004D0DAA" w:rsidRDefault="00711444" w:rsidP="00711444">
      <w:r w:rsidRPr="004D0DAA">
        <w:t>The establishment of the main signalling link and the completion of the establishment of the RR connection are described in 3GPP TS 44.018.</w:t>
      </w:r>
    </w:p>
    <w:p w14:paraId="54BF7255" w14:textId="77777777" w:rsidR="00711444" w:rsidRPr="004D0DAA" w:rsidRDefault="00711444" w:rsidP="00711444">
      <w:pPr>
        <w:pStyle w:val="Heading3"/>
      </w:pPr>
      <w:bookmarkStart w:id="343" w:name="_Toc516669530"/>
      <w:r w:rsidRPr="004D0DAA">
        <w:t>8.9.1</w:t>
      </w:r>
      <w:r w:rsidRPr="004D0DAA">
        <w:tab/>
        <w:t>Initiation</w:t>
      </w:r>
      <w:bookmarkEnd w:id="343"/>
    </w:p>
    <w:p w14:paraId="4F9218B2" w14:textId="77777777" w:rsidR="00711444" w:rsidRPr="004D0DAA" w:rsidRDefault="00711444" w:rsidP="00711444">
      <w:pPr>
        <w:pStyle w:val="Heading4"/>
      </w:pPr>
      <w:bookmarkStart w:id="344" w:name="_Toc516669531"/>
      <w:r w:rsidRPr="004D0DAA">
        <w:t>8.9.1.1</w:t>
      </w:r>
      <w:r w:rsidRPr="004D0DAA">
        <w:tab/>
        <w:t>Initiation by the mobile station</w:t>
      </w:r>
      <w:bookmarkEnd w:id="344"/>
    </w:p>
    <w:p w14:paraId="32CA3B22" w14:textId="77777777" w:rsidR="00711444" w:rsidRPr="004D0DAA" w:rsidRDefault="00711444" w:rsidP="00711444">
      <w:pPr>
        <w:pStyle w:val="Heading5"/>
      </w:pPr>
      <w:bookmarkStart w:id="345" w:name="_Toc516669532"/>
      <w:r w:rsidRPr="004D0DAA">
        <w:t>8.9.1.1.1</w:t>
      </w:r>
      <w:r w:rsidRPr="004D0DAA">
        <w:tab/>
        <w:t>Transmission of the PACKET CS REQUEST message</w:t>
      </w:r>
      <w:bookmarkEnd w:id="345"/>
    </w:p>
    <w:p w14:paraId="134B525C" w14:textId="77777777" w:rsidR="00711444" w:rsidRPr="004D0DAA" w:rsidRDefault="00711444" w:rsidP="00711444">
      <w:r w:rsidRPr="004D0DAA">
        <w:t>The RR connection establishment procedure is initiated by the RR entity of the mobile station. Initiation is triggered by request from the MM sublayer to enter dual transfer mode. The request from the MM sublayer to establish the RR connection specifies an establishment cause.</w:t>
      </w:r>
    </w:p>
    <w:p w14:paraId="4BA34014" w14:textId="77777777" w:rsidR="00711444" w:rsidRPr="004D0DAA" w:rsidRDefault="00711444" w:rsidP="00711444">
      <w:r w:rsidRPr="004D0DAA">
        <w:t>The RR entity in the mobile station shall not request the establishment of an RR connection while in packet transfer mode from the point where it receives a PS HANDOVER COMMAND message until the PS handover procedure has been completed (see sub-clause 8.10).</w:t>
      </w:r>
    </w:p>
    <w:p w14:paraId="50DE22FF" w14:textId="77777777" w:rsidR="00711444" w:rsidRPr="004D0DAA" w:rsidRDefault="00711444" w:rsidP="00711444">
      <w:r w:rsidRPr="004D0DAA">
        <w:t>On receipt of the RR connection establishment request from upper layer the mobile station shall start timer T3196. At expiry of timer T3196, the mobile station shall release all ongoing TBFs and start RR connection establishment as specified in 3GPP TS 44.018. If a mobile station that supports PS handover receives a PS HANDOVER COMMAND message while T3196 is running it shall stop T3196, abort its current attempt to establish an RR connection and not make another attempt to establish an RR connection until completion of the PS handover procedure.</w:t>
      </w:r>
    </w:p>
    <w:p w14:paraId="74F16168" w14:textId="77777777" w:rsidR="00711444" w:rsidRPr="004D0DAA" w:rsidRDefault="00711444" w:rsidP="00711444">
      <w:r w:rsidRPr="004D0DAA">
        <w:t>If the contention resolution is not solved, the mobile station shall delay the transmission of the PACKET CS REQUEST message until contention resolution is solved.</w:t>
      </w:r>
    </w:p>
    <w:p w14:paraId="6B32CBA3" w14:textId="77777777" w:rsidR="00711444" w:rsidRPr="004D0DAA" w:rsidRDefault="00711444" w:rsidP="00711444">
      <w:r w:rsidRPr="004D0DAA">
        <w:lastRenderedPageBreak/>
        <w:t>If the countdown procedure has been started on all the ongoing uplink TBFs, none of those TBFs is operating in extended uplink TBF mode and there is no downlink TBF in progress, the mobile station may either send the PACKET CS REQUEST message, or may immediately release the ongoing TBF(s) and start an RR connection establishment as specified in 3GPP TS 44.018.</w:t>
      </w:r>
    </w:p>
    <w:p w14:paraId="16BB2BF8" w14:textId="77777777" w:rsidR="00711444" w:rsidRPr="004D0DAA" w:rsidRDefault="00711444" w:rsidP="00711444">
      <w:r w:rsidRPr="004D0DAA">
        <w:t>The mobile station shall initiate the RR connection establishment by sending PACKET CS REQUEST messages on the PACCH. The mobile station is allowed to retransmit the PACKET CS REQUEST message once while timer T3196 is running. The second sending occurrence of this message shall take place at the first suitable opportunity at least 0.75 s after the first transmission of that message.</w:t>
      </w:r>
    </w:p>
    <w:p w14:paraId="25929765" w14:textId="77777777" w:rsidR="00711444" w:rsidRPr="004D0DAA" w:rsidRDefault="00711444" w:rsidP="00711444">
      <w:pPr>
        <w:pStyle w:val="Heading5"/>
      </w:pPr>
      <w:bookmarkStart w:id="346" w:name="_Toc516669533"/>
      <w:r w:rsidRPr="004D0DAA">
        <w:t>8.9.1.1.2</w:t>
      </w:r>
      <w:r w:rsidRPr="004D0DAA">
        <w:tab/>
        <w:t>Answer from the network</w:t>
      </w:r>
      <w:bookmarkEnd w:id="346"/>
    </w:p>
    <w:p w14:paraId="03C6D06B" w14:textId="77777777" w:rsidR="00711444" w:rsidRPr="004D0DAA" w:rsidRDefault="00711444" w:rsidP="00711444">
      <w:r w:rsidRPr="004D0DAA">
        <w:t>Upon receipt of a PACKET CS REQUEST message, the network shall answer to the mobile station by encapsulating one of the following RR messages in the PACKET CS COMMAND message, and sending the PACKET CS COMMAND message on PACCH:</w:t>
      </w:r>
    </w:p>
    <w:p w14:paraId="7D363A5C" w14:textId="77777777" w:rsidR="00711444" w:rsidRPr="004D0DAA" w:rsidRDefault="00711444" w:rsidP="00711444">
      <w:pPr>
        <w:pStyle w:val="B1"/>
      </w:pPr>
      <w:r w:rsidRPr="004D0DAA">
        <w:t>-</w:t>
      </w:r>
      <w:r w:rsidRPr="004D0DAA">
        <w:tab/>
        <w:t>DTM ASSIGNMENT COMMAND message (see sub-clause 8.9.2.1); or</w:t>
      </w:r>
    </w:p>
    <w:p w14:paraId="2469E30B" w14:textId="77777777" w:rsidR="00711444" w:rsidRPr="004D0DAA" w:rsidRDefault="00711444" w:rsidP="00711444">
      <w:pPr>
        <w:pStyle w:val="B1"/>
      </w:pPr>
      <w:r w:rsidRPr="004D0DAA">
        <w:t>-</w:t>
      </w:r>
      <w:r w:rsidRPr="004D0DAA">
        <w:tab/>
        <w:t>IMMEDIATE ASSIGNMENT message (see sub-clause 8.9.2.2); or</w:t>
      </w:r>
    </w:p>
    <w:p w14:paraId="0D37EE26" w14:textId="77777777" w:rsidR="00711444" w:rsidRPr="004D0DAA" w:rsidRDefault="00711444" w:rsidP="00711444">
      <w:pPr>
        <w:pStyle w:val="B1"/>
      </w:pPr>
      <w:r w:rsidRPr="004D0DAA">
        <w:t>-</w:t>
      </w:r>
      <w:r w:rsidRPr="004D0DAA">
        <w:tab/>
        <w:t>IMMEDIATE ASSIGNMENT REJECT message (see sub-clause 8.9.2.3).</w:t>
      </w:r>
    </w:p>
    <w:p w14:paraId="35B7D06B" w14:textId="77777777" w:rsidR="00711444" w:rsidRPr="004D0DAA" w:rsidRDefault="00711444" w:rsidP="00711444">
      <w:r w:rsidRPr="004D0DAA">
        <w:t>Upon receipt of PACKET CS COMMAND message encapsulating one of the above messages the mobile station shall stop timer T3196.</w:t>
      </w:r>
    </w:p>
    <w:p w14:paraId="67C35D94" w14:textId="77777777" w:rsidR="00711444" w:rsidRPr="004D0DAA" w:rsidRDefault="00711444" w:rsidP="00711444">
      <w:pPr>
        <w:pStyle w:val="Heading4"/>
      </w:pPr>
      <w:bookmarkStart w:id="347" w:name="_Toc516669534"/>
      <w:r w:rsidRPr="004D0DAA">
        <w:t>8.9.1.2</w:t>
      </w:r>
      <w:r w:rsidRPr="004D0DAA">
        <w:tab/>
        <w:t>Initiation by the network</w:t>
      </w:r>
      <w:bookmarkEnd w:id="347"/>
    </w:p>
    <w:p w14:paraId="4CE9E642" w14:textId="77777777" w:rsidR="00711444" w:rsidRPr="004D0DAA" w:rsidRDefault="00711444" w:rsidP="00711444">
      <w:r w:rsidRPr="004D0DAA">
        <w:t>The network initiates the RR connection establishment procedure by sending a PACKET CS COMMAND message to the mobile station on PACCH, encapsulating one of the following RR messages:</w:t>
      </w:r>
    </w:p>
    <w:p w14:paraId="4433569B" w14:textId="77777777" w:rsidR="00711444" w:rsidRPr="004D0DAA" w:rsidRDefault="00711444" w:rsidP="00711444">
      <w:pPr>
        <w:pStyle w:val="B1"/>
      </w:pPr>
      <w:r w:rsidRPr="004D0DAA">
        <w:t>-</w:t>
      </w:r>
      <w:r w:rsidRPr="004D0DAA">
        <w:tab/>
        <w:t>DTM ASSIGNMENT COMMAND message (see sub-clause 8.9.2.1); or</w:t>
      </w:r>
    </w:p>
    <w:p w14:paraId="008E4FFB" w14:textId="77777777" w:rsidR="00711444" w:rsidRPr="004D0DAA" w:rsidRDefault="00711444" w:rsidP="00711444">
      <w:pPr>
        <w:pStyle w:val="B1"/>
      </w:pPr>
      <w:r w:rsidRPr="004D0DAA">
        <w:t>-</w:t>
      </w:r>
      <w:r w:rsidRPr="004D0DAA">
        <w:tab/>
        <w:t>IMMEDIATE ASSIGNMENT message (see sub-clause 8.9.2.2).</w:t>
      </w:r>
    </w:p>
    <w:p w14:paraId="6E9EF139" w14:textId="77777777" w:rsidR="00711444" w:rsidRPr="004D0DAA" w:rsidRDefault="00711444" w:rsidP="00711444">
      <w:r w:rsidRPr="004D0DAA">
        <w:t xml:space="preserve">After sending the mobile station a PS HANDOVER COMMAND message the network shall not initiate the establishment of an RR connection for that mobile station until the PS handover procedure has been completed (see sub-clause 8.10). </w:t>
      </w:r>
    </w:p>
    <w:p w14:paraId="62991BE1" w14:textId="77777777" w:rsidR="00711444" w:rsidRPr="004D0DAA" w:rsidRDefault="00711444" w:rsidP="00711444">
      <w:pPr>
        <w:pStyle w:val="Heading3"/>
      </w:pPr>
      <w:bookmarkStart w:id="348" w:name="_Toc516669535"/>
      <w:r w:rsidRPr="004D0DAA">
        <w:t>8.9.2</w:t>
      </w:r>
      <w:r w:rsidRPr="004D0DAA">
        <w:tab/>
        <w:t>Assignment</w:t>
      </w:r>
      <w:bookmarkEnd w:id="348"/>
    </w:p>
    <w:p w14:paraId="26CF7C01" w14:textId="77777777" w:rsidR="00711444" w:rsidRPr="004D0DAA" w:rsidRDefault="00711444" w:rsidP="00711444">
      <w:pPr>
        <w:pStyle w:val="Heading4"/>
      </w:pPr>
      <w:bookmarkStart w:id="349" w:name="_Toc516669536"/>
      <w:r w:rsidRPr="004D0DAA">
        <w:t>8.9.2.1</w:t>
      </w:r>
      <w:r w:rsidRPr="004D0DAA">
        <w:tab/>
        <w:t>Assignment of both dedicated and packet resource</w:t>
      </w:r>
      <w:bookmarkEnd w:id="349"/>
    </w:p>
    <w:p w14:paraId="00D4F01C" w14:textId="77777777" w:rsidR="00711444" w:rsidRPr="004D0DAA" w:rsidRDefault="00711444" w:rsidP="00711444">
      <w:r w:rsidRPr="004D0DAA">
        <w:t>The network may allocate both a dedicated channel and radio resources on one or more PDCHs to be used by the mobile station and shall in this case send a DTM ASSIGNMENT COMMAND encapsulated in a PACKET CS COMMAND message. Having sent the DTM ASSIGNMENT COMMAND message, the network starts timer T3107, specified in 3GPP TS 44.018. The allocated dedicated channel shall be of TCH type. The network may also reallocate radio resources (PDCH(s)) in the DTM ASSIGNMENT COMMAND message. If both the RR Packet Uplink Assignment and the RR Packet Downlink Assignment information elements are omitted in the DTM ASSIGNMENT COMMAND the network implicitly indicates that the current radio resources shall be maintained. The mobile station shall act on the DTM ASSIGNMENT COMMAND message as specified in 3GPP TS 44.018.</w:t>
      </w:r>
    </w:p>
    <w:p w14:paraId="040C0910" w14:textId="77777777" w:rsidR="00711444" w:rsidRPr="004D0DAA" w:rsidRDefault="00711444" w:rsidP="00711444">
      <w:r w:rsidRPr="004D0DAA">
        <w:t>On receiving an encapsulated DTM ASSIGNMENT COMMAND message, the mobile station shall establish the main signalling link using the procedure described in 3GPP TS 44.018.</w:t>
      </w:r>
    </w:p>
    <w:p w14:paraId="5CC468B4" w14:textId="77777777" w:rsidR="00711444" w:rsidRPr="004D0DAA" w:rsidRDefault="00711444" w:rsidP="00711444">
      <w:r w:rsidRPr="004D0DAA">
        <w:t xml:space="preserve">The completion of the establishment of the RR connection is described in 3GPP TS 44.018. </w:t>
      </w:r>
    </w:p>
    <w:p w14:paraId="75F1A812" w14:textId="77777777" w:rsidR="00711444" w:rsidRPr="004D0DAA" w:rsidRDefault="00711444" w:rsidP="00711444">
      <w:r w:rsidRPr="004D0DAA">
        <w:t>If timer T3107 elapses before the successful establishment of the main signalling link on the new channel, both the new CS channel and new PS resources are released. If the encapsulated DTM ASSIGNMENT COMMAND message was sent in response to a PACKET CS REQUEST message received from the mobile, then the old PS resources are also released.</w:t>
      </w:r>
    </w:p>
    <w:p w14:paraId="52C9C3F5" w14:textId="77777777" w:rsidR="00711444" w:rsidRPr="004D0DAA" w:rsidRDefault="00711444" w:rsidP="00711444">
      <w:pPr>
        <w:pStyle w:val="NO"/>
      </w:pPr>
      <w:r w:rsidRPr="004D0DAA">
        <w:t>NOTE:</w:t>
      </w:r>
      <w:r w:rsidRPr="004D0DAA">
        <w:tab/>
        <w:t>If timer T3107 expires and the procedure was initiated by the network, the subsequent network behaviour with respect to the old PS resources is implementation dependent.</w:t>
      </w:r>
    </w:p>
    <w:p w14:paraId="216F6CF1" w14:textId="77777777" w:rsidR="00711444" w:rsidRPr="004D0DAA" w:rsidRDefault="00711444" w:rsidP="00711444">
      <w:pPr>
        <w:pStyle w:val="Heading4"/>
      </w:pPr>
      <w:bookmarkStart w:id="350" w:name="_Toc516669537"/>
      <w:r w:rsidRPr="004D0DAA">
        <w:lastRenderedPageBreak/>
        <w:t>8.9.2.2</w:t>
      </w:r>
      <w:r w:rsidRPr="004D0DAA">
        <w:tab/>
        <w:t>Assignment of dedicated resource only</w:t>
      </w:r>
      <w:bookmarkEnd w:id="350"/>
    </w:p>
    <w:p w14:paraId="4AB31259" w14:textId="77777777" w:rsidR="00711444" w:rsidRPr="004D0DAA" w:rsidRDefault="00711444" w:rsidP="00711444">
      <w:r w:rsidRPr="004D0DAA">
        <w:t>The network may allocate only a dedicated channel to the mobile station and shall in this case send an IMMEDIATE ASSIGNMENT encapsulated in a PACKET CS COMMAND message. Having sent the IMMEDIATE ASSIGNMENT message, the network starts timer T3101, specified in 3GPP TS 44.018.</w:t>
      </w:r>
    </w:p>
    <w:p w14:paraId="52D3AE08" w14:textId="77777777" w:rsidR="00711444" w:rsidRPr="004D0DAA" w:rsidRDefault="00711444" w:rsidP="00711444">
      <w:r w:rsidRPr="004D0DAA">
        <w:t>If a mobile station receives an encapsulated IMMEDIATE ASSIGNMENT message which either does not specify a starting time or specifies a starting time which has already elapsed, the mobile station shall immediately:</w:t>
      </w:r>
    </w:p>
    <w:p w14:paraId="1DC8509C" w14:textId="77777777" w:rsidR="00711444" w:rsidRPr="004D0DAA" w:rsidRDefault="00711444" w:rsidP="00711444">
      <w:pPr>
        <w:pStyle w:val="B1"/>
      </w:pPr>
      <w:r w:rsidRPr="004D0DAA">
        <w:t>-</w:t>
      </w:r>
      <w:r w:rsidRPr="004D0DAA">
        <w:tab/>
        <w:t>perform an abnormal release without retry (see sub-clause 8.7.1), if no uplink TBF is in progress, or,</w:t>
      </w:r>
    </w:p>
    <w:p w14:paraId="28C93323" w14:textId="77777777" w:rsidR="00711444" w:rsidRPr="004D0DAA" w:rsidRDefault="00711444" w:rsidP="00711444">
      <w:pPr>
        <w:pStyle w:val="B1"/>
      </w:pPr>
      <w:r w:rsidRPr="004D0DAA">
        <w:t>-</w:t>
      </w:r>
      <w:r w:rsidRPr="004D0DAA">
        <w:tab/>
        <w:t>perform an abnormal release with access retry (see sub-clause 8.7.2), if one or more uplink TBFs are in progress.</w:t>
      </w:r>
    </w:p>
    <w:p w14:paraId="49BB7D9C" w14:textId="77777777" w:rsidR="00711444" w:rsidRPr="004D0DAA" w:rsidRDefault="00711444" w:rsidP="00711444">
      <w:r w:rsidRPr="004D0DAA">
        <w:t>On receiving an encapsulated IMMEDIATE ASSIGNMENT message which specifies a starting time which has not yet elapsed, the mobile station shall wait until the specified start time. If, at that time, no uplink TBF is in progress, the mobile station shall perform an abnormal release without retry (see sub-clause 8.7.1); else (i.e. one or more uplink TBFs are in progress) the mobile station shall perform an abnormal release with access retry (see sub-clause 8.7.2).</w:t>
      </w:r>
    </w:p>
    <w:p w14:paraId="38CEB6D8" w14:textId="77777777" w:rsidR="00711444" w:rsidRPr="004D0DAA" w:rsidRDefault="00711444" w:rsidP="00711444">
      <w:r w:rsidRPr="004D0DAA">
        <w:t>The mobile station shall proceed with the assignment by establishing the main signalling link using the procedure described in 3GPP TS 44.018. In respect of the RR connection, the mobile station shall act on the starting time information element, if present, as specified in 3GPP TS 44.018.</w:t>
      </w:r>
    </w:p>
    <w:p w14:paraId="6D4948E5" w14:textId="77777777" w:rsidR="00711444" w:rsidRPr="004D0DAA" w:rsidRDefault="00711444" w:rsidP="00711444">
      <w:r w:rsidRPr="004D0DAA">
        <w:t>The completion of the establishment of the RR connection is described in 3GPP TS 44.018.</w:t>
      </w:r>
    </w:p>
    <w:p w14:paraId="2F7E5D86" w14:textId="77777777" w:rsidR="00711444" w:rsidRPr="004D0DAA" w:rsidRDefault="00711444" w:rsidP="00711444">
      <w:r w:rsidRPr="004D0DAA">
        <w:t>If timer T3101 elapses before the main signalling link is established, the new CS channel is released. If the encapsulated IMMEDIATE ASSIGNMENT message was sent in response to a PACKET CS REQUEST message received from the mobile, the old PS resources are also released.</w:t>
      </w:r>
    </w:p>
    <w:p w14:paraId="1DD6998D" w14:textId="77777777" w:rsidR="00711444" w:rsidRPr="004D0DAA" w:rsidRDefault="00711444" w:rsidP="00711444">
      <w:pPr>
        <w:pStyle w:val="NO"/>
      </w:pPr>
      <w:r w:rsidRPr="004D0DAA">
        <w:t>NOTE:</w:t>
      </w:r>
      <w:r w:rsidRPr="004D0DAA">
        <w:tab/>
        <w:t>If timer T3101 expires and the procedure was initiated by the network, the subsequent network behaviour with respect to the old PS resources is implementation dependent.</w:t>
      </w:r>
    </w:p>
    <w:p w14:paraId="4CCD6EB8" w14:textId="77777777" w:rsidR="00711444" w:rsidRPr="004D0DAA" w:rsidRDefault="00711444" w:rsidP="00711444">
      <w:pPr>
        <w:pStyle w:val="Heading4"/>
      </w:pPr>
      <w:bookmarkStart w:id="351" w:name="_Toc516669538"/>
      <w:r w:rsidRPr="004D0DAA">
        <w:t>8.9.2.3</w:t>
      </w:r>
      <w:r w:rsidRPr="004D0DAA">
        <w:tab/>
        <w:t>Rejection of the mobile station request</w:t>
      </w:r>
      <w:bookmarkEnd w:id="351"/>
    </w:p>
    <w:p w14:paraId="001D610A" w14:textId="77777777" w:rsidR="00711444" w:rsidRPr="004D0DAA" w:rsidRDefault="00711444" w:rsidP="00711444">
      <w:r w:rsidRPr="004D0DAA">
        <w:t>If no dedicated channel is available for assignment, the network may send to the mobile station an IMMEDIATE ASSIGNMENT REJECT message encapsulated in a PACKET CS COMMAND message.</w:t>
      </w:r>
    </w:p>
    <w:p w14:paraId="02206818" w14:textId="77777777" w:rsidR="00711444" w:rsidRPr="004D0DAA" w:rsidRDefault="00711444" w:rsidP="00711444">
      <w:r w:rsidRPr="004D0DAA">
        <w:t>On receipt of the encapsulated IMMEDIATE ASSIGNMENT REJECT message the mobile station shall stop sending PACKET CS REQUEST messages, starts timer T3122 with the indicated value ("wait indication" information element, specified in 3GPP TS 44.018) and continue in packet transfer mode.</w:t>
      </w:r>
    </w:p>
    <w:p w14:paraId="304621AF" w14:textId="77777777" w:rsidR="00711444" w:rsidRPr="004D0DAA" w:rsidRDefault="00711444" w:rsidP="00711444">
      <w:r w:rsidRPr="004D0DAA">
        <w:t>The behaviour of the mobile station while timer T3122 is running is specified in 3GPP TS 44.018.</w:t>
      </w:r>
    </w:p>
    <w:p w14:paraId="0D870AEF" w14:textId="77777777" w:rsidR="00711444" w:rsidRPr="004D0DAA" w:rsidRDefault="00711444" w:rsidP="00711444">
      <w:pPr>
        <w:pStyle w:val="Heading3"/>
      </w:pPr>
      <w:bookmarkStart w:id="352" w:name="_Toc516669539"/>
      <w:r w:rsidRPr="004D0DAA">
        <w:t>8.9.3</w:t>
      </w:r>
      <w:r w:rsidRPr="004D0DAA">
        <w:tab/>
        <w:t>(void)</w:t>
      </w:r>
      <w:bookmarkEnd w:id="352"/>
    </w:p>
    <w:p w14:paraId="10BB3AA5" w14:textId="77777777" w:rsidR="00711444" w:rsidRPr="004D0DAA" w:rsidRDefault="00711444" w:rsidP="00711444">
      <w:pPr>
        <w:pStyle w:val="Heading3"/>
      </w:pPr>
      <w:bookmarkStart w:id="353" w:name="_Toc516669540"/>
      <w:r w:rsidRPr="004D0DAA">
        <w:t>8.9.4</w:t>
      </w:r>
      <w:r w:rsidRPr="004D0DAA">
        <w:tab/>
        <w:t>Abnormal cases</w:t>
      </w:r>
      <w:bookmarkEnd w:id="353"/>
    </w:p>
    <w:p w14:paraId="79C59688" w14:textId="77777777" w:rsidR="00711444" w:rsidRPr="004D0DAA" w:rsidRDefault="00711444" w:rsidP="00711444">
      <w:pPr>
        <w:pStyle w:val="Heading4"/>
      </w:pPr>
      <w:bookmarkStart w:id="354" w:name="_Toc516669541"/>
      <w:r w:rsidRPr="004D0DAA">
        <w:t>8.9.4.1</w:t>
      </w:r>
      <w:r w:rsidRPr="004D0DAA">
        <w:tab/>
        <w:t>RR connection establishment initiated by the mobile station</w:t>
      </w:r>
      <w:bookmarkEnd w:id="354"/>
    </w:p>
    <w:p w14:paraId="2C2CC5A6" w14:textId="77777777" w:rsidR="00711444" w:rsidRPr="004D0DAA" w:rsidRDefault="00711444" w:rsidP="00711444">
      <w:r w:rsidRPr="004D0DAA">
        <w:t>If a failure occurs on the mobile station side before the successful establishment of the main signalling link, the allocated channels are released; the subsequent behaviour of the mobile station depends on the type of failure and previous actions:</w:t>
      </w:r>
    </w:p>
    <w:p w14:paraId="4CA73244" w14:textId="77777777" w:rsidR="00711444" w:rsidRPr="004D0DAA" w:rsidRDefault="00711444" w:rsidP="00711444">
      <w:pPr>
        <w:pStyle w:val="B1"/>
      </w:pPr>
      <w:r w:rsidRPr="004D0DAA">
        <w:t>-</w:t>
      </w:r>
      <w:r w:rsidRPr="004D0DAA">
        <w:tab/>
        <w:t xml:space="preserve">If the radio resources have been dropped before the network has a chance to respond to the PACKET CS REQUEST, the network shall abort the current DTM procedure. </w:t>
      </w:r>
    </w:p>
    <w:p w14:paraId="4540470D" w14:textId="77777777" w:rsidR="00711444" w:rsidRPr="004D0DAA" w:rsidRDefault="00711444" w:rsidP="00711444">
      <w:pPr>
        <w:pStyle w:val="B1"/>
      </w:pPr>
      <w:r w:rsidRPr="004D0DAA">
        <w:t>-</w:t>
      </w:r>
      <w:r w:rsidRPr="004D0DAA">
        <w:tab/>
        <w:t>If the mobile station does not receive the PACKET CS COMMAND message after it has sent a corresponding PACKET CS REQUEST message (i.e. expiry of timer T3196), the mobile station shall perform an abnormal release with the RR connection establishment retry (see sub-clause 8.7.4).</w:t>
      </w:r>
    </w:p>
    <w:p w14:paraId="4DF28A39" w14:textId="77777777" w:rsidR="00711444" w:rsidRPr="004D0DAA" w:rsidRDefault="00711444" w:rsidP="00711444">
      <w:pPr>
        <w:pStyle w:val="B1"/>
      </w:pPr>
      <w:r w:rsidRPr="004D0DAA">
        <w:t>-</w:t>
      </w:r>
      <w:r w:rsidRPr="004D0DAA">
        <w:tab/>
        <w:t>If the mobile station receives the DTM ASSIGNMENT COMMAND or the IMMEDIATE ASSIGNMENT message specifying frequencies that are not all in one frequency band then the mobile station shall perform an abnormal release with RR connection establishment retry (see sub-clause 8.7.4).</w:t>
      </w:r>
    </w:p>
    <w:p w14:paraId="6CAD9800" w14:textId="77777777" w:rsidR="00711444" w:rsidRPr="004D0DAA" w:rsidRDefault="00711444" w:rsidP="00711444">
      <w:pPr>
        <w:pStyle w:val="B1"/>
      </w:pPr>
      <w:r w:rsidRPr="004D0DAA">
        <w:lastRenderedPageBreak/>
        <w:t>-</w:t>
      </w:r>
      <w:r w:rsidRPr="004D0DAA">
        <w:tab/>
        <w:t>If the mobile station receives the DTM ASSIGNMENT COMMAND or the IMMEDIATE ASSIGNMENT message specifying a frequency that is in a frequency band not supported by the mobile station then the mobile station shall perform an abnormal release with RR connection establishment retry (see sub-clause 8.7.4).</w:t>
      </w:r>
    </w:p>
    <w:p w14:paraId="5AAD3C66" w14:textId="77777777" w:rsidR="00711444" w:rsidRPr="004D0DAA" w:rsidRDefault="00711444" w:rsidP="00711444">
      <w:pPr>
        <w:pStyle w:val="B1"/>
      </w:pPr>
      <w:r w:rsidRPr="004D0DAA">
        <w:t>-</w:t>
      </w:r>
      <w:r w:rsidRPr="004D0DAA">
        <w:tab/>
        <w:t>If the information in the DTM ASSIGNMENT COMMAND message does not properly specify an uplink PDCH or specifies a multislot configuration that the mobile station does not support (see 3GPP TS 45.002), the mobile station shall perform an abnormal release with RR connection establishment retry (see sub-clause 8.7.4).</w:t>
      </w:r>
    </w:p>
    <w:p w14:paraId="42F2ED65" w14:textId="77777777" w:rsidR="00711444" w:rsidRPr="004D0DAA" w:rsidRDefault="00711444" w:rsidP="00711444">
      <w:pPr>
        <w:pStyle w:val="B1"/>
      </w:pPr>
      <w:r w:rsidRPr="004D0DAA">
        <w:t>-</w:t>
      </w:r>
      <w:r w:rsidRPr="004D0DAA">
        <w:tab/>
        <w:t>If the information in the DTM ASSIGNMENT COMMAND message does not properly specify an uplink and downlink PDCH or specifies a multislot configuration that the mobile station does not support (see 3GPP TS 45.002), the mobile station shall perform an abnormal release with RR connection establishment retry (see sub-clause 8.7.4).</w:t>
      </w:r>
    </w:p>
    <w:p w14:paraId="7C8A1B72" w14:textId="77777777" w:rsidR="00711444" w:rsidRPr="004D0DAA" w:rsidRDefault="00711444" w:rsidP="00711444">
      <w:pPr>
        <w:pStyle w:val="B1"/>
      </w:pPr>
      <w:r w:rsidRPr="004D0DAA">
        <w:t>-</w:t>
      </w:r>
      <w:r w:rsidRPr="004D0DAA">
        <w:tab/>
        <w:t>If a failure in the assignment message (e.g. DTM ASSIGNMENT COMMAND or the IMMEDIATE ASSIGNMENT message) is due to any other reason, the mobile station shall perform an abnormal release with RR connection establishment retry (see sub-clause 8.7.4).</w:t>
      </w:r>
    </w:p>
    <w:p w14:paraId="594BE9DC" w14:textId="77777777" w:rsidR="00711444" w:rsidRPr="004D0DAA" w:rsidRDefault="00711444" w:rsidP="00711444">
      <w:pPr>
        <w:pStyle w:val="B1"/>
      </w:pPr>
      <w:r w:rsidRPr="004D0DAA">
        <w:t>-</w:t>
      </w:r>
      <w:r w:rsidRPr="004D0DAA">
        <w:tab/>
        <w:t>If the mobile fails to establish the main signalling link, it shall perform an abnormal release with RR connection establishment retry (see sub-clause 8.7.4).</w:t>
      </w:r>
    </w:p>
    <w:p w14:paraId="50578A17" w14:textId="77777777" w:rsidR="00711444" w:rsidRPr="004D0DAA" w:rsidRDefault="00711444" w:rsidP="00711444">
      <w:pPr>
        <w:pStyle w:val="Heading4"/>
      </w:pPr>
      <w:bookmarkStart w:id="355" w:name="_Toc516669542"/>
      <w:r w:rsidRPr="004D0DAA">
        <w:t>8.9.4.2</w:t>
      </w:r>
      <w:r w:rsidRPr="004D0DAA">
        <w:tab/>
        <w:t>RR connection establishment initiated by the network</w:t>
      </w:r>
      <w:bookmarkEnd w:id="355"/>
    </w:p>
    <w:p w14:paraId="49598725" w14:textId="77777777" w:rsidR="00711444" w:rsidRPr="004D0DAA" w:rsidRDefault="00711444" w:rsidP="00711444">
      <w:r w:rsidRPr="004D0DAA">
        <w:t>If a failure occurs on the mobile station side before the successful establishment of the main signalling link, the allocated channels are released; the subsequent behaviour of the mobile station depends on the type of failure and previous actions:</w:t>
      </w:r>
    </w:p>
    <w:p w14:paraId="0AA27AC6" w14:textId="77777777" w:rsidR="00711444" w:rsidRPr="004D0DAA" w:rsidRDefault="00711444" w:rsidP="00711444">
      <w:pPr>
        <w:pStyle w:val="B1"/>
      </w:pPr>
      <w:r w:rsidRPr="004D0DAA">
        <w:t>-</w:t>
      </w:r>
      <w:r w:rsidRPr="004D0DAA">
        <w:tab/>
        <w:t>If the information in the DTM ASSIGNMENT COMMAND message does not properly specify an uplink PDCH or specifies a multislot configuration that the mobile station does not support (see 3GPP TS 45.002), the mobile station shall perform an abnormal release with access retry (see sub-clause 8.7.2).</w:t>
      </w:r>
    </w:p>
    <w:p w14:paraId="164CB9BA" w14:textId="77777777" w:rsidR="00711444" w:rsidRPr="004D0DAA" w:rsidRDefault="00711444" w:rsidP="00711444">
      <w:pPr>
        <w:pStyle w:val="B1"/>
      </w:pPr>
      <w:r w:rsidRPr="004D0DAA">
        <w:t>-</w:t>
      </w:r>
      <w:r w:rsidRPr="004D0DAA">
        <w:tab/>
        <w:t>If the information in the DTM ASSIGNMENT COMMAND message does not properly specify an uplink and downlink PDCH, the mobile station shall perform an abnormal release with access retry (see sub-clause 8.7.2).</w:t>
      </w:r>
    </w:p>
    <w:p w14:paraId="187DC61A" w14:textId="77777777" w:rsidR="00711444" w:rsidRPr="004D0DAA" w:rsidRDefault="00711444" w:rsidP="00711444">
      <w:pPr>
        <w:pStyle w:val="B1"/>
      </w:pPr>
      <w:r w:rsidRPr="004D0DAA">
        <w:t>-</w:t>
      </w:r>
      <w:r w:rsidRPr="004D0DAA">
        <w:tab/>
        <w:t>If the mobile station has been reassigned a TBF in EGPRS TBF mode and the MS does not support EGPRS, or has been reassigned an MCS (e.g. 8-PSK in the uplink) that the MS does not support, the MS shall enter to dedicated mode</w:t>
      </w:r>
      <w:r w:rsidRPr="004D0DAA">
        <w:rPr>
          <w:sz w:val="16"/>
        </w:rPr>
        <w:t xml:space="preserve"> </w:t>
      </w:r>
      <w:r w:rsidRPr="004D0DAA">
        <w:t>and notify higher layers (TBF establishment failure).</w:t>
      </w:r>
    </w:p>
    <w:p w14:paraId="2C258965" w14:textId="77777777" w:rsidR="00711444" w:rsidRPr="004D0DAA" w:rsidRDefault="00711444" w:rsidP="00711444">
      <w:pPr>
        <w:pStyle w:val="B1"/>
      </w:pPr>
      <w:r w:rsidRPr="004D0DAA">
        <w:t>-</w:t>
      </w:r>
      <w:r w:rsidRPr="004D0DAA">
        <w:tab/>
        <w:t>On expiry of timer T3190, the mobile station shall enter dedicated mode.</w:t>
      </w:r>
    </w:p>
    <w:p w14:paraId="3714B924" w14:textId="77777777" w:rsidR="00711444" w:rsidRPr="004D0DAA" w:rsidRDefault="00711444" w:rsidP="00711444">
      <w:pPr>
        <w:pStyle w:val="B1"/>
      </w:pPr>
      <w:r w:rsidRPr="004D0DAA">
        <w:t>-</w:t>
      </w:r>
      <w:r w:rsidRPr="004D0DAA">
        <w:tab/>
        <w:t>If a failure in the DTM ASSIGNMENT COMMAND message is due to any other reason, the mobile station shall return to packet idle mode.</w:t>
      </w:r>
    </w:p>
    <w:p w14:paraId="310F5E90" w14:textId="77777777" w:rsidR="00711444" w:rsidRPr="004D0DAA" w:rsidRDefault="00711444" w:rsidP="00711444">
      <w:pPr>
        <w:pStyle w:val="B1"/>
      </w:pPr>
      <w:r w:rsidRPr="004D0DAA">
        <w:t>-</w:t>
      </w:r>
      <w:r w:rsidRPr="004D0DAA">
        <w:tab/>
        <w:t>If there is a failure in the IMMEDIATE ASSIGNMENT message the mobile station shall continue in packet transfer mode.</w:t>
      </w:r>
    </w:p>
    <w:p w14:paraId="35AB94E7" w14:textId="77777777" w:rsidR="00711444" w:rsidRPr="004D0DAA" w:rsidRDefault="00711444" w:rsidP="00711444">
      <w:pPr>
        <w:pStyle w:val="B1"/>
      </w:pPr>
      <w:r w:rsidRPr="004D0DAA">
        <w:t>-</w:t>
      </w:r>
      <w:r w:rsidRPr="004D0DAA">
        <w:tab/>
        <w:t>If the mobile fails to establish the main signalling link, it shall perform an abnormal release with RR connection establishment retry (see sub-clause 8.7.4).</w:t>
      </w:r>
    </w:p>
    <w:p w14:paraId="127C2C8D" w14:textId="77777777" w:rsidR="00711444" w:rsidRPr="004D0DAA" w:rsidRDefault="00711444" w:rsidP="00711444">
      <w:pPr>
        <w:pStyle w:val="Heading2"/>
      </w:pPr>
      <w:bookmarkStart w:id="356" w:name="_Toc516669543"/>
      <w:r w:rsidRPr="004D0DAA">
        <w:t>8.10</w:t>
      </w:r>
      <w:r w:rsidRPr="004D0DAA">
        <w:tab/>
        <w:t>Packet Switched Handover procedure</w:t>
      </w:r>
      <w:bookmarkEnd w:id="356"/>
    </w:p>
    <w:p w14:paraId="40C5CD67" w14:textId="77777777" w:rsidR="00711444" w:rsidRPr="004D0DAA" w:rsidRDefault="00711444" w:rsidP="00711444">
      <w:pPr>
        <w:pStyle w:val="Heading3"/>
      </w:pPr>
      <w:bookmarkStart w:id="357" w:name="_Toc516669544"/>
      <w:r w:rsidRPr="004D0DAA">
        <w:t>8.10.1</w:t>
      </w:r>
      <w:r w:rsidRPr="004D0DAA">
        <w:tab/>
        <w:t>General</w:t>
      </w:r>
      <w:bookmarkEnd w:id="357"/>
    </w:p>
    <w:p w14:paraId="7F65BA63" w14:textId="77777777" w:rsidR="00711444" w:rsidRPr="004D0DAA" w:rsidRDefault="00711444" w:rsidP="00711444">
      <w:r w:rsidRPr="004D0DAA">
        <w:t xml:space="preserve">This procedure is only applicable in packet transfer mode when both the mobile station and the network support PS handover. The support of PS handover procedures requires the support of PFC procedures in both the network and the mobile station. In packet transfer mode, a mobile station that supports PS handover may receive a PS HANDOVER COMMAND message from the BSS indicating the resources to be used in the new cell. </w:t>
      </w:r>
    </w:p>
    <w:p w14:paraId="7CAC5D39" w14:textId="77777777" w:rsidR="00711444" w:rsidRPr="004D0DAA" w:rsidRDefault="00711444" w:rsidP="00711444">
      <w:r w:rsidRPr="004D0DAA">
        <w:t xml:space="preserve">The support of the PS handover procedures is optional for the mobile station and the network and is indicated in the </w:t>
      </w:r>
      <w:r w:rsidRPr="004D0DAA">
        <w:rPr>
          <w:i/>
          <w:iCs/>
        </w:rPr>
        <w:t>MS Radio Access Capability</w:t>
      </w:r>
      <w:r w:rsidRPr="004D0DAA">
        <w:t xml:space="preserve"> IE. For an E-UTRAN capable multi-RAT mobile station, the support of PS handover to E-UTRAN is indicated in the "GERAN to E-UTRAN support in GERAN packet transfer mode" field within the </w:t>
      </w:r>
      <w:r w:rsidRPr="004D0DAA">
        <w:rPr>
          <w:i/>
          <w:iCs/>
        </w:rPr>
        <w:t>MS Radio Access Capability</w:t>
      </w:r>
      <w:r w:rsidRPr="004D0DAA">
        <w:t xml:space="preserve"> IE (see 3GPP TS 24.008). A mobile station supporting the PS handover procedures shall also support the extended RLC/MAC control message segmentation as defined in 9.1.12a.</w:t>
      </w:r>
    </w:p>
    <w:p w14:paraId="7B815E3F" w14:textId="77777777" w:rsidR="00711444" w:rsidRPr="004D0DAA" w:rsidRDefault="00711444" w:rsidP="00711444">
      <w:pPr>
        <w:pStyle w:val="Heading3"/>
      </w:pPr>
      <w:bookmarkStart w:id="358" w:name="_Toc516669545"/>
      <w:r w:rsidRPr="004D0DAA">
        <w:lastRenderedPageBreak/>
        <w:t>8.10.2</w:t>
      </w:r>
      <w:r w:rsidRPr="004D0DAA">
        <w:tab/>
        <w:t>Neighbour Cell System Information Distribution</w:t>
      </w:r>
      <w:bookmarkEnd w:id="358"/>
    </w:p>
    <w:p w14:paraId="2D09918C" w14:textId="77777777" w:rsidR="00711444" w:rsidRPr="004D0DAA" w:rsidRDefault="00711444" w:rsidP="00711444">
      <w:r w:rsidRPr="004D0DAA">
        <w:t xml:space="preserve">For the case of PS handover from </w:t>
      </w:r>
      <w:r w:rsidRPr="004D0DAA">
        <w:rPr>
          <w:i/>
          <w:iCs/>
        </w:rPr>
        <w:t>A/Gb mode</w:t>
      </w:r>
      <w:r w:rsidRPr="004D0DAA">
        <w:t xml:space="preserve"> to </w:t>
      </w:r>
      <w:r w:rsidRPr="004D0DAA">
        <w:rPr>
          <w:i/>
          <w:iCs/>
        </w:rPr>
        <w:t>A/Gb mode</w:t>
      </w:r>
      <w:r w:rsidRPr="004D0DAA">
        <w:t xml:space="preserve"> the network shall send the mobile station PACKET NEIGHBOUR CELL DATA messages containing PSI messages (PBCCH allocated in new cell) or SI messages (PBCCH not allocated in new cell) corresponding to the new cell prior to sending it the PS HANDOVER COMMAND message directing it to that cell. PACKET NEIGHBOUR CELL DATA messages are received on PACCH as described in sub-clause 8.8.1. The minimum set of SI and PSI messages to be sent in PACKET NEIGHBOUR CELL DATA messages is as follows:</w:t>
      </w:r>
    </w:p>
    <w:p w14:paraId="632168AC" w14:textId="77777777" w:rsidR="00711444" w:rsidRPr="004D0DAA" w:rsidRDefault="00711444" w:rsidP="00711444">
      <w:pPr>
        <w:pStyle w:val="B1"/>
      </w:pPr>
      <w:r w:rsidRPr="004D0DAA">
        <w:t>-</w:t>
      </w:r>
      <w:r w:rsidRPr="004D0DAA">
        <w:tab/>
        <w:t>If PBCCH is not allocated in the new cell then SI3, SI1 (if present in the new cell) and SI13 shall be sent.</w:t>
      </w:r>
    </w:p>
    <w:p w14:paraId="13B96CE6" w14:textId="77777777" w:rsidR="00711444" w:rsidRPr="004D0DAA" w:rsidRDefault="00711444" w:rsidP="00711444">
      <w:pPr>
        <w:pStyle w:val="B1"/>
      </w:pPr>
      <w:r w:rsidRPr="004D0DAA">
        <w:t>-</w:t>
      </w:r>
      <w:r w:rsidRPr="004D0DAA">
        <w:tab/>
        <w:t>If PBCCH is allocated in the new cell then PSI1, a consistent set of PSI2 messages and PSI14 shall be sent.</w:t>
      </w:r>
    </w:p>
    <w:p w14:paraId="4B9361EF" w14:textId="77777777" w:rsidR="00711444" w:rsidRPr="004D0DAA" w:rsidRDefault="00711444" w:rsidP="00711444">
      <w:r w:rsidRPr="004D0DAA">
        <w:t xml:space="preserve">For the case of PS handover from </w:t>
      </w:r>
      <w:r w:rsidRPr="004D0DAA">
        <w:rPr>
          <w:i/>
          <w:iCs/>
        </w:rPr>
        <w:t>Iu mode</w:t>
      </w:r>
      <w:r w:rsidRPr="004D0DAA">
        <w:t xml:space="preserve"> to </w:t>
      </w:r>
      <w:r w:rsidRPr="004D0DAA">
        <w:rPr>
          <w:i/>
          <w:iCs/>
        </w:rPr>
        <w:t>A/Gb mode</w:t>
      </w:r>
      <w:r w:rsidRPr="004D0DAA">
        <w:t xml:space="preserve"> or from </w:t>
      </w:r>
      <w:r w:rsidRPr="004D0DAA">
        <w:rPr>
          <w:i/>
          <w:iCs/>
        </w:rPr>
        <w:t>GAN mode</w:t>
      </w:r>
      <w:r w:rsidRPr="004D0DAA">
        <w:t xml:space="preserve"> to </w:t>
      </w:r>
      <w:r w:rsidRPr="004D0DAA">
        <w:rPr>
          <w:i/>
          <w:iCs/>
        </w:rPr>
        <w:t>A/Gb mode</w:t>
      </w:r>
      <w:r w:rsidRPr="004D0DAA">
        <w:t xml:space="preserve"> or from </w:t>
      </w:r>
      <w:r w:rsidRPr="004D0DAA">
        <w:rPr>
          <w:iCs/>
        </w:rPr>
        <w:t>E-UTRAN</w:t>
      </w:r>
      <w:r w:rsidRPr="004D0DAA">
        <w:rPr>
          <w:i/>
          <w:iCs/>
        </w:rPr>
        <w:t xml:space="preserve"> </w:t>
      </w:r>
      <w:r w:rsidRPr="004D0DAA">
        <w:t xml:space="preserve"> to </w:t>
      </w:r>
      <w:r w:rsidRPr="004D0DAA">
        <w:rPr>
          <w:i/>
          <w:iCs/>
        </w:rPr>
        <w:t>A/Gb mode</w:t>
      </w:r>
      <w:r w:rsidRPr="004D0DAA">
        <w:t xml:space="preserve"> the network shall send the mobile station the same set of PSI messages or SI messages corresponding to the new cell as for the case of PS handover from </w:t>
      </w:r>
      <w:r w:rsidRPr="004D0DAA">
        <w:rPr>
          <w:i/>
          <w:iCs/>
        </w:rPr>
        <w:t>A/Gb mode</w:t>
      </w:r>
      <w:r w:rsidRPr="004D0DAA">
        <w:t xml:space="preserve"> to </w:t>
      </w:r>
      <w:r w:rsidRPr="004D0DAA">
        <w:rPr>
          <w:i/>
          <w:iCs/>
        </w:rPr>
        <w:t>A/Gb mode</w:t>
      </w:r>
      <w:r w:rsidRPr="004D0DAA">
        <w:t xml:space="preserve">. In this case the network sends the mobile station the system information corresponding to the new cell within the Handover from UTRAN Command message as described in 3GPP TS 25.331 for the case of PS handover from </w:t>
      </w:r>
      <w:r w:rsidRPr="004D0DAA">
        <w:rPr>
          <w:i/>
          <w:iCs/>
        </w:rPr>
        <w:t>Iu mode</w:t>
      </w:r>
      <w:r w:rsidRPr="004D0DAA">
        <w:t xml:space="preserve"> to </w:t>
      </w:r>
      <w:r w:rsidRPr="004D0DAA">
        <w:rPr>
          <w:i/>
          <w:iCs/>
        </w:rPr>
        <w:t>A/Gb mode</w:t>
      </w:r>
      <w:r w:rsidRPr="004D0DAA">
        <w:t xml:space="preserve"> or within the GA-PSR HANDOVER COMMAND message as described in 3GPP TS 44.318 [42] for the case of PS handover from </w:t>
      </w:r>
      <w:r w:rsidRPr="004D0DAA">
        <w:rPr>
          <w:i/>
          <w:iCs/>
        </w:rPr>
        <w:t>GAN mode</w:t>
      </w:r>
      <w:r w:rsidRPr="004D0DAA">
        <w:t xml:space="preserve"> to </w:t>
      </w:r>
      <w:r w:rsidRPr="004D0DAA">
        <w:rPr>
          <w:i/>
          <w:iCs/>
        </w:rPr>
        <w:t xml:space="preserve">A/Gb mode </w:t>
      </w:r>
      <w:r w:rsidRPr="004D0DAA">
        <w:t xml:space="preserve">or within the </w:t>
      </w:r>
      <w:r w:rsidRPr="004D0DAA">
        <w:rPr>
          <w:i/>
          <w:iCs/>
        </w:rPr>
        <w:t>MobilityFromEUTRACommand</w:t>
      </w:r>
      <w:r w:rsidRPr="004D0DAA">
        <w:t xml:space="preserve"> message</w:t>
      </w:r>
      <w:r w:rsidRPr="004D0DAA">
        <w:rPr>
          <w:i/>
          <w:iCs/>
        </w:rPr>
        <w:t xml:space="preserve"> </w:t>
      </w:r>
      <w:r w:rsidRPr="004D0DAA">
        <w:t xml:space="preserve">as described in 3GPP TS 36.331 [45] for the case of PS handover from </w:t>
      </w:r>
      <w:r w:rsidRPr="004D0DAA">
        <w:rPr>
          <w:i/>
          <w:iCs/>
        </w:rPr>
        <w:t>E-UTRAN</w:t>
      </w:r>
      <w:r w:rsidRPr="004D0DAA">
        <w:t xml:space="preserve"> to </w:t>
      </w:r>
      <w:r w:rsidRPr="004D0DAA">
        <w:rPr>
          <w:i/>
          <w:iCs/>
        </w:rPr>
        <w:t>A/Gb mode</w:t>
      </w:r>
      <w:r w:rsidRPr="004D0DAA">
        <w:t>.</w:t>
      </w:r>
    </w:p>
    <w:p w14:paraId="7020F85F" w14:textId="77777777" w:rsidR="00711444" w:rsidRPr="004D0DAA" w:rsidRDefault="00711444" w:rsidP="00711444">
      <w:r w:rsidRPr="004D0DAA">
        <w:t xml:space="preserve">For the case of PS handover from </w:t>
      </w:r>
      <w:r w:rsidRPr="004D0DAA">
        <w:rPr>
          <w:i/>
          <w:iCs/>
        </w:rPr>
        <w:t>A/Gb mode</w:t>
      </w:r>
      <w:r w:rsidRPr="004D0DAA">
        <w:t xml:space="preserve"> to </w:t>
      </w:r>
      <w:r w:rsidRPr="004D0DAA">
        <w:rPr>
          <w:i/>
          <w:iCs/>
        </w:rPr>
        <w:t xml:space="preserve">Iu mode </w:t>
      </w:r>
      <w:r w:rsidRPr="004D0DAA">
        <w:t>or from</w:t>
      </w:r>
      <w:r w:rsidRPr="004D0DAA">
        <w:rPr>
          <w:i/>
          <w:iCs/>
        </w:rPr>
        <w:t xml:space="preserve"> A/Gb mode</w:t>
      </w:r>
      <w:r w:rsidRPr="004D0DAA">
        <w:t xml:space="preserve"> to</w:t>
      </w:r>
      <w:r w:rsidRPr="004D0DAA">
        <w:rPr>
          <w:i/>
          <w:iCs/>
        </w:rPr>
        <w:t xml:space="preserve"> GAN mode </w:t>
      </w:r>
      <w:r w:rsidRPr="004D0DAA">
        <w:t>or</w:t>
      </w:r>
      <w:r w:rsidRPr="004D0DAA">
        <w:rPr>
          <w:i/>
          <w:iCs/>
        </w:rPr>
        <w:t xml:space="preserve"> </w:t>
      </w:r>
      <w:r w:rsidRPr="004D0DAA">
        <w:t>from</w:t>
      </w:r>
      <w:r w:rsidRPr="004D0DAA">
        <w:rPr>
          <w:i/>
          <w:iCs/>
        </w:rPr>
        <w:t xml:space="preserve"> A/Gb mode</w:t>
      </w:r>
      <w:r w:rsidRPr="004D0DAA">
        <w:t xml:space="preserve"> to</w:t>
      </w:r>
      <w:r w:rsidRPr="004D0DAA">
        <w:rPr>
          <w:i/>
          <w:iCs/>
        </w:rPr>
        <w:t xml:space="preserve"> </w:t>
      </w:r>
      <w:r w:rsidRPr="004D0DAA">
        <w:rPr>
          <w:iCs/>
        </w:rPr>
        <w:t>E-UTRAN</w:t>
      </w:r>
      <w:r w:rsidRPr="004D0DAA">
        <w:t xml:space="preserve">, system information corresponding to the new cell is sent to the mobile station in the new cell as described in 3GPP TS 25.331 for PS handover to </w:t>
      </w:r>
      <w:r w:rsidRPr="004D0DAA">
        <w:rPr>
          <w:i/>
          <w:iCs/>
        </w:rPr>
        <w:t>Iu mode</w:t>
      </w:r>
      <w:r w:rsidRPr="004D0DAA">
        <w:t xml:space="preserve"> or as described in 3GPP TS 44.318 [42] for PS handover to </w:t>
      </w:r>
      <w:r w:rsidRPr="004D0DAA">
        <w:rPr>
          <w:i/>
          <w:iCs/>
        </w:rPr>
        <w:t xml:space="preserve">GAN mode </w:t>
      </w:r>
      <w:r w:rsidRPr="004D0DAA">
        <w:t xml:space="preserve">or as described in 3GPP TS 36.331 [45] for PS handover to </w:t>
      </w:r>
      <w:r w:rsidRPr="004D0DAA">
        <w:rPr>
          <w:iCs/>
        </w:rPr>
        <w:t>E-UTRAN</w:t>
      </w:r>
      <w:r w:rsidRPr="004D0DAA">
        <w:t>.</w:t>
      </w:r>
    </w:p>
    <w:p w14:paraId="3BE53997" w14:textId="77777777" w:rsidR="00711444" w:rsidRPr="004D0DAA" w:rsidRDefault="00711444" w:rsidP="00711444">
      <w:pPr>
        <w:pStyle w:val="Heading3"/>
      </w:pPr>
      <w:bookmarkStart w:id="359" w:name="_Toc516669546"/>
      <w:r w:rsidRPr="004D0DAA">
        <w:t>8.10.3</w:t>
      </w:r>
      <w:r w:rsidRPr="004D0DAA">
        <w:tab/>
        <w:t>PS Handover at the network side</w:t>
      </w:r>
      <w:bookmarkEnd w:id="359"/>
    </w:p>
    <w:p w14:paraId="63DF310B" w14:textId="77777777" w:rsidR="00711444" w:rsidRPr="004D0DAA" w:rsidRDefault="00711444" w:rsidP="00711444">
      <w:pPr>
        <w:pStyle w:val="Heading4"/>
      </w:pPr>
      <w:bookmarkStart w:id="360" w:name="_Toc516669547"/>
      <w:r w:rsidRPr="004D0DAA">
        <w:t>8.10.3.1</w:t>
      </w:r>
      <w:r w:rsidRPr="004D0DAA">
        <w:tab/>
        <w:t>Initiation of PS Handover Procedure</w:t>
      </w:r>
      <w:bookmarkEnd w:id="360"/>
      <w:r w:rsidRPr="004D0DAA">
        <w:t xml:space="preserve"> </w:t>
      </w:r>
    </w:p>
    <w:p w14:paraId="04694F03" w14:textId="77777777" w:rsidR="00711444" w:rsidRPr="004D0DAA" w:rsidRDefault="00711444" w:rsidP="00711444">
      <w:r w:rsidRPr="004D0DAA">
        <w:t>The source BSS may initiate the PS handover procedure as a result of various trigger conditions such as, but not restricted to, the following:</w:t>
      </w:r>
    </w:p>
    <w:p w14:paraId="5708DBAA" w14:textId="77777777" w:rsidR="00711444" w:rsidRPr="004D0DAA" w:rsidRDefault="00711444" w:rsidP="00711444">
      <w:pPr>
        <w:pStyle w:val="B1"/>
      </w:pPr>
      <w:r w:rsidRPr="004D0DAA">
        <w:t>-</w:t>
      </w:r>
      <w:r w:rsidRPr="004D0DAA">
        <w:tab/>
        <w:t xml:space="preserve">Upon receiving a measurement report or a PACKET CELL CHANGE NOTIFICATION message from a mobile station operating in </w:t>
      </w:r>
      <w:r w:rsidRPr="004D0DAA">
        <w:rPr>
          <w:i/>
        </w:rPr>
        <w:t>A/Gb mode</w:t>
      </w:r>
      <w:r w:rsidRPr="004D0DAA">
        <w:t xml:space="preserve">. </w:t>
      </w:r>
    </w:p>
    <w:p w14:paraId="09DFDDBB" w14:textId="77777777" w:rsidR="00711444" w:rsidRPr="004D0DAA" w:rsidRDefault="00711444" w:rsidP="00711444">
      <w:pPr>
        <w:pStyle w:val="B1"/>
      </w:pPr>
      <w:r w:rsidRPr="004D0DAA">
        <w:t>-</w:t>
      </w:r>
      <w:r w:rsidRPr="004D0DAA">
        <w:tab/>
        <w:t>Upon determining that resource limitations exist for the serving cell.</w:t>
      </w:r>
    </w:p>
    <w:p w14:paraId="6C4A01A8" w14:textId="77777777" w:rsidR="00711444" w:rsidRPr="004D0DAA" w:rsidRDefault="00711444" w:rsidP="00711444">
      <w:pPr>
        <w:pStyle w:val="B1"/>
      </w:pPr>
      <w:r w:rsidRPr="004D0DAA">
        <w:t>-</w:t>
      </w:r>
      <w:r w:rsidRPr="004D0DAA">
        <w:tab/>
        <w:t xml:space="preserve">Upon receiving the </w:t>
      </w:r>
      <w:r w:rsidRPr="004D0DAA">
        <w:rPr>
          <w:i/>
          <w:iCs/>
        </w:rPr>
        <w:t>Service UTRAN CCO</w:t>
      </w:r>
      <w:r w:rsidRPr="004D0DAA">
        <w:t xml:space="preserve"> IE from the SGSN indicating that a mobile station operating in </w:t>
      </w:r>
      <w:r w:rsidRPr="004D0DAA">
        <w:rPr>
          <w:i/>
        </w:rPr>
        <w:t>A/Gb mode</w:t>
      </w:r>
      <w:r w:rsidRPr="004D0DAA">
        <w:t xml:space="preserve"> would be better served in a cell supporting a different RAT.</w:t>
      </w:r>
    </w:p>
    <w:p w14:paraId="6E2E891B" w14:textId="77777777" w:rsidR="00711444" w:rsidRPr="004D0DAA" w:rsidRDefault="00711444" w:rsidP="00711444">
      <w:r w:rsidRPr="004D0DAA">
        <w:t xml:space="preserve">If the mobile station is not already in NC2 then the source BSS may order the mobile station to enter NC2 before initiating the PS handover procedure. For the normal case of PS handover the target RNC/BSS/GANC/eNB receives a network request to allocate resources required to perform a PS handover. For the optimized case of PS handover (applicable only for </w:t>
      </w:r>
      <w:r w:rsidRPr="004D0DAA">
        <w:rPr>
          <w:i/>
          <w:iCs/>
        </w:rPr>
        <w:t>A/Gb mode</w:t>
      </w:r>
      <w:r w:rsidRPr="004D0DAA">
        <w:t xml:space="preserve"> to </w:t>
      </w:r>
      <w:r w:rsidRPr="004D0DAA">
        <w:rPr>
          <w:i/>
          <w:iCs/>
        </w:rPr>
        <w:t>A/Gb mode</w:t>
      </w:r>
      <w:r w:rsidRPr="004D0DAA">
        <w:t xml:space="preserve"> PS handover - see 3GPP TS 43.129) an SGSN request for the BSS to allocate resources is not required as the resources required to perform a PS handover are allocated autonomously by the BSS (i.e. without SGSN involvement).</w:t>
      </w:r>
    </w:p>
    <w:p w14:paraId="0A4ED36A" w14:textId="77777777" w:rsidR="00711444" w:rsidRPr="004D0DAA" w:rsidRDefault="00711444" w:rsidP="00711444">
      <w:pPr>
        <w:pStyle w:val="Heading4"/>
      </w:pPr>
      <w:bookmarkStart w:id="361" w:name="_Toc516669548"/>
      <w:r w:rsidRPr="004D0DAA">
        <w:t>8.10.3.2</w:t>
      </w:r>
      <w:r w:rsidRPr="004D0DAA">
        <w:tab/>
        <w:t>A/Gb to A/Gb PS Handover</w:t>
      </w:r>
      <w:bookmarkEnd w:id="361"/>
    </w:p>
    <w:p w14:paraId="0D112DB4" w14:textId="77777777" w:rsidR="00711444" w:rsidRPr="004D0DAA" w:rsidRDefault="00711444" w:rsidP="00711444">
      <w:r w:rsidRPr="004D0DAA">
        <w:t xml:space="preserve">For both the normal and optimized cases of PS handover from </w:t>
      </w:r>
      <w:r w:rsidRPr="004D0DAA">
        <w:rPr>
          <w:i/>
          <w:iCs/>
        </w:rPr>
        <w:t>A/Gb mode</w:t>
      </w:r>
      <w:r w:rsidRPr="004D0DAA">
        <w:t xml:space="preserve"> to </w:t>
      </w:r>
      <w:r w:rsidRPr="004D0DAA">
        <w:rPr>
          <w:i/>
          <w:iCs/>
        </w:rPr>
        <w:t>A/Gb mode</w:t>
      </w:r>
      <w:r w:rsidRPr="004D0DAA">
        <w:t xml:space="preserve"> the (source) BSS shall impose the following restrictions on RLC/MAC control plane corresponding to a mobile station for which the PS handover procedure is ongoing:</w:t>
      </w:r>
    </w:p>
    <w:p w14:paraId="6712FB99" w14:textId="77777777" w:rsidR="00711444" w:rsidRPr="004D0DAA" w:rsidRDefault="00711444" w:rsidP="00711444">
      <w:pPr>
        <w:pStyle w:val="B1"/>
      </w:pPr>
      <w:r w:rsidRPr="004D0DAA">
        <w:t>-</w:t>
      </w:r>
      <w:r w:rsidRPr="004D0DAA">
        <w:tab/>
        <w:t>All mobile station requests to establish new uplink TBFs shall be ignored and no new downlink TBFs shall be established.</w:t>
      </w:r>
    </w:p>
    <w:p w14:paraId="5E4B1909" w14:textId="77777777" w:rsidR="00711444" w:rsidRPr="004D0DAA" w:rsidRDefault="00711444" w:rsidP="00711444">
      <w:pPr>
        <w:pStyle w:val="B1"/>
      </w:pPr>
      <w:r w:rsidRPr="004D0DAA">
        <w:t>-</w:t>
      </w:r>
      <w:r w:rsidRPr="004D0DAA">
        <w:tab/>
        <w:t>The PS HANDOVER COMMAND message shall be sent using extended RLC/MAC control message segmentation (see sub-clause 9.1.12a) if three or more RLC/MAC control blocks are required to send the complete message.</w:t>
      </w:r>
    </w:p>
    <w:p w14:paraId="020C6329" w14:textId="77777777" w:rsidR="00711444" w:rsidRPr="004D0DAA" w:rsidRDefault="00711444" w:rsidP="00711444">
      <w:r w:rsidRPr="004D0DAA">
        <w:lastRenderedPageBreak/>
        <w:t>After sending the PS HANDOVER COMMAND to the MS, the source BSS shall continue to schedule opportunities for the mobile station to transmit an RLC/MAC control message, either by means of an existing uplink TBF, or by means of polling using an existing downlink TBF, for a period of time sufficiently long to allow the mobile station to transmit a PACKET CELL CHANGE FAILURE message (should a PS handover failure occur). During this period, the BSS may allocate fewer transmission opportunities than would otherwise be required according to the QoS requirements of the ongoing PFCs. No TBFs shall be released during this period except on receipt of a DELETE-BSS-PFC PDU from the SGSN.</w:t>
      </w:r>
    </w:p>
    <w:p w14:paraId="3044DD29" w14:textId="77777777" w:rsidR="00711444" w:rsidRPr="004D0DAA" w:rsidRDefault="00711444" w:rsidP="00711444">
      <w:r w:rsidRPr="004D0DAA">
        <w:t xml:space="preserve">For both the normal and optimized cases of PS handover from </w:t>
      </w:r>
      <w:r w:rsidRPr="004D0DAA">
        <w:rPr>
          <w:i/>
          <w:iCs/>
        </w:rPr>
        <w:t>A/Gb mode</w:t>
      </w:r>
      <w:r w:rsidRPr="004D0DAA">
        <w:t xml:space="preserve"> to </w:t>
      </w:r>
      <w:r w:rsidRPr="004D0DAA">
        <w:rPr>
          <w:i/>
          <w:iCs/>
        </w:rPr>
        <w:t>A/Gb mode</w:t>
      </w:r>
      <w:r w:rsidRPr="004D0DAA">
        <w:t xml:space="preserve"> the (target) BSS creates a complete PS HANDOVER COMMAND message that is sent to the mobile station in the old cell:</w:t>
      </w:r>
    </w:p>
    <w:p w14:paraId="5CE52963" w14:textId="77777777" w:rsidR="00711444" w:rsidRPr="004D0DAA" w:rsidRDefault="00711444" w:rsidP="00711444">
      <w:r w:rsidRPr="004D0DAA">
        <w:t>For the normal case of PS handover the source BSS shall send the Page Mode, Global TFI and Container ID information elements to the target BSS which uses them to create a complete PS HANDOVER COMMAND message (see sub-clause 11.2.43).</w:t>
      </w:r>
    </w:p>
    <w:p w14:paraId="5E71B459" w14:textId="77777777" w:rsidR="00711444" w:rsidRPr="004D0DAA" w:rsidRDefault="00711444" w:rsidP="00711444">
      <w:r w:rsidRPr="004D0DAA">
        <w:t xml:space="preserve">For the normal case of PS handover the source BSS receives a complete PS HANDOVER COMMAND message from the target BSS (passed through the SGSN) and then sends it to the mobile station. For the optimized case of PS handover the BSS creates a complete PS HANDOVER COMMAND message and sends it directly to the mobile station. </w:t>
      </w:r>
    </w:p>
    <w:p w14:paraId="4B209E10" w14:textId="77777777" w:rsidR="00711444" w:rsidRPr="004D0DAA" w:rsidRDefault="00711444" w:rsidP="00711444">
      <w:r w:rsidRPr="004D0DAA">
        <w:t xml:space="preserve">If the PS HANDOVER COMMAND indicates RLC reset for a TBF allocated in the new cell corresponding to the PFC(s) receiving a PS handover, the target BSS shall initialize one or more new RLC entities to support that TBF. Otherwise, the TBF allocated in the new cell shall be supported using the same set of RLC entities used to support the TBF in the old cell corresponding to the same PFC(s) (i.e. the RLC state machine is maintained across PS handover). </w:t>
      </w:r>
    </w:p>
    <w:p w14:paraId="3D5C9C96" w14:textId="77777777" w:rsidR="00711444" w:rsidRPr="004D0DAA" w:rsidRDefault="00711444" w:rsidP="00711444">
      <w:r w:rsidRPr="004D0DAA">
        <w:t xml:space="preserve">The PS HANDOVER COMMAND message created by the target BSS shall always allocate resources for at least one uplink TBF to ensure that the mobile station can send PS HANDOVER ACCESS messages (if required) and one or more RLC data blocks in the new cell. When only one uplink TBF is allocated by the PS HANDOVER COMMAND message and does not correspond to a PFC, RLC acknowledged mode shall be used. </w:t>
      </w:r>
    </w:p>
    <w:p w14:paraId="24EFF8FD" w14:textId="77777777" w:rsidR="00711444" w:rsidRPr="004D0DAA" w:rsidRDefault="00711444" w:rsidP="00711444">
      <w:r w:rsidRPr="004D0DAA">
        <w:t xml:space="preserve">The PS HANDOVER COMMAND message shall include the PS Handover Radio Resources Info IE if the allocated resources are not required to support any of the features Downlink Dual Carrier, Downlink Multi Carrier, EGPRS2, Fast Ack/Nack Reporting or RTTI configurations. If the allocated resources are required to support Downlink Multi Carrier the network shall include the </w:t>
      </w:r>
      <w:r w:rsidRPr="004D0DAA">
        <w:rPr>
          <w:i/>
        </w:rPr>
        <w:t>PS Handover Radio Resources 3</w:t>
      </w:r>
      <w:r w:rsidRPr="004D0DAA">
        <w:t xml:space="preserve"> IE in the PS HANDOVER COMMAND message. Otherwise, the network shall include the PS Handover Radio Resources 2 Info IE in the PS HANDOVER COMMAND message.</w:t>
      </w:r>
    </w:p>
    <w:p w14:paraId="252FDB3A" w14:textId="77777777" w:rsidR="00711444" w:rsidRPr="004D0DAA" w:rsidRDefault="00711444" w:rsidP="00711444">
      <w:r w:rsidRPr="004D0DAA">
        <w:t xml:space="preserve">The PS HANDOVER COMMAND message created by the target BSS shall indicate the PS Handover type with the synchronization indication field, i.e. non-synchronized, synchronized or pre-synchronized PS handover. </w:t>
      </w:r>
    </w:p>
    <w:p w14:paraId="37FA0754" w14:textId="77777777" w:rsidR="00711444" w:rsidRPr="004D0DAA" w:rsidRDefault="00711444" w:rsidP="00711444">
      <w:r w:rsidRPr="004D0DAA">
        <w:t>The PS HANDOVER COMMAND shall contain the PFI for each TBF being set up if and only if both the network and the mobile station support multiple TBFs. A mobile station which receives a PS HANDOVER COMMAND and which does not support multiple TBFs shall ignore any PFI value(s) received in the PS HANDOVER COMMAND.The target BSS expects one or more PS HANDOVER ACCESS messages from the mobile station whenever Handover Reference information is included in the PS HANDOVER COMMAND message. Handover Reference information shall always be included whenever non-synchronized PS handover is used.</w:t>
      </w:r>
    </w:p>
    <w:p w14:paraId="0DF7F164" w14:textId="77777777" w:rsidR="00711444" w:rsidRPr="004D0DAA" w:rsidRDefault="00711444" w:rsidP="00711444">
      <w:r w:rsidRPr="004D0DAA">
        <w:t xml:space="preserve">Depending on the type of handover the target BSS shall proceed as follows: </w:t>
      </w:r>
    </w:p>
    <w:p w14:paraId="7BF454ED" w14:textId="77777777" w:rsidR="00711444" w:rsidRPr="004D0DAA" w:rsidRDefault="00711444" w:rsidP="00711444">
      <w:pPr>
        <w:pStyle w:val="B1"/>
      </w:pPr>
      <w:r w:rsidRPr="004D0DAA">
        <w:t>-</w:t>
      </w:r>
      <w:r w:rsidRPr="004D0DAA">
        <w:tab/>
        <w:t>In case of a synchronized or pre-synchronized PS handover the target BSS shall enable the reception of RLC data blocks on all uplink TBFs allocated by the PS HANDOVER COMMAND message.</w:t>
      </w:r>
    </w:p>
    <w:p w14:paraId="676B12DD" w14:textId="77777777" w:rsidR="00711444" w:rsidRPr="004D0DAA" w:rsidRDefault="00711444" w:rsidP="00711444">
      <w:pPr>
        <w:pStyle w:val="B1"/>
      </w:pPr>
      <w:r w:rsidRPr="004D0DAA">
        <w:t>-</w:t>
      </w:r>
      <w:r w:rsidRPr="004D0DAA">
        <w:tab/>
        <w:t xml:space="preserve">In case of a non-synchronized PS handover the target BSS shall, upon reception of the first PS HANDOVER ACCESS message containing the expected Handover Reference value, send the </w:t>
      </w:r>
      <w:r w:rsidRPr="004D0DAA">
        <w:rPr>
          <w:caps/>
        </w:rPr>
        <w:t>Packet Physical Information</w:t>
      </w:r>
      <w:r w:rsidRPr="004D0DAA">
        <w:t xml:space="preserve"> message to the mobile station and then enable the reception of RLC data blocks on all uplink TBFs allocated by the PS HANDOVER COMMAND message.</w:t>
      </w:r>
    </w:p>
    <w:p w14:paraId="11BF916A" w14:textId="77777777" w:rsidR="00711444" w:rsidRPr="004D0DAA" w:rsidRDefault="00711444" w:rsidP="00711444">
      <w:pPr>
        <w:pStyle w:val="B1"/>
      </w:pPr>
      <w:r w:rsidRPr="004D0DAA">
        <w:t>-</w:t>
      </w:r>
      <w:r w:rsidRPr="004D0DAA">
        <w:tab/>
        <w:t>The BSS should schedule USFs on at least one uplink TBF in the target cell to minimize the delay incurred by the mobile station waiting for a USF in the target cell.</w:t>
      </w:r>
    </w:p>
    <w:p w14:paraId="7D3A3CE9" w14:textId="77777777" w:rsidR="00711444" w:rsidRPr="004D0DAA" w:rsidRDefault="00711444" w:rsidP="00711444">
      <w:r w:rsidRPr="004D0DAA">
        <w:t xml:space="preserve">The target BSS considers the PS handover procedure to be successfully completed upon receiving the first correct uplink RLC block on any of the uplink TBFs allocated to the mobile station in the PS HANDOVER COMMAND message. </w:t>
      </w:r>
    </w:p>
    <w:p w14:paraId="3E3FB9B2" w14:textId="77777777" w:rsidR="00711444" w:rsidRPr="004D0DAA" w:rsidRDefault="00711444" w:rsidP="00711444">
      <w:r w:rsidRPr="004D0DAA">
        <w:lastRenderedPageBreak/>
        <w:t>If the target BSS supports blind transmission it may begin transmitting downlink data that becomes available prior to determining that the PS handover procedure has been successfully completed. Otherwise, it may discard downlink data that becomes available prior to determining that the PS handover procedure has been successfully completed.</w:t>
      </w:r>
    </w:p>
    <w:p w14:paraId="2DC3AFAA" w14:textId="77777777" w:rsidR="00711444" w:rsidRPr="004D0DAA" w:rsidRDefault="00711444" w:rsidP="00711444">
      <w:r w:rsidRPr="004D0DAA">
        <w:t xml:space="preserve">If the target BSS supports network sharing in the target cell and the MS Radio Access Capabilities IE (see 3GPP TS 24.008) indicates a network sharing supporting MS, it shall include in the PS HANDOVER COMMAND message the </w:t>
      </w:r>
      <w:r w:rsidRPr="004D0DAA">
        <w:rPr>
          <w:i/>
        </w:rPr>
        <w:t>Selected PLMN Index</w:t>
      </w:r>
      <w:r w:rsidRPr="004D0DAA">
        <w:t xml:space="preserve"> field (see sub-clause 10.4.27) corresponding to the PLMN received in the Target Cell Identifier IE in the PS HANDOVER REQUEST message (see 3GPP TS 48.018).</w:t>
      </w:r>
    </w:p>
    <w:p w14:paraId="4736E9F8" w14:textId="77777777" w:rsidR="00711444" w:rsidRPr="004D0DAA" w:rsidRDefault="00711444" w:rsidP="00711444">
      <w:pPr>
        <w:pStyle w:val="Heading4"/>
      </w:pPr>
      <w:bookmarkStart w:id="362" w:name="_Toc516669549"/>
      <w:r w:rsidRPr="004D0DAA">
        <w:t>8.10.3.3</w:t>
      </w:r>
      <w:r w:rsidRPr="004D0DAA">
        <w:tab/>
        <w:t>GERAN A/Gb to Iu/E-UTRAN PS Handover</w:t>
      </w:r>
      <w:bookmarkEnd w:id="362"/>
    </w:p>
    <w:p w14:paraId="20BAA770" w14:textId="77777777" w:rsidR="00711444" w:rsidRPr="004D0DAA" w:rsidRDefault="00711444" w:rsidP="00711444">
      <w:r w:rsidRPr="004D0DAA">
        <w:t xml:space="preserve">For the case of PS handover from </w:t>
      </w:r>
      <w:r w:rsidRPr="004D0DAA">
        <w:rPr>
          <w:i/>
          <w:iCs/>
        </w:rPr>
        <w:t xml:space="preserve">A/Gb mode </w:t>
      </w:r>
      <w:r w:rsidRPr="004D0DAA">
        <w:t xml:space="preserve">to </w:t>
      </w:r>
      <w:r w:rsidRPr="004D0DAA">
        <w:rPr>
          <w:i/>
          <w:iCs/>
        </w:rPr>
        <w:t xml:space="preserve">Iu mode </w:t>
      </w:r>
      <w:r w:rsidRPr="004D0DAA">
        <w:rPr>
          <w:iCs/>
        </w:rPr>
        <w:t>or</w:t>
      </w:r>
      <w:r w:rsidRPr="004D0DAA">
        <w:rPr>
          <w:i/>
          <w:iCs/>
        </w:rPr>
        <w:t xml:space="preserve"> </w:t>
      </w:r>
      <w:r w:rsidRPr="004D0DAA">
        <w:rPr>
          <w:iCs/>
        </w:rPr>
        <w:t>E-UTRAN</w:t>
      </w:r>
      <w:r w:rsidRPr="004D0DAA">
        <w:rPr>
          <w:i/>
          <w:iCs/>
        </w:rPr>
        <w:t xml:space="preserve"> </w:t>
      </w:r>
      <w:r w:rsidRPr="004D0DAA">
        <w:t xml:space="preserve">the source BSS proceeds as described above for the normal case of </w:t>
      </w:r>
      <w:r w:rsidRPr="004D0DAA">
        <w:rPr>
          <w:i/>
          <w:iCs/>
        </w:rPr>
        <w:t>A/Gb mode</w:t>
      </w:r>
      <w:r w:rsidRPr="004D0DAA">
        <w:t xml:space="preserve"> to </w:t>
      </w:r>
      <w:r w:rsidRPr="004D0DAA">
        <w:rPr>
          <w:i/>
          <w:iCs/>
        </w:rPr>
        <w:t>A/Gb mode</w:t>
      </w:r>
      <w:r w:rsidRPr="004D0DAA">
        <w:t xml:space="preserve"> PS handover except for the following:</w:t>
      </w:r>
    </w:p>
    <w:p w14:paraId="33B62D15" w14:textId="77777777" w:rsidR="00711444" w:rsidRPr="004D0DAA" w:rsidRDefault="00711444" w:rsidP="00711444">
      <w:pPr>
        <w:pStyle w:val="B1"/>
      </w:pPr>
      <w:r w:rsidRPr="004D0DAA">
        <w:t>-</w:t>
      </w:r>
      <w:r w:rsidRPr="004D0DAA">
        <w:tab/>
        <w:t xml:space="preserve">The source BSS shall create a complete PS HANDOVER COMMAND message using local values for the Page Mode, Global TFI and Container ID information elements and therefore shall not send these information elements to the target RNC or eNB. </w:t>
      </w:r>
    </w:p>
    <w:p w14:paraId="6EEC5DB6" w14:textId="77777777" w:rsidR="00711444" w:rsidRPr="004D0DAA" w:rsidRDefault="00711444" w:rsidP="00711444">
      <w:pPr>
        <w:pStyle w:val="B1"/>
      </w:pPr>
      <w:r w:rsidRPr="004D0DAA">
        <w:t>-</w:t>
      </w:r>
      <w:r w:rsidRPr="004D0DAA">
        <w:tab/>
        <w:t xml:space="preserve">For the case of PS handover to </w:t>
      </w:r>
      <w:r w:rsidRPr="004D0DAA">
        <w:rPr>
          <w:i/>
        </w:rPr>
        <w:t>Iu mode</w:t>
      </w:r>
      <w:r w:rsidRPr="004D0DAA">
        <w:t xml:space="preserve">, the source BSS receives a complete Handover to UTRAN Command message from the target RNC (passed through the SGSN) and sends it to the mobile station within a PS HANDOVER COMMAND message. </w:t>
      </w:r>
    </w:p>
    <w:p w14:paraId="7CD3FC36" w14:textId="77777777" w:rsidR="00711444" w:rsidRPr="004D0DAA" w:rsidRDefault="00711444" w:rsidP="00711444">
      <w:pPr>
        <w:pStyle w:val="B1"/>
      </w:pPr>
      <w:r w:rsidRPr="004D0DAA">
        <w:t>-</w:t>
      </w:r>
      <w:r w:rsidRPr="004D0DAA">
        <w:tab/>
        <w:t>For the case of PS handover to E-UTRAN, the source BSS receives a complete</w:t>
      </w:r>
      <w:r w:rsidRPr="004D0DAA">
        <w:rPr>
          <w:rFonts w:hint="eastAsia"/>
          <w:lang w:eastAsia="zh-CN"/>
        </w:rPr>
        <w:t xml:space="preserve"> </w:t>
      </w:r>
      <w:r w:rsidRPr="004D0DAA">
        <w:rPr>
          <w:lang w:eastAsia="zh-CN"/>
        </w:rPr>
        <w:t>(RRC E-UTRA)</w:t>
      </w:r>
      <w:r w:rsidRPr="004D0DAA">
        <w:rPr>
          <w:rFonts w:hint="eastAsia"/>
          <w:lang w:eastAsia="zh-CN"/>
        </w:rPr>
        <w:t xml:space="preserve"> HandoverCommand </w:t>
      </w:r>
      <w:r w:rsidRPr="004D0DAA">
        <w:t>message as defined in 3GPP TS 36.331 [45] from the target eNB (passed through the MME and SGSN) and sends it to the mobile station within a PS HANDOVER COMMAND message.</w:t>
      </w:r>
    </w:p>
    <w:p w14:paraId="6B7F8F70" w14:textId="77777777" w:rsidR="00711444" w:rsidRPr="004D0DAA" w:rsidRDefault="00711444" w:rsidP="00711444">
      <w:pPr>
        <w:pStyle w:val="B1"/>
      </w:pPr>
      <w:r w:rsidRPr="004D0DAA">
        <w:t>-</w:t>
      </w:r>
      <w:r w:rsidRPr="004D0DAA">
        <w:tab/>
        <w:t xml:space="preserve">The source BSS shall not send the mobile station unsolicited PACKET NEIGHBOUR CELL DATA messages in the old cell as system information corresponding to the new cell is sent to the mobile station in the new cell as described in 3GPP TS 25.331 (for PS handover to </w:t>
      </w:r>
      <w:r w:rsidRPr="004D0DAA">
        <w:rPr>
          <w:i/>
          <w:iCs/>
        </w:rPr>
        <w:t>Iu mode</w:t>
      </w:r>
      <w:r w:rsidRPr="004D0DAA">
        <w:t xml:space="preserve">) or as described in 3GPP TS 36.331 (for PS handover to </w:t>
      </w:r>
      <w:r w:rsidRPr="004D0DAA">
        <w:rPr>
          <w:iCs/>
        </w:rPr>
        <w:t>E-UTRAN)</w:t>
      </w:r>
      <w:r w:rsidRPr="004D0DAA">
        <w:t>.</w:t>
      </w:r>
    </w:p>
    <w:p w14:paraId="17AEA437" w14:textId="77777777" w:rsidR="00711444" w:rsidRPr="004D0DAA" w:rsidRDefault="00711444" w:rsidP="00711444">
      <w:pPr>
        <w:pStyle w:val="Heading4"/>
      </w:pPr>
      <w:bookmarkStart w:id="363" w:name="_Toc516669550"/>
      <w:r w:rsidRPr="004D0DAA">
        <w:t>8.10.3.4</w:t>
      </w:r>
      <w:r w:rsidRPr="004D0DAA">
        <w:tab/>
        <w:t>Iu/E-UTRAN to GERAN A/Gb PS Handover</w:t>
      </w:r>
      <w:bookmarkEnd w:id="363"/>
    </w:p>
    <w:p w14:paraId="21DE9472" w14:textId="77777777" w:rsidR="00711444" w:rsidRPr="004D0DAA" w:rsidRDefault="00711444" w:rsidP="00711444">
      <w:r w:rsidRPr="004D0DAA">
        <w:t xml:space="preserve">For the case of PS handover from </w:t>
      </w:r>
      <w:r w:rsidRPr="004D0DAA">
        <w:rPr>
          <w:i/>
          <w:iCs/>
        </w:rPr>
        <w:t xml:space="preserve">Iu mode </w:t>
      </w:r>
      <w:r w:rsidRPr="004D0DAA">
        <w:rPr>
          <w:iCs/>
        </w:rPr>
        <w:t>or E-UTRAN</w:t>
      </w:r>
      <w:r w:rsidRPr="004D0DAA">
        <w:rPr>
          <w:i/>
          <w:iCs/>
        </w:rPr>
        <w:t xml:space="preserve"> </w:t>
      </w:r>
      <w:r w:rsidRPr="004D0DAA">
        <w:t xml:space="preserve"> to </w:t>
      </w:r>
      <w:r w:rsidRPr="004D0DAA">
        <w:rPr>
          <w:i/>
          <w:iCs/>
        </w:rPr>
        <w:t>A/Gb</w:t>
      </w:r>
      <w:r w:rsidRPr="004D0DAA">
        <w:rPr>
          <w:i/>
        </w:rPr>
        <w:t xml:space="preserve"> mode </w:t>
      </w:r>
      <w:r w:rsidRPr="004D0DAA">
        <w:t xml:space="preserve">the target BSS proceeds as described above for the normal case of </w:t>
      </w:r>
      <w:r w:rsidRPr="004D0DAA">
        <w:rPr>
          <w:i/>
          <w:iCs/>
        </w:rPr>
        <w:t>A/Gb mode</w:t>
      </w:r>
      <w:r w:rsidRPr="004D0DAA">
        <w:t xml:space="preserve"> to </w:t>
      </w:r>
      <w:r w:rsidRPr="004D0DAA">
        <w:rPr>
          <w:i/>
          <w:iCs/>
        </w:rPr>
        <w:t>A/Gb mode</w:t>
      </w:r>
      <w:r w:rsidRPr="004D0DAA">
        <w:t xml:space="preserve"> PS handover except that a complete PS HANDOVER COMMAND message is created by the target BSS using local values for the Page Mode, Global TFI and Container ID information elements (i.e. they are not passed to the target BSS from the source RNC or eNB) and the PS HANDOVER COMMAND message shall always indicate RLC reset  and non-synchronized PS handover. The PS HANDOVER COMMAND message is sent to the MS as part of the </w:t>
      </w:r>
      <w:r w:rsidRPr="004D0DAA">
        <w:rPr>
          <w:i/>
        </w:rPr>
        <w:t>MobilityFromEUTRACommand</w:t>
      </w:r>
      <w:r w:rsidRPr="004D0DAA">
        <w:t xml:space="preserve"> in E-UTRAN as specified in 3GPP TS 36.331 [45].</w:t>
      </w:r>
    </w:p>
    <w:p w14:paraId="72F1914F" w14:textId="77777777" w:rsidR="00711444" w:rsidRPr="004D0DAA" w:rsidRDefault="00711444" w:rsidP="00711444">
      <w:pPr>
        <w:pStyle w:val="Heading4"/>
      </w:pPr>
      <w:bookmarkStart w:id="364" w:name="_Toc516669551"/>
      <w:r w:rsidRPr="004D0DAA">
        <w:t>8.10.3.5</w:t>
      </w:r>
      <w:r w:rsidRPr="004D0DAA">
        <w:tab/>
        <w:t>A/Gb to GAN PS Handover</w:t>
      </w:r>
      <w:bookmarkEnd w:id="364"/>
    </w:p>
    <w:p w14:paraId="386070DF" w14:textId="77777777" w:rsidR="00711444" w:rsidRPr="004D0DAA" w:rsidRDefault="00711444" w:rsidP="00711444">
      <w:r w:rsidRPr="004D0DAA">
        <w:t xml:space="preserve">When the BSS and the mobile station support PS handover to </w:t>
      </w:r>
      <w:r w:rsidRPr="004D0DAA">
        <w:rPr>
          <w:i/>
          <w:iCs/>
        </w:rPr>
        <w:t>GAN mode</w:t>
      </w:r>
      <w:r w:rsidRPr="004D0DAA">
        <w:t xml:space="preserve"> the normal case of </w:t>
      </w:r>
      <w:r w:rsidRPr="004D0DAA">
        <w:rPr>
          <w:i/>
          <w:iCs/>
        </w:rPr>
        <w:t>A/Gb mode</w:t>
      </w:r>
      <w:r w:rsidRPr="004D0DAA">
        <w:t xml:space="preserve"> to </w:t>
      </w:r>
      <w:r w:rsidRPr="004D0DAA">
        <w:rPr>
          <w:i/>
          <w:iCs/>
        </w:rPr>
        <w:t>A/Gb mode</w:t>
      </w:r>
      <w:r w:rsidRPr="004D0DAA">
        <w:t xml:space="preserve"> PS handover is followed as described in sub-clause 8.10.3.2 except for the following: </w:t>
      </w:r>
    </w:p>
    <w:p w14:paraId="66D6E783" w14:textId="77777777" w:rsidR="00711444" w:rsidRPr="004D0DAA" w:rsidRDefault="00711444" w:rsidP="00711444">
      <w:pPr>
        <w:pStyle w:val="B1"/>
      </w:pPr>
      <w:r w:rsidRPr="004D0DAA">
        <w:t>-</w:t>
      </w:r>
      <w:r w:rsidRPr="004D0DAA">
        <w:tab/>
        <w:t>The target GANC shall only provide values for the mandatory fields within the PS Handover Radio Resources IE included within the PS HANDOVER COMMAND message it sends back to the source BSS.</w:t>
      </w:r>
    </w:p>
    <w:p w14:paraId="5D7C77E3" w14:textId="77777777" w:rsidR="00711444" w:rsidRPr="004D0DAA" w:rsidRDefault="00711444" w:rsidP="00711444">
      <w:pPr>
        <w:pStyle w:val="B1"/>
      </w:pPr>
      <w:r w:rsidRPr="004D0DAA">
        <w:t>-</w:t>
      </w:r>
      <w:r w:rsidRPr="004D0DAA">
        <w:tab/>
        <w:t>The source BSS will not send the mobile station system information corresponding to the target GAN cell prior to sending it a PS HANDOVER COMMAND message (i.e. the mobile station acquires the system information required for the target GAN cell during GAN registration - see 3GPP TS 44.318 [42]).</w:t>
      </w:r>
    </w:p>
    <w:p w14:paraId="0B101D81" w14:textId="77777777" w:rsidR="00711444" w:rsidRPr="004D0DAA" w:rsidRDefault="00711444" w:rsidP="00711444">
      <w:pPr>
        <w:pStyle w:val="Heading4"/>
      </w:pPr>
      <w:bookmarkStart w:id="365" w:name="_Toc516669552"/>
      <w:r w:rsidRPr="004D0DAA">
        <w:t>8.10.3.6</w:t>
      </w:r>
      <w:r w:rsidRPr="004D0DAA">
        <w:tab/>
        <w:t>GAN to A/Gb PS Handover</w:t>
      </w:r>
      <w:bookmarkEnd w:id="365"/>
    </w:p>
    <w:p w14:paraId="04488FC5" w14:textId="77777777" w:rsidR="00711444" w:rsidRPr="004D0DAA" w:rsidRDefault="00711444" w:rsidP="00711444">
      <w:r w:rsidRPr="004D0DAA">
        <w:t xml:space="preserve">For the case of PS handover from </w:t>
      </w:r>
      <w:r w:rsidRPr="004D0DAA">
        <w:rPr>
          <w:i/>
          <w:iCs/>
        </w:rPr>
        <w:t>GAN mode</w:t>
      </w:r>
      <w:r w:rsidRPr="004D0DAA">
        <w:t xml:space="preserve"> to </w:t>
      </w:r>
      <w:r w:rsidRPr="004D0DAA">
        <w:rPr>
          <w:i/>
          <w:iCs/>
        </w:rPr>
        <w:t>A/Gb</w:t>
      </w:r>
      <w:r w:rsidRPr="004D0DAA">
        <w:t xml:space="preserve"> mode the source GANC proceeds as described in 3GPP TS 44.318 [42]. The target BSS proceeds as described in sub-clause 8.10.3.2 for the normal case of </w:t>
      </w:r>
      <w:r w:rsidRPr="004D0DAA">
        <w:rPr>
          <w:i/>
          <w:iCs/>
        </w:rPr>
        <w:t>A/Gb mode</w:t>
      </w:r>
      <w:r w:rsidRPr="004D0DAA">
        <w:t xml:space="preserve"> to </w:t>
      </w:r>
      <w:r w:rsidRPr="004D0DAA">
        <w:rPr>
          <w:i/>
          <w:iCs/>
        </w:rPr>
        <w:t>A/Gb mode</w:t>
      </w:r>
      <w:r w:rsidRPr="004D0DAA">
        <w:t xml:space="preserve"> PS handover except that a complete PS HANDOVER COMMAND message is created by the target BSS using local values for the Page Mode, Global TFI and Container ID information elements (i.e. they are not passed to the target BSS from the source GANC) and the PS HANDOVER COMMAND message shall always indicate RLC reset for each PFC and non-synchronized PS handover. </w:t>
      </w:r>
    </w:p>
    <w:p w14:paraId="6EC02AFE" w14:textId="77777777" w:rsidR="00711444" w:rsidRPr="004D0DAA" w:rsidRDefault="00711444" w:rsidP="00711444">
      <w:pPr>
        <w:pStyle w:val="Heading3"/>
      </w:pPr>
      <w:bookmarkStart w:id="366" w:name="_Toc516669553"/>
      <w:r w:rsidRPr="004D0DAA">
        <w:lastRenderedPageBreak/>
        <w:t>8.10.4</w:t>
      </w:r>
      <w:r w:rsidRPr="004D0DAA">
        <w:tab/>
        <w:t>PS Handover at the mobile station side</w:t>
      </w:r>
      <w:bookmarkEnd w:id="366"/>
    </w:p>
    <w:p w14:paraId="5D3E357A" w14:textId="77777777" w:rsidR="00711444" w:rsidRPr="004D0DAA" w:rsidRDefault="00711444" w:rsidP="00711444">
      <w:pPr>
        <w:pStyle w:val="Heading4"/>
      </w:pPr>
      <w:bookmarkStart w:id="367" w:name="_Toc516669554"/>
      <w:r w:rsidRPr="004D0DAA">
        <w:t>8.10.4.1</w:t>
      </w:r>
      <w:r w:rsidRPr="004D0DAA">
        <w:tab/>
        <w:t>A/Gb to A/Gb PS Handover</w:t>
      </w:r>
      <w:bookmarkEnd w:id="367"/>
    </w:p>
    <w:p w14:paraId="3696760B" w14:textId="77777777" w:rsidR="00711444" w:rsidRPr="004D0DAA" w:rsidRDefault="00711444" w:rsidP="00711444">
      <w:r w:rsidRPr="004D0DAA">
        <w:t xml:space="preserve">Upon reception of the PS HANDOVER COMMAND message for PS handover from </w:t>
      </w:r>
      <w:r w:rsidRPr="004D0DAA">
        <w:rPr>
          <w:i/>
          <w:iCs/>
        </w:rPr>
        <w:t xml:space="preserve">A/Gb mode </w:t>
      </w:r>
      <w:r w:rsidRPr="004D0DAA">
        <w:t xml:space="preserve">to </w:t>
      </w:r>
      <w:r w:rsidRPr="004D0DAA">
        <w:rPr>
          <w:i/>
          <w:iCs/>
        </w:rPr>
        <w:t>A/Gb mode</w:t>
      </w:r>
      <w:r w:rsidRPr="004D0DAA">
        <w:t>, the mobile station shall proceed as follows:</w:t>
      </w:r>
    </w:p>
    <w:p w14:paraId="453B4CFA" w14:textId="77777777" w:rsidR="00711444" w:rsidRPr="004D0DAA" w:rsidRDefault="00711444" w:rsidP="00711444">
      <w:pPr>
        <w:pStyle w:val="B1"/>
      </w:pPr>
      <w:r w:rsidRPr="004D0DAA">
        <w:t>-</w:t>
      </w:r>
      <w:r w:rsidRPr="004D0DAA">
        <w:tab/>
        <w:t>If an RLC/MAC control block containing a part of the PS HANDOVER COMMAND message contains a valid RRBP field or a polling response is outstanding the mobile station shall send a corresponding PACKET CONTROL ACKNOWLEDGMENT message (in the specified uplink radio block) prior to switching to the new cell.</w:t>
      </w:r>
    </w:p>
    <w:p w14:paraId="0F04E984" w14:textId="77777777" w:rsidR="00711444" w:rsidRPr="004D0DAA" w:rsidRDefault="00711444" w:rsidP="00711444">
      <w:pPr>
        <w:pStyle w:val="B1"/>
      </w:pPr>
      <w:r w:rsidRPr="004D0DAA">
        <w:t>-</w:t>
      </w:r>
      <w:r w:rsidRPr="004D0DAA">
        <w:tab/>
        <w:t>RLC/MAC control plane signalling shall be suspended except for the signalling needed to complete the PS handover procedure or to signal a failure of the PS handover procedure.</w:t>
      </w:r>
    </w:p>
    <w:p w14:paraId="4A7F267F" w14:textId="77777777" w:rsidR="00711444" w:rsidRPr="004D0DAA" w:rsidRDefault="00711444" w:rsidP="00711444">
      <w:pPr>
        <w:pStyle w:val="B1"/>
      </w:pPr>
      <w:r w:rsidRPr="004D0DAA">
        <w:t>-</w:t>
      </w:r>
      <w:r w:rsidRPr="004D0DAA">
        <w:tab/>
        <w:t>The mobile station shall suspend the uplink transmission of user plane data.</w:t>
      </w:r>
    </w:p>
    <w:p w14:paraId="0AF4C329" w14:textId="77777777" w:rsidR="00711444" w:rsidRPr="004D0DAA" w:rsidRDefault="00711444" w:rsidP="00711444">
      <w:pPr>
        <w:pStyle w:val="B1"/>
      </w:pPr>
      <w:r w:rsidRPr="004D0DAA">
        <w:t>-</w:t>
      </w:r>
      <w:r w:rsidRPr="004D0DAA">
        <w:tab/>
        <w:t>Each outstanding request for establishment or reconfiguration of an uplink TBF in the old cell shall be aborted and the corresponding instance of T3168 shall be stopped.</w:t>
      </w:r>
    </w:p>
    <w:p w14:paraId="6AEFBA62" w14:textId="77777777" w:rsidR="00711444" w:rsidRPr="004D0DAA" w:rsidRDefault="00711444" w:rsidP="00711444">
      <w:pPr>
        <w:pStyle w:val="B1"/>
      </w:pPr>
      <w:r w:rsidRPr="004D0DAA">
        <w:t>-</w:t>
      </w:r>
      <w:r w:rsidRPr="004D0DAA">
        <w:tab/>
        <w:t>All timers related to the RLC contexts in the old cell keep running.</w:t>
      </w:r>
    </w:p>
    <w:p w14:paraId="09CE2E2D" w14:textId="77777777" w:rsidR="00711444" w:rsidRPr="004D0DAA" w:rsidRDefault="00711444" w:rsidP="00711444">
      <w:pPr>
        <w:pStyle w:val="B1"/>
      </w:pPr>
      <w:r w:rsidRPr="004D0DAA">
        <w:t>-</w:t>
      </w:r>
      <w:r w:rsidRPr="004D0DAA">
        <w:tab/>
        <w:t>Timers T3180 and T3190 related to the ongoing TBFs in the old cell and which are currently running shall be re-started.</w:t>
      </w:r>
    </w:p>
    <w:p w14:paraId="45CE2F77" w14:textId="77777777" w:rsidR="00711444" w:rsidRPr="004D0DAA" w:rsidRDefault="00711444" w:rsidP="00711444">
      <w:pPr>
        <w:pStyle w:val="B1"/>
      </w:pPr>
      <w:r w:rsidRPr="004D0DAA">
        <w:t>-</w:t>
      </w:r>
      <w:r w:rsidRPr="004D0DAA">
        <w:tab/>
        <w:t xml:space="preserve">If the timer </w:t>
      </w:r>
      <w:r w:rsidRPr="004D0DAA">
        <w:rPr>
          <w:szCs w:val="24"/>
        </w:rPr>
        <w:t>T3192</w:t>
      </w:r>
      <w:r w:rsidRPr="004D0DAA">
        <w:t xml:space="preserve"> related to a TBF in the old cell expires, the mobile station shall consider the corresponding TBF that was ongoing in the old cell as implicitly released. </w:t>
      </w:r>
    </w:p>
    <w:p w14:paraId="11FFCE23" w14:textId="77777777" w:rsidR="00711444" w:rsidRPr="004D0DAA" w:rsidRDefault="00711444" w:rsidP="00711444">
      <w:pPr>
        <w:pStyle w:val="B1"/>
      </w:pPr>
      <w:r w:rsidRPr="004D0DAA">
        <w:t>-</w:t>
      </w:r>
      <w:r w:rsidRPr="004D0DAA">
        <w:tab/>
        <w:t xml:space="preserve">The mobile station shall </w:t>
      </w:r>
      <w:r w:rsidRPr="004D0DAA">
        <w:rPr>
          <w:lang w:eastAsia="zh-CN"/>
        </w:rPr>
        <w:t xml:space="preserve">start timer T3218, </w:t>
      </w:r>
      <w:r w:rsidRPr="004D0DAA">
        <w:t>move to the new cell and perform the physical channel establishment as described in sub-clause 8.10.4.4.</w:t>
      </w:r>
    </w:p>
    <w:p w14:paraId="1D93C964" w14:textId="77777777" w:rsidR="00711444" w:rsidRPr="004D0DAA" w:rsidRDefault="00711444" w:rsidP="00711444">
      <w:pPr>
        <w:pStyle w:val="B1"/>
      </w:pPr>
      <w:r w:rsidRPr="004D0DAA">
        <w:t>-</w:t>
      </w:r>
      <w:r w:rsidRPr="004D0DAA">
        <w:tab/>
        <w:t xml:space="preserve">The mobile station may receive downlink RLC data blocks in the new cell prior to determining that the PS handover has been successfully completed if the target BSS uses blind transmission. If this occurs the mobile station shall forward the corresponding user data to upper layers if the PS HANDOVER COMMAND message did not include the </w:t>
      </w:r>
      <w:r w:rsidRPr="004D0DAA">
        <w:rPr>
          <w:i/>
          <w:iCs/>
        </w:rPr>
        <w:t>NAS Container for PS Handover</w:t>
      </w:r>
      <w:r w:rsidRPr="004D0DAA">
        <w:t xml:space="preserve"> IE. Otherwise, the mobile station may either discard the received RLC data blocks or buffer them until the successful completion of the PS handover procedure at which point the corresponding user data shall be deciphered by the upper layers based on information contained within the </w:t>
      </w:r>
      <w:r w:rsidRPr="004D0DAA">
        <w:rPr>
          <w:i/>
          <w:iCs/>
        </w:rPr>
        <w:t>NAS Container for PS Handover</w:t>
      </w:r>
      <w:r w:rsidRPr="004D0DAA">
        <w:t xml:space="preserve"> IE.</w:t>
      </w:r>
    </w:p>
    <w:p w14:paraId="49A1CF67" w14:textId="77777777" w:rsidR="00711444" w:rsidRPr="004D0DAA" w:rsidRDefault="00711444" w:rsidP="00711444">
      <w:pPr>
        <w:pStyle w:val="NO"/>
      </w:pPr>
      <w:r w:rsidRPr="004D0DAA">
        <w:t>NOTE:</w:t>
      </w:r>
      <w:r w:rsidRPr="004D0DAA">
        <w:tab/>
        <w:t>It is expected that PS Handover procedure will be completed successfully or terminated before the expiry of T3180 or T3190 and therefore that the MS will not release any TBFs due to the expiry of T3180 or T3190 during the PS Handover procedure.The mobile station considers the PS handover procedure to be successfully completed in the following cases:</w:t>
      </w:r>
    </w:p>
    <w:p w14:paraId="5F9E8698" w14:textId="77777777" w:rsidR="00711444" w:rsidRPr="004D0DAA" w:rsidRDefault="00711444" w:rsidP="00711444">
      <w:pPr>
        <w:pStyle w:val="B1"/>
      </w:pPr>
      <w:r w:rsidRPr="004D0DAA">
        <w:t>-</w:t>
      </w:r>
      <w:r w:rsidRPr="004D0DAA">
        <w:tab/>
        <w:t xml:space="preserve">Upon receiving a </w:t>
      </w:r>
      <w:r w:rsidRPr="004D0DAA">
        <w:rPr>
          <w:caps/>
        </w:rPr>
        <w:t>Packet Physical Information</w:t>
      </w:r>
      <w:r w:rsidRPr="004D0DAA">
        <w:t xml:space="preserve"> message in the new cell in case of a non-synchronized PS handover (see sub-clause 8.10.4.4.3).</w:t>
      </w:r>
    </w:p>
    <w:p w14:paraId="5F9E6FCD" w14:textId="77777777" w:rsidR="00711444" w:rsidRPr="004D0DAA" w:rsidRDefault="00711444" w:rsidP="00711444">
      <w:pPr>
        <w:pStyle w:val="B1"/>
      </w:pPr>
      <w:r w:rsidRPr="004D0DAA">
        <w:t>-</w:t>
      </w:r>
      <w:r w:rsidRPr="004D0DAA">
        <w:tab/>
        <w:t xml:space="preserve">Upon </w:t>
      </w:r>
      <w:r w:rsidRPr="004D0DAA">
        <w:rPr>
          <w:lang w:eastAsia="zh-CN"/>
        </w:rPr>
        <w:t>detecting the first USF for any uplink TBF assigned to the MS</w:t>
      </w:r>
      <w:r w:rsidRPr="004D0DAA">
        <w:t xml:space="preserve"> in the new cell in case of a synchronized and pre-synchronized PS handover (see subclause 8.10.4.4.1 and 8.10.4.4.2). </w:t>
      </w:r>
    </w:p>
    <w:p w14:paraId="5C33EB9B" w14:textId="77777777" w:rsidR="00711444" w:rsidRPr="004D0DAA" w:rsidRDefault="00711444" w:rsidP="00711444">
      <w:r w:rsidRPr="004D0DAA">
        <w:t xml:space="preserve">If the mobile station is waiting for the </w:t>
      </w:r>
      <w:r w:rsidRPr="004D0DAA">
        <w:rPr>
          <w:caps/>
        </w:rPr>
        <w:t>Packet Physical Information</w:t>
      </w:r>
      <w:r w:rsidRPr="004D0DAA">
        <w:t xml:space="preserve"> message when it receives a downlink RLC data block in which a valid polling indication is provided, it shall ignore the polling indication.</w:t>
      </w:r>
    </w:p>
    <w:p w14:paraId="4EE274DF" w14:textId="77777777" w:rsidR="00711444" w:rsidRPr="004D0DAA" w:rsidRDefault="00711444" w:rsidP="00711444">
      <w:r w:rsidRPr="004D0DAA">
        <w:t>Upon successfully completing the PS handover procedure the mobile station shall proceed as follows:</w:t>
      </w:r>
    </w:p>
    <w:p w14:paraId="60AA6780" w14:textId="77777777" w:rsidR="00711444" w:rsidRPr="004D0DAA" w:rsidRDefault="00711444" w:rsidP="00711444">
      <w:pPr>
        <w:pStyle w:val="B1"/>
      </w:pPr>
      <w:r w:rsidRPr="004D0DAA">
        <w:t>-</w:t>
      </w:r>
      <w:r w:rsidRPr="004D0DAA">
        <w:tab/>
        <w:t xml:space="preserve">Stop T3216 (if running), consider all TBFs that were ongoing in the old cell as implicitly released and if the </w:t>
      </w:r>
      <w:r w:rsidRPr="004D0DAA">
        <w:rPr>
          <w:i/>
          <w:iCs/>
        </w:rPr>
        <w:t>NAS Container for PS Handover</w:t>
      </w:r>
      <w:r w:rsidRPr="004D0DAA">
        <w:t xml:space="preserve"> IE was included in the PS HANDOVER COMMAND message it shall be sent to upper layers.</w:t>
      </w:r>
    </w:p>
    <w:p w14:paraId="04518733" w14:textId="77777777" w:rsidR="00711444" w:rsidRPr="004D0DAA" w:rsidRDefault="00711444" w:rsidP="00711444">
      <w:pPr>
        <w:pStyle w:val="B1"/>
      </w:pPr>
      <w:r w:rsidRPr="004D0DAA">
        <w:t>-</w:t>
      </w:r>
      <w:r w:rsidRPr="004D0DAA">
        <w:tab/>
        <w:t>If the PS HANDOVER COMMAND indicates RLC reset the mobile station shall initialize new RLC entities to support the allocated TBFs. Otherwise, the TBFs allocated in the new cell shall be supported using the same RLC entities used to support the TBFs in the old cell corresponding to the same PFCs (i.e. the RLC state machines are maintained across PS handover).</w:t>
      </w:r>
    </w:p>
    <w:p w14:paraId="46BC6002" w14:textId="77777777" w:rsidR="00711444" w:rsidRPr="004D0DAA" w:rsidRDefault="00711444" w:rsidP="00711444">
      <w:pPr>
        <w:pStyle w:val="B1"/>
      </w:pPr>
      <w:r w:rsidRPr="004D0DAA">
        <w:t>-</w:t>
      </w:r>
      <w:r w:rsidRPr="004D0DAA">
        <w:tab/>
        <w:t>The mobile station shall resume the uplink transmission of user plane data.</w:t>
      </w:r>
    </w:p>
    <w:p w14:paraId="43BBF435" w14:textId="77777777" w:rsidR="00711444" w:rsidRPr="004D0DAA" w:rsidRDefault="00711444" w:rsidP="00711444">
      <w:pPr>
        <w:pStyle w:val="B1"/>
      </w:pPr>
      <w:r w:rsidRPr="004D0DAA">
        <w:lastRenderedPageBreak/>
        <w:t>-</w:t>
      </w:r>
      <w:r w:rsidRPr="004D0DAA">
        <w:tab/>
        <w:t xml:space="preserve">The mobile station shall trigger a cell update or other GMM specific procedures, as appropriate according to the GMM requirements (see 3GPP TS 24.008). </w:t>
      </w:r>
    </w:p>
    <w:p w14:paraId="1C947A09" w14:textId="77777777" w:rsidR="00711444" w:rsidRPr="004D0DAA" w:rsidRDefault="00711444" w:rsidP="00711444">
      <w:pPr>
        <w:pStyle w:val="Heading4"/>
      </w:pPr>
      <w:bookmarkStart w:id="368" w:name="_Toc516669555"/>
      <w:r w:rsidRPr="004D0DAA">
        <w:t>8.10.4.2</w:t>
      </w:r>
      <w:r w:rsidRPr="004D0DAA">
        <w:tab/>
        <w:t>A/Gb to Iu/E-UTRAN PS Handover</w:t>
      </w:r>
      <w:bookmarkEnd w:id="368"/>
    </w:p>
    <w:p w14:paraId="071A6A83" w14:textId="77777777" w:rsidR="00711444" w:rsidRPr="004D0DAA" w:rsidRDefault="00711444" w:rsidP="00711444">
      <w:r w:rsidRPr="004D0DAA">
        <w:t xml:space="preserve">Upon receiving a PS HANDOVER COMMAND message for PS handover from GERAN A/Gb mode to </w:t>
      </w:r>
      <w:r w:rsidRPr="004D0DAA">
        <w:rPr>
          <w:i/>
          <w:iCs/>
        </w:rPr>
        <w:t xml:space="preserve">Iu mode </w:t>
      </w:r>
      <w:r w:rsidRPr="004D0DAA">
        <w:rPr>
          <w:iCs/>
        </w:rPr>
        <w:t>or E-UTRAN</w:t>
      </w:r>
      <w:r w:rsidRPr="004D0DAA">
        <w:t xml:space="preserve">, the mobile station shall act on the message if it is able to perform PS handover based on the content of the received message. If the PS HANDOVER COMMAND message is acted on the mobile station shall start the PS handover procedure and proceed as described above for the case of </w:t>
      </w:r>
      <w:r w:rsidRPr="004D0DAA">
        <w:rPr>
          <w:i/>
          <w:iCs/>
        </w:rPr>
        <w:t>A/Gb mode</w:t>
      </w:r>
      <w:r w:rsidRPr="004D0DAA">
        <w:t xml:space="preserve"> to </w:t>
      </w:r>
      <w:r w:rsidRPr="004D0DAA">
        <w:rPr>
          <w:i/>
          <w:iCs/>
        </w:rPr>
        <w:t>A/Gb mode</w:t>
      </w:r>
      <w:r w:rsidRPr="004D0DAA">
        <w:t xml:space="preserve"> PS handover while in the old cell. Upon moving to the new cell the mobile station shall proceed as described in 3GPP TS 25.331 for handover to </w:t>
      </w:r>
      <w:r w:rsidRPr="004D0DAA">
        <w:rPr>
          <w:i/>
          <w:iCs/>
        </w:rPr>
        <w:t>Iu mode</w:t>
      </w:r>
      <w:r w:rsidRPr="004D0DAA">
        <w:t xml:space="preserve"> or as described in 3GPP TS 36.331 for handover to </w:t>
      </w:r>
      <w:r w:rsidRPr="004D0DAA">
        <w:rPr>
          <w:i/>
          <w:iCs/>
        </w:rPr>
        <w:t>E-UTRAN</w:t>
      </w:r>
      <w:r w:rsidRPr="004D0DAA">
        <w:t xml:space="preserve">. Upon successfully completing the PS handover procedure all TBFs that were ongoing in the old cell shall be considered as implicitly released. </w:t>
      </w:r>
    </w:p>
    <w:p w14:paraId="1B74E2C2" w14:textId="77777777" w:rsidR="00711444" w:rsidRPr="004D0DAA" w:rsidRDefault="00711444" w:rsidP="00711444">
      <w:pPr>
        <w:pStyle w:val="Heading4"/>
      </w:pPr>
      <w:bookmarkStart w:id="369" w:name="_Toc516669556"/>
      <w:r w:rsidRPr="004D0DAA">
        <w:t>8.10.4.3</w:t>
      </w:r>
      <w:r w:rsidRPr="004D0DAA">
        <w:tab/>
        <w:t>Iu/E-UTRAN to A/Gb PS Handover</w:t>
      </w:r>
      <w:bookmarkEnd w:id="369"/>
    </w:p>
    <w:p w14:paraId="6E2BE4AC" w14:textId="77777777" w:rsidR="00711444" w:rsidRPr="004D0DAA" w:rsidRDefault="00711444" w:rsidP="00711444">
      <w:r w:rsidRPr="004D0DAA">
        <w:t xml:space="preserve">Upon receiving a Handover from UTRAN Command message for PS handover from </w:t>
      </w:r>
      <w:r w:rsidRPr="004D0DAA">
        <w:rPr>
          <w:i/>
          <w:iCs/>
        </w:rPr>
        <w:t>Iu mode</w:t>
      </w:r>
      <w:r w:rsidRPr="004D0DAA">
        <w:t xml:space="preserve"> to </w:t>
      </w:r>
      <w:r w:rsidRPr="004D0DAA">
        <w:rPr>
          <w:i/>
          <w:iCs/>
        </w:rPr>
        <w:t xml:space="preserve">A/Gb mode </w:t>
      </w:r>
      <w:r w:rsidRPr="004D0DAA">
        <w:t xml:space="preserve">or a </w:t>
      </w:r>
      <w:r w:rsidRPr="004D0DAA">
        <w:rPr>
          <w:i/>
          <w:iCs/>
        </w:rPr>
        <w:t>MobilityFromEUTRACommand</w:t>
      </w:r>
      <w:r w:rsidRPr="004D0DAA">
        <w:t xml:space="preserve"> message for PS handover from </w:t>
      </w:r>
      <w:r w:rsidRPr="004D0DAA">
        <w:rPr>
          <w:i/>
          <w:iCs/>
        </w:rPr>
        <w:t>E-UTRAN</w:t>
      </w:r>
      <w:r w:rsidRPr="004D0DAA">
        <w:t xml:space="preserve"> to </w:t>
      </w:r>
      <w:r w:rsidRPr="004D0DAA">
        <w:rPr>
          <w:i/>
          <w:iCs/>
        </w:rPr>
        <w:t>A/Gb mode</w:t>
      </w:r>
      <w:r w:rsidRPr="004D0DAA">
        <w:t>, the mobile station shall act on the message if all of the following conditions are satisfied:</w:t>
      </w:r>
    </w:p>
    <w:p w14:paraId="24F07D2B" w14:textId="77777777" w:rsidR="00711444" w:rsidRPr="004D0DAA" w:rsidRDefault="00711444" w:rsidP="00711444">
      <w:pPr>
        <w:pStyle w:val="B1"/>
      </w:pPr>
      <w:r w:rsidRPr="004D0DAA">
        <w:t>-</w:t>
      </w:r>
      <w:r w:rsidRPr="004D0DAA">
        <w:tab/>
        <w:t xml:space="preserve">It is able to perform PS handover based on the content of the received message. </w:t>
      </w:r>
    </w:p>
    <w:p w14:paraId="38FE96A4" w14:textId="77777777" w:rsidR="00711444" w:rsidRPr="004D0DAA" w:rsidRDefault="00711444" w:rsidP="00711444">
      <w:pPr>
        <w:pStyle w:val="B1"/>
      </w:pPr>
      <w:r w:rsidRPr="004D0DAA">
        <w:t>-</w:t>
      </w:r>
      <w:r w:rsidRPr="004D0DAA">
        <w:tab/>
        <w:t xml:space="preserve">The Handover from UTRAN Command or </w:t>
      </w:r>
      <w:r w:rsidRPr="004D0DAA">
        <w:rPr>
          <w:i/>
          <w:iCs/>
        </w:rPr>
        <w:t>MobilityFromEUTRACommand</w:t>
      </w:r>
      <w:r w:rsidRPr="004D0DAA">
        <w:t xml:space="preserve"> message contains the minimum set of PSI or SI messages required for mobile station to operate in the new cell (see sub-clause 8.10.4.1.).</w:t>
      </w:r>
    </w:p>
    <w:p w14:paraId="19E5D803" w14:textId="77777777" w:rsidR="00711444" w:rsidRPr="004D0DAA" w:rsidRDefault="00711444" w:rsidP="00711444">
      <w:pPr>
        <w:pStyle w:val="B1"/>
      </w:pPr>
      <w:r w:rsidRPr="004D0DAA">
        <w:t>-</w:t>
      </w:r>
      <w:r w:rsidRPr="004D0DAA">
        <w:tab/>
        <w:t xml:space="preserve">The PS HANDOVER COMMAND message carried within the Handover from UTRAN Command or </w:t>
      </w:r>
      <w:r w:rsidRPr="004D0DAA">
        <w:rPr>
          <w:i/>
          <w:iCs/>
        </w:rPr>
        <w:t>MobilityFromEUTRACommand</w:t>
      </w:r>
      <w:r w:rsidRPr="004D0DAA">
        <w:t xml:space="preserve"> message provides resources for at least one uplink TBF in the new cell. </w:t>
      </w:r>
    </w:p>
    <w:p w14:paraId="219CBB0A" w14:textId="77777777" w:rsidR="00711444" w:rsidRPr="004D0DAA" w:rsidRDefault="00711444" w:rsidP="00711444">
      <w:r w:rsidRPr="004D0DAA">
        <w:t xml:space="preserve">If the Handover from UTRAN Command or </w:t>
      </w:r>
      <w:r w:rsidRPr="004D0DAA">
        <w:rPr>
          <w:i/>
          <w:iCs/>
        </w:rPr>
        <w:t>MobilityFromEUTRACommand</w:t>
      </w:r>
      <w:r w:rsidRPr="004D0DAA">
        <w:t xml:space="preserve"> message is acted on the mobile station shall start the PS handover procedure and proceed as follows:</w:t>
      </w:r>
    </w:p>
    <w:p w14:paraId="14C04135" w14:textId="77777777" w:rsidR="00711444" w:rsidRPr="004D0DAA" w:rsidRDefault="00711444" w:rsidP="00711444">
      <w:pPr>
        <w:pStyle w:val="B1"/>
      </w:pPr>
      <w:r w:rsidRPr="004D0DAA">
        <w:t>-</w:t>
      </w:r>
      <w:r w:rsidRPr="004D0DAA">
        <w:tab/>
        <w:t xml:space="preserve">The mobile station shall act as described in 3GPP TS 25.331 (for handover from </w:t>
      </w:r>
      <w:r w:rsidRPr="004D0DAA">
        <w:rPr>
          <w:i/>
          <w:iCs/>
        </w:rPr>
        <w:t>Iu mode</w:t>
      </w:r>
      <w:r w:rsidRPr="004D0DAA">
        <w:t xml:space="preserve">) or as described in 3GPP TS 36.331 (for handover from </w:t>
      </w:r>
      <w:r w:rsidRPr="004D0DAA">
        <w:rPr>
          <w:iCs/>
        </w:rPr>
        <w:t>E-UTRAN</w:t>
      </w:r>
      <w:r w:rsidRPr="004D0DAA">
        <w:t>) prior to switching to the new cell except for the following:</w:t>
      </w:r>
    </w:p>
    <w:p w14:paraId="2E92482D" w14:textId="77777777" w:rsidR="00711444" w:rsidRPr="004D0DAA" w:rsidRDefault="00711444" w:rsidP="00711444">
      <w:pPr>
        <w:pStyle w:val="B2"/>
      </w:pPr>
      <w:r w:rsidRPr="004D0DAA">
        <w:t>-</w:t>
      </w:r>
      <w:r w:rsidRPr="004D0DAA">
        <w:tab/>
        <w:t xml:space="preserve">It shall ignore the value of the Page Mode, Global TFI and Container ID information elements included in the PS HANDOVER COMMAND message carried within the Handover from UTRAN Command or </w:t>
      </w:r>
      <w:r w:rsidRPr="004D0DAA">
        <w:rPr>
          <w:i/>
          <w:iCs/>
        </w:rPr>
        <w:t>MobilityFromEUTRACommand</w:t>
      </w:r>
      <w:r w:rsidRPr="004D0DAA">
        <w:t xml:space="preserve"> message.</w:t>
      </w:r>
    </w:p>
    <w:p w14:paraId="3CE7A97C" w14:textId="77777777" w:rsidR="00711444" w:rsidRPr="004D0DAA" w:rsidRDefault="00711444" w:rsidP="00711444">
      <w:pPr>
        <w:pStyle w:val="B1"/>
      </w:pPr>
      <w:r w:rsidRPr="004D0DAA">
        <w:t>-</w:t>
      </w:r>
      <w:r w:rsidRPr="004D0DAA">
        <w:tab/>
        <w:t xml:space="preserve">After switching to the new cell the mobile station shall proceed as described above for the case of </w:t>
      </w:r>
      <w:r w:rsidRPr="004D0DAA">
        <w:rPr>
          <w:i/>
          <w:iCs/>
        </w:rPr>
        <w:t>A/Gb mode</w:t>
      </w:r>
      <w:r w:rsidRPr="004D0DAA">
        <w:t xml:space="preserve"> to </w:t>
      </w:r>
      <w:r w:rsidRPr="004D0DAA">
        <w:rPr>
          <w:i/>
          <w:iCs/>
        </w:rPr>
        <w:t>A/Gb mode</w:t>
      </w:r>
      <w:r w:rsidRPr="004D0DAA">
        <w:t xml:space="preserve"> PS handover except for the following:</w:t>
      </w:r>
    </w:p>
    <w:p w14:paraId="1E5DCA4C" w14:textId="77777777" w:rsidR="00711444" w:rsidRPr="004D0DAA" w:rsidRDefault="00711444" w:rsidP="00711444">
      <w:pPr>
        <w:pStyle w:val="B2"/>
      </w:pPr>
      <w:r w:rsidRPr="004D0DAA">
        <w:t>-</w:t>
      </w:r>
      <w:r w:rsidRPr="004D0DAA">
        <w:tab/>
        <w:t xml:space="preserve">Upon successfully completing the PS handover procedure the mobile station shall stop T3216 (if running), consider all radio bearers that were ongoing in the old cell as implicitly released, send the </w:t>
      </w:r>
      <w:r w:rsidRPr="004D0DAA">
        <w:rPr>
          <w:i/>
          <w:iCs/>
        </w:rPr>
        <w:t>NAS Container for PS Handover</w:t>
      </w:r>
      <w:r w:rsidRPr="004D0DAA">
        <w:t xml:space="preserve"> IE to upper layers if it was included in the PS HANDOVER COMMAND message, start an instance of T3180 corresponding to each uplink TBF allocated by the PS HANDOVER COMMAND message and start an instance of T3190 corresponding to each downlink TBF allocated by the PS HANDOVER COMMAND message.</w:t>
      </w:r>
    </w:p>
    <w:p w14:paraId="0F268DB2" w14:textId="77777777" w:rsidR="00711444" w:rsidRPr="004D0DAA" w:rsidRDefault="00711444" w:rsidP="00711444">
      <w:pPr>
        <w:pStyle w:val="B2"/>
      </w:pPr>
      <w:r w:rsidRPr="004D0DAA">
        <w:t>-</w:t>
      </w:r>
      <w:r w:rsidRPr="004D0DAA">
        <w:tab/>
        <w:t>Upon successfully completing the PS handover procedure the mobile station shall always establish a new RLC entity for each TBF allocated by the PS HANDOVER COMMAND message.</w:t>
      </w:r>
    </w:p>
    <w:p w14:paraId="55168F19" w14:textId="77777777" w:rsidR="00711444" w:rsidRPr="004D0DAA" w:rsidRDefault="00711444" w:rsidP="00711444">
      <w:pPr>
        <w:pStyle w:val="Heading4"/>
      </w:pPr>
      <w:bookmarkStart w:id="370" w:name="_Toc516669557"/>
      <w:r w:rsidRPr="004D0DAA">
        <w:t>8.10.4.4</w:t>
      </w:r>
      <w:r w:rsidRPr="004D0DAA">
        <w:tab/>
        <w:t>Physical channel establishment</w:t>
      </w:r>
      <w:bookmarkEnd w:id="370"/>
    </w:p>
    <w:p w14:paraId="5D7C9D14" w14:textId="77777777" w:rsidR="00711444" w:rsidRPr="004D0DAA" w:rsidRDefault="00711444" w:rsidP="00711444">
      <w:pPr>
        <w:pStyle w:val="Heading5"/>
      </w:pPr>
      <w:bookmarkStart w:id="371" w:name="_Toc516669558"/>
      <w:r w:rsidRPr="004D0DAA">
        <w:t>8.10.4.4.1</w:t>
      </w:r>
      <w:r w:rsidRPr="004D0DAA">
        <w:tab/>
        <w:t>General</w:t>
      </w:r>
      <w:bookmarkEnd w:id="371"/>
    </w:p>
    <w:p w14:paraId="10A2F0CB" w14:textId="77777777" w:rsidR="00711444" w:rsidRPr="004D0DAA" w:rsidRDefault="00711444" w:rsidP="00711444">
      <w:r w:rsidRPr="004D0DAA">
        <w:t xml:space="preserve">Three procedures are defined. The support of them is mandatory in the mobile station. </w:t>
      </w:r>
    </w:p>
    <w:p w14:paraId="55FC5E22" w14:textId="77777777" w:rsidR="00711444" w:rsidRPr="004D0DAA" w:rsidRDefault="00711444" w:rsidP="00711444">
      <w:r w:rsidRPr="004D0DAA">
        <w:t>If the network requests the transmission of the PS HANDOVER ACCESS message it shall be sent with highest transmission priority using either the 8-bit or 11-bit access burst format on the PACCH associated with any uplink TBF allocated in the PS HANDOVER COMMAND message for which the mobile station detects an assigned USF value. Its content consists of the handover reference field. The burst format used shall be that specified by the ACCESS_BURST_TYPE in the system information for the target cell.</w:t>
      </w:r>
    </w:p>
    <w:p w14:paraId="4DB415A4" w14:textId="77777777" w:rsidR="00711444" w:rsidRPr="004D0DAA" w:rsidRDefault="00711444" w:rsidP="00711444">
      <w:r w:rsidRPr="004D0DAA">
        <w:rPr>
          <w:lang w:eastAsia="zh-CN"/>
        </w:rPr>
        <w:t>Upon detecting the first USF for any uplink TBF assigned to the MS in the new cell, the MS shall stop T3218.</w:t>
      </w:r>
    </w:p>
    <w:p w14:paraId="10AF25DF" w14:textId="77777777" w:rsidR="00711444" w:rsidRPr="004D0DAA" w:rsidRDefault="00711444" w:rsidP="00711444">
      <w:pPr>
        <w:pStyle w:val="Heading5"/>
      </w:pPr>
      <w:bookmarkStart w:id="372" w:name="_Toc516669559"/>
      <w:r w:rsidRPr="004D0DAA">
        <w:lastRenderedPageBreak/>
        <w:t>8.10.4.4.2</w:t>
      </w:r>
      <w:r w:rsidRPr="004D0DAA">
        <w:tab/>
        <w:t>Synchronized cell case</w:t>
      </w:r>
      <w:bookmarkEnd w:id="372"/>
    </w:p>
    <w:p w14:paraId="2A4CA811" w14:textId="77777777" w:rsidR="00711444" w:rsidRPr="004D0DAA" w:rsidRDefault="00711444" w:rsidP="00711444">
      <w:pPr>
        <w:keepNext/>
      </w:pPr>
      <w:r w:rsidRPr="004D0DAA">
        <w:t>If the timing advance with the new cell calculated by the mobile station is not out of range, i.e. smaller than or equal to the maximum timing advance that can be coded as specified in 3GPP TS 44.004, or if the new cell does accept out of range timing advance as indicated in the PS HANDOVER COMMAND message, the mobile station acts on the message.</w:t>
      </w:r>
    </w:p>
    <w:p w14:paraId="59D855A9" w14:textId="77777777" w:rsidR="00711444" w:rsidRPr="004D0DAA" w:rsidRDefault="00711444" w:rsidP="00711444">
      <w:pPr>
        <w:keepLines/>
      </w:pPr>
      <w:r w:rsidRPr="004D0DAA">
        <w:t xml:space="preserve">After having switched to the assigned channels, if the Handover Reference information is included within the PS HANDOVER COMMAND message the mobile station shall send four times the PS HANDOVER ACCESS message. </w:t>
      </w:r>
    </w:p>
    <w:p w14:paraId="5B5B2B28" w14:textId="77777777" w:rsidR="00711444" w:rsidRPr="004D0DAA" w:rsidRDefault="00711444" w:rsidP="00711444">
      <w:r w:rsidRPr="004D0DAA">
        <w:t>The mobile station activates the channels in sending and receiving mode. The MS may activate the channels in downlink while sending access bursts.</w:t>
      </w:r>
    </w:p>
    <w:p w14:paraId="5393738C" w14:textId="77777777" w:rsidR="00711444" w:rsidRPr="004D0DAA" w:rsidRDefault="00711444" w:rsidP="00711444">
      <w:pPr>
        <w:pStyle w:val="Heading5"/>
      </w:pPr>
      <w:bookmarkStart w:id="373" w:name="_Toc516669560"/>
      <w:r w:rsidRPr="004D0DAA">
        <w:t>8.10.4.4.3</w:t>
      </w:r>
      <w:r w:rsidRPr="004D0DAA">
        <w:tab/>
        <w:t>Pre-synchronized cell case</w:t>
      </w:r>
      <w:bookmarkEnd w:id="373"/>
    </w:p>
    <w:p w14:paraId="5AC4AFC7" w14:textId="77777777" w:rsidR="00711444" w:rsidRPr="004D0DAA" w:rsidRDefault="00711444" w:rsidP="00711444">
      <w:r w:rsidRPr="004D0DAA">
        <w:t xml:space="preserve">The details of the use of this procedure are described in 3GPP TS 45.010. </w:t>
      </w:r>
    </w:p>
    <w:p w14:paraId="4698510A" w14:textId="77777777" w:rsidR="00711444" w:rsidRPr="004D0DAA" w:rsidRDefault="00711444" w:rsidP="00711444">
      <w:r w:rsidRPr="004D0DAA">
        <w:t xml:space="preserve">After having switched to the assigned channels, if the Handover Reference information is included within the PS HANDOVER COMMAND message the mobile station shall send four times the PS HANDOVER ACCESS message. </w:t>
      </w:r>
    </w:p>
    <w:p w14:paraId="5C69CE1D" w14:textId="77777777" w:rsidR="00711444" w:rsidRPr="004D0DAA" w:rsidRDefault="00711444" w:rsidP="00711444">
      <w:r w:rsidRPr="004D0DAA">
        <w:t>The mobile station activates the channels in sending and receiving mode. The MS may activate the channels in downlink while sending access bursts.</w:t>
      </w:r>
    </w:p>
    <w:p w14:paraId="62151470" w14:textId="77777777" w:rsidR="00711444" w:rsidRPr="004D0DAA" w:rsidRDefault="00711444" w:rsidP="00711444">
      <w:r w:rsidRPr="004D0DAA">
        <w:t>The timing advance value to be used with the new cell is:</w:t>
      </w:r>
    </w:p>
    <w:p w14:paraId="5DBDE7B9" w14:textId="77777777" w:rsidR="00711444" w:rsidRPr="004D0DAA" w:rsidRDefault="00711444" w:rsidP="00711444">
      <w:pPr>
        <w:pStyle w:val="B1"/>
      </w:pPr>
      <w:r w:rsidRPr="004D0DAA">
        <w:t>-</w:t>
      </w:r>
      <w:r w:rsidRPr="004D0DAA">
        <w:tab/>
        <w:t>either the value contained in the PS HANDOVER COMMAND message if the timing advance information is included; or</w:t>
      </w:r>
    </w:p>
    <w:p w14:paraId="596F98A5" w14:textId="77777777" w:rsidR="00711444" w:rsidRPr="004D0DAA" w:rsidRDefault="00711444" w:rsidP="00711444">
      <w:pPr>
        <w:pStyle w:val="B1"/>
      </w:pPr>
      <w:r w:rsidRPr="004D0DAA">
        <w:t>-</w:t>
      </w:r>
      <w:r w:rsidRPr="004D0DAA">
        <w:tab/>
        <w:t xml:space="preserve">the default value for pre-synchronized handover as defined in 3GPP TS 45.010, if the timing advance information element is not included in the PS HANDOVER COMMAND message. </w:t>
      </w:r>
    </w:p>
    <w:p w14:paraId="293FD61F" w14:textId="77777777" w:rsidR="00711444" w:rsidRPr="004D0DAA" w:rsidRDefault="00711444" w:rsidP="00711444">
      <w:pPr>
        <w:pStyle w:val="Heading5"/>
      </w:pPr>
      <w:bookmarkStart w:id="374" w:name="_Toc516669561"/>
      <w:r w:rsidRPr="004D0DAA">
        <w:t>8.10.4.4.4</w:t>
      </w:r>
      <w:r w:rsidRPr="004D0DAA">
        <w:tab/>
        <w:t>Non synchronized cell case</w:t>
      </w:r>
      <w:bookmarkEnd w:id="374"/>
    </w:p>
    <w:p w14:paraId="1106377C" w14:textId="77777777" w:rsidR="00711444" w:rsidRPr="004D0DAA" w:rsidRDefault="00711444" w:rsidP="00711444">
      <w:r w:rsidRPr="004D0DAA">
        <w:t>After having switched to the assigned channels, the mobile station shall send four times the PS HANDOVER ACCESS message. The mobile station shall start timer T3216 at the start point of the timeslot in which the PS HANDOVER ACCESS message is sent the first time on the PACCH.</w:t>
      </w:r>
    </w:p>
    <w:p w14:paraId="368B49D1" w14:textId="77777777" w:rsidR="00711444" w:rsidRPr="004D0DAA" w:rsidRDefault="00711444" w:rsidP="00711444">
      <w:r w:rsidRPr="004D0DAA">
        <w:t>The mobile station then activates the channels in receiving mode.</w:t>
      </w:r>
    </w:p>
    <w:p w14:paraId="189BB27E" w14:textId="77777777" w:rsidR="00711444" w:rsidRPr="004D0DAA" w:rsidRDefault="00711444" w:rsidP="00711444">
      <w:r w:rsidRPr="004D0DAA">
        <w:t xml:space="preserve">Upon reception of the PS HANDOVER ACCESS message containing the expected Handover Reference value, once the network has the RF characteristics that are necessary, it sends a PACKET PHYSICAL INFORMATION message to the mobile station on the PACCH. </w:t>
      </w:r>
    </w:p>
    <w:p w14:paraId="281B3DE7" w14:textId="77777777" w:rsidR="00711444" w:rsidRPr="004D0DAA" w:rsidRDefault="00711444" w:rsidP="00711444">
      <w:pPr>
        <w:keepNext/>
        <w:keepLines/>
      </w:pPr>
      <w:r w:rsidRPr="004D0DAA">
        <w:t>When the mobile station receives a PACKET PHYSICAL INFORMATION message, it stops timer T3216, stops sending access bursts and activates the channels in sending and receiving mode.</w:t>
      </w:r>
    </w:p>
    <w:p w14:paraId="38228E40" w14:textId="77777777" w:rsidR="00711444" w:rsidRPr="004D0DAA" w:rsidRDefault="00711444" w:rsidP="00711444">
      <w:pPr>
        <w:pStyle w:val="Heading4"/>
      </w:pPr>
      <w:bookmarkStart w:id="375" w:name="_Toc516669562"/>
      <w:r w:rsidRPr="004D0DAA">
        <w:t>8.10.4.5</w:t>
      </w:r>
      <w:r w:rsidRPr="004D0DAA">
        <w:tab/>
        <w:t>A/Gb to GAN PS Handover</w:t>
      </w:r>
      <w:bookmarkEnd w:id="375"/>
    </w:p>
    <w:p w14:paraId="20B80418" w14:textId="77777777" w:rsidR="00711444" w:rsidRPr="004D0DAA" w:rsidRDefault="00711444" w:rsidP="00711444">
      <w:r w:rsidRPr="004D0DAA">
        <w:t xml:space="preserve">Upon successfully performing a GAN registration (see 3GPP TS 43.129 [43]), a mobile station in packet transfer mode may trigger a PS handover to a GAN cell by sending a </w:t>
      </w:r>
      <w:r w:rsidRPr="004D0DAA">
        <w:rPr>
          <w:caps/>
        </w:rPr>
        <w:t>Packet Cell Change Notification</w:t>
      </w:r>
      <w:r w:rsidRPr="004D0DAA">
        <w:t xml:space="preserve"> message (see sub-clause 8.8.3). The mobile station may send the </w:t>
      </w:r>
      <w:r w:rsidRPr="004D0DAA">
        <w:rPr>
          <w:caps/>
        </w:rPr>
        <w:t>Packet Cell Change Notification</w:t>
      </w:r>
      <w:r w:rsidRPr="004D0DAA">
        <w:t xml:space="preserve"> message either at the first possible transmission opportunity following GAN registration if GAN mode is preferred or when the GERAN cell becomes sufficiently degraded if GERAN/UTRAN mode is preferred. If the network and the mobile station support PS handover to </w:t>
      </w:r>
      <w:r w:rsidRPr="004D0DAA">
        <w:rPr>
          <w:i/>
          <w:iCs/>
        </w:rPr>
        <w:t>GAN mode</w:t>
      </w:r>
      <w:r w:rsidRPr="004D0DAA">
        <w:t xml:space="preserve">, the network may initiate the PS handover procedure. The mobile station shall then proceed as described in sub-clause 8.10.4.1 for the case of </w:t>
      </w:r>
      <w:r w:rsidRPr="004D0DAA">
        <w:rPr>
          <w:i/>
          <w:iCs/>
        </w:rPr>
        <w:t>A/Gb mode</w:t>
      </w:r>
      <w:r w:rsidRPr="004D0DAA">
        <w:t xml:space="preserve"> to </w:t>
      </w:r>
      <w:r w:rsidRPr="004D0DAA">
        <w:rPr>
          <w:i/>
          <w:iCs/>
        </w:rPr>
        <w:t>A/Gb mode</w:t>
      </w:r>
      <w:r w:rsidRPr="004D0DAA">
        <w:t xml:space="preserve"> PS handover except for the following:</w:t>
      </w:r>
    </w:p>
    <w:p w14:paraId="4E81D433" w14:textId="77777777" w:rsidR="00711444" w:rsidRPr="004D0DAA" w:rsidRDefault="00711444" w:rsidP="00711444">
      <w:pPr>
        <w:pStyle w:val="B1"/>
      </w:pPr>
      <w:r w:rsidRPr="004D0DAA">
        <w:t>-</w:t>
      </w:r>
      <w:r w:rsidRPr="004D0DAA">
        <w:tab/>
        <w:t xml:space="preserve">Since the mobile station provides an ARFCN and BSIC corresponding to a GAN cell within the PACKET CELL CHANGE NOTIFICATION message it does not expect a valid minimum set of PSI or SI messages prior to receiving a </w:t>
      </w:r>
      <w:r w:rsidRPr="004D0DAA">
        <w:rPr>
          <w:caps/>
        </w:rPr>
        <w:t>PS Handover Command</w:t>
      </w:r>
      <w:r w:rsidRPr="004D0DAA">
        <w:t xml:space="preserve"> message directing it to a GAN cell</w:t>
      </w:r>
      <w:r w:rsidRPr="004D0DAA">
        <w:rPr>
          <w:caps/>
        </w:rPr>
        <w:t>.</w:t>
      </w:r>
    </w:p>
    <w:p w14:paraId="65B68D4E" w14:textId="77777777" w:rsidR="00711444" w:rsidRPr="004D0DAA" w:rsidRDefault="00711444" w:rsidP="00711444">
      <w:pPr>
        <w:pStyle w:val="B1"/>
      </w:pPr>
      <w:r w:rsidRPr="004D0DAA">
        <w:t>-</w:t>
      </w:r>
      <w:r w:rsidRPr="004D0DAA">
        <w:tab/>
        <w:t xml:space="preserve">Upon receiving a PS HANDOVER COMMAND message the MS determines that PS handover to a GAN cell has been ordered if the ARFCN and BSIC included within the message matches the corresponding values it included within the PACKET CELL CHANGE NOTIFICATION message. </w:t>
      </w:r>
    </w:p>
    <w:p w14:paraId="2757CEF1" w14:textId="77777777" w:rsidR="00711444" w:rsidRPr="004D0DAA" w:rsidRDefault="00711444" w:rsidP="00711444">
      <w:pPr>
        <w:pStyle w:val="B1"/>
      </w:pPr>
      <w:r w:rsidRPr="004D0DAA">
        <w:lastRenderedPageBreak/>
        <w:t>-</w:t>
      </w:r>
      <w:r w:rsidRPr="004D0DAA">
        <w:tab/>
        <w:t>After successful PS handover to the GAN cell (see 3GPP TS 44.318 [42]) the mobile station switches to GAN mode and considers all TBFs that were ongoing in the old cell as implicitly released.</w:t>
      </w:r>
    </w:p>
    <w:p w14:paraId="6EAAB2B6" w14:textId="77777777" w:rsidR="00711444" w:rsidRPr="004D0DAA" w:rsidRDefault="00711444" w:rsidP="00711444">
      <w:pPr>
        <w:pStyle w:val="Heading4"/>
      </w:pPr>
      <w:bookmarkStart w:id="376" w:name="_Toc516669563"/>
      <w:r w:rsidRPr="004D0DAA">
        <w:t>8.10.4.6</w:t>
      </w:r>
      <w:r w:rsidRPr="004D0DAA">
        <w:tab/>
        <w:t>GAN to A/Gb PS Handover</w:t>
      </w:r>
      <w:bookmarkEnd w:id="376"/>
      <w:r w:rsidRPr="004D0DAA">
        <w:t xml:space="preserve"> </w:t>
      </w:r>
    </w:p>
    <w:p w14:paraId="2596F50B" w14:textId="77777777" w:rsidR="00711444" w:rsidRPr="004D0DAA" w:rsidRDefault="00711444" w:rsidP="00711444">
      <w:r w:rsidRPr="004D0DAA">
        <w:t xml:space="preserve">Upon receiving a GA-PSR </w:t>
      </w:r>
      <w:r w:rsidRPr="004D0DAA">
        <w:rPr>
          <w:caps/>
        </w:rPr>
        <w:t>Handover Command</w:t>
      </w:r>
      <w:r w:rsidRPr="004D0DAA">
        <w:t xml:space="preserve"> message for PS handover from </w:t>
      </w:r>
      <w:r w:rsidRPr="004D0DAA">
        <w:rPr>
          <w:i/>
          <w:iCs/>
        </w:rPr>
        <w:t>GAN mode</w:t>
      </w:r>
      <w:r w:rsidRPr="004D0DAA">
        <w:t xml:space="preserve"> to </w:t>
      </w:r>
      <w:r w:rsidRPr="004D0DAA">
        <w:rPr>
          <w:i/>
          <w:iCs/>
        </w:rPr>
        <w:t>A/Gb mode</w:t>
      </w:r>
      <w:r w:rsidRPr="004D0DAA">
        <w:t xml:space="preserve">, a mobile station that supports GAN PS handover shall act on the message as described in 3GPP TS 44.318 [42] prior to switching to the new cell. After switching to the new cell the mobile station shall proceed as described in sub-clause 8.10.4.1 for the case of </w:t>
      </w:r>
      <w:r w:rsidRPr="004D0DAA">
        <w:rPr>
          <w:i/>
          <w:iCs/>
        </w:rPr>
        <w:t>A/Gb mode</w:t>
      </w:r>
      <w:r w:rsidRPr="004D0DAA">
        <w:t xml:space="preserve"> to </w:t>
      </w:r>
      <w:r w:rsidRPr="004D0DAA">
        <w:rPr>
          <w:i/>
          <w:iCs/>
        </w:rPr>
        <w:t>A/Gb mode</w:t>
      </w:r>
      <w:r w:rsidRPr="004D0DAA">
        <w:t xml:space="preserve"> PS handover except for the following:</w:t>
      </w:r>
    </w:p>
    <w:p w14:paraId="2B436377" w14:textId="77777777" w:rsidR="00711444" w:rsidRPr="004D0DAA" w:rsidRDefault="00711444" w:rsidP="00711444">
      <w:pPr>
        <w:pStyle w:val="B1"/>
      </w:pPr>
      <w:r w:rsidRPr="004D0DAA">
        <w:t>-</w:t>
      </w:r>
      <w:r w:rsidRPr="004D0DAA">
        <w:tab/>
        <w:t>None of the actions corresponding to TBFs in the old cell are applicable.</w:t>
      </w:r>
    </w:p>
    <w:p w14:paraId="534B961C" w14:textId="77777777" w:rsidR="00711444" w:rsidRPr="004D0DAA" w:rsidRDefault="00711444" w:rsidP="00711444">
      <w:pPr>
        <w:pStyle w:val="B1"/>
      </w:pPr>
      <w:r w:rsidRPr="004D0DAA">
        <w:t>-</w:t>
      </w:r>
      <w:r w:rsidRPr="004D0DAA">
        <w:tab/>
        <w:t>Upon successful completion of the PS handover procedure the mobile station shall consider the GA-PSR Transport Channel used in the old cell as implicitly released.</w:t>
      </w:r>
    </w:p>
    <w:p w14:paraId="15CA8DC3" w14:textId="77777777" w:rsidR="00711444" w:rsidRPr="004D0DAA" w:rsidRDefault="00711444" w:rsidP="00711444">
      <w:pPr>
        <w:pStyle w:val="B1"/>
      </w:pPr>
      <w:r w:rsidRPr="004D0DAA">
        <w:t>-</w:t>
      </w:r>
      <w:r w:rsidRPr="004D0DAA">
        <w:tab/>
        <w:t>The mobile station shall always establish a new RLC entity for each TBF allocated by the PS HANDOVER COMMAND message (i.e. regardless if an intra-SGSN or an inter-SGSN PS handover was performed).</w:t>
      </w:r>
    </w:p>
    <w:p w14:paraId="16AD204C" w14:textId="77777777" w:rsidR="00711444" w:rsidRPr="004D0DAA" w:rsidRDefault="00711444" w:rsidP="00711444">
      <w:pPr>
        <w:pStyle w:val="Heading3"/>
      </w:pPr>
      <w:bookmarkStart w:id="377" w:name="_Toc516669564"/>
      <w:r w:rsidRPr="004D0DAA">
        <w:t>8.10.5</w:t>
      </w:r>
      <w:r w:rsidRPr="004D0DAA">
        <w:tab/>
        <w:t>Abnormal Cases</w:t>
      </w:r>
      <w:bookmarkEnd w:id="377"/>
    </w:p>
    <w:p w14:paraId="0ABCCEC4" w14:textId="77777777" w:rsidR="00711444" w:rsidRPr="004D0DAA" w:rsidRDefault="00711444" w:rsidP="00711444">
      <w:pPr>
        <w:pStyle w:val="Heading4"/>
      </w:pPr>
      <w:bookmarkStart w:id="378" w:name="_Toc516669565"/>
      <w:r w:rsidRPr="004D0DAA">
        <w:t>8.10.5.1</w:t>
      </w:r>
      <w:r w:rsidRPr="004D0DAA">
        <w:tab/>
        <w:t>MS Behaviour for A/Gb to A/Gb PS Handover</w:t>
      </w:r>
      <w:bookmarkEnd w:id="378"/>
    </w:p>
    <w:p w14:paraId="0854EFCD" w14:textId="77777777" w:rsidR="00711444" w:rsidRPr="004D0DAA" w:rsidRDefault="00711444" w:rsidP="00711444">
      <w:r w:rsidRPr="004D0DAA">
        <w:t xml:space="preserve">A mobile station operating in </w:t>
      </w:r>
      <w:r w:rsidRPr="004D0DAA">
        <w:rPr>
          <w:i/>
        </w:rPr>
        <w:t>A/Gb mode</w:t>
      </w:r>
      <w:r w:rsidRPr="004D0DAA">
        <w:t xml:space="preserve"> shall consider the PS handover to </w:t>
      </w:r>
      <w:r w:rsidRPr="004D0DAA">
        <w:rPr>
          <w:i/>
        </w:rPr>
        <w:t>A/Gb mode</w:t>
      </w:r>
      <w:r w:rsidRPr="004D0DAA">
        <w:t xml:space="preserve"> to have failed if the PS HANDOVER COMMAND message:</w:t>
      </w:r>
    </w:p>
    <w:p w14:paraId="3D804099" w14:textId="77777777" w:rsidR="00711444" w:rsidRPr="004D0DAA" w:rsidRDefault="00711444" w:rsidP="00711444">
      <w:pPr>
        <w:pStyle w:val="B1"/>
      </w:pPr>
      <w:r w:rsidRPr="004D0DAA">
        <w:t>-</w:t>
      </w:r>
      <w:r w:rsidRPr="004D0DAA">
        <w:tab/>
        <w:t>contains an invalid Frequency Parameters information element; or</w:t>
      </w:r>
    </w:p>
    <w:p w14:paraId="7C3AFF1A" w14:textId="77777777" w:rsidR="00711444" w:rsidRPr="004D0DAA" w:rsidRDefault="00711444" w:rsidP="00711444">
      <w:pPr>
        <w:pStyle w:val="B1"/>
      </w:pPr>
      <w:r w:rsidRPr="004D0DAA">
        <w:t>-</w:t>
      </w:r>
      <w:r w:rsidRPr="004D0DAA">
        <w:tab/>
        <w:t>contains specifying frequencies that are not all in one frequency band; or</w:t>
      </w:r>
    </w:p>
    <w:p w14:paraId="7E597A42" w14:textId="77777777" w:rsidR="00711444" w:rsidRPr="004D0DAA" w:rsidRDefault="00711444" w:rsidP="00711444">
      <w:pPr>
        <w:pStyle w:val="B1"/>
      </w:pPr>
      <w:r w:rsidRPr="004D0DAA">
        <w:t>-</w:t>
      </w:r>
      <w:r w:rsidRPr="004D0DAA">
        <w:tab/>
        <w:t>contains a Frequency Parameters information element specifying a frequency that is in a frequency band not supported by the mobile station; or</w:t>
      </w:r>
    </w:p>
    <w:p w14:paraId="49B432E2" w14:textId="77777777" w:rsidR="00711444" w:rsidRPr="004D0DAA" w:rsidRDefault="00711444" w:rsidP="00711444">
      <w:pPr>
        <w:pStyle w:val="B1"/>
      </w:pPr>
      <w:r w:rsidRPr="004D0DAA">
        <w:t>-</w:t>
      </w:r>
      <w:r w:rsidRPr="004D0DAA">
        <w:tab/>
        <w:t>does not properly specify an uplink or downlink PDCH or specifies a multislot configuration that the mobile station does not support (see 3GPP TS 45.002); or</w:t>
      </w:r>
    </w:p>
    <w:p w14:paraId="2110DA26" w14:textId="77777777" w:rsidR="00711444" w:rsidRPr="004D0DAA" w:rsidRDefault="00711444" w:rsidP="00711444">
      <w:pPr>
        <w:pStyle w:val="B1"/>
      </w:pPr>
      <w:r w:rsidRPr="004D0DAA">
        <w:t>-</w:t>
      </w:r>
      <w:r w:rsidRPr="004D0DAA">
        <w:tab/>
        <w:t>does not provide resources for at least one uplink TBF in the new cell; or</w:t>
      </w:r>
    </w:p>
    <w:p w14:paraId="1E8DB9AD" w14:textId="77777777" w:rsidR="00711444" w:rsidRPr="004D0DAA" w:rsidRDefault="00711444" w:rsidP="00711444">
      <w:pPr>
        <w:pStyle w:val="B1"/>
        <w:rPr>
          <w:rFonts w:hint="eastAsia"/>
          <w:lang w:eastAsia="ko-KR"/>
        </w:rPr>
      </w:pPr>
      <w:r w:rsidRPr="004D0DAA">
        <w:rPr>
          <w:rFonts w:hint="eastAsia"/>
          <w:lang w:eastAsia="ko-KR"/>
        </w:rPr>
        <w:t>-</w:t>
      </w:r>
      <w:r w:rsidRPr="004D0DAA">
        <w:rPr>
          <w:rFonts w:hint="eastAsia"/>
          <w:lang w:eastAsia="ko-KR"/>
        </w:rPr>
        <w:tab/>
        <w:t>would result in one or more TBFs with FANR activated and one or more TBFs with FANR not activated for that mobile station; or</w:t>
      </w:r>
    </w:p>
    <w:p w14:paraId="3E18DB78" w14:textId="77777777" w:rsidR="00711444" w:rsidRPr="004D0DAA" w:rsidRDefault="00711444" w:rsidP="00711444">
      <w:pPr>
        <w:pStyle w:val="B1"/>
      </w:pPr>
      <w:r w:rsidRPr="004D0DAA">
        <w:t>-</w:t>
      </w:r>
      <w:r w:rsidRPr="004D0DAA">
        <w:tab/>
        <w:t xml:space="preserve">includes an inconsistent RTTI configuration assignment </w:t>
      </w:r>
      <w:r w:rsidRPr="004D0DAA">
        <w:rPr>
          <w:lang w:eastAsia="ko-KR"/>
        </w:rPr>
        <w:t xml:space="preserve">as per the conditions specified in </w:t>
      </w:r>
      <w:r w:rsidRPr="004D0DAA">
        <w:rPr>
          <w:rFonts w:hint="eastAsia"/>
          <w:lang w:eastAsia="ko-KR"/>
        </w:rPr>
        <w:t xml:space="preserve">sub-clause </w:t>
      </w:r>
      <w:r w:rsidRPr="004D0DAA">
        <w:rPr>
          <w:lang w:eastAsia="ko-KR"/>
        </w:rPr>
        <w:t>7</w:t>
      </w:r>
      <w:r w:rsidRPr="004D0DAA">
        <w:rPr>
          <w:rFonts w:hint="eastAsia"/>
          <w:lang w:eastAsia="ko-KR"/>
        </w:rPr>
        <w:t>.</w:t>
      </w:r>
      <w:r w:rsidRPr="004D0DAA">
        <w:rPr>
          <w:lang w:eastAsia="ko-KR"/>
        </w:rPr>
        <w:t>1</w:t>
      </w:r>
      <w:r w:rsidRPr="004D0DAA">
        <w:rPr>
          <w:rFonts w:hint="eastAsia"/>
          <w:lang w:eastAsia="ko-KR"/>
        </w:rPr>
        <w:t>.</w:t>
      </w:r>
      <w:r w:rsidRPr="004D0DAA">
        <w:rPr>
          <w:lang w:eastAsia="ko-KR"/>
        </w:rPr>
        <w:t>3.6</w:t>
      </w:r>
      <w:r w:rsidRPr="004D0DAA">
        <w:t>; or</w:t>
      </w:r>
    </w:p>
    <w:p w14:paraId="5AA85838" w14:textId="77777777" w:rsidR="00711444" w:rsidRPr="004D0DAA" w:rsidRDefault="00711444" w:rsidP="00711444">
      <w:pPr>
        <w:pStyle w:val="B1"/>
      </w:pPr>
      <w:r w:rsidRPr="004D0DAA">
        <w:t>-</w:t>
      </w:r>
      <w:r w:rsidRPr="004D0DAA">
        <w:tab/>
        <w:t>contains any other failure.</w:t>
      </w:r>
    </w:p>
    <w:p w14:paraId="074D3D14" w14:textId="77777777" w:rsidR="00711444" w:rsidRPr="004D0DAA" w:rsidRDefault="00711444" w:rsidP="00711444">
      <w:r w:rsidRPr="004D0DAA">
        <w:t xml:space="preserve">A mobile station operating in </w:t>
      </w:r>
      <w:r w:rsidRPr="004D0DAA">
        <w:rPr>
          <w:i/>
          <w:iCs/>
        </w:rPr>
        <w:t>A/Gb mode</w:t>
      </w:r>
      <w:r w:rsidRPr="004D0DAA">
        <w:t xml:space="preserve"> shall consider the PS handover to </w:t>
      </w:r>
      <w:r w:rsidRPr="004D0DAA">
        <w:rPr>
          <w:i/>
          <w:iCs/>
        </w:rPr>
        <w:t>A/Gb mode</w:t>
      </w:r>
      <w:r w:rsidRPr="004D0DAA">
        <w:t xml:space="preserve"> to have failed for the following reasons:</w:t>
      </w:r>
    </w:p>
    <w:p w14:paraId="392CEED9" w14:textId="77777777" w:rsidR="00711444" w:rsidRPr="004D0DAA" w:rsidRDefault="00711444" w:rsidP="00711444">
      <w:pPr>
        <w:pStyle w:val="B1"/>
      </w:pPr>
      <w:r w:rsidRPr="004D0DAA">
        <w:t>-</w:t>
      </w:r>
      <w:r w:rsidRPr="004D0DAA">
        <w:tab/>
        <w:t>In the synchronized cell case (see sub-clause 8.10.4.4.1), if the timing advance with the new cell calculated by the mobile station is out of range, i.e. is bigger than the maximum timing advance that can be coded as specified in 3GPP TS 44.004, and if the new cell does not accept out of range timing advance as indicated in the PS HANDOVER COMMAND message.</w:t>
      </w:r>
    </w:p>
    <w:p w14:paraId="0BD3D8B8" w14:textId="77777777" w:rsidR="00711444" w:rsidRPr="004D0DAA" w:rsidRDefault="00711444" w:rsidP="00711444">
      <w:pPr>
        <w:pStyle w:val="B1"/>
      </w:pPr>
      <w:r w:rsidRPr="004D0DAA">
        <w:t>-</w:t>
      </w:r>
      <w:r w:rsidRPr="004D0DAA">
        <w:tab/>
        <w:t>If it has not stored a valid minimum set of the following of PSI or SI messages (provided via PACKET NEIGHBOUR CELL DATA messages, see sub-clause 8.8.1) required for mobile station to operate in the new cell: PSI1, a consistent set of PSI2 messages and PSI14 (if PBCCH allocated in the new cell) or SI3, SI1 (if present in the new cell) and SI13 messages (if PBCCH not allocated in the new cell).</w:t>
      </w:r>
    </w:p>
    <w:p w14:paraId="592DD52C" w14:textId="77777777" w:rsidR="00711444" w:rsidRPr="004D0DAA" w:rsidRDefault="00711444" w:rsidP="00711444">
      <w:pPr>
        <w:pStyle w:val="B1"/>
        <w:rPr>
          <w:lang w:eastAsia="zh-CN"/>
        </w:rPr>
      </w:pPr>
      <w:r w:rsidRPr="004D0DAA">
        <w:t>-</w:t>
      </w:r>
      <w:r w:rsidRPr="004D0DAA">
        <w:tab/>
      </w:r>
      <w:r w:rsidRPr="004D0DAA">
        <w:rPr>
          <w:lang w:eastAsia="zh-CN"/>
        </w:rPr>
        <w:t>Timer T3218 expires while in the new cell.</w:t>
      </w:r>
    </w:p>
    <w:p w14:paraId="4E57DA04" w14:textId="77777777" w:rsidR="00711444" w:rsidRPr="004D0DAA" w:rsidRDefault="00711444" w:rsidP="00711444">
      <w:pPr>
        <w:pStyle w:val="B1"/>
      </w:pPr>
      <w:r w:rsidRPr="004D0DAA">
        <w:t>-</w:t>
      </w:r>
      <w:r w:rsidRPr="004D0DAA">
        <w:tab/>
        <w:t>Timer T3216 expires while in the new cell.</w:t>
      </w:r>
    </w:p>
    <w:p w14:paraId="1B53ADE9" w14:textId="77777777" w:rsidR="00711444" w:rsidRPr="004D0DAA" w:rsidRDefault="00711444" w:rsidP="00711444">
      <w:r w:rsidRPr="004D0DAA">
        <w:t xml:space="preserve">A mobile station operating in </w:t>
      </w:r>
      <w:r w:rsidRPr="004D0DAA">
        <w:rPr>
          <w:i/>
          <w:iCs/>
        </w:rPr>
        <w:t>A/Gb mode</w:t>
      </w:r>
      <w:r w:rsidRPr="004D0DAA">
        <w:t xml:space="preserve"> when a PS handover to </w:t>
      </w:r>
      <w:r w:rsidRPr="004D0DAA">
        <w:rPr>
          <w:i/>
          <w:iCs/>
        </w:rPr>
        <w:t>A/Gb mode</w:t>
      </w:r>
      <w:r w:rsidRPr="004D0DAA">
        <w:t xml:space="preserve"> fails shall proceed as follows:</w:t>
      </w:r>
    </w:p>
    <w:p w14:paraId="7443910B" w14:textId="77777777" w:rsidR="00711444" w:rsidRPr="004D0DAA" w:rsidRDefault="00711444" w:rsidP="00711444">
      <w:pPr>
        <w:pStyle w:val="B1"/>
      </w:pPr>
      <w:r w:rsidRPr="004D0DAA">
        <w:lastRenderedPageBreak/>
        <w:t>-</w:t>
      </w:r>
      <w:r w:rsidRPr="004D0DAA">
        <w:tab/>
      </w:r>
      <w:r w:rsidRPr="004D0DAA">
        <w:rPr>
          <w:lang w:eastAsia="zh-CN"/>
        </w:rPr>
        <w:t xml:space="preserve">If timer T3218 expired </w:t>
      </w:r>
      <w:r w:rsidRPr="004D0DAA">
        <w:t>it shall return to the cell on which the</w:t>
      </w:r>
      <w:r w:rsidRPr="004D0DAA">
        <w:rPr>
          <w:szCs w:val="24"/>
        </w:rPr>
        <w:t xml:space="preserve"> PS HANDOVER COMMAND message was received.</w:t>
      </w:r>
    </w:p>
    <w:p w14:paraId="5F20452F" w14:textId="77777777" w:rsidR="00711444" w:rsidRPr="004D0DAA" w:rsidRDefault="00711444" w:rsidP="00711444">
      <w:pPr>
        <w:pStyle w:val="B1"/>
      </w:pPr>
      <w:r w:rsidRPr="004D0DAA">
        <w:t>-</w:t>
      </w:r>
      <w:r w:rsidRPr="004D0DAA">
        <w:tab/>
        <w:t>If timer T3216 expired it shall return to the cell on which the PS HANDOVER COMMAND message was received.</w:t>
      </w:r>
    </w:p>
    <w:p w14:paraId="740B1561" w14:textId="77777777" w:rsidR="00711444" w:rsidRPr="004D0DAA" w:rsidRDefault="00711444" w:rsidP="00711444">
      <w:pPr>
        <w:pStyle w:val="B1"/>
      </w:pPr>
      <w:r w:rsidRPr="004D0DAA">
        <w:t>-</w:t>
      </w:r>
      <w:r w:rsidRPr="004D0DAA">
        <w:tab/>
        <w:t xml:space="preserve">Send a </w:t>
      </w:r>
      <w:r w:rsidRPr="004D0DAA">
        <w:rPr>
          <w:caps/>
        </w:rPr>
        <w:t>Packet Cell Change Failure</w:t>
      </w:r>
      <w:r w:rsidRPr="004D0DAA">
        <w:t xml:space="preserve"> message with the cause code set to</w:t>
      </w:r>
      <w:r w:rsidRPr="004D0DAA">
        <w:rPr>
          <w:lang w:eastAsia="zh-CN"/>
        </w:rPr>
        <w:t xml:space="preserve"> "No response on target cell" if timer T3218 or T3216 expired, otherwise "</w:t>
      </w:r>
      <w:r w:rsidRPr="004D0DAA">
        <w:t>PS Handover failure-</w:t>
      </w:r>
      <w:r w:rsidRPr="004D0DAA">
        <w:rPr>
          <w:lang w:eastAsia="zh-CN"/>
        </w:rPr>
        <w:t>others"</w:t>
      </w:r>
      <w:r w:rsidRPr="004D0DAA">
        <w:t>. The message shall be sent on PACCH.</w:t>
      </w:r>
    </w:p>
    <w:p w14:paraId="68402D5C" w14:textId="77777777" w:rsidR="00711444" w:rsidRPr="004D0DAA" w:rsidRDefault="00711444" w:rsidP="00711444">
      <w:pPr>
        <w:pStyle w:val="B1"/>
      </w:pPr>
      <w:r w:rsidRPr="004D0DAA">
        <w:t>-</w:t>
      </w:r>
      <w:r w:rsidRPr="004D0DAA">
        <w:tab/>
        <w:t xml:space="preserve">The transmission of a </w:t>
      </w:r>
      <w:r w:rsidRPr="004D0DAA">
        <w:rPr>
          <w:caps/>
        </w:rPr>
        <w:t>Packet Cell Change Failure</w:t>
      </w:r>
      <w:r w:rsidRPr="004D0DAA">
        <w:t xml:space="preserve"> message terminates the PS handover procedure in the mobile station and after the transmission of this message the mobile station is therefore allowed to request the establishment of additional uplink TBFs.</w:t>
      </w:r>
    </w:p>
    <w:p w14:paraId="01191DD5" w14:textId="77777777" w:rsidR="00711444" w:rsidRPr="004D0DAA" w:rsidRDefault="00711444" w:rsidP="00711444">
      <w:pPr>
        <w:pStyle w:val="B1"/>
      </w:pPr>
      <w:r w:rsidRPr="004D0DAA">
        <w:t>-</w:t>
      </w:r>
      <w:r w:rsidRPr="004D0DAA">
        <w:tab/>
        <w:t>After terminating the PS handover procedure the mobile station shall resume all uplink and downlink TBFs that were ongoing in the old cell prior to receiving the PS HANDOVER COMMAND message. Timers T3180 (uplink TBFs) and T3190 (downlink TBFs) corresponding to these TBFs shall be re-started.</w:t>
      </w:r>
    </w:p>
    <w:p w14:paraId="3B9A2E13" w14:textId="77777777" w:rsidR="00711444" w:rsidRPr="004D0DAA" w:rsidRDefault="00711444" w:rsidP="00711444">
      <w:pPr>
        <w:pStyle w:val="B1"/>
      </w:pPr>
      <w:r w:rsidRPr="004D0DAA">
        <w:t>-</w:t>
      </w:r>
      <w:r w:rsidRPr="004D0DAA">
        <w:tab/>
        <w:t>For each TBF that is resumed the corresponding RLC state machine shall reflect its state when the last RLC data block was transmitted for that TBF in the old cell (uplink TBFs) and the last RLC data block was received for that TBF in the old cell (downlink TBFs).</w:t>
      </w:r>
    </w:p>
    <w:p w14:paraId="24E66380" w14:textId="77777777" w:rsidR="00711444" w:rsidRPr="004D0DAA" w:rsidRDefault="00711444" w:rsidP="00711444">
      <w:pPr>
        <w:pStyle w:val="Heading4"/>
      </w:pPr>
      <w:bookmarkStart w:id="379" w:name="_Toc516669566"/>
      <w:r w:rsidRPr="004D0DAA">
        <w:t>8.10.5.2</w:t>
      </w:r>
      <w:r w:rsidRPr="004D0DAA">
        <w:tab/>
        <w:t>MS Behaviour for A/Gb to Iu/E-UTRAN PS Handover</w:t>
      </w:r>
      <w:bookmarkEnd w:id="379"/>
    </w:p>
    <w:p w14:paraId="3583E737" w14:textId="77777777" w:rsidR="00711444" w:rsidRPr="004D0DAA" w:rsidRDefault="00711444" w:rsidP="00711444">
      <w:r w:rsidRPr="004D0DAA">
        <w:t xml:space="preserve">A mobile station operating in </w:t>
      </w:r>
      <w:r w:rsidRPr="004D0DAA">
        <w:rPr>
          <w:i/>
          <w:iCs/>
        </w:rPr>
        <w:t>A/Gb mode</w:t>
      </w:r>
      <w:r w:rsidRPr="004D0DAA">
        <w:t xml:space="preserve"> shall consider PS handover to </w:t>
      </w:r>
      <w:r w:rsidRPr="004D0DAA">
        <w:rPr>
          <w:i/>
          <w:iCs/>
        </w:rPr>
        <w:t xml:space="preserve">Iu mode </w:t>
      </w:r>
      <w:r w:rsidRPr="004D0DAA">
        <w:rPr>
          <w:iCs/>
        </w:rPr>
        <w:t>or</w:t>
      </w:r>
      <w:r w:rsidRPr="004D0DAA">
        <w:rPr>
          <w:i/>
          <w:iCs/>
        </w:rPr>
        <w:t xml:space="preserve"> </w:t>
      </w:r>
      <w:r w:rsidRPr="004D0DAA">
        <w:rPr>
          <w:iCs/>
        </w:rPr>
        <w:t>E-UTRAN</w:t>
      </w:r>
      <w:r w:rsidRPr="004D0DAA">
        <w:t xml:space="preserve"> to have failed if it is unable to perform PS handover for any reason based on the content of the received PS HANDOVER COMMAND message.</w:t>
      </w:r>
    </w:p>
    <w:p w14:paraId="2049E7EC" w14:textId="77777777" w:rsidR="00711444" w:rsidRPr="004D0DAA" w:rsidRDefault="00711444" w:rsidP="00711444">
      <w:r w:rsidRPr="004D0DAA">
        <w:t xml:space="preserve">A mobile station operating in </w:t>
      </w:r>
      <w:r w:rsidRPr="004D0DAA">
        <w:rPr>
          <w:i/>
          <w:iCs/>
        </w:rPr>
        <w:t>A/Gb mode</w:t>
      </w:r>
      <w:r w:rsidRPr="004D0DAA">
        <w:t xml:space="preserve"> when a PS handover to </w:t>
      </w:r>
      <w:r w:rsidRPr="004D0DAA">
        <w:rPr>
          <w:i/>
          <w:iCs/>
        </w:rPr>
        <w:t xml:space="preserve">Iu mode </w:t>
      </w:r>
      <w:r w:rsidRPr="004D0DAA">
        <w:rPr>
          <w:iCs/>
        </w:rPr>
        <w:t>or E-UTRAN</w:t>
      </w:r>
      <w:r w:rsidRPr="004D0DAA">
        <w:t xml:space="preserve"> fails shall proceed as described above for the case where PS handover from A</w:t>
      </w:r>
      <w:r w:rsidRPr="004D0DAA">
        <w:rPr>
          <w:i/>
          <w:iCs/>
        </w:rPr>
        <w:t>/Gb mode</w:t>
      </w:r>
      <w:r w:rsidRPr="004D0DAA">
        <w:t xml:space="preserve"> to </w:t>
      </w:r>
      <w:r w:rsidRPr="004D0DAA">
        <w:rPr>
          <w:i/>
          <w:iCs/>
        </w:rPr>
        <w:t>A/Gb mode</w:t>
      </w:r>
      <w:r w:rsidRPr="004D0DAA">
        <w:t xml:space="preserve"> fails except that T3216 shall never be running.</w:t>
      </w:r>
    </w:p>
    <w:p w14:paraId="4E531263" w14:textId="77777777" w:rsidR="00711444" w:rsidRPr="004D0DAA" w:rsidRDefault="00711444" w:rsidP="00711444">
      <w:pPr>
        <w:pStyle w:val="Heading4"/>
      </w:pPr>
      <w:bookmarkStart w:id="380" w:name="_Toc516669567"/>
      <w:r w:rsidRPr="004D0DAA">
        <w:t>8.10.5.3</w:t>
      </w:r>
      <w:r w:rsidRPr="004D0DAA">
        <w:tab/>
        <w:t>MS Behaviour for Iu/E-UTRAN to A/Gb PS Handover</w:t>
      </w:r>
      <w:bookmarkEnd w:id="380"/>
    </w:p>
    <w:p w14:paraId="63F54F02" w14:textId="77777777" w:rsidR="00711444" w:rsidRPr="004D0DAA" w:rsidRDefault="00711444" w:rsidP="00711444">
      <w:r w:rsidRPr="004D0DAA">
        <w:t xml:space="preserve">A mobile station operating in </w:t>
      </w:r>
      <w:r w:rsidRPr="004D0DAA">
        <w:rPr>
          <w:i/>
          <w:iCs/>
        </w:rPr>
        <w:t xml:space="preserve">Iu mode </w:t>
      </w:r>
      <w:r w:rsidRPr="004D0DAA">
        <w:rPr>
          <w:iCs/>
        </w:rPr>
        <w:t>or E-UTRAN</w:t>
      </w:r>
      <w:r w:rsidRPr="004D0DAA">
        <w:t xml:space="preserve"> shall consider PS handover to </w:t>
      </w:r>
      <w:r w:rsidRPr="004D0DAA">
        <w:rPr>
          <w:i/>
          <w:iCs/>
        </w:rPr>
        <w:t>A/Gb mode</w:t>
      </w:r>
      <w:r w:rsidRPr="004D0DAA">
        <w:t xml:space="preserve"> to have failed for the following reasons:</w:t>
      </w:r>
    </w:p>
    <w:p w14:paraId="54E4E0E8" w14:textId="77777777" w:rsidR="00711444" w:rsidRPr="004D0DAA" w:rsidRDefault="00711444" w:rsidP="00711444">
      <w:pPr>
        <w:pStyle w:val="B1"/>
      </w:pPr>
      <w:r w:rsidRPr="004D0DAA">
        <w:t>-</w:t>
      </w:r>
      <w:r w:rsidRPr="004D0DAA">
        <w:tab/>
        <w:t xml:space="preserve">It is unable to perform PS handover for any reason based on the content of the received Handover from UTRAN Command or </w:t>
      </w:r>
      <w:r w:rsidRPr="004D0DAA">
        <w:rPr>
          <w:i/>
          <w:iCs/>
        </w:rPr>
        <w:t>MobilityFromEUTRACommand</w:t>
      </w:r>
      <w:r w:rsidRPr="004D0DAA">
        <w:t xml:space="preserve"> message. </w:t>
      </w:r>
    </w:p>
    <w:p w14:paraId="6B9514AC" w14:textId="77777777" w:rsidR="00711444" w:rsidRPr="004D0DAA" w:rsidRDefault="00711444" w:rsidP="00711444">
      <w:pPr>
        <w:pStyle w:val="B1"/>
      </w:pPr>
      <w:r w:rsidRPr="004D0DAA">
        <w:t>-</w:t>
      </w:r>
      <w:r w:rsidRPr="004D0DAA">
        <w:tab/>
        <w:t xml:space="preserve">The Handover from UTRAN Command or </w:t>
      </w:r>
      <w:r w:rsidRPr="004D0DAA">
        <w:rPr>
          <w:i/>
          <w:iCs/>
        </w:rPr>
        <w:t>MobilityFromEUTRACommand</w:t>
      </w:r>
      <w:r w:rsidRPr="004D0DAA">
        <w:t xml:space="preserve"> message does not contain the minimum set of PSI or SI messages required for mobile station to operate in the new cell (see sub-clause 8.10.2).</w:t>
      </w:r>
    </w:p>
    <w:p w14:paraId="5146F601" w14:textId="77777777" w:rsidR="00711444" w:rsidRPr="004D0DAA" w:rsidRDefault="00711444" w:rsidP="00711444">
      <w:pPr>
        <w:pStyle w:val="B1"/>
        <w:rPr>
          <w:lang w:eastAsia="zh-CN"/>
        </w:rPr>
      </w:pPr>
      <w:r w:rsidRPr="004D0DAA">
        <w:t>-</w:t>
      </w:r>
      <w:r w:rsidRPr="004D0DAA">
        <w:tab/>
      </w:r>
      <w:r w:rsidRPr="004D0DAA">
        <w:rPr>
          <w:lang w:eastAsia="zh-CN"/>
        </w:rPr>
        <w:t>Timer T3218 expires while in the new cell.</w:t>
      </w:r>
    </w:p>
    <w:p w14:paraId="2A587761" w14:textId="77777777" w:rsidR="00711444" w:rsidRPr="004D0DAA" w:rsidRDefault="00711444" w:rsidP="00711444">
      <w:pPr>
        <w:pStyle w:val="B1"/>
      </w:pPr>
      <w:r w:rsidRPr="004D0DAA">
        <w:t>-</w:t>
      </w:r>
      <w:r w:rsidRPr="004D0DAA">
        <w:tab/>
        <w:t>Timer T3216 expires while in the new cell.</w:t>
      </w:r>
    </w:p>
    <w:p w14:paraId="1EE8971C" w14:textId="77777777" w:rsidR="00711444" w:rsidRPr="004D0DAA" w:rsidRDefault="00711444" w:rsidP="00711444">
      <w:pPr>
        <w:pStyle w:val="B1"/>
      </w:pPr>
      <w:r w:rsidRPr="004D0DAA">
        <w:t>-</w:t>
      </w:r>
      <w:r w:rsidRPr="004D0DAA">
        <w:tab/>
        <w:t xml:space="preserve">The PS HANDOVER COMMAND message carried within the Handover from UTRAN Command or </w:t>
      </w:r>
      <w:r w:rsidRPr="004D0DAA">
        <w:rPr>
          <w:i/>
          <w:iCs/>
        </w:rPr>
        <w:t>MobilityFromEUTRACommand</w:t>
      </w:r>
      <w:r w:rsidRPr="004D0DAA">
        <w:t xml:space="preserve"> message does not provide resources for at least one uplink TBF in the new cell.</w:t>
      </w:r>
    </w:p>
    <w:p w14:paraId="5BF9E2F7" w14:textId="77777777" w:rsidR="00711444" w:rsidRPr="004D0DAA" w:rsidRDefault="00711444" w:rsidP="00711444">
      <w:pPr>
        <w:pStyle w:val="B1"/>
        <w:rPr>
          <w:rFonts w:hint="eastAsia"/>
          <w:lang w:eastAsia="ko-KR"/>
        </w:rPr>
      </w:pPr>
      <w:r w:rsidRPr="004D0DAA">
        <w:rPr>
          <w:rFonts w:hint="eastAsia"/>
          <w:lang w:eastAsia="ko-KR"/>
        </w:rPr>
        <w:t>-</w:t>
      </w:r>
      <w:r w:rsidRPr="004D0DAA">
        <w:rPr>
          <w:rFonts w:hint="eastAsia"/>
          <w:lang w:eastAsia="ko-KR"/>
        </w:rPr>
        <w:tab/>
        <w:t>The PS HANDOVER COMMAND message would result in one or more TBFs with FANR activated and one or more TBFs with FANR not activated for that mobile station.</w:t>
      </w:r>
    </w:p>
    <w:p w14:paraId="1C84F6BF" w14:textId="77777777" w:rsidR="00711444" w:rsidRPr="004D0DAA" w:rsidRDefault="00711444" w:rsidP="00711444">
      <w:pPr>
        <w:pStyle w:val="B1"/>
      </w:pPr>
      <w:r w:rsidRPr="004D0DAA">
        <w:t>-</w:t>
      </w:r>
      <w:r w:rsidRPr="004D0DAA">
        <w:tab/>
      </w:r>
      <w:r w:rsidRPr="004D0DAA">
        <w:rPr>
          <w:rFonts w:hint="eastAsia"/>
          <w:lang w:eastAsia="ko-KR"/>
        </w:rPr>
        <w:t xml:space="preserve">The PS HANDOVER COMMAND message </w:t>
      </w:r>
      <w:r w:rsidRPr="004D0DAA">
        <w:t xml:space="preserve">includes an inconsistent RTTI configuration assignment </w:t>
      </w:r>
      <w:r w:rsidRPr="004D0DAA">
        <w:rPr>
          <w:lang w:eastAsia="ko-KR"/>
        </w:rPr>
        <w:t xml:space="preserve">as per the conditions specified in </w:t>
      </w:r>
      <w:r w:rsidRPr="004D0DAA">
        <w:rPr>
          <w:rFonts w:hint="eastAsia"/>
          <w:lang w:eastAsia="ko-KR"/>
        </w:rPr>
        <w:t xml:space="preserve">sub-clause </w:t>
      </w:r>
      <w:r w:rsidRPr="004D0DAA">
        <w:rPr>
          <w:lang w:eastAsia="ko-KR"/>
        </w:rPr>
        <w:t>7</w:t>
      </w:r>
      <w:r w:rsidRPr="004D0DAA">
        <w:rPr>
          <w:rFonts w:hint="eastAsia"/>
          <w:lang w:eastAsia="ko-KR"/>
        </w:rPr>
        <w:t>.</w:t>
      </w:r>
      <w:r w:rsidRPr="004D0DAA">
        <w:rPr>
          <w:lang w:eastAsia="ko-KR"/>
        </w:rPr>
        <w:t>1</w:t>
      </w:r>
      <w:r w:rsidRPr="004D0DAA">
        <w:rPr>
          <w:rFonts w:hint="eastAsia"/>
          <w:lang w:eastAsia="ko-KR"/>
        </w:rPr>
        <w:t>.</w:t>
      </w:r>
      <w:r w:rsidRPr="004D0DAA">
        <w:rPr>
          <w:lang w:eastAsia="ko-KR"/>
        </w:rPr>
        <w:t>3.6</w:t>
      </w:r>
      <w:r w:rsidRPr="004D0DAA">
        <w:t>.</w:t>
      </w:r>
    </w:p>
    <w:p w14:paraId="33FACF22" w14:textId="77777777" w:rsidR="00711444" w:rsidRPr="004D0DAA" w:rsidRDefault="00711444" w:rsidP="00711444">
      <w:r w:rsidRPr="004D0DAA">
        <w:t xml:space="preserve">A mobile station operating in </w:t>
      </w:r>
      <w:r w:rsidRPr="004D0DAA">
        <w:rPr>
          <w:i/>
          <w:iCs/>
        </w:rPr>
        <w:t>Iu mode</w:t>
      </w:r>
      <w:r w:rsidRPr="004D0DAA">
        <w:t xml:space="preserve"> when a PS handover to </w:t>
      </w:r>
      <w:r w:rsidRPr="004D0DAA">
        <w:rPr>
          <w:i/>
          <w:iCs/>
        </w:rPr>
        <w:t>A/Gb mode</w:t>
      </w:r>
      <w:r w:rsidRPr="004D0DAA">
        <w:t xml:space="preserve"> fails shall return to the cell it was in prior to receiving the Handover from UTRAN Command message (if T3216 or T3218 expired) and proceed as described in 3GPP TS 25.331.</w:t>
      </w:r>
    </w:p>
    <w:p w14:paraId="37E92BB6" w14:textId="77777777" w:rsidR="00711444" w:rsidRPr="004D0DAA" w:rsidRDefault="00711444" w:rsidP="00711444">
      <w:r w:rsidRPr="004D0DAA">
        <w:t xml:space="preserve">A mobile station operating in </w:t>
      </w:r>
      <w:r w:rsidRPr="004D0DAA">
        <w:rPr>
          <w:iCs/>
        </w:rPr>
        <w:t>E-UTRAN</w:t>
      </w:r>
      <w:r w:rsidRPr="004D0DAA">
        <w:t xml:space="preserve"> when a PS handover to </w:t>
      </w:r>
      <w:r w:rsidRPr="004D0DAA">
        <w:rPr>
          <w:i/>
          <w:iCs/>
        </w:rPr>
        <w:t>A/Gb mode</w:t>
      </w:r>
      <w:r w:rsidRPr="004D0DAA">
        <w:t xml:space="preserve"> fails shall return to the cell it was in prior to receiving the</w:t>
      </w:r>
      <w:r w:rsidRPr="004D0DAA">
        <w:rPr>
          <w:i/>
        </w:rPr>
        <w:t xml:space="preserve"> </w:t>
      </w:r>
      <w:r w:rsidRPr="004D0DAA">
        <w:rPr>
          <w:i/>
          <w:iCs/>
        </w:rPr>
        <w:t>MobilityFromEUTRACommand</w:t>
      </w:r>
      <w:r w:rsidRPr="004D0DAA">
        <w:t xml:space="preserve"> message (if T3216 or T3218 expired) and proceed as described in 3GPP TS 36.331.</w:t>
      </w:r>
    </w:p>
    <w:p w14:paraId="073EAF3A" w14:textId="77777777" w:rsidR="00711444" w:rsidRPr="004D0DAA" w:rsidRDefault="00711444" w:rsidP="00711444">
      <w:pPr>
        <w:pStyle w:val="Heading4"/>
      </w:pPr>
      <w:bookmarkStart w:id="381" w:name="_Toc516669568"/>
      <w:r w:rsidRPr="004D0DAA">
        <w:lastRenderedPageBreak/>
        <w:t>8.10.5.4</w:t>
      </w:r>
      <w:r w:rsidRPr="004D0DAA">
        <w:tab/>
        <w:t>BSS Behaviour for PS Handover from A/Gb</w:t>
      </w:r>
      <w:bookmarkEnd w:id="381"/>
    </w:p>
    <w:p w14:paraId="0AD4E9D6" w14:textId="77777777" w:rsidR="00711444" w:rsidRPr="004D0DAA" w:rsidRDefault="00711444" w:rsidP="00711444">
      <w:r w:rsidRPr="004D0DAA">
        <w:t>The source BSS shall terminate the PS handover procedure if any of the following events occur:</w:t>
      </w:r>
    </w:p>
    <w:p w14:paraId="251B7F33" w14:textId="77777777" w:rsidR="00711444" w:rsidRPr="004D0DAA" w:rsidRDefault="00711444" w:rsidP="00711444">
      <w:pPr>
        <w:pStyle w:val="B1"/>
      </w:pPr>
      <w:r w:rsidRPr="004D0DAA">
        <w:t>-</w:t>
      </w:r>
      <w:r w:rsidRPr="004D0DAA">
        <w:tab/>
        <w:t>All TBFs allocated to the mobile station in the old cell are released at any point prior to sending the PS HANDOVER COMMAND message to the mobile station.</w:t>
      </w:r>
    </w:p>
    <w:p w14:paraId="2AEB93CE" w14:textId="77777777" w:rsidR="00711444" w:rsidRPr="004D0DAA" w:rsidRDefault="00711444" w:rsidP="00711444">
      <w:pPr>
        <w:pStyle w:val="B1"/>
      </w:pPr>
      <w:r w:rsidRPr="004D0DAA">
        <w:t>-</w:t>
      </w:r>
      <w:r w:rsidRPr="004D0DAA">
        <w:tab/>
        <w:t>The source BSS receives a PACKET CELL CHANGE FAILURE message or any other RLC block from the mobile station after sending the final segment of the PS HANDOVER COMMAND message, if the network does not request acknowledgement of receipt of that segment (i.e. does not include in any segment a valid RRBP field requiring the mobile station to send a PACKET CONTROL ACKNOWLEDGEMENT message), or after the receipt of a PACKET CONTROL ACKNOWLEDGEMENT message indicating that the mobile station has received the final segment of the PS HANDOVER COMMAND message.</w:t>
      </w:r>
    </w:p>
    <w:p w14:paraId="2A921C3B" w14:textId="77777777" w:rsidR="00711444" w:rsidRPr="004D0DAA" w:rsidRDefault="00711444" w:rsidP="00711444">
      <w:r w:rsidRPr="004D0DAA">
        <w:t>If the PS handover procedure is terminated for either of the above reasons, the (source) BSS shall resume all uplink and downlink TBFs that were ongoing in the old cell for that MS prior to sending the PS HANDOVER COMMAND message. For normal PS Handover the source BSS shall then indicate the PS handover failure to the SGSN. For optimized PS Handover the source BSS shall then release all resources associated with the new TBFs.</w:t>
      </w:r>
    </w:p>
    <w:p w14:paraId="4251C778" w14:textId="77777777" w:rsidR="00711444" w:rsidRPr="004D0DAA" w:rsidRDefault="00711444" w:rsidP="00711444">
      <w:r w:rsidRPr="004D0DAA">
        <w:t>For each TBF that is resumed the corresponding RLC state machine shall reflect its state when the last RLC data block was transmitted for that TBF in the old cell (downlink TBFs) and the last RLC data block was received for that TBF in the old cell (uplink TBFs).</w:t>
      </w:r>
    </w:p>
    <w:p w14:paraId="565E1DBC" w14:textId="77777777" w:rsidR="00711444" w:rsidRPr="004D0DAA" w:rsidRDefault="00711444" w:rsidP="00711444">
      <w:r w:rsidRPr="004D0DAA">
        <w:t>For both the normal and optimized cases of PS Handover, after sending the PS HANDOVER COMMAND to the MS, the source BSS shall continue to schedule transmission opportunities for the mobile station for a period of time sufficiently long to allow the mobile station to transmit a PACKET CELL CHANGE FAILURE message (should a PS handover failure occur).</w:t>
      </w:r>
    </w:p>
    <w:p w14:paraId="73A798A6" w14:textId="77777777" w:rsidR="00711444" w:rsidRPr="004D0DAA" w:rsidRDefault="00711444" w:rsidP="00711444">
      <w:r w:rsidRPr="004D0DAA">
        <w:t>For normal PS Handover, if the source BSS does not receive any RLC/MAC block from the MS and does not receive (a) DELETE-BSS-PFC PDU(s) from the SGSN for all ongoing PFCs during this time period, the source BSS shall consider radio contact with the MS to be lost and shall release all resources related to the MS and initiate the PS Handover Cancel procedure (see 3GPP TS 48.018), by sending a PS-HANDOVER-CANCEL PDU to the SGSN with cause "Radio contact lost with MS".</w:t>
      </w:r>
    </w:p>
    <w:p w14:paraId="7F9812F5" w14:textId="77777777" w:rsidR="00711444" w:rsidRPr="004D0DAA" w:rsidRDefault="00711444" w:rsidP="00711444">
      <w:r w:rsidRPr="004D0DAA">
        <w:t>For optimized PS Handover, if the BSS does not receive any RLC/MAC block from the MS on any of the old TBFs and does not receive an uplink RLC data block from the MS on any of the new TBFs during this time period, the BSS shall consider the MS to be lost and therefore release all resources associated with the new TBFs and old TBFs.</w:t>
      </w:r>
    </w:p>
    <w:p w14:paraId="081C4E8C" w14:textId="77777777" w:rsidR="00711444" w:rsidRPr="004D0DAA" w:rsidRDefault="00711444" w:rsidP="00711444">
      <w:pPr>
        <w:pStyle w:val="Heading4"/>
      </w:pPr>
      <w:bookmarkStart w:id="382" w:name="_Toc516669569"/>
      <w:r w:rsidRPr="004D0DAA">
        <w:t>8.10.5.5</w:t>
      </w:r>
      <w:r w:rsidRPr="004D0DAA">
        <w:tab/>
        <w:t>BSS Behaviour for PS Handover to A/Gb</w:t>
      </w:r>
      <w:bookmarkEnd w:id="382"/>
    </w:p>
    <w:p w14:paraId="40FE08FB" w14:textId="77777777" w:rsidR="00711444" w:rsidRPr="004D0DAA" w:rsidRDefault="00711444" w:rsidP="00711444">
      <w:pPr>
        <w:rPr>
          <w:szCs w:val="24"/>
        </w:rPr>
      </w:pPr>
      <w:r w:rsidRPr="004D0DAA">
        <w:t>If the (target) BSS expects but does not receive any PS HANDOVER ACCESS messages from the mobile station it considers the PS handover procedure to have failed and shall release all TBFs allocated to the mobile station in the new cell.</w:t>
      </w:r>
    </w:p>
    <w:p w14:paraId="6CAB60E5" w14:textId="77777777" w:rsidR="00711444" w:rsidRPr="004D0DAA" w:rsidRDefault="00711444" w:rsidP="00711444">
      <w:r w:rsidRPr="004D0DAA">
        <w:t>If the (target) BSS expects but does not receive the correct Handover Reference value from the mobile station it considers the PS handover procedure to have failed and shall release all TBFs allocated to the mobile station in the new cell.</w:t>
      </w:r>
    </w:p>
    <w:p w14:paraId="05B1179F" w14:textId="77777777" w:rsidR="00711444" w:rsidRPr="004D0DAA" w:rsidRDefault="00711444" w:rsidP="00711444">
      <w:pPr>
        <w:pStyle w:val="Heading4"/>
      </w:pPr>
      <w:bookmarkStart w:id="383" w:name="_Toc516669570"/>
      <w:r w:rsidRPr="004D0DAA">
        <w:t>8.10.5.6</w:t>
      </w:r>
      <w:r w:rsidRPr="004D0DAA">
        <w:tab/>
        <w:t>MS Behaviour for A/Gb to GAN PS Handover</w:t>
      </w:r>
      <w:bookmarkEnd w:id="383"/>
    </w:p>
    <w:p w14:paraId="75E3EDEC" w14:textId="77777777" w:rsidR="00711444" w:rsidRPr="004D0DAA" w:rsidRDefault="00711444" w:rsidP="00711444">
      <w:r w:rsidRPr="004D0DAA">
        <w:t xml:space="preserve">Upon receiving a </w:t>
      </w:r>
      <w:r w:rsidRPr="004D0DAA">
        <w:rPr>
          <w:caps/>
        </w:rPr>
        <w:t>PS Handover Command</w:t>
      </w:r>
      <w:r w:rsidRPr="004D0DAA">
        <w:t xml:space="preserve"> message in the source cell, if connectivity has been lost on the corresponding GA-PSR Transport Channel the MS shall discard the </w:t>
      </w:r>
      <w:r w:rsidRPr="004D0DAA">
        <w:rPr>
          <w:caps/>
        </w:rPr>
        <w:t>PS Handover Command</w:t>
      </w:r>
      <w:r w:rsidRPr="004D0DAA">
        <w:t xml:space="preserve"> message and send the source BSS a </w:t>
      </w:r>
      <w:r w:rsidRPr="004D0DAA">
        <w:rPr>
          <w:caps/>
          <w:szCs w:val="24"/>
        </w:rPr>
        <w:t>Packet Cell Change Failure</w:t>
      </w:r>
      <w:r w:rsidRPr="004D0DAA">
        <w:t xml:space="preserve"> message with the cause code set to "PS Handover failure". </w:t>
      </w:r>
    </w:p>
    <w:p w14:paraId="442B7BA8" w14:textId="77777777" w:rsidR="00711444" w:rsidRPr="004D0DAA" w:rsidRDefault="00711444" w:rsidP="00711444">
      <w:pPr>
        <w:pStyle w:val="Heading4"/>
      </w:pPr>
      <w:bookmarkStart w:id="384" w:name="_Toc516669571"/>
      <w:r w:rsidRPr="004D0DAA">
        <w:t>8.10.5.7</w:t>
      </w:r>
      <w:r w:rsidRPr="004D0DAA">
        <w:tab/>
        <w:t>MS Behaviour for GAN to A/Gb PS Handover</w:t>
      </w:r>
      <w:bookmarkEnd w:id="384"/>
    </w:p>
    <w:p w14:paraId="5333BEDC" w14:textId="77777777" w:rsidR="00711444" w:rsidRPr="004D0DAA" w:rsidRDefault="00711444" w:rsidP="00711444">
      <w:r w:rsidRPr="004D0DAA">
        <w:t>See 3GPP 44.318 [42].</w:t>
      </w:r>
    </w:p>
    <w:p w14:paraId="032DEE2B" w14:textId="77777777" w:rsidR="00711444" w:rsidRPr="004D0DAA" w:rsidRDefault="00711444" w:rsidP="00711444">
      <w:pPr>
        <w:pStyle w:val="Heading1"/>
      </w:pPr>
      <w:bookmarkStart w:id="385" w:name="_Toc516669572"/>
      <w:r w:rsidRPr="004D0DAA">
        <w:lastRenderedPageBreak/>
        <w:t>9</w:t>
      </w:r>
      <w:r w:rsidRPr="004D0DAA">
        <w:tab/>
        <w:t>Radio Link Control (RLC) procedures in packet transfer mode</w:t>
      </w:r>
      <w:bookmarkEnd w:id="385"/>
    </w:p>
    <w:p w14:paraId="14169ED9" w14:textId="77777777" w:rsidR="00711444" w:rsidRPr="004D0DAA" w:rsidRDefault="00711444" w:rsidP="00711444">
      <w:pPr>
        <w:pStyle w:val="Heading2"/>
      </w:pPr>
      <w:bookmarkStart w:id="386" w:name="_Toc516669573"/>
      <w:r w:rsidRPr="004D0DAA">
        <w:t>9.0</w:t>
      </w:r>
      <w:r w:rsidRPr="004D0DAA">
        <w:tab/>
        <w:t>General</w:t>
      </w:r>
      <w:bookmarkEnd w:id="386"/>
    </w:p>
    <w:p w14:paraId="42D8994A" w14:textId="77777777" w:rsidR="00711444" w:rsidRPr="004D0DAA" w:rsidRDefault="00711444" w:rsidP="00711444">
      <w:r w:rsidRPr="004D0DAA">
        <w:t>The RLC function is responsible for:</w:t>
      </w:r>
    </w:p>
    <w:p w14:paraId="0A7D8E0B" w14:textId="77777777" w:rsidR="00711444" w:rsidRPr="004D0DAA" w:rsidRDefault="00711444" w:rsidP="00711444">
      <w:pPr>
        <w:pStyle w:val="B1"/>
      </w:pPr>
      <w:r w:rsidRPr="004D0DAA">
        <w:t>-</w:t>
      </w:r>
      <w:r w:rsidRPr="004D0DAA">
        <w:tab/>
        <w:t>Interface primitives allowing the transfer of upper layer PDUs between the upper layer and the MAC function;</w:t>
      </w:r>
    </w:p>
    <w:p w14:paraId="0DBEED87" w14:textId="77777777" w:rsidR="00711444" w:rsidRPr="004D0DAA" w:rsidRDefault="00711444" w:rsidP="00711444">
      <w:pPr>
        <w:pStyle w:val="B1"/>
      </w:pPr>
      <w:r w:rsidRPr="004D0DAA">
        <w:t>-</w:t>
      </w:r>
      <w:r w:rsidRPr="004D0DAA">
        <w:tab/>
        <w:t>Segmentation of upper layer PDUs into RLC data blocks and re-assembly of RLC data blocks into upper layer PDUs;</w:t>
      </w:r>
    </w:p>
    <w:p w14:paraId="70AB09FD" w14:textId="77777777" w:rsidR="00711444" w:rsidRPr="004D0DAA" w:rsidRDefault="00711444" w:rsidP="00711444">
      <w:pPr>
        <w:pStyle w:val="B1"/>
      </w:pPr>
      <w:r w:rsidRPr="004D0DAA">
        <w:t>-</w:t>
      </w:r>
      <w:r w:rsidRPr="004D0DAA">
        <w:tab/>
        <w:t>Segmentation of RLC/MAC control messages into RLC/MAC control blocks and re-assembly of RLC/MAC control messages from RLC/MAC control blocks;</w:t>
      </w:r>
    </w:p>
    <w:p w14:paraId="6CAB26B8" w14:textId="77777777" w:rsidR="00711444" w:rsidRPr="004D0DAA" w:rsidRDefault="00711444" w:rsidP="00711444">
      <w:pPr>
        <w:pStyle w:val="B1"/>
      </w:pPr>
      <w:r w:rsidRPr="004D0DAA">
        <w:t>-</w:t>
      </w:r>
      <w:r w:rsidRPr="004D0DAA">
        <w:tab/>
        <w:t>Backward Error Correction (BEC) procedures enabling the selective retransmission of RLC data blocks.</w:t>
      </w:r>
    </w:p>
    <w:p w14:paraId="7CF94BC3" w14:textId="77777777" w:rsidR="00711444" w:rsidRPr="004D0DAA" w:rsidRDefault="00711444" w:rsidP="00711444">
      <w:r w:rsidRPr="004D0DAA">
        <w:t>In this clause Packet Ack/Nack refers to any of the following messages or field:</w:t>
      </w:r>
    </w:p>
    <w:p w14:paraId="02DC7FD7" w14:textId="77777777" w:rsidR="00711444" w:rsidRPr="004D0DAA" w:rsidRDefault="00711444" w:rsidP="00711444">
      <w:pPr>
        <w:pStyle w:val="B1"/>
      </w:pPr>
      <w:r w:rsidRPr="004D0DAA">
        <w:t>-</w:t>
      </w:r>
      <w:r w:rsidRPr="004D0DAA">
        <w:tab/>
        <w:t>PACKET DOWNLINK ACK/NACK, EGPRS PACKET DOWNLINK ACK/NACK, EGPRS PACKET DOWNLINK ACK/NACK TYPE 2, EGPRS PACKET DOWNLINK ACK/NACK TYPE 3, EGPRS PACKET DOWNLINK ACK/NACK DLMC, MBMS DOWNLINK ACK/NACK or EC PACKET DOWNLINK ACK/NACK</w:t>
      </w:r>
      <w:r w:rsidRPr="004D0DAA">
        <w:rPr>
          <w:lang w:eastAsia="ko-KR"/>
        </w:rPr>
        <w:t xml:space="preserve"> or </w:t>
      </w:r>
      <w:r w:rsidRPr="004D0DAA">
        <w:t>EC PACKET DOWNLINK ACK/NACK HIGHER CC;</w:t>
      </w:r>
    </w:p>
    <w:p w14:paraId="6021024B" w14:textId="77777777" w:rsidR="00711444" w:rsidRPr="004D0DAA" w:rsidRDefault="00711444" w:rsidP="00711444">
      <w:pPr>
        <w:pStyle w:val="B1"/>
      </w:pPr>
      <w:r w:rsidRPr="004D0DAA">
        <w:t>-</w:t>
      </w:r>
      <w:r w:rsidRPr="004D0DAA">
        <w:tab/>
        <w:t>PACKET UPLINK ACK/NACK, EC PACKET UPLINK ACK/NACK or EC PACKET UPLINK ACK/NACK AND CONTENTION RESOLUTION;</w:t>
      </w:r>
    </w:p>
    <w:p w14:paraId="6D61D103" w14:textId="77777777" w:rsidR="00711444" w:rsidRPr="004D0DAA" w:rsidRDefault="00711444" w:rsidP="00711444">
      <w:pPr>
        <w:pStyle w:val="B1"/>
      </w:pPr>
      <w:r w:rsidRPr="004D0DAA">
        <w:t>-</w:t>
      </w:r>
      <w:r w:rsidRPr="004D0DAA">
        <w:tab/>
        <w:t>PAN.</w:t>
      </w:r>
    </w:p>
    <w:p w14:paraId="5C9C41CB" w14:textId="77777777" w:rsidR="00711444" w:rsidRPr="004D0DAA" w:rsidRDefault="00711444" w:rsidP="00711444">
      <w:r w:rsidRPr="004D0DAA">
        <w:t>Additionally the following definitions apply:</w:t>
      </w:r>
    </w:p>
    <w:p w14:paraId="7195038D" w14:textId="77777777" w:rsidR="00711444" w:rsidRPr="004D0DAA" w:rsidRDefault="00711444" w:rsidP="00711444">
      <w:pPr>
        <w:pStyle w:val="B1"/>
      </w:pPr>
      <w:r w:rsidRPr="004D0DAA">
        <w:t>-</w:t>
      </w:r>
      <w:r w:rsidRPr="004D0DAA">
        <w:tab/>
        <w:t>Sequence Number Space (SNS):</w:t>
      </w:r>
    </w:p>
    <w:p w14:paraId="7CB62D42" w14:textId="77777777" w:rsidR="00711444" w:rsidRPr="004D0DAA" w:rsidRDefault="00711444" w:rsidP="00711444">
      <w:pPr>
        <w:pStyle w:val="B2"/>
      </w:pPr>
      <w:r w:rsidRPr="004D0DAA">
        <w:t>-</w:t>
      </w:r>
      <w:r w:rsidRPr="004D0DAA">
        <w:tab/>
        <w:t>128 in GPRS,</w:t>
      </w:r>
    </w:p>
    <w:p w14:paraId="73F332B0" w14:textId="77777777" w:rsidR="00711444" w:rsidRPr="004D0DAA" w:rsidRDefault="00711444" w:rsidP="00711444">
      <w:pPr>
        <w:pStyle w:val="B2"/>
      </w:pPr>
      <w:r w:rsidRPr="004D0DAA">
        <w:t>-</w:t>
      </w:r>
      <w:r w:rsidRPr="004D0DAA">
        <w:tab/>
        <w:t>2048 in EGPRS,</w:t>
      </w:r>
    </w:p>
    <w:p w14:paraId="53EC7190" w14:textId="77777777" w:rsidR="00711444" w:rsidRPr="004D0DAA" w:rsidRDefault="00711444" w:rsidP="00711444">
      <w:pPr>
        <w:pStyle w:val="B2"/>
      </w:pPr>
      <w:r w:rsidRPr="004D0DAA">
        <w:t>-</w:t>
      </w:r>
      <w:r w:rsidRPr="004D0DAA">
        <w:tab/>
        <w:t>2048 or 8192 in DLMC configuration (see sub-clause 5.13),</w:t>
      </w:r>
    </w:p>
    <w:p w14:paraId="30CD833F" w14:textId="77777777" w:rsidR="00711444" w:rsidRPr="004D0DAA" w:rsidRDefault="00711444" w:rsidP="00711444">
      <w:pPr>
        <w:pStyle w:val="B2"/>
      </w:pPr>
      <w:r w:rsidRPr="004D0DAA">
        <w:t>-</w:t>
      </w:r>
      <w:r w:rsidRPr="004D0DAA">
        <w:tab/>
        <w:t>32 in EC-GSM-IoT;</w:t>
      </w:r>
    </w:p>
    <w:p w14:paraId="5730CADF" w14:textId="77777777" w:rsidR="00711444" w:rsidRPr="004D0DAA" w:rsidRDefault="00711444" w:rsidP="00711444">
      <w:pPr>
        <w:pStyle w:val="B1"/>
      </w:pPr>
      <w:r w:rsidRPr="004D0DAA">
        <w:t xml:space="preserve"> -</w:t>
      </w:r>
      <w:r w:rsidRPr="004D0DAA">
        <w:tab/>
        <w:t xml:space="preserve">Window Size (WS): </w:t>
      </w:r>
    </w:p>
    <w:p w14:paraId="05E3B5B1" w14:textId="77777777" w:rsidR="00711444" w:rsidRPr="004D0DAA" w:rsidRDefault="00711444" w:rsidP="00711444">
      <w:pPr>
        <w:pStyle w:val="B2"/>
      </w:pPr>
      <w:r w:rsidRPr="004D0DAA">
        <w:t>-</w:t>
      </w:r>
      <w:r w:rsidRPr="004D0DAA">
        <w:tab/>
        <w:t>GPRS: 64</w:t>
      </w:r>
    </w:p>
    <w:p w14:paraId="0BBDF144" w14:textId="77777777" w:rsidR="00711444" w:rsidRPr="004D0DAA" w:rsidRDefault="00711444" w:rsidP="00711444">
      <w:pPr>
        <w:pStyle w:val="B2"/>
      </w:pPr>
      <w:r w:rsidRPr="004D0DAA">
        <w:t>-</w:t>
      </w:r>
      <w:r w:rsidRPr="004D0DAA">
        <w:tab/>
        <w:t>EGPRS: 64 to 1024</w:t>
      </w:r>
    </w:p>
    <w:p w14:paraId="10DD6664" w14:textId="77777777" w:rsidR="00711444" w:rsidRPr="004D0DAA" w:rsidRDefault="00711444" w:rsidP="00711444">
      <w:pPr>
        <w:pStyle w:val="B2"/>
      </w:pPr>
      <w:r w:rsidRPr="004D0DAA">
        <w:t>-</w:t>
      </w:r>
      <w:r w:rsidRPr="004D0DAA">
        <w:tab/>
        <w:t>DLMC configuration (EGPRS): determined by the buffer size supported by a mobile station (see Table 9.1.9.3.2)</w:t>
      </w:r>
    </w:p>
    <w:p w14:paraId="18ADD602" w14:textId="77777777" w:rsidR="00711444" w:rsidRPr="004D0DAA" w:rsidRDefault="00711444" w:rsidP="00711444">
      <w:pPr>
        <w:pStyle w:val="B2"/>
      </w:pPr>
      <w:r w:rsidRPr="004D0DAA">
        <w:t>-</w:t>
      </w:r>
      <w:r w:rsidRPr="004D0DAA">
        <w:tab/>
        <w:t>EC-GSM-IoT: 16.</w:t>
      </w:r>
    </w:p>
    <w:p w14:paraId="5FF7CFBC" w14:textId="77777777" w:rsidR="00711444" w:rsidRPr="004D0DAA" w:rsidRDefault="00711444" w:rsidP="00711444">
      <w:r w:rsidRPr="004D0DAA">
        <w:t>A mobile station that supports multiple TBF procedures can operate multiple RLC entities simultaneously each one with its’ own set of RLC parameters (e.g. sequence number; receive and transmit windows etc.).</w:t>
      </w:r>
    </w:p>
    <w:p w14:paraId="40E9444D" w14:textId="77777777" w:rsidR="00711444" w:rsidRPr="004D0DAA" w:rsidRDefault="00711444" w:rsidP="00711444">
      <w:r w:rsidRPr="004D0DAA">
        <w:t>If a mobile station in a DLMC configuration using a SNS of 8192 is reconfigured so that it leaves DLMC configuration while the downlink TBF remains assigned, it shall continue using a SNS of 8192. A mobile station that supports DLMC configuration and has a downlink TBF with a single downlink carrier assigned (i.e. it is not in a DLMC configuration) shall immediately begin using a SNS of 8192 if the maximum number of downlink timeslots it supports (see 3GPP TS 24.008) is greater than 20 and either of the following occurs:</w:t>
      </w:r>
    </w:p>
    <w:p w14:paraId="4FEE121E" w14:textId="77777777" w:rsidR="00711444" w:rsidRPr="004D0DAA" w:rsidRDefault="00B82821" w:rsidP="00B82821">
      <w:pPr>
        <w:pStyle w:val="B1"/>
      </w:pPr>
      <w:r>
        <w:t>-</w:t>
      </w:r>
      <w:r>
        <w:tab/>
      </w:r>
      <w:r w:rsidR="00711444" w:rsidRPr="004D0DAA">
        <w:t>It receives an assignment message that causes it to enter DLMC configuration, the assignment message indicates an SNS of 8192 shall be used, and it is not already using a SNS of 8192.</w:t>
      </w:r>
    </w:p>
    <w:p w14:paraId="7B39E20F" w14:textId="77777777" w:rsidR="00711444" w:rsidRPr="004D0DAA" w:rsidRDefault="00B82821" w:rsidP="00B82821">
      <w:pPr>
        <w:pStyle w:val="B1"/>
      </w:pPr>
      <w:r>
        <w:lastRenderedPageBreak/>
        <w:t>-</w:t>
      </w:r>
      <w:r>
        <w:tab/>
      </w:r>
      <w:r w:rsidR="00711444" w:rsidRPr="004D0DAA">
        <w:t>It experiences PS Handover to a DLMC configuration and the PS HANDOVER COMMAND message indicates an SNS of 8192 shall be used.</w:t>
      </w:r>
    </w:p>
    <w:p w14:paraId="76A25F7E" w14:textId="77777777" w:rsidR="00711444" w:rsidRPr="004D0DAA" w:rsidRDefault="00711444" w:rsidP="00711444">
      <w:r w:rsidRPr="004D0DAA">
        <w:t>Only RLC acknowledged mode is supported in EC TBF mode.</w:t>
      </w:r>
    </w:p>
    <w:p w14:paraId="4E366354" w14:textId="77777777" w:rsidR="00711444" w:rsidRPr="004D0DAA" w:rsidRDefault="00711444" w:rsidP="00711444">
      <w:pPr>
        <w:pStyle w:val="Heading2"/>
      </w:pPr>
      <w:bookmarkStart w:id="387" w:name="_Toc516669574"/>
      <w:r w:rsidRPr="004D0DAA">
        <w:t>9.1</w:t>
      </w:r>
      <w:r w:rsidRPr="004D0DAA">
        <w:tab/>
        <w:t>Procedures and parameters for peer-to-peer operation</w:t>
      </w:r>
      <w:bookmarkEnd w:id="387"/>
    </w:p>
    <w:p w14:paraId="178D5F6A" w14:textId="77777777" w:rsidR="00711444" w:rsidRPr="004D0DAA" w:rsidRDefault="00711444" w:rsidP="00711444">
      <w:r w:rsidRPr="004D0DAA">
        <w:t>A TBF is comprised of two peer entities, which are the RLC endpoints. In case of EMST, a TBF is comprised of one, two or three pairs of peer RLC entities, which are the RLC endpoints. Each RLC endpoint has a receiver that receives RLC/MAC blocks. Each RLC endpoint also has a transmitter that transmits RLC/MAC blocks.</w:t>
      </w:r>
    </w:p>
    <w:p w14:paraId="25922D71" w14:textId="77777777" w:rsidR="00711444" w:rsidRPr="004D0DAA" w:rsidRDefault="00711444" w:rsidP="00711444">
      <w:r w:rsidRPr="004D0DAA">
        <w:t>An MBMS bearer is comprised of one transmitting RLC endpoint at the network side and several receiving RLC endpoints, one for each mobile station involved in the p-t-m transmission. The transmitting RLC endpoint transmits RLC/MAC data and control blocks and may receive only RLC/MAC control blocks. Each receiving RLC endpoint receives RLC/MAC data and control blocks and may transmit only RLC/MAC control blocks, upon polling. An MBMS bearer operates in RLC non-persistent mode (see also sub-clause 9.3.4).</w:t>
      </w:r>
    </w:p>
    <w:p w14:paraId="73E609E9" w14:textId="77777777" w:rsidR="00711444" w:rsidRPr="004D0DAA" w:rsidRDefault="00711444" w:rsidP="00711444">
      <w:r w:rsidRPr="004D0DAA">
        <w:t xml:space="preserve">Each endpoint's receiver has a receive window of size WS (see sub-clause 9.1.9). </w:t>
      </w:r>
    </w:p>
    <w:p w14:paraId="5B1722E2" w14:textId="77777777" w:rsidR="00711444" w:rsidRPr="004D0DAA" w:rsidRDefault="00711444" w:rsidP="00711444">
      <w:r w:rsidRPr="004D0DAA">
        <w:t>In RLC acknowledged mode, the receive window is defined by the receive window state variable V(Q) in the following inequality[ V(Q)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BSN &lt; V(Q)+ WS ] modulo SNS (for the method of interpreting inequalities in this format refer to sub-clause 9.1.8). All BSNs which meet that criteria are valid within the receive window. </w:t>
      </w:r>
    </w:p>
    <w:p w14:paraId="21A22007" w14:textId="77777777" w:rsidR="00711444" w:rsidRPr="004D0DAA" w:rsidRDefault="00711444" w:rsidP="00711444">
      <w:r w:rsidRPr="004D0DAA">
        <w:t xml:space="preserve">In RLC unacknowledged mode, all values of BSN are within the receive window. </w:t>
      </w:r>
    </w:p>
    <w:p w14:paraId="63B383E8" w14:textId="77777777" w:rsidR="00711444" w:rsidRPr="004D0DAA" w:rsidRDefault="00711444" w:rsidP="00711444">
      <w:r w:rsidRPr="004D0DAA">
        <w:t>In RLC non-persistent mode, the receive window is determined after recalculating the receive state variable V(R) (as described in sub-clause 9.1.5) and the corresponding receive window state variable V(Q) (as described in sub-clause 9.1.6.4). All BSNs which meet the following inequality [ V(Q)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V(R)] modulo SNS are valid within the receive window. </w:t>
      </w:r>
    </w:p>
    <w:p w14:paraId="78D8538A" w14:textId="77777777" w:rsidR="00711444" w:rsidRPr="004D0DAA" w:rsidRDefault="00711444" w:rsidP="00711444">
      <w:r w:rsidRPr="004D0DAA">
        <w:t>An RLC data block is considered received, when it is received in a layer 1 frame with consistent parity bits (in EGPRS TBF mode: header and relevant data parity bits) and correctly addresses the receiving RLC endpoint.</w:t>
      </w:r>
    </w:p>
    <w:p w14:paraId="1E09C36E" w14:textId="77777777" w:rsidR="00711444" w:rsidRPr="004D0DAA" w:rsidRDefault="00711444" w:rsidP="00711444">
      <w:r w:rsidRPr="004D0DAA">
        <w:t>Each endpoint's transmitter has a transmit window of size WS. In RLC acknowledged mode and in RLC non-persistent mode, the transmit window is defined by the send state variable V(S) in the following inequality: [ V(A) </w:t>
      </w:r>
      <w:r w:rsidRPr="004D0DAA">
        <w:fldChar w:fldCharType="begin"/>
      </w:r>
      <w:r w:rsidRPr="004D0DAA">
        <w:instrText>symbol 163 \f "Symbol" \s 10</w:instrText>
      </w:r>
      <w:r w:rsidRPr="004D0DAA">
        <w:fldChar w:fldCharType="separate"/>
      </w:r>
      <w:r w:rsidRPr="004D0DAA">
        <w:t>£</w:t>
      </w:r>
      <w:r w:rsidRPr="004D0DAA">
        <w:fldChar w:fldCharType="end"/>
      </w:r>
      <w:r w:rsidRPr="004D0DAA">
        <w:t xml:space="preserve"> BSN &lt; V(S) ] modulo SNS, where [ V(S) - V(A) ] modulo SNS </w:t>
      </w:r>
      <w:r w:rsidRPr="004D0DAA">
        <w:fldChar w:fldCharType="begin"/>
      </w:r>
      <w:r w:rsidRPr="004D0DAA">
        <w:instrText>symbol 163 \f "Symbol" \s 10</w:instrText>
      </w:r>
      <w:r w:rsidRPr="004D0DAA">
        <w:fldChar w:fldCharType="separate"/>
      </w:r>
      <w:r w:rsidRPr="004D0DAA">
        <w:t>£</w:t>
      </w:r>
      <w:r w:rsidRPr="004D0DAA">
        <w:fldChar w:fldCharType="end"/>
      </w:r>
      <w:r w:rsidRPr="004D0DAA">
        <w:t> WS. All BSNs which meet that criteria are valid within the transmit window. In RLC unacknowledged mode, all values of BSN are within the transmit window.</w:t>
      </w:r>
    </w:p>
    <w:p w14:paraId="779B14D2" w14:textId="77777777" w:rsidR="00711444" w:rsidRPr="004D0DAA" w:rsidRDefault="00711444" w:rsidP="00711444">
      <w:r w:rsidRPr="004D0DAA">
        <w:t>In RLC non-persistent mode, if the NPM Transfer Time limitation is used then the network shall not change the NPM Transfer Time value. The mobile station shall ignore any NPM Transfer Time different from what is currently being used. If EMSR is enabled for an RLC entity operating in RLC Non-persistent mode then an independent NPM Transfer Time limitation may be assigned for each PFC assigned a unique TFI.</w:t>
      </w:r>
    </w:p>
    <w:p w14:paraId="137AAF88" w14:textId="77777777" w:rsidR="00711444" w:rsidRPr="004D0DAA" w:rsidRDefault="00711444" w:rsidP="00711444">
      <w:pPr>
        <w:pStyle w:val="Heading3"/>
      </w:pPr>
      <w:bookmarkStart w:id="388" w:name="_Toc516669575"/>
      <w:r w:rsidRPr="004D0DAA">
        <w:t>9.1.1</w:t>
      </w:r>
      <w:r w:rsidRPr="004D0DAA">
        <w:tab/>
        <w:t>Send state variable V(S)</w:t>
      </w:r>
      <w:bookmarkEnd w:id="388"/>
    </w:p>
    <w:p w14:paraId="64ACB5F7" w14:textId="77777777" w:rsidR="00711444" w:rsidRPr="004D0DAA" w:rsidRDefault="00711444" w:rsidP="00711444">
      <w:r w:rsidRPr="004D0DAA">
        <w:t>Each RLC endpoint transmitter shall have an associated send state variable V(S). V(S) denotes the sequence number of the next in</w:t>
      </w:r>
      <w:r w:rsidRPr="004D0DAA">
        <w:noBreakHyphen/>
        <w:t>sequence RLC data block to be transmitted. V(S) can take on the value 0 through SNS - 1. V(S) shall be set to the value 0 at the beginning of each TBF in which the RLC endpoint is the transmitter. The value of V(S) shall be incremented by 1 after transmission of the RLC data block with BSN = V(S). In RLC acknowledged mode, V(S) shall not exceed V(A) modulo SNS by more than the maximum allowed number of outstanding RLC data blocks WS. In RLC non-persistent mode, V(S) may be incremented independently on the value of V(A). When EMSR is enabled, a single send state variable V(S) is maintained regardless of how many PFCs share a given RLC entity.</w:t>
      </w:r>
    </w:p>
    <w:p w14:paraId="50CDC276" w14:textId="77777777" w:rsidR="00711444" w:rsidRPr="004D0DAA" w:rsidRDefault="00711444" w:rsidP="00711444">
      <w:pPr>
        <w:pStyle w:val="Heading3"/>
      </w:pPr>
      <w:bookmarkStart w:id="389" w:name="_Toc516669576"/>
      <w:r w:rsidRPr="004D0DAA">
        <w:t>9.1.1a</w:t>
      </w:r>
      <w:r w:rsidRPr="004D0DAA">
        <w:tab/>
        <w:t>Control send state variable V(CS)</w:t>
      </w:r>
      <w:bookmarkEnd w:id="389"/>
    </w:p>
    <w:p w14:paraId="00A9FAC5" w14:textId="77777777" w:rsidR="00711444" w:rsidRPr="004D0DAA" w:rsidRDefault="00711444" w:rsidP="00711444">
      <w:r w:rsidRPr="004D0DAA">
        <w:t xml:space="preserve">The network RLC endpoint transmitter shall have one instance of an associated control send state variable V(CS) for each parallel control transaction identified by the RTI field of the RLC/MAC control block header. V(CS) denotes the sequence number of the next in-sequence RLC/MAC control block to be transmitted for the control transaction. V(CS) can take on the values 0 or 1 when RLC/MAC control message segmentation into two RLC/MAC control blocks is used, and the values 0 to 8 when extended RLC/MAC control message segmentation is used (see sub-clause 9.1.12a). V(CS) shall be set to the value 0 prior to the transmission of each RLC/MAC control block that contains the first octet </w:t>
      </w:r>
      <w:r w:rsidRPr="004D0DAA">
        <w:lastRenderedPageBreak/>
        <w:t>of an RLC/MAC control message of the control transaction and the value of V(CS) shall be set to 1 after the transmission of the RLC/MAC control block with RBSN = 0. The value of V(CS) shall then be incremented by 1, when extended RLC/MAC control message segmentation is used, after the transmission of the next in-sequence RLC/MAC control block and so on.</w:t>
      </w:r>
    </w:p>
    <w:p w14:paraId="1405F923" w14:textId="77777777" w:rsidR="00711444" w:rsidRPr="004D0DAA" w:rsidRDefault="00711444" w:rsidP="00711444">
      <w:pPr>
        <w:pStyle w:val="Heading3"/>
      </w:pPr>
      <w:bookmarkStart w:id="390" w:name="_Toc516669577"/>
      <w:r w:rsidRPr="004D0DAA">
        <w:t>9.1.2</w:t>
      </w:r>
      <w:r w:rsidRPr="004D0DAA">
        <w:tab/>
        <w:t>Acknowledge state variable V(A)</w:t>
      </w:r>
      <w:bookmarkEnd w:id="390"/>
    </w:p>
    <w:p w14:paraId="44337594" w14:textId="77777777" w:rsidR="00711444" w:rsidRPr="004D0DAA" w:rsidRDefault="00711444" w:rsidP="00711444">
      <w:r w:rsidRPr="004D0DAA">
        <w:t xml:space="preserve">In RLC acknowledged mode, each RLC endpoint transmitter shall have an associated acknowledge state variable V(A). V(A) contains the BSN value of the oldest RLC data block that has not been positively acknowledged by its peer. V(A) can take on the values 0 through SNS - 1. V(A) shall be set to the value 0 at the beginning of each TBF in which the RLC endpoint is the transmitter. The value of V(A) shall be updated from the values received from its peer in the received block bitmap (RBB) of the PACKET UPLINK ACK/NACK message, the EC PACKET UPLINK ACK/NACK message, the EC PACKET UPLINK ACK/NACK AND CONTENTION RESOLUTION message, the EGPRS PACKET DOWNLINK ACK/NACK message, the EGPRS PACKET DOWNLINK ACK/NACK TYPE 2 message, the EGPRS PACKET DOWNLINK ACK/NACK TYPE 3 message, the EGPRS PACKET DOWNLINK ACK/NACK DLMC message or the EC PACKET DOWNLINK ACK/NACK </w:t>
      </w:r>
      <w:r w:rsidRPr="004D0DAA">
        <w:rPr>
          <w:lang w:eastAsia="ko-KR"/>
        </w:rPr>
        <w:t xml:space="preserve">or </w:t>
      </w:r>
      <w:r w:rsidRPr="004D0DAA">
        <w:t>EC PACKET DOWNLINK ACK/NACK HIGHER CC message (see sub-clause 9.1.8)</w:t>
      </w:r>
    </w:p>
    <w:p w14:paraId="05328726" w14:textId="77777777" w:rsidR="00711444" w:rsidRPr="004D0DAA" w:rsidRDefault="00711444" w:rsidP="00711444">
      <w:r w:rsidRPr="004D0DAA">
        <w:t>Furthermore, [ V(S) - V(A) ] modulo SNS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WS.</w:t>
      </w:r>
    </w:p>
    <w:p w14:paraId="7E776676" w14:textId="77777777" w:rsidR="00711444" w:rsidRPr="004D0DAA" w:rsidRDefault="00711444" w:rsidP="00711444">
      <w:r w:rsidRPr="004D0DAA">
        <w:t>In RLC non-persistent mode, each RLC endpoint transmitter shall have an associated acknowledge state variable V(A). V(A) contains the BSN value of the oldest RLC data block that has not yet been positively acknowledged by the corresponding peer or peers and whose BSN satisfies the inequality [ V(S) - BSN ] modulo SNS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WS. V(A) can take on the values 0 through SNS - 1. V(A) shall be set to the value 0 at the beginning of each MBMS bearer or EGPRS TBF for which the RLC endpoint is the transmitter. </w:t>
      </w:r>
    </w:p>
    <w:p w14:paraId="45A2BCC5" w14:textId="77777777" w:rsidR="00711444" w:rsidRPr="004D0DAA" w:rsidRDefault="00711444" w:rsidP="00711444">
      <w:pPr>
        <w:pStyle w:val="B1"/>
      </w:pPr>
      <w:r w:rsidRPr="004D0DAA">
        <w:t>-</w:t>
      </w:r>
      <w:r w:rsidRPr="004D0DAA">
        <w:tab/>
        <w:t xml:space="preserve">When RLC non-persistent mode is used for an MBMS bearer the value of V(A) shall be updated from the values received from its peers in the received block bitmap (RBB) of the MBMS DOWNLINK ACK/NACK message (see sub-clause 9.1.8). </w:t>
      </w:r>
    </w:p>
    <w:p w14:paraId="0F30ADCE" w14:textId="77777777" w:rsidR="00711444" w:rsidRPr="004D0DAA" w:rsidRDefault="00711444" w:rsidP="00711444">
      <w:pPr>
        <w:pStyle w:val="B1"/>
      </w:pPr>
      <w:r w:rsidRPr="004D0DAA">
        <w:t>-</w:t>
      </w:r>
      <w:r w:rsidRPr="004D0DAA">
        <w:tab/>
        <w:t xml:space="preserve">When RLC non-persistent mode is used for an EGPRS TBF the value of V(A) shall be updated from the values received from its peer in the PACKET UPLINK ACK/NACK message, the EGPRS PACKET DOWNLINK ACK/NACK message, the EGPRS PACKET DOWNLINK ACK/NACK TYPE 2 message, the EGPRS PACKET DOWNLINK ACK/NACK TYPE 3 message, the EGPRS PACKET DOWNLINK ACK/NACK DLMC message or the PAN field. </w:t>
      </w:r>
    </w:p>
    <w:p w14:paraId="59888250" w14:textId="77777777" w:rsidR="00711444" w:rsidRPr="004D0DAA" w:rsidRDefault="00711444" w:rsidP="00711444">
      <w:pPr>
        <w:pStyle w:val="B1"/>
      </w:pPr>
      <w:r w:rsidRPr="004D0DAA">
        <w:t>-</w:t>
      </w:r>
      <w:r w:rsidRPr="004D0DAA">
        <w:tab/>
        <w:t xml:space="preserve">V(A) shall be set to BSN’, where BSN’ is the BSN value of the oldest RLC data block not yet positively acknowledged by the corresponding peer or peers which meets the condition [V(S) - BSN’] modulo SNS </w:t>
      </w:r>
      <w:r w:rsidRPr="004D0DAA">
        <w:sym w:font="Symbol" w:char="F0A3"/>
      </w:r>
      <w:r w:rsidRPr="004D0DAA">
        <w:t> WS, or it shall be set to V(S) if all RLC data blocks have been positively acknowledged by the corresponding peer or peers.</w:t>
      </w:r>
    </w:p>
    <w:p w14:paraId="64FC2608" w14:textId="77777777" w:rsidR="00711444" w:rsidRPr="004D0DAA" w:rsidRDefault="00711444" w:rsidP="00711444">
      <w:pPr>
        <w:pStyle w:val="Heading3"/>
      </w:pPr>
      <w:bookmarkStart w:id="391" w:name="_Toc516669578"/>
      <w:r w:rsidRPr="004D0DAA">
        <w:t>9.1.3</w:t>
      </w:r>
      <w:r w:rsidRPr="004D0DAA">
        <w:tab/>
        <w:t>Acknowledge state array V(B)</w:t>
      </w:r>
      <w:bookmarkEnd w:id="391"/>
    </w:p>
    <w:p w14:paraId="384BDB1F" w14:textId="77777777" w:rsidR="00711444" w:rsidRPr="004D0DAA" w:rsidRDefault="00711444" w:rsidP="00711444">
      <w:pPr>
        <w:pStyle w:val="Heading4"/>
      </w:pPr>
      <w:bookmarkStart w:id="392" w:name="_Toc516669579"/>
      <w:r w:rsidRPr="004D0DAA">
        <w:t>9.1.3.1</w:t>
      </w:r>
      <w:r w:rsidRPr="004D0DAA">
        <w:tab/>
        <w:t>Acknowledge state array V(B) for GPRS TBF Mode</w:t>
      </w:r>
      <w:bookmarkEnd w:id="392"/>
    </w:p>
    <w:p w14:paraId="51220269" w14:textId="77777777" w:rsidR="00711444" w:rsidRPr="004D0DAA" w:rsidRDefault="00711444" w:rsidP="00711444">
      <w:r w:rsidRPr="004D0DAA">
        <w:t>In RLC acknowledged mode, each RLC endpoint transmitter shall have an associated acknowledge state array (V(B)). V(B) is an array of SNS elements indicating the acknowledgement status of WS previous RLC data blocks. The array is indexed relative to the acknowledge state variable V(A) modulo SNS. The values of V(B) shall be updated from the values received from its peer in the received block bitmap (RBB) of the Packet Ack/Nack message (see sub-clause 9.1.8)</w:t>
      </w:r>
    </w:p>
    <w:p w14:paraId="20C3614B" w14:textId="77777777" w:rsidR="00711444" w:rsidRPr="004D0DAA" w:rsidRDefault="00711444" w:rsidP="00711444">
      <w:r w:rsidRPr="004D0DAA">
        <w:t xml:space="preserve">The transmitter shall transmit the oldest RLC data block whose corresponding element in V(B) indexed relative to V(A) has the value </w:t>
      </w:r>
      <w:r w:rsidRPr="004D0DAA">
        <w:rPr>
          <w:caps/>
        </w:rPr>
        <w:t>NACKED</w:t>
      </w:r>
      <w:r w:rsidRPr="004D0DAA">
        <w:t>. As each RLC data block is transmitted the corresponding element in V(B) is set to the value PENDING_ACK.</w:t>
      </w:r>
    </w:p>
    <w:p w14:paraId="02784A59" w14:textId="77777777" w:rsidR="00711444" w:rsidRPr="004D0DAA" w:rsidRDefault="00711444" w:rsidP="00711444">
      <w:pPr>
        <w:keepLines/>
      </w:pPr>
      <w:r w:rsidRPr="004D0DAA">
        <w:lastRenderedPageBreak/>
        <w:t>If [ V(S) &lt; V(A) + WS ] modulo SNS and no RLC data blocks have a corresponding element in V(B) with the value NACKED, the RLC data block with BSN = V(S) shall be transmitted and the corresponding element in V(B) shall be set to the value PENDING_ACK. If there are no further RLC data blocks available for transmission (i.e. the RLC data block with BSN= V(S) does not exist), the sending side shall transmit the oldest RLC data block whose corresponding element in V(B) has the value PENDING_ACK, then the next oldest block whose corresponding element in V(B) has the value PENDING_ACK, etc. If all RLC data blocks whose corresponding element in V(B) has the value PENDING_ACK have been transmitted once, the process shall be repeated beginning with the oldest RLC data block.</w:t>
      </w:r>
    </w:p>
    <w:p w14:paraId="5BC8F27A" w14:textId="77777777" w:rsidR="00711444" w:rsidRPr="004D0DAA" w:rsidRDefault="00711444" w:rsidP="00711444">
      <w:r w:rsidRPr="004D0DAA">
        <w:t>If V(S) = V(A) + WS modulo SNS (i.e. the transmit window is stalled), the sending side shall transmit the oldest RLC data block whose corresponding element in V(B) has the value PENDING_ACK, then the next oldest RLC data block whose corresponding element in V(B) has the value PENDING_ACK, etc. If all RLC data blocks whose corresponding element in V(B) has the value PENDING_ACK has been transmitted once, the process shall be repeated beginning with the oldest RLC data block. This process of transmitting the oldest RLC data blocks whose value in V(B) has the value PENDING_ACK shall continue, as long as equation [V(S)=V(A)+WS] modulo SNS holds.</w:t>
      </w:r>
    </w:p>
    <w:p w14:paraId="470B0A5D" w14:textId="77777777" w:rsidR="00711444" w:rsidRPr="004D0DAA" w:rsidRDefault="00711444" w:rsidP="00711444">
      <w:r w:rsidRPr="004D0DAA">
        <w:t xml:space="preserve">When an element in V(B) falls outside of the active transmit window, i.e.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 element shall be set to the value INVALID.</w:t>
      </w:r>
    </w:p>
    <w:p w14:paraId="0D996CAD" w14:textId="77777777" w:rsidR="00711444" w:rsidRPr="004D0DAA" w:rsidRDefault="00711444" w:rsidP="00711444">
      <w:r w:rsidRPr="004D0DAA">
        <w:t>In the extended uplink TBF mode, if V(S) = V(A) and there is no RLC data block with BSN = V(S) available, the mobile station shall stop sending RLC data blocks. The mobile station shall continue sending RLC data blocks when a RLC data block with BSN = V(S) is available.</w:t>
      </w:r>
    </w:p>
    <w:p w14:paraId="51EAE8FC" w14:textId="77777777" w:rsidR="00711444" w:rsidRPr="004D0DAA" w:rsidRDefault="00711444" w:rsidP="00711444">
      <w:pPr>
        <w:pStyle w:val="Heading4"/>
      </w:pPr>
      <w:bookmarkStart w:id="393" w:name="_Toc516669580"/>
      <w:r w:rsidRPr="004D0DAA">
        <w:t>9.1.3.2</w:t>
      </w:r>
      <w:r w:rsidRPr="004D0DAA">
        <w:tab/>
        <w:t>Acknowledge State Array V(B) for EGPRS TBF Mode</w:t>
      </w:r>
      <w:bookmarkEnd w:id="393"/>
    </w:p>
    <w:p w14:paraId="3BF8F7F8" w14:textId="77777777" w:rsidR="00711444" w:rsidRPr="004D0DAA" w:rsidRDefault="00711444" w:rsidP="00711444">
      <w:pPr>
        <w:pStyle w:val="Heading5"/>
      </w:pPr>
      <w:bookmarkStart w:id="394" w:name="_Toc516669581"/>
      <w:r w:rsidRPr="004D0DAA">
        <w:t>9.1.3.2.1</w:t>
      </w:r>
      <w:r w:rsidRPr="004D0DAA">
        <w:tab/>
        <w:t>EGPRS TBF running in RLC acknowledged mode</w:t>
      </w:r>
      <w:bookmarkEnd w:id="394"/>
    </w:p>
    <w:p w14:paraId="594DB890" w14:textId="77777777" w:rsidR="00711444" w:rsidRPr="004D0DAA" w:rsidRDefault="00711444" w:rsidP="00711444">
      <w:r w:rsidRPr="004D0DAA">
        <w:t>In RLC acknowledged mode, each RLC endpoint transmitter shall have an associated acknowledge state array (V(B)). V(B) is an array of SNS elements indicating the acknowledgement status of WS previous RLC data blocks. The array is indexed relative to the acknowledge state variable V(A) modulo SNS. The values of V(B) shall be updated from the values received from its peer in the reported bitmap (RB) of the Packet Ack/Nack message (see sub-clause 9.1.8). If a compressed reported bitmap is received, decompression shall be first applied according to sub-clause 9.1.10.</w:t>
      </w:r>
    </w:p>
    <w:p w14:paraId="15AE537E" w14:textId="77777777" w:rsidR="00711444" w:rsidRPr="004D0DAA" w:rsidRDefault="00711444" w:rsidP="00711444">
      <w:pPr>
        <w:rPr>
          <w:caps/>
        </w:rPr>
      </w:pPr>
      <w:r w:rsidRPr="004D0DAA">
        <w:t xml:space="preserve">The transmitter shall transmit the oldest RLC data block whose corresponding element in V(B) indexed relative to V(A) has the value </w:t>
      </w:r>
      <w:r w:rsidRPr="004D0DAA">
        <w:rPr>
          <w:caps/>
        </w:rPr>
        <w:t>NACKED</w:t>
      </w:r>
      <w:r w:rsidRPr="004D0DAA">
        <w:t xml:space="preserve">. As each RLC data block is transmitted the corresponding element in V(B) is set to the value PENDING_ACK. If the RLC data block to be transmitted is split over two radio blocks, both radio blocks shall be transmitted. As an exception, if the transmitter supports DTR, [ V(S) &lt; V(A) + WS ] modulo SNS and the RLC data block with BSN = V(S) is available, the transmitter may transmit the RLC data block with BSN = V(S) instead of the oldest RLC data block whose corresponding element in V(B) has the value </w:t>
      </w:r>
      <w:r w:rsidRPr="004D0DAA">
        <w:rPr>
          <w:caps/>
        </w:rPr>
        <w:t>NACKED.</w:t>
      </w:r>
    </w:p>
    <w:p w14:paraId="5BC5C0D2" w14:textId="77777777" w:rsidR="00711444" w:rsidRPr="004D0DAA" w:rsidRDefault="00711444" w:rsidP="00711444">
      <w:pPr>
        <w:pStyle w:val="NO"/>
      </w:pPr>
      <w:r w:rsidRPr="004D0DAA">
        <w:t>NOTE:</w:t>
      </w:r>
      <w:r w:rsidRPr="004D0DAA">
        <w:tab/>
        <w:t>This exception should only be used to avoid a mobile station entering DTR mode or the network believing that a mobile station may have entered DTR mode (see sub-clause 8.1.8.2) when the transmitter has received new data from the upper layers.</w:t>
      </w:r>
    </w:p>
    <w:p w14:paraId="4C830D08" w14:textId="77777777" w:rsidR="00711444" w:rsidRPr="004D0DAA" w:rsidRDefault="00711444" w:rsidP="00711444">
      <w:r w:rsidRPr="004D0DAA">
        <w:t>If [ V(S) &lt; V(A) + WS ] modulo SNS and no RLC data blocks have a corresponding element in V(B) with the value NACKED, the RLC data block with BSN = V(S) shall be transmitted and the corresponding element in V(B) shall be set to the value PENDING_ACK. If the transmitter is the mobile station, the pre-emptive transmission bit is set to '1' in the PACKET UPLINK ACK/NACK message and there are no further RLC data blocks available for transmission (i.e. the RLC data block with BSN= V(S) does not exist), the sending side shall retransmit the oldest RLC data block whose corresponding element in V(B) has the value PENDING_ACK, then the next oldest block whose corresponding element in V(B) has the value PENDING_ACK, etc. If in this case there are no RLC data blocks whose corresponding element in V(B) has the value PENDING_ACK and either the uplink TBF is not operated in extended uplink TBF mode or the uplink TBF is operated in extended uplink TBF mode but the mobile station shall not refrain from sending an RLC/MAC block (i.e. EXT_UTBF_NODATA is set to '0'), the sending side shall retransmit the oldest RLC data block whose corresponding element in V(B) has the value TENTATIVE_ACK,</w:t>
      </w:r>
      <w:r w:rsidRPr="004D0DAA">
        <w:rPr>
          <w:rFonts w:hint="eastAsia"/>
          <w:lang w:eastAsia="ko-KR"/>
        </w:rPr>
        <w:t xml:space="preserve"> then the </w:t>
      </w:r>
      <w:r w:rsidRPr="004D0DAA">
        <w:t>next oldest block whose corresponding element in V(B) has the value TENTATIVE_ACK</w:t>
      </w:r>
      <w:r w:rsidRPr="004D0DAA">
        <w:rPr>
          <w:rFonts w:hint="eastAsia"/>
          <w:lang w:eastAsia="ko-KR"/>
        </w:rPr>
        <w:t>, etc</w:t>
      </w:r>
      <w:r w:rsidRPr="004D0DAA">
        <w:t>. This entire procedure shall be repeated, starting with the oldest RLC data block whose corresponding element in V(B) has the value PENDING_ACK or has the value TENTATIVE_ACK if no element has the value PENDING_ACK, for as long as the applicable conditions for pre-emptive retransmission are true.</w:t>
      </w:r>
    </w:p>
    <w:p w14:paraId="5A97D674" w14:textId="77777777" w:rsidR="00711444" w:rsidRPr="004D0DAA" w:rsidRDefault="00711444" w:rsidP="00711444">
      <w:r w:rsidRPr="004D0DAA">
        <w:t xml:space="preserve">If [V(S) = V(A) + WS] modulo SNS (i.e. the transmit window is stalled), the sending side shall transmit the oldest RLC data block whose corresponding element in V(B) has the value PENDING_ACK, then the next oldest RLC data block whose corresponding element in V(B) has the value PENDING_ACK, etc. If in this case there are no RLC data blocks </w:t>
      </w:r>
      <w:r w:rsidRPr="004D0DAA">
        <w:lastRenderedPageBreak/>
        <w:t>whose corresponding element in V(B) has the value PENDING_ACK and either the uplink TBF is not operated in extended uplink TBF mode or the uplink TBF is operated in extended uplink TBF mode but the mobile station shall not refrain from sending an RLC/MAC block (i.e. EXT_UTBF_NODATA is set to '0'), the sending side shall retransmit the oldest RLC data block whose corresponding element in V(B) has the value TENTATIVE_ACK,</w:t>
      </w:r>
      <w:r w:rsidRPr="004D0DAA">
        <w:rPr>
          <w:rFonts w:hint="eastAsia"/>
          <w:lang w:eastAsia="ko-KR"/>
        </w:rPr>
        <w:t xml:space="preserve"> then the </w:t>
      </w:r>
      <w:r w:rsidRPr="004D0DAA">
        <w:t>next oldest block whose corresponding element in V(B) has the value TENTATIVE_ACK</w:t>
      </w:r>
      <w:r w:rsidRPr="004D0DAA">
        <w:rPr>
          <w:rFonts w:hint="eastAsia"/>
          <w:lang w:eastAsia="ko-KR"/>
        </w:rPr>
        <w:t>, etc</w:t>
      </w:r>
      <w:r w:rsidRPr="004D0DAA">
        <w:t>. This process of retransmitting RLC data blocks whose value in V(B) has the value PENDING_ACK (or TENTATIVE_ACK) shall be repeated, starting with the oldest RLC data block whose corresponding element in V(B) has the value PENDING_ACK or has the value TENTATIVE_ACK if no element of V(B) has the value PENDING_ACK, as long as equation [V(S)=V(A)+WS]modulo SNS holds. If the transmitter is the mobile station and the pre-emptive transmission bit is set to '0' in the PACKET UPLINK ACK/NACK message the transmitter shall not retransmit RLC data blocks whose corresponding element in V(B) has the value PENDING_ACK or TENTATIVE_ACK. When a PACKET UPLINK ACK/NACK message or a PAN field is received the mobile station shall retransmit the RLC blocks which are set to NACKED in V(B) and new RLC data blocks as far as the transmit window (if advanced) allows. However if the RLC data block is the last in the TBF it shall be retransmitted even if its state is PENDING_ACK</w:t>
      </w:r>
      <w:r w:rsidRPr="004D0DAA">
        <w:rPr>
          <w:rFonts w:hint="eastAsia"/>
          <w:lang w:eastAsia="ko-KR"/>
        </w:rPr>
        <w:t xml:space="preserve"> or TENTATIVE_ACK</w:t>
      </w:r>
      <w:r w:rsidRPr="004D0DAA">
        <w:t>. The default for the mobile side is that the transmitter shall use pre-emptive retransmission. If the transmitter is on the network side this process (pre-emptive retransmission) of retransmitting the oldest RLC data blocks whose value in V(B) has the value PENDING_ACK</w:t>
      </w:r>
      <w:r w:rsidRPr="004D0DAA">
        <w:rPr>
          <w:rFonts w:hint="eastAsia"/>
          <w:lang w:eastAsia="ko-KR"/>
        </w:rPr>
        <w:t xml:space="preserve"> or TENTATIVE_ACK</w:t>
      </w:r>
      <w:r w:rsidRPr="004D0DAA">
        <w:t xml:space="preserve"> is optional.</w:t>
      </w:r>
    </w:p>
    <w:p w14:paraId="0E0B0539" w14:textId="77777777" w:rsidR="00711444" w:rsidRPr="004D0DAA" w:rsidRDefault="00711444" w:rsidP="00711444">
      <w:pPr>
        <w:pStyle w:val="NO"/>
      </w:pPr>
      <w:r w:rsidRPr="004D0DAA">
        <w:t>NOTE:</w:t>
      </w:r>
      <w:r w:rsidRPr="004D0DAA">
        <w:tab/>
        <w:t xml:space="preserve">If the Mobile Station only has RLC data blocks whose value in V(B) has the value PENDING_ACK </w:t>
      </w:r>
      <w:r w:rsidRPr="004D0DAA">
        <w:rPr>
          <w:rFonts w:hint="eastAsia"/>
          <w:lang w:eastAsia="ko-KR"/>
        </w:rPr>
        <w:t xml:space="preserve">or TENTATIVE_ACK </w:t>
      </w:r>
      <w:r w:rsidRPr="004D0DAA">
        <w:t>and the pre-emptive transmission bit is set to '0', the rules defined in sub-clause 8.1.1 apply (i.e. PACKET UPLINK DUMMY CONTROL BLOCK messages are sent).</w:t>
      </w:r>
    </w:p>
    <w:p w14:paraId="57D41075" w14:textId="77777777" w:rsidR="00711444" w:rsidRPr="004D0DAA" w:rsidRDefault="00711444" w:rsidP="00711444">
      <w:r w:rsidRPr="004D0DAA">
        <w:t>If the mobile station has been polled for a PAN, and the data blocks specified for transmission according to the rules in this sub-clause all have corresponding elements in V(B) whose value is TENTATIVE_ACK then no RLC data block shall be transmitted (see sub-clause 8.1.1.).</w:t>
      </w:r>
    </w:p>
    <w:p w14:paraId="7D882D8B" w14:textId="77777777" w:rsidR="00711444" w:rsidRPr="004D0DAA" w:rsidRDefault="00711444" w:rsidP="00711444">
      <w:r w:rsidRPr="004D0DAA">
        <w:t xml:space="preserve">When an element in V(B) falls outside of the active transmit window, i.e.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 element shall be set to the value INVALID.</w:t>
      </w:r>
    </w:p>
    <w:p w14:paraId="6C4833EA" w14:textId="77777777" w:rsidR="00711444" w:rsidRPr="004D0DAA" w:rsidRDefault="00711444" w:rsidP="00711444">
      <w:r w:rsidRPr="004D0DAA">
        <w:t>In the extended uplink TBF mode, if V(S) = V(A) and there is no RLC data block with BSN = V(S) available, the mobile station shall stop sending RLC data blocks. The mobile station shall continue sending RLC data blocks when a RLC data block with BSN = V(S) is available.</w:t>
      </w:r>
    </w:p>
    <w:p w14:paraId="28FC931E" w14:textId="77777777" w:rsidR="00711444" w:rsidRPr="004D0DAA" w:rsidRDefault="00711444" w:rsidP="00711444">
      <w:r w:rsidRPr="004D0DAA">
        <w:t>When Enhanced Flexible Timeslot Assignment, EFTA, is used, and the applicable conditions for pre-emptive retransmission are true, the mobile station shall not prioritize uplink radio block transmission over attempting to read downlink radio blocks.</w:t>
      </w:r>
    </w:p>
    <w:p w14:paraId="7CA4AA28" w14:textId="77777777" w:rsidR="00711444" w:rsidRPr="004D0DAA" w:rsidRDefault="00711444" w:rsidP="00711444">
      <w:pPr>
        <w:pStyle w:val="Heading5"/>
      </w:pPr>
      <w:bookmarkStart w:id="395" w:name="_Toc516669582"/>
      <w:r w:rsidRPr="004D0DAA">
        <w:t>9.1.3.2.2</w:t>
      </w:r>
      <w:r w:rsidRPr="004D0DAA">
        <w:tab/>
        <w:t>EGPRS TBF running in RLC non-persistent mode</w:t>
      </w:r>
      <w:bookmarkEnd w:id="395"/>
    </w:p>
    <w:p w14:paraId="5420AC94" w14:textId="77777777" w:rsidR="00711444" w:rsidRPr="004D0DAA" w:rsidRDefault="00711444" w:rsidP="00711444">
      <w:r w:rsidRPr="004D0DAA">
        <w:t>In RLC non-persistent mode, each RLC endpoint transmitter shall have an associated acknowledge state array (V(B)). V(B) is an array of SNS elements indicating the acknowledgement status of WS previous RLC data blocks. The array is indexed relative to the acknowledge state variable V(A) modulo SNS. The values of V(B) shall be updated from the values received from its peer in the reported bitmap (RB) of the Packet Ack/Nack message (see sub-clause 9.1.8). If a compressed reported bitmap is received, decompression shall be first applied according to sub-clause 9.1.10.</w:t>
      </w:r>
    </w:p>
    <w:p w14:paraId="048980E9" w14:textId="77777777" w:rsidR="00711444" w:rsidRPr="004D0DAA" w:rsidRDefault="00711444" w:rsidP="00711444">
      <w:r w:rsidRPr="004D0DAA">
        <w:t>The transmitter may transmit any RLC data block included in V(B), e.g. those whose corresponding element in V(B) indexed relative to V(A) has the value NACKED. As each RLC data block is transmitted the corresponding element in V(B) is set to the value PENDING_ACK. If an NPM Transfer Time limitation is associated with the TBF, the transmitting RLC endpoint shall start a timer with a value equal to the NPM Transfer Time (see Table 12.45a.1) each time it begins transmitting a new upper layer PDU. If the timer expires, the transmitting RLC endpoint should not (re)transmit any of the RLC data blocks corresponding to that upper layer PDU and not containing data from other LLC PDU(s) whose timer has not yet expired.</w:t>
      </w:r>
    </w:p>
    <w:p w14:paraId="2A2327A3" w14:textId="77777777" w:rsidR="00711444" w:rsidRPr="004D0DAA" w:rsidRDefault="00711444" w:rsidP="00711444">
      <w:r w:rsidRPr="004D0DAA">
        <w:t xml:space="preserve">When an element in V(B) falls outside of the active transmit window, i.e.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 element shall be set to the value INVALID.</w:t>
      </w:r>
    </w:p>
    <w:p w14:paraId="21B46C83" w14:textId="77777777" w:rsidR="00711444" w:rsidRPr="004D0DAA" w:rsidRDefault="00711444" w:rsidP="00711444">
      <w:r w:rsidRPr="004D0DAA">
        <w:t>If the RLC data block to be transmitted is split over two radio blocks, both radio blocks shall be transmitted. The selection of the Puncturing Scheme (PS) shall be performed according to sub-clause 9.3.2.1.</w:t>
      </w:r>
    </w:p>
    <w:p w14:paraId="21B39E54" w14:textId="77777777" w:rsidR="00711444" w:rsidRPr="004D0DAA" w:rsidRDefault="00711444" w:rsidP="00711444">
      <w:r w:rsidRPr="004D0DAA">
        <w:t>In the extended uplink TBF mode, if V(S) = V(A) and there is no RLC data block with BSN = V(S) available, the mobile station shall stop sending RLC data blocks. The mobile station shall continue sending RLC data blocks when a RLC data block with BSN = V(S) is available.</w:t>
      </w:r>
    </w:p>
    <w:p w14:paraId="02CDD3F6" w14:textId="77777777" w:rsidR="00711444" w:rsidRPr="004D0DAA" w:rsidRDefault="00711444" w:rsidP="00711444">
      <w:pPr>
        <w:pStyle w:val="Heading4"/>
      </w:pPr>
      <w:bookmarkStart w:id="396" w:name="_Toc516669583"/>
      <w:r w:rsidRPr="004D0DAA">
        <w:lastRenderedPageBreak/>
        <w:t>9.1.3.3</w:t>
      </w:r>
      <w:r w:rsidRPr="004D0DAA">
        <w:tab/>
        <w:t>Acknowledge State Array V(B) for MBMS Bearers</w:t>
      </w:r>
      <w:bookmarkEnd w:id="396"/>
    </w:p>
    <w:p w14:paraId="2D4936DF" w14:textId="77777777" w:rsidR="00711444" w:rsidRPr="004D0DAA" w:rsidRDefault="00711444" w:rsidP="00711444">
      <w:r w:rsidRPr="004D0DAA">
        <w:t xml:space="preserve">The RLC endpoint transmitter shall have an associated acknowledge state array (V(B)). V(B) is an array of SNS elements indicating the acknowledgement status of WS previous RLC data blocks. The array is indexed relative to the acknowledge state variable V(A) modulo SNS. </w:t>
      </w:r>
    </w:p>
    <w:p w14:paraId="6CCACCD2" w14:textId="77777777" w:rsidR="00711444" w:rsidRPr="004D0DAA" w:rsidRDefault="00711444" w:rsidP="00711444">
      <w:r w:rsidRPr="004D0DAA">
        <w:t>The values of V(B) shall be updated from the values received from its peers in the reported bitmap (RB) of the MBMS DOWNLINK ACK/NACK message (see sub-clause 9.1.8). If a compressed reported bitmap is received, decompression shall be first applied according to sub-clause 9.1.10.</w:t>
      </w:r>
    </w:p>
    <w:p w14:paraId="3B2093E4" w14:textId="77777777" w:rsidR="00711444" w:rsidRPr="004D0DAA" w:rsidRDefault="00711444" w:rsidP="00711444">
      <w:r w:rsidRPr="004D0DAA">
        <w:t>The transmitter may retransmit any RLC data block included in V (B), e.g. those whose corresponding element in V (B) indexed relative to V (A) have the value NACKED. As each RLC data block is transmitted the corresponding element in V (B) is set to the value PENDING_ACK. If an NPM Transfer Time limitation is associated with the MBMS bearer, the transmitting RLC endpoint shall start a timer with a value equal to the NPM Transfer Time (see Table 12. 45a.1) each time it begins transmitting a new upper layer PDU. If the timer expires, the transmitting RLC endpoint should not (re)transmit any of the RLC data blocks corresponding to that upper layer PDU and not containing data from other LLC PDU(s) whose timer has not yet expired.</w:t>
      </w:r>
    </w:p>
    <w:p w14:paraId="6BD6788D" w14:textId="77777777" w:rsidR="00711444" w:rsidRPr="004D0DAA" w:rsidRDefault="00711444" w:rsidP="00711444">
      <w:r w:rsidRPr="004D0DAA">
        <w:t xml:space="preserve">When an element in V(B) falls outside of the active transmit window, i.e.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 element shall be set to the value INVALID.</w:t>
      </w:r>
    </w:p>
    <w:p w14:paraId="1DDBBA8D" w14:textId="77777777" w:rsidR="00711444" w:rsidRPr="004D0DAA" w:rsidRDefault="00711444" w:rsidP="00711444">
      <w:r w:rsidRPr="004D0DAA">
        <w:t>For an MBMS bearer running in EGPRS TBF mode, if the RLC data block intended for retransmission is split over two radio blocks, both radio blocks shall be transmitted. The selection of the Puncturing Scheme (PS) shall be performed according to sub-clause 9.3.2.1.</w:t>
      </w:r>
    </w:p>
    <w:p w14:paraId="11907A7C" w14:textId="77777777" w:rsidR="00711444" w:rsidRPr="004D0DAA" w:rsidRDefault="00711444" w:rsidP="00711444">
      <w:pPr>
        <w:pStyle w:val="Heading4"/>
      </w:pPr>
      <w:bookmarkStart w:id="397" w:name="_Toc516669584"/>
      <w:r w:rsidRPr="004D0DAA">
        <w:t>9.1.3.4</w:t>
      </w:r>
      <w:r w:rsidRPr="004D0DAA">
        <w:tab/>
        <w:t>Acknowledge State Array V(B) for EC TBF Mode</w:t>
      </w:r>
      <w:bookmarkEnd w:id="397"/>
    </w:p>
    <w:p w14:paraId="6EB7908E" w14:textId="77777777" w:rsidR="00711444" w:rsidRPr="004D0DAA" w:rsidRDefault="00711444" w:rsidP="00711444">
      <w:r w:rsidRPr="004D0DAA">
        <w:t>Each RLC endpoint transmitter shall have an associated acknowledge state array (V(B)). V(B) is an array of SNS elements indicating the acknowledgement status of WS previous RLC data blocks. The array is indexed relative to the acknowledge state variable V(A) modulo SNS. The values of V(B) shall be updated from the values received from its peer in the received block bitmap (RBB) of the Packet Ack/Nack message (see sub-clause 9.1.8.3).</w:t>
      </w:r>
    </w:p>
    <w:p w14:paraId="1331898E" w14:textId="77777777" w:rsidR="00711444" w:rsidRPr="004D0DAA" w:rsidRDefault="00711444" w:rsidP="00711444">
      <w:r w:rsidRPr="004D0DAA">
        <w:t xml:space="preserve">The transmitter shall transmit the oldest RLC data block whose corresponding element in V(B) indexed relative to V(A) has the value </w:t>
      </w:r>
      <w:r w:rsidRPr="004D0DAA">
        <w:rPr>
          <w:caps/>
        </w:rPr>
        <w:t>NACKED</w:t>
      </w:r>
      <w:r w:rsidRPr="004D0DAA">
        <w:t>. As each RLC data block is transmitted the corresponding element in V(B) is set to the value PENDING_ACK. If the RLC data block to be transmitted is split over two radio blocks, both radio blocks shall be transmitted.</w:t>
      </w:r>
    </w:p>
    <w:p w14:paraId="6E76CAB3" w14:textId="77777777" w:rsidR="00711444" w:rsidRPr="004D0DAA" w:rsidRDefault="00711444" w:rsidP="00711444">
      <w:r w:rsidRPr="004D0DAA">
        <w:t>If [ V(S) &lt; V(A) + WS ] modulo SNS and no RLC data blocks have a corresponding element in V(B) with the value NACKED, the RLC data block with BSN = V(S) shall be transmitted and the corresponding element in V(B) shall be set to the value PENDING_ACK. If the transmitter is the mobile station that, for a fixed uplink allocation it has received, has no further RLC data blocks available for transmission (i.e. the RLC data block with BSN= V(S) does not exist), the mobile station shall retransmit the oldest RLC data block whose corresponding element in V(B) has the value PENDING_ACK, then the next oldest block whose corresponding element in V(B) has the value PENDING_ACK, etc.</w:t>
      </w:r>
    </w:p>
    <w:p w14:paraId="5E4B251E" w14:textId="77777777" w:rsidR="00711444" w:rsidRPr="004D0DAA" w:rsidRDefault="00711444" w:rsidP="00711444">
      <w:r w:rsidRPr="004D0DAA">
        <w:t>If [V(S) = V(A) + WS] modulo SNS (i.e. the transmit window is stalled), the sending side shall transmit the oldest RLC data block whose corresponding element in V(B) has the value PENDING_ACK, then the next oldest RLC data block whose corresponding element in V(B) has the value PENDING_ACK, etc.</w:t>
      </w:r>
    </w:p>
    <w:p w14:paraId="03DBE5EA" w14:textId="77777777" w:rsidR="00711444" w:rsidRPr="004D0DAA" w:rsidRDefault="00711444" w:rsidP="00711444">
      <w:r w:rsidRPr="004D0DAA">
        <w:t>If the transmitter is on the network side the process of pre-emptive retransmission, i.e. retransmitting the oldest RLC data blocks whose value in V(B) has the value PENDING_ACK,</w:t>
      </w:r>
      <w:r w:rsidRPr="004D0DAA">
        <w:rPr>
          <w:rFonts w:hint="eastAsia"/>
          <w:lang w:eastAsia="ko-KR"/>
        </w:rPr>
        <w:t xml:space="preserve"> </w:t>
      </w:r>
      <w:r w:rsidRPr="004D0DAA">
        <w:t>is optional.</w:t>
      </w:r>
    </w:p>
    <w:p w14:paraId="260FF8B5" w14:textId="77777777" w:rsidR="00711444" w:rsidRPr="004D0DAA" w:rsidRDefault="00711444" w:rsidP="00711444">
      <w:r w:rsidRPr="004D0DAA">
        <w:t xml:space="preserve">When an element in V(B) falls outside of the active transmit window, i.e.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 element shall be set to the value INVALID.</w:t>
      </w:r>
    </w:p>
    <w:p w14:paraId="4DC50228" w14:textId="77777777" w:rsidR="00711444" w:rsidRPr="004D0DAA" w:rsidRDefault="00711444" w:rsidP="00711444">
      <w:pPr>
        <w:pStyle w:val="Heading3"/>
      </w:pPr>
      <w:bookmarkStart w:id="398" w:name="_Toc516669585"/>
      <w:r w:rsidRPr="004D0DAA">
        <w:t>9.1.4</w:t>
      </w:r>
      <w:r w:rsidRPr="004D0DAA">
        <w:tab/>
        <w:t>Block sequence number BSN</w:t>
      </w:r>
      <w:bookmarkEnd w:id="398"/>
    </w:p>
    <w:p w14:paraId="19F0A089" w14:textId="77777777" w:rsidR="00711444" w:rsidRPr="004D0DAA" w:rsidRDefault="00711444" w:rsidP="00711444">
      <w:pPr>
        <w:pStyle w:val="Heading4"/>
      </w:pPr>
      <w:bookmarkStart w:id="399" w:name="_Toc516669586"/>
      <w:r w:rsidRPr="004D0DAA">
        <w:t>9.1.4.1</w:t>
      </w:r>
      <w:r w:rsidRPr="004D0DAA">
        <w:tab/>
        <w:t>Block sequence number BSN for GPRS TBF</w:t>
      </w:r>
      <w:bookmarkEnd w:id="399"/>
      <w:r w:rsidRPr="004D0DAA">
        <w:t xml:space="preserve"> </w:t>
      </w:r>
    </w:p>
    <w:p w14:paraId="3F4B5FBE" w14:textId="77777777" w:rsidR="00711444" w:rsidRPr="004D0DAA" w:rsidRDefault="00711444" w:rsidP="00711444">
      <w:r w:rsidRPr="004D0DAA">
        <w:t>Each RLC data block contains a block sequence number (BSN) field that is 7 bits in length. At the time that an in</w:t>
      </w:r>
      <w:r w:rsidRPr="004D0DAA">
        <w:noBreakHyphen/>
        <w:t>sequence RLC data block is designated for transmission, the value of BSN is set equal to the value of the send state variable V(S).</w:t>
      </w:r>
    </w:p>
    <w:p w14:paraId="49A4C9CC" w14:textId="77777777" w:rsidR="00711444" w:rsidRPr="004D0DAA" w:rsidRDefault="00711444" w:rsidP="00711444">
      <w:pPr>
        <w:pStyle w:val="Heading4"/>
      </w:pPr>
      <w:bookmarkStart w:id="400" w:name="_Toc516669587"/>
      <w:r w:rsidRPr="004D0DAA">
        <w:lastRenderedPageBreak/>
        <w:t>9.1.4.2</w:t>
      </w:r>
      <w:r w:rsidRPr="004D0DAA">
        <w:tab/>
        <w:t>Block sequence number BSN for EGPRS TBF</w:t>
      </w:r>
      <w:bookmarkEnd w:id="400"/>
      <w:r w:rsidRPr="004D0DAA">
        <w:t xml:space="preserve"> </w:t>
      </w:r>
    </w:p>
    <w:p w14:paraId="51DE85C7" w14:textId="77777777" w:rsidR="00711444" w:rsidRPr="004D0DAA" w:rsidRDefault="00711444" w:rsidP="00711444">
      <w:r w:rsidRPr="004D0DAA">
        <w:t>Each RLC data block contains a block sequence number (BSN) field that is 11 bits in length or, for the case of a DLMC configuration where a SNS of 8192 is used (see sub-clause 5.13), 13 bits long.. At the time that an in</w:t>
      </w:r>
      <w:r w:rsidRPr="004D0DAA">
        <w:noBreakHyphen/>
        <w:t>sequence RLC data block is designated for transmission, the value of BSN is set equal to the value of the send state variable V(S).</w:t>
      </w:r>
    </w:p>
    <w:p w14:paraId="60BF07FF" w14:textId="77777777" w:rsidR="00711444" w:rsidRPr="004D0DAA" w:rsidRDefault="00711444" w:rsidP="00711444">
      <w:pPr>
        <w:pStyle w:val="Heading4"/>
      </w:pPr>
      <w:bookmarkStart w:id="401" w:name="_Toc516669588"/>
      <w:r w:rsidRPr="004D0DAA">
        <w:t>9.1.4.3</w:t>
      </w:r>
      <w:r w:rsidRPr="004D0DAA">
        <w:tab/>
        <w:t>Block sequence number BSN for EC TBF</w:t>
      </w:r>
      <w:bookmarkEnd w:id="401"/>
      <w:r w:rsidRPr="004D0DAA">
        <w:t xml:space="preserve"> </w:t>
      </w:r>
    </w:p>
    <w:p w14:paraId="1BA2A046" w14:textId="77777777" w:rsidR="00711444" w:rsidRPr="004D0DAA" w:rsidRDefault="00711444" w:rsidP="00711444">
      <w:pPr>
        <w:rPr>
          <w:lang w:eastAsia="zh-CN"/>
        </w:rPr>
      </w:pPr>
      <w:r w:rsidRPr="004D0DAA">
        <w:t>Each RLC data block contains a block sequence number (BSN) field that is 5 bits in length. At the time that an in</w:t>
      </w:r>
      <w:r w:rsidRPr="004D0DAA">
        <w:noBreakHyphen/>
        <w:t>sequence RLC data block is designated for transmission, the value of BSN is set equal to the value of the send state variable V(S).</w:t>
      </w:r>
    </w:p>
    <w:p w14:paraId="48EB60B7" w14:textId="77777777" w:rsidR="00711444" w:rsidRPr="004D0DAA" w:rsidRDefault="00711444" w:rsidP="00711444">
      <w:pPr>
        <w:pStyle w:val="Heading3"/>
      </w:pPr>
      <w:bookmarkStart w:id="402" w:name="_Toc516669589"/>
      <w:r w:rsidRPr="004D0DAA">
        <w:t>9.1.4a</w:t>
      </w:r>
      <w:r w:rsidRPr="004D0DAA">
        <w:tab/>
        <w:t>Reduced Block Sequence Number RBSN</w:t>
      </w:r>
      <w:bookmarkEnd w:id="402"/>
      <w:r w:rsidRPr="004D0DAA">
        <w:t xml:space="preserve"> </w:t>
      </w:r>
    </w:p>
    <w:p w14:paraId="08EA2AAB" w14:textId="77777777" w:rsidR="00711444" w:rsidRPr="004D0DAA" w:rsidRDefault="00711444" w:rsidP="00711444">
      <w:r w:rsidRPr="004D0DAA">
        <w:t>Each downlink RLC/MAC control block contains a Reduced Block Sequence Number (RBSN) bit. At the time that an in-sequence RLC/MAC control block is designated for transmission, the value of RBSN is set equal to the value of the control send state variable V(CS), except when extended RLC/MAC control message segmentation is used, in which case the value of RBSN is set equal to ‘0’ for the first RLC/MAC control block, and to ‘1’ for the second RLC/MAC control block onwards.</w:t>
      </w:r>
    </w:p>
    <w:p w14:paraId="1A73A1F6" w14:textId="77777777" w:rsidR="00711444" w:rsidRPr="004D0DAA" w:rsidRDefault="00711444" w:rsidP="00711444">
      <w:pPr>
        <w:pStyle w:val="Heading3"/>
      </w:pPr>
      <w:bookmarkStart w:id="403" w:name="_Toc516669590"/>
      <w:r w:rsidRPr="004D0DAA">
        <w:t>9.1.4b</w:t>
      </w:r>
      <w:r w:rsidRPr="004D0DAA">
        <w:tab/>
        <w:t>Reduced Block Sequence Number extension RBSNe</w:t>
      </w:r>
      <w:bookmarkEnd w:id="403"/>
    </w:p>
    <w:p w14:paraId="61192AEA" w14:textId="77777777" w:rsidR="00711444" w:rsidRPr="004D0DAA" w:rsidRDefault="00711444" w:rsidP="00711444">
      <w:r w:rsidRPr="004D0DAA">
        <w:t xml:space="preserve">When extended RLC/MAC control message segmentation is used, the second to the ninth RLC/MAC control blocks shall contain a Reduced Block Sequence Number extension (RBSNe) field. The first RLC/MAC control block shall not contain a RBSNe field (see sub-clause 10.4.12b). At the time that an in-sequence RLC/MAC control block is designated for transmission, the value of RBSNe is set equal to the value of the control send state variable V(CS) minus 1. </w:t>
      </w:r>
    </w:p>
    <w:p w14:paraId="1D9036F7" w14:textId="77777777" w:rsidR="00711444" w:rsidRPr="004D0DAA" w:rsidRDefault="00711444" w:rsidP="00711444">
      <w:pPr>
        <w:pStyle w:val="Heading3"/>
      </w:pPr>
      <w:bookmarkStart w:id="404" w:name="_Toc516669591"/>
      <w:r w:rsidRPr="004D0DAA">
        <w:t>9.1.5</w:t>
      </w:r>
      <w:r w:rsidRPr="004D0DAA">
        <w:tab/>
        <w:t>Receive state variable V(R)</w:t>
      </w:r>
      <w:bookmarkEnd w:id="404"/>
    </w:p>
    <w:p w14:paraId="4099610C" w14:textId="77777777" w:rsidR="00711444" w:rsidRPr="004D0DAA" w:rsidRDefault="00711444" w:rsidP="00711444">
      <w:r w:rsidRPr="004D0DAA">
        <w:t>Each RLC endpoint receiver shall have an associated receive state variable V(R). The receive state variable denotes the BSN which has a value one higher than the highest BSN of those corresponding to the RLC data blocks so far received (modulo SNS). V(R) shall be set to the value '0' at the beginning of each TBF in which the RLC endpoint is the receiver. V(R) can take on the value 0 through SNS - 1. When EMSR is enabled, a single receive state variable V(R) is maintained regardless of how many PFCs share a given RLC entity.</w:t>
      </w:r>
    </w:p>
    <w:p w14:paraId="572CCF7E" w14:textId="77777777" w:rsidR="00711444" w:rsidRPr="004D0DAA" w:rsidRDefault="00711444" w:rsidP="00711444">
      <w:r w:rsidRPr="004D0DAA">
        <w:t>In RLC acknowledged mode, V(R) shall be set to [ BSN' + 1 ] modulo SNS, where BSN' is the highest BSN of those corresponding to received RLC data blocks, provided [ V(R)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BSN' &lt; V(Q) + WS ] modulo SNS.</w:t>
      </w:r>
    </w:p>
    <w:p w14:paraId="6D20EF36" w14:textId="77777777" w:rsidR="00711444" w:rsidRPr="004D0DAA" w:rsidRDefault="00711444" w:rsidP="00711444">
      <w:r w:rsidRPr="004D0DAA">
        <w:t>In RLC unacknowledged mode, V(R) shall be set to [ BSN' + 1 ] modulo SNS, where BSN' is the highest BSN of those corresponding to received RLC data blocks.</w:t>
      </w:r>
    </w:p>
    <w:p w14:paraId="2385CDAD" w14:textId="77777777" w:rsidR="00711444" w:rsidRPr="004D0DAA" w:rsidRDefault="00711444" w:rsidP="00711444">
      <w:r w:rsidRPr="004D0DAA">
        <w:t>In RLC non-persistent mode, V(R) of each receiving RLC endpoint shall be set to [ BSN' + 1 ] modulo SNS, where BSN' is the highest BSN of those corresponding to received RLC data blocks, provided [ V(R)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BSN' &lt; V(R) + SNS - WS ] modulo SNS.</w:t>
      </w:r>
    </w:p>
    <w:p w14:paraId="5F301E6B" w14:textId="77777777" w:rsidR="00711444" w:rsidRPr="004D0DAA" w:rsidRDefault="00711444" w:rsidP="00711444">
      <w:pPr>
        <w:pStyle w:val="Heading3"/>
      </w:pPr>
      <w:bookmarkStart w:id="405" w:name="_Toc516669592"/>
      <w:r w:rsidRPr="004D0DAA">
        <w:t>9.1.6</w:t>
      </w:r>
      <w:r w:rsidRPr="004D0DAA">
        <w:tab/>
        <w:t>Receive window state variable V(Q)</w:t>
      </w:r>
      <w:bookmarkEnd w:id="405"/>
    </w:p>
    <w:p w14:paraId="540BCE07" w14:textId="77777777" w:rsidR="00711444" w:rsidRPr="004D0DAA" w:rsidRDefault="00711444" w:rsidP="00711444">
      <w:pPr>
        <w:pStyle w:val="Heading4"/>
      </w:pPr>
      <w:bookmarkStart w:id="406" w:name="_Toc516669593"/>
      <w:r w:rsidRPr="004D0DAA">
        <w:t>9.1.6.1</w:t>
      </w:r>
      <w:r w:rsidRPr="004D0DAA">
        <w:tab/>
        <w:t>General</w:t>
      </w:r>
      <w:bookmarkEnd w:id="406"/>
    </w:p>
    <w:p w14:paraId="63EBD69B" w14:textId="77777777" w:rsidR="00711444" w:rsidRPr="004D0DAA" w:rsidRDefault="00711444" w:rsidP="00711444">
      <w:r w:rsidRPr="004D0DAA">
        <w:t>Each RLC endpoint receiver shall have an associated receive window state variable V(Q). The receive window state variable denotes the lowest BSN not yet received (modulo SNS), therefore representing the start of the receive window. V(Q) shall be set to the value 0 at the beginning of each TBF in which the RLC endpoint is the receiver. The receive window state variable can take on the value 0 through SNS -1.</w:t>
      </w:r>
    </w:p>
    <w:p w14:paraId="6994E002" w14:textId="77777777" w:rsidR="00711444" w:rsidRPr="004D0DAA" w:rsidRDefault="00711444" w:rsidP="00711444">
      <w:pPr>
        <w:pStyle w:val="Heading4"/>
      </w:pPr>
      <w:bookmarkStart w:id="407" w:name="_Toc516669594"/>
      <w:r w:rsidRPr="004D0DAA">
        <w:t>9.1.6.2</w:t>
      </w:r>
      <w:r w:rsidRPr="004D0DAA">
        <w:tab/>
        <w:t>RLC acknowledged mode</w:t>
      </w:r>
      <w:bookmarkEnd w:id="407"/>
    </w:p>
    <w:p w14:paraId="0F62958E" w14:textId="77777777" w:rsidR="00711444" w:rsidRPr="004D0DAA" w:rsidRDefault="00711444" w:rsidP="00711444">
      <w:r w:rsidRPr="004D0DAA">
        <w:t xml:space="preserve">In RLC acknowledged mode, the value of V(Q) shall be updated when the RLC receiver receives the RLC data block whose BSN is equal to V(Q). The value of V(Q) shall then be set to the BSN value of the next RLC data block in the </w:t>
      </w:r>
      <w:r w:rsidRPr="004D0DAA">
        <w:lastRenderedPageBreak/>
        <w:t>receive window (modulo SNS) that has not yet been received, or it shall be set to V(R) if all RLC data blocks in the receive window have been received.</w:t>
      </w:r>
    </w:p>
    <w:p w14:paraId="5410207B" w14:textId="77777777" w:rsidR="00711444" w:rsidRPr="004D0DAA" w:rsidRDefault="00711444" w:rsidP="00711444">
      <w:pPr>
        <w:pStyle w:val="Heading4"/>
      </w:pPr>
      <w:bookmarkStart w:id="408" w:name="_Toc516669595"/>
      <w:r w:rsidRPr="004D0DAA">
        <w:t>9.1.6.3</w:t>
      </w:r>
      <w:r w:rsidRPr="004D0DAA">
        <w:tab/>
        <w:t>RLC unacknowledged mode</w:t>
      </w:r>
      <w:bookmarkEnd w:id="408"/>
    </w:p>
    <w:p w14:paraId="09BAFBDC" w14:textId="77777777" w:rsidR="00711444" w:rsidRPr="004D0DAA" w:rsidRDefault="00711444" w:rsidP="00711444">
      <w:r w:rsidRPr="004D0DAA">
        <w:t>In RLC unacknowledged mode, if [V(R) - V(Q)] modulo SNS &gt; WS after updating V(R), then V(Q) is set to [V(R) </w:t>
      </w:r>
      <w:r w:rsidRPr="004D0DAA">
        <w:noBreakHyphen/>
        <w:t> WS] modulo SNS.</w:t>
      </w:r>
    </w:p>
    <w:p w14:paraId="655CCCFC" w14:textId="77777777" w:rsidR="00711444" w:rsidRPr="004D0DAA" w:rsidRDefault="00711444" w:rsidP="00711444">
      <w:pPr>
        <w:pStyle w:val="Heading4"/>
      </w:pPr>
      <w:bookmarkStart w:id="409" w:name="_Toc516669596"/>
      <w:r w:rsidRPr="004D0DAA">
        <w:t>9.1.6.4</w:t>
      </w:r>
      <w:r w:rsidRPr="004D0DAA">
        <w:tab/>
        <w:t>RLC non-persistent mode</w:t>
      </w:r>
      <w:bookmarkEnd w:id="409"/>
    </w:p>
    <w:p w14:paraId="3430C3E0" w14:textId="77777777" w:rsidR="00711444" w:rsidRPr="004D0DAA" w:rsidRDefault="00711444" w:rsidP="00711444">
      <w:r w:rsidRPr="004D0DAA">
        <w:t>In RLC non-persistent mode, V(Q) of each receiving RLC endpoint shall be set to V(R) if all RLC data blocks in the receive window have been received or to BSN’, where BSN’ is the lowest BSN of those corresponding to RLC data blocks not yet received which:</w:t>
      </w:r>
    </w:p>
    <w:p w14:paraId="4DD74A88" w14:textId="77777777" w:rsidR="00711444" w:rsidRPr="004D0DAA" w:rsidRDefault="00711444" w:rsidP="00711444">
      <w:pPr>
        <w:pStyle w:val="B1"/>
      </w:pPr>
      <w:r w:rsidRPr="004D0DAA">
        <w:t>-</w:t>
      </w:r>
      <w:r w:rsidRPr="004D0DAA">
        <w:tab/>
        <w:t xml:space="preserve">meets the condition [V(R) - BSN’] modulo SNS </w:t>
      </w:r>
      <w:r w:rsidRPr="004D0DAA">
        <w:sym w:font="Symbol" w:char="F0A3"/>
      </w:r>
      <w:r w:rsidRPr="004D0DAA">
        <w:t> WS and</w:t>
      </w:r>
    </w:p>
    <w:p w14:paraId="57531B4C" w14:textId="77777777" w:rsidR="00711444" w:rsidRPr="004D0DAA" w:rsidRDefault="00711444" w:rsidP="00711444">
      <w:pPr>
        <w:pStyle w:val="B1"/>
      </w:pPr>
      <w:r w:rsidRPr="004D0DAA">
        <w:t>-</w:t>
      </w:r>
      <w:r w:rsidRPr="004D0DAA">
        <w:tab/>
        <w:t xml:space="preserve">it is still expected by the receiving RLC endpoint. </w:t>
      </w:r>
    </w:p>
    <w:p w14:paraId="2A4B0EEC" w14:textId="77777777" w:rsidR="00711444" w:rsidRPr="004D0DAA" w:rsidRDefault="00711444" w:rsidP="00711444">
      <w:r w:rsidRPr="004D0DAA">
        <w:t>If an NPM Transfer Time limitation is associated with the corresponding MBMS bearer/EGPRS TBF, the receiving RLC endpoint shall start a timer with a value equal to the NPM Transfer Time (</w:t>
      </w:r>
      <w:r w:rsidRPr="004D0DAA">
        <w:rPr>
          <w:iCs/>
        </w:rPr>
        <w:t>see Table 12. 45a.1</w:t>
      </w:r>
      <w:r w:rsidRPr="004D0DAA">
        <w:t>) for an RLC data block with BSN equal to BSN’ if at the end of a radio block period that data block is first detected as missing i.e. when both of the following conditions are first met for BSN’:</w:t>
      </w:r>
    </w:p>
    <w:p w14:paraId="1C88452F" w14:textId="77777777" w:rsidR="00711444" w:rsidRPr="004D0DAA" w:rsidRDefault="00711444" w:rsidP="00711444">
      <w:pPr>
        <w:pStyle w:val="B1"/>
      </w:pPr>
      <w:r w:rsidRPr="004D0DAA">
        <w:t>-</w:t>
      </w:r>
      <w:r w:rsidRPr="004D0DAA">
        <w:tab/>
        <w:t xml:space="preserve">the RLC data block with sequence number BSN’ has not been received, and </w:t>
      </w:r>
    </w:p>
    <w:p w14:paraId="32D2E08F" w14:textId="77777777" w:rsidR="00711444" w:rsidRPr="004D0DAA" w:rsidRDefault="00711444" w:rsidP="00711444">
      <w:pPr>
        <w:pStyle w:val="B1"/>
      </w:pPr>
      <w:r w:rsidRPr="004D0DAA">
        <w:t>-</w:t>
      </w:r>
      <w:r w:rsidRPr="004D0DAA">
        <w:tab/>
        <w:t>an RLC/MAC header containing a BSN equal to or higher than BSN’ (modulo SNS) has been received.</w:t>
      </w:r>
    </w:p>
    <w:p w14:paraId="5EFDA889" w14:textId="77777777" w:rsidR="00711444" w:rsidRPr="004D0DAA" w:rsidRDefault="00711444" w:rsidP="00711444">
      <w:r w:rsidRPr="004D0DAA">
        <w:t>The timer shall be started at most once for any given RLC data block. The timer shall not be restarted in the event of an out-of-sequence retransmission (i.e. where the endpoint is expecting a retransmission of that block but receives a retransmission of a block with higher BSN). The timer shall be stopped on reception of the RLC data block.</w:t>
      </w:r>
    </w:p>
    <w:p w14:paraId="443780C3" w14:textId="77777777" w:rsidR="00711444" w:rsidRPr="004D0DAA" w:rsidRDefault="00711444" w:rsidP="00711444">
      <w:r w:rsidRPr="004D0DAA">
        <w:t>RLC data blocks are considered not expected if they have been received or (if an NPM Transfer Time limitation is associated with the corresponding MBMS bearer/EGPRS TBF) the corresponding timer has been stopped or has expired.</w:t>
      </w:r>
    </w:p>
    <w:p w14:paraId="20538F62" w14:textId="77777777" w:rsidR="00711444" w:rsidRPr="004D0DAA" w:rsidRDefault="00711444" w:rsidP="00711444">
      <w:pPr>
        <w:pStyle w:val="Heading3"/>
      </w:pPr>
      <w:bookmarkStart w:id="410" w:name="_Toc516669597"/>
      <w:r w:rsidRPr="004D0DAA">
        <w:t>9.1.7</w:t>
      </w:r>
      <w:r w:rsidRPr="004D0DAA">
        <w:tab/>
        <w:t>Receive state array V(N)</w:t>
      </w:r>
      <w:bookmarkEnd w:id="410"/>
    </w:p>
    <w:p w14:paraId="40B07493" w14:textId="77777777" w:rsidR="00711444" w:rsidRPr="004D0DAA" w:rsidRDefault="00711444" w:rsidP="00711444">
      <w:pPr>
        <w:pStyle w:val="Heading4"/>
      </w:pPr>
      <w:bookmarkStart w:id="411" w:name="_Toc516669598"/>
      <w:r w:rsidRPr="004D0DAA">
        <w:t>9.1.7.1</w:t>
      </w:r>
      <w:r w:rsidRPr="004D0DAA">
        <w:tab/>
        <w:t>Receive state array V(N) in GPRS TBF</w:t>
      </w:r>
      <w:bookmarkEnd w:id="411"/>
    </w:p>
    <w:p w14:paraId="4C74FA4D" w14:textId="77777777" w:rsidR="00711444" w:rsidRPr="004D0DAA" w:rsidRDefault="00711444" w:rsidP="00711444">
      <w:r w:rsidRPr="004D0DAA">
        <w:t>Each RLC endpoint receiver shall have an associated receive state array V(N). V(N) is an array of SNS elements indicating the receive status of WS previous RLC data blocks. The array is indexed relative to the receive state variable V(R) modulo SNS. When an RLC data block is received with BSN within the receive window, V(R) is treated according to sub-clause 9.1.5 and the element in V(N) corresponding to the received RLC data block is set to the value RECEIVED.</w:t>
      </w:r>
    </w:p>
    <w:p w14:paraId="3EB34014" w14:textId="77777777" w:rsidR="00711444" w:rsidRPr="004D0DAA" w:rsidRDefault="00711444" w:rsidP="00711444">
      <w:r w:rsidRPr="004D0DAA">
        <w:t>An element in V(N), corresponding to a BSN such that [ V(R) </w:t>
      </w:r>
      <w:r w:rsidRPr="004D0DAA">
        <w:sym w:font="Symbol" w:char="F0A3"/>
      </w:r>
      <w:r w:rsidRPr="004D0DAA">
        <w:t> BSN &lt; V(R) </w:t>
      </w:r>
      <w:r w:rsidRPr="004D0DAA">
        <w:noBreakHyphen/>
        <w:t> WS ] modulo SNS, shall be set to the value INVALID.</w:t>
      </w:r>
    </w:p>
    <w:p w14:paraId="7DAE0C83" w14:textId="77777777" w:rsidR="00711444" w:rsidRPr="004D0DAA" w:rsidRDefault="00711444" w:rsidP="00711444">
      <w:pPr>
        <w:pStyle w:val="Heading4"/>
      </w:pPr>
      <w:bookmarkStart w:id="412" w:name="_Toc516669599"/>
      <w:r w:rsidRPr="004D0DAA">
        <w:t>9.1.7.2</w:t>
      </w:r>
      <w:r w:rsidRPr="004D0DAA">
        <w:tab/>
        <w:t>Receive state array V(N) in EGPRS TBF</w:t>
      </w:r>
      <w:bookmarkEnd w:id="412"/>
      <w:r w:rsidRPr="004D0DAA">
        <w:t xml:space="preserve"> </w:t>
      </w:r>
    </w:p>
    <w:p w14:paraId="19230836" w14:textId="77777777" w:rsidR="00711444" w:rsidRPr="004D0DAA" w:rsidRDefault="00711444" w:rsidP="00711444">
      <w:r w:rsidRPr="004D0DAA">
        <w:t>Each RLC endpoint receiver shall have an associated receive state array V(N). V(N) is an array of SNS elements indicating the receive status of WS RLC data blocks that are supposed to follow the block BSN=V(Q)-1. The array is indexed relative to the receive window state variable V(Q) modulo SNS. When an RLC data block is received with BSN within the receive window, the corresponding element in V(N) is set to the value RECEIVED.</w:t>
      </w:r>
    </w:p>
    <w:p w14:paraId="6FFEB497" w14:textId="77777777" w:rsidR="00711444" w:rsidRPr="004D0DAA" w:rsidRDefault="00711444" w:rsidP="00711444">
      <w:r w:rsidRPr="004D0DAA">
        <w:t>If the RLC data block is split over two radio blocks, the element shall be set to the value RECEIVED if and only if both radio blocks have been received.</w:t>
      </w:r>
    </w:p>
    <w:p w14:paraId="1962EECF" w14:textId="77777777" w:rsidR="00711444" w:rsidRPr="004D0DAA" w:rsidRDefault="00711444" w:rsidP="00711444">
      <w:pPr>
        <w:rPr>
          <w:rFonts w:hint="eastAsia"/>
          <w:lang w:eastAsia="ko-KR"/>
        </w:rPr>
      </w:pPr>
      <w:r w:rsidRPr="004D0DAA">
        <w:t>The elements in V(N) shall be set to the value INVALID at the beginning of each TBF. During the TBF, an element in V(N) that falls outside the receive window, shall be set to the value INVALID.</w:t>
      </w:r>
    </w:p>
    <w:p w14:paraId="037028AF" w14:textId="77777777" w:rsidR="00711444" w:rsidRPr="004D0DAA" w:rsidRDefault="00711444" w:rsidP="00711444">
      <w:pPr>
        <w:pStyle w:val="Heading4"/>
        <w:rPr>
          <w:lang w:eastAsia="ko-KR"/>
        </w:rPr>
      </w:pPr>
      <w:bookmarkStart w:id="413" w:name="_Toc516669600"/>
      <w:r w:rsidRPr="004D0DAA">
        <w:lastRenderedPageBreak/>
        <w:t>9.1.7.3</w:t>
      </w:r>
      <w:r w:rsidRPr="004D0DAA">
        <w:tab/>
        <w:t>Receive state array V(N) in TBF</w:t>
      </w:r>
      <w:r w:rsidRPr="004D0DAA">
        <w:rPr>
          <w:lang w:eastAsia="ko-KR"/>
        </w:rPr>
        <w:t xml:space="preserve"> with</w:t>
      </w:r>
      <w:r w:rsidRPr="004D0DAA">
        <w:rPr>
          <w:rFonts w:hint="eastAsia"/>
          <w:lang w:eastAsia="ko-KR"/>
        </w:rPr>
        <w:t xml:space="preserve"> FANR</w:t>
      </w:r>
      <w:r w:rsidRPr="004D0DAA">
        <w:rPr>
          <w:lang w:eastAsia="ko-KR"/>
        </w:rPr>
        <w:t xml:space="preserve"> activated</w:t>
      </w:r>
      <w:bookmarkEnd w:id="413"/>
    </w:p>
    <w:p w14:paraId="00D57EDF" w14:textId="77777777" w:rsidR="00711444" w:rsidRPr="004D0DAA" w:rsidRDefault="00711444" w:rsidP="00711444">
      <w:r w:rsidRPr="004D0DAA">
        <w:t>Each RLC endpoint receiver shall have an associated receive state array V(N). V(N) is an array of SNS elements indicating the receive status of RLC data blocks that are supposed to follow the block BSN=V(Q)-1. The array is indexed relative to the receive window state variable V(Q) modulo SNS. When an RLC data block is received with BSN within the receive window, the corresponding element in V(N) shall be set to the value RECEIVED.</w:t>
      </w:r>
    </w:p>
    <w:p w14:paraId="1970D475" w14:textId="77777777" w:rsidR="00711444" w:rsidRPr="004D0DAA" w:rsidRDefault="00711444" w:rsidP="00711444">
      <w:r w:rsidRPr="004D0DAA">
        <w:t>If the RLC data block is split over two radio blocks, the element shall be set to the value RECEIVED if and only if both radio blocks have been received.</w:t>
      </w:r>
    </w:p>
    <w:p w14:paraId="18933CC3" w14:textId="77777777" w:rsidR="00711444" w:rsidRPr="004D0DAA" w:rsidRDefault="00711444" w:rsidP="00711444">
      <w:r w:rsidRPr="004D0DAA">
        <w:t>The elements in V(N) shall be set to the value INVALID at the beginning of each TBF. During the TBF, an element in V(N) that falls outside the receive window shall be set to the value INVALID.</w:t>
      </w:r>
    </w:p>
    <w:p w14:paraId="638EC2EB" w14:textId="77777777" w:rsidR="00711444" w:rsidRPr="004D0DAA" w:rsidRDefault="00711444" w:rsidP="00711444">
      <w:r w:rsidRPr="004D0DAA">
        <w:t>When an EGPRS RLC/MAC header is received, for each BSN' within the receive window included in the header the elements of V(N) shall be updated as follows:</w:t>
      </w:r>
    </w:p>
    <w:p w14:paraId="76D88ACC" w14:textId="77777777" w:rsidR="00711444" w:rsidRPr="004D0DAA" w:rsidRDefault="00711444" w:rsidP="00711444">
      <w:pPr>
        <w:pStyle w:val="B1"/>
      </w:pPr>
      <w:r w:rsidRPr="004D0DAA">
        <w:t xml:space="preserve">- </w:t>
      </w:r>
      <w:r w:rsidRPr="004D0DAA">
        <w:tab/>
        <w:t>if EFTA is not used, or if EFTA is used and the receiving RLC endpoint is in the network, and if the corresponding element in V(N) has the value INVALID, all elements of V(N) with the value INVALID and corresponding to RLC data blocks with BSN satisfyi</w:t>
      </w:r>
      <w:r w:rsidRPr="004D0DAA">
        <w:t>ng the following inequality [V(Q) ≤ BSN &lt; BSN'] modulo SNS shall be set to the value UNREPORTED;</w:t>
      </w:r>
    </w:p>
    <w:p w14:paraId="6C5198F6" w14:textId="77777777" w:rsidR="00711444" w:rsidRPr="004D0DAA" w:rsidRDefault="00711444" w:rsidP="00711444">
      <w:pPr>
        <w:pStyle w:val="B1"/>
      </w:pPr>
      <w:r w:rsidRPr="004D0DAA">
        <w:t xml:space="preserve">- </w:t>
      </w:r>
      <w:r w:rsidRPr="004D0DAA">
        <w:tab/>
        <w:t>if the corresponding element in V(N) has the value REPORTED, all elements of V(N) with the value REPORTED and corresponding to RLC data blocks with BSN satisfying the following inequality [BSN'' ≤ BSN &lt; BSN'] modulo SNS shall be set to the value UNREPORTED, where BSN'' is:</w:t>
      </w:r>
    </w:p>
    <w:p w14:paraId="11660217" w14:textId="77777777" w:rsidR="00711444" w:rsidRPr="004D0DAA" w:rsidRDefault="00711444" w:rsidP="00711444">
      <w:pPr>
        <w:pStyle w:val="B2"/>
      </w:pPr>
      <w:r w:rsidRPr="004D0DAA">
        <w:t>-</w:t>
      </w:r>
      <w:r w:rsidRPr="004D0DAA">
        <w:tab/>
        <w:t>the BSN of the newest RLC data block for which the corresponding element in V(N) has the value UNREPORTED, if such a block exists, otherwise</w:t>
      </w:r>
    </w:p>
    <w:p w14:paraId="116AF56A" w14:textId="77777777" w:rsidR="00711444" w:rsidRPr="004D0DAA" w:rsidRDefault="00711444" w:rsidP="00711444">
      <w:pPr>
        <w:pStyle w:val="B2"/>
      </w:pPr>
      <w:r w:rsidRPr="004D0DAA">
        <w:t>-</w:t>
      </w:r>
      <w:r w:rsidRPr="004D0DAA">
        <w:tab/>
        <w:t xml:space="preserve">V(Q). </w:t>
      </w:r>
    </w:p>
    <w:p w14:paraId="4F559ACE" w14:textId="77777777" w:rsidR="00711444" w:rsidRPr="004D0DAA" w:rsidRDefault="00711444" w:rsidP="00711444">
      <w:r w:rsidRPr="004D0DAA">
        <w:t xml:space="preserve">An element in V(N) whose value is UNREPORTED shall be set to the value REPORTED when the status of the corresponding block is indicated in the RB of a Packet Ack/Nack. This includes the block with BSN = SSN - 1, if the status of that block is implicitly reported in a Packet Ack/Nack. </w:t>
      </w:r>
    </w:p>
    <w:p w14:paraId="2220ACA0" w14:textId="77777777" w:rsidR="00711444" w:rsidRPr="004D0DAA" w:rsidRDefault="00711444" w:rsidP="00711444">
      <w:r w:rsidRPr="004D0DAA">
        <w:t>If the data field of the RLC/MAC block with sequence number BSN' could not be decoded and the corresponding element in V(N) has the value INVALID or REPORTED, then this element shall also be set to the value UNREPORTED.</w:t>
      </w:r>
    </w:p>
    <w:p w14:paraId="5A8B3D28" w14:textId="77777777" w:rsidR="00711444" w:rsidRPr="004D0DAA" w:rsidRDefault="00711444" w:rsidP="00711444">
      <w:pPr>
        <w:pStyle w:val="NO"/>
      </w:pPr>
      <w:r w:rsidRPr="004D0DAA">
        <w:t>NOTE:</w:t>
      </w:r>
      <w:r w:rsidRPr="004D0DAA">
        <w:tab/>
        <w:t>The elements in V(N) with the value UNREPORTED correspond to RLC data blocks detected as missing due to e.g. the out-of-sequence reception of a data block. The elements in V(N) with the value REPORTED correspond to missing RLC data blocks whose state was indicated in the RB of a Packet Ack/Nack and have not been detected missing since then.</w:t>
      </w:r>
    </w:p>
    <w:p w14:paraId="2AB608DD" w14:textId="77777777" w:rsidR="00711444" w:rsidRPr="004D0DAA" w:rsidRDefault="00711444" w:rsidP="00711444">
      <w:pPr>
        <w:pStyle w:val="Heading4"/>
      </w:pPr>
      <w:bookmarkStart w:id="414" w:name="_Toc516669601"/>
      <w:r w:rsidRPr="004D0DAA">
        <w:t>9.1.7.4</w:t>
      </w:r>
      <w:r w:rsidRPr="004D0DAA">
        <w:tab/>
        <w:t>Receive state array V(N) in EC TBF</w:t>
      </w:r>
      <w:bookmarkEnd w:id="414"/>
      <w:r w:rsidRPr="004D0DAA">
        <w:t xml:space="preserve"> </w:t>
      </w:r>
    </w:p>
    <w:p w14:paraId="247EDE41" w14:textId="77777777" w:rsidR="00711444" w:rsidRPr="004D0DAA" w:rsidRDefault="00711444" w:rsidP="00711444">
      <w:r w:rsidRPr="004D0DAA">
        <w:t>Each RLC endpoint receiver shall have an associated receive state array V(N). V(N) is an array of SNS elements indicating the receive status of WS RLC data blocks that are supposed to follow the block BSN=V(Q)-1. The array is indexed relative to the receive window state variable V(Q) modulo SNS. When an RLC data block is received with BSN within the receive window, the corresponding element in V(N) is set to the value RECEIVED.</w:t>
      </w:r>
    </w:p>
    <w:p w14:paraId="32212088" w14:textId="77777777" w:rsidR="00711444" w:rsidRPr="004D0DAA" w:rsidRDefault="00711444" w:rsidP="00711444">
      <w:r w:rsidRPr="004D0DAA">
        <w:t>If the RLC data block is split over two radio blocks, the element shall be set to the value RECEIVED if and only if both radio blocks have been received.</w:t>
      </w:r>
    </w:p>
    <w:p w14:paraId="3BE9CEBC" w14:textId="77777777" w:rsidR="00711444" w:rsidRPr="004D0DAA" w:rsidRDefault="00711444" w:rsidP="00711444">
      <w:pPr>
        <w:rPr>
          <w:noProof/>
        </w:rPr>
      </w:pPr>
      <w:r w:rsidRPr="004D0DAA">
        <w:t>The elements in V(N) shall be set to the value INVALID at the beginning of each TBF. During the TBF, an element in V(N) that falls outside the receive window, shall be set to the value INVALID.</w:t>
      </w:r>
    </w:p>
    <w:p w14:paraId="13ACC729" w14:textId="77777777" w:rsidR="00711444" w:rsidRPr="004D0DAA" w:rsidRDefault="00711444" w:rsidP="00711444">
      <w:pPr>
        <w:pStyle w:val="Heading3"/>
      </w:pPr>
      <w:bookmarkStart w:id="415" w:name="_Toc516669602"/>
      <w:r w:rsidRPr="004D0DAA">
        <w:t>9.1.8</w:t>
      </w:r>
      <w:r w:rsidRPr="004D0DAA">
        <w:tab/>
        <w:t>Starting sequence number (SSN) and received block bitmap (RBB)</w:t>
      </w:r>
      <w:bookmarkEnd w:id="415"/>
    </w:p>
    <w:p w14:paraId="66612099" w14:textId="77777777" w:rsidR="00711444" w:rsidRPr="004D0DAA" w:rsidRDefault="00711444" w:rsidP="00711444">
      <w:pPr>
        <w:pStyle w:val="Heading4"/>
      </w:pPr>
      <w:bookmarkStart w:id="416" w:name="_Toc516669603"/>
      <w:r w:rsidRPr="004D0DAA">
        <w:t>9.1.8.1</w:t>
      </w:r>
      <w:r w:rsidRPr="004D0DAA">
        <w:tab/>
        <w:t>Starting sequence number (SSN) and received block bitmap (RBB) in GPRS TBF</w:t>
      </w:r>
      <w:bookmarkEnd w:id="416"/>
    </w:p>
    <w:p w14:paraId="372C69F8" w14:textId="77777777" w:rsidR="00711444" w:rsidRPr="004D0DAA" w:rsidRDefault="00711444" w:rsidP="00711444">
      <w:r w:rsidRPr="004D0DAA">
        <w:t xml:space="preserve">The Packet Ack/Nack message contains a starting sequence number (SSN) and a received block bitmap (RBB). The Packet Ack/Nack message is sent by the RLC receiver and is received by the RLC transmitter. The SSN and RBB are </w:t>
      </w:r>
      <w:r w:rsidRPr="004D0DAA">
        <w:lastRenderedPageBreak/>
        <w:t>determined as defined in this sub-clause and transmitted in RLC acknowledged, RLC unacknowledged and RLC non-persistent modes. The SSN and RBB may be ignored by the RLC transmitter in unacknowledged mode.</w:t>
      </w:r>
    </w:p>
    <w:p w14:paraId="3DEA2782" w14:textId="77777777" w:rsidR="00711444" w:rsidRPr="004D0DAA" w:rsidRDefault="00711444" w:rsidP="00711444">
      <w:r w:rsidRPr="004D0DAA">
        <w:t>The RBB is defined as a binary valued array of WS elements, where the index of each element takes value 0, 1, 2, …, WS-1 in the given order, respectively. The BSN values specified in the RBB are interpreted by subtracting the bit position in the bitmap from the starting sequence number (SSN) modulo SNS.</w:t>
      </w:r>
    </w:p>
    <w:p w14:paraId="5AFA8CF4" w14:textId="77777777" w:rsidR="00711444" w:rsidRPr="004D0DAA" w:rsidRDefault="00711444" w:rsidP="00711444">
      <w:r w:rsidRPr="004D0DAA">
        <w:t>A valid BSN value in the RBB is one that is in the range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w:t>
      </w:r>
    </w:p>
    <w:p w14:paraId="58FE479A" w14:textId="77777777" w:rsidR="00711444" w:rsidRPr="004D0DAA" w:rsidRDefault="00711444" w:rsidP="00711444">
      <w:r w:rsidRPr="004D0DAA">
        <w:t>These inequalities shall be interpreted in the following way:</w:t>
      </w:r>
    </w:p>
    <w:p w14:paraId="2E0DCC6B" w14:textId="77777777" w:rsidR="00711444" w:rsidRPr="004D0DAA" w:rsidRDefault="00711444" w:rsidP="00711444">
      <w:pPr>
        <w:pStyle w:val="EQ"/>
        <w:jc w:val="center"/>
      </w:pPr>
      <w:r w:rsidRPr="004D0DAA">
        <w:t>BSN is valid if, and only if, [ BSN - V(A) ] modulo SNS &lt; [ V(S) - V(A) ] modulo SNS.</w:t>
      </w:r>
    </w:p>
    <w:p w14:paraId="6267E6CE" w14:textId="77777777" w:rsidR="00711444" w:rsidRPr="004D0DAA" w:rsidRDefault="00711444" w:rsidP="00711444">
      <w:pPr>
        <w:keepNext/>
        <w:keepLines/>
      </w:pPr>
      <w:r w:rsidRPr="004D0DAA">
        <w:t>At the RLC transmitter:</w:t>
      </w:r>
    </w:p>
    <w:p w14:paraId="470E670B" w14:textId="77777777" w:rsidR="00711444" w:rsidRPr="004D0DAA" w:rsidRDefault="00711444" w:rsidP="00711444">
      <w:pPr>
        <w:pStyle w:val="B1"/>
      </w:pPr>
      <w:r w:rsidRPr="004D0DAA">
        <w:t>-</w:t>
      </w:r>
      <w:r w:rsidRPr="004D0DAA">
        <w:tab/>
        <w:t>For each bit in the RBB whose corresponding BSN value is within the transmit window, if the bit contains the value '1', the corresponding element in V(B) indexed relative to SSN shall be set to the value ACKED. If the bit contains the value '0', the element in V(B) shall be set to the value NACKED. A bit within the RBB whose corresponding BSN is not within the transmit window, shall be ignored. If the RLC transmitter is on the mobile station side, the bit contains the value '0' and the number of block periods between the end of the block period used for the last transmission of the corresponding RLC data block and the beginning of the block period containing the Packet Uplink Ack/Nack message is less than (max(BS_CV_MAX,1) - 1) (i.e. the RLC data block was recently (re)transmitted and thus can not be validly negatively acknowledged in this particular Packet Uplink Ack/Nack message), the element in V(B) shall not be modified.</w:t>
      </w:r>
    </w:p>
    <w:p w14:paraId="0E93F4A7" w14:textId="77777777" w:rsidR="00711444" w:rsidRPr="004D0DAA" w:rsidRDefault="00711444" w:rsidP="00711444">
      <w:pPr>
        <w:keepNext/>
        <w:keepLines/>
      </w:pPr>
      <w:r w:rsidRPr="004D0DAA">
        <w:t>At the RLC receiver:</w:t>
      </w:r>
    </w:p>
    <w:p w14:paraId="5D1D7479" w14:textId="77777777" w:rsidR="00711444" w:rsidRPr="004D0DAA" w:rsidRDefault="00711444" w:rsidP="00711444">
      <w:pPr>
        <w:pStyle w:val="B1"/>
      </w:pPr>
      <w:r w:rsidRPr="004D0DAA">
        <w:t>-</w:t>
      </w:r>
      <w:r w:rsidRPr="004D0DAA">
        <w:tab/>
        <w:t>The starting sequence number (SSN) is assigned the value of the receive state variable V(R). The received block bitmap (RBB) is assigned the WS elements whose indices, with incrementing order, correspond to elements in the receive state array V(N) at the receiver whose indices, with decrementing order, range backwards from [ V(R) </w:t>
      </w:r>
      <w:r w:rsidRPr="004D0DAA">
        <w:noBreakHyphen/>
        <w:t> 1 ] to [ V(R) </w:t>
      </w:r>
      <w:r w:rsidRPr="004D0DAA">
        <w:noBreakHyphen/>
        <w:t> WS ] (modulo SNS). For each bit in the bitmap, the bit is assigned the value '1' if the corresponding element in V(N) indexed relative to SSN has the value RECEIVED. The bit is assigned the value '0' if the element in V(N) has the value INVALID.</w:t>
      </w:r>
    </w:p>
    <w:p w14:paraId="4E0A1C93" w14:textId="77777777" w:rsidR="00711444" w:rsidRPr="004D0DAA" w:rsidRDefault="00711444" w:rsidP="00711444">
      <w:pPr>
        <w:pStyle w:val="B1"/>
      </w:pPr>
      <w:r w:rsidRPr="004D0DAA">
        <w:t>-</w:t>
      </w:r>
      <w:r w:rsidRPr="004D0DAA">
        <w:tab/>
        <w:t>When polled within a downlink RLC data block, the mobile station shall acknowledge all the RLC data blocks for this RLC instance that have been correctly received up to and including the radio block where the mobile station is polled.</w:t>
      </w:r>
    </w:p>
    <w:p w14:paraId="74F70C57" w14:textId="77777777" w:rsidR="00711444" w:rsidRPr="004D0DAA" w:rsidRDefault="00711444" w:rsidP="00711444">
      <w:pPr>
        <w:pStyle w:val="B1"/>
      </w:pPr>
      <w:r w:rsidRPr="004D0DAA">
        <w:t>-</w:t>
      </w:r>
      <w:r w:rsidRPr="004D0DAA">
        <w:tab/>
        <w:t>As an implementation option, the mobile station may also acknowledge as many as possible of the RLC data blocks that are correctly received after the radio block where the mobile station is polled.</w:t>
      </w:r>
    </w:p>
    <w:p w14:paraId="44A156BF" w14:textId="77777777" w:rsidR="00711444" w:rsidRPr="004D0DAA" w:rsidRDefault="00711444" w:rsidP="00711444">
      <w:pPr>
        <w:pStyle w:val="Heading4"/>
      </w:pPr>
      <w:bookmarkStart w:id="417" w:name="_Toc516669604"/>
      <w:r w:rsidRPr="004D0DAA">
        <w:t>9.1.8.2</w:t>
      </w:r>
      <w:r w:rsidRPr="004D0DAA">
        <w:tab/>
        <w:t>Starting sequence number (SSN) and received block bitmap (RBB) in EGPRS TBF</w:t>
      </w:r>
      <w:bookmarkEnd w:id="417"/>
    </w:p>
    <w:p w14:paraId="7C89C203" w14:textId="77777777" w:rsidR="00711444" w:rsidRPr="004D0DAA" w:rsidRDefault="00711444" w:rsidP="00711444">
      <w:r w:rsidRPr="004D0DAA">
        <w:t xml:space="preserve">The Packet Ack/Nack message and MBMS DOWNLINK ACK/NACK message contain a starting sequence number (SSN) and a reported bitmap (RB). When the SSN-based encoding is used (see sub-clause 9.1.14.1), the PAN field included in an EGPRS RLC/MAC block for data transfer contains a short SSN (ShortSSN) and a reported bitmap (RB). The Packet Ack/Nack message, MBMS DOWNLINK ACK/NACK message and PAN field are sent by the RLC receiver and are received by the RLC transmitter. The SSN and RB are determined as defined in this sub-clause and transmitted in RLC acknowledged, RLC unacknowledged and RLC non-persistent modes (note the SSN is calculated differently in EGPRS (refer to table 9.1.8.2.2.1) and GPRS (refer to sub-clause 9.1.8.1)). The SSN and RB may be ignored by the RLC transmitter in unacknowledged mode. </w:t>
      </w:r>
      <w:r w:rsidRPr="004D0DAA">
        <w:rPr>
          <w:rFonts w:hint="eastAsia"/>
          <w:lang w:eastAsia="ko-KR"/>
        </w:rPr>
        <w:t xml:space="preserve">For a TBF </w:t>
      </w:r>
      <w:r w:rsidRPr="004D0DAA">
        <w:rPr>
          <w:lang w:eastAsia="ko-KR"/>
        </w:rPr>
        <w:t>with</w:t>
      </w:r>
      <w:r w:rsidRPr="004D0DAA">
        <w:rPr>
          <w:rFonts w:hint="eastAsia"/>
          <w:lang w:eastAsia="ko-KR"/>
        </w:rPr>
        <w:t xml:space="preserve"> FANR</w:t>
      </w:r>
      <w:r w:rsidRPr="004D0DAA">
        <w:rPr>
          <w:lang w:eastAsia="ko-KR"/>
        </w:rPr>
        <w:t xml:space="preserve"> activated</w:t>
      </w:r>
      <w:r w:rsidRPr="004D0DAA">
        <w:t>, the ShortSSN (and corresponding SSN) is determined as defined in sub-clause 9.1.8.2.2a and the RB is determined as defined for EGPRS (see sub-clause 9.1.8.2.3). The ShortSSN and RB fields are transmitted in both RLC acknowledged and RLC non-persistent modes.</w:t>
      </w:r>
    </w:p>
    <w:p w14:paraId="4BE4EB1E" w14:textId="77777777" w:rsidR="00711444" w:rsidRPr="004D0DAA" w:rsidRDefault="00711444" w:rsidP="00711444">
      <w:r w:rsidRPr="004D0DAA">
        <w:t>The BSN values specified in the RB are interpreted by adding the bit position in the bitmap to the starting sequence number (SSN) modulo SNS (where the first position of the bitmap has index '0'). A valid BSN value in the RB is one that is in the range [ V(A)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BSN &lt; V(S) ] modulo SNS. These inequalities shall be interpreted in the following way: BSN is valid if, and only if, [BSN - V(A) ] modulo SNS &lt; [ V(S) - V(A) ] modulo SNS.</w:t>
      </w:r>
    </w:p>
    <w:p w14:paraId="281CCBD2" w14:textId="77777777" w:rsidR="00711444" w:rsidRPr="004D0DAA" w:rsidRDefault="00711444" w:rsidP="00711444">
      <w:pPr>
        <w:pStyle w:val="Heading5"/>
      </w:pPr>
      <w:bookmarkStart w:id="418" w:name="_Toc516669605"/>
      <w:r w:rsidRPr="004D0DAA">
        <w:lastRenderedPageBreak/>
        <w:t>9.1.8.2.1</w:t>
      </w:r>
      <w:r w:rsidRPr="004D0DAA">
        <w:tab/>
        <w:t>Extended Polling</w:t>
      </w:r>
      <w:bookmarkEnd w:id="418"/>
    </w:p>
    <w:p w14:paraId="73C3FCAB" w14:textId="77777777" w:rsidR="00711444" w:rsidRPr="004D0DAA" w:rsidRDefault="00711444" w:rsidP="00711444">
      <w:r w:rsidRPr="004D0DAA">
        <w:t>For EGPRS uplink TBFs, the network may select any composition of the Packet Ack/Nack message to send to the mobile station. In EGPRS downlink TBFs and MBMS bearers running in EGPRS TBF mode, the ES/P field present in every downlink RLC block allows the network to request one of the following Ack/Nack bitmap types:</w:t>
      </w:r>
    </w:p>
    <w:p w14:paraId="40C133F7" w14:textId="77777777" w:rsidR="00711444" w:rsidRPr="004D0DAA" w:rsidRDefault="00711444" w:rsidP="00711444">
      <w:pPr>
        <w:pStyle w:val="B1"/>
      </w:pPr>
      <w:r w:rsidRPr="004D0DAA">
        <w:t>-</w:t>
      </w:r>
      <w:r w:rsidRPr="004D0DAA">
        <w:tab/>
        <w:t>First Partial Bitmap (FPB) segment with SSN = (</w:t>
      </w:r>
      <w:r w:rsidRPr="004D0DAA">
        <w:rPr>
          <w:i/>
        </w:rPr>
        <w:t>V(Q)</w:t>
      </w:r>
      <w:r w:rsidRPr="004D0DAA">
        <w:t xml:space="preserve"> + 1) mod SNS (the beginning of the window is V(Q) but FPB starts at V(Q) + 1 as the bit in the bitmap corresponding to V(Q) would have value '0') where SSN denotes the Starting Sequence Number.</w:t>
      </w:r>
    </w:p>
    <w:p w14:paraId="4EF370B5" w14:textId="77777777" w:rsidR="00711444" w:rsidRPr="004D0DAA" w:rsidRDefault="00711444" w:rsidP="00711444">
      <w:pPr>
        <w:pStyle w:val="B1"/>
      </w:pPr>
      <w:r w:rsidRPr="004D0DAA">
        <w:t>-</w:t>
      </w:r>
      <w:r w:rsidRPr="004D0DAA">
        <w:tab/>
        <w:t>Next Partial Bitmap (NPB) segment with SSN = (PBSN + 1) mod SNS where PBSN denotes a Partial Bitmap Sequence Number variable stored at the receiver.</w:t>
      </w:r>
    </w:p>
    <w:p w14:paraId="6C37B1C2" w14:textId="77777777" w:rsidR="00711444" w:rsidRPr="004D0DAA" w:rsidRDefault="00711444" w:rsidP="00711444">
      <w:r w:rsidRPr="004D0DAA">
        <w:t xml:space="preserve">SSN is determined by the receiver as a function of ES/P, V(Q) and PBSN as described in the next sub-clause. The FPB and NPB are specific instances of the </w:t>
      </w:r>
      <w:r w:rsidRPr="004D0DAA">
        <w:rPr>
          <w:i/>
        </w:rPr>
        <w:t>EGPRS</w:t>
      </w:r>
      <w:r w:rsidRPr="004D0DAA">
        <w:t xml:space="preserve"> </w:t>
      </w:r>
      <w:r w:rsidRPr="004D0DAA">
        <w:rPr>
          <w:i/>
        </w:rPr>
        <w:t>Ack/Nack Description Information Element</w:t>
      </w:r>
      <w:r w:rsidRPr="004D0DAA">
        <w:t xml:space="preserve"> within the EGPRS PACKET DOWNLINK ACK/NACK message, EGPRS PACKET DOWNLINK ACK/NACK TYPE 2 message, EGPRS PACKET DOWNLINK ACK/NACK TYPE 3 message or MBMS DOWNLINK ACK/NACK message or specific instances of the </w:t>
      </w:r>
      <w:r w:rsidRPr="004D0DAA">
        <w:rPr>
          <w:i/>
        </w:rPr>
        <w:t>EGPRS</w:t>
      </w:r>
      <w:r w:rsidRPr="004D0DAA">
        <w:t xml:space="preserve"> </w:t>
      </w:r>
      <w:r w:rsidRPr="004D0DAA">
        <w:rPr>
          <w:i/>
        </w:rPr>
        <w:t>Ack/Nack Description DLMC Information Element</w:t>
      </w:r>
      <w:r w:rsidRPr="004D0DAA">
        <w:t xml:space="preserve"> within the EGPRS PACKET DOWNLINK ACK/NACK DLMC message. The mobile station shall respond to ES/P field according to table 9.1.8.2.1.1 (non-MBMS) or table 9.1.8.2.1.2 (MBMS). For a mobile station with one or more downlink TBFs using EGPRS2, the mobile station shall send the EGPRS PACKET DOWNLINK ACK/NACK TYPE 2 message or the EGPRS PACKET DOWNLINK ACK/NACK TYPE 3 message. A mobile station in a DLMC configuration using an SNS of 2048 shall always send the EGPRS PACKET DOWNLINK ACK/NACK DLMC message. Otherwise, the mobile station shall send the EGPRS PACKET DOWNLINK ACK/NACK message or the EGPRS PACKET DOWNLINK ACK/NACK TYPE 3 message.</w:t>
      </w:r>
    </w:p>
    <w:p w14:paraId="2FAB4FCC" w14:textId="77777777" w:rsidR="00711444" w:rsidRPr="004D0DAA" w:rsidRDefault="00711444" w:rsidP="00711444">
      <w:pPr>
        <w:pStyle w:val="TH"/>
      </w:pPr>
      <w:r w:rsidRPr="004D0DAA">
        <w:t>Table 9.1.8.2.1.1: Format of ES/P field within each EGPRS RLC block (non-MBMS)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1"/>
        <w:gridCol w:w="7755"/>
      </w:tblGrid>
      <w:tr w:rsidR="00711444" w:rsidRPr="004D0DAA" w14:paraId="5EC408E7" w14:textId="77777777" w:rsidTr="00AA2A4C">
        <w:tblPrEx>
          <w:tblCellMar>
            <w:top w:w="0" w:type="dxa"/>
            <w:bottom w:w="0" w:type="dxa"/>
          </w:tblCellMar>
        </w:tblPrEx>
        <w:trPr>
          <w:jc w:val="center"/>
        </w:trPr>
        <w:tc>
          <w:tcPr>
            <w:tcW w:w="1101" w:type="dxa"/>
          </w:tcPr>
          <w:p w14:paraId="5A210360" w14:textId="77777777" w:rsidR="00711444" w:rsidRPr="004D0DAA" w:rsidRDefault="00711444" w:rsidP="00AA2A4C">
            <w:pPr>
              <w:pStyle w:val="TAH"/>
              <w:rPr>
                <w:lang w:eastAsia="en-US"/>
              </w:rPr>
            </w:pPr>
            <w:r w:rsidRPr="004D0DAA">
              <w:rPr>
                <w:lang w:eastAsia="en-US"/>
              </w:rPr>
              <w:t>ES/P</w:t>
            </w:r>
          </w:p>
        </w:tc>
        <w:tc>
          <w:tcPr>
            <w:tcW w:w="7755" w:type="dxa"/>
          </w:tcPr>
          <w:p w14:paraId="3F8B518B" w14:textId="77777777" w:rsidR="00711444" w:rsidRPr="004D0DAA" w:rsidRDefault="00711444" w:rsidP="00AA2A4C">
            <w:pPr>
              <w:pStyle w:val="TAH"/>
              <w:rPr>
                <w:lang w:eastAsia="en-US"/>
              </w:rPr>
            </w:pPr>
            <w:r w:rsidRPr="004D0DAA">
              <w:rPr>
                <w:lang w:eastAsia="en-US"/>
              </w:rPr>
              <w:t xml:space="preserve">Feedback Request (Poll) Description </w:t>
            </w:r>
          </w:p>
        </w:tc>
      </w:tr>
      <w:tr w:rsidR="00711444" w:rsidRPr="004D0DAA" w14:paraId="49E9E266" w14:textId="77777777" w:rsidTr="00AA2A4C">
        <w:tblPrEx>
          <w:tblCellMar>
            <w:top w:w="0" w:type="dxa"/>
            <w:bottom w:w="0" w:type="dxa"/>
          </w:tblCellMar>
        </w:tblPrEx>
        <w:trPr>
          <w:jc w:val="center"/>
        </w:trPr>
        <w:tc>
          <w:tcPr>
            <w:tcW w:w="1101" w:type="dxa"/>
          </w:tcPr>
          <w:p w14:paraId="219663BB" w14:textId="77777777" w:rsidR="00711444" w:rsidRPr="004D0DAA" w:rsidRDefault="00711444" w:rsidP="00AA2A4C">
            <w:pPr>
              <w:pStyle w:val="TAC"/>
              <w:rPr>
                <w:lang w:eastAsia="en-US"/>
              </w:rPr>
            </w:pPr>
            <w:r w:rsidRPr="004D0DAA">
              <w:rPr>
                <w:lang w:eastAsia="en-US"/>
              </w:rPr>
              <w:t>00</w:t>
            </w:r>
          </w:p>
        </w:tc>
        <w:tc>
          <w:tcPr>
            <w:tcW w:w="7755" w:type="dxa"/>
          </w:tcPr>
          <w:p w14:paraId="217CC04C" w14:textId="77777777" w:rsidR="00711444" w:rsidRPr="004D0DAA" w:rsidRDefault="00711444" w:rsidP="00AA2A4C">
            <w:pPr>
              <w:pStyle w:val="TAL"/>
              <w:rPr>
                <w:lang w:eastAsia="en-US"/>
              </w:rPr>
            </w:pPr>
            <w:r w:rsidRPr="004D0DAA">
              <w:rPr>
                <w:lang w:eastAsia="en-US"/>
              </w:rPr>
              <w:t>Nothing (RRBP field invalid)</w:t>
            </w:r>
          </w:p>
        </w:tc>
      </w:tr>
      <w:tr w:rsidR="00711444" w:rsidRPr="004D0DAA" w14:paraId="38ECEDA6" w14:textId="77777777" w:rsidTr="00AA2A4C">
        <w:tblPrEx>
          <w:tblCellMar>
            <w:top w:w="0" w:type="dxa"/>
            <w:bottom w:w="0" w:type="dxa"/>
          </w:tblCellMar>
        </w:tblPrEx>
        <w:trPr>
          <w:jc w:val="center"/>
        </w:trPr>
        <w:tc>
          <w:tcPr>
            <w:tcW w:w="1101" w:type="dxa"/>
          </w:tcPr>
          <w:p w14:paraId="2C9F4523" w14:textId="77777777" w:rsidR="00711444" w:rsidRPr="004D0DAA" w:rsidRDefault="00711444" w:rsidP="00AA2A4C">
            <w:pPr>
              <w:pStyle w:val="TAC"/>
              <w:rPr>
                <w:lang w:eastAsia="en-US"/>
              </w:rPr>
            </w:pPr>
            <w:r w:rsidRPr="004D0DAA">
              <w:rPr>
                <w:lang w:eastAsia="en-US"/>
              </w:rPr>
              <w:t>01</w:t>
            </w:r>
          </w:p>
        </w:tc>
        <w:tc>
          <w:tcPr>
            <w:tcW w:w="7755" w:type="dxa"/>
          </w:tcPr>
          <w:p w14:paraId="752C20A2" w14:textId="77777777" w:rsidR="00711444" w:rsidRPr="004D0DAA" w:rsidRDefault="00711444" w:rsidP="00AA2A4C">
            <w:pPr>
              <w:pStyle w:val="TAL"/>
              <w:rPr>
                <w:lang w:eastAsia="en-US"/>
              </w:rPr>
            </w:pPr>
            <w:r w:rsidRPr="004D0DAA">
              <w:rPr>
                <w:lang w:eastAsia="en-US"/>
              </w:rPr>
              <w:t>EGPRS PACKET DOWNLINK ACK/NACK message or EGPRS PACKET DOWNLINK ACK/NACK TYPE 3 message or EGPRS PACKET DOWNLINK ACK/NACK DLMC message containing FPB (First Partial Bitmap), and if there is enough room left in RLC/MAC block, channel quality report(s)</w:t>
            </w:r>
          </w:p>
        </w:tc>
      </w:tr>
      <w:tr w:rsidR="00711444" w:rsidRPr="004D0DAA" w14:paraId="305CAAC2" w14:textId="77777777" w:rsidTr="00AA2A4C">
        <w:tblPrEx>
          <w:tblCellMar>
            <w:top w:w="0" w:type="dxa"/>
            <w:bottom w:w="0" w:type="dxa"/>
          </w:tblCellMar>
        </w:tblPrEx>
        <w:trPr>
          <w:jc w:val="center"/>
        </w:trPr>
        <w:tc>
          <w:tcPr>
            <w:tcW w:w="1101" w:type="dxa"/>
          </w:tcPr>
          <w:p w14:paraId="7465CA73" w14:textId="77777777" w:rsidR="00711444" w:rsidRPr="004D0DAA" w:rsidRDefault="00711444" w:rsidP="00AA2A4C">
            <w:pPr>
              <w:pStyle w:val="TAC"/>
              <w:rPr>
                <w:lang w:eastAsia="en-US"/>
              </w:rPr>
            </w:pPr>
            <w:r w:rsidRPr="004D0DAA">
              <w:rPr>
                <w:lang w:eastAsia="en-US"/>
              </w:rPr>
              <w:t>10</w:t>
            </w:r>
          </w:p>
        </w:tc>
        <w:tc>
          <w:tcPr>
            <w:tcW w:w="7755" w:type="dxa"/>
          </w:tcPr>
          <w:p w14:paraId="0014931F" w14:textId="77777777" w:rsidR="00711444" w:rsidRPr="004D0DAA" w:rsidRDefault="00711444" w:rsidP="00AA2A4C">
            <w:pPr>
              <w:pStyle w:val="TAL"/>
              <w:rPr>
                <w:lang w:eastAsia="en-US"/>
              </w:rPr>
            </w:pPr>
            <w:r w:rsidRPr="004D0DAA">
              <w:rPr>
                <w:lang w:eastAsia="en-US"/>
              </w:rPr>
              <w:t>EGPRS PACKET DOWNLINK ACK/NACK message or EGPRS PACKET DOWNLINK ACK/NACK TYPE 3 message or EGPRS PACKET DOWNLINK ACK/NACK DLMC message containing NPB (Next Partial Bitmap), and if there is enough room left in RLC/MAC block, channel quality report(s)</w:t>
            </w:r>
          </w:p>
        </w:tc>
      </w:tr>
      <w:tr w:rsidR="00711444" w:rsidRPr="004D0DAA" w14:paraId="0923120F" w14:textId="77777777" w:rsidTr="00AA2A4C">
        <w:tblPrEx>
          <w:tblCellMar>
            <w:top w:w="0" w:type="dxa"/>
            <w:bottom w:w="0" w:type="dxa"/>
          </w:tblCellMar>
        </w:tblPrEx>
        <w:trPr>
          <w:jc w:val="center"/>
        </w:trPr>
        <w:tc>
          <w:tcPr>
            <w:tcW w:w="1101" w:type="dxa"/>
          </w:tcPr>
          <w:p w14:paraId="6E0FAB8B" w14:textId="77777777" w:rsidR="00711444" w:rsidRPr="004D0DAA" w:rsidRDefault="00711444" w:rsidP="00AA2A4C">
            <w:pPr>
              <w:pStyle w:val="TAC"/>
              <w:rPr>
                <w:lang w:eastAsia="en-US"/>
              </w:rPr>
            </w:pPr>
            <w:r w:rsidRPr="004D0DAA">
              <w:rPr>
                <w:lang w:eastAsia="en-US"/>
              </w:rPr>
              <w:t>11</w:t>
            </w:r>
          </w:p>
        </w:tc>
        <w:tc>
          <w:tcPr>
            <w:tcW w:w="7755" w:type="dxa"/>
          </w:tcPr>
          <w:p w14:paraId="6A34DD84" w14:textId="77777777" w:rsidR="00711444" w:rsidRPr="004D0DAA" w:rsidRDefault="00711444" w:rsidP="00AA2A4C">
            <w:pPr>
              <w:pStyle w:val="TAL"/>
              <w:rPr>
                <w:lang w:eastAsia="en-US"/>
              </w:rPr>
            </w:pPr>
            <w:r w:rsidRPr="004D0DAA">
              <w:rPr>
                <w:lang w:eastAsia="en-US"/>
              </w:rPr>
              <w:t>EGPRS PACKET DOWNLINK ACK/NACK message or EGPRS PACKET DOWNLINK ACK/NACK TYPE 3 message or EGPRS PACKET DOWNLINK ACK/NACK DLMC message containing Channel Quality Report and if there is enough room left in RLC/MAC block, NPB(s)</w:t>
            </w:r>
          </w:p>
        </w:tc>
      </w:tr>
    </w:tbl>
    <w:p w14:paraId="21787BA7" w14:textId="77777777" w:rsidR="00711444" w:rsidRPr="004D0DAA" w:rsidRDefault="00711444" w:rsidP="00711444"/>
    <w:p w14:paraId="262C83F8" w14:textId="77777777" w:rsidR="00711444" w:rsidRPr="004D0DAA" w:rsidRDefault="00711444" w:rsidP="00711444">
      <w:r w:rsidRPr="004D0DAA">
        <w:t xml:space="preserve">In a downlink dual carrier configuration the MS shall send channel quality reports for both carriers, if there is room in the message. If there is room for only one channel quality report, the MS shall include channel quality measurements for the radio frequency channel </w:t>
      </w:r>
      <w:r w:rsidRPr="004D0DAA">
        <w:rPr>
          <w:lang w:eastAsia="ko-KR"/>
        </w:rPr>
        <w:t>on which the poll was received</w:t>
      </w:r>
      <w:r w:rsidRPr="004D0DAA">
        <w:t xml:space="preserve">. </w:t>
      </w:r>
    </w:p>
    <w:p w14:paraId="14CF93D1" w14:textId="77777777" w:rsidR="00711444" w:rsidRPr="004D0DAA" w:rsidRDefault="00711444" w:rsidP="00711444">
      <w:pPr>
        <w:pStyle w:val="TH"/>
      </w:pPr>
      <w:r w:rsidRPr="004D0DAA">
        <w:t>Table 9.1.8.2.1.2: Format of ES/P field within each EGPRS RLC block (MBMS)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1"/>
        <w:gridCol w:w="7755"/>
      </w:tblGrid>
      <w:tr w:rsidR="00711444" w:rsidRPr="004D0DAA" w14:paraId="1CF13728" w14:textId="77777777" w:rsidTr="00AA2A4C">
        <w:tblPrEx>
          <w:tblCellMar>
            <w:top w:w="0" w:type="dxa"/>
            <w:bottom w:w="0" w:type="dxa"/>
          </w:tblCellMar>
        </w:tblPrEx>
        <w:trPr>
          <w:jc w:val="center"/>
        </w:trPr>
        <w:tc>
          <w:tcPr>
            <w:tcW w:w="1101" w:type="dxa"/>
          </w:tcPr>
          <w:p w14:paraId="7A6680C7" w14:textId="77777777" w:rsidR="00711444" w:rsidRPr="004D0DAA" w:rsidRDefault="00711444" w:rsidP="00AA2A4C">
            <w:pPr>
              <w:pStyle w:val="TAH"/>
              <w:rPr>
                <w:lang w:eastAsia="en-US"/>
              </w:rPr>
            </w:pPr>
            <w:r w:rsidRPr="004D0DAA">
              <w:rPr>
                <w:lang w:eastAsia="en-US"/>
              </w:rPr>
              <w:t>ES/P</w:t>
            </w:r>
          </w:p>
        </w:tc>
        <w:tc>
          <w:tcPr>
            <w:tcW w:w="7755" w:type="dxa"/>
          </w:tcPr>
          <w:p w14:paraId="496759EA" w14:textId="77777777" w:rsidR="00711444" w:rsidRPr="004D0DAA" w:rsidRDefault="00711444" w:rsidP="00AA2A4C">
            <w:pPr>
              <w:pStyle w:val="TAH"/>
              <w:rPr>
                <w:lang w:eastAsia="en-US"/>
              </w:rPr>
            </w:pPr>
            <w:r w:rsidRPr="004D0DAA">
              <w:rPr>
                <w:lang w:eastAsia="en-US"/>
              </w:rPr>
              <w:t xml:space="preserve">Feedback Request (Poll) Description </w:t>
            </w:r>
          </w:p>
        </w:tc>
      </w:tr>
      <w:tr w:rsidR="00711444" w:rsidRPr="004D0DAA" w14:paraId="2E0BAB65" w14:textId="77777777" w:rsidTr="00AA2A4C">
        <w:tblPrEx>
          <w:tblCellMar>
            <w:top w:w="0" w:type="dxa"/>
            <w:bottom w:w="0" w:type="dxa"/>
          </w:tblCellMar>
        </w:tblPrEx>
        <w:trPr>
          <w:jc w:val="center"/>
        </w:trPr>
        <w:tc>
          <w:tcPr>
            <w:tcW w:w="1101" w:type="dxa"/>
          </w:tcPr>
          <w:p w14:paraId="6CDDC881" w14:textId="77777777" w:rsidR="00711444" w:rsidRPr="004D0DAA" w:rsidRDefault="00711444" w:rsidP="00AA2A4C">
            <w:pPr>
              <w:pStyle w:val="TAC"/>
              <w:rPr>
                <w:lang w:eastAsia="en-US"/>
              </w:rPr>
            </w:pPr>
            <w:r w:rsidRPr="004D0DAA">
              <w:rPr>
                <w:lang w:eastAsia="en-US"/>
              </w:rPr>
              <w:t>00</w:t>
            </w:r>
          </w:p>
        </w:tc>
        <w:tc>
          <w:tcPr>
            <w:tcW w:w="7755" w:type="dxa"/>
          </w:tcPr>
          <w:p w14:paraId="1361E7F0" w14:textId="77777777" w:rsidR="00711444" w:rsidRPr="004D0DAA" w:rsidRDefault="00711444" w:rsidP="00AA2A4C">
            <w:pPr>
              <w:pStyle w:val="TAL"/>
              <w:rPr>
                <w:lang w:eastAsia="en-US"/>
              </w:rPr>
            </w:pPr>
            <w:r w:rsidRPr="004D0DAA">
              <w:rPr>
                <w:lang w:eastAsia="en-US"/>
              </w:rPr>
              <w:t>Nothing (RRBP field invalid)</w:t>
            </w:r>
          </w:p>
        </w:tc>
      </w:tr>
      <w:tr w:rsidR="00711444" w:rsidRPr="004D0DAA" w14:paraId="58E4D2B9" w14:textId="77777777" w:rsidTr="00AA2A4C">
        <w:tblPrEx>
          <w:tblCellMar>
            <w:top w:w="0" w:type="dxa"/>
            <w:bottom w:w="0" w:type="dxa"/>
          </w:tblCellMar>
        </w:tblPrEx>
        <w:trPr>
          <w:jc w:val="center"/>
        </w:trPr>
        <w:tc>
          <w:tcPr>
            <w:tcW w:w="1101" w:type="dxa"/>
          </w:tcPr>
          <w:p w14:paraId="10BB06EE" w14:textId="77777777" w:rsidR="00711444" w:rsidRPr="004D0DAA" w:rsidRDefault="00711444" w:rsidP="00AA2A4C">
            <w:pPr>
              <w:pStyle w:val="TAC"/>
              <w:rPr>
                <w:lang w:eastAsia="en-US"/>
              </w:rPr>
            </w:pPr>
            <w:r w:rsidRPr="004D0DAA">
              <w:rPr>
                <w:lang w:eastAsia="en-US"/>
              </w:rPr>
              <w:t>01</w:t>
            </w:r>
          </w:p>
        </w:tc>
        <w:tc>
          <w:tcPr>
            <w:tcW w:w="7755" w:type="dxa"/>
          </w:tcPr>
          <w:p w14:paraId="720585A4" w14:textId="77777777" w:rsidR="00711444" w:rsidRPr="004D0DAA" w:rsidRDefault="00711444" w:rsidP="00AA2A4C">
            <w:pPr>
              <w:pStyle w:val="TAL"/>
              <w:rPr>
                <w:lang w:eastAsia="en-US"/>
              </w:rPr>
            </w:pPr>
            <w:r w:rsidRPr="004D0DAA">
              <w:rPr>
                <w:lang w:eastAsia="en-US"/>
              </w:rPr>
              <w:t>MBMS DOWNLINK ACK/NACK message containing FPB (First Partial Bitmap)</w:t>
            </w:r>
          </w:p>
        </w:tc>
      </w:tr>
      <w:tr w:rsidR="00711444" w:rsidRPr="004D0DAA" w14:paraId="17EF466C" w14:textId="77777777" w:rsidTr="00AA2A4C">
        <w:tblPrEx>
          <w:tblCellMar>
            <w:top w:w="0" w:type="dxa"/>
            <w:bottom w:w="0" w:type="dxa"/>
          </w:tblCellMar>
        </w:tblPrEx>
        <w:trPr>
          <w:jc w:val="center"/>
        </w:trPr>
        <w:tc>
          <w:tcPr>
            <w:tcW w:w="1101" w:type="dxa"/>
          </w:tcPr>
          <w:p w14:paraId="5D74DDA5" w14:textId="77777777" w:rsidR="00711444" w:rsidRPr="004D0DAA" w:rsidRDefault="00711444" w:rsidP="00AA2A4C">
            <w:pPr>
              <w:pStyle w:val="TAC"/>
              <w:rPr>
                <w:lang w:eastAsia="en-US"/>
              </w:rPr>
            </w:pPr>
            <w:r w:rsidRPr="004D0DAA">
              <w:rPr>
                <w:lang w:eastAsia="en-US"/>
              </w:rPr>
              <w:t>10</w:t>
            </w:r>
          </w:p>
        </w:tc>
        <w:tc>
          <w:tcPr>
            <w:tcW w:w="7755" w:type="dxa"/>
          </w:tcPr>
          <w:p w14:paraId="6767E5FF" w14:textId="77777777" w:rsidR="00711444" w:rsidRPr="004D0DAA" w:rsidRDefault="00711444" w:rsidP="00AA2A4C">
            <w:pPr>
              <w:pStyle w:val="TAL"/>
              <w:rPr>
                <w:lang w:eastAsia="en-US"/>
              </w:rPr>
            </w:pPr>
            <w:r w:rsidRPr="004D0DAA">
              <w:rPr>
                <w:lang w:eastAsia="en-US"/>
              </w:rPr>
              <w:t>MBMS DOWNLINK ACK/NACK message containing NPB (Next Partial Bitmap)</w:t>
            </w:r>
          </w:p>
        </w:tc>
      </w:tr>
      <w:tr w:rsidR="00711444" w:rsidRPr="004D0DAA" w14:paraId="423B805E" w14:textId="77777777" w:rsidTr="00AA2A4C">
        <w:tblPrEx>
          <w:tblCellMar>
            <w:top w:w="0" w:type="dxa"/>
            <w:bottom w:w="0" w:type="dxa"/>
          </w:tblCellMar>
        </w:tblPrEx>
        <w:trPr>
          <w:jc w:val="center"/>
        </w:trPr>
        <w:tc>
          <w:tcPr>
            <w:tcW w:w="1101" w:type="dxa"/>
          </w:tcPr>
          <w:p w14:paraId="516D6E75" w14:textId="77777777" w:rsidR="00711444" w:rsidRPr="004D0DAA" w:rsidRDefault="00711444" w:rsidP="00AA2A4C">
            <w:pPr>
              <w:pStyle w:val="TAC"/>
              <w:rPr>
                <w:lang w:eastAsia="en-US"/>
              </w:rPr>
            </w:pPr>
            <w:r w:rsidRPr="004D0DAA">
              <w:rPr>
                <w:lang w:eastAsia="en-US"/>
              </w:rPr>
              <w:t>11</w:t>
            </w:r>
          </w:p>
        </w:tc>
        <w:tc>
          <w:tcPr>
            <w:tcW w:w="7755" w:type="dxa"/>
          </w:tcPr>
          <w:p w14:paraId="6E335472" w14:textId="77777777" w:rsidR="00711444" w:rsidRPr="004D0DAA" w:rsidRDefault="00711444" w:rsidP="00AA2A4C">
            <w:pPr>
              <w:pStyle w:val="TAL"/>
              <w:rPr>
                <w:lang w:eastAsia="en-US"/>
              </w:rPr>
            </w:pPr>
            <w:r w:rsidRPr="004D0DAA">
              <w:rPr>
                <w:lang w:eastAsia="en-US"/>
              </w:rPr>
              <w:t>MBMS DOWNLINK ACK/NACK message containing neighbour cell measurement reports and NPB</w:t>
            </w:r>
          </w:p>
        </w:tc>
      </w:tr>
    </w:tbl>
    <w:p w14:paraId="7FB85FCD" w14:textId="77777777" w:rsidR="00711444" w:rsidRPr="004D0DAA" w:rsidRDefault="00711444" w:rsidP="00711444"/>
    <w:p w14:paraId="5F402A84" w14:textId="77777777" w:rsidR="00711444" w:rsidRPr="004D0DAA" w:rsidRDefault="00711444" w:rsidP="00711444">
      <w:r w:rsidRPr="004D0DAA">
        <w:rPr>
          <w:rFonts w:hint="eastAsia"/>
          <w:lang w:eastAsia="ko-KR"/>
        </w:rPr>
        <w:t xml:space="preserve">For </w:t>
      </w:r>
      <w:r w:rsidRPr="004D0DAA">
        <w:rPr>
          <w:lang w:eastAsia="ko-KR"/>
        </w:rPr>
        <w:t xml:space="preserve">EGPRS when </w:t>
      </w:r>
      <w:r w:rsidRPr="004D0DAA">
        <w:rPr>
          <w:rFonts w:hint="eastAsia"/>
          <w:lang w:eastAsia="ko-KR"/>
        </w:rPr>
        <w:t>FANR</w:t>
      </w:r>
      <w:r w:rsidRPr="004D0DAA">
        <w:rPr>
          <w:lang w:eastAsia="ko-KR"/>
        </w:rPr>
        <w:t xml:space="preserve"> is activated or for EGPRS2</w:t>
      </w:r>
      <w:r w:rsidRPr="004D0DAA">
        <w:t xml:space="preserve">, the Combined EGPRS Supplementary/Polling field describes the feedback request and specifies a single uplink block in which the mobile station shall transmit a PACKET CONTROL ACKNOWLEDGEMENT message, a PACCH block or (applicable only if FANR is activated) a radio block containing a PAN field to the network, see table 9.1.8.2.1.3. The single uplink block is defined by a delay relative to the first TDMA frame (N) of the downlink block containing the CES/P value. If ordered to send an EGPRS PACKET DOWNLINK ACK/NACK message or EGPRS PACKET DOWNLINK ACK/NACK TYPE 2 message or EGPRS PACKET DOWNLINK ACK/NACK TYPE 3 message, a mobile station with one or more </w:t>
      </w:r>
      <w:r w:rsidRPr="004D0DAA">
        <w:lastRenderedPageBreak/>
        <w:t>downlink TBFs using EGPRS2 shall send the EGPRS PACKET DOWNLINK ACK/NACK TYPE 2 message or EGPRS PACKET DOWNLINK ACK/NACK TYPE 3 message. A mobile station in a DLMC configuration using an SNS of 2048 shall always send the EGPRS PACKET DOWNLINK ACK/NACK DLMC message. Otherwise, the mobile station shall send the EGPRS PACKET DOWNLINK ACK/NACK message.</w:t>
      </w:r>
    </w:p>
    <w:p w14:paraId="3BABEB49" w14:textId="77777777" w:rsidR="00711444" w:rsidRPr="004D0DAA" w:rsidRDefault="00711444" w:rsidP="00711444">
      <w:pPr>
        <w:pStyle w:val="TH"/>
      </w:pPr>
      <w:r w:rsidRPr="004D0DAA">
        <w:t xml:space="preserve">Table 9.1.8.2.1.3: Format of CES/P field within each EGPRS RLC block (EGPRS with </w:t>
      </w:r>
      <w:r w:rsidRPr="004D0DAA">
        <w:rPr>
          <w:rFonts w:hint="eastAsia"/>
          <w:lang w:eastAsia="ko-KR"/>
        </w:rPr>
        <w:t>FANR</w:t>
      </w:r>
      <w:r w:rsidRPr="004D0DAA">
        <w:rPr>
          <w:lang w:eastAsia="ko-KR"/>
        </w:rPr>
        <w:t xml:space="preserve"> activated and EGPRS2</w:t>
      </w:r>
      <w:r w:rsidRPr="004D0DAA">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1"/>
        <w:gridCol w:w="7755"/>
        <w:tblGridChange w:id="419">
          <w:tblGrid>
            <w:gridCol w:w="1101"/>
            <w:gridCol w:w="7755"/>
          </w:tblGrid>
        </w:tblGridChange>
      </w:tblGrid>
      <w:tr w:rsidR="00711444" w:rsidRPr="004D0DAA" w14:paraId="589F9AD7" w14:textId="77777777" w:rsidTr="00AA2A4C">
        <w:tblPrEx>
          <w:tblCellMar>
            <w:top w:w="0" w:type="dxa"/>
            <w:bottom w:w="0" w:type="dxa"/>
          </w:tblCellMar>
        </w:tblPrEx>
        <w:trPr>
          <w:jc w:val="center"/>
        </w:trPr>
        <w:tc>
          <w:tcPr>
            <w:tcW w:w="1101" w:type="dxa"/>
          </w:tcPr>
          <w:p w14:paraId="4D6E277C" w14:textId="77777777" w:rsidR="00711444" w:rsidRPr="004D0DAA" w:rsidRDefault="00711444" w:rsidP="00AA2A4C">
            <w:pPr>
              <w:pStyle w:val="TAH"/>
              <w:rPr>
                <w:lang w:eastAsia="en-US"/>
              </w:rPr>
            </w:pPr>
            <w:r w:rsidRPr="004D0DAA">
              <w:rPr>
                <w:lang w:eastAsia="en-US"/>
              </w:rPr>
              <w:t>CES/P</w:t>
            </w:r>
          </w:p>
        </w:tc>
        <w:tc>
          <w:tcPr>
            <w:tcW w:w="7755" w:type="dxa"/>
          </w:tcPr>
          <w:p w14:paraId="15EDA354" w14:textId="77777777" w:rsidR="00711444" w:rsidRPr="004D0DAA" w:rsidRDefault="00711444" w:rsidP="00AA2A4C">
            <w:pPr>
              <w:pStyle w:val="TAH"/>
              <w:rPr>
                <w:lang w:eastAsia="en-US"/>
              </w:rPr>
            </w:pPr>
            <w:r w:rsidRPr="004D0DAA">
              <w:rPr>
                <w:lang w:eastAsia="en-US"/>
              </w:rPr>
              <w:t>Feedback Request (Poll) Description and Relative Reserved Block Period</w:t>
            </w:r>
          </w:p>
        </w:tc>
      </w:tr>
      <w:tr w:rsidR="00711444" w:rsidRPr="004D0DAA" w14:paraId="594346AA" w14:textId="77777777" w:rsidTr="00AA2A4C">
        <w:tblPrEx>
          <w:tblCellMar>
            <w:top w:w="0" w:type="dxa"/>
            <w:bottom w:w="0" w:type="dxa"/>
          </w:tblCellMar>
        </w:tblPrEx>
        <w:trPr>
          <w:jc w:val="center"/>
        </w:trPr>
        <w:tc>
          <w:tcPr>
            <w:tcW w:w="1101" w:type="dxa"/>
          </w:tcPr>
          <w:p w14:paraId="7E041553" w14:textId="77777777" w:rsidR="00711444" w:rsidRPr="004D0DAA" w:rsidRDefault="00711444" w:rsidP="00AA2A4C">
            <w:pPr>
              <w:pStyle w:val="TAC"/>
              <w:rPr>
                <w:lang w:eastAsia="en-US"/>
              </w:rPr>
            </w:pPr>
            <w:r w:rsidRPr="004D0DAA">
              <w:rPr>
                <w:lang w:eastAsia="en-US"/>
              </w:rPr>
              <w:t>000</w:t>
            </w:r>
          </w:p>
        </w:tc>
        <w:tc>
          <w:tcPr>
            <w:tcW w:w="7755" w:type="dxa"/>
          </w:tcPr>
          <w:p w14:paraId="7DB30E94" w14:textId="77777777" w:rsidR="00711444" w:rsidRPr="004D0DAA" w:rsidRDefault="00711444" w:rsidP="00AA2A4C">
            <w:pPr>
              <w:pStyle w:val="TAL"/>
              <w:rPr>
                <w:lang w:eastAsia="en-US"/>
              </w:rPr>
            </w:pPr>
            <w:r w:rsidRPr="004D0DAA">
              <w:rPr>
                <w:lang w:eastAsia="en-US"/>
              </w:rPr>
              <w:t>Nothing</w:t>
            </w:r>
          </w:p>
        </w:tc>
      </w:tr>
      <w:tr w:rsidR="00711444" w:rsidRPr="004D0DAA" w14:paraId="2C0100A3" w14:textId="77777777" w:rsidTr="00AA2A4C">
        <w:tblPrEx>
          <w:tblCellMar>
            <w:top w:w="0" w:type="dxa"/>
            <w:bottom w:w="0" w:type="dxa"/>
          </w:tblCellMar>
        </w:tblPrEx>
        <w:trPr>
          <w:jc w:val="center"/>
        </w:trPr>
        <w:tc>
          <w:tcPr>
            <w:tcW w:w="1101" w:type="dxa"/>
          </w:tcPr>
          <w:p w14:paraId="04FACE30" w14:textId="77777777" w:rsidR="00711444" w:rsidRPr="004D0DAA" w:rsidRDefault="00711444" w:rsidP="00AA2A4C">
            <w:pPr>
              <w:pStyle w:val="TAC"/>
              <w:rPr>
                <w:lang w:eastAsia="en-US"/>
              </w:rPr>
            </w:pPr>
            <w:r w:rsidRPr="004D0DAA">
              <w:rPr>
                <w:lang w:eastAsia="en-US"/>
              </w:rPr>
              <w:t>001</w:t>
            </w:r>
          </w:p>
        </w:tc>
        <w:tc>
          <w:tcPr>
            <w:tcW w:w="7755" w:type="dxa"/>
          </w:tcPr>
          <w:p w14:paraId="24C4C687" w14:textId="77777777" w:rsidR="00711444" w:rsidRPr="004D0DAA" w:rsidRDefault="00711444" w:rsidP="00AA2A4C">
            <w:pPr>
              <w:pStyle w:val="TAL"/>
              <w:rPr>
                <w:lang w:eastAsia="en-US"/>
              </w:rPr>
            </w:pPr>
            <w:r w:rsidRPr="004D0DAA">
              <w:rPr>
                <w:lang w:eastAsia="en-US"/>
              </w:rPr>
              <w:t>EGPRS PACKET DOWNLINK ACK/NACK message or EGPRS PACKET DOWNLINK ACK/NACK TYPE 2 message or EGPRS PACKET DOWNLINK ACK/NACK TYPE 3 message or EGPRS PACKET DOWNLINK ACK/NACK DLMC message containing FPB, and if there is enough room left in RLC/MAC block, channel quality report(s) within the radio period (N+8 or N+9) mod 2715648 in the BTTI configuration or (N+6 or N+7) mod 2715648 in the RTTI configuration</w:t>
            </w:r>
          </w:p>
        </w:tc>
      </w:tr>
      <w:tr w:rsidR="00711444" w:rsidRPr="004D0DAA" w14:paraId="11C773EF" w14:textId="77777777" w:rsidTr="00AA2A4C">
        <w:tblPrEx>
          <w:tblCellMar>
            <w:top w:w="0" w:type="dxa"/>
            <w:bottom w:w="0" w:type="dxa"/>
          </w:tblCellMar>
        </w:tblPrEx>
        <w:trPr>
          <w:jc w:val="center"/>
        </w:trPr>
        <w:tc>
          <w:tcPr>
            <w:tcW w:w="1101" w:type="dxa"/>
            <w:tcBorders>
              <w:bottom w:val="single" w:sz="6" w:space="0" w:color="auto"/>
            </w:tcBorders>
          </w:tcPr>
          <w:p w14:paraId="3D822DA7" w14:textId="77777777" w:rsidR="00711444" w:rsidRPr="004D0DAA" w:rsidRDefault="00711444" w:rsidP="00AA2A4C">
            <w:pPr>
              <w:pStyle w:val="TAC"/>
              <w:rPr>
                <w:lang w:eastAsia="en-US"/>
              </w:rPr>
            </w:pPr>
            <w:r w:rsidRPr="004D0DAA">
              <w:rPr>
                <w:lang w:eastAsia="en-US"/>
              </w:rPr>
              <w:t>010</w:t>
            </w:r>
          </w:p>
        </w:tc>
        <w:tc>
          <w:tcPr>
            <w:tcW w:w="7755" w:type="dxa"/>
            <w:tcBorders>
              <w:bottom w:val="single" w:sz="6" w:space="0" w:color="auto"/>
            </w:tcBorders>
          </w:tcPr>
          <w:p w14:paraId="461E4199" w14:textId="77777777" w:rsidR="00711444" w:rsidRPr="004D0DAA" w:rsidRDefault="00711444" w:rsidP="00AA2A4C">
            <w:pPr>
              <w:pStyle w:val="TAL"/>
              <w:rPr>
                <w:lang w:eastAsia="en-US"/>
              </w:rPr>
            </w:pPr>
            <w:r w:rsidRPr="004D0DAA">
              <w:rPr>
                <w:lang w:eastAsia="en-US"/>
              </w:rPr>
              <w:t>EGPRS PACKET DOWNLINK ACK/NACK message or EGPRS PACKET DOWNLINK ACK/NACK TYPE 2 message or EGPRS PACKET DOWNLINK ACK/NACK TYPE 3 message or EGPRS PACKET DOWNLINK ACK/NACK DLMC message containing FPB, and if there is enough room left in RLC/MAC block, channel quality report(s) within the radio period (N+13) mod 2715648 in the BTTI configuration or (N+8 or N+9) mod 2715648 in the RTTI configuration</w:t>
            </w:r>
          </w:p>
        </w:tc>
      </w:tr>
      <w:tr w:rsidR="00711444" w:rsidRPr="004D0DAA" w14:paraId="753F6BAE" w14:textId="77777777" w:rsidTr="00AA2A4C">
        <w:tblPrEx>
          <w:tblCellMar>
            <w:top w:w="0" w:type="dxa"/>
            <w:bottom w:w="0" w:type="dxa"/>
          </w:tblCellMar>
        </w:tblPrEx>
        <w:trPr>
          <w:jc w:val="center"/>
        </w:trPr>
        <w:tc>
          <w:tcPr>
            <w:tcW w:w="1101" w:type="dxa"/>
            <w:tcBorders>
              <w:bottom w:val="single" w:sz="4" w:space="0" w:color="auto"/>
            </w:tcBorders>
          </w:tcPr>
          <w:p w14:paraId="2BB75A23" w14:textId="77777777" w:rsidR="00711444" w:rsidRPr="004D0DAA" w:rsidRDefault="00711444" w:rsidP="00AA2A4C">
            <w:pPr>
              <w:pStyle w:val="TAC"/>
              <w:rPr>
                <w:lang w:eastAsia="en-US"/>
              </w:rPr>
            </w:pPr>
            <w:r w:rsidRPr="004D0DAA">
              <w:rPr>
                <w:lang w:eastAsia="en-US"/>
              </w:rPr>
              <w:t>011</w:t>
            </w:r>
          </w:p>
        </w:tc>
        <w:tc>
          <w:tcPr>
            <w:tcW w:w="7755" w:type="dxa"/>
            <w:tcBorders>
              <w:bottom w:val="single" w:sz="4" w:space="0" w:color="auto"/>
            </w:tcBorders>
          </w:tcPr>
          <w:p w14:paraId="3409C10A" w14:textId="77777777" w:rsidR="00711444" w:rsidRPr="004D0DAA" w:rsidRDefault="00711444" w:rsidP="00AA2A4C">
            <w:pPr>
              <w:pStyle w:val="TAL"/>
              <w:rPr>
                <w:lang w:eastAsia="en-US"/>
              </w:rPr>
            </w:pPr>
            <w:r w:rsidRPr="004D0DAA">
              <w:rPr>
                <w:lang w:eastAsia="en-US"/>
              </w:rPr>
              <w:t>EGPRS RLC/MAC block for data transfer with a PAN field containing FPB within the radio period (N+8 or N+9) mod 2715648 in the BTTI configuration or (N+6 or N+7) mod 2715648 in the RTTI configuration (NOTE 1)</w:t>
            </w:r>
          </w:p>
        </w:tc>
      </w:tr>
      <w:tr w:rsidR="00711444" w:rsidRPr="004D0DAA" w14:paraId="2BCCB682" w14:textId="77777777" w:rsidTr="00AA2A4C">
        <w:tblPrEx>
          <w:tblCellMar>
            <w:top w:w="0" w:type="dxa"/>
            <w:bottom w:w="0" w:type="dxa"/>
          </w:tblCellMar>
        </w:tblPrEx>
        <w:trPr>
          <w:jc w:val="center"/>
        </w:trPr>
        <w:tc>
          <w:tcPr>
            <w:tcW w:w="1101" w:type="dxa"/>
            <w:tcBorders>
              <w:bottom w:val="single" w:sz="4" w:space="0" w:color="auto"/>
            </w:tcBorders>
          </w:tcPr>
          <w:p w14:paraId="1D12E441" w14:textId="77777777" w:rsidR="00711444" w:rsidRPr="004D0DAA" w:rsidRDefault="00711444" w:rsidP="00AA2A4C">
            <w:pPr>
              <w:pStyle w:val="TAC"/>
              <w:rPr>
                <w:lang w:eastAsia="en-US"/>
              </w:rPr>
            </w:pPr>
            <w:r w:rsidRPr="004D0DAA">
              <w:rPr>
                <w:lang w:eastAsia="en-US"/>
              </w:rPr>
              <w:t>100</w:t>
            </w:r>
          </w:p>
        </w:tc>
        <w:tc>
          <w:tcPr>
            <w:tcW w:w="7755" w:type="dxa"/>
            <w:tcBorders>
              <w:bottom w:val="single" w:sz="4" w:space="0" w:color="auto"/>
            </w:tcBorders>
          </w:tcPr>
          <w:p w14:paraId="78CB56C5" w14:textId="77777777" w:rsidR="00711444" w:rsidRPr="004D0DAA" w:rsidRDefault="00711444" w:rsidP="00AA2A4C">
            <w:pPr>
              <w:pStyle w:val="TAL"/>
              <w:rPr>
                <w:lang w:eastAsia="en-US"/>
              </w:rPr>
            </w:pPr>
            <w:r w:rsidRPr="004D0DAA">
              <w:rPr>
                <w:lang w:eastAsia="en-US"/>
              </w:rPr>
              <w:t>EGPRS RLC/MAC block for data transfer with a PAN field containing FPB within the radio period (N+13) mod 2715648 in the BTTI configuration or (N+8 or N+9) mod 2715648 in the RTTI configuration (NOTE 1)</w:t>
            </w:r>
          </w:p>
        </w:tc>
      </w:tr>
      <w:tr w:rsidR="00711444" w:rsidRPr="004D0DAA" w14:paraId="56475657" w14:textId="77777777" w:rsidTr="00AA2A4C">
        <w:tblPrEx>
          <w:tblCellMar>
            <w:top w:w="0" w:type="dxa"/>
            <w:bottom w:w="0" w:type="dxa"/>
          </w:tblCellMar>
        </w:tblPrEx>
        <w:trPr>
          <w:jc w:val="center"/>
        </w:trPr>
        <w:tc>
          <w:tcPr>
            <w:tcW w:w="1101" w:type="dxa"/>
            <w:tcBorders>
              <w:bottom w:val="single" w:sz="4" w:space="0" w:color="auto"/>
            </w:tcBorders>
          </w:tcPr>
          <w:p w14:paraId="67826547" w14:textId="77777777" w:rsidR="00711444" w:rsidRPr="004D0DAA" w:rsidRDefault="00711444" w:rsidP="00AA2A4C">
            <w:pPr>
              <w:pStyle w:val="TAC"/>
              <w:rPr>
                <w:lang w:eastAsia="en-US"/>
              </w:rPr>
            </w:pPr>
            <w:r w:rsidRPr="004D0DAA">
              <w:rPr>
                <w:lang w:eastAsia="en-US"/>
              </w:rPr>
              <w:t>101</w:t>
            </w:r>
          </w:p>
        </w:tc>
        <w:tc>
          <w:tcPr>
            <w:tcW w:w="7755" w:type="dxa"/>
            <w:tcBorders>
              <w:bottom w:val="single" w:sz="4" w:space="0" w:color="auto"/>
            </w:tcBorders>
          </w:tcPr>
          <w:p w14:paraId="10743CA6" w14:textId="77777777" w:rsidR="00711444" w:rsidRPr="004D0DAA" w:rsidRDefault="00711444" w:rsidP="00AA2A4C">
            <w:pPr>
              <w:pStyle w:val="TAL"/>
              <w:rPr>
                <w:lang w:eastAsia="en-US"/>
              </w:rPr>
            </w:pPr>
            <w:r w:rsidRPr="004D0DAA">
              <w:rPr>
                <w:lang w:eastAsia="en-US"/>
              </w:rPr>
              <w:t>EGPRS PACKET DOWNLINK ACK/NACK message or EGPRS PACKET DOWNLINK ACK/NACK TYPE 2 message or EGPRS PACKET DOWNLINK ACK/NACK TYPE 3 message or EGPRS PACKET DOWNLINK ACK/NACK DLMC message containing Channel Quality Report(s) and if there is enough room left in RLC/MAC block, NPB within the radio period (N+8 or N+9) mod 2715648 in the BTTI configuration or (N+6 or N+7) mod 2715648 in the RTTI configuration (NOTE 2)</w:t>
            </w:r>
          </w:p>
        </w:tc>
      </w:tr>
      <w:tr w:rsidR="00711444" w:rsidRPr="004D0DAA" w14:paraId="7AAEE0F4" w14:textId="77777777" w:rsidTr="00AA2A4C">
        <w:tblPrEx>
          <w:tblCellMar>
            <w:top w:w="0" w:type="dxa"/>
            <w:bottom w:w="0" w:type="dxa"/>
          </w:tblCellMar>
        </w:tblPrEx>
        <w:trPr>
          <w:jc w:val="center"/>
        </w:trPr>
        <w:tc>
          <w:tcPr>
            <w:tcW w:w="1101" w:type="dxa"/>
            <w:tcBorders>
              <w:bottom w:val="single" w:sz="4" w:space="0" w:color="auto"/>
            </w:tcBorders>
          </w:tcPr>
          <w:p w14:paraId="09C81DA0" w14:textId="77777777" w:rsidR="00711444" w:rsidRPr="004D0DAA" w:rsidRDefault="00711444" w:rsidP="00AA2A4C">
            <w:pPr>
              <w:pStyle w:val="TAC"/>
              <w:rPr>
                <w:lang w:eastAsia="en-US"/>
              </w:rPr>
            </w:pPr>
            <w:r w:rsidRPr="004D0DAA">
              <w:rPr>
                <w:lang w:eastAsia="en-US"/>
              </w:rPr>
              <w:t>110</w:t>
            </w:r>
          </w:p>
        </w:tc>
        <w:tc>
          <w:tcPr>
            <w:tcW w:w="7755" w:type="dxa"/>
            <w:tcBorders>
              <w:bottom w:val="single" w:sz="4" w:space="0" w:color="auto"/>
            </w:tcBorders>
          </w:tcPr>
          <w:p w14:paraId="5D254AAE" w14:textId="77777777" w:rsidR="00711444" w:rsidRPr="004D0DAA" w:rsidRDefault="00711444" w:rsidP="00AA2A4C">
            <w:pPr>
              <w:pStyle w:val="TAL"/>
              <w:rPr>
                <w:lang w:eastAsia="en-US"/>
              </w:rPr>
            </w:pPr>
            <w:r w:rsidRPr="004D0DAA">
              <w:rPr>
                <w:lang w:eastAsia="en-US"/>
              </w:rPr>
              <w:t>EGPRS PACKET DOWNLINK ACK/NACK message or EGPRS PACKET DOWNLINK ACK/NACK TYPE 2 message or EGPRS PACKET DOWNLINK ACK/NACK TYPE 3 message or EGPRS PACKET DOWNLINK ACK/NACK DLMC message containing Channel Quality Report(s) and if there is enough room left in RLC/MAC block, NPB within the radio period (N+13) mod 2715648 in the BTTI configuration or (N+8 or N+9) mod 2715648 in the RTTI configuration (NOTE 2)</w:t>
            </w:r>
          </w:p>
        </w:tc>
      </w:tr>
      <w:tr w:rsidR="00711444" w:rsidRPr="004D0DAA" w14:paraId="25522F30" w14:textId="77777777" w:rsidTr="00AA2A4C">
        <w:tblPrEx>
          <w:tblCellMar>
            <w:top w:w="0" w:type="dxa"/>
            <w:bottom w:w="0" w:type="dxa"/>
          </w:tblCellMar>
        </w:tblPrEx>
        <w:trPr>
          <w:jc w:val="center"/>
        </w:trPr>
        <w:tc>
          <w:tcPr>
            <w:tcW w:w="1101" w:type="dxa"/>
            <w:tcBorders>
              <w:bottom w:val="single" w:sz="4" w:space="0" w:color="auto"/>
            </w:tcBorders>
          </w:tcPr>
          <w:p w14:paraId="21F8F87D" w14:textId="77777777" w:rsidR="00711444" w:rsidRPr="004D0DAA" w:rsidRDefault="00711444" w:rsidP="00AA2A4C">
            <w:pPr>
              <w:pStyle w:val="TAC"/>
              <w:rPr>
                <w:lang w:eastAsia="en-US"/>
              </w:rPr>
            </w:pPr>
            <w:r w:rsidRPr="004D0DAA">
              <w:rPr>
                <w:lang w:eastAsia="en-US"/>
              </w:rPr>
              <w:t>111</w:t>
            </w:r>
          </w:p>
        </w:tc>
        <w:tc>
          <w:tcPr>
            <w:tcW w:w="7755" w:type="dxa"/>
            <w:tcBorders>
              <w:bottom w:val="single" w:sz="4" w:space="0" w:color="auto"/>
            </w:tcBorders>
          </w:tcPr>
          <w:p w14:paraId="67619306" w14:textId="77777777" w:rsidR="00711444" w:rsidRPr="004D0DAA" w:rsidRDefault="00711444" w:rsidP="00AA2A4C">
            <w:pPr>
              <w:pStyle w:val="TAL"/>
              <w:rPr>
                <w:lang w:eastAsia="en-US"/>
              </w:rPr>
            </w:pPr>
            <w:r w:rsidRPr="004D0DAA">
              <w:rPr>
                <w:lang w:eastAsia="en-US"/>
              </w:rPr>
              <w:t>EGPRS PACKET DOWNLINK ACK/NACK message or EGPRS PACKET DOWNLINK ACK/NACK TYPE 2 message or EGPRS PACKET DOWNLINK ACK/NACK TYPE 3 message or EGPRS PACKET DOWNLINK ACK/NACK DLMC message containing NPB, and if there is enough room left in RLC/MAC block, channel quality report(s) within the radio period (N+8 or N+9) mod 2715648 in the BTTI configuration or (N+6 or N+7) mod 2715648 in the RTTI configuration (NOTE 2)</w:t>
            </w:r>
          </w:p>
        </w:tc>
      </w:tr>
      <w:tr w:rsidR="00711444" w:rsidRPr="004D0DAA" w14:paraId="0BE10CCE" w14:textId="77777777" w:rsidTr="00AA2A4C">
        <w:tblPrEx>
          <w:tblCellMar>
            <w:top w:w="0" w:type="dxa"/>
            <w:bottom w:w="0" w:type="dxa"/>
          </w:tblCellMar>
        </w:tblPrEx>
        <w:trPr>
          <w:jc w:val="center"/>
        </w:trPr>
        <w:tc>
          <w:tcPr>
            <w:tcW w:w="8856" w:type="dxa"/>
            <w:gridSpan w:val="2"/>
            <w:tcBorders>
              <w:bottom w:val="single" w:sz="4" w:space="0" w:color="auto"/>
            </w:tcBorders>
          </w:tcPr>
          <w:p w14:paraId="5CE90E64" w14:textId="77777777" w:rsidR="00711444" w:rsidRPr="004D0DAA" w:rsidRDefault="00711444" w:rsidP="00AA2A4C">
            <w:pPr>
              <w:pStyle w:val="TAN"/>
              <w:rPr>
                <w:lang w:eastAsia="en-US"/>
              </w:rPr>
            </w:pPr>
            <w:r w:rsidRPr="004D0DAA">
              <w:rPr>
                <w:lang w:eastAsia="en-US"/>
              </w:rPr>
              <w:t>NOTE 1:</w:t>
            </w:r>
            <w:r w:rsidRPr="004D0DAA">
              <w:rPr>
                <w:lang w:eastAsia="en-US"/>
              </w:rPr>
              <w:tab/>
              <w:t>The mobile station shall ignore the poll for PAN in the case when received for a TBF with FANR not activated.</w:t>
            </w:r>
          </w:p>
          <w:p w14:paraId="73D9F6E1" w14:textId="77777777" w:rsidR="00711444" w:rsidRPr="004D0DAA" w:rsidRDefault="00711444" w:rsidP="00AA2A4C">
            <w:pPr>
              <w:pStyle w:val="TAN"/>
              <w:rPr>
                <w:lang w:eastAsia="en-US"/>
              </w:rPr>
            </w:pPr>
            <w:r w:rsidRPr="004D0DAA">
              <w:rPr>
                <w:lang w:eastAsia="en-US"/>
              </w:rPr>
              <w:t>NOTE 2:</w:t>
            </w:r>
            <w:r w:rsidRPr="004D0DAA">
              <w:rPr>
                <w:lang w:eastAsia="en-US"/>
              </w:rPr>
              <w:tab/>
              <w:t xml:space="preserve">The mobile station shall not truncate the </w:t>
            </w:r>
            <w:r w:rsidRPr="004D0DAA">
              <w:rPr>
                <w:i/>
                <w:lang w:eastAsia="en-US"/>
              </w:rPr>
              <w:t>EGPRS Ack/Nack Description</w:t>
            </w:r>
            <w:r w:rsidRPr="004D0DAA">
              <w:rPr>
                <w:lang w:eastAsia="en-US"/>
              </w:rPr>
              <w:t xml:space="preserve"> IE in the EGPRS PACKET DOWNLINK ACK/NACK TYPE 2 message (see sub-clause 11.2.6e) or EGPRS PACKET DOWNLINK ACK/NACK TYPE 3 message (see sub-clause 11.2.6f) that would contain a final Ack indicator set to '1'.</w:t>
            </w:r>
          </w:p>
        </w:tc>
      </w:tr>
    </w:tbl>
    <w:p w14:paraId="53B4E013" w14:textId="77777777" w:rsidR="00711444" w:rsidRPr="004D0DAA" w:rsidRDefault="00711444" w:rsidP="00711444"/>
    <w:p w14:paraId="5D051D4E" w14:textId="77777777" w:rsidR="00711444" w:rsidRPr="004D0DAA" w:rsidRDefault="00711444" w:rsidP="00711444">
      <w:r w:rsidRPr="004D0DAA">
        <w:t xml:space="preserve">A mobile station in DLMC configuration </w:t>
      </w:r>
      <w:r w:rsidRPr="004D0DAA">
        <w:rPr>
          <w:lang w:eastAsia="ko-KR"/>
        </w:rPr>
        <w:t xml:space="preserve">using an SNS of 8192 </w:t>
      </w:r>
      <w:r w:rsidRPr="004D0DAA">
        <w:t xml:space="preserve">shall respond to the feedback request indicated by the CES/P field within the RLC data block header (see sub-clause 10.3a.3.1, 10.3a.3.2, 10.3a.3.3, 10.3a.3.4, 10.3a.3.5 and 10.3a.3.10) as shown in Table 9.1.8.2.1.4. </w:t>
      </w:r>
    </w:p>
    <w:p w14:paraId="28422276" w14:textId="77777777" w:rsidR="00711444" w:rsidRPr="004D0DAA" w:rsidRDefault="00711444" w:rsidP="00711444">
      <w:pPr>
        <w:pStyle w:val="TH"/>
      </w:pPr>
      <w:r w:rsidRPr="004D0DAA">
        <w:lastRenderedPageBreak/>
        <w:t xml:space="preserve">Table 9.1.8.2.1.4: Format of CES/P field within each DLMC EGPRS RLC block (EGPRS with </w:t>
      </w:r>
      <w:r w:rsidRPr="004D0DAA">
        <w:rPr>
          <w:rFonts w:hint="eastAsia"/>
          <w:lang w:eastAsia="ko-KR"/>
        </w:rPr>
        <w:t>FANR</w:t>
      </w:r>
      <w:r w:rsidRPr="004D0DAA">
        <w:rPr>
          <w:lang w:eastAsia="ko-KR"/>
        </w:rPr>
        <w:t xml:space="preserve"> activated and EGPRS2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1"/>
        <w:gridCol w:w="7755"/>
        <w:tblGridChange w:id="420">
          <w:tblGrid>
            <w:gridCol w:w="1101"/>
            <w:gridCol w:w="7755"/>
          </w:tblGrid>
        </w:tblGridChange>
      </w:tblGrid>
      <w:tr w:rsidR="00711444" w:rsidRPr="004D0DAA" w14:paraId="4959ACD8" w14:textId="77777777" w:rsidTr="00AA2A4C">
        <w:tblPrEx>
          <w:tblCellMar>
            <w:top w:w="0" w:type="dxa"/>
            <w:bottom w:w="0" w:type="dxa"/>
          </w:tblCellMar>
        </w:tblPrEx>
        <w:trPr>
          <w:jc w:val="center"/>
        </w:trPr>
        <w:tc>
          <w:tcPr>
            <w:tcW w:w="1101" w:type="dxa"/>
          </w:tcPr>
          <w:p w14:paraId="0C30DCA4" w14:textId="77777777" w:rsidR="00711444" w:rsidRPr="004D0DAA" w:rsidRDefault="00711444" w:rsidP="00AA2A4C">
            <w:pPr>
              <w:pStyle w:val="TAH"/>
              <w:rPr>
                <w:lang w:eastAsia="en-US"/>
              </w:rPr>
            </w:pPr>
            <w:r w:rsidRPr="004D0DAA">
              <w:rPr>
                <w:lang w:eastAsia="en-US"/>
              </w:rPr>
              <w:t>CES/P</w:t>
            </w:r>
          </w:p>
        </w:tc>
        <w:tc>
          <w:tcPr>
            <w:tcW w:w="7755" w:type="dxa"/>
          </w:tcPr>
          <w:p w14:paraId="498D35E7" w14:textId="77777777" w:rsidR="00711444" w:rsidRPr="004D0DAA" w:rsidRDefault="00711444" w:rsidP="00AA2A4C">
            <w:pPr>
              <w:pStyle w:val="TAH"/>
              <w:rPr>
                <w:lang w:eastAsia="en-US"/>
              </w:rPr>
            </w:pPr>
            <w:r w:rsidRPr="004D0DAA">
              <w:rPr>
                <w:lang w:eastAsia="en-US"/>
              </w:rPr>
              <w:t>Feedback Request (Poll) Description and Relative Reserved Block Period</w:t>
            </w:r>
          </w:p>
        </w:tc>
      </w:tr>
      <w:tr w:rsidR="00711444" w:rsidRPr="004D0DAA" w14:paraId="30C59727" w14:textId="77777777" w:rsidTr="00AA2A4C">
        <w:tblPrEx>
          <w:tblCellMar>
            <w:top w:w="0" w:type="dxa"/>
            <w:bottom w:w="0" w:type="dxa"/>
          </w:tblCellMar>
        </w:tblPrEx>
        <w:trPr>
          <w:jc w:val="center"/>
        </w:trPr>
        <w:tc>
          <w:tcPr>
            <w:tcW w:w="1101" w:type="dxa"/>
          </w:tcPr>
          <w:p w14:paraId="1048B0B7" w14:textId="77777777" w:rsidR="00711444" w:rsidRPr="004D0DAA" w:rsidRDefault="00711444" w:rsidP="00AA2A4C">
            <w:pPr>
              <w:pStyle w:val="TAC"/>
              <w:rPr>
                <w:lang w:eastAsia="en-US"/>
              </w:rPr>
            </w:pPr>
            <w:r w:rsidRPr="004D0DAA">
              <w:rPr>
                <w:lang w:eastAsia="en-US"/>
              </w:rPr>
              <w:t>00</w:t>
            </w:r>
          </w:p>
        </w:tc>
        <w:tc>
          <w:tcPr>
            <w:tcW w:w="7755" w:type="dxa"/>
          </w:tcPr>
          <w:p w14:paraId="4FB01294" w14:textId="77777777" w:rsidR="00711444" w:rsidRPr="004D0DAA" w:rsidRDefault="00711444" w:rsidP="00AA2A4C">
            <w:pPr>
              <w:pStyle w:val="TAL"/>
              <w:rPr>
                <w:lang w:eastAsia="en-US"/>
              </w:rPr>
            </w:pPr>
            <w:r w:rsidRPr="004D0DAA">
              <w:rPr>
                <w:lang w:eastAsia="en-US"/>
              </w:rPr>
              <w:t>Nothing</w:t>
            </w:r>
          </w:p>
        </w:tc>
      </w:tr>
      <w:tr w:rsidR="00711444" w:rsidRPr="004D0DAA" w14:paraId="5E9A5AA1" w14:textId="77777777" w:rsidTr="00AA2A4C">
        <w:tblPrEx>
          <w:tblCellMar>
            <w:top w:w="0" w:type="dxa"/>
            <w:bottom w:w="0" w:type="dxa"/>
          </w:tblCellMar>
        </w:tblPrEx>
        <w:trPr>
          <w:jc w:val="center"/>
        </w:trPr>
        <w:tc>
          <w:tcPr>
            <w:tcW w:w="1101" w:type="dxa"/>
          </w:tcPr>
          <w:p w14:paraId="27446F6A" w14:textId="77777777" w:rsidR="00711444" w:rsidRPr="004D0DAA" w:rsidRDefault="00711444" w:rsidP="00AA2A4C">
            <w:pPr>
              <w:pStyle w:val="TAC"/>
              <w:rPr>
                <w:lang w:eastAsia="en-US"/>
              </w:rPr>
            </w:pPr>
            <w:r w:rsidRPr="004D0DAA">
              <w:rPr>
                <w:lang w:eastAsia="en-US"/>
              </w:rPr>
              <w:t>01</w:t>
            </w:r>
          </w:p>
        </w:tc>
        <w:tc>
          <w:tcPr>
            <w:tcW w:w="7755" w:type="dxa"/>
          </w:tcPr>
          <w:p w14:paraId="0772EA7C" w14:textId="77777777" w:rsidR="00711444" w:rsidRPr="004D0DAA" w:rsidRDefault="00711444" w:rsidP="00AA2A4C">
            <w:pPr>
              <w:pStyle w:val="TAL"/>
              <w:rPr>
                <w:lang w:eastAsia="en-US"/>
              </w:rPr>
            </w:pPr>
            <w:r w:rsidRPr="004D0DAA">
              <w:rPr>
                <w:lang w:eastAsia="en-US"/>
              </w:rPr>
              <w:t>EGPRS PACKET DOWNLINK ACK/NACK DLMC message containing FPB, and if there is enough room left in the RLC/MAC block, channel quality report(s) within the radio period (N+8 or N+9) mod 2715648 in the BTTI configuration or (N+6 or N+7) mod 2715648 in the RTTI configuration</w:t>
            </w:r>
          </w:p>
        </w:tc>
      </w:tr>
      <w:tr w:rsidR="00711444" w:rsidRPr="004D0DAA" w14:paraId="32F2BBD0" w14:textId="77777777" w:rsidTr="00AA2A4C">
        <w:tblPrEx>
          <w:tblCellMar>
            <w:top w:w="0" w:type="dxa"/>
            <w:bottom w:w="0" w:type="dxa"/>
          </w:tblCellMar>
        </w:tblPrEx>
        <w:trPr>
          <w:jc w:val="center"/>
        </w:trPr>
        <w:tc>
          <w:tcPr>
            <w:tcW w:w="1101" w:type="dxa"/>
            <w:tcBorders>
              <w:bottom w:val="single" w:sz="4" w:space="0" w:color="auto"/>
            </w:tcBorders>
          </w:tcPr>
          <w:p w14:paraId="6293CC8B" w14:textId="77777777" w:rsidR="00711444" w:rsidRPr="004D0DAA" w:rsidRDefault="00711444" w:rsidP="00AA2A4C">
            <w:pPr>
              <w:pStyle w:val="TAC"/>
              <w:rPr>
                <w:lang w:eastAsia="en-US"/>
              </w:rPr>
            </w:pPr>
            <w:r w:rsidRPr="004D0DAA">
              <w:rPr>
                <w:lang w:eastAsia="en-US"/>
              </w:rPr>
              <w:t>10</w:t>
            </w:r>
          </w:p>
        </w:tc>
        <w:tc>
          <w:tcPr>
            <w:tcW w:w="7755" w:type="dxa"/>
            <w:tcBorders>
              <w:bottom w:val="single" w:sz="4" w:space="0" w:color="auto"/>
            </w:tcBorders>
          </w:tcPr>
          <w:p w14:paraId="5B1AEC93" w14:textId="77777777" w:rsidR="00711444" w:rsidRPr="004D0DAA" w:rsidRDefault="00711444" w:rsidP="00AA2A4C">
            <w:pPr>
              <w:pStyle w:val="TAL"/>
              <w:rPr>
                <w:lang w:eastAsia="en-US"/>
              </w:rPr>
            </w:pPr>
            <w:r w:rsidRPr="004D0DAA">
              <w:rPr>
                <w:lang w:eastAsia="en-US"/>
              </w:rPr>
              <w:t>EGPRS PACKET DOWNLINK ACK/NACK DLMC message containing Channel Quality Report(s) and if there is enough room left in the RLC/MAC block, NPB within the radio period (N+8 or N+9) mod 2715648 in the BTTI configuration or (N+6 or N+7) mod 2715648 in the RTTI configuration (NOTE 1)</w:t>
            </w:r>
          </w:p>
        </w:tc>
      </w:tr>
      <w:tr w:rsidR="00711444" w:rsidRPr="004D0DAA" w14:paraId="237C908B" w14:textId="77777777" w:rsidTr="00AA2A4C">
        <w:tblPrEx>
          <w:tblCellMar>
            <w:top w:w="0" w:type="dxa"/>
            <w:bottom w:w="0" w:type="dxa"/>
          </w:tblCellMar>
        </w:tblPrEx>
        <w:trPr>
          <w:jc w:val="center"/>
        </w:trPr>
        <w:tc>
          <w:tcPr>
            <w:tcW w:w="1101" w:type="dxa"/>
            <w:tcBorders>
              <w:bottom w:val="single" w:sz="4" w:space="0" w:color="auto"/>
            </w:tcBorders>
          </w:tcPr>
          <w:p w14:paraId="251BF06F" w14:textId="77777777" w:rsidR="00711444" w:rsidRPr="004D0DAA" w:rsidRDefault="00711444" w:rsidP="00AA2A4C">
            <w:pPr>
              <w:pStyle w:val="TAC"/>
              <w:rPr>
                <w:lang w:eastAsia="en-US"/>
              </w:rPr>
            </w:pPr>
            <w:r w:rsidRPr="004D0DAA">
              <w:rPr>
                <w:lang w:eastAsia="en-US"/>
              </w:rPr>
              <w:t>11</w:t>
            </w:r>
          </w:p>
        </w:tc>
        <w:tc>
          <w:tcPr>
            <w:tcW w:w="7755" w:type="dxa"/>
            <w:tcBorders>
              <w:bottom w:val="single" w:sz="4" w:space="0" w:color="auto"/>
            </w:tcBorders>
          </w:tcPr>
          <w:p w14:paraId="3BE38BF2" w14:textId="77777777" w:rsidR="00711444" w:rsidRPr="004D0DAA" w:rsidRDefault="00711444" w:rsidP="00AA2A4C">
            <w:pPr>
              <w:pStyle w:val="TAL"/>
              <w:rPr>
                <w:lang w:eastAsia="en-US"/>
              </w:rPr>
            </w:pPr>
            <w:r w:rsidRPr="004D0DAA">
              <w:rPr>
                <w:lang w:eastAsia="en-US"/>
              </w:rPr>
              <w:t>EGPRS RLC/MAC block for data transfer with a PAN field containing FPB within the radio period (N+8 or N+9) mod 2715648 in the BTTI configuration or (N+6 or N+7) mod 2715648 in the RTTI configuration (NOTE 2)</w:t>
            </w:r>
          </w:p>
        </w:tc>
      </w:tr>
      <w:tr w:rsidR="00711444" w:rsidRPr="004D0DAA" w14:paraId="145E8DDD" w14:textId="77777777" w:rsidTr="00AA2A4C">
        <w:tblPrEx>
          <w:tblCellMar>
            <w:top w:w="0" w:type="dxa"/>
            <w:bottom w:w="0" w:type="dxa"/>
          </w:tblCellMar>
        </w:tblPrEx>
        <w:trPr>
          <w:jc w:val="center"/>
        </w:trPr>
        <w:tc>
          <w:tcPr>
            <w:tcW w:w="8856" w:type="dxa"/>
            <w:gridSpan w:val="2"/>
            <w:tcBorders>
              <w:bottom w:val="single" w:sz="4" w:space="0" w:color="auto"/>
            </w:tcBorders>
          </w:tcPr>
          <w:p w14:paraId="7CC1DEDD" w14:textId="77777777" w:rsidR="00711444" w:rsidRPr="004D0DAA" w:rsidRDefault="00711444" w:rsidP="00AA2A4C">
            <w:pPr>
              <w:pStyle w:val="TAN"/>
              <w:rPr>
                <w:lang w:eastAsia="en-US"/>
              </w:rPr>
            </w:pPr>
            <w:r w:rsidRPr="004D0DAA">
              <w:rPr>
                <w:lang w:eastAsia="en-US"/>
              </w:rPr>
              <w:t>NOTE 1:</w:t>
            </w:r>
            <w:r w:rsidRPr="004D0DAA">
              <w:rPr>
                <w:lang w:eastAsia="en-US"/>
              </w:rPr>
              <w:tab/>
              <w:t xml:space="preserve">The mobile station shall not truncate the </w:t>
            </w:r>
            <w:r w:rsidRPr="004D0DAA">
              <w:rPr>
                <w:i/>
                <w:lang w:eastAsia="en-US"/>
              </w:rPr>
              <w:t>EGPRS Ack/Nack Description</w:t>
            </w:r>
            <w:r w:rsidRPr="004D0DAA">
              <w:rPr>
                <w:lang w:eastAsia="en-US"/>
              </w:rPr>
              <w:t xml:space="preserve"> IE in the EGPRS PACKET DOWNLINK ACK/NACK DLMC message (see sub-clause 11.2.48) that would contain a final Ack indicator set to '1'.</w:t>
            </w:r>
          </w:p>
          <w:p w14:paraId="348FB13B" w14:textId="77777777" w:rsidR="00711444" w:rsidRPr="004D0DAA" w:rsidRDefault="00711444" w:rsidP="00AA2A4C">
            <w:pPr>
              <w:pStyle w:val="TAN"/>
              <w:rPr>
                <w:lang w:eastAsia="en-US"/>
              </w:rPr>
            </w:pPr>
            <w:r w:rsidRPr="004D0DAA">
              <w:rPr>
                <w:lang w:eastAsia="en-US"/>
              </w:rPr>
              <w:t>NOTE 2:</w:t>
            </w:r>
            <w:r w:rsidRPr="004D0DAA">
              <w:rPr>
                <w:lang w:eastAsia="en-US"/>
              </w:rPr>
              <w:tab/>
              <w:t>The mobile station shall ignore the poll for PAN in the case when received for a TBF with FANR not activated.</w:t>
            </w:r>
          </w:p>
          <w:p w14:paraId="078F0279" w14:textId="77777777" w:rsidR="00711444" w:rsidRPr="004D0DAA" w:rsidRDefault="00711444" w:rsidP="00AA2A4C">
            <w:pPr>
              <w:pStyle w:val="TAN"/>
              <w:rPr>
                <w:lang w:eastAsia="en-US"/>
              </w:rPr>
            </w:pPr>
          </w:p>
        </w:tc>
      </w:tr>
    </w:tbl>
    <w:p w14:paraId="0A7509B7" w14:textId="77777777" w:rsidR="00711444" w:rsidRPr="004D0DAA" w:rsidRDefault="00711444" w:rsidP="00711444"/>
    <w:p w14:paraId="47026E52" w14:textId="77777777" w:rsidR="00711444" w:rsidRPr="004D0DAA" w:rsidRDefault="00711444" w:rsidP="00711444">
      <w:r w:rsidRPr="004D0DAA">
        <w:t>In a DLMC configuration, when the MS sends channel quality report information it shall use the value of the DLMC Measurement Type field (see sub-clause 11.2.7) within the most recently received assignment message as follows:</w:t>
      </w:r>
    </w:p>
    <w:p w14:paraId="434F2C83" w14:textId="77777777" w:rsidR="00711444" w:rsidRPr="004D0DAA" w:rsidRDefault="00B82821" w:rsidP="00B82821">
      <w:pPr>
        <w:pStyle w:val="B1"/>
      </w:pPr>
      <w:r>
        <w:t>-</w:t>
      </w:r>
      <w:r>
        <w:tab/>
      </w:r>
      <w:r w:rsidR="00711444" w:rsidRPr="004D0DAA">
        <w:t xml:space="preserve">If this field indicates measurement information is to be reported on a per UFPS basis the MS shall always include channel quality measurements for the UFPS corresponding to the radio frequency channel on which the poll was received. If there is room in the message (see sub-clause 11.2.48) the MS shall report additional higher numbered UFPS (if any) beginning with the next in sequence UFPS (see sub-clause 8.1.1.1.3 for the numbering of UFPS and 3GPP TS 45.008 [15] for how DLMC BEP Link Quality Measurements are reported on a per UFPS basis). </w:t>
      </w:r>
    </w:p>
    <w:p w14:paraId="4F6B6692" w14:textId="77777777" w:rsidR="00711444" w:rsidRPr="004D0DAA" w:rsidRDefault="00B82821" w:rsidP="00B82821">
      <w:pPr>
        <w:pStyle w:val="B1"/>
      </w:pPr>
      <w:r>
        <w:t>-</w:t>
      </w:r>
      <w:r>
        <w:tab/>
      </w:r>
      <w:r w:rsidR="00711444" w:rsidRPr="004D0DAA">
        <w:t xml:space="preserve">If this field indicates measurement information is to be reported on a per carrier basis the MS shall always include channel quality measurements for the carrier corresponding to the radio frequency channel on which the poll was received. If there is room in the message (see sub-clause 11.2.48) the MS shall report additional higher numbered carriers (if any) beginning with the next in sequence carrier (see sub-clause 8.1.1.1.3 for the numbering of downlink carriers in a DLMC configuration). </w:t>
      </w:r>
    </w:p>
    <w:p w14:paraId="664AC5BB" w14:textId="77777777" w:rsidR="00711444" w:rsidRPr="004D0DAA" w:rsidRDefault="00711444" w:rsidP="00711444">
      <w:r w:rsidRPr="004D0DAA">
        <w:t>For MBMS bearers, in case cell re-selection criteria are not fulfilled (see 3GPP TS 45.008):</w:t>
      </w:r>
    </w:p>
    <w:p w14:paraId="5D9076D7" w14:textId="77777777" w:rsidR="00711444" w:rsidRPr="004D0DAA" w:rsidRDefault="00711444" w:rsidP="00711444">
      <w:pPr>
        <w:pStyle w:val="B1"/>
      </w:pPr>
      <w:r w:rsidRPr="004D0DAA">
        <w:t>-</w:t>
      </w:r>
      <w:r w:rsidRPr="004D0DAA">
        <w:tab/>
        <w:t xml:space="preserve">If the ES/P field is set to ‘11’ the mobile station shall include measurement reports for at least three neighbouring cells in addition to the NPB. If the complete NPB is included, the mobile station shall include measurement results for more neighbouring cells, if there is sufficient space; </w:t>
      </w:r>
    </w:p>
    <w:p w14:paraId="0A2C0321" w14:textId="77777777" w:rsidR="00711444" w:rsidRPr="004D0DAA" w:rsidRDefault="00711444" w:rsidP="00711444">
      <w:pPr>
        <w:pStyle w:val="B1"/>
      </w:pPr>
      <w:r w:rsidRPr="004D0DAA">
        <w:t>-</w:t>
      </w:r>
      <w:r w:rsidRPr="004D0DAA">
        <w:tab/>
        <w:t>Else (i.e. the ES/P field is set to ‘01’ or ‘10’) the mobile station shall send as much of either the FPB or NPB (as specified in Table 9.1.8.2.1.2) as possible and, if the entire FPB/NPB is sent, measurement reports for as many neighbouring cells as can also be included.</w:t>
      </w:r>
    </w:p>
    <w:p w14:paraId="5580C77A" w14:textId="77777777" w:rsidR="00711444" w:rsidRPr="004D0DAA" w:rsidRDefault="00711444" w:rsidP="00711444">
      <w:r w:rsidRPr="004D0DAA">
        <w:t>For MBMS bearers, in case cell re-selection criteria are fulfilled towards a neighbouring cell (see 3GPP TS 45.008), the mobile station if polled shall include in the MBMS DOWNLINK ACK/NACK message the measurement report only for that cell and as much of either the First Partial Bitmap (FPB) or Next Partial Bitmap (NPB) (as specified in Table 9.1.8.2.1.2) as possible.</w:t>
      </w:r>
    </w:p>
    <w:p w14:paraId="48717FE4" w14:textId="77777777" w:rsidR="00711444" w:rsidRPr="004D0DAA" w:rsidRDefault="00711444" w:rsidP="00711444">
      <w:pPr>
        <w:pStyle w:val="Heading5"/>
      </w:pPr>
      <w:bookmarkStart w:id="421" w:name="_Toc516669606"/>
      <w:r w:rsidRPr="004D0DAA">
        <w:t>9.1.8.2.2</w:t>
      </w:r>
      <w:r w:rsidRPr="004D0DAA">
        <w:tab/>
        <w:t>Determination of SSN</w:t>
      </w:r>
      <w:bookmarkEnd w:id="421"/>
    </w:p>
    <w:p w14:paraId="45442F3C" w14:textId="77777777" w:rsidR="00711444" w:rsidRPr="004D0DAA" w:rsidRDefault="00711444" w:rsidP="00711444">
      <w:pPr>
        <w:keepLines/>
      </w:pPr>
      <w:r w:rsidRPr="004D0DAA">
        <w:t xml:space="preserve">If the receiving side is the network, the network may select any SSN within the receive window. If the receiving side is the mobile station, SSN shall be determined as follows: Let PBSN represent a Partial Bitmap Sequence Number variable stored at the receiver which helps to determine the Starting Sequence Number (SSN) for the next partial bitmap to be transmitted. Based on PBSN, V(Q) and the ES/P field set by the network, SSN and PBSN shall be determined according to table 9.1.8.2.2.1. </w:t>
      </w:r>
      <w:r w:rsidRPr="004D0DAA">
        <w:rPr>
          <w:rFonts w:hint="eastAsia"/>
          <w:lang w:eastAsia="ko-KR"/>
        </w:rPr>
        <w:t xml:space="preserve">For </w:t>
      </w:r>
      <w:r w:rsidRPr="004D0DAA">
        <w:rPr>
          <w:lang w:eastAsia="ko-KR"/>
        </w:rPr>
        <w:t xml:space="preserve">EGPRS when </w:t>
      </w:r>
      <w:r w:rsidRPr="004D0DAA">
        <w:rPr>
          <w:rFonts w:hint="eastAsia"/>
          <w:lang w:eastAsia="ko-KR"/>
        </w:rPr>
        <w:t>FANR</w:t>
      </w:r>
      <w:r w:rsidRPr="004D0DAA">
        <w:rPr>
          <w:lang w:eastAsia="ko-KR"/>
        </w:rPr>
        <w:t xml:space="preserve"> is activated and for EGPRS2</w:t>
      </w:r>
      <w:r w:rsidRPr="004D0DAA">
        <w:t>, SSN and PBSN shall be determined based on PBSN, V(Q) and CES/P fields according to table 9.1.8.2.2.2 and 9.1.8.2.2.3.</w:t>
      </w:r>
    </w:p>
    <w:p w14:paraId="63D4EFBB" w14:textId="77777777" w:rsidR="00711444" w:rsidRPr="004D0DAA" w:rsidRDefault="00711444" w:rsidP="00711444">
      <w:pPr>
        <w:pStyle w:val="TH"/>
      </w:pPr>
      <w:r w:rsidRPr="004D0DAA">
        <w:lastRenderedPageBreak/>
        <w:t>Table 9.1.8.2.2.1: Determination of SSN as a function of ES/P, V(Q) and PBSN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76"/>
        <w:gridCol w:w="709"/>
        <w:gridCol w:w="6599"/>
      </w:tblGrid>
      <w:tr w:rsidR="00711444" w:rsidRPr="004D0DAA" w14:paraId="7C2B87CE" w14:textId="77777777" w:rsidTr="00AA2A4C">
        <w:tblPrEx>
          <w:tblCellMar>
            <w:top w:w="0" w:type="dxa"/>
            <w:bottom w:w="0" w:type="dxa"/>
          </w:tblCellMar>
        </w:tblPrEx>
        <w:trPr>
          <w:jc w:val="center"/>
        </w:trPr>
        <w:tc>
          <w:tcPr>
            <w:tcW w:w="2376" w:type="dxa"/>
          </w:tcPr>
          <w:p w14:paraId="7AFDB817" w14:textId="77777777" w:rsidR="00711444" w:rsidRPr="004D0DAA" w:rsidRDefault="00711444" w:rsidP="00AA2A4C">
            <w:pPr>
              <w:pStyle w:val="TAH"/>
              <w:rPr>
                <w:lang w:eastAsia="en-US"/>
              </w:rPr>
            </w:pPr>
            <w:r w:rsidRPr="004D0DAA">
              <w:rPr>
                <w:lang w:eastAsia="en-US"/>
              </w:rPr>
              <w:t>Full bitmap</w:t>
            </w:r>
            <w:r w:rsidRPr="004D0DAA">
              <w:rPr>
                <w:lang w:eastAsia="en-US"/>
              </w:rPr>
              <w:br/>
              <w:t>(compressed or not)</w:t>
            </w:r>
          </w:p>
        </w:tc>
        <w:tc>
          <w:tcPr>
            <w:tcW w:w="709" w:type="dxa"/>
          </w:tcPr>
          <w:p w14:paraId="728C3E6B" w14:textId="77777777" w:rsidR="00711444" w:rsidRPr="004D0DAA" w:rsidRDefault="00711444" w:rsidP="00AA2A4C">
            <w:pPr>
              <w:pStyle w:val="TAH"/>
              <w:rPr>
                <w:lang w:eastAsia="en-US"/>
              </w:rPr>
            </w:pPr>
            <w:r w:rsidRPr="004D0DAA">
              <w:rPr>
                <w:lang w:eastAsia="en-US"/>
              </w:rPr>
              <w:t>ES/P</w:t>
            </w:r>
          </w:p>
        </w:tc>
        <w:tc>
          <w:tcPr>
            <w:tcW w:w="6599" w:type="dxa"/>
          </w:tcPr>
          <w:p w14:paraId="094376A7" w14:textId="77777777" w:rsidR="00711444" w:rsidRPr="004D0DAA" w:rsidRDefault="00711444" w:rsidP="00AA2A4C">
            <w:pPr>
              <w:pStyle w:val="TAH"/>
              <w:rPr>
                <w:lang w:eastAsia="en-US"/>
              </w:rPr>
            </w:pPr>
            <w:r w:rsidRPr="004D0DAA">
              <w:rPr>
                <w:lang w:eastAsia="en-US"/>
              </w:rPr>
              <w:t>Determination of SSN</w:t>
            </w:r>
          </w:p>
        </w:tc>
      </w:tr>
      <w:tr w:rsidR="00711444" w:rsidRPr="004D0DAA" w14:paraId="744B0176" w14:textId="77777777" w:rsidTr="00AA2A4C">
        <w:tblPrEx>
          <w:tblCellMar>
            <w:top w:w="0" w:type="dxa"/>
            <w:bottom w:w="0" w:type="dxa"/>
          </w:tblCellMar>
        </w:tblPrEx>
        <w:trPr>
          <w:jc w:val="center"/>
        </w:trPr>
        <w:tc>
          <w:tcPr>
            <w:tcW w:w="2376" w:type="dxa"/>
          </w:tcPr>
          <w:p w14:paraId="2D05F14F" w14:textId="77777777" w:rsidR="00711444" w:rsidRPr="004D0DAA" w:rsidRDefault="00711444" w:rsidP="00AA2A4C">
            <w:pPr>
              <w:pStyle w:val="TAC"/>
              <w:rPr>
                <w:lang w:eastAsia="en-US"/>
              </w:rPr>
            </w:pPr>
            <w:r w:rsidRPr="004D0DAA">
              <w:rPr>
                <w:lang w:eastAsia="en-US"/>
              </w:rPr>
              <w:t>-</w:t>
            </w:r>
          </w:p>
        </w:tc>
        <w:tc>
          <w:tcPr>
            <w:tcW w:w="709" w:type="dxa"/>
          </w:tcPr>
          <w:p w14:paraId="580726C2" w14:textId="77777777" w:rsidR="00711444" w:rsidRPr="004D0DAA" w:rsidRDefault="00711444" w:rsidP="00AA2A4C">
            <w:pPr>
              <w:pStyle w:val="TAC"/>
              <w:rPr>
                <w:lang w:eastAsia="en-US"/>
              </w:rPr>
            </w:pPr>
            <w:r w:rsidRPr="004D0DAA">
              <w:rPr>
                <w:lang w:eastAsia="en-US"/>
              </w:rPr>
              <w:t>00</w:t>
            </w:r>
          </w:p>
        </w:tc>
        <w:tc>
          <w:tcPr>
            <w:tcW w:w="6599" w:type="dxa"/>
          </w:tcPr>
          <w:p w14:paraId="2566D01F" w14:textId="77777777" w:rsidR="00711444" w:rsidRPr="004D0DAA" w:rsidRDefault="00711444" w:rsidP="00AA2A4C">
            <w:pPr>
              <w:pStyle w:val="TAL"/>
              <w:rPr>
                <w:lang w:eastAsia="en-US"/>
              </w:rPr>
            </w:pPr>
            <w:r w:rsidRPr="004D0DAA">
              <w:rPr>
                <w:lang w:eastAsia="en-US"/>
              </w:rPr>
              <w:t>-</w:t>
            </w:r>
          </w:p>
        </w:tc>
      </w:tr>
      <w:tr w:rsidR="00711444" w:rsidRPr="004D0DAA" w14:paraId="7931C0DC" w14:textId="77777777" w:rsidTr="00AA2A4C">
        <w:tblPrEx>
          <w:tblCellMar>
            <w:top w:w="0" w:type="dxa"/>
            <w:bottom w:w="0" w:type="dxa"/>
          </w:tblCellMar>
        </w:tblPrEx>
        <w:trPr>
          <w:jc w:val="center"/>
        </w:trPr>
        <w:tc>
          <w:tcPr>
            <w:tcW w:w="2376" w:type="dxa"/>
            <w:tcBorders>
              <w:bottom w:val="nil"/>
            </w:tcBorders>
          </w:tcPr>
          <w:p w14:paraId="7C8401A7" w14:textId="77777777" w:rsidR="00711444" w:rsidRPr="004D0DAA" w:rsidRDefault="00711444" w:rsidP="00AA2A4C">
            <w:pPr>
              <w:pStyle w:val="TAC"/>
              <w:rPr>
                <w:lang w:eastAsia="en-US"/>
              </w:rPr>
            </w:pPr>
            <w:r w:rsidRPr="004D0DAA">
              <w:rPr>
                <w:lang w:eastAsia="en-US"/>
              </w:rPr>
              <w:t>fits in available space</w:t>
            </w:r>
          </w:p>
        </w:tc>
        <w:tc>
          <w:tcPr>
            <w:tcW w:w="709" w:type="dxa"/>
          </w:tcPr>
          <w:p w14:paraId="6F40522F" w14:textId="77777777" w:rsidR="00711444" w:rsidRPr="004D0DAA" w:rsidRDefault="00711444" w:rsidP="00AA2A4C">
            <w:pPr>
              <w:pStyle w:val="TAC"/>
              <w:rPr>
                <w:lang w:eastAsia="en-US"/>
              </w:rPr>
            </w:pPr>
            <w:r w:rsidRPr="004D0DAA">
              <w:rPr>
                <w:lang w:eastAsia="en-US"/>
              </w:rPr>
              <w:t>01,</w:t>
            </w:r>
            <w:r w:rsidRPr="004D0DAA">
              <w:rPr>
                <w:lang w:eastAsia="en-US"/>
              </w:rPr>
              <w:br/>
              <w:t>10,</w:t>
            </w:r>
            <w:r w:rsidRPr="004D0DAA">
              <w:rPr>
                <w:lang w:eastAsia="en-US"/>
              </w:rPr>
              <w:br/>
              <w:t>11</w:t>
            </w:r>
          </w:p>
        </w:tc>
        <w:tc>
          <w:tcPr>
            <w:tcW w:w="6599" w:type="dxa"/>
          </w:tcPr>
          <w:p w14:paraId="119DD248"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p>
          <w:p w14:paraId="6E98DBB6" w14:textId="77777777" w:rsidR="00711444" w:rsidRPr="004D0DAA" w:rsidRDefault="00711444" w:rsidP="00AA2A4C">
            <w:pPr>
              <w:pStyle w:val="TAL"/>
              <w:rPr>
                <w:lang w:eastAsia="en-US"/>
              </w:rPr>
            </w:pPr>
            <w:r w:rsidRPr="004D0DAA">
              <w:rPr>
                <w:lang w:eastAsia="en-US"/>
              </w:rPr>
              <w:t>set</w:t>
            </w:r>
            <w:r w:rsidRPr="004D0DAA">
              <w:rPr>
                <w:i/>
                <w:lang w:eastAsia="en-US"/>
              </w:rPr>
              <w:t xml:space="preserve"> </w:t>
            </w:r>
            <w:r w:rsidRPr="004D0DAA">
              <w:rPr>
                <w:lang w:eastAsia="en-US"/>
              </w:rPr>
              <w:t>PBSN = V(Q).</w:t>
            </w:r>
          </w:p>
        </w:tc>
      </w:tr>
      <w:tr w:rsidR="00711444" w:rsidRPr="004D0DAA" w14:paraId="0570D35B" w14:textId="77777777" w:rsidTr="00AA2A4C">
        <w:tblPrEx>
          <w:tblCellMar>
            <w:top w:w="0" w:type="dxa"/>
            <w:bottom w:w="0" w:type="dxa"/>
          </w:tblCellMar>
        </w:tblPrEx>
        <w:trPr>
          <w:jc w:val="center"/>
        </w:trPr>
        <w:tc>
          <w:tcPr>
            <w:tcW w:w="2376" w:type="dxa"/>
            <w:tcBorders>
              <w:bottom w:val="nil"/>
            </w:tcBorders>
          </w:tcPr>
          <w:p w14:paraId="04C0BFEC" w14:textId="77777777" w:rsidR="00711444" w:rsidRPr="004D0DAA" w:rsidRDefault="00711444" w:rsidP="00AA2A4C">
            <w:pPr>
              <w:pStyle w:val="TAC"/>
              <w:rPr>
                <w:lang w:eastAsia="en-US"/>
              </w:rPr>
            </w:pPr>
            <w:r w:rsidRPr="004D0DAA">
              <w:rPr>
                <w:lang w:eastAsia="en-US"/>
              </w:rPr>
              <w:t>does not fit in available space</w:t>
            </w:r>
          </w:p>
        </w:tc>
        <w:tc>
          <w:tcPr>
            <w:tcW w:w="709" w:type="dxa"/>
          </w:tcPr>
          <w:p w14:paraId="718F67EB" w14:textId="77777777" w:rsidR="00711444" w:rsidRPr="004D0DAA" w:rsidRDefault="00711444" w:rsidP="00AA2A4C">
            <w:pPr>
              <w:pStyle w:val="TAC"/>
              <w:rPr>
                <w:lang w:eastAsia="en-US"/>
              </w:rPr>
            </w:pPr>
            <w:r w:rsidRPr="004D0DAA">
              <w:rPr>
                <w:lang w:eastAsia="en-US"/>
              </w:rPr>
              <w:t>01</w:t>
            </w:r>
          </w:p>
        </w:tc>
        <w:tc>
          <w:tcPr>
            <w:tcW w:w="6599" w:type="dxa"/>
          </w:tcPr>
          <w:p w14:paraId="2592A280"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r w:rsidRPr="004D0DAA">
              <w:rPr>
                <w:lang w:eastAsia="en-US"/>
              </w:rPr>
              <w:br/>
              <w:t>set PBSN = last sequence number for which Ack/Nack</w:t>
            </w:r>
            <w:r w:rsidRPr="004D0DAA">
              <w:rPr>
                <w:i/>
                <w:lang w:eastAsia="en-US"/>
              </w:rPr>
              <w:t xml:space="preserve"> </w:t>
            </w:r>
            <w:r w:rsidRPr="004D0DAA">
              <w:rPr>
                <w:lang w:eastAsia="en-US"/>
              </w:rPr>
              <w:t>status can be indicated in available space in EGPRS PACKET DOWNLINK ACK/NACK or EGPRS PACKET DOWNLINK ACK/NACK TYPE 2 or EGPRS PACKET DOWNLINK ACK/NACK TYPE 3 or EGPRS PACKET DOWNLINK ACK/NACK DLMC or MBMS DOWNLINK ACK/NACK message.</w:t>
            </w:r>
          </w:p>
        </w:tc>
      </w:tr>
      <w:tr w:rsidR="00711444" w:rsidRPr="004D0DAA" w14:paraId="6D45D6EC" w14:textId="77777777" w:rsidTr="00AA2A4C">
        <w:tblPrEx>
          <w:tblCellMar>
            <w:top w:w="0" w:type="dxa"/>
            <w:bottom w:w="0" w:type="dxa"/>
          </w:tblCellMar>
        </w:tblPrEx>
        <w:trPr>
          <w:jc w:val="center"/>
        </w:trPr>
        <w:tc>
          <w:tcPr>
            <w:tcW w:w="2376" w:type="dxa"/>
            <w:tcBorders>
              <w:top w:val="nil"/>
            </w:tcBorders>
          </w:tcPr>
          <w:p w14:paraId="54690F24" w14:textId="77777777" w:rsidR="00711444" w:rsidRPr="004D0DAA" w:rsidRDefault="00711444" w:rsidP="00AA2A4C"/>
        </w:tc>
        <w:tc>
          <w:tcPr>
            <w:tcW w:w="709" w:type="dxa"/>
          </w:tcPr>
          <w:p w14:paraId="5D76C40C" w14:textId="77777777" w:rsidR="00711444" w:rsidRPr="004D0DAA" w:rsidRDefault="00711444" w:rsidP="00AA2A4C">
            <w:pPr>
              <w:pStyle w:val="TAC"/>
              <w:rPr>
                <w:lang w:eastAsia="en-US"/>
              </w:rPr>
            </w:pPr>
            <w:r w:rsidRPr="004D0DAA">
              <w:rPr>
                <w:lang w:eastAsia="en-US"/>
              </w:rPr>
              <w:t>10,</w:t>
            </w:r>
            <w:r w:rsidRPr="004D0DAA">
              <w:rPr>
                <w:lang w:eastAsia="en-US"/>
              </w:rPr>
              <w:br/>
              <w:t>11</w:t>
            </w:r>
          </w:p>
        </w:tc>
        <w:tc>
          <w:tcPr>
            <w:tcW w:w="6599" w:type="dxa"/>
          </w:tcPr>
          <w:p w14:paraId="304BF6BF" w14:textId="77777777" w:rsidR="00711444" w:rsidRPr="004D0DAA" w:rsidRDefault="00711444" w:rsidP="00AA2A4C">
            <w:pPr>
              <w:pStyle w:val="TAL"/>
              <w:rPr>
                <w:lang w:eastAsia="en-US"/>
              </w:rPr>
            </w:pPr>
            <w:r w:rsidRPr="004D0DAA">
              <w:rPr>
                <w:lang w:eastAsia="en-US"/>
              </w:rPr>
              <w:t>If (PBSN+1)modulo SNS =</w:t>
            </w:r>
            <w:r w:rsidRPr="004D0DAA">
              <w:rPr>
                <w:i/>
                <w:lang w:eastAsia="en-US"/>
              </w:rPr>
              <w:t xml:space="preserve">V(Q) </w:t>
            </w:r>
            <w:r w:rsidRPr="004D0DAA">
              <w:rPr>
                <w:lang w:eastAsia="en-US"/>
              </w:rPr>
              <w:t>or (PBSN+1) modulo SNS lies outside the receiver windowset SSN = (</w:t>
            </w:r>
            <w:r w:rsidRPr="004D0DAA">
              <w:rPr>
                <w:i/>
                <w:lang w:eastAsia="en-US"/>
              </w:rPr>
              <w:t>V(Q)</w:t>
            </w:r>
            <w:r w:rsidRPr="004D0DAA">
              <w:rPr>
                <w:lang w:eastAsia="en-US"/>
              </w:rPr>
              <w:t xml:space="preserve">+1) modulo SNS, </w:t>
            </w:r>
            <w:r w:rsidRPr="004D0DAA">
              <w:rPr>
                <w:lang w:eastAsia="en-US"/>
              </w:rPr>
              <w:br/>
              <w:t xml:space="preserve">else </w:t>
            </w:r>
            <w:r w:rsidRPr="004D0DAA">
              <w:rPr>
                <w:lang w:eastAsia="en-US"/>
              </w:rPr>
              <w:br/>
              <w:t>set SSN = (PBSN+1) modulo SNS and</w:t>
            </w:r>
            <w:r w:rsidRPr="004D0DAA">
              <w:rPr>
                <w:lang w:eastAsia="en-US"/>
              </w:rPr>
              <w:br/>
              <w:t>set PBSN = last sequence number for which Ack/Nack</w:t>
            </w:r>
            <w:r w:rsidRPr="004D0DAA">
              <w:rPr>
                <w:i/>
                <w:lang w:eastAsia="en-US"/>
              </w:rPr>
              <w:t xml:space="preserve"> </w:t>
            </w:r>
            <w:r w:rsidRPr="004D0DAA">
              <w:rPr>
                <w:lang w:eastAsia="en-US"/>
              </w:rPr>
              <w:t>status can be indicated in available space in EGPRS PACKET DOWNLINK ACK/NACK or EGPRS PACKET DOWNLINK ACK/NACK TYPE 2 or EGPRS PACKET DOWNLINK ACK/NACK TYPE 3 or EGPRS PACKET DOWNLINK ACK/NACK DLMC or MBMS DOWNLINK ACK/NACK message.</w:t>
            </w:r>
          </w:p>
        </w:tc>
      </w:tr>
    </w:tbl>
    <w:p w14:paraId="2B531E43" w14:textId="77777777" w:rsidR="00711444" w:rsidRPr="004D0DAA" w:rsidRDefault="00711444" w:rsidP="00711444"/>
    <w:p w14:paraId="2EBCB400" w14:textId="77777777" w:rsidR="00711444" w:rsidRPr="004D0DAA" w:rsidRDefault="00711444" w:rsidP="00711444">
      <w:pPr>
        <w:pStyle w:val="TH"/>
      </w:pPr>
      <w:r w:rsidRPr="004D0DAA">
        <w:t>Table 9.1.8.2.2.2: Determination of SSN as a function of CES/P, V(Q) and PBSN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76"/>
        <w:gridCol w:w="766"/>
        <w:gridCol w:w="6542"/>
      </w:tblGrid>
      <w:tr w:rsidR="00711444" w:rsidRPr="004D0DAA" w14:paraId="4094DB08" w14:textId="77777777" w:rsidTr="00AA2A4C">
        <w:tblPrEx>
          <w:tblCellMar>
            <w:top w:w="0" w:type="dxa"/>
            <w:bottom w:w="0" w:type="dxa"/>
          </w:tblCellMar>
        </w:tblPrEx>
        <w:trPr>
          <w:jc w:val="center"/>
        </w:trPr>
        <w:tc>
          <w:tcPr>
            <w:tcW w:w="2376" w:type="dxa"/>
          </w:tcPr>
          <w:p w14:paraId="18523EAA" w14:textId="77777777" w:rsidR="00711444" w:rsidRPr="004D0DAA" w:rsidRDefault="00711444" w:rsidP="00AA2A4C">
            <w:pPr>
              <w:pStyle w:val="TAH"/>
              <w:rPr>
                <w:lang w:eastAsia="en-US"/>
              </w:rPr>
            </w:pPr>
            <w:r w:rsidRPr="004D0DAA">
              <w:rPr>
                <w:lang w:eastAsia="en-US"/>
              </w:rPr>
              <w:t>Full bitmap</w:t>
            </w:r>
            <w:r w:rsidRPr="004D0DAA">
              <w:rPr>
                <w:lang w:eastAsia="en-US"/>
              </w:rPr>
              <w:br/>
              <w:t>(compressed or not)</w:t>
            </w:r>
          </w:p>
        </w:tc>
        <w:tc>
          <w:tcPr>
            <w:tcW w:w="766" w:type="dxa"/>
          </w:tcPr>
          <w:p w14:paraId="263AD15B" w14:textId="77777777" w:rsidR="00711444" w:rsidRPr="004D0DAA" w:rsidRDefault="00711444" w:rsidP="00AA2A4C">
            <w:pPr>
              <w:pStyle w:val="TAH"/>
              <w:rPr>
                <w:lang w:eastAsia="en-US"/>
              </w:rPr>
            </w:pPr>
            <w:r w:rsidRPr="004D0DAA">
              <w:rPr>
                <w:lang w:eastAsia="en-US"/>
              </w:rPr>
              <w:t>CES/P</w:t>
            </w:r>
          </w:p>
        </w:tc>
        <w:tc>
          <w:tcPr>
            <w:tcW w:w="6542" w:type="dxa"/>
          </w:tcPr>
          <w:p w14:paraId="397E627B" w14:textId="77777777" w:rsidR="00711444" w:rsidRPr="004D0DAA" w:rsidRDefault="00711444" w:rsidP="00AA2A4C">
            <w:pPr>
              <w:pStyle w:val="TAH"/>
              <w:rPr>
                <w:lang w:eastAsia="en-US"/>
              </w:rPr>
            </w:pPr>
            <w:r w:rsidRPr="004D0DAA">
              <w:rPr>
                <w:lang w:eastAsia="en-US"/>
              </w:rPr>
              <w:t>Determination of SSN</w:t>
            </w:r>
          </w:p>
        </w:tc>
      </w:tr>
      <w:tr w:rsidR="00711444" w:rsidRPr="004D0DAA" w14:paraId="4DF10733" w14:textId="77777777" w:rsidTr="00AA2A4C">
        <w:tblPrEx>
          <w:tblCellMar>
            <w:top w:w="0" w:type="dxa"/>
            <w:bottom w:w="0" w:type="dxa"/>
          </w:tblCellMar>
        </w:tblPrEx>
        <w:trPr>
          <w:jc w:val="center"/>
        </w:trPr>
        <w:tc>
          <w:tcPr>
            <w:tcW w:w="2376" w:type="dxa"/>
          </w:tcPr>
          <w:p w14:paraId="29A38D49" w14:textId="77777777" w:rsidR="00711444" w:rsidRPr="004D0DAA" w:rsidRDefault="00711444" w:rsidP="00AA2A4C">
            <w:pPr>
              <w:pStyle w:val="TAC"/>
              <w:rPr>
                <w:lang w:eastAsia="en-US"/>
              </w:rPr>
            </w:pPr>
            <w:r w:rsidRPr="004D0DAA">
              <w:rPr>
                <w:lang w:eastAsia="en-US"/>
              </w:rPr>
              <w:t>-</w:t>
            </w:r>
          </w:p>
        </w:tc>
        <w:tc>
          <w:tcPr>
            <w:tcW w:w="766" w:type="dxa"/>
          </w:tcPr>
          <w:p w14:paraId="026FF906" w14:textId="77777777" w:rsidR="00711444" w:rsidRPr="004D0DAA" w:rsidRDefault="00711444" w:rsidP="00AA2A4C">
            <w:pPr>
              <w:pStyle w:val="TAC"/>
              <w:rPr>
                <w:lang w:eastAsia="en-US"/>
              </w:rPr>
            </w:pPr>
            <w:r w:rsidRPr="004D0DAA">
              <w:rPr>
                <w:lang w:eastAsia="en-US"/>
              </w:rPr>
              <w:t>000</w:t>
            </w:r>
          </w:p>
        </w:tc>
        <w:tc>
          <w:tcPr>
            <w:tcW w:w="6542" w:type="dxa"/>
          </w:tcPr>
          <w:p w14:paraId="1CB103F1" w14:textId="77777777" w:rsidR="00711444" w:rsidRPr="004D0DAA" w:rsidRDefault="00711444" w:rsidP="00AA2A4C">
            <w:pPr>
              <w:pStyle w:val="TAL"/>
              <w:rPr>
                <w:lang w:eastAsia="en-US"/>
              </w:rPr>
            </w:pPr>
            <w:r w:rsidRPr="004D0DAA">
              <w:rPr>
                <w:lang w:eastAsia="en-US"/>
              </w:rPr>
              <w:t>-</w:t>
            </w:r>
          </w:p>
        </w:tc>
      </w:tr>
      <w:tr w:rsidR="00711444" w:rsidRPr="004D0DAA" w14:paraId="0498E6DA" w14:textId="77777777" w:rsidTr="00AA2A4C">
        <w:tblPrEx>
          <w:tblCellMar>
            <w:top w:w="0" w:type="dxa"/>
            <w:bottom w:w="0" w:type="dxa"/>
          </w:tblCellMar>
        </w:tblPrEx>
        <w:trPr>
          <w:jc w:val="center"/>
        </w:trPr>
        <w:tc>
          <w:tcPr>
            <w:tcW w:w="2376" w:type="dxa"/>
            <w:tcBorders>
              <w:bottom w:val="nil"/>
            </w:tcBorders>
          </w:tcPr>
          <w:p w14:paraId="32AE076B" w14:textId="77777777" w:rsidR="00711444" w:rsidRPr="004D0DAA" w:rsidRDefault="00711444" w:rsidP="00AA2A4C">
            <w:pPr>
              <w:pStyle w:val="TAC"/>
              <w:rPr>
                <w:lang w:eastAsia="en-US"/>
              </w:rPr>
            </w:pPr>
            <w:r w:rsidRPr="004D0DAA">
              <w:rPr>
                <w:lang w:eastAsia="en-US"/>
              </w:rPr>
              <w:t>fits in available space</w:t>
            </w:r>
          </w:p>
        </w:tc>
        <w:tc>
          <w:tcPr>
            <w:tcW w:w="766" w:type="dxa"/>
          </w:tcPr>
          <w:p w14:paraId="595F702E" w14:textId="77777777" w:rsidR="00711444" w:rsidRPr="004D0DAA" w:rsidRDefault="00711444" w:rsidP="00AA2A4C">
            <w:pPr>
              <w:pStyle w:val="TAC"/>
              <w:rPr>
                <w:lang w:eastAsia="en-US"/>
              </w:rPr>
            </w:pPr>
            <w:r w:rsidRPr="004D0DAA">
              <w:rPr>
                <w:lang w:eastAsia="en-US"/>
              </w:rPr>
              <w:t>001,</w:t>
            </w:r>
            <w:r w:rsidRPr="004D0DAA">
              <w:rPr>
                <w:lang w:eastAsia="en-US"/>
              </w:rPr>
              <w:br/>
              <w:t>010,</w:t>
            </w:r>
            <w:r w:rsidRPr="004D0DAA">
              <w:rPr>
                <w:lang w:eastAsia="en-US"/>
              </w:rPr>
              <w:br/>
              <w:t>101,</w:t>
            </w:r>
            <w:r w:rsidRPr="004D0DAA">
              <w:rPr>
                <w:lang w:eastAsia="en-US"/>
              </w:rPr>
              <w:br/>
              <w:t>110,</w:t>
            </w:r>
            <w:r w:rsidRPr="004D0DAA">
              <w:rPr>
                <w:lang w:eastAsia="en-US"/>
              </w:rPr>
              <w:br/>
              <w:t>111</w:t>
            </w:r>
          </w:p>
        </w:tc>
        <w:tc>
          <w:tcPr>
            <w:tcW w:w="6542" w:type="dxa"/>
          </w:tcPr>
          <w:p w14:paraId="3D5F8C86"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p>
          <w:p w14:paraId="159EB52B" w14:textId="77777777" w:rsidR="00711444" w:rsidRPr="004D0DAA" w:rsidRDefault="00711444" w:rsidP="00AA2A4C">
            <w:pPr>
              <w:pStyle w:val="TAL"/>
              <w:rPr>
                <w:lang w:eastAsia="en-US"/>
              </w:rPr>
            </w:pPr>
            <w:r w:rsidRPr="004D0DAA">
              <w:rPr>
                <w:lang w:eastAsia="en-US"/>
              </w:rPr>
              <w:t>set</w:t>
            </w:r>
            <w:r w:rsidRPr="004D0DAA">
              <w:rPr>
                <w:i/>
                <w:lang w:eastAsia="en-US"/>
              </w:rPr>
              <w:t xml:space="preserve"> </w:t>
            </w:r>
            <w:r w:rsidRPr="004D0DAA">
              <w:rPr>
                <w:lang w:eastAsia="en-US"/>
              </w:rPr>
              <w:t>PBSN = V(Q).</w:t>
            </w:r>
          </w:p>
        </w:tc>
      </w:tr>
      <w:tr w:rsidR="00711444" w:rsidRPr="004D0DAA" w14:paraId="4FA781AB" w14:textId="77777777" w:rsidTr="00AA2A4C">
        <w:tblPrEx>
          <w:tblCellMar>
            <w:top w:w="0" w:type="dxa"/>
            <w:bottom w:w="0" w:type="dxa"/>
          </w:tblCellMar>
        </w:tblPrEx>
        <w:trPr>
          <w:jc w:val="center"/>
        </w:trPr>
        <w:tc>
          <w:tcPr>
            <w:tcW w:w="2376" w:type="dxa"/>
            <w:tcBorders>
              <w:bottom w:val="nil"/>
            </w:tcBorders>
          </w:tcPr>
          <w:p w14:paraId="78DCDD75" w14:textId="77777777" w:rsidR="00711444" w:rsidRPr="004D0DAA" w:rsidRDefault="00711444" w:rsidP="00AA2A4C">
            <w:pPr>
              <w:pStyle w:val="TAC"/>
              <w:rPr>
                <w:lang w:eastAsia="en-US"/>
              </w:rPr>
            </w:pPr>
            <w:r w:rsidRPr="004D0DAA">
              <w:rPr>
                <w:lang w:eastAsia="en-US"/>
              </w:rPr>
              <w:t>does not fit in available space</w:t>
            </w:r>
          </w:p>
        </w:tc>
        <w:tc>
          <w:tcPr>
            <w:tcW w:w="766" w:type="dxa"/>
          </w:tcPr>
          <w:p w14:paraId="4C28CE69" w14:textId="77777777" w:rsidR="00711444" w:rsidRPr="004D0DAA" w:rsidRDefault="00711444" w:rsidP="00AA2A4C">
            <w:pPr>
              <w:pStyle w:val="TAC"/>
              <w:rPr>
                <w:lang w:eastAsia="en-US"/>
              </w:rPr>
            </w:pPr>
            <w:r w:rsidRPr="004D0DAA">
              <w:rPr>
                <w:lang w:eastAsia="en-US"/>
              </w:rPr>
              <w:t>001,</w:t>
            </w:r>
            <w:r w:rsidRPr="004D0DAA">
              <w:rPr>
                <w:lang w:eastAsia="en-US"/>
              </w:rPr>
              <w:br/>
              <w:t>010</w:t>
            </w:r>
          </w:p>
        </w:tc>
        <w:tc>
          <w:tcPr>
            <w:tcW w:w="6542" w:type="dxa"/>
          </w:tcPr>
          <w:p w14:paraId="54836431"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r w:rsidRPr="004D0DAA">
              <w:rPr>
                <w:lang w:eastAsia="en-US"/>
              </w:rPr>
              <w:br/>
              <w:t>set PBSN = last sequence number for which Ack/Nack</w:t>
            </w:r>
            <w:r w:rsidRPr="004D0DAA">
              <w:rPr>
                <w:i/>
                <w:lang w:eastAsia="en-US"/>
              </w:rPr>
              <w:t xml:space="preserve"> </w:t>
            </w:r>
            <w:r w:rsidRPr="004D0DAA">
              <w:rPr>
                <w:lang w:eastAsia="en-US"/>
              </w:rPr>
              <w:t>status can be indicated in available space in EGPRS PACKET DOWNLINK ACK/NACK or EGPRS PACKET DOWNLINK ACK/NACK TYPE 2 or EGPRS PACKET DOWNLINK ACK/NACK TYPE 3 or MBMS DOWNLINK ACK/NACK message.</w:t>
            </w:r>
          </w:p>
        </w:tc>
      </w:tr>
      <w:tr w:rsidR="00711444" w:rsidRPr="004D0DAA" w14:paraId="1DE343F2" w14:textId="77777777" w:rsidTr="00AA2A4C">
        <w:tblPrEx>
          <w:tblCellMar>
            <w:top w:w="0" w:type="dxa"/>
            <w:bottom w:w="0" w:type="dxa"/>
          </w:tblCellMar>
        </w:tblPrEx>
        <w:trPr>
          <w:jc w:val="center"/>
        </w:trPr>
        <w:tc>
          <w:tcPr>
            <w:tcW w:w="2376" w:type="dxa"/>
            <w:tcBorders>
              <w:top w:val="nil"/>
              <w:bottom w:val="single" w:sz="6" w:space="0" w:color="auto"/>
            </w:tcBorders>
          </w:tcPr>
          <w:p w14:paraId="68265D1A" w14:textId="77777777" w:rsidR="00711444" w:rsidRPr="004D0DAA" w:rsidRDefault="00711444" w:rsidP="00AA2A4C"/>
        </w:tc>
        <w:tc>
          <w:tcPr>
            <w:tcW w:w="766" w:type="dxa"/>
            <w:tcBorders>
              <w:bottom w:val="single" w:sz="6" w:space="0" w:color="auto"/>
            </w:tcBorders>
          </w:tcPr>
          <w:p w14:paraId="22CEA270" w14:textId="77777777" w:rsidR="00711444" w:rsidRPr="004D0DAA" w:rsidRDefault="00711444" w:rsidP="00AA2A4C">
            <w:pPr>
              <w:pStyle w:val="TAC"/>
              <w:rPr>
                <w:lang w:eastAsia="en-US"/>
              </w:rPr>
            </w:pPr>
            <w:r w:rsidRPr="004D0DAA">
              <w:rPr>
                <w:lang w:eastAsia="en-US"/>
              </w:rPr>
              <w:t>101,</w:t>
            </w:r>
            <w:r w:rsidRPr="004D0DAA">
              <w:rPr>
                <w:lang w:eastAsia="en-US"/>
              </w:rPr>
              <w:br/>
              <w:t>110,</w:t>
            </w:r>
            <w:r w:rsidRPr="004D0DAA">
              <w:rPr>
                <w:lang w:eastAsia="en-US"/>
              </w:rPr>
              <w:br/>
              <w:t>111</w:t>
            </w:r>
          </w:p>
        </w:tc>
        <w:tc>
          <w:tcPr>
            <w:tcW w:w="6542" w:type="dxa"/>
            <w:tcBorders>
              <w:bottom w:val="single" w:sz="6" w:space="0" w:color="auto"/>
            </w:tcBorders>
          </w:tcPr>
          <w:p w14:paraId="6C3A5D0E" w14:textId="77777777" w:rsidR="00711444" w:rsidRPr="004D0DAA" w:rsidRDefault="00711444" w:rsidP="00AA2A4C">
            <w:pPr>
              <w:pStyle w:val="TAL"/>
              <w:rPr>
                <w:lang w:eastAsia="en-US"/>
              </w:rPr>
            </w:pPr>
            <w:r w:rsidRPr="004D0DAA">
              <w:rPr>
                <w:lang w:eastAsia="en-US"/>
              </w:rPr>
              <w:t>If (PBSN+1)modulo SNS =</w:t>
            </w:r>
            <w:r w:rsidRPr="004D0DAA">
              <w:rPr>
                <w:i/>
                <w:lang w:eastAsia="en-US"/>
              </w:rPr>
              <w:t xml:space="preserve">V(Q) </w:t>
            </w:r>
            <w:r w:rsidRPr="004D0DAA">
              <w:rPr>
                <w:lang w:eastAsia="en-US"/>
              </w:rPr>
              <w:t>or (PBSN+1) modulo SNS lies outside the receiver windowset SSN = (</w:t>
            </w:r>
            <w:r w:rsidRPr="004D0DAA">
              <w:rPr>
                <w:i/>
                <w:lang w:eastAsia="en-US"/>
              </w:rPr>
              <w:t>V(Q)</w:t>
            </w:r>
            <w:r w:rsidRPr="004D0DAA">
              <w:rPr>
                <w:lang w:eastAsia="en-US"/>
              </w:rPr>
              <w:t xml:space="preserve">+1) modulo SNS, </w:t>
            </w:r>
            <w:r w:rsidRPr="004D0DAA">
              <w:rPr>
                <w:lang w:eastAsia="en-US"/>
              </w:rPr>
              <w:br/>
              <w:t xml:space="preserve">else </w:t>
            </w:r>
            <w:r w:rsidRPr="004D0DAA">
              <w:rPr>
                <w:lang w:eastAsia="en-US"/>
              </w:rPr>
              <w:br/>
              <w:t>set SSN = (PBSN+1) modulo SNS and</w:t>
            </w:r>
            <w:r w:rsidRPr="004D0DAA">
              <w:rPr>
                <w:lang w:eastAsia="en-US"/>
              </w:rPr>
              <w:br/>
              <w:t>set PBSN = last sequence number for which Ack/Nack</w:t>
            </w:r>
            <w:r w:rsidRPr="004D0DAA">
              <w:rPr>
                <w:i/>
                <w:lang w:eastAsia="en-US"/>
              </w:rPr>
              <w:t xml:space="preserve"> </w:t>
            </w:r>
            <w:r w:rsidRPr="004D0DAA">
              <w:rPr>
                <w:lang w:eastAsia="en-US"/>
              </w:rPr>
              <w:t xml:space="preserve">status can be indicated in available space in EGPRS PACKET DOWNLINK ACK/NACK or EGPRS PACKET DOWNLINK ACK/NACK TYPE 2 or EGPRS PACKET DOWNLINK ACK/NACK TYPE 3 or MBMS DOWNLINK ACK/NACK message. </w:t>
            </w:r>
          </w:p>
          <w:p w14:paraId="1610CF09" w14:textId="77777777" w:rsidR="00711444" w:rsidRPr="004D0DAA" w:rsidRDefault="00711444" w:rsidP="00AA2A4C">
            <w:pPr>
              <w:pStyle w:val="TAL"/>
              <w:rPr>
                <w:lang w:eastAsia="en-US"/>
              </w:rPr>
            </w:pPr>
            <w:r w:rsidRPr="004D0DAA">
              <w:rPr>
                <w:lang w:eastAsia="en-US"/>
              </w:rPr>
              <w:t>(see Note)</w:t>
            </w:r>
          </w:p>
        </w:tc>
      </w:tr>
      <w:tr w:rsidR="00711444" w:rsidRPr="004D0DAA" w14:paraId="7D39C6B6" w14:textId="77777777" w:rsidTr="00AA2A4C">
        <w:tblPrEx>
          <w:tblCellMar>
            <w:top w:w="0" w:type="dxa"/>
            <w:bottom w:w="0" w:type="dxa"/>
          </w:tblCellMar>
        </w:tblPrEx>
        <w:trPr>
          <w:jc w:val="center"/>
        </w:trPr>
        <w:tc>
          <w:tcPr>
            <w:tcW w:w="9684" w:type="dxa"/>
            <w:gridSpan w:val="3"/>
            <w:tcBorders>
              <w:top w:val="single" w:sz="6" w:space="0" w:color="auto"/>
            </w:tcBorders>
          </w:tcPr>
          <w:p w14:paraId="32B24CD1" w14:textId="77777777" w:rsidR="00711444" w:rsidRPr="004D0DAA" w:rsidRDefault="00711444" w:rsidP="00AA2A4C">
            <w:pPr>
              <w:pStyle w:val="TAN"/>
              <w:rPr>
                <w:lang w:eastAsia="en-US"/>
              </w:rPr>
            </w:pPr>
            <w:r w:rsidRPr="004D0DAA">
              <w:rPr>
                <w:lang w:eastAsia="en-US"/>
              </w:rPr>
              <w:t xml:space="preserve">NOTE: </w:t>
            </w:r>
            <w:r w:rsidRPr="004D0DAA">
              <w:rPr>
                <w:lang w:eastAsia="en-US"/>
              </w:rPr>
              <w:tab/>
            </w:r>
            <w:r w:rsidRPr="004D0DAA">
              <w:rPr>
                <w:rFonts w:hint="eastAsia"/>
                <w:lang w:eastAsia="ko-KR"/>
              </w:rPr>
              <w:t>For a TBF</w:t>
            </w:r>
            <w:r w:rsidRPr="004D0DAA">
              <w:rPr>
                <w:lang w:eastAsia="ko-KR"/>
              </w:rPr>
              <w:t xml:space="preserve"> with </w:t>
            </w:r>
            <w:r w:rsidRPr="004D0DAA">
              <w:rPr>
                <w:rFonts w:hint="eastAsia"/>
                <w:lang w:eastAsia="ko-KR"/>
              </w:rPr>
              <w:t>FANR</w:t>
            </w:r>
            <w:r w:rsidRPr="004D0DAA">
              <w:rPr>
                <w:lang w:eastAsia="ko-KR"/>
              </w:rPr>
              <w:t xml:space="preserve"> activated</w:t>
            </w:r>
            <w:r w:rsidRPr="004D0DAA">
              <w:rPr>
                <w:lang w:eastAsia="en-US"/>
              </w:rPr>
              <w:t>, the CES/P combinations ‘011’ and ‘100’ mean the mobile station is polled for a PAN (see sub-clause 10.4.4b). If the mobile station responds to the poll by transmitting an EGPRS RLC/MAC block for data transfer with a PAN field included (see sub-clause 8.1.2.2), SSN is determined as specified in sub-clause 9.1.8.2.2a. For a TBF with FANR not activated, the CES/P combinations ‘011’ and ‘100’ shall be ignored by the mobile station.</w:t>
            </w:r>
          </w:p>
        </w:tc>
      </w:tr>
    </w:tbl>
    <w:p w14:paraId="2C893DB0" w14:textId="77777777" w:rsidR="00711444" w:rsidRPr="004D0DAA" w:rsidRDefault="00711444" w:rsidP="00711444"/>
    <w:p w14:paraId="28104F4C" w14:textId="77777777" w:rsidR="00711444" w:rsidRPr="004D0DAA" w:rsidRDefault="00711444" w:rsidP="00711444">
      <w:pPr>
        <w:pStyle w:val="TH"/>
      </w:pPr>
      <w:r w:rsidRPr="004D0DAA">
        <w:lastRenderedPageBreak/>
        <w:t>Table 9.1.8.2.2.3: Determination of SSN as a function of CES/P, V(Q) and PBSN (DLMC configuration using an SNS of 8192)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3"/>
        <w:gridCol w:w="900"/>
        <w:gridCol w:w="6421"/>
        <w:tblGridChange w:id="422">
          <w:tblGrid>
            <w:gridCol w:w="1463"/>
            <w:gridCol w:w="900"/>
            <w:gridCol w:w="6421"/>
          </w:tblGrid>
        </w:tblGridChange>
      </w:tblGrid>
      <w:tr w:rsidR="00711444" w:rsidRPr="004D0DAA" w14:paraId="1678483A" w14:textId="77777777" w:rsidTr="00AA2A4C">
        <w:tblPrEx>
          <w:tblCellMar>
            <w:top w:w="0" w:type="dxa"/>
            <w:bottom w:w="0" w:type="dxa"/>
          </w:tblCellMar>
        </w:tblPrEx>
        <w:trPr>
          <w:jc w:val="center"/>
        </w:trPr>
        <w:tc>
          <w:tcPr>
            <w:tcW w:w="1463" w:type="dxa"/>
          </w:tcPr>
          <w:p w14:paraId="14BEDF98" w14:textId="77777777" w:rsidR="00711444" w:rsidRPr="004D0DAA" w:rsidRDefault="00711444" w:rsidP="00AA2A4C">
            <w:pPr>
              <w:pStyle w:val="TAH"/>
              <w:rPr>
                <w:lang w:eastAsia="en-US"/>
              </w:rPr>
            </w:pPr>
            <w:r w:rsidRPr="004D0DAA">
              <w:rPr>
                <w:lang w:eastAsia="en-US"/>
              </w:rPr>
              <w:t>Full bitmap</w:t>
            </w:r>
            <w:r w:rsidRPr="004D0DAA">
              <w:rPr>
                <w:lang w:eastAsia="en-US"/>
              </w:rPr>
              <w:br/>
              <w:t>(compressed or not)</w:t>
            </w:r>
          </w:p>
        </w:tc>
        <w:tc>
          <w:tcPr>
            <w:tcW w:w="900" w:type="dxa"/>
          </w:tcPr>
          <w:p w14:paraId="79947A8B" w14:textId="77777777" w:rsidR="00711444" w:rsidRPr="004D0DAA" w:rsidRDefault="00711444" w:rsidP="00AA2A4C">
            <w:pPr>
              <w:pStyle w:val="TAH"/>
              <w:rPr>
                <w:lang w:eastAsia="en-US"/>
              </w:rPr>
            </w:pPr>
            <w:r w:rsidRPr="004D0DAA">
              <w:rPr>
                <w:lang w:eastAsia="en-US"/>
              </w:rPr>
              <w:t xml:space="preserve">CES/P </w:t>
            </w:r>
          </w:p>
        </w:tc>
        <w:tc>
          <w:tcPr>
            <w:tcW w:w="6421" w:type="dxa"/>
          </w:tcPr>
          <w:p w14:paraId="502E2CC4" w14:textId="77777777" w:rsidR="00711444" w:rsidRPr="004D0DAA" w:rsidRDefault="00711444" w:rsidP="00AA2A4C">
            <w:pPr>
              <w:pStyle w:val="TAH"/>
              <w:rPr>
                <w:lang w:eastAsia="en-US"/>
              </w:rPr>
            </w:pPr>
            <w:r w:rsidRPr="004D0DAA">
              <w:rPr>
                <w:lang w:eastAsia="en-US"/>
              </w:rPr>
              <w:t>Determination of SSN</w:t>
            </w:r>
          </w:p>
        </w:tc>
      </w:tr>
      <w:tr w:rsidR="00711444" w:rsidRPr="004D0DAA" w14:paraId="25866825" w14:textId="77777777" w:rsidTr="00AA2A4C">
        <w:tblPrEx>
          <w:tblCellMar>
            <w:top w:w="0" w:type="dxa"/>
            <w:bottom w:w="0" w:type="dxa"/>
          </w:tblCellMar>
        </w:tblPrEx>
        <w:trPr>
          <w:jc w:val="center"/>
        </w:trPr>
        <w:tc>
          <w:tcPr>
            <w:tcW w:w="1463" w:type="dxa"/>
          </w:tcPr>
          <w:p w14:paraId="1F779790" w14:textId="77777777" w:rsidR="00711444" w:rsidRPr="004D0DAA" w:rsidRDefault="00711444" w:rsidP="00AA2A4C">
            <w:pPr>
              <w:pStyle w:val="TAC"/>
              <w:rPr>
                <w:lang w:eastAsia="en-US"/>
              </w:rPr>
            </w:pPr>
            <w:r w:rsidRPr="004D0DAA">
              <w:rPr>
                <w:lang w:eastAsia="en-US"/>
              </w:rPr>
              <w:t>-</w:t>
            </w:r>
          </w:p>
        </w:tc>
        <w:tc>
          <w:tcPr>
            <w:tcW w:w="900" w:type="dxa"/>
          </w:tcPr>
          <w:p w14:paraId="49FE3585" w14:textId="77777777" w:rsidR="00711444" w:rsidRPr="004D0DAA" w:rsidRDefault="00711444" w:rsidP="00AA2A4C">
            <w:pPr>
              <w:pStyle w:val="TAC"/>
              <w:rPr>
                <w:lang w:eastAsia="en-US"/>
              </w:rPr>
            </w:pPr>
            <w:r w:rsidRPr="004D0DAA">
              <w:rPr>
                <w:lang w:eastAsia="en-US"/>
              </w:rPr>
              <w:t>00</w:t>
            </w:r>
          </w:p>
        </w:tc>
        <w:tc>
          <w:tcPr>
            <w:tcW w:w="6421" w:type="dxa"/>
          </w:tcPr>
          <w:p w14:paraId="385810B9" w14:textId="77777777" w:rsidR="00711444" w:rsidRPr="004D0DAA" w:rsidRDefault="00711444" w:rsidP="00AA2A4C">
            <w:pPr>
              <w:pStyle w:val="TAL"/>
              <w:rPr>
                <w:lang w:eastAsia="en-US"/>
              </w:rPr>
            </w:pPr>
            <w:r w:rsidRPr="004D0DAA">
              <w:rPr>
                <w:lang w:eastAsia="en-US"/>
              </w:rPr>
              <w:t>-</w:t>
            </w:r>
          </w:p>
        </w:tc>
      </w:tr>
      <w:tr w:rsidR="00711444" w:rsidRPr="004D0DAA" w14:paraId="64D43CC0" w14:textId="77777777" w:rsidTr="00AA2A4C">
        <w:tblPrEx>
          <w:tblCellMar>
            <w:top w:w="0" w:type="dxa"/>
            <w:bottom w:w="0" w:type="dxa"/>
          </w:tblCellMar>
        </w:tblPrEx>
        <w:trPr>
          <w:jc w:val="center"/>
        </w:trPr>
        <w:tc>
          <w:tcPr>
            <w:tcW w:w="1463" w:type="dxa"/>
            <w:tcBorders>
              <w:bottom w:val="nil"/>
            </w:tcBorders>
          </w:tcPr>
          <w:p w14:paraId="30560C3D" w14:textId="77777777" w:rsidR="00711444" w:rsidRPr="004D0DAA" w:rsidRDefault="00711444" w:rsidP="00AA2A4C">
            <w:pPr>
              <w:pStyle w:val="TAC"/>
              <w:rPr>
                <w:lang w:eastAsia="en-US"/>
              </w:rPr>
            </w:pPr>
            <w:r w:rsidRPr="004D0DAA">
              <w:rPr>
                <w:lang w:eastAsia="en-US"/>
              </w:rPr>
              <w:t>fits in available space</w:t>
            </w:r>
          </w:p>
        </w:tc>
        <w:tc>
          <w:tcPr>
            <w:tcW w:w="900" w:type="dxa"/>
          </w:tcPr>
          <w:p w14:paraId="70204DDC" w14:textId="77777777" w:rsidR="00711444" w:rsidRPr="004D0DAA" w:rsidRDefault="00711444" w:rsidP="00AA2A4C">
            <w:pPr>
              <w:pStyle w:val="TAC"/>
              <w:rPr>
                <w:lang w:eastAsia="en-US"/>
              </w:rPr>
            </w:pPr>
            <w:r w:rsidRPr="004D0DAA">
              <w:rPr>
                <w:lang w:eastAsia="en-US"/>
              </w:rPr>
              <w:t>01,   10</w:t>
            </w:r>
          </w:p>
        </w:tc>
        <w:tc>
          <w:tcPr>
            <w:tcW w:w="6421" w:type="dxa"/>
          </w:tcPr>
          <w:p w14:paraId="2257D8A0"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p>
          <w:p w14:paraId="1F1E3497" w14:textId="77777777" w:rsidR="00711444" w:rsidRPr="004D0DAA" w:rsidRDefault="00711444" w:rsidP="00AA2A4C">
            <w:pPr>
              <w:pStyle w:val="TAL"/>
              <w:rPr>
                <w:lang w:eastAsia="en-US"/>
              </w:rPr>
            </w:pPr>
            <w:r w:rsidRPr="004D0DAA">
              <w:rPr>
                <w:lang w:eastAsia="en-US"/>
              </w:rPr>
              <w:t>set</w:t>
            </w:r>
            <w:r w:rsidRPr="004D0DAA">
              <w:rPr>
                <w:i/>
                <w:lang w:eastAsia="en-US"/>
              </w:rPr>
              <w:t xml:space="preserve"> </w:t>
            </w:r>
            <w:r w:rsidRPr="004D0DAA">
              <w:rPr>
                <w:lang w:eastAsia="en-US"/>
              </w:rPr>
              <w:t>PBSN = V(Q).</w:t>
            </w:r>
          </w:p>
        </w:tc>
      </w:tr>
      <w:tr w:rsidR="00711444" w:rsidRPr="004D0DAA" w14:paraId="087221DE" w14:textId="77777777" w:rsidTr="00AA2A4C">
        <w:tblPrEx>
          <w:tblCellMar>
            <w:top w:w="0" w:type="dxa"/>
            <w:bottom w:w="0" w:type="dxa"/>
          </w:tblCellMar>
        </w:tblPrEx>
        <w:trPr>
          <w:jc w:val="center"/>
        </w:trPr>
        <w:tc>
          <w:tcPr>
            <w:tcW w:w="1463" w:type="dxa"/>
            <w:tcBorders>
              <w:bottom w:val="nil"/>
            </w:tcBorders>
          </w:tcPr>
          <w:p w14:paraId="3D2B7EEC" w14:textId="77777777" w:rsidR="00711444" w:rsidRPr="004D0DAA" w:rsidRDefault="00711444" w:rsidP="00AA2A4C">
            <w:pPr>
              <w:pStyle w:val="TAC"/>
              <w:rPr>
                <w:lang w:eastAsia="en-US"/>
              </w:rPr>
            </w:pPr>
            <w:r w:rsidRPr="004D0DAA">
              <w:rPr>
                <w:lang w:eastAsia="en-US"/>
              </w:rPr>
              <w:t>does not fit in available space</w:t>
            </w:r>
          </w:p>
        </w:tc>
        <w:tc>
          <w:tcPr>
            <w:tcW w:w="900" w:type="dxa"/>
          </w:tcPr>
          <w:p w14:paraId="48B0F029" w14:textId="77777777" w:rsidR="00711444" w:rsidRPr="004D0DAA" w:rsidRDefault="00711444" w:rsidP="00AA2A4C">
            <w:pPr>
              <w:pStyle w:val="TAC"/>
              <w:rPr>
                <w:lang w:eastAsia="en-US"/>
              </w:rPr>
            </w:pPr>
            <w:r w:rsidRPr="004D0DAA">
              <w:rPr>
                <w:lang w:eastAsia="en-US"/>
              </w:rPr>
              <w:t>01</w:t>
            </w:r>
          </w:p>
        </w:tc>
        <w:tc>
          <w:tcPr>
            <w:tcW w:w="6421" w:type="dxa"/>
          </w:tcPr>
          <w:p w14:paraId="46FA3939" w14:textId="77777777" w:rsidR="00711444" w:rsidRPr="004D0DAA" w:rsidRDefault="00711444" w:rsidP="00AA2A4C">
            <w:pPr>
              <w:pStyle w:val="TAL"/>
              <w:rPr>
                <w:lang w:eastAsia="en-US"/>
              </w:rPr>
            </w:pPr>
            <w:r w:rsidRPr="004D0DAA">
              <w:rPr>
                <w:lang w:eastAsia="en-US"/>
              </w:rPr>
              <w:t>Set SSN = (</w:t>
            </w:r>
            <w:r w:rsidRPr="004D0DAA">
              <w:rPr>
                <w:i/>
                <w:lang w:eastAsia="en-US"/>
              </w:rPr>
              <w:t>V(Q)</w:t>
            </w:r>
            <w:r w:rsidRPr="004D0DAA">
              <w:rPr>
                <w:lang w:eastAsia="en-US"/>
              </w:rPr>
              <w:t>+1) modulo SNS,</w:t>
            </w:r>
            <w:r w:rsidRPr="004D0DAA">
              <w:rPr>
                <w:lang w:eastAsia="en-US"/>
              </w:rPr>
              <w:br/>
              <w:t>set PBSN = last sequence number for which Ack/Nack</w:t>
            </w:r>
            <w:r w:rsidRPr="004D0DAA">
              <w:rPr>
                <w:i/>
                <w:lang w:eastAsia="en-US"/>
              </w:rPr>
              <w:t xml:space="preserve"> </w:t>
            </w:r>
            <w:r w:rsidRPr="004D0DAA">
              <w:rPr>
                <w:lang w:eastAsia="en-US"/>
              </w:rPr>
              <w:t>status can be indicated in available space in EGPRS PACKET DOWNLINK ACK/NACK DLMC message.</w:t>
            </w:r>
          </w:p>
        </w:tc>
      </w:tr>
      <w:tr w:rsidR="00711444" w:rsidRPr="004D0DAA" w14:paraId="473F6E3B" w14:textId="77777777" w:rsidTr="00AA2A4C">
        <w:tblPrEx>
          <w:tblCellMar>
            <w:top w:w="0" w:type="dxa"/>
            <w:bottom w:w="0" w:type="dxa"/>
          </w:tblCellMar>
        </w:tblPrEx>
        <w:trPr>
          <w:jc w:val="center"/>
        </w:trPr>
        <w:tc>
          <w:tcPr>
            <w:tcW w:w="1463" w:type="dxa"/>
            <w:tcBorders>
              <w:top w:val="nil"/>
              <w:bottom w:val="single" w:sz="4" w:space="0" w:color="auto"/>
            </w:tcBorders>
          </w:tcPr>
          <w:p w14:paraId="1D89F32E" w14:textId="77777777" w:rsidR="00711444" w:rsidRPr="004D0DAA" w:rsidRDefault="00711444" w:rsidP="00AA2A4C"/>
        </w:tc>
        <w:tc>
          <w:tcPr>
            <w:tcW w:w="900" w:type="dxa"/>
          </w:tcPr>
          <w:p w14:paraId="5042E1A9" w14:textId="77777777" w:rsidR="00711444" w:rsidRPr="004D0DAA" w:rsidRDefault="00711444" w:rsidP="00AA2A4C">
            <w:pPr>
              <w:pStyle w:val="TAC"/>
              <w:rPr>
                <w:lang w:eastAsia="en-US"/>
              </w:rPr>
            </w:pPr>
            <w:r w:rsidRPr="004D0DAA">
              <w:rPr>
                <w:lang w:eastAsia="en-US"/>
              </w:rPr>
              <w:t>10</w:t>
            </w:r>
          </w:p>
        </w:tc>
        <w:tc>
          <w:tcPr>
            <w:tcW w:w="6421" w:type="dxa"/>
          </w:tcPr>
          <w:p w14:paraId="30D7E1D8" w14:textId="77777777" w:rsidR="00711444" w:rsidRPr="004D0DAA" w:rsidRDefault="00711444" w:rsidP="00AA2A4C">
            <w:pPr>
              <w:pStyle w:val="TAL"/>
              <w:rPr>
                <w:lang w:eastAsia="en-US"/>
              </w:rPr>
            </w:pPr>
            <w:r w:rsidRPr="004D0DAA">
              <w:rPr>
                <w:lang w:eastAsia="en-US"/>
              </w:rPr>
              <w:t>If (PBSN+1)modulo SNS =</w:t>
            </w:r>
            <w:r w:rsidRPr="004D0DAA">
              <w:rPr>
                <w:i/>
                <w:lang w:eastAsia="en-US"/>
              </w:rPr>
              <w:t xml:space="preserve">V(Q) </w:t>
            </w:r>
            <w:r w:rsidRPr="004D0DAA">
              <w:rPr>
                <w:lang w:eastAsia="en-US"/>
              </w:rPr>
              <w:t>or (PBSN+1) modulo SNS lies outside the receiver window set SSN = (</w:t>
            </w:r>
            <w:r w:rsidRPr="004D0DAA">
              <w:rPr>
                <w:i/>
                <w:lang w:eastAsia="en-US"/>
              </w:rPr>
              <w:t>V(Q)</w:t>
            </w:r>
            <w:r w:rsidRPr="004D0DAA">
              <w:rPr>
                <w:lang w:eastAsia="en-US"/>
              </w:rPr>
              <w:t xml:space="preserve">+1) modulo SNS, </w:t>
            </w:r>
            <w:r w:rsidRPr="004D0DAA">
              <w:rPr>
                <w:lang w:eastAsia="en-US"/>
              </w:rPr>
              <w:br/>
              <w:t xml:space="preserve">else </w:t>
            </w:r>
            <w:r w:rsidRPr="004D0DAA">
              <w:rPr>
                <w:lang w:eastAsia="en-US"/>
              </w:rPr>
              <w:br/>
              <w:t>set SSN = (PBSN+1) modulo SNS and</w:t>
            </w:r>
            <w:r w:rsidRPr="004D0DAA">
              <w:rPr>
                <w:lang w:eastAsia="en-US"/>
              </w:rPr>
              <w:br/>
              <w:t>set PBSN = last sequence number for which Ack/Nack</w:t>
            </w:r>
            <w:r w:rsidRPr="004D0DAA">
              <w:rPr>
                <w:i/>
                <w:lang w:eastAsia="en-US"/>
              </w:rPr>
              <w:t xml:space="preserve"> </w:t>
            </w:r>
            <w:r w:rsidRPr="004D0DAA">
              <w:rPr>
                <w:lang w:eastAsia="en-US"/>
              </w:rPr>
              <w:t xml:space="preserve">status can be indicated in available space in EGPRS PACKET DOWNLINK ACK/NACK DLMC. </w:t>
            </w:r>
          </w:p>
          <w:p w14:paraId="64FFDFF4" w14:textId="77777777" w:rsidR="00711444" w:rsidRPr="004D0DAA" w:rsidRDefault="00711444" w:rsidP="00AA2A4C">
            <w:pPr>
              <w:pStyle w:val="TAL"/>
              <w:rPr>
                <w:lang w:eastAsia="en-US"/>
              </w:rPr>
            </w:pPr>
            <w:r w:rsidRPr="004D0DAA">
              <w:rPr>
                <w:lang w:eastAsia="en-US"/>
              </w:rPr>
              <w:t>(see NOTE 1)</w:t>
            </w:r>
          </w:p>
        </w:tc>
      </w:tr>
      <w:tr w:rsidR="00711444" w:rsidRPr="004D0DAA" w14:paraId="694E9907" w14:textId="77777777" w:rsidTr="00AA2A4C">
        <w:tblPrEx>
          <w:tblCellMar>
            <w:top w:w="0" w:type="dxa"/>
            <w:bottom w:w="0" w:type="dxa"/>
          </w:tblCellMar>
        </w:tblPrEx>
        <w:trPr>
          <w:jc w:val="center"/>
        </w:trPr>
        <w:tc>
          <w:tcPr>
            <w:tcW w:w="8784" w:type="dxa"/>
            <w:gridSpan w:val="3"/>
            <w:tcBorders>
              <w:top w:val="single" w:sz="4" w:space="0" w:color="auto"/>
              <w:bottom w:val="single" w:sz="6" w:space="0" w:color="auto"/>
            </w:tcBorders>
          </w:tcPr>
          <w:p w14:paraId="6774980F" w14:textId="77777777" w:rsidR="00711444" w:rsidRPr="004D0DAA" w:rsidRDefault="00711444" w:rsidP="00AA2A4C">
            <w:pPr>
              <w:pStyle w:val="TAL"/>
              <w:ind w:left="905" w:hanging="900"/>
              <w:rPr>
                <w:lang w:eastAsia="en-US"/>
              </w:rPr>
            </w:pPr>
            <w:r w:rsidRPr="004D0DAA">
              <w:rPr>
                <w:lang w:eastAsia="ko-KR"/>
              </w:rPr>
              <w:t>NOTE 1:</w:t>
            </w:r>
            <w:r w:rsidRPr="004D0DAA">
              <w:rPr>
                <w:lang w:eastAsia="en-US"/>
              </w:rPr>
              <w:t xml:space="preserve"> </w:t>
            </w:r>
            <w:r w:rsidRPr="004D0DAA">
              <w:rPr>
                <w:lang w:eastAsia="en-US"/>
              </w:rPr>
              <w:tab/>
            </w:r>
            <w:r w:rsidRPr="004D0DAA">
              <w:rPr>
                <w:lang w:eastAsia="ko-KR"/>
              </w:rPr>
              <w:t>T</w:t>
            </w:r>
            <w:r w:rsidRPr="004D0DAA">
              <w:rPr>
                <w:lang w:eastAsia="en-US"/>
              </w:rPr>
              <w:t>he CES/P value ‘11’ indicates the mobile station is polled for a PAN (see sub-clause 10.4.4b). If the mobile station responds to the poll by transmitting an EGPRS or EGPRS2 RLC/MAC block for data transfer with a PAN field included (see sub-clause 8.1.2.2), SSN is determined as specified in sub-clause 9.1.8.2.2a.</w:t>
            </w:r>
          </w:p>
          <w:p w14:paraId="7EFA745A" w14:textId="77777777" w:rsidR="00711444" w:rsidRPr="004D0DAA" w:rsidRDefault="00711444" w:rsidP="00AA2A4C">
            <w:pPr>
              <w:pStyle w:val="TAL"/>
              <w:rPr>
                <w:lang w:eastAsia="en-US"/>
              </w:rPr>
            </w:pPr>
          </w:p>
        </w:tc>
      </w:tr>
    </w:tbl>
    <w:p w14:paraId="075196F6" w14:textId="77777777" w:rsidR="00711444" w:rsidRPr="004D0DAA" w:rsidRDefault="00711444" w:rsidP="00711444"/>
    <w:p w14:paraId="601900AE" w14:textId="77777777" w:rsidR="00711444" w:rsidRPr="004D0DAA" w:rsidRDefault="00711444" w:rsidP="00711444">
      <w:r w:rsidRPr="004D0DAA">
        <w:t>When a next partial bitmap needs to be transmitted in response to a poll, it may turn out that (</w:t>
      </w:r>
      <w:r w:rsidRPr="004D0DAA">
        <w:rPr>
          <w:i/>
        </w:rPr>
        <w:t>V(R)-</w:t>
      </w:r>
      <w:r w:rsidRPr="004D0DAA">
        <w:t xml:space="preserve">PBSN) mod SNS is much smaller than the available space. In such cases, a larger amount of feedback can be provided as an implementation option if the receiver backtracks from PBSN and represents as much of the </w:t>
      </w:r>
      <w:r w:rsidRPr="004D0DAA">
        <w:rPr>
          <w:i/>
        </w:rPr>
        <w:t>V(Q)</w:t>
      </w:r>
      <w:r w:rsidRPr="004D0DAA">
        <w:t xml:space="preserve"> to PBSN range as possible, in addition to the PBSN to </w:t>
      </w:r>
      <w:r w:rsidRPr="004D0DAA">
        <w:rPr>
          <w:i/>
        </w:rPr>
        <w:t>V(R)</w:t>
      </w:r>
      <w:r w:rsidRPr="004D0DAA">
        <w:t xml:space="preserve"> range, possibly using compression. If backtracking is carried out, the SSN must be properly indicated within the Ack/Nack description in order to allow the transmitter to accurately interpret the feedback. For MBMS Bearers, this option may only apply if the cell re-selection criteria are fulfilled (see 3GPP TS 45.008).</w:t>
      </w:r>
    </w:p>
    <w:p w14:paraId="3A3BFE95" w14:textId="77777777" w:rsidR="00711444" w:rsidRPr="004D0DAA" w:rsidRDefault="00711444" w:rsidP="00711444">
      <w:pPr>
        <w:pStyle w:val="Heading5"/>
      </w:pPr>
      <w:bookmarkStart w:id="423" w:name="_Toc516669607"/>
      <w:r w:rsidRPr="004D0DAA">
        <w:t>9.1.8.2.2a</w:t>
      </w:r>
      <w:r w:rsidRPr="004D0DAA">
        <w:tab/>
        <w:t>Determination of ShortSSN and SSN in the Piggy-backed Ack/Nack field</w:t>
      </w:r>
      <w:bookmarkEnd w:id="423"/>
    </w:p>
    <w:p w14:paraId="2AA27F22" w14:textId="77777777" w:rsidR="00711444" w:rsidRPr="004D0DAA" w:rsidRDefault="00711444" w:rsidP="00711444">
      <w:r w:rsidRPr="004D0DAA">
        <w:t>If the receiving side is the network, the network may select any SSN within the receive window. If the receiving side is the mobile station, SSN shall be determined as follows.</w:t>
      </w:r>
    </w:p>
    <w:p w14:paraId="36F40F7F" w14:textId="77777777" w:rsidR="00711444" w:rsidRPr="004D0DAA" w:rsidRDefault="00711444" w:rsidP="00711444">
      <w:r w:rsidRPr="004D0DAA">
        <w:t>In case of polled FANR (see sub-clause 9.1.14.2), SSN shall be set to V(Q) + 1.</w:t>
      </w:r>
    </w:p>
    <w:p w14:paraId="4C03544D" w14:textId="77777777" w:rsidR="00711444" w:rsidRPr="004D0DAA" w:rsidRDefault="00711444" w:rsidP="00711444">
      <w:r w:rsidRPr="004D0DAA">
        <w:t xml:space="preserve">In case of event-based FANR, the SSN shall be set to the following value (where BSN' is the BSN of the oldest RLC data block of which the corresponding element in V(N) has the value UNREPORTED, and N is the number of bits in the bitmap): </w:t>
      </w:r>
    </w:p>
    <w:p w14:paraId="36C5EDA8" w14:textId="77777777" w:rsidR="00711444" w:rsidRPr="004D0DAA" w:rsidRDefault="00711444" w:rsidP="00711444">
      <w:pPr>
        <w:pStyle w:val="B1"/>
      </w:pPr>
      <w:r w:rsidRPr="004D0DAA">
        <w:t>-</w:t>
      </w:r>
      <w:r w:rsidRPr="004D0DAA">
        <w:tab/>
        <w:t>the higher of V(Q) + 1 and V(R) - N, provided that the bitmap includes BSN', else</w:t>
      </w:r>
    </w:p>
    <w:p w14:paraId="623B1E25" w14:textId="77777777" w:rsidR="00711444" w:rsidRPr="004D0DAA" w:rsidRDefault="00711444" w:rsidP="00711444">
      <w:pPr>
        <w:pStyle w:val="B1"/>
      </w:pPr>
      <w:r w:rsidRPr="004D0DAA">
        <w:t>-</w:t>
      </w:r>
      <w:r w:rsidRPr="004D0DAA">
        <w:tab/>
        <w:t>BSN' + 1, if V(Q) is equal to BSN', else</w:t>
      </w:r>
    </w:p>
    <w:p w14:paraId="110062A9" w14:textId="77777777" w:rsidR="00711444" w:rsidRPr="004D0DAA" w:rsidRDefault="00711444" w:rsidP="00711444">
      <w:pPr>
        <w:pStyle w:val="B1"/>
      </w:pPr>
      <w:r w:rsidRPr="004D0DAA">
        <w:t>-</w:t>
      </w:r>
      <w:r w:rsidRPr="004D0DAA">
        <w:tab/>
        <w:t>BSN', if V(Q) is not equal to BSN'.</w:t>
      </w:r>
    </w:p>
    <w:p w14:paraId="56D5B27A" w14:textId="77777777" w:rsidR="00711444" w:rsidRPr="004D0DAA" w:rsidRDefault="00711444" w:rsidP="00711444">
      <w:r w:rsidRPr="004D0DAA">
        <w:t xml:space="preserve">The ShortSSN shall then be set to the value of the </w:t>
      </w:r>
      <w:r w:rsidRPr="004D0DAA">
        <w:rPr>
          <w:i/>
        </w:rPr>
        <w:t xml:space="preserve">L </w:t>
      </w:r>
      <w:r w:rsidRPr="004D0DAA">
        <w:t xml:space="preserve">least significant bits of SSN. The number </w:t>
      </w:r>
      <w:r w:rsidRPr="004D0DAA">
        <w:rPr>
          <w:i/>
        </w:rPr>
        <w:t xml:space="preserve">L </w:t>
      </w:r>
      <w:r w:rsidRPr="004D0DAA">
        <w:t>of bits is determined as defined in sub-clause 10.4.23.</w:t>
      </w:r>
    </w:p>
    <w:p w14:paraId="5F2CDE4A" w14:textId="77777777" w:rsidR="00711444" w:rsidRPr="004D0DAA" w:rsidRDefault="00711444" w:rsidP="00711444">
      <w:pPr>
        <w:pStyle w:val="Heading5"/>
      </w:pPr>
      <w:bookmarkStart w:id="424" w:name="_Toc516669608"/>
      <w:r w:rsidRPr="004D0DAA">
        <w:t>9.1.8.2.3</w:t>
      </w:r>
      <w:r w:rsidRPr="004D0DAA">
        <w:tab/>
        <w:t>Generation of the bitmap</w:t>
      </w:r>
      <w:bookmarkEnd w:id="424"/>
    </w:p>
    <w:p w14:paraId="5758B345" w14:textId="77777777" w:rsidR="00711444" w:rsidRPr="004D0DAA" w:rsidRDefault="00711444" w:rsidP="00711444">
      <w:r w:rsidRPr="004D0DAA">
        <w:t>First, a Full Received Bitmap (FRB) is built from the receive state array V(N) by extracting</w:t>
      </w:r>
      <w:r w:rsidRPr="004D0DAA">
        <w:rPr>
          <w:i/>
        </w:rPr>
        <w:t xml:space="preserve"> </w:t>
      </w:r>
      <w:r w:rsidRPr="004D0DAA">
        <w:t xml:space="preserve">the part between V(Q) and V(R) similar to the GPRS case: it is assigned the elements whose indices in the receive state array V(N) at the receiver range from [V(Q)+ 1] to [V(R) -1] (modulo SNS). For each bit in the bitmap, the bit is assigned the value '1' if the corresponding element in V(N) indexed relative to SSN has the value RECEIVED. The bit is assigned the value '0' if the element in V(N) has the value INVALID. </w:t>
      </w:r>
      <w:r w:rsidRPr="004D0DAA">
        <w:rPr>
          <w:rFonts w:hint="eastAsia"/>
          <w:lang w:eastAsia="ko-KR"/>
        </w:rPr>
        <w:t xml:space="preserve">For a TBF </w:t>
      </w:r>
      <w:r w:rsidRPr="004D0DAA">
        <w:rPr>
          <w:lang w:eastAsia="ko-KR"/>
        </w:rPr>
        <w:t xml:space="preserve">with </w:t>
      </w:r>
      <w:r w:rsidRPr="004D0DAA">
        <w:rPr>
          <w:rFonts w:hint="eastAsia"/>
          <w:lang w:eastAsia="ko-KR"/>
        </w:rPr>
        <w:t>FANR</w:t>
      </w:r>
      <w:r w:rsidRPr="004D0DAA">
        <w:rPr>
          <w:lang w:eastAsia="ko-KR"/>
        </w:rPr>
        <w:t xml:space="preserve"> activated</w:t>
      </w:r>
      <w:r w:rsidRPr="004D0DAA">
        <w:t>, the bit is assigned the value '0' also if the element in V(N) has the value UNREPORTED or REPORTED.</w:t>
      </w:r>
    </w:p>
    <w:p w14:paraId="00E2379C" w14:textId="77777777" w:rsidR="00711444" w:rsidRPr="004D0DAA" w:rsidRDefault="00711444" w:rsidP="00711444">
      <w:r w:rsidRPr="004D0DAA">
        <w:lastRenderedPageBreak/>
        <w:t xml:space="preserve">For EGPRS TBFs for which FANR is not active and for which neither downlink dual carrier configuration nor DLMC configuration nor EGPRS2 nor TBFs running in RLC non-persistent mode are used, the same principles and implementation options as for GPRS apply regarding the determination of V(R). </w:t>
      </w:r>
    </w:p>
    <w:p w14:paraId="017C1179" w14:textId="77777777" w:rsidR="00711444" w:rsidRPr="004D0DAA" w:rsidRDefault="00711444" w:rsidP="00711444">
      <w:r w:rsidRPr="004D0DAA">
        <w:t>For EGPRS TBFs for which FANR is not active and for which either downlink dual carrier configuration</w:t>
      </w:r>
      <w:r w:rsidRPr="004D0DAA">
        <w:rPr>
          <w:rFonts w:hint="eastAsia"/>
          <w:lang w:eastAsia="ko-KR"/>
        </w:rPr>
        <w:t>,</w:t>
      </w:r>
      <w:r w:rsidRPr="004D0DAA">
        <w:t xml:space="preserve"> or DLMC configuration </w:t>
      </w:r>
      <w:r w:rsidRPr="004D0DAA">
        <w:rPr>
          <w:rFonts w:hint="eastAsia"/>
          <w:lang w:eastAsia="ko-KR"/>
        </w:rPr>
        <w:t xml:space="preserve">or EGPRS2 </w:t>
      </w:r>
      <w:r w:rsidRPr="004D0DAA">
        <w:t>or RLC non-persistent mode are used, when the mobile station is polled, V(R) shall be determined taking into account all RLC data blocks</w:t>
      </w:r>
      <w:r w:rsidRPr="004D0DAA">
        <w:rPr>
          <w:b/>
        </w:rPr>
        <w:t xml:space="preserve"> </w:t>
      </w:r>
      <w:r w:rsidRPr="004D0DAA">
        <w:t>received</w:t>
      </w:r>
      <w:r w:rsidRPr="004D0DAA">
        <w:rPr>
          <w:b/>
        </w:rPr>
        <w:t xml:space="preserve"> </w:t>
      </w:r>
      <w:r w:rsidRPr="004D0DAA">
        <w:t xml:space="preserve">up to and including those received in the radio block period where the poll is received. </w:t>
      </w:r>
    </w:p>
    <w:p w14:paraId="0FB71279" w14:textId="77777777" w:rsidR="00711444" w:rsidRPr="004D0DAA" w:rsidRDefault="00711444" w:rsidP="00711444">
      <w:pPr>
        <w:rPr>
          <w:bCs/>
        </w:rPr>
      </w:pPr>
      <w:r w:rsidRPr="004D0DAA">
        <w:t>For EGPRS TBFs for which FANR is active, V(R) and therefore the bitmap shall be determined taking into account all RLC data blocks received up to and including those received in the reduced radio block period m-2 for RTTI configuration, and those received in the basic radio block period m-2 for BTTI configuration, where the bitmap is sent in radio block period m.</w:t>
      </w:r>
    </w:p>
    <w:p w14:paraId="7D4C5DD1" w14:textId="77777777" w:rsidR="00711444" w:rsidRPr="004D0DAA" w:rsidRDefault="00711444" w:rsidP="00711444">
      <w:r w:rsidRPr="004D0DAA">
        <w:t>From the FRB, a reported bitmap (RB) shall then be generated. The FRB shall be recalculated before each RB is generated, except that PAN fields transmitted during the same radio block period for the same TBF shall be based on the same FRB and the FRB shall therefore not be recalculated between the generation of t</w:t>
      </w:r>
      <w:r w:rsidRPr="004D0DAA">
        <w:rPr>
          <w:rFonts w:hint="eastAsia"/>
          <w:lang w:eastAsia="ko-KR"/>
        </w:rPr>
        <w:t>hese</w:t>
      </w:r>
      <w:r w:rsidRPr="004D0DAA">
        <w:t xml:space="preserve"> PAN fields. Different lengths of RBs exist (see clause 12 and sub-clause 10.3a.5). For uplink TBFs, the network may transmit any RB size to the mobile station. For downlink TBFs, the network may order the mobile station to transmit a certain RB size through use of the ES/P field. The bitmap size may be selected based on e.g. risk of protocol stalling. The RB in a PAN field is always uncompressed. In EGPRS PACKET DOWNLINK ACK/NACK, EGPRS PACKET DOWNLINK ACK/NACK TYPE 2, EGPRS PACKET DOWNLINK ACK/NACK TYPE 3 messages, and EGPRS PACKET DOWNLINK ACK/NACK DLMC the RB is one of the following types:</w:t>
      </w:r>
    </w:p>
    <w:p w14:paraId="75B812C5" w14:textId="77777777" w:rsidR="00711444" w:rsidRPr="004D0DAA" w:rsidRDefault="00711444" w:rsidP="00711444">
      <w:pPr>
        <w:pStyle w:val="B1"/>
      </w:pPr>
      <w:r w:rsidRPr="004D0DAA">
        <w:t>a)</w:t>
      </w:r>
      <w:r w:rsidRPr="004D0DAA">
        <w:tab/>
        <w:t>Uncompressed reported bitmap:</w:t>
      </w:r>
    </w:p>
    <w:p w14:paraId="31B5111E" w14:textId="77777777" w:rsidR="00711444" w:rsidRPr="004D0DAA" w:rsidRDefault="00711444" w:rsidP="00711444">
      <w:pPr>
        <w:pStyle w:val="B1"/>
      </w:pPr>
      <w:r w:rsidRPr="004D0DAA">
        <w:tab/>
        <w:t>If the range of indices from SSN to the end of FRB is less than or equal to N bits, where N is the reported bitmap size, the RB starts at SSN and covers the range of indices from SSN to the end of FRB. When an RB is a part of a PAN field, if the number of indices from SSN to the end of FRB is less than N bits and the reported bitmap is generated by the mobile station, the bits not covering the FRB shall be set to the value ‘0’. When an RB is a part of a PAN field, if the number of indices from SSN to the end of FRB is less than N bits and the reported bitmap is generated by the network, the bits not covering the FRB shall be set to the value ‘1’, If the range of indices from SSN to the end of FRB is greater than N bits, the RB is assigned the first N bits of the FRB starting at SSN.</w:t>
      </w:r>
    </w:p>
    <w:p w14:paraId="0A5E87FD" w14:textId="77777777" w:rsidR="00711444" w:rsidRPr="004D0DAA" w:rsidRDefault="00711444" w:rsidP="00711444">
      <w:pPr>
        <w:pStyle w:val="B1"/>
      </w:pPr>
      <w:r w:rsidRPr="004D0DAA">
        <w:t>b)</w:t>
      </w:r>
      <w:r w:rsidRPr="004D0DAA">
        <w:tab/>
        <w:t>Compressed reported bitmap:</w:t>
      </w:r>
    </w:p>
    <w:p w14:paraId="6793B173" w14:textId="77777777" w:rsidR="00711444" w:rsidRPr="004D0DAA" w:rsidRDefault="00711444" w:rsidP="00711444">
      <w:pPr>
        <w:pStyle w:val="B1"/>
      </w:pPr>
      <w:r w:rsidRPr="004D0DAA">
        <w:tab/>
        <w:t>Using the compression algorithm, the receiver generates RB of length N bits starting at SSN, where N is the reported bitmap size used.</w:t>
      </w:r>
    </w:p>
    <w:p w14:paraId="280B7FFD" w14:textId="77777777" w:rsidR="00711444" w:rsidRPr="004D0DAA" w:rsidRDefault="00711444" w:rsidP="00711444">
      <w:r w:rsidRPr="004D0DAA">
        <w:t>If the compressed reported bitmap covers more blocks than the uncompressed reported bitmap, the receiver shall send the compressed reported bitmap, otherwise the receiver shall send the uncompressed reported bitmap. As an exception, if the FRB length or the range of indices from SSN to the end of FRB is less than or equal to N bits, the receiver may send the uncompressed reported bitmap without attempting compression.</w:t>
      </w:r>
    </w:p>
    <w:p w14:paraId="5C39E660" w14:textId="77777777" w:rsidR="00711444" w:rsidRPr="004D0DAA" w:rsidRDefault="00711444" w:rsidP="00711444">
      <w:r w:rsidRPr="004D0DAA">
        <w:t>The BOW (begin of window) bit shall be set if SSN = [V(Q) + 1] modulo SNS, the EOW (end of window) bit shall be set if [V(R) -1] modulo SNS is explicitly included in the bitmap.</w:t>
      </w:r>
    </w:p>
    <w:p w14:paraId="3447C612" w14:textId="77777777" w:rsidR="00711444" w:rsidRPr="004D0DAA" w:rsidRDefault="00711444" w:rsidP="00711444">
      <w:r w:rsidRPr="004D0DAA">
        <w:t>If V(Q) equals V(R), then SSN shall be set to the value SSN = [V(Q) + 1] modulo SNS, BOW bit shall be set to the value '1', EOW shall be set to the value '1' and the reported bitmap size shall equal 0 bits.</w:t>
      </w:r>
    </w:p>
    <w:p w14:paraId="4086682C" w14:textId="77777777" w:rsidR="00711444" w:rsidRPr="004D0DAA" w:rsidRDefault="00711444" w:rsidP="00711444">
      <w:r w:rsidRPr="004D0DAA">
        <w:t>For uplink TBFs, the reported bitmap is sent using the PACKET UPLINK ACK/NACK message corresponding to the used RB size.</w:t>
      </w:r>
    </w:p>
    <w:p w14:paraId="7F572C55" w14:textId="77777777" w:rsidR="00711444" w:rsidRPr="004D0DAA" w:rsidRDefault="00711444" w:rsidP="00711444">
      <w:r w:rsidRPr="004D0DAA">
        <w:t>For downlink TBFs the reported bitmap is sent using the EGPRS PACKET DOWNLINK ACK/NACK TYPE 2 or EGPRS PACKET DOWNLINK ACK/NACK TYPE 3 message for mobiles with one or more downlink TBFs using EGPRS2, or using EGPRS PACKET DOWNLINK ACK/NACK or EGPRS PACKET DOWNLINK ACK/NACK TYPE 3 message otherwise. For MBMS bearers the reported bitmap is sent using the MBMS DOWNLINK ACK/NACK message. For a DLMC configuration the reported bitmap is sent using the EGPRS PACKET DOWNLINK ACK/NACK DLMC message.</w:t>
      </w:r>
    </w:p>
    <w:p w14:paraId="4E4CBC9A" w14:textId="77777777" w:rsidR="00711444" w:rsidRPr="004D0DAA" w:rsidRDefault="00711444" w:rsidP="00711444"/>
    <w:p w14:paraId="70EC465F" w14:textId="77777777" w:rsidR="00711444" w:rsidRPr="004D0DAA" w:rsidRDefault="00711444" w:rsidP="00711444">
      <w:pPr>
        <w:pStyle w:val="Heading4"/>
      </w:pPr>
      <w:bookmarkStart w:id="425" w:name="_Toc516669609"/>
      <w:r w:rsidRPr="004D0DAA">
        <w:lastRenderedPageBreak/>
        <w:t>9.1.8.2.4</w:t>
      </w:r>
      <w:r w:rsidRPr="004D0DAA">
        <w:tab/>
        <w:t>Interpretation of the bitmap</w:t>
      </w:r>
      <w:bookmarkEnd w:id="425"/>
    </w:p>
    <w:p w14:paraId="33548FF7" w14:textId="77777777" w:rsidR="00711444" w:rsidRPr="004D0DAA" w:rsidRDefault="00711444" w:rsidP="00711444">
      <w:r w:rsidRPr="004D0DAA">
        <w:t>If a compressed reported bitmap is received, the bitmap shall first be decompressed according to sub-clause 9.1.10. The uncompressed bitmap shall then be treated as follows:</w:t>
      </w:r>
    </w:p>
    <w:p w14:paraId="4E23CE79" w14:textId="77777777" w:rsidR="00711444" w:rsidRPr="004D0DAA" w:rsidRDefault="00711444" w:rsidP="00711444">
      <w:r w:rsidRPr="004D0DAA">
        <w:t>Firstly, if the BOW bit in PACKET UPLINK ACK/NACK, EGPRS PACKET DOWNLINK ACK/NACK, EGPRS PACKET DOWNLINK ACK/NACK TYPE 2 or EGPRS PACKET DOWNLINK ACK/NACK TYPE 3 or EGPRS PACKET DOWNLINK ACK/NACK DLMC message has the value '1', then the bitmap acknowledges all blocks between V(A) and (SSN- 2) (modulo SNS), and the corresponding elements in V(B) shall be set to the value ACKED. Also a bitmap value of '0' is assumed at the bit position corresponding to (SSN-1) modulo SNS which corresponds to V(Q). If the BOW bit in MBMS DOWNLINK ACK/NACK message has the value '1', then the bitmap acknowledges all blocks between V(A) and (SSN-2) (modulo SNS), and a bitmap value of '0' is assumed at the bit position corresponding to (SSN-1) modulo SNS, only for the mobile station sending the message. The decision whether to set the corresponding elements in V(B) to the value ACKED is implementation specific.</w:t>
      </w:r>
    </w:p>
    <w:p w14:paraId="4EB4C655" w14:textId="77777777" w:rsidR="00711444" w:rsidRPr="004D0DAA" w:rsidRDefault="00711444" w:rsidP="00711444">
      <w:r w:rsidRPr="004D0DAA">
        <w:t>Then, in case of PACKET UPLINK ACK/NACK, EGPRS PACKET DOWNLINK ACK/NACK, EGPRS PACKET DOWNLINK ACK/NACK TYPE 2 or EGPRS PACKET DOWNLINK ACK/NACK TYPE 3 or EGPRS PACKET DOWNLINK ACK/NACK DLMC message, for each bit in the uncompressed bitmap whose corresponding BSN value is within the transmit window, if the bit contains the value '1', the corresponding element in V(B) indexed relative to SSN shall be set to the value ACKED. If the bit contains the value '0', the element in V(B) shall be set to the value NACKED. A bit within the uncompressed bitmap whose corresponding BSN is not within the transmit window, shall be ignored. In case of MBMS DOWNLINK ACK/NACK message, for each bit in the uncompressed bitmap whose corresponding BSN value is within the transmit window, if the bit contains the value '1', it positively acknowledges the corresponding RLC data block only for the mobile station sending the message, and the decision whether to set to the value ACKED the corresponding element in V(B) indexed relative to SSN is implementation specific. If the bit contains the value '0', it negatively acknowledges the corresponding RLC data block only for the mobile station sending the message, and the decision whether to set to the value NACKED the corresponding element in V(B) indexed relative to SSN is implementation specific. A bit within the uncompressed bitmap whose corresponding BSN is not within the transmit window shall be ignored.</w:t>
      </w:r>
    </w:p>
    <w:p w14:paraId="08298492" w14:textId="77777777" w:rsidR="00711444" w:rsidRPr="004D0DAA" w:rsidRDefault="00711444" w:rsidP="00711444">
      <w:pPr>
        <w:keepNext/>
        <w:keepLines/>
      </w:pPr>
      <w:r w:rsidRPr="004D0DAA">
        <w:t xml:space="preserve">If the EOW bit in the PACKET UPLINK ACK/NACK, EGPRS PACKET DOWNLINK ACK/NACK, EGPRS PACKET DOWNLINK ACK/NACK TYPE 2, EGPRS PACKET DOWNLINK ACK/NACK TYPE 3, EGPRS PACKET DOWNLINK ACK/NACK DLMC or MBMS DOWNLINK ACK/NACK message has the value '1', then bitmap value '0' shall be assumed for all RLC blocks with a BSN value higher than the last entry in the bitmap but less than V(S) (i.e. [ V(R) - 1 &lt; BSN &lt; V(S)] modulo SNS). </w:t>
      </w:r>
    </w:p>
    <w:p w14:paraId="3BCF98C6" w14:textId="77777777" w:rsidR="00711444" w:rsidRPr="004D0DAA" w:rsidRDefault="00711444" w:rsidP="00711444">
      <w:pPr>
        <w:keepNext/>
        <w:keepLines/>
      </w:pPr>
      <w:r w:rsidRPr="004D0DAA">
        <w:t>If the RLC transmitter is on the mobile station side, the bit in the bitmap contains the value '0' and the number of block periods between the end of the block period used for the last transmission of the corresponding RLC data block and the beginning of the block period containing the PACKET UPLINK ACK/NACK message is less than (max(BS_CV_MAX,1) - 1) (i.e. the RLC data block was recently (re)transmitted and thus can not be validly negatively acknowledged in this particular PACKET UPLINK ACK/NACK message), the element in V(B) shall not be modified. Similarly, if the RLC transmitter is on the network side and the RLC data block cannot be validly negatively acknowledged in this particular Packet Ack/Nack message the element in V(B) shall not be modified.</w:t>
      </w:r>
    </w:p>
    <w:p w14:paraId="2624C590" w14:textId="77777777" w:rsidR="00711444" w:rsidRPr="004D0DAA" w:rsidRDefault="00711444" w:rsidP="00711444">
      <w:pPr>
        <w:keepNext/>
        <w:keepLines/>
      </w:pPr>
      <w:r w:rsidRPr="004D0DAA">
        <w:t>In the case of a PAN field, the bitmap shall be interpreted in the same way as for the case of PACKET UPLINK ACK/NACK, EGPRS PACKET DOWNLINK ACK/NACK, EGPRS PACKET DOWNLINK ACK/NACK TYPE 2, EGPRS PACKET DOWNLINK ACK/NACK TYPE 3 or EGPRS PACKET DOWNLINK ACK/NACK DLMC message with the following exceptions:</w:t>
      </w:r>
    </w:p>
    <w:p w14:paraId="6BBBF2C9" w14:textId="77777777" w:rsidR="00711444" w:rsidRPr="004D0DAA" w:rsidRDefault="00711444" w:rsidP="00711444">
      <w:pPr>
        <w:pStyle w:val="B1"/>
      </w:pPr>
      <w:r w:rsidRPr="004D0DAA">
        <w:t>-</w:t>
      </w:r>
      <w:r w:rsidRPr="004D0DAA">
        <w:tab/>
        <w:t>in the case when the PAN is received by the network, in RLC acknowledged mode, elements of V(B) shall not be set to ACKED; any element which would be set to ACKED shall be set to TENTATIVE_ACK;</w:t>
      </w:r>
    </w:p>
    <w:p w14:paraId="245E022E" w14:textId="77777777" w:rsidR="00711444" w:rsidRPr="004D0DAA" w:rsidRDefault="00711444" w:rsidP="00711444">
      <w:pPr>
        <w:pStyle w:val="B1"/>
      </w:pPr>
      <w:r w:rsidRPr="004D0DAA">
        <w:t>-</w:t>
      </w:r>
      <w:r w:rsidRPr="004D0DAA">
        <w:tab/>
        <w:t>in the case when the PAN is received by the mobile station, the contents of the reported bitmap shall be validated assuming a BS_CV_MAX value of 2, regardless of the value of the signalled BS_CV_MAX parameter;</w:t>
      </w:r>
    </w:p>
    <w:p w14:paraId="45866D9C" w14:textId="77777777" w:rsidR="00711444" w:rsidRPr="004D0DAA" w:rsidRDefault="00711444" w:rsidP="00711444">
      <w:pPr>
        <w:pStyle w:val="B1"/>
      </w:pPr>
      <w:r w:rsidRPr="004D0DAA">
        <w:t>-</w:t>
      </w:r>
      <w:r w:rsidRPr="004D0DAA">
        <w:tab/>
        <w:t>in the case when the PAN is received by the mobile station, the value ‘1’ received in the reported bitmap shall not modify the current  value of the corresponding element in V(B); the value ‘0’ received in the reported bitmap shall set the corresponding element in V(B) to the value NACKED; in RLC acknowledged mode and when the BOW is set to the value ‘1’ then all elements in V(B) corresponding to all blocks between V(A) and (SSN- 2) (modulo SNS) shall be set to the value TENTATIVE_ACK;</w:t>
      </w:r>
    </w:p>
    <w:p w14:paraId="5127DDC6" w14:textId="77777777" w:rsidR="00711444" w:rsidRPr="004D0DAA" w:rsidRDefault="00711444" w:rsidP="00711444">
      <w:pPr>
        <w:pStyle w:val="B1"/>
      </w:pPr>
      <w:r w:rsidRPr="004D0DAA">
        <w:t>-</w:t>
      </w:r>
      <w:r w:rsidRPr="004D0DAA">
        <w:tab/>
        <w:t>if the processing of a PAN would cause an element of V(B) to be changed from ACKED or TENTATIVE_ACK to NACKED, the entire PAN field shall be ignored;</w:t>
      </w:r>
    </w:p>
    <w:p w14:paraId="0173E88C" w14:textId="77777777" w:rsidR="00711444" w:rsidRPr="004D0DAA" w:rsidRDefault="00711444" w:rsidP="00711444">
      <w:pPr>
        <w:pStyle w:val="B1"/>
      </w:pPr>
      <w:r w:rsidRPr="004D0DAA">
        <w:lastRenderedPageBreak/>
        <w:t>-</w:t>
      </w:r>
      <w:r w:rsidRPr="004D0DAA">
        <w:tab/>
        <w:t>if a PAN positively acknowledges a block which has not yet been transmitted (i.e. whose BSN is higher than or equal to V(S)) the entire PAN field shall be ignored;</w:t>
      </w:r>
    </w:p>
    <w:p w14:paraId="56AD00C0" w14:textId="77777777" w:rsidR="00711444" w:rsidRPr="004D0DAA" w:rsidRDefault="00711444" w:rsidP="00711444">
      <w:pPr>
        <w:pStyle w:val="B1"/>
      </w:pPr>
      <w:r w:rsidRPr="004D0DAA">
        <w:t>-</w:t>
      </w:r>
      <w:r w:rsidRPr="004D0DAA">
        <w:tab/>
        <w:t>if a time-based PAN indicates a reserved value the entire PAN field shall be ignored.</w:t>
      </w:r>
    </w:p>
    <w:p w14:paraId="4602A0F0" w14:textId="77777777" w:rsidR="00711444" w:rsidRPr="004D0DAA" w:rsidRDefault="00711444" w:rsidP="00711444">
      <w:pPr>
        <w:pStyle w:val="NO"/>
      </w:pPr>
      <w:r w:rsidRPr="004D0DAA">
        <w:t>NOTE: The last three conditions may arise due to undetected error in the PANI or in the PAN field.</w:t>
      </w:r>
    </w:p>
    <w:p w14:paraId="6DE4FEA9" w14:textId="77777777" w:rsidR="00711444" w:rsidRPr="004D0DAA" w:rsidRDefault="00711444" w:rsidP="00711444">
      <w:pPr>
        <w:pStyle w:val="Heading4"/>
      </w:pPr>
      <w:bookmarkStart w:id="426" w:name="_Toc516669610"/>
      <w:r w:rsidRPr="004D0DAA">
        <w:t>9.1.8.3</w:t>
      </w:r>
      <w:r w:rsidRPr="004D0DAA">
        <w:tab/>
        <w:t>Starting sequence number (SSN) and received block bitmap (RBB) in EC TBF</w:t>
      </w:r>
      <w:bookmarkEnd w:id="426"/>
    </w:p>
    <w:p w14:paraId="050A93AE" w14:textId="77777777" w:rsidR="00711444" w:rsidRPr="004D0DAA" w:rsidRDefault="00711444" w:rsidP="00711444">
      <w:r w:rsidRPr="004D0DAA">
        <w:t>The Packet Ack/Nack message contains a starting sequence number (SSN) and a received block bitmap (RBB). The Packet Ack/Nack message is sent by the RLC receiver and is received by the RLC transmitter. The SSN and RBB are determined as defined in this sub-clause and transmitted in RLC acknowledged mode.</w:t>
      </w:r>
    </w:p>
    <w:p w14:paraId="01D03E7A" w14:textId="77777777" w:rsidR="00711444" w:rsidRPr="004D0DAA" w:rsidRDefault="00711444" w:rsidP="00711444">
      <w:r w:rsidRPr="004D0DAA">
        <w:t>The RBB is defined as a binary valued array of WS elements (see sub-clause 12.72), where the index of each element takes value 0, 1, 2, …, WS-1 in the given order, respectively, or a binary valued array of WS/2 elements (see sub-clause 12.73), where the index of each element takes value 0, 1, 2, …, WS/2-1 in the given order, respectively. The BSN values specified in the RBB are interpreted by adding the bit position in the bitmap from the starting sequence number (SSN) modulo SNS.</w:t>
      </w:r>
    </w:p>
    <w:p w14:paraId="2CF96DA4" w14:textId="77777777" w:rsidR="00711444" w:rsidRPr="004D0DAA" w:rsidRDefault="00711444" w:rsidP="00711444">
      <w:r w:rsidRPr="004D0DAA">
        <w:t>A valid BSN value in the RBB is one that is in the range [ V(A) &lt; BSN &lt; V(S) ] modulo SNS.</w:t>
      </w:r>
    </w:p>
    <w:p w14:paraId="77F00392" w14:textId="77777777" w:rsidR="00711444" w:rsidRPr="004D0DAA" w:rsidRDefault="00711444" w:rsidP="00711444">
      <w:r w:rsidRPr="004D0DAA">
        <w:t>These inequalities shall be interpreted in the following way:</w:t>
      </w:r>
    </w:p>
    <w:p w14:paraId="4DC5E476" w14:textId="77777777" w:rsidR="00711444" w:rsidRPr="004D0DAA" w:rsidRDefault="00711444" w:rsidP="00711444">
      <w:pPr>
        <w:pStyle w:val="EQ"/>
        <w:jc w:val="center"/>
      </w:pPr>
      <w:r w:rsidRPr="004D0DAA">
        <w:t>BSN is valid if, and only if, ([ BSN - V(A) ] modulo SNS &lt; [ V(S) - V(A) ] modulo SNS) and (BSN != V(A)).</w:t>
      </w:r>
    </w:p>
    <w:p w14:paraId="3BDA566A" w14:textId="77777777" w:rsidR="00711444" w:rsidRPr="004D0DAA" w:rsidRDefault="00711444" w:rsidP="00711444">
      <w:pPr>
        <w:keepNext/>
        <w:keepLines/>
      </w:pPr>
      <w:r w:rsidRPr="004D0DAA">
        <w:t>At the RLC transmitter:</w:t>
      </w:r>
    </w:p>
    <w:p w14:paraId="4231E84A" w14:textId="77777777" w:rsidR="00711444" w:rsidRPr="004D0DAA" w:rsidRDefault="00711444" w:rsidP="00711444">
      <w:pPr>
        <w:pStyle w:val="B1"/>
      </w:pPr>
      <w:r w:rsidRPr="004D0DAA">
        <w:t>-</w:t>
      </w:r>
      <w:r w:rsidRPr="004D0DAA">
        <w:tab/>
        <w:t>For each bit in the RBB whose corresponding BSN value is within the transmit window, if the bit contains the value '1', the corresponding element in V(B) indexed relative to SSN shall be set to the value ACKED. If the bit contains the value '0', the element in V(B) shall be set to the value NACKED. All blocks between V(A) and (SSN- 2) (modulo SNS) shall be considered acknowledged, and the corresponding elements in V(B) shall be set to the value ACKED. Also a bitmap value of '0' is assumed at the bit position corresponding to (SSN-1) modulo SNS, which corresponds to V(Q). A bit within the RBB whose corresponding BSN is not within the transmit window, shall be ignored.</w:t>
      </w:r>
    </w:p>
    <w:p w14:paraId="0FA9392D" w14:textId="77777777" w:rsidR="00711444" w:rsidRPr="004D0DAA" w:rsidRDefault="00711444" w:rsidP="00711444">
      <w:pPr>
        <w:keepNext/>
        <w:keepLines/>
      </w:pPr>
      <w:r w:rsidRPr="004D0DAA">
        <w:t>At the RLC receiver:</w:t>
      </w:r>
    </w:p>
    <w:p w14:paraId="6A03221A" w14:textId="77777777" w:rsidR="00711444" w:rsidRPr="004D0DAA" w:rsidRDefault="00711444" w:rsidP="00711444">
      <w:pPr>
        <w:pStyle w:val="B1"/>
      </w:pPr>
      <w:r w:rsidRPr="004D0DAA">
        <w:t>-</w:t>
      </w:r>
      <w:r w:rsidRPr="004D0DAA">
        <w:tab/>
        <w:t>The starting sequence number (SSN) is assigned the value (V(Q)+1) modulo SNS. The received block bitmap (RBB) is assigned the elements whose indices in the receive state array V(N) at the receiver range from [V(Q)+ 1] to [V(R) -1] (modulo SNS). For each bit in the bitmap, the bit is assigned the value '1' if the corresponding element in V(N) indexed relative to SSN has the value RECEIVED. The bit is assigned the value '0' if the element in V(N) has the value INVALID.</w:t>
      </w:r>
    </w:p>
    <w:p w14:paraId="1540267A" w14:textId="77777777" w:rsidR="00711444" w:rsidRPr="004D0DAA" w:rsidRDefault="00711444" w:rsidP="00711444">
      <w:pPr>
        <w:pStyle w:val="Heading3"/>
      </w:pPr>
      <w:bookmarkStart w:id="427" w:name="_Toc516669611"/>
      <w:r w:rsidRPr="004D0DAA">
        <w:t>9.1.9</w:t>
      </w:r>
      <w:r w:rsidRPr="004D0DAA">
        <w:tab/>
        <w:t>Window Size</w:t>
      </w:r>
      <w:bookmarkEnd w:id="427"/>
    </w:p>
    <w:p w14:paraId="5910C06E" w14:textId="77777777" w:rsidR="00711444" w:rsidRPr="004D0DAA" w:rsidRDefault="00711444" w:rsidP="00711444">
      <w:pPr>
        <w:pStyle w:val="Heading4"/>
      </w:pPr>
      <w:bookmarkStart w:id="428" w:name="_Toc516669612"/>
      <w:r w:rsidRPr="004D0DAA">
        <w:t>9.1.9.1</w:t>
      </w:r>
      <w:r w:rsidRPr="004D0DAA">
        <w:tab/>
        <w:t>GPRS</w:t>
      </w:r>
      <w:bookmarkEnd w:id="428"/>
    </w:p>
    <w:p w14:paraId="72B318F2" w14:textId="77777777" w:rsidR="00711444" w:rsidRPr="004D0DAA" w:rsidRDefault="00711444" w:rsidP="00711444">
      <w:r w:rsidRPr="004D0DAA">
        <w:t>For GPRS, the window size (WS) shall be 64.</w:t>
      </w:r>
    </w:p>
    <w:p w14:paraId="5BD0E5B6" w14:textId="77777777" w:rsidR="00711444" w:rsidRPr="004D0DAA" w:rsidRDefault="00711444" w:rsidP="00711444">
      <w:pPr>
        <w:pStyle w:val="Heading4"/>
      </w:pPr>
      <w:bookmarkStart w:id="429" w:name="_Toc516669613"/>
      <w:r w:rsidRPr="004D0DAA">
        <w:t>9.1.9.2</w:t>
      </w:r>
      <w:r w:rsidRPr="004D0DAA">
        <w:tab/>
        <w:t>EGPRS</w:t>
      </w:r>
      <w:bookmarkEnd w:id="429"/>
    </w:p>
    <w:p w14:paraId="7809633C" w14:textId="77777777" w:rsidR="00711444" w:rsidRPr="004D0DAA" w:rsidRDefault="00711444" w:rsidP="00711444">
      <w:r w:rsidRPr="004D0DAA">
        <w:t xml:space="preserve">A mobile station may support the use of the GPRS multislot class also for the </w:t>
      </w:r>
      <w:r w:rsidRPr="004D0DAA">
        <w:rPr>
          <w:bCs/>
        </w:rPr>
        <w:t xml:space="preserve">EGPRS-GMSK only TBF mode. The support of this feature must be indicated as the </w:t>
      </w:r>
      <w:r w:rsidRPr="004D0DAA">
        <w:rPr>
          <w:i/>
          <w:iCs/>
        </w:rPr>
        <w:t>"Modulation based multislot class</w:t>
      </w:r>
      <w:r w:rsidRPr="004D0DAA">
        <w:t xml:space="preserve"> </w:t>
      </w:r>
      <w:r w:rsidRPr="004D0DAA">
        <w:rPr>
          <w:i/>
          <w:iCs/>
        </w:rPr>
        <w:t xml:space="preserve">support" </w:t>
      </w:r>
      <w:r w:rsidRPr="004D0DAA">
        <w:t>information in the MS Radio Access Capability IE and the MS Radio Access Capability 2 IE.</w:t>
      </w:r>
    </w:p>
    <w:p w14:paraId="1B30F91F" w14:textId="77777777" w:rsidR="00711444" w:rsidRPr="004D0DAA" w:rsidRDefault="00711444" w:rsidP="00711444">
      <w:r w:rsidRPr="004D0DAA">
        <w:t xml:space="preserve">A mobile station in </w:t>
      </w:r>
      <w:r w:rsidRPr="004D0DAA">
        <w:rPr>
          <w:bCs/>
        </w:rPr>
        <w:t>EGPRS TBF mode</w:t>
      </w:r>
      <w:r w:rsidRPr="004D0DAA">
        <w:rPr>
          <w:b/>
        </w:rPr>
        <w:t xml:space="preserve"> </w:t>
      </w:r>
      <w:r w:rsidRPr="004D0DAA">
        <w:t xml:space="preserve">not supporting the </w:t>
      </w:r>
      <w:r w:rsidRPr="004D0DAA">
        <w:rPr>
          <w:i/>
          <w:iCs/>
        </w:rPr>
        <w:t>"Modulation based multislot class support"</w:t>
      </w:r>
      <w:r w:rsidRPr="004D0DAA">
        <w:t xml:space="preserve"> shall apply the EGPRS multislot class. A mobile station in </w:t>
      </w:r>
      <w:r w:rsidRPr="004D0DAA">
        <w:rPr>
          <w:bCs/>
        </w:rPr>
        <w:t>EGPRS-GMSK only TBF mode</w:t>
      </w:r>
      <w:r w:rsidRPr="004D0DAA">
        <w:t xml:space="preserve"> shall apply the GPRS multislot class.</w:t>
      </w:r>
    </w:p>
    <w:p w14:paraId="40D1EBB6" w14:textId="77777777" w:rsidR="00711444" w:rsidRPr="004D0DAA" w:rsidRDefault="00711444" w:rsidP="00711444">
      <w:r w:rsidRPr="004D0DAA">
        <w:t>While a EGPRS-GMSK only TBF mode is in progress, if a mobile station receives DL blocks not coded with modulation and coding scheme MCS-1 to MCS-4 then the MS behavior is implementation specific.</w:t>
      </w:r>
    </w:p>
    <w:p w14:paraId="504C699A" w14:textId="77777777" w:rsidR="00711444" w:rsidRPr="004D0DAA" w:rsidRDefault="00711444" w:rsidP="00711444">
      <w:r w:rsidRPr="004D0DAA">
        <w:lastRenderedPageBreak/>
        <w:t>For EGPRS the window size (WS) shall be set by the network according to the number of timeslots assigned in the direction of the TBF (uplink or downlink) using the applicable multislot capability except for the case of a DLMC configuration where the window size is determined by the buffer size supported (see Table 9.1.9.3.2). The allowed window sizes are given in table 9.1.9.2.1. Preferably, the selected window size should be the maximum, or follow the definition in annex I.</w:t>
      </w:r>
    </w:p>
    <w:p w14:paraId="1E7C1389" w14:textId="77777777" w:rsidR="00711444" w:rsidRPr="004D0DAA" w:rsidRDefault="00711444" w:rsidP="00711444">
      <w:r w:rsidRPr="004D0DAA">
        <w:t>The window size may be set independently for each TBF on uplink and downlink. The mobile station shall support the maximum window size corresponding to its multislot capability. The selected WS shall be indicated within a PACKET UL/DL ASSIGNMENT, MULTIPLE TBF UL/DL ASSIGNMENT, PACKET TIMESLOT RECONFIGURE, MULTIPLE TBF TIMESLOT RECONFIGURE or PACKET CS RELEASE INDICATION message using the coding defined in table 9.1.9.2.1 except for the case of a DLMC configuration where the window size is determined by the buffer size supported (see Table 9.1.9.3.2).</w:t>
      </w:r>
    </w:p>
    <w:p w14:paraId="19063967" w14:textId="77777777" w:rsidR="00711444" w:rsidRPr="004D0DAA" w:rsidRDefault="00711444" w:rsidP="00711444">
      <w:r w:rsidRPr="004D0DAA">
        <w:t>Once a window size is selected for a given TBF, it may be changed to a larger size but not to a smaller size, in order to prevent dropping data blocks from the window.</w:t>
      </w:r>
    </w:p>
    <w:p w14:paraId="1ED4D499" w14:textId="77777777" w:rsidR="00711444" w:rsidRPr="004D0DAA" w:rsidRDefault="00711444" w:rsidP="00711444">
      <w:r w:rsidRPr="004D0DAA">
        <w:t>In case the MS multislot class is not indicated during packet data connection establishment (access request for signalling message transfer), a default window size corresponding to the minimum window size for 1 timeslot (as defined in table 9.1.9.2.1) shall be selected.</w:t>
      </w:r>
    </w:p>
    <w:p w14:paraId="65ECC38D" w14:textId="77777777" w:rsidR="00711444" w:rsidRPr="004D0DAA" w:rsidRDefault="00711444" w:rsidP="00711444">
      <w:r w:rsidRPr="004D0DAA">
        <w:t>In case a PACKET TIMESLOT RECONFIGURE or MULTIPLE TBF TIMESLOT RECONFIGURE message is sent to the mobile station without any window size for a specific TBF, then any previous value received for the specific TBF shall be used or, if no previous value has been received for the specific TBF, default window size shall be used.</w:t>
      </w:r>
    </w:p>
    <w:p w14:paraId="4716ED7C" w14:textId="77777777" w:rsidR="00711444" w:rsidRPr="004D0DAA" w:rsidRDefault="00711444" w:rsidP="00711444">
      <w:pPr>
        <w:pStyle w:val="NO"/>
      </w:pPr>
      <w:r w:rsidRPr="004D0DAA">
        <w:t>NOTE:</w:t>
      </w:r>
      <w:r w:rsidRPr="004D0DAA">
        <w:tab/>
        <w:t>If a TBF is reallocated so that the number of assigned timeslots is reduced, the RLC window size may become larger than the maximum window size for the new resources.</w:t>
      </w:r>
    </w:p>
    <w:p w14:paraId="55A19226" w14:textId="77777777" w:rsidR="00711444" w:rsidRPr="004D0DAA" w:rsidRDefault="00711444" w:rsidP="00711444">
      <w:pPr>
        <w:pStyle w:val="TH"/>
      </w:pPr>
      <w:r w:rsidRPr="004D0DAA">
        <w:t>Table 9.1.9.2.1: Allowed window sizes in EGPRS TBF mode for different multislot allocations</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F" w:firstRow="1" w:lastRow="0" w:firstColumn="1" w:lastColumn="0" w:noHBand="0" w:noVBand="0"/>
      </w:tblPr>
      <w:tblGrid>
        <w:gridCol w:w="1021"/>
        <w:gridCol w:w="850"/>
        <w:gridCol w:w="567"/>
        <w:gridCol w:w="567"/>
        <w:gridCol w:w="567"/>
        <w:gridCol w:w="567"/>
        <w:gridCol w:w="567"/>
        <w:gridCol w:w="567"/>
        <w:gridCol w:w="567"/>
        <w:gridCol w:w="567"/>
      </w:tblGrid>
      <w:tr w:rsidR="00711444" w:rsidRPr="004D0DAA" w14:paraId="48D3D593" w14:textId="77777777" w:rsidTr="00AA2A4C">
        <w:tblPrEx>
          <w:tblCellMar>
            <w:top w:w="0" w:type="dxa"/>
            <w:bottom w:w="0" w:type="dxa"/>
          </w:tblCellMar>
        </w:tblPrEx>
        <w:trPr>
          <w:cantSplit/>
          <w:trHeight w:val="69"/>
        </w:trPr>
        <w:tc>
          <w:tcPr>
            <w:tcW w:w="1021" w:type="dxa"/>
            <w:vMerge w:val="restart"/>
          </w:tcPr>
          <w:p w14:paraId="3270AF6C" w14:textId="77777777" w:rsidR="00711444" w:rsidRPr="004D0DAA" w:rsidRDefault="00711444" w:rsidP="00AA2A4C">
            <w:pPr>
              <w:pStyle w:val="TAC"/>
              <w:rPr>
                <w:lang w:eastAsia="en-US"/>
              </w:rPr>
            </w:pPr>
            <w:r w:rsidRPr="004D0DAA">
              <w:rPr>
                <w:lang w:eastAsia="en-US"/>
              </w:rPr>
              <w:t>Window size</w:t>
            </w:r>
          </w:p>
        </w:tc>
        <w:tc>
          <w:tcPr>
            <w:tcW w:w="850" w:type="dxa"/>
            <w:vMerge w:val="restart"/>
          </w:tcPr>
          <w:p w14:paraId="28068020" w14:textId="77777777" w:rsidR="00711444" w:rsidRPr="004D0DAA" w:rsidRDefault="00711444" w:rsidP="00AA2A4C">
            <w:pPr>
              <w:pStyle w:val="TAC"/>
              <w:rPr>
                <w:lang w:eastAsia="en-US"/>
              </w:rPr>
            </w:pPr>
            <w:r w:rsidRPr="004D0DAA">
              <w:rPr>
                <w:lang w:eastAsia="en-US"/>
              </w:rPr>
              <w:t>Coding</w:t>
            </w:r>
          </w:p>
        </w:tc>
        <w:tc>
          <w:tcPr>
            <w:tcW w:w="4536" w:type="dxa"/>
            <w:gridSpan w:val="8"/>
          </w:tcPr>
          <w:p w14:paraId="1C6E26D1" w14:textId="77777777" w:rsidR="00711444" w:rsidRPr="004D0DAA" w:rsidRDefault="00711444" w:rsidP="00AA2A4C">
            <w:pPr>
              <w:pStyle w:val="TAC"/>
              <w:rPr>
                <w:lang w:eastAsia="en-US"/>
              </w:rPr>
            </w:pPr>
            <w:r w:rsidRPr="004D0DAA">
              <w:rPr>
                <w:lang w:eastAsia="en-US"/>
              </w:rPr>
              <w:t>Timeslots assigned (multislot capability)</w:t>
            </w:r>
          </w:p>
        </w:tc>
      </w:tr>
      <w:tr w:rsidR="00711444" w:rsidRPr="004D0DAA" w14:paraId="12166BE9" w14:textId="77777777" w:rsidTr="00AA2A4C">
        <w:tblPrEx>
          <w:tblCellMar>
            <w:top w:w="0" w:type="dxa"/>
            <w:bottom w:w="0" w:type="dxa"/>
          </w:tblCellMar>
        </w:tblPrEx>
        <w:trPr>
          <w:cantSplit/>
          <w:trHeight w:val="130"/>
        </w:trPr>
        <w:tc>
          <w:tcPr>
            <w:tcW w:w="1021" w:type="dxa"/>
            <w:vMerge/>
          </w:tcPr>
          <w:p w14:paraId="01B54458" w14:textId="77777777" w:rsidR="00711444" w:rsidRPr="004D0DAA" w:rsidRDefault="00711444" w:rsidP="00AA2A4C"/>
        </w:tc>
        <w:tc>
          <w:tcPr>
            <w:tcW w:w="850" w:type="dxa"/>
            <w:vMerge/>
          </w:tcPr>
          <w:p w14:paraId="220B9294" w14:textId="77777777" w:rsidR="00711444" w:rsidRPr="004D0DAA" w:rsidRDefault="00711444" w:rsidP="00AA2A4C"/>
        </w:tc>
        <w:tc>
          <w:tcPr>
            <w:tcW w:w="567" w:type="dxa"/>
          </w:tcPr>
          <w:p w14:paraId="3102EA7F" w14:textId="77777777" w:rsidR="00711444" w:rsidRPr="004D0DAA" w:rsidRDefault="00711444" w:rsidP="00AA2A4C">
            <w:pPr>
              <w:pStyle w:val="TAC"/>
              <w:rPr>
                <w:lang w:eastAsia="en-US"/>
              </w:rPr>
            </w:pPr>
            <w:r w:rsidRPr="004D0DAA">
              <w:rPr>
                <w:lang w:eastAsia="en-US"/>
              </w:rPr>
              <w:t>1</w:t>
            </w:r>
          </w:p>
        </w:tc>
        <w:tc>
          <w:tcPr>
            <w:tcW w:w="567" w:type="dxa"/>
          </w:tcPr>
          <w:p w14:paraId="57EAD37E" w14:textId="77777777" w:rsidR="00711444" w:rsidRPr="004D0DAA" w:rsidRDefault="00711444" w:rsidP="00AA2A4C">
            <w:pPr>
              <w:pStyle w:val="TAC"/>
              <w:rPr>
                <w:lang w:eastAsia="en-US"/>
              </w:rPr>
            </w:pPr>
            <w:r w:rsidRPr="004D0DAA">
              <w:rPr>
                <w:lang w:eastAsia="en-US"/>
              </w:rPr>
              <w:t>2</w:t>
            </w:r>
          </w:p>
        </w:tc>
        <w:tc>
          <w:tcPr>
            <w:tcW w:w="567" w:type="dxa"/>
          </w:tcPr>
          <w:p w14:paraId="66C05BF1" w14:textId="77777777" w:rsidR="00711444" w:rsidRPr="004D0DAA" w:rsidRDefault="00711444" w:rsidP="00AA2A4C">
            <w:pPr>
              <w:pStyle w:val="TAC"/>
              <w:rPr>
                <w:lang w:eastAsia="en-US"/>
              </w:rPr>
            </w:pPr>
            <w:r w:rsidRPr="004D0DAA">
              <w:rPr>
                <w:lang w:eastAsia="en-US"/>
              </w:rPr>
              <w:t>3</w:t>
            </w:r>
          </w:p>
        </w:tc>
        <w:tc>
          <w:tcPr>
            <w:tcW w:w="567" w:type="dxa"/>
          </w:tcPr>
          <w:p w14:paraId="7C941E37" w14:textId="77777777" w:rsidR="00711444" w:rsidRPr="004D0DAA" w:rsidRDefault="00711444" w:rsidP="00AA2A4C">
            <w:pPr>
              <w:pStyle w:val="TAC"/>
              <w:rPr>
                <w:lang w:eastAsia="en-US"/>
              </w:rPr>
            </w:pPr>
            <w:r w:rsidRPr="004D0DAA">
              <w:rPr>
                <w:lang w:eastAsia="en-US"/>
              </w:rPr>
              <w:t>4</w:t>
            </w:r>
          </w:p>
        </w:tc>
        <w:tc>
          <w:tcPr>
            <w:tcW w:w="567" w:type="dxa"/>
          </w:tcPr>
          <w:p w14:paraId="595812E0" w14:textId="77777777" w:rsidR="00711444" w:rsidRPr="004D0DAA" w:rsidRDefault="00711444" w:rsidP="00AA2A4C">
            <w:pPr>
              <w:pStyle w:val="TAC"/>
              <w:rPr>
                <w:lang w:eastAsia="en-US"/>
              </w:rPr>
            </w:pPr>
            <w:r w:rsidRPr="004D0DAA">
              <w:rPr>
                <w:lang w:eastAsia="en-US"/>
              </w:rPr>
              <w:t>5</w:t>
            </w:r>
          </w:p>
        </w:tc>
        <w:tc>
          <w:tcPr>
            <w:tcW w:w="567" w:type="dxa"/>
          </w:tcPr>
          <w:p w14:paraId="22D8EE9F" w14:textId="77777777" w:rsidR="00711444" w:rsidRPr="004D0DAA" w:rsidRDefault="00711444" w:rsidP="00AA2A4C">
            <w:pPr>
              <w:pStyle w:val="TAC"/>
              <w:rPr>
                <w:lang w:eastAsia="en-US"/>
              </w:rPr>
            </w:pPr>
            <w:r w:rsidRPr="004D0DAA">
              <w:rPr>
                <w:lang w:eastAsia="en-US"/>
              </w:rPr>
              <w:t>6</w:t>
            </w:r>
          </w:p>
        </w:tc>
        <w:tc>
          <w:tcPr>
            <w:tcW w:w="567" w:type="dxa"/>
          </w:tcPr>
          <w:p w14:paraId="77471C08" w14:textId="77777777" w:rsidR="00711444" w:rsidRPr="004D0DAA" w:rsidRDefault="00711444" w:rsidP="00AA2A4C">
            <w:pPr>
              <w:pStyle w:val="TAC"/>
              <w:rPr>
                <w:lang w:eastAsia="en-US"/>
              </w:rPr>
            </w:pPr>
            <w:r w:rsidRPr="004D0DAA">
              <w:rPr>
                <w:lang w:eastAsia="en-US"/>
              </w:rPr>
              <w:t>7</w:t>
            </w:r>
          </w:p>
        </w:tc>
        <w:tc>
          <w:tcPr>
            <w:tcW w:w="567" w:type="dxa"/>
          </w:tcPr>
          <w:p w14:paraId="7E0B49AD" w14:textId="77777777" w:rsidR="00711444" w:rsidRPr="004D0DAA" w:rsidRDefault="00711444" w:rsidP="00AA2A4C">
            <w:pPr>
              <w:pStyle w:val="TAC"/>
              <w:rPr>
                <w:lang w:eastAsia="en-US"/>
              </w:rPr>
            </w:pPr>
            <w:r w:rsidRPr="004D0DAA">
              <w:rPr>
                <w:lang w:eastAsia="en-US"/>
              </w:rPr>
              <w:t>8</w:t>
            </w:r>
          </w:p>
        </w:tc>
      </w:tr>
      <w:tr w:rsidR="00711444" w:rsidRPr="004D0DAA" w14:paraId="47B012D7" w14:textId="77777777" w:rsidTr="00AA2A4C">
        <w:tblPrEx>
          <w:tblCellMar>
            <w:top w:w="0" w:type="dxa"/>
            <w:bottom w:w="0" w:type="dxa"/>
          </w:tblCellMar>
        </w:tblPrEx>
        <w:tc>
          <w:tcPr>
            <w:tcW w:w="1021" w:type="dxa"/>
          </w:tcPr>
          <w:p w14:paraId="01367914" w14:textId="77777777" w:rsidR="00711444" w:rsidRPr="004D0DAA" w:rsidRDefault="00711444" w:rsidP="00AA2A4C">
            <w:pPr>
              <w:pStyle w:val="TAC"/>
              <w:rPr>
                <w:lang w:eastAsia="en-US"/>
              </w:rPr>
            </w:pPr>
            <w:r w:rsidRPr="004D0DAA">
              <w:rPr>
                <w:lang w:eastAsia="en-US"/>
              </w:rPr>
              <w:lastRenderedPageBreak/>
              <w:t>64</w:t>
            </w:r>
          </w:p>
        </w:tc>
        <w:tc>
          <w:tcPr>
            <w:tcW w:w="850" w:type="dxa"/>
          </w:tcPr>
          <w:p w14:paraId="21CFA6EB" w14:textId="77777777" w:rsidR="00711444" w:rsidRPr="004D0DAA" w:rsidRDefault="00711444" w:rsidP="00AA2A4C">
            <w:pPr>
              <w:pStyle w:val="TAC"/>
              <w:rPr>
                <w:lang w:eastAsia="en-US"/>
              </w:rPr>
            </w:pPr>
            <w:r w:rsidRPr="004D0DAA">
              <w:rPr>
                <w:lang w:eastAsia="en-US"/>
              </w:rPr>
              <w:t>00000</w:t>
            </w:r>
          </w:p>
        </w:tc>
        <w:tc>
          <w:tcPr>
            <w:tcW w:w="567" w:type="dxa"/>
            <w:shd w:val="pct20" w:color="000000" w:fill="FFFFFF"/>
          </w:tcPr>
          <w:p w14:paraId="3643571F" w14:textId="77777777" w:rsidR="00711444" w:rsidRPr="004D0DAA" w:rsidRDefault="00711444" w:rsidP="00AA2A4C"/>
        </w:tc>
        <w:tc>
          <w:tcPr>
            <w:tcW w:w="567" w:type="dxa"/>
            <w:shd w:val="pct20" w:color="auto" w:fill="FFFFFF"/>
          </w:tcPr>
          <w:p w14:paraId="507205C2" w14:textId="77777777" w:rsidR="00711444" w:rsidRPr="004D0DAA" w:rsidRDefault="00711444" w:rsidP="00AA2A4C"/>
        </w:tc>
        <w:tc>
          <w:tcPr>
            <w:tcW w:w="567" w:type="dxa"/>
            <w:shd w:val="pct20" w:color="auto" w:fill="FFFFFF"/>
          </w:tcPr>
          <w:p w14:paraId="4153BC31" w14:textId="77777777" w:rsidR="00711444" w:rsidRPr="004D0DAA" w:rsidRDefault="00711444" w:rsidP="00AA2A4C"/>
        </w:tc>
        <w:tc>
          <w:tcPr>
            <w:tcW w:w="567" w:type="dxa"/>
            <w:shd w:val="pct20" w:color="auto" w:fill="FFFFFF"/>
          </w:tcPr>
          <w:p w14:paraId="4467800A" w14:textId="77777777" w:rsidR="00711444" w:rsidRPr="004D0DAA" w:rsidRDefault="00711444" w:rsidP="00AA2A4C"/>
        </w:tc>
        <w:tc>
          <w:tcPr>
            <w:tcW w:w="567" w:type="dxa"/>
            <w:shd w:val="pct20" w:color="auto" w:fill="FFFFFF"/>
          </w:tcPr>
          <w:p w14:paraId="51A7CA1C" w14:textId="77777777" w:rsidR="00711444" w:rsidRPr="004D0DAA" w:rsidRDefault="00711444" w:rsidP="00AA2A4C"/>
        </w:tc>
        <w:tc>
          <w:tcPr>
            <w:tcW w:w="567" w:type="dxa"/>
            <w:shd w:val="pct20" w:color="auto" w:fill="FFFFFF"/>
          </w:tcPr>
          <w:p w14:paraId="2D018324" w14:textId="77777777" w:rsidR="00711444" w:rsidRPr="004D0DAA" w:rsidRDefault="00711444" w:rsidP="00AA2A4C"/>
        </w:tc>
        <w:tc>
          <w:tcPr>
            <w:tcW w:w="567" w:type="dxa"/>
            <w:shd w:val="pct20" w:color="auto" w:fill="FFFFFF"/>
          </w:tcPr>
          <w:p w14:paraId="2E10D64B" w14:textId="77777777" w:rsidR="00711444" w:rsidRPr="004D0DAA" w:rsidRDefault="00711444" w:rsidP="00AA2A4C"/>
        </w:tc>
        <w:tc>
          <w:tcPr>
            <w:tcW w:w="567" w:type="dxa"/>
            <w:shd w:val="pct20" w:color="auto" w:fill="FFFFFF"/>
          </w:tcPr>
          <w:p w14:paraId="56F9C965" w14:textId="77777777" w:rsidR="00711444" w:rsidRPr="004D0DAA" w:rsidRDefault="00711444" w:rsidP="00AA2A4C">
            <w:pPr>
              <w:pStyle w:val="TAC"/>
              <w:rPr>
                <w:lang w:eastAsia="en-US"/>
              </w:rPr>
            </w:pPr>
          </w:p>
        </w:tc>
      </w:tr>
      <w:tr w:rsidR="00711444" w:rsidRPr="004D0DAA" w14:paraId="786DCFCB" w14:textId="77777777" w:rsidTr="00AA2A4C">
        <w:tblPrEx>
          <w:tblCellMar>
            <w:top w:w="0" w:type="dxa"/>
            <w:bottom w:w="0" w:type="dxa"/>
          </w:tblCellMar>
        </w:tblPrEx>
        <w:tc>
          <w:tcPr>
            <w:tcW w:w="1021" w:type="dxa"/>
          </w:tcPr>
          <w:p w14:paraId="48CF9234" w14:textId="77777777" w:rsidR="00711444" w:rsidRPr="004D0DAA" w:rsidRDefault="00711444" w:rsidP="00AA2A4C">
            <w:pPr>
              <w:pStyle w:val="TAC"/>
              <w:rPr>
                <w:lang w:eastAsia="en-US"/>
              </w:rPr>
            </w:pPr>
            <w:r w:rsidRPr="004D0DAA">
              <w:rPr>
                <w:lang w:eastAsia="en-US"/>
              </w:rPr>
              <w:t>96</w:t>
            </w:r>
          </w:p>
        </w:tc>
        <w:tc>
          <w:tcPr>
            <w:tcW w:w="850" w:type="dxa"/>
          </w:tcPr>
          <w:p w14:paraId="5E28B566" w14:textId="77777777" w:rsidR="00711444" w:rsidRPr="004D0DAA" w:rsidRDefault="00711444" w:rsidP="00AA2A4C">
            <w:pPr>
              <w:pStyle w:val="TAC"/>
              <w:rPr>
                <w:lang w:eastAsia="en-US"/>
              </w:rPr>
            </w:pPr>
            <w:r w:rsidRPr="004D0DAA">
              <w:rPr>
                <w:lang w:eastAsia="en-US"/>
              </w:rPr>
              <w:t>00001</w:t>
            </w:r>
          </w:p>
        </w:tc>
        <w:tc>
          <w:tcPr>
            <w:tcW w:w="567" w:type="dxa"/>
            <w:shd w:val="pct20" w:color="000000" w:fill="FFFFFF"/>
          </w:tcPr>
          <w:p w14:paraId="5AC3E218" w14:textId="77777777" w:rsidR="00711444" w:rsidRPr="004D0DAA" w:rsidRDefault="00711444" w:rsidP="00AA2A4C"/>
        </w:tc>
        <w:tc>
          <w:tcPr>
            <w:tcW w:w="567" w:type="dxa"/>
            <w:shd w:val="pct20" w:color="auto" w:fill="FFFFFF"/>
          </w:tcPr>
          <w:p w14:paraId="27C59CF8" w14:textId="77777777" w:rsidR="00711444" w:rsidRPr="004D0DAA" w:rsidRDefault="00711444" w:rsidP="00AA2A4C"/>
        </w:tc>
        <w:tc>
          <w:tcPr>
            <w:tcW w:w="567" w:type="dxa"/>
            <w:shd w:val="pct20" w:color="auto" w:fill="FFFFFF"/>
          </w:tcPr>
          <w:p w14:paraId="63239F4C" w14:textId="77777777" w:rsidR="00711444" w:rsidRPr="004D0DAA" w:rsidRDefault="00711444" w:rsidP="00AA2A4C"/>
        </w:tc>
        <w:tc>
          <w:tcPr>
            <w:tcW w:w="567" w:type="dxa"/>
            <w:shd w:val="pct20" w:color="auto" w:fill="FFFFFF"/>
          </w:tcPr>
          <w:p w14:paraId="68A31234" w14:textId="77777777" w:rsidR="00711444" w:rsidRPr="004D0DAA" w:rsidRDefault="00711444" w:rsidP="00AA2A4C"/>
        </w:tc>
        <w:tc>
          <w:tcPr>
            <w:tcW w:w="567" w:type="dxa"/>
            <w:shd w:val="pct20" w:color="auto" w:fill="FFFFFF"/>
          </w:tcPr>
          <w:p w14:paraId="52FE4ECC" w14:textId="77777777" w:rsidR="00711444" w:rsidRPr="004D0DAA" w:rsidRDefault="00711444" w:rsidP="00AA2A4C"/>
        </w:tc>
        <w:tc>
          <w:tcPr>
            <w:tcW w:w="567" w:type="dxa"/>
            <w:shd w:val="pct20" w:color="auto" w:fill="FFFFFF"/>
          </w:tcPr>
          <w:p w14:paraId="0121D642" w14:textId="77777777" w:rsidR="00711444" w:rsidRPr="004D0DAA" w:rsidRDefault="00711444" w:rsidP="00AA2A4C"/>
        </w:tc>
        <w:tc>
          <w:tcPr>
            <w:tcW w:w="567" w:type="dxa"/>
            <w:shd w:val="pct20" w:color="auto" w:fill="FFFFFF"/>
          </w:tcPr>
          <w:p w14:paraId="0A2555E8" w14:textId="77777777" w:rsidR="00711444" w:rsidRPr="004D0DAA" w:rsidRDefault="00711444" w:rsidP="00AA2A4C"/>
        </w:tc>
        <w:tc>
          <w:tcPr>
            <w:tcW w:w="567" w:type="dxa"/>
            <w:shd w:val="pct20" w:color="auto" w:fill="FFFFFF"/>
          </w:tcPr>
          <w:p w14:paraId="555D5409" w14:textId="77777777" w:rsidR="00711444" w:rsidRPr="004D0DAA" w:rsidRDefault="00711444" w:rsidP="00AA2A4C">
            <w:pPr>
              <w:pStyle w:val="TAC"/>
              <w:rPr>
                <w:lang w:eastAsia="en-US"/>
              </w:rPr>
            </w:pPr>
          </w:p>
        </w:tc>
      </w:tr>
      <w:tr w:rsidR="00711444" w:rsidRPr="004D0DAA" w14:paraId="6292C7BC" w14:textId="77777777" w:rsidTr="00AA2A4C">
        <w:tblPrEx>
          <w:tblCellMar>
            <w:top w:w="0" w:type="dxa"/>
            <w:bottom w:w="0" w:type="dxa"/>
          </w:tblCellMar>
        </w:tblPrEx>
        <w:tc>
          <w:tcPr>
            <w:tcW w:w="1021" w:type="dxa"/>
          </w:tcPr>
          <w:p w14:paraId="27C9A445" w14:textId="77777777" w:rsidR="00711444" w:rsidRPr="004D0DAA" w:rsidRDefault="00711444" w:rsidP="00AA2A4C">
            <w:pPr>
              <w:pStyle w:val="TAC"/>
              <w:rPr>
                <w:lang w:eastAsia="en-US"/>
              </w:rPr>
            </w:pPr>
            <w:r w:rsidRPr="004D0DAA">
              <w:rPr>
                <w:lang w:eastAsia="en-US"/>
              </w:rPr>
              <w:t>128</w:t>
            </w:r>
          </w:p>
        </w:tc>
        <w:tc>
          <w:tcPr>
            <w:tcW w:w="850" w:type="dxa"/>
          </w:tcPr>
          <w:p w14:paraId="7DAFB8EA" w14:textId="77777777" w:rsidR="00711444" w:rsidRPr="004D0DAA" w:rsidRDefault="00711444" w:rsidP="00AA2A4C">
            <w:pPr>
              <w:pStyle w:val="TAC"/>
              <w:rPr>
                <w:lang w:eastAsia="en-US"/>
              </w:rPr>
            </w:pPr>
            <w:r w:rsidRPr="004D0DAA">
              <w:rPr>
                <w:lang w:eastAsia="en-US"/>
              </w:rPr>
              <w:t>00010</w:t>
            </w:r>
          </w:p>
        </w:tc>
        <w:tc>
          <w:tcPr>
            <w:tcW w:w="567" w:type="dxa"/>
            <w:shd w:val="pct20" w:color="000000" w:fill="FFFFFF"/>
          </w:tcPr>
          <w:p w14:paraId="5955DEA5" w14:textId="77777777" w:rsidR="00711444" w:rsidRPr="004D0DAA" w:rsidRDefault="00711444" w:rsidP="00AA2A4C"/>
        </w:tc>
        <w:tc>
          <w:tcPr>
            <w:tcW w:w="567" w:type="dxa"/>
            <w:shd w:val="pct20" w:color="auto" w:fill="FFFFFF"/>
          </w:tcPr>
          <w:p w14:paraId="4E4B40AC" w14:textId="77777777" w:rsidR="00711444" w:rsidRPr="004D0DAA" w:rsidRDefault="00711444" w:rsidP="00AA2A4C"/>
        </w:tc>
        <w:tc>
          <w:tcPr>
            <w:tcW w:w="567" w:type="dxa"/>
            <w:shd w:val="pct20" w:color="auto" w:fill="FFFFFF"/>
          </w:tcPr>
          <w:p w14:paraId="37FCF36E" w14:textId="77777777" w:rsidR="00711444" w:rsidRPr="004D0DAA" w:rsidRDefault="00711444" w:rsidP="00AA2A4C"/>
        </w:tc>
        <w:tc>
          <w:tcPr>
            <w:tcW w:w="567" w:type="dxa"/>
            <w:shd w:val="pct20" w:color="auto" w:fill="FFFFFF"/>
          </w:tcPr>
          <w:p w14:paraId="7E13A0D8" w14:textId="77777777" w:rsidR="00711444" w:rsidRPr="004D0DAA" w:rsidRDefault="00711444" w:rsidP="00AA2A4C"/>
        </w:tc>
        <w:tc>
          <w:tcPr>
            <w:tcW w:w="567" w:type="dxa"/>
            <w:shd w:val="pct20" w:color="auto" w:fill="FFFFFF"/>
          </w:tcPr>
          <w:p w14:paraId="520E6F29" w14:textId="77777777" w:rsidR="00711444" w:rsidRPr="004D0DAA" w:rsidRDefault="00711444" w:rsidP="00AA2A4C"/>
        </w:tc>
        <w:tc>
          <w:tcPr>
            <w:tcW w:w="567" w:type="dxa"/>
            <w:shd w:val="pct20" w:color="auto" w:fill="FFFFFF"/>
          </w:tcPr>
          <w:p w14:paraId="0ECB58EE" w14:textId="77777777" w:rsidR="00711444" w:rsidRPr="004D0DAA" w:rsidRDefault="00711444" w:rsidP="00AA2A4C"/>
        </w:tc>
        <w:tc>
          <w:tcPr>
            <w:tcW w:w="567" w:type="dxa"/>
            <w:shd w:val="pct20" w:color="auto" w:fill="FFFFFF"/>
          </w:tcPr>
          <w:p w14:paraId="2A1F5E8E" w14:textId="77777777" w:rsidR="00711444" w:rsidRPr="004D0DAA" w:rsidRDefault="00711444" w:rsidP="00AA2A4C"/>
        </w:tc>
        <w:tc>
          <w:tcPr>
            <w:tcW w:w="567" w:type="dxa"/>
            <w:shd w:val="pct20" w:color="auto" w:fill="FFFFFF"/>
          </w:tcPr>
          <w:p w14:paraId="107B3AFD" w14:textId="77777777" w:rsidR="00711444" w:rsidRPr="004D0DAA" w:rsidRDefault="00711444" w:rsidP="00AA2A4C">
            <w:pPr>
              <w:pStyle w:val="TAC"/>
              <w:rPr>
                <w:lang w:eastAsia="en-US"/>
              </w:rPr>
            </w:pPr>
          </w:p>
        </w:tc>
      </w:tr>
      <w:tr w:rsidR="00711444" w:rsidRPr="004D0DAA" w14:paraId="09422BAF" w14:textId="77777777" w:rsidTr="00AA2A4C">
        <w:tblPrEx>
          <w:tblCellMar>
            <w:top w:w="0" w:type="dxa"/>
            <w:bottom w:w="0" w:type="dxa"/>
          </w:tblCellMar>
        </w:tblPrEx>
        <w:tc>
          <w:tcPr>
            <w:tcW w:w="1021" w:type="dxa"/>
          </w:tcPr>
          <w:p w14:paraId="3405709B" w14:textId="77777777" w:rsidR="00711444" w:rsidRPr="004D0DAA" w:rsidRDefault="00711444" w:rsidP="00AA2A4C">
            <w:pPr>
              <w:pStyle w:val="TAC"/>
              <w:rPr>
                <w:lang w:eastAsia="en-US"/>
              </w:rPr>
            </w:pPr>
            <w:r w:rsidRPr="004D0DAA">
              <w:rPr>
                <w:lang w:eastAsia="en-US"/>
              </w:rPr>
              <w:t>160</w:t>
            </w:r>
          </w:p>
        </w:tc>
        <w:tc>
          <w:tcPr>
            <w:tcW w:w="850" w:type="dxa"/>
          </w:tcPr>
          <w:p w14:paraId="4FBDC712" w14:textId="77777777" w:rsidR="00711444" w:rsidRPr="004D0DAA" w:rsidRDefault="00711444" w:rsidP="00AA2A4C">
            <w:pPr>
              <w:pStyle w:val="TAC"/>
              <w:rPr>
                <w:lang w:eastAsia="en-US"/>
              </w:rPr>
            </w:pPr>
            <w:r w:rsidRPr="004D0DAA">
              <w:rPr>
                <w:lang w:eastAsia="en-US"/>
              </w:rPr>
              <w:t>00011</w:t>
            </w:r>
          </w:p>
        </w:tc>
        <w:tc>
          <w:tcPr>
            <w:tcW w:w="567" w:type="dxa"/>
            <w:shd w:val="pct20" w:color="000000" w:fill="FFFFFF"/>
          </w:tcPr>
          <w:p w14:paraId="3E8AD26F" w14:textId="77777777" w:rsidR="00711444" w:rsidRPr="004D0DAA" w:rsidRDefault="00711444" w:rsidP="00AA2A4C"/>
        </w:tc>
        <w:tc>
          <w:tcPr>
            <w:tcW w:w="567" w:type="dxa"/>
            <w:shd w:val="pct20" w:color="auto" w:fill="FFFFFF"/>
          </w:tcPr>
          <w:p w14:paraId="6EB7BE71" w14:textId="77777777" w:rsidR="00711444" w:rsidRPr="004D0DAA" w:rsidRDefault="00711444" w:rsidP="00AA2A4C"/>
        </w:tc>
        <w:tc>
          <w:tcPr>
            <w:tcW w:w="567" w:type="dxa"/>
            <w:shd w:val="pct20" w:color="auto" w:fill="FFFFFF"/>
          </w:tcPr>
          <w:p w14:paraId="1A11F841" w14:textId="77777777" w:rsidR="00711444" w:rsidRPr="004D0DAA" w:rsidRDefault="00711444" w:rsidP="00AA2A4C"/>
        </w:tc>
        <w:tc>
          <w:tcPr>
            <w:tcW w:w="567" w:type="dxa"/>
            <w:shd w:val="pct20" w:color="auto" w:fill="FFFFFF"/>
          </w:tcPr>
          <w:p w14:paraId="3E6D8B30" w14:textId="77777777" w:rsidR="00711444" w:rsidRPr="004D0DAA" w:rsidRDefault="00711444" w:rsidP="00AA2A4C"/>
        </w:tc>
        <w:tc>
          <w:tcPr>
            <w:tcW w:w="567" w:type="dxa"/>
            <w:shd w:val="pct20" w:color="auto" w:fill="FFFFFF"/>
          </w:tcPr>
          <w:p w14:paraId="0B818569" w14:textId="77777777" w:rsidR="00711444" w:rsidRPr="004D0DAA" w:rsidRDefault="00711444" w:rsidP="00AA2A4C"/>
        </w:tc>
        <w:tc>
          <w:tcPr>
            <w:tcW w:w="567" w:type="dxa"/>
            <w:shd w:val="pct20" w:color="auto" w:fill="FFFFFF"/>
          </w:tcPr>
          <w:p w14:paraId="02E7BFE0" w14:textId="77777777" w:rsidR="00711444" w:rsidRPr="004D0DAA" w:rsidRDefault="00711444" w:rsidP="00AA2A4C"/>
        </w:tc>
        <w:tc>
          <w:tcPr>
            <w:tcW w:w="567" w:type="dxa"/>
            <w:shd w:val="pct20" w:color="auto" w:fill="FFFFFF"/>
          </w:tcPr>
          <w:p w14:paraId="0FB8A6BB" w14:textId="77777777" w:rsidR="00711444" w:rsidRPr="004D0DAA" w:rsidRDefault="00711444" w:rsidP="00AA2A4C"/>
        </w:tc>
        <w:tc>
          <w:tcPr>
            <w:tcW w:w="567" w:type="dxa"/>
            <w:shd w:val="pct20" w:color="auto" w:fill="FFFFFF"/>
          </w:tcPr>
          <w:p w14:paraId="39E109CF" w14:textId="77777777" w:rsidR="00711444" w:rsidRPr="004D0DAA" w:rsidRDefault="00711444" w:rsidP="00AA2A4C">
            <w:pPr>
              <w:pStyle w:val="TAC"/>
              <w:rPr>
                <w:lang w:eastAsia="en-US"/>
              </w:rPr>
            </w:pPr>
          </w:p>
        </w:tc>
      </w:tr>
      <w:tr w:rsidR="00711444" w:rsidRPr="004D0DAA" w14:paraId="3DD16701" w14:textId="77777777" w:rsidTr="00AA2A4C">
        <w:tblPrEx>
          <w:tblCellMar>
            <w:top w:w="0" w:type="dxa"/>
            <w:bottom w:w="0" w:type="dxa"/>
          </w:tblCellMar>
        </w:tblPrEx>
        <w:tc>
          <w:tcPr>
            <w:tcW w:w="1021" w:type="dxa"/>
          </w:tcPr>
          <w:p w14:paraId="4A92981D" w14:textId="77777777" w:rsidR="00711444" w:rsidRPr="004D0DAA" w:rsidRDefault="00711444" w:rsidP="00AA2A4C">
            <w:pPr>
              <w:pStyle w:val="TAC"/>
              <w:rPr>
                <w:lang w:eastAsia="en-US"/>
              </w:rPr>
            </w:pPr>
            <w:r w:rsidRPr="004D0DAA">
              <w:rPr>
                <w:lang w:eastAsia="en-US"/>
              </w:rPr>
              <w:t>192</w:t>
            </w:r>
          </w:p>
        </w:tc>
        <w:tc>
          <w:tcPr>
            <w:tcW w:w="850" w:type="dxa"/>
          </w:tcPr>
          <w:p w14:paraId="74E26B92" w14:textId="77777777" w:rsidR="00711444" w:rsidRPr="004D0DAA" w:rsidRDefault="00711444" w:rsidP="00AA2A4C">
            <w:pPr>
              <w:pStyle w:val="TAC"/>
              <w:rPr>
                <w:lang w:eastAsia="en-US"/>
              </w:rPr>
            </w:pPr>
            <w:r w:rsidRPr="004D0DAA">
              <w:rPr>
                <w:lang w:eastAsia="en-US"/>
              </w:rPr>
              <w:t>00100</w:t>
            </w:r>
          </w:p>
        </w:tc>
        <w:tc>
          <w:tcPr>
            <w:tcW w:w="567" w:type="dxa"/>
            <w:shd w:val="pct20" w:color="000000" w:fill="FFFFFF"/>
          </w:tcPr>
          <w:p w14:paraId="2D45B47B" w14:textId="77777777" w:rsidR="00711444" w:rsidRPr="004D0DAA" w:rsidRDefault="00711444" w:rsidP="00AA2A4C">
            <w:pPr>
              <w:pStyle w:val="TAC"/>
              <w:rPr>
                <w:lang w:eastAsia="en-US"/>
              </w:rPr>
            </w:pPr>
            <w:r w:rsidRPr="004D0DAA">
              <w:rPr>
                <w:lang w:eastAsia="en-US"/>
              </w:rPr>
              <w:t>Max</w:t>
            </w:r>
          </w:p>
        </w:tc>
        <w:tc>
          <w:tcPr>
            <w:tcW w:w="567" w:type="dxa"/>
            <w:shd w:val="pct20" w:color="auto" w:fill="FFFFFF"/>
          </w:tcPr>
          <w:p w14:paraId="662990A6" w14:textId="77777777" w:rsidR="00711444" w:rsidRPr="004D0DAA" w:rsidRDefault="00711444" w:rsidP="00AA2A4C"/>
        </w:tc>
        <w:tc>
          <w:tcPr>
            <w:tcW w:w="567" w:type="dxa"/>
            <w:shd w:val="pct20" w:color="auto" w:fill="FFFFFF"/>
          </w:tcPr>
          <w:p w14:paraId="639F1275" w14:textId="77777777" w:rsidR="00711444" w:rsidRPr="004D0DAA" w:rsidRDefault="00711444" w:rsidP="00AA2A4C"/>
        </w:tc>
        <w:tc>
          <w:tcPr>
            <w:tcW w:w="567" w:type="dxa"/>
            <w:shd w:val="pct20" w:color="auto" w:fill="FFFFFF"/>
          </w:tcPr>
          <w:p w14:paraId="689410C2" w14:textId="77777777" w:rsidR="00711444" w:rsidRPr="004D0DAA" w:rsidRDefault="00711444" w:rsidP="00AA2A4C"/>
        </w:tc>
        <w:tc>
          <w:tcPr>
            <w:tcW w:w="567" w:type="dxa"/>
            <w:shd w:val="pct20" w:color="auto" w:fill="FFFFFF"/>
          </w:tcPr>
          <w:p w14:paraId="1353BECB" w14:textId="77777777" w:rsidR="00711444" w:rsidRPr="004D0DAA" w:rsidRDefault="00711444" w:rsidP="00AA2A4C"/>
        </w:tc>
        <w:tc>
          <w:tcPr>
            <w:tcW w:w="567" w:type="dxa"/>
            <w:shd w:val="pct20" w:color="auto" w:fill="FFFFFF"/>
          </w:tcPr>
          <w:p w14:paraId="0ECB1CD5" w14:textId="77777777" w:rsidR="00711444" w:rsidRPr="004D0DAA" w:rsidRDefault="00711444" w:rsidP="00AA2A4C"/>
        </w:tc>
        <w:tc>
          <w:tcPr>
            <w:tcW w:w="567" w:type="dxa"/>
            <w:shd w:val="pct20" w:color="auto" w:fill="FFFFFF"/>
          </w:tcPr>
          <w:p w14:paraId="211DDBDE" w14:textId="77777777" w:rsidR="00711444" w:rsidRPr="004D0DAA" w:rsidRDefault="00711444" w:rsidP="00AA2A4C"/>
        </w:tc>
        <w:tc>
          <w:tcPr>
            <w:tcW w:w="567" w:type="dxa"/>
            <w:shd w:val="pct20" w:color="auto" w:fill="FFFFFF"/>
          </w:tcPr>
          <w:p w14:paraId="118887E0" w14:textId="77777777" w:rsidR="00711444" w:rsidRPr="004D0DAA" w:rsidRDefault="00711444" w:rsidP="00AA2A4C">
            <w:pPr>
              <w:pStyle w:val="TAC"/>
              <w:rPr>
                <w:lang w:eastAsia="en-US"/>
              </w:rPr>
            </w:pPr>
          </w:p>
        </w:tc>
      </w:tr>
      <w:tr w:rsidR="00711444" w:rsidRPr="004D0DAA" w14:paraId="5BB232C4" w14:textId="77777777" w:rsidTr="00AA2A4C">
        <w:tblPrEx>
          <w:tblCellMar>
            <w:top w:w="0" w:type="dxa"/>
            <w:bottom w:w="0" w:type="dxa"/>
          </w:tblCellMar>
        </w:tblPrEx>
        <w:tc>
          <w:tcPr>
            <w:tcW w:w="1021" w:type="dxa"/>
          </w:tcPr>
          <w:p w14:paraId="256967E8" w14:textId="77777777" w:rsidR="00711444" w:rsidRPr="004D0DAA" w:rsidRDefault="00711444" w:rsidP="00AA2A4C">
            <w:pPr>
              <w:pStyle w:val="TAC"/>
              <w:rPr>
                <w:lang w:eastAsia="en-US"/>
              </w:rPr>
            </w:pPr>
            <w:r w:rsidRPr="004D0DAA">
              <w:rPr>
                <w:lang w:eastAsia="en-US"/>
              </w:rPr>
              <w:t>224</w:t>
            </w:r>
          </w:p>
        </w:tc>
        <w:tc>
          <w:tcPr>
            <w:tcW w:w="850" w:type="dxa"/>
          </w:tcPr>
          <w:p w14:paraId="57C40140" w14:textId="77777777" w:rsidR="00711444" w:rsidRPr="004D0DAA" w:rsidRDefault="00711444" w:rsidP="00AA2A4C">
            <w:pPr>
              <w:pStyle w:val="TAC"/>
              <w:rPr>
                <w:lang w:eastAsia="en-US"/>
              </w:rPr>
            </w:pPr>
            <w:r w:rsidRPr="004D0DAA">
              <w:rPr>
                <w:lang w:eastAsia="en-US"/>
              </w:rPr>
              <w:t>00101</w:t>
            </w:r>
          </w:p>
        </w:tc>
        <w:tc>
          <w:tcPr>
            <w:tcW w:w="567" w:type="dxa"/>
          </w:tcPr>
          <w:p w14:paraId="1570E984" w14:textId="77777777" w:rsidR="00711444" w:rsidRPr="004D0DAA" w:rsidRDefault="00711444" w:rsidP="00AA2A4C"/>
        </w:tc>
        <w:tc>
          <w:tcPr>
            <w:tcW w:w="567" w:type="dxa"/>
            <w:shd w:val="pct20" w:color="000000" w:fill="FFFFFF"/>
          </w:tcPr>
          <w:p w14:paraId="27BB2AB2" w14:textId="77777777" w:rsidR="00711444" w:rsidRPr="004D0DAA" w:rsidRDefault="00711444" w:rsidP="00AA2A4C"/>
        </w:tc>
        <w:tc>
          <w:tcPr>
            <w:tcW w:w="567" w:type="dxa"/>
            <w:shd w:val="pct20" w:color="000000" w:fill="FFFFFF"/>
          </w:tcPr>
          <w:p w14:paraId="5261BBEA" w14:textId="77777777" w:rsidR="00711444" w:rsidRPr="004D0DAA" w:rsidRDefault="00711444" w:rsidP="00AA2A4C"/>
        </w:tc>
        <w:tc>
          <w:tcPr>
            <w:tcW w:w="567" w:type="dxa"/>
            <w:shd w:val="pct20" w:color="000000" w:fill="FFFFFF"/>
          </w:tcPr>
          <w:p w14:paraId="0A72E444" w14:textId="77777777" w:rsidR="00711444" w:rsidRPr="004D0DAA" w:rsidRDefault="00711444" w:rsidP="00AA2A4C"/>
        </w:tc>
        <w:tc>
          <w:tcPr>
            <w:tcW w:w="567" w:type="dxa"/>
            <w:shd w:val="pct20" w:color="000000" w:fill="FFFFFF"/>
          </w:tcPr>
          <w:p w14:paraId="74ABB986" w14:textId="77777777" w:rsidR="00711444" w:rsidRPr="004D0DAA" w:rsidRDefault="00711444" w:rsidP="00AA2A4C"/>
        </w:tc>
        <w:tc>
          <w:tcPr>
            <w:tcW w:w="567" w:type="dxa"/>
            <w:shd w:val="pct20" w:color="auto" w:fill="FFFFFF"/>
          </w:tcPr>
          <w:p w14:paraId="7AF94C0D" w14:textId="77777777" w:rsidR="00711444" w:rsidRPr="004D0DAA" w:rsidRDefault="00711444" w:rsidP="00AA2A4C"/>
        </w:tc>
        <w:tc>
          <w:tcPr>
            <w:tcW w:w="567" w:type="dxa"/>
            <w:shd w:val="pct20" w:color="auto" w:fill="FFFFFF"/>
          </w:tcPr>
          <w:p w14:paraId="48E79106" w14:textId="77777777" w:rsidR="00711444" w:rsidRPr="004D0DAA" w:rsidRDefault="00711444" w:rsidP="00AA2A4C"/>
        </w:tc>
        <w:tc>
          <w:tcPr>
            <w:tcW w:w="567" w:type="dxa"/>
            <w:shd w:val="pct20" w:color="auto" w:fill="FFFFFF"/>
          </w:tcPr>
          <w:p w14:paraId="76B36838" w14:textId="77777777" w:rsidR="00711444" w:rsidRPr="004D0DAA" w:rsidRDefault="00711444" w:rsidP="00AA2A4C">
            <w:pPr>
              <w:pStyle w:val="TAC"/>
              <w:rPr>
                <w:lang w:eastAsia="en-US"/>
              </w:rPr>
            </w:pPr>
          </w:p>
        </w:tc>
      </w:tr>
      <w:tr w:rsidR="00711444" w:rsidRPr="004D0DAA" w14:paraId="0F9765AC" w14:textId="77777777" w:rsidTr="00AA2A4C">
        <w:tblPrEx>
          <w:tblCellMar>
            <w:top w:w="0" w:type="dxa"/>
            <w:bottom w:w="0" w:type="dxa"/>
          </w:tblCellMar>
        </w:tblPrEx>
        <w:tc>
          <w:tcPr>
            <w:tcW w:w="1021" w:type="dxa"/>
          </w:tcPr>
          <w:p w14:paraId="5E525DF2" w14:textId="77777777" w:rsidR="00711444" w:rsidRPr="004D0DAA" w:rsidRDefault="00711444" w:rsidP="00AA2A4C">
            <w:pPr>
              <w:pStyle w:val="TAC"/>
              <w:rPr>
                <w:lang w:eastAsia="en-US"/>
              </w:rPr>
            </w:pPr>
            <w:r w:rsidRPr="004D0DAA">
              <w:rPr>
                <w:lang w:eastAsia="en-US"/>
              </w:rPr>
              <w:t>256</w:t>
            </w:r>
          </w:p>
        </w:tc>
        <w:tc>
          <w:tcPr>
            <w:tcW w:w="850" w:type="dxa"/>
          </w:tcPr>
          <w:p w14:paraId="18EAF777" w14:textId="77777777" w:rsidR="00711444" w:rsidRPr="004D0DAA" w:rsidRDefault="00711444" w:rsidP="00AA2A4C">
            <w:pPr>
              <w:pStyle w:val="TAC"/>
              <w:rPr>
                <w:lang w:eastAsia="en-US"/>
              </w:rPr>
            </w:pPr>
            <w:r w:rsidRPr="004D0DAA">
              <w:rPr>
                <w:lang w:eastAsia="en-US"/>
              </w:rPr>
              <w:t>00110</w:t>
            </w:r>
          </w:p>
        </w:tc>
        <w:tc>
          <w:tcPr>
            <w:tcW w:w="567" w:type="dxa"/>
          </w:tcPr>
          <w:p w14:paraId="09244EF3" w14:textId="77777777" w:rsidR="00711444" w:rsidRPr="004D0DAA" w:rsidRDefault="00711444" w:rsidP="00AA2A4C"/>
        </w:tc>
        <w:tc>
          <w:tcPr>
            <w:tcW w:w="567" w:type="dxa"/>
            <w:shd w:val="pct20" w:color="auto" w:fill="FFFFFF"/>
          </w:tcPr>
          <w:p w14:paraId="50F57507" w14:textId="77777777" w:rsidR="00711444" w:rsidRPr="004D0DAA" w:rsidRDefault="00711444" w:rsidP="00AA2A4C">
            <w:pPr>
              <w:pStyle w:val="TAC"/>
              <w:rPr>
                <w:lang w:eastAsia="en-US"/>
              </w:rPr>
            </w:pPr>
            <w:r w:rsidRPr="004D0DAA">
              <w:rPr>
                <w:lang w:eastAsia="en-US"/>
              </w:rPr>
              <w:t>Max</w:t>
            </w:r>
          </w:p>
        </w:tc>
        <w:tc>
          <w:tcPr>
            <w:tcW w:w="567" w:type="dxa"/>
            <w:shd w:val="pct20" w:color="000000" w:fill="FFFFFF"/>
          </w:tcPr>
          <w:p w14:paraId="73976295" w14:textId="77777777" w:rsidR="00711444" w:rsidRPr="004D0DAA" w:rsidRDefault="00711444" w:rsidP="00AA2A4C"/>
        </w:tc>
        <w:tc>
          <w:tcPr>
            <w:tcW w:w="567" w:type="dxa"/>
            <w:shd w:val="pct20" w:color="000000" w:fill="FFFFFF"/>
          </w:tcPr>
          <w:p w14:paraId="11ADF48E" w14:textId="77777777" w:rsidR="00711444" w:rsidRPr="004D0DAA" w:rsidRDefault="00711444" w:rsidP="00AA2A4C"/>
        </w:tc>
        <w:tc>
          <w:tcPr>
            <w:tcW w:w="567" w:type="dxa"/>
            <w:shd w:val="pct20" w:color="000000" w:fill="FFFFFF"/>
          </w:tcPr>
          <w:p w14:paraId="598B99F7" w14:textId="77777777" w:rsidR="00711444" w:rsidRPr="004D0DAA" w:rsidRDefault="00711444" w:rsidP="00AA2A4C"/>
        </w:tc>
        <w:tc>
          <w:tcPr>
            <w:tcW w:w="567" w:type="dxa"/>
            <w:shd w:val="pct20" w:color="auto" w:fill="FFFFFF"/>
          </w:tcPr>
          <w:p w14:paraId="5B9E8347" w14:textId="77777777" w:rsidR="00711444" w:rsidRPr="004D0DAA" w:rsidRDefault="00711444" w:rsidP="00AA2A4C"/>
        </w:tc>
        <w:tc>
          <w:tcPr>
            <w:tcW w:w="567" w:type="dxa"/>
            <w:shd w:val="pct20" w:color="auto" w:fill="FFFFFF"/>
          </w:tcPr>
          <w:p w14:paraId="6B1F1FDE" w14:textId="77777777" w:rsidR="00711444" w:rsidRPr="004D0DAA" w:rsidRDefault="00711444" w:rsidP="00AA2A4C"/>
        </w:tc>
        <w:tc>
          <w:tcPr>
            <w:tcW w:w="567" w:type="dxa"/>
            <w:shd w:val="pct20" w:color="auto" w:fill="FFFFFF"/>
          </w:tcPr>
          <w:p w14:paraId="24168920" w14:textId="77777777" w:rsidR="00711444" w:rsidRPr="004D0DAA" w:rsidRDefault="00711444" w:rsidP="00AA2A4C">
            <w:pPr>
              <w:pStyle w:val="TAC"/>
              <w:rPr>
                <w:lang w:eastAsia="en-US"/>
              </w:rPr>
            </w:pPr>
          </w:p>
        </w:tc>
      </w:tr>
      <w:tr w:rsidR="00711444" w:rsidRPr="004D0DAA" w14:paraId="484CB623" w14:textId="77777777" w:rsidTr="00AA2A4C">
        <w:tblPrEx>
          <w:tblCellMar>
            <w:top w:w="0" w:type="dxa"/>
            <w:bottom w:w="0" w:type="dxa"/>
          </w:tblCellMar>
        </w:tblPrEx>
        <w:tc>
          <w:tcPr>
            <w:tcW w:w="1021" w:type="dxa"/>
          </w:tcPr>
          <w:p w14:paraId="3E24312E" w14:textId="77777777" w:rsidR="00711444" w:rsidRPr="004D0DAA" w:rsidRDefault="00711444" w:rsidP="00AA2A4C">
            <w:pPr>
              <w:pStyle w:val="TAC"/>
              <w:rPr>
                <w:lang w:eastAsia="en-US"/>
              </w:rPr>
            </w:pPr>
            <w:r w:rsidRPr="004D0DAA">
              <w:rPr>
                <w:lang w:eastAsia="en-US"/>
              </w:rPr>
              <w:t>288</w:t>
            </w:r>
          </w:p>
        </w:tc>
        <w:tc>
          <w:tcPr>
            <w:tcW w:w="850" w:type="dxa"/>
          </w:tcPr>
          <w:p w14:paraId="0D7F864F" w14:textId="77777777" w:rsidR="00711444" w:rsidRPr="004D0DAA" w:rsidRDefault="00711444" w:rsidP="00AA2A4C">
            <w:pPr>
              <w:pStyle w:val="TAC"/>
              <w:rPr>
                <w:lang w:eastAsia="en-US"/>
              </w:rPr>
            </w:pPr>
            <w:r w:rsidRPr="004D0DAA">
              <w:rPr>
                <w:lang w:eastAsia="en-US"/>
              </w:rPr>
              <w:t>00111</w:t>
            </w:r>
          </w:p>
        </w:tc>
        <w:tc>
          <w:tcPr>
            <w:tcW w:w="567" w:type="dxa"/>
          </w:tcPr>
          <w:p w14:paraId="70503AF2" w14:textId="77777777" w:rsidR="00711444" w:rsidRPr="004D0DAA" w:rsidRDefault="00711444" w:rsidP="00AA2A4C"/>
        </w:tc>
        <w:tc>
          <w:tcPr>
            <w:tcW w:w="567" w:type="dxa"/>
          </w:tcPr>
          <w:p w14:paraId="50F2433C" w14:textId="77777777" w:rsidR="00711444" w:rsidRPr="004D0DAA" w:rsidRDefault="00711444" w:rsidP="00AA2A4C"/>
        </w:tc>
        <w:tc>
          <w:tcPr>
            <w:tcW w:w="567" w:type="dxa"/>
            <w:shd w:val="pct20" w:color="000000" w:fill="FFFFFF"/>
          </w:tcPr>
          <w:p w14:paraId="790A2F3B" w14:textId="77777777" w:rsidR="00711444" w:rsidRPr="004D0DAA" w:rsidRDefault="00711444" w:rsidP="00AA2A4C"/>
        </w:tc>
        <w:tc>
          <w:tcPr>
            <w:tcW w:w="567" w:type="dxa"/>
            <w:shd w:val="pct20" w:color="000000" w:fill="FFFFFF"/>
          </w:tcPr>
          <w:p w14:paraId="16C2F3DB" w14:textId="77777777" w:rsidR="00711444" w:rsidRPr="004D0DAA" w:rsidRDefault="00711444" w:rsidP="00AA2A4C"/>
        </w:tc>
        <w:tc>
          <w:tcPr>
            <w:tcW w:w="567" w:type="dxa"/>
            <w:shd w:val="pct20" w:color="000000" w:fill="FFFFFF"/>
          </w:tcPr>
          <w:p w14:paraId="5011D121" w14:textId="77777777" w:rsidR="00711444" w:rsidRPr="004D0DAA" w:rsidRDefault="00711444" w:rsidP="00AA2A4C"/>
        </w:tc>
        <w:tc>
          <w:tcPr>
            <w:tcW w:w="567" w:type="dxa"/>
            <w:shd w:val="pct20" w:color="auto" w:fill="FFFFFF"/>
          </w:tcPr>
          <w:p w14:paraId="5690BE25" w14:textId="77777777" w:rsidR="00711444" w:rsidRPr="004D0DAA" w:rsidRDefault="00711444" w:rsidP="00AA2A4C"/>
        </w:tc>
        <w:tc>
          <w:tcPr>
            <w:tcW w:w="567" w:type="dxa"/>
            <w:shd w:val="pct20" w:color="auto" w:fill="FFFFFF"/>
          </w:tcPr>
          <w:p w14:paraId="09DB8582" w14:textId="77777777" w:rsidR="00711444" w:rsidRPr="004D0DAA" w:rsidRDefault="00711444" w:rsidP="00AA2A4C"/>
        </w:tc>
        <w:tc>
          <w:tcPr>
            <w:tcW w:w="567" w:type="dxa"/>
            <w:shd w:val="pct20" w:color="auto" w:fill="FFFFFF"/>
          </w:tcPr>
          <w:p w14:paraId="459D8D90" w14:textId="77777777" w:rsidR="00711444" w:rsidRPr="004D0DAA" w:rsidRDefault="00711444" w:rsidP="00AA2A4C">
            <w:pPr>
              <w:pStyle w:val="TAC"/>
              <w:rPr>
                <w:lang w:eastAsia="en-US"/>
              </w:rPr>
            </w:pPr>
          </w:p>
        </w:tc>
      </w:tr>
      <w:tr w:rsidR="00711444" w:rsidRPr="004D0DAA" w14:paraId="28C1B82F" w14:textId="77777777" w:rsidTr="00AA2A4C">
        <w:tblPrEx>
          <w:tblCellMar>
            <w:top w:w="0" w:type="dxa"/>
            <w:bottom w:w="0" w:type="dxa"/>
          </w:tblCellMar>
        </w:tblPrEx>
        <w:tc>
          <w:tcPr>
            <w:tcW w:w="1021" w:type="dxa"/>
          </w:tcPr>
          <w:p w14:paraId="41F43AFA" w14:textId="77777777" w:rsidR="00711444" w:rsidRPr="004D0DAA" w:rsidRDefault="00711444" w:rsidP="00AA2A4C">
            <w:pPr>
              <w:pStyle w:val="TAC"/>
              <w:rPr>
                <w:lang w:eastAsia="en-US"/>
              </w:rPr>
            </w:pPr>
            <w:r w:rsidRPr="004D0DAA">
              <w:rPr>
                <w:lang w:eastAsia="en-US"/>
              </w:rPr>
              <w:t>320</w:t>
            </w:r>
          </w:p>
        </w:tc>
        <w:tc>
          <w:tcPr>
            <w:tcW w:w="850" w:type="dxa"/>
          </w:tcPr>
          <w:p w14:paraId="51874FA0" w14:textId="77777777" w:rsidR="00711444" w:rsidRPr="004D0DAA" w:rsidRDefault="00711444" w:rsidP="00AA2A4C">
            <w:pPr>
              <w:pStyle w:val="TAC"/>
              <w:rPr>
                <w:lang w:eastAsia="en-US"/>
              </w:rPr>
            </w:pPr>
            <w:r w:rsidRPr="004D0DAA">
              <w:rPr>
                <w:lang w:eastAsia="en-US"/>
              </w:rPr>
              <w:t>01000</w:t>
            </w:r>
          </w:p>
        </w:tc>
        <w:tc>
          <w:tcPr>
            <w:tcW w:w="567" w:type="dxa"/>
          </w:tcPr>
          <w:p w14:paraId="4F069FEA" w14:textId="77777777" w:rsidR="00711444" w:rsidRPr="004D0DAA" w:rsidRDefault="00711444" w:rsidP="00AA2A4C"/>
        </w:tc>
        <w:tc>
          <w:tcPr>
            <w:tcW w:w="567" w:type="dxa"/>
          </w:tcPr>
          <w:p w14:paraId="4C31B856" w14:textId="77777777" w:rsidR="00711444" w:rsidRPr="004D0DAA" w:rsidRDefault="00711444" w:rsidP="00AA2A4C"/>
        </w:tc>
        <w:tc>
          <w:tcPr>
            <w:tcW w:w="567" w:type="dxa"/>
            <w:shd w:val="pct20" w:color="000000" w:fill="FFFFFF"/>
          </w:tcPr>
          <w:p w14:paraId="2A799D66" w14:textId="77777777" w:rsidR="00711444" w:rsidRPr="004D0DAA" w:rsidRDefault="00711444" w:rsidP="00AA2A4C"/>
        </w:tc>
        <w:tc>
          <w:tcPr>
            <w:tcW w:w="567" w:type="dxa"/>
            <w:shd w:val="pct20" w:color="000000" w:fill="FFFFFF"/>
          </w:tcPr>
          <w:p w14:paraId="169829F3" w14:textId="77777777" w:rsidR="00711444" w:rsidRPr="004D0DAA" w:rsidRDefault="00711444" w:rsidP="00AA2A4C"/>
        </w:tc>
        <w:tc>
          <w:tcPr>
            <w:tcW w:w="567" w:type="dxa"/>
            <w:shd w:val="pct20" w:color="000000" w:fill="FFFFFF"/>
          </w:tcPr>
          <w:p w14:paraId="668E0539" w14:textId="77777777" w:rsidR="00711444" w:rsidRPr="004D0DAA" w:rsidRDefault="00711444" w:rsidP="00AA2A4C"/>
        </w:tc>
        <w:tc>
          <w:tcPr>
            <w:tcW w:w="567" w:type="dxa"/>
            <w:shd w:val="pct20" w:color="auto" w:fill="FFFFFF"/>
          </w:tcPr>
          <w:p w14:paraId="716B5384" w14:textId="77777777" w:rsidR="00711444" w:rsidRPr="004D0DAA" w:rsidRDefault="00711444" w:rsidP="00AA2A4C"/>
        </w:tc>
        <w:tc>
          <w:tcPr>
            <w:tcW w:w="567" w:type="dxa"/>
            <w:shd w:val="pct20" w:color="auto" w:fill="FFFFFF"/>
          </w:tcPr>
          <w:p w14:paraId="3D6FD9CD" w14:textId="77777777" w:rsidR="00711444" w:rsidRPr="004D0DAA" w:rsidRDefault="00711444" w:rsidP="00AA2A4C"/>
        </w:tc>
        <w:tc>
          <w:tcPr>
            <w:tcW w:w="567" w:type="dxa"/>
            <w:shd w:val="pct20" w:color="auto" w:fill="FFFFFF"/>
          </w:tcPr>
          <w:p w14:paraId="07036837" w14:textId="77777777" w:rsidR="00711444" w:rsidRPr="004D0DAA" w:rsidRDefault="00711444" w:rsidP="00AA2A4C">
            <w:pPr>
              <w:pStyle w:val="TAC"/>
              <w:rPr>
                <w:lang w:eastAsia="en-US"/>
              </w:rPr>
            </w:pPr>
          </w:p>
        </w:tc>
      </w:tr>
      <w:tr w:rsidR="00711444" w:rsidRPr="004D0DAA" w14:paraId="00DD13F7" w14:textId="77777777" w:rsidTr="00AA2A4C">
        <w:tblPrEx>
          <w:tblCellMar>
            <w:top w:w="0" w:type="dxa"/>
            <w:bottom w:w="0" w:type="dxa"/>
          </w:tblCellMar>
        </w:tblPrEx>
        <w:tc>
          <w:tcPr>
            <w:tcW w:w="1021" w:type="dxa"/>
          </w:tcPr>
          <w:p w14:paraId="2AC3B160" w14:textId="77777777" w:rsidR="00711444" w:rsidRPr="004D0DAA" w:rsidRDefault="00711444" w:rsidP="00AA2A4C">
            <w:pPr>
              <w:pStyle w:val="TAC"/>
              <w:rPr>
                <w:lang w:eastAsia="en-US"/>
              </w:rPr>
            </w:pPr>
            <w:r w:rsidRPr="004D0DAA">
              <w:rPr>
                <w:lang w:eastAsia="en-US"/>
              </w:rPr>
              <w:t>352</w:t>
            </w:r>
          </w:p>
        </w:tc>
        <w:tc>
          <w:tcPr>
            <w:tcW w:w="850" w:type="dxa"/>
          </w:tcPr>
          <w:p w14:paraId="30788299" w14:textId="77777777" w:rsidR="00711444" w:rsidRPr="004D0DAA" w:rsidRDefault="00711444" w:rsidP="00AA2A4C">
            <w:pPr>
              <w:pStyle w:val="TAC"/>
              <w:rPr>
                <w:lang w:eastAsia="en-US"/>
              </w:rPr>
            </w:pPr>
            <w:r w:rsidRPr="004D0DAA">
              <w:rPr>
                <w:lang w:eastAsia="en-US"/>
              </w:rPr>
              <w:t>01001</w:t>
            </w:r>
          </w:p>
        </w:tc>
        <w:tc>
          <w:tcPr>
            <w:tcW w:w="567" w:type="dxa"/>
          </w:tcPr>
          <w:p w14:paraId="1A36EF71" w14:textId="77777777" w:rsidR="00711444" w:rsidRPr="004D0DAA" w:rsidRDefault="00711444" w:rsidP="00AA2A4C"/>
        </w:tc>
        <w:tc>
          <w:tcPr>
            <w:tcW w:w="567" w:type="dxa"/>
          </w:tcPr>
          <w:p w14:paraId="488C7CF2" w14:textId="77777777" w:rsidR="00711444" w:rsidRPr="004D0DAA" w:rsidRDefault="00711444" w:rsidP="00AA2A4C"/>
        </w:tc>
        <w:tc>
          <w:tcPr>
            <w:tcW w:w="567" w:type="dxa"/>
            <w:shd w:val="pct20" w:color="000000" w:fill="FFFFFF"/>
          </w:tcPr>
          <w:p w14:paraId="50A220E9" w14:textId="77777777" w:rsidR="00711444" w:rsidRPr="004D0DAA" w:rsidRDefault="00711444" w:rsidP="00AA2A4C"/>
        </w:tc>
        <w:tc>
          <w:tcPr>
            <w:tcW w:w="567" w:type="dxa"/>
            <w:shd w:val="pct20" w:color="000000" w:fill="FFFFFF"/>
          </w:tcPr>
          <w:p w14:paraId="76D5720B" w14:textId="77777777" w:rsidR="00711444" w:rsidRPr="004D0DAA" w:rsidRDefault="00711444" w:rsidP="00AA2A4C"/>
        </w:tc>
        <w:tc>
          <w:tcPr>
            <w:tcW w:w="567" w:type="dxa"/>
            <w:shd w:val="pct20" w:color="000000" w:fill="FFFFFF"/>
          </w:tcPr>
          <w:p w14:paraId="7585034F" w14:textId="77777777" w:rsidR="00711444" w:rsidRPr="004D0DAA" w:rsidRDefault="00711444" w:rsidP="00AA2A4C"/>
        </w:tc>
        <w:tc>
          <w:tcPr>
            <w:tcW w:w="567" w:type="dxa"/>
            <w:shd w:val="pct20" w:color="auto" w:fill="FFFFFF"/>
          </w:tcPr>
          <w:p w14:paraId="0ADCDC86" w14:textId="77777777" w:rsidR="00711444" w:rsidRPr="004D0DAA" w:rsidRDefault="00711444" w:rsidP="00AA2A4C"/>
        </w:tc>
        <w:tc>
          <w:tcPr>
            <w:tcW w:w="567" w:type="dxa"/>
            <w:shd w:val="pct20" w:color="auto" w:fill="FFFFFF"/>
          </w:tcPr>
          <w:p w14:paraId="5604A6AB" w14:textId="77777777" w:rsidR="00711444" w:rsidRPr="004D0DAA" w:rsidRDefault="00711444" w:rsidP="00AA2A4C"/>
        </w:tc>
        <w:tc>
          <w:tcPr>
            <w:tcW w:w="567" w:type="dxa"/>
            <w:shd w:val="pct20" w:color="auto" w:fill="FFFFFF"/>
          </w:tcPr>
          <w:p w14:paraId="0B7ACB7C" w14:textId="77777777" w:rsidR="00711444" w:rsidRPr="004D0DAA" w:rsidRDefault="00711444" w:rsidP="00AA2A4C">
            <w:pPr>
              <w:pStyle w:val="TAC"/>
              <w:rPr>
                <w:lang w:eastAsia="en-US"/>
              </w:rPr>
            </w:pPr>
          </w:p>
        </w:tc>
      </w:tr>
      <w:tr w:rsidR="00711444" w:rsidRPr="004D0DAA" w14:paraId="6E9191BE" w14:textId="77777777" w:rsidTr="00AA2A4C">
        <w:tblPrEx>
          <w:tblCellMar>
            <w:top w:w="0" w:type="dxa"/>
            <w:bottom w:w="0" w:type="dxa"/>
          </w:tblCellMar>
        </w:tblPrEx>
        <w:tc>
          <w:tcPr>
            <w:tcW w:w="1021" w:type="dxa"/>
          </w:tcPr>
          <w:p w14:paraId="3C539BE2" w14:textId="77777777" w:rsidR="00711444" w:rsidRPr="004D0DAA" w:rsidRDefault="00711444" w:rsidP="00AA2A4C">
            <w:pPr>
              <w:pStyle w:val="TAC"/>
              <w:rPr>
                <w:lang w:eastAsia="en-US"/>
              </w:rPr>
            </w:pPr>
            <w:r w:rsidRPr="004D0DAA">
              <w:rPr>
                <w:lang w:eastAsia="en-US"/>
              </w:rPr>
              <w:t>384</w:t>
            </w:r>
          </w:p>
        </w:tc>
        <w:tc>
          <w:tcPr>
            <w:tcW w:w="850" w:type="dxa"/>
          </w:tcPr>
          <w:p w14:paraId="6E900CEF" w14:textId="77777777" w:rsidR="00711444" w:rsidRPr="004D0DAA" w:rsidRDefault="00711444" w:rsidP="00AA2A4C">
            <w:pPr>
              <w:pStyle w:val="TAC"/>
              <w:rPr>
                <w:lang w:eastAsia="en-US"/>
              </w:rPr>
            </w:pPr>
            <w:r w:rsidRPr="004D0DAA">
              <w:rPr>
                <w:lang w:eastAsia="en-US"/>
              </w:rPr>
              <w:t>01010</w:t>
            </w:r>
          </w:p>
        </w:tc>
        <w:tc>
          <w:tcPr>
            <w:tcW w:w="567" w:type="dxa"/>
          </w:tcPr>
          <w:p w14:paraId="274D1E58" w14:textId="77777777" w:rsidR="00711444" w:rsidRPr="004D0DAA" w:rsidRDefault="00711444" w:rsidP="00AA2A4C"/>
        </w:tc>
        <w:tc>
          <w:tcPr>
            <w:tcW w:w="567" w:type="dxa"/>
          </w:tcPr>
          <w:p w14:paraId="5491D0A3" w14:textId="77777777" w:rsidR="00711444" w:rsidRPr="004D0DAA" w:rsidRDefault="00711444" w:rsidP="00AA2A4C"/>
        </w:tc>
        <w:tc>
          <w:tcPr>
            <w:tcW w:w="567" w:type="dxa"/>
            <w:shd w:val="pct20" w:color="auto" w:fill="FFFFFF"/>
          </w:tcPr>
          <w:p w14:paraId="78FDDFAB" w14:textId="77777777" w:rsidR="00711444" w:rsidRPr="004D0DAA" w:rsidRDefault="00711444" w:rsidP="00AA2A4C">
            <w:pPr>
              <w:pStyle w:val="TAC"/>
              <w:rPr>
                <w:lang w:eastAsia="en-US"/>
              </w:rPr>
            </w:pPr>
            <w:r w:rsidRPr="004D0DAA">
              <w:rPr>
                <w:lang w:eastAsia="en-US"/>
              </w:rPr>
              <w:t>Max</w:t>
            </w:r>
          </w:p>
        </w:tc>
        <w:tc>
          <w:tcPr>
            <w:tcW w:w="567" w:type="dxa"/>
            <w:shd w:val="pct20" w:color="000000" w:fill="FFFFFF"/>
          </w:tcPr>
          <w:p w14:paraId="3E7A96E3" w14:textId="77777777" w:rsidR="00711444" w:rsidRPr="004D0DAA" w:rsidRDefault="00711444" w:rsidP="00AA2A4C"/>
        </w:tc>
        <w:tc>
          <w:tcPr>
            <w:tcW w:w="567" w:type="dxa"/>
            <w:shd w:val="pct20" w:color="000000" w:fill="FFFFFF"/>
          </w:tcPr>
          <w:p w14:paraId="7FFB4E5D" w14:textId="77777777" w:rsidR="00711444" w:rsidRPr="004D0DAA" w:rsidRDefault="00711444" w:rsidP="00AA2A4C"/>
        </w:tc>
        <w:tc>
          <w:tcPr>
            <w:tcW w:w="567" w:type="dxa"/>
            <w:shd w:val="pct20" w:color="auto" w:fill="FFFFFF"/>
          </w:tcPr>
          <w:p w14:paraId="66FA460F" w14:textId="77777777" w:rsidR="00711444" w:rsidRPr="004D0DAA" w:rsidRDefault="00711444" w:rsidP="00AA2A4C"/>
        </w:tc>
        <w:tc>
          <w:tcPr>
            <w:tcW w:w="567" w:type="dxa"/>
            <w:shd w:val="pct20" w:color="auto" w:fill="FFFFFF"/>
          </w:tcPr>
          <w:p w14:paraId="2A5EAC74" w14:textId="77777777" w:rsidR="00711444" w:rsidRPr="004D0DAA" w:rsidRDefault="00711444" w:rsidP="00AA2A4C"/>
        </w:tc>
        <w:tc>
          <w:tcPr>
            <w:tcW w:w="567" w:type="dxa"/>
            <w:shd w:val="pct20" w:color="auto" w:fill="FFFFFF"/>
          </w:tcPr>
          <w:p w14:paraId="0D0AB36A" w14:textId="77777777" w:rsidR="00711444" w:rsidRPr="004D0DAA" w:rsidRDefault="00711444" w:rsidP="00AA2A4C">
            <w:pPr>
              <w:pStyle w:val="TAC"/>
              <w:rPr>
                <w:lang w:eastAsia="en-US"/>
              </w:rPr>
            </w:pPr>
          </w:p>
        </w:tc>
      </w:tr>
      <w:tr w:rsidR="00711444" w:rsidRPr="004D0DAA" w14:paraId="5B63298D" w14:textId="77777777" w:rsidTr="00AA2A4C">
        <w:tblPrEx>
          <w:tblCellMar>
            <w:top w:w="0" w:type="dxa"/>
            <w:bottom w:w="0" w:type="dxa"/>
          </w:tblCellMar>
        </w:tblPrEx>
        <w:tc>
          <w:tcPr>
            <w:tcW w:w="1021" w:type="dxa"/>
          </w:tcPr>
          <w:p w14:paraId="6191149E" w14:textId="77777777" w:rsidR="00711444" w:rsidRPr="004D0DAA" w:rsidRDefault="00711444" w:rsidP="00AA2A4C">
            <w:pPr>
              <w:pStyle w:val="TAC"/>
              <w:rPr>
                <w:lang w:eastAsia="en-US"/>
              </w:rPr>
            </w:pPr>
            <w:r w:rsidRPr="004D0DAA">
              <w:rPr>
                <w:lang w:eastAsia="en-US"/>
              </w:rPr>
              <w:t>416</w:t>
            </w:r>
          </w:p>
        </w:tc>
        <w:tc>
          <w:tcPr>
            <w:tcW w:w="850" w:type="dxa"/>
          </w:tcPr>
          <w:p w14:paraId="15D0CF23" w14:textId="77777777" w:rsidR="00711444" w:rsidRPr="004D0DAA" w:rsidRDefault="00711444" w:rsidP="00AA2A4C">
            <w:pPr>
              <w:pStyle w:val="TAC"/>
              <w:rPr>
                <w:lang w:eastAsia="en-US"/>
              </w:rPr>
            </w:pPr>
            <w:r w:rsidRPr="004D0DAA">
              <w:rPr>
                <w:lang w:eastAsia="en-US"/>
              </w:rPr>
              <w:t>01011</w:t>
            </w:r>
          </w:p>
        </w:tc>
        <w:tc>
          <w:tcPr>
            <w:tcW w:w="567" w:type="dxa"/>
          </w:tcPr>
          <w:p w14:paraId="06A72E1C" w14:textId="77777777" w:rsidR="00711444" w:rsidRPr="004D0DAA" w:rsidRDefault="00711444" w:rsidP="00AA2A4C"/>
        </w:tc>
        <w:tc>
          <w:tcPr>
            <w:tcW w:w="567" w:type="dxa"/>
          </w:tcPr>
          <w:p w14:paraId="56A0AB15" w14:textId="77777777" w:rsidR="00711444" w:rsidRPr="004D0DAA" w:rsidRDefault="00711444" w:rsidP="00AA2A4C"/>
        </w:tc>
        <w:tc>
          <w:tcPr>
            <w:tcW w:w="567" w:type="dxa"/>
          </w:tcPr>
          <w:p w14:paraId="6CD02655" w14:textId="77777777" w:rsidR="00711444" w:rsidRPr="004D0DAA" w:rsidRDefault="00711444" w:rsidP="00AA2A4C"/>
        </w:tc>
        <w:tc>
          <w:tcPr>
            <w:tcW w:w="567" w:type="dxa"/>
            <w:shd w:val="pct20" w:color="000000" w:fill="FFFFFF"/>
          </w:tcPr>
          <w:p w14:paraId="085B85B1" w14:textId="77777777" w:rsidR="00711444" w:rsidRPr="004D0DAA" w:rsidRDefault="00711444" w:rsidP="00AA2A4C"/>
        </w:tc>
        <w:tc>
          <w:tcPr>
            <w:tcW w:w="567" w:type="dxa"/>
            <w:shd w:val="pct20" w:color="000000" w:fill="FFFFFF"/>
          </w:tcPr>
          <w:p w14:paraId="3A247FB0" w14:textId="77777777" w:rsidR="00711444" w:rsidRPr="004D0DAA" w:rsidRDefault="00711444" w:rsidP="00AA2A4C"/>
        </w:tc>
        <w:tc>
          <w:tcPr>
            <w:tcW w:w="567" w:type="dxa"/>
            <w:shd w:val="pct20" w:color="auto" w:fill="FFFFFF"/>
          </w:tcPr>
          <w:p w14:paraId="2543591B" w14:textId="77777777" w:rsidR="00711444" w:rsidRPr="004D0DAA" w:rsidRDefault="00711444" w:rsidP="00AA2A4C"/>
        </w:tc>
        <w:tc>
          <w:tcPr>
            <w:tcW w:w="567" w:type="dxa"/>
            <w:shd w:val="pct20" w:color="auto" w:fill="FFFFFF"/>
          </w:tcPr>
          <w:p w14:paraId="23BE364E" w14:textId="77777777" w:rsidR="00711444" w:rsidRPr="004D0DAA" w:rsidRDefault="00711444" w:rsidP="00AA2A4C"/>
        </w:tc>
        <w:tc>
          <w:tcPr>
            <w:tcW w:w="567" w:type="dxa"/>
            <w:shd w:val="pct20" w:color="auto" w:fill="FFFFFF"/>
          </w:tcPr>
          <w:p w14:paraId="53360B7A" w14:textId="77777777" w:rsidR="00711444" w:rsidRPr="004D0DAA" w:rsidRDefault="00711444" w:rsidP="00AA2A4C">
            <w:pPr>
              <w:pStyle w:val="TAC"/>
              <w:rPr>
                <w:lang w:eastAsia="en-US"/>
              </w:rPr>
            </w:pPr>
          </w:p>
        </w:tc>
      </w:tr>
      <w:tr w:rsidR="00711444" w:rsidRPr="004D0DAA" w14:paraId="51EA16B3" w14:textId="77777777" w:rsidTr="00AA2A4C">
        <w:tblPrEx>
          <w:tblCellMar>
            <w:top w:w="0" w:type="dxa"/>
            <w:bottom w:w="0" w:type="dxa"/>
          </w:tblCellMar>
        </w:tblPrEx>
        <w:tc>
          <w:tcPr>
            <w:tcW w:w="1021" w:type="dxa"/>
          </w:tcPr>
          <w:p w14:paraId="063DE516" w14:textId="77777777" w:rsidR="00711444" w:rsidRPr="004D0DAA" w:rsidRDefault="00711444" w:rsidP="00AA2A4C">
            <w:pPr>
              <w:pStyle w:val="TAC"/>
              <w:rPr>
                <w:lang w:eastAsia="en-US"/>
              </w:rPr>
            </w:pPr>
            <w:r w:rsidRPr="004D0DAA">
              <w:rPr>
                <w:lang w:eastAsia="en-US"/>
              </w:rPr>
              <w:t>448</w:t>
            </w:r>
          </w:p>
        </w:tc>
        <w:tc>
          <w:tcPr>
            <w:tcW w:w="850" w:type="dxa"/>
          </w:tcPr>
          <w:p w14:paraId="0F8A2ED3" w14:textId="77777777" w:rsidR="00711444" w:rsidRPr="004D0DAA" w:rsidRDefault="00711444" w:rsidP="00AA2A4C">
            <w:pPr>
              <w:pStyle w:val="TAC"/>
              <w:rPr>
                <w:lang w:eastAsia="en-US"/>
              </w:rPr>
            </w:pPr>
            <w:r w:rsidRPr="004D0DAA">
              <w:rPr>
                <w:lang w:eastAsia="en-US"/>
              </w:rPr>
              <w:t>01100</w:t>
            </w:r>
          </w:p>
        </w:tc>
        <w:tc>
          <w:tcPr>
            <w:tcW w:w="567" w:type="dxa"/>
          </w:tcPr>
          <w:p w14:paraId="4333001C" w14:textId="77777777" w:rsidR="00711444" w:rsidRPr="004D0DAA" w:rsidRDefault="00711444" w:rsidP="00AA2A4C"/>
        </w:tc>
        <w:tc>
          <w:tcPr>
            <w:tcW w:w="567" w:type="dxa"/>
          </w:tcPr>
          <w:p w14:paraId="16981980" w14:textId="77777777" w:rsidR="00711444" w:rsidRPr="004D0DAA" w:rsidRDefault="00711444" w:rsidP="00AA2A4C"/>
        </w:tc>
        <w:tc>
          <w:tcPr>
            <w:tcW w:w="567" w:type="dxa"/>
          </w:tcPr>
          <w:p w14:paraId="6417097B" w14:textId="77777777" w:rsidR="00711444" w:rsidRPr="004D0DAA" w:rsidRDefault="00711444" w:rsidP="00AA2A4C"/>
        </w:tc>
        <w:tc>
          <w:tcPr>
            <w:tcW w:w="567" w:type="dxa"/>
            <w:shd w:val="pct20" w:color="auto" w:fill="FFFFFF"/>
          </w:tcPr>
          <w:p w14:paraId="62D3A68C" w14:textId="77777777" w:rsidR="00711444" w:rsidRPr="004D0DAA" w:rsidRDefault="00711444" w:rsidP="00AA2A4C"/>
        </w:tc>
        <w:tc>
          <w:tcPr>
            <w:tcW w:w="567" w:type="dxa"/>
            <w:shd w:val="pct20" w:color="000000" w:fill="FFFFFF"/>
          </w:tcPr>
          <w:p w14:paraId="6CA93427" w14:textId="77777777" w:rsidR="00711444" w:rsidRPr="004D0DAA" w:rsidRDefault="00711444" w:rsidP="00AA2A4C"/>
        </w:tc>
        <w:tc>
          <w:tcPr>
            <w:tcW w:w="567" w:type="dxa"/>
            <w:shd w:val="pct20" w:color="auto" w:fill="FFFFFF"/>
          </w:tcPr>
          <w:p w14:paraId="3242C091" w14:textId="77777777" w:rsidR="00711444" w:rsidRPr="004D0DAA" w:rsidRDefault="00711444" w:rsidP="00AA2A4C"/>
        </w:tc>
        <w:tc>
          <w:tcPr>
            <w:tcW w:w="567" w:type="dxa"/>
            <w:shd w:val="pct20" w:color="auto" w:fill="FFFFFF"/>
          </w:tcPr>
          <w:p w14:paraId="45E25304" w14:textId="77777777" w:rsidR="00711444" w:rsidRPr="004D0DAA" w:rsidRDefault="00711444" w:rsidP="00AA2A4C"/>
        </w:tc>
        <w:tc>
          <w:tcPr>
            <w:tcW w:w="567" w:type="dxa"/>
            <w:shd w:val="pct20" w:color="auto" w:fill="FFFFFF"/>
          </w:tcPr>
          <w:p w14:paraId="1697A037" w14:textId="77777777" w:rsidR="00711444" w:rsidRPr="004D0DAA" w:rsidRDefault="00711444" w:rsidP="00AA2A4C">
            <w:pPr>
              <w:pStyle w:val="TAC"/>
              <w:rPr>
                <w:lang w:eastAsia="en-US"/>
              </w:rPr>
            </w:pPr>
          </w:p>
        </w:tc>
      </w:tr>
      <w:tr w:rsidR="00711444" w:rsidRPr="004D0DAA" w14:paraId="5733A5AF" w14:textId="77777777" w:rsidTr="00AA2A4C">
        <w:tblPrEx>
          <w:tblCellMar>
            <w:top w:w="0" w:type="dxa"/>
            <w:bottom w:w="0" w:type="dxa"/>
          </w:tblCellMar>
        </w:tblPrEx>
        <w:tc>
          <w:tcPr>
            <w:tcW w:w="1021" w:type="dxa"/>
          </w:tcPr>
          <w:p w14:paraId="1C75BE20" w14:textId="77777777" w:rsidR="00711444" w:rsidRPr="004D0DAA" w:rsidRDefault="00711444" w:rsidP="00AA2A4C">
            <w:pPr>
              <w:pStyle w:val="TAC"/>
              <w:rPr>
                <w:lang w:eastAsia="en-US"/>
              </w:rPr>
            </w:pPr>
            <w:r w:rsidRPr="004D0DAA">
              <w:rPr>
                <w:lang w:eastAsia="en-US"/>
              </w:rPr>
              <w:t>480</w:t>
            </w:r>
          </w:p>
        </w:tc>
        <w:tc>
          <w:tcPr>
            <w:tcW w:w="850" w:type="dxa"/>
          </w:tcPr>
          <w:p w14:paraId="6C0B9715" w14:textId="77777777" w:rsidR="00711444" w:rsidRPr="004D0DAA" w:rsidRDefault="00711444" w:rsidP="00AA2A4C">
            <w:pPr>
              <w:pStyle w:val="TAC"/>
              <w:rPr>
                <w:lang w:eastAsia="en-US"/>
              </w:rPr>
            </w:pPr>
            <w:r w:rsidRPr="004D0DAA">
              <w:rPr>
                <w:lang w:eastAsia="en-US"/>
              </w:rPr>
              <w:t>01101</w:t>
            </w:r>
          </w:p>
        </w:tc>
        <w:tc>
          <w:tcPr>
            <w:tcW w:w="567" w:type="dxa"/>
          </w:tcPr>
          <w:p w14:paraId="13AFE915" w14:textId="77777777" w:rsidR="00711444" w:rsidRPr="004D0DAA" w:rsidRDefault="00711444" w:rsidP="00AA2A4C"/>
        </w:tc>
        <w:tc>
          <w:tcPr>
            <w:tcW w:w="567" w:type="dxa"/>
          </w:tcPr>
          <w:p w14:paraId="5E8D8632" w14:textId="77777777" w:rsidR="00711444" w:rsidRPr="004D0DAA" w:rsidRDefault="00711444" w:rsidP="00AA2A4C"/>
        </w:tc>
        <w:tc>
          <w:tcPr>
            <w:tcW w:w="567" w:type="dxa"/>
          </w:tcPr>
          <w:p w14:paraId="76621583" w14:textId="77777777" w:rsidR="00711444" w:rsidRPr="004D0DAA" w:rsidRDefault="00711444" w:rsidP="00AA2A4C"/>
        </w:tc>
        <w:tc>
          <w:tcPr>
            <w:tcW w:w="567" w:type="dxa"/>
            <w:shd w:val="pct20" w:color="auto" w:fill="FFFFFF"/>
          </w:tcPr>
          <w:p w14:paraId="2BE02B44" w14:textId="77777777" w:rsidR="00711444" w:rsidRPr="004D0DAA" w:rsidRDefault="00711444" w:rsidP="00AA2A4C"/>
        </w:tc>
        <w:tc>
          <w:tcPr>
            <w:tcW w:w="567" w:type="dxa"/>
            <w:shd w:val="pct20" w:color="auto" w:fill="FFFFFF"/>
          </w:tcPr>
          <w:p w14:paraId="51E8A01A" w14:textId="77777777" w:rsidR="00711444" w:rsidRPr="004D0DAA" w:rsidRDefault="00711444" w:rsidP="00AA2A4C"/>
        </w:tc>
        <w:tc>
          <w:tcPr>
            <w:tcW w:w="567" w:type="dxa"/>
            <w:shd w:val="pct20" w:color="auto" w:fill="FFFFFF"/>
          </w:tcPr>
          <w:p w14:paraId="6452DB76" w14:textId="77777777" w:rsidR="00711444" w:rsidRPr="004D0DAA" w:rsidRDefault="00711444" w:rsidP="00AA2A4C"/>
        </w:tc>
        <w:tc>
          <w:tcPr>
            <w:tcW w:w="567" w:type="dxa"/>
            <w:shd w:val="pct20" w:color="auto" w:fill="FFFFFF"/>
          </w:tcPr>
          <w:p w14:paraId="59BA2BC9" w14:textId="77777777" w:rsidR="00711444" w:rsidRPr="004D0DAA" w:rsidRDefault="00711444" w:rsidP="00AA2A4C"/>
        </w:tc>
        <w:tc>
          <w:tcPr>
            <w:tcW w:w="567" w:type="dxa"/>
            <w:shd w:val="pct20" w:color="auto" w:fill="FFFFFF"/>
          </w:tcPr>
          <w:p w14:paraId="562EA9C4" w14:textId="77777777" w:rsidR="00711444" w:rsidRPr="004D0DAA" w:rsidRDefault="00711444" w:rsidP="00AA2A4C">
            <w:pPr>
              <w:pStyle w:val="TAC"/>
              <w:rPr>
                <w:lang w:eastAsia="en-US"/>
              </w:rPr>
            </w:pPr>
          </w:p>
        </w:tc>
      </w:tr>
      <w:tr w:rsidR="00711444" w:rsidRPr="004D0DAA" w14:paraId="69C8041E" w14:textId="77777777" w:rsidTr="00AA2A4C">
        <w:tblPrEx>
          <w:tblCellMar>
            <w:top w:w="0" w:type="dxa"/>
            <w:bottom w:w="0" w:type="dxa"/>
          </w:tblCellMar>
        </w:tblPrEx>
        <w:tc>
          <w:tcPr>
            <w:tcW w:w="1021" w:type="dxa"/>
          </w:tcPr>
          <w:p w14:paraId="73681079" w14:textId="77777777" w:rsidR="00711444" w:rsidRPr="004D0DAA" w:rsidRDefault="00711444" w:rsidP="00AA2A4C">
            <w:pPr>
              <w:pStyle w:val="TAC"/>
              <w:rPr>
                <w:lang w:eastAsia="en-US"/>
              </w:rPr>
            </w:pPr>
            <w:r w:rsidRPr="004D0DAA">
              <w:rPr>
                <w:lang w:eastAsia="en-US"/>
              </w:rPr>
              <w:t>512</w:t>
            </w:r>
          </w:p>
        </w:tc>
        <w:tc>
          <w:tcPr>
            <w:tcW w:w="850" w:type="dxa"/>
          </w:tcPr>
          <w:p w14:paraId="7A4CF35B" w14:textId="77777777" w:rsidR="00711444" w:rsidRPr="004D0DAA" w:rsidRDefault="00711444" w:rsidP="00AA2A4C">
            <w:pPr>
              <w:pStyle w:val="TAC"/>
              <w:rPr>
                <w:lang w:eastAsia="en-US"/>
              </w:rPr>
            </w:pPr>
            <w:r w:rsidRPr="004D0DAA">
              <w:rPr>
                <w:lang w:eastAsia="en-US"/>
              </w:rPr>
              <w:t>01110</w:t>
            </w:r>
          </w:p>
        </w:tc>
        <w:tc>
          <w:tcPr>
            <w:tcW w:w="567" w:type="dxa"/>
          </w:tcPr>
          <w:p w14:paraId="7520DE92" w14:textId="77777777" w:rsidR="00711444" w:rsidRPr="004D0DAA" w:rsidRDefault="00711444" w:rsidP="00AA2A4C"/>
        </w:tc>
        <w:tc>
          <w:tcPr>
            <w:tcW w:w="567" w:type="dxa"/>
          </w:tcPr>
          <w:p w14:paraId="09077244" w14:textId="77777777" w:rsidR="00711444" w:rsidRPr="004D0DAA" w:rsidRDefault="00711444" w:rsidP="00AA2A4C"/>
        </w:tc>
        <w:tc>
          <w:tcPr>
            <w:tcW w:w="567" w:type="dxa"/>
          </w:tcPr>
          <w:p w14:paraId="7DB74B7A" w14:textId="77777777" w:rsidR="00711444" w:rsidRPr="004D0DAA" w:rsidRDefault="00711444" w:rsidP="00AA2A4C"/>
        </w:tc>
        <w:tc>
          <w:tcPr>
            <w:tcW w:w="567" w:type="dxa"/>
            <w:shd w:val="pct20" w:color="auto" w:fill="FFFFFF"/>
          </w:tcPr>
          <w:p w14:paraId="7BD79109" w14:textId="77777777" w:rsidR="00711444" w:rsidRPr="004D0DAA" w:rsidRDefault="00711444" w:rsidP="00AA2A4C">
            <w:pPr>
              <w:pStyle w:val="TAC"/>
              <w:rPr>
                <w:lang w:eastAsia="en-US"/>
              </w:rPr>
            </w:pPr>
            <w:r w:rsidRPr="004D0DAA">
              <w:rPr>
                <w:lang w:eastAsia="en-US"/>
              </w:rPr>
              <w:t>Max</w:t>
            </w:r>
          </w:p>
        </w:tc>
        <w:tc>
          <w:tcPr>
            <w:tcW w:w="567" w:type="dxa"/>
            <w:shd w:val="pct20" w:color="auto" w:fill="FFFFFF"/>
          </w:tcPr>
          <w:p w14:paraId="17E40114" w14:textId="77777777" w:rsidR="00711444" w:rsidRPr="004D0DAA" w:rsidRDefault="00711444" w:rsidP="00AA2A4C"/>
        </w:tc>
        <w:tc>
          <w:tcPr>
            <w:tcW w:w="567" w:type="dxa"/>
            <w:shd w:val="pct20" w:color="000000" w:fill="FFFFFF"/>
          </w:tcPr>
          <w:p w14:paraId="210A2B04" w14:textId="77777777" w:rsidR="00711444" w:rsidRPr="004D0DAA" w:rsidRDefault="00711444" w:rsidP="00AA2A4C"/>
        </w:tc>
        <w:tc>
          <w:tcPr>
            <w:tcW w:w="567" w:type="dxa"/>
            <w:shd w:val="pct20" w:color="000000" w:fill="FFFFFF"/>
          </w:tcPr>
          <w:p w14:paraId="1E210EA0" w14:textId="77777777" w:rsidR="00711444" w:rsidRPr="004D0DAA" w:rsidRDefault="00711444" w:rsidP="00AA2A4C"/>
        </w:tc>
        <w:tc>
          <w:tcPr>
            <w:tcW w:w="567" w:type="dxa"/>
            <w:shd w:val="pct20" w:color="000000" w:fill="FFFFFF"/>
          </w:tcPr>
          <w:p w14:paraId="753ABF41" w14:textId="77777777" w:rsidR="00711444" w:rsidRPr="004D0DAA" w:rsidRDefault="00711444" w:rsidP="00AA2A4C">
            <w:pPr>
              <w:pStyle w:val="TAC"/>
              <w:rPr>
                <w:lang w:eastAsia="en-US"/>
              </w:rPr>
            </w:pPr>
          </w:p>
        </w:tc>
      </w:tr>
      <w:tr w:rsidR="00711444" w:rsidRPr="004D0DAA" w14:paraId="499F9C0B" w14:textId="77777777" w:rsidTr="00AA2A4C">
        <w:tblPrEx>
          <w:tblCellMar>
            <w:top w:w="0" w:type="dxa"/>
            <w:bottom w:w="0" w:type="dxa"/>
          </w:tblCellMar>
        </w:tblPrEx>
        <w:tc>
          <w:tcPr>
            <w:tcW w:w="1021" w:type="dxa"/>
          </w:tcPr>
          <w:p w14:paraId="3952D521" w14:textId="77777777" w:rsidR="00711444" w:rsidRPr="004D0DAA" w:rsidRDefault="00711444" w:rsidP="00AA2A4C">
            <w:pPr>
              <w:pStyle w:val="TAC"/>
              <w:rPr>
                <w:lang w:eastAsia="en-US"/>
              </w:rPr>
            </w:pPr>
            <w:r w:rsidRPr="004D0DAA">
              <w:rPr>
                <w:lang w:eastAsia="en-US"/>
              </w:rPr>
              <w:t>544</w:t>
            </w:r>
          </w:p>
        </w:tc>
        <w:tc>
          <w:tcPr>
            <w:tcW w:w="850" w:type="dxa"/>
          </w:tcPr>
          <w:p w14:paraId="39C731D9" w14:textId="77777777" w:rsidR="00711444" w:rsidRPr="004D0DAA" w:rsidRDefault="00711444" w:rsidP="00AA2A4C">
            <w:pPr>
              <w:pStyle w:val="TAC"/>
              <w:rPr>
                <w:lang w:eastAsia="en-US"/>
              </w:rPr>
            </w:pPr>
            <w:r w:rsidRPr="004D0DAA">
              <w:rPr>
                <w:lang w:eastAsia="en-US"/>
              </w:rPr>
              <w:t>01111</w:t>
            </w:r>
          </w:p>
        </w:tc>
        <w:tc>
          <w:tcPr>
            <w:tcW w:w="567" w:type="dxa"/>
          </w:tcPr>
          <w:p w14:paraId="29D02A06" w14:textId="77777777" w:rsidR="00711444" w:rsidRPr="004D0DAA" w:rsidRDefault="00711444" w:rsidP="00AA2A4C"/>
        </w:tc>
        <w:tc>
          <w:tcPr>
            <w:tcW w:w="567" w:type="dxa"/>
          </w:tcPr>
          <w:p w14:paraId="31E8FA01" w14:textId="77777777" w:rsidR="00711444" w:rsidRPr="004D0DAA" w:rsidRDefault="00711444" w:rsidP="00AA2A4C"/>
        </w:tc>
        <w:tc>
          <w:tcPr>
            <w:tcW w:w="567" w:type="dxa"/>
          </w:tcPr>
          <w:p w14:paraId="51CBB953" w14:textId="77777777" w:rsidR="00711444" w:rsidRPr="004D0DAA" w:rsidRDefault="00711444" w:rsidP="00AA2A4C"/>
        </w:tc>
        <w:tc>
          <w:tcPr>
            <w:tcW w:w="567" w:type="dxa"/>
          </w:tcPr>
          <w:p w14:paraId="0F919180" w14:textId="77777777" w:rsidR="00711444" w:rsidRPr="004D0DAA" w:rsidRDefault="00711444" w:rsidP="00AA2A4C"/>
        </w:tc>
        <w:tc>
          <w:tcPr>
            <w:tcW w:w="567" w:type="dxa"/>
            <w:shd w:val="pct20" w:color="auto" w:fill="FFFFFF"/>
          </w:tcPr>
          <w:p w14:paraId="5E87A800" w14:textId="77777777" w:rsidR="00711444" w:rsidRPr="004D0DAA" w:rsidRDefault="00711444" w:rsidP="00AA2A4C"/>
        </w:tc>
        <w:tc>
          <w:tcPr>
            <w:tcW w:w="567" w:type="dxa"/>
            <w:shd w:val="pct20" w:color="000000" w:fill="FFFFFF"/>
          </w:tcPr>
          <w:p w14:paraId="1544F34D" w14:textId="77777777" w:rsidR="00711444" w:rsidRPr="004D0DAA" w:rsidRDefault="00711444" w:rsidP="00AA2A4C"/>
        </w:tc>
        <w:tc>
          <w:tcPr>
            <w:tcW w:w="567" w:type="dxa"/>
            <w:shd w:val="pct20" w:color="000000" w:fill="FFFFFF"/>
          </w:tcPr>
          <w:p w14:paraId="113688A6" w14:textId="77777777" w:rsidR="00711444" w:rsidRPr="004D0DAA" w:rsidRDefault="00711444" w:rsidP="00AA2A4C"/>
        </w:tc>
        <w:tc>
          <w:tcPr>
            <w:tcW w:w="567" w:type="dxa"/>
            <w:shd w:val="pct20" w:color="000000" w:fill="FFFFFF"/>
          </w:tcPr>
          <w:p w14:paraId="7424FA34" w14:textId="77777777" w:rsidR="00711444" w:rsidRPr="004D0DAA" w:rsidRDefault="00711444" w:rsidP="00AA2A4C">
            <w:pPr>
              <w:pStyle w:val="TAC"/>
              <w:rPr>
                <w:lang w:eastAsia="en-US"/>
              </w:rPr>
            </w:pPr>
          </w:p>
        </w:tc>
      </w:tr>
      <w:tr w:rsidR="00711444" w:rsidRPr="004D0DAA" w14:paraId="60293662" w14:textId="77777777" w:rsidTr="00AA2A4C">
        <w:tblPrEx>
          <w:tblCellMar>
            <w:top w:w="0" w:type="dxa"/>
            <w:bottom w:w="0" w:type="dxa"/>
          </w:tblCellMar>
        </w:tblPrEx>
        <w:tc>
          <w:tcPr>
            <w:tcW w:w="1021" w:type="dxa"/>
          </w:tcPr>
          <w:p w14:paraId="0B323548" w14:textId="77777777" w:rsidR="00711444" w:rsidRPr="004D0DAA" w:rsidRDefault="00711444" w:rsidP="00AA2A4C">
            <w:pPr>
              <w:pStyle w:val="TAC"/>
              <w:rPr>
                <w:lang w:eastAsia="en-US"/>
              </w:rPr>
            </w:pPr>
            <w:r w:rsidRPr="004D0DAA">
              <w:rPr>
                <w:lang w:eastAsia="en-US"/>
              </w:rPr>
              <w:t>576</w:t>
            </w:r>
          </w:p>
        </w:tc>
        <w:tc>
          <w:tcPr>
            <w:tcW w:w="850" w:type="dxa"/>
          </w:tcPr>
          <w:p w14:paraId="2032B21F" w14:textId="77777777" w:rsidR="00711444" w:rsidRPr="004D0DAA" w:rsidRDefault="00711444" w:rsidP="00AA2A4C">
            <w:pPr>
              <w:pStyle w:val="TAC"/>
              <w:rPr>
                <w:lang w:eastAsia="en-US"/>
              </w:rPr>
            </w:pPr>
            <w:r w:rsidRPr="004D0DAA">
              <w:rPr>
                <w:lang w:eastAsia="en-US"/>
              </w:rPr>
              <w:t>10000</w:t>
            </w:r>
          </w:p>
        </w:tc>
        <w:tc>
          <w:tcPr>
            <w:tcW w:w="567" w:type="dxa"/>
          </w:tcPr>
          <w:p w14:paraId="53E8141F" w14:textId="77777777" w:rsidR="00711444" w:rsidRPr="004D0DAA" w:rsidRDefault="00711444" w:rsidP="00AA2A4C"/>
        </w:tc>
        <w:tc>
          <w:tcPr>
            <w:tcW w:w="567" w:type="dxa"/>
          </w:tcPr>
          <w:p w14:paraId="0958C055" w14:textId="77777777" w:rsidR="00711444" w:rsidRPr="004D0DAA" w:rsidRDefault="00711444" w:rsidP="00AA2A4C"/>
        </w:tc>
        <w:tc>
          <w:tcPr>
            <w:tcW w:w="567" w:type="dxa"/>
          </w:tcPr>
          <w:p w14:paraId="2CD732E7" w14:textId="77777777" w:rsidR="00711444" w:rsidRPr="004D0DAA" w:rsidRDefault="00711444" w:rsidP="00AA2A4C"/>
        </w:tc>
        <w:tc>
          <w:tcPr>
            <w:tcW w:w="567" w:type="dxa"/>
          </w:tcPr>
          <w:p w14:paraId="56C8A055" w14:textId="77777777" w:rsidR="00711444" w:rsidRPr="004D0DAA" w:rsidRDefault="00711444" w:rsidP="00AA2A4C"/>
        </w:tc>
        <w:tc>
          <w:tcPr>
            <w:tcW w:w="567" w:type="dxa"/>
            <w:shd w:val="pct20" w:color="auto" w:fill="FFFFFF"/>
          </w:tcPr>
          <w:p w14:paraId="69BBC39A" w14:textId="77777777" w:rsidR="00711444" w:rsidRPr="004D0DAA" w:rsidRDefault="00711444" w:rsidP="00AA2A4C"/>
        </w:tc>
        <w:tc>
          <w:tcPr>
            <w:tcW w:w="567" w:type="dxa"/>
            <w:shd w:val="pct20" w:color="000000" w:fill="FFFFFF"/>
          </w:tcPr>
          <w:p w14:paraId="634BEC45" w14:textId="77777777" w:rsidR="00711444" w:rsidRPr="004D0DAA" w:rsidRDefault="00711444" w:rsidP="00AA2A4C"/>
        </w:tc>
        <w:tc>
          <w:tcPr>
            <w:tcW w:w="567" w:type="dxa"/>
            <w:shd w:val="pct20" w:color="000000" w:fill="FFFFFF"/>
          </w:tcPr>
          <w:p w14:paraId="72B40089" w14:textId="77777777" w:rsidR="00711444" w:rsidRPr="004D0DAA" w:rsidRDefault="00711444" w:rsidP="00AA2A4C"/>
        </w:tc>
        <w:tc>
          <w:tcPr>
            <w:tcW w:w="567" w:type="dxa"/>
            <w:shd w:val="pct20" w:color="000000" w:fill="FFFFFF"/>
          </w:tcPr>
          <w:p w14:paraId="7E857011" w14:textId="77777777" w:rsidR="00711444" w:rsidRPr="004D0DAA" w:rsidRDefault="00711444" w:rsidP="00AA2A4C">
            <w:pPr>
              <w:pStyle w:val="TAC"/>
              <w:rPr>
                <w:lang w:eastAsia="en-US"/>
              </w:rPr>
            </w:pPr>
          </w:p>
        </w:tc>
      </w:tr>
      <w:tr w:rsidR="00711444" w:rsidRPr="004D0DAA" w14:paraId="6CF3E2F9" w14:textId="77777777" w:rsidTr="00AA2A4C">
        <w:tblPrEx>
          <w:tblCellMar>
            <w:top w:w="0" w:type="dxa"/>
            <w:bottom w:w="0" w:type="dxa"/>
          </w:tblCellMar>
        </w:tblPrEx>
        <w:tc>
          <w:tcPr>
            <w:tcW w:w="1021" w:type="dxa"/>
          </w:tcPr>
          <w:p w14:paraId="28183155" w14:textId="77777777" w:rsidR="00711444" w:rsidRPr="004D0DAA" w:rsidRDefault="00711444" w:rsidP="00AA2A4C">
            <w:pPr>
              <w:pStyle w:val="TAC"/>
              <w:rPr>
                <w:lang w:eastAsia="en-US"/>
              </w:rPr>
            </w:pPr>
            <w:r w:rsidRPr="004D0DAA">
              <w:rPr>
                <w:lang w:eastAsia="en-US"/>
              </w:rPr>
              <w:t>608</w:t>
            </w:r>
          </w:p>
        </w:tc>
        <w:tc>
          <w:tcPr>
            <w:tcW w:w="850" w:type="dxa"/>
          </w:tcPr>
          <w:p w14:paraId="43295AA7" w14:textId="77777777" w:rsidR="00711444" w:rsidRPr="004D0DAA" w:rsidRDefault="00711444" w:rsidP="00AA2A4C">
            <w:pPr>
              <w:pStyle w:val="TAC"/>
              <w:rPr>
                <w:lang w:eastAsia="en-US"/>
              </w:rPr>
            </w:pPr>
            <w:r w:rsidRPr="004D0DAA">
              <w:rPr>
                <w:lang w:eastAsia="en-US"/>
              </w:rPr>
              <w:t>10001</w:t>
            </w:r>
          </w:p>
        </w:tc>
        <w:tc>
          <w:tcPr>
            <w:tcW w:w="567" w:type="dxa"/>
          </w:tcPr>
          <w:p w14:paraId="24878B2B" w14:textId="77777777" w:rsidR="00711444" w:rsidRPr="004D0DAA" w:rsidRDefault="00711444" w:rsidP="00AA2A4C"/>
        </w:tc>
        <w:tc>
          <w:tcPr>
            <w:tcW w:w="567" w:type="dxa"/>
          </w:tcPr>
          <w:p w14:paraId="7EF2A392" w14:textId="77777777" w:rsidR="00711444" w:rsidRPr="004D0DAA" w:rsidRDefault="00711444" w:rsidP="00AA2A4C"/>
        </w:tc>
        <w:tc>
          <w:tcPr>
            <w:tcW w:w="567" w:type="dxa"/>
          </w:tcPr>
          <w:p w14:paraId="3D7A05A9" w14:textId="77777777" w:rsidR="00711444" w:rsidRPr="004D0DAA" w:rsidRDefault="00711444" w:rsidP="00AA2A4C"/>
        </w:tc>
        <w:tc>
          <w:tcPr>
            <w:tcW w:w="567" w:type="dxa"/>
          </w:tcPr>
          <w:p w14:paraId="0D37F459" w14:textId="77777777" w:rsidR="00711444" w:rsidRPr="004D0DAA" w:rsidRDefault="00711444" w:rsidP="00AA2A4C"/>
        </w:tc>
        <w:tc>
          <w:tcPr>
            <w:tcW w:w="567" w:type="dxa"/>
            <w:shd w:val="pct20" w:color="auto" w:fill="FFFFFF"/>
          </w:tcPr>
          <w:p w14:paraId="36A5A68A" w14:textId="77777777" w:rsidR="00711444" w:rsidRPr="004D0DAA" w:rsidRDefault="00711444" w:rsidP="00AA2A4C"/>
        </w:tc>
        <w:tc>
          <w:tcPr>
            <w:tcW w:w="567" w:type="dxa"/>
            <w:shd w:val="pct20" w:color="000000" w:fill="FFFFFF"/>
          </w:tcPr>
          <w:p w14:paraId="0BF2DC6B" w14:textId="77777777" w:rsidR="00711444" w:rsidRPr="004D0DAA" w:rsidRDefault="00711444" w:rsidP="00AA2A4C"/>
        </w:tc>
        <w:tc>
          <w:tcPr>
            <w:tcW w:w="567" w:type="dxa"/>
            <w:shd w:val="pct20" w:color="000000" w:fill="FFFFFF"/>
          </w:tcPr>
          <w:p w14:paraId="7EFEB801" w14:textId="77777777" w:rsidR="00711444" w:rsidRPr="004D0DAA" w:rsidRDefault="00711444" w:rsidP="00AA2A4C"/>
        </w:tc>
        <w:tc>
          <w:tcPr>
            <w:tcW w:w="567" w:type="dxa"/>
            <w:shd w:val="pct20" w:color="000000" w:fill="FFFFFF"/>
          </w:tcPr>
          <w:p w14:paraId="0CE5F4FA" w14:textId="77777777" w:rsidR="00711444" w:rsidRPr="004D0DAA" w:rsidRDefault="00711444" w:rsidP="00AA2A4C">
            <w:pPr>
              <w:pStyle w:val="TAC"/>
              <w:rPr>
                <w:lang w:eastAsia="en-US"/>
              </w:rPr>
            </w:pPr>
          </w:p>
        </w:tc>
      </w:tr>
      <w:tr w:rsidR="00711444" w:rsidRPr="004D0DAA" w14:paraId="3992CCDA" w14:textId="77777777" w:rsidTr="00AA2A4C">
        <w:tblPrEx>
          <w:tblCellMar>
            <w:top w:w="0" w:type="dxa"/>
            <w:bottom w:w="0" w:type="dxa"/>
          </w:tblCellMar>
        </w:tblPrEx>
        <w:tc>
          <w:tcPr>
            <w:tcW w:w="1021" w:type="dxa"/>
          </w:tcPr>
          <w:p w14:paraId="63576796" w14:textId="77777777" w:rsidR="00711444" w:rsidRPr="004D0DAA" w:rsidRDefault="00711444" w:rsidP="00AA2A4C">
            <w:pPr>
              <w:pStyle w:val="TAC"/>
              <w:rPr>
                <w:lang w:eastAsia="en-US"/>
              </w:rPr>
            </w:pPr>
            <w:r w:rsidRPr="004D0DAA">
              <w:rPr>
                <w:lang w:eastAsia="en-US"/>
              </w:rPr>
              <w:t>640</w:t>
            </w:r>
          </w:p>
        </w:tc>
        <w:tc>
          <w:tcPr>
            <w:tcW w:w="850" w:type="dxa"/>
          </w:tcPr>
          <w:p w14:paraId="2B2DCC85" w14:textId="77777777" w:rsidR="00711444" w:rsidRPr="004D0DAA" w:rsidRDefault="00711444" w:rsidP="00AA2A4C">
            <w:pPr>
              <w:pStyle w:val="TAC"/>
              <w:rPr>
                <w:lang w:eastAsia="en-US"/>
              </w:rPr>
            </w:pPr>
            <w:r w:rsidRPr="004D0DAA">
              <w:rPr>
                <w:lang w:eastAsia="en-US"/>
              </w:rPr>
              <w:t>10010</w:t>
            </w:r>
          </w:p>
        </w:tc>
        <w:tc>
          <w:tcPr>
            <w:tcW w:w="567" w:type="dxa"/>
          </w:tcPr>
          <w:p w14:paraId="170BDACB" w14:textId="77777777" w:rsidR="00711444" w:rsidRPr="004D0DAA" w:rsidRDefault="00711444" w:rsidP="00AA2A4C"/>
        </w:tc>
        <w:tc>
          <w:tcPr>
            <w:tcW w:w="567" w:type="dxa"/>
          </w:tcPr>
          <w:p w14:paraId="3CD5545F" w14:textId="77777777" w:rsidR="00711444" w:rsidRPr="004D0DAA" w:rsidRDefault="00711444" w:rsidP="00AA2A4C"/>
        </w:tc>
        <w:tc>
          <w:tcPr>
            <w:tcW w:w="567" w:type="dxa"/>
          </w:tcPr>
          <w:p w14:paraId="5F1283F2" w14:textId="77777777" w:rsidR="00711444" w:rsidRPr="004D0DAA" w:rsidRDefault="00711444" w:rsidP="00AA2A4C"/>
        </w:tc>
        <w:tc>
          <w:tcPr>
            <w:tcW w:w="567" w:type="dxa"/>
          </w:tcPr>
          <w:p w14:paraId="645CC709" w14:textId="77777777" w:rsidR="00711444" w:rsidRPr="004D0DAA" w:rsidRDefault="00711444" w:rsidP="00AA2A4C"/>
        </w:tc>
        <w:tc>
          <w:tcPr>
            <w:tcW w:w="567" w:type="dxa"/>
            <w:shd w:val="pct20" w:color="auto" w:fill="FFFFFF"/>
          </w:tcPr>
          <w:p w14:paraId="564C823B" w14:textId="77777777" w:rsidR="00711444" w:rsidRPr="004D0DAA" w:rsidRDefault="00711444" w:rsidP="00AA2A4C">
            <w:pPr>
              <w:pStyle w:val="TAC"/>
              <w:rPr>
                <w:lang w:eastAsia="en-US"/>
              </w:rPr>
            </w:pPr>
            <w:r w:rsidRPr="004D0DAA">
              <w:rPr>
                <w:lang w:eastAsia="en-US"/>
              </w:rPr>
              <w:t>Max</w:t>
            </w:r>
          </w:p>
        </w:tc>
        <w:tc>
          <w:tcPr>
            <w:tcW w:w="567" w:type="dxa"/>
            <w:shd w:val="pct20" w:color="auto" w:fill="FFFFFF"/>
          </w:tcPr>
          <w:p w14:paraId="502CE2BB" w14:textId="77777777" w:rsidR="00711444" w:rsidRPr="004D0DAA" w:rsidRDefault="00711444" w:rsidP="00AA2A4C"/>
        </w:tc>
        <w:tc>
          <w:tcPr>
            <w:tcW w:w="567" w:type="dxa"/>
            <w:shd w:val="pct20" w:color="000000" w:fill="FFFFFF"/>
          </w:tcPr>
          <w:p w14:paraId="6502FCD8" w14:textId="77777777" w:rsidR="00711444" w:rsidRPr="004D0DAA" w:rsidRDefault="00711444" w:rsidP="00AA2A4C"/>
        </w:tc>
        <w:tc>
          <w:tcPr>
            <w:tcW w:w="567" w:type="dxa"/>
            <w:shd w:val="pct20" w:color="000000" w:fill="FFFFFF"/>
          </w:tcPr>
          <w:p w14:paraId="3EAACD4D" w14:textId="77777777" w:rsidR="00711444" w:rsidRPr="004D0DAA" w:rsidRDefault="00711444" w:rsidP="00AA2A4C">
            <w:pPr>
              <w:pStyle w:val="TAC"/>
              <w:rPr>
                <w:lang w:eastAsia="en-US"/>
              </w:rPr>
            </w:pPr>
          </w:p>
        </w:tc>
      </w:tr>
      <w:tr w:rsidR="00711444" w:rsidRPr="004D0DAA" w14:paraId="2E9144D6" w14:textId="77777777" w:rsidTr="00AA2A4C">
        <w:tblPrEx>
          <w:tblCellMar>
            <w:top w:w="0" w:type="dxa"/>
            <w:bottom w:w="0" w:type="dxa"/>
          </w:tblCellMar>
        </w:tblPrEx>
        <w:tc>
          <w:tcPr>
            <w:tcW w:w="1021" w:type="dxa"/>
          </w:tcPr>
          <w:p w14:paraId="4FC9A4C8" w14:textId="77777777" w:rsidR="00711444" w:rsidRPr="004D0DAA" w:rsidRDefault="00711444" w:rsidP="00AA2A4C">
            <w:pPr>
              <w:pStyle w:val="TAC"/>
              <w:rPr>
                <w:lang w:eastAsia="en-US"/>
              </w:rPr>
            </w:pPr>
            <w:r w:rsidRPr="004D0DAA">
              <w:rPr>
                <w:lang w:eastAsia="en-US"/>
              </w:rPr>
              <w:t>672</w:t>
            </w:r>
          </w:p>
        </w:tc>
        <w:tc>
          <w:tcPr>
            <w:tcW w:w="850" w:type="dxa"/>
          </w:tcPr>
          <w:p w14:paraId="05C3617B" w14:textId="77777777" w:rsidR="00711444" w:rsidRPr="004D0DAA" w:rsidRDefault="00711444" w:rsidP="00AA2A4C">
            <w:pPr>
              <w:pStyle w:val="TAC"/>
              <w:rPr>
                <w:lang w:eastAsia="en-US"/>
              </w:rPr>
            </w:pPr>
            <w:r w:rsidRPr="004D0DAA">
              <w:rPr>
                <w:lang w:eastAsia="en-US"/>
              </w:rPr>
              <w:t>10011</w:t>
            </w:r>
          </w:p>
        </w:tc>
        <w:tc>
          <w:tcPr>
            <w:tcW w:w="567" w:type="dxa"/>
          </w:tcPr>
          <w:p w14:paraId="337F5079" w14:textId="77777777" w:rsidR="00711444" w:rsidRPr="004D0DAA" w:rsidRDefault="00711444" w:rsidP="00AA2A4C"/>
        </w:tc>
        <w:tc>
          <w:tcPr>
            <w:tcW w:w="567" w:type="dxa"/>
          </w:tcPr>
          <w:p w14:paraId="363F12EA" w14:textId="77777777" w:rsidR="00711444" w:rsidRPr="004D0DAA" w:rsidRDefault="00711444" w:rsidP="00AA2A4C"/>
        </w:tc>
        <w:tc>
          <w:tcPr>
            <w:tcW w:w="567" w:type="dxa"/>
          </w:tcPr>
          <w:p w14:paraId="2CC5767F" w14:textId="77777777" w:rsidR="00711444" w:rsidRPr="004D0DAA" w:rsidRDefault="00711444" w:rsidP="00AA2A4C"/>
        </w:tc>
        <w:tc>
          <w:tcPr>
            <w:tcW w:w="567" w:type="dxa"/>
          </w:tcPr>
          <w:p w14:paraId="2E5FB7A9" w14:textId="77777777" w:rsidR="00711444" w:rsidRPr="004D0DAA" w:rsidRDefault="00711444" w:rsidP="00AA2A4C"/>
        </w:tc>
        <w:tc>
          <w:tcPr>
            <w:tcW w:w="567" w:type="dxa"/>
          </w:tcPr>
          <w:p w14:paraId="291599D9" w14:textId="77777777" w:rsidR="00711444" w:rsidRPr="004D0DAA" w:rsidRDefault="00711444" w:rsidP="00AA2A4C"/>
        </w:tc>
        <w:tc>
          <w:tcPr>
            <w:tcW w:w="567" w:type="dxa"/>
            <w:shd w:val="pct20" w:color="auto" w:fill="FFFFFF"/>
          </w:tcPr>
          <w:p w14:paraId="3CBBF04D" w14:textId="77777777" w:rsidR="00711444" w:rsidRPr="004D0DAA" w:rsidRDefault="00711444" w:rsidP="00AA2A4C"/>
        </w:tc>
        <w:tc>
          <w:tcPr>
            <w:tcW w:w="567" w:type="dxa"/>
            <w:shd w:val="pct20" w:color="000000" w:fill="FFFFFF"/>
          </w:tcPr>
          <w:p w14:paraId="10FE84FB" w14:textId="77777777" w:rsidR="00711444" w:rsidRPr="004D0DAA" w:rsidRDefault="00711444" w:rsidP="00AA2A4C"/>
        </w:tc>
        <w:tc>
          <w:tcPr>
            <w:tcW w:w="567" w:type="dxa"/>
            <w:shd w:val="pct20" w:color="000000" w:fill="FFFFFF"/>
          </w:tcPr>
          <w:p w14:paraId="0F403DD8" w14:textId="77777777" w:rsidR="00711444" w:rsidRPr="004D0DAA" w:rsidRDefault="00711444" w:rsidP="00AA2A4C">
            <w:pPr>
              <w:pStyle w:val="TAC"/>
              <w:rPr>
                <w:lang w:eastAsia="en-US"/>
              </w:rPr>
            </w:pPr>
          </w:p>
        </w:tc>
      </w:tr>
      <w:tr w:rsidR="00711444" w:rsidRPr="004D0DAA" w14:paraId="3F4CF393" w14:textId="77777777" w:rsidTr="00AA2A4C">
        <w:tblPrEx>
          <w:tblCellMar>
            <w:top w:w="0" w:type="dxa"/>
            <w:bottom w:w="0" w:type="dxa"/>
          </w:tblCellMar>
        </w:tblPrEx>
        <w:tc>
          <w:tcPr>
            <w:tcW w:w="1021" w:type="dxa"/>
          </w:tcPr>
          <w:p w14:paraId="160A9685" w14:textId="77777777" w:rsidR="00711444" w:rsidRPr="004D0DAA" w:rsidRDefault="00711444" w:rsidP="00AA2A4C">
            <w:pPr>
              <w:pStyle w:val="TAC"/>
              <w:rPr>
                <w:lang w:eastAsia="en-US"/>
              </w:rPr>
            </w:pPr>
            <w:r w:rsidRPr="004D0DAA">
              <w:rPr>
                <w:lang w:eastAsia="en-US"/>
              </w:rPr>
              <w:t>704</w:t>
            </w:r>
          </w:p>
        </w:tc>
        <w:tc>
          <w:tcPr>
            <w:tcW w:w="850" w:type="dxa"/>
          </w:tcPr>
          <w:p w14:paraId="2F3D1873" w14:textId="77777777" w:rsidR="00711444" w:rsidRPr="004D0DAA" w:rsidRDefault="00711444" w:rsidP="00AA2A4C">
            <w:pPr>
              <w:pStyle w:val="TAC"/>
              <w:rPr>
                <w:lang w:eastAsia="en-US"/>
              </w:rPr>
            </w:pPr>
            <w:r w:rsidRPr="004D0DAA">
              <w:rPr>
                <w:lang w:eastAsia="en-US"/>
              </w:rPr>
              <w:t>10100</w:t>
            </w:r>
          </w:p>
        </w:tc>
        <w:tc>
          <w:tcPr>
            <w:tcW w:w="567" w:type="dxa"/>
          </w:tcPr>
          <w:p w14:paraId="55DFCD17" w14:textId="77777777" w:rsidR="00711444" w:rsidRPr="004D0DAA" w:rsidRDefault="00711444" w:rsidP="00AA2A4C"/>
        </w:tc>
        <w:tc>
          <w:tcPr>
            <w:tcW w:w="567" w:type="dxa"/>
          </w:tcPr>
          <w:p w14:paraId="05CBD8FB" w14:textId="77777777" w:rsidR="00711444" w:rsidRPr="004D0DAA" w:rsidRDefault="00711444" w:rsidP="00AA2A4C"/>
        </w:tc>
        <w:tc>
          <w:tcPr>
            <w:tcW w:w="567" w:type="dxa"/>
          </w:tcPr>
          <w:p w14:paraId="784FBEB1" w14:textId="77777777" w:rsidR="00711444" w:rsidRPr="004D0DAA" w:rsidRDefault="00711444" w:rsidP="00AA2A4C"/>
        </w:tc>
        <w:tc>
          <w:tcPr>
            <w:tcW w:w="567" w:type="dxa"/>
          </w:tcPr>
          <w:p w14:paraId="26537E45" w14:textId="77777777" w:rsidR="00711444" w:rsidRPr="004D0DAA" w:rsidRDefault="00711444" w:rsidP="00AA2A4C"/>
        </w:tc>
        <w:tc>
          <w:tcPr>
            <w:tcW w:w="567" w:type="dxa"/>
          </w:tcPr>
          <w:p w14:paraId="6C1FDB2E" w14:textId="77777777" w:rsidR="00711444" w:rsidRPr="004D0DAA" w:rsidRDefault="00711444" w:rsidP="00AA2A4C"/>
        </w:tc>
        <w:tc>
          <w:tcPr>
            <w:tcW w:w="567" w:type="dxa"/>
            <w:shd w:val="pct20" w:color="auto" w:fill="FFFFFF"/>
          </w:tcPr>
          <w:p w14:paraId="1D2863CE" w14:textId="77777777" w:rsidR="00711444" w:rsidRPr="004D0DAA" w:rsidRDefault="00711444" w:rsidP="00AA2A4C"/>
        </w:tc>
        <w:tc>
          <w:tcPr>
            <w:tcW w:w="567" w:type="dxa"/>
            <w:shd w:val="pct20" w:color="000000" w:fill="FFFFFF"/>
          </w:tcPr>
          <w:p w14:paraId="3189A57C" w14:textId="77777777" w:rsidR="00711444" w:rsidRPr="004D0DAA" w:rsidRDefault="00711444" w:rsidP="00AA2A4C"/>
        </w:tc>
        <w:tc>
          <w:tcPr>
            <w:tcW w:w="567" w:type="dxa"/>
            <w:shd w:val="pct20" w:color="000000" w:fill="FFFFFF"/>
          </w:tcPr>
          <w:p w14:paraId="089E631D" w14:textId="77777777" w:rsidR="00711444" w:rsidRPr="004D0DAA" w:rsidRDefault="00711444" w:rsidP="00AA2A4C">
            <w:pPr>
              <w:pStyle w:val="TAC"/>
              <w:rPr>
                <w:lang w:eastAsia="en-US"/>
              </w:rPr>
            </w:pPr>
          </w:p>
        </w:tc>
      </w:tr>
      <w:tr w:rsidR="00711444" w:rsidRPr="004D0DAA" w14:paraId="20D6202B" w14:textId="77777777" w:rsidTr="00AA2A4C">
        <w:tblPrEx>
          <w:tblCellMar>
            <w:top w:w="0" w:type="dxa"/>
            <w:bottom w:w="0" w:type="dxa"/>
          </w:tblCellMar>
        </w:tblPrEx>
        <w:tc>
          <w:tcPr>
            <w:tcW w:w="1021" w:type="dxa"/>
          </w:tcPr>
          <w:p w14:paraId="06293668" w14:textId="77777777" w:rsidR="00711444" w:rsidRPr="004D0DAA" w:rsidRDefault="00711444" w:rsidP="00AA2A4C">
            <w:pPr>
              <w:pStyle w:val="TAC"/>
              <w:rPr>
                <w:lang w:eastAsia="en-US"/>
              </w:rPr>
            </w:pPr>
            <w:r w:rsidRPr="004D0DAA">
              <w:rPr>
                <w:lang w:eastAsia="en-US"/>
              </w:rPr>
              <w:t>736</w:t>
            </w:r>
          </w:p>
        </w:tc>
        <w:tc>
          <w:tcPr>
            <w:tcW w:w="850" w:type="dxa"/>
          </w:tcPr>
          <w:p w14:paraId="7618EBC0" w14:textId="77777777" w:rsidR="00711444" w:rsidRPr="004D0DAA" w:rsidRDefault="00711444" w:rsidP="00AA2A4C">
            <w:pPr>
              <w:pStyle w:val="TAC"/>
              <w:rPr>
                <w:lang w:eastAsia="en-US"/>
              </w:rPr>
            </w:pPr>
            <w:r w:rsidRPr="004D0DAA">
              <w:rPr>
                <w:lang w:eastAsia="en-US"/>
              </w:rPr>
              <w:t>10101</w:t>
            </w:r>
          </w:p>
        </w:tc>
        <w:tc>
          <w:tcPr>
            <w:tcW w:w="567" w:type="dxa"/>
          </w:tcPr>
          <w:p w14:paraId="351918E4" w14:textId="77777777" w:rsidR="00711444" w:rsidRPr="004D0DAA" w:rsidRDefault="00711444" w:rsidP="00AA2A4C"/>
        </w:tc>
        <w:tc>
          <w:tcPr>
            <w:tcW w:w="567" w:type="dxa"/>
          </w:tcPr>
          <w:p w14:paraId="1EDCAB49" w14:textId="77777777" w:rsidR="00711444" w:rsidRPr="004D0DAA" w:rsidRDefault="00711444" w:rsidP="00AA2A4C"/>
        </w:tc>
        <w:tc>
          <w:tcPr>
            <w:tcW w:w="567" w:type="dxa"/>
          </w:tcPr>
          <w:p w14:paraId="12A3DBCD" w14:textId="77777777" w:rsidR="00711444" w:rsidRPr="004D0DAA" w:rsidRDefault="00711444" w:rsidP="00AA2A4C"/>
        </w:tc>
        <w:tc>
          <w:tcPr>
            <w:tcW w:w="567" w:type="dxa"/>
          </w:tcPr>
          <w:p w14:paraId="3333F781" w14:textId="77777777" w:rsidR="00711444" w:rsidRPr="004D0DAA" w:rsidRDefault="00711444" w:rsidP="00AA2A4C"/>
        </w:tc>
        <w:tc>
          <w:tcPr>
            <w:tcW w:w="567" w:type="dxa"/>
          </w:tcPr>
          <w:p w14:paraId="6BAAD3E5" w14:textId="77777777" w:rsidR="00711444" w:rsidRPr="004D0DAA" w:rsidRDefault="00711444" w:rsidP="00AA2A4C"/>
        </w:tc>
        <w:tc>
          <w:tcPr>
            <w:tcW w:w="567" w:type="dxa"/>
            <w:shd w:val="pct20" w:color="auto" w:fill="FFFFFF"/>
          </w:tcPr>
          <w:p w14:paraId="138FF5B3" w14:textId="77777777" w:rsidR="00711444" w:rsidRPr="004D0DAA" w:rsidRDefault="00711444" w:rsidP="00AA2A4C"/>
        </w:tc>
        <w:tc>
          <w:tcPr>
            <w:tcW w:w="567" w:type="dxa"/>
            <w:shd w:val="pct20" w:color="auto" w:fill="FFFFFF"/>
          </w:tcPr>
          <w:p w14:paraId="14D19119" w14:textId="77777777" w:rsidR="00711444" w:rsidRPr="004D0DAA" w:rsidRDefault="00711444" w:rsidP="00AA2A4C"/>
        </w:tc>
        <w:tc>
          <w:tcPr>
            <w:tcW w:w="567" w:type="dxa"/>
            <w:shd w:val="pct20" w:color="000000" w:fill="FFFFFF"/>
          </w:tcPr>
          <w:p w14:paraId="46B820FB" w14:textId="77777777" w:rsidR="00711444" w:rsidRPr="004D0DAA" w:rsidRDefault="00711444" w:rsidP="00AA2A4C">
            <w:pPr>
              <w:pStyle w:val="TAC"/>
              <w:rPr>
                <w:lang w:eastAsia="en-US"/>
              </w:rPr>
            </w:pPr>
          </w:p>
        </w:tc>
      </w:tr>
      <w:tr w:rsidR="00711444" w:rsidRPr="004D0DAA" w14:paraId="687479ED" w14:textId="77777777" w:rsidTr="00AA2A4C">
        <w:tblPrEx>
          <w:tblCellMar>
            <w:top w:w="0" w:type="dxa"/>
            <w:bottom w:w="0" w:type="dxa"/>
          </w:tblCellMar>
        </w:tblPrEx>
        <w:tc>
          <w:tcPr>
            <w:tcW w:w="1021" w:type="dxa"/>
          </w:tcPr>
          <w:p w14:paraId="519CC313" w14:textId="77777777" w:rsidR="00711444" w:rsidRPr="004D0DAA" w:rsidRDefault="00711444" w:rsidP="00AA2A4C">
            <w:pPr>
              <w:pStyle w:val="TAC"/>
              <w:rPr>
                <w:lang w:eastAsia="en-US"/>
              </w:rPr>
            </w:pPr>
            <w:r w:rsidRPr="004D0DAA">
              <w:rPr>
                <w:lang w:eastAsia="en-US"/>
              </w:rPr>
              <w:t>768</w:t>
            </w:r>
          </w:p>
        </w:tc>
        <w:tc>
          <w:tcPr>
            <w:tcW w:w="850" w:type="dxa"/>
          </w:tcPr>
          <w:p w14:paraId="05F48540" w14:textId="77777777" w:rsidR="00711444" w:rsidRPr="004D0DAA" w:rsidRDefault="00711444" w:rsidP="00AA2A4C">
            <w:pPr>
              <w:pStyle w:val="TAC"/>
              <w:rPr>
                <w:lang w:eastAsia="en-US"/>
              </w:rPr>
            </w:pPr>
            <w:r w:rsidRPr="004D0DAA">
              <w:rPr>
                <w:lang w:eastAsia="en-US"/>
              </w:rPr>
              <w:t>10110</w:t>
            </w:r>
          </w:p>
        </w:tc>
        <w:tc>
          <w:tcPr>
            <w:tcW w:w="567" w:type="dxa"/>
          </w:tcPr>
          <w:p w14:paraId="10A89775" w14:textId="77777777" w:rsidR="00711444" w:rsidRPr="004D0DAA" w:rsidRDefault="00711444" w:rsidP="00AA2A4C"/>
        </w:tc>
        <w:tc>
          <w:tcPr>
            <w:tcW w:w="567" w:type="dxa"/>
          </w:tcPr>
          <w:p w14:paraId="2EC7279D" w14:textId="77777777" w:rsidR="00711444" w:rsidRPr="004D0DAA" w:rsidRDefault="00711444" w:rsidP="00AA2A4C"/>
        </w:tc>
        <w:tc>
          <w:tcPr>
            <w:tcW w:w="567" w:type="dxa"/>
          </w:tcPr>
          <w:p w14:paraId="29479026" w14:textId="77777777" w:rsidR="00711444" w:rsidRPr="004D0DAA" w:rsidRDefault="00711444" w:rsidP="00AA2A4C"/>
        </w:tc>
        <w:tc>
          <w:tcPr>
            <w:tcW w:w="567" w:type="dxa"/>
          </w:tcPr>
          <w:p w14:paraId="3971BAAD" w14:textId="77777777" w:rsidR="00711444" w:rsidRPr="004D0DAA" w:rsidRDefault="00711444" w:rsidP="00AA2A4C"/>
        </w:tc>
        <w:tc>
          <w:tcPr>
            <w:tcW w:w="567" w:type="dxa"/>
          </w:tcPr>
          <w:p w14:paraId="5B135384" w14:textId="77777777" w:rsidR="00711444" w:rsidRPr="004D0DAA" w:rsidRDefault="00711444" w:rsidP="00AA2A4C"/>
        </w:tc>
        <w:tc>
          <w:tcPr>
            <w:tcW w:w="567" w:type="dxa"/>
            <w:shd w:val="pct20" w:color="auto" w:fill="FFFFFF"/>
          </w:tcPr>
          <w:p w14:paraId="0F77D289" w14:textId="77777777" w:rsidR="00711444" w:rsidRPr="004D0DAA" w:rsidRDefault="00711444" w:rsidP="00AA2A4C">
            <w:pPr>
              <w:pStyle w:val="TAC"/>
              <w:rPr>
                <w:lang w:eastAsia="en-US"/>
              </w:rPr>
            </w:pPr>
            <w:r w:rsidRPr="004D0DAA">
              <w:rPr>
                <w:lang w:eastAsia="en-US"/>
              </w:rPr>
              <w:t>Max</w:t>
            </w:r>
          </w:p>
        </w:tc>
        <w:tc>
          <w:tcPr>
            <w:tcW w:w="567" w:type="dxa"/>
            <w:shd w:val="pct20" w:color="auto" w:fill="FFFFFF"/>
          </w:tcPr>
          <w:p w14:paraId="02D4949C" w14:textId="77777777" w:rsidR="00711444" w:rsidRPr="004D0DAA" w:rsidRDefault="00711444" w:rsidP="00AA2A4C"/>
        </w:tc>
        <w:tc>
          <w:tcPr>
            <w:tcW w:w="567" w:type="dxa"/>
            <w:shd w:val="pct20" w:color="000000" w:fill="FFFFFF"/>
          </w:tcPr>
          <w:p w14:paraId="3055D90C" w14:textId="77777777" w:rsidR="00711444" w:rsidRPr="004D0DAA" w:rsidRDefault="00711444" w:rsidP="00AA2A4C">
            <w:pPr>
              <w:pStyle w:val="TAC"/>
              <w:rPr>
                <w:lang w:eastAsia="en-US"/>
              </w:rPr>
            </w:pPr>
          </w:p>
        </w:tc>
      </w:tr>
      <w:tr w:rsidR="00711444" w:rsidRPr="004D0DAA" w14:paraId="65D5826D" w14:textId="77777777" w:rsidTr="00AA2A4C">
        <w:tblPrEx>
          <w:tblCellMar>
            <w:top w:w="0" w:type="dxa"/>
            <w:bottom w:w="0" w:type="dxa"/>
          </w:tblCellMar>
        </w:tblPrEx>
        <w:tc>
          <w:tcPr>
            <w:tcW w:w="1021" w:type="dxa"/>
          </w:tcPr>
          <w:p w14:paraId="57765E66" w14:textId="77777777" w:rsidR="00711444" w:rsidRPr="004D0DAA" w:rsidRDefault="00711444" w:rsidP="00AA2A4C">
            <w:pPr>
              <w:pStyle w:val="TAC"/>
              <w:rPr>
                <w:lang w:eastAsia="en-US"/>
              </w:rPr>
            </w:pPr>
            <w:r w:rsidRPr="004D0DAA">
              <w:rPr>
                <w:lang w:eastAsia="en-US"/>
              </w:rPr>
              <w:t>800</w:t>
            </w:r>
          </w:p>
        </w:tc>
        <w:tc>
          <w:tcPr>
            <w:tcW w:w="850" w:type="dxa"/>
          </w:tcPr>
          <w:p w14:paraId="73105F12" w14:textId="77777777" w:rsidR="00711444" w:rsidRPr="004D0DAA" w:rsidRDefault="00711444" w:rsidP="00AA2A4C">
            <w:pPr>
              <w:pStyle w:val="TAC"/>
              <w:rPr>
                <w:lang w:eastAsia="en-US"/>
              </w:rPr>
            </w:pPr>
            <w:r w:rsidRPr="004D0DAA">
              <w:rPr>
                <w:lang w:eastAsia="en-US"/>
              </w:rPr>
              <w:t>10111</w:t>
            </w:r>
          </w:p>
        </w:tc>
        <w:tc>
          <w:tcPr>
            <w:tcW w:w="567" w:type="dxa"/>
          </w:tcPr>
          <w:p w14:paraId="561C2495" w14:textId="77777777" w:rsidR="00711444" w:rsidRPr="004D0DAA" w:rsidRDefault="00711444" w:rsidP="00AA2A4C"/>
        </w:tc>
        <w:tc>
          <w:tcPr>
            <w:tcW w:w="567" w:type="dxa"/>
          </w:tcPr>
          <w:p w14:paraId="10B44977" w14:textId="77777777" w:rsidR="00711444" w:rsidRPr="004D0DAA" w:rsidRDefault="00711444" w:rsidP="00AA2A4C"/>
        </w:tc>
        <w:tc>
          <w:tcPr>
            <w:tcW w:w="567" w:type="dxa"/>
          </w:tcPr>
          <w:p w14:paraId="6F730BD5" w14:textId="77777777" w:rsidR="00711444" w:rsidRPr="004D0DAA" w:rsidRDefault="00711444" w:rsidP="00AA2A4C"/>
        </w:tc>
        <w:tc>
          <w:tcPr>
            <w:tcW w:w="567" w:type="dxa"/>
          </w:tcPr>
          <w:p w14:paraId="2B99CDA9" w14:textId="77777777" w:rsidR="00711444" w:rsidRPr="004D0DAA" w:rsidRDefault="00711444" w:rsidP="00AA2A4C"/>
        </w:tc>
        <w:tc>
          <w:tcPr>
            <w:tcW w:w="567" w:type="dxa"/>
          </w:tcPr>
          <w:p w14:paraId="467399CC" w14:textId="77777777" w:rsidR="00711444" w:rsidRPr="004D0DAA" w:rsidRDefault="00711444" w:rsidP="00AA2A4C"/>
        </w:tc>
        <w:tc>
          <w:tcPr>
            <w:tcW w:w="567" w:type="dxa"/>
          </w:tcPr>
          <w:p w14:paraId="5BDFF2EF" w14:textId="77777777" w:rsidR="00711444" w:rsidRPr="004D0DAA" w:rsidRDefault="00711444" w:rsidP="00AA2A4C"/>
        </w:tc>
        <w:tc>
          <w:tcPr>
            <w:tcW w:w="567" w:type="dxa"/>
            <w:shd w:val="pct20" w:color="auto" w:fill="FFFFFF"/>
          </w:tcPr>
          <w:p w14:paraId="3977B422" w14:textId="77777777" w:rsidR="00711444" w:rsidRPr="004D0DAA" w:rsidRDefault="00711444" w:rsidP="00AA2A4C"/>
        </w:tc>
        <w:tc>
          <w:tcPr>
            <w:tcW w:w="567" w:type="dxa"/>
            <w:shd w:val="pct20" w:color="000000" w:fill="FFFFFF"/>
          </w:tcPr>
          <w:p w14:paraId="4046591D" w14:textId="77777777" w:rsidR="00711444" w:rsidRPr="004D0DAA" w:rsidRDefault="00711444" w:rsidP="00AA2A4C">
            <w:pPr>
              <w:pStyle w:val="TAC"/>
              <w:rPr>
                <w:lang w:eastAsia="en-US"/>
              </w:rPr>
            </w:pPr>
          </w:p>
        </w:tc>
      </w:tr>
      <w:tr w:rsidR="00711444" w:rsidRPr="004D0DAA" w14:paraId="278E0D4A" w14:textId="77777777" w:rsidTr="00AA2A4C">
        <w:tblPrEx>
          <w:tblCellMar>
            <w:top w:w="0" w:type="dxa"/>
            <w:bottom w:w="0" w:type="dxa"/>
          </w:tblCellMar>
        </w:tblPrEx>
        <w:tc>
          <w:tcPr>
            <w:tcW w:w="1021" w:type="dxa"/>
          </w:tcPr>
          <w:p w14:paraId="4AF98815" w14:textId="77777777" w:rsidR="00711444" w:rsidRPr="004D0DAA" w:rsidRDefault="00711444" w:rsidP="00AA2A4C">
            <w:pPr>
              <w:pStyle w:val="TAC"/>
              <w:rPr>
                <w:lang w:eastAsia="en-US"/>
              </w:rPr>
            </w:pPr>
            <w:r w:rsidRPr="004D0DAA">
              <w:rPr>
                <w:lang w:eastAsia="en-US"/>
              </w:rPr>
              <w:t>832</w:t>
            </w:r>
          </w:p>
        </w:tc>
        <w:tc>
          <w:tcPr>
            <w:tcW w:w="850" w:type="dxa"/>
          </w:tcPr>
          <w:p w14:paraId="61E66A77" w14:textId="77777777" w:rsidR="00711444" w:rsidRPr="004D0DAA" w:rsidRDefault="00711444" w:rsidP="00AA2A4C">
            <w:pPr>
              <w:pStyle w:val="TAC"/>
              <w:rPr>
                <w:lang w:eastAsia="en-US"/>
              </w:rPr>
            </w:pPr>
            <w:r w:rsidRPr="004D0DAA">
              <w:rPr>
                <w:lang w:eastAsia="en-US"/>
              </w:rPr>
              <w:t>11000</w:t>
            </w:r>
          </w:p>
        </w:tc>
        <w:tc>
          <w:tcPr>
            <w:tcW w:w="567" w:type="dxa"/>
          </w:tcPr>
          <w:p w14:paraId="5F8F3317" w14:textId="77777777" w:rsidR="00711444" w:rsidRPr="004D0DAA" w:rsidRDefault="00711444" w:rsidP="00AA2A4C"/>
        </w:tc>
        <w:tc>
          <w:tcPr>
            <w:tcW w:w="567" w:type="dxa"/>
          </w:tcPr>
          <w:p w14:paraId="13A7EDB9" w14:textId="77777777" w:rsidR="00711444" w:rsidRPr="004D0DAA" w:rsidRDefault="00711444" w:rsidP="00AA2A4C"/>
        </w:tc>
        <w:tc>
          <w:tcPr>
            <w:tcW w:w="567" w:type="dxa"/>
          </w:tcPr>
          <w:p w14:paraId="2C57890E" w14:textId="77777777" w:rsidR="00711444" w:rsidRPr="004D0DAA" w:rsidRDefault="00711444" w:rsidP="00AA2A4C"/>
        </w:tc>
        <w:tc>
          <w:tcPr>
            <w:tcW w:w="567" w:type="dxa"/>
          </w:tcPr>
          <w:p w14:paraId="3531B66D" w14:textId="77777777" w:rsidR="00711444" w:rsidRPr="004D0DAA" w:rsidRDefault="00711444" w:rsidP="00AA2A4C"/>
        </w:tc>
        <w:tc>
          <w:tcPr>
            <w:tcW w:w="567" w:type="dxa"/>
          </w:tcPr>
          <w:p w14:paraId="4F30535B" w14:textId="77777777" w:rsidR="00711444" w:rsidRPr="004D0DAA" w:rsidRDefault="00711444" w:rsidP="00AA2A4C"/>
        </w:tc>
        <w:tc>
          <w:tcPr>
            <w:tcW w:w="567" w:type="dxa"/>
          </w:tcPr>
          <w:p w14:paraId="0BFAA925" w14:textId="77777777" w:rsidR="00711444" w:rsidRPr="004D0DAA" w:rsidRDefault="00711444" w:rsidP="00AA2A4C"/>
        </w:tc>
        <w:tc>
          <w:tcPr>
            <w:tcW w:w="567" w:type="dxa"/>
            <w:shd w:val="pct20" w:color="auto" w:fill="FFFFFF"/>
          </w:tcPr>
          <w:p w14:paraId="2A37B72D" w14:textId="77777777" w:rsidR="00711444" w:rsidRPr="004D0DAA" w:rsidRDefault="00711444" w:rsidP="00AA2A4C"/>
        </w:tc>
        <w:tc>
          <w:tcPr>
            <w:tcW w:w="567" w:type="dxa"/>
            <w:shd w:val="pct20" w:color="000000" w:fill="FFFFFF"/>
          </w:tcPr>
          <w:p w14:paraId="367AFECF" w14:textId="77777777" w:rsidR="00711444" w:rsidRPr="004D0DAA" w:rsidRDefault="00711444" w:rsidP="00AA2A4C">
            <w:pPr>
              <w:pStyle w:val="TAC"/>
              <w:rPr>
                <w:lang w:eastAsia="en-US"/>
              </w:rPr>
            </w:pPr>
          </w:p>
        </w:tc>
      </w:tr>
      <w:tr w:rsidR="00711444" w:rsidRPr="004D0DAA" w14:paraId="6F13747F" w14:textId="77777777" w:rsidTr="00AA2A4C">
        <w:tblPrEx>
          <w:tblCellMar>
            <w:top w:w="0" w:type="dxa"/>
            <w:bottom w:w="0" w:type="dxa"/>
          </w:tblCellMar>
        </w:tblPrEx>
        <w:tc>
          <w:tcPr>
            <w:tcW w:w="1021" w:type="dxa"/>
          </w:tcPr>
          <w:p w14:paraId="0FA08B4E" w14:textId="77777777" w:rsidR="00711444" w:rsidRPr="004D0DAA" w:rsidRDefault="00711444" w:rsidP="00AA2A4C">
            <w:pPr>
              <w:pStyle w:val="TAC"/>
              <w:rPr>
                <w:lang w:eastAsia="en-US"/>
              </w:rPr>
            </w:pPr>
            <w:r w:rsidRPr="004D0DAA">
              <w:rPr>
                <w:lang w:eastAsia="en-US"/>
              </w:rPr>
              <w:t>864</w:t>
            </w:r>
          </w:p>
        </w:tc>
        <w:tc>
          <w:tcPr>
            <w:tcW w:w="850" w:type="dxa"/>
          </w:tcPr>
          <w:p w14:paraId="1D0CE463" w14:textId="77777777" w:rsidR="00711444" w:rsidRPr="004D0DAA" w:rsidRDefault="00711444" w:rsidP="00AA2A4C">
            <w:pPr>
              <w:pStyle w:val="TAC"/>
              <w:rPr>
                <w:lang w:eastAsia="en-US"/>
              </w:rPr>
            </w:pPr>
            <w:r w:rsidRPr="004D0DAA">
              <w:rPr>
                <w:lang w:eastAsia="en-US"/>
              </w:rPr>
              <w:t>11001</w:t>
            </w:r>
          </w:p>
        </w:tc>
        <w:tc>
          <w:tcPr>
            <w:tcW w:w="567" w:type="dxa"/>
          </w:tcPr>
          <w:p w14:paraId="12A27486" w14:textId="77777777" w:rsidR="00711444" w:rsidRPr="004D0DAA" w:rsidRDefault="00711444" w:rsidP="00AA2A4C"/>
        </w:tc>
        <w:tc>
          <w:tcPr>
            <w:tcW w:w="567" w:type="dxa"/>
          </w:tcPr>
          <w:p w14:paraId="7D5CE1E3" w14:textId="77777777" w:rsidR="00711444" w:rsidRPr="004D0DAA" w:rsidRDefault="00711444" w:rsidP="00AA2A4C"/>
        </w:tc>
        <w:tc>
          <w:tcPr>
            <w:tcW w:w="567" w:type="dxa"/>
          </w:tcPr>
          <w:p w14:paraId="6F52BDEB" w14:textId="77777777" w:rsidR="00711444" w:rsidRPr="004D0DAA" w:rsidRDefault="00711444" w:rsidP="00AA2A4C"/>
        </w:tc>
        <w:tc>
          <w:tcPr>
            <w:tcW w:w="567" w:type="dxa"/>
          </w:tcPr>
          <w:p w14:paraId="544CD555" w14:textId="77777777" w:rsidR="00711444" w:rsidRPr="004D0DAA" w:rsidRDefault="00711444" w:rsidP="00AA2A4C"/>
        </w:tc>
        <w:tc>
          <w:tcPr>
            <w:tcW w:w="567" w:type="dxa"/>
          </w:tcPr>
          <w:p w14:paraId="22A10C8D" w14:textId="77777777" w:rsidR="00711444" w:rsidRPr="004D0DAA" w:rsidRDefault="00711444" w:rsidP="00AA2A4C"/>
        </w:tc>
        <w:tc>
          <w:tcPr>
            <w:tcW w:w="567" w:type="dxa"/>
          </w:tcPr>
          <w:p w14:paraId="176B3B91" w14:textId="77777777" w:rsidR="00711444" w:rsidRPr="004D0DAA" w:rsidRDefault="00711444" w:rsidP="00AA2A4C"/>
        </w:tc>
        <w:tc>
          <w:tcPr>
            <w:tcW w:w="567" w:type="dxa"/>
            <w:shd w:val="pct20" w:color="auto" w:fill="FFFFFF"/>
          </w:tcPr>
          <w:p w14:paraId="07D8E1F3" w14:textId="77777777" w:rsidR="00711444" w:rsidRPr="004D0DAA" w:rsidRDefault="00711444" w:rsidP="00AA2A4C"/>
        </w:tc>
        <w:tc>
          <w:tcPr>
            <w:tcW w:w="567" w:type="dxa"/>
            <w:shd w:val="pct20" w:color="000000" w:fill="FFFFFF"/>
          </w:tcPr>
          <w:p w14:paraId="2660EA91" w14:textId="77777777" w:rsidR="00711444" w:rsidRPr="004D0DAA" w:rsidRDefault="00711444" w:rsidP="00AA2A4C">
            <w:pPr>
              <w:pStyle w:val="TAC"/>
              <w:rPr>
                <w:lang w:eastAsia="en-US"/>
              </w:rPr>
            </w:pPr>
          </w:p>
        </w:tc>
      </w:tr>
      <w:tr w:rsidR="00711444" w:rsidRPr="004D0DAA" w14:paraId="4850B675" w14:textId="77777777" w:rsidTr="00AA2A4C">
        <w:tblPrEx>
          <w:tblCellMar>
            <w:top w:w="0" w:type="dxa"/>
            <w:bottom w:w="0" w:type="dxa"/>
          </w:tblCellMar>
        </w:tblPrEx>
        <w:tc>
          <w:tcPr>
            <w:tcW w:w="1021" w:type="dxa"/>
          </w:tcPr>
          <w:p w14:paraId="58691256" w14:textId="77777777" w:rsidR="00711444" w:rsidRPr="004D0DAA" w:rsidRDefault="00711444" w:rsidP="00AA2A4C">
            <w:pPr>
              <w:pStyle w:val="TAC"/>
              <w:rPr>
                <w:lang w:eastAsia="en-US"/>
              </w:rPr>
            </w:pPr>
            <w:r w:rsidRPr="004D0DAA">
              <w:rPr>
                <w:lang w:eastAsia="en-US"/>
              </w:rPr>
              <w:t>896</w:t>
            </w:r>
          </w:p>
        </w:tc>
        <w:tc>
          <w:tcPr>
            <w:tcW w:w="850" w:type="dxa"/>
          </w:tcPr>
          <w:p w14:paraId="51F16427" w14:textId="77777777" w:rsidR="00711444" w:rsidRPr="004D0DAA" w:rsidRDefault="00711444" w:rsidP="00AA2A4C">
            <w:pPr>
              <w:pStyle w:val="TAC"/>
              <w:rPr>
                <w:lang w:eastAsia="en-US"/>
              </w:rPr>
            </w:pPr>
            <w:r w:rsidRPr="004D0DAA">
              <w:rPr>
                <w:lang w:eastAsia="en-US"/>
              </w:rPr>
              <w:t>11010</w:t>
            </w:r>
          </w:p>
        </w:tc>
        <w:tc>
          <w:tcPr>
            <w:tcW w:w="567" w:type="dxa"/>
          </w:tcPr>
          <w:p w14:paraId="349C1020" w14:textId="77777777" w:rsidR="00711444" w:rsidRPr="004D0DAA" w:rsidRDefault="00711444" w:rsidP="00AA2A4C"/>
        </w:tc>
        <w:tc>
          <w:tcPr>
            <w:tcW w:w="567" w:type="dxa"/>
          </w:tcPr>
          <w:p w14:paraId="62235AF0" w14:textId="77777777" w:rsidR="00711444" w:rsidRPr="004D0DAA" w:rsidRDefault="00711444" w:rsidP="00AA2A4C"/>
        </w:tc>
        <w:tc>
          <w:tcPr>
            <w:tcW w:w="567" w:type="dxa"/>
          </w:tcPr>
          <w:p w14:paraId="016495B0" w14:textId="77777777" w:rsidR="00711444" w:rsidRPr="004D0DAA" w:rsidRDefault="00711444" w:rsidP="00AA2A4C"/>
        </w:tc>
        <w:tc>
          <w:tcPr>
            <w:tcW w:w="567" w:type="dxa"/>
          </w:tcPr>
          <w:p w14:paraId="0ACF3504" w14:textId="77777777" w:rsidR="00711444" w:rsidRPr="004D0DAA" w:rsidRDefault="00711444" w:rsidP="00AA2A4C"/>
        </w:tc>
        <w:tc>
          <w:tcPr>
            <w:tcW w:w="567" w:type="dxa"/>
          </w:tcPr>
          <w:p w14:paraId="4A319725" w14:textId="77777777" w:rsidR="00711444" w:rsidRPr="004D0DAA" w:rsidRDefault="00711444" w:rsidP="00AA2A4C"/>
        </w:tc>
        <w:tc>
          <w:tcPr>
            <w:tcW w:w="567" w:type="dxa"/>
          </w:tcPr>
          <w:p w14:paraId="6B8050BA" w14:textId="77777777" w:rsidR="00711444" w:rsidRPr="004D0DAA" w:rsidRDefault="00711444" w:rsidP="00AA2A4C"/>
        </w:tc>
        <w:tc>
          <w:tcPr>
            <w:tcW w:w="567" w:type="dxa"/>
            <w:shd w:val="pct20" w:color="auto" w:fill="FFFFFF"/>
          </w:tcPr>
          <w:p w14:paraId="34A5CF7B" w14:textId="77777777" w:rsidR="00711444" w:rsidRPr="004D0DAA" w:rsidRDefault="00711444" w:rsidP="00AA2A4C">
            <w:pPr>
              <w:pStyle w:val="TAC"/>
              <w:rPr>
                <w:lang w:eastAsia="en-US"/>
              </w:rPr>
            </w:pPr>
            <w:r w:rsidRPr="004D0DAA">
              <w:rPr>
                <w:lang w:eastAsia="en-US"/>
              </w:rPr>
              <w:t>Max</w:t>
            </w:r>
          </w:p>
        </w:tc>
        <w:tc>
          <w:tcPr>
            <w:tcW w:w="567" w:type="dxa"/>
            <w:shd w:val="pct20" w:color="000000" w:fill="FFFFFF"/>
          </w:tcPr>
          <w:p w14:paraId="58156857" w14:textId="77777777" w:rsidR="00711444" w:rsidRPr="004D0DAA" w:rsidRDefault="00711444" w:rsidP="00AA2A4C">
            <w:pPr>
              <w:pStyle w:val="TAC"/>
              <w:rPr>
                <w:lang w:eastAsia="en-US"/>
              </w:rPr>
            </w:pPr>
          </w:p>
        </w:tc>
      </w:tr>
      <w:tr w:rsidR="00711444" w:rsidRPr="004D0DAA" w14:paraId="59A46277" w14:textId="77777777" w:rsidTr="00AA2A4C">
        <w:tblPrEx>
          <w:tblCellMar>
            <w:top w:w="0" w:type="dxa"/>
            <w:bottom w:w="0" w:type="dxa"/>
          </w:tblCellMar>
        </w:tblPrEx>
        <w:tc>
          <w:tcPr>
            <w:tcW w:w="1021" w:type="dxa"/>
          </w:tcPr>
          <w:p w14:paraId="5B749313" w14:textId="77777777" w:rsidR="00711444" w:rsidRPr="004D0DAA" w:rsidRDefault="00711444" w:rsidP="00AA2A4C">
            <w:pPr>
              <w:pStyle w:val="TAC"/>
              <w:rPr>
                <w:lang w:eastAsia="en-US"/>
              </w:rPr>
            </w:pPr>
            <w:r w:rsidRPr="004D0DAA">
              <w:rPr>
                <w:lang w:eastAsia="en-US"/>
              </w:rPr>
              <w:t>928</w:t>
            </w:r>
          </w:p>
        </w:tc>
        <w:tc>
          <w:tcPr>
            <w:tcW w:w="850" w:type="dxa"/>
          </w:tcPr>
          <w:p w14:paraId="223B2150" w14:textId="77777777" w:rsidR="00711444" w:rsidRPr="004D0DAA" w:rsidRDefault="00711444" w:rsidP="00AA2A4C">
            <w:pPr>
              <w:pStyle w:val="TAC"/>
              <w:rPr>
                <w:lang w:eastAsia="en-US"/>
              </w:rPr>
            </w:pPr>
            <w:r w:rsidRPr="004D0DAA">
              <w:rPr>
                <w:lang w:eastAsia="en-US"/>
              </w:rPr>
              <w:t>11011</w:t>
            </w:r>
          </w:p>
        </w:tc>
        <w:tc>
          <w:tcPr>
            <w:tcW w:w="567" w:type="dxa"/>
          </w:tcPr>
          <w:p w14:paraId="5179B2A2" w14:textId="77777777" w:rsidR="00711444" w:rsidRPr="004D0DAA" w:rsidRDefault="00711444" w:rsidP="00AA2A4C"/>
        </w:tc>
        <w:tc>
          <w:tcPr>
            <w:tcW w:w="567" w:type="dxa"/>
          </w:tcPr>
          <w:p w14:paraId="44C6D003" w14:textId="77777777" w:rsidR="00711444" w:rsidRPr="004D0DAA" w:rsidRDefault="00711444" w:rsidP="00AA2A4C"/>
        </w:tc>
        <w:tc>
          <w:tcPr>
            <w:tcW w:w="567" w:type="dxa"/>
          </w:tcPr>
          <w:p w14:paraId="1A26D0CB" w14:textId="77777777" w:rsidR="00711444" w:rsidRPr="004D0DAA" w:rsidRDefault="00711444" w:rsidP="00AA2A4C"/>
        </w:tc>
        <w:tc>
          <w:tcPr>
            <w:tcW w:w="567" w:type="dxa"/>
          </w:tcPr>
          <w:p w14:paraId="5E24BD15" w14:textId="77777777" w:rsidR="00711444" w:rsidRPr="004D0DAA" w:rsidRDefault="00711444" w:rsidP="00AA2A4C"/>
        </w:tc>
        <w:tc>
          <w:tcPr>
            <w:tcW w:w="567" w:type="dxa"/>
          </w:tcPr>
          <w:p w14:paraId="4276B774" w14:textId="77777777" w:rsidR="00711444" w:rsidRPr="004D0DAA" w:rsidRDefault="00711444" w:rsidP="00AA2A4C"/>
        </w:tc>
        <w:tc>
          <w:tcPr>
            <w:tcW w:w="567" w:type="dxa"/>
          </w:tcPr>
          <w:p w14:paraId="5F68BB66" w14:textId="77777777" w:rsidR="00711444" w:rsidRPr="004D0DAA" w:rsidRDefault="00711444" w:rsidP="00AA2A4C"/>
        </w:tc>
        <w:tc>
          <w:tcPr>
            <w:tcW w:w="567" w:type="dxa"/>
          </w:tcPr>
          <w:p w14:paraId="4FEA2539" w14:textId="77777777" w:rsidR="00711444" w:rsidRPr="004D0DAA" w:rsidRDefault="00711444" w:rsidP="00AA2A4C"/>
        </w:tc>
        <w:tc>
          <w:tcPr>
            <w:tcW w:w="567" w:type="dxa"/>
            <w:shd w:val="pct20" w:color="000000" w:fill="FFFFFF"/>
          </w:tcPr>
          <w:p w14:paraId="64A2EE7F" w14:textId="77777777" w:rsidR="00711444" w:rsidRPr="004D0DAA" w:rsidRDefault="00711444" w:rsidP="00AA2A4C">
            <w:pPr>
              <w:pStyle w:val="TAC"/>
              <w:rPr>
                <w:lang w:eastAsia="en-US"/>
              </w:rPr>
            </w:pPr>
          </w:p>
        </w:tc>
      </w:tr>
      <w:tr w:rsidR="00711444" w:rsidRPr="004D0DAA" w14:paraId="7155E09A" w14:textId="77777777" w:rsidTr="00AA2A4C">
        <w:tblPrEx>
          <w:tblCellMar>
            <w:top w:w="0" w:type="dxa"/>
            <w:bottom w:w="0" w:type="dxa"/>
          </w:tblCellMar>
        </w:tblPrEx>
        <w:tc>
          <w:tcPr>
            <w:tcW w:w="1021" w:type="dxa"/>
          </w:tcPr>
          <w:p w14:paraId="12625164" w14:textId="77777777" w:rsidR="00711444" w:rsidRPr="004D0DAA" w:rsidRDefault="00711444" w:rsidP="00AA2A4C">
            <w:pPr>
              <w:pStyle w:val="TAC"/>
              <w:rPr>
                <w:lang w:eastAsia="en-US"/>
              </w:rPr>
            </w:pPr>
            <w:r w:rsidRPr="004D0DAA">
              <w:rPr>
                <w:lang w:eastAsia="en-US"/>
              </w:rPr>
              <w:t>960</w:t>
            </w:r>
          </w:p>
        </w:tc>
        <w:tc>
          <w:tcPr>
            <w:tcW w:w="850" w:type="dxa"/>
          </w:tcPr>
          <w:p w14:paraId="60D91ADB" w14:textId="77777777" w:rsidR="00711444" w:rsidRPr="004D0DAA" w:rsidRDefault="00711444" w:rsidP="00AA2A4C">
            <w:pPr>
              <w:pStyle w:val="TAC"/>
              <w:rPr>
                <w:lang w:eastAsia="en-US"/>
              </w:rPr>
            </w:pPr>
            <w:r w:rsidRPr="004D0DAA">
              <w:rPr>
                <w:lang w:eastAsia="en-US"/>
              </w:rPr>
              <w:t>11100</w:t>
            </w:r>
          </w:p>
        </w:tc>
        <w:tc>
          <w:tcPr>
            <w:tcW w:w="567" w:type="dxa"/>
          </w:tcPr>
          <w:p w14:paraId="03E81FE0" w14:textId="77777777" w:rsidR="00711444" w:rsidRPr="004D0DAA" w:rsidRDefault="00711444" w:rsidP="00AA2A4C"/>
        </w:tc>
        <w:tc>
          <w:tcPr>
            <w:tcW w:w="567" w:type="dxa"/>
          </w:tcPr>
          <w:p w14:paraId="7B1B7F75" w14:textId="77777777" w:rsidR="00711444" w:rsidRPr="004D0DAA" w:rsidRDefault="00711444" w:rsidP="00AA2A4C"/>
        </w:tc>
        <w:tc>
          <w:tcPr>
            <w:tcW w:w="567" w:type="dxa"/>
          </w:tcPr>
          <w:p w14:paraId="68F59659" w14:textId="77777777" w:rsidR="00711444" w:rsidRPr="004D0DAA" w:rsidRDefault="00711444" w:rsidP="00AA2A4C"/>
        </w:tc>
        <w:tc>
          <w:tcPr>
            <w:tcW w:w="567" w:type="dxa"/>
          </w:tcPr>
          <w:p w14:paraId="3095D56F" w14:textId="77777777" w:rsidR="00711444" w:rsidRPr="004D0DAA" w:rsidRDefault="00711444" w:rsidP="00AA2A4C"/>
        </w:tc>
        <w:tc>
          <w:tcPr>
            <w:tcW w:w="567" w:type="dxa"/>
          </w:tcPr>
          <w:p w14:paraId="7F29DBE3" w14:textId="77777777" w:rsidR="00711444" w:rsidRPr="004D0DAA" w:rsidRDefault="00711444" w:rsidP="00AA2A4C"/>
        </w:tc>
        <w:tc>
          <w:tcPr>
            <w:tcW w:w="567" w:type="dxa"/>
          </w:tcPr>
          <w:p w14:paraId="03E58822" w14:textId="77777777" w:rsidR="00711444" w:rsidRPr="004D0DAA" w:rsidRDefault="00711444" w:rsidP="00AA2A4C"/>
        </w:tc>
        <w:tc>
          <w:tcPr>
            <w:tcW w:w="567" w:type="dxa"/>
          </w:tcPr>
          <w:p w14:paraId="17A42CC9" w14:textId="77777777" w:rsidR="00711444" w:rsidRPr="004D0DAA" w:rsidRDefault="00711444" w:rsidP="00AA2A4C"/>
        </w:tc>
        <w:tc>
          <w:tcPr>
            <w:tcW w:w="567" w:type="dxa"/>
            <w:shd w:val="pct20" w:color="000000" w:fill="FFFFFF"/>
          </w:tcPr>
          <w:p w14:paraId="1056E9D9" w14:textId="77777777" w:rsidR="00711444" w:rsidRPr="004D0DAA" w:rsidRDefault="00711444" w:rsidP="00AA2A4C">
            <w:pPr>
              <w:pStyle w:val="TAC"/>
              <w:rPr>
                <w:lang w:eastAsia="en-US"/>
              </w:rPr>
            </w:pPr>
          </w:p>
        </w:tc>
      </w:tr>
      <w:tr w:rsidR="00711444" w:rsidRPr="004D0DAA" w14:paraId="697CB991" w14:textId="77777777" w:rsidTr="00AA2A4C">
        <w:tblPrEx>
          <w:tblCellMar>
            <w:top w:w="0" w:type="dxa"/>
            <w:bottom w:w="0" w:type="dxa"/>
          </w:tblCellMar>
        </w:tblPrEx>
        <w:tc>
          <w:tcPr>
            <w:tcW w:w="1021" w:type="dxa"/>
          </w:tcPr>
          <w:p w14:paraId="06966BAF" w14:textId="77777777" w:rsidR="00711444" w:rsidRPr="004D0DAA" w:rsidRDefault="00711444" w:rsidP="00AA2A4C">
            <w:pPr>
              <w:pStyle w:val="TAC"/>
              <w:rPr>
                <w:lang w:eastAsia="en-US"/>
              </w:rPr>
            </w:pPr>
            <w:r w:rsidRPr="004D0DAA">
              <w:rPr>
                <w:lang w:eastAsia="en-US"/>
              </w:rPr>
              <w:t>992</w:t>
            </w:r>
          </w:p>
        </w:tc>
        <w:tc>
          <w:tcPr>
            <w:tcW w:w="850" w:type="dxa"/>
          </w:tcPr>
          <w:p w14:paraId="53ADD63D" w14:textId="77777777" w:rsidR="00711444" w:rsidRPr="004D0DAA" w:rsidRDefault="00711444" w:rsidP="00AA2A4C">
            <w:pPr>
              <w:pStyle w:val="TAC"/>
              <w:rPr>
                <w:lang w:eastAsia="en-US"/>
              </w:rPr>
            </w:pPr>
            <w:r w:rsidRPr="004D0DAA">
              <w:rPr>
                <w:lang w:eastAsia="en-US"/>
              </w:rPr>
              <w:t>11101</w:t>
            </w:r>
          </w:p>
        </w:tc>
        <w:tc>
          <w:tcPr>
            <w:tcW w:w="567" w:type="dxa"/>
          </w:tcPr>
          <w:p w14:paraId="4F00CECE" w14:textId="77777777" w:rsidR="00711444" w:rsidRPr="004D0DAA" w:rsidRDefault="00711444" w:rsidP="00AA2A4C"/>
        </w:tc>
        <w:tc>
          <w:tcPr>
            <w:tcW w:w="567" w:type="dxa"/>
          </w:tcPr>
          <w:p w14:paraId="6D0A9D35" w14:textId="77777777" w:rsidR="00711444" w:rsidRPr="004D0DAA" w:rsidRDefault="00711444" w:rsidP="00AA2A4C"/>
        </w:tc>
        <w:tc>
          <w:tcPr>
            <w:tcW w:w="567" w:type="dxa"/>
          </w:tcPr>
          <w:p w14:paraId="4B3DFB6E" w14:textId="77777777" w:rsidR="00711444" w:rsidRPr="004D0DAA" w:rsidRDefault="00711444" w:rsidP="00AA2A4C"/>
        </w:tc>
        <w:tc>
          <w:tcPr>
            <w:tcW w:w="567" w:type="dxa"/>
          </w:tcPr>
          <w:p w14:paraId="23E38A7F" w14:textId="77777777" w:rsidR="00711444" w:rsidRPr="004D0DAA" w:rsidRDefault="00711444" w:rsidP="00AA2A4C"/>
        </w:tc>
        <w:tc>
          <w:tcPr>
            <w:tcW w:w="567" w:type="dxa"/>
          </w:tcPr>
          <w:p w14:paraId="6B44F450" w14:textId="77777777" w:rsidR="00711444" w:rsidRPr="004D0DAA" w:rsidRDefault="00711444" w:rsidP="00AA2A4C"/>
        </w:tc>
        <w:tc>
          <w:tcPr>
            <w:tcW w:w="567" w:type="dxa"/>
          </w:tcPr>
          <w:p w14:paraId="4F5D9A85" w14:textId="77777777" w:rsidR="00711444" w:rsidRPr="004D0DAA" w:rsidRDefault="00711444" w:rsidP="00AA2A4C"/>
        </w:tc>
        <w:tc>
          <w:tcPr>
            <w:tcW w:w="567" w:type="dxa"/>
          </w:tcPr>
          <w:p w14:paraId="54FDCB17" w14:textId="77777777" w:rsidR="00711444" w:rsidRPr="004D0DAA" w:rsidRDefault="00711444" w:rsidP="00AA2A4C"/>
        </w:tc>
        <w:tc>
          <w:tcPr>
            <w:tcW w:w="567" w:type="dxa"/>
            <w:shd w:val="pct20" w:color="000000" w:fill="FFFFFF"/>
          </w:tcPr>
          <w:p w14:paraId="276504FA" w14:textId="77777777" w:rsidR="00711444" w:rsidRPr="004D0DAA" w:rsidRDefault="00711444" w:rsidP="00AA2A4C">
            <w:pPr>
              <w:pStyle w:val="TAC"/>
              <w:rPr>
                <w:lang w:eastAsia="en-US"/>
              </w:rPr>
            </w:pPr>
          </w:p>
        </w:tc>
      </w:tr>
      <w:tr w:rsidR="00711444" w:rsidRPr="004D0DAA" w14:paraId="30981D9F" w14:textId="77777777" w:rsidTr="00AA2A4C">
        <w:tblPrEx>
          <w:tblCellMar>
            <w:top w:w="0" w:type="dxa"/>
            <w:bottom w:w="0" w:type="dxa"/>
          </w:tblCellMar>
        </w:tblPrEx>
        <w:tc>
          <w:tcPr>
            <w:tcW w:w="1021" w:type="dxa"/>
          </w:tcPr>
          <w:p w14:paraId="70E7EC34" w14:textId="77777777" w:rsidR="00711444" w:rsidRPr="004D0DAA" w:rsidRDefault="00711444" w:rsidP="00AA2A4C">
            <w:pPr>
              <w:pStyle w:val="TAC"/>
              <w:rPr>
                <w:lang w:eastAsia="en-US"/>
              </w:rPr>
            </w:pPr>
            <w:r w:rsidRPr="004D0DAA">
              <w:rPr>
                <w:lang w:eastAsia="en-US"/>
              </w:rPr>
              <w:t>1024</w:t>
            </w:r>
          </w:p>
        </w:tc>
        <w:tc>
          <w:tcPr>
            <w:tcW w:w="850" w:type="dxa"/>
          </w:tcPr>
          <w:p w14:paraId="0C5D82C0" w14:textId="77777777" w:rsidR="00711444" w:rsidRPr="004D0DAA" w:rsidRDefault="00711444" w:rsidP="00AA2A4C">
            <w:pPr>
              <w:pStyle w:val="TAC"/>
              <w:rPr>
                <w:lang w:eastAsia="en-US"/>
              </w:rPr>
            </w:pPr>
            <w:r w:rsidRPr="004D0DAA">
              <w:rPr>
                <w:lang w:eastAsia="en-US"/>
              </w:rPr>
              <w:t>11110</w:t>
            </w:r>
          </w:p>
        </w:tc>
        <w:tc>
          <w:tcPr>
            <w:tcW w:w="567" w:type="dxa"/>
          </w:tcPr>
          <w:p w14:paraId="7A6DBCF7" w14:textId="77777777" w:rsidR="00711444" w:rsidRPr="004D0DAA" w:rsidRDefault="00711444" w:rsidP="00AA2A4C"/>
        </w:tc>
        <w:tc>
          <w:tcPr>
            <w:tcW w:w="567" w:type="dxa"/>
          </w:tcPr>
          <w:p w14:paraId="5EF738EE" w14:textId="77777777" w:rsidR="00711444" w:rsidRPr="004D0DAA" w:rsidRDefault="00711444" w:rsidP="00AA2A4C"/>
        </w:tc>
        <w:tc>
          <w:tcPr>
            <w:tcW w:w="567" w:type="dxa"/>
          </w:tcPr>
          <w:p w14:paraId="4D4FDD33" w14:textId="77777777" w:rsidR="00711444" w:rsidRPr="004D0DAA" w:rsidRDefault="00711444" w:rsidP="00AA2A4C"/>
        </w:tc>
        <w:tc>
          <w:tcPr>
            <w:tcW w:w="567" w:type="dxa"/>
          </w:tcPr>
          <w:p w14:paraId="0BE5C619" w14:textId="77777777" w:rsidR="00711444" w:rsidRPr="004D0DAA" w:rsidRDefault="00711444" w:rsidP="00AA2A4C"/>
        </w:tc>
        <w:tc>
          <w:tcPr>
            <w:tcW w:w="567" w:type="dxa"/>
          </w:tcPr>
          <w:p w14:paraId="08ED5506" w14:textId="77777777" w:rsidR="00711444" w:rsidRPr="004D0DAA" w:rsidRDefault="00711444" w:rsidP="00AA2A4C"/>
        </w:tc>
        <w:tc>
          <w:tcPr>
            <w:tcW w:w="567" w:type="dxa"/>
          </w:tcPr>
          <w:p w14:paraId="13E3738A" w14:textId="77777777" w:rsidR="00711444" w:rsidRPr="004D0DAA" w:rsidRDefault="00711444" w:rsidP="00AA2A4C"/>
        </w:tc>
        <w:tc>
          <w:tcPr>
            <w:tcW w:w="567" w:type="dxa"/>
          </w:tcPr>
          <w:p w14:paraId="17D43CFE" w14:textId="77777777" w:rsidR="00711444" w:rsidRPr="004D0DAA" w:rsidRDefault="00711444" w:rsidP="00AA2A4C"/>
        </w:tc>
        <w:tc>
          <w:tcPr>
            <w:tcW w:w="567" w:type="dxa"/>
            <w:shd w:val="pct20" w:color="000000" w:fill="FFFFFF"/>
          </w:tcPr>
          <w:p w14:paraId="4434972B" w14:textId="77777777" w:rsidR="00711444" w:rsidRPr="004D0DAA" w:rsidRDefault="00711444" w:rsidP="00AA2A4C">
            <w:pPr>
              <w:pStyle w:val="TAC"/>
              <w:rPr>
                <w:lang w:eastAsia="en-US"/>
              </w:rPr>
            </w:pPr>
            <w:r w:rsidRPr="004D0DAA">
              <w:rPr>
                <w:lang w:eastAsia="en-US"/>
              </w:rPr>
              <w:t>Max</w:t>
            </w:r>
          </w:p>
        </w:tc>
      </w:tr>
      <w:tr w:rsidR="00711444" w:rsidRPr="004D0DAA" w14:paraId="57F622D0" w14:textId="77777777" w:rsidTr="00AA2A4C">
        <w:tblPrEx>
          <w:tblCellMar>
            <w:top w:w="0" w:type="dxa"/>
            <w:bottom w:w="0" w:type="dxa"/>
          </w:tblCellMar>
        </w:tblPrEx>
        <w:tc>
          <w:tcPr>
            <w:tcW w:w="1021" w:type="dxa"/>
          </w:tcPr>
          <w:p w14:paraId="56B51DCC" w14:textId="77777777" w:rsidR="00711444" w:rsidRPr="004D0DAA" w:rsidRDefault="00711444" w:rsidP="00AA2A4C">
            <w:pPr>
              <w:pStyle w:val="TAC"/>
              <w:rPr>
                <w:lang w:eastAsia="en-US"/>
              </w:rPr>
            </w:pPr>
            <w:r w:rsidRPr="004D0DAA">
              <w:rPr>
                <w:lang w:eastAsia="en-US"/>
              </w:rPr>
              <w:t>Reserved</w:t>
            </w:r>
          </w:p>
        </w:tc>
        <w:tc>
          <w:tcPr>
            <w:tcW w:w="850" w:type="dxa"/>
          </w:tcPr>
          <w:p w14:paraId="7D450E6C" w14:textId="77777777" w:rsidR="00711444" w:rsidRPr="004D0DAA" w:rsidRDefault="00711444" w:rsidP="00AA2A4C">
            <w:pPr>
              <w:pStyle w:val="TAC"/>
              <w:rPr>
                <w:lang w:eastAsia="en-US"/>
              </w:rPr>
            </w:pPr>
            <w:r w:rsidRPr="004D0DAA">
              <w:rPr>
                <w:lang w:eastAsia="en-US"/>
              </w:rPr>
              <w:t>11111</w:t>
            </w:r>
          </w:p>
        </w:tc>
        <w:tc>
          <w:tcPr>
            <w:tcW w:w="567" w:type="dxa"/>
          </w:tcPr>
          <w:p w14:paraId="5D4733FA" w14:textId="77777777" w:rsidR="00711444" w:rsidRPr="004D0DAA" w:rsidRDefault="00711444" w:rsidP="00AA2A4C">
            <w:pPr>
              <w:pStyle w:val="TAC"/>
              <w:rPr>
                <w:lang w:eastAsia="en-US"/>
              </w:rPr>
            </w:pPr>
            <w:r w:rsidRPr="004D0DAA">
              <w:rPr>
                <w:lang w:eastAsia="en-US"/>
              </w:rPr>
              <w:t>x</w:t>
            </w:r>
          </w:p>
        </w:tc>
        <w:tc>
          <w:tcPr>
            <w:tcW w:w="567" w:type="dxa"/>
          </w:tcPr>
          <w:p w14:paraId="0FA1E9A5" w14:textId="77777777" w:rsidR="00711444" w:rsidRPr="004D0DAA" w:rsidRDefault="00711444" w:rsidP="00AA2A4C">
            <w:pPr>
              <w:pStyle w:val="TAC"/>
              <w:rPr>
                <w:lang w:eastAsia="en-US"/>
              </w:rPr>
            </w:pPr>
            <w:r w:rsidRPr="004D0DAA">
              <w:rPr>
                <w:lang w:eastAsia="en-US"/>
              </w:rPr>
              <w:t>x</w:t>
            </w:r>
          </w:p>
        </w:tc>
        <w:tc>
          <w:tcPr>
            <w:tcW w:w="567" w:type="dxa"/>
          </w:tcPr>
          <w:p w14:paraId="518D2107" w14:textId="77777777" w:rsidR="00711444" w:rsidRPr="004D0DAA" w:rsidRDefault="00711444" w:rsidP="00AA2A4C">
            <w:pPr>
              <w:pStyle w:val="TAC"/>
              <w:rPr>
                <w:lang w:eastAsia="en-US"/>
              </w:rPr>
            </w:pPr>
            <w:r w:rsidRPr="004D0DAA">
              <w:rPr>
                <w:lang w:eastAsia="en-US"/>
              </w:rPr>
              <w:t>x</w:t>
            </w:r>
          </w:p>
        </w:tc>
        <w:tc>
          <w:tcPr>
            <w:tcW w:w="567" w:type="dxa"/>
          </w:tcPr>
          <w:p w14:paraId="2E38EB53" w14:textId="77777777" w:rsidR="00711444" w:rsidRPr="004D0DAA" w:rsidRDefault="00711444" w:rsidP="00AA2A4C">
            <w:pPr>
              <w:pStyle w:val="TAC"/>
              <w:rPr>
                <w:lang w:eastAsia="en-US"/>
              </w:rPr>
            </w:pPr>
            <w:r w:rsidRPr="004D0DAA">
              <w:rPr>
                <w:lang w:eastAsia="en-US"/>
              </w:rPr>
              <w:t>x</w:t>
            </w:r>
          </w:p>
        </w:tc>
        <w:tc>
          <w:tcPr>
            <w:tcW w:w="567" w:type="dxa"/>
          </w:tcPr>
          <w:p w14:paraId="58A8AA90" w14:textId="77777777" w:rsidR="00711444" w:rsidRPr="004D0DAA" w:rsidRDefault="00711444" w:rsidP="00AA2A4C">
            <w:pPr>
              <w:pStyle w:val="TAC"/>
              <w:rPr>
                <w:lang w:eastAsia="en-US"/>
              </w:rPr>
            </w:pPr>
            <w:r w:rsidRPr="004D0DAA">
              <w:rPr>
                <w:lang w:eastAsia="en-US"/>
              </w:rPr>
              <w:t>x</w:t>
            </w:r>
          </w:p>
        </w:tc>
        <w:tc>
          <w:tcPr>
            <w:tcW w:w="567" w:type="dxa"/>
          </w:tcPr>
          <w:p w14:paraId="59A4473A" w14:textId="77777777" w:rsidR="00711444" w:rsidRPr="004D0DAA" w:rsidRDefault="00711444" w:rsidP="00AA2A4C">
            <w:pPr>
              <w:pStyle w:val="TAC"/>
              <w:rPr>
                <w:lang w:eastAsia="en-US"/>
              </w:rPr>
            </w:pPr>
            <w:r w:rsidRPr="004D0DAA">
              <w:rPr>
                <w:lang w:eastAsia="en-US"/>
              </w:rPr>
              <w:t>x</w:t>
            </w:r>
          </w:p>
        </w:tc>
        <w:tc>
          <w:tcPr>
            <w:tcW w:w="567" w:type="dxa"/>
          </w:tcPr>
          <w:p w14:paraId="0E4D7203" w14:textId="77777777" w:rsidR="00711444" w:rsidRPr="004D0DAA" w:rsidRDefault="00711444" w:rsidP="00AA2A4C">
            <w:pPr>
              <w:pStyle w:val="TAC"/>
              <w:rPr>
                <w:lang w:eastAsia="en-US"/>
              </w:rPr>
            </w:pPr>
            <w:r w:rsidRPr="004D0DAA">
              <w:rPr>
                <w:lang w:eastAsia="en-US"/>
              </w:rPr>
              <w:t>x</w:t>
            </w:r>
          </w:p>
        </w:tc>
        <w:tc>
          <w:tcPr>
            <w:tcW w:w="567" w:type="dxa"/>
          </w:tcPr>
          <w:p w14:paraId="4C1B8CD2" w14:textId="77777777" w:rsidR="00711444" w:rsidRPr="004D0DAA" w:rsidRDefault="00711444" w:rsidP="00AA2A4C">
            <w:pPr>
              <w:pStyle w:val="TAC"/>
              <w:rPr>
                <w:lang w:eastAsia="en-US"/>
              </w:rPr>
            </w:pPr>
            <w:r w:rsidRPr="004D0DAA">
              <w:rPr>
                <w:lang w:eastAsia="en-US"/>
              </w:rPr>
              <w:t>X</w:t>
            </w:r>
          </w:p>
        </w:tc>
      </w:tr>
      <w:tr w:rsidR="00711444" w:rsidRPr="004D0DAA" w14:paraId="2A43AC4C" w14:textId="77777777" w:rsidTr="00AA2A4C">
        <w:tblPrEx>
          <w:tblCellMar>
            <w:top w:w="0" w:type="dxa"/>
            <w:bottom w:w="0" w:type="dxa"/>
          </w:tblCellMar>
        </w:tblPrEx>
        <w:trPr>
          <w:cantSplit/>
        </w:trPr>
        <w:tc>
          <w:tcPr>
            <w:tcW w:w="6407" w:type="dxa"/>
            <w:gridSpan w:val="10"/>
          </w:tcPr>
          <w:p w14:paraId="18A26D31" w14:textId="77777777" w:rsidR="00711444" w:rsidRPr="004D0DAA" w:rsidRDefault="00711444" w:rsidP="00AA2A4C">
            <w:pPr>
              <w:pStyle w:val="TAN"/>
              <w:rPr>
                <w:lang w:eastAsia="en-US"/>
              </w:rPr>
            </w:pPr>
            <w:r w:rsidRPr="004D0DAA">
              <w:rPr>
                <w:lang w:eastAsia="en-US"/>
              </w:rPr>
              <w:t>NOTE:</w:t>
            </w:r>
            <w:r w:rsidRPr="004D0DAA">
              <w:rPr>
                <w:lang w:eastAsia="en-US"/>
              </w:rPr>
              <w:tab/>
              <w:t>The shaded cells represent the allowed window sizes.</w:t>
            </w:r>
          </w:p>
        </w:tc>
      </w:tr>
    </w:tbl>
    <w:p w14:paraId="01359BA2" w14:textId="77777777" w:rsidR="00711444" w:rsidRPr="004D0DAA" w:rsidRDefault="00711444" w:rsidP="00711444"/>
    <w:p w14:paraId="00A035ED" w14:textId="77777777" w:rsidR="00711444" w:rsidRPr="004D0DAA" w:rsidRDefault="00711444" w:rsidP="00711444">
      <w:pPr>
        <w:pStyle w:val="Heading4"/>
      </w:pPr>
      <w:bookmarkStart w:id="430" w:name="_Toc516669614"/>
      <w:r w:rsidRPr="004D0DAA">
        <w:lastRenderedPageBreak/>
        <w:t>9.1.9.2a</w:t>
      </w:r>
      <w:r w:rsidRPr="004D0DAA">
        <w:tab/>
        <w:t>EC-GSM-IoT</w:t>
      </w:r>
      <w:bookmarkEnd w:id="430"/>
    </w:p>
    <w:p w14:paraId="1D416EB0" w14:textId="77777777" w:rsidR="00711444" w:rsidRPr="004D0DAA" w:rsidRDefault="00711444" w:rsidP="00711444">
      <w:r w:rsidRPr="004D0DAA">
        <w:t>For EC-GSM-IoT, i.e. for an EC TBF, the window size (WS) shall be 16.</w:t>
      </w:r>
    </w:p>
    <w:p w14:paraId="72400DA4" w14:textId="77777777" w:rsidR="00711444" w:rsidRPr="004D0DAA" w:rsidRDefault="00711444" w:rsidP="00711444">
      <w:pPr>
        <w:pStyle w:val="Heading4"/>
      </w:pPr>
      <w:bookmarkStart w:id="431" w:name="_Toc516669615"/>
      <w:r w:rsidRPr="004D0DAA">
        <w:t>9.1.9.3</w:t>
      </w:r>
      <w:r w:rsidRPr="004D0DAA">
        <w:tab/>
        <w:t>RLC buffer</w:t>
      </w:r>
      <w:bookmarkEnd w:id="431"/>
    </w:p>
    <w:p w14:paraId="1E584ADF" w14:textId="77777777" w:rsidR="00711444" w:rsidRPr="004D0DAA" w:rsidRDefault="00711444" w:rsidP="00711444">
      <w:r w:rsidRPr="004D0DAA">
        <w:t>A mobile station supporting multiple TBF or EMST shall support one RLC buffer per direction (uplink and downlink). The RLC buffer in a given direction represents the amount of physical memory the mobile station shall support in this direction for RLC PDUs from all RLC instances in the transmit (uplink) or receive (downlink) window(s). The RLC buffer size is given as the maximum number of RLC data blocks that can be stored in this buffer assuming the highest (modulation and) coding scheme supported by the mobile station in this direction. The RLC buffer shall be as follows:</w:t>
      </w:r>
    </w:p>
    <w:p w14:paraId="3C3D19AA" w14:textId="77777777" w:rsidR="00711444" w:rsidRPr="004D0DAA" w:rsidRDefault="00711444" w:rsidP="00711444">
      <w:pPr>
        <w:pStyle w:val="B1"/>
      </w:pPr>
      <w:r w:rsidRPr="004D0DAA">
        <w:t>-</w:t>
      </w:r>
      <w:r w:rsidRPr="004D0DAA">
        <w:tab/>
        <w:t>A mobile station supporting GPRS (not supporting EGPRS) shall support a RLC buffer of size 64 in both uplink and downlink directions</w:t>
      </w:r>
    </w:p>
    <w:p w14:paraId="0F0E61A2" w14:textId="77777777" w:rsidR="00711444" w:rsidRPr="004D0DAA" w:rsidRDefault="00711444" w:rsidP="00711444">
      <w:pPr>
        <w:pStyle w:val="B1"/>
      </w:pPr>
      <w:r w:rsidRPr="004D0DAA">
        <w:t>-</w:t>
      </w:r>
      <w:r w:rsidRPr="004D0DAA">
        <w:tab/>
        <w:t>A mobile station supporting EGPRS shall support RLC buffers as defined in the Table 9.1.9.3.1 below</w:t>
      </w:r>
    </w:p>
    <w:p w14:paraId="35C43348" w14:textId="77777777" w:rsidR="00711444" w:rsidRPr="004D0DAA" w:rsidRDefault="00711444" w:rsidP="00711444">
      <w:pPr>
        <w:pStyle w:val="B1"/>
      </w:pPr>
      <w:r w:rsidRPr="004D0DAA">
        <w:t>-</w:t>
      </w:r>
      <w:r w:rsidRPr="004D0DAA">
        <w:tab/>
        <w:t>A mobile station in DLMC configuration shall support RLC buffers in the uplink as defined in Table 9.1.9.3.1 and RLC buffers in the downlink as defined in Table 9.1.9.3.2.</w:t>
      </w:r>
    </w:p>
    <w:p w14:paraId="42F02A2C" w14:textId="77777777" w:rsidR="00711444" w:rsidRPr="004D0DAA" w:rsidRDefault="00711444" w:rsidP="00711444">
      <w:pPr>
        <w:pStyle w:val="B1"/>
      </w:pPr>
      <w:r w:rsidRPr="004D0DAA">
        <w:t>-</w:t>
      </w:r>
      <w:r w:rsidRPr="004D0DAA">
        <w:tab/>
        <w:t>A mobile station supporting EC-GSM-IoT (not supporting GPRS or EGPRS) shall support a RLC buffer of size 16 in both uplink and downlink directions.</w:t>
      </w:r>
    </w:p>
    <w:p w14:paraId="128EABBC" w14:textId="77777777" w:rsidR="00711444" w:rsidRPr="004D0DAA" w:rsidRDefault="00711444" w:rsidP="00711444">
      <w:pPr>
        <w:pStyle w:val="TH"/>
      </w:pPr>
      <w:r w:rsidRPr="004D0DAA">
        <w:t>Table 9.1.9.3.1: RLC buffer in a given direction for EGPRS capable MS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0"/>
        <w:gridCol w:w="994"/>
        <w:gridCol w:w="995"/>
        <w:gridCol w:w="994"/>
        <w:gridCol w:w="995"/>
        <w:gridCol w:w="995"/>
        <w:gridCol w:w="994"/>
        <w:gridCol w:w="995"/>
        <w:gridCol w:w="995"/>
      </w:tblGrid>
      <w:tr w:rsidR="00711444" w:rsidRPr="004D0DAA" w14:paraId="662AC0D2" w14:textId="77777777" w:rsidTr="00AA2A4C">
        <w:tblPrEx>
          <w:tblCellMar>
            <w:top w:w="0" w:type="dxa"/>
            <w:bottom w:w="0" w:type="dxa"/>
          </w:tblCellMar>
        </w:tblPrEx>
        <w:tc>
          <w:tcPr>
            <w:tcW w:w="1900" w:type="dxa"/>
            <w:tcBorders>
              <w:top w:val="nil"/>
              <w:left w:val="nil"/>
              <w:bottom w:val="nil"/>
            </w:tcBorders>
            <w:tcMar>
              <w:left w:w="57" w:type="dxa"/>
              <w:right w:w="57" w:type="dxa"/>
            </w:tcMar>
          </w:tcPr>
          <w:p w14:paraId="065F054C" w14:textId="77777777" w:rsidR="00711444" w:rsidRPr="004D0DAA" w:rsidRDefault="00711444" w:rsidP="00AA2A4C"/>
        </w:tc>
        <w:tc>
          <w:tcPr>
            <w:tcW w:w="7957" w:type="dxa"/>
            <w:gridSpan w:val="8"/>
            <w:tcMar>
              <w:left w:w="57" w:type="dxa"/>
              <w:right w:w="57" w:type="dxa"/>
            </w:tcMar>
          </w:tcPr>
          <w:p w14:paraId="065AD85B" w14:textId="77777777" w:rsidR="00711444" w:rsidRPr="004D0DAA" w:rsidRDefault="00711444" w:rsidP="00AA2A4C">
            <w:pPr>
              <w:pStyle w:val="TAH"/>
              <w:rPr>
                <w:lang w:eastAsia="en-US"/>
              </w:rPr>
            </w:pPr>
            <w:r w:rsidRPr="004D0DAA">
              <w:rPr>
                <w:lang w:eastAsia="en-US"/>
              </w:rPr>
              <w:t xml:space="preserve">Maximum amount </w:t>
            </w:r>
            <w:r w:rsidRPr="004D0DAA">
              <w:rPr>
                <w:i/>
                <w:iCs/>
                <w:lang w:eastAsia="en-US"/>
              </w:rPr>
              <w:t xml:space="preserve">N </w:t>
            </w:r>
            <w:r w:rsidRPr="004D0DAA">
              <w:rPr>
                <w:lang w:eastAsia="en-US"/>
              </w:rPr>
              <w:t>of timeslots the MS supports in this direction (see note 1)</w:t>
            </w:r>
          </w:p>
        </w:tc>
      </w:tr>
      <w:tr w:rsidR="00711444" w:rsidRPr="004D0DAA" w14:paraId="5411F6ED" w14:textId="77777777" w:rsidTr="00AA2A4C">
        <w:tblPrEx>
          <w:tblCellMar>
            <w:top w:w="0" w:type="dxa"/>
            <w:bottom w:w="0" w:type="dxa"/>
          </w:tblCellMar>
        </w:tblPrEx>
        <w:tc>
          <w:tcPr>
            <w:tcW w:w="1900" w:type="dxa"/>
            <w:tcBorders>
              <w:top w:val="nil"/>
              <w:left w:val="nil"/>
            </w:tcBorders>
            <w:tcMar>
              <w:left w:w="57" w:type="dxa"/>
              <w:right w:w="57" w:type="dxa"/>
            </w:tcMar>
          </w:tcPr>
          <w:p w14:paraId="1134271C" w14:textId="77777777" w:rsidR="00711444" w:rsidRPr="004D0DAA" w:rsidRDefault="00711444" w:rsidP="00AA2A4C"/>
        </w:tc>
        <w:tc>
          <w:tcPr>
            <w:tcW w:w="994" w:type="dxa"/>
            <w:tcMar>
              <w:left w:w="57" w:type="dxa"/>
              <w:right w:w="57" w:type="dxa"/>
            </w:tcMar>
          </w:tcPr>
          <w:p w14:paraId="18CD2974" w14:textId="77777777" w:rsidR="00711444" w:rsidRPr="004D0DAA" w:rsidRDefault="00711444" w:rsidP="00AA2A4C">
            <w:pPr>
              <w:pStyle w:val="TAH"/>
              <w:rPr>
                <w:lang w:eastAsia="en-US"/>
              </w:rPr>
            </w:pPr>
            <w:r w:rsidRPr="004D0DAA">
              <w:rPr>
                <w:lang w:eastAsia="en-US"/>
              </w:rPr>
              <w:t>1</w:t>
            </w:r>
          </w:p>
        </w:tc>
        <w:tc>
          <w:tcPr>
            <w:tcW w:w="995" w:type="dxa"/>
            <w:tcMar>
              <w:left w:w="57" w:type="dxa"/>
              <w:right w:w="57" w:type="dxa"/>
            </w:tcMar>
          </w:tcPr>
          <w:p w14:paraId="11BBF72C" w14:textId="77777777" w:rsidR="00711444" w:rsidRPr="004D0DAA" w:rsidRDefault="00711444" w:rsidP="00AA2A4C">
            <w:pPr>
              <w:pStyle w:val="TAH"/>
              <w:rPr>
                <w:lang w:eastAsia="en-US"/>
              </w:rPr>
            </w:pPr>
            <w:r w:rsidRPr="004D0DAA">
              <w:rPr>
                <w:lang w:eastAsia="en-US"/>
              </w:rPr>
              <w:t>2</w:t>
            </w:r>
          </w:p>
        </w:tc>
        <w:tc>
          <w:tcPr>
            <w:tcW w:w="994" w:type="dxa"/>
            <w:tcMar>
              <w:left w:w="57" w:type="dxa"/>
              <w:right w:w="57" w:type="dxa"/>
            </w:tcMar>
          </w:tcPr>
          <w:p w14:paraId="73061704" w14:textId="77777777" w:rsidR="00711444" w:rsidRPr="004D0DAA" w:rsidRDefault="00711444" w:rsidP="00AA2A4C">
            <w:pPr>
              <w:pStyle w:val="TAH"/>
              <w:rPr>
                <w:lang w:eastAsia="en-US"/>
              </w:rPr>
            </w:pPr>
            <w:r w:rsidRPr="004D0DAA">
              <w:rPr>
                <w:lang w:eastAsia="en-US"/>
              </w:rPr>
              <w:t>3</w:t>
            </w:r>
          </w:p>
        </w:tc>
        <w:tc>
          <w:tcPr>
            <w:tcW w:w="995" w:type="dxa"/>
            <w:tcMar>
              <w:left w:w="57" w:type="dxa"/>
              <w:right w:w="57" w:type="dxa"/>
            </w:tcMar>
          </w:tcPr>
          <w:p w14:paraId="4BADF1F5" w14:textId="77777777" w:rsidR="00711444" w:rsidRPr="004D0DAA" w:rsidRDefault="00711444" w:rsidP="00AA2A4C">
            <w:pPr>
              <w:pStyle w:val="TAH"/>
              <w:rPr>
                <w:lang w:eastAsia="en-US"/>
              </w:rPr>
            </w:pPr>
            <w:r w:rsidRPr="004D0DAA">
              <w:rPr>
                <w:lang w:eastAsia="en-US"/>
              </w:rPr>
              <w:t>4</w:t>
            </w:r>
          </w:p>
        </w:tc>
        <w:tc>
          <w:tcPr>
            <w:tcW w:w="995" w:type="dxa"/>
            <w:tcMar>
              <w:left w:w="57" w:type="dxa"/>
              <w:right w:w="57" w:type="dxa"/>
            </w:tcMar>
          </w:tcPr>
          <w:p w14:paraId="6B28276E" w14:textId="77777777" w:rsidR="00711444" w:rsidRPr="004D0DAA" w:rsidRDefault="00711444" w:rsidP="00AA2A4C">
            <w:pPr>
              <w:pStyle w:val="TAH"/>
              <w:rPr>
                <w:lang w:eastAsia="en-US"/>
              </w:rPr>
            </w:pPr>
            <w:r w:rsidRPr="004D0DAA">
              <w:rPr>
                <w:lang w:eastAsia="en-US"/>
              </w:rPr>
              <w:t>5</w:t>
            </w:r>
          </w:p>
        </w:tc>
        <w:tc>
          <w:tcPr>
            <w:tcW w:w="994" w:type="dxa"/>
            <w:tcMar>
              <w:left w:w="57" w:type="dxa"/>
              <w:right w:w="57" w:type="dxa"/>
            </w:tcMar>
          </w:tcPr>
          <w:p w14:paraId="7E7DA895" w14:textId="77777777" w:rsidR="00711444" w:rsidRPr="004D0DAA" w:rsidRDefault="00711444" w:rsidP="00AA2A4C">
            <w:pPr>
              <w:pStyle w:val="TAH"/>
              <w:rPr>
                <w:lang w:eastAsia="en-US"/>
              </w:rPr>
            </w:pPr>
            <w:r w:rsidRPr="004D0DAA">
              <w:rPr>
                <w:lang w:eastAsia="en-US"/>
              </w:rPr>
              <w:t>6</w:t>
            </w:r>
          </w:p>
        </w:tc>
        <w:tc>
          <w:tcPr>
            <w:tcW w:w="995" w:type="dxa"/>
            <w:tcMar>
              <w:left w:w="57" w:type="dxa"/>
              <w:right w:w="57" w:type="dxa"/>
            </w:tcMar>
          </w:tcPr>
          <w:p w14:paraId="35B965A0" w14:textId="77777777" w:rsidR="00711444" w:rsidRPr="004D0DAA" w:rsidRDefault="00711444" w:rsidP="00AA2A4C">
            <w:pPr>
              <w:pStyle w:val="TAH"/>
              <w:rPr>
                <w:lang w:eastAsia="en-US"/>
              </w:rPr>
            </w:pPr>
            <w:r w:rsidRPr="004D0DAA">
              <w:rPr>
                <w:lang w:eastAsia="en-US"/>
              </w:rPr>
              <w:t>7</w:t>
            </w:r>
          </w:p>
        </w:tc>
        <w:tc>
          <w:tcPr>
            <w:tcW w:w="995" w:type="dxa"/>
            <w:tcMar>
              <w:left w:w="57" w:type="dxa"/>
              <w:right w:w="57" w:type="dxa"/>
            </w:tcMar>
          </w:tcPr>
          <w:p w14:paraId="247C6A97" w14:textId="77777777" w:rsidR="00711444" w:rsidRPr="004D0DAA" w:rsidRDefault="00711444" w:rsidP="00AA2A4C">
            <w:pPr>
              <w:pStyle w:val="TAH"/>
              <w:rPr>
                <w:lang w:eastAsia="en-US"/>
              </w:rPr>
            </w:pPr>
            <w:r w:rsidRPr="004D0DAA">
              <w:rPr>
                <w:lang w:eastAsia="en-US"/>
              </w:rPr>
              <w:t>8</w:t>
            </w:r>
          </w:p>
        </w:tc>
      </w:tr>
      <w:tr w:rsidR="00711444" w:rsidRPr="004D0DAA" w14:paraId="6333E086" w14:textId="77777777" w:rsidTr="00AA2A4C">
        <w:tblPrEx>
          <w:tblCellMar>
            <w:top w:w="0" w:type="dxa"/>
            <w:bottom w:w="0" w:type="dxa"/>
          </w:tblCellMar>
        </w:tblPrEx>
        <w:tc>
          <w:tcPr>
            <w:tcW w:w="1900" w:type="dxa"/>
            <w:tcMar>
              <w:left w:w="57" w:type="dxa"/>
              <w:right w:w="57" w:type="dxa"/>
            </w:tcMar>
          </w:tcPr>
          <w:p w14:paraId="503AB44B" w14:textId="77777777" w:rsidR="00711444" w:rsidRPr="004D0DAA" w:rsidRDefault="00711444" w:rsidP="00AA2A4C">
            <w:pPr>
              <w:pStyle w:val="TAH"/>
              <w:rPr>
                <w:lang w:eastAsia="en-US"/>
              </w:rPr>
            </w:pPr>
            <w:r w:rsidRPr="004D0DAA">
              <w:rPr>
                <w:lang w:eastAsia="en-US"/>
              </w:rPr>
              <w:t xml:space="preserve">RLC buffer size </w:t>
            </w:r>
            <w:r w:rsidRPr="004D0DAA">
              <w:rPr>
                <w:i/>
                <w:iCs/>
                <w:lang w:eastAsia="en-US"/>
              </w:rPr>
              <w:t xml:space="preserve">S </w:t>
            </w:r>
            <w:r w:rsidRPr="004D0DAA">
              <w:rPr>
                <w:lang w:eastAsia="en-US"/>
              </w:rPr>
              <w:t>(see note 2)</w:t>
            </w:r>
          </w:p>
        </w:tc>
        <w:tc>
          <w:tcPr>
            <w:tcW w:w="994" w:type="dxa"/>
            <w:tcMar>
              <w:left w:w="57" w:type="dxa"/>
              <w:right w:w="57" w:type="dxa"/>
            </w:tcMar>
          </w:tcPr>
          <w:p w14:paraId="7723850C" w14:textId="77777777" w:rsidR="00711444" w:rsidRPr="004D0DAA" w:rsidRDefault="00711444" w:rsidP="00AA2A4C">
            <w:pPr>
              <w:pStyle w:val="TAL"/>
              <w:rPr>
                <w:lang w:eastAsia="en-US"/>
              </w:rPr>
            </w:pPr>
            <w:r w:rsidRPr="004D0DAA">
              <w:rPr>
                <w:lang w:eastAsia="en-US"/>
              </w:rPr>
              <w:t>192</w:t>
            </w:r>
          </w:p>
        </w:tc>
        <w:tc>
          <w:tcPr>
            <w:tcW w:w="995" w:type="dxa"/>
            <w:tcMar>
              <w:left w:w="57" w:type="dxa"/>
              <w:right w:w="57" w:type="dxa"/>
            </w:tcMar>
          </w:tcPr>
          <w:p w14:paraId="28B41B77" w14:textId="77777777" w:rsidR="00711444" w:rsidRPr="004D0DAA" w:rsidRDefault="00711444" w:rsidP="00AA2A4C">
            <w:pPr>
              <w:pStyle w:val="TAL"/>
              <w:rPr>
                <w:lang w:eastAsia="en-US"/>
              </w:rPr>
            </w:pPr>
            <w:r w:rsidRPr="004D0DAA">
              <w:rPr>
                <w:lang w:eastAsia="en-US"/>
              </w:rPr>
              <w:t>256</w:t>
            </w:r>
          </w:p>
        </w:tc>
        <w:tc>
          <w:tcPr>
            <w:tcW w:w="994" w:type="dxa"/>
            <w:tcMar>
              <w:left w:w="57" w:type="dxa"/>
              <w:right w:w="57" w:type="dxa"/>
            </w:tcMar>
          </w:tcPr>
          <w:p w14:paraId="208E72AF" w14:textId="77777777" w:rsidR="00711444" w:rsidRPr="004D0DAA" w:rsidRDefault="00711444" w:rsidP="00AA2A4C">
            <w:pPr>
              <w:pStyle w:val="TAL"/>
              <w:rPr>
                <w:lang w:eastAsia="en-US"/>
              </w:rPr>
            </w:pPr>
            <w:r w:rsidRPr="004D0DAA">
              <w:rPr>
                <w:lang w:eastAsia="en-US"/>
              </w:rPr>
              <w:t>384</w:t>
            </w:r>
          </w:p>
        </w:tc>
        <w:tc>
          <w:tcPr>
            <w:tcW w:w="995" w:type="dxa"/>
            <w:tcMar>
              <w:left w:w="57" w:type="dxa"/>
              <w:right w:w="57" w:type="dxa"/>
            </w:tcMar>
          </w:tcPr>
          <w:p w14:paraId="13D25DDF" w14:textId="77777777" w:rsidR="00711444" w:rsidRPr="004D0DAA" w:rsidRDefault="00711444" w:rsidP="00AA2A4C">
            <w:pPr>
              <w:pStyle w:val="TAL"/>
              <w:rPr>
                <w:lang w:eastAsia="en-US"/>
              </w:rPr>
            </w:pPr>
            <w:r w:rsidRPr="004D0DAA">
              <w:rPr>
                <w:lang w:eastAsia="en-US"/>
              </w:rPr>
              <w:t>512</w:t>
            </w:r>
          </w:p>
        </w:tc>
        <w:tc>
          <w:tcPr>
            <w:tcW w:w="995" w:type="dxa"/>
            <w:tcMar>
              <w:left w:w="57" w:type="dxa"/>
              <w:right w:w="57" w:type="dxa"/>
            </w:tcMar>
          </w:tcPr>
          <w:p w14:paraId="0867F3A1" w14:textId="77777777" w:rsidR="00711444" w:rsidRPr="004D0DAA" w:rsidRDefault="00711444" w:rsidP="00AA2A4C">
            <w:pPr>
              <w:pStyle w:val="TAL"/>
              <w:rPr>
                <w:lang w:eastAsia="en-US"/>
              </w:rPr>
            </w:pPr>
            <w:r w:rsidRPr="004D0DAA">
              <w:rPr>
                <w:lang w:eastAsia="en-US"/>
              </w:rPr>
              <w:t>640</w:t>
            </w:r>
          </w:p>
        </w:tc>
        <w:tc>
          <w:tcPr>
            <w:tcW w:w="994" w:type="dxa"/>
            <w:tcMar>
              <w:left w:w="57" w:type="dxa"/>
              <w:right w:w="57" w:type="dxa"/>
            </w:tcMar>
          </w:tcPr>
          <w:p w14:paraId="16FA2322" w14:textId="77777777" w:rsidR="00711444" w:rsidRPr="004D0DAA" w:rsidRDefault="00711444" w:rsidP="00AA2A4C">
            <w:pPr>
              <w:pStyle w:val="TAL"/>
              <w:rPr>
                <w:lang w:eastAsia="en-US"/>
              </w:rPr>
            </w:pPr>
            <w:r w:rsidRPr="004D0DAA">
              <w:rPr>
                <w:lang w:eastAsia="en-US"/>
              </w:rPr>
              <w:t>768</w:t>
            </w:r>
          </w:p>
        </w:tc>
        <w:tc>
          <w:tcPr>
            <w:tcW w:w="995" w:type="dxa"/>
            <w:tcMar>
              <w:left w:w="57" w:type="dxa"/>
              <w:right w:w="57" w:type="dxa"/>
            </w:tcMar>
          </w:tcPr>
          <w:p w14:paraId="1522994F" w14:textId="77777777" w:rsidR="00711444" w:rsidRPr="004D0DAA" w:rsidRDefault="00711444" w:rsidP="00AA2A4C">
            <w:pPr>
              <w:pStyle w:val="TAL"/>
              <w:rPr>
                <w:lang w:eastAsia="en-US"/>
              </w:rPr>
            </w:pPr>
            <w:r w:rsidRPr="004D0DAA">
              <w:rPr>
                <w:lang w:eastAsia="en-US"/>
              </w:rPr>
              <w:t>896</w:t>
            </w:r>
          </w:p>
        </w:tc>
        <w:tc>
          <w:tcPr>
            <w:tcW w:w="995" w:type="dxa"/>
            <w:tcMar>
              <w:left w:w="57" w:type="dxa"/>
              <w:right w:w="57" w:type="dxa"/>
            </w:tcMar>
          </w:tcPr>
          <w:p w14:paraId="6B6029E3" w14:textId="77777777" w:rsidR="00711444" w:rsidRPr="004D0DAA" w:rsidRDefault="00711444" w:rsidP="00AA2A4C">
            <w:pPr>
              <w:pStyle w:val="TAL"/>
              <w:rPr>
                <w:lang w:eastAsia="en-US"/>
              </w:rPr>
            </w:pPr>
            <w:r w:rsidRPr="004D0DAA">
              <w:rPr>
                <w:lang w:eastAsia="en-US"/>
              </w:rPr>
              <w:t>1024</w:t>
            </w:r>
          </w:p>
        </w:tc>
      </w:tr>
      <w:tr w:rsidR="00711444" w:rsidRPr="004D0DAA" w14:paraId="4C979518" w14:textId="77777777" w:rsidTr="00AA2A4C">
        <w:tblPrEx>
          <w:tblCellMar>
            <w:top w:w="0" w:type="dxa"/>
            <w:bottom w:w="0" w:type="dxa"/>
          </w:tblCellMar>
        </w:tblPrEx>
        <w:trPr>
          <w:cantSplit/>
        </w:trPr>
        <w:tc>
          <w:tcPr>
            <w:tcW w:w="9857" w:type="dxa"/>
            <w:gridSpan w:val="9"/>
            <w:tcMar>
              <w:left w:w="57" w:type="dxa"/>
              <w:right w:w="57" w:type="dxa"/>
            </w:tcMar>
          </w:tcPr>
          <w:p w14:paraId="583966A5" w14:textId="77777777" w:rsidR="00711444" w:rsidRPr="004D0DAA" w:rsidRDefault="00711444" w:rsidP="00AA2A4C">
            <w:pPr>
              <w:pStyle w:val="TAN"/>
              <w:rPr>
                <w:lang w:eastAsia="en-US"/>
              </w:rPr>
            </w:pPr>
            <w:r w:rsidRPr="004D0DAA">
              <w:rPr>
                <w:lang w:eastAsia="en-US"/>
              </w:rPr>
              <w:t>NOTE 1:</w:t>
            </w:r>
            <w:r w:rsidRPr="004D0DAA">
              <w:rPr>
                <w:lang w:eastAsia="en-US"/>
              </w:rPr>
              <w:tab/>
              <w:t>See 3GPP TS 45.002 for multislot classes</w:t>
            </w:r>
          </w:p>
          <w:p w14:paraId="2D23AC59" w14:textId="77777777" w:rsidR="00711444" w:rsidRPr="004D0DAA" w:rsidRDefault="00711444" w:rsidP="00AA2A4C">
            <w:pPr>
              <w:pStyle w:val="TAN"/>
              <w:rPr>
                <w:lang w:eastAsia="en-US"/>
              </w:rPr>
            </w:pPr>
            <w:r w:rsidRPr="004D0DAA">
              <w:rPr>
                <w:lang w:eastAsia="en-US"/>
              </w:rPr>
              <w:t>NOTE 2:</w:t>
            </w:r>
            <w:r w:rsidRPr="004D0DAA">
              <w:rPr>
                <w:lang w:eastAsia="en-US"/>
              </w:rPr>
              <w:tab/>
              <w:t xml:space="preserve">An EGPRS capable mobile station able to support up to </w:t>
            </w:r>
            <w:r w:rsidRPr="004D0DAA">
              <w:rPr>
                <w:i/>
                <w:iCs/>
                <w:lang w:eastAsia="en-US"/>
              </w:rPr>
              <w:t>N</w:t>
            </w:r>
            <w:r w:rsidRPr="004D0DAA">
              <w:rPr>
                <w:lang w:eastAsia="en-US"/>
              </w:rPr>
              <w:t xml:space="preserve"> timeslots in a direction shall support an RLC buffer in this direction that can store </w:t>
            </w:r>
            <w:r w:rsidRPr="004D0DAA">
              <w:rPr>
                <w:i/>
                <w:iCs/>
                <w:lang w:eastAsia="en-US"/>
              </w:rPr>
              <w:t>S</w:t>
            </w:r>
            <w:r w:rsidRPr="004D0DAA">
              <w:rPr>
                <w:lang w:eastAsia="en-US"/>
              </w:rPr>
              <w:t xml:space="preserve"> RLC data blocks</w:t>
            </w:r>
          </w:p>
        </w:tc>
      </w:tr>
    </w:tbl>
    <w:p w14:paraId="6E3F8D7C" w14:textId="77777777" w:rsidR="00711444" w:rsidRPr="004D0DAA" w:rsidRDefault="00711444" w:rsidP="00711444"/>
    <w:p w14:paraId="1723D119" w14:textId="77777777" w:rsidR="00711444" w:rsidRPr="004D0DAA" w:rsidRDefault="00711444" w:rsidP="00711444">
      <w:pPr>
        <w:pStyle w:val="TH"/>
      </w:pPr>
      <w:r w:rsidRPr="004D0DAA">
        <w:t>Table 9.1.9.3.2: Downlink RLC buffer for MS in DLMC Configuration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0"/>
        <w:gridCol w:w="1989"/>
        <w:gridCol w:w="1989"/>
        <w:gridCol w:w="1989"/>
        <w:gridCol w:w="1990"/>
      </w:tblGrid>
      <w:tr w:rsidR="00711444" w:rsidRPr="004D0DAA" w14:paraId="2D5C9473" w14:textId="77777777" w:rsidTr="00AA2A4C">
        <w:tblPrEx>
          <w:tblCellMar>
            <w:top w:w="0" w:type="dxa"/>
            <w:bottom w:w="0" w:type="dxa"/>
          </w:tblCellMar>
        </w:tblPrEx>
        <w:tc>
          <w:tcPr>
            <w:tcW w:w="1900" w:type="dxa"/>
            <w:tcBorders>
              <w:top w:val="nil"/>
              <w:left w:val="nil"/>
              <w:bottom w:val="nil"/>
            </w:tcBorders>
            <w:tcMar>
              <w:left w:w="57" w:type="dxa"/>
              <w:right w:w="57" w:type="dxa"/>
            </w:tcMar>
          </w:tcPr>
          <w:p w14:paraId="54197A15" w14:textId="77777777" w:rsidR="00711444" w:rsidRPr="004D0DAA" w:rsidRDefault="00711444" w:rsidP="00AA2A4C"/>
        </w:tc>
        <w:tc>
          <w:tcPr>
            <w:tcW w:w="7957" w:type="dxa"/>
            <w:gridSpan w:val="4"/>
            <w:tcMar>
              <w:left w:w="57" w:type="dxa"/>
              <w:right w:w="57" w:type="dxa"/>
            </w:tcMar>
          </w:tcPr>
          <w:p w14:paraId="706D54D6" w14:textId="77777777" w:rsidR="00711444" w:rsidRPr="004D0DAA" w:rsidRDefault="00711444" w:rsidP="00AA2A4C">
            <w:pPr>
              <w:pStyle w:val="TAH"/>
              <w:rPr>
                <w:lang w:eastAsia="en-US"/>
              </w:rPr>
            </w:pPr>
            <w:r w:rsidRPr="004D0DAA">
              <w:rPr>
                <w:lang w:eastAsia="en-US"/>
              </w:rPr>
              <w:t>Maximum number of downlink timeslots supported (see note 1)</w:t>
            </w:r>
          </w:p>
        </w:tc>
      </w:tr>
      <w:tr w:rsidR="00711444" w:rsidRPr="004D0DAA" w14:paraId="3D338CB2" w14:textId="77777777" w:rsidTr="00AA2A4C">
        <w:tblPrEx>
          <w:tblCellMar>
            <w:top w:w="0" w:type="dxa"/>
            <w:bottom w:w="0" w:type="dxa"/>
          </w:tblCellMar>
        </w:tblPrEx>
        <w:tc>
          <w:tcPr>
            <w:tcW w:w="1900" w:type="dxa"/>
            <w:tcBorders>
              <w:top w:val="nil"/>
              <w:left w:val="nil"/>
            </w:tcBorders>
            <w:tcMar>
              <w:left w:w="57" w:type="dxa"/>
              <w:right w:w="57" w:type="dxa"/>
            </w:tcMar>
          </w:tcPr>
          <w:p w14:paraId="53B7B93F" w14:textId="77777777" w:rsidR="00711444" w:rsidRPr="004D0DAA" w:rsidRDefault="00711444" w:rsidP="00AA2A4C"/>
        </w:tc>
        <w:tc>
          <w:tcPr>
            <w:tcW w:w="1989" w:type="dxa"/>
            <w:tcMar>
              <w:left w:w="57" w:type="dxa"/>
              <w:right w:w="57" w:type="dxa"/>
            </w:tcMar>
          </w:tcPr>
          <w:p w14:paraId="4A4A8BF0" w14:textId="77777777" w:rsidR="00711444" w:rsidRPr="004D0DAA" w:rsidRDefault="00711444" w:rsidP="00AA2A4C">
            <w:pPr>
              <w:pStyle w:val="TAH"/>
              <w:rPr>
                <w:lang w:eastAsia="en-US"/>
              </w:rPr>
            </w:pPr>
            <w:r w:rsidRPr="004D0DAA">
              <w:rPr>
                <w:lang w:eastAsia="en-US"/>
              </w:rPr>
              <w:t>6 - 20</w:t>
            </w:r>
          </w:p>
        </w:tc>
        <w:tc>
          <w:tcPr>
            <w:tcW w:w="1989" w:type="dxa"/>
            <w:tcMar>
              <w:left w:w="57" w:type="dxa"/>
              <w:right w:w="57" w:type="dxa"/>
            </w:tcMar>
          </w:tcPr>
          <w:p w14:paraId="28E75F2A" w14:textId="77777777" w:rsidR="00711444" w:rsidRPr="004D0DAA" w:rsidRDefault="00711444" w:rsidP="00AA2A4C">
            <w:pPr>
              <w:pStyle w:val="TAH"/>
              <w:rPr>
                <w:lang w:eastAsia="en-US"/>
              </w:rPr>
            </w:pPr>
            <w:r w:rsidRPr="004D0DAA">
              <w:rPr>
                <w:lang w:eastAsia="en-US"/>
              </w:rPr>
              <w:t>21 - 26</w:t>
            </w:r>
          </w:p>
        </w:tc>
        <w:tc>
          <w:tcPr>
            <w:tcW w:w="1989" w:type="dxa"/>
            <w:tcMar>
              <w:left w:w="57" w:type="dxa"/>
              <w:right w:w="57" w:type="dxa"/>
            </w:tcMar>
          </w:tcPr>
          <w:p w14:paraId="4F3A9417" w14:textId="77777777" w:rsidR="00711444" w:rsidRPr="004D0DAA" w:rsidRDefault="00711444" w:rsidP="00AA2A4C">
            <w:pPr>
              <w:pStyle w:val="TAH"/>
              <w:rPr>
                <w:lang w:eastAsia="en-US"/>
              </w:rPr>
            </w:pPr>
            <w:r w:rsidRPr="004D0DAA">
              <w:rPr>
                <w:lang w:eastAsia="en-US"/>
              </w:rPr>
              <w:t>27 - 32</w:t>
            </w:r>
          </w:p>
        </w:tc>
        <w:tc>
          <w:tcPr>
            <w:tcW w:w="1990" w:type="dxa"/>
            <w:tcMar>
              <w:left w:w="57" w:type="dxa"/>
              <w:right w:w="57" w:type="dxa"/>
            </w:tcMar>
          </w:tcPr>
          <w:p w14:paraId="15501B49" w14:textId="77777777" w:rsidR="00711444" w:rsidRPr="004D0DAA" w:rsidRDefault="00711444" w:rsidP="00AA2A4C">
            <w:pPr>
              <w:pStyle w:val="TAH"/>
              <w:rPr>
                <w:lang w:eastAsia="en-US"/>
              </w:rPr>
            </w:pPr>
            <w:r w:rsidRPr="004D0DAA">
              <w:rPr>
                <w:lang w:eastAsia="en-US"/>
              </w:rPr>
              <w:t>More than 32</w:t>
            </w:r>
          </w:p>
        </w:tc>
      </w:tr>
      <w:tr w:rsidR="00711444" w:rsidRPr="004D0DAA" w14:paraId="4E90E833" w14:textId="77777777" w:rsidTr="00AA2A4C">
        <w:tblPrEx>
          <w:tblCellMar>
            <w:top w:w="0" w:type="dxa"/>
            <w:bottom w:w="0" w:type="dxa"/>
          </w:tblCellMar>
        </w:tblPrEx>
        <w:tc>
          <w:tcPr>
            <w:tcW w:w="1900" w:type="dxa"/>
            <w:tcMar>
              <w:left w:w="57" w:type="dxa"/>
              <w:right w:w="57" w:type="dxa"/>
            </w:tcMar>
          </w:tcPr>
          <w:p w14:paraId="7DA965F2" w14:textId="77777777" w:rsidR="00711444" w:rsidRPr="004D0DAA" w:rsidRDefault="00711444" w:rsidP="00AA2A4C">
            <w:pPr>
              <w:pStyle w:val="TAH"/>
              <w:rPr>
                <w:lang w:eastAsia="en-US"/>
              </w:rPr>
            </w:pPr>
            <w:r w:rsidRPr="004D0DAA">
              <w:rPr>
                <w:lang w:eastAsia="en-US"/>
              </w:rPr>
              <w:t xml:space="preserve">RLC buffer size </w:t>
            </w:r>
            <w:r w:rsidRPr="004D0DAA">
              <w:rPr>
                <w:i/>
                <w:iCs/>
                <w:lang w:eastAsia="en-US"/>
              </w:rPr>
              <w:t xml:space="preserve">S </w:t>
            </w:r>
            <w:r w:rsidRPr="004D0DAA">
              <w:rPr>
                <w:lang w:eastAsia="en-US"/>
              </w:rPr>
              <w:t>(see note 2)</w:t>
            </w:r>
          </w:p>
        </w:tc>
        <w:tc>
          <w:tcPr>
            <w:tcW w:w="1989" w:type="dxa"/>
            <w:tcMar>
              <w:left w:w="57" w:type="dxa"/>
              <w:right w:w="57" w:type="dxa"/>
            </w:tcMar>
          </w:tcPr>
          <w:p w14:paraId="66B8FA96" w14:textId="77777777" w:rsidR="00711444" w:rsidRPr="004D0DAA" w:rsidRDefault="00711444" w:rsidP="00AA2A4C">
            <w:pPr>
              <w:pStyle w:val="TAL"/>
              <w:jc w:val="center"/>
              <w:rPr>
                <w:lang w:eastAsia="en-US"/>
              </w:rPr>
            </w:pPr>
            <w:r w:rsidRPr="004D0DAA">
              <w:rPr>
                <w:lang w:eastAsia="en-US"/>
              </w:rPr>
              <w:t>1024</w:t>
            </w:r>
          </w:p>
        </w:tc>
        <w:tc>
          <w:tcPr>
            <w:tcW w:w="1989" w:type="dxa"/>
            <w:tcMar>
              <w:left w:w="57" w:type="dxa"/>
              <w:right w:w="57" w:type="dxa"/>
            </w:tcMar>
          </w:tcPr>
          <w:p w14:paraId="61722821" w14:textId="77777777" w:rsidR="00711444" w:rsidRPr="004D0DAA" w:rsidRDefault="00711444" w:rsidP="00AA2A4C">
            <w:pPr>
              <w:pStyle w:val="TAL"/>
              <w:jc w:val="center"/>
              <w:rPr>
                <w:lang w:eastAsia="en-US"/>
              </w:rPr>
            </w:pPr>
            <w:r w:rsidRPr="004D0DAA">
              <w:rPr>
                <w:lang w:eastAsia="en-US"/>
              </w:rPr>
              <w:t>2048</w:t>
            </w:r>
          </w:p>
        </w:tc>
        <w:tc>
          <w:tcPr>
            <w:tcW w:w="1989" w:type="dxa"/>
            <w:tcMar>
              <w:left w:w="57" w:type="dxa"/>
              <w:right w:w="57" w:type="dxa"/>
            </w:tcMar>
          </w:tcPr>
          <w:p w14:paraId="737A5972" w14:textId="77777777" w:rsidR="00711444" w:rsidRPr="004D0DAA" w:rsidRDefault="00711444" w:rsidP="00AA2A4C">
            <w:pPr>
              <w:pStyle w:val="TAL"/>
              <w:jc w:val="center"/>
              <w:rPr>
                <w:lang w:eastAsia="en-US"/>
              </w:rPr>
            </w:pPr>
            <w:r w:rsidRPr="004D0DAA">
              <w:rPr>
                <w:lang w:eastAsia="en-US"/>
              </w:rPr>
              <w:t>3072</w:t>
            </w:r>
          </w:p>
        </w:tc>
        <w:tc>
          <w:tcPr>
            <w:tcW w:w="1990" w:type="dxa"/>
            <w:tcMar>
              <w:left w:w="57" w:type="dxa"/>
              <w:right w:w="57" w:type="dxa"/>
            </w:tcMar>
          </w:tcPr>
          <w:p w14:paraId="37C653FD" w14:textId="77777777" w:rsidR="00711444" w:rsidRPr="004D0DAA" w:rsidRDefault="00711444" w:rsidP="00AA2A4C">
            <w:pPr>
              <w:pStyle w:val="TAL"/>
              <w:jc w:val="center"/>
              <w:rPr>
                <w:lang w:eastAsia="en-US"/>
              </w:rPr>
            </w:pPr>
            <w:r w:rsidRPr="004D0DAA">
              <w:rPr>
                <w:lang w:eastAsia="en-US"/>
              </w:rPr>
              <w:t>4096</w:t>
            </w:r>
          </w:p>
        </w:tc>
      </w:tr>
      <w:tr w:rsidR="00711444" w:rsidRPr="004D0DAA" w14:paraId="22852A75" w14:textId="77777777" w:rsidTr="00AA2A4C">
        <w:tblPrEx>
          <w:tblCellMar>
            <w:top w:w="0" w:type="dxa"/>
            <w:bottom w:w="0" w:type="dxa"/>
          </w:tblCellMar>
        </w:tblPrEx>
        <w:trPr>
          <w:cantSplit/>
        </w:trPr>
        <w:tc>
          <w:tcPr>
            <w:tcW w:w="9857" w:type="dxa"/>
            <w:gridSpan w:val="5"/>
            <w:tcMar>
              <w:left w:w="57" w:type="dxa"/>
              <w:right w:w="57" w:type="dxa"/>
            </w:tcMar>
          </w:tcPr>
          <w:p w14:paraId="2828DDD2" w14:textId="77777777" w:rsidR="00711444" w:rsidRPr="004D0DAA" w:rsidRDefault="00711444" w:rsidP="00AA2A4C">
            <w:pPr>
              <w:pStyle w:val="TAN"/>
              <w:rPr>
                <w:lang w:eastAsia="en-US"/>
              </w:rPr>
            </w:pPr>
            <w:r w:rsidRPr="004D0DAA">
              <w:rPr>
                <w:lang w:eastAsia="en-US"/>
              </w:rPr>
              <w:t>NOTE 1:</w:t>
            </w:r>
            <w:r w:rsidRPr="004D0DAA">
              <w:rPr>
                <w:lang w:eastAsia="en-US"/>
              </w:rPr>
              <w:tab/>
              <w:t xml:space="preserve">See </w:t>
            </w:r>
            <w:r w:rsidRPr="004D0DAA">
              <w:rPr>
                <w:i/>
                <w:lang w:eastAsia="en-US"/>
              </w:rPr>
              <w:t>MS Radio Access Capability</w:t>
            </w:r>
            <w:r w:rsidRPr="004D0DAA">
              <w:rPr>
                <w:lang w:eastAsia="en-US"/>
              </w:rPr>
              <w:t xml:space="preserve"> IE in 3GPP TS 24.008 </w:t>
            </w:r>
          </w:p>
          <w:p w14:paraId="42D28D57" w14:textId="77777777" w:rsidR="00711444" w:rsidRPr="004D0DAA" w:rsidRDefault="00711444" w:rsidP="00AA2A4C">
            <w:pPr>
              <w:pStyle w:val="TAN"/>
              <w:rPr>
                <w:lang w:eastAsia="en-US"/>
              </w:rPr>
            </w:pPr>
            <w:r w:rsidRPr="004D0DAA">
              <w:rPr>
                <w:lang w:eastAsia="en-US"/>
              </w:rPr>
              <w:t>NOTE 2:</w:t>
            </w:r>
            <w:r w:rsidRPr="004D0DAA">
              <w:rPr>
                <w:lang w:eastAsia="en-US"/>
              </w:rPr>
              <w:tab/>
              <w:t xml:space="preserve">A mobile station that supports up to </w:t>
            </w:r>
            <w:r w:rsidRPr="004D0DAA">
              <w:rPr>
                <w:i/>
                <w:lang w:eastAsia="en-US"/>
              </w:rPr>
              <w:t>N</w:t>
            </w:r>
            <w:r w:rsidRPr="004D0DAA">
              <w:rPr>
                <w:lang w:eastAsia="en-US"/>
              </w:rPr>
              <w:t xml:space="preserve"> downlink timeslots in DLMC configuration shall support an RLC buffer that can store </w:t>
            </w:r>
            <w:r w:rsidRPr="004D0DAA">
              <w:rPr>
                <w:i/>
                <w:iCs/>
                <w:lang w:eastAsia="en-US"/>
              </w:rPr>
              <w:t>S</w:t>
            </w:r>
            <w:r w:rsidRPr="004D0DAA">
              <w:rPr>
                <w:lang w:eastAsia="en-US"/>
              </w:rPr>
              <w:t xml:space="preserve"> RLC data blocks</w:t>
            </w:r>
          </w:p>
        </w:tc>
      </w:tr>
    </w:tbl>
    <w:p w14:paraId="69BA9AE6" w14:textId="77777777" w:rsidR="00711444" w:rsidRPr="004D0DAA" w:rsidRDefault="00711444" w:rsidP="00711444"/>
    <w:p w14:paraId="36D565F0" w14:textId="77777777" w:rsidR="00711444" w:rsidRPr="004D0DAA" w:rsidRDefault="00711444" w:rsidP="00711444">
      <w:pPr>
        <w:pStyle w:val="NO"/>
      </w:pPr>
      <w:r w:rsidRPr="004D0DAA">
        <w:t>NOTE:</w:t>
      </w:r>
      <w:r w:rsidRPr="004D0DAA">
        <w:tab/>
        <w:t>The sum of the RLC window sizes of all RLC instances running in the mobile station in a given direction may be larger than the mobile station's RLC buffer in this direction. The RLC buffer does not affect the allocation of RLC window size.</w:t>
      </w:r>
    </w:p>
    <w:p w14:paraId="33B46FBF" w14:textId="77777777" w:rsidR="00711444" w:rsidRPr="004D0DAA" w:rsidRDefault="00711444" w:rsidP="00711444">
      <w:pPr>
        <w:pStyle w:val="Heading3"/>
      </w:pPr>
      <w:bookmarkStart w:id="432" w:name="_Toc516669616"/>
      <w:r w:rsidRPr="004D0DAA">
        <w:t>9.1.10</w:t>
      </w:r>
      <w:r w:rsidRPr="004D0DAA">
        <w:tab/>
        <w:t>Compression</w:t>
      </w:r>
      <w:bookmarkEnd w:id="432"/>
    </w:p>
    <w:p w14:paraId="2C2FB7C6" w14:textId="77777777" w:rsidR="00711444" w:rsidRPr="004D0DAA" w:rsidRDefault="00711444" w:rsidP="00711444">
      <w:r w:rsidRPr="004D0DAA">
        <w:t>The compression algorithm is as follows. If the window size is less than the number of bits available for the bitmap, then full feedback is provided using an uncompressed bitmap. If the window size is larger than the number of bits available for the bitmap, then one-dimensional run length coding (based on ITU-T Recommendation T.4) is carried out starting at SSN.</w:t>
      </w:r>
    </w:p>
    <w:p w14:paraId="3DA9E20C" w14:textId="77777777" w:rsidR="00711444" w:rsidRPr="004D0DAA" w:rsidRDefault="00711444" w:rsidP="00711444">
      <w:r w:rsidRPr="004D0DAA">
        <w:t xml:space="preserve">The T.4 procedure for encoding run lengths is as follows. Runs of ones and zeros alternate, and the run lengths are represented by the code words listed in the tables below. The code words for run lengths of zeros and ones are as described in T.4 except for one minor modification: the terminating code words used for indicating run lengths of 1 zero and 3 zeros are interchanged. This modification helps in achieving some throughput improvement when frequency </w:t>
      </w:r>
      <w:r w:rsidRPr="004D0DAA">
        <w:lastRenderedPageBreak/>
        <w:t>hopping is carried out. The run length code words are of two types: terminating code words and make-up code words. Each run length is represented by either one terminating code word or one make-up code word followed by a terminating code word. Run lengths in the range 0-63 bits are encoded with their appropriate terminating code word. Run lengths greater than 63 bits are encoded first by the make-up code word which is equal to or shorter than that required. This is then followed by the terminating code word representing the difference between the required run length and the run length represented by the make-up code.</w:t>
      </w:r>
    </w:p>
    <w:p w14:paraId="3951CC43" w14:textId="77777777" w:rsidR="00711444" w:rsidRPr="004D0DAA" w:rsidRDefault="00711444" w:rsidP="00711444">
      <w:r w:rsidRPr="004D0DAA">
        <w:t>No special code words are used either at the beginning of the bitmap or the end of a bitmap. A one bit indicator (i.e. Compressed Bitmap Starting Color Code) is used to indicate whether the compressed bitmap starts with a run length of zeros or a run length of ones.</w:t>
      </w:r>
    </w:p>
    <w:p w14:paraId="12160161" w14:textId="77777777" w:rsidR="00711444" w:rsidRPr="004D0DAA" w:rsidRDefault="00711444" w:rsidP="00711444">
      <w:pPr>
        <w:keepNext/>
        <w:keepLines/>
      </w:pPr>
      <w:r w:rsidRPr="004D0DAA">
        <w:t xml:space="preserve">The compressed bitmap is assumed to be of length </w:t>
      </w:r>
      <w:r w:rsidRPr="004D0DAA">
        <w:rPr>
          <w:i/>
        </w:rPr>
        <w:t xml:space="preserve">Lc </w:t>
      </w:r>
      <w:r w:rsidRPr="004D0DAA">
        <w:t>(see clause 12) bits. The run length encoder output is used only if a compression gain is realized; otherwise an uncompressed partial bitmap is transmitted. The compressed portion of the bitmap must end on a T.4 code word boundary which may or may not coincide with the number of bits available. In such cases, one possible implementation is to recognize the boundary of the last valid T.4 code word that fits into the available space as the end of the compressed bitmap. The rest of the bitmap is assumed to be uncompressed; the uncompressed portion of the bitmap has variable length (see clause 12). Any bits representing sequence numbers V(R) or beyond in either the compressed or uncompressed portion of the bitmap must be set to 0. Implementations may use other schemes to determine the boundary between the compressed and uncompressed portions of the bitmap.</w:t>
      </w:r>
    </w:p>
    <w:p w14:paraId="713FB450" w14:textId="77777777" w:rsidR="00711444" w:rsidRPr="004D0DAA" w:rsidRDefault="00711444" w:rsidP="00711444">
      <w:pPr>
        <w:pStyle w:val="TH"/>
        <w:keepNext w:val="0"/>
        <w:keepLines w:val="0"/>
      </w:pPr>
      <w:r w:rsidRPr="004D0DAA">
        <w:t>Table 9.1.10.1: Terminating codes (reproduced from ITU-T Recommendation T.4);</w:t>
      </w:r>
      <w:r w:rsidRPr="004D0DAA">
        <w:br/>
        <w:t>T.4 code words used for representing run lengths of 1 zero and 3 zeros are interchanged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701"/>
        <w:gridCol w:w="1701"/>
      </w:tblGrid>
      <w:tr w:rsidR="00711444" w:rsidRPr="004D0DAA" w14:paraId="449CBF69" w14:textId="77777777" w:rsidTr="00AA2A4C">
        <w:tblPrEx>
          <w:tblCellMar>
            <w:top w:w="0" w:type="dxa"/>
            <w:bottom w:w="0" w:type="dxa"/>
          </w:tblCellMar>
        </w:tblPrEx>
        <w:trPr>
          <w:tblHeader/>
          <w:jc w:val="center"/>
        </w:trPr>
        <w:tc>
          <w:tcPr>
            <w:tcW w:w="1701" w:type="dxa"/>
          </w:tcPr>
          <w:p w14:paraId="33F5453E" w14:textId="77777777" w:rsidR="00711444" w:rsidRPr="004D0DAA" w:rsidRDefault="00711444" w:rsidP="00AA2A4C">
            <w:pPr>
              <w:pStyle w:val="TAH"/>
              <w:rPr>
                <w:lang w:eastAsia="en-US"/>
              </w:rPr>
            </w:pPr>
            <w:r w:rsidRPr="004D0DAA">
              <w:rPr>
                <w:lang w:eastAsia="en-US"/>
              </w:rPr>
              <w:lastRenderedPageBreak/>
              <w:t>One run length</w:t>
            </w:r>
          </w:p>
        </w:tc>
        <w:tc>
          <w:tcPr>
            <w:tcW w:w="1701" w:type="dxa"/>
          </w:tcPr>
          <w:p w14:paraId="636E2FD1" w14:textId="77777777" w:rsidR="00711444" w:rsidRPr="004D0DAA" w:rsidRDefault="00711444" w:rsidP="00AA2A4C">
            <w:pPr>
              <w:pStyle w:val="TAH"/>
              <w:rPr>
                <w:lang w:eastAsia="en-US"/>
              </w:rPr>
            </w:pPr>
            <w:r w:rsidRPr="004D0DAA">
              <w:rPr>
                <w:lang w:eastAsia="en-US"/>
              </w:rPr>
              <w:t>Code word</w:t>
            </w:r>
          </w:p>
        </w:tc>
        <w:tc>
          <w:tcPr>
            <w:tcW w:w="1701" w:type="dxa"/>
          </w:tcPr>
          <w:p w14:paraId="152D4C08" w14:textId="77777777" w:rsidR="00711444" w:rsidRPr="004D0DAA" w:rsidRDefault="00711444" w:rsidP="00AA2A4C">
            <w:pPr>
              <w:pStyle w:val="TAH"/>
              <w:rPr>
                <w:lang w:eastAsia="en-US"/>
              </w:rPr>
            </w:pPr>
            <w:r w:rsidRPr="004D0DAA">
              <w:rPr>
                <w:lang w:eastAsia="en-US"/>
              </w:rPr>
              <w:t>Zero run length</w:t>
            </w:r>
          </w:p>
        </w:tc>
        <w:tc>
          <w:tcPr>
            <w:tcW w:w="1701" w:type="dxa"/>
          </w:tcPr>
          <w:p w14:paraId="05CA7FFD" w14:textId="77777777" w:rsidR="00711444" w:rsidRPr="004D0DAA" w:rsidRDefault="00711444" w:rsidP="00AA2A4C">
            <w:pPr>
              <w:pStyle w:val="TAH"/>
              <w:rPr>
                <w:lang w:eastAsia="en-US"/>
              </w:rPr>
            </w:pPr>
            <w:r w:rsidRPr="004D0DAA">
              <w:rPr>
                <w:lang w:eastAsia="en-US"/>
              </w:rPr>
              <w:t>Code word</w:t>
            </w:r>
          </w:p>
        </w:tc>
      </w:tr>
      <w:tr w:rsidR="00711444" w:rsidRPr="004D0DAA" w14:paraId="38DB5EE0" w14:textId="77777777" w:rsidTr="00AA2A4C">
        <w:tblPrEx>
          <w:tblCellMar>
            <w:top w:w="0" w:type="dxa"/>
            <w:bottom w:w="0" w:type="dxa"/>
          </w:tblCellMar>
        </w:tblPrEx>
        <w:trPr>
          <w:jc w:val="center"/>
        </w:trPr>
        <w:tc>
          <w:tcPr>
            <w:tcW w:w="1701" w:type="dxa"/>
          </w:tcPr>
          <w:p w14:paraId="4C680951" w14:textId="77777777" w:rsidR="00711444" w:rsidRPr="004D0DAA" w:rsidRDefault="00711444" w:rsidP="00AA2A4C">
            <w:pPr>
              <w:pStyle w:val="TAL"/>
              <w:rPr>
                <w:lang w:eastAsia="en-US"/>
              </w:rPr>
            </w:pPr>
            <w:r w:rsidRPr="004D0DAA">
              <w:rPr>
                <w:lang w:eastAsia="en-US"/>
              </w:rPr>
              <w:t>0</w:t>
            </w:r>
          </w:p>
        </w:tc>
        <w:tc>
          <w:tcPr>
            <w:tcW w:w="1701" w:type="dxa"/>
          </w:tcPr>
          <w:p w14:paraId="4E3A5106" w14:textId="77777777" w:rsidR="00711444" w:rsidRPr="004D0DAA" w:rsidRDefault="00711444" w:rsidP="00AA2A4C">
            <w:pPr>
              <w:pStyle w:val="TAL"/>
              <w:rPr>
                <w:lang w:eastAsia="en-US"/>
              </w:rPr>
            </w:pPr>
            <w:r w:rsidRPr="004D0DAA">
              <w:rPr>
                <w:lang w:eastAsia="en-US"/>
              </w:rPr>
              <w:t>00110101</w:t>
            </w:r>
          </w:p>
        </w:tc>
        <w:tc>
          <w:tcPr>
            <w:tcW w:w="1701" w:type="dxa"/>
          </w:tcPr>
          <w:p w14:paraId="2E4342E6" w14:textId="77777777" w:rsidR="00711444" w:rsidRPr="004D0DAA" w:rsidRDefault="00711444" w:rsidP="00AA2A4C">
            <w:pPr>
              <w:pStyle w:val="TAL"/>
              <w:rPr>
                <w:lang w:eastAsia="en-US"/>
              </w:rPr>
            </w:pPr>
            <w:r w:rsidRPr="004D0DAA">
              <w:rPr>
                <w:lang w:eastAsia="en-US"/>
              </w:rPr>
              <w:t>0</w:t>
            </w:r>
          </w:p>
        </w:tc>
        <w:tc>
          <w:tcPr>
            <w:tcW w:w="1701" w:type="dxa"/>
          </w:tcPr>
          <w:p w14:paraId="656A44B9" w14:textId="77777777" w:rsidR="00711444" w:rsidRPr="004D0DAA" w:rsidRDefault="00711444" w:rsidP="00AA2A4C">
            <w:pPr>
              <w:pStyle w:val="TAL"/>
              <w:rPr>
                <w:lang w:eastAsia="en-US"/>
              </w:rPr>
            </w:pPr>
            <w:r w:rsidRPr="004D0DAA">
              <w:rPr>
                <w:lang w:eastAsia="en-US"/>
              </w:rPr>
              <w:t>0000110111</w:t>
            </w:r>
          </w:p>
        </w:tc>
      </w:tr>
      <w:tr w:rsidR="00711444" w:rsidRPr="004D0DAA" w14:paraId="4DB8A770" w14:textId="77777777" w:rsidTr="00AA2A4C">
        <w:tblPrEx>
          <w:tblCellMar>
            <w:top w:w="0" w:type="dxa"/>
            <w:bottom w:w="0" w:type="dxa"/>
          </w:tblCellMar>
        </w:tblPrEx>
        <w:trPr>
          <w:jc w:val="center"/>
        </w:trPr>
        <w:tc>
          <w:tcPr>
            <w:tcW w:w="1701" w:type="dxa"/>
          </w:tcPr>
          <w:p w14:paraId="52D37FE8" w14:textId="77777777" w:rsidR="00711444" w:rsidRPr="004D0DAA" w:rsidRDefault="00711444" w:rsidP="00AA2A4C">
            <w:pPr>
              <w:pStyle w:val="TAL"/>
              <w:rPr>
                <w:lang w:eastAsia="en-US"/>
              </w:rPr>
            </w:pPr>
            <w:r w:rsidRPr="004D0DAA">
              <w:rPr>
                <w:lang w:eastAsia="en-US"/>
              </w:rPr>
              <w:t>1</w:t>
            </w:r>
          </w:p>
        </w:tc>
        <w:tc>
          <w:tcPr>
            <w:tcW w:w="1701" w:type="dxa"/>
          </w:tcPr>
          <w:p w14:paraId="16DEBA88" w14:textId="77777777" w:rsidR="00711444" w:rsidRPr="004D0DAA" w:rsidRDefault="00711444" w:rsidP="00AA2A4C">
            <w:pPr>
              <w:pStyle w:val="TAL"/>
              <w:rPr>
                <w:lang w:eastAsia="en-US"/>
              </w:rPr>
            </w:pPr>
            <w:r w:rsidRPr="004D0DAA">
              <w:rPr>
                <w:lang w:eastAsia="en-US"/>
              </w:rPr>
              <w:t>000111</w:t>
            </w:r>
          </w:p>
        </w:tc>
        <w:tc>
          <w:tcPr>
            <w:tcW w:w="1701" w:type="dxa"/>
          </w:tcPr>
          <w:p w14:paraId="79A69F50" w14:textId="77777777" w:rsidR="00711444" w:rsidRPr="004D0DAA" w:rsidRDefault="00711444" w:rsidP="00AA2A4C">
            <w:pPr>
              <w:pStyle w:val="TAL"/>
              <w:rPr>
                <w:lang w:eastAsia="en-US"/>
              </w:rPr>
            </w:pPr>
            <w:r w:rsidRPr="004D0DAA">
              <w:rPr>
                <w:lang w:eastAsia="en-US"/>
              </w:rPr>
              <w:t>1</w:t>
            </w:r>
          </w:p>
        </w:tc>
        <w:tc>
          <w:tcPr>
            <w:tcW w:w="1701" w:type="dxa"/>
          </w:tcPr>
          <w:p w14:paraId="083AAAD7" w14:textId="77777777" w:rsidR="00711444" w:rsidRPr="004D0DAA" w:rsidRDefault="00711444" w:rsidP="00AA2A4C">
            <w:pPr>
              <w:pStyle w:val="TAL"/>
              <w:rPr>
                <w:lang w:eastAsia="en-US"/>
              </w:rPr>
            </w:pPr>
            <w:r w:rsidRPr="004D0DAA">
              <w:rPr>
                <w:lang w:eastAsia="en-US"/>
              </w:rPr>
              <w:t>10</w:t>
            </w:r>
          </w:p>
        </w:tc>
      </w:tr>
      <w:tr w:rsidR="00711444" w:rsidRPr="004D0DAA" w14:paraId="1052A59F" w14:textId="77777777" w:rsidTr="00AA2A4C">
        <w:tblPrEx>
          <w:tblCellMar>
            <w:top w:w="0" w:type="dxa"/>
            <w:bottom w:w="0" w:type="dxa"/>
          </w:tblCellMar>
        </w:tblPrEx>
        <w:trPr>
          <w:jc w:val="center"/>
        </w:trPr>
        <w:tc>
          <w:tcPr>
            <w:tcW w:w="1701" w:type="dxa"/>
          </w:tcPr>
          <w:p w14:paraId="3FFC4968" w14:textId="77777777" w:rsidR="00711444" w:rsidRPr="004D0DAA" w:rsidRDefault="00711444" w:rsidP="00AA2A4C">
            <w:pPr>
              <w:pStyle w:val="TAL"/>
              <w:rPr>
                <w:lang w:eastAsia="en-US"/>
              </w:rPr>
            </w:pPr>
            <w:r w:rsidRPr="004D0DAA">
              <w:rPr>
                <w:lang w:eastAsia="en-US"/>
              </w:rPr>
              <w:t>2</w:t>
            </w:r>
          </w:p>
        </w:tc>
        <w:tc>
          <w:tcPr>
            <w:tcW w:w="1701" w:type="dxa"/>
          </w:tcPr>
          <w:p w14:paraId="4C98ECD4" w14:textId="77777777" w:rsidR="00711444" w:rsidRPr="004D0DAA" w:rsidRDefault="00711444" w:rsidP="00AA2A4C">
            <w:pPr>
              <w:pStyle w:val="TAL"/>
              <w:rPr>
                <w:lang w:eastAsia="en-US"/>
              </w:rPr>
            </w:pPr>
            <w:r w:rsidRPr="004D0DAA">
              <w:rPr>
                <w:lang w:eastAsia="en-US"/>
              </w:rPr>
              <w:t>0111</w:t>
            </w:r>
          </w:p>
        </w:tc>
        <w:tc>
          <w:tcPr>
            <w:tcW w:w="1701" w:type="dxa"/>
          </w:tcPr>
          <w:p w14:paraId="21C256E3" w14:textId="77777777" w:rsidR="00711444" w:rsidRPr="004D0DAA" w:rsidRDefault="00711444" w:rsidP="00AA2A4C">
            <w:pPr>
              <w:pStyle w:val="TAL"/>
              <w:rPr>
                <w:lang w:eastAsia="en-US"/>
              </w:rPr>
            </w:pPr>
            <w:r w:rsidRPr="004D0DAA">
              <w:rPr>
                <w:lang w:eastAsia="en-US"/>
              </w:rPr>
              <w:t>2</w:t>
            </w:r>
          </w:p>
        </w:tc>
        <w:tc>
          <w:tcPr>
            <w:tcW w:w="1701" w:type="dxa"/>
          </w:tcPr>
          <w:p w14:paraId="378BFC16" w14:textId="77777777" w:rsidR="00711444" w:rsidRPr="004D0DAA" w:rsidRDefault="00711444" w:rsidP="00AA2A4C">
            <w:pPr>
              <w:pStyle w:val="TAL"/>
              <w:rPr>
                <w:lang w:eastAsia="en-US"/>
              </w:rPr>
            </w:pPr>
            <w:r w:rsidRPr="004D0DAA">
              <w:rPr>
                <w:lang w:eastAsia="en-US"/>
              </w:rPr>
              <w:t>11</w:t>
            </w:r>
          </w:p>
        </w:tc>
      </w:tr>
      <w:tr w:rsidR="00711444" w:rsidRPr="004D0DAA" w14:paraId="0F2C6973" w14:textId="77777777" w:rsidTr="00AA2A4C">
        <w:tblPrEx>
          <w:tblCellMar>
            <w:top w:w="0" w:type="dxa"/>
            <w:bottom w:w="0" w:type="dxa"/>
          </w:tblCellMar>
        </w:tblPrEx>
        <w:trPr>
          <w:jc w:val="center"/>
        </w:trPr>
        <w:tc>
          <w:tcPr>
            <w:tcW w:w="1701" w:type="dxa"/>
          </w:tcPr>
          <w:p w14:paraId="4DA87F21" w14:textId="77777777" w:rsidR="00711444" w:rsidRPr="004D0DAA" w:rsidRDefault="00711444" w:rsidP="00AA2A4C">
            <w:pPr>
              <w:pStyle w:val="TAL"/>
              <w:rPr>
                <w:lang w:eastAsia="en-US"/>
              </w:rPr>
            </w:pPr>
            <w:r w:rsidRPr="004D0DAA">
              <w:rPr>
                <w:lang w:eastAsia="en-US"/>
              </w:rPr>
              <w:t>3</w:t>
            </w:r>
          </w:p>
        </w:tc>
        <w:tc>
          <w:tcPr>
            <w:tcW w:w="1701" w:type="dxa"/>
          </w:tcPr>
          <w:p w14:paraId="542201EF" w14:textId="77777777" w:rsidR="00711444" w:rsidRPr="004D0DAA" w:rsidRDefault="00711444" w:rsidP="00AA2A4C">
            <w:pPr>
              <w:pStyle w:val="TAL"/>
              <w:rPr>
                <w:lang w:eastAsia="en-US"/>
              </w:rPr>
            </w:pPr>
            <w:r w:rsidRPr="004D0DAA">
              <w:rPr>
                <w:lang w:eastAsia="en-US"/>
              </w:rPr>
              <w:t>1000</w:t>
            </w:r>
          </w:p>
        </w:tc>
        <w:tc>
          <w:tcPr>
            <w:tcW w:w="1701" w:type="dxa"/>
          </w:tcPr>
          <w:p w14:paraId="37B10BB6" w14:textId="77777777" w:rsidR="00711444" w:rsidRPr="004D0DAA" w:rsidRDefault="00711444" w:rsidP="00AA2A4C">
            <w:pPr>
              <w:pStyle w:val="TAL"/>
              <w:rPr>
                <w:lang w:eastAsia="en-US"/>
              </w:rPr>
            </w:pPr>
            <w:r w:rsidRPr="004D0DAA">
              <w:rPr>
                <w:lang w:eastAsia="en-US"/>
              </w:rPr>
              <w:t>3</w:t>
            </w:r>
          </w:p>
        </w:tc>
        <w:tc>
          <w:tcPr>
            <w:tcW w:w="1701" w:type="dxa"/>
          </w:tcPr>
          <w:p w14:paraId="1E1B0F73" w14:textId="77777777" w:rsidR="00711444" w:rsidRPr="004D0DAA" w:rsidRDefault="00711444" w:rsidP="00AA2A4C">
            <w:pPr>
              <w:pStyle w:val="TAL"/>
              <w:rPr>
                <w:lang w:eastAsia="en-US"/>
              </w:rPr>
            </w:pPr>
            <w:r w:rsidRPr="004D0DAA">
              <w:rPr>
                <w:lang w:eastAsia="en-US"/>
              </w:rPr>
              <w:t>010</w:t>
            </w:r>
          </w:p>
        </w:tc>
      </w:tr>
      <w:tr w:rsidR="00711444" w:rsidRPr="004D0DAA" w14:paraId="7121BE32" w14:textId="77777777" w:rsidTr="00AA2A4C">
        <w:tblPrEx>
          <w:tblCellMar>
            <w:top w:w="0" w:type="dxa"/>
            <w:bottom w:w="0" w:type="dxa"/>
          </w:tblCellMar>
        </w:tblPrEx>
        <w:trPr>
          <w:jc w:val="center"/>
        </w:trPr>
        <w:tc>
          <w:tcPr>
            <w:tcW w:w="1701" w:type="dxa"/>
          </w:tcPr>
          <w:p w14:paraId="35D61CDF" w14:textId="77777777" w:rsidR="00711444" w:rsidRPr="004D0DAA" w:rsidRDefault="00711444" w:rsidP="00AA2A4C">
            <w:pPr>
              <w:pStyle w:val="TAL"/>
              <w:rPr>
                <w:lang w:eastAsia="en-US"/>
              </w:rPr>
            </w:pPr>
            <w:r w:rsidRPr="004D0DAA">
              <w:rPr>
                <w:lang w:eastAsia="en-US"/>
              </w:rPr>
              <w:t>4</w:t>
            </w:r>
          </w:p>
        </w:tc>
        <w:tc>
          <w:tcPr>
            <w:tcW w:w="1701" w:type="dxa"/>
          </w:tcPr>
          <w:p w14:paraId="721E6469" w14:textId="77777777" w:rsidR="00711444" w:rsidRPr="004D0DAA" w:rsidRDefault="00711444" w:rsidP="00AA2A4C">
            <w:pPr>
              <w:pStyle w:val="TAL"/>
              <w:rPr>
                <w:lang w:eastAsia="en-US"/>
              </w:rPr>
            </w:pPr>
            <w:r w:rsidRPr="004D0DAA">
              <w:rPr>
                <w:lang w:eastAsia="en-US"/>
              </w:rPr>
              <w:t>1011</w:t>
            </w:r>
          </w:p>
        </w:tc>
        <w:tc>
          <w:tcPr>
            <w:tcW w:w="1701" w:type="dxa"/>
          </w:tcPr>
          <w:p w14:paraId="12FF0257" w14:textId="77777777" w:rsidR="00711444" w:rsidRPr="004D0DAA" w:rsidRDefault="00711444" w:rsidP="00AA2A4C">
            <w:pPr>
              <w:pStyle w:val="TAL"/>
              <w:rPr>
                <w:lang w:eastAsia="en-US"/>
              </w:rPr>
            </w:pPr>
            <w:r w:rsidRPr="004D0DAA">
              <w:rPr>
                <w:lang w:eastAsia="en-US"/>
              </w:rPr>
              <w:t>4</w:t>
            </w:r>
          </w:p>
        </w:tc>
        <w:tc>
          <w:tcPr>
            <w:tcW w:w="1701" w:type="dxa"/>
          </w:tcPr>
          <w:p w14:paraId="5C097030" w14:textId="77777777" w:rsidR="00711444" w:rsidRPr="004D0DAA" w:rsidRDefault="00711444" w:rsidP="00AA2A4C">
            <w:pPr>
              <w:pStyle w:val="TAL"/>
              <w:rPr>
                <w:lang w:eastAsia="en-US"/>
              </w:rPr>
            </w:pPr>
            <w:r w:rsidRPr="004D0DAA">
              <w:rPr>
                <w:lang w:eastAsia="en-US"/>
              </w:rPr>
              <w:t>011</w:t>
            </w:r>
          </w:p>
        </w:tc>
      </w:tr>
      <w:tr w:rsidR="00711444" w:rsidRPr="004D0DAA" w14:paraId="3B40FB4A" w14:textId="77777777" w:rsidTr="00AA2A4C">
        <w:tblPrEx>
          <w:tblCellMar>
            <w:top w:w="0" w:type="dxa"/>
            <w:bottom w:w="0" w:type="dxa"/>
          </w:tblCellMar>
        </w:tblPrEx>
        <w:trPr>
          <w:jc w:val="center"/>
        </w:trPr>
        <w:tc>
          <w:tcPr>
            <w:tcW w:w="1701" w:type="dxa"/>
          </w:tcPr>
          <w:p w14:paraId="368A7F6C" w14:textId="77777777" w:rsidR="00711444" w:rsidRPr="004D0DAA" w:rsidRDefault="00711444" w:rsidP="00AA2A4C">
            <w:pPr>
              <w:pStyle w:val="TAL"/>
              <w:rPr>
                <w:lang w:eastAsia="en-US"/>
              </w:rPr>
            </w:pPr>
            <w:r w:rsidRPr="004D0DAA">
              <w:rPr>
                <w:lang w:eastAsia="en-US"/>
              </w:rPr>
              <w:t>5</w:t>
            </w:r>
          </w:p>
        </w:tc>
        <w:tc>
          <w:tcPr>
            <w:tcW w:w="1701" w:type="dxa"/>
          </w:tcPr>
          <w:p w14:paraId="7A47246D" w14:textId="77777777" w:rsidR="00711444" w:rsidRPr="004D0DAA" w:rsidRDefault="00711444" w:rsidP="00AA2A4C">
            <w:pPr>
              <w:pStyle w:val="TAL"/>
              <w:rPr>
                <w:lang w:eastAsia="en-US"/>
              </w:rPr>
            </w:pPr>
            <w:r w:rsidRPr="004D0DAA">
              <w:rPr>
                <w:lang w:eastAsia="en-US"/>
              </w:rPr>
              <w:t>1100</w:t>
            </w:r>
          </w:p>
        </w:tc>
        <w:tc>
          <w:tcPr>
            <w:tcW w:w="1701" w:type="dxa"/>
          </w:tcPr>
          <w:p w14:paraId="164D73C5" w14:textId="77777777" w:rsidR="00711444" w:rsidRPr="004D0DAA" w:rsidRDefault="00711444" w:rsidP="00AA2A4C">
            <w:pPr>
              <w:pStyle w:val="TAL"/>
              <w:rPr>
                <w:lang w:eastAsia="en-US"/>
              </w:rPr>
            </w:pPr>
            <w:r w:rsidRPr="004D0DAA">
              <w:rPr>
                <w:lang w:eastAsia="en-US"/>
              </w:rPr>
              <w:t>5</w:t>
            </w:r>
          </w:p>
        </w:tc>
        <w:tc>
          <w:tcPr>
            <w:tcW w:w="1701" w:type="dxa"/>
          </w:tcPr>
          <w:p w14:paraId="345EFDF2" w14:textId="77777777" w:rsidR="00711444" w:rsidRPr="004D0DAA" w:rsidRDefault="00711444" w:rsidP="00AA2A4C">
            <w:pPr>
              <w:pStyle w:val="TAL"/>
              <w:rPr>
                <w:lang w:eastAsia="en-US"/>
              </w:rPr>
            </w:pPr>
            <w:r w:rsidRPr="004D0DAA">
              <w:rPr>
                <w:lang w:eastAsia="en-US"/>
              </w:rPr>
              <w:t>0011</w:t>
            </w:r>
          </w:p>
        </w:tc>
      </w:tr>
      <w:tr w:rsidR="00711444" w:rsidRPr="004D0DAA" w14:paraId="4C94F525" w14:textId="77777777" w:rsidTr="00AA2A4C">
        <w:tblPrEx>
          <w:tblCellMar>
            <w:top w:w="0" w:type="dxa"/>
            <w:bottom w:w="0" w:type="dxa"/>
          </w:tblCellMar>
        </w:tblPrEx>
        <w:trPr>
          <w:jc w:val="center"/>
        </w:trPr>
        <w:tc>
          <w:tcPr>
            <w:tcW w:w="1701" w:type="dxa"/>
          </w:tcPr>
          <w:p w14:paraId="46F51F92" w14:textId="77777777" w:rsidR="00711444" w:rsidRPr="004D0DAA" w:rsidRDefault="00711444" w:rsidP="00AA2A4C">
            <w:pPr>
              <w:pStyle w:val="TAL"/>
              <w:rPr>
                <w:lang w:eastAsia="en-US"/>
              </w:rPr>
            </w:pPr>
            <w:r w:rsidRPr="004D0DAA">
              <w:rPr>
                <w:lang w:eastAsia="en-US"/>
              </w:rPr>
              <w:t>6</w:t>
            </w:r>
          </w:p>
        </w:tc>
        <w:tc>
          <w:tcPr>
            <w:tcW w:w="1701" w:type="dxa"/>
          </w:tcPr>
          <w:p w14:paraId="44C90E23" w14:textId="77777777" w:rsidR="00711444" w:rsidRPr="004D0DAA" w:rsidRDefault="00711444" w:rsidP="00AA2A4C">
            <w:pPr>
              <w:pStyle w:val="TAL"/>
              <w:rPr>
                <w:lang w:eastAsia="en-US"/>
              </w:rPr>
            </w:pPr>
            <w:r w:rsidRPr="004D0DAA">
              <w:rPr>
                <w:lang w:eastAsia="en-US"/>
              </w:rPr>
              <w:t>1110</w:t>
            </w:r>
          </w:p>
        </w:tc>
        <w:tc>
          <w:tcPr>
            <w:tcW w:w="1701" w:type="dxa"/>
          </w:tcPr>
          <w:p w14:paraId="70303658" w14:textId="77777777" w:rsidR="00711444" w:rsidRPr="004D0DAA" w:rsidRDefault="00711444" w:rsidP="00AA2A4C">
            <w:pPr>
              <w:pStyle w:val="TAL"/>
              <w:rPr>
                <w:lang w:eastAsia="en-US"/>
              </w:rPr>
            </w:pPr>
            <w:r w:rsidRPr="004D0DAA">
              <w:rPr>
                <w:lang w:eastAsia="en-US"/>
              </w:rPr>
              <w:t>6</w:t>
            </w:r>
          </w:p>
        </w:tc>
        <w:tc>
          <w:tcPr>
            <w:tcW w:w="1701" w:type="dxa"/>
          </w:tcPr>
          <w:p w14:paraId="04A1C1D0" w14:textId="77777777" w:rsidR="00711444" w:rsidRPr="004D0DAA" w:rsidRDefault="00711444" w:rsidP="00AA2A4C">
            <w:pPr>
              <w:pStyle w:val="TAL"/>
              <w:rPr>
                <w:lang w:eastAsia="en-US"/>
              </w:rPr>
            </w:pPr>
            <w:r w:rsidRPr="004D0DAA">
              <w:rPr>
                <w:lang w:eastAsia="en-US"/>
              </w:rPr>
              <w:t>0010</w:t>
            </w:r>
          </w:p>
        </w:tc>
      </w:tr>
      <w:tr w:rsidR="00711444" w:rsidRPr="004D0DAA" w14:paraId="006C96E0" w14:textId="77777777" w:rsidTr="00AA2A4C">
        <w:tblPrEx>
          <w:tblCellMar>
            <w:top w:w="0" w:type="dxa"/>
            <w:bottom w:w="0" w:type="dxa"/>
          </w:tblCellMar>
        </w:tblPrEx>
        <w:trPr>
          <w:jc w:val="center"/>
        </w:trPr>
        <w:tc>
          <w:tcPr>
            <w:tcW w:w="1701" w:type="dxa"/>
          </w:tcPr>
          <w:p w14:paraId="098D6935" w14:textId="77777777" w:rsidR="00711444" w:rsidRPr="004D0DAA" w:rsidRDefault="00711444" w:rsidP="00AA2A4C">
            <w:pPr>
              <w:pStyle w:val="TAL"/>
              <w:rPr>
                <w:lang w:eastAsia="en-US"/>
              </w:rPr>
            </w:pPr>
            <w:r w:rsidRPr="004D0DAA">
              <w:rPr>
                <w:lang w:eastAsia="en-US"/>
              </w:rPr>
              <w:t>7</w:t>
            </w:r>
          </w:p>
        </w:tc>
        <w:tc>
          <w:tcPr>
            <w:tcW w:w="1701" w:type="dxa"/>
          </w:tcPr>
          <w:p w14:paraId="1109C4CA" w14:textId="77777777" w:rsidR="00711444" w:rsidRPr="004D0DAA" w:rsidRDefault="00711444" w:rsidP="00AA2A4C">
            <w:pPr>
              <w:pStyle w:val="TAL"/>
              <w:rPr>
                <w:lang w:eastAsia="en-US"/>
              </w:rPr>
            </w:pPr>
            <w:r w:rsidRPr="004D0DAA">
              <w:rPr>
                <w:lang w:eastAsia="en-US"/>
              </w:rPr>
              <w:t>1111</w:t>
            </w:r>
          </w:p>
        </w:tc>
        <w:tc>
          <w:tcPr>
            <w:tcW w:w="1701" w:type="dxa"/>
          </w:tcPr>
          <w:p w14:paraId="3ECF2524" w14:textId="77777777" w:rsidR="00711444" w:rsidRPr="004D0DAA" w:rsidRDefault="00711444" w:rsidP="00AA2A4C">
            <w:pPr>
              <w:pStyle w:val="TAL"/>
              <w:rPr>
                <w:lang w:eastAsia="en-US"/>
              </w:rPr>
            </w:pPr>
            <w:r w:rsidRPr="004D0DAA">
              <w:rPr>
                <w:lang w:eastAsia="en-US"/>
              </w:rPr>
              <w:t>7</w:t>
            </w:r>
          </w:p>
        </w:tc>
        <w:tc>
          <w:tcPr>
            <w:tcW w:w="1701" w:type="dxa"/>
          </w:tcPr>
          <w:p w14:paraId="2BD0B2EA" w14:textId="77777777" w:rsidR="00711444" w:rsidRPr="004D0DAA" w:rsidRDefault="00711444" w:rsidP="00AA2A4C">
            <w:pPr>
              <w:pStyle w:val="TAL"/>
              <w:rPr>
                <w:lang w:eastAsia="en-US"/>
              </w:rPr>
            </w:pPr>
            <w:r w:rsidRPr="004D0DAA">
              <w:rPr>
                <w:lang w:eastAsia="en-US"/>
              </w:rPr>
              <w:t>00011</w:t>
            </w:r>
          </w:p>
        </w:tc>
      </w:tr>
      <w:tr w:rsidR="00711444" w:rsidRPr="004D0DAA" w14:paraId="4E8D75A5" w14:textId="77777777" w:rsidTr="00AA2A4C">
        <w:tblPrEx>
          <w:tblCellMar>
            <w:top w:w="0" w:type="dxa"/>
            <w:bottom w:w="0" w:type="dxa"/>
          </w:tblCellMar>
        </w:tblPrEx>
        <w:trPr>
          <w:jc w:val="center"/>
        </w:trPr>
        <w:tc>
          <w:tcPr>
            <w:tcW w:w="1701" w:type="dxa"/>
          </w:tcPr>
          <w:p w14:paraId="60E4B703" w14:textId="77777777" w:rsidR="00711444" w:rsidRPr="004D0DAA" w:rsidRDefault="00711444" w:rsidP="00AA2A4C">
            <w:pPr>
              <w:pStyle w:val="TAL"/>
              <w:rPr>
                <w:lang w:eastAsia="en-US"/>
              </w:rPr>
            </w:pPr>
            <w:r w:rsidRPr="004D0DAA">
              <w:rPr>
                <w:lang w:eastAsia="en-US"/>
              </w:rPr>
              <w:t>8</w:t>
            </w:r>
          </w:p>
        </w:tc>
        <w:tc>
          <w:tcPr>
            <w:tcW w:w="1701" w:type="dxa"/>
          </w:tcPr>
          <w:p w14:paraId="414DCB4D" w14:textId="77777777" w:rsidR="00711444" w:rsidRPr="004D0DAA" w:rsidRDefault="00711444" w:rsidP="00AA2A4C">
            <w:pPr>
              <w:pStyle w:val="TAL"/>
              <w:rPr>
                <w:lang w:eastAsia="en-US"/>
              </w:rPr>
            </w:pPr>
            <w:r w:rsidRPr="004D0DAA">
              <w:rPr>
                <w:lang w:eastAsia="en-US"/>
              </w:rPr>
              <w:t>10011</w:t>
            </w:r>
          </w:p>
        </w:tc>
        <w:tc>
          <w:tcPr>
            <w:tcW w:w="1701" w:type="dxa"/>
          </w:tcPr>
          <w:p w14:paraId="607D2CC7" w14:textId="77777777" w:rsidR="00711444" w:rsidRPr="004D0DAA" w:rsidRDefault="00711444" w:rsidP="00AA2A4C">
            <w:pPr>
              <w:pStyle w:val="TAL"/>
              <w:rPr>
                <w:lang w:eastAsia="en-US"/>
              </w:rPr>
            </w:pPr>
            <w:r w:rsidRPr="004D0DAA">
              <w:rPr>
                <w:lang w:eastAsia="en-US"/>
              </w:rPr>
              <w:t>8</w:t>
            </w:r>
          </w:p>
        </w:tc>
        <w:tc>
          <w:tcPr>
            <w:tcW w:w="1701" w:type="dxa"/>
          </w:tcPr>
          <w:p w14:paraId="3D2BA609" w14:textId="77777777" w:rsidR="00711444" w:rsidRPr="004D0DAA" w:rsidRDefault="00711444" w:rsidP="00AA2A4C">
            <w:pPr>
              <w:pStyle w:val="TAL"/>
              <w:rPr>
                <w:lang w:eastAsia="en-US"/>
              </w:rPr>
            </w:pPr>
            <w:r w:rsidRPr="004D0DAA">
              <w:rPr>
                <w:lang w:eastAsia="en-US"/>
              </w:rPr>
              <w:t>000101</w:t>
            </w:r>
          </w:p>
        </w:tc>
      </w:tr>
      <w:tr w:rsidR="00711444" w:rsidRPr="004D0DAA" w14:paraId="1919EF1D" w14:textId="77777777" w:rsidTr="00AA2A4C">
        <w:tblPrEx>
          <w:tblCellMar>
            <w:top w:w="0" w:type="dxa"/>
            <w:bottom w:w="0" w:type="dxa"/>
          </w:tblCellMar>
        </w:tblPrEx>
        <w:trPr>
          <w:jc w:val="center"/>
        </w:trPr>
        <w:tc>
          <w:tcPr>
            <w:tcW w:w="1701" w:type="dxa"/>
          </w:tcPr>
          <w:p w14:paraId="23E714A2" w14:textId="77777777" w:rsidR="00711444" w:rsidRPr="004D0DAA" w:rsidRDefault="00711444" w:rsidP="00AA2A4C">
            <w:pPr>
              <w:pStyle w:val="TAL"/>
              <w:rPr>
                <w:lang w:eastAsia="en-US"/>
              </w:rPr>
            </w:pPr>
            <w:r w:rsidRPr="004D0DAA">
              <w:rPr>
                <w:lang w:eastAsia="en-US"/>
              </w:rPr>
              <w:t>9</w:t>
            </w:r>
          </w:p>
        </w:tc>
        <w:tc>
          <w:tcPr>
            <w:tcW w:w="1701" w:type="dxa"/>
          </w:tcPr>
          <w:p w14:paraId="730F4E95" w14:textId="77777777" w:rsidR="00711444" w:rsidRPr="004D0DAA" w:rsidRDefault="00711444" w:rsidP="00AA2A4C">
            <w:pPr>
              <w:pStyle w:val="TAL"/>
              <w:rPr>
                <w:lang w:eastAsia="en-US"/>
              </w:rPr>
            </w:pPr>
            <w:r w:rsidRPr="004D0DAA">
              <w:rPr>
                <w:lang w:eastAsia="en-US"/>
              </w:rPr>
              <w:t>10100</w:t>
            </w:r>
          </w:p>
        </w:tc>
        <w:tc>
          <w:tcPr>
            <w:tcW w:w="1701" w:type="dxa"/>
          </w:tcPr>
          <w:p w14:paraId="2D46B220" w14:textId="77777777" w:rsidR="00711444" w:rsidRPr="004D0DAA" w:rsidRDefault="00711444" w:rsidP="00AA2A4C">
            <w:pPr>
              <w:pStyle w:val="TAL"/>
              <w:rPr>
                <w:lang w:eastAsia="en-US"/>
              </w:rPr>
            </w:pPr>
            <w:r w:rsidRPr="004D0DAA">
              <w:rPr>
                <w:lang w:eastAsia="en-US"/>
              </w:rPr>
              <w:t>9</w:t>
            </w:r>
          </w:p>
        </w:tc>
        <w:tc>
          <w:tcPr>
            <w:tcW w:w="1701" w:type="dxa"/>
          </w:tcPr>
          <w:p w14:paraId="0C2C432E" w14:textId="77777777" w:rsidR="00711444" w:rsidRPr="004D0DAA" w:rsidRDefault="00711444" w:rsidP="00AA2A4C">
            <w:pPr>
              <w:pStyle w:val="TAL"/>
              <w:rPr>
                <w:lang w:eastAsia="en-US"/>
              </w:rPr>
            </w:pPr>
            <w:r w:rsidRPr="004D0DAA">
              <w:rPr>
                <w:lang w:eastAsia="en-US"/>
              </w:rPr>
              <w:t>000100</w:t>
            </w:r>
          </w:p>
        </w:tc>
      </w:tr>
      <w:tr w:rsidR="00711444" w:rsidRPr="004D0DAA" w14:paraId="203F61B0" w14:textId="77777777" w:rsidTr="00AA2A4C">
        <w:tblPrEx>
          <w:tblCellMar>
            <w:top w:w="0" w:type="dxa"/>
            <w:bottom w:w="0" w:type="dxa"/>
          </w:tblCellMar>
        </w:tblPrEx>
        <w:trPr>
          <w:jc w:val="center"/>
        </w:trPr>
        <w:tc>
          <w:tcPr>
            <w:tcW w:w="1701" w:type="dxa"/>
          </w:tcPr>
          <w:p w14:paraId="12F6F63E" w14:textId="77777777" w:rsidR="00711444" w:rsidRPr="004D0DAA" w:rsidRDefault="00711444" w:rsidP="00AA2A4C">
            <w:pPr>
              <w:pStyle w:val="TAL"/>
              <w:rPr>
                <w:lang w:eastAsia="en-US"/>
              </w:rPr>
            </w:pPr>
            <w:r w:rsidRPr="004D0DAA">
              <w:rPr>
                <w:lang w:eastAsia="en-US"/>
              </w:rPr>
              <w:t>10</w:t>
            </w:r>
          </w:p>
        </w:tc>
        <w:tc>
          <w:tcPr>
            <w:tcW w:w="1701" w:type="dxa"/>
          </w:tcPr>
          <w:p w14:paraId="27515FAC" w14:textId="77777777" w:rsidR="00711444" w:rsidRPr="004D0DAA" w:rsidRDefault="00711444" w:rsidP="00AA2A4C">
            <w:pPr>
              <w:pStyle w:val="TAL"/>
              <w:rPr>
                <w:lang w:eastAsia="en-US"/>
              </w:rPr>
            </w:pPr>
            <w:r w:rsidRPr="004D0DAA">
              <w:rPr>
                <w:lang w:eastAsia="en-US"/>
              </w:rPr>
              <w:t>00111</w:t>
            </w:r>
          </w:p>
        </w:tc>
        <w:tc>
          <w:tcPr>
            <w:tcW w:w="1701" w:type="dxa"/>
          </w:tcPr>
          <w:p w14:paraId="77D01755" w14:textId="77777777" w:rsidR="00711444" w:rsidRPr="004D0DAA" w:rsidRDefault="00711444" w:rsidP="00AA2A4C">
            <w:pPr>
              <w:pStyle w:val="TAL"/>
              <w:rPr>
                <w:lang w:eastAsia="en-US"/>
              </w:rPr>
            </w:pPr>
            <w:r w:rsidRPr="004D0DAA">
              <w:rPr>
                <w:lang w:eastAsia="en-US"/>
              </w:rPr>
              <w:t>10</w:t>
            </w:r>
          </w:p>
        </w:tc>
        <w:tc>
          <w:tcPr>
            <w:tcW w:w="1701" w:type="dxa"/>
          </w:tcPr>
          <w:p w14:paraId="051C0D85" w14:textId="77777777" w:rsidR="00711444" w:rsidRPr="004D0DAA" w:rsidRDefault="00711444" w:rsidP="00AA2A4C">
            <w:pPr>
              <w:pStyle w:val="TAL"/>
              <w:rPr>
                <w:lang w:eastAsia="en-US"/>
              </w:rPr>
            </w:pPr>
            <w:r w:rsidRPr="004D0DAA">
              <w:rPr>
                <w:lang w:eastAsia="en-US"/>
              </w:rPr>
              <w:t>0000100</w:t>
            </w:r>
          </w:p>
        </w:tc>
      </w:tr>
      <w:tr w:rsidR="00711444" w:rsidRPr="004D0DAA" w14:paraId="046A2269" w14:textId="77777777" w:rsidTr="00AA2A4C">
        <w:tblPrEx>
          <w:tblCellMar>
            <w:top w:w="0" w:type="dxa"/>
            <w:bottom w:w="0" w:type="dxa"/>
          </w:tblCellMar>
        </w:tblPrEx>
        <w:trPr>
          <w:jc w:val="center"/>
        </w:trPr>
        <w:tc>
          <w:tcPr>
            <w:tcW w:w="1701" w:type="dxa"/>
          </w:tcPr>
          <w:p w14:paraId="3A936385" w14:textId="77777777" w:rsidR="00711444" w:rsidRPr="004D0DAA" w:rsidRDefault="00711444" w:rsidP="00AA2A4C">
            <w:pPr>
              <w:pStyle w:val="TAL"/>
              <w:rPr>
                <w:lang w:eastAsia="en-US"/>
              </w:rPr>
            </w:pPr>
            <w:r w:rsidRPr="004D0DAA">
              <w:rPr>
                <w:lang w:eastAsia="en-US"/>
              </w:rPr>
              <w:t>11</w:t>
            </w:r>
          </w:p>
        </w:tc>
        <w:tc>
          <w:tcPr>
            <w:tcW w:w="1701" w:type="dxa"/>
          </w:tcPr>
          <w:p w14:paraId="435DC334" w14:textId="77777777" w:rsidR="00711444" w:rsidRPr="004D0DAA" w:rsidRDefault="00711444" w:rsidP="00AA2A4C">
            <w:pPr>
              <w:pStyle w:val="TAL"/>
              <w:rPr>
                <w:lang w:eastAsia="en-US"/>
              </w:rPr>
            </w:pPr>
            <w:r w:rsidRPr="004D0DAA">
              <w:rPr>
                <w:lang w:eastAsia="en-US"/>
              </w:rPr>
              <w:t>01000</w:t>
            </w:r>
          </w:p>
        </w:tc>
        <w:tc>
          <w:tcPr>
            <w:tcW w:w="1701" w:type="dxa"/>
          </w:tcPr>
          <w:p w14:paraId="7F166C37" w14:textId="77777777" w:rsidR="00711444" w:rsidRPr="004D0DAA" w:rsidRDefault="00711444" w:rsidP="00AA2A4C">
            <w:pPr>
              <w:pStyle w:val="TAL"/>
              <w:rPr>
                <w:lang w:eastAsia="en-US"/>
              </w:rPr>
            </w:pPr>
            <w:r w:rsidRPr="004D0DAA">
              <w:rPr>
                <w:lang w:eastAsia="en-US"/>
              </w:rPr>
              <w:t>11</w:t>
            </w:r>
          </w:p>
        </w:tc>
        <w:tc>
          <w:tcPr>
            <w:tcW w:w="1701" w:type="dxa"/>
          </w:tcPr>
          <w:p w14:paraId="1A428161" w14:textId="77777777" w:rsidR="00711444" w:rsidRPr="004D0DAA" w:rsidRDefault="00711444" w:rsidP="00AA2A4C">
            <w:pPr>
              <w:pStyle w:val="TAL"/>
              <w:rPr>
                <w:lang w:eastAsia="en-US"/>
              </w:rPr>
            </w:pPr>
            <w:r w:rsidRPr="004D0DAA">
              <w:rPr>
                <w:lang w:eastAsia="en-US"/>
              </w:rPr>
              <w:t>0000101</w:t>
            </w:r>
          </w:p>
        </w:tc>
      </w:tr>
      <w:tr w:rsidR="00711444" w:rsidRPr="004D0DAA" w14:paraId="0C76E277" w14:textId="77777777" w:rsidTr="00AA2A4C">
        <w:tblPrEx>
          <w:tblCellMar>
            <w:top w:w="0" w:type="dxa"/>
            <w:bottom w:w="0" w:type="dxa"/>
          </w:tblCellMar>
        </w:tblPrEx>
        <w:trPr>
          <w:jc w:val="center"/>
        </w:trPr>
        <w:tc>
          <w:tcPr>
            <w:tcW w:w="1701" w:type="dxa"/>
          </w:tcPr>
          <w:p w14:paraId="76B6C426" w14:textId="77777777" w:rsidR="00711444" w:rsidRPr="004D0DAA" w:rsidRDefault="00711444" w:rsidP="00AA2A4C">
            <w:pPr>
              <w:pStyle w:val="TAL"/>
              <w:rPr>
                <w:lang w:eastAsia="en-US"/>
              </w:rPr>
            </w:pPr>
            <w:r w:rsidRPr="004D0DAA">
              <w:rPr>
                <w:lang w:eastAsia="en-US"/>
              </w:rPr>
              <w:t>12</w:t>
            </w:r>
          </w:p>
        </w:tc>
        <w:tc>
          <w:tcPr>
            <w:tcW w:w="1701" w:type="dxa"/>
          </w:tcPr>
          <w:p w14:paraId="5C8FD3DF" w14:textId="77777777" w:rsidR="00711444" w:rsidRPr="004D0DAA" w:rsidRDefault="00711444" w:rsidP="00AA2A4C">
            <w:pPr>
              <w:pStyle w:val="TAL"/>
              <w:rPr>
                <w:lang w:eastAsia="en-US"/>
              </w:rPr>
            </w:pPr>
            <w:r w:rsidRPr="004D0DAA">
              <w:rPr>
                <w:lang w:eastAsia="en-US"/>
              </w:rPr>
              <w:t>001000</w:t>
            </w:r>
          </w:p>
        </w:tc>
        <w:tc>
          <w:tcPr>
            <w:tcW w:w="1701" w:type="dxa"/>
          </w:tcPr>
          <w:p w14:paraId="14C00BC6" w14:textId="77777777" w:rsidR="00711444" w:rsidRPr="004D0DAA" w:rsidRDefault="00711444" w:rsidP="00AA2A4C">
            <w:pPr>
              <w:pStyle w:val="TAL"/>
              <w:rPr>
                <w:lang w:eastAsia="en-US"/>
              </w:rPr>
            </w:pPr>
            <w:r w:rsidRPr="004D0DAA">
              <w:rPr>
                <w:lang w:eastAsia="en-US"/>
              </w:rPr>
              <w:t>12</w:t>
            </w:r>
          </w:p>
        </w:tc>
        <w:tc>
          <w:tcPr>
            <w:tcW w:w="1701" w:type="dxa"/>
          </w:tcPr>
          <w:p w14:paraId="269064C7" w14:textId="77777777" w:rsidR="00711444" w:rsidRPr="004D0DAA" w:rsidRDefault="00711444" w:rsidP="00AA2A4C">
            <w:pPr>
              <w:pStyle w:val="TAL"/>
              <w:rPr>
                <w:lang w:eastAsia="en-US"/>
              </w:rPr>
            </w:pPr>
            <w:r w:rsidRPr="004D0DAA">
              <w:rPr>
                <w:lang w:eastAsia="en-US"/>
              </w:rPr>
              <w:t>0000111</w:t>
            </w:r>
          </w:p>
        </w:tc>
      </w:tr>
      <w:tr w:rsidR="00711444" w:rsidRPr="004D0DAA" w14:paraId="068C8D89" w14:textId="77777777" w:rsidTr="00AA2A4C">
        <w:tblPrEx>
          <w:tblCellMar>
            <w:top w:w="0" w:type="dxa"/>
            <w:bottom w:w="0" w:type="dxa"/>
          </w:tblCellMar>
        </w:tblPrEx>
        <w:trPr>
          <w:jc w:val="center"/>
        </w:trPr>
        <w:tc>
          <w:tcPr>
            <w:tcW w:w="1701" w:type="dxa"/>
          </w:tcPr>
          <w:p w14:paraId="47DA9D3C" w14:textId="77777777" w:rsidR="00711444" w:rsidRPr="004D0DAA" w:rsidRDefault="00711444" w:rsidP="00AA2A4C">
            <w:pPr>
              <w:pStyle w:val="TAL"/>
              <w:rPr>
                <w:lang w:eastAsia="en-US"/>
              </w:rPr>
            </w:pPr>
            <w:r w:rsidRPr="004D0DAA">
              <w:rPr>
                <w:lang w:eastAsia="en-US"/>
              </w:rPr>
              <w:t>13</w:t>
            </w:r>
          </w:p>
        </w:tc>
        <w:tc>
          <w:tcPr>
            <w:tcW w:w="1701" w:type="dxa"/>
          </w:tcPr>
          <w:p w14:paraId="28CEF4DE" w14:textId="77777777" w:rsidR="00711444" w:rsidRPr="004D0DAA" w:rsidRDefault="00711444" w:rsidP="00AA2A4C">
            <w:pPr>
              <w:pStyle w:val="TAL"/>
              <w:rPr>
                <w:lang w:eastAsia="en-US"/>
              </w:rPr>
            </w:pPr>
            <w:r w:rsidRPr="004D0DAA">
              <w:rPr>
                <w:lang w:eastAsia="en-US"/>
              </w:rPr>
              <w:t>000011</w:t>
            </w:r>
          </w:p>
        </w:tc>
        <w:tc>
          <w:tcPr>
            <w:tcW w:w="1701" w:type="dxa"/>
          </w:tcPr>
          <w:p w14:paraId="2694BBF8" w14:textId="77777777" w:rsidR="00711444" w:rsidRPr="004D0DAA" w:rsidRDefault="00711444" w:rsidP="00AA2A4C">
            <w:pPr>
              <w:pStyle w:val="TAL"/>
              <w:rPr>
                <w:lang w:eastAsia="en-US"/>
              </w:rPr>
            </w:pPr>
            <w:r w:rsidRPr="004D0DAA">
              <w:rPr>
                <w:lang w:eastAsia="en-US"/>
              </w:rPr>
              <w:t>13</w:t>
            </w:r>
          </w:p>
        </w:tc>
        <w:tc>
          <w:tcPr>
            <w:tcW w:w="1701" w:type="dxa"/>
          </w:tcPr>
          <w:p w14:paraId="32FBF256" w14:textId="77777777" w:rsidR="00711444" w:rsidRPr="004D0DAA" w:rsidRDefault="00711444" w:rsidP="00AA2A4C">
            <w:pPr>
              <w:pStyle w:val="TAL"/>
              <w:rPr>
                <w:lang w:eastAsia="en-US"/>
              </w:rPr>
            </w:pPr>
            <w:r w:rsidRPr="004D0DAA">
              <w:rPr>
                <w:lang w:eastAsia="en-US"/>
              </w:rPr>
              <w:t>00000100</w:t>
            </w:r>
          </w:p>
        </w:tc>
      </w:tr>
      <w:tr w:rsidR="00711444" w:rsidRPr="004D0DAA" w14:paraId="2D57D039" w14:textId="77777777" w:rsidTr="00AA2A4C">
        <w:tblPrEx>
          <w:tblCellMar>
            <w:top w:w="0" w:type="dxa"/>
            <w:bottom w:w="0" w:type="dxa"/>
          </w:tblCellMar>
        </w:tblPrEx>
        <w:trPr>
          <w:jc w:val="center"/>
        </w:trPr>
        <w:tc>
          <w:tcPr>
            <w:tcW w:w="1701" w:type="dxa"/>
          </w:tcPr>
          <w:p w14:paraId="591E6E66" w14:textId="77777777" w:rsidR="00711444" w:rsidRPr="004D0DAA" w:rsidRDefault="00711444" w:rsidP="00AA2A4C">
            <w:pPr>
              <w:pStyle w:val="TAL"/>
              <w:rPr>
                <w:lang w:eastAsia="en-US"/>
              </w:rPr>
            </w:pPr>
            <w:r w:rsidRPr="004D0DAA">
              <w:rPr>
                <w:lang w:eastAsia="en-US"/>
              </w:rPr>
              <w:t>14</w:t>
            </w:r>
          </w:p>
        </w:tc>
        <w:tc>
          <w:tcPr>
            <w:tcW w:w="1701" w:type="dxa"/>
          </w:tcPr>
          <w:p w14:paraId="7F7E30A4" w14:textId="77777777" w:rsidR="00711444" w:rsidRPr="004D0DAA" w:rsidRDefault="00711444" w:rsidP="00AA2A4C">
            <w:pPr>
              <w:pStyle w:val="TAL"/>
              <w:rPr>
                <w:lang w:eastAsia="en-US"/>
              </w:rPr>
            </w:pPr>
            <w:r w:rsidRPr="004D0DAA">
              <w:rPr>
                <w:lang w:eastAsia="en-US"/>
              </w:rPr>
              <w:t>110100</w:t>
            </w:r>
          </w:p>
        </w:tc>
        <w:tc>
          <w:tcPr>
            <w:tcW w:w="1701" w:type="dxa"/>
          </w:tcPr>
          <w:p w14:paraId="271D11DE" w14:textId="77777777" w:rsidR="00711444" w:rsidRPr="004D0DAA" w:rsidRDefault="00711444" w:rsidP="00AA2A4C">
            <w:pPr>
              <w:pStyle w:val="TAL"/>
              <w:rPr>
                <w:lang w:eastAsia="en-US"/>
              </w:rPr>
            </w:pPr>
            <w:r w:rsidRPr="004D0DAA">
              <w:rPr>
                <w:lang w:eastAsia="en-US"/>
              </w:rPr>
              <w:t>14</w:t>
            </w:r>
          </w:p>
        </w:tc>
        <w:tc>
          <w:tcPr>
            <w:tcW w:w="1701" w:type="dxa"/>
          </w:tcPr>
          <w:p w14:paraId="21434918" w14:textId="77777777" w:rsidR="00711444" w:rsidRPr="004D0DAA" w:rsidRDefault="00711444" w:rsidP="00AA2A4C">
            <w:pPr>
              <w:pStyle w:val="TAL"/>
              <w:rPr>
                <w:lang w:eastAsia="en-US"/>
              </w:rPr>
            </w:pPr>
            <w:r w:rsidRPr="004D0DAA">
              <w:rPr>
                <w:lang w:eastAsia="en-US"/>
              </w:rPr>
              <w:t>00000111</w:t>
            </w:r>
          </w:p>
        </w:tc>
      </w:tr>
      <w:tr w:rsidR="00711444" w:rsidRPr="004D0DAA" w14:paraId="0A13F2AA" w14:textId="77777777" w:rsidTr="00AA2A4C">
        <w:tblPrEx>
          <w:tblCellMar>
            <w:top w:w="0" w:type="dxa"/>
            <w:bottom w:w="0" w:type="dxa"/>
          </w:tblCellMar>
        </w:tblPrEx>
        <w:trPr>
          <w:jc w:val="center"/>
        </w:trPr>
        <w:tc>
          <w:tcPr>
            <w:tcW w:w="1701" w:type="dxa"/>
          </w:tcPr>
          <w:p w14:paraId="1CDBDE85" w14:textId="77777777" w:rsidR="00711444" w:rsidRPr="004D0DAA" w:rsidRDefault="00711444" w:rsidP="00AA2A4C">
            <w:pPr>
              <w:pStyle w:val="TAL"/>
              <w:rPr>
                <w:lang w:eastAsia="en-US"/>
              </w:rPr>
            </w:pPr>
            <w:r w:rsidRPr="004D0DAA">
              <w:rPr>
                <w:lang w:eastAsia="en-US"/>
              </w:rPr>
              <w:t>15</w:t>
            </w:r>
          </w:p>
        </w:tc>
        <w:tc>
          <w:tcPr>
            <w:tcW w:w="1701" w:type="dxa"/>
          </w:tcPr>
          <w:p w14:paraId="39F4568E" w14:textId="77777777" w:rsidR="00711444" w:rsidRPr="004D0DAA" w:rsidRDefault="00711444" w:rsidP="00AA2A4C">
            <w:pPr>
              <w:pStyle w:val="TAL"/>
              <w:rPr>
                <w:lang w:eastAsia="en-US"/>
              </w:rPr>
            </w:pPr>
            <w:r w:rsidRPr="004D0DAA">
              <w:rPr>
                <w:lang w:eastAsia="en-US"/>
              </w:rPr>
              <w:t>110101</w:t>
            </w:r>
          </w:p>
        </w:tc>
        <w:tc>
          <w:tcPr>
            <w:tcW w:w="1701" w:type="dxa"/>
          </w:tcPr>
          <w:p w14:paraId="6DA94EF0" w14:textId="77777777" w:rsidR="00711444" w:rsidRPr="004D0DAA" w:rsidRDefault="00711444" w:rsidP="00AA2A4C">
            <w:pPr>
              <w:pStyle w:val="TAL"/>
              <w:rPr>
                <w:lang w:eastAsia="en-US"/>
              </w:rPr>
            </w:pPr>
            <w:r w:rsidRPr="004D0DAA">
              <w:rPr>
                <w:lang w:eastAsia="en-US"/>
              </w:rPr>
              <w:t>15</w:t>
            </w:r>
          </w:p>
        </w:tc>
        <w:tc>
          <w:tcPr>
            <w:tcW w:w="1701" w:type="dxa"/>
          </w:tcPr>
          <w:p w14:paraId="134646B9" w14:textId="77777777" w:rsidR="00711444" w:rsidRPr="004D0DAA" w:rsidRDefault="00711444" w:rsidP="00AA2A4C">
            <w:pPr>
              <w:pStyle w:val="TAL"/>
              <w:rPr>
                <w:lang w:eastAsia="en-US"/>
              </w:rPr>
            </w:pPr>
            <w:r w:rsidRPr="004D0DAA">
              <w:rPr>
                <w:lang w:eastAsia="en-US"/>
              </w:rPr>
              <w:t>000011000</w:t>
            </w:r>
          </w:p>
        </w:tc>
      </w:tr>
      <w:tr w:rsidR="00711444" w:rsidRPr="004D0DAA" w14:paraId="581B8F14" w14:textId="77777777" w:rsidTr="00AA2A4C">
        <w:tblPrEx>
          <w:tblCellMar>
            <w:top w:w="0" w:type="dxa"/>
            <w:bottom w:w="0" w:type="dxa"/>
          </w:tblCellMar>
        </w:tblPrEx>
        <w:trPr>
          <w:jc w:val="center"/>
        </w:trPr>
        <w:tc>
          <w:tcPr>
            <w:tcW w:w="1701" w:type="dxa"/>
          </w:tcPr>
          <w:p w14:paraId="3A5113DD" w14:textId="77777777" w:rsidR="00711444" w:rsidRPr="004D0DAA" w:rsidRDefault="00711444" w:rsidP="00AA2A4C">
            <w:pPr>
              <w:pStyle w:val="TAL"/>
              <w:rPr>
                <w:lang w:eastAsia="en-US"/>
              </w:rPr>
            </w:pPr>
            <w:r w:rsidRPr="004D0DAA">
              <w:rPr>
                <w:lang w:eastAsia="en-US"/>
              </w:rPr>
              <w:t>16</w:t>
            </w:r>
          </w:p>
        </w:tc>
        <w:tc>
          <w:tcPr>
            <w:tcW w:w="1701" w:type="dxa"/>
          </w:tcPr>
          <w:p w14:paraId="5373D04A" w14:textId="77777777" w:rsidR="00711444" w:rsidRPr="004D0DAA" w:rsidRDefault="00711444" w:rsidP="00AA2A4C">
            <w:pPr>
              <w:pStyle w:val="TAL"/>
              <w:rPr>
                <w:lang w:eastAsia="en-US"/>
              </w:rPr>
            </w:pPr>
            <w:r w:rsidRPr="004D0DAA">
              <w:rPr>
                <w:lang w:eastAsia="en-US"/>
              </w:rPr>
              <w:t>101010</w:t>
            </w:r>
          </w:p>
        </w:tc>
        <w:tc>
          <w:tcPr>
            <w:tcW w:w="1701" w:type="dxa"/>
          </w:tcPr>
          <w:p w14:paraId="1D0A79E8" w14:textId="77777777" w:rsidR="00711444" w:rsidRPr="004D0DAA" w:rsidRDefault="00711444" w:rsidP="00AA2A4C">
            <w:pPr>
              <w:pStyle w:val="TAL"/>
              <w:rPr>
                <w:lang w:eastAsia="en-US"/>
              </w:rPr>
            </w:pPr>
            <w:r w:rsidRPr="004D0DAA">
              <w:rPr>
                <w:lang w:eastAsia="en-US"/>
              </w:rPr>
              <w:t>16</w:t>
            </w:r>
          </w:p>
        </w:tc>
        <w:tc>
          <w:tcPr>
            <w:tcW w:w="1701" w:type="dxa"/>
          </w:tcPr>
          <w:p w14:paraId="35F376A6" w14:textId="77777777" w:rsidR="00711444" w:rsidRPr="004D0DAA" w:rsidRDefault="00711444" w:rsidP="00AA2A4C">
            <w:pPr>
              <w:pStyle w:val="TAL"/>
              <w:rPr>
                <w:lang w:eastAsia="en-US"/>
              </w:rPr>
            </w:pPr>
            <w:r w:rsidRPr="004D0DAA">
              <w:rPr>
                <w:lang w:eastAsia="en-US"/>
              </w:rPr>
              <w:t>0000010111</w:t>
            </w:r>
          </w:p>
        </w:tc>
      </w:tr>
      <w:tr w:rsidR="00711444" w:rsidRPr="004D0DAA" w14:paraId="487369F7" w14:textId="77777777" w:rsidTr="00AA2A4C">
        <w:tblPrEx>
          <w:tblCellMar>
            <w:top w:w="0" w:type="dxa"/>
            <w:bottom w:w="0" w:type="dxa"/>
          </w:tblCellMar>
        </w:tblPrEx>
        <w:trPr>
          <w:jc w:val="center"/>
        </w:trPr>
        <w:tc>
          <w:tcPr>
            <w:tcW w:w="1701" w:type="dxa"/>
          </w:tcPr>
          <w:p w14:paraId="344CC4C3" w14:textId="77777777" w:rsidR="00711444" w:rsidRPr="004D0DAA" w:rsidRDefault="00711444" w:rsidP="00AA2A4C">
            <w:pPr>
              <w:pStyle w:val="TAL"/>
              <w:rPr>
                <w:lang w:eastAsia="en-US"/>
              </w:rPr>
            </w:pPr>
            <w:r w:rsidRPr="004D0DAA">
              <w:rPr>
                <w:lang w:eastAsia="en-US"/>
              </w:rPr>
              <w:t>17</w:t>
            </w:r>
          </w:p>
        </w:tc>
        <w:tc>
          <w:tcPr>
            <w:tcW w:w="1701" w:type="dxa"/>
          </w:tcPr>
          <w:p w14:paraId="00254629" w14:textId="77777777" w:rsidR="00711444" w:rsidRPr="004D0DAA" w:rsidRDefault="00711444" w:rsidP="00AA2A4C">
            <w:pPr>
              <w:pStyle w:val="TAL"/>
              <w:rPr>
                <w:lang w:eastAsia="en-US"/>
              </w:rPr>
            </w:pPr>
            <w:r w:rsidRPr="004D0DAA">
              <w:rPr>
                <w:lang w:eastAsia="en-US"/>
              </w:rPr>
              <w:t>101011</w:t>
            </w:r>
          </w:p>
        </w:tc>
        <w:tc>
          <w:tcPr>
            <w:tcW w:w="1701" w:type="dxa"/>
          </w:tcPr>
          <w:p w14:paraId="310133CA" w14:textId="77777777" w:rsidR="00711444" w:rsidRPr="004D0DAA" w:rsidRDefault="00711444" w:rsidP="00AA2A4C">
            <w:pPr>
              <w:pStyle w:val="TAL"/>
              <w:rPr>
                <w:lang w:eastAsia="en-US"/>
              </w:rPr>
            </w:pPr>
            <w:r w:rsidRPr="004D0DAA">
              <w:rPr>
                <w:lang w:eastAsia="en-US"/>
              </w:rPr>
              <w:t>17</w:t>
            </w:r>
          </w:p>
        </w:tc>
        <w:tc>
          <w:tcPr>
            <w:tcW w:w="1701" w:type="dxa"/>
          </w:tcPr>
          <w:p w14:paraId="162C9C43" w14:textId="77777777" w:rsidR="00711444" w:rsidRPr="004D0DAA" w:rsidRDefault="00711444" w:rsidP="00AA2A4C">
            <w:pPr>
              <w:pStyle w:val="TAL"/>
              <w:rPr>
                <w:lang w:eastAsia="en-US"/>
              </w:rPr>
            </w:pPr>
            <w:r w:rsidRPr="004D0DAA">
              <w:rPr>
                <w:lang w:eastAsia="en-US"/>
              </w:rPr>
              <w:t>0000011000</w:t>
            </w:r>
          </w:p>
        </w:tc>
      </w:tr>
      <w:tr w:rsidR="00711444" w:rsidRPr="004D0DAA" w14:paraId="3FC4ED62" w14:textId="77777777" w:rsidTr="00AA2A4C">
        <w:tblPrEx>
          <w:tblCellMar>
            <w:top w:w="0" w:type="dxa"/>
            <w:bottom w:w="0" w:type="dxa"/>
          </w:tblCellMar>
        </w:tblPrEx>
        <w:trPr>
          <w:jc w:val="center"/>
        </w:trPr>
        <w:tc>
          <w:tcPr>
            <w:tcW w:w="1701" w:type="dxa"/>
          </w:tcPr>
          <w:p w14:paraId="0EB50858" w14:textId="77777777" w:rsidR="00711444" w:rsidRPr="004D0DAA" w:rsidRDefault="00711444" w:rsidP="00AA2A4C">
            <w:pPr>
              <w:pStyle w:val="TAL"/>
              <w:rPr>
                <w:lang w:eastAsia="en-US"/>
              </w:rPr>
            </w:pPr>
            <w:r w:rsidRPr="004D0DAA">
              <w:rPr>
                <w:lang w:eastAsia="en-US"/>
              </w:rPr>
              <w:t>18</w:t>
            </w:r>
          </w:p>
        </w:tc>
        <w:tc>
          <w:tcPr>
            <w:tcW w:w="1701" w:type="dxa"/>
          </w:tcPr>
          <w:p w14:paraId="520DC2C1" w14:textId="77777777" w:rsidR="00711444" w:rsidRPr="004D0DAA" w:rsidRDefault="00711444" w:rsidP="00AA2A4C">
            <w:pPr>
              <w:pStyle w:val="TAL"/>
              <w:rPr>
                <w:lang w:eastAsia="en-US"/>
              </w:rPr>
            </w:pPr>
            <w:r w:rsidRPr="004D0DAA">
              <w:rPr>
                <w:lang w:eastAsia="en-US"/>
              </w:rPr>
              <w:t>0100111</w:t>
            </w:r>
          </w:p>
        </w:tc>
        <w:tc>
          <w:tcPr>
            <w:tcW w:w="1701" w:type="dxa"/>
          </w:tcPr>
          <w:p w14:paraId="74F53516" w14:textId="77777777" w:rsidR="00711444" w:rsidRPr="004D0DAA" w:rsidRDefault="00711444" w:rsidP="00AA2A4C">
            <w:pPr>
              <w:pStyle w:val="TAL"/>
              <w:rPr>
                <w:lang w:eastAsia="en-US"/>
              </w:rPr>
            </w:pPr>
            <w:r w:rsidRPr="004D0DAA">
              <w:rPr>
                <w:lang w:eastAsia="en-US"/>
              </w:rPr>
              <w:t>18</w:t>
            </w:r>
          </w:p>
        </w:tc>
        <w:tc>
          <w:tcPr>
            <w:tcW w:w="1701" w:type="dxa"/>
          </w:tcPr>
          <w:p w14:paraId="7E027810" w14:textId="77777777" w:rsidR="00711444" w:rsidRPr="004D0DAA" w:rsidRDefault="00711444" w:rsidP="00AA2A4C">
            <w:pPr>
              <w:pStyle w:val="TAL"/>
              <w:rPr>
                <w:lang w:eastAsia="en-US"/>
              </w:rPr>
            </w:pPr>
            <w:r w:rsidRPr="004D0DAA">
              <w:rPr>
                <w:lang w:eastAsia="en-US"/>
              </w:rPr>
              <w:t>0000001000</w:t>
            </w:r>
          </w:p>
        </w:tc>
      </w:tr>
      <w:tr w:rsidR="00711444" w:rsidRPr="004D0DAA" w14:paraId="7BA8AD0F" w14:textId="77777777" w:rsidTr="00AA2A4C">
        <w:tblPrEx>
          <w:tblCellMar>
            <w:top w:w="0" w:type="dxa"/>
            <w:bottom w:w="0" w:type="dxa"/>
          </w:tblCellMar>
        </w:tblPrEx>
        <w:trPr>
          <w:jc w:val="center"/>
        </w:trPr>
        <w:tc>
          <w:tcPr>
            <w:tcW w:w="1701" w:type="dxa"/>
          </w:tcPr>
          <w:p w14:paraId="00D38DEA" w14:textId="77777777" w:rsidR="00711444" w:rsidRPr="004D0DAA" w:rsidRDefault="00711444" w:rsidP="00AA2A4C">
            <w:pPr>
              <w:pStyle w:val="TAL"/>
              <w:rPr>
                <w:lang w:eastAsia="en-US"/>
              </w:rPr>
            </w:pPr>
            <w:r w:rsidRPr="004D0DAA">
              <w:rPr>
                <w:lang w:eastAsia="en-US"/>
              </w:rPr>
              <w:t>19</w:t>
            </w:r>
          </w:p>
        </w:tc>
        <w:tc>
          <w:tcPr>
            <w:tcW w:w="1701" w:type="dxa"/>
          </w:tcPr>
          <w:p w14:paraId="4EF7FE28" w14:textId="77777777" w:rsidR="00711444" w:rsidRPr="004D0DAA" w:rsidRDefault="00711444" w:rsidP="00AA2A4C">
            <w:pPr>
              <w:pStyle w:val="TAL"/>
              <w:rPr>
                <w:lang w:eastAsia="en-US"/>
              </w:rPr>
            </w:pPr>
            <w:r w:rsidRPr="004D0DAA">
              <w:rPr>
                <w:lang w:eastAsia="en-US"/>
              </w:rPr>
              <w:t>0001100</w:t>
            </w:r>
          </w:p>
        </w:tc>
        <w:tc>
          <w:tcPr>
            <w:tcW w:w="1701" w:type="dxa"/>
          </w:tcPr>
          <w:p w14:paraId="1ADE2E8F" w14:textId="77777777" w:rsidR="00711444" w:rsidRPr="004D0DAA" w:rsidRDefault="00711444" w:rsidP="00AA2A4C">
            <w:pPr>
              <w:pStyle w:val="TAL"/>
              <w:rPr>
                <w:lang w:eastAsia="en-US"/>
              </w:rPr>
            </w:pPr>
            <w:r w:rsidRPr="004D0DAA">
              <w:rPr>
                <w:lang w:eastAsia="en-US"/>
              </w:rPr>
              <w:t>19</w:t>
            </w:r>
          </w:p>
        </w:tc>
        <w:tc>
          <w:tcPr>
            <w:tcW w:w="1701" w:type="dxa"/>
          </w:tcPr>
          <w:p w14:paraId="58ACE3B6" w14:textId="77777777" w:rsidR="00711444" w:rsidRPr="004D0DAA" w:rsidRDefault="00711444" w:rsidP="00AA2A4C">
            <w:pPr>
              <w:pStyle w:val="TAL"/>
              <w:rPr>
                <w:lang w:eastAsia="en-US"/>
              </w:rPr>
            </w:pPr>
            <w:r w:rsidRPr="004D0DAA">
              <w:rPr>
                <w:lang w:eastAsia="en-US"/>
              </w:rPr>
              <w:t>00001100111</w:t>
            </w:r>
          </w:p>
        </w:tc>
      </w:tr>
      <w:tr w:rsidR="00711444" w:rsidRPr="004D0DAA" w14:paraId="67F50B6C" w14:textId="77777777" w:rsidTr="00AA2A4C">
        <w:tblPrEx>
          <w:tblCellMar>
            <w:top w:w="0" w:type="dxa"/>
            <w:bottom w:w="0" w:type="dxa"/>
          </w:tblCellMar>
        </w:tblPrEx>
        <w:trPr>
          <w:jc w:val="center"/>
        </w:trPr>
        <w:tc>
          <w:tcPr>
            <w:tcW w:w="1701" w:type="dxa"/>
          </w:tcPr>
          <w:p w14:paraId="11040087" w14:textId="77777777" w:rsidR="00711444" w:rsidRPr="004D0DAA" w:rsidRDefault="00711444" w:rsidP="00AA2A4C">
            <w:pPr>
              <w:pStyle w:val="TAL"/>
              <w:rPr>
                <w:lang w:eastAsia="en-US"/>
              </w:rPr>
            </w:pPr>
            <w:r w:rsidRPr="004D0DAA">
              <w:rPr>
                <w:lang w:eastAsia="en-US"/>
              </w:rPr>
              <w:t>20</w:t>
            </w:r>
          </w:p>
        </w:tc>
        <w:tc>
          <w:tcPr>
            <w:tcW w:w="1701" w:type="dxa"/>
          </w:tcPr>
          <w:p w14:paraId="6194FA0E" w14:textId="77777777" w:rsidR="00711444" w:rsidRPr="004D0DAA" w:rsidRDefault="00711444" w:rsidP="00AA2A4C">
            <w:pPr>
              <w:pStyle w:val="TAL"/>
              <w:rPr>
                <w:lang w:eastAsia="en-US"/>
              </w:rPr>
            </w:pPr>
            <w:r w:rsidRPr="004D0DAA">
              <w:rPr>
                <w:lang w:eastAsia="en-US"/>
              </w:rPr>
              <w:t>0001000</w:t>
            </w:r>
          </w:p>
        </w:tc>
        <w:tc>
          <w:tcPr>
            <w:tcW w:w="1701" w:type="dxa"/>
          </w:tcPr>
          <w:p w14:paraId="2B49E213" w14:textId="77777777" w:rsidR="00711444" w:rsidRPr="004D0DAA" w:rsidRDefault="00711444" w:rsidP="00AA2A4C">
            <w:pPr>
              <w:pStyle w:val="TAL"/>
              <w:rPr>
                <w:lang w:eastAsia="en-US"/>
              </w:rPr>
            </w:pPr>
            <w:r w:rsidRPr="004D0DAA">
              <w:rPr>
                <w:lang w:eastAsia="en-US"/>
              </w:rPr>
              <w:t>20</w:t>
            </w:r>
          </w:p>
        </w:tc>
        <w:tc>
          <w:tcPr>
            <w:tcW w:w="1701" w:type="dxa"/>
          </w:tcPr>
          <w:p w14:paraId="4C72B776" w14:textId="77777777" w:rsidR="00711444" w:rsidRPr="004D0DAA" w:rsidRDefault="00711444" w:rsidP="00AA2A4C">
            <w:pPr>
              <w:pStyle w:val="TAL"/>
              <w:rPr>
                <w:lang w:eastAsia="en-US"/>
              </w:rPr>
            </w:pPr>
            <w:r w:rsidRPr="004D0DAA">
              <w:rPr>
                <w:lang w:eastAsia="en-US"/>
              </w:rPr>
              <w:t>00001101000</w:t>
            </w:r>
          </w:p>
        </w:tc>
      </w:tr>
      <w:tr w:rsidR="00711444" w:rsidRPr="004D0DAA" w14:paraId="25143AF0" w14:textId="77777777" w:rsidTr="00AA2A4C">
        <w:tblPrEx>
          <w:tblCellMar>
            <w:top w:w="0" w:type="dxa"/>
            <w:bottom w:w="0" w:type="dxa"/>
          </w:tblCellMar>
        </w:tblPrEx>
        <w:trPr>
          <w:jc w:val="center"/>
        </w:trPr>
        <w:tc>
          <w:tcPr>
            <w:tcW w:w="1701" w:type="dxa"/>
          </w:tcPr>
          <w:p w14:paraId="3EC41B1B" w14:textId="77777777" w:rsidR="00711444" w:rsidRPr="004D0DAA" w:rsidRDefault="00711444" w:rsidP="00AA2A4C">
            <w:pPr>
              <w:pStyle w:val="TAL"/>
              <w:rPr>
                <w:lang w:eastAsia="en-US"/>
              </w:rPr>
            </w:pPr>
            <w:r w:rsidRPr="004D0DAA">
              <w:rPr>
                <w:lang w:eastAsia="en-US"/>
              </w:rPr>
              <w:t>21</w:t>
            </w:r>
          </w:p>
        </w:tc>
        <w:tc>
          <w:tcPr>
            <w:tcW w:w="1701" w:type="dxa"/>
          </w:tcPr>
          <w:p w14:paraId="0450B1BB" w14:textId="77777777" w:rsidR="00711444" w:rsidRPr="004D0DAA" w:rsidRDefault="00711444" w:rsidP="00AA2A4C">
            <w:pPr>
              <w:pStyle w:val="TAL"/>
              <w:rPr>
                <w:lang w:eastAsia="en-US"/>
              </w:rPr>
            </w:pPr>
            <w:r w:rsidRPr="004D0DAA">
              <w:rPr>
                <w:lang w:eastAsia="en-US"/>
              </w:rPr>
              <w:t>0010111</w:t>
            </w:r>
          </w:p>
        </w:tc>
        <w:tc>
          <w:tcPr>
            <w:tcW w:w="1701" w:type="dxa"/>
          </w:tcPr>
          <w:p w14:paraId="26BEFB06" w14:textId="77777777" w:rsidR="00711444" w:rsidRPr="004D0DAA" w:rsidRDefault="00711444" w:rsidP="00AA2A4C">
            <w:pPr>
              <w:pStyle w:val="TAL"/>
              <w:rPr>
                <w:lang w:eastAsia="en-US"/>
              </w:rPr>
            </w:pPr>
            <w:r w:rsidRPr="004D0DAA">
              <w:rPr>
                <w:lang w:eastAsia="en-US"/>
              </w:rPr>
              <w:t>21</w:t>
            </w:r>
          </w:p>
        </w:tc>
        <w:tc>
          <w:tcPr>
            <w:tcW w:w="1701" w:type="dxa"/>
          </w:tcPr>
          <w:p w14:paraId="07B0CF7A" w14:textId="77777777" w:rsidR="00711444" w:rsidRPr="004D0DAA" w:rsidRDefault="00711444" w:rsidP="00AA2A4C">
            <w:pPr>
              <w:pStyle w:val="TAL"/>
              <w:rPr>
                <w:lang w:eastAsia="en-US"/>
              </w:rPr>
            </w:pPr>
            <w:r w:rsidRPr="004D0DAA">
              <w:rPr>
                <w:lang w:eastAsia="en-US"/>
              </w:rPr>
              <w:t>00001101100</w:t>
            </w:r>
          </w:p>
        </w:tc>
      </w:tr>
      <w:tr w:rsidR="00711444" w:rsidRPr="004D0DAA" w14:paraId="6EC76EB4" w14:textId="77777777" w:rsidTr="00AA2A4C">
        <w:tblPrEx>
          <w:tblCellMar>
            <w:top w:w="0" w:type="dxa"/>
            <w:bottom w:w="0" w:type="dxa"/>
          </w:tblCellMar>
        </w:tblPrEx>
        <w:trPr>
          <w:jc w:val="center"/>
        </w:trPr>
        <w:tc>
          <w:tcPr>
            <w:tcW w:w="1701" w:type="dxa"/>
          </w:tcPr>
          <w:p w14:paraId="1425C4D5" w14:textId="77777777" w:rsidR="00711444" w:rsidRPr="004D0DAA" w:rsidRDefault="00711444" w:rsidP="00AA2A4C">
            <w:pPr>
              <w:pStyle w:val="TAL"/>
              <w:rPr>
                <w:lang w:eastAsia="en-US"/>
              </w:rPr>
            </w:pPr>
            <w:r w:rsidRPr="004D0DAA">
              <w:rPr>
                <w:lang w:eastAsia="en-US"/>
              </w:rPr>
              <w:t>22</w:t>
            </w:r>
          </w:p>
        </w:tc>
        <w:tc>
          <w:tcPr>
            <w:tcW w:w="1701" w:type="dxa"/>
          </w:tcPr>
          <w:p w14:paraId="07FCE956" w14:textId="77777777" w:rsidR="00711444" w:rsidRPr="004D0DAA" w:rsidRDefault="00711444" w:rsidP="00AA2A4C">
            <w:pPr>
              <w:pStyle w:val="TAL"/>
              <w:rPr>
                <w:lang w:eastAsia="en-US"/>
              </w:rPr>
            </w:pPr>
            <w:r w:rsidRPr="004D0DAA">
              <w:rPr>
                <w:lang w:eastAsia="en-US"/>
              </w:rPr>
              <w:t>0000011</w:t>
            </w:r>
          </w:p>
        </w:tc>
        <w:tc>
          <w:tcPr>
            <w:tcW w:w="1701" w:type="dxa"/>
          </w:tcPr>
          <w:p w14:paraId="0C904670" w14:textId="77777777" w:rsidR="00711444" w:rsidRPr="004D0DAA" w:rsidRDefault="00711444" w:rsidP="00AA2A4C">
            <w:pPr>
              <w:pStyle w:val="TAL"/>
              <w:rPr>
                <w:lang w:eastAsia="en-US"/>
              </w:rPr>
            </w:pPr>
            <w:r w:rsidRPr="004D0DAA">
              <w:rPr>
                <w:lang w:eastAsia="en-US"/>
              </w:rPr>
              <w:t>22</w:t>
            </w:r>
          </w:p>
        </w:tc>
        <w:tc>
          <w:tcPr>
            <w:tcW w:w="1701" w:type="dxa"/>
          </w:tcPr>
          <w:p w14:paraId="15EAE106" w14:textId="77777777" w:rsidR="00711444" w:rsidRPr="004D0DAA" w:rsidRDefault="00711444" w:rsidP="00AA2A4C">
            <w:pPr>
              <w:pStyle w:val="TAL"/>
              <w:rPr>
                <w:lang w:eastAsia="en-US"/>
              </w:rPr>
            </w:pPr>
            <w:r w:rsidRPr="004D0DAA">
              <w:rPr>
                <w:lang w:eastAsia="en-US"/>
              </w:rPr>
              <w:t>00000110111</w:t>
            </w:r>
          </w:p>
        </w:tc>
      </w:tr>
      <w:tr w:rsidR="00711444" w:rsidRPr="004D0DAA" w14:paraId="17872D99" w14:textId="77777777" w:rsidTr="00AA2A4C">
        <w:tblPrEx>
          <w:tblCellMar>
            <w:top w:w="0" w:type="dxa"/>
            <w:bottom w:w="0" w:type="dxa"/>
          </w:tblCellMar>
        </w:tblPrEx>
        <w:trPr>
          <w:jc w:val="center"/>
        </w:trPr>
        <w:tc>
          <w:tcPr>
            <w:tcW w:w="1701" w:type="dxa"/>
          </w:tcPr>
          <w:p w14:paraId="73EEF330" w14:textId="77777777" w:rsidR="00711444" w:rsidRPr="004D0DAA" w:rsidRDefault="00711444" w:rsidP="00AA2A4C">
            <w:pPr>
              <w:pStyle w:val="TAL"/>
              <w:rPr>
                <w:lang w:eastAsia="en-US"/>
              </w:rPr>
            </w:pPr>
            <w:r w:rsidRPr="004D0DAA">
              <w:rPr>
                <w:lang w:eastAsia="en-US"/>
              </w:rPr>
              <w:t>23</w:t>
            </w:r>
          </w:p>
        </w:tc>
        <w:tc>
          <w:tcPr>
            <w:tcW w:w="1701" w:type="dxa"/>
          </w:tcPr>
          <w:p w14:paraId="30F465C2" w14:textId="77777777" w:rsidR="00711444" w:rsidRPr="004D0DAA" w:rsidRDefault="00711444" w:rsidP="00AA2A4C">
            <w:pPr>
              <w:pStyle w:val="TAL"/>
              <w:rPr>
                <w:lang w:eastAsia="en-US"/>
              </w:rPr>
            </w:pPr>
            <w:r w:rsidRPr="004D0DAA">
              <w:rPr>
                <w:lang w:eastAsia="en-US"/>
              </w:rPr>
              <w:t>0000100</w:t>
            </w:r>
          </w:p>
        </w:tc>
        <w:tc>
          <w:tcPr>
            <w:tcW w:w="1701" w:type="dxa"/>
          </w:tcPr>
          <w:p w14:paraId="2AF09DEB" w14:textId="77777777" w:rsidR="00711444" w:rsidRPr="004D0DAA" w:rsidRDefault="00711444" w:rsidP="00AA2A4C">
            <w:pPr>
              <w:pStyle w:val="TAL"/>
              <w:rPr>
                <w:lang w:eastAsia="en-US"/>
              </w:rPr>
            </w:pPr>
            <w:r w:rsidRPr="004D0DAA">
              <w:rPr>
                <w:lang w:eastAsia="en-US"/>
              </w:rPr>
              <w:t>23</w:t>
            </w:r>
          </w:p>
        </w:tc>
        <w:tc>
          <w:tcPr>
            <w:tcW w:w="1701" w:type="dxa"/>
          </w:tcPr>
          <w:p w14:paraId="6BE6FD10" w14:textId="77777777" w:rsidR="00711444" w:rsidRPr="004D0DAA" w:rsidRDefault="00711444" w:rsidP="00AA2A4C">
            <w:pPr>
              <w:pStyle w:val="TAL"/>
              <w:rPr>
                <w:lang w:eastAsia="en-US"/>
              </w:rPr>
            </w:pPr>
            <w:r w:rsidRPr="004D0DAA">
              <w:rPr>
                <w:lang w:eastAsia="en-US"/>
              </w:rPr>
              <w:t>00000101000</w:t>
            </w:r>
          </w:p>
        </w:tc>
      </w:tr>
      <w:tr w:rsidR="00711444" w:rsidRPr="004D0DAA" w14:paraId="20D752CF" w14:textId="77777777" w:rsidTr="00AA2A4C">
        <w:tblPrEx>
          <w:tblCellMar>
            <w:top w:w="0" w:type="dxa"/>
            <w:bottom w:w="0" w:type="dxa"/>
          </w:tblCellMar>
        </w:tblPrEx>
        <w:trPr>
          <w:jc w:val="center"/>
        </w:trPr>
        <w:tc>
          <w:tcPr>
            <w:tcW w:w="1701" w:type="dxa"/>
          </w:tcPr>
          <w:p w14:paraId="37ED17E1" w14:textId="77777777" w:rsidR="00711444" w:rsidRPr="004D0DAA" w:rsidRDefault="00711444" w:rsidP="00AA2A4C">
            <w:pPr>
              <w:pStyle w:val="TAL"/>
              <w:rPr>
                <w:lang w:eastAsia="en-US"/>
              </w:rPr>
            </w:pPr>
            <w:r w:rsidRPr="004D0DAA">
              <w:rPr>
                <w:lang w:eastAsia="en-US"/>
              </w:rPr>
              <w:t>24</w:t>
            </w:r>
          </w:p>
        </w:tc>
        <w:tc>
          <w:tcPr>
            <w:tcW w:w="1701" w:type="dxa"/>
          </w:tcPr>
          <w:p w14:paraId="1DB9EFA7" w14:textId="77777777" w:rsidR="00711444" w:rsidRPr="004D0DAA" w:rsidRDefault="00711444" w:rsidP="00AA2A4C">
            <w:pPr>
              <w:pStyle w:val="TAL"/>
              <w:rPr>
                <w:lang w:eastAsia="en-US"/>
              </w:rPr>
            </w:pPr>
            <w:r w:rsidRPr="004D0DAA">
              <w:rPr>
                <w:lang w:eastAsia="en-US"/>
              </w:rPr>
              <w:t>0101000</w:t>
            </w:r>
          </w:p>
        </w:tc>
        <w:tc>
          <w:tcPr>
            <w:tcW w:w="1701" w:type="dxa"/>
          </w:tcPr>
          <w:p w14:paraId="012B9624" w14:textId="77777777" w:rsidR="00711444" w:rsidRPr="004D0DAA" w:rsidRDefault="00711444" w:rsidP="00AA2A4C">
            <w:pPr>
              <w:pStyle w:val="TAL"/>
              <w:rPr>
                <w:lang w:eastAsia="en-US"/>
              </w:rPr>
            </w:pPr>
            <w:r w:rsidRPr="004D0DAA">
              <w:rPr>
                <w:lang w:eastAsia="en-US"/>
              </w:rPr>
              <w:t>24</w:t>
            </w:r>
          </w:p>
        </w:tc>
        <w:tc>
          <w:tcPr>
            <w:tcW w:w="1701" w:type="dxa"/>
          </w:tcPr>
          <w:p w14:paraId="002B8699" w14:textId="77777777" w:rsidR="00711444" w:rsidRPr="004D0DAA" w:rsidRDefault="00711444" w:rsidP="00AA2A4C">
            <w:pPr>
              <w:pStyle w:val="TAL"/>
              <w:rPr>
                <w:lang w:eastAsia="en-US"/>
              </w:rPr>
            </w:pPr>
            <w:r w:rsidRPr="004D0DAA">
              <w:rPr>
                <w:lang w:eastAsia="en-US"/>
              </w:rPr>
              <w:t>00000010111</w:t>
            </w:r>
          </w:p>
        </w:tc>
      </w:tr>
      <w:tr w:rsidR="00711444" w:rsidRPr="004D0DAA" w14:paraId="325E13B2" w14:textId="77777777" w:rsidTr="00AA2A4C">
        <w:tblPrEx>
          <w:tblCellMar>
            <w:top w:w="0" w:type="dxa"/>
            <w:bottom w:w="0" w:type="dxa"/>
          </w:tblCellMar>
        </w:tblPrEx>
        <w:trPr>
          <w:jc w:val="center"/>
        </w:trPr>
        <w:tc>
          <w:tcPr>
            <w:tcW w:w="1701" w:type="dxa"/>
          </w:tcPr>
          <w:p w14:paraId="7F908927" w14:textId="77777777" w:rsidR="00711444" w:rsidRPr="004D0DAA" w:rsidRDefault="00711444" w:rsidP="00AA2A4C">
            <w:pPr>
              <w:pStyle w:val="TAL"/>
              <w:rPr>
                <w:lang w:eastAsia="en-US"/>
              </w:rPr>
            </w:pPr>
            <w:r w:rsidRPr="004D0DAA">
              <w:rPr>
                <w:lang w:eastAsia="en-US"/>
              </w:rPr>
              <w:t>25</w:t>
            </w:r>
          </w:p>
        </w:tc>
        <w:tc>
          <w:tcPr>
            <w:tcW w:w="1701" w:type="dxa"/>
          </w:tcPr>
          <w:p w14:paraId="66EA8936" w14:textId="77777777" w:rsidR="00711444" w:rsidRPr="004D0DAA" w:rsidRDefault="00711444" w:rsidP="00AA2A4C">
            <w:pPr>
              <w:pStyle w:val="TAL"/>
              <w:rPr>
                <w:lang w:eastAsia="en-US"/>
              </w:rPr>
            </w:pPr>
            <w:r w:rsidRPr="004D0DAA">
              <w:rPr>
                <w:lang w:eastAsia="en-US"/>
              </w:rPr>
              <w:t>0101011</w:t>
            </w:r>
          </w:p>
        </w:tc>
        <w:tc>
          <w:tcPr>
            <w:tcW w:w="1701" w:type="dxa"/>
          </w:tcPr>
          <w:p w14:paraId="4E9EDA1F" w14:textId="77777777" w:rsidR="00711444" w:rsidRPr="004D0DAA" w:rsidRDefault="00711444" w:rsidP="00AA2A4C">
            <w:pPr>
              <w:pStyle w:val="TAL"/>
              <w:rPr>
                <w:lang w:eastAsia="en-US"/>
              </w:rPr>
            </w:pPr>
            <w:r w:rsidRPr="004D0DAA">
              <w:rPr>
                <w:lang w:eastAsia="en-US"/>
              </w:rPr>
              <w:t>25</w:t>
            </w:r>
          </w:p>
        </w:tc>
        <w:tc>
          <w:tcPr>
            <w:tcW w:w="1701" w:type="dxa"/>
          </w:tcPr>
          <w:p w14:paraId="3F22BA9E" w14:textId="77777777" w:rsidR="00711444" w:rsidRPr="004D0DAA" w:rsidRDefault="00711444" w:rsidP="00AA2A4C">
            <w:pPr>
              <w:pStyle w:val="TAL"/>
              <w:rPr>
                <w:lang w:eastAsia="en-US"/>
              </w:rPr>
            </w:pPr>
            <w:r w:rsidRPr="004D0DAA">
              <w:rPr>
                <w:lang w:eastAsia="en-US"/>
              </w:rPr>
              <w:t>00000011000</w:t>
            </w:r>
          </w:p>
        </w:tc>
      </w:tr>
      <w:tr w:rsidR="00711444" w:rsidRPr="004D0DAA" w14:paraId="4FEE8724" w14:textId="77777777" w:rsidTr="00AA2A4C">
        <w:tblPrEx>
          <w:tblCellMar>
            <w:top w:w="0" w:type="dxa"/>
            <w:bottom w:w="0" w:type="dxa"/>
          </w:tblCellMar>
        </w:tblPrEx>
        <w:trPr>
          <w:jc w:val="center"/>
        </w:trPr>
        <w:tc>
          <w:tcPr>
            <w:tcW w:w="1701" w:type="dxa"/>
          </w:tcPr>
          <w:p w14:paraId="5E265467" w14:textId="77777777" w:rsidR="00711444" w:rsidRPr="004D0DAA" w:rsidRDefault="00711444" w:rsidP="00AA2A4C">
            <w:pPr>
              <w:pStyle w:val="TAL"/>
              <w:rPr>
                <w:lang w:eastAsia="en-US"/>
              </w:rPr>
            </w:pPr>
            <w:r w:rsidRPr="004D0DAA">
              <w:rPr>
                <w:lang w:eastAsia="en-US"/>
              </w:rPr>
              <w:t>26</w:t>
            </w:r>
          </w:p>
        </w:tc>
        <w:tc>
          <w:tcPr>
            <w:tcW w:w="1701" w:type="dxa"/>
          </w:tcPr>
          <w:p w14:paraId="7F80CADB" w14:textId="77777777" w:rsidR="00711444" w:rsidRPr="004D0DAA" w:rsidRDefault="00711444" w:rsidP="00AA2A4C">
            <w:pPr>
              <w:pStyle w:val="TAL"/>
              <w:rPr>
                <w:lang w:eastAsia="en-US"/>
              </w:rPr>
            </w:pPr>
            <w:r w:rsidRPr="004D0DAA">
              <w:rPr>
                <w:lang w:eastAsia="en-US"/>
              </w:rPr>
              <w:t>0010011</w:t>
            </w:r>
          </w:p>
        </w:tc>
        <w:tc>
          <w:tcPr>
            <w:tcW w:w="1701" w:type="dxa"/>
          </w:tcPr>
          <w:p w14:paraId="0AF332CA" w14:textId="77777777" w:rsidR="00711444" w:rsidRPr="004D0DAA" w:rsidRDefault="00711444" w:rsidP="00AA2A4C">
            <w:pPr>
              <w:pStyle w:val="TAL"/>
              <w:rPr>
                <w:lang w:eastAsia="en-US"/>
              </w:rPr>
            </w:pPr>
            <w:r w:rsidRPr="004D0DAA">
              <w:rPr>
                <w:lang w:eastAsia="en-US"/>
              </w:rPr>
              <w:t>26</w:t>
            </w:r>
          </w:p>
        </w:tc>
        <w:tc>
          <w:tcPr>
            <w:tcW w:w="1701" w:type="dxa"/>
          </w:tcPr>
          <w:p w14:paraId="2EF03358" w14:textId="77777777" w:rsidR="00711444" w:rsidRPr="004D0DAA" w:rsidRDefault="00711444" w:rsidP="00AA2A4C">
            <w:pPr>
              <w:pStyle w:val="TAL"/>
              <w:rPr>
                <w:lang w:eastAsia="en-US"/>
              </w:rPr>
            </w:pPr>
            <w:r w:rsidRPr="004D0DAA">
              <w:rPr>
                <w:lang w:eastAsia="en-US"/>
              </w:rPr>
              <w:t>000011001010</w:t>
            </w:r>
          </w:p>
        </w:tc>
      </w:tr>
      <w:tr w:rsidR="00711444" w:rsidRPr="004D0DAA" w14:paraId="0FBA51B7" w14:textId="77777777" w:rsidTr="00AA2A4C">
        <w:tblPrEx>
          <w:tblCellMar>
            <w:top w:w="0" w:type="dxa"/>
            <w:bottom w:w="0" w:type="dxa"/>
          </w:tblCellMar>
        </w:tblPrEx>
        <w:trPr>
          <w:jc w:val="center"/>
        </w:trPr>
        <w:tc>
          <w:tcPr>
            <w:tcW w:w="1701" w:type="dxa"/>
          </w:tcPr>
          <w:p w14:paraId="0CC3578F" w14:textId="77777777" w:rsidR="00711444" w:rsidRPr="004D0DAA" w:rsidRDefault="00711444" w:rsidP="00AA2A4C">
            <w:pPr>
              <w:pStyle w:val="TAL"/>
              <w:rPr>
                <w:lang w:eastAsia="en-US"/>
              </w:rPr>
            </w:pPr>
            <w:r w:rsidRPr="004D0DAA">
              <w:rPr>
                <w:lang w:eastAsia="en-US"/>
              </w:rPr>
              <w:t>27</w:t>
            </w:r>
          </w:p>
        </w:tc>
        <w:tc>
          <w:tcPr>
            <w:tcW w:w="1701" w:type="dxa"/>
          </w:tcPr>
          <w:p w14:paraId="3D02B682" w14:textId="77777777" w:rsidR="00711444" w:rsidRPr="004D0DAA" w:rsidRDefault="00711444" w:rsidP="00AA2A4C">
            <w:pPr>
              <w:pStyle w:val="TAL"/>
              <w:rPr>
                <w:lang w:eastAsia="en-US"/>
              </w:rPr>
            </w:pPr>
            <w:r w:rsidRPr="004D0DAA">
              <w:rPr>
                <w:lang w:eastAsia="en-US"/>
              </w:rPr>
              <w:t>0100100</w:t>
            </w:r>
          </w:p>
        </w:tc>
        <w:tc>
          <w:tcPr>
            <w:tcW w:w="1701" w:type="dxa"/>
          </w:tcPr>
          <w:p w14:paraId="2C205D7D" w14:textId="77777777" w:rsidR="00711444" w:rsidRPr="004D0DAA" w:rsidRDefault="00711444" w:rsidP="00AA2A4C">
            <w:pPr>
              <w:pStyle w:val="TAL"/>
              <w:rPr>
                <w:lang w:eastAsia="en-US"/>
              </w:rPr>
            </w:pPr>
            <w:r w:rsidRPr="004D0DAA">
              <w:rPr>
                <w:lang w:eastAsia="en-US"/>
              </w:rPr>
              <w:t>27</w:t>
            </w:r>
          </w:p>
        </w:tc>
        <w:tc>
          <w:tcPr>
            <w:tcW w:w="1701" w:type="dxa"/>
          </w:tcPr>
          <w:p w14:paraId="70AF4A17" w14:textId="77777777" w:rsidR="00711444" w:rsidRPr="004D0DAA" w:rsidRDefault="00711444" w:rsidP="00AA2A4C">
            <w:pPr>
              <w:pStyle w:val="TAL"/>
              <w:rPr>
                <w:lang w:eastAsia="en-US"/>
              </w:rPr>
            </w:pPr>
            <w:r w:rsidRPr="004D0DAA">
              <w:rPr>
                <w:lang w:eastAsia="en-US"/>
              </w:rPr>
              <w:t>000011001011</w:t>
            </w:r>
          </w:p>
        </w:tc>
      </w:tr>
      <w:tr w:rsidR="00711444" w:rsidRPr="004D0DAA" w14:paraId="529A2A51" w14:textId="77777777" w:rsidTr="00AA2A4C">
        <w:tblPrEx>
          <w:tblCellMar>
            <w:top w:w="0" w:type="dxa"/>
            <w:bottom w:w="0" w:type="dxa"/>
          </w:tblCellMar>
        </w:tblPrEx>
        <w:trPr>
          <w:jc w:val="center"/>
        </w:trPr>
        <w:tc>
          <w:tcPr>
            <w:tcW w:w="1701" w:type="dxa"/>
          </w:tcPr>
          <w:p w14:paraId="79DD889B" w14:textId="77777777" w:rsidR="00711444" w:rsidRPr="004D0DAA" w:rsidRDefault="00711444" w:rsidP="00AA2A4C">
            <w:pPr>
              <w:pStyle w:val="TAL"/>
              <w:rPr>
                <w:lang w:eastAsia="en-US"/>
              </w:rPr>
            </w:pPr>
            <w:r w:rsidRPr="004D0DAA">
              <w:rPr>
                <w:lang w:eastAsia="en-US"/>
              </w:rPr>
              <w:t>28</w:t>
            </w:r>
          </w:p>
        </w:tc>
        <w:tc>
          <w:tcPr>
            <w:tcW w:w="1701" w:type="dxa"/>
          </w:tcPr>
          <w:p w14:paraId="42CEAC2D" w14:textId="77777777" w:rsidR="00711444" w:rsidRPr="004D0DAA" w:rsidRDefault="00711444" w:rsidP="00AA2A4C">
            <w:pPr>
              <w:pStyle w:val="TAL"/>
              <w:rPr>
                <w:lang w:eastAsia="en-US"/>
              </w:rPr>
            </w:pPr>
            <w:r w:rsidRPr="004D0DAA">
              <w:rPr>
                <w:lang w:eastAsia="en-US"/>
              </w:rPr>
              <w:t>0011000</w:t>
            </w:r>
          </w:p>
        </w:tc>
        <w:tc>
          <w:tcPr>
            <w:tcW w:w="1701" w:type="dxa"/>
          </w:tcPr>
          <w:p w14:paraId="0DB01C95" w14:textId="77777777" w:rsidR="00711444" w:rsidRPr="004D0DAA" w:rsidRDefault="00711444" w:rsidP="00AA2A4C">
            <w:pPr>
              <w:pStyle w:val="TAL"/>
              <w:rPr>
                <w:lang w:eastAsia="en-US"/>
              </w:rPr>
            </w:pPr>
            <w:r w:rsidRPr="004D0DAA">
              <w:rPr>
                <w:lang w:eastAsia="en-US"/>
              </w:rPr>
              <w:t>28</w:t>
            </w:r>
          </w:p>
        </w:tc>
        <w:tc>
          <w:tcPr>
            <w:tcW w:w="1701" w:type="dxa"/>
          </w:tcPr>
          <w:p w14:paraId="384538A0" w14:textId="77777777" w:rsidR="00711444" w:rsidRPr="004D0DAA" w:rsidRDefault="00711444" w:rsidP="00AA2A4C">
            <w:pPr>
              <w:pStyle w:val="TAL"/>
              <w:rPr>
                <w:lang w:eastAsia="en-US"/>
              </w:rPr>
            </w:pPr>
            <w:r w:rsidRPr="004D0DAA">
              <w:rPr>
                <w:lang w:eastAsia="en-US"/>
              </w:rPr>
              <w:t>000011001100</w:t>
            </w:r>
          </w:p>
        </w:tc>
      </w:tr>
      <w:tr w:rsidR="00711444" w:rsidRPr="004D0DAA" w14:paraId="5CBEB6C5" w14:textId="77777777" w:rsidTr="00AA2A4C">
        <w:tblPrEx>
          <w:tblCellMar>
            <w:top w:w="0" w:type="dxa"/>
            <w:bottom w:w="0" w:type="dxa"/>
          </w:tblCellMar>
        </w:tblPrEx>
        <w:trPr>
          <w:jc w:val="center"/>
        </w:trPr>
        <w:tc>
          <w:tcPr>
            <w:tcW w:w="1701" w:type="dxa"/>
          </w:tcPr>
          <w:p w14:paraId="7F56373E" w14:textId="77777777" w:rsidR="00711444" w:rsidRPr="004D0DAA" w:rsidRDefault="00711444" w:rsidP="00AA2A4C">
            <w:pPr>
              <w:pStyle w:val="TAL"/>
              <w:rPr>
                <w:lang w:eastAsia="en-US"/>
              </w:rPr>
            </w:pPr>
            <w:r w:rsidRPr="004D0DAA">
              <w:rPr>
                <w:lang w:eastAsia="en-US"/>
              </w:rPr>
              <w:t>29</w:t>
            </w:r>
          </w:p>
        </w:tc>
        <w:tc>
          <w:tcPr>
            <w:tcW w:w="1701" w:type="dxa"/>
          </w:tcPr>
          <w:p w14:paraId="29925337" w14:textId="77777777" w:rsidR="00711444" w:rsidRPr="004D0DAA" w:rsidRDefault="00711444" w:rsidP="00AA2A4C">
            <w:pPr>
              <w:pStyle w:val="TAL"/>
              <w:rPr>
                <w:lang w:eastAsia="en-US"/>
              </w:rPr>
            </w:pPr>
            <w:r w:rsidRPr="004D0DAA">
              <w:rPr>
                <w:lang w:eastAsia="en-US"/>
              </w:rPr>
              <w:t>00000010</w:t>
            </w:r>
          </w:p>
        </w:tc>
        <w:tc>
          <w:tcPr>
            <w:tcW w:w="1701" w:type="dxa"/>
          </w:tcPr>
          <w:p w14:paraId="6D8F2B09" w14:textId="77777777" w:rsidR="00711444" w:rsidRPr="004D0DAA" w:rsidRDefault="00711444" w:rsidP="00AA2A4C">
            <w:pPr>
              <w:pStyle w:val="TAL"/>
              <w:rPr>
                <w:lang w:eastAsia="en-US"/>
              </w:rPr>
            </w:pPr>
            <w:r w:rsidRPr="004D0DAA">
              <w:rPr>
                <w:lang w:eastAsia="en-US"/>
              </w:rPr>
              <w:t>29</w:t>
            </w:r>
          </w:p>
        </w:tc>
        <w:tc>
          <w:tcPr>
            <w:tcW w:w="1701" w:type="dxa"/>
          </w:tcPr>
          <w:p w14:paraId="2872F21B" w14:textId="77777777" w:rsidR="00711444" w:rsidRPr="004D0DAA" w:rsidRDefault="00711444" w:rsidP="00AA2A4C">
            <w:pPr>
              <w:pStyle w:val="TAL"/>
              <w:rPr>
                <w:lang w:eastAsia="en-US"/>
              </w:rPr>
            </w:pPr>
            <w:r w:rsidRPr="004D0DAA">
              <w:rPr>
                <w:lang w:eastAsia="en-US"/>
              </w:rPr>
              <w:t>000011001101</w:t>
            </w:r>
          </w:p>
        </w:tc>
      </w:tr>
      <w:tr w:rsidR="00711444" w:rsidRPr="004D0DAA" w14:paraId="3EB554BF" w14:textId="77777777" w:rsidTr="00AA2A4C">
        <w:tblPrEx>
          <w:tblCellMar>
            <w:top w:w="0" w:type="dxa"/>
            <w:bottom w:w="0" w:type="dxa"/>
          </w:tblCellMar>
        </w:tblPrEx>
        <w:trPr>
          <w:jc w:val="center"/>
        </w:trPr>
        <w:tc>
          <w:tcPr>
            <w:tcW w:w="1701" w:type="dxa"/>
          </w:tcPr>
          <w:p w14:paraId="1B768FEA" w14:textId="77777777" w:rsidR="00711444" w:rsidRPr="004D0DAA" w:rsidRDefault="00711444" w:rsidP="00AA2A4C">
            <w:pPr>
              <w:pStyle w:val="TAL"/>
              <w:rPr>
                <w:lang w:eastAsia="en-US"/>
              </w:rPr>
            </w:pPr>
            <w:r w:rsidRPr="004D0DAA">
              <w:rPr>
                <w:lang w:eastAsia="en-US"/>
              </w:rPr>
              <w:t>30</w:t>
            </w:r>
          </w:p>
        </w:tc>
        <w:tc>
          <w:tcPr>
            <w:tcW w:w="1701" w:type="dxa"/>
          </w:tcPr>
          <w:p w14:paraId="2E7BD083" w14:textId="77777777" w:rsidR="00711444" w:rsidRPr="004D0DAA" w:rsidRDefault="00711444" w:rsidP="00AA2A4C">
            <w:pPr>
              <w:pStyle w:val="TAL"/>
              <w:rPr>
                <w:lang w:eastAsia="en-US"/>
              </w:rPr>
            </w:pPr>
            <w:r w:rsidRPr="004D0DAA">
              <w:rPr>
                <w:lang w:eastAsia="en-US"/>
              </w:rPr>
              <w:t>00000011</w:t>
            </w:r>
          </w:p>
        </w:tc>
        <w:tc>
          <w:tcPr>
            <w:tcW w:w="1701" w:type="dxa"/>
          </w:tcPr>
          <w:p w14:paraId="5EFAF686" w14:textId="77777777" w:rsidR="00711444" w:rsidRPr="004D0DAA" w:rsidRDefault="00711444" w:rsidP="00AA2A4C">
            <w:pPr>
              <w:pStyle w:val="TAL"/>
              <w:rPr>
                <w:lang w:eastAsia="en-US"/>
              </w:rPr>
            </w:pPr>
            <w:r w:rsidRPr="004D0DAA">
              <w:rPr>
                <w:lang w:eastAsia="en-US"/>
              </w:rPr>
              <w:t>30</w:t>
            </w:r>
          </w:p>
        </w:tc>
        <w:tc>
          <w:tcPr>
            <w:tcW w:w="1701" w:type="dxa"/>
          </w:tcPr>
          <w:p w14:paraId="5CD050B7" w14:textId="77777777" w:rsidR="00711444" w:rsidRPr="004D0DAA" w:rsidRDefault="00711444" w:rsidP="00AA2A4C">
            <w:pPr>
              <w:pStyle w:val="TAL"/>
              <w:rPr>
                <w:lang w:eastAsia="en-US"/>
              </w:rPr>
            </w:pPr>
            <w:r w:rsidRPr="004D0DAA">
              <w:rPr>
                <w:lang w:eastAsia="en-US"/>
              </w:rPr>
              <w:t>000001101000</w:t>
            </w:r>
          </w:p>
        </w:tc>
      </w:tr>
      <w:tr w:rsidR="00711444" w:rsidRPr="004D0DAA" w14:paraId="23F99A09" w14:textId="77777777" w:rsidTr="00AA2A4C">
        <w:tblPrEx>
          <w:tblCellMar>
            <w:top w:w="0" w:type="dxa"/>
            <w:bottom w:w="0" w:type="dxa"/>
          </w:tblCellMar>
        </w:tblPrEx>
        <w:trPr>
          <w:jc w:val="center"/>
        </w:trPr>
        <w:tc>
          <w:tcPr>
            <w:tcW w:w="1701" w:type="dxa"/>
          </w:tcPr>
          <w:p w14:paraId="4D80FC2D" w14:textId="77777777" w:rsidR="00711444" w:rsidRPr="004D0DAA" w:rsidRDefault="00711444" w:rsidP="00AA2A4C">
            <w:pPr>
              <w:pStyle w:val="TAL"/>
              <w:rPr>
                <w:lang w:eastAsia="en-US"/>
              </w:rPr>
            </w:pPr>
            <w:r w:rsidRPr="004D0DAA">
              <w:rPr>
                <w:lang w:eastAsia="en-US"/>
              </w:rPr>
              <w:t>31</w:t>
            </w:r>
          </w:p>
        </w:tc>
        <w:tc>
          <w:tcPr>
            <w:tcW w:w="1701" w:type="dxa"/>
          </w:tcPr>
          <w:p w14:paraId="68572D8D" w14:textId="77777777" w:rsidR="00711444" w:rsidRPr="004D0DAA" w:rsidRDefault="00711444" w:rsidP="00AA2A4C">
            <w:pPr>
              <w:pStyle w:val="TAL"/>
              <w:rPr>
                <w:lang w:eastAsia="en-US"/>
              </w:rPr>
            </w:pPr>
            <w:r w:rsidRPr="004D0DAA">
              <w:rPr>
                <w:lang w:eastAsia="en-US"/>
              </w:rPr>
              <w:t>00011010</w:t>
            </w:r>
          </w:p>
        </w:tc>
        <w:tc>
          <w:tcPr>
            <w:tcW w:w="1701" w:type="dxa"/>
          </w:tcPr>
          <w:p w14:paraId="737B66F1" w14:textId="77777777" w:rsidR="00711444" w:rsidRPr="004D0DAA" w:rsidRDefault="00711444" w:rsidP="00AA2A4C">
            <w:pPr>
              <w:pStyle w:val="TAL"/>
              <w:rPr>
                <w:lang w:eastAsia="en-US"/>
              </w:rPr>
            </w:pPr>
            <w:r w:rsidRPr="004D0DAA">
              <w:rPr>
                <w:lang w:eastAsia="en-US"/>
              </w:rPr>
              <w:t>31</w:t>
            </w:r>
          </w:p>
        </w:tc>
        <w:tc>
          <w:tcPr>
            <w:tcW w:w="1701" w:type="dxa"/>
          </w:tcPr>
          <w:p w14:paraId="60291AE5" w14:textId="77777777" w:rsidR="00711444" w:rsidRPr="004D0DAA" w:rsidRDefault="00711444" w:rsidP="00AA2A4C">
            <w:pPr>
              <w:pStyle w:val="TAL"/>
              <w:rPr>
                <w:lang w:eastAsia="en-US"/>
              </w:rPr>
            </w:pPr>
            <w:r w:rsidRPr="004D0DAA">
              <w:rPr>
                <w:lang w:eastAsia="en-US"/>
              </w:rPr>
              <w:t>000001101001</w:t>
            </w:r>
          </w:p>
        </w:tc>
      </w:tr>
      <w:tr w:rsidR="00711444" w:rsidRPr="004D0DAA" w14:paraId="6E39C127" w14:textId="77777777" w:rsidTr="00AA2A4C">
        <w:tblPrEx>
          <w:tblCellMar>
            <w:top w:w="0" w:type="dxa"/>
            <w:bottom w:w="0" w:type="dxa"/>
          </w:tblCellMar>
        </w:tblPrEx>
        <w:trPr>
          <w:jc w:val="center"/>
        </w:trPr>
        <w:tc>
          <w:tcPr>
            <w:tcW w:w="1701" w:type="dxa"/>
          </w:tcPr>
          <w:p w14:paraId="399712C0" w14:textId="77777777" w:rsidR="00711444" w:rsidRPr="004D0DAA" w:rsidRDefault="00711444" w:rsidP="00AA2A4C">
            <w:pPr>
              <w:pStyle w:val="TAL"/>
              <w:rPr>
                <w:lang w:eastAsia="en-US"/>
              </w:rPr>
            </w:pPr>
            <w:r w:rsidRPr="004D0DAA">
              <w:rPr>
                <w:lang w:eastAsia="en-US"/>
              </w:rPr>
              <w:t>32</w:t>
            </w:r>
          </w:p>
        </w:tc>
        <w:tc>
          <w:tcPr>
            <w:tcW w:w="1701" w:type="dxa"/>
          </w:tcPr>
          <w:p w14:paraId="73B73487" w14:textId="77777777" w:rsidR="00711444" w:rsidRPr="004D0DAA" w:rsidRDefault="00711444" w:rsidP="00AA2A4C">
            <w:pPr>
              <w:pStyle w:val="TAL"/>
              <w:rPr>
                <w:lang w:eastAsia="en-US"/>
              </w:rPr>
            </w:pPr>
            <w:r w:rsidRPr="004D0DAA">
              <w:rPr>
                <w:lang w:eastAsia="en-US"/>
              </w:rPr>
              <w:t>00011011</w:t>
            </w:r>
          </w:p>
        </w:tc>
        <w:tc>
          <w:tcPr>
            <w:tcW w:w="1701" w:type="dxa"/>
          </w:tcPr>
          <w:p w14:paraId="566704A5" w14:textId="77777777" w:rsidR="00711444" w:rsidRPr="004D0DAA" w:rsidRDefault="00711444" w:rsidP="00AA2A4C">
            <w:pPr>
              <w:pStyle w:val="TAL"/>
              <w:rPr>
                <w:lang w:eastAsia="en-US"/>
              </w:rPr>
            </w:pPr>
            <w:r w:rsidRPr="004D0DAA">
              <w:rPr>
                <w:lang w:eastAsia="en-US"/>
              </w:rPr>
              <w:t>32</w:t>
            </w:r>
          </w:p>
        </w:tc>
        <w:tc>
          <w:tcPr>
            <w:tcW w:w="1701" w:type="dxa"/>
          </w:tcPr>
          <w:p w14:paraId="492A1378" w14:textId="77777777" w:rsidR="00711444" w:rsidRPr="004D0DAA" w:rsidRDefault="00711444" w:rsidP="00AA2A4C">
            <w:pPr>
              <w:pStyle w:val="TAL"/>
              <w:rPr>
                <w:lang w:eastAsia="en-US"/>
              </w:rPr>
            </w:pPr>
            <w:r w:rsidRPr="004D0DAA">
              <w:rPr>
                <w:lang w:eastAsia="en-US"/>
              </w:rPr>
              <w:t>000001101010</w:t>
            </w:r>
          </w:p>
        </w:tc>
      </w:tr>
      <w:tr w:rsidR="00711444" w:rsidRPr="004D0DAA" w14:paraId="6619B326" w14:textId="77777777" w:rsidTr="00AA2A4C">
        <w:tblPrEx>
          <w:tblCellMar>
            <w:top w:w="0" w:type="dxa"/>
            <w:bottom w:w="0" w:type="dxa"/>
          </w:tblCellMar>
        </w:tblPrEx>
        <w:trPr>
          <w:jc w:val="center"/>
        </w:trPr>
        <w:tc>
          <w:tcPr>
            <w:tcW w:w="1701" w:type="dxa"/>
          </w:tcPr>
          <w:p w14:paraId="38B3D7D9" w14:textId="77777777" w:rsidR="00711444" w:rsidRPr="004D0DAA" w:rsidRDefault="00711444" w:rsidP="00AA2A4C">
            <w:pPr>
              <w:pStyle w:val="TAL"/>
              <w:rPr>
                <w:lang w:eastAsia="en-US"/>
              </w:rPr>
            </w:pPr>
            <w:r w:rsidRPr="004D0DAA">
              <w:rPr>
                <w:lang w:eastAsia="en-US"/>
              </w:rPr>
              <w:t>33</w:t>
            </w:r>
          </w:p>
        </w:tc>
        <w:tc>
          <w:tcPr>
            <w:tcW w:w="1701" w:type="dxa"/>
          </w:tcPr>
          <w:p w14:paraId="666C8236" w14:textId="77777777" w:rsidR="00711444" w:rsidRPr="004D0DAA" w:rsidRDefault="00711444" w:rsidP="00AA2A4C">
            <w:pPr>
              <w:pStyle w:val="TAL"/>
              <w:rPr>
                <w:lang w:eastAsia="en-US"/>
              </w:rPr>
            </w:pPr>
            <w:r w:rsidRPr="004D0DAA">
              <w:rPr>
                <w:lang w:eastAsia="en-US"/>
              </w:rPr>
              <w:t>00010010</w:t>
            </w:r>
          </w:p>
        </w:tc>
        <w:tc>
          <w:tcPr>
            <w:tcW w:w="1701" w:type="dxa"/>
          </w:tcPr>
          <w:p w14:paraId="6BCC3E69" w14:textId="77777777" w:rsidR="00711444" w:rsidRPr="004D0DAA" w:rsidRDefault="00711444" w:rsidP="00AA2A4C">
            <w:pPr>
              <w:pStyle w:val="TAL"/>
              <w:rPr>
                <w:lang w:eastAsia="en-US"/>
              </w:rPr>
            </w:pPr>
            <w:r w:rsidRPr="004D0DAA">
              <w:rPr>
                <w:lang w:eastAsia="en-US"/>
              </w:rPr>
              <w:t>33</w:t>
            </w:r>
          </w:p>
        </w:tc>
        <w:tc>
          <w:tcPr>
            <w:tcW w:w="1701" w:type="dxa"/>
          </w:tcPr>
          <w:p w14:paraId="15833876" w14:textId="77777777" w:rsidR="00711444" w:rsidRPr="004D0DAA" w:rsidRDefault="00711444" w:rsidP="00AA2A4C">
            <w:pPr>
              <w:pStyle w:val="TAL"/>
              <w:rPr>
                <w:lang w:eastAsia="en-US"/>
              </w:rPr>
            </w:pPr>
            <w:r w:rsidRPr="004D0DAA">
              <w:rPr>
                <w:lang w:eastAsia="en-US"/>
              </w:rPr>
              <w:t>000001101011</w:t>
            </w:r>
          </w:p>
        </w:tc>
      </w:tr>
      <w:tr w:rsidR="00711444" w:rsidRPr="004D0DAA" w14:paraId="24EF79C1" w14:textId="77777777" w:rsidTr="00AA2A4C">
        <w:tblPrEx>
          <w:tblCellMar>
            <w:top w:w="0" w:type="dxa"/>
            <w:bottom w:w="0" w:type="dxa"/>
          </w:tblCellMar>
        </w:tblPrEx>
        <w:trPr>
          <w:jc w:val="center"/>
        </w:trPr>
        <w:tc>
          <w:tcPr>
            <w:tcW w:w="1701" w:type="dxa"/>
          </w:tcPr>
          <w:p w14:paraId="02FAA00F" w14:textId="77777777" w:rsidR="00711444" w:rsidRPr="004D0DAA" w:rsidRDefault="00711444" w:rsidP="00AA2A4C">
            <w:pPr>
              <w:pStyle w:val="TAL"/>
              <w:rPr>
                <w:lang w:eastAsia="en-US"/>
              </w:rPr>
            </w:pPr>
            <w:r w:rsidRPr="004D0DAA">
              <w:rPr>
                <w:lang w:eastAsia="en-US"/>
              </w:rPr>
              <w:t>34</w:t>
            </w:r>
          </w:p>
        </w:tc>
        <w:tc>
          <w:tcPr>
            <w:tcW w:w="1701" w:type="dxa"/>
          </w:tcPr>
          <w:p w14:paraId="63DB1E76" w14:textId="77777777" w:rsidR="00711444" w:rsidRPr="004D0DAA" w:rsidRDefault="00711444" w:rsidP="00AA2A4C">
            <w:pPr>
              <w:pStyle w:val="TAL"/>
              <w:rPr>
                <w:lang w:eastAsia="en-US"/>
              </w:rPr>
            </w:pPr>
            <w:r w:rsidRPr="004D0DAA">
              <w:rPr>
                <w:lang w:eastAsia="en-US"/>
              </w:rPr>
              <w:t>00010011</w:t>
            </w:r>
          </w:p>
        </w:tc>
        <w:tc>
          <w:tcPr>
            <w:tcW w:w="1701" w:type="dxa"/>
          </w:tcPr>
          <w:p w14:paraId="682C8BDB" w14:textId="77777777" w:rsidR="00711444" w:rsidRPr="004D0DAA" w:rsidRDefault="00711444" w:rsidP="00AA2A4C">
            <w:pPr>
              <w:pStyle w:val="TAL"/>
              <w:rPr>
                <w:lang w:eastAsia="en-US"/>
              </w:rPr>
            </w:pPr>
            <w:r w:rsidRPr="004D0DAA">
              <w:rPr>
                <w:lang w:eastAsia="en-US"/>
              </w:rPr>
              <w:t>34</w:t>
            </w:r>
          </w:p>
        </w:tc>
        <w:tc>
          <w:tcPr>
            <w:tcW w:w="1701" w:type="dxa"/>
          </w:tcPr>
          <w:p w14:paraId="0FFE2C20" w14:textId="77777777" w:rsidR="00711444" w:rsidRPr="004D0DAA" w:rsidRDefault="00711444" w:rsidP="00AA2A4C">
            <w:pPr>
              <w:pStyle w:val="TAL"/>
              <w:rPr>
                <w:lang w:eastAsia="en-US"/>
              </w:rPr>
            </w:pPr>
            <w:r w:rsidRPr="004D0DAA">
              <w:rPr>
                <w:lang w:eastAsia="en-US"/>
              </w:rPr>
              <w:t>000011010010</w:t>
            </w:r>
          </w:p>
        </w:tc>
      </w:tr>
      <w:tr w:rsidR="00711444" w:rsidRPr="004D0DAA" w14:paraId="1BF34FC3" w14:textId="77777777" w:rsidTr="00AA2A4C">
        <w:tblPrEx>
          <w:tblCellMar>
            <w:top w:w="0" w:type="dxa"/>
            <w:bottom w:w="0" w:type="dxa"/>
          </w:tblCellMar>
        </w:tblPrEx>
        <w:trPr>
          <w:jc w:val="center"/>
        </w:trPr>
        <w:tc>
          <w:tcPr>
            <w:tcW w:w="1701" w:type="dxa"/>
          </w:tcPr>
          <w:p w14:paraId="121EA873" w14:textId="77777777" w:rsidR="00711444" w:rsidRPr="004D0DAA" w:rsidRDefault="00711444" w:rsidP="00AA2A4C">
            <w:pPr>
              <w:pStyle w:val="TAL"/>
              <w:rPr>
                <w:lang w:eastAsia="en-US"/>
              </w:rPr>
            </w:pPr>
            <w:r w:rsidRPr="004D0DAA">
              <w:rPr>
                <w:lang w:eastAsia="en-US"/>
              </w:rPr>
              <w:t>35</w:t>
            </w:r>
          </w:p>
        </w:tc>
        <w:tc>
          <w:tcPr>
            <w:tcW w:w="1701" w:type="dxa"/>
          </w:tcPr>
          <w:p w14:paraId="3D30F442" w14:textId="77777777" w:rsidR="00711444" w:rsidRPr="004D0DAA" w:rsidRDefault="00711444" w:rsidP="00AA2A4C">
            <w:pPr>
              <w:pStyle w:val="TAL"/>
              <w:rPr>
                <w:lang w:eastAsia="en-US"/>
              </w:rPr>
            </w:pPr>
            <w:r w:rsidRPr="004D0DAA">
              <w:rPr>
                <w:lang w:eastAsia="en-US"/>
              </w:rPr>
              <w:t>00010100</w:t>
            </w:r>
          </w:p>
        </w:tc>
        <w:tc>
          <w:tcPr>
            <w:tcW w:w="1701" w:type="dxa"/>
          </w:tcPr>
          <w:p w14:paraId="1A174F76" w14:textId="77777777" w:rsidR="00711444" w:rsidRPr="004D0DAA" w:rsidRDefault="00711444" w:rsidP="00AA2A4C">
            <w:pPr>
              <w:pStyle w:val="TAL"/>
              <w:rPr>
                <w:lang w:eastAsia="en-US"/>
              </w:rPr>
            </w:pPr>
            <w:r w:rsidRPr="004D0DAA">
              <w:rPr>
                <w:lang w:eastAsia="en-US"/>
              </w:rPr>
              <w:t>35</w:t>
            </w:r>
          </w:p>
        </w:tc>
        <w:tc>
          <w:tcPr>
            <w:tcW w:w="1701" w:type="dxa"/>
          </w:tcPr>
          <w:p w14:paraId="0B502049" w14:textId="77777777" w:rsidR="00711444" w:rsidRPr="004D0DAA" w:rsidRDefault="00711444" w:rsidP="00AA2A4C">
            <w:pPr>
              <w:pStyle w:val="TAL"/>
              <w:rPr>
                <w:lang w:eastAsia="en-US"/>
              </w:rPr>
            </w:pPr>
            <w:r w:rsidRPr="004D0DAA">
              <w:rPr>
                <w:lang w:eastAsia="en-US"/>
              </w:rPr>
              <w:t>000011010011</w:t>
            </w:r>
          </w:p>
        </w:tc>
      </w:tr>
      <w:tr w:rsidR="00711444" w:rsidRPr="004D0DAA" w14:paraId="408A3464" w14:textId="77777777" w:rsidTr="00AA2A4C">
        <w:tblPrEx>
          <w:tblCellMar>
            <w:top w:w="0" w:type="dxa"/>
            <w:bottom w:w="0" w:type="dxa"/>
          </w:tblCellMar>
        </w:tblPrEx>
        <w:trPr>
          <w:jc w:val="center"/>
        </w:trPr>
        <w:tc>
          <w:tcPr>
            <w:tcW w:w="1701" w:type="dxa"/>
          </w:tcPr>
          <w:p w14:paraId="6047AB01" w14:textId="77777777" w:rsidR="00711444" w:rsidRPr="004D0DAA" w:rsidRDefault="00711444" w:rsidP="00AA2A4C">
            <w:pPr>
              <w:pStyle w:val="TAL"/>
              <w:rPr>
                <w:lang w:eastAsia="en-US"/>
              </w:rPr>
            </w:pPr>
            <w:r w:rsidRPr="004D0DAA">
              <w:rPr>
                <w:lang w:eastAsia="en-US"/>
              </w:rPr>
              <w:t>36</w:t>
            </w:r>
          </w:p>
        </w:tc>
        <w:tc>
          <w:tcPr>
            <w:tcW w:w="1701" w:type="dxa"/>
          </w:tcPr>
          <w:p w14:paraId="387823EC" w14:textId="77777777" w:rsidR="00711444" w:rsidRPr="004D0DAA" w:rsidRDefault="00711444" w:rsidP="00AA2A4C">
            <w:pPr>
              <w:pStyle w:val="TAL"/>
              <w:rPr>
                <w:lang w:eastAsia="en-US"/>
              </w:rPr>
            </w:pPr>
            <w:r w:rsidRPr="004D0DAA">
              <w:rPr>
                <w:lang w:eastAsia="en-US"/>
              </w:rPr>
              <w:t>00010101</w:t>
            </w:r>
          </w:p>
        </w:tc>
        <w:tc>
          <w:tcPr>
            <w:tcW w:w="1701" w:type="dxa"/>
          </w:tcPr>
          <w:p w14:paraId="7406F769" w14:textId="77777777" w:rsidR="00711444" w:rsidRPr="004D0DAA" w:rsidRDefault="00711444" w:rsidP="00AA2A4C">
            <w:pPr>
              <w:pStyle w:val="TAL"/>
              <w:rPr>
                <w:lang w:eastAsia="en-US"/>
              </w:rPr>
            </w:pPr>
            <w:r w:rsidRPr="004D0DAA">
              <w:rPr>
                <w:lang w:eastAsia="en-US"/>
              </w:rPr>
              <w:t>36</w:t>
            </w:r>
          </w:p>
        </w:tc>
        <w:tc>
          <w:tcPr>
            <w:tcW w:w="1701" w:type="dxa"/>
          </w:tcPr>
          <w:p w14:paraId="4A4E7FD0" w14:textId="77777777" w:rsidR="00711444" w:rsidRPr="004D0DAA" w:rsidRDefault="00711444" w:rsidP="00AA2A4C">
            <w:pPr>
              <w:pStyle w:val="TAL"/>
              <w:rPr>
                <w:lang w:eastAsia="en-US"/>
              </w:rPr>
            </w:pPr>
            <w:r w:rsidRPr="004D0DAA">
              <w:rPr>
                <w:lang w:eastAsia="en-US"/>
              </w:rPr>
              <w:t>000011010100</w:t>
            </w:r>
          </w:p>
        </w:tc>
      </w:tr>
      <w:tr w:rsidR="00711444" w:rsidRPr="004D0DAA" w14:paraId="6FDAD163" w14:textId="77777777" w:rsidTr="00AA2A4C">
        <w:tblPrEx>
          <w:tblCellMar>
            <w:top w:w="0" w:type="dxa"/>
            <w:bottom w:w="0" w:type="dxa"/>
          </w:tblCellMar>
        </w:tblPrEx>
        <w:trPr>
          <w:jc w:val="center"/>
        </w:trPr>
        <w:tc>
          <w:tcPr>
            <w:tcW w:w="1701" w:type="dxa"/>
          </w:tcPr>
          <w:p w14:paraId="1108B467" w14:textId="77777777" w:rsidR="00711444" w:rsidRPr="004D0DAA" w:rsidRDefault="00711444" w:rsidP="00AA2A4C">
            <w:pPr>
              <w:pStyle w:val="TAL"/>
              <w:rPr>
                <w:lang w:eastAsia="en-US"/>
              </w:rPr>
            </w:pPr>
            <w:r w:rsidRPr="004D0DAA">
              <w:rPr>
                <w:lang w:eastAsia="en-US"/>
              </w:rPr>
              <w:t>37</w:t>
            </w:r>
          </w:p>
        </w:tc>
        <w:tc>
          <w:tcPr>
            <w:tcW w:w="1701" w:type="dxa"/>
          </w:tcPr>
          <w:p w14:paraId="15FD7F41" w14:textId="77777777" w:rsidR="00711444" w:rsidRPr="004D0DAA" w:rsidRDefault="00711444" w:rsidP="00AA2A4C">
            <w:pPr>
              <w:pStyle w:val="TAL"/>
              <w:rPr>
                <w:lang w:eastAsia="en-US"/>
              </w:rPr>
            </w:pPr>
            <w:r w:rsidRPr="004D0DAA">
              <w:rPr>
                <w:lang w:eastAsia="en-US"/>
              </w:rPr>
              <w:t>00010110</w:t>
            </w:r>
          </w:p>
        </w:tc>
        <w:tc>
          <w:tcPr>
            <w:tcW w:w="1701" w:type="dxa"/>
          </w:tcPr>
          <w:p w14:paraId="39079E0E" w14:textId="77777777" w:rsidR="00711444" w:rsidRPr="004D0DAA" w:rsidRDefault="00711444" w:rsidP="00AA2A4C">
            <w:pPr>
              <w:pStyle w:val="TAL"/>
              <w:rPr>
                <w:lang w:eastAsia="en-US"/>
              </w:rPr>
            </w:pPr>
            <w:r w:rsidRPr="004D0DAA">
              <w:rPr>
                <w:lang w:eastAsia="en-US"/>
              </w:rPr>
              <w:t>37</w:t>
            </w:r>
          </w:p>
        </w:tc>
        <w:tc>
          <w:tcPr>
            <w:tcW w:w="1701" w:type="dxa"/>
          </w:tcPr>
          <w:p w14:paraId="744756D3" w14:textId="77777777" w:rsidR="00711444" w:rsidRPr="004D0DAA" w:rsidRDefault="00711444" w:rsidP="00AA2A4C">
            <w:pPr>
              <w:pStyle w:val="TAL"/>
              <w:rPr>
                <w:lang w:eastAsia="en-US"/>
              </w:rPr>
            </w:pPr>
            <w:r w:rsidRPr="004D0DAA">
              <w:rPr>
                <w:lang w:eastAsia="en-US"/>
              </w:rPr>
              <w:t>000011010101</w:t>
            </w:r>
          </w:p>
        </w:tc>
      </w:tr>
      <w:tr w:rsidR="00711444" w:rsidRPr="004D0DAA" w14:paraId="28754202" w14:textId="77777777" w:rsidTr="00AA2A4C">
        <w:tblPrEx>
          <w:tblCellMar>
            <w:top w:w="0" w:type="dxa"/>
            <w:bottom w:w="0" w:type="dxa"/>
          </w:tblCellMar>
        </w:tblPrEx>
        <w:trPr>
          <w:jc w:val="center"/>
        </w:trPr>
        <w:tc>
          <w:tcPr>
            <w:tcW w:w="1701" w:type="dxa"/>
          </w:tcPr>
          <w:p w14:paraId="389FC32B" w14:textId="77777777" w:rsidR="00711444" w:rsidRPr="004D0DAA" w:rsidRDefault="00711444" w:rsidP="00AA2A4C">
            <w:pPr>
              <w:pStyle w:val="TAL"/>
              <w:rPr>
                <w:lang w:eastAsia="en-US"/>
              </w:rPr>
            </w:pPr>
            <w:r w:rsidRPr="004D0DAA">
              <w:rPr>
                <w:lang w:eastAsia="en-US"/>
              </w:rPr>
              <w:t>38</w:t>
            </w:r>
          </w:p>
        </w:tc>
        <w:tc>
          <w:tcPr>
            <w:tcW w:w="1701" w:type="dxa"/>
          </w:tcPr>
          <w:p w14:paraId="640F1A5E" w14:textId="77777777" w:rsidR="00711444" w:rsidRPr="004D0DAA" w:rsidRDefault="00711444" w:rsidP="00AA2A4C">
            <w:pPr>
              <w:pStyle w:val="TAL"/>
              <w:rPr>
                <w:lang w:eastAsia="en-US"/>
              </w:rPr>
            </w:pPr>
            <w:r w:rsidRPr="004D0DAA">
              <w:rPr>
                <w:lang w:eastAsia="en-US"/>
              </w:rPr>
              <w:t>00010111</w:t>
            </w:r>
          </w:p>
        </w:tc>
        <w:tc>
          <w:tcPr>
            <w:tcW w:w="1701" w:type="dxa"/>
          </w:tcPr>
          <w:p w14:paraId="32736882" w14:textId="77777777" w:rsidR="00711444" w:rsidRPr="004D0DAA" w:rsidRDefault="00711444" w:rsidP="00AA2A4C">
            <w:pPr>
              <w:pStyle w:val="TAL"/>
              <w:rPr>
                <w:lang w:eastAsia="en-US"/>
              </w:rPr>
            </w:pPr>
            <w:r w:rsidRPr="004D0DAA">
              <w:rPr>
                <w:lang w:eastAsia="en-US"/>
              </w:rPr>
              <w:t>38</w:t>
            </w:r>
          </w:p>
        </w:tc>
        <w:tc>
          <w:tcPr>
            <w:tcW w:w="1701" w:type="dxa"/>
          </w:tcPr>
          <w:p w14:paraId="107D0D55" w14:textId="77777777" w:rsidR="00711444" w:rsidRPr="004D0DAA" w:rsidRDefault="00711444" w:rsidP="00AA2A4C">
            <w:pPr>
              <w:pStyle w:val="TAL"/>
              <w:rPr>
                <w:lang w:eastAsia="en-US"/>
              </w:rPr>
            </w:pPr>
            <w:r w:rsidRPr="004D0DAA">
              <w:rPr>
                <w:lang w:eastAsia="en-US"/>
              </w:rPr>
              <w:t>000011010110</w:t>
            </w:r>
          </w:p>
        </w:tc>
      </w:tr>
      <w:tr w:rsidR="00711444" w:rsidRPr="004D0DAA" w14:paraId="1E7AEE58" w14:textId="77777777" w:rsidTr="00AA2A4C">
        <w:tblPrEx>
          <w:tblCellMar>
            <w:top w:w="0" w:type="dxa"/>
            <w:bottom w:w="0" w:type="dxa"/>
          </w:tblCellMar>
        </w:tblPrEx>
        <w:trPr>
          <w:jc w:val="center"/>
        </w:trPr>
        <w:tc>
          <w:tcPr>
            <w:tcW w:w="1701" w:type="dxa"/>
          </w:tcPr>
          <w:p w14:paraId="35720F2F" w14:textId="77777777" w:rsidR="00711444" w:rsidRPr="004D0DAA" w:rsidRDefault="00711444" w:rsidP="00AA2A4C">
            <w:pPr>
              <w:pStyle w:val="TAL"/>
              <w:rPr>
                <w:lang w:eastAsia="en-US"/>
              </w:rPr>
            </w:pPr>
            <w:r w:rsidRPr="004D0DAA">
              <w:rPr>
                <w:lang w:eastAsia="en-US"/>
              </w:rPr>
              <w:t>39</w:t>
            </w:r>
          </w:p>
        </w:tc>
        <w:tc>
          <w:tcPr>
            <w:tcW w:w="1701" w:type="dxa"/>
          </w:tcPr>
          <w:p w14:paraId="73BD4A59" w14:textId="77777777" w:rsidR="00711444" w:rsidRPr="004D0DAA" w:rsidRDefault="00711444" w:rsidP="00AA2A4C">
            <w:pPr>
              <w:pStyle w:val="TAL"/>
              <w:rPr>
                <w:lang w:eastAsia="en-US"/>
              </w:rPr>
            </w:pPr>
            <w:r w:rsidRPr="004D0DAA">
              <w:rPr>
                <w:lang w:eastAsia="en-US"/>
              </w:rPr>
              <w:t>00101000</w:t>
            </w:r>
          </w:p>
        </w:tc>
        <w:tc>
          <w:tcPr>
            <w:tcW w:w="1701" w:type="dxa"/>
          </w:tcPr>
          <w:p w14:paraId="3FDA3517" w14:textId="77777777" w:rsidR="00711444" w:rsidRPr="004D0DAA" w:rsidRDefault="00711444" w:rsidP="00AA2A4C">
            <w:pPr>
              <w:pStyle w:val="TAL"/>
              <w:rPr>
                <w:lang w:eastAsia="en-US"/>
              </w:rPr>
            </w:pPr>
            <w:r w:rsidRPr="004D0DAA">
              <w:rPr>
                <w:lang w:eastAsia="en-US"/>
              </w:rPr>
              <w:t>39</w:t>
            </w:r>
          </w:p>
        </w:tc>
        <w:tc>
          <w:tcPr>
            <w:tcW w:w="1701" w:type="dxa"/>
          </w:tcPr>
          <w:p w14:paraId="31337777" w14:textId="77777777" w:rsidR="00711444" w:rsidRPr="004D0DAA" w:rsidRDefault="00711444" w:rsidP="00AA2A4C">
            <w:pPr>
              <w:pStyle w:val="TAL"/>
              <w:rPr>
                <w:lang w:eastAsia="en-US"/>
              </w:rPr>
            </w:pPr>
            <w:r w:rsidRPr="004D0DAA">
              <w:rPr>
                <w:lang w:eastAsia="en-US"/>
              </w:rPr>
              <w:t>000011010111</w:t>
            </w:r>
          </w:p>
        </w:tc>
      </w:tr>
      <w:tr w:rsidR="00711444" w:rsidRPr="004D0DAA" w14:paraId="7E999943" w14:textId="77777777" w:rsidTr="00AA2A4C">
        <w:tblPrEx>
          <w:tblCellMar>
            <w:top w:w="0" w:type="dxa"/>
            <w:bottom w:w="0" w:type="dxa"/>
          </w:tblCellMar>
        </w:tblPrEx>
        <w:trPr>
          <w:jc w:val="center"/>
        </w:trPr>
        <w:tc>
          <w:tcPr>
            <w:tcW w:w="1701" w:type="dxa"/>
          </w:tcPr>
          <w:p w14:paraId="6D165ED6" w14:textId="77777777" w:rsidR="00711444" w:rsidRPr="004D0DAA" w:rsidRDefault="00711444" w:rsidP="00AA2A4C">
            <w:pPr>
              <w:pStyle w:val="TAL"/>
              <w:rPr>
                <w:lang w:eastAsia="en-US"/>
              </w:rPr>
            </w:pPr>
            <w:r w:rsidRPr="004D0DAA">
              <w:rPr>
                <w:lang w:eastAsia="en-US"/>
              </w:rPr>
              <w:t>40</w:t>
            </w:r>
          </w:p>
        </w:tc>
        <w:tc>
          <w:tcPr>
            <w:tcW w:w="1701" w:type="dxa"/>
          </w:tcPr>
          <w:p w14:paraId="0E4132C7" w14:textId="77777777" w:rsidR="00711444" w:rsidRPr="004D0DAA" w:rsidRDefault="00711444" w:rsidP="00AA2A4C">
            <w:pPr>
              <w:pStyle w:val="TAL"/>
              <w:rPr>
                <w:lang w:eastAsia="en-US"/>
              </w:rPr>
            </w:pPr>
            <w:r w:rsidRPr="004D0DAA">
              <w:rPr>
                <w:lang w:eastAsia="en-US"/>
              </w:rPr>
              <w:t>00101001</w:t>
            </w:r>
          </w:p>
        </w:tc>
        <w:tc>
          <w:tcPr>
            <w:tcW w:w="1701" w:type="dxa"/>
          </w:tcPr>
          <w:p w14:paraId="7645B9A8" w14:textId="77777777" w:rsidR="00711444" w:rsidRPr="004D0DAA" w:rsidRDefault="00711444" w:rsidP="00AA2A4C">
            <w:pPr>
              <w:pStyle w:val="TAL"/>
              <w:rPr>
                <w:lang w:eastAsia="en-US"/>
              </w:rPr>
            </w:pPr>
            <w:r w:rsidRPr="004D0DAA">
              <w:rPr>
                <w:lang w:eastAsia="en-US"/>
              </w:rPr>
              <w:t>40</w:t>
            </w:r>
          </w:p>
        </w:tc>
        <w:tc>
          <w:tcPr>
            <w:tcW w:w="1701" w:type="dxa"/>
          </w:tcPr>
          <w:p w14:paraId="6BF0592A" w14:textId="77777777" w:rsidR="00711444" w:rsidRPr="004D0DAA" w:rsidRDefault="00711444" w:rsidP="00AA2A4C">
            <w:pPr>
              <w:pStyle w:val="TAL"/>
              <w:rPr>
                <w:lang w:eastAsia="en-US"/>
              </w:rPr>
            </w:pPr>
            <w:r w:rsidRPr="004D0DAA">
              <w:rPr>
                <w:lang w:eastAsia="en-US"/>
              </w:rPr>
              <w:t>000001101100</w:t>
            </w:r>
          </w:p>
        </w:tc>
      </w:tr>
      <w:tr w:rsidR="00711444" w:rsidRPr="004D0DAA" w14:paraId="4D343ACD" w14:textId="77777777" w:rsidTr="00AA2A4C">
        <w:tblPrEx>
          <w:tblCellMar>
            <w:top w:w="0" w:type="dxa"/>
            <w:bottom w:w="0" w:type="dxa"/>
          </w:tblCellMar>
        </w:tblPrEx>
        <w:trPr>
          <w:jc w:val="center"/>
        </w:trPr>
        <w:tc>
          <w:tcPr>
            <w:tcW w:w="1701" w:type="dxa"/>
          </w:tcPr>
          <w:p w14:paraId="6599AD07" w14:textId="77777777" w:rsidR="00711444" w:rsidRPr="004D0DAA" w:rsidRDefault="00711444" w:rsidP="00AA2A4C">
            <w:pPr>
              <w:pStyle w:val="TAL"/>
              <w:rPr>
                <w:lang w:eastAsia="en-US"/>
              </w:rPr>
            </w:pPr>
            <w:r w:rsidRPr="004D0DAA">
              <w:rPr>
                <w:lang w:eastAsia="en-US"/>
              </w:rPr>
              <w:t>41</w:t>
            </w:r>
          </w:p>
        </w:tc>
        <w:tc>
          <w:tcPr>
            <w:tcW w:w="1701" w:type="dxa"/>
          </w:tcPr>
          <w:p w14:paraId="538FD1F7" w14:textId="77777777" w:rsidR="00711444" w:rsidRPr="004D0DAA" w:rsidRDefault="00711444" w:rsidP="00AA2A4C">
            <w:pPr>
              <w:pStyle w:val="TAL"/>
              <w:rPr>
                <w:lang w:eastAsia="en-US"/>
              </w:rPr>
            </w:pPr>
            <w:r w:rsidRPr="004D0DAA">
              <w:rPr>
                <w:lang w:eastAsia="en-US"/>
              </w:rPr>
              <w:t>00101010</w:t>
            </w:r>
          </w:p>
        </w:tc>
        <w:tc>
          <w:tcPr>
            <w:tcW w:w="1701" w:type="dxa"/>
          </w:tcPr>
          <w:p w14:paraId="4F76C433" w14:textId="77777777" w:rsidR="00711444" w:rsidRPr="004D0DAA" w:rsidRDefault="00711444" w:rsidP="00AA2A4C">
            <w:pPr>
              <w:pStyle w:val="TAL"/>
              <w:rPr>
                <w:lang w:eastAsia="en-US"/>
              </w:rPr>
            </w:pPr>
            <w:r w:rsidRPr="004D0DAA">
              <w:rPr>
                <w:lang w:eastAsia="en-US"/>
              </w:rPr>
              <w:t>41</w:t>
            </w:r>
          </w:p>
        </w:tc>
        <w:tc>
          <w:tcPr>
            <w:tcW w:w="1701" w:type="dxa"/>
          </w:tcPr>
          <w:p w14:paraId="1A51BFB5" w14:textId="77777777" w:rsidR="00711444" w:rsidRPr="004D0DAA" w:rsidRDefault="00711444" w:rsidP="00AA2A4C">
            <w:pPr>
              <w:pStyle w:val="TAL"/>
              <w:rPr>
                <w:lang w:eastAsia="en-US"/>
              </w:rPr>
            </w:pPr>
            <w:r w:rsidRPr="004D0DAA">
              <w:rPr>
                <w:lang w:eastAsia="en-US"/>
              </w:rPr>
              <w:t>000001101101</w:t>
            </w:r>
          </w:p>
        </w:tc>
      </w:tr>
      <w:tr w:rsidR="00711444" w:rsidRPr="004D0DAA" w14:paraId="45FD6EEB" w14:textId="77777777" w:rsidTr="00AA2A4C">
        <w:tblPrEx>
          <w:tblCellMar>
            <w:top w:w="0" w:type="dxa"/>
            <w:bottom w:w="0" w:type="dxa"/>
          </w:tblCellMar>
        </w:tblPrEx>
        <w:trPr>
          <w:jc w:val="center"/>
        </w:trPr>
        <w:tc>
          <w:tcPr>
            <w:tcW w:w="1701" w:type="dxa"/>
          </w:tcPr>
          <w:p w14:paraId="67C09F37" w14:textId="77777777" w:rsidR="00711444" w:rsidRPr="004D0DAA" w:rsidRDefault="00711444" w:rsidP="00AA2A4C">
            <w:pPr>
              <w:pStyle w:val="TAL"/>
              <w:rPr>
                <w:lang w:eastAsia="en-US"/>
              </w:rPr>
            </w:pPr>
            <w:r w:rsidRPr="004D0DAA">
              <w:rPr>
                <w:lang w:eastAsia="en-US"/>
              </w:rPr>
              <w:t>42</w:t>
            </w:r>
          </w:p>
        </w:tc>
        <w:tc>
          <w:tcPr>
            <w:tcW w:w="1701" w:type="dxa"/>
          </w:tcPr>
          <w:p w14:paraId="63A8EB87" w14:textId="77777777" w:rsidR="00711444" w:rsidRPr="004D0DAA" w:rsidRDefault="00711444" w:rsidP="00AA2A4C">
            <w:pPr>
              <w:pStyle w:val="TAL"/>
              <w:rPr>
                <w:lang w:eastAsia="en-US"/>
              </w:rPr>
            </w:pPr>
            <w:r w:rsidRPr="004D0DAA">
              <w:rPr>
                <w:lang w:eastAsia="en-US"/>
              </w:rPr>
              <w:t>00101011</w:t>
            </w:r>
          </w:p>
        </w:tc>
        <w:tc>
          <w:tcPr>
            <w:tcW w:w="1701" w:type="dxa"/>
          </w:tcPr>
          <w:p w14:paraId="62607F1F" w14:textId="77777777" w:rsidR="00711444" w:rsidRPr="004D0DAA" w:rsidRDefault="00711444" w:rsidP="00AA2A4C">
            <w:pPr>
              <w:pStyle w:val="TAL"/>
              <w:rPr>
                <w:lang w:eastAsia="en-US"/>
              </w:rPr>
            </w:pPr>
            <w:r w:rsidRPr="004D0DAA">
              <w:rPr>
                <w:lang w:eastAsia="en-US"/>
              </w:rPr>
              <w:t>42</w:t>
            </w:r>
          </w:p>
        </w:tc>
        <w:tc>
          <w:tcPr>
            <w:tcW w:w="1701" w:type="dxa"/>
          </w:tcPr>
          <w:p w14:paraId="2AF9A360" w14:textId="77777777" w:rsidR="00711444" w:rsidRPr="004D0DAA" w:rsidRDefault="00711444" w:rsidP="00AA2A4C">
            <w:pPr>
              <w:pStyle w:val="TAL"/>
              <w:rPr>
                <w:lang w:eastAsia="en-US"/>
              </w:rPr>
            </w:pPr>
            <w:r w:rsidRPr="004D0DAA">
              <w:rPr>
                <w:lang w:eastAsia="en-US"/>
              </w:rPr>
              <w:t>000011011010</w:t>
            </w:r>
          </w:p>
        </w:tc>
      </w:tr>
      <w:tr w:rsidR="00711444" w:rsidRPr="004D0DAA" w14:paraId="4DCBBF69" w14:textId="77777777" w:rsidTr="00AA2A4C">
        <w:tblPrEx>
          <w:tblCellMar>
            <w:top w:w="0" w:type="dxa"/>
            <w:bottom w:w="0" w:type="dxa"/>
          </w:tblCellMar>
        </w:tblPrEx>
        <w:trPr>
          <w:jc w:val="center"/>
        </w:trPr>
        <w:tc>
          <w:tcPr>
            <w:tcW w:w="1701" w:type="dxa"/>
          </w:tcPr>
          <w:p w14:paraId="26950D6E" w14:textId="77777777" w:rsidR="00711444" w:rsidRPr="004D0DAA" w:rsidRDefault="00711444" w:rsidP="00AA2A4C">
            <w:pPr>
              <w:pStyle w:val="TAL"/>
              <w:rPr>
                <w:lang w:eastAsia="en-US"/>
              </w:rPr>
            </w:pPr>
            <w:r w:rsidRPr="004D0DAA">
              <w:rPr>
                <w:lang w:eastAsia="en-US"/>
              </w:rPr>
              <w:t>43</w:t>
            </w:r>
          </w:p>
        </w:tc>
        <w:tc>
          <w:tcPr>
            <w:tcW w:w="1701" w:type="dxa"/>
          </w:tcPr>
          <w:p w14:paraId="3F31098E" w14:textId="77777777" w:rsidR="00711444" w:rsidRPr="004D0DAA" w:rsidRDefault="00711444" w:rsidP="00AA2A4C">
            <w:pPr>
              <w:pStyle w:val="TAL"/>
              <w:rPr>
                <w:lang w:eastAsia="en-US"/>
              </w:rPr>
            </w:pPr>
            <w:r w:rsidRPr="004D0DAA">
              <w:rPr>
                <w:lang w:eastAsia="en-US"/>
              </w:rPr>
              <w:t>00101100</w:t>
            </w:r>
          </w:p>
        </w:tc>
        <w:tc>
          <w:tcPr>
            <w:tcW w:w="1701" w:type="dxa"/>
          </w:tcPr>
          <w:p w14:paraId="57486932" w14:textId="77777777" w:rsidR="00711444" w:rsidRPr="004D0DAA" w:rsidRDefault="00711444" w:rsidP="00AA2A4C">
            <w:pPr>
              <w:pStyle w:val="TAL"/>
              <w:rPr>
                <w:lang w:eastAsia="en-US"/>
              </w:rPr>
            </w:pPr>
            <w:r w:rsidRPr="004D0DAA">
              <w:rPr>
                <w:lang w:eastAsia="en-US"/>
              </w:rPr>
              <w:t>43</w:t>
            </w:r>
          </w:p>
        </w:tc>
        <w:tc>
          <w:tcPr>
            <w:tcW w:w="1701" w:type="dxa"/>
          </w:tcPr>
          <w:p w14:paraId="0FF8907D" w14:textId="77777777" w:rsidR="00711444" w:rsidRPr="004D0DAA" w:rsidRDefault="00711444" w:rsidP="00AA2A4C">
            <w:pPr>
              <w:pStyle w:val="TAL"/>
              <w:rPr>
                <w:lang w:eastAsia="en-US"/>
              </w:rPr>
            </w:pPr>
            <w:r w:rsidRPr="004D0DAA">
              <w:rPr>
                <w:lang w:eastAsia="en-US"/>
              </w:rPr>
              <w:t>000011011011</w:t>
            </w:r>
          </w:p>
        </w:tc>
      </w:tr>
      <w:tr w:rsidR="00711444" w:rsidRPr="004D0DAA" w14:paraId="5F403580" w14:textId="77777777" w:rsidTr="00AA2A4C">
        <w:tblPrEx>
          <w:tblCellMar>
            <w:top w:w="0" w:type="dxa"/>
            <w:bottom w:w="0" w:type="dxa"/>
          </w:tblCellMar>
        </w:tblPrEx>
        <w:trPr>
          <w:jc w:val="center"/>
        </w:trPr>
        <w:tc>
          <w:tcPr>
            <w:tcW w:w="1701" w:type="dxa"/>
          </w:tcPr>
          <w:p w14:paraId="1C7AFB3C" w14:textId="77777777" w:rsidR="00711444" w:rsidRPr="004D0DAA" w:rsidRDefault="00711444" w:rsidP="00AA2A4C">
            <w:pPr>
              <w:pStyle w:val="TAL"/>
              <w:rPr>
                <w:lang w:eastAsia="en-US"/>
              </w:rPr>
            </w:pPr>
            <w:r w:rsidRPr="004D0DAA">
              <w:rPr>
                <w:lang w:eastAsia="en-US"/>
              </w:rPr>
              <w:t>44</w:t>
            </w:r>
          </w:p>
        </w:tc>
        <w:tc>
          <w:tcPr>
            <w:tcW w:w="1701" w:type="dxa"/>
          </w:tcPr>
          <w:p w14:paraId="3504E957" w14:textId="77777777" w:rsidR="00711444" w:rsidRPr="004D0DAA" w:rsidRDefault="00711444" w:rsidP="00AA2A4C">
            <w:pPr>
              <w:pStyle w:val="TAL"/>
              <w:rPr>
                <w:lang w:eastAsia="en-US"/>
              </w:rPr>
            </w:pPr>
            <w:r w:rsidRPr="004D0DAA">
              <w:rPr>
                <w:lang w:eastAsia="en-US"/>
              </w:rPr>
              <w:t>00101101</w:t>
            </w:r>
          </w:p>
        </w:tc>
        <w:tc>
          <w:tcPr>
            <w:tcW w:w="1701" w:type="dxa"/>
          </w:tcPr>
          <w:p w14:paraId="18787F75" w14:textId="77777777" w:rsidR="00711444" w:rsidRPr="004D0DAA" w:rsidRDefault="00711444" w:rsidP="00AA2A4C">
            <w:pPr>
              <w:pStyle w:val="TAL"/>
              <w:rPr>
                <w:lang w:eastAsia="en-US"/>
              </w:rPr>
            </w:pPr>
            <w:r w:rsidRPr="004D0DAA">
              <w:rPr>
                <w:lang w:eastAsia="en-US"/>
              </w:rPr>
              <w:t>44</w:t>
            </w:r>
          </w:p>
        </w:tc>
        <w:tc>
          <w:tcPr>
            <w:tcW w:w="1701" w:type="dxa"/>
          </w:tcPr>
          <w:p w14:paraId="61BE5E9A" w14:textId="77777777" w:rsidR="00711444" w:rsidRPr="004D0DAA" w:rsidRDefault="00711444" w:rsidP="00AA2A4C">
            <w:pPr>
              <w:pStyle w:val="TAL"/>
              <w:rPr>
                <w:lang w:eastAsia="en-US"/>
              </w:rPr>
            </w:pPr>
            <w:r w:rsidRPr="004D0DAA">
              <w:rPr>
                <w:lang w:eastAsia="en-US"/>
              </w:rPr>
              <w:t>000001010100</w:t>
            </w:r>
          </w:p>
        </w:tc>
      </w:tr>
      <w:tr w:rsidR="00711444" w:rsidRPr="004D0DAA" w14:paraId="599B3DBA" w14:textId="77777777" w:rsidTr="00AA2A4C">
        <w:tblPrEx>
          <w:tblCellMar>
            <w:top w:w="0" w:type="dxa"/>
            <w:bottom w:w="0" w:type="dxa"/>
          </w:tblCellMar>
        </w:tblPrEx>
        <w:trPr>
          <w:jc w:val="center"/>
        </w:trPr>
        <w:tc>
          <w:tcPr>
            <w:tcW w:w="1701" w:type="dxa"/>
          </w:tcPr>
          <w:p w14:paraId="3D515D7F" w14:textId="77777777" w:rsidR="00711444" w:rsidRPr="004D0DAA" w:rsidRDefault="00711444" w:rsidP="00AA2A4C">
            <w:pPr>
              <w:pStyle w:val="TAL"/>
              <w:rPr>
                <w:lang w:eastAsia="en-US"/>
              </w:rPr>
            </w:pPr>
            <w:r w:rsidRPr="004D0DAA">
              <w:rPr>
                <w:lang w:eastAsia="en-US"/>
              </w:rPr>
              <w:t>45</w:t>
            </w:r>
          </w:p>
        </w:tc>
        <w:tc>
          <w:tcPr>
            <w:tcW w:w="1701" w:type="dxa"/>
          </w:tcPr>
          <w:p w14:paraId="757C9D7C" w14:textId="77777777" w:rsidR="00711444" w:rsidRPr="004D0DAA" w:rsidRDefault="00711444" w:rsidP="00AA2A4C">
            <w:pPr>
              <w:pStyle w:val="TAL"/>
              <w:rPr>
                <w:lang w:eastAsia="en-US"/>
              </w:rPr>
            </w:pPr>
            <w:r w:rsidRPr="004D0DAA">
              <w:rPr>
                <w:lang w:eastAsia="en-US"/>
              </w:rPr>
              <w:t>00000100</w:t>
            </w:r>
          </w:p>
        </w:tc>
        <w:tc>
          <w:tcPr>
            <w:tcW w:w="1701" w:type="dxa"/>
          </w:tcPr>
          <w:p w14:paraId="48B2A1C5" w14:textId="77777777" w:rsidR="00711444" w:rsidRPr="004D0DAA" w:rsidRDefault="00711444" w:rsidP="00AA2A4C">
            <w:pPr>
              <w:pStyle w:val="TAL"/>
              <w:rPr>
                <w:lang w:eastAsia="en-US"/>
              </w:rPr>
            </w:pPr>
            <w:r w:rsidRPr="004D0DAA">
              <w:rPr>
                <w:lang w:eastAsia="en-US"/>
              </w:rPr>
              <w:t>45</w:t>
            </w:r>
          </w:p>
        </w:tc>
        <w:tc>
          <w:tcPr>
            <w:tcW w:w="1701" w:type="dxa"/>
          </w:tcPr>
          <w:p w14:paraId="07F4E8FF" w14:textId="77777777" w:rsidR="00711444" w:rsidRPr="004D0DAA" w:rsidRDefault="00711444" w:rsidP="00AA2A4C">
            <w:pPr>
              <w:pStyle w:val="TAL"/>
              <w:rPr>
                <w:lang w:eastAsia="en-US"/>
              </w:rPr>
            </w:pPr>
            <w:r w:rsidRPr="004D0DAA">
              <w:rPr>
                <w:lang w:eastAsia="en-US"/>
              </w:rPr>
              <w:t>000001010101</w:t>
            </w:r>
          </w:p>
        </w:tc>
      </w:tr>
      <w:tr w:rsidR="00711444" w:rsidRPr="004D0DAA" w14:paraId="0D7A084D" w14:textId="77777777" w:rsidTr="00AA2A4C">
        <w:tblPrEx>
          <w:tblCellMar>
            <w:top w:w="0" w:type="dxa"/>
            <w:bottom w:w="0" w:type="dxa"/>
          </w:tblCellMar>
        </w:tblPrEx>
        <w:trPr>
          <w:jc w:val="center"/>
        </w:trPr>
        <w:tc>
          <w:tcPr>
            <w:tcW w:w="1701" w:type="dxa"/>
          </w:tcPr>
          <w:p w14:paraId="339BE02A" w14:textId="77777777" w:rsidR="00711444" w:rsidRPr="004D0DAA" w:rsidRDefault="00711444" w:rsidP="00AA2A4C">
            <w:pPr>
              <w:pStyle w:val="TAL"/>
              <w:rPr>
                <w:lang w:eastAsia="en-US"/>
              </w:rPr>
            </w:pPr>
            <w:r w:rsidRPr="004D0DAA">
              <w:rPr>
                <w:lang w:eastAsia="en-US"/>
              </w:rPr>
              <w:t>46</w:t>
            </w:r>
          </w:p>
        </w:tc>
        <w:tc>
          <w:tcPr>
            <w:tcW w:w="1701" w:type="dxa"/>
          </w:tcPr>
          <w:p w14:paraId="7DF36BB1" w14:textId="77777777" w:rsidR="00711444" w:rsidRPr="004D0DAA" w:rsidRDefault="00711444" w:rsidP="00AA2A4C">
            <w:pPr>
              <w:pStyle w:val="TAL"/>
              <w:rPr>
                <w:lang w:eastAsia="en-US"/>
              </w:rPr>
            </w:pPr>
            <w:r w:rsidRPr="004D0DAA">
              <w:rPr>
                <w:lang w:eastAsia="en-US"/>
              </w:rPr>
              <w:t>00000101</w:t>
            </w:r>
          </w:p>
        </w:tc>
        <w:tc>
          <w:tcPr>
            <w:tcW w:w="1701" w:type="dxa"/>
          </w:tcPr>
          <w:p w14:paraId="7E776D98" w14:textId="77777777" w:rsidR="00711444" w:rsidRPr="004D0DAA" w:rsidRDefault="00711444" w:rsidP="00AA2A4C">
            <w:pPr>
              <w:pStyle w:val="TAL"/>
              <w:rPr>
                <w:lang w:eastAsia="en-US"/>
              </w:rPr>
            </w:pPr>
            <w:r w:rsidRPr="004D0DAA">
              <w:rPr>
                <w:lang w:eastAsia="en-US"/>
              </w:rPr>
              <w:t>46</w:t>
            </w:r>
          </w:p>
        </w:tc>
        <w:tc>
          <w:tcPr>
            <w:tcW w:w="1701" w:type="dxa"/>
          </w:tcPr>
          <w:p w14:paraId="46B449A5" w14:textId="77777777" w:rsidR="00711444" w:rsidRPr="004D0DAA" w:rsidRDefault="00711444" w:rsidP="00AA2A4C">
            <w:pPr>
              <w:pStyle w:val="TAL"/>
              <w:rPr>
                <w:lang w:eastAsia="en-US"/>
              </w:rPr>
            </w:pPr>
            <w:r w:rsidRPr="004D0DAA">
              <w:rPr>
                <w:lang w:eastAsia="en-US"/>
              </w:rPr>
              <w:t>000001010110</w:t>
            </w:r>
          </w:p>
        </w:tc>
      </w:tr>
      <w:tr w:rsidR="00711444" w:rsidRPr="004D0DAA" w14:paraId="69A646D1" w14:textId="77777777" w:rsidTr="00AA2A4C">
        <w:tblPrEx>
          <w:tblCellMar>
            <w:top w:w="0" w:type="dxa"/>
            <w:bottom w:w="0" w:type="dxa"/>
          </w:tblCellMar>
        </w:tblPrEx>
        <w:trPr>
          <w:jc w:val="center"/>
        </w:trPr>
        <w:tc>
          <w:tcPr>
            <w:tcW w:w="1701" w:type="dxa"/>
          </w:tcPr>
          <w:p w14:paraId="1D9D1EC8" w14:textId="77777777" w:rsidR="00711444" w:rsidRPr="004D0DAA" w:rsidRDefault="00711444" w:rsidP="00AA2A4C">
            <w:pPr>
              <w:pStyle w:val="TAL"/>
              <w:rPr>
                <w:lang w:eastAsia="en-US"/>
              </w:rPr>
            </w:pPr>
            <w:r w:rsidRPr="004D0DAA">
              <w:rPr>
                <w:lang w:eastAsia="en-US"/>
              </w:rPr>
              <w:t>47</w:t>
            </w:r>
          </w:p>
        </w:tc>
        <w:tc>
          <w:tcPr>
            <w:tcW w:w="1701" w:type="dxa"/>
          </w:tcPr>
          <w:p w14:paraId="2FB2A9F6" w14:textId="77777777" w:rsidR="00711444" w:rsidRPr="004D0DAA" w:rsidRDefault="00711444" w:rsidP="00AA2A4C">
            <w:pPr>
              <w:pStyle w:val="TAL"/>
              <w:rPr>
                <w:lang w:eastAsia="en-US"/>
              </w:rPr>
            </w:pPr>
            <w:r w:rsidRPr="004D0DAA">
              <w:rPr>
                <w:lang w:eastAsia="en-US"/>
              </w:rPr>
              <w:t>00001010</w:t>
            </w:r>
          </w:p>
        </w:tc>
        <w:tc>
          <w:tcPr>
            <w:tcW w:w="1701" w:type="dxa"/>
          </w:tcPr>
          <w:p w14:paraId="742F0AE5" w14:textId="77777777" w:rsidR="00711444" w:rsidRPr="004D0DAA" w:rsidRDefault="00711444" w:rsidP="00AA2A4C">
            <w:pPr>
              <w:pStyle w:val="TAL"/>
              <w:rPr>
                <w:lang w:eastAsia="en-US"/>
              </w:rPr>
            </w:pPr>
            <w:r w:rsidRPr="004D0DAA">
              <w:rPr>
                <w:lang w:eastAsia="en-US"/>
              </w:rPr>
              <w:t>47</w:t>
            </w:r>
          </w:p>
        </w:tc>
        <w:tc>
          <w:tcPr>
            <w:tcW w:w="1701" w:type="dxa"/>
          </w:tcPr>
          <w:p w14:paraId="4BC1ECCD" w14:textId="77777777" w:rsidR="00711444" w:rsidRPr="004D0DAA" w:rsidRDefault="00711444" w:rsidP="00AA2A4C">
            <w:pPr>
              <w:pStyle w:val="TAL"/>
              <w:rPr>
                <w:lang w:eastAsia="en-US"/>
              </w:rPr>
            </w:pPr>
            <w:r w:rsidRPr="004D0DAA">
              <w:rPr>
                <w:lang w:eastAsia="en-US"/>
              </w:rPr>
              <w:t>000001010111</w:t>
            </w:r>
          </w:p>
        </w:tc>
      </w:tr>
      <w:tr w:rsidR="00711444" w:rsidRPr="004D0DAA" w14:paraId="1043126D" w14:textId="77777777" w:rsidTr="00AA2A4C">
        <w:tblPrEx>
          <w:tblCellMar>
            <w:top w:w="0" w:type="dxa"/>
            <w:bottom w:w="0" w:type="dxa"/>
          </w:tblCellMar>
        </w:tblPrEx>
        <w:trPr>
          <w:jc w:val="center"/>
        </w:trPr>
        <w:tc>
          <w:tcPr>
            <w:tcW w:w="1701" w:type="dxa"/>
          </w:tcPr>
          <w:p w14:paraId="2AF7B1AB" w14:textId="77777777" w:rsidR="00711444" w:rsidRPr="004D0DAA" w:rsidRDefault="00711444" w:rsidP="00AA2A4C">
            <w:pPr>
              <w:pStyle w:val="TAL"/>
              <w:rPr>
                <w:lang w:eastAsia="en-US"/>
              </w:rPr>
            </w:pPr>
            <w:r w:rsidRPr="004D0DAA">
              <w:rPr>
                <w:lang w:eastAsia="en-US"/>
              </w:rPr>
              <w:t>48</w:t>
            </w:r>
          </w:p>
        </w:tc>
        <w:tc>
          <w:tcPr>
            <w:tcW w:w="1701" w:type="dxa"/>
          </w:tcPr>
          <w:p w14:paraId="7B67BC9E" w14:textId="77777777" w:rsidR="00711444" w:rsidRPr="004D0DAA" w:rsidRDefault="00711444" w:rsidP="00AA2A4C">
            <w:pPr>
              <w:pStyle w:val="TAL"/>
              <w:rPr>
                <w:lang w:eastAsia="en-US"/>
              </w:rPr>
            </w:pPr>
            <w:r w:rsidRPr="004D0DAA">
              <w:rPr>
                <w:lang w:eastAsia="en-US"/>
              </w:rPr>
              <w:t>00001011</w:t>
            </w:r>
          </w:p>
        </w:tc>
        <w:tc>
          <w:tcPr>
            <w:tcW w:w="1701" w:type="dxa"/>
          </w:tcPr>
          <w:p w14:paraId="55BBEEE3" w14:textId="77777777" w:rsidR="00711444" w:rsidRPr="004D0DAA" w:rsidRDefault="00711444" w:rsidP="00AA2A4C">
            <w:pPr>
              <w:pStyle w:val="TAL"/>
              <w:rPr>
                <w:lang w:eastAsia="en-US"/>
              </w:rPr>
            </w:pPr>
            <w:r w:rsidRPr="004D0DAA">
              <w:rPr>
                <w:lang w:eastAsia="en-US"/>
              </w:rPr>
              <w:t>48</w:t>
            </w:r>
          </w:p>
        </w:tc>
        <w:tc>
          <w:tcPr>
            <w:tcW w:w="1701" w:type="dxa"/>
          </w:tcPr>
          <w:p w14:paraId="25C84D1D" w14:textId="77777777" w:rsidR="00711444" w:rsidRPr="004D0DAA" w:rsidRDefault="00711444" w:rsidP="00AA2A4C">
            <w:pPr>
              <w:pStyle w:val="TAL"/>
              <w:rPr>
                <w:lang w:eastAsia="en-US"/>
              </w:rPr>
            </w:pPr>
            <w:r w:rsidRPr="004D0DAA">
              <w:rPr>
                <w:lang w:eastAsia="en-US"/>
              </w:rPr>
              <w:t>000001100100</w:t>
            </w:r>
          </w:p>
        </w:tc>
      </w:tr>
      <w:tr w:rsidR="00711444" w:rsidRPr="004D0DAA" w14:paraId="6DA374E7" w14:textId="77777777" w:rsidTr="00AA2A4C">
        <w:tblPrEx>
          <w:tblCellMar>
            <w:top w:w="0" w:type="dxa"/>
            <w:bottom w:w="0" w:type="dxa"/>
          </w:tblCellMar>
        </w:tblPrEx>
        <w:trPr>
          <w:jc w:val="center"/>
        </w:trPr>
        <w:tc>
          <w:tcPr>
            <w:tcW w:w="1701" w:type="dxa"/>
          </w:tcPr>
          <w:p w14:paraId="78269E9C" w14:textId="77777777" w:rsidR="00711444" w:rsidRPr="004D0DAA" w:rsidRDefault="00711444" w:rsidP="00AA2A4C">
            <w:pPr>
              <w:pStyle w:val="TAL"/>
              <w:rPr>
                <w:lang w:eastAsia="en-US"/>
              </w:rPr>
            </w:pPr>
            <w:r w:rsidRPr="004D0DAA">
              <w:rPr>
                <w:lang w:eastAsia="en-US"/>
              </w:rPr>
              <w:t>49</w:t>
            </w:r>
          </w:p>
        </w:tc>
        <w:tc>
          <w:tcPr>
            <w:tcW w:w="1701" w:type="dxa"/>
          </w:tcPr>
          <w:p w14:paraId="7C9FBDA8" w14:textId="77777777" w:rsidR="00711444" w:rsidRPr="004D0DAA" w:rsidRDefault="00711444" w:rsidP="00AA2A4C">
            <w:pPr>
              <w:pStyle w:val="TAL"/>
              <w:rPr>
                <w:lang w:eastAsia="en-US"/>
              </w:rPr>
            </w:pPr>
            <w:r w:rsidRPr="004D0DAA">
              <w:rPr>
                <w:lang w:eastAsia="en-US"/>
              </w:rPr>
              <w:t>01010010</w:t>
            </w:r>
          </w:p>
        </w:tc>
        <w:tc>
          <w:tcPr>
            <w:tcW w:w="1701" w:type="dxa"/>
          </w:tcPr>
          <w:p w14:paraId="173BC0F5" w14:textId="77777777" w:rsidR="00711444" w:rsidRPr="004D0DAA" w:rsidRDefault="00711444" w:rsidP="00AA2A4C">
            <w:pPr>
              <w:pStyle w:val="TAL"/>
              <w:rPr>
                <w:lang w:eastAsia="en-US"/>
              </w:rPr>
            </w:pPr>
            <w:r w:rsidRPr="004D0DAA">
              <w:rPr>
                <w:lang w:eastAsia="en-US"/>
              </w:rPr>
              <w:t>49</w:t>
            </w:r>
          </w:p>
        </w:tc>
        <w:tc>
          <w:tcPr>
            <w:tcW w:w="1701" w:type="dxa"/>
          </w:tcPr>
          <w:p w14:paraId="6A663245" w14:textId="77777777" w:rsidR="00711444" w:rsidRPr="004D0DAA" w:rsidRDefault="00711444" w:rsidP="00AA2A4C">
            <w:pPr>
              <w:pStyle w:val="TAL"/>
              <w:rPr>
                <w:lang w:eastAsia="en-US"/>
              </w:rPr>
            </w:pPr>
            <w:r w:rsidRPr="004D0DAA">
              <w:rPr>
                <w:lang w:eastAsia="en-US"/>
              </w:rPr>
              <w:t>000001100101</w:t>
            </w:r>
          </w:p>
        </w:tc>
      </w:tr>
      <w:tr w:rsidR="00711444" w:rsidRPr="004D0DAA" w14:paraId="2BF27E86" w14:textId="77777777" w:rsidTr="00AA2A4C">
        <w:tblPrEx>
          <w:tblCellMar>
            <w:top w:w="0" w:type="dxa"/>
            <w:bottom w:w="0" w:type="dxa"/>
          </w:tblCellMar>
        </w:tblPrEx>
        <w:trPr>
          <w:jc w:val="center"/>
        </w:trPr>
        <w:tc>
          <w:tcPr>
            <w:tcW w:w="1701" w:type="dxa"/>
          </w:tcPr>
          <w:p w14:paraId="32C8BB14" w14:textId="77777777" w:rsidR="00711444" w:rsidRPr="004D0DAA" w:rsidRDefault="00711444" w:rsidP="00AA2A4C">
            <w:pPr>
              <w:pStyle w:val="TAL"/>
              <w:rPr>
                <w:lang w:eastAsia="en-US"/>
              </w:rPr>
            </w:pPr>
            <w:r w:rsidRPr="004D0DAA">
              <w:rPr>
                <w:lang w:eastAsia="en-US"/>
              </w:rPr>
              <w:t>50</w:t>
            </w:r>
          </w:p>
        </w:tc>
        <w:tc>
          <w:tcPr>
            <w:tcW w:w="1701" w:type="dxa"/>
          </w:tcPr>
          <w:p w14:paraId="59BDBD2A" w14:textId="77777777" w:rsidR="00711444" w:rsidRPr="004D0DAA" w:rsidRDefault="00711444" w:rsidP="00AA2A4C">
            <w:pPr>
              <w:pStyle w:val="TAL"/>
              <w:rPr>
                <w:lang w:eastAsia="en-US"/>
              </w:rPr>
            </w:pPr>
            <w:r w:rsidRPr="004D0DAA">
              <w:rPr>
                <w:lang w:eastAsia="en-US"/>
              </w:rPr>
              <w:t>01010011</w:t>
            </w:r>
          </w:p>
        </w:tc>
        <w:tc>
          <w:tcPr>
            <w:tcW w:w="1701" w:type="dxa"/>
          </w:tcPr>
          <w:p w14:paraId="5F0ED85C" w14:textId="77777777" w:rsidR="00711444" w:rsidRPr="004D0DAA" w:rsidRDefault="00711444" w:rsidP="00AA2A4C">
            <w:pPr>
              <w:pStyle w:val="TAL"/>
              <w:rPr>
                <w:lang w:eastAsia="en-US"/>
              </w:rPr>
            </w:pPr>
            <w:r w:rsidRPr="004D0DAA">
              <w:rPr>
                <w:lang w:eastAsia="en-US"/>
              </w:rPr>
              <w:t>50</w:t>
            </w:r>
          </w:p>
        </w:tc>
        <w:tc>
          <w:tcPr>
            <w:tcW w:w="1701" w:type="dxa"/>
          </w:tcPr>
          <w:p w14:paraId="578F3509" w14:textId="77777777" w:rsidR="00711444" w:rsidRPr="004D0DAA" w:rsidRDefault="00711444" w:rsidP="00AA2A4C">
            <w:pPr>
              <w:pStyle w:val="TAL"/>
              <w:rPr>
                <w:lang w:eastAsia="en-US"/>
              </w:rPr>
            </w:pPr>
            <w:r w:rsidRPr="004D0DAA">
              <w:rPr>
                <w:lang w:eastAsia="en-US"/>
              </w:rPr>
              <w:t>000001010010</w:t>
            </w:r>
          </w:p>
        </w:tc>
      </w:tr>
      <w:tr w:rsidR="00711444" w:rsidRPr="004D0DAA" w14:paraId="70A456EB" w14:textId="77777777" w:rsidTr="00AA2A4C">
        <w:tblPrEx>
          <w:tblCellMar>
            <w:top w:w="0" w:type="dxa"/>
            <w:bottom w:w="0" w:type="dxa"/>
          </w:tblCellMar>
        </w:tblPrEx>
        <w:trPr>
          <w:jc w:val="center"/>
        </w:trPr>
        <w:tc>
          <w:tcPr>
            <w:tcW w:w="1701" w:type="dxa"/>
          </w:tcPr>
          <w:p w14:paraId="10ECB5DF" w14:textId="77777777" w:rsidR="00711444" w:rsidRPr="004D0DAA" w:rsidRDefault="00711444" w:rsidP="00AA2A4C">
            <w:pPr>
              <w:pStyle w:val="TAL"/>
              <w:rPr>
                <w:lang w:eastAsia="en-US"/>
              </w:rPr>
            </w:pPr>
            <w:r w:rsidRPr="004D0DAA">
              <w:rPr>
                <w:lang w:eastAsia="en-US"/>
              </w:rPr>
              <w:t>51</w:t>
            </w:r>
          </w:p>
        </w:tc>
        <w:tc>
          <w:tcPr>
            <w:tcW w:w="1701" w:type="dxa"/>
          </w:tcPr>
          <w:p w14:paraId="6409E1A9" w14:textId="77777777" w:rsidR="00711444" w:rsidRPr="004D0DAA" w:rsidRDefault="00711444" w:rsidP="00AA2A4C">
            <w:pPr>
              <w:pStyle w:val="TAL"/>
              <w:rPr>
                <w:lang w:eastAsia="en-US"/>
              </w:rPr>
            </w:pPr>
            <w:r w:rsidRPr="004D0DAA">
              <w:rPr>
                <w:lang w:eastAsia="en-US"/>
              </w:rPr>
              <w:t>01010100</w:t>
            </w:r>
          </w:p>
        </w:tc>
        <w:tc>
          <w:tcPr>
            <w:tcW w:w="1701" w:type="dxa"/>
          </w:tcPr>
          <w:p w14:paraId="6A22EC54" w14:textId="77777777" w:rsidR="00711444" w:rsidRPr="004D0DAA" w:rsidRDefault="00711444" w:rsidP="00AA2A4C">
            <w:pPr>
              <w:pStyle w:val="TAL"/>
              <w:rPr>
                <w:lang w:eastAsia="en-US"/>
              </w:rPr>
            </w:pPr>
            <w:r w:rsidRPr="004D0DAA">
              <w:rPr>
                <w:lang w:eastAsia="en-US"/>
              </w:rPr>
              <w:t>51</w:t>
            </w:r>
          </w:p>
        </w:tc>
        <w:tc>
          <w:tcPr>
            <w:tcW w:w="1701" w:type="dxa"/>
          </w:tcPr>
          <w:p w14:paraId="58D14DD9" w14:textId="77777777" w:rsidR="00711444" w:rsidRPr="004D0DAA" w:rsidRDefault="00711444" w:rsidP="00AA2A4C">
            <w:pPr>
              <w:pStyle w:val="TAL"/>
              <w:rPr>
                <w:lang w:eastAsia="en-US"/>
              </w:rPr>
            </w:pPr>
            <w:r w:rsidRPr="004D0DAA">
              <w:rPr>
                <w:lang w:eastAsia="en-US"/>
              </w:rPr>
              <w:t>000001010011</w:t>
            </w:r>
          </w:p>
        </w:tc>
      </w:tr>
      <w:tr w:rsidR="00711444" w:rsidRPr="004D0DAA" w14:paraId="33133C11" w14:textId="77777777" w:rsidTr="00AA2A4C">
        <w:tblPrEx>
          <w:tblCellMar>
            <w:top w:w="0" w:type="dxa"/>
            <w:bottom w:w="0" w:type="dxa"/>
          </w:tblCellMar>
        </w:tblPrEx>
        <w:trPr>
          <w:jc w:val="center"/>
        </w:trPr>
        <w:tc>
          <w:tcPr>
            <w:tcW w:w="1701" w:type="dxa"/>
          </w:tcPr>
          <w:p w14:paraId="6BA77472" w14:textId="77777777" w:rsidR="00711444" w:rsidRPr="004D0DAA" w:rsidRDefault="00711444" w:rsidP="00AA2A4C">
            <w:pPr>
              <w:pStyle w:val="TAL"/>
              <w:rPr>
                <w:lang w:eastAsia="en-US"/>
              </w:rPr>
            </w:pPr>
            <w:r w:rsidRPr="004D0DAA">
              <w:rPr>
                <w:lang w:eastAsia="en-US"/>
              </w:rPr>
              <w:t>52</w:t>
            </w:r>
          </w:p>
        </w:tc>
        <w:tc>
          <w:tcPr>
            <w:tcW w:w="1701" w:type="dxa"/>
          </w:tcPr>
          <w:p w14:paraId="122B3C04" w14:textId="77777777" w:rsidR="00711444" w:rsidRPr="004D0DAA" w:rsidRDefault="00711444" w:rsidP="00AA2A4C">
            <w:pPr>
              <w:pStyle w:val="TAL"/>
              <w:rPr>
                <w:lang w:eastAsia="en-US"/>
              </w:rPr>
            </w:pPr>
            <w:r w:rsidRPr="004D0DAA">
              <w:rPr>
                <w:lang w:eastAsia="en-US"/>
              </w:rPr>
              <w:t>01010101</w:t>
            </w:r>
          </w:p>
        </w:tc>
        <w:tc>
          <w:tcPr>
            <w:tcW w:w="1701" w:type="dxa"/>
          </w:tcPr>
          <w:p w14:paraId="1FAA3002" w14:textId="77777777" w:rsidR="00711444" w:rsidRPr="004D0DAA" w:rsidRDefault="00711444" w:rsidP="00AA2A4C">
            <w:pPr>
              <w:pStyle w:val="TAL"/>
              <w:rPr>
                <w:lang w:eastAsia="en-US"/>
              </w:rPr>
            </w:pPr>
            <w:r w:rsidRPr="004D0DAA">
              <w:rPr>
                <w:lang w:eastAsia="en-US"/>
              </w:rPr>
              <w:t>52</w:t>
            </w:r>
          </w:p>
        </w:tc>
        <w:tc>
          <w:tcPr>
            <w:tcW w:w="1701" w:type="dxa"/>
          </w:tcPr>
          <w:p w14:paraId="5F008C4D" w14:textId="77777777" w:rsidR="00711444" w:rsidRPr="004D0DAA" w:rsidRDefault="00711444" w:rsidP="00AA2A4C">
            <w:pPr>
              <w:pStyle w:val="TAL"/>
              <w:rPr>
                <w:lang w:eastAsia="en-US"/>
              </w:rPr>
            </w:pPr>
            <w:r w:rsidRPr="004D0DAA">
              <w:rPr>
                <w:lang w:eastAsia="en-US"/>
              </w:rPr>
              <w:t>000000100100</w:t>
            </w:r>
          </w:p>
        </w:tc>
      </w:tr>
      <w:tr w:rsidR="00711444" w:rsidRPr="004D0DAA" w14:paraId="5471B73F" w14:textId="77777777" w:rsidTr="00AA2A4C">
        <w:tblPrEx>
          <w:tblCellMar>
            <w:top w:w="0" w:type="dxa"/>
            <w:bottom w:w="0" w:type="dxa"/>
          </w:tblCellMar>
        </w:tblPrEx>
        <w:trPr>
          <w:jc w:val="center"/>
        </w:trPr>
        <w:tc>
          <w:tcPr>
            <w:tcW w:w="1701" w:type="dxa"/>
          </w:tcPr>
          <w:p w14:paraId="03F426B4" w14:textId="77777777" w:rsidR="00711444" w:rsidRPr="004D0DAA" w:rsidRDefault="00711444" w:rsidP="00AA2A4C">
            <w:pPr>
              <w:pStyle w:val="TAL"/>
              <w:rPr>
                <w:lang w:eastAsia="en-US"/>
              </w:rPr>
            </w:pPr>
            <w:r w:rsidRPr="004D0DAA">
              <w:rPr>
                <w:lang w:eastAsia="en-US"/>
              </w:rPr>
              <w:t>53</w:t>
            </w:r>
          </w:p>
        </w:tc>
        <w:tc>
          <w:tcPr>
            <w:tcW w:w="1701" w:type="dxa"/>
          </w:tcPr>
          <w:p w14:paraId="487D88A7" w14:textId="77777777" w:rsidR="00711444" w:rsidRPr="004D0DAA" w:rsidRDefault="00711444" w:rsidP="00AA2A4C">
            <w:pPr>
              <w:pStyle w:val="TAL"/>
              <w:rPr>
                <w:lang w:eastAsia="en-US"/>
              </w:rPr>
            </w:pPr>
            <w:r w:rsidRPr="004D0DAA">
              <w:rPr>
                <w:lang w:eastAsia="en-US"/>
              </w:rPr>
              <w:t>00100100</w:t>
            </w:r>
          </w:p>
        </w:tc>
        <w:tc>
          <w:tcPr>
            <w:tcW w:w="1701" w:type="dxa"/>
          </w:tcPr>
          <w:p w14:paraId="12F05087" w14:textId="77777777" w:rsidR="00711444" w:rsidRPr="004D0DAA" w:rsidRDefault="00711444" w:rsidP="00AA2A4C">
            <w:pPr>
              <w:pStyle w:val="TAL"/>
              <w:rPr>
                <w:lang w:eastAsia="en-US"/>
              </w:rPr>
            </w:pPr>
            <w:r w:rsidRPr="004D0DAA">
              <w:rPr>
                <w:lang w:eastAsia="en-US"/>
              </w:rPr>
              <w:t>53</w:t>
            </w:r>
          </w:p>
        </w:tc>
        <w:tc>
          <w:tcPr>
            <w:tcW w:w="1701" w:type="dxa"/>
          </w:tcPr>
          <w:p w14:paraId="284E0710" w14:textId="77777777" w:rsidR="00711444" w:rsidRPr="004D0DAA" w:rsidRDefault="00711444" w:rsidP="00AA2A4C">
            <w:pPr>
              <w:pStyle w:val="TAL"/>
              <w:rPr>
                <w:lang w:eastAsia="en-US"/>
              </w:rPr>
            </w:pPr>
            <w:r w:rsidRPr="004D0DAA">
              <w:rPr>
                <w:lang w:eastAsia="en-US"/>
              </w:rPr>
              <w:t>000000110111</w:t>
            </w:r>
          </w:p>
        </w:tc>
      </w:tr>
      <w:tr w:rsidR="00711444" w:rsidRPr="004D0DAA" w14:paraId="009384D9" w14:textId="77777777" w:rsidTr="00AA2A4C">
        <w:tblPrEx>
          <w:tblCellMar>
            <w:top w:w="0" w:type="dxa"/>
            <w:bottom w:w="0" w:type="dxa"/>
          </w:tblCellMar>
        </w:tblPrEx>
        <w:trPr>
          <w:jc w:val="center"/>
        </w:trPr>
        <w:tc>
          <w:tcPr>
            <w:tcW w:w="1701" w:type="dxa"/>
          </w:tcPr>
          <w:p w14:paraId="298FBBD6" w14:textId="77777777" w:rsidR="00711444" w:rsidRPr="004D0DAA" w:rsidRDefault="00711444" w:rsidP="00AA2A4C">
            <w:pPr>
              <w:pStyle w:val="TAL"/>
              <w:rPr>
                <w:lang w:eastAsia="en-US"/>
              </w:rPr>
            </w:pPr>
            <w:r w:rsidRPr="004D0DAA">
              <w:rPr>
                <w:lang w:eastAsia="en-US"/>
              </w:rPr>
              <w:t>54</w:t>
            </w:r>
          </w:p>
        </w:tc>
        <w:tc>
          <w:tcPr>
            <w:tcW w:w="1701" w:type="dxa"/>
          </w:tcPr>
          <w:p w14:paraId="0A25D351" w14:textId="77777777" w:rsidR="00711444" w:rsidRPr="004D0DAA" w:rsidRDefault="00711444" w:rsidP="00AA2A4C">
            <w:pPr>
              <w:pStyle w:val="TAL"/>
              <w:rPr>
                <w:lang w:eastAsia="en-US"/>
              </w:rPr>
            </w:pPr>
            <w:r w:rsidRPr="004D0DAA">
              <w:rPr>
                <w:lang w:eastAsia="en-US"/>
              </w:rPr>
              <w:t>00100101</w:t>
            </w:r>
          </w:p>
        </w:tc>
        <w:tc>
          <w:tcPr>
            <w:tcW w:w="1701" w:type="dxa"/>
          </w:tcPr>
          <w:p w14:paraId="68288458" w14:textId="77777777" w:rsidR="00711444" w:rsidRPr="004D0DAA" w:rsidRDefault="00711444" w:rsidP="00AA2A4C">
            <w:pPr>
              <w:pStyle w:val="TAL"/>
              <w:rPr>
                <w:lang w:eastAsia="en-US"/>
              </w:rPr>
            </w:pPr>
            <w:r w:rsidRPr="004D0DAA">
              <w:rPr>
                <w:lang w:eastAsia="en-US"/>
              </w:rPr>
              <w:t>54</w:t>
            </w:r>
          </w:p>
        </w:tc>
        <w:tc>
          <w:tcPr>
            <w:tcW w:w="1701" w:type="dxa"/>
          </w:tcPr>
          <w:p w14:paraId="756A0D77" w14:textId="77777777" w:rsidR="00711444" w:rsidRPr="004D0DAA" w:rsidRDefault="00711444" w:rsidP="00AA2A4C">
            <w:pPr>
              <w:pStyle w:val="TAL"/>
              <w:rPr>
                <w:lang w:eastAsia="en-US"/>
              </w:rPr>
            </w:pPr>
            <w:r w:rsidRPr="004D0DAA">
              <w:rPr>
                <w:lang w:eastAsia="en-US"/>
              </w:rPr>
              <w:t>000000111000</w:t>
            </w:r>
          </w:p>
        </w:tc>
      </w:tr>
      <w:tr w:rsidR="00711444" w:rsidRPr="004D0DAA" w14:paraId="7C970262" w14:textId="77777777" w:rsidTr="00AA2A4C">
        <w:tblPrEx>
          <w:tblCellMar>
            <w:top w:w="0" w:type="dxa"/>
            <w:bottom w:w="0" w:type="dxa"/>
          </w:tblCellMar>
        </w:tblPrEx>
        <w:trPr>
          <w:jc w:val="center"/>
        </w:trPr>
        <w:tc>
          <w:tcPr>
            <w:tcW w:w="1701" w:type="dxa"/>
          </w:tcPr>
          <w:p w14:paraId="365C1AA0" w14:textId="77777777" w:rsidR="00711444" w:rsidRPr="004D0DAA" w:rsidRDefault="00711444" w:rsidP="00AA2A4C">
            <w:pPr>
              <w:pStyle w:val="TAL"/>
              <w:rPr>
                <w:lang w:eastAsia="en-US"/>
              </w:rPr>
            </w:pPr>
            <w:r w:rsidRPr="004D0DAA">
              <w:rPr>
                <w:lang w:eastAsia="en-US"/>
              </w:rPr>
              <w:t>55</w:t>
            </w:r>
          </w:p>
        </w:tc>
        <w:tc>
          <w:tcPr>
            <w:tcW w:w="1701" w:type="dxa"/>
          </w:tcPr>
          <w:p w14:paraId="067642E6" w14:textId="77777777" w:rsidR="00711444" w:rsidRPr="004D0DAA" w:rsidRDefault="00711444" w:rsidP="00AA2A4C">
            <w:pPr>
              <w:pStyle w:val="TAL"/>
              <w:rPr>
                <w:lang w:eastAsia="en-US"/>
              </w:rPr>
            </w:pPr>
            <w:r w:rsidRPr="004D0DAA">
              <w:rPr>
                <w:lang w:eastAsia="en-US"/>
              </w:rPr>
              <w:t>01011000</w:t>
            </w:r>
          </w:p>
        </w:tc>
        <w:tc>
          <w:tcPr>
            <w:tcW w:w="1701" w:type="dxa"/>
          </w:tcPr>
          <w:p w14:paraId="01F1172C" w14:textId="77777777" w:rsidR="00711444" w:rsidRPr="004D0DAA" w:rsidRDefault="00711444" w:rsidP="00AA2A4C">
            <w:pPr>
              <w:pStyle w:val="TAL"/>
              <w:rPr>
                <w:lang w:eastAsia="en-US"/>
              </w:rPr>
            </w:pPr>
            <w:r w:rsidRPr="004D0DAA">
              <w:rPr>
                <w:lang w:eastAsia="en-US"/>
              </w:rPr>
              <w:t>55</w:t>
            </w:r>
          </w:p>
        </w:tc>
        <w:tc>
          <w:tcPr>
            <w:tcW w:w="1701" w:type="dxa"/>
          </w:tcPr>
          <w:p w14:paraId="1912AD82" w14:textId="77777777" w:rsidR="00711444" w:rsidRPr="004D0DAA" w:rsidRDefault="00711444" w:rsidP="00AA2A4C">
            <w:pPr>
              <w:pStyle w:val="TAL"/>
              <w:rPr>
                <w:lang w:eastAsia="en-US"/>
              </w:rPr>
            </w:pPr>
            <w:r w:rsidRPr="004D0DAA">
              <w:rPr>
                <w:lang w:eastAsia="en-US"/>
              </w:rPr>
              <w:t>000000100111</w:t>
            </w:r>
          </w:p>
        </w:tc>
      </w:tr>
      <w:tr w:rsidR="00711444" w:rsidRPr="004D0DAA" w14:paraId="744C9EF9" w14:textId="77777777" w:rsidTr="00AA2A4C">
        <w:tblPrEx>
          <w:tblCellMar>
            <w:top w:w="0" w:type="dxa"/>
            <w:bottom w:w="0" w:type="dxa"/>
          </w:tblCellMar>
        </w:tblPrEx>
        <w:trPr>
          <w:jc w:val="center"/>
        </w:trPr>
        <w:tc>
          <w:tcPr>
            <w:tcW w:w="1701" w:type="dxa"/>
          </w:tcPr>
          <w:p w14:paraId="4843563F" w14:textId="77777777" w:rsidR="00711444" w:rsidRPr="004D0DAA" w:rsidRDefault="00711444" w:rsidP="00AA2A4C">
            <w:pPr>
              <w:pStyle w:val="TAL"/>
              <w:rPr>
                <w:lang w:eastAsia="en-US"/>
              </w:rPr>
            </w:pPr>
            <w:r w:rsidRPr="004D0DAA">
              <w:rPr>
                <w:lang w:eastAsia="en-US"/>
              </w:rPr>
              <w:t>56</w:t>
            </w:r>
          </w:p>
        </w:tc>
        <w:tc>
          <w:tcPr>
            <w:tcW w:w="1701" w:type="dxa"/>
          </w:tcPr>
          <w:p w14:paraId="5A509769" w14:textId="77777777" w:rsidR="00711444" w:rsidRPr="004D0DAA" w:rsidRDefault="00711444" w:rsidP="00AA2A4C">
            <w:pPr>
              <w:pStyle w:val="TAL"/>
              <w:rPr>
                <w:lang w:eastAsia="en-US"/>
              </w:rPr>
            </w:pPr>
            <w:r w:rsidRPr="004D0DAA">
              <w:rPr>
                <w:lang w:eastAsia="en-US"/>
              </w:rPr>
              <w:t>01011001</w:t>
            </w:r>
          </w:p>
        </w:tc>
        <w:tc>
          <w:tcPr>
            <w:tcW w:w="1701" w:type="dxa"/>
          </w:tcPr>
          <w:p w14:paraId="60CD7FE5" w14:textId="77777777" w:rsidR="00711444" w:rsidRPr="004D0DAA" w:rsidRDefault="00711444" w:rsidP="00AA2A4C">
            <w:pPr>
              <w:pStyle w:val="TAL"/>
              <w:rPr>
                <w:lang w:eastAsia="en-US"/>
              </w:rPr>
            </w:pPr>
            <w:r w:rsidRPr="004D0DAA">
              <w:rPr>
                <w:lang w:eastAsia="en-US"/>
              </w:rPr>
              <w:t>56</w:t>
            </w:r>
          </w:p>
        </w:tc>
        <w:tc>
          <w:tcPr>
            <w:tcW w:w="1701" w:type="dxa"/>
          </w:tcPr>
          <w:p w14:paraId="46B04B7C" w14:textId="77777777" w:rsidR="00711444" w:rsidRPr="004D0DAA" w:rsidRDefault="00711444" w:rsidP="00AA2A4C">
            <w:pPr>
              <w:pStyle w:val="TAL"/>
              <w:rPr>
                <w:lang w:eastAsia="en-US"/>
              </w:rPr>
            </w:pPr>
            <w:r w:rsidRPr="004D0DAA">
              <w:rPr>
                <w:lang w:eastAsia="en-US"/>
              </w:rPr>
              <w:t>000000101000</w:t>
            </w:r>
          </w:p>
        </w:tc>
      </w:tr>
      <w:tr w:rsidR="00711444" w:rsidRPr="004D0DAA" w14:paraId="6723F1FA" w14:textId="77777777" w:rsidTr="00AA2A4C">
        <w:tblPrEx>
          <w:tblCellMar>
            <w:top w:w="0" w:type="dxa"/>
            <w:bottom w:w="0" w:type="dxa"/>
          </w:tblCellMar>
        </w:tblPrEx>
        <w:trPr>
          <w:jc w:val="center"/>
        </w:trPr>
        <w:tc>
          <w:tcPr>
            <w:tcW w:w="1701" w:type="dxa"/>
          </w:tcPr>
          <w:p w14:paraId="3A7BA8E0" w14:textId="77777777" w:rsidR="00711444" w:rsidRPr="004D0DAA" w:rsidRDefault="00711444" w:rsidP="00AA2A4C">
            <w:pPr>
              <w:pStyle w:val="TAL"/>
              <w:rPr>
                <w:lang w:eastAsia="en-US"/>
              </w:rPr>
            </w:pPr>
            <w:r w:rsidRPr="004D0DAA">
              <w:rPr>
                <w:lang w:eastAsia="en-US"/>
              </w:rPr>
              <w:t>57</w:t>
            </w:r>
          </w:p>
        </w:tc>
        <w:tc>
          <w:tcPr>
            <w:tcW w:w="1701" w:type="dxa"/>
          </w:tcPr>
          <w:p w14:paraId="350A5AF0" w14:textId="77777777" w:rsidR="00711444" w:rsidRPr="004D0DAA" w:rsidRDefault="00711444" w:rsidP="00AA2A4C">
            <w:pPr>
              <w:pStyle w:val="TAL"/>
              <w:rPr>
                <w:lang w:eastAsia="en-US"/>
              </w:rPr>
            </w:pPr>
            <w:r w:rsidRPr="004D0DAA">
              <w:rPr>
                <w:lang w:eastAsia="en-US"/>
              </w:rPr>
              <w:t>01011010</w:t>
            </w:r>
          </w:p>
        </w:tc>
        <w:tc>
          <w:tcPr>
            <w:tcW w:w="1701" w:type="dxa"/>
          </w:tcPr>
          <w:p w14:paraId="694F808D" w14:textId="77777777" w:rsidR="00711444" w:rsidRPr="004D0DAA" w:rsidRDefault="00711444" w:rsidP="00AA2A4C">
            <w:pPr>
              <w:pStyle w:val="TAL"/>
              <w:rPr>
                <w:lang w:eastAsia="en-US"/>
              </w:rPr>
            </w:pPr>
            <w:r w:rsidRPr="004D0DAA">
              <w:rPr>
                <w:lang w:eastAsia="en-US"/>
              </w:rPr>
              <w:t>57</w:t>
            </w:r>
          </w:p>
        </w:tc>
        <w:tc>
          <w:tcPr>
            <w:tcW w:w="1701" w:type="dxa"/>
          </w:tcPr>
          <w:p w14:paraId="2A03997C" w14:textId="77777777" w:rsidR="00711444" w:rsidRPr="004D0DAA" w:rsidRDefault="00711444" w:rsidP="00AA2A4C">
            <w:pPr>
              <w:pStyle w:val="TAL"/>
              <w:rPr>
                <w:lang w:eastAsia="en-US"/>
              </w:rPr>
            </w:pPr>
            <w:r w:rsidRPr="004D0DAA">
              <w:rPr>
                <w:lang w:eastAsia="en-US"/>
              </w:rPr>
              <w:t>000001011000</w:t>
            </w:r>
          </w:p>
        </w:tc>
      </w:tr>
      <w:tr w:rsidR="00711444" w:rsidRPr="004D0DAA" w14:paraId="7C5FCB84" w14:textId="77777777" w:rsidTr="00AA2A4C">
        <w:tblPrEx>
          <w:tblCellMar>
            <w:top w:w="0" w:type="dxa"/>
            <w:bottom w:w="0" w:type="dxa"/>
          </w:tblCellMar>
        </w:tblPrEx>
        <w:trPr>
          <w:jc w:val="center"/>
        </w:trPr>
        <w:tc>
          <w:tcPr>
            <w:tcW w:w="1701" w:type="dxa"/>
          </w:tcPr>
          <w:p w14:paraId="6906EC0B" w14:textId="77777777" w:rsidR="00711444" w:rsidRPr="004D0DAA" w:rsidRDefault="00711444" w:rsidP="00AA2A4C">
            <w:pPr>
              <w:pStyle w:val="TAL"/>
              <w:rPr>
                <w:lang w:eastAsia="en-US"/>
              </w:rPr>
            </w:pPr>
            <w:r w:rsidRPr="004D0DAA">
              <w:rPr>
                <w:lang w:eastAsia="en-US"/>
              </w:rPr>
              <w:t>58</w:t>
            </w:r>
          </w:p>
        </w:tc>
        <w:tc>
          <w:tcPr>
            <w:tcW w:w="1701" w:type="dxa"/>
          </w:tcPr>
          <w:p w14:paraId="499A553C" w14:textId="77777777" w:rsidR="00711444" w:rsidRPr="004D0DAA" w:rsidRDefault="00711444" w:rsidP="00AA2A4C">
            <w:pPr>
              <w:pStyle w:val="TAL"/>
              <w:rPr>
                <w:lang w:eastAsia="en-US"/>
              </w:rPr>
            </w:pPr>
            <w:r w:rsidRPr="004D0DAA">
              <w:rPr>
                <w:lang w:eastAsia="en-US"/>
              </w:rPr>
              <w:t>01011011</w:t>
            </w:r>
          </w:p>
        </w:tc>
        <w:tc>
          <w:tcPr>
            <w:tcW w:w="1701" w:type="dxa"/>
          </w:tcPr>
          <w:p w14:paraId="40C4C693" w14:textId="77777777" w:rsidR="00711444" w:rsidRPr="004D0DAA" w:rsidRDefault="00711444" w:rsidP="00AA2A4C">
            <w:pPr>
              <w:pStyle w:val="TAL"/>
              <w:rPr>
                <w:lang w:eastAsia="en-US"/>
              </w:rPr>
            </w:pPr>
            <w:r w:rsidRPr="004D0DAA">
              <w:rPr>
                <w:lang w:eastAsia="en-US"/>
              </w:rPr>
              <w:t>58</w:t>
            </w:r>
          </w:p>
        </w:tc>
        <w:tc>
          <w:tcPr>
            <w:tcW w:w="1701" w:type="dxa"/>
          </w:tcPr>
          <w:p w14:paraId="5802BED5" w14:textId="77777777" w:rsidR="00711444" w:rsidRPr="004D0DAA" w:rsidRDefault="00711444" w:rsidP="00AA2A4C">
            <w:pPr>
              <w:pStyle w:val="TAL"/>
              <w:rPr>
                <w:lang w:eastAsia="en-US"/>
              </w:rPr>
            </w:pPr>
            <w:r w:rsidRPr="004D0DAA">
              <w:rPr>
                <w:lang w:eastAsia="en-US"/>
              </w:rPr>
              <w:t>000001011001</w:t>
            </w:r>
          </w:p>
        </w:tc>
      </w:tr>
      <w:tr w:rsidR="00711444" w:rsidRPr="004D0DAA" w14:paraId="5EFC5C2D" w14:textId="77777777" w:rsidTr="00AA2A4C">
        <w:tblPrEx>
          <w:tblCellMar>
            <w:top w:w="0" w:type="dxa"/>
            <w:bottom w:w="0" w:type="dxa"/>
          </w:tblCellMar>
        </w:tblPrEx>
        <w:trPr>
          <w:jc w:val="center"/>
        </w:trPr>
        <w:tc>
          <w:tcPr>
            <w:tcW w:w="1701" w:type="dxa"/>
          </w:tcPr>
          <w:p w14:paraId="020F7481" w14:textId="77777777" w:rsidR="00711444" w:rsidRPr="004D0DAA" w:rsidRDefault="00711444" w:rsidP="00AA2A4C">
            <w:pPr>
              <w:pStyle w:val="TAL"/>
              <w:rPr>
                <w:lang w:eastAsia="en-US"/>
              </w:rPr>
            </w:pPr>
            <w:r w:rsidRPr="004D0DAA">
              <w:rPr>
                <w:lang w:eastAsia="en-US"/>
              </w:rPr>
              <w:t>59</w:t>
            </w:r>
          </w:p>
        </w:tc>
        <w:tc>
          <w:tcPr>
            <w:tcW w:w="1701" w:type="dxa"/>
          </w:tcPr>
          <w:p w14:paraId="25F51B8F" w14:textId="77777777" w:rsidR="00711444" w:rsidRPr="004D0DAA" w:rsidRDefault="00711444" w:rsidP="00AA2A4C">
            <w:pPr>
              <w:pStyle w:val="TAL"/>
              <w:rPr>
                <w:lang w:eastAsia="en-US"/>
              </w:rPr>
            </w:pPr>
            <w:r w:rsidRPr="004D0DAA">
              <w:rPr>
                <w:lang w:eastAsia="en-US"/>
              </w:rPr>
              <w:t>01001010</w:t>
            </w:r>
          </w:p>
        </w:tc>
        <w:tc>
          <w:tcPr>
            <w:tcW w:w="1701" w:type="dxa"/>
          </w:tcPr>
          <w:p w14:paraId="472EF440" w14:textId="77777777" w:rsidR="00711444" w:rsidRPr="004D0DAA" w:rsidRDefault="00711444" w:rsidP="00AA2A4C">
            <w:pPr>
              <w:pStyle w:val="TAL"/>
              <w:rPr>
                <w:lang w:eastAsia="en-US"/>
              </w:rPr>
            </w:pPr>
            <w:r w:rsidRPr="004D0DAA">
              <w:rPr>
                <w:lang w:eastAsia="en-US"/>
              </w:rPr>
              <w:t>59</w:t>
            </w:r>
          </w:p>
        </w:tc>
        <w:tc>
          <w:tcPr>
            <w:tcW w:w="1701" w:type="dxa"/>
          </w:tcPr>
          <w:p w14:paraId="6F5D07AD" w14:textId="77777777" w:rsidR="00711444" w:rsidRPr="004D0DAA" w:rsidRDefault="00711444" w:rsidP="00AA2A4C">
            <w:pPr>
              <w:pStyle w:val="TAL"/>
              <w:rPr>
                <w:lang w:eastAsia="en-US"/>
              </w:rPr>
            </w:pPr>
            <w:r w:rsidRPr="004D0DAA">
              <w:rPr>
                <w:lang w:eastAsia="en-US"/>
              </w:rPr>
              <w:t>000000101011</w:t>
            </w:r>
          </w:p>
        </w:tc>
      </w:tr>
      <w:tr w:rsidR="00711444" w:rsidRPr="004D0DAA" w14:paraId="6D1E4336" w14:textId="77777777" w:rsidTr="00AA2A4C">
        <w:tblPrEx>
          <w:tblCellMar>
            <w:top w:w="0" w:type="dxa"/>
            <w:bottom w:w="0" w:type="dxa"/>
          </w:tblCellMar>
        </w:tblPrEx>
        <w:trPr>
          <w:jc w:val="center"/>
        </w:trPr>
        <w:tc>
          <w:tcPr>
            <w:tcW w:w="1701" w:type="dxa"/>
          </w:tcPr>
          <w:p w14:paraId="12690C95" w14:textId="77777777" w:rsidR="00711444" w:rsidRPr="004D0DAA" w:rsidRDefault="00711444" w:rsidP="00AA2A4C">
            <w:pPr>
              <w:pStyle w:val="TAL"/>
              <w:rPr>
                <w:lang w:eastAsia="en-US"/>
              </w:rPr>
            </w:pPr>
            <w:r w:rsidRPr="004D0DAA">
              <w:rPr>
                <w:lang w:eastAsia="en-US"/>
              </w:rPr>
              <w:t>60</w:t>
            </w:r>
          </w:p>
        </w:tc>
        <w:tc>
          <w:tcPr>
            <w:tcW w:w="1701" w:type="dxa"/>
          </w:tcPr>
          <w:p w14:paraId="6314689F" w14:textId="77777777" w:rsidR="00711444" w:rsidRPr="004D0DAA" w:rsidRDefault="00711444" w:rsidP="00AA2A4C">
            <w:pPr>
              <w:pStyle w:val="TAL"/>
              <w:rPr>
                <w:lang w:eastAsia="en-US"/>
              </w:rPr>
            </w:pPr>
            <w:r w:rsidRPr="004D0DAA">
              <w:rPr>
                <w:lang w:eastAsia="en-US"/>
              </w:rPr>
              <w:t>01001011</w:t>
            </w:r>
          </w:p>
        </w:tc>
        <w:tc>
          <w:tcPr>
            <w:tcW w:w="1701" w:type="dxa"/>
          </w:tcPr>
          <w:p w14:paraId="20FE9A51" w14:textId="77777777" w:rsidR="00711444" w:rsidRPr="004D0DAA" w:rsidRDefault="00711444" w:rsidP="00AA2A4C">
            <w:pPr>
              <w:pStyle w:val="TAL"/>
              <w:rPr>
                <w:lang w:eastAsia="en-US"/>
              </w:rPr>
            </w:pPr>
            <w:r w:rsidRPr="004D0DAA">
              <w:rPr>
                <w:lang w:eastAsia="en-US"/>
              </w:rPr>
              <w:t>60</w:t>
            </w:r>
          </w:p>
        </w:tc>
        <w:tc>
          <w:tcPr>
            <w:tcW w:w="1701" w:type="dxa"/>
          </w:tcPr>
          <w:p w14:paraId="6272E73F" w14:textId="77777777" w:rsidR="00711444" w:rsidRPr="004D0DAA" w:rsidRDefault="00711444" w:rsidP="00AA2A4C">
            <w:pPr>
              <w:pStyle w:val="TAL"/>
              <w:rPr>
                <w:lang w:eastAsia="en-US"/>
              </w:rPr>
            </w:pPr>
            <w:r w:rsidRPr="004D0DAA">
              <w:rPr>
                <w:lang w:eastAsia="en-US"/>
              </w:rPr>
              <w:t>000000101100</w:t>
            </w:r>
          </w:p>
        </w:tc>
      </w:tr>
      <w:tr w:rsidR="00711444" w:rsidRPr="004D0DAA" w14:paraId="3EB3F5C4" w14:textId="77777777" w:rsidTr="00AA2A4C">
        <w:tblPrEx>
          <w:tblCellMar>
            <w:top w:w="0" w:type="dxa"/>
            <w:bottom w:w="0" w:type="dxa"/>
          </w:tblCellMar>
        </w:tblPrEx>
        <w:trPr>
          <w:jc w:val="center"/>
        </w:trPr>
        <w:tc>
          <w:tcPr>
            <w:tcW w:w="1701" w:type="dxa"/>
          </w:tcPr>
          <w:p w14:paraId="3D055AF7" w14:textId="77777777" w:rsidR="00711444" w:rsidRPr="004D0DAA" w:rsidRDefault="00711444" w:rsidP="00AA2A4C">
            <w:pPr>
              <w:pStyle w:val="TAL"/>
              <w:rPr>
                <w:lang w:eastAsia="en-US"/>
              </w:rPr>
            </w:pPr>
            <w:r w:rsidRPr="004D0DAA">
              <w:rPr>
                <w:lang w:eastAsia="en-US"/>
              </w:rPr>
              <w:t>61</w:t>
            </w:r>
          </w:p>
        </w:tc>
        <w:tc>
          <w:tcPr>
            <w:tcW w:w="1701" w:type="dxa"/>
          </w:tcPr>
          <w:p w14:paraId="117F8263" w14:textId="77777777" w:rsidR="00711444" w:rsidRPr="004D0DAA" w:rsidRDefault="00711444" w:rsidP="00AA2A4C">
            <w:pPr>
              <w:pStyle w:val="TAL"/>
              <w:rPr>
                <w:lang w:eastAsia="en-US"/>
              </w:rPr>
            </w:pPr>
            <w:r w:rsidRPr="004D0DAA">
              <w:rPr>
                <w:lang w:eastAsia="en-US"/>
              </w:rPr>
              <w:t>00110010</w:t>
            </w:r>
          </w:p>
        </w:tc>
        <w:tc>
          <w:tcPr>
            <w:tcW w:w="1701" w:type="dxa"/>
          </w:tcPr>
          <w:p w14:paraId="63B9BC78" w14:textId="77777777" w:rsidR="00711444" w:rsidRPr="004D0DAA" w:rsidRDefault="00711444" w:rsidP="00AA2A4C">
            <w:pPr>
              <w:pStyle w:val="TAL"/>
              <w:rPr>
                <w:lang w:eastAsia="en-US"/>
              </w:rPr>
            </w:pPr>
            <w:r w:rsidRPr="004D0DAA">
              <w:rPr>
                <w:lang w:eastAsia="en-US"/>
              </w:rPr>
              <w:t>61</w:t>
            </w:r>
          </w:p>
        </w:tc>
        <w:tc>
          <w:tcPr>
            <w:tcW w:w="1701" w:type="dxa"/>
          </w:tcPr>
          <w:p w14:paraId="678043BF" w14:textId="77777777" w:rsidR="00711444" w:rsidRPr="004D0DAA" w:rsidRDefault="00711444" w:rsidP="00AA2A4C">
            <w:pPr>
              <w:pStyle w:val="TAL"/>
              <w:rPr>
                <w:lang w:eastAsia="en-US"/>
              </w:rPr>
            </w:pPr>
            <w:r w:rsidRPr="004D0DAA">
              <w:rPr>
                <w:lang w:eastAsia="en-US"/>
              </w:rPr>
              <w:t>000001011010</w:t>
            </w:r>
          </w:p>
        </w:tc>
      </w:tr>
      <w:tr w:rsidR="00711444" w:rsidRPr="004D0DAA" w14:paraId="684B42D3" w14:textId="77777777" w:rsidTr="00AA2A4C">
        <w:tblPrEx>
          <w:tblCellMar>
            <w:top w:w="0" w:type="dxa"/>
            <w:bottom w:w="0" w:type="dxa"/>
          </w:tblCellMar>
        </w:tblPrEx>
        <w:trPr>
          <w:jc w:val="center"/>
        </w:trPr>
        <w:tc>
          <w:tcPr>
            <w:tcW w:w="1701" w:type="dxa"/>
          </w:tcPr>
          <w:p w14:paraId="18E831F4" w14:textId="77777777" w:rsidR="00711444" w:rsidRPr="004D0DAA" w:rsidRDefault="00711444" w:rsidP="00AA2A4C">
            <w:pPr>
              <w:pStyle w:val="TAL"/>
              <w:rPr>
                <w:lang w:eastAsia="en-US"/>
              </w:rPr>
            </w:pPr>
            <w:r w:rsidRPr="004D0DAA">
              <w:rPr>
                <w:lang w:eastAsia="en-US"/>
              </w:rPr>
              <w:t>62</w:t>
            </w:r>
          </w:p>
        </w:tc>
        <w:tc>
          <w:tcPr>
            <w:tcW w:w="1701" w:type="dxa"/>
          </w:tcPr>
          <w:p w14:paraId="1ED117A3" w14:textId="77777777" w:rsidR="00711444" w:rsidRPr="004D0DAA" w:rsidRDefault="00711444" w:rsidP="00AA2A4C">
            <w:pPr>
              <w:pStyle w:val="TAL"/>
              <w:rPr>
                <w:lang w:eastAsia="en-US"/>
              </w:rPr>
            </w:pPr>
            <w:r w:rsidRPr="004D0DAA">
              <w:rPr>
                <w:lang w:eastAsia="en-US"/>
              </w:rPr>
              <w:t>00110011</w:t>
            </w:r>
          </w:p>
        </w:tc>
        <w:tc>
          <w:tcPr>
            <w:tcW w:w="1701" w:type="dxa"/>
          </w:tcPr>
          <w:p w14:paraId="56849251" w14:textId="77777777" w:rsidR="00711444" w:rsidRPr="004D0DAA" w:rsidRDefault="00711444" w:rsidP="00AA2A4C">
            <w:pPr>
              <w:pStyle w:val="TAL"/>
              <w:rPr>
                <w:lang w:eastAsia="en-US"/>
              </w:rPr>
            </w:pPr>
            <w:r w:rsidRPr="004D0DAA">
              <w:rPr>
                <w:lang w:eastAsia="en-US"/>
              </w:rPr>
              <w:t>62</w:t>
            </w:r>
          </w:p>
        </w:tc>
        <w:tc>
          <w:tcPr>
            <w:tcW w:w="1701" w:type="dxa"/>
          </w:tcPr>
          <w:p w14:paraId="36EE1FEB" w14:textId="77777777" w:rsidR="00711444" w:rsidRPr="004D0DAA" w:rsidRDefault="00711444" w:rsidP="00AA2A4C">
            <w:pPr>
              <w:pStyle w:val="TAL"/>
              <w:rPr>
                <w:lang w:eastAsia="en-US"/>
              </w:rPr>
            </w:pPr>
            <w:r w:rsidRPr="004D0DAA">
              <w:rPr>
                <w:lang w:eastAsia="en-US"/>
              </w:rPr>
              <w:t>000001100110</w:t>
            </w:r>
          </w:p>
        </w:tc>
      </w:tr>
      <w:tr w:rsidR="00711444" w:rsidRPr="004D0DAA" w14:paraId="12F7F0B5" w14:textId="77777777" w:rsidTr="00AA2A4C">
        <w:tblPrEx>
          <w:tblCellMar>
            <w:top w:w="0" w:type="dxa"/>
            <w:bottom w:w="0" w:type="dxa"/>
          </w:tblCellMar>
        </w:tblPrEx>
        <w:trPr>
          <w:jc w:val="center"/>
        </w:trPr>
        <w:tc>
          <w:tcPr>
            <w:tcW w:w="1701" w:type="dxa"/>
          </w:tcPr>
          <w:p w14:paraId="2A4F8B4B" w14:textId="77777777" w:rsidR="00711444" w:rsidRPr="004D0DAA" w:rsidRDefault="00711444" w:rsidP="00AA2A4C">
            <w:pPr>
              <w:pStyle w:val="TAL"/>
              <w:rPr>
                <w:lang w:eastAsia="en-US"/>
              </w:rPr>
            </w:pPr>
            <w:r w:rsidRPr="004D0DAA">
              <w:rPr>
                <w:lang w:eastAsia="en-US"/>
              </w:rPr>
              <w:lastRenderedPageBreak/>
              <w:t>63</w:t>
            </w:r>
          </w:p>
        </w:tc>
        <w:tc>
          <w:tcPr>
            <w:tcW w:w="1701" w:type="dxa"/>
          </w:tcPr>
          <w:p w14:paraId="489F92A3" w14:textId="77777777" w:rsidR="00711444" w:rsidRPr="004D0DAA" w:rsidRDefault="00711444" w:rsidP="00AA2A4C">
            <w:pPr>
              <w:pStyle w:val="TAL"/>
              <w:rPr>
                <w:lang w:eastAsia="en-US"/>
              </w:rPr>
            </w:pPr>
            <w:r w:rsidRPr="004D0DAA">
              <w:rPr>
                <w:lang w:eastAsia="en-US"/>
              </w:rPr>
              <w:t>00110100</w:t>
            </w:r>
          </w:p>
        </w:tc>
        <w:tc>
          <w:tcPr>
            <w:tcW w:w="1701" w:type="dxa"/>
          </w:tcPr>
          <w:p w14:paraId="2CC9619D" w14:textId="77777777" w:rsidR="00711444" w:rsidRPr="004D0DAA" w:rsidRDefault="00711444" w:rsidP="00AA2A4C">
            <w:pPr>
              <w:pStyle w:val="TAL"/>
              <w:rPr>
                <w:lang w:eastAsia="en-US"/>
              </w:rPr>
            </w:pPr>
            <w:r w:rsidRPr="004D0DAA">
              <w:rPr>
                <w:lang w:eastAsia="en-US"/>
              </w:rPr>
              <w:t>63</w:t>
            </w:r>
          </w:p>
        </w:tc>
        <w:tc>
          <w:tcPr>
            <w:tcW w:w="1701" w:type="dxa"/>
          </w:tcPr>
          <w:p w14:paraId="44B29B2D" w14:textId="77777777" w:rsidR="00711444" w:rsidRPr="004D0DAA" w:rsidRDefault="00711444" w:rsidP="00AA2A4C">
            <w:pPr>
              <w:pStyle w:val="TAL"/>
              <w:rPr>
                <w:lang w:eastAsia="en-US"/>
              </w:rPr>
            </w:pPr>
            <w:r w:rsidRPr="004D0DAA">
              <w:rPr>
                <w:lang w:eastAsia="en-US"/>
              </w:rPr>
              <w:t>000001100111</w:t>
            </w:r>
          </w:p>
        </w:tc>
      </w:tr>
    </w:tbl>
    <w:p w14:paraId="4CD9FDAF" w14:textId="77777777" w:rsidR="00711444" w:rsidRPr="004D0DAA" w:rsidRDefault="00711444" w:rsidP="00711444"/>
    <w:p w14:paraId="61E609AC" w14:textId="77777777" w:rsidR="00711444" w:rsidRPr="004D0DAA" w:rsidRDefault="00711444" w:rsidP="00711444">
      <w:pPr>
        <w:pStyle w:val="TH"/>
      </w:pPr>
      <w:r w:rsidRPr="004D0DAA">
        <w:t>Table 9.1.10.2: Make-up codes</w:t>
      </w:r>
      <w:r w:rsidRPr="004D0DAA">
        <w:br/>
        <w:t>(reproduced from ITU-T Recommendation T.4)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1701"/>
        <w:gridCol w:w="1701"/>
        <w:gridCol w:w="1701"/>
      </w:tblGrid>
      <w:tr w:rsidR="00711444" w:rsidRPr="004D0DAA" w14:paraId="6D64BD93" w14:textId="77777777" w:rsidTr="00AA2A4C">
        <w:tblPrEx>
          <w:tblCellMar>
            <w:top w:w="0" w:type="dxa"/>
            <w:bottom w:w="0" w:type="dxa"/>
          </w:tblCellMar>
        </w:tblPrEx>
        <w:trPr>
          <w:jc w:val="center"/>
        </w:trPr>
        <w:tc>
          <w:tcPr>
            <w:tcW w:w="1701" w:type="dxa"/>
          </w:tcPr>
          <w:p w14:paraId="510E094A" w14:textId="77777777" w:rsidR="00711444" w:rsidRPr="004D0DAA" w:rsidRDefault="00711444" w:rsidP="00AA2A4C">
            <w:pPr>
              <w:pStyle w:val="TAH"/>
              <w:rPr>
                <w:lang w:eastAsia="en-US"/>
              </w:rPr>
            </w:pPr>
            <w:r w:rsidRPr="004D0DAA">
              <w:rPr>
                <w:lang w:eastAsia="en-US"/>
              </w:rPr>
              <w:t>One run length</w:t>
            </w:r>
          </w:p>
        </w:tc>
        <w:tc>
          <w:tcPr>
            <w:tcW w:w="1701" w:type="dxa"/>
          </w:tcPr>
          <w:p w14:paraId="228734C0" w14:textId="77777777" w:rsidR="00711444" w:rsidRPr="004D0DAA" w:rsidRDefault="00711444" w:rsidP="00AA2A4C">
            <w:pPr>
              <w:pStyle w:val="TAH"/>
              <w:rPr>
                <w:lang w:eastAsia="en-US"/>
              </w:rPr>
            </w:pPr>
            <w:r w:rsidRPr="004D0DAA">
              <w:rPr>
                <w:lang w:eastAsia="en-US"/>
              </w:rPr>
              <w:t>Code word</w:t>
            </w:r>
          </w:p>
        </w:tc>
        <w:tc>
          <w:tcPr>
            <w:tcW w:w="1701" w:type="dxa"/>
          </w:tcPr>
          <w:p w14:paraId="37FF6D90" w14:textId="77777777" w:rsidR="00711444" w:rsidRPr="004D0DAA" w:rsidRDefault="00711444" w:rsidP="00AA2A4C">
            <w:pPr>
              <w:pStyle w:val="TAH"/>
              <w:rPr>
                <w:lang w:eastAsia="en-US"/>
              </w:rPr>
            </w:pPr>
            <w:r w:rsidRPr="004D0DAA">
              <w:rPr>
                <w:lang w:eastAsia="en-US"/>
              </w:rPr>
              <w:t>Zero run length</w:t>
            </w:r>
          </w:p>
        </w:tc>
        <w:tc>
          <w:tcPr>
            <w:tcW w:w="1701" w:type="dxa"/>
          </w:tcPr>
          <w:p w14:paraId="5D1AEF8C" w14:textId="77777777" w:rsidR="00711444" w:rsidRPr="004D0DAA" w:rsidRDefault="00711444" w:rsidP="00AA2A4C">
            <w:pPr>
              <w:pStyle w:val="TAH"/>
              <w:rPr>
                <w:lang w:eastAsia="en-US"/>
              </w:rPr>
            </w:pPr>
            <w:r w:rsidRPr="004D0DAA">
              <w:rPr>
                <w:lang w:eastAsia="en-US"/>
              </w:rPr>
              <w:t>Code word</w:t>
            </w:r>
          </w:p>
        </w:tc>
      </w:tr>
      <w:tr w:rsidR="00711444" w:rsidRPr="004D0DAA" w14:paraId="189F5AA0" w14:textId="77777777" w:rsidTr="00AA2A4C">
        <w:tblPrEx>
          <w:tblCellMar>
            <w:top w:w="0" w:type="dxa"/>
            <w:bottom w:w="0" w:type="dxa"/>
          </w:tblCellMar>
        </w:tblPrEx>
        <w:trPr>
          <w:jc w:val="center"/>
        </w:trPr>
        <w:tc>
          <w:tcPr>
            <w:tcW w:w="1701" w:type="dxa"/>
          </w:tcPr>
          <w:p w14:paraId="4CC9A9F0" w14:textId="77777777" w:rsidR="00711444" w:rsidRPr="004D0DAA" w:rsidRDefault="00711444" w:rsidP="00AA2A4C">
            <w:pPr>
              <w:pStyle w:val="TAL"/>
              <w:rPr>
                <w:lang w:eastAsia="en-US"/>
              </w:rPr>
            </w:pPr>
            <w:r w:rsidRPr="004D0DAA">
              <w:rPr>
                <w:lang w:eastAsia="en-US"/>
              </w:rPr>
              <w:t>64</w:t>
            </w:r>
          </w:p>
        </w:tc>
        <w:tc>
          <w:tcPr>
            <w:tcW w:w="1701" w:type="dxa"/>
          </w:tcPr>
          <w:p w14:paraId="6F8927A3" w14:textId="77777777" w:rsidR="00711444" w:rsidRPr="004D0DAA" w:rsidRDefault="00711444" w:rsidP="00AA2A4C">
            <w:pPr>
              <w:pStyle w:val="TAL"/>
              <w:rPr>
                <w:lang w:eastAsia="en-US"/>
              </w:rPr>
            </w:pPr>
            <w:r w:rsidRPr="004D0DAA">
              <w:rPr>
                <w:lang w:eastAsia="en-US"/>
              </w:rPr>
              <w:t>11011</w:t>
            </w:r>
          </w:p>
        </w:tc>
        <w:tc>
          <w:tcPr>
            <w:tcW w:w="1701" w:type="dxa"/>
          </w:tcPr>
          <w:p w14:paraId="7BC2950B" w14:textId="77777777" w:rsidR="00711444" w:rsidRPr="004D0DAA" w:rsidRDefault="00711444" w:rsidP="00AA2A4C">
            <w:pPr>
              <w:pStyle w:val="TAL"/>
              <w:rPr>
                <w:lang w:eastAsia="en-US"/>
              </w:rPr>
            </w:pPr>
            <w:r w:rsidRPr="004D0DAA">
              <w:rPr>
                <w:lang w:eastAsia="en-US"/>
              </w:rPr>
              <w:t>64</w:t>
            </w:r>
          </w:p>
        </w:tc>
        <w:tc>
          <w:tcPr>
            <w:tcW w:w="1701" w:type="dxa"/>
          </w:tcPr>
          <w:p w14:paraId="72DCB882" w14:textId="77777777" w:rsidR="00711444" w:rsidRPr="004D0DAA" w:rsidRDefault="00711444" w:rsidP="00AA2A4C">
            <w:pPr>
              <w:pStyle w:val="TAL"/>
              <w:rPr>
                <w:lang w:eastAsia="en-US"/>
              </w:rPr>
            </w:pPr>
            <w:r w:rsidRPr="004D0DAA">
              <w:rPr>
                <w:lang w:eastAsia="en-US"/>
              </w:rPr>
              <w:t>0000001111</w:t>
            </w:r>
          </w:p>
        </w:tc>
      </w:tr>
      <w:tr w:rsidR="00711444" w:rsidRPr="004D0DAA" w14:paraId="79DEE83A" w14:textId="77777777" w:rsidTr="00AA2A4C">
        <w:tblPrEx>
          <w:tblCellMar>
            <w:top w:w="0" w:type="dxa"/>
            <w:bottom w:w="0" w:type="dxa"/>
          </w:tblCellMar>
        </w:tblPrEx>
        <w:trPr>
          <w:jc w:val="center"/>
        </w:trPr>
        <w:tc>
          <w:tcPr>
            <w:tcW w:w="1701" w:type="dxa"/>
          </w:tcPr>
          <w:p w14:paraId="3464684B" w14:textId="77777777" w:rsidR="00711444" w:rsidRPr="004D0DAA" w:rsidRDefault="00711444" w:rsidP="00AA2A4C">
            <w:pPr>
              <w:pStyle w:val="TAL"/>
              <w:rPr>
                <w:lang w:eastAsia="en-US"/>
              </w:rPr>
            </w:pPr>
            <w:r w:rsidRPr="004D0DAA">
              <w:rPr>
                <w:lang w:eastAsia="en-US"/>
              </w:rPr>
              <w:t>128</w:t>
            </w:r>
          </w:p>
        </w:tc>
        <w:tc>
          <w:tcPr>
            <w:tcW w:w="1701" w:type="dxa"/>
          </w:tcPr>
          <w:p w14:paraId="0B01D99E" w14:textId="77777777" w:rsidR="00711444" w:rsidRPr="004D0DAA" w:rsidRDefault="00711444" w:rsidP="00AA2A4C">
            <w:pPr>
              <w:pStyle w:val="TAL"/>
              <w:rPr>
                <w:lang w:eastAsia="en-US"/>
              </w:rPr>
            </w:pPr>
            <w:r w:rsidRPr="004D0DAA">
              <w:rPr>
                <w:lang w:eastAsia="en-US"/>
              </w:rPr>
              <w:t>10010</w:t>
            </w:r>
          </w:p>
        </w:tc>
        <w:tc>
          <w:tcPr>
            <w:tcW w:w="1701" w:type="dxa"/>
          </w:tcPr>
          <w:p w14:paraId="61064A1A" w14:textId="77777777" w:rsidR="00711444" w:rsidRPr="004D0DAA" w:rsidRDefault="00711444" w:rsidP="00AA2A4C">
            <w:pPr>
              <w:pStyle w:val="TAL"/>
              <w:rPr>
                <w:lang w:eastAsia="en-US"/>
              </w:rPr>
            </w:pPr>
            <w:r w:rsidRPr="004D0DAA">
              <w:rPr>
                <w:lang w:eastAsia="en-US"/>
              </w:rPr>
              <w:t>128</w:t>
            </w:r>
          </w:p>
        </w:tc>
        <w:tc>
          <w:tcPr>
            <w:tcW w:w="1701" w:type="dxa"/>
          </w:tcPr>
          <w:p w14:paraId="4955C121" w14:textId="77777777" w:rsidR="00711444" w:rsidRPr="004D0DAA" w:rsidRDefault="00711444" w:rsidP="00AA2A4C">
            <w:pPr>
              <w:pStyle w:val="TAL"/>
              <w:rPr>
                <w:lang w:eastAsia="en-US"/>
              </w:rPr>
            </w:pPr>
            <w:r w:rsidRPr="004D0DAA">
              <w:rPr>
                <w:lang w:eastAsia="en-US"/>
              </w:rPr>
              <w:t>000011001000</w:t>
            </w:r>
          </w:p>
        </w:tc>
      </w:tr>
      <w:tr w:rsidR="00711444" w:rsidRPr="004D0DAA" w14:paraId="297D0430" w14:textId="77777777" w:rsidTr="00AA2A4C">
        <w:tblPrEx>
          <w:tblCellMar>
            <w:top w:w="0" w:type="dxa"/>
            <w:bottom w:w="0" w:type="dxa"/>
          </w:tblCellMar>
        </w:tblPrEx>
        <w:trPr>
          <w:jc w:val="center"/>
        </w:trPr>
        <w:tc>
          <w:tcPr>
            <w:tcW w:w="1701" w:type="dxa"/>
          </w:tcPr>
          <w:p w14:paraId="777FDFB8" w14:textId="77777777" w:rsidR="00711444" w:rsidRPr="004D0DAA" w:rsidRDefault="00711444" w:rsidP="00AA2A4C">
            <w:pPr>
              <w:pStyle w:val="TAL"/>
              <w:rPr>
                <w:lang w:eastAsia="en-US"/>
              </w:rPr>
            </w:pPr>
            <w:r w:rsidRPr="004D0DAA">
              <w:rPr>
                <w:lang w:eastAsia="en-US"/>
              </w:rPr>
              <w:t>192</w:t>
            </w:r>
          </w:p>
        </w:tc>
        <w:tc>
          <w:tcPr>
            <w:tcW w:w="1701" w:type="dxa"/>
          </w:tcPr>
          <w:p w14:paraId="7FB69059" w14:textId="77777777" w:rsidR="00711444" w:rsidRPr="004D0DAA" w:rsidRDefault="00711444" w:rsidP="00AA2A4C">
            <w:pPr>
              <w:pStyle w:val="TAL"/>
              <w:rPr>
                <w:lang w:eastAsia="en-US"/>
              </w:rPr>
            </w:pPr>
            <w:r w:rsidRPr="004D0DAA">
              <w:rPr>
                <w:lang w:eastAsia="en-US"/>
              </w:rPr>
              <w:t>010111</w:t>
            </w:r>
          </w:p>
        </w:tc>
        <w:tc>
          <w:tcPr>
            <w:tcW w:w="1701" w:type="dxa"/>
          </w:tcPr>
          <w:p w14:paraId="19CCA5F0" w14:textId="77777777" w:rsidR="00711444" w:rsidRPr="004D0DAA" w:rsidRDefault="00711444" w:rsidP="00AA2A4C">
            <w:pPr>
              <w:pStyle w:val="TAL"/>
              <w:rPr>
                <w:lang w:eastAsia="en-US"/>
              </w:rPr>
            </w:pPr>
            <w:r w:rsidRPr="004D0DAA">
              <w:rPr>
                <w:lang w:eastAsia="en-US"/>
              </w:rPr>
              <w:t>192</w:t>
            </w:r>
          </w:p>
        </w:tc>
        <w:tc>
          <w:tcPr>
            <w:tcW w:w="1701" w:type="dxa"/>
          </w:tcPr>
          <w:p w14:paraId="5B06A88D" w14:textId="77777777" w:rsidR="00711444" w:rsidRPr="004D0DAA" w:rsidRDefault="00711444" w:rsidP="00AA2A4C">
            <w:pPr>
              <w:pStyle w:val="TAL"/>
              <w:rPr>
                <w:lang w:eastAsia="en-US"/>
              </w:rPr>
            </w:pPr>
            <w:r w:rsidRPr="004D0DAA">
              <w:rPr>
                <w:lang w:eastAsia="en-US"/>
              </w:rPr>
              <w:t>000011001001</w:t>
            </w:r>
          </w:p>
        </w:tc>
      </w:tr>
      <w:tr w:rsidR="00711444" w:rsidRPr="004D0DAA" w14:paraId="77357669" w14:textId="77777777" w:rsidTr="00AA2A4C">
        <w:tblPrEx>
          <w:tblCellMar>
            <w:top w:w="0" w:type="dxa"/>
            <w:bottom w:w="0" w:type="dxa"/>
          </w:tblCellMar>
        </w:tblPrEx>
        <w:trPr>
          <w:jc w:val="center"/>
        </w:trPr>
        <w:tc>
          <w:tcPr>
            <w:tcW w:w="1701" w:type="dxa"/>
          </w:tcPr>
          <w:p w14:paraId="3C166C8C" w14:textId="77777777" w:rsidR="00711444" w:rsidRPr="004D0DAA" w:rsidRDefault="00711444" w:rsidP="00AA2A4C">
            <w:pPr>
              <w:pStyle w:val="TAL"/>
              <w:rPr>
                <w:lang w:eastAsia="en-US"/>
              </w:rPr>
            </w:pPr>
            <w:r w:rsidRPr="004D0DAA">
              <w:rPr>
                <w:lang w:eastAsia="en-US"/>
              </w:rPr>
              <w:t>256</w:t>
            </w:r>
          </w:p>
        </w:tc>
        <w:tc>
          <w:tcPr>
            <w:tcW w:w="1701" w:type="dxa"/>
          </w:tcPr>
          <w:p w14:paraId="434EF8CC" w14:textId="77777777" w:rsidR="00711444" w:rsidRPr="004D0DAA" w:rsidRDefault="00711444" w:rsidP="00AA2A4C">
            <w:pPr>
              <w:pStyle w:val="TAL"/>
              <w:rPr>
                <w:lang w:eastAsia="en-US"/>
              </w:rPr>
            </w:pPr>
            <w:r w:rsidRPr="004D0DAA">
              <w:rPr>
                <w:lang w:eastAsia="en-US"/>
              </w:rPr>
              <w:t>0110111</w:t>
            </w:r>
          </w:p>
        </w:tc>
        <w:tc>
          <w:tcPr>
            <w:tcW w:w="1701" w:type="dxa"/>
          </w:tcPr>
          <w:p w14:paraId="47AB7DF4" w14:textId="77777777" w:rsidR="00711444" w:rsidRPr="004D0DAA" w:rsidRDefault="00711444" w:rsidP="00AA2A4C">
            <w:pPr>
              <w:pStyle w:val="TAL"/>
              <w:rPr>
                <w:lang w:eastAsia="en-US"/>
              </w:rPr>
            </w:pPr>
            <w:r w:rsidRPr="004D0DAA">
              <w:rPr>
                <w:lang w:eastAsia="en-US"/>
              </w:rPr>
              <w:t>256</w:t>
            </w:r>
          </w:p>
        </w:tc>
        <w:tc>
          <w:tcPr>
            <w:tcW w:w="1701" w:type="dxa"/>
          </w:tcPr>
          <w:p w14:paraId="190BDD4C" w14:textId="77777777" w:rsidR="00711444" w:rsidRPr="004D0DAA" w:rsidRDefault="00711444" w:rsidP="00AA2A4C">
            <w:pPr>
              <w:pStyle w:val="TAL"/>
              <w:rPr>
                <w:lang w:eastAsia="en-US"/>
              </w:rPr>
            </w:pPr>
            <w:r w:rsidRPr="004D0DAA">
              <w:rPr>
                <w:lang w:eastAsia="en-US"/>
              </w:rPr>
              <w:t>000001011011</w:t>
            </w:r>
          </w:p>
        </w:tc>
      </w:tr>
      <w:tr w:rsidR="00711444" w:rsidRPr="004D0DAA" w14:paraId="1853F392" w14:textId="77777777" w:rsidTr="00AA2A4C">
        <w:tblPrEx>
          <w:tblCellMar>
            <w:top w:w="0" w:type="dxa"/>
            <w:bottom w:w="0" w:type="dxa"/>
          </w:tblCellMar>
        </w:tblPrEx>
        <w:trPr>
          <w:jc w:val="center"/>
        </w:trPr>
        <w:tc>
          <w:tcPr>
            <w:tcW w:w="1701" w:type="dxa"/>
          </w:tcPr>
          <w:p w14:paraId="590C9720" w14:textId="77777777" w:rsidR="00711444" w:rsidRPr="004D0DAA" w:rsidRDefault="00711444" w:rsidP="00AA2A4C">
            <w:pPr>
              <w:pStyle w:val="TAL"/>
              <w:rPr>
                <w:lang w:eastAsia="en-US"/>
              </w:rPr>
            </w:pPr>
            <w:r w:rsidRPr="004D0DAA">
              <w:rPr>
                <w:lang w:eastAsia="en-US"/>
              </w:rPr>
              <w:t>320</w:t>
            </w:r>
          </w:p>
        </w:tc>
        <w:tc>
          <w:tcPr>
            <w:tcW w:w="1701" w:type="dxa"/>
          </w:tcPr>
          <w:p w14:paraId="530E7F90" w14:textId="77777777" w:rsidR="00711444" w:rsidRPr="004D0DAA" w:rsidRDefault="00711444" w:rsidP="00AA2A4C">
            <w:pPr>
              <w:pStyle w:val="TAL"/>
              <w:rPr>
                <w:lang w:eastAsia="en-US"/>
              </w:rPr>
            </w:pPr>
            <w:r w:rsidRPr="004D0DAA">
              <w:rPr>
                <w:lang w:eastAsia="en-US"/>
              </w:rPr>
              <w:t>00110110</w:t>
            </w:r>
          </w:p>
        </w:tc>
        <w:tc>
          <w:tcPr>
            <w:tcW w:w="1701" w:type="dxa"/>
          </w:tcPr>
          <w:p w14:paraId="6E40A874" w14:textId="77777777" w:rsidR="00711444" w:rsidRPr="004D0DAA" w:rsidRDefault="00711444" w:rsidP="00AA2A4C">
            <w:pPr>
              <w:pStyle w:val="TAL"/>
              <w:rPr>
                <w:lang w:eastAsia="en-US"/>
              </w:rPr>
            </w:pPr>
            <w:r w:rsidRPr="004D0DAA">
              <w:rPr>
                <w:lang w:eastAsia="en-US"/>
              </w:rPr>
              <w:t>320</w:t>
            </w:r>
          </w:p>
        </w:tc>
        <w:tc>
          <w:tcPr>
            <w:tcW w:w="1701" w:type="dxa"/>
          </w:tcPr>
          <w:p w14:paraId="418B4E9F" w14:textId="77777777" w:rsidR="00711444" w:rsidRPr="004D0DAA" w:rsidRDefault="00711444" w:rsidP="00AA2A4C">
            <w:pPr>
              <w:pStyle w:val="TAL"/>
              <w:rPr>
                <w:lang w:eastAsia="en-US"/>
              </w:rPr>
            </w:pPr>
            <w:r w:rsidRPr="004D0DAA">
              <w:rPr>
                <w:lang w:eastAsia="en-US"/>
              </w:rPr>
              <w:t>000000110011</w:t>
            </w:r>
          </w:p>
        </w:tc>
      </w:tr>
      <w:tr w:rsidR="00711444" w:rsidRPr="004D0DAA" w14:paraId="1CFE3457" w14:textId="77777777" w:rsidTr="00AA2A4C">
        <w:tblPrEx>
          <w:tblCellMar>
            <w:top w:w="0" w:type="dxa"/>
            <w:bottom w:w="0" w:type="dxa"/>
          </w:tblCellMar>
        </w:tblPrEx>
        <w:trPr>
          <w:jc w:val="center"/>
        </w:trPr>
        <w:tc>
          <w:tcPr>
            <w:tcW w:w="1701" w:type="dxa"/>
          </w:tcPr>
          <w:p w14:paraId="67B3D84A" w14:textId="77777777" w:rsidR="00711444" w:rsidRPr="004D0DAA" w:rsidRDefault="00711444" w:rsidP="00AA2A4C">
            <w:pPr>
              <w:pStyle w:val="TAL"/>
              <w:rPr>
                <w:lang w:eastAsia="en-US"/>
              </w:rPr>
            </w:pPr>
            <w:r w:rsidRPr="004D0DAA">
              <w:rPr>
                <w:lang w:eastAsia="en-US"/>
              </w:rPr>
              <w:t>384</w:t>
            </w:r>
          </w:p>
        </w:tc>
        <w:tc>
          <w:tcPr>
            <w:tcW w:w="1701" w:type="dxa"/>
          </w:tcPr>
          <w:p w14:paraId="797D8E2F" w14:textId="77777777" w:rsidR="00711444" w:rsidRPr="004D0DAA" w:rsidRDefault="00711444" w:rsidP="00AA2A4C">
            <w:pPr>
              <w:pStyle w:val="TAL"/>
              <w:rPr>
                <w:lang w:eastAsia="en-US"/>
              </w:rPr>
            </w:pPr>
            <w:r w:rsidRPr="004D0DAA">
              <w:rPr>
                <w:lang w:eastAsia="en-US"/>
              </w:rPr>
              <w:t>00110111</w:t>
            </w:r>
          </w:p>
        </w:tc>
        <w:tc>
          <w:tcPr>
            <w:tcW w:w="1701" w:type="dxa"/>
          </w:tcPr>
          <w:p w14:paraId="60C49237" w14:textId="77777777" w:rsidR="00711444" w:rsidRPr="004D0DAA" w:rsidRDefault="00711444" w:rsidP="00AA2A4C">
            <w:pPr>
              <w:pStyle w:val="TAL"/>
              <w:rPr>
                <w:lang w:eastAsia="en-US"/>
              </w:rPr>
            </w:pPr>
            <w:r w:rsidRPr="004D0DAA">
              <w:rPr>
                <w:lang w:eastAsia="en-US"/>
              </w:rPr>
              <w:t>384</w:t>
            </w:r>
          </w:p>
        </w:tc>
        <w:tc>
          <w:tcPr>
            <w:tcW w:w="1701" w:type="dxa"/>
          </w:tcPr>
          <w:p w14:paraId="702A2C9B" w14:textId="77777777" w:rsidR="00711444" w:rsidRPr="004D0DAA" w:rsidRDefault="00711444" w:rsidP="00AA2A4C">
            <w:pPr>
              <w:pStyle w:val="TAL"/>
              <w:rPr>
                <w:lang w:eastAsia="en-US"/>
              </w:rPr>
            </w:pPr>
            <w:r w:rsidRPr="004D0DAA">
              <w:rPr>
                <w:lang w:eastAsia="en-US"/>
              </w:rPr>
              <w:t>000000110100</w:t>
            </w:r>
          </w:p>
        </w:tc>
      </w:tr>
      <w:tr w:rsidR="00711444" w:rsidRPr="004D0DAA" w14:paraId="0E72BABD" w14:textId="77777777" w:rsidTr="00AA2A4C">
        <w:tblPrEx>
          <w:tblCellMar>
            <w:top w:w="0" w:type="dxa"/>
            <w:bottom w:w="0" w:type="dxa"/>
          </w:tblCellMar>
        </w:tblPrEx>
        <w:trPr>
          <w:jc w:val="center"/>
        </w:trPr>
        <w:tc>
          <w:tcPr>
            <w:tcW w:w="1701" w:type="dxa"/>
          </w:tcPr>
          <w:p w14:paraId="5F2AB529" w14:textId="77777777" w:rsidR="00711444" w:rsidRPr="004D0DAA" w:rsidRDefault="00711444" w:rsidP="00AA2A4C">
            <w:pPr>
              <w:pStyle w:val="TAL"/>
              <w:rPr>
                <w:lang w:eastAsia="en-US"/>
              </w:rPr>
            </w:pPr>
            <w:r w:rsidRPr="004D0DAA">
              <w:rPr>
                <w:lang w:eastAsia="en-US"/>
              </w:rPr>
              <w:t>448</w:t>
            </w:r>
          </w:p>
        </w:tc>
        <w:tc>
          <w:tcPr>
            <w:tcW w:w="1701" w:type="dxa"/>
          </w:tcPr>
          <w:p w14:paraId="0474D1A5" w14:textId="77777777" w:rsidR="00711444" w:rsidRPr="004D0DAA" w:rsidRDefault="00711444" w:rsidP="00AA2A4C">
            <w:pPr>
              <w:pStyle w:val="TAL"/>
              <w:rPr>
                <w:lang w:eastAsia="en-US"/>
              </w:rPr>
            </w:pPr>
            <w:r w:rsidRPr="004D0DAA">
              <w:rPr>
                <w:lang w:eastAsia="en-US"/>
              </w:rPr>
              <w:t>01100100</w:t>
            </w:r>
          </w:p>
        </w:tc>
        <w:tc>
          <w:tcPr>
            <w:tcW w:w="1701" w:type="dxa"/>
          </w:tcPr>
          <w:p w14:paraId="109B6210" w14:textId="77777777" w:rsidR="00711444" w:rsidRPr="004D0DAA" w:rsidRDefault="00711444" w:rsidP="00AA2A4C">
            <w:pPr>
              <w:pStyle w:val="TAL"/>
              <w:rPr>
                <w:lang w:eastAsia="en-US"/>
              </w:rPr>
            </w:pPr>
            <w:r w:rsidRPr="004D0DAA">
              <w:rPr>
                <w:lang w:eastAsia="en-US"/>
              </w:rPr>
              <w:t>448</w:t>
            </w:r>
          </w:p>
        </w:tc>
        <w:tc>
          <w:tcPr>
            <w:tcW w:w="1701" w:type="dxa"/>
          </w:tcPr>
          <w:p w14:paraId="340DBF5A" w14:textId="77777777" w:rsidR="00711444" w:rsidRPr="004D0DAA" w:rsidRDefault="00711444" w:rsidP="00AA2A4C">
            <w:pPr>
              <w:pStyle w:val="TAL"/>
              <w:rPr>
                <w:lang w:eastAsia="en-US"/>
              </w:rPr>
            </w:pPr>
            <w:r w:rsidRPr="004D0DAA">
              <w:rPr>
                <w:lang w:eastAsia="en-US"/>
              </w:rPr>
              <w:t>000000110101</w:t>
            </w:r>
          </w:p>
        </w:tc>
      </w:tr>
      <w:tr w:rsidR="00711444" w:rsidRPr="004D0DAA" w14:paraId="68548356" w14:textId="77777777" w:rsidTr="00AA2A4C">
        <w:tblPrEx>
          <w:tblCellMar>
            <w:top w:w="0" w:type="dxa"/>
            <w:bottom w:w="0" w:type="dxa"/>
          </w:tblCellMar>
        </w:tblPrEx>
        <w:trPr>
          <w:jc w:val="center"/>
        </w:trPr>
        <w:tc>
          <w:tcPr>
            <w:tcW w:w="1701" w:type="dxa"/>
          </w:tcPr>
          <w:p w14:paraId="62728C5F" w14:textId="77777777" w:rsidR="00711444" w:rsidRPr="004D0DAA" w:rsidRDefault="00711444" w:rsidP="00AA2A4C">
            <w:pPr>
              <w:pStyle w:val="TAL"/>
              <w:rPr>
                <w:lang w:eastAsia="en-US"/>
              </w:rPr>
            </w:pPr>
            <w:r w:rsidRPr="004D0DAA">
              <w:rPr>
                <w:lang w:eastAsia="en-US"/>
              </w:rPr>
              <w:t>512</w:t>
            </w:r>
          </w:p>
        </w:tc>
        <w:tc>
          <w:tcPr>
            <w:tcW w:w="1701" w:type="dxa"/>
          </w:tcPr>
          <w:p w14:paraId="5F7FFCB0" w14:textId="77777777" w:rsidR="00711444" w:rsidRPr="004D0DAA" w:rsidRDefault="00711444" w:rsidP="00AA2A4C">
            <w:pPr>
              <w:pStyle w:val="TAL"/>
              <w:rPr>
                <w:lang w:eastAsia="en-US"/>
              </w:rPr>
            </w:pPr>
            <w:r w:rsidRPr="004D0DAA">
              <w:rPr>
                <w:lang w:eastAsia="en-US"/>
              </w:rPr>
              <w:t>01100101</w:t>
            </w:r>
          </w:p>
        </w:tc>
        <w:tc>
          <w:tcPr>
            <w:tcW w:w="1701" w:type="dxa"/>
          </w:tcPr>
          <w:p w14:paraId="4C0DE685" w14:textId="77777777" w:rsidR="00711444" w:rsidRPr="004D0DAA" w:rsidRDefault="00711444" w:rsidP="00AA2A4C">
            <w:pPr>
              <w:pStyle w:val="TAL"/>
              <w:rPr>
                <w:lang w:eastAsia="en-US"/>
              </w:rPr>
            </w:pPr>
            <w:r w:rsidRPr="004D0DAA">
              <w:rPr>
                <w:lang w:eastAsia="en-US"/>
              </w:rPr>
              <w:t>512</w:t>
            </w:r>
          </w:p>
        </w:tc>
        <w:tc>
          <w:tcPr>
            <w:tcW w:w="1701" w:type="dxa"/>
          </w:tcPr>
          <w:p w14:paraId="4C515C73" w14:textId="77777777" w:rsidR="00711444" w:rsidRPr="004D0DAA" w:rsidRDefault="00711444" w:rsidP="00AA2A4C">
            <w:pPr>
              <w:pStyle w:val="TAL"/>
              <w:rPr>
                <w:lang w:eastAsia="en-US"/>
              </w:rPr>
            </w:pPr>
            <w:r w:rsidRPr="004D0DAA">
              <w:rPr>
                <w:lang w:eastAsia="en-US"/>
              </w:rPr>
              <w:t>0000001101100</w:t>
            </w:r>
          </w:p>
        </w:tc>
      </w:tr>
      <w:tr w:rsidR="00711444" w:rsidRPr="004D0DAA" w14:paraId="3B5BFF47" w14:textId="77777777" w:rsidTr="00AA2A4C">
        <w:tblPrEx>
          <w:tblCellMar>
            <w:top w:w="0" w:type="dxa"/>
            <w:bottom w:w="0" w:type="dxa"/>
          </w:tblCellMar>
        </w:tblPrEx>
        <w:trPr>
          <w:jc w:val="center"/>
        </w:trPr>
        <w:tc>
          <w:tcPr>
            <w:tcW w:w="1701" w:type="dxa"/>
          </w:tcPr>
          <w:p w14:paraId="0D3F7919" w14:textId="77777777" w:rsidR="00711444" w:rsidRPr="004D0DAA" w:rsidRDefault="00711444" w:rsidP="00AA2A4C">
            <w:pPr>
              <w:pStyle w:val="TAL"/>
              <w:rPr>
                <w:lang w:eastAsia="en-US"/>
              </w:rPr>
            </w:pPr>
            <w:r w:rsidRPr="004D0DAA">
              <w:rPr>
                <w:lang w:eastAsia="en-US"/>
              </w:rPr>
              <w:t>576</w:t>
            </w:r>
          </w:p>
        </w:tc>
        <w:tc>
          <w:tcPr>
            <w:tcW w:w="1701" w:type="dxa"/>
          </w:tcPr>
          <w:p w14:paraId="57157B6A" w14:textId="77777777" w:rsidR="00711444" w:rsidRPr="004D0DAA" w:rsidRDefault="00711444" w:rsidP="00AA2A4C">
            <w:pPr>
              <w:pStyle w:val="TAL"/>
              <w:rPr>
                <w:lang w:eastAsia="en-US"/>
              </w:rPr>
            </w:pPr>
            <w:r w:rsidRPr="004D0DAA">
              <w:rPr>
                <w:lang w:eastAsia="en-US"/>
              </w:rPr>
              <w:t>01101000</w:t>
            </w:r>
          </w:p>
        </w:tc>
        <w:tc>
          <w:tcPr>
            <w:tcW w:w="1701" w:type="dxa"/>
          </w:tcPr>
          <w:p w14:paraId="6E2C6859" w14:textId="77777777" w:rsidR="00711444" w:rsidRPr="004D0DAA" w:rsidRDefault="00711444" w:rsidP="00AA2A4C">
            <w:pPr>
              <w:pStyle w:val="TAL"/>
              <w:rPr>
                <w:lang w:eastAsia="en-US"/>
              </w:rPr>
            </w:pPr>
            <w:r w:rsidRPr="004D0DAA">
              <w:rPr>
                <w:lang w:eastAsia="en-US"/>
              </w:rPr>
              <w:t>576</w:t>
            </w:r>
          </w:p>
        </w:tc>
        <w:tc>
          <w:tcPr>
            <w:tcW w:w="1701" w:type="dxa"/>
          </w:tcPr>
          <w:p w14:paraId="38AC0C2D" w14:textId="77777777" w:rsidR="00711444" w:rsidRPr="004D0DAA" w:rsidRDefault="00711444" w:rsidP="00AA2A4C">
            <w:pPr>
              <w:pStyle w:val="TAL"/>
              <w:rPr>
                <w:lang w:eastAsia="en-US"/>
              </w:rPr>
            </w:pPr>
            <w:r w:rsidRPr="004D0DAA">
              <w:rPr>
                <w:lang w:eastAsia="en-US"/>
              </w:rPr>
              <w:t>0000001101101</w:t>
            </w:r>
          </w:p>
        </w:tc>
      </w:tr>
      <w:tr w:rsidR="00711444" w:rsidRPr="004D0DAA" w14:paraId="5C8EF398" w14:textId="77777777" w:rsidTr="00AA2A4C">
        <w:tblPrEx>
          <w:tblCellMar>
            <w:top w:w="0" w:type="dxa"/>
            <w:bottom w:w="0" w:type="dxa"/>
          </w:tblCellMar>
        </w:tblPrEx>
        <w:trPr>
          <w:jc w:val="center"/>
        </w:trPr>
        <w:tc>
          <w:tcPr>
            <w:tcW w:w="1701" w:type="dxa"/>
          </w:tcPr>
          <w:p w14:paraId="535D13F8" w14:textId="77777777" w:rsidR="00711444" w:rsidRPr="004D0DAA" w:rsidRDefault="00711444" w:rsidP="00AA2A4C">
            <w:pPr>
              <w:pStyle w:val="TAL"/>
              <w:rPr>
                <w:lang w:eastAsia="en-US"/>
              </w:rPr>
            </w:pPr>
            <w:r w:rsidRPr="004D0DAA">
              <w:rPr>
                <w:lang w:eastAsia="en-US"/>
              </w:rPr>
              <w:t>640</w:t>
            </w:r>
          </w:p>
        </w:tc>
        <w:tc>
          <w:tcPr>
            <w:tcW w:w="1701" w:type="dxa"/>
          </w:tcPr>
          <w:p w14:paraId="34D3EE61" w14:textId="77777777" w:rsidR="00711444" w:rsidRPr="004D0DAA" w:rsidRDefault="00711444" w:rsidP="00AA2A4C">
            <w:pPr>
              <w:pStyle w:val="TAL"/>
              <w:rPr>
                <w:lang w:eastAsia="en-US"/>
              </w:rPr>
            </w:pPr>
            <w:r w:rsidRPr="004D0DAA">
              <w:rPr>
                <w:lang w:eastAsia="en-US"/>
              </w:rPr>
              <w:t>01100111</w:t>
            </w:r>
          </w:p>
        </w:tc>
        <w:tc>
          <w:tcPr>
            <w:tcW w:w="1701" w:type="dxa"/>
          </w:tcPr>
          <w:p w14:paraId="416CDE8C" w14:textId="77777777" w:rsidR="00711444" w:rsidRPr="004D0DAA" w:rsidRDefault="00711444" w:rsidP="00AA2A4C">
            <w:pPr>
              <w:pStyle w:val="TAL"/>
              <w:rPr>
                <w:lang w:eastAsia="en-US"/>
              </w:rPr>
            </w:pPr>
            <w:r w:rsidRPr="004D0DAA">
              <w:rPr>
                <w:lang w:eastAsia="en-US"/>
              </w:rPr>
              <w:t>640</w:t>
            </w:r>
          </w:p>
        </w:tc>
        <w:tc>
          <w:tcPr>
            <w:tcW w:w="1701" w:type="dxa"/>
          </w:tcPr>
          <w:p w14:paraId="08A27C80" w14:textId="77777777" w:rsidR="00711444" w:rsidRPr="004D0DAA" w:rsidRDefault="00711444" w:rsidP="00AA2A4C">
            <w:pPr>
              <w:pStyle w:val="TAL"/>
              <w:rPr>
                <w:lang w:eastAsia="en-US"/>
              </w:rPr>
            </w:pPr>
            <w:r w:rsidRPr="004D0DAA">
              <w:rPr>
                <w:lang w:eastAsia="en-US"/>
              </w:rPr>
              <w:t>0000001001010</w:t>
            </w:r>
          </w:p>
        </w:tc>
      </w:tr>
      <w:tr w:rsidR="00711444" w:rsidRPr="004D0DAA" w14:paraId="7453776E" w14:textId="77777777" w:rsidTr="00AA2A4C">
        <w:tblPrEx>
          <w:tblCellMar>
            <w:top w:w="0" w:type="dxa"/>
            <w:bottom w:w="0" w:type="dxa"/>
          </w:tblCellMar>
        </w:tblPrEx>
        <w:trPr>
          <w:jc w:val="center"/>
        </w:trPr>
        <w:tc>
          <w:tcPr>
            <w:tcW w:w="1701" w:type="dxa"/>
          </w:tcPr>
          <w:p w14:paraId="7323F7CA" w14:textId="77777777" w:rsidR="00711444" w:rsidRPr="004D0DAA" w:rsidRDefault="00711444" w:rsidP="00AA2A4C">
            <w:pPr>
              <w:pStyle w:val="TAL"/>
              <w:rPr>
                <w:lang w:eastAsia="en-US"/>
              </w:rPr>
            </w:pPr>
            <w:r w:rsidRPr="004D0DAA">
              <w:rPr>
                <w:lang w:eastAsia="en-US"/>
              </w:rPr>
              <w:t>704</w:t>
            </w:r>
          </w:p>
        </w:tc>
        <w:tc>
          <w:tcPr>
            <w:tcW w:w="1701" w:type="dxa"/>
          </w:tcPr>
          <w:p w14:paraId="45E5FDF6" w14:textId="77777777" w:rsidR="00711444" w:rsidRPr="004D0DAA" w:rsidRDefault="00711444" w:rsidP="00AA2A4C">
            <w:pPr>
              <w:pStyle w:val="TAL"/>
              <w:rPr>
                <w:lang w:eastAsia="en-US"/>
              </w:rPr>
            </w:pPr>
            <w:r w:rsidRPr="004D0DAA">
              <w:rPr>
                <w:lang w:eastAsia="en-US"/>
              </w:rPr>
              <w:t>011001100</w:t>
            </w:r>
          </w:p>
        </w:tc>
        <w:tc>
          <w:tcPr>
            <w:tcW w:w="1701" w:type="dxa"/>
          </w:tcPr>
          <w:p w14:paraId="234CB0B1" w14:textId="77777777" w:rsidR="00711444" w:rsidRPr="004D0DAA" w:rsidRDefault="00711444" w:rsidP="00AA2A4C">
            <w:pPr>
              <w:pStyle w:val="TAL"/>
              <w:rPr>
                <w:lang w:eastAsia="en-US"/>
              </w:rPr>
            </w:pPr>
            <w:r w:rsidRPr="004D0DAA">
              <w:rPr>
                <w:lang w:eastAsia="en-US"/>
              </w:rPr>
              <w:t>704</w:t>
            </w:r>
          </w:p>
        </w:tc>
        <w:tc>
          <w:tcPr>
            <w:tcW w:w="1701" w:type="dxa"/>
          </w:tcPr>
          <w:p w14:paraId="50234679" w14:textId="77777777" w:rsidR="00711444" w:rsidRPr="004D0DAA" w:rsidRDefault="00711444" w:rsidP="00AA2A4C">
            <w:pPr>
              <w:pStyle w:val="TAL"/>
              <w:rPr>
                <w:lang w:eastAsia="en-US"/>
              </w:rPr>
            </w:pPr>
            <w:r w:rsidRPr="004D0DAA">
              <w:rPr>
                <w:lang w:eastAsia="en-US"/>
              </w:rPr>
              <w:t>0000001001011</w:t>
            </w:r>
          </w:p>
        </w:tc>
      </w:tr>
      <w:tr w:rsidR="00711444" w:rsidRPr="004D0DAA" w14:paraId="7DA247D5" w14:textId="77777777" w:rsidTr="00AA2A4C">
        <w:tblPrEx>
          <w:tblCellMar>
            <w:top w:w="0" w:type="dxa"/>
            <w:bottom w:w="0" w:type="dxa"/>
          </w:tblCellMar>
        </w:tblPrEx>
        <w:trPr>
          <w:jc w:val="center"/>
        </w:trPr>
        <w:tc>
          <w:tcPr>
            <w:tcW w:w="1701" w:type="dxa"/>
          </w:tcPr>
          <w:p w14:paraId="4119B13F" w14:textId="77777777" w:rsidR="00711444" w:rsidRPr="004D0DAA" w:rsidRDefault="00711444" w:rsidP="00AA2A4C">
            <w:pPr>
              <w:pStyle w:val="TAL"/>
              <w:rPr>
                <w:lang w:eastAsia="en-US"/>
              </w:rPr>
            </w:pPr>
            <w:r w:rsidRPr="004D0DAA">
              <w:rPr>
                <w:lang w:eastAsia="en-US"/>
              </w:rPr>
              <w:t>768</w:t>
            </w:r>
          </w:p>
        </w:tc>
        <w:tc>
          <w:tcPr>
            <w:tcW w:w="1701" w:type="dxa"/>
          </w:tcPr>
          <w:p w14:paraId="11B18226" w14:textId="77777777" w:rsidR="00711444" w:rsidRPr="004D0DAA" w:rsidRDefault="00711444" w:rsidP="00AA2A4C">
            <w:pPr>
              <w:pStyle w:val="TAL"/>
              <w:rPr>
                <w:lang w:eastAsia="en-US"/>
              </w:rPr>
            </w:pPr>
            <w:r w:rsidRPr="004D0DAA">
              <w:rPr>
                <w:lang w:eastAsia="en-US"/>
              </w:rPr>
              <w:t>011001101</w:t>
            </w:r>
          </w:p>
        </w:tc>
        <w:tc>
          <w:tcPr>
            <w:tcW w:w="1701" w:type="dxa"/>
          </w:tcPr>
          <w:p w14:paraId="61DAB17C" w14:textId="77777777" w:rsidR="00711444" w:rsidRPr="004D0DAA" w:rsidRDefault="00711444" w:rsidP="00AA2A4C">
            <w:pPr>
              <w:pStyle w:val="TAL"/>
              <w:rPr>
                <w:lang w:eastAsia="en-US"/>
              </w:rPr>
            </w:pPr>
            <w:r w:rsidRPr="004D0DAA">
              <w:rPr>
                <w:lang w:eastAsia="en-US"/>
              </w:rPr>
              <w:t>768</w:t>
            </w:r>
          </w:p>
        </w:tc>
        <w:tc>
          <w:tcPr>
            <w:tcW w:w="1701" w:type="dxa"/>
          </w:tcPr>
          <w:p w14:paraId="1DD7DF68" w14:textId="77777777" w:rsidR="00711444" w:rsidRPr="004D0DAA" w:rsidRDefault="00711444" w:rsidP="00AA2A4C">
            <w:pPr>
              <w:pStyle w:val="TAL"/>
              <w:rPr>
                <w:lang w:eastAsia="en-US"/>
              </w:rPr>
            </w:pPr>
            <w:r w:rsidRPr="004D0DAA">
              <w:rPr>
                <w:lang w:eastAsia="en-US"/>
              </w:rPr>
              <w:t>0000001001100</w:t>
            </w:r>
          </w:p>
        </w:tc>
      </w:tr>
      <w:tr w:rsidR="00711444" w:rsidRPr="004D0DAA" w14:paraId="4733EAD4" w14:textId="77777777" w:rsidTr="00AA2A4C">
        <w:tblPrEx>
          <w:tblCellMar>
            <w:top w:w="0" w:type="dxa"/>
            <w:bottom w:w="0" w:type="dxa"/>
          </w:tblCellMar>
        </w:tblPrEx>
        <w:trPr>
          <w:jc w:val="center"/>
        </w:trPr>
        <w:tc>
          <w:tcPr>
            <w:tcW w:w="1701" w:type="dxa"/>
          </w:tcPr>
          <w:p w14:paraId="55AAB947" w14:textId="77777777" w:rsidR="00711444" w:rsidRPr="004D0DAA" w:rsidRDefault="00711444" w:rsidP="00AA2A4C">
            <w:pPr>
              <w:pStyle w:val="TAL"/>
              <w:rPr>
                <w:lang w:eastAsia="en-US"/>
              </w:rPr>
            </w:pPr>
            <w:r w:rsidRPr="004D0DAA">
              <w:rPr>
                <w:lang w:eastAsia="en-US"/>
              </w:rPr>
              <w:t>832</w:t>
            </w:r>
          </w:p>
        </w:tc>
        <w:tc>
          <w:tcPr>
            <w:tcW w:w="1701" w:type="dxa"/>
          </w:tcPr>
          <w:p w14:paraId="1192BF39" w14:textId="77777777" w:rsidR="00711444" w:rsidRPr="004D0DAA" w:rsidRDefault="00711444" w:rsidP="00AA2A4C">
            <w:pPr>
              <w:pStyle w:val="TAL"/>
              <w:rPr>
                <w:lang w:eastAsia="en-US"/>
              </w:rPr>
            </w:pPr>
            <w:r w:rsidRPr="004D0DAA">
              <w:rPr>
                <w:lang w:eastAsia="en-US"/>
              </w:rPr>
              <w:t>011010010</w:t>
            </w:r>
          </w:p>
        </w:tc>
        <w:tc>
          <w:tcPr>
            <w:tcW w:w="1701" w:type="dxa"/>
          </w:tcPr>
          <w:p w14:paraId="45BEACCC" w14:textId="77777777" w:rsidR="00711444" w:rsidRPr="004D0DAA" w:rsidRDefault="00711444" w:rsidP="00AA2A4C">
            <w:pPr>
              <w:pStyle w:val="TAL"/>
              <w:rPr>
                <w:lang w:eastAsia="en-US"/>
              </w:rPr>
            </w:pPr>
            <w:r w:rsidRPr="004D0DAA">
              <w:rPr>
                <w:lang w:eastAsia="en-US"/>
              </w:rPr>
              <w:t>832</w:t>
            </w:r>
          </w:p>
        </w:tc>
        <w:tc>
          <w:tcPr>
            <w:tcW w:w="1701" w:type="dxa"/>
          </w:tcPr>
          <w:p w14:paraId="3EF7E5B3" w14:textId="77777777" w:rsidR="00711444" w:rsidRPr="004D0DAA" w:rsidRDefault="00711444" w:rsidP="00AA2A4C">
            <w:pPr>
              <w:pStyle w:val="TAL"/>
              <w:rPr>
                <w:lang w:eastAsia="en-US"/>
              </w:rPr>
            </w:pPr>
            <w:r w:rsidRPr="004D0DAA">
              <w:rPr>
                <w:lang w:eastAsia="en-US"/>
              </w:rPr>
              <w:t>0000001001101</w:t>
            </w:r>
          </w:p>
        </w:tc>
      </w:tr>
      <w:tr w:rsidR="00711444" w:rsidRPr="004D0DAA" w14:paraId="77517A36" w14:textId="77777777" w:rsidTr="00AA2A4C">
        <w:tblPrEx>
          <w:tblCellMar>
            <w:top w:w="0" w:type="dxa"/>
            <w:bottom w:w="0" w:type="dxa"/>
          </w:tblCellMar>
        </w:tblPrEx>
        <w:trPr>
          <w:jc w:val="center"/>
        </w:trPr>
        <w:tc>
          <w:tcPr>
            <w:tcW w:w="1701" w:type="dxa"/>
          </w:tcPr>
          <w:p w14:paraId="2DC4A8F3" w14:textId="77777777" w:rsidR="00711444" w:rsidRPr="004D0DAA" w:rsidRDefault="00711444" w:rsidP="00AA2A4C">
            <w:pPr>
              <w:pStyle w:val="TAL"/>
              <w:rPr>
                <w:lang w:eastAsia="en-US"/>
              </w:rPr>
            </w:pPr>
            <w:r w:rsidRPr="004D0DAA">
              <w:rPr>
                <w:lang w:eastAsia="en-US"/>
              </w:rPr>
              <w:t>896</w:t>
            </w:r>
          </w:p>
        </w:tc>
        <w:tc>
          <w:tcPr>
            <w:tcW w:w="1701" w:type="dxa"/>
          </w:tcPr>
          <w:p w14:paraId="6C923543" w14:textId="77777777" w:rsidR="00711444" w:rsidRPr="004D0DAA" w:rsidRDefault="00711444" w:rsidP="00AA2A4C">
            <w:pPr>
              <w:pStyle w:val="TAL"/>
              <w:rPr>
                <w:lang w:eastAsia="en-US"/>
              </w:rPr>
            </w:pPr>
            <w:r w:rsidRPr="004D0DAA">
              <w:rPr>
                <w:lang w:eastAsia="en-US"/>
              </w:rPr>
              <w:t>011010011</w:t>
            </w:r>
          </w:p>
        </w:tc>
        <w:tc>
          <w:tcPr>
            <w:tcW w:w="1701" w:type="dxa"/>
          </w:tcPr>
          <w:p w14:paraId="40123404" w14:textId="77777777" w:rsidR="00711444" w:rsidRPr="004D0DAA" w:rsidRDefault="00711444" w:rsidP="00AA2A4C">
            <w:pPr>
              <w:pStyle w:val="TAL"/>
              <w:rPr>
                <w:lang w:eastAsia="en-US"/>
              </w:rPr>
            </w:pPr>
            <w:r w:rsidRPr="004D0DAA">
              <w:rPr>
                <w:lang w:eastAsia="en-US"/>
              </w:rPr>
              <w:t>896</w:t>
            </w:r>
          </w:p>
        </w:tc>
        <w:tc>
          <w:tcPr>
            <w:tcW w:w="1701" w:type="dxa"/>
          </w:tcPr>
          <w:p w14:paraId="15624DDB" w14:textId="77777777" w:rsidR="00711444" w:rsidRPr="004D0DAA" w:rsidRDefault="00711444" w:rsidP="00AA2A4C">
            <w:pPr>
              <w:pStyle w:val="TAL"/>
              <w:rPr>
                <w:lang w:eastAsia="en-US"/>
              </w:rPr>
            </w:pPr>
            <w:r w:rsidRPr="004D0DAA">
              <w:rPr>
                <w:lang w:eastAsia="en-US"/>
              </w:rPr>
              <w:t>0000001110010</w:t>
            </w:r>
          </w:p>
        </w:tc>
      </w:tr>
      <w:tr w:rsidR="00711444" w:rsidRPr="004D0DAA" w14:paraId="366CFB21" w14:textId="77777777" w:rsidTr="00AA2A4C">
        <w:tblPrEx>
          <w:tblCellMar>
            <w:top w:w="0" w:type="dxa"/>
            <w:bottom w:w="0" w:type="dxa"/>
          </w:tblCellMar>
        </w:tblPrEx>
        <w:trPr>
          <w:jc w:val="center"/>
        </w:trPr>
        <w:tc>
          <w:tcPr>
            <w:tcW w:w="1701" w:type="dxa"/>
          </w:tcPr>
          <w:p w14:paraId="0BCA578A" w14:textId="77777777" w:rsidR="00711444" w:rsidRPr="004D0DAA" w:rsidRDefault="00711444" w:rsidP="00AA2A4C">
            <w:pPr>
              <w:pStyle w:val="TAL"/>
              <w:rPr>
                <w:lang w:eastAsia="en-US"/>
              </w:rPr>
            </w:pPr>
            <w:r w:rsidRPr="004D0DAA">
              <w:rPr>
                <w:lang w:eastAsia="en-US"/>
              </w:rPr>
              <w:t>960</w:t>
            </w:r>
          </w:p>
        </w:tc>
        <w:tc>
          <w:tcPr>
            <w:tcW w:w="1701" w:type="dxa"/>
          </w:tcPr>
          <w:p w14:paraId="6C8D0E97" w14:textId="77777777" w:rsidR="00711444" w:rsidRPr="004D0DAA" w:rsidRDefault="00711444" w:rsidP="00AA2A4C">
            <w:pPr>
              <w:pStyle w:val="TAL"/>
              <w:rPr>
                <w:lang w:eastAsia="en-US"/>
              </w:rPr>
            </w:pPr>
            <w:r w:rsidRPr="004D0DAA">
              <w:rPr>
                <w:lang w:eastAsia="en-US"/>
              </w:rPr>
              <w:t>011010100</w:t>
            </w:r>
          </w:p>
        </w:tc>
        <w:tc>
          <w:tcPr>
            <w:tcW w:w="1701" w:type="dxa"/>
          </w:tcPr>
          <w:p w14:paraId="7A759F4D" w14:textId="77777777" w:rsidR="00711444" w:rsidRPr="004D0DAA" w:rsidRDefault="00711444" w:rsidP="00AA2A4C">
            <w:pPr>
              <w:pStyle w:val="TAL"/>
              <w:rPr>
                <w:lang w:eastAsia="en-US"/>
              </w:rPr>
            </w:pPr>
            <w:r w:rsidRPr="004D0DAA">
              <w:rPr>
                <w:lang w:eastAsia="en-US"/>
              </w:rPr>
              <w:t>960</w:t>
            </w:r>
          </w:p>
        </w:tc>
        <w:tc>
          <w:tcPr>
            <w:tcW w:w="1701" w:type="dxa"/>
          </w:tcPr>
          <w:p w14:paraId="0D6D5545" w14:textId="77777777" w:rsidR="00711444" w:rsidRPr="004D0DAA" w:rsidRDefault="00711444" w:rsidP="00AA2A4C">
            <w:pPr>
              <w:pStyle w:val="TAL"/>
              <w:rPr>
                <w:lang w:eastAsia="en-US"/>
              </w:rPr>
            </w:pPr>
            <w:r w:rsidRPr="004D0DAA">
              <w:rPr>
                <w:lang w:eastAsia="en-US"/>
              </w:rPr>
              <w:t>0000001110011</w:t>
            </w:r>
          </w:p>
        </w:tc>
      </w:tr>
    </w:tbl>
    <w:p w14:paraId="0DEAEA46" w14:textId="77777777" w:rsidR="00711444" w:rsidRPr="004D0DAA" w:rsidRDefault="00711444" w:rsidP="00711444"/>
    <w:p w14:paraId="082A2546" w14:textId="77777777" w:rsidR="00711444" w:rsidRPr="004D0DAA" w:rsidRDefault="00711444" w:rsidP="00711444">
      <w:pPr>
        <w:pStyle w:val="Heading3"/>
      </w:pPr>
      <w:bookmarkStart w:id="433" w:name="_Toc516669617"/>
      <w:r w:rsidRPr="004D0DAA">
        <w:t>9.1.11</w:t>
      </w:r>
      <w:r w:rsidRPr="004D0DAA">
        <w:tab/>
        <w:t>Segmentation of upper layer PDUs into RLC data units</w:t>
      </w:r>
      <w:bookmarkEnd w:id="433"/>
    </w:p>
    <w:p w14:paraId="53E4977D" w14:textId="77777777" w:rsidR="00711444" w:rsidRPr="004D0DAA" w:rsidRDefault="00711444" w:rsidP="00711444">
      <w:r w:rsidRPr="004D0DAA">
        <w:t>Segmentation of upper layer PDUs is supported to allow transport of upper layer PDUs larger than the data field of a single RLC data block. If the contents of an upper layer PDU do not fill an integer number of RLC data blocks, the beginning of the next upper layer PDU shall be placed within the final RLC data block of the first upper layer PDU, with no padding or spacing between the end of the first upper layer PDU and the beginning of the next. If the final upper layer PDU in the TBF does not fill an integer number of RLC data blocks, filler octets shall be used to fill the remainder of the RLC data block.</w:t>
      </w:r>
    </w:p>
    <w:p w14:paraId="039484EF" w14:textId="77777777" w:rsidR="00711444" w:rsidRPr="004D0DAA" w:rsidRDefault="00711444" w:rsidP="00711444">
      <w:r w:rsidRPr="004D0DAA">
        <w:t>The received (and segmented) upper layer PDUs shall be put into RLC data blocks in the same order as they are received from higher layers, except if resource reallocation for an uplink TBF is needed as described in sub-clause 8.1.1.1.2. A Block Sequence Number (BSN) is included in the header of each RLC data block to number the RLC data block. The RLC data blocks are to be numbered consecutively, modulo SNS, to allow re-assembly of the upper layer PDUs on the receiving side.</w:t>
      </w:r>
    </w:p>
    <w:p w14:paraId="73BC753A" w14:textId="77777777" w:rsidR="00711444" w:rsidRPr="004D0DAA" w:rsidRDefault="00711444" w:rsidP="00711444">
      <w:r w:rsidRPr="004D0DAA">
        <w:t xml:space="preserve">If EMSR is enabled, the transmission of an upper layer PDU may be suspended to transmit one or more upper layer PDUs of a higher priority. Once all higher priority upper layer PDUs have been transmitted, the transmission of the lower priority upper layer PDU can be resumed. The transition between two upper layer PDUs resulting from this suspend-resume function is described in sub-clause 10.4.14a. </w:t>
      </w:r>
    </w:p>
    <w:p w14:paraId="1FEA18F3" w14:textId="77777777" w:rsidR="00711444" w:rsidRPr="004D0DAA" w:rsidRDefault="00711444" w:rsidP="00711444">
      <w:r w:rsidRPr="004D0DAA">
        <w:t>In GPRS TBF mode, once an RLC data block has been transmitted over the physical link, should it be necessary to re-transmit the RLC data block, it shall be re-transmitted using the same channel coding scheme, BSN, and CV as it had in the previous transmission.</w:t>
      </w:r>
    </w:p>
    <w:p w14:paraId="72CBE4E3" w14:textId="77777777" w:rsidR="00711444" w:rsidRPr="004D0DAA" w:rsidRDefault="00711444" w:rsidP="00711444">
      <w:r w:rsidRPr="004D0DAA">
        <w:t xml:space="preserve">In EGPRS TBF mode, once an RLC data block has been transmitted over the physical link, should it be necessary to re-transmit the RLC data block, it shall be re-transmitted using the same BSN and the same calculated CV as were used in the previous transmission. The modulation and coding scheme may be changed following the procedures described in sub-clause 9.3.2.1. </w:t>
      </w:r>
    </w:p>
    <w:p w14:paraId="1318C4AA" w14:textId="77777777" w:rsidR="00711444" w:rsidRPr="004D0DAA" w:rsidRDefault="00711444" w:rsidP="00711444">
      <w:r w:rsidRPr="004D0DAA">
        <w:t>In EC TBF mode, once an RLC data block has been transmitted over the physical link, should it be necessary to re-transmit the RLC data block, it shall be re-transmitted using the same BSN and the same CV as were used in the previous transmission. If the RLC data block is transmitted using blind physical layer transmissions, all the elements in the RLC/MAC header, except for the USF, shall be the same in the retransmission as were used in the previous transmission. Otherwise, the modulation and coding scheme may be changed following the procedures described in sub-clause 9.3.2.1a.</w:t>
      </w:r>
    </w:p>
    <w:p w14:paraId="383D6C53" w14:textId="77777777" w:rsidR="00711444" w:rsidRPr="004D0DAA" w:rsidRDefault="00711444" w:rsidP="00711444">
      <w:pPr>
        <w:pStyle w:val="Heading3"/>
      </w:pPr>
      <w:bookmarkStart w:id="434" w:name="_Toc516669618"/>
      <w:r w:rsidRPr="004D0DAA">
        <w:lastRenderedPageBreak/>
        <w:t>9.1.12</w:t>
      </w:r>
      <w:r w:rsidRPr="004D0DAA">
        <w:tab/>
        <w:t>Re-assembly of upper layer PDUs from RLC data units</w:t>
      </w:r>
      <w:bookmarkEnd w:id="434"/>
    </w:p>
    <w:p w14:paraId="27717955" w14:textId="77777777" w:rsidR="00711444" w:rsidRPr="004D0DAA" w:rsidRDefault="00711444" w:rsidP="00711444">
      <w:r w:rsidRPr="004D0DAA">
        <w:t xml:space="preserve">RLC data blocks shall be collected at the receiver until all RLC data blocks comprising an upper layer PDU have been received. The RLC headers shall be removed from each RLC data block at this time and the RLC data units re-assembled into an upper layer PDU and passed to the next higher layer. In </w:t>
      </w:r>
      <w:r w:rsidRPr="004D0DAA">
        <w:rPr>
          <w:i/>
        </w:rPr>
        <w:t>A/Gb mode</w:t>
      </w:r>
      <w:r w:rsidRPr="004D0DAA">
        <w:t>, the size of the upper layer PDU delivered to the higher layer shall not exceed 1560 octets. Any octet received beyond this maximum limit and until the next identified upper layer PDU boundary shall be discarded.</w:t>
      </w:r>
    </w:p>
    <w:p w14:paraId="474868CD" w14:textId="77777777" w:rsidR="00711444" w:rsidRPr="004D0DAA" w:rsidRDefault="00711444" w:rsidP="00711444">
      <w:r w:rsidRPr="004D0DAA">
        <w:t>During RLC acknowledged mode operation, received upper layer PDUs shall be delivered to the higher layer in the order in which they were originally transmitted.</w:t>
      </w:r>
    </w:p>
    <w:p w14:paraId="3FE95FC8" w14:textId="77777777" w:rsidR="00711444" w:rsidRPr="004D0DAA" w:rsidRDefault="00711444" w:rsidP="00711444">
      <w:r w:rsidRPr="004D0DAA">
        <w:t xml:space="preserve">During RLC unacknowledged mode operation, received upper layer PDUs shall be delivered to the higher layer in the order in which they are received. </w:t>
      </w:r>
    </w:p>
    <w:p w14:paraId="770C574A" w14:textId="77777777" w:rsidR="00711444" w:rsidRPr="004D0DAA" w:rsidRDefault="00711444" w:rsidP="00711444">
      <w:r w:rsidRPr="004D0DAA">
        <w:t xml:space="preserve">During RLC non-persistent mode operation, received upper layer PDUs shall be delivered to the higher layer in the order in which they were originally transmitted. Nevertheless, since some RLC data units may not be received, some upper layer PDUs may be re-assembled and delivered to the higher layer erroneously. The receiving RLC endpoint shall use RLC data units up to the one characterized by BSN = V(Q) - 1 when reassembling upper layer PDUs, even if some RLC data units are missing. </w:t>
      </w:r>
    </w:p>
    <w:p w14:paraId="2F7DB7B5" w14:textId="77777777" w:rsidR="00711444" w:rsidRPr="004D0DAA" w:rsidRDefault="00711444" w:rsidP="00711444">
      <w:r w:rsidRPr="004D0DAA">
        <w:t>If EMSR is enabled, the transmission of an upper layer PDU may be suspended to transmit one or more upper layer PDUs of a higher priority and resumed thereafter. The transition between two upper layer PDUs resulting from this suspend-resume function is described in sub-clause 10.4.14a.</w:t>
      </w:r>
    </w:p>
    <w:p w14:paraId="04FD5E1E" w14:textId="77777777" w:rsidR="00711444" w:rsidRPr="004D0DAA" w:rsidRDefault="00711444" w:rsidP="00711444">
      <w:r w:rsidRPr="004D0DAA">
        <w:t>Fill bits having the value ‘0’ shall be substituted for RLC data units not received. However, in EGPRS TBF mode, for erroneous RLC data blocks for which the header is correctly received, the output from decoder shall be delivered to the higher layer. The number of fill bits substituted shall be determined using Tables 9.1.12.a, 9.1.12.b, 9.1.12.c, 9.1.12.d, 9.1.12.e, 9.1.12.f. In the uplink direction the channel coding scheme shall be the commanded channel coding scheme. In the downlink direction the channel coding scheme shall be the channel coding scheme of the last correctly received RLC data block. If no RLC data blocks have been correctly received, by the mobile station the requested channel coding scheme shall be used. If no requested channel coding scheme has been sent to the network, the mobile station shall use the number of fill bits for CS-1.</w:t>
      </w:r>
    </w:p>
    <w:p w14:paraId="071063B1" w14:textId="77777777" w:rsidR="00711444" w:rsidRPr="004D0DAA" w:rsidRDefault="00711444" w:rsidP="00711444">
      <w:pPr>
        <w:pStyle w:val="TH"/>
      </w:pPr>
      <w:r w:rsidRPr="004D0DAA">
        <w:t>Table 9.1.12.a: RLC unacknowledged mode fill bits (GPRS)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1788"/>
        <w:gridCol w:w="1517"/>
        <w:tblGridChange w:id="435">
          <w:tblGrid>
            <w:gridCol w:w="1788"/>
            <w:gridCol w:w="1517"/>
          </w:tblGrid>
        </w:tblGridChange>
      </w:tblGrid>
      <w:tr w:rsidR="00711444" w:rsidRPr="004D0DAA" w14:paraId="07AD4419" w14:textId="77777777" w:rsidTr="00AA2A4C">
        <w:tblPrEx>
          <w:tblCellMar>
            <w:top w:w="0" w:type="dxa"/>
            <w:bottom w:w="0" w:type="dxa"/>
          </w:tblCellMar>
        </w:tblPrEx>
        <w:trPr>
          <w:cantSplit/>
          <w:jc w:val="center"/>
        </w:trPr>
        <w:tc>
          <w:tcPr>
            <w:tcW w:w="1788" w:type="dxa"/>
          </w:tcPr>
          <w:p w14:paraId="1ACD3905" w14:textId="77777777" w:rsidR="00711444" w:rsidRPr="004D0DAA" w:rsidRDefault="00711444" w:rsidP="00AA2A4C">
            <w:pPr>
              <w:pStyle w:val="TAH"/>
              <w:rPr>
                <w:lang w:eastAsia="en-US"/>
              </w:rPr>
            </w:pPr>
            <w:r w:rsidRPr="004D0DAA">
              <w:rPr>
                <w:lang w:eastAsia="en-US"/>
              </w:rPr>
              <w:t>Channel Coding Scheme</w:t>
            </w:r>
          </w:p>
        </w:tc>
        <w:tc>
          <w:tcPr>
            <w:tcW w:w="1517" w:type="dxa"/>
          </w:tcPr>
          <w:p w14:paraId="4E1145BD" w14:textId="77777777" w:rsidR="00711444" w:rsidRPr="004D0DAA" w:rsidRDefault="00711444" w:rsidP="00AA2A4C">
            <w:pPr>
              <w:pStyle w:val="TAH"/>
              <w:rPr>
                <w:lang w:eastAsia="en-US"/>
              </w:rPr>
            </w:pPr>
            <w:r w:rsidRPr="004D0DAA">
              <w:rPr>
                <w:lang w:eastAsia="en-US"/>
              </w:rPr>
              <w:t>Number of fill bits</w:t>
            </w:r>
          </w:p>
        </w:tc>
      </w:tr>
      <w:tr w:rsidR="00711444" w:rsidRPr="004D0DAA" w14:paraId="275700F2" w14:textId="77777777" w:rsidTr="00AA2A4C">
        <w:tblPrEx>
          <w:tblCellMar>
            <w:top w:w="0" w:type="dxa"/>
            <w:bottom w:w="0" w:type="dxa"/>
          </w:tblCellMar>
        </w:tblPrEx>
        <w:trPr>
          <w:cantSplit/>
          <w:jc w:val="center"/>
        </w:trPr>
        <w:tc>
          <w:tcPr>
            <w:tcW w:w="1788" w:type="dxa"/>
          </w:tcPr>
          <w:p w14:paraId="1D1A1DCB" w14:textId="77777777" w:rsidR="00711444" w:rsidRPr="004D0DAA" w:rsidRDefault="00711444" w:rsidP="00AA2A4C">
            <w:pPr>
              <w:pStyle w:val="TAC"/>
              <w:rPr>
                <w:lang w:eastAsia="en-US"/>
              </w:rPr>
            </w:pPr>
            <w:r w:rsidRPr="004D0DAA">
              <w:rPr>
                <w:lang w:eastAsia="en-US"/>
              </w:rPr>
              <w:t>CS-1</w:t>
            </w:r>
          </w:p>
        </w:tc>
        <w:tc>
          <w:tcPr>
            <w:tcW w:w="1517" w:type="dxa"/>
          </w:tcPr>
          <w:p w14:paraId="0DF5BCC1" w14:textId="77777777" w:rsidR="00711444" w:rsidRPr="004D0DAA" w:rsidRDefault="00711444" w:rsidP="00AA2A4C">
            <w:pPr>
              <w:pStyle w:val="TAC"/>
              <w:rPr>
                <w:lang w:eastAsia="en-US"/>
              </w:rPr>
            </w:pPr>
            <w:r w:rsidRPr="004D0DAA">
              <w:rPr>
                <w:lang w:eastAsia="en-US"/>
              </w:rPr>
              <w:t>160</w:t>
            </w:r>
          </w:p>
        </w:tc>
      </w:tr>
      <w:tr w:rsidR="00711444" w:rsidRPr="004D0DAA" w14:paraId="70581756" w14:textId="77777777" w:rsidTr="00AA2A4C">
        <w:tblPrEx>
          <w:tblCellMar>
            <w:top w:w="0" w:type="dxa"/>
            <w:bottom w:w="0" w:type="dxa"/>
          </w:tblCellMar>
        </w:tblPrEx>
        <w:trPr>
          <w:cantSplit/>
          <w:jc w:val="center"/>
        </w:trPr>
        <w:tc>
          <w:tcPr>
            <w:tcW w:w="1788" w:type="dxa"/>
          </w:tcPr>
          <w:p w14:paraId="4FCC0CAB" w14:textId="77777777" w:rsidR="00711444" w:rsidRPr="004D0DAA" w:rsidRDefault="00711444" w:rsidP="00AA2A4C">
            <w:pPr>
              <w:pStyle w:val="TAC"/>
              <w:rPr>
                <w:lang w:eastAsia="en-US"/>
              </w:rPr>
            </w:pPr>
            <w:r w:rsidRPr="004D0DAA">
              <w:rPr>
                <w:lang w:eastAsia="en-US"/>
              </w:rPr>
              <w:t>CS-2</w:t>
            </w:r>
          </w:p>
        </w:tc>
        <w:tc>
          <w:tcPr>
            <w:tcW w:w="1517" w:type="dxa"/>
          </w:tcPr>
          <w:p w14:paraId="620EE445" w14:textId="77777777" w:rsidR="00711444" w:rsidRPr="004D0DAA" w:rsidRDefault="00711444" w:rsidP="00AA2A4C">
            <w:pPr>
              <w:pStyle w:val="TAC"/>
              <w:rPr>
                <w:lang w:eastAsia="en-US"/>
              </w:rPr>
            </w:pPr>
            <w:r w:rsidRPr="004D0DAA">
              <w:rPr>
                <w:lang w:eastAsia="en-US"/>
              </w:rPr>
              <w:t>240</w:t>
            </w:r>
          </w:p>
        </w:tc>
      </w:tr>
      <w:tr w:rsidR="00711444" w:rsidRPr="004D0DAA" w14:paraId="6247A616" w14:textId="77777777" w:rsidTr="00AA2A4C">
        <w:tblPrEx>
          <w:tblCellMar>
            <w:top w:w="0" w:type="dxa"/>
            <w:bottom w:w="0" w:type="dxa"/>
          </w:tblCellMar>
        </w:tblPrEx>
        <w:trPr>
          <w:cantSplit/>
          <w:jc w:val="center"/>
        </w:trPr>
        <w:tc>
          <w:tcPr>
            <w:tcW w:w="1788" w:type="dxa"/>
          </w:tcPr>
          <w:p w14:paraId="7E842A23" w14:textId="77777777" w:rsidR="00711444" w:rsidRPr="004D0DAA" w:rsidRDefault="00711444" w:rsidP="00AA2A4C">
            <w:pPr>
              <w:pStyle w:val="TAC"/>
              <w:rPr>
                <w:lang w:eastAsia="en-US"/>
              </w:rPr>
            </w:pPr>
            <w:r w:rsidRPr="004D0DAA">
              <w:rPr>
                <w:lang w:eastAsia="en-US"/>
              </w:rPr>
              <w:t>CS-3</w:t>
            </w:r>
          </w:p>
        </w:tc>
        <w:tc>
          <w:tcPr>
            <w:tcW w:w="1517" w:type="dxa"/>
          </w:tcPr>
          <w:p w14:paraId="2F517022" w14:textId="77777777" w:rsidR="00711444" w:rsidRPr="004D0DAA" w:rsidRDefault="00711444" w:rsidP="00AA2A4C">
            <w:pPr>
              <w:pStyle w:val="TAC"/>
              <w:rPr>
                <w:lang w:eastAsia="en-US"/>
              </w:rPr>
            </w:pPr>
            <w:r w:rsidRPr="004D0DAA">
              <w:rPr>
                <w:lang w:eastAsia="en-US"/>
              </w:rPr>
              <w:t>288</w:t>
            </w:r>
          </w:p>
        </w:tc>
      </w:tr>
      <w:tr w:rsidR="00711444" w:rsidRPr="004D0DAA" w14:paraId="5E2CF92D" w14:textId="77777777" w:rsidTr="00AA2A4C">
        <w:tblPrEx>
          <w:tblCellMar>
            <w:top w:w="0" w:type="dxa"/>
            <w:bottom w:w="0" w:type="dxa"/>
          </w:tblCellMar>
        </w:tblPrEx>
        <w:trPr>
          <w:cantSplit/>
          <w:jc w:val="center"/>
        </w:trPr>
        <w:tc>
          <w:tcPr>
            <w:tcW w:w="1788" w:type="dxa"/>
          </w:tcPr>
          <w:p w14:paraId="71BB7CBF" w14:textId="77777777" w:rsidR="00711444" w:rsidRPr="004D0DAA" w:rsidRDefault="00711444" w:rsidP="00AA2A4C">
            <w:pPr>
              <w:pStyle w:val="TAC"/>
              <w:rPr>
                <w:lang w:eastAsia="en-US"/>
              </w:rPr>
            </w:pPr>
            <w:r w:rsidRPr="004D0DAA">
              <w:rPr>
                <w:lang w:eastAsia="en-US"/>
              </w:rPr>
              <w:t>CS-4</w:t>
            </w:r>
          </w:p>
        </w:tc>
        <w:tc>
          <w:tcPr>
            <w:tcW w:w="1517" w:type="dxa"/>
          </w:tcPr>
          <w:p w14:paraId="40AD94A9" w14:textId="77777777" w:rsidR="00711444" w:rsidRPr="004D0DAA" w:rsidRDefault="00711444" w:rsidP="00AA2A4C">
            <w:pPr>
              <w:pStyle w:val="TAC"/>
              <w:rPr>
                <w:lang w:eastAsia="en-US"/>
              </w:rPr>
            </w:pPr>
            <w:r w:rsidRPr="004D0DAA">
              <w:rPr>
                <w:lang w:eastAsia="en-US"/>
              </w:rPr>
              <w:t>400</w:t>
            </w:r>
          </w:p>
        </w:tc>
      </w:tr>
    </w:tbl>
    <w:p w14:paraId="7E600EC2" w14:textId="77777777" w:rsidR="00711444" w:rsidRPr="004D0DAA" w:rsidRDefault="00711444" w:rsidP="00711444"/>
    <w:p w14:paraId="46231965" w14:textId="77777777" w:rsidR="00711444" w:rsidRPr="004D0DAA" w:rsidRDefault="00711444" w:rsidP="00711444">
      <w:pPr>
        <w:pStyle w:val="TH"/>
      </w:pPr>
      <w:r w:rsidRPr="004D0DAA">
        <w:t>Table 9.1.12.b: RLC unacknowledged mode fill bits (EGPRS)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000" w:firstRow="0" w:lastRow="0" w:firstColumn="0" w:lastColumn="0" w:noHBand="0" w:noVBand="0"/>
      </w:tblPr>
      <w:tblGrid>
        <w:gridCol w:w="1966"/>
        <w:gridCol w:w="1418"/>
      </w:tblGrid>
      <w:tr w:rsidR="00711444" w:rsidRPr="004D0DAA" w14:paraId="29857787" w14:textId="77777777" w:rsidTr="00AA2A4C">
        <w:tblPrEx>
          <w:tblCellMar>
            <w:top w:w="0" w:type="dxa"/>
            <w:bottom w:w="0" w:type="dxa"/>
          </w:tblCellMar>
        </w:tblPrEx>
        <w:trPr>
          <w:jc w:val="center"/>
        </w:trPr>
        <w:tc>
          <w:tcPr>
            <w:tcW w:w="1966" w:type="dxa"/>
            <w:tcBorders>
              <w:bottom w:val="nil"/>
            </w:tcBorders>
          </w:tcPr>
          <w:p w14:paraId="4B920757" w14:textId="77777777" w:rsidR="00711444" w:rsidRPr="004D0DAA" w:rsidRDefault="00711444" w:rsidP="00AA2A4C">
            <w:pPr>
              <w:pStyle w:val="TAH"/>
              <w:rPr>
                <w:lang w:eastAsia="en-US"/>
              </w:rPr>
            </w:pPr>
            <w:r w:rsidRPr="004D0DAA">
              <w:rPr>
                <w:lang w:eastAsia="en-US"/>
              </w:rPr>
              <w:t>Channel Coding Scheme</w:t>
            </w:r>
          </w:p>
        </w:tc>
        <w:tc>
          <w:tcPr>
            <w:tcW w:w="1418" w:type="dxa"/>
            <w:tcBorders>
              <w:bottom w:val="nil"/>
            </w:tcBorders>
          </w:tcPr>
          <w:p w14:paraId="3C3071AB" w14:textId="77777777" w:rsidR="00711444" w:rsidRPr="004D0DAA" w:rsidRDefault="00711444" w:rsidP="00AA2A4C">
            <w:pPr>
              <w:pStyle w:val="TAH"/>
              <w:rPr>
                <w:lang w:eastAsia="en-US"/>
              </w:rPr>
            </w:pPr>
            <w:r w:rsidRPr="004D0DAA">
              <w:rPr>
                <w:lang w:eastAsia="en-US"/>
              </w:rPr>
              <w:t>Number of fill bits</w:t>
            </w:r>
          </w:p>
        </w:tc>
      </w:tr>
      <w:tr w:rsidR="00711444" w:rsidRPr="004D0DAA" w14:paraId="149284A4" w14:textId="77777777" w:rsidTr="00AA2A4C">
        <w:tblPrEx>
          <w:tblCellMar>
            <w:top w:w="0" w:type="dxa"/>
            <w:left w:w="56" w:type="dxa"/>
            <w:bottom w:w="0" w:type="dxa"/>
            <w:right w:w="56" w:type="dxa"/>
          </w:tblCellMar>
        </w:tblPrEx>
        <w:trPr>
          <w:jc w:val="center"/>
        </w:trPr>
        <w:tc>
          <w:tcPr>
            <w:tcW w:w="1966" w:type="dxa"/>
          </w:tcPr>
          <w:p w14:paraId="004737AF" w14:textId="77777777" w:rsidR="00711444" w:rsidRPr="004D0DAA" w:rsidRDefault="00711444" w:rsidP="00AA2A4C">
            <w:pPr>
              <w:pStyle w:val="TAC"/>
              <w:rPr>
                <w:lang w:eastAsia="en-US"/>
              </w:rPr>
            </w:pPr>
            <w:r w:rsidRPr="004D0DAA">
              <w:rPr>
                <w:lang w:eastAsia="en-US"/>
              </w:rPr>
              <w:t>MCS-1</w:t>
            </w:r>
          </w:p>
        </w:tc>
        <w:tc>
          <w:tcPr>
            <w:tcW w:w="1418" w:type="dxa"/>
          </w:tcPr>
          <w:p w14:paraId="472FEC8C" w14:textId="77777777" w:rsidR="00711444" w:rsidRPr="004D0DAA" w:rsidRDefault="00711444" w:rsidP="00AA2A4C">
            <w:pPr>
              <w:pStyle w:val="TAC"/>
              <w:rPr>
                <w:lang w:eastAsia="en-US"/>
              </w:rPr>
            </w:pPr>
            <w:r w:rsidRPr="004D0DAA">
              <w:rPr>
                <w:lang w:eastAsia="en-US"/>
              </w:rPr>
              <w:t>176</w:t>
            </w:r>
          </w:p>
        </w:tc>
      </w:tr>
      <w:tr w:rsidR="00711444" w:rsidRPr="004D0DAA" w14:paraId="076FE176" w14:textId="77777777" w:rsidTr="00AA2A4C">
        <w:tblPrEx>
          <w:tblCellMar>
            <w:top w:w="0" w:type="dxa"/>
            <w:left w:w="56" w:type="dxa"/>
            <w:bottom w:w="0" w:type="dxa"/>
            <w:right w:w="56" w:type="dxa"/>
          </w:tblCellMar>
        </w:tblPrEx>
        <w:trPr>
          <w:jc w:val="center"/>
        </w:trPr>
        <w:tc>
          <w:tcPr>
            <w:tcW w:w="1966" w:type="dxa"/>
          </w:tcPr>
          <w:p w14:paraId="53F737E8" w14:textId="77777777" w:rsidR="00711444" w:rsidRPr="004D0DAA" w:rsidRDefault="00711444" w:rsidP="00AA2A4C">
            <w:pPr>
              <w:pStyle w:val="TAC"/>
              <w:rPr>
                <w:lang w:eastAsia="en-US"/>
              </w:rPr>
            </w:pPr>
            <w:r w:rsidRPr="004D0DAA">
              <w:rPr>
                <w:lang w:eastAsia="en-US"/>
              </w:rPr>
              <w:t>MCS-2</w:t>
            </w:r>
          </w:p>
        </w:tc>
        <w:tc>
          <w:tcPr>
            <w:tcW w:w="1418" w:type="dxa"/>
          </w:tcPr>
          <w:p w14:paraId="4E289F30" w14:textId="77777777" w:rsidR="00711444" w:rsidRPr="004D0DAA" w:rsidRDefault="00711444" w:rsidP="00AA2A4C">
            <w:pPr>
              <w:pStyle w:val="TAC"/>
              <w:rPr>
                <w:lang w:eastAsia="en-US"/>
              </w:rPr>
            </w:pPr>
            <w:r w:rsidRPr="004D0DAA">
              <w:rPr>
                <w:lang w:eastAsia="en-US"/>
              </w:rPr>
              <w:t>224</w:t>
            </w:r>
          </w:p>
        </w:tc>
      </w:tr>
      <w:tr w:rsidR="00711444" w:rsidRPr="004D0DAA" w14:paraId="7958EEE4" w14:textId="77777777" w:rsidTr="00AA2A4C">
        <w:tblPrEx>
          <w:tblCellMar>
            <w:top w:w="0" w:type="dxa"/>
            <w:left w:w="56" w:type="dxa"/>
            <w:bottom w:w="0" w:type="dxa"/>
            <w:right w:w="56" w:type="dxa"/>
          </w:tblCellMar>
        </w:tblPrEx>
        <w:trPr>
          <w:jc w:val="center"/>
        </w:trPr>
        <w:tc>
          <w:tcPr>
            <w:tcW w:w="1966" w:type="dxa"/>
          </w:tcPr>
          <w:p w14:paraId="6A292A5B" w14:textId="77777777" w:rsidR="00711444" w:rsidRPr="004D0DAA" w:rsidRDefault="00711444" w:rsidP="00AA2A4C">
            <w:pPr>
              <w:pStyle w:val="TAC"/>
              <w:rPr>
                <w:lang w:eastAsia="en-US"/>
              </w:rPr>
            </w:pPr>
            <w:r w:rsidRPr="004D0DAA">
              <w:rPr>
                <w:lang w:eastAsia="en-US"/>
              </w:rPr>
              <w:t>MCS-3 with padding</w:t>
            </w:r>
          </w:p>
        </w:tc>
        <w:tc>
          <w:tcPr>
            <w:tcW w:w="1418" w:type="dxa"/>
          </w:tcPr>
          <w:p w14:paraId="484AD1A1" w14:textId="77777777" w:rsidR="00711444" w:rsidRPr="004D0DAA" w:rsidRDefault="00711444" w:rsidP="00AA2A4C">
            <w:pPr>
              <w:pStyle w:val="TAC"/>
              <w:rPr>
                <w:lang w:eastAsia="en-US"/>
              </w:rPr>
            </w:pPr>
            <w:r w:rsidRPr="004D0DAA">
              <w:rPr>
                <w:lang w:eastAsia="en-US"/>
              </w:rPr>
              <w:t>248</w:t>
            </w:r>
          </w:p>
        </w:tc>
      </w:tr>
      <w:tr w:rsidR="00711444" w:rsidRPr="004D0DAA" w14:paraId="10FDE498" w14:textId="77777777" w:rsidTr="00AA2A4C">
        <w:tblPrEx>
          <w:tblCellMar>
            <w:top w:w="0" w:type="dxa"/>
            <w:left w:w="56" w:type="dxa"/>
            <w:bottom w:w="0" w:type="dxa"/>
            <w:right w:w="56" w:type="dxa"/>
          </w:tblCellMar>
        </w:tblPrEx>
        <w:trPr>
          <w:jc w:val="center"/>
        </w:trPr>
        <w:tc>
          <w:tcPr>
            <w:tcW w:w="1966" w:type="dxa"/>
          </w:tcPr>
          <w:p w14:paraId="63D1A620" w14:textId="77777777" w:rsidR="00711444" w:rsidRPr="004D0DAA" w:rsidRDefault="00711444" w:rsidP="00AA2A4C">
            <w:pPr>
              <w:pStyle w:val="TAC"/>
              <w:rPr>
                <w:lang w:eastAsia="en-US"/>
              </w:rPr>
            </w:pPr>
            <w:r w:rsidRPr="004D0DAA">
              <w:rPr>
                <w:lang w:eastAsia="en-US"/>
              </w:rPr>
              <w:t>MCS-3</w:t>
            </w:r>
          </w:p>
        </w:tc>
        <w:tc>
          <w:tcPr>
            <w:tcW w:w="1418" w:type="dxa"/>
          </w:tcPr>
          <w:p w14:paraId="7CDEF8DB" w14:textId="77777777" w:rsidR="00711444" w:rsidRPr="004D0DAA" w:rsidRDefault="00711444" w:rsidP="00AA2A4C">
            <w:pPr>
              <w:pStyle w:val="TAC"/>
              <w:rPr>
                <w:lang w:eastAsia="en-US"/>
              </w:rPr>
            </w:pPr>
            <w:r w:rsidRPr="004D0DAA">
              <w:rPr>
                <w:lang w:eastAsia="en-US"/>
              </w:rPr>
              <w:t>296</w:t>
            </w:r>
          </w:p>
        </w:tc>
      </w:tr>
      <w:tr w:rsidR="00711444" w:rsidRPr="004D0DAA" w14:paraId="52775A59" w14:textId="77777777" w:rsidTr="00AA2A4C">
        <w:tblPrEx>
          <w:tblCellMar>
            <w:top w:w="0" w:type="dxa"/>
            <w:left w:w="56" w:type="dxa"/>
            <w:bottom w:w="0" w:type="dxa"/>
            <w:right w:w="56" w:type="dxa"/>
          </w:tblCellMar>
        </w:tblPrEx>
        <w:trPr>
          <w:jc w:val="center"/>
        </w:trPr>
        <w:tc>
          <w:tcPr>
            <w:tcW w:w="1966" w:type="dxa"/>
          </w:tcPr>
          <w:p w14:paraId="77375895" w14:textId="77777777" w:rsidR="00711444" w:rsidRPr="004D0DAA" w:rsidRDefault="00711444" w:rsidP="00AA2A4C">
            <w:pPr>
              <w:pStyle w:val="TAC"/>
              <w:rPr>
                <w:lang w:eastAsia="en-US"/>
              </w:rPr>
            </w:pPr>
            <w:r w:rsidRPr="004D0DAA">
              <w:rPr>
                <w:lang w:eastAsia="en-US"/>
              </w:rPr>
              <w:t>MCS-4</w:t>
            </w:r>
          </w:p>
        </w:tc>
        <w:tc>
          <w:tcPr>
            <w:tcW w:w="1418" w:type="dxa"/>
          </w:tcPr>
          <w:p w14:paraId="214E4344" w14:textId="77777777" w:rsidR="00711444" w:rsidRPr="004D0DAA" w:rsidRDefault="00711444" w:rsidP="00AA2A4C">
            <w:pPr>
              <w:pStyle w:val="TAC"/>
              <w:rPr>
                <w:lang w:eastAsia="en-US"/>
              </w:rPr>
            </w:pPr>
            <w:r w:rsidRPr="004D0DAA">
              <w:rPr>
                <w:lang w:eastAsia="en-US"/>
              </w:rPr>
              <w:t>352</w:t>
            </w:r>
          </w:p>
        </w:tc>
      </w:tr>
      <w:tr w:rsidR="00711444" w:rsidRPr="004D0DAA" w14:paraId="63A9A7D9" w14:textId="77777777" w:rsidTr="00AA2A4C">
        <w:tblPrEx>
          <w:tblCellMar>
            <w:top w:w="0" w:type="dxa"/>
            <w:left w:w="56" w:type="dxa"/>
            <w:bottom w:w="0" w:type="dxa"/>
            <w:right w:w="56" w:type="dxa"/>
          </w:tblCellMar>
        </w:tblPrEx>
        <w:trPr>
          <w:jc w:val="center"/>
        </w:trPr>
        <w:tc>
          <w:tcPr>
            <w:tcW w:w="1966" w:type="dxa"/>
          </w:tcPr>
          <w:p w14:paraId="47D1EF95" w14:textId="77777777" w:rsidR="00711444" w:rsidRPr="004D0DAA" w:rsidRDefault="00711444" w:rsidP="00AA2A4C">
            <w:pPr>
              <w:pStyle w:val="TAC"/>
              <w:rPr>
                <w:lang w:eastAsia="en-US"/>
              </w:rPr>
            </w:pPr>
            <w:r w:rsidRPr="004D0DAA">
              <w:rPr>
                <w:lang w:eastAsia="en-US"/>
              </w:rPr>
              <w:t>MCS-5</w:t>
            </w:r>
          </w:p>
        </w:tc>
        <w:tc>
          <w:tcPr>
            <w:tcW w:w="1418" w:type="dxa"/>
          </w:tcPr>
          <w:p w14:paraId="5BE10C81" w14:textId="77777777" w:rsidR="00711444" w:rsidRPr="004D0DAA" w:rsidRDefault="00711444" w:rsidP="00AA2A4C">
            <w:pPr>
              <w:pStyle w:val="TAC"/>
              <w:rPr>
                <w:lang w:eastAsia="en-US"/>
              </w:rPr>
            </w:pPr>
            <w:r w:rsidRPr="004D0DAA">
              <w:rPr>
                <w:lang w:eastAsia="en-US"/>
              </w:rPr>
              <w:t>448</w:t>
            </w:r>
          </w:p>
        </w:tc>
      </w:tr>
      <w:tr w:rsidR="00711444" w:rsidRPr="004D0DAA" w14:paraId="022B7025" w14:textId="77777777" w:rsidTr="00AA2A4C">
        <w:tblPrEx>
          <w:tblCellMar>
            <w:top w:w="0" w:type="dxa"/>
            <w:left w:w="56" w:type="dxa"/>
            <w:bottom w:w="0" w:type="dxa"/>
            <w:right w:w="56" w:type="dxa"/>
          </w:tblCellMar>
        </w:tblPrEx>
        <w:trPr>
          <w:jc w:val="center"/>
        </w:trPr>
        <w:tc>
          <w:tcPr>
            <w:tcW w:w="1966" w:type="dxa"/>
          </w:tcPr>
          <w:p w14:paraId="7E991AC0" w14:textId="77777777" w:rsidR="00711444" w:rsidRPr="004D0DAA" w:rsidRDefault="00711444" w:rsidP="00AA2A4C">
            <w:pPr>
              <w:pStyle w:val="TAC"/>
              <w:rPr>
                <w:lang w:eastAsia="en-US"/>
              </w:rPr>
            </w:pPr>
            <w:r w:rsidRPr="004D0DAA">
              <w:rPr>
                <w:lang w:eastAsia="en-US"/>
              </w:rPr>
              <w:t>MCS-6 with padding</w:t>
            </w:r>
          </w:p>
        </w:tc>
        <w:tc>
          <w:tcPr>
            <w:tcW w:w="1418" w:type="dxa"/>
          </w:tcPr>
          <w:p w14:paraId="52A43FAB" w14:textId="77777777" w:rsidR="00711444" w:rsidRPr="004D0DAA" w:rsidRDefault="00711444" w:rsidP="00AA2A4C">
            <w:pPr>
              <w:pStyle w:val="TAC"/>
              <w:rPr>
                <w:lang w:eastAsia="en-US"/>
              </w:rPr>
            </w:pPr>
            <w:r w:rsidRPr="004D0DAA">
              <w:rPr>
                <w:lang w:eastAsia="en-US"/>
              </w:rPr>
              <w:t>544</w:t>
            </w:r>
          </w:p>
        </w:tc>
      </w:tr>
      <w:tr w:rsidR="00711444" w:rsidRPr="004D0DAA" w14:paraId="34B88751" w14:textId="77777777" w:rsidTr="00AA2A4C">
        <w:tblPrEx>
          <w:tblCellMar>
            <w:top w:w="0" w:type="dxa"/>
            <w:left w:w="56" w:type="dxa"/>
            <w:bottom w:w="0" w:type="dxa"/>
            <w:right w:w="56" w:type="dxa"/>
          </w:tblCellMar>
        </w:tblPrEx>
        <w:trPr>
          <w:jc w:val="center"/>
        </w:trPr>
        <w:tc>
          <w:tcPr>
            <w:tcW w:w="1966" w:type="dxa"/>
          </w:tcPr>
          <w:p w14:paraId="5779F9EE" w14:textId="77777777" w:rsidR="00711444" w:rsidRPr="004D0DAA" w:rsidRDefault="00711444" w:rsidP="00AA2A4C">
            <w:pPr>
              <w:pStyle w:val="TAC"/>
              <w:rPr>
                <w:lang w:eastAsia="en-US"/>
              </w:rPr>
            </w:pPr>
            <w:r w:rsidRPr="004D0DAA">
              <w:rPr>
                <w:lang w:eastAsia="en-US"/>
              </w:rPr>
              <w:t>MCS-6</w:t>
            </w:r>
          </w:p>
        </w:tc>
        <w:tc>
          <w:tcPr>
            <w:tcW w:w="1418" w:type="dxa"/>
          </w:tcPr>
          <w:p w14:paraId="7D760C08" w14:textId="77777777" w:rsidR="00711444" w:rsidRPr="004D0DAA" w:rsidRDefault="00711444" w:rsidP="00AA2A4C">
            <w:pPr>
              <w:pStyle w:val="TAC"/>
              <w:rPr>
                <w:lang w:eastAsia="en-US"/>
              </w:rPr>
            </w:pPr>
            <w:r w:rsidRPr="004D0DAA">
              <w:rPr>
                <w:lang w:eastAsia="en-US"/>
              </w:rPr>
              <w:t>592</w:t>
            </w:r>
          </w:p>
        </w:tc>
      </w:tr>
      <w:tr w:rsidR="00711444" w:rsidRPr="004D0DAA" w14:paraId="68EFBBF3" w14:textId="77777777" w:rsidTr="00AA2A4C">
        <w:tblPrEx>
          <w:tblCellMar>
            <w:top w:w="0" w:type="dxa"/>
            <w:left w:w="56" w:type="dxa"/>
            <w:bottom w:w="0" w:type="dxa"/>
            <w:right w:w="56" w:type="dxa"/>
          </w:tblCellMar>
        </w:tblPrEx>
        <w:trPr>
          <w:jc w:val="center"/>
        </w:trPr>
        <w:tc>
          <w:tcPr>
            <w:tcW w:w="1966" w:type="dxa"/>
          </w:tcPr>
          <w:p w14:paraId="262C045F" w14:textId="77777777" w:rsidR="00711444" w:rsidRPr="004D0DAA" w:rsidRDefault="00711444" w:rsidP="00AA2A4C">
            <w:pPr>
              <w:pStyle w:val="TAC"/>
              <w:rPr>
                <w:lang w:eastAsia="en-US"/>
              </w:rPr>
            </w:pPr>
            <w:r w:rsidRPr="004D0DAA">
              <w:rPr>
                <w:lang w:eastAsia="en-US"/>
              </w:rPr>
              <w:t>MCS-7</w:t>
            </w:r>
          </w:p>
        </w:tc>
        <w:tc>
          <w:tcPr>
            <w:tcW w:w="1418" w:type="dxa"/>
          </w:tcPr>
          <w:p w14:paraId="01B0711B" w14:textId="77777777" w:rsidR="00711444" w:rsidRPr="004D0DAA" w:rsidRDefault="00711444" w:rsidP="00AA2A4C">
            <w:pPr>
              <w:pStyle w:val="TAC"/>
              <w:rPr>
                <w:lang w:eastAsia="en-US"/>
              </w:rPr>
            </w:pPr>
            <w:r w:rsidRPr="004D0DAA">
              <w:rPr>
                <w:lang w:eastAsia="en-US"/>
              </w:rPr>
              <w:t>448</w:t>
            </w:r>
          </w:p>
        </w:tc>
      </w:tr>
      <w:tr w:rsidR="00711444" w:rsidRPr="004D0DAA" w14:paraId="3B166D1F" w14:textId="77777777" w:rsidTr="00AA2A4C">
        <w:tblPrEx>
          <w:tblCellMar>
            <w:top w:w="0" w:type="dxa"/>
            <w:left w:w="56" w:type="dxa"/>
            <w:bottom w:w="0" w:type="dxa"/>
            <w:right w:w="56" w:type="dxa"/>
          </w:tblCellMar>
        </w:tblPrEx>
        <w:trPr>
          <w:jc w:val="center"/>
        </w:trPr>
        <w:tc>
          <w:tcPr>
            <w:tcW w:w="1966" w:type="dxa"/>
          </w:tcPr>
          <w:p w14:paraId="500A3A63" w14:textId="77777777" w:rsidR="00711444" w:rsidRPr="004D0DAA" w:rsidRDefault="00711444" w:rsidP="00AA2A4C">
            <w:pPr>
              <w:pStyle w:val="TAC"/>
              <w:rPr>
                <w:lang w:eastAsia="en-US"/>
              </w:rPr>
            </w:pPr>
            <w:r w:rsidRPr="004D0DAA">
              <w:rPr>
                <w:lang w:eastAsia="en-US"/>
              </w:rPr>
              <w:t>MCS-8</w:t>
            </w:r>
          </w:p>
        </w:tc>
        <w:tc>
          <w:tcPr>
            <w:tcW w:w="1418" w:type="dxa"/>
          </w:tcPr>
          <w:p w14:paraId="336EC208" w14:textId="77777777" w:rsidR="00711444" w:rsidRPr="004D0DAA" w:rsidRDefault="00711444" w:rsidP="00AA2A4C">
            <w:pPr>
              <w:pStyle w:val="TAC"/>
              <w:rPr>
                <w:lang w:eastAsia="en-US"/>
              </w:rPr>
            </w:pPr>
            <w:r w:rsidRPr="004D0DAA">
              <w:rPr>
                <w:lang w:eastAsia="en-US"/>
              </w:rPr>
              <w:t>544</w:t>
            </w:r>
          </w:p>
        </w:tc>
      </w:tr>
      <w:tr w:rsidR="00711444" w:rsidRPr="004D0DAA" w14:paraId="325CEFFC" w14:textId="77777777" w:rsidTr="00AA2A4C">
        <w:tblPrEx>
          <w:tblCellMar>
            <w:top w:w="0" w:type="dxa"/>
            <w:left w:w="56" w:type="dxa"/>
            <w:bottom w:w="0" w:type="dxa"/>
            <w:right w:w="56" w:type="dxa"/>
          </w:tblCellMar>
        </w:tblPrEx>
        <w:trPr>
          <w:jc w:val="center"/>
        </w:trPr>
        <w:tc>
          <w:tcPr>
            <w:tcW w:w="1966" w:type="dxa"/>
          </w:tcPr>
          <w:p w14:paraId="66650B49" w14:textId="77777777" w:rsidR="00711444" w:rsidRPr="004D0DAA" w:rsidRDefault="00711444" w:rsidP="00AA2A4C">
            <w:pPr>
              <w:pStyle w:val="TAC"/>
              <w:rPr>
                <w:lang w:eastAsia="en-US"/>
              </w:rPr>
            </w:pPr>
            <w:r w:rsidRPr="004D0DAA">
              <w:rPr>
                <w:lang w:eastAsia="en-US"/>
              </w:rPr>
              <w:t>MCS-9</w:t>
            </w:r>
          </w:p>
        </w:tc>
        <w:tc>
          <w:tcPr>
            <w:tcW w:w="1418" w:type="dxa"/>
          </w:tcPr>
          <w:p w14:paraId="4D6EE53B" w14:textId="77777777" w:rsidR="00711444" w:rsidRPr="004D0DAA" w:rsidRDefault="00711444" w:rsidP="00AA2A4C">
            <w:pPr>
              <w:pStyle w:val="TAC"/>
              <w:rPr>
                <w:lang w:eastAsia="en-US"/>
              </w:rPr>
            </w:pPr>
            <w:r w:rsidRPr="004D0DAA">
              <w:rPr>
                <w:lang w:eastAsia="en-US"/>
              </w:rPr>
              <w:t>592</w:t>
            </w:r>
          </w:p>
        </w:tc>
      </w:tr>
    </w:tbl>
    <w:p w14:paraId="326F7170" w14:textId="77777777" w:rsidR="00711444" w:rsidRPr="004D0DAA" w:rsidRDefault="00711444" w:rsidP="00711444"/>
    <w:p w14:paraId="785F95D3" w14:textId="77777777" w:rsidR="00711444" w:rsidRPr="004D0DAA" w:rsidRDefault="00711444" w:rsidP="00711444">
      <w:pPr>
        <w:pStyle w:val="TH"/>
      </w:pPr>
      <w:r w:rsidRPr="004D0DAA">
        <w:lastRenderedPageBreak/>
        <w:t>Table 9.1.12.c: RLC unacknowledged mode fill bits (EGPRS2-A downlink)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000" w:firstRow="0" w:lastRow="0" w:firstColumn="0" w:lastColumn="0" w:noHBand="0" w:noVBand="0"/>
      </w:tblPr>
      <w:tblGrid>
        <w:gridCol w:w="1976"/>
        <w:gridCol w:w="1408"/>
      </w:tblGrid>
      <w:tr w:rsidR="00711444" w:rsidRPr="004D0DAA" w14:paraId="06358B90" w14:textId="77777777" w:rsidTr="00AA2A4C">
        <w:tblPrEx>
          <w:tblCellMar>
            <w:top w:w="0" w:type="dxa"/>
            <w:bottom w:w="0" w:type="dxa"/>
          </w:tblCellMar>
        </w:tblPrEx>
        <w:trPr>
          <w:jc w:val="center"/>
        </w:trPr>
        <w:tc>
          <w:tcPr>
            <w:tcW w:w="1976" w:type="dxa"/>
            <w:tcBorders>
              <w:bottom w:val="nil"/>
            </w:tcBorders>
          </w:tcPr>
          <w:p w14:paraId="0603AC14" w14:textId="77777777" w:rsidR="00711444" w:rsidRPr="004D0DAA" w:rsidRDefault="00711444" w:rsidP="00AA2A4C">
            <w:pPr>
              <w:pStyle w:val="TAH"/>
              <w:rPr>
                <w:lang w:eastAsia="en-US"/>
              </w:rPr>
            </w:pPr>
            <w:r w:rsidRPr="004D0DAA">
              <w:rPr>
                <w:lang w:eastAsia="en-US"/>
              </w:rPr>
              <w:t>Channel Coding Scheme</w:t>
            </w:r>
          </w:p>
        </w:tc>
        <w:tc>
          <w:tcPr>
            <w:tcW w:w="1408" w:type="dxa"/>
            <w:tcBorders>
              <w:bottom w:val="nil"/>
            </w:tcBorders>
          </w:tcPr>
          <w:p w14:paraId="55ED2872" w14:textId="77777777" w:rsidR="00711444" w:rsidRPr="004D0DAA" w:rsidRDefault="00711444" w:rsidP="00AA2A4C">
            <w:pPr>
              <w:pStyle w:val="TAH"/>
              <w:rPr>
                <w:lang w:eastAsia="en-US"/>
              </w:rPr>
            </w:pPr>
            <w:r w:rsidRPr="004D0DAA">
              <w:rPr>
                <w:lang w:eastAsia="en-US"/>
              </w:rPr>
              <w:t>Number of fill bits</w:t>
            </w:r>
          </w:p>
        </w:tc>
      </w:tr>
      <w:tr w:rsidR="00711444" w:rsidRPr="004D0DAA" w14:paraId="0EBF3ED3" w14:textId="77777777" w:rsidTr="00AA2A4C">
        <w:tblPrEx>
          <w:tblCellMar>
            <w:top w:w="0" w:type="dxa"/>
            <w:left w:w="56" w:type="dxa"/>
            <w:bottom w:w="0" w:type="dxa"/>
            <w:right w:w="56" w:type="dxa"/>
          </w:tblCellMar>
        </w:tblPrEx>
        <w:trPr>
          <w:jc w:val="center"/>
        </w:trPr>
        <w:tc>
          <w:tcPr>
            <w:tcW w:w="1976" w:type="dxa"/>
          </w:tcPr>
          <w:p w14:paraId="4F37C73D" w14:textId="77777777" w:rsidR="00711444" w:rsidRPr="004D0DAA" w:rsidRDefault="00711444" w:rsidP="00AA2A4C">
            <w:pPr>
              <w:pStyle w:val="TAC"/>
              <w:rPr>
                <w:lang w:eastAsia="en-US"/>
              </w:rPr>
            </w:pPr>
            <w:r w:rsidRPr="004D0DAA">
              <w:rPr>
                <w:lang w:eastAsia="en-US"/>
              </w:rPr>
              <w:t>MCS-2 with padding</w:t>
            </w:r>
          </w:p>
        </w:tc>
        <w:tc>
          <w:tcPr>
            <w:tcW w:w="1408" w:type="dxa"/>
          </w:tcPr>
          <w:p w14:paraId="29E34448" w14:textId="77777777" w:rsidR="00711444" w:rsidRPr="004D0DAA" w:rsidRDefault="00711444" w:rsidP="00AA2A4C">
            <w:pPr>
              <w:pStyle w:val="TAC"/>
              <w:rPr>
                <w:lang w:eastAsia="en-US"/>
              </w:rPr>
            </w:pPr>
            <w:r w:rsidRPr="004D0DAA">
              <w:rPr>
                <w:lang w:eastAsia="en-US"/>
              </w:rPr>
              <w:t>208</w:t>
            </w:r>
          </w:p>
        </w:tc>
      </w:tr>
      <w:tr w:rsidR="00711444" w:rsidRPr="004D0DAA" w14:paraId="43ACE774" w14:textId="77777777" w:rsidTr="00AA2A4C">
        <w:tblPrEx>
          <w:tblCellMar>
            <w:top w:w="0" w:type="dxa"/>
            <w:left w:w="56" w:type="dxa"/>
            <w:bottom w:w="0" w:type="dxa"/>
            <w:right w:w="56" w:type="dxa"/>
          </w:tblCellMar>
        </w:tblPrEx>
        <w:trPr>
          <w:jc w:val="center"/>
        </w:trPr>
        <w:tc>
          <w:tcPr>
            <w:tcW w:w="1976" w:type="dxa"/>
          </w:tcPr>
          <w:p w14:paraId="59D9CEC3" w14:textId="77777777" w:rsidR="00711444" w:rsidRPr="004D0DAA" w:rsidRDefault="00711444" w:rsidP="00AA2A4C">
            <w:pPr>
              <w:pStyle w:val="TAC"/>
              <w:rPr>
                <w:lang w:eastAsia="en-US"/>
              </w:rPr>
            </w:pPr>
            <w:r w:rsidRPr="004D0DAA">
              <w:rPr>
                <w:lang w:eastAsia="en-US"/>
              </w:rPr>
              <w:t>DAS-5</w:t>
            </w:r>
          </w:p>
        </w:tc>
        <w:tc>
          <w:tcPr>
            <w:tcW w:w="1408" w:type="dxa"/>
          </w:tcPr>
          <w:p w14:paraId="13DDEBD4" w14:textId="77777777" w:rsidR="00711444" w:rsidRPr="004D0DAA" w:rsidRDefault="00711444" w:rsidP="00AA2A4C">
            <w:pPr>
              <w:pStyle w:val="TAC"/>
              <w:rPr>
                <w:lang w:eastAsia="en-US"/>
              </w:rPr>
            </w:pPr>
            <w:r w:rsidRPr="004D0DAA">
              <w:rPr>
                <w:lang w:eastAsia="en-US"/>
              </w:rPr>
              <w:t>448</w:t>
            </w:r>
          </w:p>
        </w:tc>
      </w:tr>
      <w:tr w:rsidR="00711444" w:rsidRPr="004D0DAA" w14:paraId="74409C3F" w14:textId="77777777" w:rsidTr="00AA2A4C">
        <w:tblPrEx>
          <w:tblCellMar>
            <w:top w:w="0" w:type="dxa"/>
            <w:left w:w="56" w:type="dxa"/>
            <w:bottom w:w="0" w:type="dxa"/>
            <w:right w:w="56" w:type="dxa"/>
          </w:tblCellMar>
        </w:tblPrEx>
        <w:trPr>
          <w:jc w:val="center"/>
        </w:trPr>
        <w:tc>
          <w:tcPr>
            <w:tcW w:w="1976" w:type="dxa"/>
          </w:tcPr>
          <w:p w14:paraId="5B3812E6" w14:textId="77777777" w:rsidR="00711444" w:rsidRPr="004D0DAA" w:rsidRDefault="00711444" w:rsidP="00AA2A4C">
            <w:pPr>
              <w:pStyle w:val="TAC"/>
              <w:rPr>
                <w:lang w:eastAsia="en-US"/>
              </w:rPr>
            </w:pPr>
            <w:r w:rsidRPr="004D0DAA">
              <w:rPr>
                <w:lang w:eastAsia="en-US"/>
              </w:rPr>
              <w:t>DAS-6</w:t>
            </w:r>
          </w:p>
        </w:tc>
        <w:tc>
          <w:tcPr>
            <w:tcW w:w="1408" w:type="dxa"/>
          </w:tcPr>
          <w:p w14:paraId="1139DF85" w14:textId="77777777" w:rsidR="00711444" w:rsidRPr="004D0DAA" w:rsidRDefault="00711444" w:rsidP="00AA2A4C">
            <w:pPr>
              <w:pStyle w:val="TAC"/>
              <w:rPr>
                <w:lang w:eastAsia="en-US"/>
              </w:rPr>
            </w:pPr>
            <w:r w:rsidRPr="004D0DAA">
              <w:rPr>
                <w:lang w:eastAsia="en-US"/>
              </w:rPr>
              <w:t>544</w:t>
            </w:r>
          </w:p>
        </w:tc>
      </w:tr>
      <w:tr w:rsidR="00711444" w:rsidRPr="004D0DAA" w14:paraId="7B845485" w14:textId="77777777" w:rsidTr="00AA2A4C">
        <w:tblPrEx>
          <w:tblCellMar>
            <w:top w:w="0" w:type="dxa"/>
            <w:left w:w="56" w:type="dxa"/>
            <w:bottom w:w="0" w:type="dxa"/>
            <w:right w:w="56" w:type="dxa"/>
          </w:tblCellMar>
        </w:tblPrEx>
        <w:trPr>
          <w:jc w:val="center"/>
        </w:trPr>
        <w:tc>
          <w:tcPr>
            <w:tcW w:w="1976" w:type="dxa"/>
          </w:tcPr>
          <w:p w14:paraId="6DB72029" w14:textId="77777777" w:rsidR="00711444" w:rsidRPr="004D0DAA" w:rsidRDefault="00711444" w:rsidP="00AA2A4C">
            <w:pPr>
              <w:pStyle w:val="TAC"/>
              <w:rPr>
                <w:lang w:eastAsia="en-US"/>
              </w:rPr>
            </w:pPr>
            <w:r w:rsidRPr="004D0DAA">
              <w:rPr>
                <w:lang w:eastAsia="en-US"/>
              </w:rPr>
              <w:t>DAS-7</w:t>
            </w:r>
          </w:p>
        </w:tc>
        <w:tc>
          <w:tcPr>
            <w:tcW w:w="1408" w:type="dxa"/>
          </w:tcPr>
          <w:p w14:paraId="2559A7BA" w14:textId="77777777" w:rsidR="00711444" w:rsidRPr="004D0DAA" w:rsidRDefault="00711444" w:rsidP="00AA2A4C">
            <w:pPr>
              <w:pStyle w:val="TAC"/>
              <w:rPr>
                <w:lang w:eastAsia="en-US"/>
              </w:rPr>
            </w:pPr>
            <w:r w:rsidRPr="004D0DAA">
              <w:rPr>
                <w:lang w:eastAsia="en-US"/>
              </w:rPr>
              <w:t>656</w:t>
            </w:r>
          </w:p>
        </w:tc>
      </w:tr>
      <w:tr w:rsidR="00711444" w:rsidRPr="004D0DAA" w14:paraId="21938E68" w14:textId="77777777" w:rsidTr="00AA2A4C">
        <w:tblPrEx>
          <w:tblCellMar>
            <w:top w:w="0" w:type="dxa"/>
            <w:left w:w="56" w:type="dxa"/>
            <w:bottom w:w="0" w:type="dxa"/>
            <w:right w:w="56" w:type="dxa"/>
          </w:tblCellMar>
        </w:tblPrEx>
        <w:trPr>
          <w:jc w:val="center"/>
        </w:trPr>
        <w:tc>
          <w:tcPr>
            <w:tcW w:w="1976" w:type="dxa"/>
          </w:tcPr>
          <w:p w14:paraId="1EAB7D3C" w14:textId="77777777" w:rsidR="00711444" w:rsidRPr="004D0DAA" w:rsidRDefault="00711444" w:rsidP="00AA2A4C">
            <w:pPr>
              <w:pStyle w:val="TAC"/>
              <w:rPr>
                <w:lang w:eastAsia="en-US"/>
              </w:rPr>
            </w:pPr>
            <w:r w:rsidRPr="004D0DAA">
              <w:rPr>
                <w:lang w:eastAsia="en-US"/>
              </w:rPr>
              <w:t>DAS-8</w:t>
            </w:r>
          </w:p>
        </w:tc>
        <w:tc>
          <w:tcPr>
            <w:tcW w:w="1408" w:type="dxa"/>
          </w:tcPr>
          <w:p w14:paraId="33F037A5" w14:textId="77777777" w:rsidR="00711444" w:rsidRPr="004D0DAA" w:rsidRDefault="00711444" w:rsidP="00AA2A4C">
            <w:pPr>
              <w:pStyle w:val="TAC"/>
              <w:rPr>
                <w:lang w:eastAsia="en-US"/>
              </w:rPr>
            </w:pPr>
            <w:r w:rsidRPr="004D0DAA">
              <w:rPr>
                <w:lang w:eastAsia="en-US"/>
              </w:rPr>
              <w:t>448</w:t>
            </w:r>
          </w:p>
        </w:tc>
      </w:tr>
      <w:tr w:rsidR="00711444" w:rsidRPr="004D0DAA" w14:paraId="43F5B47E" w14:textId="77777777" w:rsidTr="00AA2A4C">
        <w:tblPrEx>
          <w:tblCellMar>
            <w:top w:w="0" w:type="dxa"/>
            <w:left w:w="56" w:type="dxa"/>
            <w:bottom w:w="0" w:type="dxa"/>
            <w:right w:w="56" w:type="dxa"/>
          </w:tblCellMar>
        </w:tblPrEx>
        <w:trPr>
          <w:jc w:val="center"/>
        </w:trPr>
        <w:tc>
          <w:tcPr>
            <w:tcW w:w="1976" w:type="dxa"/>
          </w:tcPr>
          <w:p w14:paraId="34CB00FA" w14:textId="77777777" w:rsidR="00711444" w:rsidRPr="004D0DAA" w:rsidRDefault="00711444" w:rsidP="00AA2A4C">
            <w:pPr>
              <w:pStyle w:val="TAC"/>
              <w:rPr>
                <w:lang w:eastAsia="en-US"/>
              </w:rPr>
            </w:pPr>
            <w:r w:rsidRPr="004D0DAA">
              <w:rPr>
                <w:lang w:eastAsia="en-US"/>
              </w:rPr>
              <w:t>DAS-9</w:t>
            </w:r>
          </w:p>
        </w:tc>
        <w:tc>
          <w:tcPr>
            <w:tcW w:w="1408" w:type="dxa"/>
          </w:tcPr>
          <w:p w14:paraId="6AF13E73" w14:textId="77777777" w:rsidR="00711444" w:rsidRPr="004D0DAA" w:rsidRDefault="00711444" w:rsidP="00AA2A4C">
            <w:pPr>
              <w:pStyle w:val="TAC"/>
              <w:rPr>
                <w:lang w:eastAsia="en-US"/>
              </w:rPr>
            </w:pPr>
            <w:r w:rsidRPr="004D0DAA">
              <w:rPr>
                <w:lang w:eastAsia="en-US"/>
              </w:rPr>
              <w:t>544</w:t>
            </w:r>
          </w:p>
        </w:tc>
      </w:tr>
      <w:tr w:rsidR="00711444" w:rsidRPr="004D0DAA" w14:paraId="6C0522E5" w14:textId="77777777" w:rsidTr="00AA2A4C">
        <w:tblPrEx>
          <w:tblCellMar>
            <w:top w:w="0" w:type="dxa"/>
            <w:left w:w="56" w:type="dxa"/>
            <w:bottom w:w="0" w:type="dxa"/>
            <w:right w:w="56" w:type="dxa"/>
          </w:tblCellMar>
        </w:tblPrEx>
        <w:trPr>
          <w:jc w:val="center"/>
        </w:trPr>
        <w:tc>
          <w:tcPr>
            <w:tcW w:w="1976" w:type="dxa"/>
          </w:tcPr>
          <w:p w14:paraId="441A2336" w14:textId="77777777" w:rsidR="00711444" w:rsidRPr="004D0DAA" w:rsidRDefault="00711444" w:rsidP="00AA2A4C">
            <w:pPr>
              <w:pStyle w:val="TAC"/>
              <w:rPr>
                <w:lang w:eastAsia="en-US"/>
              </w:rPr>
            </w:pPr>
            <w:r w:rsidRPr="004D0DAA">
              <w:rPr>
                <w:lang w:eastAsia="en-US"/>
              </w:rPr>
              <w:t>DAS-10</w:t>
            </w:r>
          </w:p>
        </w:tc>
        <w:tc>
          <w:tcPr>
            <w:tcW w:w="1408" w:type="dxa"/>
          </w:tcPr>
          <w:p w14:paraId="39C59580" w14:textId="77777777" w:rsidR="00711444" w:rsidRPr="004D0DAA" w:rsidRDefault="00711444" w:rsidP="00AA2A4C">
            <w:pPr>
              <w:pStyle w:val="TAC"/>
              <w:rPr>
                <w:lang w:eastAsia="en-US"/>
              </w:rPr>
            </w:pPr>
            <w:r w:rsidRPr="004D0DAA">
              <w:rPr>
                <w:lang w:eastAsia="en-US"/>
              </w:rPr>
              <w:t>656</w:t>
            </w:r>
          </w:p>
        </w:tc>
      </w:tr>
      <w:tr w:rsidR="00711444" w:rsidRPr="004D0DAA" w14:paraId="05A510DE" w14:textId="77777777" w:rsidTr="00AA2A4C">
        <w:tblPrEx>
          <w:tblCellMar>
            <w:top w:w="0" w:type="dxa"/>
            <w:left w:w="56" w:type="dxa"/>
            <w:bottom w:w="0" w:type="dxa"/>
            <w:right w:w="56" w:type="dxa"/>
          </w:tblCellMar>
        </w:tblPrEx>
        <w:trPr>
          <w:jc w:val="center"/>
        </w:trPr>
        <w:tc>
          <w:tcPr>
            <w:tcW w:w="1976" w:type="dxa"/>
          </w:tcPr>
          <w:p w14:paraId="1C188B67" w14:textId="77777777" w:rsidR="00711444" w:rsidRPr="004D0DAA" w:rsidRDefault="00711444" w:rsidP="00AA2A4C">
            <w:pPr>
              <w:pStyle w:val="TAC"/>
              <w:rPr>
                <w:lang w:eastAsia="en-US"/>
              </w:rPr>
            </w:pPr>
            <w:r w:rsidRPr="004D0DAA">
              <w:rPr>
                <w:lang w:eastAsia="en-US"/>
              </w:rPr>
              <w:t>DAS-11</w:t>
            </w:r>
          </w:p>
        </w:tc>
        <w:tc>
          <w:tcPr>
            <w:tcW w:w="1408" w:type="dxa"/>
          </w:tcPr>
          <w:p w14:paraId="74A8AA95" w14:textId="77777777" w:rsidR="00711444" w:rsidRPr="004D0DAA" w:rsidRDefault="00711444" w:rsidP="00AA2A4C">
            <w:pPr>
              <w:pStyle w:val="TAC"/>
              <w:rPr>
                <w:lang w:eastAsia="en-US"/>
              </w:rPr>
            </w:pPr>
            <w:r w:rsidRPr="004D0DAA">
              <w:rPr>
                <w:lang w:eastAsia="en-US"/>
              </w:rPr>
              <w:t>544</w:t>
            </w:r>
          </w:p>
        </w:tc>
      </w:tr>
      <w:tr w:rsidR="00711444" w:rsidRPr="004D0DAA" w14:paraId="3BB2083E" w14:textId="77777777" w:rsidTr="00AA2A4C">
        <w:tblPrEx>
          <w:tblCellMar>
            <w:top w:w="0" w:type="dxa"/>
            <w:left w:w="56" w:type="dxa"/>
            <w:bottom w:w="0" w:type="dxa"/>
            <w:right w:w="56" w:type="dxa"/>
          </w:tblCellMar>
        </w:tblPrEx>
        <w:trPr>
          <w:jc w:val="center"/>
        </w:trPr>
        <w:tc>
          <w:tcPr>
            <w:tcW w:w="1976" w:type="dxa"/>
          </w:tcPr>
          <w:p w14:paraId="2884B625" w14:textId="77777777" w:rsidR="00711444" w:rsidRPr="004D0DAA" w:rsidRDefault="00711444" w:rsidP="00AA2A4C">
            <w:pPr>
              <w:pStyle w:val="TAC"/>
              <w:rPr>
                <w:lang w:eastAsia="en-US"/>
              </w:rPr>
            </w:pPr>
            <w:r w:rsidRPr="004D0DAA">
              <w:rPr>
                <w:lang w:eastAsia="en-US"/>
              </w:rPr>
              <w:t>DAS-12</w:t>
            </w:r>
          </w:p>
        </w:tc>
        <w:tc>
          <w:tcPr>
            <w:tcW w:w="1408" w:type="dxa"/>
          </w:tcPr>
          <w:p w14:paraId="064C6457" w14:textId="77777777" w:rsidR="00711444" w:rsidRPr="004D0DAA" w:rsidRDefault="00711444" w:rsidP="00AA2A4C">
            <w:pPr>
              <w:pStyle w:val="TAC"/>
              <w:rPr>
                <w:lang w:eastAsia="en-US"/>
              </w:rPr>
            </w:pPr>
            <w:r w:rsidRPr="004D0DAA">
              <w:rPr>
                <w:lang w:eastAsia="en-US"/>
              </w:rPr>
              <w:t>656</w:t>
            </w:r>
          </w:p>
        </w:tc>
      </w:tr>
    </w:tbl>
    <w:p w14:paraId="37F2F390" w14:textId="77777777" w:rsidR="00711444" w:rsidRPr="004D0DAA" w:rsidRDefault="00711444" w:rsidP="00711444">
      <w:pPr>
        <w:rPr>
          <w:b/>
        </w:rPr>
      </w:pPr>
    </w:p>
    <w:p w14:paraId="7E76A843" w14:textId="77777777" w:rsidR="00711444" w:rsidRPr="004D0DAA" w:rsidRDefault="00711444" w:rsidP="00711444">
      <w:pPr>
        <w:pStyle w:val="NO"/>
      </w:pPr>
      <w:r w:rsidRPr="004D0DAA">
        <w:t>NOTE:</w:t>
      </w:r>
      <w:r w:rsidRPr="004D0DAA">
        <w:tab/>
        <w:t>MCS-1, MCS-2 (with or without padding), MCS-3 (with or without padding), MCS-4, MCS-6, MCS-7 and MCS-8 are also used for EGPRS2-A downlink (see sub-clause 5.2.1). For these modulation and coding schemes, fill bits are defined in Table 9.1.12.b unless specified otherwise.</w:t>
      </w:r>
    </w:p>
    <w:p w14:paraId="29220116" w14:textId="77777777" w:rsidR="00711444" w:rsidRPr="004D0DAA" w:rsidRDefault="00711444" w:rsidP="00711444">
      <w:pPr>
        <w:pStyle w:val="TH"/>
      </w:pPr>
      <w:r w:rsidRPr="004D0DAA">
        <w:t>Table 9.1.12.d: RLC unacknowledged mode fill bits (EGPRS2-B downlink)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000" w:firstRow="0" w:lastRow="0" w:firstColumn="0" w:lastColumn="0" w:noHBand="0" w:noVBand="0"/>
      </w:tblPr>
      <w:tblGrid>
        <w:gridCol w:w="1975"/>
        <w:gridCol w:w="1408"/>
      </w:tblGrid>
      <w:tr w:rsidR="00711444" w:rsidRPr="004D0DAA" w14:paraId="6AFD04D9" w14:textId="77777777" w:rsidTr="00AA2A4C">
        <w:tblPrEx>
          <w:tblCellMar>
            <w:top w:w="0" w:type="dxa"/>
            <w:bottom w:w="0" w:type="dxa"/>
          </w:tblCellMar>
        </w:tblPrEx>
        <w:trPr>
          <w:jc w:val="center"/>
        </w:trPr>
        <w:tc>
          <w:tcPr>
            <w:tcW w:w="1975" w:type="dxa"/>
            <w:tcBorders>
              <w:bottom w:val="nil"/>
            </w:tcBorders>
          </w:tcPr>
          <w:p w14:paraId="18906E74" w14:textId="77777777" w:rsidR="00711444" w:rsidRPr="004D0DAA" w:rsidRDefault="00711444" w:rsidP="00AA2A4C">
            <w:pPr>
              <w:pStyle w:val="TAH"/>
              <w:rPr>
                <w:lang w:eastAsia="en-US"/>
              </w:rPr>
            </w:pPr>
            <w:r w:rsidRPr="004D0DAA">
              <w:rPr>
                <w:lang w:eastAsia="en-US"/>
              </w:rPr>
              <w:t>Channel Coding Scheme</w:t>
            </w:r>
          </w:p>
        </w:tc>
        <w:tc>
          <w:tcPr>
            <w:tcW w:w="1408" w:type="dxa"/>
            <w:tcBorders>
              <w:bottom w:val="nil"/>
            </w:tcBorders>
          </w:tcPr>
          <w:p w14:paraId="77EA1A39" w14:textId="77777777" w:rsidR="00711444" w:rsidRPr="004D0DAA" w:rsidRDefault="00711444" w:rsidP="00AA2A4C">
            <w:pPr>
              <w:pStyle w:val="TAH"/>
              <w:rPr>
                <w:lang w:eastAsia="en-US"/>
              </w:rPr>
            </w:pPr>
            <w:r w:rsidRPr="004D0DAA">
              <w:rPr>
                <w:lang w:eastAsia="en-US"/>
              </w:rPr>
              <w:t>Number of fill bits</w:t>
            </w:r>
          </w:p>
        </w:tc>
      </w:tr>
      <w:tr w:rsidR="00711444" w:rsidRPr="004D0DAA" w14:paraId="3EA1B368" w14:textId="77777777" w:rsidTr="00AA2A4C">
        <w:tblPrEx>
          <w:tblCellMar>
            <w:top w:w="0" w:type="dxa"/>
            <w:left w:w="56" w:type="dxa"/>
            <w:bottom w:w="0" w:type="dxa"/>
            <w:right w:w="56" w:type="dxa"/>
          </w:tblCellMar>
        </w:tblPrEx>
        <w:trPr>
          <w:jc w:val="center"/>
        </w:trPr>
        <w:tc>
          <w:tcPr>
            <w:tcW w:w="1975" w:type="dxa"/>
          </w:tcPr>
          <w:p w14:paraId="07AFFAB0" w14:textId="77777777" w:rsidR="00711444" w:rsidRPr="004D0DAA" w:rsidRDefault="00711444" w:rsidP="00AA2A4C">
            <w:pPr>
              <w:pStyle w:val="TAC"/>
              <w:rPr>
                <w:lang w:eastAsia="en-US"/>
              </w:rPr>
            </w:pPr>
            <w:r w:rsidRPr="004D0DAA">
              <w:rPr>
                <w:lang w:eastAsia="en-US"/>
              </w:rPr>
              <w:t>DBS-5</w:t>
            </w:r>
          </w:p>
        </w:tc>
        <w:tc>
          <w:tcPr>
            <w:tcW w:w="1408" w:type="dxa"/>
          </w:tcPr>
          <w:p w14:paraId="0530DD2D" w14:textId="77777777" w:rsidR="00711444" w:rsidRPr="004D0DAA" w:rsidRDefault="00711444" w:rsidP="00AA2A4C">
            <w:pPr>
              <w:pStyle w:val="TAC"/>
              <w:rPr>
                <w:lang w:eastAsia="en-US"/>
              </w:rPr>
            </w:pPr>
            <w:r w:rsidRPr="004D0DAA">
              <w:rPr>
                <w:lang w:eastAsia="en-US"/>
              </w:rPr>
              <w:t>448</w:t>
            </w:r>
          </w:p>
        </w:tc>
      </w:tr>
      <w:tr w:rsidR="00711444" w:rsidRPr="004D0DAA" w14:paraId="02B0B5A7" w14:textId="77777777" w:rsidTr="00AA2A4C">
        <w:tblPrEx>
          <w:tblCellMar>
            <w:top w:w="0" w:type="dxa"/>
            <w:left w:w="56" w:type="dxa"/>
            <w:bottom w:w="0" w:type="dxa"/>
            <w:right w:w="56" w:type="dxa"/>
          </w:tblCellMar>
        </w:tblPrEx>
        <w:trPr>
          <w:jc w:val="center"/>
        </w:trPr>
        <w:tc>
          <w:tcPr>
            <w:tcW w:w="1975" w:type="dxa"/>
          </w:tcPr>
          <w:p w14:paraId="5C6C6F20" w14:textId="77777777" w:rsidR="00711444" w:rsidRPr="004D0DAA" w:rsidRDefault="00711444" w:rsidP="00AA2A4C">
            <w:pPr>
              <w:pStyle w:val="TAC"/>
              <w:rPr>
                <w:lang w:eastAsia="en-US"/>
              </w:rPr>
            </w:pPr>
            <w:r w:rsidRPr="004D0DAA">
              <w:rPr>
                <w:lang w:eastAsia="en-US"/>
              </w:rPr>
              <w:t>DBS-6</w:t>
            </w:r>
          </w:p>
        </w:tc>
        <w:tc>
          <w:tcPr>
            <w:tcW w:w="1408" w:type="dxa"/>
          </w:tcPr>
          <w:p w14:paraId="46F0105E" w14:textId="77777777" w:rsidR="00711444" w:rsidRPr="004D0DAA" w:rsidRDefault="00711444" w:rsidP="00AA2A4C">
            <w:pPr>
              <w:pStyle w:val="TAC"/>
              <w:rPr>
                <w:lang w:eastAsia="en-US"/>
              </w:rPr>
            </w:pPr>
            <w:r w:rsidRPr="004D0DAA">
              <w:rPr>
                <w:lang w:eastAsia="en-US"/>
              </w:rPr>
              <w:t>592</w:t>
            </w:r>
          </w:p>
        </w:tc>
      </w:tr>
      <w:tr w:rsidR="00711444" w:rsidRPr="004D0DAA" w14:paraId="4C027E90" w14:textId="77777777" w:rsidTr="00AA2A4C">
        <w:tblPrEx>
          <w:tblCellMar>
            <w:top w:w="0" w:type="dxa"/>
            <w:left w:w="56" w:type="dxa"/>
            <w:bottom w:w="0" w:type="dxa"/>
            <w:right w:w="56" w:type="dxa"/>
          </w:tblCellMar>
        </w:tblPrEx>
        <w:trPr>
          <w:jc w:val="center"/>
        </w:trPr>
        <w:tc>
          <w:tcPr>
            <w:tcW w:w="1975" w:type="dxa"/>
          </w:tcPr>
          <w:p w14:paraId="5035706E" w14:textId="77777777" w:rsidR="00711444" w:rsidRPr="004D0DAA" w:rsidRDefault="00711444" w:rsidP="00AA2A4C">
            <w:pPr>
              <w:pStyle w:val="TAC"/>
              <w:rPr>
                <w:lang w:eastAsia="en-US"/>
              </w:rPr>
            </w:pPr>
            <w:r w:rsidRPr="004D0DAA">
              <w:rPr>
                <w:lang w:eastAsia="en-US"/>
              </w:rPr>
              <w:t>DBS-7</w:t>
            </w:r>
          </w:p>
        </w:tc>
        <w:tc>
          <w:tcPr>
            <w:tcW w:w="1408" w:type="dxa"/>
          </w:tcPr>
          <w:p w14:paraId="2D26FE9C" w14:textId="77777777" w:rsidR="00711444" w:rsidRPr="004D0DAA" w:rsidRDefault="00711444" w:rsidP="00AA2A4C">
            <w:pPr>
              <w:pStyle w:val="TAC"/>
              <w:rPr>
                <w:lang w:eastAsia="en-US"/>
              </w:rPr>
            </w:pPr>
            <w:r w:rsidRPr="004D0DAA">
              <w:rPr>
                <w:lang w:eastAsia="en-US"/>
              </w:rPr>
              <w:t>448</w:t>
            </w:r>
          </w:p>
        </w:tc>
      </w:tr>
      <w:tr w:rsidR="00711444" w:rsidRPr="004D0DAA" w14:paraId="00D8F0E4" w14:textId="77777777" w:rsidTr="00AA2A4C">
        <w:tblPrEx>
          <w:tblCellMar>
            <w:top w:w="0" w:type="dxa"/>
            <w:left w:w="56" w:type="dxa"/>
            <w:bottom w:w="0" w:type="dxa"/>
            <w:right w:w="56" w:type="dxa"/>
          </w:tblCellMar>
        </w:tblPrEx>
        <w:trPr>
          <w:jc w:val="center"/>
        </w:trPr>
        <w:tc>
          <w:tcPr>
            <w:tcW w:w="1975" w:type="dxa"/>
          </w:tcPr>
          <w:p w14:paraId="16BE36A1" w14:textId="77777777" w:rsidR="00711444" w:rsidRPr="004D0DAA" w:rsidRDefault="00711444" w:rsidP="00AA2A4C">
            <w:pPr>
              <w:pStyle w:val="TAC"/>
              <w:rPr>
                <w:lang w:eastAsia="en-US"/>
              </w:rPr>
            </w:pPr>
            <w:r w:rsidRPr="004D0DAA">
              <w:rPr>
                <w:lang w:eastAsia="en-US"/>
              </w:rPr>
              <w:t>DAS-10 with padding</w:t>
            </w:r>
          </w:p>
        </w:tc>
        <w:tc>
          <w:tcPr>
            <w:tcW w:w="1408" w:type="dxa"/>
          </w:tcPr>
          <w:p w14:paraId="1A426993" w14:textId="77777777" w:rsidR="00711444" w:rsidRPr="004D0DAA" w:rsidRDefault="00711444" w:rsidP="00AA2A4C">
            <w:pPr>
              <w:pStyle w:val="TAC"/>
              <w:rPr>
                <w:lang w:eastAsia="en-US"/>
              </w:rPr>
            </w:pPr>
            <w:r w:rsidRPr="004D0DAA">
              <w:rPr>
                <w:lang w:eastAsia="en-US"/>
              </w:rPr>
              <w:t>592</w:t>
            </w:r>
          </w:p>
        </w:tc>
      </w:tr>
      <w:tr w:rsidR="00711444" w:rsidRPr="004D0DAA" w14:paraId="486F8C86" w14:textId="77777777" w:rsidTr="00AA2A4C">
        <w:tblPrEx>
          <w:tblCellMar>
            <w:top w:w="0" w:type="dxa"/>
            <w:left w:w="56" w:type="dxa"/>
            <w:bottom w:w="0" w:type="dxa"/>
            <w:right w:w="56" w:type="dxa"/>
          </w:tblCellMar>
        </w:tblPrEx>
        <w:trPr>
          <w:jc w:val="center"/>
        </w:trPr>
        <w:tc>
          <w:tcPr>
            <w:tcW w:w="1975" w:type="dxa"/>
          </w:tcPr>
          <w:p w14:paraId="1D9E0F0E" w14:textId="77777777" w:rsidR="00711444" w:rsidRPr="004D0DAA" w:rsidRDefault="00711444" w:rsidP="00AA2A4C">
            <w:pPr>
              <w:pStyle w:val="TAC"/>
              <w:rPr>
                <w:lang w:eastAsia="en-US"/>
              </w:rPr>
            </w:pPr>
            <w:r w:rsidRPr="004D0DAA">
              <w:rPr>
                <w:lang w:eastAsia="en-US"/>
              </w:rPr>
              <w:t>DBS-8</w:t>
            </w:r>
          </w:p>
        </w:tc>
        <w:tc>
          <w:tcPr>
            <w:tcW w:w="1408" w:type="dxa"/>
          </w:tcPr>
          <w:p w14:paraId="53B456B7" w14:textId="77777777" w:rsidR="00711444" w:rsidRPr="004D0DAA" w:rsidRDefault="00711444" w:rsidP="00AA2A4C">
            <w:pPr>
              <w:pStyle w:val="TAC"/>
              <w:rPr>
                <w:lang w:eastAsia="en-US"/>
              </w:rPr>
            </w:pPr>
            <w:r w:rsidRPr="004D0DAA">
              <w:rPr>
                <w:lang w:eastAsia="en-US"/>
              </w:rPr>
              <w:t>592</w:t>
            </w:r>
          </w:p>
        </w:tc>
      </w:tr>
      <w:tr w:rsidR="00711444" w:rsidRPr="004D0DAA" w14:paraId="2798646D" w14:textId="77777777" w:rsidTr="00AA2A4C">
        <w:tblPrEx>
          <w:tblCellMar>
            <w:top w:w="0" w:type="dxa"/>
            <w:left w:w="56" w:type="dxa"/>
            <w:bottom w:w="0" w:type="dxa"/>
            <w:right w:w="56" w:type="dxa"/>
          </w:tblCellMar>
        </w:tblPrEx>
        <w:trPr>
          <w:jc w:val="center"/>
        </w:trPr>
        <w:tc>
          <w:tcPr>
            <w:tcW w:w="1975" w:type="dxa"/>
          </w:tcPr>
          <w:p w14:paraId="7A6ED155" w14:textId="77777777" w:rsidR="00711444" w:rsidRPr="004D0DAA" w:rsidRDefault="00711444" w:rsidP="00AA2A4C">
            <w:pPr>
              <w:pStyle w:val="TAC"/>
              <w:rPr>
                <w:lang w:eastAsia="en-US"/>
              </w:rPr>
            </w:pPr>
            <w:r w:rsidRPr="004D0DAA">
              <w:rPr>
                <w:lang w:eastAsia="en-US"/>
              </w:rPr>
              <w:t>DBS-9</w:t>
            </w:r>
          </w:p>
        </w:tc>
        <w:tc>
          <w:tcPr>
            <w:tcW w:w="1408" w:type="dxa"/>
          </w:tcPr>
          <w:p w14:paraId="0861B639" w14:textId="77777777" w:rsidR="00711444" w:rsidRPr="004D0DAA" w:rsidRDefault="00711444" w:rsidP="00AA2A4C">
            <w:pPr>
              <w:pStyle w:val="TAC"/>
              <w:rPr>
                <w:lang w:eastAsia="en-US"/>
              </w:rPr>
            </w:pPr>
            <w:r w:rsidRPr="004D0DAA">
              <w:rPr>
                <w:lang w:eastAsia="en-US"/>
              </w:rPr>
              <w:t>448</w:t>
            </w:r>
          </w:p>
        </w:tc>
      </w:tr>
      <w:tr w:rsidR="00711444" w:rsidRPr="004D0DAA" w14:paraId="3DB336D3" w14:textId="77777777" w:rsidTr="00AA2A4C">
        <w:tblPrEx>
          <w:tblCellMar>
            <w:top w:w="0" w:type="dxa"/>
            <w:left w:w="56" w:type="dxa"/>
            <w:bottom w:w="0" w:type="dxa"/>
            <w:right w:w="56" w:type="dxa"/>
          </w:tblCellMar>
        </w:tblPrEx>
        <w:trPr>
          <w:jc w:val="center"/>
        </w:trPr>
        <w:tc>
          <w:tcPr>
            <w:tcW w:w="1975" w:type="dxa"/>
          </w:tcPr>
          <w:p w14:paraId="1C517A86" w14:textId="77777777" w:rsidR="00711444" w:rsidRPr="004D0DAA" w:rsidRDefault="00711444" w:rsidP="00AA2A4C">
            <w:pPr>
              <w:pStyle w:val="TAC"/>
              <w:rPr>
                <w:lang w:eastAsia="en-US"/>
              </w:rPr>
            </w:pPr>
            <w:r w:rsidRPr="004D0DAA">
              <w:rPr>
                <w:lang w:eastAsia="en-US"/>
              </w:rPr>
              <w:t>DAS-12 with padding</w:t>
            </w:r>
          </w:p>
        </w:tc>
        <w:tc>
          <w:tcPr>
            <w:tcW w:w="1408" w:type="dxa"/>
          </w:tcPr>
          <w:p w14:paraId="7CD620BF" w14:textId="77777777" w:rsidR="00711444" w:rsidRPr="004D0DAA" w:rsidRDefault="00711444" w:rsidP="00AA2A4C">
            <w:pPr>
              <w:pStyle w:val="TAC"/>
              <w:rPr>
                <w:lang w:eastAsia="en-US"/>
              </w:rPr>
            </w:pPr>
            <w:r w:rsidRPr="004D0DAA">
              <w:rPr>
                <w:lang w:eastAsia="en-US"/>
              </w:rPr>
              <w:t>592</w:t>
            </w:r>
          </w:p>
        </w:tc>
      </w:tr>
      <w:tr w:rsidR="00711444" w:rsidRPr="004D0DAA" w14:paraId="6C7C9D9B" w14:textId="77777777" w:rsidTr="00AA2A4C">
        <w:tblPrEx>
          <w:tblCellMar>
            <w:top w:w="0" w:type="dxa"/>
            <w:left w:w="56" w:type="dxa"/>
            <w:bottom w:w="0" w:type="dxa"/>
            <w:right w:w="56" w:type="dxa"/>
          </w:tblCellMar>
        </w:tblPrEx>
        <w:trPr>
          <w:jc w:val="center"/>
        </w:trPr>
        <w:tc>
          <w:tcPr>
            <w:tcW w:w="1975" w:type="dxa"/>
          </w:tcPr>
          <w:p w14:paraId="1F4B04D0" w14:textId="77777777" w:rsidR="00711444" w:rsidRPr="004D0DAA" w:rsidRDefault="00711444" w:rsidP="00AA2A4C">
            <w:pPr>
              <w:pStyle w:val="TAC"/>
              <w:rPr>
                <w:lang w:eastAsia="en-US"/>
              </w:rPr>
            </w:pPr>
            <w:r w:rsidRPr="004D0DAA">
              <w:rPr>
                <w:lang w:eastAsia="en-US"/>
              </w:rPr>
              <w:t>DBS-10</w:t>
            </w:r>
          </w:p>
        </w:tc>
        <w:tc>
          <w:tcPr>
            <w:tcW w:w="1408" w:type="dxa"/>
          </w:tcPr>
          <w:p w14:paraId="1C044FF8" w14:textId="77777777" w:rsidR="00711444" w:rsidRPr="004D0DAA" w:rsidRDefault="00711444" w:rsidP="00AA2A4C">
            <w:pPr>
              <w:pStyle w:val="TAC"/>
              <w:rPr>
                <w:lang w:eastAsia="en-US"/>
              </w:rPr>
            </w:pPr>
            <w:r w:rsidRPr="004D0DAA">
              <w:rPr>
                <w:lang w:eastAsia="en-US"/>
              </w:rPr>
              <w:t>592</w:t>
            </w:r>
          </w:p>
        </w:tc>
      </w:tr>
      <w:tr w:rsidR="00711444" w:rsidRPr="004D0DAA" w14:paraId="03C2A1BD" w14:textId="77777777" w:rsidTr="00AA2A4C">
        <w:tblPrEx>
          <w:tblCellMar>
            <w:top w:w="0" w:type="dxa"/>
            <w:left w:w="56" w:type="dxa"/>
            <w:bottom w:w="0" w:type="dxa"/>
            <w:right w:w="56" w:type="dxa"/>
          </w:tblCellMar>
        </w:tblPrEx>
        <w:trPr>
          <w:jc w:val="center"/>
        </w:trPr>
        <w:tc>
          <w:tcPr>
            <w:tcW w:w="1975" w:type="dxa"/>
          </w:tcPr>
          <w:p w14:paraId="03B72C36" w14:textId="77777777" w:rsidR="00711444" w:rsidRPr="004D0DAA" w:rsidRDefault="00711444" w:rsidP="00AA2A4C">
            <w:pPr>
              <w:pStyle w:val="TAC"/>
              <w:rPr>
                <w:lang w:eastAsia="en-US"/>
              </w:rPr>
            </w:pPr>
            <w:r w:rsidRPr="004D0DAA">
              <w:rPr>
                <w:lang w:eastAsia="en-US"/>
              </w:rPr>
              <w:t>DBS-11</w:t>
            </w:r>
          </w:p>
        </w:tc>
        <w:tc>
          <w:tcPr>
            <w:tcW w:w="1408" w:type="dxa"/>
          </w:tcPr>
          <w:p w14:paraId="2527D27C" w14:textId="77777777" w:rsidR="00711444" w:rsidRPr="004D0DAA" w:rsidRDefault="00711444" w:rsidP="00AA2A4C">
            <w:pPr>
              <w:pStyle w:val="TAC"/>
              <w:rPr>
                <w:lang w:eastAsia="en-US"/>
              </w:rPr>
            </w:pPr>
            <w:r w:rsidRPr="004D0DAA">
              <w:rPr>
                <w:lang w:eastAsia="en-US"/>
              </w:rPr>
              <w:t>544</w:t>
            </w:r>
          </w:p>
        </w:tc>
      </w:tr>
      <w:tr w:rsidR="00711444" w:rsidRPr="004D0DAA" w14:paraId="15686162" w14:textId="77777777" w:rsidTr="00AA2A4C">
        <w:tblPrEx>
          <w:tblCellMar>
            <w:top w:w="0" w:type="dxa"/>
            <w:left w:w="56" w:type="dxa"/>
            <w:bottom w:w="0" w:type="dxa"/>
            <w:right w:w="56" w:type="dxa"/>
          </w:tblCellMar>
        </w:tblPrEx>
        <w:trPr>
          <w:jc w:val="center"/>
        </w:trPr>
        <w:tc>
          <w:tcPr>
            <w:tcW w:w="1975" w:type="dxa"/>
          </w:tcPr>
          <w:p w14:paraId="5CC37619" w14:textId="77777777" w:rsidR="00711444" w:rsidRPr="004D0DAA" w:rsidRDefault="00711444" w:rsidP="00AA2A4C">
            <w:pPr>
              <w:pStyle w:val="TAC"/>
              <w:rPr>
                <w:lang w:eastAsia="en-US"/>
              </w:rPr>
            </w:pPr>
            <w:r w:rsidRPr="004D0DAA">
              <w:rPr>
                <w:lang w:eastAsia="en-US"/>
              </w:rPr>
              <w:t>DBS-12</w:t>
            </w:r>
          </w:p>
        </w:tc>
        <w:tc>
          <w:tcPr>
            <w:tcW w:w="1408" w:type="dxa"/>
          </w:tcPr>
          <w:p w14:paraId="51967DE3" w14:textId="77777777" w:rsidR="00711444" w:rsidRPr="004D0DAA" w:rsidRDefault="00711444" w:rsidP="00AA2A4C">
            <w:pPr>
              <w:pStyle w:val="TAC"/>
              <w:rPr>
                <w:lang w:eastAsia="en-US"/>
              </w:rPr>
            </w:pPr>
            <w:r w:rsidRPr="004D0DAA">
              <w:rPr>
                <w:lang w:eastAsia="en-US"/>
              </w:rPr>
              <w:t>592</w:t>
            </w:r>
          </w:p>
        </w:tc>
      </w:tr>
    </w:tbl>
    <w:p w14:paraId="606CA000" w14:textId="77777777" w:rsidR="00711444" w:rsidRPr="004D0DAA" w:rsidRDefault="00711444" w:rsidP="00711444">
      <w:pPr>
        <w:rPr>
          <w:b/>
        </w:rPr>
      </w:pPr>
    </w:p>
    <w:p w14:paraId="42431111" w14:textId="77777777" w:rsidR="00711444" w:rsidRPr="004D0DAA" w:rsidRDefault="00711444" w:rsidP="00711444">
      <w:pPr>
        <w:pStyle w:val="NO"/>
      </w:pPr>
      <w:r w:rsidRPr="004D0DAA">
        <w:t>NOTE:</w:t>
      </w:r>
      <w:r w:rsidRPr="004D0DAA">
        <w:tab/>
      </w:r>
      <w:r w:rsidRPr="004D0DAA">
        <w:rPr>
          <w:lang w:eastAsia="zh-CN"/>
        </w:rPr>
        <w:t>MCS-1</w:t>
      </w:r>
      <w:r w:rsidRPr="004D0DAA">
        <w:t>, MCS-2, MCS-3 (with or without padding),</w:t>
      </w:r>
      <w:r w:rsidRPr="004D0DAA">
        <w:rPr>
          <w:lang w:eastAsia="zh-CN"/>
        </w:rPr>
        <w:t xml:space="preserve"> MCS-4, </w:t>
      </w:r>
      <w:r w:rsidRPr="004D0DAA">
        <w:t xml:space="preserve">MCS-6 to MCS-9, DAS-5, DAS-6, DAS-8, DAS-9, </w:t>
      </w:r>
      <w:r w:rsidRPr="004D0DAA">
        <w:rPr>
          <w:rFonts w:eastAsia="Batang" w:cs="Arial"/>
          <w:lang w:eastAsia="ja-JP"/>
        </w:rPr>
        <w:t>DAS-10 with padding,</w:t>
      </w:r>
      <w:r w:rsidRPr="004D0DAA">
        <w:t xml:space="preserve"> DAS-11</w:t>
      </w:r>
      <w:r w:rsidRPr="004D0DAA">
        <w:rPr>
          <w:rFonts w:eastAsia="Batang" w:cs="Arial"/>
          <w:lang w:eastAsia="ja-JP"/>
        </w:rPr>
        <w:t>and DAS-12 with padding</w:t>
      </w:r>
      <w:r w:rsidRPr="004D0DAA">
        <w:rPr>
          <w:lang w:eastAsia="zh-CN"/>
        </w:rPr>
        <w:t xml:space="preserve"> are also used for </w:t>
      </w:r>
      <w:r w:rsidRPr="004D0DAA">
        <w:t>EGPRS2-B downlink</w:t>
      </w:r>
      <w:r w:rsidRPr="004D0DAA">
        <w:rPr>
          <w:lang w:eastAsia="zh-CN"/>
        </w:rPr>
        <w:t xml:space="preserve"> </w:t>
      </w:r>
      <w:r w:rsidRPr="004D0DAA">
        <w:t xml:space="preserve">(see sub-clause 5.2.1). For these modulation and coding schemes, fill bits are defined </w:t>
      </w:r>
      <w:r w:rsidRPr="004D0DAA">
        <w:rPr>
          <w:lang w:eastAsia="zh-CN"/>
        </w:rPr>
        <w:t xml:space="preserve">in </w:t>
      </w:r>
      <w:r w:rsidRPr="004D0DAA">
        <w:t>Table 9.1.12.b and Table 9.1.12.c. unless specified otherwise.</w:t>
      </w:r>
    </w:p>
    <w:p w14:paraId="21F296B0" w14:textId="77777777" w:rsidR="00711444" w:rsidRPr="004D0DAA" w:rsidRDefault="00711444" w:rsidP="00711444">
      <w:pPr>
        <w:pStyle w:val="TH"/>
      </w:pPr>
      <w:r w:rsidRPr="004D0DAA">
        <w:t>Table 9.1.12.e: RLC unacknowledged mode fill bits (EGPRS2-A uplink)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000" w:firstRow="0" w:lastRow="0" w:firstColumn="0" w:lastColumn="0" w:noHBand="0" w:noVBand="0"/>
      </w:tblPr>
      <w:tblGrid>
        <w:gridCol w:w="1975"/>
        <w:gridCol w:w="1408"/>
      </w:tblGrid>
      <w:tr w:rsidR="00711444" w:rsidRPr="004D0DAA" w14:paraId="00AC94C5" w14:textId="77777777" w:rsidTr="00AA2A4C">
        <w:tblPrEx>
          <w:tblCellMar>
            <w:top w:w="0" w:type="dxa"/>
            <w:bottom w:w="0" w:type="dxa"/>
          </w:tblCellMar>
        </w:tblPrEx>
        <w:trPr>
          <w:jc w:val="center"/>
        </w:trPr>
        <w:tc>
          <w:tcPr>
            <w:tcW w:w="1975" w:type="dxa"/>
            <w:tcBorders>
              <w:bottom w:val="nil"/>
            </w:tcBorders>
          </w:tcPr>
          <w:p w14:paraId="728BABC9" w14:textId="77777777" w:rsidR="00711444" w:rsidRPr="004D0DAA" w:rsidRDefault="00711444" w:rsidP="00AA2A4C">
            <w:pPr>
              <w:pStyle w:val="TAH"/>
              <w:rPr>
                <w:lang w:eastAsia="en-US"/>
              </w:rPr>
            </w:pPr>
            <w:r w:rsidRPr="004D0DAA">
              <w:rPr>
                <w:lang w:eastAsia="en-US"/>
              </w:rPr>
              <w:t>Channel Coding Scheme</w:t>
            </w:r>
          </w:p>
        </w:tc>
        <w:tc>
          <w:tcPr>
            <w:tcW w:w="1408" w:type="dxa"/>
            <w:tcBorders>
              <w:bottom w:val="nil"/>
            </w:tcBorders>
          </w:tcPr>
          <w:p w14:paraId="734A33A7" w14:textId="77777777" w:rsidR="00711444" w:rsidRPr="004D0DAA" w:rsidRDefault="00711444" w:rsidP="00AA2A4C">
            <w:pPr>
              <w:pStyle w:val="TAH"/>
              <w:rPr>
                <w:lang w:eastAsia="en-US"/>
              </w:rPr>
            </w:pPr>
            <w:r w:rsidRPr="004D0DAA">
              <w:rPr>
                <w:lang w:eastAsia="en-US"/>
              </w:rPr>
              <w:t>Number of fill bits</w:t>
            </w:r>
          </w:p>
        </w:tc>
      </w:tr>
      <w:tr w:rsidR="00711444" w:rsidRPr="004D0DAA" w14:paraId="28E2810B" w14:textId="77777777" w:rsidTr="00AA2A4C">
        <w:tblPrEx>
          <w:tblCellMar>
            <w:top w:w="0" w:type="dxa"/>
            <w:left w:w="56" w:type="dxa"/>
            <w:bottom w:w="0" w:type="dxa"/>
            <w:right w:w="56" w:type="dxa"/>
          </w:tblCellMar>
        </w:tblPrEx>
        <w:trPr>
          <w:jc w:val="center"/>
        </w:trPr>
        <w:tc>
          <w:tcPr>
            <w:tcW w:w="1975" w:type="dxa"/>
          </w:tcPr>
          <w:p w14:paraId="77D3E9DC" w14:textId="77777777" w:rsidR="00711444" w:rsidRPr="004D0DAA" w:rsidRDefault="00711444" w:rsidP="00AA2A4C">
            <w:pPr>
              <w:pStyle w:val="TAC"/>
              <w:rPr>
                <w:lang w:eastAsia="en-US"/>
              </w:rPr>
            </w:pPr>
            <w:r w:rsidRPr="004D0DAA">
              <w:rPr>
                <w:lang w:eastAsia="en-US"/>
              </w:rPr>
              <w:t>MCS-3 with padding</w:t>
            </w:r>
          </w:p>
        </w:tc>
        <w:tc>
          <w:tcPr>
            <w:tcW w:w="1408" w:type="dxa"/>
          </w:tcPr>
          <w:p w14:paraId="17BF81C8" w14:textId="77777777" w:rsidR="00711444" w:rsidRPr="004D0DAA" w:rsidRDefault="00711444" w:rsidP="00AA2A4C">
            <w:pPr>
              <w:pStyle w:val="TAC"/>
              <w:rPr>
                <w:lang w:eastAsia="en-US"/>
              </w:rPr>
            </w:pPr>
            <w:r w:rsidRPr="004D0DAA">
              <w:rPr>
                <w:lang w:eastAsia="en-US"/>
              </w:rPr>
              <w:t>216</w:t>
            </w:r>
          </w:p>
        </w:tc>
      </w:tr>
      <w:tr w:rsidR="00711444" w:rsidRPr="004D0DAA" w14:paraId="5890A35D" w14:textId="77777777" w:rsidTr="00AA2A4C">
        <w:tblPrEx>
          <w:tblCellMar>
            <w:top w:w="0" w:type="dxa"/>
            <w:left w:w="56" w:type="dxa"/>
            <w:bottom w:w="0" w:type="dxa"/>
            <w:right w:w="56" w:type="dxa"/>
          </w:tblCellMar>
        </w:tblPrEx>
        <w:trPr>
          <w:jc w:val="center"/>
        </w:trPr>
        <w:tc>
          <w:tcPr>
            <w:tcW w:w="1975" w:type="dxa"/>
          </w:tcPr>
          <w:p w14:paraId="147D3CFE" w14:textId="77777777" w:rsidR="00711444" w:rsidRPr="004D0DAA" w:rsidRDefault="00711444" w:rsidP="00AA2A4C">
            <w:pPr>
              <w:pStyle w:val="TAC"/>
              <w:rPr>
                <w:lang w:eastAsia="en-US"/>
              </w:rPr>
            </w:pPr>
            <w:r w:rsidRPr="004D0DAA">
              <w:rPr>
                <w:lang w:eastAsia="en-US"/>
              </w:rPr>
              <w:t>MCS-6 with padding</w:t>
            </w:r>
          </w:p>
        </w:tc>
        <w:tc>
          <w:tcPr>
            <w:tcW w:w="1408" w:type="dxa"/>
          </w:tcPr>
          <w:p w14:paraId="2399A661" w14:textId="77777777" w:rsidR="00711444" w:rsidRPr="004D0DAA" w:rsidRDefault="00711444" w:rsidP="00AA2A4C">
            <w:pPr>
              <w:pStyle w:val="TAC"/>
              <w:rPr>
                <w:lang w:eastAsia="en-US"/>
              </w:rPr>
            </w:pPr>
            <w:r w:rsidRPr="004D0DAA">
              <w:rPr>
                <w:lang w:eastAsia="en-US"/>
              </w:rPr>
              <w:t>512</w:t>
            </w:r>
          </w:p>
        </w:tc>
      </w:tr>
      <w:tr w:rsidR="00711444" w:rsidRPr="004D0DAA" w14:paraId="2346FBE3" w14:textId="77777777" w:rsidTr="00AA2A4C">
        <w:tblPrEx>
          <w:tblCellMar>
            <w:top w:w="0" w:type="dxa"/>
            <w:left w:w="56" w:type="dxa"/>
            <w:bottom w:w="0" w:type="dxa"/>
            <w:right w:w="56" w:type="dxa"/>
          </w:tblCellMar>
        </w:tblPrEx>
        <w:trPr>
          <w:jc w:val="center"/>
        </w:trPr>
        <w:tc>
          <w:tcPr>
            <w:tcW w:w="1975" w:type="dxa"/>
          </w:tcPr>
          <w:p w14:paraId="3FD8159B" w14:textId="77777777" w:rsidR="00711444" w:rsidRPr="004D0DAA" w:rsidRDefault="00711444" w:rsidP="00AA2A4C">
            <w:pPr>
              <w:pStyle w:val="TAC"/>
              <w:rPr>
                <w:lang w:eastAsia="en-US"/>
              </w:rPr>
            </w:pPr>
            <w:r w:rsidRPr="004D0DAA">
              <w:rPr>
                <w:lang w:eastAsia="en-US"/>
              </w:rPr>
              <w:t>UAS-7</w:t>
            </w:r>
          </w:p>
        </w:tc>
        <w:tc>
          <w:tcPr>
            <w:tcW w:w="1408" w:type="dxa"/>
          </w:tcPr>
          <w:p w14:paraId="5FC1A795" w14:textId="77777777" w:rsidR="00711444" w:rsidRPr="004D0DAA" w:rsidRDefault="00711444" w:rsidP="00AA2A4C">
            <w:pPr>
              <w:pStyle w:val="TAC"/>
              <w:rPr>
                <w:lang w:eastAsia="en-US"/>
              </w:rPr>
            </w:pPr>
            <w:r w:rsidRPr="004D0DAA">
              <w:rPr>
                <w:lang w:eastAsia="en-US"/>
              </w:rPr>
              <w:t>448</w:t>
            </w:r>
          </w:p>
        </w:tc>
      </w:tr>
      <w:tr w:rsidR="00711444" w:rsidRPr="004D0DAA" w14:paraId="55633702" w14:textId="77777777" w:rsidTr="00AA2A4C">
        <w:tblPrEx>
          <w:tblCellMar>
            <w:top w:w="0" w:type="dxa"/>
            <w:left w:w="56" w:type="dxa"/>
            <w:bottom w:w="0" w:type="dxa"/>
            <w:right w:w="56" w:type="dxa"/>
          </w:tblCellMar>
        </w:tblPrEx>
        <w:trPr>
          <w:jc w:val="center"/>
        </w:trPr>
        <w:tc>
          <w:tcPr>
            <w:tcW w:w="1975" w:type="dxa"/>
          </w:tcPr>
          <w:p w14:paraId="7539F77F" w14:textId="77777777" w:rsidR="00711444" w:rsidRPr="004D0DAA" w:rsidRDefault="00711444" w:rsidP="00AA2A4C">
            <w:pPr>
              <w:pStyle w:val="TAC"/>
              <w:rPr>
                <w:lang w:eastAsia="en-US"/>
              </w:rPr>
            </w:pPr>
            <w:r w:rsidRPr="004D0DAA">
              <w:rPr>
                <w:lang w:eastAsia="en-US"/>
              </w:rPr>
              <w:t>UAS-8</w:t>
            </w:r>
          </w:p>
        </w:tc>
        <w:tc>
          <w:tcPr>
            <w:tcW w:w="1408" w:type="dxa"/>
          </w:tcPr>
          <w:p w14:paraId="4BD8C0A4" w14:textId="77777777" w:rsidR="00711444" w:rsidRPr="004D0DAA" w:rsidRDefault="00711444" w:rsidP="00AA2A4C">
            <w:pPr>
              <w:pStyle w:val="TAC"/>
              <w:rPr>
                <w:lang w:eastAsia="en-US"/>
              </w:rPr>
            </w:pPr>
            <w:r w:rsidRPr="004D0DAA">
              <w:rPr>
                <w:lang w:eastAsia="en-US"/>
              </w:rPr>
              <w:t>512</w:t>
            </w:r>
          </w:p>
        </w:tc>
      </w:tr>
      <w:tr w:rsidR="00711444" w:rsidRPr="004D0DAA" w14:paraId="15F1D0A6" w14:textId="77777777" w:rsidTr="00AA2A4C">
        <w:tblPrEx>
          <w:tblCellMar>
            <w:top w:w="0" w:type="dxa"/>
            <w:left w:w="56" w:type="dxa"/>
            <w:bottom w:w="0" w:type="dxa"/>
            <w:right w:w="56" w:type="dxa"/>
          </w:tblCellMar>
        </w:tblPrEx>
        <w:trPr>
          <w:jc w:val="center"/>
        </w:trPr>
        <w:tc>
          <w:tcPr>
            <w:tcW w:w="1975" w:type="dxa"/>
          </w:tcPr>
          <w:p w14:paraId="5A4222FD" w14:textId="77777777" w:rsidR="00711444" w:rsidRPr="004D0DAA" w:rsidRDefault="00711444" w:rsidP="00AA2A4C">
            <w:pPr>
              <w:pStyle w:val="TAC"/>
              <w:rPr>
                <w:lang w:eastAsia="en-US"/>
              </w:rPr>
            </w:pPr>
            <w:r w:rsidRPr="004D0DAA">
              <w:rPr>
                <w:lang w:eastAsia="en-US"/>
              </w:rPr>
              <w:t>UAS-9</w:t>
            </w:r>
          </w:p>
        </w:tc>
        <w:tc>
          <w:tcPr>
            <w:tcW w:w="1408" w:type="dxa"/>
          </w:tcPr>
          <w:p w14:paraId="364526E4" w14:textId="77777777" w:rsidR="00711444" w:rsidRPr="004D0DAA" w:rsidRDefault="00711444" w:rsidP="00AA2A4C">
            <w:pPr>
              <w:pStyle w:val="TAC"/>
              <w:rPr>
                <w:lang w:eastAsia="en-US"/>
              </w:rPr>
            </w:pPr>
            <w:r w:rsidRPr="004D0DAA">
              <w:rPr>
                <w:lang w:eastAsia="en-US"/>
              </w:rPr>
              <w:t>592</w:t>
            </w:r>
          </w:p>
        </w:tc>
      </w:tr>
      <w:tr w:rsidR="00711444" w:rsidRPr="004D0DAA" w14:paraId="7E607B9D" w14:textId="77777777" w:rsidTr="00AA2A4C">
        <w:tblPrEx>
          <w:tblCellMar>
            <w:top w:w="0" w:type="dxa"/>
            <w:left w:w="56" w:type="dxa"/>
            <w:bottom w:w="0" w:type="dxa"/>
            <w:right w:w="56" w:type="dxa"/>
          </w:tblCellMar>
        </w:tblPrEx>
        <w:trPr>
          <w:jc w:val="center"/>
        </w:trPr>
        <w:tc>
          <w:tcPr>
            <w:tcW w:w="1975" w:type="dxa"/>
          </w:tcPr>
          <w:p w14:paraId="78DE1F48" w14:textId="77777777" w:rsidR="00711444" w:rsidRPr="004D0DAA" w:rsidRDefault="00711444" w:rsidP="00AA2A4C">
            <w:pPr>
              <w:pStyle w:val="TAC"/>
              <w:rPr>
                <w:lang w:eastAsia="en-US"/>
              </w:rPr>
            </w:pPr>
            <w:r w:rsidRPr="004D0DAA">
              <w:rPr>
                <w:lang w:eastAsia="en-US"/>
              </w:rPr>
              <w:t>UAS-10</w:t>
            </w:r>
          </w:p>
        </w:tc>
        <w:tc>
          <w:tcPr>
            <w:tcW w:w="1408" w:type="dxa"/>
          </w:tcPr>
          <w:p w14:paraId="7C630916" w14:textId="77777777" w:rsidR="00711444" w:rsidRPr="004D0DAA" w:rsidRDefault="00711444" w:rsidP="00AA2A4C">
            <w:pPr>
              <w:pStyle w:val="TAC"/>
              <w:rPr>
                <w:lang w:eastAsia="en-US"/>
              </w:rPr>
            </w:pPr>
            <w:r w:rsidRPr="004D0DAA">
              <w:rPr>
                <w:lang w:eastAsia="en-US"/>
              </w:rPr>
              <w:t>448</w:t>
            </w:r>
          </w:p>
        </w:tc>
      </w:tr>
      <w:tr w:rsidR="00711444" w:rsidRPr="004D0DAA" w14:paraId="7C2430F0" w14:textId="77777777" w:rsidTr="00AA2A4C">
        <w:tblPrEx>
          <w:tblCellMar>
            <w:top w:w="0" w:type="dxa"/>
            <w:left w:w="56" w:type="dxa"/>
            <w:bottom w:w="0" w:type="dxa"/>
            <w:right w:w="56" w:type="dxa"/>
          </w:tblCellMar>
        </w:tblPrEx>
        <w:trPr>
          <w:jc w:val="center"/>
        </w:trPr>
        <w:tc>
          <w:tcPr>
            <w:tcW w:w="1975" w:type="dxa"/>
          </w:tcPr>
          <w:p w14:paraId="56732228" w14:textId="77777777" w:rsidR="00711444" w:rsidRPr="004D0DAA" w:rsidRDefault="00711444" w:rsidP="00AA2A4C">
            <w:pPr>
              <w:pStyle w:val="TAC"/>
              <w:rPr>
                <w:lang w:eastAsia="en-US"/>
              </w:rPr>
            </w:pPr>
            <w:r w:rsidRPr="004D0DAA">
              <w:rPr>
                <w:lang w:eastAsia="en-US"/>
              </w:rPr>
              <w:t>UAS-11</w:t>
            </w:r>
          </w:p>
        </w:tc>
        <w:tc>
          <w:tcPr>
            <w:tcW w:w="1408" w:type="dxa"/>
          </w:tcPr>
          <w:p w14:paraId="19F23692" w14:textId="77777777" w:rsidR="00711444" w:rsidRPr="004D0DAA" w:rsidRDefault="00711444" w:rsidP="00AA2A4C">
            <w:pPr>
              <w:pStyle w:val="TAC"/>
              <w:rPr>
                <w:lang w:eastAsia="en-US"/>
              </w:rPr>
            </w:pPr>
            <w:r w:rsidRPr="004D0DAA">
              <w:rPr>
                <w:lang w:eastAsia="en-US"/>
              </w:rPr>
              <w:t>512</w:t>
            </w:r>
          </w:p>
        </w:tc>
      </w:tr>
    </w:tbl>
    <w:p w14:paraId="13766658" w14:textId="77777777" w:rsidR="00711444" w:rsidRPr="004D0DAA" w:rsidRDefault="00711444" w:rsidP="00711444">
      <w:pPr>
        <w:rPr>
          <w:b/>
        </w:rPr>
      </w:pPr>
    </w:p>
    <w:p w14:paraId="4040FAE3" w14:textId="77777777" w:rsidR="00711444" w:rsidRPr="004D0DAA" w:rsidRDefault="00711444" w:rsidP="00711444">
      <w:pPr>
        <w:pStyle w:val="NO"/>
      </w:pPr>
      <w:r w:rsidRPr="004D0DAA">
        <w:t>NOTE:</w:t>
      </w:r>
      <w:r w:rsidRPr="004D0DAA">
        <w:tab/>
        <w:t>MCS-1, MCS-2, MCS-3 (with or without padding), MCS-4, MCS-5 and MCS-6 (with or without padding) are also used for EGPRS2-A uplink (see sub-clause 5.2.1). For these modulation and coding schemes, fill bits are defined in Table 9.1.12.b unless specified otherwise.</w:t>
      </w:r>
    </w:p>
    <w:p w14:paraId="17E5A3CB" w14:textId="77777777" w:rsidR="00711444" w:rsidRPr="004D0DAA" w:rsidRDefault="00711444" w:rsidP="00711444">
      <w:pPr>
        <w:pStyle w:val="TH"/>
      </w:pPr>
      <w:r w:rsidRPr="004D0DAA">
        <w:lastRenderedPageBreak/>
        <w:t>Table 9.1.12.f: RLC unacknowledged mode fill bits (EGPRS2-B uplink)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9" w:type="dxa"/>
          <w:right w:w="29" w:type="dxa"/>
        </w:tblCellMar>
        <w:tblLook w:val="0000" w:firstRow="0" w:lastRow="0" w:firstColumn="0" w:lastColumn="0" w:noHBand="0" w:noVBand="0"/>
      </w:tblPr>
      <w:tblGrid>
        <w:gridCol w:w="1951"/>
        <w:gridCol w:w="1666"/>
      </w:tblGrid>
      <w:tr w:rsidR="00711444" w:rsidRPr="004D0DAA" w14:paraId="10E84B44" w14:textId="77777777" w:rsidTr="00AA2A4C">
        <w:tblPrEx>
          <w:tblCellMar>
            <w:top w:w="0" w:type="dxa"/>
            <w:bottom w:w="0" w:type="dxa"/>
          </w:tblCellMar>
        </w:tblPrEx>
        <w:trPr>
          <w:jc w:val="center"/>
        </w:trPr>
        <w:tc>
          <w:tcPr>
            <w:tcW w:w="1951" w:type="dxa"/>
            <w:tcBorders>
              <w:bottom w:val="nil"/>
            </w:tcBorders>
          </w:tcPr>
          <w:p w14:paraId="5FC9679B" w14:textId="77777777" w:rsidR="00711444" w:rsidRPr="004D0DAA" w:rsidRDefault="00711444" w:rsidP="00AA2A4C">
            <w:pPr>
              <w:pStyle w:val="TAH"/>
              <w:rPr>
                <w:lang w:eastAsia="en-US"/>
              </w:rPr>
            </w:pPr>
            <w:r w:rsidRPr="004D0DAA">
              <w:rPr>
                <w:lang w:eastAsia="en-US"/>
              </w:rPr>
              <w:t>Channel Coding Scheme</w:t>
            </w:r>
          </w:p>
        </w:tc>
        <w:tc>
          <w:tcPr>
            <w:tcW w:w="1666" w:type="dxa"/>
            <w:tcBorders>
              <w:bottom w:val="nil"/>
            </w:tcBorders>
          </w:tcPr>
          <w:p w14:paraId="4C987C60" w14:textId="77777777" w:rsidR="00711444" w:rsidRPr="004D0DAA" w:rsidRDefault="00711444" w:rsidP="00AA2A4C">
            <w:pPr>
              <w:pStyle w:val="TAH"/>
              <w:rPr>
                <w:lang w:eastAsia="en-US"/>
              </w:rPr>
            </w:pPr>
            <w:r w:rsidRPr="004D0DAA">
              <w:rPr>
                <w:lang w:eastAsia="en-US"/>
              </w:rPr>
              <w:t>Number of fill bits</w:t>
            </w:r>
          </w:p>
        </w:tc>
      </w:tr>
      <w:tr w:rsidR="00711444" w:rsidRPr="004D0DAA" w14:paraId="167D4612" w14:textId="77777777" w:rsidTr="00AA2A4C">
        <w:tblPrEx>
          <w:tblCellMar>
            <w:top w:w="0" w:type="dxa"/>
            <w:left w:w="56" w:type="dxa"/>
            <w:bottom w:w="0" w:type="dxa"/>
            <w:right w:w="56" w:type="dxa"/>
          </w:tblCellMar>
        </w:tblPrEx>
        <w:trPr>
          <w:jc w:val="center"/>
        </w:trPr>
        <w:tc>
          <w:tcPr>
            <w:tcW w:w="1951" w:type="dxa"/>
          </w:tcPr>
          <w:p w14:paraId="3A9C21C2" w14:textId="77777777" w:rsidR="00711444" w:rsidRPr="004D0DAA" w:rsidRDefault="00711444" w:rsidP="00AA2A4C">
            <w:pPr>
              <w:pStyle w:val="TAC"/>
              <w:rPr>
                <w:lang w:eastAsia="en-US"/>
              </w:rPr>
            </w:pPr>
            <w:r w:rsidRPr="004D0DAA">
              <w:rPr>
                <w:lang w:eastAsia="en-US"/>
              </w:rPr>
              <w:t>UBS-5</w:t>
            </w:r>
          </w:p>
        </w:tc>
        <w:tc>
          <w:tcPr>
            <w:tcW w:w="1666" w:type="dxa"/>
          </w:tcPr>
          <w:p w14:paraId="12C7CFD8" w14:textId="77777777" w:rsidR="00711444" w:rsidRPr="004D0DAA" w:rsidRDefault="00711444" w:rsidP="00AA2A4C">
            <w:pPr>
              <w:pStyle w:val="TAC"/>
              <w:rPr>
                <w:lang w:eastAsia="en-US"/>
              </w:rPr>
            </w:pPr>
            <w:r w:rsidRPr="004D0DAA">
              <w:rPr>
                <w:lang w:eastAsia="en-US"/>
              </w:rPr>
              <w:t>448</w:t>
            </w:r>
          </w:p>
        </w:tc>
      </w:tr>
      <w:tr w:rsidR="00711444" w:rsidRPr="004D0DAA" w14:paraId="016B575F" w14:textId="77777777" w:rsidTr="00AA2A4C">
        <w:tblPrEx>
          <w:tblCellMar>
            <w:top w:w="0" w:type="dxa"/>
            <w:left w:w="56" w:type="dxa"/>
            <w:bottom w:w="0" w:type="dxa"/>
            <w:right w:w="56" w:type="dxa"/>
          </w:tblCellMar>
        </w:tblPrEx>
        <w:trPr>
          <w:jc w:val="center"/>
        </w:trPr>
        <w:tc>
          <w:tcPr>
            <w:tcW w:w="1951" w:type="dxa"/>
          </w:tcPr>
          <w:p w14:paraId="5EF5E7A5" w14:textId="77777777" w:rsidR="00711444" w:rsidRPr="004D0DAA" w:rsidRDefault="00711444" w:rsidP="00AA2A4C">
            <w:pPr>
              <w:pStyle w:val="TAC"/>
              <w:rPr>
                <w:lang w:eastAsia="en-US"/>
              </w:rPr>
            </w:pPr>
            <w:r w:rsidRPr="004D0DAA">
              <w:rPr>
                <w:lang w:eastAsia="en-US"/>
              </w:rPr>
              <w:t>UBS-6 with padding</w:t>
            </w:r>
          </w:p>
        </w:tc>
        <w:tc>
          <w:tcPr>
            <w:tcW w:w="1666" w:type="dxa"/>
          </w:tcPr>
          <w:p w14:paraId="1AC48D3F" w14:textId="77777777" w:rsidR="00711444" w:rsidRPr="004D0DAA" w:rsidRDefault="00711444" w:rsidP="00AA2A4C">
            <w:pPr>
              <w:pStyle w:val="TAC"/>
              <w:rPr>
                <w:lang w:eastAsia="en-US"/>
              </w:rPr>
            </w:pPr>
            <w:r w:rsidRPr="004D0DAA">
              <w:rPr>
                <w:lang w:eastAsia="en-US"/>
              </w:rPr>
              <w:t>544</w:t>
            </w:r>
          </w:p>
        </w:tc>
      </w:tr>
      <w:tr w:rsidR="00711444" w:rsidRPr="004D0DAA" w14:paraId="0604B1B3" w14:textId="77777777" w:rsidTr="00AA2A4C">
        <w:tblPrEx>
          <w:tblCellMar>
            <w:top w:w="0" w:type="dxa"/>
            <w:left w:w="56" w:type="dxa"/>
            <w:bottom w:w="0" w:type="dxa"/>
            <w:right w:w="56" w:type="dxa"/>
          </w:tblCellMar>
        </w:tblPrEx>
        <w:trPr>
          <w:jc w:val="center"/>
        </w:trPr>
        <w:tc>
          <w:tcPr>
            <w:tcW w:w="1951" w:type="dxa"/>
          </w:tcPr>
          <w:p w14:paraId="0E0394CE" w14:textId="77777777" w:rsidR="00711444" w:rsidRPr="004D0DAA" w:rsidRDefault="00711444" w:rsidP="00AA2A4C">
            <w:pPr>
              <w:pStyle w:val="TAC"/>
              <w:rPr>
                <w:lang w:eastAsia="en-US"/>
              </w:rPr>
            </w:pPr>
            <w:r w:rsidRPr="004D0DAA">
              <w:rPr>
                <w:lang w:eastAsia="en-US"/>
              </w:rPr>
              <w:t>UBS-6</w:t>
            </w:r>
          </w:p>
        </w:tc>
        <w:tc>
          <w:tcPr>
            <w:tcW w:w="1666" w:type="dxa"/>
          </w:tcPr>
          <w:p w14:paraId="3A706CA4" w14:textId="77777777" w:rsidR="00711444" w:rsidRPr="004D0DAA" w:rsidRDefault="00711444" w:rsidP="00AA2A4C">
            <w:pPr>
              <w:pStyle w:val="TAC"/>
              <w:rPr>
                <w:lang w:eastAsia="en-US"/>
              </w:rPr>
            </w:pPr>
            <w:r w:rsidRPr="004D0DAA">
              <w:rPr>
                <w:lang w:eastAsia="en-US"/>
              </w:rPr>
              <w:t>592</w:t>
            </w:r>
          </w:p>
        </w:tc>
      </w:tr>
      <w:tr w:rsidR="00711444" w:rsidRPr="004D0DAA" w14:paraId="351E8C3A" w14:textId="77777777" w:rsidTr="00AA2A4C">
        <w:tblPrEx>
          <w:tblCellMar>
            <w:top w:w="0" w:type="dxa"/>
            <w:left w:w="56" w:type="dxa"/>
            <w:bottom w:w="0" w:type="dxa"/>
            <w:right w:w="56" w:type="dxa"/>
          </w:tblCellMar>
        </w:tblPrEx>
        <w:trPr>
          <w:jc w:val="center"/>
        </w:trPr>
        <w:tc>
          <w:tcPr>
            <w:tcW w:w="1951" w:type="dxa"/>
          </w:tcPr>
          <w:p w14:paraId="7D21E136" w14:textId="77777777" w:rsidR="00711444" w:rsidRPr="004D0DAA" w:rsidRDefault="00711444" w:rsidP="00AA2A4C">
            <w:pPr>
              <w:pStyle w:val="TAC"/>
              <w:rPr>
                <w:lang w:eastAsia="en-US"/>
              </w:rPr>
            </w:pPr>
            <w:r w:rsidRPr="004D0DAA">
              <w:rPr>
                <w:lang w:eastAsia="en-US"/>
              </w:rPr>
              <w:t>UBS-7</w:t>
            </w:r>
          </w:p>
        </w:tc>
        <w:tc>
          <w:tcPr>
            <w:tcW w:w="1666" w:type="dxa"/>
          </w:tcPr>
          <w:p w14:paraId="17C9D5DF" w14:textId="77777777" w:rsidR="00711444" w:rsidRPr="004D0DAA" w:rsidRDefault="00711444" w:rsidP="00AA2A4C">
            <w:pPr>
              <w:pStyle w:val="TAC"/>
              <w:rPr>
                <w:lang w:eastAsia="en-US"/>
              </w:rPr>
            </w:pPr>
            <w:r w:rsidRPr="004D0DAA">
              <w:rPr>
                <w:lang w:eastAsia="en-US"/>
              </w:rPr>
              <w:t>448</w:t>
            </w:r>
          </w:p>
        </w:tc>
      </w:tr>
      <w:tr w:rsidR="00711444" w:rsidRPr="004D0DAA" w14:paraId="5413A396" w14:textId="77777777" w:rsidTr="00AA2A4C">
        <w:tblPrEx>
          <w:tblCellMar>
            <w:top w:w="0" w:type="dxa"/>
            <w:left w:w="56" w:type="dxa"/>
            <w:bottom w:w="0" w:type="dxa"/>
            <w:right w:w="56" w:type="dxa"/>
          </w:tblCellMar>
        </w:tblPrEx>
        <w:trPr>
          <w:jc w:val="center"/>
        </w:trPr>
        <w:tc>
          <w:tcPr>
            <w:tcW w:w="1951" w:type="dxa"/>
          </w:tcPr>
          <w:p w14:paraId="6FF65A18" w14:textId="77777777" w:rsidR="00711444" w:rsidRPr="004D0DAA" w:rsidRDefault="00711444" w:rsidP="00AA2A4C">
            <w:pPr>
              <w:pStyle w:val="TAC"/>
              <w:rPr>
                <w:lang w:eastAsia="en-US"/>
              </w:rPr>
            </w:pPr>
            <w:r w:rsidRPr="004D0DAA">
              <w:rPr>
                <w:lang w:eastAsia="en-US"/>
              </w:rPr>
              <w:t>UBS-8 with padding</w:t>
            </w:r>
          </w:p>
        </w:tc>
        <w:tc>
          <w:tcPr>
            <w:tcW w:w="1666" w:type="dxa"/>
          </w:tcPr>
          <w:p w14:paraId="58EB406E" w14:textId="77777777" w:rsidR="00711444" w:rsidRPr="004D0DAA" w:rsidRDefault="00711444" w:rsidP="00AA2A4C">
            <w:pPr>
              <w:pStyle w:val="TAC"/>
              <w:rPr>
                <w:lang w:eastAsia="en-US"/>
              </w:rPr>
            </w:pPr>
            <w:r w:rsidRPr="004D0DAA">
              <w:rPr>
                <w:lang w:eastAsia="en-US"/>
              </w:rPr>
              <w:t>544</w:t>
            </w:r>
          </w:p>
        </w:tc>
      </w:tr>
      <w:tr w:rsidR="00711444" w:rsidRPr="004D0DAA" w14:paraId="3A67F5EA" w14:textId="77777777" w:rsidTr="00AA2A4C">
        <w:tblPrEx>
          <w:tblCellMar>
            <w:top w:w="0" w:type="dxa"/>
            <w:left w:w="56" w:type="dxa"/>
            <w:bottom w:w="0" w:type="dxa"/>
            <w:right w:w="56" w:type="dxa"/>
          </w:tblCellMar>
        </w:tblPrEx>
        <w:trPr>
          <w:jc w:val="center"/>
        </w:trPr>
        <w:tc>
          <w:tcPr>
            <w:tcW w:w="1951" w:type="dxa"/>
          </w:tcPr>
          <w:p w14:paraId="1077935A" w14:textId="77777777" w:rsidR="00711444" w:rsidRPr="004D0DAA" w:rsidRDefault="00711444" w:rsidP="00AA2A4C">
            <w:pPr>
              <w:pStyle w:val="TAC"/>
              <w:rPr>
                <w:lang w:eastAsia="en-US"/>
              </w:rPr>
            </w:pPr>
            <w:r w:rsidRPr="004D0DAA">
              <w:rPr>
                <w:lang w:eastAsia="en-US"/>
              </w:rPr>
              <w:t>UBS-8</w:t>
            </w:r>
          </w:p>
        </w:tc>
        <w:tc>
          <w:tcPr>
            <w:tcW w:w="1666" w:type="dxa"/>
          </w:tcPr>
          <w:p w14:paraId="565C9FB6" w14:textId="77777777" w:rsidR="00711444" w:rsidRPr="004D0DAA" w:rsidRDefault="00711444" w:rsidP="00AA2A4C">
            <w:pPr>
              <w:pStyle w:val="TAC"/>
              <w:rPr>
                <w:lang w:eastAsia="en-US"/>
              </w:rPr>
            </w:pPr>
            <w:r w:rsidRPr="004D0DAA">
              <w:rPr>
                <w:lang w:eastAsia="en-US"/>
              </w:rPr>
              <w:t>592</w:t>
            </w:r>
          </w:p>
        </w:tc>
      </w:tr>
      <w:tr w:rsidR="00711444" w:rsidRPr="004D0DAA" w14:paraId="71DE55AF" w14:textId="77777777" w:rsidTr="00AA2A4C">
        <w:tblPrEx>
          <w:tblCellMar>
            <w:top w:w="0" w:type="dxa"/>
            <w:left w:w="56" w:type="dxa"/>
            <w:bottom w:w="0" w:type="dxa"/>
            <w:right w:w="56" w:type="dxa"/>
          </w:tblCellMar>
        </w:tblPrEx>
        <w:trPr>
          <w:jc w:val="center"/>
        </w:trPr>
        <w:tc>
          <w:tcPr>
            <w:tcW w:w="1951" w:type="dxa"/>
          </w:tcPr>
          <w:p w14:paraId="4151E1F5" w14:textId="77777777" w:rsidR="00711444" w:rsidRPr="004D0DAA" w:rsidRDefault="00711444" w:rsidP="00AA2A4C">
            <w:pPr>
              <w:pStyle w:val="TAC"/>
              <w:rPr>
                <w:lang w:eastAsia="en-US"/>
              </w:rPr>
            </w:pPr>
            <w:r w:rsidRPr="004D0DAA">
              <w:rPr>
                <w:lang w:eastAsia="en-US"/>
              </w:rPr>
              <w:t>UBS-9</w:t>
            </w:r>
          </w:p>
        </w:tc>
        <w:tc>
          <w:tcPr>
            <w:tcW w:w="1666" w:type="dxa"/>
          </w:tcPr>
          <w:p w14:paraId="7D564692" w14:textId="77777777" w:rsidR="00711444" w:rsidRPr="004D0DAA" w:rsidRDefault="00711444" w:rsidP="00AA2A4C">
            <w:pPr>
              <w:pStyle w:val="TAC"/>
              <w:rPr>
                <w:lang w:eastAsia="en-US"/>
              </w:rPr>
            </w:pPr>
            <w:r w:rsidRPr="004D0DAA">
              <w:rPr>
                <w:lang w:eastAsia="en-US"/>
              </w:rPr>
              <w:t>448</w:t>
            </w:r>
          </w:p>
        </w:tc>
      </w:tr>
      <w:tr w:rsidR="00711444" w:rsidRPr="004D0DAA" w14:paraId="7F737315" w14:textId="77777777" w:rsidTr="00AA2A4C">
        <w:tblPrEx>
          <w:tblCellMar>
            <w:top w:w="0" w:type="dxa"/>
            <w:left w:w="56" w:type="dxa"/>
            <w:bottom w:w="0" w:type="dxa"/>
            <w:right w:w="56" w:type="dxa"/>
          </w:tblCellMar>
        </w:tblPrEx>
        <w:trPr>
          <w:jc w:val="center"/>
        </w:trPr>
        <w:tc>
          <w:tcPr>
            <w:tcW w:w="1951" w:type="dxa"/>
          </w:tcPr>
          <w:p w14:paraId="798A0425" w14:textId="77777777" w:rsidR="00711444" w:rsidRPr="004D0DAA" w:rsidRDefault="00711444" w:rsidP="00AA2A4C">
            <w:pPr>
              <w:pStyle w:val="TAC"/>
              <w:rPr>
                <w:lang w:eastAsia="en-US"/>
              </w:rPr>
            </w:pPr>
            <w:r w:rsidRPr="004D0DAA">
              <w:rPr>
                <w:lang w:eastAsia="en-US"/>
              </w:rPr>
              <w:t>UBS-10 with padding</w:t>
            </w:r>
          </w:p>
        </w:tc>
        <w:tc>
          <w:tcPr>
            <w:tcW w:w="1666" w:type="dxa"/>
          </w:tcPr>
          <w:p w14:paraId="3ECDFD19" w14:textId="77777777" w:rsidR="00711444" w:rsidRPr="004D0DAA" w:rsidRDefault="00711444" w:rsidP="00AA2A4C">
            <w:pPr>
              <w:pStyle w:val="TAC"/>
              <w:rPr>
                <w:lang w:eastAsia="en-US"/>
              </w:rPr>
            </w:pPr>
            <w:r w:rsidRPr="004D0DAA">
              <w:rPr>
                <w:lang w:eastAsia="en-US"/>
              </w:rPr>
              <w:t>544</w:t>
            </w:r>
          </w:p>
        </w:tc>
      </w:tr>
      <w:tr w:rsidR="00711444" w:rsidRPr="004D0DAA" w14:paraId="296D1D10" w14:textId="77777777" w:rsidTr="00AA2A4C">
        <w:tblPrEx>
          <w:tblCellMar>
            <w:top w:w="0" w:type="dxa"/>
            <w:left w:w="56" w:type="dxa"/>
            <w:bottom w:w="0" w:type="dxa"/>
            <w:right w:w="56" w:type="dxa"/>
          </w:tblCellMar>
        </w:tblPrEx>
        <w:trPr>
          <w:jc w:val="center"/>
        </w:trPr>
        <w:tc>
          <w:tcPr>
            <w:tcW w:w="1951" w:type="dxa"/>
          </w:tcPr>
          <w:p w14:paraId="0B12E604" w14:textId="77777777" w:rsidR="00711444" w:rsidRPr="004D0DAA" w:rsidRDefault="00711444" w:rsidP="00AA2A4C">
            <w:pPr>
              <w:pStyle w:val="TAC"/>
              <w:rPr>
                <w:lang w:eastAsia="en-US"/>
              </w:rPr>
            </w:pPr>
            <w:r w:rsidRPr="004D0DAA">
              <w:rPr>
                <w:lang w:eastAsia="en-US"/>
              </w:rPr>
              <w:t>UBS-10</w:t>
            </w:r>
          </w:p>
        </w:tc>
        <w:tc>
          <w:tcPr>
            <w:tcW w:w="1666" w:type="dxa"/>
          </w:tcPr>
          <w:p w14:paraId="6F0EE4D1" w14:textId="77777777" w:rsidR="00711444" w:rsidRPr="004D0DAA" w:rsidRDefault="00711444" w:rsidP="00AA2A4C">
            <w:pPr>
              <w:pStyle w:val="TAC"/>
              <w:rPr>
                <w:lang w:eastAsia="en-US"/>
              </w:rPr>
            </w:pPr>
            <w:r w:rsidRPr="004D0DAA">
              <w:rPr>
                <w:lang w:eastAsia="en-US"/>
              </w:rPr>
              <w:t>592</w:t>
            </w:r>
          </w:p>
        </w:tc>
      </w:tr>
      <w:tr w:rsidR="00711444" w:rsidRPr="004D0DAA" w14:paraId="31C6AD7E" w14:textId="77777777" w:rsidTr="00AA2A4C">
        <w:tblPrEx>
          <w:tblCellMar>
            <w:top w:w="0" w:type="dxa"/>
            <w:left w:w="56" w:type="dxa"/>
            <w:bottom w:w="0" w:type="dxa"/>
            <w:right w:w="56" w:type="dxa"/>
          </w:tblCellMar>
        </w:tblPrEx>
        <w:trPr>
          <w:jc w:val="center"/>
        </w:trPr>
        <w:tc>
          <w:tcPr>
            <w:tcW w:w="1951" w:type="dxa"/>
          </w:tcPr>
          <w:p w14:paraId="5A00C175" w14:textId="77777777" w:rsidR="00711444" w:rsidRPr="004D0DAA" w:rsidRDefault="00711444" w:rsidP="00AA2A4C">
            <w:pPr>
              <w:pStyle w:val="TAC"/>
              <w:rPr>
                <w:lang w:eastAsia="en-US"/>
              </w:rPr>
            </w:pPr>
            <w:r w:rsidRPr="004D0DAA">
              <w:rPr>
                <w:lang w:eastAsia="en-US"/>
              </w:rPr>
              <w:t>UBS-11</w:t>
            </w:r>
          </w:p>
        </w:tc>
        <w:tc>
          <w:tcPr>
            <w:tcW w:w="1666" w:type="dxa"/>
          </w:tcPr>
          <w:p w14:paraId="6A0A8CC1" w14:textId="77777777" w:rsidR="00711444" w:rsidRPr="004D0DAA" w:rsidRDefault="00711444" w:rsidP="00AA2A4C">
            <w:pPr>
              <w:pStyle w:val="TAC"/>
              <w:rPr>
                <w:lang w:eastAsia="en-US"/>
              </w:rPr>
            </w:pPr>
            <w:r w:rsidRPr="004D0DAA">
              <w:rPr>
                <w:lang w:eastAsia="en-US"/>
              </w:rPr>
              <w:t>544</w:t>
            </w:r>
          </w:p>
        </w:tc>
      </w:tr>
      <w:tr w:rsidR="00711444" w:rsidRPr="004D0DAA" w14:paraId="65994497" w14:textId="77777777" w:rsidTr="00AA2A4C">
        <w:tblPrEx>
          <w:tblCellMar>
            <w:top w:w="0" w:type="dxa"/>
            <w:left w:w="56" w:type="dxa"/>
            <w:bottom w:w="0" w:type="dxa"/>
            <w:right w:w="56" w:type="dxa"/>
          </w:tblCellMar>
        </w:tblPrEx>
        <w:trPr>
          <w:jc w:val="center"/>
        </w:trPr>
        <w:tc>
          <w:tcPr>
            <w:tcW w:w="1951" w:type="dxa"/>
          </w:tcPr>
          <w:p w14:paraId="2DFA8B66" w14:textId="77777777" w:rsidR="00711444" w:rsidRPr="004D0DAA" w:rsidRDefault="00711444" w:rsidP="00AA2A4C">
            <w:pPr>
              <w:pStyle w:val="TAC"/>
              <w:rPr>
                <w:lang w:eastAsia="en-US"/>
              </w:rPr>
            </w:pPr>
            <w:r w:rsidRPr="004D0DAA">
              <w:rPr>
                <w:lang w:eastAsia="en-US"/>
              </w:rPr>
              <w:t>UBS-12</w:t>
            </w:r>
          </w:p>
        </w:tc>
        <w:tc>
          <w:tcPr>
            <w:tcW w:w="1666" w:type="dxa"/>
          </w:tcPr>
          <w:p w14:paraId="7FC28C9C" w14:textId="77777777" w:rsidR="00711444" w:rsidRPr="004D0DAA" w:rsidRDefault="00711444" w:rsidP="00AA2A4C">
            <w:pPr>
              <w:pStyle w:val="TAC"/>
              <w:rPr>
                <w:lang w:eastAsia="en-US"/>
              </w:rPr>
            </w:pPr>
            <w:r w:rsidRPr="004D0DAA">
              <w:rPr>
                <w:lang w:eastAsia="en-US"/>
              </w:rPr>
              <w:t>592</w:t>
            </w:r>
          </w:p>
        </w:tc>
      </w:tr>
    </w:tbl>
    <w:p w14:paraId="43E941E0" w14:textId="77777777" w:rsidR="00711444" w:rsidRPr="004D0DAA" w:rsidRDefault="00711444" w:rsidP="00711444"/>
    <w:p w14:paraId="6691133A" w14:textId="77777777" w:rsidR="00711444" w:rsidRPr="004D0DAA" w:rsidRDefault="00711444" w:rsidP="00711444">
      <w:pPr>
        <w:pStyle w:val="NO"/>
      </w:pPr>
      <w:r w:rsidRPr="004D0DAA">
        <w:t>NOTE:</w:t>
      </w:r>
      <w:r w:rsidRPr="004D0DAA">
        <w:tab/>
        <w:t>MCS-1 to MCS-4 are also used for EGPRS2-B uplink (see sub-clause 5.2.1). For these modulation and coding schemes, fill bits are defined in Table 9.1.12.b unless specified otherwise.</w:t>
      </w:r>
    </w:p>
    <w:p w14:paraId="669B84A4" w14:textId="77777777" w:rsidR="00711444" w:rsidRPr="004D0DAA" w:rsidRDefault="00711444" w:rsidP="00711444">
      <w:pPr>
        <w:pStyle w:val="Heading3"/>
      </w:pPr>
      <w:bookmarkStart w:id="436" w:name="_Toc516669619"/>
      <w:r w:rsidRPr="004D0DAA">
        <w:t>9.1.12a</w:t>
      </w:r>
      <w:r w:rsidRPr="004D0DAA">
        <w:tab/>
        <w:t>Segmentation of RLC/MAC control messages into RLC/MAC control blocks</w:t>
      </w:r>
      <w:bookmarkEnd w:id="436"/>
    </w:p>
    <w:p w14:paraId="773C68FB" w14:textId="77777777" w:rsidR="00711444" w:rsidRPr="004D0DAA" w:rsidRDefault="00711444" w:rsidP="00711444">
      <w:r w:rsidRPr="004D0DAA">
        <w:t>The network may segment RLC/MAC control messages into one, two or up to nine RLC/MAC control blocks depending on the length of the RLC/MAC control message. Segmentation of an RLC/MAC control message into more than two RLC/MAC control blocks is referred to as extended RLC/MAC control message segmentation. Extended RLC/MAC control message segmentation shall not be used for an RLC/MAC control message that can be sent using one or two RLC/MAC control blocks. Unless explicitly stated otherwise, extended RLC/MAC control message segmentation shall not be used. If the contents of a control message do not fit an integer number of control blocks, filler octets shall be used to fill the remainder of the RLC/MAC control block. Only the last RLC/MAC control block containing elements of the control message shall contain filler octets. The Final Segment (FS) bit of the RLC/MAC control block header shall be set according to whether the RLC/MAC control block contains the final segment of an RLC/MAC control message, except in case of extended RLC/MAC control message segmentation in which case the FS bit shall always be set to ‘0’. In case of extended RLC/MAC control message segmentation, the Final Segment extension (FSe) bit of the RLC/MAC control block header (included in the second RLC/MAC control block onwards) shall be set according to whether the RLC/MAC control block contains the final segment of an RLC/MAC control message (see sub-clauses 10.4.9e and 10.4.12b).</w:t>
      </w:r>
    </w:p>
    <w:p w14:paraId="63946A7B" w14:textId="77777777" w:rsidR="00711444" w:rsidRPr="004D0DAA" w:rsidRDefault="00711444" w:rsidP="00711444">
      <w:r w:rsidRPr="004D0DAA">
        <w:t>The mobile station shall not segment RLC/MAC control messages.</w:t>
      </w:r>
    </w:p>
    <w:p w14:paraId="4FC5CFEB" w14:textId="77777777" w:rsidR="00711444" w:rsidRPr="004D0DAA" w:rsidRDefault="00711444" w:rsidP="00711444">
      <w:pPr>
        <w:pStyle w:val="NO"/>
      </w:pPr>
      <w:r w:rsidRPr="004D0DAA">
        <w:t>NOTE:</w:t>
      </w:r>
      <w:r w:rsidRPr="004D0DAA">
        <w:tab/>
        <w:t>In order to provide the mobile station a Power Reduction value in a RLC/MAC control block, the network may use the segmentation mechanism although the RLC/MAC control block requires only one RLC/MAC control block to be transmitted. In that case the RBSN shall be set to '0' and FS shall be set to '1'.</w:t>
      </w:r>
    </w:p>
    <w:p w14:paraId="72C63F0A" w14:textId="77777777" w:rsidR="00711444" w:rsidRPr="004D0DAA" w:rsidRDefault="00711444" w:rsidP="00711444">
      <w:pPr>
        <w:pStyle w:val="Heading3"/>
      </w:pPr>
      <w:bookmarkStart w:id="437" w:name="_Toc516669620"/>
      <w:r w:rsidRPr="004D0DAA">
        <w:t>9.1.12b</w:t>
      </w:r>
      <w:r w:rsidRPr="004D0DAA">
        <w:tab/>
        <w:t>Re-assembly of RLC/MAC control messages from RLC/MAC control blocks</w:t>
      </w:r>
      <w:bookmarkEnd w:id="437"/>
    </w:p>
    <w:p w14:paraId="3A6D4637" w14:textId="77777777" w:rsidR="00711444" w:rsidRPr="004D0DAA" w:rsidRDefault="00711444" w:rsidP="00711444">
      <w:r w:rsidRPr="004D0DAA">
        <w:t>RLC/MAC control blocks shall be collected at the receiver until all RLC/MAC control blocks comprising an RLC/MAC control message have been received.</w:t>
      </w:r>
    </w:p>
    <w:p w14:paraId="0D2B6EE5" w14:textId="77777777" w:rsidR="00711444" w:rsidRPr="004D0DAA" w:rsidRDefault="00711444" w:rsidP="00711444">
      <w:r w:rsidRPr="004D0DAA">
        <w:t>In packet idle mode, the mobile station shall be capable of receiving eight RLC/MAC control messages in parallel. If the mobile station receives RLC/MAC control blocks containing part of a ninth RLC/MAC control message while it still has RLC/MAC control blocks for eight partially received RLC/MAC control messages, the mobile station shall discard the RLC/MAC control blocks of the oldest partially received message.</w:t>
      </w:r>
    </w:p>
    <w:p w14:paraId="564A0289" w14:textId="77777777" w:rsidR="00711444" w:rsidRPr="004D0DAA" w:rsidRDefault="00711444" w:rsidP="00711444">
      <w:r w:rsidRPr="004D0DAA">
        <w:t>A mobile station that has enabled EC operation only needs to be capable of receiving one RLC/MAC control message at a time when in packet idle mode.</w:t>
      </w:r>
    </w:p>
    <w:p w14:paraId="70501636" w14:textId="77777777" w:rsidR="00711444" w:rsidRPr="004D0DAA" w:rsidRDefault="00711444" w:rsidP="00711444">
      <w:r w:rsidRPr="004D0DAA">
        <w:t xml:space="preserve">In packet transfer mode, the mobile station shall be capable of receiving two RLC/MAC control messages in parallel on the same PDCH. If the mobile station receives RLC/MAC control blocks containing part of a third RLC/MAC control </w:t>
      </w:r>
      <w:r w:rsidRPr="004D0DAA">
        <w:lastRenderedPageBreak/>
        <w:t>message while it still has RLC/MAC control blocks for two partially received RLC/MAC control messages, the mobile station shall discard the RLC/MAC control block of the oldest partially received message.</w:t>
      </w:r>
    </w:p>
    <w:p w14:paraId="4B710AA8" w14:textId="77777777" w:rsidR="00711444" w:rsidRPr="004D0DAA" w:rsidRDefault="00711444" w:rsidP="00711444">
      <w:r w:rsidRPr="004D0DAA">
        <w:t>A mobile station in EC operation only needs to be capable of receiving one RLC/MAC control message at a time when in packet transfer mode, i.e. when it has an EC TBF.</w:t>
      </w:r>
    </w:p>
    <w:p w14:paraId="4AB29E61" w14:textId="77777777" w:rsidR="00711444" w:rsidRPr="004D0DAA" w:rsidRDefault="00711444" w:rsidP="00711444">
      <w:r w:rsidRPr="004D0DAA">
        <w:t>A mobile station, which is not in EC operation, shall start an instance of timer T3200 following the receipt of an RLC/MAC control block whose RTI value does not correspond to the RTI value of a partially received RLC/MAC control message or if the RLC/MAC control blocks were received on different PDCHs. In non-DRX mode the duration of timer T3200 shall be four BS_CV_MAX block periods. In DRX mode the duration of timer T3200 shall be four times the DRX period (see 3GPP TS 43.064).</w:t>
      </w:r>
    </w:p>
    <w:p w14:paraId="4172D6CA" w14:textId="77777777" w:rsidR="00711444" w:rsidRPr="004D0DAA" w:rsidRDefault="00711444" w:rsidP="00711444">
      <w:r w:rsidRPr="004D0DAA">
        <w:t>A mobile station in EC operation shall start timer T3200 following the receipt of an RLC/MAC control block containing a segment of an RLC/MAC control message such that the mobile station still does not have the complete RLC/MAC control message.</w:t>
      </w:r>
    </w:p>
    <w:p w14:paraId="6DA6DE45" w14:textId="77777777" w:rsidR="00711444" w:rsidRPr="004D0DAA" w:rsidRDefault="00711444" w:rsidP="00711444">
      <w:r w:rsidRPr="004D0DAA">
        <w:t>On receipt of an RLC/MAC control block containing a segment of an RLC/MAC control message such that the mobile station still does not have the complete RLC/MAC control message, the mobile station shall restart the corresponding instance of timer T3200.</w:t>
      </w:r>
    </w:p>
    <w:p w14:paraId="35A9E392" w14:textId="77777777" w:rsidR="00711444" w:rsidRPr="004D0DAA" w:rsidRDefault="00711444" w:rsidP="00711444">
      <w:r w:rsidRPr="004D0DAA">
        <w:t>On receipt of an RLC/MAC control block containing a segment of an RLC/MAC control message such that the mobile station now has the complete RLC/MAC control message, the mobile station shall stop the corresponding instance of timer T3200.</w:t>
      </w:r>
    </w:p>
    <w:p w14:paraId="518C1E19" w14:textId="77777777" w:rsidR="00711444" w:rsidRPr="004D0DAA" w:rsidRDefault="00711444" w:rsidP="00711444">
      <w:r w:rsidRPr="004D0DAA">
        <w:t>If the mobile station discards a partially received RLC/MAC control message while the corresponding instance of timer T3200 is running, the mobile station shall stop the corresponding instance of timer T3200.</w:t>
      </w:r>
    </w:p>
    <w:p w14:paraId="076B788E" w14:textId="77777777" w:rsidR="00711444" w:rsidRPr="004D0DAA" w:rsidRDefault="00711444" w:rsidP="00711444">
      <w:r w:rsidRPr="004D0DAA">
        <w:t>On expiry of an instance of timer T3200, the mobile station shall discard and ignore all segments of the corresponding partially received RLC/MAC control message.</w:t>
      </w:r>
    </w:p>
    <w:p w14:paraId="40FCA066" w14:textId="77777777" w:rsidR="00711444" w:rsidRPr="004D0DAA" w:rsidRDefault="00711444" w:rsidP="00711444">
      <w:r w:rsidRPr="004D0DAA">
        <w:t>Upon successful change of PDCH allocation, the mobile station shall discard all partially received RLC/MAC control messages and stop the corresponding instances of timer T3200.</w:t>
      </w:r>
    </w:p>
    <w:p w14:paraId="36A24777" w14:textId="77777777" w:rsidR="00711444" w:rsidRPr="004D0DAA" w:rsidRDefault="00711444" w:rsidP="00711444">
      <w:r w:rsidRPr="004D0DAA">
        <w:t>The mobile station shall discard any control message segment that contains an unknown TFI.</w:t>
      </w:r>
    </w:p>
    <w:p w14:paraId="0A9C74FA" w14:textId="77777777" w:rsidR="00711444" w:rsidRPr="004D0DAA" w:rsidRDefault="00711444" w:rsidP="00711444">
      <w:pPr>
        <w:pStyle w:val="Heading3"/>
      </w:pPr>
      <w:bookmarkStart w:id="438" w:name="_Toc516669621"/>
      <w:r w:rsidRPr="004D0DAA">
        <w:t>9.1.13</w:t>
      </w:r>
      <w:r w:rsidRPr="004D0DAA">
        <w:tab/>
        <w:t>Priority of upper layer PDUs</w:t>
      </w:r>
      <w:bookmarkEnd w:id="438"/>
    </w:p>
    <w:p w14:paraId="2F405F02" w14:textId="77777777" w:rsidR="00711444" w:rsidRPr="004D0DAA" w:rsidRDefault="00711444" w:rsidP="00711444">
      <w:r w:rsidRPr="004D0DAA">
        <w:t>The mobile station shall not transmit upper layer PDUs during a TBF that have a lower Radio Priority than the priority that was used at initial access or the priority sent in the last PACKET RESOURCE REQUEST message, except if the upper layer PDUs at the higher Radio Priority does not completely fill the RLC data block (see sub-clause 8.1.1.1.2). The mobile station may change the Radio Priority of an uplink TBF by sending a PACKET RESOURCE REQUEST message to the network (see sub-clause 8.1.1.1.2).</w:t>
      </w:r>
    </w:p>
    <w:p w14:paraId="53898E71" w14:textId="77777777" w:rsidR="00711444" w:rsidRPr="004D0DAA" w:rsidRDefault="00711444" w:rsidP="00711444">
      <w:pPr>
        <w:pStyle w:val="Heading3"/>
      </w:pPr>
      <w:bookmarkStart w:id="439" w:name="_Toc516669622"/>
      <w:r w:rsidRPr="004D0DAA">
        <w:t>9.1.14</w:t>
      </w:r>
      <w:r w:rsidRPr="004D0DAA">
        <w:tab/>
        <w:t>Fast Ack/Nack Reporting</w:t>
      </w:r>
      <w:bookmarkEnd w:id="439"/>
    </w:p>
    <w:p w14:paraId="5F2A6029" w14:textId="77777777" w:rsidR="00711444" w:rsidRPr="004D0DAA" w:rsidRDefault="00711444" w:rsidP="00711444">
      <w:pPr>
        <w:pStyle w:val="Heading4"/>
      </w:pPr>
      <w:bookmarkStart w:id="440" w:name="_Toc516669623"/>
      <w:r w:rsidRPr="004D0DAA">
        <w:t>9.1.14.1</w:t>
      </w:r>
      <w:r w:rsidRPr="004D0DAA">
        <w:tab/>
        <w:t>General</w:t>
      </w:r>
      <w:bookmarkEnd w:id="440"/>
    </w:p>
    <w:p w14:paraId="77B8004C" w14:textId="77777777" w:rsidR="00711444" w:rsidRPr="004D0DAA" w:rsidRDefault="00711444" w:rsidP="00711444">
      <w:r w:rsidRPr="004D0DAA">
        <w:t>The Fast Ack/Nack reporting procedure (FANR) allows to piggy-back, within EGPRS RLC/MAC blocks for data transfer sent in one direction, the acknowledgement status of data blocks relative to a TBF in the opposite direction. The acknowledgement status is provided with a Piggy-backed Ack/Nack (PAN) field of which the presence within an EGPRS RLC/MAC block for data transfer is indicated with the PANI field within the RLC/MAC header of that block, see sub-clause 10.4.21.</w:t>
      </w:r>
    </w:p>
    <w:p w14:paraId="68F06A07" w14:textId="77777777" w:rsidR="00711444" w:rsidRPr="004D0DAA" w:rsidRDefault="00711444" w:rsidP="00711444">
      <w:r w:rsidRPr="004D0DAA">
        <w:t>The activation of FANR for a given TBF is signalled by the network at TBF establishment/reconfiguration. The mobile station shall proceed as follows:</w:t>
      </w:r>
    </w:p>
    <w:p w14:paraId="6A2089A6" w14:textId="77777777" w:rsidR="00711444" w:rsidRPr="004D0DAA" w:rsidRDefault="00711444" w:rsidP="00711444">
      <w:pPr>
        <w:pStyle w:val="B1"/>
      </w:pPr>
      <w:r w:rsidRPr="004D0DAA">
        <w:t>-</w:t>
      </w:r>
      <w:r w:rsidRPr="004D0DAA">
        <w:tab/>
        <w:t>If a downlink TBF is established</w:t>
      </w:r>
      <w:r w:rsidRPr="004D0DAA">
        <w:rPr>
          <w:rFonts w:hint="eastAsia"/>
          <w:lang w:eastAsia="ko-KR"/>
        </w:rPr>
        <w:t xml:space="preserve"> or reconfigured</w:t>
      </w:r>
      <w:r w:rsidRPr="004D0DAA">
        <w:t xml:space="preserve"> with FANR activated (see sub-clauses 11.2.7, 11.2.7a, 11.2.31, and 11.2.31a), the mobile station shall act upon sub-clauses 9.1.14.2 and 9.1.14.3. The mobile station shall always use the SSN-based encoding defined in subclause 9.1.8 to encode the PAN field.The RLC data blocks pertaining to a downlink TBF for which FANR is activated shall always be encoded using the relevant RLC/MAC header form specified in sub-clause 10.3a.3 (i.e. PANI and CES/P fields present) irrespective of the existence of a concurrent TBF in the uplink direction.</w:t>
      </w:r>
    </w:p>
    <w:p w14:paraId="7D4D8FD9" w14:textId="77777777" w:rsidR="00711444" w:rsidRPr="004D0DAA" w:rsidRDefault="00711444" w:rsidP="00711444">
      <w:pPr>
        <w:pStyle w:val="B1"/>
      </w:pPr>
      <w:r w:rsidRPr="004D0DAA">
        <w:lastRenderedPageBreak/>
        <w:t>-</w:t>
      </w:r>
      <w:r w:rsidRPr="004D0DAA">
        <w:tab/>
        <w:t>If an uplink TBF is established</w:t>
      </w:r>
      <w:r w:rsidRPr="004D0DAA">
        <w:rPr>
          <w:rFonts w:hint="eastAsia"/>
          <w:lang w:eastAsia="ko-KR"/>
        </w:rPr>
        <w:t xml:space="preserve"> or reconfigured</w:t>
      </w:r>
      <w:r w:rsidRPr="004D0DAA">
        <w:rPr>
          <w:lang w:eastAsia="ko-KR"/>
        </w:rPr>
        <w:t xml:space="preserve"> </w:t>
      </w:r>
      <w:r w:rsidRPr="004D0DAA">
        <w:t>with FANR activated (see sub-clauses 11.2.29, 11.2.29a, 11.2.31, and 11.2.31a), the mobile station shall monitor for the presence of a PAN field for this TBF on all downlink PDCHs on which it shall monitor the USF for this TBF. The mobile station shall only attempt to decode a PAN field in a downlink EGPRS RLC/MAC block for data transfer if it is already required to check for a USF within that RLC/MAC block. If the presence of a PAN field is indicated in the header of an EGPRS RLC/MAC block for data transfer received on these PDCHs, the mobile station shall attempt to decode the PAN field also in the blocks addressed to other mobile stations. The network may encode the PAN field according to the SSN-based encoding defined in subclause 9.1.8 or the time-based encoding defined in subclause 9.1.15. The specific encoding selected by the network is notified to the mobile station at TBF establishment/reconfiguration (see sub-clauses 11.2.29, 11.2.29a, 11.2.31, and 11.2.31a) and, if multiple TBFs procedures are supported, it shall be the same for all the uplink TBF of the same mobile station. The decision for transmitting a PAN field by the network is implementation specific.</w:t>
      </w:r>
    </w:p>
    <w:p w14:paraId="23948347" w14:textId="77777777" w:rsidR="00711444" w:rsidRPr="004D0DAA" w:rsidRDefault="00711444" w:rsidP="00711444">
      <w:pPr>
        <w:pStyle w:val="B1"/>
      </w:pPr>
      <w:r w:rsidRPr="004D0DAA">
        <w:t>-</w:t>
      </w:r>
      <w:r w:rsidRPr="004D0DAA">
        <w:tab/>
        <w:t>If the PAN is addressed to a different mobile station than the one to which the data in the RLC/MAC block carrying the PAN is addressed, the same restrictions for the network's selection of the modulation and coding scheme apply as for the USF transmission to this MS, see sub-clause 5.2.4a (except for MCS-4 and MCS-9 which cannot carry a PAN).</w:t>
      </w:r>
    </w:p>
    <w:p w14:paraId="137CEF9F" w14:textId="77777777" w:rsidR="00711444" w:rsidRPr="004D0DAA" w:rsidRDefault="00711444" w:rsidP="00711444">
      <w:pPr>
        <w:pStyle w:val="NO"/>
      </w:pPr>
      <w:r w:rsidRPr="004D0DAA">
        <w:t>NOTE 1:</w:t>
      </w:r>
      <w:r w:rsidRPr="004D0DAA">
        <w:tab/>
        <w:t>FANR is supported only on full-rate PDCH and PDCH-pair.</w:t>
      </w:r>
    </w:p>
    <w:p w14:paraId="3B015C69" w14:textId="77777777" w:rsidR="00711444" w:rsidRPr="004D0DAA" w:rsidRDefault="00711444" w:rsidP="00711444">
      <w:pPr>
        <w:pStyle w:val="NO"/>
      </w:pPr>
      <w:r w:rsidRPr="004D0DAA">
        <w:t xml:space="preserve">NOTE 2: </w:t>
      </w:r>
      <w:r w:rsidRPr="004D0DAA">
        <w:tab/>
        <w:t xml:space="preserve">If the network does not have any EGPRS RLC/MAC blocks for data transfer in downlink direction but a downlink PAN field is available for transmission to a mobile station operating in A/Gb mode, the network may use an LLC UI Dummy command (see 3GPP TS 44.064) to create an EGPRS RLC/MAC data block where the PAN field available for transmission can be sent. </w:t>
      </w:r>
    </w:p>
    <w:p w14:paraId="3E430415" w14:textId="77777777" w:rsidR="00711444" w:rsidRPr="004D0DAA" w:rsidRDefault="00711444" w:rsidP="00711444">
      <w:pPr>
        <w:pStyle w:val="NO"/>
      </w:pPr>
      <w:r w:rsidRPr="004D0DAA">
        <w:t xml:space="preserve">NOTE 3: </w:t>
      </w:r>
      <w:r w:rsidRPr="004D0DAA">
        <w:tab/>
        <w:t>FANR can be activated for a TBF operated in RLC unacknowledged mode.</w:t>
      </w:r>
    </w:p>
    <w:p w14:paraId="2C006E99" w14:textId="77777777" w:rsidR="00711444" w:rsidRPr="004D0DAA" w:rsidRDefault="00711444" w:rsidP="00711444">
      <w:r w:rsidRPr="004D0DAA">
        <w:t>The network shall activate FANR for any assigned TBF which uses an RTTI or MTTI configuration.</w:t>
      </w:r>
    </w:p>
    <w:p w14:paraId="279FBCAC" w14:textId="77777777" w:rsidR="00711444" w:rsidRPr="004D0DAA" w:rsidRDefault="00711444" w:rsidP="00711444">
      <w:pPr>
        <w:pStyle w:val="Heading4"/>
      </w:pPr>
      <w:bookmarkStart w:id="441" w:name="_Toc516669624"/>
      <w:r w:rsidRPr="004D0DAA">
        <w:t>9.1.14.2</w:t>
      </w:r>
      <w:r w:rsidRPr="004D0DAA">
        <w:tab/>
        <w:t>Polled Fast Ack/Nack Reporting</w:t>
      </w:r>
      <w:bookmarkEnd w:id="441"/>
    </w:p>
    <w:p w14:paraId="3615EB33" w14:textId="77777777" w:rsidR="00711444" w:rsidRPr="004D0DAA" w:rsidRDefault="00711444" w:rsidP="00711444">
      <w:r w:rsidRPr="004D0DAA">
        <w:t>Polled FANR may be used together with event-based FANR (see sub-clause 9.1.14.3).</w:t>
      </w:r>
    </w:p>
    <w:p w14:paraId="01ECDFC5" w14:textId="77777777" w:rsidR="00711444" w:rsidRPr="004D0DAA" w:rsidRDefault="00711444" w:rsidP="00711444">
      <w:r w:rsidRPr="004D0DAA">
        <w:t>If the RLC endpoint transmitter is the network and the mobile station has at least one concurrent TBF in the uplink direction, the network may poll the mobile station to trigger the FANR procedure. In this case the mobile station shall answer in a reserved radio block period which is allocated with the polling as described in sub-clause 8.1.2.2.</w:t>
      </w:r>
    </w:p>
    <w:p w14:paraId="77512CAE" w14:textId="77777777" w:rsidR="00711444" w:rsidRPr="004D0DAA" w:rsidRDefault="00711444" w:rsidP="00711444">
      <w:r w:rsidRPr="004D0DAA">
        <w:t>In the case where the network polls for a PAN and the mobile station does not transmit a PAN (e.g. because it does not have any EGPRS RLC/MAC blocks for data transfer in the uplink direction, all the elements of V(B) have the value TENTATIVE_ACK or ACKED, does not have any TBF assigned in the uplink direction</w:t>
      </w:r>
      <w:r w:rsidRPr="004D0DAA">
        <w:rPr>
          <w:rFonts w:cs="Arial"/>
        </w:rPr>
        <w:t xml:space="preserve"> or does not have an uplink TBF that has been assigned a PDCH corresponding to the downlink PDCH where the poll was received or a PDCH-pair corresponding to the downlink PDCH-pair where the poll was received)</w:t>
      </w:r>
      <w:r w:rsidRPr="004D0DAA">
        <w:t>, the mobile station shall transmit an EGPRS PACKET DOWNLINK ACK/NACK, EGPRS PACKET DOWNLINK ACK/NACK TYPE 2, EGPRS PACKET DOWNLINK ACK/NACK TYPE 3 or EGPRS PACKET DOWNLINK ACK/NACK DLMC message containing NPB, see sub-clause 10.4.4b.</w:t>
      </w:r>
    </w:p>
    <w:p w14:paraId="002BFE30" w14:textId="77777777" w:rsidR="00711444" w:rsidRPr="004D0DAA" w:rsidRDefault="00711444" w:rsidP="00711444">
      <w:pPr>
        <w:pStyle w:val="Heading4"/>
        <w:rPr>
          <w:b/>
        </w:rPr>
      </w:pPr>
      <w:bookmarkStart w:id="442" w:name="_Toc516669625"/>
      <w:r w:rsidRPr="004D0DAA">
        <w:t>9.1.14.3</w:t>
      </w:r>
      <w:r w:rsidRPr="004D0DAA">
        <w:tab/>
        <w:t>Event-based Fast Ack/Nack Reporting</w:t>
      </w:r>
      <w:bookmarkEnd w:id="442"/>
    </w:p>
    <w:p w14:paraId="32C31BEE" w14:textId="77777777" w:rsidR="00711444" w:rsidRPr="004D0DAA" w:rsidRDefault="00711444" w:rsidP="00711444">
      <w:r w:rsidRPr="004D0DAA">
        <w:t>Event-based FANR may be used together with Polled FANR (see sub-clause 9.1.14.2).</w:t>
      </w:r>
    </w:p>
    <w:p w14:paraId="02133E8D" w14:textId="77777777" w:rsidR="00711444" w:rsidRPr="004D0DAA" w:rsidRDefault="00711444" w:rsidP="00711444">
      <w:r w:rsidRPr="004D0DAA">
        <w:t>If the RLC endpoint receiver is the mobile station, event-based FANR is enabled for this TBF and the mobile station has at least one assigned TBF in the uplink direction, the mobile station shall insert one PAN field in an EGPRS RLC/MAC block for data transfer transmitted during a given radio block period for that uplink TBF if the state of any element in the receive state array V(N) is UNREPORTED and that element will not otherwise be reported (e.g. in response to a poll) during the radio block period. In addition, the mobile station may insert one PAN field in an EGPRS RLC/MAC block for data transfer transmitted during a given radio block period even if that element will be reported in response to a poll during the radio block period.</w:t>
      </w:r>
    </w:p>
    <w:p w14:paraId="375354DB" w14:textId="77777777" w:rsidR="00711444" w:rsidRPr="004D0DAA" w:rsidRDefault="00711444" w:rsidP="00711444">
      <w:r w:rsidRPr="004D0DAA">
        <w:t xml:space="preserve">The mobile station may continue to insert PAN fields in subsequent EGPRS RLC/MAC data blocks sent in the same radio block period as long as there exists one or more elements in the receive state array V(N) whose state is UNREPORTED. </w:t>
      </w:r>
    </w:p>
    <w:p w14:paraId="12EB20CB" w14:textId="77777777" w:rsidR="00711444" w:rsidRPr="004D0DAA" w:rsidRDefault="00711444" w:rsidP="00711444">
      <w:r w:rsidRPr="004D0DAA">
        <w:lastRenderedPageBreak/>
        <w:t>If event-based FANR is enabled and the network polls the mobile station, the mobile station shall transmit, in the reserved radio block period which is allocated with the polling, one of the messages as described in sub-clause 8.1.2.2.</w:t>
      </w:r>
    </w:p>
    <w:p w14:paraId="6155BDF2" w14:textId="77777777" w:rsidR="00711444" w:rsidRPr="004D0DAA" w:rsidRDefault="00711444" w:rsidP="00711444">
      <w:r w:rsidRPr="004D0DAA">
        <w:t>If the mobile station does not have any RLC data block waiting for the transmission, the mobile station shall transmit an EGPRS PACKET DOWNLINK ACK/NACK, EGPRS PACKET DOWNLINK ACK/NACK TYPE 2, EGPRS PACKET DOWNLINK ACK/NACK TYPE 3 or EGPRS PACKET DOWNLINK ACK/NACK DLMC message containing NPB.</w:t>
      </w:r>
    </w:p>
    <w:p w14:paraId="3164E194" w14:textId="77777777" w:rsidR="00711444" w:rsidRPr="004D0DAA" w:rsidRDefault="00711444" w:rsidP="00711444">
      <w:pPr>
        <w:rPr>
          <w:b/>
        </w:rPr>
      </w:pPr>
      <w:r w:rsidRPr="004D0DAA">
        <w:t>In case of multiple-TBF allocation or if multiple RLC entities are multiplexed within a single TBF by means of EMST, a mobile station shall insert a PAN field indicating unreported erroneous RLC data blocks from TBFs, or in case of EMST, from an RLC entity in RLC non-persistent mode prior to a PAN field indicating unreported erroneous RLC data blocks from TBFs, or in case of EMST, from an RLC entity in RLC acknowledged mode.</w:t>
      </w:r>
    </w:p>
    <w:p w14:paraId="062EBD7E" w14:textId="77777777" w:rsidR="00711444" w:rsidRPr="004D0DAA" w:rsidRDefault="00711444" w:rsidP="00711444">
      <w:pPr>
        <w:pStyle w:val="Heading3"/>
      </w:pPr>
      <w:bookmarkStart w:id="443" w:name="_Toc516669626"/>
      <w:r w:rsidRPr="004D0DAA">
        <w:t>9.1.15</w:t>
      </w:r>
      <w:r w:rsidRPr="004D0DAA">
        <w:tab/>
        <w:t>Time-based encoding of the Piggy-backed Ack/Nack field</w:t>
      </w:r>
      <w:bookmarkEnd w:id="443"/>
    </w:p>
    <w:p w14:paraId="4A282C44" w14:textId="77777777" w:rsidR="00711444" w:rsidRPr="004D0DAA" w:rsidRDefault="00711444" w:rsidP="00711444">
      <w:pPr>
        <w:pStyle w:val="Heading4"/>
      </w:pPr>
      <w:bookmarkStart w:id="444" w:name="_Toc516669627"/>
      <w:r w:rsidRPr="004D0DAA">
        <w:t>9.1.15.1</w:t>
      </w:r>
      <w:r w:rsidRPr="004D0DAA">
        <w:tab/>
        <w:t>Generation of the bitmap</w:t>
      </w:r>
      <w:bookmarkEnd w:id="444"/>
    </w:p>
    <w:p w14:paraId="02370DF7" w14:textId="77777777" w:rsidR="00711444" w:rsidRPr="004D0DAA" w:rsidRDefault="00711444" w:rsidP="00711444">
      <w:r w:rsidRPr="004D0DAA">
        <w:t>When the time-based encoding is used (see sub-clause 9.1.14.1), the Piggy-backed Ack/Nack (PAN) field included in a radio block transmitted by the network in a given basic (respectively reduced) radio block period shall contain a bitmap providing feedback information relative to the reception of radio blocks in basic (respectively reduced) TTI configuration at the network side, possibly from different mobile stations, in the previous basic (respectively reduced) radio block periods on a number of uplink PDCHs (respectively PDCH-pairs).</w:t>
      </w:r>
    </w:p>
    <w:p w14:paraId="151F675E" w14:textId="77777777" w:rsidR="00711444" w:rsidRPr="004D0DAA" w:rsidRDefault="00711444" w:rsidP="00711444">
      <w:r w:rsidRPr="004D0DAA">
        <w:t>The network shall indicate at TBF establishment/reconfiguration (see sub-clauses 11.2.29, 11.2.29a, 11.2.31, and 11.2.31a) the timeslots for which feedback is provided and the time-shift TSH (expressed in number of TDMA frames) between the most recent radio block period for which feedback information is provided and the radio block period when the bitmap is sent. If the TBF operates in RTTI configuration or MTTI configuration, feedback shall be provided for an even number of timeslots (see sub-clause 12.18).</w:t>
      </w:r>
    </w:p>
    <w:p w14:paraId="70CD4230" w14:textId="77777777" w:rsidR="00711444" w:rsidRPr="004D0DAA" w:rsidRDefault="00711444" w:rsidP="00711444">
      <w:r w:rsidRPr="004D0DAA">
        <w:t>A variable number (between 1 and 3) of bits are used in the PAN field to notify the status of every reported radio block, as described in Table 9.1.15.1.1. For modulation and coding schemes where two RLC data blocks are transmitted within a single radio block, there is one RLC data block per "RLC data block group". For modulation and coding schemes where three RLC data blocks are transmitted within a single radio block, the first "RLC data block group" contains the first RLC data block and the second "RLC data block group" contains the second and third RLC data blocks. For modulation and coding schemes where four RLC data blocks are transmitted within a single radio block, the first "RLC data block group" contains the first two RLC data blocks and the second "RLC data block group" contains the third and fourth RLC data blocks. An RLC data block group containing two RLC data blocks shall be indicated as having been successfully decoded only if both constituent RLC data blocks have been successfully decoded.</w:t>
      </w:r>
    </w:p>
    <w:p w14:paraId="0D710F65" w14:textId="77777777" w:rsidR="00711444" w:rsidRPr="004D0DAA" w:rsidRDefault="00711444" w:rsidP="00711444">
      <w:pPr>
        <w:pStyle w:val="TH"/>
      </w:pPr>
      <w:r w:rsidRPr="004D0DAA">
        <w:t xml:space="preserve">Table 9.1.15.1.1: Feedback information for every reported radio block </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3587"/>
        <w:gridCol w:w="3431"/>
      </w:tblGrid>
      <w:tr w:rsidR="00711444" w:rsidRPr="004D0DAA" w14:paraId="0C8361E3" w14:textId="77777777" w:rsidTr="00AA2A4C">
        <w:trPr>
          <w:jc w:val="center"/>
        </w:trPr>
        <w:tc>
          <w:tcPr>
            <w:tcW w:w="1074" w:type="dxa"/>
            <w:shd w:val="clear" w:color="auto" w:fill="auto"/>
          </w:tcPr>
          <w:p w14:paraId="45685528" w14:textId="77777777" w:rsidR="00711444" w:rsidRPr="004D0DAA" w:rsidRDefault="00711444" w:rsidP="00AA2A4C">
            <w:pPr>
              <w:pStyle w:val="TAH"/>
              <w:rPr>
                <w:lang w:eastAsia="en-US"/>
              </w:rPr>
            </w:pPr>
            <w:r w:rsidRPr="004D0DAA">
              <w:rPr>
                <w:lang w:eastAsia="en-US"/>
              </w:rPr>
              <w:t>Bit string</w:t>
            </w:r>
          </w:p>
        </w:tc>
        <w:tc>
          <w:tcPr>
            <w:tcW w:w="3587" w:type="dxa"/>
            <w:shd w:val="clear" w:color="auto" w:fill="auto"/>
          </w:tcPr>
          <w:p w14:paraId="4E97B39A" w14:textId="77777777" w:rsidR="00711444" w:rsidRPr="004D0DAA" w:rsidRDefault="00711444" w:rsidP="00AA2A4C">
            <w:pPr>
              <w:pStyle w:val="TAH"/>
              <w:rPr>
                <w:lang w:eastAsia="en-US"/>
              </w:rPr>
            </w:pPr>
            <w:r w:rsidRPr="004D0DAA">
              <w:rPr>
                <w:lang w:eastAsia="en-US"/>
              </w:rPr>
              <w:t>Meaning (radio block contains one RLC block)</w:t>
            </w:r>
          </w:p>
        </w:tc>
        <w:tc>
          <w:tcPr>
            <w:tcW w:w="3431" w:type="dxa"/>
            <w:shd w:val="clear" w:color="auto" w:fill="auto"/>
          </w:tcPr>
          <w:p w14:paraId="2CD1ED25" w14:textId="77777777" w:rsidR="00711444" w:rsidRPr="004D0DAA" w:rsidRDefault="00711444" w:rsidP="00AA2A4C">
            <w:pPr>
              <w:pStyle w:val="TAH"/>
              <w:rPr>
                <w:lang w:eastAsia="en-US"/>
              </w:rPr>
            </w:pPr>
            <w:r w:rsidRPr="004D0DAA">
              <w:rPr>
                <w:lang w:eastAsia="en-US"/>
              </w:rPr>
              <w:t>Meaning (radio block contains two or more RLC blocks)</w:t>
            </w:r>
          </w:p>
        </w:tc>
      </w:tr>
      <w:tr w:rsidR="00711444" w:rsidRPr="004D0DAA" w14:paraId="7EF462BC" w14:textId="77777777" w:rsidTr="00AA2A4C">
        <w:trPr>
          <w:jc w:val="center"/>
        </w:trPr>
        <w:tc>
          <w:tcPr>
            <w:tcW w:w="1074" w:type="dxa"/>
            <w:shd w:val="clear" w:color="auto" w:fill="auto"/>
          </w:tcPr>
          <w:p w14:paraId="274EF2D8" w14:textId="77777777" w:rsidR="00711444" w:rsidRPr="004D0DAA" w:rsidRDefault="00711444" w:rsidP="00AA2A4C">
            <w:pPr>
              <w:pStyle w:val="TAC"/>
              <w:rPr>
                <w:lang w:eastAsia="en-US"/>
              </w:rPr>
            </w:pPr>
            <w:r w:rsidRPr="004D0DAA">
              <w:rPr>
                <w:lang w:eastAsia="en-US"/>
              </w:rPr>
              <w:t>0 1 0</w:t>
            </w:r>
          </w:p>
        </w:tc>
        <w:tc>
          <w:tcPr>
            <w:tcW w:w="3587" w:type="dxa"/>
            <w:shd w:val="clear" w:color="auto" w:fill="auto"/>
          </w:tcPr>
          <w:p w14:paraId="1AC716D9" w14:textId="77777777" w:rsidR="00711444" w:rsidRPr="004D0DAA" w:rsidRDefault="00711444" w:rsidP="00AA2A4C">
            <w:pPr>
              <w:pStyle w:val="TAL"/>
              <w:rPr>
                <w:lang w:eastAsia="en-US"/>
              </w:rPr>
            </w:pPr>
            <w:r w:rsidRPr="004D0DAA">
              <w:rPr>
                <w:lang w:eastAsia="en-US"/>
              </w:rPr>
              <w:t>failed header decoding</w:t>
            </w:r>
          </w:p>
          <w:p w14:paraId="62C43628" w14:textId="77777777" w:rsidR="00711444" w:rsidRPr="004D0DAA" w:rsidRDefault="00711444" w:rsidP="00AA2A4C"/>
        </w:tc>
        <w:tc>
          <w:tcPr>
            <w:tcW w:w="3431" w:type="dxa"/>
            <w:shd w:val="clear" w:color="auto" w:fill="auto"/>
          </w:tcPr>
          <w:p w14:paraId="1C5E86A2" w14:textId="77777777" w:rsidR="00711444" w:rsidRPr="004D0DAA" w:rsidRDefault="00711444" w:rsidP="00AA2A4C">
            <w:pPr>
              <w:pStyle w:val="TAL"/>
              <w:rPr>
                <w:lang w:eastAsia="en-US"/>
              </w:rPr>
            </w:pPr>
            <w:r w:rsidRPr="004D0DAA">
              <w:rPr>
                <w:lang w:eastAsia="en-US"/>
              </w:rPr>
              <w:t>- failed header decoding</w:t>
            </w:r>
          </w:p>
          <w:p w14:paraId="715FB01E" w14:textId="77777777" w:rsidR="00711444" w:rsidRPr="004D0DAA" w:rsidRDefault="00711444" w:rsidP="00AA2A4C">
            <w:pPr>
              <w:pStyle w:val="TAL"/>
              <w:rPr>
                <w:lang w:eastAsia="en-US"/>
              </w:rPr>
            </w:pPr>
            <w:r w:rsidRPr="004D0DAA">
              <w:rPr>
                <w:lang w:eastAsia="en-US"/>
              </w:rPr>
              <w:t>- header correctly received but failed decoding of the payload of both RLC data block groups</w:t>
            </w:r>
          </w:p>
        </w:tc>
      </w:tr>
      <w:tr w:rsidR="00711444" w:rsidRPr="004D0DAA" w14:paraId="2E0ABECD" w14:textId="77777777" w:rsidTr="00AA2A4C">
        <w:trPr>
          <w:jc w:val="center"/>
        </w:trPr>
        <w:tc>
          <w:tcPr>
            <w:tcW w:w="1074" w:type="dxa"/>
            <w:shd w:val="clear" w:color="auto" w:fill="auto"/>
          </w:tcPr>
          <w:p w14:paraId="007CBF9C" w14:textId="77777777" w:rsidR="00711444" w:rsidRPr="004D0DAA" w:rsidRDefault="00711444" w:rsidP="00AA2A4C">
            <w:pPr>
              <w:pStyle w:val="TAC"/>
              <w:rPr>
                <w:lang w:eastAsia="en-US"/>
              </w:rPr>
            </w:pPr>
            <w:r w:rsidRPr="004D0DAA">
              <w:rPr>
                <w:lang w:eastAsia="en-US"/>
              </w:rPr>
              <w:t>0 0</w:t>
            </w:r>
          </w:p>
        </w:tc>
        <w:tc>
          <w:tcPr>
            <w:tcW w:w="3587" w:type="dxa"/>
            <w:shd w:val="clear" w:color="auto" w:fill="auto"/>
          </w:tcPr>
          <w:p w14:paraId="4CCF7A25" w14:textId="77777777" w:rsidR="00711444" w:rsidRPr="004D0DAA" w:rsidRDefault="00711444" w:rsidP="00AA2A4C">
            <w:pPr>
              <w:pStyle w:val="TAL"/>
              <w:rPr>
                <w:lang w:eastAsia="en-US"/>
              </w:rPr>
            </w:pPr>
            <w:r w:rsidRPr="004D0DAA">
              <w:rPr>
                <w:lang w:eastAsia="en-US"/>
              </w:rPr>
              <w:t xml:space="preserve">header correctly received but failed decoding of the payload of the RLC data block </w:t>
            </w:r>
          </w:p>
        </w:tc>
        <w:tc>
          <w:tcPr>
            <w:tcW w:w="3431" w:type="dxa"/>
            <w:shd w:val="clear" w:color="auto" w:fill="auto"/>
          </w:tcPr>
          <w:p w14:paraId="4E8DB94E" w14:textId="77777777" w:rsidR="00711444" w:rsidRPr="004D0DAA" w:rsidRDefault="00711444" w:rsidP="00AA2A4C">
            <w:pPr>
              <w:pStyle w:val="TAL"/>
              <w:rPr>
                <w:lang w:eastAsia="en-US"/>
              </w:rPr>
            </w:pPr>
            <w:r w:rsidRPr="004D0DAA">
              <w:rPr>
                <w:lang w:eastAsia="en-US"/>
              </w:rPr>
              <w:t>header correctly received, successful decoding of the first RLC data block group, failed decoding of the second RLC data block group</w:t>
            </w:r>
          </w:p>
        </w:tc>
      </w:tr>
      <w:tr w:rsidR="00711444" w:rsidRPr="004D0DAA" w14:paraId="1D014898" w14:textId="77777777" w:rsidTr="00AA2A4C">
        <w:trPr>
          <w:jc w:val="center"/>
        </w:trPr>
        <w:tc>
          <w:tcPr>
            <w:tcW w:w="1074" w:type="dxa"/>
            <w:shd w:val="clear" w:color="auto" w:fill="auto"/>
          </w:tcPr>
          <w:p w14:paraId="6D4693AA" w14:textId="77777777" w:rsidR="00711444" w:rsidRPr="004D0DAA" w:rsidRDefault="00711444" w:rsidP="00AA2A4C">
            <w:pPr>
              <w:pStyle w:val="TAC"/>
              <w:rPr>
                <w:lang w:eastAsia="en-US"/>
              </w:rPr>
            </w:pPr>
            <w:r w:rsidRPr="004D0DAA">
              <w:rPr>
                <w:lang w:eastAsia="en-US"/>
              </w:rPr>
              <w:t>0 1 1</w:t>
            </w:r>
          </w:p>
        </w:tc>
        <w:tc>
          <w:tcPr>
            <w:tcW w:w="3587" w:type="dxa"/>
            <w:shd w:val="clear" w:color="auto" w:fill="auto"/>
          </w:tcPr>
          <w:p w14:paraId="479BCEC1" w14:textId="77777777" w:rsidR="00711444" w:rsidRPr="004D0DAA" w:rsidRDefault="00711444" w:rsidP="00AA2A4C">
            <w:pPr>
              <w:pStyle w:val="TAL"/>
              <w:rPr>
                <w:lang w:eastAsia="en-US"/>
              </w:rPr>
            </w:pPr>
            <w:r w:rsidRPr="004D0DAA">
              <w:rPr>
                <w:lang w:eastAsia="en-US"/>
              </w:rPr>
              <w:t>reserved</w:t>
            </w:r>
          </w:p>
        </w:tc>
        <w:tc>
          <w:tcPr>
            <w:tcW w:w="3431" w:type="dxa"/>
            <w:shd w:val="clear" w:color="auto" w:fill="auto"/>
          </w:tcPr>
          <w:p w14:paraId="3F578E77" w14:textId="77777777" w:rsidR="00711444" w:rsidRPr="004D0DAA" w:rsidRDefault="00711444" w:rsidP="00AA2A4C">
            <w:pPr>
              <w:pStyle w:val="TAL"/>
              <w:rPr>
                <w:lang w:eastAsia="en-US"/>
              </w:rPr>
            </w:pPr>
            <w:r w:rsidRPr="004D0DAA">
              <w:rPr>
                <w:lang w:eastAsia="en-US"/>
              </w:rPr>
              <w:t>header correctly received, successful decoding of the second RLC data block group, failed decoding of the first RLC data block group</w:t>
            </w:r>
          </w:p>
        </w:tc>
      </w:tr>
      <w:tr w:rsidR="00711444" w:rsidRPr="004D0DAA" w14:paraId="63EF7ABC" w14:textId="77777777" w:rsidTr="00AA2A4C">
        <w:trPr>
          <w:jc w:val="center"/>
        </w:trPr>
        <w:tc>
          <w:tcPr>
            <w:tcW w:w="1074" w:type="dxa"/>
            <w:shd w:val="clear" w:color="auto" w:fill="auto"/>
          </w:tcPr>
          <w:p w14:paraId="554AAF22" w14:textId="77777777" w:rsidR="00711444" w:rsidRPr="004D0DAA" w:rsidRDefault="00711444" w:rsidP="00AA2A4C">
            <w:pPr>
              <w:pStyle w:val="TAC"/>
              <w:rPr>
                <w:lang w:eastAsia="en-US"/>
              </w:rPr>
            </w:pPr>
            <w:r w:rsidRPr="004D0DAA">
              <w:rPr>
                <w:lang w:eastAsia="en-US"/>
              </w:rPr>
              <w:t>1</w:t>
            </w:r>
          </w:p>
        </w:tc>
        <w:tc>
          <w:tcPr>
            <w:tcW w:w="3587" w:type="dxa"/>
            <w:shd w:val="clear" w:color="auto" w:fill="auto"/>
          </w:tcPr>
          <w:p w14:paraId="2D2D82DF" w14:textId="77777777" w:rsidR="00711444" w:rsidRPr="004D0DAA" w:rsidRDefault="00711444" w:rsidP="00AA2A4C">
            <w:pPr>
              <w:pStyle w:val="TAL"/>
              <w:rPr>
                <w:lang w:eastAsia="en-US"/>
              </w:rPr>
            </w:pPr>
            <w:r w:rsidRPr="004D0DAA">
              <w:rPr>
                <w:lang w:eastAsia="en-US"/>
              </w:rPr>
              <w:t>header correctly received and successful decoding of the payload of the RLC data block</w:t>
            </w:r>
          </w:p>
        </w:tc>
        <w:tc>
          <w:tcPr>
            <w:tcW w:w="3431" w:type="dxa"/>
            <w:shd w:val="clear" w:color="auto" w:fill="auto"/>
          </w:tcPr>
          <w:p w14:paraId="46025E7B" w14:textId="77777777" w:rsidR="00711444" w:rsidRPr="004D0DAA" w:rsidRDefault="00711444" w:rsidP="00AA2A4C">
            <w:pPr>
              <w:pStyle w:val="TAL"/>
              <w:rPr>
                <w:lang w:eastAsia="en-US"/>
              </w:rPr>
            </w:pPr>
            <w:r w:rsidRPr="004D0DAA">
              <w:rPr>
                <w:lang w:eastAsia="en-US"/>
              </w:rPr>
              <w:t>header correctly received and successful decoding of the payload of both RLC data block groups</w:t>
            </w:r>
          </w:p>
        </w:tc>
      </w:tr>
    </w:tbl>
    <w:p w14:paraId="75446745" w14:textId="77777777" w:rsidR="00711444" w:rsidRPr="004D0DAA" w:rsidRDefault="00711444" w:rsidP="00711444"/>
    <w:p w14:paraId="5C3AAE43" w14:textId="77777777" w:rsidR="00711444" w:rsidRPr="004D0DAA" w:rsidRDefault="00711444" w:rsidP="00711444">
      <w:r w:rsidRPr="004D0DAA">
        <w:t xml:space="preserve">For a PAN field transmitted in a given basic (respectively reduced) radio block starting with TDMA frame N, the first code  in the bitmap shall refer to the radio block received on the first reported uplink PDCH (respectively PDCH-pair) starting with TDMA frame (N-TSH or N-TSH-1) mod 2715648, the second code shall refer to the radio block received </w:t>
      </w:r>
      <w:r w:rsidRPr="004D0DAA">
        <w:lastRenderedPageBreak/>
        <w:t xml:space="preserve">on the second reported uplink PDCH (respectively PDCH-pair) starting with TDMA frame (N-TSH or N-TSH-1) mod 2715648, etc. If there is still space in the PAN field, then the next code shall refer to the radio block received on the first reported uplink PDCH (respectively PDCH-pair) starting with TDMA frame (N-TSH-4 or N-TSH-5) mod 2715648 for TBFs in basic TTI configuration (respectively TDMA frame (N-TSH-2 or N-TSH-3) mod 2715648 for TBFs in reduced TTI configuration) and so on. </w:t>
      </w:r>
    </w:p>
    <w:p w14:paraId="523C2544" w14:textId="77777777" w:rsidR="00711444" w:rsidRPr="004D0DAA" w:rsidRDefault="00711444" w:rsidP="00711444">
      <w:r w:rsidRPr="004D0DAA">
        <w:t>In a PAN field included in a radio block transmitted in basic (respectively reduced) TTI configuration, the network shall include a bit string as specified in Table 9.1.15.1.1 for every PDCH (respectively PDCH-pair) covered by the report, even if no uplink radio block in basic (respectively reduced) TTI configuration was scheduled to be transmitted on that PDCH/PDCH-pair.</w:t>
      </w:r>
    </w:p>
    <w:p w14:paraId="686E953E" w14:textId="77777777" w:rsidR="00711444" w:rsidRPr="004D0DAA" w:rsidRDefault="00711444" w:rsidP="00711444">
      <w:pPr>
        <w:pStyle w:val="NO"/>
      </w:pPr>
      <w:r w:rsidRPr="004D0DAA">
        <w:t>NOTE:</w:t>
      </w:r>
      <w:r w:rsidRPr="004D0DAA">
        <w:tab/>
        <w:t xml:space="preserve">For a PAN field included in a radio block transmitted in basic (respectively reduced) TTI configuration, bit strings shall be included in the positions corresponding to PDCHs (respectively PDCH-pairs) on which radio blocks in reduced (respectively basic) TTI configuration were scheduled. </w:t>
      </w:r>
    </w:p>
    <w:p w14:paraId="756048CE" w14:textId="77777777" w:rsidR="00711444" w:rsidRPr="004D0DAA" w:rsidRDefault="00711444" w:rsidP="00711444">
      <w:r w:rsidRPr="004D0DAA">
        <w:t>In the case of a PAN field received within an RTTI block by a mobile station with an uplink MTTI configuration (see sub-clause 7.1.3.7) and which covers both the PDCH and one or more PDCH-pairs for that MTTI configuration, the network shall include the applicable bit string for the BTTI radio block in the first of the two positions which would otherwise be used for reporting the status of two uplink RTTI radio blocks sent using a PDCH-pair that includes that PDCH.</w:t>
      </w:r>
    </w:p>
    <w:p w14:paraId="09D60C83" w14:textId="77777777" w:rsidR="00711444" w:rsidRPr="004D0DAA" w:rsidRDefault="00711444" w:rsidP="00711444">
      <w:r w:rsidRPr="004D0DAA">
        <w:t>In the case of a PAN field received within a BTTI block by a mobile station with an uplink MTTI configuration (see sub-clause 7.1.3.7) and which covers both the PDCH and one or more PDCH-pairs for that MTTI configuration, the network shall include the applicable bit string for the later (respectively earlier) RTTI radio block in the first (respectively second) of the two positions which would otherwise be used for reporting the status of two uplink BTTI radio blocks sent using the PDCHs that comprise the PDCH-pair being reported.</w:t>
      </w:r>
    </w:p>
    <w:p w14:paraId="73AAB2DC" w14:textId="77777777" w:rsidR="00711444" w:rsidRPr="004D0DAA" w:rsidRDefault="00711444" w:rsidP="00711444">
      <w:r w:rsidRPr="004D0DAA">
        <w:t>If necessary, the PAN field may be padded using either one or two bits. If one bit of padding is required, then a '0' shall be used. If two bits is required, the bit string '0 1' shall be used.</w:t>
      </w:r>
    </w:p>
    <w:p w14:paraId="769CA7BE" w14:textId="77777777" w:rsidR="00711444" w:rsidRPr="004D0DAA" w:rsidRDefault="00711444" w:rsidP="00711444">
      <w:pPr>
        <w:pStyle w:val="Heading4"/>
      </w:pPr>
      <w:bookmarkStart w:id="445" w:name="_Toc516669628"/>
      <w:r w:rsidRPr="004D0DAA">
        <w:t>9.1.15.2</w:t>
      </w:r>
      <w:r w:rsidRPr="004D0DAA">
        <w:tab/>
        <w:t>Interpretation of the bitmap</w:t>
      </w:r>
      <w:bookmarkEnd w:id="445"/>
    </w:p>
    <w:p w14:paraId="72DC0DBF" w14:textId="77777777" w:rsidR="00711444" w:rsidRPr="004D0DAA" w:rsidRDefault="00711444" w:rsidP="00711444">
      <w:r w:rsidRPr="004D0DAA">
        <w:t>If the time-based encoding is used, when a mobile station successfully decodes a PAN field in a radio block transmitted in basic (respectively reduced) TTI configuration it correlates the received feedback information, which may refer to the transmission of different mobile stations, with the knowledge of the RLC data blocks (i.e. the BSNs) it transmitted in a given basic (respectively reduced) radio block period on a given uplink PDCH (respectively PDCH-pair) during the time window covered by the PAN field. The mobile station shall then derive which RLC data blocks were correctly received or not by the network in that time window. In case of multiple TBFs in different TTI configurations the mobile station shall not derive any information for TBFs in basic (respectively reduced) TTI configuration from PAN fields included in radio blocks transmitted in reduced (respectively basic) TTI configuration. A mobile station assigned uplink resources in an MTTI configuration (see sub-clause 7.1.3.7) shall derive information for both RTTI radio blocks and BTTI radio blocks which are covered by the PAN field (see sub-clause 9.1.15.1).</w:t>
      </w:r>
    </w:p>
    <w:p w14:paraId="7F083D9C" w14:textId="77777777" w:rsidR="00711444" w:rsidRPr="004D0DAA" w:rsidRDefault="00711444" w:rsidP="00711444">
      <w:r w:rsidRPr="004D0DAA">
        <w:t>If the final bit(s) in the bitmap do not correspond to any valid bitstring as specified in sub-clause 9.1.15.1, these bits shall be ignored.</w:t>
      </w:r>
    </w:p>
    <w:p w14:paraId="7A309928" w14:textId="77777777" w:rsidR="00711444" w:rsidRPr="004D0DAA" w:rsidRDefault="00711444" w:rsidP="00711444">
      <w:r w:rsidRPr="004D0DAA">
        <w:t xml:space="preserve">Where it is indicated that the decoding of an RLC data block group failed, and that RLC data block group contained two RLC data blocks, then the mobile station shall consider that the decoding of both RLC data blocks failed. </w:t>
      </w:r>
    </w:p>
    <w:p w14:paraId="35708DBE" w14:textId="77777777" w:rsidR="00711444" w:rsidRPr="004D0DAA" w:rsidRDefault="00711444" w:rsidP="00711444">
      <w:r w:rsidRPr="004D0DAA">
        <w:t xml:space="preserve">For the RLC data blocks correctly received the corresponding elements in V(B) shall be set to the value ACKED. </w:t>
      </w:r>
    </w:p>
    <w:p w14:paraId="39FA6F64" w14:textId="77777777" w:rsidR="00711444" w:rsidRPr="004D0DAA" w:rsidRDefault="00711444" w:rsidP="00711444">
      <w:r w:rsidRPr="004D0DAA">
        <w:t>For each RLC data block not correctly received the corresponding element in V(B) shall be set to the value NACKED, if the number of basic (respectively reduced) radio block periods between the end of the radio block period used for the last transmission of the corresponding RLC data block and the beginning of the radio block period containing the PAN field is higher or equal than (TSH/4)-1 for TBFs in basic TTI configuration (respectively (TSH/2)-1 for TBFs in reduced TTI configuration), i.e. the RLC data block was not recently (re)transmitted and thus can be validly negatively acknowledged by this particular PAN field, otherwise the corresponding element in V(B) shall not be modified.</w:t>
      </w:r>
    </w:p>
    <w:p w14:paraId="5790201A" w14:textId="77777777" w:rsidR="00711444" w:rsidRPr="004D0DAA" w:rsidRDefault="00711444" w:rsidP="00711444">
      <w:pPr>
        <w:pStyle w:val="Heading2"/>
      </w:pPr>
      <w:bookmarkStart w:id="446" w:name="_Toc516669629"/>
      <w:r w:rsidRPr="004D0DAA">
        <w:t>9.2</w:t>
      </w:r>
      <w:r w:rsidRPr="004D0DAA">
        <w:tab/>
        <w:t>Operation during RLC/MAC control message transfer</w:t>
      </w:r>
      <w:bookmarkEnd w:id="446"/>
    </w:p>
    <w:p w14:paraId="4F2C57F1" w14:textId="77777777" w:rsidR="00711444" w:rsidRPr="004D0DAA" w:rsidRDefault="00711444" w:rsidP="00711444">
      <w:r w:rsidRPr="004D0DAA">
        <w:t>RLC/MAC control blocks shall be used to transport RLC/MAC control messages. Segments of only one RLC/MAC control message shall be transported per RLC/MAC control block.</w:t>
      </w:r>
    </w:p>
    <w:p w14:paraId="733691DD" w14:textId="77777777" w:rsidR="00711444" w:rsidRPr="004D0DAA" w:rsidRDefault="00711444" w:rsidP="00711444">
      <w:r w:rsidRPr="004D0DAA">
        <w:lastRenderedPageBreak/>
        <w:t>RLC/MAC control blocks shall be sent at a higher priority than RLC data blocks.</w:t>
      </w:r>
    </w:p>
    <w:p w14:paraId="0F86B8E9" w14:textId="77777777" w:rsidR="00711444" w:rsidRPr="004D0DAA" w:rsidRDefault="00711444" w:rsidP="00711444">
      <w:r w:rsidRPr="004D0DAA">
        <w:t>The receiving side shall determine the length of the RLC/MAC control message contents by interpreting the RLC/MAC control block contents.</w:t>
      </w:r>
    </w:p>
    <w:p w14:paraId="3E706C3B" w14:textId="77777777" w:rsidR="00711444" w:rsidRPr="004D0DAA" w:rsidRDefault="00711444" w:rsidP="00711444">
      <w:r w:rsidRPr="004D0DAA">
        <w:t>No general acknowledgement shall be made as part of the transfer of RLC/MAC control blocks or RLC/MAC control messages. The receiver shall not acknowledge an RLC/MAC control block except when a valid RRBP field is present in the MAC header of the RLC/MAC control block. The receiver shall not acknowledge an RLC/MAC control message except when the RLC/MAC procedures explicitly specify an acknowledgement.</w:t>
      </w:r>
    </w:p>
    <w:p w14:paraId="79F4E600" w14:textId="77777777" w:rsidR="00711444" w:rsidRPr="004D0DAA" w:rsidRDefault="00711444" w:rsidP="00711444">
      <w:pPr>
        <w:keepNext/>
        <w:keepLines/>
      </w:pPr>
      <w:r w:rsidRPr="004D0DAA">
        <w:t>Each downlink RLC/MAC control block header, if present, contains a Radio Transaction Identifier (RTI) field that is 5 bits in length and performs in effect a modulo 32 count of the downlink RLC/MAC control messages sent on a PDCH. The RTI field shall be used to group the RLC/MAC control blocks that make up an RLC/MAC control message. The RTI field allows the transmitting and receiving entities to distinguish between up to 32 RLC/MAC control messages in a single transmit direction therefore allowing up to 32 parallel transactions per PDCH.</w:t>
      </w:r>
    </w:p>
    <w:p w14:paraId="432894A5" w14:textId="77777777" w:rsidR="00711444" w:rsidRPr="004D0DAA" w:rsidRDefault="00711444" w:rsidP="00711444">
      <w:r w:rsidRPr="004D0DAA">
        <w:t>The network shall not use the same RTI value at the same time on the same PDCH for two separate RLC/MAC control messages. The network may use the same RTI value at the same time on separate PDCHs. The network shall transmit all segments of a segmented control message on the same PDCH.</w:t>
      </w:r>
    </w:p>
    <w:p w14:paraId="06DB6785" w14:textId="77777777" w:rsidR="00711444" w:rsidRPr="004D0DAA" w:rsidRDefault="00711444" w:rsidP="00711444">
      <w:pPr>
        <w:pStyle w:val="Heading2"/>
      </w:pPr>
      <w:bookmarkStart w:id="447" w:name="_Toc516669630"/>
      <w:r w:rsidRPr="004D0DAA">
        <w:t>9.3</w:t>
      </w:r>
      <w:r w:rsidRPr="004D0DAA">
        <w:tab/>
        <w:t>Operation during RLC data block transfer</w:t>
      </w:r>
      <w:bookmarkEnd w:id="447"/>
    </w:p>
    <w:p w14:paraId="2A1F0A2C" w14:textId="77777777" w:rsidR="00711444" w:rsidRPr="004D0DAA" w:rsidRDefault="00711444" w:rsidP="00711444">
      <w:pPr>
        <w:pStyle w:val="Heading3"/>
      </w:pPr>
      <w:bookmarkStart w:id="448" w:name="_Toc516669631"/>
      <w:r w:rsidRPr="004D0DAA">
        <w:t>9.3.0</w:t>
      </w:r>
      <w:r w:rsidRPr="004D0DAA">
        <w:tab/>
        <w:t>General</w:t>
      </w:r>
      <w:bookmarkEnd w:id="448"/>
    </w:p>
    <w:p w14:paraId="03D5FDF3" w14:textId="77777777" w:rsidR="00711444" w:rsidRPr="004D0DAA" w:rsidRDefault="00711444" w:rsidP="00711444">
      <w:r w:rsidRPr="004D0DAA">
        <w:t>The RLC ARQ functions support three modes of operation: RLC acknowledged mode, RLC unacknowledged mode and RLC non-persistent mode. RLC acknowledged mode operation uses retransmission of RLC data blocks to achieve high reliability. RLC unacknowledged mode operation does not utilize retransmission of RLC data blocks. RLC non-persistent mode operation uses non-exhaustive retransmission of RLC data blocks. A TBF may operate in either RLC acknowledged mode, RLC unacknowledged mode or RLC non-persistent mode. An MBMS bearer operates in RLC non-persistent mode. An EC TBF operates in RLC acknowledged mode.</w:t>
      </w:r>
    </w:p>
    <w:p w14:paraId="437BFD16" w14:textId="77777777" w:rsidR="00711444" w:rsidRPr="004D0DAA" w:rsidRDefault="00711444" w:rsidP="00711444">
      <w:r w:rsidRPr="004D0DAA">
        <w:t>A mobile station, which has not enabled EC operation, requests the RLC mode of the uplink TBF by setting the RLC_MODE bit to either RLC acknowledged mode or RLC unacknowledged mode in the PACKET RESOURCE REQUEST or the (EGPRS) PACKET DOWNLINK ACK/NACK or EGPRS PACKET DOWNLINK ACK/NACK TYPE 2 or the EGPRS PACKET DOWNLINK ACK/NACK DLMC message. When the establishment cause field in the PACKET CHANNEL REQUEST message indicates ‘one phase access’, the RLC mode defaults to RLC acknowledged mode. If both the mobile station and the BSS support multiple TBF procedures, or if the mobile station supports RLC non-persistent mode, the BSS may override the mobile station’s indicated RLC mode, ordering its preferred RLC mode (including RLC non-persistent mode for EGPRS TBF(s), if the mobile station supports this RLC mode) when establishing uplink TBF(s) as follows:</w:t>
      </w:r>
    </w:p>
    <w:p w14:paraId="06A91C79" w14:textId="77777777" w:rsidR="00711444" w:rsidRPr="004D0DAA" w:rsidRDefault="00711444" w:rsidP="00711444">
      <w:pPr>
        <w:pStyle w:val="B1"/>
      </w:pPr>
      <w:r w:rsidRPr="004D0DAA">
        <w:t>-</w:t>
      </w:r>
      <w:r w:rsidRPr="004D0DAA">
        <w:tab/>
        <w:t xml:space="preserve">The network shall always set the RLC_MODE bit for the uplink TBF(s) in the MULTIPLE TBF UPLINK ASSIGNMENT and MULTIPLE TBF TIMESLOT RECONFIGURE messages. </w:t>
      </w:r>
    </w:p>
    <w:p w14:paraId="20B5FB84" w14:textId="77777777" w:rsidR="00711444" w:rsidRPr="004D0DAA" w:rsidRDefault="00711444" w:rsidP="00711444">
      <w:pPr>
        <w:pStyle w:val="B1"/>
      </w:pPr>
      <w:r w:rsidRPr="004D0DAA">
        <w:t>-</w:t>
      </w:r>
      <w:r w:rsidRPr="004D0DAA">
        <w:tab/>
        <w:t xml:space="preserve">The network may order the RLC mode for the uplink TBF by setting the RLC_MODE bit in the PACKET UPLINK ASSIGNMENT message or the UPLINK_RLC_MODE bit in the PACKET TIMESLOT RECONFIGURE message. The mobile station shall assume that its indicated RLC mode is used if the BSS does not override it in the PACKET UPLINK ASSIGNMENT or PACKET TIMESLOT RECONFIGURE message. </w:t>
      </w:r>
    </w:p>
    <w:p w14:paraId="007EBB38" w14:textId="77777777" w:rsidR="00711444" w:rsidRPr="004D0DAA" w:rsidRDefault="00711444" w:rsidP="00711444">
      <w:r w:rsidRPr="004D0DAA">
        <w:t>The network sets the RLC mode of the downlink TBF by setting the RLC_MODE bit in the PACKET DOWNLINK ASSIGNMENT, MULTIPLE TBF DOWNLINK ASSIGNMENT, PACKET TIMESLOT RECONFIGURE, MULTIPLE TBF TIMESLOT RECONFIGURE or PACKET CS RELEASE INDICATION message.</w:t>
      </w:r>
    </w:p>
    <w:p w14:paraId="18E0F2AB" w14:textId="77777777" w:rsidR="00711444" w:rsidRPr="004D0DAA" w:rsidRDefault="00711444" w:rsidP="00711444">
      <w:r w:rsidRPr="004D0DAA">
        <w:t>An uplink TBF may be operating in either non-extended uplink TBF mode or extended uplink TBF mode, see sub-clause 9.3.1b. An uplink TBF operating in RLC non-persistent mode shall operate in extended uplink TBF mode.</w:t>
      </w:r>
    </w:p>
    <w:p w14:paraId="08CA3AC1" w14:textId="77777777" w:rsidR="00711444" w:rsidRPr="004D0DAA" w:rsidRDefault="00711444" w:rsidP="00711444">
      <w:r w:rsidRPr="004D0DAA">
        <w:t>The extended uplink TBF mode is not applicable for an uplink EC TBF. The use of the Countdown Value (CV) is instead optional in an uplink EC TBF and it may be used to prolong the TBF, see sub-clause 9.3.1.4. The CV shall however always be included for the last uplink RLC data block of the uplink EC TBF.</w:t>
      </w:r>
    </w:p>
    <w:p w14:paraId="513CB8AB" w14:textId="77777777" w:rsidR="00711444" w:rsidRPr="004D0DAA" w:rsidRDefault="00711444" w:rsidP="00711444">
      <w:pPr>
        <w:rPr>
          <w:noProof/>
        </w:rPr>
      </w:pPr>
      <w:r w:rsidRPr="004D0DAA">
        <w:t xml:space="preserve">When one or more PDCH/Fs are used in conjunction with one PDCH/H in the same direction, the RLC/MAC data blocks may not be received in the same sequence they were sent, due to the different data rates of the channels. In RLC </w:t>
      </w:r>
      <w:r w:rsidRPr="004D0DAA">
        <w:lastRenderedPageBreak/>
        <w:t>unacknowledged mode, the sending entity shall re-order the RLC/MAC data blocks before transmission to ensure their reception in sequence.</w:t>
      </w:r>
    </w:p>
    <w:p w14:paraId="2185634F" w14:textId="77777777" w:rsidR="00711444" w:rsidRPr="004D0DAA" w:rsidRDefault="00711444" w:rsidP="00711444">
      <w:pPr>
        <w:pStyle w:val="Heading3"/>
      </w:pPr>
      <w:bookmarkStart w:id="449" w:name="_Toc516669632"/>
      <w:r w:rsidRPr="004D0DAA">
        <w:t>9.3.1</w:t>
      </w:r>
      <w:r w:rsidRPr="004D0DAA">
        <w:tab/>
        <w:t>Countdown procedure</w:t>
      </w:r>
      <w:bookmarkEnd w:id="449"/>
    </w:p>
    <w:p w14:paraId="153F8E24" w14:textId="77777777" w:rsidR="00711444" w:rsidRPr="004D0DAA" w:rsidRDefault="00711444" w:rsidP="00711444">
      <w:pPr>
        <w:pStyle w:val="Heading4"/>
      </w:pPr>
      <w:bookmarkStart w:id="450" w:name="_Toc516669633"/>
      <w:r w:rsidRPr="004D0DAA">
        <w:t>9.3.1.1</w:t>
      </w:r>
      <w:r w:rsidRPr="004D0DAA">
        <w:tab/>
        <w:t>General</w:t>
      </w:r>
      <w:bookmarkEnd w:id="450"/>
    </w:p>
    <w:p w14:paraId="423CB6A5" w14:textId="77777777" w:rsidR="00711444" w:rsidRPr="004D0DAA" w:rsidRDefault="00711444" w:rsidP="00711444">
      <w:r w:rsidRPr="004D0DAA">
        <w:t>The mobile station shall send the Countdown Value (CV) in each uplink RLC data block to indicate the current number of remaining RLC data blocks for the uplink TBF, except for an uplink EC TBF. In case EMST is used, the CV shall indicate the current number of remaining RLC data blocks for the corresponding RLC entity allocated to the uplink TBF.</w:t>
      </w:r>
    </w:p>
    <w:p w14:paraId="2E37C14B" w14:textId="77777777" w:rsidR="00711444" w:rsidRPr="004D0DAA" w:rsidRDefault="00711444" w:rsidP="00711444">
      <w:r w:rsidRPr="004D0DAA">
        <w:t>A mobile station with an uplink EC TBF is only required to send the Countdown Value (CV) in an uplink RLC data block in order to inform the network that there are more remaining RLC data blocks for the uplink TBF than it has previously signalled to the network. The mobile station is also required to send the CV in the last uplink RLC data block of the TBF. The Follow-On Indication (FOI) shall then be set to ‘1’ to indicate the presence of the CV.</w:t>
      </w:r>
    </w:p>
    <w:p w14:paraId="2BFF1C8F" w14:textId="77777777" w:rsidR="00711444" w:rsidRPr="004D0DAA" w:rsidRDefault="00711444" w:rsidP="00711444">
      <w:r w:rsidRPr="004D0DAA">
        <w:t>The CV for a non EC TBF shall be calculated as follows:</w:t>
      </w:r>
    </w:p>
    <w:p w14:paraId="74F76A45" w14:textId="77777777" w:rsidR="00711444" w:rsidRPr="004D0DAA" w:rsidRDefault="00711444" w:rsidP="00711444">
      <w:pPr>
        <w:pStyle w:val="EQ"/>
        <w:spacing w:before="240" w:after="240"/>
        <w:jc w:val="center"/>
      </w:pPr>
      <w:r w:rsidRPr="004D0DAA">
        <w:rPr>
          <w:position w:val="-56"/>
        </w:rPr>
        <w:object w:dxaOrig="3680" w:dyaOrig="1219" w14:anchorId="64DF5509">
          <v:shape id="_x0000_i1029" type="#_x0000_t75" style="width:184.2pt;height:61.2pt" o:ole="">
            <v:imagedata r:id="rId16" o:title=""/>
          </v:shape>
          <o:OLEObject Type="Embed" ProgID="Equation.3" ShapeID="_x0000_i1029" DrawAspect="Content" ObjectID="_1821896821" r:id="rId17"/>
        </w:object>
      </w:r>
    </w:p>
    <w:p w14:paraId="52B4CE7A" w14:textId="77777777" w:rsidR="00711444" w:rsidRPr="004D0DAA" w:rsidRDefault="00711444" w:rsidP="00711444">
      <w:r w:rsidRPr="004D0DAA">
        <w:t>where:</w:t>
      </w:r>
    </w:p>
    <w:p w14:paraId="7D62106F" w14:textId="77777777" w:rsidR="00711444" w:rsidRPr="004D0DAA" w:rsidRDefault="00711444" w:rsidP="00711444">
      <w:pPr>
        <w:pStyle w:val="EX"/>
      </w:pPr>
      <w:r w:rsidRPr="004D0DAA">
        <w:t>TBC =</w:t>
      </w:r>
      <w:r w:rsidRPr="004D0DAA">
        <w:tab/>
        <w:t>total number of RLC data blocks currently to be transmitted in the TBF.</w:t>
      </w:r>
    </w:p>
    <w:p w14:paraId="361D64AA" w14:textId="77777777" w:rsidR="00711444" w:rsidRPr="004D0DAA" w:rsidRDefault="00711444" w:rsidP="00711444">
      <w:pPr>
        <w:pStyle w:val="EX"/>
      </w:pPr>
      <w:r w:rsidRPr="004D0DAA">
        <w:t>BSN' =</w:t>
      </w:r>
      <w:r w:rsidRPr="004D0DAA">
        <w:tab/>
        <w:t>absolute block sequence number of the RLC data block, with range from 0 to (TBC - 1).</w:t>
      </w:r>
    </w:p>
    <w:p w14:paraId="20ABAECB" w14:textId="77777777" w:rsidR="00711444" w:rsidRPr="004D0DAA" w:rsidRDefault="00711444" w:rsidP="00711444">
      <w:pPr>
        <w:pStyle w:val="EX"/>
      </w:pPr>
      <w:r w:rsidRPr="004D0DAA">
        <w:t>NTS =</w:t>
      </w:r>
      <w:r w:rsidRPr="004D0DAA">
        <w:tab/>
        <w:t>number of timeslots assigned to the uplink TBF in the assignment message, with range 1 to 8 when operating in BTTI configuration. In RTTI configuration this parameter shall be equal to the number of assigned uplink PDCH pairs, with the range 1 to 4. In an MTTI configuration, the parameter shall be equal to the number of uplink BTTI PDCHs assigned plus twice the number of RTTI PDCH-pairs assigned, with the range 3 to 7.</w:t>
      </w:r>
    </w:p>
    <w:p w14:paraId="755D5DD6" w14:textId="77777777" w:rsidR="00711444" w:rsidRPr="004D0DAA" w:rsidRDefault="00711444" w:rsidP="00711444">
      <w:pPr>
        <w:pStyle w:val="EX"/>
      </w:pPr>
      <w:r w:rsidRPr="004D0DAA">
        <w:t>K =</w:t>
      </w:r>
      <w:r w:rsidRPr="004D0DAA">
        <w:tab/>
        <w:t>2 when commanded MCS is MCS-7, MCS-8, MCS-9, UAS-7, UAS-8, UAS-9, UBS-7 or UBS-8</w:t>
      </w:r>
      <w:r w:rsidRPr="004D0DAA">
        <w:br/>
        <w:t>3 when commanded UAS-10, UAS-11, UBS-9 or UBS-10</w:t>
      </w:r>
      <w:r w:rsidRPr="004D0DAA">
        <w:br/>
        <w:t>4 when commanded UBS-11 or UBS-12 otherwise K=1,</w:t>
      </w:r>
      <w:r w:rsidRPr="004D0DAA">
        <w:br/>
      </w:r>
      <w:r w:rsidRPr="004D0DAA">
        <w:tab/>
        <w:t>the function round() rounds upwards to the nearest integer.</w:t>
      </w:r>
    </w:p>
    <w:p w14:paraId="19E5CE82" w14:textId="77777777" w:rsidR="00711444" w:rsidRPr="004D0DAA" w:rsidRDefault="00711444" w:rsidP="00711444">
      <w:pPr>
        <w:pStyle w:val="EX"/>
      </w:pPr>
      <w:r w:rsidRPr="004D0DAA">
        <w:t>BS_CV_MAX</w:t>
      </w:r>
      <w:r w:rsidRPr="004D0DAA">
        <w:tab/>
        <w:t>is a parameter broadcast in the system information,</w:t>
      </w:r>
      <w:r w:rsidRPr="004D0DAA">
        <w:br/>
      </w:r>
      <w:r w:rsidRPr="004D0DAA">
        <w:tab/>
        <w:t>the division operation is non-integer and results in zero only for (TBC - BSN' - 1) = 0.</w:t>
      </w:r>
    </w:p>
    <w:p w14:paraId="20301D22" w14:textId="77777777" w:rsidR="00711444" w:rsidRPr="004D0DAA" w:rsidRDefault="00711444" w:rsidP="00711444">
      <w:r w:rsidRPr="004D0DAA">
        <w:t>The CV for an uplink EC TBF is calculated as follows:</w:t>
      </w:r>
    </w:p>
    <w:p w14:paraId="70DA54E6" w14:textId="77777777" w:rsidR="00711444" w:rsidRPr="004D0DAA" w:rsidRDefault="00711444" w:rsidP="00711444">
      <w:pPr>
        <w:pStyle w:val="EQ"/>
        <w:spacing w:before="240" w:after="240"/>
        <w:jc w:val="center"/>
      </w:pPr>
      <w:r w:rsidRPr="004D0DAA">
        <w:rPr>
          <w:position w:val="-66"/>
        </w:rPr>
        <w:object w:dxaOrig="3900" w:dyaOrig="1440" w14:anchorId="66CE3A05">
          <v:shape id="_x0000_i1030" type="#_x0000_t75" style="width:195pt;height:1in" o:ole="">
            <v:imagedata r:id="rId18" o:title=""/>
          </v:shape>
          <o:OLEObject Type="Embed" ProgID="Equation.3" ShapeID="_x0000_i1030" DrawAspect="Content" ObjectID="_1821896822" r:id="rId19"/>
        </w:object>
      </w:r>
      <w:bookmarkStart w:id="451" w:name="_GoBack"/>
      <w:bookmarkEnd w:id="451"/>
    </w:p>
    <w:p w14:paraId="02F7FA90" w14:textId="77777777" w:rsidR="00711444" w:rsidRPr="004D0DAA" w:rsidRDefault="00711444" w:rsidP="00711444">
      <w:r w:rsidRPr="004D0DAA">
        <w:t>where:</w:t>
      </w:r>
    </w:p>
    <w:p w14:paraId="7E54154A" w14:textId="77777777" w:rsidR="00711444" w:rsidRPr="004D0DAA" w:rsidRDefault="00711444" w:rsidP="00711444">
      <w:pPr>
        <w:pStyle w:val="EX"/>
      </w:pPr>
      <w:r w:rsidRPr="004D0DAA">
        <w:t>TBC =</w:t>
      </w:r>
      <w:r w:rsidRPr="004D0DAA">
        <w:tab/>
        <w:t>total number of RLC data blocks currently to be transmitted in the TBF.</w:t>
      </w:r>
    </w:p>
    <w:p w14:paraId="7AC1B3D0" w14:textId="77777777" w:rsidR="00711444" w:rsidRPr="004D0DAA" w:rsidRDefault="00711444" w:rsidP="00711444">
      <w:pPr>
        <w:pStyle w:val="EX"/>
      </w:pPr>
      <w:r w:rsidRPr="004D0DAA">
        <w:t>BSN' =</w:t>
      </w:r>
      <w:r w:rsidRPr="004D0DAA">
        <w:tab/>
        <w:t>absolute block sequence number of the RLC data block, with range from 0 to (TBC - 1).</w:t>
      </w:r>
    </w:p>
    <w:p w14:paraId="741C341C" w14:textId="77777777" w:rsidR="00711444" w:rsidRPr="004D0DAA" w:rsidRDefault="00711444" w:rsidP="00711444">
      <w:pPr>
        <w:pStyle w:val="EX"/>
      </w:pPr>
      <w:r w:rsidRPr="004D0DAA">
        <w:lastRenderedPageBreak/>
        <w:t>K =</w:t>
      </w:r>
      <w:r w:rsidRPr="004D0DAA">
        <w:tab/>
        <w:t>2 when commanded MCS is MCS-7, MCS-8 or MCS-9</w:t>
      </w:r>
      <w:r w:rsidRPr="004D0DAA">
        <w:br/>
        <w:t>otherwise K=1,</w:t>
      </w:r>
      <w:r w:rsidRPr="004D0DAA">
        <w:br/>
      </w:r>
      <w:r w:rsidRPr="004D0DAA">
        <w:tab/>
        <w:t>the function round() rounds upwards to the nearest integer.</w:t>
      </w:r>
    </w:p>
    <w:p w14:paraId="7908189E" w14:textId="77777777" w:rsidR="00711444" w:rsidRPr="004D0DAA" w:rsidRDefault="00711444" w:rsidP="00711444">
      <w:r w:rsidRPr="004D0DAA">
        <w:t>The countdown procedure, for a non EC TBF, starts when RLC data blocks include CV values different from '15'. When the mobile station transmits the last RLC data block currently in the send buffer for the TBF (i.e. the RLC data block with BSN' = TBC - 1), the RLC data block shall have CV set to the value '0'.</w:t>
      </w:r>
    </w:p>
    <w:p w14:paraId="46A56EBE" w14:textId="77777777" w:rsidR="00711444" w:rsidRPr="004D0DAA" w:rsidRDefault="00711444" w:rsidP="00711444">
      <w:r w:rsidRPr="004D0DAA">
        <w:t>When an EGPRS, EGPRS2 or EC-GSM-IoT RLC/MAC block for data transfer consists of two or more RLC data blocks, a CV value is calculated for each block and the CV of the RLC/MAC header refers to the last RLC data block.</w:t>
      </w:r>
    </w:p>
    <w:p w14:paraId="539646EA" w14:textId="77777777" w:rsidR="00711444" w:rsidRPr="004D0DAA" w:rsidRDefault="00711444" w:rsidP="00711444">
      <w:pPr>
        <w:pStyle w:val="Heading4"/>
      </w:pPr>
      <w:bookmarkStart w:id="452" w:name="_Toc516669634"/>
      <w:r w:rsidRPr="004D0DAA">
        <w:t>9.3.1.2</w:t>
      </w:r>
      <w:r w:rsidRPr="004D0DAA">
        <w:tab/>
        <w:t>Non-extended uplink TBF mode</w:t>
      </w:r>
      <w:bookmarkEnd w:id="452"/>
    </w:p>
    <w:p w14:paraId="472B5B52" w14:textId="77777777" w:rsidR="00711444" w:rsidRPr="004D0DAA" w:rsidRDefault="00711444" w:rsidP="00711444">
      <w:r w:rsidRPr="004D0DAA">
        <w:t>In an uplink TBF operating in non-extended uplink TBF mode, the CV shall indicate the absolute BSN (BSN') of the last RLC data block that will be sent in the uplink TBF. The TBC value is the total number of RLC data blocks that will be transmitted in the TBF.</w:t>
      </w:r>
    </w:p>
    <w:p w14:paraId="655B2A3C" w14:textId="77777777" w:rsidR="00711444" w:rsidRPr="004D0DAA" w:rsidRDefault="00711444" w:rsidP="00711444">
      <w:r w:rsidRPr="004D0DAA">
        <w:t>At the point in time the mobile station having an uplink TBF in non-extended TBF mode transmits the first RLC data block indicating a CV other than 15, the mobile station shall transmit afterwards exactly (TBC </w:t>
      </w:r>
      <w:r w:rsidRPr="004D0DAA">
        <w:noBreakHyphen/>
        <w:t> BSN' </w:t>
      </w:r>
      <w:r w:rsidRPr="004D0DAA">
        <w:noBreakHyphen/>
        <w:t> 1) untransmitted RLC data blocks.</w:t>
      </w:r>
    </w:p>
    <w:p w14:paraId="75702AA4" w14:textId="77777777" w:rsidR="00711444" w:rsidRPr="004D0DAA" w:rsidRDefault="00711444" w:rsidP="00711444">
      <w:r w:rsidRPr="004D0DAA">
        <w:t>If the mobile station receives a change in the Channel Coding Command in a PACKET UPLINK ACK/NACK message during the countdown procedure, the mobile station shall act upon the new Channel Coding Command. The mobile station shall then recalculate the CV for any untransmitted RLC data block using the new RLC data block size.</w:t>
      </w:r>
    </w:p>
    <w:p w14:paraId="6B20D687" w14:textId="77777777" w:rsidR="00711444" w:rsidRPr="004D0DAA" w:rsidRDefault="00711444" w:rsidP="00711444">
      <w:r w:rsidRPr="004D0DAA">
        <w:t>If the mobile station successfully completes the contention resolution procedure during one phase access and the countdown procedure is already running,, the mobile station shall recalculate the CV for any untransmitted RLC data blocks.</w:t>
      </w:r>
    </w:p>
    <w:p w14:paraId="65D2EA1C" w14:textId="77777777" w:rsidR="00711444" w:rsidRPr="004D0DAA" w:rsidRDefault="00711444" w:rsidP="00711444">
      <w:r w:rsidRPr="004D0DAA">
        <w:t>Any data that arrives from the higher layer after the commencement of the countdown process shall be sent within a future TBF.</w:t>
      </w:r>
    </w:p>
    <w:p w14:paraId="676C11C1" w14:textId="77777777" w:rsidR="00711444" w:rsidRPr="004D0DAA" w:rsidRDefault="00711444" w:rsidP="00711444">
      <w:r w:rsidRPr="004D0DAA">
        <w:t>The mobile station may retransmit during the countdown in response to a Packet Ack/Nack or if stalled.</w:t>
      </w:r>
    </w:p>
    <w:p w14:paraId="37F2144C" w14:textId="77777777" w:rsidR="00711444" w:rsidRPr="004D0DAA" w:rsidRDefault="00711444" w:rsidP="00711444">
      <w:r w:rsidRPr="004D0DAA">
        <w:t>If the mobile station receives a new allocation during the countdown, the mobile station shall use this new allocation to the end of the countdown procedure. The network shall provide unsolicited uplink resources for any retransmissions that may be required.</w:t>
      </w:r>
    </w:p>
    <w:p w14:paraId="5D0172C3" w14:textId="77777777" w:rsidR="00711444" w:rsidRPr="004D0DAA" w:rsidRDefault="00711444" w:rsidP="00711444">
      <w:pPr>
        <w:pStyle w:val="Heading4"/>
      </w:pPr>
      <w:bookmarkStart w:id="453" w:name="_Toc516669635"/>
      <w:r w:rsidRPr="004D0DAA">
        <w:t>9.3.1.3</w:t>
      </w:r>
      <w:r w:rsidRPr="004D0DAA">
        <w:tab/>
        <w:t>Extended uplink TBF mode</w:t>
      </w:r>
      <w:bookmarkEnd w:id="453"/>
    </w:p>
    <w:p w14:paraId="1B9C83CD" w14:textId="77777777" w:rsidR="00711444" w:rsidRPr="004D0DAA" w:rsidRDefault="00711444" w:rsidP="00711444">
      <w:pPr>
        <w:keepNext/>
      </w:pPr>
      <w:r w:rsidRPr="004D0DAA">
        <w:t>In an uplink TBF operating in extended uplink TBF mode, the CV shall indicate the current number of RLC data blocks that has not been transmitted in the uplink TBF. The mobile station shall update the TBC value and recalculate the CV for any untransmitted RLC data block in the following cases:</w:t>
      </w:r>
    </w:p>
    <w:p w14:paraId="5E790498" w14:textId="77777777" w:rsidR="00711444" w:rsidRPr="004D0DAA" w:rsidRDefault="00711444" w:rsidP="00711444">
      <w:pPr>
        <w:pStyle w:val="B1"/>
      </w:pPr>
      <w:r w:rsidRPr="004D0DAA">
        <w:t>-</w:t>
      </w:r>
      <w:r w:rsidRPr="004D0DAA">
        <w:tab/>
        <w:t>The RLC entity of the mobile station receives new data from upper layers for transmission in the uplink TBF.</w:t>
      </w:r>
    </w:p>
    <w:p w14:paraId="63B2331A" w14:textId="77777777" w:rsidR="00711444" w:rsidRPr="004D0DAA" w:rsidRDefault="00711444" w:rsidP="00711444">
      <w:pPr>
        <w:pStyle w:val="B1"/>
      </w:pPr>
      <w:r w:rsidRPr="004D0DAA">
        <w:t>-</w:t>
      </w:r>
      <w:r w:rsidRPr="004D0DAA">
        <w:tab/>
        <w:t>The mobile station completes the contention resolution at one-phase packet access.</w:t>
      </w:r>
    </w:p>
    <w:p w14:paraId="465F5E43" w14:textId="77777777" w:rsidR="00711444" w:rsidRPr="004D0DAA" w:rsidRDefault="00711444" w:rsidP="00711444">
      <w:pPr>
        <w:pStyle w:val="B1"/>
      </w:pPr>
      <w:r w:rsidRPr="004D0DAA">
        <w:t>-</w:t>
      </w:r>
      <w:r w:rsidRPr="004D0DAA">
        <w:tab/>
        <w:t>The mobile station changes the coding scheme of the RLC data blocks transmitted in an uplink TBF operating in GPRS TBF mode.</w:t>
      </w:r>
    </w:p>
    <w:p w14:paraId="53B006CE" w14:textId="77777777" w:rsidR="00711444" w:rsidRPr="004D0DAA" w:rsidRDefault="00711444" w:rsidP="00711444">
      <w:pPr>
        <w:pStyle w:val="B1"/>
      </w:pPr>
      <w:r w:rsidRPr="004D0DAA">
        <w:t>-</w:t>
      </w:r>
      <w:r w:rsidRPr="004D0DAA">
        <w:tab/>
        <w:t>The mobile station changes the modulation and coding scheme of the RLC data blocks transmitted in an uplink TBF operating in EGPRS  TBF mode.</w:t>
      </w:r>
    </w:p>
    <w:p w14:paraId="2301FE34" w14:textId="77777777" w:rsidR="00711444" w:rsidRPr="004D0DAA" w:rsidRDefault="00711444" w:rsidP="00711444">
      <w:pPr>
        <w:pStyle w:val="NO"/>
      </w:pPr>
      <w:r w:rsidRPr="004D0DAA">
        <w:t>NOTE:</w:t>
      </w:r>
      <w:r w:rsidRPr="004D0DAA">
        <w:tab/>
        <w:t>Updating the TBC value shall not result in changing the CV of the RLC data blocks already transmitted, in the case they need to be retransmitted.</w:t>
      </w:r>
    </w:p>
    <w:p w14:paraId="1E81E3EA" w14:textId="77777777" w:rsidR="00711444" w:rsidRPr="004D0DAA" w:rsidRDefault="00711444" w:rsidP="00711444">
      <w:pPr>
        <w:pStyle w:val="Heading4"/>
      </w:pPr>
      <w:bookmarkStart w:id="454" w:name="_Toc516669636"/>
      <w:r w:rsidRPr="004D0DAA">
        <w:t>9.3.1.4</w:t>
      </w:r>
      <w:r w:rsidRPr="004D0DAA">
        <w:tab/>
        <w:t>End of uplink EC TBF</w:t>
      </w:r>
      <w:bookmarkEnd w:id="454"/>
    </w:p>
    <w:p w14:paraId="7811455F" w14:textId="77777777" w:rsidR="00711444" w:rsidRPr="004D0DAA" w:rsidRDefault="00711444" w:rsidP="00711444">
      <w:r w:rsidRPr="004D0DAA">
        <w:t>An uplink EC TBF is released when the network has received all RLC data blocks for a TBF, as indicated by the mobile station, and sent the EC PACKET UPLINK ACK/NACK message with the Final Ack Indicator bit set to '1'. An exception is when the mobile station, in the EC PACKET UPLINK ACK/NACK message with the Final Ack Indicator bit set to '1', is ordered to continue monitoring the EC-PACCH, see sub-clause 9.3.2.4.3.</w:t>
      </w:r>
    </w:p>
    <w:p w14:paraId="499F44A6" w14:textId="77777777" w:rsidR="00711444" w:rsidRPr="004D0DAA" w:rsidRDefault="00711444" w:rsidP="00711444">
      <w:r w:rsidRPr="004D0DAA">
        <w:lastRenderedPageBreak/>
        <w:t xml:space="preserve">The end of the uplink TBF is indicated by the mobile station by inclusion of a block count indicating a specific number data blocks to be sent for the TBF in the EC Packet Channel Request message or by inclusion of the Countdown Value (CV) in the RLC/MAC header of one or several of the uplink RLC data blocks that are sent within the TBF. The mobile station indicates the presence of a valid CV field in the RLC/MAC header by setting the FOI field to ‘1’. The end of the uplink EC TBF, i.e. the absolute BSN (BSN') of the last RLC data block that will be sent in the TBF, shall be indicated by the mobile station by including the CV field in the first possible uplink RLC data block to be transmitted, in case the EC Packet Channel Request message did not indicate a specific number data blocks to be sent. The CV field shall be included, set to the value ´0´, in the last RLC data block of the TBF. </w:t>
      </w:r>
    </w:p>
    <w:p w14:paraId="7E1966F2" w14:textId="77777777" w:rsidR="00711444" w:rsidRPr="004D0DAA" w:rsidRDefault="00711444" w:rsidP="00711444">
      <w:r w:rsidRPr="004D0DAA">
        <w:t>The mobile station may prolong the uplink TBF by including a CV that indicates a later end of the TBF than previously indicated, unless CV=0 has already been indicated in an uplink RLC data block. If the network receives several uplink RLC data blocks with CV pointing at different end points for the TBF, the CV of the newest uplink RLC data block, i.e. with the highest absolute BSN (BSN'), shall be considered valid.</w:t>
      </w:r>
    </w:p>
    <w:p w14:paraId="2F8F5F88" w14:textId="77777777" w:rsidR="00711444" w:rsidRPr="004D0DAA" w:rsidRDefault="00711444" w:rsidP="00711444">
      <w:r w:rsidRPr="004D0DAA">
        <w:t>In case the end of the uplink TBF, i.e. the absolute BSN (BSN') of the last RLC data block that will be sent in the TBF, is changed compared to the most recent indication, e.g. due to that a different Modulation and Coding Scheme (MCS) than previously used has been commanded for the TBF, the mobile station shall include the CV at the first possible occasion to indicate the end of the TBF.</w:t>
      </w:r>
    </w:p>
    <w:p w14:paraId="2A50A393" w14:textId="77777777" w:rsidR="00711444" w:rsidRPr="004D0DAA" w:rsidRDefault="00711444" w:rsidP="00711444">
      <w:r w:rsidRPr="004D0DAA">
        <w:t>If the mobile station receives a change in the Channel Coding Command in an EC PACKET UPLINK ACK/NACK message, the mobile station shall act upon the new Channel Coding Command and recalculate the CV for any untransmitted RLC data block using the new RLC data block size.</w:t>
      </w:r>
    </w:p>
    <w:p w14:paraId="729FF699" w14:textId="77777777" w:rsidR="00711444" w:rsidRPr="004D0DAA" w:rsidRDefault="00711444" w:rsidP="00711444">
      <w:r w:rsidRPr="004D0DAA">
        <w:t>If the mobile station successfully completes the contention resolution procedure and the end of the uplink TBF has already been indicated to the network, as an absolute BSN (BSN') of the last RLC data block that will be sent in the TBF, the mobile station shall recalculate the CV for any untransmitted RLC data blocks.</w:t>
      </w:r>
    </w:p>
    <w:p w14:paraId="7DC42E42" w14:textId="77777777" w:rsidR="00711444" w:rsidRPr="004D0DAA" w:rsidRDefault="00711444" w:rsidP="00711444"/>
    <w:p w14:paraId="6A2FA2B8" w14:textId="77777777" w:rsidR="00711444" w:rsidRPr="004D0DAA" w:rsidRDefault="00711444" w:rsidP="00711444">
      <w:pPr>
        <w:pStyle w:val="Heading3"/>
      </w:pPr>
      <w:bookmarkStart w:id="455" w:name="_Toc516669637"/>
      <w:r w:rsidRPr="004D0DAA">
        <w:t>9.3.1a</w:t>
      </w:r>
      <w:r w:rsidRPr="004D0DAA">
        <w:tab/>
        <w:t>Delayed release of downlink Temporary Block Flow</w:t>
      </w:r>
      <w:bookmarkEnd w:id="455"/>
    </w:p>
    <w:p w14:paraId="408259B7" w14:textId="77777777" w:rsidR="00711444" w:rsidRPr="004D0DAA" w:rsidRDefault="00711444" w:rsidP="00711444">
      <w:r w:rsidRPr="004D0DAA">
        <w:t>When the network exhausts its supply of downlink data for a downlink TBF, it may release the TBF by using one of the procedures in sub-clause 9.3.2.6 or sub-clause 9.3.3.5. If a TBF is not instantly released, the network may continue the downlink TBF awaiting new data to be received from the upper layers. After a period of inactivity, the TBF shall be released at a point determined by the network, using one of the procedures in sub-clause 9.3.2.6, sub-clause 9.3.3.5 or sub-clause 8.1.2.8. Once the release of a downlink TBF is initiated, the TBF shall not be continued.</w:t>
      </w:r>
    </w:p>
    <w:p w14:paraId="63B89865" w14:textId="77777777" w:rsidR="00711444" w:rsidRPr="004D0DAA" w:rsidRDefault="00711444" w:rsidP="00711444">
      <w:r w:rsidRPr="004D0DAA">
        <w:t xml:space="preserve">If the network continues a downlink TBF when the supply of downlink data is exhausted, the RLC entity on the network side shall insert filler information into the RLC data blocks that are transmitted to the mobile station. For a mobile station operating in </w:t>
      </w:r>
      <w:r w:rsidRPr="004D0DAA">
        <w:rPr>
          <w:i/>
        </w:rPr>
        <w:t>A/Gb mode,</w:t>
      </w:r>
      <w:r w:rsidRPr="004D0DAA">
        <w:t xml:space="preserve"> this</w:t>
      </w:r>
      <w:r w:rsidRPr="004D0DAA">
        <w:rPr>
          <w:shd w:val="clear" w:color="auto" w:fill="FFFFFF"/>
        </w:rPr>
        <w:t xml:space="preserve"> </w:t>
      </w:r>
      <w:r w:rsidRPr="004D0DAA">
        <w:t xml:space="preserve">is achieved by the insertion of LLC UI Dummy commands (see 3GPP TS 44.064) into the TBF. For a mobile station operating in </w:t>
      </w:r>
      <w:r w:rsidRPr="004D0DAA">
        <w:rPr>
          <w:i/>
        </w:rPr>
        <w:t>Iu mode,</w:t>
      </w:r>
      <w:r w:rsidRPr="004D0DAA">
        <w:t xml:space="preserve"> the network may directly transmit RLC data blocks with filler information by setting the LI field as described in sub-clauses 10.4.14 and 10.4.14a. The FBI bit in the RLC header shall be set to the value '0' unless the network releases the TBF, in which case the FBI bit shall be set to the value 1. </w:t>
      </w:r>
    </w:p>
    <w:p w14:paraId="3BBB4F81" w14:textId="77777777" w:rsidR="00711444" w:rsidRPr="004D0DAA" w:rsidRDefault="00711444" w:rsidP="00711444">
      <w:r w:rsidRPr="004D0DAA">
        <w:t>If new data is received from the upper layers, the network stops sending filler information and resumes normal operation during RLC data block transfer.</w:t>
      </w:r>
    </w:p>
    <w:p w14:paraId="1BE5E886" w14:textId="77777777" w:rsidR="00711444" w:rsidRPr="004D0DAA" w:rsidRDefault="00711444" w:rsidP="00711444">
      <w:r w:rsidRPr="004D0DAA">
        <w:t>RLC data blocks shall be sent to the mobile station as required to prevent the expiry of timer T3190 for each TBF, according to power control requirements, and as needed to poll the mobile station for the provision of (EC-)PACCH uplink blocks.</w:t>
      </w:r>
    </w:p>
    <w:p w14:paraId="5E161C4B" w14:textId="77777777" w:rsidR="00711444" w:rsidRPr="004D0DAA" w:rsidRDefault="00711444" w:rsidP="00711444">
      <w:pPr>
        <w:pStyle w:val="NO"/>
      </w:pPr>
      <w:r w:rsidRPr="004D0DAA">
        <w:t>NOTE:</w:t>
      </w:r>
      <w:r w:rsidRPr="004D0DAA">
        <w:tab/>
        <w:t>Extensive delay of a downlink TBF release might impact badly on the mobile station power consumption and should be avoided. Inactivity periods should not be longer than necessary to keep the overall performance of GPRS services. Inactivity periods longer than 5 s should not be used unless the DTR mode is used, see sub-clause 8.1.8.</w:t>
      </w:r>
    </w:p>
    <w:p w14:paraId="11484B41" w14:textId="77777777" w:rsidR="00711444" w:rsidRPr="004D0DAA" w:rsidRDefault="00711444" w:rsidP="00711444">
      <w:pPr>
        <w:pStyle w:val="Heading3"/>
      </w:pPr>
      <w:bookmarkStart w:id="456" w:name="_Toc516669638"/>
      <w:r w:rsidRPr="004D0DAA">
        <w:lastRenderedPageBreak/>
        <w:t>9.3.1b</w:t>
      </w:r>
      <w:r w:rsidRPr="004D0DAA">
        <w:tab/>
        <w:t>Extended uplink TBF mode</w:t>
      </w:r>
      <w:bookmarkEnd w:id="456"/>
    </w:p>
    <w:p w14:paraId="1D7BC692" w14:textId="77777777" w:rsidR="00711444" w:rsidRPr="004D0DAA" w:rsidRDefault="00711444" w:rsidP="00711444">
      <w:pPr>
        <w:pStyle w:val="Heading4"/>
      </w:pPr>
      <w:bookmarkStart w:id="457" w:name="_Toc516669639"/>
      <w:r w:rsidRPr="004D0DAA">
        <w:t>9.3.1b.1</w:t>
      </w:r>
      <w:r w:rsidRPr="004D0DAA">
        <w:tab/>
        <w:t>Application</w:t>
      </w:r>
      <w:bookmarkEnd w:id="457"/>
    </w:p>
    <w:p w14:paraId="307D8D3B" w14:textId="77777777" w:rsidR="00711444" w:rsidRPr="004D0DAA" w:rsidRDefault="00711444" w:rsidP="00711444">
      <w:r w:rsidRPr="004D0DAA">
        <w:t>Network support of the extended uplink TBF mode shall be indicated by the NW_EXT_UTBF parameter that is broadcast on either BCCH or PBCCH, see sub-clause 12.24. A network which supports RLC non-persistent mode shall support extended uplink TBF mode. A network which supports Enhanced Flexible Timeslot Assignment, EFTA, shall support extended uplink TBF mode.</w:t>
      </w:r>
    </w:p>
    <w:p w14:paraId="5B9FE121" w14:textId="77777777" w:rsidR="00711444" w:rsidRPr="004D0DAA" w:rsidRDefault="00711444" w:rsidP="00711444">
      <w:r w:rsidRPr="004D0DAA">
        <w:t xml:space="preserve">The mobile station shall support the extended uplink TBF mode. The extended uplink TBF mode is a part of the </w:t>
      </w:r>
      <w:r w:rsidRPr="004D0DAA">
        <w:rPr>
          <w:i/>
        </w:rPr>
        <w:t>GERAN Feature Package 1</w:t>
      </w:r>
      <w:r w:rsidRPr="004D0DAA">
        <w:t xml:space="preserve">. A mobile station indicating support of </w:t>
      </w:r>
      <w:r w:rsidRPr="004D0DAA">
        <w:rPr>
          <w:i/>
        </w:rPr>
        <w:t>GERAN Feature Package 1</w:t>
      </w:r>
      <w:r w:rsidRPr="004D0DAA">
        <w:t xml:space="preserve"> in the Mobile Station Classmark 3 IE, the MS Radio Access Capability IE and the MS Radio Access Capability 2 IE supports the extended uplink TBF mode (see 3GPP TS 24.008).</w:t>
      </w:r>
    </w:p>
    <w:p w14:paraId="1F8CA0E2" w14:textId="77777777" w:rsidR="00711444" w:rsidRPr="004D0DAA" w:rsidRDefault="00711444" w:rsidP="00711444">
      <w:r w:rsidRPr="004D0DAA">
        <w:t>Extended uplink TBF mode is not supported in EC-GSM-IoT.</w:t>
      </w:r>
    </w:p>
    <w:p w14:paraId="7104B52C" w14:textId="77777777" w:rsidR="00711444" w:rsidRPr="004D0DAA" w:rsidRDefault="00711444" w:rsidP="00711444">
      <w:r w:rsidRPr="004D0DAA">
        <w:t>The RLC/MAC entity, which has received the indication that the peer supports the extended uplink TBF mode, shall operate an uplink TBF in the extended uplink TBF mode.</w:t>
      </w:r>
    </w:p>
    <w:p w14:paraId="5CA7463A" w14:textId="77777777" w:rsidR="00711444" w:rsidRPr="004D0DAA" w:rsidRDefault="00711444" w:rsidP="00711444">
      <w:pPr>
        <w:pStyle w:val="NO"/>
      </w:pPr>
      <w:r w:rsidRPr="004D0DAA">
        <w:t>NOTE:</w:t>
      </w:r>
      <w:r w:rsidRPr="004D0DAA">
        <w:tab/>
        <w:t>The network might not receive the radio access capabilities of the mobile station at one-phase packet access. In that case, the two entities may operate in different mode.</w:t>
      </w:r>
    </w:p>
    <w:p w14:paraId="183E18FB" w14:textId="77777777" w:rsidR="00711444" w:rsidRPr="004D0DAA" w:rsidRDefault="00711444" w:rsidP="00711444">
      <w:pPr>
        <w:pStyle w:val="Heading4"/>
      </w:pPr>
      <w:bookmarkStart w:id="458" w:name="_Toc516669640"/>
      <w:r w:rsidRPr="004D0DAA">
        <w:t>9.3.1b.2</w:t>
      </w:r>
      <w:r w:rsidRPr="004D0DAA">
        <w:tab/>
        <w:t>Operation of uplink TBF in extended uplink TBF mode</w:t>
      </w:r>
      <w:bookmarkEnd w:id="458"/>
    </w:p>
    <w:p w14:paraId="21511CF8" w14:textId="77777777" w:rsidR="00711444" w:rsidRPr="004D0DAA" w:rsidRDefault="00711444" w:rsidP="00711444">
      <w:r w:rsidRPr="004D0DAA">
        <w:t>In extended uplink TBF mode, an uplink TBF may be maintained during temporary inactive periods, where the mobile station has no RLC information to send.</w:t>
      </w:r>
    </w:p>
    <w:p w14:paraId="3FD10A05" w14:textId="77777777" w:rsidR="00711444" w:rsidRPr="004D0DAA" w:rsidRDefault="00711444" w:rsidP="00711444">
      <w:r w:rsidRPr="004D0DAA">
        <w:t>During the temporary inactive periods, the mobile station may stop sending RLC data block, as defined in sub-clause 9.1.3. The network shall continue allocating the mobile station uplink radio blocks during the inactivity period, using the procedures defined in sub-clause 8.1.1 for each medium access mode. Uplink radio blocks shall be allocated as required allowing the mobile station to continue the transfer of RLC data blocks, when a new RLC data block becomes available.</w:t>
      </w:r>
    </w:p>
    <w:p w14:paraId="517A36EF" w14:textId="77777777" w:rsidR="00711444" w:rsidRPr="004D0DAA" w:rsidRDefault="00711444" w:rsidP="00711444">
      <w:r w:rsidRPr="004D0DAA">
        <w:t>When the mobile station is allocated an uplink radio block and there is no RLC data block ready to send for any TBF, the mobile station shall send an RLC/MAC control block in each uplink radio block allocated by the network, unless indicated otherwise. When the mobile station is allocated an uplink radio block, and there is no RLC/MAC block for data transfer to send for this TBF but, in case of multiple TBFs, there is an RLC/MAC block for data transfer to send for one or more other TBF(s) assigned on the same PDCH, the mobile station should send an RLC/MAC block for data transfer from one of these other TBF(s) in the allocated uplink radio block indicating the TFI of that other TBF in the RLC/MAC header of that RLC/MAC block. The priorities defined in sub-clause 8.1.1 for different kinds of RLC/MAC blocks apply. The network may allow, via the EXT_UTBF_NODATA parameter broadcast in GPRS Cell Options IE (see sub-clause 12.24), any mobile station during extended uplink TBF mode not to send any PACKET UPLINK DUMMY CONTROL BLOCK message when there is no other RLC/MAC block ready to send. A mobile station during extended uplink TBF mode may refrain from sending PACKET UPLINK DUMMY CONTROL BLOCK messages when there is no other RLC/MAC block ready to send only if so indicated by the EXT_UTBF_NODATA parameter.</w:t>
      </w:r>
    </w:p>
    <w:p w14:paraId="589A55D9" w14:textId="77777777" w:rsidR="00711444" w:rsidRPr="004D0DAA" w:rsidRDefault="00711444" w:rsidP="00711444">
      <w:r w:rsidRPr="004D0DAA">
        <w:t>During a period when the network does not receive any RLC data blocks from the mobile station, the network may periodically send a PACKET UPLINK ACK/NACK message to the mobile station. When applicable, depending on the medium access mode, the PACKET UPLINK ACK/NACK message shall be sent as required to prevent timer T3184 from expiring.</w:t>
      </w:r>
    </w:p>
    <w:p w14:paraId="33DC5CAB" w14:textId="77777777" w:rsidR="00711444" w:rsidRPr="004D0DAA" w:rsidRDefault="00711444" w:rsidP="00711444">
      <w:r w:rsidRPr="004D0DAA">
        <w:t>The network determines the release of an uplink TBF. The network releases an uplink TBF using the procedure in sub-clause 9.5 (</w:t>
      </w:r>
      <w:r w:rsidRPr="004D0DAA">
        <w:rPr>
          <w:i/>
        </w:rPr>
        <w:t>A/Gb mode</w:t>
      </w:r>
      <w:r w:rsidRPr="004D0DAA">
        <w:t>).</w:t>
      </w:r>
    </w:p>
    <w:p w14:paraId="27DBE91C" w14:textId="77777777" w:rsidR="00711444" w:rsidRPr="004D0DAA" w:rsidRDefault="00711444" w:rsidP="00711444">
      <w:pPr>
        <w:pStyle w:val="NO"/>
      </w:pPr>
      <w:r w:rsidRPr="004D0DAA">
        <w:t>NOTE 1:</w:t>
      </w:r>
      <w:r w:rsidRPr="004D0DAA">
        <w:tab/>
        <w:t>An uplink TBF may be released also by procedures defined in clause 8.</w:t>
      </w:r>
    </w:p>
    <w:p w14:paraId="3A8A9A9C" w14:textId="77777777" w:rsidR="00711444" w:rsidRPr="004D0DAA" w:rsidRDefault="00711444" w:rsidP="00711444">
      <w:pPr>
        <w:pStyle w:val="NO"/>
      </w:pPr>
      <w:r w:rsidRPr="004D0DAA">
        <w:lastRenderedPageBreak/>
        <w:t>NOTE 2:</w:t>
      </w:r>
      <w:r w:rsidRPr="004D0DAA">
        <w:tab/>
        <w:t>Extensive delay of an uplink TBF release whilst the mobile station does not send any RLC information might impact badly on the mobile station power consumption and should be avoided. Inactivity periods should not be longer than necessary to keep the overall performance of GPRS services. Inactivity periods longer than 5 s should not be allowed unless the DTR mode is used, see sub-clause 8.1.8. If, however, the network has indicated that the mobile station during extended uplink TBF mode is not required to send PACKET UPLINK DUMMY CONTROL BLOCK messages, as described above, and the mobile station makes use of this option, the impact on the mobile station power consumption will be less critical and longer inactivity periods than 5 seconds can be allowed.</w:t>
      </w:r>
    </w:p>
    <w:p w14:paraId="725A186D" w14:textId="77777777" w:rsidR="00711444" w:rsidRPr="004D0DAA" w:rsidRDefault="00711444" w:rsidP="00711444">
      <w:pPr>
        <w:pStyle w:val="NO"/>
      </w:pPr>
      <w:r w:rsidRPr="004D0DAA">
        <w:t>NOTE 3:</w:t>
      </w:r>
      <w:r w:rsidRPr="004D0DAA">
        <w:tab/>
        <w:t>Enhanched Flexible Timeslot Assignment, EFTA, is applicable only if the network has indicated that the mobile station during extended uplink TBF mode is not required to send PACKET UPLINK DUMMY CONTROL BLOCK messages as described above.</w:t>
      </w:r>
    </w:p>
    <w:p w14:paraId="056811ED" w14:textId="77777777" w:rsidR="00711444" w:rsidRPr="004D0DAA" w:rsidRDefault="00711444" w:rsidP="00711444">
      <w:pPr>
        <w:pStyle w:val="Heading3"/>
      </w:pPr>
      <w:bookmarkStart w:id="459" w:name="_Toc516669641"/>
      <w:r w:rsidRPr="004D0DAA">
        <w:t>9.3.2</w:t>
      </w:r>
      <w:r w:rsidRPr="004D0DAA">
        <w:tab/>
        <w:t>Acknowledged mode operation</w:t>
      </w:r>
      <w:bookmarkEnd w:id="459"/>
    </w:p>
    <w:p w14:paraId="04845C2F" w14:textId="77777777" w:rsidR="00711444" w:rsidRPr="004D0DAA" w:rsidRDefault="00711444" w:rsidP="00711444">
      <w:pPr>
        <w:pStyle w:val="Heading4"/>
      </w:pPr>
      <w:bookmarkStart w:id="460" w:name="_Toc516669642"/>
      <w:r w:rsidRPr="004D0DAA">
        <w:t>9.3.2.0</w:t>
      </w:r>
      <w:r w:rsidRPr="004D0DAA">
        <w:tab/>
        <w:t>General</w:t>
      </w:r>
      <w:bookmarkEnd w:id="460"/>
    </w:p>
    <w:p w14:paraId="64D13B8F" w14:textId="77777777" w:rsidR="00711444" w:rsidRPr="004D0DAA" w:rsidRDefault="00711444" w:rsidP="00711444">
      <w:r w:rsidRPr="004D0DAA">
        <w:t>The transfer of RLC data blocks in the RLC acknowledged mode uses retransmissions of RLC data blocks. The transmitting side numbers the RLC data blocks via the block sequence number (BSN). The BSN is used for retransmission and for reassembly. The receiving side sends Packet Ack/Nack messages in order to request retransmission of RLC data blocks.</w:t>
      </w:r>
    </w:p>
    <w:p w14:paraId="49E6B78A" w14:textId="77777777" w:rsidR="00711444" w:rsidRPr="004D0DAA" w:rsidRDefault="00711444" w:rsidP="00711444">
      <w:pPr>
        <w:pStyle w:val="Heading4"/>
      </w:pPr>
      <w:bookmarkStart w:id="461" w:name="_Toc516669643"/>
      <w:r w:rsidRPr="004D0DAA">
        <w:t>9.3.2.1</w:t>
      </w:r>
      <w:r w:rsidRPr="004D0DAA">
        <w:tab/>
        <w:t>Additional functionality in acknowledged EGPRS TBF Mode</w:t>
      </w:r>
      <w:bookmarkEnd w:id="461"/>
    </w:p>
    <w:p w14:paraId="331BF3C3" w14:textId="77777777" w:rsidR="00711444" w:rsidRPr="004D0DAA" w:rsidRDefault="00711444" w:rsidP="00711444">
      <w:r w:rsidRPr="004D0DAA">
        <w:t>In EGPRS TBF mode, the transfer of RLC Data Blocks in the acknowledged RLC/MAC mode may be controlled by a selective type I ARQ mechanism, or by type II hybrid ARQ (Incremental Redundancy: IR) mechanism, coupled with the numbering of the RLC Data Blocks within one Temporary Block Flow.</w:t>
      </w:r>
    </w:p>
    <w:p w14:paraId="52635662" w14:textId="77777777" w:rsidR="00711444" w:rsidRPr="004D0DAA" w:rsidRDefault="00711444" w:rsidP="00711444">
      <w:r w:rsidRPr="004D0DAA">
        <w:t xml:space="preserve">According to the link quality, an initial Modulation and Coding Scheme (MCS) is selected for an RLC block (see note). For the retransmissions, the same or another MCS from the same family of MCSs may be selected. E.g. if MCS-7 is selected for the first transmission of an RLC block, any MCS of the family B may be used for the retransmissions. Further, RLC data blocks initially transmitted with any MCS other than MCS-1, MCS-2 or MCS-3, may be retransmitted with MCS-1, MCS-2 or MCS-3 as appropriate, by sending the different parts of the RLC data block in different radio blocks. In this case, the SPB field in the header shall be set to indicate that the RLC data block is split, and which part of the RLC data block is retransmitted in the radio block. </w:t>
      </w:r>
    </w:p>
    <w:p w14:paraId="47F5BF93" w14:textId="77777777" w:rsidR="00711444" w:rsidRPr="004D0DAA" w:rsidRDefault="00711444" w:rsidP="00711444">
      <w:r w:rsidRPr="004D0DAA">
        <w:t>For blocks initially transmitted with MCS-8 which are retransmitted using MCS-6 or MCS-3, for blocks initially transmitted with DAS-6, DAS-9, DAS-11 or DBS-11 which are retransmitted using MCS-3 and for blocks initially transmitted with UBS-11 which are retransmitted using UBS-10, UBS-8, UBS-6 or MCS-3, padding with all zeroes of the first six octets shall be applied. For blocks initially transmitted with UAS-8 or UAS-11 which are retransmitted using MCS-6 or MCS-3, padding with all zeroes of the first ten octets shall be applied. For blocks initially transmitted with DAS-7, DAS-10 or DAS-12 which are retransmitted using MCS-2, padding with all zeroes of the first two octets shall be applied. In all of these cases, the CPS and SPB fields shall be set accordingly. However, if the transmitter side is the mobile station and the RESEGMENT bit is not set, the mobile station shall use an MCS within the same family as the initial MCS without splitting the payload (refer to sub-clause 8.1.1, tables 8.1.1.2, 8.1.1.4 and 8.1.1.6) for retransmission.</w:t>
      </w:r>
    </w:p>
    <w:p w14:paraId="39C3394D" w14:textId="77777777" w:rsidR="00711444" w:rsidRPr="004D0DAA" w:rsidRDefault="00711444" w:rsidP="00711444">
      <w:r w:rsidRPr="004D0DAA">
        <w:t>In case an RLC data block originally transmitted using MCS-8 is retransmitted using two MCS-3 RLC/MAC blocks, the CPS and SPB fields of the first MCS-3 RLC/MAC block shall indicate MCS-3 with (6 octets) padding, whereas the CPS field of the second MCS-3 RLC/MAC block should indicate MCS-3 without padding. In case an RLC data block originally transmitted using DAS-6, DAS-9, DAS-11, DBS-11 or UBS-11 is retransmitted using two MCS-3 RLC/MAC blocks, the CPS and SPB fields of the first MCS-3 RLC/MAC block shall indicate MCS-3 with (6 octets) padding, whereas the CPS field of the second MCS-3 RLC/MAC block shall indicate MCS-3 without padding In case an RLC data block originally transmitted using UAS-8 or UAS-11 is retransmitted using two MCS-3 RLC/MAC blocks, the CPS and SPB fields of the first MCS-3 RLC/MAC block shall indicate MCS-3 with (10 octets) padding, whereas the CPS field of the second MCS-3 RLC/MAC block shall indicate MCS-3 without padding.  In case an RLC data block originally transmitted using DAS-7, DAS-10 or DAS-12 is retransmitted using three MCS-2 RLC/MAC blocks, the CPS field of the first MCS-2 RLC/MAC block shall indicate MCS-2 with (2 octets) padding whereas the CPS field of the remaining two MCS-2 RLC/MAC blocks shall indicate MCS-2 without padding.</w:t>
      </w:r>
    </w:p>
    <w:p w14:paraId="117A2314" w14:textId="77777777" w:rsidR="00711444" w:rsidRPr="004D0DAA" w:rsidRDefault="00711444" w:rsidP="00711444">
      <w:r w:rsidRPr="004D0DAA">
        <w:t>The selection of MCS is controlled by the network.</w:t>
      </w:r>
    </w:p>
    <w:p w14:paraId="15A08385" w14:textId="77777777" w:rsidR="00711444" w:rsidRPr="004D0DAA" w:rsidRDefault="00711444" w:rsidP="00711444">
      <w:r w:rsidRPr="004D0DAA">
        <w:lastRenderedPageBreak/>
        <w:t>The RLC data blocks shall first be sent with one of the initial code rates (i.e. the rate 1/3 encoded data is punctured with the Puncturing Scheme (PS) 1 of the selected MCS). If the RLC data block needs to be retransmitted, additional coded bits (i.e. the output of the rate 1/3 encoded data which is punctured with PS 2 of the prevailing MCS) shall be sent. If all the codewords (different punctured versions of the encoded data block) have been sent, the procedure shall start over and the first codeword (which is punctured with PS 1) shall be sent followed by PS 2 etc. RLC data blocks which are retransmitted using a new MCS shall at the first transmission after the MCS switch be sent with the puncturing scheme indicated in table 9.3.2.1.1.</w:t>
      </w:r>
    </w:p>
    <w:p w14:paraId="49E24335" w14:textId="77777777" w:rsidR="00711444" w:rsidRPr="004D0DAA" w:rsidRDefault="00711444" w:rsidP="00711444">
      <w:pPr>
        <w:pStyle w:val="TH"/>
      </w:pPr>
      <w:r w:rsidRPr="004D0DAA">
        <w:t>Table 9.3.2.1.1: RLC data blocks re-transmitted in new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2438"/>
        <w:gridCol w:w="2438"/>
      </w:tblGrid>
      <w:tr w:rsidR="00711444" w:rsidRPr="004D0DAA" w14:paraId="59FFF0EF" w14:textId="77777777" w:rsidTr="00AA2A4C">
        <w:tblPrEx>
          <w:tblCellMar>
            <w:top w:w="0" w:type="dxa"/>
            <w:bottom w:w="0" w:type="dxa"/>
          </w:tblCellMar>
        </w:tblPrEx>
        <w:trPr>
          <w:cantSplit/>
          <w:jc w:val="center"/>
        </w:trPr>
        <w:tc>
          <w:tcPr>
            <w:tcW w:w="1701" w:type="dxa"/>
          </w:tcPr>
          <w:p w14:paraId="08392372" w14:textId="77777777" w:rsidR="00711444" w:rsidRPr="004D0DAA" w:rsidRDefault="00711444" w:rsidP="00AA2A4C">
            <w:pPr>
              <w:pStyle w:val="TAC"/>
              <w:rPr>
                <w:lang w:eastAsia="en-US"/>
              </w:rPr>
            </w:pPr>
            <w:r w:rsidRPr="004D0DAA">
              <w:rPr>
                <w:b/>
                <w:lang w:eastAsia="en-US"/>
              </w:rPr>
              <w:t>MCS</w:t>
            </w:r>
            <w:r w:rsidRPr="004D0DAA">
              <w:rPr>
                <w:b/>
                <w:lang w:eastAsia="en-US"/>
              </w:rPr>
              <w:br/>
              <w:t>switched from</w:t>
            </w:r>
          </w:p>
        </w:tc>
        <w:tc>
          <w:tcPr>
            <w:tcW w:w="1701" w:type="dxa"/>
          </w:tcPr>
          <w:p w14:paraId="13118211" w14:textId="77777777" w:rsidR="00711444" w:rsidRPr="004D0DAA" w:rsidRDefault="00711444" w:rsidP="00AA2A4C">
            <w:pPr>
              <w:pStyle w:val="TAC"/>
              <w:rPr>
                <w:lang w:eastAsia="en-US"/>
              </w:rPr>
            </w:pPr>
            <w:r w:rsidRPr="004D0DAA">
              <w:rPr>
                <w:b/>
                <w:lang w:eastAsia="en-US"/>
              </w:rPr>
              <w:t>MCS</w:t>
            </w:r>
            <w:r w:rsidRPr="004D0DAA">
              <w:rPr>
                <w:b/>
                <w:lang w:eastAsia="en-US"/>
              </w:rPr>
              <w:br/>
              <w:t>switched to</w:t>
            </w:r>
          </w:p>
        </w:tc>
        <w:tc>
          <w:tcPr>
            <w:tcW w:w="2438" w:type="dxa"/>
          </w:tcPr>
          <w:p w14:paraId="21B77BC0" w14:textId="77777777" w:rsidR="00711444" w:rsidRPr="004D0DAA" w:rsidRDefault="00711444" w:rsidP="00AA2A4C">
            <w:pPr>
              <w:pStyle w:val="TAC"/>
              <w:rPr>
                <w:lang w:eastAsia="en-US"/>
              </w:rPr>
            </w:pPr>
            <w:r w:rsidRPr="004D0DAA">
              <w:rPr>
                <w:b/>
                <w:lang w:eastAsia="en-US"/>
              </w:rPr>
              <w:t>PS of last transmission before MCS switch</w:t>
            </w:r>
          </w:p>
        </w:tc>
        <w:tc>
          <w:tcPr>
            <w:tcW w:w="2438" w:type="dxa"/>
          </w:tcPr>
          <w:p w14:paraId="171349B9" w14:textId="77777777" w:rsidR="00711444" w:rsidRPr="004D0DAA" w:rsidRDefault="00711444" w:rsidP="00AA2A4C">
            <w:pPr>
              <w:pStyle w:val="TAC"/>
              <w:rPr>
                <w:lang w:eastAsia="en-US"/>
              </w:rPr>
            </w:pPr>
            <w:r w:rsidRPr="004D0DAA">
              <w:rPr>
                <w:b/>
                <w:lang w:eastAsia="en-US"/>
              </w:rPr>
              <w:t>PS of first transmission after MCS switch</w:t>
            </w:r>
          </w:p>
        </w:tc>
      </w:tr>
      <w:tr w:rsidR="00711444" w:rsidRPr="004D0DAA" w14:paraId="04BE9AF5" w14:textId="77777777" w:rsidTr="00AA2A4C">
        <w:tblPrEx>
          <w:tblCellMar>
            <w:top w:w="0" w:type="dxa"/>
            <w:bottom w:w="0" w:type="dxa"/>
          </w:tblCellMar>
        </w:tblPrEx>
        <w:trPr>
          <w:cantSplit/>
          <w:jc w:val="center"/>
        </w:trPr>
        <w:tc>
          <w:tcPr>
            <w:tcW w:w="1701" w:type="dxa"/>
            <w:vMerge w:val="restart"/>
          </w:tcPr>
          <w:p w14:paraId="4ACAD98A" w14:textId="77777777" w:rsidR="00711444" w:rsidRPr="004D0DAA" w:rsidRDefault="00711444" w:rsidP="00AA2A4C">
            <w:pPr>
              <w:pStyle w:val="TAC"/>
              <w:rPr>
                <w:lang w:eastAsia="en-US"/>
              </w:rPr>
            </w:pPr>
            <w:r w:rsidRPr="004D0DAA">
              <w:rPr>
                <w:lang w:eastAsia="en-US"/>
              </w:rPr>
              <w:t>MCS-9</w:t>
            </w:r>
          </w:p>
        </w:tc>
        <w:tc>
          <w:tcPr>
            <w:tcW w:w="1701" w:type="dxa"/>
            <w:vMerge w:val="restart"/>
          </w:tcPr>
          <w:p w14:paraId="63085F5E" w14:textId="77777777" w:rsidR="00711444" w:rsidRPr="004D0DAA" w:rsidRDefault="00711444" w:rsidP="00AA2A4C">
            <w:pPr>
              <w:pStyle w:val="TAC"/>
              <w:rPr>
                <w:lang w:eastAsia="en-US"/>
              </w:rPr>
            </w:pPr>
            <w:r w:rsidRPr="004D0DAA">
              <w:rPr>
                <w:lang w:eastAsia="en-US"/>
              </w:rPr>
              <w:t>MCS-6</w:t>
            </w:r>
          </w:p>
        </w:tc>
        <w:tc>
          <w:tcPr>
            <w:tcW w:w="2438" w:type="dxa"/>
          </w:tcPr>
          <w:p w14:paraId="533F89FD" w14:textId="77777777" w:rsidR="00711444" w:rsidRPr="004D0DAA" w:rsidRDefault="00711444" w:rsidP="00AA2A4C">
            <w:pPr>
              <w:pStyle w:val="TAC"/>
              <w:rPr>
                <w:lang w:eastAsia="en-US"/>
              </w:rPr>
            </w:pPr>
            <w:r w:rsidRPr="004D0DAA">
              <w:rPr>
                <w:lang w:eastAsia="en-US"/>
              </w:rPr>
              <w:t>PS 1 or PS 3</w:t>
            </w:r>
          </w:p>
        </w:tc>
        <w:tc>
          <w:tcPr>
            <w:tcW w:w="2438" w:type="dxa"/>
          </w:tcPr>
          <w:p w14:paraId="479D9DE1" w14:textId="77777777" w:rsidR="00711444" w:rsidRPr="004D0DAA" w:rsidRDefault="00711444" w:rsidP="00AA2A4C">
            <w:pPr>
              <w:pStyle w:val="TAC"/>
              <w:rPr>
                <w:lang w:eastAsia="en-US"/>
              </w:rPr>
            </w:pPr>
            <w:r w:rsidRPr="004D0DAA">
              <w:rPr>
                <w:lang w:eastAsia="en-US"/>
              </w:rPr>
              <w:t>PS 1</w:t>
            </w:r>
          </w:p>
        </w:tc>
      </w:tr>
      <w:tr w:rsidR="00711444" w:rsidRPr="004D0DAA" w14:paraId="49ED0E8D" w14:textId="77777777" w:rsidTr="00AA2A4C">
        <w:tblPrEx>
          <w:tblCellMar>
            <w:top w:w="0" w:type="dxa"/>
            <w:bottom w:w="0" w:type="dxa"/>
          </w:tblCellMar>
        </w:tblPrEx>
        <w:trPr>
          <w:cantSplit/>
          <w:jc w:val="center"/>
        </w:trPr>
        <w:tc>
          <w:tcPr>
            <w:tcW w:w="1701" w:type="dxa"/>
            <w:vMerge/>
          </w:tcPr>
          <w:p w14:paraId="1F4B50CB" w14:textId="77777777" w:rsidR="00711444" w:rsidRPr="004D0DAA" w:rsidRDefault="00711444" w:rsidP="00AA2A4C">
            <w:pPr>
              <w:spacing w:before="120"/>
            </w:pPr>
          </w:p>
        </w:tc>
        <w:tc>
          <w:tcPr>
            <w:tcW w:w="1701" w:type="dxa"/>
            <w:vMerge/>
          </w:tcPr>
          <w:p w14:paraId="27674088" w14:textId="77777777" w:rsidR="00711444" w:rsidRPr="004D0DAA" w:rsidRDefault="00711444" w:rsidP="00AA2A4C">
            <w:pPr>
              <w:spacing w:before="120"/>
            </w:pPr>
          </w:p>
        </w:tc>
        <w:tc>
          <w:tcPr>
            <w:tcW w:w="2438" w:type="dxa"/>
          </w:tcPr>
          <w:p w14:paraId="3F237181" w14:textId="77777777" w:rsidR="00711444" w:rsidRPr="004D0DAA" w:rsidRDefault="00711444" w:rsidP="00AA2A4C">
            <w:pPr>
              <w:pStyle w:val="TAC"/>
              <w:rPr>
                <w:lang w:eastAsia="en-US"/>
              </w:rPr>
            </w:pPr>
            <w:r w:rsidRPr="004D0DAA">
              <w:rPr>
                <w:lang w:eastAsia="en-US"/>
              </w:rPr>
              <w:t>PS 2</w:t>
            </w:r>
          </w:p>
        </w:tc>
        <w:tc>
          <w:tcPr>
            <w:tcW w:w="2438" w:type="dxa"/>
          </w:tcPr>
          <w:p w14:paraId="4DC6425F" w14:textId="77777777" w:rsidR="00711444" w:rsidRPr="004D0DAA" w:rsidRDefault="00711444" w:rsidP="00AA2A4C">
            <w:pPr>
              <w:pStyle w:val="TAC"/>
              <w:rPr>
                <w:lang w:eastAsia="en-US"/>
              </w:rPr>
            </w:pPr>
            <w:r w:rsidRPr="004D0DAA">
              <w:rPr>
                <w:lang w:eastAsia="en-US"/>
              </w:rPr>
              <w:t>PS 2</w:t>
            </w:r>
          </w:p>
        </w:tc>
      </w:tr>
      <w:tr w:rsidR="00711444" w:rsidRPr="004D0DAA" w14:paraId="136BEA93" w14:textId="77777777" w:rsidTr="00AA2A4C">
        <w:tblPrEx>
          <w:tblCellMar>
            <w:top w:w="0" w:type="dxa"/>
            <w:bottom w:w="0" w:type="dxa"/>
          </w:tblCellMar>
        </w:tblPrEx>
        <w:trPr>
          <w:cantSplit/>
          <w:jc w:val="center"/>
        </w:trPr>
        <w:tc>
          <w:tcPr>
            <w:tcW w:w="1701" w:type="dxa"/>
            <w:vMerge w:val="restart"/>
          </w:tcPr>
          <w:p w14:paraId="26542179" w14:textId="77777777" w:rsidR="00711444" w:rsidRPr="004D0DAA" w:rsidRDefault="00711444" w:rsidP="00AA2A4C">
            <w:pPr>
              <w:pStyle w:val="TAC"/>
              <w:rPr>
                <w:lang w:eastAsia="en-US"/>
              </w:rPr>
            </w:pPr>
            <w:r w:rsidRPr="004D0DAA">
              <w:rPr>
                <w:lang w:eastAsia="en-US"/>
              </w:rPr>
              <w:t>MCS-6</w:t>
            </w:r>
          </w:p>
        </w:tc>
        <w:tc>
          <w:tcPr>
            <w:tcW w:w="1701" w:type="dxa"/>
            <w:vMerge w:val="restart"/>
          </w:tcPr>
          <w:p w14:paraId="0494E82A" w14:textId="77777777" w:rsidR="00711444" w:rsidRPr="004D0DAA" w:rsidRDefault="00711444" w:rsidP="00AA2A4C">
            <w:pPr>
              <w:pStyle w:val="TAC"/>
              <w:rPr>
                <w:lang w:eastAsia="en-US"/>
              </w:rPr>
            </w:pPr>
            <w:r w:rsidRPr="004D0DAA">
              <w:rPr>
                <w:lang w:eastAsia="en-US"/>
              </w:rPr>
              <w:t>MCS-9</w:t>
            </w:r>
          </w:p>
        </w:tc>
        <w:tc>
          <w:tcPr>
            <w:tcW w:w="2438" w:type="dxa"/>
          </w:tcPr>
          <w:p w14:paraId="5F9B587D" w14:textId="77777777" w:rsidR="00711444" w:rsidRPr="004D0DAA" w:rsidRDefault="00711444" w:rsidP="00AA2A4C">
            <w:pPr>
              <w:pStyle w:val="TAC"/>
              <w:rPr>
                <w:lang w:eastAsia="en-US"/>
              </w:rPr>
            </w:pPr>
            <w:r w:rsidRPr="004D0DAA">
              <w:rPr>
                <w:lang w:eastAsia="en-US"/>
              </w:rPr>
              <w:t>PS 1</w:t>
            </w:r>
          </w:p>
        </w:tc>
        <w:tc>
          <w:tcPr>
            <w:tcW w:w="2438" w:type="dxa"/>
          </w:tcPr>
          <w:p w14:paraId="659EAD51" w14:textId="77777777" w:rsidR="00711444" w:rsidRPr="004D0DAA" w:rsidRDefault="00711444" w:rsidP="00AA2A4C">
            <w:pPr>
              <w:pStyle w:val="TAC"/>
              <w:rPr>
                <w:lang w:eastAsia="en-US"/>
              </w:rPr>
            </w:pPr>
            <w:r w:rsidRPr="004D0DAA">
              <w:rPr>
                <w:lang w:eastAsia="en-US"/>
              </w:rPr>
              <w:t>PS 3</w:t>
            </w:r>
          </w:p>
        </w:tc>
      </w:tr>
      <w:tr w:rsidR="00711444" w:rsidRPr="004D0DAA" w14:paraId="1404159B" w14:textId="77777777" w:rsidTr="00AA2A4C">
        <w:tblPrEx>
          <w:tblCellMar>
            <w:top w:w="0" w:type="dxa"/>
            <w:bottom w:w="0" w:type="dxa"/>
          </w:tblCellMar>
        </w:tblPrEx>
        <w:trPr>
          <w:cantSplit/>
          <w:jc w:val="center"/>
        </w:trPr>
        <w:tc>
          <w:tcPr>
            <w:tcW w:w="1701" w:type="dxa"/>
            <w:vMerge/>
          </w:tcPr>
          <w:p w14:paraId="2E12BD54" w14:textId="77777777" w:rsidR="00711444" w:rsidRPr="004D0DAA" w:rsidRDefault="00711444" w:rsidP="00AA2A4C"/>
        </w:tc>
        <w:tc>
          <w:tcPr>
            <w:tcW w:w="1701" w:type="dxa"/>
            <w:vMerge/>
          </w:tcPr>
          <w:p w14:paraId="1FF614A3" w14:textId="77777777" w:rsidR="00711444" w:rsidRPr="004D0DAA" w:rsidRDefault="00711444" w:rsidP="00AA2A4C"/>
        </w:tc>
        <w:tc>
          <w:tcPr>
            <w:tcW w:w="2438" w:type="dxa"/>
          </w:tcPr>
          <w:p w14:paraId="3E8271E1" w14:textId="77777777" w:rsidR="00711444" w:rsidRPr="004D0DAA" w:rsidRDefault="00711444" w:rsidP="00AA2A4C">
            <w:pPr>
              <w:pStyle w:val="TAC"/>
              <w:rPr>
                <w:lang w:eastAsia="en-US"/>
              </w:rPr>
            </w:pPr>
            <w:r w:rsidRPr="004D0DAA">
              <w:rPr>
                <w:lang w:eastAsia="en-US"/>
              </w:rPr>
              <w:t>PS 2</w:t>
            </w:r>
          </w:p>
        </w:tc>
        <w:tc>
          <w:tcPr>
            <w:tcW w:w="2438" w:type="dxa"/>
          </w:tcPr>
          <w:p w14:paraId="2D579536" w14:textId="77777777" w:rsidR="00711444" w:rsidRPr="004D0DAA" w:rsidRDefault="00711444" w:rsidP="00AA2A4C">
            <w:pPr>
              <w:pStyle w:val="TAC"/>
              <w:rPr>
                <w:lang w:eastAsia="en-US"/>
              </w:rPr>
            </w:pPr>
            <w:r w:rsidRPr="004D0DAA">
              <w:rPr>
                <w:lang w:eastAsia="en-US"/>
              </w:rPr>
              <w:t>PS 2</w:t>
            </w:r>
          </w:p>
        </w:tc>
      </w:tr>
      <w:tr w:rsidR="00711444" w:rsidRPr="004D0DAA" w14:paraId="72425B48" w14:textId="77777777" w:rsidTr="00AA2A4C">
        <w:tblPrEx>
          <w:tblCellMar>
            <w:top w:w="0" w:type="dxa"/>
            <w:bottom w:w="0" w:type="dxa"/>
          </w:tblCellMar>
        </w:tblPrEx>
        <w:trPr>
          <w:cantSplit/>
          <w:jc w:val="center"/>
        </w:trPr>
        <w:tc>
          <w:tcPr>
            <w:tcW w:w="1701" w:type="dxa"/>
          </w:tcPr>
          <w:p w14:paraId="7BBD9EBE" w14:textId="77777777" w:rsidR="00711444" w:rsidRPr="004D0DAA" w:rsidRDefault="00711444" w:rsidP="00AA2A4C">
            <w:pPr>
              <w:pStyle w:val="TAC"/>
              <w:rPr>
                <w:lang w:eastAsia="en-US"/>
              </w:rPr>
            </w:pPr>
            <w:r w:rsidRPr="004D0DAA">
              <w:rPr>
                <w:lang w:eastAsia="en-US"/>
              </w:rPr>
              <w:t>MCS-7</w:t>
            </w:r>
          </w:p>
        </w:tc>
        <w:tc>
          <w:tcPr>
            <w:tcW w:w="1701" w:type="dxa"/>
          </w:tcPr>
          <w:p w14:paraId="347FCB25" w14:textId="77777777" w:rsidR="00711444" w:rsidRPr="004D0DAA" w:rsidRDefault="00711444" w:rsidP="00AA2A4C">
            <w:pPr>
              <w:pStyle w:val="TAC"/>
              <w:rPr>
                <w:lang w:eastAsia="en-US"/>
              </w:rPr>
            </w:pPr>
            <w:r w:rsidRPr="004D0DAA">
              <w:rPr>
                <w:lang w:eastAsia="en-US"/>
              </w:rPr>
              <w:t>MCS-5</w:t>
            </w:r>
          </w:p>
        </w:tc>
        <w:tc>
          <w:tcPr>
            <w:tcW w:w="2438" w:type="dxa"/>
          </w:tcPr>
          <w:p w14:paraId="25A1287A" w14:textId="77777777" w:rsidR="00711444" w:rsidRPr="004D0DAA" w:rsidRDefault="00711444" w:rsidP="00AA2A4C">
            <w:pPr>
              <w:pStyle w:val="TAC"/>
              <w:rPr>
                <w:lang w:eastAsia="en-US"/>
              </w:rPr>
            </w:pPr>
            <w:r w:rsidRPr="004D0DAA">
              <w:rPr>
                <w:lang w:eastAsia="en-US"/>
              </w:rPr>
              <w:t>any</w:t>
            </w:r>
          </w:p>
        </w:tc>
        <w:tc>
          <w:tcPr>
            <w:tcW w:w="2438" w:type="dxa"/>
          </w:tcPr>
          <w:p w14:paraId="329AA896" w14:textId="77777777" w:rsidR="00711444" w:rsidRPr="004D0DAA" w:rsidRDefault="00711444" w:rsidP="00AA2A4C">
            <w:pPr>
              <w:pStyle w:val="TAC"/>
              <w:rPr>
                <w:lang w:eastAsia="en-US"/>
              </w:rPr>
            </w:pPr>
            <w:r w:rsidRPr="004D0DAA">
              <w:rPr>
                <w:lang w:eastAsia="en-US"/>
              </w:rPr>
              <w:t>PS 1</w:t>
            </w:r>
          </w:p>
        </w:tc>
      </w:tr>
      <w:tr w:rsidR="00711444" w:rsidRPr="004D0DAA" w14:paraId="300E9CE6" w14:textId="77777777" w:rsidTr="00AA2A4C">
        <w:tblPrEx>
          <w:tblCellMar>
            <w:top w:w="0" w:type="dxa"/>
            <w:bottom w:w="0" w:type="dxa"/>
          </w:tblCellMar>
        </w:tblPrEx>
        <w:trPr>
          <w:cantSplit/>
          <w:jc w:val="center"/>
        </w:trPr>
        <w:tc>
          <w:tcPr>
            <w:tcW w:w="1701" w:type="dxa"/>
          </w:tcPr>
          <w:p w14:paraId="76B4BC5C" w14:textId="77777777" w:rsidR="00711444" w:rsidRPr="004D0DAA" w:rsidRDefault="00711444" w:rsidP="00AA2A4C">
            <w:pPr>
              <w:pStyle w:val="TAC"/>
              <w:rPr>
                <w:lang w:eastAsia="en-US"/>
              </w:rPr>
            </w:pPr>
            <w:r w:rsidRPr="004D0DAA">
              <w:rPr>
                <w:lang w:eastAsia="en-US"/>
              </w:rPr>
              <w:t>MCS-5</w:t>
            </w:r>
          </w:p>
        </w:tc>
        <w:tc>
          <w:tcPr>
            <w:tcW w:w="1701" w:type="dxa"/>
          </w:tcPr>
          <w:p w14:paraId="0EAB0225" w14:textId="77777777" w:rsidR="00711444" w:rsidRPr="004D0DAA" w:rsidRDefault="00711444" w:rsidP="00AA2A4C">
            <w:pPr>
              <w:pStyle w:val="TAC"/>
              <w:rPr>
                <w:lang w:eastAsia="en-US"/>
              </w:rPr>
            </w:pPr>
            <w:r w:rsidRPr="004D0DAA">
              <w:rPr>
                <w:lang w:eastAsia="en-US"/>
              </w:rPr>
              <w:t>MCS-7</w:t>
            </w:r>
          </w:p>
        </w:tc>
        <w:tc>
          <w:tcPr>
            <w:tcW w:w="2438" w:type="dxa"/>
          </w:tcPr>
          <w:p w14:paraId="517E0E7F" w14:textId="77777777" w:rsidR="00711444" w:rsidRPr="004D0DAA" w:rsidRDefault="00711444" w:rsidP="00AA2A4C">
            <w:pPr>
              <w:pStyle w:val="TAC"/>
              <w:rPr>
                <w:lang w:eastAsia="en-US"/>
              </w:rPr>
            </w:pPr>
            <w:r w:rsidRPr="004D0DAA">
              <w:rPr>
                <w:lang w:eastAsia="en-US"/>
              </w:rPr>
              <w:t>any</w:t>
            </w:r>
          </w:p>
        </w:tc>
        <w:tc>
          <w:tcPr>
            <w:tcW w:w="2438" w:type="dxa"/>
          </w:tcPr>
          <w:p w14:paraId="6BFEFBCB" w14:textId="77777777" w:rsidR="00711444" w:rsidRPr="004D0DAA" w:rsidRDefault="00711444" w:rsidP="00AA2A4C">
            <w:pPr>
              <w:pStyle w:val="TAC"/>
              <w:rPr>
                <w:lang w:eastAsia="en-US"/>
              </w:rPr>
            </w:pPr>
            <w:r w:rsidRPr="004D0DAA">
              <w:rPr>
                <w:lang w:eastAsia="en-US"/>
              </w:rPr>
              <w:t>PS 2</w:t>
            </w:r>
          </w:p>
        </w:tc>
      </w:tr>
      <w:tr w:rsidR="00711444" w:rsidRPr="004D0DAA" w14:paraId="0C1AC3E2" w14:textId="77777777" w:rsidTr="00AA2A4C">
        <w:tblPrEx>
          <w:tblCellMar>
            <w:top w:w="0" w:type="dxa"/>
            <w:bottom w:w="0" w:type="dxa"/>
          </w:tblCellMar>
        </w:tblPrEx>
        <w:trPr>
          <w:cantSplit/>
          <w:jc w:val="center"/>
        </w:trPr>
        <w:tc>
          <w:tcPr>
            <w:tcW w:w="3402" w:type="dxa"/>
            <w:gridSpan w:val="2"/>
          </w:tcPr>
          <w:p w14:paraId="3BA5EAAA" w14:textId="77777777" w:rsidR="00711444" w:rsidRPr="004D0DAA" w:rsidRDefault="00711444" w:rsidP="00AA2A4C">
            <w:pPr>
              <w:pStyle w:val="TAC"/>
              <w:rPr>
                <w:lang w:eastAsia="en-US"/>
              </w:rPr>
            </w:pPr>
            <w:r w:rsidRPr="004D0DAA">
              <w:rPr>
                <w:lang w:eastAsia="en-US"/>
              </w:rPr>
              <w:t>all other combinations</w:t>
            </w:r>
          </w:p>
        </w:tc>
        <w:tc>
          <w:tcPr>
            <w:tcW w:w="2438" w:type="dxa"/>
          </w:tcPr>
          <w:p w14:paraId="67283DB1" w14:textId="77777777" w:rsidR="00711444" w:rsidRPr="004D0DAA" w:rsidRDefault="00711444" w:rsidP="00AA2A4C">
            <w:pPr>
              <w:pStyle w:val="TAC"/>
              <w:rPr>
                <w:lang w:eastAsia="en-US"/>
              </w:rPr>
            </w:pPr>
            <w:r w:rsidRPr="004D0DAA">
              <w:rPr>
                <w:lang w:eastAsia="en-US"/>
              </w:rPr>
              <w:t>any</w:t>
            </w:r>
          </w:p>
        </w:tc>
        <w:tc>
          <w:tcPr>
            <w:tcW w:w="2438" w:type="dxa"/>
          </w:tcPr>
          <w:p w14:paraId="0DD3A983" w14:textId="77777777" w:rsidR="00711444" w:rsidRPr="004D0DAA" w:rsidRDefault="00711444" w:rsidP="00AA2A4C">
            <w:pPr>
              <w:pStyle w:val="TAC"/>
              <w:rPr>
                <w:lang w:eastAsia="en-US"/>
              </w:rPr>
            </w:pPr>
            <w:r w:rsidRPr="004D0DAA">
              <w:rPr>
                <w:lang w:eastAsia="en-US"/>
              </w:rPr>
              <w:t>PS 1</w:t>
            </w:r>
          </w:p>
        </w:tc>
      </w:tr>
    </w:tbl>
    <w:p w14:paraId="79D97EE7" w14:textId="77777777" w:rsidR="00711444" w:rsidRPr="004D0DAA" w:rsidRDefault="00711444" w:rsidP="00711444"/>
    <w:p w14:paraId="27E660E6" w14:textId="77777777" w:rsidR="00711444" w:rsidRPr="004D0DAA" w:rsidRDefault="00711444" w:rsidP="00711444">
      <w:r w:rsidRPr="004D0DAA">
        <w:t>This procedure allows the receiver to operate either in type I or type II hybrid ARQ mode. In the type I ARQ mode, decoding of an RLC data block is solely based on the prevailing transmission (i.e. erroneous blocks are not stored). In the type II ARQ case, erroneous blocks are stored by the receiver and a joint decoding with new transmissions is done. If the memory for IR operation run out in the mobile station, the mobile station shall indicate this by setting the MS OUT OF MEMORY bit in the EGPRS PACKET DOWNLINK ACK/NACK, EGPRS PACKET DOWNLINK ACK/NACK TYPE 2, EGPRS PACKET DOWNLINK ACK/NACK TYPE 3,  EGPRS PACKET DOWNLINK ACK/NACK DLMC or MBMS DOWNLINK ACK/NACK message (see note). For uplink TBFs, the network may implicitly set the type I mode by ordering the mobile station to use a specific MCS and setting the RESEGMENT bit or type II mode by ordering the mobile station to use a specific MCS and not setting the RESEGMENT bit.</w:t>
      </w:r>
    </w:p>
    <w:p w14:paraId="4C20307F" w14:textId="77777777" w:rsidR="00711444" w:rsidRPr="004D0DAA" w:rsidRDefault="00711444" w:rsidP="00711444">
      <w:pPr>
        <w:rPr>
          <w:rFonts w:ascii="Times" w:hAnsi="Times"/>
        </w:rPr>
      </w:pPr>
      <w:r w:rsidRPr="004D0DAA">
        <w:t>Type II hybrid ARQ is mandatory in EGPRS MS receivers and the associated performance requirements are specified in 3GPP TS 45.005.</w:t>
      </w:r>
      <w:r w:rsidRPr="004D0DAA">
        <w:rPr>
          <w:rFonts w:ascii="Times" w:hAnsi="Times"/>
        </w:rPr>
        <w:t xml:space="preserve"> Furthermore, it is mandatory for an EGPRS MS receiver to be able to perform joint decoding among blocks with different MCSs if the combination of MCSs is one of the following:</w:t>
      </w:r>
    </w:p>
    <w:p w14:paraId="09F142EB" w14:textId="77777777" w:rsidR="00711444" w:rsidRPr="004D0DAA" w:rsidRDefault="00711444" w:rsidP="00711444">
      <w:pPr>
        <w:pStyle w:val="B1"/>
      </w:pPr>
      <w:r w:rsidRPr="004D0DAA">
        <w:t>-</w:t>
      </w:r>
      <w:r w:rsidRPr="004D0DAA">
        <w:tab/>
        <w:t>MCS-5 and MCS-7;</w:t>
      </w:r>
    </w:p>
    <w:p w14:paraId="07A0EF7E" w14:textId="77777777" w:rsidR="00711444" w:rsidRPr="004D0DAA" w:rsidRDefault="00711444" w:rsidP="00711444">
      <w:pPr>
        <w:pStyle w:val="B1"/>
      </w:pPr>
      <w:r w:rsidRPr="004D0DAA">
        <w:t>-</w:t>
      </w:r>
      <w:r w:rsidRPr="004D0DAA">
        <w:tab/>
        <w:t>MCS-6 and MCS-9.</w:t>
      </w:r>
    </w:p>
    <w:p w14:paraId="44105824" w14:textId="77777777" w:rsidR="00711444" w:rsidRPr="004D0DAA" w:rsidRDefault="00711444" w:rsidP="00711444">
      <w:pPr>
        <w:rPr>
          <w:rFonts w:ascii="Times" w:hAnsi="Times"/>
        </w:rPr>
      </w:pPr>
      <w:r w:rsidRPr="004D0DAA">
        <w:rPr>
          <w:rFonts w:ascii="Times" w:hAnsi="Times"/>
        </w:rPr>
        <w:t>Additionally</w:t>
      </w:r>
      <w:r w:rsidRPr="004D0DAA">
        <w:t xml:space="preserve"> if the mobile station supports EGPRS2-A</w:t>
      </w:r>
      <w:r w:rsidRPr="004D0DAA">
        <w:rPr>
          <w:rFonts w:ascii="Times" w:hAnsi="Times"/>
        </w:rPr>
        <w:t xml:space="preserve"> in the downlink, it is mandatory for the mobile station to be able to perform joint decoding among blocks with different MCSs if the combination of MCSs is one of the following:</w:t>
      </w:r>
    </w:p>
    <w:p w14:paraId="42122CBA" w14:textId="77777777" w:rsidR="00711444" w:rsidRPr="004D0DAA" w:rsidRDefault="00711444" w:rsidP="00711444">
      <w:pPr>
        <w:pStyle w:val="B1"/>
      </w:pPr>
      <w:r w:rsidRPr="004D0DAA">
        <w:t>-</w:t>
      </w:r>
      <w:r w:rsidRPr="004D0DAA">
        <w:tab/>
        <w:t>DAS-5 and DAS-8;</w:t>
      </w:r>
    </w:p>
    <w:p w14:paraId="4E4AB8A1" w14:textId="77777777" w:rsidR="00711444" w:rsidRPr="004D0DAA" w:rsidRDefault="00711444" w:rsidP="00711444">
      <w:pPr>
        <w:pStyle w:val="B1"/>
      </w:pPr>
      <w:r w:rsidRPr="004D0DAA">
        <w:t>-</w:t>
      </w:r>
      <w:r w:rsidRPr="004D0DAA">
        <w:tab/>
        <w:t>DAS-6, DAS-9 and DAS-11;</w:t>
      </w:r>
    </w:p>
    <w:p w14:paraId="2399E942" w14:textId="77777777" w:rsidR="00711444" w:rsidRPr="004D0DAA" w:rsidRDefault="00711444" w:rsidP="00711444">
      <w:pPr>
        <w:pStyle w:val="B1"/>
      </w:pPr>
      <w:r w:rsidRPr="004D0DAA">
        <w:t>-</w:t>
      </w:r>
      <w:r w:rsidRPr="004D0DAA">
        <w:tab/>
        <w:t>DAS-7, DAS-10 and DAS-12;</w:t>
      </w:r>
    </w:p>
    <w:p w14:paraId="62964A9D" w14:textId="77777777" w:rsidR="00711444" w:rsidRPr="004D0DAA" w:rsidRDefault="00711444" w:rsidP="00711444">
      <w:pPr>
        <w:rPr>
          <w:rFonts w:ascii="Times" w:hAnsi="Times"/>
        </w:rPr>
      </w:pPr>
      <w:r w:rsidRPr="004D0DAA">
        <w:rPr>
          <w:rFonts w:ascii="Times" w:hAnsi="Times"/>
        </w:rPr>
        <w:t xml:space="preserve">and </w:t>
      </w:r>
      <w:r w:rsidRPr="004D0DAA">
        <w:t>if the mobile station supports EGPRS2-B</w:t>
      </w:r>
      <w:r w:rsidRPr="004D0DAA">
        <w:rPr>
          <w:rFonts w:ascii="Times" w:hAnsi="Times"/>
        </w:rPr>
        <w:t xml:space="preserve"> in the downlink, it is mandatory for the mobile station to be able to perform joint decoding among blocks with different MCSs if the combination of MCSs is one of the following:</w:t>
      </w:r>
    </w:p>
    <w:p w14:paraId="3AB9475F" w14:textId="77777777" w:rsidR="00711444" w:rsidRPr="004D0DAA" w:rsidRDefault="00711444" w:rsidP="00711444">
      <w:pPr>
        <w:pStyle w:val="B1"/>
      </w:pPr>
      <w:r w:rsidRPr="004D0DAA">
        <w:t>-</w:t>
      </w:r>
      <w:r w:rsidRPr="004D0DAA">
        <w:tab/>
        <w:t>DBS-5, DBS-7, DBS-9, DAS-5 and DAS-8;</w:t>
      </w:r>
    </w:p>
    <w:p w14:paraId="70F3D549" w14:textId="77777777" w:rsidR="00711444" w:rsidRPr="004D0DAA" w:rsidRDefault="00711444" w:rsidP="00711444">
      <w:pPr>
        <w:pStyle w:val="B1"/>
      </w:pPr>
      <w:r w:rsidRPr="004D0DAA">
        <w:t>-</w:t>
      </w:r>
      <w:r w:rsidRPr="004D0DAA">
        <w:tab/>
        <w:t>DBS-6, DBS-8, DBS-10 and DBS-12;</w:t>
      </w:r>
    </w:p>
    <w:p w14:paraId="554A4030" w14:textId="77777777" w:rsidR="00711444" w:rsidRPr="004D0DAA" w:rsidRDefault="00711444" w:rsidP="00711444">
      <w:pPr>
        <w:pStyle w:val="B1"/>
      </w:pPr>
      <w:r w:rsidRPr="004D0DAA">
        <w:t>-</w:t>
      </w:r>
      <w:r w:rsidRPr="004D0DAA">
        <w:tab/>
        <w:t>DBS-11, DAS-6, DAS-9 and DAS-11.</w:t>
      </w:r>
    </w:p>
    <w:p w14:paraId="1C8D5638" w14:textId="77777777" w:rsidR="00711444" w:rsidRPr="004D0DAA" w:rsidRDefault="00711444" w:rsidP="00711444">
      <w:pPr>
        <w:pStyle w:val="NO"/>
      </w:pPr>
      <w:r w:rsidRPr="004D0DAA">
        <w:t>NOTE:</w:t>
      </w:r>
      <w:r w:rsidRPr="004D0DAA">
        <w:tab/>
        <w:t>The MCS selection may take the IR capability of the receiver into account, for example by using a less robust MCS for a given channel quality.</w:t>
      </w:r>
    </w:p>
    <w:p w14:paraId="75316195" w14:textId="77777777" w:rsidR="00711444" w:rsidRPr="004D0DAA" w:rsidRDefault="00711444" w:rsidP="00711444">
      <w:pPr>
        <w:pStyle w:val="Heading4"/>
      </w:pPr>
      <w:bookmarkStart w:id="462" w:name="_Toc516669644"/>
      <w:r w:rsidRPr="004D0DAA">
        <w:t>9.3.2.1a</w:t>
      </w:r>
      <w:r w:rsidRPr="004D0DAA">
        <w:tab/>
        <w:t>Additional functionality in acknowledged EC TBF Mode</w:t>
      </w:r>
      <w:bookmarkEnd w:id="462"/>
    </w:p>
    <w:p w14:paraId="027976A9" w14:textId="77777777" w:rsidR="00711444" w:rsidRPr="004D0DAA" w:rsidRDefault="00711444" w:rsidP="00711444">
      <w:r w:rsidRPr="004D0DAA">
        <w:t>In EC TBF mode, the transfer of RLC Data Blocks in the acknowledged RLC/MAC mode may be controlled by a selective type I ARQ mechanism, or by type II hybrid ARQ mechanism, coupled with the numbering of the RLC Data Blocks within one Temporary Block Flow.</w:t>
      </w:r>
    </w:p>
    <w:p w14:paraId="08C9E9AB" w14:textId="77777777" w:rsidR="00711444" w:rsidRPr="004D0DAA" w:rsidRDefault="00711444" w:rsidP="00711444">
      <w:r w:rsidRPr="004D0DAA">
        <w:lastRenderedPageBreak/>
        <w:t>A limited number of puncturing schemes is supported in EC TBF mode compared to EGPRS TBF mode. Only one puncturing scheme (PS 1) is used for MCS-1 and MCS-2 and only two puncturing schemes (PS 1 and PS 2) are used for MCS-3 and MCS-4.</w:t>
      </w:r>
    </w:p>
    <w:p w14:paraId="45160869" w14:textId="77777777" w:rsidR="00711444" w:rsidRPr="004D0DAA" w:rsidRDefault="00711444" w:rsidP="00711444">
      <w:r w:rsidRPr="004D0DAA">
        <w:t xml:space="preserve">According to the link quality, an initial Modulation and Coding Scheme (MCS) is selected for an RLC block (see note). For the retransmissions, the same or another MCS from the same family of MCSs may be selected. E.g. if MCS-7 is selected for the first transmission of an RLC block, any MCS of the family B may be used for the retransmissions. Further, RLC data blocks initially transmitted with any MCS other than MCS-1, MCS-2 or MCS-3, may be retransmitted with MCS-1, MCS-2 or MCS-3 as appropriate, by sending the different parts of the RLC data block in different radio blocks. In this case, the SPB field in the header shall be set to indicate that the RLC data block is split, and which part of the RLC data block is retransmitted in the radio block. </w:t>
      </w:r>
    </w:p>
    <w:p w14:paraId="794D72F5" w14:textId="77777777" w:rsidR="00711444" w:rsidRPr="004D0DAA" w:rsidRDefault="00711444" w:rsidP="00711444">
      <w:r w:rsidRPr="004D0DAA">
        <w:t>For blocks initially transmitted with MCS-8 which are retransmitted using MCS-6 or MCS-3, padding with all zeroes of the first six octets shall be applied. In these cases, the CPS and SPB fields shall be set accordingly. However, if the transmitter side is the mobile station and the RESEGMENT bit is not set, the mobile station shall use an MCS within the same family as the initial MCS without splitting the payload (refer to sub-clause 8.1.1 and table 8.1.1.2) for retransmission.</w:t>
      </w:r>
    </w:p>
    <w:p w14:paraId="2B401538" w14:textId="77777777" w:rsidR="00711444" w:rsidRPr="004D0DAA" w:rsidRDefault="00711444" w:rsidP="00711444">
      <w:r w:rsidRPr="004D0DAA">
        <w:t>In case an RLC data block originally transmitted using MCS-8 is retransmitted using two MCS-3 RLC/MAC blocks, the CPS and SPB fields of the first MCS-3 RLC/MAC block shall indicate MCS-3 with (6 octets) padding, whereas the CPS field of the second MCS-3 RLC/MAC block should indicate MCS-3 without padding.</w:t>
      </w:r>
    </w:p>
    <w:p w14:paraId="547AD4B1" w14:textId="77777777" w:rsidR="00711444" w:rsidRPr="004D0DAA" w:rsidRDefault="00711444" w:rsidP="00711444">
      <w:r w:rsidRPr="004D0DAA">
        <w:t>The selection of MCS is controlled by the network. Only MCS-1 shall be used when the assigned Coverage Class &gt; CC1.</w:t>
      </w:r>
    </w:p>
    <w:p w14:paraId="073E71DB" w14:textId="77777777" w:rsidR="00711444" w:rsidRPr="004D0DAA" w:rsidRDefault="00711444" w:rsidP="00711444">
      <w:r w:rsidRPr="004D0DAA">
        <w:t>The RLC data blocks shall first be sent with one of the initial code rates (i.e. the rate 1/3 encoded data is punctured with the Puncturing Scheme (PS) 1 of the selected MCS). If the RLC data block was sent with an MCS of MCS-3 or higher and needs to be retransmitted, additional coded bits (i.e. the output of the rate 1/3 encoded data which is punctured with PS 2 of the prevailing MCS) shall be sent. If all the codewords (different punctured versions of the encoded data block) have been sent, the procedure shall start over and the first codeword (which is punctured with PS 1) shall be sent followed by PS 2 etc.</w:t>
      </w:r>
    </w:p>
    <w:p w14:paraId="01A29316" w14:textId="77777777" w:rsidR="00711444" w:rsidRPr="004D0DAA" w:rsidRDefault="00711444" w:rsidP="00711444">
      <w:r w:rsidRPr="004D0DAA">
        <w:t>If the RLC data block was sent with MCS-1 or MCS-2 and needs to be retransmitted, the retransmissions shall be performed with the same puncturing scheme as the initial transmission (PS 1).</w:t>
      </w:r>
    </w:p>
    <w:p w14:paraId="54F17321" w14:textId="77777777" w:rsidR="00711444" w:rsidRPr="004D0DAA" w:rsidRDefault="00711444" w:rsidP="00711444">
      <w:r w:rsidRPr="004D0DAA">
        <w:t>RLC data blocks which are retransmitted using a new MCS shall at the first transmission after the MCS switch be sent with the puncturing scheme indicated in table 9.3.2.1a.1.</w:t>
      </w:r>
    </w:p>
    <w:p w14:paraId="4DDAA569" w14:textId="77777777" w:rsidR="00711444" w:rsidRPr="004D0DAA" w:rsidRDefault="00711444" w:rsidP="00711444">
      <w:pPr>
        <w:pStyle w:val="TH"/>
      </w:pPr>
      <w:r w:rsidRPr="004D0DAA">
        <w:t>Table 9.3.2.1a.1: RLC data blocks re-transmitted in new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2438"/>
        <w:gridCol w:w="2438"/>
      </w:tblGrid>
      <w:tr w:rsidR="00711444" w:rsidRPr="004D0DAA" w14:paraId="2DD31B86" w14:textId="77777777" w:rsidTr="00AA2A4C">
        <w:tblPrEx>
          <w:tblCellMar>
            <w:top w:w="0" w:type="dxa"/>
            <w:bottom w:w="0" w:type="dxa"/>
          </w:tblCellMar>
        </w:tblPrEx>
        <w:trPr>
          <w:cantSplit/>
          <w:jc w:val="center"/>
        </w:trPr>
        <w:tc>
          <w:tcPr>
            <w:tcW w:w="1701" w:type="dxa"/>
          </w:tcPr>
          <w:p w14:paraId="58088C14" w14:textId="77777777" w:rsidR="00711444" w:rsidRPr="004D0DAA" w:rsidRDefault="00711444" w:rsidP="00AA2A4C">
            <w:pPr>
              <w:pStyle w:val="TAC"/>
              <w:rPr>
                <w:lang w:eastAsia="en-US"/>
              </w:rPr>
            </w:pPr>
            <w:r w:rsidRPr="004D0DAA">
              <w:rPr>
                <w:b/>
                <w:lang w:eastAsia="en-US"/>
              </w:rPr>
              <w:t>MCS</w:t>
            </w:r>
            <w:r w:rsidRPr="004D0DAA">
              <w:rPr>
                <w:b/>
                <w:lang w:eastAsia="en-US"/>
              </w:rPr>
              <w:br/>
              <w:t>switched from</w:t>
            </w:r>
          </w:p>
        </w:tc>
        <w:tc>
          <w:tcPr>
            <w:tcW w:w="1701" w:type="dxa"/>
          </w:tcPr>
          <w:p w14:paraId="5AF2BA6C" w14:textId="77777777" w:rsidR="00711444" w:rsidRPr="004D0DAA" w:rsidRDefault="00711444" w:rsidP="00AA2A4C">
            <w:pPr>
              <w:pStyle w:val="TAC"/>
              <w:rPr>
                <w:lang w:eastAsia="en-US"/>
              </w:rPr>
            </w:pPr>
            <w:r w:rsidRPr="004D0DAA">
              <w:rPr>
                <w:b/>
                <w:lang w:eastAsia="en-US"/>
              </w:rPr>
              <w:t>MCS</w:t>
            </w:r>
            <w:r w:rsidRPr="004D0DAA">
              <w:rPr>
                <w:b/>
                <w:lang w:eastAsia="en-US"/>
              </w:rPr>
              <w:br/>
              <w:t>switched to</w:t>
            </w:r>
          </w:p>
        </w:tc>
        <w:tc>
          <w:tcPr>
            <w:tcW w:w="2438" w:type="dxa"/>
          </w:tcPr>
          <w:p w14:paraId="2CE6B54D" w14:textId="77777777" w:rsidR="00711444" w:rsidRPr="004D0DAA" w:rsidRDefault="00711444" w:rsidP="00AA2A4C">
            <w:pPr>
              <w:pStyle w:val="TAC"/>
              <w:rPr>
                <w:lang w:eastAsia="en-US"/>
              </w:rPr>
            </w:pPr>
            <w:r w:rsidRPr="004D0DAA">
              <w:rPr>
                <w:b/>
                <w:lang w:eastAsia="en-US"/>
              </w:rPr>
              <w:t>PS of last transmission before MCS switch</w:t>
            </w:r>
          </w:p>
        </w:tc>
        <w:tc>
          <w:tcPr>
            <w:tcW w:w="2438" w:type="dxa"/>
          </w:tcPr>
          <w:p w14:paraId="29C60C50" w14:textId="77777777" w:rsidR="00711444" w:rsidRPr="004D0DAA" w:rsidRDefault="00711444" w:rsidP="00AA2A4C">
            <w:pPr>
              <w:pStyle w:val="TAC"/>
              <w:rPr>
                <w:lang w:eastAsia="en-US"/>
              </w:rPr>
            </w:pPr>
            <w:r w:rsidRPr="004D0DAA">
              <w:rPr>
                <w:b/>
                <w:lang w:eastAsia="en-US"/>
              </w:rPr>
              <w:t>PS of first transmission after MCS switch</w:t>
            </w:r>
          </w:p>
        </w:tc>
      </w:tr>
      <w:tr w:rsidR="00711444" w:rsidRPr="004D0DAA" w14:paraId="66A42E20" w14:textId="77777777" w:rsidTr="00AA2A4C">
        <w:tblPrEx>
          <w:tblCellMar>
            <w:top w:w="0" w:type="dxa"/>
            <w:bottom w:w="0" w:type="dxa"/>
          </w:tblCellMar>
        </w:tblPrEx>
        <w:trPr>
          <w:cantSplit/>
          <w:jc w:val="center"/>
        </w:trPr>
        <w:tc>
          <w:tcPr>
            <w:tcW w:w="1701" w:type="dxa"/>
            <w:vMerge w:val="restart"/>
          </w:tcPr>
          <w:p w14:paraId="16D3C1F1" w14:textId="77777777" w:rsidR="00711444" w:rsidRPr="004D0DAA" w:rsidRDefault="00711444" w:rsidP="00AA2A4C">
            <w:pPr>
              <w:pStyle w:val="TAC"/>
              <w:rPr>
                <w:lang w:eastAsia="en-US"/>
              </w:rPr>
            </w:pPr>
            <w:r w:rsidRPr="004D0DAA">
              <w:rPr>
                <w:lang w:eastAsia="en-US"/>
              </w:rPr>
              <w:t>MCS-9</w:t>
            </w:r>
          </w:p>
        </w:tc>
        <w:tc>
          <w:tcPr>
            <w:tcW w:w="1701" w:type="dxa"/>
            <w:vMerge w:val="restart"/>
          </w:tcPr>
          <w:p w14:paraId="54C4015B" w14:textId="77777777" w:rsidR="00711444" w:rsidRPr="004D0DAA" w:rsidRDefault="00711444" w:rsidP="00AA2A4C">
            <w:pPr>
              <w:pStyle w:val="TAC"/>
              <w:rPr>
                <w:lang w:eastAsia="en-US"/>
              </w:rPr>
            </w:pPr>
            <w:r w:rsidRPr="004D0DAA">
              <w:rPr>
                <w:lang w:eastAsia="en-US"/>
              </w:rPr>
              <w:t>MCS-6</w:t>
            </w:r>
          </w:p>
        </w:tc>
        <w:tc>
          <w:tcPr>
            <w:tcW w:w="2438" w:type="dxa"/>
          </w:tcPr>
          <w:p w14:paraId="7E74F2D8" w14:textId="77777777" w:rsidR="00711444" w:rsidRPr="004D0DAA" w:rsidRDefault="00711444" w:rsidP="00AA2A4C">
            <w:pPr>
              <w:pStyle w:val="TAC"/>
              <w:rPr>
                <w:lang w:eastAsia="en-US"/>
              </w:rPr>
            </w:pPr>
            <w:r w:rsidRPr="004D0DAA">
              <w:rPr>
                <w:lang w:eastAsia="en-US"/>
              </w:rPr>
              <w:t>PS 1 or PS 3</w:t>
            </w:r>
          </w:p>
        </w:tc>
        <w:tc>
          <w:tcPr>
            <w:tcW w:w="2438" w:type="dxa"/>
          </w:tcPr>
          <w:p w14:paraId="67955329" w14:textId="77777777" w:rsidR="00711444" w:rsidRPr="004D0DAA" w:rsidRDefault="00711444" w:rsidP="00AA2A4C">
            <w:pPr>
              <w:pStyle w:val="TAC"/>
              <w:rPr>
                <w:lang w:eastAsia="en-US"/>
              </w:rPr>
            </w:pPr>
            <w:r w:rsidRPr="004D0DAA">
              <w:rPr>
                <w:lang w:eastAsia="en-US"/>
              </w:rPr>
              <w:t>PS 1</w:t>
            </w:r>
          </w:p>
        </w:tc>
      </w:tr>
      <w:tr w:rsidR="00711444" w:rsidRPr="004D0DAA" w14:paraId="7D8E39A5" w14:textId="77777777" w:rsidTr="00AA2A4C">
        <w:tblPrEx>
          <w:tblCellMar>
            <w:top w:w="0" w:type="dxa"/>
            <w:bottom w:w="0" w:type="dxa"/>
          </w:tblCellMar>
        </w:tblPrEx>
        <w:trPr>
          <w:cantSplit/>
          <w:jc w:val="center"/>
        </w:trPr>
        <w:tc>
          <w:tcPr>
            <w:tcW w:w="1701" w:type="dxa"/>
            <w:vMerge/>
          </w:tcPr>
          <w:p w14:paraId="438A607C" w14:textId="77777777" w:rsidR="00711444" w:rsidRPr="004D0DAA" w:rsidRDefault="00711444" w:rsidP="00AA2A4C">
            <w:pPr>
              <w:spacing w:before="120"/>
            </w:pPr>
          </w:p>
        </w:tc>
        <w:tc>
          <w:tcPr>
            <w:tcW w:w="1701" w:type="dxa"/>
            <w:vMerge/>
          </w:tcPr>
          <w:p w14:paraId="2EA44D3D" w14:textId="77777777" w:rsidR="00711444" w:rsidRPr="004D0DAA" w:rsidRDefault="00711444" w:rsidP="00AA2A4C">
            <w:pPr>
              <w:spacing w:before="120"/>
            </w:pPr>
          </w:p>
        </w:tc>
        <w:tc>
          <w:tcPr>
            <w:tcW w:w="2438" w:type="dxa"/>
          </w:tcPr>
          <w:p w14:paraId="7033EEFB" w14:textId="77777777" w:rsidR="00711444" w:rsidRPr="004D0DAA" w:rsidRDefault="00711444" w:rsidP="00AA2A4C">
            <w:pPr>
              <w:pStyle w:val="TAC"/>
              <w:rPr>
                <w:lang w:eastAsia="en-US"/>
              </w:rPr>
            </w:pPr>
            <w:r w:rsidRPr="004D0DAA">
              <w:rPr>
                <w:lang w:eastAsia="en-US"/>
              </w:rPr>
              <w:t>PS 2</w:t>
            </w:r>
          </w:p>
        </w:tc>
        <w:tc>
          <w:tcPr>
            <w:tcW w:w="2438" w:type="dxa"/>
          </w:tcPr>
          <w:p w14:paraId="1363FA83" w14:textId="77777777" w:rsidR="00711444" w:rsidRPr="004D0DAA" w:rsidRDefault="00711444" w:rsidP="00AA2A4C">
            <w:pPr>
              <w:pStyle w:val="TAC"/>
              <w:rPr>
                <w:lang w:eastAsia="en-US"/>
              </w:rPr>
            </w:pPr>
            <w:r w:rsidRPr="004D0DAA">
              <w:rPr>
                <w:lang w:eastAsia="en-US"/>
              </w:rPr>
              <w:t>PS 2</w:t>
            </w:r>
          </w:p>
        </w:tc>
      </w:tr>
      <w:tr w:rsidR="00711444" w:rsidRPr="004D0DAA" w14:paraId="06DE0CF3" w14:textId="77777777" w:rsidTr="00AA2A4C">
        <w:tblPrEx>
          <w:tblCellMar>
            <w:top w:w="0" w:type="dxa"/>
            <w:bottom w:w="0" w:type="dxa"/>
          </w:tblCellMar>
        </w:tblPrEx>
        <w:trPr>
          <w:cantSplit/>
          <w:jc w:val="center"/>
        </w:trPr>
        <w:tc>
          <w:tcPr>
            <w:tcW w:w="1701" w:type="dxa"/>
            <w:vMerge w:val="restart"/>
          </w:tcPr>
          <w:p w14:paraId="544668C6" w14:textId="77777777" w:rsidR="00711444" w:rsidRPr="004D0DAA" w:rsidRDefault="00711444" w:rsidP="00AA2A4C">
            <w:pPr>
              <w:pStyle w:val="TAC"/>
              <w:rPr>
                <w:lang w:eastAsia="en-US"/>
              </w:rPr>
            </w:pPr>
            <w:r w:rsidRPr="004D0DAA">
              <w:rPr>
                <w:lang w:eastAsia="en-US"/>
              </w:rPr>
              <w:t>MCS-6</w:t>
            </w:r>
          </w:p>
        </w:tc>
        <w:tc>
          <w:tcPr>
            <w:tcW w:w="1701" w:type="dxa"/>
            <w:vMerge w:val="restart"/>
          </w:tcPr>
          <w:p w14:paraId="2C2E5B42" w14:textId="77777777" w:rsidR="00711444" w:rsidRPr="004D0DAA" w:rsidRDefault="00711444" w:rsidP="00AA2A4C">
            <w:pPr>
              <w:pStyle w:val="TAC"/>
              <w:rPr>
                <w:lang w:eastAsia="en-US"/>
              </w:rPr>
            </w:pPr>
            <w:r w:rsidRPr="004D0DAA">
              <w:rPr>
                <w:lang w:eastAsia="en-US"/>
              </w:rPr>
              <w:t>MCS-9</w:t>
            </w:r>
          </w:p>
        </w:tc>
        <w:tc>
          <w:tcPr>
            <w:tcW w:w="2438" w:type="dxa"/>
          </w:tcPr>
          <w:p w14:paraId="096FB8F7" w14:textId="77777777" w:rsidR="00711444" w:rsidRPr="004D0DAA" w:rsidRDefault="00711444" w:rsidP="00AA2A4C">
            <w:pPr>
              <w:pStyle w:val="TAC"/>
              <w:rPr>
                <w:lang w:eastAsia="en-US"/>
              </w:rPr>
            </w:pPr>
            <w:r w:rsidRPr="004D0DAA">
              <w:rPr>
                <w:lang w:eastAsia="en-US"/>
              </w:rPr>
              <w:t>PS 1</w:t>
            </w:r>
          </w:p>
        </w:tc>
        <w:tc>
          <w:tcPr>
            <w:tcW w:w="2438" w:type="dxa"/>
          </w:tcPr>
          <w:p w14:paraId="1E1781DF" w14:textId="77777777" w:rsidR="00711444" w:rsidRPr="004D0DAA" w:rsidRDefault="00711444" w:rsidP="00AA2A4C">
            <w:pPr>
              <w:pStyle w:val="TAC"/>
              <w:rPr>
                <w:lang w:eastAsia="en-US"/>
              </w:rPr>
            </w:pPr>
            <w:r w:rsidRPr="004D0DAA">
              <w:rPr>
                <w:lang w:eastAsia="en-US"/>
              </w:rPr>
              <w:t>PS 3</w:t>
            </w:r>
          </w:p>
        </w:tc>
      </w:tr>
      <w:tr w:rsidR="00711444" w:rsidRPr="004D0DAA" w14:paraId="4E9678ED" w14:textId="77777777" w:rsidTr="00AA2A4C">
        <w:tblPrEx>
          <w:tblCellMar>
            <w:top w:w="0" w:type="dxa"/>
            <w:bottom w:w="0" w:type="dxa"/>
          </w:tblCellMar>
        </w:tblPrEx>
        <w:trPr>
          <w:cantSplit/>
          <w:jc w:val="center"/>
        </w:trPr>
        <w:tc>
          <w:tcPr>
            <w:tcW w:w="1701" w:type="dxa"/>
            <w:vMerge/>
          </w:tcPr>
          <w:p w14:paraId="0FA37DF4" w14:textId="77777777" w:rsidR="00711444" w:rsidRPr="004D0DAA" w:rsidRDefault="00711444" w:rsidP="00AA2A4C"/>
        </w:tc>
        <w:tc>
          <w:tcPr>
            <w:tcW w:w="1701" w:type="dxa"/>
            <w:vMerge/>
          </w:tcPr>
          <w:p w14:paraId="0E23AB8C" w14:textId="77777777" w:rsidR="00711444" w:rsidRPr="004D0DAA" w:rsidRDefault="00711444" w:rsidP="00AA2A4C"/>
        </w:tc>
        <w:tc>
          <w:tcPr>
            <w:tcW w:w="2438" w:type="dxa"/>
          </w:tcPr>
          <w:p w14:paraId="0978CC4A" w14:textId="77777777" w:rsidR="00711444" w:rsidRPr="004D0DAA" w:rsidRDefault="00711444" w:rsidP="00AA2A4C">
            <w:pPr>
              <w:pStyle w:val="TAC"/>
              <w:rPr>
                <w:lang w:eastAsia="en-US"/>
              </w:rPr>
            </w:pPr>
            <w:r w:rsidRPr="004D0DAA">
              <w:rPr>
                <w:lang w:eastAsia="en-US"/>
              </w:rPr>
              <w:t>PS 2</w:t>
            </w:r>
          </w:p>
        </w:tc>
        <w:tc>
          <w:tcPr>
            <w:tcW w:w="2438" w:type="dxa"/>
          </w:tcPr>
          <w:p w14:paraId="7A41EFB9" w14:textId="77777777" w:rsidR="00711444" w:rsidRPr="004D0DAA" w:rsidRDefault="00711444" w:rsidP="00AA2A4C">
            <w:pPr>
              <w:pStyle w:val="TAC"/>
              <w:rPr>
                <w:lang w:eastAsia="en-US"/>
              </w:rPr>
            </w:pPr>
            <w:r w:rsidRPr="004D0DAA">
              <w:rPr>
                <w:lang w:eastAsia="en-US"/>
              </w:rPr>
              <w:t>PS 2</w:t>
            </w:r>
          </w:p>
        </w:tc>
      </w:tr>
      <w:tr w:rsidR="00711444" w:rsidRPr="004D0DAA" w14:paraId="218BA58F" w14:textId="77777777" w:rsidTr="00AA2A4C">
        <w:tblPrEx>
          <w:tblCellMar>
            <w:top w:w="0" w:type="dxa"/>
            <w:bottom w:w="0" w:type="dxa"/>
          </w:tblCellMar>
        </w:tblPrEx>
        <w:trPr>
          <w:cantSplit/>
          <w:jc w:val="center"/>
        </w:trPr>
        <w:tc>
          <w:tcPr>
            <w:tcW w:w="1701" w:type="dxa"/>
          </w:tcPr>
          <w:p w14:paraId="7DAA0B83" w14:textId="77777777" w:rsidR="00711444" w:rsidRPr="004D0DAA" w:rsidRDefault="00711444" w:rsidP="00AA2A4C">
            <w:pPr>
              <w:pStyle w:val="TAC"/>
              <w:rPr>
                <w:lang w:eastAsia="en-US"/>
              </w:rPr>
            </w:pPr>
            <w:r w:rsidRPr="004D0DAA">
              <w:rPr>
                <w:lang w:eastAsia="en-US"/>
              </w:rPr>
              <w:t>MCS-7</w:t>
            </w:r>
          </w:p>
        </w:tc>
        <w:tc>
          <w:tcPr>
            <w:tcW w:w="1701" w:type="dxa"/>
          </w:tcPr>
          <w:p w14:paraId="7F88A49C" w14:textId="77777777" w:rsidR="00711444" w:rsidRPr="004D0DAA" w:rsidRDefault="00711444" w:rsidP="00AA2A4C">
            <w:pPr>
              <w:pStyle w:val="TAC"/>
              <w:rPr>
                <w:lang w:eastAsia="en-US"/>
              </w:rPr>
            </w:pPr>
            <w:r w:rsidRPr="004D0DAA">
              <w:rPr>
                <w:lang w:eastAsia="en-US"/>
              </w:rPr>
              <w:t>MCS-5</w:t>
            </w:r>
          </w:p>
        </w:tc>
        <w:tc>
          <w:tcPr>
            <w:tcW w:w="2438" w:type="dxa"/>
          </w:tcPr>
          <w:p w14:paraId="381FF6F9" w14:textId="77777777" w:rsidR="00711444" w:rsidRPr="004D0DAA" w:rsidRDefault="00711444" w:rsidP="00AA2A4C">
            <w:pPr>
              <w:pStyle w:val="TAC"/>
              <w:rPr>
                <w:lang w:eastAsia="en-US"/>
              </w:rPr>
            </w:pPr>
            <w:r w:rsidRPr="004D0DAA">
              <w:rPr>
                <w:lang w:eastAsia="en-US"/>
              </w:rPr>
              <w:t>any</w:t>
            </w:r>
          </w:p>
        </w:tc>
        <w:tc>
          <w:tcPr>
            <w:tcW w:w="2438" w:type="dxa"/>
          </w:tcPr>
          <w:p w14:paraId="3D528380" w14:textId="77777777" w:rsidR="00711444" w:rsidRPr="004D0DAA" w:rsidRDefault="00711444" w:rsidP="00AA2A4C">
            <w:pPr>
              <w:pStyle w:val="TAC"/>
              <w:rPr>
                <w:lang w:eastAsia="en-US"/>
              </w:rPr>
            </w:pPr>
            <w:r w:rsidRPr="004D0DAA">
              <w:rPr>
                <w:lang w:eastAsia="en-US"/>
              </w:rPr>
              <w:t>PS 1</w:t>
            </w:r>
          </w:p>
        </w:tc>
      </w:tr>
      <w:tr w:rsidR="00711444" w:rsidRPr="004D0DAA" w14:paraId="51EC0DC8" w14:textId="77777777" w:rsidTr="00AA2A4C">
        <w:tblPrEx>
          <w:tblCellMar>
            <w:top w:w="0" w:type="dxa"/>
            <w:bottom w:w="0" w:type="dxa"/>
          </w:tblCellMar>
        </w:tblPrEx>
        <w:trPr>
          <w:cantSplit/>
          <w:jc w:val="center"/>
        </w:trPr>
        <w:tc>
          <w:tcPr>
            <w:tcW w:w="1701" w:type="dxa"/>
          </w:tcPr>
          <w:p w14:paraId="055B338C" w14:textId="77777777" w:rsidR="00711444" w:rsidRPr="004D0DAA" w:rsidRDefault="00711444" w:rsidP="00AA2A4C">
            <w:pPr>
              <w:pStyle w:val="TAC"/>
              <w:rPr>
                <w:lang w:eastAsia="en-US"/>
              </w:rPr>
            </w:pPr>
            <w:r w:rsidRPr="004D0DAA">
              <w:rPr>
                <w:lang w:eastAsia="en-US"/>
              </w:rPr>
              <w:t>MCS-5</w:t>
            </w:r>
          </w:p>
        </w:tc>
        <w:tc>
          <w:tcPr>
            <w:tcW w:w="1701" w:type="dxa"/>
          </w:tcPr>
          <w:p w14:paraId="16D5381C" w14:textId="77777777" w:rsidR="00711444" w:rsidRPr="004D0DAA" w:rsidRDefault="00711444" w:rsidP="00AA2A4C">
            <w:pPr>
              <w:pStyle w:val="TAC"/>
              <w:rPr>
                <w:lang w:eastAsia="en-US"/>
              </w:rPr>
            </w:pPr>
            <w:r w:rsidRPr="004D0DAA">
              <w:rPr>
                <w:lang w:eastAsia="en-US"/>
              </w:rPr>
              <w:t>MCS-7</w:t>
            </w:r>
          </w:p>
        </w:tc>
        <w:tc>
          <w:tcPr>
            <w:tcW w:w="2438" w:type="dxa"/>
          </w:tcPr>
          <w:p w14:paraId="0CD65122" w14:textId="77777777" w:rsidR="00711444" w:rsidRPr="004D0DAA" w:rsidRDefault="00711444" w:rsidP="00AA2A4C">
            <w:pPr>
              <w:pStyle w:val="TAC"/>
              <w:rPr>
                <w:lang w:eastAsia="en-US"/>
              </w:rPr>
            </w:pPr>
            <w:r w:rsidRPr="004D0DAA">
              <w:rPr>
                <w:lang w:eastAsia="en-US"/>
              </w:rPr>
              <w:t>any</w:t>
            </w:r>
          </w:p>
        </w:tc>
        <w:tc>
          <w:tcPr>
            <w:tcW w:w="2438" w:type="dxa"/>
          </w:tcPr>
          <w:p w14:paraId="14F3395B" w14:textId="77777777" w:rsidR="00711444" w:rsidRPr="004D0DAA" w:rsidRDefault="00711444" w:rsidP="00AA2A4C">
            <w:pPr>
              <w:pStyle w:val="TAC"/>
              <w:rPr>
                <w:lang w:eastAsia="en-US"/>
              </w:rPr>
            </w:pPr>
            <w:r w:rsidRPr="004D0DAA">
              <w:rPr>
                <w:lang w:eastAsia="en-US"/>
              </w:rPr>
              <w:t>PS 2</w:t>
            </w:r>
          </w:p>
        </w:tc>
      </w:tr>
      <w:tr w:rsidR="00711444" w:rsidRPr="004D0DAA" w14:paraId="4F27159D" w14:textId="77777777" w:rsidTr="00AA2A4C">
        <w:tblPrEx>
          <w:tblCellMar>
            <w:top w:w="0" w:type="dxa"/>
            <w:bottom w:w="0" w:type="dxa"/>
          </w:tblCellMar>
        </w:tblPrEx>
        <w:trPr>
          <w:cantSplit/>
          <w:jc w:val="center"/>
        </w:trPr>
        <w:tc>
          <w:tcPr>
            <w:tcW w:w="3402" w:type="dxa"/>
            <w:gridSpan w:val="2"/>
          </w:tcPr>
          <w:p w14:paraId="67D9948F" w14:textId="77777777" w:rsidR="00711444" w:rsidRPr="004D0DAA" w:rsidRDefault="00711444" w:rsidP="00AA2A4C">
            <w:pPr>
              <w:pStyle w:val="TAC"/>
              <w:rPr>
                <w:lang w:eastAsia="en-US"/>
              </w:rPr>
            </w:pPr>
            <w:r w:rsidRPr="004D0DAA">
              <w:rPr>
                <w:lang w:eastAsia="en-US"/>
              </w:rPr>
              <w:t>all other combinations</w:t>
            </w:r>
          </w:p>
        </w:tc>
        <w:tc>
          <w:tcPr>
            <w:tcW w:w="2438" w:type="dxa"/>
          </w:tcPr>
          <w:p w14:paraId="2125292A" w14:textId="77777777" w:rsidR="00711444" w:rsidRPr="004D0DAA" w:rsidRDefault="00711444" w:rsidP="00AA2A4C">
            <w:pPr>
              <w:pStyle w:val="TAC"/>
              <w:rPr>
                <w:lang w:eastAsia="en-US"/>
              </w:rPr>
            </w:pPr>
            <w:r w:rsidRPr="004D0DAA">
              <w:rPr>
                <w:lang w:eastAsia="en-US"/>
              </w:rPr>
              <w:t>any</w:t>
            </w:r>
          </w:p>
        </w:tc>
        <w:tc>
          <w:tcPr>
            <w:tcW w:w="2438" w:type="dxa"/>
          </w:tcPr>
          <w:p w14:paraId="29A8E35C" w14:textId="77777777" w:rsidR="00711444" w:rsidRPr="004D0DAA" w:rsidRDefault="00711444" w:rsidP="00AA2A4C">
            <w:pPr>
              <w:pStyle w:val="TAC"/>
              <w:rPr>
                <w:lang w:eastAsia="en-US"/>
              </w:rPr>
            </w:pPr>
            <w:r w:rsidRPr="004D0DAA">
              <w:rPr>
                <w:lang w:eastAsia="en-US"/>
              </w:rPr>
              <w:t>PS 1</w:t>
            </w:r>
          </w:p>
        </w:tc>
      </w:tr>
    </w:tbl>
    <w:p w14:paraId="29751608" w14:textId="77777777" w:rsidR="00711444" w:rsidRPr="004D0DAA" w:rsidRDefault="00711444" w:rsidP="00711444"/>
    <w:p w14:paraId="0BDAFD43" w14:textId="77777777" w:rsidR="00711444" w:rsidRPr="004D0DAA" w:rsidRDefault="00711444" w:rsidP="00711444">
      <w:r w:rsidRPr="004D0DAA">
        <w:t xml:space="preserve">This procedure allows the receiver to operate either in type I or type II hybrid ARQ mode. In the type I ARQ mode, decoding of an RLC data block is solely based on the prevailing transmission (i.e. erroneous blocks are not stored). In the type II ARQ case, erroneous blocks are stored by the receiver and a joint decoding with new transmissions is done. If the memory for IR operation runs out in the mobile station, the mobile station shall indicate this by setting the MS OUT OF MEMORY bit in the EC PACKET DOWNLINK ACK/NACK </w:t>
      </w:r>
      <w:r w:rsidRPr="004D0DAA">
        <w:rPr>
          <w:lang w:eastAsia="ko-KR"/>
        </w:rPr>
        <w:t xml:space="preserve">or </w:t>
      </w:r>
      <w:r w:rsidRPr="004D0DAA">
        <w:t>EC PACKET DOWNLINK ACK/NACK HIGHER CC (see note). For uplink TBFs, the network may implicitly set the type I mode by ordering the mobile station to use a specific MCS and setting the RESEGMENT bit or type II mode by ordering the mobile station to use a specific MCS and not setting the RESEGMENT bit.</w:t>
      </w:r>
    </w:p>
    <w:p w14:paraId="6B32AA56" w14:textId="77777777" w:rsidR="00711444" w:rsidRPr="004D0DAA" w:rsidRDefault="00711444" w:rsidP="00711444">
      <w:pPr>
        <w:rPr>
          <w:rFonts w:ascii="Times" w:hAnsi="Times"/>
        </w:rPr>
      </w:pPr>
      <w:r w:rsidRPr="004D0DAA">
        <w:t>Type II hybrid ARQ is mandatory for EC-GSM-IoT capable MS receivers and the associated performance requirements are specified in 3GPP TS 45.005 [30].</w:t>
      </w:r>
      <w:r w:rsidRPr="004D0DAA">
        <w:rPr>
          <w:rFonts w:ascii="Times" w:hAnsi="Times"/>
        </w:rPr>
        <w:t xml:space="preserve"> Furthermore, it is mandatory for an EC-</w:t>
      </w:r>
      <w:r w:rsidRPr="004D0DAA">
        <w:t>GSM-IoT capable</w:t>
      </w:r>
      <w:r w:rsidRPr="004D0DAA">
        <w:rPr>
          <w:rFonts w:ascii="Times" w:hAnsi="Times"/>
        </w:rPr>
        <w:t xml:space="preserve"> MS receiver that supports 8-PSK modulation to be able to perform joint decoding among blocks with different MCSs if the combination of MCSs is one of the following:</w:t>
      </w:r>
    </w:p>
    <w:p w14:paraId="11BD8B86" w14:textId="77777777" w:rsidR="00711444" w:rsidRPr="004D0DAA" w:rsidRDefault="00711444" w:rsidP="00711444">
      <w:pPr>
        <w:pStyle w:val="B1"/>
      </w:pPr>
      <w:r w:rsidRPr="004D0DAA">
        <w:lastRenderedPageBreak/>
        <w:t>-</w:t>
      </w:r>
      <w:r w:rsidRPr="004D0DAA">
        <w:tab/>
        <w:t>MCS-5 and MCS-7;</w:t>
      </w:r>
    </w:p>
    <w:p w14:paraId="2F9E44E9" w14:textId="77777777" w:rsidR="00711444" w:rsidRPr="004D0DAA" w:rsidRDefault="00711444" w:rsidP="00711444">
      <w:pPr>
        <w:pStyle w:val="B1"/>
      </w:pPr>
      <w:r w:rsidRPr="004D0DAA">
        <w:t>-</w:t>
      </w:r>
      <w:r w:rsidRPr="004D0DAA">
        <w:tab/>
        <w:t>MCS-6 and MCS-9.</w:t>
      </w:r>
    </w:p>
    <w:p w14:paraId="65C65F15" w14:textId="77777777" w:rsidR="00711444" w:rsidRPr="004D0DAA" w:rsidRDefault="00711444" w:rsidP="00711444">
      <w:pPr>
        <w:pStyle w:val="NO"/>
        <w:rPr>
          <w:noProof/>
        </w:rPr>
      </w:pPr>
      <w:r w:rsidRPr="004D0DAA">
        <w:t>NOTE:</w:t>
      </w:r>
      <w:r w:rsidRPr="004D0DAA">
        <w:tab/>
        <w:t>The MCS selection may take the IR capability of the receiver into account, for example by using a less robust MCS for a given channel quality.</w:t>
      </w:r>
    </w:p>
    <w:p w14:paraId="063A8A90" w14:textId="77777777" w:rsidR="00711444" w:rsidRPr="004D0DAA" w:rsidRDefault="00711444" w:rsidP="00711444">
      <w:pPr>
        <w:pStyle w:val="Heading4"/>
      </w:pPr>
      <w:bookmarkStart w:id="463" w:name="_Toc516669645"/>
      <w:r w:rsidRPr="004D0DAA">
        <w:t>9.3.2.2</w:t>
      </w:r>
      <w:r w:rsidRPr="004D0DAA">
        <w:tab/>
        <w:t>Establishment of Temporary Block Flow</w:t>
      </w:r>
      <w:bookmarkEnd w:id="463"/>
    </w:p>
    <w:p w14:paraId="0EE2794D" w14:textId="77777777" w:rsidR="00711444" w:rsidRPr="004D0DAA" w:rsidRDefault="00711444" w:rsidP="00711444">
      <w:r w:rsidRPr="004D0DAA">
        <w:t>The establishment of a TBF occurs as described in clause 7 and clause 8. RLC functions related to the ARQ function shall not operate until RLC data block transfer has been initiated.</w:t>
      </w:r>
    </w:p>
    <w:p w14:paraId="21544149" w14:textId="77777777" w:rsidR="00711444" w:rsidRPr="004D0DAA" w:rsidRDefault="00711444" w:rsidP="00711444">
      <w:r w:rsidRPr="004D0DAA">
        <w:t>If the last uplink TBF ended with an incompletely transmitted upper layer PDU or any unacknowledged upper layer PDUs, the mobile station shall begin transmission on the new TBF with the oldest unacknowledged upper layer PDU.</w:t>
      </w:r>
    </w:p>
    <w:p w14:paraId="38595DD8" w14:textId="77777777" w:rsidR="00711444" w:rsidRPr="004D0DAA" w:rsidRDefault="00711444" w:rsidP="00711444">
      <w:pPr>
        <w:pStyle w:val="Heading4"/>
      </w:pPr>
      <w:bookmarkStart w:id="464" w:name="_Toc516669646"/>
      <w:r w:rsidRPr="004D0DAA">
        <w:t>9.3.2.3</w:t>
      </w:r>
      <w:r w:rsidRPr="004D0DAA">
        <w:tab/>
        <w:t>Operation of uplink Temporary Block Flow</w:t>
      </w:r>
      <w:bookmarkEnd w:id="464"/>
    </w:p>
    <w:p w14:paraId="5771F684" w14:textId="77777777" w:rsidR="00711444" w:rsidRPr="004D0DAA" w:rsidRDefault="00711444" w:rsidP="00711444">
      <w:r w:rsidRPr="004D0DAA">
        <w:t>The mobile station shall transmit an RLC/MAC block in each assigned uplink data block. RLC/MAC control blocks have preference to RLC data blocks, i.e. temporarily replacing the PDTCH with PACCH, except for an uplink EC TBF, for which EC-PACCH blocks shall not replace EC-PDTCH blocks.</w:t>
      </w:r>
    </w:p>
    <w:p w14:paraId="4A0B17FE" w14:textId="77777777" w:rsidR="00711444" w:rsidRPr="004D0DAA" w:rsidRDefault="00711444" w:rsidP="00711444">
      <w:r w:rsidRPr="004D0DAA">
        <w:t>The network shall send (EC) PACKET UPLINK ACK/NACK messages when needed.</w:t>
      </w:r>
    </w:p>
    <w:p w14:paraId="26A456A6" w14:textId="77777777" w:rsidR="00711444" w:rsidRPr="004D0DAA" w:rsidRDefault="00711444" w:rsidP="00711444">
      <w:r w:rsidRPr="004D0DAA">
        <w:t>The mobile station shall indicate a transmit window stall condition when V(S) = V(A) + WS. Upon detecting a transmit window stall condition, the mobile station shall set the Stall indicator (SI) bit in all subsequent uplink RLC data blocks for this TBF, or if EMST is used, for the associated RLC entity, until the stall condition ceases to exist. An exception is the case of a mobile station using an EC TBF where the Stall indicator (SI) is not supported.</w:t>
      </w:r>
    </w:p>
    <w:p w14:paraId="099CDCF3" w14:textId="77777777" w:rsidR="00711444" w:rsidRPr="004D0DAA" w:rsidRDefault="00711444" w:rsidP="00711444">
      <w:r w:rsidRPr="004D0DAA">
        <w:t>Upon detecting the stall condition the mobile station shall also start timer T3182 for the TBF, or if EMST is used, for the associated RLC entity. Timer T3182 shall be stopped upon reception of a PACKET UPLINK ACK/NACK message that makes V(S) &lt; V(A) + WS. If timer T3182 expires, the mobile station shall decrement counter N3102 by PAN_DEC, and proceed as follows:</w:t>
      </w:r>
    </w:p>
    <w:p w14:paraId="61D5040F" w14:textId="77777777" w:rsidR="00711444" w:rsidRPr="004D0DAA" w:rsidRDefault="00711444" w:rsidP="00711444">
      <w:pPr>
        <w:pStyle w:val="B1"/>
      </w:pPr>
      <w:r w:rsidRPr="004D0DAA">
        <w:t>-</w:t>
      </w:r>
      <w:r w:rsidRPr="004D0DAA">
        <w:tab/>
        <w:t>If there are no other ongoing uplink TBFs and one or no ongoing downlink TBFs perform an abnormal release with access retry (see sub-clause 8.7.2) (</w:t>
      </w:r>
      <w:r w:rsidRPr="004D0DAA">
        <w:rPr>
          <w:i/>
        </w:rPr>
        <w:t>A/Gb mode</w:t>
      </w:r>
      <w:r w:rsidRPr="004D0DAA">
        <w:t>).</w:t>
      </w:r>
    </w:p>
    <w:p w14:paraId="44098C9D" w14:textId="77777777" w:rsidR="00711444" w:rsidRPr="004D0DAA" w:rsidRDefault="00711444" w:rsidP="00711444">
      <w:pPr>
        <w:pStyle w:val="B1"/>
      </w:pPr>
      <w:r w:rsidRPr="004D0DAA">
        <w:t>-</w:t>
      </w:r>
      <w:r w:rsidRPr="004D0DAA">
        <w:tab/>
        <w:t xml:space="preserve">If there are one or more other ongoing uplink TBFs or multiple ongoing downlink TBFs, perform a multiple TBF abnormal release with access retry (see sub-clause 8.7.4). </w:t>
      </w:r>
    </w:p>
    <w:p w14:paraId="3D6442B8" w14:textId="77777777" w:rsidR="00711444" w:rsidRPr="004D0DAA" w:rsidRDefault="00711444" w:rsidP="00711444">
      <w:r w:rsidRPr="004D0DAA">
        <w:t>Whenever the mobile station receives a PACKET UPLINK ACK/NACK message that allows the advancement of V(S) or V(A), the mobile station shall increment N3102 by PAN_INC, however N3102 shall never exceed the value PAN_MAX. Upon cell reselection the mobile station shall set counter N3102 to the value PAN_MAX. When N3102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0 is reached, the mobile station shall perform an abnormal release with cell re-selection (see sub-clause 9.4.2). If PAN_DEC or PAN_INC is set to the value 0, counter N3102 shall be disabled.</w:t>
      </w:r>
    </w:p>
    <w:p w14:paraId="4A6064F6" w14:textId="77777777" w:rsidR="00711444" w:rsidRPr="004D0DAA" w:rsidRDefault="00711444" w:rsidP="00711444">
      <w:r w:rsidRPr="004D0DAA">
        <w:t>Timer T3182 and counter N3102 shall not be used in EC TBF mode. A mobile station in EC TBF mode shall, if it in a fixed uplink allocation is allocated additional resources to what is needed to transmit each RLC data block within the transmit window, perform pre-emptive retransmission in those additional resources (see sub-clause 9.1.3.4).</w:t>
      </w:r>
    </w:p>
    <w:p w14:paraId="6F0DFC38" w14:textId="77777777" w:rsidR="00711444" w:rsidRPr="004D0DAA" w:rsidRDefault="00711444" w:rsidP="00711444">
      <w:r w:rsidRPr="004D0DAA">
        <w:t>A mobile station operating with an exclusive allocation shall start or restart timer T3184 upon reception of a PACKET UPLINK ACK/NACK message. If timer T3184 expires, the mobile station shall perform an abnormal release with access retry (see sub-clause 9.4.2).</w:t>
      </w:r>
    </w:p>
    <w:p w14:paraId="0691DBCB" w14:textId="77777777" w:rsidR="00711444" w:rsidRPr="004D0DAA" w:rsidRDefault="00711444" w:rsidP="00711444">
      <w:pPr>
        <w:rPr>
          <w:noProof/>
        </w:rPr>
      </w:pPr>
      <w:r w:rsidRPr="004D0DAA">
        <w:rPr>
          <w:noProof/>
        </w:rPr>
        <w:t>If a mobile station with an uplink EC TBF, while monitoring the downlink EC-PACCH, receives an RLC/MAC block containing RLC data blocks (thus not intended for the mobile station), it may use the Coverage Class (CC) field in the RLC data block header, if present, to determine that it may avoid listening to the EC-PACCH while repetitions of the ongoing transmission (for a higher Coverage Class to another mobile station) are being transmitted. If the mobile station receives an RLC/MAC block, which is an RLC/MAC control message on the EC-PACCH, which is not addressed to the mobile station, it may use the USED_DL_COVERAGE_CLASS information in the message to determine that it may avoid listening to the EC-PACCH while repetitions of the ongoing transmission (for a higher Coverage Class to another mobile station) are being transmitted.</w:t>
      </w:r>
    </w:p>
    <w:p w14:paraId="24A9C082" w14:textId="77777777" w:rsidR="00711444" w:rsidRPr="004D0DAA" w:rsidRDefault="00711444" w:rsidP="00711444">
      <w:pPr>
        <w:rPr>
          <w:noProof/>
        </w:rPr>
      </w:pPr>
      <w:r w:rsidRPr="004D0DAA">
        <w:rPr>
          <w:noProof/>
        </w:rPr>
        <w:lastRenderedPageBreak/>
        <w:t>If a mobile station with an uplink EC TBF receives an RLC/MAC control message addressed to it on the EC-PACCH, it shall accept the message even if the USED_DL_COVERAGE_CLASS information in the message indicates a different downlink Coverage Class than what is assigned to the mobile station.</w:t>
      </w:r>
    </w:p>
    <w:p w14:paraId="1F4AF2D3" w14:textId="77777777" w:rsidR="00711444" w:rsidRPr="004D0DAA" w:rsidRDefault="00711444" w:rsidP="00711444">
      <w:pPr>
        <w:pStyle w:val="Heading4"/>
      </w:pPr>
      <w:bookmarkStart w:id="465" w:name="_Toc516669647"/>
      <w:r w:rsidRPr="004D0DAA">
        <w:t>9.3.2.4</w:t>
      </w:r>
      <w:r w:rsidRPr="004D0DAA">
        <w:tab/>
        <w:t>Release of uplink Temporary Block Flow</w:t>
      </w:r>
      <w:bookmarkEnd w:id="465"/>
    </w:p>
    <w:p w14:paraId="195259F4" w14:textId="77777777" w:rsidR="00711444" w:rsidRPr="004D0DAA" w:rsidRDefault="00711444" w:rsidP="00711444">
      <w:pPr>
        <w:pStyle w:val="Heading5"/>
      </w:pPr>
      <w:bookmarkStart w:id="466" w:name="_Toc516669648"/>
      <w:r w:rsidRPr="004D0DAA">
        <w:t>9.3.2.4.1</w:t>
      </w:r>
      <w:r w:rsidRPr="004D0DAA">
        <w:tab/>
        <w:t>General</w:t>
      </w:r>
      <w:bookmarkEnd w:id="466"/>
    </w:p>
    <w:p w14:paraId="07519C31" w14:textId="77777777" w:rsidR="00711444" w:rsidRPr="004D0DAA" w:rsidRDefault="00711444" w:rsidP="00711444">
      <w:r w:rsidRPr="004D0DAA">
        <w:t>In the non-extended uplink TBF mode, the mobile station initiates the release of the uplink TBF by beginning the countdown process (see sub-clause 9.3.1).</w:t>
      </w:r>
    </w:p>
    <w:p w14:paraId="60E1C044" w14:textId="77777777" w:rsidR="00711444" w:rsidRPr="004D0DAA" w:rsidRDefault="00711444" w:rsidP="00711444">
      <w:r w:rsidRPr="004D0DAA">
        <w:t>In the extended uplink TBF mode, the network determines when to release the uplink TBF. The release of an uplink TBF in the extended uplink TBF mode is performed by the procedure defined in sub-clause 9.5.</w:t>
      </w:r>
    </w:p>
    <w:p w14:paraId="4F99E0F2" w14:textId="77777777" w:rsidR="00711444" w:rsidRPr="004D0DAA" w:rsidRDefault="00711444" w:rsidP="00711444">
      <w:pPr>
        <w:pStyle w:val="Heading5"/>
      </w:pPr>
      <w:bookmarkStart w:id="467" w:name="_Toc516669649"/>
      <w:r w:rsidRPr="004D0DAA">
        <w:t>9.3.2.4.2</w:t>
      </w:r>
      <w:r w:rsidRPr="004D0DAA">
        <w:tab/>
        <w:t>Non-extended uplink TBF mode</w:t>
      </w:r>
      <w:bookmarkEnd w:id="467"/>
    </w:p>
    <w:p w14:paraId="5D57817F" w14:textId="77777777" w:rsidR="00711444" w:rsidRPr="004D0DAA" w:rsidRDefault="00711444" w:rsidP="00711444">
      <w:r w:rsidRPr="004D0DAA">
        <w:t>When the mobile station has sent the RLC data block with CV = 0 and there are no elements in the V(B) array set to the value Nacked, it shall start timer T3182 for this TBF. The mobile station shall continue to send RLC data blocks on each assigned uplink data block, according to the algorithm defined in sub-clause 9.1.3.</w:t>
      </w:r>
    </w:p>
    <w:p w14:paraId="010FE053" w14:textId="77777777" w:rsidR="00711444" w:rsidRPr="004D0DAA" w:rsidRDefault="00711444" w:rsidP="00711444">
      <w:r w:rsidRPr="004D0DAA">
        <w:t>If the network has received all RLC data blocks when it detects the end of the TBF (i.e. when CV=0 and V(Q) = V(R)), it shall send the PACKET UPLINK ACK/NACK message with the Final Ack Indicator bit set to '1', include a valid RRBP field in the RLC/MAC control block header and clear counter N3103 for the TBF. The network may use the TBF Est field in the PACKET UPLINK ACK/NACK message to allow the mobile station to request the establishment of a new uplink TBF if there are no additional TBFs ongoing for that mobile station.</w:t>
      </w:r>
    </w:p>
    <w:p w14:paraId="591D74F1" w14:textId="77777777" w:rsidR="00711444" w:rsidRPr="004D0DAA" w:rsidRDefault="00711444" w:rsidP="00711444">
      <w:r w:rsidRPr="004D0DAA">
        <w:t>If the network has not received all of the RLC data blocks when it detects the end of the TBF, it shall send a PACKET UPLINK ACK/NACK message to the mobile station and if necessary allocate sufficient uplink resources for the mobile station to retransmit the required RLC data blocks.</w:t>
      </w:r>
    </w:p>
    <w:p w14:paraId="5A1C2282" w14:textId="77777777" w:rsidR="00711444" w:rsidRPr="004D0DAA" w:rsidRDefault="00711444" w:rsidP="00711444">
      <w:r w:rsidRPr="004D0DAA">
        <w:t>Upon reception of a PACKET UPLINK ACK/NACK message for this TBF the mobile station shall stop timer T3182 for the TBF.</w:t>
      </w:r>
    </w:p>
    <w:p w14:paraId="0464BC2F" w14:textId="77777777" w:rsidR="00711444" w:rsidRPr="004D0DAA" w:rsidRDefault="00711444" w:rsidP="00711444">
      <w:r w:rsidRPr="004D0DAA">
        <w:t>If the PACKET UPLINK ACK/NACK message has the Final Ack Indicator bit set to '1' and the following conditions are fulfilled: TBF Est field is set to '1'; the mobile station has new data to transmit; the mobile station has no other ongoing downlink TBFs, the mobile station shall release the uplink TBF and may request the establishment of a new TBF using one of the following procedures:</w:t>
      </w:r>
    </w:p>
    <w:p w14:paraId="2793FA38" w14:textId="77777777" w:rsidR="00711444" w:rsidRPr="004D0DAA" w:rsidRDefault="00711444" w:rsidP="00711444">
      <w:pPr>
        <w:pStyle w:val="B1"/>
      </w:pPr>
      <w:r w:rsidRPr="004D0DAA">
        <w:t>-</w:t>
      </w:r>
      <w:r w:rsidRPr="004D0DAA">
        <w:tab/>
        <w:t>If Control Ack Type parameter in System Information indicates acknowledgement is access burst, the mobile station shall transmit the PACKET CONTROL ACKNOWLEDGEMENT message with the Ctrl Ack bits set to '00'. The mobile station shall start timer T3168 for the TBF request and continue to monitor the PDCH used for transmitting the PACKET CONTROL ACKNOWLEDGEMENT message. The mobile station shall stop timer T3168 for the TBF upon reception of the PACKET UPLINK ASSIGNMENT message including Single Block Allocation structure assigning resources for the TBF or the PACKET ACCESS REJECT message rejecting the TBF request. The mobile station shall use the same procedures as are used for TBF establishment using two phase access described in sub-clause 7.1.3 starting from the point where the mobile station receives the PACKET UPLINK ASSIGNMENT message including Single Block Allocation structure or the PACKET ACCESS REJECT message.</w:t>
      </w:r>
    </w:p>
    <w:p w14:paraId="72F2F116" w14:textId="77777777" w:rsidR="00711444" w:rsidRPr="004D0DAA" w:rsidRDefault="00711444" w:rsidP="00711444">
      <w:pPr>
        <w:pStyle w:val="B1"/>
      </w:pPr>
      <w:r w:rsidRPr="004D0DAA">
        <w:t>-</w:t>
      </w:r>
      <w:r w:rsidRPr="004D0DAA">
        <w:tab/>
        <w:t>If Control Ack Type parameter in System Information indicates acknowledgement is RLC/MAC control block, the mobile station shall transmit the PACKET RESOURCE REQUEST message and start timer T3168 for the TBF request. The mobile station shall use the same procedures as are used for TBF establishment using two phase access described in sub-clause 7.1.3 starting from the point where the mobile station transmits the PACKET RESOURCE REQUEST message.</w:t>
      </w:r>
    </w:p>
    <w:p w14:paraId="6D17C26A" w14:textId="77777777" w:rsidR="00711444" w:rsidRPr="004D0DAA" w:rsidRDefault="00711444" w:rsidP="00711444">
      <w:r w:rsidRPr="004D0DAA">
        <w:t>If the PACKET UPLINK ACK/NACK message has the Final Ack Indicator bit set to ‘1’ and the mobile station does not initiate the establishment of a new uplink TBF according to one of the procedures described above, the mobile station shall transmit the PACKET CONTROL ACKNOWLEDGEMENT message and release the TBF. If there is no other ongoing TBFs, the mobile station in packet transfer mode or MAC-Shared state shall return to packet idle mode or MAC-Idle state; the mobile station in dual transfer mode or MAC-DTM state shall return to dedicated mode or MAC-Dedicated state. The DRX mode procedures shall be applied as specified in sub-clause 5.5.1.5. If there are one or more ongoing TBFs a mobile station shall remain in its current mode/state and can request additional uplink TBFs as follows:</w:t>
      </w:r>
    </w:p>
    <w:p w14:paraId="438A4C3A" w14:textId="77777777" w:rsidR="00711444" w:rsidRPr="004D0DAA" w:rsidRDefault="00711444" w:rsidP="00711444">
      <w:pPr>
        <w:pStyle w:val="B1"/>
      </w:pPr>
      <w:r w:rsidRPr="004D0DAA">
        <w:lastRenderedPageBreak/>
        <w:t>-</w:t>
      </w:r>
      <w:r w:rsidRPr="004D0DAA">
        <w:tab/>
        <w:t>It may send a PACKET RESOURCE REQUEST message using the PACCH if there is at least one ongoing uplink TBF as described in sub-clause 8.1.1.1.2.</w:t>
      </w:r>
    </w:p>
    <w:p w14:paraId="2B9B2051" w14:textId="77777777" w:rsidR="00711444" w:rsidRPr="004D0DAA" w:rsidRDefault="00711444" w:rsidP="00711444">
      <w:pPr>
        <w:pStyle w:val="B1"/>
      </w:pPr>
      <w:r w:rsidRPr="004D0DAA">
        <w:t>-</w:t>
      </w:r>
      <w:r w:rsidRPr="004D0DAA">
        <w:tab/>
        <w:t>It may include a Channel Request Description or the Extended Channel Request Description information element in the (EGPRS) PACKET DOWNLINK ACK/NACK or EGPRS PACKET DOWNLINK ACK/NACK TYPE 2 message or a Channel Request Description information element in the EGPRS PACKET DOWNLINK ACK/NACK DLMC message if there are no ongoing uplink TBFs and at least one ongoing downlink TBF as described in sub-clause 8.1.2.5.</w:t>
      </w:r>
    </w:p>
    <w:p w14:paraId="793395B2" w14:textId="77777777" w:rsidR="00711444" w:rsidRPr="004D0DAA" w:rsidRDefault="00711444" w:rsidP="00711444">
      <w:r w:rsidRPr="004D0DAA">
        <w:t xml:space="preserve">If the PACKET UPLINK ACK/NACK message requests retransmission of RLC data blocks, the mobile station shall if necessary wait for allocation of uplink resources for this TBF and then retransmit the RLC data blocks requested. The mobile station shall then start timer T3182 for the TBF and wait for a PACKET UPLINK ACK/NACK message as above. </w:t>
      </w:r>
    </w:p>
    <w:p w14:paraId="4B02B870" w14:textId="77777777" w:rsidR="00711444" w:rsidRPr="004D0DAA" w:rsidRDefault="00711444" w:rsidP="00711444">
      <w:r w:rsidRPr="004D0DAA">
        <w:t>If timer T3182 expires for the TBF the mobile station shall perform an abnormal release with access retry (see sub-clause 8.7.2) (</w:t>
      </w:r>
      <w:r w:rsidRPr="004D0DAA">
        <w:rPr>
          <w:i/>
        </w:rPr>
        <w:t>A/Gb mode</w:t>
      </w:r>
      <w:r w:rsidRPr="004D0DAA">
        <w:t>). </w:t>
      </w:r>
    </w:p>
    <w:p w14:paraId="426A7462" w14:textId="77777777" w:rsidR="00711444" w:rsidRPr="004D0DAA" w:rsidRDefault="00711444" w:rsidP="00711444">
      <w:r w:rsidRPr="004D0DAA">
        <w:t>When the network receives the PACKET CONTROL ACKNOWLEDGEMENT message or the PACKET RESOURCE REQUEST message in the radio block indicated by the RRBP field, it may reuse the TFI and USF resources.</w:t>
      </w:r>
    </w:p>
    <w:p w14:paraId="08FFA953" w14:textId="77777777" w:rsidR="00711444" w:rsidRPr="004D0DAA" w:rsidRDefault="00711444" w:rsidP="00711444">
      <w:r w:rsidRPr="004D0DAA">
        <w:t>If the network receives the PACKET CONTROL ACKNOWLEDGEMENT message with Ctrl Ack bits set to '00' or the PACKET RESOURCE REQUEST message in the radio block indicated by the RRBP field and the network has set the TBF Est field to '1' in the PACKET UPLINK ACK/NACK message, the network shall follow one of the following procedures:</w:t>
      </w:r>
    </w:p>
    <w:p w14:paraId="530F80D6" w14:textId="77777777" w:rsidR="00711444" w:rsidRPr="004D0DAA" w:rsidRDefault="00711444" w:rsidP="00711444">
      <w:pPr>
        <w:pStyle w:val="B1"/>
      </w:pPr>
      <w:r w:rsidRPr="004D0DAA">
        <w:t>-</w:t>
      </w:r>
      <w:r w:rsidRPr="004D0DAA">
        <w:tab/>
        <w:t xml:space="preserve">In case the mobile station requested the establishment of new TBF with the PACKET CONTROL ACKNOWLEDGEMENT message, the network shall respond to the mobile station with the PACKET UPLINK ASSIGNMENT message including Single Block Allocation structure or the PACKET ACCESS REJECT message on the same PDCH as the mobile station has sent the PACKET CONTROL ACKNOWLEDGEMENT message. TLLI (in </w:t>
      </w:r>
      <w:r w:rsidRPr="004D0DAA">
        <w:rPr>
          <w:i/>
        </w:rPr>
        <w:t>A/Gb mode</w:t>
      </w:r>
      <w:r w:rsidRPr="004D0DAA">
        <w:t xml:space="preserve">) or the G-RNTI (in </w:t>
      </w:r>
      <w:r w:rsidRPr="004D0DAA">
        <w:rPr>
          <w:i/>
        </w:rPr>
        <w:t>Iu mode</w:t>
      </w:r>
      <w:r w:rsidRPr="004D0DAA">
        <w:t>) shall be used to identify the mobile station. The network shall use the same procedures as are used for TBF establishment using two phase access described in sub-clause 7.1.3 (</w:t>
      </w:r>
      <w:r w:rsidRPr="004D0DAA">
        <w:rPr>
          <w:i/>
        </w:rPr>
        <w:t>A/Gb mode</w:t>
      </w:r>
      <w:r w:rsidRPr="004D0DAA">
        <w:t>) starting from the point where the network transmits the PACKET UPLINK ASSIGNMENT message including Single Block Allocation structure or the PACKET ACCESS REJECT message.</w:t>
      </w:r>
    </w:p>
    <w:p w14:paraId="14CE679D" w14:textId="77777777" w:rsidR="00711444" w:rsidRPr="004D0DAA" w:rsidRDefault="00711444" w:rsidP="00711444">
      <w:pPr>
        <w:pStyle w:val="B1"/>
      </w:pPr>
      <w:r w:rsidRPr="004D0DAA">
        <w:t>-</w:t>
      </w:r>
      <w:r w:rsidRPr="004D0DAA">
        <w:tab/>
        <w:t>In case the mobile station requested the establishment of new TBF with the PACKET RESOURCE REQUEST message, the network shall use the same procedures as are used for TBF establishment using two phase access described in sub-clause 7.1.3 (</w:t>
      </w:r>
      <w:r w:rsidRPr="004D0DAA">
        <w:rPr>
          <w:i/>
        </w:rPr>
        <w:t>A/Gb mode</w:t>
      </w:r>
      <w:r w:rsidRPr="004D0DAA">
        <w:t xml:space="preserve">) starting from the point where the network has received the PACKET RESOURCE REQUEST message. TLLI (in </w:t>
      </w:r>
      <w:r w:rsidRPr="004D0DAA">
        <w:rPr>
          <w:i/>
        </w:rPr>
        <w:t>A/Gb mode</w:t>
      </w:r>
      <w:r w:rsidRPr="004D0DAA">
        <w:t xml:space="preserve">) or the G-RNTI (in </w:t>
      </w:r>
      <w:r w:rsidRPr="004D0DAA">
        <w:rPr>
          <w:i/>
        </w:rPr>
        <w:t>Iu mode</w:t>
      </w:r>
      <w:r w:rsidRPr="004D0DAA">
        <w:t xml:space="preserve">) shall be used to identify the mobile station. </w:t>
      </w:r>
    </w:p>
    <w:p w14:paraId="4D69ABA8" w14:textId="77777777" w:rsidR="00711444" w:rsidRPr="004D0DAA" w:rsidRDefault="00711444" w:rsidP="00711444">
      <w:r w:rsidRPr="004D0DAA">
        <w:t>If the network does not receive the PACKET CONTROL ACKNOWLEDGEMENT message or the PACKET RESOURCE REQUEST message in the radio block indicated by the RRBP field, it shall increment counter N3103 for the TBF and retransmit the PACKET UPLINK ACK/NACK message. If counter N3103 exceeds its limit, the network shall start timer T3169 for the TBF. When timer T3169 expires for the TBF the network may reuse the TFI and USF resources.</w:t>
      </w:r>
    </w:p>
    <w:p w14:paraId="69EB19A8" w14:textId="77777777" w:rsidR="00711444" w:rsidRPr="004D0DAA" w:rsidRDefault="00711444" w:rsidP="00711444">
      <w:pPr>
        <w:pStyle w:val="Heading5"/>
      </w:pPr>
      <w:bookmarkStart w:id="468" w:name="_Toc516669650"/>
      <w:r w:rsidRPr="004D0DAA">
        <w:t>9.3.2.4.3</w:t>
      </w:r>
      <w:r w:rsidRPr="004D0DAA">
        <w:tab/>
        <w:t>Release of uplink EC TBF</w:t>
      </w:r>
      <w:bookmarkEnd w:id="468"/>
    </w:p>
    <w:p w14:paraId="7B4422C3" w14:textId="77777777" w:rsidR="00711444" w:rsidRPr="004D0DAA" w:rsidRDefault="00711444" w:rsidP="00711444">
      <w:r w:rsidRPr="004D0DAA">
        <w:t xml:space="preserve">When the network has received all RLC data blocks for a TBF (i.e. all RLC data blocks that the mobile station has indicated as part of the TBF have been received), it shall send the EC PACKET UPLINK ACK/NACK message with the Final Ack Indicator bit set to '1'. The network may include a valid RRBP field in the RLC/MAC control block header in order to poll the mobile station for an EC PACKET CONTROL ACKNOWLEDGEMENT </w:t>
      </w:r>
      <w:r w:rsidRPr="004D0DAA">
        <w:rPr>
          <w:lang w:eastAsia="ko-KR"/>
        </w:rPr>
        <w:t xml:space="preserve">or </w:t>
      </w:r>
      <w:r w:rsidRPr="004D0DAA">
        <w:t>EC PACKET DOWNLINK ACK/NACK HIGHER CC message. The network shall then clear counter N3103 for the TBF at transmission of the EC PACKET UPLINK ACK/NACK message.</w:t>
      </w:r>
    </w:p>
    <w:p w14:paraId="7FF67FC8" w14:textId="77777777" w:rsidR="00711444" w:rsidRPr="004D0DAA" w:rsidRDefault="00711444" w:rsidP="00711444">
      <w:r w:rsidRPr="004D0DAA">
        <w:t xml:space="preserve">When the mobile station receives the EC PACKET UPLINK ACK/NACK message with the Final Ack Indicator bit set to ‘1’ and including a valid RRBP field in the RLC/MAC control block header, it shall transmit an EC PACKET CONTROL ACKNOWLEDGEMENT </w:t>
      </w:r>
      <w:r w:rsidRPr="004D0DAA">
        <w:rPr>
          <w:lang w:eastAsia="ko-KR"/>
        </w:rPr>
        <w:t xml:space="preserve">or </w:t>
      </w:r>
      <w:r w:rsidRPr="004D0DAA">
        <w:t xml:space="preserve">EC PACKET DOWNLINK ACK/NACK HIGHER CC message in the uplink resources indicated by the RRBP field. The EC PACKET CONTROL ACKNOWLEDGEMENT </w:t>
      </w:r>
      <w:r w:rsidRPr="004D0DAA">
        <w:rPr>
          <w:lang w:eastAsia="ko-KR"/>
        </w:rPr>
        <w:t xml:space="preserve">or </w:t>
      </w:r>
      <w:r w:rsidRPr="004D0DAA">
        <w:t>EC PACKET DOWNLINK ACK/NACK HIGHER CC message shall be sent according to the last assigned UL Coverage Class.</w:t>
      </w:r>
    </w:p>
    <w:p w14:paraId="2E91200E" w14:textId="77777777" w:rsidR="00711444" w:rsidRPr="004D0DAA" w:rsidRDefault="00711444" w:rsidP="00711444">
      <w:r w:rsidRPr="004D0DAA">
        <w:t xml:space="preserve">The network may, in the EC PACKET UPLINK ACK/NACK message with the Final Ack Indicator bit set to '1’, indicate that the mobile station shall continue monitoring the EC-PACCH for some time, for possible reception of a </w:t>
      </w:r>
      <w:r w:rsidRPr="004D0DAA">
        <w:lastRenderedPageBreak/>
        <w:t xml:space="preserve">downlink RLC/MAC control message, before returning to packet idle mode, see sub-clause 11.2.57. The network shall then start timer T3237 at transmission of the EC PACKET UPLINK ACK/NACK message. If the mobile station is not indicated to continue monitoring the EC-PACCH, it shall return directly to packet idle mode after reception of the message and, if so indicated by the network, transmission of the EC PACKET CONTROL ACKNOWLEDGEMENT </w:t>
      </w:r>
      <w:r w:rsidRPr="004D0DAA">
        <w:rPr>
          <w:lang w:eastAsia="ko-KR"/>
        </w:rPr>
        <w:t xml:space="preserve">or </w:t>
      </w:r>
      <w:r w:rsidRPr="004D0DAA">
        <w:t>EC PACKET DOWNLINK ACK/NACK HIGHER CC message.</w:t>
      </w:r>
    </w:p>
    <w:p w14:paraId="1087916E" w14:textId="77777777" w:rsidR="00711444" w:rsidRPr="004D0DAA" w:rsidRDefault="00711444" w:rsidP="00711444">
      <w:r w:rsidRPr="004D0DAA">
        <w:t>If the mobile station, in the EC PACKET UPLINK ACK/NACK message with the Final Ack Indicator bit set to '1’, has been indicated to continue monitoring the EC-PACCH, it shall start timer T3238. The mobile station shall then monitor the EC-PACCH, according to its assigned downlink Coverage Class of the TBF, after an initial waiting time as indicated in the EC PACKET UPLINK ACK/NACK message</w:t>
      </w:r>
      <w:r w:rsidRPr="004D0DAA">
        <w:rPr>
          <w:lang w:val="en-US"/>
        </w:rPr>
        <w:t>.</w:t>
      </w:r>
      <w:r w:rsidRPr="004D0DAA">
        <w:t xml:space="preserve"> The mobile station shall then monitor the EC-PACCH, using a monitoring pattern as indicated in the EC PACKET UPLINK ACK/NACK message, until timer T3238 expires or until a downlink RLC/MAC control message triggering the release of the TBF is received. When timer T3238 expires, the mobile station shall leave the TBF and return to packet idle mode.</w:t>
      </w:r>
    </w:p>
    <w:p w14:paraId="3BE2E25B" w14:textId="77777777" w:rsidR="00711444" w:rsidRPr="004D0DAA" w:rsidRDefault="00711444" w:rsidP="00711444">
      <w:r w:rsidRPr="004D0DAA">
        <w:t>If the mobile station receives an EC PACKET DOWNLINK ASSIGNMENT message addressing the mobile station while listening to the EC-PACCH, it shall stop timer T3238, release the uplink TBF and act on the assigned resources.</w:t>
      </w:r>
    </w:p>
    <w:p w14:paraId="0A129C25" w14:textId="77777777" w:rsidR="00711444" w:rsidRPr="004D0DAA" w:rsidRDefault="00711444" w:rsidP="00711444">
      <w:r w:rsidRPr="004D0DAA">
        <w:t>In case the mobile station receives an EC PACKET DOWNLINK ASSIGNMENT message addressing the mobile station after it has transmitted the last RLC data block, with CV=0, but prior to reception of the EC PACKET UPLINK ACK/NACK message with the Final Ack Indicator bit set to '1’, it shall consider all the transmitted RLC data blocks as acknowledged, release the uplink TBF and act on the assigned resources.</w:t>
      </w:r>
    </w:p>
    <w:p w14:paraId="06FCFE2D" w14:textId="77777777" w:rsidR="00711444" w:rsidRPr="004D0DAA" w:rsidRDefault="00711444" w:rsidP="00711444">
      <w:r w:rsidRPr="004D0DAA">
        <w:t>After returning to packet idle mode, the mobile station shall, as long as the Ready timer is still running, listen to its paging group on the EC-CCCH using the lowest eDRX cycle, see 3GPP TS 45.002 [13].</w:t>
      </w:r>
    </w:p>
    <w:p w14:paraId="32AFC9CF" w14:textId="77777777" w:rsidR="00711444" w:rsidRPr="004D0DAA" w:rsidRDefault="00711444" w:rsidP="00711444">
      <w:r w:rsidRPr="004D0DAA">
        <w:t xml:space="preserve">When the EC PACKET CONTROL ACKNOWLEDGEMENT </w:t>
      </w:r>
      <w:r w:rsidRPr="004D0DAA">
        <w:rPr>
          <w:lang w:eastAsia="ko-KR"/>
        </w:rPr>
        <w:t xml:space="preserve">or </w:t>
      </w:r>
      <w:r w:rsidRPr="004D0DAA">
        <w:t>EC PACKET DOWNLINK ACK/NACK HIGHER CC message is received in the radio block indicated by the RRBP field, the network may release the TBF and reuse the TFI resource directly unless the mobile station has been indicated to continue monitoring the EC-PACCH in the EC PACKET UPLINK ACK/NACK message, in which case the network may release the TBF and reuse the TFI resource when timer T3237 expires.</w:t>
      </w:r>
    </w:p>
    <w:p w14:paraId="1CDDCC4A" w14:textId="77777777" w:rsidR="00711444" w:rsidRPr="004D0DAA" w:rsidRDefault="00711444" w:rsidP="00711444">
      <w:r w:rsidRPr="004D0DAA">
        <w:t xml:space="preserve">If the network does not receive the EC PACKET CONTROL ACKNOWLEDGEMENT </w:t>
      </w:r>
      <w:r w:rsidRPr="004D0DAA">
        <w:rPr>
          <w:lang w:eastAsia="ko-KR"/>
        </w:rPr>
        <w:t xml:space="preserve">or </w:t>
      </w:r>
      <w:r w:rsidRPr="004D0DAA">
        <w:t>EC PACKET DOWNLINK ACK/NACK HIGHER CC message in the resources indicated by the RRBP field, it shall increment counter N3103 for the TBF and retransmit the EC PACKET UPLINK ACK/NACK message in the next available DL EC-PACCH occasion for the TBF, unless N3103 has exceeded its limit. If the EC PACKET UPLINK ACK/NACK message contains an indication that the mobile station shall continue monitoring the EC-PACCH for some time before returning to packet idle mode, the network shall restart timer T3237 at transmission of the message.</w:t>
      </w:r>
    </w:p>
    <w:p w14:paraId="03F2EE4E" w14:textId="77777777" w:rsidR="00711444" w:rsidRPr="004D0DAA" w:rsidRDefault="00711444" w:rsidP="00711444">
      <w:r w:rsidRPr="004D0DAA">
        <w:t>When timer T3229 expires for the TBF the network may release the TBF and reuse the TFI resource, unless timer T3237 is still running.</w:t>
      </w:r>
    </w:p>
    <w:p w14:paraId="19ACDB63" w14:textId="77777777" w:rsidR="00711444" w:rsidRPr="004D0DAA" w:rsidRDefault="00711444" w:rsidP="00711444">
      <w:pPr>
        <w:pStyle w:val="Heading4"/>
      </w:pPr>
      <w:bookmarkStart w:id="469" w:name="_Toc516669651"/>
      <w:r w:rsidRPr="004D0DAA">
        <w:t>9.3.2.5</w:t>
      </w:r>
      <w:r w:rsidRPr="004D0DAA">
        <w:tab/>
        <w:t>Operation of downlink Temporary Block Flow</w:t>
      </w:r>
      <w:bookmarkEnd w:id="469"/>
    </w:p>
    <w:p w14:paraId="17692F85" w14:textId="77777777" w:rsidR="00711444" w:rsidRPr="004D0DAA" w:rsidRDefault="00711444" w:rsidP="00711444">
      <w:r w:rsidRPr="004D0DAA">
        <w:t>The mobile station receives RLC/MAC blocks on the assigned downlink PDCHs. On each assigned PDCH, the mobile station shall in the RLC header identify the TFI and decode the RLC data blocks intended for the mobile station.</w:t>
      </w:r>
    </w:p>
    <w:p w14:paraId="3950D0E4" w14:textId="77777777" w:rsidR="00711444" w:rsidRPr="004D0DAA" w:rsidRDefault="00711444" w:rsidP="00711444">
      <w:pPr>
        <w:rPr>
          <w:lang w:val="en-US"/>
        </w:rPr>
      </w:pPr>
      <w:r w:rsidRPr="004D0DAA">
        <w:t xml:space="preserve">A mobile station with a downlink EC TBF receives RLC/MAC blocks on the downlink EC-PDTCH/EC-PACCH that is part of the TBF. Each RLC/MAC block in the TBF may then be </w:t>
      </w:r>
      <w:r w:rsidRPr="004D0DAA">
        <w:rPr>
          <w:lang w:val="en-US"/>
        </w:rPr>
        <w:t>transmitted with a fixed number of blind physical layer transmissions,</w:t>
      </w:r>
      <w:r w:rsidRPr="004D0DAA">
        <w:t xml:space="preserve"> depending on the Coverage Class that the TBF has been assigned for, see 3GPP TS 45.002 [13]</w:t>
      </w:r>
      <w:r w:rsidRPr="004D0DAA">
        <w:rPr>
          <w:lang w:val="en-US"/>
        </w:rPr>
        <w:t>. An RLC/MAC block is received on the EC-PDTCH/EC-PACCH, which thus is mapped to one or several PDCHs, depending on the Coverage Class. A downlink EC TBF, assigned for Coverage Class 1, may consist of more than one EC-PDTCH/EC-PACCH, in which case the mobile station shall receive RLC/MAC blocks on more than one EC-PDTCH/EC-PACCH.</w:t>
      </w:r>
    </w:p>
    <w:p w14:paraId="6C6A90EB" w14:textId="77777777" w:rsidR="00711444" w:rsidRPr="004D0DAA" w:rsidRDefault="00711444" w:rsidP="00711444">
      <w:r w:rsidRPr="004D0DAA">
        <w:rPr>
          <w:lang w:val="en-US"/>
        </w:rPr>
        <w:t xml:space="preserve">The mobile station shall identify the TFI in the RLC header of the RLC/MAC blocks containing RLC data blocks that are received on the EC-PDTCH, and decode </w:t>
      </w:r>
      <w:r w:rsidRPr="004D0DAA">
        <w:t>the RLC data blocks intended for the mobile station. If the RLC/MAC block, containing RLC data blocks, is not intended for the mobile station, it may use the Coverage Class (CC) field in the RLC data block header, if present, to determine that it may avoid listening to the EC-PDTCH/EC-PACCH while repetitions of the ongoing transmission (for a higher Coverage Class to another mobile station) are being transmitted.</w:t>
      </w:r>
    </w:p>
    <w:p w14:paraId="4F467C42" w14:textId="77777777" w:rsidR="00711444" w:rsidRPr="004D0DAA" w:rsidRDefault="00711444" w:rsidP="00711444">
      <w:r w:rsidRPr="004D0DAA">
        <w:t>If the mobile station receives an RLC/MAC block, containing RLC data blocks, which is intended for the mobile station, it shall accept the RLC/MAC block even if the Coverage Class (CC) field in the RLC data block header indicates a different downlink Coverage Class than what is assigned to the mobile station.</w:t>
      </w:r>
    </w:p>
    <w:p w14:paraId="5E19D79A" w14:textId="77777777" w:rsidR="00711444" w:rsidRPr="004D0DAA" w:rsidRDefault="00711444" w:rsidP="00711444">
      <w:r w:rsidRPr="004D0DAA">
        <w:lastRenderedPageBreak/>
        <w:t>If the RLC/MAC block is an RLC/MAC control message received on the EC-PACCH, which is not addressed to the mobile station, it may use the USED_DL_COVERAGE_CLASS information in the message to determine that it may avoid listening to the EC-PDTCH/EC-PACCH while repetitions of the ongoing transmission (for a higher Coverage Class to another mobile station) are being transmitted.</w:t>
      </w:r>
    </w:p>
    <w:p w14:paraId="207110CE" w14:textId="77777777" w:rsidR="00711444" w:rsidRPr="004D0DAA" w:rsidRDefault="00711444" w:rsidP="00711444">
      <w:pPr>
        <w:rPr>
          <w:noProof/>
        </w:rPr>
      </w:pPr>
      <w:r w:rsidRPr="004D0DAA">
        <w:rPr>
          <w:noProof/>
        </w:rPr>
        <w:t>If the mobile station receives an RLC/MAC control message addressed to it on the EC-PACCH, it shall accept the message even if the USED_DL_COVERAGE_CLASS information in the message indicates a different downlink Coverage Class than what is assigned to the mobile station.</w:t>
      </w:r>
    </w:p>
    <w:p w14:paraId="2C9E6ADB" w14:textId="77777777" w:rsidR="00711444" w:rsidRPr="004D0DAA" w:rsidRDefault="00711444" w:rsidP="00711444">
      <w:r w:rsidRPr="004D0DAA">
        <w:t>The operation during the TBF shall be as defined in sub-clause 9.1.</w:t>
      </w:r>
    </w:p>
    <w:p w14:paraId="547619FE" w14:textId="77777777" w:rsidR="00711444" w:rsidRPr="004D0DAA" w:rsidRDefault="00711444" w:rsidP="00711444">
      <w:pPr>
        <w:pStyle w:val="Heading4"/>
      </w:pPr>
      <w:bookmarkStart w:id="470" w:name="_Toc516669652"/>
      <w:r w:rsidRPr="004D0DAA">
        <w:t>9.3.2.6</w:t>
      </w:r>
      <w:r w:rsidRPr="004D0DAA">
        <w:tab/>
        <w:t>Release of downlink Temporary Block Flow</w:t>
      </w:r>
      <w:bookmarkEnd w:id="470"/>
    </w:p>
    <w:p w14:paraId="51CFF539" w14:textId="77777777" w:rsidR="00711444" w:rsidRPr="004D0DAA" w:rsidRDefault="00711444" w:rsidP="00711444">
      <w:pPr>
        <w:keepNext/>
      </w:pPr>
      <w:r w:rsidRPr="004D0DAA">
        <w:t>If EMST is used (see sub-clause 5.10), the network shall release a downlink TBF by releasing all the RLC entities allocated on that TBF. The downlink TBF is successfully released when the last RLC entity is released. The network shall perform the release of an RLC entity operating in RLC acknowledged mode as specified in the present sub-clause. The network shall perform the release of an RLC entity operating in RLC unacknowledged mode as specified in sub-clause 9.3.3.5.</w:t>
      </w:r>
    </w:p>
    <w:p w14:paraId="31FF5E47" w14:textId="77777777" w:rsidR="00711444" w:rsidRPr="004D0DAA" w:rsidRDefault="00711444" w:rsidP="00711444">
      <w:pPr>
        <w:keepNext/>
      </w:pPr>
      <w:r w:rsidRPr="004D0DAA">
        <w:t>The network initiates the release of a downlink TBF, or if EMST is used, the release of an RLC entity on the downlink TBF by sending an RLC data block with the Final Block Indicator (FBI) set to the value '1' and with a valid RRBP field. The RLC data block sent must have the highest BSN' (see sub-clause 9.3.1) of the downlink TBF, or if EMST is used, of the RLC entity. The network shall start timer T3191 for the TBF, or if EMST is used, for the RLC entity. While timer T3191 is running for the TBF the network may retransmit the RLC data block with the FBI bit set to the value '1'. For each retransmission the timer T3191 is restarted.</w:t>
      </w:r>
    </w:p>
    <w:p w14:paraId="2CD0AA14" w14:textId="77777777" w:rsidR="00711444" w:rsidRPr="004D0DAA" w:rsidRDefault="00711444" w:rsidP="00711444">
      <w:pPr>
        <w:keepNext/>
      </w:pPr>
      <w:r w:rsidRPr="004D0DAA">
        <w:t>In EGPRS TBF mode or EC TBF mode, if the final RLC data block is split for retransmission over two radio blocks (see sub-clause 9.3.2.1 for EGPRS TBF mode and sub-clause 9.3.2.1a for EC TBF mode), the network shall set the FBI to the value '1' in each part of the retransmitted RLC data block.</w:t>
      </w:r>
    </w:p>
    <w:p w14:paraId="5C198466" w14:textId="77777777" w:rsidR="00711444" w:rsidRPr="004D0DAA" w:rsidRDefault="00711444" w:rsidP="00711444">
      <w:pPr>
        <w:keepNext/>
      </w:pPr>
      <w:r w:rsidRPr="004D0DAA">
        <w:t xml:space="preserve">If the mobile station receives an RLC data block (or, in EGPRS TBF mode or EC TBF mode, a part of a retransmitted RLC data block) with the FBI bit set the value '1' and with a valid RRBP field, the mobile station shall transmit a (EGPRS) PACKET DOWNLINK ACK/NACK or EGPRS PACKET DOWNLINK ACK/NACK TYPE 2 or EGPRS PACKET DOWNLINK ACK/NACK TYPE 3 or EGPRS PACKET DOWNLINK ACK/NACK DLMC or EC PACKET DOWNLINK ACK/NACK </w:t>
      </w:r>
      <w:r w:rsidRPr="004D0DAA">
        <w:rPr>
          <w:lang w:eastAsia="ko-KR"/>
        </w:rPr>
        <w:t xml:space="preserve">or </w:t>
      </w:r>
      <w:r w:rsidRPr="004D0DAA">
        <w:t>EC PACKET DOWNLINK ACK/NACK HIGHER CC message in the specified uplink block. The mobile station shall continue to monitor all assigned PDCHs. The mobile station in EC TBF mode shall continue to monitor the assigned EC-PDTCH(s)/EC-PACCH(s).</w:t>
      </w:r>
    </w:p>
    <w:p w14:paraId="59F933AA" w14:textId="77777777" w:rsidR="00711444" w:rsidRPr="004D0DAA" w:rsidRDefault="00711444" w:rsidP="00711444">
      <w:r w:rsidRPr="004D0DAA">
        <w:t xml:space="preserve">Whenever the mobile station receives an RLC data block (or, in EGPRS TBF mode or EC TBF mode, a part of a retransmitted RLC data block) with a valid RRBP and the mobile station has received all RLC data blocks of the TBF, the mobile station shall send the (EGPRS) PACKET DOWNLINK ACK/NACK or EGPRS PACKET DOWNLINK ACK/NACK TYPE 2 or EGPRS PACKET DOWNLINK ACK/NACK TYPE 3 or EGPRS PACKET DOWNLINK ACK/NACK DLMC or EC PACKET DOWNLINK ACK/NACK </w:t>
      </w:r>
      <w:r w:rsidRPr="004D0DAA">
        <w:rPr>
          <w:lang w:eastAsia="ko-KR"/>
        </w:rPr>
        <w:t xml:space="preserve">or </w:t>
      </w:r>
      <w:r w:rsidRPr="004D0DAA">
        <w:t>EC PACKET DOWNLINK ACK/NACK HIGHER CC message with the Final Ack Indicator bit set to '1' in the reserved uplink radio block specified by the RRBP field, stop the timer T3190 for the TBF. If EMST is used, the mobile station shall stop the timer T3190 only if the (EGPRS) PACKET DOWNLINK ACK/NACK or EGPRS PACKET DOWNLINK ACK/NACK TYPE 2 or EGPRS PACKET DOWNLINK ACK/NACK TYPE 3 or EGPRS PACKET DOWNLINK ACK/NACK DLMC message with the Final Ack Indicator bit set to '1' corresponds to the last remaining RLC entity on the TBF. If the timeout value of timer T3192 (see sub-clause 12.24 or, for EC TBF mode, 3GPP TS 44.018 [11]) is different from 0 ms then the mobile station shall start or restart timer T3192 for the TBF, or if EMST is used, for the RLC entity and continue to monitor all assigned downlink PDCHs. Otherwise, if the timeout value of timer T3192 is 0 ms then the mobile station shall follow the same procedure as if the timer T3192 has expired.</w:t>
      </w:r>
    </w:p>
    <w:p w14:paraId="483FEF34" w14:textId="77777777" w:rsidR="00711444" w:rsidRPr="004D0DAA" w:rsidRDefault="00711444" w:rsidP="00711444">
      <w:r w:rsidRPr="004D0DAA">
        <w:t>In GPRS TBF mode, if the mobile station receives more than one RLC data block with the FBI set to '1', it shall accept the data from only the first one of these blocks.</w:t>
      </w:r>
    </w:p>
    <w:p w14:paraId="57C86DB0" w14:textId="77777777" w:rsidR="00711444" w:rsidRPr="004D0DAA" w:rsidRDefault="00711444" w:rsidP="00711444">
      <w:r w:rsidRPr="004D0DAA">
        <w:t xml:space="preserve">If the network receives a (EGPRS) PACKET DOWNLINK ACK/NACK or EGPRS PACKET DOWNLINK ACK/NACK TYPE 2 or EGPRS PACKET DOWNLINK ACK/NACK TYPE 3 or EGPRS PACKET DOWNLINK ACK/NACK DLMC or EC PACKET DOWNLINK ACK/NACK </w:t>
      </w:r>
      <w:r w:rsidRPr="004D0DAA">
        <w:rPr>
          <w:lang w:eastAsia="ko-KR"/>
        </w:rPr>
        <w:t xml:space="preserve">or </w:t>
      </w:r>
      <w:r w:rsidRPr="004D0DAA">
        <w:t xml:space="preserve">EC PACKET DOWNLINK ACK/NACK HIGHER CC message for the TBF, or if EMST is used, for the RLC entity before its timer T3191 expires, and if retransmissions are required, then the network stops timer T3191 for the TBF, or if EMST is used, for the RLC entity and retransmits necessary RLC data blocks according to the ARQ protocol before re-initiating the release of the downlink TBF, or if EMST is used, of the RLC entity. The FBI is set to '1' only if the RLC data block with the highest </w:t>
      </w:r>
      <w:r w:rsidRPr="004D0DAA">
        <w:lastRenderedPageBreak/>
        <w:t>BSN' of the TBF, or if EMST is used, of the RLC entity is retransmitted. If no retransmission is required, the network shall stop timer T3191 for the TBF, or if EMST is used, for the RLC entity and start or restart timer T3193 for the TBF, or if EMST is used, of the RLC entity. When T3193 expires the network shall release the TBF, or if EMST is used, the associated RLC entity.</w:t>
      </w:r>
    </w:p>
    <w:p w14:paraId="3F24E3EF" w14:textId="77777777" w:rsidR="00711444" w:rsidRPr="004D0DAA" w:rsidRDefault="00711444" w:rsidP="00711444">
      <w:r w:rsidRPr="004D0DAA">
        <w:t>If timer T3191 expires for the TBF, then the network shall release the TBF, or if EMST is used, the associated RLC entity.</w:t>
      </w:r>
    </w:p>
    <w:p w14:paraId="0549305A" w14:textId="77777777" w:rsidR="00711444" w:rsidRPr="004D0DAA" w:rsidRDefault="00711444" w:rsidP="00711444">
      <w:r w:rsidRPr="004D0DAA">
        <w:t>If the network has received the (EGPRS) PACKET DOWNLINK ACK/NACK or EGPRS PACKET DOWNLINK ACK/NACK TYPE 2 or EGPRS PACKET DOWNLINK ACK/NACK TYPE 3 or EGPRS PACKET DOWNLINK ACK/NACK DLMC message with the Final Ack Indicator bit set to '1' and has new data to transmit for the mobile station that cannot be transmitted on any ongoing downlink TBF, the network may establish one or more new downlink TBF(s) for the mobile station by sending on PACCH the PACKET DOWNLINK ASSIGNMENT, MULTIPLE TBF DOWNLINK ASSIGNMENT, PACKET TIMESLOT RECONFIGURE or MULTIPLE TBF TIMESLOT RECONFIGURE message with the Control Ack bit set to '1' for each TBF. The network may send these downlink assignment messages using the PACCH of any ongoing TBF for the mobile station. In case the network establishes a new downlink TBF for the mobile station, or if EMST is used, reconfigures the ongoing TBF using the PACCH of a downlink TBF for which T3193 is running, the network shall stop that instance of timer T3193 and release that TBF, or if EMST is used, the associated RLC entity. The abnormal cases are described in sub-clause 8.1.2.4.1.</w:t>
      </w:r>
    </w:p>
    <w:p w14:paraId="63D0AF14" w14:textId="77777777" w:rsidR="00711444" w:rsidRPr="004D0DAA" w:rsidRDefault="00711444" w:rsidP="00711444">
      <w:r w:rsidRPr="004D0DAA">
        <w:t xml:space="preserve">If the network has received the EC PACKET DOWNLINK ACK/NACK </w:t>
      </w:r>
      <w:r w:rsidRPr="004D0DAA">
        <w:rPr>
          <w:lang w:eastAsia="ko-KR"/>
        </w:rPr>
        <w:t xml:space="preserve">or </w:t>
      </w:r>
      <w:r w:rsidRPr="004D0DAA">
        <w:t>EC PACKET DOWNLINK ACK/NACK HIGHER CC message with the Final Ack Indicator bit set to '1' from a mobile station in EC TBF mode and has new data to transmit for the mobile station while the timer T3193 is still running, the network may establish a new downlink TBF for the mobile station by sending on EC-PACCH the EC PACKET DOWNLINK ASSIGNMENT message. The network shall then release the old TBF and stop that instance of timer T3193.</w:t>
      </w:r>
    </w:p>
    <w:p w14:paraId="57D98FEB" w14:textId="77777777" w:rsidR="00711444" w:rsidRPr="004D0DAA" w:rsidRDefault="00711444" w:rsidP="00711444">
      <w:r w:rsidRPr="004D0DAA">
        <w:t xml:space="preserve">After receiving an EC PACKET DOWNLINK ACK/NACK </w:t>
      </w:r>
      <w:r w:rsidRPr="004D0DAA">
        <w:rPr>
          <w:lang w:eastAsia="ko-KR"/>
        </w:rPr>
        <w:t xml:space="preserve">or </w:t>
      </w:r>
      <w:r w:rsidRPr="004D0DAA">
        <w:t xml:space="preserve">EC PACKET DOWNLINK ACK/NACK HIGHER CC message in TDMA frame N the network shall resume downlink transmissions to the corresponding mobile station on its assigned PDCH(s) according to the assigned downlink coverage class of the mobile station and may start as early downlink TDMA frame N+1 depending on the assigned uplink and downlink coverage classes. </w:t>
      </w:r>
    </w:p>
    <w:p w14:paraId="50731BA9" w14:textId="77777777" w:rsidR="00711444" w:rsidRPr="004D0DAA" w:rsidRDefault="00711444" w:rsidP="00711444">
      <w:pPr>
        <w:keepNext/>
        <w:keepLines/>
      </w:pPr>
      <w:r w:rsidRPr="004D0DAA">
        <w:t>If the mobile station, after sending the PACKET DOWNLINK ACK/NACK message with the Final Ack Indicator bit set to '1' for a given TBF, receives a PACKET DOWNLINK ASSIGNMENT, MULTIPLE TBF DOWNLINK ASSIGNMENT, PACKET TIMESLOT RECONFIGURE or MULTIPLE TBF TIMESLOT RECONFIGURE message with the Control Ack bit set to '1' on the PACCH associated with this TBF while its timer T3192 is running, or if EMST is used, the timer T3192 associated with the RLC entity identified by the TFI included in the message is running, the mobile station shall stop this instance of timer T3192, consider this downlink TBF released, or if EMST is used, consider the associated RLC entity released and act upon the new assignments.</w:t>
      </w:r>
    </w:p>
    <w:p w14:paraId="6AF914CF" w14:textId="77777777" w:rsidR="00711444" w:rsidRPr="004D0DAA" w:rsidRDefault="00711444" w:rsidP="00711444">
      <w:pPr>
        <w:keepNext/>
        <w:keepLines/>
      </w:pPr>
      <w:r w:rsidRPr="004D0DAA">
        <w:t xml:space="preserve">If the mobile station in EC TBF mode, after sending the EC PACKET DOWNLINK ACK/NACK </w:t>
      </w:r>
      <w:r w:rsidRPr="004D0DAA">
        <w:rPr>
          <w:lang w:eastAsia="ko-KR"/>
        </w:rPr>
        <w:t xml:space="preserve">or </w:t>
      </w:r>
      <w:r w:rsidRPr="004D0DAA">
        <w:t>EC PACKET DOWNLINK ACK/NACK HIGHER CC message with the Final Ack Indicator bit set to '1', receives an EC PACKET DOWNLINK ASSIGNMENT message on the EC-PACCH associated with this TBF while its timer T3192 is running, the mobile station shall stop this instance of timer T3192, consider this downlink TBF released and act upon the new assignments.</w:t>
      </w:r>
    </w:p>
    <w:p w14:paraId="70A0310C" w14:textId="77777777" w:rsidR="00711444" w:rsidRPr="004D0DAA" w:rsidRDefault="00711444" w:rsidP="00711444">
      <w:r w:rsidRPr="004D0DAA">
        <w:t>When timer T3192 expires the mobile station shall release the associated downlink TBF, or if EMST is used, the associated RLC entity. If there are no other ongoing TBFs, or if EMST is used, no other ongoing RLC entities, the mobile station in packet transfer mode or MAC-Shared state shall return to packet idle mode or MAC-Idle state; the mobile station in dual transfer mode respectively MAC-DTM state shall return to dedicated mode or MAC-Dedicated state. The DRX mode procedures shall be applied, as specified in sub-clause 5.5.1.5. If there are one or more ongoing TBFs a mobile station shall remain in its current mode/state and can request additional uplink TBFs as follows:</w:t>
      </w:r>
    </w:p>
    <w:p w14:paraId="4C869045" w14:textId="77777777" w:rsidR="00711444" w:rsidRPr="004D0DAA" w:rsidRDefault="00711444" w:rsidP="00711444">
      <w:pPr>
        <w:pStyle w:val="B1"/>
      </w:pPr>
      <w:r w:rsidRPr="004D0DAA">
        <w:t>-</w:t>
      </w:r>
      <w:r w:rsidRPr="004D0DAA">
        <w:tab/>
        <w:t>It may send a PACKET RESOURCE REQUEST message using the PACCH if there is at least one ongoing uplink TBF as described in sub-clause 8.1.1.1.2.</w:t>
      </w:r>
    </w:p>
    <w:p w14:paraId="61598B18" w14:textId="77777777" w:rsidR="00711444" w:rsidRPr="004D0DAA" w:rsidRDefault="00711444" w:rsidP="00711444">
      <w:pPr>
        <w:pStyle w:val="B1"/>
      </w:pPr>
      <w:r w:rsidRPr="004D0DAA">
        <w:t>-</w:t>
      </w:r>
      <w:r w:rsidRPr="004D0DAA">
        <w:tab/>
        <w:t>It may include a Channel Request Description or the Extended Channel Request Description information element in the (EGPRS) PACKET DOWNLINK ACK/NACK or EGPRS PACKET DOWNLINK ACK/NACK TYPE 2 message if there are no ongoing uplink TBFs and at least one ongoing downlink TBF as described in sub-clause 8.1.2.5.</w:t>
      </w:r>
    </w:p>
    <w:p w14:paraId="433A045D" w14:textId="77777777" w:rsidR="00711444" w:rsidRPr="004D0DAA" w:rsidRDefault="00711444" w:rsidP="00711444">
      <w:r w:rsidRPr="004D0DAA">
        <w:t xml:space="preserve">The mobile station in EC TBF mode may include an EC Channel Request Description in the EC PACKET DOWNLINK ACK/NACK </w:t>
      </w:r>
      <w:r w:rsidRPr="004D0DAA">
        <w:rPr>
          <w:lang w:eastAsia="ko-KR"/>
        </w:rPr>
        <w:t xml:space="preserve">or </w:t>
      </w:r>
      <w:r w:rsidRPr="004D0DAA">
        <w:t xml:space="preserve">EC PACKET DOWNLINK ACK/NACK HIGHER CC message in order to request an uplink TBF.  The network may then establish an uplink EC TBF for the mobile station by sending an EC PACKET UPLINK ASSIGNMENT message, in which case the downlink EC TBF is released. When transmitting the EC </w:t>
      </w:r>
      <w:r w:rsidRPr="004D0DAA">
        <w:lastRenderedPageBreak/>
        <w:t xml:space="preserve">PACKET DOWNLINK ACK/NACK </w:t>
      </w:r>
      <w:r w:rsidRPr="004D0DAA">
        <w:rPr>
          <w:lang w:eastAsia="ko-KR"/>
        </w:rPr>
        <w:t xml:space="preserve">or </w:t>
      </w:r>
      <w:r w:rsidRPr="004D0DAA">
        <w:t xml:space="preserve">EC PACKET DOWNLINK ACK/NACK HIGHER CC message with the EC Channel Request Description, the mobile station shall start timer T3168 and listen to the EC-PACCH of the downlink TBF as described in sub-clause 8.1.2.5. When the mobile station receives an EC PACKET UPLINK ASSIGNMENT allocating resources for the request in the EC PACKET DOWNLINK ACK/NACK </w:t>
      </w:r>
      <w:r w:rsidRPr="004D0DAA">
        <w:rPr>
          <w:lang w:eastAsia="ko-KR"/>
        </w:rPr>
        <w:t xml:space="preserve">or </w:t>
      </w:r>
      <w:r w:rsidRPr="004D0DAA">
        <w:t>EC PACKET DOWNLINK ACK/NACK HIGHER CC message, it shall stop timers T3168 and T3192, if running, release the downlink TBF and act on the new assignment. The mobile station shall also stop timer T3168 at reception of an EC PACKET ACCESS REJECT message, in which case the mobile station shall continue monitoring the assigned EC-PDTCH/EC-PACCH resources of the downlink TBF.</w:t>
      </w:r>
    </w:p>
    <w:p w14:paraId="23C64C2A" w14:textId="77777777" w:rsidR="00711444" w:rsidRPr="004D0DAA" w:rsidRDefault="00711444" w:rsidP="00711444">
      <w:pPr>
        <w:pStyle w:val="Heading3"/>
      </w:pPr>
      <w:bookmarkStart w:id="471" w:name="_Toc516669653"/>
      <w:r w:rsidRPr="004D0DAA">
        <w:t>9.3.3</w:t>
      </w:r>
      <w:r w:rsidRPr="004D0DAA">
        <w:tab/>
        <w:t>Unacknowledged mode operation</w:t>
      </w:r>
      <w:bookmarkEnd w:id="471"/>
    </w:p>
    <w:p w14:paraId="09649BB6" w14:textId="77777777" w:rsidR="00711444" w:rsidRPr="004D0DAA" w:rsidRDefault="00711444" w:rsidP="00711444">
      <w:pPr>
        <w:pStyle w:val="Heading4"/>
      </w:pPr>
      <w:bookmarkStart w:id="472" w:name="_Toc516669654"/>
      <w:r w:rsidRPr="004D0DAA">
        <w:t>9.3.3.0</w:t>
      </w:r>
      <w:r w:rsidRPr="004D0DAA">
        <w:tab/>
        <w:t>General</w:t>
      </w:r>
      <w:bookmarkEnd w:id="472"/>
    </w:p>
    <w:p w14:paraId="73B64E49" w14:textId="77777777" w:rsidR="00711444" w:rsidRPr="004D0DAA" w:rsidRDefault="00711444" w:rsidP="00711444">
      <w:r w:rsidRPr="004D0DAA">
        <w:t xml:space="preserve">The transfer of RLC data blocks in the RLC unacknowledged mode does not include any retransmissions, except during the release of a TBF where the last transmitted block may be retransmitted (see sub-clauses 9.3.3.3 and 9.3.3.5). In EGPRS TBF mode, retransmission with segmentation method shall not be used. The block sequence number (BSN) in the RLC data block header is used to number the RLC data blocks for reassembly. </w:t>
      </w:r>
    </w:p>
    <w:p w14:paraId="33E63710" w14:textId="77777777" w:rsidR="00711444" w:rsidRPr="004D0DAA" w:rsidRDefault="00711444" w:rsidP="00711444">
      <w:r w:rsidRPr="004D0DAA">
        <w:t>The receiving RLC endpoint shall expect all RLC data blocks received in the same radio block period were sent in increasing order of BSN (apart from the last transmitted block of a TBF). As an exception, in a downlink dual carrier configuration or a DLMC configuration, the mobile station shall never expect RLC data blocks received in the same radio block period to have been sent in any specific order of BSN. In this case the mobile station shall re-order the received RLC data blocks before detecting any missing RLC data blocks.</w:t>
      </w:r>
    </w:p>
    <w:p w14:paraId="21DB340F" w14:textId="77777777" w:rsidR="00711444" w:rsidRPr="004D0DAA" w:rsidRDefault="00711444" w:rsidP="00711444">
      <w:r w:rsidRPr="004D0DAA">
        <w:t>The receiving side sends Packet Ack/Nack messages in order to convey the necessary other control signalling (e.g. monitoring of channel quality for downlink transfer or timing advance correction for uplink transfers).</w:t>
      </w:r>
    </w:p>
    <w:p w14:paraId="7168F5B8" w14:textId="77777777" w:rsidR="00711444" w:rsidRPr="004D0DAA" w:rsidRDefault="00711444" w:rsidP="00711444">
      <w:pPr>
        <w:pStyle w:val="Heading4"/>
      </w:pPr>
      <w:bookmarkStart w:id="473" w:name="_Toc516669655"/>
      <w:r w:rsidRPr="004D0DAA">
        <w:t>9.3.3.1</w:t>
      </w:r>
      <w:r w:rsidRPr="004D0DAA">
        <w:tab/>
        <w:t>Establishment of Temporary Block Flow</w:t>
      </w:r>
      <w:bookmarkEnd w:id="473"/>
    </w:p>
    <w:p w14:paraId="62A77E9D" w14:textId="77777777" w:rsidR="00711444" w:rsidRPr="004D0DAA" w:rsidRDefault="00711444" w:rsidP="00711444">
      <w:r w:rsidRPr="004D0DAA">
        <w:t>If the last uplink TBF ended with an incompletely transmitted upper layer PDU, the mobile station shall begin transmission on the new TBF with the last incompletely transmitted upper layer PDU.</w:t>
      </w:r>
    </w:p>
    <w:p w14:paraId="4EB14718" w14:textId="77777777" w:rsidR="00711444" w:rsidRPr="004D0DAA" w:rsidRDefault="00711444" w:rsidP="00711444">
      <w:pPr>
        <w:pStyle w:val="Heading4"/>
      </w:pPr>
      <w:bookmarkStart w:id="474" w:name="_Toc516669656"/>
      <w:r w:rsidRPr="004D0DAA">
        <w:t>9.3.3.2</w:t>
      </w:r>
      <w:r w:rsidRPr="004D0DAA">
        <w:tab/>
        <w:t>Operation of uplink Temporary Block Flow</w:t>
      </w:r>
      <w:bookmarkEnd w:id="474"/>
    </w:p>
    <w:p w14:paraId="02013971" w14:textId="77777777" w:rsidR="00711444" w:rsidRPr="004D0DAA" w:rsidRDefault="00711444" w:rsidP="00711444">
      <w:r w:rsidRPr="004D0DAA">
        <w:t>The network shall send PACKET UPLINK ACK/NACK messages when needed.</w:t>
      </w:r>
    </w:p>
    <w:p w14:paraId="04054FBD" w14:textId="77777777" w:rsidR="00711444" w:rsidRPr="004D0DAA" w:rsidRDefault="00711444" w:rsidP="00711444">
      <w:r w:rsidRPr="004D0DAA">
        <w:t>The mobile station shall set the Stall indicator (SI) bit to '0' in all RLC data blocks of the TBF.</w:t>
      </w:r>
    </w:p>
    <w:p w14:paraId="5AD0B52A" w14:textId="77777777" w:rsidR="00711444" w:rsidRPr="004D0DAA" w:rsidRDefault="00711444" w:rsidP="00711444">
      <w:r w:rsidRPr="004D0DAA">
        <w:t>If the mobile station transmits the number of RLC data blocks corresponding to the RLC window size (WS),without receiving a Packet Ack/Nack message the mobile station shall start timer T3182 for the TBF. Timer T3182 shall be stopped upon reception of a PACKET UPLINK ACK/NACK message for this TBF. If timer T3182 expires, the mobile station shall decrement counter N3102 by PAN_DEC, and perform an abnormal release with access retry (see sub-clause 8.7.2 (</w:t>
      </w:r>
      <w:r w:rsidRPr="004D0DAA">
        <w:rPr>
          <w:i/>
        </w:rPr>
        <w:t>A/Gb mode</w:t>
      </w:r>
      <w:r w:rsidRPr="004D0DAA">
        <w:t>).</w:t>
      </w:r>
    </w:p>
    <w:p w14:paraId="13C3033D" w14:textId="77777777" w:rsidR="00711444" w:rsidRPr="004D0DAA" w:rsidRDefault="00711444" w:rsidP="00711444">
      <w:r w:rsidRPr="004D0DAA">
        <w:t xml:space="preserve">Whenever the mobile station receives a PACKET UPLINK ACK/NACK message, the mobile station shall increment N3102 by PAN_INC, however N3102 shall never exceed the value PAN_MAX. Upon cell reselection the mobile station shall set counter N3102 to the value PAN_MAX. When N3102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0 is reached, the mobile station shall perform an abnormal release with cell re-selection (see sub-clause 9.4.2). If PAN_DEC or PAN_INC is set to the value 0, counter N3102 shall be disabled.</w:t>
      </w:r>
    </w:p>
    <w:p w14:paraId="3B5FF06F" w14:textId="77777777" w:rsidR="00711444" w:rsidRPr="004D0DAA" w:rsidRDefault="00711444" w:rsidP="00711444">
      <w:r w:rsidRPr="004D0DAA">
        <w:t>A mobile station operating with an exclusive allocation shall start or restart timer T3184 upon reception of a PACKET UPLINK ACK/NACK message. If timer T3184 expires, the mobile station shall perform an abnormal release with access retry (see sub-clause 9.4.1).</w:t>
      </w:r>
    </w:p>
    <w:p w14:paraId="6A97B1C8" w14:textId="77777777" w:rsidR="00711444" w:rsidRPr="004D0DAA" w:rsidRDefault="00711444" w:rsidP="00711444">
      <w:pPr>
        <w:pStyle w:val="Heading4"/>
      </w:pPr>
      <w:bookmarkStart w:id="475" w:name="_Toc516669657"/>
      <w:r w:rsidRPr="004D0DAA">
        <w:t>9.3.3.3</w:t>
      </w:r>
      <w:r w:rsidRPr="004D0DAA">
        <w:tab/>
        <w:t>Release of uplink Temporary Block Flow</w:t>
      </w:r>
      <w:bookmarkEnd w:id="475"/>
    </w:p>
    <w:p w14:paraId="588C2F3B" w14:textId="77777777" w:rsidR="00711444" w:rsidRPr="004D0DAA" w:rsidRDefault="00711444" w:rsidP="00711444">
      <w:pPr>
        <w:pStyle w:val="Heading5"/>
      </w:pPr>
      <w:bookmarkStart w:id="476" w:name="_Toc516669658"/>
      <w:r w:rsidRPr="004D0DAA">
        <w:t>9.3.3.3.1</w:t>
      </w:r>
      <w:r w:rsidRPr="004D0DAA">
        <w:tab/>
        <w:t>General</w:t>
      </w:r>
      <w:bookmarkEnd w:id="476"/>
    </w:p>
    <w:p w14:paraId="14FCC1A7" w14:textId="77777777" w:rsidR="00711444" w:rsidRPr="004D0DAA" w:rsidRDefault="00711444" w:rsidP="00711444">
      <w:r w:rsidRPr="004D0DAA">
        <w:t>In the non-extended uplink TBF mode, the mobile station initiates the release of the uplink TBF by beginning the countdown process (see sub-clause 9.3.1).</w:t>
      </w:r>
    </w:p>
    <w:p w14:paraId="3F9DE7A1" w14:textId="77777777" w:rsidR="00711444" w:rsidRPr="004D0DAA" w:rsidRDefault="00711444" w:rsidP="00711444">
      <w:r w:rsidRPr="004D0DAA">
        <w:lastRenderedPageBreak/>
        <w:t>In the extended uplink TBF mode, the network determines when to release the uplink TBF. The release of an uplink TBF in the extended uplink TBF mode is performed by the procedure defined in sub-clause 9.5 (</w:t>
      </w:r>
      <w:r w:rsidRPr="004D0DAA">
        <w:rPr>
          <w:i/>
        </w:rPr>
        <w:t>A/Gb mode</w:t>
      </w:r>
      <w:r w:rsidRPr="004D0DAA">
        <w:t>).</w:t>
      </w:r>
    </w:p>
    <w:p w14:paraId="27CBDBAA" w14:textId="77777777" w:rsidR="00711444" w:rsidRPr="004D0DAA" w:rsidRDefault="00711444" w:rsidP="00711444">
      <w:pPr>
        <w:pStyle w:val="Heading5"/>
      </w:pPr>
      <w:bookmarkStart w:id="477" w:name="_Toc516669659"/>
      <w:r w:rsidRPr="004D0DAA">
        <w:t>9.3.3.3.2</w:t>
      </w:r>
      <w:r w:rsidRPr="004D0DAA">
        <w:tab/>
        <w:t>Non-extended uplink TBF mode</w:t>
      </w:r>
      <w:bookmarkEnd w:id="477"/>
    </w:p>
    <w:p w14:paraId="52B6C9DF" w14:textId="77777777" w:rsidR="00711444" w:rsidRPr="004D0DAA" w:rsidRDefault="00711444" w:rsidP="00711444">
      <w:r w:rsidRPr="004D0DAA">
        <w:t>The mobile station indicates the end of the TBF by sending the RLC data block with CV = 0. The mobile station shall start timer T3182 for the TBF.</w:t>
      </w:r>
    </w:p>
    <w:p w14:paraId="496B43EE" w14:textId="77777777" w:rsidR="00711444" w:rsidRPr="004D0DAA" w:rsidRDefault="00711444" w:rsidP="00711444">
      <w:r w:rsidRPr="004D0DAA">
        <w:t>When the network detects the end of the TBF (i.e. when CV=0) it shall send a PACKET UPLINK ACK/NACK message with the Final Ack Indicator bit set to '1', include a valid RRBP field in the RLC/MAC control block header and clear counter N3103 for the TBF. The network may use the TBF Est field in the PACKET UPLINK ACK/NACK message to allow the mobile station to request the establishment of a new uplink TBF if there are no additional TBFs ongoing for that mobile station.</w:t>
      </w:r>
    </w:p>
    <w:p w14:paraId="3319EC16" w14:textId="77777777" w:rsidR="00711444" w:rsidRPr="004D0DAA" w:rsidRDefault="00711444" w:rsidP="00711444">
      <w:r w:rsidRPr="004D0DAA">
        <w:t>In case the network receives multiple blocks with CV=0, only the first needs to be acknowledged with PACKET UPLINK ACK/NACK message.</w:t>
      </w:r>
    </w:p>
    <w:p w14:paraId="0482CDAE" w14:textId="77777777" w:rsidR="00711444" w:rsidRPr="004D0DAA" w:rsidRDefault="00711444" w:rsidP="00711444">
      <w:r w:rsidRPr="004D0DAA">
        <w:t>Upon reception of a PACKET UPLINK ACK/NACK message for this TBF the mobile station shall stop timer T3182 for the TBF.</w:t>
      </w:r>
    </w:p>
    <w:p w14:paraId="29193CD7" w14:textId="77777777" w:rsidR="00711444" w:rsidRPr="004D0DAA" w:rsidRDefault="00711444" w:rsidP="00711444">
      <w:r w:rsidRPr="004D0DAA">
        <w:t>If the PACKET UPLINK ACK/NACK message has the Final Ack Indicator bit set to ‘1’ and the mobile station does not initiate the establishment of a new uplink TBF according to one of the procedures described below, the mobile station shall transmit the PACKET CONTROL ACKNOWLEDGEMENT message and release the TBF. If there are no other ongoing TBFs, the mobile station in packet transfer mode or MAC-Shared state shall enter packet idle mode or MAC-Idle state; the mobile station in dual transfer mode MAC-DTM state shall return to dedicated mode or MAC-Dedicated state. The DRX mode procedures shall be applied, as specified in sub-clause 5.5.1.5. If there are one or more ongoing TBFs a mobile station shall remain in its current mode/state and can request additional uplink TBFs as follows:</w:t>
      </w:r>
    </w:p>
    <w:p w14:paraId="483FD986" w14:textId="77777777" w:rsidR="00711444" w:rsidRPr="004D0DAA" w:rsidRDefault="00711444" w:rsidP="00711444">
      <w:pPr>
        <w:pStyle w:val="B1"/>
      </w:pPr>
      <w:r w:rsidRPr="004D0DAA">
        <w:t>-</w:t>
      </w:r>
      <w:r w:rsidRPr="004D0DAA">
        <w:tab/>
        <w:t>It may send a PACKET RESOURCE REQUEST message using the PACCH if there is at least one ongoing uplink TBF as described in sub-clause 8.1.1.1.2.</w:t>
      </w:r>
    </w:p>
    <w:p w14:paraId="5488C637" w14:textId="77777777" w:rsidR="00711444" w:rsidRPr="004D0DAA" w:rsidRDefault="00711444" w:rsidP="00711444">
      <w:pPr>
        <w:pStyle w:val="B1"/>
      </w:pPr>
      <w:r w:rsidRPr="004D0DAA">
        <w:t>-</w:t>
      </w:r>
      <w:r w:rsidRPr="004D0DAA">
        <w:tab/>
        <w:t>It may include a Channel Request Description or the Extended Channel Request Description information element in the (EGPRS) PACKET DOWNLINK ACK/NACK or EGPRS PACKET DOWNLINK ACK/NACK TYPE 2 message or a Channel Request Description information element in the EGPRS PACKET DOWNLINK ACK/NACK DLMC message if there are no ongoing uplink TBFs and at least one ongoing downlink TBF as described in sub-clause 8.1.2.5.</w:t>
      </w:r>
    </w:p>
    <w:p w14:paraId="1E291256" w14:textId="77777777" w:rsidR="00711444" w:rsidRPr="004D0DAA" w:rsidRDefault="00711444" w:rsidP="00711444">
      <w:r w:rsidRPr="004D0DAA">
        <w:t>If the PACKET UPLINK ACK/NACK message has the Final Ack Indicator bit set to '1' and the following conditions are fulfilled: TBF Est field is set to '1'; the mobile station has new data to transmit; the mobile station has no other ongoing TBFs, the mobile station shall release the uplink TBF and may request the establishment of a new TBF using one of the following procedures:</w:t>
      </w:r>
    </w:p>
    <w:p w14:paraId="28B1255D" w14:textId="77777777" w:rsidR="00711444" w:rsidRPr="004D0DAA" w:rsidRDefault="00711444" w:rsidP="00711444">
      <w:pPr>
        <w:pStyle w:val="B1"/>
      </w:pPr>
      <w:r w:rsidRPr="004D0DAA">
        <w:t>-</w:t>
      </w:r>
      <w:r w:rsidRPr="004D0DAA">
        <w:tab/>
        <w:t>If Control Ack Type parameter in System Information indicates acknowledgement is access burst, the mobile station shall transmit the PACKET CONTROL ACKNOWLEDGEMENT message with the Ctrl Ack bits set to '00'. The mobile station shall start timer T3168 for the TBF request and continue to monitor the PDCH used for transmitting the PACKET CONTROL ACKNOWLEDGEMENT message. The mobile station shall stop timer T3168 for the TBF upon reception of the PACKET UPLINK ASSIGNMENT message including Single Block Allocation structure assigning resources for the TBF or the PACKET ACCESS REJECT message rejecting the TBF request. The mobile station shall use the same procedures as are used for TBF establishment using two phase access described in sub-clause 7.1.3 (</w:t>
      </w:r>
      <w:r w:rsidRPr="004D0DAA">
        <w:rPr>
          <w:i/>
        </w:rPr>
        <w:t>A/Gb mode</w:t>
      </w:r>
      <w:r w:rsidRPr="004D0DAA">
        <w:t>) starting from the point where the mobile station receives the PACKET UPLINK ASSIGNMENT message including Single Block Allocation structure or the PACKET ACCESS REJECT message.</w:t>
      </w:r>
    </w:p>
    <w:p w14:paraId="2EF33C80" w14:textId="77777777" w:rsidR="00711444" w:rsidRPr="004D0DAA" w:rsidRDefault="00711444" w:rsidP="00711444">
      <w:pPr>
        <w:pStyle w:val="B1"/>
      </w:pPr>
      <w:r w:rsidRPr="004D0DAA">
        <w:t>-</w:t>
      </w:r>
      <w:r w:rsidRPr="004D0DAA">
        <w:tab/>
        <w:t>If Control Ack Type parameter in System Information indicates acknowledgement is RLC/MAC control block, the mobile station shall transmit the PACKET RESOURCE REQUEST message and start timer T3168 for the TBF request. The mobile station shall use the same procedures as are used for TBF establishment using two phase access described in sub-clause 7.1.3 (</w:t>
      </w:r>
      <w:r w:rsidRPr="004D0DAA">
        <w:rPr>
          <w:i/>
        </w:rPr>
        <w:t>A/Gb mode</w:t>
      </w:r>
      <w:r w:rsidRPr="004D0DAA">
        <w:t>) starting from the point where the mobile station transmits the PACKET RESOURCE REQUEST message.</w:t>
      </w:r>
    </w:p>
    <w:p w14:paraId="4464BA90" w14:textId="77777777" w:rsidR="00711444" w:rsidRPr="004D0DAA" w:rsidRDefault="00711444" w:rsidP="00711444">
      <w:pPr>
        <w:keepLines/>
      </w:pPr>
      <w:r w:rsidRPr="004D0DAA">
        <w:lastRenderedPageBreak/>
        <w:t>If the PACKET UPLINK ACK/NACK message does not have the Final Ack Indicator bit set to '1', the mobile station shall repeat sending the last block with CV=0, until a PACKET UPLINK ACK/NACK message with Final Ack Indicator bit set to '1' is received for this TBF. Upon each retransmission of the last block with CV=0, the mobile station shall restart timer T3182 for the TBF. The block with CV=0 shall not be retransmitted more than four times. If the medium access mode is dynamic allocation, the repetitions are transmitted when the mobile station is scheduled USFs. If timer T3182 expires for the TBF the mobile station shall release the TBF as if a PACKET UPLINK ACK/NACK message was received.</w:t>
      </w:r>
    </w:p>
    <w:p w14:paraId="67560BC3" w14:textId="77777777" w:rsidR="00711444" w:rsidRPr="004D0DAA" w:rsidRDefault="00711444" w:rsidP="00711444">
      <w:r w:rsidRPr="004D0DAA">
        <w:t>When the network receives the PACKET CONTROL ACKNOWLEDGEMENT message or the PACKET RESOURCE REQUEST message in the radio block indicated by the RRBP field, it may reuse the TFI and USF resources.</w:t>
      </w:r>
    </w:p>
    <w:p w14:paraId="6B0E35CB" w14:textId="77777777" w:rsidR="00711444" w:rsidRPr="004D0DAA" w:rsidRDefault="00711444" w:rsidP="00711444">
      <w:r w:rsidRPr="004D0DAA">
        <w:t>If the network receives the PACKET CONTROL ACKNOWLEDGEMENT message with Ctrl Ack bits set to '00' or the PACKET RESOURCE REQUEST message in the radio block indicated by the RRBP field and the network has set the TBF Est field to '1' in the PACKET UPLINK ACK/NACK message, the network shall follow one of the following procedures:</w:t>
      </w:r>
    </w:p>
    <w:p w14:paraId="1B32938D" w14:textId="77777777" w:rsidR="00711444" w:rsidRPr="004D0DAA" w:rsidRDefault="00711444" w:rsidP="00711444">
      <w:pPr>
        <w:pStyle w:val="B1"/>
      </w:pPr>
      <w:r w:rsidRPr="004D0DAA">
        <w:t>-</w:t>
      </w:r>
      <w:r w:rsidRPr="004D0DAA">
        <w:tab/>
        <w:t xml:space="preserve">In case the mobile station requested the establishment of new TBF with the PACKET CONTROL ACKNOWLEDGEMENT message, the network shall respond to the mobile station with the PACKET UPLINK ASSIGNMENT message including Single Block Allocation structure or the PACKET ACCESS REJECT message on the same PDCH as the mobile station has sent the PACKET CONTROL ACKNOWLEDGEMENT message. TLLI (in </w:t>
      </w:r>
      <w:r w:rsidRPr="004D0DAA">
        <w:rPr>
          <w:i/>
        </w:rPr>
        <w:t>A/Gb mode</w:t>
      </w:r>
      <w:r w:rsidRPr="004D0DAA">
        <w:t xml:space="preserve">) or G-RNTI (in </w:t>
      </w:r>
      <w:r w:rsidRPr="004D0DAA">
        <w:rPr>
          <w:i/>
        </w:rPr>
        <w:t>Iu mode</w:t>
      </w:r>
      <w:r w:rsidRPr="004D0DAA">
        <w:t>) shall be used to identify the mobile station. The network shall use the same procedures as are used for TBF establishment using two phase access described in sub-clause 7.1.3 (</w:t>
      </w:r>
      <w:r w:rsidRPr="004D0DAA">
        <w:rPr>
          <w:i/>
        </w:rPr>
        <w:t>A/Gb mode</w:t>
      </w:r>
      <w:r w:rsidRPr="004D0DAA">
        <w:t>) starting from the point where the network transmits the PACKET UPLINK ASSIGNMENT message including Single Block Allocation structure or the PACKET ACCESS REJECT message.</w:t>
      </w:r>
    </w:p>
    <w:p w14:paraId="7E5343CA" w14:textId="77777777" w:rsidR="00711444" w:rsidRPr="004D0DAA" w:rsidRDefault="00711444" w:rsidP="00711444">
      <w:pPr>
        <w:pStyle w:val="B1"/>
      </w:pPr>
      <w:r w:rsidRPr="004D0DAA">
        <w:t>-</w:t>
      </w:r>
      <w:r w:rsidRPr="004D0DAA">
        <w:tab/>
        <w:t>In case the mobile station requested the establishment of new TBF with the PACKET RESOURCE REQUEST message, the network shall use the same procedures as are used for TBF establishment using two phase access described in sub-clause 7.1.3 (</w:t>
      </w:r>
      <w:r w:rsidRPr="004D0DAA">
        <w:rPr>
          <w:i/>
        </w:rPr>
        <w:t>A/Gb mode</w:t>
      </w:r>
      <w:r w:rsidRPr="004D0DAA">
        <w:t xml:space="preserve">) starting from the point where the network has received the PACKET RESOURCE REQUEST message. TLLI (in </w:t>
      </w:r>
      <w:r w:rsidRPr="004D0DAA">
        <w:rPr>
          <w:i/>
        </w:rPr>
        <w:t>A/Gb mode</w:t>
      </w:r>
      <w:r w:rsidRPr="004D0DAA">
        <w:t xml:space="preserve">) or G-RNTI (in </w:t>
      </w:r>
      <w:r w:rsidRPr="004D0DAA">
        <w:rPr>
          <w:i/>
        </w:rPr>
        <w:t>Iu mode</w:t>
      </w:r>
      <w:r w:rsidRPr="004D0DAA">
        <w:t xml:space="preserve">) shall be used to identify the mobile station. </w:t>
      </w:r>
    </w:p>
    <w:p w14:paraId="5B5C85BB" w14:textId="77777777" w:rsidR="00711444" w:rsidRPr="004D0DAA" w:rsidRDefault="00711444" w:rsidP="00711444">
      <w:r w:rsidRPr="004D0DAA">
        <w:t>If the network does not receive the PACKET CONTROL ACKNOWLEDGEMENT message or the PACKET RESOURCE REQUEST message for the TBF in the radio block indicated by the RRBP field, it shall increment counter N3103 and retransmit the PACKET UPLINK ACK/NACK message for the TBF. If counter N3103 exceeds its limit, the network shall start timer T3169 for the TBF. When timer T3169 expires for the TBF the network may reuse the TFI and USF resources.</w:t>
      </w:r>
    </w:p>
    <w:p w14:paraId="07833FC3" w14:textId="77777777" w:rsidR="00711444" w:rsidRPr="004D0DAA" w:rsidRDefault="00711444" w:rsidP="00711444">
      <w:pPr>
        <w:pStyle w:val="Heading4"/>
      </w:pPr>
      <w:bookmarkStart w:id="478" w:name="_Toc516669660"/>
      <w:r w:rsidRPr="004D0DAA">
        <w:t>9.3.3.4</w:t>
      </w:r>
      <w:r w:rsidRPr="004D0DAA">
        <w:tab/>
        <w:t>Operation of downlink Temporary Block Flow</w:t>
      </w:r>
      <w:bookmarkEnd w:id="478"/>
    </w:p>
    <w:p w14:paraId="5131D3BC" w14:textId="77777777" w:rsidR="00711444" w:rsidRPr="004D0DAA" w:rsidRDefault="00711444" w:rsidP="00711444">
      <w:r w:rsidRPr="004D0DAA">
        <w:t>The mobile station receives RLC/MAC blocks on the assigned downlink PDCHs. On each assigned PDCH, the mobile station shall in the RLC header identify the TFI and decode the RLC data blocks intended for the mobile station. The operation during the TBF shall be as defined in sub-clause 9.1 (</w:t>
      </w:r>
      <w:r w:rsidRPr="004D0DAA">
        <w:rPr>
          <w:i/>
        </w:rPr>
        <w:t>A/Gb mode</w:t>
      </w:r>
      <w:r w:rsidRPr="004D0DAA">
        <w:t>).</w:t>
      </w:r>
    </w:p>
    <w:p w14:paraId="7F94C077" w14:textId="77777777" w:rsidR="00711444" w:rsidRPr="004D0DAA" w:rsidRDefault="00711444" w:rsidP="00711444">
      <w:pPr>
        <w:pStyle w:val="Heading4"/>
      </w:pPr>
      <w:bookmarkStart w:id="479" w:name="_Toc516669661"/>
      <w:r w:rsidRPr="004D0DAA">
        <w:t>9.3.3.5</w:t>
      </w:r>
      <w:r w:rsidRPr="004D0DAA">
        <w:tab/>
        <w:t>Release of downlink Temporary Block Flow</w:t>
      </w:r>
      <w:bookmarkEnd w:id="479"/>
    </w:p>
    <w:p w14:paraId="08A88806" w14:textId="77777777" w:rsidR="00711444" w:rsidRPr="004D0DAA" w:rsidRDefault="00711444" w:rsidP="00711444">
      <w:r w:rsidRPr="004D0DAA">
        <w:t>If EMST is used (see sub-clause 5.10), the network shall release a downlink TBF by releasing all the RLC entities allocated on that TBF. The downlink TBF is successfully released when the last RLC entity is released. The network shall perform the release of an RLC entity operating in RLC unacknowledged mode as specified in the present sub-clause. The network shall perform the release of an RLC entity operating in RLC acknowledged mode as specified in sub-clause 9.3.2.6.</w:t>
      </w:r>
    </w:p>
    <w:p w14:paraId="44770C25" w14:textId="77777777" w:rsidR="00711444" w:rsidRPr="004D0DAA" w:rsidRDefault="00711444" w:rsidP="00711444">
      <w:r w:rsidRPr="004D0DAA">
        <w:t>The network initiates the release of a downlink TBF, or if EMST is used, the release of an RLC entity on a downlink TBF by sending an RLC data block with the Final Block Indicator (FBI) set to the value '1' and with a valid RRBP field. The RLC data block sent must have the highest BSN' (see sub-clause 9.3.1) of the downlink TBF, or if EMST is used, of the RLC entity. The network shall start timer T3191 for the TBF, or if EMST is used, for the RLC entity. The network may retransmit the last block with FBI set to the value '1' and with a valid RRBP field. For each retransmission for the TBF, or if EMST is used, for each retransmission for the RLC entity, the timer T3191 is restarted.</w:t>
      </w:r>
    </w:p>
    <w:p w14:paraId="2619C999" w14:textId="77777777" w:rsidR="00711444" w:rsidRPr="004D0DAA" w:rsidRDefault="00711444" w:rsidP="00711444">
      <w:r w:rsidRPr="004D0DAA">
        <w:t xml:space="preserve">For each RLC data block with the FBI bit set to '1' and with a valid RRBP field, the mobile station shall transmit the PACKET CONTROL ACKNOWLEDGEMENT message in the uplink block specified by the RRBP field. The mobile station shall continue to read the assigned downlink PDCHs until the block period pointed to by the RRBP. If the mobile station receives more than one RLC data block with the FBI bit set to '1' and with valid RRBP fields that point </w:t>
      </w:r>
      <w:r w:rsidRPr="004D0DAA">
        <w:lastRenderedPageBreak/>
        <w:t>the same uplink block period, the mobile station shall transmit the PACKET CONTROL ACKNOWLEDGEMENT message only once. The mobile station shall then stop timer T3190 for the TBF. If EMST is used, the mobile station shall stop the timer T3190 only if the (EGPRS) PACKET DOWNLINK ACK/NACK or EGPRS PACKET DOWNLINK ACK/NACK TYPE 2 or EGPRS PACKET DOWNLINK ACK/NACK TYPE 3 or EGPRS PACKET DOWNLINK ACK/NACK DLMC message with the Final Ack Indicator bit set to '1' corresponds to the last remaining RLC entity on the TBF. If the timeout value of timer T3192 (see sub-clause 12.24) is different from 0 ms then the mobile station shall start timer T3192 for the TBF, or if EMST is used, for the RLC entity and continue to monitor all assigned downlink PDCHs. Otherwise, if the timeout value of timer T3192 is 0 ms then the mobile station shall follow the procedure as if the timer T3192 has expired.</w:t>
      </w:r>
    </w:p>
    <w:p w14:paraId="4657CA79" w14:textId="77777777" w:rsidR="00711444" w:rsidRPr="004D0DAA" w:rsidRDefault="00711444" w:rsidP="00711444">
      <w:r w:rsidRPr="004D0DAA">
        <w:t>If the mobile station then receives a subsequent RLC data block with a valid RRBP and the FBI bit set to '1', the mobile station shall retransmit the PACKET CONTROL ACKNOWLEDGEMENT message and restart timer T3192 for the TBF, or if EMST is used, for the associated RLC entity.</w:t>
      </w:r>
    </w:p>
    <w:p w14:paraId="30FF6045" w14:textId="77777777" w:rsidR="00711444" w:rsidRPr="004D0DAA" w:rsidRDefault="00711444" w:rsidP="00711444">
      <w:r w:rsidRPr="004D0DAA">
        <w:t>In GPRS TBF mode, if the mobile station receives more than one RLC data block with the FBI set to '1' for the same RLC instance, it shall accept the data from only the first one of these blocks.</w:t>
      </w:r>
    </w:p>
    <w:p w14:paraId="501D0883" w14:textId="77777777" w:rsidR="00711444" w:rsidRPr="004D0DAA" w:rsidRDefault="00711444" w:rsidP="00711444">
      <w:pPr>
        <w:tabs>
          <w:tab w:val="left" w:pos="1276"/>
        </w:tabs>
      </w:pPr>
      <w:r w:rsidRPr="004D0DAA">
        <w:t>If the network receives the PACKET CONTROL ACKNOWLEDGEMENT message for the TBF, or if EMST is used, for the RLC entity before timer T3191 expires, the network shall stop timer T3191 for the TBF, or if EMST is used, for the associated RLC entity and start or restart timer T3193 for the TBF, or if EMST is used, for the RLC entity. When T3193 expires the network shall release the TBF, or if EMST is used, the associated RLC entity.</w:t>
      </w:r>
    </w:p>
    <w:p w14:paraId="04DC7471" w14:textId="77777777" w:rsidR="00711444" w:rsidRPr="004D0DAA" w:rsidRDefault="00711444" w:rsidP="00711444">
      <w:pPr>
        <w:tabs>
          <w:tab w:val="left" w:pos="1276"/>
        </w:tabs>
      </w:pPr>
      <w:r w:rsidRPr="004D0DAA">
        <w:t>If timer T3191 expires, the network shall release the associated TBF, or if EMST is used, the associated RLC entity.</w:t>
      </w:r>
    </w:p>
    <w:p w14:paraId="186BC747" w14:textId="77777777" w:rsidR="00711444" w:rsidRPr="004D0DAA" w:rsidRDefault="00711444" w:rsidP="00711444">
      <w:r w:rsidRPr="004D0DAA">
        <w:t>If the network has received the PACKET CONTROL ACKNOWLEDGEMENT message and has new data to transmit for the mobile station, the network may establish one or more new downlink TBF(s) for the mobile station by sending on PACCH the PACKET DOWNLINK ASSIGNMENT, MULTIPLE TBF DOWNLINK ASSIGNMENT, PACKET TIMESLOT RECONFIGURE or MULTIPLE TBF TIMESLOT RECONFIGURE message with the Control Ack bit set to '1' for each TBF. In case the network establishes a new downlink TBF for a mobile station that does not support multiple TBF procedures, or if EMST is used, reconfigures the ongoing TBF, the network shall stop timer T3193 for the TBF, or if EMST is used, for the associated RLC entity.</w:t>
      </w:r>
    </w:p>
    <w:p w14:paraId="79C8B96B" w14:textId="77777777" w:rsidR="00711444" w:rsidRPr="004D0DAA" w:rsidRDefault="00711444" w:rsidP="00711444">
      <w:pPr>
        <w:keepNext/>
        <w:keepLines/>
      </w:pPr>
      <w:r w:rsidRPr="004D0DAA">
        <w:t>If the mobile station, after sending the (EGPRS) PACKET DOWNLINK ACK/NACK or EGPRS PACKET DOWNLINK ACK/NACK TYPE 2 or EGPRS PACKET DOWNLINK ACK/NACK TYPE 3 or EGPRS PACKET DOWNLINK ACK/NACK DLMC message with the Final Ack Indicator bit set to '1' for a given TBF, receives a PACKET DOWNLINK ASSIGNMENT, MULTIPLE TBF DOWNLINK ASSIGNMENT, PACKET TIMESLOT RECONFIGURE or MULTIPLE TBF TIMESLOT RECONFIGURE message with the Control Ack bit set to '1' on the PACCH associated with this TBF while its timer T3192 is running, or if EMST is used, while the timer T3192 associated with the RLC entity identified by the TFI included in the message is running, the mobile station shall stop this instance of timer T3192, consider this downlink TBF, or if EMST is used, the associated RLC entity released and act upon the new assignments.</w:t>
      </w:r>
    </w:p>
    <w:p w14:paraId="247E3AC7" w14:textId="77777777" w:rsidR="00711444" w:rsidRPr="004D0DAA" w:rsidRDefault="00711444" w:rsidP="00711444">
      <w:r w:rsidRPr="004D0DAA">
        <w:t>When timer T3192 expires then the mobile station shall release the related downlink TBF, or if EMST is used, the associated RLC entity. If there are no other ongoing TBF the mobile station in packet transfer mode or MAC-Shared state shall enter packet idle mode or MAC-Idle state; the mobile station in dual transfer mode or MAC-DTM state shall return to dedicated mode or MAC-Dedicated state. The DRX mode procedures shall be applied as specified in sub-clause 5.5.1.5. If there are one or more ongoing TBFs a mobile station shall remain in its current mode/state and can request additional uplink TBFs as follows:</w:t>
      </w:r>
    </w:p>
    <w:p w14:paraId="19A1B658" w14:textId="77777777" w:rsidR="00711444" w:rsidRPr="004D0DAA" w:rsidRDefault="00711444" w:rsidP="00711444">
      <w:pPr>
        <w:pStyle w:val="B1"/>
      </w:pPr>
      <w:r w:rsidRPr="004D0DAA">
        <w:t>-</w:t>
      </w:r>
      <w:r w:rsidRPr="004D0DAA">
        <w:tab/>
        <w:t>It may send a PACKET RESOURCE REQUEST message using the PACCH if there is at least one ongoing uplink TBF as described in sub-clause 8.1.1.1.2.</w:t>
      </w:r>
    </w:p>
    <w:p w14:paraId="6BDCFD79" w14:textId="77777777" w:rsidR="00711444" w:rsidRPr="004D0DAA" w:rsidRDefault="00711444" w:rsidP="00711444">
      <w:pPr>
        <w:pStyle w:val="B1"/>
      </w:pPr>
      <w:r w:rsidRPr="004D0DAA">
        <w:t>-</w:t>
      </w:r>
      <w:r w:rsidRPr="004D0DAA">
        <w:tab/>
        <w:t>It may include a Channel Request Description or the Extended Channel Request Description information element in the (EGPRS) PACKET DOWNLINK ACK/NACK or EGPRS PACKET DOWNLINK ACK/NACK TYPE 2 message if there are no ongoing uplink TBFs and at least one ongoing downlink TBF as described in sub-clause 8.1.2.5.</w:t>
      </w:r>
    </w:p>
    <w:p w14:paraId="17F4EAF1" w14:textId="77777777" w:rsidR="00711444" w:rsidRPr="004D0DAA" w:rsidRDefault="00711444" w:rsidP="00711444">
      <w:pPr>
        <w:pStyle w:val="Heading3"/>
      </w:pPr>
      <w:bookmarkStart w:id="480" w:name="_Toc516669662"/>
      <w:r w:rsidRPr="004D0DAA">
        <w:t>9.3.4</w:t>
      </w:r>
      <w:r w:rsidRPr="004D0DAA">
        <w:tab/>
        <w:t>Non-persistent mode operation</w:t>
      </w:r>
      <w:bookmarkEnd w:id="480"/>
    </w:p>
    <w:p w14:paraId="29E5ED41" w14:textId="77777777" w:rsidR="00711444" w:rsidRPr="004D0DAA" w:rsidRDefault="00711444" w:rsidP="00711444">
      <w:pPr>
        <w:pStyle w:val="Heading4"/>
      </w:pPr>
      <w:bookmarkStart w:id="481" w:name="_Toc516669663"/>
      <w:r w:rsidRPr="004D0DAA">
        <w:t>9.3.4.0</w:t>
      </w:r>
      <w:r w:rsidRPr="004D0DAA">
        <w:tab/>
        <w:t>General</w:t>
      </w:r>
      <w:bookmarkEnd w:id="481"/>
    </w:p>
    <w:p w14:paraId="74CB97F3" w14:textId="77777777" w:rsidR="00711444" w:rsidRPr="004D0DAA" w:rsidRDefault="00711444" w:rsidP="00711444">
      <w:r w:rsidRPr="004D0DAA">
        <w:t xml:space="preserve">The transfer of RLC data blocks in RLC non-persistent mode includes non-exhaustive retransmissions. The block sequence number (BSN) in the RLC data block header is used to number the RLC data blocks for reassembly. When </w:t>
      </w:r>
      <w:r w:rsidRPr="004D0DAA">
        <w:lastRenderedPageBreak/>
        <w:t>RLC non-persistent mode is used for an MBMS bearer the receiving side sends MBMS DOWNLINK ACK/NACK messages to inform the transmitting side of the status of the reception and to convey neighbouring cell measurements. When RLC non-persistent mode is used for an EGPRS TBF the receiving side sends a PACKET UPLINK ACK/NACK, an EGPRS PACKET DOWNLINK ACK/NACK, an EGPRS PACKET DOWNLINK ACK/NACK TYPE 2, an EGPRS PACKET DOWNLINK ACK/NACK TYPE 3 or EGPRS PACKET DOWNLINK ACK/NACK DLMC message to inform the transmitting side of the reception status.</w:t>
      </w:r>
    </w:p>
    <w:p w14:paraId="41912E1A" w14:textId="77777777" w:rsidR="00711444" w:rsidRPr="004D0DAA" w:rsidRDefault="00711444" w:rsidP="00711444">
      <w:pPr>
        <w:pStyle w:val="Heading4"/>
      </w:pPr>
      <w:bookmarkStart w:id="482" w:name="_Toc516669664"/>
      <w:r w:rsidRPr="004D0DAA">
        <w:t>9.3.4.1</w:t>
      </w:r>
      <w:r w:rsidRPr="004D0DAA">
        <w:tab/>
        <w:t>Operation during an MBMS bearer</w:t>
      </w:r>
      <w:bookmarkEnd w:id="482"/>
    </w:p>
    <w:p w14:paraId="79A279C7" w14:textId="77777777" w:rsidR="00711444" w:rsidRPr="004D0DAA" w:rsidRDefault="00711444" w:rsidP="00711444">
      <w:r w:rsidRPr="004D0DAA">
        <w:t>The mobile station receives RLC/MAC blocks on the assigned downlink PDCHs. On each assigned PDCH, the mobile station shall in the RLC/MAC header identify the MBMS_BEARER_ID within the TFI field and decode the RLC data blocks if the mobile station is monitoring that MBMS Bearer. The operation during the MBMS bearer shall be as defined in sub-clause 9.1</w:t>
      </w:r>
    </w:p>
    <w:p w14:paraId="6926BB6E" w14:textId="77777777" w:rsidR="00711444" w:rsidRPr="004D0DAA" w:rsidRDefault="00711444" w:rsidP="00711444">
      <w:pPr>
        <w:pStyle w:val="Heading4"/>
      </w:pPr>
      <w:bookmarkStart w:id="483" w:name="_Toc516669665"/>
      <w:r w:rsidRPr="004D0DAA">
        <w:t>9.3.4.2</w:t>
      </w:r>
      <w:r w:rsidRPr="004D0DAA">
        <w:tab/>
        <w:t>Release of an MBMS radio bearer</w:t>
      </w:r>
      <w:bookmarkEnd w:id="483"/>
    </w:p>
    <w:p w14:paraId="0DF159C9" w14:textId="77777777" w:rsidR="00711444" w:rsidRPr="004D0DAA" w:rsidRDefault="00711444" w:rsidP="00711444">
      <w:pPr>
        <w:keepNext/>
      </w:pPr>
      <w:r w:rsidRPr="004D0DAA">
        <w:t xml:space="preserve">The network may initiate the normal or abnormal release of an MBMS radio bearer by transmitting a PACKET TBF RELEASE message to the mobile station(s) on the PACCH, as described in sub-clause 8.1.4.4. </w:t>
      </w:r>
    </w:p>
    <w:p w14:paraId="7F0E19EE" w14:textId="77777777" w:rsidR="00711444" w:rsidRPr="004D0DAA" w:rsidRDefault="00711444" w:rsidP="00711444">
      <w:r w:rsidRPr="004D0DAA">
        <w:t xml:space="preserve">The Final Block Indicator (FBI) bit shall not be set to the value '1' in any RLC/MAC block for data transfer of the MBMS radio bearer. </w:t>
      </w:r>
    </w:p>
    <w:p w14:paraId="5B05BC37" w14:textId="77777777" w:rsidR="00711444" w:rsidRPr="004D0DAA" w:rsidRDefault="00711444" w:rsidP="00711444">
      <w:pPr>
        <w:pStyle w:val="Heading4"/>
      </w:pPr>
      <w:bookmarkStart w:id="484" w:name="_Toc516669666"/>
      <w:r w:rsidRPr="004D0DAA">
        <w:t>9.3.4.3</w:t>
      </w:r>
      <w:r w:rsidRPr="004D0DAA">
        <w:tab/>
        <w:t>Operation during an EGPRS TBF</w:t>
      </w:r>
      <w:bookmarkEnd w:id="484"/>
    </w:p>
    <w:p w14:paraId="06127475" w14:textId="77777777" w:rsidR="00711444" w:rsidRPr="004D0DAA" w:rsidRDefault="00711444" w:rsidP="00711444">
      <w:r w:rsidRPr="004D0DAA">
        <w:t>The MAC procedures defined in sub-clause 8.1.1 and 8.1.2 apply for EGPRS TBFs that make use of RLC non-persistent mode. Release of an uplink EGPRS TBF operating in Non-persistent mode is specified in sub-clause 9.5. Release of a downlink EGPRS TBF operating in Non-persistent mode is as specified for RLC unacknowledged mode, (see sub-clause 9.3.3.5).</w:t>
      </w:r>
    </w:p>
    <w:p w14:paraId="0D0A6441" w14:textId="77777777" w:rsidR="00711444" w:rsidRPr="004D0DAA" w:rsidRDefault="00711444" w:rsidP="00711444">
      <w:pPr>
        <w:pStyle w:val="Heading2"/>
      </w:pPr>
      <w:bookmarkStart w:id="485" w:name="_Toc516669667"/>
      <w:r w:rsidRPr="004D0DAA">
        <w:t>9.4</w:t>
      </w:r>
      <w:r w:rsidRPr="004D0DAA">
        <w:tab/>
        <w:t>Abnormal release cases</w:t>
      </w:r>
      <w:bookmarkEnd w:id="485"/>
    </w:p>
    <w:p w14:paraId="62B4CA7B" w14:textId="77777777" w:rsidR="00711444" w:rsidRPr="004D0DAA" w:rsidRDefault="00711444" w:rsidP="00711444">
      <w:pPr>
        <w:pStyle w:val="Heading3"/>
      </w:pPr>
      <w:bookmarkStart w:id="486" w:name="_Toc516669668"/>
      <w:r w:rsidRPr="004D0DAA">
        <w:t>9.4.1</w:t>
      </w:r>
      <w:r w:rsidRPr="004D0DAA">
        <w:tab/>
        <w:t>Abnormal release with access retry</w:t>
      </w:r>
      <w:bookmarkEnd w:id="486"/>
    </w:p>
    <w:p w14:paraId="4CC8CBB7" w14:textId="77777777" w:rsidR="00711444" w:rsidRPr="004D0DAA" w:rsidRDefault="00711444" w:rsidP="00711444">
      <w:r w:rsidRPr="004D0DAA">
        <w:t>The procedure for abnormal release with access retry is defined in sub-clause 8.7.2.</w:t>
      </w:r>
    </w:p>
    <w:p w14:paraId="4E3C0F0F" w14:textId="77777777" w:rsidR="00711444" w:rsidRPr="004D0DAA" w:rsidRDefault="00711444" w:rsidP="00711444">
      <w:pPr>
        <w:pStyle w:val="Heading3"/>
      </w:pPr>
      <w:bookmarkStart w:id="487" w:name="_Toc516669669"/>
      <w:r w:rsidRPr="004D0DAA">
        <w:t>9.4.2</w:t>
      </w:r>
      <w:r w:rsidRPr="004D0DAA">
        <w:tab/>
        <w:t>Abnormal release with cell reselection</w:t>
      </w:r>
      <w:bookmarkEnd w:id="487"/>
    </w:p>
    <w:p w14:paraId="711A9BA5" w14:textId="77777777" w:rsidR="00711444" w:rsidRPr="004D0DAA" w:rsidRDefault="00711444" w:rsidP="00711444">
      <w:r w:rsidRPr="004D0DAA">
        <w:t xml:space="preserve">If the mobile station is not in dedicated mode of a circuit switched connection, or is in MAC-Shared state, the mobile station shall abort all TBFs in progress and return to packet idle mode or MAC-Idle state. The mobile station shall perform an abnormal cell reselection (see 3GPP TS 45.008) and initiate the establishment of one or more uplink TBFs, using the procedures on CCCH or PCCCH as defined in sub-clause 7.1 on the new cell. The mobile station shall not reselect back to the original cell for T_RESEL seconds if another suitable cell is available. </w:t>
      </w:r>
    </w:p>
    <w:p w14:paraId="24D20A0B" w14:textId="77777777" w:rsidR="00711444" w:rsidRPr="004D0DAA" w:rsidRDefault="00711444" w:rsidP="00711444">
      <w:r w:rsidRPr="004D0DAA">
        <w:t>If the abnormal cell reselection is abandoned (see 3GPP TS 45.008), the mobile station shall report an RLC/MAC failure to upper layers. If the mobile station remains in the cell where the abnormal release occurred, the DRX mode procedures shall be applied, as specified in sub-clause 5.5.1.5.</w:t>
      </w:r>
    </w:p>
    <w:p w14:paraId="28D820A3" w14:textId="77777777" w:rsidR="00711444" w:rsidRPr="004D0DAA" w:rsidRDefault="00711444" w:rsidP="00711444">
      <w:r w:rsidRPr="004D0DAA">
        <w:t>If the mobile station is in dedicated mode of a circuit switched connection (applies in GPRS class A mode of operation) or is in MAC-DTM state, the mobile station shall perform an abnormal release without retry, defined in sub-clause 8.7.1.</w:t>
      </w:r>
    </w:p>
    <w:p w14:paraId="0668E27D" w14:textId="77777777" w:rsidR="00711444" w:rsidRPr="004D0DAA" w:rsidRDefault="00711444" w:rsidP="00711444">
      <w:r w:rsidRPr="004D0DAA">
        <w:t>The parameter T_RESEL (default value 5 s) is broadcast in PSI 3.</w:t>
      </w:r>
    </w:p>
    <w:p w14:paraId="00C57DA7" w14:textId="77777777" w:rsidR="00711444" w:rsidRPr="004D0DAA" w:rsidRDefault="00711444" w:rsidP="00711444">
      <w:pPr>
        <w:pStyle w:val="Heading2"/>
      </w:pPr>
      <w:bookmarkStart w:id="488" w:name="_Toc516669670"/>
      <w:r w:rsidRPr="004D0DAA">
        <w:t>9.5</w:t>
      </w:r>
      <w:r w:rsidRPr="004D0DAA">
        <w:tab/>
        <w:t>Uplink TBF release in extended uplink TBF mode</w:t>
      </w:r>
      <w:bookmarkEnd w:id="488"/>
    </w:p>
    <w:p w14:paraId="33721189" w14:textId="77777777" w:rsidR="00711444" w:rsidRPr="004D0DAA" w:rsidRDefault="00711444" w:rsidP="00711444">
      <w:r w:rsidRPr="004D0DAA">
        <w:t xml:space="preserve">In the extended uplink TBF mode (see sub-clause 9.3.1b), the network may initiate the release an uplink TBF by sending a PACKET UPLINK ACK/NACK message with the Final Ack Indicator set to ‘1’. The network shall include a valid RRBP field in the RLC/MAC control block header and clear counter N3103 for the TBF. The network may use the TBF Est field in the PACKET UPLINK ACK/NACK message to allow the mobile station to request the </w:t>
      </w:r>
      <w:r w:rsidRPr="004D0DAA">
        <w:lastRenderedPageBreak/>
        <w:t>establishment of new TBF. The release of the uplink TBF, using this procedure, may be initiated at a point determined by the network.</w:t>
      </w:r>
    </w:p>
    <w:p w14:paraId="3A179282" w14:textId="77777777" w:rsidR="00711444" w:rsidRPr="004D0DAA" w:rsidRDefault="00711444" w:rsidP="00711444">
      <w:r w:rsidRPr="004D0DAA">
        <w:t xml:space="preserve">In case EMST is used, the network shall release an uplink TBF by releasing all the RLC entities allocated on that uplink TBF. The uplink TBF is successfully released when the last RLC entity is released. The network shall perform the release of an RLC entity as specified in this sub-clause. </w:t>
      </w:r>
    </w:p>
    <w:p w14:paraId="355C4D1F" w14:textId="77777777" w:rsidR="00711444" w:rsidRPr="004D0DAA" w:rsidRDefault="00711444" w:rsidP="00711444">
      <w:r w:rsidRPr="004D0DAA">
        <w:t>If the PACKET UPLINK ACK/NACK message has the Final Ack Indicator bit set to '1' and the following conditions are fulfilled: TBF Est field is set to '1'; the mobile station has new data to transmit; the mobile station has no other ongoing TBFs, or if EMST is used, no other active RLC entity, the mobile station shall release the uplink TBF and may request the establishment of a new TBF using one of the following procedures:</w:t>
      </w:r>
    </w:p>
    <w:p w14:paraId="31076FC9" w14:textId="77777777" w:rsidR="00711444" w:rsidRPr="004D0DAA" w:rsidRDefault="00711444" w:rsidP="00711444">
      <w:pPr>
        <w:pStyle w:val="B1"/>
      </w:pPr>
      <w:r w:rsidRPr="004D0DAA">
        <w:t>-</w:t>
      </w:r>
      <w:r w:rsidRPr="004D0DAA">
        <w:tab/>
        <w:t>If Control Ack Type parameter in System Information indicates acknowledgement is access burst, the mobile station shall transmit the PACKET CONTROL ACKNOWLEDGEMENT message with the Ctrl Ack bits set to '00'. The mobile station shall start timer T3168 for the TBF request and continue to monitor the PDCH used for transmitting the PACKET CONTROL ACKNOWLEDGEMENT message. The mobile station shall stop timer T3168 for the TBF upon reception of the PACKET UPLINK ASSIGNMENT message including Single Block Allocation structure assigning resources for the TBF or the PACKET ACCESS REJECT message rejecting the TBF request. The mobile station shall use the same procedures as are used for TBF establishment using two phase access described in sub-clause 7.1.3 starting from the point where the mobile station receives the PACKET UPLINK ASSIGNMENT message including Single Block Allocation structure or the PACKET ACCESS REJECT message.</w:t>
      </w:r>
    </w:p>
    <w:p w14:paraId="05583D7A" w14:textId="77777777" w:rsidR="00711444" w:rsidRPr="004D0DAA" w:rsidRDefault="00711444" w:rsidP="00711444">
      <w:pPr>
        <w:pStyle w:val="B1"/>
      </w:pPr>
      <w:r w:rsidRPr="004D0DAA">
        <w:t>-</w:t>
      </w:r>
      <w:r w:rsidRPr="004D0DAA">
        <w:tab/>
        <w:t>If Control Ack Type parameter in System Information indicates acknowledgement is RLC/MAC control block, the mobile station shall transmit the PACKET RESOURCE REQUEST message and start timer T3168 for the TBF request. The mobile station shall use the same procedures as are used for TBF establishment using two phase access described in sub-clause 7.1.3 starting from the point where the mobile station transmits the PACKET RESOURCE REQUEST message.</w:t>
      </w:r>
    </w:p>
    <w:p w14:paraId="253B216D" w14:textId="77777777" w:rsidR="00711444" w:rsidRPr="004D0DAA" w:rsidRDefault="00711444" w:rsidP="00711444">
      <w:r w:rsidRPr="004D0DAA">
        <w:t>If the PACKET UPLINK ACK/NACK message has the Final Ack Indicator bit set to '1' and the mobile station does not initiate the establishment of a new uplink TBF according to one of the procedures described above, the mobile station shall transmit the PACKET CONTROL ACKNOWLEDGEMENT message and release the TBF, or if EMST is used, the RLC entity. If there are no other ongoing TBFs, or if EMST is used, no other ongoing RLC entities, the mobile station in packet transfer mode shall return to packet idle mode; the mobile station in dual transfer mode shall return to dedicated mode. The DRX mode procedures shall be applied as specified in sub-clause 5.5.1.5. If there are one or more ongoing TBFs a mobile station shall remain in its current mode/state and can request additional uplink TBFs as follows:</w:t>
      </w:r>
    </w:p>
    <w:p w14:paraId="687E1D99" w14:textId="77777777" w:rsidR="00711444" w:rsidRPr="004D0DAA" w:rsidRDefault="00711444" w:rsidP="00711444">
      <w:pPr>
        <w:pStyle w:val="B1"/>
      </w:pPr>
      <w:r w:rsidRPr="004D0DAA">
        <w:t>-</w:t>
      </w:r>
      <w:r w:rsidRPr="004D0DAA">
        <w:tab/>
        <w:t>It may send a PACKET RESOURCE REQUEST message using the PACCH if there is at least one ongoing uplink TBF as described in sub-clause 8.1.1.1.2.</w:t>
      </w:r>
    </w:p>
    <w:p w14:paraId="49426FF7" w14:textId="77777777" w:rsidR="00711444" w:rsidRPr="004D0DAA" w:rsidRDefault="00711444" w:rsidP="00711444">
      <w:pPr>
        <w:pStyle w:val="B1"/>
      </w:pPr>
      <w:r w:rsidRPr="004D0DAA">
        <w:t>-</w:t>
      </w:r>
      <w:r w:rsidRPr="004D0DAA">
        <w:tab/>
        <w:t>It may include a Channel Request Description or the Extended Channel Request Description information element in the (EGPRS) PACKET DOWNLINK ACK/NACK message or EGPRS PACKET DOWNLINK ACK/NACK TYPE 2 message or a Channel Request Description information element in the EGPRS PACKET DOWNLINK ACK/NACK DLMC message if there are no ongoing uplink TBFs and at least one ongoing downlink TBF as described in sub-clause 8.1.2.5.</w:t>
      </w:r>
    </w:p>
    <w:p w14:paraId="14CE3A77" w14:textId="77777777" w:rsidR="00711444" w:rsidRPr="004D0DAA" w:rsidRDefault="00711444" w:rsidP="00711444">
      <w:r w:rsidRPr="004D0DAA">
        <w:t>When the network receives the PACKET CONTROL ACKNOWLEDGEMENT message or the PACKET RESOURCE REQUEST message in the radio block indicated by the RRBP field, it may reuse the TFI and USF resources. If EMST is used, the USF resources may be reused only if the TBF is released, i.e. the last RLC entity allocated on the uplink TBF is released.</w:t>
      </w:r>
    </w:p>
    <w:p w14:paraId="46A591A4" w14:textId="77777777" w:rsidR="00711444" w:rsidRPr="004D0DAA" w:rsidRDefault="00711444" w:rsidP="00711444">
      <w:r w:rsidRPr="004D0DAA">
        <w:t>When EMST is not used or when EMST is used and the last RLC entity is released, if the network receives the PACKET CONTROL ACKNOWLEDGEMENT message with Ctrl Ack bits set to '00' or the PACKET RESOURCE REQUEST message in the radio block indicated by the RRBP field and the network has set the TBF Est field to '1' in the PACKET UPLINK ACK/NACK message, the network shall follow one of the following procedures:</w:t>
      </w:r>
    </w:p>
    <w:p w14:paraId="58D11313" w14:textId="77777777" w:rsidR="00711444" w:rsidRPr="004D0DAA" w:rsidRDefault="00711444" w:rsidP="00711444">
      <w:pPr>
        <w:pStyle w:val="B1"/>
      </w:pPr>
      <w:r w:rsidRPr="004D0DAA">
        <w:t>-</w:t>
      </w:r>
      <w:r w:rsidRPr="004D0DAA">
        <w:tab/>
        <w:t>In case the mobile station requested the establishment of new TBF with the PACKET CONTROL ACKNOWLEDGEMENT message, the network shall respond to the mobile station with the PACKET UPLINK ASSIGNMENT message including Single Block Allocation structure or the PACKET ACCESS REJECT message on the same PDCH as the mobile station has sent the PACKET CONTROL ACKNOWLEDGEMENT message. TLLI shall be used to identify the mobile station. The network shall use the same procedures as are used for TBF establishment using two phase access described in sub-clause 7.1.3 starting from the point where the network transmits the PACKET UPLINK ASSIGNMENT message including Single Block Allocation structure or the PACKET ACCESS REJECT message.</w:t>
      </w:r>
    </w:p>
    <w:p w14:paraId="67D59937" w14:textId="77777777" w:rsidR="00711444" w:rsidRPr="004D0DAA" w:rsidRDefault="00711444" w:rsidP="00711444">
      <w:pPr>
        <w:pStyle w:val="B1"/>
      </w:pPr>
      <w:r w:rsidRPr="004D0DAA">
        <w:lastRenderedPageBreak/>
        <w:t>-</w:t>
      </w:r>
      <w:r w:rsidRPr="004D0DAA">
        <w:tab/>
        <w:t xml:space="preserve">In case the mobile station requested the establishment of new TBF with the PACKET RESOURCE REQUEST message, the network shall use the same procedures as are used for TBF establishment using two phase access described in sub-clause 7.1.3 starting from the point where the network has received the PACKET RESOURCE REQUEST message. TLLI shall be used to identify the mobile station. </w:t>
      </w:r>
    </w:p>
    <w:p w14:paraId="0863C09B" w14:textId="77777777" w:rsidR="00711444" w:rsidRPr="004D0DAA" w:rsidRDefault="00711444" w:rsidP="00711444">
      <w:r w:rsidRPr="004D0DAA">
        <w:t>If the network does not receive the PACKET CONTROL ACKNOWLEDGEMENT message or the PACKET RESOURCE REQUEST message for the TBF, or if EMST is used, for the RLC entity in the radio block indicated by the RRBP field, it shall increment counter N3103 and retransmit the PACKET UPLINK ACK/NACK message for the TBF, or if EMST is used, the RLC entity. When EMST is not used or when EMST is used and the last RLC entity is released, if counter N3103 exceeds its limit, the network shall stop scheduling new uplink resources for the TBF, stop sending the PACKET UPLINK ACK/NACK message to the mobile station and start timer T3169 for the TBF.</w:t>
      </w:r>
    </w:p>
    <w:p w14:paraId="75E0A3D1" w14:textId="77777777" w:rsidR="00711444" w:rsidRPr="004D0DAA" w:rsidRDefault="00711444" w:rsidP="00711444">
      <w:r w:rsidRPr="004D0DAA">
        <w:t>When timer T3169 expires for the TBF, the network may reuse the TFI and USF resources. If EMST is used for the TBF, the USF resources may be reused only once the TBF is released, i.e. the last RLC entity allocated on the uplink TBF is released.</w:t>
      </w:r>
    </w:p>
    <w:p w14:paraId="45F97AE4" w14:textId="77777777" w:rsidR="00711444" w:rsidRPr="004D0DAA" w:rsidRDefault="00711444" w:rsidP="00711444">
      <w:pPr>
        <w:pStyle w:val="Heading1"/>
      </w:pPr>
      <w:bookmarkStart w:id="489" w:name="_Toc516669671"/>
      <w:r w:rsidRPr="004D0DAA">
        <w:t>10</w:t>
      </w:r>
      <w:r w:rsidRPr="004D0DAA">
        <w:tab/>
        <w:t>RLC/MAC block structure</w:t>
      </w:r>
      <w:bookmarkEnd w:id="489"/>
    </w:p>
    <w:p w14:paraId="0EEC614F" w14:textId="77777777" w:rsidR="00711444" w:rsidRPr="004D0DAA" w:rsidRDefault="00711444" w:rsidP="00711444">
      <w:pPr>
        <w:pStyle w:val="Heading2"/>
      </w:pPr>
      <w:bookmarkStart w:id="490" w:name="_Toc516669672"/>
      <w:r w:rsidRPr="004D0DAA">
        <w:t>10.0a</w:t>
      </w:r>
      <w:r w:rsidRPr="004D0DAA">
        <w:tab/>
        <w:t>RLC/MAC block structure</w:t>
      </w:r>
      <w:bookmarkEnd w:id="490"/>
    </w:p>
    <w:p w14:paraId="1D5DDD6E" w14:textId="77777777" w:rsidR="00711444" w:rsidRPr="004D0DAA" w:rsidRDefault="00711444" w:rsidP="00711444">
      <w:r w:rsidRPr="004D0DAA">
        <w:t>Different RLC/MAC block structures are defined for data transfers and for control message transfers. The RLC/MAC block structures for data transfers are different for GPRS and EGPRS/EC-GSM-IoT, whereas the RLC/MAC block structure used for control message transfers for EC-GSM-IoT is different than the one used for GPRS and EGPRS.</w:t>
      </w:r>
    </w:p>
    <w:p w14:paraId="3504949C" w14:textId="77777777" w:rsidR="00711444" w:rsidRPr="004D0DAA" w:rsidRDefault="00711444" w:rsidP="00711444">
      <w:pPr>
        <w:pStyle w:val="Heading3"/>
      </w:pPr>
      <w:bookmarkStart w:id="491" w:name="_Toc516669673"/>
      <w:r w:rsidRPr="004D0DAA">
        <w:t>10.0a.1</w:t>
      </w:r>
      <w:r w:rsidRPr="004D0DAA">
        <w:tab/>
        <w:t>GPRS RLC/MAC block for data transfer</w:t>
      </w:r>
      <w:bookmarkEnd w:id="491"/>
    </w:p>
    <w:p w14:paraId="0BC601BC" w14:textId="77777777" w:rsidR="00711444" w:rsidRPr="004D0DAA" w:rsidRDefault="00711444" w:rsidP="00711444">
      <w:pPr>
        <w:keepNext/>
      </w:pPr>
      <w:r w:rsidRPr="004D0DAA">
        <w:t>The RLC/MAC block for GPRS data transfer consists of a MAC header and an RLC data block. The RLC data block consists of an RLC header, an RLC data unit and spare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1417"/>
        <w:gridCol w:w="2694"/>
        <w:gridCol w:w="1057"/>
      </w:tblGrid>
      <w:tr w:rsidR="00711444" w:rsidRPr="004D0DAA" w14:paraId="39C0E207" w14:textId="77777777" w:rsidTr="00AA2A4C">
        <w:tblPrEx>
          <w:tblCellMar>
            <w:top w:w="0" w:type="dxa"/>
            <w:bottom w:w="0" w:type="dxa"/>
          </w:tblCellMar>
        </w:tblPrEx>
        <w:trPr>
          <w:cantSplit/>
          <w:jc w:val="center"/>
        </w:trPr>
        <w:tc>
          <w:tcPr>
            <w:tcW w:w="6942" w:type="dxa"/>
            <w:gridSpan w:val="4"/>
          </w:tcPr>
          <w:p w14:paraId="463D53B3" w14:textId="77777777" w:rsidR="00711444" w:rsidRPr="004D0DAA" w:rsidRDefault="00711444" w:rsidP="00AA2A4C">
            <w:pPr>
              <w:pStyle w:val="TAH"/>
              <w:rPr>
                <w:lang w:eastAsia="en-US"/>
              </w:rPr>
            </w:pPr>
            <w:r w:rsidRPr="004D0DAA">
              <w:rPr>
                <w:lang w:eastAsia="en-US"/>
              </w:rPr>
              <w:t>RLC/MAC block</w:t>
            </w:r>
          </w:p>
        </w:tc>
      </w:tr>
      <w:tr w:rsidR="00711444" w:rsidRPr="004D0DAA" w14:paraId="13C80543" w14:textId="77777777" w:rsidTr="00AA2A4C">
        <w:tblPrEx>
          <w:tblCellMar>
            <w:top w:w="0" w:type="dxa"/>
            <w:bottom w:w="0" w:type="dxa"/>
          </w:tblCellMar>
        </w:tblPrEx>
        <w:trPr>
          <w:cantSplit/>
          <w:jc w:val="center"/>
        </w:trPr>
        <w:tc>
          <w:tcPr>
            <w:tcW w:w="1774" w:type="dxa"/>
            <w:vMerge w:val="restart"/>
            <w:vAlign w:val="center"/>
          </w:tcPr>
          <w:p w14:paraId="37AC04E1" w14:textId="77777777" w:rsidR="00711444" w:rsidRPr="004D0DAA" w:rsidRDefault="00711444" w:rsidP="00AA2A4C">
            <w:pPr>
              <w:pStyle w:val="TAC"/>
              <w:rPr>
                <w:lang w:eastAsia="en-US"/>
              </w:rPr>
            </w:pPr>
            <w:r w:rsidRPr="004D0DAA">
              <w:rPr>
                <w:lang w:eastAsia="en-US"/>
              </w:rPr>
              <w:t>MAC header</w:t>
            </w:r>
          </w:p>
        </w:tc>
        <w:tc>
          <w:tcPr>
            <w:tcW w:w="5168" w:type="dxa"/>
            <w:gridSpan w:val="3"/>
          </w:tcPr>
          <w:p w14:paraId="5D43F983" w14:textId="77777777" w:rsidR="00711444" w:rsidRPr="004D0DAA" w:rsidRDefault="00711444" w:rsidP="00AA2A4C">
            <w:pPr>
              <w:pStyle w:val="TAC"/>
              <w:rPr>
                <w:lang w:eastAsia="en-US"/>
              </w:rPr>
            </w:pPr>
            <w:r w:rsidRPr="004D0DAA">
              <w:rPr>
                <w:lang w:eastAsia="en-US"/>
              </w:rPr>
              <w:t>RLC data block</w:t>
            </w:r>
          </w:p>
        </w:tc>
      </w:tr>
      <w:tr w:rsidR="00711444" w:rsidRPr="004D0DAA" w14:paraId="681D64B8" w14:textId="77777777" w:rsidTr="00AA2A4C">
        <w:tblPrEx>
          <w:tblCellMar>
            <w:top w:w="0" w:type="dxa"/>
            <w:bottom w:w="0" w:type="dxa"/>
          </w:tblCellMar>
        </w:tblPrEx>
        <w:trPr>
          <w:cantSplit/>
          <w:jc w:val="center"/>
        </w:trPr>
        <w:tc>
          <w:tcPr>
            <w:tcW w:w="1774" w:type="dxa"/>
            <w:vMerge/>
          </w:tcPr>
          <w:p w14:paraId="7B7E99AD" w14:textId="77777777" w:rsidR="00711444" w:rsidRPr="004D0DAA" w:rsidRDefault="00711444" w:rsidP="00AA2A4C"/>
        </w:tc>
        <w:tc>
          <w:tcPr>
            <w:tcW w:w="1417" w:type="dxa"/>
          </w:tcPr>
          <w:p w14:paraId="42DA86D8" w14:textId="77777777" w:rsidR="00711444" w:rsidRPr="004D0DAA" w:rsidRDefault="00711444" w:rsidP="00AA2A4C">
            <w:pPr>
              <w:pStyle w:val="TAC"/>
              <w:rPr>
                <w:lang w:eastAsia="en-US"/>
              </w:rPr>
            </w:pPr>
            <w:r w:rsidRPr="004D0DAA">
              <w:rPr>
                <w:lang w:eastAsia="en-US"/>
              </w:rPr>
              <w:t>RLC header</w:t>
            </w:r>
          </w:p>
        </w:tc>
        <w:tc>
          <w:tcPr>
            <w:tcW w:w="2694" w:type="dxa"/>
          </w:tcPr>
          <w:p w14:paraId="5473F631" w14:textId="77777777" w:rsidR="00711444" w:rsidRPr="004D0DAA" w:rsidRDefault="00711444" w:rsidP="00AA2A4C">
            <w:pPr>
              <w:pStyle w:val="TAC"/>
              <w:rPr>
                <w:lang w:eastAsia="en-US"/>
              </w:rPr>
            </w:pPr>
            <w:r w:rsidRPr="004D0DAA">
              <w:rPr>
                <w:lang w:eastAsia="en-US"/>
              </w:rPr>
              <w:t>RLC data unit</w:t>
            </w:r>
          </w:p>
        </w:tc>
        <w:tc>
          <w:tcPr>
            <w:tcW w:w="1057" w:type="dxa"/>
          </w:tcPr>
          <w:p w14:paraId="7FB89AF3" w14:textId="77777777" w:rsidR="00711444" w:rsidRPr="004D0DAA" w:rsidRDefault="00711444" w:rsidP="00AA2A4C">
            <w:pPr>
              <w:pStyle w:val="TAC"/>
              <w:rPr>
                <w:lang w:eastAsia="en-US"/>
              </w:rPr>
            </w:pPr>
            <w:r w:rsidRPr="004D0DAA">
              <w:rPr>
                <w:lang w:eastAsia="en-US"/>
              </w:rPr>
              <w:t>Spare bits</w:t>
            </w:r>
          </w:p>
        </w:tc>
      </w:tr>
    </w:tbl>
    <w:p w14:paraId="4AADDE34" w14:textId="77777777" w:rsidR="00711444" w:rsidRPr="004D0DAA" w:rsidRDefault="00711444" w:rsidP="00711444">
      <w:pPr>
        <w:pStyle w:val="NF"/>
      </w:pPr>
    </w:p>
    <w:p w14:paraId="0B32584C" w14:textId="77777777" w:rsidR="00711444" w:rsidRPr="004D0DAA" w:rsidRDefault="00711444" w:rsidP="00711444">
      <w:pPr>
        <w:pStyle w:val="TF"/>
      </w:pPr>
      <w:r w:rsidRPr="004D0DAA">
        <w:t>Figure 10.0a.1.1: RLC/MAC block structure for data transfer for GPRS</w:t>
      </w:r>
    </w:p>
    <w:p w14:paraId="25720233" w14:textId="77777777" w:rsidR="00711444" w:rsidRPr="004D0DAA" w:rsidRDefault="00711444" w:rsidP="00711444">
      <w:r w:rsidRPr="004D0DAA">
        <w:t>The RLC data unit contains octets from one or more upper layer PDUs.</w:t>
      </w:r>
    </w:p>
    <w:p w14:paraId="21CB26E9" w14:textId="77777777" w:rsidR="00711444" w:rsidRPr="004D0DAA" w:rsidRDefault="00711444" w:rsidP="00711444">
      <w:pPr>
        <w:pStyle w:val="Heading3"/>
      </w:pPr>
      <w:bookmarkStart w:id="492" w:name="_Toc516669674"/>
      <w:r w:rsidRPr="004D0DAA">
        <w:t>10.0a.2</w:t>
      </w:r>
      <w:r w:rsidRPr="004D0DAA">
        <w:tab/>
        <w:t>EGPRS and EC-GSM-IoT RLC/MAC block for data transfer</w:t>
      </w:r>
      <w:bookmarkEnd w:id="492"/>
    </w:p>
    <w:p w14:paraId="09A07DF5" w14:textId="77777777" w:rsidR="00711444" w:rsidRPr="004D0DAA" w:rsidRDefault="00711444" w:rsidP="00711444">
      <w:r w:rsidRPr="004D0DAA">
        <w:t xml:space="preserve">The RLC/MAC block for EGPRS, EC-GSM-IoT and EGPRS2 data transfer </w:t>
      </w:r>
      <w:r w:rsidRPr="004D0DAA">
        <w:rPr>
          <w:lang w:eastAsia="ko-KR"/>
        </w:rPr>
        <w:t xml:space="preserve">is shown in figure 10.0a.2.1 and </w:t>
      </w:r>
      <w:r w:rsidRPr="004D0DAA">
        <w:t>consists of:</w:t>
      </w:r>
    </w:p>
    <w:p w14:paraId="6D0CD427" w14:textId="77777777" w:rsidR="00711444" w:rsidRPr="004D0DAA" w:rsidRDefault="00711444" w:rsidP="00711444">
      <w:pPr>
        <w:pStyle w:val="B1"/>
      </w:pPr>
      <w:r w:rsidRPr="004D0DAA">
        <w:t>-</w:t>
      </w:r>
      <w:r w:rsidRPr="004D0DAA">
        <w:tab/>
        <w:t xml:space="preserve"> a combined RLC/MAC header, </w:t>
      </w:r>
    </w:p>
    <w:p w14:paraId="2033C632" w14:textId="77777777" w:rsidR="00711444" w:rsidRPr="004D0DAA" w:rsidRDefault="00711444" w:rsidP="00711444">
      <w:pPr>
        <w:pStyle w:val="B1"/>
      </w:pPr>
      <w:r w:rsidRPr="004D0DAA">
        <w:t>-</w:t>
      </w:r>
      <w:r w:rsidRPr="004D0DAA">
        <w:tab/>
        <w:t xml:space="preserve">one or two </w:t>
      </w:r>
      <w:r w:rsidRPr="004D0DAA">
        <w:rPr>
          <w:lang w:eastAsia="ko-KR"/>
        </w:rPr>
        <w:t xml:space="preserve">RLC data blocks for EGPRS and </w:t>
      </w:r>
      <w:r w:rsidRPr="004D0DAA">
        <w:t>EC-GSM-IoT</w:t>
      </w:r>
      <w:r w:rsidRPr="004D0DAA">
        <w:rPr>
          <w:lang w:eastAsia="ko-KR"/>
        </w:rPr>
        <w:t xml:space="preserve">, or </w:t>
      </w:r>
      <w:r w:rsidRPr="004D0DAA">
        <w:t xml:space="preserve">up to four RLC data blocks </w:t>
      </w:r>
      <w:r w:rsidRPr="004D0DAA">
        <w:rPr>
          <w:lang w:eastAsia="ko-KR"/>
        </w:rPr>
        <w:t>for EGPRS2</w:t>
      </w:r>
      <w:r w:rsidRPr="004D0DAA">
        <w:t>,</w:t>
      </w:r>
    </w:p>
    <w:p w14:paraId="7D472089" w14:textId="77777777" w:rsidR="00711444" w:rsidRPr="004D0DAA" w:rsidRDefault="00711444" w:rsidP="00711444">
      <w:pPr>
        <w:pStyle w:val="B1"/>
      </w:pPr>
      <w:r w:rsidRPr="004D0DAA">
        <w:t>-</w:t>
      </w:r>
      <w:r w:rsidRPr="004D0DAA">
        <w:tab/>
        <w:t>an optional PAN field which is included in case FANR is activated,</w:t>
      </w:r>
    </w:p>
    <w:p w14:paraId="2CB826B3" w14:textId="77777777" w:rsidR="00711444" w:rsidRPr="004D0DAA" w:rsidRDefault="00711444" w:rsidP="00711444">
      <w:pPr>
        <w:pStyle w:val="B1"/>
      </w:pPr>
      <w:r w:rsidRPr="004D0DAA">
        <w:t>-</w:t>
      </w:r>
      <w:r w:rsidRPr="004D0DAA">
        <w:tab/>
        <w:t>and an optional eTFI field which is included for the case where a mobile station in a DLMC configuration is assigned an eTFI for a downlink TBF. If an eTFI is assigned for a downlink TBF then an eTFI is included in an uplink RLC/MAC block for data transfer only if a PAN field corresponding to that downlink TBF is also included.</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8"/>
        <w:gridCol w:w="1056"/>
        <w:gridCol w:w="1669"/>
        <w:gridCol w:w="1581"/>
        <w:gridCol w:w="1581"/>
        <w:gridCol w:w="1056"/>
        <w:gridCol w:w="1086"/>
      </w:tblGrid>
      <w:tr w:rsidR="00711444" w:rsidRPr="004D0DAA" w14:paraId="450E7BFA" w14:textId="77777777" w:rsidTr="00AA2A4C">
        <w:trPr>
          <w:cantSplit/>
          <w:jc w:val="center"/>
        </w:trPr>
        <w:tc>
          <w:tcPr>
            <w:tcW w:w="9321" w:type="dxa"/>
            <w:gridSpan w:val="7"/>
          </w:tcPr>
          <w:p w14:paraId="2FB16F7B" w14:textId="77777777" w:rsidR="00711444" w:rsidRPr="004D0DAA" w:rsidRDefault="00711444" w:rsidP="00AA2A4C">
            <w:pPr>
              <w:pStyle w:val="TAH"/>
              <w:rPr>
                <w:lang w:eastAsia="en-US"/>
              </w:rPr>
            </w:pPr>
            <w:r w:rsidRPr="004D0DAA">
              <w:rPr>
                <w:lang w:eastAsia="en-US"/>
              </w:rPr>
              <w:t>RLC/MAC block</w:t>
            </w:r>
          </w:p>
        </w:tc>
      </w:tr>
      <w:tr w:rsidR="00711444" w:rsidRPr="004D0DAA" w14:paraId="6A43BAE2" w14:textId="77777777" w:rsidTr="00AA2A4C">
        <w:trPr>
          <w:cantSplit/>
          <w:jc w:val="center"/>
        </w:trPr>
        <w:tc>
          <w:tcPr>
            <w:tcW w:w="1101" w:type="dxa"/>
          </w:tcPr>
          <w:p w14:paraId="57B70BCC" w14:textId="77777777" w:rsidR="00711444" w:rsidRPr="004D0DAA" w:rsidRDefault="00711444" w:rsidP="00AA2A4C">
            <w:pPr>
              <w:pStyle w:val="TAC"/>
              <w:rPr>
                <w:lang w:eastAsia="en-US"/>
              </w:rPr>
            </w:pPr>
            <w:r w:rsidRPr="004D0DAA">
              <w:rPr>
                <w:lang w:eastAsia="en-US"/>
              </w:rPr>
              <w:t>RLC/MAC header</w:t>
            </w:r>
          </w:p>
        </w:tc>
        <w:tc>
          <w:tcPr>
            <w:tcW w:w="1080" w:type="dxa"/>
          </w:tcPr>
          <w:p w14:paraId="244C731E" w14:textId="77777777" w:rsidR="00711444" w:rsidRPr="004D0DAA" w:rsidRDefault="00711444" w:rsidP="00AA2A4C">
            <w:pPr>
              <w:pStyle w:val="TAC"/>
              <w:rPr>
                <w:lang w:eastAsia="en-US"/>
              </w:rPr>
            </w:pPr>
            <w:r w:rsidRPr="004D0DAA">
              <w:rPr>
                <w:lang w:eastAsia="en-US"/>
              </w:rPr>
              <w:t>RLC data block 1</w:t>
            </w:r>
          </w:p>
        </w:tc>
        <w:tc>
          <w:tcPr>
            <w:tcW w:w="1710" w:type="dxa"/>
          </w:tcPr>
          <w:p w14:paraId="23E90FDB" w14:textId="77777777" w:rsidR="00711444" w:rsidRPr="004D0DAA" w:rsidRDefault="00711444" w:rsidP="00AA2A4C">
            <w:pPr>
              <w:pStyle w:val="TAC"/>
              <w:rPr>
                <w:lang w:eastAsia="en-US"/>
              </w:rPr>
            </w:pPr>
            <w:r w:rsidRPr="004D0DAA">
              <w:rPr>
                <w:lang w:eastAsia="en-US"/>
              </w:rPr>
              <w:t>RLC data block 2 (conditional)</w:t>
            </w:r>
          </w:p>
        </w:tc>
        <w:tc>
          <w:tcPr>
            <w:tcW w:w="1620" w:type="dxa"/>
          </w:tcPr>
          <w:p w14:paraId="3F1202C0" w14:textId="77777777" w:rsidR="00711444" w:rsidRPr="004D0DAA" w:rsidRDefault="00711444" w:rsidP="00AA2A4C">
            <w:pPr>
              <w:pStyle w:val="TAC"/>
              <w:rPr>
                <w:lang w:eastAsia="en-US"/>
              </w:rPr>
            </w:pPr>
            <w:r w:rsidRPr="004D0DAA">
              <w:rPr>
                <w:lang w:eastAsia="en-US"/>
              </w:rPr>
              <w:t>RLC data block 3</w:t>
            </w:r>
            <w:r w:rsidRPr="004D0DAA">
              <w:rPr>
                <w:lang w:eastAsia="en-US"/>
              </w:rPr>
              <w:br/>
              <w:t>(conditional)</w:t>
            </w:r>
          </w:p>
        </w:tc>
        <w:tc>
          <w:tcPr>
            <w:tcW w:w="1620" w:type="dxa"/>
          </w:tcPr>
          <w:p w14:paraId="31005073" w14:textId="77777777" w:rsidR="00711444" w:rsidRPr="004D0DAA" w:rsidRDefault="00711444" w:rsidP="00AA2A4C">
            <w:pPr>
              <w:pStyle w:val="TAC"/>
              <w:rPr>
                <w:lang w:eastAsia="en-US"/>
              </w:rPr>
            </w:pPr>
            <w:r w:rsidRPr="004D0DAA">
              <w:rPr>
                <w:lang w:eastAsia="en-US"/>
              </w:rPr>
              <w:t>RLC data block 4</w:t>
            </w:r>
            <w:r w:rsidRPr="004D0DAA">
              <w:rPr>
                <w:lang w:eastAsia="en-US"/>
              </w:rPr>
              <w:br/>
              <w:t>(conditional)</w:t>
            </w:r>
          </w:p>
        </w:tc>
        <w:tc>
          <w:tcPr>
            <w:tcW w:w="1080" w:type="dxa"/>
          </w:tcPr>
          <w:p w14:paraId="741B174D" w14:textId="77777777" w:rsidR="00711444" w:rsidRPr="004D0DAA" w:rsidRDefault="00711444" w:rsidP="00AA2A4C">
            <w:pPr>
              <w:pStyle w:val="TAC"/>
              <w:rPr>
                <w:lang w:eastAsia="en-US"/>
              </w:rPr>
            </w:pPr>
            <w:r w:rsidRPr="004D0DAA">
              <w:rPr>
                <w:lang w:eastAsia="ko-KR"/>
              </w:rPr>
              <w:t>PAN</w:t>
            </w:r>
            <w:r w:rsidRPr="004D0DAA">
              <w:rPr>
                <w:lang w:eastAsia="en-US"/>
              </w:rPr>
              <w:br/>
              <w:t>(optional)</w:t>
            </w:r>
          </w:p>
        </w:tc>
        <w:tc>
          <w:tcPr>
            <w:tcW w:w="1110" w:type="dxa"/>
          </w:tcPr>
          <w:p w14:paraId="4E59E8C5" w14:textId="77777777" w:rsidR="00711444" w:rsidRPr="004D0DAA" w:rsidRDefault="00711444" w:rsidP="00AA2A4C">
            <w:pPr>
              <w:pStyle w:val="TAC"/>
              <w:rPr>
                <w:lang w:eastAsia="en-US"/>
              </w:rPr>
            </w:pPr>
            <w:r w:rsidRPr="004D0DAA">
              <w:rPr>
                <w:lang w:eastAsia="en-US"/>
              </w:rPr>
              <w:t>eTFI (optional)</w:t>
            </w:r>
          </w:p>
        </w:tc>
      </w:tr>
    </w:tbl>
    <w:p w14:paraId="436570D4" w14:textId="77777777" w:rsidR="00711444" w:rsidRPr="004D0DAA" w:rsidRDefault="00711444" w:rsidP="00711444">
      <w:pPr>
        <w:pStyle w:val="NF"/>
      </w:pPr>
    </w:p>
    <w:p w14:paraId="25A6511B" w14:textId="77777777" w:rsidR="00711444" w:rsidRPr="004D0DAA" w:rsidRDefault="00711444" w:rsidP="00711444">
      <w:pPr>
        <w:pStyle w:val="TF"/>
        <w:rPr>
          <w:lang w:eastAsia="ko-KR"/>
        </w:rPr>
      </w:pPr>
      <w:r w:rsidRPr="004D0DAA">
        <w:t xml:space="preserve">Figure 10.0a.2.1: RLC/MAC block structure for EGPRS, EC-GSM-IoT and </w:t>
      </w:r>
      <w:r w:rsidRPr="004D0DAA">
        <w:rPr>
          <w:lang w:eastAsia="ko-KR"/>
        </w:rPr>
        <w:t xml:space="preserve">EGPRS2 </w:t>
      </w:r>
      <w:r w:rsidRPr="004D0DAA">
        <w:t>data transfer</w:t>
      </w:r>
    </w:p>
    <w:p w14:paraId="78823559" w14:textId="77777777" w:rsidR="00711444" w:rsidRPr="004D0DAA" w:rsidRDefault="00711444" w:rsidP="00711444">
      <w:r w:rsidRPr="004D0DAA">
        <w:t>Each RLC data block contain octets from one or more upper layer PDUs.</w:t>
      </w:r>
    </w:p>
    <w:p w14:paraId="36458E8B" w14:textId="77777777" w:rsidR="00711444" w:rsidRPr="004D0DAA" w:rsidRDefault="00711444" w:rsidP="00711444">
      <w:r w:rsidRPr="004D0DAA">
        <w:lastRenderedPageBreak/>
        <w:t xml:space="preserve">The </w:t>
      </w:r>
      <w:r w:rsidRPr="004D0DAA">
        <w:rPr>
          <w:lang w:eastAsia="ko-KR"/>
        </w:rPr>
        <w:t>PAN</w:t>
      </w:r>
      <w:r w:rsidRPr="004D0DAA">
        <w:t xml:space="preserve"> field may only be included within an EGPRS RLC/MAC block for data transfer within a TBF</w:t>
      </w:r>
      <w:r w:rsidRPr="004D0DAA">
        <w:rPr>
          <w:lang w:eastAsia="ko-KR"/>
        </w:rPr>
        <w:t xml:space="preserve"> with FANR activated</w:t>
      </w:r>
      <w:r w:rsidRPr="004D0DAA">
        <w:t>.</w:t>
      </w:r>
    </w:p>
    <w:p w14:paraId="257A440A" w14:textId="77777777" w:rsidR="00711444" w:rsidRPr="004D0DAA" w:rsidRDefault="00711444" w:rsidP="00711444">
      <w:r w:rsidRPr="004D0DAA">
        <w:t>In EGPRS and EC-GSM-IoT, depending on the modulation and coding scheme (see 3GPP TS 44.004 and 3GPP TS 45.003) one or two RLC data blocks are contained in one RLC/MAC block. For MCS-1, MCS-2, MCS-3, MCS-4, MCS-5 and MCS-6 there is one RLC data block, whereas for MCS-7, MCS-8 and MCS-9 there are two RLC data blocks in the RLC/MAC block.</w:t>
      </w:r>
    </w:p>
    <w:p w14:paraId="5E90E96E" w14:textId="77777777" w:rsidR="00711444" w:rsidRPr="004D0DAA" w:rsidRDefault="00711444" w:rsidP="00711444">
      <w:r w:rsidRPr="004D0DAA">
        <w:t>In EGPRS and EC-GSM-IoT, in each transfer direction, uplink and downlink, three different header types are defined. The header fields for a specific header type may differ between EGPRS and EC-GSM-IoT. Which header type that is used depends on the modulation and coding scheme (MCS):</w:t>
      </w:r>
    </w:p>
    <w:p w14:paraId="78580AD5" w14:textId="77777777" w:rsidR="00711444" w:rsidRPr="004D0DAA" w:rsidRDefault="00711444" w:rsidP="00711444">
      <w:pPr>
        <w:pStyle w:val="EX"/>
      </w:pPr>
      <w:r w:rsidRPr="004D0DAA">
        <w:t>Header type 1</w:t>
      </w:r>
      <w:r w:rsidRPr="004D0DAA">
        <w:tab/>
        <w:t>is used with modulation and coding scheme MCS-7, MCS-8 and MCS-9.</w:t>
      </w:r>
    </w:p>
    <w:p w14:paraId="64A48078" w14:textId="77777777" w:rsidR="00711444" w:rsidRPr="004D0DAA" w:rsidRDefault="00711444" w:rsidP="00711444">
      <w:pPr>
        <w:pStyle w:val="EX"/>
      </w:pPr>
      <w:r w:rsidRPr="004D0DAA">
        <w:t>Header type 2</w:t>
      </w:r>
      <w:r w:rsidRPr="004D0DAA">
        <w:tab/>
        <w:t>is used with modulation and coding scheme MCS-5 and MCS-6.</w:t>
      </w:r>
    </w:p>
    <w:p w14:paraId="15E15570" w14:textId="77777777" w:rsidR="00711444" w:rsidRPr="004D0DAA" w:rsidRDefault="00711444" w:rsidP="00711444">
      <w:pPr>
        <w:pStyle w:val="EX"/>
      </w:pPr>
      <w:r w:rsidRPr="004D0DAA">
        <w:t>Header type 3</w:t>
      </w:r>
      <w:r w:rsidRPr="004D0DAA">
        <w:tab/>
        <w:t>is used with modulation and coding scheme MCS-1, MCS-2, MCS-3 and MCS-4.</w:t>
      </w:r>
    </w:p>
    <w:p w14:paraId="00975500" w14:textId="77777777" w:rsidR="00711444" w:rsidRPr="004D0DAA" w:rsidRDefault="00711444" w:rsidP="00711444">
      <w:r w:rsidRPr="004D0DAA">
        <w:t>In EC-GSM-IoT  Header type 4 is used in uplink direction as described in sub-clause 10.4.8a.3:</w:t>
      </w:r>
    </w:p>
    <w:p w14:paraId="48A49407" w14:textId="77777777" w:rsidR="00711444" w:rsidRPr="004D0DAA" w:rsidRDefault="00711444" w:rsidP="00711444">
      <w:pPr>
        <w:pStyle w:val="EX"/>
        <w:ind w:left="1134" w:hanging="850"/>
      </w:pPr>
      <w:r w:rsidRPr="004D0DAA">
        <w:t xml:space="preserve"> Header type 4</w:t>
      </w:r>
      <w:r w:rsidRPr="004D0DAA">
        <w:tab/>
        <w:t>is used with modulation and coding scheme MCS-1’.</w:t>
      </w:r>
    </w:p>
    <w:p w14:paraId="6CCF9EC4" w14:textId="77777777" w:rsidR="00711444" w:rsidRPr="004D0DAA" w:rsidRDefault="00711444" w:rsidP="00711444">
      <w:r w:rsidRPr="004D0DAA">
        <w:t>In EGPRS2, depending on the modulation and coding scheme (see 3GPP TS 44.004 and 3GPP TS 45.003) one to four RLC data blocks are contained in one RLC/MAC block as follows:</w:t>
      </w:r>
    </w:p>
    <w:p w14:paraId="740AC2C8" w14:textId="77777777" w:rsidR="00711444" w:rsidRPr="004D0DAA" w:rsidRDefault="00711444" w:rsidP="00711444">
      <w:pPr>
        <w:pStyle w:val="B1"/>
      </w:pPr>
      <w:r w:rsidRPr="004D0DAA">
        <w:t>-</w:t>
      </w:r>
      <w:r w:rsidRPr="004D0DAA">
        <w:tab/>
        <w:t xml:space="preserve">One RLC data block per RLC/MAC block: MCS-1, MCS-2, MCS-3, MCS-4, MCS-5, MCS-6, DAS-5, DAS-6, DAS-7, DBS-5, DBS-6, UBS-5 and UBS-6; </w:t>
      </w:r>
    </w:p>
    <w:p w14:paraId="5BDF5CFA" w14:textId="77777777" w:rsidR="00711444" w:rsidRPr="004D0DAA" w:rsidRDefault="00711444" w:rsidP="00711444">
      <w:pPr>
        <w:pStyle w:val="B1"/>
      </w:pPr>
      <w:r w:rsidRPr="004D0DAA">
        <w:t>-</w:t>
      </w:r>
      <w:r w:rsidRPr="004D0DAA">
        <w:tab/>
        <w:t>Two RLC data blocks per RLC/MAC block: MCS-7, MCS-8, MCS-9, DAS-8, DAS-9, DAS-10, DBS-7, DBS-8, UAS-7, UAS-8, UAS-9, UBS-7 and UBS-8;</w:t>
      </w:r>
    </w:p>
    <w:p w14:paraId="22FED96F" w14:textId="77777777" w:rsidR="00711444" w:rsidRPr="004D0DAA" w:rsidRDefault="00711444" w:rsidP="00711444">
      <w:pPr>
        <w:pStyle w:val="B1"/>
      </w:pPr>
      <w:r w:rsidRPr="004D0DAA">
        <w:t>-</w:t>
      </w:r>
      <w:r w:rsidRPr="004D0DAA">
        <w:tab/>
        <w:t>Three RLC data blocks per RLC/MAC block: DAS-11, DAS-12, DBS-9, DBS-10, UAS-10, UAS-11, UBS-9 and UBS-10;</w:t>
      </w:r>
    </w:p>
    <w:p w14:paraId="25E83F68" w14:textId="77777777" w:rsidR="00711444" w:rsidRPr="004D0DAA" w:rsidRDefault="00711444" w:rsidP="00711444">
      <w:pPr>
        <w:pStyle w:val="B1"/>
      </w:pPr>
      <w:r w:rsidRPr="004D0DAA">
        <w:t>-</w:t>
      </w:r>
      <w:r w:rsidRPr="004D0DAA">
        <w:tab/>
        <w:t>Four RLC data blocks per RLC/MAC block: DBS-11, DBS-12, UBS-11 and UBS-12.</w:t>
      </w:r>
    </w:p>
    <w:p w14:paraId="59D54894" w14:textId="77777777" w:rsidR="00711444" w:rsidRPr="004D0DAA" w:rsidRDefault="00711444" w:rsidP="00711444">
      <w:r w:rsidRPr="004D0DAA">
        <w:t>In EGPRS2, ten header types are used in the downlink direction. Which header type is used depends on the modulation and coding scheme:</w:t>
      </w:r>
    </w:p>
    <w:p w14:paraId="664E40C3" w14:textId="77777777" w:rsidR="00711444" w:rsidRPr="004D0DAA" w:rsidRDefault="00711444" w:rsidP="00711444">
      <w:pPr>
        <w:pStyle w:val="EX"/>
      </w:pPr>
      <w:r w:rsidRPr="004D0DAA">
        <w:t>Header type 1</w:t>
      </w:r>
      <w:r w:rsidRPr="004D0DAA">
        <w:tab/>
        <w:t>is used with modulation and coding scheme MCS-7, MCS-8 and MCS-9</w:t>
      </w:r>
    </w:p>
    <w:p w14:paraId="6317615D" w14:textId="77777777" w:rsidR="00711444" w:rsidRPr="004D0DAA" w:rsidRDefault="00711444" w:rsidP="00711444">
      <w:pPr>
        <w:pStyle w:val="EX"/>
      </w:pPr>
      <w:r w:rsidRPr="004D0DAA">
        <w:t>Header type 2</w:t>
      </w:r>
      <w:r w:rsidRPr="004D0DAA">
        <w:tab/>
        <w:t>is used with modulation and coding scheme DAS-5, DAS-6 and DAS-7.</w:t>
      </w:r>
    </w:p>
    <w:p w14:paraId="12FF158A" w14:textId="77777777" w:rsidR="00711444" w:rsidRPr="004D0DAA" w:rsidRDefault="00711444" w:rsidP="00711444">
      <w:pPr>
        <w:pStyle w:val="EX"/>
      </w:pPr>
      <w:r w:rsidRPr="004D0DAA">
        <w:t>Header type 3</w:t>
      </w:r>
      <w:r w:rsidRPr="004D0DAA">
        <w:tab/>
        <w:t>is used with modulation and coding scheme MCS-1, MCS-2, MCS-3 and MCS-4.</w:t>
      </w:r>
    </w:p>
    <w:p w14:paraId="5EEA000F" w14:textId="77777777" w:rsidR="00711444" w:rsidRPr="004D0DAA" w:rsidRDefault="00711444" w:rsidP="00711444">
      <w:pPr>
        <w:pStyle w:val="EX"/>
      </w:pPr>
      <w:r w:rsidRPr="004D0DAA">
        <w:t>Header type 4</w:t>
      </w:r>
      <w:r w:rsidRPr="004D0DAA">
        <w:tab/>
        <w:t>is used with modulation and coding scheme DAS-8 and DAS-9.</w:t>
      </w:r>
    </w:p>
    <w:p w14:paraId="521130BD" w14:textId="77777777" w:rsidR="00711444" w:rsidRPr="004D0DAA" w:rsidRDefault="00711444" w:rsidP="00711444">
      <w:pPr>
        <w:pStyle w:val="EX"/>
      </w:pPr>
      <w:r w:rsidRPr="004D0DAA">
        <w:t>Header type 5</w:t>
      </w:r>
      <w:r w:rsidRPr="004D0DAA">
        <w:tab/>
        <w:t>is used with modulation and coding scheme DAS-11 and DAS-12.</w:t>
      </w:r>
    </w:p>
    <w:p w14:paraId="7887B513" w14:textId="77777777" w:rsidR="00711444" w:rsidRPr="004D0DAA" w:rsidRDefault="00711444" w:rsidP="00711444">
      <w:pPr>
        <w:pStyle w:val="EX"/>
      </w:pPr>
      <w:r w:rsidRPr="004D0DAA">
        <w:t>Header type 6</w:t>
      </w:r>
      <w:r w:rsidRPr="004D0DAA">
        <w:tab/>
        <w:t>is used with modulation and coding scheme DBS-5 and DBS-6.</w:t>
      </w:r>
    </w:p>
    <w:p w14:paraId="093A81C2" w14:textId="77777777" w:rsidR="00711444" w:rsidRPr="004D0DAA" w:rsidRDefault="00711444" w:rsidP="00711444">
      <w:pPr>
        <w:pStyle w:val="EX"/>
      </w:pPr>
      <w:r w:rsidRPr="004D0DAA">
        <w:t>Header type 7</w:t>
      </w:r>
      <w:r w:rsidRPr="004D0DAA">
        <w:tab/>
        <w:t>is used with modulation and coding scheme DBS-7 and DBS-8.</w:t>
      </w:r>
    </w:p>
    <w:p w14:paraId="249099AA" w14:textId="77777777" w:rsidR="00711444" w:rsidRPr="004D0DAA" w:rsidRDefault="00711444" w:rsidP="00711444">
      <w:pPr>
        <w:pStyle w:val="EX"/>
      </w:pPr>
      <w:r w:rsidRPr="004D0DAA">
        <w:t>Header type 8</w:t>
      </w:r>
      <w:r w:rsidRPr="004D0DAA">
        <w:tab/>
        <w:t>is used with modulation and coding scheme DBS-9 and DBS-10.</w:t>
      </w:r>
    </w:p>
    <w:p w14:paraId="5A63CC59" w14:textId="77777777" w:rsidR="00711444" w:rsidRPr="004D0DAA" w:rsidRDefault="00711444" w:rsidP="00711444">
      <w:pPr>
        <w:pStyle w:val="EX"/>
      </w:pPr>
      <w:r w:rsidRPr="004D0DAA">
        <w:t>Header type 9</w:t>
      </w:r>
      <w:r w:rsidRPr="004D0DAA">
        <w:tab/>
        <w:t>is used with modulation and coding scheme DBS-11 and DBS-12.</w:t>
      </w:r>
    </w:p>
    <w:p w14:paraId="41A35803" w14:textId="77777777" w:rsidR="00711444" w:rsidRPr="004D0DAA" w:rsidRDefault="00711444" w:rsidP="00711444">
      <w:pPr>
        <w:pStyle w:val="EX"/>
      </w:pPr>
      <w:r w:rsidRPr="004D0DAA">
        <w:t>Header type 10</w:t>
      </w:r>
      <w:r w:rsidRPr="004D0DAA">
        <w:tab/>
        <w:t>is used with modulation and coding scheme DAS-10.</w:t>
      </w:r>
    </w:p>
    <w:p w14:paraId="32743139" w14:textId="77777777" w:rsidR="00711444" w:rsidRPr="004D0DAA" w:rsidRDefault="00711444" w:rsidP="00711444">
      <w:r w:rsidRPr="004D0DAA">
        <w:t>In EGPRS2, eight header types are used in the uplink direction. Which header type is used depends on the modulation and coding scheme:</w:t>
      </w:r>
    </w:p>
    <w:p w14:paraId="2E913226" w14:textId="77777777" w:rsidR="00711444" w:rsidRPr="004D0DAA" w:rsidRDefault="00711444" w:rsidP="00711444">
      <w:pPr>
        <w:pStyle w:val="EX"/>
      </w:pPr>
      <w:r w:rsidRPr="004D0DAA">
        <w:t>Header type 2</w:t>
      </w:r>
      <w:r w:rsidRPr="004D0DAA">
        <w:tab/>
        <w:t>is used with modulation and coding scheme MCS-5 and MCS-6.</w:t>
      </w:r>
    </w:p>
    <w:p w14:paraId="133D9880" w14:textId="77777777" w:rsidR="00711444" w:rsidRPr="004D0DAA" w:rsidRDefault="00711444" w:rsidP="00711444">
      <w:pPr>
        <w:pStyle w:val="EX"/>
      </w:pPr>
      <w:r w:rsidRPr="004D0DAA">
        <w:t>Header type 3</w:t>
      </w:r>
      <w:r w:rsidRPr="004D0DAA">
        <w:tab/>
        <w:t>is used with modulation and coding scheme MCS-1, MCS-2, MCS-3 and MCS-4.</w:t>
      </w:r>
    </w:p>
    <w:p w14:paraId="3D101EEC" w14:textId="77777777" w:rsidR="00711444" w:rsidRPr="004D0DAA" w:rsidRDefault="00711444" w:rsidP="00711444">
      <w:pPr>
        <w:pStyle w:val="EX"/>
      </w:pPr>
      <w:r w:rsidRPr="004D0DAA">
        <w:t>Header type 4</w:t>
      </w:r>
      <w:r w:rsidRPr="004D0DAA">
        <w:tab/>
        <w:t>is used with modulation and coding scheme UAS-7, UAS-8 and UAS-9.</w:t>
      </w:r>
    </w:p>
    <w:p w14:paraId="2E7F14F5" w14:textId="77777777" w:rsidR="00711444" w:rsidRPr="004D0DAA" w:rsidRDefault="00711444" w:rsidP="00711444">
      <w:pPr>
        <w:pStyle w:val="EX"/>
      </w:pPr>
      <w:r w:rsidRPr="004D0DAA">
        <w:lastRenderedPageBreak/>
        <w:t>Header type 5</w:t>
      </w:r>
      <w:r w:rsidRPr="004D0DAA">
        <w:tab/>
        <w:t>is used with modulation and coding scheme UAS-10 and UAS-11.</w:t>
      </w:r>
    </w:p>
    <w:p w14:paraId="5C53D0F2" w14:textId="77777777" w:rsidR="00711444" w:rsidRPr="004D0DAA" w:rsidRDefault="00711444" w:rsidP="00711444">
      <w:pPr>
        <w:pStyle w:val="EX"/>
      </w:pPr>
      <w:r w:rsidRPr="004D0DAA">
        <w:t>Header type 6</w:t>
      </w:r>
      <w:r w:rsidRPr="004D0DAA">
        <w:tab/>
        <w:t>is used with modulation and coding scheme UBS-5 and UBS-6.</w:t>
      </w:r>
    </w:p>
    <w:p w14:paraId="1683BADE" w14:textId="77777777" w:rsidR="00711444" w:rsidRPr="004D0DAA" w:rsidRDefault="00711444" w:rsidP="00711444">
      <w:pPr>
        <w:pStyle w:val="EX"/>
      </w:pPr>
      <w:r w:rsidRPr="004D0DAA">
        <w:t>Header type 7</w:t>
      </w:r>
      <w:r w:rsidRPr="004D0DAA">
        <w:tab/>
        <w:t>is used with modulation and coding scheme UBS-7 and UBS-8.</w:t>
      </w:r>
    </w:p>
    <w:p w14:paraId="56A4A027" w14:textId="77777777" w:rsidR="00711444" w:rsidRPr="004D0DAA" w:rsidRDefault="00711444" w:rsidP="00711444">
      <w:pPr>
        <w:pStyle w:val="EX"/>
      </w:pPr>
      <w:r w:rsidRPr="004D0DAA">
        <w:t>Header type 8</w:t>
      </w:r>
      <w:r w:rsidRPr="004D0DAA">
        <w:tab/>
        <w:t>is used with modulation and coding scheme UBS-9 and UBS-10.</w:t>
      </w:r>
    </w:p>
    <w:p w14:paraId="04A0D947" w14:textId="77777777" w:rsidR="00711444" w:rsidRPr="004D0DAA" w:rsidRDefault="00711444" w:rsidP="00711444">
      <w:pPr>
        <w:pStyle w:val="EX"/>
      </w:pPr>
      <w:r w:rsidRPr="004D0DAA">
        <w:t>Header type 9</w:t>
      </w:r>
      <w:r w:rsidRPr="004D0DAA">
        <w:tab/>
        <w:t>is used with modulation and coding scheme UBS-11 and UBS-12.</w:t>
      </w:r>
    </w:p>
    <w:p w14:paraId="29BC3BDB" w14:textId="77777777" w:rsidR="00711444" w:rsidRPr="004D0DAA" w:rsidRDefault="00711444" w:rsidP="00711444">
      <w:pPr>
        <w:pStyle w:val="Heading3"/>
      </w:pPr>
      <w:bookmarkStart w:id="493" w:name="_Toc516669675"/>
      <w:r w:rsidRPr="004D0DAA">
        <w:t>10.0a.3</w:t>
      </w:r>
      <w:r w:rsidRPr="004D0DAA">
        <w:tab/>
        <w:t>RLC/MAC block for control message transfer</w:t>
      </w:r>
      <w:bookmarkEnd w:id="493"/>
    </w:p>
    <w:p w14:paraId="355109D7" w14:textId="77777777" w:rsidR="00711444" w:rsidRPr="004D0DAA" w:rsidRDefault="00711444" w:rsidP="00711444">
      <w:r w:rsidRPr="004D0DAA">
        <w:t>The downlink RLC/MAC block for control message transfer not associated with a TBF assigned an eTFI and an uplink RLC/MAC block for control message transfer consists of a MAC header and an RLC/MAC control block as shown in Figure 10.0a.3.1.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38"/>
      </w:tblGrid>
      <w:tr w:rsidR="00711444" w:rsidRPr="004D0DAA" w14:paraId="10502B20" w14:textId="77777777" w:rsidTr="00AA2A4C">
        <w:tblPrEx>
          <w:tblCellMar>
            <w:top w:w="0" w:type="dxa"/>
            <w:bottom w:w="0" w:type="dxa"/>
          </w:tblCellMar>
        </w:tblPrEx>
        <w:trPr>
          <w:cantSplit/>
          <w:jc w:val="center"/>
        </w:trPr>
        <w:tc>
          <w:tcPr>
            <w:tcW w:w="5937" w:type="dxa"/>
            <w:gridSpan w:val="2"/>
          </w:tcPr>
          <w:p w14:paraId="00F34950" w14:textId="77777777" w:rsidR="00711444" w:rsidRPr="004D0DAA" w:rsidRDefault="00711444" w:rsidP="00AA2A4C">
            <w:pPr>
              <w:pStyle w:val="TAH"/>
              <w:rPr>
                <w:lang w:eastAsia="en-US"/>
              </w:rPr>
            </w:pPr>
            <w:r w:rsidRPr="004D0DAA">
              <w:rPr>
                <w:lang w:eastAsia="en-US"/>
              </w:rPr>
              <w:t>RLC/MAC block</w:t>
            </w:r>
          </w:p>
        </w:tc>
      </w:tr>
      <w:tr w:rsidR="00711444" w:rsidRPr="004D0DAA" w14:paraId="2199C74D" w14:textId="77777777" w:rsidTr="00AA2A4C">
        <w:tblPrEx>
          <w:tblCellMar>
            <w:top w:w="0" w:type="dxa"/>
            <w:bottom w:w="0" w:type="dxa"/>
          </w:tblCellMar>
        </w:tblPrEx>
        <w:trPr>
          <w:cantSplit/>
          <w:jc w:val="center"/>
        </w:trPr>
        <w:tc>
          <w:tcPr>
            <w:tcW w:w="1899" w:type="dxa"/>
          </w:tcPr>
          <w:p w14:paraId="6E9332C8" w14:textId="77777777" w:rsidR="00711444" w:rsidRPr="004D0DAA" w:rsidRDefault="00711444" w:rsidP="00AA2A4C">
            <w:pPr>
              <w:pStyle w:val="TAC"/>
              <w:rPr>
                <w:lang w:eastAsia="en-US"/>
              </w:rPr>
            </w:pPr>
            <w:r w:rsidRPr="004D0DAA">
              <w:rPr>
                <w:lang w:eastAsia="en-US"/>
              </w:rPr>
              <w:t>MAC header</w:t>
            </w:r>
          </w:p>
        </w:tc>
        <w:tc>
          <w:tcPr>
            <w:tcW w:w="4038" w:type="dxa"/>
          </w:tcPr>
          <w:p w14:paraId="201004ED" w14:textId="77777777" w:rsidR="00711444" w:rsidRPr="004D0DAA" w:rsidRDefault="00711444" w:rsidP="00AA2A4C">
            <w:pPr>
              <w:pStyle w:val="TAC"/>
              <w:rPr>
                <w:lang w:eastAsia="en-US"/>
              </w:rPr>
            </w:pPr>
            <w:r w:rsidRPr="004D0DAA">
              <w:rPr>
                <w:lang w:eastAsia="en-US"/>
              </w:rPr>
              <w:t>RLC/MAC control block</w:t>
            </w:r>
          </w:p>
        </w:tc>
      </w:tr>
    </w:tbl>
    <w:p w14:paraId="237F883A" w14:textId="77777777" w:rsidR="00711444" w:rsidRPr="004D0DAA" w:rsidRDefault="00711444" w:rsidP="00711444">
      <w:pPr>
        <w:pStyle w:val="NF"/>
      </w:pPr>
    </w:p>
    <w:p w14:paraId="6E99D5D6" w14:textId="77777777" w:rsidR="00711444" w:rsidRPr="004D0DAA" w:rsidRDefault="00711444" w:rsidP="00711444">
      <w:pPr>
        <w:pStyle w:val="TF"/>
      </w:pPr>
      <w:r w:rsidRPr="004D0DAA">
        <w:t>Figure 10.0a.3.1: RLC/MAC block structure for control block</w:t>
      </w:r>
    </w:p>
    <w:p w14:paraId="1EAD587F" w14:textId="77777777" w:rsidR="00711444" w:rsidRPr="004D0DAA" w:rsidRDefault="00711444" w:rsidP="00711444">
      <w:r w:rsidRPr="004D0DAA">
        <w:t>The downlink RLC/MAC block for control message transfer associated with a TBF assigned an eTFI</w:t>
      </w:r>
      <w:r w:rsidRPr="004D0DAA">
        <w:rPr>
          <w:lang w:eastAsia="ko-KR"/>
        </w:rPr>
        <w:t xml:space="preserve"> </w:t>
      </w:r>
      <w:r w:rsidRPr="004D0DAA">
        <w:t xml:space="preserve">consists of a MAC header, an RLC/MAC control block and an eTFI field as shown in Figure 10.0a.3.2.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3000"/>
        <w:gridCol w:w="1038"/>
      </w:tblGrid>
      <w:tr w:rsidR="00711444" w:rsidRPr="004D0DAA" w14:paraId="675C3338" w14:textId="77777777" w:rsidTr="00AA2A4C">
        <w:tblPrEx>
          <w:tblCellMar>
            <w:top w:w="0" w:type="dxa"/>
            <w:bottom w:w="0" w:type="dxa"/>
          </w:tblCellMar>
        </w:tblPrEx>
        <w:trPr>
          <w:cantSplit/>
          <w:jc w:val="center"/>
        </w:trPr>
        <w:tc>
          <w:tcPr>
            <w:tcW w:w="5937" w:type="dxa"/>
            <w:gridSpan w:val="3"/>
          </w:tcPr>
          <w:p w14:paraId="7B28CD62" w14:textId="77777777" w:rsidR="00711444" w:rsidRPr="004D0DAA" w:rsidRDefault="00711444" w:rsidP="00AA2A4C">
            <w:pPr>
              <w:pStyle w:val="TAH"/>
              <w:rPr>
                <w:lang w:eastAsia="en-US"/>
              </w:rPr>
            </w:pPr>
            <w:r w:rsidRPr="004D0DAA">
              <w:rPr>
                <w:lang w:eastAsia="en-US"/>
              </w:rPr>
              <w:t>RLC/MAC block</w:t>
            </w:r>
          </w:p>
        </w:tc>
      </w:tr>
      <w:tr w:rsidR="00711444" w:rsidRPr="004D0DAA" w14:paraId="07AA1194" w14:textId="77777777" w:rsidTr="00AA2A4C">
        <w:tblPrEx>
          <w:tblCellMar>
            <w:top w:w="0" w:type="dxa"/>
            <w:bottom w:w="0" w:type="dxa"/>
          </w:tblCellMar>
        </w:tblPrEx>
        <w:trPr>
          <w:cantSplit/>
          <w:jc w:val="center"/>
        </w:trPr>
        <w:tc>
          <w:tcPr>
            <w:tcW w:w="1899" w:type="dxa"/>
          </w:tcPr>
          <w:p w14:paraId="5725C6AE" w14:textId="77777777" w:rsidR="00711444" w:rsidRPr="004D0DAA" w:rsidRDefault="00711444" w:rsidP="00AA2A4C">
            <w:pPr>
              <w:pStyle w:val="TAC"/>
              <w:rPr>
                <w:lang w:eastAsia="en-US"/>
              </w:rPr>
            </w:pPr>
            <w:r w:rsidRPr="004D0DAA">
              <w:rPr>
                <w:lang w:eastAsia="en-US"/>
              </w:rPr>
              <w:t>MAC header</w:t>
            </w:r>
          </w:p>
        </w:tc>
        <w:tc>
          <w:tcPr>
            <w:tcW w:w="3000" w:type="dxa"/>
          </w:tcPr>
          <w:p w14:paraId="5F43EB28" w14:textId="77777777" w:rsidR="00711444" w:rsidRPr="004D0DAA" w:rsidRDefault="00711444" w:rsidP="00AA2A4C">
            <w:pPr>
              <w:pStyle w:val="TAC"/>
              <w:rPr>
                <w:lang w:eastAsia="en-US"/>
              </w:rPr>
            </w:pPr>
            <w:r w:rsidRPr="004D0DAA">
              <w:rPr>
                <w:lang w:eastAsia="en-US"/>
              </w:rPr>
              <w:t>RLC/MAC control block</w:t>
            </w:r>
          </w:p>
        </w:tc>
        <w:tc>
          <w:tcPr>
            <w:tcW w:w="1038" w:type="dxa"/>
          </w:tcPr>
          <w:p w14:paraId="4BA15797" w14:textId="77777777" w:rsidR="00711444" w:rsidRPr="004D0DAA" w:rsidRDefault="00711444" w:rsidP="00AA2A4C">
            <w:pPr>
              <w:pStyle w:val="TAC"/>
              <w:rPr>
                <w:lang w:eastAsia="en-US"/>
              </w:rPr>
            </w:pPr>
            <w:r w:rsidRPr="004D0DAA">
              <w:rPr>
                <w:lang w:eastAsia="en-US"/>
              </w:rPr>
              <w:t>eTFI</w:t>
            </w:r>
          </w:p>
        </w:tc>
      </w:tr>
    </w:tbl>
    <w:p w14:paraId="22710673" w14:textId="77777777" w:rsidR="00711444" w:rsidRPr="004D0DAA" w:rsidRDefault="00711444" w:rsidP="00711444">
      <w:pPr>
        <w:pStyle w:val="NF"/>
      </w:pPr>
    </w:p>
    <w:p w14:paraId="65113FA5" w14:textId="77777777" w:rsidR="00711444" w:rsidRPr="004D0DAA" w:rsidRDefault="00711444" w:rsidP="00711444">
      <w:pPr>
        <w:pStyle w:val="TF"/>
      </w:pPr>
      <w:r w:rsidRPr="004D0DAA">
        <w:t>Figure 10.0a.3.2: RLC/MAC block structure for control block (DLMC configuration used)</w:t>
      </w:r>
    </w:p>
    <w:p w14:paraId="61C37CEC" w14:textId="77777777" w:rsidR="00711444" w:rsidRPr="004D0DAA" w:rsidRDefault="00711444" w:rsidP="00711444">
      <w:pPr>
        <w:pStyle w:val="Heading2"/>
      </w:pPr>
      <w:bookmarkStart w:id="494" w:name="_Toc516669676"/>
      <w:r w:rsidRPr="004D0DAA">
        <w:t>10.0b</w:t>
      </w:r>
      <w:r w:rsidRPr="004D0DAA">
        <w:tab/>
        <w:t>RLC/MAC block format conventions</w:t>
      </w:r>
      <w:bookmarkEnd w:id="494"/>
    </w:p>
    <w:p w14:paraId="239C5DBA" w14:textId="77777777" w:rsidR="00711444" w:rsidRPr="004D0DAA" w:rsidRDefault="00711444" w:rsidP="00711444">
      <w:pPr>
        <w:pStyle w:val="Heading3"/>
      </w:pPr>
      <w:bookmarkStart w:id="495" w:name="_Toc516669677"/>
      <w:r w:rsidRPr="004D0DAA">
        <w:t>10.0b.1</w:t>
      </w:r>
      <w:r w:rsidRPr="004D0DAA">
        <w:tab/>
        <w:t>Numbering convention</w:t>
      </w:r>
      <w:bookmarkEnd w:id="495"/>
    </w:p>
    <w:p w14:paraId="40C462F1" w14:textId="77777777" w:rsidR="00711444" w:rsidRPr="004D0DAA" w:rsidRDefault="00711444" w:rsidP="00711444">
      <w:r w:rsidRPr="004D0DAA">
        <w:t>The physical layer transfers RLC/MAC blocks, 11</w:t>
      </w:r>
      <w:r w:rsidRPr="004D0DAA">
        <w:noBreakHyphen/>
        <w:t>bit and 8</w:t>
      </w:r>
      <w:r w:rsidRPr="004D0DAA">
        <w:noBreakHyphen/>
        <w:t>bit control messages in physical blocks of the packet data channel. The physical block formats are specified in 3GPP TS 44.004. The physical block is organised as a sequence of N1 octets that are numbered from 1 to N1. An octet is a sequence of eight bits that are numbered from 1 to 8. If the total number of bits in a physical block is not an integer number of octets, the last bits of the physical block (in octet number N1) does not form a complete octet. The bits that are transferred in the last, and possibly incomplete octet, are numbered from 1 to n, where 1 </w:t>
      </w:r>
      <w:r w:rsidRPr="004D0DAA">
        <w:sym w:font="Symbol" w:char="F0A3"/>
      </w:r>
      <w:r w:rsidRPr="004D0DAA">
        <w:t> n </w:t>
      </w:r>
      <w:r w:rsidRPr="004D0DAA">
        <w:sym w:font="Symbol" w:char="F0A3"/>
      </w:r>
      <w:r w:rsidRPr="004D0DAA">
        <w:t> 8. The total number of bits in the physical block is 8(N1 </w:t>
      </w:r>
      <w:r w:rsidRPr="004D0DAA">
        <w:noBreakHyphen/>
        <w:t> 1) + n.</w:t>
      </w:r>
    </w:p>
    <w:p w14:paraId="49147E22" w14:textId="77777777" w:rsidR="00711444" w:rsidRPr="004D0DAA" w:rsidRDefault="00711444" w:rsidP="00711444">
      <w:pPr>
        <w:pStyle w:val="Heading3"/>
      </w:pPr>
      <w:bookmarkStart w:id="496" w:name="_Toc516669678"/>
      <w:r w:rsidRPr="004D0DAA">
        <w:t>10.0b.2</w:t>
      </w:r>
      <w:r w:rsidRPr="004D0DAA">
        <w:tab/>
        <w:t>Assembling conventions</w:t>
      </w:r>
      <w:bookmarkEnd w:id="496"/>
    </w:p>
    <w:p w14:paraId="3237BC3D" w14:textId="77777777" w:rsidR="00711444" w:rsidRPr="004D0DAA" w:rsidRDefault="00711444" w:rsidP="00711444">
      <w:r w:rsidRPr="004D0DAA">
        <w:t>Different assembling conventions apply for GPRS RLC data blocks, RLC/MAC control blocks, 11</w:t>
      </w:r>
      <w:r w:rsidRPr="004D0DAA">
        <w:noBreakHyphen/>
        <w:t>bit and 8</w:t>
      </w:r>
      <w:r w:rsidRPr="004D0DAA">
        <w:noBreakHyphen/>
        <w:t>bit control messages and EGPRS/EC-GSM-IoT RLC data blocks.</w:t>
      </w:r>
    </w:p>
    <w:p w14:paraId="1F3D3A7E" w14:textId="77777777" w:rsidR="00711444" w:rsidRPr="004D0DAA" w:rsidRDefault="00711444" w:rsidP="00711444">
      <w:pPr>
        <w:pStyle w:val="Heading4"/>
      </w:pPr>
      <w:bookmarkStart w:id="497" w:name="_Toc516669679"/>
      <w:r w:rsidRPr="004D0DAA">
        <w:t>10.0b.2.1</w:t>
      </w:r>
      <w:r w:rsidRPr="004D0DAA">
        <w:tab/>
        <w:t>Assembling convention for GPRS RLC data blocks and RLC/MAC control blocks, 11</w:t>
      </w:r>
      <w:r w:rsidRPr="004D0DAA">
        <w:noBreakHyphen/>
        <w:t>bit and 8</w:t>
      </w:r>
      <w:r w:rsidRPr="004D0DAA">
        <w:noBreakHyphen/>
        <w:t>bit control messages</w:t>
      </w:r>
      <w:bookmarkEnd w:id="497"/>
    </w:p>
    <w:p w14:paraId="0AF9AE72" w14:textId="77777777" w:rsidR="00711444" w:rsidRPr="004D0DAA" w:rsidRDefault="00711444" w:rsidP="00711444">
      <w:r w:rsidRPr="004D0DAA">
        <w:t>The different components of an RLC/MAC block carrying a GPRS RLC data block or an RLC/MAC control block shall be assembled sequentially. Each component consists of an integer number of octets with an exception for the EC-PACCH/D RLC/MAC control block where the block is of integer number of octets but not the individual components (MAC header and Control message content). The assembling of components shall be performed progressively, starting in octet number 1 of the physical block.</w:t>
      </w:r>
    </w:p>
    <w:p w14:paraId="27A60782" w14:textId="77777777" w:rsidR="00711444" w:rsidRPr="004D0DAA" w:rsidRDefault="00711444" w:rsidP="00711444">
      <w:r w:rsidRPr="004D0DAA">
        <w:t>The 11</w:t>
      </w:r>
      <w:r w:rsidRPr="004D0DAA">
        <w:noBreakHyphen/>
        <w:t>bit and 8</w:t>
      </w:r>
      <w:r w:rsidRPr="004D0DAA">
        <w:noBreakHyphen/>
        <w:t>bit control messages map directly into the corresponding physical block.</w:t>
      </w:r>
    </w:p>
    <w:p w14:paraId="277AD3A1" w14:textId="77777777" w:rsidR="00711444" w:rsidRPr="004D0DAA" w:rsidRDefault="00711444" w:rsidP="00711444">
      <w:r w:rsidRPr="004D0DAA">
        <w:t>In this respect, an RLC/MAC control message, defined in sub-clause 11, or a segment of an RLC/MAC control message, see sub-clause 9.1.12a, shall be treated as a single field of either:</w:t>
      </w:r>
    </w:p>
    <w:p w14:paraId="2E159351" w14:textId="77777777" w:rsidR="00711444" w:rsidRPr="004D0DAA" w:rsidRDefault="00711444" w:rsidP="00711444">
      <w:pPr>
        <w:pStyle w:val="B1"/>
      </w:pPr>
      <w:r w:rsidRPr="004D0DAA">
        <w:t>-</w:t>
      </w:r>
      <w:r w:rsidRPr="004D0DAA">
        <w:tab/>
        <w:t xml:space="preserve">176 bits(22 octets, using the PBCCH/PCCCH downlink/CS-1 encoded PACCH block format), </w:t>
      </w:r>
    </w:p>
    <w:p w14:paraId="0CC15D60" w14:textId="77777777" w:rsidR="00711444" w:rsidRPr="004D0DAA" w:rsidRDefault="00711444" w:rsidP="00711444">
      <w:pPr>
        <w:pStyle w:val="B1"/>
      </w:pPr>
      <w:r w:rsidRPr="004D0DAA">
        <w:lastRenderedPageBreak/>
        <w:t>-</w:t>
      </w:r>
      <w:r w:rsidRPr="004D0DAA">
        <w:tab/>
        <w:t xml:space="preserve">304 bits (38 octets, using the CS-3 encoded PACCH block format), </w:t>
      </w:r>
    </w:p>
    <w:p w14:paraId="7127E245" w14:textId="77777777" w:rsidR="00711444" w:rsidRPr="004D0DAA" w:rsidRDefault="00711444" w:rsidP="00711444">
      <w:pPr>
        <w:pStyle w:val="B1"/>
      </w:pPr>
      <w:r w:rsidRPr="004D0DAA">
        <w:t>-</w:t>
      </w:r>
      <w:r w:rsidRPr="004D0DAA">
        <w:tab/>
        <w:t xml:space="preserve">11 bits or 8 bits (using the PRACH uplink/PACCH uplink short acknowledgement block formats, see 3GPP TS 44.004), </w:t>
      </w:r>
    </w:p>
    <w:p w14:paraId="22206C53" w14:textId="77777777" w:rsidR="00711444" w:rsidRPr="004D0DAA" w:rsidRDefault="00711444" w:rsidP="00711444">
      <w:pPr>
        <w:pStyle w:val="B1"/>
      </w:pPr>
      <w:r w:rsidRPr="004D0DAA">
        <w:t>-</w:t>
      </w:r>
      <w:r w:rsidRPr="004D0DAA">
        <w:tab/>
        <w:t xml:space="preserve">75 bits or 67 bits (using the EC-PACCH/D without or with the optional RLC/MAC header bits respectively), </w:t>
      </w:r>
    </w:p>
    <w:p w14:paraId="50E87E59" w14:textId="77777777" w:rsidR="00711444" w:rsidRPr="004D0DAA" w:rsidRDefault="00711444" w:rsidP="00711444">
      <w:pPr>
        <w:pStyle w:val="B1"/>
      </w:pPr>
      <w:r w:rsidRPr="004D0DAA">
        <w:t>-</w:t>
      </w:r>
      <w:r w:rsidRPr="004D0DAA">
        <w:tab/>
        <w:t>64 bits (using the EC-PACCH/U).</w:t>
      </w:r>
    </w:p>
    <w:p w14:paraId="02440024" w14:textId="77777777" w:rsidR="00711444" w:rsidRPr="004D0DAA" w:rsidRDefault="00711444" w:rsidP="00711444">
      <w:r w:rsidRPr="004D0DAA">
        <w:t>The message contents defines a sequence of bits in decreasing order of value, i.e. the first bit of the message contents represents the highest order value and the last bit the lowest order value.</w:t>
      </w:r>
    </w:p>
    <w:p w14:paraId="05C61676" w14:textId="77777777" w:rsidR="00711444" w:rsidRPr="004D0DAA" w:rsidRDefault="00711444" w:rsidP="00711444">
      <w:r w:rsidRPr="004D0DAA">
        <w:t>The RLC/MAC header and a GPRS RLC data block are components that consist of an integer number of octets. Each octet shall be treated as a separate field when mapped into the physical block. The lowest numbered bit represents the lowest order value.</w:t>
      </w:r>
    </w:p>
    <w:p w14:paraId="1B5854E2" w14:textId="77777777" w:rsidR="00711444" w:rsidRPr="004D0DAA" w:rsidRDefault="00711444" w:rsidP="00711444">
      <w:r w:rsidRPr="004D0DAA">
        <w:t>The PDTCH block type 2 (CS</w:t>
      </w:r>
      <w:r w:rsidRPr="004D0DAA">
        <w:noBreakHyphen/>
        <w:t>2), type 3 (CS</w:t>
      </w:r>
      <w:r w:rsidRPr="004D0DAA">
        <w:noBreakHyphen/>
        <w:t>3) and type 4 (CS</w:t>
      </w:r>
      <w:r w:rsidRPr="004D0DAA">
        <w:noBreakHyphen/>
        <w:t>4) formats (see 3GPP TS 44.004) do not have an integer number of octets. In these block types, bits number n to 1 of octet number N1 are spare bits.</w:t>
      </w:r>
    </w:p>
    <w:p w14:paraId="26BD2C6C" w14:textId="77777777" w:rsidR="00711444" w:rsidRPr="004D0DAA" w:rsidRDefault="00711444" w:rsidP="00711444">
      <w:pPr>
        <w:pStyle w:val="Heading4"/>
      </w:pPr>
      <w:bookmarkStart w:id="498" w:name="_Toc516669680"/>
      <w:r w:rsidRPr="004D0DAA">
        <w:t>10.0b.2.2</w:t>
      </w:r>
      <w:r w:rsidRPr="004D0DAA">
        <w:tab/>
        <w:t>Assembling convention for EGPRS and EC-GSM-IoT RLC data blocks</w:t>
      </w:r>
      <w:bookmarkEnd w:id="498"/>
    </w:p>
    <w:p w14:paraId="425DFD05" w14:textId="77777777" w:rsidR="00711444" w:rsidRPr="004D0DAA" w:rsidRDefault="00711444" w:rsidP="00711444">
      <w:r w:rsidRPr="004D0DAA">
        <w:t>The different components of the RLC/MAC block carrying an EGPRS or EC-GSM-IoT RLC data block shall be assembled sequentially. A component may consist of a non-integer number of octets. Each octet shall be treated as a separate field when mapped into the physical block. The lowest numbered bit represents the lowest order value.</w:t>
      </w:r>
    </w:p>
    <w:p w14:paraId="2AC0797A" w14:textId="77777777" w:rsidR="00711444" w:rsidRPr="004D0DAA" w:rsidRDefault="00711444" w:rsidP="00711444">
      <w:r w:rsidRPr="004D0DAA">
        <w:t>The assembling of components shall be performed progressively, starting with octet number 1 of the physical block. If the boundary between two components falls within an octet of the physical block, the components, or parts thereof, that are contained in that octet shall be assembled progressively, starting with bit number 1 of the octet. (i.e. going from bit number 1 to bit number 8, except in octet number N1, where components are assembled going from bit number 1 to bit number n).</w:t>
      </w:r>
    </w:p>
    <w:p w14:paraId="35011895" w14:textId="77777777" w:rsidR="00711444" w:rsidRPr="004D0DAA" w:rsidRDefault="00711444" w:rsidP="00711444">
      <w:pPr>
        <w:pStyle w:val="Heading3"/>
      </w:pPr>
      <w:bookmarkStart w:id="499" w:name="_Toc516669681"/>
      <w:r w:rsidRPr="004D0DAA">
        <w:t>10.0b.3</w:t>
      </w:r>
      <w:r w:rsidRPr="004D0DAA">
        <w:tab/>
        <w:t>Field mapping conventions</w:t>
      </w:r>
      <w:bookmarkEnd w:id="499"/>
    </w:p>
    <w:p w14:paraId="0618EF1D" w14:textId="77777777" w:rsidR="00711444" w:rsidRPr="004D0DAA" w:rsidRDefault="00711444" w:rsidP="00711444">
      <w:r w:rsidRPr="004D0DAA">
        <w:t>Different field mapping conventions apply for GPRS RLC data blocks, RLC/MAC control blocks, 11</w:t>
      </w:r>
      <w:r w:rsidRPr="004D0DAA">
        <w:noBreakHyphen/>
        <w:t>bit and 8</w:t>
      </w:r>
      <w:r w:rsidRPr="004D0DAA">
        <w:noBreakHyphen/>
        <w:t>bit control messages and EGPRS/EC-GSM-IoT RLC data blocks.</w:t>
      </w:r>
    </w:p>
    <w:p w14:paraId="0599DCFE" w14:textId="77777777" w:rsidR="00711444" w:rsidRPr="004D0DAA" w:rsidRDefault="00711444" w:rsidP="00711444">
      <w:pPr>
        <w:pStyle w:val="Heading4"/>
      </w:pPr>
      <w:bookmarkStart w:id="500" w:name="_Toc516669682"/>
      <w:r w:rsidRPr="004D0DAA">
        <w:t>10.0b.3.1</w:t>
      </w:r>
      <w:r w:rsidRPr="004D0DAA">
        <w:tab/>
        <w:t>Field mapping convention for GPRS RLC data blocks, CS-1 or CS-3 encoded RLC/MAC control blocks, EC-PACCH/D and EC-PACCH/U, 11</w:t>
      </w:r>
      <w:r w:rsidRPr="004D0DAA">
        <w:noBreakHyphen/>
        <w:t>bit and 8</w:t>
      </w:r>
      <w:r w:rsidRPr="004D0DAA">
        <w:noBreakHyphen/>
        <w:t>bit control messages</w:t>
      </w:r>
      <w:bookmarkEnd w:id="500"/>
    </w:p>
    <w:p w14:paraId="7ABFAB40" w14:textId="77777777" w:rsidR="00711444" w:rsidRPr="004D0DAA" w:rsidRDefault="00711444" w:rsidP="00711444">
      <w:r w:rsidRPr="004D0DAA">
        <w:t>When a field within a GPRS RLC data block or a CS-1 encoded RLC/MAC control block, or a CS-3 encoded RLC/MAC control block, or EC-PACCH/D or EC-PACCH/U encoded RLC/MAC control block or an 11</w:t>
      </w:r>
      <w:r w:rsidRPr="004D0DAA">
        <w:noBreakHyphen/>
        <w:t>bit or an 8</w:t>
      </w:r>
      <w:r w:rsidRPr="004D0DAA">
        <w:noBreakHyphen/>
        <w:t>bit control message is contained within a single octet of the physical block, the lowest numbered bit of the field represents the lowest order value.</w:t>
      </w:r>
    </w:p>
    <w:p w14:paraId="2619B22F" w14:textId="77777777" w:rsidR="00711444" w:rsidRPr="004D0DAA" w:rsidRDefault="00711444" w:rsidP="00711444">
      <w:r w:rsidRPr="004D0DAA">
        <w:t xml:space="preserve">When a field spans more than one octet of the physical block, the order of bit values within each octet progressively </w:t>
      </w:r>
      <w:r w:rsidRPr="004D0DAA">
        <w:rPr>
          <w:i/>
        </w:rPr>
        <w:t>decreases</w:t>
      </w:r>
      <w:r w:rsidRPr="004D0DAA">
        <w:t xml:space="preserve"> as the octet number increases. In that part of a field contained in a given octet, the lowest numbered bit represents the lowest order value.</w:t>
      </w:r>
    </w:p>
    <w:p w14:paraId="42D57956" w14:textId="77777777" w:rsidR="00711444" w:rsidRPr="004D0DAA" w:rsidRDefault="00711444" w:rsidP="00711444">
      <w:pPr>
        <w:pStyle w:val="Heading4"/>
      </w:pPr>
      <w:bookmarkStart w:id="501" w:name="_Toc516669683"/>
      <w:r w:rsidRPr="004D0DAA">
        <w:t>10.0b.3.2</w:t>
      </w:r>
      <w:r w:rsidRPr="004D0DAA">
        <w:tab/>
        <w:t>Field mapping convention for EGPRS and EC-GSM-IoT RLC data blocks and MCS-0 encoded RLC/MAC control blocks</w:t>
      </w:r>
      <w:bookmarkEnd w:id="501"/>
    </w:p>
    <w:p w14:paraId="129C9DEE" w14:textId="77777777" w:rsidR="00711444" w:rsidRPr="004D0DAA" w:rsidRDefault="00711444" w:rsidP="00711444">
      <w:r w:rsidRPr="004D0DAA">
        <w:t>When a field within an EGPRS or EC-GSM-IoT RLC data block is contained within a single octet of the physical block, the lowest numbered bit of the field represents the lowest order value.</w:t>
      </w:r>
    </w:p>
    <w:p w14:paraId="1D636418" w14:textId="77777777" w:rsidR="00711444" w:rsidRPr="004D0DAA" w:rsidRDefault="00711444" w:rsidP="00711444">
      <w:r w:rsidRPr="004D0DAA">
        <w:t xml:space="preserve">When a field spans more than one octet of the physical block, the order of bit values within each octet progressively </w:t>
      </w:r>
      <w:r w:rsidRPr="004D0DAA">
        <w:rPr>
          <w:i/>
        </w:rPr>
        <w:t>increases</w:t>
      </w:r>
      <w:r w:rsidRPr="004D0DAA">
        <w:t xml:space="preserve"> as the octet number increases. In that part of a field contained in a given octet, the lowest numbered bit represents the lowest order value.</w:t>
      </w:r>
    </w:p>
    <w:p w14:paraId="09039BC7" w14:textId="77777777" w:rsidR="00711444" w:rsidRPr="004D0DAA" w:rsidRDefault="00711444" w:rsidP="00711444">
      <w:pPr>
        <w:pStyle w:val="Heading2"/>
      </w:pPr>
      <w:bookmarkStart w:id="502" w:name="_Toc516669684"/>
      <w:r w:rsidRPr="004D0DAA">
        <w:lastRenderedPageBreak/>
        <w:t>10.1</w:t>
      </w:r>
      <w:r w:rsidRPr="004D0DAA">
        <w:tab/>
        <w:t>Spare bits</w:t>
      </w:r>
      <w:bookmarkEnd w:id="502"/>
    </w:p>
    <w:p w14:paraId="6A7BD777" w14:textId="77777777" w:rsidR="00711444" w:rsidRPr="004D0DAA" w:rsidRDefault="00711444" w:rsidP="00711444">
      <w:r w:rsidRPr="004D0DAA">
        <w:t>Where the description of RLC/MAC blocks in this Technical Specification contains bits defined to be 'spare bits', these bits shall set to the value '0' by the sending side, and their value shall be ignored by the receiving side.</w:t>
      </w:r>
    </w:p>
    <w:p w14:paraId="2C05D696" w14:textId="77777777" w:rsidR="00711444" w:rsidRPr="004D0DAA" w:rsidRDefault="00711444" w:rsidP="00711444">
      <w:pPr>
        <w:pStyle w:val="Heading2"/>
      </w:pPr>
      <w:bookmarkStart w:id="503" w:name="_Toc516669685"/>
      <w:r w:rsidRPr="004D0DAA">
        <w:t>10.2</w:t>
      </w:r>
      <w:r w:rsidRPr="004D0DAA">
        <w:tab/>
        <w:t>GPRS RLC data blocks</w:t>
      </w:r>
      <w:bookmarkEnd w:id="503"/>
    </w:p>
    <w:p w14:paraId="7705F09C" w14:textId="77777777" w:rsidR="00711444" w:rsidRPr="004D0DAA" w:rsidRDefault="00711444" w:rsidP="00711444">
      <w:pPr>
        <w:keepNext/>
        <w:keepLines/>
      </w:pPr>
      <w:r w:rsidRPr="004D0DAA">
        <w:t>The RLC data block consists of an RLC header, an RLC data unit, and spare bits. An RLC/MAC block containing an RLC data block may be encoded using any of the available channel coding schemes CS-1, CS-2, CS-3, or CS-4 (see 3GPP TS 45.003). RLC/MAC blocks encoded using CS-1 do not contain spare bits. The size of the RLC data block for each of the channel coding schemes is shown in table 10.2.1.</w:t>
      </w:r>
    </w:p>
    <w:p w14:paraId="39EC92C0" w14:textId="77777777" w:rsidR="00711444" w:rsidRPr="004D0DAA" w:rsidRDefault="00711444" w:rsidP="00711444">
      <w:pPr>
        <w:pStyle w:val="TH"/>
      </w:pPr>
      <w:r w:rsidRPr="004D0DAA">
        <w:t>Table 10.2.1: RLC data block size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93"/>
        <w:gridCol w:w="1418"/>
        <w:gridCol w:w="1418"/>
        <w:gridCol w:w="1418"/>
      </w:tblGrid>
      <w:tr w:rsidR="00711444" w:rsidRPr="004D0DAA" w14:paraId="21FF1D0B" w14:textId="77777777" w:rsidTr="00AA2A4C">
        <w:tblPrEx>
          <w:tblCellMar>
            <w:top w:w="0" w:type="dxa"/>
            <w:bottom w:w="0" w:type="dxa"/>
          </w:tblCellMar>
        </w:tblPrEx>
        <w:trPr>
          <w:cantSplit/>
          <w:jc w:val="center"/>
        </w:trPr>
        <w:tc>
          <w:tcPr>
            <w:tcW w:w="1593" w:type="dxa"/>
            <w:tcBorders>
              <w:bottom w:val="nil"/>
            </w:tcBorders>
          </w:tcPr>
          <w:p w14:paraId="43C68FD0" w14:textId="77777777" w:rsidR="00711444" w:rsidRPr="004D0DAA" w:rsidRDefault="00711444" w:rsidP="00AA2A4C">
            <w:pPr>
              <w:pStyle w:val="TAH"/>
              <w:rPr>
                <w:lang w:eastAsia="en-US"/>
              </w:rPr>
            </w:pPr>
            <w:r w:rsidRPr="004D0DAA">
              <w:rPr>
                <w:lang w:eastAsia="en-US"/>
              </w:rPr>
              <w:t>Channel Coding Scheme</w:t>
            </w:r>
          </w:p>
        </w:tc>
        <w:tc>
          <w:tcPr>
            <w:tcW w:w="1418" w:type="dxa"/>
            <w:tcBorders>
              <w:bottom w:val="nil"/>
            </w:tcBorders>
          </w:tcPr>
          <w:p w14:paraId="33880404" w14:textId="77777777" w:rsidR="00711444" w:rsidRPr="004D0DAA" w:rsidRDefault="00711444" w:rsidP="00AA2A4C">
            <w:pPr>
              <w:pStyle w:val="TAH"/>
              <w:rPr>
                <w:lang w:eastAsia="en-US"/>
              </w:rPr>
            </w:pPr>
            <w:r w:rsidRPr="004D0DAA">
              <w:rPr>
                <w:lang w:eastAsia="en-US"/>
              </w:rPr>
              <w:t>RLC data block size without spare bits (N2)</w:t>
            </w:r>
            <w:r w:rsidRPr="004D0DAA">
              <w:rPr>
                <w:lang w:eastAsia="en-US"/>
              </w:rPr>
              <w:br/>
              <w:t>(octets)</w:t>
            </w:r>
          </w:p>
        </w:tc>
        <w:tc>
          <w:tcPr>
            <w:tcW w:w="1418" w:type="dxa"/>
            <w:tcBorders>
              <w:bottom w:val="nil"/>
            </w:tcBorders>
          </w:tcPr>
          <w:p w14:paraId="040EE50C" w14:textId="77777777" w:rsidR="00711444" w:rsidRPr="004D0DAA" w:rsidRDefault="00711444" w:rsidP="00AA2A4C">
            <w:pPr>
              <w:pStyle w:val="TAH"/>
              <w:rPr>
                <w:lang w:eastAsia="en-US"/>
              </w:rPr>
            </w:pPr>
            <w:r w:rsidRPr="004D0DAA">
              <w:rPr>
                <w:lang w:eastAsia="en-US"/>
              </w:rPr>
              <w:t>Number of</w:t>
            </w:r>
            <w:r w:rsidRPr="004D0DAA">
              <w:rPr>
                <w:lang w:eastAsia="en-US"/>
              </w:rPr>
              <w:br/>
              <w:t>spare bits</w:t>
            </w:r>
          </w:p>
        </w:tc>
        <w:tc>
          <w:tcPr>
            <w:tcW w:w="1418" w:type="dxa"/>
            <w:tcBorders>
              <w:bottom w:val="nil"/>
            </w:tcBorders>
          </w:tcPr>
          <w:p w14:paraId="4A75BDCC" w14:textId="77777777" w:rsidR="00711444" w:rsidRPr="004D0DAA" w:rsidRDefault="00711444" w:rsidP="00AA2A4C">
            <w:pPr>
              <w:pStyle w:val="TAH"/>
              <w:rPr>
                <w:lang w:eastAsia="en-US"/>
              </w:rPr>
            </w:pPr>
            <w:r w:rsidRPr="004D0DAA">
              <w:rPr>
                <w:lang w:eastAsia="en-US"/>
              </w:rPr>
              <w:t>RLC data</w:t>
            </w:r>
            <w:r w:rsidRPr="004D0DAA">
              <w:rPr>
                <w:lang w:eastAsia="en-US"/>
              </w:rPr>
              <w:br/>
              <w:t>block size</w:t>
            </w:r>
            <w:r w:rsidRPr="004D0DAA">
              <w:rPr>
                <w:lang w:eastAsia="en-US"/>
              </w:rPr>
              <w:br/>
              <w:t>(octets)</w:t>
            </w:r>
          </w:p>
        </w:tc>
      </w:tr>
      <w:tr w:rsidR="00711444" w:rsidRPr="004D0DAA" w14:paraId="253307DE" w14:textId="77777777" w:rsidTr="00AA2A4C">
        <w:tblPrEx>
          <w:tblCellMar>
            <w:top w:w="0" w:type="dxa"/>
            <w:bottom w:w="0" w:type="dxa"/>
          </w:tblCellMar>
        </w:tblPrEx>
        <w:trPr>
          <w:cantSplit/>
          <w:jc w:val="center"/>
        </w:trPr>
        <w:tc>
          <w:tcPr>
            <w:tcW w:w="1593" w:type="dxa"/>
          </w:tcPr>
          <w:p w14:paraId="5309F1FB" w14:textId="77777777" w:rsidR="00711444" w:rsidRPr="004D0DAA" w:rsidRDefault="00711444" w:rsidP="00AA2A4C">
            <w:pPr>
              <w:pStyle w:val="TAC"/>
              <w:rPr>
                <w:lang w:eastAsia="en-US"/>
              </w:rPr>
            </w:pPr>
            <w:r w:rsidRPr="004D0DAA">
              <w:rPr>
                <w:lang w:eastAsia="en-US"/>
              </w:rPr>
              <w:t>CS-1</w:t>
            </w:r>
          </w:p>
        </w:tc>
        <w:tc>
          <w:tcPr>
            <w:tcW w:w="1418" w:type="dxa"/>
          </w:tcPr>
          <w:p w14:paraId="3F9512DC" w14:textId="77777777" w:rsidR="00711444" w:rsidRPr="004D0DAA" w:rsidRDefault="00711444" w:rsidP="00AA2A4C">
            <w:pPr>
              <w:pStyle w:val="TAC"/>
              <w:rPr>
                <w:lang w:eastAsia="en-US"/>
              </w:rPr>
            </w:pPr>
            <w:r w:rsidRPr="004D0DAA">
              <w:rPr>
                <w:lang w:eastAsia="en-US"/>
              </w:rPr>
              <w:t>22</w:t>
            </w:r>
          </w:p>
        </w:tc>
        <w:tc>
          <w:tcPr>
            <w:tcW w:w="1418" w:type="dxa"/>
          </w:tcPr>
          <w:p w14:paraId="5501523E" w14:textId="77777777" w:rsidR="00711444" w:rsidRPr="004D0DAA" w:rsidRDefault="00711444" w:rsidP="00AA2A4C">
            <w:pPr>
              <w:pStyle w:val="TAC"/>
              <w:rPr>
                <w:lang w:eastAsia="en-US"/>
              </w:rPr>
            </w:pPr>
            <w:r w:rsidRPr="004D0DAA">
              <w:rPr>
                <w:lang w:eastAsia="en-US"/>
              </w:rPr>
              <w:t>0</w:t>
            </w:r>
          </w:p>
        </w:tc>
        <w:tc>
          <w:tcPr>
            <w:tcW w:w="1418" w:type="dxa"/>
          </w:tcPr>
          <w:p w14:paraId="2EBD09F0" w14:textId="77777777" w:rsidR="00711444" w:rsidRPr="004D0DAA" w:rsidRDefault="00711444" w:rsidP="00AA2A4C">
            <w:pPr>
              <w:pStyle w:val="TAC"/>
              <w:rPr>
                <w:lang w:eastAsia="en-US"/>
              </w:rPr>
            </w:pPr>
            <w:r w:rsidRPr="004D0DAA">
              <w:rPr>
                <w:lang w:eastAsia="en-US"/>
              </w:rPr>
              <w:t>22</w:t>
            </w:r>
          </w:p>
        </w:tc>
      </w:tr>
      <w:tr w:rsidR="00711444" w:rsidRPr="004D0DAA" w14:paraId="1E17182C" w14:textId="77777777" w:rsidTr="00AA2A4C">
        <w:tblPrEx>
          <w:tblCellMar>
            <w:top w:w="0" w:type="dxa"/>
            <w:bottom w:w="0" w:type="dxa"/>
          </w:tblCellMar>
        </w:tblPrEx>
        <w:trPr>
          <w:cantSplit/>
          <w:jc w:val="center"/>
        </w:trPr>
        <w:tc>
          <w:tcPr>
            <w:tcW w:w="1593" w:type="dxa"/>
          </w:tcPr>
          <w:p w14:paraId="31C194A9" w14:textId="77777777" w:rsidR="00711444" w:rsidRPr="004D0DAA" w:rsidRDefault="00711444" w:rsidP="00AA2A4C">
            <w:pPr>
              <w:pStyle w:val="TAC"/>
              <w:rPr>
                <w:lang w:eastAsia="en-US"/>
              </w:rPr>
            </w:pPr>
            <w:r w:rsidRPr="004D0DAA">
              <w:rPr>
                <w:lang w:eastAsia="en-US"/>
              </w:rPr>
              <w:t>CS-2</w:t>
            </w:r>
          </w:p>
        </w:tc>
        <w:tc>
          <w:tcPr>
            <w:tcW w:w="1418" w:type="dxa"/>
          </w:tcPr>
          <w:p w14:paraId="6A70D608" w14:textId="77777777" w:rsidR="00711444" w:rsidRPr="004D0DAA" w:rsidRDefault="00711444" w:rsidP="00AA2A4C">
            <w:pPr>
              <w:pStyle w:val="TAC"/>
              <w:rPr>
                <w:lang w:eastAsia="en-US"/>
              </w:rPr>
            </w:pPr>
            <w:r w:rsidRPr="004D0DAA">
              <w:rPr>
                <w:lang w:eastAsia="en-US"/>
              </w:rPr>
              <w:t>32</w:t>
            </w:r>
          </w:p>
        </w:tc>
        <w:tc>
          <w:tcPr>
            <w:tcW w:w="1418" w:type="dxa"/>
          </w:tcPr>
          <w:p w14:paraId="05CFEB6B" w14:textId="77777777" w:rsidR="00711444" w:rsidRPr="004D0DAA" w:rsidRDefault="00711444" w:rsidP="00AA2A4C">
            <w:pPr>
              <w:pStyle w:val="TAC"/>
              <w:rPr>
                <w:lang w:eastAsia="en-US"/>
              </w:rPr>
            </w:pPr>
            <w:r w:rsidRPr="004D0DAA">
              <w:rPr>
                <w:lang w:eastAsia="en-US"/>
              </w:rPr>
              <w:t>7</w:t>
            </w:r>
          </w:p>
        </w:tc>
        <w:tc>
          <w:tcPr>
            <w:tcW w:w="1418" w:type="dxa"/>
          </w:tcPr>
          <w:p w14:paraId="14871AAD" w14:textId="77777777" w:rsidR="00711444" w:rsidRPr="004D0DAA" w:rsidRDefault="00711444" w:rsidP="00AA2A4C">
            <w:pPr>
              <w:pStyle w:val="TAC"/>
              <w:rPr>
                <w:lang w:eastAsia="en-US"/>
              </w:rPr>
            </w:pPr>
            <w:r w:rsidRPr="004D0DAA">
              <w:rPr>
                <w:lang w:eastAsia="en-US"/>
              </w:rPr>
              <w:t>32 7/8</w:t>
            </w:r>
          </w:p>
        </w:tc>
      </w:tr>
      <w:tr w:rsidR="00711444" w:rsidRPr="004D0DAA" w14:paraId="2F05AC97" w14:textId="77777777" w:rsidTr="00AA2A4C">
        <w:tblPrEx>
          <w:tblCellMar>
            <w:top w:w="0" w:type="dxa"/>
            <w:bottom w:w="0" w:type="dxa"/>
          </w:tblCellMar>
        </w:tblPrEx>
        <w:trPr>
          <w:cantSplit/>
          <w:jc w:val="center"/>
        </w:trPr>
        <w:tc>
          <w:tcPr>
            <w:tcW w:w="1593" w:type="dxa"/>
          </w:tcPr>
          <w:p w14:paraId="770701BC" w14:textId="77777777" w:rsidR="00711444" w:rsidRPr="004D0DAA" w:rsidRDefault="00711444" w:rsidP="00AA2A4C">
            <w:pPr>
              <w:pStyle w:val="TAC"/>
              <w:rPr>
                <w:lang w:eastAsia="en-US"/>
              </w:rPr>
            </w:pPr>
            <w:r w:rsidRPr="004D0DAA">
              <w:rPr>
                <w:lang w:eastAsia="en-US"/>
              </w:rPr>
              <w:t>CS-3</w:t>
            </w:r>
          </w:p>
        </w:tc>
        <w:tc>
          <w:tcPr>
            <w:tcW w:w="1418" w:type="dxa"/>
          </w:tcPr>
          <w:p w14:paraId="62DA7A83" w14:textId="77777777" w:rsidR="00711444" w:rsidRPr="004D0DAA" w:rsidRDefault="00711444" w:rsidP="00AA2A4C">
            <w:pPr>
              <w:pStyle w:val="TAC"/>
              <w:rPr>
                <w:lang w:eastAsia="en-US"/>
              </w:rPr>
            </w:pPr>
            <w:r w:rsidRPr="004D0DAA">
              <w:rPr>
                <w:lang w:eastAsia="en-US"/>
              </w:rPr>
              <w:t>38</w:t>
            </w:r>
          </w:p>
        </w:tc>
        <w:tc>
          <w:tcPr>
            <w:tcW w:w="1418" w:type="dxa"/>
          </w:tcPr>
          <w:p w14:paraId="729ADF1C" w14:textId="77777777" w:rsidR="00711444" w:rsidRPr="004D0DAA" w:rsidRDefault="00711444" w:rsidP="00AA2A4C">
            <w:pPr>
              <w:pStyle w:val="TAC"/>
              <w:rPr>
                <w:lang w:eastAsia="en-US"/>
              </w:rPr>
            </w:pPr>
            <w:r w:rsidRPr="004D0DAA">
              <w:rPr>
                <w:lang w:eastAsia="en-US"/>
              </w:rPr>
              <w:t>3</w:t>
            </w:r>
          </w:p>
        </w:tc>
        <w:tc>
          <w:tcPr>
            <w:tcW w:w="1418" w:type="dxa"/>
          </w:tcPr>
          <w:p w14:paraId="3A6E281D" w14:textId="77777777" w:rsidR="00711444" w:rsidRPr="004D0DAA" w:rsidRDefault="00711444" w:rsidP="00AA2A4C">
            <w:pPr>
              <w:pStyle w:val="TAC"/>
              <w:rPr>
                <w:lang w:eastAsia="en-US"/>
              </w:rPr>
            </w:pPr>
            <w:r w:rsidRPr="004D0DAA">
              <w:rPr>
                <w:lang w:eastAsia="en-US"/>
              </w:rPr>
              <w:t>38 3/8</w:t>
            </w:r>
          </w:p>
        </w:tc>
      </w:tr>
      <w:tr w:rsidR="00711444" w:rsidRPr="004D0DAA" w14:paraId="1E47E92C" w14:textId="77777777" w:rsidTr="00AA2A4C">
        <w:tblPrEx>
          <w:tblCellMar>
            <w:top w:w="0" w:type="dxa"/>
            <w:bottom w:w="0" w:type="dxa"/>
          </w:tblCellMar>
        </w:tblPrEx>
        <w:trPr>
          <w:cantSplit/>
          <w:jc w:val="center"/>
        </w:trPr>
        <w:tc>
          <w:tcPr>
            <w:tcW w:w="1593" w:type="dxa"/>
          </w:tcPr>
          <w:p w14:paraId="07BADE59" w14:textId="77777777" w:rsidR="00711444" w:rsidRPr="004D0DAA" w:rsidRDefault="00711444" w:rsidP="00AA2A4C">
            <w:pPr>
              <w:pStyle w:val="TAC"/>
              <w:rPr>
                <w:lang w:eastAsia="en-US"/>
              </w:rPr>
            </w:pPr>
            <w:r w:rsidRPr="004D0DAA">
              <w:rPr>
                <w:lang w:eastAsia="en-US"/>
              </w:rPr>
              <w:t>CS-4</w:t>
            </w:r>
          </w:p>
        </w:tc>
        <w:tc>
          <w:tcPr>
            <w:tcW w:w="1418" w:type="dxa"/>
          </w:tcPr>
          <w:p w14:paraId="26F0A65E" w14:textId="77777777" w:rsidR="00711444" w:rsidRPr="004D0DAA" w:rsidRDefault="00711444" w:rsidP="00AA2A4C">
            <w:pPr>
              <w:pStyle w:val="TAC"/>
              <w:rPr>
                <w:lang w:eastAsia="en-US"/>
              </w:rPr>
            </w:pPr>
            <w:r w:rsidRPr="004D0DAA">
              <w:rPr>
                <w:lang w:eastAsia="en-US"/>
              </w:rPr>
              <w:t>52</w:t>
            </w:r>
          </w:p>
        </w:tc>
        <w:tc>
          <w:tcPr>
            <w:tcW w:w="1418" w:type="dxa"/>
          </w:tcPr>
          <w:p w14:paraId="792B3A2A" w14:textId="77777777" w:rsidR="00711444" w:rsidRPr="004D0DAA" w:rsidRDefault="00711444" w:rsidP="00AA2A4C">
            <w:pPr>
              <w:pStyle w:val="TAC"/>
              <w:rPr>
                <w:lang w:eastAsia="en-US"/>
              </w:rPr>
            </w:pPr>
            <w:r w:rsidRPr="004D0DAA">
              <w:rPr>
                <w:lang w:eastAsia="en-US"/>
              </w:rPr>
              <w:t>7</w:t>
            </w:r>
          </w:p>
        </w:tc>
        <w:tc>
          <w:tcPr>
            <w:tcW w:w="1418" w:type="dxa"/>
          </w:tcPr>
          <w:p w14:paraId="0A634B2E" w14:textId="77777777" w:rsidR="00711444" w:rsidRPr="004D0DAA" w:rsidRDefault="00711444" w:rsidP="00AA2A4C">
            <w:pPr>
              <w:pStyle w:val="TAC"/>
              <w:rPr>
                <w:lang w:eastAsia="en-US"/>
              </w:rPr>
            </w:pPr>
            <w:r w:rsidRPr="004D0DAA">
              <w:rPr>
                <w:lang w:eastAsia="en-US"/>
              </w:rPr>
              <w:t>52 7/8</w:t>
            </w:r>
          </w:p>
        </w:tc>
      </w:tr>
    </w:tbl>
    <w:p w14:paraId="47C8FF12" w14:textId="77777777" w:rsidR="00711444" w:rsidRPr="004D0DAA" w:rsidRDefault="00711444" w:rsidP="00711444"/>
    <w:p w14:paraId="04EE3753" w14:textId="77777777" w:rsidR="00711444" w:rsidRPr="004D0DAA" w:rsidRDefault="00711444" w:rsidP="00711444">
      <w:pPr>
        <w:pStyle w:val="Heading3"/>
      </w:pPr>
      <w:bookmarkStart w:id="504" w:name="_Toc516669686"/>
      <w:r w:rsidRPr="004D0DAA">
        <w:t>10.2.1</w:t>
      </w:r>
      <w:r w:rsidRPr="004D0DAA">
        <w:tab/>
        <w:t>Downlink RLC data block</w:t>
      </w:r>
      <w:bookmarkEnd w:id="504"/>
    </w:p>
    <w:p w14:paraId="41CD2034" w14:textId="77777777" w:rsidR="00711444" w:rsidRPr="004D0DAA" w:rsidRDefault="00711444" w:rsidP="00711444">
      <w:r w:rsidRPr="004D0DAA">
        <w:t>The Downlink RLC data block together with its MAC header is formatted as shown in figure 10.2.1.1.</w:t>
      </w:r>
    </w:p>
    <w:tbl>
      <w:tblPr>
        <w:tblW w:w="0" w:type="auto"/>
        <w:jc w:val="center"/>
        <w:tblLayout w:type="fixed"/>
        <w:tblCellMar>
          <w:left w:w="28" w:type="dxa"/>
          <w:right w:w="28" w:type="dxa"/>
        </w:tblCellMar>
        <w:tblLook w:val="0000" w:firstRow="0" w:lastRow="0" w:firstColumn="0" w:lastColumn="0" w:noHBand="0" w:noVBand="0"/>
      </w:tblPr>
      <w:tblGrid>
        <w:gridCol w:w="534"/>
        <w:gridCol w:w="680"/>
        <w:gridCol w:w="568"/>
        <w:gridCol w:w="624"/>
        <w:gridCol w:w="624"/>
        <w:gridCol w:w="624"/>
        <w:gridCol w:w="681"/>
        <w:gridCol w:w="569"/>
        <w:gridCol w:w="1985"/>
      </w:tblGrid>
      <w:tr w:rsidR="00711444" w:rsidRPr="004D0DAA" w14:paraId="6F123126" w14:textId="77777777" w:rsidTr="00AA2A4C">
        <w:tblPrEx>
          <w:tblCellMar>
            <w:top w:w="0" w:type="dxa"/>
            <w:bottom w:w="0" w:type="dxa"/>
          </w:tblCellMar>
        </w:tblPrEx>
        <w:trPr>
          <w:cantSplit/>
          <w:jc w:val="center"/>
        </w:trPr>
        <w:tc>
          <w:tcPr>
            <w:tcW w:w="4904" w:type="dxa"/>
            <w:gridSpan w:val="8"/>
          </w:tcPr>
          <w:p w14:paraId="75593571" w14:textId="77777777" w:rsidR="00711444" w:rsidRPr="004D0DAA" w:rsidRDefault="00711444" w:rsidP="00AA2A4C">
            <w:pPr>
              <w:pStyle w:val="TAC"/>
              <w:rPr>
                <w:lang w:eastAsia="en-US"/>
              </w:rPr>
            </w:pPr>
            <w:r w:rsidRPr="004D0DAA">
              <w:rPr>
                <w:lang w:eastAsia="en-US"/>
              </w:rPr>
              <w:t>Bit</w:t>
            </w:r>
          </w:p>
        </w:tc>
        <w:tc>
          <w:tcPr>
            <w:tcW w:w="1985" w:type="dxa"/>
          </w:tcPr>
          <w:p w14:paraId="7A6425FC" w14:textId="77777777" w:rsidR="00711444" w:rsidRPr="004D0DAA" w:rsidRDefault="00711444" w:rsidP="00AA2A4C">
            <w:pPr>
              <w:pStyle w:val="TAC"/>
              <w:rPr>
                <w:lang w:eastAsia="en-US"/>
              </w:rPr>
            </w:pPr>
          </w:p>
        </w:tc>
      </w:tr>
      <w:tr w:rsidR="00711444" w:rsidRPr="004D0DAA" w14:paraId="04520380" w14:textId="77777777" w:rsidTr="00AA2A4C">
        <w:tblPrEx>
          <w:tblCellMar>
            <w:top w:w="0" w:type="dxa"/>
            <w:bottom w:w="0" w:type="dxa"/>
          </w:tblCellMar>
        </w:tblPrEx>
        <w:trPr>
          <w:cantSplit/>
          <w:jc w:val="center"/>
        </w:trPr>
        <w:tc>
          <w:tcPr>
            <w:tcW w:w="534" w:type="dxa"/>
          </w:tcPr>
          <w:p w14:paraId="27F481B5" w14:textId="77777777" w:rsidR="00711444" w:rsidRPr="004D0DAA" w:rsidRDefault="00711444" w:rsidP="00AA2A4C">
            <w:pPr>
              <w:pStyle w:val="TAC"/>
              <w:rPr>
                <w:lang w:eastAsia="en-US"/>
              </w:rPr>
            </w:pPr>
            <w:r w:rsidRPr="004D0DAA">
              <w:rPr>
                <w:lang w:eastAsia="en-US"/>
              </w:rPr>
              <w:t>8</w:t>
            </w:r>
          </w:p>
        </w:tc>
        <w:tc>
          <w:tcPr>
            <w:tcW w:w="680" w:type="dxa"/>
          </w:tcPr>
          <w:p w14:paraId="6A20BCD1" w14:textId="77777777" w:rsidR="00711444" w:rsidRPr="004D0DAA" w:rsidRDefault="00711444" w:rsidP="00AA2A4C">
            <w:pPr>
              <w:pStyle w:val="TAC"/>
              <w:rPr>
                <w:lang w:eastAsia="en-US"/>
              </w:rPr>
            </w:pPr>
            <w:r w:rsidRPr="004D0DAA">
              <w:rPr>
                <w:lang w:eastAsia="en-US"/>
              </w:rPr>
              <w:t>7</w:t>
            </w:r>
          </w:p>
        </w:tc>
        <w:tc>
          <w:tcPr>
            <w:tcW w:w="568" w:type="dxa"/>
          </w:tcPr>
          <w:p w14:paraId="04F88362" w14:textId="77777777" w:rsidR="00711444" w:rsidRPr="004D0DAA" w:rsidRDefault="00711444" w:rsidP="00AA2A4C">
            <w:pPr>
              <w:pStyle w:val="TAC"/>
              <w:rPr>
                <w:lang w:eastAsia="en-US"/>
              </w:rPr>
            </w:pPr>
            <w:r w:rsidRPr="004D0DAA">
              <w:rPr>
                <w:lang w:eastAsia="en-US"/>
              </w:rPr>
              <w:t>6</w:t>
            </w:r>
          </w:p>
        </w:tc>
        <w:tc>
          <w:tcPr>
            <w:tcW w:w="624" w:type="dxa"/>
          </w:tcPr>
          <w:p w14:paraId="4CD4F7D4" w14:textId="77777777" w:rsidR="00711444" w:rsidRPr="004D0DAA" w:rsidRDefault="00711444" w:rsidP="00AA2A4C">
            <w:pPr>
              <w:pStyle w:val="TAC"/>
              <w:rPr>
                <w:lang w:eastAsia="en-US"/>
              </w:rPr>
            </w:pPr>
            <w:r w:rsidRPr="004D0DAA">
              <w:rPr>
                <w:lang w:eastAsia="en-US"/>
              </w:rPr>
              <w:t>5</w:t>
            </w:r>
          </w:p>
        </w:tc>
        <w:tc>
          <w:tcPr>
            <w:tcW w:w="624" w:type="dxa"/>
          </w:tcPr>
          <w:p w14:paraId="213466D2" w14:textId="77777777" w:rsidR="00711444" w:rsidRPr="004D0DAA" w:rsidRDefault="00711444" w:rsidP="00AA2A4C">
            <w:pPr>
              <w:pStyle w:val="TAC"/>
              <w:rPr>
                <w:lang w:eastAsia="en-US"/>
              </w:rPr>
            </w:pPr>
            <w:r w:rsidRPr="004D0DAA">
              <w:rPr>
                <w:lang w:eastAsia="en-US"/>
              </w:rPr>
              <w:t>4</w:t>
            </w:r>
          </w:p>
        </w:tc>
        <w:tc>
          <w:tcPr>
            <w:tcW w:w="624" w:type="dxa"/>
          </w:tcPr>
          <w:p w14:paraId="725941DB" w14:textId="77777777" w:rsidR="00711444" w:rsidRPr="004D0DAA" w:rsidRDefault="00711444" w:rsidP="00AA2A4C">
            <w:pPr>
              <w:pStyle w:val="TAC"/>
              <w:rPr>
                <w:lang w:eastAsia="en-US"/>
              </w:rPr>
            </w:pPr>
            <w:r w:rsidRPr="004D0DAA">
              <w:rPr>
                <w:lang w:eastAsia="en-US"/>
              </w:rPr>
              <w:t>3</w:t>
            </w:r>
          </w:p>
        </w:tc>
        <w:tc>
          <w:tcPr>
            <w:tcW w:w="681" w:type="dxa"/>
          </w:tcPr>
          <w:p w14:paraId="654057E8" w14:textId="77777777" w:rsidR="00711444" w:rsidRPr="004D0DAA" w:rsidRDefault="00711444" w:rsidP="00AA2A4C">
            <w:pPr>
              <w:pStyle w:val="TAC"/>
              <w:rPr>
                <w:lang w:eastAsia="en-US"/>
              </w:rPr>
            </w:pPr>
            <w:r w:rsidRPr="004D0DAA">
              <w:rPr>
                <w:lang w:eastAsia="en-US"/>
              </w:rPr>
              <w:t>2</w:t>
            </w:r>
          </w:p>
        </w:tc>
        <w:tc>
          <w:tcPr>
            <w:tcW w:w="569" w:type="dxa"/>
          </w:tcPr>
          <w:p w14:paraId="7079481A" w14:textId="77777777" w:rsidR="00711444" w:rsidRPr="004D0DAA" w:rsidRDefault="00711444" w:rsidP="00AA2A4C">
            <w:pPr>
              <w:pStyle w:val="TAC"/>
              <w:rPr>
                <w:lang w:eastAsia="en-US"/>
              </w:rPr>
            </w:pPr>
            <w:r w:rsidRPr="004D0DAA">
              <w:rPr>
                <w:lang w:eastAsia="en-US"/>
              </w:rPr>
              <w:t>1</w:t>
            </w:r>
          </w:p>
        </w:tc>
        <w:tc>
          <w:tcPr>
            <w:tcW w:w="1985" w:type="dxa"/>
          </w:tcPr>
          <w:p w14:paraId="77D01211" w14:textId="77777777" w:rsidR="00711444" w:rsidRPr="004D0DAA" w:rsidRDefault="00711444" w:rsidP="00AA2A4C">
            <w:pPr>
              <w:pStyle w:val="TAC"/>
              <w:rPr>
                <w:lang w:eastAsia="en-US"/>
              </w:rPr>
            </w:pPr>
          </w:p>
        </w:tc>
      </w:tr>
      <w:tr w:rsidR="00711444" w:rsidRPr="004D0DAA" w14:paraId="3EE3274D" w14:textId="77777777" w:rsidTr="00AA2A4C">
        <w:tblPrEx>
          <w:tblCellMar>
            <w:top w:w="0" w:type="dxa"/>
            <w:bottom w:w="0" w:type="dxa"/>
          </w:tblCellMar>
        </w:tblPrEx>
        <w:trPr>
          <w:cantSplit/>
          <w:jc w:val="center"/>
        </w:trPr>
        <w:tc>
          <w:tcPr>
            <w:tcW w:w="1214" w:type="dxa"/>
            <w:gridSpan w:val="2"/>
            <w:tcBorders>
              <w:top w:val="single" w:sz="6" w:space="0" w:color="auto"/>
              <w:left w:val="single" w:sz="6" w:space="0" w:color="auto"/>
              <w:bottom w:val="single" w:sz="6" w:space="0" w:color="auto"/>
              <w:right w:val="single" w:sz="6" w:space="0" w:color="auto"/>
            </w:tcBorders>
          </w:tcPr>
          <w:p w14:paraId="595CF993" w14:textId="4FB4FBBD" w:rsidR="00711444" w:rsidRPr="004D0DAA" w:rsidRDefault="004E5EC3" w:rsidP="00AA2A4C">
            <w:pPr>
              <w:pStyle w:val="TAC"/>
              <w:rPr>
                <w:lang w:eastAsia="en-US"/>
              </w:rPr>
            </w:pPr>
            <w:r w:rsidRPr="004D0DAA">
              <w:rPr>
                <w:noProof/>
                <w:lang w:eastAsia="en-US"/>
              </w:rPr>
              <mc:AlternateContent>
                <mc:Choice Requires="wps">
                  <w:drawing>
                    <wp:anchor distT="0" distB="0" distL="114300" distR="114300" simplePos="0" relativeHeight="251657728" behindDoc="0" locked="0" layoutInCell="0" allowOverlap="1" wp14:anchorId="04E72118" wp14:editId="5A4CCF2E">
                      <wp:simplePos x="0" y="0"/>
                      <wp:positionH relativeFrom="column">
                        <wp:posOffset>2264410</wp:posOffset>
                      </wp:positionH>
                      <wp:positionV relativeFrom="paragraph">
                        <wp:posOffset>127000</wp:posOffset>
                      </wp:positionV>
                      <wp:extent cx="0" cy="151765"/>
                      <wp:effectExtent l="0" t="0" r="0" b="0"/>
                      <wp:wrapNone/>
                      <wp:docPr id="111385394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76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593034" id="Line 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3pt,10pt" to="178.3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" o:allowincell="f"/>
                  </w:pict>
                </mc:Fallback>
              </mc:AlternateContent>
            </w:r>
            <w:r w:rsidR="00711444" w:rsidRPr="004D0DAA">
              <w:rPr>
                <w:lang w:eastAsia="en-US"/>
              </w:rPr>
              <w:t>Payload Type</w:t>
            </w:r>
          </w:p>
        </w:tc>
        <w:tc>
          <w:tcPr>
            <w:tcW w:w="1192" w:type="dxa"/>
            <w:gridSpan w:val="2"/>
            <w:tcBorders>
              <w:top w:val="single" w:sz="6" w:space="0" w:color="auto"/>
              <w:left w:val="single" w:sz="6" w:space="0" w:color="auto"/>
              <w:bottom w:val="single" w:sz="6" w:space="0" w:color="auto"/>
              <w:right w:val="single" w:sz="6" w:space="0" w:color="auto"/>
            </w:tcBorders>
          </w:tcPr>
          <w:p w14:paraId="5EDF5F75"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bottom w:val="single" w:sz="6" w:space="0" w:color="auto"/>
            </w:tcBorders>
          </w:tcPr>
          <w:p w14:paraId="3A5DEA4A"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3FF1EA1B" w14:textId="77777777" w:rsidR="00711444" w:rsidRPr="004D0DAA" w:rsidRDefault="00711444" w:rsidP="00AA2A4C"/>
        </w:tc>
        <w:tc>
          <w:tcPr>
            <w:tcW w:w="681" w:type="dxa"/>
            <w:tcBorders>
              <w:top w:val="single" w:sz="6" w:space="0" w:color="auto"/>
              <w:bottom w:val="single" w:sz="6" w:space="0" w:color="auto"/>
            </w:tcBorders>
          </w:tcPr>
          <w:p w14:paraId="3EAEE3C0" w14:textId="77777777" w:rsidR="00711444" w:rsidRPr="004D0DAA" w:rsidRDefault="00711444" w:rsidP="00AA2A4C">
            <w:pPr>
              <w:pStyle w:val="TAC"/>
              <w:rPr>
                <w:lang w:eastAsia="en-US"/>
              </w:rPr>
            </w:pPr>
            <w:r w:rsidRPr="004D0DAA">
              <w:rPr>
                <w:lang w:eastAsia="en-US"/>
              </w:rPr>
              <w:t>USF</w:t>
            </w:r>
          </w:p>
        </w:tc>
        <w:tc>
          <w:tcPr>
            <w:tcW w:w="569" w:type="dxa"/>
            <w:tcBorders>
              <w:top w:val="single" w:sz="6" w:space="0" w:color="auto"/>
              <w:bottom w:val="single" w:sz="6" w:space="0" w:color="auto"/>
              <w:right w:val="single" w:sz="6" w:space="0" w:color="auto"/>
            </w:tcBorders>
          </w:tcPr>
          <w:p w14:paraId="566423B3" w14:textId="77777777" w:rsidR="00711444" w:rsidRPr="004D0DAA" w:rsidRDefault="00711444" w:rsidP="00AA2A4C"/>
        </w:tc>
        <w:tc>
          <w:tcPr>
            <w:tcW w:w="1985" w:type="dxa"/>
          </w:tcPr>
          <w:p w14:paraId="5ABA79E5" w14:textId="77777777" w:rsidR="00711444" w:rsidRPr="004D0DAA" w:rsidRDefault="00711444" w:rsidP="00AA2A4C">
            <w:pPr>
              <w:pStyle w:val="TAC"/>
              <w:rPr>
                <w:lang w:eastAsia="en-US"/>
              </w:rPr>
            </w:pPr>
            <w:r w:rsidRPr="004D0DAA">
              <w:rPr>
                <w:lang w:eastAsia="en-US"/>
              </w:rPr>
              <w:t>MAC header</w:t>
            </w:r>
          </w:p>
        </w:tc>
      </w:tr>
      <w:tr w:rsidR="00711444" w:rsidRPr="004D0DAA" w14:paraId="1D55D657" w14:textId="77777777" w:rsidTr="00AA2A4C">
        <w:tblPrEx>
          <w:tblCellMar>
            <w:top w:w="0" w:type="dxa"/>
            <w:bottom w:w="0" w:type="dxa"/>
          </w:tblCellMar>
        </w:tblPrEx>
        <w:trPr>
          <w:cantSplit/>
          <w:jc w:val="center"/>
        </w:trPr>
        <w:tc>
          <w:tcPr>
            <w:tcW w:w="1214" w:type="dxa"/>
            <w:gridSpan w:val="2"/>
            <w:tcBorders>
              <w:left w:val="single" w:sz="6" w:space="0" w:color="auto"/>
            </w:tcBorders>
          </w:tcPr>
          <w:p w14:paraId="2B677809" w14:textId="77777777" w:rsidR="00711444" w:rsidRPr="004D0DAA" w:rsidRDefault="00711444" w:rsidP="00AA2A4C">
            <w:pPr>
              <w:pStyle w:val="TAC"/>
              <w:rPr>
                <w:lang w:eastAsia="en-US"/>
              </w:rPr>
            </w:pPr>
            <w:r w:rsidRPr="004D0DAA">
              <w:rPr>
                <w:lang w:eastAsia="en-US"/>
              </w:rPr>
              <w:t>PR</w:t>
            </w:r>
          </w:p>
        </w:tc>
        <w:tc>
          <w:tcPr>
            <w:tcW w:w="3121" w:type="dxa"/>
            <w:gridSpan w:val="5"/>
            <w:tcBorders>
              <w:top w:val="single" w:sz="6" w:space="0" w:color="auto"/>
              <w:left w:val="single" w:sz="6" w:space="0" w:color="auto"/>
              <w:bottom w:val="single" w:sz="6" w:space="0" w:color="auto"/>
              <w:right w:val="single" w:sz="6" w:space="0" w:color="auto"/>
            </w:tcBorders>
          </w:tcPr>
          <w:p w14:paraId="3B74BA8D" w14:textId="77777777" w:rsidR="00711444" w:rsidRPr="004D0DAA" w:rsidRDefault="00711444" w:rsidP="00AA2A4C">
            <w:pPr>
              <w:pStyle w:val="TAC"/>
              <w:rPr>
                <w:lang w:eastAsia="en-US"/>
              </w:rPr>
            </w:pPr>
            <w:r w:rsidRPr="004D0DAA">
              <w:rPr>
                <w:lang w:eastAsia="en-US"/>
              </w:rPr>
              <w:t>TFI</w:t>
            </w:r>
          </w:p>
        </w:tc>
        <w:tc>
          <w:tcPr>
            <w:tcW w:w="569" w:type="dxa"/>
            <w:tcBorders>
              <w:top w:val="single" w:sz="6" w:space="0" w:color="auto"/>
              <w:right w:val="single" w:sz="6" w:space="0" w:color="auto"/>
            </w:tcBorders>
          </w:tcPr>
          <w:p w14:paraId="08257F6E" w14:textId="77777777" w:rsidR="00711444" w:rsidRPr="004D0DAA" w:rsidRDefault="00711444" w:rsidP="00AA2A4C">
            <w:pPr>
              <w:pStyle w:val="TAC"/>
              <w:rPr>
                <w:lang w:eastAsia="en-US"/>
              </w:rPr>
            </w:pPr>
            <w:r w:rsidRPr="004D0DAA">
              <w:rPr>
                <w:lang w:eastAsia="en-US"/>
              </w:rPr>
              <w:t>FBI</w:t>
            </w:r>
          </w:p>
        </w:tc>
        <w:tc>
          <w:tcPr>
            <w:tcW w:w="1985" w:type="dxa"/>
          </w:tcPr>
          <w:p w14:paraId="21964806" w14:textId="77777777" w:rsidR="00711444" w:rsidRPr="004D0DAA" w:rsidRDefault="00711444" w:rsidP="00AA2A4C">
            <w:pPr>
              <w:pStyle w:val="TAC"/>
              <w:rPr>
                <w:lang w:eastAsia="en-US"/>
              </w:rPr>
            </w:pPr>
            <w:r w:rsidRPr="004D0DAA">
              <w:rPr>
                <w:lang w:eastAsia="en-US"/>
              </w:rPr>
              <w:t>Octet 1</w:t>
            </w:r>
          </w:p>
        </w:tc>
      </w:tr>
      <w:tr w:rsidR="00711444" w:rsidRPr="004D0DAA" w14:paraId="26A92C52" w14:textId="77777777" w:rsidTr="00AA2A4C">
        <w:tblPrEx>
          <w:tblCellMar>
            <w:top w:w="0" w:type="dxa"/>
            <w:bottom w:w="0" w:type="dxa"/>
          </w:tblCellMar>
        </w:tblPrEx>
        <w:trPr>
          <w:cantSplit/>
          <w:jc w:val="center"/>
        </w:trPr>
        <w:tc>
          <w:tcPr>
            <w:tcW w:w="534" w:type="dxa"/>
            <w:tcBorders>
              <w:top w:val="single" w:sz="6" w:space="0" w:color="auto"/>
              <w:left w:val="single" w:sz="6" w:space="0" w:color="auto"/>
            </w:tcBorders>
          </w:tcPr>
          <w:p w14:paraId="010C7803" w14:textId="77777777" w:rsidR="00711444" w:rsidRPr="004D0DAA" w:rsidRDefault="00711444" w:rsidP="00AA2A4C"/>
        </w:tc>
        <w:tc>
          <w:tcPr>
            <w:tcW w:w="680" w:type="dxa"/>
            <w:tcBorders>
              <w:top w:val="single" w:sz="6" w:space="0" w:color="auto"/>
            </w:tcBorders>
          </w:tcPr>
          <w:p w14:paraId="5664CB9A" w14:textId="77777777" w:rsidR="00711444" w:rsidRPr="004D0DAA" w:rsidRDefault="00711444" w:rsidP="00AA2A4C"/>
        </w:tc>
        <w:tc>
          <w:tcPr>
            <w:tcW w:w="568" w:type="dxa"/>
            <w:tcBorders>
              <w:top w:val="single" w:sz="6" w:space="0" w:color="auto"/>
            </w:tcBorders>
          </w:tcPr>
          <w:p w14:paraId="73E3BBD8" w14:textId="77777777" w:rsidR="00711444" w:rsidRPr="004D0DAA" w:rsidRDefault="00711444" w:rsidP="00AA2A4C"/>
        </w:tc>
        <w:tc>
          <w:tcPr>
            <w:tcW w:w="624" w:type="dxa"/>
            <w:tcBorders>
              <w:top w:val="single" w:sz="6" w:space="0" w:color="auto"/>
            </w:tcBorders>
          </w:tcPr>
          <w:p w14:paraId="02AA3E2A"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581F8BED" w14:textId="77777777" w:rsidR="00711444" w:rsidRPr="004D0DAA" w:rsidRDefault="00711444" w:rsidP="00AA2A4C"/>
        </w:tc>
        <w:tc>
          <w:tcPr>
            <w:tcW w:w="624" w:type="dxa"/>
            <w:tcBorders>
              <w:top w:val="single" w:sz="6" w:space="0" w:color="auto"/>
            </w:tcBorders>
          </w:tcPr>
          <w:p w14:paraId="4D47E58E" w14:textId="77777777" w:rsidR="00711444" w:rsidRPr="004D0DAA" w:rsidRDefault="00711444" w:rsidP="00AA2A4C"/>
        </w:tc>
        <w:tc>
          <w:tcPr>
            <w:tcW w:w="681" w:type="dxa"/>
            <w:tcBorders>
              <w:top w:val="single" w:sz="6" w:space="0" w:color="auto"/>
              <w:bottom w:val="single" w:sz="6" w:space="0" w:color="auto"/>
              <w:right w:val="single" w:sz="6" w:space="0" w:color="auto"/>
            </w:tcBorders>
          </w:tcPr>
          <w:p w14:paraId="5A3E5CFD" w14:textId="77777777" w:rsidR="00711444" w:rsidRPr="004D0DAA" w:rsidRDefault="00711444" w:rsidP="00AA2A4C"/>
        </w:tc>
        <w:tc>
          <w:tcPr>
            <w:tcW w:w="569" w:type="dxa"/>
            <w:tcBorders>
              <w:top w:val="single" w:sz="6" w:space="0" w:color="auto"/>
              <w:bottom w:val="single" w:sz="6" w:space="0" w:color="auto"/>
              <w:right w:val="single" w:sz="6" w:space="0" w:color="auto"/>
            </w:tcBorders>
          </w:tcPr>
          <w:p w14:paraId="25823F09" w14:textId="77777777" w:rsidR="00711444" w:rsidRPr="004D0DAA" w:rsidRDefault="00711444" w:rsidP="00AA2A4C">
            <w:pPr>
              <w:pStyle w:val="TAC"/>
              <w:rPr>
                <w:lang w:eastAsia="en-US"/>
              </w:rPr>
            </w:pPr>
            <w:r w:rsidRPr="004D0DAA">
              <w:rPr>
                <w:lang w:eastAsia="en-US"/>
              </w:rPr>
              <w:t>E</w:t>
            </w:r>
          </w:p>
        </w:tc>
        <w:tc>
          <w:tcPr>
            <w:tcW w:w="1985" w:type="dxa"/>
          </w:tcPr>
          <w:p w14:paraId="10B9100B" w14:textId="77777777" w:rsidR="00711444" w:rsidRPr="004D0DAA" w:rsidRDefault="00711444" w:rsidP="00AA2A4C">
            <w:pPr>
              <w:pStyle w:val="TAC"/>
              <w:rPr>
                <w:lang w:eastAsia="en-US"/>
              </w:rPr>
            </w:pPr>
            <w:r w:rsidRPr="004D0DAA">
              <w:rPr>
                <w:lang w:eastAsia="en-US"/>
              </w:rPr>
              <w:t>Octet 2</w:t>
            </w:r>
          </w:p>
        </w:tc>
      </w:tr>
      <w:tr w:rsidR="00711444" w:rsidRPr="004D0DAA" w14:paraId="0AD82479" w14:textId="77777777" w:rsidTr="00AA2A4C">
        <w:tblPrEx>
          <w:tblCellMar>
            <w:top w:w="0" w:type="dxa"/>
            <w:bottom w:w="0" w:type="dxa"/>
          </w:tblCellMar>
        </w:tblPrEx>
        <w:trPr>
          <w:cantSplit/>
          <w:jc w:val="center"/>
        </w:trPr>
        <w:tc>
          <w:tcPr>
            <w:tcW w:w="3654" w:type="dxa"/>
            <w:gridSpan w:val="6"/>
            <w:tcBorders>
              <w:top w:val="single" w:sz="6" w:space="0" w:color="auto"/>
              <w:left w:val="single" w:sz="6" w:space="0" w:color="auto"/>
            </w:tcBorders>
          </w:tcPr>
          <w:p w14:paraId="431613B7" w14:textId="77777777" w:rsidR="00711444" w:rsidRPr="004D0DAA" w:rsidRDefault="00711444" w:rsidP="00AA2A4C">
            <w:pPr>
              <w:pStyle w:val="TAC"/>
              <w:rPr>
                <w:lang w:eastAsia="en-US"/>
              </w:rPr>
            </w:pPr>
            <w:r w:rsidRPr="004D0DAA">
              <w:rPr>
                <w:lang w:eastAsia="en-US"/>
              </w:rPr>
              <w:t>Length indicator</w:t>
            </w:r>
          </w:p>
        </w:tc>
        <w:tc>
          <w:tcPr>
            <w:tcW w:w="681" w:type="dxa"/>
            <w:tcBorders>
              <w:top w:val="single" w:sz="6" w:space="0" w:color="auto"/>
              <w:left w:val="single" w:sz="6" w:space="0" w:color="auto"/>
              <w:right w:val="single" w:sz="6" w:space="0" w:color="auto"/>
            </w:tcBorders>
          </w:tcPr>
          <w:p w14:paraId="40FF29B9" w14:textId="77777777" w:rsidR="00711444" w:rsidRPr="004D0DAA" w:rsidRDefault="00711444" w:rsidP="00AA2A4C">
            <w:pPr>
              <w:pStyle w:val="TAC"/>
              <w:rPr>
                <w:lang w:eastAsia="en-US"/>
              </w:rPr>
            </w:pPr>
            <w:r w:rsidRPr="004D0DAA">
              <w:rPr>
                <w:lang w:eastAsia="en-US"/>
              </w:rPr>
              <w:t>M</w:t>
            </w:r>
          </w:p>
        </w:tc>
        <w:tc>
          <w:tcPr>
            <w:tcW w:w="569" w:type="dxa"/>
            <w:tcBorders>
              <w:top w:val="single" w:sz="6" w:space="0" w:color="auto"/>
              <w:left w:val="single" w:sz="6" w:space="0" w:color="auto"/>
              <w:right w:val="single" w:sz="6" w:space="0" w:color="auto"/>
            </w:tcBorders>
          </w:tcPr>
          <w:p w14:paraId="17F07AAC"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7F9ED180" w14:textId="77777777" w:rsidR="00711444" w:rsidRPr="004D0DAA" w:rsidRDefault="00711444" w:rsidP="00AA2A4C">
            <w:pPr>
              <w:pStyle w:val="TAC"/>
              <w:rPr>
                <w:lang w:eastAsia="en-US"/>
              </w:rPr>
            </w:pPr>
            <w:r w:rsidRPr="004D0DAA">
              <w:rPr>
                <w:lang w:eastAsia="en-US"/>
              </w:rPr>
              <w:t>Octet 3 (optional)</w:t>
            </w:r>
          </w:p>
        </w:tc>
      </w:tr>
      <w:tr w:rsidR="00711444" w:rsidRPr="004D0DAA" w14:paraId="3ADD3E92" w14:textId="77777777" w:rsidTr="00AA2A4C">
        <w:tblPrEx>
          <w:tblCellMar>
            <w:top w:w="0" w:type="dxa"/>
            <w:bottom w:w="0" w:type="dxa"/>
          </w:tblCellMar>
        </w:tblPrEx>
        <w:trPr>
          <w:cantSplit/>
          <w:jc w:val="center"/>
        </w:trPr>
        <w:tc>
          <w:tcPr>
            <w:tcW w:w="4904" w:type="dxa"/>
            <w:gridSpan w:val="8"/>
            <w:tcBorders>
              <w:top w:val="single" w:sz="6" w:space="0" w:color="auto"/>
              <w:left w:val="single" w:sz="6" w:space="0" w:color="auto"/>
              <w:right w:val="single" w:sz="6" w:space="0" w:color="auto"/>
            </w:tcBorders>
          </w:tcPr>
          <w:p w14:paraId="20FBEAEF" w14:textId="77777777" w:rsidR="00711444" w:rsidRPr="004D0DAA" w:rsidRDefault="00711444" w:rsidP="00AA2A4C">
            <w:pPr>
              <w:pStyle w:val="TAC"/>
              <w:rPr>
                <w:lang w:eastAsia="en-US"/>
              </w:rPr>
            </w:pPr>
            <w:r w:rsidRPr="004D0DAA">
              <w:rPr>
                <w:lang w:eastAsia="en-US"/>
              </w:rPr>
              <w:t>.</w:t>
            </w:r>
            <w:r w:rsidRPr="004D0DAA">
              <w:rPr>
                <w:lang w:eastAsia="en-US"/>
              </w:rPr>
              <w:br/>
              <w:t>.</w:t>
            </w:r>
            <w:r w:rsidRPr="004D0DAA">
              <w:rPr>
                <w:lang w:eastAsia="en-US"/>
              </w:rPr>
              <w:br/>
              <w:t>.</w:t>
            </w:r>
          </w:p>
        </w:tc>
        <w:tc>
          <w:tcPr>
            <w:tcW w:w="1985" w:type="dxa"/>
          </w:tcPr>
          <w:p w14:paraId="7B709668" w14:textId="77777777" w:rsidR="00711444" w:rsidRPr="004D0DAA" w:rsidRDefault="00711444" w:rsidP="00AA2A4C">
            <w:pPr>
              <w:pStyle w:val="TAC"/>
              <w:rPr>
                <w:lang w:eastAsia="en-US"/>
              </w:rPr>
            </w:pPr>
            <w:r w:rsidRPr="004D0DAA">
              <w:rPr>
                <w:lang w:eastAsia="en-US"/>
              </w:rPr>
              <w:t>.</w:t>
            </w:r>
          </w:p>
          <w:p w14:paraId="29470DD7" w14:textId="77777777" w:rsidR="00711444" w:rsidRPr="004D0DAA" w:rsidRDefault="00711444" w:rsidP="00AA2A4C">
            <w:pPr>
              <w:pStyle w:val="TAC"/>
              <w:rPr>
                <w:lang w:eastAsia="en-US"/>
              </w:rPr>
            </w:pPr>
            <w:r w:rsidRPr="004D0DAA">
              <w:rPr>
                <w:lang w:eastAsia="en-US"/>
              </w:rPr>
              <w:t>.</w:t>
            </w:r>
          </w:p>
          <w:p w14:paraId="25EAC6E6" w14:textId="77777777" w:rsidR="00711444" w:rsidRPr="004D0DAA" w:rsidRDefault="00711444" w:rsidP="00AA2A4C">
            <w:pPr>
              <w:pStyle w:val="TAC"/>
              <w:rPr>
                <w:lang w:eastAsia="en-US"/>
              </w:rPr>
            </w:pPr>
            <w:r w:rsidRPr="004D0DAA">
              <w:rPr>
                <w:lang w:eastAsia="en-US"/>
              </w:rPr>
              <w:t>.</w:t>
            </w:r>
          </w:p>
        </w:tc>
      </w:tr>
      <w:tr w:rsidR="00711444" w:rsidRPr="004D0DAA" w14:paraId="7601D168" w14:textId="77777777" w:rsidTr="00AA2A4C">
        <w:tblPrEx>
          <w:tblCellMar>
            <w:top w:w="0" w:type="dxa"/>
            <w:bottom w:w="0" w:type="dxa"/>
          </w:tblCellMar>
        </w:tblPrEx>
        <w:trPr>
          <w:cantSplit/>
          <w:jc w:val="center"/>
        </w:trPr>
        <w:tc>
          <w:tcPr>
            <w:tcW w:w="3654" w:type="dxa"/>
            <w:gridSpan w:val="6"/>
            <w:tcBorders>
              <w:top w:val="single" w:sz="6" w:space="0" w:color="auto"/>
              <w:left w:val="single" w:sz="6" w:space="0" w:color="auto"/>
              <w:bottom w:val="single" w:sz="6" w:space="0" w:color="auto"/>
            </w:tcBorders>
          </w:tcPr>
          <w:p w14:paraId="54B638C9" w14:textId="77777777" w:rsidR="00711444" w:rsidRPr="004D0DAA" w:rsidRDefault="00711444" w:rsidP="00AA2A4C">
            <w:pPr>
              <w:pStyle w:val="TAC"/>
              <w:rPr>
                <w:lang w:eastAsia="en-US"/>
              </w:rPr>
            </w:pPr>
            <w:r w:rsidRPr="004D0DAA">
              <w:rPr>
                <w:lang w:eastAsia="en-US"/>
              </w:rPr>
              <w:t>Length indicator</w:t>
            </w:r>
          </w:p>
        </w:tc>
        <w:tc>
          <w:tcPr>
            <w:tcW w:w="681" w:type="dxa"/>
            <w:tcBorders>
              <w:top w:val="single" w:sz="6" w:space="0" w:color="auto"/>
              <w:left w:val="single" w:sz="6" w:space="0" w:color="auto"/>
              <w:bottom w:val="single" w:sz="6" w:space="0" w:color="auto"/>
              <w:right w:val="single" w:sz="6" w:space="0" w:color="auto"/>
            </w:tcBorders>
          </w:tcPr>
          <w:p w14:paraId="6DAD5760" w14:textId="77777777" w:rsidR="00711444" w:rsidRPr="004D0DAA" w:rsidRDefault="00711444" w:rsidP="00AA2A4C">
            <w:pPr>
              <w:pStyle w:val="TAC"/>
              <w:rPr>
                <w:lang w:eastAsia="en-US"/>
              </w:rPr>
            </w:pPr>
            <w:r w:rsidRPr="004D0DAA">
              <w:rPr>
                <w:lang w:eastAsia="en-US"/>
              </w:rPr>
              <w:t>M</w:t>
            </w:r>
          </w:p>
        </w:tc>
        <w:tc>
          <w:tcPr>
            <w:tcW w:w="569" w:type="dxa"/>
            <w:tcBorders>
              <w:top w:val="single" w:sz="6" w:space="0" w:color="auto"/>
              <w:left w:val="single" w:sz="6" w:space="0" w:color="auto"/>
              <w:bottom w:val="single" w:sz="6" w:space="0" w:color="auto"/>
              <w:right w:val="single" w:sz="6" w:space="0" w:color="auto"/>
            </w:tcBorders>
          </w:tcPr>
          <w:p w14:paraId="2DFDEE58"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01AD722D" w14:textId="77777777" w:rsidR="00711444" w:rsidRPr="004D0DAA" w:rsidRDefault="00711444" w:rsidP="00AA2A4C">
            <w:pPr>
              <w:pStyle w:val="TAC"/>
              <w:rPr>
                <w:lang w:eastAsia="en-US"/>
              </w:rPr>
            </w:pPr>
            <w:r w:rsidRPr="004D0DAA">
              <w:rPr>
                <w:lang w:eastAsia="en-US"/>
              </w:rPr>
              <w:t>Octet M (optional)</w:t>
            </w:r>
          </w:p>
        </w:tc>
      </w:tr>
      <w:tr w:rsidR="00711444" w:rsidRPr="004D0DAA" w14:paraId="4FDDFD75" w14:textId="77777777" w:rsidTr="00AA2A4C">
        <w:tblPrEx>
          <w:tblCellMar>
            <w:top w:w="0" w:type="dxa"/>
            <w:bottom w:w="0" w:type="dxa"/>
          </w:tblCellMar>
        </w:tblPrEx>
        <w:trPr>
          <w:cantSplit/>
          <w:jc w:val="center"/>
        </w:trPr>
        <w:tc>
          <w:tcPr>
            <w:tcW w:w="534" w:type="dxa"/>
            <w:tcBorders>
              <w:left w:val="single" w:sz="6" w:space="0" w:color="auto"/>
            </w:tcBorders>
          </w:tcPr>
          <w:p w14:paraId="3ECB714E" w14:textId="77777777" w:rsidR="00711444" w:rsidRPr="004D0DAA" w:rsidRDefault="00711444" w:rsidP="00AA2A4C"/>
        </w:tc>
        <w:tc>
          <w:tcPr>
            <w:tcW w:w="680" w:type="dxa"/>
          </w:tcPr>
          <w:p w14:paraId="1DC684BF" w14:textId="77777777" w:rsidR="00711444" w:rsidRPr="004D0DAA" w:rsidRDefault="00711444" w:rsidP="00AA2A4C"/>
        </w:tc>
        <w:tc>
          <w:tcPr>
            <w:tcW w:w="568" w:type="dxa"/>
          </w:tcPr>
          <w:p w14:paraId="63DF4AD5" w14:textId="77777777" w:rsidR="00711444" w:rsidRPr="004D0DAA" w:rsidRDefault="00711444" w:rsidP="00AA2A4C"/>
        </w:tc>
        <w:tc>
          <w:tcPr>
            <w:tcW w:w="624" w:type="dxa"/>
          </w:tcPr>
          <w:p w14:paraId="0846B71B" w14:textId="77777777" w:rsidR="00711444" w:rsidRPr="004D0DAA" w:rsidRDefault="00711444" w:rsidP="00AA2A4C"/>
        </w:tc>
        <w:tc>
          <w:tcPr>
            <w:tcW w:w="624" w:type="dxa"/>
          </w:tcPr>
          <w:p w14:paraId="1BEB459A" w14:textId="77777777" w:rsidR="00711444" w:rsidRPr="004D0DAA" w:rsidRDefault="00711444" w:rsidP="00AA2A4C"/>
        </w:tc>
        <w:tc>
          <w:tcPr>
            <w:tcW w:w="624" w:type="dxa"/>
          </w:tcPr>
          <w:p w14:paraId="2BD9E0AA" w14:textId="77777777" w:rsidR="00711444" w:rsidRPr="004D0DAA" w:rsidRDefault="00711444" w:rsidP="00AA2A4C"/>
        </w:tc>
        <w:tc>
          <w:tcPr>
            <w:tcW w:w="681" w:type="dxa"/>
          </w:tcPr>
          <w:p w14:paraId="608CAAAE" w14:textId="77777777" w:rsidR="00711444" w:rsidRPr="004D0DAA" w:rsidRDefault="00711444" w:rsidP="00AA2A4C"/>
        </w:tc>
        <w:tc>
          <w:tcPr>
            <w:tcW w:w="569" w:type="dxa"/>
            <w:tcBorders>
              <w:right w:val="single" w:sz="6" w:space="0" w:color="auto"/>
            </w:tcBorders>
          </w:tcPr>
          <w:p w14:paraId="0F7CB5A6" w14:textId="77777777" w:rsidR="00711444" w:rsidRPr="004D0DAA" w:rsidRDefault="00711444" w:rsidP="00AA2A4C"/>
        </w:tc>
        <w:tc>
          <w:tcPr>
            <w:tcW w:w="1985" w:type="dxa"/>
          </w:tcPr>
          <w:p w14:paraId="3E514C04" w14:textId="77777777" w:rsidR="00711444" w:rsidRPr="004D0DAA" w:rsidRDefault="00711444" w:rsidP="00AA2A4C">
            <w:pPr>
              <w:pStyle w:val="TAC"/>
              <w:rPr>
                <w:lang w:eastAsia="en-US"/>
              </w:rPr>
            </w:pPr>
            <w:r w:rsidRPr="004D0DAA">
              <w:rPr>
                <w:lang w:eastAsia="en-US"/>
              </w:rPr>
              <w:t>Octet M+1</w:t>
            </w:r>
          </w:p>
        </w:tc>
      </w:tr>
      <w:tr w:rsidR="00711444" w:rsidRPr="004D0DAA" w14:paraId="0212FDC9" w14:textId="77777777" w:rsidTr="00AA2A4C">
        <w:tblPrEx>
          <w:tblCellMar>
            <w:top w:w="0" w:type="dxa"/>
            <w:bottom w:w="0" w:type="dxa"/>
          </w:tblCellMar>
        </w:tblPrEx>
        <w:trPr>
          <w:cantSplit/>
          <w:jc w:val="center"/>
        </w:trPr>
        <w:tc>
          <w:tcPr>
            <w:tcW w:w="4904" w:type="dxa"/>
            <w:gridSpan w:val="8"/>
            <w:tcBorders>
              <w:left w:val="single" w:sz="6" w:space="0" w:color="auto"/>
              <w:right w:val="single" w:sz="6" w:space="0" w:color="auto"/>
            </w:tcBorders>
          </w:tcPr>
          <w:p w14:paraId="125160B3" w14:textId="77777777" w:rsidR="00711444" w:rsidRPr="004D0DAA" w:rsidRDefault="00711444" w:rsidP="00AA2A4C">
            <w:pPr>
              <w:pStyle w:val="TAC"/>
              <w:rPr>
                <w:lang w:eastAsia="en-US"/>
              </w:rPr>
            </w:pPr>
            <w:r w:rsidRPr="004D0DAA">
              <w:rPr>
                <w:lang w:eastAsia="en-US"/>
              </w:rPr>
              <w:br/>
              <w:t>RLC data</w:t>
            </w:r>
          </w:p>
        </w:tc>
        <w:tc>
          <w:tcPr>
            <w:tcW w:w="1985" w:type="dxa"/>
          </w:tcPr>
          <w:p w14:paraId="56F77BC8" w14:textId="77777777" w:rsidR="00711444" w:rsidRPr="004D0DAA" w:rsidRDefault="00711444" w:rsidP="00AA2A4C">
            <w:pPr>
              <w:pStyle w:val="TAC"/>
              <w:rPr>
                <w:lang w:eastAsia="en-US"/>
              </w:rPr>
            </w:pPr>
            <w:r w:rsidRPr="004D0DAA">
              <w:rPr>
                <w:lang w:eastAsia="en-US"/>
              </w:rPr>
              <w:t>.</w:t>
            </w:r>
          </w:p>
          <w:p w14:paraId="6F548FCE" w14:textId="77777777" w:rsidR="00711444" w:rsidRPr="004D0DAA" w:rsidRDefault="00711444" w:rsidP="00AA2A4C">
            <w:pPr>
              <w:pStyle w:val="TAC"/>
              <w:rPr>
                <w:lang w:eastAsia="en-US"/>
              </w:rPr>
            </w:pPr>
            <w:r w:rsidRPr="004D0DAA">
              <w:rPr>
                <w:lang w:eastAsia="en-US"/>
              </w:rPr>
              <w:t>.</w:t>
            </w:r>
          </w:p>
          <w:p w14:paraId="1A1DBE1C" w14:textId="77777777" w:rsidR="00711444" w:rsidRPr="004D0DAA" w:rsidRDefault="00711444" w:rsidP="00AA2A4C">
            <w:pPr>
              <w:pStyle w:val="TAC"/>
              <w:rPr>
                <w:lang w:eastAsia="en-US"/>
              </w:rPr>
            </w:pPr>
            <w:r w:rsidRPr="004D0DAA">
              <w:rPr>
                <w:lang w:eastAsia="en-US"/>
              </w:rPr>
              <w:t>.</w:t>
            </w:r>
          </w:p>
        </w:tc>
      </w:tr>
      <w:tr w:rsidR="00711444" w:rsidRPr="004D0DAA" w14:paraId="52FB06CD" w14:textId="77777777" w:rsidTr="00AA2A4C">
        <w:tblPrEx>
          <w:tblCellMar>
            <w:top w:w="0" w:type="dxa"/>
            <w:bottom w:w="0" w:type="dxa"/>
          </w:tblCellMar>
        </w:tblPrEx>
        <w:trPr>
          <w:cantSplit/>
          <w:jc w:val="center"/>
        </w:trPr>
        <w:tc>
          <w:tcPr>
            <w:tcW w:w="534" w:type="dxa"/>
            <w:tcBorders>
              <w:left w:val="single" w:sz="6" w:space="0" w:color="auto"/>
            </w:tcBorders>
          </w:tcPr>
          <w:p w14:paraId="2D9EB1AE" w14:textId="77777777" w:rsidR="00711444" w:rsidRPr="004D0DAA" w:rsidRDefault="00711444" w:rsidP="00AA2A4C"/>
        </w:tc>
        <w:tc>
          <w:tcPr>
            <w:tcW w:w="680" w:type="dxa"/>
          </w:tcPr>
          <w:p w14:paraId="3C1339C1" w14:textId="77777777" w:rsidR="00711444" w:rsidRPr="004D0DAA" w:rsidRDefault="00711444" w:rsidP="00AA2A4C"/>
        </w:tc>
        <w:tc>
          <w:tcPr>
            <w:tcW w:w="568" w:type="dxa"/>
          </w:tcPr>
          <w:p w14:paraId="489B6DEA" w14:textId="77777777" w:rsidR="00711444" w:rsidRPr="004D0DAA" w:rsidRDefault="00711444" w:rsidP="00AA2A4C"/>
        </w:tc>
        <w:tc>
          <w:tcPr>
            <w:tcW w:w="624" w:type="dxa"/>
          </w:tcPr>
          <w:p w14:paraId="0DD48AD2" w14:textId="77777777" w:rsidR="00711444" w:rsidRPr="004D0DAA" w:rsidRDefault="00711444" w:rsidP="00AA2A4C"/>
        </w:tc>
        <w:tc>
          <w:tcPr>
            <w:tcW w:w="624" w:type="dxa"/>
          </w:tcPr>
          <w:p w14:paraId="2DDE417A" w14:textId="77777777" w:rsidR="00711444" w:rsidRPr="004D0DAA" w:rsidRDefault="00711444" w:rsidP="00AA2A4C"/>
        </w:tc>
        <w:tc>
          <w:tcPr>
            <w:tcW w:w="624" w:type="dxa"/>
          </w:tcPr>
          <w:p w14:paraId="4282BF16" w14:textId="77777777" w:rsidR="00711444" w:rsidRPr="004D0DAA" w:rsidRDefault="00711444" w:rsidP="00AA2A4C"/>
        </w:tc>
        <w:tc>
          <w:tcPr>
            <w:tcW w:w="681" w:type="dxa"/>
          </w:tcPr>
          <w:p w14:paraId="2CE979B2" w14:textId="77777777" w:rsidR="00711444" w:rsidRPr="004D0DAA" w:rsidRDefault="00711444" w:rsidP="00AA2A4C"/>
        </w:tc>
        <w:tc>
          <w:tcPr>
            <w:tcW w:w="569" w:type="dxa"/>
            <w:tcBorders>
              <w:right w:val="single" w:sz="6" w:space="0" w:color="auto"/>
            </w:tcBorders>
          </w:tcPr>
          <w:p w14:paraId="13EE7F2D" w14:textId="77777777" w:rsidR="00711444" w:rsidRPr="004D0DAA" w:rsidRDefault="00711444" w:rsidP="00AA2A4C"/>
        </w:tc>
        <w:tc>
          <w:tcPr>
            <w:tcW w:w="1985" w:type="dxa"/>
          </w:tcPr>
          <w:p w14:paraId="3F91AF33" w14:textId="77777777" w:rsidR="00711444" w:rsidRPr="004D0DAA" w:rsidRDefault="00711444" w:rsidP="00AA2A4C">
            <w:pPr>
              <w:pStyle w:val="TAC"/>
              <w:rPr>
                <w:lang w:eastAsia="en-US"/>
              </w:rPr>
            </w:pPr>
            <w:r w:rsidRPr="004D0DAA">
              <w:rPr>
                <w:lang w:eastAsia="en-US"/>
              </w:rPr>
              <w:t>Octet N2-1</w:t>
            </w:r>
          </w:p>
        </w:tc>
      </w:tr>
      <w:tr w:rsidR="00711444" w:rsidRPr="004D0DAA" w14:paraId="2E66629D" w14:textId="77777777" w:rsidTr="00AA2A4C">
        <w:tblPrEx>
          <w:tblCellMar>
            <w:top w:w="0" w:type="dxa"/>
            <w:bottom w:w="0" w:type="dxa"/>
          </w:tblCellMar>
        </w:tblPrEx>
        <w:trPr>
          <w:cantSplit/>
          <w:jc w:val="center"/>
        </w:trPr>
        <w:tc>
          <w:tcPr>
            <w:tcW w:w="534" w:type="dxa"/>
            <w:tcBorders>
              <w:left w:val="single" w:sz="6" w:space="0" w:color="auto"/>
              <w:bottom w:val="single" w:sz="6" w:space="0" w:color="auto"/>
            </w:tcBorders>
          </w:tcPr>
          <w:p w14:paraId="0340C70F" w14:textId="77777777" w:rsidR="00711444" w:rsidRPr="004D0DAA" w:rsidRDefault="00711444" w:rsidP="00AA2A4C"/>
        </w:tc>
        <w:tc>
          <w:tcPr>
            <w:tcW w:w="680" w:type="dxa"/>
          </w:tcPr>
          <w:p w14:paraId="67214318" w14:textId="77777777" w:rsidR="00711444" w:rsidRPr="004D0DAA" w:rsidRDefault="00711444" w:rsidP="00AA2A4C"/>
        </w:tc>
        <w:tc>
          <w:tcPr>
            <w:tcW w:w="568" w:type="dxa"/>
          </w:tcPr>
          <w:p w14:paraId="0217D5DA" w14:textId="77777777" w:rsidR="00711444" w:rsidRPr="004D0DAA" w:rsidRDefault="00711444" w:rsidP="00AA2A4C"/>
        </w:tc>
        <w:tc>
          <w:tcPr>
            <w:tcW w:w="624" w:type="dxa"/>
          </w:tcPr>
          <w:p w14:paraId="6773C66A" w14:textId="77777777" w:rsidR="00711444" w:rsidRPr="004D0DAA" w:rsidRDefault="00711444" w:rsidP="00AA2A4C"/>
        </w:tc>
        <w:tc>
          <w:tcPr>
            <w:tcW w:w="624" w:type="dxa"/>
          </w:tcPr>
          <w:p w14:paraId="5F8FAF85" w14:textId="77777777" w:rsidR="00711444" w:rsidRPr="004D0DAA" w:rsidRDefault="00711444" w:rsidP="00AA2A4C"/>
        </w:tc>
        <w:tc>
          <w:tcPr>
            <w:tcW w:w="624" w:type="dxa"/>
          </w:tcPr>
          <w:p w14:paraId="264D5816" w14:textId="77777777" w:rsidR="00711444" w:rsidRPr="004D0DAA" w:rsidRDefault="00711444" w:rsidP="00AA2A4C"/>
        </w:tc>
        <w:tc>
          <w:tcPr>
            <w:tcW w:w="681" w:type="dxa"/>
          </w:tcPr>
          <w:p w14:paraId="00390482" w14:textId="77777777" w:rsidR="00711444" w:rsidRPr="004D0DAA" w:rsidRDefault="00711444" w:rsidP="00AA2A4C"/>
        </w:tc>
        <w:tc>
          <w:tcPr>
            <w:tcW w:w="569" w:type="dxa"/>
            <w:tcBorders>
              <w:right w:val="single" w:sz="6" w:space="0" w:color="auto"/>
            </w:tcBorders>
          </w:tcPr>
          <w:p w14:paraId="266EB1C4" w14:textId="77777777" w:rsidR="00711444" w:rsidRPr="004D0DAA" w:rsidRDefault="00711444" w:rsidP="00AA2A4C"/>
        </w:tc>
        <w:tc>
          <w:tcPr>
            <w:tcW w:w="1985" w:type="dxa"/>
          </w:tcPr>
          <w:p w14:paraId="7FA66B11" w14:textId="77777777" w:rsidR="00711444" w:rsidRPr="004D0DAA" w:rsidRDefault="00711444" w:rsidP="00AA2A4C">
            <w:pPr>
              <w:pStyle w:val="TAC"/>
              <w:rPr>
                <w:lang w:eastAsia="en-US"/>
              </w:rPr>
            </w:pPr>
            <w:r w:rsidRPr="004D0DAA">
              <w:rPr>
                <w:lang w:eastAsia="en-US"/>
              </w:rPr>
              <w:t>Octet N2</w:t>
            </w:r>
          </w:p>
        </w:tc>
      </w:tr>
      <w:tr w:rsidR="00711444" w:rsidRPr="004D0DAA" w14:paraId="7A78F5EA" w14:textId="77777777" w:rsidTr="00AA2A4C">
        <w:tblPrEx>
          <w:tblCellMar>
            <w:top w:w="0" w:type="dxa"/>
            <w:bottom w:w="0" w:type="dxa"/>
          </w:tblCellMar>
        </w:tblPrEx>
        <w:trPr>
          <w:cantSplit/>
          <w:jc w:val="center"/>
        </w:trPr>
        <w:tc>
          <w:tcPr>
            <w:tcW w:w="534" w:type="dxa"/>
            <w:tcBorders>
              <w:top w:val="single" w:sz="6" w:space="0" w:color="auto"/>
            </w:tcBorders>
          </w:tcPr>
          <w:p w14:paraId="28E1E931" w14:textId="77777777" w:rsidR="00711444" w:rsidRPr="004D0DAA" w:rsidRDefault="00711444" w:rsidP="00AA2A4C"/>
        </w:tc>
        <w:tc>
          <w:tcPr>
            <w:tcW w:w="680" w:type="dxa"/>
            <w:tcBorders>
              <w:top w:val="single" w:sz="6" w:space="0" w:color="auto"/>
            </w:tcBorders>
          </w:tcPr>
          <w:p w14:paraId="7DBBD390" w14:textId="77777777" w:rsidR="00711444" w:rsidRPr="004D0DAA" w:rsidRDefault="00711444" w:rsidP="00AA2A4C"/>
        </w:tc>
        <w:tc>
          <w:tcPr>
            <w:tcW w:w="1192" w:type="dxa"/>
            <w:gridSpan w:val="2"/>
            <w:tcBorders>
              <w:top w:val="single" w:sz="6" w:space="0" w:color="auto"/>
            </w:tcBorders>
          </w:tcPr>
          <w:p w14:paraId="29B0488E" w14:textId="77777777" w:rsidR="00711444" w:rsidRPr="004D0DAA" w:rsidRDefault="00711444" w:rsidP="00AA2A4C">
            <w:pPr>
              <w:pStyle w:val="TAC"/>
              <w:rPr>
                <w:lang w:eastAsia="en-US"/>
              </w:rPr>
            </w:pPr>
            <w:r w:rsidRPr="004D0DAA">
              <w:rPr>
                <w:lang w:eastAsia="en-US"/>
              </w:rPr>
              <w:t>spare</w:t>
            </w:r>
          </w:p>
        </w:tc>
        <w:tc>
          <w:tcPr>
            <w:tcW w:w="624" w:type="dxa"/>
            <w:tcBorders>
              <w:top w:val="single" w:sz="6" w:space="0" w:color="auto"/>
            </w:tcBorders>
          </w:tcPr>
          <w:p w14:paraId="6ADC3232" w14:textId="77777777" w:rsidR="00711444" w:rsidRPr="004D0DAA" w:rsidRDefault="00711444" w:rsidP="00AA2A4C"/>
        </w:tc>
        <w:tc>
          <w:tcPr>
            <w:tcW w:w="624" w:type="dxa"/>
            <w:tcBorders>
              <w:top w:val="single" w:sz="6" w:space="0" w:color="auto"/>
            </w:tcBorders>
          </w:tcPr>
          <w:p w14:paraId="1C7E945D" w14:textId="77777777" w:rsidR="00711444" w:rsidRPr="004D0DAA" w:rsidRDefault="00711444" w:rsidP="00AA2A4C"/>
        </w:tc>
        <w:tc>
          <w:tcPr>
            <w:tcW w:w="681" w:type="dxa"/>
            <w:tcBorders>
              <w:top w:val="single" w:sz="6" w:space="0" w:color="auto"/>
            </w:tcBorders>
          </w:tcPr>
          <w:p w14:paraId="3F0E725A" w14:textId="77777777" w:rsidR="00711444" w:rsidRPr="004D0DAA" w:rsidRDefault="00711444" w:rsidP="00AA2A4C">
            <w:pPr>
              <w:pStyle w:val="TAC"/>
              <w:rPr>
                <w:lang w:eastAsia="en-US"/>
              </w:rPr>
            </w:pPr>
            <w:r w:rsidRPr="004D0DAA">
              <w:rPr>
                <w:lang w:eastAsia="en-US"/>
              </w:rPr>
              <w:t>spare</w:t>
            </w:r>
          </w:p>
        </w:tc>
        <w:tc>
          <w:tcPr>
            <w:tcW w:w="569" w:type="dxa"/>
            <w:tcBorders>
              <w:top w:val="single" w:sz="6" w:space="0" w:color="auto"/>
            </w:tcBorders>
          </w:tcPr>
          <w:p w14:paraId="2845B3E0" w14:textId="77777777" w:rsidR="00711444" w:rsidRPr="004D0DAA" w:rsidRDefault="00711444" w:rsidP="00AA2A4C"/>
        </w:tc>
        <w:tc>
          <w:tcPr>
            <w:tcW w:w="1985" w:type="dxa"/>
          </w:tcPr>
          <w:p w14:paraId="15124F4D" w14:textId="77777777" w:rsidR="00711444" w:rsidRPr="004D0DAA" w:rsidRDefault="00711444" w:rsidP="00AA2A4C">
            <w:pPr>
              <w:pStyle w:val="TAC"/>
              <w:rPr>
                <w:lang w:eastAsia="en-US"/>
              </w:rPr>
            </w:pPr>
            <w:r w:rsidRPr="004D0DAA">
              <w:rPr>
                <w:lang w:eastAsia="en-US"/>
              </w:rPr>
              <w:t>(if present)</w:t>
            </w:r>
          </w:p>
        </w:tc>
      </w:tr>
    </w:tbl>
    <w:p w14:paraId="0D7F1403" w14:textId="77777777" w:rsidR="00711444" w:rsidRPr="004D0DAA" w:rsidRDefault="00711444" w:rsidP="00711444">
      <w:pPr>
        <w:pStyle w:val="NF"/>
      </w:pPr>
    </w:p>
    <w:p w14:paraId="5F2F7042" w14:textId="77777777" w:rsidR="00711444" w:rsidRPr="004D0DAA" w:rsidRDefault="00711444" w:rsidP="00711444">
      <w:pPr>
        <w:pStyle w:val="TF"/>
      </w:pPr>
      <w:r w:rsidRPr="004D0DAA">
        <w:t>Figure 10.2.1.1: Downlink RLC data block with MAC header</w:t>
      </w:r>
    </w:p>
    <w:p w14:paraId="39F28485" w14:textId="77777777" w:rsidR="00711444" w:rsidRPr="004D0DAA" w:rsidRDefault="00711444" w:rsidP="00711444">
      <w:pPr>
        <w:pStyle w:val="Heading3"/>
      </w:pPr>
      <w:bookmarkStart w:id="505" w:name="_Toc516669687"/>
      <w:r w:rsidRPr="004D0DAA">
        <w:lastRenderedPageBreak/>
        <w:t>10.2.2</w:t>
      </w:r>
      <w:r w:rsidRPr="004D0DAA">
        <w:tab/>
        <w:t>Uplink RLC data block</w:t>
      </w:r>
      <w:bookmarkEnd w:id="505"/>
    </w:p>
    <w:p w14:paraId="27D2B56A" w14:textId="77777777" w:rsidR="00711444" w:rsidRPr="004D0DAA" w:rsidRDefault="00711444" w:rsidP="00711444">
      <w:pPr>
        <w:keepNext/>
      </w:pPr>
      <w:r w:rsidRPr="004D0DAA">
        <w:t>The Uplink RLC data block together with its MAC header is formatted as shown in figure 10.2.2.1.</w:t>
      </w:r>
    </w:p>
    <w:tbl>
      <w:tblPr>
        <w:tblW w:w="0" w:type="auto"/>
        <w:jc w:val="center"/>
        <w:tblLayout w:type="fixed"/>
        <w:tblCellMar>
          <w:left w:w="28" w:type="dxa"/>
          <w:right w:w="28" w:type="dxa"/>
        </w:tblCellMar>
        <w:tblLook w:val="0000" w:firstRow="0" w:lastRow="0" w:firstColumn="0" w:lastColumn="0" w:noHBand="0" w:noVBand="0"/>
      </w:tblPr>
      <w:tblGrid>
        <w:gridCol w:w="654"/>
        <w:gridCol w:w="650"/>
        <w:gridCol w:w="568"/>
        <w:gridCol w:w="624"/>
        <w:gridCol w:w="625"/>
        <w:gridCol w:w="497"/>
        <w:gridCol w:w="127"/>
        <w:gridCol w:w="597"/>
        <w:gridCol w:w="653"/>
        <w:gridCol w:w="2268"/>
      </w:tblGrid>
      <w:tr w:rsidR="00711444" w:rsidRPr="004D0DAA" w14:paraId="0C6DF623" w14:textId="77777777" w:rsidTr="00AA2A4C">
        <w:tblPrEx>
          <w:tblCellMar>
            <w:top w:w="0" w:type="dxa"/>
            <w:bottom w:w="0" w:type="dxa"/>
          </w:tblCellMar>
        </w:tblPrEx>
        <w:trPr>
          <w:cantSplit/>
          <w:jc w:val="center"/>
        </w:trPr>
        <w:tc>
          <w:tcPr>
            <w:tcW w:w="4995" w:type="dxa"/>
            <w:gridSpan w:val="9"/>
          </w:tcPr>
          <w:p w14:paraId="598667D7" w14:textId="77777777" w:rsidR="00711444" w:rsidRPr="004D0DAA" w:rsidRDefault="00711444" w:rsidP="00AA2A4C">
            <w:pPr>
              <w:pStyle w:val="TAC"/>
              <w:rPr>
                <w:lang w:eastAsia="en-US"/>
              </w:rPr>
            </w:pPr>
            <w:r w:rsidRPr="004D0DAA">
              <w:rPr>
                <w:lang w:eastAsia="en-US"/>
              </w:rPr>
              <w:t>Bit</w:t>
            </w:r>
          </w:p>
        </w:tc>
        <w:tc>
          <w:tcPr>
            <w:tcW w:w="2268" w:type="dxa"/>
          </w:tcPr>
          <w:p w14:paraId="144A9620" w14:textId="77777777" w:rsidR="00711444" w:rsidRPr="004D0DAA" w:rsidRDefault="00711444" w:rsidP="00AA2A4C">
            <w:pPr>
              <w:pStyle w:val="TAC"/>
              <w:rPr>
                <w:lang w:eastAsia="en-US"/>
              </w:rPr>
            </w:pPr>
          </w:p>
        </w:tc>
      </w:tr>
      <w:tr w:rsidR="00711444" w:rsidRPr="004D0DAA" w14:paraId="7CC872ED" w14:textId="77777777" w:rsidTr="00AA2A4C">
        <w:tblPrEx>
          <w:tblCellMar>
            <w:top w:w="0" w:type="dxa"/>
            <w:bottom w:w="0" w:type="dxa"/>
          </w:tblCellMar>
        </w:tblPrEx>
        <w:trPr>
          <w:cantSplit/>
          <w:jc w:val="center"/>
        </w:trPr>
        <w:tc>
          <w:tcPr>
            <w:tcW w:w="654" w:type="dxa"/>
          </w:tcPr>
          <w:p w14:paraId="71884C24" w14:textId="77777777" w:rsidR="00711444" w:rsidRPr="004D0DAA" w:rsidRDefault="00711444" w:rsidP="00AA2A4C">
            <w:pPr>
              <w:pStyle w:val="TAC"/>
              <w:rPr>
                <w:lang w:eastAsia="en-US"/>
              </w:rPr>
            </w:pPr>
            <w:r w:rsidRPr="004D0DAA">
              <w:rPr>
                <w:lang w:eastAsia="en-US"/>
              </w:rPr>
              <w:t>8</w:t>
            </w:r>
          </w:p>
        </w:tc>
        <w:tc>
          <w:tcPr>
            <w:tcW w:w="650" w:type="dxa"/>
          </w:tcPr>
          <w:p w14:paraId="14DE0076" w14:textId="77777777" w:rsidR="00711444" w:rsidRPr="004D0DAA" w:rsidRDefault="00711444" w:rsidP="00AA2A4C">
            <w:pPr>
              <w:pStyle w:val="TAC"/>
              <w:rPr>
                <w:lang w:eastAsia="en-US"/>
              </w:rPr>
            </w:pPr>
            <w:r w:rsidRPr="004D0DAA">
              <w:rPr>
                <w:lang w:eastAsia="en-US"/>
              </w:rPr>
              <w:t>7</w:t>
            </w:r>
          </w:p>
        </w:tc>
        <w:tc>
          <w:tcPr>
            <w:tcW w:w="568" w:type="dxa"/>
          </w:tcPr>
          <w:p w14:paraId="23C45A41" w14:textId="77777777" w:rsidR="00711444" w:rsidRPr="004D0DAA" w:rsidRDefault="00711444" w:rsidP="00AA2A4C">
            <w:pPr>
              <w:pStyle w:val="TAC"/>
              <w:rPr>
                <w:lang w:eastAsia="en-US"/>
              </w:rPr>
            </w:pPr>
            <w:r w:rsidRPr="004D0DAA">
              <w:rPr>
                <w:lang w:eastAsia="en-US"/>
              </w:rPr>
              <w:t>6</w:t>
            </w:r>
          </w:p>
        </w:tc>
        <w:tc>
          <w:tcPr>
            <w:tcW w:w="624" w:type="dxa"/>
          </w:tcPr>
          <w:p w14:paraId="3EC7299C" w14:textId="77777777" w:rsidR="00711444" w:rsidRPr="004D0DAA" w:rsidRDefault="00711444" w:rsidP="00AA2A4C">
            <w:pPr>
              <w:pStyle w:val="TAC"/>
              <w:rPr>
                <w:lang w:eastAsia="en-US"/>
              </w:rPr>
            </w:pPr>
            <w:r w:rsidRPr="004D0DAA">
              <w:rPr>
                <w:lang w:eastAsia="en-US"/>
              </w:rPr>
              <w:t>5</w:t>
            </w:r>
          </w:p>
        </w:tc>
        <w:tc>
          <w:tcPr>
            <w:tcW w:w="625" w:type="dxa"/>
          </w:tcPr>
          <w:p w14:paraId="79940FC6" w14:textId="77777777" w:rsidR="00711444" w:rsidRPr="004D0DAA" w:rsidRDefault="00711444" w:rsidP="00AA2A4C">
            <w:pPr>
              <w:pStyle w:val="TAC"/>
              <w:rPr>
                <w:lang w:eastAsia="en-US"/>
              </w:rPr>
            </w:pPr>
            <w:r w:rsidRPr="004D0DAA">
              <w:rPr>
                <w:lang w:eastAsia="en-US"/>
              </w:rPr>
              <w:t>4</w:t>
            </w:r>
          </w:p>
        </w:tc>
        <w:tc>
          <w:tcPr>
            <w:tcW w:w="624" w:type="dxa"/>
            <w:gridSpan w:val="2"/>
          </w:tcPr>
          <w:p w14:paraId="402E116C" w14:textId="77777777" w:rsidR="00711444" w:rsidRPr="004D0DAA" w:rsidRDefault="00711444" w:rsidP="00AA2A4C">
            <w:pPr>
              <w:pStyle w:val="TAC"/>
              <w:rPr>
                <w:lang w:eastAsia="en-US"/>
              </w:rPr>
            </w:pPr>
            <w:r w:rsidRPr="004D0DAA">
              <w:rPr>
                <w:lang w:eastAsia="en-US"/>
              </w:rPr>
              <w:t>3</w:t>
            </w:r>
          </w:p>
        </w:tc>
        <w:tc>
          <w:tcPr>
            <w:tcW w:w="597" w:type="dxa"/>
          </w:tcPr>
          <w:p w14:paraId="425F24B1" w14:textId="77777777" w:rsidR="00711444" w:rsidRPr="004D0DAA" w:rsidRDefault="00711444" w:rsidP="00AA2A4C">
            <w:pPr>
              <w:pStyle w:val="TAC"/>
              <w:rPr>
                <w:lang w:eastAsia="en-US"/>
              </w:rPr>
            </w:pPr>
            <w:r w:rsidRPr="004D0DAA">
              <w:rPr>
                <w:lang w:eastAsia="en-US"/>
              </w:rPr>
              <w:t>2</w:t>
            </w:r>
          </w:p>
        </w:tc>
        <w:tc>
          <w:tcPr>
            <w:tcW w:w="653" w:type="dxa"/>
          </w:tcPr>
          <w:p w14:paraId="570F6694" w14:textId="77777777" w:rsidR="00711444" w:rsidRPr="004D0DAA" w:rsidRDefault="00711444" w:rsidP="00AA2A4C">
            <w:pPr>
              <w:pStyle w:val="TAC"/>
              <w:rPr>
                <w:lang w:eastAsia="en-US"/>
              </w:rPr>
            </w:pPr>
            <w:r w:rsidRPr="004D0DAA">
              <w:rPr>
                <w:lang w:eastAsia="en-US"/>
              </w:rPr>
              <w:t>1</w:t>
            </w:r>
          </w:p>
        </w:tc>
        <w:tc>
          <w:tcPr>
            <w:tcW w:w="2268" w:type="dxa"/>
          </w:tcPr>
          <w:p w14:paraId="04DF1229" w14:textId="77777777" w:rsidR="00711444" w:rsidRPr="004D0DAA" w:rsidRDefault="00711444" w:rsidP="00AA2A4C">
            <w:pPr>
              <w:pStyle w:val="TAC"/>
              <w:rPr>
                <w:lang w:eastAsia="en-US"/>
              </w:rPr>
            </w:pPr>
          </w:p>
        </w:tc>
      </w:tr>
      <w:tr w:rsidR="00711444" w:rsidRPr="004D0DAA" w14:paraId="42378D07" w14:textId="77777777" w:rsidTr="00AA2A4C">
        <w:tblPrEx>
          <w:tblCellMar>
            <w:top w:w="0" w:type="dxa"/>
            <w:bottom w:w="0" w:type="dxa"/>
          </w:tblCellMar>
        </w:tblPrEx>
        <w:trPr>
          <w:cantSplit/>
          <w:jc w:val="center"/>
        </w:trPr>
        <w:tc>
          <w:tcPr>
            <w:tcW w:w="1304" w:type="dxa"/>
            <w:gridSpan w:val="2"/>
            <w:tcBorders>
              <w:top w:val="single" w:sz="6" w:space="0" w:color="auto"/>
              <w:left w:val="single" w:sz="6" w:space="0" w:color="auto"/>
              <w:bottom w:val="single" w:sz="6" w:space="0" w:color="auto"/>
            </w:tcBorders>
          </w:tcPr>
          <w:p w14:paraId="30EDEB9B" w14:textId="77777777" w:rsidR="00711444" w:rsidRPr="004D0DAA" w:rsidRDefault="00711444" w:rsidP="00AA2A4C">
            <w:pPr>
              <w:pStyle w:val="TAC"/>
              <w:rPr>
                <w:lang w:eastAsia="en-US"/>
              </w:rPr>
            </w:pPr>
            <w:r w:rsidRPr="004D0DAA">
              <w:rPr>
                <w:lang w:eastAsia="en-US"/>
              </w:rPr>
              <w:t>Payload Type</w:t>
            </w:r>
          </w:p>
        </w:tc>
        <w:tc>
          <w:tcPr>
            <w:tcW w:w="2441" w:type="dxa"/>
            <w:gridSpan w:val="5"/>
            <w:tcBorders>
              <w:top w:val="single" w:sz="6" w:space="0" w:color="auto"/>
              <w:left w:val="single" w:sz="6" w:space="0" w:color="auto"/>
              <w:bottom w:val="single" w:sz="6" w:space="0" w:color="auto"/>
            </w:tcBorders>
          </w:tcPr>
          <w:p w14:paraId="32745660" w14:textId="77777777" w:rsidR="00711444" w:rsidRPr="004D0DAA" w:rsidRDefault="00711444" w:rsidP="00AA2A4C">
            <w:pPr>
              <w:pStyle w:val="TAC"/>
              <w:rPr>
                <w:lang w:eastAsia="en-US"/>
              </w:rPr>
            </w:pPr>
            <w:r w:rsidRPr="004D0DAA">
              <w:rPr>
                <w:lang w:eastAsia="en-US"/>
              </w:rPr>
              <w:t>Countdown Value</w:t>
            </w:r>
          </w:p>
        </w:tc>
        <w:tc>
          <w:tcPr>
            <w:tcW w:w="597" w:type="dxa"/>
            <w:tcBorders>
              <w:top w:val="single" w:sz="6" w:space="0" w:color="auto"/>
              <w:left w:val="single" w:sz="6" w:space="0" w:color="auto"/>
            </w:tcBorders>
          </w:tcPr>
          <w:p w14:paraId="34227C24" w14:textId="77777777" w:rsidR="00711444" w:rsidRPr="004D0DAA" w:rsidRDefault="00711444" w:rsidP="00AA2A4C">
            <w:pPr>
              <w:pStyle w:val="TAC"/>
              <w:rPr>
                <w:lang w:eastAsia="en-US"/>
              </w:rPr>
            </w:pPr>
            <w:r w:rsidRPr="004D0DAA">
              <w:rPr>
                <w:lang w:eastAsia="en-US"/>
              </w:rPr>
              <w:t>SI</w:t>
            </w:r>
          </w:p>
        </w:tc>
        <w:tc>
          <w:tcPr>
            <w:tcW w:w="653" w:type="dxa"/>
            <w:tcBorders>
              <w:top w:val="single" w:sz="6" w:space="0" w:color="auto"/>
              <w:left w:val="single" w:sz="6" w:space="0" w:color="auto"/>
              <w:bottom w:val="single" w:sz="6" w:space="0" w:color="auto"/>
              <w:right w:val="single" w:sz="6" w:space="0" w:color="auto"/>
            </w:tcBorders>
          </w:tcPr>
          <w:p w14:paraId="2A012DB2" w14:textId="77777777" w:rsidR="00711444" w:rsidRPr="004D0DAA" w:rsidRDefault="00711444" w:rsidP="00AA2A4C">
            <w:pPr>
              <w:pStyle w:val="TAC"/>
              <w:rPr>
                <w:lang w:eastAsia="en-US"/>
              </w:rPr>
            </w:pPr>
            <w:r w:rsidRPr="004D0DAA">
              <w:rPr>
                <w:lang w:eastAsia="en-US"/>
              </w:rPr>
              <w:t>R</w:t>
            </w:r>
          </w:p>
        </w:tc>
        <w:tc>
          <w:tcPr>
            <w:tcW w:w="2268" w:type="dxa"/>
          </w:tcPr>
          <w:p w14:paraId="0A42DD7C" w14:textId="77777777" w:rsidR="00711444" w:rsidRPr="004D0DAA" w:rsidRDefault="00711444" w:rsidP="00AA2A4C">
            <w:pPr>
              <w:pStyle w:val="TAC"/>
              <w:rPr>
                <w:lang w:eastAsia="en-US"/>
              </w:rPr>
            </w:pPr>
            <w:r w:rsidRPr="004D0DAA">
              <w:rPr>
                <w:lang w:eastAsia="en-US"/>
              </w:rPr>
              <w:t>MAC header</w:t>
            </w:r>
          </w:p>
        </w:tc>
      </w:tr>
      <w:tr w:rsidR="00711444" w:rsidRPr="004D0DAA" w14:paraId="5340F4EF" w14:textId="77777777" w:rsidTr="00AA2A4C">
        <w:tblPrEx>
          <w:tblCellMar>
            <w:top w:w="0" w:type="dxa"/>
            <w:bottom w:w="0" w:type="dxa"/>
          </w:tblCellMar>
        </w:tblPrEx>
        <w:trPr>
          <w:cantSplit/>
          <w:jc w:val="center"/>
        </w:trPr>
        <w:tc>
          <w:tcPr>
            <w:tcW w:w="654" w:type="dxa"/>
            <w:tcBorders>
              <w:top w:val="single" w:sz="6" w:space="0" w:color="auto"/>
              <w:left w:val="single" w:sz="6" w:space="0" w:color="auto"/>
            </w:tcBorders>
          </w:tcPr>
          <w:p w14:paraId="682A1B1C" w14:textId="77777777" w:rsidR="00711444" w:rsidRPr="004D0DAA" w:rsidRDefault="00711444" w:rsidP="00AA2A4C">
            <w:pPr>
              <w:pStyle w:val="TAC"/>
              <w:rPr>
                <w:lang w:eastAsia="en-US"/>
              </w:rPr>
            </w:pPr>
            <w:r w:rsidRPr="004D0DAA">
              <w:rPr>
                <w:lang w:eastAsia="en-US"/>
              </w:rPr>
              <w:t>spare</w:t>
            </w:r>
          </w:p>
        </w:tc>
        <w:tc>
          <w:tcPr>
            <w:tcW w:w="650" w:type="dxa"/>
            <w:tcBorders>
              <w:top w:val="single" w:sz="6" w:space="0" w:color="auto"/>
              <w:left w:val="single" w:sz="6" w:space="0" w:color="auto"/>
            </w:tcBorders>
          </w:tcPr>
          <w:p w14:paraId="325EEBA5" w14:textId="77777777" w:rsidR="00711444" w:rsidRPr="004D0DAA" w:rsidRDefault="00711444" w:rsidP="00AA2A4C">
            <w:pPr>
              <w:pStyle w:val="TAC"/>
              <w:rPr>
                <w:lang w:eastAsia="en-US"/>
              </w:rPr>
            </w:pPr>
            <w:r w:rsidRPr="004D0DAA">
              <w:rPr>
                <w:lang w:eastAsia="en-US"/>
              </w:rPr>
              <w:t>PI</w:t>
            </w:r>
          </w:p>
        </w:tc>
        <w:tc>
          <w:tcPr>
            <w:tcW w:w="3038" w:type="dxa"/>
            <w:gridSpan w:val="6"/>
            <w:tcBorders>
              <w:top w:val="single" w:sz="6" w:space="0" w:color="auto"/>
              <w:left w:val="single" w:sz="6" w:space="0" w:color="auto"/>
              <w:bottom w:val="single" w:sz="6" w:space="0" w:color="auto"/>
              <w:right w:val="single" w:sz="6" w:space="0" w:color="auto"/>
            </w:tcBorders>
          </w:tcPr>
          <w:p w14:paraId="7E82F70C" w14:textId="77777777" w:rsidR="00711444" w:rsidRPr="004D0DAA" w:rsidRDefault="00711444" w:rsidP="00AA2A4C">
            <w:pPr>
              <w:pStyle w:val="TAC"/>
              <w:rPr>
                <w:lang w:eastAsia="en-US"/>
              </w:rPr>
            </w:pPr>
            <w:r w:rsidRPr="004D0DAA">
              <w:rPr>
                <w:lang w:eastAsia="en-US"/>
              </w:rPr>
              <w:t>TFI</w:t>
            </w:r>
          </w:p>
        </w:tc>
        <w:tc>
          <w:tcPr>
            <w:tcW w:w="653" w:type="dxa"/>
            <w:tcBorders>
              <w:top w:val="single" w:sz="6" w:space="0" w:color="auto"/>
              <w:right w:val="single" w:sz="6" w:space="0" w:color="auto"/>
            </w:tcBorders>
          </w:tcPr>
          <w:p w14:paraId="014C8CF6" w14:textId="77777777" w:rsidR="00711444" w:rsidRPr="004D0DAA" w:rsidRDefault="00711444" w:rsidP="00AA2A4C">
            <w:pPr>
              <w:pStyle w:val="TAC"/>
              <w:rPr>
                <w:lang w:eastAsia="en-US"/>
              </w:rPr>
            </w:pPr>
            <w:r w:rsidRPr="004D0DAA">
              <w:rPr>
                <w:lang w:eastAsia="en-US"/>
              </w:rPr>
              <w:t>TI</w:t>
            </w:r>
          </w:p>
        </w:tc>
        <w:tc>
          <w:tcPr>
            <w:tcW w:w="2268" w:type="dxa"/>
          </w:tcPr>
          <w:p w14:paraId="70C867BF" w14:textId="77777777" w:rsidR="00711444" w:rsidRPr="004D0DAA" w:rsidRDefault="00711444" w:rsidP="00AA2A4C">
            <w:pPr>
              <w:pStyle w:val="TAC"/>
              <w:rPr>
                <w:lang w:eastAsia="en-US"/>
              </w:rPr>
            </w:pPr>
            <w:r w:rsidRPr="004D0DAA">
              <w:rPr>
                <w:lang w:eastAsia="en-US"/>
              </w:rPr>
              <w:t>Octet 1</w:t>
            </w:r>
          </w:p>
        </w:tc>
      </w:tr>
      <w:tr w:rsidR="00711444" w:rsidRPr="004D0DAA" w14:paraId="6166D80E" w14:textId="77777777" w:rsidTr="00AA2A4C">
        <w:tblPrEx>
          <w:tblCellMar>
            <w:top w:w="0" w:type="dxa"/>
            <w:bottom w:w="0" w:type="dxa"/>
          </w:tblCellMar>
        </w:tblPrEx>
        <w:trPr>
          <w:cantSplit/>
          <w:jc w:val="center"/>
        </w:trPr>
        <w:tc>
          <w:tcPr>
            <w:tcW w:w="654" w:type="dxa"/>
            <w:tcBorders>
              <w:top w:val="single" w:sz="6" w:space="0" w:color="auto"/>
              <w:left w:val="single" w:sz="6" w:space="0" w:color="auto"/>
            </w:tcBorders>
          </w:tcPr>
          <w:p w14:paraId="7E016570" w14:textId="77777777" w:rsidR="00711444" w:rsidRPr="004D0DAA" w:rsidRDefault="00711444" w:rsidP="00AA2A4C"/>
        </w:tc>
        <w:tc>
          <w:tcPr>
            <w:tcW w:w="650" w:type="dxa"/>
            <w:tcBorders>
              <w:top w:val="single" w:sz="6" w:space="0" w:color="auto"/>
            </w:tcBorders>
          </w:tcPr>
          <w:p w14:paraId="169D7A1E" w14:textId="77777777" w:rsidR="00711444" w:rsidRPr="004D0DAA" w:rsidRDefault="00711444" w:rsidP="00AA2A4C"/>
        </w:tc>
        <w:tc>
          <w:tcPr>
            <w:tcW w:w="568" w:type="dxa"/>
            <w:tcBorders>
              <w:top w:val="single" w:sz="6" w:space="0" w:color="auto"/>
            </w:tcBorders>
          </w:tcPr>
          <w:p w14:paraId="32629143" w14:textId="77777777" w:rsidR="00711444" w:rsidRPr="004D0DAA" w:rsidRDefault="00711444" w:rsidP="00AA2A4C"/>
        </w:tc>
        <w:tc>
          <w:tcPr>
            <w:tcW w:w="624" w:type="dxa"/>
            <w:tcBorders>
              <w:top w:val="single" w:sz="6" w:space="0" w:color="auto"/>
            </w:tcBorders>
          </w:tcPr>
          <w:p w14:paraId="0A6B924E" w14:textId="77777777" w:rsidR="00711444" w:rsidRPr="004D0DAA" w:rsidRDefault="00711444" w:rsidP="00AA2A4C">
            <w:pPr>
              <w:pStyle w:val="TAC"/>
              <w:rPr>
                <w:lang w:eastAsia="en-US"/>
              </w:rPr>
            </w:pPr>
            <w:r w:rsidRPr="004D0DAA">
              <w:rPr>
                <w:lang w:eastAsia="en-US"/>
              </w:rPr>
              <w:t>BSN</w:t>
            </w:r>
          </w:p>
        </w:tc>
        <w:tc>
          <w:tcPr>
            <w:tcW w:w="625" w:type="dxa"/>
            <w:tcBorders>
              <w:top w:val="single" w:sz="6" w:space="0" w:color="auto"/>
            </w:tcBorders>
          </w:tcPr>
          <w:p w14:paraId="5BD88171" w14:textId="77777777" w:rsidR="00711444" w:rsidRPr="004D0DAA" w:rsidRDefault="00711444" w:rsidP="00AA2A4C"/>
        </w:tc>
        <w:tc>
          <w:tcPr>
            <w:tcW w:w="624" w:type="dxa"/>
            <w:gridSpan w:val="2"/>
            <w:tcBorders>
              <w:top w:val="single" w:sz="6" w:space="0" w:color="auto"/>
            </w:tcBorders>
          </w:tcPr>
          <w:p w14:paraId="1BEAB45A" w14:textId="77777777" w:rsidR="00711444" w:rsidRPr="004D0DAA" w:rsidRDefault="00711444" w:rsidP="00AA2A4C"/>
        </w:tc>
        <w:tc>
          <w:tcPr>
            <w:tcW w:w="597" w:type="dxa"/>
            <w:tcBorders>
              <w:top w:val="single" w:sz="6" w:space="0" w:color="auto"/>
              <w:bottom w:val="single" w:sz="6" w:space="0" w:color="auto"/>
              <w:right w:val="single" w:sz="6" w:space="0" w:color="auto"/>
            </w:tcBorders>
          </w:tcPr>
          <w:p w14:paraId="1615B48B" w14:textId="77777777" w:rsidR="00711444" w:rsidRPr="004D0DAA" w:rsidRDefault="00711444" w:rsidP="00AA2A4C"/>
        </w:tc>
        <w:tc>
          <w:tcPr>
            <w:tcW w:w="653" w:type="dxa"/>
            <w:tcBorders>
              <w:top w:val="single" w:sz="6" w:space="0" w:color="auto"/>
              <w:bottom w:val="single" w:sz="6" w:space="0" w:color="auto"/>
              <w:right w:val="single" w:sz="6" w:space="0" w:color="auto"/>
            </w:tcBorders>
          </w:tcPr>
          <w:p w14:paraId="59BBF5C9" w14:textId="77777777" w:rsidR="00711444" w:rsidRPr="004D0DAA" w:rsidRDefault="00711444" w:rsidP="00AA2A4C">
            <w:pPr>
              <w:pStyle w:val="TAC"/>
              <w:rPr>
                <w:lang w:eastAsia="en-US"/>
              </w:rPr>
            </w:pPr>
            <w:r w:rsidRPr="004D0DAA">
              <w:rPr>
                <w:lang w:eastAsia="en-US"/>
              </w:rPr>
              <w:t>E</w:t>
            </w:r>
          </w:p>
        </w:tc>
        <w:tc>
          <w:tcPr>
            <w:tcW w:w="2268" w:type="dxa"/>
          </w:tcPr>
          <w:p w14:paraId="1AD11031" w14:textId="77777777" w:rsidR="00711444" w:rsidRPr="004D0DAA" w:rsidRDefault="00711444" w:rsidP="00AA2A4C">
            <w:pPr>
              <w:pStyle w:val="TAC"/>
              <w:rPr>
                <w:lang w:eastAsia="en-US"/>
              </w:rPr>
            </w:pPr>
            <w:r w:rsidRPr="004D0DAA">
              <w:rPr>
                <w:lang w:eastAsia="en-US"/>
              </w:rPr>
              <w:t>Octet 2</w:t>
            </w:r>
          </w:p>
        </w:tc>
      </w:tr>
      <w:tr w:rsidR="00711444" w:rsidRPr="004D0DAA" w14:paraId="7AB1DCC1" w14:textId="77777777" w:rsidTr="00AA2A4C">
        <w:tblPrEx>
          <w:tblCellMar>
            <w:top w:w="0" w:type="dxa"/>
            <w:bottom w:w="0" w:type="dxa"/>
          </w:tblCellMar>
        </w:tblPrEx>
        <w:trPr>
          <w:cantSplit/>
          <w:jc w:val="center"/>
        </w:trPr>
        <w:tc>
          <w:tcPr>
            <w:tcW w:w="3745" w:type="dxa"/>
            <w:gridSpan w:val="7"/>
            <w:tcBorders>
              <w:top w:val="single" w:sz="6" w:space="0" w:color="auto"/>
              <w:left w:val="single" w:sz="6" w:space="0" w:color="auto"/>
            </w:tcBorders>
          </w:tcPr>
          <w:p w14:paraId="417B6A07" w14:textId="77777777" w:rsidR="00711444" w:rsidRPr="004D0DAA" w:rsidRDefault="00711444" w:rsidP="00AA2A4C">
            <w:pPr>
              <w:pStyle w:val="TAC"/>
              <w:rPr>
                <w:lang w:eastAsia="en-US"/>
              </w:rPr>
            </w:pPr>
            <w:r w:rsidRPr="004D0DAA">
              <w:rPr>
                <w:lang w:eastAsia="en-US"/>
              </w:rPr>
              <w:t>Length indicator</w:t>
            </w:r>
          </w:p>
        </w:tc>
        <w:tc>
          <w:tcPr>
            <w:tcW w:w="597" w:type="dxa"/>
            <w:tcBorders>
              <w:top w:val="single" w:sz="6" w:space="0" w:color="auto"/>
              <w:left w:val="single" w:sz="6" w:space="0" w:color="auto"/>
              <w:right w:val="single" w:sz="6" w:space="0" w:color="auto"/>
            </w:tcBorders>
          </w:tcPr>
          <w:p w14:paraId="369F5953" w14:textId="77777777" w:rsidR="00711444" w:rsidRPr="004D0DAA" w:rsidRDefault="00711444" w:rsidP="00AA2A4C">
            <w:pPr>
              <w:pStyle w:val="TAC"/>
              <w:rPr>
                <w:lang w:eastAsia="en-US"/>
              </w:rPr>
            </w:pPr>
            <w:r w:rsidRPr="004D0DAA">
              <w:rPr>
                <w:lang w:eastAsia="en-US"/>
              </w:rPr>
              <w:t>M</w:t>
            </w:r>
          </w:p>
        </w:tc>
        <w:tc>
          <w:tcPr>
            <w:tcW w:w="653" w:type="dxa"/>
            <w:tcBorders>
              <w:top w:val="single" w:sz="6" w:space="0" w:color="auto"/>
              <w:left w:val="single" w:sz="6" w:space="0" w:color="auto"/>
              <w:right w:val="single" w:sz="6" w:space="0" w:color="auto"/>
            </w:tcBorders>
          </w:tcPr>
          <w:p w14:paraId="1A328345" w14:textId="77777777" w:rsidR="00711444" w:rsidRPr="004D0DAA" w:rsidRDefault="00711444" w:rsidP="00AA2A4C">
            <w:pPr>
              <w:pStyle w:val="TAC"/>
              <w:rPr>
                <w:lang w:eastAsia="en-US"/>
              </w:rPr>
            </w:pPr>
            <w:r w:rsidRPr="004D0DAA">
              <w:rPr>
                <w:lang w:eastAsia="en-US"/>
              </w:rPr>
              <w:t>E</w:t>
            </w:r>
          </w:p>
        </w:tc>
        <w:tc>
          <w:tcPr>
            <w:tcW w:w="2268" w:type="dxa"/>
            <w:tcBorders>
              <w:left w:val="single" w:sz="6" w:space="0" w:color="auto"/>
            </w:tcBorders>
          </w:tcPr>
          <w:p w14:paraId="1EE2B7CC" w14:textId="77777777" w:rsidR="00711444" w:rsidRPr="004D0DAA" w:rsidRDefault="00711444" w:rsidP="00AA2A4C">
            <w:pPr>
              <w:pStyle w:val="TAC"/>
              <w:rPr>
                <w:lang w:eastAsia="en-US"/>
              </w:rPr>
            </w:pPr>
            <w:r w:rsidRPr="004D0DAA">
              <w:rPr>
                <w:lang w:eastAsia="en-US"/>
              </w:rPr>
              <w:t>Octet 3 (optional)</w:t>
            </w:r>
          </w:p>
        </w:tc>
      </w:tr>
      <w:tr w:rsidR="00711444" w:rsidRPr="004D0DAA" w14:paraId="567809D5" w14:textId="77777777" w:rsidTr="00AA2A4C">
        <w:tblPrEx>
          <w:tblCellMar>
            <w:top w:w="0" w:type="dxa"/>
            <w:bottom w:w="0" w:type="dxa"/>
          </w:tblCellMar>
        </w:tblPrEx>
        <w:trPr>
          <w:cantSplit/>
          <w:jc w:val="center"/>
        </w:trPr>
        <w:tc>
          <w:tcPr>
            <w:tcW w:w="3121" w:type="dxa"/>
            <w:gridSpan w:val="5"/>
            <w:tcBorders>
              <w:top w:val="single" w:sz="6" w:space="0" w:color="auto"/>
              <w:left w:val="single" w:sz="6" w:space="0" w:color="auto"/>
              <w:right w:val="single" w:sz="6" w:space="0" w:color="auto"/>
            </w:tcBorders>
          </w:tcPr>
          <w:p w14:paraId="146EDB8A" w14:textId="77777777" w:rsidR="00711444" w:rsidRPr="004D0DAA" w:rsidRDefault="00711444" w:rsidP="00AA2A4C">
            <w:pPr>
              <w:pStyle w:val="TAC"/>
              <w:rPr>
                <w:lang w:eastAsia="en-US"/>
              </w:rPr>
            </w:pPr>
            <w:r w:rsidRPr="004D0DAA">
              <w:rPr>
                <w:lang w:eastAsia="en-US"/>
              </w:rPr>
              <w:t>spare</w:t>
            </w:r>
          </w:p>
        </w:tc>
        <w:tc>
          <w:tcPr>
            <w:tcW w:w="1874" w:type="dxa"/>
            <w:gridSpan w:val="4"/>
            <w:tcBorders>
              <w:top w:val="single" w:sz="6" w:space="0" w:color="auto"/>
              <w:left w:val="single" w:sz="6" w:space="0" w:color="auto"/>
              <w:right w:val="single" w:sz="6" w:space="0" w:color="auto"/>
            </w:tcBorders>
          </w:tcPr>
          <w:p w14:paraId="7BE907AF" w14:textId="77777777" w:rsidR="00711444" w:rsidRPr="004D0DAA" w:rsidRDefault="00711444" w:rsidP="00AA2A4C">
            <w:pPr>
              <w:pStyle w:val="TAC"/>
              <w:rPr>
                <w:lang w:eastAsia="en-US"/>
              </w:rPr>
            </w:pPr>
            <w:r w:rsidRPr="004D0DAA">
              <w:rPr>
                <w:lang w:eastAsia="en-US"/>
              </w:rPr>
              <w:t>Selected PLMN Index</w:t>
            </w:r>
          </w:p>
        </w:tc>
        <w:tc>
          <w:tcPr>
            <w:tcW w:w="2268" w:type="dxa"/>
            <w:tcBorders>
              <w:left w:val="single" w:sz="6" w:space="0" w:color="auto"/>
            </w:tcBorders>
          </w:tcPr>
          <w:p w14:paraId="35D8BA83" w14:textId="77777777" w:rsidR="00711444" w:rsidRPr="004D0DAA" w:rsidRDefault="00711444" w:rsidP="00AA2A4C">
            <w:pPr>
              <w:pStyle w:val="TAC"/>
              <w:rPr>
                <w:lang w:eastAsia="en-US"/>
              </w:rPr>
            </w:pPr>
            <w:r w:rsidRPr="004D0DAA">
              <w:rPr>
                <w:lang w:eastAsia="en-US"/>
              </w:rPr>
              <w:t>Octet 4 (note 2)  (optional)</w:t>
            </w:r>
          </w:p>
        </w:tc>
      </w:tr>
      <w:tr w:rsidR="00711444" w:rsidRPr="004D0DAA" w14:paraId="0FF4A069" w14:textId="77777777" w:rsidTr="00AA2A4C">
        <w:tblPrEx>
          <w:tblCellMar>
            <w:top w:w="0" w:type="dxa"/>
            <w:bottom w:w="0" w:type="dxa"/>
          </w:tblCellMar>
        </w:tblPrEx>
        <w:trPr>
          <w:cantSplit/>
          <w:jc w:val="center"/>
        </w:trPr>
        <w:tc>
          <w:tcPr>
            <w:tcW w:w="4995" w:type="dxa"/>
            <w:gridSpan w:val="9"/>
            <w:tcBorders>
              <w:top w:val="single" w:sz="6" w:space="0" w:color="auto"/>
              <w:left w:val="single" w:sz="6" w:space="0" w:color="auto"/>
              <w:right w:val="single" w:sz="6" w:space="0" w:color="auto"/>
            </w:tcBorders>
          </w:tcPr>
          <w:p w14:paraId="561E0CD7" w14:textId="77777777" w:rsidR="00711444" w:rsidRPr="004D0DAA" w:rsidRDefault="00711444" w:rsidP="00AA2A4C">
            <w:pPr>
              <w:pStyle w:val="TAC"/>
              <w:rPr>
                <w:lang w:eastAsia="en-US"/>
              </w:rPr>
            </w:pPr>
            <w:r w:rsidRPr="004D0DAA">
              <w:rPr>
                <w:lang w:eastAsia="en-US"/>
              </w:rPr>
              <w:t>.</w:t>
            </w:r>
            <w:r w:rsidRPr="004D0DAA">
              <w:rPr>
                <w:lang w:eastAsia="en-US"/>
              </w:rPr>
              <w:br/>
              <w:t>.</w:t>
            </w:r>
            <w:r w:rsidRPr="004D0DAA">
              <w:rPr>
                <w:lang w:eastAsia="en-US"/>
              </w:rPr>
              <w:br/>
              <w:t>.</w:t>
            </w:r>
          </w:p>
        </w:tc>
        <w:tc>
          <w:tcPr>
            <w:tcW w:w="2268" w:type="dxa"/>
          </w:tcPr>
          <w:p w14:paraId="59DF737D" w14:textId="77777777" w:rsidR="00711444" w:rsidRPr="004D0DAA" w:rsidRDefault="00711444" w:rsidP="00AA2A4C">
            <w:pPr>
              <w:pStyle w:val="TAC"/>
              <w:rPr>
                <w:lang w:eastAsia="en-US"/>
              </w:rPr>
            </w:pPr>
            <w:r w:rsidRPr="004D0DAA">
              <w:rPr>
                <w:lang w:eastAsia="en-US"/>
              </w:rPr>
              <w:t>.</w:t>
            </w:r>
          </w:p>
          <w:p w14:paraId="6C5E6503" w14:textId="77777777" w:rsidR="00711444" w:rsidRPr="004D0DAA" w:rsidRDefault="00711444" w:rsidP="00AA2A4C">
            <w:pPr>
              <w:pStyle w:val="TAC"/>
              <w:rPr>
                <w:lang w:eastAsia="en-US"/>
              </w:rPr>
            </w:pPr>
            <w:r w:rsidRPr="004D0DAA">
              <w:rPr>
                <w:lang w:eastAsia="en-US"/>
              </w:rPr>
              <w:t>.</w:t>
            </w:r>
          </w:p>
          <w:p w14:paraId="7C5625CA" w14:textId="77777777" w:rsidR="00711444" w:rsidRPr="004D0DAA" w:rsidRDefault="00711444" w:rsidP="00AA2A4C">
            <w:pPr>
              <w:pStyle w:val="TAC"/>
              <w:rPr>
                <w:lang w:eastAsia="en-US"/>
              </w:rPr>
            </w:pPr>
            <w:r w:rsidRPr="004D0DAA">
              <w:rPr>
                <w:lang w:eastAsia="en-US"/>
              </w:rPr>
              <w:t>.</w:t>
            </w:r>
          </w:p>
        </w:tc>
      </w:tr>
      <w:tr w:rsidR="00711444" w:rsidRPr="004D0DAA" w14:paraId="5956A0EF" w14:textId="77777777" w:rsidTr="00AA2A4C">
        <w:tblPrEx>
          <w:tblCellMar>
            <w:top w:w="0" w:type="dxa"/>
            <w:bottom w:w="0" w:type="dxa"/>
          </w:tblCellMar>
        </w:tblPrEx>
        <w:trPr>
          <w:cantSplit/>
          <w:jc w:val="center"/>
        </w:trPr>
        <w:tc>
          <w:tcPr>
            <w:tcW w:w="3745" w:type="dxa"/>
            <w:gridSpan w:val="7"/>
            <w:tcBorders>
              <w:top w:val="single" w:sz="6" w:space="0" w:color="auto"/>
              <w:left w:val="single" w:sz="6" w:space="0" w:color="auto"/>
              <w:bottom w:val="single" w:sz="6" w:space="0" w:color="auto"/>
            </w:tcBorders>
          </w:tcPr>
          <w:p w14:paraId="36BA9085" w14:textId="77777777" w:rsidR="00711444" w:rsidRPr="004D0DAA" w:rsidRDefault="00711444" w:rsidP="00AA2A4C">
            <w:pPr>
              <w:pStyle w:val="TAC"/>
              <w:rPr>
                <w:lang w:eastAsia="en-US"/>
              </w:rPr>
            </w:pPr>
            <w:r w:rsidRPr="004D0DAA">
              <w:rPr>
                <w:lang w:eastAsia="en-US"/>
              </w:rPr>
              <w:t>Length indicator</w:t>
            </w:r>
          </w:p>
        </w:tc>
        <w:tc>
          <w:tcPr>
            <w:tcW w:w="597" w:type="dxa"/>
            <w:tcBorders>
              <w:top w:val="single" w:sz="6" w:space="0" w:color="auto"/>
              <w:left w:val="single" w:sz="6" w:space="0" w:color="auto"/>
              <w:bottom w:val="single" w:sz="6" w:space="0" w:color="auto"/>
              <w:right w:val="single" w:sz="6" w:space="0" w:color="auto"/>
            </w:tcBorders>
          </w:tcPr>
          <w:p w14:paraId="2E4716E2" w14:textId="77777777" w:rsidR="00711444" w:rsidRPr="004D0DAA" w:rsidRDefault="00711444" w:rsidP="00AA2A4C">
            <w:pPr>
              <w:pStyle w:val="TAC"/>
              <w:rPr>
                <w:lang w:eastAsia="en-US"/>
              </w:rPr>
            </w:pPr>
            <w:r w:rsidRPr="004D0DAA">
              <w:rPr>
                <w:lang w:eastAsia="en-US"/>
              </w:rPr>
              <w:t>M</w:t>
            </w:r>
          </w:p>
        </w:tc>
        <w:tc>
          <w:tcPr>
            <w:tcW w:w="653" w:type="dxa"/>
            <w:tcBorders>
              <w:top w:val="single" w:sz="6" w:space="0" w:color="auto"/>
              <w:left w:val="single" w:sz="6" w:space="0" w:color="auto"/>
              <w:bottom w:val="single" w:sz="6" w:space="0" w:color="auto"/>
              <w:right w:val="single" w:sz="6" w:space="0" w:color="auto"/>
            </w:tcBorders>
          </w:tcPr>
          <w:p w14:paraId="7845AA66" w14:textId="77777777" w:rsidR="00711444" w:rsidRPr="004D0DAA" w:rsidRDefault="00711444" w:rsidP="00AA2A4C">
            <w:pPr>
              <w:pStyle w:val="TAC"/>
              <w:rPr>
                <w:lang w:eastAsia="en-US"/>
              </w:rPr>
            </w:pPr>
            <w:r w:rsidRPr="004D0DAA">
              <w:rPr>
                <w:lang w:eastAsia="en-US"/>
              </w:rPr>
              <w:t>E</w:t>
            </w:r>
          </w:p>
        </w:tc>
        <w:tc>
          <w:tcPr>
            <w:tcW w:w="2268" w:type="dxa"/>
            <w:tcBorders>
              <w:left w:val="single" w:sz="6" w:space="0" w:color="auto"/>
            </w:tcBorders>
          </w:tcPr>
          <w:p w14:paraId="23A70424" w14:textId="77777777" w:rsidR="00711444" w:rsidRPr="004D0DAA" w:rsidRDefault="00711444" w:rsidP="00AA2A4C">
            <w:pPr>
              <w:pStyle w:val="TAC"/>
              <w:rPr>
                <w:lang w:eastAsia="en-US"/>
              </w:rPr>
            </w:pPr>
            <w:r w:rsidRPr="004D0DAA">
              <w:rPr>
                <w:lang w:eastAsia="en-US"/>
              </w:rPr>
              <w:t>Octet M (optional)</w:t>
            </w:r>
          </w:p>
        </w:tc>
      </w:tr>
      <w:tr w:rsidR="00711444" w:rsidRPr="004D0DAA" w14:paraId="107BF9AD" w14:textId="77777777" w:rsidTr="00AA2A4C">
        <w:tblPrEx>
          <w:tblCellMar>
            <w:top w:w="0" w:type="dxa"/>
            <w:bottom w:w="0" w:type="dxa"/>
          </w:tblCellMar>
        </w:tblPrEx>
        <w:trPr>
          <w:cantSplit/>
          <w:jc w:val="center"/>
        </w:trPr>
        <w:tc>
          <w:tcPr>
            <w:tcW w:w="654" w:type="dxa"/>
            <w:tcBorders>
              <w:left w:val="single" w:sz="6" w:space="0" w:color="auto"/>
            </w:tcBorders>
          </w:tcPr>
          <w:p w14:paraId="6B68D214" w14:textId="77777777" w:rsidR="00711444" w:rsidRPr="004D0DAA" w:rsidRDefault="00711444" w:rsidP="00AA2A4C"/>
        </w:tc>
        <w:tc>
          <w:tcPr>
            <w:tcW w:w="650" w:type="dxa"/>
          </w:tcPr>
          <w:p w14:paraId="2F5040A1" w14:textId="77777777" w:rsidR="00711444" w:rsidRPr="004D0DAA" w:rsidRDefault="00711444" w:rsidP="00AA2A4C"/>
        </w:tc>
        <w:tc>
          <w:tcPr>
            <w:tcW w:w="568" w:type="dxa"/>
          </w:tcPr>
          <w:p w14:paraId="34CC219A" w14:textId="77777777" w:rsidR="00711444" w:rsidRPr="004D0DAA" w:rsidRDefault="00711444" w:rsidP="00AA2A4C"/>
        </w:tc>
        <w:tc>
          <w:tcPr>
            <w:tcW w:w="624" w:type="dxa"/>
          </w:tcPr>
          <w:p w14:paraId="1631E4DE" w14:textId="77777777" w:rsidR="00711444" w:rsidRPr="004D0DAA" w:rsidRDefault="00711444" w:rsidP="00AA2A4C"/>
        </w:tc>
        <w:tc>
          <w:tcPr>
            <w:tcW w:w="625" w:type="dxa"/>
          </w:tcPr>
          <w:p w14:paraId="1325DCE9" w14:textId="77777777" w:rsidR="00711444" w:rsidRPr="004D0DAA" w:rsidRDefault="00711444" w:rsidP="00AA2A4C"/>
        </w:tc>
        <w:tc>
          <w:tcPr>
            <w:tcW w:w="624" w:type="dxa"/>
            <w:gridSpan w:val="2"/>
          </w:tcPr>
          <w:p w14:paraId="2E989C54" w14:textId="77777777" w:rsidR="00711444" w:rsidRPr="004D0DAA" w:rsidRDefault="00711444" w:rsidP="00AA2A4C"/>
        </w:tc>
        <w:tc>
          <w:tcPr>
            <w:tcW w:w="597" w:type="dxa"/>
          </w:tcPr>
          <w:p w14:paraId="2FB21982" w14:textId="77777777" w:rsidR="00711444" w:rsidRPr="004D0DAA" w:rsidRDefault="00711444" w:rsidP="00AA2A4C"/>
        </w:tc>
        <w:tc>
          <w:tcPr>
            <w:tcW w:w="653" w:type="dxa"/>
            <w:tcBorders>
              <w:right w:val="single" w:sz="6" w:space="0" w:color="auto"/>
            </w:tcBorders>
          </w:tcPr>
          <w:p w14:paraId="5E8965A5" w14:textId="77777777" w:rsidR="00711444" w:rsidRPr="004D0DAA" w:rsidRDefault="00711444" w:rsidP="00AA2A4C"/>
        </w:tc>
        <w:tc>
          <w:tcPr>
            <w:tcW w:w="2268" w:type="dxa"/>
          </w:tcPr>
          <w:p w14:paraId="580D477A" w14:textId="77777777" w:rsidR="00711444" w:rsidRPr="004D0DAA" w:rsidRDefault="00711444" w:rsidP="00AA2A4C">
            <w:pPr>
              <w:pStyle w:val="TAC"/>
              <w:rPr>
                <w:lang w:eastAsia="en-US"/>
              </w:rPr>
            </w:pPr>
            <w:r w:rsidRPr="004D0DAA">
              <w:rPr>
                <w:lang w:eastAsia="en-US"/>
              </w:rPr>
              <w:t>Octet M+1 \</w:t>
            </w:r>
          </w:p>
        </w:tc>
      </w:tr>
      <w:tr w:rsidR="00711444" w:rsidRPr="004D0DAA" w14:paraId="1B0389E3" w14:textId="77777777" w:rsidTr="00AA2A4C">
        <w:tblPrEx>
          <w:tblCellMar>
            <w:top w:w="0" w:type="dxa"/>
            <w:bottom w:w="0" w:type="dxa"/>
          </w:tblCellMar>
        </w:tblPrEx>
        <w:trPr>
          <w:cantSplit/>
          <w:jc w:val="center"/>
        </w:trPr>
        <w:tc>
          <w:tcPr>
            <w:tcW w:w="654" w:type="dxa"/>
            <w:tcBorders>
              <w:left w:val="single" w:sz="6" w:space="0" w:color="auto"/>
            </w:tcBorders>
          </w:tcPr>
          <w:p w14:paraId="7F2619F7" w14:textId="77777777" w:rsidR="00711444" w:rsidRPr="004D0DAA" w:rsidRDefault="00711444" w:rsidP="00AA2A4C"/>
        </w:tc>
        <w:tc>
          <w:tcPr>
            <w:tcW w:w="650" w:type="dxa"/>
          </w:tcPr>
          <w:p w14:paraId="73BF1ACE" w14:textId="77777777" w:rsidR="00711444" w:rsidRPr="004D0DAA" w:rsidRDefault="00711444" w:rsidP="00AA2A4C"/>
        </w:tc>
        <w:tc>
          <w:tcPr>
            <w:tcW w:w="568" w:type="dxa"/>
          </w:tcPr>
          <w:p w14:paraId="05743744" w14:textId="77777777" w:rsidR="00711444" w:rsidRPr="004D0DAA" w:rsidRDefault="00711444" w:rsidP="00AA2A4C"/>
        </w:tc>
        <w:tc>
          <w:tcPr>
            <w:tcW w:w="1249" w:type="dxa"/>
            <w:gridSpan w:val="2"/>
          </w:tcPr>
          <w:p w14:paraId="5678EADE" w14:textId="77777777" w:rsidR="00711444" w:rsidRPr="004D0DAA" w:rsidRDefault="00711444" w:rsidP="00AA2A4C">
            <w:pPr>
              <w:pStyle w:val="TAC"/>
              <w:rPr>
                <w:lang w:eastAsia="en-US"/>
              </w:rPr>
            </w:pPr>
            <w:r w:rsidRPr="004D0DAA">
              <w:rPr>
                <w:lang w:eastAsia="en-US"/>
              </w:rPr>
              <w:t>TLLI</w:t>
            </w:r>
          </w:p>
        </w:tc>
        <w:tc>
          <w:tcPr>
            <w:tcW w:w="624" w:type="dxa"/>
            <w:gridSpan w:val="2"/>
          </w:tcPr>
          <w:p w14:paraId="77D72534" w14:textId="77777777" w:rsidR="00711444" w:rsidRPr="004D0DAA" w:rsidRDefault="00711444" w:rsidP="00AA2A4C"/>
        </w:tc>
        <w:tc>
          <w:tcPr>
            <w:tcW w:w="597" w:type="dxa"/>
          </w:tcPr>
          <w:p w14:paraId="13BB44F0" w14:textId="77777777" w:rsidR="00711444" w:rsidRPr="004D0DAA" w:rsidRDefault="00711444" w:rsidP="00AA2A4C"/>
        </w:tc>
        <w:tc>
          <w:tcPr>
            <w:tcW w:w="653" w:type="dxa"/>
            <w:tcBorders>
              <w:right w:val="single" w:sz="6" w:space="0" w:color="auto"/>
            </w:tcBorders>
          </w:tcPr>
          <w:p w14:paraId="12506735" w14:textId="77777777" w:rsidR="00711444" w:rsidRPr="004D0DAA" w:rsidRDefault="00711444" w:rsidP="00AA2A4C"/>
        </w:tc>
        <w:tc>
          <w:tcPr>
            <w:tcW w:w="2268" w:type="dxa"/>
          </w:tcPr>
          <w:p w14:paraId="319422B0" w14:textId="77777777" w:rsidR="00711444" w:rsidRPr="004D0DAA" w:rsidRDefault="00711444" w:rsidP="00AA2A4C">
            <w:pPr>
              <w:pStyle w:val="TAC"/>
              <w:rPr>
                <w:lang w:eastAsia="en-US"/>
              </w:rPr>
            </w:pPr>
            <w:r w:rsidRPr="004D0DAA">
              <w:rPr>
                <w:lang w:eastAsia="en-US"/>
              </w:rPr>
              <w:t>Octet M+2 } (optional)</w:t>
            </w:r>
          </w:p>
        </w:tc>
      </w:tr>
      <w:tr w:rsidR="00711444" w:rsidRPr="004D0DAA" w14:paraId="653354B9" w14:textId="77777777" w:rsidTr="00AA2A4C">
        <w:tblPrEx>
          <w:tblCellMar>
            <w:top w:w="0" w:type="dxa"/>
            <w:bottom w:w="0" w:type="dxa"/>
          </w:tblCellMar>
        </w:tblPrEx>
        <w:trPr>
          <w:cantSplit/>
          <w:jc w:val="center"/>
        </w:trPr>
        <w:tc>
          <w:tcPr>
            <w:tcW w:w="654" w:type="dxa"/>
            <w:tcBorders>
              <w:left w:val="single" w:sz="6" w:space="0" w:color="auto"/>
            </w:tcBorders>
          </w:tcPr>
          <w:p w14:paraId="71CD9C08" w14:textId="77777777" w:rsidR="00711444" w:rsidRPr="004D0DAA" w:rsidRDefault="00711444" w:rsidP="00AA2A4C"/>
        </w:tc>
        <w:tc>
          <w:tcPr>
            <w:tcW w:w="650" w:type="dxa"/>
          </w:tcPr>
          <w:p w14:paraId="77E7E58D" w14:textId="77777777" w:rsidR="00711444" w:rsidRPr="004D0DAA" w:rsidRDefault="00711444" w:rsidP="00AA2A4C"/>
        </w:tc>
        <w:tc>
          <w:tcPr>
            <w:tcW w:w="568" w:type="dxa"/>
          </w:tcPr>
          <w:p w14:paraId="165E3BCD" w14:textId="77777777" w:rsidR="00711444" w:rsidRPr="004D0DAA" w:rsidRDefault="00711444" w:rsidP="00AA2A4C"/>
        </w:tc>
        <w:tc>
          <w:tcPr>
            <w:tcW w:w="624" w:type="dxa"/>
          </w:tcPr>
          <w:p w14:paraId="3828D867" w14:textId="77777777" w:rsidR="00711444" w:rsidRPr="004D0DAA" w:rsidRDefault="00711444" w:rsidP="00AA2A4C"/>
        </w:tc>
        <w:tc>
          <w:tcPr>
            <w:tcW w:w="625" w:type="dxa"/>
          </w:tcPr>
          <w:p w14:paraId="1202B259" w14:textId="77777777" w:rsidR="00711444" w:rsidRPr="004D0DAA" w:rsidRDefault="00711444" w:rsidP="00AA2A4C"/>
        </w:tc>
        <w:tc>
          <w:tcPr>
            <w:tcW w:w="624" w:type="dxa"/>
            <w:gridSpan w:val="2"/>
          </w:tcPr>
          <w:p w14:paraId="0C80CC63" w14:textId="77777777" w:rsidR="00711444" w:rsidRPr="004D0DAA" w:rsidRDefault="00711444" w:rsidP="00AA2A4C"/>
        </w:tc>
        <w:tc>
          <w:tcPr>
            <w:tcW w:w="597" w:type="dxa"/>
          </w:tcPr>
          <w:p w14:paraId="442DB374" w14:textId="77777777" w:rsidR="00711444" w:rsidRPr="004D0DAA" w:rsidRDefault="00711444" w:rsidP="00AA2A4C"/>
        </w:tc>
        <w:tc>
          <w:tcPr>
            <w:tcW w:w="653" w:type="dxa"/>
            <w:tcBorders>
              <w:right w:val="single" w:sz="6" w:space="0" w:color="auto"/>
            </w:tcBorders>
          </w:tcPr>
          <w:p w14:paraId="284A398A" w14:textId="77777777" w:rsidR="00711444" w:rsidRPr="004D0DAA" w:rsidRDefault="00711444" w:rsidP="00AA2A4C"/>
        </w:tc>
        <w:tc>
          <w:tcPr>
            <w:tcW w:w="2268" w:type="dxa"/>
          </w:tcPr>
          <w:p w14:paraId="428E3927" w14:textId="77777777" w:rsidR="00711444" w:rsidRPr="004D0DAA" w:rsidRDefault="00711444" w:rsidP="00AA2A4C">
            <w:pPr>
              <w:pStyle w:val="TAC"/>
              <w:rPr>
                <w:lang w:eastAsia="en-US"/>
              </w:rPr>
            </w:pPr>
            <w:r w:rsidRPr="004D0DAA">
              <w:rPr>
                <w:lang w:eastAsia="en-US"/>
              </w:rPr>
              <w:t>Octet M+3 /</w:t>
            </w:r>
          </w:p>
        </w:tc>
      </w:tr>
      <w:tr w:rsidR="00711444" w:rsidRPr="004D0DAA" w14:paraId="2ECE4815" w14:textId="77777777" w:rsidTr="00AA2A4C">
        <w:tblPrEx>
          <w:tblCellMar>
            <w:top w:w="0" w:type="dxa"/>
            <w:bottom w:w="0" w:type="dxa"/>
          </w:tblCellMar>
        </w:tblPrEx>
        <w:trPr>
          <w:cantSplit/>
          <w:jc w:val="center"/>
        </w:trPr>
        <w:tc>
          <w:tcPr>
            <w:tcW w:w="654" w:type="dxa"/>
            <w:tcBorders>
              <w:left w:val="single" w:sz="6" w:space="0" w:color="auto"/>
              <w:bottom w:val="single" w:sz="6" w:space="0" w:color="auto"/>
            </w:tcBorders>
          </w:tcPr>
          <w:p w14:paraId="7D4628F3" w14:textId="77777777" w:rsidR="00711444" w:rsidRPr="004D0DAA" w:rsidRDefault="00711444" w:rsidP="00AA2A4C"/>
        </w:tc>
        <w:tc>
          <w:tcPr>
            <w:tcW w:w="650" w:type="dxa"/>
            <w:tcBorders>
              <w:bottom w:val="single" w:sz="6" w:space="0" w:color="auto"/>
            </w:tcBorders>
          </w:tcPr>
          <w:p w14:paraId="079DFA20" w14:textId="77777777" w:rsidR="00711444" w:rsidRPr="004D0DAA" w:rsidRDefault="00711444" w:rsidP="00AA2A4C"/>
        </w:tc>
        <w:tc>
          <w:tcPr>
            <w:tcW w:w="568" w:type="dxa"/>
            <w:tcBorders>
              <w:bottom w:val="single" w:sz="6" w:space="0" w:color="auto"/>
            </w:tcBorders>
          </w:tcPr>
          <w:p w14:paraId="52915D3D" w14:textId="77777777" w:rsidR="00711444" w:rsidRPr="004D0DAA" w:rsidRDefault="00711444" w:rsidP="00AA2A4C"/>
        </w:tc>
        <w:tc>
          <w:tcPr>
            <w:tcW w:w="624" w:type="dxa"/>
            <w:tcBorders>
              <w:bottom w:val="single" w:sz="6" w:space="0" w:color="auto"/>
            </w:tcBorders>
          </w:tcPr>
          <w:p w14:paraId="2DB2CF2B" w14:textId="77777777" w:rsidR="00711444" w:rsidRPr="004D0DAA" w:rsidRDefault="00711444" w:rsidP="00AA2A4C"/>
        </w:tc>
        <w:tc>
          <w:tcPr>
            <w:tcW w:w="625" w:type="dxa"/>
            <w:tcBorders>
              <w:bottom w:val="single" w:sz="6" w:space="0" w:color="auto"/>
            </w:tcBorders>
          </w:tcPr>
          <w:p w14:paraId="3FC26E93" w14:textId="77777777" w:rsidR="00711444" w:rsidRPr="004D0DAA" w:rsidRDefault="00711444" w:rsidP="00AA2A4C"/>
        </w:tc>
        <w:tc>
          <w:tcPr>
            <w:tcW w:w="624" w:type="dxa"/>
            <w:gridSpan w:val="2"/>
            <w:tcBorders>
              <w:bottom w:val="single" w:sz="6" w:space="0" w:color="auto"/>
            </w:tcBorders>
          </w:tcPr>
          <w:p w14:paraId="2118E1F5" w14:textId="77777777" w:rsidR="00711444" w:rsidRPr="004D0DAA" w:rsidRDefault="00711444" w:rsidP="00AA2A4C"/>
        </w:tc>
        <w:tc>
          <w:tcPr>
            <w:tcW w:w="597" w:type="dxa"/>
            <w:tcBorders>
              <w:bottom w:val="single" w:sz="6" w:space="0" w:color="auto"/>
            </w:tcBorders>
          </w:tcPr>
          <w:p w14:paraId="52A144B3" w14:textId="77777777" w:rsidR="00711444" w:rsidRPr="004D0DAA" w:rsidRDefault="00711444" w:rsidP="00AA2A4C"/>
        </w:tc>
        <w:tc>
          <w:tcPr>
            <w:tcW w:w="653" w:type="dxa"/>
            <w:tcBorders>
              <w:bottom w:val="single" w:sz="6" w:space="0" w:color="auto"/>
              <w:right w:val="single" w:sz="6" w:space="0" w:color="auto"/>
            </w:tcBorders>
          </w:tcPr>
          <w:p w14:paraId="0FD578EC" w14:textId="77777777" w:rsidR="00711444" w:rsidRPr="004D0DAA" w:rsidRDefault="00711444" w:rsidP="00AA2A4C"/>
        </w:tc>
        <w:tc>
          <w:tcPr>
            <w:tcW w:w="2268" w:type="dxa"/>
          </w:tcPr>
          <w:p w14:paraId="0B8CACCF" w14:textId="77777777" w:rsidR="00711444" w:rsidRPr="004D0DAA" w:rsidRDefault="00711444" w:rsidP="00AA2A4C">
            <w:pPr>
              <w:pStyle w:val="TAC"/>
              <w:rPr>
                <w:lang w:eastAsia="en-US"/>
              </w:rPr>
            </w:pPr>
            <w:r w:rsidRPr="004D0DAA">
              <w:rPr>
                <w:lang w:eastAsia="en-US"/>
              </w:rPr>
              <w:t>Octet M+4 /</w:t>
            </w:r>
          </w:p>
        </w:tc>
      </w:tr>
      <w:tr w:rsidR="00711444" w:rsidRPr="004D0DAA" w14:paraId="1AFD75EF" w14:textId="77777777" w:rsidTr="00AA2A4C">
        <w:tblPrEx>
          <w:tblCellMar>
            <w:top w:w="0" w:type="dxa"/>
            <w:bottom w:w="0" w:type="dxa"/>
          </w:tblCellMar>
        </w:tblPrEx>
        <w:trPr>
          <w:cantSplit/>
          <w:jc w:val="center"/>
        </w:trPr>
        <w:tc>
          <w:tcPr>
            <w:tcW w:w="3618" w:type="dxa"/>
            <w:gridSpan w:val="6"/>
            <w:tcBorders>
              <w:left w:val="single" w:sz="6" w:space="0" w:color="auto"/>
              <w:bottom w:val="single" w:sz="6" w:space="0" w:color="auto"/>
              <w:right w:val="single" w:sz="6" w:space="0" w:color="auto"/>
            </w:tcBorders>
          </w:tcPr>
          <w:p w14:paraId="3AB02106" w14:textId="77777777" w:rsidR="00711444" w:rsidRPr="004D0DAA" w:rsidRDefault="00711444" w:rsidP="00AA2A4C">
            <w:pPr>
              <w:pStyle w:val="TAC"/>
              <w:rPr>
                <w:lang w:eastAsia="en-US"/>
              </w:rPr>
            </w:pPr>
            <w:r w:rsidRPr="004D0DAA">
              <w:rPr>
                <w:lang w:eastAsia="en-US"/>
              </w:rPr>
              <w:t>Length indicator</w:t>
            </w:r>
          </w:p>
        </w:tc>
        <w:tc>
          <w:tcPr>
            <w:tcW w:w="724" w:type="dxa"/>
            <w:gridSpan w:val="2"/>
            <w:tcBorders>
              <w:left w:val="single" w:sz="6" w:space="0" w:color="auto"/>
              <w:bottom w:val="single" w:sz="6" w:space="0" w:color="auto"/>
              <w:right w:val="single" w:sz="6" w:space="0" w:color="auto"/>
            </w:tcBorders>
          </w:tcPr>
          <w:p w14:paraId="11EFC364" w14:textId="77777777" w:rsidR="00711444" w:rsidRPr="004D0DAA" w:rsidRDefault="00711444" w:rsidP="00AA2A4C">
            <w:pPr>
              <w:pStyle w:val="TAC"/>
              <w:rPr>
                <w:lang w:eastAsia="en-US"/>
              </w:rPr>
            </w:pPr>
            <w:r w:rsidRPr="004D0DAA">
              <w:rPr>
                <w:lang w:eastAsia="en-US"/>
              </w:rPr>
              <w:t>M</w:t>
            </w:r>
          </w:p>
        </w:tc>
        <w:tc>
          <w:tcPr>
            <w:tcW w:w="653" w:type="dxa"/>
            <w:tcBorders>
              <w:left w:val="single" w:sz="6" w:space="0" w:color="auto"/>
              <w:bottom w:val="single" w:sz="6" w:space="0" w:color="auto"/>
              <w:right w:val="single" w:sz="6" w:space="0" w:color="auto"/>
            </w:tcBorders>
          </w:tcPr>
          <w:p w14:paraId="36278F7F" w14:textId="77777777" w:rsidR="00711444" w:rsidRPr="004D0DAA" w:rsidRDefault="00711444" w:rsidP="00AA2A4C">
            <w:pPr>
              <w:pStyle w:val="TAC"/>
              <w:rPr>
                <w:lang w:eastAsia="en-US"/>
              </w:rPr>
            </w:pPr>
            <w:r w:rsidRPr="004D0DAA">
              <w:rPr>
                <w:lang w:eastAsia="en-US"/>
              </w:rPr>
              <w:t>E</w:t>
            </w:r>
          </w:p>
        </w:tc>
        <w:tc>
          <w:tcPr>
            <w:tcW w:w="2268" w:type="dxa"/>
          </w:tcPr>
          <w:p w14:paraId="26B8CF82" w14:textId="77777777" w:rsidR="00711444" w:rsidRPr="004D0DAA" w:rsidRDefault="00711444" w:rsidP="00AA2A4C">
            <w:pPr>
              <w:pStyle w:val="TAC"/>
              <w:rPr>
                <w:lang w:eastAsia="en-US"/>
              </w:rPr>
            </w:pPr>
            <w:r w:rsidRPr="004D0DAA">
              <w:rPr>
                <w:lang w:eastAsia="en-US"/>
              </w:rPr>
              <w:t>Octet M + 5 (Note 3) (Optional)</w:t>
            </w:r>
          </w:p>
        </w:tc>
      </w:tr>
      <w:tr w:rsidR="00711444" w:rsidRPr="004D0DAA" w14:paraId="434D5ADD" w14:textId="77777777" w:rsidTr="00AA2A4C">
        <w:tblPrEx>
          <w:tblCellMar>
            <w:top w:w="0" w:type="dxa"/>
            <w:bottom w:w="0" w:type="dxa"/>
          </w:tblCellMar>
        </w:tblPrEx>
        <w:trPr>
          <w:cantSplit/>
          <w:jc w:val="center"/>
        </w:trPr>
        <w:tc>
          <w:tcPr>
            <w:tcW w:w="4995" w:type="dxa"/>
            <w:gridSpan w:val="9"/>
            <w:tcBorders>
              <w:left w:val="single" w:sz="6" w:space="0" w:color="auto"/>
              <w:bottom w:val="single" w:sz="6" w:space="0" w:color="auto"/>
              <w:right w:val="single" w:sz="6" w:space="0" w:color="auto"/>
            </w:tcBorders>
          </w:tcPr>
          <w:p w14:paraId="08A22526" w14:textId="77777777" w:rsidR="00711444" w:rsidRPr="004D0DAA" w:rsidRDefault="00711444" w:rsidP="00AA2A4C">
            <w:pPr>
              <w:pStyle w:val="TAC"/>
              <w:rPr>
                <w:lang w:eastAsia="en-US"/>
              </w:rPr>
            </w:pPr>
            <w:r w:rsidRPr="004D0DAA">
              <w:rPr>
                <w:lang w:eastAsia="en-US"/>
              </w:rPr>
              <w:t>DCN-ID (octet 1)</w:t>
            </w:r>
          </w:p>
        </w:tc>
        <w:tc>
          <w:tcPr>
            <w:tcW w:w="2268" w:type="dxa"/>
          </w:tcPr>
          <w:p w14:paraId="4F77D5AE" w14:textId="77777777" w:rsidR="00711444" w:rsidRPr="004D0DAA" w:rsidRDefault="00711444" w:rsidP="00AA2A4C">
            <w:pPr>
              <w:pStyle w:val="TAC"/>
              <w:rPr>
                <w:lang w:eastAsia="en-US"/>
              </w:rPr>
            </w:pPr>
            <w:r w:rsidRPr="004D0DAA">
              <w:rPr>
                <w:lang w:eastAsia="en-US"/>
              </w:rPr>
              <w:t>Octet M+6</w:t>
            </w:r>
          </w:p>
        </w:tc>
      </w:tr>
      <w:tr w:rsidR="00711444" w:rsidRPr="004D0DAA" w14:paraId="305A7C87" w14:textId="77777777" w:rsidTr="00AA2A4C">
        <w:tblPrEx>
          <w:tblCellMar>
            <w:top w:w="0" w:type="dxa"/>
            <w:bottom w:w="0" w:type="dxa"/>
          </w:tblCellMar>
        </w:tblPrEx>
        <w:trPr>
          <w:cantSplit/>
          <w:jc w:val="center"/>
        </w:trPr>
        <w:tc>
          <w:tcPr>
            <w:tcW w:w="4995" w:type="dxa"/>
            <w:gridSpan w:val="9"/>
            <w:tcBorders>
              <w:left w:val="single" w:sz="6" w:space="0" w:color="auto"/>
              <w:bottom w:val="single" w:sz="6" w:space="0" w:color="auto"/>
              <w:right w:val="single" w:sz="6" w:space="0" w:color="auto"/>
            </w:tcBorders>
          </w:tcPr>
          <w:p w14:paraId="09A3A449" w14:textId="77777777" w:rsidR="00711444" w:rsidRPr="004D0DAA" w:rsidRDefault="00711444" w:rsidP="00AA2A4C">
            <w:pPr>
              <w:pStyle w:val="TAC"/>
              <w:rPr>
                <w:lang w:eastAsia="en-US"/>
              </w:rPr>
            </w:pPr>
            <w:r w:rsidRPr="004D0DAA">
              <w:rPr>
                <w:lang w:eastAsia="en-US"/>
              </w:rPr>
              <w:t>DCN-ID (octet 2)</w:t>
            </w:r>
          </w:p>
        </w:tc>
        <w:tc>
          <w:tcPr>
            <w:tcW w:w="2268" w:type="dxa"/>
          </w:tcPr>
          <w:p w14:paraId="65E22962" w14:textId="77777777" w:rsidR="00711444" w:rsidRPr="004D0DAA" w:rsidRDefault="00711444" w:rsidP="00AA2A4C">
            <w:pPr>
              <w:pStyle w:val="TAC"/>
              <w:rPr>
                <w:lang w:eastAsia="en-US"/>
              </w:rPr>
            </w:pPr>
            <w:r w:rsidRPr="004D0DAA">
              <w:rPr>
                <w:lang w:eastAsia="en-US"/>
              </w:rPr>
              <w:t>Octet M+7</w:t>
            </w:r>
          </w:p>
        </w:tc>
      </w:tr>
      <w:tr w:rsidR="00711444" w:rsidRPr="004D0DAA" w14:paraId="79561952" w14:textId="77777777" w:rsidTr="00AA2A4C">
        <w:tblPrEx>
          <w:tblCellMar>
            <w:top w:w="0" w:type="dxa"/>
            <w:bottom w:w="0" w:type="dxa"/>
          </w:tblCellMar>
        </w:tblPrEx>
        <w:trPr>
          <w:cantSplit/>
          <w:jc w:val="center"/>
        </w:trPr>
        <w:tc>
          <w:tcPr>
            <w:tcW w:w="4342" w:type="dxa"/>
            <w:gridSpan w:val="8"/>
            <w:tcBorders>
              <w:left w:val="single" w:sz="6" w:space="0" w:color="auto"/>
              <w:bottom w:val="single" w:sz="6" w:space="0" w:color="auto"/>
              <w:right w:val="single" w:sz="6" w:space="0" w:color="auto"/>
            </w:tcBorders>
          </w:tcPr>
          <w:p w14:paraId="1A681E69" w14:textId="77777777" w:rsidR="00711444" w:rsidRPr="004D0DAA" w:rsidRDefault="00711444" w:rsidP="00AA2A4C">
            <w:pPr>
              <w:pStyle w:val="TAC"/>
              <w:rPr>
                <w:lang w:eastAsia="en-US"/>
              </w:rPr>
            </w:pPr>
            <w:r w:rsidRPr="004D0DAA">
              <w:rPr>
                <w:lang w:eastAsia="en-US"/>
              </w:rPr>
              <w:t>PFI</w:t>
            </w:r>
          </w:p>
        </w:tc>
        <w:tc>
          <w:tcPr>
            <w:tcW w:w="653" w:type="dxa"/>
            <w:tcBorders>
              <w:left w:val="single" w:sz="6" w:space="0" w:color="auto"/>
              <w:bottom w:val="single" w:sz="6" w:space="0" w:color="auto"/>
              <w:right w:val="single" w:sz="6" w:space="0" w:color="auto"/>
            </w:tcBorders>
          </w:tcPr>
          <w:p w14:paraId="2763740B" w14:textId="77777777" w:rsidR="00711444" w:rsidRPr="004D0DAA" w:rsidRDefault="00711444" w:rsidP="00AA2A4C">
            <w:pPr>
              <w:pStyle w:val="TAC"/>
              <w:rPr>
                <w:lang w:eastAsia="en-US"/>
              </w:rPr>
            </w:pPr>
            <w:r w:rsidRPr="004D0DAA">
              <w:rPr>
                <w:lang w:eastAsia="en-US"/>
              </w:rPr>
              <w:t>E</w:t>
            </w:r>
          </w:p>
        </w:tc>
        <w:tc>
          <w:tcPr>
            <w:tcW w:w="2268" w:type="dxa"/>
          </w:tcPr>
          <w:p w14:paraId="2D6791EE" w14:textId="77777777" w:rsidR="00711444" w:rsidRPr="004D0DAA" w:rsidRDefault="00711444" w:rsidP="00AA2A4C">
            <w:pPr>
              <w:pStyle w:val="TAC"/>
              <w:rPr>
                <w:lang w:eastAsia="en-US"/>
              </w:rPr>
            </w:pPr>
            <w:r w:rsidRPr="004D0DAA">
              <w:rPr>
                <w:lang w:eastAsia="en-US"/>
              </w:rPr>
              <w:t>Octet M + 8 /</w:t>
            </w:r>
          </w:p>
        </w:tc>
      </w:tr>
      <w:tr w:rsidR="00711444" w:rsidRPr="004D0DAA" w14:paraId="032DA4C7" w14:textId="77777777" w:rsidTr="00AA2A4C">
        <w:tblPrEx>
          <w:tblCellMar>
            <w:top w:w="0" w:type="dxa"/>
            <w:bottom w:w="0" w:type="dxa"/>
          </w:tblCellMar>
        </w:tblPrEx>
        <w:trPr>
          <w:cantSplit/>
          <w:jc w:val="center"/>
        </w:trPr>
        <w:tc>
          <w:tcPr>
            <w:tcW w:w="654" w:type="dxa"/>
            <w:tcBorders>
              <w:left w:val="single" w:sz="6" w:space="0" w:color="auto"/>
            </w:tcBorders>
          </w:tcPr>
          <w:p w14:paraId="77165207" w14:textId="77777777" w:rsidR="00711444" w:rsidRPr="004D0DAA" w:rsidRDefault="00711444" w:rsidP="00AA2A4C"/>
        </w:tc>
        <w:tc>
          <w:tcPr>
            <w:tcW w:w="650" w:type="dxa"/>
          </w:tcPr>
          <w:p w14:paraId="2E55BE78" w14:textId="77777777" w:rsidR="00711444" w:rsidRPr="004D0DAA" w:rsidRDefault="00711444" w:rsidP="00AA2A4C"/>
        </w:tc>
        <w:tc>
          <w:tcPr>
            <w:tcW w:w="568" w:type="dxa"/>
          </w:tcPr>
          <w:p w14:paraId="2A78D909" w14:textId="77777777" w:rsidR="00711444" w:rsidRPr="004D0DAA" w:rsidRDefault="00711444" w:rsidP="00AA2A4C"/>
        </w:tc>
        <w:tc>
          <w:tcPr>
            <w:tcW w:w="624" w:type="dxa"/>
          </w:tcPr>
          <w:p w14:paraId="792B0722" w14:textId="77777777" w:rsidR="00711444" w:rsidRPr="004D0DAA" w:rsidRDefault="00711444" w:rsidP="00AA2A4C"/>
        </w:tc>
        <w:tc>
          <w:tcPr>
            <w:tcW w:w="625" w:type="dxa"/>
          </w:tcPr>
          <w:p w14:paraId="02BD8D87" w14:textId="77777777" w:rsidR="00711444" w:rsidRPr="004D0DAA" w:rsidRDefault="00711444" w:rsidP="00AA2A4C"/>
        </w:tc>
        <w:tc>
          <w:tcPr>
            <w:tcW w:w="624" w:type="dxa"/>
            <w:gridSpan w:val="2"/>
          </w:tcPr>
          <w:p w14:paraId="3CEB365B" w14:textId="77777777" w:rsidR="00711444" w:rsidRPr="004D0DAA" w:rsidRDefault="00711444" w:rsidP="00AA2A4C"/>
        </w:tc>
        <w:tc>
          <w:tcPr>
            <w:tcW w:w="597" w:type="dxa"/>
          </w:tcPr>
          <w:p w14:paraId="26911163" w14:textId="77777777" w:rsidR="00711444" w:rsidRPr="004D0DAA" w:rsidRDefault="00711444" w:rsidP="00AA2A4C"/>
        </w:tc>
        <w:tc>
          <w:tcPr>
            <w:tcW w:w="653" w:type="dxa"/>
            <w:tcBorders>
              <w:right w:val="single" w:sz="6" w:space="0" w:color="auto"/>
            </w:tcBorders>
          </w:tcPr>
          <w:p w14:paraId="2654C2A8" w14:textId="77777777" w:rsidR="00711444" w:rsidRPr="004D0DAA" w:rsidRDefault="00711444" w:rsidP="00AA2A4C"/>
        </w:tc>
        <w:tc>
          <w:tcPr>
            <w:tcW w:w="2268" w:type="dxa"/>
          </w:tcPr>
          <w:p w14:paraId="1CBC69A5" w14:textId="77777777" w:rsidR="00711444" w:rsidRPr="004D0DAA" w:rsidRDefault="00711444" w:rsidP="00AA2A4C">
            <w:pPr>
              <w:pStyle w:val="TAC"/>
              <w:rPr>
                <w:lang w:eastAsia="en-US"/>
              </w:rPr>
            </w:pPr>
            <w:r w:rsidRPr="004D0DAA">
              <w:rPr>
                <w:lang w:eastAsia="en-US"/>
              </w:rPr>
              <w:t xml:space="preserve">Octet M+9 </w:t>
            </w:r>
          </w:p>
        </w:tc>
      </w:tr>
      <w:tr w:rsidR="00711444" w:rsidRPr="004D0DAA" w14:paraId="70523962" w14:textId="77777777" w:rsidTr="00AA2A4C">
        <w:tblPrEx>
          <w:tblCellMar>
            <w:top w:w="0" w:type="dxa"/>
            <w:bottom w:w="0" w:type="dxa"/>
          </w:tblCellMar>
        </w:tblPrEx>
        <w:trPr>
          <w:cantSplit/>
          <w:jc w:val="center"/>
        </w:trPr>
        <w:tc>
          <w:tcPr>
            <w:tcW w:w="4995" w:type="dxa"/>
            <w:gridSpan w:val="9"/>
            <w:tcBorders>
              <w:left w:val="single" w:sz="6" w:space="0" w:color="auto"/>
              <w:right w:val="single" w:sz="6" w:space="0" w:color="auto"/>
            </w:tcBorders>
          </w:tcPr>
          <w:p w14:paraId="091724DD" w14:textId="77777777" w:rsidR="00711444" w:rsidRPr="004D0DAA" w:rsidRDefault="00711444" w:rsidP="00AA2A4C">
            <w:pPr>
              <w:pStyle w:val="TAC"/>
              <w:rPr>
                <w:lang w:eastAsia="en-US"/>
              </w:rPr>
            </w:pPr>
            <w:r w:rsidRPr="004D0DAA">
              <w:rPr>
                <w:lang w:eastAsia="en-US"/>
              </w:rPr>
              <w:br/>
              <w:t>RLC data</w:t>
            </w:r>
          </w:p>
        </w:tc>
        <w:tc>
          <w:tcPr>
            <w:tcW w:w="2268" w:type="dxa"/>
          </w:tcPr>
          <w:p w14:paraId="57EDD919" w14:textId="77777777" w:rsidR="00711444" w:rsidRPr="004D0DAA" w:rsidRDefault="00711444" w:rsidP="00AA2A4C">
            <w:pPr>
              <w:pStyle w:val="TAC"/>
              <w:rPr>
                <w:lang w:eastAsia="en-US"/>
              </w:rPr>
            </w:pPr>
            <w:r w:rsidRPr="004D0DAA">
              <w:rPr>
                <w:lang w:eastAsia="en-US"/>
              </w:rPr>
              <w:t>.</w:t>
            </w:r>
          </w:p>
          <w:p w14:paraId="5AAE885C" w14:textId="77777777" w:rsidR="00711444" w:rsidRPr="004D0DAA" w:rsidRDefault="00711444" w:rsidP="00AA2A4C">
            <w:pPr>
              <w:pStyle w:val="TAC"/>
              <w:rPr>
                <w:lang w:eastAsia="en-US"/>
              </w:rPr>
            </w:pPr>
            <w:r w:rsidRPr="004D0DAA">
              <w:rPr>
                <w:lang w:eastAsia="en-US"/>
              </w:rPr>
              <w:t>.</w:t>
            </w:r>
          </w:p>
          <w:p w14:paraId="74B21EBD" w14:textId="77777777" w:rsidR="00711444" w:rsidRPr="004D0DAA" w:rsidRDefault="00711444" w:rsidP="00AA2A4C">
            <w:pPr>
              <w:pStyle w:val="TAC"/>
              <w:rPr>
                <w:lang w:eastAsia="en-US"/>
              </w:rPr>
            </w:pPr>
            <w:r w:rsidRPr="004D0DAA">
              <w:rPr>
                <w:lang w:eastAsia="en-US"/>
              </w:rPr>
              <w:t>.</w:t>
            </w:r>
          </w:p>
        </w:tc>
      </w:tr>
      <w:tr w:rsidR="00711444" w:rsidRPr="004D0DAA" w14:paraId="699A157C" w14:textId="77777777" w:rsidTr="00AA2A4C">
        <w:tblPrEx>
          <w:tblCellMar>
            <w:top w:w="0" w:type="dxa"/>
            <w:bottom w:w="0" w:type="dxa"/>
          </w:tblCellMar>
        </w:tblPrEx>
        <w:trPr>
          <w:cantSplit/>
          <w:jc w:val="center"/>
        </w:trPr>
        <w:tc>
          <w:tcPr>
            <w:tcW w:w="654" w:type="dxa"/>
            <w:tcBorders>
              <w:left w:val="single" w:sz="6" w:space="0" w:color="auto"/>
            </w:tcBorders>
          </w:tcPr>
          <w:p w14:paraId="1D706734" w14:textId="77777777" w:rsidR="00711444" w:rsidRPr="004D0DAA" w:rsidRDefault="00711444" w:rsidP="00AA2A4C"/>
        </w:tc>
        <w:tc>
          <w:tcPr>
            <w:tcW w:w="650" w:type="dxa"/>
          </w:tcPr>
          <w:p w14:paraId="7C340071" w14:textId="77777777" w:rsidR="00711444" w:rsidRPr="004D0DAA" w:rsidRDefault="00711444" w:rsidP="00AA2A4C"/>
        </w:tc>
        <w:tc>
          <w:tcPr>
            <w:tcW w:w="568" w:type="dxa"/>
          </w:tcPr>
          <w:p w14:paraId="7201E4FC" w14:textId="77777777" w:rsidR="00711444" w:rsidRPr="004D0DAA" w:rsidRDefault="00711444" w:rsidP="00AA2A4C"/>
        </w:tc>
        <w:tc>
          <w:tcPr>
            <w:tcW w:w="624" w:type="dxa"/>
          </w:tcPr>
          <w:p w14:paraId="4DBA9427" w14:textId="77777777" w:rsidR="00711444" w:rsidRPr="004D0DAA" w:rsidRDefault="00711444" w:rsidP="00AA2A4C"/>
        </w:tc>
        <w:tc>
          <w:tcPr>
            <w:tcW w:w="625" w:type="dxa"/>
          </w:tcPr>
          <w:p w14:paraId="09D278B5" w14:textId="77777777" w:rsidR="00711444" w:rsidRPr="004D0DAA" w:rsidRDefault="00711444" w:rsidP="00AA2A4C"/>
        </w:tc>
        <w:tc>
          <w:tcPr>
            <w:tcW w:w="624" w:type="dxa"/>
            <w:gridSpan w:val="2"/>
          </w:tcPr>
          <w:p w14:paraId="6A6D77BE" w14:textId="77777777" w:rsidR="00711444" w:rsidRPr="004D0DAA" w:rsidRDefault="00711444" w:rsidP="00AA2A4C"/>
        </w:tc>
        <w:tc>
          <w:tcPr>
            <w:tcW w:w="597" w:type="dxa"/>
          </w:tcPr>
          <w:p w14:paraId="04979283" w14:textId="77777777" w:rsidR="00711444" w:rsidRPr="004D0DAA" w:rsidRDefault="00711444" w:rsidP="00AA2A4C"/>
        </w:tc>
        <w:tc>
          <w:tcPr>
            <w:tcW w:w="653" w:type="dxa"/>
            <w:tcBorders>
              <w:right w:val="single" w:sz="6" w:space="0" w:color="auto"/>
            </w:tcBorders>
          </w:tcPr>
          <w:p w14:paraId="45DC60F0" w14:textId="77777777" w:rsidR="00711444" w:rsidRPr="004D0DAA" w:rsidRDefault="00711444" w:rsidP="00AA2A4C"/>
        </w:tc>
        <w:tc>
          <w:tcPr>
            <w:tcW w:w="2268" w:type="dxa"/>
          </w:tcPr>
          <w:p w14:paraId="327FBD9E" w14:textId="77777777" w:rsidR="00711444" w:rsidRPr="004D0DAA" w:rsidRDefault="00711444" w:rsidP="00AA2A4C">
            <w:pPr>
              <w:pStyle w:val="TAC"/>
              <w:rPr>
                <w:lang w:eastAsia="en-US"/>
              </w:rPr>
            </w:pPr>
            <w:r w:rsidRPr="004D0DAA">
              <w:rPr>
                <w:lang w:eastAsia="en-US"/>
              </w:rPr>
              <w:t>Octet N-1</w:t>
            </w:r>
          </w:p>
        </w:tc>
      </w:tr>
      <w:tr w:rsidR="00711444" w:rsidRPr="004D0DAA" w14:paraId="1B7B7E00" w14:textId="77777777" w:rsidTr="00AA2A4C">
        <w:tblPrEx>
          <w:tblCellMar>
            <w:top w:w="0" w:type="dxa"/>
            <w:bottom w:w="0" w:type="dxa"/>
          </w:tblCellMar>
        </w:tblPrEx>
        <w:trPr>
          <w:cantSplit/>
          <w:jc w:val="center"/>
        </w:trPr>
        <w:tc>
          <w:tcPr>
            <w:tcW w:w="654" w:type="dxa"/>
            <w:tcBorders>
              <w:left w:val="single" w:sz="6" w:space="0" w:color="auto"/>
              <w:bottom w:val="single" w:sz="6" w:space="0" w:color="auto"/>
            </w:tcBorders>
          </w:tcPr>
          <w:p w14:paraId="57373400" w14:textId="77777777" w:rsidR="00711444" w:rsidRPr="004D0DAA" w:rsidRDefault="00711444" w:rsidP="00AA2A4C"/>
        </w:tc>
        <w:tc>
          <w:tcPr>
            <w:tcW w:w="650" w:type="dxa"/>
          </w:tcPr>
          <w:p w14:paraId="7BD2CACC" w14:textId="77777777" w:rsidR="00711444" w:rsidRPr="004D0DAA" w:rsidRDefault="00711444" w:rsidP="00AA2A4C"/>
        </w:tc>
        <w:tc>
          <w:tcPr>
            <w:tcW w:w="568" w:type="dxa"/>
          </w:tcPr>
          <w:p w14:paraId="60BAFC67" w14:textId="77777777" w:rsidR="00711444" w:rsidRPr="004D0DAA" w:rsidRDefault="00711444" w:rsidP="00AA2A4C"/>
        </w:tc>
        <w:tc>
          <w:tcPr>
            <w:tcW w:w="624" w:type="dxa"/>
          </w:tcPr>
          <w:p w14:paraId="0071E4D9" w14:textId="77777777" w:rsidR="00711444" w:rsidRPr="004D0DAA" w:rsidRDefault="00711444" w:rsidP="00AA2A4C"/>
        </w:tc>
        <w:tc>
          <w:tcPr>
            <w:tcW w:w="625" w:type="dxa"/>
          </w:tcPr>
          <w:p w14:paraId="2C64FBC0" w14:textId="77777777" w:rsidR="00711444" w:rsidRPr="004D0DAA" w:rsidRDefault="00711444" w:rsidP="00AA2A4C"/>
        </w:tc>
        <w:tc>
          <w:tcPr>
            <w:tcW w:w="624" w:type="dxa"/>
            <w:gridSpan w:val="2"/>
          </w:tcPr>
          <w:p w14:paraId="391AC0F4" w14:textId="77777777" w:rsidR="00711444" w:rsidRPr="004D0DAA" w:rsidRDefault="00711444" w:rsidP="00AA2A4C"/>
        </w:tc>
        <w:tc>
          <w:tcPr>
            <w:tcW w:w="597" w:type="dxa"/>
          </w:tcPr>
          <w:p w14:paraId="52692B91" w14:textId="77777777" w:rsidR="00711444" w:rsidRPr="004D0DAA" w:rsidRDefault="00711444" w:rsidP="00AA2A4C"/>
        </w:tc>
        <w:tc>
          <w:tcPr>
            <w:tcW w:w="653" w:type="dxa"/>
            <w:tcBorders>
              <w:right w:val="single" w:sz="6" w:space="0" w:color="auto"/>
            </w:tcBorders>
          </w:tcPr>
          <w:p w14:paraId="27B93072" w14:textId="77777777" w:rsidR="00711444" w:rsidRPr="004D0DAA" w:rsidRDefault="00711444" w:rsidP="00AA2A4C"/>
        </w:tc>
        <w:tc>
          <w:tcPr>
            <w:tcW w:w="2268" w:type="dxa"/>
          </w:tcPr>
          <w:p w14:paraId="068445EE" w14:textId="77777777" w:rsidR="00711444" w:rsidRPr="004D0DAA" w:rsidRDefault="00711444" w:rsidP="00AA2A4C">
            <w:pPr>
              <w:pStyle w:val="TAC"/>
              <w:rPr>
                <w:lang w:eastAsia="en-US"/>
              </w:rPr>
            </w:pPr>
            <w:r w:rsidRPr="004D0DAA">
              <w:rPr>
                <w:lang w:eastAsia="en-US"/>
              </w:rPr>
              <w:t>Octet N</w:t>
            </w:r>
          </w:p>
        </w:tc>
      </w:tr>
      <w:tr w:rsidR="00711444" w:rsidRPr="004D0DAA" w14:paraId="6B5A3431" w14:textId="77777777" w:rsidTr="00AA2A4C">
        <w:tblPrEx>
          <w:tblCellMar>
            <w:top w:w="0" w:type="dxa"/>
            <w:bottom w:w="0" w:type="dxa"/>
          </w:tblCellMar>
        </w:tblPrEx>
        <w:trPr>
          <w:cantSplit/>
          <w:jc w:val="center"/>
        </w:trPr>
        <w:tc>
          <w:tcPr>
            <w:tcW w:w="654" w:type="dxa"/>
            <w:tcBorders>
              <w:top w:val="single" w:sz="6" w:space="0" w:color="auto"/>
            </w:tcBorders>
          </w:tcPr>
          <w:p w14:paraId="6B9D84DD" w14:textId="77777777" w:rsidR="00711444" w:rsidRPr="004D0DAA" w:rsidRDefault="00711444" w:rsidP="00AA2A4C"/>
        </w:tc>
        <w:tc>
          <w:tcPr>
            <w:tcW w:w="650" w:type="dxa"/>
            <w:tcBorders>
              <w:top w:val="single" w:sz="6" w:space="0" w:color="auto"/>
            </w:tcBorders>
          </w:tcPr>
          <w:p w14:paraId="14FEFB56" w14:textId="77777777" w:rsidR="00711444" w:rsidRPr="004D0DAA" w:rsidRDefault="00711444" w:rsidP="00AA2A4C"/>
        </w:tc>
        <w:tc>
          <w:tcPr>
            <w:tcW w:w="1192" w:type="dxa"/>
            <w:gridSpan w:val="2"/>
            <w:tcBorders>
              <w:top w:val="single" w:sz="6" w:space="0" w:color="auto"/>
            </w:tcBorders>
          </w:tcPr>
          <w:p w14:paraId="14FCDF32" w14:textId="77777777" w:rsidR="00711444" w:rsidRPr="004D0DAA" w:rsidRDefault="00711444" w:rsidP="00AA2A4C">
            <w:pPr>
              <w:pStyle w:val="TAC"/>
              <w:rPr>
                <w:lang w:eastAsia="en-US"/>
              </w:rPr>
            </w:pPr>
            <w:r w:rsidRPr="004D0DAA">
              <w:rPr>
                <w:lang w:eastAsia="en-US"/>
              </w:rPr>
              <w:t>spare</w:t>
            </w:r>
          </w:p>
        </w:tc>
        <w:tc>
          <w:tcPr>
            <w:tcW w:w="625" w:type="dxa"/>
            <w:tcBorders>
              <w:top w:val="single" w:sz="6" w:space="0" w:color="auto"/>
            </w:tcBorders>
          </w:tcPr>
          <w:p w14:paraId="440B498B" w14:textId="77777777" w:rsidR="00711444" w:rsidRPr="004D0DAA" w:rsidRDefault="00711444" w:rsidP="00AA2A4C"/>
        </w:tc>
        <w:tc>
          <w:tcPr>
            <w:tcW w:w="624" w:type="dxa"/>
            <w:gridSpan w:val="2"/>
            <w:tcBorders>
              <w:top w:val="single" w:sz="6" w:space="0" w:color="auto"/>
            </w:tcBorders>
          </w:tcPr>
          <w:p w14:paraId="0011452C" w14:textId="77777777" w:rsidR="00711444" w:rsidRPr="004D0DAA" w:rsidRDefault="00711444" w:rsidP="00AA2A4C"/>
        </w:tc>
        <w:tc>
          <w:tcPr>
            <w:tcW w:w="597" w:type="dxa"/>
            <w:tcBorders>
              <w:top w:val="single" w:sz="6" w:space="0" w:color="auto"/>
            </w:tcBorders>
          </w:tcPr>
          <w:p w14:paraId="31975D23" w14:textId="77777777" w:rsidR="00711444" w:rsidRPr="004D0DAA" w:rsidRDefault="00711444" w:rsidP="00AA2A4C">
            <w:pPr>
              <w:pStyle w:val="TAC"/>
              <w:rPr>
                <w:lang w:eastAsia="en-US"/>
              </w:rPr>
            </w:pPr>
            <w:r w:rsidRPr="004D0DAA">
              <w:rPr>
                <w:lang w:eastAsia="en-US"/>
              </w:rPr>
              <w:t>spare</w:t>
            </w:r>
          </w:p>
        </w:tc>
        <w:tc>
          <w:tcPr>
            <w:tcW w:w="653" w:type="dxa"/>
            <w:tcBorders>
              <w:top w:val="single" w:sz="6" w:space="0" w:color="auto"/>
            </w:tcBorders>
          </w:tcPr>
          <w:p w14:paraId="16DCCB61" w14:textId="77777777" w:rsidR="00711444" w:rsidRPr="004D0DAA" w:rsidRDefault="00711444" w:rsidP="00AA2A4C"/>
        </w:tc>
        <w:tc>
          <w:tcPr>
            <w:tcW w:w="2268" w:type="dxa"/>
          </w:tcPr>
          <w:p w14:paraId="2F730A2D" w14:textId="77777777" w:rsidR="00711444" w:rsidRPr="004D0DAA" w:rsidRDefault="00711444" w:rsidP="00AA2A4C">
            <w:pPr>
              <w:pStyle w:val="TAC"/>
              <w:rPr>
                <w:lang w:eastAsia="en-US"/>
              </w:rPr>
            </w:pPr>
            <w:r w:rsidRPr="004D0DAA">
              <w:rPr>
                <w:lang w:eastAsia="en-US"/>
              </w:rPr>
              <w:t>(if present)</w:t>
            </w:r>
          </w:p>
        </w:tc>
      </w:tr>
    </w:tbl>
    <w:p w14:paraId="7E911F74" w14:textId="77777777" w:rsidR="00711444" w:rsidRPr="004D0DAA" w:rsidRDefault="00711444" w:rsidP="00711444">
      <w:pPr>
        <w:pStyle w:val="NF"/>
      </w:pPr>
    </w:p>
    <w:p w14:paraId="20709576" w14:textId="77777777" w:rsidR="00711444" w:rsidRPr="004D0DAA" w:rsidRDefault="00711444" w:rsidP="00711444">
      <w:pPr>
        <w:pStyle w:val="NF"/>
      </w:pPr>
      <w:r w:rsidRPr="004D0DAA">
        <w:t>NOTE 1:</w:t>
      </w:r>
      <w:r w:rsidRPr="004D0DAA">
        <w:tab/>
        <w:t xml:space="preserve">The field mapping convention for GPRS (sub-clause 10.0b.3.1) applies. According to that, in particular regarding the TLLI field, the </w:t>
      </w:r>
      <w:r w:rsidRPr="004D0DAA">
        <w:rPr>
          <w:i/>
        </w:rPr>
        <w:t>most significant byte</w:t>
      </w:r>
      <w:r w:rsidRPr="004D0DAA">
        <w:t xml:space="preserve"> of the TLLI value shall be mapped on octet M+1 and the </w:t>
      </w:r>
      <w:r w:rsidRPr="004D0DAA">
        <w:rPr>
          <w:i/>
        </w:rPr>
        <w:t>least significant byte</w:t>
      </w:r>
      <w:r w:rsidRPr="004D0DAA">
        <w:t xml:space="preserve"> of the TLLI value shall be mapped on octet M+4 of the uplink RLC data block.</w:t>
      </w:r>
    </w:p>
    <w:p w14:paraId="1A228E23" w14:textId="77777777" w:rsidR="00711444" w:rsidRPr="004D0DAA" w:rsidRDefault="00711444" w:rsidP="00711444">
      <w:pPr>
        <w:pStyle w:val="NF"/>
      </w:pPr>
      <w:r w:rsidRPr="004D0DAA">
        <w:t>NOTE 2:</w:t>
      </w:r>
      <w:r w:rsidRPr="004D0DAA">
        <w:tab/>
        <w:t>This octet is only included if the value of the first  instance of the Length indicator in the RLC data block is 62.</w:t>
      </w:r>
    </w:p>
    <w:p w14:paraId="3AB38605" w14:textId="77777777" w:rsidR="00711444" w:rsidRPr="004D0DAA" w:rsidRDefault="00711444" w:rsidP="00711444">
      <w:pPr>
        <w:pStyle w:val="NF"/>
      </w:pPr>
      <w:r w:rsidRPr="004D0DAA">
        <w:t>NOTE 3:</w:t>
      </w:r>
      <w:r w:rsidRPr="004D0DAA">
        <w:tab/>
        <w:t xml:space="preserve">This octet and the following two octets are only included if both the network and MS support MS assisted Dedicated Core Network selection (see 3GPP TS 44.018 [11]). </w:t>
      </w:r>
    </w:p>
    <w:p w14:paraId="1429353A" w14:textId="77777777" w:rsidR="00711444" w:rsidRPr="004D0DAA" w:rsidRDefault="00711444" w:rsidP="00711444">
      <w:pPr>
        <w:pStyle w:val="NF"/>
      </w:pPr>
    </w:p>
    <w:p w14:paraId="0BEBA985" w14:textId="77777777" w:rsidR="00711444" w:rsidRPr="004D0DAA" w:rsidRDefault="00711444" w:rsidP="00711444">
      <w:pPr>
        <w:pStyle w:val="TF"/>
      </w:pPr>
      <w:r w:rsidRPr="004D0DAA">
        <w:t>Figure 10.2.2.1: Uplink RLC data block with MAC header</w:t>
      </w:r>
    </w:p>
    <w:p w14:paraId="6AD316AD" w14:textId="77777777" w:rsidR="00711444" w:rsidRPr="004D0DAA" w:rsidRDefault="00711444" w:rsidP="00711444">
      <w:pPr>
        <w:pStyle w:val="Heading2"/>
      </w:pPr>
      <w:bookmarkStart w:id="506" w:name="_Toc516669688"/>
      <w:r w:rsidRPr="004D0DAA">
        <w:t>10.3</w:t>
      </w:r>
      <w:r w:rsidRPr="004D0DAA">
        <w:tab/>
        <w:t>RLC/MAC control blocks</w:t>
      </w:r>
      <w:bookmarkEnd w:id="506"/>
    </w:p>
    <w:p w14:paraId="3F19D000" w14:textId="77777777" w:rsidR="00711444" w:rsidRPr="004D0DAA" w:rsidRDefault="00711444" w:rsidP="00711444">
      <w:r w:rsidRPr="004D0DAA">
        <w:t>The RLC/MAC control block consists of a control message contents field and in the downlink direction an optional control header. RLC/MAC control messages shall be transported within RLC/MAC control blocks. An RLC/MAC control blocks shall always be encoded using the coding scheme CS-1 (see 3GPP TS 44.004), except in the following conditions:</w:t>
      </w:r>
    </w:p>
    <w:p w14:paraId="5C4D723B" w14:textId="77777777" w:rsidR="00711444" w:rsidRPr="004D0DAA" w:rsidRDefault="00711444" w:rsidP="00711444">
      <w:pPr>
        <w:pStyle w:val="B1"/>
      </w:pPr>
      <w:r w:rsidRPr="004D0DAA">
        <w:t>-</w:t>
      </w:r>
      <w:r w:rsidRPr="004D0DAA">
        <w:tab/>
        <w:t>on a downlink PDCH-pair assigned to a TBF in RTTI configuration with BTTI USF mode, downlink RLC/MAC control blocks shall always be encoded using coding scheme MCS-0;</w:t>
      </w:r>
    </w:p>
    <w:p w14:paraId="2224204C" w14:textId="77777777" w:rsidR="00711444" w:rsidRPr="004D0DAA" w:rsidRDefault="00711444" w:rsidP="00711444">
      <w:pPr>
        <w:pStyle w:val="B1"/>
      </w:pPr>
      <w:r w:rsidRPr="004D0DAA">
        <w:t>-</w:t>
      </w:r>
      <w:r w:rsidRPr="004D0DAA">
        <w:tab/>
        <w:t xml:space="preserve">on a downlink PDCH-pair assigned to a TBF in RTTI configuration with RTTI USF mode, downlink RLC/MAC control blocks </w:t>
      </w:r>
      <w:r w:rsidRPr="004D0DAA">
        <w:rPr>
          <w:rFonts w:hint="eastAsia"/>
          <w:lang w:eastAsia="ko-KR"/>
        </w:rPr>
        <w:t xml:space="preserve">shall always be encoded </w:t>
      </w:r>
      <w:r w:rsidRPr="004D0DAA">
        <w:t xml:space="preserve">using </w:t>
      </w:r>
      <w:r w:rsidRPr="004D0DAA">
        <w:rPr>
          <w:rFonts w:hint="eastAsia"/>
          <w:lang w:eastAsia="ko-KR"/>
        </w:rPr>
        <w:t xml:space="preserve">either coding scheme CS-1 or </w:t>
      </w:r>
      <w:r w:rsidRPr="004D0DAA">
        <w:t xml:space="preserve">coding scheme MCS-0; </w:t>
      </w:r>
      <w:r w:rsidRPr="004D0DAA">
        <w:rPr>
          <w:rFonts w:hint="eastAsia"/>
          <w:lang w:eastAsia="ko-KR"/>
        </w:rPr>
        <w:t>an MS can differentiate CS-1 blocks from MCS-0 blocks by examining the stealing bits</w:t>
      </w:r>
      <w:r w:rsidRPr="004D0DAA">
        <w:t>.</w:t>
      </w:r>
    </w:p>
    <w:p w14:paraId="5EF7B56F" w14:textId="77777777" w:rsidR="00711444" w:rsidRPr="004D0DAA" w:rsidRDefault="00711444" w:rsidP="00711444">
      <w:pPr>
        <w:pStyle w:val="B1"/>
      </w:pPr>
      <w:r w:rsidRPr="004D0DAA">
        <w:lastRenderedPageBreak/>
        <w:t>-</w:t>
      </w:r>
      <w:r w:rsidRPr="004D0DAA">
        <w:tab/>
        <w:t xml:space="preserve">a mobile station that supports more than 20 timeslots in a DLMC configuration (see sub-clause 5.13) may send an EGPRS Packet Downlink Ack/Nack DLMC message using the coding scheme CS-1 or CS-3 as indicated by the </w:t>
      </w:r>
      <w:r w:rsidRPr="004D0DAA">
        <w:rPr>
          <w:i/>
        </w:rPr>
        <w:t>PDAN Coding</w:t>
      </w:r>
      <w:r w:rsidRPr="004D0DAA">
        <w:t xml:space="preserve"> IE in the most recently received assignment message. However, a mobile station that has been commanded to use CS-3 shall use CS-1 for any given EGPRS Packet Downlink Ack/Nack DLMC message that includes a request for an uplink TBF.</w:t>
      </w:r>
    </w:p>
    <w:p w14:paraId="5FF85B82" w14:textId="77777777" w:rsidR="00711444" w:rsidRPr="004D0DAA" w:rsidRDefault="00711444" w:rsidP="00711444">
      <w:pPr>
        <w:pStyle w:val="Heading3"/>
      </w:pPr>
      <w:bookmarkStart w:id="507" w:name="_Toc516669689"/>
      <w:r w:rsidRPr="004D0DAA">
        <w:t>10.3.1</w:t>
      </w:r>
      <w:r w:rsidRPr="004D0DAA">
        <w:tab/>
        <w:t>Downlink RLC/MAC control block</w:t>
      </w:r>
      <w:bookmarkEnd w:id="507"/>
    </w:p>
    <w:p w14:paraId="55DB718D" w14:textId="77777777" w:rsidR="00711444" w:rsidRPr="004D0DAA" w:rsidRDefault="00711444" w:rsidP="00711444">
      <w:pPr>
        <w:pStyle w:val="Heading4"/>
      </w:pPr>
      <w:bookmarkStart w:id="508" w:name="_Toc516669690"/>
      <w:r w:rsidRPr="004D0DAA">
        <w:t>10.3.1.1</w:t>
      </w:r>
      <w:r w:rsidRPr="004D0DAA">
        <w:tab/>
        <w:t>Blocks encoded using CS-1</w:t>
      </w:r>
      <w:bookmarkEnd w:id="508"/>
    </w:p>
    <w:p w14:paraId="5EA01A91" w14:textId="77777777" w:rsidR="00711444" w:rsidRPr="004D0DAA" w:rsidRDefault="00711444" w:rsidP="00711444">
      <w:r w:rsidRPr="004D0DAA">
        <w:t>The Downlink RLC/MAC control block together with its MAC header is formatted as shown in figure 10.3.1.1.1.</w:t>
      </w:r>
    </w:p>
    <w:tbl>
      <w:tblPr>
        <w:tblW w:w="0" w:type="auto"/>
        <w:jc w:val="center"/>
        <w:tblLayout w:type="fixed"/>
        <w:tblCellMar>
          <w:left w:w="28" w:type="dxa"/>
          <w:right w:w="28" w:type="dxa"/>
        </w:tblCellMar>
        <w:tblLook w:val="0000" w:firstRow="0" w:lastRow="0" w:firstColumn="0" w:lastColumn="0" w:noHBand="0" w:noVBand="0"/>
      </w:tblPr>
      <w:tblGrid>
        <w:gridCol w:w="630"/>
        <w:gridCol w:w="740"/>
        <w:gridCol w:w="508"/>
        <w:gridCol w:w="624"/>
        <w:gridCol w:w="624"/>
        <w:gridCol w:w="624"/>
        <w:gridCol w:w="624"/>
        <w:gridCol w:w="624"/>
        <w:gridCol w:w="2462"/>
      </w:tblGrid>
      <w:tr w:rsidR="00711444" w:rsidRPr="004D0DAA" w14:paraId="496B45FF" w14:textId="77777777" w:rsidTr="00AA2A4C">
        <w:tblPrEx>
          <w:tblCellMar>
            <w:top w:w="0" w:type="dxa"/>
            <w:bottom w:w="0" w:type="dxa"/>
          </w:tblCellMar>
        </w:tblPrEx>
        <w:trPr>
          <w:cantSplit/>
          <w:jc w:val="center"/>
        </w:trPr>
        <w:tc>
          <w:tcPr>
            <w:tcW w:w="4998" w:type="dxa"/>
            <w:gridSpan w:val="8"/>
          </w:tcPr>
          <w:p w14:paraId="3F281F8B" w14:textId="77777777" w:rsidR="00711444" w:rsidRPr="004D0DAA" w:rsidRDefault="00711444" w:rsidP="00AA2A4C">
            <w:pPr>
              <w:pStyle w:val="TAC"/>
              <w:rPr>
                <w:lang w:eastAsia="en-US"/>
              </w:rPr>
            </w:pPr>
            <w:r w:rsidRPr="004D0DAA">
              <w:rPr>
                <w:lang w:eastAsia="en-US"/>
              </w:rPr>
              <w:t>Bit</w:t>
            </w:r>
          </w:p>
        </w:tc>
        <w:tc>
          <w:tcPr>
            <w:tcW w:w="2462" w:type="dxa"/>
          </w:tcPr>
          <w:p w14:paraId="014EDC6F" w14:textId="77777777" w:rsidR="00711444" w:rsidRPr="004D0DAA" w:rsidRDefault="00711444" w:rsidP="00AA2A4C">
            <w:pPr>
              <w:pStyle w:val="TAC"/>
              <w:rPr>
                <w:lang w:eastAsia="en-US"/>
              </w:rPr>
            </w:pPr>
          </w:p>
        </w:tc>
      </w:tr>
      <w:tr w:rsidR="00711444" w:rsidRPr="004D0DAA" w14:paraId="6BBD597A" w14:textId="77777777" w:rsidTr="00AA2A4C">
        <w:tblPrEx>
          <w:tblCellMar>
            <w:top w:w="0" w:type="dxa"/>
            <w:bottom w:w="0" w:type="dxa"/>
          </w:tblCellMar>
        </w:tblPrEx>
        <w:trPr>
          <w:cantSplit/>
          <w:jc w:val="center"/>
        </w:trPr>
        <w:tc>
          <w:tcPr>
            <w:tcW w:w="630" w:type="dxa"/>
          </w:tcPr>
          <w:p w14:paraId="33691FE8" w14:textId="77777777" w:rsidR="00711444" w:rsidRPr="004D0DAA" w:rsidRDefault="00711444" w:rsidP="00AA2A4C">
            <w:pPr>
              <w:pStyle w:val="TAC"/>
              <w:rPr>
                <w:lang w:eastAsia="en-US"/>
              </w:rPr>
            </w:pPr>
            <w:r w:rsidRPr="004D0DAA">
              <w:rPr>
                <w:lang w:eastAsia="en-US"/>
              </w:rPr>
              <w:t>8</w:t>
            </w:r>
          </w:p>
        </w:tc>
        <w:tc>
          <w:tcPr>
            <w:tcW w:w="740" w:type="dxa"/>
          </w:tcPr>
          <w:p w14:paraId="62F9C52C" w14:textId="77777777" w:rsidR="00711444" w:rsidRPr="004D0DAA" w:rsidRDefault="00711444" w:rsidP="00AA2A4C">
            <w:pPr>
              <w:pStyle w:val="TAC"/>
              <w:rPr>
                <w:lang w:eastAsia="en-US"/>
              </w:rPr>
            </w:pPr>
            <w:r w:rsidRPr="004D0DAA">
              <w:rPr>
                <w:lang w:eastAsia="en-US"/>
              </w:rPr>
              <w:t>7</w:t>
            </w:r>
          </w:p>
        </w:tc>
        <w:tc>
          <w:tcPr>
            <w:tcW w:w="508" w:type="dxa"/>
          </w:tcPr>
          <w:p w14:paraId="230E042D" w14:textId="77777777" w:rsidR="00711444" w:rsidRPr="004D0DAA" w:rsidRDefault="00711444" w:rsidP="00AA2A4C">
            <w:pPr>
              <w:pStyle w:val="TAC"/>
              <w:rPr>
                <w:lang w:eastAsia="en-US"/>
              </w:rPr>
            </w:pPr>
            <w:r w:rsidRPr="004D0DAA">
              <w:rPr>
                <w:lang w:eastAsia="en-US"/>
              </w:rPr>
              <w:t>6</w:t>
            </w:r>
          </w:p>
        </w:tc>
        <w:tc>
          <w:tcPr>
            <w:tcW w:w="624" w:type="dxa"/>
          </w:tcPr>
          <w:p w14:paraId="6BC2E7FE" w14:textId="77777777" w:rsidR="00711444" w:rsidRPr="004D0DAA" w:rsidRDefault="00711444" w:rsidP="00AA2A4C">
            <w:pPr>
              <w:pStyle w:val="TAC"/>
              <w:rPr>
                <w:lang w:eastAsia="en-US"/>
              </w:rPr>
            </w:pPr>
            <w:r w:rsidRPr="004D0DAA">
              <w:rPr>
                <w:lang w:eastAsia="en-US"/>
              </w:rPr>
              <w:t>5</w:t>
            </w:r>
          </w:p>
        </w:tc>
        <w:tc>
          <w:tcPr>
            <w:tcW w:w="624" w:type="dxa"/>
          </w:tcPr>
          <w:p w14:paraId="2F4AFD93" w14:textId="77777777" w:rsidR="00711444" w:rsidRPr="004D0DAA" w:rsidRDefault="00711444" w:rsidP="00AA2A4C">
            <w:pPr>
              <w:pStyle w:val="TAC"/>
              <w:rPr>
                <w:lang w:eastAsia="en-US"/>
              </w:rPr>
            </w:pPr>
            <w:r w:rsidRPr="004D0DAA">
              <w:rPr>
                <w:lang w:eastAsia="en-US"/>
              </w:rPr>
              <w:t>4</w:t>
            </w:r>
          </w:p>
        </w:tc>
        <w:tc>
          <w:tcPr>
            <w:tcW w:w="624" w:type="dxa"/>
          </w:tcPr>
          <w:p w14:paraId="6AEEC572" w14:textId="77777777" w:rsidR="00711444" w:rsidRPr="004D0DAA" w:rsidRDefault="00711444" w:rsidP="00AA2A4C">
            <w:pPr>
              <w:pStyle w:val="TAC"/>
              <w:rPr>
                <w:lang w:eastAsia="en-US"/>
              </w:rPr>
            </w:pPr>
            <w:r w:rsidRPr="004D0DAA">
              <w:rPr>
                <w:lang w:eastAsia="en-US"/>
              </w:rPr>
              <w:t>3</w:t>
            </w:r>
          </w:p>
        </w:tc>
        <w:tc>
          <w:tcPr>
            <w:tcW w:w="624" w:type="dxa"/>
          </w:tcPr>
          <w:p w14:paraId="65198678" w14:textId="77777777" w:rsidR="00711444" w:rsidRPr="004D0DAA" w:rsidRDefault="00711444" w:rsidP="00AA2A4C">
            <w:pPr>
              <w:pStyle w:val="TAC"/>
              <w:rPr>
                <w:lang w:eastAsia="en-US"/>
              </w:rPr>
            </w:pPr>
            <w:r w:rsidRPr="004D0DAA">
              <w:rPr>
                <w:lang w:eastAsia="en-US"/>
              </w:rPr>
              <w:t>2</w:t>
            </w:r>
          </w:p>
        </w:tc>
        <w:tc>
          <w:tcPr>
            <w:tcW w:w="624" w:type="dxa"/>
          </w:tcPr>
          <w:p w14:paraId="1F48A4B4" w14:textId="77777777" w:rsidR="00711444" w:rsidRPr="004D0DAA" w:rsidRDefault="00711444" w:rsidP="00AA2A4C">
            <w:pPr>
              <w:pStyle w:val="TAC"/>
              <w:rPr>
                <w:lang w:eastAsia="en-US"/>
              </w:rPr>
            </w:pPr>
            <w:r w:rsidRPr="004D0DAA">
              <w:rPr>
                <w:lang w:eastAsia="en-US"/>
              </w:rPr>
              <w:t>1</w:t>
            </w:r>
          </w:p>
        </w:tc>
        <w:tc>
          <w:tcPr>
            <w:tcW w:w="2462" w:type="dxa"/>
          </w:tcPr>
          <w:p w14:paraId="40E35193" w14:textId="77777777" w:rsidR="00711444" w:rsidRPr="004D0DAA" w:rsidRDefault="00711444" w:rsidP="00AA2A4C">
            <w:pPr>
              <w:pStyle w:val="TAC"/>
              <w:rPr>
                <w:lang w:eastAsia="en-US"/>
              </w:rPr>
            </w:pPr>
          </w:p>
        </w:tc>
      </w:tr>
      <w:tr w:rsidR="00711444" w:rsidRPr="004D0DAA" w14:paraId="661CCEF6" w14:textId="77777777" w:rsidTr="00AA2A4C">
        <w:tblPrEx>
          <w:tblCellMar>
            <w:top w:w="0" w:type="dxa"/>
            <w:bottom w:w="0" w:type="dxa"/>
          </w:tblCellMar>
        </w:tblPrEx>
        <w:trPr>
          <w:cantSplit/>
          <w:jc w:val="center"/>
        </w:trPr>
        <w:tc>
          <w:tcPr>
            <w:tcW w:w="1370" w:type="dxa"/>
            <w:gridSpan w:val="2"/>
            <w:tcBorders>
              <w:top w:val="single" w:sz="6" w:space="0" w:color="auto"/>
              <w:left w:val="single" w:sz="6" w:space="0" w:color="auto"/>
              <w:right w:val="single" w:sz="6" w:space="0" w:color="auto"/>
            </w:tcBorders>
          </w:tcPr>
          <w:p w14:paraId="5A1E9ECC" w14:textId="77777777" w:rsidR="00711444" w:rsidRPr="004D0DAA" w:rsidRDefault="00711444" w:rsidP="00AA2A4C">
            <w:pPr>
              <w:pStyle w:val="TAC"/>
              <w:rPr>
                <w:lang w:eastAsia="en-US"/>
              </w:rPr>
            </w:pPr>
            <w:r w:rsidRPr="004D0DAA">
              <w:rPr>
                <w:lang w:eastAsia="en-US"/>
              </w:rPr>
              <w:t>Payload Type</w:t>
            </w:r>
          </w:p>
        </w:tc>
        <w:tc>
          <w:tcPr>
            <w:tcW w:w="1132" w:type="dxa"/>
            <w:gridSpan w:val="2"/>
            <w:tcBorders>
              <w:top w:val="single" w:sz="6" w:space="0" w:color="auto"/>
              <w:left w:val="single" w:sz="6" w:space="0" w:color="auto"/>
              <w:right w:val="single" w:sz="6" w:space="0" w:color="auto"/>
            </w:tcBorders>
          </w:tcPr>
          <w:p w14:paraId="63BECD27"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tcBorders>
          </w:tcPr>
          <w:p w14:paraId="29D1313A"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595A52AA" w14:textId="77777777" w:rsidR="00711444" w:rsidRPr="004D0DAA" w:rsidRDefault="00711444" w:rsidP="00AA2A4C"/>
        </w:tc>
        <w:tc>
          <w:tcPr>
            <w:tcW w:w="624" w:type="dxa"/>
            <w:tcBorders>
              <w:top w:val="single" w:sz="6" w:space="0" w:color="auto"/>
              <w:bottom w:val="single" w:sz="6" w:space="0" w:color="auto"/>
            </w:tcBorders>
          </w:tcPr>
          <w:p w14:paraId="7922205E"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right w:val="single" w:sz="6" w:space="0" w:color="auto"/>
            </w:tcBorders>
          </w:tcPr>
          <w:p w14:paraId="2D40A378" w14:textId="77777777" w:rsidR="00711444" w:rsidRPr="004D0DAA" w:rsidRDefault="00711444" w:rsidP="00AA2A4C"/>
        </w:tc>
        <w:tc>
          <w:tcPr>
            <w:tcW w:w="2462" w:type="dxa"/>
          </w:tcPr>
          <w:p w14:paraId="23CC0D09" w14:textId="77777777" w:rsidR="00711444" w:rsidRPr="004D0DAA" w:rsidRDefault="00711444" w:rsidP="00AA2A4C">
            <w:pPr>
              <w:pStyle w:val="TAC"/>
              <w:rPr>
                <w:lang w:eastAsia="en-US"/>
              </w:rPr>
            </w:pPr>
            <w:r w:rsidRPr="004D0DAA">
              <w:rPr>
                <w:lang w:eastAsia="en-US"/>
              </w:rPr>
              <w:t>MAC header</w:t>
            </w:r>
          </w:p>
        </w:tc>
      </w:tr>
      <w:tr w:rsidR="00711444" w:rsidRPr="004D0DAA" w14:paraId="1A38A71D" w14:textId="77777777" w:rsidTr="00AA2A4C">
        <w:tblPrEx>
          <w:tblCellMar>
            <w:top w:w="0" w:type="dxa"/>
            <w:bottom w:w="0" w:type="dxa"/>
          </w:tblCellMar>
        </w:tblPrEx>
        <w:trPr>
          <w:cantSplit/>
          <w:jc w:val="center"/>
        </w:trPr>
        <w:tc>
          <w:tcPr>
            <w:tcW w:w="630" w:type="dxa"/>
            <w:tcBorders>
              <w:top w:val="single" w:sz="6" w:space="0" w:color="auto"/>
              <w:left w:val="single" w:sz="6" w:space="0" w:color="auto"/>
              <w:bottom w:val="single" w:sz="6" w:space="0" w:color="auto"/>
              <w:right w:val="single" w:sz="6" w:space="0" w:color="auto"/>
            </w:tcBorders>
          </w:tcPr>
          <w:p w14:paraId="7A3C9226" w14:textId="77777777" w:rsidR="00711444" w:rsidRPr="004D0DAA" w:rsidRDefault="00711444" w:rsidP="00AA2A4C">
            <w:pPr>
              <w:pStyle w:val="TAC"/>
              <w:rPr>
                <w:lang w:eastAsia="en-US"/>
              </w:rPr>
            </w:pPr>
            <w:r w:rsidRPr="004D0DAA">
              <w:rPr>
                <w:lang w:eastAsia="en-US"/>
              </w:rPr>
              <w:t>RBSN</w:t>
            </w:r>
          </w:p>
        </w:tc>
        <w:tc>
          <w:tcPr>
            <w:tcW w:w="3120" w:type="dxa"/>
            <w:gridSpan w:val="5"/>
            <w:tcBorders>
              <w:top w:val="single" w:sz="6" w:space="0" w:color="auto"/>
              <w:left w:val="single" w:sz="6" w:space="0" w:color="auto"/>
              <w:bottom w:val="single" w:sz="6" w:space="0" w:color="auto"/>
              <w:right w:val="single" w:sz="6" w:space="0" w:color="auto"/>
            </w:tcBorders>
          </w:tcPr>
          <w:p w14:paraId="00BFB365" w14:textId="77777777" w:rsidR="00711444" w:rsidRPr="004D0DAA" w:rsidRDefault="00711444" w:rsidP="00AA2A4C">
            <w:pPr>
              <w:pStyle w:val="TAC"/>
              <w:rPr>
                <w:lang w:eastAsia="en-US"/>
              </w:rPr>
            </w:pPr>
            <w:r w:rsidRPr="004D0DAA">
              <w:rPr>
                <w:lang w:eastAsia="en-US"/>
              </w:rPr>
              <w:t>RTI</w:t>
            </w:r>
          </w:p>
        </w:tc>
        <w:tc>
          <w:tcPr>
            <w:tcW w:w="624" w:type="dxa"/>
            <w:tcBorders>
              <w:top w:val="single" w:sz="6" w:space="0" w:color="auto"/>
              <w:right w:val="single" w:sz="6" w:space="0" w:color="auto"/>
            </w:tcBorders>
          </w:tcPr>
          <w:p w14:paraId="5551D945" w14:textId="77777777" w:rsidR="00711444" w:rsidRPr="004D0DAA" w:rsidRDefault="00711444" w:rsidP="00AA2A4C">
            <w:pPr>
              <w:pStyle w:val="TAC"/>
              <w:rPr>
                <w:lang w:eastAsia="en-US"/>
              </w:rPr>
            </w:pPr>
            <w:r w:rsidRPr="004D0DAA">
              <w:rPr>
                <w:lang w:eastAsia="en-US"/>
              </w:rPr>
              <w:t>FS</w:t>
            </w:r>
          </w:p>
        </w:tc>
        <w:tc>
          <w:tcPr>
            <w:tcW w:w="624" w:type="dxa"/>
            <w:tcBorders>
              <w:top w:val="single" w:sz="6" w:space="0" w:color="auto"/>
              <w:right w:val="single" w:sz="6" w:space="0" w:color="auto"/>
            </w:tcBorders>
          </w:tcPr>
          <w:p w14:paraId="40091305" w14:textId="77777777" w:rsidR="00711444" w:rsidRPr="004D0DAA" w:rsidRDefault="00711444" w:rsidP="00AA2A4C">
            <w:pPr>
              <w:pStyle w:val="TAC"/>
              <w:rPr>
                <w:lang w:eastAsia="en-US"/>
              </w:rPr>
            </w:pPr>
            <w:r w:rsidRPr="004D0DAA">
              <w:rPr>
                <w:lang w:eastAsia="en-US"/>
              </w:rPr>
              <w:t>AC</w:t>
            </w:r>
          </w:p>
        </w:tc>
        <w:tc>
          <w:tcPr>
            <w:tcW w:w="2462" w:type="dxa"/>
          </w:tcPr>
          <w:p w14:paraId="372B7BC9" w14:textId="77777777" w:rsidR="00711444" w:rsidRPr="004D0DAA" w:rsidRDefault="00711444" w:rsidP="00AA2A4C">
            <w:pPr>
              <w:pStyle w:val="TAC"/>
              <w:rPr>
                <w:lang w:eastAsia="en-US"/>
              </w:rPr>
            </w:pPr>
            <w:r w:rsidRPr="004D0DAA">
              <w:rPr>
                <w:lang w:eastAsia="en-US"/>
              </w:rPr>
              <w:t>Octet 1 (optional)</w:t>
            </w:r>
          </w:p>
        </w:tc>
      </w:tr>
      <w:tr w:rsidR="00711444" w:rsidRPr="004D0DAA" w14:paraId="5EA40E5A" w14:textId="77777777" w:rsidTr="00AA2A4C">
        <w:tblPrEx>
          <w:tblCellMar>
            <w:top w:w="0" w:type="dxa"/>
            <w:bottom w:w="0" w:type="dxa"/>
          </w:tblCellMar>
        </w:tblPrEx>
        <w:trPr>
          <w:cantSplit/>
          <w:jc w:val="center"/>
        </w:trPr>
        <w:tc>
          <w:tcPr>
            <w:tcW w:w="1370" w:type="dxa"/>
            <w:gridSpan w:val="2"/>
            <w:tcBorders>
              <w:top w:val="single" w:sz="6" w:space="0" w:color="auto"/>
              <w:left w:val="single" w:sz="6" w:space="0" w:color="auto"/>
              <w:bottom w:val="single" w:sz="4" w:space="0" w:color="auto"/>
              <w:right w:val="single" w:sz="6" w:space="0" w:color="auto"/>
            </w:tcBorders>
          </w:tcPr>
          <w:p w14:paraId="0A6FB5E4" w14:textId="77777777" w:rsidR="00711444" w:rsidRPr="004D0DAA" w:rsidRDefault="00711444" w:rsidP="00AA2A4C">
            <w:pPr>
              <w:pStyle w:val="TAC"/>
              <w:rPr>
                <w:lang w:eastAsia="en-US"/>
              </w:rPr>
            </w:pPr>
            <w:r w:rsidRPr="004D0DAA">
              <w:rPr>
                <w:lang w:eastAsia="en-US"/>
              </w:rPr>
              <w:t>PR</w:t>
            </w:r>
          </w:p>
        </w:tc>
        <w:tc>
          <w:tcPr>
            <w:tcW w:w="3004" w:type="dxa"/>
            <w:gridSpan w:val="5"/>
            <w:tcBorders>
              <w:top w:val="single" w:sz="6" w:space="0" w:color="auto"/>
              <w:left w:val="single" w:sz="6" w:space="0" w:color="auto"/>
              <w:bottom w:val="single" w:sz="4" w:space="0" w:color="auto"/>
              <w:right w:val="single" w:sz="6" w:space="0" w:color="auto"/>
            </w:tcBorders>
          </w:tcPr>
          <w:p w14:paraId="7AA1A1B3"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left w:val="single" w:sz="6" w:space="0" w:color="auto"/>
              <w:bottom w:val="single" w:sz="4" w:space="0" w:color="auto"/>
              <w:right w:val="single" w:sz="6" w:space="0" w:color="auto"/>
            </w:tcBorders>
          </w:tcPr>
          <w:p w14:paraId="25C540DF" w14:textId="77777777" w:rsidR="00711444" w:rsidRPr="004D0DAA" w:rsidRDefault="00711444" w:rsidP="00AA2A4C">
            <w:pPr>
              <w:pStyle w:val="TAC"/>
              <w:rPr>
                <w:lang w:eastAsia="en-US"/>
              </w:rPr>
            </w:pPr>
            <w:r w:rsidRPr="004D0DAA">
              <w:rPr>
                <w:lang w:eastAsia="en-US"/>
              </w:rPr>
              <w:t>D</w:t>
            </w:r>
          </w:p>
        </w:tc>
        <w:tc>
          <w:tcPr>
            <w:tcW w:w="2462" w:type="dxa"/>
            <w:tcBorders>
              <w:bottom w:val="single" w:sz="4" w:space="0" w:color="auto"/>
            </w:tcBorders>
          </w:tcPr>
          <w:p w14:paraId="1B5673C5" w14:textId="77777777" w:rsidR="00711444" w:rsidRPr="004D0DAA" w:rsidRDefault="00711444" w:rsidP="00AA2A4C">
            <w:pPr>
              <w:pStyle w:val="TAC"/>
              <w:rPr>
                <w:lang w:eastAsia="en-US"/>
              </w:rPr>
            </w:pPr>
            <w:r w:rsidRPr="004D0DAA">
              <w:rPr>
                <w:lang w:eastAsia="en-US"/>
              </w:rPr>
              <w:t>Octet 2 (optional)</w:t>
            </w:r>
          </w:p>
        </w:tc>
      </w:tr>
      <w:tr w:rsidR="00711444" w:rsidRPr="004D0DAA" w14:paraId="41FDFE52" w14:textId="77777777" w:rsidTr="00AA2A4C">
        <w:tblPrEx>
          <w:tblCellMar>
            <w:top w:w="0" w:type="dxa"/>
            <w:bottom w:w="0" w:type="dxa"/>
          </w:tblCellMar>
        </w:tblPrEx>
        <w:trPr>
          <w:cantSplit/>
          <w:jc w:val="center"/>
        </w:trPr>
        <w:tc>
          <w:tcPr>
            <w:tcW w:w="1878" w:type="dxa"/>
            <w:gridSpan w:val="3"/>
            <w:tcBorders>
              <w:top w:val="single" w:sz="4" w:space="0" w:color="auto"/>
              <w:left w:val="single" w:sz="4" w:space="0" w:color="auto"/>
              <w:bottom w:val="single" w:sz="4" w:space="0" w:color="auto"/>
              <w:right w:val="single" w:sz="4" w:space="0" w:color="auto"/>
            </w:tcBorders>
          </w:tcPr>
          <w:p w14:paraId="56C77EF7" w14:textId="77777777" w:rsidR="00711444" w:rsidRPr="004D0DAA" w:rsidRDefault="00711444" w:rsidP="00AA2A4C">
            <w:pPr>
              <w:pStyle w:val="TAC"/>
              <w:rPr>
                <w:lang w:eastAsia="en-US"/>
              </w:rPr>
            </w:pPr>
            <w:r w:rsidRPr="004D0DAA">
              <w:rPr>
                <w:lang w:eastAsia="en-US"/>
              </w:rPr>
              <w:t>RBSNe</w:t>
            </w:r>
          </w:p>
        </w:tc>
        <w:tc>
          <w:tcPr>
            <w:tcW w:w="624" w:type="dxa"/>
            <w:tcBorders>
              <w:top w:val="single" w:sz="4" w:space="0" w:color="auto"/>
              <w:left w:val="single" w:sz="4" w:space="0" w:color="auto"/>
              <w:bottom w:val="single" w:sz="4" w:space="0" w:color="auto"/>
              <w:right w:val="single" w:sz="4" w:space="0" w:color="auto"/>
            </w:tcBorders>
          </w:tcPr>
          <w:p w14:paraId="3E5EB5A1" w14:textId="77777777" w:rsidR="00711444" w:rsidRPr="004D0DAA" w:rsidRDefault="00711444" w:rsidP="00AA2A4C">
            <w:pPr>
              <w:pStyle w:val="TAC"/>
              <w:rPr>
                <w:lang w:eastAsia="en-US"/>
              </w:rPr>
            </w:pPr>
            <w:r w:rsidRPr="004D0DAA">
              <w:rPr>
                <w:lang w:eastAsia="en-US"/>
              </w:rPr>
              <w:t>FSe</w:t>
            </w:r>
          </w:p>
        </w:tc>
        <w:tc>
          <w:tcPr>
            <w:tcW w:w="2496" w:type="dxa"/>
            <w:gridSpan w:val="4"/>
            <w:tcBorders>
              <w:top w:val="single" w:sz="4" w:space="0" w:color="auto"/>
              <w:left w:val="single" w:sz="4" w:space="0" w:color="auto"/>
              <w:bottom w:val="single" w:sz="4" w:space="0" w:color="auto"/>
              <w:right w:val="single" w:sz="4" w:space="0" w:color="auto"/>
            </w:tcBorders>
          </w:tcPr>
          <w:p w14:paraId="526AAA8B" w14:textId="77777777" w:rsidR="00711444" w:rsidRPr="004D0DAA" w:rsidRDefault="00711444" w:rsidP="00AA2A4C">
            <w:pPr>
              <w:pStyle w:val="TAC"/>
              <w:rPr>
                <w:lang w:eastAsia="en-US"/>
              </w:rPr>
            </w:pPr>
            <w:r w:rsidRPr="004D0DAA">
              <w:rPr>
                <w:lang w:eastAsia="en-US"/>
              </w:rPr>
              <w:t>spare</w:t>
            </w:r>
          </w:p>
        </w:tc>
        <w:tc>
          <w:tcPr>
            <w:tcW w:w="2462" w:type="dxa"/>
            <w:tcBorders>
              <w:top w:val="single" w:sz="4" w:space="0" w:color="auto"/>
              <w:left w:val="single" w:sz="4" w:space="0" w:color="auto"/>
              <w:bottom w:val="single" w:sz="4" w:space="0" w:color="auto"/>
              <w:right w:val="single" w:sz="4" w:space="0" w:color="auto"/>
            </w:tcBorders>
          </w:tcPr>
          <w:p w14:paraId="611D7428" w14:textId="77777777" w:rsidR="00711444" w:rsidRPr="004D0DAA" w:rsidRDefault="00711444" w:rsidP="00AA2A4C">
            <w:pPr>
              <w:pStyle w:val="TAC"/>
              <w:rPr>
                <w:lang w:eastAsia="en-US"/>
              </w:rPr>
            </w:pPr>
            <w:r w:rsidRPr="004D0DAA">
              <w:rPr>
                <w:lang w:eastAsia="en-US"/>
              </w:rPr>
              <w:t>Octet 2/3 (optional) see note</w:t>
            </w:r>
          </w:p>
        </w:tc>
      </w:tr>
      <w:tr w:rsidR="00711444" w:rsidRPr="004D0DAA" w14:paraId="0F878078" w14:textId="77777777" w:rsidTr="00AA2A4C">
        <w:tblPrEx>
          <w:tblCellMar>
            <w:top w:w="0" w:type="dxa"/>
            <w:bottom w:w="0" w:type="dxa"/>
          </w:tblCellMar>
        </w:tblPrEx>
        <w:trPr>
          <w:cantSplit/>
          <w:jc w:val="center"/>
        </w:trPr>
        <w:tc>
          <w:tcPr>
            <w:tcW w:w="630" w:type="dxa"/>
            <w:tcBorders>
              <w:top w:val="single" w:sz="4" w:space="0" w:color="auto"/>
              <w:left w:val="single" w:sz="6" w:space="0" w:color="auto"/>
            </w:tcBorders>
          </w:tcPr>
          <w:p w14:paraId="481256D2" w14:textId="77777777" w:rsidR="00711444" w:rsidRPr="004D0DAA" w:rsidRDefault="00711444" w:rsidP="00AA2A4C"/>
        </w:tc>
        <w:tc>
          <w:tcPr>
            <w:tcW w:w="740" w:type="dxa"/>
            <w:tcBorders>
              <w:top w:val="single" w:sz="4" w:space="0" w:color="auto"/>
            </w:tcBorders>
          </w:tcPr>
          <w:p w14:paraId="029997A0" w14:textId="77777777" w:rsidR="00711444" w:rsidRPr="004D0DAA" w:rsidRDefault="00711444" w:rsidP="00AA2A4C"/>
        </w:tc>
        <w:tc>
          <w:tcPr>
            <w:tcW w:w="508" w:type="dxa"/>
            <w:tcBorders>
              <w:top w:val="single" w:sz="4" w:space="0" w:color="auto"/>
            </w:tcBorders>
          </w:tcPr>
          <w:p w14:paraId="595A86BA" w14:textId="77777777" w:rsidR="00711444" w:rsidRPr="004D0DAA" w:rsidRDefault="00711444" w:rsidP="00AA2A4C"/>
        </w:tc>
        <w:tc>
          <w:tcPr>
            <w:tcW w:w="624" w:type="dxa"/>
            <w:tcBorders>
              <w:top w:val="single" w:sz="4" w:space="0" w:color="auto"/>
            </w:tcBorders>
          </w:tcPr>
          <w:p w14:paraId="00EF70DB" w14:textId="77777777" w:rsidR="00711444" w:rsidRPr="004D0DAA" w:rsidRDefault="00711444" w:rsidP="00AA2A4C"/>
        </w:tc>
        <w:tc>
          <w:tcPr>
            <w:tcW w:w="624" w:type="dxa"/>
            <w:tcBorders>
              <w:top w:val="single" w:sz="4" w:space="0" w:color="auto"/>
            </w:tcBorders>
          </w:tcPr>
          <w:p w14:paraId="7CC93F85" w14:textId="77777777" w:rsidR="00711444" w:rsidRPr="004D0DAA" w:rsidRDefault="00711444" w:rsidP="00AA2A4C"/>
        </w:tc>
        <w:tc>
          <w:tcPr>
            <w:tcW w:w="624" w:type="dxa"/>
            <w:tcBorders>
              <w:top w:val="single" w:sz="4" w:space="0" w:color="auto"/>
            </w:tcBorders>
          </w:tcPr>
          <w:p w14:paraId="4F96D9D6" w14:textId="77777777" w:rsidR="00711444" w:rsidRPr="004D0DAA" w:rsidRDefault="00711444" w:rsidP="00AA2A4C"/>
        </w:tc>
        <w:tc>
          <w:tcPr>
            <w:tcW w:w="624" w:type="dxa"/>
            <w:tcBorders>
              <w:top w:val="single" w:sz="4" w:space="0" w:color="auto"/>
            </w:tcBorders>
          </w:tcPr>
          <w:p w14:paraId="692FCA2B" w14:textId="77777777" w:rsidR="00711444" w:rsidRPr="004D0DAA" w:rsidRDefault="00711444" w:rsidP="00AA2A4C"/>
        </w:tc>
        <w:tc>
          <w:tcPr>
            <w:tcW w:w="624" w:type="dxa"/>
            <w:tcBorders>
              <w:top w:val="single" w:sz="4" w:space="0" w:color="auto"/>
              <w:right w:val="single" w:sz="6" w:space="0" w:color="auto"/>
            </w:tcBorders>
          </w:tcPr>
          <w:p w14:paraId="696BD53F" w14:textId="77777777" w:rsidR="00711444" w:rsidRPr="004D0DAA" w:rsidRDefault="00711444" w:rsidP="00AA2A4C"/>
        </w:tc>
        <w:tc>
          <w:tcPr>
            <w:tcW w:w="2462" w:type="dxa"/>
            <w:tcBorders>
              <w:top w:val="single" w:sz="4" w:space="0" w:color="auto"/>
            </w:tcBorders>
          </w:tcPr>
          <w:p w14:paraId="68E0B4DD" w14:textId="77777777" w:rsidR="00711444" w:rsidRPr="004D0DAA" w:rsidRDefault="00711444" w:rsidP="00AA2A4C">
            <w:pPr>
              <w:pStyle w:val="TAC"/>
              <w:rPr>
                <w:lang w:eastAsia="en-US"/>
              </w:rPr>
            </w:pPr>
            <w:r w:rsidRPr="004D0DAA">
              <w:rPr>
                <w:lang w:eastAsia="en-US"/>
              </w:rPr>
              <w:t>Octet M</w:t>
            </w:r>
          </w:p>
        </w:tc>
      </w:tr>
      <w:tr w:rsidR="00711444" w:rsidRPr="004D0DAA" w14:paraId="0CD08042" w14:textId="77777777" w:rsidTr="00AA2A4C">
        <w:tblPrEx>
          <w:tblCellMar>
            <w:top w:w="0" w:type="dxa"/>
            <w:bottom w:w="0" w:type="dxa"/>
          </w:tblCellMar>
        </w:tblPrEx>
        <w:trPr>
          <w:cantSplit/>
          <w:jc w:val="center"/>
        </w:trPr>
        <w:tc>
          <w:tcPr>
            <w:tcW w:w="4998" w:type="dxa"/>
            <w:gridSpan w:val="8"/>
            <w:tcBorders>
              <w:left w:val="single" w:sz="6" w:space="0" w:color="auto"/>
              <w:right w:val="single" w:sz="6" w:space="0" w:color="auto"/>
            </w:tcBorders>
          </w:tcPr>
          <w:p w14:paraId="5C582A93" w14:textId="77777777" w:rsidR="00711444" w:rsidRPr="004D0DAA" w:rsidRDefault="00711444" w:rsidP="00AA2A4C">
            <w:pPr>
              <w:pStyle w:val="TAC"/>
              <w:rPr>
                <w:lang w:eastAsia="en-US"/>
              </w:rPr>
            </w:pPr>
            <w:r w:rsidRPr="004D0DAA">
              <w:rPr>
                <w:lang w:eastAsia="en-US"/>
              </w:rPr>
              <w:t>Control Message Contents</w:t>
            </w:r>
          </w:p>
        </w:tc>
        <w:tc>
          <w:tcPr>
            <w:tcW w:w="2462" w:type="dxa"/>
          </w:tcPr>
          <w:p w14:paraId="3D661EF9" w14:textId="77777777" w:rsidR="00711444" w:rsidRPr="004D0DAA" w:rsidRDefault="00711444" w:rsidP="00AA2A4C">
            <w:pPr>
              <w:pStyle w:val="TAC"/>
              <w:rPr>
                <w:lang w:eastAsia="en-US"/>
              </w:rPr>
            </w:pPr>
            <w:r w:rsidRPr="004D0DAA">
              <w:rPr>
                <w:lang w:eastAsia="en-US"/>
              </w:rPr>
              <w:t>.</w:t>
            </w:r>
          </w:p>
          <w:p w14:paraId="11BEFA92" w14:textId="77777777" w:rsidR="00711444" w:rsidRPr="004D0DAA" w:rsidRDefault="00711444" w:rsidP="00AA2A4C">
            <w:pPr>
              <w:pStyle w:val="TAC"/>
              <w:rPr>
                <w:lang w:eastAsia="en-US"/>
              </w:rPr>
            </w:pPr>
            <w:r w:rsidRPr="004D0DAA">
              <w:rPr>
                <w:lang w:eastAsia="en-US"/>
              </w:rPr>
              <w:t>.</w:t>
            </w:r>
          </w:p>
          <w:p w14:paraId="669F6AC9" w14:textId="77777777" w:rsidR="00711444" w:rsidRPr="004D0DAA" w:rsidRDefault="00711444" w:rsidP="00AA2A4C">
            <w:pPr>
              <w:pStyle w:val="TAC"/>
              <w:rPr>
                <w:lang w:eastAsia="en-US"/>
              </w:rPr>
            </w:pPr>
            <w:r w:rsidRPr="004D0DAA">
              <w:rPr>
                <w:lang w:eastAsia="en-US"/>
              </w:rPr>
              <w:t>.</w:t>
            </w:r>
          </w:p>
        </w:tc>
      </w:tr>
      <w:tr w:rsidR="00711444" w:rsidRPr="004D0DAA" w14:paraId="083BCE6C" w14:textId="77777777" w:rsidTr="00AA2A4C">
        <w:tblPrEx>
          <w:tblCellMar>
            <w:top w:w="0" w:type="dxa"/>
            <w:bottom w:w="0" w:type="dxa"/>
          </w:tblCellMar>
        </w:tblPrEx>
        <w:trPr>
          <w:cantSplit/>
          <w:jc w:val="center"/>
        </w:trPr>
        <w:tc>
          <w:tcPr>
            <w:tcW w:w="630" w:type="dxa"/>
            <w:tcBorders>
              <w:left w:val="single" w:sz="6" w:space="0" w:color="auto"/>
            </w:tcBorders>
          </w:tcPr>
          <w:p w14:paraId="35D51248" w14:textId="77777777" w:rsidR="00711444" w:rsidRPr="004D0DAA" w:rsidRDefault="00711444" w:rsidP="00AA2A4C"/>
        </w:tc>
        <w:tc>
          <w:tcPr>
            <w:tcW w:w="740" w:type="dxa"/>
          </w:tcPr>
          <w:p w14:paraId="4A2B37BC" w14:textId="77777777" w:rsidR="00711444" w:rsidRPr="004D0DAA" w:rsidRDefault="00711444" w:rsidP="00AA2A4C"/>
        </w:tc>
        <w:tc>
          <w:tcPr>
            <w:tcW w:w="508" w:type="dxa"/>
          </w:tcPr>
          <w:p w14:paraId="7706107E" w14:textId="77777777" w:rsidR="00711444" w:rsidRPr="004D0DAA" w:rsidRDefault="00711444" w:rsidP="00AA2A4C"/>
        </w:tc>
        <w:tc>
          <w:tcPr>
            <w:tcW w:w="624" w:type="dxa"/>
          </w:tcPr>
          <w:p w14:paraId="3EB3B2E0" w14:textId="77777777" w:rsidR="00711444" w:rsidRPr="004D0DAA" w:rsidRDefault="00711444" w:rsidP="00AA2A4C"/>
        </w:tc>
        <w:tc>
          <w:tcPr>
            <w:tcW w:w="624" w:type="dxa"/>
          </w:tcPr>
          <w:p w14:paraId="0EE21405" w14:textId="77777777" w:rsidR="00711444" w:rsidRPr="004D0DAA" w:rsidRDefault="00711444" w:rsidP="00AA2A4C"/>
        </w:tc>
        <w:tc>
          <w:tcPr>
            <w:tcW w:w="624" w:type="dxa"/>
          </w:tcPr>
          <w:p w14:paraId="1226B2BA" w14:textId="77777777" w:rsidR="00711444" w:rsidRPr="004D0DAA" w:rsidRDefault="00711444" w:rsidP="00AA2A4C"/>
        </w:tc>
        <w:tc>
          <w:tcPr>
            <w:tcW w:w="624" w:type="dxa"/>
          </w:tcPr>
          <w:p w14:paraId="71A331CE" w14:textId="77777777" w:rsidR="00711444" w:rsidRPr="004D0DAA" w:rsidRDefault="00711444" w:rsidP="00AA2A4C"/>
        </w:tc>
        <w:tc>
          <w:tcPr>
            <w:tcW w:w="624" w:type="dxa"/>
            <w:tcBorders>
              <w:right w:val="single" w:sz="6" w:space="0" w:color="auto"/>
            </w:tcBorders>
          </w:tcPr>
          <w:p w14:paraId="1CBA9A6F" w14:textId="77777777" w:rsidR="00711444" w:rsidRPr="004D0DAA" w:rsidRDefault="00711444" w:rsidP="00AA2A4C"/>
        </w:tc>
        <w:tc>
          <w:tcPr>
            <w:tcW w:w="2462" w:type="dxa"/>
          </w:tcPr>
          <w:p w14:paraId="3DC34BB2" w14:textId="77777777" w:rsidR="00711444" w:rsidRPr="004D0DAA" w:rsidRDefault="00711444" w:rsidP="00AA2A4C">
            <w:pPr>
              <w:pStyle w:val="TAC"/>
              <w:rPr>
                <w:lang w:eastAsia="en-US"/>
              </w:rPr>
            </w:pPr>
            <w:r w:rsidRPr="004D0DAA">
              <w:rPr>
                <w:lang w:eastAsia="en-US"/>
              </w:rPr>
              <w:t>Octet 21</w:t>
            </w:r>
          </w:p>
        </w:tc>
      </w:tr>
      <w:tr w:rsidR="00711444" w:rsidRPr="004D0DAA" w14:paraId="5FF92100" w14:textId="77777777" w:rsidTr="00AA2A4C">
        <w:tblPrEx>
          <w:tblCellMar>
            <w:top w:w="0" w:type="dxa"/>
            <w:bottom w:w="0" w:type="dxa"/>
          </w:tblCellMar>
        </w:tblPrEx>
        <w:trPr>
          <w:cantSplit/>
          <w:jc w:val="center"/>
        </w:trPr>
        <w:tc>
          <w:tcPr>
            <w:tcW w:w="630" w:type="dxa"/>
            <w:tcBorders>
              <w:left w:val="single" w:sz="6" w:space="0" w:color="auto"/>
              <w:bottom w:val="single" w:sz="4" w:space="0" w:color="auto"/>
            </w:tcBorders>
          </w:tcPr>
          <w:p w14:paraId="796AC824" w14:textId="77777777" w:rsidR="00711444" w:rsidRPr="004D0DAA" w:rsidRDefault="00711444" w:rsidP="00AA2A4C"/>
        </w:tc>
        <w:tc>
          <w:tcPr>
            <w:tcW w:w="740" w:type="dxa"/>
            <w:tcBorders>
              <w:bottom w:val="single" w:sz="4" w:space="0" w:color="auto"/>
            </w:tcBorders>
          </w:tcPr>
          <w:p w14:paraId="108D1527" w14:textId="77777777" w:rsidR="00711444" w:rsidRPr="004D0DAA" w:rsidRDefault="00711444" w:rsidP="00AA2A4C"/>
        </w:tc>
        <w:tc>
          <w:tcPr>
            <w:tcW w:w="508" w:type="dxa"/>
            <w:tcBorders>
              <w:bottom w:val="single" w:sz="4" w:space="0" w:color="auto"/>
            </w:tcBorders>
          </w:tcPr>
          <w:p w14:paraId="0F712741" w14:textId="77777777" w:rsidR="00711444" w:rsidRPr="004D0DAA" w:rsidRDefault="00711444" w:rsidP="00AA2A4C"/>
        </w:tc>
        <w:tc>
          <w:tcPr>
            <w:tcW w:w="624" w:type="dxa"/>
            <w:tcBorders>
              <w:bottom w:val="single" w:sz="4" w:space="0" w:color="auto"/>
            </w:tcBorders>
          </w:tcPr>
          <w:p w14:paraId="02FB90EE" w14:textId="77777777" w:rsidR="00711444" w:rsidRPr="004D0DAA" w:rsidRDefault="00711444" w:rsidP="00AA2A4C"/>
        </w:tc>
        <w:tc>
          <w:tcPr>
            <w:tcW w:w="624" w:type="dxa"/>
            <w:tcBorders>
              <w:bottom w:val="single" w:sz="4" w:space="0" w:color="auto"/>
            </w:tcBorders>
          </w:tcPr>
          <w:p w14:paraId="07F3A34D" w14:textId="77777777" w:rsidR="00711444" w:rsidRPr="004D0DAA" w:rsidRDefault="00711444" w:rsidP="00AA2A4C"/>
        </w:tc>
        <w:tc>
          <w:tcPr>
            <w:tcW w:w="624" w:type="dxa"/>
            <w:tcBorders>
              <w:bottom w:val="single" w:sz="4" w:space="0" w:color="auto"/>
            </w:tcBorders>
          </w:tcPr>
          <w:p w14:paraId="28CC743A" w14:textId="77777777" w:rsidR="00711444" w:rsidRPr="004D0DAA" w:rsidRDefault="00711444" w:rsidP="00AA2A4C"/>
        </w:tc>
        <w:tc>
          <w:tcPr>
            <w:tcW w:w="624" w:type="dxa"/>
            <w:tcBorders>
              <w:bottom w:val="single" w:sz="4" w:space="0" w:color="auto"/>
            </w:tcBorders>
          </w:tcPr>
          <w:p w14:paraId="4693A8D5" w14:textId="77777777" w:rsidR="00711444" w:rsidRPr="004D0DAA" w:rsidRDefault="00711444" w:rsidP="00AA2A4C"/>
        </w:tc>
        <w:tc>
          <w:tcPr>
            <w:tcW w:w="624" w:type="dxa"/>
            <w:tcBorders>
              <w:bottom w:val="single" w:sz="4" w:space="0" w:color="auto"/>
              <w:right w:val="single" w:sz="6" w:space="0" w:color="auto"/>
            </w:tcBorders>
          </w:tcPr>
          <w:p w14:paraId="29C0C0D2" w14:textId="77777777" w:rsidR="00711444" w:rsidRPr="004D0DAA" w:rsidRDefault="00711444" w:rsidP="00AA2A4C"/>
        </w:tc>
        <w:tc>
          <w:tcPr>
            <w:tcW w:w="2462" w:type="dxa"/>
            <w:tcBorders>
              <w:bottom w:val="single" w:sz="4" w:space="0" w:color="auto"/>
            </w:tcBorders>
          </w:tcPr>
          <w:p w14:paraId="62B1F461" w14:textId="77777777" w:rsidR="00711444" w:rsidRPr="004D0DAA" w:rsidRDefault="00711444" w:rsidP="00AA2A4C">
            <w:pPr>
              <w:pStyle w:val="TAC"/>
              <w:rPr>
                <w:lang w:eastAsia="en-US"/>
              </w:rPr>
            </w:pPr>
            <w:r w:rsidRPr="004D0DAA">
              <w:rPr>
                <w:lang w:eastAsia="en-US"/>
              </w:rPr>
              <w:t>Octet 22</w:t>
            </w:r>
          </w:p>
        </w:tc>
      </w:tr>
      <w:tr w:rsidR="00711444" w:rsidRPr="004D0DAA" w14:paraId="41ABFDBF" w14:textId="77777777" w:rsidTr="00AA2A4C">
        <w:tblPrEx>
          <w:tblCellMar>
            <w:top w:w="0" w:type="dxa"/>
            <w:bottom w:w="0" w:type="dxa"/>
          </w:tblCellMar>
        </w:tblPrEx>
        <w:trPr>
          <w:cantSplit/>
          <w:jc w:val="center"/>
        </w:trPr>
        <w:tc>
          <w:tcPr>
            <w:tcW w:w="7460" w:type="dxa"/>
            <w:gridSpan w:val="9"/>
            <w:tcBorders>
              <w:top w:val="single" w:sz="4" w:space="0" w:color="auto"/>
              <w:left w:val="single" w:sz="4" w:space="0" w:color="auto"/>
              <w:bottom w:val="single" w:sz="4" w:space="0" w:color="auto"/>
              <w:right w:val="single" w:sz="4" w:space="0" w:color="auto"/>
            </w:tcBorders>
          </w:tcPr>
          <w:p w14:paraId="7373EF30" w14:textId="77777777" w:rsidR="00711444" w:rsidRPr="004D0DAA" w:rsidRDefault="00711444" w:rsidP="00AA2A4C">
            <w:pPr>
              <w:pStyle w:val="TAN"/>
              <w:rPr>
                <w:lang w:eastAsia="en-US"/>
              </w:rPr>
            </w:pPr>
            <w:r w:rsidRPr="004D0DAA">
              <w:rPr>
                <w:lang w:eastAsia="en-US"/>
              </w:rPr>
              <w:t>NOTE:</w:t>
            </w:r>
            <w:r w:rsidRPr="004D0DAA">
              <w:rPr>
                <w:lang w:eastAsia="en-US"/>
              </w:rPr>
              <w:tab/>
              <w:t>This optional octet is included in case of extended RLC/MAC control message segmentation. Its presence is indicated through the combination of RBSN bit and FS bit equal to (RBSN=’1’ and FS=’0’)</w:t>
            </w:r>
          </w:p>
        </w:tc>
      </w:tr>
    </w:tbl>
    <w:p w14:paraId="7E326538" w14:textId="77777777" w:rsidR="00711444" w:rsidRPr="004D0DAA" w:rsidRDefault="00711444" w:rsidP="00711444">
      <w:pPr>
        <w:pStyle w:val="NF"/>
      </w:pPr>
    </w:p>
    <w:p w14:paraId="6E621791" w14:textId="77777777" w:rsidR="00711444" w:rsidRPr="004D0DAA" w:rsidRDefault="00711444" w:rsidP="00711444">
      <w:pPr>
        <w:pStyle w:val="TF"/>
      </w:pPr>
      <w:r w:rsidRPr="004D0DAA">
        <w:t>Figure 10.3.1.1.1: Downlink RLC/MAC control block together with its MAC header</w:t>
      </w:r>
    </w:p>
    <w:p w14:paraId="442F0A30" w14:textId="77777777" w:rsidR="00711444" w:rsidRPr="004D0DAA" w:rsidRDefault="00711444" w:rsidP="00711444">
      <w:pPr>
        <w:pStyle w:val="NO"/>
      </w:pPr>
      <w:r w:rsidRPr="004D0DAA">
        <w:t>NOTE:</w:t>
      </w:r>
      <w:r w:rsidRPr="004D0DAA">
        <w:tab/>
        <w:t>The header octets and the control message contents octets shall be encoded following the field mapping convention defined in sub-clause 10.0b.3.1.</w:t>
      </w:r>
    </w:p>
    <w:p w14:paraId="5BA6BEA9" w14:textId="77777777" w:rsidR="00711444" w:rsidRPr="004D0DAA" w:rsidRDefault="00711444" w:rsidP="00711444">
      <w:pPr>
        <w:pStyle w:val="Heading4"/>
      </w:pPr>
      <w:bookmarkStart w:id="509" w:name="_Toc516669691"/>
      <w:r w:rsidRPr="004D0DAA">
        <w:t>10.3.1.2</w:t>
      </w:r>
      <w:r w:rsidRPr="004D0DAA">
        <w:tab/>
        <w:t>Blocks encoded using MCS-0</w:t>
      </w:r>
      <w:bookmarkEnd w:id="509"/>
    </w:p>
    <w:p w14:paraId="26ED3077" w14:textId="77777777" w:rsidR="00711444" w:rsidRPr="004D0DAA" w:rsidRDefault="00711444" w:rsidP="00711444">
      <w:r w:rsidRPr="004D0DAA">
        <w:t>The downlink RLC/MAC control block header shall use the Header type 3 as shown in figure 10.3a.3.3.3 of subclause 10.3a.3.3. The RLC/MAC control block message contents are formatted as shown in figure 10.3.1.2.</w:t>
      </w:r>
    </w:p>
    <w:tbl>
      <w:tblPr>
        <w:tblW w:w="0" w:type="auto"/>
        <w:jc w:val="center"/>
        <w:tblLayout w:type="fixed"/>
        <w:tblCellMar>
          <w:left w:w="28" w:type="dxa"/>
          <w:right w:w="28" w:type="dxa"/>
        </w:tblCellMar>
        <w:tblLook w:val="0000" w:firstRow="0" w:lastRow="0" w:firstColumn="0" w:lastColumn="0" w:noHBand="0" w:noVBand="0"/>
      </w:tblPr>
      <w:tblGrid>
        <w:gridCol w:w="754"/>
        <w:gridCol w:w="742"/>
        <w:gridCol w:w="853"/>
        <w:gridCol w:w="787"/>
        <w:gridCol w:w="624"/>
        <w:gridCol w:w="624"/>
        <w:gridCol w:w="624"/>
        <w:gridCol w:w="624"/>
        <w:gridCol w:w="2390"/>
      </w:tblGrid>
      <w:tr w:rsidR="00711444" w:rsidRPr="004D0DAA" w14:paraId="79428444" w14:textId="77777777" w:rsidTr="00AA2A4C">
        <w:tblPrEx>
          <w:tblCellMar>
            <w:top w:w="0" w:type="dxa"/>
            <w:bottom w:w="0" w:type="dxa"/>
          </w:tblCellMar>
        </w:tblPrEx>
        <w:trPr>
          <w:cantSplit/>
          <w:jc w:val="center"/>
        </w:trPr>
        <w:tc>
          <w:tcPr>
            <w:tcW w:w="5632" w:type="dxa"/>
            <w:gridSpan w:val="8"/>
          </w:tcPr>
          <w:p w14:paraId="7468FB40" w14:textId="77777777" w:rsidR="00711444" w:rsidRPr="004D0DAA" w:rsidRDefault="00711444" w:rsidP="00AA2A4C">
            <w:pPr>
              <w:pStyle w:val="TAC"/>
              <w:rPr>
                <w:lang w:eastAsia="en-US"/>
              </w:rPr>
            </w:pPr>
            <w:r w:rsidRPr="004D0DAA">
              <w:rPr>
                <w:lang w:eastAsia="en-US"/>
              </w:rPr>
              <w:t>Bit</w:t>
            </w:r>
          </w:p>
        </w:tc>
        <w:tc>
          <w:tcPr>
            <w:tcW w:w="2390" w:type="dxa"/>
          </w:tcPr>
          <w:p w14:paraId="7A7BC507" w14:textId="77777777" w:rsidR="00711444" w:rsidRPr="004D0DAA" w:rsidRDefault="00711444" w:rsidP="00AA2A4C">
            <w:pPr>
              <w:pStyle w:val="TAC"/>
              <w:rPr>
                <w:lang w:eastAsia="en-US"/>
              </w:rPr>
            </w:pPr>
          </w:p>
        </w:tc>
      </w:tr>
      <w:tr w:rsidR="00711444" w:rsidRPr="004D0DAA" w14:paraId="3320C75D" w14:textId="77777777" w:rsidTr="00AA2A4C">
        <w:tblPrEx>
          <w:tblCellMar>
            <w:top w:w="0" w:type="dxa"/>
            <w:bottom w:w="0" w:type="dxa"/>
          </w:tblCellMar>
        </w:tblPrEx>
        <w:trPr>
          <w:cantSplit/>
          <w:jc w:val="center"/>
        </w:trPr>
        <w:tc>
          <w:tcPr>
            <w:tcW w:w="754" w:type="dxa"/>
          </w:tcPr>
          <w:p w14:paraId="07D9261C" w14:textId="77777777" w:rsidR="00711444" w:rsidRPr="004D0DAA" w:rsidRDefault="00711444" w:rsidP="00AA2A4C">
            <w:pPr>
              <w:pStyle w:val="TAC"/>
              <w:rPr>
                <w:lang w:eastAsia="en-US"/>
              </w:rPr>
            </w:pPr>
            <w:r w:rsidRPr="004D0DAA">
              <w:rPr>
                <w:lang w:eastAsia="en-US"/>
              </w:rPr>
              <w:t>8</w:t>
            </w:r>
          </w:p>
        </w:tc>
        <w:tc>
          <w:tcPr>
            <w:tcW w:w="742" w:type="dxa"/>
          </w:tcPr>
          <w:p w14:paraId="3097A7F6" w14:textId="77777777" w:rsidR="00711444" w:rsidRPr="004D0DAA" w:rsidRDefault="00711444" w:rsidP="00AA2A4C">
            <w:pPr>
              <w:pStyle w:val="TAC"/>
              <w:rPr>
                <w:lang w:eastAsia="en-US"/>
              </w:rPr>
            </w:pPr>
            <w:r w:rsidRPr="004D0DAA">
              <w:rPr>
                <w:lang w:eastAsia="en-US"/>
              </w:rPr>
              <w:t>7</w:t>
            </w:r>
          </w:p>
        </w:tc>
        <w:tc>
          <w:tcPr>
            <w:tcW w:w="853" w:type="dxa"/>
          </w:tcPr>
          <w:p w14:paraId="45134D27" w14:textId="77777777" w:rsidR="00711444" w:rsidRPr="004D0DAA" w:rsidRDefault="00711444" w:rsidP="00AA2A4C">
            <w:pPr>
              <w:pStyle w:val="TAC"/>
              <w:rPr>
                <w:lang w:eastAsia="en-US"/>
              </w:rPr>
            </w:pPr>
            <w:r w:rsidRPr="004D0DAA">
              <w:rPr>
                <w:lang w:eastAsia="en-US"/>
              </w:rPr>
              <w:t>6</w:t>
            </w:r>
          </w:p>
        </w:tc>
        <w:tc>
          <w:tcPr>
            <w:tcW w:w="787" w:type="dxa"/>
          </w:tcPr>
          <w:p w14:paraId="1083A145" w14:textId="77777777" w:rsidR="00711444" w:rsidRPr="004D0DAA" w:rsidRDefault="00711444" w:rsidP="00AA2A4C">
            <w:pPr>
              <w:pStyle w:val="TAC"/>
              <w:rPr>
                <w:lang w:eastAsia="en-US"/>
              </w:rPr>
            </w:pPr>
            <w:r w:rsidRPr="004D0DAA">
              <w:rPr>
                <w:lang w:eastAsia="en-US"/>
              </w:rPr>
              <w:t>5</w:t>
            </w:r>
          </w:p>
        </w:tc>
        <w:tc>
          <w:tcPr>
            <w:tcW w:w="624" w:type="dxa"/>
          </w:tcPr>
          <w:p w14:paraId="24CE8E36" w14:textId="77777777" w:rsidR="00711444" w:rsidRPr="004D0DAA" w:rsidRDefault="00711444" w:rsidP="00AA2A4C">
            <w:pPr>
              <w:pStyle w:val="TAC"/>
              <w:rPr>
                <w:lang w:eastAsia="en-US"/>
              </w:rPr>
            </w:pPr>
            <w:r w:rsidRPr="004D0DAA">
              <w:rPr>
                <w:lang w:eastAsia="en-US"/>
              </w:rPr>
              <w:t>4</w:t>
            </w:r>
          </w:p>
        </w:tc>
        <w:tc>
          <w:tcPr>
            <w:tcW w:w="624" w:type="dxa"/>
          </w:tcPr>
          <w:p w14:paraId="233285A9" w14:textId="77777777" w:rsidR="00711444" w:rsidRPr="004D0DAA" w:rsidRDefault="00711444" w:rsidP="00AA2A4C">
            <w:pPr>
              <w:pStyle w:val="TAC"/>
              <w:rPr>
                <w:lang w:eastAsia="en-US"/>
              </w:rPr>
            </w:pPr>
            <w:r w:rsidRPr="004D0DAA">
              <w:rPr>
                <w:lang w:eastAsia="en-US"/>
              </w:rPr>
              <w:t>3</w:t>
            </w:r>
          </w:p>
        </w:tc>
        <w:tc>
          <w:tcPr>
            <w:tcW w:w="624" w:type="dxa"/>
          </w:tcPr>
          <w:p w14:paraId="643E6847" w14:textId="77777777" w:rsidR="00711444" w:rsidRPr="004D0DAA" w:rsidRDefault="00711444" w:rsidP="00AA2A4C">
            <w:pPr>
              <w:pStyle w:val="TAC"/>
              <w:rPr>
                <w:lang w:eastAsia="en-US"/>
              </w:rPr>
            </w:pPr>
            <w:r w:rsidRPr="004D0DAA">
              <w:rPr>
                <w:lang w:eastAsia="en-US"/>
              </w:rPr>
              <w:t>2</w:t>
            </w:r>
          </w:p>
        </w:tc>
        <w:tc>
          <w:tcPr>
            <w:tcW w:w="624" w:type="dxa"/>
          </w:tcPr>
          <w:p w14:paraId="49335B5C" w14:textId="77777777" w:rsidR="00711444" w:rsidRPr="004D0DAA" w:rsidRDefault="00711444" w:rsidP="00AA2A4C">
            <w:pPr>
              <w:pStyle w:val="TAC"/>
              <w:rPr>
                <w:lang w:eastAsia="en-US"/>
              </w:rPr>
            </w:pPr>
            <w:r w:rsidRPr="004D0DAA">
              <w:rPr>
                <w:lang w:eastAsia="en-US"/>
              </w:rPr>
              <w:t>1</w:t>
            </w:r>
          </w:p>
        </w:tc>
        <w:tc>
          <w:tcPr>
            <w:tcW w:w="2390" w:type="dxa"/>
          </w:tcPr>
          <w:p w14:paraId="5244C405" w14:textId="77777777" w:rsidR="00711444" w:rsidRPr="004D0DAA" w:rsidRDefault="00711444" w:rsidP="00AA2A4C">
            <w:pPr>
              <w:pStyle w:val="TAC"/>
              <w:rPr>
                <w:lang w:eastAsia="en-US"/>
              </w:rPr>
            </w:pPr>
          </w:p>
        </w:tc>
      </w:tr>
      <w:tr w:rsidR="00711444" w:rsidRPr="004D0DAA" w14:paraId="269890AE" w14:textId="77777777" w:rsidTr="00AA2A4C">
        <w:tblPrEx>
          <w:tblCellMar>
            <w:top w:w="0" w:type="dxa"/>
            <w:bottom w:w="0" w:type="dxa"/>
          </w:tblCellMar>
        </w:tblPrEx>
        <w:trPr>
          <w:cantSplit/>
          <w:jc w:val="center"/>
        </w:trPr>
        <w:tc>
          <w:tcPr>
            <w:tcW w:w="754" w:type="dxa"/>
            <w:tcBorders>
              <w:top w:val="single" w:sz="6" w:space="0" w:color="auto"/>
              <w:left w:val="single" w:sz="6" w:space="0" w:color="auto"/>
              <w:bottom w:val="single" w:sz="6" w:space="0" w:color="auto"/>
              <w:right w:val="single" w:sz="6" w:space="0" w:color="auto"/>
            </w:tcBorders>
          </w:tcPr>
          <w:p w14:paraId="0B8D0292" w14:textId="77777777" w:rsidR="00711444" w:rsidRPr="004D0DAA" w:rsidRDefault="00711444" w:rsidP="00AA2A4C">
            <w:pPr>
              <w:pStyle w:val="TAC"/>
              <w:rPr>
                <w:lang w:eastAsia="en-US"/>
              </w:rPr>
            </w:pPr>
            <w:r w:rsidRPr="004D0DAA">
              <w:rPr>
                <w:lang w:eastAsia="en-US"/>
              </w:rPr>
              <w:t>RBSN</w:t>
            </w:r>
          </w:p>
        </w:tc>
        <w:tc>
          <w:tcPr>
            <w:tcW w:w="3630" w:type="dxa"/>
            <w:gridSpan w:val="5"/>
            <w:tcBorders>
              <w:top w:val="single" w:sz="6" w:space="0" w:color="auto"/>
              <w:left w:val="single" w:sz="6" w:space="0" w:color="auto"/>
              <w:bottom w:val="single" w:sz="6" w:space="0" w:color="auto"/>
              <w:right w:val="single" w:sz="6" w:space="0" w:color="auto"/>
            </w:tcBorders>
          </w:tcPr>
          <w:p w14:paraId="3BA84EF7" w14:textId="77777777" w:rsidR="00711444" w:rsidRPr="004D0DAA" w:rsidRDefault="00711444" w:rsidP="00AA2A4C">
            <w:pPr>
              <w:pStyle w:val="TAC"/>
              <w:rPr>
                <w:lang w:eastAsia="en-US"/>
              </w:rPr>
            </w:pPr>
            <w:r w:rsidRPr="004D0DAA">
              <w:rPr>
                <w:lang w:eastAsia="en-US"/>
              </w:rPr>
              <w:t>RTI</w:t>
            </w:r>
          </w:p>
        </w:tc>
        <w:tc>
          <w:tcPr>
            <w:tcW w:w="624" w:type="dxa"/>
            <w:tcBorders>
              <w:top w:val="single" w:sz="6" w:space="0" w:color="auto"/>
              <w:right w:val="single" w:sz="6" w:space="0" w:color="auto"/>
            </w:tcBorders>
          </w:tcPr>
          <w:p w14:paraId="42EA2ED9" w14:textId="77777777" w:rsidR="00711444" w:rsidRPr="004D0DAA" w:rsidRDefault="00711444" w:rsidP="00AA2A4C">
            <w:pPr>
              <w:pStyle w:val="TAC"/>
              <w:rPr>
                <w:lang w:eastAsia="en-US"/>
              </w:rPr>
            </w:pPr>
            <w:r w:rsidRPr="004D0DAA">
              <w:rPr>
                <w:lang w:eastAsia="en-US"/>
              </w:rPr>
              <w:t>FS</w:t>
            </w:r>
          </w:p>
        </w:tc>
        <w:tc>
          <w:tcPr>
            <w:tcW w:w="624" w:type="dxa"/>
            <w:tcBorders>
              <w:top w:val="single" w:sz="6" w:space="0" w:color="auto"/>
              <w:right w:val="single" w:sz="6" w:space="0" w:color="auto"/>
            </w:tcBorders>
          </w:tcPr>
          <w:p w14:paraId="2D1421DC" w14:textId="77777777" w:rsidR="00711444" w:rsidRPr="004D0DAA" w:rsidRDefault="00711444" w:rsidP="00AA2A4C">
            <w:pPr>
              <w:pStyle w:val="TAC"/>
              <w:rPr>
                <w:lang w:eastAsia="en-US"/>
              </w:rPr>
            </w:pPr>
            <w:r w:rsidRPr="004D0DAA">
              <w:rPr>
                <w:lang w:eastAsia="en-US"/>
              </w:rPr>
              <w:t>AC</w:t>
            </w:r>
          </w:p>
        </w:tc>
        <w:tc>
          <w:tcPr>
            <w:tcW w:w="2390" w:type="dxa"/>
          </w:tcPr>
          <w:p w14:paraId="7863C564" w14:textId="77777777" w:rsidR="00711444" w:rsidRPr="004D0DAA" w:rsidRDefault="00711444" w:rsidP="00AA2A4C">
            <w:pPr>
              <w:pStyle w:val="TAC"/>
              <w:rPr>
                <w:lang w:eastAsia="en-US"/>
              </w:rPr>
            </w:pPr>
            <w:r w:rsidRPr="004D0DAA">
              <w:rPr>
                <w:lang w:eastAsia="en-US"/>
              </w:rPr>
              <w:t>Octet 1 (optional)</w:t>
            </w:r>
          </w:p>
        </w:tc>
      </w:tr>
      <w:tr w:rsidR="00711444" w:rsidRPr="004D0DAA" w14:paraId="425EAD5A" w14:textId="77777777" w:rsidTr="00AA2A4C">
        <w:tblPrEx>
          <w:tblCellMar>
            <w:top w:w="0" w:type="dxa"/>
            <w:bottom w:w="0" w:type="dxa"/>
          </w:tblCellMar>
        </w:tblPrEx>
        <w:trPr>
          <w:cantSplit/>
          <w:jc w:val="center"/>
        </w:trPr>
        <w:tc>
          <w:tcPr>
            <w:tcW w:w="1496" w:type="dxa"/>
            <w:gridSpan w:val="2"/>
            <w:tcBorders>
              <w:top w:val="single" w:sz="6" w:space="0" w:color="auto"/>
              <w:left w:val="single" w:sz="6" w:space="0" w:color="auto"/>
              <w:bottom w:val="single" w:sz="4" w:space="0" w:color="auto"/>
              <w:right w:val="single" w:sz="6" w:space="0" w:color="auto"/>
            </w:tcBorders>
          </w:tcPr>
          <w:p w14:paraId="45F326B9" w14:textId="77777777" w:rsidR="00711444" w:rsidRPr="004D0DAA" w:rsidRDefault="00711444" w:rsidP="00AA2A4C">
            <w:pPr>
              <w:pStyle w:val="TAC"/>
              <w:rPr>
                <w:lang w:eastAsia="en-US"/>
              </w:rPr>
            </w:pPr>
            <w:r w:rsidRPr="004D0DAA">
              <w:rPr>
                <w:lang w:eastAsia="en-US"/>
              </w:rPr>
              <w:t>PR</w:t>
            </w:r>
          </w:p>
        </w:tc>
        <w:tc>
          <w:tcPr>
            <w:tcW w:w="3512" w:type="dxa"/>
            <w:gridSpan w:val="5"/>
            <w:tcBorders>
              <w:top w:val="single" w:sz="6" w:space="0" w:color="auto"/>
              <w:left w:val="single" w:sz="6" w:space="0" w:color="auto"/>
              <w:bottom w:val="single" w:sz="4" w:space="0" w:color="auto"/>
              <w:right w:val="single" w:sz="6" w:space="0" w:color="auto"/>
            </w:tcBorders>
          </w:tcPr>
          <w:p w14:paraId="1C2153F0"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left w:val="single" w:sz="6" w:space="0" w:color="auto"/>
              <w:bottom w:val="single" w:sz="4" w:space="0" w:color="auto"/>
              <w:right w:val="single" w:sz="6" w:space="0" w:color="auto"/>
            </w:tcBorders>
          </w:tcPr>
          <w:p w14:paraId="459DD1AA" w14:textId="77777777" w:rsidR="00711444" w:rsidRPr="004D0DAA" w:rsidRDefault="00711444" w:rsidP="00AA2A4C">
            <w:pPr>
              <w:pStyle w:val="TAC"/>
              <w:rPr>
                <w:lang w:eastAsia="en-US"/>
              </w:rPr>
            </w:pPr>
            <w:r w:rsidRPr="004D0DAA">
              <w:rPr>
                <w:lang w:eastAsia="en-US"/>
              </w:rPr>
              <w:t>D</w:t>
            </w:r>
          </w:p>
        </w:tc>
        <w:tc>
          <w:tcPr>
            <w:tcW w:w="2390" w:type="dxa"/>
            <w:tcBorders>
              <w:bottom w:val="single" w:sz="4" w:space="0" w:color="auto"/>
            </w:tcBorders>
          </w:tcPr>
          <w:p w14:paraId="5281386E" w14:textId="77777777" w:rsidR="00711444" w:rsidRPr="004D0DAA" w:rsidRDefault="00711444" w:rsidP="00AA2A4C">
            <w:pPr>
              <w:pStyle w:val="TAC"/>
              <w:rPr>
                <w:lang w:eastAsia="en-US"/>
              </w:rPr>
            </w:pPr>
            <w:r w:rsidRPr="004D0DAA">
              <w:rPr>
                <w:lang w:eastAsia="en-US"/>
              </w:rPr>
              <w:t>Octet 2 (optional)</w:t>
            </w:r>
          </w:p>
        </w:tc>
      </w:tr>
      <w:tr w:rsidR="00711444" w:rsidRPr="004D0DAA" w14:paraId="529B9617" w14:textId="77777777" w:rsidTr="00AA2A4C">
        <w:tblPrEx>
          <w:tblCellMar>
            <w:top w:w="0" w:type="dxa"/>
            <w:bottom w:w="0" w:type="dxa"/>
          </w:tblCellMar>
        </w:tblPrEx>
        <w:trPr>
          <w:cantSplit/>
          <w:jc w:val="center"/>
        </w:trPr>
        <w:tc>
          <w:tcPr>
            <w:tcW w:w="2349" w:type="dxa"/>
            <w:gridSpan w:val="3"/>
            <w:tcBorders>
              <w:top w:val="single" w:sz="4" w:space="0" w:color="auto"/>
              <w:left w:val="single" w:sz="4" w:space="0" w:color="auto"/>
              <w:bottom w:val="single" w:sz="4" w:space="0" w:color="auto"/>
              <w:right w:val="single" w:sz="4" w:space="0" w:color="auto"/>
            </w:tcBorders>
          </w:tcPr>
          <w:p w14:paraId="452D23EC" w14:textId="77777777" w:rsidR="00711444" w:rsidRPr="004D0DAA" w:rsidRDefault="00711444" w:rsidP="00AA2A4C">
            <w:pPr>
              <w:pStyle w:val="TAC"/>
              <w:rPr>
                <w:lang w:eastAsia="en-US"/>
              </w:rPr>
            </w:pPr>
            <w:r w:rsidRPr="004D0DAA">
              <w:rPr>
                <w:lang w:eastAsia="en-US"/>
              </w:rPr>
              <w:t>RBSNe</w:t>
            </w:r>
          </w:p>
        </w:tc>
        <w:tc>
          <w:tcPr>
            <w:tcW w:w="787" w:type="dxa"/>
            <w:tcBorders>
              <w:top w:val="single" w:sz="4" w:space="0" w:color="auto"/>
              <w:left w:val="single" w:sz="4" w:space="0" w:color="auto"/>
              <w:bottom w:val="single" w:sz="4" w:space="0" w:color="auto"/>
              <w:right w:val="single" w:sz="4" w:space="0" w:color="auto"/>
            </w:tcBorders>
          </w:tcPr>
          <w:p w14:paraId="6FC7E07C" w14:textId="77777777" w:rsidR="00711444" w:rsidRPr="004D0DAA" w:rsidRDefault="00711444" w:rsidP="00AA2A4C">
            <w:pPr>
              <w:pStyle w:val="TAC"/>
              <w:rPr>
                <w:lang w:eastAsia="en-US"/>
              </w:rPr>
            </w:pPr>
            <w:r w:rsidRPr="004D0DAA">
              <w:rPr>
                <w:lang w:eastAsia="en-US"/>
              </w:rPr>
              <w:t>FSe</w:t>
            </w:r>
          </w:p>
        </w:tc>
        <w:tc>
          <w:tcPr>
            <w:tcW w:w="2496" w:type="dxa"/>
            <w:gridSpan w:val="4"/>
            <w:tcBorders>
              <w:top w:val="single" w:sz="4" w:space="0" w:color="auto"/>
              <w:left w:val="single" w:sz="4" w:space="0" w:color="auto"/>
              <w:bottom w:val="single" w:sz="4" w:space="0" w:color="auto"/>
              <w:right w:val="single" w:sz="4" w:space="0" w:color="auto"/>
            </w:tcBorders>
          </w:tcPr>
          <w:p w14:paraId="61FBE763" w14:textId="77777777" w:rsidR="00711444" w:rsidRPr="004D0DAA" w:rsidRDefault="00711444" w:rsidP="00AA2A4C">
            <w:pPr>
              <w:pStyle w:val="TAC"/>
              <w:rPr>
                <w:lang w:eastAsia="en-US"/>
              </w:rPr>
            </w:pPr>
            <w:r w:rsidRPr="004D0DAA">
              <w:rPr>
                <w:lang w:eastAsia="en-US"/>
              </w:rPr>
              <w:t>spare</w:t>
            </w:r>
          </w:p>
        </w:tc>
        <w:tc>
          <w:tcPr>
            <w:tcW w:w="2390" w:type="dxa"/>
            <w:tcBorders>
              <w:top w:val="single" w:sz="4" w:space="0" w:color="auto"/>
              <w:left w:val="single" w:sz="4" w:space="0" w:color="auto"/>
              <w:bottom w:val="single" w:sz="4" w:space="0" w:color="auto"/>
              <w:right w:val="single" w:sz="4" w:space="0" w:color="auto"/>
            </w:tcBorders>
          </w:tcPr>
          <w:p w14:paraId="17E8A200" w14:textId="77777777" w:rsidR="00711444" w:rsidRPr="004D0DAA" w:rsidRDefault="00711444" w:rsidP="00AA2A4C">
            <w:pPr>
              <w:pStyle w:val="TAC"/>
              <w:rPr>
                <w:lang w:eastAsia="en-US"/>
              </w:rPr>
            </w:pPr>
            <w:r w:rsidRPr="004D0DAA">
              <w:rPr>
                <w:lang w:eastAsia="en-US"/>
              </w:rPr>
              <w:t>Octet 2/3 (optional) see note</w:t>
            </w:r>
          </w:p>
        </w:tc>
      </w:tr>
      <w:tr w:rsidR="00711444" w:rsidRPr="004D0DAA" w14:paraId="0ADE57DD" w14:textId="77777777" w:rsidTr="00AA2A4C">
        <w:tblPrEx>
          <w:tblCellMar>
            <w:top w:w="0" w:type="dxa"/>
            <w:bottom w:w="0" w:type="dxa"/>
          </w:tblCellMar>
        </w:tblPrEx>
        <w:trPr>
          <w:cantSplit/>
          <w:jc w:val="center"/>
        </w:trPr>
        <w:tc>
          <w:tcPr>
            <w:tcW w:w="754" w:type="dxa"/>
            <w:tcBorders>
              <w:top w:val="single" w:sz="4" w:space="0" w:color="auto"/>
              <w:left w:val="single" w:sz="6" w:space="0" w:color="auto"/>
            </w:tcBorders>
          </w:tcPr>
          <w:p w14:paraId="35D9E41F" w14:textId="77777777" w:rsidR="00711444" w:rsidRPr="004D0DAA" w:rsidRDefault="00711444" w:rsidP="00AA2A4C"/>
        </w:tc>
        <w:tc>
          <w:tcPr>
            <w:tcW w:w="742" w:type="dxa"/>
            <w:tcBorders>
              <w:top w:val="single" w:sz="4" w:space="0" w:color="auto"/>
            </w:tcBorders>
          </w:tcPr>
          <w:p w14:paraId="03114518" w14:textId="77777777" w:rsidR="00711444" w:rsidRPr="004D0DAA" w:rsidRDefault="00711444" w:rsidP="00AA2A4C"/>
        </w:tc>
        <w:tc>
          <w:tcPr>
            <w:tcW w:w="853" w:type="dxa"/>
            <w:tcBorders>
              <w:top w:val="single" w:sz="4" w:space="0" w:color="auto"/>
            </w:tcBorders>
          </w:tcPr>
          <w:p w14:paraId="4894564D" w14:textId="77777777" w:rsidR="00711444" w:rsidRPr="004D0DAA" w:rsidRDefault="00711444" w:rsidP="00AA2A4C"/>
        </w:tc>
        <w:tc>
          <w:tcPr>
            <w:tcW w:w="787" w:type="dxa"/>
            <w:tcBorders>
              <w:top w:val="single" w:sz="4" w:space="0" w:color="auto"/>
            </w:tcBorders>
          </w:tcPr>
          <w:p w14:paraId="7DBFA4BC" w14:textId="77777777" w:rsidR="00711444" w:rsidRPr="004D0DAA" w:rsidRDefault="00711444" w:rsidP="00AA2A4C"/>
        </w:tc>
        <w:tc>
          <w:tcPr>
            <w:tcW w:w="624" w:type="dxa"/>
            <w:tcBorders>
              <w:top w:val="single" w:sz="4" w:space="0" w:color="auto"/>
            </w:tcBorders>
          </w:tcPr>
          <w:p w14:paraId="3C1FAC32" w14:textId="77777777" w:rsidR="00711444" w:rsidRPr="004D0DAA" w:rsidRDefault="00711444" w:rsidP="00AA2A4C"/>
        </w:tc>
        <w:tc>
          <w:tcPr>
            <w:tcW w:w="624" w:type="dxa"/>
            <w:tcBorders>
              <w:top w:val="single" w:sz="4" w:space="0" w:color="auto"/>
            </w:tcBorders>
          </w:tcPr>
          <w:p w14:paraId="261DC339" w14:textId="77777777" w:rsidR="00711444" w:rsidRPr="004D0DAA" w:rsidRDefault="00711444" w:rsidP="00AA2A4C"/>
        </w:tc>
        <w:tc>
          <w:tcPr>
            <w:tcW w:w="624" w:type="dxa"/>
            <w:tcBorders>
              <w:top w:val="single" w:sz="4" w:space="0" w:color="auto"/>
            </w:tcBorders>
          </w:tcPr>
          <w:p w14:paraId="5ED71901" w14:textId="77777777" w:rsidR="00711444" w:rsidRPr="004D0DAA" w:rsidRDefault="00711444" w:rsidP="00AA2A4C"/>
        </w:tc>
        <w:tc>
          <w:tcPr>
            <w:tcW w:w="624" w:type="dxa"/>
            <w:tcBorders>
              <w:top w:val="single" w:sz="4" w:space="0" w:color="auto"/>
              <w:right w:val="single" w:sz="6" w:space="0" w:color="auto"/>
            </w:tcBorders>
          </w:tcPr>
          <w:p w14:paraId="7CE71726" w14:textId="77777777" w:rsidR="00711444" w:rsidRPr="004D0DAA" w:rsidRDefault="00711444" w:rsidP="00AA2A4C"/>
        </w:tc>
        <w:tc>
          <w:tcPr>
            <w:tcW w:w="2390" w:type="dxa"/>
            <w:tcBorders>
              <w:top w:val="single" w:sz="4" w:space="0" w:color="auto"/>
            </w:tcBorders>
          </w:tcPr>
          <w:p w14:paraId="486FFA33" w14:textId="77777777" w:rsidR="00711444" w:rsidRPr="004D0DAA" w:rsidRDefault="00711444" w:rsidP="00AA2A4C">
            <w:pPr>
              <w:pStyle w:val="TAC"/>
              <w:rPr>
                <w:lang w:eastAsia="en-US"/>
              </w:rPr>
            </w:pPr>
            <w:r w:rsidRPr="004D0DAA">
              <w:rPr>
                <w:lang w:eastAsia="en-US"/>
              </w:rPr>
              <w:t>Octet M</w:t>
            </w:r>
          </w:p>
        </w:tc>
      </w:tr>
      <w:tr w:rsidR="00711444" w:rsidRPr="004D0DAA" w14:paraId="760786AB" w14:textId="77777777" w:rsidTr="00AA2A4C">
        <w:tblPrEx>
          <w:tblCellMar>
            <w:top w:w="0" w:type="dxa"/>
            <w:bottom w:w="0" w:type="dxa"/>
          </w:tblCellMar>
        </w:tblPrEx>
        <w:trPr>
          <w:cantSplit/>
          <w:jc w:val="center"/>
        </w:trPr>
        <w:tc>
          <w:tcPr>
            <w:tcW w:w="5632" w:type="dxa"/>
            <w:gridSpan w:val="8"/>
            <w:tcBorders>
              <w:left w:val="single" w:sz="6" w:space="0" w:color="auto"/>
              <w:right w:val="single" w:sz="6" w:space="0" w:color="auto"/>
            </w:tcBorders>
          </w:tcPr>
          <w:p w14:paraId="0EDD6AE4" w14:textId="77777777" w:rsidR="00711444" w:rsidRPr="004D0DAA" w:rsidRDefault="00711444" w:rsidP="00AA2A4C">
            <w:pPr>
              <w:pStyle w:val="TAC"/>
              <w:rPr>
                <w:lang w:eastAsia="en-US"/>
              </w:rPr>
            </w:pPr>
            <w:r w:rsidRPr="004D0DAA">
              <w:rPr>
                <w:lang w:eastAsia="en-US"/>
              </w:rPr>
              <w:t>Control Message Contents</w:t>
            </w:r>
          </w:p>
        </w:tc>
        <w:tc>
          <w:tcPr>
            <w:tcW w:w="2390" w:type="dxa"/>
          </w:tcPr>
          <w:p w14:paraId="5F5A69BE" w14:textId="77777777" w:rsidR="00711444" w:rsidRPr="004D0DAA" w:rsidRDefault="00711444" w:rsidP="00AA2A4C">
            <w:pPr>
              <w:pStyle w:val="TAC"/>
              <w:rPr>
                <w:lang w:eastAsia="en-US"/>
              </w:rPr>
            </w:pPr>
            <w:r w:rsidRPr="004D0DAA">
              <w:rPr>
                <w:lang w:eastAsia="en-US"/>
              </w:rPr>
              <w:t>.</w:t>
            </w:r>
          </w:p>
          <w:p w14:paraId="2A9791B7" w14:textId="77777777" w:rsidR="00711444" w:rsidRPr="004D0DAA" w:rsidRDefault="00711444" w:rsidP="00AA2A4C">
            <w:pPr>
              <w:pStyle w:val="TAC"/>
              <w:rPr>
                <w:lang w:eastAsia="en-US"/>
              </w:rPr>
            </w:pPr>
            <w:r w:rsidRPr="004D0DAA">
              <w:rPr>
                <w:lang w:eastAsia="en-US"/>
              </w:rPr>
              <w:t>.</w:t>
            </w:r>
          </w:p>
          <w:p w14:paraId="13BDDE58" w14:textId="77777777" w:rsidR="00711444" w:rsidRPr="004D0DAA" w:rsidRDefault="00711444" w:rsidP="00AA2A4C">
            <w:pPr>
              <w:pStyle w:val="TAC"/>
              <w:rPr>
                <w:lang w:eastAsia="en-US"/>
              </w:rPr>
            </w:pPr>
            <w:r w:rsidRPr="004D0DAA">
              <w:rPr>
                <w:lang w:eastAsia="en-US"/>
              </w:rPr>
              <w:t>.</w:t>
            </w:r>
          </w:p>
        </w:tc>
      </w:tr>
      <w:tr w:rsidR="00711444" w:rsidRPr="004D0DAA" w14:paraId="74D2E929" w14:textId="77777777" w:rsidTr="00AA2A4C">
        <w:tblPrEx>
          <w:tblCellMar>
            <w:top w:w="0" w:type="dxa"/>
            <w:bottom w:w="0" w:type="dxa"/>
          </w:tblCellMar>
        </w:tblPrEx>
        <w:trPr>
          <w:cantSplit/>
          <w:jc w:val="center"/>
        </w:trPr>
        <w:tc>
          <w:tcPr>
            <w:tcW w:w="754" w:type="dxa"/>
            <w:tcBorders>
              <w:left w:val="single" w:sz="6" w:space="0" w:color="auto"/>
            </w:tcBorders>
          </w:tcPr>
          <w:p w14:paraId="19C650E0" w14:textId="77777777" w:rsidR="00711444" w:rsidRPr="004D0DAA" w:rsidRDefault="00711444" w:rsidP="00AA2A4C"/>
        </w:tc>
        <w:tc>
          <w:tcPr>
            <w:tcW w:w="742" w:type="dxa"/>
          </w:tcPr>
          <w:p w14:paraId="68195380" w14:textId="77777777" w:rsidR="00711444" w:rsidRPr="004D0DAA" w:rsidRDefault="00711444" w:rsidP="00AA2A4C"/>
        </w:tc>
        <w:tc>
          <w:tcPr>
            <w:tcW w:w="853" w:type="dxa"/>
          </w:tcPr>
          <w:p w14:paraId="2EA54332" w14:textId="77777777" w:rsidR="00711444" w:rsidRPr="004D0DAA" w:rsidRDefault="00711444" w:rsidP="00AA2A4C"/>
        </w:tc>
        <w:tc>
          <w:tcPr>
            <w:tcW w:w="787" w:type="dxa"/>
          </w:tcPr>
          <w:p w14:paraId="150FAC02" w14:textId="77777777" w:rsidR="00711444" w:rsidRPr="004D0DAA" w:rsidRDefault="00711444" w:rsidP="00AA2A4C"/>
        </w:tc>
        <w:tc>
          <w:tcPr>
            <w:tcW w:w="624" w:type="dxa"/>
          </w:tcPr>
          <w:p w14:paraId="15469036" w14:textId="77777777" w:rsidR="00711444" w:rsidRPr="004D0DAA" w:rsidRDefault="00711444" w:rsidP="00AA2A4C"/>
        </w:tc>
        <w:tc>
          <w:tcPr>
            <w:tcW w:w="624" w:type="dxa"/>
          </w:tcPr>
          <w:p w14:paraId="4F172608" w14:textId="77777777" w:rsidR="00711444" w:rsidRPr="004D0DAA" w:rsidRDefault="00711444" w:rsidP="00AA2A4C"/>
        </w:tc>
        <w:tc>
          <w:tcPr>
            <w:tcW w:w="624" w:type="dxa"/>
          </w:tcPr>
          <w:p w14:paraId="461AE682" w14:textId="77777777" w:rsidR="00711444" w:rsidRPr="004D0DAA" w:rsidRDefault="00711444" w:rsidP="00AA2A4C"/>
        </w:tc>
        <w:tc>
          <w:tcPr>
            <w:tcW w:w="624" w:type="dxa"/>
            <w:tcBorders>
              <w:right w:val="single" w:sz="6" w:space="0" w:color="auto"/>
            </w:tcBorders>
          </w:tcPr>
          <w:p w14:paraId="1109EEC2" w14:textId="77777777" w:rsidR="00711444" w:rsidRPr="004D0DAA" w:rsidRDefault="00711444" w:rsidP="00AA2A4C"/>
        </w:tc>
        <w:tc>
          <w:tcPr>
            <w:tcW w:w="2390" w:type="dxa"/>
          </w:tcPr>
          <w:p w14:paraId="451940AC" w14:textId="77777777" w:rsidR="00711444" w:rsidRPr="004D0DAA" w:rsidRDefault="00711444" w:rsidP="00AA2A4C">
            <w:pPr>
              <w:pStyle w:val="TAC"/>
              <w:rPr>
                <w:lang w:eastAsia="en-US"/>
              </w:rPr>
            </w:pPr>
            <w:r w:rsidRPr="004D0DAA">
              <w:rPr>
                <w:lang w:eastAsia="en-US"/>
              </w:rPr>
              <w:t>Octet 21</w:t>
            </w:r>
          </w:p>
        </w:tc>
      </w:tr>
      <w:tr w:rsidR="00711444" w:rsidRPr="004D0DAA" w14:paraId="0A031C9C" w14:textId="77777777" w:rsidTr="00AA2A4C">
        <w:tblPrEx>
          <w:tblCellMar>
            <w:top w:w="0" w:type="dxa"/>
            <w:bottom w:w="0" w:type="dxa"/>
          </w:tblCellMar>
        </w:tblPrEx>
        <w:trPr>
          <w:cantSplit/>
          <w:jc w:val="center"/>
        </w:trPr>
        <w:tc>
          <w:tcPr>
            <w:tcW w:w="754" w:type="dxa"/>
            <w:tcBorders>
              <w:left w:val="single" w:sz="6" w:space="0" w:color="auto"/>
              <w:bottom w:val="single" w:sz="4" w:space="0" w:color="auto"/>
            </w:tcBorders>
          </w:tcPr>
          <w:p w14:paraId="5A47D290" w14:textId="77777777" w:rsidR="00711444" w:rsidRPr="004D0DAA" w:rsidRDefault="00711444" w:rsidP="00AA2A4C"/>
        </w:tc>
        <w:tc>
          <w:tcPr>
            <w:tcW w:w="742" w:type="dxa"/>
            <w:tcBorders>
              <w:bottom w:val="single" w:sz="4" w:space="0" w:color="auto"/>
            </w:tcBorders>
          </w:tcPr>
          <w:p w14:paraId="1065C425" w14:textId="77777777" w:rsidR="00711444" w:rsidRPr="004D0DAA" w:rsidRDefault="00711444" w:rsidP="00AA2A4C"/>
        </w:tc>
        <w:tc>
          <w:tcPr>
            <w:tcW w:w="853" w:type="dxa"/>
            <w:tcBorders>
              <w:bottom w:val="single" w:sz="4" w:space="0" w:color="auto"/>
            </w:tcBorders>
          </w:tcPr>
          <w:p w14:paraId="2B226D26" w14:textId="77777777" w:rsidR="00711444" w:rsidRPr="004D0DAA" w:rsidRDefault="00711444" w:rsidP="00AA2A4C"/>
        </w:tc>
        <w:tc>
          <w:tcPr>
            <w:tcW w:w="787" w:type="dxa"/>
            <w:tcBorders>
              <w:bottom w:val="single" w:sz="4" w:space="0" w:color="auto"/>
            </w:tcBorders>
          </w:tcPr>
          <w:p w14:paraId="62C21D00" w14:textId="77777777" w:rsidR="00711444" w:rsidRPr="004D0DAA" w:rsidRDefault="00711444" w:rsidP="00AA2A4C"/>
        </w:tc>
        <w:tc>
          <w:tcPr>
            <w:tcW w:w="624" w:type="dxa"/>
            <w:tcBorders>
              <w:bottom w:val="single" w:sz="4" w:space="0" w:color="auto"/>
            </w:tcBorders>
          </w:tcPr>
          <w:p w14:paraId="4BDF6CCE" w14:textId="77777777" w:rsidR="00711444" w:rsidRPr="004D0DAA" w:rsidRDefault="00711444" w:rsidP="00AA2A4C"/>
        </w:tc>
        <w:tc>
          <w:tcPr>
            <w:tcW w:w="624" w:type="dxa"/>
            <w:tcBorders>
              <w:bottom w:val="single" w:sz="4" w:space="0" w:color="auto"/>
            </w:tcBorders>
          </w:tcPr>
          <w:p w14:paraId="555DF293" w14:textId="77777777" w:rsidR="00711444" w:rsidRPr="004D0DAA" w:rsidRDefault="00711444" w:rsidP="00AA2A4C"/>
        </w:tc>
        <w:tc>
          <w:tcPr>
            <w:tcW w:w="624" w:type="dxa"/>
            <w:tcBorders>
              <w:bottom w:val="single" w:sz="4" w:space="0" w:color="auto"/>
            </w:tcBorders>
          </w:tcPr>
          <w:p w14:paraId="102FE625" w14:textId="77777777" w:rsidR="00711444" w:rsidRPr="004D0DAA" w:rsidRDefault="00711444" w:rsidP="00AA2A4C"/>
        </w:tc>
        <w:tc>
          <w:tcPr>
            <w:tcW w:w="624" w:type="dxa"/>
            <w:tcBorders>
              <w:bottom w:val="single" w:sz="4" w:space="0" w:color="auto"/>
              <w:right w:val="single" w:sz="6" w:space="0" w:color="auto"/>
            </w:tcBorders>
          </w:tcPr>
          <w:p w14:paraId="189CCCC5" w14:textId="77777777" w:rsidR="00711444" w:rsidRPr="004D0DAA" w:rsidRDefault="00711444" w:rsidP="00AA2A4C"/>
        </w:tc>
        <w:tc>
          <w:tcPr>
            <w:tcW w:w="2390" w:type="dxa"/>
            <w:tcBorders>
              <w:bottom w:val="single" w:sz="4" w:space="0" w:color="auto"/>
            </w:tcBorders>
          </w:tcPr>
          <w:p w14:paraId="5268654D" w14:textId="77777777" w:rsidR="00711444" w:rsidRPr="004D0DAA" w:rsidRDefault="00711444" w:rsidP="00AA2A4C">
            <w:pPr>
              <w:pStyle w:val="TAC"/>
              <w:rPr>
                <w:lang w:eastAsia="en-US"/>
              </w:rPr>
            </w:pPr>
            <w:r w:rsidRPr="004D0DAA">
              <w:rPr>
                <w:lang w:eastAsia="en-US"/>
              </w:rPr>
              <w:t>Octet 22</w:t>
            </w:r>
          </w:p>
        </w:tc>
      </w:tr>
      <w:tr w:rsidR="00711444" w:rsidRPr="004D0DAA" w14:paraId="5C6878D0" w14:textId="77777777" w:rsidTr="00AA2A4C">
        <w:tblPrEx>
          <w:tblCellMar>
            <w:top w:w="0" w:type="dxa"/>
            <w:bottom w:w="0" w:type="dxa"/>
          </w:tblCellMar>
        </w:tblPrEx>
        <w:trPr>
          <w:cantSplit/>
          <w:jc w:val="center"/>
        </w:trPr>
        <w:tc>
          <w:tcPr>
            <w:tcW w:w="8022" w:type="dxa"/>
            <w:gridSpan w:val="9"/>
            <w:tcBorders>
              <w:top w:val="single" w:sz="4" w:space="0" w:color="auto"/>
              <w:left w:val="single" w:sz="4" w:space="0" w:color="auto"/>
              <w:bottom w:val="single" w:sz="4" w:space="0" w:color="auto"/>
              <w:right w:val="single" w:sz="4" w:space="0" w:color="auto"/>
            </w:tcBorders>
          </w:tcPr>
          <w:p w14:paraId="346D33C9" w14:textId="77777777" w:rsidR="00711444" w:rsidRPr="004D0DAA" w:rsidRDefault="00711444" w:rsidP="00AA2A4C">
            <w:pPr>
              <w:pStyle w:val="TAN"/>
              <w:rPr>
                <w:lang w:eastAsia="en-US"/>
              </w:rPr>
            </w:pPr>
            <w:r w:rsidRPr="004D0DAA">
              <w:rPr>
                <w:lang w:eastAsia="en-US"/>
              </w:rPr>
              <w:t>NOTE:</w:t>
            </w:r>
            <w:r w:rsidRPr="004D0DAA">
              <w:rPr>
                <w:lang w:eastAsia="en-US"/>
              </w:rPr>
              <w:tab/>
              <w:t>This optional octet is included in case of extended RLC/MAC control message segmentation. Its presence is indicated through the combination of RBSN bit and FS bit equal to (RBSN=’1’ and FS=’0’)</w:t>
            </w:r>
          </w:p>
        </w:tc>
      </w:tr>
    </w:tbl>
    <w:p w14:paraId="2EEFB8C0" w14:textId="77777777" w:rsidR="00711444" w:rsidRPr="004D0DAA" w:rsidRDefault="00711444" w:rsidP="00711444">
      <w:pPr>
        <w:pStyle w:val="NF"/>
        <w:ind w:left="0" w:firstLine="0"/>
      </w:pPr>
    </w:p>
    <w:p w14:paraId="3D8F7AE3" w14:textId="77777777" w:rsidR="00711444" w:rsidRPr="004D0DAA" w:rsidRDefault="00711444" w:rsidP="00711444">
      <w:pPr>
        <w:pStyle w:val="TF"/>
      </w:pPr>
      <w:r w:rsidRPr="004D0DAA">
        <w:t>Figure 10.3.1.2.1: Downlink RLC/MAC control block message contents</w:t>
      </w:r>
    </w:p>
    <w:p w14:paraId="446A27D6" w14:textId="77777777" w:rsidR="00711444" w:rsidRPr="004D0DAA" w:rsidRDefault="00711444" w:rsidP="00711444">
      <w:pPr>
        <w:pStyle w:val="NO"/>
      </w:pPr>
      <w:r w:rsidRPr="004D0DAA">
        <w:t>NOTE:</w:t>
      </w:r>
      <w:r w:rsidRPr="004D0DAA">
        <w:tab/>
        <w:t>The optional header octets and the control message contents octets shall be encoded following the field mapping convention defined in sub-clause 10.0b.3.2.</w:t>
      </w:r>
    </w:p>
    <w:p w14:paraId="3787209F" w14:textId="77777777" w:rsidR="00711444" w:rsidRPr="004D0DAA" w:rsidRDefault="00711444" w:rsidP="00711444">
      <w:pPr>
        <w:pStyle w:val="Heading4"/>
      </w:pPr>
      <w:bookmarkStart w:id="510" w:name="_Toc516669692"/>
      <w:r w:rsidRPr="004D0DAA">
        <w:lastRenderedPageBreak/>
        <w:t>10.3.1.3</w:t>
      </w:r>
      <w:r w:rsidRPr="004D0DAA">
        <w:tab/>
        <w:t>Blocks encoded for EC-PACCH/D</w:t>
      </w:r>
      <w:bookmarkEnd w:id="510"/>
    </w:p>
    <w:p w14:paraId="55FB5278" w14:textId="77777777" w:rsidR="00711444" w:rsidRPr="004D0DAA" w:rsidRDefault="00711444" w:rsidP="00711444">
      <w:r w:rsidRPr="004D0DAA">
        <w:t>A coding block payload content of up to 80 bits, including MAC header, has been defined for use on EC-PACCH/D where the USF is encoded separately. Depending on the value of the Payload Type bit, the payload size is either 75 or 67 bits and is coded to generate punctured bits for EC-PACCH/D and designed to provide compatibility with GPRS and EGPRS. The EC-PACCH/D RLC/MAC control block for EC-GSM-IoT, including the MAC header, is formatted as shown in figure 10.3.1.3.1 or 10.3.1.3.2.</w:t>
      </w:r>
    </w:p>
    <w:p w14:paraId="2597B637" w14:textId="77777777" w:rsidR="00711444" w:rsidRPr="004D0DAA" w:rsidRDefault="00711444" w:rsidP="00711444">
      <w:r w:rsidRPr="004D0DAA">
        <w:t xml:space="preserve">The USF is encoded separately, see 3GPP TS 45.003. A different USF value may be included in each block when several blind physical layer transmissions are used in the downlink. If only EC TBFs are assigned on a PDCH, the inclusion of the USF should be regarded as optional. </w:t>
      </w:r>
    </w:p>
    <w:p w14:paraId="48360FAE" w14:textId="77777777" w:rsidR="00711444" w:rsidRPr="004D0DAA" w:rsidRDefault="00711444" w:rsidP="00711444">
      <w:pPr>
        <w:pStyle w:val="NF"/>
        <w:rPr>
          <w:rFonts w:cs="Arial"/>
          <w:szCs w:val="18"/>
        </w:rPr>
      </w:pPr>
    </w:p>
    <w:tbl>
      <w:tblPr>
        <w:tblW w:w="0" w:type="auto"/>
        <w:jc w:val="center"/>
        <w:tblCellMar>
          <w:left w:w="0" w:type="dxa"/>
          <w:right w:w="0" w:type="dxa"/>
        </w:tblCellMar>
        <w:tblLook w:val="04A0" w:firstRow="1" w:lastRow="0" w:firstColumn="1" w:lastColumn="0" w:noHBand="0" w:noVBand="1"/>
      </w:tblPr>
      <w:tblGrid>
        <w:gridCol w:w="657"/>
        <w:gridCol w:w="615"/>
        <w:gridCol w:w="691"/>
      </w:tblGrid>
      <w:tr w:rsidR="00711444" w:rsidRPr="004D0DAA" w14:paraId="0DCE4E6A" w14:textId="77777777" w:rsidTr="00AA2A4C">
        <w:trPr>
          <w:cantSplit/>
          <w:jc w:val="center"/>
        </w:trPr>
        <w:tc>
          <w:tcPr>
            <w:tcW w:w="1963" w:type="dxa"/>
            <w:gridSpan w:val="3"/>
            <w:tcMar>
              <w:top w:w="0" w:type="dxa"/>
              <w:left w:w="28" w:type="dxa"/>
              <w:bottom w:w="0" w:type="dxa"/>
              <w:right w:w="28" w:type="dxa"/>
            </w:tcMar>
          </w:tcPr>
          <w:p w14:paraId="5D046CC9" w14:textId="77777777" w:rsidR="00711444" w:rsidRPr="004D0DAA" w:rsidRDefault="00711444" w:rsidP="00AA2A4C">
            <w:pPr>
              <w:pStyle w:val="TAC"/>
              <w:rPr>
                <w:lang w:eastAsia="en-US"/>
              </w:rPr>
            </w:pPr>
            <w:r w:rsidRPr="004D0DAA">
              <w:rPr>
                <w:lang w:eastAsia="en-US"/>
              </w:rPr>
              <w:t>Bit</w:t>
            </w:r>
          </w:p>
        </w:tc>
      </w:tr>
      <w:tr w:rsidR="00711444" w:rsidRPr="004D0DAA" w14:paraId="5AB0DB22" w14:textId="77777777" w:rsidTr="00AA2A4C">
        <w:trPr>
          <w:cantSplit/>
          <w:jc w:val="center"/>
        </w:trPr>
        <w:tc>
          <w:tcPr>
            <w:tcW w:w="657" w:type="dxa"/>
            <w:tcMar>
              <w:top w:w="0" w:type="dxa"/>
              <w:left w:w="28" w:type="dxa"/>
              <w:bottom w:w="0" w:type="dxa"/>
              <w:right w:w="28" w:type="dxa"/>
            </w:tcMar>
            <w:hideMark/>
          </w:tcPr>
          <w:p w14:paraId="3EA2E17E" w14:textId="77777777" w:rsidR="00711444" w:rsidRPr="004D0DAA" w:rsidRDefault="00711444" w:rsidP="00AA2A4C">
            <w:pPr>
              <w:pStyle w:val="TAC"/>
              <w:rPr>
                <w:lang w:eastAsia="en-US"/>
              </w:rPr>
            </w:pPr>
            <w:r w:rsidRPr="004D0DAA">
              <w:rPr>
                <w:lang w:eastAsia="en-US"/>
              </w:rPr>
              <w:t>3</w:t>
            </w:r>
          </w:p>
        </w:tc>
        <w:tc>
          <w:tcPr>
            <w:tcW w:w="615" w:type="dxa"/>
            <w:tcMar>
              <w:top w:w="0" w:type="dxa"/>
              <w:left w:w="28" w:type="dxa"/>
              <w:bottom w:w="0" w:type="dxa"/>
              <w:right w:w="28" w:type="dxa"/>
            </w:tcMar>
            <w:hideMark/>
          </w:tcPr>
          <w:p w14:paraId="09B18654" w14:textId="77777777" w:rsidR="00711444" w:rsidRPr="004D0DAA" w:rsidRDefault="00711444" w:rsidP="00AA2A4C">
            <w:pPr>
              <w:pStyle w:val="TAC"/>
              <w:rPr>
                <w:lang w:eastAsia="en-US"/>
              </w:rPr>
            </w:pPr>
            <w:r w:rsidRPr="004D0DAA">
              <w:rPr>
                <w:lang w:eastAsia="en-US"/>
              </w:rPr>
              <w:t>2</w:t>
            </w:r>
          </w:p>
        </w:tc>
        <w:tc>
          <w:tcPr>
            <w:tcW w:w="691" w:type="dxa"/>
            <w:tcMar>
              <w:top w:w="0" w:type="dxa"/>
              <w:left w:w="28" w:type="dxa"/>
              <w:bottom w:w="0" w:type="dxa"/>
              <w:right w:w="28" w:type="dxa"/>
            </w:tcMar>
            <w:hideMark/>
          </w:tcPr>
          <w:p w14:paraId="7A7AF90A" w14:textId="77777777" w:rsidR="00711444" w:rsidRPr="004D0DAA" w:rsidRDefault="00711444" w:rsidP="00AA2A4C">
            <w:pPr>
              <w:pStyle w:val="TAC"/>
              <w:rPr>
                <w:lang w:eastAsia="en-US"/>
              </w:rPr>
            </w:pPr>
            <w:r w:rsidRPr="004D0DAA">
              <w:rPr>
                <w:lang w:eastAsia="en-US"/>
              </w:rPr>
              <w:t>1</w:t>
            </w:r>
          </w:p>
        </w:tc>
      </w:tr>
      <w:tr w:rsidR="00711444" w:rsidRPr="004D0DAA" w14:paraId="118DBBD9" w14:textId="77777777" w:rsidTr="00AA2A4C">
        <w:trPr>
          <w:cantSplit/>
          <w:jc w:val="center"/>
        </w:trPr>
        <w:tc>
          <w:tcPr>
            <w:tcW w:w="657" w:type="dxa"/>
            <w:tcBorders>
              <w:top w:val="single" w:sz="8" w:space="0" w:color="auto"/>
              <w:left w:val="single" w:sz="8" w:space="0" w:color="auto"/>
              <w:bottom w:val="single" w:sz="8" w:space="0" w:color="auto"/>
              <w:right w:val="nil"/>
            </w:tcBorders>
            <w:tcMar>
              <w:top w:w="0" w:type="dxa"/>
              <w:left w:w="28" w:type="dxa"/>
              <w:bottom w:w="0" w:type="dxa"/>
              <w:right w:w="28" w:type="dxa"/>
            </w:tcMar>
          </w:tcPr>
          <w:p w14:paraId="4DD393C6" w14:textId="77777777" w:rsidR="00711444" w:rsidRPr="004D0DAA" w:rsidRDefault="00711444" w:rsidP="00AA2A4C"/>
        </w:tc>
        <w:tc>
          <w:tcPr>
            <w:tcW w:w="615" w:type="dxa"/>
            <w:tcBorders>
              <w:top w:val="single" w:sz="8" w:space="0" w:color="auto"/>
              <w:left w:val="nil"/>
              <w:bottom w:val="single" w:sz="8" w:space="0" w:color="auto"/>
              <w:right w:val="nil"/>
            </w:tcBorders>
            <w:tcMar>
              <w:top w:w="0" w:type="dxa"/>
              <w:left w:w="28" w:type="dxa"/>
              <w:bottom w:w="0" w:type="dxa"/>
              <w:right w:w="28" w:type="dxa"/>
            </w:tcMar>
            <w:hideMark/>
          </w:tcPr>
          <w:p w14:paraId="48D8E666" w14:textId="77777777" w:rsidR="00711444" w:rsidRPr="004D0DAA" w:rsidRDefault="00711444" w:rsidP="00AA2A4C">
            <w:pPr>
              <w:pStyle w:val="TAC"/>
              <w:rPr>
                <w:lang w:eastAsia="en-US"/>
              </w:rPr>
            </w:pPr>
            <w:r w:rsidRPr="004D0DAA">
              <w:rPr>
                <w:lang w:eastAsia="en-US"/>
              </w:rPr>
              <w:t>USF</w:t>
            </w:r>
          </w:p>
        </w:tc>
        <w:tc>
          <w:tcPr>
            <w:tcW w:w="691" w:type="dxa"/>
            <w:tcBorders>
              <w:top w:val="single" w:sz="8" w:space="0" w:color="auto"/>
              <w:left w:val="nil"/>
              <w:bottom w:val="single" w:sz="8" w:space="0" w:color="auto"/>
              <w:right w:val="single" w:sz="8" w:space="0" w:color="auto"/>
            </w:tcBorders>
            <w:tcMar>
              <w:top w:w="0" w:type="dxa"/>
              <w:left w:w="28" w:type="dxa"/>
              <w:bottom w:w="0" w:type="dxa"/>
              <w:right w:w="28" w:type="dxa"/>
            </w:tcMar>
          </w:tcPr>
          <w:p w14:paraId="440BBE3B" w14:textId="77777777" w:rsidR="00711444" w:rsidRPr="004D0DAA" w:rsidRDefault="00711444" w:rsidP="00AA2A4C"/>
        </w:tc>
      </w:tr>
    </w:tbl>
    <w:p w14:paraId="056C2237" w14:textId="77777777" w:rsidR="00711444" w:rsidRPr="004D0DAA" w:rsidRDefault="00711444" w:rsidP="00711444">
      <w:pPr>
        <w:pStyle w:val="NF"/>
        <w:ind w:left="0" w:firstLine="0"/>
        <w:rPr>
          <w:rFonts w:cs="Arial"/>
          <w:szCs w:val="18"/>
        </w:rPr>
      </w:pPr>
    </w:p>
    <w:p w14:paraId="20695C2B" w14:textId="77777777" w:rsidR="00711444" w:rsidRPr="004D0DAA" w:rsidRDefault="00711444" w:rsidP="00711444">
      <w:pPr>
        <w:pStyle w:val="NF"/>
        <w:rPr>
          <w:rFonts w:cs="Arial"/>
          <w:szCs w:val="18"/>
        </w:rPr>
      </w:pPr>
    </w:p>
    <w:tbl>
      <w:tblPr>
        <w:tblW w:w="0" w:type="auto"/>
        <w:jc w:val="center"/>
        <w:tblCellMar>
          <w:left w:w="0" w:type="dxa"/>
          <w:right w:w="0" w:type="dxa"/>
        </w:tblCellMar>
        <w:tblLook w:val="04A0" w:firstRow="1" w:lastRow="0" w:firstColumn="1" w:lastColumn="0" w:noHBand="0" w:noVBand="1"/>
      </w:tblPr>
      <w:tblGrid>
        <w:gridCol w:w="824"/>
        <w:gridCol w:w="295"/>
        <w:gridCol w:w="556"/>
        <w:gridCol w:w="710"/>
        <w:gridCol w:w="755"/>
        <w:gridCol w:w="79"/>
        <w:gridCol w:w="872"/>
        <w:gridCol w:w="562"/>
        <w:gridCol w:w="853"/>
        <w:gridCol w:w="843"/>
        <w:gridCol w:w="2388"/>
      </w:tblGrid>
      <w:tr w:rsidR="00711444" w:rsidRPr="004D0DAA" w14:paraId="30A5D532" w14:textId="77777777" w:rsidTr="00AA2A4C">
        <w:trPr>
          <w:cantSplit/>
          <w:jc w:val="center"/>
        </w:trPr>
        <w:tc>
          <w:tcPr>
            <w:tcW w:w="1119" w:type="dxa"/>
            <w:gridSpan w:val="2"/>
            <w:tcMar>
              <w:top w:w="0" w:type="dxa"/>
              <w:left w:w="28" w:type="dxa"/>
              <w:bottom w:w="0" w:type="dxa"/>
              <w:right w:w="28" w:type="dxa"/>
            </w:tcMar>
          </w:tcPr>
          <w:p w14:paraId="05019C57" w14:textId="77777777" w:rsidR="00711444" w:rsidRPr="004D0DAA" w:rsidRDefault="00711444" w:rsidP="00AA2A4C">
            <w:pPr>
              <w:pStyle w:val="TAC"/>
              <w:rPr>
                <w:lang w:eastAsia="en-US"/>
              </w:rPr>
            </w:pPr>
          </w:p>
        </w:tc>
        <w:tc>
          <w:tcPr>
            <w:tcW w:w="556" w:type="dxa"/>
            <w:tcMar>
              <w:top w:w="0" w:type="dxa"/>
              <w:left w:w="28" w:type="dxa"/>
              <w:bottom w:w="0" w:type="dxa"/>
              <w:right w:w="28" w:type="dxa"/>
            </w:tcMar>
          </w:tcPr>
          <w:p w14:paraId="29D76A5B" w14:textId="77777777" w:rsidR="00711444" w:rsidRPr="004D0DAA" w:rsidRDefault="00711444" w:rsidP="00AA2A4C">
            <w:pPr>
              <w:pStyle w:val="TAC"/>
              <w:rPr>
                <w:lang w:eastAsia="en-US"/>
              </w:rPr>
            </w:pPr>
          </w:p>
        </w:tc>
        <w:tc>
          <w:tcPr>
            <w:tcW w:w="710" w:type="dxa"/>
          </w:tcPr>
          <w:p w14:paraId="4817FA1A" w14:textId="77777777" w:rsidR="00711444" w:rsidRPr="004D0DAA" w:rsidRDefault="00711444" w:rsidP="00AA2A4C">
            <w:pPr>
              <w:pStyle w:val="TAC"/>
              <w:rPr>
                <w:lang w:eastAsia="en-US"/>
              </w:rPr>
            </w:pPr>
          </w:p>
        </w:tc>
        <w:tc>
          <w:tcPr>
            <w:tcW w:w="755" w:type="dxa"/>
            <w:tcMar>
              <w:top w:w="0" w:type="dxa"/>
              <w:left w:w="28" w:type="dxa"/>
              <w:bottom w:w="0" w:type="dxa"/>
              <w:right w:w="28" w:type="dxa"/>
            </w:tcMar>
          </w:tcPr>
          <w:p w14:paraId="5AE29781" w14:textId="77777777" w:rsidR="00711444" w:rsidRPr="004D0DAA" w:rsidRDefault="00711444" w:rsidP="00AA2A4C">
            <w:pPr>
              <w:pStyle w:val="TAC"/>
              <w:rPr>
                <w:lang w:eastAsia="en-US"/>
              </w:rPr>
            </w:pPr>
            <w:r w:rsidRPr="004D0DAA">
              <w:rPr>
                <w:lang w:eastAsia="en-US"/>
              </w:rPr>
              <w:t>Bit</w:t>
            </w:r>
          </w:p>
        </w:tc>
        <w:tc>
          <w:tcPr>
            <w:tcW w:w="951" w:type="dxa"/>
            <w:gridSpan w:val="2"/>
            <w:tcMar>
              <w:top w:w="0" w:type="dxa"/>
              <w:left w:w="28" w:type="dxa"/>
              <w:bottom w:w="0" w:type="dxa"/>
              <w:right w:w="28" w:type="dxa"/>
            </w:tcMar>
          </w:tcPr>
          <w:p w14:paraId="41DB0475" w14:textId="77777777" w:rsidR="00711444" w:rsidRPr="004D0DAA" w:rsidRDefault="00711444" w:rsidP="00AA2A4C">
            <w:pPr>
              <w:pStyle w:val="TAC"/>
              <w:rPr>
                <w:lang w:eastAsia="en-US"/>
              </w:rPr>
            </w:pPr>
          </w:p>
        </w:tc>
        <w:tc>
          <w:tcPr>
            <w:tcW w:w="562" w:type="dxa"/>
            <w:tcMar>
              <w:top w:w="0" w:type="dxa"/>
              <w:left w:w="28" w:type="dxa"/>
              <w:bottom w:w="0" w:type="dxa"/>
              <w:right w:w="28" w:type="dxa"/>
            </w:tcMar>
          </w:tcPr>
          <w:p w14:paraId="0A46D91E" w14:textId="77777777" w:rsidR="00711444" w:rsidRPr="004D0DAA" w:rsidRDefault="00711444" w:rsidP="00AA2A4C">
            <w:pPr>
              <w:pStyle w:val="TAC"/>
              <w:rPr>
                <w:lang w:eastAsia="en-US"/>
              </w:rPr>
            </w:pPr>
          </w:p>
        </w:tc>
        <w:tc>
          <w:tcPr>
            <w:tcW w:w="853" w:type="dxa"/>
            <w:tcMar>
              <w:top w:w="0" w:type="dxa"/>
              <w:left w:w="28" w:type="dxa"/>
              <w:bottom w:w="0" w:type="dxa"/>
              <w:right w:w="28" w:type="dxa"/>
            </w:tcMar>
          </w:tcPr>
          <w:p w14:paraId="5B041ADB" w14:textId="77777777" w:rsidR="00711444" w:rsidRPr="004D0DAA" w:rsidRDefault="00711444" w:rsidP="00AA2A4C">
            <w:pPr>
              <w:pStyle w:val="TAC"/>
              <w:rPr>
                <w:lang w:eastAsia="en-US"/>
              </w:rPr>
            </w:pPr>
          </w:p>
        </w:tc>
        <w:tc>
          <w:tcPr>
            <w:tcW w:w="843" w:type="dxa"/>
            <w:tcMar>
              <w:top w:w="0" w:type="dxa"/>
              <w:left w:w="28" w:type="dxa"/>
              <w:bottom w:w="0" w:type="dxa"/>
              <w:right w:w="28" w:type="dxa"/>
            </w:tcMar>
          </w:tcPr>
          <w:p w14:paraId="47871DEC" w14:textId="77777777" w:rsidR="00711444" w:rsidRPr="004D0DAA" w:rsidRDefault="00711444" w:rsidP="00AA2A4C">
            <w:pPr>
              <w:pStyle w:val="TAC"/>
              <w:rPr>
                <w:lang w:eastAsia="en-US"/>
              </w:rPr>
            </w:pPr>
          </w:p>
        </w:tc>
        <w:tc>
          <w:tcPr>
            <w:tcW w:w="2388" w:type="dxa"/>
            <w:tcMar>
              <w:top w:w="0" w:type="dxa"/>
              <w:left w:w="28" w:type="dxa"/>
              <w:bottom w:w="0" w:type="dxa"/>
              <w:right w:w="28" w:type="dxa"/>
            </w:tcMar>
          </w:tcPr>
          <w:p w14:paraId="2593C2D3" w14:textId="77777777" w:rsidR="00711444" w:rsidRPr="004D0DAA" w:rsidRDefault="00711444" w:rsidP="00AA2A4C">
            <w:pPr>
              <w:pStyle w:val="TAC"/>
              <w:rPr>
                <w:lang w:eastAsia="en-US"/>
              </w:rPr>
            </w:pPr>
          </w:p>
        </w:tc>
      </w:tr>
      <w:tr w:rsidR="00711444" w:rsidRPr="004D0DAA" w14:paraId="0F1FE118" w14:textId="77777777" w:rsidTr="00AA2A4C">
        <w:trPr>
          <w:cantSplit/>
          <w:jc w:val="center"/>
        </w:trPr>
        <w:tc>
          <w:tcPr>
            <w:tcW w:w="1119" w:type="dxa"/>
            <w:gridSpan w:val="2"/>
            <w:tcBorders>
              <w:bottom w:val="single" w:sz="4" w:space="0" w:color="auto"/>
            </w:tcBorders>
            <w:tcMar>
              <w:top w:w="0" w:type="dxa"/>
              <w:left w:w="28" w:type="dxa"/>
              <w:bottom w:w="0" w:type="dxa"/>
              <w:right w:w="28" w:type="dxa"/>
            </w:tcMar>
            <w:hideMark/>
          </w:tcPr>
          <w:p w14:paraId="64F0B002" w14:textId="77777777" w:rsidR="00711444" w:rsidRPr="004D0DAA" w:rsidRDefault="00711444" w:rsidP="00AA2A4C">
            <w:pPr>
              <w:pStyle w:val="TAC"/>
              <w:tabs>
                <w:tab w:val="left" w:pos="494"/>
              </w:tabs>
              <w:rPr>
                <w:lang w:eastAsia="en-US"/>
              </w:rPr>
            </w:pPr>
            <w:r w:rsidRPr="004D0DAA">
              <w:rPr>
                <w:lang w:eastAsia="en-US"/>
              </w:rPr>
              <w:t>8</w:t>
            </w:r>
          </w:p>
        </w:tc>
        <w:tc>
          <w:tcPr>
            <w:tcW w:w="556" w:type="dxa"/>
            <w:tcBorders>
              <w:bottom w:val="single" w:sz="4" w:space="0" w:color="auto"/>
            </w:tcBorders>
            <w:tcMar>
              <w:top w:w="0" w:type="dxa"/>
              <w:left w:w="28" w:type="dxa"/>
              <w:bottom w:w="0" w:type="dxa"/>
              <w:right w:w="28" w:type="dxa"/>
            </w:tcMar>
            <w:hideMark/>
          </w:tcPr>
          <w:p w14:paraId="009D3C8F" w14:textId="77777777" w:rsidR="00711444" w:rsidRPr="004D0DAA" w:rsidRDefault="00711444" w:rsidP="00AA2A4C">
            <w:pPr>
              <w:pStyle w:val="TAC"/>
              <w:rPr>
                <w:lang w:eastAsia="en-US"/>
              </w:rPr>
            </w:pPr>
            <w:r w:rsidRPr="004D0DAA">
              <w:rPr>
                <w:lang w:eastAsia="en-US"/>
              </w:rPr>
              <w:t>7</w:t>
            </w:r>
          </w:p>
        </w:tc>
        <w:tc>
          <w:tcPr>
            <w:tcW w:w="710" w:type="dxa"/>
            <w:tcBorders>
              <w:bottom w:val="single" w:sz="4" w:space="0" w:color="auto"/>
            </w:tcBorders>
            <w:hideMark/>
          </w:tcPr>
          <w:p w14:paraId="2B28E8C8" w14:textId="77777777" w:rsidR="00711444" w:rsidRPr="004D0DAA" w:rsidRDefault="00711444" w:rsidP="00AA2A4C">
            <w:pPr>
              <w:pStyle w:val="TAC"/>
              <w:rPr>
                <w:lang w:eastAsia="en-US"/>
              </w:rPr>
            </w:pPr>
            <w:r w:rsidRPr="004D0DAA">
              <w:rPr>
                <w:lang w:eastAsia="en-US"/>
              </w:rPr>
              <w:t>6</w:t>
            </w:r>
          </w:p>
        </w:tc>
        <w:tc>
          <w:tcPr>
            <w:tcW w:w="755" w:type="dxa"/>
            <w:tcBorders>
              <w:bottom w:val="single" w:sz="4" w:space="0" w:color="auto"/>
            </w:tcBorders>
            <w:tcMar>
              <w:top w:w="0" w:type="dxa"/>
              <w:left w:w="28" w:type="dxa"/>
              <w:bottom w:w="0" w:type="dxa"/>
              <w:right w:w="28" w:type="dxa"/>
            </w:tcMar>
            <w:hideMark/>
          </w:tcPr>
          <w:p w14:paraId="5B77084A" w14:textId="77777777" w:rsidR="00711444" w:rsidRPr="004D0DAA" w:rsidRDefault="00711444" w:rsidP="00AA2A4C">
            <w:pPr>
              <w:pStyle w:val="TAC"/>
              <w:rPr>
                <w:lang w:eastAsia="en-US"/>
              </w:rPr>
            </w:pPr>
            <w:r w:rsidRPr="004D0DAA">
              <w:rPr>
                <w:lang w:eastAsia="en-US"/>
              </w:rPr>
              <w:t>5</w:t>
            </w:r>
          </w:p>
        </w:tc>
        <w:tc>
          <w:tcPr>
            <w:tcW w:w="951" w:type="dxa"/>
            <w:gridSpan w:val="2"/>
            <w:tcBorders>
              <w:bottom w:val="single" w:sz="4" w:space="0" w:color="auto"/>
            </w:tcBorders>
            <w:tcMar>
              <w:top w:w="0" w:type="dxa"/>
              <w:left w:w="28" w:type="dxa"/>
              <w:bottom w:w="0" w:type="dxa"/>
              <w:right w:w="28" w:type="dxa"/>
            </w:tcMar>
            <w:hideMark/>
          </w:tcPr>
          <w:p w14:paraId="0085D6BE" w14:textId="77777777" w:rsidR="00711444" w:rsidRPr="004D0DAA" w:rsidRDefault="00711444" w:rsidP="00AA2A4C">
            <w:pPr>
              <w:pStyle w:val="TAC"/>
              <w:rPr>
                <w:lang w:eastAsia="en-US"/>
              </w:rPr>
            </w:pPr>
            <w:r w:rsidRPr="004D0DAA">
              <w:rPr>
                <w:lang w:eastAsia="en-US"/>
              </w:rPr>
              <w:t>4</w:t>
            </w:r>
          </w:p>
        </w:tc>
        <w:tc>
          <w:tcPr>
            <w:tcW w:w="562" w:type="dxa"/>
            <w:tcBorders>
              <w:bottom w:val="single" w:sz="4" w:space="0" w:color="auto"/>
            </w:tcBorders>
            <w:tcMar>
              <w:top w:w="0" w:type="dxa"/>
              <w:left w:w="28" w:type="dxa"/>
              <w:bottom w:w="0" w:type="dxa"/>
              <w:right w:w="28" w:type="dxa"/>
            </w:tcMar>
            <w:hideMark/>
          </w:tcPr>
          <w:p w14:paraId="298BD658" w14:textId="77777777" w:rsidR="00711444" w:rsidRPr="004D0DAA" w:rsidRDefault="00711444" w:rsidP="00AA2A4C">
            <w:pPr>
              <w:pStyle w:val="TAC"/>
              <w:rPr>
                <w:lang w:eastAsia="en-US"/>
              </w:rPr>
            </w:pPr>
            <w:r w:rsidRPr="004D0DAA">
              <w:rPr>
                <w:lang w:eastAsia="en-US"/>
              </w:rPr>
              <w:t>3</w:t>
            </w:r>
          </w:p>
        </w:tc>
        <w:tc>
          <w:tcPr>
            <w:tcW w:w="853" w:type="dxa"/>
            <w:tcBorders>
              <w:bottom w:val="single" w:sz="4" w:space="0" w:color="auto"/>
            </w:tcBorders>
            <w:tcMar>
              <w:top w:w="0" w:type="dxa"/>
              <w:left w:w="28" w:type="dxa"/>
              <w:bottom w:w="0" w:type="dxa"/>
              <w:right w:w="28" w:type="dxa"/>
            </w:tcMar>
            <w:hideMark/>
          </w:tcPr>
          <w:p w14:paraId="74AAC4F5" w14:textId="77777777" w:rsidR="00711444" w:rsidRPr="004D0DAA" w:rsidRDefault="00711444" w:rsidP="00AA2A4C">
            <w:pPr>
              <w:pStyle w:val="TAC"/>
              <w:rPr>
                <w:lang w:eastAsia="en-US"/>
              </w:rPr>
            </w:pPr>
            <w:r w:rsidRPr="004D0DAA">
              <w:rPr>
                <w:lang w:eastAsia="en-US"/>
              </w:rPr>
              <w:t>2</w:t>
            </w:r>
          </w:p>
        </w:tc>
        <w:tc>
          <w:tcPr>
            <w:tcW w:w="843" w:type="dxa"/>
            <w:tcBorders>
              <w:bottom w:val="single" w:sz="4" w:space="0" w:color="auto"/>
            </w:tcBorders>
            <w:tcMar>
              <w:top w:w="0" w:type="dxa"/>
              <w:left w:w="28" w:type="dxa"/>
              <w:bottom w:w="0" w:type="dxa"/>
              <w:right w:w="28" w:type="dxa"/>
            </w:tcMar>
            <w:hideMark/>
          </w:tcPr>
          <w:p w14:paraId="5652F249" w14:textId="77777777" w:rsidR="00711444" w:rsidRPr="004D0DAA" w:rsidRDefault="00711444" w:rsidP="00AA2A4C">
            <w:pPr>
              <w:pStyle w:val="TAC"/>
              <w:rPr>
                <w:lang w:eastAsia="en-US"/>
              </w:rPr>
            </w:pPr>
            <w:r w:rsidRPr="004D0DAA">
              <w:rPr>
                <w:lang w:eastAsia="en-US"/>
              </w:rPr>
              <w:t>1</w:t>
            </w:r>
          </w:p>
        </w:tc>
        <w:tc>
          <w:tcPr>
            <w:tcW w:w="2388" w:type="dxa"/>
            <w:tcMar>
              <w:top w:w="0" w:type="dxa"/>
              <w:left w:w="28" w:type="dxa"/>
              <w:bottom w:w="0" w:type="dxa"/>
              <w:right w:w="28" w:type="dxa"/>
            </w:tcMar>
          </w:tcPr>
          <w:p w14:paraId="4725C5BE" w14:textId="77777777" w:rsidR="00711444" w:rsidRPr="004D0DAA" w:rsidRDefault="00711444" w:rsidP="00AA2A4C">
            <w:pPr>
              <w:pStyle w:val="TAC"/>
              <w:rPr>
                <w:lang w:eastAsia="en-US"/>
              </w:rPr>
            </w:pPr>
          </w:p>
        </w:tc>
      </w:tr>
      <w:tr w:rsidR="00711444" w:rsidRPr="004D0DAA" w14:paraId="691DF340" w14:textId="77777777" w:rsidTr="00AA2A4C">
        <w:trPr>
          <w:cantSplit/>
          <w:jc w:val="center"/>
        </w:trPr>
        <w:tc>
          <w:tcPr>
            <w:tcW w:w="82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B0BBE" w14:textId="77777777" w:rsidR="00711444" w:rsidRPr="004D0DAA" w:rsidRDefault="00711444" w:rsidP="00AA2A4C">
            <w:pPr>
              <w:pStyle w:val="TAC"/>
              <w:rPr>
                <w:lang w:eastAsia="en-US"/>
              </w:rPr>
            </w:pPr>
            <w:r w:rsidRPr="004D0DAA">
              <w:rPr>
                <w:lang w:eastAsia="en-US"/>
              </w:rPr>
              <w:t>PR</w:t>
            </w:r>
          </w:p>
        </w:tc>
        <w:tc>
          <w:tcPr>
            <w:tcW w:w="851" w:type="dxa"/>
            <w:gridSpan w:val="2"/>
            <w:tcBorders>
              <w:top w:val="single" w:sz="4" w:space="0" w:color="auto"/>
              <w:left w:val="single" w:sz="4" w:space="0" w:color="auto"/>
              <w:bottom w:val="single" w:sz="4" w:space="0" w:color="auto"/>
              <w:right w:val="single" w:sz="4" w:space="0" w:color="auto"/>
            </w:tcBorders>
          </w:tcPr>
          <w:p w14:paraId="23CE5071" w14:textId="77777777" w:rsidR="00711444" w:rsidRPr="004D0DAA" w:rsidRDefault="00711444" w:rsidP="00AA2A4C">
            <w:pPr>
              <w:pStyle w:val="TAC"/>
              <w:rPr>
                <w:lang w:eastAsia="en-US"/>
              </w:rPr>
            </w:pPr>
            <w:r w:rsidRPr="004D0DAA">
              <w:rPr>
                <w:lang w:eastAsia="en-US"/>
              </w:rPr>
              <w:t>Payload Type</w:t>
            </w:r>
          </w:p>
        </w:tc>
        <w:tc>
          <w:tcPr>
            <w:tcW w:w="1544" w:type="dxa"/>
            <w:gridSpan w:val="3"/>
            <w:tcBorders>
              <w:top w:val="single" w:sz="4" w:space="0" w:color="auto"/>
              <w:left w:val="single" w:sz="4" w:space="0" w:color="auto"/>
              <w:bottom w:val="single" w:sz="4" w:space="0" w:color="auto"/>
              <w:right w:val="single" w:sz="4" w:space="0" w:color="auto"/>
            </w:tcBorders>
          </w:tcPr>
          <w:p w14:paraId="3CF0BF6A" w14:textId="77777777" w:rsidR="00711444" w:rsidRPr="004D0DAA" w:rsidRDefault="00711444" w:rsidP="00AA2A4C">
            <w:pPr>
              <w:pStyle w:val="TAC"/>
              <w:rPr>
                <w:lang w:eastAsia="en-US"/>
              </w:rPr>
            </w:pPr>
            <w:r w:rsidRPr="004D0DAA">
              <w:rPr>
                <w:lang w:eastAsia="en-US"/>
              </w:rPr>
              <w:t>RRBP</w:t>
            </w:r>
          </w:p>
        </w:tc>
        <w:tc>
          <w:tcPr>
            <w:tcW w:w="872" w:type="dxa"/>
            <w:tcBorders>
              <w:top w:val="single" w:sz="4" w:space="0" w:color="auto"/>
              <w:left w:val="single" w:sz="4" w:space="0" w:color="auto"/>
              <w:bottom w:val="single" w:sz="4" w:space="0" w:color="auto"/>
              <w:right w:val="single" w:sz="4" w:space="0" w:color="auto"/>
            </w:tcBorders>
          </w:tcPr>
          <w:p w14:paraId="7AEC2078" w14:textId="77777777" w:rsidR="00711444" w:rsidRPr="004D0DAA" w:rsidRDefault="00711444" w:rsidP="00AA2A4C">
            <w:pPr>
              <w:pStyle w:val="TAC"/>
              <w:rPr>
                <w:lang w:eastAsia="en-US"/>
              </w:rPr>
            </w:pPr>
            <w:r w:rsidRPr="004D0DAA">
              <w:rPr>
                <w:lang w:eastAsia="en-US"/>
              </w:rPr>
              <w:t>S/P</w:t>
            </w:r>
          </w:p>
        </w:tc>
        <w:tc>
          <w:tcPr>
            <w:tcW w:w="2258" w:type="dxa"/>
            <w:gridSpan w:val="3"/>
            <w:tcBorders>
              <w:top w:val="single" w:sz="4" w:space="0" w:color="auto"/>
              <w:left w:val="single" w:sz="4" w:space="0" w:color="auto"/>
              <w:right w:val="single" w:sz="4" w:space="0" w:color="auto"/>
            </w:tcBorders>
            <w:tcMar>
              <w:top w:w="0" w:type="dxa"/>
              <w:left w:w="28" w:type="dxa"/>
              <w:bottom w:w="0" w:type="dxa"/>
              <w:right w:w="28" w:type="dxa"/>
            </w:tcMar>
          </w:tcPr>
          <w:p w14:paraId="4FA68910" w14:textId="77777777" w:rsidR="00711444" w:rsidRPr="004D0DAA" w:rsidRDefault="00711444" w:rsidP="00AA2A4C">
            <w:pPr>
              <w:jc w:val="center"/>
            </w:pPr>
          </w:p>
        </w:tc>
        <w:tc>
          <w:tcPr>
            <w:tcW w:w="2388" w:type="dxa"/>
            <w:tcBorders>
              <w:left w:val="single" w:sz="4" w:space="0" w:color="auto"/>
            </w:tcBorders>
            <w:tcMar>
              <w:top w:w="0" w:type="dxa"/>
              <w:left w:w="28" w:type="dxa"/>
              <w:bottom w:w="0" w:type="dxa"/>
              <w:right w:w="28" w:type="dxa"/>
            </w:tcMar>
            <w:hideMark/>
          </w:tcPr>
          <w:p w14:paraId="42E51330" w14:textId="77777777" w:rsidR="00711444" w:rsidRPr="004D0DAA" w:rsidRDefault="00711444" w:rsidP="00AA2A4C">
            <w:pPr>
              <w:pStyle w:val="TAC"/>
              <w:rPr>
                <w:lang w:eastAsia="en-US"/>
              </w:rPr>
            </w:pPr>
            <w:r w:rsidRPr="004D0DAA">
              <w:rPr>
                <w:lang w:eastAsia="en-US"/>
              </w:rPr>
              <w:t>MAC header (5 bits)</w:t>
            </w:r>
          </w:p>
        </w:tc>
      </w:tr>
      <w:tr w:rsidR="00711444" w:rsidRPr="004D0DAA" w14:paraId="786F819F" w14:textId="77777777" w:rsidTr="00AA2A4C">
        <w:trPr>
          <w:cantSplit/>
          <w:jc w:val="center"/>
        </w:trPr>
        <w:tc>
          <w:tcPr>
            <w:tcW w:w="6349" w:type="dxa"/>
            <w:gridSpan w:val="10"/>
            <w:tcBorders>
              <w:left w:val="single" w:sz="8" w:space="0" w:color="auto"/>
              <w:right w:val="single" w:sz="8" w:space="0" w:color="auto"/>
            </w:tcBorders>
            <w:tcMar>
              <w:top w:w="0" w:type="dxa"/>
              <w:left w:w="28" w:type="dxa"/>
              <w:bottom w:w="0" w:type="dxa"/>
              <w:right w:w="28" w:type="dxa"/>
            </w:tcMar>
            <w:hideMark/>
          </w:tcPr>
          <w:p w14:paraId="3D09BDC9" w14:textId="77777777" w:rsidR="00711444" w:rsidRPr="004D0DAA" w:rsidRDefault="00711444" w:rsidP="00AA2A4C">
            <w:pPr>
              <w:pStyle w:val="TAC"/>
              <w:rPr>
                <w:lang w:eastAsia="en-US"/>
              </w:rPr>
            </w:pPr>
          </w:p>
        </w:tc>
        <w:tc>
          <w:tcPr>
            <w:tcW w:w="2388" w:type="dxa"/>
            <w:tcMar>
              <w:top w:w="0" w:type="dxa"/>
              <w:left w:w="28" w:type="dxa"/>
              <w:bottom w:w="0" w:type="dxa"/>
              <w:right w:w="28" w:type="dxa"/>
            </w:tcMar>
            <w:hideMark/>
          </w:tcPr>
          <w:p w14:paraId="39C29233" w14:textId="77777777" w:rsidR="00711444" w:rsidRPr="004D0DAA" w:rsidRDefault="00711444" w:rsidP="00AA2A4C">
            <w:pPr>
              <w:pStyle w:val="TAC"/>
              <w:rPr>
                <w:lang w:eastAsia="en-US"/>
              </w:rPr>
            </w:pPr>
            <w:r w:rsidRPr="004D0DAA">
              <w:rPr>
                <w:lang w:eastAsia="en-US"/>
              </w:rPr>
              <w:t>Octet 1</w:t>
            </w:r>
          </w:p>
        </w:tc>
      </w:tr>
      <w:tr w:rsidR="00711444" w:rsidRPr="004D0DAA" w14:paraId="778A232F" w14:textId="77777777" w:rsidTr="00AA2A4C">
        <w:trPr>
          <w:cantSplit/>
          <w:jc w:val="center"/>
        </w:trPr>
        <w:tc>
          <w:tcPr>
            <w:tcW w:w="6349" w:type="dxa"/>
            <w:gridSpan w:val="10"/>
            <w:tcBorders>
              <w:left w:val="single" w:sz="8" w:space="0" w:color="auto"/>
              <w:bottom w:val="nil"/>
              <w:right w:val="single" w:sz="8" w:space="0" w:color="auto"/>
            </w:tcBorders>
            <w:tcMar>
              <w:top w:w="0" w:type="dxa"/>
              <w:left w:w="28" w:type="dxa"/>
              <w:bottom w:w="0" w:type="dxa"/>
              <w:right w:w="28" w:type="dxa"/>
            </w:tcMar>
          </w:tcPr>
          <w:p w14:paraId="68CC9B75" w14:textId="77777777" w:rsidR="00711444" w:rsidRPr="004D0DAA" w:rsidRDefault="00711444" w:rsidP="00AA2A4C"/>
        </w:tc>
        <w:tc>
          <w:tcPr>
            <w:tcW w:w="2388" w:type="dxa"/>
            <w:tcBorders>
              <w:top w:val="nil"/>
              <w:left w:val="single" w:sz="8" w:space="0" w:color="auto"/>
              <w:bottom w:val="nil"/>
              <w:right w:val="nil"/>
            </w:tcBorders>
            <w:tcMar>
              <w:top w:w="0" w:type="dxa"/>
              <w:left w:w="28" w:type="dxa"/>
              <w:bottom w:w="0" w:type="dxa"/>
              <w:right w:w="28" w:type="dxa"/>
            </w:tcMar>
            <w:hideMark/>
          </w:tcPr>
          <w:p w14:paraId="0C74CA86" w14:textId="77777777" w:rsidR="00711444" w:rsidRPr="004D0DAA" w:rsidRDefault="00711444" w:rsidP="00AA2A4C">
            <w:pPr>
              <w:pStyle w:val="TAC"/>
              <w:rPr>
                <w:lang w:eastAsia="en-US"/>
              </w:rPr>
            </w:pPr>
            <w:r w:rsidRPr="004D0DAA">
              <w:rPr>
                <w:lang w:eastAsia="en-US"/>
              </w:rPr>
              <w:t>Octet 2</w:t>
            </w:r>
          </w:p>
        </w:tc>
      </w:tr>
      <w:tr w:rsidR="00711444" w:rsidRPr="004D0DAA" w14:paraId="09110B66" w14:textId="77777777" w:rsidTr="00AA2A4C">
        <w:trPr>
          <w:cantSplit/>
          <w:jc w:val="center"/>
        </w:trPr>
        <w:tc>
          <w:tcPr>
            <w:tcW w:w="6349" w:type="dxa"/>
            <w:gridSpan w:val="10"/>
            <w:tcBorders>
              <w:top w:val="nil"/>
              <w:left w:val="single" w:sz="8" w:space="0" w:color="auto"/>
              <w:right w:val="single" w:sz="8" w:space="0" w:color="auto"/>
            </w:tcBorders>
            <w:tcMar>
              <w:top w:w="0" w:type="dxa"/>
              <w:left w:w="28" w:type="dxa"/>
              <w:bottom w:w="0" w:type="dxa"/>
              <w:right w:w="28" w:type="dxa"/>
            </w:tcMar>
            <w:hideMark/>
          </w:tcPr>
          <w:p w14:paraId="0974BE3C" w14:textId="77777777" w:rsidR="00711444" w:rsidRPr="004D0DAA" w:rsidRDefault="00711444" w:rsidP="00AA2A4C">
            <w:pPr>
              <w:jc w:val="center"/>
            </w:pPr>
            <w:r w:rsidRPr="004D0DAA">
              <w:t>Control Message Contents</w:t>
            </w:r>
          </w:p>
        </w:tc>
        <w:tc>
          <w:tcPr>
            <w:tcW w:w="2388" w:type="dxa"/>
            <w:tcBorders>
              <w:top w:val="nil"/>
              <w:left w:val="single" w:sz="8" w:space="0" w:color="auto"/>
              <w:bottom w:val="nil"/>
              <w:right w:val="nil"/>
            </w:tcBorders>
            <w:tcMar>
              <w:top w:w="0" w:type="dxa"/>
              <w:left w:w="28" w:type="dxa"/>
              <w:bottom w:w="0" w:type="dxa"/>
              <w:right w:w="28" w:type="dxa"/>
            </w:tcMar>
            <w:hideMark/>
          </w:tcPr>
          <w:p w14:paraId="5EB2B686" w14:textId="77777777" w:rsidR="00711444" w:rsidRPr="004D0DAA" w:rsidRDefault="00711444" w:rsidP="00AA2A4C">
            <w:pPr>
              <w:pStyle w:val="TAC"/>
              <w:rPr>
                <w:rFonts w:cs="Arial"/>
                <w:szCs w:val="18"/>
                <w:lang w:eastAsia="en-US"/>
              </w:rPr>
            </w:pPr>
            <w:r w:rsidRPr="004D0DAA">
              <w:rPr>
                <w:lang w:eastAsia="en-US"/>
              </w:rPr>
              <w:t>…</w:t>
            </w:r>
          </w:p>
        </w:tc>
      </w:tr>
      <w:tr w:rsidR="00711444" w:rsidRPr="004D0DAA" w14:paraId="3170AF4F" w14:textId="77777777" w:rsidTr="00AA2A4C">
        <w:trPr>
          <w:cantSplit/>
          <w:jc w:val="center"/>
        </w:trPr>
        <w:tc>
          <w:tcPr>
            <w:tcW w:w="6349" w:type="dxa"/>
            <w:gridSpan w:val="10"/>
            <w:tcBorders>
              <w:top w:val="nil"/>
              <w:left w:val="single" w:sz="8" w:space="0" w:color="auto"/>
              <w:bottom w:val="single" w:sz="4" w:space="0" w:color="auto"/>
              <w:right w:val="single" w:sz="8" w:space="0" w:color="auto"/>
            </w:tcBorders>
            <w:tcMar>
              <w:top w:w="0" w:type="dxa"/>
              <w:left w:w="28" w:type="dxa"/>
              <w:bottom w:w="0" w:type="dxa"/>
              <w:right w:w="28" w:type="dxa"/>
            </w:tcMar>
          </w:tcPr>
          <w:p w14:paraId="6DEEFDED" w14:textId="77777777" w:rsidR="00711444" w:rsidRPr="004D0DAA" w:rsidRDefault="00711444" w:rsidP="00AA2A4C">
            <w:pPr>
              <w:jc w:val="center"/>
            </w:pPr>
          </w:p>
        </w:tc>
        <w:tc>
          <w:tcPr>
            <w:tcW w:w="2388" w:type="dxa"/>
            <w:tcBorders>
              <w:top w:val="nil"/>
              <w:left w:val="single" w:sz="8" w:space="0" w:color="auto"/>
              <w:bottom w:val="nil"/>
              <w:right w:val="nil"/>
            </w:tcBorders>
            <w:tcMar>
              <w:top w:w="0" w:type="dxa"/>
              <w:left w:w="28" w:type="dxa"/>
              <w:bottom w:w="0" w:type="dxa"/>
              <w:right w:w="28" w:type="dxa"/>
            </w:tcMar>
          </w:tcPr>
          <w:p w14:paraId="04905DF2" w14:textId="77777777" w:rsidR="00711444" w:rsidRPr="004D0DAA" w:rsidRDefault="00711444" w:rsidP="00AA2A4C">
            <w:pPr>
              <w:pStyle w:val="TAC"/>
              <w:rPr>
                <w:lang w:eastAsia="en-US"/>
              </w:rPr>
            </w:pPr>
            <w:r w:rsidRPr="004D0DAA">
              <w:rPr>
                <w:lang w:eastAsia="en-US"/>
              </w:rPr>
              <w:t>Octet 9</w:t>
            </w:r>
          </w:p>
        </w:tc>
      </w:tr>
    </w:tbl>
    <w:p w14:paraId="4B022B7C" w14:textId="77777777" w:rsidR="00711444" w:rsidRPr="004D0DAA" w:rsidRDefault="00711444" w:rsidP="00711444">
      <w:pPr>
        <w:pStyle w:val="NF"/>
        <w:rPr>
          <w:rFonts w:cs="Arial"/>
          <w:szCs w:val="18"/>
        </w:rPr>
      </w:pPr>
    </w:p>
    <w:p w14:paraId="2D4B2052" w14:textId="77777777" w:rsidR="00711444" w:rsidRPr="004D0DAA" w:rsidRDefault="00711444" w:rsidP="00711444">
      <w:pPr>
        <w:pStyle w:val="TF"/>
      </w:pPr>
      <w:r w:rsidRPr="004D0DAA">
        <w:t>Figure 10.3.1.3.1: EC-GSM-IoT Downlink RLC/MAC control block together with its normal MAC header when Payload Type is set to 0</w:t>
      </w:r>
    </w:p>
    <w:tbl>
      <w:tblPr>
        <w:tblW w:w="0" w:type="auto"/>
        <w:jc w:val="center"/>
        <w:tblCellMar>
          <w:left w:w="0" w:type="dxa"/>
          <w:right w:w="0" w:type="dxa"/>
        </w:tblCellMar>
        <w:tblLook w:val="04A0" w:firstRow="1" w:lastRow="0" w:firstColumn="1" w:lastColumn="0" w:noHBand="0" w:noVBand="1"/>
      </w:tblPr>
      <w:tblGrid>
        <w:gridCol w:w="657"/>
        <w:gridCol w:w="615"/>
        <w:gridCol w:w="691"/>
      </w:tblGrid>
      <w:tr w:rsidR="00711444" w:rsidRPr="004D0DAA" w14:paraId="1209CC36" w14:textId="77777777" w:rsidTr="00AA2A4C">
        <w:trPr>
          <w:cantSplit/>
          <w:jc w:val="center"/>
        </w:trPr>
        <w:tc>
          <w:tcPr>
            <w:tcW w:w="1963" w:type="dxa"/>
            <w:gridSpan w:val="3"/>
            <w:tcMar>
              <w:top w:w="0" w:type="dxa"/>
              <w:left w:w="28" w:type="dxa"/>
              <w:bottom w:w="0" w:type="dxa"/>
              <w:right w:w="28" w:type="dxa"/>
            </w:tcMar>
          </w:tcPr>
          <w:p w14:paraId="3623AF53" w14:textId="77777777" w:rsidR="00711444" w:rsidRPr="004D0DAA" w:rsidRDefault="00711444" w:rsidP="00AA2A4C">
            <w:pPr>
              <w:pStyle w:val="TAC"/>
              <w:rPr>
                <w:lang w:eastAsia="en-US"/>
              </w:rPr>
            </w:pPr>
            <w:r w:rsidRPr="004D0DAA">
              <w:rPr>
                <w:lang w:eastAsia="en-US"/>
              </w:rPr>
              <w:t>Bit</w:t>
            </w:r>
          </w:p>
        </w:tc>
      </w:tr>
      <w:tr w:rsidR="00711444" w:rsidRPr="004D0DAA" w14:paraId="744F7968" w14:textId="77777777" w:rsidTr="00AA2A4C">
        <w:trPr>
          <w:cantSplit/>
          <w:jc w:val="center"/>
        </w:trPr>
        <w:tc>
          <w:tcPr>
            <w:tcW w:w="657" w:type="dxa"/>
            <w:tcMar>
              <w:top w:w="0" w:type="dxa"/>
              <w:left w:w="28" w:type="dxa"/>
              <w:bottom w:w="0" w:type="dxa"/>
              <w:right w:w="28" w:type="dxa"/>
            </w:tcMar>
            <w:hideMark/>
          </w:tcPr>
          <w:p w14:paraId="1CEBEAEB" w14:textId="77777777" w:rsidR="00711444" w:rsidRPr="004D0DAA" w:rsidRDefault="00711444" w:rsidP="00AA2A4C">
            <w:pPr>
              <w:pStyle w:val="TAC"/>
              <w:rPr>
                <w:lang w:eastAsia="en-US"/>
              </w:rPr>
            </w:pPr>
            <w:r w:rsidRPr="004D0DAA">
              <w:rPr>
                <w:lang w:eastAsia="en-US"/>
              </w:rPr>
              <w:t>3</w:t>
            </w:r>
          </w:p>
        </w:tc>
        <w:tc>
          <w:tcPr>
            <w:tcW w:w="615" w:type="dxa"/>
            <w:tcMar>
              <w:top w:w="0" w:type="dxa"/>
              <w:left w:w="28" w:type="dxa"/>
              <w:bottom w:w="0" w:type="dxa"/>
              <w:right w:w="28" w:type="dxa"/>
            </w:tcMar>
            <w:hideMark/>
          </w:tcPr>
          <w:p w14:paraId="219FEECC" w14:textId="77777777" w:rsidR="00711444" w:rsidRPr="004D0DAA" w:rsidRDefault="00711444" w:rsidP="00AA2A4C">
            <w:pPr>
              <w:pStyle w:val="TAC"/>
              <w:rPr>
                <w:lang w:eastAsia="en-US"/>
              </w:rPr>
            </w:pPr>
            <w:r w:rsidRPr="004D0DAA">
              <w:rPr>
                <w:lang w:eastAsia="en-US"/>
              </w:rPr>
              <w:t>2</w:t>
            </w:r>
          </w:p>
        </w:tc>
        <w:tc>
          <w:tcPr>
            <w:tcW w:w="691" w:type="dxa"/>
            <w:tcMar>
              <w:top w:w="0" w:type="dxa"/>
              <w:left w:w="28" w:type="dxa"/>
              <w:bottom w:w="0" w:type="dxa"/>
              <w:right w:w="28" w:type="dxa"/>
            </w:tcMar>
            <w:hideMark/>
          </w:tcPr>
          <w:p w14:paraId="0F98CF25" w14:textId="77777777" w:rsidR="00711444" w:rsidRPr="004D0DAA" w:rsidRDefault="00711444" w:rsidP="00AA2A4C">
            <w:pPr>
              <w:pStyle w:val="TAC"/>
              <w:rPr>
                <w:lang w:eastAsia="en-US"/>
              </w:rPr>
            </w:pPr>
            <w:r w:rsidRPr="004D0DAA">
              <w:rPr>
                <w:lang w:eastAsia="en-US"/>
              </w:rPr>
              <w:t>1</w:t>
            </w:r>
          </w:p>
        </w:tc>
      </w:tr>
      <w:tr w:rsidR="00711444" w:rsidRPr="004D0DAA" w14:paraId="3A46D162" w14:textId="77777777" w:rsidTr="00AA2A4C">
        <w:trPr>
          <w:cantSplit/>
          <w:jc w:val="center"/>
        </w:trPr>
        <w:tc>
          <w:tcPr>
            <w:tcW w:w="657" w:type="dxa"/>
            <w:tcBorders>
              <w:top w:val="single" w:sz="8" w:space="0" w:color="auto"/>
              <w:left w:val="single" w:sz="8" w:space="0" w:color="auto"/>
              <w:bottom w:val="single" w:sz="8" w:space="0" w:color="auto"/>
              <w:right w:val="nil"/>
            </w:tcBorders>
            <w:tcMar>
              <w:top w:w="0" w:type="dxa"/>
              <w:left w:w="28" w:type="dxa"/>
              <w:bottom w:w="0" w:type="dxa"/>
              <w:right w:w="28" w:type="dxa"/>
            </w:tcMar>
          </w:tcPr>
          <w:p w14:paraId="27F1891D" w14:textId="77777777" w:rsidR="00711444" w:rsidRPr="004D0DAA" w:rsidRDefault="00711444" w:rsidP="00AA2A4C"/>
        </w:tc>
        <w:tc>
          <w:tcPr>
            <w:tcW w:w="615" w:type="dxa"/>
            <w:tcBorders>
              <w:top w:val="single" w:sz="8" w:space="0" w:color="auto"/>
              <w:left w:val="nil"/>
              <w:bottom w:val="single" w:sz="8" w:space="0" w:color="auto"/>
              <w:right w:val="nil"/>
            </w:tcBorders>
            <w:tcMar>
              <w:top w:w="0" w:type="dxa"/>
              <w:left w:w="28" w:type="dxa"/>
              <w:bottom w:w="0" w:type="dxa"/>
              <w:right w:w="28" w:type="dxa"/>
            </w:tcMar>
            <w:hideMark/>
          </w:tcPr>
          <w:p w14:paraId="7825DA99" w14:textId="77777777" w:rsidR="00711444" w:rsidRPr="004D0DAA" w:rsidRDefault="00711444" w:rsidP="00AA2A4C">
            <w:pPr>
              <w:pStyle w:val="TAC"/>
              <w:rPr>
                <w:lang w:eastAsia="en-US"/>
              </w:rPr>
            </w:pPr>
            <w:r w:rsidRPr="004D0DAA">
              <w:rPr>
                <w:lang w:eastAsia="en-US"/>
              </w:rPr>
              <w:t>USF</w:t>
            </w:r>
          </w:p>
        </w:tc>
        <w:tc>
          <w:tcPr>
            <w:tcW w:w="691" w:type="dxa"/>
            <w:tcBorders>
              <w:top w:val="single" w:sz="8" w:space="0" w:color="auto"/>
              <w:left w:val="nil"/>
              <w:bottom w:val="single" w:sz="8" w:space="0" w:color="auto"/>
              <w:right w:val="single" w:sz="8" w:space="0" w:color="auto"/>
            </w:tcBorders>
            <w:tcMar>
              <w:top w:w="0" w:type="dxa"/>
              <w:left w:w="28" w:type="dxa"/>
              <w:bottom w:w="0" w:type="dxa"/>
              <w:right w:w="28" w:type="dxa"/>
            </w:tcMar>
          </w:tcPr>
          <w:p w14:paraId="5F402135" w14:textId="77777777" w:rsidR="00711444" w:rsidRPr="004D0DAA" w:rsidRDefault="00711444" w:rsidP="00AA2A4C"/>
        </w:tc>
      </w:tr>
    </w:tbl>
    <w:p w14:paraId="49DB825B" w14:textId="77777777" w:rsidR="005A221D" w:rsidRPr="004D0DAA" w:rsidRDefault="005A221D" w:rsidP="005A221D">
      <w:pPr>
        <w:spacing w:after="0"/>
        <w:rPr>
          <w:rFonts w:ascii="Arial" w:hAnsi="Arial"/>
          <w:b/>
          <w:vanish/>
          <w:lang w:eastAsia="x-none"/>
        </w:rPr>
      </w:pPr>
    </w:p>
    <w:tbl>
      <w:tblPr>
        <w:tblpPr w:leftFromText="180" w:rightFromText="180" w:vertAnchor="text" w:horzAnchor="margin" w:tblpX="454" w:tblpY="243"/>
        <w:tblW w:w="0" w:type="auto"/>
        <w:tblCellMar>
          <w:left w:w="0" w:type="dxa"/>
          <w:right w:w="0" w:type="dxa"/>
        </w:tblCellMar>
        <w:tblLook w:val="04A0" w:firstRow="1" w:lastRow="0" w:firstColumn="1" w:lastColumn="0" w:noHBand="0" w:noVBand="1"/>
      </w:tblPr>
      <w:tblGrid>
        <w:gridCol w:w="836"/>
        <w:gridCol w:w="283"/>
        <w:gridCol w:w="554"/>
        <w:gridCol w:w="710"/>
        <w:gridCol w:w="755"/>
        <w:gridCol w:w="79"/>
        <w:gridCol w:w="867"/>
        <w:gridCol w:w="461"/>
        <w:gridCol w:w="260"/>
        <w:gridCol w:w="699"/>
        <w:gridCol w:w="23"/>
        <w:gridCol w:w="820"/>
        <w:gridCol w:w="2388"/>
      </w:tblGrid>
      <w:tr w:rsidR="00711444" w:rsidRPr="004D0DAA" w14:paraId="72B141AD" w14:textId="77777777" w:rsidTr="00AA2A4C">
        <w:trPr>
          <w:cantSplit/>
        </w:trPr>
        <w:tc>
          <w:tcPr>
            <w:tcW w:w="1119" w:type="dxa"/>
            <w:gridSpan w:val="2"/>
            <w:tcMar>
              <w:top w:w="0" w:type="dxa"/>
              <w:left w:w="28" w:type="dxa"/>
              <w:bottom w:w="0" w:type="dxa"/>
              <w:right w:w="28" w:type="dxa"/>
            </w:tcMar>
          </w:tcPr>
          <w:p w14:paraId="0524AA2A" w14:textId="77777777" w:rsidR="00711444" w:rsidRPr="004D0DAA" w:rsidRDefault="00711444" w:rsidP="00AA2A4C">
            <w:pPr>
              <w:pStyle w:val="TAC"/>
              <w:rPr>
                <w:lang w:eastAsia="en-US"/>
              </w:rPr>
            </w:pPr>
          </w:p>
        </w:tc>
        <w:tc>
          <w:tcPr>
            <w:tcW w:w="554" w:type="dxa"/>
            <w:tcMar>
              <w:top w:w="0" w:type="dxa"/>
              <w:left w:w="28" w:type="dxa"/>
              <w:bottom w:w="0" w:type="dxa"/>
              <w:right w:w="28" w:type="dxa"/>
            </w:tcMar>
          </w:tcPr>
          <w:p w14:paraId="6AA0BD36" w14:textId="77777777" w:rsidR="00711444" w:rsidRPr="004D0DAA" w:rsidRDefault="00711444" w:rsidP="00AA2A4C">
            <w:pPr>
              <w:pStyle w:val="TAC"/>
              <w:rPr>
                <w:lang w:eastAsia="en-US"/>
              </w:rPr>
            </w:pPr>
          </w:p>
        </w:tc>
        <w:tc>
          <w:tcPr>
            <w:tcW w:w="710" w:type="dxa"/>
          </w:tcPr>
          <w:p w14:paraId="3387A40C" w14:textId="77777777" w:rsidR="00711444" w:rsidRPr="004D0DAA" w:rsidRDefault="00711444" w:rsidP="00AA2A4C">
            <w:pPr>
              <w:pStyle w:val="TAC"/>
              <w:rPr>
                <w:lang w:eastAsia="en-US"/>
              </w:rPr>
            </w:pPr>
          </w:p>
        </w:tc>
        <w:tc>
          <w:tcPr>
            <w:tcW w:w="755" w:type="dxa"/>
            <w:tcMar>
              <w:top w:w="0" w:type="dxa"/>
              <w:left w:w="28" w:type="dxa"/>
              <w:bottom w:w="0" w:type="dxa"/>
              <w:right w:w="28" w:type="dxa"/>
            </w:tcMar>
          </w:tcPr>
          <w:p w14:paraId="75AD3B9E" w14:textId="77777777" w:rsidR="00711444" w:rsidRPr="004D0DAA" w:rsidRDefault="00711444" w:rsidP="00AA2A4C">
            <w:pPr>
              <w:pStyle w:val="TAC"/>
              <w:rPr>
                <w:lang w:eastAsia="en-US"/>
              </w:rPr>
            </w:pPr>
            <w:r w:rsidRPr="004D0DAA">
              <w:rPr>
                <w:lang w:eastAsia="en-US"/>
              </w:rPr>
              <w:t>Bit</w:t>
            </w:r>
          </w:p>
        </w:tc>
        <w:tc>
          <w:tcPr>
            <w:tcW w:w="946" w:type="dxa"/>
            <w:gridSpan w:val="2"/>
            <w:tcMar>
              <w:top w:w="0" w:type="dxa"/>
              <w:left w:w="28" w:type="dxa"/>
              <w:bottom w:w="0" w:type="dxa"/>
              <w:right w:w="28" w:type="dxa"/>
            </w:tcMar>
          </w:tcPr>
          <w:p w14:paraId="11D525BF" w14:textId="77777777" w:rsidR="00711444" w:rsidRPr="004D0DAA" w:rsidRDefault="00711444" w:rsidP="00AA2A4C">
            <w:pPr>
              <w:pStyle w:val="TAC"/>
              <w:rPr>
                <w:lang w:eastAsia="en-US"/>
              </w:rPr>
            </w:pPr>
          </w:p>
        </w:tc>
        <w:tc>
          <w:tcPr>
            <w:tcW w:w="461" w:type="dxa"/>
            <w:tcMar>
              <w:top w:w="0" w:type="dxa"/>
              <w:left w:w="28" w:type="dxa"/>
              <w:bottom w:w="0" w:type="dxa"/>
              <w:right w:w="28" w:type="dxa"/>
            </w:tcMar>
          </w:tcPr>
          <w:p w14:paraId="3915C1EA" w14:textId="77777777" w:rsidR="00711444" w:rsidRPr="004D0DAA" w:rsidRDefault="00711444" w:rsidP="00AA2A4C">
            <w:pPr>
              <w:pStyle w:val="TAC"/>
              <w:rPr>
                <w:lang w:eastAsia="en-US"/>
              </w:rPr>
            </w:pPr>
          </w:p>
        </w:tc>
        <w:tc>
          <w:tcPr>
            <w:tcW w:w="959" w:type="dxa"/>
            <w:gridSpan w:val="2"/>
            <w:tcMar>
              <w:top w:w="0" w:type="dxa"/>
              <w:left w:w="28" w:type="dxa"/>
              <w:bottom w:w="0" w:type="dxa"/>
              <w:right w:w="28" w:type="dxa"/>
            </w:tcMar>
          </w:tcPr>
          <w:p w14:paraId="12BD0A53" w14:textId="77777777" w:rsidR="00711444" w:rsidRPr="004D0DAA" w:rsidRDefault="00711444" w:rsidP="00AA2A4C">
            <w:pPr>
              <w:pStyle w:val="TAC"/>
              <w:rPr>
                <w:lang w:eastAsia="en-US"/>
              </w:rPr>
            </w:pPr>
          </w:p>
        </w:tc>
        <w:tc>
          <w:tcPr>
            <w:tcW w:w="843" w:type="dxa"/>
            <w:gridSpan w:val="2"/>
            <w:tcMar>
              <w:top w:w="0" w:type="dxa"/>
              <w:left w:w="28" w:type="dxa"/>
              <w:bottom w:w="0" w:type="dxa"/>
              <w:right w:w="28" w:type="dxa"/>
            </w:tcMar>
          </w:tcPr>
          <w:p w14:paraId="7941BD3C" w14:textId="77777777" w:rsidR="00711444" w:rsidRPr="004D0DAA" w:rsidRDefault="00711444" w:rsidP="00AA2A4C">
            <w:pPr>
              <w:pStyle w:val="TAC"/>
              <w:rPr>
                <w:lang w:eastAsia="en-US"/>
              </w:rPr>
            </w:pPr>
          </w:p>
        </w:tc>
        <w:tc>
          <w:tcPr>
            <w:tcW w:w="2388" w:type="dxa"/>
            <w:tcMar>
              <w:top w:w="0" w:type="dxa"/>
              <w:left w:w="28" w:type="dxa"/>
              <w:bottom w:w="0" w:type="dxa"/>
              <w:right w:w="28" w:type="dxa"/>
            </w:tcMar>
          </w:tcPr>
          <w:p w14:paraId="6A0591A4" w14:textId="77777777" w:rsidR="00711444" w:rsidRPr="004D0DAA" w:rsidRDefault="00711444" w:rsidP="00AA2A4C">
            <w:pPr>
              <w:pStyle w:val="TAC"/>
              <w:rPr>
                <w:lang w:eastAsia="en-US"/>
              </w:rPr>
            </w:pPr>
          </w:p>
        </w:tc>
      </w:tr>
      <w:tr w:rsidR="00711444" w:rsidRPr="004D0DAA" w14:paraId="700A1703" w14:textId="77777777" w:rsidTr="00AA2A4C">
        <w:trPr>
          <w:cantSplit/>
        </w:trPr>
        <w:tc>
          <w:tcPr>
            <w:tcW w:w="1119" w:type="dxa"/>
            <w:gridSpan w:val="2"/>
            <w:tcMar>
              <w:top w:w="0" w:type="dxa"/>
              <w:left w:w="28" w:type="dxa"/>
              <w:bottom w:w="0" w:type="dxa"/>
              <w:right w:w="28" w:type="dxa"/>
            </w:tcMar>
            <w:hideMark/>
          </w:tcPr>
          <w:p w14:paraId="153188C7" w14:textId="77777777" w:rsidR="00711444" w:rsidRPr="004D0DAA" w:rsidRDefault="00711444" w:rsidP="00AA2A4C">
            <w:pPr>
              <w:pStyle w:val="TAC"/>
              <w:tabs>
                <w:tab w:val="left" w:pos="494"/>
              </w:tabs>
              <w:rPr>
                <w:lang w:eastAsia="en-US"/>
              </w:rPr>
            </w:pPr>
            <w:r w:rsidRPr="004D0DAA">
              <w:rPr>
                <w:lang w:eastAsia="en-US"/>
              </w:rPr>
              <w:t>8</w:t>
            </w:r>
          </w:p>
        </w:tc>
        <w:tc>
          <w:tcPr>
            <w:tcW w:w="554" w:type="dxa"/>
            <w:tcMar>
              <w:top w:w="0" w:type="dxa"/>
              <w:left w:w="28" w:type="dxa"/>
              <w:bottom w:w="0" w:type="dxa"/>
              <w:right w:w="28" w:type="dxa"/>
            </w:tcMar>
            <w:hideMark/>
          </w:tcPr>
          <w:p w14:paraId="285908BF" w14:textId="77777777" w:rsidR="00711444" w:rsidRPr="004D0DAA" w:rsidRDefault="00711444" w:rsidP="00AA2A4C">
            <w:pPr>
              <w:pStyle w:val="TAC"/>
              <w:rPr>
                <w:lang w:eastAsia="en-US"/>
              </w:rPr>
            </w:pPr>
            <w:r w:rsidRPr="004D0DAA">
              <w:rPr>
                <w:lang w:eastAsia="en-US"/>
              </w:rPr>
              <w:t>7</w:t>
            </w:r>
          </w:p>
        </w:tc>
        <w:tc>
          <w:tcPr>
            <w:tcW w:w="710" w:type="dxa"/>
            <w:hideMark/>
          </w:tcPr>
          <w:p w14:paraId="7AB141AD" w14:textId="77777777" w:rsidR="00711444" w:rsidRPr="004D0DAA" w:rsidRDefault="00711444" w:rsidP="00AA2A4C">
            <w:pPr>
              <w:pStyle w:val="TAC"/>
              <w:rPr>
                <w:lang w:eastAsia="en-US"/>
              </w:rPr>
            </w:pPr>
            <w:r w:rsidRPr="004D0DAA">
              <w:rPr>
                <w:lang w:eastAsia="en-US"/>
              </w:rPr>
              <w:t>6</w:t>
            </w:r>
          </w:p>
        </w:tc>
        <w:tc>
          <w:tcPr>
            <w:tcW w:w="755" w:type="dxa"/>
            <w:tcMar>
              <w:top w:w="0" w:type="dxa"/>
              <w:left w:w="28" w:type="dxa"/>
              <w:bottom w:w="0" w:type="dxa"/>
              <w:right w:w="28" w:type="dxa"/>
            </w:tcMar>
            <w:hideMark/>
          </w:tcPr>
          <w:p w14:paraId="7D31962F" w14:textId="77777777" w:rsidR="00711444" w:rsidRPr="004D0DAA" w:rsidRDefault="00711444" w:rsidP="00AA2A4C">
            <w:pPr>
              <w:pStyle w:val="TAC"/>
              <w:rPr>
                <w:lang w:eastAsia="en-US"/>
              </w:rPr>
            </w:pPr>
            <w:r w:rsidRPr="004D0DAA">
              <w:rPr>
                <w:lang w:eastAsia="en-US"/>
              </w:rPr>
              <w:t>5</w:t>
            </w:r>
          </w:p>
        </w:tc>
        <w:tc>
          <w:tcPr>
            <w:tcW w:w="946" w:type="dxa"/>
            <w:gridSpan w:val="2"/>
            <w:tcMar>
              <w:top w:w="0" w:type="dxa"/>
              <w:left w:w="28" w:type="dxa"/>
              <w:bottom w:w="0" w:type="dxa"/>
              <w:right w:w="28" w:type="dxa"/>
            </w:tcMar>
            <w:hideMark/>
          </w:tcPr>
          <w:p w14:paraId="725B9184" w14:textId="77777777" w:rsidR="00711444" w:rsidRPr="004D0DAA" w:rsidRDefault="00711444" w:rsidP="00AA2A4C">
            <w:pPr>
              <w:pStyle w:val="TAC"/>
              <w:rPr>
                <w:lang w:eastAsia="en-US"/>
              </w:rPr>
            </w:pPr>
            <w:r w:rsidRPr="004D0DAA">
              <w:rPr>
                <w:lang w:eastAsia="en-US"/>
              </w:rPr>
              <w:t>4</w:t>
            </w:r>
          </w:p>
        </w:tc>
        <w:tc>
          <w:tcPr>
            <w:tcW w:w="461" w:type="dxa"/>
            <w:tcMar>
              <w:top w:w="0" w:type="dxa"/>
              <w:left w:w="28" w:type="dxa"/>
              <w:bottom w:w="0" w:type="dxa"/>
              <w:right w:w="28" w:type="dxa"/>
            </w:tcMar>
            <w:hideMark/>
          </w:tcPr>
          <w:p w14:paraId="3DEA6C50" w14:textId="77777777" w:rsidR="00711444" w:rsidRPr="004D0DAA" w:rsidRDefault="00711444" w:rsidP="00AA2A4C">
            <w:pPr>
              <w:pStyle w:val="TAC"/>
              <w:rPr>
                <w:lang w:eastAsia="en-US"/>
              </w:rPr>
            </w:pPr>
            <w:r w:rsidRPr="004D0DAA">
              <w:rPr>
                <w:lang w:eastAsia="en-US"/>
              </w:rPr>
              <w:t>3</w:t>
            </w:r>
          </w:p>
        </w:tc>
        <w:tc>
          <w:tcPr>
            <w:tcW w:w="959" w:type="dxa"/>
            <w:gridSpan w:val="2"/>
            <w:tcMar>
              <w:top w:w="0" w:type="dxa"/>
              <w:left w:w="28" w:type="dxa"/>
              <w:bottom w:w="0" w:type="dxa"/>
              <w:right w:w="28" w:type="dxa"/>
            </w:tcMar>
            <w:hideMark/>
          </w:tcPr>
          <w:p w14:paraId="654A2089" w14:textId="77777777" w:rsidR="00711444" w:rsidRPr="004D0DAA" w:rsidRDefault="00711444" w:rsidP="00AA2A4C">
            <w:pPr>
              <w:pStyle w:val="TAC"/>
              <w:rPr>
                <w:lang w:eastAsia="en-US"/>
              </w:rPr>
            </w:pPr>
            <w:r w:rsidRPr="004D0DAA">
              <w:rPr>
                <w:lang w:eastAsia="en-US"/>
              </w:rPr>
              <w:t>2</w:t>
            </w:r>
          </w:p>
        </w:tc>
        <w:tc>
          <w:tcPr>
            <w:tcW w:w="843" w:type="dxa"/>
            <w:gridSpan w:val="2"/>
            <w:tcMar>
              <w:top w:w="0" w:type="dxa"/>
              <w:left w:w="28" w:type="dxa"/>
              <w:bottom w:w="0" w:type="dxa"/>
              <w:right w:w="28" w:type="dxa"/>
            </w:tcMar>
            <w:hideMark/>
          </w:tcPr>
          <w:p w14:paraId="67CF220D" w14:textId="77777777" w:rsidR="00711444" w:rsidRPr="004D0DAA" w:rsidRDefault="00711444" w:rsidP="00AA2A4C">
            <w:pPr>
              <w:pStyle w:val="TAC"/>
              <w:rPr>
                <w:lang w:eastAsia="en-US"/>
              </w:rPr>
            </w:pPr>
            <w:r w:rsidRPr="004D0DAA">
              <w:rPr>
                <w:lang w:eastAsia="en-US"/>
              </w:rPr>
              <w:t>1</w:t>
            </w:r>
          </w:p>
        </w:tc>
        <w:tc>
          <w:tcPr>
            <w:tcW w:w="2388" w:type="dxa"/>
            <w:tcMar>
              <w:top w:w="0" w:type="dxa"/>
              <w:left w:w="28" w:type="dxa"/>
              <w:bottom w:w="0" w:type="dxa"/>
              <w:right w:w="28" w:type="dxa"/>
            </w:tcMar>
          </w:tcPr>
          <w:p w14:paraId="105A3759" w14:textId="77777777" w:rsidR="00711444" w:rsidRPr="004D0DAA" w:rsidRDefault="00711444" w:rsidP="00AA2A4C">
            <w:pPr>
              <w:pStyle w:val="TAC"/>
              <w:rPr>
                <w:lang w:eastAsia="en-US"/>
              </w:rPr>
            </w:pPr>
          </w:p>
        </w:tc>
      </w:tr>
      <w:tr w:rsidR="00711444" w:rsidRPr="004D0DAA" w14:paraId="4CF2CD89" w14:textId="77777777" w:rsidTr="00AA2A4C">
        <w:trPr>
          <w:cantSplit/>
        </w:trPr>
        <w:tc>
          <w:tcPr>
            <w:tcW w:w="836"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4E21CB72" w14:textId="77777777" w:rsidR="00711444" w:rsidRPr="004D0DAA" w:rsidRDefault="00711444" w:rsidP="00AA2A4C">
            <w:pPr>
              <w:pStyle w:val="TAC"/>
              <w:rPr>
                <w:lang w:eastAsia="en-US"/>
              </w:rPr>
            </w:pPr>
            <w:r w:rsidRPr="004D0DAA">
              <w:rPr>
                <w:lang w:eastAsia="en-US"/>
              </w:rPr>
              <w:t>PR</w:t>
            </w:r>
          </w:p>
        </w:tc>
        <w:tc>
          <w:tcPr>
            <w:tcW w:w="837" w:type="dxa"/>
            <w:gridSpan w:val="2"/>
            <w:tcBorders>
              <w:top w:val="single" w:sz="8" w:space="0" w:color="auto"/>
              <w:left w:val="single" w:sz="8" w:space="0" w:color="auto"/>
              <w:bottom w:val="single" w:sz="8" w:space="0" w:color="auto"/>
              <w:right w:val="single" w:sz="8" w:space="0" w:color="auto"/>
            </w:tcBorders>
          </w:tcPr>
          <w:p w14:paraId="0186A9E9" w14:textId="77777777" w:rsidR="00711444" w:rsidRPr="004D0DAA" w:rsidRDefault="00711444" w:rsidP="00AA2A4C">
            <w:pPr>
              <w:pStyle w:val="TAC"/>
              <w:rPr>
                <w:lang w:eastAsia="en-US"/>
              </w:rPr>
            </w:pPr>
            <w:r w:rsidRPr="004D0DAA">
              <w:rPr>
                <w:lang w:eastAsia="en-US"/>
              </w:rPr>
              <w:t>Payload Type</w:t>
            </w:r>
          </w:p>
        </w:tc>
        <w:tc>
          <w:tcPr>
            <w:tcW w:w="1544" w:type="dxa"/>
            <w:gridSpan w:val="3"/>
            <w:tcBorders>
              <w:top w:val="single" w:sz="8" w:space="0" w:color="auto"/>
              <w:left w:val="single" w:sz="8" w:space="0" w:color="auto"/>
              <w:bottom w:val="single" w:sz="8" w:space="0" w:color="auto"/>
              <w:right w:val="single" w:sz="8" w:space="0" w:color="auto"/>
            </w:tcBorders>
          </w:tcPr>
          <w:p w14:paraId="26310CCA" w14:textId="77777777" w:rsidR="00711444" w:rsidRPr="004D0DAA" w:rsidRDefault="00711444" w:rsidP="00AA2A4C">
            <w:pPr>
              <w:pStyle w:val="TAC"/>
              <w:rPr>
                <w:lang w:eastAsia="en-US"/>
              </w:rPr>
            </w:pPr>
            <w:r w:rsidRPr="004D0DAA">
              <w:rPr>
                <w:lang w:eastAsia="en-US"/>
              </w:rPr>
              <w:t>RRBP</w:t>
            </w:r>
          </w:p>
        </w:tc>
        <w:tc>
          <w:tcPr>
            <w:tcW w:w="867" w:type="dxa"/>
            <w:tcBorders>
              <w:top w:val="single" w:sz="8" w:space="0" w:color="auto"/>
              <w:left w:val="single" w:sz="8" w:space="0" w:color="auto"/>
              <w:bottom w:val="single" w:sz="8" w:space="0" w:color="auto"/>
              <w:right w:val="single" w:sz="8" w:space="0" w:color="auto"/>
            </w:tcBorders>
          </w:tcPr>
          <w:p w14:paraId="42C45D40" w14:textId="77777777" w:rsidR="00711444" w:rsidRPr="004D0DAA" w:rsidRDefault="00711444" w:rsidP="00AA2A4C">
            <w:pPr>
              <w:pStyle w:val="TAC"/>
              <w:rPr>
                <w:lang w:eastAsia="en-US"/>
              </w:rPr>
            </w:pPr>
            <w:r w:rsidRPr="004D0DAA">
              <w:rPr>
                <w:lang w:eastAsia="en-US"/>
              </w:rPr>
              <w:t>S/P</w:t>
            </w:r>
          </w:p>
        </w:tc>
        <w:tc>
          <w:tcPr>
            <w:tcW w:w="721" w:type="dxa"/>
            <w:gridSpan w:val="2"/>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023A4A9D" w14:textId="77777777" w:rsidR="00711444" w:rsidRPr="004D0DAA" w:rsidRDefault="00711444" w:rsidP="00AA2A4C">
            <w:pPr>
              <w:jc w:val="center"/>
            </w:pPr>
            <w:r w:rsidRPr="004D0DAA">
              <w:t>PRe</w:t>
            </w:r>
          </w:p>
        </w:tc>
        <w:tc>
          <w:tcPr>
            <w:tcW w:w="722" w:type="dxa"/>
            <w:gridSpan w:val="2"/>
            <w:tcBorders>
              <w:top w:val="single" w:sz="8" w:space="0" w:color="auto"/>
              <w:left w:val="single" w:sz="8" w:space="0" w:color="auto"/>
              <w:bottom w:val="single" w:sz="8" w:space="0" w:color="auto"/>
              <w:right w:val="single" w:sz="8" w:space="0" w:color="auto"/>
            </w:tcBorders>
          </w:tcPr>
          <w:p w14:paraId="114D297A" w14:textId="77777777" w:rsidR="00711444" w:rsidRPr="004D0DAA" w:rsidRDefault="00711444" w:rsidP="00AA2A4C">
            <w:pPr>
              <w:jc w:val="center"/>
            </w:pPr>
            <w:r w:rsidRPr="004D0DAA">
              <w:t>RBSN</w:t>
            </w:r>
          </w:p>
        </w:tc>
        <w:tc>
          <w:tcPr>
            <w:tcW w:w="820" w:type="dxa"/>
            <w:tcBorders>
              <w:top w:val="single" w:sz="8" w:space="0" w:color="auto"/>
              <w:left w:val="single" w:sz="8" w:space="0" w:color="auto"/>
              <w:bottom w:val="single" w:sz="8" w:space="0" w:color="auto"/>
              <w:right w:val="single" w:sz="8" w:space="0" w:color="auto"/>
            </w:tcBorders>
          </w:tcPr>
          <w:p w14:paraId="583CE8E4" w14:textId="77777777" w:rsidR="00711444" w:rsidRPr="004D0DAA" w:rsidRDefault="00711444" w:rsidP="00AA2A4C">
            <w:pPr>
              <w:jc w:val="center"/>
            </w:pPr>
            <w:r w:rsidRPr="004D0DAA">
              <w:t>FS</w:t>
            </w:r>
          </w:p>
        </w:tc>
        <w:tc>
          <w:tcPr>
            <w:tcW w:w="2388" w:type="dxa"/>
            <w:tcMar>
              <w:top w:w="0" w:type="dxa"/>
              <w:left w:w="28" w:type="dxa"/>
              <w:bottom w:w="0" w:type="dxa"/>
              <w:right w:w="28" w:type="dxa"/>
            </w:tcMar>
            <w:hideMark/>
          </w:tcPr>
          <w:p w14:paraId="33BF4CD1" w14:textId="77777777" w:rsidR="00711444" w:rsidRPr="004D0DAA" w:rsidRDefault="00711444" w:rsidP="00AA2A4C">
            <w:pPr>
              <w:pStyle w:val="TAC"/>
              <w:rPr>
                <w:lang w:eastAsia="en-US"/>
              </w:rPr>
            </w:pPr>
            <w:r w:rsidRPr="004D0DAA">
              <w:rPr>
                <w:lang w:eastAsia="en-US"/>
              </w:rPr>
              <w:t>MAC header (13 bits)</w:t>
            </w:r>
          </w:p>
        </w:tc>
      </w:tr>
      <w:tr w:rsidR="00711444" w:rsidRPr="004D0DAA" w14:paraId="59CA0920" w14:textId="77777777" w:rsidTr="00AA2A4C">
        <w:trPr>
          <w:cantSplit/>
        </w:trPr>
        <w:tc>
          <w:tcPr>
            <w:tcW w:w="4084" w:type="dxa"/>
            <w:gridSpan w:val="7"/>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tcPr>
          <w:p w14:paraId="19C3D1EB" w14:textId="77777777" w:rsidR="00711444" w:rsidRPr="004D0DAA" w:rsidRDefault="00711444" w:rsidP="00AA2A4C">
            <w:pPr>
              <w:pStyle w:val="TAC"/>
              <w:rPr>
                <w:lang w:eastAsia="en-US"/>
              </w:rPr>
            </w:pPr>
            <w:r w:rsidRPr="004D0DAA">
              <w:rPr>
                <w:lang w:eastAsia="en-US"/>
              </w:rPr>
              <w:t>TFI</w:t>
            </w:r>
            <w:r w:rsidRPr="004D0DAA" w:rsidDel="00361A62">
              <w:rPr>
                <w:lang w:eastAsia="en-US"/>
              </w:rPr>
              <w:t xml:space="preserve"> </w:t>
            </w:r>
          </w:p>
        </w:tc>
        <w:tc>
          <w:tcPr>
            <w:tcW w:w="2263" w:type="dxa"/>
            <w:gridSpan w:val="5"/>
            <w:tcBorders>
              <w:top w:val="single" w:sz="8" w:space="0" w:color="auto"/>
              <w:left w:val="nil"/>
              <w:right w:val="single" w:sz="8" w:space="0" w:color="auto"/>
            </w:tcBorders>
          </w:tcPr>
          <w:p w14:paraId="0858F359" w14:textId="77777777" w:rsidR="00711444" w:rsidRPr="004D0DAA" w:rsidRDefault="00711444" w:rsidP="00AA2A4C">
            <w:pPr>
              <w:pStyle w:val="TAC"/>
              <w:rPr>
                <w:lang w:eastAsia="en-US"/>
              </w:rPr>
            </w:pPr>
          </w:p>
        </w:tc>
        <w:tc>
          <w:tcPr>
            <w:tcW w:w="2388" w:type="dxa"/>
            <w:tcMar>
              <w:top w:w="0" w:type="dxa"/>
              <w:left w:w="28" w:type="dxa"/>
              <w:bottom w:w="0" w:type="dxa"/>
              <w:right w:w="28" w:type="dxa"/>
            </w:tcMar>
            <w:hideMark/>
          </w:tcPr>
          <w:p w14:paraId="577C620A" w14:textId="77777777" w:rsidR="00711444" w:rsidRPr="004D0DAA" w:rsidRDefault="00711444" w:rsidP="00AA2A4C">
            <w:pPr>
              <w:pStyle w:val="TAC"/>
              <w:rPr>
                <w:lang w:eastAsia="en-US"/>
              </w:rPr>
            </w:pPr>
            <w:r w:rsidRPr="004D0DAA">
              <w:rPr>
                <w:lang w:eastAsia="en-US"/>
              </w:rPr>
              <w:t xml:space="preserve">Octet 1 </w:t>
            </w:r>
          </w:p>
        </w:tc>
      </w:tr>
      <w:tr w:rsidR="00711444" w:rsidRPr="004D0DAA" w14:paraId="6F370F8F" w14:textId="77777777" w:rsidTr="00AA2A4C">
        <w:trPr>
          <w:cantSplit/>
        </w:trPr>
        <w:tc>
          <w:tcPr>
            <w:tcW w:w="6347" w:type="dxa"/>
            <w:gridSpan w:val="12"/>
            <w:tcBorders>
              <w:left w:val="single" w:sz="8" w:space="0" w:color="auto"/>
              <w:bottom w:val="nil"/>
              <w:right w:val="single" w:sz="8" w:space="0" w:color="auto"/>
            </w:tcBorders>
            <w:tcMar>
              <w:top w:w="0" w:type="dxa"/>
              <w:left w:w="28" w:type="dxa"/>
              <w:bottom w:w="0" w:type="dxa"/>
              <w:right w:w="28" w:type="dxa"/>
            </w:tcMar>
          </w:tcPr>
          <w:p w14:paraId="36CCF541" w14:textId="77777777" w:rsidR="00711444" w:rsidRPr="004D0DAA" w:rsidRDefault="00711444" w:rsidP="00AA2A4C"/>
        </w:tc>
        <w:tc>
          <w:tcPr>
            <w:tcW w:w="2388" w:type="dxa"/>
            <w:tcBorders>
              <w:top w:val="nil"/>
              <w:left w:val="single" w:sz="8" w:space="0" w:color="auto"/>
              <w:bottom w:val="nil"/>
              <w:right w:val="nil"/>
            </w:tcBorders>
            <w:tcMar>
              <w:top w:w="0" w:type="dxa"/>
              <w:left w:w="28" w:type="dxa"/>
              <w:bottom w:w="0" w:type="dxa"/>
              <w:right w:w="28" w:type="dxa"/>
            </w:tcMar>
            <w:hideMark/>
          </w:tcPr>
          <w:p w14:paraId="6FE99647" w14:textId="77777777" w:rsidR="00711444" w:rsidRPr="004D0DAA" w:rsidRDefault="00711444" w:rsidP="00AA2A4C">
            <w:pPr>
              <w:pStyle w:val="TAC"/>
              <w:rPr>
                <w:lang w:eastAsia="en-US"/>
              </w:rPr>
            </w:pPr>
            <w:r w:rsidRPr="004D0DAA">
              <w:rPr>
                <w:lang w:eastAsia="en-US"/>
              </w:rPr>
              <w:t>Octet 2</w:t>
            </w:r>
          </w:p>
        </w:tc>
      </w:tr>
      <w:tr w:rsidR="00711444" w:rsidRPr="004D0DAA" w14:paraId="50F15576" w14:textId="77777777" w:rsidTr="00AA2A4C">
        <w:trPr>
          <w:cantSplit/>
        </w:trPr>
        <w:tc>
          <w:tcPr>
            <w:tcW w:w="6347" w:type="dxa"/>
            <w:gridSpan w:val="12"/>
            <w:tcBorders>
              <w:top w:val="nil"/>
              <w:left w:val="single" w:sz="8" w:space="0" w:color="auto"/>
              <w:right w:val="single" w:sz="8" w:space="0" w:color="auto"/>
            </w:tcBorders>
            <w:tcMar>
              <w:top w:w="0" w:type="dxa"/>
              <w:left w:w="28" w:type="dxa"/>
              <w:bottom w:w="0" w:type="dxa"/>
              <w:right w:w="28" w:type="dxa"/>
            </w:tcMar>
            <w:hideMark/>
          </w:tcPr>
          <w:p w14:paraId="2E5CE533" w14:textId="77777777" w:rsidR="00711444" w:rsidRPr="004D0DAA" w:rsidRDefault="00711444" w:rsidP="00AA2A4C">
            <w:pPr>
              <w:jc w:val="center"/>
            </w:pPr>
            <w:r w:rsidRPr="004D0DAA">
              <w:t>Control Message Contents</w:t>
            </w:r>
          </w:p>
        </w:tc>
        <w:tc>
          <w:tcPr>
            <w:tcW w:w="2388" w:type="dxa"/>
            <w:tcBorders>
              <w:top w:val="nil"/>
              <w:left w:val="single" w:sz="8" w:space="0" w:color="auto"/>
              <w:right w:val="nil"/>
            </w:tcBorders>
            <w:tcMar>
              <w:top w:w="0" w:type="dxa"/>
              <w:left w:w="28" w:type="dxa"/>
              <w:bottom w:w="0" w:type="dxa"/>
              <w:right w:w="28" w:type="dxa"/>
            </w:tcMar>
            <w:hideMark/>
          </w:tcPr>
          <w:p w14:paraId="3CD19FEF" w14:textId="77777777" w:rsidR="00711444" w:rsidRPr="004D0DAA" w:rsidRDefault="00711444" w:rsidP="00AA2A4C">
            <w:pPr>
              <w:pStyle w:val="TAC"/>
              <w:rPr>
                <w:rFonts w:cs="Arial"/>
                <w:szCs w:val="18"/>
                <w:lang w:eastAsia="en-US"/>
              </w:rPr>
            </w:pPr>
            <w:r w:rsidRPr="004D0DAA">
              <w:rPr>
                <w:lang w:eastAsia="en-US"/>
              </w:rPr>
              <w:t>…</w:t>
            </w:r>
          </w:p>
        </w:tc>
      </w:tr>
      <w:tr w:rsidR="00711444" w:rsidRPr="004D0DAA" w14:paraId="3A65FE6D" w14:textId="77777777" w:rsidTr="00AA2A4C">
        <w:trPr>
          <w:cantSplit/>
        </w:trPr>
        <w:tc>
          <w:tcPr>
            <w:tcW w:w="6347" w:type="dxa"/>
            <w:gridSpan w:val="12"/>
            <w:tcBorders>
              <w:top w:val="nil"/>
              <w:left w:val="single" w:sz="8" w:space="0" w:color="auto"/>
              <w:bottom w:val="single" w:sz="4" w:space="0" w:color="auto"/>
              <w:right w:val="single" w:sz="4" w:space="0" w:color="auto"/>
            </w:tcBorders>
            <w:tcMar>
              <w:top w:w="0" w:type="dxa"/>
              <w:left w:w="28" w:type="dxa"/>
              <w:bottom w:w="0" w:type="dxa"/>
              <w:right w:w="28" w:type="dxa"/>
            </w:tcMar>
          </w:tcPr>
          <w:p w14:paraId="55686E33" w14:textId="77777777" w:rsidR="00711444" w:rsidRPr="004D0DAA" w:rsidRDefault="00711444" w:rsidP="00AA2A4C">
            <w:pPr>
              <w:jc w:val="center"/>
            </w:pPr>
          </w:p>
        </w:tc>
        <w:tc>
          <w:tcPr>
            <w:tcW w:w="2388" w:type="dxa"/>
            <w:tcBorders>
              <w:top w:val="nil"/>
              <w:left w:val="single" w:sz="4" w:space="0" w:color="auto"/>
              <w:right w:val="nil"/>
            </w:tcBorders>
            <w:tcMar>
              <w:top w:w="0" w:type="dxa"/>
              <w:left w:w="28" w:type="dxa"/>
              <w:bottom w:w="0" w:type="dxa"/>
              <w:right w:w="28" w:type="dxa"/>
            </w:tcMar>
          </w:tcPr>
          <w:p w14:paraId="22588EAB" w14:textId="77777777" w:rsidR="00711444" w:rsidRPr="004D0DAA" w:rsidRDefault="00711444" w:rsidP="00AA2A4C">
            <w:pPr>
              <w:pStyle w:val="TAC"/>
              <w:rPr>
                <w:lang w:eastAsia="en-US"/>
              </w:rPr>
            </w:pPr>
            <w:r w:rsidRPr="004D0DAA">
              <w:rPr>
                <w:lang w:eastAsia="en-US"/>
              </w:rPr>
              <w:t>Octet 9</w:t>
            </w:r>
          </w:p>
        </w:tc>
      </w:tr>
    </w:tbl>
    <w:p w14:paraId="75DE804C" w14:textId="77777777" w:rsidR="00711444" w:rsidRPr="004D0DAA" w:rsidRDefault="00711444" w:rsidP="00711444">
      <w:pPr>
        <w:pStyle w:val="NF"/>
        <w:rPr>
          <w:rFonts w:cs="Arial"/>
          <w:szCs w:val="18"/>
        </w:rPr>
      </w:pPr>
    </w:p>
    <w:p w14:paraId="73ECE89B" w14:textId="77777777" w:rsidR="00711444" w:rsidRPr="004D0DAA" w:rsidRDefault="00711444" w:rsidP="00711444">
      <w:pPr>
        <w:pStyle w:val="NF"/>
        <w:rPr>
          <w:rFonts w:cs="Arial"/>
          <w:szCs w:val="18"/>
        </w:rPr>
      </w:pPr>
    </w:p>
    <w:p w14:paraId="62A46C08" w14:textId="77777777" w:rsidR="00711444" w:rsidRPr="004D0DAA" w:rsidRDefault="00711444" w:rsidP="00711444">
      <w:pPr>
        <w:pStyle w:val="TF"/>
      </w:pPr>
      <w:r w:rsidRPr="004D0DAA">
        <w:t>Figure 10.3.1.3.2: EC-GSM-IoT Downlink RLC/MAC control block together with its extended MAC header when Payload Type is set to 1</w:t>
      </w:r>
    </w:p>
    <w:p w14:paraId="58D15422" w14:textId="77777777" w:rsidR="00711444" w:rsidRPr="004D0DAA" w:rsidRDefault="00711444" w:rsidP="00711444">
      <w:pPr>
        <w:pStyle w:val="Heading3"/>
      </w:pPr>
      <w:bookmarkStart w:id="511" w:name="_Toc516669693"/>
      <w:r w:rsidRPr="004D0DAA">
        <w:t>10.3.2</w:t>
      </w:r>
      <w:r w:rsidRPr="004D0DAA">
        <w:tab/>
        <w:t>Uplink RLC/MAC control block</w:t>
      </w:r>
      <w:bookmarkEnd w:id="511"/>
    </w:p>
    <w:p w14:paraId="71958566" w14:textId="77777777" w:rsidR="00711444" w:rsidRPr="004D0DAA" w:rsidRDefault="00711444" w:rsidP="00711444">
      <w:pPr>
        <w:keepNext/>
        <w:keepLines/>
      </w:pPr>
      <w:r w:rsidRPr="004D0DAA">
        <w:t>The Uplink RLC/MAC control block together with its MAC header is formatted as shown in figure 10.3.2.1.</w:t>
      </w:r>
    </w:p>
    <w:tbl>
      <w:tblPr>
        <w:tblW w:w="0" w:type="auto"/>
        <w:jc w:val="center"/>
        <w:tblLayout w:type="fixed"/>
        <w:tblCellMar>
          <w:left w:w="28" w:type="dxa"/>
          <w:right w:w="28" w:type="dxa"/>
        </w:tblCellMar>
        <w:tblLook w:val="0000" w:firstRow="0" w:lastRow="0" w:firstColumn="0" w:lastColumn="0" w:noHBand="0" w:noVBand="0"/>
      </w:tblPr>
      <w:tblGrid>
        <w:gridCol w:w="675"/>
        <w:gridCol w:w="624"/>
        <w:gridCol w:w="624"/>
        <w:gridCol w:w="624"/>
        <w:gridCol w:w="624"/>
        <w:gridCol w:w="624"/>
        <w:gridCol w:w="624"/>
        <w:gridCol w:w="624"/>
        <w:gridCol w:w="1985"/>
      </w:tblGrid>
      <w:tr w:rsidR="00711444" w:rsidRPr="004D0DAA" w14:paraId="26584B97" w14:textId="77777777" w:rsidTr="00AA2A4C">
        <w:tblPrEx>
          <w:tblCellMar>
            <w:top w:w="0" w:type="dxa"/>
            <w:bottom w:w="0" w:type="dxa"/>
          </w:tblCellMar>
        </w:tblPrEx>
        <w:trPr>
          <w:cantSplit/>
          <w:jc w:val="center"/>
        </w:trPr>
        <w:tc>
          <w:tcPr>
            <w:tcW w:w="5043" w:type="dxa"/>
            <w:gridSpan w:val="8"/>
          </w:tcPr>
          <w:p w14:paraId="102B8D39" w14:textId="77777777" w:rsidR="00711444" w:rsidRPr="004D0DAA" w:rsidRDefault="00711444" w:rsidP="00AA2A4C">
            <w:pPr>
              <w:pStyle w:val="TAC"/>
              <w:rPr>
                <w:lang w:eastAsia="en-US"/>
              </w:rPr>
            </w:pPr>
            <w:r w:rsidRPr="004D0DAA">
              <w:rPr>
                <w:lang w:eastAsia="en-US"/>
              </w:rPr>
              <w:t>Bit</w:t>
            </w:r>
          </w:p>
        </w:tc>
        <w:tc>
          <w:tcPr>
            <w:tcW w:w="1985" w:type="dxa"/>
          </w:tcPr>
          <w:p w14:paraId="71D57E39" w14:textId="77777777" w:rsidR="00711444" w:rsidRPr="004D0DAA" w:rsidRDefault="00711444" w:rsidP="00AA2A4C">
            <w:pPr>
              <w:pStyle w:val="TAC"/>
              <w:rPr>
                <w:lang w:eastAsia="en-US"/>
              </w:rPr>
            </w:pPr>
          </w:p>
        </w:tc>
      </w:tr>
      <w:tr w:rsidR="00711444" w:rsidRPr="004D0DAA" w14:paraId="20D8B620" w14:textId="77777777" w:rsidTr="00AA2A4C">
        <w:tblPrEx>
          <w:tblCellMar>
            <w:top w:w="0" w:type="dxa"/>
            <w:bottom w:w="0" w:type="dxa"/>
          </w:tblCellMar>
        </w:tblPrEx>
        <w:trPr>
          <w:cantSplit/>
          <w:jc w:val="center"/>
        </w:trPr>
        <w:tc>
          <w:tcPr>
            <w:tcW w:w="675" w:type="dxa"/>
          </w:tcPr>
          <w:p w14:paraId="2458B580" w14:textId="77777777" w:rsidR="00711444" w:rsidRPr="004D0DAA" w:rsidRDefault="00711444" w:rsidP="00AA2A4C">
            <w:pPr>
              <w:pStyle w:val="TAC"/>
              <w:rPr>
                <w:lang w:eastAsia="en-US"/>
              </w:rPr>
            </w:pPr>
            <w:r w:rsidRPr="004D0DAA">
              <w:rPr>
                <w:lang w:eastAsia="en-US"/>
              </w:rPr>
              <w:t>8</w:t>
            </w:r>
          </w:p>
        </w:tc>
        <w:tc>
          <w:tcPr>
            <w:tcW w:w="624" w:type="dxa"/>
          </w:tcPr>
          <w:p w14:paraId="7A37BA93" w14:textId="77777777" w:rsidR="00711444" w:rsidRPr="004D0DAA" w:rsidRDefault="00711444" w:rsidP="00AA2A4C">
            <w:pPr>
              <w:pStyle w:val="TAC"/>
              <w:rPr>
                <w:lang w:eastAsia="en-US"/>
              </w:rPr>
            </w:pPr>
            <w:r w:rsidRPr="004D0DAA">
              <w:rPr>
                <w:lang w:eastAsia="en-US"/>
              </w:rPr>
              <w:t>7</w:t>
            </w:r>
          </w:p>
        </w:tc>
        <w:tc>
          <w:tcPr>
            <w:tcW w:w="624" w:type="dxa"/>
          </w:tcPr>
          <w:p w14:paraId="46FD99C1" w14:textId="77777777" w:rsidR="00711444" w:rsidRPr="004D0DAA" w:rsidRDefault="00711444" w:rsidP="00AA2A4C">
            <w:pPr>
              <w:pStyle w:val="TAC"/>
              <w:rPr>
                <w:lang w:eastAsia="en-US"/>
              </w:rPr>
            </w:pPr>
            <w:r w:rsidRPr="004D0DAA">
              <w:rPr>
                <w:lang w:eastAsia="en-US"/>
              </w:rPr>
              <w:t>6</w:t>
            </w:r>
          </w:p>
        </w:tc>
        <w:tc>
          <w:tcPr>
            <w:tcW w:w="624" w:type="dxa"/>
          </w:tcPr>
          <w:p w14:paraId="0A0060CD" w14:textId="77777777" w:rsidR="00711444" w:rsidRPr="004D0DAA" w:rsidRDefault="00711444" w:rsidP="00AA2A4C">
            <w:pPr>
              <w:pStyle w:val="TAC"/>
              <w:rPr>
                <w:lang w:eastAsia="en-US"/>
              </w:rPr>
            </w:pPr>
            <w:r w:rsidRPr="004D0DAA">
              <w:rPr>
                <w:lang w:eastAsia="en-US"/>
              </w:rPr>
              <w:t>5</w:t>
            </w:r>
          </w:p>
        </w:tc>
        <w:tc>
          <w:tcPr>
            <w:tcW w:w="624" w:type="dxa"/>
          </w:tcPr>
          <w:p w14:paraId="4B8E4A3A" w14:textId="77777777" w:rsidR="00711444" w:rsidRPr="004D0DAA" w:rsidRDefault="00711444" w:rsidP="00AA2A4C">
            <w:pPr>
              <w:pStyle w:val="TAC"/>
              <w:rPr>
                <w:lang w:eastAsia="en-US"/>
              </w:rPr>
            </w:pPr>
            <w:r w:rsidRPr="004D0DAA">
              <w:rPr>
                <w:lang w:eastAsia="en-US"/>
              </w:rPr>
              <w:t>4</w:t>
            </w:r>
          </w:p>
        </w:tc>
        <w:tc>
          <w:tcPr>
            <w:tcW w:w="624" w:type="dxa"/>
          </w:tcPr>
          <w:p w14:paraId="2CC25DED" w14:textId="77777777" w:rsidR="00711444" w:rsidRPr="004D0DAA" w:rsidRDefault="00711444" w:rsidP="00AA2A4C">
            <w:pPr>
              <w:pStyle w:val="TAC"/>
              <w:rPr>
                <w:lang w:eastAsia="en-US"/>
              </w:rPr>
            </w:pPr>
            <w:r w:rsidRPr="004D0DAA">
              <w:rPr>
                <w:lang w:eastAsia="en-US"/>
              </w:rPr>
              <w:t>3</w:t>
            </w:r>
          </w:p>
        </w:tc>
        <w:tc>
          <w:tcPr>
            <w:tcW w:w="624" w:type="dxa"/>
          </w:tcPr>
          <w:p w14:paraId="379A122F" w14:textId="77777777" w:rsidR="00711444" w:rsidRPr="004D0DAA" w:rsidRDefault="00711444" w:rsidP="00AA2A4C">
            <w:pPr>
              <w:pStyle w:val="TAC"/>
              <w:rPr>
                <w:lang w:eastAsia="en-US"/>
              </w:rPr>
            </w:pPr>
            <w:r w:rsidRPr="004D0DAA">
              <w:rPr>
                <w:lang w:eastAsia="en-US"/>
              </w:rPr>
              <w:t>2</w:t>
            </w:r>
          </w:p>
        </w:tc>
        <w:tc>
          <w:tcPr>
            <w:tcW w:w="624" w:type="dxa"/>
          </w:tcPr>
          <w:p w14:paraId="2CB85AAF" w14:textId="77777777" w:rsidR="00711444" w:rsidRPr="004D0DAA" w:rsidRDefault="00711444" w:rsidP="00AA2A4C">
            <w:pPr>
              <w:pStyle w:val="TAC"/>
              <w:rPr>
                <w:lang w:eastAsia="en-US"/>
              </w:rPr>
            </w:pPr>
            <w:r w:rsidRPr="004D0DAA">
              <w:rPr>
                <w:lang w:eastAsia="en-US"/>
              </w:rPr>
              <w:t>1</w:t>
            </w:r>
          </w:p>
        </w:tc>
        <w:tc>
          <w:tcPr>
            <w:tcW w:w="1985" w:type="dxa"/>
          </w:tcPr>
          <w:p w14:paraId="377BBB99" w14:textId="77777777" w:rsidR="00711444" w:rsidRPr="004D0DAA" w:rsidRDefault="00711444" w:rsidP="00AA2A4C">
            <w:pPr>
              <w:pStyle w:val="TAC"/>
              <w:rPr>
                <w:lang w:eastAsia="en-US"/>
              </w:rPr>
            </w:pPr>
          </w:p>
        </w:tc>
      </w:tr>
      <w:tr w:rsidR="00711444" w:rsidRPr="004D0DAA" w14:paraId="08745583" w14:textId="77777777" w:rsidTr="00AA2A4C">
        <w:tblPrEx>
          <w:tblCellMar>
            <w:top w:w="0" w:type="dxa"/>
            <w:bottom w:w="0" w:type="dxa"/>
          </w:tblCellMar>
        </w:tblPrEx>
        <w:trPr>
          <w:cantSplit/>
          <w:jc w:val="center"/>
        </w:trPr>
        <w:tc>
          <w:tcPr>
            <w:tcW w:w="1299" w:type="dxa"/>
            <w:gridSpan w:val="2"/>
            <w:tcBorders>
              <w:top w:val="single" w:sz="6" w:space="0" w:color="auto"/>
              <w:left w:val="single" w:sz="6" w:space="0" w:color="auto"/>
              <w:bottom w:val="single" w:sz="6" w:space="0" w:color="auto"/>
            </w:tcBorders>
          </w:tcPr>
          <w:p w14:paraId="34CF9F6D" w14:textId="77777777" w:rsidR="00711444" w:rsidRPr="004D0DAA" w:rsidRDefault="00711444" w:rsidP="00AA2A4C">
            <w:pPr>
              <w:pStyle w:val="TAC"/>
              <w:rPr>
                <w:lang w:eastAsia="en-US"/>
              </w:rPr>
            </w:pPr>
            <w:r w:rsidRPr="004D0DAA">
              <w:rPr>
                <w:lang w:eastAsia="en-US"/>
              </w:rPr>
              <w:t>Payload Type</w:t>
            </w:r>
          </w:p>
        </w:tc>
        <w:tc>
          <w:tcPr>
            <w:tcW w:w="624" w:type="dxa"/>
            <w:tcBorders>
              <w:top w:val="single" w:sz="6" w:space="0" w:color="auto"/>
              <w:left w:val="single" w:sz="6" w:space="0" w:color="auto"/>
              <w:bottom w:val="single" w:sz="6" w:space="0" w:color="auto"/>
            </w:tcBorders>
          </w:tcPr>
          <w:p w14:paraId="1C23DC1C" w14:textId="77777777" w:rsidR="00711444" w:rsidRPr="004D0DAA" w:rsidRDefault="00711444" w:rsidP="00AA2A4C"/>
        </w:tc>
        <w:tc>
          <w:tcPr>
            <w:tcW w:w="624" w:type="dxa"/>
            <w:tcBorders>
              <w:top w:val="single" w:sz="6" w:space="0" w:color="auto"/>
              <w:bottom w:val="single" w:sz="6" w:space="0" w:color="auto"/>
            </w:tcBorders>
          </w:tcPr>
          <w:p w14:paraId="26BFEAE6" w14:textId="77777777" w:rsidR="00711444" w:rsidRPr="004D0DAA" w:rsidRDefault="00711444" w:rsidP="00AA2A4C"/>
        </w:tc>
        <w:tc>
          <w:tcPr>
            <w:tcW w:w="624" w:type="dxa"/>
            <w:tcBorders>
              <w:top w:val="single" w:sz="6" w:space="0" w:color="auto"/>
              <w:bottom w:val="single" w:sz="6" w:space="0" w:color="auto"/>
            </w:tcBorders>
          </w:tcPr>
          <w:p w14:paraId="2BA35365" w14:textId="77777777" w:rsidR="00711444" w:rsidRPr="004D0DAA" w:rsidRDefault="00711444" w:rsidP="00AA2A4C">
            <w:pPr>
              <w:pStyle w:val="TAC"/>
              <w:rPr>
                <w:lang w:eastAsia="en-US"/>
              </w:rPr>
            </w:pPr>
            <w:r w:rsidRPr="004D0DAA">
              <w:rPr>
                <w:lang w:eastAsia="en-US"/>
              </w:rPr>
              <w:t>spare</w:t>
            </w:r>
          </w:p>
        </w:tc>
        <w:tc>
          <w:tcPr>
            <w:tcW w:w="624" w:type="dxa"/>
            <w:tcBorders>
              <w:top w:val="single" w:sz="6" w:space="0" w:color="auto"/>
              <w:bottom w:val="single" w:sz="6" w:space="0" w:color="auto"/>
            </w:tcBorders>
          </w:tcPr>
          <w:p w14:paraId="33C31B5D" w14:textId="77777777" w:rsidR="00711444" w:rsidRPr="004D0DAA" w:rsidRDefault="00711444" w:rsidP="00AA2A4C"/>
        </w:tc>
        <w:tc>
          <w:tcPr>
            <w:tcW w:w="624" w:type="dxa"/>
            <w:tcBorders>
              <w:top w:val="single" w:sz="6" w:space="0" w:color="auto"/>
              <w:bottom w:val="single" w:sz="6" w:space="0" w:color="auto"/>
            </w:tcBorders>
          </w:tcPr>
          <w:p w14:paraId="5EFD982C" w14:textId="77777777" w:rsidR="00711444" w:rsidRPr="004D0DAA" w:rsidRDefault="00711444" w:rsidP="00AA2A4C"/>
        </w:tc>
        <w:tc>
          <w:tcPr>
            <w:tcW w:w="624" w:type="dxa"/>
            <w:tcBorders>
              <w:top w:val="single" w:sz="6" w:space="0" w:color="auto"/>
              <w:left w:val="single" w:sz="6" w:space="0" w:color="auto"/>
              <w:bottom w:val="single" w:sz="6" w:space="0" w:color="auto"/>
              <w:right w:val="single" w:sz="6" w:space="0" w:color="auto"/>
            </w:tcBorders>
          </w:tcPr>
          <w:p w14:paraId="41C3C493" w14:textId="77777777" w:rsidR="00711444" w:rsidRPr="004D0DAA" w:rsidRDefault="00711444" w:rsidP="00AA2A4C">
            <w:pPr>
              <w:pStyle w:val="TAC"/>
              <w:rPr>
                <w:lang w:eastAsia="en-US"/>
              </w:rPr>
            </w:pPr>
            <w:r w:rsidRPr="004D0DAA">
              <w:rPr>
                <w:lang w:eastAsia="en-US"/>
              </w:rPr>
              <w:t>R</w:t>
            </w:r>
          </w:p>
        </w:tc>
        <w:tc>
          <w:tcPr>
            <w:tcW w:w="1985" w:type="dxa"/>
          </w:tcPr>
          <w:p w14:paraId="0E590729" w14:textId="77777777" w:rsidR="00711444" w:rsidRPr="004D0DAA" w:rsidRDefault="00711444" w:rsidP="00AA2A4C">
            <w:pPr>
              <w:pStyle w:val="TAC"/>
              <w:rPr>
                <w:lang w:eastAsia="en-US"/>
              </w:rPr>
            </w:pPr>
            <w:r w:rsidRPr="004D0DAA">
              <w:rPr>
                <w:lang w:eastAsia="en-US"/>
              </w:rPr>
              <w:t>MAC header</w:t>
            </w:r>
          </w:p>
        </w:tc>
      </w:tr>
      <w:tr w:rsidR="00711444" w:rsidRPr="004D0DAA" w14:paraId="2270E41A" w14:textId="77777777" w:rsidTr="00AA2A4C">
        <w:tblPrEx>
          <w:tblCellMar>
            <w:top w:w="0" w:type="dxa"/>
            <w:bottom w:w="0" w:type="dxa"/>
          </w:tblCellMar>
        </w:tblPrEx>
        <w:trPr>
          <w:cantSplit/>
          <w:jc w:val="center"/>
        </w:trPr>
        <w:tc>
          <w:tcPr>
            <w:tcW w:w="675" w:type="dxa"/>
            <w:tcBorders>
              <w:top w:val="single" w:sz="6" w:space="0" w:color="auto"/>
              <w:left w:val="single" w:sz="6" w:space="0" w:color="auto"/>
            </w:tcBorders>
          </w:tcPr>
          <w:p w14:paraId="72013D1B" w14:textId="77777777" w:rsidR="00711444" w:rsidRPr="004D0DAA" w:rsidRDefault="00711444" w:rsidP="00AA2A4C"/>
        </w:tc>
        <w:tc>
          <w:tcPr>
            <w:tcW w:w="624" w:type="dxa"/>
            <w:tcBorders>
              <w:top w:val="single" w:sz="6" w:space="0" w:color="auto"/>
            </w:tcBorders>
          </w:tcPr>
          <w:p w14:paraId="34922FB1" w14:textId="77777777" w:rsidR="00711444" w:rsidRPr="004D0DAA" w:rsidRDefault="00711444" w:rsidP="00AA2A4C"/>
        </w:tc>
        <w:tc>
          <w:tcPr>
            <w:tcW w:w="624" w:type="dxa"/>
          </w:tcPr>
          <w:p w14:paraId="673C6EF1" w14:textId="77777777" w:rsidR="00711444" w:rsidRPr="004D0DAA" w:rsidRDefault="00711444" w:rsidP="00AA2A4C"/>
        </w:tc>
        <w:tc>
          <w:tcPr>
            <w:tcW w:w="624" w:type="dxa"/>
          </w:tcPr>
          <w:p w14:paraId="147904FF" w14:textId="77777777" w:rsidR="00711444" w:rsidRPr="004D0DAA" w:rsidRDefault="00711444" w:rsidP="00AA2A4C"/>
        </w:tc>
        <w:tc>
          <w:tcPr>
            <w:tcW w:w="624" w:type="dxa"/>
          </w:tcPr>
          <w:p w14:paraId="01C15E44" w14:textId="77777777" w:rsidR="00711444" w:rsidRPr="004D0DAA" w:rsidRDefault="00711444" w:rsidP="00AA2A4C"/>
        </w:tc>
        <w:tc>
          <w:tcPr>
            <w:tcW w:w="624" w:type="dxa"/>
            <w:tcBorders>
              <w:top w:val="single" w:sz="6" w:space="0" w:color="auto"/>
            </w:tcBorders>
          </w:tcPr>
          <w:p w14:paraId="724A0FF2" w14:textId="77777777" w:rsidR="00711444" w:rsidRPr="004D0DAA" w:rsidRDefault="00711444" w:rsidP="00AA2A4C"/>
        </w:tc>
        <w:tc>
          <w:tcPr>
            <w:tcW w:w="624" w:type="dxa"/>
            <w:tcBorders>
              <w:top w:val="single" w:sz="6" w:space="0" w:color="auto"/>
            </w:tcBorders>
          </w:tcPr>
          <w:p w14:paraId="1E52AE6E" w14:textId="77777777" w:rsidR="00711444" w:rsidRPr="004D0DAA" w:rsidRDefault="00711444" w:rsidP="00AA2A4C"/>
        </w:tc>
        <w:tc>
          <w:tcPr>
            <w:tcW w:w="624" w:type="dxa"/>
            <w:tcBorders>
              <w:top w:val="single" w:sz="6" w:space="0" w:color="auto"/>
              <w:right w:val="single" w:sz="6" w:space="0" w:color="auto"/>
            </w:tcBorders>
          </w:tcPr>
          <w:p w14:paraId="64FA7193" w14:textId="77777777" w:rsidR="00711444" w:rsidRPr="004D0DAA" w:rsidRDefault="00711444" w:rsidP="00AA2A4C"/>
        </w:tc>
        <w:tc>
          <w:tcPr>
            <w:tcW w:w="1985" w:type="dxa"/>
          </w:tcPr>
          <w:p w14:paraId="76E3F668" w14:textId="77777777" w:rsidR="00711444" w:rsidRPr="004D0DAA" w:rsidRDefault="00711444" w:rsidP="00AA2A4C">
            <w:pPr>
              <w:pStyle w:val="TAC"/>
              <w:rPr>
                <w:lang w:eastAsia="en-US"/>
              </w:rPr>
            </w:pPr>
            <w:r w:rsidRPr="004D0DAA">
              <w:rPr>
                <w:lang w:eastAsia="en-US"/>
              </w:rPr>
              <w:t>Octet 1</w:t>
            </w:r>
          </w:p>
        </w:tc>
      </w:tr>
      <w:tr w:rsidR="00711444" w:rsidRPr="004D0DAA" w14:paraId="6385A85E" w14:textId="77777777" w:rsidTr="00AA2A4C">
        <w:tblPrEx>
          <w:tblCellMar>
            <w:top w:w="0" w:type="dxa"/>
            <w:bottom w:w="0" w:type="dxa"/>
          </w:tblCellMar>
        </w:tblPrEx>
        <w:trPr>
          <w:cantSplit/>
          <w:jc w:val="center"/>
        </w:trPr>
        <w:tc>
          <w:tcPr>
            <w:tcW w:w="675" w:type="dxa"/>
            <w:tcBorders>
              <w:left w:val="single" w:sz="6" w:space="0" w:color="auto"/>
            </w:tcBorders>
          </w:tcPr>
          <w:p w14:paraId="5FEB77B6" w14:textId="77777777" w:rsidR="00711444" w:rsidRPr="004D0DAA" w:rsidRDefault="00711444" w:rsidP="00AA2A4C"/>
        </w:tc>
        <w:tc>
          <w:tcPr>
            <w:tcW w:w="624" w:type="dxa"/>
          </w:tcPr>
          <w:p w14:paraId="675C58C8" w14:textId="77777777" w:rsidR="00711444" w:rsidRPr="004D0DAA" w:rsidRDefault="00711444" w:rsidP="00AA2A4C"/>
        </w:tc>
        <w:tc>
          <w:tcPr>
            <w:tcW w:w="624" w:type="dxa"/>
          </w:tcPr>
          <w:p w14:paraId="5CC6DE6D" w14:textId="77777777" w:rsidR="00711444" w:rsidRPr="004D0DAA" w:rsidRDefault="00711444" w:rsidP="00AA2A4C"/>
        </w:tc>
        <w:tc>
          <w:tcPr>
            <w:tcW w:w="624" w:type="dxa"/>
          </w:tcPr>
          <w:p w14:paraId="544FD968" w14:textId="77777777" w:rsidR="00711444" w:rsidRPr="004D0DAA" w:rsidRDefault="00711444" w:rsidP="00AA2A4C"/>
        </w:tc>
        <w:tc>
          <w:tcPr>
            <w:tcW w:w="624" w:type="dxa"/>
          </w:tcPr>
          <w:p w14:paraId="16545482" w14:textId="77777777" w:rsidR="00711444" w:rsidRPr="004D0DAA" w:rsidRDefault="00711444" w:rsidP="00AA2A4C"/>
        </w:tc>
        <w:tc>
          <w:tcPr>
            <w:tcW w:w="624" w:type="dxa"/>
          </w:tcPr>
          <w:p w14:paraId="3C3ABE04" w14:textId="77777777" w:rsidR="00711444" w:rsidRPr="004D0DAA" w:rsidRDefault="00711444" w:rsidP="00AA2A4C"/>
        </w:tc>
        <w:tc>
          <w:tcPr>
            <w:tcW w:w="624" w:type="dxa"/>
          </w:tcPr>
          <w:p w14:paraId="34988189" w14:textId="77777777" w:rsidR="00711444" w:rsidRPr="004D0DAA" w:rsidRDefault="00711444" w:rsidP="00AA2A4C"/>
        </w:tc>
        <w:tc>
          <w:tcPr>
            <w:tcW w:w="624" w:type="dxa"/>
            <w:tcBorders>
              <w:right w:val="single" w:sz="6" w:space="0" w:color="auto"/>
            </w:tcBorders>
          </w:tcPr>
          <w:p w14:paraId="59AE35B1" w14:textId="77777777" w:rsidR="00711444" w:rsidRPr="004D0DAA" w:rsidRDefault="00711444" w:rsidP="00AA2A4C"/>
        </w:tc>
        <w:tc>
          <w:tcPr>
            <w:tcW w:w="1985" w:type="dxa"/>
          </w:tcPr>
          <w:p w14:paraId="0B4EA7BD" w14:textId="77777777" w:rsidR="00711444" w:rsidRPr="004D0DAA" w:rsidRDefault="00711444" w:rsidP="00AA2A4C">
            <w:pPr>
              <w:pStyle w:val="TAC"/>
              <w:rPr>
                <w:lang w:eastAsia="en-US"/>
              </w:rPr>
            </w:pPr>
            <w:r w:rsidRPr="004D0DAA">
              <w:rPr>
                <w:lang w:eastAsia="en-US"/>
              </w:rPr>
              <w:t>Octet 2</w:t>
            </w:r>
          </w:p>
        </w:tc>
      </w:tr>
      <w:tr w:rsidR="00711444" w:rsidRPr="004D0DAA" w14:paraId="5CED7D79" w14:textId="77777777" w:rsidTr="00AA2A4C">
        <w:tblPrEx>
          <w:tblCellMar>
            <w:top w:w="0" w:type="dxa"/>
            <w:bottom w:w="0" w:type="dxa"/>
          </w:tblCellMar>
        </w:tblPrEx>
        <w:trPr>
          <w:cantSplit/>
          <w:jc w:val="center"/>
        </w:trPr>
        <w:tc>
          <w:tcPr>
            <w:tcW w:w="675" w:type="dxa"/>
            <w:tcBorders>
              <w:left w:val="single" w:sz="6" w:space="0" w:color="auto"/>
            </w:tcBorders>
          </w:tcPr>
          <w:p w14:paraId="19990C85" w14:textId="77777777" w:rsidR="00711444" w:rsidRPr="004D0DAA" w:rsidRDefault="00711444" w:rsidP="00AA2A4C"/>
        </w:tc>
        <w:tc>
          <w:tcPr>
            <w:tcW w:w="624" w:type="dxa"/>
          </w:tcPr>
          <w:p w14:paraId="1F821326" w14:textId="77777777" w:rsidR="00711444" w:rsidRPr="004D0DAA" w:rsidRDefault="00711444" w:rsidP="00AA2A4C"/>
        </w:tc>
        <w:tc>
          <w:tcPr>
            <w:tcW w:w="624" w:type="dxa"/>
          </w:tcPr>
          <w:p w14:paraId="5C25618F" w14:textId="77777777" w:rsidR="00711444" w:rsidRPr="004D0DAA" w:rsidRDefault="00711444" w:rsidP="00AA2A4C"/>
        </w:tc>
        <w:tc>
          <w:tcPr>
            <w:tcW w:w="624" w:type="dxa"/>
          </w:tcPr>
          <w:p w14:paraId="211C931A" w14:textId="77777777" w:rsidR="00711444" w:rsidRPr="004D0DAA" w:rsidRDefault="00711444" w:rsidP="00AA2A4C"/>
        </w:tc>
        <w:tc>
          <w:tcPr>
            <w:tcW w:w="624" w:type="dxa"/>
          </w:tcPr>
          <w:p w14:paraId="6044125A" w14:textId="77777777" w:rsidR="00711444" w:rsidRPr="004D0DAA" w:rsidRDefault="00711444" w:rsidP="00AA2A4C"/>
        </w:tc>
        <w:tc>
          <w:tcPr>
            <w:tcW w:w="624" w:type="dxa"/>
          </w:tcPr>
          <w:p w14:paraId="2E80F298" w14:textId="77777777" w:rsidR="00711444" w:rsidRPr="004D0DAA" w:rsidRDefault="00711444" w:rsidP="00AA2A4C"/>
        </w:tc>
        <w:tc>
          <w:tcPr>
            <w:tcW w:w="624" w:type="dxa"/>
          </w:tcPr>
          <w:p w14:paraId="23E77A47" w14:textId="77777777" w:rsidR="00711444" w:rsidRPr="004D0DAA" w:rsidRDefault="00711444" w:rsidP="00AA2A4C"/>
        </w:tc>
        <w:tc>
          <w:tcPr>
            <w:tcW w:w="624" w:type="dxa"/>
            <w:tcBorders>
              <w:right w:val="single" w:sz="6" w:space="0" w:color="auto"/>
            </w:tcBorders>
          </w:tcPr>
          <w:p w14:paraId="024AAD18" w14:textId="77777777" w:rsidR="00711444" w:rsidRPr="004D0DAA" w:rsidRDefault="00711444" w:rsidP="00AA2A4C"/>
        </w:tc>
        <w:tc>
          <w:tcPr>
            <w:tcW w:w="1985" w:type="dxa"/>
          </w:tcPr>
          <w:p w14:paraId="05DF2726" w14:textId="77777777" w:rsidR="00711444" w:rsidRPr="004D0DAA" w:rsidRDefault="00711444" w:rsidP="00AA2A4C">
            <w:pPr>
              <w:pStyle w:val="TAC"/>
              <w:rPr>
                <w:lang w:eastAsia="en-US"/>
              </w:rPr>
            </w:pPr>
            <w:r w:rsidRPr="004D0DAA">
              <w:rPr>
                <w:lang w:eastAsia="en-US"/>
              </w:rPr>
              <w:t>Octet 3</w:t>
            </w:r>
          </w:p>
        </w:tc>
      </w:tr>
      <w:tr w:rsidR="00711444" w:rsidRPr="004D0DAA" w14:paraId="58BD5B81" w14:textId="77777777" w:rsidTr="00AA2A4C">
        <w:tblPrEx>
          <w:tblCellMar>
            <w:top w:w="0" w:type="dxa"/>
            <w:bottom w:w="0" w:type="dxa"/>
          </w:tblCellMar>
        </w:tblPrEx>
        <w:trPr>
          <w:cantSplit/>
          <w:jc w:val="center"/>
        </w:trPr>
        <w:tc>
          <w:tcPr>
            <w:tcW w:w="5043" w:type="dxa"/>
            <w:gridSpan w:val="8"/>
            <w:tcBorders>
              <w:left w:val="single" w:sz="6" w:space="0" w:color="auto"/>
              <w:right w:val="single" w:sz="6" w:space="0" w:color="auto"/>
            </w:tcBorders>
          </w:tcPr>
          <w:p w14:paraId="1DF38349" w14:textId="77777777" w:rsidR="00711444" w:rsidRPr="004D0DAA" w:rsidRDefault="00711444" w:rsidP="00AA2A4C">
            <w:pPr>
              <w:pStyle w:val="TAC"/>
              <w:rPr>
                <w:lang w:eastAsia="en-US"/>
              </w:rPr>
            </w:pPr>
            <w:r w:rsidRPr="004D0DAA">
              <w:rPr>
                <w:lang w:eastAsia="en-US"/>
              </w:rPr>
              <w:t>Control Message Contents</w:t>
            </w:r>
          </w:p>
        </w:tc>
        <w:tc>
          <w:tcPr>
            <w:tcW w:w="1985" w:type="dxa"/>
          </w:tcPr>
          <w:p w14:paraId="22004723" w14:textId="77777777" w:rsidR="00711444" w:rsidRPr="004D0DAA" w:rsidRDefault="00711444" w:rsidP="00AA2A4C">
            <w:pPr>
              <w:pStyle w:val="TAC"/>
              <w:rPr>
                <w:lang w:eastAsia="en-US"/>
              </w:rPr>
            </w:pPr>
            <w:r w:rsidRPr="004D0DAA">
              <w:rPr>
                <w:lang w:eastAsia="en-US"/>
              </w:rPr>
              <w:t>.</w:t>
            </w:r>
          </w:p>
          <w:p w14:paraId="7FB5C55B" w14:textId="77777777" w:rsidR="00711444" w:rsidRPr="004D0DAA" w:rsidRDefault="00711444" w:rsidP="00AA2A4C">
            <w:pPr>
              <w:pStyle w:val="TAC"/>
              <w:rPr>
                <w:lang w:eastAsia="en-US"/>
              </w:rPr>
            </w:pPr>
            <w:r w:rsidRPr="004D0DAA">
              <w:rPr>
                <w:lang w:eastAsia="en-US"/>
              </w:rPr>
              <w:t>.</w:t>
            </w:r>
          </w:p>
          <w:p w14:paraId="7B61245F" w14:textId="77777777" w:rsidR="00711444" w:rsidRPr="004D0DAA" w:rsidRDefault="00711444" w:rsidP="00AA2A4C">
            <w:pPr>
              <w:pStyle w:val="TAC"/>
              <w:rPr>
                <w:lang w:eastAsia="en-US"/>
              </w:rPr>
            </w:pPr>
            <w:r w:rsidRPr="004D0DAA">
              <w:rPr>
                <w:lang w:eastAsia="en-US"/>
              </w:rPr>
              <w:t>.</w:t>
            </w:r>
          </w:p>
        </w:tc>
      </w:tr>
      <w:tr w:rsidR="00711444" w:rsidRPr="004D0DAA" w14:paraId="68B59BDC" w14:textId="77777777" w:rsidTr="00AA2A4C">
        <w:tblPrEx>
          <w:tblCellMar>
            <w:top w:w="0" w:type="dxa"/>
            <w:bottom w:w="0" w:type="dxa"/>
          </w:tblCellMar>
        </w:tblPrEx>
        <w:trPr>
          <w:cantSplit/>
          <w:jc w:val="center"/>
        </w:trPr>
        <w:tc>
          <w:tcPr>
            <w:tcW w:w="675" w:type="dxa"/>
            <w:tcBorders>
              <w:left w:val="single" w:sz="6" w:space="0" w:color="auto"/>
            </w:tcBorders>
          </w:tcPr>
          <w:p w14:paraId="736C3B9A" w14:textId="77777777" w:rsidR="00711444" w:rsidRPr="004D0DAA" w:rsidRDefault="00711444" w:rsidP="00AA2A4C"/>
        </w:tc>
        <w:tc>
          <w:tcPr>
            <w:tcW w:w="624" w:type="dxa"/>
          </w:tcPr>
          <w:p w14:paraId="1A3777B0" w14:textId="77777777" w:rsidR="00711444" w:rsidRPr="004D0DAA" w:rsidRDefault="00711444" w:rsidP="00AA2A4C"/>
        </w:tc>
        <w:tc>
          <w:tcPr>
            <w:tcW w:w="624" w:type="dxa"/>
          </w:tcPr>
          <w:p w14:paraId="5CF74E69" w14:textId="77777777" w:rsidR="00711444" w:rsidRPr="004D0DAA" w:rsidRDefault="00711444" w:rsidP="00AA2A4C"/>
        </w:tc>
        <w:tc>
          <w:tcPr>
            <w:tcW w:w="624" w:type="dxa"/>
          </w:tcPr>
          <w:p w14:paraId="16880A2F" w14:textId="77777777" w:rsidR="00711444" w:rsidRPr="004D0DAA" w:rsidRDefault="00711444" w:rsidP="00AA2A4C"/>
        </w:tc>
        <w:tc>
          <w:tcPr>
            <w:tcW w:w="624" w:type="dxa"/>
          </w:tcPr>
          <w:p w14:paraId="7BFB6019" w14:textId="77777777" w:rsidR="00711444" w:rsidRPr="004D0DAA" w:rsidRDefault="00711444" w:rsidP="00AA2A4C"/>
        </w:tc>
        <w:tc>
          <w:tcPr>
            <w:tcW w:w="624" w:type="dxa"/>
          </w:tcPr>
          <w:p w14:paraId="75A293AB" w14:textId="77777777" w:rsidR="00711444" w:rsidRPr="004D0DAA" w:rsidRDefault="00711444" w:rsidP="00AA2A4C"/>
        </w:tc>
        <w:tc>
          <w:tcPr>
            <w:tcW w:w="624" w:type="dxa"/>
          </w:tcPr>
          <w:p w14:paraId="7907F93C" w14:textId="77777777" w:rsidR="00711444" w:rsidRPr="004D0DAA" w:rsidRDefault="00711444" w:rsidP="00AA2A4C"/>
        </w:tc>
        <w:tc>
          <w:tcPr>
            <w:tcW w:w="624" w:type="dxa"/>
            <w:tcBorders>
              <w:right w:val="single" w:sz="6" w:space="0" w:color="auto"/>
            </w:tcBorders>
          </w:tcPr>
          <w:p w14:paraId="41F16536" w14:textId="77777777" w:rsidR="00711444" w:rsidRPr="004D0DAA" w:rsidRDefault="00711444" w:rsidP="00AA2A4C"/>
        </w:tc>
        <w:tc>
          <w:tcPr>
            <w:tcW w:w="1985" w:type="dxa"/>
          </w:tcPr>
          <w:p w14:paraId="64C4B08A" w14:textId="77777777" w:rsidR="00711444" w:rsidRPr="004D0DAA" w:rsidRDefault="00711444" w:rsidP="00AA2A4C">
            <w:pPr>
              <w:pStyle w:val="TAC"/>
              <w:rPr>
                <w:lang w:eastAsia="en-US"/>
              </w:rPr>
            </w:pPr>
            <w:r w:rsidRPr="004D0DAA">
              <w:rPr>
                <w:lang w:eastAsia="en-US"/>
              </w:rPr>
              <w:t>Octet 21</w:t>
            </w:r>
          </w:p>
        </w:tc>
      </w:tr>
      <w:tr w:rsidR="00711444" w:rsidRPr="004D0DAA" w14:paraId="23DE64E9" w14:textId="77777777" w:rsidTr="00AA2A4C">
        <w:tblPrEx>
          <w:tblCellMar>
            <w:top w:w="0" w:type="dxa"/>
            <w:bottom w:w="0" w:type="dxa"/>
          </w:tblCellMar>
        </w:tblPrEx>
        <w:trPr>
          <w:cantSplit/>
          <w:jc w:val="center"/>
        </w:trPr>
        <w:tc>
          <w:tcPr>
            <w:tcW w:w="675" w:type="dxa"/>
            <w:tcBorders>
              <w:left w:val="single" w:sz="6" w:space="0" w:color="auto"/>
              <w:bottom w:val="single" w:sz="6" w:space="0" w:color="auto"/>
            </w:tcBorders>
          </w:tcPr>
          <w:p w14:paraId="1A293F2F" w14:textId="77777777" w:rsidR="00711444" w:rsidRPr="004D0DAA" w:rsidRDefault="00711444" w:rsidP="00AA2A4C"/>
        </w:tc>
        <w:tc>
          <w:tcPr>
            <w:tcW w:w="624" w:type="dxa"/>
            <w:tcBorders>
              <w:bottom w:val="single" w:sz="6" w:space="0" w:color="auto"/>
            </w:tcBorders>
          </w:tcPr>
          <w:p w14:paraId="3B69B602" w14:textId="77777777" w:rsidR="00711444" w:rsidRPr="004D0DAA" w:rsidRDefault="00711444" w:rsidP="00AA2A4C"/>
        </w:tc>
        <w:tc>
          <w:tcPr>
            <w:tcW w:w="624" w:type="dxa"/>
            <w:tcBorders>
              <w:bottom w:val="single" w:sz="6" w:space="0" w:color="auto"/>
            </w:tcBorders>
          </w:tcPr>
          <w:p w14:paraId="61782C96" w14:textId="77777777" w:rsidR="00711444" w:rsidRPr="004D0DAA" w:rsidRDefault="00711444" w:rsidP="00AA2A4C"/>
        </w:tc>
        <w:tc>
          <w:tcPr>
            <w:tcW w:w="624" w:type="dxa"/>
            <w:tcBorders>
              <w:bottom w:val="single" w:sz="6" w:space="0" w:color="auto"/>
            </w:tcBorders>
          </w:tcPr>
          <w:p w14:paraId="5A5369BB" w14:textId="77777777" w:rsidR="00711444" w:rsidRPr="004D0DAA" w:rsidRDefault="00711444" w:rsidP="00AA2A4C"/>
        </w:tc>
        <w:tc>
          <w:tcPr>
            <w:tcW w:w="624" w:type="dxa"/>
            <w:tcBorders>
              <w:bottom w:val="single" w:sz="6" w:space="0" w:color="auto"/>
            </w:tcBorders>
          </w:tcPr>
          <w:p w14:paraId="4D0C12B5" w14:textId="77777777" w:rsidR="00711444" w:rsidRPr="004D0DAA" w:rsidRDefault="00711444" w:rsidP="00AA2A4C"/>
        </w:tc>
        <w:tc>
          <w:tcPr>
            <w:tcW w:w="624" w:type="dxa"/>
            <w:tcBorders>
              <w:bottom w:val="single" w:sz="6" w:space="0" w:color="auto"/>
            </w:tcBorders>
          </w:tcPr>
          <w:p w14:paraId="6336998C" w14:textId="77777777" w:rsidR="00711444" w:rsidRPr="004D0DAA" w:rsidRDefault="00711444" w:rsidP="00AA2A4C"/>
        </w:tc>
        <w:tc>
          <w:tcPr>
            <w:tcW w:w="624" w:type="dxa"/>
            <w:tcBorders>
              <w:bottom w:val="single" w:sz="6" w:space="0" w:color="auto"/>
            </w:tcBorders>
          </w:tcPr>
          <w:p w14:paraId="40AD6A00" w14:textId="77777777" w:rsidR="00711444" w:rsidRPr="004D0DAA" w:rsidRDefault="00711444" w:rsidP="00AA2A4C"/>
        </w:tc>
        <w:tc>
          <w:tcPr>
            <w:tcW w:w="624" w:type="dxa"/>
            <w:tcBorders>
              <w:bottom w:val="single" w:sz="6" w:space="0" w:color="auto"/>
              <w:right w:val="single" w:sz="6" w:space="0" w:color="auto"/>
            </w:tcBorders>
          </w:tcPr>
          <w:p w14:paraId="57C8492E" w14:textId="77777777" w:rsidR="00711444" w:rsidRPr="004D0DAA" w:rsidRDefault="00711444" w:rsidP="00AA2A4C"/>
        </w:tc>
        <w:tc>
          <w:tcPr>
            <w:tcW w:w="1985" w:type="dxa"/>
          </w:tcPr>
          <w:p w14:paraId="39AC58FB" w14:textId="77777777" w:rsidR="00711444" w:rsidRPr="004D0DAA" w:rsidRDefault="00711444" w:rsidP="00AA2A4C">
            <w:pPr>
              <w:pStyle w:val="TAC"/>
              <w:rPr>
                <w:lang w:eastAsia="en-US"/>
              </w:rPr>
            </w:pPr>
            <w:r w:rsidRPr="004D0DAA">
              <w:rPr>
                <w:lang w:eastAsia="en-US"/>
              </w:rPr>
              <w:t>Octet 22</w:t>
            </w:r>
          </w:p>
        </w:tc>
      </w:tr>
    </w:tbl>
    <w:p w14:paraId="25D1FC50" w14:textId="77777777" w:rsidR="00711444" w:rsidRPr="004D0DAA" w:rsidRDefault="00711444" w:rsidP="00711444">
      <w:pPr>
        <w:pStyle w:val="NF"/>
      </w:pPr>
    </w:p>
    <w:p w14:paraId="03C94F59" w14:textId="77777777" w:rsidR="00711444" w:rsidRPr="004D0DAA" w:rsidRDefault="00711444" w:rsidP="00711444">
      <w:pPr>
        <w:pStyle w:val="TF"/>
      </w:pPr>
      <w:r w:rsidRPr="004D0DAA">
        <w:t>Figure 10.3.2.1: Uplink RLC/MAC control block together with its MAC header</w:t>
      </w:r>
    </w:p>
    <w:p w14:paraId="5CF5CB58" w14:textId="77777777" w:rsidR="00711444" w:rsidRPr="004D0DAA" w:rsidRDefault="00711444" w:rsidP="00711444">
      <w:r w:rsidRPr="004D0DAA">
        <w:t xml:space="preserve">A coding block payload content of 64 bits has been defined for use on EC-PACCH/U. The payload is coded to generate punctured bits for EC-PACCH/U and designed to provide compatibility with GPRS and EGPRS. The EC-PACCH/U RLC/MAC control block for EC-GSM-IoT is without MAC header and formatted as shown in figure 10.3.2.2. </w:t>
      </w:r>
    </w:p>
    <w:tbl>
      <w:tblPr>
        <w:tblW w:w="0" w:type="auto"/>
        <w:jc w:val="center"/>
        <w:tblCellMar>
          <w:left w:w="28" w:type="dxa"/>
          <w:right w:w="0" w:type="dxa"/>
        </w:tblCellMar>
        <w:tblLook w:val="04A0" w:firstRow="1" w:lastRow="0" w:firstColumn="1" w:lastColumn="0" w:noHBand="0" w:noVBand="1"/>
      </w:tblPr>
      <w:tblGrid>
        <w:gridCol w:w="766"/>
        <w:gridCol w:w="111"/>
        <w:gridCol w:w="513"/>
        <w:gridCol w:w="111"/>
        <w:gridCol w:w="513"/>
        <w:gridCol w:w="111"/>
        <w:gridCol w:w="513"/>
        <w:gridCol w:w="111"/>
        <w:gridCol w:w="513"/>
        <w:gridCol w:w="111"/>
        <w:gridCol w:w="513"/>
        <w:gridCol w:w="111"/>
        <w:gridCol w:w="513"/>
        <w:gridCol w:w="111"/>
        <w:gridCol w:w="513"/>
        <w:gridCol w:w="111"/>
        <w:gridCol w:w="1874"/>
        <w:gridCol w:w="111"/>
      </w:tblGrid>
      <w:tr w:rsidR="00711444" w:rsidRPr="004D0DAA" w14:paraId="50DDEED6" w14:textId="77777777" w:rsidTr="00AA2A4C">
        <w:trPr>
          <w:cantSplit/>
          <w:jc w:val="center"/>
        </w:trPr>
        <w:tc>
          <w:tcPr>
            <w:tcW w:w="877" w:type="dxa"/>
            <w:gridSpan w:val="2"/>
            <w:tcMar>
              <w:top w:w="0" w:type="dxa"/>
              <w:left w:w="28" w:type="dxa"/>
              <w:bottom w:w="0" w:type="dxa"/>
              <w:right w:w="28" w:type="dxa"/>
            </w:tcMar>
          </w:tcPr>
          <w:p w14:paraId="5C86C9C8"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39F7DD31"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74ED6AFA"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532DF247"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24B47891"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3A82264C" w14:textId="77777777" w:rsidR="00711444" w:rsidRPr="004D0DAA" w:rsidRDefault="00711444" w:rsidP="00AA2A4C">
            <w:pPr>
              <w:pStyle w:val="TAC"/>
              <w:rPr>
                <w:lang w:eastAsia="en-US"/>
              </w:rPr>
            </w:pPr>
            <w:r w:rsidRPr="004D0DAA">
              <w:rPr>
                <w:lang w:eastAsia="en-US"/>
              </w:rPr>
              <w:t>Bit</w:t>
            </w:r>
          </w:p>
        </w:tc>
        <w:tc>
          <w:tcPr>
            <w:tcW w:w="624" w:type="dxa"/>
            <w:gridSpan w:val="2"/>
            <w:tcMar>
              <w:top w:w="0" w:type="dxa"/>
              <w:left w:w="28" w:type="dxa"/>
              <w:bottom w:w="0" w:type="dxa"/>
              <w:right w:w="28" w:type="dxa"/>
            </w:tcMar>
          </w:tcPr>
          <w:p w14:paraId="2E04005C" w14:textId="77777777" w:rsidR="00711444" w:rsidRPr="004D0DAA" w:rsidRDefault="00711444" w:rsidP="00AA2A4C">
            <w:pPr>
              <w:pStyle w:val="TAC"/>
              <w:rPr>
                <w:lang w:eastAsia="en-US"/>
              </w:rPr>
            </w:pPr>
          </w:p>
        </w:tc>
        <w:tc>
          <w:tcPr>
            <w:tcW w:w="624" w:type="dxa"/>
            <w:gridSpan w:val="2"/>
            <w:tcMar>
              <w:top w:w="0" w:type="dxa"/>
              <w:left w:w="28" w:type="dxa"/>
              <w:bottom w:w="0" w:type="dxa"/>
              <w:right w:w="28" w:type="dxa"/>
            </w:tcMar>
          </w:tcPr>
          <w:p w14:paraId="6A8E9F96" w14:textId="77777777" w:rsidR="00711444" w:rsidRPr="004D0DAA" w:rsidRDefault="00711444" w:rsidP="00AA2A4C">
            <w:pPr>
              <w:pStyle w:val="TAC"/>
              <w:rPr>
                <w:lang w:eastAsia="en-US"/>
              </w:rPr>
            </w:pPr>
          </w:p>
        </w:tc>
        <w:tc>
          <w:tcPr>
            <w:tcW w:w="1985" w:type="dxa"/>
            <w:gridSpan w:val="2"/>
            <w:tcMar>
              <w:top w:w="0" w:type="dxa"/>
              <w:left w:w="28" w:type="dxa"/>
              <w:bottom w:w="0" w:type="dxa"/>
              <w:right w:w="28" w:type="dxa"/>
            </w:tcMar>
          </w:tcPr>
          <w:p w14:paraId="7C8D3958" w14:textId="77777777" w:rsidR="00711444" w:rsidRPr="004D0DAA" w:rsidRDefault="00711444" w:rsidP="00AA2A4C">
            <w:pPr>
              <w:pStyle w:val="TAC"/>
              <w:rPr>
                <w:lang w:eastAsia="en-US"/>
              </w:rPr>
            </w:pPr>
          </w:p>
        </w:tc>
      </w:tr>
      <w:tr w:rsidR="00711444" w:rsidRPr="004D0DAA" w14:paraId="05540144" w14:textId="77777777" w:rsidTr="00AA2A4C">
        <w:trPr>
          <w:cantSplit/>
          <w:jc w:val="center"/>
        </w:trPr>
        <w:tc>
          <w:tcPr>
            <w:tcW w:w="877" w:type="dxa"/>
            <w:gridSpan w:val="2"/>
            <w:tcMar>
              <w:top w:w="0" w:type="dxa"/>
              <w:left w:w="28" w:type="dxa"/>
              <w:bottom w:w="0" w:type="dxa"/>
              <w:right w:w="28" w:type="dxa"/>
            </w:tcMar>
            <w:hideMark/>
          </w:tcPr>
          <w:p w14:paraId="6D2069F9" w14:textId="77777777" w:rsidR="00711444" w:rsidRPr="004D0DAA" w:rsidRDefault="00711444" w:rsidP="00AA2A4C">
            <w:pPr>
              <w:pStyle w:val="TAC"/>
              <w:rPr>
                <w:lang w:eastAsia="en-US"/>
              </w:rPr>
            </w:pPr>
            <w:r w:rsidRPr="004D0DAA">
              <w:rPr>
                <w:lang w:eastAsia="en-US"/>
              </w:rPr>
              <w:t>8</w:t>
            </w:r>
          </w:p>
        </w:tc>
        <w:tc>
          <w:tcPr>
            <w:tcW w:w="624" w:type="dxa"/>
            <w:gridSpan w:val="2"/>
            <w:tcMar>
              <w:top w:w="0" w:type="dxa"/>
              <w:left w:w="28" w:type="dxa"/>
              <w:bottom w:w="0" w:type="dxa"/>
              <w:right w:w="28" w:type="dxa"/>
            </w:tcMar>
            <w:hideMark/>
          </w:tcPr>
          <w:p w14:paraId="0F8E5452" w14:textId="77777777" w:rsidR="00711444" w:rsidRPr="004D0DAA" w:rsidRDefault="00711444" w:rsidP="00AA2A4C">
            <w:pPr>
              <w:pStyle w:val="TAC"/>
              <w:rPr>
                <w:lang w:eastAsia="en-US"/>
              </w:rPr>
            </w:pPr>
            <w:r w:rsidRPr="004D0DAA">
              <w:rPr>
                <w:lang w:eastAsia="en-US"/>
              </w:rPr>
              <w:t>7</w:t>
            </w:r>
          </w:p>
        </w:tc>
        <w:tc>
          <w:tcPr>
            <w:tcW w:w="624" w:type="dxa"/>
            <w:gridSpan w:val="2"/>
            <w:tcMar>
              <w:top w:w="0" w:type="dxa"/>
              <w:left w:w="28" w:type="dxa"/>
              <w:bottom w:w="0" w:type="dxa"/>
              <w:right w:w="28" w:type="dxa"/>
            </w:tcMar>
            <w:hideMark/>
          </w:tcPr>
          <w:p w14:paraId="62457FC4" w14:textId="77777777" w:rsidR="00711444" w:rsidRPr="004D0DAA" w:rsidRDefault="00711444" w:rsidP="00AA2A4C">
            <w:pPr>
              <w:pStyle w:val="TAC"/>
              <w:rPr>
                <w:lang w:eastAsia="en-US"/>
              </w:rPr>
            </w:pPr>
            <w:r w:rsidRPr="004D0DAA">
              <w:rPr>
                <w:lang w:eastAsia="en-US"/>
              </w:rPr>
              <w:t>6</w:t>
            </w:r>
          </w:p>
        </w:tc>
        <w:tc>
          <w:tcPr>
            <w:tcW w:w="624" w:type="dxa"/>
            <w:gridSpan w:val="2"/>
            <w:tcMar>
              <w:top w:w="0" w:type="dxa"/>
              <w:left w:w="28" w:type="dxa"/>
              <w:bottom w:w="0" w:type="dxa"/>
              <w:right w:w="28" w:type="dxa"/>
            </w:tcMar>
            <w:hideMark/>
          </w:tcPr>
          <w:p w14:paraId="1F4361F7" w14:textId="77777777" w:rsidR="00711444" w:rsidRPr="004D0DAA" w:rsidRDefault="00711444" w:rsidP="00AA2A4C">
            <w:pPr>
              <w:pStyle w:val="TAC"/>
              <w:rPr>
                <w:lang w:eastAsia="en-US"/>
              </w:rPr>
            </w:pPr>
            <w:r w:rsidRPr="004D0DAA">
              <w:rPr>
                <w:lang w:eastAsia="en-US"/>
              </w:rPr>
              <w:t>5</w:t>
            </w:r>
          </w:p>
        </w:tc>
        <w:tc>
          <w:tcPr>
            <w:tcW w:w="624" w:type="dxa"/>
            <w:gridSpan w:val="2"/>
            <w:tcMar>
              <w:top w:w="0" w:type="dxa"/>
              <w:left w:w="28" w:type="dxa"/>
              <w:bottom w:w="0" w:type="dxa"/>
              <w:right w:w="28" w:type="dxa"/>
            </w:tcMar>
            <w:hideMark/>
          </w:tcPr>
          <w:p w14:paraId="7711F973" w14:textId="77777777" w:rsidR="00711444" w:rsidRPr="004D0DAA" w:rsidRDefault="00711444" w:rsidP="00AA2A4C">
            <w:pPr>
              <w:pStyle w:val="TAC"/>
              <w:rPr>
                <w:lang w:eastAsia="en-US"/>
              </w:rPr>
            </w:pPr>
            <w:r w:rsidRPr="004D0DAA">
              <w:rPr>
                <w:lang w:eastAsia="en-US"/>
              </w:rPr>
              <w:t>4</w:t>
            </w:r>
          </w:p>
        </w:tc>
        <w:tc>
          <w:tcPr>
            <w:tcW w:w="624" w:type="dxa"/>
            <w:gridSpan w:val="2"/>
            <w:tcMar>
              <w:top w:w="0" w:type="dxa"/>
              <w:left w:w="28" w:type="dxa"/>
              <w:bottom w:w="0" w:type="dxa"/>
              <w:right w:w="28" w:type="dxa"/>
            </w:tcMar>
            <w:hideMark/>
          </w:tcPr>
          <w:p w14:paraId="079B9DE0" w14:textId="77777777" w:rsidR="00711444" w:rsidRPr="004D0DAA" w:rsidRDefault="00711444" w:rsidP="00AA2A4C">
            <w:pPr>
              <w:pStyle w:val="TAC"/>
              <w:rPr>
                <w:lang w:eastAsia="en-US"/>
              </w:rPr>
            </w:pPr>
            <w:r w:rsidRPr="004D0DAA">
              <w:rPr>
                <w:lang w:eastAsia="en-US"/>
              </w:rPr>
              <w:t>3</w:t>
            </w:r>
          </w:p>
        </w:tc>
        <w:tc>
          <w:tcPr>
            <w:tcW w:w="624" w:type="dxa"/>
            <w:gridSpan w:val="2"/>
            <w:tcMar>
              <w:top w:w="0" w:type="dxa"/>
              <w:left w:w="28" w:type="dxa"/>
              <w:bottom w:w="0" w:type="dxa"/>
              <w:right w:w="28" w:type="dxa"/>
            </w:tcMar>
            <w:hideMark/>
          </w:tcPr>
          <w:p w14:paraId="78045FD5" w14:textId="77777777" w:rsidR="00711444" w:rsidRPr="004D0DAA" w:rsidRDefault="00711444" w:rsidP="00AA2A4C">
            <w:pPr>
              <w:pStyle w:val="TAC"/>
              <w:rPr>
                <w:lang w:eastAsia="en-US"/>
              </w:rPr>
            </w:pPr>
            <w:r w:rsidRPr="004D0DAA">
              <w:rPr>
                <w:lang w:eastAsia="en-US"/>
              </w:rPr>
              <w:t>2</w:t>
            </w:r>
          </w:p>
        </w:tc>
        <w:tc>
          <w:tcPr>
            <w:tcW w:w="624" w:type="dxa"/>
            <w:gridSpan w:val="2"/>
            <w:tcMar>
              <w:top w:w="0" w:type="dxa"/>
              <w:left w:w="28" w:type="dxa"/>
              <w:bottom w:w="0" w:type="dxa"/>
              <w:right w:w="28" w:type="dxa"/>
            </w:tcMar>
            <w:hideMark/>
          </w:tcPr>
          <w:p w14:paraId="5ADD56D4" w14:textId="77777777" w:rsidR="00711444" w:rsidRPr="004D0DAA" w:rsidRDefault="00711444" w:rsidP="00AA2A4C">
            <w:pPr>
              <w:pStyle w:val="TAC"/>
              <w:rPr>
                <w:lang w:eastAsia="en-US"/>
              </w:rPr>
            </w:pPr>
            <w:r w:rsidRPr="004D0DAA">
              <w:rPr>
                <w:lang w:eastAsia="en-US"/>
              </w:rPr>
              <w:t>1</w:t>
            </w:r>
          </w:p>
        </w:tc>
        <w:tc>
          <w:tcPr>
            <w:tcW w:w="1985" w:type="dxa"/>
            <w:gridSpan w:val="2"/>
            <w:tcMar>
              <w:top w:w="0" w:type="dxa"/>
              <w:left w:w="28" w:type="dxa"/>
              <w:bottom w:w="0" w:type="dxa"/>
              <w:right w:w="28" w:type="dxa"/>
            </w:tcMar>
          </w:tcPr>
          <w:p w14:paraId="7858E4F2" w14:textId="77777777" w:rsidR="00711444" w:rsidRPr="004D0DAA" w:rsidRDefault="00711444" w:rsidP="00AA2A4C">
            <w:pPr>
              <w:pStyle w:val="TAC"/>
              <w:rPr>
                <w:lang w:eastAsia="en-US"/>
              </w:rPr>
            </w:pPr>
          </w:p>
        </w:tc>
      </w:tr>
      <w:tr w:rsidR="00711444" w:rsidRPr="004D0DAA" w14:paraId="5042A6A3" w14:textId="77777777" w:rsidTr="00AA2A4C">
        <w:trPr>
          <w:gridAfter w:val="1"/>
          <w:wAfter w:w="111" w:type="dxa"/>
          <w:cantSplit/>
          <w:jc w:val="center"/>
        </w:trPr>
        <w:tc>
          <w:tcPr>
            <w:tcW w:w="766" w:type="dxa"/>
            <w:tcBorders>
              <w:top w:val="single" w:sz="4" w:space="0" w:color="auto"/>
              <w:left w:val="single" w:sz="8" w:space="0" w:color="auto"/>
              <w:bottom w:val="nil"/>
              <w:right w:val="nil"/>
            </w:tcBorders>
            <w:tcMar>
              <w:top w:w="0" w:type="dxa"/>
              <w:left w:w="28" w:type="dxa"/>
              <w:bottom w:w="0" w:type="dxa"/>
              <w:right w:w="28" w:type="dxa"/>
            </w:tcMar>
          </w:tcPr>
          <w:p w14:paraId="02C1502B"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4D2D3984"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5B046A20"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5368310E"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5F2EC159"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1FBC5651" w14:textId="77777777" w:rsidR="00711444" w:rsidRPr="004D0DAA" w:rsidRDefault="00711444" w:rsidP="00AA2A4C"/>
        </w:tc>
        <w:tc>
          <w:tcPr>
            <w:tcW w:w="624" w:type="dxa"/>
            <w:gridSpan w:val="2"/>
            <w:tcBorders>
              <w:top w:val="single" w:sz="4" w:space="0" w:color="auto"/>
            </w:tcBorders>
            <w:tcMar>
              <w:top w:w="0" w:type="dxa"/>
              <w:left w:w="28" w:type="dxa"/>
              <w:bottom w:w="0" w:type="dxa"/>
              <w:right w:w="28" w:type="dxa"/>
            </w:tcMar>
          </w:tcPr>
          <w:p w14:paraId="174812E2" w14:textId="77777777" w:rsidR="00711444" w:rsidRPr="004D0DAA" w:rsidRDefault="00711444" w:rsidP="00AA2A4C"/>
        </w:tc>
        <w:tc>
          <w:tcPr>
            <w:tcW w:w="624" w:type="dxa"/>
            <w:gridSpan w:val="2"/>
            <w:tcBorders>
              <w:top w:val="single" w:sz="4" w:space="0" w:color="auto"/>
              <w:left w:val="nil"/>
              <w:bottom w:val="nil"/>
              <w:right w:val="single" w:sz="8" w:space="0" w:color="auto"/>
            </w:tcBorders>
            <w:tcMar>
              <w:top w:w="0" w:type="dxa"/>
              <w:left w:w="28" w:type="dxa"/>
              <w:bottom w:w="0" w:type="dxa"/>
              <w:right w:w="28" w:type="dxa"/>
            </w:tcMar>
          </w:tcPr>
          <w:p w14:paraId="43091715" w14:textId="77777777" w:rsidR="00711444" w:rsidRPr="004D0DAA" w:rsidRDefault="00711444" w:rsidP="00AA2A4C"/>
        </w:tc>
        <w:tc>
          <w:tcPr>
            <w:tcW w:w="1985" w:type="dxa"/>
            <w:gridSpan w:val="2"/>
            <w:tcMar>
              <w:top w:w="0" w:type="dxa"/>
              <w:left w:w="28" w:type="dxa"/>
              <w:bottom w:w="0" w:type="dxa"/>
              <w:right w:w="28" w:type="dxa"/>
            </w:tcMar>
            <w:hideMark/>
          </w:tcPr>
          <w:p w14:paraId="4EC75632" w14:textId="77777777" w:rsidR="00711444" w:rsidRPr="004D0DAA" w:rsidRDefault="00711444" w:rsidP="00AA2A4C">
            <w:pPr>
              <w:pStyle w:val="TAC"/>
              <w:rPr>
                <w:lang w:eastAsia="en-US"/>
              </w:rPr>
            </w:pPr>
            <w:r w:rsidRPr="004D0DAA">
              <w:rPr>
                <w:lang w:eastAsia="en-US"/>
              </w:rPr>
              <w:t>Octet 1</w:t>
            </w:r>
          </w:p>
        </w:tc>
      </w:tr>
      <w:tr w:rsidR="00711444" w:rsidRPr="004D0DAA" w14:paraId="77AB7EA1" w14:textId="77777777" w:rsidTr="00AA2A4C">
        <w:trPr>
          <w:gridAfter w:val="1"/>
          <w:wAfter w:w="111" w:type="dxa"/>
          <w:cantSplit/>
          <w:jc w:val="center"/>
        </w:trPr>
        <w:tc>
          <w:tcPr>
            <w:tcW w:w="5134" w:type="dxa"/>
            <w:gridSpan w:val="15"/>
            <w:tcBorders>
              <w:top w:val="nil"/>
              <w:left w:val="single" w:sz="8" w:space="0" w:color="auto"/>
              <w:right w:val="single" w:sz="8" w:space="0" w:color="auto"/>
            </w:tcBorders>
            <w:tcMar>
              <w:top w:w="0" w:type="dxa"/>
              <w:left w:w="28" w:type="dxa"/>
              <w:bottom w:w="0" w:type="dxa"/>
              <w:right w:w="28" w:type="dxa"/>
            </w:tcMar>
          </w:tcPr>
          <w:p w14:paraId="27FF9954" w14:textId="77777777" w:rsidR="00711444" w:rsidRPr="004D0DAA" w:rsidRDefault="00711444" w:rsidP="00AA2A4C">
            <w:pPr>
              <w:jc w:val="center"/>
            </w:pPr>
            <w:r w:rsidRPr="004D0DAA">
              <w:t>Control Message Contents</w:t>
            </w:r>
          </w:p>
        </w:tc>
        <w:tc>
          <w:tcPr>
            <w:tcW w:w="1985" w:type="dxa"/>
            <w:gridSpan w:val="2"/>
            <w:tcMar>
              <w:top w:w="0" w:type="dxa"/>
              <w:left w:w="28" w:type="dxa"/>
              <w:bottom w:w="0" w:type="dxa"/>
              <w:right w:w="28" w:type="dxa"/>
            </w:tcMar>
          </w:tcPr>
          <w:p w14:paraId="13A9E464" w14:textId="77777777" w:rsidR="00711444" w:rsidRPr="004D0DAA" w:rsidRDefault="00711444" w:rsidP="00AA2A4C">
            <w:pPr>
              <w:pStyle w:val="TAC"/>
              <w:rPr>
                <w:lang w:eastAsia="en-US"/>
              </w:rPr>
            </w:pPr>
            <w:r w:rsidRPr="004D0DAA">
              <w:rPr>
                <w:lang w:eastAsia="en-US"/>
              </w:rPr>
              <w:t>…</w:t>
            </w:r>
          </w:p>
        </w:tc>
      </w:tr>
      <w:tr w:rsidR="00711444" w:rsidRPr="004D0DAA" w14:paraId="12BB0082" w14:textId="77777777" w:rsidTr="00AA2A4C">
        <w:trPr>
          <w:gridAfter w:val="1"/>
          <w:wAfter w:w="111" w:type="dxa"/>
          <w:cantSplit/>
          <w:jc w:val="center"/>
        </w:trPr>
        <w:tc>
          <w:tcPr>
            <w:tcW w:w="5134" w:type="dxa"/>
            <w:gridSpan w:val="15"/>
            <w:tcBorders>
              <w:left w:val="single" w:sz="8" w:space="0" w:color="auto"/>
              <w:bottom w:val="single" w:sz="4" w:space="0" w:color="auto"/>
              <w:right w:val="single" w:sz="8" w:space="0" w:color="auto"/>
            </w:tcBorders>
            <w:tcMar>
              <w:top w:w="0" w:type="dxa"/>
              <w:left w:w="28" w:type="dxa"/>
              <w:bottom w:w="0" w:type="dxa"/>
              <w:right w:w="28" w:type="dxa"/>
            </w:tcMar>
          </w:tcPr>
          <w:p w14:paraId="0925F06F" w14:textId="77777777" w:rsidR="00711444" w:rsidRPr="004D0DAA" w:rsidRDefault="00711444" w:rsidP="00AA2A4C">
            <w:pPr>
              <w:jc w:val="center"/>
            </w:pPr>
          </w:p>
        </w:tc>
        <w:tc>
          <w:tcPr>
            <w:tcW w:w="1985" w:type="dxa"/>
            <w:gridSpan w:val="2"/>
            <w:tcMar>
              <w:top w:w="0" w:type="dxa"/>
              <w:left w:w="28" w:type="dxa"/>
              <w:bottom w:w="0" w:type="dxa"/>
              <w:right w:w="28" w:type="dxa"/>
            </w:tcMar>
            <w:hideMark/>
          </w:tcPr>
          <w:p w14:paraId="0F85953D" w14:textId="77777777" w:rsidR="00711444" w:rsidRPr="004D0DAA" w:rsidRDefault="00711444" w:rsidP="00AA2A4C">
            <w:pPr>
              <w:pStyle w:val="TAC"/>
              <w:rPr>
                <w:lang w:eastAsia="en-US"/>
              </w:rPr>
            </w:pPr>
            <w:r w:rsidRPr="004D0DAA">
              <w:rPr>
                <w:lang w:eastAsia="en-US"/>
              </w:rPr>
              <w:t>Octet 8</w:t>
            </w:r>
          </w:p>
        </w:tc>
      </w:tr>
    </w:tbl>
    <w:p w14:paraId="2B0F294F" w14:textId="77777777" w:rsidR="00711444" w:rsidRPr="004D0DAA" w:rsidRDefault="00711444" w:rsidP="00711444">
      <w:pPr>
        <w:pStyle w:val="NF"/>
        <w:rPr>
          <w:rFonts w:cs="Arial"/>
          <w:szCs w:val="18"/>
        </w:rPr>
      </w:pPr>
    </w:p>
    <w:p w14:paraId="7FB08A5F" w14:textId="77777777" w:rsidR="00711444" w:rsidRPr="004D0DAA" w:rsidRDefault="00711444" w:rsidP="00711444">
      <w:pPr>
        <w:pStyle w:val="NF"/>
        <w:rPr>
          <w:rFonts w:cs="Arial"/>
          <w:szCs w:val="18"/>
        </w:rPr>
      </w:pPr>
    </w:p>
    <w:p w14:paraId="32B95413" w14:textId="77777777" w:rsidR="00711444" w:rsidRPr="004D0DAA" w:rsidRDefault="00711444" w:rsidP="00711444">
      <w:pPr>
        <w:pStyle w:val="TF"/>
      </w:pPr>
      <w:r w:rsidRPr="004D0DAA">
        <w:t>Figure 10.3.2.2: EC-GSM-IoT Uplink RLC/MAC control block.</w:t>
      </w:r>
    </w:p>
    <w:p w14:paraId="0ADB3698" w14:textId="77777777" w:rsidR="00711444" w:rsidRPr="004D0DAA" w:rsidRDefault="00711444" w:rsidP="00711444">
      <w:pPr>
        <w:pStyle w:val="Heading2"/>
      </w:pPr>
      <w:bookmarkStart w:id="512" w:name="_Toc516669694"/>
      <w:r w:rsidRPr="004D0DAA">
        <w:t>10.3a</w:t>
      </w:r>
      <w:r w:rsidRPr="004D0DAA">
        <w:tab/>
        <w:t>EGPRS and EC-GSM-IoT RLC data blocks and RLC/MAC headers</w:t>
      </w:r>
      <w:bookmarkEnd w:id="512"/>
    </w:p>
    <w:p w14:paraId="16CA28F5" w14:textId="77777777" w:rsidR="00711444" w:rsidRPr="004D0DAA" w:rsidRDefault="00711444" w:rsidP="00711444">
      <w:pPr>
        <w:pStyle w:val="Heading3"/>
      </w:pPr>
      <w:bookmarkStart w:id="513" w:name="_Toc516669695"/>
      <w:r w:rsidRPr="004D0DAA">
        <w:t>10.3a.0</w:t>
      </w:r>
      <w:r w:rsidRPr="004D0DAA">
        <w:tab/>
        <w:t>General</w:t>
      </w:r>
      <w:bookmarkEnd w:id="513"/>
    </w:p>
    <w:p w14:paraId="6491FA45" w14:textId="77777777" w:rsidR="00711444" w:rsidRPr="004D0DAA" w:rsidRDefault="00711444" w:rsidP="00711444">
      <w:r w:rsidRPr="004D0DAA">
        <w:t>The EGPRS and EC-GSM-IoT RLC data block consists of a FBI (downlink) or TI (uplink) field and an E field followed by an EGPRS RLC data unit. The EGPRS RLC data unit is a sequence of N2 octets that are numbered from 1 to N2.</w:t>
      </w:r>
    </w:p>
    <w:p w14:paraId="4F3B1CE8" w14:textId="77777777" w:rsidR="00711444" w:rsidRPr="004D0DAA" w:rsidRDefault="00711444" w:rsidP="00711444">
      <w:pPr>
        <w:pStyle w:val="NO"/>
      </w:pPr>
      <w:r w:rsidRPr="004D0DAA">
        <w:t>NOTE:</w:t>
      </w:r>
      <w:r w:rsidRPr="004D0DAA">
        <w:tab/>
        <w:t>The octets of an EGPRS RLC data unit are not necessarily aligned with the octets of the RLC/MAC block. An octet of the EGPRS RLC data unit may thus span across the boundary between two consecutive octets of the RLC/MAC block.</w:t>
      </w:r>
    </w:p>
    <w:p w14:paraId="29D0C314" w14:textId="77777777" w:rsidR="00711444" w:rsidRPr="004D0DAA" w:rsidRDefault="00711444" w:rsidP="00711444">
      <w:r w:rsidRPr="004D0DAA">
        <w:t>The RLC/MAC block format convention of sub-clause 10.0b for EGPRS and EC-GSM-IoT applies when the components of the EGPRS and EC-GSM-IoT RLC data block are assembled into the RLC/MAC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097"/>
        <w:gridCol w:w="2433"/>
      </w:tblGrid>
      <w:tr w:rsidR="00711444" w:rsidRPr="004D0DAA" w14:paraId="116CB653" w14:textId="77777777" w:rsidTr="00AA2A4C">
        <w:trPr>
          <w:cantSplit/>
          <w:jc w:val="center"/>
        </w:trPr>
        <w:tc>
          <w:tcPr>
            <w:tcW w:w="1097" w:type="dxa"/>
          </w:tcPr>
          <w:p w14:paraId="48D8A517" w14:textId="77777777" w:rsidR="00711444" w:rsidRPr="004D0DAA" w:rsidRDefault="00711444" w:rsidP="00AA2A4C">
            <w:pPr>
              <w:pStyle w:val="TAC"/>
              <w:rPr>
                <w:lang w:eastAsia="en-US"/>
              </w:rPr>
            </w:pPr>
            <w:r w:rsidRPr="004D0DAA">
              <w:rPr>
                <w:lang w:eastAsia="en-US"/>
              </w:rPr>
              <w:t>E</w:t>
            </w:r>
          </w:p>
        </w:tc>
        <w:tc>
          <w:tcPr>
            <w:tcW w:w="1097" w:type="dxa"/>
          </w:tcPr>
          <w:p w14:paraId="3A42407E" w14:textId="77777777" w:rsidR="00711444" w:rsidRPr="004D0DAA" w:rsidRDefault="00711444" w:rsidP="00AA2A4C">
            <w:pPr>
              <w:pStyle w:val="TAC"/>
              <w:rPr>
                <w:lang w:eastAsia="en-US"/>
              </w:rPr>
            </w:pPr>
            <w:r w:rsidRPr="004D0DAA">
              <w:rPr>
                <w:lang w:eastAsia="en-US"/>
              </w:rPr>
              <w:t>FBI/TI</w:t>
            </w:r>
          </w:p>
        </w:tc>
        <w:tc>
          <w:tcPr>
            <w:tcW w:w="2433" w:type="dxa"/>
          </w:tcPr>
          <w:p w14:paraId="1AB0F326" w14:textId="77777777" w:rsidR="00711444" w:rsidRPr="004D0DAA" w:rsidRDefault="00711444" w:rsidP="00AA2A4C">
            <w:pPr>
              <w:pStyle w:val="TAC"/>
              <w:rPr>
                <w:lang w:eastAsia="en-US"/>
              </w:rPr>
            </w:pPr>
            <w:r w:rsidRPr="004D0DAA">
              <w:rPr>
                <w:lang w:eastAsia="en-US"/>
              </w:rPr>
              <w:t>EGPRS RLC data unit</w:t>
            </w:r>
          </w:p>
        </w:tc>
      </w:tr>
    </w:tbl>
    <w:p w14:paraId="129B4680" w14:textId="77777777" w:rsidR="00711444" w:rsidRPr="004D0DAA" w:rsidRDefault="00711444" w:rsidP="00711444">
      <w:pPr>
        <w:pStyle w:val="TF"/>
      </w:pPr>
      <w:r w:rsidRPr="004D0DAA">
        <w:t>Figure 10.3a.0.1: Components of the EGPRS and EC-GSM-IoT RLC data block</w:t>
      </w:r>
    </w:p>
    <w:p w14:paraId="69EC66C0" w14:textId="77777777" w:rsidR="00711444" w:rsidRPr="004D0DAA" w:rsidRDefault="00711444" w:rsidP="00711444">
      <w:r w:rsidRPr="004D0DAA">
        <w:t>The size of the EGPRS RLC data unit for each of the channel coding schemes is shown in table 10.3a.0.1.</w:t>
      </w:r>
    </w:p>
    <w:p w14:paraId="2D2ED42E" w14:textId="77777777" w:rsidR="00711444" w:rsidRPr="004D0DAA" w:rsidRDefault="00711444" w:rsidP="00711444">
      <w:pPr>
        <w:pStyle w:val="TH"/>
      </w:pPr>
      <w:r w:rsidRPr="004D0DAA">
        <w:lastRenderedPageBreak/>
        <w:t>Table 10.3a.0.1: EGPRS and EC-GSM-IoT RLC data unit size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2"/>
        <w:gridCol w:w="3329"/>
        <w:gridCol w:w="1036"/>
      </w:tblGrid>
      <w:tr w:rsidR="00711444" w:rsidRPr="004D0DAA" w14:paraId="47390B02" w14:textId="77777777" w:rsidTr="00AA2A4C">
        <w:trPr>
          <w:cantSplit/>
          <w:jc w:val="center"/>
        </w:trPr>
        <w:tc>
          <w:tcPr>
            <w:tcW w:w="2252" w:type="dxa"/>
            <w:tcBorders>
              <w:bottom w:val="nil"/>
            </w:tcBorders>
          </w:tcPr>
          <w:p w14:paraId="788EA8EC" w14:textId="77777777" w:rsidR="00711444" w:rsidRPr="004D0DAA" w:rsidRDefault="00711444" w:rsidP="00AA2A4C">
            <w:pPr>
              <w:pStyle w:val="TAH"/>
              <w:rPr>
                <w:lang w:eastAsia="en-US"/>
              </w:rPr>
            </w:pPr>
            <w:r w:rsidRPr="004D0DAA">
              <w:rPr>
                <w:lang w:eastAsia="en-US"/>
              </w:rPr>
              <w:t>Channel Coding Scheme</w:t>
            </w:r>
          </w:p>
        </w:tc>
        <w:tc>
          <w:tcPr>
            <w:tcW w:w="3329" w:type="dxa"/>
            <w:tcBorders>
              <w:bottom w:val="nil"/>
            </w:tcBorders>
          </w:tcPr>
          <w:p w14:paraId="13F35921" w14:textId="77777777" w:rsidR="00711444" w:rsidRPr="004D0DAA" w:rsidRDefault="00711444" w:rsidP="00AA2A4C">
            <w:pPr>
              <w:pStyle w:val="TAH"/>
              <w:rPr>
                <w:lang w:eastAsia="en-US"/>
              </w:rPr>
            </w:pPr>
            <w:r w:rsidRPr="004D0DAA">
              <w:rPr>
                <w:lang w:eastAsia="en-US"/>
              </w:rPr>
              <w:t>EGPRS RLC data unit size (N2)</w:t>
            </w:r>
            <w:r w:rsidRPr="004D0DAA">
              <w:rPr>
                <w:lang w:eastAsia="en-US"/>
              </w:rPr>
              <w:br/>
              <w:t>(octets)</w:t>
            </w:r>
          </w:p>
        </w:tc>
        <w:tc>
          <w:tcPr>
            <w:tcW w:w="1036" w:type="dxa"/>
            <w:tcBorders>
              <w:bottom w:val="nil"/>
            </w:tcBorders>
          </w:tcPr>
          <w:p w14:paraId="79AEEFF9" w14:textId="77777777" w:rsidR="00711444" w:rsidRPr="004D0DAA" w:rsidRDefault="00711444" w:rsidP="00AA2A4C">
            <w:pPr>
              <w:pStyle w:val="TAH"/>
              <w:rPr>
                <w:lang w:eastAsia="en-US"/>
              </w:rPr>
            </w:pPr>
            <w:r w:rsidRPr="004D0DAA">
              <w:rPr>
                <w:lang w:eastAsia="en-US"/>
              </w:rPr>
              <w:t>Family</w:t>
            </w:r>
          </w:p>
        </w:tc>
      </w:tr>
      <w:tr w:rsidR="00711444" w:rsidRPr="004D0DAA" w14:paraId="66DD026A" w14:textId="77777777" w:rsidTr="00AA2A4C">
        <w:trPr>
          <w:cantSplit/>
          <w:jc w:val="center"/>
        </w:trPr>
        <w:tc>
          <w:tcPr>
            <w:tcW w:w="2252" w:type="dxa"/>
          </w:tcPr>
          <w:p w14:paraId="726826C3" w14:textId="77777777" w:rsidR="00711444" w:rsidRPr="004D0DAA" w:rsidRDefault="00711444" w:rsidP="00AA2A4C">
            <w:pPr>
              <w:pStyle w:val="TAC"/>
              <w:rPr>
                <w:lang w:eastAsia="en-US"/>
              </w:rPr>
            </w:pPr>
            <w:r w:rsidRPr="004D0DAA">
              <w:rPr>
                <w:lang w:eastAsia="en-US"/>
              </w:rPr>
              <w:t>MCS-1</w:t>
            </w:r>
          </w:p>
        </w:tc>
        <w:tc>
          <w:tcPr>
            <w:tcW w:w="3329" w:type="dxa"/>
          </w:tcPr>
          <w:p w14:paraId="20A3FB48" w14:textId="77777777" w:rsidR="00711444" w:rsidRPr="004D0DAA" w:rsidRDefault="00711444" w:rsidP="00AA2A4C">
            <w:pPr>
              <w:pStyle w:val="TAC"/>
              <w:rPr>
                <w:lang w:eastAsia="en-US"/>
              </w:rPr>
            </w:pPr>
            <w:r w:rsidRPr="004D0DAA">
              <w:rPr>
                <w:lang w:eastAsia="en-US"/>
              </w:rPr>
              <w:t>22</w:t>
            </w:r>
          </w:p>
        </w:tc>
        <w:tc>
          <w:tcPr>
            <w:tcW w:w="1036" w:type="dxa"/>
          </w:tcPr>
          <w:p w14:paraId="4DEBB71F" w14:textId="77777777" w:rsidR="00711444" w:rsidRPr="004D0DAA" w:rsidRDefault="00711444" w:rsidP="00AA2A4C">
            <w:pPr>
              <w:pStyle w:val="TAC"/>
              <w:rPr>
                <w:lang w:eastAsia="en-US"/>
              </w:rPr>
            </w:pPr>
            <w:r w:rsidRPr="004D0DAA">
              <w:rPr>
                <w:lang w:eastAsia="en-US"/>
              </w:rPr>
              <w:t>C</w:t>
            </w:r>
          </w:p>
        </w:tc>
      </w:tr>
      <w:tr w:rsidR="00711444" w:rsidRPr="004D0DAA" w14:paraId="235A55E3" w14:textId="77777777" w:rsidTr="00AA2A4C">
        <w:trPr>
          <w:cantSplit/>
          <w:jc w:val="center"/>
        </w:trPr>
        <w:tc>
          <w:tcPr>
            <w:tcW w:w="2252" w:type="dxa"/>
          </w:tcPr>
          <w:p w14:paraId="47B29AC3" w14:textId="77777777" w:rsidR="00711444" w:rsidRPr="004D0DAA" w:rsidRDefault="00711444" w:rsidP="00AA2A4C">
            <w:pPr>
              <w:pStyle w:val="TAC"/>
              <w:rPr>
                <w:lang w:eastAsia="en-US"/>
              </w:rPr>
            </w:pPr>
            <w:r w:rsidRPr="004D0DAA">
              <w:rPr>
                <w:lang w:eastAsia="en-US"/>
              </w:rPr>
              <w:t>MCS-2</w:t>
            </w:r>
          </w:p>
        </w:tc>
        <w:tc>
          <w:tcPr>
            <w:tcW w:w="3329" w:type="dxa"/>
          </w:tcPr>
          <w:p w14:paraId="29E80727" w14:textId="77777777" w:rsidR="00711444" w:rsidRPr="004D0DAA" w:rsidRDefault="00711444" w:rsidP="00AA2A4C">
            <w:pPr>
              <w:pStyle w:val="TAC"/>
              <w:rPr>
                <w:lang w:eastAsia="en-US"/>
              </w:rPr>
            </w:pPr>
            <w:r w:rsidRPr="004D0DAA">
              <w:rPr>
                <w:lang w:eastAsia="en-US"/>
              </w:rPr>
              <w:t>28</w:t>
            </w:r>
          </w:p>
        </w:tc>
        <w:tc>
          <w:tcPr>
            <w:tcW w:w="1036" w:type="dxa"/>
          </w:tcPr>
          <w:p w14:paraId="4567349D" w14:textId="77777777" w:rsidR="00711444" w:rsidRPr="004D0DAA" w:rsidRDefault="00711444" w:rsidP="00AA2A4C">
            <w:pPr>
              <w:pStyle w:val="TAC"/>
              <w:rPr>
                <w:lang w:eastAsia="en-US"/>
              </w:rPr>
            </w:pPr>
            <w:r w:rsidRPr="004D0DAA">
              <w:rPr>
                <w:lang w:eastAsia="en-US"/>
              </w:rPr>
              <w:t>B</w:t>
            </w:r>
          </w:p>
        </w:tc>
      </w:tr>
      <w:tr w:rsidR="00711444" w:rsidRPr="004D0DAA" w14:paraId="3B5BA256" w14:textId="77777777" w:rsidTr="00AA2A4C">
        <w:trPr>
          <w:cantSplit/>
          <w:jc w:val="center"/>
        </w:trPr>
        <w:tc>
          <w:tcPr>
            <w:tcW w:w="2252" w:type="dxa"/>
          </w:tcPr>
          <w:p w14:paraId="5B9D99B0" w14:textId="77777777" w:rsidR="00711444" w:rsidRPr="004D0DAA" w:rsidRDefault="00711444" w:rsidP="00AA2A4C">
            <w:pPr>
              <w:pStyle w:val="TAC"/>
              <w:rPr>
                <w:lang w:eastAsia="en-US"/>
              </w:rPr>
            </w:pPr>
            <w:r w:rsidRPr="004D0DAA">
              <w:rPr>
                <w:lang w:eastAsia="en-US"/>
              </w:rPr>
              <w:t>MCS-3 with padding</w:t>
            </w:r>
          </w:p>
        </w:tc>
        <w:tc>
          <w:tcPr>
            <w:tcW w:w="3329" w:type="dxa"/>
          </w:tcPr>
          <w:p w14:paraId="481DE5EE" w14:textId="77777777" w:rsidR="00711444" w:rsidRPr="004D0DAA" w:rsidRDefault="00711444" w:rsidP="00AA2A4C">
            <w:pPr>
              <w:pStyle w:val="TAC"/>
              <w:rPr>
                <w:lang w:eastAsia="en-US"/>
              </w:rPr>
            </w:pPr>
            <w:r w:rsidRPr="004D0DAA">
              <w:rPr>
                <w:lang w:eastAsia="en-US"/>
              </w:rPr>
              <w:t>31</w:t>
            </w:r>
          </w:p>
        </w:tc>
        <w:tc>
          <w:tcPr>
            <w:tcW w:w="1036" w:type="dxa"/>
          </w:tcPr>
          <w:p w14:paraId="3E0AB201" w14:textId="77777777" w:rsidR="00711444" w:rsidRPr="004D0DAA" w:rsidRDefault="00711444" w:rsidP="00AA2A4C">
            <w:pPr>
              <w:pStyle w:val="TAC"/>
              <w:rPr>
                <w:lang w:eastAsia="en-US"/>
              </w:rPr>
            </w:pPr>
            <w:r w:rsidRPr="004D0DAA">
              <w:rPr>
                <w:lang w:eastAsia="en-US"/>
              </w:rPr>
              <w:t>A padding</w:t>
            </w:r>
          </w:p>
        </w:tc>
      </w:tr>
      <w:tr w:rsidR="00711444" w:rsidRPr="004D0DAA" w14:paraId="002CD969" w14:textId="77777777" w:rsidTr="00AA2A4C">
        <w:trPr>
          <w:cantSplit/>
          <w:jc w:val="center"/>
        </w:trPr>
        <w:tc>
          <w:tcPr>
            <w:tcW w:w="2252" w:type="dxa"/>
          </w:tcPr>
          <w:p w14:paraId="456F8C24" w14:textId="77777777" w:rsidR="00711444" w:rsidRPr="004D0DAA" w:rsidRDefault="00711444" w:rsidP="00AA2A4C">
            <w:pPr>
              <w:pStyle w:val="TAC"/>
              <w:rPr>
                <w:lang w:eastAsia="en-US"/>
              </w:rPr>
            </w:pPr>
            <w:r w:rsidRPr="004D0DAA">
              <w:rPr>
                <w:lang w:eastAsia="en-US"/>
              </w:rPr>
              <w:t>MCS-3</w:t>
            </w:r>
          </w:p>
        </w:tc>
        <w:tc>
          <w:tcPr>
            <w:tcW w:w="3329" w:type="dxa"/>
          </w:tcPr>
          <w:p w14:paraId="6360252E" w14:textId="77777777" w:rsidR="00711444" w:rsidRPr="004D0DAA" w:rsidRDefault="00711444" w:rsidP="00AA2A4C">
            <w:pPr>
              <w:pStyle w:val="TAC"/>
              <w:rPr>
                <w:lang w:eastAsia="en-US"/>
              </w:rPr>
            </w:pPr>
            <w:r w:rsidRPr="004D0DAA">
              <w:rPr>
                <w:lang w:eastAsia="en-US"/>
              </w:rPr>
              <w:t>37</w:t>
            </w:r>
          </w:p>
        </w:tc>
        <w:tc>
          <w:tcPr>
            <w:tcW w:w="1036" w:type="dxa"/>
          </w:tcPr>
          <w:p w14:paraId="7A7F4952" w14:textId="77777777" w:rsidR="00711444" w:rsidRPr="004D0DAA" w:rsidRDefault="00711444" w:rsidP="00AA2A4C">
            <w:pPr>
              <w:pStyle w:val="TAC"/>
              <w:rPr>
                <w:lang w:eastAsia="en-US"/>
              </w:rPr>
            </w:pPr>
            <w:r w:rsidRPr="004D0DAA">
              <w:rPr>
                <w:lang w:eastAsia="en-US"/>
              </w:rPr>
              <w:t>A padding / A</w:t>
            </w:r>
          </w:p>
        </w:tc>
      </w:tr>
      <w:tr w:rsidR="00711444" w:rsidRPr="004D0DAA" w14:paraId="1D06F5EF" w14:textId="77777777" w:rsidTr="00AA2A4C">
        <w:trPr>
          <w:cantSplit/>
          <w:jc w:val="center"/>
        </w:trPr>
        <w:tc>
          <w:tcPr>
            <w:tcW w:w="2252" w:type="dxa"/>
          </w:tcPr>
          <w:p w14:paraId="539D461E" w14:textId="77777777" w:rsidR="00711444" w:rsidRPr="004D0DAA" w:rsidRDefault="00711444" w:rsidP="00AA2A4C">
            <w:pPr>
              <w:pStyle w:val="TAC"/>
              <w:rPr>
                <w:lang w:eastAsia="en-US"/>
              </w:rPr>
            </w:pPr>
            <w:r w:rsidRPr="004D0DAA">
              <w:rPr>
                <w:lang w:eastAsia="en-US"/>
              </w:rPr>
              <w:t>MCS-4</w:t>
            </w:r>
          </w:p>
        </w:tc>
        <w:tc>
          <w:tcPr>
            <w:tcW w:w="3329" w:type="dxa"/>
          </w:tcPr>
          <w:p w14:paraId="5397D6D9" w14:textId="77777777" w:rsidR="00711444" w:rsidRPr="004D0DAA" w:rsidRDefault="00711444" w:rsidP="00AA2A4C">
            <w:pPr>
              <w:pStyle w:val="TAC"/>
              <w:rPr>
                <w:lang w:eastAsia="en-US"/>
              </w:rPr>
            </w:pPr>
            <w:r w:rsidRPr="004D0DAA">
              <w:rPr>
                <w:lang w:eastAsia="en-US"/>
              </w:rPr>
              <w:t>44</w:t>
            </w:r>
          </w:p>
        </w:tc>
        <w:tc>
          <w:tcPr>
            <w:tcW w:w="1036" w:type="dxa"/>
          </w:tcPr>
          <w:p w14:paraId="031A24EB" w14:textId="77777777" w:rsidR="00711444" w:rsidRPr="004D0DAA" w:rsidRDefault="00711444" w:rsidP="00AA2A4C">
            <w:pPr>
              <w:pStyle w:val="TAC"/>
              <w:rPr>
                <w:lang w:eastAsia="en-US"/>
              </w:rPr>
            </w:pPr>
            <w:r w:rsidRPr="004D0DAA">
              <w:rPr>
                <w:lang w:eastAsia="en-US"/>
              </w:rPr>
              <w:t>C</w:t>
            </w:r>
          </w:p>
        </w:tc>
      </w:tr>
      <w:tr w:rsidR="00711444" w:rsidRPr="004D0DAA" w14:paraId="6CE08C61" w14:textId="77777777" w:rsidTr="00AA2A4C">
        <w:trPr>
          <w:cantSplit/>
          <w:jc w:val="center"/>
        </w:trPr>
        <w:tc>
          <w:tcPr>
            <w:tcW w:w="2252" w:type="dxa"/>
          </w:tcPr>
          <w:p w14:paraId="2F158BE6" w14:textId="77777777" w:rsidR="00711444" w:rsidRPr="004D0DAA" w:rsidRDefault="00711444" w:rsidP="00AA2A4C">
            <w:pPr>
              <w:pStyle w:val="TAC"/>
              <w:rPr>
                <w:lang w:eastAsia="en-US"/>
              </w:rPr>
            </w:pPr>
            <w:r w:rsidRPr="004D0DAA">
              <w:rPr>
                <w:lang w:eastAsia="en-US"/>
              </w:rPr>
              <w:t>MCS-5</w:t>
            </w:r>
          </w:p>
        </w:tc>
        <w:tc>
          <w:tcPr>
            <w:tcW w:w="3329" w:type="dxa"/>
          </w:tcPr>
          <w:p w14:paraId="68A4B844" w14:textId="77777777" w:rsidR="00711444" w:rsidRPr="004D0DAA" w:rsidRDefault="00711444" w:rsidP="00AA2A4C">
            <w:pPr>
              <w:pStyle w:val="TAC"/>
              <w:rPr>
                <w:lang w:eastAsia="en-US"/>
              </w:rPr>
            </w:pPr>
            <w:r w:rsidRPr="004D0DAA">
              <w:rPr>
                <w:lang w:eastAsia="en-US"/>
              </w:rPr>
              <w:t>56</w:t>
            </w:r>
          </w:p>
        </w:tc>
        <w:tc>
          <w:tcPr>
            <w:tcW w:w="1036" w:type="dxa"/>
          </w:tcPr>
          <w:p w14:paraId="123DEE02" w14:textId="77777777" w:rsidR="00711444" w:rsidRPr="004D0DAA" w:rsidRDefault="00711444" w:rsidP="00AA2A4C">
            <w:pPr>
              <w:pStyle w:val="TAC"/>
              <w:rPr>
                <w:lang w:eastAsia="en-US"/>
              </w:rPr>
            </w:pPr>
            <w:r w:rsidRPr="004D0DAA">
              <w:rPr>
                <w:lang w:eastAsia="en-US"/>
              </w:rPr>
              <w:t>B</w:t>
            </w:r>
          </w:p>
        </w:tc>
      </w:tr>
      <w:tr w:rsidR="00711444" w:rsidRPr="004D0DAA" w14:paraId="1A2C7407" w14:textId="77777777" w:rsidTr="00AA2A4C">
        <w:trPr>
          <w:cantSplit/>
          <w:jc w:val="center"/>
        </w:trPr>
        <w:tc>
          <w:tcPr>
            <w:tcW w:w="2252" w:type="dxa"/>
          </w:tcPr>
          <w:p w14:paraId="7D765447" w14:textId="77777777" w:rsidR="00711444" w:rsidRPr="004D0DAA" w:rsidRDefault="00711444" w:rsidP="00AA2A4C">
            <w:pPr>
              <w:pStyle w:val="TAC"/>
              <w:rPr>
                <w:lang w:eastAsia="en-US"/>
              </w:rPr>
            </w:pPr>
            <w:r w:rsidRPr="004D0DAA">
              <w:rPr>
                <w:lang w:eastAsia="en-US"/>
              </w:rPr>
              <w:t>MCS-6 with padding</w:t>
            </w:r>
          </w:p>
        </w:tc>
        <w:tc>
          <w:tcPr>
            <w:tcW w:w="3329" w:type="dxa"/>
          </w:tcPr>
          <w:p w14:paraId="3F8C2F7D" w14:textId="77777777" w:rsidR="00711444" w:rsidRPr="004D0DAA" w:rsidRDefault="00711444" w:rsidP="00AA2A4C">
            <w:pPr>
              <w:pStyle w:val="TAC"/>
              <w:rPr>
                <w:lang w:eastAsia="en-US"/>
              </w:rPr>
            </w:pPr>
            <w:r w:rsidRPr="004D0DAA">
              <w:rPr>
                <w:lang w:eastAsia="en-US"/>
              </w:rPr>
              <w:t>68</w:t>
            </w:r>
          </w:p>
        </w:tc>
        <w:tc>
          <w:tcPr>
            <w:tcW w:w="1036" w:type="dxa"/>
          </w:tcPr>
          <w:p w14:paraId="0006A675" w14:textId="77777777" w:rsidR="00711444" w:rsidRPr="004D0DAA" w:rsidRDefault="00711444" w:rsidP="00AA2A4C">
            <w:pPr>
              <w:pStyle w:val="TAC"/>
              <w:rPr>
                <w:lang w:eastAsia="en-US"/>
              </w:rPr>
            </w:pPr>
            <w:r w:rsidRPr="004D0DAA">
              <w:rPr>
                <w:lang w:eastAsia="en-US"/>
              </w:rPr>
              <w:t>A padding</w:t>
            </w:r>
          </w:p>
        </w:tc>
      </w:tr>
      <w:tr w:rsidR="00711444" w:rsidRPr="004D0DAA" w14:paraId="1A9E9D1C" w14:textId="77777777" w:rsidTr="00AA2A4C">
        <w:trPr>
          <w:cantSplit/>
          <w:jc w:val="center"/>
        </w:trPr>
        <w:tc>
          <w:tcPr>
            <w:tcW w:w="2252" w:type="dxa"/>
          </w:tcPr>
          <w:p w14:paraId="366BF9C0" w14:textId="77777777" w:rsidR="00711444" w:rsidRPr="004D0DAA" w:rsidRDefault="00711444" w:rsidP="00AA2A4C">
            <w:pPr>
              <w:pStyle w:val="TAC"/>
              <w:rPr>
                <w:lang w:eastAsia="en-US"/>
              </w:rPr>
            </w:pPr>
            <w:r w:rsidRPr="004D0DAA">
              <w:rPr>
                <w:lang w:eastAsia="en-US"/>
              </w:rPr>
              <w:t>MCS-6</w:t>
            </w:r>
          </w:p>
        </w:tc>
        <w:tc>
          <w:tcPr>
            <w:tcW w:w="3329" w:type="dxa"/>
          </w:tcPr>
          <w:p w14:paraId="67590DA3" w14:textId="77777777" w:rsidR="00711444" w:rsidRPr="004D0DAA" w:rsidRDefault="00711444" w:rsidP="00AA2A4C">
            <w:pPr>
              <w:pStyle w:val="TAC"/>
              <w:rPr>
                <w:lang w:eastAsia="en-US"/>
              </w:rPr>
            </w:pPr>
            <w:r w:rsidRPr="004D0DAA">
              <w:rPr>
                <w:lang w:eastAsia="en-US"/>
              </w:rPr>
              <w:t>74</w:t>
            </w:r>
          </w:p>
        </w:tc>
        <w:tc>
          <w:tcPr>
            <w:tcW w:w="1036" w:type="dxa"/>
          </w:tcPr>
          <w:p w14:paraId="5E6D1A81" w14:textId="77777777" w:rsidR="00711444" w:rsidRPr="004D0DAA" w:rsidRDefault="00711444" w:rsidP="00AA2A4C">
            <w:pPr>
              <w:pStyle w:val="TAC"/>
              <w:rPr>
                <w:lang w:eastAsia="en-US"/>
              </w:rPr>
            </w:pPr>
            <w:r w:rsidRPr="004D0DAA">
              <w:rPr>
                <w:lang w:eastAsia="en-US"/>
              </w:rPr>
              <w:t>A</w:t>
            </w:r>
          </w:p>
        </w:tc>
      </w:tr>
      <w:tr w:rsidR="00711444" w:rsidRPr="004D0DAA" w14:paraId="40D58BF0" w14:textId="77777777" w:rsidTr="00AA2A4C">
        <w:trPr>
          <w:cantSplit/>
          <w:jc w:val="center"/>
        </w:trPr>
        <w:tc>
          <w:tcPr>
            <w:tcW w:w="2252" w:type="dxa"/>
          </w:tcPr>
          <w:p w14:paraId="51FDF145" w14:textId="77777777" w:rsidR="00711444" w:rsidRPr="004D0DAA" w:rsidRDefault="00711444" w:rsidP="00AA2A4C">
            <w:pPr>
              <w:pStyle w:val="TAC"/>
              <w:rPr>
                <w:lang w:eastAsia="en-US"/>
              </w:rPr>
            </w:pPr>
            <w:r w:rsidRPr="004D0DAA">
              <w:rPr>
                <w:lang w:eastAsia="en-US"/>
              </w:rPr>
              <w:t>MCS-7</w:t>
            </w:r>
          </w:p>
        </w:tc>
        <w:tc>
          <w:tcPr>
            <w:tcW w:w="3329" w:type="dxa"/>
          </w:tcPr>
          <w:p w14:paraId="161DC374" w14:textId="77777777" w:rsidR="00711444" w:rsidRPr="004D0DAA" w:rsidRDefault="00711444" w:rsidP="00AA2A4C">
            <w:pPr>
              <w:pStyle w:val="TAC"/>
              <w:rPr>
                <w:lang w:eastAsia="en-US"/>
              </w:rPr>
            </w:pPr>
            <w:r w:rsidRPr="004D0DAA">
              <w:rPr>
                <w:lang w:eastAsia="en-US"/>
              </w:rPr>
              <w:t>2x56</w:t>
            </w:r>
          </w:p>
        </w:tc>
        <w:tc>
          <w:tcPr>
            <w:tcW w:w="1036" w:type="dxa"/>
          </w:tcPr>
          <w:p w14:paraId="0EDFF563" w14:textId="77777777" w:rsidR="00711444" w:rsidRPr="004D0DAA" w:rsidRDefault="00711444" w:rsidP="00AA2A4C">
            <w:pPr>
              <w:pStyle w:val="TAC"/>
              <w:rPr>
                <w:lang w:eastAsia="en-US"/>
              </w:rPr>
            </w:pPr>
            <w:r w:rsidRPr="004D0DAA">
              <w:rPr>
                <w:lang w:eastAsia="en-US"/>
              </w:rPr>
              <w:t>B</w:t>
            </w:r>
          </w:p>
        </w:tc>
      </w:tr>
      <w:tr w:rsidR="00711444" w:rsidRPr="004D0DAA" w14:paraId="1C8E9F56" w14:textId="77777777" w:rsidTr="00AA2A4C">
        <w:trPr>
          <w:cantSplit/>
          <w:jc w:val="center"/>
        </w:trPr>
        <w:tc>
          <w:tcPr>
            <w:tcW w:w="2252" w:type="dxa"/>
          </w:tcPr>
          <w:p w14:paraId="5B666022" w14:textId="77777777" w:rsidR="00711444" w:rsidRPr="004D0DAA" w:rsidRDefault="00711444" w:rsidP="00AA2A4C">
            <w:pPr>
              <w:pStyle w:val="TAC"/>
              <w:rPr>
                <w:lang w:eastAsia="en-US"/>
              </w:rPr>
            </w:pPr>
            <w:r w:rsidRPr="004D0DAA">
              <w:rPr>
                <w:lang w:eastAsia="en-US"/>
              </w:rPr>
              <w:t>MCS-8</w:t>
            </w:r>
          </w:p>
        </w:tc>
        <w:tc>
          <w:tcPr>
            <w:tcW w:w="3329" w:type="dxa"/>
          </w:tcPr>
          <w:p w14:paraId="0182F26A" w14:textId="77777777" w:rsidR="00711444" w:rsidRPr="004D0DAA" w:rsidRDefault="00711444" w:rsidP="00AA2A4C">
            <w:pPr>
              <w:pStyle w:val="TAC"/>
              <w:rPr>
                <w:lang w:eastAsia="en-US"/>
              </w:rPr>
            </w:pPr>
            <w:r w:rsidRPr="004D0DAA">
              <w:rPr>
                <w:lang w:eastAsia="en-US"/>
              </w:rPr>
              <w:t>2x68</w:t>
            </w:r>
          </w:p>
        </w:tc>
        <w:tc>
          <w:tcPr>
            <w:tcW w:w="1036" w:type="dxa"/>
          </w:tcPr>
          <w:p w14:paraId="179A7BDE" w14:textId="77777777" w:rsidR="00711444" w:rsidRPr="004D0DAA" w:rsidRDefault="00711444" w:rsidP="00AA2A4C">
            <w:pPr>
              <w:pStyle w:val="TAC"/>
              <w:rPr>
                <w:lang w:eastAsia="en-US"/>
              </w:rPr>
            </w:pPr>
            <w:r w:rsidRPr="004D0DAA">
              <w:rPr>
                <w:lang w:eastAsia="en-US"/>
              </w:rPr>
              <w:t>A padding</w:t>
            </w:r>
          </w:p>
        </w:tc>
      </w:tr>
      <w:tr w:rsidR="00711444" w:rsidRPr="004D0DAA" w14:paraId="52F33892" w14:textId="77777777" w:rsidTr="00AA2A4C">
        <w:trPr>
          <w:cantSplit/>
          <w:jc w:val="center"/>
        </w:trPr>
        <w:tc>
          <w:tcPr>
            <w:tcW w:w="2252" w:type="dxa"/>
          </w:tcPr>
          <w:p w14:paraId="26836140" w14:textId="77777777" w:rsidR="00711444" w:rsidRPr="004D0DAA" w:rsidRDefault="00711444" w:rsidP="00AA2A4C">
            <w:pPr>
              <w:pStyle w:val="TAC"/>
              <w:rPr>
                <w:lang w:eastAsia="en-US"/>
              </w:rPr>
            </w:pPr>
            <w:r w:rsidRPr="004D0DAA">
              <w:rPr>
                <w:lang w:eastAsia="en-US"/>
              </w:rPr>
              <w:t>MCS-9</w:t>
            </w:r>
          </w:p>
        </w:tc>
        <w:tc>
          <w:tcPr>
            <w:tcW w:w="3329" w:type="dxa"/>
          </w:tcPr>
          <w:p w14:paraId="19369C85" w14:textId="77777777" w:rsidR="00711444" w:rsidRPr="004D0DAA" w:rsidRDefault="00711444" w:rsidP="00AA2A4C">
            <w:pPr>
              <w:pStyle w:val="TAC"/>
              <w:rPr>
                <w:lang w:eastAsia="en-US"/>
              </w:rPr>
            </w:pPr>
            <w:r w:rsidRPr="004D0DAA">
              <w:rPr>
                <w:lang w:eastAsia="en-US"/>
              </w:rPr>
              <w:t>2x74</w:t>
            </w:r>
          </w:p>
        </w:tc>
        <w:tc>
          <w:tcPr>
            <w:tcW w:w="1036" w:type="dxa"/>
          </w:tcPr>
          <w:p w14:paraId="5F1F685A" w14:textId="77777777" w:rsidR="00711444" w:rsidRPr="004D0DAA" w:rsidRDefault="00711444" w:rsidP="00AA2A4C">
            <w:pPr>
              <w:pStyle w:val="TAC"/>
              <w:rPr>
                <w:lang w:eastAsia="en-US"/>
              </w:rPr>
            </w:pPr>
            <w:r w:rsidRPr="004D0DAA">
              <w:rPr>
                <w:lang w:eastAsia="en-US"/>
              </w:rPr>
              <w:t>A</w:t>
            </w:r>
          </w:p>
        </w:tc>
      </w:tr>
      <w:tr w:rsidR="00711444" w:rsidRPr="004D0DAA" w14:paraId="6CECEFAE" w14:textId="77777777" w:rsidTr="00AA2A4C">
        <w:trPr>
          <w:cantSplit/>
          <w:jc w:val="center"/>
        </w:trPr>
        <w:tc>
          <w:tcPr>
            <w:tcW w:w="6617" w:type="dxa"/>
            <w:gridSpan w:val="3"/>
          </w:tcPr>
          <w:p w14:paraId="57CE2289" w14:textId="77777777" w:rsidR="00711444" w:rsidRPr="004D0DAA" w:rsidRDefault="00711444" w:rsidP="00AA2A4C">
            <w:pPr>
              <w:pStyle w:val="TAN"/>
              <w:rPr>
                <w:lang w:eastAsia="en-US"/>
              </w:rPr>
            </w:pPr>
            <w:r w:rsidRPr="004D0DAA">
              <w:rPr>
                <w:lang w:eastAsia="en-US"/>
              </w:rPr>
              <w:t>NOTE 1:</w:t>
            </w:r>
            <w:r w:rsidRPr="004D0DAA">
              <w:rPr>
                <w:lang w:eastAsia="en-US"/>
              </w:rPr>
              <w:tab/>
              <w:t>The four families of EGPRS RLC data blocks C, B, A and A padding based on a common size basis (22, 28, 37 and 68 octets respectively) enable link adaptation retransmission as described in sub-clause 9.</w:t>
            </w:r>
          </w:p>
          <w:p w14:paraId="1A0FD862" w14:textId="77777777" w:rsidR="00711444" w:rsidRPr="004D0DAA" w:rsidRDefault="00711444" w:rsidP="00AA2A4C">
            <w:pPr>
              <w:pStyle w:val="TAN"/>
              <w:rPr>
                <w:lang w:eastAsia="en-US"/>
              </w:rPr>
            </w:pPr>
            <w:r w:rsidRPr="004D0DAA">
              <w:rPr>
                <w:lang w:eastAsia="en-US"/>
              </w:rPr>
              <w:t>NOTE 2:</w:t>
            </w:r>
            <w:r w:rsidRPr="004D0DAA">
              <w:rPr>
                <w:lang w:eastAsia="en-US"/>
              </w:rPr>
              <w:tab/>
              <w:t>Modulation and coding schemes of family A padding are compatible with Family A padding6 defined for EGPRS2.</w:t>
            </w:r>
          </w:p>
        </w:tc>
      </w:tr>
    </w:tbl>
    <w:p w14:paraId="58B3DC5F" w14:textId="77777777" w:rsidR="00711444" w:rsidRPr="004D0DAA" w:rsidRDefault="00711444" w:rsidP="00711444"/>
    <w:p w14:paraId="071A1397" w14:textId="77777777" w:rsidR="00711444" w:rsidRPr="004D0DAA" w:rsidRDefault="00711444" w:rsidP="00711444">
      <w:r w:rsidRPr="004D0DAA">
        <w:t>The size of the RLC data unit for each of the channel coding schemes used in EGPRS2 is shown in tables 10.3a.0.3, 10.3a.0.4, 10.3a.0.5, and 10.3a.0.6.</w:t>
      </w:r>
    </w:p>
    <w:p w14:paraId="0E6E2AA0" w14:textId="77777777" w:rsidR="00711444" w:rsidRPr="004D0DAA" w:rsidRDefault="00711444" w:rsidP="00711444">
      <w:pPr>
        <w:pStyle w:val="TH"/>
      </w:pPr>
      <w:r w:rsidRPr="004D0DAA">
        <w:t>Table 10.3a.0.3: RLC data unit size (EGPRS2-A downlink)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2"/>
        <w:gridCol w:w="3329"/>
        <w:gridCol w:w="1036"/>
      </w:tblGrid>
      <w:tr w:rsidR="00711444" w:rsidRPr="004D0DAA" w14:paraId="093656CF" w14:textId="77777777" w:rsidTr="00AA2A4C">
        <w:trPr>
          <w:cantSplit/>
          <w:jc w:val="center"/>
        </w:trPr>
        <w:tc>
          <w:tcPr>
            <w:tcW w:w="2252" w:type="dxa"/>
            <w:tcBorders>
              <w:bottom w:val="nil"/>
            </w:tcBorders>
          </w:tcPr>
          <w:p w14:paraId="3365FA64" w14:textId="77777777" w:rsidR="00711444" w:rsidRPr="004D0DAA" w:rsidRDefault="00711444" w:rsidP="00AA2A4C">
            <w:pPr>
              <w:pStyle w:val="TAH"/>
              <w:rPr>
                <w:lang w:eastAsia="en-US"/>
              </w:rPr>
            </w:pPr>
            <w:r w:rsidRPr="004D0DAA">
              <w:rPr>
                <w:lang w:eastAsia="en-US"/>
              </w:rPr>
              <w:t>Channel Coding Scheme</w:t>
            </w:r>
          </w:p>
        </w:tc>
        <w:tc>
          <w:tcPr>
            <w:tcW w:w="3329" w:type="dxa"/>
            <w:tcBorders>
              <w:bottom w:val="nil"/>
            </w:tcBorders>
          </w:tcPr>
          <w:p w14:paraId="6A43A5FE" w14:textId="77777777" w:rsidR="00711444" w:rsidRPr="004D0DAA" w:rsidRDefault="00711444" w:rsidP="00AA2A4C">
            <w:pPr>
              <w:pStyle w:val="TAH"/>
              <w:rPr>
                <w:lang w:eastAsia="en-US"/>
              </w:rPr>
            </w:pPr>
            <w:r w:rsidRPr="004D0DAA">
              <w:rPr>
                <w:lang w:eastAsia="en-US"/>
              </w:rPr>
              <w:t>EGPRS RLC data unit size (N2)</w:t>
            </w:r>
            <w:r w:rsidRPr="004D0DAA">
              <w:rPr>
                <w:lang w:eastAsia="en-US"/>
              </w:rPr>
              <w:br/>
              <w:t>(octets)</w:t>
            </w:r>
          </w:p>
        </w:tc>
        <w:tc>
          <w:tcPr>
            <w:tcW w:w="1036" w:type="dxa"/>
            <w:tcBorders>
              <w:bottom w:val="nil"/>
            </w:tcBorders>
          </w:tcPr>
          <w:p w14:paraId="4043EF0B" w14:textId="77777777" w:rsidR="00711444" w:rsidRPr="004D0DAA" w:rsidRDefault="00711444" w:rsidP="00AA2A4C">
            <w:pPr>
              <w:pStyle w:val="TAH"/>
              <w:rPr>
                <w:lang w:eastAsia="en-US"/>
              </w:rPr>
            </w:pPr>
            <w:r w:rsidRPr="004D0DAA">
              <w:rPr>
                <w:lang w:eastAsia="en-US"/>
              </w:rPr>
              <w:t>Family</w:t>
            </w:r>
          </w:p>
        </w:tc>
      </w:tr>
      <w:tr w:rsidR="00711444" w:rsidRPr="004D0DAA" w14:paraId="360EA00B" w14:textId="77777777" w:rsidTr="00AA2A4C">
        <w:trPr>
          <w:cantSplit/>
          <w:jc w:val="center"/>
        </w:trPr>
        <w:tc>
          <w:tcPr>
            <w:tcW w:w="2252" w:type="dxa"/>
          </w:tcPr>
          <w:p w14:paraId="04AD0690" w14:textId="77777777" w:rsidR="00711444" w:rsidRPr="004D0DAA" w:rsidRDefault="00711444" w:rsidP="00AA2A4C">
            <w:pPr>
              <w:pStyle w:val="TAC"/>
              <w:rPr>
                <w:lang w:eastAsia="en-US"/>
              </w:rPr>
            </w:pPr>
            <w:r w:rsidRPr="004D0DAA">
              <w:rPr>
                <w:lang w:eastAsia="en-US"/>
              </w:rPr>
              <w:t>MCS-1</w:t>
            </w:r>
          </w:p>
        </w:tc>
        <w:tc>
          <w:tcPr>
            <w:tcW w:w="3329" w:type="dxa"/>
          </w:tcPr>
          <w:p w14:paraId="7CE18119" w14:textId="77777777" w:rsidR="00711444" w:rsidRPr="004D0DAA" w:rsidRDefault="00711444" w:rsidP="00AA2A4C">
            <w:pPr>
              <w:pStyle w:val="TAC"/>
              <w:rPr>
                <w:lang w:eastAsia="en-US"/>
              </w:rPr>
            </w:pPr>
            <w:r w:rsidRPr="004D0DAA">
              <w:rPr>
                <w:lang w:eastAsia="en-US"/>
              </w:rPr>
              <w:t>22</w:t>
            </w:r>
          </w:p>
        </w:tc>
        <w:tc>
          <w:tcPr>
            <w:tcW w:w="1036" w:type="dxa"/>
          </w:tcPr>
          <w:p w14:paraId="7222A486" w14:textId="77777777" w:rsidR="00711444" w:rsidRPr="004D0DAA" w:rsidRDefault="00711444" w:rsidP="00AA2A4C">
            <w:pPr>
              <w:pStyle w:val="TAC"/>
              <w:rPr>
                <w:lang w:eastAsia="en-US"/>
              </w:rPr>
            </w:pPr>
            <w:r w:rsidRPr="004D0DAA">
              <w:rPr>
                <w:lang w:eastAsia="en-US"/>
              </w:rPr>
              <w:t>C</w:t>
            </w:r>
          </w:p>
        </w:tc>
      </w:tr>
      <w:tr w:rsidR="00711444" w:rsidRPr="004D0DAA" w14:paraId="5AA827DE" w14:textId="77777777" w:rsidTr="00AA2A4C">
        <w:trPr>
          <w:cantSplit/>
          <w:jc w:val="center"/>
        </w:trPr>
        <w:tc>
          <w:tcPr>
            <w:tcW w:w="2252" w:type="dxa"/>
          </w:tcPr>
          <w:p w14:paraId="6A1E871B" w14:textId="77777777" w:rsidR="00711444" w:rsidRPr="004D0DAA" w:rsidRDefault="00711444" w:rsidP="00AA2A4C">
            <w:pPr>
              <w:pStyle w:val="TAC"/>
              <w:rPr>
                <w:lang w:eastAsia="en-US"/>
              </w:rPr>
            </w:pPr>
            <w:r w:rsidRPr="004D0DAA">
              <w:rPr>
                <w:lang w:eastAsia="en-US"/>
              </w:rPr>
              <w:t>MCS-2 with padding</w:t>
            </w:r>
          </w:p>
        </w:tc>
        <w:tc>
          <w:tcPr>
            <w:tcW w:w="3329" w:type="dxa"/>
          </w:tcPr>
          <w:p w14:paraId="30321118" w14:textId="77777777" w:rsidR="00711444" w:rsidRPr="004D0DAA" w:rsidRDefault="00711444" w:rsidP="00AA2A4C">
            <w:pPr>
              <w:pStyle w:val="TAC"/>
              <w:rPr>
                <w:lang w:eastAsia="en-US"/>
              </w:rPr>
            </w:pPr>
            <w:r w:rsidRPr="004D0DAA">
              <w:rPr>
                <w:lang w:eastAsia="en-US"/>
              </w:rPr>
              <w:t>26</w:t>
            </w:r>
          </w:p>
        </w:tc>
        <w:tc>
          <w:tcPr>
            <w:tcW w:w="1036" w:type="dxa"/>
          </w:tcPr>
          <w:p w14:paraId="0BC689FB" w14:textId="77777777" w:rsidR="00711444" w:rsidRPr="004D0DAA" w:rsidRDefault="00711444" w:rsidP="00AA2A4C">
            <w:pPr>
              <w:pStyle w:val="TAC"/>
              <w:rPr>
                <w:lang w:eastAsia="en-US"/>
              </w:rPr>
            </w:pPr>
            <w:r w:rsidRPr="004D0DAA">
              <w:rPr>
                <w:lang w:eastAsia="en-US"/>
              </w:rPr>
              <w:t>B padding2</w:t>
            </w:r>
          </w:p>
        </w:tc>
      </w:tr>
      <w:tr w:rsidR="00711444" w:rsidRPr="004D0DAA" w14:paraId="709178F9" w14:textId="77777777" w:rsidTr="00AA2A4C">
        <w:trPr>
          <w:cantSplit/>
          <w:jc w:val="center"/>
        </w:trPr>
        <w:tc>
          <w:tcPr>
            <w:tcW w:w="2252" w:type="dxa"/>
          </w:tcPr>
          <w:p w14:paraId="000E46A5" w14:textId="77777777" w:rsidR="00711444" w:rsidRPr="004D0DAA" w:rsidRDefault="00711444" w:rsidP="00AA2A4C">
            <w:pPr>
              <w:pStyle w:val="TAC"/>
              <w:rPr>
                <w:lang w:eastAsia="en-US"/>
              </w:rPr>
            </w:pPr>
            <w:r w:rsidRPr="004D0DAA">
              <w:rPr>
                <w:lang w:eastAsia="en-US"/>
              </w:rPr>
              <w:t>MCS-2</w:t>
            </w:r>
          </w:p>
        </w:tc>
        <w:tc>
          <w:tcPr>
            <w:tcW w:w="3329" w:type="dxa"/>
          </w:tcPr>
          <w:p w14:paraId="3EB8D6FF" w14:textId="77777777" w:rsidR="00711444" w:rsidRPr="004D0DAA" w:rsidRDefault="00711444" w:rsidP="00AA2A4C">
            <w:pPr>
              <w:pStyle w:val="TAC"/>
              <w:rPr>
                <w:lang w:eastAsia="en-US"/>
              </w:rPr>
            </w:pPr>
            <w:r w:rsidRPr="004D0DAA">
              <w:rPr>
                <w:lang w:eastAsia="en-US"/>
              </w:rPr>
              <w:t>28</w:t>
            </w:r>
          </w:p>
        </w:tc>
        <w:tc>
          <w:tcPr>
            <w:tcW w:w="1036" w:type="dxa"/>
          </w:tcPr>
          <w:p w14:paraId="541CD12C" w14:textId="77777777" w:rsidR="00711444" w:rsidRPr="004D0DAA" w:rsidRDefault="00711444" w:rsidP="00AA2A4C">
            <w:pPr>
              <w:pStyle w:val="TAC"/>
              <w:rPr>
                <w:lang w:eastAsia="en-US"/>
              </w:rPr>
            </w:pPr>
            <w:r w:rsidRPr="004D0DAA">
              <w:rPr>
                <w:lang w:eastAsia="en-US"/>
              </w:rPr>
              <w:t>B padding2 / B</w:t>
            </w:r>
          </w:p>
        </w:tc>
      </w:tr>
      <w:tr w:rsidR="00711444" w:rsidRPr="004D0DAA" w14:paraId="0795A3A2" w14:textId="77777777" w:rsidTr="00AA2A4C">
        <w:trPr>
          <w:cantSplit/>
          <w:jc w:val="center"/>
        </w:trPr>
        <w:tc>
          <w:tcPr>
            <w:tcW w:w="2252" w:type="dxa"/>
          </w:tcPr>
          <w:p w14:paraId="17DAC931" w14:textId="77777777" w:rsidR="00711444" w:rsidRPr="004D0DAA" w:rsidRDefault="00711444" w:rsidP="00AA2A4C">
            <w:pPr>
              <w:pStyle w:val="TAC"/>
              <w:rPr>
                <w:lang w:eastAsia="en-US"/>
              </w:rPr>
            </w:pPr>
            <w:r w:rsidRPr="004D0DAA">
              <w:rPr>
                <w:lang w:eastAsia="en-US"/>
              </w:rPr>
              <w:t>MCS-3 with padding</w:t>
            </w:r>
          </w:p>
        </w:tc>
        <w:tc>
          <w:tcPr>
            <w:tcW w:w="3329" w:type="dxa"/>
          </w:tcPr>
          <w:p w14:paraId="3F652375" w14:textId="77777777" w:rsidR="00711444" w:rsidRPr="004D0DAA" w:rsidRDefault="00711444" w:rsidP="00AA2A4C">
            <w:pPr>
              <w:pStyle w:val="TAC"/>
              <w:rPr>
                <w:lang w:eastAsia="en-US"/>
              </w:rPr>
            </w:pPr>
            <w:r w:rsidRPr="004D0DAA">
              <w:rPr>
                <w:lang w:eastAsia="en-US"/>
              </w:rPr>
              <w:t>31</w:t>
            </w:r>
          </w:p>
        </w:tc>
        <w:tc>
          <w:tcPr>
            <w:tcW w:w="1036" w:type="dxa"/>
          </w:tcPr>
          <w:p w14:paraId="260E245C" w14:textId="77777777" w:rsidR="00711444" w:rsidRPr="004D0DAA" w:rsidRDefault="00711444" w:rsidP="00AA2A4C">
            <w:pPr>
              <w:pStyle w:val="TAC"/>
              <w:rPr>
                <w:lang w:eastAsia="en-US"/>
              </w:rPr>
            </w:pPr>
            <w:r w:rsidRPr="004D0DAA">
              <w:rPr>
                <w:lang w:eastAsia="en-US"/>
              </w:rPr>
              <w:t>A padding6</w:t>
            </w:r>
          </w:p>
        </w:tc>
      </w:tr>
      <w:tr w:rsidR="00711444" w:rsidRPr="004D0DAA" w14:paraId="178E76B9" w14:textId="77777777" w:rsidTr="00AA2A4C">
        <w:trPr>
          <w:cantSplit/>
          <w:jc w:val="center"/>
        </w:trPr>
        <w:tc>
          <w:tcPr>
            <w:tcW w:w="2252" w:type="dxa"/>
          </w:tcPr>
          <w:p w14:paraId="12B338E6" w14:textId="77777777" w:rsidR="00711444" w:rsidRPr="004D0DAA" w:rsidRDefault="00711444" w:rsidP="00AA2A4C">
            <w:pPr>
              <w:pStyle w:val="TAC"/>
              <w:rPr>
                <w:lang w:eastAsia="en-US"/>
              </w:rPr>
            </w:pPr>
            <w:r w:rsidRPr="004D0DAA">
              <w:rPr>
                <w:lang w:eastAsia="en-US"/>
              </w:rPr>
              <w:t>MCS-3</w:t>
            </w:r>
          </w:p>
        </w:tc>
        <w:tc>
          <w:tcPr>
            <w:tcW w:w="3329" w:type="dxa"/>
          </w:tcPr>
          <w:p w14:paraId="009A8821" w14:textId="77777777" w:rsidR="00711444" w:rsidRPr="004D0DAA" w:rsidRDefault="00711444" w:rsidP="00AA2A4C">
            <w:pPr>
              <w:pStyle w:val="TAC"/>
              <w:rPr>
                <w:lang w:eastAsia="en-US"/>
              </w:rPr>
            </w:pPr>
            <w:r w:rsidRPr="004D0DAA">
              <w:rPr>
                <w:lang w:eastAsia="en-US"/>
              </w:rPr>
              <w:t>37</w:t>
            </w:r>
          </w:p>
        </w:tc>
        <w:tc>
          <w:tcPr>
            <w:tcW w:w="1036" w:type="dxa"/>
          </w:tcPr>
          <w:p w14:paraId="436512C9" w14:textId="77777777" w:rsidR="00711444" w:rsidRPr="004D0DAA" w:rsidRDefault="00711444" w:rsidP="00AA2A4C">
            <w:pPr>
              <w:pStyle w:val="TAC"/>
              <w:rPr>
                <w:lang w:eastAsia="en-US"/>
              </w:rPr>
            </w:pPr>
            <w:r w:rsidRPr="004D0DAA">
              <w:rPr>
                <w:lang w:eastAsia="en-US"/>
              </w:rPr>
              <w:t>A padding6</w:t>
            </w:r>
          </w:p>
        </w:tc>
      </w:tr>
      <w:tr w:rsidR="00711444" w:rsidRPr="004D0DAA" w14:paraId="62A74D8D" w14:textId="77777777" w:rsidTr="00AA2A4C">
        <w:trPr>
          <w:cantSplit/>
          <w:jc w:val="center"/>
        </w:trPr>
        <w:tc>
          <w:tcPr>
            <w:tcW w:w="2252" w:type="dxa"/>
          </w:tcPr>
          <w:p w14:paraId="4F6D6402" w14:textId="77777777" w:rsidR="00711444" w:rsidRPr="004D0DAA" w:rsidRDefault="00711444" w:rsidP="00AA2A4C">
            <w:pPr>
              <w:pStyle w:val="TAC"/>
              <w:rPr>
                <w:lang w:eastAsia="en-US"/>
              </w:rPr>
            </w:pPr>
            <w:r w:rsidRPr="004D0DAA">
              <w:rPr>
                <w:lang w:eastAsia="en-US"/>
              </w:rPr>
              <w:t>MCS-4</w:t>
            </w:r>
          </w:p>
        </w:tc>
        <w:tc>
          <w:tcPr>
            <w:tcW w:w="3329" w:type="dxa"/>
          </w:tcPr>
          <w:p w14:paraId="32A28189" w14:textId="77777777" w:rsidR="00711444" w:rsidRPr="004D0DAA" w:rsidRDefault="00711444" w:rsidP="00AA2A4C">
            <w:pPr>
              <w:pStyle w:val="TAC"/>
              <w:rPr>
                <w:lang w:eastAsia="en-US"/>
              </w:rPr>
            </w:pPr>
            <w:r w:rsidRPr="004D0DAA">
              <w:rPr>
                <w:lang w:eastAsia="en-US"/>
              </w:rPr>
              <w:t>44</w:t>
            </w:r>
          </w:p>
        </w:tc>
        <w:tc>
          <w:tcPr>
            <w:tcW w:w="1036" w:type="dxa"/>
          </w:tcPr>
          <w:p w14:paraId="1F503253" w14:textId="77777777" w:rsidR="00711444" w:rsidRPr="004D0DAA" w:rsidRDefault="00711444" w:rsidP="00AA2A4C">
            <w:pPr>
              <w:pStyle w:val="TAC"/>
              <w:rPr>
                <w:lang w:eastAsia="en-US"/>
              </w:rPr>
            </w:pPr>
            <w:r w:rsidRPr="004D0DAA">
              <w:rPr>
                <w:lang w:eastAsia="en-US"/>
              </w:rPr>
              <w:t>C</w:t>
            </w:r>
          </w:p>
        </w:tc>
      </w:tr>
      <w:tr w:rsidR="00711444" w:rsidRPr="004D0DAA" w14:paraId="11259ED9" w14:textId="77777777" w:rsidTr="00AA2A4C">
        <w:trPr>
          <w:cantSplit/>
          <w:jc w:val="center"/>
        </w:trPr>
        <w:tc>
          <w:tcPr>
            <w:tcW w:w="2252" w:type="dxa"/>
          </w:tcPr>
          <w:p w14:paraId="47570B4A" w14:textId="77777777" w:rsidR="00711444" w:rsidRPr="004D0DAA" w:rsidRDefault="00711444" w:rsidP="00AA2A4C">
            <w:pPr>
              <w:pStyle w:val="TAC"/>
              <w:rPr>
                <w:lang w:eastAsia="en-US"/>
              </w:rPr>
            </w:pPr>
            <w:r w:rsidRPr="004D0DAA">
              <w:rPr>
                <w:lang w:eastAsia="en-US"/>
              </w:rPr>
              <w:t>DAS-5</w:t>
            </w:r>
          </w:p>
        </w:tc>
        <w:tc>
          <w:tcPr>
            <w:tcW w:w="3329" w:type="dxa"/>
          </w:tcPr>
          <w:p w14:paraId="7158F364" w14:textId="77777777" w:rsidR="00711444" w:rsidRPr="004D0DAA" w:rsidRDefault="00711444" w:rsidP="00AA2A4C">
            <w:pPr>
              <w:pStyle w:val="TAC"/>
              <w:rPr>
                <w:lang w:eastAsia="en-US"/>
              </w:rPr>
            </w:pPr>
            <w:r w:rsidRPr="004D0DAA">
              <w:rPr>
                <w:lang w:eastAsia="en-US"/>
              </w:rPr>
              <w:t>56</w:t>
            </w:r>
          </w:p>
        </w:tc>
        <w:tc>
          <w:tcPr>
            <w:tcW w:w="1036" w:type="dxa"/>
          </w:tcPr>
          <w:p w14:paraId="7C7E378A" w14:textId="77777777" w:rsidR="00711444" w:rsidRPr="004D0DAA" w:rsidRDefault="00711444" w:rsidP="00AA2A4C">
            <w:pPr>
              <w:pStyle w:val="TAC"/>
              <w:rPr>
                <w:lang w:eastAsia="en-US"/>
              </w:rPr>
            </w:pPr>
            <w:r w:rsidRPr="004D0DAA">
              <w:rPr>
                <w:lang w:eastAsia="en-US"/>
              </w:rPr>
              <w:t>B</w:t>
            </w:r>
          </w:p>
        </w:tc>
      </w:tr>
      <w:tr w:rsidR="00711444" w:rsidRPr="004D0DAA" w14:paraId="10517032" w14:textId="77777777" w:rsidTr="00AA2A4C">
        <w:trPr>
          <w:cantSplit/>
          <w:jc w:val="center"/>
        </w:trPr>
        <w:tc>
          <w:tcPr>
            <w:tcW w:w="2252" w:type="dxa"/>
          </w:tcPr>
          <w:p w14:paraId="6B4BAC18" w14:textId="77777777" w:rsidR="00711444" w:rsidRPr="004D0DAA" w:rsidRDefault="00711444" w:rsidP="00AA2A4C">
            <w:pPr>
              <w:pStyle w:val="TAC"/>
              <w:rPr>
                <w:lang w:eastAsia="en-US"/>
              </w:rPr>
            </w:pPr>
            <w:r w:rsidRPr="004D0DAA">
              <w:rPr>
                <w:lang w:eastAsia="en-US"/>
              </w:rPr>
              <w:t>DAS-6</w:t>
            </w:r>
          </w:p>
        </w:tc>
        <w:tc>
          <w:tcPr>
            <w:tcW w:w="3329" w:type="dxa"/>
          </w:tcPr>
          <w:p w14:paraId="5115F693" w14:textId="77777777" w:rsidR="00711444" w:rsidRPr="004D0DAA" w:rsidRDefault="00711444" w:rsidP="00AA2A4C">
            <w:pPr>
              <w:pStyle w:val="TAC"/>
              <w:rPr>
                <w:lang w:eastAsia="en-US"/>
              </w:rPr>
            </w:pPr>
            <w:r w:rsidRPr="004D0DAA">
              <w:rPr>
                <w:lang w:eastAsia="en-US"/>
              </w:rPr>
              <w:t>68</w:t>
            </w:r>
          </w:p>
        </w:tc>
        <w:tc>
          <w:tcPr>
            <w:tcW w:w="1036" w:type="dxa"/>
          </w:tcPr>
          <w:p w14:paraId="52A147EF" w14:textId="77777777" w:rsidR="00711444" w:rsidRPr="004D0DAA" w:rsidRDefault="00711444" w:rsidP="00AA2A4C">
            <w:pPr>
              <w:pStyle w:val="TAC"/>
              <w:rPr>
                <w:lang w:eastAsia="en-US"/>
              </w:rPr>
            </w:pPr>
            <w:r w:rsidRPr="004D0DAA">
              <w:rPr>
                <w:lang w:eastAsia="en-US"/>
              </w:rPr>
              <w:t>A padding6</w:t>
            </w:r>
          </w:p>
        </w:tc>
      </w:tr>
      <w:tr w:rsidR="00711444" w:rsidRPr="004D0DAA" w14:paraId="4F8F5AA0" w14:textId="77777777" w:rsidTr="00AA2A4C">
        <w:trPr>
          <w:cantSplit/>
          <w:jc w:val="center"/>
        </w:trPr>
        <w:tc>
          <w:tcPr>
            <w:tcW w:w="2252" w:type="dxa"/>
          </w:tcPr>
          <w:p w14:paraId="1F49F5DF" w14:textId="77777777" w:rsidR="00711444" w:rsidRPr="004D0DAA" w:rsidRDefault="00711444" w:rsidP="00AA2A4C">
            <w:pPr>
              <w:pStyle w:val="TAC"/>
              <w:rPr>
                <w:lang w:eastAsia="en-US"/>
              </w:rPr>
            </w:pPr>
            <w:r w:rsidRPr="004D0DAA">
              <w:rPr>
                <w:lang w:eastAsia="en-US"/>
              </w:rPr>
              <w:t>MCS-6</w:t>
            </w:r>
          </w:p>
        </w:tc>
        <w:tc>
          <w:tcPr>
            <w:tcW w:w="3329" w:type="dxa"/>
          </w:tcPr>
          <w:p w14:paraId="736A3F54" w14:textId="77777777" w:rsidR="00711444" w:rsidRPr="004D0DAA" w:rsidRDefault="00711444" w:rsidP="00AA2A4C">
            <w:pPr>
              <w:pStyle w:val="TAC"/>
              <w:rPr>
                <w:lang w:eastAsia="en-US"/>
              </w:rPr>
            </w:pPr>
            <w:r w:rsidRPr="004D0DAA">
              <w:rPr>
                <w:lang w:eastAsia="en-US"/>
              </w:rPr>
              <w:t>74</w:t>
            </w:r>
          </w:p>
        </w:tc>
        <w:tc>
          <w:tcPr>
            <w:tcW w:w="1036" w:type="dxa"/>
          </w:tcPr>
          <w:p w14:paraId="4E0C791E" w14:textId="77777777" w:rsidR="00711444" w:rsidRPr="004D0DAA" w:rsidRDefault="00711444" w:rsidP="00AA2A4C">
            <w:pPr>
              <w:pStyle w:val="TAC"/>
              <w:rPr>
                <w:lang w:eastAsia="en-US"/>
              </w:rPr>
            </w:pPr>
            <w:r w:rsidRPr="004D0DAA">
              <w:rPr>
                <w:lang w:eastAsia="en-US"/>
              </w:rPr>
              <w:t>NOTE 2</w:t>
            </w:r>
          </w:p>
        </w:tc>
      </w:tr>
      <w:tr w:rsidR="00711444" w:rsidRPr="004D0DAA" w14:paraId="7ECA8476" w14:textId="77777777" w:rsidTr="00AA2A4C">
        <w:trPr>
          <w:cantSplit/>
          <w:jc w:val="center"/>
        </w:trPr>
        <w:tc>
          <w:tcPr>
            <w:tcW w:w="2252" w:type="dxa"/>
          </w:tcPr>
          <w:p w14:paraId="49948716" w14:textId="77777777" w:rsidR="00711444" w:rsidRPr="004D0DAA" w:rsidRDefault="00711444" w:rsidP="00AA2A4C">
            <w:pPr>
              <w:pStyle w:val="TAC"/>
              <w:rPr>
                <w:lang w:eastAsia="en-US"/>
              </w:rPr>
            </w:pPr>
            <w:r w:rsidRPr="004D0DAA">
              <w:rPr>
                <w:lang w:eastAsia="en-US"/>
              </w:rPr>
              <w:t>DAS-7</w:t>
            </w:r>
          </w:p>
        </w:tc>
        <w:tc>
          <w:tcPr>
            <w:tcW w:w="3329" w:type="dxa"/>
          </w:tcPr>
          <w:p w14:paraId="620F4476" w14:textId="77777777" w:rsidR="00711444" w:rsidRPr="004D0DAA" w:rsidRDefault="00711444" w:rsidP="00AA2A4C">
            <w:pPr>
              <w:pStyle w:val="TAC"/>
              <w:rPr>
                <w:lang w:eastAsia="en-US"/>
              </w:rPr>
            </w:pPr>
            <w:r w:rsidRPr="004D0DAA">
              <w:rPr>
                <w:lang w:eastAsia="en-US"/>
              </w:rPr>
              <w:t>82</w:t>
            </w:r>
          </w:p>
        </w:tc>
        <w:tc>
          <w:tcPr>
            <w:tcW w:w="1036" w:type="dxa"/>
          </w:tcPr>
          <w:p w14:paraId="7EC24B2A" w14:textId="77777777" w:rsidR="00711444" w:rsidRPr="004D0DAA" w:rsidRDefault="00711444" w:rsidP="00AA2A4C">
            <w:pPr>
              <w:pStyle w:val="TAC"/>
              <w:rPr>
                <w:lang w:eastAsia="en-US"/>
              </w:rPr>
            </w:pPr>
            <w:r w:rsidRPr="004D0DAA">
              <w:rPr>
                <w:lang w:eastAsia="en-US"/>
              </w:rPr>
              <w:t>B padding2</w:t>
            </w:r>
          </w:p>
        </w:tc>
      </w:tr>
      <w:tr w:rsidR="00711444" w:rsidRPr="004D0DAA" w14:paraId="1A743F9C" w14:textId="77777777" w:rsidTr="00AA2A4C">
        <w:trPr>
          <w:cantSplit/>
          <w:jc w:val="center"/>
        </w:trPr>
        <w:tc>
          <w:tcPr>
            <w:tcW w:w="2252" w:type="dxa"/>
          </w:tcPr>
          <w:p w14:paraId="3A48ACF6" w14:textId="77777777" w:rsidR="00711444" w:rsidRPr="004D0DAA" w:rsidRDefault="00711444" w:rsidP="00AA2A4C">
            <w:pPr>
              <w:pStyle w:val="TAC"/>
              <w:rPr>
                <w:lang w:eastAsia="en-US"/>
              </w:rPr>
            </w:pPr>
            <w:r w:rsidRPr="004D0DAA">
              <w:rPr>
                <w:lang w:eastAsia="en-US"/>
              </w:rPr>
              <w:t>MCS-7</w:t>
            </w:r>
          </w:p>
        </w:tc>
        <w:tc>
          <w:tcPr>
            <w:tcW w:w="3329" w:type="dxa"/>
          </w:tcPr>
          <w:p w14:paraId="11202A38" w14:textId="77777777" w:rsidR="00711444" w:rsidRPr="004D0DAA" w:rsidRDefault="00711444" w:rsidP="00AA2A4C">
            <w:pPr>
              <w:pStyle w:val="TAC"/>
              <w:rPr>
                <w:lang w:eastAsia="en-US"/>
              </w:rPr>
            </w:pPr>
            <w:r w:rsidRPr="004D0DAA">
              <w:rPr>
                <w:lang w:eastAsia="en-US"/>
              </w:rPr>
              <w:t>2x56</w:t>
            </w:r>
          </w:p>
        </w:tc>
        <w:tc>
          <w:tcPr>
            <w:tcW w:w="1036" w:type="dxa"/>
          </w:tcPr>
          <w:p w14:paraId="1A005973" w14:textId="77777777" w:rsidR="00711444" w:rsidRPr="004D0DAA" w:rsidRDefault="00711444" w:rsidP="00AA2A4C">
            <w:pPr>
              <w:pStyle w:val="TAC"/>
              <w:rPr>
                <w:lang w:eastAsia="en-US"/>
              </w:rPr>
            </w:pPr>
            <w:r w:rsidRPr="004D0DAA">
              <w:rPr>
                <w:lang w:eastAsia="en-US"/>
              </w:rPr>
              <w:t>B</w:t>
            </w:r>
          </w:p>
        </w:tc>
      </w:tr>
      <w:tr w:rsidR="00711444" w:rsidRPr="004D0DAA" w14:paraId="2664E5D5" w14:textId="77777777" w:rsidTr="00AA2A4C">
        <w:trPr>
          <w:cantSplit/>
          <w:jc w:val="center"/>
        </w:trPr>
        <w:tc>
          <w:tcPr>
            <w:tcW w:w="2252" w:type="dxa"/>
          </w:tcPr>
          <w:p w14:paraId="78B90B4D" w14:textId="77777777" w:rsidR="00711444" w:rsidRPr="004D0DAA" w:rsidRDefault="00711444" w:rsidP="00AA2A4C">
            <w:pPr>
              <w:pStyle w:val="TAC"/>
              <w:rPr>
                <w:lang w:eastAsia="en-US"/>
              </w:rPr>
            </w:pPr>
            <w:r w:rsidRPr="004D0DAA">
              <w:rPr>
                <w:lang w:eastAsia="en-US"/>
              </w:rPr>
              <w:t>DAS-8</w:t>
            </w:r>
          </w:p>
        </w:tc>
        <w:tc>
          <w:tcPr>
            <w:tcW w:w="3329" w:type="dxa"/>
          </w:tcPr>
          <w:p w14:paraId="6DF37BAF" w14:textId="77777777" w:rsidR="00711444" w:rsidRPr="004D0DAA" w:rsidRDefault="00711444" w:rsidP="00AA2A4C">
            <w:pPr>
              <w:pStyle w:val="TAC"/>
              <w:rPr>
                <w:lang w:eastAsia="en-US"/>
              </w:rPr>
            </w:pPr>
            <w:r w:rsidRPr="004D0DAA">
              <w:rPr>
                <w:lang w:eastAsia="en-US"/>
              </w:rPr>
              <w:t>2x56</w:t>
            </w:r>
          </w:p>
        </w:tc>
        <w:tc>
          <w:tcPr>
            <w:tcW w:w="1036" w:type="dxa"/>
          </w:tcPr>
          <w:p w14:paraId="30DCEC60" w14:textId="77777777" w:rsidR="00711444" w:rsidRPr="004D0DAA" w:rsidRDefault="00711444" w:rsidP="00AA2A4C">
            <w:pPr>
              <w:pStyle w:val="TAC"/>
              <w:rPr>
                <w:lang w:eastAsia="en-US"/>
              </w:rPr>
            </w:pPr>
            <w:r w:rsidRPr="004D0DAA">
              <w:rPr>
                <w:lang w:eastAsia="en-US"/>
              </w:rPr>
              <w:t>B</w:t>
            </w:r>
          </w:p>
        </w:tc>
      </w:tr>
      <w:tr w:rsidR="00711444" w:rsidRPr="004D0DAA" w14:paraId="2CE0FC1D" w14:textId="77777777" w:rsidTr="00AA2A4C">
        <w:trPr>
          <w:cantSplit/>
          <w:jc w:val="center"/>
        </w:trPr>
        <w:tc>
          <w:tcPr>
            <w:tcW w:w="2252" w:type="dxa"/>
          </w:tcPr>
          <w:p w14:paraId="07D1F6BF" w14:textId="77777777" w:rsidR="00711444" w:rsidRPr="004D0DAA" w:rsidRDefault="00711444" w:rsidP="00AA2A4C">
            <w:pPr>
              <w:pStyle w:val="TAC"/>
              <w:rPr>
                <w:lang w:eastAsia="en-US"/>
              </w:rPr>
            </w:pPr>
            <w:r w:rsidRPr="004D0DAA">
              <w:rPr>
                <w:lang w:eastAsia="en-US"/>
              </w:rPr>
              <w:t>MCS-8</w:t>
            </w:r>
          </w:p>
        </w:tc>
        <w:tc>
          <w:tcPr>
            <w:tcW w:w="3329" w:type="dxa"/>
          </w:tcPr>
          <w:p w14:paraId="1CF3B31D" w14:textId="77777777" w:rsidR="00711444" w:rsidRPr="004D0DAA" w:rsidRDefault="00711444" w:rsidP="00AA2A4C">
            <w:pPr>
              <w:pStyle w:val="TAC"/>
              <w:rPr>
                <w:lang w:eastAsia="en-US"/>
              </w:rPr>
            </w:pPr>
            <w:r w:rsidRPr="004D0DAA">
              <w:rPr>
                <w:lang w:eastAsia="en-US"/>
              </w:rPr>
              <w:t>2x68</w:t>
            </w:r>
          </w:p>
        </w:tc>
        <w:tc>
          <w:tcPr>
            <w:tcW w:w="1036" w:type="dxa"/>
          </w:tcPr>
          <w:p w14:paraId="4C2B1C14" w14:textId="77777777" w:rsidR="00711444" w:rsidRPr="004D0DAA" w:rsidRDefault="00711444" w:rsidP="00AA2A4C">
            <w:pPr>
              <w:pStyle w:val="TAC"/>
              <w:rPr>
                <w:lang w:eastAsia="en-US"/>
              </w:rPr>
            </w:pPr>
            <w:r w:rsidRPr="004D0DAA">
              <w:rPr>
                <w:lang w:eastAsia="en-US"/>
              </w:rPr>
              <w:t>A padding6</w:t>
            </w:r>
          </w:p>
        </w:tc>
      </w:tr>
      <w:tr w:rsidR="00711444" w:rsidRPr="004D0DAA" w14:paraId="6A926276" w14:textId="77777777" w:rsidTr="00AA2A4C">
        <w:trPr>
          <w:cantSplit/>
          <w:jc w:val="center"/>
        </w:trPr>
        <w:tc>
          <w:tcPr>
            <w:tcW w:w="2252" w:type="dxa"/>
          </w:tcPr>
          <w:p w14:paraId="4E34BE00" w14:textId="77777777" w:rsidR="00711444" w:rsidRPr="004D0DAA" w:rsidRDefault="00711444" w:rsidP="00AA2A4C">
            <w:pPr>
              <w:pStyle w:val="TAC"/>
              <w:rPr>
                <w:lang w:eastAsia="en-US"/>
              </w:rPr>
            </w:pPr>
            <w:r w:rsidRPr="004D0DAA">
              <w:rPr>
                <w:lang w:eastAsia="en-US"/>
              </w:rPr>
              <w:t>DAS-9</w:t>
            </w:r>
          </w:p>
        </w:tc>
        <w:tc>
          <w:tcPr>
            <w:tcW w:w="3329" w:type="dxa"/>
          </w:tcPr>
          <w:p w14:paraId="5869DB31" w14:textId="77777777" w:rsidR="00711444" w:rsidRPr="004D0DAA" w:rsidRDefault="00711444" w:rsidP="00AA2A4C">
            <w:pPr>
              <w:pStyle w:val="TAC"/>
              <w:rPr>
                <w:lang w:eastAsia="en-US"/>
              </w:rPr>
            </w:pPr>
            <w:r w:rsidRPr="004D0DAA">
              <w:rPr>
                <w:lang w:eastAsia="en-US"/>
              </w:rPr>
              <w:t>2x68</w:t>
            </w:r>
          </w:p>
        </w:tc>
        <w:tc>
          <w:tcPr>
            <w:tcW w:w="1036" w:type="dxa"/>
          </w:tcPr>
          <w:p w14:paraId="700AD4CB" w14:textId="77777777" w:rsidR="00711444" w:rsidRPr="004D0DAA" w:rsidRDefault="00711444" w:rsidP="00AA2A4C">
            <w:pPr>
              <w:pStyle w:val="TAC"/>
              <w:rPr>
                <w:lang w:eastAsia="en-US"/>
              </w:rPr>
            </w:pPr>
            <w:r w:rsidRPr="004D0DAA">
              <w:rPr>
                <w:lang w:eastAsia="en-US"/>
              </w:rPr>
              <w:t>A padding6</w:t>
            </w:r>
          </w:p>
        </w:tc>
      </w:tr>
      <w:tr w:rsidR="00711444" w:rsidRPr="004D0DAA" w14:paraId="27015ADF" w14:textId="77777777" w:rsidTr="00AA2A4C">
        <w:trPr>
          <w:cantSplit/>
          <w:jc w:val="center"/>
        </w:trPr>
        <w:tc>
          <w:tcPr>
            <w:tcW w:w="2252" w:type="dxa"/>
          </w:tcPr>
          <w:p w14:paraId="0CD8264E" w14:textId="77777777" w:rsidR="00711444" w:rsidRPr="004D0DAA" w:rsidRDefault="00711444" w:rsidP="00AA2A4C">
            <w:pPr>
              <w:pStyle w:val="TAC"/>
              <w:rPr>
                <w:lang w:eastAsia="en-US"/>
              </w:rPr>
            </w:pPr>
            <w:r w:rsidRPr="004D0DAA">
              <w:rPr>
                <w:lang w:eastAsia="en-US"/>
              </w:rPr>
              <w:t>DAS-10</w:t>
            </w:r>
          </w:p>
        </w:tc>
        <w:tc>
          <w:tcPr>
            <w:tcW w:w="3329" w:type="dxa"/>
          </w:tcPr>
          <w:p w14:paraId="5B424537" w14:textId="77777777" w:rsidR="00711444" w:rsidRPr="004D0DAA" w:rsidRDefault="00711444" w:rsidP="00AA2A4C">
            <w:pPr>
              <w:pStyle w:val="TAC"/>
              <w:rPr>
                <w:lang w:eastAsia="en-US"/>
              </w:rPr>
            </w:pPr>
            <w:r w:rsidRPr="004D0DAA">
              <w:rPr>
                <w:lang w:eastAsia="en-US"/>
              </w:rPr>
              <w:t>2x82</w:t>
            </w:r>
          </w:p>
        </w:tc>
        <w:tc>
          <w:tcPr>
            <w:tcW w:w="1036" w:type="dxa"/>
          </w:tcPr>
          <w:p w14:paraId="186648BE" w14:textId="77777777" w:rsidR="00711444" w:rsidRPr="004D0DAA" w:rsidRDefault="00711444" w:rsidP="00AA2A4C">
            <w:pPr>
              <w:pStyle w:val="TAC"/>
              <w:rPr>
                <w:lang w:eastAsia="en-US"/>
              </w:rPr>
            </w:pPr>
            <w:r w:rsidRPr="004D0DAA">
              <w:rPr>
                <w:lang w:eastAsia="en-US"/>
              </w:rPr>
              <w:t>B padding2</w:t>
            </w:r>
          </w:p>
        </w:tc>
      </w:tr>
      <w:tr w:rsidR="00711444" w:rsidRPr="004D0DAA" w14:paraId="04D70D4F" w14:textId="77777777" w:rsidTr="00AA2A4C">
        <w:trPr>
          <w:cantSplit/>
          <w:jc w:val="center"/>
        </w:trPr>
        <w:tc>
          <w:tcPr>
            <w:tcW w:w="2252" w:type="dxa"/>
          </w:tcPr>
          <w:p w14:paraId="7A07D92D" w14:textId="77777777" w:rsidR="00711444" w:rsidRPr="004D0DAA" w:rsidRDefault="00711444" w:rsidP="00AA2A4C">
            <w:pPr>
              <w:pStyle w:val="TAC"/>
              <w:rPr>
                <w:lang w:eastAsia="en-US"/>
              </w:rPr>
            </w:pPr>
            <w:r w:rsidRPr="004D0DAA">
              <w:rPr>
                <w:lang w:eastAsia="en-US"/>
              </w:rPr>
              <w:t>DAS-11</w:t>
            </w:r>
          </w:p>
        </w:tc>
        <w:tc>
          <w:tcPr>
            <w:tcW w:w="3329" w:type="dxa"/>
          </w:tcPr>
          <w:p w14:paraId="1A238E15" w14:textId="77777777" w:rsidR="00711444" w:rsidRPr="004D0DAA" w:rsidRDefault="00711444" w:rsidP="00AA2A4C">
            <w:pPr>
              <w:pStyle w:val="TAC"/>
              <w:rPr>
                <w:lang w:eastAsia="en-US"/>
              </w:rPr>
            </w:pPr>
            <w:r w:rsidRPr="004D0DAA">
              <w:rPr>
                <w:lang w:eastAsia="en-US"/>
              </w:rPr>
              <w:t>3x68</w:t>
            </w:r>
          </w:p>
        </w:tc>
        <w:tc>
          <w:tcPr>
            <w:tcW w:w="1036" w:type="dxa"/>
          </w:tcPr>
          <w:p w14:paraId="610E837C" w14:textId="77777777" w:rsidR="00711444" w:rsidRPr="004D0DAA" w:rsidRDefault="00711444" w:rsidP="00AA2A4C">
            <w:pPr>
              <w:pStyle w:val="TAC"/>
              <w:rPr>
                <w:lang w:eastAsia="en-US"/>
              </w:rPr>
            </w:pPr>
            <w:r w:rsidRPr="004D0DAA">
              <w:rPr>
                <w:lang w:eastAsia="en-US"/>
              </w:rPr>
              <w:t>A padding6</w:t>
            </w:r>
          </w:p>
        </w:tc>
      </w:tr>
      <w:tr w:rsidR="00711444" w:rsidRPr="004D0DAA" w14:paraId="1D51BB8E" w14:textId="77777777" w:rsidTr="00AA2A4C">
        <w:trPr>
          <w:cantSplit/>
          <w:jc w:val="center"/>
        </w:trPr>
        <w:tc>
          <w:tcPr>
            <w:tcW w:w="2252" w:type="dxa"/>
          </w:tcPr>
          <w:p w14:paraId="49263A55" w14:textId="77777777" w:rsidR="00711444" w:rsidRPr="004D0DAA" w:rsidRDefault="00711444" w:rsidP="00AA2A4C">
            <w:pPr>
              <w:pStyle w:val="TAC"/>
              <w:rPr>
                <w:lang w:eastAsia="en-US"/>
              </w:rPr>
            </w:pPr>
            <w:r w:rsidRPr="004D0DAA">
              <w:rPr>
                <w:lang w:eastAsia="en-US"/>
              </w:rPr>
              <w:t>DAS-12</w:t>
            </w:r>
          </w:p>
        </w:tc>
        <w:tc>
          <w:tcPr>
            <w:tcW w:w="3329" w:type="dxa"/>
          </w:tcPr>
          <w:p w14:paraId="5A98B647" w14:textId="77777777" w:rsidR="00711444" w:rsidRPr="004D0DAA" w:rsidRDefault="00711444" w:rsidP="00AA2A4C">
            <w:pPr>
              <w:pStyle w:val="TAC"/>
              <w:rPr>
                <w:lang w:eastAsia="en-US"/>
              </w:rPr>
            </w:pPr>
            <w:r w:rsidRPr="004D0DAA">
              <w:rPr>
                <w:lang w:eastAsia="en-US"/>
              </w:rPr>
              <w:t>3x82</w:t>
            </w:r>
          </w:p>
        </w:tc>
        <w:tc>
          <w:tcPr>
            <w:tcW w:w="1036" w:type="dxa"/>
          </w:tcPr>
          <w:p w14:paraId="2F95B51C" w14:textId="77777777" w:rsidR="00711444" w:rsidRPr="004D0DAA" w:rsidRDefault="00711444" w:rsidP="00AA2A4C">
            <w:pPr>
              <w:pStyle w:val="TAC"/>
              <w:rPr>
                <w:lang w:eastAsia="en-US"/>
              </w:rPr>
            </w:pPr>
            <w:r w:rsidRPr="004D0DAA">
              <w:rPr>
                <w:lang w:eastAsia="en-US"/>
              </w:rPr>
              <w:t>B padding2</w:t>
            </w:r>
          </w:p>
        </w:tc>
      </w:tr>
      <w:tr w:rsidR="00711444" w:rsidRPr="004D0DAA" w14:paraId="6DF49569" w14:textId="77777777" w:rsidTr="00AA2A4C">
        <w:trPr>
          <w:cantSplit/>
          <w:jc w:val="center"/>
        </w:trPr>
        <w:tc>
          <w:tcPr>
            <w:tcW w:w="6617" w:type="dxa"/>
            <w:gridSpan w:val="3"/>
          </w:tcPr>
          <w:p w14:paraId="6394FBE5" w14:textId="77777777" w:rsidR="00711444" w:rsidRPr="004D0DAA" w:rsidRDefault="00711444" w:rsidP="00AA2A4C">
            <w:pPr>
              <w:pStyle w:val="TAN"/>
              <w:rPr>
                <w:lang w:eastAsia="en-US"/>
              </w:rPr>
            </w:pPr>
            <w:r w:rsidRPr="004D0DAA">
              <w:rPr>
                <w:lang w:eastAsia="en-US"/>
              </w:rPr>
              <w:t>NOTE 1:</w:t>
            </w:r>
            <w:r w:rsidRPr="004D0DAA">
              <w:rPr>
                <w:lang w:eastAsia="en-US"/>
              </w:rPr>
              <w:tab/>
              <w:t>The four families of RLC data blocks (C, B, A padding6, and B padding2) based on a common size basis (22, 28, 68 and 82 octets respectively) enable link adaptation retransmission as described in sub-clause 9.</w:t>
            </w:r>
          </w:p>
          <w:p w14:paraId="65905AB4" w14:textId="77777777" w:rsidR="00711444" w:rsidRPr="004D0DAA" w:rsidRDefault="00711444" w:rsidP="00AA2A4C">
            <w:pPr>
              <w:pStyle w:val="TAN"/>
              <w:rPr>
                <w:lang w:eastAsia="en-US"/>
              </w:rPr>
            </w:pPr>
            <w:r w:rsidRPr="004D0DAA">
              <w:rPr>
                <w:lang w:eastAsia="en-US"/>
              </w:rPr>
              <w:t>NOTE 2:</w:t>
            </w:r>
            <w:r w:rsidRPr="004D0DAA">
              <w:rPr>
                <w:lang w:eastAsia="en-US"/>
              </w:rPr>
              <w:tab/>
              <w:t>MCS-6 is also used for EGPRS2-A downlink (see sub-clause 5.2.1).</w:t>
            </w:r>
          </w:p>
        </w:tc>
      </w:tr>
    </w:tbl>
    <w:p w14:paraId="5B14DE2B" w14:textId="77777777" w:rsidR="00711444" w:rsidRPr="004D0DAA" w:rsidRDefault="00711444" w:rsidP="00711444"/>
    <w:p w14:paraId="4A9C0FBB" w14:textId="77777777" w:rsidR="00711444" w:rsidRPr="004D0DAA" w:rsidRDefault="00711444" w:rsidP="00711444">
      <w:pPr>
        <w:pStyle w:val="TH"/>
      </w:pPr>
      <w:r w:rsidRPr="004D0DAA">
        <w:lastRenderedPageBreak/>
        <w:t>Table 10.3a.0.4: RLC data unit size (EGPRS2-B downlink)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2"/>
        <w:gridCol w:w="3329"/>
        <w:gridCol w:w="1036"/>
      </w:tblGrid>
      <w:tr w:rsidR="00711444" w:rsidRPr="004D0DAA" w14:paraId="375ECB1C" w14:textId="77777777" w:rsidTr="00AA2A4C">
        <w:trPr>
          <w:cantSplit/>
          <w:jc w:val="center"/>
        </w:trPr>
        <w:tc>
          <w:tcPr>
            <w:tcW w:w="2252" w:type="dxa"/>
            <w:tcBorders>
              <w:bottom w:val="nil"/>
            </w:tcBorders>
          </w:tcPr>
          <w:p w14:paraId="6014594A" w14:textId="77777777" w:rsidR="00711444" w:rsidRPr="004D0DAA" w:rsidRDefault="00711444" w:rsidP="00AA2A4C">
            <w:pPr>
              <w:pStyle w:val="TAH"/>
              <w:rPr>
                <w:lang w:eastAsia="en-US"/>
              </w:rPr>
            </w:pPr>
            <w:r w:rsidRPr="004D0DAA">
              <w:rPr>
                <w:lang w:eastAsia="en-US"/>
              </w:rPr>
              <w:t>Channel Coding Scheme</w:t>
            </w:r>
          </w:p>
        </w:tc>
        <w:tc>
          <w:tcPr>
            <w:tcW w:w="3329" w:type="dxa"/>
            <w:tcBorders>
              <w:bottom w:val="nil"/>
            </w:tcBorders>
          </w:tcPr>
          <w:p w14:paraId="07B25C5B" w14:textId="77777777" w:rsidR="00711444" w:rsidRPr="004D0DAA" w:rsidRDefault="00711444" w:rsidP="00AA2A4C">
            <w:pPr>
              <w:pStyle w:val="TAH"/>
              <w:rPr>
                <w:lang w:eastAsia="en-US"/>
              </w:rPr>
            </w:pPr>
            <w:r w:rsidRPr="004D0DAA">
              <w:rPr>
                <w:lang w:eastAsia="en-US"/>
              </w:rPr>
              <w:t>EGPRS RLC data unit size (N2)</w:t>
            </w:r>
            <w:r w:rsidRPr="004D0DAA">
              <w:rPr>
                <w:lang w:eastAsia="en-US"/>
              </w:rPr>
              <w:br/>
              <w:t>(octets)</w:t>
            </w:r>
          </w:p>
        </w:tc>
        <w:tc>
          <w:tcPr>
            <w:tcW w:w="1036" w:type="dxa"/>
            <w:tcBorders>
              <w:bottom w:val="nil"/>
            </w:tcBorders>
          </w:tcPr>
          <w:p w14:paraId="608DB4D2" w14:textId="77777777" w:rsidR="00711444" w:rsidRPr="004D0DAA" w:rsidRDefault="00711444" w:rsidP="00AA2A4C">
            <w:pPr>
              <w:pStyle w:val="TAH"/>
              <w:rPr>
                <w:lang w:eastAsia="en-US"/>
              </w:rPr>
            </w:pPr>
            <w:r w:rsidRPr="004D0DAA">
              <w:rPr>
                <w:lang w:eastAsia="en-US"/>
              </w:rPr>
              <w:t>Family</w:t>
            </w:r>
          </w:p>
        </w:tc>
      </w:tr>
      <w:tr w:rsidR="00711444" w:rsidRPr="004D0DAA" w14:paraId="1C79D5F6" w14:textId="77777777" w:rsidTr="00AA2A4C">
        <w:trPr>
          <w:cantSplit/>
          <w:jc w:val="center"/>
        </w:trPr>
        <w:tc>
          <w:tcPr>
            <w:tcW w:w="2252" w:type="dxa"/>
          </w:tcPr>
          <w:p w14:paraId="4AA2BD73" w14:textId="77777777" w:rsidR="00711444" w:rsidRPr="004D0DAA" w:rsidRDefault="00711444" w:rsidP="00AA2A4C">
            <w:pPr>
              <w:pStyle w:val="TAC"/>
              <w:rPr>
                <w:lang w:eastAsia="en-US"/>
              </w:rPr>
            </w:pPr>
            <w:r w:rsidRPr="004D0DAA">
              <w:rPr>
                <w:lang w:eastAsia="en-US"/>
              </w:rPr>
              <w:t>MCS-1</w:t>
            </w:r>
          </w:p>
        </w:tc>
        <w:tc>
          <w:tcPr>
            <w:tcW w:w="3329" w:type="dxa"/>
          </w:tcPr>
          <w:p w14:paraId="604ABB2B" w14:textId="77777777" w:rsidR="00711444" w:rsidRPr="004D0DAA" w:rsidRDefault="00711444" w:rsidP="00AA2A4C">
            <w:pPr>
              <w:pStyle w:val="TAC"/>
              <w:rPr>
                <w:lang w:eastAsia="en-US"/>
              </w:rPr>
            </w:pPr>
            <w:r w:rsidRPr="004D0DAA">
              <w:rPr>
                <w:lang w:eastAsia="en-US"/>
              </w:rPr>
              <w:t>22</w:t>
            </w:r>
          </w:p>
        </w:tc>
        <w:tc>
          <w:tcPr>
            <w:tcW w:w="1036" w:type="dxa"/>
          </w:tcPr>
          <w:p w14:paraId="2DFB4B05" w14:textId="77777777" w:rsidR="00711444" w:rsidRPr="004D0DAA" w:rsidRDefault="00711444" w:rsidP="00AA2A4C">
            <w:pPr>
              <w:pStyle w:val="TAC"/>
              <w:rPr>
                <w:lang w:eastAsia="en-US"/>
              </w:rPr>
            </w:pPr>
            <w:r w:rsidRPr="004D0DAA">
              <w:rPr>
                <w:lang w:eastAsia="en-US"/>
              </w:rPr>
              <w:t>C</w:t>
            </w:r>
          </w:p>
        </w:tc>
      </w:tr>
      <w:tr w:rsidR="00711444" w:rsidRPr="004D0DAA" w14:paraId="205B7E93" w14:textId="77777777" w:rsidTr="00AA2A4C">
        <w:trPr>
          <w:cantSplit/>
          <w:jc w:val="center"/>
        </w:trPr>
        <w:tc>
          <w:tcPr>
            <w:tcW w:w="2252" w:type="dxa"/>
          </w:tcPr>
          <w:p w14:paraId="0911FB5D" w14:textId="77777777" w:rsidR="00711444" w:rsidRPr="004D0DAA" w:rsidRDefault="00711444" w:rsidP="00AA2A4C">
            <w:pPr>
              <w:pStyle w:val="TAC"/>
              <w:rPr>
                <w:lang w:eastAsia="en-US"/>
              </w:rPr>
            </w:pPr>
            <w:r w:rsidRPr="004D0DAA">
              <w:rPr>
                <w:lang w:eastAsia="en-US"/>
              </w:rPr>
              <w:t>MCS-2</w:t>
            </w:r>
          </w:p>
        </w:tc>
        <w:tc>
          <w:tcPr>
            <w:tcW w:w="3329" w:type="dxa"/>
          </w:tcPr>
          <w:p w14:paraId="11E4CCB8" w14:textId="77777777" w:rsidR="00711444" w:rsidRPr="004D0DAA" w:rsidRDefault="00711444" w:rsidP="00AA2A4C">
            <w:pPr>
              <w:pStyle w:val="TAC"/>
              <w:rPr>
                <w:lang w:eastAsia="en-US"/>
              </w:rPr>
            </w:pPr>
            <w:r w:rsidRPr="004D0DAA">
              <w:rPr>
                <w:lang w:eastAsia="en-US"/>
              </w:rPr>
              <w:t>28</w:t>
            </w:r>
          </w:p>
        </w:tc>
        <w:tc>
          <w:tcPr>
            <w:tcW w:w="1036" w:type="dxa"/>
          </w:tcPr>
          <w:p w14:paraId="118E6F96" w14:textId="77777777" w:rsidR="00711444" w:rsidRPr="004D0DAA" w:rsidRDefault="00711444" w:rsidP="00AA2A4C">
            <w:pPr>
              <w:pStyle w:val="TAC"/>
              <w:rPr>
                <w:lang w:eastAsia="en-US"/>
              </w:rPr>
            </w:pPr>
            <w:r w:rsidRPr="004D0DAA">
              <w:rPr>
                <w:lang w:eastAsia="en-US"/>
              </w:rPr>
              <w:t>B</w:t>
            </w:r>
          </w:p>
        </w:tc>
      </w:tr>
      <w:tr w:rsidR="00711444" w:rsidRPr="004D0DAA" w14:paraId="62D4553A" w14:textId="77777777" w:rsidTr="00AA2A4C">
        <w:trPr>
          <w:cantSplit/>
          <w:jc w:val="center"/>
        </w:trPr>
        <w:tc>
          <w:tcPr>
            <w:tcW w:w="2252" w:type="dxa"/>
          </w:tcPr>
          <w:p w14:paraId="71137FE7" w14:textId="77777777" w:rsidR="00711444" w:rsidRPr="004D0DAA" w:rsidRDefault="00711444" w:rsidP="00AA2A4C">
            <w:pPr>
              <w:pStyle w:val="TAC"/>
              <w:rPr>
                <w:lang w:eastAsia="en-US"/>
              </w:rPr>
            </w:pPr>
            <w:r w:rsidRPr="004D0DAA">
              <w:rPr>
                <w:lang w:eastAsia="en-US"/>
              </w:rPr>
              <w:t>MCS-3 with padding</w:t>
            </w:r>
          </w:p>
        </w:tc>
        <w:tc>
          <w:tcPr>
            <w:tcW w:w="3329" w:type="dxa"/>
          </w:tcPr>
          <w:p w14:paraId="141EAB18" w14:textId="77777777" w:rsidR="00711444" w:rsidRPr="004D0DAA" w:rsidRDefault="00711444" w:rsidP="00AA2A4C">
            <w:pPr>
              <w:pStyle w:val="TAC"/>
              <w:rPr>
                <w:lang w:eastAsia="en-US"/>
              </w:rPr>
            </w:pPr>
            <w:r w:rsidRPr="004D0DAA">
              <w:rPr>
                <w:lang w:eastAsia="en-US"/>
              </w:rPr>
              <w:t>31</w:t>
            </w:r>
          </w:p>
        </w:tc>
        <w:tc>
          <w:tcPr>
            <w:tcW w:w="1036" w:type="dxa"/>
          </w:tcPr>
          <w:p w14:paraId="77967A07" w14:textId="77777777" w:rsidR="00711444" w:rsidRPr="004D0DAA" w:rsidRDefault="00711444" w:rsidP="00AA2A4C">
            <w:pPr>
              <w:pStyle w:val="TAC"/>
              <w:rPr>
                <w:lang w:eastAsia="en-US"/>
              </w:rPr>
            </w:pPr>
            <w:r w:rsidRPr="004D0DAA">
              <w:rPr>
                <w:lang w:eastAsia="en-US"/>
              </w:rPr>
              <w:t>A padding6</w:t>
            </w:r>
          </w:p>
        </w:tc>
      </w:tr>
      <w:tr w:rsidR="00711444" w:rsidRPr="004D0DAA" w14:paraId="1769A9D9" w14:textId="77777777" w:rsidTr="00AA2A4C">
        <w:trPr>
          <w:cantSplit/>
          <w:jc w:val="center"/>
        </w:trPr>
        <w:tc>
          <w:tcPr>
            <w:tcW w:w="2252" w:type="dxa"/>
          </w:tcPr>
          <w:p w14:paraId="06D6877D" w14:textId="77777777" w:rsidR="00711444" w:rsidRPr="004D0DAA" w:rsidRDefault="00711444" w:rsidP="00AA2A4C">
            <w:pPr>
              <w:pStyle w:val="TAC"/>
              <w:rPr>
                <w:lang w:eastAsia="en-US"/>
              </w:rPr>
            </w:pPr>
            <w:r w:rsidRPr="004D0DAA">
              <w:rPr>
                <w:lang w:eastAsia="en-US"/>
              </w:rPr>
              <w:t>MCS-3</w:t>
            </w:r>
          </w:p>
        </w:tc>
        <w:tc>
          <w:tcPr>
            <w:tcW w:w="3329" w:type="dxa"/>
          </w:tcPr>
          <w:p w14:paraId="6F186BB9" w14:textId="77777777" w:rsidR="00711444" w:rsidRPr="004D0DAA" w:rsidRDefault="00711444" w:rsidP="00AA2A4C">
            <w:pPr>
              <w:pStyle w:val="TAC"/>
              <w:rPr>
                <w:lang w:eastAsia="en-US"/>
              </w:rPr>
            </w:pPr>
            <w:r w:rsidRPr="004D0DAA">
              <w:rPr>
                <w:lang w:eastAsia="en-US"/>
              </w:rPr>
              <w:t>37</w:t>
            </w:r>
          </w:p>
        </w:tc>
        <w:tc>
          <w:tcPr>
            <w:tcW w:w="1036" w:type="dxa"/>
          </w:tcPr>
          <w:p w14:paraId="16E98395" w14:textId="77777777" w:rsidR="00711444" w:rsidRPr="004D0DAA" w:rsidRDefault="00711444" w:rsidP="00AA2A4C">
            <w:pPr>
              <w:pStyle w:val="TAC"/>
              <w:rPr>
                <w:lang w:eastAsia="en-US"/>
              </w:rPr>
            </w:pPr>
            <w:r w:rsidRPr="004D0DAA">
              <w:rPr>
                <w:lang w:eastAsia="en-US"/>
              </w:rPr>
              <w:t>A padding6 / A</w:t>
            </w:r>
          </w:p>
        </w:tc>
      </w:tr>
      <w:tr w:rsidR="00711444" w:rsidRPr="004D0DAA" w14:paraId="477D5997" w14:textId="77777777" w:rsidTr="00AA2A4C">
        <w:trPr>
          <w:cantSplit/>
          <w:jc w:val="center"/>
        </w:trPr>
        <w:tc>
          <w:tcPr>
            <w:tcW w:w="2252" w:type="dxa"/>
          </w:tcPr>
          <w:p w14:paraId="4BA59E95" w14:textId="77777777" w:rsidR="00711444" w:rsidRPr="004D0DAA" w:rsidRDefault="00711444" w:rsidP="00AA2A4C">
            <w:pPr>
              <w:pStyle w:val="TAC"/>
              <w:rPr>
                <w:lang w:eastAsia="en-US"/>
              </w:rPr>
            </w:pPr>
            <w:r w:rsidRPr="004D0DAA">
              <w:rPr>
                <w:lang w:eastAsia="en-US"/>
              </w:rPr>
              <w:t>MCS-4</w:t>
            </w:r>
          </w:p>
        </w:tc>
        <w:tc>
          <w:tcPr>
            <w:tcW w:w="3329" w:type="dxa"/>
          </w:tcPr>
          <w:p w14:paraId="2BC18F2D" w14:textId="77777777" w:rsidR="00711444" w:rsidRPr="004D0DAA" w:rsidRDefault="00711444" w:rsidP="00AA2A4C">
            <w:pPr>
              <w:pStyle w:val="TAC"/>
              <w:rPr>
                <w:lang w:eastAsia="en-US"/>
              </w:rPr>
            </w:pPr>
            <w:r w:rsidRPr="004D0DAA">
              <w:rPr>
                <w:lang w:eastAsia="en-US"/>
              </w:rPr>
              <w:t>44</w:t>
            </w:r>
          </w:p>
        </w:tc>
        <w:tc>
          <w:tcPr>
            <w:tcW w:w="1036" w:type="dxa"/>
          </w:tcPr>
          <w:p w14:paraId="3B9E6B0B" w14:textId="77777777" w:rsidR="00711444" w:rsidRPr="004D0DAA" w:rsidRDefault="00711444" w:rsidP="00AA2A4C">
            <w:pPr>
              <w:pStyle w:val="TAC"/>
              <w:rPr>
                <w:lang w:eastAsia="en-US"/>
              </w:rPr>
            </w:pPr>
            <w:r w:rsidRPr="004D0DAA">
              <w:rPr>
                <w:lang w:eastAsia="en-US"/>
              </w:rPr>
              <w:t>C</w:t>
            </w:r>
          </w:p>
        </w:tc>
      </w:tr>
      <w:tr w:rsidR="00711444" w:rsidRPr="004D0DAA" w14:paraId="749BF194" w14:textId="77777777" w:rsidTr="00AA2A4C">
        <w:trPr>
          <w:cantSplit/>
          <w:jc w:val="center"/>
        </w:trPr>
        <w:tc>
          <w:tcPr>
            <w:tcW w:w="2252" w:type="dxa"/>
          </w:tcPr>
          <w:p w14:paraId="2EE2D278" w14:textId="77777777" w:rsidR="00711444" w:rsidRPr="004D0DAA" w:rsidRDefault="00711444" w:rsidP="00AA2A4C">
            <w:pPr>
              <w:pStyle w:val="TAC"/>
              <w:rPr>
                <w:lang w:eastAsia="en-US"/>
              </w:rPr>
            </w:pPr>
            <w:r w:rsidRPr="004D0DAA">
              <w:rPr>
                <w:lang w:eastAsia="en-US"/>
              </w:rPr>
              <w:t>DAS-5</w:t>
            </w:r>
          </w:p>
        </w:tc>
        <w:tc>
          <w:tcPr>
            <w:tcW w:w="3329" w:type="dxa"/>
          </w:tcPr>
          <w:p w14:paraId="4EB10C8D" w14:textId="77777777" w:rsidR="00711444" w:rsidRPr="004D0DAA" w:rsidRDefault="00711444" w:rsidP="00AA2A4C">
            <w:pPr>
              <w:pStyle w:val="TAC"/>
              <w:rPr>
                <w:lang w:eastAsia="en-US"/>
              </w:rPr>
            </w:pPr>
            <w:r w:rsidRPr="004D0DAA">
              <w:rPr>
                <w:lang w:eastAsia="en-US"/>
              </w:rPr>
              <w:t>56</w:t>
            </w:r>
          </w:p>
        </w:tc>
        <w:tc>
          <w:tcPr>
            <w:tcW w:w="1036" w:type="dxa"/>
          </w:tcPr>
          <w:p w14:paraId="793B5795" w14:textId="77777777" w:rsidR="00711444" w:rsidRPr="004D0DAA" w:rsidRDefault="00711444" w:rsidP="00AA2A4C">
            <w:pPr>
              <w:pStyle w:val="TAC"/>
              <w:rPr>
                <w:lang w:eastAsia="en-US"/>
              </w:rPr>
            </w:pPr>
            <w:r w:rsidRPr="004D0DAA">
              <w:rPr>
                <w:lang w:eastAsia="en-US"/>
              </w:rPr>
              <w:t>B</w:t>
            </w:r>
          </w:p>
        </w:tc>
      </w:tr>
      <w:tr w:rsidR="00711444" w:rsidRPr="004D0DAA" w14:paraId="5679DD41" w14:textId="77777777" w:rsidTr="00AA2A4C">
        <w:trPr>
          <w:cantSplit/>
          <w:jc w:val="center"/>
        </w:trPr>
        <w:tc>
          <w:tcPr>
            <w:tcW w:w="2252" w:type="dxa"/>
          </w:tcPr>
          <w:p w14:paraId="1D8F9DC0" w14:textId="77777777" w:rsidR="00711444" w:rsidRPr="004D0DAA" w:rsidRDefault="00711444" w:rsidP="00AA2A4C">
            <w:pPr>
              <w:pStyle w:val="TAC"/>
              <w:rPr>
                <w:lang w:eastAsia="en-US"/>
              </w:rPr>
            </w:pPr>
            <w:r w:rsidRPr="004D0DAA">
              <w:rPr>
                <w:lang w:eastAsia="en-US"/>
              </w:rPr>
              <w:t>DBS-5</w:t>
            </w:r>
          </w:p>
        </w:tc>
        <w:tc>
          <w:tcPr>
            <w:tcW w:w="3329" w:type="dxa"/>
          </w:tcPr>
          <w:p w14:paraId="29A38047" w14:textId="77777777" w:rsidR="00711444" w:rsidRPr="004D0DAA" w:rsidRDefault="00711444" w:rsidP="00AA2A4C">
            <w:pPr>
              <w:pStyle w:val="TAC"/>
              <w:rPr>
                <w:lang w:eastAsia="en-US"/>
              </w:rPr>
            </w:pPr>
            <w:r w:rsidRPr="004D0DAA">
              <w:rPr>
                <w:lang w:eastAsia="en-US"/>
              </w:rPr>
              <w:t>56</w:t>
            </w:r>
          </w:p>
        </w:tc>
        <w:tc>
          <w:tcPr>
            <w:tcW w:w="1036" w:type="dxa"/>
          </w:tcPr>
          <w:p w14:paraId="007D001C" w14:textId="77777777" w:rsidR="00711444" w:rsidRPr="004D0DAA" w:rsidRDefault="00711444" w:rsidP="00AA2A4C">
            <w:pPr>
              <w:pStyle w:val="TAC"/>
              <w:rPr>
                <w:lang w:eastAsia="en-US"/>
              </w:rPr>
            </w:pPr>
            <w:r w:rsidRPr="004D0DAA">
              <w:rPr>
                <w:lang w:eastAsia="en-US"/>
              </w:rPr>
              <w:t>B</w:t>
            </w:r>
          </w:p>
        </w:tc>
      </w:tr>
      <w:tr w:rsidR="00711444" w:rsidRPr="004D0DAA" w14:paraId="5EB5A52A" w14:textId="77777777" w:rsidTr="00AA2A4C">
        <w:trPr>
          <w:cantSplit/>
          <w:jc w:val="center"/>
        </w:trPr>
        <w:tc>
          <w:tcPr>
            <w:tcW w:w="2252" w:type="dxa"/>
          </w:tcPr>
          <w:p w14:paraId="1C29F177" w14:textId="77777777" w:rsidR="00711444" w:rsidRPr="004D0DAA" w:rsidRDefault="00711444" w:rsidP="00AA2A4C">
            <w:pPr>
              <w:pStyle w:val="TAC"/>
              <w:rPr>
                <w:lang w:eastAsia="en-US"/>
              </w:rPr>
            </w:pPr>
            <w:r w:rsidRPr="004D0DAA">
              <w:rPr>
                <w:lang w:eastAsia="en-US"/>
              </w:rPr>
              <w:t>DAS-6</w:t>
            </w:r>
          </w:p>
        </w:tc>
        <w:tc>
          <w:tcPr>
            <w:tcW w:w="3329" w:type="dxa"/>
          </w:tcPr>
          <w:p w14:paraId="102121EC" w14:textId="77777777" w:rsidR="00711444" w:rsidRPr="004D0DAA" w:rsidRDefault="00711444" w:rsidP="00AA2A4C">
            <w:pPr>
              <w:pStyle w:val="TAC"/>
              <w:rPr>
                <w:lang w:eastAsia="en-US"/>
              </w:rPr>
            </w:pPr>
            <w:r w:rsidRPr="004D0DAA">
              <w:rPr>
                <w:lang w:eastAsia="en-US"/>
              </w:rPr>
              <w:t>68</w:t>
            </w:r>
          </w:p>
        </w:tc>
        <w:tc>
          <w:tcPr>
            <w:tcW w:w="1036" w:type="dxa"/>
          </w:tcPr>
          <w:p w14:paraId="621F1D58" w14:textId="77777777" w:rsidR="00711444" w:rsidRPr="004D0DAA" w:rsidRDefault="00711444" w:rsidP="00AA2A4C">
            <w:pPr>
              <w:pStyle w:val="TAC"/>
              <w:rPr>
                <w:lang w:eastAsia="en-US"/>
              </w:rPr>
            </w:pPr>
            <w:r w:rsidRPr="004D0DAA">
              <w:rPr>
                <w:lang w:eastAsia="en-US"/>
              </w:rPr>
              <w:t>A padding6</w:t>
            </w:r>
          </w:p>
        </w:tc>
      </w:tr>
      <w:tr w:rsidR="00711444" w:rsidRPr="004D0DAA" w14:paraId="01F64FD8" w14:textId="77777777" w:rsidTr="00AA2A4C">
        <w:trPr>
          <w:cantSplit/>
          <w:jc w:val="center"/>
        </w:trPr>
        <w:tc>
          <w:tcPr>
            <w:tcW w:w="2252" w:type="dxa"/>
          </w:tcPr>
          <w:p w14:paraId="798E212F" w14:textId="77777777" w:rsidR="00711444" w:rsidRPr="004D0DAA" w:rsidRDefault="00711444" w:rsidP="00AA2A4C">
            <w:pPr>
              <w:pStyle w:val="TAC"/>
              <w:rPr>
                <w:lang w:eastAsia="en-US"/>
              </w:rPr>
            </w:pPr>
            <w:r w:rsidRPr="004D0DAA">
              <w:rPr>
                <w:lang w:eastAsia="en-US"/>
              </w:rPr>
              <w:t>MCS-6</w:t>
            </w:r>
          </w:p>
        </w:tc>
        <w:tc>
          <w:tcPr>
            <w:tcW w:w="3329" w:type="dxa"/>
          </w:tcPr>
          <w:p w14:paraId="5C9BFB9D" w14:textId="77777777" w:rsidR="00711444" w:rsidRPr="004D0DAA" w:rsidRDefault="00711444" w:rsidP="00AA2A4C">
            <w:pPr>
              <w:pStyle w:val="TAC"/>
              <w:rPr>
                <w:lang w:eastAsia="en-US"/>
              </w:rPr>
            </w:pPr>
            <w:r w:rsidRPr="004D0DAA">
              <w:rPr>
                <w:lang w:eastAsia="en-US"/>
              </w:rPr>
              <w:t>74</w:t>
            </w:r>
          </w:p>
        </w:tc>
        <w:tc>
          <w:tcPr>
            <w:tcW w:w="1036" w:type="dxa"/>
          </w:tcPr>
          <w:p w14:paraId="67109378" w14:textId="77777777" w:rsidR="00711444" w:rsidRPr="004D0DAA" w:rsidRDefault="00711444" w:rsidP="00AA2A4C">
            <w:pPr>
              <w:pStyle w:val="TAC"/>
              <w:rPr>
                <w:lang w:eastAsia="en-US"/>
              </w:rPr>
            </w:pPr>
            <w:r w:rsidRPr="004D0DAA">
              <w:rPr>
                <w:lang w:eastAsia="en-US"/>
              </w:rPr>
              <w:t>A</w:t>
            </w:r>
          </w:p>
        </w:tc>
      </w:tr>
      <w:tr w:rsidR="00711444" w:rsidRPr="004D0DAA" w14:paraId="3238AB56" w14:textId="77777777" w:rsidTr="00AA2A4C">
        <w:trPr>
          <w:cantSplit/>
          <w:jc w:val="center"/>
        </w:trPr>
        <w:tc>
          <w:tcPr>
            <w:tcW w:w="2252" w:type="dxa"/>
          </w:tcPr>
          <w:p w14:paraId="6161BE80" w14:textId="77777777" w:rsidR="00711444" w:rsidRPr="004D0DAA" w:rsidRDefault="00711444" w:rsidP="00AA2A4C">
            <w:pPr>
              <w:pStyle w:val="TAC"/>
              <w:rPr>
                <w:lang w:eastAsia="en-US"/>
              </w:rPr>
            </w:pPr>
            <w:r w:rsidRPr="004D0DAA">
              <w:rPr>
                <w:lang w:eastAsia="en-US"/>
              </w:rPr>
              <w:t>DBS-6</w:t>
            </w:r>
          </w:p>
        </w:tc>
        <w:tc>
          <w:tcPr>
            <w:tcW w:w="3329" w:type="dxa"/>
          </w:tcPr>
          <w:p w14:paraId="7DD614B5" w14:textId="77777777" w:rsidR="00711444" w:rsidRPr="004D0DAA" w:rsidRDefault="00711444" w:rsidP="00AA2A4C">
            <w:pPr>
              <w:pStyle w:val="TAC"/>
              <w:rPr>
                <w:lang w:eastAsia="en-US"/>
              </w:rPr>
            </w:pPr>
            <w:r w:rsidRPr="004D0DAA">
              <w:rPr>
                <w:lang w:eastAsia="en-US"/>
              </w:rPr>
              <w:t>74</w:t>
            </w:r>
          </w:p>
        </w:tc>
        <w:tc>
          <w:tcPr>
            <w:tcW w:w="1036" w:type="dxa"/>
          </w:tcPr>
          <w:p w14:paraId="18E55D4A" w14:textId="77777777" w:rsidR="00711444" w:rsidRPr="004D0DAA" w:rsidRDefault="00711444" w:rsidP="00AA2A4C">
            <w:pPr>
              <w:pStyle w:val="TAC"/>
              <w:rPr>
                <w:lang w:eastAsia="en-US"/>
              </w:rPr>
            </w:pPr>
            <w:r w:rsidRPr="004D0DAA">
              <w:rPr>
                <w:lang w:eastAsia="en-US"/>
              </w:rPr>
              <w:t>A</w:t>
            </w:r>
          </w:p>
        </w:tc>
      </w:tr>
      <w:tr w:rsidR="00711444" w:rsidRPr="004D0DAA" w14:paraId="665BD6E2" w14:textId="77777777" w:rsidTr="00AA2A4C">
        <w:trPr>
          <w:cantSplit/>
          <w:jc w:val="center"/>
        </w:trPr>
        <w:tc>
          <w:tcPr>
            <w:tcW w:w="2252" w:type="dxa"/>
          </w:tcPr>
          <w:p w14:paraId="4311D8B6" w14:textId="77777777" w:rsidR="00711444" w:rsidRPr="004D0DAA" w:rsidRDefault="00711444" w:rsidP="00AA2A4C">
            <w:pPr>
              <w:pStyle w:val="TAC"/>
              <w:rPr>
                <w:lang w:eastAsia="en-US"/>
              </w:rPr>
            </w:pPr>
            <w:r w:rsidRPr="004D0DAA">
              <w:rPr>
                <w:lang w:eastAsia="en-US"/>
              </w:rPr>
              <w:t>MCS-7</w:t>
            </w:r>
          </w:p>
        </w:tc>
        <w:tc>
          <w:tcPr>
            <w:tcW w:w="3329" w:type="dxa"/>
          </w:tcPr>
          <w:p w14:paraId="1EB3891F" w14:textId="77777777" w:rsidR="00711444" w:rsidRPr="004D0DAA" w:rsidRDefault="00711444" w:rsidP="00AA2A4C">
            <w:pPr>
              <w:pStyle w:val="TAC"/>
              <w:rPr>
                <w:lang w:eastAsia="en-US"/>
              </w:rPr>
            </w:pPr>
            <w:r w:rsidRPr="004D0DAA">
              <w:rPr>
                <w:lang w:eastAsia="en-US"/>
              </w:rPr>
              <w:t>2x56</w:t>
            </w:r>
          </w:p>
        </w:tc>
        <w:tc>
          <w:tcPr>
            <w:tcW w:w="1036" w:type="dxa"/>
          </w:tcPr>
          <w:p w14:paraId="68A03D48" w14:textId="77777777" w:rsidR="00711444" w:rsidRPr="004D0DAA" w:rsidRDefault="00711444" w:rsidP="00AA2A4C">
            <w:pPr>
              <w:pStyle w:val="TAC"/>
              <w:rPr>
                <w:lang w:eastAsia="en-US"/>
              </w:rPr>
            </w:pPr>
            <w:r w:rsidRPr="004D0DAA">
              <w:rPr>
                <w:lang w:eastAsia="en-US"/>
              </w:rPr>
              <w:t>B</w:t>
            </w:r>
          </w:p>
        </w:tc>
      </w:tr>
      <w:tr w:rsidR="00711444" w:rsidRPr="004D0DAA" w14:paraId="13133076" w14:textId="77777777" w:rsidTr="00AA2A4C">
        <w:trPr>
          <w:cantSplit/>
          <w:jc w:val="center"/>
        </w:trPr>
        <w:tc>
          <w:tcPr>
            <w:tcW w:w="2252" w:type="dxa"/>
          </w:tcPr>
          <w:p w14:paraId="6C4F933C" w14:textId="77777777" w:rsidR="00711444" w:rsidRPr="004D0DAA" w:rsidRDefault="00711444" w:rsidP="00AA2A4C">
            <w:pPr>
              <w:pStyle w:val="TAC"/>
              <w:rPr>
                <w:lang w:eastAsia="en-US"/>
              </w:rPr>
            </w:pPr>
            <w:r w:rsidRPr="004D0DAA">
              <w:rPr>
                <w:lang w:eastAsia="en-US"/>
              </w:rPr>
              <w:t>DAS-8</w:t>
            </w:r>
          </w:p>
        </w:tc>
        <w:tc>
          <w:tcPr>
            <w:tcW w:w="3329" w:type="dxa"/>
          </w:tcPr>
          <w:p w14:paraId="43D05DA8" w14:textId="77777777" w:rsidR="00711444" w:rsidRPr="004D0DAA" w:rsidRDefault="00711444" w:rsidP="00AA2A4C">
            <w:pPr>
              <w:pStyle w:val="TAC"/>
              <w:rPr>
                <w:lang w:eastAsia="en-US"/>
              </w:rPr>
            </w:pPr>
            <w:r w:rsidRPr="004D0DAA">
              <w:rPr>
                <w:lang w:eastAsia="en-US"/>
              </w:rPr>
              <w:t>2x56</w:t>
            </w:r>
          </w:p>
        </w:tc>
        <w:tc>
          <w:tcPr>
            <w:tcW w:w="1036" w:type="dxa"/>
          </w:tcPr>
          <w:p w14:paraId="2BA5CF6C" w14:textId="77777777" w:rsidR="00711444" w:rsidRPr="004D0DAA" w:rsidRDefault="00711444" w:rsidP="00AA2A4C">
            <w:pPr>
              <w:pStyle w:val="TAC"/>
              <w:rPr>
                <w:lang w:eastAsia="en-US"/>
              </w:rPr>
            </w:pPr>
            <w:r w:rsidRPr="004D0DAA">
              <w:rPr>
                <w:lang w:eastAsia="en-US"/>
              </w:rPr>
              <w:t>B</w:t>
            </w:r>
          </w:p>
        </w:tc>
      </w:tr>
      <w:tr w:rsidR="00711444" w:rsidRPr="004D0DAA" w14:paraId="40B19917" w14:textId="77777777" w:rsidTr="00AA2A4C">
        <w:trPr>
          <w:cantSplit/>
          <w:jc w:val="center"/>
        </w:trPr>
        <w:tc>
          <w:tcPr>
            <w:tcW w:w="2252" w:type="dxa"/>
          </w:tcPr>
          <w:p w14:paraId="6236EA9E" w14:textId="77777777" w:rsidR="00711444" w:rsidRPr="004D0DAA" w:rsidRDefault="00711444" w:rsidP="00AA2A4C">
            <w:pPr>
              <w:pStyle w:val="TAC"/>
              <w:rPr>
                <w:lang w:eastAsia="en-US"/>
              </w:rPr>
            </w:pPr>
            <w:r w:rsidRPr="004D0DAA">
              <w:rPr>
                <w:lang w:eastAsia="en-US"/>
              </w:rPr>
              <w:t>DBS-7</w:t>
            </w:r>
          </w:p>
        </w:tc>
        <w:tc>
          <w:tcPr>
            <w:tcW w:w="3329" w:type="dxa"/>
          </w:tcPr>
          <w:p w14:paraId="6FD3A1BD" w14:textId="77777777" w:rsidR="00711444" w:rsidRPr="004D0DAA" w:rsidRDefault="00711444" w:rsidP="00AA2A4C">
            <w:pPr>
              <w:pStyle w:val="TAC"/>
              <w:rPr>
                <w:lang w:eastAsia="en-US"/>
              </w:rPr>
            </w:pPr>
            <w:r w:rsidRPr="004D0DAA">
              <w:rPr>
                <w:lang w:eastAsia="en-US"/>
              </w:rPr>
              <w:t>2x56</w:t>
            </w:r>
          </w:p>
        </w:tc>
        <w:tc>
          <w:tcPr>
            <w:tcW w:w="1036" w:type="dxa"/>
          </w:tcPr>
          <w:p w14:paraId="24F0B08B" w14:textId="77777777" w:rsidR="00711444" w:rsidRPr="004D0DAA" w:rsidRDefault="00711444" w:rsidP="00AA2A4C">
            <w:pPr>
              <w:pStyle w:val="TAC"/>
              <w:rPr>
                <w:lang w:eastAsia="en-US"/>
              </w:rPr>
            </w:pPr>
            <w:r w:rsidRPr="004D0DAA">
              <w:rPr>
                <w:lang w:eastAsia="en-US"/>
              </w:rPr>
              <w:t>B</w:t>
            </w:r>
          </w:p>
        </w:tc>
      </w:tr>
      <w:tr w:rsidR="00711444" w:rsidRPr="004D0DAA" w14:paraId="1DD32907" w14:textId="77777777" w:rsidTr="00AA2A4C">
        <w:trPr>
          <w:cantSplit/>
          <w:jc w:val="center"/>
        </w:trPr>
        <w:tc>
          <w:tcPr>
            <w:tcW w:w="2252" w:type="dxa"/>
          </w:tcPr>
          <w:p w14:paraId="784AE3F7" w14:textId="77777777" w:rsidR="00711444" w:rsidRPr="004D0DAA" w:rsidRDefault="00711444" w:rsidP="00AA2A4C">
            <w:pPr>
              <w:pStyle w:val="TAC"/>
              <w:rPr>
                <w:lang w:eastAsia="en-US"/>
              </w:rPr>
            </w:pPr>
            <w:r w:rsidRPr="004D0DAA">
              <w:rPr>
                <w:lang w:eastAsia="en-US"/>
              </w:rPr>
              <w:t>MCS-8</w:t>
            </w:r>
          </w:p>
        </w:tc>
        <w:tc>
          <w:tcPr>
            <w:tcW w:w="3329" w:type="dxa"/>
          </w:tcPr>
          <w:p w14:paraId="6C18680C" w14:textId="77777777" w:rsidR="00711444" w:rsidRPr="004D0DAA" w:rsidRDefault="00711444" w:rsidP="00AA2A4C">
            <w:pPr>
              <w:pStyle w:val="TAC"/>
              <w:rPr>
                <w:lang w:eastAsia="en-US"/>
              </w:rPr>
            </w:pPr>
            <w:r w:rsidRPr="004D0DAA">
              <w:rPr>
                <w:lang w:eastAsia="en-US"/>
              </w:rPr>
              <w:t>2x68</w:t>
            </w:r>
          </w:p>
        </w:tc>
        <w:tc>
          <w:tcPr>
            <w:tcW w:w="1036" w:type="dxa"/>
          </w:tcPr>
          <w:p w14:paraId="7F5C9528" w14:textId="77777777" w:rsidR="00711444" w:rsidRPr="004D0DAA" w:rsidRDefault="00711444" w:rsidP="00AA2A4C">
            <w:pPr>
              <w:pStyle w:val="TAC"/>
              <w:rPr>
                <w:lang w:eastAsia="en-US"/>
              </w:rPr>
            </w:pPr>
            <w:r w:rsidRPr="004D0DAA">
              <w:rPr>
                <w:lang w:eastAsia="en-US"/>
              </w:rPr>
              <w:t>A padding6</w:t>
            </w:r>
          </w:p>
        </w:tc>
      </w:tr>
      <w:tr w:rsidR="00711444" w:rsidRPr="004D0DAA" w14:paraId="1A2A7D25" w14:textId="77777777" w:rsidTr="00AA2A4C">
        <w:trPr>
          <w:cantSplit/>
          <w:jc w:val="center"/>
        </w:trPr>
        <w:tc>
          <w:tcPr>
            <w:tcW w:w="2252" w:type="dxa"/>
          </w:tcPr>
          <w:p w14:paraId="48D9B102" w14:textId="77777777" w:rsidR="00711444" w:rsidRPr="004D0DAA" w:rsidRDefault="00711444" w:rsidP="00AA2A4C">
            <w:pPr>
              <w:pStyle w:val="TAC"/>
              <w:rPr>
                <w:lang w:eastAsia="en-US"/>
              </w:rPr>
            </w:pPr>
            <w:r w:rsidRPr="004D0DAA">
              <w:rPr>
                <w:lang w:eastAsia="en-US"/>
              </w:rPr>
              <w:t>DAS-9</w:t>
            </w:r>
          </w:p>
        </w:tc>
        <w:tc>
          <w:tcPr>
            <w:tcW w:w="3329" w:type="dxa"/>
          </w:tcPr>
          <w:p w14:paraId="62686DCB" w14:textId="77777777" w:rsidR="00711444" w:rsidRPr="004D0DAA" w:rsidRDefault="00711444" w:rsidP="00AA2A4C">
            <w:pPr>
              <w:pStyle w:val="TAC"/>
              <w:rPr>
                <w:lang w:eastAsia="en-US"/>
              </w:rPr>
            </w:pPr>
            <w:r w:rsidRPr="004D0DAA">
              <w:rPr>
                <w:lang w:eastAsia="en-US"/>
              </w:rPr>
              <w:t>2x68</w:t>
            </w:r>
          </w:p>
        </w:tc>
        <w:tc>
          <w:tcPr>
            <w:tcW w:w="1036" w:type="dxa"/>
          </w:tcPr>
          <w:p w14:paraId="5B48FD4E" w14:textId="77777777" w:rsidR="00711444" w:rsidRPr="004D0DAA" w:rsidRDefault="00711444" w:rsidP="00AA2A4C">
            <w:pPr>
              <w:pStyle w:val="TAC"/>
              <w:rPr>
                <w:lang w:eastAsia="en-US"/>
              </w:rPr>
            </w:pPr>
            <w:r w:rsidRPr="004D0DAA">
              <w:rPr>
                <w:lang w:eastAsia="en-US"/>
              </w:rPr>
              <w:t>A padding6</w:t>
            </w:r>
          </w:p>
        </w:tc>
      </w:tr>
      <w:tr w:rsidR="00711444" w:rsidRPr="004D0DAA" w14:paraId="37091541" w14:textId="77777777" w:rsidTr="00AA2A4C">
        <w:trPr>
          <w:cantSplit/>
          <w:jc w:val="center"/>
        </w:trPr>
        <w:tc>
          <w:tcPr>
            <w:tcW w:w="2252" w:type="dxa"/>
          </w:tcPr>
          <w:p w14:paraId="6B0FA5D1" w14:textId="77777777" w:rsidR="00711444" w:rsidRPr="004D0DAA" w:rsidRDefault="00711444" w:rsidP="00AA2A4C">
            <w:pPr>
              <w:pStyle w:val="TAC"/>
              <w:rPr>
                <w:lang w:eastAsia="en-US"/>
              </w:rPr>
            </w:pPr>
            <w:r w:rsidRPr="004D0DAA">
              <w:rPr>
                <w:lang w:eastAsia="en-US"/>
              </w:rPr>
              <w:t>MCS-9</w:t>
            </w:r>
          </w:p>
        </w:tc>
        <w:tc>
          <w:tcPr>
            <w:tcW w:w="3329" w:type="dxa"/>
          </w:tcPr>
          <w:p w14:paraId="525937AA" w14:textId="77777777" w:rsidR="00711444" w:rsidRPr="004D0DAA" w:rsidRDefault="00711444" w:rsidP="00AA2A4C">
            <w:pPr>
              <w:pStyle w:val="TAC"/>
              <w:rPr>
                <w:lang w:eastAsia="en-US"/>
              </w:rPr>
            </w:pPr>
            <w:r w:rsidRPr="004D0DAA">
              <w:rPr>
                <w:lang w:eastAsia="en-US"/>
              </w:rPr>
              <w:t>2x74</w:t>
            </w:r>
          </w:p>
        </w:tc>
        <w:tc>
          <w:tcPr>
            <w:tcW w:w="1036" w:type="dxa"/>
          </w:tcPr>
          <w:p w14:paraId="43B94E99" w14:textId="77777777" w:rsidR="00711444" w:rsidRPr="004D0DAA" w:rsidRDefault="00711444" w:rsidP="00AA2A4C">
            <w:pPr>
              <w:pStyle w:val="TAC"/>
              <w:rPr>
                <w:lang w:eastAsia="en-US"/>
              </w:rPr>
            </w:pPr>
            <w:r w:rsidRPr="004D0DAA">
              <w:rPr>
                <w:lang w:eastAsia="en-US"/>
              </w:rPr>
              <w:t>A</w:t>
            </w:r>
          </w:p>
        </w:tc>
      </w:tr>
      <w:tr w:rsidR="00711444" w:rsidRPr="004D0DAA" w14:paraId="6AA014A6" w14:textId="77777777" w:rsidTr="00AA2A4C">
        <w:trPr>
          <w:cantSplit/>
          <w:jc w:val="center"/>
        </w:trPr>
        <w:tc>
          <w:tcPr>
            <w:tcW w:w="2252" w:type="dxa"/>
          </w:tcPr>
          <w:p w14:paraId="72813800" w14:textId="77777777" w:rsidR="00711444" w:rsidRPr="004D0DAA" w:rsidRDefault="00711444" w:rsidP="00AA2A4C">
            <w:pPr>
              <w:pStyle w:val="TAC"/>
              <w:rPr>
                <w:lang w:eastAsia="en-US"/>
              </w:rPr>
            </w:pPr>
            <w:r w:rsidRPr="004D0DAA">
              <w:rPr>
                <w:lang w:eastAsia="en-US"/>
              </w:rPr>
              <w:t>DAS-10 with padding</w:t>
            </w:r>
          </w:p>
        </w:tc>
        <w:tc>
          <w:tcPr>
            <w:tcW w:w="3329" w:type="dxa"/>
          </w:tcPr>
          <w:p w14:paraId="624E4C96" w14:textId="77777777" w:rsidR="00711444" w:rsidRPr="004D0DAA" w:rsidRDefault="00711444" w:rsidP="00AA2A4C">
            <w:pPr>
              <w:pStyle w:val="TAC"/>
              <w:rPr>
                <w:lang w:eastAsia="en-US"/>
              </w:rPr>
            </w:pPr>
            <w:r w:rsidRPr="004D0DAA">
              <w:rPr>
                <w:lang w:eastAsia="en-US"/>
              </w:rPr>
              <w:t>2x74</w:t>
            </w:r>
          </w:p>
        </w:tc>
        <w:tc>
          <w:tcPr>
            <w:tcW w:w="1036" w:type="dxa"/>
          </w:tcPr>
          <w:p w14:paraId="70DD089B" w14:textId="77777777" w:rsidR="00711444" w:rsidRPr="004D0DAA" w:rsidRDefault="00711444" w:rsidP="00AA2A4C">
            <w:pPr>
              <w:pStyle w:val="TAC"/>
              <w:rPr>
                <w:lang w:eastAsia="en-US"/>
              </w:rPr>
            </w:pPr>
            <w:r w:rsidRPr="004D0DAA">
              <w:rPr>
                <w:lang w:eastAsia="en-US"/>
              </w:rPr>
              <w:t>A padding8</w:t>
            </w:r>
          </w:p>
        </w:tc>
      </w:tr>
      <w:tr w:rsidR="00711444" w:rsidRPr="004D0DAA" w14:paraId="31302DCA" w14:textId="77777777" w:rsidTr="00AA2A4C">
        <w:trPr>
          <w:cantSplit/>
          <w:jc w:val="center"/>
        </w:trPr>
        <w:tc>
          <w:tcPr>
            <w:tcW w:w="2252" w:type="dxa"/>
          </w:tcPr>
          <w:p w14:paraId="1A450557" w14:textId="77777777" w:rsidR="00711444" w:rsidRPr="004D0DAA" w:rsidRDefault="00711444" w:rsidP="00AA2A4C">
            <w:pPr>
              <w:pStyle w:val="TAC"/>
              <w:rPr>
                <w:lang w:eastAsia="en-US"/>
              </w:rPr>
            </w:pPr>
            <w:r w:rsidRPr="004D0DAA">
              <w:rPr>
                <w:lang w:eastAsia="en-US"/>
              </w:rPr>
              <w:t>DBS-8</w:t>
            </w:r>
          </w:p>
        </w:tc>
        <w:tc>
          <w:tcPr>
            <w:tcW w:w="3329" w:type="dxa"/>
          </w:tcPr>
          <w:p w14:paraId="64EA96B2" w14:textId="77777777" w:rsidR="00711444" w:rsidRPr="004D0DAA" w:rsidRDefault="00711444" w:rsidP="00AA2A4C">
            <w:pPr>
              <w:pStyle w:val="TAC"/>
              <w:rPr>
                <w:lang w:eastAsia="en-US"/>
              </w:rPr>
            </w:pPr>
            <w:r w:rsidRPr="004D0DAA">
              <w:rPr>
                <w:lang w:eastAsia="en-US"/>
              </w:rPr>
              <w:t>2x74</w:t>
            </w:r>
          </w:p>
        </w:tc>
        <w:tc>
          <w:tcPr>
            <w:tcW w:w="1036" w:type="dxa"/>
          </w:tcPr>
          <w:p w14:paraId="16A41E6E" w14:textId="77777777" w:rsidR="00711444" w:rsidRPr="004D0DAA" w:rsidRDefault="00711444" w:rsidP="00AA2A4C">
            <w:pPr>
              <w:pStyle w:val="TAC"/>
              <w:rPr>
                <w:lang w:eastAsia="en-US"/>
              </w:rPr>
            </w:pPr>
            <w:r w:rsidRPr="004D0DAA">
              <w:rPr>
                <w:lang w:eastAsia="en-US"/>
              </w:rPr>
              <w:t>A</w:t>
            </w:r>
          </w:p>
        </w:tc>
      </w:tr>
      <w:tr w:rsidR="00711444" w:rsidRPr="004D0DAA" w14:paraId="71674A0E" w14:textId="77777777" w:rsidTr="00AA2A4C">
        <w:trPr>
          <w:cantSplit/>
          <w:jc w:val="center"/>
        </w:trPr>
        <w:tc>
          <w:tcPr>
            <w:tcW w:w="2252" w:type="dxa"/>
          </w:tcPr>
          <w:p w14:paraId="20597155" w14:textId="77777777" w:rsidR="00711444" w:rsidRPr="004D0DAA" w:rsidRDefault="00711444" w:rsidP="00AA2A4C">
            <w:pPr>
              <w:pStyle w:val="TAC"/>
              <w:rPr>
                <w:lang w:eastAsia="en-US"/>
              </w:rPr>
            </w:pPr>
            <w:r w:rsidRPr="004D0DAA">
              <w:rPr>
                <w:lang w:eastAsia="en-US"/>
              </w:rPr>
              <w:t>DBS-9</w:t>
            </w:r>
          </w:p>
        </w:tc>
        <w:tc>
          <w:tcPr>
            <w:tcW w:w="3329" w:type="dxa"/>
          </w:tcPr>
          <w:p w14:paraId="225D8047" w14:textId="77777777" w:rsidR="00711444" w:rsidRPr="004D0DAA" w:rsidRDefault="00711444" w:rsidP="00AA2A4C">
            <w:pPr>
              <w:pStyle w:val="TAC"/>
              <w:rPr>
                <w:lang w:eastAsia="en-US"/>
              </w:rPr>
            </w:pPr>
            <w:r w:rsidRPr="004D0DAA">
              <w:rPr>
                <w:lang w:eastAsia="en-US"/>
              </w:rPr>
              <w:t>3x56</w:t>
            </w:r>
          </w:p>
        </w:tc>
        <w:tc>
          <w:tcPr>
            <w:tcW w:w="1036" w:type="dxa"/>
          </w:tcPr>
          <w:p w14:paraId="780EF8AF" w14:textId="77777777" w:rsidR="00711444" w:rsidRPr="004D0DAA" w:rsidRDefault="00711444" w:rsidP="00AA2A4C">
            <w:pPr>
              <w:pStyle w:val="TAC"/>
              <w:rPr>
                <w:lang w:eastAsia="en-US"/>
              </w:rPr>
            </w:pPr>
            <w:r w:rsidRPr="004D0DAA">
              <w:rPr>
                <w:lang w:eastAsia="en-US"/>
              </w:rPr>
              <w:t>B</w:t>
            </w:r>
          </w:p>
        </w:tc>
      </w:tr>
      <w:tr w:rsidR="00711444" w:rsidRPr="004D0DAA" w14:paraId="4F84E60C" w14:textId="77777777" w:rsidTr="00AA2A4C">
        <w:trPr>
          <w:cantSplit/>
          <w:jc w:val="center"/>
        </w:trPr>
        <w:tc>
          <w:tcPr>
            <w:tcW w:w="2252" w:type="dxa"/>
          </w:tcPr>
          <w:p w14:paraId="2290FE4A" w14:textId="77777777" w:rsidR="00711444" w:rsidRPr="004D0DAA" w:rsidRDefault="00711444" w:rsidP="00AA2A4C">
            <w:pPr>
              <w:pStyle w:val="TAC"/>
              <w:rPr>
                <w:lang w:eastAsia="en-US"/>
              </w:rPr>
            </w:pPr>
            <w:r w:rsidRPr="004D0DAA">
              <w:rPr>
                <w:lang w:eastAsia="en-US"/>
              </w:rPr>
              <w:t>DAS-11</w:t>
            </w:r>
          </w:p>
        </w:tc>
        <w:tc>
          <w:tcPr>
            <w:tcW w:w="3329" w:type="dxa"/>
          </w:tcPr>
          <w:p w14:paraId="2F781275" w14:textId="77777777" w:rsidR="00711444" w:rsidRPr="004D0DAA" w:rsidRDefault="00711444" w:rsidP="00AA2A4C">
            <w:pPr>
              <w:pStyle w:val="TAC"/>
              <w:rPr>
                <w:lang w:eastAsia="en-US"/>
              </w:rPr>
            </w:pPr>
            <w:r w:rsidRPr="004D0DAA">
              <w:rPr>
                <w:lang w:eastAsia="en-US"/>
              </w:rPr>
              <w:t>3x68</w:t>
            </w:r>
          </w:p>
        </w:tc>
        <w:tc>
          <w:tcPr>
            <w:tcW w:w="1036" w:type="dxa"/>
          </w:tcPr>
          <w:p w14:paraId="2C68E779" w14:textId="77777777" w:rsidR="00711444" w:rsidRPr="004D0DAA" w:rsidRDefault="00711444" w:rsidP="00AA2A4C">
            <w:pPr>
              <w:pStyle w:val="TAC"/>
              <w:rPr>
                <w:lang w:eastAsia="en-US"/>
              </w:rPr>
            </w:pPr>
            <w:r w:rsidRPr="004D0DAA">
              <w:rPr>
                <w:lang w:eastAsia="en-US"/>
              </w:rPr>
              <w:t>A padding6</w:t>
            </w:r>
          </w:p>
        </w:tc>
      </w:tr>
      <w:tr w:rsidR="00711444" w:rsidRPr="004D0DAA" w14:paraId="21E8658F" w14:textId="77777777" w:rsidTr="00AA2A4C">
        <w:trPr>
          <w:cantSplit/>
          <w:jc w:val="center"/>
        </w:trPr>
        <w:tc>
          <w:tcPr>
            <w:tcW w:w="2252" w:type="dxa"/>
          </w:tcPr>
          <w:p w14:paraId="387A3313" w14:textId="77777777" w:rsidR="00711444" w:rsidRPr="004D0DAA" w:rsidRDefault="00711444" w:rsidP="00AA2A4C">
            <w:pPr>
              <w:pStyle w:val="TAC"/>
              <w:rPr>
                <w:lang w:eastAsia="en-US"/>
              </w:rPr>
            </w:pPr>
            <w:r w:rsidRPr="004D0DAA">
              <w:rPr>
                <w:lang w:eastAsia="en-US"/>
              </w:rPr>
              <w:t>DAS-12 with padding</w:t>
            </w:r>
          </w:p>
        </w:tc>
        <w:tc>
          <w:tcPr>
            <w:tcW w:w="3329" w:type="dxa"/>
          </w:tcPr>
          <w:p w14:paraId="43063C24" w14:textId="77777777" w:rsidR="00711444" w:rsidRPr="004D0DAA" w:rsidRDefault="00711444" w:rsidP="00AA2A4C">
            <w:pPr>
              <w:pStyle w:val="TAC"/>
              <w:rPr>
                <w:lang w:eastAsia="en-US"/>
              </w:rPr>
            </w:pPr>
            <w:r w:rsidRPr="004D0DAA">
              <w:rPr>
                <w:lang w:eastAsia="en-US"/>
              </w:rPr>
              <w:t>3x74</w:t>
            </w:r>
          </w:p>
        </w:tc>
        <w:tc>
          <w:tcPr>
            <w:tcW w:w="1036" w:type="dxa"/>
          </w:tcPr>
          <w:p w14:paraId="613DFB8E" w14:textId="77777777" w:rsidR="00711444" w:rsidRPr="004D0DAA" w:rsidRDefault="00711444" w:rsidP="00AA2A4C">
            <w:pPr>
              <w:pStyle w:val="TAC"/>
              <w:rPr>
                <w:lang w:eastAsia="en-US"/>
              </w:rPr>
            </w:pPr>
            <w:r w:rsidRPr="004D0DAA">
              <w:rPr>
                <w:lang w:eastAsia="en-US"/>
              </w:rPr>
              <w:t>A padding8</w:t>
            </w:r>
          </w:p>
        </w:tc>
      </w:tr>
      <w:tr w:rsidR="00711444" w:rsidRPr="004D0DAA" w14:paraId="10A9F09E" w14:textId="77777777" w:rsidTr="00AA2A4C">
        <w:trPr>
          <w:cantSplit/>
          <w:jc w:val="center"/>
        </w:trPr>
        <w:tc>
          <w:tcPr>
            <w:tcW w:w="2252" w:type="dxa"/>
          </w:tcPr>
          <w:p w14:paraId="6B8CD2CC" w14:textId="77777777" w:rsidR="00711444" w:rsidRPr="004D0DAA" w:rsidRDefault="00711444" w:rsidP="00AA2A4C">
            <w:pPr>
              <w:pStyle w:val="TAC"/>
              <w:rPr>
                <w:lang w:eastAsia="en-US"/>
              </w:rPr>
            </w:pPr>
            <w:r w:rsidRPr="004D0DAA">
              <w:rPr>
                <w:lang w:eastAsia="en-US"/>
              </w:rPr>
              <w:t>DBS-10</w:t>
            </w:r>
          </w:p>
        </w:tc>
        <w:tc>
          <w:tcPr>
            <w:tcW w:w="3329" w:type="dxa"/>
          </w:tcPr>
          <w:p w14:paraId="147FD0A0" w14:textId="77777777" w:rsidR="00711444" w:rsidRPr="004D0DAA" w:rsidRDefault="00711444" w:rsidP="00AA2A4C">
            <w:pPr>
              <w:pStyle w:val="TAC"/>
              <w:rPr>
                <w:lang w:eastAsia="en-US"/>
              </w:rPr>
            </w:pPr>
            <w:r w:rsidRPr="004D0DAA">
              <w:rPr>
                <w:lang w:eastAsia="en-US"/>
              </w:rPr>
              <w:t>3x74</w:t>
            </w:r>
          </w:p>
        </w:tc>
        <w:tc>
          <w:tcPr>
            <w:tcW w:w="1036" w:type="dxa"/>
          </w:tcPr>
          <w:p w14:paraId="06734EFD" w14:textId="77777777" w:rsidR="00711444" w:rsidRPr="004D0DAA" w:rsidRDefault="00711444" w:rsidP="00AA2A4C">
            <w:pPr>
              <w:pStyle w:val="TAC"/>
              <w:rPr>
                <w:lang w:eastAsia="en-US"/>
              </w:rPr>
            </w:pPr>
            <w:r w:rsidRPr="004D0DAA">
              <w:rPr>
                <w:lang w:eastAsia="en-US"/>
              </w:rPr>
              <w:t>A</w:t>
            </w:r>
          </w:p>
        </w:tc>
      </w:tr>
      <w:tr w:rsidR="00711444" w:rsidRPr="004D0DAA" w14:paraId="0CA1B6F3" w14:textId="77777777" w:rsidTr="00AA2A4C">
        <w:trPr>
          <w:cantSplit/>
          <w:jc w:val="center"/>
        </w:trPr>
        <w:tc>
          <w:tcPr>
            <w:tcW w:w="2252" w:type="dxa"/>
          </w:tcPr>
          <w:p w14:paraId="6280936C" w14:textId="77777777" w:rsidR="00711444" w:rsidRPr="004D0DAA" w:rsidRDefault="00711444" w:rsidP="00AA2A4C">
            <w:pPr>
              <w:pStyle w:val="TAC"/>
              <w:rPr>
                <w:lang w:eastAsia="en-US"/>
              </w:rPr>
            </w:pPr>
            <w:r w:rsidRPr="004D0DAA">
              <w:rPr>
                <w:lang w:eastAsia="en-US"/>
              </w:rPr>
              <w:t>DBS-11</w:t>
            </w:r>
          </w:p>
        </w:tc>
        <w:tc>
          <w:tcPr>
            <w:tcW w:w="3329" w:type="dxa"/>
          </w:tcPr>
          <w:p w14:paraId="79A46EA6" w14:textId="77777777" w:rsidR="00711444" w:rsidRPr="004D0DAA" w:rsidRDefault="00711444" w:rsidP="00AA2A4C">
            <w:pPr>
              <w:pStyle w:val="TAC"/>
              <w:rPr>
                <w:lang w:eastAsia="en-US"/>
              </w:rPr>
            </w:pPr>
            <w:r w:rsidRPr="004D0DAA">
              <w:rPr>
                <w:lang w:eastAsia="en-US"/>
              </w:rPr>
              <w:t>4x68</w:t>
            </w:r>
          </w:p>
        </w:tc>
        <w:tc>
          <w:tcPr>
            <w:tcW w:w="1036" w:type="dxa"/>
          </w:tcPr>
          <w:p w14:paraId="3435BD08" w14:textId="77777777" w:rsidR="00711444" w:rsidRPr="004D0DAA" w:rsidRDefault="00711444" w:rsidP="00AA2A4C">
            <w:pPr>
              <w:pStyle w:val="TAC"/>
              <w:rPr>
                <w:lang w:eastAsia="en-US"/>
              </w:rPr>
            </w:pPr>
            <w:r w:rsidRPr="004D0DAA">
              <w:rPr>
                <w:lang w:eastAsia="en-US"/>
              </w:rPr>
              <w:t>A padding6</w:t>
            </w:r>
          </w:p>
        </w:tc>
      </w:tr>
      <w:tr w:rsidR="00711444" w:rsidRPr="004D0DAA" w14:paraId="69E6FE88" w14:textId="77777777" w:rsidTr="00AA2A4C">
        <w:trPr>
          <w:cantSplit/>
          <w:jc w:val="center"/>
        </w:trPr>
        <w:tc>
          <w:tcPr>
            <w:tcW w:w="2252" w:type="dxa"/>
          </w:tcPr>
          <w:p w14:paraId="32F42FFE" w14:textId="77777777" w:rsidR="00711444" w:rsidRPr="004D0DAA" w:rsidRDefault="00711444" w:rsidP="00AA2A4C">
            <w:pPr>
              <w:pStyle w:val="TAC"/>
              <w:rPr>
                <w:lang w:eastAsia="en-US"/>
              </w:rPr>
            </w:pPr>
            <w:r w:rsidRPr="004D0DAA">
              <w:rPr>
                <w:lang w:eastAsia="en-US"/>
              </w:rPr>
              <w:t>DBS-12</w:t>
            </w:r>
          </w:p>
        </w:tc>
        <w:tc>
          <w:tcPr>
            <w:tcW w:w="3329" w:type="dxa"/>
          </w:tcPr>
          <w:p w14:paraId="5CE1E116" w14:textId="77777777" w:rsidR="00711444" w:rsidRPr="004D0DAA" w:rsidRDefault="00711444" w:rsidP="00AA2A4C">
            <w:pPr>
              <w:pStyle w:val="TAC"/>
              <w:rPr>
                <w:lang w:eastAsia="en-US"/>
              </w:rPr>
            </w:pPr>
            <w:r w:rsidRPr="004D0DAA">
              <w:rPr>
                <w:lang w:eastAsia="en-US"/>
              </w:rPr>
              <w:t>4x74</w:t>
            </w:r>
          </w:p>
        </w:tc>
        <w:tc>
          <w:tcPr>
            <w:tcW w:w="1036" w:type="dxa"/>
          </w:tcPr>
          <w:p w14:paraId="60850393" w14:textId="77777777" w:rsidR="00711444" w:rsidRPr="004D0DAA" w:rsidRDefault="00711444" w:rsidP="00AA2A4C">
            <w:pPr>
              <w:pStyle w:val="TAC"/>
              <w:rPr>
                <w:lang w:eastAsia="en-US"/>
              </w:rPr>
            </w:pPr>
            <w:r w:rsidRPr="004D0DAA">
              <w:rPr>
                <w:lang w:eastAsia="en-US"/>
              </w:rPr>
              <w:t>A</w:t>
            </w:r>
          </w:p>
        </w:tc>
      </w:tr>
      <w:tr w:rsidR="00711444" w:rsidRPr="004D0DAA" w14:paraId="1CCFFA5F" w14:textId="77777777" w:rsidTr="00AA2A4C">
        <w:trPr>
          <w:cantSplit/>
          <w:jc w:val="center"/>
        </w:trPr>
        <w:tc>
          <w:tcPr>
            <w:tcW w:w="6617" w:type="dxa"/>
            <w:gridSpan w:val="3"/>
          </w:tcPr>
          <w:p w14:paraId="5DBFA955" w14:textId="77777777" w:rsidR="00711444" w:rsidRPr="004D0DAA" w:rsidRDefault="00711444" w:rsidP="00AA2A4C">
            <w:pPr>
              <w:pStyle w:val="TAN"/>
              <w:rPr>
                <w:lang w:eastAsia="en-US"/>
              </w:rPr>
            </w:pPr>
            <w:r w:rsidRPr="004D0DAA">
              <w:rPr>
                <w:lang w:eastAsia="en-US"/>
              </w:rPr>
              <w:t>NOTE 1:</w:t>
            </w:r>
            <w:r w:rsidRPr="004D0DAA">
              <w:rPr>
                <w:lang w:eastAsia="en-US"/>
              </w:rPr>
              <w:tab/>
              <w:t>The five families of RLC data blocks (C, B, A, A padding6 and A padding8) based on a common size basis (22, 28, 37, 68 and 74 octets respectively) enable link adaptation retransmission as described in sub-clause 9.</w:t>
            </w:r>
          </w:p>
        </w:tc>
      </w:tr>
    </w:tbl>
    <w:p w14:paraId="71C4D5D7" w14:textId="77777777" w:rsidR="00711444" w:rsidRPr="004D0DAA" w:rsidRDefault="00711444" w:rsidP="00711444"/>
    <w:p w14:paraId="274C9650" w14:textId="77777777" w:rsidR="00711444" w:rsidRPr="004D0DAA" w:rsidRDefault="00711444" w:rsidP="00711444">
      <w:pPr>
        <w:pStyle w:val="TH"/>
      </w:pPr>
      <w:r w:rsidRPr="004D0DAA">
        <w:t>Table 10.3a.0.5: RLC data unit size (EGPRS2-A uplink)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2"/>
        <w:gridCol w:w="3329"/>
        <w:gridCol w:w="1188"/>
      </w:tblGrid>
      <w:tr w:rsidR="00711444" w:rsidRPr="004D0DAA" w14:paraId="3B16EAB6" w14:textId="77777777" w:rsidTr="00AA2A4C">
        <w:trPr>
          <w:cantSplit/>
          <w:jc w:val="center"/>
        </w:trPr>
        <w:tc>
          <w:tcPr>
            <w:tcW w:w="2252" w:type="dxa"/>
            <w:tcBorders>
              <w:bottom w:val="nil"/>
            </w:tcBorders>
          </w:tcPr>
          <w:p w14:paraId="402F429F" w14:textId="77777777" w:rsidR="00711444" w:rsidRPr="004D0DAA" w:rsidRDefault="00711444" w:rsidP="00AA2A4C">
            <w:pPr>
              <w:pStyle w:val="TAH"/>
              <w:rPr>
                <w:lang w:eastAsia="en-US"/>
              </w:rPr>
            </w:pPr>
            <w:r w:rsidRPr="004D0DAA">
              <w:rPr>
                <w:lang w:eastAsia="en-US"/>
              </w:rPr>
              <w:t>Channel Coding Scheme</w:t>
            </w:r>
          </w:p>
        </w:tc>
        <w:tc>
          <w:tcPr>
            <w:tcW w:w="3329" w:type="dxa"/>
            <w:tcBorders>
              <w:bottom w:val="nil"/>
            </w:tcBorders>
          </w:tcPr>
          <w:p w14:paraId="701B9325" w14:textId="77777777" w:rsidR="00711444" w:rsidRPr="004D0DAA" w:rsidRDefault="00711444" w:rsidP="00AA2A4C">
            <w:pPr>
              <w:pStyle w:val="TAH"/>
              <w:rPr>
                <w:lang w:eastAsia="en-US"/>
              </w:rPr>
            </w:pPr>
            <w:r w:rsidRPr="004D0DAA">
              <w:rPr>
                <w:lang w:eastAsia="en-US"/>
              </w:rPr>
              <w:t>EGPRS RLC data unit size (N2)</w:t>
            </w:r>
            <w:r w:rsidRPr="004D0DAA">
              <w:rPr>
                <w:lang w:eastAsia="en-US"/>
              </w:rPr>
              <w:br/>
              <w:t>(octets)</w:t>
            </w:r>
          </w:p>
        </w:tc>
        <w:tc>
          <w:tcPr>
            <w:tcW w:w="1188" w:type="dxa"/>
            <w:tcBorders>
              <w:bottom w:val="nil"/>
            </w:tcBorders>
          </w:tcPr>
          <w:p w14:paraId="6CE8D3EC" w14:textId="77777777" w:rsidR="00711444" w:rsidRPr="004D0DAA" w:rsidRDefault="00711444" w:rsidP="00AA2A4C">
            <w:pPr>
              <w:pStyle w:val="TAH"/>
              <w:rPr>
                <w:lang w:eastAsia="en-US"/>
              </w:rPr>
            </w:pPr>
            <w:r w:rsidRPr="004D0DAA">
              <w:rPr>
                <w:lang w:eastAsia="en-US"/>
              </w:rPr>
              <w:t>Family</w:t>
            </w:r>
          </w:p>
        </w:tc>
      </w:tr>
      <w:tr w:rsidR="00711444" w:rsidRPr="004D0DAA" w14:paraId="2A81C3B1" w14:textId="77777777" w:rsidTr="00AA2A4C">
        <w:trPr>
          <w:cantSplit/>
          <w:jc w:val="center"/>
        </w:trPr>
        <w:tc>
          <w:tcPr>
            <w:tcW w:w="2252" w:type="dxa"/>
          </w:tcPr>
          <w:p w14:paraId="79372A32" w14:textId="77777777" w:rsidR="00711444" w:rsidRPr="004D0DAA" w:rsidRDefault="00711444" w:rsidP="00AA2A4C">
            <w:pPr>
              <w:pStyle w:val="TAC"/>
              <w:rPr>
                <w:lang w:eastAsia="en-US"/>
              </w:rPr>
            </w:pPr>
            <w:r w:rsidRPr="004D0DAA">
              <w:rPr>
                <w:lang w:eastAsia="en-US"/>
              </w:rPr>
              <w:t>MCS-1</w:t>
            </w:r>
          </w:p>
        </w:tc>
        <w:tc>
          <w:tcPr>
            <w:tcW w:w="3329" w:type="dxa"/>
          </w:tcPr>
          <w:p w14:paraId="545AB773" w14:textId="77777777" w:rsidR="00711444" w:rsidRPr="004D0DAA" w:rsidRDefault="00711444" w:rsidP="00AA2A4C">
            <w:pPr>
              <w:pStyle w:val="TAC"/>
              <w:rPr>
                <w:lang w:eastAsia="en-US"/>
              </w:rPr>
            </w:pPr>
            <w:r w:rsidRPr="004D0DAA">
              <w:rPr>
                <w:lang w:eastAsia="en-US"/>
              </w:rPr>
              <w:t>22</w:t>
            </w:r>
          </w:p>
        </w:tc>
        <w:tc>
          <w:tcPr>
            <w:tcW w:w="1188" w:type="dxa"/>
          </w:tcPr>
          <w:p w14:paraId="373C9736" w14:textId="77777777" w:rsidR="00711444" w:rsidRPr="004D0DAA" w:rsidRDefault="00711444" w:rsidP="00AA2A4C">
            <w:pPr>
              <w:pStyle w:val="TAC"/>
              <w:rPr>
                <w:lang w:eastAsia="en-US"/>
              </w:rPr>
            </w:pPr>
            <w:r w:rsidRPr="004D0DAA">
              <w:rPr>
                <w:lang w:eastAsia="en-US"/>
              </w:rPr>
              <w:t>C</w:t>
            </w:r>
          </w:p>
        </w:tc>
      </w:tr>
      <w:tr w:rsidR="00711444" w:rsidRPr="004D0DAA" w14:paraId="472CDF1F" w14:textId="77777777" w:rsidTr="00AA2A4C">
        <w:trPr>
          <w:cantSplit/>
          <w:jc w:val="center"/>
        </w:trPr>
        <w:tc>
          <w:tcPr>
            <w:tcW w:w="2252" w:type="dxa"/>
          </w:tcPr>
          <w:p w14:paraId="4F3D254E" w14:textId="77777777" w:rsidR="00711444" w:rsidRPr="004D0DAA" w:rsidRDefault="00711444" w:rsidP="00AA2A4C">
            <w:pPr>
              <w:pStyle w:val="TAC"/>
              <w:rPr>
                <w:lang w:eastAsia="en-US"/>
              </w:rPr>
            </w:pPr>
            <w:r w:rsidRPr="004D0DAA">
              <w:rPr>
                <w:lang w:eastAsia="en-US"/>
              </w:rPr>
              <w:t>MCS-2</w:t>
            </w:r>
          </w:p>
        </w:tc>
        <w:tc>
          <w:tcPr>
            <w:tcW w:w="3329" w:type="dxa"/>
          </w:tcPr>
          <w:p w14:paraId="77CD1087" w14:textId="77777777" w:rsidR="00711444" w:rsidRPr="004D0DAA" w:rsidRDefault="00711444" w:rsidP="00AA2A4C">
            <w:pPr>
              <w:pStyle w:val="TAC"/>
              <w:rPr>
                <w:lang w:eastAsia="en-US"/>
              </w:rPr>
            </w:pPr>
            <w:r w:rsidRPr="004D0DAA">
              <w:rPr>
                <w:lang w:eastAsia="en-US"/>
              </w:rPr>
              <w:t>28</w:t>
            </w:r>
          </w:p>
        </w:tc>
        <w:tc>
          <w:tcPr>
            <w:tcW w:w="1188" w:type="dxa"/>
          </w:tcPr>
          <w:p w14:paraId="10FFFA2A" w14:textId="77777777" w:rsidR="00711444" w:rsidRPr="004D0DAA" w:rsidRDefault="00711444" w:rsidP="00AA2A4C">
            <w:pPr>
              <w:pStyle w:val="TAC"/>
              <w:rPr>
                <w:lang w:eastAsia="en-US"/>
              </w:rPr>
            </w:pPr>
            <w:r w:rsidRPr="004D0DAA">
              <w:rPr>
                <w:lang w:eastAsia="en-US"/>
              </w:rPr>
              <w:t>B</w:t>
            </w:r>
          </w:p>
        </w:tc>
      </w:tr>
      <w:tr w:rsidR="00711444" w:rsidRPr="004D0DAA" w14:paraId="5207E307" w14:textId="77777777" w:rsidTr="00AA2A4C">
        <w:trPr>
          <w:cantSplit/>
          <w:jc w:val="center"/>
        </w:trPr>
        <w:tc>
          <w:tcPr>
            <w:tcW w:w="2252" w:type="dxa"/>
          </w:tcPr>
          <w:p w14:paraId="1F787524" w14:textId="77777777" w:rsidR="00711444" w:rsidRPr="004D0DAA" w:rsidRDefault="00711444" w:rsidP="00AA2A4C">
            <w:pPr>
              <w:pStyle w:val="TAC"/>
              <w:rPr>
                <w:lang w:eastAsia="en-US"/>
              </w:rPr>
            </w:pPr>
            <w:r w:rsidRPr="004D0DAA">
              <w:rPr>
                <w:lang w:eastAsia="en-US"/>
              </w:rPr>
              <w:t>MCS-3 with padding</w:t>
            </w:r>
          </w:p>
        </w:tc>
        <w:tc>
          <w:tcPr>
            <w:tcW w:w="3329" w:type="dxa"/>
          </w:tcPr>
          <w:p w14:paraId="6B32A77D" w14:textId="77777777" w:rsidR="00711444" w:rsidRPr="004D0DAA" w:rsidRDefault="00711444" w:rsidP="00AA2A4C">
            <w:pPr>
              <w:pStyle w:val="TAC"/>
              <w:rPr>
                <w:lang w:eastAsia="en-US"/>
              </w:rPr>
            </w:pPr>
            <w:r w:rsidRPr="004D0DAA">
              <w:rPr>
                <w:lang w:eastAsia="en-US"/>
              </w:rPr>
              <w:t>27</w:t>
            </w:r>
          </w:p>
        </w:tc>
        <w:tc>
          <w:tcPr>
            <w:tcW w:w="1188" w:type="dxa"/>
          </w:tcPr>
          <w:p w14:paraId="11505635" w14:textId="77777777" w:rsidR="00711444" w:rsidRPr="004D0DAA" w:rsidRDefault="00711444" w:rsidP="00AA2A4C">
            <w:pPr>
              <w:pStyle w:val="TAC"/>
              <w:rPr>
                <w:lang w:eastAsia="en-US"/>
              </w:rPr>
            </w:pPr>
            <w:r w:rsidRPr="004D0DAA">
              <w:rPr>
                <w:lang w:eastAsia="en-US"/>
              </w:rPr>
              <w:t>A padding10</w:t>
            </w:r>
          </w:p>
        </w:tc>
      </w:tr>
      <w:tr w:rsidR="00711444" w:rsidRPr="004D0DAA" w14:paraId="1C6103D8" w14:textId="77777777" w:rsidTr="00AA2A4C">
        <w:trPr>
          <w:cantSplit/>
          <w:jc w:val="center"/>
        </w:trPr>
        <w:tc>
          <w:tcPr>
            <w:tcW w:w="2252" w:type="dxa"/>
          </w:tcPr>
          <w:p w14:paraId="139D7117" w14:textId="77777777" w:rsidR="00711444" w:rsidRPr="004D0DAA" w:rsidRDefault="00711444" w:rsidP="00AA2A4C">
            <w:pPr>
              <w:pStyle w:val="TAC"/>
              <w:rPr>
                <w:lang w:eastAsia="en-US"/>
              </w:rPr>
            </w:pPr>
            <w:r w:rsidRPr="004D0DAA">
              <w:rPr>
                <w:lang w:eastAsia="en-US"/>
              </w:rPr>
              <w:t>MCS-3</w:t>
            </w:r>
          </w:p>
        </w:tc>
        <w:tc>
          <w:tcPr>
            <w:tcW w:w="3329" w:type="dxa"/>
          </w:tcPr>
          <w:p w14:paraId="1A084843" w14:textId="77777777" w:rsidR="00711444" w:rsidRPr="004D0DAA" w:rsidRDefault="00711444" w:rsidP="00AA2A4C">
            <w:pPr>
              <w:pStyle w:val="TAC"/>
              <w:rPr>
                <w:lang w:eastAsia="en-US"/>
              </w:rPr>
            </w:pPr>
            <w:r w:rsidRPr="004D0DAA">
              <w:rPr>
                <w:lang w:eastAsia="en-US"/>
              </w:rPr>
              <w:t>37</w:t>
            </w:r>
          </w:p>
        </w:tc>
        <w:tc>
          <w:tcPr>
            <w:tcW w:w="1188" w:type="dxa"/>
          </w:tcPr>
          <w:p w14:paraId="4AC90210" w14:textId="77777777" w:rsidR="00711444" w:rsidRPr="004D0DAA" w:rsidRDefault="00711444" w:rsidP="00AA2A4C">
            <w:pPr>
              <w:pStyle w:val="TAC"/>
              <w:rPr>
                <w:lang w:eastAsia="en-US"/>
              </w:rPr>
            </w:pPr>
            <w:r w:rsidRPr="004D0DAA">
              <w:rPr>
                <w:lang w:eastAsia="en-US"/>
              </w:rPr>
              <w:t>A padding10 / A</w:t>
            </w:r>
          </w:p>
        </w:tc>
      </w:tr>
      <w:tr w:rsidR="00711444" w:rsidRPr="004D0DAA" w14:paraId="05C4BB3A" w14:textId="77777777" w:rsidTr="00AA2A4C">
        <w:trPr>
          <w:cantSplit/>
          <w:jc w:val="center"/>
        </w:trPr>
        <w:tc>
          <w:tcPr>
            <w:tcW w:w="2252" w:type="dxa"/>
          </w:tcPr>
          <w:p w14:paraId="50DD3BC0" w14:textId="77777777" w:rsidR="00711444" w:rsidRPr="004D0DAA" w:rsidRDefault="00711444" w:rsidP="00AA2A4C">
            <w:pPr>
              <w:pStyle w:val="TAC"/>
              <w:rPr>
                <w:lang w:eastAsia="en-US"/>
              </w:rPr>
            </w:pPr>
            <w:r w:rsidRPr="004D0DAA">
              <w:rPr>
                <w:lang w:eastAsia="en-US"/>
              </w:rPr>
              <w:t>MCS-4</w:t>
            </w:r>
          </w:p>
        </w:tc>
        <w:tc>
          <w:tcPr>
            <w:tcW w:w="3329" w:type="dxa"/>
          </w:tcPr>
          <w:p w14:paraId="524A1D20" w14:textId="77777777" w:rsidR="00711444" w:rsidRPr="004D0DAA" w:rsidRDefault="00711444" w:rsidP="00AA2A4C">
            <w:pPr>
              <w:pStyle w:val="TAC"/>
              <w:rPr>
                <w:lang w:eastAsia="en-US"/>
              </w:rPr>
            </w:pPr>
            <w:r w:rsidRPr="004D0DAA">
              <w:rPr>
                <w:lang w:eastAsia="en-US"/>
              </w:rPr>
              <w:t>44</w:t>
            </w:r>
          </w:p>
        </w:tc>
        <w:tc>
          <w:tcPr>
            <w:tcW w:w="1188" w:type="dxa"/>
          </w:tcPr>
          <w:p w14:paraId="004C2F71" w14:textId="77777777" w:rsidR="00711444" w:rsidRPr="004D0DAA" w:rsidRDefault="00711444" w:rsidP="00AA2A4C">
            <w:pPr>
              <w:pStyle w:val="TAC"/>
              <w:rPr>
                <w:lang w:eastAsia="en-US"/>
              </w:rPr>
            </w:pPr>
            <w:r w:rsidRPr="004D0DAA">
              <w:rPr>
                <w:lang w:eastAsia="en-US"/>
              </w:rPr>
              <w:t>C</w:t>
            </w:r>
          </w:p>
        </w:tc>
      </w:tr>
      <w:tr w:rsidR="00711444" w:rsidRPr="004D0DAA" w14:paraId="2F393C0E" w14:textId="77777777" w:rsidTr="00AA2A4C">
        <w:trPr>
          <w:cantSplit/>
          <w:jc w:val="center"/>
        </w:trPr>
        <w:tc>
          <w:tcPr>
            <w:tcW w:w="2252" w:type="dxa"/>
          </w:tcPr>
          <w:p w14:paraId="674F43E3" w14:textId="77777777" w:rsidR="00711444" w:rsidRPr="004D0DAA" w:rsidRDefault="00711444" w:rsidP="00AA2A4C">
            <w:pPr>
              <w:pStyle w:val="TAC"/>
              <w:rPr>
                <w:lang w:eastAsia="en-US"/>
              </w:rPr>
            </w:pPr>
            <w:r w:rsidRPr="004D0DAA">
              <w:rPr>
                <w:lang w:eastAsia="en-US"/>
              </w:rPr>
              <w:t>MCS-5</w:t>
            </w:r>
          </w:p>
        </w:tc>
        <w:tc>
          <w:tcPr>
            <w:tcW w:w="3329" w:type="dxa"/>
          </w:tcPr>
          <w:p w14:paraId="66EC3CEE" w14:textId="77777777" w:rsidR="00711444" w:rsidRPr="004D0DAA" w:rsidRDefault="00711444" w:rsidP="00AA2A4C">
            <w:pPr>
              <w:pStyle w:val="TAC"/>
              <w:rPr>
                <w:lang w:eastAsia="en-US"/>
              </w:rPr>
            </w:pPr>
            <w:r w:rsidRPr="004D0DAA">
              <w:rPr>
                <w:lang w:eastAsia="en-US"/>
              </w:rPr>
              <w:t>56</w:t>
            </w:r>
          </w:p>
        </w:tc>
        <w:tc>
          <w:tcPr>
            <w:tcW w:w="1188" w:type="dxa"/>
          </w:tcPr>
          <w:p w14:paraId="0FEA6BE0" w14:textId="77777777" w:rsidR="00711444" w:rsidRPr="004D0DAA" w:rsidRDefault="00711444" w:rsidP="00AA2A4C">
            <w:pPr>
              <w:pStyle w:val="TAC"/>
              <w:rPr>
                <w:lang w:eastAsia="en-US"/>
              </w:rPr>
            </w:pPr>
            <w:r w:rsidRPr="004D0DAA">
              <w:rPr>
                <w:lang w:eastAsia="en-US"/>
              </w:rPr>
              <w:t>B</w:t>
            </w:r>
          </w:p>
        </w:tc>
      </w:tr>
      <w:tr w:rsidR="00711444" w:rsidRPr="004D0DAA" w14:paraId="609705DC" w14:textId="77777777" w:rsidTr="00AA2A4C">
        <w:trPr>
          <w:cantSplit/>
          <w:jc w:val="center"/>
        </w:trPr>
        <w:tc>
          <w:tcPr>
            <w:tcW w:w="2252" w:type="dxa"/>
          </w:tcPr>
          <w:p w14:paraId="41C1AA18" w14:textId="77777777" w:rsidR="00711444" w:rsidRPr="004D0DAA" w:rsidRDefault="00711444" w:rsidP="00AA2A4C">
            <w:pPr>
              <w:pStyle w:val="TAC"/>
              <w:rPr>
                <w:lang w:eastAsia="en-US"/>
              </w:rPr>
            </w:pPr>
            <w:r w:rsidRPr="004D0DAA">
              <w:rPr>
                <w:lang w:eastAsia="en-US"/>
              </w:rPr>
              <w:t>MCS-6 with padding</w:t>
            </w:r>
          </w:p>
        </w:tc>
        <w:tc>
          <w:tcPr>
            <w:tcW w:w="3329" w:type="dxa"/>
          </w:tcPr>
          <w:p w14:paraId="3DA73FB9" w14:textId="77777777" w:rsidR="00711444" w:rsidRPr="004D0DAA" w:rsidRDefault="00711444" w:rsidP="00AA2A4C">
            <w:pPr>
              <w:pStyle w:val="TAC"/>
              <w:rPr>
                <w:lang w:eastAsia="en-US"/>
              </w:rPr>
            </w:pPr>
            <w:r w:rsidRPr="004D0DAA">
              <w:rPr>
                <w:lang w:eastAsia="en-US"/>
              </w:rPr>
              <w:t>64</w:t>
            </w:r>
          </w:p>
        </w:tc>
        <w:tc>
          <w:tcPr>
            <w:tcW w:w="1188" w:type="dxa"/>
          </w:tcPr>
          <w:p w14:paraId="5444705A" w14:textId="77777777" w:rsidR="00711444" w:rsidRPr="004D0DAA" w:rsidRDefault="00711444" w:rsidP="00AA2A4C">
            <w:pPr>
              <w:pStyle w:val="TAC"/>
              <w:rPr>
                <w:lang w:eastAsia="en-US"/>
              </w:rPr>
            </w:pPr>
            <w:r w:rsidRPr="004D0DAA">
              <w:rPr>
                <w:lang w:eastAsia="en-US"/>
              </w:rPr>
              <w:t>A padding10</w:t>
            </w:r>
          </w:p>
        </w:tc>
      </w:tr>
      <w:tr w:rsidR="00711444" w:rsidRPr="004D0DAA" w14:paraId="713A3139" w14:textId="77777777" w:rsidTr="00AA2A4C">
        <w:trPr>
          <w:cantSplit/>
          <w:jc w:val="center"/>
        </w:trPr>
        <w:tc>
          <w:tcPr>
            <w:tcW w:w="2252" w:type="dxa"/>
          </w:tcPr>
          <w:p w14:paraId="1CC8A89C" w14:textId="77777777" w:rsidR="00711444" w:rsidRPr="004D0DAA" w:rsidRDefault="00711444" w:rsidP="00AA2A4C">
            <w:pPr>
              <w:pStyle w:val="TAC"/>
              <w:rPr>
                <w:lang w:eastAsia="en-US"/>
              </w:rPr>
            </w:pPr>
            <w:r w:rsidRPr="004D0DAA">
              <w:rPr>
                <w:lang w:eastAsia="en-US"/>
              </w:rPr>
              <w:t>MCS-6</w:t>
            </w:r>
          </w:p>
        </w:tc>
        <w:tc>
          <w:tcPr>
            <w:tcW w:w="3329" w:type="dxa"/>
          </w:tcPr>
          <w:p w14:paraId="58F91A6C" w14:textId="77777777" w:rsidR="00711444" w:rsidRPr="004D0DAA" w:rsidRDefault="00711444" w:rsidP="00AA2A4C">
            <w:pPr>
              <w:pStyle w:val="TAC"/>
              <w:rPr>
                <w:lang w:eastAsia="en-US"/>
              </w:rPr>
            </w:pPr>
            <w:r w:rsidRPr="004D0DAA">
              <w:rPr>
                <w:lang w:eastAsia="en-US"/>
              </w:rPr>
              <w:t>74</w:t>
            </w:r>
          </w:p>
        </w:tc>
        <w:tc>
          <w:tcPr>
            <w:tcW w:w="1188" w:type="dxa"/>
          </w:tcPr>
          <w:p w14:paraId="67779273" w14:textId="77777777" w:rsidR="00711444" w:rsidRPr="004D0DAA" w:rsidRDefault="00711444" w:rsidP="00AA2A4C">
            <w:pPr>
              <w:pStyle w:val="TAC"/>
              <w:rPr>
                <w:lang w:eastAsia="en-US"/>
              </w:rPr>
            </w:pPr>
            <w:r w:rsidRPr="004D0DAA">
              <w:rPr>
                <w:lang w:eastAsia="en-US"/>
              </w:rPr>
              <w:t>A</w:t>
            </w:r>
          </w:p>
        </w:tc>
      </w:tr>
      <w:tr w:rsidR="00711444" w:rsidRPr="004D0DAA" w14:paraId="0A2CCE4C" w14:textId="77777777" w:rsidTr="00AA2A4C">
        <w:trPr>
          <w:cantSplit/>
          <w:jc w:val="center"/>
        </w:trPr>
        <w:tc>
          <w:tcPr>
            <w:tcW w:w="2252" w:type="dxa"/>
          </w:tcPr>
          <w:p w14:paraId="607F43AD" w14:textId="77777777" w:rsidR="00711444" w:rsidRPr="004D0DAA" w:rsidRDefault="00711444" w:rsidP="00AA2A4C">
            <w:pPr>
              <w:pStyle w:val="TAC"/>
              <w:rPr>
                <w:lang w:eastAsia="en-US"/>
              </w:rPr>
            </w:pPr>
            <w:r w:rsidRPr="004D0DAA">
              <w:rPr>
                <w:lang w:eastAsia="en-US"/>
              </w:rPr>
              <w:t>UAS-7</w:t>
            </w:r>
          </w:p>
        </w:tc>
        <w:tc>
          <w:tcPr>
            <w:tcW w:w="3329" w:type="dxa"/>
          </w:tcPr>
          <w:p w14:paraId="0D543A50" w14:textId="77777777" w:rsidR="00711444" w:rsidRPr="004D0DAA" w:rsidRDefault="00711444" w:rsidP="00AA2A4C">
            <w:pPr>
              <w:pStyle w:val="TAC"/>
              <w:rPr>
                <w:lang w:eastAsia="en-US"/>
              </w:rPr>
            </w:pPr>
            <w:r w:rsidRPr="004D0DAA">
              <w:rPr>
                <w:lang w:eastAsia="en-US"/>
              </w:rPr>
              <w:t>2x56</w:t>
            </w:r>
          </w:p>
        </w:tc>
        <w:tc>
          <w:tcPr>
            <w:tcW w:w="1188" w:type="dxa"/>
          </w:tcPr>
          <w:p w14:paraId="734DC934" w14:textId="77777777" w:rsidR="00711444" w:rsidRPr="004D0DAA" w:rsidRDefault="00711444" w:rsidP="00AA2A4C">
            <w:pPr>
              <w:pStyle w:val="TAC"/>
              <w:rPr>
                <w:lang w:eastAsia="en-US"/>
              </w:rPr>
            </w:pPr>
            <w:r w:rsidRPr="004D0DAA">
              <w:rPr>
                <w:lang w:eastAsia="en-US"/>
              </w:rPr>
              <w:t>B</w:t>
            </w:r>
          </w:p>
        </w:tc>
      </w:tr>
      <w:tr w:rsidR="00711444" w:rsidRPr="004D0DAA" w14:paraId="29E1B962" w14:textId="77777777" w:rsidTr="00AA2A4C">
        <w:trPr>
          <w:cantSplit/>
          <w:jc w:val="center"/>
        </w:trPr>
        <w:tc>
          <w:tcPr>
            <w:tcW w:w="2252" w:type="dxa"/>
          </w:tcPr>
          <w:p w14:paraId="73F2FD91" w14:textId="77777777" w:rsidR="00711444" w:rsidRPr="004D0DAA" w:rsidRDefault="00711444" w:rsidP="00AA2A4C">
            <w:pPr>
              <w:pStyle w:val="TAC"/>
              <w:rPr>
                <w:lang w:eastAsia="en-US"/>
              </w:rPr>
            </w:pPr>
            <w:r w:rsidRPr="004D0DAA">
              <w:rPr>
                <w:lang w:eastAsia="en-US"/>
              </w:rPr>
              <w:t>UAS-8</w:t>
            </w:r>
          </w:p>
        </w:tc>
        <w:tc>
          <w:tcPr>
            <w:tcW w:w="3329" w:type="dxa"/>
          </w:tcPr>
          <w:p w14:paraId="4BF69A36" w14:textId="77777777" w:rsidR="00711444" w:rsidRPr="004D0DAA" w:rsidRDefault="00711444" w:rsidP="00AA2A4C">
            <w:pPr>
              <w:pStyle w:val="TAC"/>
              <w:rPr>
                <w:lang w:eastAsia="en-US"/>
              </w:rPr>
            </w:pPr>
            <w:r w:rsidRPr="004D0DAA">
              <w:rPr>
                <w:lang w:eastAsia="en-US"/>
              </w:rPr>
              <w:t>2x64</w:t>
            </w:r>
          </w:p>
        </w:tc>
        <w:tc>
          <w:tcPr>
            <w:tcW w:w="1188" w:type="dxa"/>
          </w:tcPr>
          <w:p w14:paraId="4E86F13E" w14:textId="77777777" w:rsidR="00711444" w:rsidRPr="004D0DAA" w:rsidRDefault="00711444" w:rsidP="00AA2A4C">
            <w:pPr>
              <w:pStyle w:val="TAC"/>
              <w:rPr>
                <w:lang w:eastAsia="en-US"/>
              </w:rPr>
            </w:pPr>
            <w:r w:rsidRPr="004D0DAA">
              <w:rPr>
                <w:lang w:eastAsia="en-US"/>
              </w:rPr>
              <w:t>A padding10</w:t>
            </w:r>
          </w:p>
        </w:tc>
      </w:tr>
      <w:tr w:rsidR="00711444" w:rsidRPr="004D0DAA" w14:paraId="774C8B1A" w14:textId="77777777" w:rsidTr="00AA2A4C">
        <w:trPr>
          <w:cantSplit/>
          <w:jc w:val="center"/>
        </w:trPr>
        <w:tc>
          <w:tcPr>
            <w:tcW w:w="2252" w:type="dxa"/>
          </w:tcPr>
          <w:p w14:paraId="5391A09E" w14:textId="77777777" w:rsidR="00711444" w:rsidRPr="004D0DAA" w:rsidRDefault="00711444" w:rsidP="00AA2A4C">
            <w:pPr>
              <w:pStyle w:val="TAC"/>
              <w:rPr>
                <w:lang w:eastAsia="en-US"/>
              </w:rPr>
            </w:pPr>
            <w:r w:rsidRPr="004D0DAA">
              <w:rPr>
                <w:lang w:eastAsia="en-US"/>
              </w:rPr>
              <w:t>UAS-9</w:t>
            </w:r>
          </w:p>
        </w:tc>
        <w:tc>
          <w:tcPr>
            <w:tcW w:w="3329" w:type="dxa"/>
          </w:tcPr>
          <w:p w14:paraId="14CBBA33" w14:textId="77777777" w:rsidR="00711444" w:rsidRPr="004D0DAA" w:rsidRDefault="00711444" w:rsidP="00AA2A4C">
            <w:pPr>
              <w:pStyle w:val="TAC"/>
              <w:rPr>
                <w:lang w:eastAsia="en-US"/>
              </w:rPr>
            </w:pPr>
            <w:r w:rsidRPr="004D0DAA">
              <w:rPr>
                <w:lang w:eastAsia="en-US"/>
              </w:rPr>
              <w:t>2x74</w:t>
            </w:r>
          </w:p>
        </w:tc>
        <w:tc>
          <w:tcPr>
            <w:tcW w:w="1188" w:type="dxa"/>
          </w:tcPr>
          <w:p w14:paraId="66B2E01C" w14:textId="77777777" w:rsidR="00711444" w:rsidRPr="004D0DAA" w:rsidRDefault="00711444" w:rsidP="00AA2A4C">
            <w:pPr>
              <w:pStyle w:val="TAC"/>
              <w:rPr>
                <w:lang w:eastAsia="en-US"/>
              </w:rPr>
            </w:pPr>
            <w:r w:rsidRPr="004D0DAA">
              <w:rPr>
                <w:lang w:eastAsia="en-US"/>
              </w:rPr>
              <w:t>A</w:t>
            </w:r>
          </w:p>
        </w:tc>
      </w:tr>
      <w:tr w:rsidR="00711444" w:rsidRPr="004D0DAA" w14:paraId="3C113E2C" w14:textId="77777777" w:rsidTr="00AA2A4C">
        <w:trPr>
          <w:cantSplit/>
          <w:jc w:val="center"/>
        </w:trPr>
        <w:tc>
          <w:tcPr>
            <w:tcW w:w="2252" w:type="dxa"/>
          </w:tcPr>
          <w:p w14:paraId="4E816B17" w14:textId="77777777" w:rsidR="00711444" w:rsidRPr="004D0DAA" w:rsidRDefault="00711444" w:rsidP="00AA2A4C">
            <w:pPr>
              <w:pStyle w:val="TAC"/>
              <w:rPr>
                <w:lang w:eastAsia="en-US"/>
              </w:rPr>
            </w:pPr>
            <w:r w:rsidRPr="004D0DAA">
              <w:rPr>
                <w:lang w:eastAsia="en-US"/>
              </w:rPr>
              <w:t>UAS-10</w:t>
            </w:r>
          </w:p>
        </w:tc>
        <w:tc>
          <w:tcPr>
            <w:tcW w:w="3329" w:type="dxa"/>
          </w:tcPr>
          <w:p w14:paraId="55F63AEE" w14:textId="77777777" w:rsidR="00711444" w:rsidRPr="004D0DAA" w:rsidRDefault="00711444" w:rsidP="00AA2A4C">
            <w:pPr>
              <w:pStyle w:val="TAC"/>
              <w:rPr>
                <w:lang w:eastAsia="en-US"/>
              </w:rPr>
            </w:pPr>
            <w:r w:rsidRPr="004D0DAA">
              <w:rPr>
                <w:lang w:eastAsia="en-US"/>
              </w:rPr>
              <w:t>3x56</w:t>
            </w:r>
          </w:p>
        </w:tc>
        <w:tc>
          <w:tcPr>
            <w:tcW w:w="1188" w:type="dxa"/>
          </w:tcPr>
          <w:p w14:paraId="623F93AD" w14:textId="77777777" w:rsidR="00711444" w:rsidRPr="004D0DAA" w:rsidRDefault="00711444" w:rsidP="00AA2A4C">
            <w:pPr>
              <w:pStyle w:val="TAC"/>
              <w:rPr>
                <w:lang w:eastAsia="en-US"/>
              </w:rPr>
            </w:pPr>
            <w:r w:rsidRPr="004D0DAA">
              <w:rPr>
                <w:lang w:eastAsia="en-US"/>
              </w:rPr>
              <w:t>B</w:t>
            </w:r>
          </w:p>
        </w:tc>
      </w:tr>
      <w:tr w:rsidR="00711444" w:rsidRPr="004D0DAA" w14:paraId="53F86082" w14:textId="77777777" w:rsidTr="00AA2A4C">
        <w:trPr>
          <w:cantSplit/>
          <w:jc w:val="center"/>
        </w:trPr>
        <w:tc>
          <w:tcPr>
            <w:tcW w:w="2252" w:type="dxa"/>
          </w:tcPr>
          <w:p w14:paraId="7C8AEE27" w14:textId="77777777" w:rsidR="00711444" w:rsidRPr="004D0DAA" w:rsidRDefault="00711444" w:rsidP="00AA2A4C">
            <w:pPr>
              <w:pStyle w:val="TAC"/>
              <w:rPr>
                <w:lang w:eastAsia="en-US"/>
              </w:rPr>
            </w:pPr>
            <w:r w:rsidRPr="004D0DAA">
              <w:rPr>
                <w:lang w:eastAsia="en-US"/>
              </w:rPr>
              <w:t>UAS-11</w:t>
            </w:r>
          </w:p>
        </w:tc>
        <w:tc>
          <w:tcPr>
            <w:tcW w:w="3329" w:type="dxa"/>
          </w:tcPr>
          <w:p w14:paraId="78DF5C01" w14:textId="77777777" w:rsidR="00711444" w:rsidRPr="004D0DAA" w:rsidRDefault="00711444" w:rsidP="00AA2A4C">
            <w:pPr>
              <w:pStyle w:val="TAC"/>
              <w:rPr>
                <w:lang w:eastAsia="en-US"/>
              </w:rPr>
            </w:pPr>
            <w:r w:rsidRPr="004D0DAA">
              <w:rPr>
                <w:lang w:eastAsia="en-US"/>
              </w:rPr>
              <w:t>3x64</w:t>
            </w:r>
          </w:p>
        </w:tc>
        <w:tc>
          <w:tcPr>
            <w:tcW w:w="1188" w:type="dxa"/>
          </w:tcPr>
          <w:p w14:paraId="2BD98CB9" w14:textId="77777777" w:rsidR="00711444" w:rsidRPr="004D0DAA" w:rsidRDefault="00711444" w:rsidP="00AA2A4C">
            <w:pPr>
              <w:pStyle w:val="TAC"/>
              <w:rPr>
                <w:lang w:eastAsia="en-US"/>
              </w:rPr>
            </w:pPr>
            <w:r w:rsidRPr="004D0DAA">
              <w:rPr>
                <w:lang w:eastAsia="en-US"/>
              </w:rPr>
              <w:t>A padding10</w:t>
            </w:r>
          </w:p>
        </w:tc>
      </w:tr>
      <w:tr w:rsidR="00711444" w:rsidRPr="004D0DAA" w14:paraId="32775A82" w14:textId="77777777" w:rsidTr="00AA2A4C">
        <w:trPr>
          <w:cantSplit/>
          <w:jc w:val="center"/>
        </w:trPr>
        <w:tc>
          <w:tcPr>
            <w:tcW w:w="6769" w:type="dxa"/>
            <w:gridSpan w:val="3"/>
          </w:tcPr>
          <w:p w14:paraId="7A9B4A1E" w14:textId="77777777" w:rsidR="00711444" w:rsidRPr="004D0DAA" w:rsidRDefault="00711444" w:rsidP="00AA2A4C">
            <w:pPr>
              <w:pStyle w:val="TAN"/>
              <w:rPr>
                <w:lang w:eastAsia="en-US"/>
              </w:rPr>
            </w:pPr>
            <w:r w:rsidRPr="004D0DAA">
              <w:rPr>
                <w:lang w:eastAsia="en-US"/>
              </w:rPr>
              <w:t>NOTE 1:</w:t>
            </w:r>
            <w:r w:rsidRPr="004D0DAA">
              <w:rPr>
                <w:lang w:eastAsia="en-US"/>
              </w:rPr>
              <w:tab/>
              <w:t xml:space="preserve">The four families of RLC data blocks (C, B, A, and A padding10) based on a common size basis (22, 28, 37 and 64 octets respectively) enable link adaptation retransmission as described in sub-clause 9. </w:t>
            </w:r>
          </w:p>
        </w:tc>
      </w:tr>
    </w:tbl>
    <w:p w14:paraId="27D7FF93" w14:textId="77777777" w:rsidR="00711444" w:rsidRPr="004D0DAA" w:rsidRDefault="00711444" w:rsidP="00711444"/>
    <w:p w14:paraId="247475C8" w14:textId="77777777" w:rsidR="00711444" w:rsidRPr="004D0DAA" w:rsidRDefault="00711444" w:rsidP="00711444">
      <w:pPr>
        <w:pStyle w:val="TH"/>
      </w:pPr>
      <w:r w:rsidRPr="004D0DAA">
        <w:lastRenderedPageBreak/>
        <w:t>Table 10.3a.0.6: RLC data unit size (EGPRS2-B uplink)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2"/>
        <w:gridCol w:w="3329"/>
        <w:gridCol w:w="1036"/>
      </w:tblGrid>
      <w:tr w:rsidR="00711444" w:rsidRPr="004D0DAA" w14:paraId="3C26D919" w14:textId="77777777" w:rsidTr="00AA2A4C">
        <w:trPr>
          <w:cantSplit/>
          <w:jc w:val="center"/>
        </w:trPr>
        <w:tc>
          <w:tcPr>
            <w:tcW w:w="2252" w:type="dxa"/>
            <w:tcBorders>
              <w:bottom w:val="nil"/>
            </w:tcBorders>
          </w:tcPr>
          <w:p w14:paraId="22D74928" w14:textId="77777777" w:rsidR="00711444" w:rsidRPr="004D0DAA" w:rsidRDefault="00711444" w:rsidP="00AA2A4C">
            <w:pPr>
              <w:pStyle w:val="TAH"/>
              <w:rPr>
                <w:lang w:eastAsia="en-US"/>
              </w:rPr>
            </w:pPr>
            <w:r w:rsidRPr="004D0DAA">
              <w:rPr>
                <w:lang w:eastAsia="en-US"/>
              </w:rPr>
              <w:t>Channel Coding Scheme</w:t>
            </w:r>
          </w:p>
        </w:tc>
        <w:tc>
          <w:tcPr>
            <w:tcW w:w="3329" w:type="dxa"/>
            <w:tcBorders>
              <w:bottom w:val="nil"/>
            </w:tcBorders>
          </w:tcPr>
          <w:p w14:paraId="381E52A8" w14:textId="77777777" w:rsidR="00711444" w:rsidRPr="004D0DAA" w:rsidRDefault="00711444" w:rsidP="00AA2A4C">
            <w:pPr>
              <w:pStyle w:val="TAH"/>
              <w:rPr>
                <w:lang w:eastAsia="en-US"/>
              </w:rPr>
            </w:pPr>
            <w:r w:rsidRPr="004D0DAA">
              <w:rPr>
                <w:lang w:eastAsia="en-US"/>
              </w:rPr>
              <w:t>EGPRS RLC data unit size (N2)</w:t>
            </w:r>
            <w:r w:rsidRPr="004D0DAA">
              <w:rPr>
                <w:lang w:eastAsia="en-US"/>
              </w:rPr>
              <w:br/>
              <w:t>(octets)</w:t>
            </w:r>
          </w:p>
        </w:tc>
        <w:tc>
          <w:tcPr>
            <w:tcW w:w="1036" w:type="dxa"/>
            <w:tcBorders>
              <w:bottom w:val="nil"/>
            </w:tcBorders>
          </w:tcPr>
          <w:p w14:paraId="7E55C9AC" w14:textId="77777777" w:rsidR="00711444" w:rsidRPr="004D0DAA" w:rsidRDefault="00711444" w:rsidP="00AA2A4C">
            <w:pPr>
              <w:pStyle w:val="TAH"/>
              <w:rPr>
                <w:lang w:eastAsia="en-US"/>
              </w:rPr>
            </w:pPr>
            <w:r w:rsidRPr="004D0DAA">
              <w:rPr>
                <w:lang w:eastAsia="en-US"/>
              </w:rPr>
              <w:t>Family</w:t>
            </w:r>
          </w:p>
        </w:tc>
      </w:tr>
      <w:tr w:rsidR="00711444" w:rsidRPr="004D0DAA" w14:paraId="4F03A0D7" w14:textId="77777777" w:rsidTr="00AA2A4C">
        <w:trPr>
          <w:cantSplit/>
          <w:jc w:val="center"/>
        </w:trPr>
        <w:tc>
          <w:tcPr>
            <w:tcW w:w="2252" w:type="dxa"/>
          </w:tcPr>
          <w:p w14:paraId="3963799C" w14:textId="77777777" w:rsidR="00711444" w:rsidRPr="004D0DAA" w:rsidRDefault="00711444" w:rsidP="00AA2A4C">
            <w:pPr>
              <w:pStyle w:val="TAC"/>
              <w:rPr>
                <w:lang w:eastAsia="en-US"/>
              </w:rPr>
            </w:pPr>
            <w:r w:rsidRPr="004D0DAA">
              <w:rPr>
                <w:lang w:eastAsia="en-US"/>
              </w:rPr>
              <w:t>MCS-1</w:t>
            </w:r>
          </w:p>
        </w:tc>
        <w:tc>
          <w:tcPr>
            <w:tcW w:w="3329" w:type="dxa"/>
          </w:tcPr>
          <w:p w14:paraId="383D343B" w14:textId="77777777" w:rsidR="00711444" w:rsidRPr="004D0DAA" w:rsidRDefault="00711444" w:rsidP="00AA2A4C">
            <w:pPr>
              <w:pStyle w:val="TAC"/>
              <w:rPr>
                <w:lang w:eastAsia="en-US"/>
              </w:rPr>
            </w:pPr>
            <w:r w:rsidRPr="004D0DAA">
              <w:rPr>
                <w:lang w:eastAsia="en-US"/>
              </w:rPr>
              <w:t>22</w:t>
            </w:r>
          </w:p>
        </w:tc>
        <w:tc>
          <w:tcPr>
            <w:tcW w:w="1036" w:type="dxa"/>
          </w:tcPr>
          <w:p w14:paraId="1F099E1E" w14:textId="77777777" w:rsidR="00711444" w:rsidRPr="004D0DAA" w:rsidRDefault="00711444" w:rsidP="00AA2A4C">
            <w:pPr>
              <w:pStyle w:val="TAC"/>
              <w:rPr>
                <w:lang w:eastAsia="en-US"/>
              </w:rPr>
            </w:pPr>
            <w:r w:rsidRPr="004D0DAA">
              <w:rPr>
                <w:lang w:eastAsia="en-US"/>
              </w:rPr>
              <w:t>C</w:t>
            </w:r>
          </w:p>
        </w:tc>
      </w:tr>
      <w:tr w:rsidR="00711444" w:rsidRPr="004D0DAA" w14:paraId="3D9165C5" w14:textId="77777777" w:rsidTr="00AA2A4C">
        <w:trPr>
          <w:cantSplit/>
          <w:jc w:val="center"/>
        </w:trPr>
        <w:tc>
          <w:tcPr>
            <w:tcW w:w="2252" w:type="dxa"/>
          </w:tcPr>
          <w:p w14:paraId="593E3DEF" w14:textId="77777777" w:rsidR="00711444" w:rsidRPr="004D0DAA" w:rsidRDefault="00711444" w:rsidP="00AA2A4C">
            <w:pPr>
              <w:pStyle w:val="TAC"/>
              <w:rPr>
                <w:lang w:eastAsia="en-US"/>
              </w:rPr>
            </w:pPr>
            <w:r w:rsidRPr="004D0DAA">
              <w:rPr>
                <w:lang w:eastAsia="en-US"/>
              </w:rPr>
              <w:t>MCS-2</w:t>
            </w:r>
          </w:p>
        </w:tc>
        <w:tc>
          <w:tcPr>
            <w:tcW w:w="3329" w:type="dxa"/>
          </w:tcPr>
          <w:p w14:paraId="43DACDE5" w14:textId="77777777" w:rsidR="00711444" w:rsidRPr="004D0DAA" w:rsidRDefault="00711444" w:rsidP="00AA2A4C">
            <w:pPr>
              <w:pStyle w:val="TAC"/>
              <w:rPr>
                <w:lang w:eastAsia="en-US"/>
              </w:rPr>
            </w:pPr>
            <w:r w:rsidRPr="004D0DAA">
              <w:rPr>
                <w:lang w:eastAsia="en-US"/>
              </w:rPr>
              <w:t>28</w:t>
            </w:r>
          </w:p>
        </w:tc>
        <w:tc>
          <w:tcPr>
            <w:tcW w:w="1036" w:type="dxa"/>
          </w:tcPr>
          <w:p w14:paraId="3C199C63" w14:textId="77777777" w:rsidR="00711444" w:rsidRPr="004D0DAA" w:rsidRDefault="00711444" w:rsidP="00AA2A4C">
            <w:pPr>
              <w:pStyle w:val="TAC"/>
              <w:rPr>
                <w:lang w:eastAsia="en-US"/>
              </w:rPr>
            </w:pPr>
            <w:r w:rsidRPr="004D0DAA">
              <w:rPr>
                <w:lang w:eastAsia="en-US"/>
              </w:rPr>
              <w:t>B</w:t>
            </w:r>
          </w:p>
        </w:tc>
      </w:tr>
      <w:tr w:rsidR="00711444" w:rsidRPr="004D0DAA" w14:paraId="024007F5" w14:textId="77777777" w:rsidTr="00AA2A4C">
        <w:trPr>
          <w:cantSplit/>
          <w:jc w:val="center"/>
        </w:trPr>
        <w:tc>
          <w:tcPr>
            <w:tcW w:w="2252" w:type="dxa"/>
          </w:tcPr>
          <w:p w14:paraId="0DFA0E50" w14:textId="77777777" w:rsidR="00711444" w:rsidRPr="004D0DAA" w:rsidRDefault="00711444" w:rsidP="00AA2A4C">
            <w:pPr>
              <w:pStyle w:val="TAC"/>
              <w:rPr>
                <w:lang w:eastAsia="en-US"/>
              </w:rPr>
            </w:pPr>
            <w:r w:rsidRPr="004D0DAA">
              <w:rPr>
                <w:lang w:eastAsia="en-US"/>
              </w:rPr>
              <w:t>MCS-3 with padding</w:t>
            </w:r>
          </w:p>
        </w:tc>
        <w:tc>
          <w:tcPr>
            <w:tcW w:w="3329" w:type="dxa"/>
          </w:tcPr>
          <w:p w14:paraId="4D03BB13" w14:textId="77777777" w:rsidR="00711444" w:rsidRPr="004D0DAA" w:rsidRDefault="00711444" w:rsidP="00AA2A4C">
            <w:pPr>
              <w:pStyle w:val="TAC"/>
              <w:rPr>
                <w:lang w:eastAsia="en-US"/>
              </w:rPr>
            </w:pPr>
            <w:r w:rsidRPr="004D0DAA">
              <w:rPr>
                <w:lang w:eastAsia="en-US"/>
              </w:rPr>
              <w:t>31</w:t>
            </w:r>
          </w:p>
        </w:tc>
        <w:tc>
          <w:tcPr>
            <w:tcW w:w="1036" w:type="dxa"/>
          </w:tcPr>
          <w:p w14:paraId="232CA198" w14:textId="77777777" w:rsidR="00711444" w:rsidRPr="004D0DAA" w:rsidRDefault="00711444" w:rsidP="00AA2A4C">
            <w:pPr>
              <w:pStyle w:val="TAC"/>
              <w:rPr>
                <w:lang w:eastAsia="en-US"/>
              </w:rPr>
            </w:pPr>
            <w:r w:rsidRPr="004D0DAA">
              <w:rPr>
                <w:lang w:eastAsia="en-US"/>
              </w:rPr>
              <w:t>A padding6</w:t>
            </w:r>
          </w:p>
        </w:tc>
      </w:tr>
      <w:tr w:rsidR="00711444" w:rsidRPr="004D0DAA" w14:paraId="54420C42" w14:textId="77777777" w:rsidTr="00AA2A4C">
        <w:trPr>
          <w:cantSplit/>
          <w:jc w:val="center"/>
        </w:trPr>
        <w:tc>
          <w:tcPr>
            <w:tcW w:w="2252" w:type="dxa"/>
          </w:tcPr>
          <w:p w14:paraId="6D7DFD45" w14:textId="77777777" w:rsidR="00711444" w:rsidRPr="004D0DAA" w:rsidRDefault="00711444" w:rsidP="00AA2A4C">
            <w:pPr>
              <w:pStyle w:val="TAC"/>
              <w:rPr>
                <w:lang w:eastAsia="en-US"/>
              </w:rPr>
            </w:pPr>
            <w:r w:rsidRPr="004D0DAA">
              <w:rPr>
                <w:lang w:eastAsia="en-US"/>
              </w:rPr>
              <w:t>MCS-3</w:t>
            </w:r>
          </w:p>
        </w:tc>
        <w:tc>
          <w:tcPr>
            <w:tcW w:w="3329" w:type="dxa"/>
          </w:tcPr>
          <w:p w14:paraId="156A33E9" w14:textId="77777777" w:rsidR="00711444" w:rsidRPr="004D0DAA" w:rsidRDefault="00711444" w:rsidP="00AA2A4C">
            <w:pPr>
              <w:pStyle w:val="TAC"/>
              <w:rPr>
                <w:lang w:eastAsia="en-US"/>
              </w:rPr>
            </w:pPr>
            <w:r w:rsidRPr="004D0DAA">
              <w:rPr>
                <w:lang w:eastAsia="en-US"/>
              </w:rPr>
              <w:t>37</w:t>
            </w:r>
          </w:p>
        </w:tc>
        <w:tc>
          <w:tcPr>
            <w:tcW w:w="1036" w:type="dxa"/>
          </w:tcPr>
          <w:p w14:paraId="26563528" w14:textId="77777777" w:rsidR="00711444" w:rsidRPr="004D0DAA" w:rsidRDefault="00711444" w:rsidP="00AA2A4C">
            <w:pPr>
              <w:pStyle w:val="TAC"/>
              <w:rPr>
                <w:lang w:eastAsia="en-US"/>
              </w:rPr>
            </w:pPr>
            <w:r w:rsidRPr="004D0DAA">
              <w:rPr>
                <w:lang w:eastAsia="en-US"/>
              </w:rPr>
              <w:t>A padding6 / A</w:t>
            </w:r>
          </w:p>
        </w:tc>
      </w:tr>
      <w:tr w:rsidR="00711444" w:rsidRPr="004D0DAA" w14:paraId="3DED04AF" w14:textId="77777777" w:rsidTr="00AA2A4C">
        <w:trPr>
          <w:cantSplit/>
          <w:jc w:val="center"/>
        </w:trPr>
        <w:tc>
          <w:tcPr>
            <w:tcW w:w="2252" w:type="dxa"/>
          </w:tcPr>
          <w:p w14:paraId="04DD19D2" w14:textId="77777777" w:rsidR="00711444" w:rsidRPr="004D0DAA" w:rsidRDefault="00711444" w:rsidP="00AA2A4C">
            <w:pPr>
              <w:pStyle w:val="TAC"/>
              <w:rPr>
                <w:lang w:eastAsia="en-US"/>
              </w:rPr>
            </w:pPr>
            <w:r w:rsidRPr="004D0DAA">
              <w:rPr>
                <w:lang w:eastAsia="en-US"/>
              </w:rPr>
              <w:t>MCS-4</w:t>
            </w:r>
          </w:p>
        </w:tc>
        <w:tc>
          <w:tcPr>
            <w:tcW w:w="3329" w:type="dxa"/>
          </w:tcPr>
          <w:p w14:paraId="31343899" w14:textId="77777777" w:rsidR="00711444" w:rsidRPr="004D0DAA" w:rsidRDefault="00711444" w:rsidP="00AA2A4C">
            <w:pPr>
              <w:pStyle w:val="TAC"/>
              <w:rPr>
                <w:lang w:eastAsia="en-US"/>
              </w:rPr>
            </w:pPr>
            <w:r w:rsidRPr="004D0DAA">
              <w:rPr>
                <w:lang w:eastAsia="en-US"/>
              </w:rPr>
              <w:t>44</w:t>
            </w:r>
          </w:p>
        </w:tc>
        <w:tc>
          <w:tcPr>
            <w:tcW w:w="1036" w:type="dxa"/>
          </w:tcPr>
          <w:p w14:paraId="3B6C1EF9" w14:textId="77777777" w:rsidR="00711444" w:rsidRPr="004D0DAA" w:rsidRDefault="00711444" w:rsidP="00AA2A4C">
            <w:pPr>
              <w:pStyle w:val="TAC"/>
              <w:rPr>
                <w:lang w:eastAsia="en-US"/>
              </w:rPr>
            </w:pPr>
            <w:r w:rsidRPr="004D0DAA">
              <w:rPr>
                <w:lang w:eastAsia="en-US"/>
              </w:rPr>
              <w:t>C</w:t>
            </w:r>
          </w:p>
        </w:tc>
      </w:tr>
      <w:tr w:rsidR="00711444" w:rsidRPr="004D0DAA" w14:paraId="5C8ACA8D" w14:textId="77777777" w:rsidTr="00AA2A4C">
        <w:trPr>
          <w:cantSplit/>
          <w:jc w:val="center"/>
        </w:trPr>
        <w:tc>
          <w:tcPr>
            <w:tcW w:w="2252" w:type="dxa"/>
          </w:tcPr>
          <w:p w14:paraId="48D97954" w14:textId="77777777" w:rsidR="00711444" w:rsidRPr="004D0DAA" w:rsidRDefault="00711444" w:rsidP="00AA2A4C">
            <w:pPr>
              <w:pStyle w:val="TAC"/>
              <w:rPr>
                <w:lang w:eastAsia="en-US"/>
              </w:rPr>
            </w:pPr>
            <w:r w:rsidRPr="004D0DAA">
              <w:rPr>
                <w:lang w:eastAsia="en-US"/>
              </w:rPr>
              <w:t>UBS-5</w:t>
            </w:r>
          </w:p>
        </w:tc>
        <w:tc>
          <w:tcPr>
            <w:tcW w:w="3329" w:type="dxa"/>
          </w:tcPr>
          <w:p w14:paraId="5A10577E" w14:textId="77777777" w:rsidR="00711444" w:rsidRPr="004D0DAA" w:rsidRDefault="00711444" w:rsidP="00AA2A4C">
            <w:pPr>
              <w:pStyle w:val="TAC"/>
              <w:rPr>
                <w:lang w:eastAsia="en-US"/>
              </w:rPr>
            </w:pPr>
            <w:r w:rsidRPr="004D0DAA">
              <w:rPr>
                <w:lang w:eastAsia="en-US"/>
              </w:rPr>
              <w:t>56</w:t>
            </w:r>
          </w:p>
        </w:tc>
        <w:tc>
          <w:tcPr>
            <w:tcW w:w="1036" w:type="dxa"/>
          </w:tcPr>
          <w:p w14:paraId="3FF95DA8" w14:textId="77777777" w:rsidR="00711444" w:rsidRPr="004D0DAA" w:rsidRDefault="00711444" w:rsidP="00AA2A4C">
            <w:pPr>
              <w:pStyle w:val="TAC"/>
              <w:rPr>
                <w:lang w:eastAsia="en-US"/>
              </w:rPr>
            </w:pPr>
            <w:r w:rsidRPr="004D0DAA">
              <w:rPr>
                <w:lang w:eastAsia="en-US"/>
              </w:rPr>
              <w:t>B</w:t>
            </w:r>
          </w:p>
        </w:tc>
      </w:tr>
      <w:tr w:rsidR="00711444" w:rsidRPr="004D0DAA" w14:paraId="040F0190" w14:textId="77777777" w:rsidTr="00AA2A4C">
        <w:trPr>
          <w:cantSplit/>
          <w:jc w:val="center"/>
        </w:trPr>
        <w:tc>
          <w:tcPr>
            <w:tcW w:w="2252" w:type="dxa"/>
          </w:tcPr>
          <w:p w14:paraId="538958DD" w14:textId="77777777" w:rsidR="00711444" w:rsidRPr="004D0DAA" w:rsidRDefault="00711444" w:rsidP="00AA2A4C">
            <w:pPr>
              <w:pStyle w:val="TAC"/>
              <w:rPr>
                <w:lang w:eastAsia="en-US"/>
              </w:rPr>
            </w:pPr>
            <w:r w:rsidRPr="004D0DAA">
              <w:rPr>
                <w:lang w:eastAsia="en-US"/>
              </w:rPr>
              <w:t>UBS-6 with padding</w:t>
            </w:r>
          </w:p>
        </w:tc>
        <w:tc>
          <w:tcPr>
            <w:tcW w:w="3329" w:type="dxa"/>
          </w:tcPr>
          <w:p w14:paraId="572307BA" w14:textId="77777777" w:rsidR="00711444" w:rsidRPr="004D0DAA" w:rsidRDefault="00711444" w:rsidP="00AA2A4C">
            <w:pPr>
              <w:pStyle w:val="TAC"/>
              <w:rPr>
                <w:lang w:eastAsia="en-US"/>
              </w:rPr>
            </w:pPr>
            <w:r w:rsidRPr="004D0DAA">
              <w:rPr>
                <w:lang w:eastAsia="en-US"/>
              </w:rPr>
              <w:t>68</w:t>
            </w:r>
          </w:p>
        </w:tc>
        <w:tc>
          <w:tcPr>
            <w:tcW w:w="1036" w:type="dxa"/>
          </w:tcPr>
          <w:p w14:paraId="75EC448E" w14:textId="77777777" w:rsidR="00711444" w:rsidRPr="004D0DAA" w:rsidRDefault="00711444" w:rsidP="00AA2A4C">
            <w:pPr>
              <w:pStyle w:val="TAC"/>
              <w:rPr>
                <w:lang w:eastAsia="en-US"/>
              </w:rPr>
            </w:pPr>
            <w:r w:rsidRPr="004D0DAA">
              <w:rPr>
                <w:lang w:eastAsia="en-US"/>
              </w:rPr>
              <w:t>A padding6</w:t>
            </w:r>
          </w:p>
        </w:tc>
      </w:tr>
      <w:tr w:rsidR="00711444" w:rsidRPr="004D0DAA" w14:paraId="447EEC06" w14:textId="77777777" w:rsidTr="00AA2A4C">
        <w:trPr>
          <w:cantSplit/>
          <w:jc w:val="center"/>
        </w:trPr>
        <w:tc>
          <w:tcPr>
            <w:tcW w:w="2252" w:type="dxa"/>
          </w:tcPr>
          <w:p w14:paraId="4EBB9C19" w14:textId="77777777" w:rsidR="00711444" w:rsidRPr="004D0DAA" w:rsidRDefault="00711444" w:rsidP="00AA2A4C">
            <w:pPr>
              <w:pStyle w:val="TAC"/>
              <w:rPr>
                <w:lang w:eastAsia="en-US"/>
              </w:rPr>
            </w:pPr>
            <w:r w:rsidRPr="004D0DAA">
              <w:rPr>
                <w:lang w:eastAsia="en-US"/>
              </w:rPr>
              <w:t>UBS-6</w:t>
            </w:r>
          </w:p>
        </w:tc>
        <w:tc>
          <w:tcPr>
            <w:tcW w:w="3329" w:type="dxa"/>
          </w:tcPr>
          <w:p w14:paraId="0E603A0F" w14:textId="77777777" w:rsidR="00711444" w:rsidRPr="004D0DAA" w:rsidRDefault="00711444" w:rsidP="00AA2A4C">
            <w:pPr>
              <w:pStyle w:val="TAC"/>
              <w:rPr>
                <w:lang w:eastAsia="en-US"/>
              </w:rPr>
            </w:pPr>
            <w:r w:rsidRPr="004D0DAA">
              <w:rPr>
                <w:lang w:eastAsia="en-US"/>
              </w:rPr>
              <w:t>74</w:t>
            </w:r>
          </w:p>
        </w:tc>
        <w:tc>
          <w:tcPr>
            <w:tcW w:w="1036" w:type="dxa"/>
          </w:tcPr>
          <w:p w14:paraId="1CA01629" w14:textId="77777777" w:rsidR="00711444" w:rsidRPr="004D0DAA" w:rsidRDefault="00711444" w:rsidP="00AA2A4C">
            <w:pPr>
              <w:pStyle w:val="TAC"/>
              <w:rPr>
                <w:lang w:eastAsia="en-US"/>
              </w:rPr>
            </w:pPr>
            <w:r w:rsidRPr="004D0DAA">
              <w:rPr>
                <w:lang w:eastAsia="en-US"/>
              </w:rPr>
              <w:t>A</w:t>
            </w:r>
          </w:p>
        </w:tc>
      </w:tr>
      <w:tr w:rsidR="00711444" w:rsidRPr="004D0DAA" w14:paraId="7314ACE5" w14:textId="77777777" w:rsidTr="00AA2A4C">
        <w:trPr>
          <w:cantSplit/>
          <w:jc w:val="center"/>
        </w:trPr>
        <w:tc>
          <w:tcPr>
            <w:tcW w:w="2252" w:type="dxa"/>
          </w:tcPr>
          <w:p w14:paraId="543186CF" w14:textId="77777777" w:rsidR="00711444" w:rsidRPr="004D0DAA" w:rsidRDefault="00711444" w:rsidP="00AA2A4C">
            <w:pPr>
              <w:pStyle w:val="TAC"/>
              <w:rPr>
                <w:lang w:eastAsia="en-US"/>
              </w:rPr>
            </w:pPr>
            <w:r w:rsidRPr="004D0DAA">
              <w:rPr>
                <w:lang w:eastAsia="en-US"/>
              </w:rPr>
              <w:t>UBS-7</w:t>
            </w:r>
          </w:p>
        </w:tc>
        <w:tc>
          <w:tcPr>
            <w:tcW w:w="3329" w:type="dxa"/>
          </w:tcPr>
          <w:p w14:paraId="0B0D8ADE" w14:textId="77777777" w:rsidR="00711444" w:rsidRPr="004D0DAA" w:rsidRDefault="00711444" w:rsidP="00AA2A4C">
            <w:pPr>
              <w:pStyle w:val="TAC"/>
              <w:rPr>
                <w:lang w:eastAsia="en-US"/>
              </w:rPr>
            </w:pPr>
            <w:r w:rsidRPr="004D0DAA">
              <w:rPr>
                <w:lang w:eastAsia="en-US"/>
              </w:rPr>
              <w:t>2x56</w:t>
            </w:r>
          </w:p>
        </w:tc>
        <w:tc>
          <w:tcPr>
            <w:tcW w:w="1036" w:type="dxa"/>
          </w:tcPr>
          <w:p w14:paraId="21952E0F" w14:textId="77777777" w:rsidR="00711444" w:rsidRPr="004D0DAA" w:rsidRDefault="00711444" w:rsidP="00AA2A4C">
            <w:pPr>
              <w:pStyle w:val="TAC"/>
              <w:rPr>
                <w:lang w:eastAsia="en-US"/>
              </w:rPr>
            </w:pPr>
            <w:r w:rsidRPr="004D0DAA">
              <w:rPr>
                <w:lang w:eastAsia="en-US"/>
              </w:rPr>
              <w:t>B</w:t>
            </w:r>
          </w:p>
        </w:tc>
      </w:tr>
      <w:tr w:rsidR="00711444" w:rsidRPr="004D0DAA" w14:paraId="7DDF7393" w14:textId="77777777" w:rsidTr="00AA2A4C">
        <w:trPr>
          <w:cantSplit/>
          <w:jc w:val="center"/>
        </w:trPr>
        <w:tc>
          <w:tcPr>
            <w:tcW w:w="2252" w:type="dxa"/>
          </w:tcPr>
          <w:p w14:paraId="7B39B6E9" w14:textId="77777777" w:rsidR="00711444" w:rsidRPr="004D0DAA" w:rsidRDefault="00711444" w:rsidP="00AA2A4C">
            <w:pPr>
              <w:pStyle w:val="TAC"/>
              <w:rPr>
                <w:lang w:eastAsia="en-US"/>
              </w:rPr>
            </w:pPr>
            <w:r w:rsidRPr="004D0DAA">
              <w:rPr>
                <w:lang w:eastAsia="en-US"/>
              </w:rPr>
              <w:t>UBS-8 with padding</w:t>
            </w:r>
          </w:p>
        </w:tc>
        <w:tc>
          <w:tcPr>
            <w:tcW w:w="3329" w:type="dxa"/>
          </w:tcPr>
          <w:p w14:paraId="702B143C" w14:textId="77777777" w:rsidR="00711444" w:rsidRPr="004D0DAA" w:rsidRDefault="00711444" w:rsidP="00AA2A4C">
            <w:pPr>
              <w:pStyle w:val="TAC"/>
              <w:rPr>
                <w:lang w:eastAsia="en-US"/>
              </w:rPr>
            </w:pPr>
            <w:r w:rsidRPr="004D0DAA">
              <w:rPr>
                <w:lang w:eastAsia="en-US"/>
              </w:rPr>
              <w:t>2x68</w:t>
            </w:r>
          </w:p>
        </w:tc>
        <w:tc>
          <w:tcPr>
            <w:tcW w:w="1036" w:type="dxa"/>
          </w:tcPr>
          <w:p w14:paraId="3FB42AEC" w14:textId="77777777" w:rsidR="00711444" w:rsidRPr="004D0DAA" w:rsidRDefault="00711444" w:rsidP="00AA2A4C">
            <w:pPr>
              <w:pStyle w:val="TAC"/>
              <w:rPr>
                <w:lang w:eastAsia="en-US"/>
              </w:rPr>
            </w:pPr>
            <w:r w:rsidRPr="004D0DAA">
              <w:rPr>
                <w:lang w:eastAsia="en-US"/>
              </w:rPr>
              <w:t>A padding6</w:t>
            </w:r>
          </w:p>
        </w:tc>
      </w:tr>
      <w:tr w:rsidR="00711444" w:rsidRPr="004D0DAA" w14:paraId="5BDA495B" w14:textId="77777777" w:rsidTr="00AA2A4C">
        <w:trPr>
          <w:cantSplit/>
          <w:jc w:val="center"/>
        </w:trPr>
        <w:tc>
          <w:tcPr>
            <w:tcW w:w="2252" w:type="dxa"/>
          </w:tcPr>
          <w:p w14:paraId="0061D86D" w14:textId="77777777" w:rsidR="00711444" w:rsidRPr="004D0DAA" w:rsidRDefault="00711444" w:rsidP="00AA2A4C">
            <w:pPr>
              <w:pStyle w:val="TAC"/>
              <w:rPr>
                <w:lang w:eastAsia="en-US"/>
              </w:rPr>
            </w:pPr>
            <w:r w:rsidRPr="004D0DAA">
              <w:rPr>
                <w:lang w:eastAsia="en-US"/>
              </w:rPr>
              <w:t>UBS-8</w:t>
            </w:r>
          </w:p>
        </w:tc>
        <w:tc>
          <w:tcPr>
            <w:tcW w:w="3329" w:type="dxa"/>
          </w:tcPr>
          <w:p w14:paraId="44B87130" w14:textId="77777777" w:rsidR="00711444" w:rsidRPr="004D0DAA" w:rsidRDefault="00711444" w:rsidP="00AA2A4C">
            <w:pPr>
              <w:pStyle w:val="TAC"/>
              <w:rPr>
                <w:lang w:eastAsia="en-US"/>
              </w:rPr>
            </w:pPr>
            <w:r w:rsidRPr="004D0DAA">
              <w:rPr>
                <w:lang w:eastAsia="en-US"/>
              </w:rPr>
              <w:t>2x74</w:t>
            </w:r>
          </w:p>
        </w:tc>
        <w:tc>
          <w:tcPr>
            <w:tcW w:w="1036" w:type="dxa"/>
          </w:tcPr>
          <w:p w14:paraId="72DB22FD" w14:textId="77777777" w:rsidR="00711444" w:rsidRPr="004D0DAA" w:rsidRDefault="00711444" w:rsidP="00AA2A4C">
            <w:pPr>
              <w:pStyle w:val="TAC"/>
              <w:rPr>
                <w:lang w:eastAsia="en-US"/>
              </w:rPr>
            </w:pPr>
            <w:r w:rsidRPr="004D0DAA">
              <w:rPr>
                <w:lang w:eastAsia="en-US"/>
              </w:rPr>
              <w:t>A</w:t>
            </w:r>
          </w:p>
        </w:tc>
      </w:tr>
      <w:tr w:rsidR="00711444" w:rsidRPr="004D0DAA" w14:paraId="0C54C969" w14:textId="77777777" w:rsidTr="00AA2A4C">
        <w:trPr>
          <w:cantSplit/>
          <w:jc w:val="center"/>
        </w:trPr>
        <w:tc>
          <w:tcPr>
            <w:tcW w:w="2252" w:type="dxa"/>
          </w:tcPr>
          <w:p w14:paraId="603D153A" w14:textId="77777777" w:rsidR="00711444" w:rsidRPr="004D0DAA" w:rsidRDefault="00711444" w:rsidP="00AA2A4C">
            <w:pPr>
              <w:pStyle w:val="TAC"/>
              <w:rPr>
                <w:lang w:eastAsia="en-US"/>
              </w:rPr>
            </w:pPr>
            <w:r w:rsidRPr="004D0DAA">
              <w:rPr>
                <w:lang w:eastAsia="en-US"/>
              </w:rPr>
              <w:t>UBS-9</w:t>
            </w:r>
          </w:p>
        </w:tc>
        <w:tc>
          <w:tcPr>
            <w:tcW w:w="3329" w:type="dxa"/>
          </w:tcPr>
          <w:p w14:paraId="226444DD" w14:textId="77777777" w:rsidR="00711444" w:rsidRPr="004D0DAA" w:rsidRDefault="00711444" w:rsidP="00AA2A4C">
            <w:pPr>
              <w:pStyle w:val="TAC"/>
              <w:rPr>
                <w:lang w:eastAsia="en-US"/>
              </w:rPr>
            </w:pPr>
            <w:r w:rsidRPr="004D0DAA">
              <w:rPr>
                <w:lang w:eastAsia="en-US"/>
              </w:rPr>
              <w:t>3x56</w:t>
            </w:r>
          </w:p>
        </w:tc>
        <w:tc>
          <w:tcPr>
            <w:tcW w:w="1036" w:type="dxa"/>
          </w:tcPr>
          <w:p w14:paraId="7BB2903F" w14:textId="77777777" w:rsidR="00711444" w:rsidRPr="004D0DAA" w:rsidRDefault="00711444" w:rsidP="00AA2A4C">
            <w:pPr>
              <w:pStyle w:val="TAC"/>
              <w:rPr>
                <w:lang w:eastAsia="en-US"/>
              </w:rPr>
            </w:pPr>
            <w:r w:rsidRPr="004D0DAA">
              <w:rPr>
                <w:lang w:eastAsia="en-US"/>
              </w:rPr>
              <w:t>B</w:t>
            </w:r>
          </w:p>
        </w:tc>
      </w:tr>
      <w:tr w:rsidR="00711444" w:rsidRPr="004D0DAA" w14:paraId="07EC35D8" w14:textId="77777777" w:rsidTr="00AA2A4C">
        <w:trPr>
          <w:cantSplit/>
          <w:jc w:val="center"/>
        </w:trPr>
        <w:tc>
          <w:tcPr>
            <w:tcW w:w="2252" w:type="dxa"/>
          </w:tcPr>
          <w:p w14:paraId="2BBF72D3" w14:textId="77777777" w:rsidR="00711444" w:rsidRPr="004D0DAA" w:rsidRDefault="00711444" w:rsidP="00AA2A4C">
            <w:pPr>
              <w:pStyle w:val="TAC"/>
              <w:rPr>
                <w:lang w:eastAsia="en-US"/>
              </w:rPr>
            </w:pPr>
            <w:r w:rsidRPr="004D0DAA">
              <w:rPr>
                <w:lang w:eastAsia="en-US"/>
              </w:rPr>
              <w:t>UBS-10 with padding</w:t>
            </w:r>
          </w:p>
        </w:tc>
        <w:tc>
          <w:tcPr>
            <w:tcW w:w="3329" w:type="dxa"/>
          </w:tcPr>
          <w:p w14:paraId="6AA4CC89" w14:textId="77777777" w:rsidR="00711444" w:rsidRPr="004D0DAA" w:rsidRDefault="00711444" w:rsidP="00AA2A4C">
            <w:pPr>
              <w:pStyle w:val="TAC"/>
              <w:rPr>
                <w:lang w:eastAsia="en-US"/>
              </w:rPr>
            </w:pPr>
            <w:r w:rsidRPr="004D0DAA">
              <w:rPr>
                <w:lang w:eastAsia="en-US"/>
              </w:rPr>
              <w:t>3x68</w:t>
            </w:r>
          </w:p>
        </w:tc>
        <w:tc>
          <w:tcPr>
            <w:tcW w:w="1036" w:type="dxa"/>
          </w:tcPr>
          <w:p w14:paraId="4F479356" w14:textId="77777777" w:rsidR="00711444" w:rsidRPr="004D0DAA" w:rsidRDefault="00711444" w:rsidP="00AA2A4C">
            <w:pPr>
              <w:pStyle w:val="TAC"/>
              <w:rPr>
                <w:lang w:eastAsia="en-US"/>
              </w:rPr>
            </w:pPr>
            <w:r w:rsidRPr="004D0DAA">
              <w:rPr>
                <w:lang w:eastAsia="en-US"/>
              </w:rPr>
              <w:t>A padding6</w:t>
            </w:r>
          </w:p>
        </w:tc>
      </w:tr>
      <w:tr w:rsidR="00711444" w:rsidRPr="004D0DAA" w14:paraId="42A9994B" w14:textId="77777777" w:rsidTr="00AA2A4C">
        <w:trPr>
          <w:cantSplit/>
          <w:jc w:val="center"/>
        </w:trPr>
        <w:tc>
          <w:tcPr>
            <w:tcW w:w="2252" w:type="dxa"/>
          </w:tcPr>
          <w:p w14:paraId="0BDA4CA7" w14:textId="77777777" w:rsidR="00711444" w:rsidRPr="004D0DAA" w:rsidRDefault="00711444" w:rsidP="00AA2A4C">
            <w:pPr>
              <w:pStyle w:val="TAC"/>
              <w:rPr>
                <w:lang w:eastAsia="en-US"/>
              </w:rPr>
            </w:pPr>
            <w:r w:rsidRPr="004D0DAA">
              <w:rPr>
                <w:lang w:eastAsia="en-US"/>
              </w:rPr>
              <w:t>UBS-10</w:t>
            </w:r>
          </w:p>
        </w:tc>
        <w:tc>
          <w:tcPr>
            <w:tcW w:w="3329" w:type="dxa"/>
          </w:tcPr>
          <w:p w14:paraId="50BB6A73" w14:textId="77777777" w:rsidR="00711444" w:rsidRPr="004D0DAA" w:rsidRDefault="00711444" w:rsidP="00AA2A4C">
            <w:pPr>
              <w:pStyle w:val="TAC"/>
              <w:rPr>
                <w:lang w:eastAsia="en-US"/>
              </w:rPr>
            </w:pPr>
            <w:r w:rsidRPr="004D0DAA">
              <w:rPr>
                <w:lang w:eastAsia="en-US"/>
              </w:rPr>
              <w:t>3x74</w:t>
            </w:r>
          </w:p>
        </w:tc>
        <w:tc>
          <w:tcPr>
            <w:tcW w:w="1036" w:type="dxa"/>
          </w:tcPr>
          <w:p w14:paraId="40EF9811" w14:textId="77777777" w:rsidR="00711444" w:rsidRPr="004D0DAA" w:rsidRDefault="00711444" w:rsidP="00AA2A4C">
            <w:pPr>
              <w:pStyle w:val="TAC"/>
              <w:rPr>
                <w:lang w:eastAsia="en-US"/>
              </w:rPr>
            </w:pPr>
            <w:r w:rsidRPr="004D0DAA">
              <w:rPr>
                <w:lang w:eastAsia="en-US"/>
              </w:rPr>
              <w:t>A</w:t>
            </w:r>
          </w:p>
        </w:tc>
      </w:tr>
      <w:tr w:rsidR="00711444" w:rsidRPr="004D0DAA" w14:paraId="4C52AB75" w14:textId="77777777" w:rsidTr="00AA2A4C">
        <w:trPr>
          <w:cantSplit/>
          <w:jc w:val="center"/>
        </w:trPr>
        <w:tc>
          <w:tcPr>
            <w:tcW w:w="2252" w:type="dxa"/>
          </w:tcPr>
          <w:p w14:paraId="7F6AB945" w14:textId="77777777" w:rsidR="00711444" w:rsidRPr="004D0DAA" w:rsidRDefault="00711444" w:rsidP="00AA2A4C">
            <w:pPr>
              <w:pStyle w:val="TAC"/>
              <w:rPr>
                <w:lang w:eastAsia="en-US"/>
              </w:rPr>
            </w:pPr>
            <w:r w:rsidRPr="004D0DAA">
              <w:rPr>
                <w:lang w:eastAsia="en-US"/>
              </w:rPr>
              <w:t>UBS-11</w:t>
            </w:r>
          </w:p>
        </w:tc>
        <w:tc>
          <w:tcPr>
            <w:tcW w:w="3329" w:type="dxa"/>
          </w:tcPr>
          <w:p w14:paraId="3C5282E7" w14:textId="77777777" w:rsidR="00711444" w:rsidRPr="004D0DAA" w:rsidRDefault="00711444" w:rsidP="00AA2A4C">
            <w:pPr>
              <w:pStyle w:val="TAC"/>
              <w:rPr>
                <w:lang w:eastAsia="en-US"/>
              </w:rPr>
            </w:pPr>
            <w:r w:rsidRPr="004D0DAA">
              <w:rPr>
                <w:lang w:eastAsia="en-US"/>
              </w:rPr>
              <w:t>4x68</w:t>
            </w:r>
          </w:p>
        </w:tc>
        <w:tc>
          <w:tcPr>
            <w:tcW w:w="1036" w:type="dxa"/>
          </w:tcPr>
          <w:p w14:paraId="4474B50E" w14:textId="77777777" w:rsidR="00711444" w:rsidRPr="004D0DAA" w:rsidRDefault="00711444" w:rsidP="00AA2A4C">
            <w:pPr>
              <w:pStyle w:val="TAC"/>
              <w:rPr>
                <w:lang w:eastAsia="en-US"/>
              </w:rPr>
            </w:pPr>
            <w:r w:rsidRPr="004D0DAA">
              <w:rPr>
                <w:lang w:eastAsia="en-US"/>
              </w:rPr>
              <w:t>A padding6</w:t>
            </w:r>
          </w:p>
        </w:tc>
      </w:tr>
      <w:tr w:rsidR="00711444" w:rsidRPr="004D0DAA" w14:paraId="755E7D7D" w14:textId="77777777" w:rsidTr="00AA2A4C">
        <w:trPr>
          <w:cantSplit/>
          <w:jc w:val="center"/>
        </w:trPr>
        <w:tc>
          <w:tcPr>
            <w:tcW w:w="2252" w:type="dxa"/>
          </w:tcPr>
          <w:p w14:paraId="1A888B63" w14:textId="77777777" w:rsidR="00711444" w:rsidRPr="004D0DAA" w:rsidRDefault="00711444" w:rsidP="00AA2A4C">
            <w:pPr>
              <w:pStyle w:val="TAC"/>
              <w:rPr>
                <w:lang w:eastAsia="en-US"/>
              </w:rPr>
            </w:pPr>
            <w:r w:rsidRPr="004D0DAA">
              <w:rPr>
                <w:lang w:eastAsia="en-US"/>
              </w:rPr>
              <w:t>UBS-12</w:t>
            </w:r>
          </w:p>
        </w:tc>
        <w:tc>
          <w:tcPr>
            <w:tcW w:w="3329" w:type="dxa"/>
          </w:tcPr>
          <w:p w14:paraId="03580D51" w14:textId="77777777" w:rsidR="00711444" w:rsidRPr="004D0DAA" w:rsidRDefault="00711444" w:rsidP="00AA2A4C">
            <w:pPr>
              <w:pStyle w:val="TAC"/>
              <w:rPr>
                <w:lang w:eastAsia="en-US"/>
              </w:rPr>
            </w:pPr>
            <w:r w:rsidRPr="004D0DAA">
              <w:rPr>
                <w:lang w:eastAsia="en-US"/>
              </w:rPr>
              <w:t>4x74</w:t>
            </w:r>
          </w:p>
        </w:tc>
        <w:tc>
          <w:tcPr>
            <w:tcW w:w="1036" w:type="dxa"/>
          </w:tcPr>
          <w:p w14:paraId="64038051" w14:textId="77777777" w:rsidR="00711444" w:rsidRPr="004D0DAA" w:rsidRDefault="00711444" w:rsidP="00AA2A4C">
            <w:pPr>
              <w:pStyle w:val="TAC"/>
              <w:rPr>
                <w:lang w:eastAsia="en-US"/>
              </w:rPr>
            </w:pPr>
            <w:r w:rsidRPr="004D0DAA">
              <w:rPr>
                <w:lang w:eastAsia="en-US"/>
              </w:rPr>
              <w:t>A</w:t>
            </w:r>
          </w:p>
        </w:tc>
      </w:tr>
      <w:tr w:rsidR="00711444" w:rsidRPr="004D0DAA" w14:paraId="540F5903" w14:textId="77777777" w:rsidTr="00AA2A4C">
        <w:trPr>
          <w:cantSplit/>
          <w:jc w:val="center"/>
        </w:trPr>
        <w:tc>
          <w:tcPr>
            <w:tcW w:w="6617" w:type="dxa"/>
            <w:gridSpan w:val="3"/>
          </w:tcPr>
          <w:p w14:paraId="45010AFD" w14:textId="77777777" w:rsidR="00711444" w:rsidRPr="004D0DAA" w:rsidRDefault="00711444" w:rsidP="00AA2A4C">
            <w:pPr>
              <w:pStyle w:val="TAN"/>
              <w:rPr>
                <w:lang w:eastAsia="en-US"/>
              </w:rPr>
            </w:pPr>
            <w:r w:rsidRPr="004D0DAA">
              <w:rPr>
                <w:lang w:eastAsia="en-US"/>
              </w:rPr>
              <w:t>NOTE 1:</w:t>
            </w:r>
            <w:r w:rsidRPr="004D0DAA">
              <w:rPr>
                <w:lang w:eastAsia="en-US"/>
              </w:rPr>
              <w:tab/>
              <w:t xml:space="preserve">The four families of RLC data blocks (C, B, A and A padding6) based on a common size basis (22, 28, 37 and 68 octets respectively) enable link adaptation retransmission as described in sub-clause 9. </w:t>
            </w:r>
          </w:p>
        </w:tc>
      </w:tr>
    </w:tbl>
    <w:p w14:paraId="6BD69E68" w14:textId="77777777" w:rsidR="00711444" w:rsidRPr="004D0DAA" w:rsidRDefault="00711444" w:rsidP="00711444"/>
    <w:p w14:paraId="2387DF37" w14:textId="77777777" w:rsidR="00711444" w:rsidRPr="004D0DAA" w:rsidRDefault="00711444" w:rsidP="00711444">
      <w:pPr>
        <w:pStyle w:val="Heading3"/>
      </w:pPr>
      <w:bookmarkStart w:id="514" w:name="_Toc516669696"/>
      <w:r w:rsidRPr="004D0DAA">
        <w:t>10.3a.1</w:t>
      </w:r>
      <w:r w:rsidRPr="004D0DAA">
        <w:tab/>
        <w:t>Downlink RLC data block</w:t>
      </w:r>
      <w:bookmarkEnd w:id="514"/>
    </w:p>
    <w:p w14:paraId="2E8AF5F5" w14:textId="77777777" w:rsidR="00711444" w:rsidRPr="004D0DAA" w:rsidRDefault="00711444" w:rsidP="00711444">
      <w:pPr>
        <w:pStyle w:val="Heading4"/>
      </w:pPr>
      <w:bookmarkStart w:id="515" w:name="_Toc516669697"/>
      <w:r w:rsidRPr="004D0DAA">
        <w:t>10.3a.1.1</w:t>
      </w:r>
      <w:r w:rsidRPr="004D0DAA">
        <w:tab/>
        <w:t>EGPRS downlink RLC data block</w:t>
      </w:r>
      <w:bookmarkEnd w:id="515"/>
    </w:p>
    <w:p w14:paraId="240A7B97" w14:textId="77777777" w:rsidR="00711444" w:rsidRPr="004D0DAA" w:rsidRDefault="00711444" w:rsidP="00711444">
      <w:pPr>
        <w:keepNext/>
      </w:pPr>
      <w:r w:rsidRPr="004D0DAA">
        <w:t xml:space="preserve">The EGPRS downlink RLC data blocks are formatted according to figure 10.3a.1.1.1. </w:t>
      </w:r>
    </w:p>
    <w:tbl>
      <w:tblPr>
        <w:tblW w:w="0" w:type="auto"/>
        <w:jc w:val="center"/>
        <w:tblLayout w:type="fixed"/>
        <w:tblCellMar>
          <w:left w:w="28" w:type="dxa"/>
          <w:right w:w="28" w:type="dxa"/>
        </w:tblCellMar>
        <w:tblLook w:val="0000" w:firstRow="0" w:lastRow="0" w:firstColumn="0" w:lastColumn="0" w:noHBand="0" w:noVBand="0"/>
      </w:tblPr>
      <w:tblGrid>
        <w:gridCol w:w="624"/>
        <w:gridCol w:w="624"/>
        <w:gridCol w:w="624"/>
        <w:gridCol w:w="624"/>
        <w:gridCol w:w="624"/>
        <w:gridCol w:w="624"/>
        <w:gridCol w:w="624"/>
        <w:gridCol w:w="624"/>
        <w:gridCol w:w="1985"/>
      </w:tblGrid>
      <w:tr w:rsidR="00711444" w:rsidRPr="004D0DAA" w14:paraId="322791F3" w14:textId="77777777" w:rsidTr="00AA2A4C">
        <w:trPr>
          <w:cantSplit/>
          <w:jc w:val="center"/>
        </w:trPr>
        <w:tc>
          <w:tcPr>
            <w:tcW w:w="624" w:type="dxa"/>
          </w:tcPr>
          <w:p w14:paraId="4134238D" w14:textId="77777777" w:rsidR="00711444" w:rsidRPr="004D0DAA" w:rsidRDefault="00711444" w:rsidP="00AA2A4C"/>
        </w:tc>
        <w:tc>
          <w:tcPr>
            <w:tcW w:w="624" w:type="dxa"/>
          </w:tcPr>
          <w:p w14:paraId="0844ADF2" w14:textId="77777777" w:rsidR="00711444" w:rsidRPr="004D0DAA" w:rsidRDefault="00711444" w:rsidP="00AA2A4C"/>
        </w:tc>
        <w:tc>
          <w:tcPr>
            <w:tcW w:w="624" w:type="dxa"/>
          </w:tcPr>
          <w:p w14:paraId="4DD1C899" w14:textId="77777777" w:rsidR="00711444" w:rsidRPr="004D0DAA" w:rsidRDefault="00711444" w:rsidP="00AA2A4C"/>
        </w:tc>
        <w:tc>
          <w:tcPr>
            <w:tcW w:w="1248" w:type="dxa"/>
            <w:gridSpan w:val="2"/>
          </w:tcPr>
          <w:p w14:paraId="04096B74" w14:textId="77777777" w:rsidR="00711444" w:rsidRPr="004D0DAA" w:rsidRDefault="00711444" w:rsidP="00AA2A4C">
            <w:pPr>
              <w:pStyle w:val="TAC"/>
              <w:rPr>
                <w:lang w:eastAsia="en-US"/>
              </w:rPr>
            </w:pPr>
            <w:r w:rsidRPr="004D0DAA">
              <w:rPr>
                <w:lang w:eastAsia="en-US"/>
              </w:rPr>
              <w:t>Bit</w:t>
            </w:r>
          </w:p>
        </w:tc>
        <w:tc>
          <w:tcPr>
            <w:tcW w:w="624" w:type="dxa"/>
          </w:tcPr>
          <w:p w14:paraId="786BFAC2" w14:textId="77777777" w:rsidR="00711444" w:rsidRPr="004D0DAA" w:rsidRDefault="00711444" w:rsidP="00AA2A4C"/>
        </w:tc>
        <w:tc>
          <w:tcPr>
            <w:tcW w:w="624" w:type="dxa"/>
          </w:tcPr>
          <w:p w14:paraId="617FD877" w14:textId="77777777" w:rsidR="00711444" w:rsidRPr="004D0DAA" w:rsidRDefault="00711444" w:rsidP="00AA2A4C"/>
        </w:tc>
        <w:tc>
          <w:tcPr>
            <w:tcW w:w="624" w:type="dxa"/>
          </w:tcPr>
          <w:p w14:paraId="00A02DF8" w14:textId="77777777" w:rsidR="00711444" w:rsidRPr="004D0DAA" w:rsidRDefault="00711444" w:rsidP="00AA2A4C"/>
        </w:tc>
        <w:tc>
          <w:tcPr>
            <w:tcW w:w="1985" w:type="dxa"/>
          </w:tcPr>
          <w:p w14:paraId="1C102351" w14:textId="77777777" w:rsidR="00711444" w:rsidRPr="004D0DAA" w:rsidRDefault="00711444" w:rsidP="00AA2A4C">
            <w:pPr>
              <w:pStyle w:val="TAC"/>
              <w:rPr>
                <w:lang w:eastAsia="en-US"/>
              </w:rPr>
            </w:pPr>
          </w:p>
        </w:tc>
      </w:tr>
      <w:tr w:rsidR="00711444" w:rsidRPr="004D0DAA" w14:paraId="134E54F4" w14:textId="77777777" w:rsidTr="00AA2A4C">
        <w:trPr>
          <w:cantSplit/>
          <w:jc w:val="center"/>
        </w:trPr>
        <w:tc>
          <w:tcPr>
            <w:tcW w:w="624" w:type="dxa"/>
          </w:tcPr>
          <w:p w14:paraId="3316ED1C" w14:textId="77777777" w:rsidR="00711444" w:rsidRPr="004D0DAA" w:rsidRDefault="00711444" w:rsidP="00AA2A4C"/>
        </w:tc>
        <w:tc>
          <w:tcPr>
            <w:tcW w:w="624" w:type="dxa"/>
          </w:tcPr>
          <w:p w14:paraId="1193147E" w14:textId="77777777" w:rsidR="00711444" w:rsidRPr="004D0DAA" w:rsidRDefault="00711444" w:rsidP="00AA2A4C"/>
        </w:tc>
        <w:tc>
          <w:tcPr>
            <w:tcW w:w="624" w:type="dxa"/>
          </w:tcPr>
          <w:p w14:paraId="5285E247" w14:textId="77777777" w:rsidR="00711444" w:rsidRPr="004D0DAA" w:rsidRDefault="00711444" w:rsidP="00AA2A4C"/>
        </w:tc>
        <w:tc>
          <w:tcPr>
            <w:tcW w:w="624" w:type="dxa"/>
            <w:tcBorders>
              <w:bottom w:val="single" w:sz="4" w:space="0" w:color="auto"/>
            </w:tcBorders>
          </w:tcPr>
          <w:p w14:paraId="75469E56" w14:textId="77777777" w:rsidR="00711444" w:rsidRPr="004D0DAA" w:rsidRDefault="00711444" w:rsidP="00AA2A4C">
            <w:pPr>
              <w:pStyle w:val="TAC"/>
              <w:rPr>
                <w:lang w:eastAsia="en-US"/>
              </w:rPr>
            </w:pPr>
            <w:r w:rsidRPr="004D0DAA">
              <w:rPr>
                <w:lang w:eastAsia="en-US"/>
              </w:rPr>
              <w:t>2</w:t>
            </w:r>
          </w:p>
        </w:tc>
        <w:tc>
          <w:tcPr>
            <w:tcW w:w="624" w:type="dxa"/>
            <w:tcBorders>
              <w:bottom w:val="single" w:sz="4" w:space="0" w:color="auto"/>
            </w:tcBorders>
          </w:tcPr>
          <w:p w14:paraId="313537FD" w14:textId="77777777" w:rsidR="00711444" w:rsidRPr="004D0DAA" w:rsidRDefault="00711444" w:rsidP="00AA2A4C">
            <w:pPr>
              <w:pStyle w:val="TAC"/>
              <w:rPr>
                <w:lang w:eastAsia="en-US"/>
              </w:rPr>
            </w:pPr>
            <w:r w:rsidRPr="004D0DAA">
              <w:rPr>
                <w:lang w:eastAsia="en-US"/>
              </w:rPr>
              <w:t>1</w:t>
            </w:r>
          </w:p>
        </w:tc>
        <w:tc>
          <w:tcPr>
            <w:tcW w:w="624" w:type="dxa"/>
          </w:tcPr>
          <w:p w14:paraId="61B1AA5E" w14:textId="77777777" w:rsidR="00711444" w:rsidRPr="004D0DAA" w:rsidRDefault="00711444" w:rsidP="00AA2A4C"/>
        </w:tc>
        <w:tc>
          <w:tcPr>
            <w:tcW w:w="624" w:type="dxa"/>
          </w:tcPr>
          <w:p w14:paraId="77E1C098" w14:textId="77777777" w:rsidR="00711444" w:rsidRPr="004D0DAA" w:rsidRDefault="00711444" w:rsidP="00AA2A4C"/>
        </w:tc>
        <w:tc>
          <w:tcPr>
            <w:tcW w:w="624" w:type="dxa"/>
          </w:tcPr>
          <w:p w14:paraId="2AA68F5D" w14:textId="77777777" w:rsidR="00711444" w:rsidRPr="004D0DAA" w:rsidRDefault="00711444" w:rsidP="00AA2A4C"/>
        </w:tc>
        <w:tc>
          <w:tcPr>
            <w:tcW w:w="1985" w:type="dxa"/>
          </w:tcPr>
          <w:p w14:paraId="52D6BE46" w14:textId="77777777" w:rsidR="00711444" w:rsidRPr="004D0DAA" w:rsidRDefault="00711444" w:rsidP="00AA2A4C">
            <w:pPr>
              <w:pStyle w:val="TAC"/>
              <w:rPr>
                <w:lang w:eastAsia="en-US"/>
              </w:rPr>
            </w:pPr>
          </w:p>
        </w:tc>
      </w:tr>
      <w:tr w:rsidR="00711444" w:rsidRPr="004D0DAA" w14:paraId="5A19339C" w14:textId="77777777" w:rsidTr="00AA2A4C">
        <w:trPr>
          <w:cantSplit/>
          <w:jc w:val="center"/>
        </w:trPr>
        <w:tc>
          <w:tcPr>
            <w:tcW w:w="624" w:type="dxa"/>
          </w:tcPr>
          <w:p w14:paraId="3F1DE018" w14:textId="77777777" w:rsidR="00711444" w:rsidRPr="004D0DAA" w:rsidRDefault="00711444" w:rsidP="00AA2A4C"/>
        </w:tc>
        <w:tc>
          <w:tcPr>
            <w:tcW w:w="624" w:type="dxa"/>
          </w:tcPr>
          <w:p w14:paraId="782ACF2F" w14:textId="77777777" w:rsidR="00711444" w:rsidRPr="004D0DAA" w:rsidRDefault="00711444" w:rsidP="00AA2A4C"/>
        </w:tc>
        <w:tc>
          <w:tcPr>
            <w:tcW w:w="624" w:type="dxa"/>
            <w:tcBorders>
              <w:right w:val="single" w:sz="4" w:space="0" w:color="auto"/>
            </w:tcBorders>
          </w:tcPr>
          <w:p w14:paraId="1D5B2F71"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4E37D525" w14:textId="77777777" w:rsidR="00711444" w:rsidRPr="004D0DAA" w:rsidRDefault="00711444" w:rsidP="00AA2A4C">
            <w:pPr>
              <w:pStyle w:val="TAC"/>
              <w:rPr>
                <w:lang w:eastAsia="en-US"/>
              </w:rPr>
            </w:pPr>
            <w:r w:rsidRPr="004D0DAA">
              <w:rPr>
                <w:lang w:eastAsia="en-US"/>
              </w:rPr>
              <w:t>FBI</w:t>
            </w:r>
          </w:p>
        </w:tc>
        <w:tc>
          <w:tcPr>
            <w:tcW w:w="624" w:type="dxa"/>
            <w:tcBorders>
              <w:top w:val="single" w:sz="4" w:space="0" w:color="auto"/>
              <w:left w:val="single" w:sz="4" w:space="0" w:color="auto"/>
              <w:bottom w:val="single" w:sz="4" w:space="0" w:color="auto"/>
              <w:right w:val="single" w:sz="4" w:space="0" w:color="auto"/>
            </w:tcBorders>
          </w:tcPr>
          <w:p w14:paraId="4EF8D724" w14:textId="77777777" w:rsidR="00711444" w:rsidRPr="004D0DAA" w:rsidRDefault="00711444" w:rsidP="00AA2A4C">
            <w:pPr>
              <w:pStyle w:val="TAC"/>
              <w:rPr>
                <w:lang w:eastAsia="en-US"/>
              </w:rPr>
            </w:pPr>
            <w:r w:rsidRPr="004D0DAA">
              <w:rPr>
                <w:lang w:eastAsia="en-US"/>
              </w:rPr>
              <w:t>E</w:t>
            </w:r>
          </w:p>
        </w:tc>
        <w:tc>
          <w:tcPr>
            <w:tcW w:w="624" w:type="dxa"/>
            <w:tcBorders>
              <w:left w:val="single" w:sz="4" w:space="0" w:color="auto"/>
            </w:tcBorders>
          </w:tcPr>
          <w:p w14:paraId="3B624CBB" w14:textId="77777777" w:rsidR="00711444" w:rsidRPr="004D0DAA" w:rsidRDefault="00711444" w:rsidP="00AA2A4C"/>
        </w:tc>
        <w:tc>
          <w:tcPr>
            <w:tcW w:w="624" w:type="dxa"/>
          </w:tcPr>
          <w:p w14:paraId="452674CE" w14:textId="77777777" w:rsidR="00711444" w:rsidRPr="004D0DAA" w:rsidRDefault="00711444" w:rsidP="00AA2A4C"/>
        </w:tc>
        <w:tc>
          <w:tcPr>
            <w:tcW w:w="624" w:type="dxa"/>
          </w:tcPr>
          <w:p w14:paraId="6F5BD8A0" w14:textId="77777777" w:rsidR="00711444" w:rsidRPr="004D0DAA" w:rsidRDefault="00711444" w:rsidP="00AA2A4C"/>
        </w:tc>
        <w:tc>
          <w:tcPr>
            <w:tcW w:w="1985" w:type="dxa"/>
          </w:tcPr>
          <w:p w14:paraId="31927181" w14:textId="77777777" w:rsidR="00711444" w:rsidRPr="004D0DAA" w:rsidRDefault="00711444" w:rsidP="00AA2A4C">
            <w:pPr>
              <w:pStyle w:val="TAC"/>
              <w:rPr>
                <w:lang w:eastAsia="en-US"/>
              </w:rPr>
            </w:pPr>
          </w:p>
        </w:tc>
      </w:tr>
      <w:tr w:rsidR="00711444" w:rsidRPr="004D0DAA" w14:paraId="5B985326" w14:textId="77777777" w:rsidTr="00AA2A4C">
        <w:trPr>
          <w:cantSplit/>
          <w:jc w:val="center"/>
        </w:trPr>
        <w:tc>
          <w:tcPr>
            <w:tcW w:w="624" w:type="dxa"/>
          </w:tcPr>
          <w:p w14:paraId="13DDC808" w14:textId="77777777" w:rsidR="00711444" w:rsidRPr="004D0DAA" w:rsidRDefault="00711444" w:rsidP="00AA2A4C"/>
        </w:tc>
        <w:tc>
          <w:tcPr>
            <w:tcW w:w="624" w:type="dxa"/>
          </w:tcPr>
          <w:p w14:paraId="3E4FA503" w14:textId="77777777" w:rsidR="00711444" w:rsidRPr="004D0DAA" w:rsidRDefault="00711444" w:rsidP="00AA2A4C"/>
        </w:tc>
        <w:tc>
          <w:tcPr>
            <w:tcW w:w="624" w:type="dxa"/>
          </w:tcPr>
          <w:p w14:paraId="107A3038" w14:textId="77777777" w:rsidR="00711444" w:rsidRPr="004D0DAA" w:rsidRDefault="00711444" w:rsidP="00AA2A4C"/>
        </w:tc>
        <w:tc>
          <w:tcPr>
            <w:tcW w:w="624" w:type="dxa"/>
            <w:tcBorders>
              <w:top w:val="single" w:sz="4" w:space="0" w:color="auto"/>
            </w:tcBorders>
          </w:tcPr>
          <w:p w14:paraId="3A989CCD" w14:textId="77777777" w:rsidR="00711444" w:rsidRPr="004D0DAA" w:rsidRDefault="00711444" w:rsidP="00AA2A4C"/>
        </w:tc>
        <w:tc>
          <w:tcPr>
            <w:tcW w:w="624" w:type="dxa"/>
            <w:tcBorders>
              <w:top w:val="single" w:sz="4" w:space="0" w:color="auto"/>
            </w:tcBorders>
          </w:tcPr>
          <w:p w14:paraId="0BC430C1" w14:textId="77777777" w:rsidR="00711444" w:rsidRPr="004D0DAA" w:rsidRDefault="00711444" w:rsidP="00AA2A4C"/>
        </w:tc>
        <w:tc>
          <w:tcPr>
            <w:tcW w:w="624" w:type="dxa"/>
          </w:tcPr>
          <w:p w14:paraId="008F0C26" w14:textId="77777777" w:rsidR="00711444" w:rsidRPr="004D0DAA" w:rsidRDefault="00711444" w:rsidP="00AA2A4C"/>
        </w:tc>
        <w:tc>
          <w:tcPr>
            <w:tcW w:w="624" w:type="dxa"/>
          </w:tcPr>
          <w:p w14:paraId="0AD1AB7B" w14:textId="77777777" w:rsidR="00711444" w:rsidRPr="004D0DAA" w:rsidRDefault="00711444" w:rsidP="00AA2A4C"/>
        </w:tc>
        <w:tc>
          <w:tcPr>
            <w:tcW w:w="624" w:type="dxa"/>
          </w:tcPr>
          <w:p w14:paraId="28AC3E77" w14:textId="77777777" w:rsidR="00711444" w:rsidRPr="004D0DAA" w:rsidRDefault="00711444" w:rsidP="00AA2A4C"/>
        </w:tc>
        <w:tc>
          <w:tcPr>
            <w:tcW w:w="1985" w:type="dxa"/>
          </w:tcPr>
          <w:p w14:paraId="72E523B9" w14:textId="77777777" w:rsidR="00711444" w:rsidRPr="004D0DAA" w:rsidRDefault="00711444" w:rsidP="00AA2A4C">
            <w:pPr>
              <w:pStyle w:val="TAC"/>
              <w:rPr>
                <w:lang w:eastAsia="en-US"/>
              </w:rPr>
            </w:pPr>
          </w:p>
        </w:tc>
      </w:tr>
      <w:tr w:rsidR="00711444" w:rsidRPr="004D0DAA" w14:paraId="218D39C2" w14:textId="77777777" w:rsidTr="00AA2A4C">
        <w:trPr>
          <w:cantSplit/>
          <w:jc w:val="center"/>
        </w:trPr>
        <w:tc>
          <w:tcPr>
            <w:tcW w:w="624" w:type="dxa"/>
          </w:tcPr>
          <w:p w14:paraId="7DBAC06D" w14:textId="77777777" w:rsidR="00711444" w:rsidRPr="004D0DAA" w:rsidRDefault="00711444" w:rsidP="00AA2A4C"/>
        </w:tc>
        <w:tc>
          <w:tcPr>
            <w:tcW w:w="624" w:type="dxa"/>
          </w:tcPr>
          <w:p w14:paraId="00751DD2" w14:textId="77777777" w:rsidR="00711444" w:rsidRPr="004D0DAA" w:rsidRDefault="00711444" w:rsidP="00AA2A4C"/>
        </w:tc>
        <w:tc>
          <w:tcPr>
            <w:tcW w:w="624" w:type="dxa"/>
          </w:tcPr>
          <w:p w14:paraId="2805BD75" w14:textId="77777777" w:rsidR="00711444" w:rsidRPr="004D0DAA" w:rsidRDefault="00711444" w:rsidP="00AA2A4C"/>
        </w:tc>
        <w:tc>
          <w:tcPr>
            <w:tcW w:w="624" w:type="dxa"/>
          </w:tcPr>
          <w:p w14:paraId="7F4205DF" w14:textId="77777777" w:rsidR="00711444" w:rsidRPr="004D0DAA" w:rsidRDefault="00711444" w:rsidP="00AA2A4C"/>
        </w:tc>
        <w:tc>
          <w:tcPr>
            <w:tcW w:w="624" w:type="dxa"/>
          </w:tcPr>
          <w:p w14:paraId="22E83596" w14:textId="77777777" w:rsidR="00711444" w:rsidRPr="004D0DAA" w:rsidRDefault="00711444" w:rsidP="00AA2A4C"/>
        </w:tc>
        <w:tc>
          <w:tcPr>
            <w:tcW w:w="624" w:type="dxa"/>
          </w:tcPr>
          <w:p w14:paraId="415C7736" w14:textId="77777777" w:rsidR="00711444" w:rsidRPr="004D0DAA" w:rsidRDefault="00711444" w:rsidP="00AA2A4C"/>
        </w:tc>
        <w:tc>
          <w:tcPr>
            <w:tcW w:w="624" w:type="dxa"/>
          </w:tcPr>
          <w:p w14:paraId="1356238B" w14:textId="77777777" w:rsidR="00711444" w:rsidRPr="004D0DAA" w:rsidRDefault="00711444" w:rsidP="00AA2A4C"/>
        </w:tc>
        <w:tc>
          <w:tcPr>
            <w:tcW w:w="624" w:type="dxa"/>
          </w:tcPr>
          <w:p w14:paraId="6A9E4590" w14:textId="77777777" w:rsidR="00711444" w:rsidRPr="004D0DAA" w:rsidRDefault="00711444" w:rsidP="00AA2A4C"/>
        </w:tc>
        <w:tc>
          <w:tcPr>
            <w:tcW w:w="1985" w:type="dxa"/>
          </w:tcPr>
          <w:p w14:paraId="54DF9CBF" w14:textId="77777777" w:rsidR="00711444" w:rsidRPr="004D0DAA" w:rsidRDefault="00711444" w:rsidP="00AA2A4C">
            <w:pPr>
              <w:pStyle w:val="TAC"/>
              <w:rPr>
                <w:lang w:eastAsia="en-US"/>
              </w:rPr>
            </w:pPr>
          </w:p>
        </w:tc>
      </w:tr>
      <w:tr w:rsidR="00711444" w:rsidRPr="004D0DAA" w14:paraId="31801D4B" w14:textId="77777777" w:rsidTr="00AA2A4C">
        <w:trPr>
          <w:cantSplit/>
          <w:jc w:val="center"/>
        </w:trPr>
        <w:tc>
          <w:tcPr>
            <w:tcW w:w="4992" w:type="dxa"/>
            <w:gridSpan w:val="8"/>
          </w:tcPr>
          <w:p w14:paraId="41ED904F" w14:textId="77777777" w:rsidR="00711444" w:rsidRPr="004D0DAA" w:rsidRDefault="00711444" w:rsidP="00AA2A4C">
            <w:pPr>
              <w:pStyle w:val="TAC"/>
              <w:rPr>
                <w:lang w:eastAsia="en-US"/>
              </w:rPr>
            </w:pPr>
            <w:r w:rsidRPr="004D0DAA">
              <w:rPr>
                <w:lang w:eastAsia="en-US"/>
              </w:rPr>
              <w:t>Bit</w:t>
            </w:r>
          </w:p>
        </w:tc>
        <w:tc>
          <w:tcPr>
            <w:tcW w:w="1985" w:type="dxa"/>
          </w:tcPr>
          <w:p w14:paraId="51C5EF74" w14:textId="77777777" w:rsidR="00711444" w:rsidRPr="004D0DAA" w:rsidRDefault="00711444" w:rsidP="00AA2A4C">
            <w:pPr>
              <w:pStyle w:val="TAC"/>
              <w:rPr>
                <w:lang w:eastAsia="en-US"/>
              </w:rPr>
            </w:pPr>
          </w:p>
        </w:tc>
      </w:tr>
      <w:tr w:rsidR="00711444" w:rsidRPr="004D0DAA" w14:paraId="5A859EC5" w14:textId="77777777" w:rsidTr="00AA2A4C">
        <w:trPr>
          <w:cantSplit/>
          <w:jc w:val="center"/>
        </w:trPr>
        <w:tc>
          <w:tcPr>
            <w:tcW w:w="624" w:type="dxa"/>
          </w:tcPr>
          <w:p w14:paraId="1AF08C28" w14:textId="77777777" w:rsidR="00711444" w:rsidRPr="004D0DAA" w:rsidRDefault="00711444" w:rsidP="00AA2A4C">
            <w:pPr>
              <w:pStyle w:val="TAC"/>
              <w:rPr>
                <w:lang w:eastAsia="en-US"/>
              </w:rPr>
            </w:pPr>
            <w:r w:rsidRPr="004D0DAA">
              <w:rPr>
                <w:lang w:eastAsia="en-US"/>
              </w:rPr>
              <w:t>8</w:t>
            </w:r>
          </w:p>
        </w:tc>
        <w:tc>
          <w:tcPr>
            <w:tcW w:w="624" w:type="dxa"/>
          </w:tcPr>
          <w:p w14:paraId="193DA011" w14:textId="77777777" w:rsidR="00711444" w:rsidRPr="004D0DAA" w:rsidRDefault="00711444" w:rsidP="00AA2A4C">
            <w:pPr>
              <w:pStyle w:val="TAC"/>
              <w:rPr>
                <w:lang w:eastAsia="en-US"/>
              </w:rPr>
            </w:pPr>
            <w:r w:rsidRPr="004D0DAA">
              <w:rPr>
                <w:lang w:eastAsia="en-US"/>
              </w:rPr>
              <w:t>7</w:t>
            </w:r>
          </w:p>
        </w:tc>
        <w:tc>
          <w:tcPr>
            <w:tcW w:w="624" w:type="dxa"/>
          </w:tcPr>
          <w:p w14:paraId="6C32753A" w14:textId="77777777" w:rsidR="00711444" w:rsidRPr="004D0DAA" w:rsidRDefault="00711444" w:rsidP="00AA2A4C">
            <w:pPr>
              <w:pStyle w:val="TAC"/>
              <w:rPr>
                <w:lang w:eastAsia="en-US"/>
              </w:rPr>
            </w:pPr>
            <w:r w:rsidRPr="004D0DAA">
              <w:rPr>
                <w:lang w:eastAsia="en-US"/>
              </w:rPr>
              <w:t>6</w:t>
            </w:r>
          </w:p>
        </w:tc>
        <w:tc>
          <w:tcPr>
            <w:tcW w:w="624" w:type="dxa"/>
          </w:tcPr>
          <w:p w14:paraId="66C83618" w14:textId="77777777" w:rsidR="00711444" w:rsidRPr="004D0DAA" w:rsidRDefault="00711444" w:rsidP="00AA2A4C">
            <w:pPr>
              <w:pStyle w:val="TAC"/>
              <w:rPr>
                <w:lang w:eastAsia="en-US"/>
              </w:rPr>
            </w:pPr>
            <w:r w:rsidRPr="004D0DAA">
              <w:rPr>
                <w:lang w:eastAsia="en-US"/>
              </w:rPr>
              <w:t>5</w:t>
            </w:r>
          </w:p>
        </w:tc>
        <w:tc>
          <w:tcPr>
            <w:tcW w:w="624" w:type="dxa"/>
          </w:tcPr>
          <w:p w14:paraId="29D012A8" w14:textId="77777777" w:rsidR="00711444" w:rsidRPr="004D0DAA" w:rsidRDefault="00711444" w:rsidP="00AA2A4C">
            <w:pPr>
              <w:pStyle w:val="TAC"/>
              <w:rPr>
                <w:lang w:eastAsia="en-US"/>
              </w:rPr>
            </w:pPr>
            <w:r w:rsidRPr="004D0DAA">
              <w:rPr>
                <w:lang w:eastAsia="en-US"/>
              </w:rPr>
              <w:t>4</w:t>
            </w:r>
          </w:p>
        </w:tc>
        <w:tc>
          <w:tcPr>
            <w:tcW w:w="624" w:type="dxa"/>
          </w:tcPr>
          <w:p w14:paraId="2E688C00" w14:textId="77777777" w:rsidR="00711444" w:rsidRPr="004D0DAA" w:rsidRDefault="00711444" w:rsidP="00AA2A4C">
            <w:pPr>
              <w:pStyle w:val="TAC"/>
              <w:rPr>
                <w:lang w:eastAsia="en-US"/>
              </w:rPr>
            </w:pPr>
            <w:r w:rsidRPr="004D0DAA">
              <w:rPr>
                <w:lang w:eastAsia="en-US"/>
              </w:rPr>
              <w:t>3</w:t>
            </w:r>
          </w:p>
        </w:tc>
        <w:tc>
          <w:tcPr>
            <w:tcW w:w="624" w:type="dxa"/>
          </w:tcPr>
          <w:p w14:paraId="7BCFB516" w14:textId="77777777" w:rsidR="00711444" w:rsidRPr="004D0DAA" w:rsidRDefault="00711444" w:rsidP="00AA2A4C">
            <w:pPr>
              <w:pStyle w:val="TAC"/>
              <w:rPr>
                <w:lang w:eastAsia="en-US"/>
              </w:rPr>
            </w:pPr>
            <w:r w:rsidRPr="004D0DAA">
              <w:rPr>
                <w:lang w:eastAsia="en-US"/>
              </w:rPr>
              <w:t>2</w:t>
            </w:r>
          </w:p>
        </w:tc>
        <w:tc>
          <w:tcPr>
            <w:tcW w:w="624" w:type="dxa"/>
          </w:tcPr>
          <w:p w14:paraId="6A630C11" w14:textId="77777777" w:rsidR="00711444" w:rsidRPr="004D0DAA" w:rsidRDefault="00711444" w:rsidP="00AA2A4C">
            <w:pPr>
              <w:pStyle w:val="TAC"/>
              <w:rPr>
                <w:lang w:eastAsia="en-US"/>
              </w:rPr>
            </w:pPr>
            <w:r w:rsidRPr="004D0DAA">
              <w:rPr>
                <w:lang w:eastAsia="en-US"/>
              </w:rPr>
              <w:t>1</w:t>
            </w:r>
          </w:p>
        </w:tc>
        <w:tc>
          <w:tcPr>
            <w:tcW w:w="1985" w:type="dxa"/>
          </w:tcPr>
          <w:p w14:paraId="74D2EAC6" w14:textId="77777777" w:rsidR="00711444" w:rsidRPr="004D0DAA" w:rsidRDefault="00711444" w:rsidP="00AA2A4C">
            <w:pPr>
              <w:pStyle w:val="TAC"/>
              <w:rPr>
                <w:lang w:eastAsia="en-US"/>
              </w:rPr>
            </w:pPr>
          </w:p>
        </w:tc>
      </w:tr>
      <w:tr w:rsidR="00711444" w:rsidRPr="004D0DAA" w14:paraId="67793D66" w14:textId="77777777" w:rsidTr="00AA2A4C">
        <w:trPr>
          <w:cantSplit/>
          <w:jc w:val="center"/>
        </w:trPr>
        <w:tc>
          <w:tcPr>
            <w:tcW w:w="3744" w:type="dxa"/>
            <w:gridSpan w:val="6"/>
            <w:tcBorders>
              <w:top w:val="single" w:sz="6" w:space="0" w:color="auto"/>
              <w:left w:val="single" w:sz="6" w:space="0" w:color="auto"/>
            </w:tcBorders>
          </w:tcPr>
          <w:p w14:paraId="5328DAAF" w14:textId="77777777" w:rsidR="00711444" w:rsidRPr="004D0DAA" w:rsidRDefault="00711444" w:rsidP="00AA2A4C">
            <w:pPr>
              <w:pStyle w:val="TAC"/>
              <w:rPr>
                <w:lang w:eastAsia="en-US"/>
              </w:rPr>
            </w:pPr>
            <w:r w:rsidRPr="004D0DAA">
              <w:rPr>
                <w:lang w:eastAsia="en-US"/>
              </w:rPr>
              <w:t>Length indicator</w:t>
            </w:r>
          </w:p>
        </w:tc>
        <w:tc>
          <w:tcPr>
            <w:tcW w:w="624" w:type="dxa"/>
            <w:tcBorders>
              <w:top w:val="single" w:sz="6" w:space="0" w:color="auto"/>
              <w:right w:val="single" w:sz="6" w:space="0" w:color="auto"/>
            </w:tcBorders>
          </w:tcPr>
          <w:p w14:paraId="615A53B9" w14:textId="77777777" w:rsidR="00711444" w:rsidRPr="004D0DAA" w:rsidRDefault="00711444" w:rsidP="00AA2A4C"/>
        </w:tc>
        <w:tc>
          <w:tcPr>
            <w:tcW w:w="624" w:type="dxa"/>
            <w:tcBorders>
              <w:top w:val="single" w:sz="6" w:space="0" w:color="auto"/>
              <w:left w:val="single" w:sz="6" w:space="0" w:color="auto"/>
              <w:right w:val="single" w:sz="6" w:space="0" w:color="auto"/>
            </w:tcBorders>
          </w:tcPr>
          <w:p w14:paraId="614ACC7A"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0D935038" w14:textId="77777777" w:rsidR="00711444" w:rsidRPr="004D0DAA" w:rsidRDefault="00711444" w:rsidP="00AA2A4C">
            <w:pPr>
              <w:pStyle w:val="TAC"/>
              <w:rPr>
                <w:lang w:eastAsia="en-US"/>
              </w:rPr>
            </w:pPr>
            <w:r w:rsidRPr="004D0DAA">
              <w:rPr>
                <w:lang w:eastAsia="en-US"/>
              </w:rPr>
              <w:t>Octet 1 (note)</w:t>
            </w:r>
            <w:r w:rsidRPr="004D0DAA">
              <w:rPr>
                <w:lang w:eastAsia="en-US"/>
              </w:rPr>
              <w:br/>
              <w:t>(optional)</w:t>
            </w:r>
          </w:p>
        </w:tc>
      </w:tr>
      <w:tr w:rsidR="00711444" w:rsidRPr="004D0DAA" w14:paraId="778B4F78" w14:textId="77777777" w:rsidTr="00AA2A4C">
        <w:trPr>
          <w:cantSplit/>
          <w:jc w:val="center"/>
        </w:trPr>
        <w:tc>
          <w:tcPr>
            <w:tcW w:w="4992" w:type="dxa"/>
            <w:gridSpan w:val="8"/>
            <w:tcBorders>
              <w:top w:val="single" w:sz="6" w:space="0" w:color="auto"/>
              <w:left w:val="single" w:sz="6" w:space="0" w:color="auto"/>
              <w:right w:val="single" w:sz="6" w:space="0" w:color="auto"/>
            </w:tcBorders>
          </w:tcPr>
          <w:p w14:paraId="31354FB7" w14:textId="77777777" w:rsidR="00711444" w:rsidRPr="004D0DAA" w:rsidRDefault="00711444" w:rsidP="00AA2A4C">
            <w:pPr>
              <w:pStyle w:val="TAC"/>
              <w:rPr>
                <w:lang w:eastAsia="en-US"/>
              </w:rPr>
            </w:pPr>
            <w:r w:rsidRPr="004D0DAA">
              <w:rPr>
                <w:lang w:eastAsia="en-US"/>
              </w:rPr>
              <w:t>.</w:t>
            </w:r>
            <w:r w:rsidRPr="004D0DAA">
              <w:rPr>
                <w:lang w:eastAsia="en-US"/>
              </w:rPr>
              <w:br/>
              <w:t>.</w:t>
            </w:r>
            <w:r w:rsidRPr="004D0DAA">
              <w:rPr>
                <w:lang w:eastAsia="en-US"/>
              </w:rPr>
              <w:br/>
              <w:t>.</w:t>
            </w:r>
          </w:p>
        </w:tc>
        <w:tc>
          <w:tcPr>
            <w:tcW w:w="1985" w:type="dxa"/>
          </w:tcPr>
          <w:p w14:paraId="653FFB44" w14:textId="77777777" w:rsidR="00711444" w:rsidRPr="004D0DAA" w:rsidRDefault="00711444" w:rsidP="00AA2A4C">
            <w:pPr>
              <w:pStyle w:val="TAC"/>
              <w:rPr>
                <w:lang w:eastAsia="en-US"/>
              </w:rPr>
            </w:pPr>
            <w:r w:rsidRPr="004D0DAA">
              <w:rPr>
                <w:lang w:eastAsia="en-US"/>
              </w:rPr>
              <w:t>.</w:t>
            </w:r>
          </w:p>
          <w:p w14:paraId="62974D19" w14:textId="77777777" w:rsidR="00711444" w:rsidRPr="004D0DAA" w:rsidRDefault="00711444" w:rsidP="00AA2A4C">
            <w:pPr>
              <w:pStyle w:val="TAC"/>
              <w:rPr>
                <w:lang w:eastAsia="en-US"/>
              </w:rPr>
            </w:pPr>
            <w:r w:rsidRPr="004D0DAA">
              <w:rPr>
                <w:lang w:eastAsia="en-US"/>
              </w:rPr>
              <w:t>.</w:t>
            </w:r>
          </w:p>
          <w:p w14:paraId="6175996A" w14:textId="77777777" w:rsidR="00711444" w:rsidRPr="004D0DAA" w:rsidRDefault="00711444" w:rsidP="00AA2A4C">
            <w:pPr>
              <w:pStyle w:val="TAC"/>
              <w:rPr>
                <w:lang w:eastAsia="en-US"/>
              </w:rPr>
            </w:pPr>
            <w:r w:rsidRPr="004D0DAA">
              <w:rPr>
                <w:lang w:eastAsia="en-US"/>
              </w:rPr>
              <w:t>.</w:t>
            </w:r>
          </w:p>
        </w:tc>
      </w:tr>
      <w:tr w:rsidR="00711444" w:rsidRPr="004D0DAA" w14:paraId="2DE167F1" w14:textId="77777777" w:rsidTr="00AA2A4C">
        <w:trPr>
          <w:cantSplit/>
          <w:jc w:val="center"/>
        </w:trPr>
        <w:tc>
          <w:tcPr>
            <w:tcW w:w="3744" w:type="dxa"/>
            <w:gridSpan w:val="6"/>
            <w:tcBorders>
              <w:top w:val="single" w:sz="6" w:space="0" w:color="auto"/>
              <w:left w:val="single" w:sz="6" w:space="0" w:color="auto"/>
              <w:bottom w:val="single" w:sz="6" w:space="0" w:color="auto"/>
            </w:tcBorders>
          </w:tcPr>
          <w:p w14:paraId="3674B83D" w14:textId="77777777" w:rsidR="00711444" w:rsidRPr="004D0DAA" w:rsidRDefault="00711444" w:rsidP="00AA2A4C">
            <w:pPr>
              <w:pStyle w:val="TAC"/>
              <w:rPr>
                <w:lang w:eastAsia="en-US"/>
              </w:rPr>
            </w:pPr>
            <w:r w:rsidRPr="004D0DAA">
              <w:rPr>
                <w:lang w:eastAsia="en-US"/>
              </w:rPr>
              <w:t>Length indicator</w:t>
            </w:r>
          </w:p>
        </w:tc>
        <w:tc>
          <w:tcPr>
            <w:tcW w:w="624" w:type="dxa"/>
            <w:tcBorders>
              <w:top w:val="single" w:sz="6" w:space="0" w:color="auto"/>
              <w:bottom w:val="single" w:sz="6" w:space="0" w:color="auto"/>
              <w:right w:val="single" w:sz="6" w:space="0" w:color="auto"/>
            </w:tcBorders>
          </w:tcPr>
          <w:p w14:paraId="36CCC990" w14:textId="77777777" w:rsidR="00711444" w:rsidRPr="004D0DAA" w:rsidRDefault="00711444" w:rsidP="00AA2A4C"/>
        </w:tc>
        <w:tc>
          <w:tcPr>
            <w:tcW w:w="624" w:type="dxa"/>
            <w:tcBorders>
              <w:top w:val="single" w:sz="6" w:space="0" w:color="auto"/>
              <w:left w:val="single" w:sz="6" w:space="0" w:color="auto"/>
              <w:bottom w:val="single" w:sz="6" w:space="0" w:color="auto"/>
              <w:right w:val="single" w:sz="6" w:space="0" w:color="auto"/>
            </w:tcBorders>
          </w:tcPr>
          <w:p w14:paraId="695D6523"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3EFDE906" w14:textId="77777777" w:rsidR="00711444" w:rsidRPr="004D0DAA" w:rsidRDefault="00711444" w:rsidP="00AA2A4C">
            <w:pPr>
              <w:pStyle w:val="TAC"/>
              <w:rPr>
                <w:lang w:eastAsia="en-US"/>
              </w:rPr>
            </w:pPr>
            <w:r w:rsidRPr="004D0DAA">
              <w:rPr>
                <w:lang w:eastAsia="en-US"/>
              </w:rPr>
              <w:t>Octet M (optional)</w:t>
            </w:r>
          </w:p>
        </w:tc>
      </w:tr>
      <w:tr w:rsidR="00711444" w:rsidRPr="004D0DAA" w14:paraId="297BD457" w14:textId="77777777" w:rsidTr="00AA2A4C">
        <w:trPr>
          <w:cantSplit/>
          <w:jc w:val="center"/>
        </w:trPr>
        <w:tc>
          <w:tcPr>
            <w:tcW w:w="624" w:type="dxa"/>
            <w:tcBorders>
              <w:left w:val="single" w:sz="6" w:space="0" w:color="auto"/>
            </w:tcBorders>
          </w:tcPr>
          <w:p w14:paraId="3B5D5D72" w14:textId="77777777" w:rsidR="00711444" w:rsidRPr="004D0DAA" w:rsidRDefault="00711444" w:rsidP="00AA2A4C"/>
        </w:tc>
        <w:tc>
          <w:tcPr>
            <w:tcW w:w="624" w:type="dxa"/>
          </w:tcPr>
          <w:p w14:paraId="07D6B08A" w14:textId="77777777" w:rsidR="00711444" w:rsidRPr="004D0DAA" w:rsidRDefault="00711444" w:rsidP="00AA2A4C"/>
        </w:tc>
        <w:tc>
          <w:tcPr>
            <w:tcW w:w="624" w:type="dxa"/>
          </w:tcPr>
          <w:p w14:paraId="523F549B" w14:textId="77777777" w:rsidR="00711444" w:rsidRPr="004D0DAA" w:rsidRDefault="00711444" w:rsidP="00AA2A4C"/>
        </w:tc>
        <w:tc>
          <w:tcPr>
            <w:tcW w:w="624" w:type="dxa"/>
          </w:tcPr>
          <w:p w14:paraId="629D9A2B" w14:textId="77777777" w:rsidR="00711444" w:rsidRPr="004D0DAA" w:rsidRDefault="00711444" w:rsidP="00AA2A4C"/>
        </w:tc>
        <w:tc>
          <w:tcPr>
            <w:tcW w:w="624" w:type="dxa"/>
          </w:tcPr>
          <w:p w14:paraId="533057FC" w14:textId="77777777" w:rsidR="00711444" w:rsidRPr="004D0DAA" w:rsidRDefault="00711444" w:rsidP="00AA2A4C"/>
        </w:tc>
        <w:tc>
          <w:tcPr>
            <w:tcW w:w="624" w:type="dxa"/>
          </w:tcPr>
          <w:p w14:paraId="00AC3BC3" w14:textId="77777777" w:rsidR="00711444" w:rsidRPr="004D0DAA" w:rsidRDefault="00711444" w:rsidP="00AA2A4C"/>
        </w:tc>
        <w:tc>
          <w:tcPr>
            <w:tcW w:w="624" w:type="dxa"/>
          </w:tcPr>
          <w:p w14:paraId="6A7D59D1" w14:textId="77777777" w:rsidR="00711444" w:rsidRPr="004D0DAA" w:rsidRDefault="00711444" w:rsidP="00AA2A4C"/>
        </w:tc>
        <w:tc>
          <w:tcPr>
            <w:tcW w:w="624" w:type="dxa"/>
            <w:tcBorders>
              <w:right w:val="single" w:sz="6" w:space="0" w:color="auto"/>
            </w:tcBorders>
          </w:tcPr>
          <w:p w14:paraId="65EB86AF" w14:textId="77777777" w:rsidR="00711444" w:rsidRPr="004D0DAA" w:rsidRDefault="00711444" w:rsidP="00AA2A4C"/>
        </w:tc>
        <w:tc>
          <w:tcPr>
            <w:tcW w:w="1985" w:type="dxa"/>
          </w:tcPr>
          <w:p w14:paraId="179AD220" w14:textId="77777777" w:rsidR="00711444" w:rsidRPr="004D0DAA" w:rsidRDefault="00711444" w:rsidP="00AA2A4C">
            <w:pPr>
              <w:pStyle w:val="TAC"/>
              <w:rPr>
                <w:lang w:eastAsia="en-US"/>
              </w:rPr>
            </w:pPr>
            <w:r w:rsidRPr="004D0DAA">
              <w:rPr>
                <w:lang w:eastAsia="en-US"/>
              </w:rPr>
              <w:t>Octet M+1</w:t>
            </w:r>
          </w:p>
        </w:tc>
      </w:tr>
      <w:tr w:rsidR="00711444" w:rsidRPr="004D0DAA" w14:paraId="62412DC8" w14:textId="77777777" w:rsidTr="00AA2A4C">
        <w:trPr>
          <w:cantSplit/>
          <w:jc w:val="center"/>
        </w:trPr>
        <w:tc>
          <w:tcPr>
            <w:tcW w:w="4992" w:type="dxa"/>
            <w:gridSpan w:val="8"/>
            <w:tcBorders>
              <w:left w:val="single" w:sz="6" w:space="0" w:color="auto"/>
              <w:bottom w:val="single" w:sz="6" w:space="0" w:color="auto"/>
              <w:right w:val="single" w:sz="6" w:space="0" w:color="auto"/>
            </w:tcBorders>
          </w:tcPr>
          <w:p w14:paraId="0E8DE8B9" w14:textId="77777777" w:rsidR="00711444" w:rsidRPr="004D0DAA" w:rsidRDefault="00711444" w:rsidP="00AA2A4C">
            <w:pPr>
              <w:pStyle w:val="TAC"/>
              <w:rPr>
                <w:lang w:eastAsia="en-US"/>
              </w:rPr>
            </w:pPr>
            <w:r w:rsidRPr="004D0DAA">
              <w:rPr>
                <w:lang w:eastAsia="en-US"/>
              </w:rPr>
              <w:br/>
              <w:t>RLC data</w:t>
            </w:r>
          </w:p>
        </w:tc>
        <w:tc>
          <w:tcPr>
            <w:tcW w:w="1985" w:type="dxa"/>
          </w:tcPr>
          <w:p w14:paraId="7525AFE2" w14:textId="77777777" w:rsidR="00711444" w:rsidRPr="004D0DAA" w:rsidRDefault="00711444" w:rsidP="00AA2A4C">
            <w:pPr>
              <w:pStyle w:val="TAC"/>
              <w:rPr>
                <w:lang w:eastAsia="en-US"/>
              </w:rPr>
            </w:pPr>
            <w:r w:rsidRPr="004D0DAA">
              <w:rPr>
                <w:lang w:eastAsia="en-US"/>
              </w:rPr>
              <w:t>.</w:t>
            </w:r>
          </w:p>
          <w:p w14:paraId="41D97786" w14:textId="77777777" w:rsidR="00711444" w:rsidRPr="004D0DAA" w:rsidRDefault="00711444" w:rsidP="00AA2A4C">
            <w:pPr>
              <w:pStyle w:val="TAC"/>
              <w:rPr>
                <w:lang w:eastAsia="en-US"/>
              </w:rPr>
            </w:pPr>
            <w:r w:rsidRPr="004D0DAA">
              <w:rPr>
                <w:lang w:eastAsia="en-US"/>
              </w:rPr>
              <w:t>.</w:t>
            </w:r>
          </w:p>
          <w:p w14:paraId="4ECB246C" w14:textId="77777777" w:rsidR="00711444" w:rsidRPr="004D0DAA" w:rsidRDefault="00711444" w:rsidP="00AA2A4C">
            <w:pPr>
              <w:pStyle w:val="TAC"/>
              <w:rPr>
                <w:lang w:eastAsia="en-US"/>
              </w:rPr>
            </w:pPr>
            <w:r w:rsidRPr="004D0DAA">
              <w:rPr>
                <w:lang w:eastAsia="en-US"/>
              </w:rPr>
              <w:t>Octet K-1</w:t>
            </w:r>
          </w:p>
        </w:tc>
      </w:tr>
      <w:tr w:rsidR="00711444" w:rsidRPr="004D0DAA" w14:paraId="21C0B18C" w14:textId="77777777" w:rsidTr="00AA2A4C">
        <w:trPr>
          <w:cantSplit/>
          <w:jc w:val="center"/>
        </w:trPr>
        <w:tc>
          <w:tcPr>
            <w:tcW w:w="1248" w:type="dxa"/>
            <w:gridSpan w:val="2"/>
            <w:tcBorders>
              <w:top w:val="single" w:sz="6" w:space="0" w:color="auto"/>
              <w:left w:val="single" w:sz="6" w:space="0" w:color="auto"/>
              <w:bottom w:val="single" w:sz="6" w:space="0" w:color="auto"/>
              <w:right w:val="single" w:sz="6" w:space="0" w:color="auto"/>
            </w:tcBorders>
          </w:tcPr>
          <w:p w14:paraId="798636BB" w14:textId="77777777" w:rsidR="00711444" w:rsidRPr="004D0DAA" w:rsidRDefault="00711444" w:rsidP="00AA2A4C">
            <w:pPr>
              <w:pStyle w:val="TAC"/>
              <w:rPr>
                <w:lang w:eastAsia="en-US"/>
              </w:rPr>
            </w:pPr>
            <w:r w:rsidRPr="004D0DAA">
              <w:rPr>
                <w:lang w:eastAsia="en-US"/>
              </w:rPr>
              <w:t>spare</w:t>
            </w:r>
          </w:p>
        </w:tc>
        <w:tc>
          <w:tcPr>
            <w:tcW w:w="1248" w:type="dxa"/>
            <w:gridSpan w:val="2"/>
            <w:tcBorders>
              <w:top w:val="single" w:sz="6" w:space="0" w:color="auto"/>
              <w:left w:val="single" w:sz="6" w:space="0" w:color="auto"/>
              <w:bottom w:val="single" w:sz="6" w:space="0" w:color="auto"/>
              <w:right w:val="single" w:sz="6" w:space="0" w:color="auto"/>
            </w:tcBorders>
          </w:tcPr>
          <w:p w14:paraId="2CEEA569" w14:textId="77777777" w:rsidR="00711444" w:rsidRPr="004D0DAA" w:rsidRDefault="00711444" w:rsidP="00AA2A4C">
            <w:pPr>
              <w:pStyle w:val="TAC"/>
              <w:rPr>
                <w:lang w:eastAsia="en-US"/>
              </w:rPr>
            </w:pPr>
            <w:r w:rsidRPr="004D0DAA">
              <w:rPr>
                <w:lang w:eastAsia="en-US"/>
              </w:rPr>
              <w:t>DTR Blks</w:t>
            </w:r>
          </w:p>
        </w:tc>
        <w:tc>
          <w:tcPr>
            <w:tcW w:w="624" w:type="dxa"/>
            <w:tcBorders>
              <w:top w:val="single" w:sz="6" w:space="0" w:color="auto"/>
              <w:left w:val="single" w:sz="6" w:space="0" w:color="auto"/>
              <w:bottom w:val="single" w:sz="6" w:space="0" w:color="auto"/>
              <w:right w:val="single" w:sz="6" w:space="0" w:color="auto"/>
            </w:tcBorders>
          </w:tcPr>
          <w:p w14:paraId="5A4C8230" w14:textId="77777777" w:rsidR="00711444" w:rsidRPr="004D0DAA" w:rsidRDefault="00711444" w:rsidP="00AA2A4C">
            <w:pPr>
              <w:pStyle w:val="TAC"/>
              <w:rPr>
                <w:lang w:eastAsia="en-US"/>
              </w:rPr>
            </w:pPr>
            <w:r w:rsidRPr="004D0DAA">
              <w:rPr>
                <w:lang w:eastAsia="en-US"/>
              </w:rPr>
              <w:t>CI</w:t>
            </w:r>
          </w:p>
        </w:tc>
        <w:tc>
          <w:tcPr>
            <w:tcW w:w="1872" w:type="dxa"/>
            <w:gridSpan w:val="3"/>
            <w:tcBorders>
              <w:top w:val="single" w:sz="6" w:space="0" w:color="auto"/>
              <w:left w:val="single" w:sz="6" w:space="0" w:color="auto"/>
              <w:bottom w:val="single" w:sz="6" w:space="0" w:color="auto"/>
              <w:right w:val="single" w:sz="6" w:space="0" w:color="auto"/>
            </w:tcBorders>
          </w:tcPr>
          <w:p w14:paraId="442B4B7F" w14:textId="77777777" w:rsidR="00711444" w:rsidRPr="004D0DAA" w:rsidRDefault="00711444" w:rsidP="00AA2A4C">
            <w:pPr>
              <w:pStyle w:val="TAC"/>
              <w:rPr>
                <w:lang w:eastAsia="en-US"/>
              </w:rPr>
            </w:pPr>
            <w:r w:rsidRPr="004D0DAA">
              <w:rPr>
                <w:lang w:eastAsia="en-US"/>
              </w:rPr>
              <w:t>TN/PDCH-pair</w:t>
            </w:r>
          </w:p>
        </w:tc>
        <w:tc>
          <w:tcPr>
            <w:tcW w:w="1985" w:type="dxa"/>
          </w:tcPr>
          <w:p w14:paraId="4BFC1BBB" w14:textId="77777777" w:rsidR="00711444" w:rsidRPr="004D0DAA" w:rsidRDefault="00711444" w:rsidP="00AA2A4C">
            <w:pPr>
              <w:pStyle w:val="TAC"/>
              <w:rPr>
                <w:lang w:eastAsia="en-US"/>
              </w:rPr>
            </w:pPr>
            <w:r w:rsidRPr="004D0DAA">
              <w:rPr>
                <w:lang w:eastAsia="en-US"/>
              </w:rPr>
              <w:t>Octet K (optional)</w:t>
            </w:r>
          </w:p>
        </w:tc>
      </w:tr>
      <w:tr w:rsidR="00711444" w:rsidRPr="004D0DAA" w14:paraId="34D5A734" w14:textId="77777777" w:rsidTr="00AA2A4C">
        <w:trPr>
          <w:cantSplit/>
          <w:jc w:val="center"/>
        </w:trPr>
        <w:tc>
          <w:tcPr>
            <w:tcW w:w="624" w:type="dxa"/>
            <w:tcBorders>
              <w:top w:val="single" w:sz="6" w:space="0" w:color="auto"/>
              <w:left w:val="single" w:sz="6" w:space="0" w:color="auto"/>
            </w:tcBorders>
          </w:tcPr>
          <w:p w14:paraId="78680ED0" w14:textId="77777777" w:rsidR="00711444" w:rsidRPr="004D0DAA" w:rsidRDefault="00711444" w:rsidP="00AA2A4C"/>
        </w:tc>
        <w:tc>
          <w:tcPr>
            <w:tcW w:w="624" w:type="dxa"/>
            <w:tcBorders>
              <w:top w:val="single" w:sz="6" w:space="0" w:color="auto"/>
            </w:tcBorders>
          </w:tcPr>
          <w:p w14:paraId="4B0D424A" w14:textId="77777777" w:rsidR="00711444" w:rsidRPr="004D0DAA" w:rsidRDefault="00711444" w:rsidP="00AA2A4C"/>
        </w:tc>
        <w:tc>
          <w:tcPr>
            <w:tcW w:w="624" w:type="dxa"/>
            <w:tcBorders>
              <w:top w:val="single" w:sz="6" w:space="0" w:color="auto"/>
            </w:tcBorders>
          </w:tcPr>
          <w:p w14:paraId="56B4ED1E" w14:textId="77777777" w:rsidR="00711444" w:rsidRPr="004D0DAA" w:rsidRDefault="00711444" w:rsidP="00AA2A4C"/>
        </w:tc>
        <w:tc>
          <w:tcPr>
            <w:tcW w:w="624" w:type="dxa"/>
            <w:tcBorders>
              <w:top w:val="single" w:sz="6" w:space="0" w:color="auto"/>
            </w:tcBorders>
          </w:tcPr>
          <w:p w14:paraId="75F988BD" w14:textId="77777777" w:rsidR="00711444" w:rsidRPr="004D0DAA" w:rsidRDefault="00711444" w:rsidP="00AA2A4C"/>
        </w:tc>
        <w:tc>
          <w:tcPr>
            <w:tcW w:w="624" w:type="dxa"/>
            <w:tcBorders>
              <w:top w:val="single" w:sz="6" w:space="0" w:color="auto"/>
            </w:tcBorders>
          </w:tcPr>
          <w:p w14:paraId="00FFA9A2" w14:textId="77777777" w:rsidR="00711444" w:rsidRPr="004D0DAA" w:rsidRDefault="00711444" w:rsidP="00AA2A4C"/>
        </w:tc>
        <w:tc>
          <w:tcPr>
            <w:tcW w:w="624" w:type="dxa"/>
            <w:tcBorders>
              <w:top w:val="single" w:sz="6" w:space="0" w:color="auto"/>
            </w:tcBorders>
          </w:tcPr>
          <w:p w14:paraId="6B1B5FC6" w14:textId="77777777" w:rsidR="00711444" w:rsidRPr="004D0DAA" w:rsidRDefault="00711444" w:rsidP="00AA2A4C"/>
        </w:tc>
        <w:tc>
          <w:tcPr>
            <w:tcW w:w="624" w:type="dxa"/>
            <w:tcBorders>
              <w:top w:val="single" w:sz="6" w:space="0" w:color="auto"/>
            </w:tcBorders>
          </w:tcPr>
          <w:p w14:paraId="14362A6A" w14:textId="77777777" w:rsidR="00711444" w:rsidRPr="004D0DAA" w:rsidRDefault="00711444" w:rsidP="00AA2A4C"/>
        </w:tc>
        <w:tc>
          <w:tcPr>
            <w:tcW w:w="624" w:type="dxa"/>
            <w:tcBorders>
              <w:top w:val="single" w:sz="6" w:space="0" w:color="auto"/>
              <w:right w:val="single" w:sz="6" w:space="0" w:color="auto"/>
            </w:tcBorders>
          </w:tcPr>
          <w:p w14:paraId="7D05F0B5" w14:textId="77777777" w:rsidR="00711444" w:rsidRPr="004D0DAA" w:rsidRDefault="00711444" w:rsidP="00AA2A4C"/>
        </w:tc>
        <w:tc>
          <w:tcPr>
            <w:tcW w:w="1985" w:type="dxa"/>
          </w:tcPr>
          <w:p w14:paraId="67F0458A" w14:textId="77777777" w:rsidR="00711444" w:rsidRPr="004D0DAA" w:rsidRDefault="00711444" w:rsidP="00AA2A4C">
            <w:pPr>
              <w:pStyle w:val="TAC"/>
              <w:rPr>
                <w:lang w:eastAsia="en-US"/>
              </w:rPr>
            </w:pPr>
            <w:r w:rsidRPr="004D0DAA">
              <w:rPr>
                <w:lang w:eastAsia="en-US"/>
              </w:rPr>
              <w:t>.</w:t>
            </w:r>
          </w:p>
          <w:p w14:paraId="07A8ADA8" w14:textId="77777777" w:rsidR="00711444" w:rsidRPr="004D0DAA" w:rsidRDefault="00711444" w:rsidP="00AA2A4C">
            <w:pPr>
              <w:pStyle w:val="TAC"/>
              <w:rPr>
                <w:lang w:eastAsia="en-US"/>
              </w:rPr>
            </w:pPr>
            <w:r w:rsidRPr="004D0DAA">
              <w:rPr>
                <w:lang w:eastAsia="en-US"/>
              </w:rPr>
              <w:t>.</w:t>
            </w:r>
          </w:p>
          <w:p w14:paraId="6D1AB66F" w14:textId="77777777" w:rsidR="00711444" w:rsidRPr="004D0DAA" w:rsidRDefault="00711444" w:rsidP="00AA2A4C">
            <w:pPr>
              <w:pStyle w:val="TAC"/>
              <w:rPr>
                <w:lang w:eastAsia="en-US"/>
              </w:rPr>
            </w:pPr>
            <w:r w:rsidRPr="004D0DAA">
              <w:rPr>
                <w:lang w:eastAsia="en-US"/>
              </w:rPr>
              <w:t>.</w:t>
            </w:r>
          </w:p>
        </w:tc>
      </w:tr>
      <w:tr w:rsidR="00711444" w:rsidRPr="004D0DAA" w14:paraId="269863D2" w14:textId="77777777" w:rsidTr="00AA2A4C">
        <w:trPr>
          <w:cantSplit/>
          <w:jc w:val="center"/>
        </w:trPr>
        <w:tc>
          <w:tcPr>
            <w:tcW w:w="624" w:type="dxa"/>
            <w:tcBorders>
              <w:left w:val="single" w:sz="6" w:space="0" w:color="auto"/>
            </w:tcBorders>
          </w:tcPr>
          <w:p w14:paraId="037C3882" w14:textId="77777777" w:rsidR="00711444" w:rsidRPr="004D0DAA" w:rsidRDefault="00711444" w:rsidP="00AA2A4C"/>
        </w:tc>
        <w:tc>
          <w:tcPr>
            <w:tcW w:w="624" w:type="dxa"/>
          </w:tcPr>
          <w:p w14:paraId="4F9072B2" w14:textId="77777777" w:rsidR="00711444" w:rsidRPr="004D0DAA" w:rsidRDefault="00711444" w:rsidP="00AA2A4C"/>
        </w:tc>
        <w:tc>
          <w:tcPr>
            <w:tcW w:w="624" w:type="dxa"/>
          </w:tcPr>
          <w:p w14:paraId="738CFB97" w14:textId="77777777" w:rsidR="00711444" w:rsidRPr="004D0DAA" w:rsidRDefault="00711444" w:rsidP="00AA2A4C"/>
        </w:tc>
        <w:tc>
          <w:tcPr>
            <w:tcW w:w="624" w:type="dxa"/>
          </w:tcPr>
          <w:p w14:paraId="029CC366" w14:textId="77777777" w:rsidR="00711444" w:rsidRPr="004D0DAA" w:rsidRDefault="00711444" w:rsidP="00AA2A4C"/>
        </w:tc>
        <w:tc>
          <w:tcPr>
            <w:tcW w:w="624" w:type="dxa"/>
          </w:tcPr>
          <w:p w14:paraId="5300D720" w14:textId="77777777" w:rsidR="00711444" w:rsidRPr="004D0DAA" w:rsidRDefault="00711444" w:rsidP="00AA2A4C"/>
        </w:tc>
        <w:tc>
          <w:tcPr>
            <w:tcW w:w="624" w:type="dxa"/>
          </w:tcPr>
          <w:p w14:paraId="6249D3DF" w14:textId="77777777" w:rsidR="00711444" w:rsidRPr="004D0DAA" w:rsidRDefault="00711444" w:rsidP="00AA2A4C"/>
        </w:tc>
        <w:tc>
          <w:tcPr>
            <w:tcW w:w="624" w:type="dxa"/>
          </w:tcPr>
          <w:p w14:paraId="4551FC69" w14:textId="77777777" w:rsidR="00711444" w:rsidRPr="004D0DAA" w:rsidRDefault="00711444" w:rsidP="00AA2A4C"/>
        </w:tc>
        <w:tc>
          <w:tcPr>
            <w:tcW w:w="624" w:type="dxa"/>
            <w:tcBorders>
              <w:right w:val="single" w:sz="6" w:space="0" w:color="auto"/>
            </w:tcBorders>
          </w:tcPr>
          <w:p w14:paraId="754D1F49" w14:textId="77777777" w:rsidR="00711444" w:rsidRPr="004D0DAA" w:rsidRDefault="00711444" w:rsidP="00AA2A4C"/>
        </w:tc>
        <w:tc>
          <w:tcPr>
            <w:tcW w:w="1985" w:type="dxa"/>
          </w:tcPr>
          <w:p w14:paraId="2AB616E0" w14:textId="77777777" w:rsidR="00711444" w:rsidRPr="004D0DAA" w:rsidRDefault="00711444" w:rsidP="00AA2A4C">
            <w:pPr>
              <w:pStyle w:val="TAC"/>
              <w:rPr>
                <w:lang w:eastAsia="en-US"/>
              </w:rPr>
            </w:pPr>
            <w:r w:rsidRPr="004D0DAA">
              <w:rPr>
                <w:lang w:eastAsia="en-US"/>
              </w:rPr>
              <w:t>Octet N2-1</w:t>
            </w:r>
          </w:p>
        </w:tc>
      </w:tr>
      <w:tr w:rsidR="00711444" w:rsidRPr="004D0DAA" w14:paraId="14C0CD35" w14:textId="77777777" w:rsidTr="00AA2A4C">
        <w:trPr>
          <w:cantSplit/>
          <w:jc w:val="center"/>
        </w:trPr>
        <w:tc>
          <w:tcPr>
            <w:tcW w:w="624" w:type="dxa"/>
            <w:tcBorders>
              <w:left w:val="single" w:sz="6" w:space="0" w:color="auto"/>
              <w:bottom w:val="single" w:sz="6" w:space="0" w:color="auto"/>
            </w:tcBorders>
          </w:tcPr>
          <w:p w14:paraId="3F3A3DF7" w14:textId="77777777" w:rsidR="00711444" w:rsidRPr="004D0DAA" w:rsidRDefault="00711444" w:rsidP="00AA2A4C"/>
        </w:tc>
        <w:tc>
          <w:tcPr>
            <w:tcW w:w="624" w:type="dxa"/>
            <w:tcBorders>
              <w:bottom w:val="single" w:sz="6" w:space="0" w:color="auto"/>
            </w:tcBorders>
          </w:tcPr>
          <w:p w14:paraId="3867FBEE" w14:textId="77777777" w:rsidR="00711444" w:rsidRPr="004D0DAA" w:rsidRDefault="00711444" w:rsidP="00AA2A4C"/>
        </w:tc>
        <w:tc>
          <w:tcPr>
            <w:tcW w:w="624" w:type="dxa"/>
            <w:tcBorders>
              <w:bottom w:val="single" w:sz="6" w:space="0" w:color="auto"/>
            </w:tcBorders>
          </w:tcPr>
          <w:p w14:paraId="0838B314" w14:textId="77777777" w:rsidR="00711444" w:rsidRPr="004D0DAA" w:rsidRDefault="00711444" w:rsidP="00AA2A4C"/>
        </w:tc>
        <w:tc>
          <w:tcPr>
            <w:tcW w:w="624" w:type="dxa"/>
            <w:tcBorders>
              <w:bottom w:val="single" w:sz="6" w:space="0" w:color="auto"/>
            </w:tcBorders>
          </w:tcPr>
          <w:p w14:paraId="023AC309" w14:textId="77777777" w:rsidR="00711444" w:rsidRPr="004D0DAA" w:rsidRDefault="00711444" w:rsidP="00AA2A4C"/>
        </w:tc>
        <w:tc>
          <w:tcPr>
            <w:tcW w:w="624" w:type="dxa"/>
            <w:tcBorders>
              <w:bottom w:val="single" w:sz="6" w:space="0" w:color="auto"/>
            </w:tcBorders>
          </w:tcPr>
          <w:p w14:paraId="2358EFA9" w14:textId="77777777" w:rsidR="00711444" w:rsidRPr="004D0DAA" w:rsidRDefault="00711444" w:rsidP="00AA2A4C"/>
        </w:tc>
        <w:tc>
          <w:tcPr>
            <w:tcW w:w="624" w:type="dxa"/>
            <w:tcBorders>
              <w:bottom w:val="single" w:sz="6" w:space="0" w:color="auto"/>
            </w:tcBorders>
          </w:tcPr>
          <w:p w14:paraId="25EEF380" w14:textId="77777777" w:rsidR="00711444" w:rsidRPr="004D0DAA" w:rsidRDefault="00711444" w:rsidP="00AA2A4C"/>
        </w:tc>
        <w:tc>
          <w:tcPr>
            <w:tcW w:w="624" w:type="dxa"/>
            <w:tcBorders>
              <w:bottom w:val="single" w:sz="6" w:space="0" w:color="auto"/>
            </w:tcBorders>
          </w:tcPr>
          <w:p w14:paraId="5B003C75" w14:textId="77777777" w:rsidR="00711444" w:rsidRPr="004D0DAA" w:rsidRDefault="00711444" w:rsidP="00AA2A4C"/>
        </w:tc>
        <w:tc>
          <w:tcPr>
            <w:tcW w:w="624" w:type="dxa"/>
            <w:tcBorders>
              <w:bottom w:val="single" w:sz="6" w:space="0" w:color="auto"/>
              <w:right w:val="single" w:sz="6" w:space="0" w:color="auto"/>
            </w:tcBorders>
          </w:tcPr>
          <w:p w14:paraId="331C2EDE" w14:textId="77777777" w:rsidR="00711444" w:rsidRPr="004D0DAA" w:rsidRDefault="00711444" w:rsidP="00AA2A4C"/>
        </w:tc>
        <w:tc>
          <w:tcPr>
            <w:tcW w:w="1985" w:type="dxa"/>
          </w:tcPr>
          <w:p w14:paraId="5B3ED6BC" w14:textId="77777777" w:rsidR="00711444" w:rsidRPr="004D0DAA" w:rsidRDefault="00711444" w:rsidP="00AA2A4C">
            <w:pPr>
              <w:pStyle w:val="TAC"/>
              <w:rPr>
                <w:lang w:eastAsia="en-US"/>
              </w:rPr>
            </w:pPr>
            <w:r w:rsidRPr="004D0DAA">
              <w:rPr>
                <w:lang w:eastAsia="en-US"/>
              </w:rPr>
              <w:t>Octet N2</w:t>
            </w:r>
          </w:p>
        </w:tc>
      </w:tr>
    </w:tbl>
    <w:p w14:paraId="438D14BD" w14:textId="77777777" w:rsidR="00711444" w:rsidRPr="004D0DAA" w:rsidRDefault="00711444" w:rsidP="00711444">
      <w:pPr>
        <w:pStyle w:val="NF"/>
      </w:pPr>
    </w:p>
    <w:p w14:paraId="16617021" w14:textId="77777777" w:rsidR="00711444" w:rsidRPr="004D0DAA" w:rsidRDefault="00711444" w:rsidP="00711444">
      <w:pPr>
        <w:pStyle w:val="NF"/>
      </w:pPr>
      <w:r w:rsidRPr="004D0DAA">
        <w:t>NOTE:</w:t>
      </w:r>
      <w:r w:rsidRPr="004D0DAA">
        <w:tab/>
        <w:t>If padding is used, then "Octet 1" shall be replaced by "Octet 7", see example in annex J.</w:t>
      </w:r>
    </w:p>
    <w:p w14:paraId="331750D2" w14:textId="77777777" w:rsidR="00711444" w:rsidRPr="004D0DAA" w:rsidRDefault="00711444" w:rsidP="00711444">
      <w:pPr>
        <w:pStyle w:val="NF"/>
      </w:pPr>
    </w:p>
    <w:p w14:paraId="20844FEC" w14:textId="77777777" w:rsidR="00711444" w:rsidRPr="004D0DAA" w:rsidRDefault="00711444" w:rsidP="00711444">
      <w:pPr>
        <w:pStyle w:val="TF"/>
      </w:pPr>
      <w:r w:rsidRPr="004D0DAA">
        <w:t>Figure 10.3a.1.1.1: EGPRS downlink RLC data block</w:t>
      </w:r>
    </w:p>
    <w:p w14:paraId="0EFADD17" w14:textId="77777777" w:rsidR="00711444" w:rsidRPr="004D0DAA" w:rsidRDefault="00711444" w:rsidP="00711444">
      <w:pPr>
        <w:pStyle w:val="Heading4"/>
      </w:pPr>
      <w:bookmarkStart w:id="516" w:name="_Toc516669698"/>
      <w:r w:rsidRPr="004D0DAA">
        <w:t>10.3a.1.2</w:t>
      </w:r>
      <w:r w:rsidRPr="004D0DAA">
        <w:tab/>
        <w:t>EC-GSM-IoT downlink RLC data block</w:t>
      </w:r>
      <w:bookmarkEnd w:id="516"/>
    </w:p>
    <w:p w14:paraId="4900725A" w14:textId="77777777" w:rsidR="00711444" w:rsidRPr="004D0DAA" w:rsidRDefault="00711444" w:rsidP="00711444">
      <w:pPr>
        <w:keepNext/>
      </w:pPr>
      <w:r w:rsidRPr="004D0DAA">
        <w:t xml:space="preserve">For an EC TBF, the downlink RLC data blocks are formatted according to figure 10.3a.1.2.1. </w:t>
      </w:r>
    </w:p>
    <w:tbl>
      <w:tblPr>
        <w:tblW w:w="0" w:type="auto"/>
        <w:jc w:val="center"/>
        <w:tblLayout w:type="fixed"/>
        <w:tblCellMar>
          <w:left w:w="28" w:type="dxa"/>
          <w:right w:w="28" w:type="dxa"/>
        </w:tblCellMar>
        <w:tblLook w:val="0000" w:firstRow="0" w:lastRow="0" w:firstColumn="0" w:lastColumn="0" w:noHBand="0" w:noVBand="0"/>
      </w:tblPr>
      <w:tblGrid>
        <w:gridCol w:w="624"/>
        <w:gridCol w:w="624"/>
        <w:gridCol w:w="624"/>
        <w:gridCol w:w="624"/>
        <w:gridCol w:w="624"/>
        <w:gridCol w:w="624"/>
        <w:gridCol w:w="624"/>
        <w:gridCol w:w="624"/>
        <w:gridCol w:w="1985"/>
      </w:tblGrid>
      <w:tr w:rsidR="00711444" w:rsidRPr="004D0DAA" w14:paraId="7A647505" w14:textId="77777777" w:rsidTr="00AA2A4C">
        <w:trPr>
          <w:cantSplit/>
          <w:jc w:val="center"/>
        </w:trPr>
        <w:tc>
          <w:tcPr>
            <w:tcW w:w="624" w:type="dxa"/>
          </w:tcPr>
          <w:p w14:paraId="312FCCF9" w14:textId="77777777" w:rsidR="00711444" w:rsidRPr="004D0DAA" w:rsidRDefault="00711444" w:rsidP="00AA2A4C"/>
        </w:tc>
        <w:tc>
          <w:tcPr>
            <w:tcW w:w="624" w:type="dxa"/>
          </w:tcPr>
          <w:p w14:paraId="11D743FA" w14:textId="77777777" w:rsidR="00711444" w:rsidRPr="004D0DAA" w:rsidRDefault="00711444" w:rsidP="00AA2A4C"/>
        </w:tc>
        <w:tc>
          <w:tcPr>
            <w:tcW w:w="624" w:type="dxa"/>
          </w:tcPr>
          <w:p w14:paraId="0A57874B" w14:textId="77777777" w:rsidR="00711444" w:rsidRPr="004D0DAA" w:rsidRDefault="00711444" w:rsidP="00AA2A4C"/>
        </w:tc>
        <w:tc>
          <w:tcPr>
            <w:tcW w:w="1248" w:type="dxa"/>
            <w:gridSpan w:val="2"/>
          </w:tcPr>
          <w:p w14:paraId="5AEE07EF" w14:textId="77777777" w:rsidR="00711444" w:rsidRPr="004D0DAA" w:rsidRDefault="00711444" w:rsidP="00AA2A4C">
            <w:pPr>
              <w:pStyle w:val="TAC"/>
              <w:rPr>
                <w:lang w:eastAsia="en-US"/>
              </w:rPr>
            </w:pPr>
            <w:r w:rsidRPr="004D0DAA">
              <w:rPr>
                <w:lang w:eastAsia="en-US"/>
              </w:rPr>
              <w:t>Bit</w:t>
            </w:r>
          </w:p>
        </w:tc>
        <w:tc>
          <w:tcPr>
            <w:tcW w:w="624" w:type="dxa"/>
          </w:tcPr>
          <w:p w14:paraId="78B344CC" w14:textId="77777777" w:rsidR="00711444" w:rsidRPr="004D0DAA" w:rsidRDefault="00711444" w:rsidP="00AA2A4C"/>
        </w:tc>
        <w:tc>
          <w:tcPr>
            <w:tcW w:w="624" w:type="dxa"/>
          </w:tcPr>
          <w:p w14:paraId="1063324F" w14:textId="77777777" w:rsidR="00711444" w:rsidRPr="004D0DAA" w:rsidRDefault="00711444" w:rsidP="00AA2A4C"/>
        </w:tc>
        <w:tc>
          <w:tcPr>
            <w:tcW w:w="624" w:type="dxa"/>
          </w:tcPr>
          <w:p w14:paraId="488DBF44" w14:textId="77777777" w:rsidR="00711444" w:rsidRPr="004D0DAA" w:rsidRDefault="00711444" w:rsidP="00AA2A4C"/>
        </w:tc>
        <w:tc>
          <w:tcPr>
            <w:tcW w:w="1985" w:type="dxa"/>
          </w:tcPr>
          <w:p w14:paraId="00EF60E2" w14:textId="77777777" w:rsidR="00711444" w:rsidRPr="004D0DAA" w:rsidRDefault="00711444" w:rsidP="00AA2A4C">
            <w:pPr>
              <w:pStyle w:val="TAC"/>
              <w:rPr>
                <w:lang w:eastAsia="en-US"/>
              </w:rPr>
            </w:pPr>
          </w:p>
        </w:tc>
      </w:tr>
      <w:tr w:rsidR="00711444" w:rsidRPr="004D0DAA" w14:paraId="21B1449D" w14:textId="77777777" w:rsidTr="00AA2A4C">
        <w:trPr>
          <w:cantSplit/>
          <w:jc w:val="center"/>
        </w:trPr>
        <w:tc>
          <w:tcPr>
            <w:tcW w:w="624" w:type="dxa"/>
          </w:tcPr>
          <w:p w14:paraId="7AEA467D" w14:textId="77777777" w:rsidR="00711444" w:rsidRPr="004D0DAA" w:rsidRDefault="00711444" w:rsidP="00AA2A4C"/>
        </w:tc>
        <w:tc>
          <w:tcPr>
            <w:tcW w:w="624" w:type="dxa"/>
          </w:tcPr>
          <w:p w14:paraId="089F1097" w14:textId="77777777" w:rsidR="00711444" w:rsidRPr="004D0DAA" w:rsidRDefault="00711444" w:rsidP="00AA2A4C"/>
        </w:tc>
        <w:tc>
          <w:tcPr>
            <w:tcW w:w="624" w:type="dxa"/>
          </w:tcPr>
          <w:p w14:paraId="594C28FA" w14:textId="77777777" w:rsidR="00711444" w:rsidRPr="004D0DAA" w:rsidRDefault="00711444" w:rsidP="00AA2A4C"/>
        </w:tc>
        <w:tc>
          <w:tcPr>
            <w:tcW w:w="624" w:type="dxa"/>
            <w:tcBorders>
              <w:bottom w:val="single" w:sz="4" w:space="0" w:color="auto"/>
            </w:tcBorders>
          </w:tcPr>
          <w:p w14:paraId="59CCDA88" w14:textId="77777777" w:rsidR="00711444" w:rsidRPr="004D0DAA" w:rsidRDefault="00711444" w:rsidP="00AA2A4C">
            <w:pPr>
              <w:pStyle w:val="TAC"/>
              <w:rPr>
                <w:lang w:eastAsia="en-US"/>
              </w:rPr>
            </w:pPr>
            <w:r w:rsidRPr="004D0DAA">
              <w:rPr>
                <w:lang w:eastAsia="en-US"/>
              </w:rPr>
              <w:t>2</w:t>
            </w:r>
          </w:p>
        </w:tc>
        <w:tc>
          <w:tcPr>
            <w:tcW w:w="624" w:type="dxa"/>
            <w:tcBorders>
              <w:bottom w:val="single" w:sz="4" w:space="0" w:color="auto"/>
            </w:tcBorders>
          </w:tcPr>
          <w:p w14:paraId="22E879D6" w14:textId="77777777" w:rsidR="00711444" w:rsidRPr="004D0DAA" w:rsidRDefault="00711444" w:rsidP="00AA2A4C">
            <w:pPr>
              <w:pStyle w:val="TAC"/>
              <w:rPr>
                <w:lang w:eastAsia="en-US"/>
              </w:rPr>
            </w:pPr>
            <w:r w:rsidRPr="004D0DAA">
              <w:rPr>
                <w:lang w:eastAsia="en-US"/>
              </w:rPr>
              <w:t>1</w:t>
            </w:r>
          </w:p>
        </w:tc>
        <w:tc>
          <w:tcPr>
            <w:tcW w:w="624" w:type="dxa"/>
          </w:tcPr>
          <w:p w14:paraId="4B96C5D5" w14:textId="77777777" w:rsidR="00711444" w:rsidRPr="004D0DAA" w:rsidRDefault="00711444" w:rsidP="00AA2A4C"/>
        </w:tc>
        <w:tc>
          <w:tcPr>
            <w:tcW w:w="624" w:type="dxa"/>
          </w:tcPr>
          <w:p w14:paraId="723053F8" w14:textId="77777777" w:rsidR="00711444" w:rsidRPr="004D0DAA" w:rsidRDefault="00711444" w:rsidP="00AA2A4C"/>
        </w:tc>
        <w:tc>
          <w:tcPr>
            <w:tcW w:w="624" w:type="dxa"/>
          </w:tcPr>
          <w:p w14:paraId="431237E5" w14:textId="77777777" w:rsidR="00711444" w:rsidRPr="004D0DAA" w:rsidRDefault="00711444" w:rsidP="00AA2A4C"/>
        </w:tc>
        <w:tc>
          <w:tcPr>
            <w:tcW w:w="1985" w:type="dxa"/>
          </w:tcPr>
          <w:p w14:paraId="2CF72E20" w14:textId="77777777" w:rsidR="00711444" w:rsidRPr="004D0DAA" w:rsidRDefault="00711444" w:rsidP="00AA2A4C">
            <w:pPr>
              <w:pStyle w:val="TAC"/>
              <w:rPr>
                <w:lang w:eastAsia="en-US"/>
              </w:rPr>
            </w:pPr>
          </w:p>
        </w:tc>
      </w:tr>
      <w:tr w:rsidR="00711444" w:rsidRPr="004D0DAA" w14:paraId="33AEB8D9" w14:textId="77777777" w:rsidTr="00AA2A4C">
        <w:trPr>
          <w:cantSplit/>
          <w:jc w:val="center"/>
        </w:trPr>
        <w:tc>
          <w:tcPr>
            <w:tcW w:w="624" w:type="dxa"/>
          </w:tcPr>
          <w:p w14:paraId="28A1FD59" w14:textId="77777777" w:rsidR="00711444" w:rsidRPr="004D0DAA" w:rsidRDefault="00711444" w:rsidP="00AA2A4C"/>
        </w:tc>
        <w:tc>
          <w:tcPr>
            <w:tcW w:w="624" w:type="dxa"/>
          </w:tcPr>
          <w:p w14:paraId="69810FA7" w14:textId="77777777" w:rsidR="00711444" w:rsidRPr="004D0DAA" w:rsidRDefault="00711444" w:rsidP="00AA2A4C"/>
        </w:tc>
        <w:tc>
          <w:tcPr>
            <w:tcW w:w="624" w:type="dxa"/>
            <w:tcBorders>
              <w:right w:val="single" w:sz="4" w:space="0" w:color="auto"/>
            </w:tcBorders>
          </w:tcPr>
          <w:p w14:paraId="17426F15"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6AAC444E" w14:textId="77777777" w:rsidR="00711444" w:rsidRPr="004D0DAA" w:rsidRDefault="00711444" w:rsidP="00AA2A4C">
            <w:pPr>
              <w:pStyle w:val="TAC"/>
              <w:rPr>
                <w:lang w:eastAsia="en-US"/>
              </w:rPr>
            </w:pPr>
            <w:r w:rsidRPr="004D0DAA">
              <w:rPr>
                <w:lang w:eastAsia="en-US"/>
              </w:rPr>
              <w:t>FBI</w:t>
            </w:r>
          </w:p>
        </w:tc>
        <w:tc>
          <w:tcPr>
            <w:tcW w:w="624" w:type="dxa"/>
            <w:tcBorders>
              <w:top w:val="single" w:sz="4" w:space="0" w:color="auto"/>
              <w:left w:val="single" w:sz="4" w:space="0" w:color="auto"/>
              <w:bottom w:val="single" w:sz="4" w:space="0" w:color="auto"/>
              <w:right w:val="single" w:sz="4" w:space="0" w:color="auto"/>
            </w:tcBorders>
          </w:tcPr>
          <w:p w14:paraId="6DC54FB5" w14:textId="77777777" w:rsidR="00711444" w:rsidRPr="004D0DAA" w:rsidRDefault="00711444" w:rsidP="00AA2A4C">
            <w:pPr>
              <w:pStyle w:val="TAC"/>
              <w:rPr>
                <w:lang w:eastAsia="en-US"/>
              </w:rPr>
            </w:pPr>
            <w:r w:rsidRPr="004D0DAA">
              <w:rPr>
                <w:lang w:eastAsia="en-US"/>
              </w:rPr>
              <w:t>E</w:t>
            </w:r>
          </w:p>
        </w:tc>
        <w:tc>
          <w:tcPr>
            <w:tcW w:w="624" w:type="dxa"/>
            <w:tcBorders>
              <w:left w:val="single" w:sz="4" w:space="0" w:color="auto"/>
            </w:tcBorders>
          </w:tcPr>
          <w:p w14:paraId="458FB7C2" w14:textId="77777777" w:rsidR="00711444" w:rsidRPr="004D0DAA" w:rsidRDefault="00711444" w:rsidP="00AA2A4C"/>
        </w:tc>
        <w:tc>
          <w:tcPr>
            <w:tcW w:w="624" w:type="dxa"/>
          </w:tcPr>
          <w:p w14:paraId="3589619F" w14:textId="77777777" w:rsidR="00711444" w:rsidRPr="004D0DAA" w:rsidRDefault="00711444" w:rsidP="00AA2A4C"/>
        </w:tc>
        <w:tc>
          <w:tcPr>
            <w:tcW w:w="624" w:type="dxa"/>
          </w:tcPr>
          <w:p w14:paraId="7272E9EC" w14:textId="77777777" w:rsidR="00711444" w:rsidRPr="004D0DAA" w:rsidRDefault="00711444" w:rsidP="00AA2A4C"/>
        </w:tc>
        <w:tc>
          <w:tcPr>
            <w:tcW w:w="1985" w:type="dxa"/>
          </w:tcPr>
          <w:p w14:paraId="3D8508C8" w14:textId="77777777" w:rsidR="00711444" w:rsidRPr="004D0DAA" w:rsidRDefault="00711444" w:rsidP="00AA2A4C">
            <w:pPr>
              <w:pStyle w:val="TAC"/>
              <w:rPr>
                <w:lang w:eastAsia="en-US"/>
              </w:rPr>
            </w:pPr>
          </w:p>
        </w:tc>
      </w:tr>
      <w:tr w:rsidR="00711444" w:rsidRPr="004D0DAA" w14:paraId="1052AFCB" w14:textId="77777777" w:rsidTr="00AA2A4C">
        <w:trPr>
          <w:cantSplit/>
          <w:jc w:val="center"/>
        </w:trPr>
        <w:tc>
          <w:tcPr>
            <w:tcW w:w="624" w:type="dxa"/>
          </w:tcPr>
          <w:p w14:paraId="50F62EA7" w14:textId="77777777" w:rsidR="00711444" w:rsidRPr="004D0DAA" w:rsidRDefault="00711444" w:rsidP="00AA2A4C"/>
        </w:tc>
        <w:tc>
          <w:tcPr>
            <w:tcW w:w="624" w:type="dxa"/>
          </w:tcPr>
          <w:p w14:paraId="0F68A3FF" w14:textId="77777777" w:rsidR="00711444" w:rsidRPr="004D0DAA" w:rsidRDefault="00711444" w:rsidP="00AA2A4C"/>
        </w:tc>
        <w:tc>
          <w:tcPr>
            <w:tcW w:w="624" w:type="dxa"/>
          </w:tcPr>
          <w:p w14:paraId="3C68339F" w14:textId="77777777" w:rsidR="00711444" w:rsidRPr="004D0DAA" w:rsidRDefault="00711444" w:rsidP="00AA2A4C"/>
        </w:tc>
        <w:tc>
          <w:tcPr>
            <w:tcW w:w="624" w:type="dxa"/>
            <w:tcBorders>
              <w:top w:val="single" w:sz="4" w:space="0" w:color="auto"/>
            </w:tcBorders>
          </w:tcPr>
          <w:p w14:paraId="04912744" w14:textId="77777777" w:rsidR="00711444" w:rsidRPr="004D0DAA" w:rsidRDefault="00711444" w:rsidP="00AA2A4C"/>
        </w:tc>
        <w:tc>
          <w:tcPr>
            <w:tcW w:w="624" w:type="dxa"/>
            <w:tcBorders>
              <w:top w:val="single" w:sz="4" w:space="0" w:color="auto"/>
            </w:tcBorders>
          </w:tcPr>
          <w:p w14:paraId="4F9C20A3" w14:textId="77777777" w:rsidR="00711444" w:rsidRPr="004D0DAA" w:rsidRDefault="00711444" w:rsidP="00AA2A4C"/>
        </w:tc>
        <w:tc>
          <w:tcPr>
            <w:tcW w:w="624" w:type="dxa"/>
          </w:tcPr>
          <w:p w14:paraId="339CEB40" w14:textId="77777777" w:rsidR="00711444" w:rsidRPr="004D0DAA" w:rsidRDefault="00711444" w:rsidP="00AA2A4C"/>
        </w:tc>
        <w:tc>
          <w:tcPr>
            <w:tcW w:w="624" w:type="dxa"/>
          </w:tcPr>
          <w:p w14:paraId="25F9CE84" w14:textId="77777777" w:rsidR="00711444" w:rsidRPr="004D0DAA" w:rsidRDefault="00711444" w:rsidP="00AA2A4C"/>
        </w:tc>
        <w:tc>
          <w:tcPr>
            <w:tcW w:w="624" w:type="dxa"/>
          </w:tcPr>
          <w:p w14:paraId="7B7476BD" w14:textId="77777777" w:rsidR="00711444" w:rsidRPr="004D0DAA" w:rsidRDefault="00711444" w:rsidP="00AA2A4C"/>
        </w:tc>
        <w:tc>
          <w:tcPr>
            <w:tcW w:w="1985" w:type="dxa"/>
          </w:tcPr>
          <w:p w14:paraId="3DFC3A3B" w14:textId="77777777" w:rsidR="00711444" w:rsidRPr="004D0DAA" w:rsidRDefault="00711444" w:rsidP="00AA2A4C">
            <w:pPr>
              <w:pStyle w:val="TAC"/>
              <w:rPr>
                <w:lang w:eastAsia="en-US"/>
              </w:rPr>
            </w:pPr>
          </w:p>
        </w:tc>
      </w:tr>
      <w:tr w:rsidR="00711444" w:rsidRPr="004D0DAA" w14:paraId="495A6EF3" w14:textId="77777777" w:rsidTr="00AA2A4C">
        <w:trPr>
          <w:cantSplit/>
          <w:jc w:val="center"/>
        </w:trPr>
        <w:tc>
          <w:tcPr>
            <w:tcW w:w="624" w:type="dxa"/>
          </w:tcPr>
          <w:p w14:paraId="4F2EC7BA" w14:textId="77777777" w:rsidR="00711444" w:rsidRPr="004D0DAA" w:rsidRDefault="00711444" w:rsidP="00AA2A4C"/>
        </w:tc>
        <w:tc>
          <w:tcPr>
            <w:tcW w:w="624" w:type="dxa"/>
          </w:tcPr>
          <w:p w14:paraId="50B10143" w14:textId="77777777" w:rsidR="00711444" w:rsidRPr="004D0DAA" w:rsidRDefault="00711444" w:rsidP="00AA2A4C"/>
        </w:tc>
        <w:tc>
          <w:tcPr>
            <w:tcW w:w="624" w:type="dxa"/>
          </w:tcPr>
          <w:p w14:paraId="318A4740" w14:textId="77777777" w:rsidR="00711444" w:rsidRPr="004D0DAA" w:rsidRDefault="00711444" w:rsidP="00AA2A4C"/>
        </w:tc>
        <w:tc>
          <w:tcPr>
            <w:tcW w:w="624" w:type="dxa"/>
          </w:tcPr>
          <w:p w14:paraId="20DC28E9" w14:textId="77777777" w:rsidR="00711444" w:rsidRPr="004D0DAA" w:rsidRDefault="00711444" w:rsidP="00AA2A4C"/>
        </w:tc>
        <w:tc>
          <w:tcPr>
            <w:tcW w:w="624" w:type="dxa"/>
          </w:tcPr>
          <w:p w14:paraId="391A3123" w14:textId="77777777" w:rsidR="00711444" w:rsidRPr="004D0DAA" w:rsidRDefault="00711444" w:rsidP="00AA2A4C"/>
        </w:tc>
        <w:tc>
          <w:tcPr>
            <w:tcW w:w="624" w:type="dxa"/>
          </w:tcPr>
          <w:p w14:paraId="3CDBD1EC" w14:textId="77777777" w:rsidR="00711444" w:rsidRPr="004D0DAA" w:rsidRDefault="00711444" w:rsidP="00AA2A4C"/>
        </w:tc>
        <w:tc>
          <w:tcPr>
            <w:tcW w:w="624" w:type="dxa"/>
          </w:tcPr>
          <w:p w14:paraId="58112C24" w14:textId="77777777" w:rsidR="00711444" w:rsidRPr="004D0DAA" w:rsidRDefault="00711444" w:rsidP="00AA2A4C"/>
        </w:tc>
        <w:tc>
          <w:tcPr>
            <w:tcW w:w="624" w:type="dxa"/>
          </w:tcPr>
          <w:p w14:paraId="25D74004" w14:textId="77777777" w:rsidR="00711444" w:rsidRPr="004D0DAA" w:rsidRDefault="00711444" w:rsidP="00AA2A4C"/>
        </w:tc>
        <w:tc>
          <w:tcPr>
            <w:tcW w:w="1985" w:type="dxa"/>
          </w:tcPr>
          <w:p w14:paraId="4DBF9240" w14:textId="77777777" w:rsidR="00711444" w:rsidRPr="004D0DAA" w:rsidRDefault="00711444" w:rsidP="00AA2A4C">
            <w:pPr>
              <w:pStyle w:val="TAC"/>
              <w:rPr>
                <w:lang w:eastAsia="en-US"/>
              </w:rPr>
            </w:pPr>
          </w:p>
        </w:tc>
      </w:tr>
      <w:tr w:rsidR="00711444" w:rsidRPr="004D0DAA" w14:paraId="66C5DA33" w14:textId="77777777" w:rsidTr="00AA2A4C">
        <w:trPr>
          <w:cantSplit/>
          <w:jc w:val="center"/>
        </w:trPr>
        <w:tc>
          <w:tcPr>
            <w:tcW w:w="4992" w:type="dxa"/>
            <w:gridSpan w:val="8"/>
          </w:tcPr>
          <w:p w14:paraId="2D5F47FB" w14:textId="77777777" w:rsidR="00711444" w:rsidRPr="004D0DAA" w:rsidRDefault="00711444" w:rsidP="00AA2A4C">
            <w:pPr>
              <w:pStyle w:val="TAC"/>
              <w:rPr>
                <w:lang w:eastAsia="en-US"/>
              </w:rPr>
            </w:pPr>
            <w:r w:rsidRPr="004D0DAA">
              <w:rPr>
                <w:lang w:eastAsia="en-US"/>
              </w:rPr>
              <w:t>Bit</w:t>
            </w:r>
          </w:p>
        </w:tc>
        <w:tc>
          <w:tcPr>
            <w:tcW w:w="1985" w:type="dxa"/>
          </w:tcPr>
          <w:p w14:paraId="3B592AA5" w14:textId="77777777" w:rsidR="00711444" w:rsidRPr="004D0DAA" w:rsidRDefault="00711444" w:rsidP="00AA2A4C">
            <w:pPr>
              <w:pStyle w:val="TAC"/>
              <w:rPr>
                <w:lang w:eastAsia="en-US"/>
              </w:rPr>
            </w:pPr>
          </w:p>
        </w:tc>
      </w:tr>
      <w:tr w:rsidR="00711444" w:rsidRPr="004D0DAA" w14:paraId="3D4A553B" w14:textId="77777777" w:rsidTr="00AA2A4C">
        <w:trPr>
          <w:cantSplit/>
          <w:jc w:val="center"/>
        </w:trPr>
        <w:tc>
          <w:tcPr>
            <w:tcW w:w="624" w:type="dxa"/>
          </w:tcPr>
          <w:p w14:paraId="4F50C3B2" w14:textId="77777777" w:rsidR="00711444" w:rsidRPr="004D0DAA" w:rsidRDefault="00711444" w:rsidP="00AA2A4C">
            <w:pPr>
              <w:pStyle w:val="TAC"/>
              <w:rPr>
                <w:lang w:eastAsia="en-US"/>
              </w:rPr>
            </w:pPr>
            <w:r w:rsidRPr="004D0DAA">
              <w:rPr>
                <w:lang w:eastAsia="en-US"/>
              </w:rPr>
              <w:t>8</w:t>
            </w:r>
          </w:p>
        </w:tc>
        <w:tc>
          <w:tcPr>
            <w:tcW w:w="624" w:type="dxa"/>
          </w:tcPr>
          <w:p w14:paraId="68707674" w14:textId="77777777" w:rsidR="00711444" w:rsidRPr="004D0DAA" w:rsidRDefault="00711444" w:rsidP="00AA2A4C">
            <w:pPr>
              <w:pStyle w:val="TAC"/>
              <w:rPr>
                <w:lang w:eastAsia="en-US"/>
              </w:rPr>
            </w:pPr>
            <w:r w:rsidRPr="004D0DAA">
              <w:rPr>
                <w:lang w:eastAsia="en-US"/>
              </w:rPr>
              <w:t>7</w:t>
            </w:r>
          </w:p>
        </w:tc>
        <w:tc>
          <w:tcPr>
            <w:tcW w:w="624" w:type="dxa"/>
          </w:tcPr>
          <w:p w14:paraId="3D7D2478" w14:textId="77777777" w:rsidR="00711444" w:rsidRPr="004D0DAA" w:rsidRDefault="00711444" w:rsidP="00AA2A4C">
            <w:pPr>
              <w:pStyle w:val="TAC"/>
              <w:rPr>
                <w:lang w:eastAsia="en-US"/>
              </w:rPr>
            </w:pPr>
            <w:r w:rsidRPr="004D0DAA">
              <w:rPr>
                <w:lang w:eastAsia="en-US"/>
              </w:rPr>
              <w:t>6</w:t>
            </w:r>
          </w:p>
        </w:tc>
        <w:tc>
          <w:tcPr>
            <w:tcW w:w="624" w:type="dxa"/>
          </w:tcPr>
          <w:p w14:paraId="04ECF1C1" w14:textId="77777777" w:rsidR="00711444" w:rsidRPr="004D0DAA" w:rsidRDefault="00711444" w:rsidP="00AA2A4C">
            <w:pPr>
              <w:pStyle w:val="TAC"/>
              <w:rPr>
                <w:lang w:eastAsia="en-US"/>
              </w:rPr>
            </w:pPr>
            <w:r w:rsidRPr="004D0DAA">
              <w:rPr>
                <w:lang w:eastAsia="en-US"/>
              </w:rPr>
              <w:t>5</w:t>
            </w:r>
          </w:p>
        </w:tc>
        <w:tc>
          <w:tcPr>
            <w:tcW w:w="624" w:type="dxa"/>
          </w:tcPr>
          <w:p w14:paraId="11032AA5" w14:textId="77777777" w:rsidR="00711444" w:rsidRPr="004D0DAA" w:rsidRDefault="00711444" w:rsidP="00AA2A4C">
            <w:pPr>
              <w:pStyle w:val="TAC"/>
              <w:rPr>
                <w:lang w:eastAsia="en-US"/>
              </w:rPr>
            </w:pPr>
            <w:r w:rsidRPr="004D0DAA">
              <w:rPr>
                <w:lang w:eastAsia="en-US"/>
              </w:rPr>
              <w:t>4</w:t>
            </w:r>
          </w:p>
        </w:tc>
        <w:tc>
          <w:tcPr>
            <w:tcW w:w="624" w:type="dxa"/>
          </w:tcPr>
          <w:p w14:paraId="4187B1E4" w14:textId="77777777" w:rsidR="00711444" w:rsidRPr="004D0DAA" w:rsidRDefault="00711444" w:rsidP="00AA2A4C">
            <w:pPr>
              <w:pStyle w:val="TAC"/>
              <w:rPr>
                <w:lang w:eastAsia="en-US"/>
              </w:rPr>
            </w:pPr>
            <w:r w:rsidRPr="004D0DAA">
              <w:rPr>
                <w:lang w:eastAsia="en-US"/>
              </w:rPr>
              <w:t>3</w:t>
            </w:r>
          </w:p>
        </w:tc>
        <w:tc>
          <w:tcPr>
            <w:tcW w:w="624" w:type="dxa"/>
          </w:tcPr>
          <w:p w14:paraId="0DC04947" w14:textId="77777777" w:rsidR="00711444" w:rsidRPr="004D0DAA" w:rsidRDefault="00711444" w:rsidP="00AA2A4C">
            <w:pPr>
              <w:pStyle w:val="TAC"/>
              <w:rPr>
                <w:lang w:eastAsia="en-US"/>
              </w:rPr>
            </w:pPr>
            <w:r w:rsidRPr="004D0DAA">
              <w:rPr>
                <w:lang w:eastAsia="en-US"/>
              </w:rPr>
              <w:t>2</w:t>
            </w:r>
          </w:p>
        </w:tc>
        <w:tc>
          <w:tcPr>
            <w:tcW w:w="624" w:type="dxa"/>
          </w:tcPr>
          <w:p w14:paraId="24C7ED48" w14:textId="77777777" w:rsidR="00711444" w:rsidRPr="004D0DAA" w:rsidRDefault="00711444" w:rsidP="00AA2A4C">
            <w:pPr>
              <w:pStyle w:val="TAC"/>
              <w:rPr>
                <w:lang w:eastAsia="en-US"/>
              </w:rPr>
            </w:pPr>
            <w:r w:rsidRPr="004D0DAA">
              <w:rPr>
                <w:lang w:eastAsia="en-US"/>
              </w:rPr>
              <w:t>1</w:t>
            </w:r>
          </w:p>
        </w:tc>
        <w:tc>
          <w:tcPr>
            <w:tcW w:w="1985" w:type="dxa"/>
          </w:tcPr>
          <w:p w14:paraId="24E69762" w14:textId="77777777" w:rsidR="00711444" w:rsidRPr="004D0DAA" w:rsidRDefault="00711444" w:rsidP="00AA2A4C">
            <w:pPr>
              <w:pStyle w:val="TAC"/>
              <w:rPr>
                <w:lang w:eastAsia="en-US"/>
              </w:rPr>
            </w:pPr>
          </w:p>
        </w:tc>
      </w:tr>
      <w:tr w:rsidR="00711444" w:rsidRPr="004D0DAA" w14:paraId="49B4DF9C" w14:textId="77777777" w:rsidTr="00AA2A4C">
        <w:trPr>
          <w:cantSplit/>
          <w:jc w:val="center"/>
        </w:trPr>
        <w:tc>
          <w:tcPr>
            <w:tcW w:w="3744" w:type="dxa"/>
            <w:gridSpan w:val="6"/>
            <w:tcBorders>
              <w:top w:val="single" w:sz="6" w:space="0" w:color="auto"/>
              <w:left w:val="single" w:sz="6" w:space="0" w:color="auto"/>
            </w:tcBorders>
          </w:tcPr>
          <w:p w14:paraId="67B48EF9" w14:textId="77777777" w:rsidR="00711444" w:rsidRPr="004D0DAA" w:rsidRDefault="00711444" w:rsidP="00AA2A4C">
            <w:pPr>
              <w:pStyle w:val="TAC"/>
              <w:rPr>
                <w:lang w:eastAsia="en-US"/>
              </w:rPr>
            </w:pPr>
            <w:r w:rsidRPr="004D0DAA">
              <w:rPr>
                <w:lang w:eastAsia="en-US"/>
              </w:rPr>
              <w:t>Length indicator</w:t>
            </w:r>
          </w:p>
        </w:tc>
        <w:tc>
          <w:tcPr>
            <w:tcW w:w="624" w:type="dxa"/>
            <w:tcBorders>
              <w:top w:val="single" w:sz="6" w:space="0" w:color="auto"/>
              <w:right w:val="single" w:sz="6" w:space="0" w:color="auto"/>
            </w:tcBorders>
          </w:tcPr>
          <w:p w14:paraId="14DDDECB" w14:textId="77777777" w:rsidR="00711444" w:rsidRPr="004D0DAA" w:rsidRDefault="00711444" w:rsidP="00AA2A4C"/>
        </w:tc>
        <w:tc>
          <w:tcPr>
            <w:tcW w:w="624" w:type="dxa"/>
            <w:tcBorders>
              <w:top w:val="single" w:sz="6" w:space="0" w:color="auto"/>
              <w:left w:val="single" w:sz="6" w:space="0" w:color="auto"/>
              <w:right w:val="single" w:sz="6" w:space="0" w:color="auto"/>
            </w:tcBorders>
          </w:tcPr>
          <w:p w14:paraId="1EB8E0A6"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358EFE0C" w14:textId="77777777" w:rsidR="00711444" w:rsidRPr="004D0DAA" w:rsidRDefault="00711444" w:rsidP="00AA2A4C">
            <w:pPr>
              <w:pStyle w:val="TAC"/>
              <w:rPr>
                <w:lang w:eastAsia="en-US"/>
              </w:rPr>
            </w:pPr>
            <w:r w:rsidRPr="004D0DAA">
              <w:rPr>
                <w:lang w:eastAsia="en-US"/>
              </w:rPr>
              <w:t>Octet 1 (note)</w:t>
            </w:r>
            <w:r w:rsidRPr="004D0DAA">
              <w:rPr>
                <w:lang w:eastAsia="en-US"/>
              </w:rPr>
              <w:br/>
              <w:t>(optional)</w:t>
            </w:r>
          </w:p>
        </w:tc>
      </w:tr>
      <w:tr w:rsidR="00711444" w:rsidRPr="004D0DAA" w14:paraId="71DE2BEF" w14:textId="77777777" w:rsidTr="00AA2A4C">
        <w:trPr>
          <w:cantSplit/>
          <w:jc w:val="center"/>
        </w:trPr>
        <w:tc>
          <w:tcPr>
            <w:tcW w:w="4992" w:type="dxa"/>
            <w:gridSpan w:val="8"/>
            <w:tcBorders>
              <w:top w:val="single" w:sz="6" w:space="0" w:color="auto"/>
              <w:left w:val="single" w:sz="6" w:space="0" w:color="auto"/>
              <w:right w:val="single" w:sz="6" w:space="0" w:color="auto"/>
            </w:tcBorders>
          </w:tcPr>
          <w:p w14:paraId="3AF347ED" w14:textId="77777777" w:rsidR="00711444" w:rsidRPr="004D0DAA" w:rsidRDefault="00711444" w:rsidP="00AA2A4C">
            <w:pPr>
              <w:pStyle w:val="TAC"/>
              <w:rPr>
                <w:lang w:eastAsia="en-US"/>
              </w:rPr>
            </w:pPr>
            <w:r w:rsidRPr="004D0DAA">
              <w:rPr>
                <w:lang w:eastAsia="en-US"/>
              </w:rPr>
              <w:t>.</w:t>
            </w:r>
            <w:r w:rsidRPr="004D0DAA">
              <w:rPr>
                <w:lang w:eastAsia="en-US"/>
              </w:rPr>
              <w:br/>
              <w:t>.</w:t>
            </w:r>
            <w:r w:rsidRPr="004D0DAA">
              <w:rPr>
                <w:lang w:eastAsia="en-US"/>
              </w:rPr>
              <w:br/>
              <w:t>.</w:t>
            </w:r>
          </w:p>
        </w:tc>
        <w:tc>
          <w:tcPr>
            <w:tcW w:w="1985" w:type="dxa"/>
          </w:tcPr>
          <w:p w14:paraId="221B2A4A" w14:textId="77777777" w:rsidR="00711444" w:rsidRPr="004D0DAA" w:rsidRDefault="00711444" w:rsidP="00AA2A4C">
            <w:pPr>
              <w:pStyle w:val="TAC"/>
              <w:rPr>
                <w:lang w:eastAsia="en-US"/>
              </w:rPr>
            </w:pPr>
            <w:r w:rsidRPr="004D0DAA">
              <w:rPr>
                <w:lang w:eastAsia="en-US"/>
              </w:rPr>
              <w:t>.</w:t>
            </w:r>
          </w:p>
          <w:p w14:paraId="07320E89" w14:textId="77777777" w:rsidR="00711444" w:rsidRPr="004D0DAA" w:rsidRDefault="00711444" w:rsidP="00AA2A4C">
            <w:pPr>
              <w:pStyle w:val="TAC"/>
              <w:rPr>
                <w:lang w:eastAsia="en-US"/>
              </w:rPr>
            </w:pPr>
            <w:r w:rsidRPr="004D0DAA">
              <w:rPr>
                <w:lang w:eastAsia="en-US"/>
              </w:rPr>
              <w:t>.</w:t>
            </w:r>
          </w:p>
          <w:p w14:paraId="26645358" w14:textId="77777777" w:rsidR="00711444" w:rsidRPr="004D0DAA" w:rsidRDefault="00711444" w:rsidP="00AA2A4C">
            <w:pPr>
              <w:pStyle w:val="TAC"/>
              <w:rPr>
                <w:lang w:eastAsia="en-US"/>
              </w:rPr>
            </w:pPr>
            <w:r w:rsidRPr="004D0DAA">
              <w:rPr>
                <w:lang w:eastAsia="en-US"/>
              </w:rPr>
              <w:t>.</w:t>
            </w:r>
          </w:p>
        </w:tc>
      </w:tr>
      <w:tr w:rsidR="00711444" w:rsidRPr="004D0DAA" w14:paraId="3F34E5D1" w14:textId="77777777" w:rsidTr="00AA2A4C">
        <w:trPr>
          <w:cantSplit/>
          <w:jc w:val="center"/>
        </w:trPr>
        <w:tc>
          <w:tcPr>
            <w:tcW w:w="3744" w:type="dxa"/>
            <w:gridSpan w:val="6"/>
            <w:tcBorders>
              <w:top w:val="single" w:sz="6" w:space="0" w:color="auto"/>
              <w:left w:val="single" w:sz="6" w:space="0" w:color="auto"/>
              <w:bottom w:val="single" w:sz="6" w:space="0" w:color="auto"/>
            </w:tcBorders>
          </w:tcPr>
          <w:p w14:paraId="73486F46" w14:textId="77777777" w:rsidR="00711444" w:rsidRPr="004D0DAA" w:rsidRDefault="00711444" w:rsidP="00AA2A4C">
            <w:pPr>
              <w:pStyle w:val="TAC"/>
              <w:rPr>
                <w:lang w:eastAsia="en-US"/>
              </w:rPr>
            </w:pPr>
            <w:r w:rsidRPr="004D0DAA">
              <w:rPr>
                <w:lang w:eastAsia="en-US"/>
              </w:rPr>
              <w:t>Length indicator</w:t>
            </w:r>
          </w:p>
        </w:tc>
        <w:tc>
          <w:tcPr>
            <w:tcW w:w="624" w:type="dxa"/>
            <w:tcBorders>
              <w:top w:val="single" w:sz="6" w:space="0" w:color="auto"/>
              <w:bottom w:val="single" w:sz="6" w:space="0" w:color="auto"/>
              <w:right w:val="single" w:sz="6" w:space="0" w:color="auto"/>
            </w:tcBorders>
          </w:tcPr>
          <w:p w14:paraId="3CE1CF95" w14:textId="77777777" w:rsidR="00711444" w:rsidRPr="004D0DAA" w:rsidRDefault="00711444" w:rsidP="00AA2A4C"/>
        </w:tc>
        <w:tc>
          <w:tcPr>
            <w:tcW w:w="624" w:type="dxa"/>
            <w:tcBorders>
              <w:top w:val="single" w:sz="6" w:space="0" w:color="auto"/>
              <w:left w:val="single" w:sz="6" w:space="0" w:color="auto"/>
              <w:bottom w:val="single" w:sz="6" w:space="0" w:color="auto"/>
              <w:right w:val="single" w:sz="6" w:space="0" w:color="auto"/>
            </w:tcBorders>
          </w:tcPr>
          <w:p w14:paraId="3DE56A69" w14:textId="77777777" w:rsidR="00711444" w:rsidRPr="004D0DAA" w:rsidRDefault="00711444" w:rsidP="00AA2A4C">
            <w:pPr>
              <w:pStyle w:val="TAC"/>
              <w:rPr>
                <w:lang w:eastAsia="en-US"/>
              </w:rPr>
            </w:pPr>
            <w:r w:rsidRPr="004D0DAA">
              <w:rPr>
                <w:lang w:eastAsia="en-US"/>
              </w:rPr>
              <w:t>E</w:t>
            </w:r>
          </w:p>
        </w:tc>
        <w:tc>
          <w:tcPr>
            <w:tcW w:w="1985" w:type="dxa"/>
            <w:tcBorders>
              <w:left w:val="single" w:sz="6" w:space="0" w:color="auto"/>
            </w:tcBorders>
          </w:tcPr>
          <w:p w14:paraId="25300B79" w14:textId="77777777" w:rsidR="00711444" w:rsidRPr="004D0DAA" w:rsidRDefault="00711444" w:rsidP="00AA2A4C">
            <w:pPr>
              <w:pStyle w:val="TAC"/>
              <w:rPr>
                <w:lang w:eastAsia="en-US"/>
              </w:rPr>
            </w:pPr>
            <w:r w:rsidRPr="004D0DAA">
              <w:rPr>
                <w:lang w:eastAsia="en-US"/>
              </w:rPr>
              <w:t>Octet M (optional)</w:t>
            </w:r>
          </w:p>
        </w:tc>
      </w:tr>
      <w:tr w:rsidR="00711444" w:rsidRPr="004D0DAA" w14:paraId="3B741FB6" w14:textId="77777777" w:rsidTr="00AA2A4C">
        <w:trPr>
          <w:cantSplit/>
          <w:jc w:val="center"/>
        </w:trPr>
        <w:tc>
          <w:tcPr>
            <w:tcW w:w="624" w:type="dxa"/>
            <w:tcBorders>
              <w:left w:val="single" w:sz="6" w:space="0" w:color="auto"/>
            </w:tcBorders>
          </w:tcPr>
          <w:p w14:paraId="6B6159FD" w14:textId="77777777" w:rsidR="00711444" w:rsidRPr="004D0DAA" w:rsidRDefault="00711444" w:rsidP="00AA2A4C"/>
        </w:tc>
        <w:tc>
          <w:tcPr>
            <w:tcW w:w="624" w:type="dxa"/>
          </w:tcPr>
          <w:p w14:paraId="10C641AA" w14:textId="77777777" w:rsidR="00711444" w:rsidRPr="004D0DAA" w:rsidRDefault="00711444" w:rsidP="00AA2A4C"/>
        </w:tc>
        <w:tc>
          <w:tcPr>
            <w:tcW w:w="624" w:type="dxa"/>
          </w:tcPr>
          <w:p w14:paraId="20D1C8E3" w14:textId="77777777" w:rsidR="00711444" w:rsidRPr="004D0DAA" w:rsidRDefault="00711444" w:rsidP="00AA2A4C"/>
        </w:tc>
        <w:tc>
          <w:tcPr>
            <w:tcW w:w="624" w:type="dxa"/>
          </w:tcPr>
          <w:p w14:paraId="2B1473CC" w14:textId="77777777" w:rsidR="00711444" w:rsidRPr="004D0DAA" w:rsidRDefault="00711444" w:rsidP="00AA2A4C"/>
        </w:tc>
        <w:tc>
          <w:tcPr>
            <w:tcW w:w="624" w:type="dxa"/>
          </w:tcPr>
          <w:p w14:paraId="4AAB2FF3" w14:textId="77777777" w:rsidR="00711444" w:rsidRPr="004D0DAA" w:rsidRDefault="00711444" w:rsidP="00AA2A4C"/>
        </w:tc>
        <w:tc>
          <w:tcPr>
            <w:tcW w:w="624" w:type="dxa"/>
          </w:tcPr>
          <w:p w14:paraId="245B6B20" w14:textId="77777777" w:rsidR="00711444" w:rsidRPr="004D0DAA" w:rsidRDefault="00711444" w:rsidP="00AA2A4C"/>
        </w:tc>
        <w:tc>
          <w:tcPr>
            <w:tcW w:w="624" w:type="dxa"/>
          </w:tcPr>
          <w:p w14:paraId="6229690A" w14:textId="77777777" w:rsidR="00711444" w:rsidRPr="004D0DAA" w:rsidRDefault="00711444" w:rsidP="00AA2A4C"/>
        </w:tc>
        <w:tc>
          <w:tcPr>
            <w:tcW w:w="624" w:type="dxa"/>
            <w:tcBorders>
              <w:right w:val="single" w:sz="6" w:space="0" w:color="auto"/>
            </w:tcBorders>
          </w:tcPr>
          <w:p w14:paraId="69AF8A3C" w14:textId="77777777" w:rsidR="00711444" w:rsidRPr="004D0DAA" w:rsidRDefault="00711444" w:rsidP="00AA2A4C"/>
        </w:tc>
        <w:tc>
          <w:tcPr>
            <w:tcW w:w="1985" w:type="dxa"/>
          </w:tcPr>
          <w:p w14:paraId="0E570554" w14:textId="77777777" w:rsidR="00711444" w:rsidRPr="004D0DAA" w:rsidRDefault="00711444" w:rsidP="00AA2A4C">
            <w:pPr>
              <w:pStyle w:val="TAC"/>
              <w:rPr>
                <w:lang w:eastAsia="en-US"/>
              </w:rPr>
            </w:pPr>
            <w:r w:rsidRPr="004D0DAA">
              <w:rPr>
                <w:lang w:eastAsia="en-US"/>
              </w:rPr>
              <w:t>Octet M+1</w:t>
            </w:r>
          </w:p>
        </w:tc>
      </w:tr>
      <w:tr w:rsidR="00711444" w:rsidRPr="004D0DAA" w14:paraId="537CD121" w14:textId="77777777" w:rsidTr="00AA2A4C">
        <w:trPr>
          <w:cantSplit/>
          <w:jc w:val="center"/>
        </w:trPr>
        <w:tc>
          <w:tcPr>
            <w:tcW w:w="4992" w:type="dxa"/>
            <w:gridSpan w:val="8"/>
            <w:tcBorders>
              <w:left w:val="single" w:sz="6" w:space="0" w:color="auto"/>
              <w:bottom w:val="single" w:sz="6" w:space="0" w:color="auto"/>
              <w:right w:val="single" w:sz="6" w:space="0" w:color="auto"/>
            </w:tcBorders>
          </w:tcPr>
          <w:p w14:paraId="70F16BCC" w14:textId="77777777" w:rsidR="00711444" w:rsidRPr="004D0DAA" w:rsidRDefault="00711444" w:rsidP="00AA2A4C">
            <w:pPr>
              <w:pStyle w:val="TAC"/>
              <w:rPr>
                <w:lang w:eastAsia="en-US"/>
              </w:rPr>
            </w:pPr>
            <w:r w:rsidRPr="004D0DAA">
              <w:rPr>
                <w:lang w:eastAsia="en-US"/>
              </w:rPr>
              <w:br/>
              <w:t>RLC data</w:t>
            </w:r>
          </w:p>
        </w:tc>
        <w:tc>
          <w:tcPr>
            <w:tcW w:w="1985" w:type="dxa"/>
          </w:tcPr>
          <w:p w14:paraId="78C1536A" w14:textId="77777777" w:rsidR="00711444" w:rsidRPr="004D0DAA" w:rsidRDefault="00711444" w:rsidP="00AA2A4C">
            <w:pPr>
              <w:pStyle w:val="TAC"/>
              <w:rPr>
                <w:lang w:eastAsia="en-US"/>
              </w:rPr>
            </w:pPr>
            <w:r w:rsidRPr="004D0DAA">
              <w:rPr>
                <w:lang w:eastAsia="en-US"/>
              </w:rPr>
              <w:t>.</w:t>
            </w:r>
          </w:p>
          <w:p w14:paraId="2BA9EF56" w14:textId="77777777" w:rsidR="00711444" w:rsidRPr="004D0DAA" w:rsidRDefault="00711444" w:rsidP="00AA2A4C">
            <w:pPr>
              <w:pStyle w:val="TAC"/>
              <w:rPr>
                <w:lang w:eastAsia="en-US"/>
              </w:rPr>
            </w:pPr>
            <w:r w:rsidRPr="004D0DAA">
              <w:rPr>
                <w:lang w:eastAsia="en-US"/>
              </w:rPr>
              <w:t>.</w:t>
            </w:r>
          </w:p>
          <w:p w14:paraId="314F8A63" w14:textId="77777777" w:rsidR="00711444" w:rsidRPr="004D0DAA" w:rsidRDefault="00711444" w:rsidP="00AA2A4C">
            <w:pPr>
              <w:pStyle w:val="TAC"/>
              <w:rPr>
                <w:lang w:eastAsia="en-US"/>
              </w:rPr>
            </w:pPr>
            <w:r w:rsidRPr="004D0DAA">
              <w:rPr>
                <w:lang w:eastAsia="en-US"/>
              </w:rPr>
              <w:t>Octet K</w:t>
            </w:r>
          </w:p>
        </w:tc>
      </w:tr>
      <w:tr w:rsidR="00711444" w:rsidRPr="004D0DAA" w14:paraId="49D4A696" w14:textId="77777777" w:rsidTr="00AA2A4C">
        <w:trPr>
          <w:cantSplit/>
          <w:jc w:val="center"/>
        </w:trPr>
        <w:tc>
          <w:tcPr>
            <w:tcW w:w="624" w:type="dxa"/>
            <w:tcBorders>
              <w:top w:val="single" w:sz="6" w:space="0" w:color="auto"/>
              <w:left w:val="single" w:sz="6" w:space="0" w:color="auto"/>
            </w:tcBorders>
          </w:tcPr>
          <w:p w14:paraId="766FBEAB" w14:textId="77777777" w:rsidR="00711444" w:rsidRPr="004D0DAA" w:rsidRDefault="00711444" w:rsidP="00AA2A4C"/>
        </w:tc>
        <w:tc>
          <w:tcPr>
            <w:tcW w:w="624" w:type="dxa"/>
            <w:tcBorders>
              <w:top w:val="single" w:sz="6" w:space="0" w:color="auto"/>
            </w:tcBorders>
          </w:tcPr>
          <w:p w14:paraId="37F2A49A" w14:textId="77777777" w:rsidR="00711444" w:rsidRPr="004D0DAA" w:rsidRDefault="00711444" w:rsidP="00AA2A4C"/>
        </w:tc>
        <w:tc>
          <w:tcPr>
            <w:tcW w:w="624" w:type="dxa"/>
            <w:tcBorders>
              <w:top w:val="single" w:sz="6" w:space="0" w:color="auto"/>
            </w:tcBorders>
          </w:tcPr>
          <w:p w14:paraId="72A172CC" w14:textId="77777777" w:rsidR="00711444" w:rsidRPr="004D0DAA" w:rsidRDefault="00711444" w:rsidP="00AA2A4C"/>
        </w:tc>
        <w:tc>
          <w:tcPr>
            <w:tcW w:w="624" w:type="dxa"/>
            <w:tcBorders>
              <w:top w:val="single" w:sz="6" w:space="0" w:color="auto"/>
            </w:tcBorders>
          </w:tcPr>
          <w:p w14:paraId="36BDE78F" w14:textId="77777777" w:rsidR="00711444" w:rsidRPr="004D0DAA" w:rsidRDefault="00711444" w:rsidP="00AA2A4C"/>
        </w:tc>
        <w:tc>
          <w:tcPr>
            <w:tcW w:w="624" w:type="dxa"/>
            <w:tcBorders>
              <w:top w:val="single" w:sz="6" w:space="0" w:color="auto"/>
            </w:tcBorders>
          </w:tcPr>
          <w:p w14:paraId="2E691EB5" w14:textId="77777777" w:rsidR="00711444" w:rsidRPr="004D0DAA" w:rsidRDefault="00711444" w:rsidP="00AA2A4C"/>
        </w:tc>
        <w:tc>
          <w:tcPr>
            <w:tcW w:w="624" w:type="dxa"/>
            <w:tcBorders>
              <w:top w:val="single" w:sz="6" w:space="0" w:color="auto"/>
            </w:tcBorders>
          </w:tcPr>
          <w:p w14:paraId="11CBE3B8" w14:textId="77777777" w:rsidR="00711444" w:rsidRPr="004D0DAA" w:rsidRDefault="00711444" w:rsidP="00AA2A4C"/>
        </w:tc>
        <w:tc>
          <w:tcPr>
            <w:tcW w:w="624" w:type="dxa"/>
            <w:tcBorders>
              <w:top w:val="single" w:sz="6" w:space="0" w:color="auto"/>
            </w:tcBorders>
          </w:tcPr>
          <w:p w14:paraId="55EBB4C7" w14:textId="77777777" w:rsidR="00711444" w:rsidRPr="004D0DAA" w:rsidRDefault="00711444" w:rsidP="00AA2A4C"/>
        </w:tc>
        <w:tc>
          <w:tcPr>
            <w:tcW w:w="624" w:type="dxa"/>
            <w:tcBorders>
              <w:top w:val="single" w:sz="6" w:space="0" w:color="auto"/>
              <w:right w:val="single" w:sz="6" w:space="0" w:color="auto"/>
            </w:tcBorders>
          </w:tcPr>
          <w:p w14:paraId="4E831334" w14:textId="77777777" w:rsidR="00711444" w:rsidRPr="004D0DAA" w:rsidRDefault="00711444" w:rsidP="00AA2A4C"/>
        </w:tc>
        <w:tc>
          <w:tcPr>
            <w:tcW w:w="1985" w:type="dxa"/>
          </w:tcPr>
          <w:p w14:paraId="158494B9" w14:textId="77777777" w:rsidR="00711444" w:rsidRPr="004D0DAA" w:rsidRDefault="00711444" w:rsidP="00AA2A4C">
            <w:pPr>
              <w:pStyle w:val="TAC"/>
              <w:rPr>
                <w:lang w:eastAsia="en-US"/>
              </w:rPr>
            </w:pPr>
            <w:r w:rsidRPr="004D0DAA">
              <w:rPr>
                <w:lang w:eastAsia="en-US"/>
              </w:rPr>
              <w:t>.</w:t>
            </w:r>
          </w:p>
          <w:p w14:paraId="1A4A4717" w14:textId="77777777" w:rsidR="00711444" w:rsidRPr="004D0DAA" w:rsidRDefault="00711444" w:rsidP="00AA2A4C">
            <w:pPr>
              <w:pStyle w:val="TAC"/>
              <w:rPr>
                <w:lang w:eastAsia="en-US"/>
              </w:rPr>
            </w:pPr>
            <w:r w:rsidRPr="004D0DAA">
              <w:rPr>
                <w:lang w:eastAsia="en-US"/>
              </w:rPr>
              <w:t>.</w:t>
            </w:r>
          </w:p>
          <w:p w14:paraId="2E95F494" w14:textId="77777777" w:rsidR="00711444" w:rsidRPr="004D0DAA" w:rsidRDefault="00711444" w:rsidP="00AA2A4C">
            <w:pPr>
              <w:pStyle w:val="TAC"/>
              <w:rPr>
                <w:lang w:eastAsia="en-US"/>
              </w:rPr>
            </w:pPr>
            <w:r w:rsidRPr="004D0DAA">
              <w:rPr>
                <w:lang w:eastAsia="en-US"/>
              </w:rPr>
              <w:t>.</w:t>
            </w:r>
          </w:p>
        </w:tc>
      </w:tr>
      <w:tr w:rsidR="00711444" w:rsidRPr="004D0DAA" w14:paraId="0878DCED" w14:textId="77777777" w:rsidTr="00AA2A4C">
        <w:trPr>
          <w:cantSplit/>
          <w:jc w:val="center"/>
        </w:trPr>
        <w:tc>
          <w:tcPr>
            <w:tcW w:w="624" w:type="dxa"/>
            <w:tcBorders>
              <w:left w:val="single" w:sz="6" w:space="0" w:color="auto"/>
            </w:tcBorders>
          </w:tcPr>
          <w:p w14:paraId="7E0793A4" w14:textId="77777777" w:rsidR="00711444" w:rsidRPr="004D0DAA" w:rsidRDefault="00711444" w:rsidP="00AA2A4C"/>
        </w:tc>
        <w:tc>
          <w:tcPr>
            <w:tcW w:w="624" w:type="dxa"/>
          </w:tcPr>
          <w:p w14:paraId="03B801E7" w14:textId="77777777" w:rsidR="00711444" w:rsidRPr="004D0DAA" w:rsidRDefault="00711444" w:rsidP="00AA2A4C"/>
        </w:tc>
        <w:tc>
          <w:tcPr>
            <w:tcW w:w="624" w:type="dxa"/>
          </w:tcPr>
          <w:p w14:paraId="452DB031" w14:textId="77777777" w:rsidR="00711444" w:rsidRPr="004D0DAA" w:rsidRDefault="00711444" w:rsidP="00AA2A4C"/>
        </w:tc>
        <w:tc>
          <w:tcPr>
            <w:tcW w:w="624" w:type="dxa"/>
          </w:tcPr>
          <w:p w14:paraId="04CD2743" w14:textId="77777777" w:rsidR="00711444" w:rsidRPr="004D0DAA" w:rsidRDefault="00711444" w:rsidP="00AA2A4C"/>
        </w:tc>
        <w:tc>
          <w:tcPr>
            <w:tcW w:w="624" w:type="dxa"/>
          </w:tcPr>
          <w:p w14:paraId="4D67F88D" w14:textId="77777777" w:rsidR="00711444" w:rsidRPr="004D0DAA" w:rsidRDefault="00711444" w:rsidP="00AA2A4C"/>
        </w:tc>
        <w:tc>
          <w:tcPr>
            <w:tcW w:w="624" w:type="dxa"/>
          </w:tcPr>
          <w:p w14:paraId="28B71071" w14:textId="77777777" w:rsidR="00711444" w:rsidRPr="004D0DAA" w:rsidRDefault="00711444" w:rsidP="00AA2A4C"/>
        </w:tc>
        <w:tc>
          <w:tcPr>
            <w:tcW w:w="624" w:type="dxa"/>
          </w:tcPr>
          <w:p w14:paraId="11FE8304" w14:textId="77777777" w:rsidR="00711444" w:rsidRPr="004D0DAA" w:rsidRDefault="00711444" w:rsidP="00AA2A4C"/>
        </w:tc>
        <w:tc>
          <w:tcPr>
            <w:tcW w:w="624" w:type="dxa"/>
            <w:tcBorders>
              <w:right w:val="single" w:sz="6" w:space="0" w:color="auto"/>
            </w:tcBorders>
          </w:tcPr>
          <w:p w14:paraId="6BF4DA43" w14:textId="77777777" w:rsidR="00711444" w:rsidRPr="004D0DAA" w:rsidRDefault="00711444" w:rsidP="00AA2A4C"/>
        </w:tc>
        <w:tc>
          <w:tcPr>
            <w:tcW w:w="1985" w:type="dxa"/>
          </w:tcPr>
          <w:p w14:paraId="2B6623D1" w14:textId="77777777" w:rsidR="00711444" w:rsidRPr="004D0DAA" w:rsidRDefault="00711444" w:rsidP="00AA2A4C">
            <w:pPr>
              <w:pStyle w:val="TAC"/>
              <w:rPr>
                <w:lang w:eastAsia="en-US"/>
              </w:rPr>
            </w:pPr>
            <w:r w:rsidRPr="004D0DAA">
              <w:rPr>
                <w:lang w:eastAsia="en-US"/>
              </w:rPr>
              <w:t>Octet N2-1</w:t>
            </w:r>
          </w:p>
        </w:tc>
      </w:tr>
      <w:tr w:rsidR="00711444" w:rsidRPr="004D0DAA" w14:paraId="64333ABF" w14:textId="77777777" w:rsidTr="00AA2A4C">
        <w:trPr>
          <w:cantSplit/>
          <w:jc w:val="center"/>
        </w:trPr>
        <w:tc>
          <w:tcPr>
            <w:tcW w:w="624" w:type="dxa"/>
            <w:tcBorders>
              <w:left w:val="single" w:sz="6" w:space="0" w:color="auto"/>
              <w:bottom w:val="single" w:sz="6" w:space="0" w:color="auto"/>
            </w:tcBorders>
          </w:tcPr>
          <w:p w14:paraId="1FC014F7" w14:textId="77777777" w:rsidR="00711444" w:rsidRPr="004D0DAA" w:rsidRDefault="00711444" w:rsidP="00AA2A4C"/>
        </w:tc>
        <w:tc>
          <w:tcPr>
            <w:tcW w:w="624" w:type="dxa"/>
            <w:tcBorders>
              <w:bottom w:val="single" w:sz="6" w:space="0" w:color="auto"/>
            </w:tcBorders>
          </w:tcPr>
          <w:p w14:paraId="26F1094B" w14:textId="77777777" w:rsidR="00711444" w:rsidRPr="004D0DAA" w:rsidRDefault="00711444" w:rsidP="00AA2A4C"/>
        </w:tc>
        <w:tc>
          <w:tcPr>
            <w:tcW w:w="624" w:type="dxa"/>
            <w:tcBorders>
              <w:bottom w:val="single" w:sz="6" w:space="0" w:color="auto"/>
            </w:tcBorders>
          </w:tcPr>
          <w:p w14:paraId="07FE599E" w14:textId="77777777" w:rsidR="00711444" w:rsidRPr="004D0DAA" w:rsidRDefault="00711444" w:rsidP="00AA2A4C"/>
        </w:tc>
        <w:tc>
          <w:tcPr>
            <w:tcW w:w="624" w:type="dxa"/>
            <w:tcBorders>
              <w:bottom w:val="single" w:sz="6" w:space="0" w:color="auto"/>
            </w:tcBorders>
          </w:tcPr>
          <w:p w14:paraId="43C0ADEF" w14:textId="77777777" w:rsidR="00711444" w:rsidRPr="004D0DAA" w:rsidRDefault="00711444" w:rsidP="00AA2A4C"/>
        </w:tc>
        <w:tc>
          <w:tcPr>
            <w:tcW w:w="624" w:type="dxa"/>
            <w:tcBorders>
              <w:bottom w:val="single" w:sz="6" w:space="0" w:color="auto"/>
            </w:tcBorders>
          </w:tcPr>
          <w:p w14:paraId="51DD71C1" w14:textId="77777777" w:rsidR="00711444" w:rsidRPr="004D0DAA" w:rsidRDefault="00711444" w:rsidP="00AA2A4C"/>
        </w:tc>
        <w:tc>
          <w:tcPr>
            <w:tcW w:w="624" w:type="dxa"/>
            <w:tcBorders>
              <w:bottom w:val="single" w:sz="6" w:space="0" w:color="auto"/>
            </w:tcBorders>
          </w:tcPr>
          <w:p w14:paraId="3761E157" w14:textId="77777777" w:rsidR="00711444" w:rsidRPr="004D0DAA" w:rsidRDefault="00711444" w:rsidP="00AA2A4C"/>
        </w:tc>
        <w:tc>
          <w:tcPr>
            <w:tcW w:w="624" w:type="dxa"/>
            <w:tcBorders>
              <w:bottom w:val="single" w:sz="6" w:space="0" w:color="auto"/>
            </w:tcBorders>
          </w:tcPr>
          <w:p w14:paraId="410E937B" w14:textId="77777777" w:rsidR="00711444" w:rsidRPr="004D0DAA" w:rsidRDefault="00711444" w:rsidP="00AA2A4C"/>
        </w:tc>
        <w:tc>
          <w:tcPr>
            <w:tcW w:w="624" w:type="dxa"/>
            <w:tcBorders>
              <w:bottom w:val="single" w:sz="6" w:space="0" w:color="auto"/>
              <w:right w:val="single" w:sz="6" w:space="0" w:color="auto"/>
            </w:tcBorders>
          </w:tcPr>
          <w:p w14:paraId="673CBD75" w14:textId="77777777" w:rsidR="00711444" w:rsidRPr="004D0DAA" w:rsidRDefault="00711444" w:rsidP="00AA2A4C"/>
        </w:tc>
        <w:tc>
          <w:tcPr>
            <w:tcW w:w="1985" w:type="dxa"/>
          </w:tcPr>
          <w:p w14:paraId="203D214D" w14:textId="77777777" w:rsidR="00711444" w:rsidRPr="004D0DAA" w:rsidRDefault="00711444" w:rsidP="00AA2A4C">
            <w:pPr>
              <w:pStyle w:val="TAC"/>
              <w:rPr>
                <w:lang w:eastAsia="en-US"/>
              </w:rPr>
            </w:pPr>
            <w:r w:rsidRPr="004D0DAA">
              <w:rPr>
                <w:lang w:eastAsia="en-US"/>
              </w:rPr>
              <w:t>Octet N2</w:t>
            </w:r>
          </w:p>
        </w:tc>
      </w:tr>
    </w:tbl>
    <w:p w14:paraId="1C619EEF" w14:textId="77777777" w:rsidR="00711444" w:rsidRPr="004D0DAA" w:rsidRDefault="00711444" w:rsidP="00711444">
      <w:pPr>
        <w:pStyle w:val="NF"/>
      </w:pPr>
    </w:p>
    <w:p w14:paraId="681AFFBA" w14:textId="77777777" w:rsidR="00711444" w:rsidRPr="004D0DAA" w:rsidRDefault="00711444" w:rsidP="00711444">
      <w:pPr>
        <w:pStyle w:val="NF"/>
      </w:pPr>
      <w:r w:rsidRPr="004D0DAA">
        <w:t>NOTE:</w:t>
      </w:r>
      <w:r w:rsidRPr="004D0DAA">
        <w:tab/>
        <w:t xml:space="preserve">If padding is used, then "Octet 1" shall be replaced by "Octet 7", see example in annex J. </w:t>
      </w:r>
    </w:p>
    <w:p w14:paraId="6ED178A8" w14:textId="77777777" w:rsidR="00711444" w:rsidRPr="004D0DAA" w:rsidRDefault="00711444" w:rsidP="00711444">
      <w:pPr>
        <w:pStyle w:val="TF"/>
      </w:pPr>
      <w:r w:rsidRPr="004D0DAA">
        <w:t>Figure 10.3a.1.2.1: EC-GSM-IoT downlink RLC data block</w:t>
      </w:r>
    </w:p>
    <w:p w14:paraId="750EA90F" w14:textId="77777777" w:rsidR="00711444" w:rsidRPr="004D0DAA" w:rsidRDefault="00711444" w:rsidP="00711444"/>
    <w:p w14:paraId="4E78912B" w14:textId="77777777" w:rsidR="00711444" w:rsidRPr="004D0DAA" w:rsidRDefault="00711444" w:rsidP="00711444">
      <w:pPr>
        <w:pStyle w:val="Heading3"/>
      </w:pPr>
      <w:bookmarkStart w:id="517" w:name="_Toc516669699"/>
      <w:r w:rsidRPr="004D0DAA">
        <w:t>10.3a.2</w:t>
      </w:r>
      <w:r w:rsidRPr="004D0DAA">
        <w:tab/>
        <w:t>Uplink RLC data block</w:t>
      </w:r>
      <w:bookmarkEnd w:id="517"/>
    </w:p>
    <w:p w14:paraId="02660E0B" w14:textId="77777777" w:rsidR="00711444" w:rsidRPr="004D0DAA" w:rsidRDefault="00711444" w:rsidP="00711444">
      <w:pPr>
        <w:pStyle w:val="Heading4"/>
      </w:pPr>
      <w:bookmarkStart w:id="518" w:name="_Toc516669700"/>
      <w:r w:rsidRPr="004D0DAA">
        <w:t>10.3a.2.1</w:t>
      </w:r>
      <w:r w:rsidRPr="004D0DAA">
        <w:tab/>
        <w:t>EGPRS Uplink RLC data block</w:t>
      </w:r>
      <w:bookmarkEnd w:id="518"/>
    </w:p>
    <w:p w14:paraId="2035734C" w14:textId="77777777" w:rsidR="00711444" w:rsidRPr="004D0DAA" w:rsidRDefault="00711444" w:rsidP="00711444">
      <w:r w:rsidRPr="004D0DAA">
        <w:t>The EGPRS uplink RLC data block is formatted according to figure 10.3a.2.1.1.</w:t>
      </w:r>
    </w:p>
    <w:tbl>
      <w:tblPr>
        <w:tblW w:w="7704" w:type="dxa"/>
        <w:tblInd w:w="1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648"/>
        <w:gridCol w:w="648"/>
        <w:gridCol w:w="648"/>
        <w:gridCol w:w="648"/>
        <w:gridCol w:w="648"/>
        <w:gridCol w:w="648"/>
        <w:gridCol w:w="648"/>
        <w:gridCol w:w="2520"/>
        <w:tblGridChange w:id="519">
          <w:tblGrid>
            <w:gridCol w:w="648"/>
            <w:gridCol w:w="648"/>
            <w:gridCol w:w="648"/>
            <w:gridCol w:w="648"/>
            <w:gridCol w:w="648"/>
            <w:gridCol w:w="648"/>
            <w:gridCol w:w="648"/>
            <w:gridCol w:w="648"/>
            <w:gridCol w:w="2520"/>
          </w:tblGrid>
        </w:tblGridChange>
      </w:tblGrid>
      <w:tr w:rsidR="00711444" w:rsidRPr="004D0DAA" w14:paraId="2ADBDDF8" w14:textId="77777777" w:rsidTr="00AA2A4C">
        <w:trPr>
          <w:trHeight w:val="288"/>
        </w:trPr>
        <w:tc>
          <w:tcPr>
            <w:tcW w:w="648" w:type="dxa"/>
            <w:tcBorders>
              <w:top w:val="nil"/>
              <w:left w:val="nil"/>
              <w:bottom w:val="nil"/>
              <w:right w:val="nil"/>
            </w:tcBorders>
            <w:shd w:val="clear" w:color="auto" w:fill="auto"/>
          </w:tcPr>
          <w:p w14:paraId="3D94E009"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1363974F"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6EB06399" w14:textId="77777777" w:rsidR="00711444" w:rsidRPr="004D0DAA" w:rsidRDefault="00711444" w:rsidP="00AA2A4C">
            <w:pPr>
              <w:spacing w:after="0" w:line="240" w:lineRule="exact"/>
              <w:rPr>
                <w:rFonts w:ascii="Arial" w:hAnsi="Arial" w:cs="Arial"/>
                <w:sz w:val="18"/>
                <w:szCs w:val="18"/>
              </w:rPr>
            </w:pPr>
          </w:p>
        </w:tc>
        <w:tc>
          <w:tcPr>
            <w:tcW w:w="1296" w:type="dxa"/>
            <w:gridSpan w:val="2"/>
            <w:tcBorders>
              <w:top w:val="nil"/>
              <w:left w:val="nil"/>
              <w:bottom w:val="nil"/>
              <w:right w:val="nil"/>
            </w:tcBorders>
            <w:shd w:val="clear" w:color="auto" w:fill="auto"/>
          </w:tcPr>
          <w:p w14:paraId="7FE9E3BB" w14:textId="77777777" w:rsidR="00711444" w:rsidRPr="004D0DAA" w:rsidRDefault="00711444" w:rsidP="00AA2A4C">
            <w:pPr>
              <w:pStyle w:val="TAC"/>
              <w:spacing w:line="240" w:lineRule="exact"/>
              <w:rPr>
                <w:lang w:eastAsia="en-US"/>
              </w:rPr>
            </w:pPr>
            <w:r w:rsidRPr="004D0DAA">
              <w:rPr>
                <w:lang w:eastAsia="en-US"/>
              </w:rPr>
              <w:t>Bit</w:t>
            </w:r>
          </w:p>
        </w:tc>
        <w:tc>
          <w:tcPr>
            <w:tcW w:w="648" w:type="dxa"/>
            <w:tcBorders>
              <w:top w:val="nil"/>
              <w:left w:val="nil"/>
              <w:bottom w:val="nil"/>
              <w:right w:val="nil"/>
            </w:tcBorders>
            <w:shd w:val="clear" w:color="auto" w:fill="auto"/>
          </w:tcPr>
          <w:p w14:paraId="4AD28694"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0981A92C"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4E43A273"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13BBE8BA" w14:textId="77777777" w:rsidR="00711444" w:rsidRPr="004D0DAA" w:rsidRDefault="00711444" w:rsidP="00AA2A4C">
            <w:pPr>
              <w:spacing w:after="0" w:line="240" w:lineRule="exact"/>
              <w:rPr>
                <w:rFonts w:ascii="Arial" w:hAnsi="Arial" w:cs="Arial"/>
                <w:sz w:val="18"/>
                <w:szCs w:val="18"/>
              </w:rPr>
            </w:pPr>
          </w:p>
        </w:tc>
      </w:tr>
      <w:tr w:rsidR="00711444" w:rsidRPr="004D0DAA" w14:paraId="3DAF1600" w14:textId="77777777" w:rsidTr="00AA2A4C">
        <w:trPr>
          <w:trHeight w:val="288"/>
        </w:trPr>
        <w:tc>
          <w:tcPr>
            <w:tcW w:w="648" w:type="dxa"/>
            <w:tcBorders>
              <w:top w:val="nil"/>
              <w:left w:val="nil"/>
              <w:bottom w:val="nil"/>
              <w:right w:val="nil"/>
            </w:tcBorders>
            <w:shd w:val="clear" w:color="auto" w:fill="auto"/>
          </w:tcPr>
          <w:p w14:paraId="4FDF47FD"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43D98708"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0B1E1ABF"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single" w:sz="4" w:space="0" w:color="auto"/>
              <w:right w:val="nil"/>
            </w:tcBorders>
            <w:shd w:val="clear" w:color="auto" w:fill="auto"/>
          </w:tcPr>
          <w:p w14:paraId="1CF4C6E3" w14:textId="77777777" w:rsidR="00711444" w:rsidRPr="004D0DAA" w:rsidRDefault="00711444" w:rsidP="00AA2A4C">
            <w:pPr>
              <w:pStyle w:val="TAC"/>
              <w:spacing w:line="240" w:lineRule="exact"/>
              <w:rPr>
                <w:lang w:eastAsia="en-US"/>
              </w:rPr>
            </w:pPr>
            <w:r w:rsidRPr="004D0DAA">
              <w:rPr>
                <w:lang w:eastAsia="en-US"/>
              </w:rPr>
              <w:t>2</w:t>
            </w:r>
          </w:p>
        </w:tc>
        <w:tc>
          <w:tcPr>
            <w:tcW w:w="648" w:type="dxa"/>
            <w:tcBorders>
              <w:top w:val="nil"/>
              <w:left w:val="nil"/>
              <w:bottom w:val="single" w:sz="4" w:space="0" w:color="auto"/>
              <w:right w:val="nil"/>
            </w:tcBorders>
            <w:shd w:val="clear" w:color="auto" w:fill="auto"/>
          </w:tcPr>
          <w:p w14:paraId="757EC076" w14:textId="77777777" w:rsidR="00711444" w:rsidRPr="004D0DAA" w:rsidRDefault="00711444" w:rsidP="00AA2A4C">
            <w:pPr>
              <w:pStyle w:val="TAC"/>
              <w:spacing w:line="240" w:lineRule="exact"/>
              <w:rPr>
                <w:lang w:eastAsia="en-US"/>
              </w:rPr>
            </w:pPr>
            <w:r w:rsidRPr="004D0DAA">
              <w:rPr>
                <w:lang w:eastAsia="en-US"/>
              </w:rPr>
              <w:t>1</w:t>
            </w:r>
          </w:p>
        </w:tc>
        <w:tc>
          <w:tcPr>
            <w:tcW w:w="648" w:type="dxa"/>
            <w:tcBorders>
              <w:top w:val="nil"/>
              <w:left w:val="nil"/>
              <w:bottom w:val="nil"/>
              <w:right w:val="nil"/>
            </w:tcBorders>
            <w:shd w:val="clear" w:color="auto" w:fill="auto"/>
          </w:tcPr>
          <w:p w14:paraId="1AAA7272"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17F53165"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3474A916"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7A879013" w14:textId="77777777" w:rsidR="00711444" w:rsidRPr="004D0DAA" w:rsidRDefault="00711444" w:rsidP="00AA2A4C">
            <w:pPr>
              <w:spacing w:after="0" w:line="240" w:lineRule="exact"/>
              <w:rPr>
                <w:rFonts w:ascii="Arial" w:hAnsi="Arial" w:cs="Arial"/>
                <w:sz w:val="18"/>
                <w:szCs w:val="18"/>
              </w:rPr>
            </w:pPr>
          </w:p>
        </w:tc>
      </w:tr>
      <w:tr w:rsidR="00711444" w:rsidRPr="004D0DAA" w14:paraId="1BF2774A" w14:textId="77777777" w:rsidTr="00AA2A4C">
        <w:trPr>
          <w:trHeight w:val="288"/>
        </w:trPr>
        <w:tc>
          <w:tcPr>
            <w:tcW w:w="648" w:type="dxa"/>
            <w:tcBorders>
              <w:top w:val="nil"/>
              <w:left w:val="nil"/>
              <w:bottom w:val="nil"/>
              <w:right w:val="nil"/>
            </w:tcBorders>
            <w:shd w:val="clear" w:color="auto" w:fill="auto"/>
          </w:tcPr>
          <w:p w14:paraId="00EBC376"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6FB647F4"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single" w:sz="4" w:space="0" w:color="auto"/>
            </w:tcBorders>
            <w:shd w:val="clear" w:color="auto" w:fill="auto"/>
          </w:tcPr>
          <w:p w14:paraId="3EF33D6C" w14:textId="77777777" w:rsidR="00711444" w:rsidRPr="004D0DAA" w:rsidRDefault="00711444" w:rsidP="00AA2A4C">
            <w:pPr>
              <w:spacing w:after="0" w:line="240" w:lineRule="exact"/>
              <w:rPr>
                <w:rFonts w:ascii="Arial" w:hAnsi="Arial" w:cs="Arial"/>
                <w:sz w:val="18"/>
                <w:szCs w:val="18"/>
              </w:rPr>
            </w:pPr>
          </w:p>
        </w:tc>
        <w:tc>
          <w:tcPr>
            <w:tcW w:w="648" w:type="dxa"/>
            <w:tcBorders>
              <w:top w:val="single" w:sz="4" w:space="0" w:color="auto"/>
              <w:left w:val="single" w:sz="4" w:space="0" w:color="auto"/>
              <w:bottom w:val="single" w:sz="4" w:space="0" w:color="auto"/>
              <w:right w:val="single" w:sz="4" w:space="0" w:color="auto"/>
            </w:tcBorders>
            <w:shd w:val="clear" w:color="auto" w:fill="auto"/>
          </w:tcPr>
          <w:p w14:paraId="14883F44" w14:textId="77777777" w:rsidR="00711444" w:rsidRPr="004D0DAA" w:rsidRDefault="00711444" w:rsidP="00AA2A4C">
            <w:pPr>
              <w:pStyle w:val="TAC"/>
              <w:spacing w:line="240" w:lineRule="exact"/>
              <w:rPr>
                <w:lang w:eastAsia="en-US"/>
              </w:rPr>
            </w:pPr>
            <w:r w:rsidRPr="004D0DAA">
              <w:rPr>
                <w:lang w:eastAsia="en-US"/>
              </w:rPr>
              <w:t>TI</w:t>
            </w:r>
          </w:p>
        </w:tc>
        <w:tc>
          <w:tcPr>
            <w:tcW w:w="648" w:type="dxa"/>
            <w:tcBorders>
              <w:top w:val="single" w:sz="4" w:space="0" w:color="auto"/>
              <w:left w:val="single" w:sz="4" w:space="0" w:color="auto"/>
              <w:bottom w:val="single" w:sz="4" w:space="0" w:color="auto"/>
              <w:right w:val="single" w:sz="4" w:space="0" w:color="auto"/>
            </w:tcBorders>
            <w:shd w:val="clear" w:color="auto" w:fill="auto"/>
          </w:tcPr>
          <w:p w14:paraId="49EFBDD0" w14:textId="77777777" w:rsidR="00711444" w:rsidRPr="004D0DAA" w:rsidRDefault="00711444" w:rsidP="00AA2A4C">
            <w:pPr>
              <w:pStyle w:val="TAC"/>
              <w:spacing w:line="240" w:lineRule="exact"/>
              <w:rPr>
                <w:lang w:eastAsia="en-US"/>
              </w:rPr>
            </w:pPr>
            <w:r w:rsidRPr="004D0DAA">
              <w:rPr>
                <w:lang w:eastAsia="en-US"/>
              </w:rPr>
              <w:t>E</w:t>
            </w:r>
          </w:p>
        </w:tc>
        <w:tc>
          <w:tcPr>
            <w:tcW w:w="648" w:type="dxa"/>
            <w:tcBorders>
              <w:top w:val="nil"/>
              <w:left w:val="single" w:sz="4" w:space="0" w:color="auto"/>
              <w:bottom w:val="nil"/>
              <w:right w:val="nil"/>
            </w:tcBorders>
            <w:shd w:val="clear" w:color="auto" w:fill="auto"/>
          </w:tcPr>
          <w:p w14:paraId="0D51B18D"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121531A9"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521EE627"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06704422" w14:textId="77777777" w:rsidR="00711444" w:rsidRPr="004D0DAA" w:rsidRDefault="00711444" w:rsidP="00AA2A4C">
            <w:pPr>
              <w:spacing w:after="0" w:line="240" w:lineRule="exact"/>
              <w:rPr>
                <w:rFonts w:ascii="Arial" w:hAnsi="Arial" w:cs="Arial"/>
                <w:sz w:val="18"/>
                <w:szCs w:val="18"/>
              </w:rPr>
            </w:pPr>
          </w:p>
        </w:tc>
      </w:tr>
      <w:tr w:rsidR="00711444" w:rsidRPr="004D0DAA" w14:paraId="5C0205BD" w14:textId="77777777" w:rsidTr="00AA2A4C">
        <w:trPr>
          <w:trHeight w:val="720"/>
        </w:trPr>
        <w:tc>
          <w:tcPr>
            <w:tcW w:w="648" w:type="dxa"/>
            <w:tcBorders>
              <w:top w:val="nil"/>
              <w:left w:val="nil"/>
              <w:bottom w:val="nil"/>
              <w:right w:val="nil"/>
            </w:tcBorders>
            <w:shd w:val="clear" w:color="auto" w:fill="auto"/>
          </w:tcPr>
          <w:p w14:paraId="3FD7086E"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376B46CB"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2987A3A1" w14:textId="77777777" w:rsidR="00711444" w:rsidRPr="004D0DAA" w:rsidRDefault="00711444" w:rsidP="00AA2A4C">
            <w:pPr>
              <w:rPr>
                <w:rFonts w:ascii="Arial" w:hAnsi="Arial" w:cs="Arial"/>
                <w:sz w:val="18"/>
                <w:szCs w:val="18"/>
              </w:rPr>
            </w:pPr>
          </w:p>
        </w:tc>
        <w:tc>
          <w:tcPr>
            <w:tcW w:w="648" w:type="dxa"/>
            <w:tcBorders>
              <w:top w:val="single" w:sz="4" w:space="0" w:color="auto"/>
              <w:left w:val="nil"/>
              <w:bottom w:val="nil"/>
              <w:right w:val="nil"/>
            </w:tcBorders>
            <w:shd w:val="clear" w:color="auto" w:fill="auto"/>
          </w:tcPr>
          <w:p w14:paraId="539D0EB6" w14:textId="77777777" w:rsidR="00711444" w:rsidRPr="004D0DAA" w:rsidRDefault="00711444" w:rsidP="00AA2A4C">
            <w:pPr>
              <w:rPr>
                <w:rFonts w:ascii="Arial" w:hAnsi="Arial" w:cs="Arial"/>
                <w:sz w:val="18"/>
                <w:szCs w:val="18"/>
              </w:rPr>
            </w:pPr>
          </w:p>
        </w:tc>
        <w:tc>
          <w:tcPr>
            <w:tcW w:w="648" w:type="dxa"/>
            <w:tcBorders>
              <w:top w:val="single" w:sz="4" w:space="0" w:color="auto"/>
              <w:left w:val="nil"/>
              <w:bottom w:val="nil"/>
              <w:right w:val="nil"/>
            </w:tcBorders>
            <w:shd w:val="clear" w:color="auto" w:fill="auto"/>
          </w:tcPr>
          <w:p w14:paraId="4B4A30F0"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78443256"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6B4C148F"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60BDB3F3" w14:textId="77777777" w:rsidR="00711444" w:rsidRPr="004D0DAA" w:rsidRDefault="00711444" w:rsidP="00AA2A4C">
            <w:pPr>
              <w:rPr>
                <w:rFonts w:ascii="Arial" w:hAnsi="Arial" w:cs="Arial"/>
                <w:sz w:val="18"/>
                <w:szCs w:val="18"/>
              </w:rPr>
            </w:pPr>
          </w:p>
        </w:tc>
        <w:tc>
          <w:tcPr>
            <w:tcW w:w="2520" w:type="dxa"/>
            <w:tcBorders>
              <w:top w:val="nil"/>
              <w:left w:val="nil"/>
              <w:bottom w:val="nil"/>
              <w:right w:val="nil"/>
            </w:tcBorders>
            <w:shd w:val="clear" w:color="auto" w:fill="auto"/>
          </w:tcPr>
          <w:p w14:paraId="68AD50CF" w14:textId="77777777" w:rsidR="00711444" w:rsidRPr="004D0DAA" w:rsidRDefault="00711444" w:rsidP="00AA2A4C">
            <w:pPr>
              <w:rPr>
                <w:rFonts w:ascii="Arial" w:hAnsi="Arial" w:cs="Arial"/>
                <w:sz w:val="18"/>
                <w:szCs w:val="18"/>
              </w:rPr>
            </w:pPr>
          </w:p>
        </w:tc>
      </w:tr>
      <w:tr w:rsidR="00711444" w:rsidRPr="004D0DAA" w14:paraId="0987A43D" w14:textId="77777777" w:rsidTr="00AA2A4C">
        <w:trPr>
          <w:trHeight w:val="288"/>
        </w:trPr>
        <w:tc>
          <w:tcPr>
            <w:tcW w:w="5184" w:type="dxa"/>
            <w:gridSpan w:val="8"/>
            <w:tcBorders>
              <w:top w:val="nil"/>
              <w:left w:val="nil"/>
              <w:bottom w:val="nil"/>
              <w:right w:val="nil"/>
            </w:tcBorders>
            <w:shd w:val="clear" w:color="auto" w:fill="auto"/>
          </w:tcPr>
          <w:p w14:paraId="54A31D1E" w14:textId="77777777" w:rsidR="00711444" w:rsidRPr="004D0DAA" w:rsidRDefault="00711444" w:rsidP="00AA2A4C">
            <w:pPr>
              <w:pStyle w:val="TAC"/>
              <w:spacing w:line="240" w:lineRule="exact"/>
              <w:rPr>
                <w:lang w:eastAsia="en-US"/>
              </w:rPr>
            </w:pPr>
            <w:r w:rsidRPr="004D0DAA">
              <w:rPr>
                <w:lang w:eastAsia="en-US"/>
              </w:rPr>
              <w:lastRenderedPageBreak/>
              <w:t>Bit</w:t>
            </w:r>
          </w:p>
        </w:tc>
        <w:tc>
          <w:tcPr>
            <w:tcW w:w="2520" w:type="dxa"/>
            <w:tcBorders>
              <w:top w:val="nil"/>
              <w:left w:val="nil"/>
              <w:bottom w:val="nil"/>
              <w:right w:val="nil"/>
            </w:tcBorders>
            <w:shd w:val="clear" w:color="auto" w:fill="auto"/>
          </w:tcPr>
          <w:p w14:paraId="10A0F299" w14:textId="77777777" w:rsidR="00711444" w:rsidRPr="004D0DAA" w:rsidRDefault="00711444" w:rsidP="00AA2A4C">
            <w:pPr>
              <w:pStyle w:val="TAC"/>
              <w:spacing w:line="240" w:lineRule="exact"/>
              <w:rPr>
                <w:lang w:eastAsia="en-US"/>
              </w:rPr>
            </w:pPr>
          </w:p>
        </w:tc>
      </w:tr>
      <w:tr w:rsidR="00711444" w:rsidRPr="004D0DAA" w14:paraId="1555E593" w14:textId="77777777" w:rsidTr="00AA2A4C">
        <w:trPr>
          <w:trHeight w:val="288"/>
        </w:trPr>
        <w:tc>
          <w:tcPr>
            <w:tcW w:w="648" w:type="dxa"/>
            <w:tcBorders>
              <w:top w:val="nil"/>
              <w:left w:val="nil"/>
              <w:bottom w:val="single" w:sz="4" w:space="0" w:color="auto"/>
              <w:right w:val="nil"/>
            </w:tcBorders>
            <w:shd w:val="clear" w:color="auto" w:fill="auto"/>
          </w:tcPr>
          <w:p w14:paraId="33B464AB" w14:textId="77777777" w:rsidR="00711444" w:rsidRPr="004D0DAA" w:rsidRDefault="00711444" w:rsidP="00AA2A4C">
            <w:pPr>
              <w:pStyle w:val="TAC"/>
              <w:spacing w:line="240" w:lineRule="exact"/>
              <w:rPr>
                <w:lang w:eastAsia="en-US"/>
              </w:rPr>
            </w:pPr>
            <w:r w:rsidRPr="004D0DAA">
              <w:rPr>
                <w:lang w:eastAsia="en-US"/>
              </w:rPr>
              <w:t>8</w:t>
            </w:r>
          </w:p>
        </w:tc>
        <w:tc>
          <w:tcPr>
            <w:tcW w:w="648" w:type="dxa"/>
            <w:tcBorders>
              <w:top w:val="nil"/>
              <w:left w:val="nil"/>
              <w:bottom w:val="single" w:sz="4" w:space="0" w:color="auto"/>
              <w:right w:val="nil"/>
            </w:tcBorders>
            <w:shd w:val="clear" w:color="auto" w:fill="auto"/>
          </w:tcPr>
          <w:p w14:paraId="2A86C9EA" w14:textId="77777777" w:rsidR="00711444" w:rsidRPr="004D0DAA" w:rsidRDefault="00711444" w:rsidP="00AA2A4C">
            <w:pPr>
              <w:pStyle w:val="TAC"/>
              <w:spacing w:line="240" w:lineRule="exact"/>
              <w:rPr>
                <w:lang w:eastAsia="en-US"/>
              </w:rPr>
            </w:pPr>
            <w:r w:rsidRPr="004D0DAA">
              <w:rPr>
                <w:lang w:eastAsia="en-US"/>
              </w:rPr>
              <w:t>7</w:t>
            </w:r>
          </w:p>
        </w:tc>
        <w:tc>
          <w:tcPr>
            <w:tcW w:w="648" w:type="dxa"/>
            <w:tcBorders>
              <w:top w:val="nil"/>
              <w:left w:val="nil"/>
              <w:bottom w:val="single" w:sz="4" w:space="0" w:color="auto"/>
              <w:right w:val="nil"/>
            </w:tcBorders>
            <w:shd w:val="clear" w:color="auto" w:fill="auto"/>
          </w:tcPr>
          <w:p w14:paraId="0FFCEF07" w14:textId="77777777" w:rsidR="00711444" w:rsidRPr="004D0DAA" w:rsidRDefault="00711444" w:rsidP="00AA2A4C">
            <w:pPr>
              <w:pStyle w:val="TAC"/>
              <w:spacing w:line="240" w:lineRule="exact"/>
              <w:rPr>
                <w:lang w:eastAsia="en-US"/>
              </w:rPr>
            </w:pPr>
            <w:r w:rsidRPr="004D0DAA">
              <w:rPr>
                <w:lang w:eastAsia="en-US"/>
              </w:rPr>
              <w:t>6</w:t>
            </w:r>
          </w:p>
        </w:tc>
        <w:tc>
          <w:tcPr>
            <w:tcW w:w="648" w:type="dxa"/>
            <w:tcBorders>
              <w:top w:val="nil"/>
              <w:left w:val="nil"/>
              <w:bottom w:val="single" w:sz="4" w:space="0" w:color="auto"/>
              <w:right w:val="nil"/>
            </w:tcBorders>
            <w:shd w:val="clear" w:color="auto" w:fill="auto"/>
          </w:tcPr>
          <w:p w14:paraId="756A8AEC" w14:textId="77777777" w:rsidR="00711444" w:rsidRPr="004D0DAA" w:rsidRDefault="00711444" w:rsidP="00AA2A4C">
            <w:pPr>
              <w:pStyle w:val="TAC"/>
              <w:spacing w:line="240" w:lineRule="exact"/>
              <w:rPr>
                <w:lang w:eastAsia="en-US"/>
              </w:rPr>
            </w:pPr>
            <w:r w:rsidRPr="004D0DAA">
              <w:rPr>
                <w:lang w:eastAsia="en-US"/>
              </w:rPr>
              <w:t>5</w:t>
            </w:r>
          </w:p>
        </w:tc>
        <w:tc>
          <w:tcPr>
            <w:tcW w:w="648" w:type="dxa"/>
            <w:tcBorders>
              <w:top w:val="nil"/>
              <w:left w:val="nil"/>
              <w:bottom w:val="single" w:sz="4" w:space="0" w:color="auto"/>
              <w:right w:val="nil"/>
            </w:tcBorders>
            <w:shd w:val="clear" w:color="auto" w:fill="auto"/>
          </w:tcPr>
          <w:p w14:paraId="13608675" w14:textId="77777777" w:rsidR="00711444" w:rsidRPr="004D0DAA" w:rsidRDefault="00711444" w:rsidP="00AA2A4C">
            <w:pPr>
              <w:pStyle w:val="TAC"/>
              <w:spacing w:line="240" w:lineRule="exact"/>
              <w:rPr>
                <w:lang w:eastAsia="en-US"/>
              </w:rPr>
            </w:pPr>
            <w:r w:rsidRPr="004D0DAA">
              <w:rPr>
                <w:lang w:eastAsia="en-US"/>
              </w:rPr>
              <w:t>4</w:t>
            </w:r>
          </w:p>
        </w:tc>
        <w:tc>
          <w:tcPr>
            <w:tcW w:w="648" w:type="dxa"/>
            <w:tcBorders>
              <w:top w:val="nil"/>
              <w:left w:val="nil"/>
              <w:bottom w:val="single" w:sz="4" w:space="0" w:color="auto"/>
              <w:right w:val="nil"/>
            </w:tcBorders>
            <w:shd w:val="clear" w:color="auto" w:fill="auto"/>
          </w:tcPr>
          <w:p w14:paraId="791300C1" w14:textId="77777777" w:rsidR="00711444" w:rsidRPr="004D0DAA" w:rsidRDefault="00711444" w:rsidP="00AA2A4C">
            <w:pPr>
              <w:pStyle w:val="TAC"/>
              <w:spacing w:line="240" w:lineRule="exact"/>
              <w:rPr>
                <w:lang w:eastAsia="en-US"/>
              </w:rPr>
            </w:pPr>
            <w:r w:rsidRPr="004D0DAA">
              <w:rPr>
                <w:lang w:eastAsia="en-US"/>
              </w:rPr>
              <w:t>3</w:t>
            </w:r>
          </w:p>
        </w:tc>
        <w:tc>
          <w:tcPr>
            <w:tcW w:w="648" w:type="dxa"/>
            <w:tcBorders>
              <w:top w:val="nil"/>
              <w:left w:val="nil"/>
              <w:bottom w:val="single" w:sz="4" w:space="0" w:color="auto"/>
              <w:right w:val="nil"/>
            </w:tcBorders>
            <w:shd w:val="clear" w:color="auto" w:fill="auto"/>
          </w:tcPr>
          <w:p w14:paraId="6910EC8A" w14:textId="77777777" w:rsidR="00711444" w:rsidRPr="004D0DAA" w:rsidRDefault="00711444" w:rsidP="00AA2A4C">
            <w:pPr>
              <w:pStyle w:val="TAC"/>
              <w:spacing w:line="240" w:lineRule="exact"/>
              <w:rPr>
                <w:lang w:eastAsia="en-US"/>
              </w:rPr>
            </w:pPr>
            <w:r w:rsidRPr="004D0DAA">
              <w:rPr>
                <w:lang w:eastAsia="en-US"/>
              </w:rPr>
              <w:t>2</w:t>
            </w:r>
          </w:p>
        </w:tc>
        <w:tc>
          <w:tcPr>
            <w:tcW w:w="648" w:type="dxa"/>
            <w:tcBorders>
              <w:top w:val="nil"/>
              <w:left w:val="nil"/>
              <w:bottom w:val="single" w:sz="4" w:space="0" w:color="auto"/>
              <w:right w:val="nil"/>
            </w:tcBorders>
            <w:shd w:val="clear" w:color="auto" w:fill="auto"/>
          </w:tcPr>
          <w:p w14:paraId="494F50DC" w14:textId="77777777" w:rsidR="00711444" w:rsidRPr="004D0DAA" w:rsidRDefault="00711444" w:rsidP="00AA2A4C">
            <w:pPr>
              <w:pStyle w:val="TAC"/>
              <w:spacing w:line="240" w:lineRule="exact"/>
              <w:rPr>
                <w:lang w:eastAsia="en-US"/>
              </w:rPr>
            </w:pPr>
            <w:r w:rsidRPr="004D0DAA">
              <w:rPr>
                <w:lang w:eastAsia="en-US"/>
              </w:rPr>
              <w:t>1</w:t>
            </w:r>
          </w:p>
        </w:tc>
        <w:tc>
          <w:tcPr>
            <w:tcW w:w="2520" w:type="dxa"/>
            <w:tcBorders>
              <w:top w:val="nil"/>
              <w:left w:val="nil"/>
              <w:bottom w:val="nil"/>
              <w:right w:val="nil"/>
            </w:tcBorders>
            <w:shd w:val="clear" w:color="auto" w:fill="auto"/>
          </w:tcPr>
          <w:p w14:paraId="02DDE2E4" w14:textId="77777777" w:rsidR="00711444" w:rsidRPr="004D0DAA" w:rsidRDefault="00711444" w:rsidP="00AA2A4C">
            <w:pPr>
              <w:pStyle w:val="TAC"/>
              <w:spacing w:line="240" w:lineRule="exact"/>
              <w:rPr>
                <w:lang w:eastAsia="en-US"/>
              </w:rPr>
            </w:pPr>
          </w:p>
        </w:tc>
      </w:tr>
      <w:tr w:rsidR="00711444" w:rsidRPr="004D0DAA" w14:paraId="688A128F" w14:textId="77777777" w:rsidTr="00AA2A4C">
        <w:trPr>
          <w:trHeight w:val="288"/>
        </w:trPr>
        <w:tc>
          <w:tcPr>
            <w:tcW w:w="4536" w:type="dxa"/>
            <w:gridSpan w:val="7"/>
            <w:tcBorders>
              <w:top w:val="single" w:sz="4" w:space="0" w:color="auto"/>
            </w:tcBorders>
            <w:shd w:val="clear" w:color="auto" w:fill="auto"/>
          </w:tcPr>
          <w:p w14:paraId="1B54FA58" w14:textId="77777777" w:rsidR="00711444" w:rsidRPr="004D0DAA" w:rsidRDefault="00711444" w:rsidP="00AA2A4C">
            <w:pPr>
              <w:pStyle w:val="TAC"/>
              <w:spacing w:line="240" w:lineRule="exact"/>
              <w:rPr>
                <w:lang w:eastAsia="en-US"/>
              </w:rPr>
            </w:pPr>
            <w:r w:rsidRPr="004D0DAA">
              <w:rPr>
                <w:lang w:eastAsia="en-US"/>
              </w:rPr>
              <w:t>Length Indicator</w:t>
            </w:r>
          </w:p>
        </w:tc>
        <w:tc>
          <w:tcPr>
            <w:tcW w:w="648" w:type="dxa"/>
            <w:tcBorders>
              <w:top w:val="single" w:sz="4" w:space="0" w:color="auto"/>
              <w:right w:val="single" w:sz="4" w:space="0" w:color="auto"/>
            </w:tcBorders>
            <w:shd w:val="clear" w:color="auto" w:fill="auto"/>
          </w:tcPr>
          <w:p w14:paraId="2614C675"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060E2ABC" w14:textId="77777777" w:rsidR="00711444" w:rsidRPr="004D0DAA" w:rsidRDefault="00711444" w:rsidP="00AA2A4C">
            <w:pPr>
              <w:pStyle w:val="TAC"/>
              <w:spacing w:line="240" w:lineRule="exact"/>
              <w:rPr>
                <w:lang w:eastAsia="en-US"/>
              </w:rPr>
            </w:pPr>
            <w:r w:rsidRPr="004D0DAA">
              <w:rPr>
                <w:lang w:eastAsia="en-US"/>
              </w:rPr>
              <w:t>Octet 1 (note 1) (optional)</w:t>
            </w:r>
          </w:p>
        </w:tc>
      </w:tr>
      <w:tr w:rsidR="00711444" w:rsidRPr="004D0DAA" w14:paraId="76E5C370" w14:textId="77777777" w:rsidTr="00AA2A4C">
        <w:trPr>
          <w:trHeight w:val="288"/>
        </w:trPr>
        <w:tc>
          <w:tcPr>
            <w:tcW w:w="3240" w:type="dxa"/>
            <w:gridSpan w:val="5"/>
            <w:shd w:val="clear" w:color="auto" w:fill="auto"/>
          </w:tcPr>
          <w:p w14:paraId="13F6F4DC" w14:textId="77777777" w:rsidR="00711444" w:rsidRPr="004D0DAA" w:rsidRDefault="00711444" w:rsidP="00AA2A4C">
            <w:pPr>
              <w:pStyle w:val="TAC"/>
              <w:spacing w:line="240" w:lineRule="exact"/>
              <w:rPr>
                <w:lang w:eastAsia="en-US"/>
              </w:rPr>
            </w:pPr>
            <w:r w:rsidRPr="004D0DAA">
              <w:rPr>
                <w:lang w:eastAsia="en-US"/>
              </w:rPr>
              <w:t>spare</w:t>
            </w:r>
          </w:p>
        </w:tc>
        <w:tc>
          <w:tcPr>
            <w:tcW w:w="1944" w:type="dxa"/>
            <w:gridSpan w:val="3"/>
            <w:tcBorders>
              <w:right w:val="single" w:sz="4" w:space="0" w:color="auto"/>
            </w:tcBorders>
            <w:shd w:val="clear" w:color="auto" w:fill="auto"/>
          </w:tcPr>
          <w:p w14:paraId="041C4789" w14:textId="77777777" w:rsidR="00711444" w:rsidRPr="004D0DAA" w:rsidRDefault="00711444" w:rsidP="00AA2A4C">
            <w:pPr>
              <w:pStyle w:val="TAC"/>
              <w:spacing w:line="240" w:lineRule="exact"/>
              <w:rPr>
                <w:lang w:eastAsia="en-US"/>
              </w:rPr>
            </w:pPr>
            <w:r w:rsidRPr="004D0DAA">
              <w:rPr>
                <w:lang w:eastAsia="en-US"/>
              </w:rPr>
              <w:t>Selected PLMN Index</w:t>
            </w:r>
          </w:p>
        </w:tc>
        <w:tc>
          <w:tcPr>
            <w:tcW w:w="2520" w:type="dxa"/>
            <w:tcBorders>
              <w:top w:val="nil"/>
              <w:left w:val="single" w:sz="4" w:space="0" w:color="auto"/>
              <w:bottom w:val="nil"/>
              <w:right w:val="nil"/>
            </w:tcBorders>
            <w:shd w:val="clear" w:color="auto" w:fill="auto"/>
          </w:tcPr>
          <w:p w14:paraId="4BF0FB4E" w14:textId="77777777" w:rsidR="00711444" w:rsidRPr="004D0DAA" w:rsidRDefault="00711444" w:rsidP="00AA2A4C">
            <w:pPr>
              <w:pStyle w:val="TAC"/>
              <w:spacing w:line="240" w:lineRule="exact"/>
              <w:rPr>
                <w:lang w:eastAsia="en-US"/>
              </w:rPr>
            </w:pPr>
            <w:r w:rsidRPr="004D0DAA">
              <w:rPr>
                <w:lang w:eastAsia="en-US"/>
              </w:rPr>
              <w:t>Octet 2 (note 3) (optional)</w:t>
            </w:r>
          </w:p>
        </w:tc>
      </w:tr>
      <w:tr w:rsidR="00711444" w:rsidRPr="004D0DAA" w14:paraId="3E370E78" w14:textId="77777777" w:rsidTr="00AA2A4C">
        <w:trPr>
          <w:trHeight w:val="288"/>
        </w:trPr>
        <w:tc>
          <w:tcPr>
            <w:tcW w:w="5184" w:type="dxa"/>
            <w:gridSpan w:val="8"/>
            <w:tcBorders>
              <w:right w:val="single" w:sz="4" w:space="0" w:color="auto"/>
            </w:tcBorders>
            <w:shd w:val="clear" w:color="auto" w:fill="auto"/>
          </w:tcPr>
          <w:p w14:paraId="6787934D" w14:textId="77777777" w:rsidR="00711444" w:rsidRPr="004D0DAA" w:rsidRDefault="00711444" w:rsidP="00AA2A4C">
            <w:pPr>
              <w:pStyle w:val="TAC"/>
              <w:spacing w:line="240" w:lineRule="exact"/>
              <w:rPr>
                <w:lang w:eastAsia="en-US"/>
              </w:rPr>
            </w:pPr>
            <w:r w:rsidRPr="004D0DAA">
              <w:rPr>
                <w:lang w:eastAsia="en-US"/>
              </w:rPr>
              <w:t>.</w:t>
            </w:r>
          </w:p>
          <w:p w14:paraId="572AD54D" w14:textId="77777777" w:rsidR="00711444" w:rsidRPr="004D0DAA" w:rsidRDefault="00711444" w:rsidP="00AA2A4C">
            <w:pPr>
              <w:pStyle w:val="TAC"/>
              <w:spacing w:line="240" w:lineRule="exact"/>
              <w:rPr>
                <w:lang w:eastAsia="en-US"/>
              </w:rPr>
            </w:pPr>
            <w:r w:rsidRPr="004D0DAA">
              <w:rPr>
                <w:lang w:eastAsia="en-US"/>
              </w:rPr>
              <w:t>.</w:t>
            </w:r>
          </w:p>
          <w:p w14:paraId="2145CD22" w14:textId="77777777" w:rsidR="00711444" w:rsidRPr="004D0DAA" w:rsidRDefault="00711444" w:rsidP="00AA2A4C">
            <w:pPr>
              <w:pStyle w:val="TAC"/>
              <w:spacing w:line="240" w:lineRule="exact"/>
              <w:rPr>
                <w:lang w:eastAsia="en-US"/>
              </w:rPr>
            </w:pPr>
            <w:r w:rsidRPr="004D0DAA">
              <w:rPr>
                <w:lang w:eastAsia="en-US"/>
              </w:rPr>
              <w:t>.</w:t>
            </w:r>
          </w:p>
        </w:tc>
        <w:tc>
          <w:tcPr>
            <w:tcW w:w="2520" w:type="dxa"/>
            <w:tcBorders>
              <w:top w:val="nil"/>
              <w:left w:val="single" w:sz="4" w:space="0" w:color="auto"/>
              <w:bottom w:val="nil"/>
              <w:right w:val="nil"/>
            </w:tcBorders>
            <w:shd w:val="clear" w:color="auto" w:fill="auto"/>
          </w:tcPr>
          <w:p w14:paraId="0DDB42E2" w14:textId="77777777" w:rsidR="00711444" w:rsidRPr="004D0DAA" w:rsidRDefault="00711444" w:rsidP="00AA2A4C">
            <w:pPr>
              <w:pStyle w:val="TAC"/>
              <w:spacing w:line="240" w:lineRule="exact"/>
              <w:rPr>
                <w:lang w:eastAsia="en-US"/>
              </w:rPr>
            </w:pPr>
            <w:r w:rsidRPr="004D0DAA">
              <w:rPr>
                <w:lang w:eastAsia="en-US"/>
              </w:rPr>
              <w:t>.</w:t>
            </w:r>
          </w:p>
          <w:p w14:paraId="2FA18E0D" w14:textId="77777777" w:rsidR="00711444" w:rsidRPr="004D0DAA" w:rsidRDefault="00711444" w:rsidP="00AA2A4C">
            <w:pPr>
              <w:pStyle w:val="TAC"/>
              <w:spacing w:line="240" w:lineRule="exact"/>
              <w:rPr>
                <w:lang w:eastAsia="en-US"/>
              </w:rPr>
            </w:pPr>
            <w:r w:rsidRPr="004D0DAA">
              <w:rPr>
                <w:lang w:eastAsia="en-US"/>
              </w:rPr>
              <w:t>.</w:t>
            </w:r>
          </w:p>
          <w:p w14:paraId="63D35A2B" w14:textId="77777777" w:rsidR="00711444" w:rsidRPr="004D0DAA" w:rsidRDefault="00711444" w:rsidP="00AA2A4C">
            <w:pPr>
              <w:pStyle w:val="TAC"/>
              <w:spacing w:line="240" w:lineRule="exact"/>
              <w:rPr>
                <w:lang w:eastAsia="en-US"/>
              </w:rPr>
            </w:pPr>
            <w:r w:rsidRPr="004D0DAA">
              <w:rPr>
                <w:lang w:eastAsia="en-US"/>
              </w:rPr>
              <w:t>.</w:t>
            </w:r>
          </w:p>
        </w:tc>
      </w:tr>
      <w:tr w:rsidR="00711444" w:rsidRPr="004D0DAA" w14:paraId="6592AEDE" w14:textId="77777777" w:rsidTr="00AA2A4C">
        <w:trPr>
          <w:trHeight w:val="288"/>
        </w:trPr>
        <w:tc>
          <w:tcPr>
            <w:tcW w:w="4536" w:type="dxa"/>
            <w:gridSpan w:val="7"/>
            <w:shd w:val="clear" w:color="auto" w:fill="auto"/>
          </w:tcPr>
          <w:p w14:paraId="6132EC2E" w14:textId="77777777" w:rsidR="00711444" w:rsidRPr="004D0DAA" w:rsidRDefault="00711444" w:rsidP="00AA2A4C">
            <w:pPr>
              <w:pStyle w:val="TAC"/>
              <w:spacing w:line="240" w:lineRule="exact"/>
              <w:rPr>
                <w:lang w:eastAsia="en-US"/>
              </w:rPr>
            </w:pPr>
            <w:r w:rsidRPr="004D0DAA">
              <w:rPr>
                <w:lang w:eastAsia="en-US"/>
              </w:rPr>
              <w:t>Length Indicator</w:t>
            </w:r>
          </w:p>
        </w:tc>
        <w:tc>
          <w:tcPr>
            <w:tcW w:w="648" w:type="dxa"/>
            <w:tcBorders>
              <w:right w:val="single" w:sz="4" w:space="0" w:color="auto"/>
            </w:tcBorders>
            <w:shd w:val="clear" w:color="auto" w:fill="auto"/>
          </w:tcPr>
          <w:p w14:paraId="799B91B3"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60317CEE" w14:textId="77777777" w:rsidR="00711444" w:rsidRPr="004D0DAA" w:rsidRDefault="00711444" w:rsidP="00AA2A4C">
            <w:pPr>
              <w:pStyle w:val="TAC"/>
              <w:spacing w:line="240" w:lineRule="exact"/>
              <w:rPr>
                <w:lang w:eastAsia="en-US"/>
              </w:rPr>
            </w:pPr>
            <w:r w:rsidRPr="004D0DAA">
              <w:rPr>
                <w:lang w:eastAsia="en-US"/>
              </w:rPr>
              <w:t>Octet M (optional)</w:t>
            </w:r>
          </w:p>
        </w:tc>
      </w:tr>
      <w:tr w:rsidR="00711444" w:rsidRPr="004D0DAA" w14:paraId="1FDD07D6" w14:textId="77777777" w:rsidTr="00AA2A4C">
        <w:trPr>
          <w:trHeight w:val="288"/>
        </w:trPr>
        <w:tc>
          <w:tcPr>
            <w:tcW w:w="5184" w:type="dxa"/>
            <w:gridSpan w:val="8"/>
            <w:vMerge w:val="restart"/>
            <w:tcBorders>
              <w:right w:val="single" w:sz="4" w:space="0" w:color="auto"/>
            </w:tcBorders>
            <w:shd w:val="clear" w:color="auto" w:fill="auto"/>
          </w:tcPr>
          <w:p w14:paraId="474B76E1" w14:textId="77777777" w:rsidR="00711444" w:rsidRPr="004D0DAA" w:rsidRDefault="00711444" w:rsidP="00AA2A4C">
            <w:pPr>
              <w:pStyle w:val="TAC"/>
              <w:spacing w:before="360" w:line="240" w:lineRule="exact"/>
              <w:rPr>
                <w:lang w:eastAsia="en-US"/>
              </w:rPr>
            </w:pPr>
            <w:r w:rsidRPr="004D0DAA">
              <w:rPr>
                <w:lang w:eastAsia="en-US"/>
              </w:rPr>
              <w:t>TLLI</w:t>
            </w:r>
          </w:p>
        </w:tc>
        <w:tc>
          <w:tcPr>
            <w:tcW w:w="2520" w:type="dxa"/>
            <w:tcBorders>
              <w:top w:val="nil"/>
              <w:left w:val="single" w:sz="4" w:space="0" w:color="auto"/>
              <w:bottom w:val="nil"/>
              <w:right w:val="nil"/>
            </w:tcBorders>
            <w:shd w:val="clear" w:color="auto" w:fill="auto"/>
          </w:tcPr>
          <w:p w14:paraId="351C75B9" w14:textId="77777777" w:rsidR="00711444" w:rsidRPr="004D0DAA" w:rsidRDefault="00711444" w:rsidP="00AA2A4C">
            <w:pPr>
              <w:pStyle w:val="TAC"/>
              <w:spacing w:line="240" w:lineRule="exact"/>
              <w:rPr>
                <w:lang w:eastAsia="en-US"/>
              </w:rPr>
            </w:pPr>
            <w:r w:rsidRPr="004D0DAA">
              <w:rPr>
                <w:lang w:eastAsia="en-US"/>
              </w:rPr>
              <w:t>Octet M+1 /</w:t>
            </w:r>
          </w:p>
        </w:tc>
      </w:tr>
      <w:tr w:rsidR="00711444" w:rsidRPr="004D0DAA" w14:paraId="2974EEEF" w14:textId="77777777" w:rsidTr="00AA2A4C">
        <w:trPr>
          <w:trHeight w:val="288"/>
        </w:trPr>
        <w:tc>
          <w:tcPr>
            <w:tcW w:w="5184" w:type="dxa"/>
            <w:gridSpan w:val="8"/>
            <w:vMerge/>
            <w:tcBorders>
              <w:right w:val="single" w:sz="4" w:space="0" w:color="auto"/>
            </w:tcBorders>
            <w:shd w:val="clear" w:color="auto" w:fill="auto"/>
          </w:tcPr>
          <w:p w14:paraId="7D82571C"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0C54BA1F" w14:textId="77777777" w:rsidR="00711444" w:rsidRPr="004D0DAA" w:rsidRDefault="00711444" w:rsidP="00AA2A4C">
            <w:pPr>
              <w:pStyle w:val="TAC"/>
              <w:spacing w:line="240" w:lineRule="exact"/>
              <w:rPr>
                <w:lang w:eastAsia="en-US"/>
              </w:rPr>
            </w:pPr>
            <w:r w:rsidRPr="004D0DAA">
              <w:rPr>
                <w:lang w:eastAsia="en-US"/>
              </w:rPr>
              <w:t>Octet M+2 (optional)</w:t>
            </w:r>
          </w:p>
        </w:tc>
      </w:tr>
      <w:tr w:rsidR="00711444" w:rsidRPr="004D0DAA" w14:paraId="0B5204A6" w14:textId="77777777" w:rsidTr="00AA2A4C">
        <w:trPr>
          <w:trHeight w:val="288"/>
        </w:trPr>
        <w:tc>
          <w:tcPr>
            <w:tcW w:w="5184" w:type="dxa"/>
            <w:gridSpan w:val="8"/>
            <w:vMerge/>
            <w:tcBorders>
              <w:right w:val="single" w:sz="4" w:space="0" w:color="auto"/>
            </w:tcBorders>
            <w:shd w:val="clear" w:color="auto" w:fill="auto"/>
          </w:tcPr>
          <w:p w14:paraId="05FF1F18"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27588E26" w14:textId="77777777" w:rsidR="00711444" w:rsidRPr="004D0DAA" w:rsidRDefault="00711444" w:rsidP="00AA2A4C">
            <w:pPr>
              <w:pStyle w:val="TAC"/>
              <w:spacing w:line="240" w:lineRule="exact"/>
              <w:rPr>
                <w:lang w:eastAsia="en-US"/>
              </w:rPr>
            </w:pPr>
            <w:r w:rsidRPr="004D0DAA">
              <w:rPr>
                <w:lang w:eastAsia="en-US"/>
              </w:rPr>
              <w:t>Octet M+3 /</w:t>
            </w:r>
          </w:p>
        </w:tc>
      </w:tr>
      <w:tr w:rsidR="00711444" w:rsidRPr="004D0DAA" w14:paraId="33B28D5A" w14:textId="77777777" w:rsidTr="00AA2A4C">
        <w:trPr>
          <w:trHeight w:val="288"/>
        </w:trPr>
        <w:tc>
          <w:tcPr>
            <w:tcW w:w="5184" w:type="dxa"/>
            <w:gridSpan w:val="8"/>
            <w:vMerge/>
            <w:tcBorders>
              <w:right w:val="single" w:sz="4" w:space="0" w:color="auto"/>
            </w:tcBorders>
            <w:shd w:val="clear" w:color="auto" w:fill="auto"/>
          </w:tcPr>
          <w:p w14:paraId="64891AA9"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7AD0B4BC" w14:textId="77777777" w:rsidR="00711444" w:rsidRPr="004D0DAA" w:rsidRDefault="00711444" w:rsidP="00AA2A4C">
            <w:pPr>
              <w:pStyle w:val="TAC"/>
              <w:spacing w:line="240" w:lineRule="exact"/>
              <w:rPr>
                <w:lang w:eastAsia="en-US"/>
              </w:rPr>
            </w:pPr>
            <w:r w:rsidRPr="004D0DAA">
              <w:rPr>
                <w:lang w:eastAsia="en-US"/>
              </w:rPr>
              <w:t>Octet M+4 /</w:t>
            </w:r>
          </w:p>
        </w:tc>
      </w:tr>
      <w:tr w:rsidR="00711444" w:rsidRPr="004D0DAA" w14:paraId="6A28C1FA" w14:textId="77777777" w:rsidTr="00AA2A4C">
        <w:trPr>
          <w:trHeight w:val="288"/>
        </w:trPr>
        <w:tc>
          <w:tcPr>
            <w:tcW w:w="4536" w:type="dxa"/>
            <w:gridSpan w:val="7"/>
            <w:shd w:val="clear" w:color="auto" w:fill="auto"/>
          </w:tcPr>
          <w:p w14:paraId="63E595AD" w14:textId="77777777" w:rsidR="00711444" w:rsidRPr="004D0DAA" w:rsidRDefault="00711444" w:rsidP="00AA2A4C">
            <w:pPr>
              <w:pStyle w:val="TAC"/>
              <w:spacing w:line="240" w:lineRule="exact"/>
              <w:rPr>
                <w:lang w:eastAsia="en-US"/>
              </w:rPr>
            </w:pPr>
            <w:r w:rsidRPr="004D0DAA">
              <w:rPr>
                <w:lang w:eastAsia="en-US"/>
              </w:rPr>
              <w:t>Length Indicator = 122</w:t>
            </w:r>
          </w:p>
        </w:tc>
        <w:tc>
          <w:tcPr>
            <w:tcW w:w="648" w:type="dxa"/>
            <w:tcBorders>
              <w:right w:val="single" w:sz="4" w:space="0" w:color="auto"/>
            </w:tcBorders>
            <w:shd w:val="clear" w:color="auto" w:fill="auto"/>
          </w:tcPr>
          <w:p w14:paraId="79AC01D5"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56CF4F79" w14:textId="77777777" w:rsidR="00711444" w:rsidRPr="004D0DAA" w:rsidRDefault="00711444" w:rsidP="00AA2A4C">
            <w:pPr>
              <w:pStyle w:val="TAC"/>
              <w:spacing w:line="240" w:lineRule="exact"/>
              <w:rPr>
                <w:lang w:eastAsia="en-US"/>
              </w:rPr>
            </w:pPr>
            <w:r w:rsidRPr="004D0DAA">
              <w:rPr>
                <w:rFonts w:cs="Arial"/>
                <w:szCs w:val="18"/>
                <w:lang w:eastAsia="en-US"/>
              </w:rPr>
              <w:t>Octet M+5 (optional)</w:t>
            </w:r>
          </w:p>
        </w:tc>
      </w:tr>
      <w:tr w:rsidR="00711444" w:rsidRPr="004D0DAA" w14:paraId="1FFC397F" w14:textId="77777777" w:rsidTr="00AA2A4C">
        <w:trPr>
          <w:trHeight w:val="288"/>
        </w:trPr>
        <w:tc>
          <w:tcPr>
            <w:tcW w:w="5184" w:type="dxa"/>
            <w:gridSpan w:val="8"/>
            <w:vMerge w:val="restart"/>
            <w:tcBorders>
              <w:right w:val="single" w:sz="4" w:space="0" w:color="auto"/>
            </w:tcBorders>
            <w:shd w:val="clear" w:color="auto" w:fill="auto"/>
          </w:tcPr>
          <w:p w14:paraId="38A678AD" w14:textId="77777777" w:rsidR="00711444" w:rsidRPr="004D0DAA" w:rsidRDefault="00711444" w:rsidP="00AA2A4C">
            <w:pPr>
              <w:pStyle w:val="TAC"/>
              <w:spacing w:before="120" w:line="240" w:lineRule="exact"/>
              <w:rPr>
                <w:lang w:eastAsia="en-US"/>
              </w:rPr>
            </w:pPr>
            <w:r w:rsidRPr="004D0DAA">
              <w:rPr>
                <w:lang w:eastAsia="en-US"/>
              </w:rPr>
              <w:t>Cell Identity</w:t>
            </w:r>
          </w:p>
        </w:tc>
        <w:tc>
          <w:tcPr>
            <w:tcW w:w="2520" w:type="dxa"/>
            <w:tcBorders>
              <w:top w:val="nil"/>
              <w:left w:val="single" w:sz="4" w:space="0" w:color="auto"/>
              <w:bottom w:val="nil"/>
              <w:right w:val="nil"/>
            </w:tcBorders>
            <w:shd w:val="clear" w:color="auto" w:fill="auto"/>
          </w:tcPr>
          <w:p w14:paraId="65704B0E"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0C8E01B6" w14:textId="77777777" w:rsidTr="00AA2A4C">
        <w:trPr>
          <w:trHeight w:val="288"/>
        </w:trPr>
        <w:tc>
          <w:tcPr>
            <w:tcW w:w="5184" w:type="dxa"/>
            <w:gridSpan w:val="8"/>
            <w:vMerge/>
            <w:tcBorders>
              <w:right w:val="single" w:sz="4" w:space="0" w:color="auto"/>
            </w:tcBorders>
            <w:shd w:val="clear" w:color="auto" w:fill="auto"/>
          </w:tcPr>
          <w:p w14:paraId="2A3675B6"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064E7FEB" w14:textId="77777777" w:rsidR="00711444" w:rsidRPr="004D0DAA" w:rsidRDefault="00711444" w:rsidP="00AA2A4C">
            <w:pPr>
              <w:pStyle w:val="TAC"/>
              <w:spacing w:line="240" w:lineRule="exact"/>
              <w:rPr>
                <w:lang w:eastAsia="en-US"/>
              </w:rPr>
            </w:pPr>
            <w:r w:rsidRPr="004D0DAA">
              <w:rPr>
                <w:lang w:eastAsia="en-US"/>
              </w:rPr>
              <w:t>Octet M+7</w:t>
            </w:r>
          </w:p>
        </w:tc>
      </w:tr>
      <w:tr w:rsidR="00711444" w:rsidRPr="004D0DAA" w14:paraId="0F5547FE" w14:textId="77777777" w:rsidTr="00AA2A4C">
        <w:trPr>
          <w:trHeight w:val="288"/>
        </w:trPr>
        <w:tc>
          <w:tcPr>
            <w:tcW w:w="5184" w:type="dxa"/>
            <w:gridSpan w:val="8"/>
            <w:vMerge w:val="restart"/>
            <w:tcBorders>
              <w:right w:val="single" w:sz="4" w:space="0" w:color="auto"/>
            </w:tcBorders>
            <w:shd w:val="clear" w:color="auto" w:fill="auto"/>
          </w:tcPr>
          <w:p w14:paraId="3EE46474" w14:textId="77777777" w:rsidR="00711444" w:rsidRPr="004D0DAA" w:rsidRDefault="00711444" w:rsidP="00AA2A4C">
            <w:pPr>
              <w:pStyle w:val="TAC"/>
              <w:spacing w:before="600" w:line="240" w:lineRule="exact"/>
              <w:rPr>
                <w:lang w:eastAsia="en-US"/>
              </w:rPr>
            </w:pPr>
            <w:r w:rsidRPr="004D0DAA">
              <w:rPr>
                <w:lang w:eastAsia="en-US"/>
              </w:rPr>
              <w:t>Routing Area Identification</w:t>
            </w:r>
          </w:p>
        </w:tc>
        <w:tc>
          <w:tcPr>
            <w:tcW w:w="2520" w:type="dxa"/>
            <w:tcBorders>
              <w:top w:val="nil"/>
              <w:left w:val="single" w:sz="4" w:space="0" w:color="auto"/>
              <w:bottom w:val="nil"/>
              <w:right w:val="nil"/>
            </w:tcBorders>
            <w:shd w:val="clear" w:color="auto" w:fill="auto"/>
          </w:tcPr>
          <w:p w14:paraId="5AEE9EF7" w14:textId="77777777" w:rsidR="00711444" w:rsidRPr="004D0DAA" w:rsidRDefault="00711444" w:rsidP="00AA2A4C">
            <w:pPr>
              <w:pStyle w:val="TAC"/>
              <w:spacing w:line="240" w:lineRule="exact"/>
              <w:rPr>
                <w:lang w:eastAsia="en-US"/>
              </w:rPr>
            </w:pPr>
            <w:r w:rsidRPr="004D0DAA">
              <w:rPr>
                <w:lang w:eastAsia="en-US"/>
              </w:rPr>
              <w:t>Octet M+8</w:t>
            </w:r>
          </w:p>
        </w:tc>
      </w:tr>
      <w:tr w:rsidR="00711444" w:rsidRPr="004D0DAA" w14:paraId="0B8E196B" w14:textId="77777777" w:rsidTr="00AA2A4C">
        <w:trPr>
          <w:trHeight w:val="288"/>
        </w:trPr>
        <w:tc>
          <w:tcPr>
            <w:tcW w:w="5184" w:type="dxa"/>
            <w:gridSpan w:val="8"/>
            <w:vMerge/>
            <w:tcBorders>
              <w:right w:val="single" w:sz="4" w:space="0" w:color="auto"/>
            </w:tcBorders>
            <w:shd w:val="clear" w:color="auto" w:fill="auto"/>
          </w:tcPr>
          <w:p w14:paraId="55B7A214"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00D1CC0F" w14:textId="77777777" w:rsidR="00711444" w:rsidRPr="004D0DAA" w:rsidRDefault="00711444" w:rsidP="00AA2A4C">
            <w:pPr>
              <w:pStyle w:val="TAC"/>
              <w:spacing w:line="240" w:lineRule="exact"/>
              <w:rPr>
                <w:lang w:eastAsia="en-US"/>
              </w:rPr>
            </w:pPr>
            <w:r w:rsidRPr="004D0DAA">
              <w:rPr>
                <w:lang w:eastAsia="en-US"/>
              </w:rPr>
              <w:t>Octet M+9</w:t>
            </w:r>
          </w:p>
        </w:tc>
      </w:tr>
      <w:tr w:rsidR="00711444" w:rsidRPr="004D0DAA" w14:paraId="4468C6CD" w14:textId="77777777" w:rsidTr="00AA2A4C">
        <w:trPr>
          <w:trHeight w:val="288"/>
        </w:trPr>
        <w:tc>
          <w:tcPr>
            <w:tcW w:w="5184" w:type="dxa"/>
            <w:gridSpan w:val="8"/>
            <w:vMerge/>
            <w:tcBorders>
              <w:right w:val="single" w:sz="4" w:space="0" w:color="auto"/>
            </w:tcBorders>
            <w:shd w:val="clear" w:color="auto" w:fill="auto"/>
          </w:tcPr>
          <w:p w14:paraId="6571D9AA"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5BB83226" w14:textId="77777777" w:rsidR="00711444" w:rsidRPr="004D0DAA" w:rsidRDefault="00711444" w:rsidP="00AA2A4C">
            <w:pPr>
              <w:pStyle w:val="TAC"/>
              <w:spacing w:line="240" w:lineRule="exact"/>
              <w:rPr>
                <w:lang w:eastAsia="en-US"/>
              </w:rPr>
            </w:pPr>
            <w:r w:rsidRPr="004D0DAA">
              <w:rPr>
                <w:lang w:eastAsia="en-US"/>
              </w:rPr>
              <w:t>Octet M+10</w:t>
            </w:r>
          </w:p>
        </w:tc>
      </w:tr>
      <w:tr w:rsidR="00711444" w:rsidRPr="004D0DAA" w14:paraId="60646E42" w14:textId="77777777" w:rsidTr="00AA2A4C">
        <w:trPr>
          <w:trHeight w:val="288"/>
        </w:trPr>
        <w:tc>
          <w:tcPr>
            <w:tcW w:w="5184" w:type="dxa"/>
            <w:gridSpan w:val="8"/>
            <w:vMerge/>
            <w:tcBorders>
              <w:right w:val="single" w:sz="4" w:space="0" w:color="auto"/>
            </w:tcBorders>
            <w:shd w:val="clear" w:color="auto" w:fill="auto"/>
          </w:tcPr>
          <w:p w14:paraId="029F8F00"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3E3DB563" w14:textId="77777777" w:rsidR="00711444" w:rsidRPr="004D0DAA" w:rsidRDefault="00711444" w:rsidP="00AA2A4C">
            <w:pPr>
              <w:pStyle w:val="TAC"/>
              <w:spacing w:line="240" w:lineRule="exact"/>
              <w:rPr>
                <w:lang w:eastAsia="en-US"/>
              </w:rPr>
            </w:pPr>
            <w:r w:rsidRPr="004D0DAA">
              <w:rPr>
                <w:lang w:eastAsia="en-US"/>
              </w:rPr>
              <w:t>Octet M+11</w:t>
            </w:r>
          </w:p>
        </w:tc>
      </w:tr>
      <w:tr w:rsidR="00711444" w:rsidRPr="004D0DAA" w14:paraId="205CB52A" w14:textId="77777777" w:rsidTr="00AA2A4C">
        <w:trPr>
          <w:trHeight w:val="288"/>
        </w:trPr>
        <w:tc>
          <w:tcPr>
            <w:tcW w:w="5184" w:type="dxa"/>
            <w:gridSpan w:val="8"/>
            <w:vMerge/>
            <w:tcBorders>
              <w:right w:val="single" w:sz="4" w:space="0" w:color="auto"/>
            </w:tcBorders>
            <w:shd w:val="clear" w:color="auto" w:fill="auto"/>
          </w:tcPr>
          <w:p w14:paraId="07E6BBE9"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39C39CA2" w14:textId="77777777" w:rsidR="00711444" w:rsidRPr="004D0DAA" w:rsidRDefault="00711444" w:rsidP="00AA2A4C">
            <w:pPr>
              <w:pStyle w:val="TAC"/>
              <w:spacing w:line="240" w:lineRule="exact"/>
              <w:rPr>
                <w:lang w:eastAsia="en-US"/>
              </w:rPr>
            </w:pPr>
            <w:r w:rsidRPr="004D0DAA">
              <w:rPr>
                <w:lang w:eastAsia="en-US"/>
              </w:rPr>
              <w:t>Octet M+12</w:t>
            </w:r>
          </w:p>
        </w:tc>
      </w:tr>
      <w:tr w:rsidR="00711444" w:rsidRPr="004D0DAA" w14:paraId="6E302363" w14:textId="77777777" w:rsidTr="00AA2A4C">
        <w:trPr>
          <w:trHeight w:val="288"/>
        </w:trPr>
        <w:tc>
          <w:tcPr>
            <w:tcW w:w="5184" w:type="dxa"/>
            <w:gridSpan w:val="8"/>
            <w:vMerge/>
            <w:tcBorders>
              <w:right w:val="single" w:sz="4" w:space="0" w:color="auto"/>
            </w:tcBorders>
            <w:shd w:val="clear" w:color="auto" w:fill="auto"/>
          </w:tcPr>
          <w:p w14:paraId="1F9EDC95"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2C810F2E" w14:textId="77777777" w:rsidR="00711444" w:rsidRPr="004D0DAA" w:rsidRDefault="00711444" w:rsidP="00AA2A4C">
            <w:pPr>
              <w:pStyle w:val="TAC"/>
              <w:spacing w:line="240" w:lineRule="exact"/>
              <w:rPr>
                <w:lang w:eastAsia="en-US"/>
              </w:rPr>
            </w:pPr>
            <w:r w:rsidRPr="004D0DAA">
              <w:rPr>
                <w:lang w:eastAsia="en-US"/>
              </w:rPr>
              <w:t>Octet M+13</w:t>
            </w:r>
          </w:p>
        </w:tc>
      </w:tr>
      <w:tr w:rsidR="00711444" w:rsidRPr="004D0DAA" w14:paraId="3343E6F6" w14:textId="77777777" w:rsidTr="00AA2A4C">
        <w:trPr>
          <w:trHeight w:val="288"/>
        </w:trPr>
        <w:tc>
          <w:tcPr>
            <w:tcW w:w="2592" w:type="dxa"/>
            <w:gridSpan w:val="4"/>
            <w:shd w:val="clear" w:color="auto" w:fill="auto"/>
          </w:tcPr>
          <w:p w14:paraId="47CA7856"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Sync Accuracy</w:t>
            </w:r>
          </w:p>
        </w:tc>
        <w:tc>
          <w:tcPr>
            <w:tcW w:w="2592" w:type="dxa"/>
            <w:gridSpan w:val="4"/>
            <w:tcBorders>
              <w:right w:val="single" w:sz="4" w:space="0" w:color="auto"/>
            </w:tcBorders>
            <w:shd w:val="clear" w:color="auto" w:fill="auto"/>
          </w:tcPr>
          <w:p w14:paraId="3D776052"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Transmission Offset</w:t>
            </w:r>
          </w:p>
        </w:tc>
        <w:tc>
          <w:tcPr>
            <w:tcW w:w="2520" w:type="dxa"/>
            <w:tcBorders>
              <w:top w:val="nil"/>
              <w:left w:val="single" w:sz="4" w:space="0" w:color="auto"/>
              <w:bottom w:val="nil"/>
              <w:right w:val="nil"/>
            </w:tcBorders>
            <w:shd w:val="clear" w:color="auto" w:fill="auto"/>
          </w:tcPr>
          <w:p w14:paraId="27B704E7" w14:textId="77777777" w:rsidR="00711444" w:rsidRPr="004D0DAA" w:rsidRDefault="00711444" w:rsidP="00AA2A4C">
            <w:pPr>
              <w:pStyle w:val="TAC"/>
              <w:spacing w:line="240" w:lineRule="exact"/>
              <w:rPr>
                <w:lang w:eastAsia="en-US"/>
              </w:rPr>
            </w:pPr>
            <w:r w:rsidRPr="004D0DAA">
              <w:rPr>
                <w:lang w:eastAsia="en-US"/>
              </w:rPr>
              <w:t>Octet M+14</w:t>
            </w:r>
          </w:p>
        </w:tc>
      </w:tr>
      <w:tr w:rsidR="00711444" w:rsidRPr="004D0DAA" w14:paraId="7C825969" w14:textId="77777777" w:rsidTr="00AA2A4C">
        <w:trPr>
          <w:trHeight w:val="288"/>
        </w:trPr>
        <w:tc>
          <w:tcPr>
            <w:tcW w:w="5184" w:type="dxa"/>
            <w:gridSpan w:val="8"/>
            <w:tcBorders>
              <w:right w:val="single" w:sz="4" w:space="0" w:color="auto"/>
            </w:tcBorders>
            <w:shd w:val="clear" w:color="auto" w:fill="auto"/>
          </w:tcPr>
          <w:p w14:paraId="4F004B6D" w14:textId="77777777" w:rsidR="00711444" w:rsidRPr="004D0DAA" w:rsidRDefault="00711444" w:rsidP="00AA2A4C">
            <w:pPr>
              <w:pStyle w:val="TAC"/>
              <w:spacing w:line="240" w:lineRule="exact"/>
              <w:rPr>
                <w:lang w:eastAsia="en-US"/>
              </w:rPr>
            </w:pPr>
            <w:r w:rsidRPr="004D0DAA">
              <w:rPr>
                <w:rFonts w:cs="Arial"/>
                <w:szCs w:val="18"/>
                <w:lang w:eastAsia="en-US"/>
              </w:rPr>
              <w:t>Random ID (low)</w:t>
            </w:r>
          </w:p>
        </w:tc>
        <w:tc>
          <w:tcPr>
            <w:tcW w:w="2520" w:type="dxa"/>
            <w:tcBorders>
              <w:top w:val="nil"/>
              <w:left w:val="single" w:sz="4" w:space="0" w:color="auto"/>
              <w:bottom w:val="nil"/>
              <w:right w:val="nil"/>
            </w:tcBorders>
            <w:shd w:val="clear" w:color="auto" w:fill="auto"/>
          </w:tcPr>
          <w:p w14:paraId="595A6931" w14:textId="77777777" w:rsidR="00711444" w:rsidRPr="004D0DAA" w:rsidRDefault="00711444" w:rsidP="00AA2A4C">
            <w:pPr>
              <w:pStyle w:val="TAC"/>
              <w:spacing w:line="240" w:lineRule="exact"/>
              <w:rPr>
                <w:lang w:eastAsia="en-US"/>
              </w:rPr>
            </w:pPr>
            <w:r w:rsidRPr="004D0DAA">
              <w:rPr>
                <w:lang w:eastAsia="en-US"/>
              </w:rPr>
              <w:t>Octet M+15</w:t>
            </w:r>
          </w:p>
        </w:tc>
      </w:tr>
      <w:tr w:rsidR="00711444" w:rsidRPr="004D0DAA" w14:paraId="2B9F842E" w14:textId="77777777" w:rsidTr="00AA2A4C">
        <w:trPr>
          <w:trHeight w:val="288"/>
        </w:trPr>
        <w:tc>
          <w:tcPr>
            <w:tcW w:w="5184" w:type="dxa"/>
            <w:gridSpan w:val="8"/>
            <w:tcBorders>
              <w:right w:val="single" w:sz="4" w:space="0" w:color="auto"/>
            </w:tcBorders>
            <w:shd w:val="clear" w:color="auto" w:fill="auto"/>
          </w:tcPr>
          <w:p w14:paraId="2FACFE77" w14:textId="77777777" w:rsidR="00711444" w:rsidRPr="004D0DAA" w:rsidRDefault="00711444" w:rsidP="00AA2A4C">
            <w:pPr>
              <w:pStyle w:val="TAC"/>
              <w:spacing w:line="240" w:lineRule="exact"/>
              <w:rPr>
                <w:lang w:eastAsia="en-US"/>
              </w:rPr>
            </w:pPr>
            <w:r w:rsidRPr="004D0DAA">
              <w:rPr>
                <w:rFonts w:cs="Arial"/>
                <w:szCs w:val="18"/>
                <w:lang w:eastAsia="en-US"/>
              </w:rPr>
              <w:t>Random ID (high)</w:t>
            </w:r>
          </w:p>
        </w:tc>
        <w:tc>
          <w:tcPr>
            <w:tcW w:w="2520" w:type="dxa"/>
            <w:tcBorders>
              <w:top w:val="nil"/>
              <w:left w:val="single" w:sz="4" w:space="0" w:color="auto"/>
              <w:bottom w:val="nil"/>
              <w:right w:val="nil"/>
            </w:tcBorders>
            <w:shd w:val="clear" w:color="auto" w:fill="auto"/>
          </w:tcPr>
          <w:p w14:paraId="1AAAF5AC" w14:textId="77777777" w:rsidR="00711444" w:rsidRPr="004D0DAA" w:rsidRDefault="00711444" w:rsidP="00AA2A4C">
            <w:pPr>
              <w:pStyle w:val="TAC"/>
              <w:spacing w:line="240" w:lineRule="exact"/>
              <w:rPr>
                <w:lang w:eastAsia="en-US"/>
              </w:rPr>
            </w:pPr>
            <w:r w:rsidRPr="004D0DAA">
              <w:rPr>
                <w:lang w:eastAsia="en-US"/>
              </w:rPr>
              <w:t>Octet M+16</w:t>
            </w:r>
          </w:p>
        </w:tc>
      </w:tr>
      <w:tr w:rsidR="003A27B2" w:rsidRPr="004D0DAA" w14:paraId="010825ED" w14:textId="77777777" w:rsidTr="006C6BCB">
        <w:trPr>
          <w:trHeight w:val="288"/>
        </w:trPr>
        <w:tc>
          <w:tcPr>
            <w:tcW w:w="4536" w:type="dxa"/>
            <w:gridSpan w:val="7"/>
            <w:shd w:val="clear" w:color="auto" w:fill="auto"/>
          </w:tcPr>
          <w:p w14:paraId="219E9122" w14:textId="77777777" w:rsidR="003A27B2" w:rsidRPr="004D0DAA" w:rsidRDefault="003A27B2" w:rsidP="006C6BCB">
            <w:pPr>
              <w:pStyle w:val="TAC"/>
              <w:spacing w:line="240" w:lineRule="exact"/>
            </w:pPr>
            <w:r w:rsidRPr="004D0DAA">
              <w:t>Length Indicator = 119</w:t>
            </w:r>
          </w:p>
        </w:tc>
        <w:tc>
          <w:tcPr>
            <w:tcW w:w="648" w:type="dxa"/>
            <w:tcBorders>
              <w:right w:val="single" w:sz="4" w:space="0" w:color="auto"/>
            </w:tcBorders>
            <w:shd w:val="clear" w:color="auto" w:fill="auto"/>
          </w:tcPr>
          <w:p w14:paraId="5B329693" w14:textId="77777777" w:rsidR="003A27B2" w:rsidRPr="004D0DAA" w:rsidRDefault="003A27B2" w:rsidP="006C6BCB">
            <w:pPr>
              <w:pStyle w:val="TAC"/>
              <w:spacing w:line="240" w:lineRule="exact"/>
            </w:pPr>
            <w:r w:rsidRPr="004D0DAA">
              <w:t>E</w:t>
            </w:r>
          </w:p>
        </w:tc>
        <w:tc>
          <w:tcPr>
            <w:tcW w:w="2520" w:type="dxa"/>
            <w:tcBorders>
              <w:top w:val="nil"/>
              <w:left w:val="single" w:sz="4" w:space="0" w:color="auto"/>
              <w:bottom w:val="nil"/>
              <w:right w:val="nil"/>
            </w:tcBorders>
            <w:shd w:val="clear" w:color="auto" w:fill="auto"/>
          </w:tcPr>
          <w:p w14:paraId="3EC75B58" w14:textId="77777777" w:rsidR="003A27B2" w:rsidRPr="004D0DAA" w:rsidRDefault="003A27B2" w:rsidP="006C6BCB">
            <w:pPr>
              <w:pStyle w:val="TAC"/>
              <w:spacing w:line="240" w:lineRule="exact"/>
              <w:rPr>
                <w:rFonts w:cs="Arial"/>
                <w:szCs w:val="18"/>
              </w:rPr>
            </w:pPr>
            <w:r w:rsidRPr="004D0DAA">
              <w:rPr>
                <w:rFonts w:cs="Arial"/>
                <w:szCs w:val="18"/>
              </w:rPr>
              <w:t>Octet M+5 (optional)</w:t>
            </w:r>
          </w:p>
        </w:tc>
      </w:tr>
      <w:tr w:rsidR="003A27B2" w:rsidRPr="004D0DAA" w14:paraId="0EC2169E" w14:textId="77777777" w:rsidTr="006C6BCB">
        <w:trPr>
          <w:trHeight w:val="288"/>
        </w:trPr>
        <w:tc>
          <w:tcPr>
            <w:tcW w:w="5184" w:type="dxa"/>
            <w:gridSpan w:val="8"/>
            <w:tcBorders>
              <w:right w:val="single" w:sz="4" w:space="0" w:color="auto"/>
            </w:tcBorders>
            <w:shd w:val="clear" w:color="auto" w:fill="auto"/>
          </w:tcPr>
          <w:p w14:paraId="30A3983E" w14:textId="77777777" w:rsidR="003A27B2" w:rsidRPr="004D0DAA" w:rsidRDefault="003A27B2" w:rsidP="006C6BCB">
            <w:pPr>
              <w:pStyle w:val="TAC"/>
              <w:spacing w:line="240" w:lineRule="exact"/>
              <w:rPr>
                <w:rFonts w:cs="Arial"/>
                <w:szCs w:val="18"/>
              </w:rPr>
            </w:pPr>
            <w:r w:rsidRPr="004D0DAA">
              <w:rPr>
                <w:rFonts w:cs="Arial"/>
                <w:szCs w:val="18"/>
              </w:rPr>
              <w:t xml:space="preserve">MTA Signature </w:t>
            </w:r>
          </w:p>
        </w:tc>
        <w:tc>
          <w:tcPr>
            <w:tcW w:w="2520" w:type="dxa"/>
            <w:tcBorders>
              <w:top w:val="nil"/>
              <w:left w:val="single" w:sz="4" w:space="0" w:color="auto"/>
              <w:bottom w:val="nil"/>
              <w:right w:val="nil"/>
            </w:tcBorders>
            <w:shd w:val="clear" w:color="auto" w:fill="auto"/>
          </w:tcPr>
          <w:p w14:paraId="0F143D46" w14:textId="77777777" w:rsidR="003A27B2" w:rsidRPr="004D0DAA" w:rsidRDefault="003A27B2" w:rsidP="006C6BCB">
            <w:pPr>
              <w:pStyle w:val="TAC"/>
              <w:spacing w:line="240" w:lineRule="exact"/>
            </w:pPr>
            <w:r w:rsidRPr="004D0DAA">
              <w:t>Octet M+17</w:t>
            </w:r>
          </w:p>
          <w:p w14:paraId="167F4EA2" w14:textId="77777777" w:rsidR="003A27B2" w:rsidRPr="004D0DAA" w:rsidRDefault="003A27B2" w:rsidP="006C6BCB">
            <w:pPr>
              <w:pStyle w:val="TAC"/>
              <w:spacing w:line="240" w:lineRule="exact"/>
            </w:pPr>
            <w:r w:rsidRPr="004D0DAA">
              <w:t>Octet M+18</w:t>
            </w:r>
          </w:p>
          <w:p w14:paraId="2CF84E6B" w14:textId="77777777" w:rsidR="003A27B2" w:rsidRPr="004D0DAA" w:rsidRDefault="003A27B2" w:rsidP="006C6BCB">
            <w:pPr>
              <w:pStyle w:val="TAC"/>
              <w:spacing w:line="240" w:lineRule="exact"/>
            </w:pPr>
            <w:r w:rsidRPr="004D0DAA">
              <w:t>Octet M+19</w:t>
            </w:r>
          </w:p>
          <w:p w14:paraId="4CE52B7C" w14:textId="77777777" w:rsidR="003A27B2" w:rsidRPr="004D0DAA" w:rsidRDefault="003A27B2" w:rsidP="006C6BCB">
            <w:pPr>
              <w:pStyle w:val="TAC"/>
              <w:spacing w:line="240" w:lineRule="exact"/>
            </w:pPr>
            <w:r w:rsidRPr="004D0DAA">
              <w:t>Octet M+20</w:t>
            </w:r>
          </w:p>
        </w:tc>
      </w:tr>
      <w:tr w:rsidR="00711444" w:rsidRPr="004D0DAA" w14:paraId="78C3D468" w14:textId="77777777" w:rsidTr="00AA2A4C">
        <w:trPr>
          <w:trHeight w:val="288"/>
        </w:trPr>
        <w:tc>
          <w:tcPr>
            <w:tcW w:w="4536" w:type="dxa"/>
            <w:gridSpan w:val="7"/>
            <w:shd w:val="clear" w:color="auto" w:fill="auto"/>
          </w:tcPr>
          <w:p w14:paraId="46EA7008" w14:textId="77777777" w:rsidR="00711444" w:rsidRPr="004D0DAA" w:rsidRDefault="00711444" w:rsidP="00AA2A4C">
            <w:pPr>
              <w:pStyle w:val="TAC"/>
              <w:spacing w:line="240" w:lineRule="exact"/>
              <w:rPr>
                <w:lang w:eastAsia="en-US"/>
              </w:rPr>
            </w:pPr>
            <w:r w:rsidRPr="004D0DAA">
              <w:rPr>
                <w:lang w:eastAsia="en-US"/>
              </w:rPr>
              <w:t>Length Indicator = 121</w:t>
            </w:r>
          </w:p>
        </w:tc>
        <w:tc>
          <w:tcPr>
            <w:tcW w:w="648" w:type="dxa"/>
            <w:tcBorders>
              <w:right w:val="single" w:sz="4" w:space="0" w:color="auto"/>
            </w:tcBorders>
            <w:shd w:val="clear" w:color="auto" w:fill="auto"/>
          </w:tcPr>
          <w:p w14:paraId="2AD8CB6F"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5A0123B6" w14:textId="77777777" w:rsidR="00711444" w:rsidRPr="004D0DAA" w:rsidRDefault="00711444" w:rsidP="00AA2A4C">
            <w:pPr>
              <w:pStyle w:val="TAC"/>
              <w:spacing w:line="240" w:lineRule="exact"/>
              <w:rPr>
                <w:lang w:eastAsia="en-US"/>
              </w:rPr>
            </w:pPr>
            <w:r w:rsidRPr="004D0DAA">
              <w:rPr>
                <w:rFonts w:cs="Arial"/>
                <w:szCs w:val="18"/>
                <w:lang w:eastAsia="en-US"/>
              </w:rPr>
              <w:t>Octet M+5 (optional)</w:t>
            </w:r>
          </w:p>
        </w:tc>
      </w:tr>
      <w:tr w:rsidR="00711444" w:rsidRPr="004D0DAA" w14:paraId="7376C52B" w14:textId="77777777" w:rsidTr="00AA2A4C">
        <w:trPr>
          <w:trHeight w:val="288"/>
        </w:trPr>
        <w:tc>
          <w:tcPr>
            <w:tcW w:w="2592" w:type="dxa"/>
            <w:gridSpan w:val="4"/>
            <w:shd w:val="clear" w:color="auto" w:fill="auto"/>
          </w:tcPr>
          <w:p w14:paraId="0BB88B14"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Sync Accuracy</w:t>
            </w:r>
          </w:p>
        </w:tc>
        <w:tc>
          <w:tcPr>
            <w:tcW w:w="2592" w:type="dxa"/>
            <w:gridSpan w:val="4"/>
            <w:tcBorders>
              <w:right w:val="single" w:sz="4" w:space="0" w:color="auto"/>
            </w:tcBorders>
            <w:shd w:val="clear" w:color="auto" w:fill="auto"/>
          </w:tcPr>
          <w:p w14:paraId="41BC23F4"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Transmission Offset</w:t>
            </w:r>
          </w:p>
        </w:tc>
        <w:tc>
          <w:tcPr>
            <w:tcW w:w="2520" w:type="dxa"/>
            <w:tcBorders>
              <w:top w:val="nil"/>
              <w:left w:val="single" w:sz="4" w:space="0" w:color="auto"/>
              <w:bottom w:val="nil"/>
              <w:right w:val="nil"/>
            </w:tcBorders>
            <w:shd w:val="clear" w:color="auto" w:fill="auto"/>
          </w:tcPr>
          <w:p w14:paraId="69BC2F7D"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486A2761" w14:textId="77777777" w:rsidTr="00AA2A4C">
        <w:trPr>
          <w:trHeight w:val="288"/>
        </w:trPr>
        <w:tc>
          <w:tcPr>
            <w:tcW w:w="4536" w:type="dxa"/>
            <w:gridSpan w:val="7"/>
            <w:shd w:val="clear" w:color="auto" w:fill="auto"/>
          </w:tcPr>
          <w:p w14:paraId="2E76FF01" w14:textId="77777777" w:rsidR="00711444" w:rsidRPr="004D0DAA" w:rsidRDefault="00711444" w:rsidP="00AA2A4C">
            <w:pPr>
              <w:pStyle w:val="TAC"/>
              <w:spacing w:line="240" w:lineRule="exact"/>
              <w:rPr>
                <w:lang w:eastAsia="en-US"/>
              </w:rPr>
            </w:pPr>
            <w:r w:rsidRPr="004D0DAA">
              <w:rPr>
                <w:lang w:eastAsia="en-US"/>
              </w:rPr>
              <w:t>Length Indicator = 120</w:t>
            </w:r>
          </w:p>
        </w:tc>
        <w:tc>
          <w:tcPr>
            <w:tcW w:w="648" w:type="dxa"/>
            <w:tcBorders>
              <w:right w:val="single" w:sz="4" w:space="0" w:color="auto"/>
            </w:tcBorders>
            <w:shd w:val="clear" w:color="auto" w:fill="auto"/>
          </w:tcPr>
          <w:p w14:paraId="262190EC"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70C1731E" w14:textId="77777777" w:rsidR="00711444" w:rsidRPr="004D0DAA" w:rsidRDefault="00711444" w:rsidP="00AA2A4C">
            <w:pPr>
              <w:pStyle w:val="TAC"/>
              <w:spacing w:line="240" w:lineRule="exact"/>
              <w:rPr>
                <w:lang w:eastAsia="en-US"/>
              </w:rPr>
            </w:pPr>
            <w:r w:rsidRPr="004D0DAA">
              <w:rPr>
                <w:lang w:eastAsia="en-US"/>
              </w:rPr>
              <w:t>Octet M+5 (optional, Note 4)</w:t>
            </w:r>
          </w:p>
        </w:tc>
      </w:tr>
      <w:tr w:rsidR="00711444" w:rsidRPr="004D0DAA" w14:paraId="6C80E0DD" w14:textId="77777777" w:rsidTr="00AA2A4C">
        <w:trPr>
          <w:trHeight w:val="288"/>
        </w:trPr>
        <w:tc>
          <w:tcPr>
            <w:tcW w:w="5184" w:type="dxa"/>
            <w:gridSpan w:val="8"/>
            <w:tcBorders>
              <w:right w:val="single" w:sz="4" w:space="0" w:color="auto"/>
            </w:tcBorders>
            <w:shd w:val="clear" w:color="auto" w:fill="auto"/>
          </w:tcPr>
          <w:p w14:paraId="2B759A38" w14:textId="77777777" w:rsidR="00711444" w:rsidRPr="004D0DAA" w:rsidRDefault="00711444" w:rsidP="00AA2A4C">
            <w:pPr>
              <w:pStyle w:val="TAC"/>
              <w:spacing w:line="240" w:lineRule="exact"/>
              <w:rPr>
                <w:lang w:eastAsia="en-US"/>
              </w:rPr>
            </w:pPr>
            <w:r w:rsidRPr="004D0DAA">
              <w:rPr>
                <w:lang w:eastAsia="en-US"/>
              </w:rPr>
              <w:t>DCN-ID (octet 1)</w:t>
            </w:r>
          </w:p>
        </w:tc>
        <w:tc>
          <w:tcPr>
            <w:tcW w:w="2520" w:type="dxa"/>
            <w:tcBorders>
              <w:top w:val="nil"/>
              <w:left w:val="single" w:sz="4" w:space="0" w:color="auto"/>
              <w:bottom w:val="nil"/>
              <w:right w:val="nil"/>
            </w:tcBorders>
            <w:shd w:val="clear" w:color="auto" w:fill="auto"/>
          </w:tcPr>
          <w:p w14:paraId="59AA11FC"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63DB441A" w14:textId="77777777" w:rsidTr="00AA2A4C">
        <w:trPr>
          <w:trHeight w:val="288"/>
        </w:trPr>
        <w:tc>
          <w:tcPr>
            <w:tcW w:w="5184" w:type="dxa"/>
            <w:gridSpan w:val="8"/>
            <w:tcBorders>
              <w:right w:val="single" w:sz="4" w:space="0" w:color="auto"/>
            </w:tcBorders>
            <w:shd w:val="clear" w:color="auto" w:fill="auto"/>
          </w:tcPr>
          <w:p w14:paraId="273F62D7" w14:textId="77777777" w:rsidR="00711444" w:rsidRPr="004D0DAA" w:rsidRDefault="00711444" w:rsidP="00AA2A4C">
            <w:pPr>
              <w:pStyle w:val="TAC"/>
              <w:spacing w:line="240" w:lineRule="exact"/>
              <w:rPr>
                <w:lang w:eastAsia="en-US"/>
              </w:rPr>
            </w:pPr>
            <w:r w:rsidRPr="004D0DAA">
              <w:rPr>
                <w:lang w:eastAsia="en-US"/>
              </w:rPr>
              <w:t>DCN-ID (octet 2)</w:t>
            </w:r>
          </w:p>
        </w:tc>
        <w:tc>
          <w:tcPr>
            <w:tcW w:w="2520" w:type="dxa"/>
            <w:tcBorders>
              <w:top w:val="nil"/>
              <w:left w:val="single" w:sz="4" w:space="0" w:color="auto"/>
              <w:bottom w:val="nil"/>
              <w:right w:val="nil"/>
            </w:tcBorders>
            <w:shd w:val="clear" w:color="auto" w:fill="auto"/>
          </w:tcPr>
          <w:p w14:paraId="45BFA2F4" w14:textId="77777777" w:rsidR="00711444" w:rsidRPr="004D0DAA" w:rsidRDefault="00711444" w:rsidP="00AA2A4C">
            <w:pPr>
              <w:pStyle w:val="TAC"/>
              <w:spacing w:line="240" w:lineRule="exact"/>
              <w:rPr>
                <w:lang w:eastAsia="en-US"/>
              </w:rPr>
            </w:pPr>
            <w:r w:rsidRPr="004D0DAA">
              <w:rPr>
                <w:lang w:eastAsia="en-US"/>
              </w:rPr>
              <w:t>Octet M+7</w:t>
            </w:r>
          </w:p>
        </w:tc>
      </w:tr>
      <w:tr w:rsidR="003A27B2" w:rsidRPr="004D0DAA" w14:paraId="12A07F59" w14:textId="77777777" w:rsidTr="006C6BCB">
        <w:trPr>
          <w:trHeight w:val="288"/>
        </w:trPr>
        <w:tc>
          <w:tcPr>
            <w:tcW w:w="4536" w:type="dxa"/>
            <w:gridSpan w:val="7"/>
            <w:tcBorders>
              <w:right w:val="single" w:sz="4" w:space="0" w:color="auto"/>
            </w:tcBorders>
            <w:shd w:val="clear" w:color="auto" w:fill="auto"/>
          </w:tcPr>
          <w:p w14:paraId="6DD09500" w14:textId="77777777" w:rsidR="003A27B2" w:rsidRPr="004D0DAA" w:rsidRDefault="003A27B2" w:rsidP="006C6BCB">
            <w:pPr>
              <w:pStyle w:val="TAC"/>
              <w:spacing w:line="240" w:lineRule="exact"/>
            </w:pPr>
            <w:r w:rsidRPr="004D0DAA">
              <w:t>Length Indicator = 118</w:t>
            </w:r>
          </w:p>
        </w:tc>
        <w:tc>
          <w:tcPr>
            <w:tcW w:w="648" w:type="dxa"/>
            <w:tcBorders>
              <w:right w:val="single" w:sz="4" w:space="0" w:color="auto"/>
            </w:tcBorders>
            <w:shd w:val="clear" w:color="auto" w:fill="auto"/>
          </w:tcPr>
          <w:p w14:paraId="75F10EFE" w14:textId="77777777" w:rsidR="003A27B2" w:rsidRPr="004D0DAA" w:rsidRDefault="003A27B2" w:rsidP="006C6BCB">
            <w:pPr>
              <w:pStyle w:val="TAC"/>
              <w:spacing w:line="240" w:lineRule="exact"/>
            </w:pPr>
            <w:r w:rsidRPr="004D0DAA">
              <w:t>E</w:t>
            </w:r>
          </w:p>
        </w:tc>
        <w:tc>
          <w:tcPr>
            <w:tcW w:w="2520" w:type="dxa"/>
            <w:tcBorders>
              <w:top w:val="nil"/>
              <w:left w:val="single" w:sz="4" w:space="0" w:color="auto"/>
              <w:bottom w:val="nil"/>
              <w:right w:val="nil"/>
            </w:tcBorders>
            <w:shd w:val="clear" w:color="auto" w:fill="auto"/>
          </w:tcPr>
          <w:p w14:paraId="3BD918FD" w14:textId="77777777" w:rsidR="003A27B2" w:rsidRPr="004D0DAA" w:rsidRDefault="003A27B2" w:rsidP="006C6BCB">
            <w:pPr>
              <w:pStyle w:val="TAC"/>
              <w:spacing w:line="240" w:lineRule="exact"/>
            </w:pPr>
            <w:r w:rsidRPr="004D0DAA">
              <w:rPr>
                <w:rFonts w:cs="Arial"/>
                <w:szCs w:val="18"/>
              </w:rPr>
              <w:t>Octet M+5 (optional)</w:t>
            </w:r>
          </w:p>
        </w:tc>
      </w:tr>
      <w:tr w:rsidR="003A27B2" w:rsidRPr="004D0DAA" w14:paraId="667C1143" w14:textId="77777777" w:rsidTr="006C6BCB">
        <w:trPr>
          <w:trHeight w:val="288"/>
        </w:trPr>
        <w:tc>
          <w:tcPr>
            <w:tcW w:w="648" w:type="dxa"/>
            <w:tcBorders>
              <w:right w:val="single" w:sz="4" w:space="0" w:color="auto"/>
            </w:tcBorders>
            <w:shd w:val="clear" w:color="auto" w:fill="auto"/>
          </w:tcPr>
          <w:p w14:paraId="32424037" w14:textId="77777777" w:rsidR="003A27B2" w:rsidRPr="004D0DAA" w:rsidRDefault="003A27B2" w:rsidP="006C6BCB">
            <w:pPr>
              <w:pStyle w:val="TAC"/>
              <w:spacing w:line="240" w:lineRule="exact"/>
            </w:pPr>
            <w:r w:rsidRPr="004D0DAA">
              <w:t>FMA</w:t>
            </w:r>
          </w:p>
        </w:tc>
        <w:tc>
          <w:tcPr>
            <w:tcW w:w="1944" w:type="dxa"/>
            <w:gridSpan w:val="3"/>
            <w:tcBorders>
              <w:right w:val="single" w:sz="4" w:space="0" w:color="auto"/>
            </w:tcBorders>
            <w:shd w:val="clear" w:color="auto" w:fill="auto"/>
          </w:tcPr>
          <w:p w14:paraId="32A65160" w14:textId="77777777" w:rsidR="003A27B2" w:rsidRPr="004D0DAA" w:rsidRDefault="003A27B2" w:rsidP="006C6BCB">
            <w:pPr>
              <w:pStyle w:val="TAC"/>
              <w:spacing w:line="240" w:lineRule="exact"/>
            </w:pPr>
            <w:r w:rsidRPr="004D0DAA">
              <w:rPr>
                <w:rFonts w:cs="Arial"/>
                <w:szCs w:val="18"/>
              </w:rPr>
              <w:t>MTA Report Instance</w:t>
            </w:r>
          </w:p>
        </w:tc>
        <w:tc>
          <w:tcPr>
            <w:tcW w:w="2592" w:type="dxa"/>
            <w:gridSpan w:val="4"/>
            <w:tcBorders>
              <w:right w:val="single" w:sz="4" w:space="0" w:color="auto"/>
            </w:tcBorders>
            <w:shd w:val="clear" w:color="auto" w:fill="auto"/>
          </w:tcPr>
          <w:p w14:paraId="318CB016" w14:textId="77777777" w:rsidR="003A27B2" w:rsidRPr="004D0DAA" w:rsidRDefault="003A27B2" w:rsidP="006C6BCB">
            <w:pPr>
              <w:pStyle w:val="TAC"/>
              <w:spacing w:line="240" w:lineRule="exact"/>
            </w:pPr>
            <w:r w:rsidRPr="004D0DAA">
              <w:t>spare</w:t>
            </w:r>
          </w:p>
        </w:tc>
        <w:tc>
          <w:tcPr>
            <w:tcW w:w="2520" w:type="dxa"/>
            <w:tcBorders>
              <w:top w:val="nil"/>
              <w:left w:val="single" w:sz="4" w:space="0" w:color="auto"/>
              <w:bottom w:val="nil"/>
              <w:right w:val="nil"/>
            </w:tcBorders>
            <w:shd w:val="clear" w:color="auto" w:fill="auto"/>
          </w:tcPr>
          <w:p w14:paraId="7D4BF828" w14:textId="77777777" w:rsidR="003A27B2" w:rsidRPr="004D0DAA" w:rsidRDefault="003A27B2" w:rsidP="006C6BCB">
            <w:pPr>
              <w:pStyle w:val="TAC"/>
              <w:spacing w:line="240" w:lineRule="exact"/>
            </w:pPr>
            <w:r w:rsidRPr="004D0DAA">
              <w:t>Octet M+6</w:t>
            </w:r>
          </w:p>
        </w:tc>
      </w:tr>
      <w:tr w:rsidR="00711444" w:rsidRPr="004D0DAA" w14:paraId="3103B8A7" w14:textId="77777777" w:rsidTr="00AA2A4C">
        <w:trPr>
          <w:trHeight w:val="288"/>
        </w:trPr>
        <w:tc>
          <w:tcPr>
            <w:tcW w:w="4536" w:type="dxa"/>
            <w:gridSpan w:val="7"/>
            <w:shd w:val="clear" w:color="auto" w:fill="auto"/>
          </w:tcPr>
          <w:p w14:paraId="40AF258F" w14:textId="77777777" w:rsidR="00711444" w:rsidRPr="004D0DAA" w:rsidRDefault="00711444" w:rsidP="00AA2A4C">
            <w:pPr>
              <w:pStyle w:val="TAC"/>
              <w:spacing w:line="240" w:lineRule="exact"/>
              <w:rPr>
                <w:lang w:eastAsia="en-US"/>
              </w:rPr>
            </w:pPr>
            <w:r w:rsidRPr="004D0DAA">
              <w:rPr>
                <w:lang w:eastAsia="en-US"/>
              </w:rPr>
              <w:t>PFI</w:t>
            </w:r>
          </w:p>
        </w:tc>
        <w:tc>
          <w:tcPr>
            <w:tcW w:w="648" w:type="dxa"/>
            <w:tcBorders>
              <w:right w:val="single" w:sz="4" w:space="0" w:color="auto"/>
            </w:tcBorders>
            <w:shd w:val="clear" w:color="auto" w:fill="auto"/>
          </w:tcPr>
          <w:p w14:paraId="1A40C035"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411A8240" w14:textId="77777777" w:rsidR="00711444" w:rsidRPr="004D0DAA" w:rsidRDefault="00711444" w:rsidP="00AA2A4C">
            <w:pPr>
              <w:pStyle w:val="TAC"/>
              <w:spacing w:line="240" w:lineRule="exact"/>
              <w:rPr>
                <w:lang w:eastAsia="en-US"/>
              </w:rPr>
            </w:pPr>
            <w:r w:rsidRPr="004D0DAA">
              <w:rPr>
                <w:lang w:eastAsia="en-US"/>
              </w:rPr>
              <w:t>Octet M+8 /</w:t>
            </w:r>
          </w:p>
        </w:tc>
      </w:tr>
      <w:tr w:rsidR="00711444" w:rsidRPr="004D0DAA" w14:paraId="15D33FE7" w14:textId="77777777" w:rsidTr="00AA2A4C">
        <w:trPr>
          <w:trHeight w:val="288"/>
        </w:trPr>
        <w:tc>
          <w:tcPr>
            <w:tcW w:w="5184" w:type="dxa"/>
            <w:gridSpan w:val="8"/>
            <w:vMerge w:val="restart"/>
            <w:tcBorders>
              <w:right w:val="single" w:sz="4" w:space="0" w:color="auto"/>
            </w:tcBorders>
            <w:shd w:val="clear" w:color="auto" w:fill="auto"/>
          </w:tcPr>
          <w:p w14:paraId="76CFAB9E" w14:textId="77777777" w:rsidR="00711444" w:rsidRPr="004D0DAA" w:rsidRDefault="00711444" w:rsidP="00AA2A4C">
            <w:pPr>
              <w:pStyle w:val="TAC"/>
              <w:spacing w:before="600" w:line="240" w:lineRule="exact"/>
              <w:rPr>
                <w:lang w:eastAsia="en-US"/>
              </w:rPr>
            </w:pPr>
            <w:r w:rsidRPr="004D0DAA">
              <w:rPr>
                <w:lang w:eastAsia="en-US"/>
              </w:rPr>
              <w:t>RLC data</w:t>
            </w:r>
          </w:p>
        </w:tc>
        <w:tc>
          <w:tcPr>
            <w:tcW w:w="2520" w:type="dxa"/>
            <w:tcBorders>
              <w:top w:val="nil"/>
              <w:left w:val="single" w:sz="4" w:space="0" w:color="auto"/>
              <w:bottom w:val="nil"/>
              <w:right w:val="nil"/>
            </w:tcBorders>
            <w:shd w:val="clear" w:color="auto" w:fill="auto"/>
          </w:tcPr>
          <w:p w14:paraId="17F7BB25" w14:textId="77777777" w:rsidR="00711444" w:rsidRPr="004D0DAA" w:rsidRDefault="00711444" w:rsidP="00AA2A4C">
            <w:pPr>
              <w:pStyle w:val="TAC"/>
              <w:spacing w:line="240" w:lineRule="exact"/>
              <w:rPr>
                <w:lang w:eastAsia="en-US"/>
              </w:rPr>
            </w:pPr>
            <w:r w:rsidRPr="004D0DAA">
              <w:rPr>
                <w:lang w:eastAsia="en-US"/>
              </w:rPr>
              <w:t>Octet M+9</w:t>
            </w:r>
          </w:p>
        </w:tc>
      </w:tr>
      <w:tr w:rsidR="00711444" w:rsidRPr="004D0DAA" w14:paraId="682EC51B" w14:textId="77777777" w:rsidTr="00AA2A4C">
        <w:trPr>
          <w:trHeight w:val="288"/>
        </w:trPr>
        <w:tc>
          <w:tcPr>
            <w:tcW w:w="5184" w:type="dxa"/>
            <w:gridSpan w:val="8"/>
            <w:vMerge/>
            <w:tcBorders>
              <w:right w:val="single" w:sz="4" w:space="0" w:color="auto"/>
            </w:tcBorders>
            <w:shd w:val="clear" w:color="auto" w:fill="auto"/>
          </w:tcPr>
          <w:p w14:paraId="64474301"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1CE25F26" w14:textId="77777777" w:rsidR="00711444" w:rsidRPr="004D0DAA" w:rsidRDefault="00711444" w:rsidP="00AA2A4C">
            <w:pPr>
              <w:pStyle w:val="TAC"/>
              <w:spacing w:line="240" w:lineRule="exact"/>
              <w:rPr>
                <w:lang w:eastAsia="en-US"/>
              </w:rPr>
            </w:pPr>
            <w:r w:rsidRPr="004D0DAA">
              <w:rPr>
                <w:lang w:eastAsia="en-US"/>
              </w:rPr>
              <w:t>.</w:t>
            </w:r>
          </w:p>
          <w:p w14:paraId="3368E9DB" w14:textId="77777777" w:rsidR="00711444" w:rsidRPr="004D0DAA" w:rsidRDefault="00711444" w:rsidP="00AA2A4C">
            <w:pPr>
              <w:pStyle w:val="TAC"/>
              <w:spacing w:line="240" w:lineRule="exact"/>
              <w:rPr>
                <w:lang w:eastAsia="en-US"/>
              </w:rPr>
            </w:pPr>
            <w:r w:rsidRPr="004D0DAA">
              <w:rPr>
                <w:lang w:eastAsia="en-US"/>
              </w:rPr>
              <w:t>.</w:t>
            </w:r>
          </w:p>
          <w:p w14:paraId="5AE0411C" w14:textId="77777777" w:rsidR="00711444" w:rsidRPr="004D0DAA" w:rsidRDefault="00711444" w:rsidP="00AA2A4C">
            <w:pPr>
              <w:pStyle w:val="TAC"/>
              <w:spacing w:line="240" w:lineRule="exact"/>
              <w:rPr>
                <w:lang w:eastAsia="en-US"/>
              </w:rPr>
            </w:pPr>
            <w:r w:rsidRPr="004D0DAA">
              <w:rPr>
                <w:lang w:eastAsia="en-US"/>
              </w:rPr>
              <w:t>.</w:t>
            </w:r>
          </w:p>
        </w:tc>
      </w:tr>
      <w:tr w:rsidR="00711444" w:rsidRPr="004D0DAA" w14:paraId="19635CB3" w14:textId="77777777" w:rsidTr="00AA2A4C">
        <w:trPr>
          <w:trHeight w:val="288"/>
        </w:trPr>
        <w:tc>
          <w:tcPr>
            <w:tcW w:w="5184" w:type="dxa"/>
            <w:gridSpan w:val="8"/>
            <w:vMerge/>
            <w:tcBorders>
              <w:right w:val="single" w:sz="4" w:space="0" w:color="auto"/>
            </w:tcBorders>
            <w:shd w:val="clear" w:color="auto" w:fill="auto"/>
          </w:tcPr>
          <w:p w14:paraId="654C9943"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46A0943A" w14:textId="77777777" w:rsidR="00711444" w:rsidRPr="004D0DAA" w:rsidRDefault="00711444" w:rsidP="00AA2A4C">
            <w:pPr>
              <w:pStyle w:val="TAC"/>
              <w:spacing w:line="240" w:lineRule="exact"/>
              <w:rPr>
                <w:lang w:eastAsia="en-US"/>
              </w:rPr>
            </w:pPr>
            <w:r w:rsidRPr="004D0DAA">
              <w:rPr>
                <w:lang w:eastAsia="en-US"/>
              </w:rPr>
              <w:t>Octet N2-1</w:t>
            </w:r>
          </w:p>
        </w:tc>
      </w:tr>
      <w:tr w:rsidR="00711444" w:rsidRPr="004D0DAA" w14:paraId="3FA87376" w14:textId="77777777" w:rsidTr="00AA2A4C">
        <w:trPr>
          <w:trHeight w:val="288"/>
        </w:trPr>
        <w:tc>
          <w:tcPr>
            <w:tcW w:w="5184" w:type="dxa"/>
            <w:gridSpan w:val="8"/>
            <w:vMerge/>
            <w:tcBorders>
              <w:right w:val="single" w:sz="4" w:space="0" w:color="auto"/>
            </w:tcBorders>
            <w:shd w:val="clear" w:color="auto" w:fill="auto"/>
          </w:tcPr>
          <w:p w14:paraId="13E7FA86"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4582A2B2" w14:textId="77777777" w:rsidR="00711444" w:rsidRPr="004D0DAA" w:rsidRDefault="00711444" w:rsidP="00AA2A4C">
            <w:pPr>
              <w:pStyle w:val="TAC"/>
              <w:spacing w:line="240" w:lineRule="exact"/>
              <w:rPr>
                <w:lang w:eastAsia="en-US"/>
              </w:rPr>
            </w:pPr>
            <w:r w:rsidRPr="004D0DAA">
              <w:rPr>
                <w:lang w:eastAsia="en-US"/>
              </w:rPr>
              <w:t>Octet N2</w:t>
            </w:r>
          </w:p>
        </w:tc>
      </w:tr>
    </w:tbl>
    <w:p w14:paraId="3C6245D1" w14:textId="77777777" w:rsidR="00711444" w:rsidRPr="004D0DAA" w:rsidRDefault="00711444" w:rsidP="00711444">
      <w:pPr>
        <w:pStyle w:val="NF"/>
      </w:pPr>
    </w:p>
    <w:p w14:paraId="211D3580" w14:textId="77777777" w:rsidR="00711444" w:rsidRPr="004D0DAA" w:rsidRDefault="00711444" w:rsidP="00711444">
      <w:pPr>
        <w:pStyle w:val="NF"/>
      </w:pPr>
      <w:r w:rsidRPr="004D0DAA">
        <w:t>NOTE 1:</w:t>
      </w:r>
      <w:r w:rsidRPr="004D0DAA">
        <w:tab/>
        <w:t>If padding is used, then "Octet 1" shall be replaced by "Octet 7", see example in annex J.</w:t>
      </w:r>
    </w:p>
    <w:p w14:paraId="789A296B" w14:textId="77777777" w:rsidR="00711444" w:rsidRPr="004D0DAA" w:rsidRDefault="00711444" w:rsidP="00711444">
      <w:pPr>
        <w:pStyle w:val="NF"/>
      </w:pPr>
      <w:r w:rsidRPr="004D0DAA">
        <w:t>NOTE 2:</w:t>
      </w:r>
      <w:r w:rsidRPr="004D0DAA">
        <w:tab/>
        <w:t xml:space="preserve">The field mapping convention for EGPRS (sub-clause 10.0b.3.2) applies. According to that, in particular regarding the TLLI field, the </w:t>
      </w:r>
      <w:r w:rsidRPr="004D0DAA">
        <w:rPr>
          <w:i/>
        </w:rPr>
        <w:t>least significant byte</w:t>
      </w:r>
      <w:r w:rsidRPr="004D0DAA">
        <w:t xml:space="preserve"> of the TLLI value shall be mapped on octet M+1 and the </w:t>
      </w:r>
      <w:r w:rsidRPr="004D0DAA">
        <w:rPr>
          <w:i/>
        </w:rPr>
        <w:t>most significant byte</w:t>
      </w:r>
      <w:r w:rsidRPr="004D0DAA">
        <w:t xml:space="preserve"> of the TLLI value shall be mapped on octet M+4 of the uplink EGPRS RLC data block.</w:t>
      </w:r>
    </w:p>
    <w:p w14:paraId="4D33D75F" w14:textId="77777777" w:rsidR="00711444" w:rsidRPr="004D0DAA" w:rsidRDefault="00711444" w:rsidP="00711444">
      <w:pPr>
        <w:pStyle w:val="NF"/>
      </w:pPr>
      <w:r w:rsidRPr="004D0DAA">
        <w:t>NOTE 3:</w:t>
      </w:r>
      <w:r w:rsidRPr="004D0DAA">
        <w:tab/>
        <w:t xml:space="preserve">This octet is only included if the value of the first instance of the </w:t>
      </w:r>
      <w:r w:rsidRPr="004D0DAA">
        <w:rPr>
          <w:i/>
        </w:rPr>
        <w:t>Length indicator</w:t>
      </w:r>
      <w:r w:rsidRPr="004D0DAA">
        <w:t xml:space="preserve"> in the RLC data block is 123.</w:t>
      </w:r>
    </w:p>
    <w:p w14:paraId="58DA27C2" w14:textId="77777777" w:rsidR="00711444" w:rsidRPr="004D0DAA" w:rsidRDefault="00711444" w:rsidP="00711444">
      <w:pPr>
        <w:pStyle w:val="NF"/>
      </w:pPr>
      <w:r w:rsidRPr="004D0DAA">
        <w:lastRenderedPageBreak/>
        <w:t>NOTE 4:</w:t>
      </w:r>
      <w:r w:rsidRPr="004D0DAA">
        <w:tab/>
        <w:t>This octet and the following two octets are only included if both the network and MS support MS assisted Dedicated Core Network selection (see 3GPP TS 44.018).</w:t>
      </w:r>
    </w:p>
    <w:p w14:paraId="44342BEC" w14:textId="77777777" w:rsidR="00711444" w:rsidRPr="004D0DAA" w:rsidRDefault="00711444" w:rsidP="00711444">
      <w:pPr>
        <w:pStyle w:val="NF"/>
      </w:pPr>
    </w:p>
    <w:p w14:paraId="2085CC89" w14:textId="77777777" w:rsidR="00711444" w:rsidRPr="004D0DAA" w:rsidRDefault="00711444" w:rsidP="00711444">
      <w:pPr>
        <w:pStyle w:val="TF"/>
      </w:pPr>
      <w:r w:rsidRPr="004D0DAA">
        <w:t>Figure 10.3a.2.1.1: Uplink EGPRS RLC data block</w:t>
      </w:r>
    </w:p>
    <w:p w14:paraId="48046867" w14:textId="77777777" w:rsidR="00711444" w:rsidRPr="004D0DAA" w:rsidRDefault="00711444" w:rsidP="00711444">
      <w:pPr>
        <w:pStyle w:val="Heading4"/>
      </w:pPr>
      <w:bookmarkStart w:id="520" w:name="_Toc516669701"/>
      <w:r w:rsidRPr="004D0DAA">
        <w:t>10.3a.2.2</w:t>
      </w:r>
      <w:r w:rsidRPr="004D0DAA">
        <w:tab/>
        <w:t>EC-GSM-IoT Uplink RLC data block</w:t>
      </w:r>
      <w:bookmarkEnd w:id="520"/>
    </w:p>
    <w:p w14:paraId="6C261FF1" w14:textId="77777777" w:rsidR="00711444" w:rsidRPr="004D0DAA" w:rsidRDefault="00711444" w:rsidP="00711444">
      <w:r w:rsidRPr="004D0DAA">
        <w:t>For an EC TBF, the uplink RLC data block is formatted according to figure 10.3a.2.2.1.</w:t>
      </w:r>
    </w:p>
    <w:tbl>
      <w:tblPr>
        <w:tblW w:w="7704" w:type="dxa"/>
        <w:tblInd w:w="1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52"/>
        <w:gridCol w:w="648"/>
        <w:gridCol w:w="648"/>
        <w:gridCol w:w="648"/>
        <w:gridCol w:w="356"/>
        <w:gridCol w:w="292"/>
        <w:gridCol w:w="648"/>
        <w:gridCol w:w="648"/>
        <w:gridCol w:w="648"/>
        <w:gridCol w:w="2520"/>
      </w:tblGrid>
      <w:tr w:rsidR="00711444" w:rsidRPr="004D0DAA" w14:paraId="137E5EBF" w14:textId="77777777" w:rsidTr="00AA2A4C">
        <w:trPr>
          <w:trHeight w:val="288"/>
        </w:trPr>
        <w:tc>
          <w:tcPr>
            <w:tcW w:w="648" w:type="dxa"/>
            <w:gridSpan w:val="2"/>
            <w:tcBorders>
              <w:top w:val="nil"/>
              <w:left w:val="nil"/>
              <w:bottom w:val="nil"/>
              <w:right w:val="nil"/>
            </w:tcBorders>
            <w:shd w:val="clear" w:color="auto" w:fill="auto"/>
          </w:tcPr>
          <w:p w14:paraId="0DA4494E"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729CE669"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08404960" w14:textId="77777777" w:rsidR="00711444" w:rsidRPr="004D0DAA" w:rsidRDefault="00711444" w:rsidP="00AA2A4C">
            <w:pPr>
              <w:spacing w:after="0" w:line="240" w:lineRule="exact"/>
              <w:rPr>
                <w:rFonts w:ascii="Arial" w:hAnsi="Arial" w:cs="Arial"/>
                <w:sz w:val="18"/>
                <w:szCs w:val="18"/>
              </w:rPr>
            </w:pPr>
          </w:p>
        </w:tc>
        <w:tc>
          <w:tcPr>
            <w:tcW w:w="1296" w:type="dxa"/>
            <w:gridSpan w:val="3"/>
            <w:tcBorders>
              <w:top w:val="nil"/>
              <w:left w:val="nil"/>
              <w:bottom w:val="nil"/>
              <w:right w:val="nil"/>
            </w:tcBorders>
            <w:shd w:val="clear" w:color="auto" w:fill="auto"/>
          </w:tcPr>
          <w:p w14:paraId="254BABD6" w14:textId="77777777" w:rsidR="00711444" w:rsidRPr="004D0DAA" w:rsidRDefault="00711444" w:rsidP="00AA2A4C">
            <w:pPr>
              <w:pStyle w:val="TAC"/>
              <w:spacing w:line="240" w:lineRule="exact"/>
              <w:rPr>
                <w:lang w:eastAsia="en-US"/>
              </w:rPr>
            </w:pPr>
            <w:r w:rsidRPr="004D0DAA">
              <w:rPr>
                <w:lang w:eastAsia="en-US"/>
              </w:rPr>
              <w:t>Bit</w:t>
            </w:r>
          </w:p>
        </w:tc>
        <w:tc>
          <w:tcPr>
            <w:tcW w:w="648" w:type="dxa"/>
            <w:tcBorders>
              <w:top w:val="nil"/>
              <w:left w:val="nil"/>
              <w:bottom w:val="nil"/>
              <w:right w:val="nil"/>
            </w:tcBorders>
            <w:shd w:val="clear" w:color="auto" w:fill="auto"/>
          </w:tcPr>
          <w:p w14:paraId="630C00EA"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5E8BF87B"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3AC880F8"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39086E5B" w14:textId="77777777" w:rsidR="00711444" w:rsidRPr="004D0DAA" w:rsidRDefault="00711444" w:rsidP="00AA2A4C">
            <w:pPr>
              <w:spacing w:after="0" w:line="240" w:lineRule="exact"/>
              <w:rPr>
                <w:rFonts w:ascii="Arial" w:hAnsi="Arial" w:cs="Arial"/>
                <w:sz w:val="18"/>
                <w:szCs w:val="18"/>
              </w:rPr>
            </w:pPr>
          </w:p>
        </w:tc>
      </w:tr>
      <w:tr w:rsidR="00711444" w:rsidRPr="004D0DAA" w14:paraId="4272A069" w14:textId="77777777" w:rsidTr="00AA2A4C">
        <w:trPr>
          <w:trHeight w:val="288"/>
        </w:trPr>
        <w:tc>
          <w:tcPr>
            <w:tcW w:w="648" w:type="dxa"/>
            <w:gridSpan w:val="2"/>
            <w:tcBorders>
              <w:top w:val="nil"/>
              <w:left w:val="nil"/>
              <w:bottom w:val="nil"/>
              <w:right w:val="nil"/>
            </w:tcBorders>
            <w:shd w:val="clear" w:color="auto" w:fill="auto"/>
          </w:tcPr>
          <w:p w14:paraId="72057603"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568D4CDF"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05CAE38D"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single" w:sz="4" w:space="0" w:color="auto"/>
              <w:right w:val="nil"/>
            </w:tcBorders>
            <w:shd w:val="clear" w:color="auto" w:fill="auto"/>
          </w:tcPr>
          <w:p w14:paraId="53885836" w14:textId="77777777" w:rsidR="00711444" w:rsidRPr="004D0DAA" w:rsidRDefault="00711444" w:rsidP="00AA2A4C">
            <w:pPr>
              <w:pStyle w:val="TAC"/>
              <w:spacing w:line="240" w:lineRule="exact"/>
              <w:rPr>
                <w:lang w:eastAsia="en-US"/>
              </w:rPr>
            </w:pPr>
            <w:r w:rsidRPr="004D0DAA">
              <w:rPr>
                <w:lang w:eastAsia="en-US"/>
              </w:rPr>
              <w:t>2</w:t>
            </w:r>
          </w:p>
        </w:tc>
        <w:tc>
          <w:tcPr>
            <w:tcW w:w="648" w:type="dxa"/>
            <w:gridSpan w:val="2"/>
            <w:tcBorders>
              <w:top w:val="nil"/>
              <w:left w:val="nil"/>
              <w:bottom w:val="single" w:sz="4" w:space="0" w:color="auto"/>
              <w:right w:val="nil"/>
            </w:tcBorders>
            <w:shd w:val="clear" w:color="auto" w:fill="auto"/>
          </w:tcPr>
          <w:p w14:paraId="30ACEE1A" w14:textId="77777777" w:rsidR="00711444" w:rsidRPr="004D0DAA" w:rsidRDefault="00711444" w:rsidP="00AA2A4C">
            <w:pPr>
              <w:pStyle w:val="TAC"/>
              <w:spacing w:line="240" w:lineRule="exact"/>
              <w:rPr>
                <w:lang w:eastAsia="en-US"/>
              </w:rPr>
            </w:pPr>
            <w:r w:rsidRPr="004D0DAA">
              <w:rPr>
                <w:lang w:eastAsia="en-US"/>
              </w:rPr>
              <w:t>1</w:t>
            </w:r>
          </w:p>
        </w:tc>
        <w:tc>
          <w:tcPr>
            <w:tcW w:w="648" w:type="dxa"/>
            <w:tcBorders>
              <w:top w:val="nil"/>
              <w:left w:val="nil"/>
              <w:bottom w:val="nil"/>
              <w:right w:val="nil"/>
            </w:tcBorders>
            <w:shd w:val="clear" w:color="auto" w:fill="auto"/>
          </w:tcPr>
          <w:p w14:paraId="75373728"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624BDFF5"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13DB9F89"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6B8402F7" w14:textId="77777777" w:rsidR="00711444" w:rsidRPr="004D0DAA" w:rsidRDefault="00711444" w:rsidP="00AA2A4C">
            <w:pPr>
              <w:spacing w:after="0" w:line="240" w:lineRule="exact"/>
              <w:rPr>
                <w:rFonts w:ascii="Arial" w:hAnsi="Arial" w:cs="Arial"/>
                <w:sz w:val="18"/>
                <w:szCs w:val="18"/>
              </w:rPr>
            </w:pPr>
          </w:p>
        </w:tc>
      </w:tr>
      <w:tr w:rsidR="00711444" w:rsidRPr="004D0DAA" w14:paraId="7C5AB649" w14:textId="77777777" w:rsidTr="00AA2A4C">
        <w:trPr>
          <w:trHeight w:val="288"/>
        </w:trPr>
        <w:tc>
          <w:tcPr>
            <w:tcW w:w="648" w:type="dxa"/>
            <w:gridSpan w:val="2"/>
            <w:tcBorders>
              <w:top w:val="nil"/>
              <w:left w:val="nil"/>
              <w:bottom w:val="nil"/>
              <w:right w:val="nil"/>
            </w:tcBorders>
            <w:shd w:val="clear" w:color="auto" w:fill="auto"/>
          </w:tcPr>
          <w:p w14:paraId="4280BE87"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601A0779"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single" w:sz="4" w:space="0" w:color="auto"/>
            </w:tcBorders>
            <w:shd w:val="clear" w:color="auto" w:fill="auto"/>
          </w:tcPr>
          <w:p w14:paraId="619DA344" w14:textId="77777777" w:rsidR="00711444" w:rsidRPr="004D0DAA" w:rsidRDefault="00711444" w:rsidP="00AA2A4C">
            <w:pPr>
              <w:spacing w:after="0" w:line="240" w:lineRule="exact"/>
              <w:rPr>
                <w:rFonts w:ascii="Arial" w:hAnsi="Arial" w:cs="Arial"/>
                <w:sz w:val="18"/>
                <w:szCs w:val="18"/>
              </w:rPr>
            </w:pPr>
          </w:p>
        </w:tc>
        <w:tc>
          <w:tcPr>
            <w:tcW w:w="648" w:type="dxa"/>
            <w:tcBorders>
              <w:top w:val="single" w:sz="4" w:space="0" w:color="auto"/>
              <w:left w:val="single" w:sz="4" w:space="0" w:color="auto"/>
              <w:bottom w:val="single" w:sz="4" w:space="0" w:color="auto"/>
              <w:right w:val="single" w:sz="4" w:space="0" w:color="auto"/>
            </w:tcBorders>
            <w:shd w:val="clear" w:color="auto" w:fill="auto"/>
          </w:tcPr>
          <w:p w14:paraId="778D60A2" w14:textId="77777777" w:rsidR="00711444" w:rsidRPr="004D0DAA" w:rsidRDefault="00711444" w:rsidP="00AA2A4C">
            <w:pPr>
              <w:pStyle w:val="TAC"/>
              <w:spacing w:line="240" w:lineRule="exact"/>
              <w:rPr>
                <w:lang w:eastAsia="en-US"/>
              </w:rPr>
            </w:pPr>
            <w:r w:rsidRPr="004D0DAA">
              <w:rPr>
                <w:lang w:eastAsia="en-US"/>
              </w:rPr>
              <w:t>TI</w:t>
            </w:r>
          </w:p>
        </w:tc>
        <w:tc>
          <w:tcPr>
            <w:tcW w:w="648" w:type="dxa"/>
            <w:gridSpan w:val="2"/>
            <w:tcBorders>
              <w:top w:val="single" w:sz="4" w:space="0" w:color="auto"/>
              <w:left w:val="single" w:sz="4" w:space="0" w:color="auto"/>
              <w:bottom w:val="single" w:sz="4" w:space="0" w:color="auto"/>
              <w:right w:val="single" w:sz="4" w:space="0" w:color="auto"/>
            </w:tcBorders>
            <w:shd w:val="clear" w:color="auto" w:fill="auto"/>
          </w:tcPr>
          <w:p w14:paraId="05C12D80" w14:textId="77777777" w:rsidR="00711444" w:rsidRPr="004D0DAA" w:rsidRDefault="00711444" w:rsidP="00AA2A4C">
            <w:pPr>
              <w:pStyle w:val="TAC"/>
              <w:spacing w:line="240" w:lineRule="exact"/>
              <w:rPr>
                <w:lang w:eastAsia="en-US"/>
              </w:rPr>
            </w:pPr>
            <w:r w:rsidRPr="004D0DAA">
              <w:rPr>
                <w:lang w:eastAsia="en-US"/>
              </w:rPr>
              <w:t>E</w:t>
            </w:r>
          </w:p>
        </w:tc>
        <w:tc>
          <w:tcPr>
            <w:tcW w:w="648" w:type="dxa"/>
            <w:tcBorders>
              <w:top w:val="nil"/>
              <w:left w:val="single" w:sz="4" w:space="0" w:color="auto"/>
              <w:bottom w:val="nil"/>
              <w:right w:val="nil"/>
            </w:tcBorders>
            <w:shd w:val="clear" w:color="auto" w:fill="auto"/>
          </w:tcPr>
          <w:p w14:paraId="5EFB4AB6"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696DFF55" w14:textId="77777777" w:rsidR="00711444" w:rsidRPr="004D0DAA" w:rsidRDefault="00711444" w:rsidP="00AA2A4C">
            <w:pPr>
              <w:spacing w:after="0" w:line="240" w:lineRule="exact"/>
              <w:rPr>
                <w:rFonts w:ascii="Arial" w:hAnsi="Arial" w:cs="Arial"/>
                <w:sz w:val="18"/>
                <w:szCs w:val="18"/>
              </w:rPr>
            </w:pPr>
          </w:p>
        </w:tc>
        <w:tc>
          <w:tcPr>
            <w:tcW w:w="648" w:type="dxa"/>
            <w:tcBorders>
              <w:top w:val="nil"/>
              <w:left w:val="nil"/>
              <w:bottom w:val="nil"/>
              <w:right w:val="nil"/>
            </w:tcBorders>
            <w:shd w:val="clear" w:color="auto" w:fill="auto"/>
          </w:tcPr>
          <w:p w14:paraId="3BE94A34" w14:textId="77777777" w:rsidR="00711444" w:rsidRPr="004D0DAA" w:rsidRDefault="00711444" w:rsidP="00AA2A4C">
            <w:pPr>
              <w:spacing w:after="0" w:line="240" w:lineRule="exact"/>
              <w:rPr>
                <w:rFonts w:ascii="Arial" w:hAnsi="Arial" w:cs="Arial"/>
                <w:sz w:val="18"/>
                <w:szCs w:val="18"/>
              </w:rPr>
            </w:pPr>
          </w:p>
        </w:tc>
        <w:tc>
          <w:tcPr>
            <w:tcW w:w="2520" w:type="dxa"/>
            <w:tcBorders>
              <w:top w:val="nil"/>
              <w:left w:val="nil"/>
              <w:bottom w:val="nil"/>
              <w:right w:val="nil"/>
            </w:tcBorders>
            <w:shd w:val="clear" w:color="auto" w:fill="auto"/>
          </w:tcPr>
          <w:p w14:paraId="7FD07D0F" w14:textId="77777777" w:rsidR="00711444" w:rsidRPr="004D0DAA" w:rsidRDefault="00711444" w:rsidP="00AA2A4C">
            <w:pPr>
              <w:spacing w:after="0" w:line="240" w:lineRule="exact"/>
              <w:rPr>
                <w:rFonts w:ascii="Arial" w:hAnsi="Arial" w:cs="Arial"/>
                <w:sz w:val="18"/>
                <w:szCs w:val="18"/>
              </w:rPr>
            </w:pPr>
          </w:p>
        </w:tc>
      </w:tr>
      <w:tr w:rsidR="00711444" w:rsidRPr="004D0DAA" w14:paraId="0ACAF5BA" w14:textId="77777777" w:rsidTr="00AA2A4C">
        <w:trPr>
          <w:trHeight w:val="720"/>
        </w:trPr>
        <w:tc>
          <w:tcPr>
            <w:tcW w:w="648" w:type="dxa"/>
            <w:gridSpan w:val="2"/>
            <w:tcBorders>
              <w:top w:val="nil"/>
              <w:left w:val="nil"/>
              <w:bottom w:val="nil"/>
              <w:right w:val="nil"/>
            </w:tcBorders>
            <w:shd w:val="clear" w:color="auto" w:fill="auto"/>
          </w:tcPr>
          <w:p w14:paraId="3F1008E1"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65316B0A"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33E44D87" w14:textId="77777777" w:rsidR="00711444" w:rsidRPr="004D0DAA" w:rsidRDefault="00711444" w:rsidP="00AA2A4C">
            <w:pPr>
              <w:rPr>
                <w:rFonts w:ascii="Arial" w:hAnsi="Arial" w:cs="Arial"/>
                <w:sz w:val="18"/>
                <w:szCs w:val="18"/>
              </w:rPr>
            </w:pPr>
          </w:p>
        </w:tc>
        <w:tc>
          <w:tcPr>
            <w:tcW w:w="648" w:type="dxa"/>
            <w:tcBorders>
              <w:top w:val="single" w:sz="4" w:space="0" w:color="auto"/>
              <w:left w:val="nil"/>
              <w:bottom w:val="nil"/>
              <w:right w:val="nil"/>
            </w:tcBorders>
            <w:shd w:val="clear" w:color="auto" w:fill="auto"/>
          </w:tcPr>
          <w:p w14:paraId="587F074A" w14:textId="77777777" w:rsidR="00711444" w:rsidRPr="004D0DAA" w:rsidRDefault="00711444" w:rsidP="00AA2A4C">
            <w:pPr>
              <w:rPr>
                <w:rFonts w:ascii="Arial" w:hAnsi="Arial" w:cs="Arial"/>
                <w:sz w:val="18"/>
                <w:szCs w:val="18"/>
              </w:rPr>
            </w:pPr>
          </w:p>
        </w:tc>
        <w:tc>
          <w:tcPr>
            <w:tcW w:w="648" w:type="dxa"/>
            <w:gridSpan w:val="2"/>
            <w:tcBorders>
              <w:top w:val="single" w:sz="4" w:space="0" w:color="auto"/>
              <w:left w:val="nil"/>
              <w:bottom w:val="nil"/>
              <w:right w:val="nil"/>
            </w:tcBorders>
            <w:shd w:val="clear" w:color="auto" w:fill="auto"/>
          </w:tcPr>
          <w:p w14:paraId="1C477428"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7C3FE6F0"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3A8B7F2C" w14:textId="77777777" w:rsidR="00711444" w:rsidRPr="004D0DAA" w:rsidRDefault="00711444" w:rsidP="00AA2A4C">
            <w:pPr>
              <w:rPr>
                <w:rFonts w:ascii="Arial" w:hAnsi="Arial" w:cs="Arial"/>
                <w:sz w:val="18"/>
                <w:szCs w:val="18"/>
              </w:rPr>
            </w:pPr>
          </w:p>
        </w:tc>
        <w:tc>
          <w:tcPr>
            <w:tcW w:w="648" w:type="dxa"/>
            <w:tcBorders>
              <w:top w:val="nil"/>
              <w:left w:val="nil"/>
              <w:bottom w:val="nil"/>
              <w:right w:val="nil"/>
            </w:tcBorders>
            <w:shd w:val="clear" w:color="auto" w:fill="auto"/>
          </w:tcPr>
          <w:p w14:paraId="149A89BD" w14:textId="77777777" w:rsidR="00711444" w:rsidRPr="004D0DAA" w:rsidRDefault="00711444" w:rsidP="00AA2A4C">
            <w:pPr>
              <w:rPr>
                <w:rFonts w:ascii="Arial" w:hAnsi="Arial" w:cs="Arial"/>
                <w:sz w:val="18"/>
                <w:szCs w:val="18"/>
              </w:rPr>
            </w:pPr>
          </w:p>
        </w:tc>
        <w:tc>
          <w:tcPr>
            <w:tcW w:w="2520" w:type="dxa"/>
            <w:tcBorders>
              <w:top w:val="nil"/>
              <w:left w:val="nil"/>
              <w:bottom w:val="nil"/>
              <w:right w:val="nil"/>
            </w:tcBorders>
            <w:shd w:val="clear" w:color="auto" w:fill="auto"/>
          </w:tcPr>
          <w:p w14:paraId="07A2C778" w14:textId="77777777" w:rsidR="00711444" w:rsidRPr="004D0DAA" w:rsidRDefault="00711444" w:rsidP="00AA2A4C">
            <w:pPr>
              <w:rPr>
                <w:rFonts w:ascii="Arial" w:hAnsi="Arial" w:cs="Arial"/>
                <w:sz w:val="18"/>
                <w:szCs w:val="18"/>
              </w:rPr>
            </w:pPr>
          </w:p>
        </w:tc>
      </w:tr>
      <w:tr w:rsidR="00711444" w:rsidRPr="004D0DAA" w14:paraId="550E0231" w14:textId="77777777" w:rsidTr="00AA2A4C">
        <w:trPr>
          <w:trHeight w:val="288"/>
        </w:trPr>
        <w:tc>
          <w:tcPr>
            <w:tcW w:w="5184" w:type="dxa"/>
            <w:gridSpan w:val="10"/>
            <w:tcBorders>
              <w:top w:val="nil"/>
              <w:left w:val="nil"/>
              <w:bottom w:val="nil"/>
              <w:right w:val="nil"/>
            </w:tcBorders>
            <w:shd w:val="clear" w:color="auto" w:fill="auto"/>
          </w:tcPr>
          <w:p w14:paraId="27419DB7" w14:textId="77777777" w:rsidR="00711444" w:rsidRPr="004D0DAA" w:rsidRDefault="00711444" w:rsidP="00AA2A4C">
            <w:pPr>
              <w:pStyle w:val="TAC"/>
              <w:spacing w:line="240" w:lineRule="exact"/>
              <w:rPr>
                <w:lang w:eastAsia="en-US"/>
              </w:rPr>
            </w:pPr>
            <w:r w:rsidRPr="004D0DAA">
              <w:rPr>
                <w:lang w:eastAsia="en-US"/>
              </w:rPr>
              <w:lastRenderedPageBreak/>
              <w:t>Bit</w:t>
            </w:r>
          </w:p>
        </w:tc>
        <w:tc>
          <w:tcPr>
            <w:tcW w:w="2520" w:type="dxa"/>
            <w:tcBorders>
              <w:top w:val="nil"/>
              <w:left w:val="nil"/>
              <w:bottom w:val="nil"/>
              <w:right w:val="nil"/>
            </w:tcBorders>
            <w:shd w:val="clear" w:color="auto" w:fill="auto"/>
          </w:tcPr>
          <w:p w14:paraId="1B4C315A" w14:textId="77777777" w:rsidR="00711444" w:rsidRPr="004D0DAA" w:rsidRDefault="00711444" w:rsidP="00AA2A4C">
            <w:pPr>
              <w:pStyle w:val="TAC"/>
              <w:spacing w:line="240" w:lineRule="exact"/>
              <w:rPr>
                <w:lang w:eastAsia="en-US"/>
              </w:rPr>
            </w:pPr>
          </w:p>
        </w:tc>
      </w:tr>
      <w:tr w:rsidR="00711444" w:rsidRPr="004D0DAA" w14:paraId="0F46F11D" w14:textId="77777777" w:rsidTr="00AA2A4C">
        <w:trPr>
          <w:trHeight w:val="288"/>
        </w:trPr>
        <w:tc>
          <w:tcPr>
            <w:tcW w:w="648" w:type="dxa"/>
            <w:gridSpan w:val="2"/>
            <w:tcBorders>
              <w:top w:val="nil"/>
              <w:left w:val="nil"/>
              <w:bottom w:val="single" w:sz="4" w:space="0" w:color="auto"/>
              <w:right w:val="nil"/>
            </w:tcBorders>
            <w:shd w:val="clear" w:color="auto" w:fill="auto"/>
          </w:tcPr>
          <w:p w14:paraId="1576E9FF" w14:textId="77777777" w:rsidR="00711444" w:rsidRPr="004D0DAA" w:rsidRDefault="00711444" w:rsidP="00AA2A4C">
            <w:pPr>
              <w:pStyle w:val="TAC"/>
              <w:spacing w:line="240" w:lineRule="exact"/>
              <w:rPr>
                <w:lang w:eastAsia="en-US"/>
              </w:rPr>
            </w:pPr>
            <w:r w:rsidRPr="004D0DAA">
              <w:rPr>
                <w:lang w:eastAsia="en-US"/>
              </w:rPr>
              <w:t>8</w:t>
            </w:r>
          </w:p>
        </w:tc>
        <w:tc>
          <w:tcPr>
            <w:tcW w:w="648" w:type="dxa"/>
            <w:tcBorders>
              <w:top w:val="nil"/>
              <w:left w:val="nil"/>
              <w:bottom w:val="single" w:sz="4" w:space="0" w:color="auto"/>
              <w:right w:val="nil"/>
            </w:tcBorders>
            <w:shd w:val="clear" w:color="auto" w:fill="auto"/>
          </w:tcPr>
          <w:p w14:paraId="0DFB8719" w14:textId="77777777" w:rsidR="00711444" w:rsidRPr="004D0DAA" w:rsidRDefault="00711444" w:rsidP="00AA2A4C">
            <w:pPr>
              <w:pStyle w:val="TAC"/>
              <w:spacing w:line="240" w:lineRule="exact"/>
              <w:rPr>
                <w:lang w:eastAsia="en-US"/>
              </w:rPr>
            </w:pPr>
            <w:r w:rsidRPr="004D0DAA">
              <w:rPr>
                <w:lang w:eastAsia="en-US"/>
              </w:rPr>
              <w:t>7</w:t>
            </w:r>
          </w:p>
        </w:tc>
        <w:tc>
          <w:tcPr>
            <w:tcW w:w="648" w:type="dxa"/>
            <w:tcBorders>
              <w:top w:val="nil"/>
              <w:left w:val="nil"/>
              <w:bottom w:val="single" w:sz="4" w:space="0" w:color="auto"/>
              <w:right w:val="nil"/>
            </w:tcBorders>
            <w:shd w:val="clear" w:color="auto" w:fill="auto"/>
          </w:tcPr>
          <w:p w14:paraId="057A8B0C" w14:textId="77777777" w:rsidR="00711444" w:rsidRPr="004D0DAA" w:rsidRDefault="00711444" w:rsidP="00AA2A4C">
            <w:pPr>
              <w:pStyle w:val="TAC"/>
              <w:spacing w:line="240" w:lineRule="exact"/>
              <w:rPr>
                <w:lang w:eastAsia="en-US"/>
              </w:rPr>
            </w:pPr>
            <w:r w:rsidRPr="004D0DAA">
              <w:rPr>
                <w:lang w:eastAsia="en-US"/>
              </w:rPr>
              <w:t>6</w:t>
            </w:r>
          </w:p>
        </w:tc>
        <w:tc>
          <w:tcPr>
            <w:tcW w:w="648" w:type="dxa"/>
            <w:tcBorders>
              <w:top w:val="nil"/>
              <w:left w:val="nil"/>
              <w:bottom w:val="single" w:sz="4" w:space="0" w:color="auto"/>
              <w:right w:val="nil"/>
            </w:tcBorders>
            <w:shd w:val="clear" w:color="auto" w:fill="auto"/>
          </w:tcPr>
          <w:p w14:paraId="49351158" w14:textId="77777777" w:rsidR="00711444" w:rsidRPr="004D0DAA" w:rsidRDefault="00711444" w:rsidP="00AA2A4C">
            <w:pPr>
              <w:pStyle w:val="TAC"/>
              <w:spacing w:line="240" w:lineRule="exact"/>
              <w:rPr>
                <w:lang w:eastAsia="en-US"/>
              </w:rPr>
            </w:pPr>
            <w:r w:rsidRPr="004D0DAA">
              <w:rPr>
                <w:lang w:eastAsia="en-US"/>
              </w:rPr>
              <w:t>5</w:t>
            </w:r>
          </w:p>
        </w:tc>
        <w:tc>
          <w:tcPr>
            <w:tcW w:w="648" w:type="dxa"/>
            <w:gridSpan w:val="2"/>
            <w:tcBorders>
              <w:top w:val="nil"/>
              <w:left w:val="nil"/>
              <w:bottom w:val="single" w:sz="4" w:space="0" w:color="auto"/>
              <w:right w:val="nil"/>
            </w:tcBorders>
            <w:shd w:val="clear" w:color="auto" w:fill="auto"/>
          </w:tcPr>
          <w:p w14:paraId="13E72979" w14:textId="77777777" w:rsidR="00711444" w:rsidRPr="004D0DAA" w:rsidRDefault="00711444" w:rsidP="00AA2A4C">
            <w:pPr>
              <w:pStyle w:val="TAC"/>
              <w:spacing w:line="240" w:lineRule="exact"/>
              <w:rPr>
                <w:lang w:eastAsia="en-US"/>
              </w:rPr>
            </w:pPr>
            <w:r w:rsidRPr="004D0DAA">
              <w:rPr>
                <w:lang w:eastAsia="en-US"/>
              </w:rPr>
              <w:t>4</w:t>
            </w:r>
          </w:p>
        </w:tc>
        <w:tc>
          <w:tcPr>
            <w:tcW w:w="648" w:type="dxa"/>
            <w:tcBorders>
              <w:top w:val="nil"/>
              <w:left w:val="nil"/>
              <w:bottom w:val="single" w:sz="4" w:space="0" w:color="auto"/>
              <w:right w:val="nil"/>
            </w:tcBorders>
            <w:shd w:val="clear" w:color="auto" w:fill="auto"/>
          </w:tcPr>
          <w:p w14:paraId="262ECBE5" w14:textId="77777777" w:rsidR="00711444" w:rsidRPr="004D0DAA" w:rsidRDefault="00711444" w:rsidP="00AA2A4C">
            <w:pPr>
              <w:pStyle w:val="TAC"/>
              <w:spacing w:line="240" w:lineRule="exact"/>
              <w:rPr>
                <w:lang w:eastAsia="en-US"/>
              </w:rPr>
            </w:pPr>
            <w:r w:rsidRPr="004D0DAA">
              <w:rPr>
                <w:lang w:eastAsia="en-US"/>
              </w:rPr>
              <w:t>3</w:t>
            </w:r>
          </w:p>
        </w:tc>
        <w:tc>
          <w:tcPr>
            <w:tcW w:w="648" w:type="dxa"/>
            <w:tcBorders>
              <w:top w:val="nil"/>
              <w:left w:val="nil"/>
              <w:bottom w:val="single" w:sz="4" w:space="0" w:color="auto"/>
              <w:right w:val="nil"/>
            </w:tcBorders>
            <w:shd w:val="clear" w:color="auto" w:fill="auto"/>
          </w:tcPr>
          <w:p w14:paraId="6C50C7DC" w14:textId="77777777" w:rsidR="00711444" w:rsidRPr="004D0DAA" w:rsidRDefault="00711444" w:rsidP="00AA2A4C">
            <w:pPr>
              <w:pStyle w:val="TAC"/>
              <w:spacing w:line="240" w:lineRule="exact"/>
              <w:rPr>
                <w:lang w:eastAsia="en-US"/>
              </w:rPr>
            </w:pPr>
            <w:r w:rsidRPr="004D0DAA">
              <w:rPr>
                <w:lang w:eastAsia="en-US"/>
              </w:rPr>
              <w:t>2</w:t>
            </w:r>
          </w:p>
        </w:tc>
        <w:tc>
          <w:tcPr>
            <w:tcW w:w="648" w:type="dxa"/>
            <w:tcBorders>
              <w:top w:val="nil"/>
              <w:left w:val="nil"/>
              <w:bottom w:val="single" w:sz="4" w:space="0" w:color="auto"/>
              <w:right w:val="nil"/>
            </w:tcBorders>
            <w:shd w:val="clear" w:color="auto" w:fill="auto"/>
          </w:tcPr>
          <w:p w14:paraId="7210418C" w14:textId="77777777" w:rsidR="00711444" w:rsidRPr="004D0DAA" w:rsidRDefault="00711444" w:rsidP="00AA2A4C">
            <w:pPr>
              <w:pStyle w:val="TAC"/>
              <w:spacing w:line="240" w:lineRule="exact"/>
              <w:rPr>
                <w:lang w:eastAsia="en-US"/>
              </w:rPr>
            </w:pPr>
            <w:r w:rsidRPr="004D0DAA">
              <w:rPr>
                <w:lang w:eastAsia="en-US"/>
              </w:rPr>
              <w:t>1</w:t>
            </w:r>
          </w:p>
        </w:tc>
        <w:tc>
          <w:tcPr>
            <w:tcW w:w="2520" w:type="dxa"/>
            <w:tcBorders>
              <w:top w:val="nil"/>
              <w:left w:val="nil"/>
              <w:bottom w:val="nil"/>
              <w:right w:val="nil"/>
            </w:tcBorders>
            <w:shd w:val="clear" w:color="auto" w:fill="auto"/>
          </w:tcPr>
          <w:p w14:paraId="74AF9729" w14:textId="77777777" w:rsidR="00711444" w:rsidRPr="004D0DAA" w:rsidRDefault="00711444" w:rsidP="00AA2A4C">
            <w:pPr>
              <w:pStyle w:val="TAC"/>
              <w:spacing w:line="240" w:lineRule="exact"/>
              <w:rPr>
                <w:lang w:eastAsia="en-US"/>
              </w:rPr>
            </w:pPr>
          </w:p>
        </w:tc>
      </w:tr>
      <w:tr w:rsidR="00711444" w:rsidRPr="004D0DAA" w14:paraId="67998082" w14:textId="77777777" w:rsidTr="00AA2A4C">
        <w:trPr>
          <w:trHeight w:val="288"/>
        </w:trPr>
        <w:tc>
          <w:tcPr>
            <w:tcW w:w="4536" w:type="dxa"/>
            <w:gridSpan w:val="9"/>
            <w:tcBorders>
              <w:top w:val="single" w:sz="4" w:space="0" w:color="auto"/>
            </w:tcBorders>
            <w:shd w:val="clear" w:color="auto" w:fill="auto"/>
          </w:tcPr>
          <w:p w14:paraId="2F9CAAB2" w14:textId="77777777" w:rsidR="00711444" w:rsidRPr="004D0DAA" w:rsidRDefault="00711444" w:rsidP="00AA2A4C">
            <w:pPr>
              <w:pStyle w:val="TAC"/>
              <w:spacing w:line="240" w:lineRule="exact"/>
              <w:rPr>
                <w:lang w:eastAsia="en-US"/>
              </w:rPr>
            </w:pPr>
            <w:r w:rsidRPr="004D0DAA">
              <w:rPr>
                <w:lang w:eastAsia="en-US"/>
              </w:rPr>
              <w:t>Length Indicator</w:t>
            </w:r>
          </w:p>
        </w:tc>
        <w:tc>
          <w:tcPr>
            <w:tcW w:w="648" w:type="dxa"/>
            <w:tcBorders>
              <w:top w:val="single" w:sz="4" w:space="0" w:color="auto"/>
              <w:right w:val="single" w:sz="4" w:space="0" w:color="auto"/>
            </w:tcBorders>
            <w:shd w:val="clear" w:color="auto" w:fill="auto"/>
          </w:tcPr>
          <w:p w14:paraId="284D3B3E"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35E6856D" w14:textId="77777777" w:rsidR="00711444" w:rsidRPr="004D0DAA" w:rsidRDefault="00711444" w:rsidP="00AA2A4C">
            <w:pPr>
              <w:pStyle w:val="TAC"/>
              <w:spacing w:line="240" w:lineRule="exact"/>
              <w:rPr>
                <w:lang w:eastAsia="en-US"/>
              </w:rPr>
            </w:pPr>
            <w:r w:rsidRPr="004D0DAA">
              <w:rPr>
                <w:lang w:eastAsia="en-US"/>
              </w:rPr>
              <w:t>Octet 1 (note 1) (optional)</w:t>
            </w:r>
          </w:p>
        </w:tc>
      </w:tr>
      <w:tr w:rsidR="00711444" w:rsidRPr="004D0DAA" w14:paraId="43F41194" w14:textId="77777777" w:rsidTr="00AA2A4C">
        <w:trPr>
          <w:trHeight w:val="288"/>
        </w:trPr>
        <w:tc>
          <w:tcPr>
            <w:tcW w:w="3240" w:type="dxa"/>
            <w:gridSpan w:val="7"/>
            <w:shd w:val="clear" w:color="auto" w:fill="auto"/>
          </w:tcPr>
          <w:p w14:paraId="06E3FA3C" w14:textId="77777777" w:rsidR="00711444" w:rsidRPr="004D0DAA" w:rsidRDefault="00711444" w:rsidP="00AA2A4C">
            <w:pPr>
              <w:pStyle w:val="TAC"/>
              <w:spacing w:line="240" w:lineRule="exact"/>
              <w:rPr>
                <w:lang w:eastAsia="en-US"/>
              </w:rPr>
            </w:pPr>
            <w:r w:rsidRPr="004D0DAA">
              <w:rPr>
                <w:lang w:eastAsia="en-US"/>
              </w:rPr>
              <w:t>spare</w:t>
            </w:r>
          </w:p>
        </w:tc>
        <w:tc>
          <w:tcPr>
            <w:tcW w:w="1944" w:type="dxa"/>
            <w:gridSpan w:val="3"/>
            <w:tcBorders>
              <w:right w:val="single" w:sz="4" w:space="0" w:color="auto"/>
            </w:tcBorders>
            <w:shd w:val="clear" w:color="auto" w:fill="auto"/>
          </w:tcPr>
          <w:p w14:paraId="73037EB3" w14:textId="77777777" w:rsidR="00711444" w:rsidRPr="004D0DAA" w:rsidRDefault="00711444" w:rsidP="00AA2A4C">
            <w:pPr>
              <w:pStyle w:val="TAC"/>
              <w:spacing w:line="240" w:lineRule="exact"/>
              <w:rPr>
                <w:lang w:eastAsia="en-US"/>
              </w:rPr>
            </w:pPr>
            <w:r w:rsidRPr="004D0DAA">
              <w:rPr>
                <w:lang w:eastAsia="en-US"/>
              </w:rPr>
              <w:t>Selected PLMN Index</w:t>
            </w:r>
          </w:p>
        </w:tc>
        <w:tc>
          <w:tcPr>
            <w:tcW w:w="2520" w:type="dxa"/>
            <w:tcBorders>
              <w:top w:val="nil"/>
              <w:left w:val="single" w:sz="4" w:space="0" w:color="auto"/>
              <w:bottom w:val="nil"/>
              <w:right w:val="nil"/>
            </w:tcBorders>
            <w:shd w:val="clear" w:color="auto" w:fill="auto"/>
          </w:tcPr>
          <w:p w14:paraId="68208DFD" w14:textId="77777777" w:rsidR="00711444" w:rsidRPr="004D0DAA" w:rsidRDefault="00711444" w:rsidP="00AA2A4C">
            <w:pPr>
              <w:pStyle w:val="TAC"/>
              <w:spacing w:line="240" w:lineRule="exact"/>
              <w:rPr>
                <w:lang w:eastAsia="en-US"/>
              </w:rPr>
            </w:pPr>
            <w:r w:rsidRPr="004D0DAA">
              <w:rPr>
                <w:lang w:eastAsia="en-US"/>
              </w:rPr>
              <w:t>Octet 2 (note 3) (optional)</w:t>
            </w:r>
          </w:p>
        </w:tc>
      </w:tr>
      <w:tr w:rsidR="00711444" w:rsidRPr="004D0DAA" w14:paraId="5AF8F1C7" w14:textId="77777777" w:rsidTr="00AA2A4C">
        <w:trPr>
          <w:trHeight w:val="288"/>
        </w:trPr>
        <w:tc>
          <w:tcPr>
            <w:tcW w:w="5184" w:type="dxa"/>
            <w:gridSpan w:val="10"/>
            <w:tcBorders>
              <w:right w:val="single" w:sz="4" w:space="0" w:color="auto"/>
            </w:tcBorders>
            <w:shd w:val="clear" w:color="auto" w:fill="auto"/>
          </w:tcPr>
          <w:p w14:paraId="05533F79" w14:textId="77777777" w:rsidR="00711444" w:rsidRPr="004D0DAA" w:rsidRDefault="00711444" w:rsidP="00AA2A4C">
            <w:pPr>
              <w:pStyle w:val="TAC"/>
              <w:spacing w:line="240" w:lineRule="exact"/>
              <w:rPr>
                <w:lang w:eastAsia="en-US"/>
              </w:rPr>
            </w:pPr>
            <w:r w:rsidRPr="004D0DAA">
              <w:rPr>
                <w:lang w:eastAsia="en-US"/>
              </w:rPr>
              <w:t>.</w:t>
            </w:r>
          </w:p>
          <w:p w14:paraId="65B6BD3A" w14:textId="77777777" w:rsidR="00711444" w:rsidRPr="004D0DAA" w:rsidRDefault="00711444" w:rsidP="00AA2A4C">
            <w:pPr>
              <w:pStyle w:val="TAC"/>
              <w:spacing w:line="240" w:lineRule="exact"/>
              <w:rPr>
                <w:lang w:eastAsia="en-US"/>
              </w:rPr>
            </w:pPr>
            <w:r w:rsidRPr="004D0DAA">
              <w:rPr>
                <w:lang w:eastAsia="en-US"/>
              </w:rPr>
              <w:t>.</w:t>
            </w:r>
          </w:p>
          <w:p w14:paraId="2E8643B8" w14:textId="77777777" w:rsidR="00711444" w:rsidRPr="004D0DAA" w:rsidRDefault="00711444" w:rsidP="00AA2A4C">
            <w:pPr>
              <w:pStyle w:val="TAC"/>
              <w:spacing w:line="240" w:lineRule="exact"/>
              <w:rPr>
                <w:lang w:eastAsia="en-US"/>
              </w:rPr>
            </w:pPr>
            <w:r w:rsidRPr="004D0DAA">
              <w:rPr>
                <w:lang w:eastAsia="en-US"/>
              </w:rPr>
              <w:t>.</w:t>
            </w:r>
          </w:p>
        </w:tc>
        <w:tc>
          <w:tcPr>
            <w:tcW w:w="2520" w:type="dxa"/>
            <w:tcBorders>
              <w:top w:val="nil"/>
              <w:left w:val="single" w:sz="4" w:space="0" w:color="auto"/>
              <w:bottom w:val="nil"/>
              <w:right w:val="nil"/>
            </w:tcBorders>
            <w:shd w:val="clear" w:color="auto" w:fill="auto"/>
          </w:tcPr>
          <w:p w14:paraId="6FE0C807" w14:textId="77777777" w:rsidR="00711444" w:rsidRPr="004D0DAA" w:rsidRDefault="00711444" w:rsidP="00AA2A4C">
            <w:pPr>
              <w:pStyle w:val="TAC"/>
              <w:spacing w:line="240" w:lineRule="exact"/>
              <w:rPr>
                <w:lang w:eastAsia="en-US"/>
              </w:rPr>
            </w:pPr>
            <w:r w:rsidRPr="004D0DAA">
              <w:rPr>
                <w:lang w:eastAsia="en-US"/>
              </w:rPr>
              <w:t>.</w:t>
            </w:r>
          </w:p>
          <w:p w14:paraId="1D669ABF" w14:textId="77777777" w:rsidR="00711444" w:rsidRPr="004D0DAA" w:rsidRDefault="00711444" w:rsidP="00AA2A4C">
            <w:pPr>
              <w:pStyle w:val="TAC"/>
              <w:spacing w:line="240" w:lineRule="exact"/>
              <w:rPr>
                <w:lang w:eastAsia="en-US"/>
              </w:rPr>
            </w:pPr>
            <w:r w:rsidRPr="004D0DAA">
              <w:rPr>
                <w:lang w:eastAsia="en-US"/>
              </w:rPr>
              <w:t>.</w:t>
            </w:r>
          </w:p>
          <w:p w14:paraId="044B61F0" w14:textId="77777777" w:rsidR="00711444" w:rsidRPr="004D0DAA" w:rsidRDefault="00711444" w:rsidP="00AA2A4C">
            <w:pPr>
              <w:pStyle w:val="TAC"/>
              <w:spacing w:line="240" w:lineRule="exact"/>
              <w:rPr>
                <w:lang w:eastAsia="en-US"/>
              </w:rPr>
            </w:pPr>
            <w:r w:rsidRPr="004D0DAA">
              <w:rPr>
                <w:lang w:eastAsia="en-US"/>
              </w:rPr>
              <w:t>.</w:t>
            </w:r>
          </w:p>
        </w:tc>
      </w:tr>
      <w:tr w:rsidR="00711444" w:rsidRPr="004D0DAA" w14:paraId="43D0694D" w14:textId="77777777" w:rsidTr="00AA2A4C">
        <w:trPr>
          <w:trHeight w:val="288"/>
        </w:trPr>
        <w:tc>
          <w:tcPr>
            <w:tcW w:w="4536" w:type="dxa"/>
            <w:gridSpan w:val="9"/>
            <w:shd w:val="clear" w:color="auto" w:fill="auto"/>
          </w:tcPr>
          <w:p w14:paraId="1B6044F9" w14:textId="77777777" w:rsidR="00711444" w:rsidRPr="004D0DAA" w:rsidRDefault="00711444" w:rsidP="00AA2A4C">
            <w:pPr>
              <w:pStyle w:val="TAC"/>
              <w:spacing w:line="240" w:lineRule="exact"/>
              <w:rPr>
                <w:lang w:eastAsia="en-US"/>
              </w:rPr>
            </w:pPr>
            <w:r w:rsidRPr="004D0DAA">
              <w:rPr>
                <w:lang w:eastAsia="en-US"/>
              </w:rPr>
              <w:t>Length Indicator</w:t>
            </w:r>
          </w:p>
        </w:tc>
        <w:tc>
          <w:tcPr>
            <w:tcW w:w="648" w:type="dxa"/>
            <w:tcBorders>
              <w:right w:val="single" w:sz="4" w:space="0" w:color="auto"/>
            </w:tcBorders>
            <w:shd w:val="clear" w:color="auto" w:fill="auto"/>
          </w:tcPr>
          <w:p w14:paraId="5742CA97"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3862DD4B" w14:textId="77777777" w:rsidR="00711444" w:rsidRPr="004D0DAA" w:rsidRDefault="00711444" w:rsidP="00AA2A4C">
            <w:pPr>
              <w:pStyle w:val="TAC"/>
              <w:spacing w:line="240" w:lineRule="exact"/>
              <w:rPr>
                <w:lang w:eastAsia="en-US"/>
              </w:rPr>
            </w:pPr>
            <w:r w:rsidRPr="004D0DAA">
              <w:rPr>
                <w:lang w:eastAsia="en-US"/>
              </w:rPr>
              <w:t>Octet M (optional)</w:t>
            </w:r>
          </w:p>
        </w:tc>
      </w:tr>
      <w:tr w:rsidR="00711444" w:rsidRPr="004D0DAA" w14:paraId="441CD4F8" w14:textId="77777777" w:rsidTr="00AA2A4C">
        <w:trPr>
          <w:trHeight w:val="288"/>
        </w:trPr>
        <w:tc>
          <w:tcPr>
            <w:tcW w:w="5184" w:type="dxa"/>
            <w:gridSpan w:val="10"/>
            <w:vMerge w:val="restart"/>
            <w:tcBorders>
              <w:right w:val="single" w:sz="4" w:space="0" w:color="auto"/>
            </w:tcBorders>
            <w:shd w:val="clear" w:color="auto" w:fill="auto"/>
          </w:tcPr>
          <w:p w14:paraId="2D648DC2" w14:textId="77777777" w:rsidR="00711444" w:rsidRPr="004D0DAA" w:rsidRDefault="00711444" w:rsidP="00AA2A4C">
            <w:pPr>
              <w:pStyle w:val="TAC"/>
              <w:spacing w:before="360" w:line="240" w:lineRule="exact"/>
              <w:rPr>
                <w:lang w:eastAsia="en-US"/>
              </w:rPr>
            </w:pPr>
            <w:r w:rsidRPr="004D0DAA">
              <w:rPr>
                <w:lang w:eastAsia="en-US"/>
              </w:rPr>
              <w:t>TLLI</w:t>
            </w:r>
          </w:p>
        </w:tc>
        <w:tc>
          <w:tcPr>
            <w:tcW w:w="2520" w:type="dxa"/>
            <w:tcBorders>
              <w:top w:val="nil"/>
              <w:left w:val="single" w:sz="4" w:space="0" w:color="auto"/>
              <w:bottom w:val="nil"/>
              <w:right w:val="nil"/>
            </w:tcBorders>
            <w:shd w:val="clear" w:color="auto" w:fill="auto"/>
          </w:tcPr>
          <w:p w14:paraId="059F1CB4" w14:textId="77777777" w:rsidR="00711444" w:rsidRPr="004D0DAA" w:rsidRDefault="00711444" w:rsidP="00AA2A4C">
            <w:pPr>
              <w:pStyle w:val="TAC"/>
              <w:spacing w:line="240" w:lineRule="exact"/>
              <w:rPr>
                <w:lang w:eastAsia="en-US"/>
              </w:rPr>
            </w:pPr>
            <w:r w:rsidRPr="004D0DAA">
              <w:rPr>
                <w:lang w:eastAsia="en-US"/>
              </w:rPr>
              <w:t>Octet M+1 /</w:t>
            </w:r>
          </w:p>
        </w:tc>
      </w:tr>
      <w:tr w:rsidR="00711444" w:rsidRPr="004D0DAA" w14:paraId="2FA49D65" w14:textId="77777777" w:rsidTr="00AA2A4C">
        <w:trPr>
          <w:trHeight w:val="288"/>
        </w:trPr>
        <w:tc>
          <w:tcPr>
            <w:tcW w:w="5184" w:type="dxa"/>
            <w:gridSpan w:val="10"/>
            <w:vMerge/>
            <w:tcBorders>
              <w:right w:val="single" w:sz="4" w:space="0" w:color="auto"/>
            </w:tcBorders>
            <w:shd w:val="clear" w:color="auto" w:fill="auto"/>
          </w:tcPr>
          <w:p w14:paraId="2123150C"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59EB36DD" w14:textId="77777777" w:rsidR="00711444" w:rsidRPr="004D0DAA" w:rsidRDefault="00711444" w:rsidP="00AA2A4C">
            <w:pPr>
              <w:pStyle w:val="TAC"/>
              <w:spacing w:line="240" w:lineRule="exact"/>
              <w:rPr>
                <w:lang w:eastAsia="en-US"/>
              </w:rPr>
            </w:pPr>
            <w:r w:rsidRPr="004D0DAA">
              <w:rPr>
                <w:lang w:eastAsia="en-US"/>
              </w:rPr>
              <w:t>Octet M+2 (optional)</w:t>
            </w:r>
          </w:p>
        </w:tc>
      </w:tr>
      <w:tr w:rsidR="00711444" w:rsidRPr="004D0DAA" w14:paraId="55F78DE4" w14:textId="77777777" w:rsidTr="00AA2A4C">
        <w:trPr>
          <w:trHeight w:val="288"/>
        </w:trPr>
        <w:tc>
          <w:tcPr>
            <w:tcW w:w="5184" w:type="dxa"/>
            <w:gridSpan w:val="10"/>
            <w:vMerge/>
            <w:tcBorders>
              <w:right w:val="single" w:sz="4" w:space="0" w:color="auto"/>
            </w:tcBorders>
            <w:shd w:val="clear" w:color="auto" w:fill="auto"/>
          </w:tcPr>
          <w:p w14:paraId="5936EEC0"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2B722B65" w14:textId="77777777" w:rsidR="00711444" w:rsidRPr="004D0DAA" w:rsidRDefault="00711444" w:rsidP="00AA2A4C">
            <w:pPr>
              <w:pStyle w:val="TAC"/>
              <w:spacing w:line="240" w:lineRule="exact"/>
              <w:rPr>
                <w:lang w:eastAsia="en-US"/>
              </w:rPr>
            </w:pPr>
            <w:r w:rsidRPr="004D0DAA">
              <w:rPr>
                <w:lang w:eastAsia="en-US"/>
              </w:rPr>
              <w:t>Octet M+3 /</w:t>
            </w:r>
          </w:p>
        </w:tc>
      </w:tr>
      <w:tr w:rsidR="00711444" w:rsidRPr="004D0DAA" w14:paraId="2E5C805B" w14:textId="77777777" w:rsidTr="00AA2A4C">
        <w:trPr>
          <w:trHeight w:val="288"/>
        </w:trPr>
        <w:tc>
          <w:tcPr>
            <w:tcW w:w="5184" w:type="dxa"/>
            <w:gridSpan w:val="10"/>
            <w:vMerge/>
            <w:tcBorders>
              <w:right w:val="single" w:sz="4" w:space="0" w:color="auto"/>
            </w:tcBorders>
            <w:shd w:val="clear" w:color="auto" w:fill="auto"/>
          </w:tcPr>
          <w:p w14:paraId="150B599E"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6F79CA8D" w14:textId="77777777" w:rsidR="00711444" w:rsidRPr="004D0DAA" w:rsidRDefault="00711444" w:rsidP="00AA2A4C">
            <w:pPr>
              <w:pStyle w:val="TAC"/>
              <w:spacing w:line="240" w:lineRule="exact"/>
              <w:rPr>
                <w:lang w:eastAsia="en-US"/>
              </w:rPr>
            </w:pPr>
            <w:r w:rsidRPr="004D0DAA">
              <w:rPr>
                <w:lang w:eastAsia="en-US"/>
              </w:rPr>
              <w:t>Octet M+4 /</w:t>
            </w:r>
          </w:p>
        </w:tc>
      </w:tr>
      <w:tr w:rsidR="00711444" w:rsidRPr="004D0DAA" w14:paraId="05B297F7" w14:textId="77777777" w:rsidTr="00AA2A4C">
        <w:trPr>
          <w:trHeight w:val="288"/>
        </w:trPr>
        <w:tc>
          <w:tcPr>
            <w:tcW w:w="4536" w:type="dxa"/>
            <w:gridSpan w:val="9"/>
            <w:shd w:val="clear" w:color="auto" w:fill="auto"/>
          </w:tcPr>
          <w:p w14:paraId="2DB4E3B9" w14:textId="77777777" w:rsidR="00711444" w:rsidRPr="004D0DAA" w:rsidRDefault="00711444" w:rsidP="00AA2A4C">
            <w:pPr>
              <w:pStyle w:val="TAC"/>
              <w:spacing w:line="240" w:lineRule="exact"/>
              <w:rPr>
                <w:lang w:eastAsia="en-US"/>
              </w:rPr>
            </w:pPr>
            <w:r w:rsidRPr="004D0DAA">
              <w:rPr>
                <w:lang w:eastAsia="en-US"/>
              </w:rPr>
              <w:t>Length Indicator = 122</w:t>
            </w:r>
          </w:p>
        </w:tc>
        <w:tc>
          <w:tcPr>
            <w:tcW w:w="648" w:type="dxa"/>
            <w:tcBorders>
              <w:right w:val="single" w:sz="4" w:space="0" w:color="auto"/>
            </w:tcBorders>
            <w:shd w:val="clear" w:color="auto" w:fill="auto"/>
          </w:tcPr>
          <w:p w14:paraId="0F9100AF"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48D3F032" w14:textId="77777777" w:rsidR="00711444" w:rsidRPr="004D0DAA" w:rsidRDefault="00711444" w:rsidP="00AA2A4C">
            <w:pPr>
              <w:pStyle w:val="TAC"/>
              <w:spacing w:line="240" w:lineRule="exact"/>
              <w:rPr>
                <w:lang w:eastAsia="en-US"/>
              </w:rPr>
            </w:pPr>
            <w:r w:rsidRPr="004D0DAA">
              <w:rPr>
                <w:rFonts w:cs="Arial"/>
                <w:szCs w:val="18"/>
                <w:lang w:eastAsia="en-US"/>
              </w:rPr>
              <w:t>Octet M+5 (optional)</w:t>
            </w:r>
          </w:p>
        </w:tc>
      </w:tr>
      <w:tr w:rsidR="00711444" w:rsidRPr="004D0DAA" w14:paraId="503C66CF" w14:textId="77777777" w:rsidTr="00AA2A4C">
        <w:trPr>
          <w:trHeight w:val="288"/>
        </w:trPr>
        <w:tc>
          <w:tcPr>
            <w:tcW w:w="5184" w:type="dxa"/>
            <w:gridSpan w:val="10"/>
            <w:vMerge w:val="restart"/>
            <w:tcBorders>
              <w:right w:val="single" w:sz="4" w:space="0" w:color="auto"/>
            </w:tcBorders>
            <w:shd w:val="clear" w:color="auto" w:fill="auto"/>
          </w:tcPr>
          <w:p w14:paraId="2F7CA47D" w14:textId="77777777" w:rsidR="00711444" w:rsidRPr="004D0DAA" w:rsidRDefault="00711444" w:rsidP="00AA2A4C">
            <w:pPr>
              <w:pStyle w:val="TAC"/>
              <w:spacing w:before="120" w:line="240" w:lineRule="exact"/>
              <w:rPr>
                <w:lang w:eastAsia="en-US"/>
              </w:rPr>
            </w:pPr>
            <w:r w:rsidRPr="004D0DAA">
              <w:rPr>
                <w:lang w:eastAsia="en-US"/>
              </w:rPr>
              <w:t>Cell Identity</w:t>
            </w:r>
          </w:p>
        </w:tc>
        <w:tc>
          <w:tcPr>
            <w:tcW w:w="2520" w:type="dxa"/>
            <w:tcBorders>
              <w:top w:val="nil"/>
              <w:left w:val="single" w:sz="4" w:space="0" w:color="auto"/>
              <w:bottom w:val="nil"/>
              <w:right w:val="nil"/>
            </w:tcBorders>
            <w:shd w:val="clear" w:color="auto" w:fill="auto"/>
          </w:tcPr>
          <w:p w14:paraId="5BBF2D5E"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258C013F" w14:textId="77777777" w:rsidTr="00AA2A4C">
        <w:trPr>
          <w:trHeight w:val="288"/>
        </w:trPr>
        <w:tc>
          <w:tcPr>
            <w:tcW w:w="5184" w:type="dxa"/>
            <w:gridSpan w:val="10"/>
            <w:vMerge/>
            <w:tcBorders>
              <w:right w:val="single" w:sz="4" w:space="0" w:color="auto"/>
            </w:tcBorders>
            <w:shd w:val="clear" w:color="auto" w:fill="auto"/>
          </w:tcPr>
          <w:p w14:paraId="3840F01C"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2E484501" w14:textId="77777777" w:rsidR="00711444" w:rsidRPr="004D0DAA" w:rsidRDefault="00711444" w:rsidP="00AA2A4C">
            <w:pPr>
              <w:pStyle w:val="TAC"/>
              <w:spacing w:line="240" w:lineRule="exact"/>
              <w:rPr>
                <w:lang w:eastAsia="en-US"/>
              </w:rPr>
            </w:pPr>
            <w:r w:rsidRPr="004D0DAA">
              <w:rPr>
                <w:lang w:eastAsia="en-US"/>
              </w:rPr>
              <w:t>Octet M+7</w:t>
            </w:r>
          </w:p>
        </w:tc>
      </w:tr>
      <w:tr w:rsidR="00711444" w:rsidRPr="004D0DAA" w14:paraId="5EB7766D" w14:textId="77777777" w:rsidTr="00AA2A4C">
        <w:trPr>
          <w:trHeight w:val="288"/>
        </w:trPr>
        <w:tc>
          <w:tcPr>
            <w:tcW w:w="5184" w:type="dxa"/>
            <w:gridSpan w:val="10"/>
            <w:vMerge w:val="restart"/>
            <w:tcBorders>
              <w:right w:val="single" w:sz="4" w:space="0" w:color="auto"/>
            </w:tcBorders>
            <w:shd w:val="clear" w:color="auto" w:fill="auto"/>
          </w:tcPr>
          <w:p w14:paraId="0718851D" w14:textId="77777777" w:rsidR="00711444" w:rsidRPr="004D0DAA" w:rsidRDefault="00711444" w:rsidP="00AA2A4C">
            <w:pPr>
              <w:pStyle w:val="TAC"/>
              <w:spacing w:before="600" w:line="240" w:lineRule="exact"/>
              <w:rPr>
                <w:lang w:eastAsia="en-US"/>
              </w:rPr>
            </w:pPr>
            <w:r w:rsidRPr="004D0DAA">
              <w:rPr>
                <w:lang w:eastAsia="en-US"/>
              </w:rPr>
              <w:t>Routing Area Identification</w:t>
            </w:r>
          </w:p>
        </w:tc>
        <w:tc>
          <w:tcPr>
            <w:tcW w:w="2520" w:type="dxa"/>
            <w:tcBorders>
              <w:top w:val="nil"/>
              <w:left w:val="single" w:sz="4" w:space="0" w:color="auto"/>
              <w:bottom w:val="nil"/>
              <w:right w:val="nil"/>
            </w:tcBorders>
            <w:shd w:val="clear" w:color="auto" w:fill="auto"/>
          </w:tcPr>
          <w:p w14:paraId="52B757FD" w14:textId="77777777" w:rsidR="00711444" w:rsidRPr="004D0DAA" w:rsidRDefault="00711444" w:rsidP="00AA2A4C">
            <w:pPr>
              <w:pStyle w:val="TAC"/>
              <w:spacing w:line="240" w:lineRule="exact"/>
              <w:rPr>
                <w:lang w:eastAsia="en-US"/>
              </w:rPr>
            </w:pPr>
            <w:r w:rsidRPr="004D0DAA">
              <w:rPr>
                <w:lang w:eastAsia="en-US"/>
              </w:rPr>
              <w:t>Octet M+8</w:t>
            </w:r>
          </w:p>
        </w:tc>
      </w:tr>
      <w:tr w:rsidR="00711444" w:rsidRPr="004D0DAA" w14:paraId="1C3B156D" w14:textId="77777777" w:rsidTr="00AA2A4C">
        <w:trPr>
          <w:trHeight w:val="288"/>
        </w:trPr>
        <w:tc>
          <w:tcPr>
            <w:tcW w:w="5184" w:type="dxa"/>
            <w:gridSpan w:val="10"/>
            <w:vMerge/>
            <w:tcBorders>
              <w:right w:val="single" w:sz="4" w:space="0" w:color="auto"/>
            </w:tcBorders>
            <w:shd w:val="clear" w:color="auto" w:fill="auto"/>
          </w:tcPr>
          <w:p w14:paraId="3F47148E"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24EC6713" w14:textId="77777777" w:rsidR="00711444" w:rsidRPr="004D0DAA" w:rsidRDefault="00711444" w:rsidP="00AA2A4C">
            <w:pPr>
              <w:pStyle w:val="TAC"/>
              <w:spacing w:line="240" w:lineRule="exact"/>
              <w:rPr>
                <w:lang w:eastAsia="en-US"/>
              </w:rPr>
            </w:pPr>
            <w:r w:rsidRPr="004D0DAA">
              <w:rPr>
                <w:lang w:eastAsia="en-US"/>
              </w:rPr>
              <w:t>Octet M+9</w:t>
            </w:r>
          </w:p>
        </w:tc>
      </w:tr>
      <w:tr w:rsidR="00711444" w:rsidRPr="004D0DAA" w14:paraId="101479CF" w14:textId="77777777" w:rsidTr="00AA2A4C">
        <w:trPr>
          <w:trHeight w:val="288"/>
        </w:trPr>
        <w:tc>
          <w:tcPr>
            <w:tcW w:w="5184" w:type="dxa"/>
            <w:gridSpan w:val="10"/>
            <w:vMerge/>
            <w:tcBorders>
              <w:right w:val="single" w:sz="4" w:space="0" w:color="auto"/>
            </w:tcBorders>
            <w:shd w:val="clear" w:color="auto" w:fill="auto"/>
          </w:tcPr>
          <w:p w14:paraId="21B1C20D"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3B6E4331" w14:textId="77777777" w:rsidR="00711444" w:rsidRPr="004D0DAA" w:rsidRDefault="00711444" w:rsidP="00AA2A4C">
            <w:pPr>
              <w:pStyle w:val="TAC"/>
              <w:spacing w:line="240" w:lineRule="exact"/>
              <w:rPr>
                <w:lang w:eastAsia="en-US"/>
              </w:rPr>
            </w:pPr>
            <w:r w:rsidRPr="004D0DAA">
              <w:rPr>
                <w:lang w:eastAsia="en-US"/>
              </w:rPr>
              <w:t>Octet M+10</w:t>
            </w:r>
          </w:p>
        </w:tc>
      </w:tr>
      <w:tr w:rsidR="00711444" w:rsidRPr="004D0DAA" w14:paraId="7379FEBA" w14:textId="77777777" w:rsidTr="00AA2A4C">
        <w:trPr>
          <w:trHeight w:val="288"/>
        </w:trPr>
        <w:tc>
          <w:tcPr>
            <w:tcW w:w="5184" w:type="dxa"/>
            <w:gridSpan w:val="10"/>
            <w:vMerge/>
            <w:tcBorders>
              <w:right w:val="single" w:sz="4" w:space="0" w:color="auto"/>
            </w:tcBorders>
            <w:shd w:val="clear" w:color="auto" w:fill="auto"/>
          </w:tcPr>
          <w:p w14:paraId="7C91A6DA"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7ABB0349" w14:textId="77777777" w:rsidR="00711444" w:rsidRPr="004D0DAA" w:rsidRDefault="00711444" w:rsidP="00AA2A4C">
            <w:pPr>
              <w:pStyle w:val="TAC"/>
              <w:spacing w:line="240" w:lineRule="exact"/>
              <w:rPr>
                <w:lang w:eastAsia="en-US"/>
              </w:rPr>
            </w:pPr>
            <w:r w:rsidRPr="004D0DAA">
              <w:rPr>
                <w:lang w:eastAsia="en-US"/>
              </w:rPr>
              <w:t>Octet M+11</w:t>
            </w:r>
          </w:p>
        </w:tc>
      </w:tr>
      <w:tr w:rsidR="00711444" w:rsidRPr="004D0DAA" w14:paraId="59969BA4" w14:textId="77777777" w:rsidTr="00AA2A4C">
        <w:trPr>
          <w:trHeight w:val="288"/>
        </w:trPr>
        <w:tc>
          <w:tcPr>
            <w:tcW w:w="5184" w:type="dxa"/>
            <w:gridSpan w:val="10"/>
            <w:vMerge/>
            <w:tcBorders>
              <w:right w:val="single" w:sz="4" w:space="0" w:color="auto"/>
            </w:tcBorders>
            <w:shd w:val="clear" w:color="auto" w:fill="auto"/>
          </w:tcPr>
          <w:p w14:paraId="2A2E2579"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47606F32" w14:textId="77777777" w:rsidR="00711444" w:rsidRPr="004D0DAA" w:rsidRDefault="00711444" w:rsidP="00AA2A4C">
            <w:pPr>
              <w:pStyle w:val="TAC"/>
              <w:spacing w:line="240" w:lineRule="exact"/>
              <w:rPr>
                <w:lang w:eastAsia="en-US"/>
              </w:rPr>
            </w:pPr>
            <w:r w:rsidRPr="004D0DAA">
              <w:rPr>
                <w:lang w:eastAsia="en-US"/>
              </w:rPr>
              <w:t>Octet M+12</w:t>
            </w:r>
          </w:p>
        </w:tc>
      </w:tr>
      <w:tr w:rsidR="00711444" w:rsidRPr="004D0DAA" w14:paraId="256E210F" w14:textId="77777777" w:rsidTr="00AA2A4C">
        <w:trPr>
          <w:trHeight w:val="288"/>
        </w:trPr>
        <w:tc>
          <w:tcPr>
            <w:tcW w:w="5184" w:type="dxa"/>
            <w:gridSpan w:val="10"/>
            <w:vMerge/>
            <w:tcBorders>
              <w:right w:val="single" w:sz="4" w:space="0" w:color="auto"/>
            </w:tcBorders>
            <w:shd w:val="clear" w:color="auto" w:fill="auto"/>
          </w:tcPr>
          <w:p w14:paraId="01DDD18D"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35BCC213" w14:textId="77777777" w:rsidR="00711444" w:rsidRPr="004D0DAA" w:rsidRDefault="00711444" w:rsidP="00AA2A4C">
            <w:pPr>
              <w:pStyle w:val="TAC"/>
              <w:spacing w:line="240" w:lineRule="exact"/>
              <w:rPr>
                <w:lang w:eastAsia="en-US"/>
              </w:rPr>
            </w:pPr>
            <w:r w:rsidRPr="004D0DAA">
              <w:rPr>
                <w:lang w:eastAsia="en-US"/>
              </w:rPr>
              <w:t>Octet M+13</w:t>
            </w:r>
          </w:p>
        </w:tc>
      </w:tr>
      <w:tr w:rsidR="00711444" w:rsidRPr="004D0DAA" w14:paraId="34883894" w14:textId="77777777" w:rsidTr="00AA2A4C">
        <w:trPr>
          <w:trHeight w:val="288"/>
        </w:trPr>
        <w:tc>
          <w:tcPr>
            <w:tcW w:w="2592" w:type="dxa"/>
            <w:gridSpan w:val="5"/>
            <w:shd w:val="clear" w:color="auto" w:fill="auto"/>
          </w:tcPr>
          <w:p w14:paraId="0CF6F1E0"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Sync Accuracy</w:t>
            </w:r>
          </w:p>
        </w:tc>
        <w:tc>
          <w:tcPr>
            <w:tcW w:w="2592" w:type="dxa"/>
            <w:gridSpan w:val="5"/>
            <w:tcBorders>
              <w:right w:val="single" w:sz="4" w:space="0" w:color="auto"/>
            </w:tcBorders>
            <w:shd w:val="clear" w:color="auto" w:fill="auto"/>
          </w:tcPr>
          <w:p w14:paraId="78A9E567"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Transmission Offset</w:t>
            </w:r>
          </w:p>
        </w:tc>
        <w:tc>
          <w:tcPr>
            <w:tcW w:w="2520" w:type="dxa"/>
            <w:tcBorders>
              <w:top w:val="nil"/>
              <w:left w:val="single" w:sz="4" w:space="0" w:color="auto"/>
              <w:bottom w:val="nil"/>
              <w:right w:val="nil"/>
            </w:tcBorders>
            <w:shd w:val="clear" w:color="auto" w:fill="auto"/>
          </w:tcPr>
          <w:p w14:paraId="28D2A81D" w14:textId="77777777" w:rsidR="00711444" w:rsidRPr="004D0DAA" w:rsidRDefault="00711444" w:rsidP="00AA2A4C">
            <w:pPr>
              <w:pStyle w:val="TAC"/>
              <w:spacing w:line="240" w:lineRule="exact"/>
              <w:rPr>
                <w:lang w:eastAsia="en-US"/>
              </w:rPr>
            </w:pPr>
            <w:r w:rsidRPr="004D0DAA">
              <w:rPr>
                <w:lang w:eastAsia="en-US"/>
              </w:rPr>
              <w:t>Octet M+14</w:t>
            </w:r>
          </w:p>
        </w:tc>
      </w:tr>
      <w:tr w:rsidR="00711444" w:rsidRPr="004D0DAA" w14:paraId="1869DA9D" w14:textId="77777777" w:rsidTr="00AA2A4C">
        <w:trPr>
          <w:trHeight w:val="288"/>
        </w:trPr>
        <w:tc>
          <w:tcPr>
            <w:tcW w:w="5184" w:type="dxa"/>
            <w:gridSpan w:val="10"/>
            <w:tcBorders>
              <w:right w:val="single" w:sz="4" w:space="0" w:color="auto"/>
            </w:tcBorders>
            <w:shd w:val="clear" w:color="auto" w:fill="auto"/>
          </w:tcPr>
          <w:p w14:paraId="68EF49A6" w14:textId="77777777" w:rsidR="00711444" w:rsidRPr="004D0DAA" w:rsidRDefault="00711444" w:rsidP="00AA2A4C">
            <w:pPr>
              <w:pStyle w:val="TAC"/>
              <w:spacing w:line="240" w:lineRule="exact"/>
              <w:rPr>
                <w:lang w:eastAsia="en-US"/>
              </w:rPr>
            </w:pPr>
            <w:r w:rsidRPr="004D0DAA">
              <w:rPr>
                <w:rFonts w:cs="Arial"/>
                <w:szCs w:val="18"/>
                <w:lang w:eastAsia="en-US"/>
              </w:rPr>
              <w:t>Random ID (low)</w:t>
            </w:r>
          </w:p>
        </w:tc>
        <w:tc>
          <w:tcPr>
            <w:tcW w:w="2520" w:type="dxa"/>
            <w:tcBorders>
              <w:top w:val="nil"/>
              <w:left w:val="single" w:sz="4" w:space="0" w:color="auto"/>
              <w:bottom w:val="nil"/>
              <w:right w:val="nil"/>
            </w:tcBorders>
            <w:shd w:val="clear" w:color="auto" w:fill="auto"/>
          </w:tcPr>
          <w:p w14:paraId="3EE954E0" w14:textId="77777777" w:rsidR="00711444" w:rsidRPr="004D0DAA" w:rsidRDefault="00711444" w:rsidP="00AA2A4C">
            <w:pPr>
              <w:pStyle w:val="TAC"/>
              <w:spacing w:line="240" w:lineRule="exact"/>
              <w:rPr>
                <w:lang w:eastAsia="en-US"/>
              </w:rPr>
            </w:pPr>
            <w:r w:rsidRPr="004D0DAA">
              <w:rPr>
                <w:lang w:eastAsia="en-US"/>
              </w:rPr>
              <w:t>Octet M+15</w:t>
            </w:r>
          </w:p>
        </w:tc>
      </w:tr>
      <w:tr w:rsidR="00711444" w:rsidRPr="004D0DAA" w14:paraId="467CB7EA" w14:textId="77777777" w:rsidTr="00AA2A4C">
        <w:trPr>
          <w:trHeight w:val="288"/>
        </w:trPr>
        <w:tc>
          <w:tcPr>
            <w:tcW w:w="5184" w:type="dxa"/>
            <w:gridSpan w:val="10"/>
            <w:tcBorders>
              <w:right w:val="single" w:sz="4" w:space="0" w:color="auto"/>
            </w:tcBorders>
            <w:shd w:val="clear" w:color="auto" w:fill="auto"/>
          </w:tcPr>
          <w:p w14:paraId="2FF46638" w14:textId="77777777" w:rsidR="00711444" w:rsidRPr="004D0DAA" w:rsidRDefault="00711444" w:rsidP="00AA2A4C">
            <w:pPr>
              <w:pStyle w:val="TAC"/>
              <w:spacing w:line="240" w:lineRule="exact"/>
              <w:rPr>
                <w:lang w:eastAsia="en-US"/>
              </w:rPr>
            </w:pPr>
            <w:r w:rsidRPr="004D0DAA">
              <w:rPr>
                <w:rFonts w:cs="Arial"/>
                <w:szCs w:val="18"/>
                <w:lang w:eastAsia="en-US"/>
              </w:rPr>
              <w:t>Random ID (high)</w:t>
            </w:r>
          </w:p>
        </w:tc>
        <w:tc>
          <w:tcPr>
            <w:tcW w:w="2520" w:type="dxa"/>
            <w:tcBorders>
              <w:top w:val="nil"/>
              <w:left w:val="single" w:sz="4" w:space="0" w:color="auto"/>
              <w:bottom w:val="nil"/>
              <w:right w:val="nil"/>
            </w:tcBorders>
            <w:shd w:val="clear" w:color="auto" w:fill="auto"/>
          </w:tcPr>
          <w:p w14:paraId="4E023A20" w14:textId="77777777" w:rsidR="00711444" w:rsidRPr="004D0DAA" w:rsidRDefault="00711444" w:rsidP="00AA2A4C">
            <w:pPr>
              <w:pStyle w:val="TAC"/>
              <w:spacing w:line="240" w:lineRule="exact"/>
              <w:rPr>
                <w:lang w:eastAsia="en-US"/>
              </w:rPr>
            </w:pPr>
            <w:r w:rsidRPr="004D0DAA">
              <w:rPr>
                <w:lang w:eastAsia="en-US"/>
              </w:rPr>
              <w:t>Octet M+16</w:t>
            </w:r>
          </w:p>
        </w:tc>
      </w:tr>
      <w:tr w:rsidR="003A27B2" w:rsidRPr="004D0DAA" w14:paraId="541C0410" w14:textId="77777777" w:rsidTr="006C6BCB">
        <w:trPr>
          <w:trHeight w:val="288"/>
        </w:trPr>
        <w:tc>
          <w:tcPr>
            <w:tcW w:w="4536" w:type="dxa"/>
            <w:gridSpan w:val="9"/>
            <w:shd w:val="clear" w:color="auto" w:fill="auto"/>
          </w:tcPr>
          <w:p w14:paraId="39A86121" w14:textId="77777777" w:rsidR="003A27B2" w:rsidRPr="004D0DAA" w:rsidRDefault="003A27B2" w:rsidP="006C6BCB">
            <w:pPr>
              <w:pStyle w:val="TAC"/>
              <w:spacing w:line="240" w:lineRule="exact"/>
            </w:pPr>
            <w:r w:rsidRPr="004D0DAA">
              <w:t>Length Indicator = 119</w:t>
            </w:r>
          </w:p>
        </w:tc>
        <w:tc>
          <w:tcPr>
            <w:tcW w:w="648" w:type="dxa"/>
            <w:tcBorders>
              <w:right w:val="single" w:sz="4" w:space="0" w:color="auto"/>
            </w:tcBorders>
            <w:shd w:val="clear" w:color="auto" w:fill="auto"/>
          </w:tcPr>
          <w:p w14:paraId="0BA2EFA8" w14:textId="77777777" w:rsidR="003A27B2" w:rsidRPr="004D0DAA" w:rsidRDefault="003A27B2" w:rsidP="006C6BCB">
            <w:pPr>
              <w:pStyle w:val="TAC"/>
              <w:spacing w:line="240" w:lineRule="exact"/>
            </w:pPr>
            <w:r w:rsidRPr="004D0DAA">
              <w:t>E</w:t>
            </w:r>
          </w:p>
        </w:tc>
        <w:tc>
          <w:tcPr>
            <w:tcW w:w="2520" w:type="dxa"/>
            <w:tcBorders>
              <w:top w:val="nil"/>
              <w:left w:val="single" w:sz="4" w:space="0" w:color="auto"/>
              <w:bottom w:val="nil"/>
              <w:right w:val="nil"/>
            </w:tcBorders>
            <w:shd w:val="clear" w:color="auto" w:fill="auto"/>
          </w:tcPr>
          <w:p w14:paraId="04D0AA25" w14:textId="77777777" w:rsidR="003A27B2" w:rsidRPr="004D0DAA" w:rsidRDefault="003A27B2" w:rsidP="006C6BCB">
            <w:pPr>
              <w:pStyle w:val="TAC"/>
              <w:spacing w:line="240" w:lineRule="exact"/>
              <w:rPr>
                <w:rFonts w:cs="Arial"/>
                <w:szCs w:val="18"/>
              </w:rPr>
            </w:pPr>
            <w:r w:rsidRPr="004D0DAA">
              <w:rPr>
                <w:rFonts w:cs="Arial"/>
                <w:szCs w:val="18"/>
              </w:rPr>
              <w:t>Octet M+5 (optional)</w:t>
            </w:r>
          </w:p>
        </w:tc>
      </w:tr>
      <w:tr w:rsidR="003A27B2" w:rsidRPr="004D0DAA" w14:paraId="4D972487" w14:textId="77777777" w:rsidTr="006C6BCB">
        <w:trPr>
          <w:trHeight w:val="288"/>
        </w:trPr>
        <w:tc>
          <w:tcPr>
            <w:tcW w:w="5184" w:type="dxa"/>
            <w:gridSpan w:val="10"/>
            <w:tcBorders>
              <w:right w:val="single" w:sz="4" w:space="0" w:color="auto"/>
            </w:tcBorders>
            <w:shd w:val="clear" w:color="auto" w:fill="auto"/>
          </w:tcPr>
          <w:p w14:paraId="51D4C39C" w14:textId="77777777" w:rsidR="003A27B2" w:rsidRPr="004D0DAA" w:rsidRDefault="003A27B2" w:rsidP="006C6BCB">
            <w:pPr>
              <w:pStyle w:val="TAC"/>
              <w:spacing w:line="240" w:lineRule="exact"/>
              <w:rPr>
                <w:rFonts w:cs="Arial"/>
                <w:szCs w:val="18"/>
              </w:rPr>
            </w:pPr>
            <w:r w:rsidRPr="004D0DAA">
              <w:rPr>
                <w:rFonts w:cs="Arial"/>
                <w:szCs w:val="18"/>
              </w:rPr>
              <w:t>MTA Signature</w:t>
            </w:r>
          </w:p>
          <w:p w14:paraId="6A6123CB" w14:textId="77777777" w:rsidR="003A27B2" w:rsidRPr="004D0DAA" w:rsidRDefault="003A27B2" w:rsidP="006C6BCB">
            <w:pPr>
              <w:jc w:val="center"/>
            </w:pPr>
          </w:p>
        </w:tc>
        <w:tc>
          <w:tcPr>
            <w:tcW w:w="2520" w:type="dxa"/>
            <w:tcBorders>
              <w:top w:val="nil"/>
              <w:left w:val="single" w:sz="4" w:space="0" w:color="auto"/>
              <w:bottom w:val="nil"/>
              <w:right w:val="nil"/>
            </w:tcBorders>
            <w:shd w:val="clear" w:color="auto" w:fill="auto"/>
          </w:tcPr>
          <w:p w14:paraId="2BA700B5" w14:textId="77777777" w:rsidR="003A27B2" w:rsidRPr="004D0DAA" w:rsidRDefault="003A27B2" w:rsidP="006C6BCB">
            <w:pPr>
              <w:pStyle w:val="TAC"/>
              <w:spacing w:line="240" w:lineRule="exact"/>
            </w:pPr>
            <w:r w:rsidRPr="004D0DAA">
              <w:t>Octet M+17</w:t>
            </w:r>
          </w:p>
          <w:p w14:paraId="40D2F10D" w14:textId="77777777" w:rsidR="003A27B2" w:rsidRPr="004D0DAA" w:rsidRDefault="003A27B2" w:rsidP="006C6BCB">
            <w:pPr>
              <w:pStyle w:val="TAC"/>
              <w:spacing w:line="240" w:lineRule="exact"/>
            </w:pPr>
            <w:r w:rsidRPr="004D0DAA">
              <w:t>Octet M+18</w:t>
            </w:r>
          </w:p>
          <w:p w14:paraId="77765CA1" w14:textId="77777777" w:rsidR="003A27B2" w:rsidRPr="004D0DAA" w:rsidRDefault="003A27B2" w:rsidP="006C6BCB">
            <w:pPr>
              <w:pStyle w:val="TAC"/>
              <w:spacing w:line="240" w:lineRule="exact"/>
            </w:pPr>
            <w:r w:rsidRPr="004D0DAA">
              <w:t>Octet M+19</w:t>
            </w:r>
          </w:p>
          <w:p w14:paraId="12CC95AF" w14:textId="77777777" w:rsidR="003A27B2" w:rsidRPr="004D0DAA" w:rsidRDefault="003A27B2" w:rsidP="006C6BCB">
            <w:pPr>
              <w:pStyle w:val="TAC"/>
              <w:spacing w:line="240" w:lineRule="exact"/>
            </w:pPr>
            <w:r w:rsidRPr="004D0DAA">
              <w:t>Octet M+20</w:t>
            </w:r>
          </w:p>
        </w:tc>
      </w:tr>
      <w:tr w:rsidR="00711444" w:rsidRPr="004D0DAA" w14:paraId="03EA6504" w14:textId="77777777" w:rsidTr="00AA2A4C">
        <w:trPr>
          <w:trHeight w:val="288"/>
        </w:trPr>
        <w:tc>
          <w:tcPr>
            <w:tcW w:w="4536" w:type="dxa"/>
            <w:gridSpan w:val="9"/>
            <w:shd w:val="clear" w:color="auto" w:fill="auto"/>
          </w:tcPr>
          <w:p w14:paraId="3A613399" w14:textId="77777777" w:rsidR="00711444" w:rsidRPr="004D0DAA" w:rsidRDefault="00711444" w:rsidP="00AA2A4C">
            <w:pPr>
              <w:pStyle w:val="TAC"/>
              <w:spacing w:line="240" w:lineRule="exact"/>
              <w:rPr>
                <w:lang w:eastAsia="en-US"/>
              </w:rPr>
            </w:pPr>
            <w:r w:rsidRPr="004D0DAA">
              <w:rPr>
                <w:lang w:eastAsia="en-US"/>
              </w:rPr>
              <w:t>Length Indicator = 121</w:t>
            </w:r>
          </w:p>
        </w:tc>
        <w:tc>
          <w:tcPr>
            <w:tcW w:w="648" w:type="dxa"/>
            <w:tcBorders>
              <w:right w:val="single" w:sz="4" w:space="0" w:color="auto"/>
            </w:tcBorders>
            <w:shd w:val="clear" w:color="auto" w:fill="auto"/>
          </w:tcPr>
          <w:p w14:paraId="3E054548"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6B3FA6AF" w14:textId="77777777" w:rsidR="00711444" w:rsidRPr="004D0DAA" w:rsidRDefault="00711444" w:rsidP="00AA2A4C">
            <w:pPr>
              <w:pStyle w:val="TAC"/>
              <w:spacing w:line="240" w:lineRule="exact"/>
              <w:rPr>
                <w:lang w:eastAsia="en-US"/>
              </w:rPr>
            </w:pPr>
            <w:r w:rsidRPr="004D0DAA">
              <w:rPr>
                <w:rFonts w:cs="Arial"/>
                <w:szCs w:val="18"/>
                <w:lang w:eastAsia="en-US"/>
              </w:rPr>
              <w:t>Octet M+5 (optional)</w:t>
            </w:r>
          </w:p>
        </w:tc>
      </w:tr>
      <w:tr w:rsidR="00711444" w:rsidRPr="004D0DAA" w14:paraId="33942E27" w14:textId="77777777" w:rsidTr="00AA2A4C">
        <w:trPr>
          <w:trHeight w:val="288"/>
        </w:trPr>
        <w:tc>
          <w:tcPr>
            <w:tcW w:w="2592" w:type="dxa"/>
            <w:gridSpan w:val="5"/>
            <w:shd w:val="clear" w:color="auto" w:fill="auto"/>
          </w:tcPr>
          <w:p w14:paraId="5231EB0C"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Sync Accuracy</w:t>
            </w:r>
          </w:p>
        </w:tc>
        <w:tc>
          <w:tcPr>
            <w:tcW w:w="2592" w:type="dxa"/>
            <w:gridSpan w:val="5"/>
            <w:tcBorders>
              <w:right w:val="single" w:sz="4" w:space="0" w:color="auto"/>
            </w:tcBorders>
            <w:shd w:val="clear" w:color="auto" w:fill="auto"/>
          </w:tcPr>
          <w:p w14:paraId="601305B9" w14:textId="77777777" w:rsidR="00711444" w:rsidRPr="004D0DAA" w:rsidRDefault="00711444" w:rsidP="00AA2A4C">
            <w:pPr>
              <w:pStyle w:val="TAC"/>
              <w:spacing w:line="240" w:lineRule="exact"/>
              <w:rPr>
                <w:rFonts w:cs="Arial"/>
                <w:szCs w:val="18"/>
                <w:lang w:eastAsia="en-US"/>
              </w:rPr>
            </w:pPr>
            <w:r w:rsidRPr="004D0DAA">
              <w:rPr>
                <w:rFonts w:cs="Arial"/>
                <w:szCs w:val="18"/>
                <w:lang w:eastAsia="en-US"/>
              </w:rPr>
              <w:t>MS Transmission Offset</w:t>
            </w:r>
          </w:p>
        </w:tc>
        <w:tc>
          <w:tcPr>
            <w:tcW w:w="2520" w:type="dxa"/>
            <w:tcBorders>
              <w:top w:val="nil"/>
              <w:left w:val="single" w:sz="4" w:space="0" w:color="auto"/>
              <w:bottom w:val="nil"/>
              <w:right w:val="nil"/>
            </w:tcBorders>
            <w:shd w:val="clear" w:color="auto" w:fill="auto"/>
          </w:tcPr>
          <w:p w14:paraId="54CF664B"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36F83B62" w14:textId="77777777" w:rsidTr="00AA2A4C">
        <w:trPr>
          <w:trHeight w:val="288"/>
        </w:trPr>
        <w:tc>
          <w:tcPr>
            <w:tcW w:w="4536" w:type="dxa"/>
            <w:gridSpan w:val="9"/>
            <w:shd w:val="clear" w:color="auto" w:fill="auto"/>
          </w:tcPr>
          <w:p w14:paraId="56BB5F04" w14:textId="77777777" w:rsidR="00711444" w:rsidRPr="004D0DAA" w:rsidRDefault="00711444" w:rsidP="00AA2A4C">
            <w:pPr>
              <w:pStyle w:val="TAC"/>
              <w:spacing w:line="240" w:lineRule="exact"/>
              <w:rPr>
                <w:lang w:eastAsia="en-US"/>
              </w:rPr>
            </w:pPr>
            <w:r w:rsidRPr="004D0DAA">
              <w:rPr>
                <w:lang w:eastAsia="en-US"/>
              </w:rPr>
              <w:t>Length Indicator = 120</w:t>
            </w:r>
          </w:p>
        </w:tc>
        <w:tc>
          <w:tcPr>
            <w:tcW w:w="648" w:type="dxa"/>
            <w:tcBorders>
              <w:right w:val="single" w:sz="4" w:space="0" w:color="auto"/>
            </w:tcBorders>
            <w:shd w:val="clear" w:color="auto" w:fill="auto"/>
          </w:tcPr>
          <w:p w14:paraId="6D38F5EA" w14:textId="77777777" w:rsidR="00711444" w:rsidRPr="004D0DAA" w:rsidRDefault="00711444" w:rsidP="00AA2A4C">
            <w:pPr>
              <w:pStyle w:val="TAC"/>
              <w:spacing w:line="240" w:lineRule="exact"/>
              <w:rPr>
                <w:lang w:eastAsia="en-US"/>
              </w:rPr>
            </w:pPr>
            <w:r w:rsidRPr="004D0DAA">
              <w:rPr>
                <w:lang w:eastAsia="en-US"/>
              </w:rPr>
              <w:t>E</w:t>
            </w:r>
          </w:p>
        </w:tc>
        <w:tc>
          <w:tcPr>
            <w:tcW w:w="2520" w:type="dxa"/>
            <w:tcBorders>
              <w:top w:val="nil"/>
              <w:left w:val="single" w:sz="4" w:space="0" w:color="auto"/>
              <w:bottom w:val="nil"/>
              <w:right w:val="nil"/>
            </w:tcBorders>
            <w:shd w:val="clear" w:color="auto" w:fill="auto"/>
          </w:tcPr>
          <w:p w14:paraId="3D3F0D91" w14:textId="77777777" w:rsidR="00711444" w:rsidRPr="004D0DAA" w:rsidRDefault="00711444" w:rsidP="00AA2A4C">
            <w:pPr>
              <w:pStyle w:val="TAC"/>
              <w:spacing w:line="240" w:lineRule="exact"/>
              <w:rPr>
                <w:lang w:eastAsia="en-US"/>
              </w:rPr>
            </w:pPr>
            <w:r w:rsidRPr="004D0DAA">
              <w:rPr>
                <w:lang w:eastAsia="en-US"/>
              </w:rPr>
              <w:t>Octet M+5 (optional, Note 4)</w:t>
            </w:r>
          </w:p>
        </w:tc>
      </w:tr>
      <w:tr w:rsidR="00711444" w:rsidRPr="004D0DAA" w14:paraId="5B3E0E2F" w14:textId="77777777" w:rsidTr="00AA2A4C">
        <w:trPr>
          <w:trHeight w:val="288"/>
        </w:trPr>
        <w:tc>
          <w:tcPr>
            <w:tcW w:w="5184" w:type="dxa"/>
            <w:gridSpan w:val="10"/>
            <w:tcBorders>
              <w:right w:val="single" w:sz="4" w:space="0" w:color="auto"/>
            </w:tcBorders>
            <w:shd w:val="clear" w:color="auto" w:fill="auto"/>
          </w:tcPr>
          <w:p w14:paraId="6C0AF1EB" w14:textId="77777777" w:rsidR="00711444" w:rsidRPr="004D0DAA" w:rsidRDefault="00711444" w:rsidP="00AA2A4C">
            <w:pPr>
              <w:pStyle w:val="TAC"/>
              <w:spacing w:line="240" w:lineRule="exact"/>
              <w:rPr>
                <w:lang w:eastAsia="en-US"/>
              </w:rPr>
            </w:pPr>
            <w:r w:rsidRPr="004D0DAA">
              <w:rPr>
                <w:lang w:eastAsia="en-US"/>
              </w:rPr>
              <w:t>DCN-ID (octet 1)</w:t>
            </w:r>
          </w:p>
        </w:tc>
        <w:tc>
          <w:tcPr>
            <w:tcW w:w="2520" w:type="dxa"/>
            <w:tcBorders>
              <w:top w:val="nil"/>
              <w:left w:val="single" w:sz="4" w:space="0" w:color="auto"/>
              <w:bottom w:val="nil"/>
              <w:right w:val="nil"/>
            </w:tcBorders>
            <w:shd w:val="clear" w:color="auto" w:fill="auto"/>
          </w:tcPr>
          <w:p w14:paraId="7AEFC3F9" w14:textId="77777777" w:rsidR="00711444" w:rsidRPr="004D0DAA" w:rsidRDefault="00711444" w:rsidP="00AA2A4C">
            <w:pPr>
              <w:pStyle w:val="TAC"/>
              <w:spacing w:line="240" w:lineRule="exact"/>
              <w:rPr>
                <w:lang w:eastAsia="en-US"/>
              </w:rPr>
            </w:pPr>
            <w:r w:rsidRPr="004D0DAA">
              <w:rPr>
                <w:lang w:eastAsia="en-US"/>
              </w:rPr>
              <w:t>Octet M+6</w:t>
            </w:r>
          </w:p>
        </w:tc>
      </w:tr>
      <w:tr w:rsidR="00711444" w:rsidRPr="004D0DAA" w14:paraId="5696EF00" w14:textId="77777777" w:rsidTr="00AA2A4C">
        <w:trPr>
          <w:trHeight w:val="288"/>
        </w:trPr>
        <w:tc>
          <w:tcPr>
            <w:tcW w:w="5184" w:type="dxa"/>
            <w:gridSpan w:val="10"/>
            <w:tcBorders>
              <w:right w:val="single" w:sz="4" w:space="0" w:color="auto"/>
            </w:tcBorders>
            <w:shd w:val="clear" w:color="auto" w:fill="auto"/>
          </w:tcPr>
          <w:p w14:paraId="76B2FC1C" w14:textId="77777777" w:rsidR="00711444" w:rsidRPr="004D0DAA" w:rsidRDefault="00711444" w:rsidP="00AA2A4C">
            <w:pPr>
              <w:pStyle w:val="TAC"/>
              <w:spacing w:line="240" w:lineRule="exact"/>
              <w:rPr>
                <w:lang w:eastAsia="en-US"/>
              </w:rPr>
            </w:pPr>
            <w:r w:rsidRPr="004D0DAA">
              <w:rPr>
                <w:lang w:eastAsia="en-US"/>
              </w:rPr>
              <w:t>DCN-ID (octet 2)</w:t>
            </w:r>
          </w:p>
        </w:tc>
        <w:tc>
          <w:tcPr>
            <w:tcW w:w="2520" w:type="dxa"/>
            <w:tcBorders>
              <w:top w:val="nil"/>
              <w:left w:val="single" w:sz="4" w:space="0" w:color="auto"/>
              <w:bottom w:val="nil"/>
              <w:right w:val="nil"/>
            </w:tcBorders>
            <w:shd w:val="clear" w:color="auto" w:fill="auto"/>
          </w:tcPr>
          <w:p w14:paraId="4B7EB29C" w14:textId="77777777" w:rsidR="00711444" w:rsidRPr="004D0DAA" w:rsidRDefault="00711444" w:rsidP="00AA2A4C">
            <w:pPr>
              <w:pStyle w:val="TAC"/>
              <w:spacing w:line="240" w:lineRule="exact"/>
              <w:rPr>
                <w:lang w:eastAsia="en-US"/>
              </w:rPr>
            </w:pPr>
            <w:r w:rsidRPr="004D0DAA">
              <w:rPr>
                <w:lang w:eastAsia="en-US"/>
              </w:rPr>
              <w:t>Octet M+7</w:t>
            </w:r>
          </w:p>
        </w:tc>
      </w:tr>
      <w:tr w:rsidR="003A27B2" w:rsidRPr="004D0DAA" w14:paraId="414E3A2D" w14:textId="77777777" w:rsidTr="006C6BCB">
        <w:trPr>
          <w:trHeight w:val="288"/>
        </w:trPr>
        <w:tc>
          <w:tcPr>
            <w:tcW w:w="4536" w:type="dxa"/>
            <w:gridSpan w:val="9"/>
            <w:tcBorders>
              <w:right w:val="single" w:sz="4" w:space="0" w:color="auto"/>
            </w:tcBorders>
            <w:shd w:val="clear" w:color="auto" w:fill="auto"/>
          </w:tcPr>
          <w:p w14:paraId="775BB527" w14:textId="77777777" w:rsidR="003A27B2" w:rsidRPr="004D0DAA" w:rsidRDefault="003A27B2" w:rsidP="006C6BCB">
            <w:pPr>
              <w:pStyle w:val="TAC"/>
              <w:spacing w:line="240" w:lineRule="exact"/>
            </w:pPr>
            <w:r w:rsidRPr="004D0DAA">
              <w:t>Length Indicator = 118</w:t>
            </w:r>
          </w:p>
        </w:tc>
        <w:tc>
          <w:tcPr>
            <w:tcW w:w="648" w:type="dxa"/>
            <w:tcBorders>
              <w:right w:val="single" w:sz="4" w:space="0" w:color="auto"/>
            </w:tcBorders>
            <w:shd w:val="clear" w:color="auto" w:fill="auto"/>
          </w:tcPr>
          <w:p w14:paraId="1441976D" w14:textId="77777777" w:rsidR="003A27B2" w:rsidRPr="004D0DAA" w:rsidRDefault="003A27B2" w:rsidP="006C6BCB">
            <w:pPr>
              <w:pStyle w:val="TAC"/>
              <w:spacing w:line="240" w:lineRule="exact"/>
            </w:pPr>
            <w:r w:rsidRPr="004D0DAA">
              <w:t>E</w:t>
            </w:r>
          </w:p>
        </w:tc>
        <w:tc>
          <w:tcPr>
            <w:tcW w:w="2520" w:type="dxa"/>
            <w:tcBorders>
              <w:top w:val="nil"/>
              <w:left w:val="single" w:sz="4" w:space="0" w:color="auto"/>
              <w:bottom w:val="nil"/>
              <w:right w:val="nil"/>
            </w:tcBorders>
            <w:shd w:val="clear" w:color="auto" w:fill="auto"/>
          </w:tcPr>
          <w:p w14:paraId="335AE69F" w14:textId="77777777" w:rsidR="003A27B2" w:rsidRPr="004D0DAA" w:rsidRDefault="003A27B2" w:rsidP="006C6BCB">
            <w:pPr>
              <w:pStyle w:val="TAC"/>
              <w:spacing w:line="240" w:lineRule="exact"/>
            </w:pPr>
            <w:r w:rsidRPr="004D0DAA">
              <w:rPr>
                <w:rFonts w:cs="Arial"/>
                <w:szCs w:val="18"/>
              </w:rPr>
              <w:t>Octet M+5 (optional)</w:t>
            </w:r>
          </w:p>
        </w:tc>
      </w:tr>
      <w:tr w:rsidR="003A27B2" w:rsidRPr="004D0DAA" w14:paraId="60301722" w14:textId="77777777" w:rsidTr="006C6BCB">
        <w:trPr>
          <w:trHeight w:val="288"/>
        </w:trPr>
        <w:tc>
          <w:tcPr>
            <w:tcW w:w="596" w:type="dxa"/>
            <w:tcBorders>
              <w:right w:val="single" w:sz="4" w:space="0" w:color="auto"/>
            </w:tcBorders>
            <w:shd w:val="clear" w:color="auto" w:fill="auto"/>
          </w:tcPr>
          <w:p w14:paraId="711AB712" w14:textId="77777777" w:rsidR="003A27B2" w:rsidRPr="004D0DAA" w:rsidRDefault="003A27B2" w:rsidP="006C6BCB">
            <w:pPr>
              <w:pStyle w:val="TAC"/>
              <w:spacing w:line="240" w:lineRule="exact"/>
              <w:rPr>
                <w:rFonts w:cs="Arial"/>
                <w:szCs w:val="18"/>
              </w:rPr>
            </w:pPr>
            <w:r w:rsidRPr="004D0DAA">
              <w:rPr>
                <w:rFonts w:cs="Arial"/>
                <w:szCs w:val="18"/>
              </w:rPr>
              <w:t>FMA</w:t>
            </w:r>
          </w:p>
        </w:tc>
        <w:tc>
          <w:tcPr>
            <w:tcW w:w="2352" w:type="dxa"/>
            <w:gridSpan w:val="5"/>
            <w:tcBorders>
              <w:right w:val="single" w:sz="4" w:space="0" w:color="auto"/>
            </w:tcBorders>
            <w:shd w:val="clear" w:color="auto" w:fill="auto"/>
          </w:tcPr>
          <w:p w14:paraId="28EE2EDE" w14:textId="77777777" w:rsidR="003A27B2" w:rsidRPr="004D0DAA" w:rsidRDefault="003A27B2" w:rsidP="006C6BCB">
            <w:pPr>
              <w:pStyle w:val="TAC"/>
              <w:spacing w:line="240" w:lineRule="exact"/>
              <w:rPr>
                <w:rFonts w:cs="Arial"/>
                <w:szCs w:val="18"/>
              </w:rPr>
            </w:pPr>
            <w:r w:rsidRPr="004D0DAA">
              <w:rPr>
                <w:rFonts w:cs="Arial"/>
                <w:szCs w:val="18"/>
              </w:rPr>
              <w:t>MTA Report Instance</w:t>
            </w:r>
          </w:p>
        </w:tc>
        <w:tc>
          <w:tcPr>
            <w:tcW w:w="2236" w:type="dxa"/>
            <w:gridSpan w:val="4"/>
            <w:tcBorders>
              <w:right w:val="single" w:sz="4" w:space="0" w:color="auto"/>
            </w:tcBorders>
            <w:shd w:val="clear" w:color="auto" w:fill="auto"/>
          </w:tcPr>
          <w:p w14:paraId="5488C1E8" w14:textId="77777777" w:rsidR="003A27B2" w:rsidRPr="004D0DAA" w:rsidRDefault="003A27B2" w:rsidP="006C6BCB">
            <w:pPr>
              <w:pStyle w:val="TAC"/>
              <w:spacing w:line="240" w:lineRule="exact"/>
              <w:rPr>
                <w:rFonts w:cs="Arial"/>
                <w:szCs w:val="18"/>
              </w:rPr>
            </w:pPr>
            <w:r w:rsidRPr="004D0DAA">
              <w:rPr>
                <w:rFonts w:cs="Arial"/>
                <w:szCs w:val="18"/>
              </w:rPr>
              <w:t>spare</w:t>
            </w:r>
          </w:p>
        </w:tc>
        <w:tc>
          <w:tcPr>
            <w:tcW w:w="2520" w:type="dxa"/>
            <w:tcBorders>
              <w:top w:val="nil"/>
              <w:left w:val="single" w:sz="4" w:space="0" w:color="auto"/>
              <w:bottom w:val="nil"/>
              <w:right w:val="nil"/>
            </w:tcBorders>
            <w:shd w:val="clear" w:color="auto" w:fill="auto"/>
          </w:tcPr>
          <w:p w14:paraId="1D83B128" w14:textId="77777777" w:rsidR="003A27B2" w:rsidRPr="004D0DAA" w:rsidRDefault="003A27B2" w:rsidP="006C6BCB">
            <w:pPr>
              <w:pStyle w:val="TAC"/>
              <w:spacing w:line="240" w:lineRule="exact"/>
              <w:rPr>
                <w:rFonts w:cs="Arial"/>
                <w:szCs w:val="18"/>
              </w:rPr>
            </w:pPr>
            <w:r w:rsidRPr="004D0DAA">
              <w:t>Octet M+6</w:t>
            </w:r>
          </w:p>
        </w:tc>
      </w:tr>
      <w:tr w:rsidR="00711444" w:rsidRPr="004D0DAA" w14:paraId="22F9A7EF" w14:textId="77777777" w:rsidTr="00AA2A4C">
        <w:trPr>
          <w:trHeight w:val="288"/>
        </w:trPr>
        <w:tc>
          <w:tcPr>
            <w:tcW w:w="5184" w:type="dxa"/>
            <w:gridSpan w:val="10"/>
            <w:vMerge w:val="restart"/>
            <w:tcBorders>
              <w:right w:val="single" w:sz="4" w:space="0" w:color="auto"/>
            </w:tcBorders>
            <w:shd w:val="clear" w:color="auto" w:fill="auto"/>
          </w:tcPr>
          <w:p w14:paraId="2FF457C2" w14:textId="77777777" w:rsidR="00711444" w:rsidRPr="004D0DAA" w:rsidRDefault="00711444" w:rsidP="00AA2A4C">
            <w:pPr>
              <w:pStyle w:val="TAC"/>
              <w:spacing w:before="600" w:line="240" w:lineRule="exact"/>
              <w:rPr>
                <w:lang w:eastAsia="en-US"/>
              </w:rPr>
            </w:pPr>
            <w:r w:rsidRPr="004D0DAA">
              <w:rPr>
                <w:lang w:eastAsia="en-US"/>
              </w:rPr>
              <w:t>RLC data</w:t>
            </w:r>
          </w:p>
        </w:tc>
        <w:tc>
          <w:tcPr>
            <w:tcW w:w="2520" w:type="dxa"/>
            <w:tcBorders>
              <w:top w:val="nil"/>
              <w:left w:val="single" w:sz="4" w:space="0" w:color="auto"/>
              <w:bottom w:val="nil"/>
              <w:right w:val="nil"/>
            </w:tcBorders>
            <w:shd w:val="clear" w:color="auto" w:fill="auto"/>
          </w:tcPr>
          <w:p w14:paraId="4BD7703D" w14:textId="77777777" w:rsidR="00711444" w:rsidRPr="004D0DAA" w:rsidRDefault="00711444" w:rsidP="00AA2A4C">
            <w:pPr>
              <w:pStyle w:val="TAC"/>
              <w:spacing w:line="240" w:lineRule="exact"/>
              <w:rPr>
                <w:lang w:eastAsia="en-US"/>
              </w:rPr>
            </w:pPr>
            <w:r w:rsidRPr="004D0DAA">
              <w:rPr>
                <w:lang w:eastAsia="en-US"/>
              </w:rPr>
              <w:t>Octet M+8</w:t>
            </w:r>
          </w:p>
        </w:tc>
      </w:tr>
      <w:tr w:rsidR="00711444" w:rsidRPr="004D0DAA" w14:paraId="75EEDFBB" w14:textId="77777777" w:rsidTr="00AA2A4C">
        <w:trPr>
          <w:trHeight w:val="288"/>
        </w:trPr>
        <w:tc>
          <w:tcPr>
            <w:tcW w:w="5184" w:type="dxa"/>
            <w:gridSpan w:val="10"/>
            <w:vMerge/>
            <w:tcBorders>
              <w:right w:val="single" w:sz="4" w:space="0" w:color="auto"/>
            </w:tcBorders>
            <w:shd w:val="clear" w:color="auto" w:fill="auto"/>
          </w:tcPr>
          <w:p w14:paraId="5EAC3225"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0F0CA9BC" w14:textId="77777777" w:rsidR="00711444" w:rsidRPr="004D0DAA" w:rsidRDefault="00711444" w:rsidP="00AA2A4C">
            <w:pPr>
              <w:pStyle w:val="TAC"/>
              <w:spacing w:line="240" w:lineRule="exact"/>
              <w:rPr>
                <w:lang w:eastAsia="en-US"/>
              </w:rPr>
            </w:pPr>
            <w:r w:rsidRPr="004D0DAA">
              <w:rPr>
                <w:lang w:eastAsia="en-US"/>
              </w:rPr>
              <w:t>.</w:t>
            </w:r>
          </w:p>
          <w:p w14:paraId="73D8412C" w14:textId="77777777" w:rsidR="00711444" w:rsidRPr="004D0DAA" w:rsidRDefault="00711444" w:rsidP="00AA2A4C">
            <w:pPr>
              <w:pStyle w:val="TAC"/>
              <w:spacing w:line="240" w:lineRule="exact"/>
              <w:rPr>
                <w:lang w:eastAsia="en-US"/>
              </w:rPr>
            </w:pPr>
            <w:r w:rsidRPr="004D0DAA">
              <w:rPr>
                <w:lang w:eastAsia="en-US"/>
              </w:rPr>
              <w:t>.</w:t>
            </w:r>
          </w:p>
          <w:p w14:paraId="4A4937CF" w14:textId="77777777" w:rsidR="00711444" w:rsidRPr="004D0DAA" w:rsidRDefault="00711444" w:rsidP="00AA2A4C">
            <w:pPr>
              <w:pStyle w:val="TAC"/>
              <w:spacing w:line="240" w:lineRule="exact"/>
              <w:rPr>
                <w:lang w:eastAsia="en-US"/>
              </w:rPr>
            </w:pPr>
            <w:r w:rsidRPr="004D0DAA">
              <w:rPr>
                <w:lang w:eastAsia="en-US"/>
              </w:rPr>
              <w:t>.</w:t>
            </w:r>
          </w:p>
        </w:tc>
      </w:tr>
      <w:tr w:rsidR="00711444" w:rsidRPr="004D0DAA" w14:paraId="671ADCF2" w14:textId="77777777" w:rsidTr="00AA2A4C">
        <w:trPr>
          <w:trHeight w:val="288"/>
        </w:trPr>
        <w:tc>
          <w:tcPr>
            <w:tcW w:w="5184" w:type="dxa"/>
            <w:gridSpan w:val="10"/>
            <w:vMerge/>
            <w:tcBorders>
              <w:right w:val="single" w:sz="4" w:space="0" w:color="auto"/>
            </w:tcBorders>
            <w:shd w:val="clear" w:color="auto" w:fill="auto"/>
          </w:tcPr>
          <w:p w14:paraId="6809F979"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61B49090" w14:textId="77777777" w:rsidR="00711444" w:rsidRPr="004D0DAA" w:rsidRDefault="00711444" w:rsidP="00AA2A4C">
            <w:pPr>
              <w:pStyle w:val="TAC"/>
              <w:spacing w:line="240" w:lineRule="exact"/>
              <w:rPr>
                <w:lang w:eastAsia="en-US"/>
              </w:rPr>
            </w:pPr>
            <w:r w:rsidRPr="004D0DAA">
              <w:rPr>
                <w:lang w:eastAsia="en-US"/>
              </w:rPr>
              <w:t>Octet N2-1</w:t>
            </w:r>
          </w:p>
        </w:tc>
      </w:tr>
      <w:tr w:rsidR="00711444" w:rsidRPr="004D0DAA" w14:paraId="17EB2DB4" w14:textId="77777777" w:rsidTr="00AA2A4C">
        <w:trPr>
          <w:trHeight w:val="288"/>
        </w:trPr>
        <w:tc>
          <w:tcPr>
            <w:tcW w:w="5184" w:type="dxa"/>
            <w:gridSpan w:val="10"/>
            <w:vMerge/>
            <w:tcBorders>
              <w:right w:val="single" w:sz="4" w:space="0" w:color="auto"/>
            </w:tcBorders>
            <w:shd w:val="clear" w:color="auto" w:fill="auto"/>
          </w:tcPr>
          <w:p w14:paraId="0C9B1AB1" w14:textId="77777777" w:rsidR="00711444" w:rsidRPr="004D0DAA" w:rsidRDefault="00711444" w:rsidP="00AA2A4C">
            <w:pPr>
              <w:pStyle w:val="TAC"/>
              <w:spacing w:line="240" w:lineRule="exact"/>
              <w:rPr>
                <w:lang w:eastAsia="en-US"/>
              </w:rPr>
            </w:pPr>
          </w:p>
        </w:tc>
        <w:tc>
          <w:tcPr>
            <w:tcW w:w="2520" w:type="dxa"/>
            <w:tcBorders>
              <w:top w:val="nil"/>
              <w:left w:val="single" w:sz="4" w:space="0" w:color="auto"/>
              <w:bottom w:val="nil"/>
              <w:right w:val="nil"/>
            </w:tcBorders>
            <w:shd w:val="clear" w:color="auto" w:fill="auto"/>
          </w:tcPr>
          <w:p w14:paraId="355BA58F" w14:textId="77777777" w:rsidR="00711444" w:rsidRPr="004D0DAA" w:rsidRDefault="00711444" w:rsidP="00AA2A4C">
            <w:pPr>
              <w:pStyle w:val="TAC"/>
              <w:spacing w:line="240" w:lineRule="exact"/>
              <w:rPr>
                <w:lang w:eastAsia="en-US"/>
              </w:rPr>
            </w:pPr>
            <w:r w:rsidRPr="004D0DAA">
              <w:rPr>
                <w:lang w:eastAsia="en-US"/>
              </w:rPr>
              <w:t>Octet N2</w:t>
            </w:r>
          </w:p>
        </w:tc>
      </w:tr>
    </w:tbl>
    <w:p w14:paraId="34450232" w14:textId="77777777" w:rsidR="00711444" w:rsidRPr="004D0DAA" w:rsidRDefault="00711444" w:rsidP="00711444">
      <w:pPr>
        <w:pStyle w:val="NF"/>
      </w:pPr>
    </w:p>
    <w:p w14:paraId="56720DA8" w14:textId="77777777" w:rsidR="00711444" w:rsidRPr="004D0DAA" w:rsidRDefault="00711444" w:rsidP="00711444">
      <w:pPr>
        <w:pStyle w:val="NF"/>
      </w:pPr>
      <w:r w:rsidRPr="004D0DAA">
        <w:t>NOTE 1:</w:t>
      </w:r>
      <w:r w:rsidRPr="004D0DAA">
        <w:tab/>
        <w:t>If padding is used, then "Octet 1" shall be replaced by "Octet 7", see example in annex J.</w:t>
      </w:r>
    </w:p>
    <w:p w14:paraId="7082C989" w14:textId="77777777" w:rsidR="00711444" w:rsidRPr="004D0DAA" w:rsidRDefault="00711444" w:rsidP="00711444">
      <w:pPr>
        <w:pStyle w:val="NF"/>
      </w:pPr>
      <w:r w:rsidRPr="004D0DAA">
        <w:t>NOTE 2:</w:t>
      </w:r>
      <w:r w:rsidRPr="004D0DAA">
        <w:tab/>
        <w:t xml:space="preserve">The field mapping convention for EC-GSM-IoT (sub-clause 10.0b.3.2) applies. According to that, in particular regarding the TLLI field, the </w:t>
      </w:r>
      <w:r w:rsidRPr="004D0DAA">
        <w:rPr>
          <w:i/>
        </w:rPr>
        <w:t>least significant byte</w:t>
      </w:r>
      <w:r w:rsidRPr="004D0DAA">
        <w:t xml:space="preserve"> of the TLLI value shall be mapped on octet M+1 and the </w:t>
      </w:r>
      <w:r w:rsidRPr="004D0DAA">
        <w:rPr>
          <w:i/>
        </w:rPr>
        <w:t>most significant byte</w:t>
      </w:r>
      <w:r w:rsidRPr="004D0DAA">
        <w:t xml:space="preserve"> of the TLLI value shall be mapped on octet M+4 of the uplink EC-GSM-IoT RLC data block.</w:t>
      </w:r>
    </w:p>
    <w:p w14:paraId="647A6F00" w14:textId="77777777" w:rsidR="00711444" w:rsidRPr="004D0DAA" w:rsidRDefault="00711444" w:rsidP="00711444">
      <w:pPr>
        <w:pStyle w:val="NF"/>
      </w:pPr>
      <w:r w:rsidRPr="004D0DAA">
        <w:t>NOTE 3:</w:t>
      </w:r>
      <w:r w:rsidRPr="004D0DAA">
        <w:tab/>
        <w:t xml:space="preserve">This octet is only included if the value of the first instance of the </w:t>
      </w:r>
      <w:r w:rsidRPr="004D0DAA">
        <w:rPr>
          <w:i/>
        </w:rPr>
        <w:t>Length indicator</w:t>
      </w:r>
      <w:r w:rsidRPr="004D0DAA">
        <w:t xml:space="preserve"> in the RLC data block is 123.</w:t>
      </w:r>
    </w:p>
    <w:p w14:paraId="480131EF" w14:textId="77777777" w:rsidR="00711444" w:rsidRPr="004D0DAA" w:rsidRDefault="00711444" w:rsidP="00711444">
      <w:pPr>
        <w:pStyle w:val="NF"/>
      </w:pPr>
      <w:r w:rsidRPr="004D0DAA">
        <w:t>NOTE 4:</w:t>
      </w:r>
      <w:r w:rsidRPr="004D0DAA">
        <w:tab/>
        <w:t>This octet and the following two octets are only included if both the network and MS support MS assisted Dedicated Core Network selection (see 3GPP TS 44.018).</w:t>
      </w:r>
    </w:p>
    <w:p w14:paraId="70E57CFB" w14:textId="77777777" w:rsidR="00711444" w:rsidRPr="004D0DAA" w:rsidRDefault="00711444" w:rsidP="00711444">
      <w:pPr>
        <w:pStyle w:val="NF"/>
      </w:pPr>
    </w:p>
    <w:p w14:paraId="2EF89D40" w14:textId="77777777" w:rsidR="00711444" w:rsidRPr="004D0DAA" w:rsidRDefault="00711444" w:rsidP="00711444">
      <w:pPr>
        <w:pStyle w:val="TF"/>
      </w:pPr>
      <w:r w:rsidRPr="004D0DAA">
        <w:t>Figure 10.3a.2.2.1: Uplink EC-GSM-IoT RLC data block</w:t>
      </w:r>
    </w:p>
    <w:p w14:paraId="12B561AA" w14:textId="77777777" w:rsidR="00711444" w:rsidRPr="004D0DAA" w:rsidRDefault="00711444" w:rsidP="00711444">
      <w:pPr>
        <w:pStyle w:val="Heading3"/>
      </w:pPr>
      <w:bookmarkStart w:id="521" w:name="_Toc516669702"/>
      <w:r w:rsidRPr="004D0DAA">
        <w:t>10.3a.3</w:t>
      </w:r>
      <w:r w:rsidRPr="004D0DAA">
        <w:tab/>
        <w:t>EGPRS and EC-GSM-IoT Downlink RLC/MAC header</w:t>
      </w:r>
      <w:bookmarkEnd w:id="521"/>
    </w:p>
    <w:p w14:paraId="53708030" w14:textId="77777777" w:rsidR="00711444" w:rsidRPr="004D0DAA" w:rsidRDefault="00711444" w:rsidP="00711444">
      <w:pPr>
        <w:pStyle w:val="Heading4"/>
      </w:pPr>
      <w:bookmarkStart w:id="522" w:name="_Toc516669703"/>
      <w:r w:rsidRPr="004D0DAA">
        <w:t>10.3a.3.1</w:t>
      </w:r>
      <w:r w:rsidRPr="004D0DAA">
        <w:tab/>
        <w:t>Header type 1: header for MCS-7, MCS-8 and MCS-9</w:t>
      </w:r>
      <w:bookmarkEnd w:id="522"/>
    </w:p>
    <w:p w14:paraId="1DF28B94"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w:t>
      </w:r>
      <w:r w:rsidRPr="004D0DAA">
        <w:t>, the EGPRS combined downlink RLC/MAC header for MCS</w:t>
      </w:r>
      <w:r w:rsidRPr="004D0DAA">
        <w:noBreakHyphen/>
        <w:t>7, MCS</w:t>
      </w:r>
      <w:r w:rsidRPr="004D0DAA">
        <w:noBreakHyphen/>
        <w:t>8 and MCS</w:t>
      </w:r>
      <w:r w:rsidRPr="004D0DAA">
        <w:noBreakHyphen/>
        <w:t>9 (header type 1) shall be formatted according to figure 10.3a.3.1.1.</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156FACE0" w14:textId="77777777" w:rsidTr="00AA2A4C">
        <w:tblPrEx>
          <w:tblCellMar>
            <w:top w:w="0" w:type="dxa"/>
            <w:bottom w:w="0" w:type="dxa"/>
          </w:tblCellMar>
        </w:tblPrEx>
        <w:trPr>
          <w:cantSplit/>
          <w:jc w:val="center"/>
        </w:trPr>
        <w:tc>
          <w:tcPr>
            <w:tcW w:w="4564" w:type="dxa"/>
            <w:gridSpan w:val="8"/>
          </w:tcPr>
          <w:p w14:paraId="7CE173F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7029FA2E" w14:textId="77777777" w:rsidR="00711444" w:rsidRPr="004D0DAA" w:rsidRDefault="00711444" w:rsidP="00AA2A4C">
            <w:pPr>
              <w:keepNext/>
              <w:keepLines/>
              <w:spacing w:after="0"/>
              <w:jc w:val="center"/>
              <w:rPr>
                <w:rFonts w:ascii="Arial" w:hAnsi="Arial"/>
                <w:sz w:val="18"/>
              </w:rPr>
            </w:pPr>
          </w:p>
        </w:tc>
      </w:tr>
      <w:tr w:rsidR="00711444" w:rsidRPr="004D0DAA" w14:paraId="757BA786" w14:textId="77777777" w:rsidTr="00AA2A4C">
        <w:tblPrEx>
          <w:tblCellMar>
            <w:top w:w="0" w:type="dxa"/>
            <w:bottom w:w="0" w:type="dxa"/>
          </w:tblCellMar>
        </w:tblPrEx>
        <w:trPr>
          <w:cantSplit/>
          <w:jc w:val="center"/>
        </w:trPr>
        <w:tc>
          <w:tcPr>
            <w:tcW w:w="595" w:type="dxa"/>
          </w:tcPr>
          <w:p w14:paraId="7847D21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76535F1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77750CE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607C5E9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1E44D57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51BEFD1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26FF5B2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2D58C92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422A8D4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13968604"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23D6B6B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gridSpan w:val="2"/>
            <w:tcBorders>
              <w:top w:val="single" w:sz="6" w:space="0" w:color="auto"/>
              <w:left w:val="single" w:sz="6" w:space="0" w:color="auto"/>
              <w:bottom w:val="single" w:sz="6" w:space="0" w:color="auto"/>
              <w:right w:val="single" w:sz="6" w:space="0" w:color="auto"/>
            </w:tcBorders>
          </w:tcPr>
          <w:p w14:paraId="7F2D629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2"/>
            <w:tcBorders>
              <w:top w:val="single" w:sz="6" w:space="0" w:color="auto"/>
              <w:left w:val="single" w:sz="6" w:space="0" w:color="auto"/>
              <w:bottom w:val="single" w:sz="6" w:space="0" w:color="auto"/>
            </w:tcBorders>
          </w:tcPr>
          <w:p w14:paraId="0B2D788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701" w:type="dxa"/>
            <w:gridSpan w:val="3"/>
            <w:tcBorders>
              <w:top w:val="single" w:sz="6" w:space="0" w:color="auto"/>
              <w:left w:val="single" w:sz="6" w:space="0" w:color="auto"/>
              <w:right w:val="single" w:sz="6" w:space="0" w:color="auto"/>
            </w:tcBorders>
          </w:tcPr>
          <w:p w14:paraId="6A75BC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41C0916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596EE655" w14:textId="77777777" w:rsidTr="00AA2A4C">
        <w:tblPrEx>
          <w:tblCellMar>
            <w:top w:w="0" w:type="dxa"/>
            <w:bottom w:w="0" w:type="dxa"/>
          </w:tblCellMar>
        </w:tblPrEx>
        <w:trPr>
          <w:cantSplit/>
          <w:jc w:val="center"/>
        </w:trPr>
        <w:tc>
          <w:tcPr>
            <w:tcW w:w="1162" w:type="dxa"/>
            <w:gridSpan w:val="2"/>
            <w:tcBorders>
              <w:left w:val="single" w:sz="6" w:space="0" w:color="auto"/>
            </w:tcBorders>
          </w:tcPr>
          <w:p w14:paraId="10A0156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2"/>
            <w:tcBorders>
              <w:top w:val="single" w:sz="6" w:space="0" w:color="auto"/>
              <w:left w:val="single" w:sz="6" w:space="0" w:color="auto"/>
              <w:bottom w:val="single" w:sz="6" w:space="0" w:color="auto"/>
              <w:right w:val="single" w:sz="6" w:space="0" w:color="auto"/>
            </w:tcBorders>
          </w:tcPr>
          <w:p w14:paraId="6861007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4"/>
            <w:tcBorders>
              <w:top w:val="single" w:sz="6" w:space="0" w:color="auto"/>
              <w:left w:val="single" w:sz="6" w:space="0" w:color="auto"/>
              <w:bottom w:val="single" w:sz="6" w:space="0" w:color="auto"/>
              <w:right w:val="single" w:sz="6" w:space="0" w:color="auto"/>
            </w:tcBorders>
          </w:tcPr>
          <w:p w14:paraId="6C5C4B2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2BBBA9D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2E68F6FD"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0E872D3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72DD49E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73349025" w14:textId="77777777" w:rsidTr="00AA2A4C">
        <w:tblPrEx>
          <w:tblCellMar>
            <w:top w:w="0" w:type="dxa"/>
            <w:bottom w:w="0" w:type="dxa"/>
          </w:tblCellMar>
        </w:tblPrEx>
        <w:trPr>
          <w:cantSplit/>
          <w:jc w:val="center"/>
        </w:trPr>
        <w:tc>
          <w:tcPr>
            <w:tcW w:w="3997" w:type="dxa"/>
            <w:gridSpan w:val="7"/>
            <w:tcBorders>
              <w:top w:val="single" w:sz="6" w:space="0" w:color="auto"/>
              <w:left w:val="single" w:sz="6" w:space="0" w:color="auto"/>
              <w:right w:val="single" w:sz="6" w:space="0" w:color="auto"/>
            </w:tcBorders>
          </w:tcPr>
          <w:p w14:paraId="0BD81A4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7C74215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0E306F9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59967D37" w14:textId="77777777" w:rsidTr="00AA2A4C">
        <w:tblPrEx>
          <w:tblCellMar>
            <w:top w:w="0" w:type="dxa"/>
            <w:bottom w:w="0" w:type="dxa"/>
          </w:tblCellMar>
        </w:tblPrEx>
        <w:trPr>
          <w:cantSplit/>
          <w:jc w:val="center"/>
        </w:trPr>
        <w:tc>
          <w:tcPr>
            <w:tcW w:w="2863" w:type="dxa"/>
            <w:gridSpan w:val="5"/>
            <w:tcBorders>
              <w:top w:val="single" w:sz="6" w:space="0" w:color="auto"/>
              <w:left w:val="single" w:sz="6" w:space="0" w:color="auto"/>
              <w:bottom w:val="single" w:sz="6" w:space="0" w:color="auto"/>
              <w:right w:val="single" w:sz="6" w:space="0" w:color="auto"/>
            </w:tcBorders>
          </w:tcPr>
          <w:p w14:paraId="428ADB6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64107B0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674B94C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7D4E7D4B" w14:textId="77777777" w:rsidR="00711444" w:rsidRPr="004D0DAA" w:rsidRDefault="00711444" w:rsidP="00711444">
      <w:pPr>
        <w:pStyle w:val="NF"/>
      </w:pPr>
    </w:p>
    <w:p w14:paraId="4729B00A" w14:textId="77777777" w:rsidR="00711444" w:rsidRPr="004D0DAA" w:rsidRDefault="00711444" w:rsidP="00711444">
      <w:pPr>
        <w:pStyle w:val="TF"/>
      </w:pPr>
      <w:r w:rsidRPr="004D0DAA">
        <w:t xml:space="preserve">Figure 10.3a.3.1.1: EGPRS downlink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MCS-7, MCS-8 and MCS-9</w:t>
      </w:r>
    </w:p>
    <w:p w14:paraId="25534AF9" w14:textId="77777777" w:rsidR="00711444" w:rsidRPr="004D0DAA" w:rsidRDefault="00711444" w:rsidP="00711444">
      <w:pPr>
        <w:ind w:left="91"/>
      </w:pPr>
      <w:r w:rsidRPr="004D0DAA">
        <w:rPr>
          <w:rFonts w:hint="eastAsia"/>
          <w:lang w:eastAsia="ko-KR"/>
        </w:rPr>
        <w:t>For a</w:t>
      </w:r>
      <w:r w:rsidRPr="004D0DAA">
        <w:rPr>
          <w:lang w:eastAsia="ko-KR"/>
        </w:rPr>
        <w:t>n EGPRS</w:t>
      </w:r>
      <w:r w:rsidRPr="004D0DAA">
        <w:rPr>
          <w:rFonts w:hint="eastAsia"/>
          <w:lang w:eastAsia="ko-KR"/>
        </w:rPr>
        <w:t xml:space="preserve"> TBF </w:t>
      </w:r>
      <w:r w:rsidRPr="004D0DAA">
        <w:rPr>
          <w:lang w:eastAsia="ko-KR"/>
        </w:rPr>
        <w:t xml:space="preserve">with </w:t>
      </w:r>
      <w:r w:rsidRPr="004D0DAA">
        <w:rPr>
          <w:rFonts w:hint="eastAsia"/>
          <w:lang w:eastAsia="ko-KR"/>
        </w:rPr>
        <w:t>FANR</w:t>
      </w:r>
      <w:r w:rsidRPr="004D0DAA">
        <w:rPr>
          <w:lang w:eastAsia="ko-KR"/>
        </w:rPr>
        <w:t xml:space="preserve"> activated and for an</w:t>
      </w:r>
      <w:r w:rsidRPr="004D0DAA">
        <w:t xml:space="preserve"> EGPRS2 TBF (see sub-clause 5.2.1), the downlink RLC/MAC header for MCS-7, MCS-8 and MCS-9 shall be formatted according to figure 10.3a.3.1.2.</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1EE57705" w14:textId="77777777" w:rsidTr="00AA2A4C">
        <w:tblPrEx>
          <w:tblCellMar>
            <w:top w:w="0" w:type="dxa"/>
            <w:bottom w:w="0" w:type="dxa"/>
          </w:tblCellMar>
        </w:tblPrEx>
        <w:trPr>
          <w:cantSplit/>
          <w:jc w:val="center"/>
        </w:trPr>
        <w:tc>
          <w:tcPr>
            <w:tcW w:w="4564" w:type="dxa"/>
            <w:gridSpan w:val="8"/>
          </w:tcPr>
          <w:p w14:paraId="076FF60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6D3ED7B0" w14:textId="77777777" w:rsidR="00711444" w:rsidRPr="004D0DAA" w:rsidRDefault="00711444" w:rsidP="00AA2A4C">
            <w:pPr>
              <w:keepNext/>
              <w:keepLines/>
              <w:spacing w:after="0"/>
              <w:jc w:val="center"/>
              <w:rPr>
                <w:rFonts w:ascii="Arial" w:hAnsi="Arial"/>
                <w:sz w:val="18"/>
              </w:rPr>
            </w:pPr>
          </w:p>
        </w:tc>
      </w:tr>
      <w:tr w:rsidR="00711444" w:rsidRPr="004D0DAA" w14:paraId="49FDD957" w14:textId="77777777" w:rsidTr="00AA2A4C">
        <w:tblPrEx>
          <w:tblCellMar>
            <w:top w:w="0" w:type="dxa"/>
            <w:bottom w:w="0" w:type="dxa"/>
          </w:tblCellMar>
        </w:tblPrEx>
        <w:trPr>
          <w:cantSplit/>
          <w:jc w:val="center"/>
        </w:trPr>
        <w:tc>
          <w:tcPr>
            <w:tcW w:w="595" w:type="dxa"/>
          </w:tcPr>
          <w:p w14:paraId="6413CCD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66A7102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3223882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182B0DC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46BD057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5C88064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69653C9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6BD2372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7A9BE71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5B2E9D47"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2A87B30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32ECC86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01" w:type="dxa"/>
            <w:gridSpan w:val="3"/>
            <w:tcBorders>
              <w:top w:val="single" w:sz="6" w:space="0" w:color="auto"/>
              <w:left w:val="single" w:sz="6" w:space="0" w:color="auto"/>
              <w:bottom w:val="single" w:sz="6" w:space="0" w:color="auto"/>
            </w:tcBorders>
          </w:tcPr>
          <w:p w14:paraId="40D0C04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236C573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0E5B2F3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1DA11F28" w14:textId="77777777" w:rsidTr="00AA2A4C">
        <w:tblPrEx>
          <w:tblCellMar>
            <w:top w:w="0" w:type="dxa"/>
            <w:bottom w:w="0" w:type="dxa"/>
          </w:tblCellMar>
        </w:tblPrEx>
        <w:trPr>
          <w:cantSplit/>
          <w:jc w:val="center"/>
        </w:trPr>
        <w:tc>
          <w:tcPr>
            <w:tcW w:w="1162" w:type="dxa"/>
            <w:gridSpan w:val="2"/>
            <w:tcBorders>
              <w:left w:val="single" w:sz="6" w:space="0" w:color="auto"/>
            </w:tcBorders>
          </w:tcPr>
          <w:p w14:paraId="2654A04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2"/>
            <w:tcBorders>
              <w:top w:val="single" w:sz="6" w:space="0" w:color="auto"/>
              <w:left w:val="single" w:sz="6" w:space="0" w:color="auto"/>
              <w:bottom w:val="single" w:sz="6" w:space="0" w:color="auto"/>
              <w:right w:val="single" w:sz="6" w:space="0" w:color="auto"/>
            </w:tcBorders>
          </w:tcPr>
          <w:p w14:paraId="1794DA4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4"/>
            <w:tcBorders>
              <w:top w:val="single" w:sz="6" w:space="0" w:color="auto"/>
              <w:left w:val="single" w:sz="6" w:space="0" w:color="auto"/>
              <w:bottom w:val="single" w:sz="6" w:space="0" w:color="auto"/>
              <w:right w:val="single" w:sz="6" w:space="0" w:color="auto"/>
            </w:tcBorders>
          </w:tcPr>
          <w:p w14:paraId="448752A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167B921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1E5C3A66"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4934F2F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0F5A82E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3FEA5145" w14:textId="77777777" w:rsidTr="00AA2A4C">
        <w:tblPrEx>
          <w:tblCellMar>
            <w:top w:w="0" w:type="dxa"/>
            <w:bottom w:w="0" w:type="dxa"/>
          </w:tblCellMar>
        </w:tblPrEx>
        <w:trPr>
          <w:cantSplit/>
          <w:jc w:val="center"/>
        </w:trPr>
        <w:tc>
          <w:tcPr>
            <w:tcW w:w="3997" w:type="dxa"/>
            <w:gridSpan w:val="7"/>
            <w:tcBorders>
              <w:top w:val="single" w:sz="6" w:space="0" w:color="auto"/>
              <w:left w:val="single" w:sz="6" w:space="0" w:color="auto"/>
              <w:right w:val="single" w:sz="6" w:space="0" w:color="auto"/>
            </w:tcBorders>
          </w:tcPr>
          <w:p w14:paraId="53391F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516D6C5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6DE3316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734AEBE5" w14:textId="77777777" w:rsidTr="00AA2A4C">
        <w:tblPrEx>
          <w:tblCellMar>
            <w:top w:w="0" w:type="dxa"/>
            <w:bottom w:w="0" w:type="dxa"/>
          </w:tblCellMar>
        </w:tblPrEx>
        <w:trPr>
          <w:cantSplit/>
          <w:jc w:val="center"/>
        </w:trPr>
        <w:tc>
          <w:tcPr>
            <w:tcW w:w="2863" w:type="dxa"/>
            <w:gridSpan w:val="5"/>
            <w:tcBorders>
              <w:top w:val="single" w:sz="6" w:space="0" w:color="auto"/>
              <w:left w:val="single" w:sz="6" w:space="0" w:color="auto"/>
              <w:bottom w:val="single" w:sz="6" w:space="0" w:color="auto"/>
              <w:right w:val="single" w:sz="6" w:space="0" w:color="auto"/>
            </w:tcBorders>
          </w:tcPr>
          <w:p w14:paraId="1B3CA7C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00FE0DE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2D67699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1C48A951" w14:textId="77777777" w:rsidR="00711444" w:rsidRPr="004D0DAA" w:rsidRDefault="00711444" w:rsidP="00711444">
      <w:pPr>
        <w:keepNext/>
        <w:keepLines/>
        <w:spacing w:after="0"/>
        <w:ind w:left="1135" w:hanging="851"/>
        <w:rPr>
          <w:rFonts w:ascii="Arial" w:hAnsi="Arial"/>
          <w:sz w:val="18"/>
        </w:rPr>
      </w:pPr>
    </w:p>
    <w:p w14:paraId="2A9440B3" w14:textId="77777777" w:rsidR="00711444" w:rsidRPr="004D0DAA" w:rsidRDefault="00711444" w:rsidP="00711444">
      <w:pPr>
        <w:pStyle w:val="TF"/>
        <w:rPr>
          <w:lang w:eastAsia="ko-KR"/>
        </w:rPr>
      </w:pPr>
      <w:r w:rsidRPr="004D0DAA">
        <w:t xml:space="preserve">Figure 10.3a.3.1.2: </w:t>
      </w:r>
      <w:r w:rsidRPr="004D0DAA">
        <w:rPr>
          <w:rFonts w:hint="eastAsia"/>
          <w:lang w:eastAsia="ko-KR"/>
        </w:rPr>
        <w:t xml:space="preserve">EGPRS </w:t>
      </w:r>
      <w:r w:rsidRPr="004D0DAA">
        <w:rPr>
          <w:lang w:eastAsia="ko-KR"/>
        </w:rPr>
        <w:t>(</w:t>
      </w:r>
      <w:r w:rsidRPr="004D0DAA">
        <w:rPr>
          <w:rFonts w:hint="eastAsia"/>
          <w:lang w:eastAsia="ko-KR"/>
        </w:rPr>
        <w:t>FANR</w:t>
      </w:r>
      <w:r w:rsidRPr="004D0DAA">
        <w:rPr>
          <w:lang w:eastAsia="ko-KR"/>
        </w:rPr>
        <w:t xml:space="preserve"> activated)</w:t>
      </w:r>
      <w:r w:rsidRPr="004D0DAA">
        <w:t xml:space="preserve"> / </w:t>
      </w:r>
      <w:r w:rsidRPr="004D0DAA">
        <w:rPr>
          <w:rFonts w:hint="eastAsia"/>
          <w:lang w:eastAsia="ko-KR"/>
        </w:rPr>
        <w:t>EGPRS2</w:t>
      </w:r>
      <w:r w:rsidRPr="004D0DAA">
        <w:t xml:space="preserve"> downlink RLC data block header</w:t>
      </w:r>
    </w:p>
    <w:p w14:paraId="1482D651"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 in a DLMC configuration using an SNS of 8192</w:t>
      </w:r>
      <w:r w:rsidRPr="004D0DAA">
        <w:t>, the EGPRS combined downlink RLC/MAC header for MCS</w:t>
      </w:r>
      <w:r w:rsidRPr="004D0DAA">
        <w:noBreakHyphen/>
        <w:t>7, MCS</w:t>
      </w:r>
      <w:r w:rsidRPr="004D0DAA">
        <w:noBreakHyphen/>
        <w:t>8 and MCS</w:t>
      </w:r>
      <w:r w:rsidRPr="004D0DAA">
        <w:noBreakHyphen/>
        <w:t>9 (header type 1) shall be formatted according to figure 10.3a.3.1.3.</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4808FEE7" w14:textId="77777777" w:rsidTr="00AA2A4C">
        <w:tblPrEx>
          <w:tblCellMar>
            <w:top w:w="0" w:type="dxa"/>
            <w:bottom w:w="0" w:type="dxa"/>
          </w:tblCellMar>
        </w:tblPrEx>
        <w:trPr>
          <w:cantSplit/>
          <w:jc w:val="center"/>
        </w:trPr>
        <w:tc>
          <w:tcPr>
            <w:tcW w:w="4564" w:type="dxa"/>
            <w:gridSpan w:val="8"/>
          </w:tcPr>
          <w:p w14:paraId="7A64993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0057EC18" w14:textId="77777777" w:rsidR="00711444" w:rsidRPr="004D0DAA" w:rsidRDefault="00711444" w:rsidP="00AA2A4C">
            <w:pPr>
              <w:keepNext/>
              <w:keepLines/>
              <w:spacing w:after="0"/>
              <w:jc w:val="center"/>
              <w:rPr>
                <w:rFonts w:ascii="Arial" w:hAnsi="Arial"/>
                <w:sz w:val="18"/>
              </w:rPr>
            </w:pPr>
          </w:p>
        </w:tc>
      </w:tr>
      <w:tr w:rsidR="00711444" w:rsidRPr="004D0DAA" w14:paraId="5F9C59C4" w14:textId="77777777" w:rsidTr="00AA2A4C">
        <w:tblPrEx>
          <w:tblCellMar>
            <w:top w:w="0" w:type="dxa"/>
            <w:bottom w:w="0" w:type="dxa"/>
          </w:tblCellMar>
        </w:tblPrEx>
        <w:trPr>
          <w:cantSplit/>
          <w:jc w:val="center"/>
        </w:trPr>
        <w:tc>
          <w:tcPr>
            <w:tcW w:w="595" w:type="dxa"/>
          </w:tcPr>
          <w:p w14:paraId="1C27C7E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3D2BAA1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4F28829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602736C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5B6D01D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7FEBE8D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184FB31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4495EA9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4655AB6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7CF99C6A"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0C2C908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24B0E96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bottom w:val="single" w:sz="6" w:space="0" w:color="auto"/>
              <w:right w:val="single" w:sz="6" w:space="0" w:color="auto"/>
            </w:tcBorders>
          </w:tcPr>
          <w:p w14:paraId="31F6D8E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2"/>
            <w:tcBorders>
              <w:top w:val="single" w:sz="6" w:space="0" w:color="auto"/>
              <w:left w:val="single" w:sz="6" w:space="0" w:color="auto"/>
              <w:bottom w:val="single" w:sz="6" w:space="0" w:color="auto"/>
            </w:tcBorders>
          </w:tcPr>
          <w:p w14:paraId="65EBF08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701" w:type="dxa"/>
            <w:gridSpan w:val="3"/>
            <w:tcBorders>
              <w:top w:val="single" w:sz="6" w:space="0" w:color="auto"/>
              <w:left w:val="single" w:sz="6" w:space="0" w:color="auto"/>
              <w:right w:val="single" w:sz="6" w:space="0" w:color="auto"/>
            </w:tcBorders>
          </w:tcPr>
          <w:p w14:paraId="277675D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0694291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552AE171" w14:textId="77777777" w:rsidTr="00AA2A4C">
        <w:tblPrEx>
          <w:tblCellMar>
            <w:top w:w="0" w:type="dxa"/>
            <w:bottom w:w="0" w:type="dxa"/>
          </w:tblCellMar>
        </w:tblPrEx>
        <w:trPr>
          <w:cantSplit/>
          <w:jc w:val="center"/>
        </w:trPr>
        <w:tc>
          <w:tcPr>
            <w:tcW w:w="2296" w:type="dxa"/>
            <w:gridSpan w:val="4"/>
            <w:tcBorders>
              <w:left w:val="single" w:sz="6" w:space="0" w:color="auto"/>
              <w:right w:val="single" w:sz="6" w:space="0" w:color="auto"/>
            </w:tcBorders>
          </w:tcPr>
          <w:p w14:paraId="0EF283C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68" w:type="dxa"/>
            <w:gridSpan w:val="4"/>
            <w:tcBorders>
              <w:top w:val="single" w:sz="6" w:space="0" w:color="auto"/>
              <w:left w:val="single" w:sz="6" w:space="0" w:color="auto"/>
              <w:bottom w:val="single" w:sz="6" w:space="0" w:color="auto"/>
              <w:right w:val="single" w:sz="6" w:space="0" w:color="auto"/>
            </w:tcBorders>
          </w:tcPr>
          <w:p w14:paraId="08B600C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4947739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7895845F"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6917879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46BA6A8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488008F4" w14:textId="77777777" w:rsidTr="00AA2A4C">
        <w:tblPrEx>
          <w:tblCellMar>
            <w:top w:w="0" w:type="dxa"/>
            <w:bottom w:w="0" w:type="dxa"/>
          </w:tblCellMar>
        </w:tblPrEx>
        <w:trPr>
          <w:cantSplit/>
          <w:jc w:val="center"/>
        </w:trPr>
        <w:tc>
          <w:tcPr>
            <w:tcW w:w="3997" w:type="dxa"/>
            <w:gridSpan w:val="7"/>
            <w:tcBorders>
              <w:top w:val="single" w:sz="6" w:space="0" w:color="auto"/>
              <w:left w:val="single" w:sz="6" w:space="0" w:color="auto"/>
              <w:right w:val="single" w:sz="6" w:space="0" w:color="auto"/>
            </w:tcBorders>
          </w:tcPr>
          <w:p w14:paraId="1B042DB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0A5AB36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4A13BC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47754085" w14:textId="77777777" w:rsidTr="00AA2A4C">
        <w:tblPrEx>
          <w:tblCellMar>
            <w:top w:w="0" w:type="dxa"/>
            <w:bottom w:w="0" w:type="dxa"/>
          </w:tblCellMar>
        </w:tblPrEx>
        <w:trPr>
          <w:cantSplit/>
          <w:jc w:val="center"/>
        </w:trPr>
        <w:tc>
          <w:tcPr>
            <w:tcW w:w="2863" w:type="dxa"/>
            <w:gridSpan w:val="5"/>
            <w:tcBorders>
              <w:top w:val="single" w:sz="6" w:space="0" w:color="auto"/>
              <w:left w:val="single" w:sz="6" w:space="0" w:color="auto"/>
              <w:bottom w:val="single" w:sz="6" w:space="0" w:color="auto"/>
              <w:right w:val="single" w:sz="6" w:space="0" w:color="auto"/>
            </w:tcBorders>
          </w:tcPr>
          <w:p w14:paraId="72E45E8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3E0BD58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670BB6E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7838FE69" w14:textId="77777777" w:rsidR="00711444" w:rsidRPr="004D0DAA" w:rsidRDefault="00711444" w:rsidP="00711444">
      <w:pPr>
        <w:pStyle w:val="NF"/>
      </w:pPr>
    </w:p>
    <w:p w14:paraId="3D850904" w14:textId="77777777" w:rsidR="00711444" w:rsidRPr="004D0DAA" w:rsidRDefault="00711444" w:rsidP="00711444">
      <w:pPr>
        <w:pStyle w:val="TF"/>
      </w:pPr>
      <w:r w:rsidRPr="004D0DAA">
        <w:t>Figure 10.3a.3.1.3: DLMC EGPRS downlink RLC data block header</w:t>
      </w:r>
      <w:r w:rsidRPr="004D0DAA">
        <w:rPr>
          <w:lang w:eastAsia="ko-KR"/>
        </w:rPr>
        <w:t xml:space="preserve"> (</w:t>
      </w:r>
      <w:r w:rsidRPr="004D0DAA">
        <w:rPr>
          <w:rFonts w:hint="eastAsia"/>
          <w:lang w:eastAsia="ko-KR"/>
        </w:rPr>
        <w:t>FANR</w:t>
      </w:r>
      <w:r w:rsidRPr="004D0DAA">
        <w:rPr>
          <w:lang w:eastAsia="ko-KR"/>
        </w:rPr>
        <w:t xml:space="preserve"> not activated)</w:t>
      </w:r>
      <w:r w:rsidRPr="004D0DAA">
        <w:t xml:space="preserve"> </w:t>
      </w:r>
      <w:r w:rsidRPr="004D0DAA">
        <w:br/>
        <w:t>for MCS-7, MCS-8 and MCS-9</w:t>
      </w:r>
    </w:p>
    <w:p w14:paraId="33B7B67F" w14:textId="77777777" w:rsidR="00711444" w:rsidRPr="004D0DAA" w:rsidRDefault="00711444" w:rsidP="00711444">
      <w:pPr>
        <w:ind w:left="91"/>
      </w:pPr>
      <w:r w:rsidRPr="004D0DAA">
        <w:rPr>
          <w:rFonts w:hint="eastAsia"/>
          <w:lang w:eastAsia="ko-KR"/>
        </w:rPr>
        <w:t>For a</w:t>
      </w:r>
      <w:r w:rsidRPr="004D0DAA">
        <w:rPr>
          <w:lang w:eastAsia="ko-KR"/>
        </w:rPr>
        <w:t>n EGPRS</w:t>
      </w:r>
      <w:r w:rsidRPr="004D0DAA">
        <w:rPr>
          <w:rFonts w:hint="eastAsia"/>
          <w:lang w:eastAsia="ko-KR"/>
        </w:rPr>
        <w:t xml:space="preserve"> TBF </w:t>
      </w:r>
      <w:r w:rsidRPr="004D0DAA">
        <w:rPr>
          <w:lang w:eastAsia="ko-KR"/>
        </w:rPr>
        <w:t xml:space="preserve">with </w:t>
      </w:r>
      <w:r w:rsidRPr="004D0DAA">
        <w:rPr>
          <w:rFonts w:hint="eastAsia"/>
          <w:lang w:eastAsia="ko-KR"/>
        </w:rPr>
        <w:t>FANR</w:t>
      </w:r>
      <w:r w:rsidRPr="004D0DAA">
        <w:rPr>
          <w:lang w:eastAsia="ko-KR"/>
        </w:rPr>
        <w:t xml:space="preserve"> activated in a DLMC configuration using an SNS of 8192 and for an</w:t>
      </w:r>
      <w:r w:rsidRPr="004D0DAA">
        <w:t xml:space="preserve"> EGPRS2 TBF in a DLMC configuration</w:t>
      </w:r>
      <w:r w:rsidRPr="004D0DAA">
        <w:rPr>
          <w:lang w:eastAsia="ko-KR"/>
        </w:rPr>
        <w:t xml:space="preserve"> using an SNS of 8192</w:t>
      </w:r>
      <w:r w:rsidRPr="004D0DAA">
        <w:t>, the downlink RLC/MAC header for MCS-7, MCS-8 and MCS-9 shall be formatted according to figure 10.3a.3.1.4.</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58"/>
        <w:gridCol w:w="9"/>
        <w:gridCol w:w="567"/>
        <w:gridCol w:w="567"/>
        <w:gridCol w:w="567"/>
        <w:gridCol w:w="567"/>
        <w:gridCol w:w="567"/>
        <w:gridCol w:w="1134"/>
      </w:tblGrid>
      <w:tr w:rsidR="00711444" w:rsidRPr="004D0DAA" w14:paraId="7B67E832" w14:textId="77777777" w:rsidTr="00AA2A4C">
        <w:tblPrEx>
          <w:tblCellMar>
            <w:top w:w="0" w:type="dxa"/>
            <w:bottom w:w="0" w:type="dxa"/>
          </w:tblCellMar>
        </w:tblPrEx>
        <w:trPr>
          <w:cantSplit/>
          <w:jc w:val="center"/>
        </w:trPr>
        <w:tc>
          <w:tcPr>
            <w:tcW w:w="4564" w:type="dxa"/>
            <w:gridSpan w:val="9"/>
          </w:tcPr>
          <w:p w14:paraId="29E0EA0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347EB163" w14:textId="77777777" w:rsidR="00711444" w:rsidRPr="004D0DAA" w:rsidRDefault="00711444" w:rsidP="00AA2A4C">
            <w:pPr>
              <w:keepNext/>
              <w:keepLines/>
              <w:spacing w:after="0"/>
              <w:jc w:val="center"/>
              <w:rPr>
                <w:rFonts w:ascii="Arial" w:hAnsi="Arial"/>
                <w:sz w:val="18"/>
              </w:rPr>
            </w:pPr>
          </w:p>
        </w:tc>
      </w:tr>
      <w:tr w:rsidR="00711444" w:rsidRPr="004D0DAA" w14:paraId="502C116B" w14:textId="77777777" w:rsidTr="00AA2A4C">
        <w:tblPrEx>
          <w:tblCellMar>
            <w:top w:w="0" w:type="dxa"/>
            <w:bottom w:w="0" w:type="dxa"/>
          </w:tblCellMar>
        </w:tblPrEx>
        <w:trPr>
          <w:cantSplit/>
          <w:jc w:val="center"/>
        </w:trPr>
        <w:tc>
          <w:tcPr>
            <w:tcW w:w="595" w:type="dxa"/>
          </w:tcPr>
          <w:p w14:paraId="5C43C01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2E2C60C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7788D3B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572FA44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59BEB8B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04C1652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0A51674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6FF2C7E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4FECF2D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4CB844F2"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45A5196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69CB5A1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58" w:type="dxa"/>
            <w:tcBorders>
              <w:top w:val="single" w:sz="6" w:space="0" w:color="auto"/>
              <w:left w:val="single" w:sz="6" w:space="0" w:color="auto"/>
              <w:bottom w:val="single" w:sz="6" w:space="0" w:color="auto"/>
            </w:tcBorders>
          </w:tcPr>
          <w:p w14:paraId="394C9CA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43" w:type="dxa"/>
            <w:gridSpan w:val="3"/>
            <w:tcBorders>
              <w:top w:val="single" w:sz="6" w:space="0" w:color="auto"/>
              <w:left w:val="single" w:sz="6" w:space="0" w:color="auto"/>
              <w:bottom w:val="single" w:sz="6" w:space="0" w:color="auto"/>
            </w:tcBorders>
          </w:tcPr>
          <w:p w14:paraId="4B23245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1E34E2E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6DF0DF6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50C8F8AF" w14:textId="77777777" w:rsidTr="00AA2A4C">
        <w:tblPrEx>
          <w:tblCellMar>
            <w:top w:w="0" w:type="dxa"/>
            <w:bottom w:w="0" w:type="dxa"/>
          </w:tblCellMar>
        </w:tblPrEx>
        <w:trPr>
          <w:cantSplit/>
          <w:jc w:val="center"/>
        </w:trPr>
        <w:tc>
          <w:tcPr>
            <w:tcW w:w="2296" w:type="dxa"/>
            <w:gridSpan w:val="5"/>
            <w:tcBorders>
              <w:left w:val="single" w:sz="6" w:space="0" w:color="auto"/>
              <w:right w:val="single" w:sz="6" w:space="0" w:color="auto"/>
            </w:tcBorders>
          </w:tcPr>
          <w:p w14:paraId="5439C49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68" w:type="dxa"/>
            <w:gridSpan w:val="4"/>
            <w:tcBorders>
              <w:top w:val="single" w:sz="6" w:space="0" w:color="auto"/>
              <w:left w:val="single" w:sz="6" w:space="0" w:color="auto"/>
              <w:bottom w:val="single" w:sz="6" w:space="0" w:color="auto"/>
              <w:right w:val="single" w:sz="6" w:space="0" w:color="auto"/>
            </w:tcBorders>
          </w:tcPr>
          <w:p w14:paraId="4736C18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1AABEDA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06E638EA" w14:textId="77777777" w:rsidTr="00AA2A4C">
        <w:tblPrEx>
          <w:tblCellMar>
            <w:top w:w="0" w:type="dxa"/>
            <w:bottom w:w="0" w:type="dxa"/>
          </w:tblCellMar>
        </w:tblPrEx>
        <w:trPr>
          <w:cantSplit/>
          <w:jc w:val="center"/>
        </w:trPr>
        <w:tc>
          <w:tcPr>
            <w:tcW w:w="4564" w:type="dxa"/>
            <w:gridSpan w:val="9"/>
            <w:tcBorders>
              <w:top w:val="single" w:sz="6" w:space="0" w:color="auto"/>
              <w:left w:val="single" w:sz="6" w:space="0" w:color="auto"/>
              <w:right w:val="single" w:sz="6" w:space="0" w:color="auto"/>
            </w:tcBorders>
          </w:tcPr>
          <w:p w14:paraId="48F9235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8CCE12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58BF54EA" w14:textId="77777777" w:rsidTr="00AA2A4C">
        <w:tblPrEx>
          <w:tblCellMar>
            <w:top w:w="0" w:type="dxa"/>
            <w:bottom w:w="0" w:type="dxa"/>
          </w:tblCellMar>
        </w:tblPrEx>
        <w:trPr>
          <w:cantSplit/>
          <w:jc w:val="center"/>
        </w:trPr>
        <w:tc>
          <w:tcPr>
            <w:tcW w:w="3997" w:type="dxa"/>
            <w:gridSpan w:val="8"/>
            <w:tcBorders>
              <w:top w:val="single" w:sz="6" w:space="0" w:color="auto"/>
              <w:left w:val="single" w:sz="6" w:space="0" w:color="auto"/>
              <w:right w:val="single" w:sz="6" w:space="0" w:color="auto"/>
            </w:tcBorders>
          </w:tcPr>
          <w:p w14:paraId="49220EC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3A9D8A6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48D2C43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52522AA6" w14:textId="77777777" w:rsidTr="00AA2A4C">
        <w:tblPrEx>
          <w:tblCellMar>
            <w:top w:w="0" w:type="dxa"/>
            <w:bottom w:w="0" w:type="dxa"/>
          </w:tblCellMar>
        </w:tblPrEx>
        <w:trPr>
          <w:cantSplit/>
          <w:jc w:val="center"/>
        </w:trPr>
        <w:tc>
          <w:tcPr>
            <w:tcW w:w="2863" w:type="dxa"/>
            <w:gridSpan w:val="6"/>
            <w:tcBorders>
              <w:top w:val="single" w:sz="6" w:space="0" w:color="auto"/>
              <w:left w:val="single" w:sz="6" w:space="0" w:color="auto"/>
              <w:bottom w:val="single" w:sz="6" w:space="0" w:color="auto"/>
              <w:right w:val="single" w:sz="6" w:space="0" w:color="auto"/>
            </w:tcBorders>
          </w:tcPr>
          <w:p w14:paraId="3F297F6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36098FE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27E3341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353B0968" w14:textId="77777777" w:rsidR="00711444" w:rsidRPr="004D0DAA" w:rsidRDefault="00711444" w:rsidP="00711444">
      <w:pPr>
        <w:keepNext/>
        <w:keepLines/>
        <w:spacing w:after="0"/>
        <w:ind w:left="1135" w:hanging="851"/>
        <w:rPr>
          <w:rFonts w:ascii="Arial" w:hAnsi="Arial"/>
          <w:sz w:val="18"/>
        </w:rPr>
      </w:pPr>
    </w:p>
    <w:p w14:paraId="34E4B239" w14:textId="77777777" w:rsidR="00711444" w:rsidRPr="004D0DAA" w:rsidRDefault="00711444" w:rsidP="00711444">
      <w:pPr>
        <w:pStyle w:val="TF"/>
        <w:rPr>
          <w:lang w:eastAsia="ko-KR"/>
        </w:rPr>
      </w:pPr>
      <w:r w:rsidRPr="004D0DAA">
        <w:t xml:space="preserve">Figure 10.3a.3.1.4: DLMC </w:t>
      </w:r>
      <w:r w:rsidRPr="004D0DAA">
        <w:rPr>
          <w:rFonts w:hint="eastAsia"/>
          <w:lang w:eastAsia="ko-KR"/>
        </w:rPr>
        <w:t>EGPRS</w:t>
      </w:r>
      <w:r w:rsidRPr="004D0DAA">
        <w:rPr>
          <w:lang w:eastAsia="ko-KR"/>
        </w:rPr>
        <w:t xml:space="preserve"> (</w:t>
      </w:r>
      <w:r w:rsidRPr="004D0DAA">
        <w:rPr>
          <w:rFonts w:hint="eastAsia"/>
          <w:lang w:eastAsia="ko-KR"/>
        </w:rPr>
        <w:t>FANR</w:t>
      </w:r>
      <w:r w:rsidRPr="004D0DAA">
        <w:rPr>
          <w:lang w:eastAsia="ko-KR"/>
        </w:rPr>
        <w:t xml:space="preserve"> activated)</w:t>
      </w:r>
      <w:r w:rsidRPr="004D0DAA">
        <w:t xml:space="preserve"> / DLMC </w:t>
      </w:r>
      <w:r w:rsidRPr="004D0DAA">
        <w:rPr>
          <w:rFonts w:hint="eastAsia"/>
          <w:lang w:eastAsia="ko-KR"/>
        </w:rPr>
        <w:t>EGPRS2</w:t>
      </w:r>
      <w:r w:rsidRPr="004D0DAA">
        <w:t xml:space="preserve"> downlink RLC data block header for MCS-7, MCS-8 and MCS-9</w:t>
      </w:r>
    </w:p>
    <w:p w14:paraId="44960D92" w14:textId="77777777" w:rsidR="00711444" w:rsidRPr="004D0DAA" w:rsidRDefault="00711444" w:rsidP="00711444">
      <w:pPr>
        <w:ind w:left="90"/>
      </w:pPr>
      <w:r w:rsidRPr="004D0DAA">
        <w:rPr>
          <w:lang w:eastAsia="ko-KR"/>
        </w:rPr>
        <w:lastRenderedPageBreak/>
        <w:t>For an EC TBF</w:t>
      </w:r>
      <w:r w:rsidRPr="004D0DAA">
        <w:t>, the combined downlink RLC/MAC header for MCS</w:t>
      </w:r>
      <w:r w:rsidRPr="004D0DAA">
        <w:noBreakHyphen/>
        <w:t>7, MCS</w:t>
      </w:r>
      <w:r w:rsidRPr="004D0DAA">
        <w:noBreakHyphen/>
        <w:t>8 and MCS</w:t>
      </w:r>
      <w:r w:rsidRPr="004D0DAA">
        <w:noBreakHyphen/>
        <w:t>9 (header type 1) shall be formatted according to figure 10.3a.3.1.5.</w:t>
      </w:r>
    </w:p>
    <w:tbl>
      <w:tblPr>
        <w:tblW w:w="0" w:type="auto"/>
        <w:jc w:val="center"/>
        <w:tblLayout w:type="fixed"/>
        <w:tblCellMar>
          <w:left w:w="28" w:type="dxa"/>
          <w:right w:w="28" w:type="dxa"/>
        </w:tblCellMar>
        <w:tblLook w:val="0000" w:firstRow="0" w:lastRow="0" w:firstColumn="0" w:lastColumn="0" w:noHBand="0" w:noVBand="0"/>
      </w:tblPr>
      <w:tblGrid>
        <w:gridCol w:w="624"/>
        <w:gridCol w:w="539"/>
        <w:gridCol w:w="25"/>
        <w:gridCol w:w="74"/>
        <w:gridCol w:w="638"/>
        <w:gridCol w:w="428"/>
        <w:gridCol w:w="566"/>
        <w:gridCol w:w="49"/>
        <w:gridCol w:w="567"/>
        <w:gridCol w:w="567"/>
        <w:gridCol w:w="519"/>
        <w:gridCol w:w="49"/>
        <w:gridCol w:w="1063"/>
        <w:gridCol w:w="76"/>
      </w:tblGrid>
      <w:tr w:rsidR="00711444" w:rsidRPr="004D0DAA" w14:paraId="4AFCD1B3" w14:textId="77777777" w:rsidTr="00AA2A4C">
        <w:trPr>
          <w:gridAfter w:val="1"/>
          <w:wAfter w:w="76" w:type="dxa"/>
          <w:cantSplit/>
          <w:jc w:val="center"/>
        </w:trPr>
        <w:tc>
          <w:tcPr>
            <w:tcW w:w="4596" w:type="dxa"/>
            <w:gridSpan w:val="11"/>
          </w:tcPr>
          <w:p w14:paraId="4B93843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12" w:type="dxa"/>
            <w:gridSpan w:val="2"/>
          </w:tcPr>
          <w:p w14:paraId="7543F437" w14:textId="77777777" w:rsidR="00711444" w:rsidRPr="004D0DAA" w:rsidRDefault="00711444" w:rsidP="00AA2A4C">
            <w:pPr>
              <w:keepNext/>
              <w:keepLines/>
              <w:spacing w:after="0"/>
              <w:jc w:val="center"/>
              <w:rPr>
                <w:rFonts w:ascii="Arial" w:hAnsi="Arial"/>
                <w:sz w:val="18"/>
              </w:rPr>
            </w:pPr>
          </w:p>
        </w:tc>
      </w:tr>
      <w:tr w:rsidR="00711444" w:rsidRPr="004D0DAA" w14:paraId="76910688" w14:textId="77777777" w:rsidTr="00AA2A4C">
        <w:trPr>
          <w:cantSplit/>
          <w:jc w:val="center"/>
        </w:trPr>
        <w:tc>
          <w:tcPr>
            <w:tcW w:w="624" w:type="dxa"/>
          </w:tcPr>
          <w:p w14:paraId="6005934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39" w:type="dxa"/>
          </w:tcPr>
          <w:p w14:paraId="50EFB6B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737" w:type="dxa"/>
            <w:gridSpan w:val="3"/>
          </w:tcPr>
          <w:p w14:paraId="1740DBC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428" w:type="dxa"/>
          </w:tcPr>
          <w:p w14:paraId="2E3D1B1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615" w:type="dxa"/>
            <w:gridSpan w:val="2"/>
          </w:tcPr>
          <w:p w14:paraId="794536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6F476F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2297617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8" w:type="dxa"/>
            <w:gridSpan w:val="2"/>
          </w:tcPr>
          <w:p w14:paraId="24839D3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9" w:type="dxa"/>
            <w:gridSpan w:val="2"/>
          </w:tcPr>
          <w:p w14:paraId="68328E7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14307D57" w14:textId="77777777" w:rsidTr="00AA2A4C">
        <w:trPr>
          <w:gridAfter w:val="1"/>
          <w:wAfter w:w="76" w:type="dxa"/>
          <w:cantSplit/>
          <w:jc w:val="center"/>
        </w:trPr>
        <w:tc>
          <w:tcPr>
            <w:tcW w:w="624" w:type="dxa"/>
            <w:tcBorders>
              <w:top w:val="single" w:sz="6" w:space="0" w:color="auto"/>
              <w:left w:val="single" w:sz="6" w:space="0" w:color="auto"/>
              <w:bottom w:val="single" w:sz="6" w:space="0" w:color="auto"/>
              <w:right w:val="single" w:sz="6" w:space="0" w:color="auto"/>
            </w:tcBorders>
          </w:tcPr>
          <w:p w14:paraId="34B4874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638" w:type="dxa"/>
            <w:gridSpan w:val="3"/>
            <w:tcBorders>
              <w:top w:val="single" w:sz="6" w:space="0" w:color="auto"/>
              <w:left w:val="single" w:sz="6" w:space="0" w:color="auto"/>
              <w:bottom w:val="single" w:sz="6" w:space="0" w:color="auto"/>
              <w:right w:val="single" w:sz="6" w:space="0" w:color="auto"/>
            </w:tcBorders>
          </w:tcPr>
          <w:p w14:paraId="0CB713B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638" w:type="dxa"/>
            <w:tcBorders>
              <w:top w:val="single" w:sz="6" w:space="0" w:color="auto"/>
              <w:left w:val="single" w:sz="6" w:space="0" w:color="auto"/>
              <w:bottom w:val="single" w:sz="6" w:space="0" w:color="auto"/>
              <w:right w:val="single" w:sz="6" w:space="0" w:color="auto"/>
            </w:tcBorders>
          </w:tcPr>
          <w:p w14:paraId="667B907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994" w:type="dxa"/>
            <w:gridSpan w:val="2"/>
            <w:tcBorders>
              <w:top w:val="single" w:sz="6" w:space="0" w:color="auto"/>
              <w:left w:val="single" w:sz="6" w:space="0" w:color="auto"/>
              <w:bottom w:val="single" w:sz="6" w:space="0" w:color="auto"/>
            </w:tcBorders>
          </w:tcPr>
          <w:p w14:paraId="2D63232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ECS/P</w:t>
            </w:r>
          </w:p>
        </w:tc>
        <w:tc>
          <w:tcPr>
            <w:tcW w:w="1702" w:type="dxa"/>
            <w:gridSpan w:val="4"/>
            <w:tcBorders>
              <w:top w:val="single" w:sz="6" w:space="0" w:color="auto"/>
              <w:left w:val="single" w:sz="6" w:space="0" w:color="auto"/>
              <w:right w:val="single" w:sz="6" w:space="0" w:color="auto"/>
            </w:tcBorders>
          </w:tcPr>
          <w:p w14:paraId="4F47EF1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12" w:type="dxa"/>
            <w:gridSpan w:val="2"/>
            <w:tcBorders>
              <w:left w:val="single" w:sz="6" w:space="0" w:color="auto"/>
            </w:tcBorders>
          </w:tcPr>
          <w:p w14:paraId="15AC75D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79A866AD" w14:textId="77777777" w:rsidTr="00AA2A4C">
        <w:trPr>
          <w:gridAfter w:val="1"/>
          <w:wAfter w:w="76" w:type="dxa"/>
          <w:cantSplit/>
          <w:jc w:val="center"/>
        </w:trPr>
        <w:tc>
          <w:tcPr>
            <w:tcW w:w="1188" w:type="dxa"/>
            <w:gridSpan w:val="3"/>
            <w:tcBorders>
              <w:left w:val="single" w:sz="6" w:space="0" w:color="auto"/>
              <w:right w:val="single" w:sz="6" w:space="0" w:color="auto"/>
            </w:tcBorders>
          </w:tcPr>
          <w:p w14:paraId="23451EB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0" w:type="dxa"/>
            <w:gridSpan w:val="3"/>
            <w:tcBorders>
              <w:left w:val="single" w:sz="6" w:space="0" w:color="auto"/>
              <w:right w:val="single" w:sz="6" w:space="0" w:color="auto"/>
            </w:tcBorders>
          </w:tcPr>
          <w:p w14:paraId="2DB911F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5"/>
            <w:tcBorders>
              <w:top w:val="single" w:sz="4" w:space="0" w:color="auto"/>
              <w:left w:val="single" w:sz="6" w:space="0" w:color="auto"/>
              <w:right w:val="single" w:sz="6" w:space="0" w:color="auto"/>
            </w:tcBorders>
          </w:tcPr>
          <w:p w14:paraId="2FF36B1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12" w:type="dxa"/>
            <w:gridSpan w:val="2"/>
            <w:tcBorders>
              <w:left w:val="single" w:sz="6" w:space="0" w:color="auto"/>
            </w:tcBorders>
          </w:tcPr>
          <w:p w14:paraId="285FAE2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1B011E58" w14:textId="77777777" w:rsidTr="00AA2A4C">
        <w:trPr>
          <w:gridAfter w:val="1"/>
          <w:wAfter w:w="76" w:type="dxa"/>
          <w:cantSplit/>
          <w:jc w:val="center"/>
        </w:trPr>
        <w:tc>
          <w:tcPr>
            <w:tcW w:w="624" w:type="dxa"/>
            <w:tcBorders>
              <w:top w:val="single" w:sz="6" w:space="0" w:color="auto"/>
              <w:left w:val="single" w:sz="6" w:space="0" w:color="auto"/>
              <w:right w:val="single" w:sz="6" w:space="0" w:color="auto"/>
            </w:tcBorders>
          </w:tcPr>
          <w:p w14:paraId="4C78059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2270" w:type="dxa"/>
            <w:gridSpan w:val="6"/>
            <w:tcBorders>
              <w:top w:val="single" w:sz="6" w:space="0" w:color="auto"/>
              <w:left w:val="single" w:sz="6" w:space="0" w:color="auto"/>
              <w:right w:val="single" w:sz="6" w:space="0" w:color="auto"/>
            </w:tcBorders>
          </w:tcPr>
          <w:p w14:paraId="337C412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702" w:type="dxa"/>
            <w:gridSpan w:val="4"/>
            <w:tcBorders>
              <w:top w:val="single" w:sz="6" w:space="0" w:color="auto"/>
              <w:left w:val="single" w:sz="6" w:space="0" w:color="auto"/>
              <w:right w:val="single" w:sz="6" w:space="0" w:color="auto"/>
            </w:tcBorders>
          </w:tcPr>
          <w:p w14:paraId="40DC95A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12" w:type="dxa"/>
            <w:gridSpan w:val="2"/>
            <w:tcBorders>
              <w:left w:val="single" w:sz="6" w:space="0" w:color="auto"/>
            </w:tcBorders>
          </w:tcPr>
          <w:p w14:paraId="6966777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7A22410E" w14:textId="77777777" w:rsidTr="00AA2A4C">
        <w:trPr>
          <w:gridAfter w:val="1"/>
          <w:wAfter w:w="76" w:type="dxa"/>
          <w:cantSplit/>
          <w:jc w:val="center"/>
        </w:trPr>
        <w:tc>
          <w:tcPr>
            <w:tcW w:w="624" w:type="dxa"/>
            <w:tcBorders>
              <w:top w:val="single" w:sz="6" w:space="0" w:color="auto"/>
              <w:left w:val="single" w:sz="6" w:space="0" w:color="auto"/>
              <w:right w:val="single" w:sz="6" w:space="0" w:color="auto"/>
            </w:tcBorders>
          </w:tcPr>
          <w:p w14:paraId="14F5C5D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276" w:type="dxa"/>
            <w:gridSpan w:val="4"/>
            <w:tcBorders>
              <w:top w:val="single" w:sz="6" w:space="0" w:color="auto"/>
              <w:left w:val="single" w:sz="6" w:space="0" w:color="auto"/>
              <w:right w:val="single" w:sz="6" w:space="0" w:color="auto"/>
            </w:tcBorders>
          </w:tcPr>
          <w:p w14:paraId="33B3F24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2696" w:type="dxa"/>
            <w:gridSpan w:val="6"/>
            <w:tcBorders>
              <w:top w:val="single" w:sz="6" w:space="0" w:color="auto"/>
              <w:left w:val="single" w:sz="6" w:space="0" w:color="auto"/>
              <w:right w:val="single" w:sz="6" w:space="0" w:color="auto"/>
            </w:tcBorders>
          </w:tcPr>
          <w:p w14:paraId="196306A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112" w:type="dxa"/>
            <w:gridSpan w:val="2"/>
            <w:tcBorders>
              <w:left w:val="single" w:sz="6" w:space="0" w:color="auto"/>
            </w:tcBorders>
          </w:tcPr>
          <w:p w14:paraId="0702311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53593530" w14:textId="77777777" w:rsidTr="00AA2A4C">
        <w:trPr>
          <w:gridAfter w:val="1"/>
          <w:wAfter w:w="76" w:type="dxa"/>
          <w:cantSplit/>
          <w:jc w:val="center"/>
        </w:trPr>
        <w:tc>
          <w:tcPr>
            <w:tcW w:w="4596" w:type="dxa"/>
            <w:gridSpan w:val="11"/>
            <w:tcBorders>
              <w:top w:val="single" w:sz="6" w:space="0" w:color="auto"/>
              <w:left w:val="single" w:sz="6" w:space="0" w:color="auto"/>
              <w:bottom w:val="single" w:sz="6" w:space="0" w:color="auto"/>
              <w:right w:val="single" w:sz="6" w:space="0" w:color="auto"/>
            </w:tcBorders>
          </w:tcPr>
          <w:p w14:paraId="0F26A00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12" w:type="dxa"/>
            <w:gridSpan w:val="2"/>
            <w:tcBorders>
              <w:left w:val="single" w:sz="6" w:space="0" w:color="auto"/>
            </w:tcBorders>
          </w:tcPr>
          <w:p w14:paraId="57D64D1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205A629B" w14:textId="77777777" w:rsidR="00711444" w:rsidRPr="004D0DAA" w:rsidRDefault="00711444" w:rsidP="00711444">
      <w:pPr>
        <w:pStyle w:val="TF"/>
        <w:jc w:val="left"/>
      </w:pPr>
    </w:p>
    <w:p w14:paraId="4685AAED" w14:textId="77777777" w:rsidR="00711444" w:rsidRPr="004D0DAA" w:rsidRDefault="00711444" w:rsidP="00711444">
      <w:pPr>
        <w:pStyle w:val="TF"/>
      </w:pPr>
      <w:r w:rsidRPr="004D0DAA">
        <w:t>Figure 10.3a.3.1.5: EC-GSM-IoT downlink RLC data block header for MCS-7, MCS-8 and MCS-9</w:t>
      </w:r>
    </w:p>
    <w:p w14:paraId="10FB1F0A" w14:textId="77777777" w:rsidR="00711444" w:rsidRPr="004D0DAA" w:rsidRDefault="00711444" w:rsidP="00711444">
      <w:pPr>
        <w:pStyle w:val="Heading4"/>
      </w:pPr>
      <w:bookmarkStart w:id="523" w:name="_Toc516669704"/>
      <w:r w:rsidRPr="004D0DAA">
        <w:t>10.3a.3.2</w:t>
      </w:r>
      <w:r w:rsidRPr="004D0DAA">
        <w:tab/>
        <w:t>Header type 2: header for MCS-6, MCS-5, DAS-5, DAS-6 and DAS-7</w:t>
      </w:r>
      <w:bookmarkEnd w:id="523"/>
    </w:p>
    <w:p w14:paraId="0CE28D6A"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w:t>
      </w:r>
      <w:r w:rsidRPr="004D0DAA">
        <w:t>, the EGPRS combined downlink RLC/MAC header for MCS</w:t>
      </w:r>
      <w:r w:rsidRPr="004D0DAA">
        <w:noBreakHyphen/>
        <w:t>5 and MCS</w:t>
      </w:r>
      <w:r w:rsidRPr="004D0DAA">
        <w:noBreakHyphen/>
        <w:t>6 (header type 2) shall be formatted according to figure 10.3a.3.2.1.</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2DA8D935" w14:textId="77777777" w:rsidTr="00AA2A4C">
        <w:tblPrEx>
          <w:tblCellMar>
            <w:top w:w="0" w:type="dxa"/>
            <w:bottom w:w="0" w:type="dxa"/>
          </w:tblCellMar>
        </w:tblPrEx>
        <w:trPr>
          <w:cantSplit/>
          <w:jc w:val="center"/>
        </w:trPr>
        <w:tc>
          <w:tcPr>
            <w:tcW w:w="4564" w:type="dxa"/>
            <w:gridSpan w:val="8"/>
          </w:tcPr>
          <w:p w14:paraId="6A57D99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474498DB" w14:textId="77777777" w:rsidR="00711444" w:rsidRPr="004D0DAA" w:rsidRDefault="00711444" w:rsidP="00AA2A4C">
            <w:pPr>
              <w:keepNext/>
              <w:keepLines/>
              <w:spacing w:after="0"/>
              <w:jc w:val="center"/>
              <w:rPr>
                <w:rFonts w:ascii="Arial" w:hAnsi="Arial"/>
                <w:sz w:val="18"/>
              </w:rPr>
            </w:pPr>
          </w:p>
        </w:tc>
      </w:tr>
      <w:tr w:rsidR="00711444" w:rsidRPr="004D0DAA" w14:paraId="020B18D7" w14:textId="77777777" w:rsidTr="00AA2A4C">
        <w:tblPrEx>
          <w:tblCellMar>
            <w:top w:w="0" w:type="dxa"/>
            <w:bottom w:w="0" w:type="dxa"/>
          </w:tblCellMar>
        </w:tblPrEx>
        <w:trPr>
          <w:cantSplit/>
          <w:jc w:val="center"/>
        </w:trPr>
        <w:tc>
          <w:tcPr>
            <w:tcW w:w="595" w:type="dxa"/>
          </w:tcPr>
          <w:p w14:paraId="41A1A35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710324D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20A8C10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050194C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28B5D72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630C083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5FA3713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1C3BC31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3BB74CD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443C1FC2"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7EC4AFF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gridSpan w:val="2"/>
            <w:tcBorders>
              <w:top w:val="single" w:sz="6" w:space="0" w:color="auto"/>
              <w:left w:val="single" w:sz="6" w:space="0" w:color="auto"/>
              <w:bottom w:val="single" w:sz="6" w:space="0" w:color="auto"/>
              <w:right w:val="single" w:sz="6" w:space="0" w:color="auto"/>
            </w:tcBorders>
          </w:tcPr>
          <w:p w14:paraId="5A9EA7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2"/>
            <w:tcBorders>
              <w:top w:val="single" w:sz="6" w:space="0" w:color="auto"/>
              <w:left w:val="single" w:sz="6" w:space="0" w:color="auto"/>
              <w:bottom w:val="single" w:sz="6" w:space="0" w:color="auto"/>
            </w:tcBorders>
          </w:tcPr>
          <w:p w14:paraId="138B54D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701" w:type="dxa"/>
            <w:gridSpan w:val="3"/>
            <w:tcBorders>
              <w:top w:val="single" w:sz="6" w:space="0" w:color="auto"/>
              <w:left w:val="single" w:sz="6" w:space="0" w:color="auto"/>
              <w:right w:val="single" w:sz="6" w:space="0" w:color="auto"/>
            </w:tcBorders>
          </w:tcPr>
          <w:p w14:paraId="6341FF4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75EA9AA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ECA72A3" w14:textId="77777777" w:rsidTr="00AA2A4C">
        <w:tblPrEx>
          <w:tblCellMar>
            <w:top w:w="0" w:type="dxa"/>
            <w:bottom w:w="0" w:type="dxa"/>
          </w:tblCellMar>
        </w:tblPrEx>
        <w:trPr>
          <w:cantSplit/>
          <w:jc w:val="center"/>
        </w:trPr>
        <w:tc>
          <w:tcPr>
            <w:tcW w:w="1162" w:type="dxa"/>
            <w:gridSpan w:val="2"/>
            <w:tcBorders>
              <w:left w:val="single" w:sz="6" w:space="0" w:color="auto"/>
            </w:tcBorders>
          </w:tcPr>
          <w:p w14:paraId="519B31B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2"/>
            <w:tcBorders>
              <w:top w:val="single" w:sz="6" w:space="0" w:color="auto"/>
              <w:left w:val="single" w:sz="6" w:space="0" w:color="auto"/>
              <w:bottom w:val="single" w:sz="6" w:space="0" w:color="auto"/>
              <w:right w:val="single" w:sz="6" w:space="0" w:color="auto"/>
            </w:tcBorders>
          </w:tcPr>
          <w:p w14:paraId="49CF03F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4"/>
            <w:tcBorders>
              <w:top w:val="single" w:sz="6" w:space="0" w:color="auto"/>
              <w:left w:val="single" w:sz="6" w:space="0" w:color="auto"/>
              <w:bottom w:val="single" w:sz="6" w:space="0" w:color="auto"/>
              <w:right w:val="single" w:sz="6" w:space="0" w:color="auto"/>
            </w:tcBorders>
          </w:tcPr>
          <w:p w14:paraId="25D7BCF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607976A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72BAAB96"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279C9C0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3E197C1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46CBF041" w14:textId="77777777" w:rsidTr="00AA2A4C">
        <w:tblPrEx>
          <w:tblCellMar>
            <w:top w:w="0" w:type="dxa"/>
            <w:bottom w:w="0" w:type="dxa"/>
          </w:tblCellMar>
        </w:tblPrEx>
        <w:trPr>
          <w:cantSplit/>
          <w:jc w:val="center"/>
        </w:trPr>
        <w:tc>
          <w:tcPr>
            <w:tcW w:w="2296" w:type="dxa"/>
            <w:gridSpan w:val="4"/>
            <w:tcBorders>
              <w:top w:val="single" w:sz="6" w:space="0" w:color="auto"/>
              <w:right w:val="single" w:sz="6" w:space="0" w:color="auto"/>
            </w:tcBorders>
          </w:tcPr>
          <w:p w14:paraId="7E5597E5" w14:textId="77777777" w:rsidR="00711444" w:rsidRPr="004D0DAA" w:rsidRDefault="00711444" w:rsidP="00AA2A4C">
            <w:pPr>
              <w:keepNext/>
              <w:keepLines/>
              <w:spacing w:after="0"/>
              <w:jc w:val="center"/>
              <w:rPr>
                <w:rFonts w:ascii="Arial" w:hAnsi="Arial"/>
                <w:sz w:val="18"/>
              </w:rPr>
            </w:pPr>
          </w:p>
        </w:tc>
        <w:tc>
          <w:tcPr>
            <w:tcW w:w="1701" w:type="dxa"/>
            <w:gridSpan w:val="3"/>
            <w:tcBorders>
              <w:top w:val="single" w:sz="6" w:space="0" w:color="auto"/>
              <w:left w:val="single" w:sz="6" w:space="0" w:color="auto"/>
              <w:bottom w:val="single" w:sz="6" w:space="0" w:color="auto"/>
              <w:right w:val="single" w:sz="6" w:space="0" w:color="auto"/>
            </w:tcBorders>
          </w:tcPr>
          <w:p w14:paraId="34B1168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tcBorders>
              <w:top w:val="single" w:sz="6" w:space="0" w:color="auto"/>
              <w:left w:val="single" w:sz="6" w:space="0" w:color="auto"/>
              <w:bottom w:val="single" w:sz="6" w:space="0" w:color="auto"/>
              <w:right w:val="single" w:sz="6" w:space="0" w:color="auto"/>
            </w:tcBorders>
          </w:tcPr>
          <w:p w14:paraId="08B9963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2C410F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18CCD89D" w14:textId="77777777" w:rsidR="00711444" w:rsidRPr="004D0DAA" w:rsidRDefault="00711444" w:rsidP="00711444">
      <w:pPr>
        <w:pStyle w:val="NF"/>
      </w:pPr>
    </w:p>
    <w:p w14:paraId="059EC133" w14:textId="77777777" w:rsidR="00711444" w:rsidRPr="004D0DAA" w:rsidRDefault="00711444" w:rsidP="00711444">
      <w:pPr>
        <w:pStyle w:val="TF"/>
      </w:pPr>
      <w:r w:rsidRPr="004D0DAA">
        <w:t xml:space="preserve">Figure 10.3a.3.2.1: EGPRS downlink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MCS-5 and MCS-6</w:t>
      </w:r>
    </w:p>
    <w:p w14:paraId="366683EA" w14:textId="77777777" w:rsidR="00711444" w:rsidRPr="004D0DAA" w:rsidRDefault="00711444" w:rsidP="00711444">
      <w:pPr>
        <w:ind w:left="90"/>
      </w:pPr>
      <w:r w:rsidRPr="004D0DAA">
        <w:rPr>
          <w:rFonts w:hint="eastAsia"/>
          <w:lang w:eastAsia="ko-KR"/>
        </w:rPr>
        <w:t xml:space="preserve">For an EGPRS TBF </w:t>
      </w:r>
      <w:r w:rsidRPr="004D0DAA">
        <w:rPr>
          <w:lang w:eastAsia="ko-KR"/>
        </w:rPr>
        <w:t>with</w:t>
      </w:r>
      <w:r w:rsidRPr="004D0DAA">
        <w:rPr>
          <w:rFonts w:hint="eastAsia"/>
          <w:lang w:eastAsia="ko-KR"/>
        </w:rPr>
        <w:t xml:space="preserve"> FANR</w:t>
      </w:r>
      <w:r w:rsidRPr="004D0DAA">
        <w:rPr>
          <w:lang w:eastAsia="ko-KR"/>
        </w:rPr>
        <w:t xml:space="preserve"> activated and for </w:t>
      </w:r>
      <w:r w:rsidRPr="004D0DAA">
        <w:t>an EGPRS2 TBF (see sub-clause 5.2.1), the downlink RLC/MAC header for MCS-5 and MCS-6 shall be formatted according to figure 10.3a.3.2.2, whereas the RLC/MAC header for DAS-5, DAS-6 and DAS-7 shall be formatted as shown on figure 10.3a.3.2.2.</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7DBBA4F7" w14:textId="77777777" w:rsidTr="00AA2A4C">
        <w:tblPrEx>
          <w:tblCellMar>
            <w:top w:w="0" w:type="dxa"/>
            <w:bottom w:w="0" w:type="dxa"/>
          </w:tblCellMar>
        </w:tblPrEx>
        <w:trPr>
          <w:cantSplit/>
          <w:jc w:val="center"/>
        </w:trPr>
        <w:tc>
          <w:tcPr>
            <w:tcW w:w="4564" w:type="dxa"/>
            <w:gridSpan w:val="8"/>
          </w:tcPr>
          <w:p w14:paraId="15DF7F4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3A2377E7" w14:textId="77777777" w:rsidR="00711444" w:rsidRPr="004D0DAA" w:rsidRDefault="00711444" w:rsidP="00AA2A4C">
            <w:pPr>
              <w:keepNext/>
              <w:keepLines/>
              <w:spacing w:after="0"/>
              <w:jc w:val="center"/>
              <w:rPr>
                <w:rFonts w:ascii="Arial" w:hAnsi="Arial"/>
                <w:sz w:val="18"/>
              </w:rPr>
            </w:pPr>
          </w:p>
        </w:tc>
      </w:tr>
      <w:tr w:rsidR="00711444" w:rsidRPr="004D0DAA" w14:paraId="386F140A" w14:textId="77777777" w:rsidTr="00AA2A4C">
        <w:tblPrEx>
          <w:tblCellMar>
            <w:top w:w="0" w:type="dxa"/>
            <w:bottom w:w="0" w:type="dxa"/>
          </w:tblCellMar>
        </w:tblPrEx>
        <w:trPr>
          <w:cantSplit/>
          <w:jc w:val="center"/>
        </w:trPr>
        <w:tc>
          <w:tcPr>
            <w:tcW w:w="595" w:type="dxa"/>
          </w:tcPr>
          <w:p w14:paraId="22B4A5F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074F05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7D9163D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4DAF54F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5A5B744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01898F6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154E5B2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7A0C862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4D8312A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4F40BC91"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1860A42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4E85D11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01" w:type="dxa"/>
            <w:gridSpan w:val="3"/>
            <w:tcBorders>
              <w:top w:val="single" w:sz="6" w:space="0" w:color="auto"/>
              <w:left w:val="single" w:sz="6" w:space="0" w:color="auto"/>
              <w:bottom w:val="single" w:sz="6" w:space="0" w:color="auto"/>
            </w:tcBorders>
          </w:tcPr>
          <w:p w14:paraId="7EB4562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6759B90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781B6D6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E3C3A62" w14:textId="77777777" w:rsidTr="00AA2A4C">
        <w:tblPrEx>
          <w:tblCellMar>
            <w:top w:w="0" w:type="dxa"/>
            <w:bottom w:w="0" w:type="dxa"/>
          </w:tblCellMar>
        </w:tblPrEx>
        <w:trPr>
          <w:cantSplit/>
          <w:jc w:val="center"/>
        </w:trPr>
        <w:tc>
          <w:tcPr>
            <w:tcW w:w="1162" w:type="dxa"/>
            <w:gridSpan w:val="2"/>
            <w:tcBorders>
              <w:left w:val="single" w:sz="6" w:space="0" w:color="auto"/>
            </w:tcBorders>
          </w:tcPr>
          <w:p w14:paraId="018EF0B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2"/>
            <w:tcBorders>
              <w:top w:val="single" w:sz="6" w:space="0" w:color="auto"/>
              <w:left w:val="single" w:sz="6" w:space="0" w:color="auto"/>
              <w:bottom w:val="single" w:sz="6" w:space="0" w:color="auto"/>
              <w:right w:val="single" w:sz="6" w:space="0" w:color="auto"/>
            </w:tcBorders>
          </w:tcPr>
          <w:p w14:paraId="63B4DDB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4"/>
            <w:tcBorders>
              <w:top w:val="single" w:sz="6" w:space="0" w:color="auto"/>
              <w:left w:val="single" w:sz="6" w:space="0" w:color="auto"/>
              <w:bottom w:val="single" w:sz="6" w:space="0" w:color="auto"/>
              <w:right w:val="single" w:sz="6" w:space="0" w:color="auto"/>
            </w:tcBorders>
          </w:tcPr>
          <w:p w14:paraId="2CA9A0E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028E757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46BE6B61"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57987C4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0FE45C8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13591BF5" w14:textId="77777777" w:rsidTr="00AA2A4C">
        <w:tblPrEx>
          <w:tblCellMar>
            <w:top w:w="0" w:type="dxa"/>
            <w:bottom w:w="0" w:type="dxa"/>
          </w:tblCellMar>
        </w:tblPrEx>
        <w:trPr>
          <w:cantSplit/>
          <w:jc w:val="center"/>
        </w:trPr>
        <w:tc>
          <w:tcPr>
            <w:tcW w:w="2296" w:type="dxa"/>
            <w:gridSpan w:val="4"/>
            <w:tcBorders>
              <w:top w:val="single" w:sz="6" w:space="0" w:color="auto"/>
              <w:right w:val="single" w:sz="6" w:space="0" w:color="auto"/>
            </w:tcBorders>
          </w:tcPr>
          <w:p w14:paraId="122A34E5" w14:textId="77777777" w:rsidR="00711444" w:rsidRPr="004D0DAA" w:rsidRDefault="00711444" w:rsidP="00AA2A4C">
            <w:pPr>
              <w:keepNext/>
              <w:keepLines/>
              <w:spacing w:after="0"/>
              <w:jc w:val="center"/>
              <w:rPr>
                <w:rFonts w:ascii="Arial" w:hAnsi="Arial"/>
                <w:sz w:val="18"/>
              </w:rPr>
            </w:pPr>
          </w:p>
        </w:tc>
        <w:tc>
          <w:tcPr>
            <w:tcW w:w="1701" w:type="dxa"/>
            <w:gridSpan w:val="3"/>
            <w:tcBorders>
              <w:top w:val="single" w:sz="6" w:space="0" w:color="auto"/>
              <w:left w:val="single" w:sz="6" w:space="0" w:color="auto"/>
              <w:bottom w:val="single" w:sz="6" w:space="0" w:color="auto"/>
              <w:right w:val="single" w:sz="6" w:space="0" w:color="auto"/>
            </w:tcBorders>
          </w:tcPr>
          <w:p w14:paraId="783BE1B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tcBorders>
              <w:top w:val="single" w:sz="6" w:space="0" w:color="auto"/>
              <w:left w:val="single" w:sz="6" w:space="0" w:color="auto"/>
              <w:bottom w:val="single" w:sz="6" w:space="0" w:color="auto"/>
              <w:right w:val="single" w:sz="6" w:space="0" w:color="auto"/>
            </w:tcBorders>
          </w:tcPr>
          <w:p w14:paraId="2C4E65D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6A5026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5C923BE0" w14:textId="77777777" w:rsidR="00711444" w:rsidRPr="004D0DAA" w:rsidRDefault="00711444" w:rsidP="00711444">
      <w:pPr>
        <w:pStyle w:val="TAN"/>
      </w:pPr>
    </w:p>
    <w:p w14:paraId="710FF137" w14:textId="77777777" w:rsidR="00711444" w:rsidRPr="004D0DAA" w:rsidRDefault="00711444" w:rsidP="00711444">
      <w:pPr>
        <w:pStyle w:val="TF"/>
      </w:pPr>
      <w:r w:rsidRPr="004D0DAA">
        <w:t xml:space="preserve">Figure 10.3a.3.2.2: </w:t>
      </w:r>
      <w:r w:rsidRPr="004D0DAA">
        <w:rPr>
          <w:rFonts w:hint="eastAsia"/>
          <w:lang w:eastAsia="ko-KR"/>
        </w:rPr>
        <w:t>EGPRS (FANR</w:t>
      </w:r>
      <w:r w:rsidRPr="004D0DAA">
        <w:rPr>
          <w:lang w:eastAsia="ko-KR"/>
        </w:rPr>
        <w:t xml:space="preserve"> activated</w:t>
      </w:r>
      <w:r w:rsidRPr="004D0DAA">
        <w:rPr>
          <w:rFonts w:hint="eastAsia"/>
          <w:lang w:eastAsia="ko-KR"/>
        </w:rPr>
        <w:t>)</w:t>
      </w:r>
      <w:r w:rsidRPr="004D0DAA">
        <w:rPr>
          <w:lang w:eastAsia="ko-KR"/>
        </w:rPr>
        <w:t xml:space="preserve"> </w:t>
      </w:r>
      <w:r w:rsidRPr="004D0DAA">
        <w:rPr>
          <w:rFonts w:hint="eastAsia"/>
          <w:lang w:eastAsia="ko-KR"/>
        </w:rPr>
        <w:t>/</w:t>
      </w:r>
      <w:r w:rsidRPr="004D0DAA">
        <w:rPr>
          <w:lang w:eastAsia="ko-KR"/>
        </w:rPr>
        <w:t xml:space="preserve"> </w:t>
      </w:r>
      <w:r w:rsidRPr="004D0DAA">
        <w:rPr>
          <w:rFonts w:hint="eastAsia"/>
          <w:lang w:eastAsia="ko-KR"/>
        </w:rPr>
        <w:t>EGPRS2</w:t>
      </w:r>
      <w:r w:rsidRPr="004D0DAA">
        <w:t xml:space="preserve"> downlink RLC data block header</w:t>
      </w:r>
      <w:r w:rsidRPr="004D0DAA">
        <w:br/>
        <w:t>for MCS-5, MCS-6, DAS-5, DAS-6 and DAS-7</w:t>
      </w:r>
    </w:p>
    <w:p w14:paraId="0BA5B9F4"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 in a DLMC configuration using an SNS of 8192</w:t>
      </w:r>
      <w:r w:rsidRPr="004D0DAA">
        <w:t>, the EGPRS combined downlink RLC/MAC header for MCS</w:t>
      </w:r>
      <w:r w:rsidRPr="004D0DAA">
        <w:noBreakHyphen/>
        <w:t>5 and MCS</w:t>
      </w:r>
      <w:r w:rsidRPr="004D0DAA">
        <w:noBreakHyphen/>
        <w:t>6 (header type 2) shall be formatted according to figure 10.3a.3.2.3.</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67"/>
        <w:gridCol w:w="567"/>
        <w:gridCol w:w="567"/>
        <w:gridCol w:w="567"/>
        <w:gridCol w:w="567"/>
        <w:gridCol w:w="567"/>
        <w:gridCol w:w="1134"/>
      </w:tblGrid>
      <w:tr w:rsidR="00711444" w:rsidRPr="004D0DAA" w14:paraId="3A9A46C6" w14:textId="77777777" w:rsidTr="00AA2A4C">
        <w:tblPrEx>
          <w:tblCellMar>
            <w:top w:w="0" w:type="dxa"/>
            <w:bottom w:w="0" w:type="dxa"/>
          </w:tblCellMar>
        </w:tblPrEx>
        <w:trPr>
          <w:cantSplit/>
          <w:jc w:val="center"/>
        </w:trPr>
        <w:tc>
          <w:tcPr>
            <w:tcW w:w="4564" w:type="dxa"/>
            <w:gridSpan w:val="8"/>
          </w:tcPr>
          <w:p w14:paraId="6FDB799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51D384CB" w14:textId="77777777" w:rsidR="00711444" w:rsidRPr="004D0DAA" w:rsidRDefault="00711444" w:rsidP="00AA2A4C">
            <w:pPr>
              <w:keepNext/>
              <w:keepLines/>
              <w:spacing w:after="0"/>
              <w:jc w:val="center"/>
              <w:rPr>
                <w:rFonts w:ascii="Arial" w:hAnsi="Arial"/>
                <w:sz w:val="18"/>
              </w:rPr>
            </w:pPr>
          </w:p>
        </w:tc>
      </w:tr>
      <w:tr w:rsidR="00711444" w:rsidRPr="004D0DAA" w14:paraId="28EB7C71" w14:textId="77777777" w:rsidTr="00AA2A4C">
        <w:tblPrEx>
          <w:tblCellMar>
            <w:top w:w="0" w:type="dxa"/>
            <w:bottom w:w="0" w:type="dxa"/>
          </w:tblCellMar>
        </w:tblPrEx>
        <w:trPr>
          <w:cantSplit/>
          <w:jc w:val="center"/>
        </w:trPr>
        <w:tc>
          <w:tcPr>
            <w:tcW w:w="595" w:type="dxa"/>
          </w:tcPr>
          <w:p w14:paraId="4B99EA6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6AC24E6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tcPr>
          <w:p w14:paraId="3B46AF3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21BCBD1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60AF6C6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44DEA31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2C23132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58A3882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14AC169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6A309F88"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6D11CFD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5F6069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567" w:type="dxa"/>
            <w:tcBorders>
              <w:top w:val="single" w:sz="6" w:space="0" w:color="auto"/>
              <w:left w:val="single" w:sz="6" w:space="0" w:color="auto"/>
              <w:bottom w:val="single" w:sz="6" w:space="0" w:color="auto"/>
              <w:right w:val="single" w:sz="6" w:space="0" w:color="auto"/>
            </w:tcBorders>
          </w:tcPr>
          <w:p w14:paraId="10AF514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2"/>
            <w:tcBorders>
              <w:top w:val="single" w:sz="6" w:space="0" w:color="auto"/>
              <w:left w:val="single" w:sz="6" w:space="0" w:color="auto"/>
              <w:bottom w:val="single" w:sz="6" w:space="0" w:color="auto"/>
            </w:tcBorders>
          </w:tcPr>
          <w:p w14:paraId="30CE665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701" w:type="dxa"/>
            <w:gridSpan w:val="3"/>
            <w:tcBorders>
              <w:top w:val="single" w:sz="6" w:space="0" w:color="auto"/>
              <w:left w:val="single" w:sz="6" w:space="0" w:color="auto"/>
              <w:right w:val="single" w:sz="6" w:space="0" w:color="auto"/>
            </w:tcBorders>
          </w:tcPr>
          <w:p w14:paraId="7938E50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16B6498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3F54A2BD" w14:textId="77777777" w:rsidTr="00AA2A4C">
        <w:tblPrEx>
          <w:tblCellMar>
            <w:top w:w="0" w:type="dxa"/>
            <w:bottom w:w="0" w:type="dxa"/>
          </w:tblCellMar>
        </w:tblPrEx>
        <w:trPr>
          <w:cantSplit/>
          <w:jc w:val="center"/>
        </w:trPr>
        <w:tc>
          <w:tcPr>
            <w:tcW w:w="2296" w:type="dxa"/>
            <w:gridSpan w:val="4"/>
            <w:tcBorders>
              <w:left w:val="single" w:sz="6" w:space="0" w:color="auto"/>
              <w:right w:val="single" w:sz="6" w:space="0" w:color="auto"/>
            </w:tcBorders>
          </w:tcPr>
          <w:p w14:paraId="666501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68" w:type="dxa"/>
            <w:gridSpan w:val="4"/>
            <w:tcBorders>
              <w:top w:val="single" w:sz="6" w:space="0" w:color="auto"/>
              <w:left w:val="single" w:sz="6" w:space="0" w:color="auto"/>
              <w:bottom w:val="single" w:sz="6" w:space="0" w:color="auto"/>
              <w:right w:val="single" w:sz="6" w:space="0" w:color="auto"/>
            </w:tcBorders>
          </w:tcPr>
          <w:p w14:paraId="4BEAA38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038FD11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4527526C" w14:textId="77777777" w:rsidTr="00AA2A4C">
        <w:tblPrEx>
          <w:tblCellMar>
            <w:top w:w="0" w:type="dxa"/>
            <w:bottom w:w="0" w:type="dxa"/>
          </w:tblCellMar>
        </w:tblPrEx>
        <w:trPr>
          <w:cantSplit/>
          <w:jc w:val="center"/>
        </w:trPr>
        <w:tc>
          <w:tcPr>
            <w:tcW w:w="4564" w:type="dxa"/>
            <w:gridSpan w:val="8"/>
            <w:tcBorders>
              <w:top w:val="single" w:sz="6" w:space="0" w:color="auto"/>
              <w:left w:val="single" w:sz="6" w:space="0" w:color="auto"/>
              <w:right w:val="single" w:sz="6" w:space="0" w:color="auto"/>
            </w:tcBorders>
          </w:tcPr>
          <w:p w14:paraId="2CF4088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28F7CAA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029D72D5" w14:textId="77777777" w:rsidTr="00AA2A4C">
        <w:tblPrEx>
          <w:tblCellMar>
            <w:top w:w="0" w:type="dxa"/>
            <w:bottom w:w="0" w:type="dxa"/>
          </w:tblCellMar>
        </w:tblPrEx>
        <w:trPr>
          <w:cantSplit/>
          <w:jc w:val="center"/>
        </w:trPr>
        <w:tc>
          <w:tcPr>
            <w:tcW w:w="2296" w:type="dxa"/>
            <w:gridSpan w:val="4"/>
            <w:tcBorders>
              <w:top w:val="single" w:sz="6" w:space="0" w:color="auto"/>
              <w:right w:val="single" w:sz="6" w:space="0" w:color="auto"/>
            </w:tcBorders>
          </w:tcPr>
          <w:p w14:paraId="1091D194" w14:textId="77777777" w:rsidR="00711444" w:rsidRPr="004D0DAA" w:rsidRDefault="00711444" w:rsidP="00AA2A4C">
            <w:pPr>
              <w:keepNext/>
              <w:keepLines/>
              <w:spacing w:after="0"/>
              <w:jc w:val="center"/>
              <w:rPr>
                <w:rFonts w:ascii="Arial" w:hAnsi="Arial"/>
                <w:sz w:val="18"/>
              </w:rPr>
            </w:pPr>
          </w:p>
        </w:tc>
        <w:tc>
          <w:tcPr>
            <w:tcW w:w="1701" w:type="dxa"/>
            <w:gridSpan w:val="3"/>
            <w:tcBorders>
              <w:top w:val="single" w:sz="6" w:space="0" w:color="auto"/>
              <w:left w:val="single" w:sz="6" w:space="0" w:color="auto"/>
              <w:bottom w:val="single" w:sz="6" w:space="0" w:color="auto"/>
              <w:right w:val="single" w:sz="6" w:space="0" w:color="auto"/>
            </w:tcBorders>
          </w:tcPr>
          <w:p w14:paraId="4521D42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tcBorders>
              <w:top w:val="single" w:sz="6" w:space="0" w:color="auto"/>
              <w:left w:val="single" w:sz="6" w:space="0" w:color="auto"/>
              <w:bottom w:val="single" w:sz="6" w:space="0" w:color="auto"/>
              <w:right w:val="single" w:sz="6" w:space="0" w:color="auto"/>
            </w:tcBorders>
          </w:tcPr>
          <w:p w14:paraId="3DD507F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309FEEE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6D4B1777" w14:textId="77777777" w:rsidR="00711444" w:rsidRPr="004D0DAA" w:rsidRDefault="00711444" w:rsidP="00711444">
      <w:pPr>
        <w:pStyle w:val="NF"/>
      </w:pPr>
    </w:p>
    <w:p w14:paraId="74D01203" w14:textId="77777777" w:rsidR="00711444" w:rsidRPr="004D0DAA" w:rsidRDefault="00711444" w:rsidP="00711444">
      <w:pPr>
        <w:pStyle w:val="TF"/>
      </w:pPr>
      <w:r w:rsidRPr="004D0DAA">
        <w:t xml:space="preserve">Figure 10.3a.3.2.3: DLMC EGPRS downlink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MCS-5 and MCS-6</w:t>
      </w:r>
    </w:p>
    <w:p w14:paraId="6D4FEF81" w14:textId="77777777" w:rsidR="00711444" w:rsidRPr="004D0DAA" w:rsidRDefault="00711444" w:rsidP="00711444">
      <w:pPr>
        <w:ind w:left="90"/>
      </w:pPr>
      <w:r w:rsidRPr="004D0DAA">
        <w:rPr>
          <w:rFonts w:hint="eastAsia"/>
          <w:lang w:eastAsia="ko-KR"/>
        </w:rPr>
        <w:t xml:space="preserve">For an EGPRS TBF </w:t>
      </w:r>
      <w:r w:rsidRPr="004D0DAA">
        <w:rPr>
          <w:lang w:eastAsia="ko-KR"/>
        </w:rPr>
        <w:t>with</w:t>
      </w:r>
      <w:r w:rsidRPr="004D0DAA">
        <w:rPr>
          <w:rFonts w:hint="eastAsia"/>
          <w:lang w:eastAsia="ko-KR"/>
        </w:rPr>
        <w:t xml:space="preserve"> FANR</w:t>
      </w:r>
      <w:r w:rsidRPr="004D0DAA">
        <w:rPr>
          <w:lang w:eastAsia="ko-KR"/>
        </w:rPr>
        <w:t xml:space="preserve"> activated in a DLMC configuration using an SNS of 8192 and for </w:t>
      </w:r>
      <w:r w:rsidRPr="004D0DAA">
        <w:t xml:space="preserve">an EGPRS2 TBF </w:t>
      </w:r>
      <w:r w:rsidRPr="004D0DAA">
        <w:rPr>
          <w:lang w:eastAsia="ko-KR"/>
        </w:rPr>
        <w:t>in a DLMC configuration</w:t>
      </w:r>
      <w:r w:rsidRPr="004D0DAA">
        <w:t xml:space="preserve"> </w:t>
      </w:r>
      <w:r w:rsidRPr="004D0DAA">
        <w:rPr>
          <w:lang w:eastAsia="ko-KR"/>
        </w:rPr>
        <w:t>using an SNS of 8192</w:t>
      </w:r>
      <w:r w:rsidRPr="004D0DAA">
        <w:t>, the downlink RLC/MAC header for MCS-5, MCS-6, DAS-5, DAS-6 and DAS-7  shall be formatted according to figure 10.3a.3.2.4.</w:t>
      </w:r>
    </w:p>
    <w:tbl>
      <w:tblPr>
        <w:tblW w:w="0" w:type="auto"/>
        <w:jc w:val="center"/>
        <w:tblLayout w:type="fixed"/>
        <w:tblCellMar>
          <w:left w:w="28" w:type="dxa"/>
          <w:right w:w="28" w:type="dxa"/>
        </w:tblCellMar>
        <w:tblLook w:val="0000" w:firstRow="0" w:lastRow="0" w:firstColumn="0" w:lastColumn="0" w:noHBand="0" w:noVBand="0"/>
      </w:tblPr>
      <w:tblGrid>
        <w:gridCol w:w="595"/>
        <w:gridCol w:w="567"/>
        <w:gridCol w:w="558"/>
        <w:gridCol w:w="9"/>
        <w:gridCol w:w="567"/>
        <w:gridCol w:w="567"/>
        <w:gridCol w:w="567"/>
        <w:gridCol w:w="567"/>
        <w:gridCol w:w="567"/>
        <w:gridCol w:w="1134"/>
      </w:tblGrid>
      <w:tr w:rsidR="00711444" w:rsidRPr="004D0DAA" w14:paraId="4EE06A84" w14:textId="77777777" w:rsidTr="00AA2A4C">
        <w:tblPrEx>
          <w:tblCellMar>
            <w:top w:w="0" w:type="dxa"/>
            <w:bottom w:w="0" w:type="dxa"/>
          </w:tblCellMar>
        </w:tblPrEx>
        <w:trPr>
          <w:cantSplit/>
          <w:jc w:val="center"/>
        </w:trPr>
        <w:tc>
          <w:tcPr>
            <w:tcW w:w="4564" w:type="dxa"/>
            <w:gridSpan w:val="9"/>
          </w:tcPr>
          <w:p w14:paraId="2EA40FCA" w14:textId="77777777" w:rsidR="00711444" w:rsidRPr="004D0DAA" w:rsidRDefault="00711444" w:rsidP="00AA2A4C">
            <w:pPr>
              <w:keepNext/>
              <w:keepLines/>
              <w:spacing w:after="0"/>
              <w:jc w:val="center"/>
              <w:rPr>
                <w:rFonts w:ascii="Arial" w:hAnsi="Arial"/>
                <w:sz w:val="18"/>
              </w:rPr>
            </w:pPr>
            <w:r w:rsidRPr="004D0DAA">
              <w:rPr>
                <w:rFonts w:ascii="Arial" w:hAnsi="Arial"/>
                <w:sz w:val="18"/>
              </w:rPr>
              <w:lastRenderedPageBreak/>
              <w:t>Bit</w:t>
            </w:r>
          </w:p>
        </w:tc>
        <w:tc>
          <w:tcPr>
            <w:tcW w:w="1134" w:type="dxa"/>
          </w:tcPr>
          <w:p w14:paraId="66FE8FD2" w14:textId="77777777" w:rsidR="00711444" w:rsidRPr="004D0DAA" w:rsidRDefault="00711444" w:rsidP="00AA2A4C">
            <w:pPr>
              <w:keepNext/>
              <w:keepLines/>
              <w:spacing w:after="0"/>
              <w:jc w:val="center"/>
              <w:rPr>
                <w:rFonts w:ascii="Arial" w:hAnsi="Arial"/>
                <w:sz w:val="18"/>
              </w:rPr>
            </w:pPr>
          </w:p>
        </w:tc>
      </w:tr>
      <w:tr w:rsidR="00711444" w:rsidRPr="004D0DAA" w14:paraId="38474853" w14:textId="77777777" w:rsidTr="00AA2A4C">
        <w:tblPrEx>
          <w:tblCellMar>
            <w:top w:w="0" w:type="dxa"/>
            <w:bottom w:w="0" w:type="dxa"/>
          </w:tblCellMar>
        </w:tblPrEx>
        <w:trPr>
          <w:cantSplit/>
          <w:jc w:val="center"/>
        </w:trPr>
        <w:tc>
          <w:tcPr>
            <w:tcW w:w="595" w:type="dxa"/>
          </w:tcPr>
          <w:p w14:paraId="1263342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02D3983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0A83B26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7960D2C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1282B1D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3AEE41F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6165F3B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1F44139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11B06CB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62A059B9"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21AE799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3D7A41E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58" w:type="dxa"/>
            <w:tcBorders>
              <w:top w:val="single" w:sz="6" w:space="0" w:color="auto"/>
              <w:left w:val="single" w:sz="6" w:space="0" w:color="auto"/>
              <w:bottom w:val="single" w:sz="6" w:space="0" w:color="auto"/>
            </w:tcBorders>
          </w:tcPr>
          <w:p w14:paraId="163E5A4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43" w:type="dxa"/>
            <w:gridSpan w:val="3"/>
            <w:tcBorders>
              <w:top w:val="single" w:sz="6" w:space="0" w:color="auto"/>
              <w:left w:val="single" w:sz="6" w:space="0" w:color="auto"/>
              <w:bottom w:val="single" w:sz="6" w:space="0" w:color="auto"/>
            </w:tcBorders>
          </w:tcPr>
          <w:p w14:paraId="71198A0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7BD1895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308E6AB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02171B02" w14:textId="77777777" w:rsidTr="00AA2A4C">
        <w:tblPrEx>
          <w:tblCellMar>
            <w:top w:w="0" w:type="dxa"/>
            <w:bottom w:w="0" w:type="dxa"/>
          </w:tblCellMar>
        </w:tblPrEx>
        <w:trPr>
          <w:cantSplit/>
          <w:jc w:val="center"/>
        </w:trPr>
        <w:tc>
          <w:tcPr>
            <w:tcW w:w="2296" w:type="dxa"/>
            <w:gridSpan w:val="5"/>
            <w:tcBorders>
              <w:left w:val="single" w:sz="6" w:space="0" w:color="auto"/>
              <w:right w:val="single" w:sz="6" w:space="0" w:color="auto"/>
            </w:tcBorders>
          </w:tcPr>
          <w:p w14:paraId="3C9F025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68" w:type="dxa"/>
            <w:gridSpan w:val="4"/>
            <w:tcBorders>
              <w:top w:val="single" w:sz="6" w:space="0" w:color="auto"/>
              <w:left w:val="single" w:sz="6" w:space="0" w:color="auto"/>
              <w:bottom w:val="single" w:sz="6" w:space="0" w:color="auto"/>
              <w:right w:val="single" w:sz="6" w:space="0" w:color="auto"/>
            </w:tcBorders>
          </w:tcPr>
          <w:p w14:paraId="3B29D8A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4F68C9E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1390FEA3" w14:textId="77777777" w:rsidTr="00AA2A4C">
        <w:tblPrEx>
          <w:tblCellMar>
            <w:top w:w="0" w:type="dxa"/>
            <w:bottom w:w="0" w:type="dxa"/>
          </w:tblCellMar>
        </w:tblPrEx>
        <w:trPr>
          <w:cantSplit/>
          <w:jc w:val="center"/>
        </w:trPr>
        <w:tc>
          <w:tcPr>
            <w:tcW w:w="4564" w:type="dxa"/>
            <w:gridSpan w:val="9"/>
            <w:tcBorders>
              <w:top w:val="single" w:sz="6" w:space="0" w:color="auto"/>
              <w:left w:val="single" w:sz="6" w:space="0" w:color="auto"/>
              <w:right w:val="single" w:sz="6" w:space="0" w:color="auto"/>
            </w:tcBorders>
          </w:tcPr>
          <w:p w14:paraId="4B73DF0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373F544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65EEFBCC" w14:textId="77777777" w:rsidTr="00AA2A4C">
        <w:tblPrEx>
          <w:tblCellMar>
            <w:top w:w="0" w:type="dxa"/>
            <w:bottom w:w="0" w:type="dxa"/>
          </w:tblCellMar>
        </w:tblPrEx>
        <w:trPr>
          <w:cantSplit/>
          <w:jc w:val="center"/>
        </w:trPr>
        <w:tc>
          <w:tcPr>
            <w:tcW w:w="2296" w:type="dxa"/>
            <w:gridSpan w:val="5"/>
            <w:tcBorders>
              <w:top w:val="single" w:sz="6" w:space="0" w:color="auto"/>
              <w:right w:val="single" w:sz="6" w:space="0" w:color="auto"/>
            </w:tcBorders>
          </w:tcPr>
          <w:p w14:paraId="3C857AB2" w14:textId="77777777" w:rsidR="00711444" w:rsidRPr="004D0DAA" w:rsidRDefault="00711444" w:rsidP="00AA2A4C">
            <w:pPr>
              <w:keepNext/>
              <w:keepLines/>
              <w:spacing w:after="0"/>
              <w:jc w:val="center"/>
              <w:rPr>
                <w:rFonts w:ascii="Arial" w:hAnsi="Arial"/>
                <w:sz w:val="18"/>
              </w:rPr>
            </w:pPr>
          </w:p>
        </w:tc>
        <w:tc>
          <w:tcPr>
            <w:tcW w:w="1701" w:type="dxa"/>
            <w:gridSpan w:val="3"/>
            <w:tcBorders>
              <w:top w:val="single" w:sz="6" w:space="0" w:color="auto"/>
              <w:left w:val="single" w:sz="6" w:space="0" w:color="auto"/>
              <w:bottom w:val="single" w:sz="6" w:space="0" w:color="auto"/>
              <w:right w:val="single" w:sz="6" w:space="0" w:color="auto"/>
            </w:tcBorders>
          </w:tcPr>
          <w:p w14:paraId="67C0E37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tcBorders>
              <w:top w:val="single" w:sz="6" w:space="0" w:color="auto"/>
              <w:left w:val="single" w:sz="6" w:space="0" w:color="auto"/>
              <w:bottom w:val="single" w:sz="6" w:space="0" w:color="auto"/>
              <w:right w:val="single" w:sz="6" w:space="0" w:color="auto"/>
            </w:tcBorders>
          </w:tcPr>
          <w:p w14:paraId="6DE24BA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D7D2B3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1C3EAAC3" w14:textId="77777777" w:rsidR="00711444" w:rsidRPr="004D0DAA" w:rsidRDefault="00711444" w:rsidP="00711444">
      <w:pPr>
        <w:pStyle w:val="TAN"/>
      </w:pPr>
    </w:p>
    <w:p w14:paraId="2B29B2AA" w14:textId="77777777" w:rsidR="00711444" w:rsidRPr="004D0DAA" w:rsidRDefault="00711444" w:rsidP="00711444">
      <w:pPr>
        <w:pStyle w:val="TF"/>
      </w:pPr>
      <w:r w:rsidRPr="004D0DAA">
        <w:t xml:space="preserve">Figure 10.3a.3.2.4: DLMC </w:t>
      </w:r>
      <w:r w:rsidRPr="004D0DAA">
        <w:rPr>
          <w:rFonts w:hint="eastAsia"/>
          <w:lang w:eastAsia="ko-KR"/>
        </w:rPr>
        <w:t>EGPRS</w:t>
      </w:r>
      <w:r w:rsidRPr="004D0DAA">
        <w:rPr>
          <w:lang w:eastAsia="ko-KR"/>
        </w:rPr>
        <w:t xml:space="preserve"> </w:t>
      </w:r>
      <w:r w:rsidRPr="004D0DAA">
        <w:rPr>
          <w:rFonts w:hint="eastAsia"/>
          <w:lang w:eastAsia="ko-KR"/>
        </w:rPr>
        <w:t>(FANR</w:t>
      </w:r>
      <w:r w:rsidRPr="004D0DAA">
        <w:rPr>
          <w:lang w:eastAsia="ko-KR"/>
        </w:rPr>
        <w:t xml:space="preserve"> activated</w:t>
      </w:r>
      <w:r w:rsidRPr="004D0DAA">
        <w:rPr>
          <w:rFonts w:hint="eastAsia"/>
          <w:lang w:eastAsia="ko-KR"/>
        </w:rPr>
        <w:t>)</w:t>
      </w:r>
      <w:r w:rsidRPr="004D0DAA">
        <w:rPr>
          <w:lang w:eastAsia="ko-KR"/>
        </w:rPr>
        <w:t xml:space="preserve"> </w:t>
      </w:r>
      <w:r w:rsidRPr="004D0DAA">
        <w:rPr>
          <w:rFonts w:hint="eastAsia"/>
          <w:lang w:eastAsia="ko-KR"/>
        </w:rPr>
        <w:t>/</w:t>
      </w:r>
      <w:r w:rsidRPr="004D0DAA">
        <w:rPr>
          <w:lang w:eastAsia="ko-KR"/>
        </w:rPr>
        <w:t xml:space="preserve"> DLMC </w:t>
      </w:r>
      <w:r w:rsidRPr="004D0DAA">
        <w:rPr>
          <w:rFonts w:hint="eastAsia"/>
          <w:lang w:eastAsia="ko-KR"/>
        </w:rPr>
        <w:t>EGPRS2</w:t>
      </w:r>
      <w:r w:rsidRPr="004D0DAA">
        <w:t xml:space="preserve"> downlink RLC data block header</w:t>
      </w:r>
      <w:r w:rsidRPr="004D0DAA">
        <w:br/>
        <w:t>for MCS-5, MCS-6, DAS-5, DAS-6 and DAS-7</w:t>
      </w:r>
    </w:p>
    <w:p w14:paraId="79B7E398" w14:textId="77777777" w:rsidR="00711444" w:rsidRPr="004D0DAA" w:rsidRDefault="00711444" w:rsidP="00711444">
      <w:pPr>
        <w:ind w:left="90"/>
      </w:pPr>
      <w:r w:rsidRPr="004D0DAA">
        <w:rPr>
          <w:lang w:eastAsia="ko-KR"/>
        </w:rPr>
        <w:t>For an EC TBF</w:t>
      </w:r>
      <w:r w:rsidRPr="004D0DAA">
        <w:t>, the EGPRS combined downlink RLC/MAC header for MCS</w:t>
      </w:r>
      <w:r w:rsidRPr="004D0DAA">
        <w:noBreakHyphen/>
        <w:t>5 and MCS</w:t>
      </w:r>
      <w:r w:rsidRPr="004D0DAA">
        <w:noBreakHyphen/>
        <w:t>6 (header type 2) shall be formatted according to figure 10.3a.3.2.5.</w:t>
      </w:r>
    </w:p>
    <w:tbl>
      <w:tblPr>
        <w:tblW w:w="0" w:type="auto"/>
        <w:jc w:val="center"/>
        <w:tblLayout w:type="fixed"/>
        <w:tblCellMar>
          <w:left w:w="28" w:type="dxa"/>
          <w:right w:w="28" w:type="dxa"/>
        </w:tblCellMar>
        <w:tblLook w:val="0000" w:firstRow="0" w:lastRow="0" w:firstColumn="0" w:lastColumn="0" w:noHBand="0" w:noVBand="0"/>
      </w:tblPr>
      <w:tblGrid>
        <w:gridCol w:w="582"/>
        <w:gridCol w:w="13"/>
        <w:gridCol w:w="554"/>
        <w:gridCol w:w="13"/>
        <w:gridCol w:w="554"/>
        <w:gridCol w:w="567"/>
        <w:gridCol w:w="567"/>
        <w:gridCol w:w="580"/>
        <w:gridCol w:w="567"/>
        <w:gridCol w:w="568"/>
        <w:gridCol w:w="1134"/>
      </w:tblGrid>
      <w:tr w:rsidR="00711444" w:rsidRPr="004D0DAA" w14:paraId="2D91E11A" w14:textId="77777777" w:rsidTr="00AA2A4C">
        <w:trPr>
          <w:cantSplit/>
          <w:jc w:val="center"/>
        </w:trPr>
        <w:tc>
          <w:tcPr>
            <w:tcW w:w="4565" w:type="dxa"/>
            <w:gridSpan w:val="10"/>
          </w:tcPr>
          <w:p w14:paraId="1EA3352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763A1704" w14:textId="77777777" w:rsidR="00711444" w:rsidRPr="004D0DAA" w:rsidRDefault="00711444" w:rsidP="00AA2A4C">
            <w:pPr>
              <w:keepNext/>
              <w:keepLines/>
              <w:spacing w:after="0"/>
              <w:jc w:val="center"/>
              <w:rPr>
                <w:rFonts w:ascii="Arial" w:hAnsi="Arial"/>
                <w:sz w:val="18"/>
              </w:rPr>
            </w:pPr>
          </w:p>
        </w:tc>
      </w:tr>
      <w:tr w:rsidR="00711444" w:rsidRPr="004D0DAA" w14:paraId="4EC71DA9" w14:textId="77777777" w:rsidTr="00AA2A4C">
        <w:trPr>
          <w:cantSplit/>
          <w:jc w:val="center"/>
        </w:trPr>
        <w:tc>
          <w:tcPr>
            <w:tcW w:w="595" w:type="dxa"/>
            <w:gridSpan w:val="2"/>
          </w:tcPr>
          <w:p w14:paraId="5075649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42A1770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54" w:type="dxa"/>
          </w:tcPr>
          <w:p w14:paraId="476151B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7B89B0F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6C564CB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80" w:type="dxa"/>
          </w:tcPr>
          <w:p w14:paraId="45C90A3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4C9A2A8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8" w:type="dxa"/>
          </w:tcPr>
          <w:p w14:paraId="515DBC7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1413985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736DC15A" w14:textId="77777777" w:rsidTr="00AA2A4C">
        <w:trPr>
          <w:cantSplit/>
          <w:jc w:val="center"/>
        </w:trPr>
        <w:tc>
          <w:tcPr>
            <w:tcW w:w="582" w:type="dxa"/>
            <w:tcBorders>
              <w:top w:val="single" w:sz="6" w:space="0" w:color="auto"/>
              <w:left w:val="single" w:sz="6" w:space="0" w:color="auto"/>
              <w:bottom w:val="single" w:sz="6" w:space="0" w:color="auto"/>
              <w:right w:val="single" w:sz="6" w:space="0" w:color="auto"/>
            </w:tcBorders>
          </w:tcPr>
          <w:p w14:paraId="47C9CC1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23A847B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567" w:type="dxa"/>
            <w:gridSpan w:val="2"/>
            <w:tcBorders>
              <w:top w:val="single" w:sz="6" w:space="0" w:color="auto"/>
              <w:left w:val="single" w:sz="6" w:space="0" w:color="auto"/>
              <w:bottom w:val="single" w:sz="6" w:space="0" w:color="auto"/>
              <w:right w:val="single" w:sz="6" w:space="0" w:color="auto"/>
            </w:tcBorders>
          </w:tcPr>
          <w:p w14:paraId="09D3B60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2"/>
            <w:tcBorders>
              <w:top w:val="single" w:sz="6" w:space="0" w:color="auto"/>
              <w:left w:val="single" w:sz="6" w:space="0" w:color="auto"/>
              <w:bottom w:val="single" w:sz="6" w:space="0" w:color="auto"/>
            </w:tcBorders>
          </w:tcPr>
          <w:p w14:paraId="19FC25F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ECS/P</w:t>
            </w:r>
          </w:p>
        </w:tc>
        <w:tc>
          <w:tcPr>
            <w:tcW w:w="1715" w:type="dxa"/>
            <w:gridSpan w:val="3"/>
            <w:tcBorders>
              <w:top w:val="single" w:sz="6" w:space="0" w:color="auto"/>
              <w:left w:val="single" w:sz="6" w:space="0" w:color="auto"/>
              <w:right w:val="single" w:sz="6" w:space="0" w:color="auto"/>
            </w:tcBorders>
          </w:tcPr>
          <w:p w14:paraId="7949E16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225A0B3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5E9BC4E2" w14:textId="77777777" w:rsidTr="00AA2A4C">
        <w:trPr>
          <w:cantSplit/>
          <w:jc w:val="center"/>
        </w:trPr>
        <w:tc>
          <w:tcPr>
            <w:tcW w:w="1149" w:type="dxa"/>
            <w:gridSpan w:val="3"/>
            <w:tcBorders>
              <w:left w:val="single" w:sz="6" w:space="0" w:color="auto"/>
              <w:bottom w:val="single" w:sz="4" w:space="0" w:color="auto"/>
              <w:right w:val="single" w:sz="6" w:space="0" w:color="auto"/>
            </w:tcBorders>
          </w:tcPr>
          <w:p w14:paraId="549FA19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3"/>
            <w:tcBorders>
              <w:left w:val="single" w:sz="6" w:space="0" w:color="auto"/>
              <w:bottom w:val="single" w:sz="4" w:space="0" w:color="auto"/>
              <w:right w:val="single" w:sz="6" w:space="0" w:color="auto"/>
            </w:tcBorders>
          </w:tcPr>
          <w:p w14:paraId="0B07F10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82" w:type="dxa"/>
            <w:gridSpan w:val="4"/>
            <w:tcBorders>
              <w:top w:val="single" w:sz="4" w:space="0" w:color="auto"/>
              <w:left w:val="single" w:sz="6" w:space="0" w:color="auto"/>
              <w:bottom w:val="single" w:sz="6" w:space="0" w:color="auto"/>
              <w:right w:val="single" w:sz="6" w:space="0" w:color="auto"/>
            </w:tcBorders>
          </w:tcPr>
          <w:p w14:paraId="4AB78AF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7E5A05C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20FAFA7E" w14:textId="77777777" w:rsidTr="00AA2A4C">
        <w:trPr>
          <w:cantSplit/>
          <w:jc w:val="center"/>
        </w:trPr>
        <w:tc>
          <w:tcPr>
            <w:tcW w:w="1149" w:type="dxa"/>
            <w:gridSpan w:val="3"/>
            <w:tcBorders>
              <w:top w:val="single" w:sz="4" w:space="0" w:color="auto"/>
              <w:left w:val="single" w:sz="4" w:space="0" w:color="auto"/>
              <w:bottom w:val="single" w:sz="4" w:space="0" w:color="auto"/>
              <w:right w:val="single" w:sz="4" w:space="0" w:color="auto"/>
            </w:tcBorders>
          </w:tcPr>
          <w:p w14:paraId="18DCF10A" w14:textId="77777777" w:rsidR="00711444" w:rsidRPr="004D0DAA" w:rsidRDefault="00711444" w:rsidP="00AA2A4C">
            <w:pPr>
              <w:keepNext/>
              <w:keepLines/>
              <w:tabs>
                <w:tab w:val="left" w:pos="913"/>
                <w:tab w:val="center" w:pos="1113"/>
              </w:tabs>
              <w:spacing w:after="0"/>
              <w:jc w:val="center"/>
              <w:rPr>
                <w:rFonts w:ascii="Arial" w:hAnsi="Arial"/>
                <w:sz w:val="18"/>
              </w:rPr>
            </w:pPr>
            <w:r w:rsidRPr="004D0DAA">
              <w:rPr>
                <w:rFonts w:ascii="Arial" w:hAnsi="Arial"/>
                <w:sz w:val="18"/>
              </w:rPr>
              <w:t>RRBP</w:t>
            </w:r>
          </w:p>
        </w:tc>
        <w:tc>
          <w:tcPr>
            <w:tcW w:w="1701" w:type="dxa"/>
            <w:gridSpan w:val="4"/>
            <w:tcBorders>
              <w:top w:val="single" w:sz="4" w:space="0" w:color="auto"/>
              <w:left w:val="single" w:sz="4" w:space="0" w:color="auto"/>
              <w:bottom w:val="single" w:sz="4" w:space="0" w:color="auto"/>
              <w:right w:val="single" w:sz="6" w:space="0" w:color="auto"/>
            </w:tcBorders>
          </w:tcPr>
          <w:p w14:paraId="6F17C56D" w14:textId="77777777" w:rsidR="00711444" w:rsidRPr="004D0DAA" w:rsidRDefault="00711444" w:rsidP="00AA2A4C">
            <w:pPr>
              <w:keepNext/>
              <w:keepLines/>
              <w:tabs>
                <w:tab w:val="left" w:pos="913"/>
                <w:tab w:val="center" w:pos="1113"/>
              </w:tabs>
              <w:spacing w:after="0"/>
              <w:jc w:val="center"/>
              <w:rPr>
                <w:rFonts w:ascii="Arial" w:hAnsi="Arial"/>
                <w:sz w:val="18"/>
              </w:rPr>
            </w:pPr>
            <w:r w:rsidRPr="004D0DAA">
              <w:rPr>
                <w:rFonts w:ascii="Arial" w:hAnsi="Arial"/>
                <w:sz w:val="18"/>
              </w:rPr>
              <w:t>CPS</w:t>
            </w:r>
          </w:p>
        </w:tc>
        <w:tc>
          <w:tcPr>
            <w:tcW w:w="1715" w:type="dxa"/>
            <w:gridSpan w:val="3"/>
            <w:tcBorders>
              <w:top w:val="single" w:sz="4" w:space="0" w:color="auto"/>
              <w:left w:val="single" w:sz="4" w:space="0" w:color="auto"/>
              <w:bottom w:val="single" w:sz="4" w:space="0" w:color="auto"/>
              <w:right w:val="single" w:sz="6" w:space="0" w:color="auto"/>
            </w:tcBorders>
          </w:tcPr>
          <w:p w14:paraId="7DFDDAA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0EBA6D2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758BA384" w14:textId="77777777" w:rsidTr="00AA2A4C">
        <w:trPr>
          <w:cantSplit/>
          <w:jc w:val="center"/>
        </w:trPr>
        <w:tc>
          <w:tcPr>
            <w:tcW w:w="2283" w:type="dxa"/>
            <w:gridSpan w:val="6"/>
            <w:tcBorders>
              <w:right w:val="single" w:sz="4" w:space="0" w:color="auto"/>
            </w:tcBorders>
          </w:tcPr>
          <w:p w14:paraId="57686E84" w14:textId="77777777" w:rsidR="00711444" w:rsidRPr="004D0DAA" w:rsidRDefault="00711444" w:rsidP="00AA2A4C">
            <w:pPr>
              <w:keepNext/>
              <w:keepLines/>
              <w:spacing w:after="0"/>
              <w:jc w:val="center"/>
              <w:rPr>
                <w:rFonts w:ascii="Arial" w:hAnsi="Arial"/>
                <w:sz w:val="18"/>
              </w:rPr>
            </w:pPr>
          </w:p>
        </w:tc>
        <w:tc>
          <w:tcPr>
            <w:tcW w:w="2282" w:type="dxa"/>
            <w:gridSpan w:val="4"/>
            <w:tcBorders>
              <w:top w:val="single" w:sz="6" w:space="0" w:color="auto"/>
              <w:left w:val="single" w:sz="4" w:space="0" w:color="auto"/>
              <w:bottom w:val="single" w:sz="6" w:space="0" w:color="auto"/>
              <w:right w:val="single" w:sz="6" w:space="0" w:color="auto"/>
            </w:tcBorders>
          </w:tcPr>
          <w:p w14:paraId="5C64A760" w14:textId="77777777" w:rsidR="00711444" w:rsidRPr="004D0DAA" w:rsidRDefault="00711444" w:rsidP="00AA2A4C">
            <w:pPr>
              <w:keepNext/>
              <w:keepLines/>
              <w:tabs>
                <w:tab w:val="left" w:pos="913"/>
                <w:tab w:val="center" w:pos="1113"/>
              </w:tabs>
              <w:spacing w:after="0"/>
              <w:jc w:val="center"/>
              <w:rPr>
                <w:rFonts w:ascii="Arial" w:hAnsi="Arial"/>
                <w:sz w:val="18"/>
              </w:rPr>
            </w:pPr>
            <w:r w:rsidRPr="004D0DAA">
              <w:rPr>
                <w:rFonts w:ascii="Arial" w:hAnsi="Arial"/>
                <w:sz w:val="18"/>
              </w:rPr>
              <w:t>Spare</w:t>
            </w:r>
          </w:p>
        </w:tc>
        <w:tc>
          <w:tcPr>
            <w:tcW w:w="1134" w:type="dxa"/>
            <w:tcBorders>
              <w:left w:val="single" w:sz="6" w:space="0" w:color="auto"/>
            </w:tcBorders>
          </w:tcPr>
          <w:p w14:paraId="1C75FD8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090CF4BE" w14:textId="77777777" w:rsidR="00711444" w:rsidRPr="004D0DAA" w:rsidRDefault="00711444" w:rsidP="00711444">
      <w:pPr>
        <w:pStyle w:val="NF"/>
        <w:ind w:left="0" w:firstLine="0"/>
      </w:pPr>
    </w:p>
    <w:p w14:paraId="5115E52E" w14:textId="77777777" w:rsidR="00711444" w:rsidRPr="004D0DAA" w:rsidRDefault="00711444" w:rsidP="00711444">
      <w:pPr>
        <w:pStyle w:val="TF"/>
      </w:pPr>
      <w:r w:rsidRPr="004D0DAA">
        <w:t>Figure 10.3a.3.2.5: EC-GSM-IoT downlink RLC data block header for MCS-5 and MCS-6</w:t>
      </w:r>
    </w:p>
    <w:p w14:paraId="5005EC7A" w14:textId="77777777" w:rsidR="00711444" w:rsidRPr="004D0DAA" w:rsidRDefault="00711444" w:rsidP="00711444">
      <w:pPr>
        <w:pStyle w:val="Heading4"/>
      </w:pPr>
      <w:bookmarkStart w:id="524" w:name="_Toc516669705"/>
      <w:r w:rsidRPr="004D0DAA">
        <w:t>10.3a.3.3</w:t>
      </w:r>
      <w:r w:rsidRPr="004D0DAA">
        <w:tab/>
        <w:t>Header type 3: header for MCS-4, MCS-3, MCS-2, MCS-1 and MCS-0 case</w:t>
      </w:r>
      <w:bookmarkEnd w:id="524"/>
    </w:p>
    <w:p w14:paraId="0E4DEB33"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w:t>
      </w:r>
      <w:r w:rsidRPr="004D0DAA">
        <w:t>, the EGPRS combined downlink RLC/MAC header for MCS</w:t>
      </w:r>
      <w:r w:rsidRPr="004D0DAA">
        <w:noBreakHyphen/>
        <w:t>1, MCS</w:t>
      </w:r>
      <w:r w:rsidRPr="004D0DAA">
        <w:noBreakHyphen/>
        <w:t>2, MCS</w:t>
      </w:r>
      <w:r w:rsidRPr="004D0DAA">
        <w:noBreakHyphen/>
        <w:t>3 and MCS</w:t>
      </w:r>
      <w:r w:rsidRPr="004D0DAA">
        <w:noBreakHyphen/>
        <w:t>4 (header type 3) shall be formatted according to figure 10.3a.3.3.1.</w:t>
      </w:r>
    </w:p>
    <w:tbl>
      <w:tblPr>
        <w:tblW w:w="0" w:type="auto"/>
        <w:jc w:val="center"/>
        <w:tblLayout w:type="fixed"/>
        <w:tblCellMar>
          <w:left w:w="28" w:type="dxa"/>
          <w:right w:w="28" w:type="dxa"/>
        </w:tblCellMar>
        <w:tblLook w:val="0000" w:firstRow="0" w:lastRow="0" w:firstColumn="0" w:lastColumn="0" w:noHBand="0" w:noVBand="0"/>
      </w:tblPr>
      <w:tblGrid>
        <w:gridCol w:w="595"/>
        <w:gridCol w:w="28"/>
        <w:gridCol w:w="529"/>
        <w:gridCol w:w="10"/>
        <w:gridCol w:w="557"/>
        <w:gridCol w:w="10"/>
        <w:gridCol w:w="557"/>
        <w:gridCol w:w="10"/>
        <w:gridCol w:w="567"/>
        <w:gridCol w:w="567"/>
        <w:gridCol w:w="557"/>
        <w:gridCol w:w="10"/>
        <w:gridCol w:w="557"/>
        <w:gridCol w:w="1144"/>
      </w:tblGrid>
      <w:tr w:rsidR="00711444" w:rsidRPr="004D0DAA" w14:paraId="38EC1DAF" w14:textId="77777777" w:rsidTr="00AA2A4C">
        <w:tblPrEx>
          <w:tblCellMar>
            <w:top w:w="0" w:type="dxa"/>
            <w:bottom w:w="0" w:type="dxa"/>
          </w:tblCellMar>
        </w:tblPrEx>
        <w:trPr>
          <w:cantSplit/>
          <w:jc w:val="center"/>
        </w:trPr>
        <w:tc>
          <w:tcPr>
            <w:tcW w:w="4554" w:type="dxa"/>
            <w:gridSpan w:val="13"/>
          </w:tcPr>
          <w:p w14:paraId="5E44C61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44" w:type="dxa"/>
          </w:tcPr>
          <w:p w14:paraId="0F6F390B" w14:textId="77777777" w:rsidR="00711444" w:rsidRPr="004D0DAA" w:rsidRDefault="00711444" w:rsidP="00AA2A4C">
            <w:pPr>
              <w:keepNext/>
              <w:keepLines/>
              <w:spacing w:after="0"/>
              <w:jc w:val="center"/>
              <w:rPr>
                <w:rFonts w:ascii="Arial" w:hAnsi="Arial"/>
                <w:sz w:val="18"/>
              </w:rPr>
            </w:pPr>
          </w:p>
        </w:tc>
      </w:tr>
      <w:tr w:rsidR="00711444" w:rsidRPr="004D0DAA" w14:paraId="73C1B52C" w14:textId="77777777" w:rsidTr="00AA2A4C">
        <w:tblPrEx>
          <w:tblCellMar>
            <w:top w:w="0" w:type="dxa"/>
            <w:bottom w:w="0" w:type="dxa"/>
          </w:tblCellMar>
        </w:tblPrEx>
        <w:trPr>
          <w:cantSplit/>
          <w:jc w:val="center"/>
        </w:trPr>
        <w:tc>
          <w:tcPr>
            <w:tcW w:w="595" w:type="dxa"/>
          </w:tcPr>
          <w:p w14:paraId="553B8F6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3"/>
          </w:tcPr>
          <w:p w14:paraId="68F836A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1556A52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gridSpan w:val="2"/>
          </w:tcPr>
          <w:p w14:paraId="3809966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62DB450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10F4216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gridSpan w:val="2"/>
          </w:tcPr>
          <w:p w14:paraId="00B2D3B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57" w:type="dxa"/>
          </w:tcPr>
          <w:p w14:paraId="67712F7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44" w:type="dxa"/>
          </w:tcPr>
          <w:p w14:paraId="7C37624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1AA9C663"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69505D8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gridSpan w:val="5"/>
            <w:tcBorders>
              <w:top w:val="single" w:sz="6" w:space="0" w:color="auto"/>
              <w:left w:val="single" w:sz="6" w:space="0" w:color="auto"/>
              <w:bottom w:val="single" w:sz="6" w:space="0" w:color="auto"/>
              <w:right w:val="single" w:sz="6" w:space="0" w:color="auto"/>
            </w:tcBorders>
          </w:tcPr>
          <w:p w14:paraId="4B2110A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3"/>
            <w:tcBorders>
              <w:top w:val="single" w:sz="6" w:space="0" w:color="auto"/>
              <w:left w:val="single" w:sz="6" w:space="0" w:color="auto"/>
              <w:bottom w:val="single" w:sz="6" w:space="0" w:color="auto"/>
            </w:tcBorders>
          </w:tcPr>
          <w:p w14:paraId="4E89E11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691" w:type="dxa"/>
            <w:gridSpan w:val="4"/>
            <w:tcBorders>
              <w:top w:val="single" w:sz="6" w:space="0" w:color="auto"/>
              <w:left w:val="single" w:sz="6" w:space="0" w:color="auto"/>
              <w:right w:val="single" w:sz="6" w:space="0" w:color="auto"/>
            </w:tcBorders>
          </w:tcPr>
          <w:p w14:paraId="1A8D0F3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44" w:type="dxa"/>
            <w:tcBorders>
              <w:left w:val="single" w:sz="6" w:space="0" w:color="auto"/>
            </w:tcBorders>
          </w:tcPr>
          <w:p w14:paraId="308C8A7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0B84D040" w14:textId="77777777" w:rsidTr="00AA2A4C">
        <w:tblPrEx>
          <w:tblCellMar>
            <w:top w:w="0" w:type="dxa"/>
            <w:bottom w:w="0" w:type="dxa"/>
          </w:tblCellMar>
        </w:tblPrEx>
        <w:trPr>
          <w:cantSplit/>
          <w:jc w:val="center"/>
        </w:trPr>
        <w:tc>
          <w:tcPr>
            <w:tcW w:w="1152" w:type="dxa"/>
            <w:gridSpan w:val="3"/>
            <w:tcBorders>
              <w:left w:val="single" w:sz="6" w:space="0" w:color="auto"/>
            </w:tcBorders>
          </w:tcPr>
          <w:p w14:paraId="7E2C89C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4"/>
            <w:tcBorders>
              <w:top w:val="single" w:sz="6" w:space="0" w:color="auto"/>
              <w:left w:val="single" w:sz="6" w:space="0" w:color="auto"/>
              <w:bottom w:val="single" w:sz="6" w:space="0" w:color="auto"/>
              <w:right w:val="single" w:sz="6" w:space="0" w:color="auto"/>
            </w:tcBorders>
          </w:tcPr>
          <w:p w14:paraId="0DAF3C0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6"/>
            <w:tcBorders>
              <w:top w:val="single" w:sz="6" w:space="0" w:color="auto"/>
              <w:left w:val="single" w:sz="6" w:space="0" w:color="auto"/>
              <w:bottom w:val="single" w:sz="6" w:space="0" w:color="auto"/>
              <w:right w:val="single" w:sz="6" w:space="0" w:color="auto"/>
            </w:tcBorders>
          </w:tcPr>
          <w:p w14:paraId="169F18E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44" w:type="dxa"/>
            <w:tcBorders>
              <w:left w:val="single" w:sz="6" w:space="0" w:color="auto"/>
            </w:tcBorders>
          </w:tcPr>
          <w:p w14:paraId="708A7A5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4A9F03A2" w14:textId="77777777" w:rsidTr="00AA2A4C">
        <w:tblPrEx>
          <w:tblCellMar>
            <w:top w:w="0" w:type="dxa"/>
            <w:bottom w:w="0" w:type="dxa"/>
          </w:tblCellMar>
        </w:tblPrEx>
        <w:trPr>
          <w:cantSplit/>
          <w:jc w:val="center"/>
        </w:trPr>
        <w:tc>
          <w:tcPr>
            <w:tcW w:w="4554" w:type="dxa"/>
            <w:gridSpan w:val="13"/>
            <w:tcBorders>
              <w:top w:val="single" w:sz="6" w:space="0" w:color="auto"/>
              <w:left w:val="single" w:sz="6" w:space="0" w:color="auto"/>
              <w:right w:val="single" w:sz="6" w:space="0" w:color="auto"/>
            </w:tcBorders>
          </w:tcPr>
          <w:p w14:paraId="0135DCF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0A6B1F5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7303E3C9" w14:textId="77777777" w:rsidTr="00AA2A4C">
        <w:tblPrEx>
          <w:tblCellMar>
            <w:top w:w="0" w:type="dxa"/>
            <w:bottom w:w="0" w:type="dxa"/>
          </w:tblCellMar>
        </w:tblPrEx>
        <w:trPr>
          <w:cantSplit/>
          <w:jc w:val="center"/>
        </w:trPr>
        <w:tc>
          <w:tcPr>
            <w:tcW w:w="623" w:type="dxa"/>
            <w:gridSpan w:val="2"/>
            <w:tcBorders>
              <w:top w:val="single" w:sz="6" w:space="0" w:color="auto"/>
              <w:right w:val="single" w:sz="6" w:space="0" w:color="auto"/>
            </w:tcBorders>
          </w:tcPr>
          <w:p w14:paraId="515B42D1" w14:textId="77777777" w:rsidR="00711444" w:rsidRPr="004D0DAA" w:rsidRDefault="00711444" w:rsidP="00AA2A4C">
            <w:pPr>
              <w:keepNext/>
              <w:keepLines/>
              <w:spacing w:after="0"/>
              <w:jc w:val="center"/>
              <w:rPr>
                <w:rFonts w:ascii="Arial" w:hAnsi="Arial"/>
                <w:sz w:val="18"/>
              </w:rPr>
            </w:pPr>
          </w:p>
        </w:tc>
        <w:tc>
          <w:tcPr>
            <w:tcW w:w="1096" w:type="dxa"/>
            <w:gridSpan w:val="3"/>
            <w:tcBorders>
              <w:top w:val="single" w:sz="6" w:space="0" w:color="auto"/>
              <w:left w:val="single" w:sz="6" w:space="0" w:color="auto"/>
              <w:bottom w:val="single" w:sz="6" w:space="0" w:color="auto"/>
              <w:right w:val="single" w:sz="6" w:space="0" w:color="auto"/>
            </w:tcBorders>
          </w:tcPr>
          <w:p w14:paraId="351F2FB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SPB</w:t>
            </w:r>
          </w:p>
        </w:tc>
        <w:tc>
          <w:tcPr>
            <w:tcW w:w="2268" w:type="dxa"/>
            <w:gridSpan w:val="6"/>
            <w:tcBorders>
              <w:top w:val="single" w:sz="6" w:space="0" w:color="auto"/>
              <w:left w:val="single" w:sz="6" w:space="0" w:color="auto"/>
              <w:bottom w:val="single" w:sz="6" w:space="0" w:color="auto"/>
              <w:right w:val="single" w:sz="6" w:space="0" w:color="auto"/>
            </w:tcBorders>
          </w:tcPr>
          <w:p w14:paraId="0876F0A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gridSpan w:val="2"/>
            <w:tcBorders>
              <w:top w:val="single" w:sz="6" w:space="0" w:color="auto"/>
              <w:left w:val="single" w:sz="6" w:space="0" w:color="auto"/>
              <w:bottom w:val="single" w:sz="6" w:space="0" w:color="auto"/>
              <w:right w:val="single" w:sz="6" w:space="0" w:color="auto"/>
            </w:tcBorders>
          </w:tcPr>
          <w:p w14:paraId="55FBEB3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3C7BC36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77469E03" w14:textId="77777777" w:rsidR="00711444" w:rsidRPr="004D0DAA" w:rsidRDefault="00711444" w:rsidP="00711444">
      <w:pPr>
        <w:pStyle w:val="TAN"/>
      </w:pPr>
    </w:p>
    <w:p w14:paraId="6B28CD00" w14:textId="77777777" w:rsidR="00711444" w:rsidRPr="004D0DAA" w:rsidRDefault="00711444" w:rsidP="00711444">
      <w:pPr>
        <w:pStyle w:val="TF"/>
      </w:pPr>
      <w:r w:rsidRPr="004D0DAA">
        <w:t xml:space="preserve">Figure 10.3a.3.3.1: EGPRS downlink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MCS-1, MCS-2, MCS-3 and MCS-4</w:t>
      </w:r>
    </w:p>
    <w:p w14:paraId="174D7935" w14:textId="77777777" w:rsidR="00711444" w:rsidRPr="004D0DAA" w:rsidRDefault="00711444" w:rsidP="00711444">
      <w:pPr>
        <w:ind w:left="90"/>
      </w:pPr>
      <w:r w:rsidRPr="004D0DAA">
        <w:rPr>
          <w:rFonts w:hint="eastAsia"/>
          <w:lang w:eastAsia="ko-KR"/>
        </w:rPr>
        <w:t xml:space="preserve">For an EGPRS TBF </w:t>
      </w:r>
      <w:r w:rsidRPr="004D0DAA">
        <w:rPr>
          <w:lang w:eastAsia="ko-KR"/>
        </w:rPr>
        <w:t>with</w:t>
      </w:r>
      <w:r w:rsidRPr="004D0DAA">
        <w:rPr>
          <w:rFonts w:hint="eastAsia"/>
          <w:lang w:eastAsia="ko-KR"/>
        </w:rPr>
        <w:t xml:space="preserve"> FANR </w:t>
      </w:r>
      <w:r w:rsidRPr="004D0DAA">
        <w:rPr>
          <w:lang w:eastAsia="ko-KR"/>
        </w:rPr>
        <w:t xml:space="preserve">activated </w:t>
      </w:r>
      <w:r w:rsidRPr="004D0DAA">
        <w:rPr>
          <w:rFonts w:hint="eastAsia"/>
          <w:lang w:eastAsia="ko-KR"/>
        </w:rPr>
        <w:t xml:space="preserve">and for </w:t>
      </w:r>
      <w:r w:rsidRPr="004D0DAA">
        <w:rPr>
          <w:lang w:eastAsia="ko-KR"/>
        </w:rPr>
        <w:t xml:space="preserve">an </w:t>
      </w:r>
      <w:r w:rsidRPr="004D0DAA">
        <w:rPr>
          <w:rFonts w:hint="eastAsia"/>
          <w:lang w:eastAsia="ko-KR"/>
        </w:rPr>
        <w:t>EGPRS2</w:t>
      </w:r>
      <w:r w:rsidRPr="004D0DAA">
        <w:rPr>
          <w:lang w:eastAsia="ko-KR"/>
        </w:rPr>
        <w:t xml:space="preserve"> TBF </w:t>
      </w:r>
      <w:r w:rsidRPr="004D0DAA">
        <w:t>(see sub-clause 5.2.1), the downlink RLC/MAC header for MCS-1, MCS-2, MCS-3 and MCS-4 shall be formatted according to figure 10.3a.3.3.2.</w:t>
      </w:r>
    </w:p>
    <w:tbl>
      <w:tblPr>
        <w:tblW w:w="0" w:type="auto"/>
        <w:jc w:val="center"/>
        <w:tblLayout w:type="fixed"/>
        <w:tblCellMar>
          <w:left w:w="28" w:type="dxa"/>
          <w:right w:w="28" w:type="dxa"/>
        </w:tblCellMar>
        <w:tblLook w:val="0000" w:firstRow="0" w:lastRow="0" w:firstColumn="0" w:lastColumn="0" w:noHBand="0" w:noVBand="0"/>
      </w:tblPr>
      <w:tblGrid>
        <w:gridCol w:w="595"/>
        <w:gridCol w:w="28"/>
        <w:gridCol w:w="529"/>
        <w:gridCol w:w="10"/>
        <w:gridCol w:w="557"/>
        <w:gridCol w:w="13"/>
        <w:gridCol w:w="554"/>
        <w:gridCol w:w="13"/>
        <w:gridCol w:w="567"/>
        <w:gridCol w:w="567"/>
        <w:gridCol w:w="554"/>
        <w:gridCol w:w="13"/>
        <w:gridCol w:w="557"/>
        <w:gridCol w:w="1144"/>
      </w:tblGrid>
      <w:tr w:rsidR="00711444" w:rsidRPr="004D0DAA" w14:paraId="1583A382" w14:textId="77777777" w:rsidTr="00AA2A4C">
        <w:tblPrEx>
          <w:tblCellMar>
            <w:top w:w="0" w:type="dxa"/>
            <w:bottom w:w="0" w:type="dxa"/>
          </w:tblCellMar>
        </w:tblPrEx>
        <w:trPr>
          <w:cantSplit/>
          <w:jc w:val="center"/>
        </w:trPr>
        <w:tc>
          <w:tcPr>
            <w:tcW w:w="4557" w:type="dxa"/>
            <w:gridSpan w:val="13"/>
          </w:tcPr>
          <w:p w14:paraId="122F91A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44" w:type="dxa"/>
          </w:tcPr>
          <w:p w14:paraId="45F2FA93" w14:textId="77777777" w:rsidR="00711444" w:rsidRPr="004D0DAA" w:rsidRDefault="00711444" w:rsidP="00AA2A4C">
            <w:pPr>
              <w:keepNext/>
              <w:keepLines/>
              <w:spacing w:after="0"/>
              <w:jc w:val="center"/>
              <w:rPr>
                <w:rFonts w:ascii="Arial" w:hAnsi="Arial"/>
                <w:sz w:val="18"/>
              </w:rPr>
            </w:pPr>
          </w:p>
        </w:tc>
      </w:tr>
      <w:tr w:rsidR="00711444" w:rsidRPr="004D0DAA" w14:paraId="0FA1130F" w14:textId="77777777" w:rsidTr="00AA2A4C">
        <w:tblPrEx>
          <w:tblCellMar>
            <w:top w:w="0" w:type="dxa"/>
            <w:bottom w:w="0" w:type="dxa"/>
          </w:tblCellMar>
        </w:tblPrEx>
        <w:trPr>
          <w:cantSplit/>
          <w:jc w:val="center"/>
        </w:trPr>
        <w:tc>
          <w:tcPr>
            <w:tcW w:w="595" w:type="dxa"/>
          </w:tcPr>
          <w:p w14:paraId="76247E5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3"/>
          </w:tcPr>
          <w:p w14:paraId="7110318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70" w:type="dxa"/>
            <w:gridSpan w:val="2"/>
          </w:tcPr>
          <w:p w14:paraId="1548614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gridSpan w:val="2"/>
          </w:tcPr>
          <w:p w14:paraId="14C9CAC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1C74D4D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491502F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gridSpan w:val="2"/>
          </w:tcPr>
          <w:p w14:paraId="461F513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57" w:type="dxa"/>
          </w:tcPr>
          <w:p w14:paraId="3A7B672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44" w:type="dxa"/>
          </w:tcPr>
          <w:p w14:paraId="2B30F12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5919048E"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3164D36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57" w:type="dxa"/>
            <w:gridSpan w:val="2"/>
            <w:tcBorders>
              <w:top w:val="single" w:sz="6" w:space="0" w:color="auto"/>
              <w:left w:val="single" w:sz="6" w:space="0" w:color="auto"/>
              <w:bottom w:val="single" w:sz="6" w:space="0" w:color="auto"/>
              <w:right w:val="single" w:sz="6" w:space="0" w:color="auto"/>
            </w:tcBorders>
          </w:tcPr>
          <w:p w14:paraId="040F160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14" w:type="dxa"/>
            <w:gridSpan w:val="6"/>
            <w:tcBorders>
              <w:top w:val="single" w:sz="6" w:space="0" w:color="auto"/>
              <w:left w:val="single" w:sz="6" w:space="0" w:color="auto"/>
              <w:bottom w:val="single" w:sz="6" w:space="0" w:color="auto"/>
            </w:tcBorders>
          </w:tcPr>
          <w:p w14:paraId="51CCA47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691" w:type="dxa"/>
            <w:gridSpan w:val="4"/>
            <w:tcBorders>
              <w:top w:val="single" w:sz="6" w:space="0" w:color="auto"/>
              <w:left w:val="single" w:sz="6" w:space="0" w:color="auto"/>
              <w:right w:val="single" w:sz="6" w:space="0" w:color="auto"/>
            </w:tcBorders>
          </w:tcPr>
          <w:p w14:paraId="32CE639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44" w:type="dxa"/>
            <w:tcBorders>
              <w:left w:val="single" w:sz="6" w:space="0" w:color="auto"/>
            </w:tcBorders>
          </w:tcPr>
          <w:p w14:paraId="32CF631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57216482" w14:textId="77777777" w:rsidTr="00AA2A4C">
        <w:tblPrEx>
          <w:tblCellMar>
            <w:top w:w="0" w:type="dxa"/>
            <w:bottom w:w="0" w:type="dxa"/>
          </w:tblCellMar>
        </w:tblPrEx>
        <w:trPr>
          <w:cantSplit/>
          <w:jc w:val="center"/>
        </w:trPr>
        <w:tc>
          <w:tcPr>
            <w:tcW w:w="1152" w:type="dxa"/>
            <w:gridSpan w:val="3"/>
            <w:tcBorders>
              <w:left w:val="single" w:sz="6" w:space="0" w:color="auto"/>
            </w:tcBorders>
          </w:tcPr>
          <w:p w14:paraId="2FD092F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4"/>
            <w:tcBorders>
              <w:top w:val="single" w:sz="6" w:space="0" w:color="auto"/>
              <w:left w:val="single" w:sz="6" w:space="0" w:color="auto"/>
              <w:bottom w:val="single" w:sz="6" w:space="0" w:color="auto"/>
              <w:right w:val="single" w:sz="6" w:space="0" w:color="auto"/>
            </w:tcBorders>
          </w:tcPr>
          <w:p w14:paraId="6FA26C8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71" w:type="dxa"/>
            <w:gridSpan w:val="6"/>
            <w:tcBorders>
              <w:top w:val="single" w:sz="6" w:space="0" w:color="auto"/>
              <w:left w:val="single" w:sz="6" w:space="0" w:color="auto"/>
              <w:bottom w:val="single" w:sz="6" w:space="0" w:color="auto"/>
              <w:right w:val="single" w:sz="6" w:space="0" w:color="auto"/>
            </w:tcBorders>
          </w:tcPr>
          <w:p w14:paraId="452AB21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44" w:type="dxa"/>
            <w:tcBorders>
              <w:left w:val="single" w:sz="6" w:space="0" w:color="auto"/>
            </w:tcBorders>
          </w:tcPr>
          <w:p w14:paraId="11FDF80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22A3C7E3" w14:textId="77777777" w:rsidTr="00AA2A4C">
        <w:tblPrEx>
          <w:tblCellMar>
            <w:top w:w="0" w:type="dxa"/>
            <w:bottom w:w="0" w:type="dxa"/>
          </w:tblCellMar>
        </w:tblPrEx>
        <w:trPr>
          <w:cantSplit/>
          <w:jc w:val="center"/>
        </w:trPr>
        <w:tc>
          <w:tcPr>
            <w:tcW w:w="4557" w:type="dxa"/>
            <w:gridSpan w:val="13"/>
            <w:tcBorders>
              <w:top w:val="single" w:sz="6" w:space="0" w:color="auto"/>
              <w:left w:val="single" w:sz="6" w:space="0" w:color="auto"/>
              <w:right w:val="single" w:sz="6" w:space="0" w:color="auto"/>
            </w:tcBorders>
          </w:tcPr>
          <w:p w14:paraId="3719B70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708E6AC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31389AD0" w14:textId="77777777" w:rsidTr="00AA2A4C">
        <w:tblPrEx>
          <w:tblCellMar>
            <w:top w:w="0" w:type="dxa"/>
            <w:bottom w:w="0" w:type="dxa"/>
          </w:tblCellMar>
        </w:tblPrEx>
        <w:trPr>
          <w:cantSplit/>
          <w:jc w:val="center"/>
        </w:trPr>
        <w:tc>
          <w:tcPr>
            <w:tcW w:w="623" w:type="dxa"/>
            <w:gridSpan w:val="2"/>
            <w:tcBorders>
              <w:top w:val="single" w:sz="6" w:space="0" w:color="auto"/>
              <w:right w:val="single" w:sz="6" w:space="0" w:color="auto"/>
            </w:tcBorders>
          </w:tcPr>
          <w:p w14:paraId="003816BA" w14:textId="77777777" w:rsidR="00711444" w:rsidRPr="004D0DAA" w:rsidRDefault="00711444" w:rsidP="00AA2A4C">
            <w:pPr>
              <w:keepNext/>
              <w:keepLines/>
              <w:spacing w:after="0"/>
              <w:jc w:val="center"/>
              <w:rPr>
                <w:rFonts w:ascii="Arial" w:hAnsi="Arial"/>
                <w:sz w:val="18"/>
              </w:rPr>
            </w:pPr>
          </w:p>
        </w:tc>
        <w:tc>
          <w:tcPr>
            <w:tcW w:w="1096" w:type="dxa"/>
            <w:gridSpan w:val="3"/>
            <w:tcBorders>
              <w:top w:val="single" w:sz="6" w:space="0" w:color="auto"/>
              <w:left w:val="single" w:sz="6" w:space="0" w:color="auto"/>
              <w:bottom w:val="single" w:sz="6" w:space="0" w:color="auto"/>
              <w:right w:val="single" w:sz="6" w:space="0" w:color="auto"/>
            </w:tcBorders>
          </w:tcPr>
          <w:p w14:paraId="02CC871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SPB</w:t>
            </w:r>
          </w:p>
        </w:tc>
        <w:tc>
          <w:tcPr>
            <w:tcW w:w="2268" w:type="dxa"/>
            <w:gridSpan w:val="6"/>
            <w:tcBorders>
              <w:top w:val="single" w:sz="6" w:space="0" w:color="auto"/>
              <w:left w:val="single" w:sz="6" w:space="0" w:color="auto"/>
              <w:bottom w:val="single" w:sz="6" w:space="0" w:color="auto"/>
              <w:right w:val="single" w:sz="6" w:space="0" w:color="auto"/>
            </w:tcBorders>
          </w:tcPr>
          <w:p w14:paraId="7B66FC3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70" w:type="dxa"/>
            <w:gridSpan w:val="2"/>
            <w:tcBorders>
              <w:top w:val="single" w:sz="6" w:space="0" w:color="auto"/>
              <w:left w:val="single" w:sz="6" w:space="0" w:color="auto"/>
              <w:bottom w:val="single" w:sz="6" w:space="0" w:color="auto"/>
              <w:right w:val="single" w:sz="6" w:space="0" w:color="auto"/>
            </w:tcBorders>
          </w:tcPr>
          <w:p w14:paraId="38E7563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1DE33A1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6397ED36" w14:textId="77777777" w:rsidR="00711444" w:rsidRPr="004D0DAA" w:rsidRDefault="00711444" w:rsidP="00711444">
      <w:pPr>
        <w:pStyle w:val="TAN"/>
      </w:pPr>
    </w:p>
    <w:p w14:paraId="56740DAD" w14:textId="77777777" w:rsidR="00711444" w:rsidRPr="004D0DAA" w:rsidRDefault="00711444" w:rsidP="00711444">
      <w:pPr>
        <w:pStyle w:val="TF"/>
      </w:pPr>
      <w:r w:rsidRPr="004D0DAA">
        <w:t xml:space="preserve">Figure 10.3a.3.3.2: </w:t>
      </w:r>
      <w:r w:rsidRPr="004D0DAA">
        <w:rPr>
          <w:rFonts w:hint="eastAsia"/>
          <w:lang w:eastAsia="ko-KR"/>
        </w:rPr>
        <w:t>EGPRS (FANR</w:t>
      </w:r>
      <w:r w:rsidRPr="004D0DAA">
        <w:rPr>
          <w:lang w:eastAsia="ko-KR"/>
        </w:rPr>
        <w:t xml:space="preserve"> activated</w:t>
      </w:r>
      <w:r w:rsidRPr="004D0DAA">
        <w:rPr>
          <w:rFonts w:hint="eastAsia"/>
          <w:lang w:eastAsia="ko-KR"/>
        </w:rPr>
        <w:t>)</w:t>
      </w:r>
      <w:r w:rsidRPr="004D0DAA">
        <w:rPr>
          <w:lang w:eastAsia="ko-KR"/>
        </w:rPr>
        <w:t xml:space="preserve"> </w:t>
      </w:r>
      <w:r w:rsidRPr="004D0DAA">
        <w:rPr>
          <w:rFonts w:hint="eastAsia"/>
          <w:lang w:eastAsia="ko-KR"/>
        </w:rPr>
        <w:t>/</w:t>
      </w:r>
      <w:r w:rsidRPr="004D0DAA">
        <w:rPr>
          <w:lang w:eastAsia="ko-KR"/>
        </w:rPr>
        <w:t xml:space="preserve"> </w:t>
      </w:r>
      <w:r w:rsidRPr="004D0DAA">
        <w:rPr>
          <w:rFonts w:hint="eastAsia"/>
          <w:lang w:eastAsia="ko-KR"/>
        </w:rPr>
        <w:t>EGPRS2</w:t>
      </w:r>
      <w:r w:rsidRPr="004D0DAA">
        <w:t xml:space="preserve"> downlink RLC data block header</w:t>
      </w:r>
      <w:r w:rsidRPr="004D0DAA">
        <w:br/>
        <w:t>for MCS-1, MCS-2, MCS-3 and MCS-4</w:t>
      </w:r>
    </w:p>
    <w:p w14:paraId="3D3D969D" w14:textId="77777777" w:rsidR="00711444" w:rsidRPr="004D0DAA" w:rsidRDefault="00711444" w:rsidP="00711444">
      <w:pPr>
        <w:ind w:left="90"/>
      </w:pPr>
      <w:r w:rsidRPr="004D0DAA">
        <w:rPr>
          <w:rFonts w:hint="eastAsia"/>
          <w:lang w:eastAsia="ko-KR"/>
        </w:rPr>
        <w:t xml:space="preserve">For a TBF </w:t>
      </w:r>
      <w:r w:rsidRPr="004D0DAA">
        <w:rPr>
          <w:lang w:eastAsia="ko-KR"/>
        </w:rPr>
        <w:t>in RTTI configuration</w:t>
      </w:r>
      <w:r w:rsidRPr="004D0DAA">
        <w:t>, the downlink RLC/MAC control block header for MCS-0 shall be formatted as defined in figure 10.3a.3.3.3.</w:t>
      </w:r>
    </w:p>
    <w:tbl>
      <w:tblPr>
        <w:tblW w:w="0" w:type="auto"/>
        <w:jc w:val="center"/>
        <w:tblLayout w:type="fixed"/>
        <w:tblCellMar>
          <w:left w:w="28" w:type="dxa"/>
          <w:right w:w="28" w:type="dxa"/>
        </w:tblCellMar>
        <w:tblLook w:val="0000" w:firstRow="0" w:lastRow="0" w:firstColumn="0" w:lastColumn="0" w:noHBand="0" w:noVBand="0"/>
      </w:tblPr>
      <w:tblGrid>
        <w:gridCol w:w="754"/>
        <w:gridCol w:w="742"/>
        <w:gridCol w:w="853"/>
        <w:gridCol w:w="787"/>
        <w:gridCol w:w="624"/>
        <w:gridCol w:w="624"/>
        <w:gridCol w:w="624"/>
        <w:gridCol w:w="624"/>
        <w:gridCol w:w="2390"/>
      </w:tblGrid>
      <w:tr w:rsidR="00711444" w:rsidRPr="004D0DAA" w14:paraId="036A182A" w14:textId="77777777" w:rsidTr="00AA2A4C">
        <w:tblPrEx>
          <w:tblCellMar>
            <w:top w:w="0" w:type="dxa"/>
            <w:bottom w:w="0" w:type="dxa"/>
          </w:tblCellMar>
        </w:tblPrEx>
        <w:trPr>
          <w:cantSplit/>
          <w:jc w:val="center"/>
        </w:trPr>
        <w:tc>
          <w:tcPr>
            <w:tcW w:w="5632" w:type="dxa"/>
            <w:gridSpan w:val="8"/>
          </w:tcPr>
          <w:p w14:paraId="7EC7ED08" w14:textId="77777777" w:rsidR="00711444" w:rsidRPr="004D0DAA" w:rsidRDefault="00711444" w:rsidP="00AA2A4C">
            <w:pPr>
              <w:pStyle w:val="TAC"/>
              <w:rPr>
                <w:lang w:eastAsia="en-US"/>
              </w:rPr>
            </w:pPr>
            <w:r w:rsidRPr="004D0DAA">
              <w:rPr>
                <w:lang w:eastAsia="en-US"/>
              </w:rPr>
              <w:lastRenderedPageBreak/>
              <w:t>Bit</w:t>
            </w:r>
          </w:p>
        </w:tc>
        <w:tc>
          <w:tcPr>
            <w:tcW w:w="2390" w:type="dxa"/>
          </w:tcPr>
          <w:p w14:paraId="56DD509A" w14:textId="77777777" w:rsidR="00711444" w:rsidRPr="004D0DAA" w:rsidRDefault="00711444" w:rsidP="00AA2A4C">
            <w:pPr>
              <w:pStyle w:val="TAC"/>
              <w:rPr>
                <w:lang w:eastAsia="en-US"/>
              </w:rPr>
            </w:pPr>
          </w:p>
        </w:tc>
      </w:tr>
      <w:tr w:rsidR="00711444" w:rsidRPr="004D0DAA" w14:paraId="2740DFA5" w14:textId="77777777" w:rsidTr="00AA2A4C">
        <w:tblPrEx>
          <w:tblCellMar>
            <w:top w:w="0" w:type="dxa"/>
            <w:bottom w:w="0" w:type="dxa"/>
          </w:tblCellMar>
        </w:tblPrEx>
        <w:trPr>
          <w:cantSplit/>
          <w:jc w:val="center"/>
        </w:trPr>
        <w:tc>
          <w:tcPr>
            <w:tcW w:w="754" w:type="dxa"/>
          </w:tcPr>
          <w:p w14:paraId="182DAC2C" w14:textId="77777777" w:rsidR="00711444" w:rsidRPr="004D0DAA" w:rsidRDefault="00711444" w:rsidP="00AA2A4C">
            <w:pPr>
              <w:pStyle w:val="TAC"/>
              <w:rPr>
                <w:lang w:eastAsia="en-US"/>
              </w:rPr>
            </w:pPr>
            <w:r w:rsidRPr="004D0DAA">
              <w:rPr>
                <w:lang w:eastAsia="en-US"/>
              </w:rPr>
              <w:t>8</w:t>
            </w:r>
          </w:p>
        </w:tc>
        <w:tc>
          <w:tcPr>
            <w:tcW w:w="742" w:type="dxa"/>
          </w:tcPr>
          <w:p w14:paraId="2B32CE35" w14:textId="77777777" w:rsidR="00711444" w:rsidRPr="004D0DAA" w:rsidRDefault="00711444" w:rsidP="00AA2A4C">
            <w:pPr>
              <w:pStyle w:val="TAC"/>
              <w:rPr>
                <w:lang w:eastAsia="en-US"/>
              </w:rPr>
            </w:pPr>
            <w:r w:rsidRPr="004D0DAA">
              <w:rPr>
                <w:lang w:eastAsia="en-US"/>
              </w:rPr>
              <w:t>7</w:t>
            </w:r>
          </w:p>
        </w:tc>
        <w:tc>
          <w:tcPr>
            <w:tcW w:w="853" w:type="dxa"/>
          </w:tcPr>
          <w:p w14:paraId="571D7FE6" w14:textId="77777777" w:rsidR="00711444" w:rsidRPr="004D0DAA" w:rsidRDefault="00711444" w:rsidP="00AA2A4C">
            <w:pPr>
              <w:pStyle w:val="TAC"/>
              <w:rPr>
                <w:lang w:eastAsia="en-US"/>
              </w:rPr>
            </w:pPr>
            <w:r w:rsidRPr="004D0DAA">
              <w:rPr>
                <w:lang w:eastAsia="en-US"/>
              </w:rPr>
              <w:t>6</w:t>
            </w:r>
          </w:p>
        </w:tc>
        <w:tc>
          <w:tcPr>
            <w:tcW w:w="787" w:type="dxa"/>
          </w:tcPr>
          <w:p w14:paraId="21C080AF" w14:textId="77777777" w:rsidR="00711444" w:rsidRPr="004D0DAA" w:rsidRDefault="00711444" w:rsidP="00AA2A4C">
            <w:pPr>
              <w:pStyle w:val="TAC"/>
              <w:rPr>
                <w:lang w:eastAsia="en-US"/>
              </w:rPr>
            </w:pPr>
            <w:r w:rsidRPr="004D0DAA">
              <w:rPr>
                <w:lang w:eastAsia="en-US"/>
              </w:rPr>
              <w:t>5</w:t>
            </w:r>
          </w:p>
        </w:tc>
        <w:tc>
          <w:tcPr>
            <w:tcW w:w="624" w:type="dxa"/>
          </w:tcPr>
          <w:p w14:paraId="71158327" w14:textId="77777777" w:rsidR="00711444" w:rsidRPr="004D0DAA" w:rsidRDefault="00711444" w:rsidP="00AA2A4C">
            <w:pPr>
              <w:pStyle w:val="TAC"/>
              <w:rPr>
                <w:lang w:eastAsia="en-US"/>
              </w:rPr>
            </w:pPr>
            <w:r w:rsidRPr="004D0DAA">
              <w:rPr>
                <w:lang w:eastAsia="en-US"/>
              </w:rPr>
              <w:t>4</w:t>
            </w:r>
          </w:p>
        </w:tc>
        <w:tc>
          <w:tcPr>
            <w:tcW w:w="624" w:type="dxa"/>
          </w:tcPr>
          <w:p w14:paraId="6155573E" w14:textId="77777777" w:rsidR="00711444" w:rsidRPr="004D0DAA" w:rsidRDefault="00711444" w:rsidP="00AA2A4C">
            <w:pPr>
              <w:pStyle w:val="TAC"/>
              <w:rPr>
                <w:lang w:eastAsia="en-US"/>
              </w:rPr>
            </w:pPr>
            <w:r w:rsidRPr="004D0DAA">
              <w:rPr>
                <w:lang w:eastAsia="en-US"/>
              </w:rPr>
              <w:t>3</w:t>
            </w:r>
          </w:p>
        </w:tc>
        <w:tc>
          <w:tcPr>
            <w:tcW w:w="624" w:type="dxa"/>
          </w:tcPr>
          <w:p w14:paraId="2200CAE7" w14:textId="77777777" w:rsidR="00711444" w:rsidRPr="004D0DAA" w:rsidRDefault="00711444" w:rsidP="00AA2A4C">
            <w:pPr>
              <w:pStyle w:val="TAC"/>
              <w:rPr>
                <w:lang w:eastAsia="en-US"/>
              </w:rPr>
            </w:pPr>
            <w:r w:rsidRPr="004D0DAA">
              <w:rPr>
                <w:lang w:eastAsia="en-US"/>
              </w:rPr>
              <w:t>2</w:t>
            </w:r>
          </w:p>
        </w:tc>
        <w:tc>
          <w:tcPr>
            <w:tcW w:w="624" w:type="dxa"/>
          </w:tcPr>
          <w:p w14:paraId="1374D08B" w14:textId="77777777" w:rsidR="00711444" w:rsidRPr="004D0DAA" w:rsidRDefault="00711444" w:rsidP="00AA2A4C">
            <w:pPr>
              <w:pStyle w:val="TAC"/>
              <w:rPr>
                <w:lang w:eastAsia="en-US"/>
              </w:rPr>
            </w:pPr>
            <w:r w:rsidRPr="004D0DAA">
              <w:rPr>
                <w:lang w:eastAsia="en-US"/>
              </w:rPr>
              <w:t>1</w:t>
            </w:r>
          </w:p>
        </w:tc>
        <w:tc>
          <w:tcPr>
            <w:tcW w:w="2390" w:type="dxa"/>
          </w:tcPr>
          <w:p w14:paraId="0371290F" w14:textId="77777777" w:rsidR="00711444" w:rsidRPr="004D0DAA" w:rsidRDefault="00711444" w:rsidP="00AA2A4C">
            <w:pPr>
              <w:pStyle w:val="TAC"/>
              <w:rPr>
                <w:lang w:eastAsia="en-US"/>
              </w:rPr>
            </w:pPr>
            <w:r w:rsidRPr="004D0DAA">
              <w:rPr>
                <w:lang w:eastAsia="en-US"/>
              </w:rPr>
              <w:t>Octet</w:t>
            </w:r>
          </w:p>
        </w:tc>
      </w:tr>
      <w:tr w:rsidR="00711444" w:rsidRPr="004D0DAA" w14:paraId="33B299EE" w14:textId="77777777" w:rsidTr="00AA2A4C">
        <w:tblPrEx>
          <w:tblCellMar>
            <w:top w:w="0" w:type="dxa"/>
            <w:bottom w:w="0" w:type="dxa"/>
          </w:tblCellMar>
        </w:tblPrEx>
        <w:trPr>
          <w:cantSplit/>
          <w:jc w:val="center"/>
        </w:trPr>
        <w:tc>
          <w:tcPr>
            <w:tcW w:w="754" w:type="dxa"/>
            <w:tcBorders>
              <w:top w:val="single" w:sz="6" w:space="0" w:color="auto"/>
              <w:left w:val="single" w:sz="6" w:space="0" w:color="auto"/>
              <w:right w:val="single" w:sz="6" w:space="0" w:color="auto"/>
            </w:tcBorders>
          </w:tcPr>
          <w:p w14:paraId="7ED08372" w14:textId="77777777" w:rsidR="00711444" w:rsidRPr="004D0DAA" w:rsidRDefault="00711444" w:rsidP="00AA2A4C">
            <w:pPr>
              <w:pStyle w:val="TAC"/>
              <w:rPr>
                <w:lang w:eastAsia="en-US"/>
              </w:rPr>
            </w:pPr>
            <w:r w:rsidRPr="004D0DAA">
              <w:rPr>
                <w:lang w:eastAsia="en-US"/>
              </w:rPr>
              <w:t>Payload type</w:t>
            </w:r>
          </w:p>
        </w:tc>
        <w:tc>
          <w:tcPr>
            <w:tcW w:w="1595" w:type="dxa"/>
            <w:gridSpan w:val="2"/>
            <w:tcBorders>
              <w:top w:val="single" w:sz="6" w:space="0" w:color="auto"/>
              <w:left w:val="single" w:sz="6" w:space="0" w:color="auto"/>
              <w:right w:val="single" w:sz="6" w:space="0" w:color="auto"/>
            </w:tcBorders>
          </w:tcPr>
          <w:p w14:paraId="204FA9B2" w14:textId="77777777" w:rsidR="00711444" w:rsidRPr="004D0DAA" w:rsidRDefault="00711444" w:rsidP="00AA2A4C">
            <w:pPr>
              <w:pStyle w:val="TAC"/>
              <w:rPr>
                <w:lang w:eastAsia="en-US"/>
              </w:rPr>
            </w:pPr>
            <w:r w:rsidRPr="004D0DAA">
              <w:rPr>
                <w:lang w:eastAsia="en-US"/>
              </w:rPr>
              <w:t>Spare</w:t>
            </w:r>
          </w:p>
        </w:tc>
        <w:tc>
          <w:tcPr>
            <w:tcW w:w="787" w:type="dxa"/>
            <w:tcBorders>
              <w:top w:val="single" w:sz="6" w:space="0" w:color="auto"/>
              <w:left w:val="single" w:sz="6" w:space="0" w:color="auto"/>
              <w:right w:val="single" w:sz="6" w:space="0" w:color="auto"/>
            </w:tcBorders>
          </w:tcPr>
          <w:p w14:paraId="2B2DE01E"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tcBorders>
          </w:tcPr>
          <w:p w14:paraId="19FB9932" w14:textId="77777777" w:rsidR="00711444" w:rsidRPr="004D0DAA" w:rsidRDefault="00711444" w:rsidP="00AA2A4C">
            <w:pPr>
              <w:pStyle w:val="TAC"/>
              <w:rPr>
                <w:lang w:eastAsia="en-US"/>
              </w:rPr>
            </w:pPr>
            <w:r w:rsidRPr="004D0DAA">
              <w:rPr>
                <w:lang w:eastAsia="en-US"/>
              </w:rPr>
              <w:t>S/P</w:t>
            </w:r>
          </w:p>
        </w:tc>
        <w:tc>
          <w:tcPr>
            <w:tcW w:w="1872" w:type="dxa"/>
            <w:gridSpan w:val="3"/>
            <w:tcBorders>
              <w:top w:val="single" w:sz="6" w:space="0" w:color="auto"/>
              <w:left w:val="single" w:sz="6" w:space="0" w:color="auto"/>
              <w:bottom w:val="single" w:sz="6" w:space="0" w:color="auto"/>
              <w:right w:val="single" w:sz="6" w:space="0" w:color="auto"/>
            </w:tcBorders>
          </w:tcPr>
          <w:p w14:paraId="6430D2C7" w14:textId="77777777" w:rsidR="00711444" w:rsidRPr="004D0DAA" w:rsidRDefault="00711444" w:rsidP="00AA2A4C">
            <w:pPr>
              <w:pStyle w:val="TAC"/>
              <w:rPr>
                <w:lang w:eastAsia="en-US"/>
              </w:rPr>
            </w:pPr>
            <w:r w:rsidRPr="004D0DAA">
              <w:rPr>
                <w:lang w:eastAsia="en-US"/>
              </w:rPr>
              <w:t>USF</w:t>
            </w:r>
          </w:p>
        </w:tc>
        <w:tc>
          <w:tcPr>
            <w:tcW w:w="2390" w:type="dxa"/>
          </w:tcPr>
          <w:p w14:paraId="4012FE4D" w14:textId="77777777" w:rsidR="00711444" w:rsidRPr="004D0DAA" w:rsidRDefault="00711444" w:rsidP="00AA2A4C">
            <w:pPr>
              <w:pStyle w:val="TAC"/>
              <w:rPr>
                <w:lang w:eastAsia="en-US"/>
              </w:rPr>
            </w:pPr>
            <w:r w:rsidRPr="004D0DAA">
              <w:rPr>
                <w:lang w:eastAsia="en-US"/>
              </w:rPr>
              <w:t>1</w:t>
            </w:r>
          </w:p>
        </w:tc>
      </w:tr>
      <w:tr w:rsidR="00711444" w:rsidRPr="004D0DAA" w14:paraId="3515ABD9" w14:textId="77777777" w:rsidTr="00AA2A4C">
        <w:tblPrEx>
          <w:tblCellMar>
            <w:top w:w="0" w:type="dxa"/>
            <w:bottom w:w="0" w:type="dxa"/>
          </w:tblCellMar>
        </w:tblPrEx>
        <w:trPr>
          <w:cantSplit/>
          <w:jc w:val="center"/>
        </w:trPr>
        <w:tc>
          <w:tcPr>
            <w:tcW w:w="754" w:type="dxa"/>
            <w:tcBorders>
              <w:top w:val="single" w:sz="6" w:space="0" w:color="auto"/>
              <w:left w:val="single" w:sz="6" w:space="0" w:color="auto"/>
              <w:right w:val="single" w:sz="6" w:space="0" w:color="auto"/>
            </w:tcBorders>
          </w:tcPr>
          <w:p w14:paraId="65C7FDA6" w14:textId="77777777" w:rsidR="00711444" w:rsidRPr="004D0DAA" w:rsidRDefault="00711444" w:rsidP="00AA2A4C">
            <w:pPr>
              <w:pStyle w:val="TAC"/>
              <w:rPr>
                <w:lang w:eastAsia="en-US"/>
              </w:rPr>
            </w:pPr>
            <w:r w:rsidRPr="004D0DAA">
              <w:rPr>
                <w:lang w:eastAsia="en-US"/>
              </w:rPr>
              <w:t>0</w:t>
            </w:r>
          </w:p>
        </w:tc>
        <w:tc>
          <w:tcPr>
            <w:tcW w:w="742" w:type="dxa"/>
            <w:tcBorders>
              <w:top w:val="single" w:sz="6" w:space="0" w:color="auto"/>
              <w:left w:val="single" w:sz="6" w:space="0" w:color="auto"/>
              <w:right w:val="single" w:sz="6" w:space="0" w:color="auto"/>
            </w:tcBorders>
          </w:tcPr>
          <w:p w14:paraId="445AC05E" w14:textId="77777777" w:rsidR="00711444" w:rsidRPr="004D0DAA" w:rsidRDefault="00711444" w:rsidP="00AA2A4C">
            <w:pPr>
              <w:pStyle w:val="TAC"/>
              <w:rPr>
                <w:lang w:eastAsia="en-US"/>
              </w:rPr>
            </w:pPr>
            <w:r w:rsidRPr="004D0DAA">
              <w:rPr>
                <w:lang w:eastAsia="en-US"/>
              </w:rPr>
              <w:t>0</w:t>
            </w:r>
          </w:p>
        </w:tc>
        <w:tc>
          <w:tcPr>
            <w:tcW w:w="853" w:type="dxa"/>
            <w:tcBorders>
              <w:top w:val="single" w:sz="6" w:space="0" w:color="auto"/>
              <w:left w:val="single" w:sz="6" w:space="0" w:color="auto"/>
              <w:right w:val="single" w:sz="6" w:space="0" w:color="auto"/>
            </w:tcBorders>
          </w:tcPr>
          <w:p w14:paraId="6892A1AD" w14:textId="77777777" w:rsidR="00711444" w:rsidRPr="004D0DAA" w:rsidRDefault="00711444" w:rsidP="00AA2A4C">
            <w:pPr>
              <w:pStyle w:val="TAC"/>
              <w:rPr>
                <w:lang w:eastAsia="en-US"/>
              </w:rPr>
            </w:pPr>
            <w:r w:rsidRPr="004D0DAA">
              <w:rPr>
                <w:lang w:eastAsia="en-US"/>
              </w:rPr>
              <w:t>0</w:t>
            </w:r>
          </w:p>
        </w:tc>
        <w:tc>
          <w:tcPr>
            <w:tcW w:w="787" w:type="dxa"/>
            <w:tcBorders>
              <w:top w:val="single" w:sz="6" w:space="0" w:color="auto"/>
              <w:left w:val="single" w:sz="6" w:space="0" w:color="auto"/>
              <w:right w:val="single" w:sz="6" w:space="0" w:color="auto"/>
            </w:tcBorders>
          </w:tcPr>
          <w:p w14:paraId="5C514748"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tcBorders>
          </w:tcPr>
          <w:p w14:paraId="35288267"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bottom w:val="single" w:sz="6" w:space="0" w:color="auto"/>
              <w:right w:val="single" w:sz="6" w:space="0" w:color="auto"/>
            </w:tcBorders>
          </w:tcPr>
          <w:p w14:paraId="6E1F7CD0"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bottom w:val="single" w:sz="6" w:space="0" w:color="auto"/>
              <w:right w:val="single" w:sz="6" w:space="0" w:color="auto"/>
            </w:tcBorders>
          </w:tcPr>
          <w:p w14:paraId="490417C5"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bottom w:val="single" w:sz="6" w:space="0" w:color="auto"/>
              <w:right w:val="single" w:sz="6" w:space="0" w:color="auto"/>
            </w:tcBorders>
          </w:tcPr>
          <w:p w14:paraId="3D10C319" w14:textId="77777777" w:rsidR="00711444" w:rsidRPr="004D0DAA" w:rsidRDefault="00711444" w:rsidP="00AA2A4C">
            <w:pPr>
              <w:pStyle w:val="TAC"/>
              <w:rPr>
                <w:lang w:eastAsia="en-US"/>
              </w:rPr>
            </w:pPr>
            <w:r w:rsidRPr="004D0DAA">
              <w:rPr>
                <w:lang w:eastAsia="en-US"/>
              </w:rPr>
              <w:t>0</w:t>
            </w:r>
          </w:p>
        </w:tc>
        <w:tc>
          <w:tcPr>
            <w:tcW w:w="2390" w:type="dxa"/>
          </w:tcPr>
          <w:p w14:paraId="47196A74" w14:textId="77777777" w:rsidR="00711444" w:rsidRPr="004D0DAA" w:rsidRDefault="00711444" w:rsidP="00AA2A4C">
            <w:pPr>
              <w:pStyle w:val="TAC"/>
              <w:rPr>
                <w:lang w:eastAsia="en-US"/>
              </w:rPr>
            </w:pPr>
            <w:r w:rsidRPr="004D0DAA">
              <w:rPr>
                <w:lang w:eastAsia="en-US"/>
              </w:rPr>
              <w:t>2</w:t>
            </w:r>
          </w:p>
        </w:tc>
      </w:tr>
      <w:tr w:rsidR="00711444" w:rsidRPr="004D0DAA" w14:paraId="678AD49B" w14:textId="77777777" w:rsidTr="00AA2A4C">
        <w:tblPrEx>
          <w:tblCellMar>
            <w:top w:w="0" w:type="dxa"/>
            <w:bottom w:w="0" w:type="dxa"/>
          </w:tblCellMar>
        </w:tblPrEx>
        <w:trPr>
          <w:cantSplit/>
          <w:jc w:val="center"/>
        </w:trPr>
        <w:tc>
          <w:tcPr>
            <w:tcW w:w="754" w:type="dxa"/>
            <w:tcBorders>
              <w:top w:val="single" w:sz="6" w:space="0" w:color="auto"/>
              <w:left w:val="single" w:sz="6" w:space="0" w:color="auto"/>
              <w:bottom w:val="single" w:sz="6" w:space="0" w:color="auto"/>
              <w:right w:val="single" w:sz="6" w:space="0" w:color="auto"/>
            </w:tcBorders>
          </w:tcPr>
          <w:p w14:paraId="1B6E7728" w14:textId="77777777" w:rsidR="00711444" w:rsidRPr="004D0DAA" w:rsidRDefault="00711444" w:rsidP="00AA2A4C">
            <w:pPr>
              <w:pStyle w:val="TAC"/>
              <w:rPr>
                <w:lang w:eastAsia="en-US"/>
              </w:rPr>
            </w:pPr>
            <w:r w:rsidRPr="004D0DAA">
              <w:rPr>
                <w:lang w:eastAsia="en-US"/>
              </w:rPr>
              <w:t>0</w:t>
            </w:r>
          </w:p>
        </w:tc>
        <w:tc>
          <w:tcPr>
            <w:tcW w:w="742" w:type="dxa"/>
            <w:tcBorders>
              <w:top w:val="single" w:sz="6" w:space="0" w:color="auto"/>
              <w:left w:val="single" w:sz="6" w:space="0" w:color="auto"/>
              <w:right w:val="single" w:sz="6" w:space="0" w:color="auto"/>
            </w:tcBorders>
          </w:tcPr>
          <w:p w14:paraId="77DDEC68" w14:textId="77777777" w:rsidR="00711444" w:rsidRPr="004D0DAA" w:rsidRDefault="00711444" w:rsidP="00AA2A4C">
            <w:pPr>
              <w:pStyle w:val="TAC"/>
              <w:rPr>
                <w:lang w:eastAsia="en-US"/>
              </w:rPr>
            </w:pPr>
            <w:r w:rsidRPr="004D0DAA">
              <w:rPr>
                <w:lang w:eastAsia="en-US"/>
              </w:rPr>
              <w:t>0</w:t>
            </w:r>
          </w:p>
        </w:tc>
        <w:tc>
          <w:tcPr>
            <w:tcW w:w="853" w:type="dxa"/>
            <w:tcBorders>
              <w:top w:val="single" w:sz="6" w:space="0" w:color="auto"/>
              <w:left w:val="single" w:sz="6" w:space="0" w:color="auto"/>
              <w:right w:val="single" w:sz="6" w:space="0" w:color="auto"/>
            </w:tcBorders>
          </w:tcPr>
          <w:p w14:paraId="17C33870" w14:textId="77777777" w:rsidR="00711444" w:rsidRPr="004D0DAA" w:rsidRDefault="00711444" w:rsidP="00AA2A4C">
            <w:pPr>
              <w:pStyle w:val="TAC"/>
              <w:rPr>
                <w:lang w:eastAsia="en-US"/>
              </w:rPr>
            </w:pPr>
            <w:r w:rsidRPr="004D0DAA">
              <w:rPr>
                <w:lang w:eastAsia="en-US"/>
              </w:rPr>
              <w:t>0</w:t>
            </w:r>
          </w:p>
        </w:tc>
        <w:tc>
          <w:tcPr>
            <w:tcW w:w="787" w:type="dxa"/>
            <w:tcBorders>
              <w:top w:val="single" w:sz="6" w:space="0" w:color="auto"/>
              <w:left w:val="single" w:sz="6" w:space="0" w:color="auto"/>
              <w:right w:val="single" w:sz="6" w:space="0" w:color="auto"/>
            </w:tcBorders>
          </w:tcPr>
          <w:p w14:paraId="3758CE78"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tcBorders>
          </w:tcPr>
          <w:p w14:paraId="64F5AAC2"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right w:val="single" w:sz="6" w:space="0" w:color="auto"/>
            </w:tcBorders>
          </w:tcPr>
          <w:p w14:paraId="3FA4B429"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bottom w:val="single" w:sz="6" w:space="0" w:color="auto"/>
              <w:right w:val="single" w:sz="6" w:space="0" w:color="auto"/>
            </w:tcBorders>
          </w:tcPr>
          <w:p w14:paraId="2CA06103" w14:textId="77777777" w:rsidR="00711444" w:rsidRPr="004D0DAA" w:rsidRDefault="00711444" w:rsidP="00AA2A4C">
            <w:pPr>
              <w:pStyle w:val="TAC"/>
              <w:rPr>
                <w:lang w:eastAsia="en-US"/>
              </w:rPr>
            </w:pPr>
            <w:r w:rsidRPr="004D0DAA">
              <w:rPr>
                <w:lang w:eastAsia="en-US"/>
              </w:rPr>
              <w:t>0</w:t>
            </w:r>
          </w:p>
        </w:tc>
        <w:tc>
          <w:tcPr>
            <w:tcW w:w="624" w:type="dxa"/>
            <w:tcBorders>
              <w:top w:val="single" w:sz="6" w:space="0" w:color="auto"/>
              <w:left w:val="single" w:sz="6" w:space="0" w:color="auto"/>
              <w:right w:val="single" w:sz="6" w:space="0" w:color="auto"/>
            </w:tcBorders>
          </w:tcPr>
          <w:p w14:paraId="1FB67AF2" w14:textId="77777777" w:rsidR="00711444" w:rsidRPr="004D0DAA" w:rsidRDefault="00711444" w:rsidP="00AA2A4C">
            <w:pPr>
              <w:pStyle w:val="TAC"/>
              <w:rPr>
                <w:lang w:eastAsia="en-US"/>
              </w:rPr>
            </w:pPr>
            <w:r w:rsidRPr="004D0DAA">
              <w:rPr>
                <w:lang w:eastAsia="en-US"/>
              </w:rPr>
              <w:t>0</w:t>
            </w:r>
          </w:p>
        </w:tc>
        <w:tc>
          <w:tcPr>
            <w:tcW w:w="2390" w:type="dxa"/>
          </w:tcPr>
          <w:p w14:paraId="36975B00" w14:textId="77777777" w:rsidR="00711444" w:rsidRPr="004D0DAA" w:rsidRDefault="00711444" w:rsidP="00AA2A4C">
            <w:pPr>
              <w:pStyle w:val="TAC"/>
              <w:rPr>
                <w:lang w:eastAsia="en-US"/>
              </w:rPr>
            </w:pPr>
            <w:r w:rsidRPr="004D0DAA">
              <w:rPr>
                <w:lang w:eastAsia="en-US"/>
              </w:rPr>
              <w:t>3</w:t>
            </w:r>
          </w:p>
        </w:tc>
      </w:tr>
      <w:tr w:rsidR="00711444" w:rsidRPr="004D0DAA" w14:paraId="66273ECD" w14:textId="77777777" w:rsidTr="00AA2A4C">
        <w:tblPrEx>
          <w:tblCellMar>
            <w:top w:w="0" w:type="dxa"/>
            <w:bottom w:w="0" w:type="dxa"/>
          </w:tblCellMar>
        </w:tblPrEx>
        <w:trPr>
          <w:cantSplit/>
          <w:jc w:val="center"/>
        </w:trPr>
        <w:tc>
          <w:tcPr>
            <w:tcW w:w="754" w:type="dxa"/>
            <w:tcBorders>
              <w:top w:val="single" w:sz="6" w:space="0" w:color="auto"/>
              <w:right w:val="single" w:sz="6" w:space="0" w:color="auto"/>
            </w:tcBorders>
          </w:tcPr>
          <w:p w14:paraId="540B34B2" w14:textId="77777777" w:rsidR="00711444" w:rsidRPr="004D0DAA" w:rsidRDefault="00711444" w:rsidP="00AA2A4C"/>
        </w:tc>
        <w:tc>
          <w:tcPr>
            <w:tcW w:w="742" w:type="dxa"/>
            <w:tcBorders>
              <w:top w:val="single" w:sz="6" w:space="0" w:color="auto"/>
              <w:left w:val="single" w:sz="6" w:space="0" w:color="auto"/>
              <w:bottom w:val="single" w:sz="6" w:space="0" w:color="auto"/>
              <w:right w:val="single" w:sz="6" w:space="0" w:color="auto"/>
            </w:tcBorders>
          </w:tcPr>
          <w:p w14:paraId="4CF16A34" w14:textId="77777777" w:rsidR="00711444" w:rsidRPr="004D0DAA" w:rsidRDefault="00711444" w:rsidP="00AA2A4C">
            <w:pPr>
              <w:pStyle w:val="TAC"/>
              <w:rPr>
                <w:lang w:eastAsia="en-US"/>
              </w:rPr>
            </w:pPr>
            <w:r w:rsidRPr="004D0DAA">
              <w:rPr>
                <w:lang w:eastAsia="en-US"/>
              </w:rPr>
              <w:t>0</w:t>
            </w:r>
          </w:p>
        </w:tc>
        <w:tc>
          <w:tcPr>
            <w:tcW w:w="853" w:type="dxa"/>
            <w:tcBorders>
              <w:top w:val="single" w:sz="6" w:space="0" w:color="auto"/>
              <w:left w:val="single" w:sz="6" w:space="0" w:color="auto"/>
              <w:bottom w:val="single" w:sz="6" w:space="0" w:color="auto"/>
              <w:right w:val="single" w:sz="6" w:space="0" w:color="auto"/>
            </w:tcBorders>
          </w:tcPr>
          <w:p w14:paraId="6484290D" w14:textId="77777777" w:rsidR="00711444" w:rsidRPr="004D0DAA" w:rsidRDefault="00711444" w:rsidP="00AA2A4C">
            <w:pPr>
              <w:pStyle w:val="TAC"/>
              <w:rPr>
                <w:lang w:eastAsia="en-US"/>
              </w:rPr>
            </w:pPr>
            <w:r w:rsidRPr="004D0DAA">
              <w:rPr>
                <w:lang w:eastAsia="en-US"/>
              </w:rPr>
              <w:t>0</w:t>
            </w:r>
          </w:p>
        </w:tc>
        <w:tc>
          <w:tcPr>
            <w:tcW w:w="2659" w:type="dxa"/>
            <w:gridSpan w:val="4"/>
            <w:tcBorders>
              <w:top w:val="single" w:sz="6" w:space="0" w:color="auto"/>
              <w:left w:val="single" w:sz="6" w:space="0" w:color="auto"/>
              <w:right w:val="single" w:sz="6" w:space="0" w:color="auto"/>
            </w:tcBorders>
          </w:tcPr>
          <w:p w14:paraId="3D27C199" w14:textId="77777777" w:rsidR="00711444" w:rsidRPr="004D0DAA" w:rsidRDefault="00711444" w:rsidP="00AA2A4C">
            <w:pPr>
              <w:pStyle w:val="TAC"/>
              <w:rPr>
                <w:lang w:eastAsia="en-US"/>
              </w:rPr>
            </w:pPr>
            <w:r w:rsidRPr="004D0DAA">
              <w:rPr>
                <w:lang w:eastAsia="en-US"/>
              </w:rPr>
              <w:t>CPS</w:t>
            </w:r>
          </w:p>
        </w:tc>
        <w:tc>
          <w:tcPr>
            <w:tcW w:w="624" w:type="dxa"/>
            <w:tcBorders>
              <w:top w:val="single" w:sz="6" w:space="0" w:color="auto"/>
              <w:left w:val="single" w:sz="6" w:space="0" w:color="auto"/>
              <w:bottom w:val="single" w:sz="6" w:space="0" w:color="auto"/>
              <w:right w:val="single" w:sz="6" w:space="0" w:color="auto"/>
            </w:tcBorders>
          </w:tcPr>
          <w:p w14:paraId="393AD74F" w14:textId="77777777" w:rsidR="00711444" w:rsidRPr="004D0DAA" w:rsidRDefault="00711444" w:rsidP="00AA2A4C">
            <w:pPr>
              <w:pStyle w:val="TAC"/>
              <w:rPr>
                <w:lang w:eastAsia="en-US"/>
              </w:rPr>
            </w:pPr>
            <w:r w:rsidRPr="004D0DAA">
              <w:rPr>
                <w:lang w:eastAsia="en-US"/>
              </w:rPr>
              <w:t>Spare</w:t>
            </w:r>
          </w:p>
        </w:tc>
        <w:tc>
          <w:tcPr>
            <w:tcW w:w="2390" w:type="dxa"/>
          </w:tcPr>
          <w:p w14:paraId="2162CB8A" w14:textId="77777777" w:rsidR="00711444" w:rsidRPr="004D0DAA" w:rsidRDefault="00711444" w:rsidP="00AA2A4C">
            <w:pPr>
              <w:pStyle w:val="TAC"/>
              <w:rPr>
                <w:lang w:eastAsia="en-US"/>
              </w:rPr>
            </w:pPr>
            <w:r w:rsidRPr="004D0DAA">
              <w:rPr>
                <w:lang w:eastAsia="en-US"/>
              </w:rPr>
              <w:t>4</w:t>
            </w:r>
          </w:p>
        </w:tc>
      </w:tr>
      <w:tr w:rsidR="00711444" w:rsidRPr="004D0DAA" w14:paraId="66DD054B" w14:textId="77777777" w:rsidTr="00AA2A4C">
        <w:tblPrEx>
          <w:tblCellMar>
            <w:top w:w="0" w:type="dxa"/>
            <w:bottom w:w="0" w:type="dxa"/>
          </w:tblCellMar>
        </w:tblPrEx>
        <w:trPr>
          <w:cantSplit/>
          <w:jc w:val="center"/>
        </w:trPr>
        <w:tc>
          <w:tcPr>
            <w:tcW w:w="8022" w:type="dxa"/>
            <w:gridSpan w:val="9"/>
            <w:tcBorders>
              <w:top w:val="single" w:sz="4" w:space="0" w:color="auto"/>
              <w:left w:val="single" w:sz="4" w:space="0" w:color="auto"/>
              <w:bottom w:val="single" w:sz="4" w:space="0" w:color="auto"/>
              <w:right w:val="single" w:sz="4" w:space="0" w:color="auto"/>
            </w:tcBorders>
          </w:tcPr>
          <w:p w14:paraId="0AA13E3B" w14:textId="77777777" w:rsidR="00711444" w:rsidRPr="004D0DAA" w:rsidRDefault="00711444" w:rsidP="00AA2A4C">
            <w:pPr>
              <w:pStyle w:val="TAN"/>
              <w:rPr>
                <w:bCs/>
                <w:lang w:eastAsia="en-US"/>
              </w:rPr>
            </w:pPr>
            <w:r w:rsidRPr="004D0DAA">
              <w:rPr>
                <w:lang w:eastAsia="en-US"/>
              </w:rPr>
              <w:t>NOTE2:</w:t>
            </w:r>
            <w:r w:rsidRPr="004D0DAA">
              <w:rPr>
                <w:lang w:eastAsia="en-US"/>
              </w:rPr>
              <w:tab/>
              <w:t>Field indicated as ‘0’ will be replaced by an 18 bit CRC during the channel coding, see sub-clause 5.1.4a.1.4 in 3GPP TS 45.003.</w:t>
            </w:r>
          </w:p>
        </w:tc>
      </w:tr>
    </w:tbl>
    <w:p w14:paraId="4821005D" w14:textId="77777777" w:rsidR="00711444" w:rsidRPr="004D0DAA" w:rsidRDefault="00711444" w:rsidP="00711444">
      <w:pPr>
        <w:pStyle w:val="TAN"/>
      </w:pPr>
    </w:p>
    <w:p w14:paraId="3517BBC3" w14:textId="77777777" w:rsidR="00711444" w:rsidRPr="004D0DAA" w:rsidRDefault="00711444" w:rsidP="00711444">
      <w:pPr>
        <w:pStyle w:val="TF"/>
      </w:pPr>
      <w:r w:rsidRPr="004D0DAA">
        <w:t>Figure 10.3a.3.3.3: Downlink RLC/MAC control block header</w:t>
      </w:r>
      <w:r w:rsidRPr="004D0DAA">
        <w:br/>
        <w:t>for MCS-0.</w:t>
      </w:r>
    </w:p>
    <w:p w14:paraId="6A8B08B8" w14:textId="77777777" w:rsidR="00711444" w:rsidRPr="004D0DAA" w:rsidRDefault="00711444" w:rsidP="00711444">
      <w:pPr>
        <w:ind w:left="90"/>
      </w:pPr>
      <w:r w:rsidRPr="004D0DAA">
        <w:rPr>
          <w:rFonts w:hint="eastAsia"/>
          <w:lang w:eastAsia="ko-KR"/>
        </w:rPr>
        <w:t>For a</w:t>
      </w:r>
      <w:r w:rsidRPr="004D0DAA">
        <w:rPr>
          <w:lang w:eastAsia="ko-KR"/>
        </w:rPr>
        <w:t>n</w:t>
      </w:r>
      <w:r w:rsidRPr="004D0DAA">
        <w:rPr>
          <w:rFonts w:hint="eastAsia"/>
          <w:lang w:eastAsia="ko-KR"/>
        </w:rPr>
        <w:t xml:space="preserve"> </w:t>
      </w:r>
      <w:r w:rsidRPr="004D0DAA">
        <w:rPr>
          <w:lang w:eastAsia="ko-KR"/>
        </w:rPr>
        <w:t xml:space="preserve">EGPRS </w:t>
      </w:r>
      <w:r w:rsidRPr="004D0DAA">
        <w:rPr>
          <w:rFonts w:hint="eastAsia"/>
          <w:lang w:eastAsia="ko-KR"/>
        </w:rPr>
        <w:t xml:space="preserve">TBF </w:t>
      </w:r>
      <w:r w:rsidRPr="004D0DAA">
        <w:rPr>
          <w:lang w:eastAsia="ko-KR"/>
        </w:rPr>
        <w:t xml:space="preserve">without </w:t>
      </w:r>
      <w:r w:rsidRPr="004D0DAA">
        <w:rPr>
          <w:rFonts w:hint="eastAsia"/>
          <w:lang w:eastAsia="ko-KR"/>
        </w:rPr>
        <w:t>FANR</w:t>
      </w:r>
      <w:r w:rsidRPr="004D0DAA">
        <w:rPr>
          <w:lang w:eastAsia="ko-KR"/>
        </w:rPr>
        <w:t xml:space="preserve"> activated in a DLMC configuration using an SNS of 8192</w:t>
      </w:r>
      <w:r w:rsidRPr="004D0DAA">
        <w:t>, the EGPRS combined downlink RLC/MAC header for MCS</w:t>
      </w:r>
      <w:r w:rsidRPr="004D0DAA">
        <w:noBreakHyphen/>
        <w:t>1, MCS</w:t>
      </w:r>
      <w:r w:rsidRPr="004D0DAA">
        <w:noBreakHyphen/>
        <w:t>2, MCS</w:t>
      </w:r>
      <w:r w:rsidRPr="004D0DAA">
        <w:noBreakHyphen/>
        <w:t>3 and MCS</w:t>
      </w:r>
      <w:r w:rsidRPr="004D0DAA">
        <w:noBreakHyphen/>
        <w:t>4 (header type 3) shall be formatted according to figure 10.3a.3.3.4.</w:t>
      </w:r>
    </w:p>
    <w:tbl>
      <w:tblPr>
        <w:tblW w:w="0" w:type="auto"/>
        <w:jc w:val="center"/>
        <w:tblLayout w:type="fixed"/>
        <w:tblCellMar>
          <w:left w:w="28" w:type="dxa"/>
          <w:right w:w="28" w:type="dxa"/>
        </w:tblCellMar>
        <w:tblLook w:val="0000" w:firstRow="0" w:lastRow="0" w:firstColumn="0" w:lastColumn="0" w:noHBand="0" w:noVBand="0"/>
      </w:tblPr>
      <w:tblGrid>
        <w:gridCol w:w="595"/>
        <w:gridCol w:w="28"/>
        <w:gridCol w:w="539"/>
        <w:gridCol w:w="557"/>
        <w:gridCol w:w="10"/>
        <w:gridCol w:w="557"/>
        <w:gridCol w:w="10"/>
        <w:gridCol w:w="567"/>
        <w:gridCol w:w="567"/>
        <w:gridCol w:w="557"/>
        <w:gridCol w:w="10"/>
        <w:gridCol w:w="557"/>
        <w:gridCol w:w="1144"/>
      </w:tblGrid>
      <w:tr w:rsidR="00711444" w:rsidRPr="004D0DAA" w14:paraId="44A3A722" w14:textId="77777777" w:rsidTr="00AA2A4C">
        <w:tblPrEx>
          <w:tblCellMar>
            <w:top w:w="0" w:type="dxa"/>
            <w:bottom w:w="0" w:type="dxa"/>
          </w:tblCellMar>
        </w:tblPrEx>
        <w:trPr>
          <w:cantSplit/>
          <w:jc w:val="center"/>
        </w:trPr>
        <w:tc>
          <w:tcPr>
            <w:tcW w:w="4554" w:type="dxa"/>
            <w:gridSpan w:val="12"/>
          </w:tcPr>
          <w:p w14:paraId="72DA75B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44" w:type="dxa"/>
          </w:tcPr>
          <w:p w14:paraId="41E33637" w14:textId="77777777" w:rsidR="00711444" w:rsidRPr="004D0DAA" w:rsidRDefault="00711444" w:rsidP="00AA2A4C">
            <w:pPr>
              <w:keepNext/>
              <w:keepLines/>
              <w:spacing w:after="0"/>
              <w:jc w:val="center"/>
              <w:rPr>
                <w:rFonts w:ascii="Arial" w:hAnsi="Arial"/>
                <w:sz w:val="18"/>
              </w:rPr>
            </w:pPr>
          </w:p>
        </w:tc>
      </w:tr>
      <w:tr w:rsidR="00711444" w:rsidRPr="004D0DAA" w14:paraId="78BF0EC3" w14:textId="77777777" w:rsidTr="00AA2A4C">
        <w:tblPrEx>
          <w:tblCellMar>
            <w:top w:w="0" w:type="dxa"/>
            <w:bottom w:w="0" w:type="dxa"/>
          </w:tblCellMar>
        </w:tblPrEx>
        <w:trPr>
          <w:cantSplit/>
          <w:jc w:val="center"/>
        </w:trPr>
        <w:tc>
          <w:tcPr>
            <w:tcW w:w="595" w:type="dxa"/>
          </w:tcPr>
          <w:p w14:paraId="554FA44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6B5F462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411470F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gridSpan w:val="2"/>
          </w:tcPr>
          <w:p w14:paraId="483E58D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1AE246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75C14B7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gridSpan w:val="2"/>
          </w:tcPr>
          <w:p w14:paraId="137980B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57" w:type="dxa"/>
          </w:tcPr>
          <w:p w14:paraId="374B5D1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44" w:type="dxa"/>
          </w:tcPr>
          <w:p w14:paraId="61403F0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076F6F3E"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54A64E8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0B1F0B9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567" w:type="dxa"/>
            <w:gridSpan w:val="2"/>
            <w:tcBorders>
              <w:top w:val="single" w:sz="6" w:space="0" w:color="auto"/>
              <w:left w:val="single" w:sz="6" w:space="0" w:color="auto"/>
              <w:bottom w:val="single" w:sz="6" w:space="0" w:color="auto"/>
              <w:right w:val="single" w:sz="6" w:space="0" w:color="auto"/>
            </w:tcBorders>
          </w:tcPr>
          <w:p w14:paraId="410BD64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34" w:type="dxa"/>
            <w:gridSpan w:val="3"/>
            <w:tcBorders>
              <w:top w:val="single" w:sz="6" w:space="0" w:color="auto"/>
              <w:left w:val="single" w:sz="6" w:space="0" w:color="auto"/>
              <w:bottom w:val="single" w:sz="6" w:space="0" w:color="auto"/>
            </w:tcBorders>
          </w:tcPr>
          <w:p w14:paraId="7E282D6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ES/P</w:t>
            </w:r>
          </w:p>
        </w:tc>
        <w:tc>
          <w:tcPr>
            <w:tcW w:w="1691" w:type="dxa"/>
            <w:gridSpan w:val="4"/>
            <w:tcBorders>
              <w:top w:val="single" w:sz="6" w:space="0" w:color="auto"/>
              <w:left w:val="single" w:sz="6" w:space="0" w:color="auto"/>
              <w:right w:val="single" w:sz="6" w:space="0" w:color="auto"/>
            </w:tcBorders>
          </w:tcPr>
          <w:p w14:paraId="6662601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44" w:type="dxa"/>
            <w:tcBorders>
              <w:left w:val="single" w:sz="6" w:space="0" w:color="auto"/>
            </w:tcBorders>
          </w:tcPr>
          <w:p w14:paraId="670D61D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B01B84F" w14:textId="77777777" w:rsidTr="00AA2A4C">
        <w:tblPrEx>
          <w:tblCellMar>
            <w:top w:w="0" w:type="dxa"/>
            <w:bottom w:w="0" w:type="dxa"/>
          </w:tblCellMar>
        </w:tblPrEx>
        <w:trPr>
          <w:cantSplit/>
          <w:jc w:val="center"/>
        </w:trPr>
        <w:tc>
          <w:tcPr>
            <w:tcW w:w="2286" w:type="dxa"/>
            <w:gridSpan w:val="6"/>
            <w:tcBorders>
              <w:left w:val="single" w:sz="6" w:space="0" w:color="auto"/>
              <w:right w:val="single" w:sz="6" w:space="0" w:color="auto"/>
            </w:tcBorders>
          </w:tcPr>
          <w:p w14:paraId="590B53D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68" w:type="dxa"/>
            <w:gridSpan w:val="6"/>
            <w:tcBorders>
              <w:top w:val="single" w:sz="6" w:space="0" w:color="auto"/>
              <w:left w:val="single" w:sz="6" w:space="0" w:color="auto"/>
              <w:bottom w:val="single" w:sz="6" w:space="0" w:color="auto"/>
              <w:right w:val="single" w:sz="6" w:space="0" w:color="auto"/>
            </w:tcBorders>
          </w:tcPr>
          <w:p w14:paraId="229C79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44" w:type="dxa"/>
            <w:tcBorders>
              <w:left w:val="single" w:sz="6" w:space="0" w:color="auto"/>
            </w:tcBorders>
          </w:tcPr>
          <w:p w14:paraId="67F7DDB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69D2771D" w14:textId="77777777" w:rsidTr="00AA2A4C">
        <w:tblPrEx>
          <w:tblCellMar>
            <w:top w:w="0" w:type="dxa"/>
            <w:bottom w:w="0" w:type="dxa"/>
          </w:tblCellMar>
        </w:tblPrEx>
        <w:trPr>
          <w:cantSplit/>
          <w:jc w:val="center"/>
        </w:trPr>
        <w:tc>
          <w:tcPr>
            <w:tcW w:w="4554" w:type="dxa"/>
            <w:gridSpan w:val="12"/>
            <w:tcBorders>
              <w:top w:val="single" w:sz="6" w:space="0" w:color="auto"/>
              <w:left w:val="single" w:sz="6" w:space="0" w:color="auto"/>
              <w:right w:val="single" w:sz="6" w:space="0" w:color="auto"/>
            </w:tcBorders>
          </w:tcPr>
          <w:p w14:paraId="7C0867B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697FE07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21A8C7A3" w14:textId="77777777" w:rsidTr="00AA2A4C">
        <w:tblPrEx>
          <w:tblCellMar>
            <w:top w:w="0" w:type="dxa"/>
            <w:bottom w:w="0" w:type="dxa"/>
          </w:tblCellMar>
        </w:tblPrEx>
        <w:trPr>
          <w:cantSplit/>
          <w:jc w:val="center"/>
        </w:trPr>
        <w:tc>
          <w:tcPr>
            <w:tcW w:w="623" w:type="dxa"/>
            <w:gridSpan w:val="2"/>
            <w:tcBorders>
              <w:top w:val="single" w:sz="6" w:space="0" w:color="auto"/>
              <w:right w:val="single" w:sz="6" w:space="0" w:color="auto"/>
            </w:tcBorders>
          </w:tcPr>
          <w:p w14:paraId="4A307D7C" w14:textId="77777777" w:rsidR="00711444" w:rsidRPr="004D0DAA" w:rsidRDefault="00711444" w:rsidP="00AA2A4C">
            <w:pPr>
              <w:keepNext/>
              <w:keepLines/>
              <w:spacing w:after="0"/>
              <w:jc w:val="center"/>
              <w:rPr>
                <w:rFonts w:ascii="Arial" w:hAnsi="Arial"/>
                <w:sz w:val="18"/>
              </w:rPr>
            </w:pPr>
          </w:p>
        </w:tc>
        <w:tc>
          <w:tcPr>
            <w:tcW w:w="1096" w:type="dxa"/>
            <w:gridSpan w:val="2"/>
            <w:tcBorders>
              <w:top w:val="single" w:sz="6" w:space="0" w:color="auto"/>
              <w:left w:val="single" w:sz="6" w:space="0" w:color="auto"/>
              <w:bottom w:val="single" w:sz="6" w:space="0" w:color="auto"/>
              <w:right w:val="single" w:sz="6" w:space="0" w:color="auto"/>
            </w:tcBorders>
          </w:tcPr>
          <w:p w14:paraId="414AD1B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SPB</w:t>
            </w:r>
          </w:p>
        </w:tc>
        <w:tc>
          <w:tcPr>
            <w:tcW w:w="2268" w:type="dxa"/>
            <w:gridSpan w:val="6"/>
            <w:tcBorders>
              <w:top w:val="single" w:sz="6" w:space="0" w:color="auto"/>
              <w:left w:val="single" w:sz="6" w:space="0" w:color="auto"/>
              <w:bottom w:val="single" w:sz="6" w:space="0" w:color="auto"/>
              <w:right w:val="single" w:sz="6" w:space="0" w:color="auto"/>
            </w:tcBorders>
          </w:tcPr>
          <w:p w14:paraId="6E5D3BB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67" w:type="dxa"/>
            <w:gridSpan w:val="2"/>
            <w:tcBorders>
              <w:top w:val="single" w:sz="6" w:space="0" w:color="auto"/>
              <w:left w:val="single" w:sz="6" w:space="0" w:color="auto"/>
              <w:bottom w:val="single" w:sz="6" w:space="0" w:color="auto"/>
              <w:right w:val="single" w:sz="6" w:space="0" w:color="auto"/>
            </w:tcBorders>
          </w:tcPr>
          <w:p w14:paraId="09C9BA1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1AF41A7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62FF81B8" w14:textId="77777777" w:rsidR="00711444" w:rsidRPr="004D0DAA" w:rsidRDefault="00711444" w:rsidP="00711444">
      <w:pPr>
        <w:pStyle w:val="TAN"/>
      </w:pPr>
    </w:p>
    <w:p w14:paraId="7F2050F3" w14:textId="77777777" w:rsidR="00711444" w:rsidRPr="004D0DAA" w:rsidRDefault="00711444" w:rsidP="00711444">
      <w:pPr>
        <w:pStyle w:val="TF"/>
      </w:pPr>
      <w:r w:rsidRPr="004D0DAA">
        <w:t xml:space="preserve">Figure 10.3a.3.3.4: DLMC EGPRS downlink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MCS-1, MCS-2, MCS-3 and MCS-4</w:t>
      </w:r>
    </w:p>
    <w:p w14:paraId="15CE63B4" w14:textId="77777777" w:rsidR="00711444" w:rsidRPr="004D0DAA" w:rsidRDefault="00711444" w:rsidP="00711444">
      <w:pPr>
        <w:ind w:left="90"/>
      </w:pPr>
      <w:r w:rsidRPr="004D0DAA">
        <w:rPr>
          <w:rFonts w:hint="eastAsia"/>
          <w:lang w:eastAsia="ko-KR"/>
        </w:rPr>
        <w:t xml:space="preserve">For an EGPRS TBF </w:t>
      </w:r>
      <w:r w:rsidRPr="004D0DAA">
        <w:rPr>
          <w:lang w:eastAsia="ko-KR"/>
        </w:rPr>
        <w:t>with</w:t>
      </w:r>
      <w:r w:rsidRPr="004D0DAA">
        <w:rPr>
          <w:rFonts w:hint="eastAsia"/>
          <w:lang w:eastAsia="ko-KR"/>
        </w:rPr>
        <w:t xml:space="preserve"> FANR </w:t>
      </w:r>
      <w:r w:rsidRPr="004D0DAA">
        <w:rPr>
          <w:lang w:eastAsia="ko-KR"/>
        </w:rPr>
        <w:t xml:space="preserve">activated in a DLMC configuration using an SNS of 8192 </w:t>
      </w:r>
      <w:r w:rsidRPr="004D0DAA">
        <w:rPr>
          <w:rFonts w:hint="eastAsia"/>
          <w:lang w:eastAsia="ko-KR"/>
        </w:rPr>
        <w:t xml:space="preserve">and for </w:t>
      </w:r>
      <w:r w:rsidRPr="004D0DAA">
        <w:rPr>
          <w:lang w:eastAsia="ko-KR"/>
        </w:rPr>
        <w:t xml:space="preserve">an </w:t>
      </w:r>
      <w:r w:rsidRPr="004D0DAA">
        <w:rPr>
          <w:rFonts w:hint="eastAsia"/>
          <w:lang w:eastAsia="ko-KR"/>
        </w:rPr>
        <w:t>EGPRS2</w:t>
      </w:r>
      <w:r w:rsidRPr="004D0DAA">
        <w:rPr>
          <w:lang w:eastAsia="ko-KR"/>
        </w:rPr>
        <w:t xml:space="preserve"> TBF in a DLMC configuration using an SNS of 8192</w:t>
      </w:r>
      <w:r w:rsidRPr="004D0DAA">
        <w:t>, the downlink RLC/MAC header for MCS-1, MCS-2, MCS-3 and MCS-4 shall be formatted according to figure 10.3a.3.3.2.</w:t>
      </w:r>
    </w:p>
    <w:tbl>
      <w:tblPr>
        <w:tblW w:w="0" w:type="auto"/>
        <w:jc w:val="center"/>
        <w:tblLayout w:type="fixed"/>
        <w:tblCellMar>
          <w:left w:w="28" w:type="dxa"/>
          <w:right w:w="28" w:type="dxa"/>
        </w:tblCellMar>
        <w:tblLook w:val="0000" w:firstRow="0" w:lastRow="0" w:firstColumn="0" w:lastColumn="0" w:noHBand="0" w:noVBand="0"/>
      </w:tblPr>
      <w:tblGrid>
        <w:gridCol w:w="595"/>
        <w:gridCol w:w="28"/>
        <w:gridCol w:w="529"/>
        <w:gridCol w:w="10"/>
        <w:gridCol w:w="559"/>
        <w:gridCol w:w="11"/>
        <w:gridCol w:w="554"/>
        <w:gridCol w:w="13"/>
        <w:gridCol w:w="567"/>
        <w:gridCol w:w="567"/>
        <w:gridCol w:w="556"/>
        <w:gridCol w:w="11"/>
        <w:gridCol w:w="559"/>
        <w:gridCol w:w="1144"/>
      </w:tblGrid>
      <w:tr w:rsidR="00711444" w:rsidRPr="004D0DAA" w14:paraId="4DEDE440" w14:textId="77777777" w:rsidTr="00AA2A4C">
        <w:tblPrEx>
          <w:tblCellMar>
            <w:top w:w="0" w:type="dxa"/>
            <w:bottom w:w="0" w:type="dxa"/>
          </w:tblCellMar>
        </w:tblPrEx>
        <w:trPr>
          <w:cantSplit/>
          <w:jc w:val="center"/>
        </w:trPr>
        <w:tc>
          <w:tcPr>
            <w:tcW w:w="4559" w:type="dxa"/>
            <w:gridSpan w:val="13"/>
          </w:tcPr>
          <w:p w14:paraId="29D3B9B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44" w:type="dxa"/>
          </w:tcPr>
          <w:p w14:paraId="3A89A78F" w14:textId="77777777" w:rsidR="00711444" w:rsidRPr="004D0DAA" w:rsidRDefault="00711444" w:rsidP="00AA2A4C">
            <w:pPr>
              <w:keepNext/>
              <w:keepLines/>
              <w:spacing w:after="0"/>
              <w:jc w:val="center"/>
              <w:rPr>
                <w:rFonts w:ascii="Arial" w:hAnsi="Arial"/>
                <w:sz w:val="18"/>
              </w:rPr>
            </w:pPr>
          </w:p>
        </w:tc>
      </w:tr>
      <w:tr w:rsidR="00711444" w:rsidRPr="004D0DAA" w14:paraId="6644FE47" w14:textId="77777777" w:rsidTr="00AA2A4C">
        <w:tblPrEx>
          <w:tblCellMar>
            <w:top w:w="0" w:type="dxa"/>
            <w:bottom w:w="0" w:type="dxa"/>
          </w:tblCellMar>
        </w:tblPrEx>
        <w:trPr>
          <w:cantSplit/>
          <w:jc w:val="center"/>
        </w:trPr>
        <w:tc>
          <w:tcPr>
            <w:tcW w:w="595" w:type="dxa"/>
          </w:tcPr>
          <w:p w14:paraId="3A5A5A2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3"/>
          </w:tcPr>
          <w:p w14:paraId="374110B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70" w:type="dxa"/>
            <w:gridSpan w:val="2"/>
          </w:tcPr>
          <w:p w14:paraId="562A023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gridSpan w:val="2"/>
          </w:tcPr>
          <w:p w14:paraId="24A3960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32BF5E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728C400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gridSpan w:val="2"/>
          </w:tcPr>
          <w:p w14:paraId="098062E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59" w:type="dxa"/>
          </w:tcPr>
          <w:p w14:paraId="1D5EC0D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44" w:type="dxa"/>
          </w:tcPr>
          <w:p w14:paraId="57189CD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7E456653" w14:textId="77777777" w:rsidTr="00AA2A4C">
        <w:tblPrEx>
          <w:tblCellMar>
            <w:top w:w="0" w:type="dxa"/>
            <w:bottom w:w="0" w:type="dxa"/>
          </w:tblCellMar>
        </w:tblPrEx>
        <w:trPr>
          <w:cantSplit/>
          <w:jc w:val="center"/>
        </w:trPr>
        <w:tc>
          <w:tcPr>
            <w:tcW w:w="595" w:type="dxa"/>
            <w:tcBorders>
              <w:top w:val="single" w:sz="6" w:space="0" w:color="auto"/>
              <w:left w:val="single" w:sz="6" w:space="0" w:color="auto"/>
              <w:bottom w:val="single" w:sz="6" w:space="0" w:color="auto"/>
              <w:right w:val="single" w:sz="6" w:space="0" w:color="auto"/>
            </w:tcBorders>
          </w:tcPr>
          <w:p w14:paraId="7FDBC96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57" w:type="dxa"/>
            <w:gridSpan w:val="2"/>
            <w:tcBorders>
              <w:top w:val="single" w:sz="6" w:space="0" w:color="auto"/>
              <w:left w:val="single" w:sz="6" w:space="0" w:color="auto"/>
              <w:bottom w:val="single" w:sz="6" w:space="0" w:color="auto"/>
              <w:right w:val="single" w:sz="6" w:space="0" w:color="auto"/>
            </w:tcBorders>
          </w:tcPr>
          <w:p w14:paraId="2DCA459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69" w:type="dxa"/>
            <w:gridSpan w:val="2"/>
            <w:tcBorders>
              <w:top w:val="single" w:sz="6" w:space="0" w:color="auto"/>
              <w:left w:val="single" w:sz="6" w:space="0" w:color="auto"/>
              <w:bottom w:val="single" w:sz="6" w:space="0" w:color="auto"/>
            </w:tcBorders>
          </w:tcPr>
          <w:p w14:paraId="43DB9AB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45" w:type="dxa"/>
            <w:gridSpan w:val="4"/>
            <w:tcBorders>
              <w:top w:val="single" w:sz="6" w:space="0" w:color="auto"/>
              <w:left w:val="single" w:sz="6" w:space="0" w:color="auto"/>
              <w:bottom w:val="single" w:sz="6" w:space="0" w:color="auto"/>
            </w:tcBorders>
          </w:tcPr>
          <w:p w14:paraId="5ACB9D3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693" w:type="dxa"/>
            <w:gridSpan w:val="4"/>
            <w:tcBorders>
              <w:top w:val="single" w:sz="6" w:space="0" w:color="auto"/>
              <w:left w:val="single" w:sz="6" w:space="0" w:color="auto"/>
              <w:right w:val="single" w:sz="6" w:space="0" w:color="auto"/>
            </w:tcBorders>
          </w:tcPr>
          <w:p w14:paraId="505C654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44" w:type="dxa"/>
            <w:tcBorders>
              <w:left w:val="single" w:sz="6" w:space="0" w:color="auto"/>
            </w:tcBorders>
          </w:tcPr>
          <w:p w14:paraId="03A579F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1E04CD56" w14:textId="77777777" w:rsidTr="00AA2A4C">
        <w:tblPrEx>
          <w:tblCellMar>
            <w:top w:w="0" w:type="dxa"/>
            <w:bottom w:w="0" w:type="dxa"/>
          </w:tblCellMar>
        </w:tblPrEx>
        <w:trPr>
          <w:cantSplit/>
          <w:jc w:val="center"/>
        </w:trPr>
        <w:tc>
          <w:tcPr>
            <w:tcW w:w="2286" w:type="dxa"/>
            <w:gridSpan w:val="7"/>
            <w:tcBorders>
              <w:left w:val="single" w:sz="6" w:space="0" w:color="auto"/>
              <w:right w:val="single" w:sz="6" w:space="0" w:color="auto"/>
            </w:tcBorders>
          </w:tcPr>
          <w:p w14:paraId="47737DA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73" w:type="dxa"/>
            <w:gridSpan w:val="6"/>
            <w:tcBorders>
              <w:top w:val="single" w:sz="6" w:space="0" w:color="auto"/>
              <w:left w:val="single" w:sz="6" w:space="0" w:color="auto"/>
              <w:bottom w:val="single" w:sz="6" w:space="0" w:color="auto"/>
              <w:right w:val="single" w:sz="6" w:space="0" w:color="auto"/>
            </w:tcBorders>
          </w:tcPr>
          <w:p w14:paraId="34A95C0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44" w:type="dxa"/>
            <w:tcBorders>
              <w:left w:val="single" w:sz="6" w:space="0" w:color="auto"/>
            </w:tcBorders>
          </w:tcPr>
          <w:p w14:paraId="603CF80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631D138E" w14:textId="77777777" w:rsidTr="00AA2A4C">
        <w:tblPrEx>
          <w:tblCellMar>
            <w:top w:w="0" w:type="dxa"/>
            <w:bottom w:w="0" w:type="dxa"/>
          </w:tblCellMar>
        </w:tblPrEx>
        <w:trPr>
          <w:cantSplit/>
          <w:jc w:val="center"/>
        </w:trPr>
        <w:tc>
          <w:tcPr>
            <w:tcW w:w="4559" w:type="dxa"/>
            <w:gridSpan w:val="13"/>
            <w:tcBorders>
              <w:top w:val="single" w:sz="6" w:space="0" w:color="auto"/>
              <w:left w:val="single" w:sz="6" w:space="0" w:color="auto"/>
              <w:right w:val="single" w:sz="6" w:space="0" w:color="auto"/>
            </w:tcBorders>
          </w:tcPr>
          <w:p w14:paraId="3946221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529617D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0E843D81" w14:textId="77777777" w:rsidTr="00AA2A4C">
        <w:tblPrEx>
          <w:tblCellMar>
            <w:top w:w="0" w:type="dxa"/>
            <w:bottom w:w="0" w:type="dxa"/>
          </w:tblCellMar>
        </w:tblPrEx>
        <w:trPr>
          <w:cantSplit/>
          <w:jc w:val="center"/>
        </w:trPr>
        <w:tc>
          <w:tcPr>
            <w:tcW w:w="623" w:type="dxa"/>
            <w:gridSpan w:val="2"/>
            <w:tcBorders>
              <w:top w:val="single" w:sz="6" w:space="0" w:color="auto"/>
              <w:right w:val="single" w:sz="6" w:space="0" w:color="auto"/>
            </w:tcBorders>
          </w:tcPr>
          <w:p w14:paraId="6D840BDF" w14:textId="77777777" w:rsidR="00711444" w:rsidRPr="004D0DAA" w:rsidRDefault="00711444" w:rsidP="00AA2A4C">
            <w:pPr>
              <w:keepNext/>
              <w:keepLines/>
              <w:spacing w:after="0"/>
              <w:jc w:val="center"/>
              <w:rPr>
                <w:rFonts w:ascii="Arial" w:hAnsi="Arial"/>
                <w:sz w:val="18"/>
              </w:rPr>
            </w:pPr>
          </w:p>
        </w:tc>
        <w:tc>
          <w:tcPr>
            <w:tcW w:w="1098" w:type="dxa"/>
            <w:gridSpan w:val="3"/>
            <w:tcBorders>
              <w:top w:val="single" w:sz="6" w:space="0" w:color="auto"/>
              <w:left w:val="single" w:sz="6" w:space="0" w:color="auto"/>
              <w:bottom w:val="single" w:sz="6" w:space="0" w:color="auto"/>
              <w:right w:val="single" w:sz="6" w:space="0" w:color="auto"/>
            </w:tcBorders>
          </w:tcPr>
          <w:p w14:paraId="7DC8495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SPB</w:t>
            </w:r>
          </w:p>
        </w:tc>
        <w:tc>
          <w:tcPr>
            <w:tcW w:w="2268" w:type="dxa"/>
            <w:gridSpan w:val="6"/>
            <w:tcBorders>
              <w:top w:val="single" w:sz="6" w:space="0" w:color="auto"/>
              <w:left w:val="single" w:sz="6" w:space="0" w:color="auto"/>
              <w:bottom w:val="single" w:sz="6" w:space="0" w:color="auto"/>
              <w:right w:val="single" w:sz="6" w:space="0" w:color="auto"/>
            </w:tcBorders>
          </w:tcPr>
          <w:p w14:paraId="07B1AA6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570" w:type="dxa"/>
            <w:gridSpan w:val="2"/>
            <w:tcBorders>
              <w:top w:val="single" w:sz="6" w:space="0" w:color="auto"/>
              <w:left w:val="single" w:sz="6" w:space="0" w:color="auto"/>
              <w:bottom w:val="single" w:sz="6" w:space="0" w:color="auto"/>
              <w:right w:val="single" w:sz="6" w:space="0" w:color="auto"/>
            </w:tcBorders>
          </w:tcPr>
          <w:p w14:paraId="45E3F72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4" w:type="dxa"/>
            <w:tcBorders>
              <w:left w:val="single" w:sz="6" w:space="0" w:color="auto"/>
            </w:tcBorders>
          </w:tcPr>
          <w:p w14:paraId="558C9D8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02384234" w14:textId="77777777" w:rsidR="00711444" w:rsidRPr="004D0DAA" w:rsidRDefault="00711444" w:rsidP="00711444">
      <w:pPr>
        <w:pStyle w:val="TAN"/>
      </w:pPr>
    </w:p>
    <w:p w14:paraId="43506B2E" w14:textId="77777777" w:rsidR="00711444" w:rsidRPr="004D0DAA" w:rsidRDefault="00711444" w:rsidP="00711444">
      <w:pPr>
        <w:pStyle w:val="TF"/>
      </w:pPr>
      <w:r w:rsidRPr="004D0DAA">
        <w:t xml:space="preserve">Figure 10.3a.3.3.5: DLMC </w:t>
      </w:r>
      <w:r w:rsidRPr="004D0DAA">
        <w:rPr>
          <w:rFonts w:hint="eastAsia"/>
          <w:lang w:eastAsia="ko-KR"/>
        </w:rPr>
        <w:t>EGPRS</w:t>
      </w:r>
      <w:r w:rsidRPr="004D0DAA">
        <w:rPr>
          <w:lang w:eastAsia="ko-KR"/>
        </w:rPr>
        <w:t xml:space="preserve"> </w:t>
      </w:r>
      <w:r w:rsidRPr="004D0DAA">
        <w:rPr>
          <w:rFonts w:hint="eastAsia"/>
          <w:lang w:eastAsia="ko-KR"/>
        </w:rPr>
        <w:t>(FANR</w:t>
      </w:r>
      <w:r w:rsidRPr="004D0DAA">
        <w:rPr>
          <w:lang w:eastAsia="ko-KR"/>
        </w:rPr>
        <w:t xml:space="preserve"> activated</w:t>
      </w:r>
      <w:r w:rsidRPr="004D0DAA">
        <w:rPr>
          <w:rFonts w:hint="eastAsia"/>
          <w:lang w:eastAsia="ko-KR"/>
        </w:rPr>
        <w:t>)</w:t>
      </w:r>
      <w:r w:rsidRPr="004D0DAA">
        <w:rPr>
          <w:lang w:eastAsia="ko-KR"/>
        </w:rPr>
        <w:t xml:space="preserve"> </w:t>
      </w:r>
      <w:r w:rsidRPr="004D0DAA">
        <w:rPr>
          <w:rFonts w:hint="eastAsia"/>
          <w:lang w:eastAsia="ko-KR"/>
        </w:rPr>
        <w:t>/</w:t>
      </w:r>
      <w:r w:rsidRPr="004D0DAA">
        <w:rPr>
          <w:lang w:eastAsia="ko-KR"/>
        </w:rPr>
        <w:t xml:space="preserve"> DLMC </w:t>
      </w:r>
      <w:r w:rsidRPr="004D0DAA">
        <w:rPr>
          <w:rFonts w:hint="eastAsia"/>
          <w:lang w:eastAsia="ko-KR"/>
        </w:rPr>
        <w:t>EGPRS2</w:t>
      </w:r>
      <w:r w:rsidRPr="004D0DAA">
        <w:t xml:space="preserve"> downlink RLC data block header</w:t>
      </w:r>
      <w:r w:rsidRPr="004D0DAA">
        <w:br/>
        <w:t>for MCS-1, MCS-2, MCS-3 and MCS-4</w:t>
      </w:r>
    </w:p>
    <w:p w14:paraId="7F2C9695" w14:textId="77777777" w:rsidR="00711444" w:rsidRPr="004D0DAA" w:rsidRDefault="00711444" w:rsidP="00711444">
      <w:pPr>
        <w:ind w:left="90"/>
      </w:pPr>
      <w:r w:rsidRPr="004D0DAA">
        <w:rPr>
          <w:lang w:eastAsia="ko-KR"/>
        </w:rPr>
        <w:t>For an EC TBF</w:t>
      </w:r>
      <w:r w:rsidRPr="004D0DAA">
        <w:t>, the EGPRS combined downlink RLC/MAC header for MCS</w:t>
      </w:r>
      <w:r w:rsidRPr="004D0DAA">
        <w:noBreakHyphen/>
        <w:t>1, MCS</w:t>
      </w:r>
      <w:r w:rsidRPr="004D0DAA">
        <w:noBreakHyphen/>
        <w:t>2, MCS</w:t>
      </w:r>
      <w:r w:rsidRPr="004D0DAA">
        <w:noBreakHyphen/>
        <w:t>3 and MCS</w:t>
      </w:r>
      <w:r w:rsidRPr="004D0DAA">
        <w:noBreakHyphen/>
        <w:t>4 (header type 3) shall be formatted according to figure 10.3a.3.3.6. Note that different USF values may be included in the different transmissions if blind physical layer transmissions are used in the downlink (when CC2, CC3 or CC4 is assigned for the transfer).</w:t>
      </w:r>
    </w:p>
    <w:tbl>
      <w:tblPr>
        <w:tblW w:w="0" w:type="auto"/>
        <w:jc w:val="center"/>
        <w:tblLayout w:type="fixed"/>
        <w:tblCellMar>
          <w:left w:w="28" w:type="dxa"/>
          <w:right w:w="28" w:type="dxa"/>
        </w:tblCellMar>
        <w:tblLook w:val="0000" w:firstRow="0" w:lastRow="0" w:firstColumn="0" w:lastColumn="0" w:noHBand="0" w:noVBand="0"/>
      </w:tblPr>
      <w:tblGrid>
        <w:gridCol w:w="586"/>
        <w:gridCol w:w="9"/>
        <w:gridCol w:w="559"/>
        <w:gridCol w:w="8"/>
        <w:gridCol w:w="562"/>
        <w:gridCol w:w="572"/>
        <w:gridCol w:w="569"/>
        <w:gridCol w:w="578"/>
        <w:gridCol w:w="554"/>
        <w:gridCol w:w="586"/>
        <w:gridCol w:w="1134"/>
      </w:tblGrid>
      <w:tr w:rsidR="00711444" w:rsidRPr="004D0DAA" w14:paraId="30115102" w14:textId="77777777" w:rsidTr="00AA2A4C">
        <w:trPr>
          <w:cantSplit/>
          <w:jc w:val="center"/>
        </w:trPr>
        <w:tc>
          <w:tcPr>
            <w:tcW w:w="4583" w:type="dxa"/>
            <w:gridSpan w:val="10"/>
          </w:tcPr>
          <w:p w14:paraId="6C99BEE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613E5A0B" w14:textId="77777777" w:rsidR="00711444" w:rsidRPr="004D0DAA" w:rsidRDefault="00711444" w:rsidP="00AA2A4C">
            <w:pPr>
              <w:keepNext/>
              <w:keepLines/>
              <w:spacing w:after="0"/>
              <w:jc w:val="center"/>
              <w:rPr>
                <w:rFonts w:ascii="Arial" w:hAnsi="Arial"/>
                <w:sz w:val="18"/>
              </w:rPr>
            </w:pPr>
          </w:p>
        </w:tc>
      </w:tr>
      <w:tr w:rsidR="00711444" w:rsidRPr="004D0DAA" w14:paraId="2A7F8051" w14:textId="77777777" w:rsidTr="00AA2A4C">
        <w:trPr>
          <w:cantSplit/>
          <w:jc w:val="center"/>
        </w:trPr>
        <w:tc>
          <w:tcPr>
            <w:tcW w:w="595" w:type="dxa"/>
            <w:gridSpan w:val="2"/>
          </w:tcPr>
          <w:p w14:paraId="235D7A9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5435BE6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2" w:type="dxa"/>
          </w:tcPr>
          <w:p w14:paraId="2CD6B92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72" w:type="dxa"/>
          </w:tcPr>
          <w:p w14:paraId="448911E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9" w:type="dxa"/>
          </w:tcPr>
          <w:p w14:paraId="5980F93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78" w:type="dxa"/>
          </w:tcPr>
          <w:p w14:paraId="43E5066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54" w:type="dxa"/>
          </w:tcPr>
          <w:p w14:paraId="44334DF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86" w:type="dxa"/>
          </w:tcPr>
          <w:p w14:paraId="7F4317E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4BF8FFF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6A5E79BC" w14:textId="77777777" w:rsidTr="00AA2A4C">
        <w:trPr>
          <w:cantSplit/>
          <w:jc w:val="center"/>
        </w:trPr>
        <w:tc>
          <w:tcPr>
            <w:tcW w:w="586" w:type="dxa"/>
            <w:tcBorders>
              <w:top w:val="single" w:sz="6" w:space="0" w:color="auto"/>
              <w:left w:val="single" w:sz="6" w:space="0" w:color="auto"/>
              <w:bottom w:val="single" w:sz="6" w:space="0" w:color="auto"/>
              <w:right w:val="single" w:sz="6" w:space="0" w:color="auto"/>
            </w:tcBorders>
          </w:tcPr>
          <w:p w14:paraId="786A6D0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8" w:type="dxa"/>
            <w:gridSpan w:val="2"/>
            <w:tcBorders>
              <w:top w:val="single" w:sz="6" w:space="0" w:color="auto"/>
              <w:left w:val="single" w:sz="6" w:space="0" w:color="auto"/>
              <w:bottom w:val="single" w:sz="6" w:space="0" w:color="auto"/>
              <w:right w:val="single" w:sz="6" w:space="0" w:color="auto"/>
            </w:tcBorders>
          </w:tcPr>
          <w:p w14:paraId="25E4A77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570" w:type="dxa"/>
            <w:gridSpan w:val="2"/>
            <w:tcBorders>
              <w:top w:val="single" w:sz="6" w:space="0" w:color="auto"/>
              <w:left w:val="single" w:sz="6" w:space="0" w:color="auto"/>
              <w:bottom w:val="single" w:sz="6" w:space="0" w:color="auto"/>
              <w:right w:val="single" w:sz="6" w:space="0" w:color="auto"/>
            </w:tcBorders>
          </w:tcPr>
          <w:p w14:paraId="4FF8591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141" w:type="dxa"/>
            <w:gridSpan w:val="2"/>
            <w:tcBorders>
              <w:top w:val="single" w:sz="6" w:space="0" w:color="auto"/>
              <w:left w:val="single" w:sz="6" w:space="0" w:color="auto"/>
              <w:bottom w:val="single" w:sz="6" w:space="0" w:color="auto"/>
            </w:tcBorders>
          </w:tcPr>
          <w:p w14:paraId="057DB1C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ECS/P</w:t>
            </w:r>
          </w:p>
        </w:tc>
        <w:tc>
          <w:tcPr>
            <w:tcW w:w="1718" w:type="dxa"/>
            <w:gridSpan w:val="3"/>
            <w:tcBorders>
              <w:top w:val="single" w:sz="6" w:space="0" w:color="auto"/>
              <w:left w:val="single" w:sz="6" w:space="0" w:color="auto"/>
              <w:right w:val="single" w:sz="6" w:space="0" w:color="auto"/>
            </w:tcBorders>
          </w:tcPr>
          <w:p w14:paraId="421ACA0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18C576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43AA58CF" w14:textId="77777777" w:rsidTr="00AA2A4C">
        <w:trPr>
          <w:cantSplit/>
          <w:jc w:val="center"/>
        </w:trPr>
        <w:tc>
          <w:tcPr>
            <w:tcW w:w="1154" w:type="dxa"/>
            <w:gridSpan w:val="3"/>
            <w:tcBorders>
              <w:left w:val="single" w:sz="6" w:space="0" w:color="auto"/>
              <w:bottom w:val="single" w:sz="4" w:space="0" w:color="auto"/>
              <w:right w:val="single" w:sz="6" w:space="0" w:color="auto"/>
            </w:tcBorders>
          </w:tcPr>
          <w:p w14:paraId="45711E9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42" w:type="dxa"/>
            <w:gridSpan w:val="3"/>
            <w:tcBorders>
              <w:left w:val="single" w:sz="6" w:space="0" w:color="auto"/>
              <w:right w:val="single" w:sz="6" w:space="0" w:color="auto"/>
            </w:tcBorders>
          </w:tcPr>
          <w:p w14:paraId="1FAEE23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87" w:type="dxa"/>
            <w:gridSpan w:val="4"/>
            <w:tcBorders>
              <w:top w:val="single" w:sz="4" w:space="0" w:color="auto"/>
              <w:left w:val="single" w:sz="6" w:space="0" w:color="auto"/>
              <w:bottom w:val="single" w:sz="6" w:space="0" w:color="auto"/>
              <w:right w:val="single" w:sz="6" w:space="0" w:color="auto"/>
            </w:tcBorders>
          </w:tcPr>
          <w:p w14:paraId="132938A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2F6EAB3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2C9C9994" w14:textId="77777777" w:rsidTr="00AA2A4C">
        <w:trPr>
          <w:cantSplit/>
          <w:jc w:val="center"/>
        </w:trPr>
        <w:tc>
          <w:tcPr>
            <w:tcW w:w="586" w:type="dxa"/>
            <w:tcBorders>
              <w:top w:val="single" w:sz="4" w:space="0" w:color="auto"/>
              <w:left w:val="single" w:sz="4" w:space="0" w:color="auto"/>
              <w:bottom w:val="single" w:sz="4" w:space="0" w:color="auto"/>
              <w:right w:val="single" w:sz="6" w:space="0" w:color="auto"/>
            </w:tcBorders>
          </w:tcPr>
          <w:p w14:paraId="791DC726" w14:textId="77777777" w:rsidR="00711444" w:rsidRPr="004D0DAA" w:rsidRDefault="00711444" w:rsidP="00AA2A4C">
            <w:pPr>
              <w:keepNext/>
              <w:keepLines/>
              <w:tabs>
                <w:tab w:val="left" w:pos="913"/>
                <w:tab w:val="center" w:pos="1113"/>
              </w:tabs>
              <w:spacing w:after="0"/>
              <w:rPr>
                <w:rFonts w:ascii="Arial" w:hAnsi="Arial"/>
                <w:sz w:val="18"/>
              </w:rPr>
            </w:pPr>
            <w:r w:rsidRPr="004D0DAA">
              <w:rPr>
                <w:rFonts w:ascii="Arial" w:hAnsi="Arial"/>
                <w:sz w:val="18"/>
              </w:rPr>
              <w:t>Spare</w:t>
            </w:r>
          </w:p>
        </w:tc>
        <w:tc>
          <w:tcPr>
            <w:tcW w:w="1138" w:type="dxa"/>
            <w:gridSpan w:val="4"/>
            <w:tcBorders>
              <w:top w:val="single" w:sz="4" w:space="0" w:color="auto"/>
              <w:left w:val="single" w:sz="4" w:space="0" w:color="auto"/>
              <w:bottom w:val="single" w:sz="4" w:space="0" w:color="auto"/>
              <w:right w:val="single" w:sz="6" w:space="0" w:color="auto"/>
            </w:tcBorders>
          </w:tcPr>
          <w:p w14:paraId="066E07BA" w14:textId="77777777" w:rsidR="00711444" w:rsidRPr="004D0DAA" w:rsidRDefault="00711444" w:rsidP="00AA2A4C">
            <w:pPr>
              <w:keepNext/>
              <w:keepLines/>
              <w:tabs>
                <w:tab w:val="left" w:pos="913"/>
                <w:tab w:val="center" w:pos="1113"/>
              </w:tabs>
              <w:spacing w:after="0"/>
              <w:jc w:val="center"/>
              <w:rPr>
                <w:rFonts w:ascii="Arial" w:hAnsi="Arial"/>
                <w:sz w:val="18"/>
              </w:rPr>
            </w:pPr>
            <w:r w:rsidRPr="004D0DAA">
              <w:rPr>
                <w:rFonts w:ascii="Arial" w:hAnsi="Arial"/>
                <w:sz w:val="18"/>
              </w:rPr>
              <w:t>CC</w:t>
            </w:r>
          </w:p>
        </w:tc>
        <w:tc>
          <w:tcPr>
            <w:tcW w:w="1141" w:type="dxa"/>
            <w:gridSpan w:val="2"/>
            <w:tcBorders>
              <w:top w:val="single" w:sz="4" w:space="0" w:color="auto"/>
              <w:left w:val="single" w:sz="4" w:space="0" w:color="auto"/>
              <w:bottom w:val="single" w:sz="4" w:space="0" w:color="auto"/>
              <w:right w:val="single" w:sz="6" w:space="0" w:color="auto"/>
            </w:tcBorders>
          </w:tcPr>
          <w:p w14:paraId="462B150E" w14:textId="77777777" w:rsidR="00711444" w:rsidRPr="004D0DAA" w:rsidRDefault="00711444" w:rsidP="00AA2A4C">
            <w:pPr>
              <w:keepNext/>
              <w:keepLines/>
              <w:tabs>
                <w:tab w:val="left" w:pos="913"/>
                <w:tab w:val="center" w:pos="1113"/>
              </w:tabs>
              <w:spacing w:after="0"/>
              <w:jc w:val="center"/>
              <w:rPr>
                <w:rFonts w:ascii="Arial" w:hAnsi="Arial"/>
                <w:sz w:val="18"/>
              </w:rPr>
            </w:pPr>
            <w:r w:rsidRPr="004D0DAA">
              <w:rPr>
                <w:rFonts w:ascii="Arial" w:hAnsi="Arial"/>
                <w:sz w:val="18"/>
              </w:rPr>
              <w:t>SPB</w:t>
            </w:r>
          </w:p>
        </w:tc>
        <w:tc>
          <w:tcPr>
            <w:tcW w:w="1718" w:type="dxa"/>
            <w:gridSpan w:val="3"/>
            <w:tcBorders>
              <w:top w:val="single" w:sz="4" w:space="0" w:color="auto"/>
              <w:left w:val="single" w:sz="4" w:space="0" w:color="auto"/>
              <w:bottom w:val="single" w:sz="4" w:space="0" w:color="auto"/>
              <w:right w:val="single" w:sz="6" w:space="0" w:color="auto"/>
            </w:tcBorders>
          </w:tcPr>
          <w:p w14:paraId="7DD3938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38D05D6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1320DB6D" w14:textId="77777777" w:rsidTr="00AA2A4C">
        <w:trPr>
          <w:cantSplit/>
          <w:jc w:val="center"/>
        </w:trPr>
        <w:tc>
          <w:tcPr>
            <w:tcW w:w="586" w:type="dxa"/>
            <w:tcBorders>
              <w:right w:val="single" w:sz="6" w:space="0" w:color="auto"/>
            </w:tcBorders>
          </w:tcPr>
          <w:p w14:paraId="0EBC9617" w14:textId="77777777" w:rsidR="00711444" w:rsidRPr="004D0DAA" w:rsidRDefault="00711444" w:rsidP="00AA2A4C">
            <w:pPr>
              <w:keepNext/>
              <w:keepLines/>
              <w:spacing w:after="0"/>
              <w:jc w:val="center"/>
              <w:rPr>
                <w:rFonts w:ascii="Arial" w:hAnsi="Arial"/>
                <w:sz w:val="18"/>
              </w:rPr>
            </w:pPr>
          </w:p>
        </w:tc>
        <w:tc>
          <w:tcPr>
            <w:tcW w:w="1138" w:type="dxa"/>
            <w:gridSpan w:val="4"/>
            <w:tcBorders>
              <w:bottom w:val="single" w:sz="6" w:space="0" w:color="auto"/>
              <w:right w:val="single" w:sz="6" w:space="0" w:color="auto"/>
            </w:tcBorders>
          </w:tcPr>
          <w:p w14:paraId="73D6A33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41" w:type="dxa"/>
            <w:gridSpan w:val="2"/>
            <w:tcBorders>
              <w:bottom w:val="single" w:sz="6" w:space="0" w:color="auto"/>
              <w:right w:val="single" w:sz="6" w:space="0" w:color="auto"/>
            </w:tcBorders>
          </w:tcPr>
          <w:p w14:paraId="0C40F51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RRBP</w:t>
            </w:r>
          </w:p>
        </w:tc>
        <w:tc>
          <w:tcPr>
            <w:tcW w:w="1718" w:type="dxa"/>
            <w:gridSpan w:val="3"/>
            <w:tcBorders>
              <w:bottom w:val="single" w:sz="6" w:space="0" w:color="auto"/>
              <w:right w:val="single" w:sz="6" w:space="0" w:color="auto"/>
            </w:tcBorders>
          </w:tcPr>
          <w:p w14:paraId="3307212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134" w:type="dxa"/>
            <w:tcBorders>
              <w:left w:val="single" w:sz="6" w:space="0" w:color="auto"/>
            </w:tcBorders>
          </w:tcPr>
          <w:p w14:paraId="338F14E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bl>
    <w:p w14:paraId="6E8E9659" w14:textId="77777777" w:rsidR="00711444" w:rsidRPr="004D0DAA" w:rsidRDefault="00711444" w:rsidP="00711444">
      <w:pPr>
        <w:pStyle w:val="TAN"/>
      </w:pPr>
    </w:p>
    <w:p w14:paraId="6F2AC58C" w14:textId="77777777" w:rsidR="00711444" w:rsidRPr="004D0DAA" w:rsidRDefault="00711444" w:rsidP="00711444">
      <w:pPr>
        <w:pStyle w:val="TF"/>
      </w:pPr>
      <w:r w:rsidRPr="004D0DAA">
        <w:t>Figure 10.3a.3.3.6: EC-GSM-IoT downlink RLC data block header for MCS-1, MCS-2, MCS-3 and MCS-4</w:t>
      </w:r>
    </w:p>
    <w:p w14:paraId="56E97761" w14:textId="77777777" w:rsidR="00711444" w:rsidRPr="004D0DAA" w:rsidRDefault="00711444" w:rsidP="00711444">
      <w:pPr>
        <w:pStyle w:val="Heading4"/>
      </w:pPr>
      <w:bookmarkStart w:id="525" w:name="_Toc516669706"/>
      <w:r w:rsidRPr="004D0DAA">
        <w:t>10.3a.3.4</w:t>
      </w:r>
      <w:r w:rsidRPr="004D0DAA">
        <w:tab/>
        <w:t>Header type 4: header for DAS-8 and DAS-9</w:t>
      </w:r>
      <w:bookmarkEnd w:id="525"/>
    </w:p>
    <w:p w14:paraId="5595B741" w14:textId="77777777" w:rsidR="00711444" w:rsidRPr="004D0DAA" w:rsidRDefault="00711444" w:rsidP="00711444">
      <w:pPr>
        <w:ind w:left="91"/>
      </w:pPr>
      <w:r w:rsidRPr="004D0DAA">
        <w:t>The combined downlink RLC/MAC header for DAS-8 and DAS-9 (header type 4) shall be formatted according to figure 10.3a.3.4.1.</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50"/>
        <w:gridCol w:w="17"/>
        <w:gridCol w:w="556"/>
        <w:gridCol w:w="11"/>
        <w:gridCol w:w="567"/>
        <w:gridCol w:w="573"/>
        <w:gridCol w:w="554"/>
        <w:gridCol w:w="583"/>
        <w:gridCol w:w="569"/>
        <w:gridCol w:w="1134"/>
      </w:tblGrid>
      <w:tr w:rsidR="00711444" w:rsidRPr="004D0DAA" w14:paraId="743E3631" w14:textId="77777777" w:rsidTr="00AA2A4C">
        <w:tblPrEx>
          <w:tblCellMar>
            <w:top w:w="0" w:type="dxa"/>
            <w:bottom w:w="0" w:type="dxa"/>
          </w:tblCellMar>
        </w:tblPrEx>
        <w:trPr>
          <w:cantSplit/>
          <w:jc w:val="center"/>
        </w:trPr>
        <w:tc>
          <w:tcPr>
            <w:tcW w:w="4575" w:type="dxa"/>
            <w:gridSpan w:val="11"/>
          </w:tcPr>
          <w:p w14:paraId="6BA40B7B" w14:textId="77777777" w:rsidR="00711444" w:rsidRPr="004D0DAA" w:rsidRDefault="00711444" w:rsidP="00AA2A4C">
            <w:pPr>
              <w:keepNext/>
              <w:keepLines/>
              <w:spacing w:after="0"/>
              <w:jc w:val="center"/>
              <w:rPr>
                <w:rFonts w:ascii="Arial" w:hAnsi="Arial"/>
                <w:sz w:val="18"/>
              </w:rPr>
            </w:pPr>
            <w:r w:rsidRPr="004D0DAA">
              <w:rPr>
                <w:rFonts w:ascii="Arial" w:hAnsi="Arial"/>
                <w:sz w:val="18"/>
              </w:rPr>
              <w:lastRenderedPageBreak/>
              <w:t>Bit</w:t>
            </w:r>
          </w:p>
        </w:tc>
        <w:tc>
          <w:tcPr>
            <w:tcW w:w="1134" w:type="dxa"/>
          </w:tcPr>
          <w:p w14:paraId="0F5969D8" w14:textId="77777777" w:rsidR="00711444" w:rsidRPr="004D0DAA" w:rsidRDefault="00711444" w:rsidP="00AA2A4C">
            <w:pPr>
              <w:keepNext/>
              <w:keepLines/>
              <w:spacing w:after="0"/>
              <w:jc w:val="center"/>
              <w:rPr>
                <w:rFonts w:ascii="Arial" w:hAnsi="Arial"/>
                <w:sz w:val="18"/>
              </w:rPr>
            </w:pPr>
          </w:p>
        </w:tc>
      </w:tr>
      <w:tr w:rsidR="00711444" w:rsidRPr="004D0DAA" w14:paraId="24279058" w14:textId="77777777" w:rsidTr="00AA2A4C">
        <w:tblPrEx>
          <w:tblCellMar>
            <w:top w:w="0" w:type="dxa"/>
            <w:bottom w:w="0" w:type="dxa"/>
          </w:tblCellMar>
        </w:tblPrEx>
        <w:trPr>
          <w:cantSplit/>
          <w:jc w:val="center"/>
        </w:trPr>
        <w:tc>
          <w:tcPr>
            <w:tcW w:w="595" w:type="dxa"/>
            <w:gridSpan w:val="2"/>
          </w:tcPr>
          <w:p w14:paraId="11B1F4E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730C37F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36CC3C4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54321EB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73" w:type="dxa"/>
          </w:tcPr>
          <w:p w14:paraId="21D1ADB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54" w:type="dxa"/>
          </w:tcPr>
          <w:p w14:paraId="0402581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83" w:type="dxa"/>
          </w:tcPr>
          <w:p w14:paraId="68FB3C6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9" w:type="dxa"/>
          </w:tcPr>
          <w:p w14:paraId="094A376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7F3B61E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165CC709"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1CD9471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56888C3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07" w:type="dxa"/>
            <w:gridSpan w:val="4"/>
            <w:tcBorders>
              <w:top w:val="single" w:sz="6" w:space="0" w:color="auto"/>
              <w:left w:val="single" w:sz="6" w:space="0" w:color="auto"/>
              <w:bottom w:val="single" w:sz="6" w:space="0" w:color="auto"/>
            </w:tcBorders>
          </w:tcPr>
          <w:p w14:paraId="4F777AB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6" w:type="dxa"/>
            <w:gridSpan w:val="3"/>
            <w:tcBorders>
              <w:top w:val="single" w:sz="6" w:space="0" w:color="auto"/>
              <w:left w:val="single" w:sz="6" w:space="0" w:color="auto"/>
              <w:right w:val="single" w:sz="6" w:space="0" w:color="auto"/>
            </w:tcBorders>
          </w:tcPr>
          <w:p w14:paraId="35AC61F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3136977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07F33D84" w14:textId="77777777" w:rsidTr="00AA2A4C">
        <w:tblPrEx>
          <w:tblCellMar>
            <w:top w:w="0" w:type="dxa"/>
            <w:bottom w:w="0" w:type="dxa"/>
          </w:tblCellMar>
        </w:tblPrEx>
        <w:trPr>
          <w:cantSplit/>
          <w:jc w:val="center"/>
        </w:trPr>
        <w:tc>
          <w:tcPr>
            <w:tcW w:w="1162" w:type="dxa"/>
            <w:gridSpan w:val="4"/>
            <w:tcBorders>
              <w:left w:val="single" w:sz="6" w:space="0" w:color="auto"/>
            </w:tcBorders>
          </w:tcPr>
          <w:p w14:paraId="004C56D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3"/>
            <w:tcBorders>
              <w:top w:val="single" w:sz="6" w:space="0" w:color="auto"/>
              <w:left w:val="single" w:sz="6" w:space="0" w:color="auto"/>
              <w:bottom w:val="single" w:sz="6" w:space="0" w:color="auto"/>
              <w:right w:val="single" w:sz="6" w:space="0" w:color="auto"/>
            </w:tcBorders>
          </w:tcPr>
          <w:p w14:paraId="0BAC8D9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79" w:type="dxa"/>
            <w:gridSpan w:val="4"/>
            <w:tcBorders>
              <w:top w:val="single" w:sz="6" w:space="0" w:color="auto"/>
              <w:left w:val="single" w:sz="6" w:space="0" w:color="auto"/>
              <w:bottom w:val="single" w:sz="6" w:space="0" w:color="auto"/>
              <w:right w:val="single" w:sz="6" w:space="0" w:color="auto"/>
            </w:tcBorders>
          </w:tcPr>
          <w:p w14:paraId="75C17E2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1B11764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0E34A441" w14:textId="77777777" w:rsidTr="00AA2A4C">
        <w:tblPrEx>
          <w:tblCellMar>
            <w:top w:w="0" w:type="dxa"/>
            <w:bottom w:w="0" w:type="dxa"/>
          </w:tblCellMar>
        </w:tblPrEx>
        <w:trPr>
          <w:cantSplit/>
          <w:jc w:val="center"/>
        </w:trPr>
        <w:tc>
          <w:tcPr>
            <w:tcW w:w="4575" w:type="dxa"/>
            <w:gridSpan w:val="11"/>
            <w:tcBorders>
              <w:top w:val="single" w:sz="6" w:space="0" w:color="auto"/>
              <w:left w:val="single" w:sz="6" w:space="0" w:color="auto"/>
              <w:right w:val="single" w:sz="6" w:space="0" w:color="auto"/>
            </w:tcBorders>
          </w:tcPr>
          <w:p w14:paraId="198B9B8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BD9D10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7E90249B" w14:textId="77777777" w:rsidTr="00AA2A4C">
        <w:tblPrEx>
          <w:tblCellMar>
            <w:top w:w="0" w:type="dxa"/>
            <w:bottom w:w="0" w:type="dxa"/>
          </w:tblCellMar>
        </w:tblPrEx>
        <w:trPr>
          <w:cantSplit/>
          <w:jc w:val="center"/>
        </w:trPr>
        <w:tc>
          <w:tcPr>
            <w:tcW w:w="4006" w:type="dxa"/>
            <w:gridSpan w:val="10"/>
            <w:tcBorders>
              <w:top w:val="single" w:sz="6" w:space="0" w:color="auto"/>
              <w:left w:val="single" w:sz="6" w:space="0" w:color="auto"/>
              <w:right w:val="single" w:sz="6" w:space="0" w:color="auto"/>
            </w:tcBorders>
          </w:tcPr>
          <w:p w14:paraId="148E199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9" w:type="dxa"/>
            <w:tcBorders>
              <w:top w:val="single" w:sz="6" w:space="0" w:color="auto"/>
              <w:left w:val="single" w:sz="6" w:space="0" w:color="auto"/>
              <w:right w:val="single" w:sz="6" w:space="0" w:color="auto"/>
            </w:tcBorders>
          </w:tcPr>
          <w:p w14:paraId="2A79B19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99EDCF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42A9EE75" w14:textId="77777777" w:rsidTr="00AA2A4C">
        <w:tblPrEx>
          <w:tblCellMar>
            <w:top w:w="0" w:type="dxa"/>
            <w:bottom w:w="0" w:type="dxa"/>
          </w:tblCellMar>
        </w:tblPrEx>
        <w:trPr>
          <w:cantSplit/>
          <w:jc w:val="center"/>
        </w:trPr>
        <w:tc>
          <w:tcPr>
            <w:tcW w:w="572" w:type="dxa"/>
            <w:tcBorders>
              <w:top w:val="single" w:sz="6" w:space="0" w:color="auto"/>
              <w:left w:val="single" w:sz="6" w:space="0" w:color="auto"/>
              <w:bottom w:val="single" w:sz="6" w:space="0" w:color="auto"/>
              <w:right w:val="single" w:sz="6" w:space="0" w:color="auto"/>
            </w:tcBorders>
          </w:tcPr>
          <w:p w14:paraId="7AD93A9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2297" w:type="dxa"/>
            <w:gridSpan w:val="7"/>
            <w:tcBorders>
              <w:top w:val="single" w:sz="6" w:space="0" w:color="auto"/>
              <w:left w:val="single" w:sz="6" w:space="0" w:color="auto"/>
              <w:bottom w:val="single" w:sz="6" w:space="0" w:color="auto"/>
              <w:right w:val="single" w:sz="6" w:space="0" w:color="auto"/>
            </w:tcBorders>
          </w:tcPr>
          <w:p w14:paraId="7AA92BB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6" w:type="dxa"/>
            <w:gridSpan w:val="3"/>
            <w:tcBorders>
              <w:top w:val="single" w:sz="6" w:space="0" w:color="auto"/>
              <w:left w:val="single" w:sz="6" w:space="0" w:color="auto"/>
              <w:bottom w:val="single" w:sz="6" w:space="0" w:color="auto"/>
              <w:right w:val="single" w:sz="6" w:space="0" w:color="auto"/>
            </w:tcBorders>
          </w:tcPr>
          <w:p w14:paraId="46FFC1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5CB9100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r w:rsidR="00711444" w:rsidRPr="004D0DAA" w14:paraId="7E2FECD9" w14:textId="77777777" w:rsidTr="00AA2A4C">
        <w:tblPrEx>
          <w:tblCellMar>
            <w:top w:w="0" w:type="dxa"/>
            <w:bottom w:w="0" w:type="dxa"/>
          </w:tblCellMar>
        </w:tblPrEx>
        <w:trPr>
          <w:cantSplit/>
          <w:jc w:val="center"/>
        </w:trPr>
        <w:tc>
          <w:tcPr>
            <w:tcW w:w="572" w:type="dxa"/>
            <w:tcBorders>
              <w:top w:val="single" w:sz="6" w:space="0" w:color="auto"/>
            </w:tcBorders>
          </w:tcPr>
          <w:p w14:paraId="0C2DE4A2" w14:textId="77777777" w:rsidR="00711444" w:rsidRPr="004D0DAA" w:rsidRDefault="00711444" w:rsidP="00AA2A4C">
            <w:pPr>
              <w:keepNext/>
              <w:keepLines/>
              <w:spacing w:after="0"/>
              <w:jc w:val="center"/>
              <w:rPr>
                <w:rFonts w:ascii="Arial" w:hAnsi="Arial"/>
                <w:sz w:val="18"/>
              </w:rPr>
            </w:pPr>
          </w:p>
        </w:tc>
        <w:tc>
          <w:tcPr>
            <w:tcW w:w="573" w:type="dxa"/>
            <w:gridSpan w:val="2"/>
            <w:tcBorders>
              <w:top w:val="single" w:sz="6" w:space="0" w:color="auto"/>
            </w:tcBorders>
          </w:tcPr>
          <w:p w14:paraId="57A8E46E" w14:textId="77777777" w:rsidR="00711444" w:rsidRPr="004D0DAA" w:rsidRDefault="00711444" w:rsidP="00AA2A4C">
            <w:pPr>
              <w:keepNext/>
              <w:keepLines/>
              <w:spacing w:after="0"/>
              <w:jc w:val="center"/>
              <w:rPr>
                <w:rFonts w:ascii="Arial" w:hAnsi="Arial"/>
                <w:sz w:val="18"/>
              </w:rPr>
            </w:pPr>
          </w:p>
        </w:tc>
        <w:tc>
          <w:tcPr>
            <w:tcW w:w="573" w:type="dxa"/>
            <w:gridSpan w:val="2"/>
            <w:tcBorders>
              <w:top w:val="single" w:sz="6" w:space="0" w:color="auto"/>
            </w:tcBorders>
          </w:tcPr>
          <w:p w14:paraId="0550380A" w14:textId="77777777" w:rsidR="00711444" w:rsidRPr="004D0DAA" w:rsidRDefault="00711444" w:rsidP="00AA2A4C">
            <w:pPr>
              <w:keepNext/>
              <w:keepLines/>
              <w:spacing w:after="0"/>
              <w:jc w:val="center"/>
              <w:rPr>
                <w:rFonts w:ascii="Arial" w:hAnsi="Arial"/>
                <w:sz w:val="18"/>
              </w:rPr>
            </w:pPr>
          </w:p>
        </w:tc>
        <w:tc>
          <w:tcPr>
            <w:tcW w:w="578" w:type="dxa"/>
            <w:gridSpan w:val="2"/>
            <w:tcBorders>
              <w:top w:val="single" w:sz="6" w:space="0" w:color="auto"/>
            </w:tcBorders>
          </w:tcPr>
          <w:p w14:paraId="71829692" w14:textId="77777777" w:rsidR="00711444" w:rsidRPr="004D0DAA" w:rsidRDefault="00711444" w:rsidP="00AA2A4C">
            <w:pPr>
              <w:keepNext/>
              <w:keepLines/>
              <w:spacing w:after="0"/>
              <w:jc w:val="center"/>
              <w:rPr>
                <w:rFonts w:ascii="Arial" w:hAnsi="Arial"/>
                <w:sz w:val="18"/>
              </w:rPr>
            </w:pPr>
          </w:p>
        </w:tc>
        <w:tc>
          <w:tcPr>
            <w:tcW w:w="573" w:type="dxa"/>
            <w:tcBorders>
              <w:top w:val="single" w:sz="6" w:space="0" w:color="auto"/>
            </w:tcBorders>
          </w:tcPr>
          <w:p w14:paraId="39D74F0F" w14:textId="77777777" w:rsidR="00711444" w:rsidRPr="004D0DAA" w:rsidRDefault="00711444" w:rsidP="00AA2A4C">
            <w:pPr>
              <w:keepNext/>
              <w:keepLines/>
              <w:spacing w:after="0"/>
              <w:jc w:val="center"/>
              <w:rPr>
                <w:rFonts w:ascii="Arial" w:hAnsi="Arial"/>
                <w:sz w:val="18"/>
              </w:rPr>
            </w:pPr>
          </w:p>
        </w:tc>
        <w:tc>
          <w:tcPr>
            <w:tcW w:w="554" w:type="dxa"/>
            <w:tcBorders>
              <w:top w:val="single" w:sz="6" w:space="0" w:color="auto"/>
            </w:tcBorders>
          </w:tcPr>
          <w:p w14:paraId="1400BB35" w14:textId="77777777" w:rsidR="00711444" w:rsidRPr="004D0DAA" w:rsidRDefault="00711444" w:rsidP="00AA2A4C">
            <w:pPr>
              <w:keepNext/>
              <w:keepLines/>
              <w:spacing w:after="0"/>
              <w:jc w:val="center"/>
              <w:rPr>
                <w:rFonts w:ascii="Arial" w:hAnsi="Arial"/>
                <w:sz w:val="18"/>
              </w:rPr>
            </w:pPr>
          </w:p>
        </w:tc>
        <w:tc>
          <w:tcPr>
            <w:tcW w:w="583" w:type="dxa"/>
            <w:tcBorders>
              <w:top w:val="single" w:sz="6" w:space="0" w:color="auto"/>
              <w:right w:val="single" w:sz="6" w:space="0" w:color="auto"/>
            </w:tcBorders>
          </w:tcPr>
          <w:p w14:paraId="7B1AA20A" w14:textId="77777777" w:rsidR="00711444" w:rsidRPr="004D0DAA" w:rsidRDefault="00711444" w:rsidP="00AA2A4C">
            <w:pPr>
              <w:keepNext/>
              <w:keepLines/>
              <w:spacing w:after="0"/>
              <w:jc w:val="center"/>
              <w:rPr>
                <w:rFonts w:ascii="Arial" w:hAnsi="Arial"/>
                <w:sz w:val="18"/>
              </w:rPr>
            </w:pPr>
          </w:p>
        </w:tc>
        <w:tc>
          <w:tcPr>
            <w:tcW w:w="569" w:type="dxa"/>
            <w:tcBorders>
              <w:top w:val="single" w:sz="6" w:space="0" w:color="auto"/>
              <w:left w:val="single" w:sz="6" w:space="0" w:color="auto"/>
              <w:bottom w:val="single" w:sz="6" w:space="0" w:color="auto"/>
              <w:right w:val="single" w:sz="6" w:space="0" w:color="auto"/>
            </w:tcBorders>
          </w:tcPr>
          <w:p w14:paraId="47C745E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34" w:type="dxa"/>
            <w:tcBorders>
              <w:left w:val="single" w:sz="6" w:space="0" w:color="auto"/>
            </w:tcBorders>
          </w:tcPr>
          <w:p w14:paraId="42D19AE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r>
    </w:tbl>
    <w:p w14:paraId="0F9E40BD" w14:textId="77777777" w:rsidR="00711444" w:rsidRPr="004D0DAA" w:rsidRDefault="00711444" w:rsidP="00711444">
      <w:pPr>
        <w:pStyle w:val="TAN"/>
      </w:pPr>
    </w:p>
    <w:p w14:paraId="45264889" w14:textId="77777777" w:rsidR="00711444" w:rsidRPr="004D0DAA" w:rsidRDefault="00711444" w:rsidP="00711444">
      <w:pPr>
        <w:pStyle w:val="TF"/>
      </w:pPr>
      <w:r w:rsidRPr="004D0DAA">
        <w:t>Figure 10.3a.3.4.1: Combined downlink RLC data block header</w:t>
      </w:r>
      <w:r w:rsidRPr="004D0DAA">
        <w:br/>
        <w:t>for DAS-8 and DAS-9.</w:t>
      </w:r>
    </w:p>
    <w:p w14:paraId="68B97A3F" w14:textId="77777777" w:rsidR="00711444" w:rsidRPr="004D0DAA" w:rsidRDefault="00711444" w:rsidP="00711444">
      <w:pPr>
        <w:ind w:left="91"/>
      </w:pPr>
      <w:r w:rsidRPr="004D0DAA">
        <w:t xml:space="preserve">For an EGPRS2 TBF </w:t>
      </w:r>
      <w:r w:rsidRPr="004D0DAA">
        <w:rPr>
          <w:lang w:eastAsia="ko-KR"/>
        </w:rPr>
        <w:t xml:space="preserve">in a DLMC configuration using an SNS of 8192 </w:t>
      </w:r>
      <w:r w:rsidRPr="004D0DAA">
        <w:t>the combined downlink RLC/MAC header for DAS-8 and DAS-9 (header type 4) shall be formatted according to figure 10.3a.3.4.2.</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50"/>
        <w:gridCol w:w="17"/>
        <w:gridCol w:w="556"/>
        <w:gridCol w:w="11"/>
        <w:gridCol w:w="567"/>
        <w:gridCol w:w="577"/>
        <w:gridCol w:w="554"/>
        <w:gridCol w:w="583"/>
        <w:gridCol w:w="569"/>
        <w:gridCol w:w="1134"/>
      </w:tblGrid>
      <w:tr w:rsidR="00711444" w:rsidRPr="004D0DAA" w14:paraId="6CC69214" w14:textId="77777777" w:rsidTr="00AA2A4C">
        <w:tblPrEx>
          <w:tblCellMar>
            <w:top w:w="0" w:type="dxa"/>
            <w:bottom w:w="0" w:type="dxa"/>
          </w:tblCellMar>
        </w:tblPrEx>
        <w:trPr>
          <w:cantSplit/>
          <w:jc w:val="center"/>
        </w:trPr>
        <w:tc>
          <w:tcPr>
            <w:tcW w:w="4579" w:type="dxa"/>
            <w:gridSpan w:val="11"/>
          </w:tcPr>
          <w:p w14:paraId="2E93B1D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731AF8C5" w14:textId="77777777" w:rsidR="00711444" w:rsidRPr="004D0DAA" w:rsidRDefault="00711444" w:rsidP="00AA2A4C">
            <w:pPr>
              <w:keepNext/>
              <w:keepLines/>
              <w:spacing w:after="0"/>
              <w:jc w:val="center"/>
              <w:rPr>
                <w:rFonts w:ascii="Arial" w:hAnsi="Arial"/>
                <w:sz w:val="18"/>
              </w:rPr>
            </w:pPr>
          </w:p>
        </w:tc>
      </w:tr>
      <w:tr w:rsidR="00711444" w:rsidRPr="004D0DAA" w14:paraId="374F48BC" w14:textId="77777777" w:rsidTr="00AA2A4C">
        <w:tblPrEx>
          <w:tblCellMar>
            <w:top w:w="0" w:type="dxa"/>
            <w:bottom w:w="0" w:type="dxa"/>
          </w:tblCellMar>
        </w:tblPrEx>
        <w:trPr>
          <w:cantSplit/>
          <w:jc w:val="center"/>
        </w:trPr>
        <w:tc>
          <w:tcPr>
            <w:tcW w:w="595" w:type="dxa"/>
            <w:gridSpan w:val="2"/>
          </w:tcPr>
          <w:p w14:paraId="18DEF47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3C56368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5277A29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52A4DC0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77" w:type="dxa"/>
          </w:tcPr>
          <w:p w14:paraId="199B128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54" w:type="dxa"/>
          </w:tcPr>
          <w:p w14:paraId="6D2382A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83" w:type="dxa"/>
          </w:tcPr>
          <w:p w14:paraId="06588CA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9" w:type="dxa"/>
          </w:tcPr>
          <w:p w14:paraId="0E179A1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3A7F0E2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47F284D5"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77A6283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3C61B09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67" w:type="dxa"/>
            <w:gridSpan w:val="2"/>
            <w:tcBorders>
              <w:top w:val="single" w:sz="6" w:space="0" w:color="auto"/>
              <w:left w:val="single" w:sz="6" w:space="0" w:color="auto"/>
              <w:bottom w:val="single" w:sz="6" w:space="0" w:color="auto"/>
            </w:tcBorders>
          </w:tcPr>
          <w:p w14:paraId="0AC0F01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44" w:type="dxa"/>
            <w:gridSpan w:val="2"/>
            <w:tcBorders>
              <w:top w:val="single" w:sz="6" w:space="0" w:color="auto"/>
              <w:left w:val="single" w:sz="6" w:space="0" w:color="auto"/>
              <w:bottom w:val="single" w:sz="6" w:space="0" w:color="auto"/>
            </w:tcBorders>
          </w:tcPr>
          <w:p w14:paraId="26C69A2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6" w:type="dxa"/>
            <w:gridSpan w:val="3"/>
            <w:tcBorders>
              <w:top w:val="single" w:sz="6" w:space="0" w:color="auto"/>
              <w:left w:val="single" w:sz="6" w:space="0" w:color="auto"/>
              <w:right w:val="single" w:sz="6" w:space="0" w:color="auto"/>
            </w:tcBorders>
          </w:tcPr>
          <w:p w14:paraId="2C14020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169E0A0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16E3DE82" w14:textId="77777777" w:rsidTr="00AA2A4C">
        <w:tblPrEx>
          <w:tblCellMar>
            <w:top w:w="0" w:type="dxa"/>
            <w:bottom w:w="0" w:type="dxa"/>
          </w:tblCellMar>
        </w:tblPrEx>
        <w:trPr>
          <w:cantSplit/>
          <w:jc w:val="center"/>
        </w:trPr>
        <w:tc>
          <w:tcPr>
            <w:tcW w:w="2296" w:type="dxa"/>
            <w:gridSpan w:val="7"/>
            <w:tcBorders>
              <w:left w:val="single" w:sz="6" w:space="0" w:color="auto"/>
              <w:right w:val="single" w:sz="6" w:space="0" w:color="auto"/>
            </w:tcBorders>
          </w:tcPr>
          <w:p w14:paraId="3DDEA94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83" w:type="dxa"/>
            <w:gridSpan w:val="4"/>
            <w:tcBorders>
              <w:top w:val="single" w:sz="6" w:space="0" w:color="auto"/>
              <w:left w:val="single" w:sz="6" w:space="0" w:color="auto"/>
              <w:bottom w:val="single" w:sz="6" w:space="0" w:color="auto"/>
              <w:right w:val="single" w:sz="6" w:space="0" w:color="auto"/>
            </w:tcBorders>
          </w:tcPr>
          <w:p w14:paraId="2210269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60A4372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1EE4BDD1" w14:textId="77777777" w:rsidTr="00AA2A4C">
        <w:tblPrEx>
          <w:tblCellMar>
            <w:top w:w="0" w:type="dxa"/>
            <w:bottom w:w="0" w:type="dxa"/>
          </w:tblCellMar>
        </w:tblPrEx>
        <w:trPr>
          <w:cantSplit/>
          <w:jc w:val="center"/>
        </w:trPr>
        <w:tc>
          <w:tcPr>
            <w:tcW w:w="4579" w:type="dxa"/>
            <w:gridSpan w:val="11"/>
            <w:tcBorders>
              <w:top w:val="single" w:sz="6" w:space="0" w:color="auto"/>
              <w:left w:val="single" w:sz="6" w:space="0" w:color="auto"/>
              <w:right w:val="single" w:sz="6" w:space="0" w:color="auto"/>
            </w:tcBorders>
          </w:tcPr>
          <w:p w14:paraId="3EDBDBD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38CE2C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0A545C80" w14:textId="77777777" w:rsidTr="00AA2A4C">
        <w:tblPrEx>
          <w:tblCellMar>
            <w:top w:w="0" w:type="dxa"/>
            <w:bottom w:w="0" w:type="dxa"/>
          </w:tblCellMar>
        </w:tblPrEx>
        <w:trPr>
          <w:cantSplit/>
          <w:jc w:val="center"/>
        </w:trPr>
        <w:tc>
          <w:tcPr>
            <w:tcW w:w="4010" w:type="dxa"/>
            <w:gridSpan w:val="10"/>
            <w:tcBorders>
              <w:top w:val="single" w:sz="6" w:space="0" w:color="auto"/>
              <w:left w:val="single" w:sz="6" w:space="0" w:color="auto"/>
              <w:right w:val="single" w:sz="6" w:space="0" w:color="auto"/>
            </w:tcBorders>
          </w:tcPr>
          <w:p w14:paraId="4852C66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9" w:type="dxa"/>
            <w:tcBorders>
              <w:top w:val="single" w:sz="6" w:space="0" w:color="auto"/>
              <w:left w:val="single" w:sz="6" w:space="0" w:color="auto"/>
              <w:right w:val="single" w:sz="6" w:space="0" w:color="auto"/>
            </w:tcBorders>
          </w:tcPr>
          <w:p w14:paraId="2A914DB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235EE3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3C1F9A82" w14:textId="77777777" w:rsidTr="00AA2A4C">
        <w:tblPrEx>
          <w:tblCellMar>
            <w:top w:w="0" w:type="dxa"/>
            <w:bottom w:w="0" w:type="dxa"/>
          </w:tblCellMar>
        </w:tblPrEx>
        <w:trPr>
          <w:cantSplit/>
          <w:jc w:val="center"/>
        </w:trPr>
        <w:tc>
          <w:tcPr>
            <w:tcW w:w="572" w:type="dxa"/>
            <w:tcBorders>
              <w:top w:val="single" w:sz="6" w:space="0" w:color="auto"/>
              <w:left w:val="single" w:sz="6" w:space="0" w:color="auto"/>
              <w:bottom w:val="single" w:sz="6" w:space="0" w:color="auto"/>
              <w:right w:val="single" w:sz="6" w:space="0" w:color="auto"/>
            </w:tcBorders>
          </w:tcPr>
          <w:p w14:paraId="616D57D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2301" w:type="dxa"/>
            <w:gridSpan w:val="7"/>
            <w:tcBorders>
              <w:top w:val="single" w:sz="6" w:space="0" w:color="auto"/>
              <w:left w:val="single" w:sz="6" w:space="0" w:color="auto"/>
              <w:bottom w:val="single" w:sz="6" w:space="0" w:color="auto"/>
              <w:right w:val="single" w:sz="6" w:space="0" w:color="auto"/>
            </w:tcBorders>
          </w:tcPr>
          <w:p w14:paraId="3AD0B06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6" w:type="dxa"/>
            <w:gridSpan w:val="3"/>
            <w:tcBorders>
              <w:top w:val="single" w:sz="6" w:space="0" w:color="auto"/>
              <w:left w:val="single" w:sz="6" w:space="0" w:color="auto"/>
              <w:bottom w:val="single" w:sz="6" w:space="0" w:color="auto"/>
              <w:right w:val="single" w:sz="6" w:space="0" w:color="auto"/>
            </w:tcBorders>
          </w:tcPr>
          <w:p w14:paraId="730CF1B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52A26C3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r w:rsidR="00711444" w:rsidRPr="004D0DAA" w14:paraId="53D7E4BF" w14:textId="77777777" w:rsidTr="00AA2A4C">
        <w:tblPrEx>
          <w:tblCellMar>
            <w:top w:w="0" w:type="dxa"/>
            <w:bottom w:w="0" w:type="dxa"/>
          </w:tblCellMar>
        </w:tblPrEx>
        <w:trPr>
          <w:cantSplit/>
          <w:jc w:val="center"/>
        </w:trPr>
        <w:tc>
          <w:tcPr>
            <w:tcW w:w="572" w:type="dxa"/>
            <w:tcBorders>
              <w:top w:val="single" w:sz="6" w:space="0" w:color="auto"/>
            </w:tcBorders>
          </w:tcPr>
          <w:p w14:paraId="23773D1A" w14:textId="77777777" w:rsidR="00711444" w:rsidRPr="004D0DAA" w:rsidRDefault="00711444" w:rsidP="00AA2A4C">
            <w:pPr>
              <w:keepNext/>
              <w:keepLines/>
              <w:spacing w:after="0"/>
              <w:jc w:val="center"/>
              <w:rPr>
                <w:rFonts w:ascii="Arial" w:hAnsi="Arial"/>
                <w:sz w:val="18"/>
              </w:rPr>
            </w:pPr>
          </w:p>
        </w:tc>
        <w:tc>
          <w:tcPr>
            <w:tcW w:w="573" w:type="dxa"/>
            <w:gridSpan w:val="2"/>
            <w:tcBorders>
              <w:top w:val="single" w:sz="6" w:space="0" w:color="auto"/>
            </w:tcBorders>
          </w:tcPr>
          <w:p w14:paraId="306FDA0D" w14:textId="77777777" w:rsidR="00711444" w:rsidRPr="004D0DAA" w:rsidRDefault="00711444" w:rsidP="00AA2A4C">
            <w:pPr>
              <w:keepNext/>
              <w:keepLines/>
              <w:spacing w:after="0"/>
              <w:jc w:val="center"/>
              <w:rPr>
                <w:rFonts w:ascii="Arial" w:hAnsi="Arial"/>
                <w:sz w:val="18"/>
              </w:rPr>
            </w:pPr>
          </w:p>
        </w:tc>
        <w:tc>
          <w:tcPr>
            <w:tcW w:w="573" w:type="dxa"/>
            <w:gridSpan w:val="2"/>
            <w:tcBorders>
              <w:top w:val="single" w:sz="6" w:space="0" w:color="auto"/>
            </w:tcBorders>
          </w:tcPr>
          <w:p w14:paraId="4E0CE2C3" w14:textId="77777777" w:rsidR="00711444" w:rsidRPr="004D0DAA" w:rsidRDefault="00711444" w:rsidP="00AA2A4C">
            <w:pPr>
              <w:keepNext/>
              <w:keepLines/>
              <w:spacing w:after="0"/>
              <w:jc w:val="center"/>
              <w:rPr>
                <w:rFonts w:ascii="Arial" w:hAnsi="Arial"/>
                <w:sz w:val="18"/>
              </w:rPr>
            </w:pPr>
          </w:p>
        </w:tc>
        <w:tc>
          <w:tcPr>
            <w:tcW w:w="578" w:type="dxa"/>
            <w:gridSpan w:val="2"/>
            <w:tcBorders>
              <w:top w:val="single" w:sz="6" w:space="0" w:color="auto"/>
            </w:tcBorders>
          </w:tcPr>
          <w:p w14:paraId="5F643BF6" w14:textId="77777777" w:rsidR="00711444" w:rsidRPr="004D0DAA" w:rsidRDefault="00711444" w:rsidP="00AA2A4C">
            <w:pPr>
              <w:keepNext/>
              <w:keepLines/>
              <w:spacing w:after="0"/>
              <w:jc w:val="center"/>
              <w:rPr>
                <w:rFonts w:ascii="Arial" w:hAnsi="Arial"/>
                <w:sz w:val="18"/>
              </w:rPr>
            </w:pPr>
          </w:p>
        </w:tc>
        <w:tc>
          <w:tcPr>
            <w:tcW w:w="577" w:type="dxa"/>
            <w:tcBorders>
              <w:top w:val="single" w:sz="6" w:space="0" w:color="auto"/>
            </w:tcBorders>
          </w:tcPr>
          <w:p w14:paraId="235D4681" w14:textId="77777777" w:rsidR="00711444" w:rsidRPr="004D0DAA" w:rsidRDefault="00711444" w:rsidP="00AA2A4C">
            <w:pPr>
              <w:keepNext/>
              <w:keepLines/>
              <w:spacing w:after="0"/>
              <w:jc w:val="center"/>
              <w:rPr>
                <w:rFonts w:ascii="Arial" w:hAnsi="Arial"/>
                <w:sz w:val="18"/>
              </w:rPr>
            </w:pPr>
          </w:p>
        </w:tc>
        <w:tc>
          <w:tcPr>
            <w:tcW w:w="554" w:type="dxa"/>
            <w:tcBorders>
              <w:top w:val="single" w:sz="6" w:space="0" w:color="auto"/>
            </w:tcBorders>
          </w:tcPr>
          <w:p w14:paraId="4C667930" w14:textId="77777777" w:rsidR="00711444" w:rsidRPr="004D0DAA" w:rsidRDefault="00711444" w:rsidP="00AA2A4C">
            <w:pPr>
              <w:keepNext/>
              <w:keepLines/>
              <w:spacing w:after="0"/>
              <w:jc w:val="center"/>
              <w:rPr>
                <w:rFonts w:ascii="Arial" w:hAnsi="Arial"/>
                <w:sz w:val="18"/>
              </w:rPr>
            </w:pPr>
          </w:p>
        </w:tc>
        <w:tc>
          <w:tcPr>
            <w:tcW w:w="583" w:type="dxa"/>
            <w:tcBorders>
              <w:top w:val="single" w:sz="6" w:space="0" w:color="auto"/>
              <w:right w:val="single" w:sz="6" w:space="0" w:color="auto"/>
            </w:tcBorders>
          </w:tcPr>
          <w:p w14:paraId="1243F45E" w14:textId="77777777" w:rsidR="00711444" w:rsidRPr="004D0DAA" w:rsidRDefault="00711444" w:rsidP="00AA2A4C">
            <w:pPr>
              <w:keepNext/>
              <w:keepLines/>
              <w:spacing w:after="0"/>
              <w:jc w:val="center"/>
              <w:rPr>
                <w:rFonts w:ascii="Arial" w:hAnsi="Arial"/>
                <w:sz w:val="18"/>
              </w:rPr>
            </w:pPr>
          </w:p>
        </w:tc>
        <w:tc>
          <w:tcPr>
            <w:tcW w:w="569" w:type="dxa"/>
            <w:tcBorders>
              <w:top w:val="single" w:sz="6" w:space="0" w:color="auto"/>
              <w:left w:val="single" w:sz="6" w:space="0" w:color="auto"/>
              <w:bottom w:val="single" w:sz="6" w:space="0" w:color="auto"/>
              <w:right w:val="single" w:sz="6" w:space="0" w:color="auto"/>
            </w:tcBorders>
          </w:tcPr>
          <w:p w14:paraId="54026A0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34" w:type="dxa"/>
            <w:tcBorders>
              <w:left w:val="single" w:sz="6" w:space="0" w:color="auto"/>
            </w:tcBorders>
          </w:tcPr>
          <w:p w14:paraId="7BAA6B0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r>
    </w:tbl>
    <w:p w14:paraId="1C6F5612" w14:textId="77777777" w:rsidR="00711444" w:rsidRPr="004D0DAA" w:rsidRDefault="00711444" w:rsidP="00711444">
      <w:pPr>
        <w:pStyle w:val="TAN"/>
      </w:pPr>
    </w:p>
    <w:p w14:paraId="7645AC7B" w14:textId="77777777" w:rsidR="00711444" w:rsidRPr="004D0DAA" w:rsidRDefault="00711444" w:rsidP="00711444">
      <w:pPr>
        <w:pStyle w:val="TF"/>
      </w:pPr>
      <w:r w:rsidRPr="004D0DAA">
        <w:t>Figure 10.3a.3.4.2: DLMC Combined downlink RLC data block header</w:t>
      </w:r>
      <w:r w:rsidRPr="004D0DAA">
        <w:br/>
        <w:t>for DAS-8 and DAS-9.</w:t>
      </w:r>
    </w:p>
    <w:p w14:paraId="69F6D082" w14:textId="77777777" w:rsidR="00711444" w:rsidRPr="004D0DAA" w:rsidRDefault="00711444" w:rsidP="00711444">
      <w:pPr>
        <w:pStyle w:val="Heading4"/>
      </w:pPr>
      <w:bookmarkStart w:id="526" w:name="_Toc516669707"/>
      <w:r w:rsidRPr="004D0DAA">
        <w:t>10.3a.3.5</w:t>
      </w:r>
      <w:r w:rsidRPr="004D0DAA">
        <w:tab/>
        <w:t>Header type 5: header for DAS-11 and DAS-12</w:t>
      </w:r>
      <w:bookmarkEnd w:id="526"/>
    </w:p>
    <w:p w14:paraId="3CAA05BC" w14:textId="77777777" w:rsidR="00711444" w:rsidRPr="004D0DAA" w:rsidRDefault="00711444" w:rsidP="00711444">
      <w:r w:rsidRPr="004D0DAA">
        <w:t>The combined downlink RLC/MAC header for DAS-11 and DAS-12 (header type 5) shall be formatted according to figure 10.3a.3.5.1.</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49"/>
        <w:gridCol w:w="18"/>
        <w:gridCol w:w="555"/>
        <w:gridCol w:w="12"/>
        <w:gridCol w:w="567"/>
        <w:gridCol w:w="559"/>
        <w:gridCol w:w="8"/>
        <w:gridCol w:w="567"/>
        <w:gridCol w:w="569"/>
        <w:gridCol w:w="570"/>
        <w:gridCol w:w="1134"/>
      </w:tblGrid>
      <w:tr w:rsidR="00711444" w:rsidRPr="004D0DAA" w14:paraId="776F9556" w14:textId="77777777" w:rsidTr="00AA2A4C">
        <w:tblPrEx>
          <w:tblCellMar>
            <w:top w:w="0" w:type="dxa"/>
            <w:bottom w:w="0" w:type="dxa"/>
          </w:tblCellMar>
        </w:tblPrEx>
        <w:trPr>
          <w:cantSplit/>
          <w:jc w:val="center"/>
        </w:trPr>
        <w:tc>
          <w:tcPr>
            <w:tcW w:w="4569" w:type="dxa"/>
            <w:gridSpan w:val="12"/>
          </w:tcPr>
          <w:p w14:paraId="61AAD67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71F24C8C" w14:textId="77777777" w:rsidR="00711444" w:rsidRPr="004D0DAA" w:rsidRDefault="00711444" w:rsidP="00AA2A4C">
            <w:pPr>
              <w:keepNext/>
              <w:keepLines/>
              <w:spacing w:after="0"/>
              <w:jc w:val="center"/>
              <w:rPr>
                <w:rFonts w:ascii="Arial" w:hAnsi="Arial"/>
                <w:sz w:val="18"/>
              </w:rPr>
            </w:pPr>
          </w:p>
        </w:tc>
      </w:tr>
      <w:tr w:rsidR="00711444" w:rsidRPr="004D0DAA" w14:paraId="7A0C570D" w14:textId="77777777" w:rsidTr="00AA2A4C">
        <w:tblPrEx>
          <w:tblCellMar>
            <w:top w:w="0" w:type="dxa"/>
            <w:bottom w:w="0" w:type="dxa"/>
          </w:tblCellMar>
        </w:tblPrEx>
        <w:trPr>
          <w:cantSplit/>
          <w:jc w:val="center"/>
        </w:trPr>
        <w:tc>
          <w:tcPr>
            <w:tcW w:w="595" w:type="dxa"/>
            <w:gridSpan w:val="2"/>
          </w:tcPr>
          <w:p w14:paraId="0EC0F57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1B95750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4FB75A1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4809232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gridSpan w:val="2"/>
          </w:tcPr>
          <w:p w14:paraId="2196DC2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33895CA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9" w:type="dxa"/>
          </w:tcPr>
          <w:p w14:paraId="37B33B6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70" w:type="dxa"/>
          </w:tcPr>
          <w:p w14:paraId="71FA604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2D4CE57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0BD0A652"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467496D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01CB9F8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01" w:type="dxa"/>
            <w:gridSpan w:val="5"/>
            <w:tcBorders>
              <w:top w:val="single" w:sz="6" w:space="0" w:color="auto"/>
              <w:left w:val="single" w:sz="6" w:space="0" w:color="auto"/>
              <w:bottom w:val="single" w:sz="6" w:space="0" w:color="auto"/>
            </w:tcBorders>
          </w:tcPr>
          <w:p w14:paraId="7BB3EDA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6" w:type="dxa"/>
            <w:gridSpan w:val="3"/>
            <w:tcBorders>
              <w:top w:val="single" w:sz="6" w:space="0" w:color="auto"/>
              <w:left w:val="single" w:sz="6" w:space="0" w:color="auto"/>
              <w:right w:val="single" w:sz="6" w:space="0" w:color="auto"/>
            </w:tcBorders>
          </w:tcPr>
          <w:p w14:paraId="40B2452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12135C8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F59E04B" w14:textId="77777777" w:rsidTr="00AA2A4C">
        <w:tblPrEx>
          <w:tblCellMar>
            <w:top w:w="0" w:type="dxa"/>
            <w:bottom w:w="0" w:type="dxa"/>
          </w:tblCellMar>
        </w:tblPrEx>
        <w:trPr>
          <w:cantSplit/>
          <w:jc w:val="center"/>
        </w:trPr>
        <w:tc>
          <w:tcPr>
            <w:tcW w:w="1162" w:type="dxa"/>
            <w:gridSpan w:val="4"/>
            <w:tcBorders>
              <w:left w:val="single" w:sz="6" w:space="0" w:color="auto"/>
            </w:tcBorders>
          </w:tcPr>
          <w:p w14:paraId="5E89490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3"/>
            <w:tcBorders>
              <w:top w:val="single" w:sz="6" w:space="0" w:color="auto"/>
              <w:left w:val="single" w:sz="6" w:space="0" w:color="auto"/>
              <w:bottom w:val="single" w:sz="6" w:space="0" w:color="auto"/>
              <w:right w:val="single" w:sz="6" w:space="0" w:color="auto"/>
            </w:tcBorders>
          </w:tcPr>
          <w:p w14:paraId="53C3054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73" w:type="dxa"/>
            <w:gridSpan w:val="5"/>
            <w:tcBorders>
              <w:top w:val="single" w:sz="6" w:space="0" w:color="auto"/>
              <w:left w:val="single" w:sz="6" w:space="0" w:color="auto"/>
              <w:bottom w:val="single" w:sz="6" w:space="0" w:color="auto"/>
              <w:right w:val="single" w:sz="6" w:space="0" w:color="auto"/>
            </w:tcBorders>
          </w:tcPr>
          <w:p w14:paraId="7BAD708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47C36DD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3A2FB2B2" w14:textId="77777777" w:rsidTr="00AA2A4C">
        <w:tblPrEx>
          <w:tblCellMar>
            <w:top w:w="0" w:type="dxa"/>
            <w:bottom w:w="0" w:type="dxa"/>
          </w:tblCellMar>
        </w:tblPrEx>
        <w:trPr>
          <w:cantSplit/>
          <w:jc w:val="center"/>
        </w:trPr>
        <w:tc>
          <w:tcPr>
            <w:tcW w:w="4569" w:type="dxa"/>
            <w:gridSpan w:val="12"/>
            <w:tcBorders>
              <w:top w:val="single" w:sz="6" w:space="0" w:color="auto"/>
              <w:left w:val="single" w:sz="6" w:space="0" w:color="auto"/>
              <w:right w:val="single" w:sz="6" w:space="0" w:color="auto"/>
            </w:tcBorders>
          </w:tcPr>
          <w:p w14:paraId="25FE7B8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2ED4F10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66A4D281" w14:textId="77777777" w:rsidTr="00AA2A4C">
        <w:tblPrEx>
          <w:tblCellMar>
            <w:top w:w="0" w:type="dxa"/>
            <w:bottom w:w="0" w:type="dxa"/>
          </w:tblCellMar>
        </w:tblPrEx>
        <w:trPr>
          <w:cantSplit/>
          <w:jc w:val="center"/>
        </w:trPr>
        <w:tc>
          <w:tcPr>
            <w:tcW w:w="3999" w:type="dxa"/>
            <w:gridSpan w:val="11"/>
            <w:tcBorders>
              <w:top w:val="single" w:sz="6" w:space="0" w:color="auto"/>
              <w:left w:val="single" w:sz="6" w:space="0" w:color="auto"/>
              <w:right w:val="single" w:sz="6" w:space="0" w:color="auto"/>
            </w:tcBorders>
          </w:tcPr>
          <w:p w14:paraId="52E73AF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70" w:type="dxa"/>
            <w:tcBorders>
              <w:top w:val="single" w:sz="6" w:space="0" w:color="auto"/>
              <w:left w:val="single" w:sz="6" w:space="0" w:color="auto"/>
              <w:right w:val="single" w:sz="6" w:space="0" w:color="auto"/>
            </w:tcBorders>
          </w:tcPr>
          <w:p w14:paraId="0BCF046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FE9C7D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74F18838" w14:textId="77777777" w:rsidTr="00AA2A4C">
        <w:tblPrEx>
          <w:tblCellMar>
            <w:top w:w="0" w:type="dxa"/>
            <w:bottom w:w="0" w:type="dxa"/>
          </w:tblCellMar>
        </w:tblPrEx>
        <w:trPr>
          <w:cantSplit/>
          <w:jc w:val="center"/>
        </w:trPr>
        <w:tc>
          <w:tcPr>
            <w:tcW w:w="2863" w:type="dxa"/>
            <w:gridSpan w:val="9"/>
            <w:tcBorders>
              <w:top w:val="single" w:sz="6" w:space="0" w:color="auto"/>
              <w:left w:val="single" w:sz="6" w:space="0" w:color="auto"/>
              <w:bottom w:val="single" w:sz="6" w:space="0" w:color="auto"/>
              <w:right w:val="single" w:sz="6" w:space="0" w:color="auto"/>
            </w:tcBorders>
          </w:tcPr>
          <w:p w14:paraId="5C2C96A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BSN3</w:t>
            </w:r>
          </w:p>
        </w:tc>
        <w:tc>
          <w:tcPr>
            <w:tcW w:w="1706" w:type="dxa"/>
            <w:gridSpan w:val="3"/>
            <w:tcBorders>
              <w:top w:val="single" w:sz="6" w:space="0" w:color="auto"/>
              <w:left w:val="single" w:sz="6" w:space="0" w:color="auto"/>
              <w:bottom w:val="single" w:sz="6" w:space="0" w:color="auto"/>
              <w:right w:val="single" w:sz="6" w:space="0" w:color="auto"/>
            </w:tcBorders>
          </w:tcPr>
          <w:p w14:paraId="359D2F5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6A2DAA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r w:rsidR="00711444" w:rsidRPr="004D0DAA" w14:paraId="079D1B2E" w14:textId="77777777" w:rsidTr="00AA2A4C">
        <w:tblPrEx>
          <w:tblCellMar>
            <w:top w:w="0" w:type="dxa"/>
            <w:bottom w:w="0" w:type="dxa"/>
          </w:tblCellMar>
        </w:tblPrEx>
        <w:trPr>
          <w:cantSplit/>
          <w:jc w:val="center"/>
        </w:trPr>
        <w:tc>
          <w:tcPr>
            <w:tcW w:w="1717" w:type="dxa"/>
            <w:gridSpan w:val="5"/>
            <w:tcBorders>
              <w:top w:val="single" w:sz="6" w:space="0" w:color="auto"/>
              <w:left w:val="single" w:sz="6" w:space="0" w:color="auto"/>
              <w:bottom w:val="single" w:sz="6" w:space="0" w:color="auto"/>
              <w:right w:val="single" w:sz="6" w:space="0" w:color="auto"/>
            </w:tcBorders>
          </w:tcPr>
          <w:p w14:paraId="7103C93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2852" w:type="dxa"/>
            <w:gridSpan w:val="7"/>
            <w:tcBorders>
              <w:top w:val="single" w:sz="6" w:space="0" w:color="auto"/>
              <w:left w:val="single" w:sz="6" w:space="0" w:color="auto"/>
              <w:bottom w:val="single" w:sz="6" w:space="0" w:color="auto"/>
              <w:right w:val="single" w:sz="6" w:space="0" w:color="auto"/>
            </w:tcBorders>
          </w:tcPr>
          <w:p w14:paraId="394C6E4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BSN3</w:t>
            </w:r>
          </w:p>
        </w:tc>
        <w:tc>
          <w:tcPr>
            <w:tcW w:w="1134" w:type="dxa"/>
            <w:tcBorders>
              <w:left w:val="single" w:sz="6" w:space="0" w:color="auto"/>
            </w:tcBorders>
          </w:tcPr>
          <w:p w14:paraId="44302F8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r>
      <w:tr w:rsidR="00711444" w:rsidRPr="004D0DAA" w14:paraId="5C2CCA76" w14:textId="77777777" w:rsidTr="00AA2A4C">
        <w:tblPrEx>
          <w:tblCellMar>
            <w:top w:w="0" w:type="dxa"/>
            <w:bottom w:w="0" w:type="dxa"/>
          </w:tblCellMar>
        </w:tblPrEx>
        <w:trPr>
          <w:cantSplit/>
          <w:jc w:val="center"/>
        </w:trPr>
        <w:tc>
          <w:tcPr>
            <w:tcW w:w="572" w:type="dxa"/>
            <w:tcBorders>
              <w:top w:val="single" w:sz="6" w:space="0" w:color="auto"/>
            </w:tcBorders>
          </w:tcPr>
          <w:p w14:paraId="312856DB" w14:textId="77777777" w:rsidR="00711444" w:rsidRPr="004D0DAA" w:rsidRDefault="00711444" w:rsidP="00AA2A4C">
            <w:pPr>
              <w:keepNext/>
              <w:keepLines/>
              <w:spacing w:after="0"/>
              <w:jc w:val="center"/>
              <w:rPr>
                <w:rFonts w:ascii="Arial" w:hAnsi="Arial"/>
                <w:sz w:val="18"/>
              </w:rPr>
            </w:pPr>
          </w:p>
        </w:tc>
        <w:tc>
          <w:tcPr>
            <w:tcW w:w="572" w:type="dxa"/>
            <w:gridSpan w:val="2"/>
            <w:tcBorders>
              <w:top w:val="single" w:sz="6" w:space="0" w:color="auto"/>
            </w:tcBorders>
          </w:tcPr>
          <w:p w14:paraId="7398CA4D" w14:textId="77777777" w:rsidR="00711444" w:rsidRPr="004D0DAA" w:rsidRDefault="00711444" w:rsidP="00AA2A4C">
            <w:pPr>
              <w:keepNext/>
              <w:keepLines/>
              <w:spacing w:after="0"/>
              <w:jc w:val="center"/>
              <w:rPr>
                <w:rFonts w:ascii="Arial" w:hAnsi="Arial"/>
                <w:sz w:val="18"/>
              </w:rPr>
            </w:pPr>
          </w:p>
        </w:tc>
        <w:tc>
          <w:tcPr>
            <w:tcW w:w="573" w:type="dxa"/>
            <w:gridSpan w:val="2"/>
            <w:tcBorders>
              <w:top w:val="single" w:sz="6" w:space="0" w:color="auto"/>
              <w:right w:val="single" w:sz="6" w:space="0" w:color="auto"/>
            </w:tcBorders>
          </w:tcPr>
          <w:p w14:paraId="4795D566" w14:textId="77777777" w:rsidR="00711444" w:rsidRPr="004D0DAA" w:rsidRDefault="00711444" w:rsidP="00AA2A4C">
            <w:pPr>
              <w:keepNext/>
              <w:keepLines/>
              <w:spacing w:after="0"/>
              <w:jc w:val="center"/>
              <w:rPr>
                <w:rFonts w:ascii="Arial" w:hAnsi="Arial"/>
                <w:sz w:val="18"/>
              </w:rPr>
            </w:pPr>
          </w:p>
        </w:tc>
        <w:tc>
          <w:tcPr>
            <w:tcW w:w="1138" w:type="dxa"/>
            <w:gridSpan w:val="3"/>
            <w:tcBorders>
              <w:top w:val="single" w:sz="6" w:space="0" w:color="auto"/>
              <w:left w:val="single" w:sz="6" w:space="0" w:color="auto"/>
              <w:bottom w:val="single" w:sz="6" w:space="0" w:color="auto"/>
              <w:right w:val="single" w:sz="6" w:space="0" w:color="auto"/>
            </w:tcBorders>
          </w:tcPr>
          <w:p w14:paraId="5A28736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714" w:type="dxa"/>
            <w:gridSpan w:val="4"/>
            <w:tcBorders>
              <w:top w:val="single" w:sz="6" w:space="0" w:color="auto"/>
              <w:bottom w:val="single" w:sz="6" w:space="0" w:color="auto"/>
              <w:right w:val="single" w:sz="6" w:space="0" w:color="auto"/>
            </w:tcBorders>
          </w:tcPr>
          <w:p w14:paraId="5CE0565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134" w:type="dxa"/>
            <w:tcBorders>
              <w:left w:val="single" w:sz="6" w:space="0" w:color="auto"/>
            </w:tcBorders>
          </w:tcPr>
          <w:p w14:paraId="255C2CB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r>
    </w:tbl>
    <w:p w14:paraId="3D600A7A" w14:textId="77777777" w:rsidR="00711444" w:rsidRPr="004D0DAA" w:rsidRDefault="00711444" w:rsidP="00711444">
      <w:pPr>
        <w:pStyle w:val="TAN"/>
      </w:pPr>
    </w:p>
    <w:p w14:paraId="287EBC98" w14:textId="77777777" w:rsidR="00711444" w:rsidRPr="004D0DAA" w:rsidRDefault="00711444" w:rsidP="00711444">
      <w:pPr>
        <w:pStyle w:val="TF"/>
      </w:pPr>
      <w:r w:rsidRPr="004D0DAA">
        <w:t>Figure 10.3a.3.5.1: Combined downlink RLC data block header</w:t>
      </w:r>
      <w:r w:rsidRPr="004D0DAA">
        <w:br/>
        <w:t>for DAS-11 and DAS-12.</w:t>
      </w:r>
    </w:p>
    <w:p w14:paraId="2115D7A1" w14:textId="77777777" w:rsidR="00711444" w:rsidRPr="004D0DAA" w:rsidRDefault="00711444" w:rsidP="00711444">
      <w:r w:rsidRPr="004D0DAA">
        <w:t xml:space="preserve">For an EGPRS2 TBF </w:t>
      </w:r>
      <w:r w:rsidRPr="004D0DAA">
        <w:rPr>
          <w:lang w:eastAsia="ko-KR"/>
        </w:rPr>
        <w:t>in a DLMC configuration using an SNS of 8192 t</w:t>
      </w:r>
      <w:r w:rsidRPr="004D0DAA">
        <w:t>he combined downlink RLC/MAC header for DAS-11 and DAS-12 (header type 5) shall be formatted according to figure 10.3a.3.5.2.</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49"/>
        <w:gridCol w:w="18"/>
        <w:gridCol w:w="560"/>
        <w:gridCol w:w="7"/>
        <w:gridCol w:w="567"/>
        <w:gridCol w:w="569"/>
        <w:gridCol w:w="567"/>
        <w:gridCol w:w="569"/>
        <w:gridCol w:w="578"/>
        <w:gridCol w:w="1134"/>
      </w:tblGrid>
      <w:tr w:rsidR="00711444" w:rsidRPr="004D0DAA" w14:paraId="04E9FAE8" w14:textId="77777777" w:rsidTr="00AA2A4C">
        <w:tblPrEx>
          <w:tblCellMar>
            <w:top w:w="0" w:type="dxa"/>
            <w:bottom w:w="0" w:type="dxa"/>
          </w:tblCellMar>
        </w:tblPrEx>
        <w:trPr>
          <w:cantSplit/>
          <w:jc w:val="center"/>
        </w:trPr>
        <w:tc>
          <w:tcPr>
            <w:tcW w:w="4579" w:type="dxa"/>
            <w:gridSpan w:val="11"/>
          </w:tcPr>
          <w:p w14:paraId="5DFE0F1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769673EB" w14:textId="77777777" w:rsidR="00711444" w:rsidRPr="004D0DAA" w:rsidRDefault="00711444" w:rsidP="00AA2A4C">
            <w:pPr>
              <w:keepNext/>
              <w:keepLines/>
              <w:spacing w:after="0"/>
              <w:jc w:val="center"/>
              <w:rPr>
                <w:rFonts w:ascii="Arial" w:hAnsi="Arial"/>
                <w:sz w:val="18"/>
              </w:rPr>
            </w:pPr>
          </w:p>
        </w:tc>
      </w:tr>
      <w:tr w:rsidR="00711444" w:rsidRPr="004D0DAA" w14:paraId="070EA527" w14:textId="77777777" w:rsidTr="00AA2A4C">
        <w:tblPrEx>
          <w:tblCellMar>
            <w:top w:w="0" w:type="dxa"/>
            <w:bottom w:w="0" w:type="dxa"/>
          </w:tblCellMar>
        </w:tblPrEx>
        <w:trPr>
          <w:cantSplit/>
          <w:jc w:val="center"/>
        </w:trPr>
        <w:tc>
          <w:tcPr>
            <w:tcW w:w="595" w:type="dxa"/>
            <w:gridSpan w:val="2"/>
          </w:tcPr>
          <w:p w14:paraId="1F4B459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25B8706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2FBC865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6E79B10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9" w:type="dxa"/>
          </w:tcPr>
          <w:p w14:paraId="4D89776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2DB712E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9" w:type="dxa"/>
          </w:tcPr>
          <w:p w14:paraId="635DB36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78" w:type="dxa"/>
          </w:tcPr>
          <w:p w14:paraId="1CB8AE8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740BE2F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2B4A4320"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57E27C0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26BD98A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60" w:type="dxa"/>
            <w:tcBorders>
              <w:top w:val="single" w:sz="6" w:space="0" w:color="auto"/>
              <w:left w:val="single" w:sz="6" w:space="0" w:color="auto"/>
              <w:bottom w:val="single" w:sz="6" w:space="0" w:color="auto"/>
            </w:tcBorders>
          </w:tcPr>
          <w:p w14:paraId="5295EC4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43" w:type="dxa"/>
            <w:gridSpan w:val="3"/>
            <w:tcBorders>
              <w:top w:val="single" w:sz="6" w:space="0" w:color="auto"/>
              <w:left w:val="single" w:sz="6" w:space="0" w:color="auto"/>
              <w:bottom w:val="single" w:sz="6" w:space="0" w:color="auto"/>
            </w:tcBorders>
          </w:tcPr>
          <w:p w14:paraId="5C97113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14" w:type="dxa"/>
            <w:gridSpan w:val="3"/>
            <w:tcBorders>
              <w:top w:val="single" w:sz="6" w:space="0" w:color="auto"/>
              <w:left w:val="single" w:sz="6" w:space="0" w:color="auto"/>
              <w:right w:val="single" w:sz="6" w:space="0" w:color="auto"/>
            </w:tcBorders>
          </w:tcPr>
          <w:p w14:paraId="2A7BB97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67866E8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0364177" w14:textId="77777777" w:rsidTr="00AA2A4C">
        <w:tblPrEx>
          <w:tblCellMar>
            <w:top w:w="0" w:type="dxa"/>
            <w:bottom w:w="0" w:type="dxa"/>
          </w:tblCellMar>
        </w:tblPrEx>
        <w:trPr>
          <w:cantSplit/>
          <w:jc w:val="center"/>
        </w:trPr>
        <w:tc>
          <w:tcPr>
            <w:tcW w:w="2296" w:type="dxa"/>
            <w:gridSpan w:val="7"/>
            <w:tcBorders>
              <w:left w:val="single" w:sz="6" w:space="0" w:color="auto"/>
              <w:right w:val="single" w:sz="6" w:space="0" w:color="auto"/>
            </w:tcBorders>
          </w:tcPr>
          <w:p w14:paraId="5AFDEA8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83" w:type="dxa"/>
            <w:gridSpan w:val="4"/>
            <w:tcBorders>
              <w:top w:val="single" w:sz="6" w:space="0" w:color="auto"/>
              <w:left w:val="single" w:sz="6" w:space="0" w:color="auto"/>
              <w:bottom w:val="single" w:sz="6" w:space="0" w:color="auto"/>
              <w:right w:val="single" w:sz="6" w:space="0" w:color="auto"/>
            </w:tcBorders>
          </w:tcPr>
          <w:p w14:paraId="5A1C31C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06AFC57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0134FAF5" w14:textId="77777777" w:rsidTr="00AA2A4C">
        <w:tblPrEx>
          <w:tblCellMar>
            <w:top w:w="0" w:type="dxa"/>
            <w:bottom w:w="0" w:type="dxa"/>
          </w:tblCellMar>
        </w:tblPrEx>
        <w:trPr>
          <w:cantSplit/>
          <w:jc w:val="center"/>
        </w:trPr>
        <w:tc>
          <w:tcPr>
            <w:tcW w:w="4579" w:type="dxa"/>
            <w:gridSpan w:val="11"/>
            <w:tcBorders>
              <w:top w:val="single" w:sz="6" w:space="0" w:color="auto"/>
              <w:left w:val="single" w:sz="6" w:space="0" w:color="auto"/>
              <w:right w:val="single" w:sz="6" w:space="0" w:color="auto"/>
            </w:tcBorders>
          </w:tcPr>
          <w:p w14:paraId="5C7A3BA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84F9C8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25E48064" w14:textId="77777777" w:rsidTr="00AA2A4C">
        <w:tblPrEx>
          <w:tblCellMar>
            <w:top w:w="0" w:type="dxa"/>
            <w:bottom w:w="0" w:type="dxa"/>
          </w:tblCellMar>
        </w:tblPrEx>
        <w:trPr>
          <w:cantSplit/>
          <w:jc w:val="center"/>
        </w:trPr>
        <w:tc>
          <w:tcPr>
            <w:tcW w:w="4001" w:type="dxa"/>
            <w:gridSpan w:val="10"/>
            <w:tcBorders>
              <w:top w:val="single" w:sz="6" w:space="0" w:color="auto"/>
              <w:left w:val="single" w:sz="6" w:space="0" w:color="auto"/>
              <w:right w:val="single" w:sz="6" w:space="0" w:color="auto"/>
            </w:tcBorders>
          </w:tcPr>
          <w:p w14:paraId="688C2B8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78" w:type="dxa"/>
            <w:tcBorders>
              <w:top w:val="single" w:sz="6" w:space="0" w:color="auto"/>
              <w:left w:val="single" w:sz="6" w:space="0" w:color="auto"/>
              <w:right w:val="single" w:sz="6" w:space="0" w:color="auto"/>
            </w:tcBorders>
          </w:tcPr>
          <w:p w14:paraId="646F699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213268A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25E26C90" w14:textId="77777777" w:rsidTr="00AA2A4C">
        <w:tblPrEx>
          <w:tblCellMar>
            <w:top w:w="0" w:type="dxa"/>
            <w:bottom w:w="0" w:type="dxa"/>
          </w:tblCellMar>
        </w:tblPrEx>
        <w:trPr>
          <w:cantSplit/>
          <w:jc w:val="center"/>
        </w:trPr>
        <w:tc>
          <w:tcPr>
            <w:tcW w:w="2865" w:type="dxa"/>
            <w:gridSpan w:val="8"/>
            <w:tcBorders>
              <w:top w:val="single" w:sz="6" w:space="0" w:color="auto"/>
              <w:left w:val="single" w:sz="6" w:space="0" w:color="auto"/>
              <w:bottom w:val="single" w:sz="6" w:space="0" w:color="auto"/>
              <w:right w:val="single" w:sz="6" w:space="0" w:color="auto"/>
            </w:tcBorders>
          </w:tcPr>
          <w:p w14:paraId="4A1E53F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BSN3</w:t>
            </w:r>
          </w:p>
        </w:tc>
        <w:tc>
          <w:tcPr>
            <w:tcW w:w="1714" w:type="dxa"/>
            <w:gridSpan w:val="3"/>
            <w:tcBorders>
              <w:top w:val="single" w:sz="6" w:space="0" w:color="auto"/>
              <w:left w:val="single" w:sz="6" w:space="0" w:color="auto"/>
              <w:bottom w:val="single" w:sz="6" w:space="0" w:color="auto"/>
              <w:right w:val="single" w:sz="6" w:space="0" w:color="auto"/>
            </w:tcBorders>
          </w:tcPr>
          <w:p w14:paraId="0889250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105EF4C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r w:rsidR="00711444" w:rsidRPr="004D0DAA" w14:paraId="42C0CD09" w14:textId="77777777" w:rsidTr="00AA2A4C">
        <w:tblPrEx>
          <w:tblCellMar>
            <w:top w:w="0" w:type="dxa"/>
            <w:bottom w:w="0" w:type="dxa"/>
          </w:tblCellMar>
        </w:tblPrEx>
        <w:trPr>
          <w:cantSplit/>
          <w:jc w:val="center"/>
        </w:trPr>
        <w:tc>
          <w:tcPr>
            <w:tcW w:w="1722" w:type="dxa"/>
            <w:gridSpan w:val="5"/>
            <w:tcBorders>
              <w:top w:val="single" w:sz="6" w:space="0" w:color="auto"/>
              <w:left w:val="single" w:sz="6" w:space="0" w:color="auto"/>
              <w:bottom w:val="single" w:sz="6" w:space="0" w:color="auto"/>
              <w:right w:val="single" w:sz="6" w:space="0" w:color="auto"/>
            </w:tcBorders>
          </w:tcPr>
          <w:p w14:paraId="7A6B8F1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2857" w:type="dxa"/>
            <w:gridSpan w:val="6"/>
            <w:tcBorders>
              <w:top w:val="single" w:sz="6" w:space="0" w:color="auto"/>
              <w:left w:val="single" w:sz="6" w:space="0" w:color="auto"/>
              <w:bottom w:val="single" w:sz="6" w:space="0" w:color="auto"/>
              <w:right w:val="single" w:sz="6" w:space="0" w:color="auto"/>
            </w:tcBorders>
          </w:tcPr>
          <w:p w14:paraId="0B5DBA8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BSN3</w:t>
            </w:r>
          </w:p>
        </w:tc>
        <w:tc>
          <w:tcPr>
            <w:tcW w:w="1134" w:type="dxa"/>
            <w:tcBorders>
              <w:left w:val="single" w:sz="6" w:space="0" w:color="auto"/>
            </w:tcBorders>
          </w:tcPr>
          <w:p w14:paraId="25C99E0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r>
      <w:tr w:rsidR="00711444" w:rsidRPr="004D0DAA" w14:paraId="0D5D46BF" w14:textId="77777777" w:rsidTr="00AA2A4C">
        <w:tblPrEx>
          <w:tblCellMar>
            <w:top w:w="0" w:type="dxa"/>
            <w:bottom w:w="0" w:type="dxa"/>
          </w:tblCellMar>
        </w:tblPrEx>
        <w:trPr>
          <w:cantSplit/>
          <w:jc w:val="center"/>
        </w:trPr>
        <w:tc>
          <w:tcPr>
            <w:tcW w:w="572" w:type="dxa"/>
            <w:tcBorders>
              <w:top w:val="single" w:sz="6" w:space="0" w:color="auto"/>
            </w:tcBorders>
          </w:tcPr>
          <w:p w14:paraId="79869F38" w14:textId="77777777" w:rsidR="00711444" w:rsidRPr="004D0DAA" w:rsidRDefault="00711444" w:rsidP="00AA2A4C">
            <w:pPr>
              <w:keepNext/>
              <w:keepLines/>
              <w:spacing w:after="0"/>
              <w:jc w:val="center"/>
              <w:rPr>
                <w:rFonts w:ascii="Arial" w:hAnsi="Arial"/>
                <w:sz w:val="18"/>
              </w:rPr>
            </w:pPr>
          </w:p>
        </w:tc>
        <w:tc>
          <w:tcPr>
            <w:tcW w:w="572" w:type="dxa"/>
            <w:gridSpan w:val="2"/>
            <w:tcBorders>
              <w:top w:val="single" w:sz="6" w:space="0" w:color="auto"/>
            </w:tcBorders>
          </w:tcPr>
          <w:p w14:paraId="3C971617" w14:textId="77777777" w:rsidR="00711444" w:rsidRPr="004D0DAA" w:rsidRDefault="00711444" w:rsidP="00AA2A4C">
            <w:pPr>
              <w:keepNext/>
              <w:keepLines/>
              <w:spacing w:after="0"/>
              <w:jc w:val="center"/>
              <w:rPr>
                <w:rFonts w:ascii="Arial" w:hAnsi="Arial"/>
                <w:sz w:val="18"/>
              </w:rPr>
            </w:pPr>
          </w:p>
        </w:tc>
        <w:tc>
          <w:tcPr>
            <w:tcW w:w="578" w:type="dxa"/>
            <w:gridSpan w:val="2"/>
            <w:tcBorders>
              <w:top w:val="single" w:sz="6" w:space="0" w:color="auto"/>
              <w:right w:val="single" w:sz="6" w:space="0" w:color="auto"/>
            </w:tcBorders>
          </w:tcPr>
          <w:p w14:paraId="0B3735D1" w14:textId="77777777" w:rsidR="00711444" w:rsidRPr="004D0DAA" w:rsidRDefault="00711444" w:rsidP="00AA2A4C">
            <w:pPr>
              <w:keepNext/>
              <w:keepLines/>
              <w:spacing w:after="0"/>
              <w:jc w:val="center"/>
              <w:rPr>
                <w:rFonts w:ascii="Arial" w:hAnsi="Arial"/>
                <w:sz w:val="18"/>
              </w:rPr>
            </w:pPr>
          </w:p>
        </w:tc>
        <w:tc>
          <w:tcPr>
            <w:tcW w:w="574" w:type="dxa"/>
            <w:gridSpan w:val="2"/>
            <w:tcBorders>
              <w:top w:val="single" w:sz="6" w:space="0" w:color="auto"/>
              <w:left w:val="single" w:sz="6" w:space="0" w:color="auto"/>
              <w:bottom w:val="single" w:sz="6" w:space="0" w:color="auto"/>
              <w:right w:val="single" w:sz="6" w:space="0" w:color="auto"/>
            </w:tcBorders>
          </w:tcPr>
          <w:p w14:paraId="6018550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9" w:type="dxa"/>
            <w:tcBorders>
              <w:top w:val="single" w:sz="6" w:space="0" w:color="auto"/>
              <w:left w:val="single" w:sz="6" w:space="0" w:color="auto"/>
              <w:bottom w:val="single" w:sz="6" w:space="0" w:color="auto"/>
              <w:right w:val="single" w:sz="6" w:space="0" w:color="auto"/>
            </w:tcBorders>
          </w:tcPr>
          <w:p w14:paraId="208235E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BSN3</w:t>
            </w:r>
          </w:p>
        </w:tc>
        <w:tc>
          <w:tcPr>
            <w:tcW w:w="1714" w:type="dxa"/>
            <w:gridSpan w:val="3"/>
            <w:tcBorders>
              <w:top w:val="single" w:sz="6" w:space="0" w:color="auto"/>
              <w:bottom w:val="single" w:sz="6" w:space="0" w:color="auto"/>
              <w:right w:val="single" w:sz="6" w:space="0" w:color="auto"/>
            </w:tcBorders>
          </w:tcPr>
          <w:p w14:paraId="3E59876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134" w:type="dxa"/>
            <w:tcBorders>
              <w:left w:val="single" w:sz="6" w:space="0" w:color="auto"/>
            </w:tcBorders>
          </w:tcPr>
          <w:p w14:paraId="0BAD2B2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r>
    </w:tbl>
    <w:p w14:paraId="4E6FBD1E" w14:textId="77777777" w:rsidR="00711444" w:rsidRPr="004D0DAA" w:rsidRDefault="00711444" w:rsidP="00711444">
      <w:pPr>
        <w:pStyle w:val="TAN"/>
      </w:pPr>
    </w:p>
    <w:p w14:paraId="2FB6F66D" w14:textId="77777777" w:rsidR="00711444" w:rsidRPr="004D0DAA" w:rsidRDefault="00711444" w:rsidP="00711444">
      <w:pPr>
        <w:pStyle w:val="TF"/>
      </w:pPr>
      <w:r w:rsidRPr="004D0DAA">
        <w:t>Figure 10.3a.3.5.2: DLMC Combined downlink RLC data block header</w:t>
      </w:r>
      <w:r w:rsidRPr="004D0DAA">
        <w:br/>
        <w:t>for DAS-11 and DAS-12.</w:t>
      </w:r>
    </w:p>
    <w:p w14:paraId="191874DD" w14:textId="77777777" w:rsidR="00711444" w:rsidRPr="004D0DAA" w:rsidRDefault="00711444" w:rsidP="00711444">
      <w:pPr>
        <w:pStyle w:val="Heading4"/>
      </w:pPr>
      <w:bookmarkStart w:id="527" w:name="_Toc516669708"/>
      <w:r w:rsidRPr="004D0DAA">
        <w:lastRenderedPageBreak/>
        <w:t>10.3a.3.6</w:t>
      </w:r>
      <w:r w:rsidRPr="004D0DAA">
        <w:tab/>
        <w:t>Header type 6: header for DBS-5 and DBS-6</w:t>
      </w:r>
      <w:bookmarkEnd w:id="527"/>
    </w:p>
    <w:p w14:paraId="5A47FDC7" w14:textId="77777777" w:rsidR="00711444" w:rsidRPr="004D0DAA" w:rsidRDefault="00711444" w:rsidP="00711444">
      <w:r w:rsidRPr="004D0DAA">
        <w:t>The combined downlink RLC/MAC header for DBS-5 and DBS-6 (header type 6) shall be formatted according to figure 10.3a.3.6.1.</w:t>
      </w:r>
    </w:p>
    <w:tbl>
      <w:tblPr>
        <w:tblW w:w="0" w:type="auto"/>
        <w:jc w:val="center"/>
        <w:tblLayout w:type="fixed"/>
        <w:tblCellMar>
          <w:left w:w="28" w:type="dxa"/>
          <w:right w:w="28" w:type="dxa"/>
        </w:tblCellMar>
        <w:tblLook w:val="0000" w:firstRow="0" w:lastRow="0" w:firstColumn="0" w:lastColumn="0" w:noHBand="0" w:noVBand="0"/>
      </w:tblPr>
      <w:tblGrid>
        <w:gridCol w:w="18"/>
        <w:gridCol w:w="665"/>
        <w:gridCol w:w="425"/>
        <w:gridCol w:w="142"/>
        <w:gridCol w:w="567"/>
        <w:gridCol w:w="567"/>
        <w:gridCol w:w="567"/>
        <w:gridCol w:w="622"/>
        <w:gridCol w:w="512"/>
        <w:gridCol w:w="623"/>
        <w:gridCol w:w="24"/>
        <w:gridCol w:w="1120"/>
        <w:gridCol w:w="30"/>
      </w:tblGrid>
      <w:tr w:rsidR="00711444" w:rsidRPr="004D0DAA" w14:paraId="6633E61A" w14:textId="77777777" w:rsidTr="00AA2A4C">
        <w:tblPrEx>
          <w:tblCellMar>
            <w:top w:w="0" w:type="dxa"/>
            <w:bottom w:w="0" w:type="dxa"/>
          </w:tblCellMar>
        </w:tblPrEx>
        <w:trPr>
          <w:gridBefore w:val="1"/>
          <w:wBefore w:w="18" w:type="dxa"/>
          <w:cantSplit/>
          <w:jc w:val="center"/>
        </w:trPr>
        <w:tc>
          <w:tcPr>
            <w:tcW w:w="4714" w:type="dxa"/>
            <w:gridSpan w:val="10"/>
          </w:tcPr>
          <w:p w14:paraId="16DF9DAD" w14:textId="77777777" w:rsidR="00711444" w:rsidRPr="004D0DAA" w:rsidRDefault="00711444" w:rsidP="00AA2A4C">
            <w:pPr>
              <w:pStyle w:val="TAC"/>
              <w:rPr>
                <w:lang w:eastAsia="en-US"/>
              </w:rPr>
            </w:pPr>
            <w:r w:rsidRPr="004D0DAA">
              <w:rPr>
                <w:lang w:eastAsia="en-US"/>
              </w:rPr>
              <w:t>Bit</w:t>
            </w:r>
          </w:p>
        </w:tc>
        <w:tc>
          <w:tcPr>
            <w:tcW w:w="1150" w:type="dxa"/>
            <w:gridSpan w:val="2"/>
          </w:tcPr>
          <w:p w14:paraId="1BB0BC48" w14:textId="77777777" w:rsidR="00711444" w:rsidRPr="004D0DAA" w:rsidRDefault="00711444" w:rsidP="00AA2A4C">
            <w:pPr>
              <w:pStyle w:val="TAC"/>
              <w:rPr>
                <w:lang w:eastAsia="en-US"/>
              </w:rPr>
            </w:pPr>
          </w:p>
        </w:tc>
      </w:tr>
      <w:tr w:rsidR="00711444" w:rsidRPr="004D0DAA" w14:paraId="786146DA" w14:textId="77777777" w:rsidTr="00AA2A4C">
        <w:tblPrEx>
          <w:tblCellMar>
            <w:top w:w="0" w:type="dxa"/>
            <w:bottom w:w="0" w:type="dxa"/>
          </w:tblCellMar>
        </w:tblPrEx>
        <w:trPr>
          <w:gridBefore w:val="1"/>
          <w:wBefore w:w="18" w:type="dxa"/>
          <w:cantSplit/>
          <w:jc w:val="center"/>
        </w:trPr>
        <w:tc>
          <w:tcPr>
            <w:tcW w:w="665" w:type="dxa"/>
          </w:tcPr>
          <w:p w14:paraId="700F6C61" w14:textId="77777777" w:rsidR="00711444" w:rsidRPr="004D0DAA" w:rsidRDefault="00711444" w:rsidP="00AA2A4C">
            <w:pPr>
              <w:pStyle w:val="TAC"/>
              <w:rPr>
                <w:lang w:eastAsia="en-US"/>
              </w:rPr>
            </w:pPr>
            <w:r w:rsidRPr="004D0DAA">
              <w:rPr>
                <w:lang w:eastAsia="en-US"/>
              </w:rPr>
              <w:t>8</w:t>
            </w:r>
          </w:p>
        </w:tc>
        <w:tc>
          <w:tcPr>
            <w:tcW w:w="425" w:type="dxa"/>
          </w:tcPr>
          <w:p w14:paraId="1ABDA586" w14:textId="77777777" w:rsidR="00711444" w:rsidRPr="004D0DAA" w:rsidRDefault="00711444" w:rsidP="00AA2A4C">
            <w:pPr>
              <w:pStyle w:val="TAC"/>
              <w:rPr>
                <w:lang w:eastAsia="en-US"/>
              </w:rPr>
            </w:pPr>
            <w:r w:rsidRPr="004D0DAA">
              <w:rPr>
                <w:lang w:eastAsia="en-US"/>
              </w:rPr>
              <w:t>7</w:t>
            </w:r>
          </w:p>
        </w:tc>
        <w:tc>
          <w:tcPr>
            <w:tcW w:w="709" w:type="dxa"/>
            <w:gridSpan w:val="2"/>
          </w:tcPr>
          <w:p w14:paraId="7883C8E3" w14:textId="77777777" w:rsidR="00711444" w:rsidRPr="004D0DAA" w:rsidRDefault="00711444" w:rsidP="00AA2A4C">
            <w:pPr>
              <w:pStyle w:val="TAC"/>
              <w:rPr>
                <w:lang w:eastAsia="en-US"/>
              </w:rPr>
            </w:pPr>
            <w:r w:rsidRPr="004D0DAA">
              <w:rPr>
                <w:lang w:eastAsia="en-US"/>
              </w:rPr>
              <w:t>6</w:t>
            </w:r>
          </w:p>
        </w:tc>
        <w:tc>
          <w:tcPr>
            <w:tcW w:w="567" w:type="dxa"/>
          </w:tcPr>
          <w:p w14:paraId="72BEAA0B" w14:textId="77777777" w:rsidR="00711444" w:rsidRPr="004D0DAA" w:rsidRDefault="00711444" w:rsidP="00AA2A4C">
            <w:pPr>
              <w:pStyle w:val="TAC"/>
              <w:rPr>
                <w:lang w:eastAsia="en-US"/>
              </w:rPr>
            </w:pPr>
            <w:r w:rsidRPr="004D0DAA">
              <w:rPr>
                <w:lang w:eastAsia="en-US"/>
              </w:rPr>
              <w:t>5</w:t>
            </w:r>
          </w:p>
        </w:tc>
        <w:tc>
          <w:tcPr>
            <w:tcW w:w="567" w:type="dxa"/>
          </w:tcPr>
          <w:p w14:paraId="178E5252" w14:textId="77777777" w:rsidR="00711444" w:rsidRPr="004D0DAA" w:rsidRDefault="00711444" w:rsidP="00AA2A4C">
            <w:pPr>
              <w:pStyle w:val="TAC"/>
              <w:rPr>
                <w:lang w:eastAsia="en-US"/>
              </w:rPr>
            </w:pPr>
            <w:r w:rsidRPr="004D0DAA">
              <w:rPr>
                <w:lang w:eastAsia="en-US"/>
              </w:rPr>
              <w:t>4</w:t>
            </w:r>
          </w:p>
        </w:tc>
        <w:tc>
          <w:tcPr>
            <w:tcW w:w="622" w:type="dxa"/>
          </w:tcPr>
          <w:p w14:paraId="49F8E409" w14:textId="77777777" w:rsidR="00711444" w:rsidRPr="004D0DAA" w:rsidRDefault="00711444" w:rsidP="00AA2A4C">
            <w:pPr>
              <w:pStyle w:val="TAC"/>
              <w:rPr>
                <w:lang w:eastAsia="en-US"/>
              </w:rPr>
            </w:pPr>
            <w:r w:rsidRPr="004D0DAA">
              <w:rPr>
                <w:lang w:eastAsia="en-US"/>
              </w:rPr>
              <w:t>3</w:t>
            </w:r>
          </w:p>
        </w:tc>
        <w:tc>
          <w:tcPr>
            <w:tcW w:w="512" w:type="dxa"/>
          </w:tcPr>
          <w:p w14:paraId="6C511BB6" w14:textId="77777777" w:rsidR="00711444" w:rsidRPr="004D0DAA" w:rsidRDefault="00711444" w:rsidP="00AA2A4C">
            <w:pPr>
              <w:pStyle w:val="TAC"/>
              <w:rPr>
                <w:lang w:eastAsia="en-US"/>
              </w:rPr>
            </w:pPr>
            <w:r w:rsidRPr="004D0DAA">
              <w:rPr>
                <w:lang w:eastAsia="en-US"/>
              </w:rPr>
              <w:t>2</w:t>
            </w:r>
          </w:p>
        </w:tc>
        <w:tc>
          <w:tcPr>
            <w:tcW w:w="647" w:type="dxa"/>
            <w:gridSpan w:val="2"/>
          </w:tcPr>
          <w:p w14:paraId="7EA10B47" w14:textId="77777777" w:rsidR="00711444" w:rsidRPr="004D0DAA" w:rsidRDefault="00711444" w:rsidP="00AA2A4C">
            <w:pPr>
              <w:pStyle w:val="TAC"/>
              <w:rPr>
                <w:lang w:eastAsia="en-US"/>
              </w:rPr>
            </w:pPr>
            <w:r w:rsidRPr="004D0DAA">
              <w:rPr>
                <w:lang w:eastAsia="en-US"/>
              </w:rPr>
              <w:t>1</w:t>
            </w:r>
          </w:p>
        </w:tc>
        <w:tc>
          <w:tcPr>
            <w:tcW w:w="1150" w:type="dxa"/>
            <w:gridSpan w:val="2"/>
          </w:tcPr>
          <w:p w14:paraId="033A8DDF" w14:textId="77777777" w:rsidR="00711444" w:rsidRPr="004D0DAA" w:rsidRDefault="00711444" w:rsidP="00AA2A4C">
            <w:pPr>
              <w:pStyle w:val="TAC"/>
              <w:rPr>
                <w:lang w:eastAsia="en-US"/>
              </w:rPr>
            </w:pPr>
            <w:r w:rsidRPr="004D0DAA">
              <w:rPr>
                <w:lang w:eastAsia="en-US"/>
              </w:rPr>
              <w:t>Octet</w:t>
            </w:r>
          </w:p>
        </w:tc>
      </w:tr>
      <w:tr w:rsidR="00711444" w:rsidRPr="004D0DAA" w14:paraId="51DF9ED0" w14:textId="77777777" w:rsidTr="00AA2A4C">
        <w:tblPrEx>
          <w:tblCellMar>
            <w:top w:w="0" w:type="dxa"/>
            <w:bottom w:w="0" w:type="dxa"/>
          </w:tblCellMar>
        </w:tblPrEx>
        <w:trPr>
          <w:gridBefore w:val="1"/>
          <w:wBefore w:w="18" w:type="dxa"/>
          <w:cantSplit/>
          <w:jc w:val="center"/>
        </w:trPr>
        <w:tc>
          <w:tcPr>
            <w:tcW w:w="665" w:type="dxa"/>
            <w:tcBorders>
              <w:top w:val="single" w:sz="6" w:space="0" w:color="auto"/>
              <w:left w:val="single" w:sz="6" w:space="0" w:color="auto"/>
              <w:bottom w:val="single" w:sz="6" w:space="0" w:color="auto"/>
              <w:right w:val="single" w:sz="6" w:space="0" w:color="auto"/>
            </w:tcBorders>
          </w:tcPr>
          <w:p w14:paraId="46E804CB" w14:textId="77777777" w:rsidR="00711444" w:rsidRPr="004D0DAA" w:rsidRDefault="00711444" w:rsidP="00AA2A4C">
            <w:pPr>
              <w:pStyle w:val="TAC"/>
              <w:rPr>
                <w:lang w:eastAsia="en-US"/>
              </w:rPr>
            </w:pPr>
            <w:r w:rsidRPr="004D0DAA">
              <w:rPr>
                <w:lang w:eastAsia="en-US"/>
              </w:rPr>
              <w:t>TFI</w:t>
            </w:r>
          </w:p>
        </w:tc>
        <w:tc>
          <w:tcPr>
            <w:tcW w:w="567" w:type="dxa"/>
            <w:gridSpan w:val="2"/>
            <w:tcBorders>
              <w:top w:val="single" w:sz="6" w:space="0" w:color="auto"/>
              <w:left w:val="single" w:sz="6" w:space="0" w:color="auto"/>
              <w:bottom w:val="single" w:sz="6" w:space="0" w:color="auto"/>
              <w:right w:val="single" w:sz="6" w:space="0" w:color="auto"/>
            </w:tcBorders>
          </w:tcPr>
          <w:p w14:paraId="4E0CCA5E" w14:textId="77777777" w:rsidR="00711444" w:rsidRPr="004D0DAA" w:rsidRDefault="00711444" w:rsidP="00AA2A4C">
            <w:pPr>
              <w:pStyle w:val="TAC"/>
              <w:rPr>
                <w:lang w:eastAsia="en-US"/>
              </w:rPr>
            </w:pPr>
            <w:r w:rsidRPr="004D0DAA">
              <w:rPr>
                <w:lang w:eastAsia="en-US"/>
              </w:rPr>
              <w:t>PANI</w:t>
            </w:r>
          </w:p>
        </w:tc>
        <w:tc>
          <w:tcPr>
            <w:tcW w:w="1701" w:type="dxa"/>
            <w:gridSpan w:val="3"/>
            <w:tcBorders>
              <w:top w:val="single" w:sz="6" w:space="0" w:color="auto"/>
              <w:left w:val="single" w:sz="6" w:space="0" w:color="auto"/>
              <w:bottom w:val="single" w:sz="6" w:space="0" w:color="auto"/>
              <w:right w:val="single" w:sz="6" w:space="0" w:color="auto"/>
            </w:tcBorders>
          </w:tcPr>
          <w:p w14:paraId="5BBC6432" w14:textId="77777777" w:rsidR="00711444" w:rsidRPr="004D0DAA" w:rsidRDefault="00711444" w:rsidP="00AA2A4C">
            <w:pPr>
              <w:pStyle w:val="TAC"/>
              <w:rPr>
                <w:lang w:eastAsia="en-US"/>
              </w:rPr>
            </w:pPr>
            <w:r w:rsidRPr="004D0DAA">
              <w:rPr>
                <w:lang w:eastAsia="en-US"/>
              </w:rPr>
              <w:t>CES/P</w:t>
            </w:r>
          </w:p>
        </w:tc>
        <w:tc>
          <w:tcPr>
            <w:tcW w:w="1781" w:type="dxa"/>
            <w:gridSpan w:val="4"/>
            <w:tcBorders>
              <w:top w:val="single" w:sz="6" w:space="0" w:color="auto"/>
              <w:left w:val="single" w:sz="6" w:space="0" w:color="auto"/>
              <w:bottom w:val="single" w:sz="6" w:space="0" w:color="auto"/>
              <w:right w:val="single" w:sz="6" w:space="0" w:color="auto"/>
            </w:tcBorders>
          </w:tcPr>
          <w:p w14:paraId="655CA927" w14:textId="77777777" w:rsidR="00711444" w:rsidRPr="004D0DAA" w:rsidRDefault="00711444" w:rsidP="00AA2A4C">
            <w:pPr>
              <w:pStyle w:val="TAC"/>
              <w:rPr>
                <w:lang w:eastAsia="en-US"/>
              </w:rPr>
            </w:pPr>
            <w:r w:rsidRPr="004D0DAA">
              <w:rPr>
                <w:lang w:eastAsia="en-US"/>
              </w:rPr>
              <w:t>USF</w:t>
            </w:r>
          </w:p>
        </w:tc>
        <w:tc>
          <w:tcPr>
            <w:tcW w:w="1150" w:type="dxa"/>
            <w:gridSpan w:val="2"/>
            <w:tcBorders>
              <w:left w:val="single" w:sz="6" w:space="0" w:color="auto"/>
            </w:tcBorders>
          </w:tcPr>
          <w:p w14:paraId="2ED238F3" w14:textId="77777777" w:rsidR="00711444" w:rsidRPr="004D0DAA" w:rsidRDefault="00711444" w:rsidP="00AA2A4C">
            <w:pPr>
              <w:pStyle w:val="TAC"/>
              <w:rPr>
                <w:lang w:eastAsia="en-US"/>
              </w:rPr>
            </w:pPr>
            <w:r w:rsidRPr="004D0DAA">
              <w:rPr>
                <w:lang w:eastAsia="en-US"/>
              </w:rPr>
              <w:t>1</w:t>
            </w:r>
          </w:p>
        </w:tc>
      </w:tr>
      <w:tr w:rsidR="00711444" w:rsidRPr="004D0DAA" w14:paraId="48CAED69" w14:textId="77777777" w:rsidTr="00AA2A4C">
        <w:tblPrEx>
          <w:tblCellMar>
            <w:top w:w="0" w:type="dxa"/>
            <w:bottom w:w="0" w:type="dxa"/>
          </w:tblCellMar>
        </w:tblPrEx>
        <w:trPr>
          <w:gridBefore w:val="1"/>
          <w:wBefore w:w="18" w:type="dxa"/>
          <w:cantSplit/>
          <w:jc w:val="center"/>
        </w:trPr>
        <w:tc>
          <w:tcPr>
            <w:tcW w:w="1090" w:type="dxa"/>
            <w:gridSpan w:val="2"/>
            <w:tcBorders>
              <w:left w:val="single" w:sz="6" w:space="0" w:color="auto"/>
              <w:right w:val="single" w:sz="6" w:space="0" w:color="auto"/>
            </w:tcBorders>
          </w:tcPr>
          <w:p w14:paraId="0ADC77EB" w14:textId="77777777" w:rsidR="00711444" w:rsidRPr="004D0DAA" w:rsidRDefault="00711444" w:rsidP="00AA2A4C">
            <w:pPr>
              <w:pStyle w:val="TAC"/>
              <w:rPr>
                <w:lang w:eastAsia="en-US"/>
              </w:rPr>
            </w:pPr>
            <w:r w:rsidRPr="004D0DAA">
              <w:rPr>
                <w:lang w:eastAsia="en-US"/>
              </w:rPr>
              <w:t>BSN</w:t>
            </w:r>
          </w:p>
        </w:tc>
        <w:tc>
          <w:tcPr>
            <w:tcW w:w="1276" w:type="dxa"/>
            <w:gridSpan w:val="3"/>
            <w:tcBorders>
              <w:left w:val="single" w:sz="6" w:space="0" w:color="auto"/>
              <w:right w:val="single" w:sz="6" w:space="0" w:color="auto"/>
            </w:tcBorders>
          </w:tcPr>
          <w:p w14:paraId="46F12A7E" w14:textId="77777777" w:rsidR="00711444" w:rsidRPr="004D0DAA" w:rsidRDefault="00711444" w:rsidP="00AA2A4C">
            <w:pPr>
              <w:pStyle w:val="TAC"/>
              <w:rPr>
                <w:lang w:eastAsia="en-US"/>
              </w:rPr>
            </w:pPr>
            <w:r w:rsidRPr="004D0DAA">
              <w:rPr>
                <w:lang w:eastAsia="en-US"/>
              </w:rPr>
              <w:t>PR</w:t>
            </w:r>
          </w:p>
        </w:tc>
        <w:tc>
          <w:tcPr>
            <w:tcW w:w="2348" w:type="dxa"/>
            <w:gridSpan w:val="5"/>
            <w:tcBorders>
              <w:left w:val="single" w:sz="6" w:space="0" w:color="auto"/>
              <w:right w:val="single" w:sz="6" w:space="0" w:color="auto"/>
            </w:tcBorders>
          </w:tcPr>
          <w:p w14:paraId="2CF7FF7D" w14:textId="77777777" w:rsidR="00711444" w:rsidRPr="004D0DAA" w:rsidRDefault="00711444" w:rsidP="00AA2A4C">
            <w:pPr>
              <w:pStyle w:val="TAC"/>
              <w:rPr>
                <w:lang w:eastAsia="en-US"/>
              </w:rPr>
            </w:pPr>
            <w:r w:rsidRPr="004D0DAA">
              <w:rPr>
                <w:lang w:eastAsia="en-US"/>
              </w:rPr>
              <w:t>TFI</w:t>
            </w:r>
          </w:p>
        </w:tc>
        <w:tc>
          <w:tcPr>
            <w:tcW w:w="1150" w:type="dxa"/>
            <w:gridSpan w:val="2"/>
            <w:tcBorders>
              <w:left w:val="single" w:sz="6" w:space="0" w:color="auto"/>
            </w:tcBorders>
          </w:tcPr>
          <w:p w14:paraId="41111E79" w14:textId="77777777" w:rsidR="00711444" w:rsidRPr="004D0DAA" w:rsidRDefault="00711444" w:rsidP="00AA2A4C">
            <w:pPr>
              <w:pStyle w:val="TAC"/>
              <w:rPr>
                <w:lang w:eastAsia="en-US"/>
              </w:rPr>
            </w:pPr>
            <w:r w:rsidRPr="004D0DAA">
              <w:rPr>
                <w:lang w:eastAsia="en-US"/>
              </w:rPr>
              <w:t>2</w:t>
            </w:r>
          </w:p>
        </w:tc>
      </w:tr>
      <w:tr w:rsidR="00711444" w:rsidRPr="004D0DAA" w14:paraId="6CE39403" w14:textId="77777777" w:rsidTr="00AA2A4C">
        <w:tblPrEx>
          <w:tblCellMar>
            <w:top w:w="0" w:type="dxa"/>
            <w:bottom w:w="0" w:type="dxa"/>
          </w:tblCellMar>
        </w:tblPrEx>
        <w:trPr>
          <w:gridAfter w:val="1"/>
          <w:wAfter w:w="30" w:type="dxa"/>
          <w:cantSplit/>
          <w:jc w:val="center"/>
        </w:trPr>
        <w:tc>
          <w:tcPr>
            <w:tcW w:w="4708" w:type="dxa"/>
            <w:gridSpan w:val="10"/>
            <w:tcBorders>
              <w:top w:val="single" w:sz="4" w:space="0" w:color="auto"/>
              <w:left w:val="single" w:sz="4" w:space="0" w:color="auto"/>
              <w:bottom w:val="single" w:sz="4" w:space="0" w:color="auto"/>
              <w:right w:val="single" w:sz="6" w:space="0" w:color="auto"/>
            </w:tcBorders>
          </w:tcPr>
          <w:p w14:paraId="2C02ACBD" w14:textId="77777777" w:rsidR="00711444" w:rsidRPr="004D0DAA" w:rsidRDefault="00711444" w:rsidP="00AA2A4C">
            <w:pPr>
              <w:pStyle w:val="TAC"/>
              <w:rPr>
                <w:lang w:eastAsia="en-US"/>
              </w:rPr>
            </w:pPr>
            <w:r w:rsidRPr="004D0DAA">
              <w:rPr>
                <w:lang w:eastAsia="en-US"/>
              </w:rPr>
              <w:t>BSN</w:t>
            </w:r>
          </w:p>
        </w:tc>
        <w:tc>
          <w:tcPr>
            <w:tcW w:w="1144" w:type="dxa"/>
            <w:gridSpan w:val="2"/>
            <w:tcBorders>
              <w:left w:val="single" w:sz="6" w:space="0" w:color="auto"/>
            </w:tcBorders>
          </w:tcPr>
          <w:p w14:paraId="7DA98F18" w14:textId="77777777" w:rsidR="00711444" w:rsidRPr="004D0DAA" w:rsidRDefault="00711444" w:rsidP="00AA2A4C">
            <w:pPr>
              <w:pStyle w:val="TAC"/>
              <w:rPr>
                <w:lang w:eastAsia="en-US"/>
              </w:rPr>
            </w:pPr>
            <w:r w:rsidRPr="004D0DAA">
              <w:rPr>
                <w:lang w:eastAsia="en-US"/>
              </w:rPr>
              <w:t>3</w:t>
            </w:r>
          </w:p>
        </w:tc>
      </w:tr>
      <w:tr w:rsidR="00711444" w:rsidRPr="004D0DAA" w14:paraId="140E1DAD" w14:textId="77777777" w:rsidTr="00AA2A4C">
        <w:tblPrEx>
          <w:tblCellMar>
            <w:top w:w="0" w:type="dxa"/>
            <w:bottom w:w="0" w:type="dxa"/>
          </w:tblCellMar>
        </w:tblPrEx>
        <w:trPr>
          <w:gridBefore w:val="1"/>
          <w:wBefore w:w="18" w:type="dxa"/>
          <w:cantSplit/>
          <w:jc w:val="center"/>
        </w:trPr>
        <w:tc>
          <w:tcPr>
            <w:tcW w:w="665" w:type="dxa"/>
          </w:tcPr>
          <w:p w14:paraId="71B22083" w14:textId="77777777" w:rsidR="00711444" w:rsidRPr="004D0DAA" w:rsidRDefault="00711444" w:rsidP="00AA2A4C"/>
        </w:tc>
        <w:tc>
          <w:tcPr>
            <w:tcW w:w="425" w:type="dxa"/>
            <w:tcBorders>
              <w:right w:val="single" w:sz="4" w:space="0" w:color="auto"/>
            </w:tcBorders>
          </w:tcPr>
          <w:p w14:paraId="5996314F" w14:textId="77777777" w:rsidR="00711444" w:rsidRPr="004D0DAA" w:rsidRDefault="00711444" w:rsidP="00AA2A4C"/>
        </w:tc>
        <w:tc>
          <w:tcPr>
            <w:tcW w:w="1276" w:type="dxa"/>
            <w:gridSpan w:val="3"/>
            <w:tcBorders>
              <w:bottom w:val="single" w:sz="4" w:space="0" w:color="auto"/>
              <w:right w:val="single" w:sz="4" w:space="0" w:color="auto"/>
            </w:tcBorders>
          </w:tcPr>
          <w:p w14:paraId="71EE76F1" w14:textId="77777777" w:rsidR="00711444" w:rsidRPr="004D0DAA" w:rsidRDefault="00711444" w:rsidP="00AA2A4C">
            <w:pPr>
              <w:pStyle w:val="TAC"/>
              <w:rPr>
                <w:lang w:eastAsia="en-US"/>
              </w:rPr>
            </w:pPr>
            <w:r w:rsidRPr="004D0DAA">
              <w:rPr>
                <w:lang w:eastAsia="en-US"/>
              </w:rPr>
              <w:t>Spare</w:t>
            </w:r>
          </w:p>
        </w:tc>
        <w:tc>
          <w:tcPr>
            <w:tcW w:w="1701" w:type="dxa"/>
            <w:gridSpan w:val="3"/>
            <w:tcBorders>
              <w:bottom w:val="single" w:sz="4" w:space="0" w:color="auto"/>
              <w:right w:val="single" w:sz="6" w:space="0" w:color="auto"/>
            </w:tcBorders>
          </w:tcPr>
          <w:p w14:paraId="6455F42F" w14:textId="77777777" w:rsidR="00711444" w:rsidRPr="004D0DAA" w:rsidRDefault="00711444" w:rsidP="00AA2A4C">
            <w:pPr>
              <w:pStyle w:val="TAC"/>
              <w:rPr>
                <w:lang w:eastAsia="en-US"/>
              </w:rPr>
            </w:pPr>
            <w:r w:rsidRPr="004D0DAA">
              <w:rPr>
                <w:lang w:eastAsia="en-US"/>
              </w:rPr>
              <w:t>CPS</w:t>
            </w:r>
          </w:p>
        </w:tc>
        <w:tc>
          <w:tcPr>
            <w:tcW w:w="647" w:type="dxa"/>
            <w:gridSpan w:val="2"/>
            <w:tcBorders>
              <w:top w:val="single" w:sz="6" w:space="0" w:color="auto"/>
              <w:left w:val="single" w:sz="4" w:space="0" w:color="auto"/>
              <w:bottom w:val="single" w:sz="6" w:space="0" w:color="auto"/>
              <w:right w:val="single" w:sz="6" w:space="0" w:color="auto"/>
            </w:tcBorders>
          </w:tcPr>
          <w:p w14:paraId="508599FF" w14:textId="77777777" w:rsidR="00711444" w:rsidRPr="004D0DAA" w:rsidRDefault="00711444" w:rsidP="00AA2A4C">
            <w:pPr>
              <w:pStyle w:val="TAC"/>
              <w:rPr>
                <w:lang w:eastAsia="en-US"/>
              </w:rPr>
            </w:pPr>
            <w:r w:rsidRPr="004D0DAA">
              <w:rPr>
                <w:lang w:eastAsia="en-US"/>
              </w:rPr>
              <w:t>BSN</w:t>
            </w:r>
          </w:p>
        </w:tc>
        <w:tc>
          <w:tcPr>
            <w:tcW w:w="1150" w:type="dxa"/>
            <w:gridSpan w:val="2"/>
            <w:tcBorders>
              <w:left w:val="single" w:sz="6" w:space="0" w:color="auto"/>
            </w:tcBorders>
          </w:tcPr>
          <w:p w14:paraId="3071AD32" w14:textId="77777777" w:rsidR="00711444" w:rsidRPr="004D0DAA" w:rsidRDefault="00711444" w:rsidP="00AA2A4C">
            <w:pPr>
              <w:pStyle w:val="TAC"/>
              <w:rPr>
                <w:lang w:eastAsia="en-US"/>
              </w:rPr>
            </w:pPr>
            <w:r w:rsidRPr="004D0DAA">
              <w:rPr>
                <w:lang w:eastAsia="en-US"/>
              </w:rPr>
              <w:t>4</w:t>
            </w:r>
          </w:p>
        </w:tc>
      </w:tr>
    </w:tbl>
    <w:p w14:paraId="7C952666" w14:textId="77777777" w:rsidR="00711444" w:rsidRPr="004D0DAA" w:rsidRDefault="00711444" w:rsidP="00711444">
      <w:pPr>
        <w:pStyle w:val="TAN"/>
      </w:pPr>
    </w:p>
    <w:p w14:paraId="00EF0BDF" w14:textId="77777777" w:rsidR="00711444" w:rsidRPr="004D0DAA" w:rsidRDefault="00711444" w:rsidP="00711444">
      <w:pPr>
        <w:pStyle w:val="TF"/>
      </w:pPr>
      <w:r w:rsidRPr="004D0DAA">
        <w:t>Figure 10.3a.3.6.1: Combined downlink RLC data block header</w:t>
      </w:r>
      <w:r w:rsidRPr="004D0DAA">
        <w:br/>
        <w:t>for DBS-5 and DBS-6.</w:t>
      </w:r>
    </w:p>
    <w:p w14:paraId="6DA72461" w14:textId="77777777" w:rsidR="00711444" w:rsidRPr="004D0DAA" w:rsidRDefault="00711444" w:rsidP="00711444">
      <w:pPr>
        <w:pStyle w:val="Heading4"/>
      </w:pPr>
      <w:bookmarkStart w:id="528" w:name="_Toc516669709"/>
      <w:r w:rsidRPr="004D0DAA">
        <w:t>10.3a.3.7</w:t>
      </w:r>
      <w:r w:rsidRPr="004D0DAA">
        <w:tab/>
        <w:t>Header type 7: header for DBS-7 and DBS-8</w:t>
      </w:r>
      <w:bookmarkEnd w:id="528"/>
    </w:p>
    <w:p w14:paraId="402B8A2F" w14:textId="77777777" w:rsidR="00711444" w:rsidRPr="004D0DAA" w:rsidRDefault="00711444" w:rsidP="00711444">
      <w:r w:rsidRPr="004D0DAA">
        <w:t>The combined downlink RLC/MAC header for DBS-7 and DBS-8 (header type 7) shall be formatted according to figure 10.3a.3.7.1.</w:t>
      </w:r>
    </w:p>
    <w:tbl>
      <w:tblPr>
        <w:tblW w:w="0" w:type="auto"/>
        <w:jc w:val="center"/>
        <w:tblLayout w:type="fixed"/>
        <w:tblCellMar>
          <w:left w:w="28" w:type="dxa"/>
          <w:right w:w="28" w:type="dxa"/>
        </w:tblCellMar>
        <w:tblLook w:val="0000" w:firstRow="0" w:lastRow="0" w:firstColumn="0" w:lastColumn="0" w:noHBand="0" w:noVBand="0"/>
      </w:tblPr>
      <w:tblGrid>
        <w:gridCol w:w="581"/>
        <w:gridCol w:w="14"/>
        <w:gridCol w:w="569"/>
        <w:gridCol w:w="580"/>
        <w:gridCol w:w="582"/>
        <w:gridCol w:w="576"/>
        <w:gridCol w:w="577"/>
        <w:gridCol w:w="577"/>
        <w:gridCol w:w="581"/>
        <w:gridCol w:w="1134"/>
      </w:tblGrid>
      <w:tr w:rsidR="00711444" w:rsidRPr="004D0DAA" w14:paraId="40E9C5DC" w14:textId="77777777" w:rsidTr="00AA2A4C">
        <w:tblPrEx>
          <w:tblCellMar>
            <w:top w:w="0" w:type="dxa"/>
            <w:bottom w:w="0" w:type="dxa"/>
          </w:tblCellMar>
        </w:tblPrEx>
        <w:trPr>
          <w:cantSplit/>
          <w:jc w:val="center"/>
        </w:trPr>
        <w:tc>
          <w:tcPr>
            <w:tcW w:w="4637" w:type="dxa"/>
            <w:gridSpan w:val="9"/>
          </w:tcPr>
          <w:p w14:paraId="6161167F" w14:textId="77777777" w:rsidR="00711444" w:rsidRPr="004D0DAA" w:rsidRDefault="00711444" w:rsidP="00AA2A4C">
            <w:pPr>
              <w:pStyle w:val="TAN"/>
              <w:rPr>
                <w:lang w:eastAsia="en-US"/>
              </w:rPr>
            </w:pPr>
            <w:r w:rsidRPr="004D0DAA">
              <w:rPr>
                <w:lang w:eastAsia="en-US"/>
              </w:rPr>
              <w:t>Bit</w:t>
            </w:r>
          </w:p>
        </w:tc>
        <w:tc>
          <w:tcPr>
            <w:tcW w:w="1134" w:type="dxa"/>
          </w:tcPr>
          <w:p w14:paraId="64A8F5C7" w14:textId="77777777" w:rsidR="00711444" w:rsidRPr="004D0DAA" w:rsidRDefault="00711444" w:rsidP="00AA2A4C">
            <w:pPr>
              <w:pStyle w:val="TAN"/>
              <w:rPr>
                <w:lang w:eastAsia="en-US"/>
              </w:rPr>
            </w:pPr>
          </w:p>
        </w:tc>
      </w:tr>
      <w:tr w:rsidR="00711444" w:rsidRPr="004D0DAA" w14:paraId="6E334FCE" w14:textId="77777777" w:rsidTr="00AA2A4C">
        <w:tblPrEx>
          <w:tblCellMar>
            <w:top w:w="0" w:type="dxa"/>
            <w:bottom w:w="0" w:type="dxa"/>
          </w:tblCellMar>
        </w:tblPrEx>
        <w:trPr>
          <w:cantSplit/>
          <w:jc w:val="center"/>
        </w:trPr>
        <w:tc>
          <w:tcPr>
            <w:tcW w:w="595" w:type="dxa"/>
            <w:gridSpan w:val="2"/>
          </w:tcPr>
          <w:p w14:paraId="63585858" w14:textId="77777777" w:rsidR="00711444" w:rsidRPr="004D0DAA" w:rsidRDefault="00711444" w:rsidP="00AA2A4C">
            <w:pPr>
              <w:pStyle w:val="TAC"/>
              <w:rPr>
                <w:lang w:eastAsia="en-US"/>
              </w:rPr>
            </w:pPr>
            <w:r w:rsidRPr="004D0DAA">
              <w:rPr>
                <w:lang w:eastAsia="en-US"/>
              </w:rPr>
              <w:t>8</w:t>
            </w:r>
          </w:p>
        </w:tc>
        <w:tc>
          <w:tcPr>
            <w:tcW w:w="569" w:type="dxa"/>
          </w:tcPr>
          <w:p w14:paraId="4F42167D" w14:textId="77777777" w:rsidR="00711444" w:rsidRPr="004D0DAA" w:rsidRDefault="00711444" w:rsidP="00AA2A4C">
            <w:pPr>
              <w:pStyle w:val="TAC"/>
              <w:rPr>
                <w:lang w:eastAsia="en-US"/>
              </w:rPr>
            </w:pPr>
            <w:r w:rsidRPr="004D0DAA">
              <w:rPr>
                <w:lang w:eastAsia="en-US"/>
              </w:rPr>
              <w:t>7</w:t>
            </w:r>
          </w:p>
        </w:tc>
        <w:tc>
          <w:tcPr>
            <w:tcW w:w="580" w:type="dxa"/>
          </w:tcPr>
          <w:p w14:paraId="3565902E" w14:textId="77777777" w:rsidR="00711444" w:rsidRPr="004D0DAA" w:rsidRDefault="00711444" w:rsidP="00AA2A4C">
            <w:pPr>
              <w:pStyle w:val="TAC"/>
              <w:rPr>
                <w:lang w:eastAsia="en-US"/>
              </w:rPr>
            </w:pPr>
            <w:r w:rsidRPr="004D0DAA">
              <w:rPr>
                <w:lang w:eastAsia="en-US"/>
              </w:rPr>
              <w:t>6</w:t>
            </w:r>
          </w:p>
        </w:tc>
        <w:tc>
          <w:tcPr>
            <w:tcW w:w="582" w:type="dxa"/>
          </w:tcPr>
          <w:p w14:paraId="1458F53A" w14:textId="77777777" w:rsidR="00711444" w:rsidRPr="004D0DAA" w:rsidRDefault="00711444" w:rsidP="00AA2A4C">
            <w:pPr>
              <w:pStyle w:val="TAC"/>
              <w:rPr>
                <w:lang w:eastAsia="en-US"/>
              </w:rPr>
            </w:pPr>
            <w:r w:rsidRPr="004D0DAA">
              <w:rPr>
                <w:lang w:eastAsia="en-US"/>
              </w:rPr>
              <w:t>5</w:t>
            </w:r>
          </w:p>
        </w:tc>
        <w:tc>
          <w:tcPr>
            <w:tcW w:w="576" w:type="dxa"/>
          </w:tcPr>
          <w:p w14:paraId="33C4749C" w14:textId="77777777" w:rsidR="00711444" w:rsidRPr="004D0DAA" w:rsidRDefault="00711444" w:rsidP="00AA2A4C">
            <w:pPr>
              <w:pStyle w:val="TAC"/>
              <w:rPr>
                <w:lang w:eastAsia="en-US"/>
              </w:rPr>
            </w:pPr>
            <w:r w:rsidRPr="004D0DAA">
              <w:rPr>
                <w:lang w:eastAsia="en-US"/>
              </w:rPr>
              <w:t>4</w:t>
            </w:r>
          </w:p>
        </w:tc>
        <w:tc>
          <w:tcPr>
            <w:tcW w:w="577" w:type="dxa"/>
          </w:tcPr>
          <w:p w14:paraId="12BA438A" w14:textId="77777777" w:rsidR="00711444" w:rsidRPr="004D0DAA" w:rsidRDefault="00711444" w:rsidP="00AA2A4C">
            <w:pPr>
              <w:pStyle w:val="TAC"/>
              <w:rPr>
                <w:lang w:eastAsia="en-US"/>
              </w:rPr>
            </w:pPr>
            <w:r w:rsidRPr="004D0DAA">
              <w:rPr>
                <w:lang w:eastAsia="en-US"/>
              </w:rPr>
              <w:t>3</w:t>
            </w:r>
          </w:p>
        </w:tc>
        <w:tc>
          <w:tcPr>
            <w:tcW w:w="577" w:type="dxa"/>
          </w:tcPr>
          <w:p w14:paraId="0EBDC7D3" w14:textId="77777777" w:rsidR="00711444" w:rsidRPr="004D0DAA" w:rsidRDefault="00711444" w:rsidP="00AA2A4C">
            <w:pPr>
              <w:pStyle w:val="TAC"/>
              <w:rPr>
                <w:lang w:eastAsia="en-US"/>
              </w:rPr>
            </w:pPr>
            <w:r w:rsidRPr="004D0DAA">
              <w:rPr>
                <w:lang w:eastAsia="en-US"/>
              </w:rPr>
              <w:t>2</w:t>
            </w:r>
          </w:p>
        </w:tc>
        <w:tc>
          <w:tcPr>
            <w:tcW w:w="581" w:type="dxa"/>
          </w:tcPr>
          <w:p w14:paraId="21A79018" w14:textId="77777777" w:rsidR="00711444" w:rsidRPr="004D0DAA" w:rsidRDefault="00711444" w:rsidP="00AA2A4C">
            <w:pPr>
              <w:pStyle w:val="TAC"/>
              <w:rPr>
                <w:lang w:eastAsia="en-US"/>
              </w:rPr>
            </w:pPr>
            <w:r w:rsidRPr="004D0DAA">
              <w:rPr>
                <w:lang w:eastAsia="en-US"/>
              </w:rPr>
              <w:t>1</w:t>
            </w:r>
          </w:p>
        </w:tc>
        <w:tc>
          <w:tcPr>
            <w:tcW w:w="1134" w:type="dxa"/>
          </w:tcPr>
          <w:p w14:paraId="344FA32A" w14:textId="77777777" w:rsidR="00711444" w:rsidRPr="004D0DAA" w:rsidRDefault="00711444" w:rsidP="00AA2A4C">
            <w:pPr>
              <w:pStyle w:val="TAC"/>
              <w:rPr>
                <w:lang w:eastAsia="en-US"/>
              </w:rPr>
            </w:pPr>
            <w:r w:rsidRPr="004D0DAA">
              <w:rPr>
                <w:lang w:eastAsia="en-US"/>
              </w:rPr>
              <w:t>Octet</w:t>
            </w:r>
          </w:p>
        </w:tc>
      </w:tr>
      <w:tr w:rsidR="00711444" w:rsidRPr="004D0DAA" w14:paraId="229EEC19" w14:textId="77777777" w:rsidTr="00AA2A4C">
        <w:tblPrEx>
          <w:tblCellMar>
            <w:top w:w="0" w:type="dxa"/>
            <w:bottom w:w="0" w:type="dxa"/>
          </w:tblCellMar>
        </w:tblPrEx>
        <w:trPr>
          <w:cantSplit/>
          <w:jc w:val="center"/>
        </w:trPr>
        <w:tc>
          <w:tcPr>
            <w:tcW w:w="581" w:type="dxa"/>
            <w:tcBorders>
              <w:top w:val="single" w:sz="6" w:space="0" w:color="auto"/>
              <w:left w:val="single" w:sz="6" w:space="0" w:color="auto"/>
              <w:bottom w:val="single" w:sz="6" w:space="0" w:color="auto"/>
              <w:right w:val="single" w:sz="6" w:space="0" w:color="auto"/>
            </w:tcBorders>
          </w:tcPr>
          <w:p w14:paraId="418991F7" w14:textId="77777777" w:rsidR="00711444" w:rsidRPr="004D0DAA" w:rsidRDefault="00711444" w:rsidP="00AA2A4C">
            <w:pPr>
              <w:pStyle w:val="TAC"/>
              <w:rPr>
                <w:lang w:eastAsia="en-US"/>
              </w:rPr>
            </w:pPr>
            <w:r w:rsidRPr="004D0DAA">
              <w:rPr>
                <w:lang w:eastAsia="en-US"/>
              </w:rPr>
              <w:t>TFI</w:t>
            </w:r>
          </w:p>
        </w:tc>
        <w:tc>
          <w:tcPr>
            <w:tcW w:w="583" w:type="dxa"/>
            <w:gridSpan w:val="2"/>
            <w:tcBorders>
              <w:top w:val="single" w:sz="6" w:space="0" w:color="auto"/>
              <w:left w:val="single" w:sz="6" w:space="0" w:color="auto"/>
              <w:bottom w:val="single" w:sz="6" w:space="0" w:color="auto"/>
              <w:right w:val="single" w:sz="6" w:space="0" w:color="auto"/>
            </w:tcBorders>
          </w:tcPr>
          <w:p w14:paraId="55B17B95" w14:textId="77777777" w:rsidR="00711444" w:rsidRPr="004D0DAA" w:rsidRDefault="00711444" w:rsidP="00AA2A4C">
            <w:pPr>
              <w:pStyle w:val="TAC"/>
              <w:rPr>
                <w:lang w:eastAsia="en-US"/>
              </w:rPr>
            </w:pPr>
            <w:r w:rsidRPr="004D0DAA">
              <w:rPr>
                <w:lang w:eastAsia="en-US"/>
              </w:rPr>
              <w:t>PANI</w:t>
            </w:r>
          </w:p>
        </w:tc>
        <w:tc>
          <w:tcPr>
            <w:tcW w:w="1738" w:type="dxa"/>
            <w:gridSpan w:val="3"/>
            <w:tcBorders>
              <w:top w:val="single" w:sz="6" w:space="0" w:color="auto"/>
              <w:left w:val="single" w:sz="6" w:space="0" w:color="auto"/>
              <w:bottom w:val="single" w:sz="6" w:space="0" w:color="auto"/>
            </w:tcBorders>
          </w:tcPr>
          <w:p w14:paraId="14DEEE94" w14:textId="77777777" w:rsidR="00711444" w:rsidRPr="004D0DAA" w:rsidRDefault="00711444" w:rsidP="00AA2A4C">
            <w:pPr>
              <w:pStyle w:val="TAC"/>
              <w:rPr>
                <w:lang w:eastAsia="en-US"/>
              </w:rPr>
            </w:pPr>
            <w:r w:rsidRPr="004D0DAA">
              <w:rPr>
                <w:lang w:eastAsia="en-US"/>
              </w:rPr>
              <w:t>CES/P</w:t>
            </w:r>
          </w:p>
        </w:tc>
        <w:tc>
          <w:tcPr>
            <w:tcW w:w="1735" w:type="dxa"/>
            <w:gridSpan w:val="3"/>
            <w:tcBorders>
              <w:top w:val="single" w:sz="6" w:space="0" w:color="auto"/>
              <w:left w:val="single" w:sz="6" w:space="0" w:color="auto"/>
              <w:right w:val="single" w:sz="6" w:space="0" w:color="auto"/>
            </w:tcBorders>
          </w:tcPr>
          <w:p w14:paraId="47736960" w14:textId="77777777" w:rsidR="00711444" w:rsidRPr="004D0DAA" w:rsidRDefault="00711444" w:rsidP="00AA2A4C">
            <w:pPr>
              <w:pStyle w:val="TAC"/>
              <w:rPr>
                <w:lang w:eastAsia="en-US"/>
              </w:rPr>
            </w:pPr>
            <w:r w:rsidRPr="004D0DAA">
              <w:rPr>
                <w:lang w:eastAsia="en-US"/>
              </w:rPr>
              <w:t>USF</w:t>
            </w:r>
          </w:p>
        </w:tc>
        <w:tc>
          <w:tcPr>
            <w:tcW w:w="1134" w:type="dxa"/>
            <w:tcBorders>
              <w:left w:val="single" w:sz="6" w:space="0" w:color="auto"/>
            </w:tcBorders>
          </w:tcPr>
          <w:p w14:paraId="319E57E6" w14:textId="77777777" w:rsidR="00711444" w:rsidRPr="004D0DAA" w:rsidRDefault="00711444" w:rsidP="00AA2A4C">
            <w:pPr>
              <w:pStyle w:val="TAC"/>
              <w:rPr>
                <w:lang w:eastAsia="en-US"/>
              </w:rPr>
            </w:pPr>
            <w:r w:rsidRPr="004D0DAA">
              <w:rPr>
                <w:lang w:eastAsia="en-US"/>
              </w:rPr>
              <w:t>1</w:t>
            </w:r>
          </w:p>
        </w:tc>
      </w:tr>
      <w:tr w:rsidR="00711444" w:rsidRPr="004D0DAA" w14:paraId="5023EEE2" w14:textId="77777777" w:rsidTr="00AA2A4C">
        <w:tblPrEx>
          <w:tblCellMar>
            <w:top w:w="0" w:type="dxa"/>
            <w:bottom w:w="0" w:type="dxa"/>
          </w:tblCellMar>
        </w:tblPrEx>
        <w:trPr>
          <w:cantSplit/>
          <w:jc w:val="center"/>
        </w:trPr>
        <w:tc>
          <w:tcPr>
            <w:tcW w:w="1164" w:type="dxa"/>
            <w:gridSpan w:val="3"/>
            <w:tcBorders>
              <w:left w:val="single" w:sz="6" w:space="0" w:color="auto"/>
              <w:right w:val="single" w:sz="6" w:space="0" w:color="auto"/>
            </w:tcBorders>
          </w:tcPr>
          <w:p w14:paraId="45D430E1" w14:textId="77777777" w:rsidR="00711444" w:rsidRPr="004D0DAA" w:rsidRDefault="00711444" w:rsidP="00AA2A4C">
            <w:pPr>
              <w:pStyle w:val="TAC"/>
              <w:rPr>
                <w:lang w:eastAsia="en-US"/>
              </w:rPr>
            </w:pPr>
            <w:r w:rsidRPr="004D0DAA">
              <w:rPr>
                <w:lang w:eastAsia="en-US"/>
              </w:rPr>
              <w:t>BSN1</w:t>
            </w:r>
          </w:p>
        </w:tc>
        <w:tc>
          <w:tcPr>
            <w:tcW w:w="1162" w:type="dxa"/>
            <w:gridSpan w:val="2"/>
            <w:tcBorders>
              <w:left w:val="single" w:sz="6" w:space="0" w:color="auto"/>
              <w:right w:val="single" w:sz="6" w:space="0" w:color="auto"/>
            </w:tcBorders>
          </w:tcPr>
          <w:p w14:paraId="7864119C" w14:textId="77777777" w:rsidR="00711444" w:rsidRPr="004D0DAA" w:rsidRDefault="00711444" w:rsidP="00AA2A4C">
            <w:pPr>
              <w:pStyle w:val="TAC"/>
              <w:rPr>
                <w:lang w:eastAsia="en-US"/>
              </w:rPr>
            </w:pPr>
            <w:r w:rsidRPr="004D0DAA">
              <w:rPr>
                <w:lang w:eastAsia="en-US"/>
              </w:rPr>
              <w:t>PR</w:t>
            </w:r>
          </w:p>
        </w:tc>
        <w:tc>
          <w:tcPr>
            <w:tcW w:w="2311" w:type="dxa"/>
            <w:gridSpan w:val="4"/>
            <w:tcBorders>
              <w:top w:val="single" w:sz="6" w:space="0" w:color="auto"/>
              <w:left w:val="single" w:sz="6" w:space="0" w:color="auto"/>
              <w:bottom w:val="single" w:sz="6" w:space="0" w:color="auto"/>
              <w:right w:val="single" w:sz="6" w:space="0" w:color="auto"/>
            </w:tcBorders>
          </w:tcPr>
          <w:p w14:paraId="320480C3" w14:textId="77777777" w:rsidR="00711444" w:rsidRPr="004D0DAA" w:rsidRDefault="00711444" w:rsidP="00AA2A4C">
            <w:pPr>
              <w:pStyle w:val="TAC"/>
              <w:rPr>
                <w:lang w:eastAsia="en-US"/>
              </w:rPr>
            </w:pPr>
            <w:r w:rsidRPr="004D0DAA">
              <w:rPr>
                <w:lang w:eastAsia="en-US"/>
              </w:rPr>
              <w:t>TFI</w:t>
            </w:r>
          </w:p>
        </w:tc>
        <w:tc>
          <w:tcPr>
            <w:tcW w:w="1134" w:type="dxa"/>
            <w:tcBorders>
              <w:left w:val="single" w:sz="6" w:space="0" w:color="auto"/>
            </w:tcBorders>
          </w:tcPr>
          <w:p w14:paraId="71CC92AD" w14:textId="77777777" w:rsidR="00711444" w:rsidRPr="004D0DAA" w:rsidRDefault="00711444" w:rsidP="00AA2A4C">
            <w:pPr>
              <w:pStyle w:val="TAC"/>
              <w:rPr>
                <w:lang w:eastAsia="en-US"/>
              </w:rPr>
            </w:pPr>
            <w:r w:rsidRPr="004D0DAA">
              <w:rPr>
                <w:lang w:eastAsia="en-US"/>
              </w:rPr>
              <w:t>2</w:t>
            </w:r>
          </w:p>
        </w:tc>
      </w:tr>
      <w:tr w:rsidR="00711444" w:rsidRPr="004D0DAA" w14:paraId="30A8E489" w14:textId="77777777" w:rsidTr="00AA2A4C">
        <w:tblPrEx>
          <w:tblCellMar>
            <w:top w:w="0" w:type="dxa"/>
            <w:bottom w:w="0" w:type="dxa"/>
          </w:tblCellMar>
        </w:tblPrEx>
        <w:trPr>
          <w:cantSplit/>
          <w:jc w:val="center"/>
        </w:trPr>
        <w:tc>
          <w:tcPr>
            <w:tcW w:w="4637" w:type="dxa"/>
            <w:gridSpan w:val="9"/>
            <w:tcBorders>
              <w:top w:val="single" w:sz="6" w:space="0" w:color="auto"/>
              <w:left w:val="single" w:sz="6" w:space="0" w:color="auto"/>
              <w:bottom w:val="single" w:sz="4" w:space="0" w:color="auto"/>
              <w:right w:val="single" w:sz="6" w:space="0" w:color="auto"/>
            </w:tcBorders>
          </w:tcPr>
          <w:p w14:paraId="0D902DA5" w14:textId="77777777" w:rsidR="00711444" w:rsidRPr="004D0DAA" w:rsidRDefault="00711444" w:rsidP="00AA2A4C">
            <w:pPr>
              <w:pStyle w:val="TAC"/>
              <w:rPr>
                <w:lang w:eastAsia="en-US"/>
              </w:rPr>
            </w:pPr>
            <w:r w:rsidRPr="004D0DAA">
              <w:rPr>
                <w:lang w:eastAsia="en-US"/>
              </w:rPr>
              <w:t>BSN1</w:t>
            </w:r>
          </w:p>
        </w:tc>
        <w:tc>
          <w:tcPr>
            <w:tcW w:w="1134" w:type="dxa"/>
            <w:tcBorders>
              <w:left w:val="single" w:sz="6" w:space="0" w:color="auto"/>
            </w:tcBorders>
          </w:tcPr>
          <w:p w14:paraId="6F33C8BD" w14:textId="77777777" w:rsidR="00711444" w:rsidRPr="004D0DAA" w:rsidRDefault="00711444" w:rsidP="00AA2A4C">
            <w:pPr>
              <w:pStyle w:val="TAC"/>
              <w:rPr>
                <w:lang w:eastAsia="en-US"/>
              </w:rPr>
            </w:pPr>
            <w:r w:rsidRPr="004D0DAA">
              <w:rPr>
                <w:lang w:eastAsia="en-US"/>
              </w:rPr>
              <w:t>3</w:t>
            </w:r>
          </w:p>
        </w:tc>
      </w:tr>
      <w:tr w:rsidR="00711444" w:rsidRPr="004D0DAA" w14:paraId="2569A45E" w14:textId="77777777" w:rsidTr="00AA2A4C">
        <w:tblPrEx>
          <w:tblCellMar>
            <w:top w:w="0" w:type="dxa"/>
            <w:bottom w:w="0" w:type="dxa"/>
          </w:tblCellMar>
        </w:tblPrEx>
        <w:trPr>
          <w:cantSplit/>
          <w:jc w:val="center"/>
        </w:trPr>
        <w:tc>
          <w:tcPr>
            <w:tcW w:w="4056" w:type="dxa"/>
            <w:gridSpan w:val="8"/>
            <w:tcBorders>
              <w:top w:val="single" w:sz="4" w:space="0" w:color="auto"/>
              <w:left w:val="single" w:sz="4" w:space="0" w:color="auto"/>
              <w:bottom w:val="single" w:sz="4" w:space="0" w:color="auto"/>
              <w:right w:val="single" w:sz="4" w:space="0" w:color="auto"/>
            </w:tcBorders>
          </w:tcPr>
          <w:p w14:paraId="5A542892" w14:textId="77777777" w:rsidR="00711444" w:rsidRPr="004D0DAA" w:rsidRDefault="00711444" w:rsidP="00AA2A4C">
            <w:pPr>
              <w:pStyle w:val="TAC"/>
              <w:rPr>
                <w:lang w:eastAsia="en-US"/>
              </w:rPr>
            </w:pPr>
            <w:r w:rsidRPr="004D0DAA">
              <w:rPr>
                <w:lang w:eastAsia="en-US"/>
              </w:rPr>
              <w:t>BSN2</w:t>
            </w:r>
          </w:p>
        </w:tc>
        <w:tc>
          <w:tcPr>
            <w:tcW w:w="581" w:type="dxa"/>
            <w:tcBorders>
              <w:top w:val="single" w:sz="4" w:space="0" w:color="auto"/>
              <w:left w:val="single" w:sz="4" w:space="0" w:color="auto"/>
              <w:bottom w:val="single" w:sz="4" w:space="0" w:color="auto"/>
              <w:right w:val="single" w:sz="4" w:space="0" w:color="auto"/>
            </w:tcBorders>
          </w:tcPr>
          <w:p w14:paraId="69A549D8" w14:textId="77777777" w:rsidR="00711444" w:rsidRPr="004D0DAA" w:rsidRDefault="00711444" w:rsidP="00AA2A4C">
            <w:pPr>
              <w:pStyle w:val="TAC"/>
              <w:rPr>
                <w:lang w:eastAsia="en-US"/>
              </w:rPr>
            </w:pPr>
            <w:r w:rsidRPr="004D0DAA">
              <w:rPr>
                <w:lang w:eastAsia="en-US"/>
              </w:rPr>
              <w:t>BSN1</w:t>
            </w:r>
          </w:p>
        </w:tc>
        <w:tc>
          <w:tcPr>
            <w:tcW w:w="1134" w:type="dxa"/>
            <w:tcBorders>
              <w:left w:val="single" w:sz="4" w:space="0" w:color="auto"/>
            </w:tcBorders>
          </w:tcPr>
          <w:p w14:paraId="050ED763" w14:textId="77777777" w:rsidR="00711444" w:rsidRPr="004D0DAA" w:rsidRDefault="00711444" w:rsidP="00AA2A4C">
            <w:pPr>
              <w:pStyle w:val="TAC"/>
              <w:rPr>
                <w:lang w:eastAsia="en-US"/>
              </w:rPr>
            </w:pPr>
            <w:r w:rsidRPr="004D0DAA">
              <w:rPr>
                <w:lang w:eastAsia="en-US"/>
              </w:rPr>
              <w:t>4</w:t>
            </w:r>
          </w:p>
        </w:tc>
      </w:tr>
      <w:tr w:rsidR="00711444" w:rsidRPr="004D0DAA" w14:paraId="4253EADD" w14:textId="77777777" w:rsidTr="00AA2A4C">
        <w:tblPrEx>
          <w:tblCellMar>
            <w:top w:w="0" w:type="dxa"/>
            <w:bottom w:w="0" w:type="dxa"/>
          </w:tblCellMar>
        </w:tblPrEx>
        <w:trPr>
          <w:cantSplit/>
          <w:jc w:val="center"/>
        </w:trPr>
        <w:tc>
          <w:tcPr>
            <w:tcW w:w="581" w:type="dxa"/>
            <w:tcBorders>
              <w:top w:val="single" w:sz="4" w:space="0" w:color="auto"/>
              <w:left w:val="single" w:sz="4" w:space="0" w:color="auto"/>
              <w:bottom w:val="single" w:sz="4" w:space="0" w:color="auto"/>
              <w:right w:val="single" w:sz="6" w:space="0" w:color="auto"/>
            </w:tcBorders>
          </w:tcPr>
          <w:p w14:paraId="60D374DA" w14:textId="77777777" w:rsidR="00711444" w:rsidRPr="004D0DAA" w:rsidRDefault="00711444" w:rsidP="00AA2A4C">
            <w:pPr>
              <w:pStyle w:val="TAC"/>
              <w:rPr>
                <w:lang w:eastAsia="en-US"/>
              </w:rPr>
            </w:pPr>
            <w:r w:rsidRPr="004D0DAA">
              <w:rPr>
                <w:lang w:eastAsia="en-US"/>
              </w:rPr>
              <w:t>Spare</w:t>
            </w:r>
          </w:p>
        </w:tc>
        <w:tc>
          <w:tcPr>
            <w:tcW w:w="2321" w:type="dxa"/>
            <w:gridSpan w:val="5"/>
            <w:tcBorders>
              <w:top w:val="single" w:sz="4" w:space="0" w:color="auto"/>
              <w:left w:val="single" w:sz="4" w:space="0" w:color="auto"/>
              <w:bottom w:val="single" w:sz="4" w:space="0" w:color="auto"/>
              <w:right w:val="single" w:sz="6" w:space="0" w:color="auto"/>
            </w:tcBorders>
          </w:tcPr>
          <w:p w14:paraId="2B36ACB5" w14:textId="77777777" w:rsidR="00711444" w:rsidRPr="004D0DAA" w:rsidRDefault="00711444" w:rsidP="00AA2A4C">
            <w:pPr>
              <w:pStyle w:val="TAC"/>
              <w:rPr>
                <w:lang w:eastAsia="en-US"/>
              </w:rPr>
            </w:pPr>
            <w:r w:rsidRPr="004D0DAA">
              <w:rPr>
                <w:lang w:eastAsia="en-US"/>
              </w:rPr>
              <w:t xml:space="preserve">CPS </w:t>
            </w:r>
          </w:p>
        </w:tc>
        <w:tc>
          <w:tcPr>
            <w:tcW w:w="1735" w:type="dxa"/>
            <w:gridSpan w:val="3"/>
            <w:tcBorders>
              <w:top w:val="single" w:sz="4" w:space="0" w:color="auto"/>
              <w:left w:val="single" w:sz="4" w:space="0" w:color="auto"/>
              <w:bottom w:val="single" w:sz="4" w:space="0" w:color="auto"/>
              <w:right w:val="single" w:sz="6" w:space="0" w:color="auto"/>
            </w:tcBorders>
          </w:tcPr>
          <w:p w14:paraId="6B8C699A" w14:textId="77777777" w:rsidR="00711444" w:rsidRPr="004D0DAA" w:rsidRDefault="00711444" w:rsidP="00AA2A4C">
            <w:pPr>
              <w:pStyle w:val="TAC"/>
              <w:rPr>
                <w:lang w:eastAsia="en-US"/>
              </w:rPr>
            </w:pPr>
            <w:r w:rsidRPr="004D0DAA">
              <w:rPr>
                <w:lang w:eastAsia="en-US"/>
              </w:rPr>
              <w:t>BSN2</w:t>
            </w:r>
          </w:p>
        </w:tc>
        <w:tc>
          <w:tcPr>
            <w:tcW w:w="1134" w:type="dxa"/>
            <w:tcBorders>
              <w:left w:val="single" w:sz="6" w:space="0" w:color="auto"/>
            </w:tcBorders>
          </w:tcPr>
          <w:p w14:paraId="04BC2E96" w14:textId="77777777" w:rsidR="00711444" w:rsidRPr="004D0DAA" w:rsidRDefault="00711444" w:rsidP="00AA2A4C">
            <w:pPr>
              <w:pStyle w:val="TAC"/>
              <w:rPr>
                <w:lang w:eastAsia="en-US"/>
              </w:rPr>
            </w:pPr>
            <w:r w:rsidRPr="004D0DAA">
              <w:rPr>
                <w:lang w:eastAsia="en-US"/>
              </w:rPr>
              <w:t>5</w:t>
            </w:r>
          </w:p>
        </w:tc>
      </w:tr>
      <w:tr w:rsidR="00711444" w:rsidRPr="004D0DAA" w14:paraId="6C243045" w14:textId="77777777" w:rsidTr="00AA2A4C">
        <w:tblPrEx>
          <w:tblCellMar>
            <w:top w:w="0" w:type="dxa"/>
            <w:bottom w:w="0" w:type="dxa"/>
          </w:tblCellMar>
        </w:tblPrEx>
        <w:trPr>
          <w:cantSplit/>
          <w:jc w:val="center"/>
        </w:trPr>
        <w:tc>
          <w:tcPr>
            <w:tcW w:w="581" w:type="dxa"/>
            <w:tcBorders>
              <w:top w:val="single" w:sz="4" w:space="0" w:color="auto"/>
              <w:bottom w:val="single" w:sz="4" w:space="0" w:color="auto"/>
            </w:tcBorders>
          </w:tcPr>
          <w:p w14:paraId="2865E6DF" w14:textId="77777777" w:rsidR="00711444" w:rsidRPr="004D0DAA" w:rsidRDefault="00711444" w:rsidP="00AA2A4C"/>
        </w:tc>
        <w:tc>
          <w:tcPr>
            <w:tcW w:w="583" w:type="dxa"/>
            <w:gridSpan w:val="2"/>
            <w:tcBorders>
              <w:top w:val="single" w:sz="4" w:space="0" w:color="auto"/>
              <w:bottom w:val="single" w:sz="4" w:space="0" w:color="auto"/>
            </w:tcBorders>
          </w:tcPr>
          <w:p w14:paraId="6856B088" w14:textId="77777777" w:rsidR="00711444" w:rsidRPr="004D0DAA" w:rsidRDefault="00711444" w:rsidP="00AA2A4C"/>
        </w:tc>
        <w:tc>
          <w:tcPr>
            <w:tcW w:w="580" w:type="dxa"/>
            <w:tcBorders>
              <w:top w:val="single" w:sz="4" w:space="0" w:color="auto"/>
              <w:bottom w:val="single" w:sz="6" w:space="0" w:color="auto"/>
            </w:tcBorders>
          </w:tcPr>
          <w:p w14:paraId="60BF4219" w14:textId="77777777" w:rsidR="00711444" w:rsidRPr="004D0DAA" w:rsidRDefault="00711444" w:rsidP="00AA2A4C">
            <w:pPr>
              <w:tabs>
                <w:tab w:val="center" w:pos="257"/>
              </w:tabs>
            </w:pPr>
          </w:p>
        </w:tc>
        <w:tc>
          <w:tcPr>
            <w:tcW w:w="582" w:type="dxa"/>
            <w:tcBorders>
              <w:top w:val="single" w:sz="4" w:space="0" w:color="auto"/>
              <w:bottom w:val="single" w:sz="6" w:space="0" w:color="auto"/>
            </w:tcBorders>
          </w:tcPr>
          <w:p w14:paraId="24579A1E" w14:textId="77777777" w:rsidR="00711444" w:rsidRPr="004D0DAA" w:rsidRDefault="00711444" w:rsidP="00AA2A4C">
            <w:pPr>
              <w:tabs>
                <w:tab w:val="center" w:pos="257"/>
              </w:tabs>
            </w:pPr>
          </w:p>
        </w:tc>
        <w:tc>
          <w:tcPr>
            <w:tcW w:w="576" w:type="dxa"/>
            <w:tcBorders>
              <w:top w:val="single" w:sz="4" w:space="0" w:color="auto"/>
              <w:bottom w:val="single" w:sz="6" w:space="0" w:color="auto"/>
            </w:tcBorders>
          </w:tcPr>
          <w:p w14:paraId="4FC02CFE" w14:textId="77777777" w:rsidR="00711444" w:rsidRPr="004D0DAA" w:rsidRDefault="00711444" w:rsidP="00AA2A4C">
            <w:pPr>
              <w:tabs>
                <w:tab w:val="center" w:pos="257"/>
              </w:tabs>
            </w:pPr>
          </w:p>
        </w:tc>
        <w:tc>
          <w:tcPr>
            <w:tcW w:w="577" w:type="dxa"/>
            <w:tcBorders>
              <w:top w:val="single" w:sz="4" w:space="0" w:color="auto"/>
              <w:bottom w:val="single" w:sz="6" w:space="0" w:color="auto"/>
            </w:tcBorders>
          </w:tcPr>
          <w:p w14:paraId="1A8AD9AD" w14:textId="77777777" w:rsidR="00711444" w:rsidRPr="004D0DAA" w:rsidRDefault="00711444" w:rsidP="00AA2A4C">
            <w:pPr>
              <w:tabs>
                <w:tab w:val="center" w:pos="257"/>
              </w:tabs>
            </w:pPr>
          </w:p>
        </w:tc>
        <w:tc>
          <w:tcPr>
            <w:tcW w:w="577" w:type="dxa"/>
            <w:tcBorders>
              <w:top w:val="single" w:sz="4" w:space="0" w:color="auto"/>
              <w:bottom w:val="single" w:sz="6" w:space="0" w:color="auto"/>
              <w:right w:val="single" w:sz="6" w:space="0" w:color="auto"/>
            </w:tcBorders>
          </w:tcPr>
          <w:p w14:paraId="5BCD8DAC" w14:textId="77777777" w:rsidR="00711444" w:rsidRPr="004D0DAA" w:rsidRDefault="00711444" w:rsidP="00AA2A4C"/>
        </w:tc>
        <w:tc>
          <w:tcPr>
            <w:tcW w:w="581" w:type="dxa"/>
            <w:tcBorders>
              <w:top w:val="single" w:sz="4" w:space="0" w:color="auto"/>
              <w:left w:val="single" w:sz="6" w:space="0" w:color="auto"/>
              <w:bottom w:val="single" w:sz="6" w:space="0" w:color="auto"/>
              <w:right w:val="single" w:sz="6" w:space="0" w:color="auto"/>
            </w:tcBorders>
          </w:tcPr>
          <w:p w14:paraId="77C0F8CA" w14:textId="77777777" w:rsidR="00711444" w:rsidRPr="004D0DAA" w:rsidRDefault="00711444" w:rsidP="00AA2A4C">
            <w:pPr>
              <w:pStyle w:val="TAC"/>
              <w:rPr>
                <w:lang w:eastAsia="en-US"/>
              </w:rPr>
            </w:pPr>
            <w:r w:rsidRPr="004D0DAA">
              <w:rPr>
                <w:lang w:eastAsia="en-US"/>
              </w:rPr>
              <w:t>Spare</w:t>
            </w:r>
          </w:p>
        </w:tc>
        <w:tc>
          <w:tcPr>
            <w:tcW w:w="1134" w:type="dxa"/>
            <w:tcBorders>
              <w:left w:val="single" w:sz="6" w:space="0" w:color="auto"/>
            </w:tcBorders>
          </w:tcPr>
          <w:p w14:paraId="41156082" w14:textId="77777777" w:rsidR="00711444" w:rsidRPr="004D0DAA" w:rsidRDefault="00711444" w:rsidP="00AA2A4C">
            <w:pPr>
              <w:pStyle w:val="TAC"/>
              <w:rPr>
                <w:lang w:eastAsia="en-US"/>
              </w:rPr>
            </w:pPr>
            <w:r w:rsidRPr="004D0DAA">
              <w:rPr>
                <w:lang w:eastAsia="en-US"/>
              </w:rPr>
              <w:t>6</w:t>
            </w:r>
          </w:p>
        </w:tc>
      </w:tr>
    </w:tbl>
    <w:p w14:paraId="435CA720" w14:textId="77777777" w:rsidR="00711444" w:rsidRPr="004D0DAA" w:rsidRDefault="00711444" w:rsidP="00711444">
      <w:pPr>
        <w:pStyle w:val="TAN"/>
      </w:pPr>
    </w:p>
    <w:p w14:paraId="54844B5E" w14:textId="77777777" w:rsidR="00711444" w:rsidRPr="004D0DAA" w:rsidRDefault="00711444" w:rsidP="00711444">
      <w:pPr>
        <w:pStyle w:val="TF"/>
      </w:pPr>
      <w:r w:rsidRPr="004D0DAA">
        <w:t>Figure 10.3a.3.7.1: Combined downlink RLC data block header</w:t>
      </w:r>
      <w:r w:rsidRPr="004D0DAA">
        <w:br/>
        <w:t>for DBS-7 and DBS-8.</w:t>
      </w:r>
    </w:p>
    <w:p w14:paraId="724C3FB2" w14:textId="77777777" w:rsidR="00711444" w:rsidRPr="004D0DAA" w:rsidRDefault="00711444" w:rsidP="00711444">
      <w:pPr>
        <w:pStyle w:val="Heading4"/>
      </w:pPr>
      <w:bookmarkStart w:id="529" w:name="_Toc516669710"/>
      <w:r w:rsidRPr="004D0DAA">
        <w:t>10.3a.3.8</w:t>
      </w:r>
      <w:r w:rsidRPr="004D0DAA">
        <w:tab/>
        <w:t>Header type 8: header for DBS-9 and DBS-10</w:t>
      </w:r>
      <w:bookmarkEnd w:id="529"/>
    </w:p>
    <w:p w14:paraId="723474BD" w14:textId="77777777" w:rsidR="00711444" w:rsidRPr="004D0DAA" w:rsidRDefault="00711444" w:rsidP="00711444">
      <w:r w:rsidRPr="004D0DAA">
        <w:t>The combined downlink RLC/MAC header for DBS-9 and DBS-10 (header type 8) shall be formatted according to figure 10.3a.3.8.1.</w:t>
      </w:r>
    </w:p>
    <w:tbl>
      <w:tblPr>
        <w:tblW w:w="0" w:type="auto"/>
        <w:jc w:val="center"/>
        <w:tblLayout w:type="fixed"/>
        <w:tblCellMar>
          <w:left w:w="28" w:type="dxa"/>
          <w:right w:w="28" w:type="dxa"/>
        </w:tblCellMar>
        <w:tblLook w:val="0000" w:firstRow="0" w:lastRow="0" w:firstColumn="0" w:lastColumn="0" w:noHBand="0" w:noVBand="0"/>
      </w:tblPr>
      <w:tblGrid>
        <w:gridCol w:w="18"/>
        <w:gridCol w:w="565"/>
        <w:gridCol w:w="7"/>
        <w:gridCol w:w="23"/>
        <w:gridCol w:w="554"/>
        <w:gridCol w:w="15"/>
        <w:gridCol w:w="571"/>
        <w:gridCol w:w="584"/>
        <w:gridCol w:w="586"/>
        <w:gridCol w:w="579"/>
        <w:gridCol w:w="575"/>
        <w:gridCol w:w="585"/>
        <w:gridCol w:w="1141"/>
        <w:gridCol w:w="16"/>
      </w:tblGrid>
      <w:tr w:rsidR="00711444" w:rsidRPr="004D0DAA" w14:paraId="61F35B4B" w14:textId="77777777" w:rsidTr="00AA2A4C">
        <w:tblPrEx>
          <w:tblCellMar>
            <w:top w:w="0" w:type="dxa"/>
            <w:bottom w:w="0" w:type="dxa"/>
          </w:tblCellMar>
        </w:tblPrEx>
        <w:trPr>
          <w:gridBefore w:val="1"/>
          <w:wBefore w:w="18" w:type="dxa"/>
          <w:cantSplit/>
          <w:jc w:val="center"/>
        </w:trPr>
        <w:tc>
          <w:tcPr>
            <w:tcW w:w="4644" w:type="dxa"/>
            <w:gridSpan w:val="11"/>
          </w:tcPr>
          <w:p w14:paraId="616F7836" w14:textId="77777777" w:rsidR="00711444" w:rsidRPr="004D0DAA" w:rsidRDefault="00711444" w:rsidP="00AA2A4C">
            <w:pPr>
              <w:pStyle w:val="TAC"/>
              <w:rPr>
                <w:lang w:eastAsia="en-US"/>
              </w:rPr>
            </w:pPr>
            <w:r w:rsidRPr="004D0DAA">
              <w:rPr>
                <w:lang w:eastAsia="en-US"/>
              </w:rPr>
              <w:t>Bit</w:t>
            </w:r>
          </w:p>
        </w:tc>
        <w:tc>
          <w:tcPr>
            <w:tcW w:w="1157" w:type="dxa"/>
            <w:gridSpan w:val="2"/>
          </w:tcPr>
          <w:p w14:paraId="0C638BB5" w14:textId="77777777" w:rsidR="00711444" w:rsidRPr="004D0DAA" w:rsidRDefault="00711444" w:rsidP="00AA2A4C">
            <w:pPr>
              <w:pStyle w:val="TAC"/>
              <w:rPr>
                <w:lang w:eastAsia="en-US"/>
              </w:rPr>
            </w:pPr>
          </w:p>
        </w:tc>
      </w:tr>
      <w:tr w:rsidR="00711444" w:rsidRPr="004D0DAA" w14:paraId="22D396F7" w14:textId="77777777" w:rsidTr="00AA2A4C">
        <w:tblPrEx>
          <w:tblCellMar>
            <w:top w:w="0" w:type="dxa"/>
            <w:bottom w:w="0" w:type="dxa"/>
          </w:tblCellMar>
        </w:tblPrEx>
        <w:trPr>
          <w:gridAfter w:val="1"/>
          <w:wAfter w:w="16" w:type="dxa"/>
          <w:cantSplit/>
          <w:jc w:val="center"/>
        </w:trPr>
        <w:tc>
          <w:tcPr>
            <w:tcW w:w="613" w:type="dxa"/>
            <w:gridSpan w:val="4"/>
          </w:tcPr>
          <w:p w14:paraId="50024375" w14:textId="77777777" w:rsidR="00711444" w:rsidRPr="004D0DAA" w:rsidRDefault="00711444" w:rsidP="00AA2A4C">
            <w:pPr>
              <w:pStyle w:val="TAC"/>
              <w:rPr>
                <w:lang w:eastAsia="en-US"/>
              </w:rPr>
            </w:pPr>
            <w:r w:rsidRPr="004D0DAA">
              <w:rPr>
                <w:lang w:eastAsia="en-US"/>
              </w:rPr>
              <w:t>8</w:t>
            </w:r>
          </w:p>
        </w:tc>
        <w:tc>
          <w:tcPr>
            <w:tcW w:w="569" w:type="dxa"/>
            <w:gridSpan w:val="2"/>
          </w:tcPr>
          <w:p w14:paraId="01E2B8F9" w14:textId="77777777" w:rsidR="00711444" w:rsidRPr="004D0DAA" w:rsidRDefault="00711444" w:rsidP="00AA2A4C">
            <w:pPr>
              <w:pStyle w:val="TAC"/>
              <w:rPr>
                <w:lang w:eastAsia="en-US"/>
              </w:rPr>
            </w:pPr>
            <w:r w:rsidRPr="004D0DAA">
              <w:rPr>
                <w:lang w:eastAsia="en-US"/>
              </w:rPr>
              <w:t>7</w:t>
            </w:r>
          </w:p>
        </w:tc>
        <w:tc>
          <w:tcPr>
            <w:tcW w:w="571" w:type="dxa"/>
          </w:tcPr>
          <w:p w14:paraId="71DED749" w14:textId="77777777" w:rsidR="00711444" w:rsidRPr="004D0DAA" w:rsidRDefault="00711444" w:rsidP="00AA2A4C">
            <w:pPr>
              <w:pStyle w:val="TAC"/>
              <w:rPr>
                <w:lang w:eastAsia="en-US"/>
              </w:rPr>
            </w:pPr>
            <w:r w:rsidRPr="004D0DAA">
              <w:rPr>
                <w:lang w:eastAsia="en-US"/>
              </w:rPr>
              <w:t>6</w:t>
            </w:r>
          </w:p>
        </w:tc>
        <w:tc>
          <w:tcPr>
            <w:tcW w:w="584" w:type="dxa"/>
          </w:tcPr>
          <w:p w14:paraId="0CF5F985" w14:textId="77777777" w:rsidR="00711444" w:rsidRPr="004D0DAA" w:rsidRDefault="00711444" w:rsidP="00AA2A4C">
            <w:pPr>
              <w:pStyle w:val="TAC"/>
              <w:rPr>
                <w:lang w:eastAsia="en-US"/>
              </w:rPr>
            </w:pPr>
            <w:r w:rsidRPr="004D0DAA">
              <w:rPr>
                <w:lang w:eastAsia="en-US"/>
              </w:rPr>
              <w:t>5</w:t>
            </w:r>
          </w:p>
        </w:tc>
        <w:tc>
          <w:tcPr>
            <w:tcW w:w="586" w:type="dxa"/>
          </w:tcPr>
          <w:p w14:paraId="53722062" w14:textId="77777777" w:rsidR="00711444" w:rsidRPr="004D0DAA" w:rsidRDefault="00711444" w:rsidP="00AA2A4C">
            <w:pPr>
              <w:pStyle w:val="TAC"/>
              <w:rPr>
                <w:lang w:eastAsia="en-US"/>
              </w:rPr>
            </w:pPr>
            <w:r w:rsidRPr="004D0DAA">
              <w:rPr>
                <w:lang w:eastAsia="en-US"/>
              </w:rPr>
              <w:t>4</w:t>
            </w:r>
          </w:p>
        </w:tc>
        <w:tc>
          <w:tcPr>
            <w:tcW w:w="579" w:type="dxa"/>
          </w:tcPr>
          <w:p w14:paraId="5C512ADD" w14:textId="77777777" w:rsidR="00711444" w:rsidRPr="004D0DAA" w:rsidRDefault="00711444" w:rsidP="00AA2A4C">
            <w:pPr>
              <w:pStyle w:val="TAC"/>
              <w:rPr>
                <w:lang w:eastAsia="en-US"/>
              </w:rPr>
            </w:pPr>
            <w:r w:rsidRPr="004D0DAA">
              <w:rPr>
                <w:lang w:eastAsia="en-US"/>
              </w:rPr>
              <w:t>3</w:t>
            </w:r>
          </w:p>
        </w:tc>
        <w:tc>
          <w:tcPr>
            <w:tcW w:w="575" w:type="dxa"/>
          </w:tcPr>
          <w:p w14:paraId="30E64344" w14:textId="77777777" w:rsidR="00711444" w:rsidRPr="004D0DAA" w:rsidRDefault="00711444" w:rsidP="00AA2A4C">
            <w:pPr>
              <w:pStyle w:val="TAC"/>
              <w:rPr>
                <w:lang w:eastAsia="en-US"/>
              </w:rPr>
            </w:pPr>
            <w:r w:rsidRPr="004D0DAA">
              <w:rPr>
                <w:lang w:eastAsia="en-US"/>
              </w:rPr>
              <w:t>2</w:t>
            </w:r>
          </w:p>
        </w:tc>
        <w:tc>
          <w:tcPr>
            <w:tcW w:w="585" w:type="dxa"/>
          </w:tcPr>
          <w:p w14:paraId="0CAF5F86" w14:textId="77777777" w:rsidR="00711444" w:rsidRPr="004D0DAA" w:rsidRDefault="00711444" w:rsidP="00AA2A4C">
            <w:pPr>
              <w:pStyle w:val="TAC"/>
              <w:rPr>
                <w:lang w:eastAsia="en-US"/>
              </w:rPr>
            </w:pPr>
            <w:r w:rsidRPr="004D0DAA">
              <w:rPr>
                <w:lang w:eastAsia="en-US"/>
              </w:rPr>
              <w:t>1</w:t>
            </w:r>
          </w:p>
        </w:tc>
        <w:tc>
          <w:tcPr>
            <w:tcW w:w="1141" w:type="dxa"/>
          </w:tcPr>
          <w:p w14:paraId="3EF046A9" w14:textId="77777777" w:rsidR="00711444" w:rsidRPr="004D0DAA" w:rsidRDefault="00711444" w:rsidP="00AA2A4C">
            <w:pPr>
              <w:pStyle w:val="TAC"/>
              <w:rPr>
                <w:lang w:eastAsia="en-US"/>
              </w:rPr>
            </w:pPr>
            <w:r w:rsidRPr="004D0DAA">
              <w:rPr>
                <w:lang w:eastAsia="en-US"/>
              </w:rPr>
              <w:t>Octet</w:t>
            </w:r>
          </w:p>
        </w:tc>
      </w:tr>
      <w:tr w:rsidR="00711444" w:rsidRPr="004D0DAA" w14:paraId="0F2B284E" w14:textId="77777777" w:rsidTr="00AA2A4C">
        <w:tblPrEx>
          <w:tblCellMar>
            <w:top w:w="0" w:type="dxa"/>
            <w:bottom w:w="0" w:type="dxa"/>
          </w:tblCellMar>
        </w:tblPrEx>
        <w:trPr>
          <w:gridAfter w:val="1"/>
          <w:wAfter w:w="16" w:type="dxa"/>
          <w:cantSplit/>
          <w:jc w:val="center"/>
        </w:trPr>
        <w:tc>
          <w:tcPr>
            <w:tcW w:w="590" w:type="dxa"/>
            <w:gridSpan w:val="3"/>
            <w:tcBorders>
              <w:top w:val="single" w:sz="6" w:space="0" w:color="auto"/>
              <w:left w:val="single" w:sz="6" w:space="0" w:color="auto"/>
              <w:bottom w:val="single" w:sz="6" w:space="0" w:color="auto"/>
              <w:right w:val="single" w:sz="6" w:space="0" w:color="auto"/>
            </w:tcBorders>
          </w:tcPr>
          <w:p w14:paraId="2A5345D8" w14:textId="77777777" w:rsidR="00711444" w:rsidRPr="004D0DAA" w:rsidRDefault="00711444" w:rsidP="00AA2A4C">
            <w:pPr>
              <w:pStyle w:val="TAC"/>
              <w:rPr>
                <w:lang w:eastAsia="en-US"/>
              </w:rPr>
            </w:pPr>
            <w:r w:rsidRPr="004D0DAA">
              <w:rPr>
                <w:lang w:eastAsia="en-US"/>
              </w:rPr>
              <w:t>TFI</w:t>
            </w:r>
          </w:p>
        </w:tc>
        <w:tc>
          <w:tcPr>
            <w:tcW w:w="592" w:type="dxa"/>
            <w:gridSpan w:val="3"/>
            <w:tcBorders>
              <w:top w:val="single" w:sz="6" w:space="0" w:color="auto"/>
              <w:left w:val="single" w:sz="6" w:space="0" w:color="auto"/>
              <w:bottom w:val="single" w:sz="6" w:space="0" w:color="auto"/>
              <w:right w:val="single" w:sz="6" w:space="0" w:color="auto"/>
            </w:tcBorders>
          </w:tcPr>
          <w:p w14:paraId="57AB2737" w14:textId="77777777" w:rsidR="00711444" w:rsidRPr="004D0DAA" w:rsidRDefault="00711444" w:rsidP="00AA2A4C">
            <w:pPr>
              <w:pStyle w:val="TAC"/>
              <w:rPr>
                <w:lang w:eastAsia="en-US"/>
              </w:rPr>
            </w:pPr>
            <w:r w:rsidRPr="004D0DAA">
              <w:rPr>
                <w:lang w:eastAsia="en-US"/>
              </w:rPr>
              <w:t>PANI</w:t>
            </w:r>
          </w:p>
        </w:tc>
        <w:tc>
          <w:tcPr>
            <w:tcW w:w="1741" w:type="dxa"/>
            <w:gridSpan w:val="3"/>
            <w:tcBorders>
              <w:top w:val="single" w:sz="6" w:space="0" w:color="auto"/>
              <w:left w:val="single" w:sz="6" w:space="0" w:color="auto"/>
              <w:bottom w:val="single" w:sz="6" w:space="0" w:color="auto"/>
            </w:tcBorders>
          </w:tcPr>
          <w:p w14:paraId="5C0C4837" w14:textId="77777777" w:rsidR="00711444" w:rsidRPr="004D0DAA" w:rsidRDefault="00711444" w:rsidP="00AA2A4C">
            <w:pPr>
              <w:pStyle w:val="TAC"/>
              <w:rPr>
                <w:lang w:eastAsia="en-US"/>
              </w:rPr>
            </w:pPr>
            <w:r w:rsidRPr="004D0DAA">
              <w:rPr>
                <w:lang w:eastAsia="en-US"/>
              </w:rPr>
              <w:t>CES/P</w:t>
            </w:r>
          </w:p>
        </w:tc>
        <w:tc>
          <w:tcPr>
            <w:tcW w:w="1739" w:type="dxa"/>
            <w:gridSpan w:val="3"/>
            <w:tcBorders>
              <w:top w:val="single" w:sz="6" w:space="0" w:color="auto"/>
              <w:left w:val="single" w:sz="6" w:space="0" w:color="auto"/>
              <w:right w:val="single" w:sz="6" w:space="0" w:color="auto"/>
            </w:tcBorders>
          </w:tcPr>
          <w:p w14:paraId="5E3B3AA6" w14:textId="77777777" w:rsidR="00711444" w:rsidRPr="004D0DAA" w:rsidRDefault="00711444" w:rsidP="00AA2A4C">
            <w:pPr>
              <w:pStyle w:val="TAC"/>
              <w:rPr>
                <w:lang w:eastAsia="en-US"/>
              </w:rPr>
            </w:pPr>
            <w:r w:rsidRPr="004D0DAA">
              <w:rPr>
                <w:lang w:eastAsia="en-US"/>
              </w:rPr>
              <w:t>USF</w:t>
            </w:r>
          </w:p>
        </w:tc>
        <w:tc>
          <w:tcPr>
            <w:tcW w:w="1141" w:type="dxa"/>
            <w:tcBorders>
              <w:left w:val="single" w:sz="6" w:space="0" w:color="auto"/>
            </w:tcBorders>
          </w:tcPr>
          <w:p w14:paraId="2145D5E3" w14:textId="77777777" w:rsidR="00711444" w:rsidRPr="004D0DAA" w:rsidRDefault="00711444" w:rsidP="00AA2A4C">
            <w:pPr>
              <w:pStyle w:val="TAC"/>
              <w:rPr>
                <w:lang w:eastAsia="en-US"/>
              </w:rPr>
            </w:pPr>
            <w:r w:rsidRPr="004D0DAA">
              <w:rPr>
                <w:lang w:eastAsia="en-US"/>
              </w:rPr>
              <w:t>1</w:t>
            </w:r>
          </w:p>
        </w:tc>
      </w:tr>
      <w:tr w:rsidR="00711444" w:rsidRPr="004D0DAA" w14:paraId="2D449BF1" w14:textId="77777777" w:rsidTr="00AA2A4C">
        <w:tblPrEx>
          <w:tblCellMar>
            <w:top w:w="0" w:type="dxa"/>
            <w:bottom w:w="0" w:type="dxa"/>
          </w:tblCellMar>
        </w:tblPrEx>
        <w:trPr>
          <w:gridAfter w:val="1"/>
          <w:wAfter w:w="16" w:type="dxa"/>
          <w:cantSplit/>
          <w:jc w:val="center"/>
        </w:trPr>
        <w:tc>
          <w:tcPr>
            <w:tcW w:w="1167" w:type="dxa"/>
            <w:gridSpan w:val="5"/>
            <w:tcBorders>
              <w:left w:val="single" w:sz="6" w:space="0" w:color="auto"/>
              <w:right w:val="single" w:sz="6" w:space="0" w:color="auto"/>
            </w:tcBorders>
          </w:tcPr>
          <w:p w14:paraId="05B5ECB7" w14:textId="77777777" w:rsidR="00711444" w:rsidRPr="004D0DAA" w:rsidRDefault="00711444" w:rsidP="00AA2A4C">
            <w:pPr>
              <w:pStyle w:val="TAC"/>
              <w:rPr>
                <w:lang w:eastAsia="en-US"/>
              </w:rPr>
            </w:pPr>
            <w:r w:rsidRPr="004D0DAA">
              <w:rPr>
                <w:lang w:eastAsia="en-US"/>
              </w:rPr>
              <w:t>BSN1</w:t>
            </w:r>
          </w:p>
        </w:tc>
        <w:tc>
          <w:tcPr>
            <w:tcW w:w="1170" w:type="dxa"/>
            <w:gridSpan w:val="3"/>
            <w:tcBorders>
              <w:left w:val="single" w:sz="6" w:space="0" w:color="auto"/>
              <w:right w:val="single" w:sz="6" w:space="0" w:color="auto"/>
            </w:tcBorders>
          </w:tcPr>
          <w:p w14:paraId="2F46DAAF" w14:textId="77777777" w:rsidR="00711444" w:rsidRPr="004D0DAA" w:rsidRDefault="00711444" w:rsidP="00AA2A4C">
            <w:pPr>
              <w:pStyle w:val="TAC"/>
              <w:rPr>
                <w:lang w:eastAsia="en-US"/>
              </w:rPr>
            </w:pPr>
            <w:r w:rsidRPr="004D0DAA">
              <w:rPr>
                <w:lang w:eastAsia="en-US"/>
              </w:rPr>
              <w:t>PR</w:t>
            </w:r>
          </w:p>
        </w:tc>
        <w:tc>
          <w:tcPr>
            <w:tcW w:w="2325" w:type="dxa"/>
            <w:gridSpan w:val="4"/>
            <w:tcBorders>
              <w:top w:val="single" w:sz="6" w:space="0" w:color="auto"/>
              <w:left w:val="single" w:sz="6" w:space="0" w:color="auto"/>
              <w:bottom w:val="single" w:sz="6" w:space="0" w:color="auto"/>
              <w:right w:val="single" w:sz="6" w:space="0" w:color="auto"/>
            </w:tcBorders>
          </w:tcPr>
          <w:p w14:paraId="4C4039E0" w14:textId="77777777" w:rsidR="00711444" w:rsidRPr="004D0DAA" w:rsidRDefault="00711444" w:rsidP="00AA2A4C">
            <w:pPr>
              <w:pStyle w:val="TAC"/>
              <w:rPr>
                <w:lang w:eastAsia="en-US"/>
              </w:rPr>
            </w:pPr>
            <w:r w:rsidRPr="004D0DAA">
              <w:rPr>
                <w:lang w:eastAsia="en-US"/>
              </w:rPr>
              <w:t>TFI</w:t>
            </w:r>
          </w:p>
        </w:tc>
        <w:tc>
          <w:tcPr>
            <w:tcW w:w="1141" w:type="dxa"/>
            <w:tcBorders>
              <w:left w:val="single" w:sz="6" w:space="0" w:color="auto"/>
            </w:tcBorders>
          </w:tcPr>
          <w:p w14:paraId="56F91918" w14:textId="77777777" w:rsidR="00711444" w:rsidRPr="004D0DAA" w:rsidRDefault="00711444" w:rsidP="00AA2A4C">
            <w:pPr>
              <w:pStyle w:val="TAC"/>
              <w:rPr>
                <w:lang w:eastAsia="en-US"/>
              </w:rPr>
            </w:pPr>
            <w:r w:rsidRPr="004D0DAA">
              <w:rPr>
                <w:lang w:eastAsia="en-US"/>
              </w:rPr>
              <w:t>2</w:t>
            </w:r>
          </w:p>
        </w:tc>
      </w:tr>
      <w:tr w:rsidR="00711444" w:rsidRPr="004D0DAA" w14:paraId="325DD08C" w14:textId="77777777" w:rsidTr="00AA2A4C">
        <w:tblPrEx>
          <w:tblCellMar>
            <w:top w:w="0" w:type="dxa"/>
            <w:bottom w:w="0" w:type="dxa"/>
          </w:tblCellMar>
        </w:tblPrEx>
        <w:trPr>
          <w:gridAfter w:val="1"/>
          <w:wAfter w:w="16" w:type="dxa"/>
          <w:cantSplit/>
          <w:jc w:val="center"/>
        </w:trPr>
        <w:tc>
          <w:tcPr>
            <w:tcW w:w="4662" w:type="dxa"/>
            <w:gridSpan w:val="12"/>
            <w:tcBorders>
              <w:top w:val="single" w:sz="6" w:space="0" w:color="auto"/>
              <w:left w:val="single" w:sz="6" w:space="0" w:color="auto"/>
              <w:bottom w:val="single" w:sz="4" w:space="0" w:color="auto"/>
              <w:right w:val="single" w:sz="6" w:space="0" w:color="auto"/>
            </w:tcBorders>
          </w:tcPr>
          <w:p w14:paraId="3C1F2772" w14:textId="77777777" w:rsidR="00711444" w:rsidRPr="004D0DAA" w:rsidRDefault="00711444" w:rsidP="00AA2A4C">
            <w:pPr>
              <w:pStyle w:val="TAC"/>
              <w:rPr>
                <w:lang w:eastAsia="en-US"/>
              </w:rPr>
            </w:pPr>
            <w:r w:rsidRPr="004D0DAA">
              <w:rPr>
                <w:lang w:eastAsia="en-US"/>
              </w:rPr>
              <w:t>BSN1</w:t>
            </w:r>
          </w:p>
        </w:tc>
        <w:tc>
          <w:tcPr>
            <w:tcW w:w="1141" w:type="dxa"/>
            <w:tcBorders>
              <w:left w:val="single" w:sz="6" w:space="0" w:color="auto"/>
            </w:tcBorders>
          </w:tcPr>
          <w:p w14:paraId="1239116A" w14:textId="77777777" w:rsidR="00711444" w:rsidRPr="004D0DAA" w:rsidRDefault="00711444" w:rsidP="00AA2A4C">
            <w:pPr>
              <w:pStyle w:val="TAC"/>
              <w:rPr>
                <w:lang w:eastAsia="en-US"/>
              </w:rPr>
            </w:pPr>
            <w:r w:rsidRPr="004D0DAA">
              <w:rPr>
                <w:lang w:eastAsia="en-US"/>
              </w:rPr>
              <w:t>3</w:t>
            </w:r>
          </w:p>
        </w:tc>
      </w:tr>
      <w:tr w:rsidR="00711444" w:rsidRPr="004D0DAA" w14:paraId="258C284C" w14:textId="77777777" w:rsidTr="00AA2A4C">
        <w:tblPrEx>
          <w:tblCellMar>
            <w:top w:w="0" w:type="dxa"/>
            <w:bottom w:w="0" w:type="dxa"/>
          </w:tblCellMar>
        </w:tblPrEx>
        <w:trPr>
          <w:gridAfter w:val="1"/>
          <w:wAfter w:w="16" w:type="dxa"/>
          <w:cantSplit/>
          <w:jc w:val="center"/>
        </w:trPr>
        <w:tc>
          <w:tcPr>
            <w:tcW w:w="4077" w:type="dxa"/>
            <w:gridSpan w:val="11"/>
            <w:tcBorders>
              <w:top w:val="single" w:sz="4" w:space="0" w:color="auto"/>
              <w:left w:val="single" w:sz="4" w:space="0" w:color="auto"/>
              <w:bottom w:val="single" w:sz="4" w:space="0" w:color="auto"/>
              <w:right w:val="single" w:sz="4" w:space="0" w:color="auto"/>
            </w:tcBorders>
          </w:tcPr>
          <w:p w14:paraId="541657CF" w14:textId="77777777" w:rsidR="00711444" w:rsidRPr="004D0DAA" w:rsidRDefault="00711444" w:rsidP="00AA2A4C">
            <w:pPr>
              <w:pStyle w:val="TAC"/>
              <w:rPr>
                <w:lang w:eastAsia="en-US"/>
              </w:rPr>
            </w:pPr>
            <w:r w:rsidRPr="004D0DAA">
              <w:rPr>
                <w:lang w:eastAsia="en-US"/>
              </w:rPr>
              <w:t>BSN2</w:t>
            </w:r>
          </w:p>
        </w:tc>
        <w:tc>
          <w:tcPr>
            <w:tcW w:w="585" w:type="dxa"/>
            <w:tcBorders>
              <w:top w:val="single" w:sz="4" w:space="0" w:color="auto"/>
              <w:left w:val="single" w:sz="4" w:space="0" w:color="auto"/>
              <w:bottom w:val="single" w:sz="4" w:space="0" w:color="auto"/>
              <w:right w:val="single" w:sz="4" w:space="0" w:color="auto"/>
            </w:tcBorders>
          </w:tcPr>
          <w:p w14:paraId="78338EF1" w14:textId="77777777" w:rsidR="00711444" w:rsidRPr="004D0DAA" w:rsidRDefault="00711444" w:rsidP="00AA2A4C">
            <w:pPr>
              <w:pStyle w:val="TAC"/>
              <w:rPr>
                <w:lang w:eastAsia="en-US"/>
              </w:rPr>
            </w:pPr>
            <w:r w:rsidRPr="004D0DAA">
              <w:rPr>
                <w:lang w:eastAsia="en-US"/>
              </w:rPr>
              <w:t>BSN1</w:t>
            </w:r>
          </w:p>
        </w:tc>
        <w:tc>
          <w:tcPr>
            <w:tcW w:w="1141" w:type="dxa"/>
            <w:tcBorders>
              <w:left w:val="single" w:sz="4" w:space="0" w:color="auto"/>
            </w:tcBorders>
          </w:tcPr>
          <w:p w14:paraId="6CFF9F38" w14:textId="77777777" w:rsidR="00711444" w:rsidRPr="004D0DAA" w:rsidRDefault="00711444" w:rsidP="00AA2A4C">
            <w:pPr>
              <w:pStyle w:val="TAC"/>
              <w:rPr>
                <w:lang w:eastAsia="en-US"/>
              </w:rPr>
            </w:pPr>
            <w:r w:rsidRPr="004D0DAA">
              <w:rPr>
                <w:lang w:eastAsia="en-US"/>
              </w:rPr>
              <w:t>4</w:t>
            </w:r>
          </w:p>
        </w:tc>
      </w:tr>
      <w:tr w:rsidR="00711444" w:rsidRPr="004D0DAA" w14:paraId="48BEA5E3" w14:textId="77777777" w:rsidTr="00AA2A4C">
        <w:tblPrEx>
          <w:tblCellMar>
            <w:top w:w="0" w:type="dxa"/>
            <w:bottom w:w="0" w:type="dxa"/>
          </w:tblCellMar>
        </w:tblPrEx>
        <w:trPr>
          <w:gridAfter w:val="1"/>
          <w:wAfter w:w="16" w:type="dxa"/>
          <w:cantSplit/>
          <w:jc w:val="center"/>
        </w:trPr>
        <w:tc>
          <w:tcPr>
            <w:tcW w:w="2923" w:type="dxa"/>
            <w:gridSpan w:val="9"/>
            <w:tcBorders>
              <w:top w:val="single" w:sz="4" w:space="0" w:color="auto"/>
              <w:left w:val="single" w:sz="4" w:space="0" w:color="auto"/>
              <w:bottom w:val="single" w:sz="4" w:space="0" w:color="auto"/>
              <w:right w:val="single" w:sz="4" w:space="0" w:color="auto"/>
            </w:tcBorders>
          </w:tcPr>
          <w:p w14:paraId="0CF2B651" w14:textId="77777777" w:rsidR="00711444" w:rsidRPr="004D0DAA" w:rsidRDefault="00711444" w:rsidP="00AA2A4C">
            <w:pPr>
              <w:pStyle w:val="TAC"/>
              <w:rPr>
                <w:lang w:eastAsia="en-US"/>
              </w:rPr>
            </w:pPr>
            <w:r w:rsidRPr="004D0DAA">
              <w:rPr>
                <w:lang w:eastAsia="en-US"/>
              </w:rPr>
              <w:t>BSN 3</w:t>
            </w:r>
          </w:p>
        </w:tc>
        <w:tc>
          <w:tcPr>
            <w:tcW w:w="1739" w:type="dxa"/>
            <w:gridSpan w:val="3"/>
            <w:tcBorders>
              <w:top w:val="single" w:sz="4" w:space="0" w:color="auto"/>
              <w:left w:val="single" w:sz="4" w:space="0" w:color="auto"/>
              <w:bottom w:val="single" w:sz="4" w:space="0" w:color="auto"/>
              <w:right w:val="single" w:sz="4" w:space="0" w:color="auto"/>
            </w:tcBorders>
          </w:tcPr>
          <w:p w14:paraId="5648F892" w14:textId="77777777" w:rsidR="00711444" w:rsidRPr="004D0DAA" w:rsidRDefault="00711444" w:rsidP="00AA2A4C">
            <w:pPr>
              <w:pStyle w:val="TAC"/>
              <w:rPr>
                <w:lang w:eastAsia="en-US"/>
              </w:rPr>
            </w:pPr>
            <w:r w:rsidRPr="004D0DAA">
              <w:rPr>
                <w:lang w:eastAsia="en-US"/>
              </w:rPr>
              <w:t>BSN2</w:t>
            </w:r>
          </w:p>
        </w:tc>
        <w:tc>
          <w:tcPr>
            <w:tcW w:w="1141" w:type="dxa"/>
            <w:tcBorders>
              <w:left w:val="single" w:sz="4" w:space="0" w:color="auto"/>
            </w:tcBorders>
          </w:tcPr>
          <w:p w14:paraId="4874ED41" w14:textId="77777777" w:rsidR="00711444" w:rsidRPr="004D0DAA" w:rsidRDefault="00711444" w:rsidP="00AA2A4C">
            <w:pPr>
              <w:pStyle w:val="TAC"/>
              <w:rPr>
                <w:lang w:eastAsia="en-US"/>
              </w:rPr>
            </w:pPr>
            <w:r w:rsidRPr="004D0DAA">
              <w:rPr>
                <w:lang w:eastAsia="en-US"/>
              </w:rPr>
              <w:t>5</w:t>
            </w:r>
          </w:p>
        </w:tc>
      </w:tr>
      <w:tr w:rsidR="00711444" w:rsidRPr="004D0DAA" w14:paraId="3EEA6A5F" w14:textId="77777777" w:rsidTr="00AA2A4C">
        <w:tblPrEx>
          <w:tblCellMar>
            <w:top w:w="0" w:type="dxa"/>
            <w:bottom w:w="0" w:type="dxa"/>
          </w:tblCellMar>
        </w:tblPrEx>
        <w:trPr>
          <w:gridAfter w:val="1"/>
          <w:wAfter w:w="16" w:type="dxa"/>
          <w:cantSplit/>
          <w:jc w:val="center"/>
        </w:trPr>
        <w:tc>
          <w:tcPr>
            <w:tcW w:w="1753" w:type="dxa"/>
            <w:gridSpan w:val="7"/>
            <w:tcBorders>
              <w:top w:val="single" w:sz="4" w:space="0" w:color="auto"/>
              <w:left w:val="single" w:sz="4" w:space="0" w:color="auto"/>
              <w:bottom w:val="single" w:sz="4" w:space="0" w:color="auto"/>
              <w:right w:val="single" w:sz="4" w:space="0" w:color="auto"/>
            </w:tcBorders>
          </w:tcPr>
          <w:p w14:paraId="54EED60C" w14:textId="77777777" w:rsidR="00711444" w:rsidRPr="004D0DAA" w:rsidRDefault="00711444" w:rsidP="00AA2A4C">
            <w:pPr>
              <w:pStyle w:val="TAC"/>
              <w:rPr>
                <w:lang w:eastAsia="en-US"/>
              </w:rPr>
            </w:pPr>
            <w:r w:rsidRPr="004D0DAA">
              <w:rPr>
                <w:lang w:eastAsia="en-US"/>
              </w:rPr>
              <w:t>CPS</w:t>
            </w:r>
          </w:p>
        </w:tc>
        <w:tc>
          <w:tcPr>
            <w:tcW w:w="2909" w:type="dxa"/>
            <w:gridSpan w:val="5"/>
            <w:tcBorders>
              <w:top w:val="single" w:sz="4" w:space="0" w:color="auto"/>
              <w:left w:val="single" w:sz="4" w:space="0" w:color="auto"/>
              <w:bottom w:val="single" w:sz="4" w:space="0" w:color="auto"/>
              <w:right w:val="single" w:sz="4" w:space="0" w:color="auto"/>
            </w:tcBorders>
          </w:tcPr>
          <w:p w14:paraId="6996695E" w14:textId="77777777" w:rsidR="00711444" w:rsidRPr="004D0DAA" w:rsidRDefault="00711444" w:rsidP="00AA2A4C">
            <w:pPr>
              <w:pStyle w:val="TAC"/>
              <w:rPr>
                <w:lang w:eastAsia="en-US"/>
              </w:rPr>
            </w:pPr>
            <w:r w:rsidRPr="004D0DAA">
              <w:rPr>
                <w:lang w:eastAsia="en-US"/>
              </w:rPr>
              <w:t>BSN3</w:t>
            </w:r>
          </w:p>
        </w:tc>
        <w:tc>
          <w:tcPr>
            <w:tcW w:w="1141" w:type="dxa"/>
            <w:tcBorders>
              <w:left w:val="single" w:sz="4" w:space="0" w:color="auto"/>
            </w:tcBorders>
          </w:tcPr>
          <w:p w14:paraId="4A552147" w14:textId="77777777" w:rsidR="00711444" w:rsidRPr="004D0DAA" w:rsidRDefault="00711444" w:rsidP="00AA2A4C">
            <w:pPr>
              <w:pStyle w:val="TAC"/>
              <w:rPr>
                <w:lang w:eastAsia="en-US"/>
              </w:rPr>
            </w:pPr>
            <w:r w:rsidRPr="004D0DAA">
              <w:rPr>
                <w:lang w:eastAsia="en-US"/>
              </w:rPr>
              <w:t>6</w:t>
            </w:r>
          </w:p>
        </w:tc>
      </w:tr>
      <w:tr w:rsidR="00711444" w:rsidRPr="004D0DAA" w14:paraId="01BAA663" w14:textId="77777777" w:rsidTr="00AA2A4C">
        <w:tblPrEx>
          <w:tblCellMar>
            <w:top w:w="0" w:type="dxa"/>
            <w:bottom w:w="0" w:type="dxa"/>
          </w:tblCellMar>
        </w:tblPrEx>
        <w:trPr>
          <w:gridAfter w:val="1"/>
          <w:wAfter w:w="16" w:type="dxa"/>
          <w:cantSplit/>
          <w:jc w:val="center"/>
        </w:trPr>
        <w:tc>
          <w:tcPr>
            <w:tcW w:w="583" w:type="dxa"/>
            <w:gridSpan w:val="2"/>
            <w:tcBorders>
              <w:top w:val="single" w:sz="4" w:space="0" w:color="auto"/>
            </w:tcBorders>
          </w:tcPr>
          <w:p w14:paraId="41FFA696" w14:textId="77777777" w:rsidR="00711444" w:rsidRPr="004D0DAA" w:rsidRDefault="00711444" w:rsidP="00AA2A4C"/>
        </w:tc>
        <w:tc>
          <w:tcPr>
            <w:tcW w:w="584" w:type="dxa"/>
            <w:gridSpan w:val="3"/>
            <w:tcBorders>
              <w:top w:val="single" w:sz="4" w:space="0" w:color="auto"/>
            </w:tcBorders>
          </w:tcPr>
          <w:p w14:paraId="07A6ADCD" w14:textId="77777777" w:rsidR="00711444" w:rsidRPr="004D0DAA" w:rsidRDefault="00711444" w:rsidP="00AA2A4C"/>
        </w:tc>
        <w:tc>
          <w:tcPr>
            <w:tcW w:w="586" w:type="dxa"/>
            <w:gridSpan w:val="2"/>
            <w:tcBorders>
              <w:top w:val="single" w:sz="4" w:space="0" w:color="auto"/>
              <w:right w:val="single" w:sz="4" w:space="0" w:color="auto"/>
            </w:tcBorders>
          </w:tcPr>
          <w:p w14:paraId="206634C4" w14:textId="77777777" w:rsidR="00711444" w:rsidRPr="004D0DAA" w:rsidRDefault="00711444" w:rsidP="00AA2A4C"/>
        </w:tc>
        <w:tc>
          <w:tcPr>
            <w:tcW w:w="1170" w:type="dxa"/>
            <w:gridSpan w:val="2"/>
            <w:tcBorders>
              <w:top w:val="single" w:sz="4" w:space="0" w:color="auto"/>
              <w:bottom w:val="single" w:sz="4" w:space="0" w:color="auto"/>
              <w:right w:val="single" w:sz="4" w:space="0" w:color="auto"/>
            </w:tcBorders>
          </w:tcPr>
          <w:p w14:paraId="0C030BE3" w14:textId="77777777" w:rsidR="00711444" w:rsidRPr="004D0DAA" w:rsidRDefault="00711444" w:rsidP="00AA2A4C">
            <w:pPr>
              <w:pStyle w:val="TAC"/>
              <w:rPr>
                <w:lang w:eastAsia="en-US"/>
              </w:rPr>
            </w:pPr>
            <w:r w:rsidRPr="004D0DAA">
              <w:rPr>
                <w:lang w:eastAsia="en-US"/>
              </w:rPr>
              <w:t>Spare</w:t>
            </w:r>
          </w:p>
        </w:tc>
        <w:tc>
          <w:tcPr>
            <w:tcW w:w="1739" w:type="dxa"/>
            <w:gridSpan w:val="3"/>
            <w:tcBorders>
              <w:top w:val="single" w:sz="4" w:space="0" w:color="auto"/>
              <w:left w:val="single" w:sz="4" w:space="0" w:color="auto"/>
              <w:bottom w:val="single" w:sz="4" w:space="0" w:color="auto"/>
              <w:right w:val="single" w:sz="4" w:space="0" w:color="auto"/>
            </w:tcBorders>
          </w:tcPr>
          <w:p w14:paraId="6BEBBE48" w14:textId="77777777" w:rsidR="00711444" w:rsidRPr="004D0DAA" w:rsidRDefault="00711444" w:rsidP="00AA2A4C">
            <w:pPr>
              <w:pStyle w:val="TAC"/>
              <w:rPr>
                <w:lang w:eastAsia="en-US"/>
              </w:rPr>
            </w:pPr>
            <w:r w:rsidRPr="004D0DAA">
              <w:rPr>
                <w:lang w:eastAsia="en-US"/>
              </w:rPr>
              <w:t>CPS</w:t>
            </w:r>
          </w:p>
        </w:tc>
        <w:tc>
          <w:tcPr>
            <w:tcW w:w="1141" w:type="dxa"/>
            <w:tcBorders>
              <w:left w:val="single" w:sz="4" w:space="0" w:color="auto"/>
            </w:tcBorders>
          </w:tcPr>
          <w:p w14:paraId="4DEFC08C" w14:textId="77777777" w:rsidR="00711444" w:rsidRPr="004D0DAA" w:rsidRDefault="00711444" w:rsidP="00AA2A4C">
            <w:pPr>
              <w:pStyle w:val="TAC"/>
              <w:rPr>
                <w:lang w:eastAsia="en-US"/>
              </w:rPr>
            </w:pPr>
            <w:r w:rsidRPr="004D0DAA">
              <w:rPr>
                <w:lang w:eastAsia="en-US"/>
              </w:rPr>
              <w:t>7</w:t>
            </w:r>
          </w:p>
        </w:tc>
      </w:tr>
    </w:tbl>
    <w:p w14:paraId="708DCA2D" w14:textId="77777777" w:rsidR="00711444" w:rsidRPr="004D0DAA" w:rsidRDefault="00711444" w:rsidP="00711444">
      <w:pPr>
        <w:pStyle w:val="TAN"/>
      </w:pPr>
    </w:p>
    <w:p w14:paraId="0A92129F" w14:textId="77777777" w:rsidR="00711444" w:rsidRPr="004D0DAA" w:rsidRDefault="00711444" w:rsidP="00711444">
      <w:pPr>
        <w:pStyle w:val="TF"/>
      </w:pPr>
      <w:r w:rsidRPr="004D0DAA">
        <w:t>Figure 10.3a.3.8.1: Combined downlink RLC data block header</w:t>
      </w:r>
      <w:r w:rsidRPr="004D0DAA">
        <w:br/>
        <w:t>for DBS-9 and DBS-10.</w:t>
      </w:r>
    </w:p>
    <w:p w14:paraId="20E101F4" w14:textId="77777777" w:rsidR="00711444" w:rsidRPr="004D0DAA" w:rsidRDefault="00711444" w:rsidP="00711444">
      <w:pPr>
        <w:pStyle w:val="Heading4"/>
      </w:pPr>
      <w:bookmarkStart w:id="530" w:name="_Toc516669711"/>
      <w:r w:rsidRPr="004D0DAA">
        <w:t>10.3a.3.9</w:t>
      </w:r>
      <w:r w:rsidRPr="004D0DAA">
        <w:tab/>
        <w:t>Header type 9: header for DBS-11 and DBS-12</w:t>
      </w:r>
      <w:bookmarkEnd w:id="530"/>
    </w:p>
    <w:p w14:paraId="7314BD36" w14:textId="77777777" w:rsidR="00711444" w:rsidRPr="004D0DAA" w:rsidRDefault="00711444" w:rsidP="00711444">
      <w:pPr>
        <w:rPr>
          <w:b/>
        </w:rPr>
      </w:pPr>
      <w:r w:rsidRPr="004D0DAA">
        <w:t>The combined downlink RLC/MAC header for DBS-11 and DBS-12 (header type 9) shall be formatted according to figure 10.3a.3.9.1.</w:t>
      </w:r>
    </w:p>
    <w:tbl>
      <w:tblPr>
        <w:tblW w:w="0" w:type="auto"/>
        <w:jc w:val="center"/>
        <w:tblLayout w:type="fixed"/>
        <w:tblCellMar>
          <w:left w:w="28" w:type="dxa"/>
          <w:right w:w="28" w:type="dxa"/>
        </w:tblCellMar>
        <w:tblLook w:val="0000" w:firstRow="0" w:lastRow="0" w:firstColumn="0" w:lastColumn="0" w:noHBand="0" w:noVBand="0"/>
      </w:tblPr>
      <w:tblGrid>
        <w:gridCol w:w="18"/>
        <w:gridCol w:w="565"/>
        <w:gridCol w:w="7"/>
        <w:gridCol w:w="23"/>
        <w:gridCol w:w="553"/>
        <w:gridCol w:w="14"/>
        <w:gridCol w:w="570"/>
        <w:gridCol w:w="585"/>
        <w:gridCol w:w="580"/>
        <w:gridCol w:w="581"/>
        <w:gridCol w:w="578"/>
        <w:gridCol w:w="579"/>
        <w:gridCol w:w="1141"/>
        <w:gridCol w:w="16"/>
      </w:tblGrid>
      <w:tr w:rsidR="00711444" w:rsidRPr="004D0DAA" w14:paraId="3BFA2D2B" w14:textId="77777777" w:rsidTr="00AA2A4C">
        <w:tblPrEx>
          <w:tblCellMar>
            <w:top w:w="0" w:type="dxa"/>
            <w:bottom w:w="0" w:type="dxa"/>
          </w:tblCellMar>
        </w:tblPrEx>
        <w:trPr>
          <w:gridBefore w:val="1"/>
          <w:wBefore w:w="18" w:type="dxa"/>
          <w:cantSplit/>
          <w:jc w:val="center"/>
        </w:trPr>
        <w:tc>
          <w:tcPr>
            <w:tcW w:w="4635" w:type="dxa"/>
            <w:gridSpan w:val="11"/>
          </w:tcPr>
          <w:p w14:paraId="7DABBD12" w14:textId="77777777" w:rsidR="00711444" w:rsidRPr="004D0DAA" w:rsidRDefault="00711444" w:rsidP="00AA2A4C">
            <w:pPr>
              <w:pStyle w:val="TAC"/>
              <w:rPr>
                <w:lang w:eastAsia="en-US"/>
              </w:rPr>
            </w:pPr>
            <w:r w:rsidRPr="004D0DAA">
              <w:rPr>
                <w:lang w:eastAsia="en-US"/>
              </w:rPr>
              <w:lastRenderedPageBreak/>
              <w:t>Bit</w:t>
            </w:r>
          </w:p>
        </w:tc>
        <w:tc>
          <w:tcPr>
            <w:tcW w:w="1157" w:type="dxa"/>
            <w:gridSpan w:val="2"/>
          </w:tcPr>
          <w:p w14:paraId="40815081" w14:textId="77777777" w:rsidR="00711444" w:rsidRPr="004D0DAA" w:rsidRDefault="00711444" w:rsidP="00AA2A4C">
            <w:pPr>
              <w:pStyle w:val="TAC"/>
              <w:rPr>
                <w:lang w:eastAsia="en-US"/>
              </w:rPr>
            </w:pPr>
          </w:p>
        </w:tc>
      </w:tr>
      <w:tr w:rsidR="00711444" w:rsidRPr="004D0DAA" w14:paraId="11BC833B" w14:textId="77777777" w:rsidTr="00AA2A4C">
        <w:tblPrEx>
          <w:tblCellMar>
            <w:top w:w="0" w:type="dxa"/>
            <w:bottom w:w="0" w:type="dxa"/>
          </w:tblCellMar>
        </w:tblPrEx>
        <w:trPr>
          <w:gridAfter w:val="1"/>
          <w:wAfter w:w="16" w:type="dxa"/>
          <w:cantSplit/>
          <w:jc w:val="center"/>
        </w:trPr>
        <w:tc>
          <w:tcPr>
            <w:tcW w:w="613" w:type="dxa"/>
            <w:gridSpan w:val="4"/>
          </w:tcPr>
          <w:p w14:paraId="07A3AF54" w14:textId="77777777" w:rsidR="00711444" w:rsidRPr="004D0DAA" w:rsidRDefault="00711444" w:rsidP="00AA2A4C">
            <w:pPr>
              <w:pStyle w:val="TAC"/>
              <w:rPr>
                <w:lang w:eastAsia="en-US"/>
              </w:rPr>
            </w:pPr>
            <w:r w:rsidRPr="004D0DAA">
              <w:rPr>
                <w:lang w:eastAsia="en-US"/>
              </w:rPr>
              <w:t>8</w:t>
            </w:r>
          </w:p>
        </w:tc>
        <w:tc>
          <w:tcPr>
            <w:tcW w:w="567" w:type="dxa"/>
            <w:gridSpan w:val="2"/>
          </w:tcPr>
          <w:p w14:paraId="2D89E1CA" w14:textId="77777777" w:rsidR="00711444" w:rsidRPr="004D0DAA" w:rsidRDefault="00711444" w:rsidP="00AA2A4C">
            <w:pPr>
              <w:pStyle w:val="TAC"/>
              <w:rPr>
                <w:lang w:eastAsia="en-US"/>
              </w:rPr>
            </w:pPr>
            <w:r w:rsidRPr="004D0DAA">
              <w:rPr>
                <w:lang w:eastAsia="en-US"/>
              </w:rPr>
              <w:t>7</w:t>
            </w:r>
          </w:p>
        </w:tc>
        <w:tc>
          <w:tcPr>
            <w:tcW w:w="570" w:type="dxa"/>
          </w:tcPr>
          <w:p w14:paraId="1DA7C5AC" w14:textId="77777777" w:rsidR="00711444" w:rsidRPr="004D0DAA" w:rsidRDefault="00711444" w:rsidP="00AA2A4C">
            <w:pPr>
              <w:pStyle w:val="TAC"/>
              <w:rPr>
                <w:lang w:eastAsia="en-US"/>
              </w:rPr>
            </w:pPr>
            <w:r w:rsidRPr="004D0DAA">
              <w:rPr>
                <w:lang w:eastAsia="en-US"/>
              </w:rPr>
              <w:t>6</w:t>
            </w:r>
          </w:p>
        </w:tc>
        <w:tc>
          <w:tcPr>
            <w:tcW w:w="585" w:type="dxa"/>
          </w:tcPr>
          <w:p w14:paraId="48570F4E" w14:textId="77777777" w:rsidR="00711444" w:rsidRPr="004D0DAA" w:rsidRDefault="00711444" w:rsidP="00AA2A4C">
            <w:pPr>
              <w:pStyle w:val="TAC"/>
              <w:rPr>
                <w:lang w:eastAsia="en-US"/>
              </w:rPr>
            </w:pPr>
            <w:r w:rsidRPr="004D0DAA">
              <w:rPr>
                <w:lang w:eastAsia="en-US"/>
              </w:rPr>
              <w:t>5</w:t>
            </w:r>
          </w:p>
        </w:tc>
        <w:tc>
          <w:tcPr>
            <w:tcW w:w="580" w:type="dxa"/>
          </w:tcPr>
          <w:p w14:paraId="4EF3098A" w14:textId="77777777" w:rsidR="00711444" w:rsidRPr="004D0DAA" w:rsidRDefault="00711444" w:rsidP="00AA2A4C">
            <w:pPr>
              <w:pStyle w:val="TAC"/>
              <w:rPr>
                <w:lang w:eastAsia="en-US"/>
              </w:rPr>
            </w:pPr>
            <w:r w:rsidRPr="004D0DAA">
              <w:rPr>
                <w:lang w:eastAsia="en-US"/>
              </w:rPr>
              <w:t>4</w:t>
            </w:r>
          </w:p>
        </w:tc>
        <w:tc>
          <w:tcPr>
            <w:tcW w:w="581" w:type="dxa"/>
          </w:tcPr>
          <w:p w14:paraId="5CC1C3AE" w14:textId="77777777" w:rsidR="00711444" w:rsidRPr="004D0DAA" w:rsidRDefault="00711444" w:rsidP="00AA2A4C">
            <w:pPr>
              <w:pStyle w:val="TAC"/>
              <w:rPr>
                <w:lang w:eastAsia="en-US"/>
              </w:rPr>
            </w:pPr>
            <w:r w:rsidRPr="004D0DAA">
              <w:rPr>
                <w:lang w:eastAsia="en-US"/>
              </w:rPr>
              <w:t>3</w:t>
            </w:r>
          </w:p>
        </w:tc>
        <w:tc>
          <w:tcPr>
            <w:tcW w:w="578" w:type="dxa"/>
          </w:tcPr>
          <w:p w14:paraId="107CCE2B" w14:textId="77777777" w:rsidR="00711444" w:rsidRPr="004D0DAA" w:rsidRDefault="00711444" w:rsidP="00AA2A4C">
            <w:pPr>
              <w:pStyle w:val="TAC"/>
              <w:rPr>
                <w:lang w:eastAsia="en-US"/>
              </w:rPr>
            </w:pPr>
            <w:r w:rsidRPr="004D0DAA">
              <w:rPr>
                <w:lang w:eastAsia="en-US"/>
              </w:rPr>
              <w:t>2</w:t>
            </w:r>
          </w:p>
        </w:tc>
        <w:tc>
          <w:tcPr>
            <w:tcW w:w="579" w:type="dxa"/>
          </w:tcPr>
          <w:p w14:paraId="1EFE06F0" w14:textId="77777777" w:rsidR="00711444" w:rsidRPr="004D0DAA" w:rsidRDefault="00711444" w:rsidP="00AA2A4C">
            <w:pPr>
              <w:pStyle w:val="TAC"/>
              <w:rPr>
                <w:lang w:eastAsia="en-US"/>
              </w:rPr>
            </w:pPr>
            <w:r w:rsidRPr="004D0DAA">
              <w:rPr>
                <w:lang w:eastAsia="en-US"/>
              </w:rPr>
              <w:t>1</w:t>
            </w:r>
          </w:p>
        </w:tc>
        <w:tc>
          <w:tcPr>
            <w:tcW w:w="1141" w:type="dxa"/>
          </w:tcPr>
          <w:p w14:paraId="125CEB53" w14:textId="77777777" w:rsidR="00711444" w:rsidRPr="004D0DAA" w:rsidRDefault="00711444" w:rsidP="00AA2A4C">
            <w:pPr>
              <w:pStyle w:val="TAC"/>
              <w:rPr>
                <w:lang w:eastAsia="en-US"/>
              </w:rPr>
            </w:pPr>
            <w:r w:rsidRPr="004D0DAA">
              <w:rPr>
                <w:lang w:eastAsia="en-US"/>
              </w:rPr>
              <w:t>Octet</w:t>
            </w:r>
          </w:p>
        </w:tc>
      </w:tr>
      <w:tr w:rsidR="00711444" w:rsidRPr="004D0DAA" w14:paraId="13A99B35" w14:textId="77777777" w:rsidTr="00AA2A4C">
        <w:tblPrEx>
          <w:tblCellMar>
            <w:top w:w="0" w:type="dxa"/>
            <w:bottom w:w="0" w:type="dxa"/>
          </w:tblCellMar>
        </w:tblPrEx>
        <w:trPr>
          <w:gridAfter w:val="1"/>
          <w:wAfter w:w="16" w:type="dxa"/>
          <w:cantSplit/>
          <w:jc w:val="center"/>
        </w:trPr>
        <w:tc>
          <w:tcPr>
            <w:tcW w:w="590" w:type="dxa"/>
            <w:gridSpan w:val="3"/>
            <w:tcBorders>
              <w:top w:val="single" w:sz="6" w:space="0" w:color="auto"/>
              <w:left w:val="single" w:sz="6" w:space="0" w:color="auto"/>
              <w:bottom w:val="single" w:sz="6" w:space="0" w:color="auto"/>
              <w:right w:val="single" w:sz="6" w:space="0" w:color="auto"/>
            </w:tcBorders>
          </w:tcPr>
          <w:p w14:paraId="08032B21" w14:textId="77777777" w:rsidR="00711444" w:rsidRPr="004D0DAA" w:rsidRDefault="00711444" w:rsidP="00AA2A4C">
            <w:pPr>
              <w:pStyle w:val="TAC"/>
              <w:rPr>
                <w:lang w:eastAsia="en-US"/>
              </w:rPr>
            </w:pPr>
            <w:r w:rsidRPr="004D0DAA">
              <w:rPr>
                <w:lang w:eastAsia="en-US"/>
              </w:rPr>
              <w:t>TFI</w:t>
            </w:r>
          </w:p>
        </w:tc>
        <w:tc>
          <w:tcPr>
            <w:tcW w:w="590" w:type="dxa"/>
            <w:gridSpan w:val="3"/>
            <w:tcBorders>
              <w:top w:val="single" w:sz="6" w:space="0" w:color="auto"/>
              <w:left w:val="single" w:sz="6" w:space="0" w:color="auto"/>
              <w:bottom w:val="single" w:sz="6" w:space="0" w:color="auto"/>
              <w:right w:val="single" w:sz="6" w:space="0" w:color="auto"/>
            </w:tcBorders>
          </w:tcPr>
          <w:p w14:paraId="7C9A4968" w14:textId="77777777" w:rsidR="00711444" w:rsidRPr="004D0DAA" w:rsidRDefault="00711444" w:rsidP="00AA2A4C">
            <w:pPr>
              <w:pStyle w:val="TAC"/>
              <w:rPr>
                <w:lang w:eastAsia="en-US"/>
              </w:rPr>
            </w:pPr>
            <w:r w:rsidRPr="004D0DAA">
              <w:rPr>
                <w:lang w:eastAsia="en-US"/>
              </w:rPr>
              <w:t>PANI</w:t>
            </w:r>
          </w:p>
        </w:tc>
        <w:tc>
          <w:tcPr>
            <w:tcW w:w="1735" w:type="dxa"/>
            <w:gridSpan w:val="3"/>
            <w:tcBorders>
              <w:top w:val="single" w:sz="6" w:space="0" w:color="auto"/>
              <w:left w:val="single" w:sz="6" w:space="0" w:color="auto"/>
              <w:bottom w:val="single" w:sz="6" w:space="0" w:color="auto"/>
            </w:tcBorders>
          </w:tcPr>
          <w:p w14:paraId="45FF125E" w14:textId="77777777" w:rsidR="00711444" w:rsidRPr="004D0DAA" w:rsidRDefault="00711444" w:rsidP="00AA2A4C">
            <w:pPr>
              <w:pStyle w:val="TAC"/>
              <w:rPr>
                <w:lang w:eastAsia="en-US"/>
              </w:rPr>
            </w:pPr>
            <w:r w:rsidRPr="004D0DAA">
              <w:rPr>
                <w:lang w:eastAsia="en-US"/>
              </w:rPr>
              <w:t>CES/P</w:t>
            </w:r>
          </w:p>
        </w:tc>
        <w:tc>
          <w:tcPr>
            <w:tcW w:w="1738" w:type="dxa"/>
            <w:gridSpan w:val="3"/>
            <w:tcBorders>
              <w:top w:val="single" w:sz="6" w:space="0" w:color="auto"/>
              <w:left w:val="single" w:sz="6" w:space="0" w:color="auto"/>
              <w:right w:val="single" w:sz="6" w:space="0" w:color="auto"/>
            </w:tcBorders>
          </w:tcPr>
          <w:p w14:paraId="65707617" w14:textId="77777777" w:rsidR="00711444" w:rsidRPr="004D0DAA" w:rsidRDefault="00711444" w:rsidP="00AA2A4C">
            <w:pPr>
              <w:pStyle w:val="TAC"/>
              <w:rPr>
                <w:lang w:eastAsia="en-US"/>
              </w:rPr>
            </w:pPr>
            <w:r w:rsidRPr="004D0DAA">
              <w:rPr>
                <w:lang w:eastAsia="en-US"/>
              </w:rPr>
              <w:t>USF</w:t>
            </w:r>
          </w:p>
        </w:tc>
        <w:tc>
          <w:tcPr>
            <w:tcW w:w="1141" w:type="dxa"/>
            <w:tcBorders>
              <w:left w:val="single" w:sz="6" w:space="0" w:color="auto"/>
            </w:tcBorders>
          </w:tcPr>
          <w:p w14:paraId="266F374F" w14:textId="77777777" w:rsidR="00711444" w:rsidRPr="004D0DAA" w:rsidRDefault="00711444" w:rsidP="00AA2A4C">
            <w:pPr>
              <w:pStyle w:val="TAC"/>
              <w:rPr>
                <w:lang w:eastAsia="en-US"/>
              </w:rPr>
            </w:pPr>
            <w:r w:rsidRPr="004D0DAA">
              <w:rPr>
                <w:lang w:eastAsia="en-US"/>
              </w:rPr>
              <w:t>1</w:t>
            </w:r>
          </w:p>
        </w:tc>
      </w:tr>
      <w:tr w:rsidR="00711444" w:rsidRPr="004D0DAA" w14:paraId="14668C0D" w14:textId="77777777" w:rsidTr="00AA2A4C">
        <w:tblPrEx>
          <w:tblCellMar>
            <w:top w:w="0" w:type="dxa"/>
            <w:bottom w:w="0" w:type="dxa"/>
          </w:tblCellMar>
        </w:tblPrEx>
        <w:trPr>
          <w:gridAfter w:val="1"/>
          <w:wAfter w:w="16" w:type="dxa"/>
          <w:cantSplit/>
          <w:jc w:val="center"/>
        </w:trPr>
        <w:tc>
          <w:tcPr>
            <w:tcW w:w="1166" w:type="dxa"/>
            <w:gridSpan w:val="5"/>
            <w:tcBorders>
              <w:left w:val="single" w:sz="6" w:space="0" w:color="auto"/>
              <w:right w:val="single" w:sz="6" w:space="0" w:color="auto"/>
            </w:tcBorders>
          </w:tcPr>
          <w:p w14:paraId="6CB3FAFF" w14:textId="77777777" w:rsidR="00711444" w:rsidRPr="004D0DAA" w:rsidRDefault="00711444" w:rsidP="00AA2A4C">
            <w:pPr>
              <w:pStyle w:val="TAC"/>
              <w:rPr>
                <w:lang w:eastAsia="en-US"/>
              </w:rPr>
            </w:pPr>
            <w:r w:rsidRPr="004D0DAA">
              <w:rPr>
                <w:lang w:eastAsia="en-US"/>
              </w:rPr>
              <w:t>BSN1</w:t>
            </w:r>
          </w:p>
        </w:tc>
        <w:tc>
          <w:tcPr>
            <w:tcW w:w="1169" w:type="dxa"/>
            <w:gridSpan w:val="3"/>
            <w:tcBorders>
              <w:left w:val="single" w:sz="6" w:space="0" w:color="auto"/>
              <w:right w:val="single" w:sz="6" w:space="0" w:color="auto"/>
            </w:tcBorders>
          </w:tcPr>
          <w:p w14:paraId="4FB0F20F" w14:textId="77777777" w:rsidR="00711444" w:rsidRPr="004D0DAA" w:rsidRDefault="00711444" w:rsidP="00AA2A4C">
            <w:pPr>
              <w:pStyle w:val="TAC"/>
              <w:rPr>
                <w:lang w:eastAsia="en-US"/>
              </w:rPr>
            </w:pPr>
            <w:r w:rsidRPr="004D0DAA">
              <w:rPr>
                <w:lang w:eastAsia="en-US"/>
              </w:rPr>
              <w:t>PR</w:t>
            </w:r>
          </w:p>
        </w:tc>
        <w:tc>
          <w:tcPr>
            <w:tcW w:w="2318" w:type="dxa"/>
            <w:gridSpan w:val="4"/>
            <w:tcBorders>
              <w:top w:val="single" w:sz="6" w:space="0" w:color="auto"/>
              <w:left w:val="single" w:sz="6" w:space="0" w:color="auto"/>
              <w:bottom w:val="single" w:sz="6" w:space="0" w:color="auto"/>
              <w:right w:val="single" w:sz="6" w:space="0" w:color="auto"/>
            </w:tcBorders>
          </w:tcPr>
          <w:p w14:paraId="5243192B" w14:textId="77777777" w:rsidR="00711444" w:rsidRPr="004D0DAA" w:rsidRDefault="00711444" w:rsidP="00AA2A4C">
            <w:pPr>
              <w:pStyle w:val="TAC"/>
              <w:rPr>
                <w:lang w:eastAsia="en-US"/>
              </w:rPr>
            </w:pPr>
            <w:r w:rsidRPr="004D0DAA">
              <w:rPr>
                <w:lang w:eastAsia="en-US"/>
              </w:rPr>
              <w:t>TFI</w:t>
            </w:r>
          </w:p>
        </w:tc>
        <w:tc>
          <w:tcPr>
            <w:tcW w:w="1141" w:type="dxa"/>
            <w:tcBorders>
              <w:left w:val="single" w:sz="6" w:space="0" w:color="auto"/>
            </w:tcBorders>
          </w:tcPr>
          <w:p w14:paraId="732959CA" w14:textId="77777777" w:rsidR="00711444" w:rsidRPr="004D0DAA" w:rsidRDefault="00711444" w:rsidP="00AA2A4C">
            <w:pPr>
              <w:pStyle w:val="TAC"/>
              <w:rPr>
                <w:lang w:eastAsia="en-US"/>
              </w:rPr>
            </w:pPr>
            <w:r w:rsidRPr="004D0DAA">
              <w:rPr>
                <w:lang w:eastAsia="en-US"/>
              </w:rPr>
              <w:t>2</w:t>
            </w:r>
          </w:p>
        </w:tc>
      </w:tr>
      <w:tr w:rsidR="00711444" w:rsidRPr="004D0DAA" w14:paraId="45071315" w14:textId="77777777" w:rsidTr="00AA2A4C">
        <w:tblPrEx>
          <w:tblCellMar>
            <w:top w:w="0" w:type="dxa"/>
            <w:bottom w:w="0" w:type="dxa"/>
          </w:tblCellMar>
        </w:tblPrEx>
        <w:trPr>
          <w:gridAfter w:val="1"/>
          <w:wAfter w:w="16" w:type="dxa"/>
          <w:cantSplit/>
          <w:jc w:val="center"/>
        </w:trPr>
        <w:tc>
          <w:tcPr>
            <w:tcW w:w="4653" w:type="dxa"/>
            <w:gridSpan w:val="12"/>
            <w:tcBorders>
              <w:top w:val="single" w:sz="6" w:space="0" w:color="auto"/>
              <w:left w:val="single" w:sz="6" w:space="0" w:color="auto"/>
              <w:bottom w:val="single" w:sz="4" w:space="0" w:color="auto"/>
              <w:right w:val="single" w:sz="6" w:space="0" w:color="auto"/>
            </w:tcBorders>
          </w:tcPr>
          <w:p w14:paraId="3D179754" w14:textId="77777777" w:rsidR="00711444" w:rsidRPr="004D0DAA" w:rsidRDefault="00711444" w:rsidP="00AA2A4C">
            <w:pPr>
              <w:pStyle w:val="TAC"/>
              <w:rPr>
                <w:lang w:eastAsia="en-US"/>
              </w:rPr>
            </w:pPr>
            <w:r w:rsidRPr="004D0DAA">
              <w:rPr>
                <w:lang w:eastAsia="en-US"/>
              </w:rPr>
              <w:t>BSN1</w:t>
            </w:r>
          </w:p>
        </w:tc>
        <w:tc>
          <w:tcPr>
            <w:tcW w:w="1141" w:type="dxa"/>
            <w:tcBorders>
              <w:left w:val="single" w:sz="6" w:space="0" w:color="auto"/>
            </w:tcBorders>
          </w:tcPr>
          <w:p w14:paraId="4D154BBB" w14:textId="77777777" w:rsidR="00711444" w:rsidRPr="004D0DAA" w:rsidRDefault="00711444" w:rsidP="00AA2A4C">
            <w:pPr>
              <w:pStyle w:val="TAC"/>
              <w:rPr>
                <w:lang w:eastAsia="en-US"/>
              </w:rPr>
            </w:pPr>
            <w:r w:rsidRPr="004D0DAA">
              <w:rPr>
                <w:lang w:eastAsia="en-US"/>
              </w:rPr>
              <w:t>3</w:t>
            </w:r>
          </w:p>
        </w:tc>
      </w:tr>
      <w:tr w:rsidR="00711444" w:rsidRPr="004D0DAA" w14:paraId="1A42DAC9" w14:textId="77777777" w:rsidTr="00AA2A4C">
        <w:tblPrEx>
          <w:tblCellMar>
            <w:top w:w="0" w:type="dxa"/>
            <w:bottom w:w="0" w:type="dxa"/>
          </w:tblCellMar>
        </w:tblPrEx>
        <w:trPr>
          <w:gridAfter w:val="1"/>
          <w:wAfter w:w="16" w:type="dxa"/>
          <w:cantSplit/>
          <w:jc w:val="center"/>
        </w:trPr>
        <w:tc>
          <w:tcPr>
            <w:tcW w:w="4074" w:type="dxa"/>
            <w:gridSpan w:val="11"/>
            <w:tcBorders>
              <w:top w:val="single" w:sz="4" w:space="0" w:color="auto"/>
              <w:left w:val="single" w:sz="4" w:space="0" w:color="auto"/>
              <w:bottom w:val="single" w:sz="4" w:space="0" w:color="auto"/>
              <w:right w:val="single" w:sz="4" w:space="0" w:color="auto"/>
            </w:tcBorders>
          </w:tcPr>
          <w:p w14:paraId="3B73F7C7" w14:textId="77777777" w:rsidR="00711444" w:rsidRPr="004D0DAA" w:rsidRDefault="00711444" w:rsidP="00AA2A4C">
            <w:pPr>
              <w:pStyle w:val="TAC"/>
              <w:rPr>
                <w:lang w:eastAsia="en-US"/>
              </w:rPr>
            </w:pPr>
            <w:r w:rsidRPr="004D0DAA">
              <w:rPr>
                <w:lang w:eastAsia="en-US"/>
              </w:rPr>
              <w:t>BSN2</w:t>
            </w:r>
          </w:p>
        </w:tc>
        <w:tc>
          <w:tcPr>
            <w:tcW w:w="579" w:type="dxa"/>
            <w:tcBorders>
              <w:top w:val="single" w:sz="4" w:space="0" w:color="auto"/>
              <w:left w:val="single" w:sz="4" w:space="0" w:color="auto"/>
              <w:bottom w:val="single" w:sz="4" w:space="0" w:color="auto"/>
              <w:right w:val="single" w:sz="4" w:space="0" w:color="auto"/>
            </w:tcBorders>
          </w:tcPr>
          <w:p w14:paraId="6AF55D64" w14:textId="77777777" w:rsidR="00711444" w:rsidRPr="004D0DAA" w:rsidRDefault="00711444" w:rsidP="00AA2A4C">
            <w:pPr>
              <w:pStyle w:val="TAC"/>
              <w:rPr>
                <w:lang w:eastAsia="en-US"/>
              </w:rPr>
            </w:pPr>
            <w:r w:rsidRPr="004D0DAA">
              <w:rPr>
                <w:lang w:eastAsia="en-US"/>
              </w:rPr>
              <w:t>BSN1</w:t>
            </w:r>
          </w:p>
        </w:tc>
        <w:tc>
          <w:tcPr>
            <w:tcW w:w="1141" w:type="dxa"/>
            <w:tcBorders>
              <w:left w:val="single" w:sz="4" w:space="0" w:color="auto"/>
            </w:tcBorders>
          </w:tcPr>
          <w:p w14:paraId="620CA5D6" w14:textId="77777777" w:rsidR="00711444" w:rsidRPr="004D0DAA" w:rsidRDefault="00711444" w:rsidP="00AA2A4C">
            <w:pPr>
              <w:pStyle w:val="TAC"/>
              <w:rPr>
                <w:lang w:eastAsia="en-US"/>
              </w:rPr>
            </w:pPr>
            <w:r w:rsidRPr="004D0DAA">
              <w:rPr>
                <w:lang w:eastAsia="en-US"/>
              </w:rPr>
              <w:t>4</w:t>
            </w:r>
          </w:p>
        </w:tc>
      </w:tr>
      <w:tr w:rsidR="00711444" w:rsidRPr="004D0DAA" w14:paraId="2DB6267D" w14:textId="77777777" w:rsidTr="00AA2A4C">
        <w:tblPrEx>
          <w:tblCellMar>
            <w:top w:w="0" w:type="dxa"/>
            <w:bottom w:w="0" w:type="dxa"/>
          </w:tblCellMar>
        </w:tblPrEx>
        <w:trPr>
          <w:gridAfter w:val="1"/>
          <w:wAfter w:w="16" w:type="dxa"/>
          <w:cantSplit/>
          <w:jc w:val="center"/>
        </w:trPr>
        <w:tc>
          <w:tcPr>
            <w:tcW w:w="2915" w:type="dxa"/>
            <w:gridSpan w:val="9"/>
            <w:tcBorders>
              <w:top w:val="single" w:sz="4" w:space="0" w:color="auto"/>
              <w:left w:val="single" w:sz="4" w:space="0" w:color="auto"/>
              <w:bottom w:val="single" w:sz="4" w:space="0" w:color="auto"/>
              <w:right w:val="single" w:sz="4" w:space="0" w:color="auto"/>
            </w:tcBorders>
          </w:tcPr>
          <w:p w14:paraId="11D014E8" w14:textId="77777777" w:rsidR="00711444" w:rsidRPr="004D0DAA" w:rsidRDefault="00711444" w:rsidP="00AA2A4C">
            <w:pPr>
              <w:pStyle w:val="TAC"/>
              <w:rPr>
                <w:lang w:eastAsia="en-US"/>
              </w:rPr>
            </w:pPr>
            <w:r w:rsidRPr="004D0DAA">
              <w:rPr>
                <w:lang w:eastAsia="en-US"/>
              </w:rPr>
              <w:t>BSN 3</w:t>
            </w:r>
          </w:p>
        </w:tc>
        <w:tc>
          <w:tcPr>
            <w:tcW w:w="1738" w:type="dxa"/>
            <w:gridSpan w:val="3"/>
            <w:tcBorders>
              <w:top w:val="single" w:sz="4" w:space="0" w:color="auto"/>
              <w:left w:val="single" w:sz="4" w:space="0" w:color="auto"/>
              <w:bottom w:val="single" w:sz="4" w:space="0" w:color="auto"/>
              <w:right w:val="single" w:sz="4" w:space="0" w:color="auto"/>
            </w:tcBorders>
          </w:tcPr>
          <w:p w14:paraId="76BED17C" w14:textId="77777777" w:rsidR="00711444" w:rsidRPr="004D0DAA" w:rsidRDefault="00711444" w:rsidP="00AA2A4C">
            <w:pPr>
              <w:pStyle w:val="TAC"/>
              <w:rPr>
                <w:lang w:eastAsia="en-US"/>
              </w:rPr>
            </w:pPr>
            <w:r w:rsidRPr="004D0DAA">
              <w:rPr>
                <w:lang w:eastAsia="en-US"/>
              </w:rPr>
              <w:t>BSN2</w:t>
            </w:r>
          </w:p>
        </w:tc>
        <w:tc>
          <w:tcPr>
            <w:tcW w:w="1141" w:type="dxa"/>
            <w:tcBorders>
              <w:left w:val="single" w:sz="4" w:space="0" w:color="auto"/>
            </w:tcBorders>
          </w:tcPr>
          <w:p w14:paraId="11776DA6" w14:textId="77777777" w:rsidR="00711444" w:rsidRPr="004D0DAA" w:rsidRDefault="00711444" w:rsidP="00AA2A4C">
            <w:pPr>
              <w:pStyle w:val="TAC"/>
              <w:rPr>
                <w:lang w:eastAsia="en-US"/>
              </w:rPr>
            </w:pPr>
            <w:r w:rsidRPr="004D0DAA">
              <w:rPr>
                <w:lang w:eastAsia="en-US"/>
              </w:rPr>
              <w:t>5</w:t>
            </w:r>
          </w:p>
        </w:tc>
      </w:tr>
      <w:tr w:rsidR="00711444" w:rsidRPr="004D0DAA" w14:paraId="4E4CAAFC" w14:textId="77777777" w:rsidTr="00AA2A4C">
        <w:tblPrEx>
          <w:tblCellMar>
            <w:top w:w="0" w:type="dxa"/>
            <w:bottom w:w="0" w:type="dxa"/>
          </w:tblCellMar>
        </w:tblPrEx>
        <w:trPr>
          <w:gridAfter w:val="1"/>
          <w:wAfter w:w="16" w:type="dxa"/>
          <w:cantSplit/>
          <w:jc w:val="center"/>
        </w:trPr>
        <w:tc>
          <w:tcPr>
            <w:tcW w:w="1750" w:type="dxa"/>
            <w:gridSpan w:val="7"/>
            <w:tcBorders>
              <w:top w:val="single" w:sz="4" w:space="0" w:color="auto"/>
              <w:left w:val="single" w:sz="4" w:space="0" w:color="auto"/>
              <w:bottom w:val="single" w:sz="4" w:space="0" w:color="auto"/>
              <w:right w:val="single" w:sz="4" w:space="0" w:color="auto"/>
            </w:tcBorders>
          </w:tcPr>
          <w:p w14:paraId="3FEF5131" w14:textId="77777777" w:rsidR="00711444" w:rsidRPr="004D0DAA" w:rsidRDefault="00711444" w:rsidP="00AA2A4C">
            <w:pPr>
              <w:pStyle w:val="TAC"/>
              <w:rPr>
                <w:lang w:eastAsia="en-US"/>
              </w:rPr>
            </w:pPr>
            <w:r w:rsidRPr="004D0DAA">
              <w:rPr>
                <w:lang w:eastAsia="en-US"/>
              </w:rPr>
              <w:t>BSN4</w:t>
            </w:r>
          </w:p>
        </w:tc>
        <w:tc>
          <w:tcPr>
            <w:tcW w:w="2903" w:type="dxa"/>
            <w:gridSpan w:val="5"/>
            <w:tcBorders>
              <w:top w:val="single" w:sz="4" w:space="0" w:color="auto"/>
              <w:left w:val="single" w:sz="4" w:space="0" w:color="auto"/>
              <w:bottom w:val="single" w:sz="4" w:space="0" w:color="auto"/>
              <w:right w:val="single" w:sz="4" w:space="0" w:color="auto"/>
            </w:tcBorders>
          </w:tcPr>
          <w:p w14:paraId="5B0A9F17" w14:textId="77777777" w:rsidR="00711444" w:rsidRPr="004D0DAA" w:rsidRDefault="00711444" w:rsidP="00AA2A4C">
            <w:pPr>
              <w:pStyle w:val="TAC"/>
              <w:rPr>
                <w:lang w:eastAsia="en-US"/>
              </w:rPr>
            </w:pPr>
            <w:r w:rsidRPr="004D0DAA">
              <w:rPr>
                <w:lang w:eastAsia="en-US"/>
              </w:rPr>
              <w:t>BSN3</w:t>
            </w:r>
          </w:p>
        </w:tc>
        <w:tc>
          <w:tcPr>
            <w:tcW w:w="1141" w:type="dxa"/>
            <w:tcBorders>
              <w:left w:val="single" w:sz="4" w:space="0" w:color="auto"/>
            </w:tcBorders>
          </w:tcPr>
          <w:p w14:paraId="41860A79" w14:textId="77777777" w:rsidR="00711444" w:rsidRPr="004D0DAA" w:rsidRDefault="00711444" w:rsidP="00AA2A4C">
            <w:pPr>
              <w:pStyle w:val="TAC"/>
              <w:rPr>
                <w:lang w:eastAsia="en-US"/>
              </w:rPr>
            </w:pPr>
            <w:r w:rsidRPr="004D0DAA">
              <w:rPr>
                <w:lang w:eastAsia="en-US"/>
              </w:rPr>
              <w:t>6</w:t>
            </w:r>
          </w:p>
        </w:tc>
      </w:tr>
      <w:tr w:rsidR="00711444" w:rsidRPr="004D0DAA" w14:paraId="2E75270F" w14:textId="77777777" w:rsidTr="00AA2A4C">
        <w:tblPrEx>
          <w:tblCellMar>
            <w:top w:w="0" w:type="dxa"/>
            <w:bottom w:w="0" w:type="dxa"/>
          </w:tblCellMar>
        </w:tblPrEx>
        <w:trPr>
          <w:gridAfter w:val="1"/>
          <w:wAfter w:w="16" w:type="dxa"/>
          <w:cantSplit/>
          <w:jc w:val="center"/>
        </w:trPr>
        <w:tc>
          <w:tcPr>
            <w:tcW w:w="583" w:type="dxa"/>
            <w:gridSpan w:val="2"/>
            <w:tcBorders>
              <w:top w:val="single" w:sz="4" w:space="0" w:color="auto"/>
              <w:left w:val="single" w:sz="4" w:space="0" w:color="auto"/>
              <w:bottom w:val="single" w:sz="4" w:space="0" w:color="auto"/>
              <w:right w:val="single" w:sz="4" w:space="0" w:color="auto"/>
            </w:tcBorders>
          </w:tcPr>
          <w:p w14:paraId="6E485604" w14:textId="77777777" w:rsidR="00711444" w:rsidRPr="004D0DAA" w:rsidRDefault="00711444" w:rsidP="00AA2A4C">
            <w:pPr>
              <w:pStyle w:val="TAC"/>
              <w:rPr>
                <w:lang w:eastAsia="en-US"/>
              </w:rPr>
            </w:pPr>
            <w:r w:rsidRPr="004D0DAA">
              <w:rPr>
                <w:lang w:eastAsia="en-US"/>
              </w:rPr>
              <w:t>CPS</w:t>
            </w:r>
          </w:p>
        </w:tc>
        <w:tc>
          <w:tcPr>
            <w:tcW w:w="4070" w:type="dxa"/>
            <w:gridSpan w:val="10"/>
            <w:tcBorders>
              <w:top w:val="single" w:sz="4" w:space="0" w:color="auto"/>
              <w:left w:val="single" w:sz="4" w:space="0" w:color="auto"/>
              <w:bottom w:val="single" w:sz="4" w:space="0" w:color="auto"/>
              <w:right w:val="single" w:sz="4" w:space="0" w:color="auto"/>
            </w:tcBorders>
          </w:tcPr>
          <w:p w14:paraId="6818DACD" w14:textId="77777777" w:rsidR="00711444" w:rsidRPr="004D0DAA" w:rsidRDefault="00711444" w:rsidP="00AA2A4C">
            <w:pPr>
              <w:pStyle w:val="TAC"/>
              <w:rPr>
                <w:lang w:eastAsia="en-US"/>
              </w:rPr>
            </w:pPr>
            <w:r w:rsidRPr="004D0DAA">
              <w:rPr>
                <w:lang w:eastAsia="en-US"/>
              </w:rPr>
              <w:t>BSN4</w:t>
            </w:r>
          </w:p>
        </w:tc>
        <w:tc>
          <w:tcPr>
            <w:tcW w:w="1141" w:type="dxa"/>
            <w:tcBorders>
              <w:left w:val="single" w:sz="4" w:space="0" w:color="auto"/>
            </w:tcBorders>
          </w:tcPr>
          <w:p w14:paraId="1C8ED459" w14:textId="77777777" w:rsidR="00711444" w:rsidRPr="004D0DAA" w:rsidRDefault="00711444" w:rsidP="00AA2A4C">
            <w:pPr>
              <w:pStyle w:val="TAC"/>
              <w:rPr>
                <w:lang w:eastAsia="en-US"/>
              </w:rPr>
            </w:pPr>
            <w:r w:rsidRPr="004D0DAA">
              <w:rPr>
                <w:lang w:eastAsia="en-US"/>
              </w:rPr>
              <w:t>7</w:t>
            </w:r>
          </w:p>
        </w:tc>
      </w:tr>
      <w:tr w:rsidR="00711444" w:rsidRPr="004D0DAA" w14:paraId="698E610B" w14:textId="77777777" w:rsidTr="00AA2A4C">
        <w:tblPrEx>
          <w:tblCellMar>
            <w:top w:w="0" w:type="dxa"/>
            <w:bottom w:w="0" w:type="dxa"/>
          </w:tblCellMar>
        </w:tblPrEx>
        <w:trPr>
          <w:gridAfter w:val="1"/>
          <w:wAfter w:w="16" w:type="dxa"/>
          <w:cantSplit/>
          <w:jc w:val="center"/>
        </w:trPr>
        <w:tc>
          <w:tcPr>
            <w:tcW w:w="583" w:type="dxa"/>
            <w:gridSpan w:val="2"/>
            <w:tcBorders>
              <w:top w:val="single" w:sz="4" w:space="0" w:color="auto"/>
              <w:left w:val="single" w:sz="4" w:space="0" w:color="auto"/>
              <w:bottom w:val="single" w:sz="4" w:space="0" w:color="auto"/>
              <w:right w:val="single" w:sz="4" w:space="0" w:color="auto"/>
            </w:tcBorders>
          </w:tcPr>
          <w:p w14:paraId="5F684449" w14:textId="77777777" w:rsidR="00711444" w:rsidRPr="004D0DAA" w:rsidRDefault="00711444" w:rsidP="00AA2A4C">
            <w:pPr>
              <w:pStyle w:val="TAC"/>
              <w:rPr>
                <w:lang w:eastAsia="en-US"/>
              </w:rPr>
            </w:pPr>
            <w:r w:rsidRPr="004D0DAA">
              <w:rPr>
                <w:lang w:eastAsia="en-US"/>
              </w:rPr>
              <w:t>Spare</w:t>
            </w:r>
          </w:p>
        </w:tc>
        <w:tc>
          <w:tcPr>
            <w:tcW w:w="4070" w:type="dxa"/>
            <w:gridSpan w:val="10"/>
            <w:tcBorders>
              <w:top w:val="single" w:sz="4" w:space="0" w:color="auto"/>
              <w:left w:val="single" w:sz="4" w:space="0" w:color="auto"/>
              <w:bottom w:val="single" w:sz="4" w:space="0" w:color="auto"/>
              <w:right w:val="single" w:sz="4" w:space="0" w:color="auto"/>
            </w:tcBorders>
          </w:tcPr>
          <w:p w14:paraId="3E109C8E" w14:textId="77777777" w:rsidR="00711444" w:rsidRPr="004D0DAA" w:rsidRDefault="00711444" w:rsidP="00AA2A4C">
            <w:pPr>
              <w:pStyle w:val="TAC"/>
              <w:rPr>
                <w:lang w:eastAsia="en-US"/>
              </w:rPr>
            </w:pPr>
            <w:r w:rsidRPr="004D0DAA">
              <w:rPr>
                <w:lang w:eastAsia="en-US"/>
              </w:rPr>
              <w:t>CPS</w:t>
            </w:r>
          </w:p>
        </w:tc>
        <w:tc>
          <w:tcPr>
            <w:tcW w:w="1141" w:type="dxa"/>
            <w:tcBorders>
              <w:left w:val="single" w:sz="4" w:space="0" w:color="auto"/>
            </w:tcBorders>
          </w:tcPr>
          <w:p w14:paraId="1E52CCFA" w14:textId="77777777" w:rsidR="00711444" w:rsidRPr="004D0DAA" w:rsidRDefault="00711444" w:rsidP="00AA2A4C">
            <w:pPr>
              <w:pStyle w:val="TAC"/>
              <w:rPr>
                <w:lang w:eastAsia="en-US"/>
              </w:rPr>
            </w:pPr>
            <w:r w:rsidRPr="004D0DAA">
              <w:rPr>
                <w:lang w:eastAsia="en-US"/>
              </w:rPr>
              <w:t>8</w:t>
            </w:r>
          </w:p>
        </w:tc>
      </w:tr>
      <w:tr w:rsidR="00711444" w:rsidRPr="004D0DAA" w14:paraId="59909D8D" w14:textId="77777777" w:rsidTr="00AA2A4C">
        <w:tblPrEx>
          <w:tblCellMar>
            <w:top w:w="0" w:type="dxa"/>
            <w:bottom w:w="0" w:type="dxa"/>
          </w:tblCellMar>
        </w:tblPrEx>
        <w:trPr>
          <w:gridAfter w:val="1"/>
          <w:wAfter w:w="16" w:type="dxa"/>
          <w:cantSplit/>
          <w:jc w:val="center"/>
        </w:trPr>
        <w:tc>
          <w:tcPr>
            <w:tcW w:w="4074" w:type="dxa"/>
            <w:gridSpan w:val="11"/>
            <w:tcBorders>
              <w:top w:val="single" w:sz="4" w:space="0" w:color="auto"/>
              <w:right w:val="single" w:sz="4" w:space="0" w:color="auto"/>
            </w:tcBorders>
          </w:tcPr>
          <w:p w14:paraId="162DD51D" w14:textId="77777777" w:rsidR="00711444" w:rsidRPr="004D0DAA" w:rsidRDefault="00711444" w:rsidP="00AA2A4C"/>
        </w:tc>
        <w:tc>
          <w:tcPr>
            <w:tcW w:w="579" w:type="dxa"/>
            <w:tcBorders>
              <w:top w:val="single" w:sz="4" w:space="0" w:color="auto"/>
              <w:left w:val="single" w:sz="4" w:space="0" w:color="auto"/>
              <w:bottom w:val="single" w:sz="4" w:space="0" w:color="auto"/>
              <w:right w:val="single" w:sz="4" w:space="0" w:color="auto"/>
            </w:tcBorders>
          </w:tcPr>
          <w:p w14:paraId="77558582" w14:textId="77777777" w:rsidR="00711444" w:rsidRPr="004D0DAA" w:rsidRDefault="00711444" w:rsidP="00AA2A4C">
            <w:pPr>
              <w:pStyle w:val="TAC"/>
              <w:rPr>
                <w:lang w:eastAsia="en-US"/>
              </w:rPr>
            </w:pPr>
            <w:r w:rsidRPr="004D0DAA">
              <w:rPr>
                <w:lang w:eastAsia="en-US"/>
              </w:rPr>
              <w:t>Spare</w:t>
            </w:r>
          </w:p>
        </w:tc>
        <w:tc>
          <w:tcPr>
            <w:tcW w:w="1141" w:type="dxa"/>
            <w:tcBorders>
              <w:left w:val="single" w:sz="4" w:space="0" w:color="auto"/>
            </w:tcBorders>
          </w:tcPr>
          <w:p w14:paraId="26EFD379" w14:textId="77777777" w:rsidR="00711444" w:rsidRPr="004D0DAA" w:rsidRDefault="00711444" w:rsidP="00AA2A4C">
            <w:pPr>
              <w:pStyle w:val="TAC"/>
              <w:rPr>
                <w:lang w:eastAsia="en-US"/>
              </w:rPr>
            </w:pPr>
            <w:r w:rsidRPr="004D0DAA">
              <w:rPr>
                <w:lang w:eastAsia="en-US"/>
              </w:rPr>
              <w:t>9</w:t>
            </w:r>
          </w:p>
        </w:tc>
      </w:tr>
    </w:tbl>
    <w:p w14:paraId="1BF906D6" w14:textId="77777777" w:rsidR="00711444" w:rsidRPr="004D0DAA" w:rsidRDefault="00711444" w:rsidP="00711444">
      <w:pPr>
        <w:pStyle w:val="TAN"/>
      </w:pPr>
    </w:p>
    <w:p w14:paraId="3B8806B3" w14:textId="77777777" w:rsidR="00711444" w:rsidRPr="004D0DAA" w:rsidRDefault="00711444" w:rsidP="00711444">
      <w:pPr>
        <w:pStyle w:val="TF"/>
      </w:pPr>
      <w:r w:rsidRPr="004D0DAA">
        <w:t>Figure 10.3a.3.9.1: Combined downlink RLC data block header</w:t>
      </w:r>
      <w:r w:rsidRPr="004D0DAA">
        <w:br/>
        <w:t>for DBS-11 and DBS-12.</w:t>
      </w:r>
    </w:p>
    <w:p w14:paraId="6C75DB63" w14:textId="77777777" w:rsidR="00711444" w:rsidRPr="004D0DAA" w:rsidRDefault="00711444" w:rsidP="00711444">
      <w:pPr>
        <w:pStyle w:val="Heading4"/>
      </w:pPr>
      <w:bookmarkStart w:id="531" w:name="_Toc516669712"/>
      <w:r w:rsidRPr="004D0DAA">
        <w:t>10.3a.3.10</w:t>
      </w:r>
      <w:r w:rsidRPr="004D0DAA">
        <w:tab/>
        <w:t>Header type 10: header for DAS-10</w:t>
      </w:r>
      <w:bookmarkEnd w:id="531"/>
    </w:p>
    <w:p w14:paraId="006E676B" w14:textId="77777777" w:rsidR="00711444" w:rsidRPr="004D0DAA" w:rsidRDefault="00711444" w:rsidP="00711444">
      <w:r w:rsidRPr="004D0DAA">
        <w:t>The combined downlink RLC/MAC header for DAS-10 (header type 10) shall be formatted according to figure 10.3a.3.10.1.</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67"/>
        <w:gridCol w:w="555"/>
        <w:gridCol w:w="12"/>
        <w:gridCol w:w="567"/>
        <w:gridCol w:w="567"/>
        <w:gridCol w:w="567"/>
        <w:gridCol w:w="567"/>
        <w:gridCol w:w="567"/>
        <w:gridCol w:w="1134"/>
      </w:tblGrid>
      <w:tr w:rsidR="00711444" w:rsidRPr="004D0DAA" w14:paraId="4F07A8EA" w14:textId="77777777" w:rsidTr="00AA2A4C">
        <w:tblPrEx>
          <w:tblCellMar>
            <w:top w:w="0" w:type="dxa"/>
            <w:bottom w:w="0" w:type="dxa"/>
          </w:tblCellMar>
        </w:tblPrEx>
        <w:trPr>
          <w:cantSplit/>
          <w:jc w:val="center"/>
        </w:trPr>
        <w:tc>
          <w:tcPr>
            <w:tcW w:w="4564" w:type="dxa"/>
            <w:gridSpan w:val="10"/>
          </w:tcPr>
          <w:p w14:paraId="2682307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6B8B033A" w14:textId="77777777" w:rsidR="00711444" w:rsidRPr="004D0DAA" w:rsidRDefault="00711444" w:rsidP="00AA2A4C">
            <w:pPr>
              <w:keepNext/>
              <w:keepLines/>
              <w:spacing w:after="0"/>
              <w:jc w:val="center"/>
              <w:rPr>
                <w:rFonts w:ascii="Arial" w:hAnsi="Arial"/>
                <w:sz w:val="18"/>
              </w:rPr>
            </w:pPr>
          </w:p>
        </w:tc>
      </w:tr>
      <w:tr w:rsidR="00711444" w:rsidRPr="004D0DAA" w14:paraId="1A97C468" w14:textId="77777777" w:rsidTr="00AA2A4C">
        <w:tblPrEx>
          <w:tblCellMar>
            <w:top w:w="0" w:type="dxa"/>
            <w:bottom w:w="0" w:type="dxa"/>
          </w:tblCellMar>
        </w:tblPrEx>
        <w:trPr>
          <w:cantSplit/>
          <w:jc w:val="center"/>
        </w:trPr>
        <w:tc>
          <w:tcPr>
            <w:tcW w:w="595" w:type="dxa"/>
            <w:gridSpan w:val="2"/>
          </w:tcPr>
          <w:p w14:paraId="73E7FD5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tcPr>
          <w:p w14:paraId="25EEAE6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50A5571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720B1DF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67" w:type="dxa"/>
          </w:tcPr>
          <w:p w14:paraId="2F897C4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48725B4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6624B3A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290D912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0886131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52433356"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4B569C3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tcBorders>
              <w:top w:val="single" w:sz="6" w:space="0" w:color="auto"/>
              <w:left w:val="single" w:sz="6" w:space="0" w:color="auto"/>
              <w:bottom w:val="single" w:sz="6" w:space="0" w:color="auto"/>
              <w:right w:val="single" w:sz="6" w:space="0" w:color="auto"/>
            </w:tcBorders>
          </w:tcPr>
          <w:p w14:paraId="54B3493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1701" w:type="dxa"/>
            <w:gridSpan w:val="4"/>
            <w:tcBorders>
              <w:top w:val="single" w:sz="6" w:space="0" w:color="auto"/>
              <w:left w:val="single" w:sz="6" w:space="0" w:color="auto"/>
              <w:bottom w:val="single" w:sz="6" w:space="0" w:color="auto"/>
            </w:tcBorders>
          </w:tcPr>
          <w:p w14:paraId="7D0D748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083CA1A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1911930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7EAA7C60" w14:textId="77777777" w:rsidTr="00AA2A4C">
        <w:tblPrEx>
          <w:tblCellMar>
            <w:top w:w="0" w:type="dxa"/>
            <w:bottom w:w="0" w:type="dxa"/>
          </w:tblCellMar>
        </w:tblPrEx>
        <w:trPr>
          <w:cantSplit/>
          <w:jc w:val="center"/>
        </w:trPr>
        <w:tc>
          <w:tcPr>
            <w:tcW w:w="1162" w:type="dxa"/>
            <w:gridSpan w:val="3"/>
            <w:tcBorders>
              <w:left w:val="single" w:sz="6" w:space="0" w:color="auto"/>
            </w:tcBorders>
          </w:tcPr>
          <w:p w14:paraId="77154D5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gridSpan w:val="3"/>
            <w:tcBorders>
              <w:top w:val="single" w:sz="6" w:space="0" w:color="auto"/>
              <w:left w:val="single" w:sz="6" w:space="0" w:color="auto"/>
              <w:bottom w:val="single" w:sz="6" w:space="0" w:color="auto"/>
              <w:right w:val="single" w:sz="6" w:space="0" w:color="auto"/>
            </w:tcBorders>
          </w:tcPr>
          <w:p w14:paraId="07461B4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PR</w:t>
            </w:r>
          </w:p>
        </w:tc>
        <w:tc>
          <w:tcPr>
            <w:tcW w:w="2268" w:type="dxa"/>
            <w:gridSpan w:val="4"/>
            <w:tcBorders>
              <w:top w:val="single" w:sz="6" w:space="0" w:color="auto"/>
              <w:left w:val="single" w:sz="6" w:space="0" w:color="auto"/>
              <w:bottom w:val="single" w:sz="6" w:space="0" w:color="auto"/>
              <w:right w:val="single" w:sz="6" w:space="0" w:color="auto"/>
            </w:tcBorders>
          </w:tcPr>
          <w:p w14:paraId="2790CCF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791390E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70DED03D" w14:textId="77777777" w:rsidTr="00AA2A4C">
        <w:tblPrEx>
          <w:tblCellMar>
            <w:top w:w="0" w:type="dxa"/>
            <w:bottom w:w="0" w:type="dxa"/>
          </w:tblCellMar>
        </w:tblPrEx>
        <w:trPr>
          <w:cantSplit/>
          <w:jc w:val="center"/>
        </w:trPr>
        <w:tc>
          <w:tcPr>
            <w:tcW w:w="4564" w:type="dxa"/>
            <w:gridSpan w:val="10"/>
            <w:tcBorders>
              <w:top w:val="single" w:sz="6" w:space="0" w:color="auto"/>
              <w:left w:val="single" w:sz="6" w:space="0" w:color="auto"/>
              <w:right w:val="single" w:sz="6" w:space="0" w:color="auto"/>
            </w:tcBorders>
          </w:tcPr>
          <w:p w14:paraId="6D72715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A72602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3719C01C" w14:textId="77777777" w:rsidTr="00AA2A4C">
        <w:tblPrEx>
          <w:tblCellMar>
            <w:top w:w="0" w:type="dxa"/>
            <w:bottom w:w="0" w:type="dxa"/>
          </w:tblCellMar>
        </w:tblPrEx>
        <w:trPr>
          <w:cantSplit/>
          <w:jc w:val="center"/>
        </w:trPr>
        <w:tc>
          <w:tcPr>
            <w:tcW w:w="3997" w:type="dxa"/>
            <w:gridSpan w:val="9"/>
            <w:tcBorders>
              <w:top w:val="single" w:sz="6" w:space="0" w:color="auto"/>
              <w:left w:val="single" w:sz="6" w:space="0" w:color="auto"/>
              <w:right w:val="single" w:sz="6" w:space="0" w:color="auto"/>
            </w:tcBorders>
          </w:tcPr>
          <w:p w14:paraId="2EE7B6D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0A5E013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5360794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73FFB404" w14:textId="77777777" w:rsidTr="00AA2A4C">
        <w:tblPrEx>
          <w:tblCellMar>
            <w:top w:w="0" w:type="dxa"/>
            <w:bottom w:w="0" w:type="dxa"/>
          </w:tblCellMar>
        </w:tblPrEx>
        <w:trPr>
          <w:cantSplit/>
          <w:jc w:val="center"/>
        </w:trPr>
        <w:tc>
          <w:tcPr>
            <w:tcW w:w="572" w:type="dxa"/>
            <w:tcBorders>
              <w:top w:val="single" w:sz="6" w:space="0" w:color="auto"/>
              <w:right w:val="single" w:sz="6" w:space="0" w:color="auto"/>
            </w:tcBorders>
          </w:tcPr>
          <w:p w14:paraId="71EBBCCC" w14:textId="77777777" w:rsidR="00711444" w:rsidRPr="004D0DAA" w:rsidRDefault="00711444" w:rsidP="00AA2A4C">
            <w:pPr>
              <w:keepNext/>
              <w:keepLines/>
              <w:spacing w:after="0"/>
              <w:jc w:val="center"/>
              <w:rPr>
                <w:rFonts w:ascii="Arial" w:hAnsi="Arial"/>
                <w:sz w:val="18"/>
              </w:rPr>
            </w:pPr>
          </w:p>
        </w:tc>
        <w:tc>
          <w:tcPr>
            <w:tcW w:w="1145" w:type="dxa"/>
            <w:gridSpan w:val="3"/>
            <w:tcBorders>
              <w:top w:val="single" w:sz="6" w:space="0" w:color="auto"/>
              <w:left w:val="single" w:sz="6" w:space="0" w:color="auto"/>
              <w:bottom w:val="single" w:sz="6" w:space="0" w:color="auto"/>
              <w:right w:val="single" w:sz="6" w:space="0" w:color="auto"/>
            </w:tcBorders>
          </w:tcPr>
          <w:p w14:paraId="7BB6DB0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46" w:type="dxa"/>
            <w:gridSpan w:val="3"/>
            <w:tcBorders>
              <w:top w:val="single" w:sz="6" w:space="0" w:color="auto"/>
              <w:left w:val="single" w:sz="6" w:space="0" w:color="auto"/>
              <w:bottom w:val="single" w:sz="6" w:space="0" w:color="auto"/>
              <w:right w:val="single" w:sz="6" w:space="0" w:color="auto"/>
            </w:tcBorders>
          </w:tcPr>
          <w:p w14:paraId="30FCFA8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7422D67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77899400"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33A9EC93" w14:textId="77777777" w:rsidR="00711444" w:rsidRPr="004D0DAA" w:rsidRDefault="00711444" w:rsidP="00711444">
      <w:pPr>
        <w:pStyle w:val="TAN"/>
      </w:pPr>
    </w:p>
    <w:p w14:paraId="18E58544" w14:textId="77777777" w:rsidR="00711444" w:rsidRPr="004D0DAA" w:rsidRDefault="00711444" w:rsidP="00711444">
      <w:pPr>
        <w:pStyle w:val="TF"/>
      </w:pPr>
      <w:r w:rsidRPr="004D0DAA">
        <w:t>Figure 10.3a.3.10.1: Combined downlink RLC data block header</w:t>
      </w:r>
      <w:r w:rsidRPr="004D0DAA">
        <w:br/>
        <w:t>for DAS-10.</w:t>
      </w:r>
    </w:p>
    <w:p w14:paraId="38364E95" w14:textId="77777777" w:rsidR="00711444" w:rsidRPr="004D0DAA" w:rsidRDefault="00711444" w:rsidP="00711444">
      <w:r w:rsidRPr="004D0DAA">
        <w:t xml:space="preserve">For an EGPRS2 TBF </w:t>
      </w:r>
      <w:r w:rsidRPr="004D0DAA">
        <w:rPr>
          <w:lang w:eastAsia="ko-KR"/>
        </w:rPr>
        <w:t>in a DLMC configuration using an SNS of 8192 t</w:t>
      </w:r>
      <w:r w:rsidRPr="004D0DAA">
        <w:t>he combined downlink RLC/MAC header for DAS-10 (header type 10) shall be formatted according to figure 10.3a.3.10.2.</w:t>
      </w:r>
    </w:p>
    <w:tbl>
      <w:tblPr>
        <w:tblW w:w="0" w:type="auto"/>
        <w:jc w:val="center"/>
        <w:tblLayout w:type="fixed"/>
        <w:tblCellMar>
          <w:left w:w="28" w:type="dxa"/>
          <w:right w:w="28" w:type="dxa"/>
        </w:tblCellMar>
        <w:tblLook w:val="0000" w:firstRow="0" w:lastRow="0" w:firstColumn="0" w:lastColumn="0" w:noHBand="0" w:noVBand="0"/>
      </w:tblPr>
      <w:tblGrid>
        <w:gridCol w:w="572"/>
        <w:gridCol w:w="23"/>
        <w:gridCol w:w="549"/>
        <w:gridCol w:w="18"/>
        <w:gridCol w:w="558"/>
        <w:gridCol w:w="9"/>
        <w:gridCol w:w="567"/>
        <w:gridCol w:w="570"/>
        <w:gridCol w:w="567"/>
        <w:gridCol w:w="567"/>
        <w:gridCol w:w="567"/>
        <w:gridCol w:w="1134"/>
      </w:tblGrid>
      <w:tr w:rsidR="00711444" w:rsidRPr="004D0DAA" w14:paraId="23C06A3D" w14:textId="77777777" w:rsidTr="00AA2A4C">
        <w:tblPrEx>
          <w:tblCellMar>
            <w:top w:w="0" w:type="dxa"/>
            <w:bottom w:w="0" w:type="dxa"/>
          </w:tblCellMar>
        </w:tblPrEx>
        <w:trPr>
          <w:cantSplit/>
          <w:jc w:val="center"/>
        </w:trPr>
        <w:tc>
          <w:tcPr>
            <w:tcW w:w="4567" w:type="dxa"/>
            <w:gridSpan w:val="11"/>
          </w:tcPr>
          <w:p w14:paraId="16716B8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Bit</w:t>
            </w:r>
          </w:p>
        </w:tc>
        <w:tc>
          <w:tcPr>
            <w:tcW w:w="1134" w:type="dxa"/>
          </w:tcPr>
          <w:p w14:paraId="18377CEE" w14:textId="77777777" w:rsidR="00711444" w:rsidRPr="004D0DAA" w:rsidRDefault="00711444" w:rsidP="00AA2A4C">
            <w:pPr>
              <w:keepNext/>
              <w:keepLines/>
              <w:spacing w:after="0"/>
              <w:jc w:val="center"/>
              <w:rPr>
                <w:rFonts w:ascii="Arial" w:hAnsi="Arial"/>
                <w:sz w:val="18"/>
              </w:rPr>
            </w:pPr>
          </w:p>
        </w:tc>
      </w:tr>
      <w:tr w:rsidR="00711444" w:rsidRPr="004D0DAA" w14:paraId="06D13535" w14:textId="77777777" w:rsidTr="00AA2A4C">
        <w:tblPrEx>
          <w:tblCellMar>
            <w:top w:w="0" w:type="dxa"/>
            <w:bottom w:w="0" w:type="dxa"/>
          </w:tblCellMar>
        </w:tblPrEx>
        <w:trPr>
          <w:cantSplit/>
          <w:jc w:val="center"/>
        </w:trPr>
        <w:tc>
          <w:tcPr>
            <w:tcW w:w="595" w:type="dxa"/>
            <w:gridSpan w:val="2"/>
          </w:tcPr>
          <w:p w14:paraId="27B86D5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8</w:t>
            </w:r>
          </w:p>
        </w:tc>
        <w:tc>
          <w:tcPr>
            <w:tcW w:w="567" w:type="dxa"/>
            <w:gridSpan w:val="2"/>
          </w:tcPr>
          <w:p w14:paraId="694791DF" w14:textId="77777777" w:rsidR="00711444" w:rsidRPr="004D0DAA" w:rsidRDefault="00711444" w:rsidP="00AA2A4C">
            <w:pPr>
              <w:keepNext/>
              <w:keepLines/>
              <w:spacing w:after="0"/>
              <w:jc w:val="center"/>
              <w:rPr>
                <w:rFonts w:ascii="Arial" w:hAnsi="Arial"/>
                <w:sz w:val="18"/>
              </w:rPr>
            </w:pPr>
            <w:r w:rsidRPr="004D0DAA">
              <w:rPr>
                <w:rFonts w:ascii="Arial" w:hAnsi="Arial"/>
                <w:sz w:val="18"/>
              </w:rPr>
              <w:t>7</w:t>
            </w:r>
          </w:p>
        </w:tc>
        <w:tc>
          <w:tcPr>
            <w:tcW w:w="567" w:type="dxa"/>
            <w:gridSpan w:val="2"/>
          </w:tcPr>
          <w:p w14:paraId="79B40E18" w14:textId="77777777" w:rsidR="00711444" w:rsidRPr="004D0DAA" w:rsidRDefault="00711444" w:rsidP="00AA2A4C">
            <w:pPr>
              <w:keepNext/>
              <w:keepLines/>
              <w:spacing w:after="0"/>
              <w:jc w:val="center"/>
              <w:rPr>
                <w:rFonts w:ascii="Arial" w:hAnsi="Arial"/>
                <w:sz w:val="18"/>
              </w:rPr>
            </w:pPr>
            <w:r w:rsidRPr="004D0DAA">
              <w:rPr>
                <w:rFonts w:ascii="Arial" w:hAnsi="Arial"/>
                <w:sz w:val="18"/>
              </w:rPr>
              <w:t>6</w:t>
            </w:r>
          </w:p>
        </w:tc>
        <w:tc>
          <w:tcPr>
            <w:tcW w:w="567" w:type="dxa"/>
          </w:tcPr>
          <w:p w14:paraId="0B8DB91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c>
          <w:tcPr>
            <w:tcW w:w="570" w:type="dxa"/>
          </w:tcPr>
          <w:p w14:paraId="570353E4"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c>
          <w:tcPr>
            <w:tcW w:w="567" w:type="dxa"/>
          </w:tcPr>
          <w:p w14:paraId="35B6412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c>
          <w:tcPr>
            <w:tcW w:w="567" w:type="dxa"/>
          </w:tcPr>
          <w:p w14:paraId="2BEF0BAE"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c>
          <w:tcPr>
            <w:tcW w:w="567" w:type="dxa"/>
          </w:tcPr>
          <w:p w14:paraId="0C9FCBC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c>
          <w:tcPr>
            <w:tcW w:w="1134" w:type="dxa"/>
          </w:tcPr>
          <w:p w14:paraId="6958982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Octet</w:t>
            </w:r>
          </w:p>
        </w:tc>
      </w:tr>
      <w:tr w:rsidR="00711444" w:rsidRPr="004D0DAA" w14:paraId="009E0E20" w14:textId="77777777" w:rsidTr="00AA2A4C">
        <w:tblPrEx>
          <w:tblCellMar>
            <w:top w:w="0" w:type="dxa"/>
            <w:bottom w:w="0" w:type="dxa"/>
          </w:tblCellMar>
        </w:tblPrEx>
        <w:trPr>
          <w:cantSplit/>
          <w:jc w:val="center"/>
        </w:trPr>
        <w:tc>
          <w:tcPr>
            <w:tcW w:w="595" w:type="dxa"/>
            <w:gridSpan w:val="2"/>
            <w:tcBorders>
              <w:top w:val="single" w:sz="6" w:space="0" w:color="auto"/>
              <w:left w:val="single" w:sz="6" w:space="0" w:color="auto"/>
              <w:bottom w:val="single" w:sz="6" w:space="0" w:color="auto"/>
              <w:right w:val="single" w:sz="6" w:space="0" w:color="auto"/>
            </w:tcBorders>
          </w:tcPr>
          <w:p w14:paraId="22F2F877"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567" w:type="dxa"/>
            <w:gridSpan w:val="2"/>
            <w:tcBorders>
              <w:top w:val="single" w:sz="6" w:space="0" w:color="auto"/>
              <w:left w:val="single" w:sz="6" w:space="0" w:color="auto"/>
              <w:bottom w:val="single" w:sz="6" w:space="0" w:color="auto"/>
              <w:right w:val="single" w:sz="6" w:space="0" w:color="auto"/>
            </w:tcBorders>
          </w:tcPr>
          <w:p w14:paraId="5E32A84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PANI</w:t>
            </w:r>
          </w:p>
        </w:tc>
        <w:tc>
          <w:tcPr>
            <w:tcW w:w="558" w:type="dxa"/>
            <w:tcBorders>
              <w:top w:val="single" w:sz="6" w:space="0" w:color="auto"/>
              <w:left w:val="single" w:sz="6" w:space="0" w:color="auto"/>
              <w:bottom w:val="single" w:sz="6" w:space="0" w:color="auto"/>
            </w:tcBorders>
          </w:tcPr>
          <w:p w14:paraId="586E645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46" w:type="dxa"/>
            <w:gridSpan w:val="3"/>
            <w:tcBorders>
              <w:top w:val="single" w:sz="6" w:space="0" w:color="auto"/>
              <w:left w:val="single" w:sz="6" w:space="0" w:color="auto"/>
              <w:bottom w:val="single" w:sz="6" w:space="0" w:color="auto"/>
            </w:tcBorders>
          </w:tcPr>
          <w:p w14:paraId="1E0D22F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CES/P</w:t>
            </w:r>
          </w:p>
        </w:tc>
        <w:tc>
          <w:tcPr>
            <w:tcW w:w="1701" w:type="dxa"/>
            <w:gridSpan w:val="3"/>
            <w:tcBorders>
              <w:top w:val="single" w:sz="6" w:space="0" w:color="auto"/>
              <w:left w:val="single" w:sz="6" w:space="0" w:color="auto"/>
              <w:right w:val="single" w:sz="6" w:space="0" w:color="auto"/>
            </w:tcBorders>
          </w:tcPr>
          <w:p w14:paraId="79026B9D" w14:textId="77777777" w:rsidR="00711444" w:rsidRPr="004D0DAA" w:rsidRDefault="00711444" w:rsidP="00AA2A4C">
            <w:pPr>
              <w:keepNext/>
              <w:keepLines/>
              <w:spacing w:after="0"/>
              <w:jc w:val="center"/>
              <w:rPr>
                <w:rFonts w:ascii="Arial" w:hAnsi="Arial"/>
                <w:sz w:val="18"/>
              </w:rPr>
            </w:pPr>
            <w:r w:rsidRPr="004D0DAA">
              <w:rPr>
                <w:rFonts w:ascii="Arial" w:hAnsi="Arial"/>
                <w:sz w:val="18"/>
              </w:rPr>
              <w:t>USF</w:t>
            </w:r>
          </w:p>
        </w:tc>
        <w:tc>
          <w:tcPr>
            <w:tcW w:w="1134" w:type="dxa"/>
            <w:tcBorders>
              <w:left w:val="single" w:sz="6" w:space="0" w:color="auto"/>
            </w:tcBorders>
          </w:tcPr>
          <w:p w14:paraId="6CE74DB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1</w:t>
            </w:r>
          </w:p>
        </w:tc>
      </w:tr>
      <w:tr w:rsidR="00711444" w:rsidRPr="004D0DAA" w14:paraId="23850D7D" w14:textId="77777777" w:rsidTr="00AA2A4C">
        <w:tblPrEx>
          <w:tblCellMar>
            <w:top w:w="0" w:type="dxa"/>
            <w:bottom w:w="0" w:type="dxa"/>
          </w:tblCellMar>
        </w:tblPrEx>
        <w:trPr>
          <w:cantSplit/>
          <w:jc w:val="center"/>
        </w:trPr>
        <w:tc>
          <w:tcPr>
            <w:tcW w:w="2296" w:type="dxa"/>
            <w:gridSpan w:val="7"/>
            <w:tcBorders>
              <w:left w:val="single" w:sz="6" w:space="0" w:color="auto"/>
              <w:right w:val="single" w:sz="6" w:space="0" w:color="auto"/>
            </w:tcBorders>
          </w:tcPr>
          <w:p w14:paraId="4A909999"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2271" w:type="dxa"/>
            <w:gridSpan w:val="4"/>
            <w:tcBorders>
              <w:top w:val="single" w:sz="6" w:space="0" w:color="auto"/>
              <w:left w:val="single" w:sz="6" w:space="0" w:color="auto"/>
              <w:bottom w:val="single" w:sz="6" w:space="0" w:color="auto"/>
              <w:right w:val="single" w:sz="6" w:space="0" w:color="auto"/>
            </w:tcBorders>
          </w:tcPr>
          <w:p w14:paraId="2861505C" w14:textId="77777777" w:rsidR="00711444" w:rsidRPr="004D0DAA" w:rsidRDefault="00711444" w:rsidP="00AA2A4C">
            <w:pPr>
              <w:keepNext/>
              <w:keepLines/>
              <w:spacing w:after="0"/>
              <w:jc w:val="center"/>
              <w:rPr>
                <w:rFonts w:ascii="Arial" w:hAnsi="Arial"/>
                <w:sz w:val="18"/>
              </w:rPr>
            </w:pPr>
            <w:r w:rsidRPr="004D0DAA">
              <w:rPr>
                <w:rFonts w:ascii="Arial" w:hAnsi="Arial"/>
                <w:sz w:val="18"/>
              </w:rPr>
              <w:t>TFI</w:t>
            </w:r>
          </w:p>
        </w:tc>
        <w:tc>
          <w:tcPr>
            <w:tcW w:w="1134" w:type="dxa"/>
            <w:tcBorders>
              <w:left w:val="single" w:sz="6" w:space="0" w:color="auto"/>
            </w:tcBorders>
          </w:tcPr>
          <w:p w14:paraId="3854AD3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2</w:t>
            </w:r>
          </w:p>
        </w:tc>
      </w:tr>
      <w:tr w:rsidR="00711444" w:rsidRPr="004D0DAA" w14:paraId="6A967882" w14:textId="77777777" w:rsidTr="00AA2A4C">
        <w:tblPrEx>
          <w:tblCellMar>
            <w:top w:w="0" w:type="dxa"/>
            <w:bottom w:w="0" w:type="dxa"/>
          </w:tblCellMar>
        </w:tblPrEx>
        <w:trPr>
          <w:cantSplit/>
          <w:jc w:val="center"/>
        </w:trPr>
        <w:tc>
          <w:tcPr>
            <w:tcW w:w="4567" w:type="dxa"/>
            <w:gridSpan w:val="11"/>
            <w:tcBorders>
              <w:top w:val="single" w:sz="6" w:space="0" w:color="auto"/>
              <w:left w:val="single" w:sz="6" w:space="0" w:color="auto"/>
              <w:right w:val="single" w:sz="6" w:space="0" w:color="auto"/>
            </w:tcBorders>
          </w:tcPr>
          <w:p w14:paraId="4263425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74F4B37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3</w:t>
            </w:r>
          </w:p>
        </w:tc>
      </w:tr>
      <w:tr w:rsidR="00711444" w:rsidRPr="004D0DAA" w14:paraId="130EF458" w14:textId="77777777" w:rsidTr="00AA2A4C">
        <w:tblPrEx>
          <w:tblCellMar>
            <w:top w:w="0" w:type="dxa"/>
            <w:bottom w:w="0" w:type="dxa"/>
          </w:tblCellMar>
        </w:tblPrEx>
        <w:trPr>
          <w:cantSplit/>
          <w:jc w:val="center"/>
        </w:trPr>
        <w:tc>
          <w:tcPr>
            <w:tcW w:w="4000" w:type="dxa"/>
            <w:gridSpan w:val="10"/>
            <w:tcBorders>
              <w:top w:val="single" w:sz="6" w:space="0" w:color="auto"/>
              <w:left w:val="single" w:sz="6" w:space="0" w:color="auto"/>
              <w:right w:val="single" w:sz="6" w:space="0" w:color="auto"/>
            </w:tcBorders>
          </w:tcPr>
          <w:p w14:paraId="2999F2C3"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67" w:type="dxa"/>
            <w:tcBorders>
              <w:top w:val="single" w:sz="6" w:space="0" w:color="auto"/>
              <w:left w:val="single" w:sz="6" w:space="0" w:color="auto"/>
              <w:right w:val="single" w:sz="6" w:space="0" w:color="auto"/>
            </w:tcBorders>
          </w:tcPr>
          <w:p w14:paraId="1202ED0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BSN1</w:t>
            </w:r>
          </w:p>
        </w:tc>
        <w:tc>
          <w:tcPr>
            <w:tcW w:w="1134" w:type="dxa"/>
            <w:tcBorders>
              <w:left w:val="single" w:sz="6" w:space="0" w:color="auto"/>
            </w:tcBorders>
          </w:tcPr>
          <w:p w14:paraId="154BABEA" w14:textId="77777777" w:rsidR="00711444" w:rsidRPr="004D0DAA" w:rsidRDefault="00711444" w:rsidP="00AA2A4C">
            <w:pPr>
              <w:keepNext/>
              <w:keepLines/>
              <w:spacing w:after="0"/>
              <w:jc w:val="center"/>
              <w:rPr>
                <w:rFonts w:ascii="Arial" w:hAnsi="Arial"/>
                <w:sz w:val="18"/>
              </w:rPr>
            </w:pPr>
            <w:r w:rsidRPr="004D0DAA">
              <w:rPr>
                <w:rFonts w:ascii="Arial" w:hAnsi="Arial"/>
                <w:sz w:val="18"/>
              </w:rPr>
              <w:t>4</w:t>
            </w:r>
          </w:p>
        </w:tc>
      </w:tr>
      <w:tr w:rsidR="00711444" w:rsidRPr="004D0DAA" w14:paraId="15231647" w14:textId="77777777" w:rsidTr="00AA2A4C">
        <w:tblPrEx>
          <w:tblCellMar>
            <w:top w:w="0" w:type="dxa"/>
            <w:bottom w:w="0" w:type="dxa"/>
          </w:tblCellMar>
        </w:tblPrEx>
        <w:trPr>
          <w:cantSplit/>
          <w:jc w:val="center"/>
        </w:trPr>
        <w:tc>
          <w:tcPr>
            <w:tcW w:w="572" w:type="dxa"/>
            <w:tcBorders>
              <w:top w:val="single" w:sz="6" w:space="0" w:color="auto"/>
              <w:right w:val="single" w:sz="6" w:space="0" w:color="auto"/>
            </w:tcBorders>
          </w:tcPr>
          <w:p w14:paraId="3FC0A09F" w14:textId="77777777" w:rsidR="00711444" w:rsidRPr="004D0DAA" w:rsidRDefault="00711444" w:rsidP="00AA2A4C">
            <w:pPr>
              <w:keepNext/>
              <w:keepLines/>
              <w:spacing w:after="0"/>
              <w:jc w:val="center"/>
              <w:rPr>
                <w:rFonts w:ascii="Arial" w:hAnsi="Arial"/>
                <w:sz w:val="18"/>
              </w:rPr>
            </w:pPr>
          </w:p>
        </w:tc>
        <w:tc>
          <w:tcPr>
            <w:tcW w:w="572" w:type="dxa"/>
            <w:gridSpan w:val="2"/>
            <w:tcBorders>
              <w:top w:val="single" w:sz="6" w:space="0" w:color="auto"/>
              <w:left w:val="single" w:sz="6" w:space="0" w:color="auto"/>
              <w:bottom w:val="single" w:sz="6" w:space="0" w:color="auto"/>
              <w:right w:val="single" w:sz="6" w:space="0" w:color="auto"/>
            </w:tcBorders>
          </w:tcPr>
          <w:p w14:paraId="5BDEC6A2"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576" w:type="dxa"/>
            <w:gridSpan w:val="2"/>
            <w:tcBorders>
              <w:top w:val="single" w:sz="6" w:space="0" w:color="auto"/>
              <w:left w:val="single" w:sz="6" w:space="0" w:color="auto"/>
              <w:bottom w:val="single" w:sz="6" w:space="0" w:color="auto"/>
              <w:right w:val="single" w:sz="6" w:space="0" w:color="auto"/>
            </w:tcBorders>
          </w:tcPr>
          <w:p w14:paraId="0C770AA6" w14:textId="77777777" w:rsidR="00711444" w:rsidRPr="004D0DAA" w:rsidRDefault="00711444" w:rsidP="00AA2A4C">
            <w:pPr>
              <w:keepNext/>
              <w:keepLines/>
              <w:spacing w:after="0"/>
              <w:jc w:val="center"/>
              <w:rPr>
                <w:rFonts w:ascii="Arial" w:hAnsi="Arial"/>
                <w:sz w:val="18"/>
              </w:rPr>
            </w:pPr>
            <w:r w:rsidRPr="004D0DAA">
              <w:rPr>
                <w:rFonts w:ascii="Arial" w:hAnsi="Arial"/>
                <w:sz w:val="18"/>
              </w:rPr>
              <w:t>Spare</w:t>
            </w:r>
          </w:p>
        </w:tc>
        <w:tc>
          <w:tcPr>
            <w:tcW w:w="1146" w:type="dxa"/>
            <w:gridSpan w:val="3"/>
            <w:tcBorders>
              <w:top w:val="single" w:sz="6" w:space="0" w:color="auto"/>
              <w:left w:val="single" w:sz="6" w:space="0" w:color="auto"/>
              <w:bottom w:val="single" w:sz="6" w:space="0" w:color="auto"/>
              <w:right w:val="single" w:sz="6" w:space="0" w:color="auto"/>
            </w:tcBorders>
          </w:tcPr>
          <w:p w14:paraId="4DE034F5" w14:textId="77777777" w:rsidR="00711444" w:rsidRPr="004D0DAA" w:rsidRDefault="00711444" w:rsidP="00AA2A4C">
            <w:pPr>
              <w:keepNext/>
              <w:keepLines/>
              <w:spacing w:after="0"/>
              <w:jc w:val="center"/>
              <w:rPr>
                <w:rFonts w:ascii="Arial" w:hAnsi="Arial"/>
                <w:sz w:val="18"/>
              </w:rPr>
            </w:pPr>
            <w:r w:rsidRPr="004D0DAA">
              <w:rPr>
                <w:rFonts w:ascii="Arial" w:hAnsi="Arial"/>
                <w:sz w:val="18"/>
              </w:rPr>
              <w:t>CPS</w:t>
            </w:r>
          </w:p>
        </w:tc>
        <w:tc>
          <w:tcPr>
            <w:tcW w:w="1701" w:type="dxa"/>
            <w:gridSpan w:val="3"/>
            <w:tcBorders>
              <w:top w:val="single" w:sz="6" w:space="0" w:color="auto"/>
              <w:left w:val="single" w:sz="6" w:space="0" w:color="auto"/>
              <w:bottom w:val="single" w:sz="6" w:space="0" w:color="auto"/>
              <w:right w:val="single" w:sz="6" w:space="0" w:color="auto"/>
            </w:tcBorders>
          </w:tcPr>
          <w:p w14:paraId="2D5C6CC1" w14:textId="77777777" w:rsidR="00711444" w:rsidRPr="004D0DAA" w:rsidRDefault="00711444" w:rsidP="00AA2A4C">
            <w:pPr>
              <w:keepNext/>
              <w:keepLines/>
              <w:spacing w:after="0"/>
              <w:jc w:val="center"/>
              <w:rPr>
                <w:rFonts w:ascii="Arial" w:hAnsi="Arial"/>
                <w:sz w:val="18"/>
              </w:rPr>
            </w:pPr>
            <w:r w:rsidRPr="004D0DAA">
              <w:rPr>
                <w:rFonts w:ascii="Arial" w:hAnsi="Arial"/>
                <w:sz w:val="18"/>
              </w:rPr>
              <w:t>BSN2</w:t>
            </w:r>
          </w:p>
        </w:tc>
        <w:tc>
          <w:tcPr>
            <w:tcW w:w="1134" w:type="dxa"/>
            <w:tcBorders>
              <w:left w:val="single" w:sz="6" w:space="0" w:color="auto"/>
            </w:tcBorders>
          </w:tcPr>
          <w:p w14:paraId="4DC4E21B" w14:textId="77777777" w:rsidR="00711444" w:rsidRPr="004D0DAA" w:rsidRDefault="00711444" w:rsidP="00AA2A4C">
            <w:pPr>
              <w:keepNext/>
              <w:keepLines/>
              <w:spacing w:after="0"/>
              <w:jc w:val="center"/>
              <w:rPr>
                <w:rFonts w:ascii="Arial" w:hAnsi="Arial"/>
                <w:sz w:val="18"/>
              </w:rPr>
            </w:pPr>
            <w:r w:rsidRPr="004D0DAA">
              <w:rPr>
                <w:rFonts w:ascii="Arial" w:hAnsi="Arial"/>
                <w:sz w:val="18"/>
              </w:rPr>
              <w:t>5</w:t>
            </w:r>
          </w:p>
        </w:tc>
      </w:tr>
    </w:tbl>
    <w:p w14:paraId="7E1A6DEB" w14:textId="77777777" w:rsidR="00711444" w:rsidRPr="004D0DAA" w:rsidRDefault="00711444" w:rsidP="00711444">
      <w:pPr>
        <w:pStyle w:val="TAN"/>
      </w:pPr>
    </w:p>
    <w:p w14:paraId="56F7BF30" w14:textId="77777777" w:rsidR="00711444" w:rsidRPr="004D0DAA" w:rsidRDefault="00711444" w:rsidP="00711444">
      <w:pPr>
        <w:pStyle w:val="TF"/>
      </w:pPr>
      <w:r w:rsidRPr="004D0DAA">
        <w:t>Figure 10.3a.3.10.2: DLMC Combined downlink RLC data block header</w:t>
      </w:r>
      <w:r w:rsidRPr="004D0DAA">
        <w:br/>
        <w:t>for DAS-10.</w:t>
      </w:r>
    </w:p>
    <w:p w14:paraId="796E8726" w14:textId="77777777" w:rsidR="00711444" w:rsidRPr="004D0DAA" w:rsidRDefault="00711444" w:rsidP="00711444">
      <w:pPr>
        <w:pStyle w:val="Heading3"/>
      </w:pPr>
      <w:bookmarkStart w:id="532" w:name="_Toc516669713"/>
      <w:r w:rsidRPr="004D0DAA">
        <w:t>10.3a.4</w:t>
      </w:r>
      <w:r w:rsidRPr="004D0DAA">
        <w:tab/>
        <w:t>EGPRS and EC-GSM-IoT Uplink RLC/MAC header</w:t>
      </w:r>
      <w:bookmarkEnd w:id="532"/>
    </w:p>
    <w:p w14:paraId="2043C088" w14:textId="77777777" w:rsidR="00711444" w:rsidRPr="004D0DAA" w:rsidRDefault="00711444" w:rsidP="00711444">
      <w:pPr>
        <w:pStyle w:val="Heading4"/>
      </w:pPr>
      <w:bookmarkStart w:id="533" w:name="_Toc516669714"/>
      <w:r w:rsidRPr="004D0DAA">
        <w:t>10.3a.4.1</w:t>
      </w:r>
      <w:r w:rsidRPr="004D0DAA">
        <w:tab/>
        <w:t>Header type 1: header for MCS-7, MCS-8 and MCS-9</w:t>
      </w:r>
      <w:bookmarkEnd w:id="533"/>
    </w:p>
    <w:p w14:paraId="623DE178" w14:textId="77777777" w:rsidR="00711444" w:rsidRPr="004D0DAA" w:rsidRDefault="00711444" w:rsidP="00711444">
      <w:pPr>
        <w:keepNext/>
        <w:ind w:left="91"/>
      </w:pPr>
      <w:r w:rsidRPr="004D0DAA">
        <w:t>The EGPRS combined uplink RLC/MAC header for MCS</w:t>
      </w:r>
      <w:r w:rsidRPr="004D0DAA">
        <w:noBreakHyphen/>
        <w:t>7, MCS</w:t>
      </w:r>
      <w:r w:rsidRPr="004D0DAA">
        <w:noBreakHyphen/>
        <w:t>8 and MCS</w:t>
      </w:r>
      <w:r w:rsidRPr="004D0DAA">
        <w:noBreakHyphen/>
        <w:t>9 (header type 1) shall be formatted according to figure 10.3a.4.1.1.</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567"/>
        <w:gridCol w:w="567"/>
        <w:gridCol w:w="567"/>
        <w:gridCol w:w="567"/>
        <w:gridCol w:w="567"/>
        <w:gridCol w:w="557"/>
        <w:gridCol w:w="1144"/>
      </w:tblGrid>
      <w:tr w:rsidR="00711444" w:rsidRPr="004D0DAA" w14:paraId="480D9627" w14:textId="77777777" w:rsidTr="00AA2A4C">
        <w:tblPrEx>
          <w:tblCellMar>
            <w:top w:w="0" w:type="dxa"/>
            <w:bottom w:w="0" w:type="dxa"/>
          </w:tblCellMar>
        </w:tblPrEx>
        <w:trPr>
          <w:cantSplit/>
          <w:jc w:val="center"/>
        </w:trPr>
        <w:tc>
          <w:tcPr>
            <w:tcW w:w="4555" w:type="dxa"/>
            <w:gridSpan w:val="8"/>
          </w:tcPr>
          <w:p w14:paraId="7AFF9E0B" w14:textId="77777777" w:rsidR="00711444" w:rsidRPr="004D0DAA" w:rsidRDefault="00711444" w:rsidP="00AA2A4C">
            <w:pPr>
              <w:pStyle w:val="TAC"/>
              <w:rPr>
                <w:lang w:eastAsia="en-US"/>
              </w:rPr>
            </w:pPr>
            <w:r w:rsidRPr="004D0DAA">
              <w:rPr>
                <w:lang w:eastAsia="en-US"/>
              </w:rPr>
              <w:t>Bit</w:t>
            </w:r>
          </w:p>
        </w:tc>
        <w:tc>
          <w:tcPr>
            <w:tcW w:w="1144" w:type="dxa"/>
          </w:tcPr>
          <w:p w14:paraId="3B5F09F3" w14:textId="77777777" w:rsidR="00711444" w:rsidRPr="004D0DAA" w:rsidRDefault="00711444" w:rsidP="00AA2A4C">
            <w:pPr>
              <w:pStyle w:val="TAC"/>
              <w:rPr>
                <w:lang w:eastAsia="en-US"/>
              </w:rPr>
            </w:pPr>
          </w:p>
        </w:tc>
      </w:tr>
      <w:tr w:rsidR="00711444" w:rsidRPr="004D0DAA" w14:paraId="0E2C9055" w14:textId="77777777" w:rsidTr="00AA2A4C">
        <w:tblPrEx>
          <w:tblCellMar>
            <w:top w:w="0" w:type="dxa"/>
            <w:bottom w:w="0" w:type="dxa"/>
          </w:tblCellMar>
        </w:tblPrEx>
        <w:trPr>
          <w:cantSplit/>
          <w:jc w:val="center"/>
        </w:trPr>
        <w:tc>
          <w:tcPr>
            <w:tcW w:w="586" w:type="dxa"/>
          </w:tcPr>
          <w:p w14:paraId="4C463F11" w14:textId="77777777" w:rsidR="00711444" w:rsidRPr="004D0DAA" w:rsidRDefault="00711444" w:rsidP="00AA2A4C">
            <w:pPr>
              <w:pStyle w:val="TAC"/>
              <w:rPr>
                <w:lang w:eastAsia="en-US"/>
              </w:rPr>
            </w:pPr>
            <w:r w:rsidRPr="004D0DAA">
              <w:rPr>
                <w:lang w:eastAsia="en-US"/>
              </w:rPr>
              <w:t>8</w:t>
            </w:r>
          </w:p>
        </w:tc>
        <w:tc>
          <w:tcPr>
            <w:tcW w:w="577" w:type="dxa"/>
          </w:tcPr>
          <w:p w14:paraId="3DEE5468" w14:textId="77777777" w:rsidR="00711444" w:rsidRPr="004D0DAA" w:rsidRDefault="00711444" w:rsidP="00AA2A4C">
            <w:pPr>
              <w:pStyle w:val="TAC"/>
              <w:rPr>
                <w:lang w:eastAsia="en-US"/>
              </w:rPr>
            </w:pPr>
            <w:r w:rsidRPr="004D0DAA">
              <w:rPr>
                <w:lang w:eastAsia="en-US"/>
              </w:rPr>
              <w:t>7</w:t>
            </w:r>
          </w:p>
        </w:tc>
        <w:tc>
          <w:tcPr>
            <w:tcW w:w="567" w:type="dxa"/>
          </w:tcPr>
          <w:p w14:paraId="7B28DC77" w14:textId="77777777" w:rsidR="00711444" w:rsidRPr="004D0DAA" w:rsidRDefault="00711444" w:rsidP="00AA2A4C">
            <w:pPr>
              <w:pStyle w:val="TAC"/>
              <w:rPr>
                <w:lang w:eastAsia="en-US"/>
              </w:rPr>
            </w:pPr>
            <w:r w:rsidRPr="004D0DAA">
              <w:rPr>
                <w:lang w:eastAsia="en-US"/>
              </w:rPr>
              <w:t>6</w:t>
            </w:r>
          </w:p>
        </w:tc>
        <w:tc>
          <w:tcPr>
            <w:tcW w:w="567" w:type="dxa"/>
          </w:tcPr>
          <w:p w14:paraId="699EB465" w14:textId="77777777" w:rsidR="00711444" w:rsidRPr="004D0DAA" w:rsidRDefault="00711444" w:rsidP="00AA2A4C">
            <w:pPr>
              <w:pStyle w:val="TAC"/>
              <w:rPr>
                <w:lang w:eastAsia="en-US"/>
              </w:rPr>
            </w:pPr>
            <w:r w:rsidRPr="004D0DAA">
              <w:rPr>
                <w:lang w:eastAsia="en-US"/>
              </w:rPr>
              <w:t>5</w:t>
            </w:r>
          </w:p>
        </w:tc>
        <w:tc>
          <w:tcPr>
            <w:tcW w:w="567" w:type="dxa"/>
          </w:tcPr>
          <w:p w14:paraId="087B6794" w14:textId="77777777" w:rsidR="00711444" w:rsidRPr="004D0DAA" w:rsidRDefault="00711444" w:rsidP="00AA2A4C">
            <w:pPr>
              <w:pStyle w:val="TAC"/>
              <w:rPr>
                <w:lang w:eastAsia="en-US"/>
              </w:rPr>
            </w:pPr>
            <w:r w:rsidRPr="004D0DAA">
              <w:rPr>
                <w:lang w:eastAsia="en-US"/>
              </w:rPr>
              <w:t>4</w:t>
            </w:r>
          </w:p>
        </w:tc>
        <w:tc>
          <w:tcPr>
            <w:tcW w:w="567" w:type="dxa"/>
          </w:tcPr>
          <w:p w14:paraId="014146ED" w14:textId="77777777" w:rsidR="00711444" w:rsidRPr="004D0DAA" w:rsidRDefault="00711444" w:rsidP="00AA2A4C">
            <w:pPr>
              <w:pStyle w:val="TAC"/>
              <w:rPr>
                <w:lang w:eastAsia="en-US"/>
              </w:rPr>
            </w:pPr>
            <w:r w:rsidRPr="004D0DAA">
              <w:rPr>
                <w:lang w:eastAsia="en-US"/>
              </w:rPr>
              <w:t>3</w:t>
            </w:r>
          </w:p>
        </w:tc>
        <w:tc>
          <w:tcPr>
            <w:tcW w:w="567" w:type="dxa"/>
          </w:tcPr>
          <w:p w14:paraId="404AA161" w14:textId="77777777" w:rsidR="00711444" w:rsidRPr="004D0DAA" w:rsidRDefault="00711444" w:rsidP="00AA2A4C">
            <w:pPr>
              <w:pStyle w:val="TAC"/>
              <w:rPr>
                <w:lang w:eastAsia="en-US"/>
              </w:rPr>
            </w:pPr>
            <w:r w:rsidRPr="004D0DAA">
              <w:rPr>
                <w:lang w:eastAsia="en-US"/>
              </w:rPr>
              <w:t>2</w:t>
            </w:r>
          </w:p>
        </w:tc>
        <w:tc>
          <w:tcPr>
            <w:tcW w:w="557" w:type="dxa"/>
          </w:tcPr>
          <w:p w14:paraId="0A1DD152" w14:textId="77777777" w:rsidR="00711444" w:rsidRPr="004D0DAA" w:rsidRDefault="00711444" w:rsidP="00AA2A4C">
            <w:pPr>
              <w:pStyle w:val="TAC"/>
              <w:rPr>
                <w:lang w:eastAsia="en-US"/>
              </w:rPr>
            </w:pPr>
            <w:r w:rsidRPr="004D0DAA">
              <w:rPr>
                <w:lang w:eastAsia="en-US"/>
              </w:rPr>
              <w:t>1</w:t>
            </w:r>
          </w:p>
        </w:tc>
        <w:tc>
          <w:tcPr>
            <w:tcW w:w="1144" w:type="dxa"/>
          </w:tcPr>
          <w:p w14:paraId="34F3F5E1" w14:textId="77777777" w:rsidR="00711444" w:rsidRPr="004D0DAA" w:rsidRDefault="00711444" w:rsidP="00AA2A4C">
            <w:pPr>
              <w:pStyle w:val="TAC"/>
              <w:rPr>
                <w:lang w:eastAsia="en-US"/>
              </w:rPr>
            </w:pPr>
            <w:r w:rsidRPr="004D0DAA">
              <w:rPr>
                <w:lang w:eastAsia="en-US"/>
              </w:rPr>
              <w:t>Octet</w:t>
            </w:r>
          </w:p>
        </w:tc>
      </w:tr>
      <w:tr w:rsidR="00711444" w:rsidRPr="004D0DAA" w14:paraId="6FBB1410"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5EA9CD51" w14:textId="77777777" w:rsidR="00711444" w:rsidRPr="004D0DAA" w:rsidRDefault="00711444" w:rsidP="00AA2A4C">
            <w:pPr>
              <w:pStyle w:val="TAC"/>
              <w:rPr>
                <w:lang w:eastAsia="en-US"/>
              </w:rPr>
            </w:pPr>
            <w:r w:rsidRPr="004D0DAA">
              <w:rPr>
                <w:lang w:eastAsia="en-US"/>
              </w:rPr>
              <w:t>TFI</w:t>
            </w:r>
          </w:p>
        </w:tc>
        <w:tc>
          <w:tcPr>
            <w:tcW w:w="2268" w:type="dxa"/>
            <w:gridSpan w:val="4"/>
            <w:tcBorders>
              <w:top w:val="single" w:sz="6" w:space="0" w:color="auto"/>
              <w:left w:val="single" w:sz="6" w:space="0" w:color="auto"/>
              <w:bottom w:val="single" w:sz="6" w:space="0" w:color="auto"/>
            </w:tcBorders>
          </w:tcPr>
          <w:p w14:paraId="33367E5C"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4C9A5268" w14:textId="77777777" w:rsidR="00711444" w:rsidRPr="004D0DAA" w:rsidRDefault="00711444" w:rsidP="00AA2A4C">
            <w:pPr>
              <w:pStyle w:val="TAC"/>
              <w:rPr>
                <w:lang w:eastAsia="en-US"/>
              </w:rPr>
            </w:pPr>
            <w:r w:rsidRPr="004D0DAA">
              <w:rPr>
                <w:lang w:eastAsia="en-US"/>
              </w:rPr>
              <w:t>SI</w:t>
            </w:r>
          </w:p>
        </w:tc>
        <w:tc>
          <w:tcPr>
            <w:tcW w:w="557" w:type="dxa"/>
            <w:tcBorders>
              <w:top w:val="single" w:sz="6" w:space="0" w:color="auto"/>
              <w:left w:val="single" w:sz="6" w:space="0" w:color="auto"/>
              <w:bottom w:val="single" w:sz="6" w:space="0" w:color="auto"/>
              <w:right w:val="single" w:sz="6" w:space="0" w:color="auto"/>
            </w:tcBorders>
          </w:tcPr>
          <w:p w14:paraId="57584874"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70E080D3" w14:textId="77777777" w:rsidR="00711444" w:rsidRPr="004D0DAA" w:rsidRDefault="00711444" w:rsidP="00AA2A4C">
            <w:pPr>
              <w:pStyle w:val="TAC"/>
              <w:rPr>
                <w:lang w:eastAsia="en-US"/>
              </w:rPr>
            </w:pPr>
            <w:r w:rsidRPr="004D0DAA">
              <w:rPr>
                <w:lang w:eastAsia="en-US"/>
              </w:rPr>
              <w:t>1</w:t>
            </w:r>
          </w:p>
        </w:tc>
      </w:tr>
      <w:tr w:rsidR="00711444" w:rsidRPr="004D0DAA" w14:paraId="297F1165" w14:textId="77777777" w:rsidTr="00AA2A4C">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76FD9BED" w14:textId="77777777" w:rsidR="00711444" w:rsidRPr="004D0DAA" w:rsidRDefault="00711444" w:rsidP="00AA2A4C">
            <w:pPr>
              <w:pStyle w:val="TAC"/>
              <w:rPr>
                <w:lang w:eastAsia="en-US"/>
              </w:rPr>
            </w:pPr>
            <w:r w:rsidRPr="004D0DAA">
              <w:rPr>
                <w:lang w:eastAsia="en-US"/>
              </w:rPr>
              <w:t>BSN1</w:t>
            </w:r>
          </w:p>
        </w:tc>
        <w:tc>
          <w:tcPr>
            <w:tcW w:w="1691" w:type="dxa"/>
            <w:gridSpan w:val="3"/>
            <w:tcBorders>
              <w:left w:val="single" w:sz="6" w:space="0" w:color="auto"/>
              <w:right w:val="single" w:sz="6" w:space="0" w:color="auto"/>
            </w:tcBorders>
          </w:tcPr>
          <w:p w14:paraId="7A53C583"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7ACD1A83" w14:textId="77777777" w:rsidR="00711444" w:rsidRPr="004D0DAA" w:rsidRDefault="00711444" w:rsidP="00AA2A4C">
            <w:pPr>
              <w:pStyle w:val="TAC"/>
              <w:rPr>
                <w:lang w:eastAsia="en-US"/>
              </w:rPr>
            </w:pPr>
            <w:r w:rsidRPr="004D0DAA">
              <w:rPr>
                <w:lang w:eastAsia="en-US"/>
              </w:rPr>
              <w:t>2</w:t>
            </w:r>
          </w:p>
        </w:tc>
      </w:tr>
      <w:tr w:rsidR="00711444" w:rsidRPr="004D0DAA" w14:paraId="381B88D3"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0ACB28A3" w14:textId="77777777" w:rsidR="00711444" w:rsidRPr="004D0DAA" w:rsidRDefault="00711444" w:rsidP="00AA2A4C">
            <w:pPr>
              <w:pStyle w:val="TAC"/>
              <w:rPr>
                <w:lang w:eastAsia="en-US"/>
              </w:rPr>
            </w:pPr>
            <w:r w:rsidRPr="004D0DAA">
              <w:rPr>
                <w:lang w:eastAsia="en-US"/>
              </w:rPr>
              <w:t>BSN2</w:t>
            </w:r>
          </w:p>
        </w:tc>
        <w:tc>
          <w:tcPr>
            <w:tcW w:w="3392" w:type="dxa"/>
            <w:gridSpan w:val="6"/>
            <w:tcBorders>
              <w:top w:val="single" w:sz="6" w:space="0" w:color="auto"/>
              <w:left w:val="single" w:sz="6" w:space="0" w:color="auto"/>
              <w:right w:val="single" w:sz="6" w:space="0" w:color="auto"/>
            </w:tcBorders>
          </w:tcPr>
          <w:p w14:paraId="2EE299A2"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462C99F8" w14:textId="77777777" w:rsidR="00711444" w:rsidRPr="004D0DAA" w:rsidRDefault="00711444" w:rsidP="00AA2A4C">
            <w:pPr>
              <w:pStyle w:val="TAC"/>
              <w:rPr>
                <w:lang w:eastAsia="en-US"/>
              </w:rPr>
            </w:pPr>
            <w:r w:rsidRPr="004D0DAA">
              <w:rPr>
                <w:lang w:eastAsia="en-US"/>
              </w:rPr>
              <w:t>3</w:t>
            </w:r>
          </w:p>
        </w:tc>
      </w:tr>
      <w:tr w:rsidR="00711444" w:rsidRPr="004D0DAA" w14:paraId="7A1794AC" w14:textId="77777777" w:rsidTr="00AA2A4C">
        <w:tblPrEx>
          <w:tblCellMar>
            <w:top w:w="0" w:type="dxa"/>
            <w:bottom w:w="0" w:type="dxa"/>
          </w:tblCellMar>
        </w:tblPrEx>
        <w:trPr>
          <w:cantSplit/>
          <w:jc w:val="center"/>
        </w:trPr>
        <w:tc>
          <w:tcPr>
            <w:tcW w:w="4555" w:type="dxa"/>
            <w:gridSpan w:val="8"/>
            <w:tcBorders>
              <w:top w:val="single" w:sz="6" w:space="0" w:color="auto"/>
              <w:left w:val="single" w:sz="6" w:space="0" w:color="auto"/>
              <w:right w:val="single" w:sz="6" w:space="0" w:color="auto"/>
            </w:tcBorders>
          </w:tcPr>
          <w:p w14:paraId="135CD64E"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6B962508" w14:textId="77777777" w:rsidR="00711444" w:rsidRPr="004D0DAA" w:rsidRDefault="00711444" w:rsidP="00AA2A4C">
            <w:pPr>
              <w:pStyle w:val="TAC"/>
              <w:rPr>
                <w:lang w:eastAsia="en-US"/>
              </w:rPr>
            </w:pPr>
            <w:r w:rsidRPr="004D0DAA">
              <w:rPr>
                <w:lang w:eastAsia="en-US"/>
              </w:rPr>
              <w:t>4</w:t>
            </w:r>
          </w:p>
        </w:tc>
      </w:tr>
      <w:tr w:rsidR="00711444" w:rsidRPr="004D0DAA" w14:paraId="27A599A4" w14:textId="77777777" w:rsidTr="00AA2A4C">
        <w:tblPrEx>
          <w:tblCellMar>
            <w:top w:w="0" w:type="dxa"/>
            <w:bottom w:w="0" w:type="dxa"/>
          </w:tblCellMar>
        </w:tblPrEx>
        <w:trPr>
          <w:cantSplit/>
          <w:jc w:val="center"/>
        </w:trPr>
        <w:tc>
          <w:tcPr>
            <w:tcW w:w="586" w:type="dxa"/>
            <w:tcBorders>
              <w:top w:val="single" w:sz="6" w:space="0" w:color="auto"/>
              <w:left w:val="single" w:sz="6" w:space="0" w:color="auto"/>
              <w:right w:val="single" w:sz="6" w:space="0" w:color="auto"/>
            </w:tcBorders>
          </w:tcPr>
          <w:p w14:paraId="75AF728F" w14:textId="77777777" w:rsidR="00711444" w:rsidRPr="004D0DAA" w:rsidRDefault="00711444" w:rsidP="00AA2A4C">
            <w:pPr>
              <w:pStyle w:val="TAC"/>
              <w:rPr>
                <w:lang w:eastAsia="en-US"/>
              </w:rPr>
            </w:pPr>
            <w:r w:rsidRPr="004D0DAA">
              <w:rPr>
                <w:lang w:eastAsia="en-US"/>
              </w:rPr>
              <w:t>Spare</w:t>
            </w:r>
          </w:p>
        </w:tc>
        <w:tc>
          <w:tcPr>
            <w:tcW w:w="577" w:type="dxa"/>
            <w:tcBorders>
              <w:top w:val="single" w:sz="6" w:space="0" w:color="auto"/>
              <w:left w:val="single" w:sz="6" w:space="0" w:color="auto"/>
              <w:right w:val="single" w:sz="6" w:space="0" w:color="auto"/>
            </w:tcBorders>
          </w:tcPr>
          <w:p w14:paraId="66CABD53" w14:textId="77777777" w:rsidR="00711444" w:rsidRPr="004D0DAA" w:rsidRDefault="00711444" w:rsidP="00AA2A4C">
            <w:pPr>
              <w:pStyle w:val="TAC"/>
              <w:rPr>
                <w:lang w:eastAsia="en-US"/>
              </w:rPr>
            </w:pPr>
            <w:r w:rsidRPr="004D0DAA">
              <w:rPr>
                <w:lang w:eastAsia="en-US"/>
              </w:rPr>
              <w:t>PI</w:t>
            </w:r>
          </w:p>
        </w:tc>
        <w:tc>
          <w:tcPr>
            <w:tcW w:w="567" w:type="dxa"/>
            <w:tcBorders>
              <w:top w:val="single" w:sz="6" w:space="0" w:color="auto"/>
              <w:left w:val="single" w:sz="6" w:space="0" w:color="auto"/>
              <w:right w:val="single" w:sz="6" w:space="0" w:color="auto"/>
            </w:tcBorders>
          </w:tcPr>
          <w:p w14:paraId="0ACE1038" w14:textId="77777777" w:rsidR="00711444" w:rsidRPr="004D0DAA" w:rsidRDefault="00711444" w:rsidP="00AA2A4C">
            <w:pPr>
              <w:pStyle w:val="TAC"/>
              <w:rPr>
                <w:lang w:eastAsia="en-US"/>
              </w:rPr>
            </w:pPr>
            <w:r w:rsidRPr="004D0DAA">
              <w:rPr>
                <w:lang w:eastAsia="en-US"/>
              </w:rPr>
              <w:t>RSB</w:t>
            </w:r>
          </w:p>
        </w:tc>
        <w:tc>
          <w:tcPr>
            <w:tcW w:w="2825" w:type="dxa"/>
            <w:gridSpan w:val="5"/>
            <w:tcBorders>
              <w:top w:val="single" w:sz="6" w:space="0" w:color="auto"/>
              <w:left w:val="single" w:sz="6" w:space="0" w:color="auto"/>
              <w:bottom w:val="single" w:sz="6" w:space="0" w:color="auto"/>
              <w:right w:val="single" w:sz="6" w:space="0" w:color="auto"/>
            </w:tcBorders>
          </w:tcPr>
          <w:p w14:paraId="1E50D983"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1EB52DAA" w14:textId="77777777" w:rsidR="00711444" w:rsidRPr="004D0DAA" w:rsidRDefault="00711444" w:rsidP="00AA2A4C">
            <w:pPr>
              <w:pStyle w:val="TAC"/>
              <w:rPr>
                <w:lang w:eastAsia="en-US"/>
              </w:rPr>
            </w:pPr>
            <w:r w:rsidRPr="004D0DAA">
              <w:rPr>
                <w:lang w:eastAsia="en-US"/>
              </w:rPr>
              <w:t>5</w:t>
            </w:r>
          </w:p>
        </w:tc>
      </w:tr>
      <w:tr w:rsidR="00711444" w:rsidRPr="004D0DAA" w14:paraId="586AFB52" w14:textId="77777777" w:rsidTr="00AA2A4C">
        <w:tblPrEx>
          <w:tblCellMar>
            <w:top w:w="0" w:type="dxa"/>
            <w:bottom w:w="0" w:type="dxa"/>
          </w:tblCellMar>
        </w:tblPrEx>
        <w:trPr>
          <w:cantSplit/>
          <w:jc w:val="center"/>
        </w:trPr>
        <w:tc>
          <w:tcPr>
            <w:tcW w:w="586" w:type="dxa"/>
            <w:tcBorders>
              <w:top w:val="single" w:sz="6" w:space="0" w:color="auto"/>
            </w:tcBorders>
          </w:tcPr>
          <w:p w14:paraId="1703FBFA" w14:textId="77777777" w:rsidR="00711444" w:rsidRPr="004D0DAA" w:rsidRDefault="00711444" w:rsidP="00AA2A4C"/>
        </w:tc>
        <w:tc>
          <w:tcPr>
            <w:tcW w:w="577" w:type="dxa"/>
            <w:tcBorders>
              <w:top w:val="single" w:sz="6" w:space="0" w:color="auto"/>
              <w:right w:val="single" w:sz="6" w:space="0" w:color="auto"/>
            </w:tcBorders>
          </w:tcPr>
          <w:p w14:paraId="0EE65FAB" w14:textId="77777777" w:rsidR="00711444" w:rsidRPr="004D0DAA" w:rsidRDefault="00711444" w:rsidP="00AA2A4C"/>
        </w:tc>
        <w:tc>
          <w:tcPr>
            <w:tcW w:w="3392" w:type="dxa"/>
            <w:gridSpan w:val="6"/>
            <w:tcBorders>
              <w:top w:val="single" w:sz="6" w:space="0" w:color="auto"/>
              <w:bottom w:val="single" w:sz="6" w:space="0" w:color="auto"/>
              <w:right w:val="single" w:sz="6" w:space="0" w:color="auto"/>
            </w:tcBorders>
          </w:tcPr>
          <w:p w14:paraId="36F0DF4A" w14:textId="77777777" w:rsidR="00711444" w:rsidRPr="004D0DAA" w:rsidRDefault="00711444" w:rsidP="00AA2A4C">
            <w:pPr>
              <w:pStyle w:val="TAC"/>
              <w:rPr>
                <w:lang w:eastAsia="en-US"/>
              </w:rPr>
            </w:pPr>
            <w:r w:rsidRPr="004D0DAA">
              <w:rPr>
                <w:lang w:eastAsia="en-US"/>
              </w:rPr>
              <w:t>Spare</w:t>
            </w:r>
          </w:p>
        </w:tc>
        <w:tc>
          <w:tcPr>
            <w:tcW w:w="1144" w:type="dxa"/>
          </w:tcPr>
          <w:p w14:paraId="51B2EE40" w14:textId="77777777" w:rsidR="00711444" w:rsidRPr="004D0DAA" w:rsidRDefault="00711444" w:rsidP="00AA2A4C">
            <w:pPr>
              <w:pStyle w:val="TAC"/>
              <w:rPr>
                <w:lang w:eastAsia="en-US"/>
              </w:rPr>
            </w:pPr>
            <w:r w:rsidRPr="004D0DAA">
              <w:rPr>
                <w:lang w:eastAsia="en-US"/>
              </w:rPr>
              <w:t>6</w:t>
            </w:r>
          </w:p>
        </w:tc>
      </w:tr>
    </w:tbl>
    <w:p w14:paraId="1B384C1D" w14:textId="77777777" w:rsidR="00711444" w:rsidRPr="004D0DAA" w:rsidRDefault="00711444" w:rsidP="00711444">
      <w:pPr>
        <w:pStyle w:val="NF"/>
      </w:pPr>
    </w:p>
    <w:p w14:paraId="59CCA769" w14:textId="77777777" w:rsidR="00711444" w:rsidRPr="004D0DAA" w:rsidRDefault="00711444" w:rsidP="00711444">
      <w:pPr>
        <w:pStyle w:val="TF"/>
      </w:pPr>
      <w:r w:rsidRPr="004D0DAA">
        <w:t xml:space="preserve">Figure 10.3a.4.1.1: EGPRS uplink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MCS-7, MCS-8 and MCS-9.</w:t>
      </w:r>
    </w:p>
    <w:p w14:paraId="1B3F4DCD" w14:textId="77777777" w:rsidR="00711444" w:rsidRPr="004D0DAA" w:rsidRDefault="00711444" w:rsidP="00711444">
      <w:pPr>
        <w:keepNext/>
        <w:ind w:left="91"/>
      </w:pPr>
      <w:r w:rsidRPr="004D0DAA">
        <w:rPr>
          <w:rFonts w:hint="eastAsia"/>
          <w:lang w:eastAsia="ko-KR"/>
        </w:rPr>
        <w:t>For a E</w:t>
      </w:r>
      <w:r w:rsidRPr="004D0DAA">
        <w:rPr>
          <w:lang w:eastAsia="ko-KR"/>
        </w:rPr>
        <w:t>GPRS</w:t>
      </w:r>
      <w:r w:rsidRPr="004D0DAA">
        <w:rPr>
          <w:rFonts w:hint="eastAsia"/>
          <w:lang w:eastAsia="ko-KR"/>
        </w:rPr>
        <w:t xml:space="preserve"> TBF </w:t>
      </w:r>
      <w:r w:rsidRPr="004D0DAA">
        <w:rPr>
          <w:lang w:eastAsia="ko-KR"/>
        </w:rPr>
        <w:t xml:space="preserve">with </w:t>
      </w:r>
      <w:r w:rsidRPr="004D0DAA">
        <w:rPr>
          <w:rFonts w:hint="eastAsia"/>
          <w:lang w:eastAsia="ko-KR"/>
        </w:rPr>
        <w:t>FANR</w:t>
      </w:r>
      <w:r w:rsidRPr="004D0DAA">
        <w:rPr>
          <w:lang w:eastAsia="ko-KR"/>
        </w:rPr>
        <w:t xml:space="preserve"> activated</w:t>
      </w:r>
      <w:r w:rsidRPr="004D0DAA">
        <w:t>, the uplink RLC/MAC header for MCS-7, MCS-8 and MCS-9 shall be formatted according to figure 10.3a.4.1.2.</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567"/>
        <w:gridCol w:w="567"/>
        <w:gridCol w:w="567"/>
        <w:gridCol w:w="567"/>
        <w:gridCol w:w="567"/>
        <w:gridCol w:w="557"/>
        <w:gridCol w:w="1144"/>
      </w:tblGrid>
      <w:tr w:rsidR="00711444" w:rsidRPr="004D0DAA" w14:paraId="5CDBF332" w14:textId="77777777" w:rsidTr="00AA2A4C">
        <w:tblPrEx>
          <w:tblCellMar>
            <w:top w:w="0" w:type="dxa"/>
            <w:bottom w:w="0" w:type="dxa"/>
          </w:tblCellMar>
        </w:tblPrEx>
        <w:trPr>
          <w:cantSplit/>
          <w:jc w:val="center"/>
        </w:trPr>
        <w:tc>
          <w:tcPr>
            <w:tcW w:w="4555" w:type="dxa"/>
            <w:gridSpan w:val="8"/>
          </w:tcPr>
          <w:p w14:paraId="66985F1A" w14:textId="77777777" w:rsidR="00711444" w:rsidRPr="004D0DAA" w:rsidRDefault="00711444" w:rsidP="00AA2A4C">
            <w:pPr>
              <w:pStyle w:val="TAC"/>
              <w:rPr>
                <w:lang w:eastAsia="en-US"/>
              </w:rPr>
            </w:pPr>
            <w:r w:rsidRPr="004D0DAA">
              <w:rPr>
                <w:lang w:eastAsia="en-US"/>
              </w:rPr>
              <w:t>Bit</w:t>
            </w:r>
          </w:p>
        </w:tc>
        <w:tc>
          <w:tcPr>
            <w:tcW w:w="1144" w:type="dxa"/>
          </w:tcPr>
          <w:p w14:paraId="7E855A08" w14:textId="77777777" w:rsidR="00711444" w:rsidRPr="004D0DAA" w:rsidRDefault="00711444" w:rsidP="00AA2A4C">
            <w:pPr>
              <w:pStyle w:val="TAC"/>
              <w:rPr>
                <w:lang w:eastAsia="en-US"/>
              </w:rPr>
            </w:pPr>
          </w:p>
        </w:tc>
      </w:tr>
      <w:tr w:rsidR="00711444" w:rsidRPr="004D0DAA" w14:paraId="3CB14A80" w14:textId="77777777" w:rsidTr="00AA2A4C">
        <w:tblPrEx>
          <w:tblCellMar>
            <w:top w:w="0" w:type="dxa"/>
            <w:bottom w:w="0" w:type="dxa"/>
          </w:tblCellMar>
        </w:tblPrEx>
        <w:trPr>
          <w:cantSplit/>
          <w:jc w:val="center"/>
        </w:trPr>
        <w:tc>
          <w:tcPr>
            <w:tcW w:w="586" w:type="dxa"/>
          </w:tcPr>
          <w:p w14:paraId="7D0D9C9A" w14:textId="77777777" w:rsidR="00711444" w:rsidRPr="004D0DAA" w:rsidRDefault="00711444" w:rsidP="00AA2A4C">
            <w:pPr>
              <w:pStyle w:val="TAC"/>
              <w:rPr>
                <w:lang w:eastAsia="en-US"/>
              </w:rPr>
            </w:pPr>
            <w:r w:rsidRPr="004D0DAA">
              <w:rPr>
                <w:lang w:eastAsia="en-US"/>
              </w:rPr>
              <w:t>8</w:t>
            </w:r>
          </w:p>
        </w:tc>
        <w:tc>
          <w:tcPr>
            <w:tcW w:w="577" w:type="dxa"/>
          </w:tcPr>
          <w:p w14:paraId="0E3DBF2D" w14:textId="77777777" w:rsidR="00711444" w:rsidRPr="004D0DAA" w:rsidRDefault="00711444" w:rsidP="00AA2A4C">
            <w:pPr>
              <w:pStyle w:val="TAC"/>
              <w:rPr>
                <w:lang w:eastAsia="en-US"/>
              </w:rPr>
            </w:pPr>
            <w:r w:rsidRPr="004D0DAA">
              <w:rPr>
                <w:lang w:eastAsia="en-US"/>
              </w:rPr>
              <w:t>7</w:t>
            </w:r>
          </w:p>
        </w:tc>
        <w:tc>
          <w:tcPr>
            <w:tcW w:w="567" w:type="dxa"/>
          </w:tcPr>
          <w:p w14:paraId="71DBE54E" w14:textId="77777777" w:rsidR="00711444" w:rsidRPr="004D0DAA" w:rsidRDefault="00711444" w:rsidP="00AA2A4C">
            <w:pPr>
              <w:pStyle w:val="TAC"/>
              <w:rPr>
                <w:lang w:eastAsia="en-US"/>
              </w:rPr>
            </w:pPr>
            <w:r w:rsidRPr="004D0DAA">
              <w:rPr>
                <w:lang w:eastAsia="en-US"/>
              </w:rPr>
              <w:t>6</w:t>
            </w:r>
          </w:p>
        </w:tc>
        <w:tc>
          <w:tcPr>
            <w:tcW w:w="567" w:type="dxa"/>
          </w:tcPr>
          <w:p w14:paraId="1BF8D7E0" w14:textId="77777777" w:rsidR="00711444" w:rsidRPr="004D0DAA" w:rsidRDefault="00711444" w:rsidP="00AA2A4C">
            <w:pPr>
              <w:pStyle w:val="TAC"/>
              <w:rPr>
                <w:lang w:eastAsia="en-US"/>
              </w:rPr>
            </w:pPr>
            <w:r w:rsidRPr="004D0DAA">
              <w:rPr>
                <w:lang w:eastAsia="en-US"/>
              </w:rPr>
              <w:t>5</w:t>
            </w:r>
          </w:p>
        </w:tc>
        <w:tc>
          <w:tcPr>
            <w:tcW w:w="567" w:type="dxa"/>
          </w:tcPr>
          <w:p w14:paraId="347E6DA3" w14:textId="77777777" w:rsidR="00711444" w:rsidRPr="004D0DAA" w:rsidRDefault="00711444" w:rsidP="00AA2A4C">
            <w:pPr>
              <w:pStyle w:val="TAC"/>
              <w:rPr>
                <w:lang w:eastAsia="en-US"/>
              </w:rPr>
            </w:pPr>
            <w:r w:rsidRPr="004D0DAA">
              <w:rPr>
                <w:lang w:eastAsia="en-US"/>
              </w:rPr>
              <w:t>4</w:t>
            </w:r>
          </w:p>
        </w:tc>
        <w:tc>
          <w:tcPr>
            <w:tcW w:w="567" w:type="dxa"/>
          </w:tcPr>
          <w:p w14:paraId="7140E812" w14:textId="77777777" w:rsidR="00711444" w:rsidRPr="004D0DAA" w:rsidRDefault="00711444" w:rsidP="00AA2A4C">
            <w:pPr>
              <w:pStyle w:val="TAC"/>
              <w:rPr>
                <w:lang w:eastAsia="en-US"/>
              </w:rPr>
            </w:pPr>
            <w:r w:rsidRPr="004D0DAA">
              <w:rPr>
                <w:lang w:eastAsia="en-US"/>
              </w:rPr>
              <w:t>3</w:t>
            </w:r>
          </w:p>
        </w:tc>
        <w:tc>
          <w:tcPr>
            <w:tcW w:w="567" w:type="dxa"/>
          </w:tcPr>
          <w:p w14:paraId="6213DCEB" w14:textId="77777777" w:rsidR="00711444" w:rsidRPr="004D0DAA" w:rsidRDefault="00711444" w:rsidP="00AA2A4C">
            <w:pPr>
              <w:pStyle w:val="TAC"/>
              <w:rPr>
                <w:lang w:eastAsia="en-US"/>
              </w:rPr>
            </w:pPr>
            <w:r w:rsidRPr="004D0DAA">
              <w:rPr>
                <w:lang w:eastAsia="en-US"/>
              </w:rPr>
              <w:t>2</w:t>
            </w:r>
          </w:p>
        </w:tc>
        <w:tc>
          <w:tcPr>
            <w:tcW w:w="557" w:type="dxa"/>
          </w:tcPr>
          <w:p w14:paraId="2F0F103E" w14:textId="77777777" w:rsidR="00711444" w:rsidRPr="004D0DAA" w:rsidRDefault="00711444" w:rsidP="00AA2A4C">
            <w:pPr>
              <w:pStyle w:val="TAC"/>
              <w:rPr>
                <w:lang w:eastAsia="en-US"/>
              </w:rPr>
            </w:pPr>
            <w:r w:rsidRPr="004D0DAA">
              <w:rPr>
                <w:lang w:eastAsia="en-US"/>
              </w:rPr>
              <w:t>1</w:t>
            </w:r>
          </w:p>
        </w:tc>
        <w:tc>
          <w:tcPr>
            <w:tcW w:w="1144" w:type="dxa"/>
          </w:tcPr>
          <w:p w14:paraId="6FEEF170" w14:textId="77777777" w:rsidR="00711444" w:rsidRPr="004D0DAA" w:rsidRDefault="00711444" w:rsidP="00AA2A4C">
            <w:pPr>
              <w:pStyle w:val="TAC"/>
              <w:rPr>
                <w:lang w:eastAsia="en-US"/>
              </w:rPr>
            </w:pPr>
            <w:r w:rsidRPr="004D0DAA">
              <w:rPr>
                <w:lang w:eastAsia="en-US"/>
              </w:rPr>
              <w:t>Octet</w:t>
            </w:r>
          </w:p>
        </w:tc>
      </w:tr>
      <w:tr w:rsidR="00711444" w:rsidRPr="004D0DAA" w14:paraId="2754E13D"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7883F13B" w14:textId="77777777" w:rsidR="00711444" w:rsidRPr="004D0DAA" w:rsidRDefault="00711444" w:rsidP="00AA2A4C">
            <w:pPr>
              <w:pStyle w:val="TAC"/>
              <w:rPr>
                <w:lang w:eastAsia="en-US"/>
              </w:rPr>
            </w:pPr>
            <w:r w:rsidRPr="004D0DAA">
              <w:rPr>
                <w:lang w:eastAsia="en-US"/>
              </w:rPr>
              <w:t>TFI</w:t>
            </w:r>
          </w:p>
        </w:tc>
        <w:tc>
          <w:tcPr>
            <w:tcW w:w="2268" w:type="dxa"/>
            <w:gridSpan w:val="4"/>
            <w:tcBorders>
              <w:top w:val="single" w:sz="6" w:space="0" w:color="auto"/>
              <w:left w:val="single" w:sz="6" w:space="0" w:color="auto"/>
              <w:bottom w:val="single" w:sz="6" w:space="0" w:color="auto"/>
            </w:tcBorders>
          </w:tcPr>
          <w:p w14:paraId="78CA5160"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04A0D447" w14:textId="77777777" w:rsidR="00711444" w:rsidRPr="004D0DAA" w:rsidRDefault="00711444" w:rsidP="00AA2A4C">
            <w:pPr>
              <w:pStyle w:val="TAC"/>
              <w:rPr>
                <w:lang w:eastAsia="en-US"/>
              </w:rPr>
            </w:pPr>
            <w:r w:rsidRPr="004D0DAA">
              <w:rPr>
                <w:lang w:eastAsia="en-US"/>
              </w:rPr>
              <w:t>SI</w:t>
            </w:r>
          </w:p>
        </w:tc>
        <w:tc>
          <w:tcPr>
            <w:tcW w:w="557" w:type="dxa"/>
            <w:tcBorders>
              <w:top w:val="single" w:sz="6" w:space="0" w:color="auto"/>
              <w:left w:val="single" w:sz="6" w:space="0" w:color="auto"/>
              <w:bottom w:val="single" w:sz="6" w:space="0" w:color="auto"/>
              <w:right w:val="single" w:sz="6" w:space="0" w:color="auto"/>
            </w:tcBorders>
          </w:tcPr>
          <w:p w14:paraId="28FC59C6"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740CBA52" w14:textId="77777777" w:rsidR="00711444" w:rsidRPr="004D0DAA" w:rsidRDefault="00711444" w:rsidP="00AA2A4C">
            <w:pPr>
              <w:pStyle w:val="TAC"/>
              <w:rPr>
                <w:lang w:eastAsia="en-US"/>
              </w:rPr>
            </w:pPr>
            <w:r w:rsidRPr="004D0DAA">
              <w:rPr>
                <w:lang w:eastAsia="en-US"/>
              </w:rPr>
              <w:t>1</w:t>
            </w:r>
          </w:p>
        </w:tc>
      </w:tr>
      <w:tr w:rsidR="00711444" w:rsidRPr="004D0DAA" w14:paraId="03264F1A" w14:textId="77777777" w:rsidTr="00AA2A4C">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7E51A7F7" w14:textId="77777777" w:rsidR="00711444" w:rsidRPr="004D0DAA" w:rsidRDefault="00711444" w:rsidP="00AA2A4C">
            <w:pPr>
              <w:pStyle w:val="TAC"/>
              <w:rPr>
                <w:lang w:eastAsia="en-US"/>
              </w:rPr>
            </w:pPr>
            <w:r w:rsidRPr="004D0DAA">
              <w:rPr>
                <w:lang w:eastAsia="en-US"/>
              </w:rPr>
              <w:t>BSN1</w:t>
            </w:r>
          </w:p>
        </w:tc>
        <w:tc>
          <w:tcPr>
            <w:tcW w:w="1691" w:type="dxa"/>
            <w:gridSpan w:val="3"/>
            <w:tcBorders>
              <w:left w:val="single" w:sz="6" w:space="0" w:color="auto"/>
              <w:right w:val="single" w:sz="6" w:space="0" w:color="auto"/>
            </w:tcBorders>
          </w:tcPr>
          <w:p w14:paraId="1DA5A186"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76324FA4" w14:textId="77777777" w:rsidR="00711444" w:rsidRPr="004D0DAA" w:rsidRDefault="00711444" w:rsidP="00AA2A4C">
            <w:pPr>
              <w:pStyle w:val="TAC"/>
              <w:rPr>
                <w:lang w:eastAsia="en-US"/>
              </w:rPr>
            </w:pPr>
            <w:r w:rsidRPr="004D0DAA">
              <w:rPr>
                <w:lang w:eastAsia="en-US"/>
              </w:rPr>
              <w:t>2</w:t>
            </w:r>
          </w:p>
        </w:tc>
      </w:tr>
      <w:tr w:rsidR="00711444" w:rsidRPr="004D0DAA" w14:paraId="7FD9EA82"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6FB54A1F" w14:textId="77777777" w:rsidR="00711444" w:rsidRPr="004D0DAA" w:rsidRDefault="00711444" w:rsidP="00AA2A4C">
            <w:pPr>
              <w:pStyle w:val="TAC"/>
              <w:rPr>
                <w:lang w:eastAsia="en-US"/>
              </w:rPr>
            </w:pPr>
            <w:r w:rsidRPr="004D0DAA">
              <w:rPr>
                <w:lang w:eastAsia="en-US"/>
              </w:rPr>
              <w:t>BSN2</w:t>
            </w:r>
          </w:p>
        </w:tc>
        <w:tc>
          <w:tcPr>
            <w:tcW w:w="3392" w:type="dxa"/>
            <w:gridSpan w:val="6"/>
            <w:tcBorders>
              <w:top w:val="single" w:sz="6" w:space="0" w:color="auto"/>
              <w:left w:val="single" w:sz="6" w:space="0" w:color="auto"/>
              <w:right w:val="single" w:sz="6" w:space="0" w:color="auto"/>
            </w:tcBorders>
          </w:tcPr>
          <w:p w14:paraId="18E97184"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4EB48EDF" w14:textId="77777777" w:rsidR="00711444" w:rsidRPr="004D0DAA" w:rsidRDefault="00711444" w:rsidP="00AA2A4C">
            <w:pPr>
              <w:pStyle w:val="TAC"/>
              <w:rPr>
                <w:lang w:eastAsia="en-US"/>
              </w:rPr>
            </w:pPr>
            <w:r w:rsidRPr="004D0DAA">
              <w:rPr>
                <w:lang w:eastAsia="en-US"/>
              </w:rPr>
              <w:t>3</w:t>
            </w:r>
          </w:p>
        </w:tc>
      </w:tr>
      <w:tr w:rsidR="00711444" w:rsidRPr="004D0DAA" w14:paraId="53672C1B" w14:textId="77777777" w:rsidTr="00AA2A4C">
        <w:tblPrEx>
          <w:tblCellMar>
            <w:top w:w="0" w:type="dxa"/>
            <w:bottom w:w="0" w:type="dxa"/>
          </w:tblCellMar>
        </w:tblPrEx>
        <w:trPr>
          <w:cantSplit/>
          <w:jc w:val="center"/>
        </w:trPr>
        <w:tc>
          <w:tcPr>
            <w:tcW w:w="4555" w:type="dxa"/>
            <w:gridSpan w:val="8"/>
            <w:tcBorders>
              <w:top w:val="single" w:sz="6" w:space="0" w:color="auto"/>
              <w:left w:val="single" w:sz="6" w:space="0" w:color="auto"/>
              <w:right w:val="single" w:sz="6" w:space="0" w:color="auto"/>
            </w:tcBorders>
          </w:tcPr>
          <w:p w14:paraId="660673D6"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2096C743" w14:textId="77777777" w:rsidR="00711444" w:rsidRPr="004D0DAA" w:rsidRDefault="00711444" w:rsidP="00AA2A4C">
            <w:pPr>
              <w:pStyle w:val="TAC"/>
              <w:rPr>
                <w:lang w:eastAsia="en-US"/>
              </w:rPr>
            </w:pPr>
            <w:r w:rsidRPr="004D0DAA">
              <w:rPr>
                <w:lang w:eastAsia="en-US"/>
              </w:rPr>
              <w:t>4</w:t>
            </w:r>
          </w:p>
        </w:tc>
      </w:tr>
      <w:tr w:rsidR="00711444" w:rsidRPr="004D0DAA" w14:paraId="0A15A773" w14:textId="77777777" w:rsidTr="00AA2A4C">
        <w:tblPrEx>
          <w:tblCellMar>
            <w:top w:w="0" w:type="dxa"/>
            <w:bottom w:w="0" w:type="dxa"/>
          </w:tblCellMar>
        </w:tblPrEx>
        <w:trPr>
          <w:cantSplit/>
          <w:jc w:val="center"/>
        </w:trPr>
        <w:tc>
          <w:tcPr>
            <w:tcW w:w="586" w:type="dxa"/>
            <w:tcBorders>
              <w:top w:val="single" w:sz="6" w:space="0" w:color="auto"/>
              <w:left w:val="single" w:sz="6" w:space="0" w:color="auto"/>
              <w:right w:val="single" w:sz="6" w:space="0" w:color="auto"/>
            </w:tcBorders>
          </w:tcPr>
          <w:p w14:paraId="3813EEB0" w14:textId="77777777" w:rsidR="00711444" w:rsidRPr="004D0DAA" w:rsidRDefault="00711444" w:rsidP="00AA2A4C">
            <w:pPr>
              <w:pStyle w:val="TAC"/>
              <w:rPr>
                <w:lang w:eastAsia="en-US"/>
              </w:rPr>
            </w:pPr>
            <w:r w:rsidRPr="004D0DAA">
              <w:rPr>
                <w:lang w:eastAsia="en-US"/>
              </w:rPr>
              <w:t>PANI</w:t>
            </w:r>
          </w:p>
        </w:tc>
        <w:tc>
          <w:tcPr>
            <w:tcW w:w="577" w:type="dxa"/>
            <w:tcBorders>
              <w:top w:val="single" w:sz="6" w:space="0" w:color="auto"/>
              <w:left w:val="single" w:sz="6" w:space="0" w:color="auto"/>
              <w:right w:val="single" w:sz="6" w:space="0" w:color="auto"/>
            </w:tcBorders>
          </w:tcPr>
          <w:p w14:paraId="6FB89879" w14:textId="77777777" w:rsidR="00711444" w:rsidRPr="004D0DAA" w:rsidRDefault="00711444" w:rsidP="00AA2A4C">
            <w:pPr>
              <w:pStyle w:val="TAC"/>
              <w:rPr>
                <w:lang w:eastAsia="en-US"/>
              </w:rPr>
            </w:pPr>
            <w:r w:rsidRPr="004D0DAA">
              <w:rPr>
                <w:lang w:eastAsia="en-US"/>
              </w:rPr>
              <w:t>PI</w:t>
            </w:r>
          </w:p>
        </w:tc>
        <w:tc>
          <w:tcPr>
            <w:tcW w:w="567" w:type="dxa"/>
            <w:tcBorders>
              <w:top w:val="single" w:sz="6" w:space="0" w:color="auto"/>
              <w:left w:val="single" w:sz="6" w:space="0" w:color="auto"/>
              <w:right w:val="single" w:sz="6" w:space="0" w:color="auto"/>
            </w:tcBorders>
          </w:tcPr>
          <w:p w14:paraId="17BE3F30" w14:textId="77777777" w:rsidR="00711444" w:rsidRPr="004D0DAA" w:rsidRDefault="00711444" w:rsidP="00AA2A4C">
            <w:pPr>
              <w:pStyle w:val="TAC"/>
              <w:rPr>
                <w:lang w:eastAsia="en-US"/>
              </w:rPr>
            </w:pPr>
            <w:r w:rsidRPr="004D0DAA">
              <w:rPr>
                <w:lang w:eastAsia="en-US"/>
              </w:rPr>
              <w:t>RSB</w:t>
            </w:r>
          </w:p>
        </w:tc>
        <w:tc>
          <w:tcPr>
            <w:tcW w:w="2825" w:type="dxa"/>
            <w:gridSpan w:val="5"/>
            <w:tcBorders>
              <w:top w:val="single" w:sz="6" w:space="0" w:color="auto"/>
              <w:left w:val="single" w:sz="6" w:space="0" w:color="auto"/>
              <w:bottom w:val="single" w:sz="6" w:space="0" w:color="auto"/>
              <w:right w:val="single" w:sz="6" w:space="0" w:color="auto"/>
            </w:tcBorders>
          </w:tcPr>
          <w:p w14:paraId="788AD732"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016E934D" w14:textId="77777777" w:rsidR="00711444" w:rsidRPr="004D0DAA" w:rsidRDefault="00711444" w:rsidP="00AA2A4C">
            <w:pPr>
              <w:pStyle w:val="TAC"/>
              <w:rPr>
                <w:lang w:eastAsia="en-US"/>
              </w:rPr>
            </w:pPr>
            <w:r w:rsidRPr="004D0DAA">
              <w:rPr>
                <w:lang w:eastAsia="en-US"/>
              </w:rPr>
              <w:t>5</w:t>
            </w:r>
          </w:p>
        </w:tc>
      </w:tr>
      <w:tr w:rsidR="00711444" w:rsidRPr="004D0DAA" w14:paraId="40F9D1B0" w14:textId="77777777" w:rsidTr="00AA2A4C">
        <w:tblPrEx>
          <w:tblCellMar>
            <w:top w:w="0" w:type="dxa"/>
            <w:bottom w:w="0" w:type="dxa"/>
          </w:tblCellMar>
        </w:tblPrEx>
        <w:trPr>
          <w:cantSplit/>
          <w:jc w:val="center"/>
        </w:trPr>
        <w:tc>
          <w:tcPr>
            <w:tcW w:w="586" w:type="dxa"/>
            <w:tcBorders>
              <w:top w:val="single" w:sz="6" w:space="0" w:color="auto"/>
            </w:tcBorders>
          </w:tcPr>
          <w:p w14:paraId="7BC59C46" w14:textId="77777777" w:rsidR="00711444" w:rsidRPr="004D0DAA" w:rsidRDefault="00711444" w:rsidP="00AA2A4C"/>
        </w:tc>
        <w:tc>
          <w:tcPr>
            <w:tcW w:w="577" w:type="dxa"/>
            <w:tcBorders>
              <w:top w:val="single" w:sz="6" w:space="0" w:color="auto"/>
              <w:right w:val="single" w:sz="6" w:space="0" w:color="auto"/>
            </w:tcBorders>
          </w:tcPr>
          <w:p w14:paraId="6709294B" w14:textId="77777777" w:rsidR="00711444" w:rsidRPr="004D0DAA" w:rsidRDefault="00711444" w:rsidP="00AA2A4C"/>
        </w:tc>
        <w:tc>
          <w:tcPr>
            <w:tcW w:w="3392" w:type="dxa"/>
            <w:gridSpan w:val="6"/>
            <w:tcBorders>
              <w:top w:val="single" w:sz="6" w:space="0" w:color="auto"/>
              <w:bottom w:val="single" w:sz="6" w:space="0" w:color="auto"/>
              <w:right w:val="single" w:sz="6" w:space="0" w:color="auto"/>
            </w:tcBorders>
          </w:tcPr>
          <w:p w14:paraId="65820E37" w14:textId="77777777" w:rsidR="00711444" w:rsidRPr="004D0DAA" w:rsidRDefault="00711444" w:rsidP="00AA2A4C">
            <w:pPr>
              <w:pStyle w:val="TAC"/>
              <w:rPr>
                <w:lang w:eastAsia="en-US"/>
              </w:rPr>
            </w:pPr>
            <w:r w:rsidRPr="004D0DAA">
              <w:rPr>
                <w:lang w:eastAsia="en-US"/>
              </w:rPr>
              <w:t>Spare</w:t>
            </w:r>
          </w:p>
        </w:tc>
        <w:tc>
          <w:tcPr>
            <w:tcW w:w="1144" w:type="dxa"/>
          </w:tcPr>
          <w:p w14:paraId="49684A5E" w14:textId="77777777" w:rsidR="00711444" w:rsidRPr="004D0DAA" w:rsidRDefault="00711444" w:rsidP="00AA2A4C">
            <w:pPr>
              <w:pStyle w:val="TAC"/>
              <w:rPr>
                <w:lang w:eastAsia="en-US"/>
              </w:rPr>
            </w:pPr>
            <w:r w:rsidRPr="004D0DAA">
              <w:rPr>
                <w:lang w:eastAsia="en-US"/>
              </w:rPr>
              <w:t>6</w:t>
            </w:r>
          </w:p>
        </w:tc>
      </w:tr>
    </w:tbl>
    <w:p w14:paraId="4AEE2919" w14:textId="77777777" w:rsidR="00711444" w:rsidRPr="004D0DAA" w:rsidRDefault="00711444" w:rsidP="00711444">
      <w:pPr>
        <w:pStyle w:val="NF"/>
      </w:pPr>
    </w:p>
    <w:p w14:paraId="2DAB8DF5" w14:textId="77777777" w:rsidR="00711444" w:rsidRPr="004D0DAA" w:rsidRDefault="00711444" w:rsidP="00711444">
      <w:pPr>
        <w:pStyle w:val="TF"/>
      </w:pPr>
      <w:r w:rsidRPr="004D0DAA">
        <w:t xml:space="preserve">Figure 10.3a.4.1.2: </w:t>
      </w:r>
      <w:r w:rsidRPr="004D0DAA">
        <w:rPr>
          <w:rFonts w:hint="eastAsia"/>
          <w:lang w:eastAsia="ko-KR"/>
        </w:rPr>
        <w:t xml:space="preserve">EGPRS </w:t>
      </w:r>
      <w:r w:rsidRPr="004D0DAA">
        <w:t>uplink RLC data block header</w:t>
      </w:r>
      <w:r w:rsidRPr="004D0DAA">
        <w:rPr>
          <w:rFonts w:hint="eastAsia"/>
          <w:lang w:eastAsia="ko-KR"/>
        </w:rPr>
        <w:t xml:space="preserve"> </w:t>
      </w:r>
      <w:r w:rsidRPr="004D0DAA">
        <w:rPr>
          <w:lang w:eastAsia="ko-KR"/>
        </w:rPr>
        <w:t>(</w:t>
      </w:r>
      <w:r w:rsidRPr="004D0DAA">
        <w:rPr>
          <w:rFonts w:hint="eastAsia"/>
          <w:lang w:eastAsia="ko-KR"/>
        </w:rPr>
        <w:t>FANR</w:t>
      </w:r>
      <w:r w:rsidRPr="004D0DAA">
        <w:rPr>
          <w:lang w:eastAsia="ko-KR"/>
        </w:rPr>
        <w:t xml:space="preserve"> activated)</w:t>
      </w:r>
      <w:r w:rsidRPr="004D0DAA">
        <w:br/>
        <w:t>for MCS-7, MCS-8 and MCS-9.</w:t>
      </w:r>
    </w:p>
    <w:p w14:paraId="2971BCBB" w14:textId="77777777" w:rsidR="00711444" w:rsidRPr="004D0DAA" w:rsidRDefault="00711444" w:rsidP="00711444">
      <w:pPr>
        <w:keepNext/>
        <w:ind w:left="91"/>
      </w:pPr>
      <w:r w:rsidRPr="004D0DAA">
        <w:t>The EC-GSM-IoT combined uplink RLC/MAC header for MCS</w:t>
      </w:r>
      <w:r w:rsidRPr="004D0DAA">
        <w:noBreakHyphen/>
        <w:t>7, MCS</w:t>
      </w:r>
      <w:r w:rsidRPr="004D0DAA">
        <w:noBreakHyphen/>
        <w:t>8 and MCS</w:t>
      </w:r>
      <w:r w:rsidRPr="004D0DAA">
        <w:noBreakHyphen/>
        <w:t>9 (header type 1) shall be formatted according to figure 10.3a.4.1.3.</w:t>
      </w:r>
    </w:p>
    <w:tbl>
      <w:tblPr>
        <w:tblW w:w="0" w:type="auto"/>
        <w:jc w:val="center"/>
        <w:tblLayout w:type="fixed"/>
        <w:tblCellMar>
          <w:left w:w="28" w:type="dxa"/>
          <w:right w:w="28" w:type="dxa"/>
        </w:tblCellMar>
        <w:tblLook w:val="0000" w:firstRow="0" w:lastRow="0" w:firstColumn="0" w:lastColumn="0" w:noHBand="0" w:noVBand="0"/>
      </w:tblPr>
      <w:tblGrid>
        <w:gridCol w:w="586"/>
        <w:gridCol w:w="566"/>
        <w:gridCol w:w="11"/>
        <w:gridCol w:w="558"/>
        <w:gridCol w:w="9"/>
        <w:gridCol w:w="557"/>
        <w:gridCol w:w="10"/>
        <w:gridCol w:w="567"/>
        <w:gridCol w:w="567"/>
        <w:gridCol w:w="558"/>
        <w:gridCol w:w="9"/>
        <w:gridCol w:w="564"/>
        <w:gridCol w:w="1144"/>
      </w:tblGrid>
      <w:tr w:rsidR="00711444" w:rsidRPr="004D0DAA" w14:paraId="46F41956" w14:textId="77777777" w:rsidTr="00AA2A4C">
        <w:trPr>
          <w:cantSplit/>
          <w:jc w:val="center"/>
        </w:trPr>
        <w:tc>
          <w:tcPr>
            <w:tcW w:w="4562" w:type="dxa"/>
            <w:gridSpan w:val="12"/>
          </w:tcPr>
          <w:p w14:paraId="0B622BC7" w14:textId="77777777" w:rsidR="00711444" w:rsidRPr="004D0DAA" w:rsidRDefault="00711444" w:rsidP="00AA2A4C">
            <w:pPr>
              <w:pStyle w:val="TAC"/>
              <w:rPr>
                <w:lang w:eastAsia="en-US"/>
              </w:rPr>
            </w:pPr>
            <w:r w:rsidRPr="004D0DAA">
              <w:rPr>
                <w:lang w:eastAsia="en-US"/>
              </w:rPr>
              <w:t>Bit</w:t>
            </w:r>
          </w:p>
        </w:tc>
        <w:tc>
          <w:tcPr>
            <w:tcW w:w="1144" w:type="dxa"/>
          </w:tcPr>
          <w:p w14:paraId="50361C9A" w14:textId="77777777" w:rsidR="00711444" w:rsidRPr="004D0DAA" w:rsidRDefault="00711444" w:rsidP="00AA2A4C">
            <w:pPr>
              <w:pStyle w:val="TAC"/>
              <w:rPr>
                <w:lang w:eastAsia="en-US"/>
              </w:rPr>
            </w:pPr>
          </w:p>
        </w:tc>
      </w:tr>
      <w:tr w:rsidR="00711444" w:rsidRPr="004D0DAA" w14:paraId="3E5F933E" w14:textId="77777777" w:rsidTr="00AA2A4C">
        <w:trPr>
          <w:cantSplit/>
          <w:jc w:val="center"/>
        </w:trPr>
        <w:tc>
          <w:tcPr>
            <w:tcW w:w="586" w:type="dxa"/>
          </w:tcPr>
          <w:p w14:paraId="1D7CC678" w14:textId="77777777" w:rsidR="00711444" w:rsidRPr="004D0DAA" w:rsidRDefault="00711444" w:rsidP="00AA2A4C">
            <w:pPr>
              <w:pStyle w:val="TAC"/>
              <w:rPr>
                <w:lang w:eastAsia="en-US"/>
              </w:rPr>
            </w:pPr>
            <w:r w:rsidRPr="004D0DAA">
              <w:rPr>
                <w:lang w:eastAsia="en-US"/>
              </w:rPr>
              <w:t>8</w:t>
            </w:r>
          </w:p>
        </w:tc>
        <w:tc>
          <w:tcPr>
            <w:tcW w:w="577" w:type="dxa"/>
            <w:gridSpan w:val="2"/>
          </w:tcPr>
          <w:p w14:paraId="56D6B558" w14:textId="77777777" w:rsidR="00711444" w:rsidRPr="004D0DAA" w:rsidRDefault="00711444" w:rsidP="00AA2A4C">
            <w:pPr>
              <w:pStyle w:val="TAC"/>
              <w:rPr>
                <w:lang w:eastAsia="en-US"/>
              </w:rPr>
            </w:pPr>
            <w:r w:rsidRPr="004D0DAA">
              <w:rPr>
                <w:lang w:eastAsia="en-US"/>
              </w:rPr>
              <w:t>7</w:t>
            </w:r>
          </w:p>
        </w:tc>
        <w:tc>
          <w:tcPr>
            <w:tcW w:w="567" w:type="dxa"/>
            <w:gridSpan w:val="2"/>
          </w:tcPr>
          <w:p w14:paraId="05F7E350" w14:textId="77777777" w:rsidR="00711444" w:rsidRPr="004D0DAA" w:rsidRDefault="00711444" w:rsidP="00AA2A4C">
            <w:pPr>
              <w:pStyle w:val="TAC"/>
              <w:rPr>
                <w:lang w:eastAsia="en-US"/>
              </w:rPr>
            </w:pPr>
            <w:r w:rsidRPr="004D0DAA">
              <w:rPr>
                <w:lang w:eastAsia="en-US"/>
              </w:rPr>
              <w:t>6</w:t>
            </w:r>
          </w:p>
        </w:tc>
        <w:tc>
          <w:tcPr>
            <w:tcW w:w="567" w:type="dxa"/>
            <w:gridSpan w:val="2"/>
          </w:tcPr>
          <w:p w14:paraId="11D82E96" w14:textId="77777777" w:rsidR="00711444" w:rsidRPr="004D0DAA" w:rsidRDefault="00711444" w:rsidP="00AA2A4C">
            <w:pPr>
              <w:pStyle w:val="TAC"/>
              <w:rPr>
                <w:lang w:eastAsia="en-US"/>
              </w:rPr>
            </w:pPr>
            <w:r w:rsidRPr="004D0DAA">
              <w:rPr>
                <w:lang w:eastAsia="en-US"/>
              </w:rPr>
              <w:t>5</w:t>
            </w:r>
          </w:p>
        </w:tc>
        <w:tc>
          <w:tcPr>
            <w:tcW w:w="567" w:type="dxa"/>
          </w:tcPr>
          <w:p w14:paraId="2D7FDEA6" w14:textId="77777777" w:rsidR="00711444" w:rsidRPr="004D0DAA" w:rsidRDefault="00711444" w:rsidP="00AA2A4C">
            <w:pPr>
              <w:pStyle w:val="TAC"/>
              <w:rPr>
                <w:lang w:eastAsia="en-US"/>
              </w:rPr>
            </w:pPr>
            <w:r w:rsidRPr="004D0DAA">
              <w:rPr>
                <w:lang w:eastAsia="en-US"/>
              </w:rPr>
              <w:t>4</w:t>
            </w:r>
          </w:p>
        </w:tc>
        <w:tc>
          <w:tcPr>
            <w:tcW w:w="567" w:type="dxa"/>
          </w:tcPr>
          <w:p w14:paraId="1D8D5BF3" w14:textId="77777777" w:rsidR="00711444" w:rsidRPr="004D0DAA" w:rsidRDefault="00711444" w:rsidP="00AA2A4C">
            <w:pPr>
              <w:pStyle w:val="TAC"/>
              <w:rPr>
                <w:lang w:eastAsia="en-US"/>
              </w:rPr>
            </w:pPr>
            <w:r w:rsidRPr="004D0DAA">
              <w:rPr>
                <w:lang w:eastAsia="en-US"/>
              </w:rPr>
              <w:t>3</w:t>
            </w:r>
          </w:p>
        </w:tc>
        <w:tc>
          <w:tcPr>
            <w:tcW w:w="567" w:type="dxa"/>
            <w:gridSpan w:val="2"/>
          </w:tcPr>
          <w:p w14:paraId="530D445B" w14:textId="77777777" w:rsidR="00711444" w:rsidRPr="004D0DAA" w:rsidRDefault="00711444" w:rsidP="00AA2A4C">
            <w:pPr>
              <w:pStyle w:val="TAC"/>
              <w:rPr>
                <w:lang w:eastAsia="en-US"/>
              </w:rPr>
            </w:pPr>
            <w:r w:rsidRPr="004D0DAA">
              <w:rPr>
                <w:lang w:eastAsia="en-US"/>
              </w:rPr>
              <w:t>2</w:t>
            </w:r>
          </w:p>
        </w:tc>
        <w:tc>
          <w:tcPr>
            <w:tcW w:w="564" w:type="dxa"/>
          </w:tcPr>
          <w:p w14:paraId="3F04310C" w14:textId="77777777" w:rsidR="00711444" w:rsidRPr="004D0DAA" w:rsidRDefault="00711444" w:rsidP="00AA2A4C">
            <w:pPr>
              <w:pStyle w:val="TAC"/>
              <w:rPr>
                <w:lang w:eastAsia="en-US"/>
              </w:rPr>
            </w:pPr>
            <w:r w:rsidRPr="004D0DAA">
              <w:rPr>
                <w:lang w:eastAsia="en-US"/>
              </w:rPr>
              <w:t>1</w:t>
            </w:r>
          </w:p>
        </w:tc>
        <w:tc>
          <w:tcPr>
            <w:tcW w:w="1144" w:type="dxa"/>
          </w:tcPr>
          <w:p w14:paraId="1EDA78F8" w14:textId="77777777" w:rsidR="00711444" w:rsidRPr="004D0DAA" w:rsidRDefault="00711444" w:rsidP="00AA2A4C">
            <w:pPr>
              <w:pStyle w:val="TAC"/>
              <w:rPr>
                <w:lang w:eastAsia="en-US"/>
              </w:rPr>
            </w:pPr>
            <w:r w:rsidRPr="004D0DAA">
              <w:rPr>
                <w:lang w:eastAsia="en-US"/>
              </w:rPr>
              <w:t>Octet</w:t>
            </w:r>
          </w:p>
        </w:tc>
      </w:tr>
      <w:tr w:rsidR="00711444" w:rsidRPr="004D0DAA" w14:paraId="1534FAA3" w14:textId="77777777" w:rsidTr="00AA2A4C">
        <w:trPr>
          <w:cantSplit/>
          <w:jc w:val="center"/>
        </w:trPr>
        <w:tc>
          <w:tcPr>
            <w:tcW w:w="1163" w:type="dxa"/>
            <w:gridSpan w:val="3"/>
            <w:tcBorders>
              <w:top w:val="single" w:sz="6" w:space="0" w:color="auto"/>
              <w:left w:val="single" w:sz="6" w:space="0" w:color="auto"/>
              <w:bottom w:val="single" w:sz="6" w:space="0" w:color="auto"/>
            </w:tcBorders>
          </w:tcPr>
          <w:p w14:paraId="73A0807F" w14:textId="77777777" w:rsidR="00711444" w:rsidRPr="004D0DAA" w:rsidRDefault="00711444" w:rsidP="00AA2A4C">
            <w:pPr>
              <w:pStyle w:val="TAC"/>
              <w:rPr>
                <w:lang w:eastAsia="en-US"/>
              </w:rPr>
            </w:pPr>
            <w:r w:rsidRPr="004D0DAA">
              <w:rPr>
                <w:lang w:eastAsia="en-US"/>
              </w:rPr>
              <w:t>TFI</w:t>
            </w:r>
          </w:p>
        </w:tc>
        <w:tc>
          <w:tcPr>
            <w:tcW w:w="2268" w:type="dxa"/>
            <w:gridSpan w:val="6"/>
            <w:tcBorders>
              <w:top w:val="single" w:sz="6" w:space="0" w:color="auto"/>
              <w:left w:val="single" w:sz="6" w:space="0" w:color="auto"/>
              <w:bottom w:val="single" w:sz="6" w:space="0" w:color="auto"/>
            </w:tcBorders>
          </w:tcPr>
          <w:p w14:paraId="6F6E7335" w14:textId="77777777" w:rsidR="00711444" w:rsidRPr="004D0DAA" w:rsidRDefault="00711444" w:rsidP="00AA2A4C">
            <w:pPr>
              <w:pStyle w:val="TAC"/>
              <w:rPr>
                <w:lang w:eastAsia="en-US"/>
              </w:rPr>
            </w:pPr>
            <w:r w:rsidRPr="004D0DAA">
              <w:rPr>
                <w:lang w:eastAsia="en-US"/>
              </w:rPr>
              <w:t>Countdown Value</w:t>
            </w:r>
          </w:p>
        </w:tc>
        <w:tc>
          <w:tcPr>
            <w:tcW w:w="567" w:type="dxa"/>
            <w:gridSpan w:val="2"/>
            <w:tcBorders>
              <w:top w:val="single" w:sz="6" w:space="0" w:color="auto"/>
              <w:left w:val="single" w:sz="6" w:space="0" w:color="auto"/>
              <w:bottom w:val="single" w:sz="6" w:space="0" w:color="auto"/>
            </w:tcBorders>
          </w:tcPr>
          <w:p w14:paraId="7B46A7D2" w14:textId="77777777" w:rsidR="00711444" w:rsidRPr="004D0DAA" w:rsidRDefault="00711444" w:rsidP="00AA2A4C">
            <w:pPr>
              <w:pStyle w:val="TAC"/>
              <w:rPr>
                <w:lang w:eastAsia="en-US"/>
              </w:rPr>
            </w:pPr>
            <w:r w:rsidRPr="004D0DAA">
              <w:rPr>
                <w:lang w:eastAsia="en-US"/>
              </w:rPr>
              <w:t>FOI</w:t>
            </w:r>
          </w:p>
        </w:tc>
        <w:tc>
          <w:tcPr>
            <w:tcW w:w="564" w:type="dxa"/>
            <w:tcBorders>
              <w:top w:val="single" w:sz="6" w:space="0" w:color="auto"/>
              <w:left w:val="single" w:sz="6" w:space="0" w:color="auto"/>
              <w:bottom w:val="single" w:sz="6" w:space="0" w:color="auto"/>
              <w:right w:val="single" w:sz="6" w:space="0" w:color="auto"/>
            </w:tcBorders>
          </w:tcPr>
          <w:p w14:paraId="60A10EF6" w14:textId="77777777" w:rsidR="00711444" w:rsidRPr="004D0DAA" w:rsidRDefault="00711444" w:rsidP="00AA2A4C">
            <w:pPr>
              <w:pStyle w:val="TAC"/>
              <w:rPr>
                <w:lang w:eastAsia="en-US"/>
              </w:rPr>
            </w:pPr>
            <w:r w:rsidRPr="004D0DAA">
              <w:rPr>
                <w:lang w:eastAsia="en-US"/>
              </w:rPr>
              <w:t>RI</w:t>
            </w:r>
          </w:p>
        </w:tc>
        <w:tc>
          <w:tcPr>
            <w:tcW w:w="1144" w:type="dxa"/>
            <w:tcBorders>
              <w:left w:val="single" w:sz="6" w:space="0" w:color="auto"/>
            </w:tcBorders>
          </w:tcPr>
          <w:p w14:paraId="1DC7CDF5" w14:textId="77777777" w:rsidR="00711444" w:rsidRPr="004D0DAA" w:rsidRDefault="00711444" w:rsidP="00AA2A4C">
            <w:pPr>
              <w:pStyle w:val="TAC"/>
              <w:rPr>
                <w:lang w:eastAsia="en-US"/>
              </w:rPr>
            </w:pPr>
            <w:r w:rsidRPr="004D0DAA">
              <w:rPr>
                <w:lang w:eastAsia="en-US"/>
              </w:rPr>
              <w:t>1</w:t>
            </w:r>
          </w:p>
        </w:tc>
      </w:tr>
      <w:tr w:rsidR="00711444" w:rsidRPr="004D0DAA" w14:paraId="6D0C7822" w14:textId="77777777" w:rsidTr="00AA2A4C">
        <w:trPr>
          <w:cantSplit/>
          <w:jc w:val="center"/>
        </w:trPr>
        <w:tc>
          <w:tcPr>
            <w:tcW w:w="2864" w:type="dxa"/>
            <w:gridSpan w:val="8"/>
            <w:tcBorders>
              <w:left w:val="single" w:sz="6" w:space="0" w:color="auto"/>
              <w:right w:val="single" w:sz="6" w:space="0" w:color="auto"/>
            </w:tcBorders>
          </w:tcPr>
          <w:p w14:paraId="2C7FEF65" w14:textId="77777777" w:rsidR="00711444" w:rsidRPr="004D0DAA" w:rsidRDefault="00711444" w:rsidP="00AA2A4C">
            <w:pPr>
              <w:pStyle w:val="TAC"/>
              <w:rPr>
                <w:lang w:eastAsia="en-US"/>
              </w:rPr>
            </w:pPr>
            <w:r w:rsidRPr="004D0DAA">
              <w:rPr>
                <w:lang w:eastAsia="en-US"/>
              </w:rPr>
              <w:t>BSN1</w:t>
            </w:r>
          </w:p>
        </w:tc>
        <w:tc>
          <w:tcPr>
            <w:tcW w:w="1698" w:type="dxa"/>
            <w:gridSpan w:val="4"/>
            <w:tcBorders>
              <w:left w:val="single" w:sz="6" w:space="0" w:color="auto"/>
              <w:right w:val="single" w:sz="6" w:space="0" w:color="auto"/>
            </w:tcBorders>
          </w:tcPr>
          <w:p w14:paraId="430FC7AA"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4F6B93A8" w14:textId="77777777" w:rsidR="00711444" w:rsidRPr="004D0DAA" w:rsidRDefault="00711444" w:rsidP="00AA2A4C">
            <w:pPr>
              <w:pStyle w:val="TAC"/>
              <w:rPr>
                <w:lang w:eastAsia="en-US"/>
              </w:rPr>
            </w:pPr>
            <w:r w:rsidRPr="004D0DAA">
              <w:rPr>
                <w:lang w:eastAsia="en-US"/>
              </w:rPr>
              <w:t>2</w:t>
            </w:r>
          </w:p>
        </w:tc>
      </w:tr>
      <w:tr w:rsidR="00711444" w:rsidRPr="004D0DAA" w14:paraId="3568665A" w14:textId="77777777" w:rsidTr="00AA2A4C">
        <w:trPr>
          <w:cantSplit/>
          <w:jc w:val="center"/>
        </w:trPr>
        <w:tc>
          <w:tcPr>
            <w:tcW w:w="2287" w:type="dxa"/>
            <w:gridSpan w:val="6"/>
            <w:tcBorders>
              <w:top w:val="single" w:sz="6" w:space="0" w:color="auto"/>
              <w:left w:val="single" w:sz="6" w:space="0" w:color="auto"/>
              <w:right w:val="single" w:sz="6" w:space="0" w:color="auto"/>
            </w:tcBorders>
          </w:tcPr>
          <w:p w14:paraId="1269A3F8" w14:textId="77777777" w:rsidR="00711444" w:rsidRPr="004D0DAA" w:rsidRDefault="00711444" w:rsidP="00AA2A4C">
            <w:pPr>
              <w:pStyle w:val="TAC"/>
              <w:rPr>
                <w:lang w:eastAsia="en-US"/>
              </w:rPr>
            </w:pPr>
            <w:r w:rsidRPr="004D0DAA">
              <w:rPr>
                <w:lang w:eastAsia="en-US"/>
              </w:rPr>
              <w:t>Spare</w:t>
            </w:r>
          </w:p>
        </w:tc>
        <w:tc>
          <w:tcPr>
            <w:tcW w:w="2275" w:type="dxa"/>
            <w:gridSpan w:val="6"/>
            <w:tcBorders>
              <w:top w:val="single" w:sz="6" w:space="0" w:color="auto"/>
              <w:left w:val="single" w:sz="6" w:space="0" w:color="auto"/>
              <w:right w:val="single" w:sz="6" w:space="0" w:color="auto"/>
            </w:tcBorders>
          </w:tcPr>
          <w:p w14:paraId="79C41F0E"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73E8649A" w14:textId="77777777" w:rsidR="00711444" w:rsidRPr="004D0DAA" w:rsidRDefault="00711444" w:rsidP="00AA2A4C">
            <w:pPr>
              <w:pStyle w:val="TAC"/>
              <w:rPr>
                <w:lang w:eastAsia="en-US"/>
              </w:rPr>
            </w:pPr>
            <w:r w:rsidRPr="004D0DAA">
              <w:rPr>
                <w:lang w:eastAsia="en-US"/>
              </w:rPr>
              <w:t>3</w:t>
            </w:r>
          </w:p>
        </w:tc>
      </w:tr>
      <w:tr w:rsidR="00711444" w:rsidRPr="004D0DAA" w14:paraId="4870CAAF" w14:textId="77777777" w:rsidTr="00AA2A4C">
        <w:trPr>
          <w:cantSplit/>
          <w:jc w:val="center"/>
        </w:trPr>
        <w:tc>
          <w:tcPr>
            <w:tcW w:w="1721" w:type="dxa"/>
            <w:gridSpan w:val="4"/>
            <w:tcBorders>
              <w:top w:val="single" w:sz="6" w:space="0" w:color="auto"/>
              <w:left w:val="single" w:sz="6" w:space="0" w:color="auto"/>
              <w:right w:val="single" w:sz="6" w:space="0" w:color="auto"/>
            </w:tcBorders>
          </w:tcPr>
          <w:p w14:paraId="012B4EA9" w14:textId="77777777" w:rsidR="00711444" w:rsidRPr="004D0DAA" w:rsidRDefault="00711444" w:rsidP="00AA2A4C">
            <w:pPr>
              <w:pStyle w:val="TAC"/>
              <w:rPr>
                <w:lang w:eastAsia="en-US"/>
              </w:rPr>
            </w:pPr>
            <w:r w:rsidRPr="004D0DAA">
              <w:rPr>
                <w:lang w:eastAsia="en-US"/>
              </w:rPr>
              <w:t>DCCE</w:t>
            </w:r>
          </w:p>
        </w:tc>
        <w:tc>
          <w:tcPr>
            <w:tcW w:w="2841" w:type="dxa"/>
            <w:gridSpan w:val="8"/>
            <w:tcBorders>
              <w:top w:val="single" w:sz="6" w:space="0" w:color="auto"/>
              <w:left w:val="single" w:sz="6" w:space="0" w:color="auto"/>
              <w:right w:val="single" w:sz="6" w:space="0" w:color="auto"/>
            </w:tcBorders>
          </w:tcPr>
          <w:p w14:paraId="75755334"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3105D95E" w14:textId="77777777" w:rsidR="00711444" w:rsidRPr="004D0DAA" w:rsidRDefault="00711444" w:rsidP="00AA2A4C">
            <w:pPr>
              <w:pStyle w:val="TAC"/>
              <w:rPr>
                <w:lang w:eastAsia="en-US"/>
              </w:rPr>
            </w:pPr>
            <w:r w:rsidRPr="004D0DAA">
              <w:rPr>
                <w:lang w:eastAsia="en-US"/>
              </w:rPr>
              <w:t>4</w:t>
            </w:r>
          </w:p>
        </w:tc>
      </w:tr>
      <w:tr w:rsidR="00711444" w:rsidRPr="004D0DAA" w14:paraId="5DBDFC1E" w14:textId="77777777" w:rsidTr="00AA2A4C">
        <w:trPr>
          <w:cantSplit/>
          <w:jc w:val="center"/>
        </w:trPr>
        <w:tc>
          <w:tcPr>
            <w:tcW w:w="1721" w:type="dxa"/>
            <w:gridSpan w:val="4"/>
            <w:tcBorders>
              <w:top w:val="single" w:sz="6" w:space="0" w:color="auto"/>
              <w:left w:val="single" w:sz="6" w:space="0" w:color="auto"/>
              <w:right w:val="single" w:sz="6" w:space="0" w:color="auto"/>
            </w:tcBorders>
          </w:tcPr>
          <w:p w14:paraId="2A1C65C1" w14:textId="77777777" w:rsidR="00711444" w:rsidRPr="004D0DAA" w:rsidRDefault="00711444" w:rsidP="00AA2A4C">
            <w:pPr>
              <w:pStyle w:val="TAC"/>
              <w:rPr>
                <w:lang w:eastAsia="en-US"/>
              </w:rPr>
            </w:pPr>
            <w:r w:rsidRPr="004D0DAA">
              <w:rPr>
                <w:lang w:eastAsia="en-US"/>
              </w:rPr>
              <w:t>Spare</w:t>
            </w:r>
          </w:p>
        </w:tc>
        <w:tc>
          <w:tcPr>
            <w:tcW w:w="2268" w:type="dxa"/>
            <w:gridSpan w:val="6"/>
            <w:tcBorders>
              <w:top w:val="single" w:sz="6" w:space="0" w:color="auto"/>
              <w:left w:val="single" w:sz="6" w:space="0" w:color="auto"/>
              <w:right w:val="single" w:sz="6" w:space="0" w:color="auto"/>
            </w:tcBorders>
          </w:tcPr>
          <w:p w14:paraId="1E787036" w14:textId="77777777" w:rsidR="00711444" w:rsidRPr="004D0DAA" w:rsidRDefault="00711444" w:rsidP="00AA2A4C">
            <w:pPr>
              <w:pStyle w:val="TAC"/>
              <w:rPr>
                <w:lang w:eastAsia="en-US"/>
              </w:rPr>
            </w:pPr>
            <w:r w:rsidRPr="004D0DAA">
              <w:rPr>
                <w:lang w:eastAsia="en-US"/>
              </w:rPr>
              <w:t>rTLLI</w:t>
            </w:r>
          </w:p>
        </w:tc>
        <w:tc>
          <w:tcPr>
            <w:tcW w:w="573" w:type="dxa"/>
            <w:gridSpan w:val="2"/>
            <w:tcBorders>
              <w:top w:val="single" w:sz="6" w:space="0" w:color="auto"/>
              <w:left w:val="single" w:sz="6" w:space="0" w:color="auto"/>
              <w:right w:val="single" w:sz="6" w:space="0" w:color="auto"/>
            </w:tcBorders>
          </w:tcPr>
          <w:p w14:paraId="0D758BF5" w14:textId="77777777" w:rsidR="00711444" w:rsidRPr="004D0DAA" w:rsidRDefault="00711444" w:rsidP="00AA2A4C">
            <w:pPr>
              <w:pStyle w:val="TAC"/>
              <w:rPr>
                <w:lang w:eastAsia="en-US"/>
              </w:rPr>
            </w:pPr>
            <w:r w:rsidRPr="004D0DAA">
              <w:rPr>
                <w:lang w:eastAsia="en-US"/>
              </w:rPr>
              <w:t>DCCE</w:t>
            </w:r>
          </w:p>
        </w:tc>
        <w:tc>
          <w:tcPr>
            <w:tcW w:w="1144" w:type="dxa"/>
            <w:tcBorders>
              <w:left w:val="single" w:sz="6" w:space="0" w:color="auto"/>
            </w:tcBorders>
          </w:tcPr>
          <w:p w14:paraId="7186DC4A" w14:textId="77777777" w:rsidR="00711444" w:rsidRPr="004D0DAA" w:rsidRDefault="00711444" w:rsidP="00AA2A4C">
            <w:pPr>
              <w:pStyle w:val="TAC"/>
              <w:rPr>
                <w:lang w:eastAsia="en-US"/>
              </w:rPr>
            </w:pPr>
            <w:r w:rsidRPr="004D0DAA">
              <w:rPr>
                <w:lang w:eastAsia="en-US"/>
              </w:rPr>
              <w:t>5</w:t>
            </w:r>
          </w:p>
        </w:tc>
      </w:tr>
      <w:tr w:rsidR="00711444" w:rsidRPr="004D0DAA" w14:paraId="379D10C0" w14:textId="77777777" w:rsidTr="00AA2A4C">
        <w:trPr>
          <w:cantSplit/>
          <w:trHeight w:val="117"/>
          <w:jc w:val="center"/>
        </w:trPr>
        <w:tc>
          <w:tcPr>
            <w:tcW w:w="1152" w:type="dxa"/>
            <w:gridSpan w:val="2"/>
            <w:tcBorders>
              <w:top w:val="single" w:sz="6" w:space="0" w:color="auto"/>
              <w:right w:val="single" w:sz="6" w:space="0" w:color="auto"/>
            </w:tcBorders>
          </w:tcPr>
          <w:p w14:paraId="5C7DE0D7" w14:textId="77777777" w:rsidR="00711444" w:rsidRPr="004D0DAA" w:rsidRDefault="00711444" w:rsidP="00AA2A4C">
            <w:pPr>
              <w:pStyle w:val="TAC"/>
              <w:rPr>
                <w:lang w:eastAsia="en-US"/>
              </w:rPr>
            </w:pPr>
          </w:p>
        </w:tc>
        <w:tc>
          <w:tcPr>
            <w:tcW w:w="3410" w:type="dxa"/>
            <w:gridSpan w:val="10"/>
            <w:tcBorders>
              <w:top w:val="single" w:sz="4" w:space="0" w:color="auto"/>
              <w:bottom w:val="single" w:sz="4" w:space="0" w:color="auto"/>
              <w:right w:val="single" w:sz="6" w:space="0" w:color="auto"/>
            </w:tcBorders>
          </w:tcPr>
          <w:p w14:paraId="64277F0E" w14:textId="77777777" w:rsidR="00711444" w:rsidRPr="004D0DAA" w:rsidRDefault="00711444" w:rsidP="00AA2A4C">
            <w:pPr>
              <w:pStyle w:val="TAC"/>
              <w:rPr>
                <w:lang w:eastAsia="en-US"/>
              </w:rPr>
            </w:pPr>
            <w:r w:rsidRPr="004D0DAA">
              <w:rPr>
                <w:lang w:eastAsia="en-US"/>
              </w:rPr>
              <w:t>Spare</w:t>
            </w:r>
          </w:p>
        </w:tc>
        <w:tc>
          <w:tcPr>
            <w:tcW w:w="1144" w:type="dxa"/>
          </w:tcPr>
          <w:p w14:paraId="5A422BF4" w14:textId="77777777" w:rsidR="00711444" w:rsidRPr="004D0DAA" w:rsidRDefault="00711444" w:rsidP="00AA2A4C">
            <w:pPr>
              <w:pStyle w:val="TAC"/>
              <w:rPr>
                <w:lang w:eastAsia="en-US"/>
              </w:rPr>
            </w:pPr>
            <w:r w:rsidRPr="004D0DAA">
              <w:rPr>
                <w:lang w:eastAsia="en-US"/>
              </w:rPr>
              <w:t>6</w:t>
            </w:r>
          </w:p>
        </w:tc>
      </w:tr>
    </w:tbl>
    <w:p w14:paraId="1F9858D0" w14:textId="77777777" w:rsidR="00711444" w:rsidRPr="004D0DAA" w:rsidRDefault="00711444" w:rsidP="00711444">
      <w:pPr>
        <w:pStyle w:val="NF"/>
        <w:ind w:left="0" w:firstLine="0"/>
      </w:pPr>
    </w:p>
    <w:p w14:paraId="3293ECD8" w14:textId="77777777" w:rsidR="00711444" w:rsidRPr="004D0DAA" w:rsidRDefault="00711444" w:rsidP="00711444">
      <w:pPr>
        <w:pStyle w:val="TF"/>
      </w:pPr>
      <w:r w:rsidRPr="004D0DAA">
        <w:t>Figure 10.3a.4.1.3: EC-GSM-IoT uplink RLC data block header for MCS-7, MCS-8 and MCS-9.</w:t>
      </w:r>
    </w:p>
    <w:p w14:paraId="6FF1E6AB" w14:textId="77777777" w:rsidR="00711444" w:rsidRPr="004D0DAA" w:rsidRDefault="00711444" w:rsidP="00711444">
      <w:pPr>
        <w:pStyle w:val="Heading4"/>
      </w:pPr>
      <w:bookmarkStart w:id="534" w:name="_Toc516669715"/>
      <w:r w:rsidRPr="004D0DAA">
        <w:t>10.3a.4.2</w:t>
      </w:r>
      <w:r w:rsidRPr="004D0DAA">
        <w:tab/>
        <w:t>Header type 2: header for MCS-6 and MCS-5</w:t>
      </w:r>
      <w:bookmarkEnd w:id="534"/>
      <w:r w:rsidRPr="004D0DAA">
        <w:t xml:space="preserve"> </w:t>
      </w:r>
    </w:p>
    <w:p w14:paraId="2E2B23E9" w14:textId="77777777" w:rsidR="00711444" w:rsidRPr="004D0DAA" w:rsidRDefault="00711444" w:rsidP="00711444">
      <w:pPr>
        <w:ind w:left="90"/>
      </w:pPr>
      <w:r w:rsidRPr="004D0DAA">
        <w:t>The EGPRS combined uplink RLC/MAC header for MCS</w:t>
      </w:r>
      <w:r w:rsidRPr="004D0DAA">
        <w:noBreakHyphen/>
        <w:t>5 and MCS</w:t>
      </w:r>
      <w:r w:rsidRPr="004D0DAA">
        <w:noBreakHyphen/>
        <w:t>6 (header type 2) shall be formatted according to figure 10.3a.4.2.1.</w:t>
      </w:r>
    </w:p>
    <w:tbl>
      <w:tblPr>
        <w:tblW w:w="0" w:type="auto"/>
        <w:jc w:val="center"/>
        <w:tblLayout w:type="fixed"/>
        <w:tblCellMar>
          <w:left w:w="28" w:type="dxa"/>
          <w:right w:w="28" w:type="dxa"/>
        </w:tblCellMar>
        <w:tblLook w:val="0000" w:firstRow="0" w:lastRow="0" w:firstColumn="0" w:lastColumn="0" w:noHBand="0" w:noVBand="0"/>
      </w:tblPr>
      <w:tblGrid>
        <w:gridCol w:w="616"/>
        <w:gridCol w:w="546"/>
        <w:gridCol w:w="588"/>
        <w:gridCol w:w="567"/>
        <w:gridCol w:w="547"/>
        <w:gridCol w:w="587"/>
        <w:gridCol w:w="547"/>
        <w:gridCol w:w="20"/>
        <w:gridCol w:w="547"/>
        <w:gridCol w:w="1154"/>
      </w:tblGrid>
      <w:tr w:rsidR="00711444" w:rsidRPr="004D0DAA" w14:paraId="412F6F09" w14:textId="77777777" w:rsidTr="00AA2A4C">
        <w:tblPrEx>
          <w:tblCellMar>
            <w:top w:w="0" w:type="dxa"/>
            <w:bottom w:w="0" w:type="dxa"/>
          </w:tblCellMar>
        </w:tblPrEx>
        <w:trPr>
          <w:cantSplit/>
          <w:jc w:val="center"/>
        </w:trPr>
        <w:tc>
          <w:tcPr>
            <w:tcW w:w="4565" w:type="dxa"/>
            <w:gridSpan w:val="9"/>
          </w:tcPr>
          <w:p w14:paraId="480D69CD" w14:textId="77777777" w:rsidR="00711444" w:rsidRPr="004D0DAA" w:rsidRDefault="00711444" w:rsidP="00AA2A4C">
            <w:pPr>
              <w:pStyle w:val="TAC"/>
              <w:rPr>
                <w:lang w:eastAsia="en-US"/>
              </w:rPr>
            </w:pPr>
            <w:r w:rsidRPr="004D0DAA">
              <w:rPr>
                <w:lang w:eastAsia="en-US"/>
              </w:rPr>
              <w:t>Bit</w:t>
            </w:r>
          </w:p>
        </w:tc>
        <w:tc>
          <w:tcPr>
            <w:tcW w:w="1154" w:type="dxa"/>
          </w:tcPr>
          <w:p w14:paraId="45A0B43D" w14:textId="77777777" w:rsidR="00711444" w:rsidRPr="004D0DAA" w:rsidRDefault="00711444" w:rsidP="00AA2A4C">
            <w:pPr>
              <w:pStyle w:val="TAC"/>
              <w:rPr>
                <w:lang w:eastAsia="en-US"/>
              </w:rPr>
            </w:pPr>
          </w:p>
        </w:tc>
      </w:tr>
      <w:tr w:rsidR="00711444" w:rsidRPr="004D0DAA" w14:paraId="67FEFBE7" w14:textId="77777777" w:rsidTr="00AA2A4C">
        <w:tblPrEx>
          <w:tblCellMar>
            <w:top w:w="0" w:type="dxa"/>
            <w:bottom w:w="0" w:type="dxa"/>
          </w:tblCellMar>
        </w:tblPrEx>
        <w:trPr>
          <w:cantSplit/>
          <w:jc w:val="center"/>
        </w:trPr>
        <w:tc>
          <w:tcPr>
            <w:tcW w:w="616" w:type="dxa"/>
          </w:tcPr>
          <w:p w14:paraId="53C3952B" w14:textId="77777777" w:rsidR="00711444" w:rsidRPr="004D0DAA" w:rsidRDefault="00711444" w:rsidP="00AA2A4C">
            <w:pPr>
              <w:pStyle w:val="TAC"/>
              <w:rPr>
                <w:lang w:eastAsia="en-US"/>
              </w:rPr>
            </w:pPr>
            <w:r w:rsidRPr="004D0DAA">
              <w:rPr>
                <w:lang w:eastAsia="en-US"/>
              </w:rPr>
              <w:t>8</w:t>
            </w:r>
          </w:p>
        </w:tc>
        <w:tc>
          <w:tcPr>
            <w:tcW w:w="546" w:type="dxa"/>
          </w:tcPr>
          <w:p w14:paraId="113E77DA" w14:textId="77777777" w:rsidR="00711444" w:rsidRPr="004D0DAA" w:rsidRDefault="00711444" w:rsidP="00AA2A4C">
            <w:pPr>
              <w:pStyle w:val="TAC"/>
              <w:rPr>
                <w:lang w:eastAsia="en-US"/>
              </w:rPr>
            </w:pPr>
            <w:r w:rsidRPr="004D0DAA">
              <w:rPr>
                <w:lang w:eastAsia="en-US"/>
              </w:rPr>
              <w:t>7</w:t>
            </w:r>
          </w:p>
        </w:tc>
        <w:tc>
          <w:tcPr>
            <w:tcW w:w="588" w:type="dxa"/>
          </w:tcPr>
          <w:p w14:paraId="2488A8E2" w14:textId="77777777" w:rsidR="00711444" w:rsidRPr="004D0DAA" w:rsidRDefault="00711444" w:rsidP="00AA2A4C">
            <w:pPr>
              <w:pStyle w:val="TAC"/>
              <w:rPr>
                <w:lang w:eastAsia="en-US"/>
              </w:rPr>
            </w:pPr>
            <w:r w:rsidRPr="004D0DAA">
              <w:rPr>
                <w:lang w:eastAsia="en-US"/>
              </w:rPr>
              <w:t>6</w:t>
            </w:r>
          </w:p>
        </w:tc>
        <w:tc>
          <w:tcPr>
            <w:tcW w:w="567" w:type="dxa"/>
          </w:tcPr>
          <w:p w14:paraId="29C3B2E8" w14:textId="77777777" w:rsidR="00711444" w:rsidRPr="004D0DAA" w:rsidRDefault="00711444" w:rsidP="00AA2A4C">
            <w:pPr>
              <w:pStyle w:val="TAC"/>
              <w:rPr>
                <w:lang w:eastAsia="en-US"/>
              </w:rPr>
            </w:pPr>
            <w:r w:rsidRPr="004D0DAA">
              <w:rPr>
                <w:lang w:eastAsia="en-US"/>
              </w:rPr>
              <w:t>5</w:t>
            </w:r>
          </w:p>
        </w:tc>
        <w:tc>
          <w:tcPr>
            <w:tcW w:w="547" w:type="dxa"/>
          </w:tcPr>
          <w:p w14:paraId="53B328B9" w14:textId="77777777" w:rsidR="00711444" w:rsidRPr="004D0DAA" w:rsidRDefault="00711444" w:rsidP="00AA2A4C">
            <w:pPr>
              <w:pStyle w:val="TAC"/>
              <w:rPr>
                <w:lang w:eastAsia="en-US"/>
              </w:rPr>
            </w:pPr>
            <w:r w:rsidRPr="004D0DAA">
              <w:rPr>
                <w:lang w:eastAsia="en-US"/>
              </w:rPr>
              <w:t>4</w:t>
            </w:r>
          </w:p>
        </w:tc>
        <w:tc>
          <w:tcPr>
            <w:tcW w:w="587" w:type="dxa"/>
          </w:tcPr>
          <w:p w14:paraId="1B2E3520" w14:textId="77777777" w:rsidR="00711444" w:rsidRPr="004D0DAA" w:rsidRDefault="00711444" w:rsidP="00AA2A4C">
            <w:pPr>
              <w:pStyle w:val="TAC"/>
              <w:rPr>
                <w:lang w:eastAsia="en-US"/>
              </w:rPr>
            </w:pPr>
            <w:r w:rsidRPr="004D0DAA">
              <w:rPr>
                <w:lang w:eastAsia="en-US"/>
              </w:rPr>
              <w:t>3</w:t>
            </w:r>
          </w:p>
        </w:tc>
        <w:tc>
          <w:tcPr>
            <w:tcW w:w="567" w:type="dxa"/>
            <w:gridSpan w:val="2"/>
          </w:tcPr>
          <w:p w14:paraId="56B8C006" w14:textId="77777777" w:rsidR="00711444" w:rsidRPr="004D0DAA" w:rsidRDefault="00711444" w:rsidP="00AA2A4C">
            <w:pPr>
              <w:pStyle w:val="TAC"/>
              <w:rPr>
                <w:lang w:eastAsia="en-US"/>
              </w:rPr>
            </w:pPr>
            <w:r w:rsidRPr="004D0DAA">
              <w:rPr>
                <w:lang w:eastAsia="en-US"/>
              </w:rPr>
              <w:t>2</w:t>
            </w:r>
          </w:p>
        </w:tc>
        <w:tc>
          <w:tcPr>
            <w:tcW w:w="547" w:type="dxa"/>
          </w:tcPr>
          <w:p w14:paraId="08AB9740" w14:textId="77777777" w:rsidR="00711444" w:rsidRPr="004D0DAA" w:rsidRDefault="00711444" w:rsidP="00AA2A4C">
            <w:pPr>
              <w:pStyle w:val="TAC"/>
              <w:rPr>
                <w:lang w:eastAsia="en-US"/>
              </w:rPr>
            </w:pPr>
            <w:r w:rsidRPr="004D0DAA">
              <w:rPr>
                <w:lang w:eastAsia="en-US"/>
              </w:rPr>
              <w:t>1</w:t>
            </w:r>
          </w:p>
        </w:tc>
        <w:tc>
          <w:tcPr>
            <w:tcW w:w="1154" w:type="dxa"/>
          </w:tcPr>
          <w:p w14:paraId="39D62966" w14:textId="77777777" w:rsidR="00711444" w:rsidRPr="004D0DAA" w:rsidRDefault="00711444" w:rsidP="00AA2A4C">
            <w:pPr>
              <w:pStyle w:val="TAC"/>
              <w:rPr>
                <w:lang w:eastAsia="en-US"/>
              </w:rPr>
            </w:pPr>
            <w:r w:rsidRPr="004D0DAA">
              <w:rPr>
                <w:lang w:eastAsia="en-US"/>
              </w:rPr>
              <w:t>Octet</w:t>
            </w:r>
          </w:p>
        </w:tc>
      </w:tr>
      <w:tr w:rsidR="00711444" w:rsidRPr="004D0DAA" w14:paraId="3325C4E6" w14:textId="77777777" w:rsidTr="00AA2A4C">
        <w:tblPrEx>
          <w:tblCellMar>
            <w:top w:w="0" w:type="dxa"/>
            <w:bottom w:w="0" w:type="dxa"/>
          </w:tblCellMar>
        </w:tblPrEx>
        <w:trPr>
          <w:cantSplit/>
          <w:jc w:val="center"/>
        </w:trPr>
        <w:tc>
          <w:tcPr>
            <w:tcW w:w="1162" w:type="dxa"/>
            <w:gridSpan w:val="2"/>
            <w:tcBorders>
              <w:top w:val="single" w:sz="6" w:space="0" w:color="auto"/>
              <w:left w:val="single" w:sz="6" w:space="0" w:color="auto"/>
              <w:bottom w:val="single" w:sz="6" w:space="0" w:color="auto"/>
            </w:tcBorders>
          </w:tcPr>
          <w:p w14:paraId="3C12C28E" w14:textId="77777777" w:rsidR="00711444" w:rsidRPr="004D0DAA" w:rsidRDefault="00711444" w:rsidP="00AA2A4C">
            <w:pPr>
              <w:pStyle w:val="TAC"/>
              <w:rPr>
                <w:lang w:eastAsia="en-US"/>
              </w:rPr>
            </w:pPr>
            <w:r w:rsidRPr="004D0DAA">
              <w:rPr>
                <w:lang w:eastAsia="en-US"/>
              </w:rPr>
              <w:t>TFI</w:t>
            </w:r>
          </w:p>
        </w:tc>
        <w:tc>
          <w:tcPr>
            <w:tcW w:w="2289" w:type="dxa"/>
            <w:gridSpan w:val="4"/>
            <w:tcBorders>
              <w:top w:val="single" w:sz="6" w:space="0" w:color="auto"/>
              <w:left w:val="single" w:sz="6" w:space="0" w:color="auto"/>
              <w:bottom w:val="single" w:sz="6" w:space="0" w:color="auto"/>
            </w:tcBorders>
          </w:tcPr>
          <w:p w14:paraId="36BEA22B" w14:textId="77777777" w:rsidR="00711444" w:rsidRPr="004D0DAA" w:rsidRDefault="00711444" w:rsidP="00AA2A4C">
            <w:pPr>
              <w:pStyle w:val="TAC"/>
              <w:rPr>
                <w:lang w:eastAsia="en-US"/>
              </w:rPr>
            </w:pPr>
            <w:r w:rsidRPr="004D0DAA">
              <w:rPr>
                <w:lang w:eastAsia="en-US"/>
              </w:rPr>
              <w:t>Countdown Value</w:t>
            </w:r>
          </w:p>
        </w:tc>
        <w:tc>
          <w:tcPr>
            <w:tcW w:w="567" w:type="dxa"/>
            <w:gridSpan w:val="2"/>
            <w:tcBorders>
              <w:top w:val="single" w:sz="6" w:space="0" w:color="auto"/>
              <w:left w:val="single" w:sz="6" w:space="0" w:color="auto"/>
              <w:bottom w:val="single" w:sz="6" w:space="0" w:color="auto"/>
            </w:tcBorders>
          </w:tcPr>
          <w:p w14:paraId="4A602AA1" w14:textId="77777777" w:rsidR="00711444" w:rsidRPr="004D0DAA" w:rsidRDefault="00711444" w:rsidP="00AA2A4C">
            <w:pPr>
              <w:pStyle w:val="TAC"/>
              <w:rPr>
                <w:lang w:eastAsia="en-US"/>
              </w:rPr>
            </w:pPr>
            <w:r w:rsidRPr="004D0DAA">
              <w:rPr>
                <w:lang w:eastAsia="en-US"/>
              </w:rPr>
              <w:t>SI</w:t>
            </w:r>
          </w:p>
        </w:tc>
        <w:tc>
          <w:tcPr>
            <w:tcW w:w="547" w:type="dxa"/>
            <w:tcBorders>
              <w:top w:val="single" w:sz="6" w:space="0" w:color="auto"/>
              <w:left w:val="single" w:sz="6" w:space="0" w:color="auto"/>
              <w:bottom w:val="single" w:sz="6" w:space="0" w:color="auto"/>
              <w:right w:val="single" w:sz="6" w:space="0" w:color="auto"/>
            </w:tcBorders>
          </w:tcPr>
          <w:p w14:paraId="6650489D" w14:textId="77777777" w:rsidR="00711444" w:rsidRPr="004D0DAA" w:rsidRDefault="00711444" w:rsidP="00AA2A4C">
            <w:pPr>
              <w:pStyle w:val="TAC"/>
              <w:rPr>
                <w:lang w:eastAsia="en-US"/>
              </w:rPr>
            </w:pPr>
            <w:r w:rsidRPr="004D0DAA">
              <w:rPr>
                <w:lang w:eastAsia="en-US"/>
              </w:rPr>
              <w:t>R</w:t>
            </w:r>
          </w:p>
        </w:tc>
        <w:tc>
          <w:tcPr>
            <w:tcW w:w="1154" w:type="dxa"/>
            <w:tcBorders>
              <w:left w:val="single" w:sz="6" w:space="0" w:color="auto"/>
            </w:tcBorders>
          </w:tcPr>
          <w:p w14:paraId="30FE9EFB" w14:textId="77777777" w:rsidR="00711444" w:rsidRPr="004D0DAA" w:rsidRDefault="00711444" w:rsidP="00AA2A4C">
            <w:pPr>
              <w:pStyle w:val="TAC"/>
              <w:rPr>
                <w:lang w:eastAsia="en-US"/>
              </w:rPr>
            </w:pPr>
            <w:r w:rsidRPr="004D0DAA">
              <w:rPr>
                <w:lang w:eastAsia="en-US"/>
              </w:rPr>
              <w:t>1</w:t>
            </w:r>
          </w:p>
        </w:tc>
      </w:tr>
      <w:tr w:rsidR="00711444" w:rsidRPr="004D0DAA" w14:paraId="7B9C45C7" w14:textId="77777777" w:rsidTr="00AA2A4C">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4AFF6A7E" w14:textId="77777777" w:rsidR="00711444" w:rsidRPr="004D0DAA" w:rsidRDefault="00711444" w:rsidP="00AA2A4C">
            <w:pPr>
              <w:pStyle w:val="TAC"/>
              <w:rPr>
                <w:lang w:eastAsia="en-US"/>
              </w:rPr>
            </w:pPr>
            <w:r w:rsidRPr="004D0DAA">
              <w:rPr>
                <w:lang w:eastAsia="en-US"/>
              </w:rPr>
              <w:t>BSN1</w:t>
            </w:r>
          </w:p>
        </w:tc>
        <w:tc>
          <w:tcPr>
            <w:tcW w:w="1701" w:type="dxa"/>
            <w:gridSpan w:val="4"/>
            <w:tcBorders>
              <w:left w:val="single" w:sz="6" w:space="0" w:color="auto"/>
              <w:right w:val="single" w:sz="6" w:space="0" w:color="auto"/>
            </w:tcBorders>
          </w:tcPr>
          <w:p w14:paraId="43A553CB" w14:textId="77777777" w:rsidR="00711444" w:rsidRPr="004D0DAA" w:rsidRDefault="00711444" w:rsidP="00AA2A4C">
            <w:pPr>
              <w:pStyle w:val="TAC"/>
              <w:rPr>
                <w:lang w:eastAsia="en-US"/>
              </w:rPr>
            </w:pPr>
            <w:r w:rsidRPr="004D0DAA">
              <w:rPr>
                <w:lang w:eastAsia="en-US"/>
              </w:rPr>
              <w:t>TFI</w:t>
            </w:r>
          </w:p>
        </w:tc>
        <w:tc>
          <w:tcPr>
            <w:tcW w:w="1154" w:type="dxa"/>
            <w:tcBorders>
              <w:left w:val="single" w:sz="6" w:space="0" w:color="auto"/>
            </w:tcBorders>
          </w:tcPr>
          <w:p w14:paraId="388C5B6D" w14:textId="77777777" w:rsidR="00711444" w:rsidRPr="004D0DAA" w:rsidRDefault="00711444" w:rsidP="00AA2A4C">
            <w:pPr>
              <w:pStyle w:val="TAC"/>
              <w:rPr>
                <w:lang w:eastAsia="en-US"/>
              </w:rPr>
            </w:pPr>
            <w:r w:rsidRPr="004D0DAA">
              <w:rPr>
                <w:lang w:eastAsia="en-US"/>
              </w:rPr>
              <w:t>2</w:t>
            </w:r>
          </w:p>
        </w:tc>
      </w:tr>
      <w:tr w:rsidR="00711444" w:rsidRPr="004D0DAA" w14:paraId="7794CA4B" w14:textId="77777777" w:rsidTr="00AA2A4C">
        <w:tblPrEx>
          <w:tblCellMar>
            <w:top w:w="0" w:type="dxa"/>
            <w:bottom w:w="0" w:type="dxa"/>
          </w:tblCellMar>
        </w:tblPrEx>
        <w:trPr>
          <w:cantSplit/>
          <w:jc w:val="center"/>
        </w:trPr>
        <w:tc>
          <w:tcPr>
            <w:tcW w:w="1162" w:type="dxa"/>
            <w:gridSpan w:val="2"/>
            <w:tcBorders>
              <w:top w:val="single" w:sz="6" w:space="0" w:color="auto"/>
              <w:left w:val="single" w:sz="6" w:space="0" w:color="auto"/>
              <w:right w:val="single" w:sz="6" w:space="0" w:color="auto"/>
            </w:tcBorders>
          </w:tcPr>
          <w:p w14:paraId="352DD3B0" w14:textId="77777777" w:rsidR="00711444" w:rsidRPr="004D0DAA" w:rsidRDefault="00711444" w:rsidP="00AA2A4C">
            <w:pPr>
              <w:pStyle w:val="TAC"/>
              <w:rPr>
                <w:lang w:eastAsia="en-US"/>
              </w:rPr>
            </w:pPr>
            <w:r w:rsidRPr="004D0DAA">
              <w:rPr>
                <w:lang w:eastAsia="en-US"/>
              </w:rPr>
              <w:t>CPS</w:t>
            </w:r>
          </w:p>
        </w:tc>
        <w:tc>
          <w:tcPr>
            <w:tcW w:w="3403" w:type="dxa"/>
            <w:gridSpan w:val="7"/>
            <w:tcBorders>
              <w:top w:val="single" w:sz="6" w:space="0" w:color="auto"/>
              <w:left w:val="single" w:sz="6" w:space="0" w:color="auto"/>
              <w:right w:val="single" w:sz="6" w:space="0" w:color="auto"/>
            </w:tcBorders>
          </w:tcPr>
          <w:p w14:paraId="3A1ECC19" w14:textId="77777777" w:rsidR="00711444" w:rsidRPr="004D0DAA" w:rsidRDefault="00711444" w:rsidP="00AA2A4C">
            <w:pPr>
              <w:pStyle w:val="TAC"/>
              <w:rPr>
                <w:lang w:eastAsia="en-US"/>
              </w:rPr>
            </w:pPr>
            <w:r w:rsidRPr="004D0DAA">
              <w:rPr>
                <w:lang w:eastAsia="en-US"/>
              </w:rPr>
              <w:t>BSN1</w:t>
            </w:r>
          </w:p>
        </w:tc>
        <w:tc>
          <w:tcPr>
            <w:tcW w:w="1154" w:type="dxa"/>
            <w:tcBorders>
              <w:left w:val="single" w:sz="6" w:space="0" w:color="auto"/>
            </w:tcBorders>
          </w:tcPr>
          <w:p w14:paraId="4A88A7A9" w14:textId="77777777" w:rsidR="00711444" w:rsidRPr="004D0DAA" w:rsidRDefault="00711444" w:rsidP="00AA2A4C">
            <w:pPr>
              <w:pStyle w:val="TAC"/>
              <w:rPr>
                <w:lang w:eastAsia="en-US"/>
              </w:rPr>
            </w:pPr>
            <w:r w:rsidRPr="004D0DAA">
              <w:rPr>
                <w:lang w:eastAsia="en-US"/>
              </w:rPr>
              <w:t>3</w:t>
            </w:r>
          </w:p>
        </w:tc>
      </w:tr>
      <w:tr w:rsidR="00711444" w:rsidRPr="004D0DAA" w14:paraId="5FB21D28" w14:textId="77777777" w:rsidTr="00AA2A4C">
        <w:tblPrEx>
          <w:tblCellMar>
            <w:top w:w="0" w:type="dxa"/>
            <w:bottom w:w="0" w:type="dxa"/>
          </w:tblCellMar>
        </w:tblPrEx>
        <w:trPr>
          <w:cantSplit/>
          <w:jc w:val="center"/>
        </w:trPr>
        <w:tc>
          <w:tcPr>
            <w:tcW w:w="2864" w:type="dxa"/>
            <w:gridSpan w:val="5"/>
            <w:tcBorders>
              <w:top w:val="single" w:sz="6" w:space="0" w:color="auto"/>
              <w:left w:val="single" w:sz="6" w:space="0" w:color="auto"/>
              <w:right w:val="single" w:sz="6" w:space="0" w:color="auto"/>
            </w:tcBorders>
          </w:tcPr>
          <w:p w14:paraId="22219F87" w14:textId="77777777" w:rsidR="00711444" w:rsidRPr="004D0DAA" w:rsidRDefault="00711444" w:rsidP="00AA2A4C">
            <w:pPr>
              <w:pStyle w:val="TAC"/>
              <w:rPr>
                <w:lang w:eastAsia="en-US"/>
              </w:rPr>
            </w:pPr>
            <w:r w:rsidRPr="004D0DAA">
              <w:rPr>
                <w:lang w:eastAsia="en-US"/>
              </w:rPr>
              <w:t>Spare</w:t>
            </w:r>
          </w:p>
        </w:tc>
        <w:tc>
          <w:tcPr>
            <w:tcW w:w="587" w:type="dxa"/>
            <w:tcBorders>
              <w:top w:val="single" w:sz="6" w:space="0" w:color="auto"/>
              <w:left w:val="single" w:sz="6" w:space="0" w:color="auto"/>
              <w:right w:val="single" w:sz="6" w:space="0" w:color="auto"/>
            </w:tcBorders>
          </w:tcPr>
          <w:p w14:paraId="7EF1B051" w14:textId="77777777" w:rsidR="00711444" w:rsidRPr="004D0DAA" w:rsidRDefault="00711444" w:rsidP="00AA2A4C">
            <w:pPr>
              <w:pStyle w:val="TAC"/>
              <w:rPr>
                <w:lang w:eastAsia="en-US"/>
              </w:rPr>
            </w:pPr>
            <w:r w:rsidRPr="004D0DAA">
              <w:rPr>
                <w:lang w:eastAsia="en-US"/>
              </w:rPr>
              <w:t>PI</w:t>
            </w:r>
          </w:p>
        </w:tc>
        <w:tc>
          <w:tcPr>
            <w:tcW w:w="547" w:type="dxa"/>
            <w:tcBorders>
              <w:top w:val="single" w:sz="6" w:space="0" w:color="auto"/>
              <w:left w:val="single" w:sz="6" w:space="0" w:color="auto"/>
              <w:right w:val="single" w:sz="6" w:space="0" w:color="auto"/>
            </w:tcBorders>
          </w:tcPr>
          <w:p w14:paraId="19060F0F" w14:textId="77777777" w:rsidR="00711444" w:rsidRPr="004D0DAA" w:rsidRDefault="00711444" w:rsidP="00AA2A4C">
            <w:pPr>
              <w:pStyle w:val="TAC"/>
              <w:rPr>
                <w:lang w:eastAsia="en-US"/>
              </w:rPr>
            </w:pPr>
            <w:r w:rsidRPr="004D0DAA">
              <w:rPr>
                <w:lang w:eastAsia="en-US"/>
              </w:rPr>
              <w:t>RSB</w:t>
            </w:r>
          </w:p>
        </w:tc>
        <w:tc>
          <w:tcPr>
            <w:tcW w:w="567" w:type="dxa"/>
            <w:gridSpan w:val="2"/>
            <w:tcBorders>
              <w:top w:val="single" w:sz="6" w:space="0" w:color="auto"/>
              <w:left w:val="single" w:sz="6" w:space="0" w:color="auto"/>
              <w:right w:val="single" w:sz="6" w:space="0" w:color="auto"/>
            </w:tcBorders>
          </w:tcPr>
          <w:p w14:paraId="187C8134" w14:textId="77777777" w:rsidR="00711444" w:rsidRPr="004D0DAA" w:rsidRDefault="00711444" w:rsidP="00AA2A4C">
            <w:pPr>
              <w:pStyle w:val="TAC"/>
              <w:rPr>
                <w:lang w:eastAsia="en-US"/>
              </w:rPr>
            </w:pPr>
            <w:r w:rsidRPr="004D0DAA">
              <w:rPr>
                <w:lang w:eastAsia="en-US"/>
              </w:rPr>
              <w:t>CPS</w:t>
            </w:r>
          </w:p>
        </w:tc>
        <w:tc>
          <w:tcPr>
            <w:tcW w:w="1154" w:type="dxa"/>
            <w:tcBorders>
              <w:left w:val="single" w:sz="6" w:space="0" w:color="auto"/>
            </w:tcBorders>
          </w:tcPr>
          <w:p w14:paraId="7B7557B1" w14:textId="77777777" w:rsidR="00711444" w:rsidRPr="004D0DAA" w:rsidRDefault="00711444" w:rsidP="00AA2A4C">
            <w:pPr>
              <w:pStyle w:val="TAC"/>
              <w:rPr>
                <w:lang w:eastAsia="en-US"/>
              </w:rPr>
            </w:pPr>
            <w:r w:rsidRPr="004D0DAA">
              <w:rPr>
                <w:lang w:eastAsia="en-US"/>
              </w:rPr>
              <w:t>4</w:t>
            </w:r>
          </w:p>
        </w:tc>
      </w:tr>
      <w:tr w:rsidR="00711444" w:rsidRPr="004D0DAA" w14:paraId="77B814D0" w14:textId="77777777" w:rsidTr="00AA2A4C">
        <w:tblPrEx>
          <w:tblCellMar>
            <w:top w:w="0" w:type="dxa"/>
            <w:bottom w:w="0" w:type="dxa"/>
          </w:tblCellMar>
        </w:tblPrEx>
        <w:trPr>
          <w:cantSplit/>
          <w:jc w:val="center"/>
        </w:trPr>
        <w:tc>
          <w:tcPr>
            <w:tcW w:w="1750" w:type="dxa"/>
            <w:gridSpan w:val="3"/>
            <w:tcBorders>
              <w:top w:val="single" w:sz="6" w:space="0" w:color="auto"/>
              <w:right w:val="single" w:sz="6" w:space="0" w:color="auto"/>
            </w:tcBorders>
          </w:tcPr>
          <w:p w14:paraId="4F156B1C" w14:textId="77777777" w:rsidR="00711444" w:rsidRPr="004D0DAA" w:rsidRDefault="00711444" w:rsidP="00AA2A4C"/>
        </w:tc>
        <w:tc>
          <w:tcPr>
            <w:tcW w:w="2815" w:type="dxa"/>
            <w:gridSpan w:val="6"/>
            <w:tcBorders>
              <w:top w:val="single" w:sz="6" w:space="0" w:color="auto"/>
              <w:left w:val="single" w:sz="6" w:space="0" w:color="auto"/>
              <w:bottom w:val="single" w:sz="6" w:space="0" w:color="auto"/>
              <w:right w:val="single" w:sz="6" w:space="0" w:color="auto"/>
            </w:tcBorders>
          </w:tcPr>
          <w:p w14:paraId="03BAFA60" w14:textId="77777777" w:rsidR="00711444" w:rsidRPr="004D0DAA" w:rsidRDefault="00711444" w:rsidP="00AA2A4C">
            <w:pPr>
              <w:pStyle w:val="TAC"/>
              <w:rPr>
                <w:lang w:eastAsia="en-US"/>
              </w:rPr>
            </w:pPr>
            <w:r w:rsidRPr="004D0DAA">
              <w:rPr>
                <w:lang w:eastAsia="en-US"/>
              </w:rPr>
              <w:t>Spare</w:t>
            </w:r>
          </w:p>
        </w:tc>
        <w:tc>
          <w:tcPr>
            <w:tcW w:w="1154" w:type="dxa"/>
            <w:tcBorders>
              <w:left w:val="single" w:sz="6" w:space="0" w:color="auto"/>
            </w:tcBorders>
          </w:tcPr>
          <w:p w14:paraId="3723E940" w14:textId="77777777" w:rsidR="00711444" w:rsidRPr="004D0DAA" w:rsidRDefault="00711444" w:rsidP="00AA2A4C">
            <w:pPr>
              <w:pStyle w:val="TAC"/>
              <w:rPr>
                <w:lang w:eastAsia="en-US"/>
              </w:rPr>
            </w:pPr>
            <w:r w:rsidRPr="004D0DAA">
              <w:rPr>
                <w:lang w:eastAsia="en-US"/>
              </w:rPr>
              <w:t>5</w:t>
            </w:r>
          </w:p>
        </w:tc>
      </w:tr>
    </w:tbl>
    <w:p w14:paraId="6C036439" w14:textId="77777777" w:rsidR="00711444" w:rsidRPr="004D0DAA" w:rsidRDefault="00711444" w:rsidP="00711444">
      <w:pPr>
        <w:pStyle w:val="NF"/>
      </w:pPr>
    </w:p>
    <w:p w14:paraId="5928D7DD" w14:textId="77777777" w:rsidR="00711444" w:rsidRPr="004D0DAA" w:rsidRDefault="00711444" w:rsidP="00711444">
      <w:pPr>
        <w:pStyle w:val="TF"/>
      </w:pPr>
      <w:r w:rsidRPr="004D0DAA">
        <w:t>Figure 10.3a.4.2.1: EGPRS uplink RLC data block header (</w:t>
      </w:r>
      <w:r w:rsidRPr="004D0DAA">
        <w:rPr>
          <w:rFonts w:hint="eastAsia"/>
          <w:lang w:eastAsia="ko-KR"/>
        </w:rPr>
        <w:t>FANR</w:t>
      </w:r>
      <w:r w:rsidRPr="004D0DAA">
        <w:rPr>
          <w:lang w:eastAsia="ko-KR"/>
        </w:rPr>
        <w:t xml:space="preserve"> not activated)</w:t>
      </w:r>
      <w:r w:rsidRPr="004D0DAA">
        <w:br/>
        <w:t>for MCS-5 and MCS-6</w:t>
      </w:r>
    </w:p>
    <w:p w14:paraId="0EEE2E8D" w14:textId="77777777" w:rsidR="00711444" w:rsidRPr="004D0DAA" w:rsidRDefault="00711444" w:rsidP="00711444">
      <w:pPr>
        <w:ind w:left="90"/>
      </w:pPr>
      <w:r w:rsidRPr="004D0DAA">
        <w:rPr>
          <w:rFonts w:hint="eastAsia"/>
          <w:lang w:eastAsia="ko-KR"/>
        </w:rPr>
        <w:t>For a</w:t>
      </w:r>
      <w:r w:rsidRPr="004D0DAA">
        <w:rPr>
          <w:lang w:eastAsia="ko-KR"/>
        </w:rPr>
        <w:t>n EGPRS</w:t>
      </w:r>
      <w:r w:rsidRPr="004D0DAA">
        <w:rPr>
          <w:rFonts w:hint="eastAsia"/>
          <w:lang w:eastAsia="ko-KR"/>
        </w:rPr>
        <w:t xml:space="preserve"> TBF </w:t>
      </w:r>
      <w:r w:rsidRPr="004D0DAA">
        <w:rPr>
          <w:lang w:eastAsia="ko-KR"/>
        </w:rPr>
        <w:t>with</w:t>
      </w:r>
      <w:r w:rsidRPr="004D0DAA">
        <w:rPr>
          <w:rFonts w:hint="eastAsia"/>
          <w:lang w:eastAsia="ko-KR"/>
        </w:rPr>
        <w:t xml:space="preserve"> FANR</w:t>
      </w:r>
      <w:r w:rsidRPr="004D0DAA">
        <w:rPr>
          <w:lang w:eastAsia="ko-KR"/>
        </w:rPr>
        <w:t xml:space="preserve"> activated and for an EGPRS2 TBF</w:t>
      </w:r>
      <w:r w:rsidRPr="004D0DAA">
        <w:t>, the uplink RLC/MAC header for MCS-5 and MCS-6 shall be formatted according to figure 10.3a.4.2.2.</w:t>
      </w:r>
    </w:p>
    <w:tbl>
      <w:tblPr>
        <w:tblW w:w="0" w:type="auto"/>
        <w:jc w:val="center"/>
        <w:tblLayout w:type="fixed"/>
        <w:tblCellMar>
          <w:left w:w="28" w:type="dxa"/>
          <w:right w:w="28" w:type="dxa"/>
        </w:tblCellMar>
        <w:tblLook w:val="0000" w:firstRow="0" w:lastRow="0" w:firstColumn="0" w:lastColumn="0" w:noHBand="0" w:noVBand="0"/>
      </w:tblPr>
      <w:tblGrid>
        <w:gridCol w:w="616"/>
        <w:gridCol w:w="543"/>
        <w:gridCol w:w="567"/>
        <w:gridCol w:w="565"/>
        <w:gridCol w:w="26"/>
        <w:gridCol w:w="547"/>
        <w:gridCol w:w="587"/>
        <w:gridCol w:w="547"/>
        <w:gridCol w:w="20"/>
        <w:gridCol w:w="547"/>
        <w:gridCol w:w="1154"/>
      </w:tblGrid>
      <w:tr w:rsidR="00711444" w:rsidRPr="004D0DAA" w14:paraId="1A3F4571" w14:textId="77777777" w:rsidTr="00AA2A4C">
        <w:tblPrEx>
          <w:tblCellMar>
            <w:top w:w="0" w:type="dxa"/>
            <w:bottom w:w="0" w:type="dxa"/>
          </w:tblCellMar>
        </w:tblPrEx>
        <w:trPr>
          <w:cantSplit/>
          <w:jc w:val="center"/>
        </w:trPr>
        <w:tc>
          <w:tcPr>
            <w:tcW w:w="4565" w:type="dxa"/>
            <w:gridSpan w:val="10"/>
          </w:tcPr>
          <w:p w14:paraId="627C94F6" w14:textId="77777777" w:rsidR="00711444" w:rsidRPr="004D0DAA" w:rsidRDefault="00711444" w:rsidP="00AA2A4C">
            <w:pPr>
              <w:pStyle w:val="TAC"/>
              <w:rPr>
                <w:lang w:eastAsia="en-US"/>
              </w:rPr>
            </w:pPr>
            <w:r w:rsidRPr="004D0DAA">
              <w:rPr>
                <w:lang w:eastAsia="en-US"/>
              </w:rPr>
              <w:t>Bit</w:t>
            </w:r>
          </w:p>
        </w:tc>
        <w:tc>
          <w:tcPr>
            <w:tcW w:w="1154" w:type="dxa"/>
          </w:tcPr>
          <w:p w14:paraId="606B94FB" w14:textId="77777777" w:rsidR="00711444" w:rsidRPr="004D0DAA" w:rsidRDefault="00711444" w:rsidP="00AA2A4C">
            <w:pPr>
              <w:pStyle w:val="TAC"/>
              <w:rPr>
                <w:lang w:eastAsia="en-US"/>
              </w:rPr>
            </w:pPr>
          </w:p>
        </w:tc>
      </w:tr>
      <w:tr w:rsidR="00711444" w:rsidRPr="004D0DAA" w14:paraId="54D70BF7" w14:textId="77777777" w:rsidTr="00AA2A4C">
        <w:tblPrEx>
          <w:tblCellMar>
            <w:top w:w="0" w:type="dxa"/>
            <w:bottom w:w="0" w:type="dxa"/>
          </w:tblCellMar>
        </w:tblPrEx>
        <w:trPr>
          <w:cantSplit/>
          <w:jc w:val="center"/>
        </w:trPr>
        <w:tc>
          <w:tcPr>
            <w:tcW w:w="616" w:type="dxa"/>
          </w:tcPr>
          <w:p w14:paraId="0857B4E1" w14:textId="77777777" w:rsidR="00711444" w:rsidRPr="004D0DAA" w:rsidRDefault="00711444" w:rsidP="00AA2A4C">
            <w:pPr>
              <w:pStyle w:val="TAC"/>
              <w:rPr>
                <w:lang w:eastAsia="en-US"/>
              </w:rPr>
            </w:pPr>
            <w:r w:rsidRPr="004D0DAA">
              <w:rPr>
                <w:lang w:eastAsia="en-US"/>
              </w:rPr>
              <w:t>8</w:t>
            </w:r>
          </w:p>
        </w:tc>
        <w:tc>
          <w:tcPr>
            <w:tcW w:w="543" w:type="dxa"/>
          </w:tcPr>
          <w:p w14:paraId="27C2D164" w14:textId="77777777" w:rsidR="00711444" w:rsidRPr="004D0DAA" w:rsidRDefault="00711444" w:rsidP="00AA2A4C">
            <w:pPr>
              <w:pStyle w:val="TAC"/>
              <w:rPr>
                <w:lang w:eastAsia="en-US"/>
              </w:rPr>
            </w:pPr>
            <w:r w:rsidRPr="004D0DAA">
              <w:rPr>
                <w:lang w:eastAsia="en-US"/>
              </w:rPr>
              <w:t>7</w:t>
            </w:r>
          </w:p>
        </w:tc>
        <w:tc>
          <w:tcPr>
            <w:tcW w:w="567" w:type="dxa"/>
          </w:tcPr>
          <w:p w14:paraId="77E79EE6" w14:textId="77777777" w:rsidR="00711444" w:rsidRPr="004D0DAA" w:rsidRDefault="00711444" w:rsidP="00AA2A4C">
            <w:pPr>
              <w:pStyle w:val="TAC"/>
              <w:rPr>
                <w:lang w:eastAsia="en-US"/>
              </w:rPr>
            </w:pPr>
            <w:r w:rsidRPr="004D0DAA">
              <w:rPr>
                <w:lang w:eastAsia="en-US"/>
              </w:rPr>
              <w:t>6</w:t>
            </w:r>
          </w:p>
        </w:tc>
        <w:tc>
          <w:tcPr>
            <w:tcW w:w="591" w:type="dxa"/>
            <w:gridSpan w:val="2"/>
          </w:tcPr>
          <w:p w14:paraId="0BC7D8E4" w14:textId="77777777" w:rsidR="00711444" w:rsidRPr="004D0DAA" w:rsidRDefault="00711444" w:rsidP="00AA2A4C">
            <w:pPr>
              <w:pStyle w:val="TAC"/>
              <w:rPr>
                <w:lang w:eastAsia="en-US"/>
              </w:rPr>
            </w:pPr>
            <w:r w:rsidRPr="004D0DAA">
              <w:rPr>
                <w:lang w:eastAsia="en-US"/>
              </w:rPr>
              <w:t>5</w:t>
            </w:r>
          </w:p>
        </w:tc>
        <w:tc>
          <w:tcPr>
            <w:tcW w:w="547" w:type="dxa"/>
          </w:tcPr>
          <w:p w14:paraId="0CD855B5" w14:textId="77777777" w:rsidR="00711444" w:rsidRPr="004D0DAA" w:rsidRDefault="00711444" w:rsidP="00AA2A4C">
            <w:pPr>
              <w:pStyle w:val="TAC"/>
              <w:rPr>
                <w:lang w:eastAsia="en-US"/>
              </w:rPr>
            </w:pPr>
            <w:r w:rsidRPr="004D0DAA">
              <w:rPr>
                <w:lang w:eastAsia="en-US"/>
              </w:rPr>
              <w:t>4</w:t>
            </w:r>
          </w:p>
        </w:tc>
        <w:tc>
          <w:tcPr>
            <w:tcW w:w="587" w:type="dxa"/>
          </w:tcPr>
          <w:p w14:paraId="625CC10A" w14:textId="77777777" w:rsidR="00711444" w:rsidRPr="004D0DAA" w:rsidRDefault="00711444" w:rsidP="00AA2A4C">
            <w:pPr>
              <w:pStyle w:val="TAC"/>
              <w:rPr>
                <w:lang w:eastAsia="en-US"/>
              </w:rPr>
            </w:pPr>
            <w:r w:rsidRPr="004D0DAA">
              <w:rPr>
                <w:lang w:eastAsia="en-US"/>
              </w:rPr>
              <w:t>3</w:t>
            </w:r>
          </w:p>
        </w:tc>
        <w:tc>
          <w:tcPr>
            <w:tcW w:w="567" w:type="dxa"/>
            <w:gridSpan w:val="2"/>
          </w:tcPr>
          <w:p w14:paraId="1B6696FE" w14:textId="77777777" w:rsidR="00711444" w:rsidRPr="004D0DAA" w:rsidRDefault="00711444" w:rsidP="00AA2A4C">
            <w:pPr>
              <w:pStyle w:val="TAC"/>
              <w:rPr>
                <w:lang w:eastAsia="en-US"/>
              </w:rPr>
            </w:pPr>
            <w:r w:rsidRPr="004D0DAA">
              <w:rPr>
                <w:lang w:eastAsia="en-US"/>
              </w:rPr>
              <w:t>2</w:t>
            </w:r>
          </w:p>
        </w:tc>
        <w:tc>
          <w:tcPr>
            <w:tcW w:w="547" w:type="dxa"/>
          </w:tcPr>
          <w:p w14:paraId="49BB5980" w14:textId="77777777" w:rsidR="00711444" w:rsidRPr="004D0DAA" w:rsidRDefault="00711444" w:rsidP="00AA2A4C">
            <w:pPr>
              <w:pStyle w:val="TAC"/>
              <w:rPr>
                <w:lang w:eastAsia="en-US"/>
              </w:rPr>
            </w:pPr>
            <w:r w:rsidRPr="004D0DAA">
              <w:rPr>
                <w:lang w:eastAsia="en-US"/>
              </w:rPr>
              <w:t>1</w:t>
            </w:r>
          </w:p>
        </w:tc>
        <w:tc>
          <w:tcPr>
            <w:tcW w:w="1154" w:type="dxa"/>
          </w:tcPr>
          <w:p w14:paraId="33656B6D" w14:textId="77777777" w:rsidR="00711444" w:rsidRPr="004D0DAA" w:rsidRDefault="00711444" w:rsidP="00AA2A4C">
            <w:pPr>
              <w:pStyle w:val="TAC"/>
              <w:rPr>
                <w:lang w:eastAsia="en-US"/>
              </w:rPr>
            </w:pPr>
            <w:r w:rsidRPr="004D0DAA">
              <w:rPr>
                <w:lang w:eastAsia="en-US"/>
              </w:rPr>
              <w:t>Octet</w:t>
            </w:r>
          </w:p>
        </w:tc>
      </w:tr>
      <w:tr w:rsidR="00711444" w:rsidRPr="004D0DAA" w14:paraId="015815FB" w14:textId="77777777" w:rsidTr="00AA2A4C">
        <w:tblPrEx>
          <w:tblCellMar>
            <w:top w:w="0" w:type="dxa"/>
            <w:bottom w:w="0" w:type="dxa"/>
          </w:tblCellMar>
        </w:tblPrEx>
        <w:trPr>
          <w:cantSplit/>
          <w:jc w:val="center"/>
        </w:trPr>
        <w:tc>
          <w:tcPr>
            <w:tcW w:w="1159" w:type="dxa"/>
            <w:gridSpan w:val="2"/>
            <w:tcBorders>
              <w:top w:val="single" w:sz="6" w:space="0" w:color="auto"/>
              <w:left w:val="single" w:sz="6" w:space="0" w:color="auto"/>
              <w:bottom w:val="single" w:sz="6" w:space="0" w:color="auto"/>
            </w:tcBorders>
          </w:tcPr>
          <w:p w14:paraId="58F2D4A0" w14:textId="77777777" w:rsidR="00711444" w:rsidRPr="004D0DAA" w:rsidRDefault="00711444" w:rsidP="00AA2A4C">
            <w:pPr>
              <w:pStyle w:val="TAC"/>
              <w:rPr>
                <w:lang w:eastAsia="en-US"/>
              </w:rPr>
            </w:pPr>
            <w:r w:rsidRPr="004D0DAA">
              <w:rPr>
                <w:lang w:eastAsia="en-US"/>
              </w:rPr>
              <w:t>TFI</w:t>
            </w:r>
          </w:p>
        </w:tc>
        <w:tc>
          <w:tcPr>
            <w:tcW w:w="2292" w:type="dxa"/>
            <w:gridSpan w:val="5"/>
            <w:tcBorders>
              <w:top w:val="single" w:sz="6" w:space="0" w:color="auto"/>
              <w:left w:val="single" w:sz="6" w:space="0" w:color="auto"/>
              <w:bottom w:val="single" w:sz="6" w:space="0" w:color="auto"/>
            </w:tcBorders>
          </w:tcPr>
          <w:p w14:paraId="76D3EC6B" w14:textId="77777777" w:rsidR="00711444" w:rsidRPr="004D0DAA" w:rsidRDefault="00711444" w:rsidP="00AA2A4C">
            <w:pPr>
              <w:pStyle w:val="TAC"/>
              <w:rPr>
                <w:lang w:eastAsia="en-US"/>
              </w:rPr>
            </w:pPr>
            <w:r w:rsidRPr="004D0DAA">
              <w:rPr>
                <w:lang w:eastAsia="en-US"/>
              </w:rPr>
              <w:t>Countdown Value</w:t>
            </w:r>
          </w:p>
        </w:tc>
        <w:tc>
          <w:tcPr>
            <w:tcW w:w="567" w:type="dxa"/>
            <w:gridSpan w:val="2"/>
            <w:tcBorders>
              <w:top w:val="single" w:sz="6" w:space="0" w:color="auto"/>
              <w:left w:val="single" w:sz="6" w:space="0" w:color="auto"/>
              <w:bottom w:val="single" w:sz="6" w:space="0" w:color="auto"/>
            </w:tcBorders>
          </w:tcPr>
          <w:p w14:paraId="3B21AD19" w14:textId="77777777" w:rsidR="00711444" w:rsidRPr="004D0DAA" w:rsidRDefault="00711444" w:rsidP="00AA2A4C">
            <w:pPr>
              <w:pStyle w:val="TAC"/>
              <w:rPr>
                <w:lang w:eastAsia="en-US"/>
              </w:rPr>
            </w:pPr>
            <w:r w:rsidRPr="004D0DAA">
              <w:rPr>
                <w:lang w:eastAsia="en-US"/>
              </w:rPr>
              <w:t>SI</w:t>
            </w:r>
          </w:p>
        </w:tc>
        <w:tc>
          <w:tcPr>
            <w:tcW w:w="547" w:type="dxa"/>
            <w:tcBorders>
              <w:top w:val="single" w:sz="6" w:space="0" w:color="auto"/>
              <w:left w:val="single" w:sz="6" w:space="0" w:color="auto"/>
              <w:bottom w:val="single" w:sz="6" w:space="0" w:color="auto"/>
              <w:right w:val="single" w:sz="6" w:space="0" w:color="auto"/>
            </w:tcBorders>
          </w:tcPr>
          <w:p w14:paraId="15FA6509" w14:textId="77777777" w:rsidR="00711444" w:rsidRPr="004D0DAA" w:rsidRDefault="00711444" w:rsidP="00AA2A4C">
            <w:pPr>
              <w:pStyle w:val="TAC"/>
              <w:rPr>
                <w:lang w:eastAsia="en-US"/>
              </w:rPr>
            </w:pPr>
            <w:r w:rsidRPr="004D0DAA">
              <w:rPr>
                <w:lang w:eastAsia="en-US"/>
              </w:rPr>
              <w:t>R</w:t>
            </w:r>
          </w:p>
        </w:tc>
        <w:tc>
          <w:tcPr>
            <w:tcW w:w="1154" w:type="dxa"/>
            <w:tcBorders>
              <w:left w:val="single" w:sz="6" w:space="0" w:color="auto"/>
            </w:tcBorders>
          </w:tcPr>
          <w:p w14:paraId="4202D2A7" w14:textId="77777777" w:rsidR="00711444" w:rsidRPr="004D0DAA" w:rsidRDefault="00711444" w:rsidP="00AA2A4C">
            <w:pPr>
              <w:pStyle w:val="TAC"/>
              <w:rPr>
                <w:lang w:eastAsia="en-US"/>
              </w:rPr>
            </w:pPr>
            <w:r w:rsidRPr="004D0DAA">
              <w:rPr>
                <w:lang w:eastAsia="en-US"/>
              </w:rPr>
              <w:t>1</w:t>
            </w:r>
          </w:p>
        </w:tc>
      </w:tr>
      <w:tr w:rsidR="00711444" w:rsidRPr="004D0DAA" w14:paraId="5D3C09DF" w14:textId="77777777" w:rsidTr="00AA2A4C">
        <w:tblPrEx>
          <w:tblCellMar>
            <w:top w:w="0" w:type="dxa"/>
            <w:bottom w:w="0" w:type="dxa"/>
          </w:tblCellMar>
        </w:tblPrEx>
        <w:trPr>
          <w:cantSplit/>
          <w:jc w:val="center"/>
        </w:trPr>
        <w:tc>
          <w:tcPr>
            <w:tcW w:w="2864" w:type="dxa"/>
            <w:gridSpan w:val="6"/>
            <w:tcBorders>
              <w:left w:val="single" w:sz="6" w:space="0" w:color="auto"/>
              <w:right w:val="single" w:sz="6" w:space="0" w:color="auto"/>
            </w:tcBorders>
          </w:tcPr>
          <w:p w14:paraId="2B4FF256" w14:textId="77777777" w:rsidR="00711444" w:rsidRPr="004D0DAA" w:rsidRDefault="00711444" w:rsidP="00AA2A4C">
            <w:pPr>
              <w:pStyle w:val="TAC"/>
              <w:rPr>
                <w:lang w:eastAsia="en-US"/>
              </w:rPr>
            </w:pPr>
            <w:r w:rsidRPr="004D0DAA">
              <w:rPr>
                <w:lang w:eastAsia="en-US"/>
              </w:rPr>
              <w:t>BSN1</w:t>
            </w:r>
          </w:p>
        </w:tc>
        <w:tc>
          <w:tcPr>
            <w:tcW w:w="1701" w:type="dxa"/>
            <w:gridSpan w:val="4"/>
            <w:tcBorders>
              <w:left w:val="single" w:sz="6" w:space="0" w:color="auto"/>
              <w:right w:val="single" w:sz="6" w:space="0" w:color="auto"/>
            </w:tcBorders>
          </w:tcPr>
          <w:p w14:paraId="351090E8" w14:textId="77777777" w:rsidR="00711444" w:rsidRPr="004D0DAA" w:rsidRDefault="00711444" w:rsidP="00AA2A4C">
            <w:pPr>
              <w:pStyle w:val="TAC"/>
              <w:rPr>
                <w:lang w:eastAsia="en-US"/>
              </w:rPr>
            </w:pPr>
            <w:r w:rsidRPr="004D0DAA">
              <w:rPr>
                <w:lang w:eastAsia="en-US"/>
              </w:rPr>
              <w:t>TFI</w:t>
            </w:r>
          </w:p>
        </w:tc>
        <w:tc>
          <w:tcPr>
            <w:tcW w:w="1154" w:type="dxa"/>
            <w:tcBorders>
              <w:left w:val="single" w:sz="6" w:space="0" w:color="auto"/>
            </w:tcBorders>
          </w:tcPr>
          <w:p w14:paraId="5793D415" w14:textId="77777777" w:rsidR="00711444" w:rsidRPr="004D0DAA" w:rsidRDefault="00711444" w:rsidP="00AA2A4C">
            <w:pPr>
              <w:pStyle w:val="TAC"/>
              <w:rPr>
                <w:lang w:eastAsia="en-US"/>
              </w:rPr>
            </w:pPr>
            <w:r w:rsidRPr="004D0DAA">
              <w:rPr>
                <w:lang w:eastAsia="en-US"/>
              </w:rPr>
              <w:t>2</w:t>
            </w:r>
          </w:p>
        </w:tc>
      </w:tr>
      <w:tr w:rsidR="00711444" w:rsidRPr="004D0DAA" w14:paraId="471681D1" w14:textId="77777777" w:rsidTr="00AA2A4C">
        <w:tblPrEx>
          <w:tblCellMar>
            <w:top w:w="0" w:type="dxa"/>
            <w:bottom w:w="0" w:type="dxa"/>
          </w:tblCellMar>
        </w:tblPrEx>
        <w:trPr>
          <w:cantSplit/>
          <w:jc w:val="center"/>
        </w:trPr>
        <w:tc>
          <w:tcPr>
            <w:tcW w:w="1159" w:type="dxa"/>
            <w:gridSpan w:val="2"/>
            <w:tcBorders>
              <w:top w:val="single" w:sz="6" w:space="0" w:color="auto"/>
              <w:left w:val="single" w:sz="6" w:space="0" w:color="auto"/>
              <w:right w:val="single" w:sz="6" w:space="0" w:color="auto"/>
            </w:tcBorders>
          </w:tcPr>
          <w:p w14:paraId="6353A93E" w14:textId="77777777" w:rsidR="00711444" w:rsidRPr="004D0DAA" w:rsidRDefault="00711444" w:rsidP="00AA2A4C">
            <w:pPr>
              <w:pStyle w:val="TAC"/>
              <w:rPr>
                <w:lang w:eastAsia="en-US"/>
              </w:rPr>
            </w:pPr>
            <w:r w:rsidRPr="004D0DAA">
              <w:rPr>
                <w:lang w:eastAsia="en-US"/>
              </w:rPr>
              <w:t>CPS</w:t>
            </w:r>
          </w:p>
        </w:tc>
        <w:tc>
          <w:tcPr>
            <w:tcW w:w="3406" w:type="dxa"/>
            <w:gridSpan w:val="8"/>
            <w:tcBorders>
              <w:top w:val="single" w:sz="6" w:space="0" w:color="auto"/>
              <w:left w:val="single" w:sz="6" w:space="0" w:color="auto"/>
              <w:right w:val="single" w:sz="6" w:space="0" w:color="auto"/>
            </w:tcBorders>
          </w:tcPr>
          <w:p w14:paraId="1B90ABAF" w14:textId="77777777" w:rsidR="00711444" w:rsidRPr="004D0DAA" w:rsidRDefault="00711444" w:rsidP="00AA2A4C">
            <w:pPr>
              <w:pStyle w:val="TAC"/>
              <w:rPr>
                <w:lang w:eastAsia="en-US"/>
              </w:rPr>
            </w:pPr>
            <w:r w:rsidRPr="004D0DAA">
              <w:rPr>
                <w:lang w:eastAsia="en-US"/>
              </w:rPr>
              <w:t>BSN1</w:t>
            </w:r>
          </w:p>
        </w:tc>
        <w:tc>
          <w:tcPr>
            <w:tcW w:w="1154" w:type="dxa"/>
            <w:tcBorders>
              <w:left w:val="single" w:sz="6" w:space="0" w:color="auto"/>
            </w:tcBorders>
          </w:tcPr>
          <w:p w14:paraId="18170B3A" w14:textId="77777777" w:rsidR="00711444" w:rsidRPr="004D0DAA" w:rsidRDefault="00711444" w:rsidP="00AA2A4C">
            <w:pPr>
              <w:pStyle w:val="TAC"/>
              <w:rPr>
                <w:lang w:eastAsia="en-US"/>
              </w:rPr>
            </w:pPr>
            <w:r w:rsidRPr="004D0DAA">
              <w:rPr>
                <w:lang w:eastAsia="en-US"/>
              </w:rPr>
              <w:t>3</w:t>
            </w:r>
          </w:p>
        </w:tc>
      </w:tr>
      <w:tr w:rsidR="00711444" w:rsidRPr="004D0DAA" w14:paraId="3E413091" w14:textId="77777777" w:rsidTr="00AA2A4C">
        <w:tblPrEx>
          <w:tblCellMar>
            <w:top w:w="0" w:type="dxa"/>
            <w:bottom w:w="0" w:type="dxa"/>
          </w:tblCellMar>
        </w:tblPrEx>
        <w:trPr>
          <w:cantSplit/>
          <w:jc w:val="center"/>
        </w:trPr>
        <w:tc>
          <w:tcPr>
            <w:tcW w:w="2291" w:type="dxa"/>
            <w:gridSpan w:val="4"/>
            <w:tcBorders>
              <w:top w:val="single" w:sz="6" w:space="0" w:color="auto"/>
              <w:left w:val="single" w:sz="6" w:space="0" w:color="auto"/>
              <w:right w:val="single" w:sz="6" w:space="0" w:color="auto"/>
            </w:tcBorders>
          </w:tcPr>
          <w:p w14:paraId="457F0F49" w14:textId="77777777" w:rsidR="00711444" w:rsidRPr="004D0DAA" w:rsidRDefault="00711444" w:rsidP="00AA2A4C">
            <w:pPr>
              <w:pStyle w:val="TAC"/>
              <w:rPr>
                <w:lang w:eastAsia="en-US"/>
              </w:rPr>
            </w:pPr>
            <w:r w:rsidRPr="004D0DAA">
              <w:rPr>
                <w:lang w:eastAsia="en-US"/>
              </w:rPr>
              <w:t>Spare</w:t>
            </w:r>
          </w:p>
        </w:tc>
        <w:tc>
          <w:tcPr>
            <w:tcW w:w="573" w:type="dxa"/>
            <w:gridSpan w:val="2"/>
            <w:tcBorders>
              <w:top w:val="single" w:sz="6" w:space="0" w:color="auto"/>
              <w:left w:val="single" w:sz="6" w:space="0" w:color="auto"/>
              <w:right w:val="single" w:sz="6" w:space="0" w:color="auto"/>
            </w:tcBorders>
          </w:tcPr>
          <w:p w14:paraId="367A2DA0" w14:textId="77777777" w:rsidR="00711444" w:rsidRPr="004D0DAA" w:rsidRDefault="00711444" w:rsidP="00AA2A4C">
            <w:pPr>
              <w:pStyle w:val="TAC"/>
              <w:rPr>
                <w:lang w:eastAsia="en-US"/>
              </w:rPr>
            </w:pPr>
            <w:r w:rsidRPr="004D0DAA">
              <w:rPr>
                <w:lang w:eastAsia="en-US"/>
              </w:rPr>
              <w:t>PANI</w:t>
            </w:r>
          </w:p>
        </w:tc>
        <w:tc>
          <w:tcPr>
            <w:tcW w:w="587" w:type="dxa"/>
            <w:tcBorders>
              <w:top w:val="single" w:sz="6" w:space="0" w:color="auto"/>
              <w:left w:val="single" w:sz="6" w:space="0" w:color="auto"/>
              <w:right w:val="single" w:sz="6" w:space="0" w:color="auto"/>
            </w:tcBorders>
          </w:tcPr>
          <w:p w14:paraId="08351F42" w14:textId="77777777" w:rsidR="00711444" w:rsidRPr="004D0DAA" w:rsidRDefault="00711444" w:rsidP="00AA2A4C">
            <w:pPr>
              <w:pStyle w:val="TAC"/>
              <w:rPr>
                <w:lang w:eastAsia="en-US"/>
              </w:rPr>
            </w:pPr>
            <w:r w:rsidRPr="004D0DAA">
              <w:rPr>
                <w:lang w:eastAsia="en-US"/>
              </w:rPr>
              <w:t>PI</w:t>
            </w:r>
          </w:p>
        </w:tc>
        <w:tc>
          <w:tcPr>
            <w:tcW w:w="547" w:type="dxa"/>
            <w:tcBorders>
              <w:top w:val="single" w:sz="6" w:space="0" w:color="auto"/>
              <w:left w:val="single" w:sz="6" w:space="0" w:color="auto"/>
              <w:right w:val="single" w:sz="6" w:space="0" w:color="auto"/>
            </w:tcBorders>
          </w:tcPr>
          <w:p w14:paraId="78FCC911" w14:textId="77777777" w:rsidR="00711444" w:rsidRPr="004D0DAA" w:rsidRDefault="00711444" w:rsidP="00AA2A4C">
            <w:pPr>
              <w:pStyle w:val="TAC"/>
              <w:rPr>
                <w:lang w:eastAsia="en-US"/>
              </w:rPr>
            </w:pPr>
            <w:r w:rsidRPr="004D0DAA">
              <w:rPr>
                <w:lang w:eastAsia="en-US"/>
              </w:rPr>
              <w:t>RSB</w:t>
            </w:r>
          </w:p>
        </w:tc>
        <w:tc>
          <w:tcPr>
            <w:tcW w:w="567" w:type="dxa"/>
            <w:gridSpan w:val="2"/>
            <w:tcBorders>
              <w:top w:val="single" w:sz="6" w:space="0" w:color="auto"/>
              <w:left w:val="single" w:sz="6" w:space="0" w:color="auto"/>
              <w:right w:val="single" w:sz="6" w:space="0" w:color="auto"/>
            </w:tcBorders>
          </w:tcPr>
          <w:p w14:paraId="14BA83D2" w14:textId="77777777" w:rsidR="00711444" w:rsidRPr="004D0DAA" w:rsidRDefault="00711444" w:rsidP="00AA2A4C">
            <w:pPr>
              <w:pStyle w:val="TAC"/>
              <w:rPr>
                <w:lang w:eastAsia="en-US"/>
              </w:rPr>
            </w:pPr>
            <w:r w:rsidRPr="004D0DAA">
              <w:rPr>
                <w:lang w:eastAsia="en-US"/>
              </w:rPr>
              <w:t>CPS</w:t>
            </w:r>
          </w:p>
        </w:tc>
        <w:tc>
          <w:tcPr>
            <w:tcW w:w="1154" w:type="dxa"/>
            <w:tcBorders>
              <w:left w:val="single" w:sz="6" w:space="0" w:color="auto"/>
            </w:tcBorders>
          </w:tcPr>
          <w:p w14:paraId="525FBF78" w14:textId="77777777" w:rsidR="00711444" w:rsidRPr="004D0DAA" w:rsidRDefault="00711444" w:rsidP="00AA2A4C">
            <w:pPr>
              <w:pStyle w:val="TAC"/>
              <w:rPr>
                <w:lang w:eastAsia="en-US"/>
              </w:rPr>
            </w:pPr>
            <w:r w:rsidRPr="004D0DAA">
              <w:rPr>
                <w:lang w:eastAsia="en-US"/>
              </w:rPr>
              <w:t>4</w:t>
            </w:r>
          </w:p>
        </w:tc>
      </w:tr>
      <w:tr w:rsidR="00711444" w:rsidRPr="004D0DAA" w14:paraId="26AFB494" w14:textId="77777777" w:rsidTr="00AA2A4C">
        <w:tblPrEx>
          <w:tblCellMar>
            <w:top w:w="0" w:type="dxa"/>
            <w:bottom w:w="0" w:type="dxa"/>
          </w:tblCellMar>
        </w:tblPrEx>
        <w:trPr>
          <w:cantSplit/>
          <w:jc w:val="center"/>
        </w:trPr>
        <w:tc>
          <w:tcPr>
            <w:tcW w:w="1726" w:type="dxa"/>
            <w:gridSpan w:val="3"/>
            <w:tcBorders>
              <w:top w:val="single" w:sz="6" w:space="0" w:color="auto"/>
              <w:right w:val="single" w:sz="6" w:space="0" w:color="auto"/>
            </w:tcBorders>
          </w:tcPr>
          <w:p w14:paraId="65F0F993" w14:textId="77777777" w:rsidR="00711444" w:rsidRPr="004D0DAA" w:rsidRDefault="00711444" w:rsidP="00AA2A4C"/>
        </w:tc>
        <w:tc>
          <w:tcPr>
            <w:tcW w:w="2839" w:type="dxa"/>
            <w:gridSpan w:val="7"/>
            <w:tcBorders>
              <w:top w:val="single" w:sz="6" w:space="0" w:color="auto"/>
              <w:left w:val="single" w:sz="6" w:space="0" w:color="auto"/>
              <w:bottom w:val="single" w:sz="6" w:space="0" w:color="auto"/>
              <w:right w:val="single" w:sz="6" w:space="0" w:color="auto"/>
            </w:tcBorders>
          </w:tcPr>
          <w:p w14:paraId="68A36081" w14:textId="77777777" w:rsidR="00711444" w:rsidRPr="004D0DAA" w:rsidRDefault="00711444" w:rsidP="00AA2A4C">
            <w:pPr>
              <w:pStyle w:val="TAC"/>
              <w:rPr>
                <w:lang w:eastAsia="en-US"/>
              </w:rPr>
            </w:pPr>
            <w:r w:rsidRPr="004D0DAA">
              <w:rPr>
                <w:lang w:eastAsia="en-US"/>
              </w:rPr>
              <w:t>Spare</w:t>
            </w:r>
          </w:p>
        </w:tc>
        <w:tc>
          <w:tcPr>
            <w:tcW w:w="1154" w:type="dxa"/>
            <w:tcBorders>
              <w:left w:val="single" w:sz="6" w:space="0" w:color="auto"/>
            </w:tcBorders>
          </w:tcPr>
          <w:p w14:paraId="5EBA287A" w14:textId="77777777" w:rsidR="00711444" w:rsidRPr="004D0DAA" w:rsidRDefault="00711444" w:rsidP="00AA2A4C">
            <w:pPr>
              <w:pStyle w:val="TAC"/>
              <w:rPr>
                <w:lang w:eastAsia="en-US"/>
              </w:rPr>
            </w:pPr>
            <w:r w:rsidRPr="004D0DAA">
              <w:rPr>
                <w:lang w:eastAsia="en-US"/>
              </w:rPr>
              <w:t>5</w:t>
            </w:r>
          </w:p>
        </w:tc>
      </w:tr>
    </w:tbl>
    <w:p w14:paraId="3DAF4697" w14:textId="77777777" w:rsidR="00711444" w:rsidRPr="004D0DAA" w:rsidRDefault="00711444" w:rsidP="00711444">
      <w:pPr>
        <w:pStyle w:val="NF"/>
      </w:pPr>
    </w:p>
    <w:p w14:paraId="0833EADF" w14:textId="77777777" w:rsidR="00711444" w:rsidRPr="004D0DAA" w:rsidRDefault="00711444" w:rsidP="00711444">
      <w:pPr>
        <w:pStyle w:val="TF"/>
        <w:rPr>
          <w:rFonts w:hint="eastAsia"/>
          <w:lang w:eastAsia="ko-KR"/>
        </w:rPr>
      </w:pPr>
      <w:r w:rsidRPr="004D0DAA">
        <w:t xml:space="preserve">Figure 10.3a.4.2.2: </w:t>
      </w:r>
      <w:r w:rsidRPr="004D0DAA">
        <w:rPr>
          <w:rFonts w:hint="eastAsia"/>
          <w:lang w:eastAsia="ko-KR"/>
        </w:rPr>
        <w:t>EGPRS</w:t>
      </w:r>
      <w:r w:rsidRPr="004D0DAA">
        <w:rPr>
          <w:lang w:eastAsia="ko-KR"/>
        </w:rPr>
        <w:t xml:space="preserve"> (FANR activated) / EGPRS2</w:t>
      </w:r>
      <w:r w:rsidRPr="004D0DAA">
        <w:rPr>
          <w:rFonts w:hint="eastAsia"/>
          <w:lang w:eastAsia="ko-KR"/>
        </w:rPr>
        <w:t xml:space="preserve"> </w:t>
      </w:r>
      <w:r w:rsidRPr="004D0DAA">
        <w:t>uplink RLC data block header</w:t>
      </w:r>
      <w:r w:rsidRPr="004D0DAA">
        <w:rPr>
          <w:rFonts w:hint="eastAsia"/>
          <w:lang w:eastAsia="ko-KR"/>
        </w:rPr>
        <w:t xml:space="preserve"> </w:t>
      </w:r>
      <w:r w:rsidRPr="004D0DAA">
        <w:br/>
        <w:t>for MCS-5 and MCS-6</w:t>
      </w:r>
    </w:p>
    <w:p w14:paraId="4AC62296" w14:textId="77777777" w:rsidR="00711444" w:rsidRPr="004D0DAA" w:rsidRDefault="00711444" w:rsidP="00711444">
      <w:pPr>
        <w:ind w:left="90"/>
      </w:pPr>
      <w:r w:rsidRPr="004D0DAA">
        <w:t>The EC-GSM-IoT combined uplink RLC/MAC header for MCS</w:t>
      </w:r>
      <w:r w:rsidRPr="004D0DAA">
        <w:noBreakHyphen/>
        <w:t>5 and MCS</w:t>
      </w:r>
      <w:r w:rsidRPr="004D0DAA">
        <w:noBreakHyphen/>
        <w:t>6 (header type 2) shall be formatted according to figure 10.3a.4.2.3.</w:t>
      </w:r>
    </w:p>
    <w:tbl>
      <w:tblPr>
        <w:tblW w:w="0" w:type="auto"/>
        <w:jc w:val="center"/>
        <w:tblLayout w:type="fixed"/>
        <w:tblCellMar>
          <w:left w:w="28" w:type="dxa"/>
          <w:right w:w="28" w:type="dxa"/>
        </w:tblCellMar>
        <w:tblLook w:val="0000" w:firstRow="0" w:lastRow="0" w:firstColumn="0" w:lastColumn="0" w:noHBand="0" w:noVBand="0"/>
      </w:tblPr>
      <w:tblGrid>
        <w:gridCol w:w="596"/>
        <w:gridCol w:w="20"/>
        <w:gridCol w:w="546"/>
        <w:gridCol w:w="568"/>
        <w:gridCol w:w="567"/>
        <w:gridCol w:w="22"/>
        <w:gridCol w:w="549"/>
        <w:gridCol w:w="587"/>
        <w:gridCol w:w="567"/>
        <w:gridCol w:w="551"/>
        <w:gridCol w:w="1154"/>
      </w:tblGrid>
      <w:tr w:rsidR="00711444" w:rsidRPr="004D0DAA" w14:paraId="14CD4BB9" w14:textId="77777777" w:rsidTr="00AA2A4C">
        <w:trPr>
          <w:cantSplit/>
          <w:jc w:val="center"/>
        </w:trPr>
        <w:tc>
          <w:tcPr>
            <w:tcW w:w="4573" w:type="dxa"/>
            <w:gridSpan w:val="10"/>
          </w:tcPr>
          <w:p w14:paraId="2E29A976" w14:textId="77777777" w:rsidR="00711444" w:rsidRPr="004D0DAA" w:rsidRDefault="00711444" w:rsidP="00AA2A4C">
            <w:pPr>
              <w:pStyle w:val="TAC"/>
              <w:rPr>
                <w:lang w:eastAsia="en-US"/>
              </w:rPr>
            </w:pPr>
            <w:r w:rsidRPr="004D0DAA">
              <w:rPr>
                <w:lang w:eastAsia="en-US"/>
              </w:rPr>
              <w:t>Bit</w:t>
            </w:r>
          </w:p>
        </w:tc>
        <w:tc>
          <w:tcPr>
            <w:tcW w:w="1154" w:type="dxa"/>
          </w:tcPr>
          <w:p w14:paraId="0F56ECF6" w14:textId="77777777" w:rsidR="00711444" w:rsidRPr="004D0DAA" w:rsidRDefault="00711444" w:rsidP="00AA2A4C">
            <w:pPr>
              <w:pStyle w:val="TAC"/>
              <w:rPr>
                <w:lang w:eastAsia="en-US"/>
              </w:rPr>
            </w:pPr>
          </w:p>
        </w:tc>
      </w:tr>
      <w:tr w:rsidR="00711444" w:rsidRPr="004D0DAA" w14:paraId="0106A058" w14:textId="77777777" w:rsidTr="00AA2A4C">
        <w:trPr>
          <w:cantSplit/>
          <w:jc w:val="center"/>
        </w:trPr>
        <w:tc>
          <w:tcPr>
            <w:tcW w:w="616" w:type="dxa"/>
            <w:gridSpan w:val="2"/>
          </w:tcPr>
          <w:p w14:paraId="22DEAE15" w14:textId="77777777" w:rsidR="00711444" w:rsidRPr="004D0DAA" w:rsidRDefault="00711444" w:rsidP="00AA2A4C">
            <w:pPr>
              <w:pStyle w:val="TAC"/>
              <w:rPr>
                <w:lang w:eastAsia="en-US"/>
              </w:rPr>
            </w:pPr>
            <w:r w:rsidRPr="004D0DAA">
              <w:rPr>
                <w:lang w:eastAsia="en-US"/>
              </w:rPr>
              <w:t>8</w:t>
            </w:r>
          </w:p>
        </w:tc>
        <w:tc>
          <w:tcPr>
            <w:tcW w:w="546" w:type="dxa"/>
          </w:tcPr>
          <w:p w14:paraId="53C9261B" w14:textId="77777777" w:rsidR="00711444" w:rsidRPr="004D0DAA" w:rsidRDefault="00711444" w:rsidP="00AA2A4C">
            <w:pPr>
              <w:pStyle w:val="TAC"/>
              <w:rPr>
                <w:lang w:eastAsia="en-US"/>
              </w:rPr>
            </w:pPr>
            <w:r w:rsidRPr="004D0DAA">
              <w:rPr>
                <w:lang w:eastAsia="en-US"/>
              </w:rPr>
              <w:t>7</w:t>
            </w:r>
          </w:p>
        </w:tc>
        <w:tc>
          <w:tcPr>
            <w:tcW w:w="568" w:type="dxa"/>
          </w:tcPr>
          <w:p w14:paraId="66C7C8C6" w14:textId="77777777" w:rsidR="00711444" w:rsidRPr="004D0DAA" w:rsidRDefault="00711444" w:rsidP="00AA2A4C">
            <w:pPr>
              <w:pStyle w:val="TAC"/>
              <w:rPr>
                <w:lang w:eastAsia="en-US"/>
              </w:rPr>
            </w:pPr>
            <w:r w:rsidRPr="004D0DAA">
              <w:rPr>
                <w:lang w:eastAsia="en-US"/>
              </w:rPr>
              <w:t>6</w:t>
            </w:r>
          </w:p>
        </w:tc>
        <w:tc>
          <w:tcPr>
            <w:tcW w:w="589" w:type="dxa"/>
            <w:gridSpan w:val="2"/>
          </w:tcPr>
          <w:p w14:paraId="196E5482" w14:textId="77777777" w:rsidR="00711444" w:rsidRPr="004D0DAA" w:rsidRDefault="00711444" w:rsidP="00AA2A4C">
            <w:pPr>
              <w:pStyle w:val="TAC"/>
              <w:rPr>
                <w:lang w:eastAsia="en-US"/>
              </w:rPr>
            </w:pPr>
            <w:r w:rsidRPr="004D0DAA">
              <w:rPr>
                <w:lang w:eastAsia="en-US"/>
              </w:rPr>
              <w:t>5</w:t>
            </w:r>
          </w:p>
        </w:tc>
        <w:tc>
          <w:tcPr>
            <w:tcW w:w="549" w:type="dxa"/>
          </w:tcPr>
          <w:p w14:paraId="38ACCD61" w14:textId="77777777" w:rsidR="00711444" w:rsidRPr="004D0DAA" w:rsidRDefault="00711444" w:rsidP="00AA2A4C">
            <w:pPr>
              <w:pStyle w:val="TAC"/>
              <w:rPr>
                <w:lang w:eastAsia="en-US"/>
              </w:rPr>
            </w:pPr>
            <w:r w:rsidRPr="004D0DAA">
              <w:rPr>
                <w:lang w:eastAsia="en-US"/>
              </w:rPr>
              <w:t>4</w:t>
            </w:r>
          </w:p>
        </w:tc>
        <w:tc>
          <w:tcPr>
            <w:tcW w:w="587" w:type="dxa"/>
          </w:tcPr>
          <w:p w14:paraId="584FC705" w14:textId="77777777" w:rsidR="00711444" w:rsidRPr="004D0DAA" w:rsidRDefault="00711444" w:rsidP="00AA2A4C">
            <w:pPr>
              <w:pStyle w:val="TAC"/>
              <w:rPr>
                <w:lang w:eastAsia="en-US"/>
              </w:rPr>
            </w:pPr>
            <w:r w:rsidRPr="004D0DAA">
              <w:rPr>
                <w:lang w:eastAsia="en-US"/>
              </w:rPr>
              <w:t>3</w:t>
            </w:r>
          </w:p>
        </w:tc>
        <w:tc>
          <w:tcPr>
            <w:tcW w:w="567" w:type="dxa"/>
          </w:tcPr>
          <w:p w14:paraId="07930148" w14:textId="77777777" w:rsidR="00711444" w:rsidRPr="004D0DAA" w:rsidRDefault="00711444" w:rsidP="00AA2A4C">
            <w:pPr>
              <w:pStyle w:val="TAC"/>
              <w:rPr>
                <w:lang w:eastAsia="en-US"/>
              </w:rPr>
            </w:pPr>
            <w:r w:rsidRPr="004D0DAA">
              <w:rPr>
                <w:lang w:eastAsia="en-US"/>
              </w:rPr>
              <w:t>2</w:t>
            </w:r>
          </w:p>
        </w:tc>
        <w:tc>
          <w:tcPr>
            <w:tcW w:w="551" w:type="dxa"/>
          </w:tcPr>
          <w:p w14:paraId="2DA4E14D" w14:textId="77777777" w:rsidR="00711444" w:rsidRPr="004D0DAA" w:rsidRDefault="00711444" w:rsidP="00AA2A4C">
            <w:pPr>
              <w:pStyle w:val="TAC"/>
              <w:rPr>
                <w:lang w:eastAsia="en-US"/>
              </w:rPr>
            </w:pPr>
            <w:r w:rsidRPr="004D0DAA">
              <w:rPr>
                <w:lang w:eastAsia="en-US"/>
              </w:rPr>
              <w:t>1</w:t>
            </w:r>
          </w:p>
        </w:tc>
        <w:tc>
          <w:tcPr>
            <w:tcW w:w="1154" w:type="dxa"/>
          </w:tcPr>
          <w:p w14:paraId="29641F04" w14:textId="77777777" w:rsidR="00711444" w:rsidRPr="004D0DAA" w:rsidRDefault="00711444" w:rsidP="00AA2A4C">
            <w:pPr>
              <w:pStyle w:val="TAC"/>
              <w:rPr>
                <w:lang w:eastAsia="en-US"/>
              </w:rPr>
            </w:pPr>
            <w:r w:rsidRPr="004D0DAA">
              <w:rPr>
                <w:lang w:eastAsia="en-US"/>
              </w:rPr>
              <w:t>Octet</w:t>
            </w:r>
          </w:p>
        </w:tc>
      </w:tr>
      <w:tr w:rsidR="00711444" w:rsidRPr="004D0DAA" w14:paraId="4FB7178A" w14:textId="77777777" w:rsidTr="00AA2A4C">
        <w:trPr>
          <w:cantSplit/>
          <w:jc w:val="center"/>
        </w:trPr>
        <w:tc>
          <w:tcPr>
            <w:tcW w:w="1162" w:type="dxa"/>
            <w:gridSpan w:val="3"/>
            <w:tcBorders>
              <w:top w:val="single" w:sz="6" w:space="0" w:color="auto"/>
              <w:left w:val="single" w:sz="6" w:space="0" w:color="auto"/>
              <w:bottom w:val="single" w:sz="6" w:space="0" w:color="auto"/>
            </w:tcBorders>
          </w:tcPr>
          <w:p w14:paraId="7641F2CF" w14:textId="77777777" w:rsidR="00711444" w:rsidRPr="004D0DAA" w:rsidRDefault="00711444" w:rsidP="00AA2A4C">
            <w:pPr>
              <w:pStyle w:val="TAC"/>
              <w:rPr>
                <w:lang w:eastAsia="en-US"/>
              </w:rPr>
            </w:pPr>
            <w:r w:rsidRPr="004D0DAA">
              <w:rPr>
                <w:lang w:eastAsia="en-US"/>
              </w:rPr>
              <w:t>TFI</w:t>
            </w:r>
          </w:p>
        </w:tc>
        <w:tc>
          <w:tcPr>
            <w:tcW w:w="2293" w:type="dxa"/>
            <w:gridSpan w:val="5"/>
            <w:tcBorders>
              <w:top w:val="single" w:sz="6" w:space="0" w:color="auto"/>
              <w:left w:val="single" w:sz="6" w:space="0" w:color="auto"/>
              <w:bottom w:val="single" w:sz="6" w:space="0" w:color="auto"/>
            </w:tcBorders>
          </w:tcPr>
          <w:p w14:paraId="5B0CDACC"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1732A332" w14:textId="77777777" w:rsidR="00711444" w:rsidRPr="004D0DAA" w:rsidRDefault="00711444" w:rsidP="00AA2A4C">
            <w:pPr>
              <w:pStyle w:val="TAC"/>
              <w:rPr>
                <w:lang w:eastAsia="en-US"/>
              </w:rPr>
            </w:pPr>
            <w:r w:rsidRPr="004D0DAA">
              <w:rPr>
                <w:lang w:eastAsia="en-US"/>
              </w:rPr>
              <w:t>FOI</w:t>
            </w:r>
          </w:p>
        </w:tc>
        <w:tc>
          <w:tcPr>
            <w:tcW w:w="551" w:type="dxa"/>
            <w:tcBorders>
              <w:top w:val="single" w:sz="6" w:space="0" w:color="auto"/>
              <w:left w:val="single" w:sz="6" w:space="0" w:color="auto"/>
              <w:bottom w:val="single" w:sz="6" w:space="0" w:color="auto"/>
              <w:right w:val="single" w:sz="6" w:space="0" w:color="auto"/>
            </w:tcBorders>
          </w:tcPr>
          <w:p w14:paraId="0CAB7BE6" w14:textId="77777777" w:rsidR="00711444" w:rsidRPr="004D0DAA" w:rsidRDefault="00711444" w:rsidP="00AA2A4C">
            <w:pPr>
              <w:pStyle w:val="TAC"/>
              <w:rPr>
                <w:lang w:eastAsia="en-US"/>
              </w:rPr>
            </w:pPr>
            <w:r w:rsidRPr="004D0DAA">
              <w:rPr>
                <w:lang w:eastAsia="en-US"/>
              </w:rPr>
              <w:t>RI</w:t>
            </w:r>
          </w:p>
        </w:tc>
        <w:tc>
          <w:tcPr>
            <w:tcW w:w="1154" w:type="dxa"/>
            <w:tcBorders>
              <w:left w:val="single" w:sz="6" w:space="0" w:color="auto"/>
            </w:tcBorders>
          </w:tcPr>
          <w:p w14:paraId="29BCEC04" w14:textId="77777777" w:rsidR="00711444" w:rsidRPr="004D0DAA" w:rsidRDefault="00711444" w:rsidP="00AA2A4C">
            <w:pPr>
              <w:pStyle w:val="TAC"/>
              <w:rPr>
                <w:lang w:eastAsia="en-US"/>
              </w:rPr>
            </w:pPr>
            <w:r w:rsidRPr="004D0DAA">
              <w:rPr>
                <w:lang w:eastAsia="en-US"/>
              </w:rPr>
              <w:t>1</w:t>
            </w:r>
          </w:p>
        </w:tc>
      </w:tr>
      <w:tr w:rsidR="00711444" w:rsidRPr="004D0DAA" w14:paraId="4A9E67F5" w14:textId="77777777" w:rsidTr="00AA2A4C">
        <w:trPr>
          <w:cantSplit/>
          <w:jc w:val="center"/>
        </w:trPr>
        <w:tc>
          <w:tcPr>
            <w:tcW w:w="2868" w:type="dxa"/>
            <w:gridSpan w:val="7"/>
            <w:tcBorders>
              <w:left w:val="single" w:sz="6" w:space="0" w:color="auto"/>
              <w:right w:val="single" w:sz="6" w:space="0" w:color="auto"/>
            </w:tcBorders>
          </w:tcPr>
          <w:p w14:paraId="3E0EEAEA" w14:textId="77777777" w:rsidR="00711444" w:rsidRPr="004D0DAA" w:rsidRDefault="00711444" w:rsidP="00AA2A4C">
            <w:pPr>
              <w:pStyle w:val="TAC"/>
              <w:rPr>
                <w:lang w:eastAsia="en-US"/>
              </w:rPr>
            </w:pPr>
            <w:r w:rsidRPr="004D0DAA">
              <w:rPr>
                <w:lang w:eastAsia="en-US"/>
              </w:rPr>
              <w:t>BSN1</w:t>
            </w:r>
          </w:p>
        </w:tc>
        <w:tc>
          <w:tcPr>
            <w:tcW w:w="1705" w:type="dxa"/>
            <w:gridSpan w:val="3"/>
            <w:tcBorders>
              <w:left w:val="single" w:sz="6" w:space="0" w:color="auto"/>
              <w:right w:val="single" w:sz="6" w:space="0" w:color="auto"/>
            </w:tcBorders>
          </w:tcPr>
          <w:p w14:paraId="5D56EE6B" w14:textId="77777777" w:rsidR="00711444" w:rsidRPr="004D0DAA" w:rsidRDefault="00711444" w:rsidP="00AA2A4C">
            <w:pPr>
              <w:pStyle w:val="TAC"/>
              <w:rPr>
                <w:lang w:eastAsia="en-US"/>
              </w:rPr>
            </w:pPr>
            <w:r w:rsidRPr="004D0DAA">
              <w:rPr>
                <w:lang w:eastAsia="en-US"/>
              </w:rPr>
              <w:t>TFI</w:t>
            </w:r>
          </w:p>
        </w:tc>
        <w:tc>
          <w:tcPr>
            <w:tcW w:w="1154" w:type="dxa"/>
            <w:tcBorders>
              <w:left w:val="single" w:sz="6" w:space="0" w:color="auto"/>
            </w:tcBorders>
          </w:tcPr>
          <w:p w14:paraId="6B056FC9" w14:textId="77777777" w:rsidR="00711444" w:rsidRPr="004D0DAA" w:rsidRDefault="00711444" w:rsidP="00AA2A4C">
            <w:pPr>
              <w:pStyle w:val="TAC"/>
              <w:rPr>
                <w:lang w:eastAsia="en-US"/>
              </w:rPr>
            </w:pPr>
            <w:r w:rsidRPr="004D0DAA">
              <w:rPr>
                <w:lang w:eastAsia="en-US"/>
              </w:rPr>
              <w:t>2</w:t>
            </w:r>
          </w:p>
        </w:tc>
      </w:tr>
      <w:tr w:rsidR="00711444" w:rsidRPr="004D0DAA" w14:paraId="38337055" w14:textId="77777777" w:rsidTr="00AA2A4C">
        <w:trPr>
          <w:cantSplit/>
          <w:jc w:val="center"/>
        </w:trPr>
        <w:tc>
          <w:tcPr>
            <w:tcW w:w="596" w:type="dxa"/>
            <w:tcBorders>
              <w:top w:val="single" w:sz="6" w:space="0" w:color="auto"/>
              <w:left w:val="single" w:sz="6" w:space="0" w:color="auto"/>
              <w:right w:val="single" w:sz="6" w:space="0" w:color="auto"/>
            </w:tcBorders>
          </w:tcPr>
          <w:p w14:paraId="3A06F83F" w14:textId="77777777" w:rsidR="00711444" w:rsidRPr="004D0DAA" w:rsidRDefault="00711444" w:rsidP="00AA2A4C">
            <w:pPr>
              <w:pStyle w:val="TAC"/>
              <w:rPr>
                <w:lang w:eastAsia="en-US"/>
              </w:rPr>
            </w:pPr>
            <w:r w:rsidRPr="004D0DAA">
              <w:rPr>
                <w:lang w:eastAsia="en-US"/>
              </w:rPr>
              <w:t xml:space="preserve">Spare  </w:t>
            </w:r>
          </w:p>
        </w:tc>
        <w:tc>
          <w:tcPr>
            <w:tcW w:w="2272" w:type="dxa"/>
            <w:gridSpan w:val="6"/>
            <w:tcBorders>
              <w:top w:val="single" w:sz="6" w:space="0" w:color="auto"/>
              <w:left w:val="single" w:sz="6" w:space="0" w:color="auto"/>
              <w:right w:val="single" w:sz="6" w:space="0" w:color="auto"/>
            </w:tcBorders>
          </w:tcPr>
          <w:p w14:paraId="386E6559" w14:textId="77777777" w:rsidR="00711444" w:rsidRPr="004D0DAA" w:rsidRDefault="00711444" w:rsidP="00AA2A4C">
            <w:pPr>
              <w:pStyle w:val="TAC"/>
              <w:rPr>
                <w:lang w:eastAsia="en-US"/>
              </w:rPr>
            </w:pPr>
            <w:r w:rsidRPr="004D0DAA">
              <w:rPr>
                <w:lang w:eastAsia="en-US"/>
              </w:rPr>
              <w:t>DCCE</w:t>
            </w:r>
          </w:p>
        </w:tc>
        <w:tc>
          <w:tcPr>
            <w:tcW w:w="1705" w:type="dxa"/>
            <w:gridSpan w:val="3"/>
            <w:tcBorders>
              <w:top w:val="single" w:sz="6" w:space="0" w:color="auto"/>
              <w:left w:val="single" w:sz="6" w:space="0" w:color="auto"/>
              <w:right w:val="single" w:sz="6" w:space="0" w:color="auto"/>
            </w:tcBorders>
          </w:tcPr>
          <w:p w14:paraId="7E32E6B6" w14:textId="77777777" w:rsidR="00711444" w:rsidRPr="004D0DAA" w:rsidRDefault="00711444" w:rsidP="00AA2A4C">
            <w:pPr>
              <w:pStyle w:val="TAC"/>
              <w:rPr>
                <w:lang w:eastAsia="en-US"/>
              </w:rPr>
            </w:pPr>
            <w:r w:rsidRPr="004D0DAA">
              <w:rPr>
                <w:lang w:eastAsia="en-US"/>
              </w:rPr>
              <w:t>CPS</w:t>
            </w:r>
          </w:p>
        </w:tc>
        <w:tc>
          <w:tcPr>
            <w:tcW w:w="1154" w:type="dxa"/>
            <w:tcBorders>
              <w:left w:val="single" w:sz="6" w:space="0" w:color="auto"/>
            </w:tcBorders>
          </w:tcPr>
          <w:p w14:paraId="01C9DD17" w14:textId="77777777" w:rsidR="00711444" w:rsidRPr="004D0DAA" w:rsidRDefault="00711444" w:rsidP="00AA2A4C">
            <w:pPr>
              <w:pStyle w:val="TAC"/>
              <w:rPr>
                <w:lang w:eastAsia="en-US"/>
              </w:rPr>
            </w:pPr>
            <w:r w:rsidRPr="004D0DAA">
              <w:rPr>
                <w:lang w:eastAsia="en-US"/>
              </w:rPr>
              <w:t>3</w:t>
            </w:r>
          </w:p>
        </w:tc>
      </w:tr>
      <w:tr w:rsidR="00711444" w:rsidRPr="004D0DAA" w14:paraId="340B4D68" w14:textId="77777777" w:rsidTr="00AA2A4C">
        <w:trPr>
          <w:cantSplit/>
          <w:jc w:val="center"/>
        </w:trPr>
        <w:tc>
          <w:tcPr>
            <w:tcW w:w="2297" w:type="dxa"/>
            <w:gridSpan w:val="5"/>
            <w:tcBorders>
              <w:top w:val="single" w:sz="6" w:space="0" w:color="auto"/>
              <w:left w:val="single" w:sz="6" w:space="0" w:color="auto"/>
              <w:right w:val="single" w:sz="6" w:space="0" w:color="auto"/>
            </w:tcBorders>
          </w:tcPr>
          <w:p w14:paraId="28693078" w14:textId="77777777" w:rsidR="00711444" w:rsidRPr="004D0DAA" w:rsidRDefault="00711444" w:rsidP="00AA2A4C">
            <w:pPr>
              <w:pStyle w:val="TAC"/>
              <w:rPr>
                <w:lang w:eastAsia="en-US"/>
              </w:rPr>
            </w:pPr>
            <w:r w:rsidRPr="004D0DAA">
              <w:rPr>
                <w:lang w:eastAsia="en-US"/>
              </w:rPr>
              <w:t>Spare</w:t>
            </w:r>
          </w:p>
        </w:tc>
        <w:tc>
          <w:tcPr>
            <w:tcW w:w="2276" w:type="dxa"/>
            <w:gridSpan w:val="5"/>
            <w:tcBorders>
              <w:top w:val="single" w:sz="6" w:space="0" w:color="auto"/>
              <w:left w:val="single" w:sz="6" w:space="0" w:color="auto"/>
              <w:bottom w:val="single" w:sz="6" w:space="0" w:color="auto"/>
              <w:right w:val="single" w:sz="6" w:space="0" w:color="auto"/>
            </w:tcBorders>
          </w:tcPr>
          <w:p w14:paraId="66752FED" w14:textId="77777777" w:rsidR="00711444" w:rsidRPr="004D0DAA" w:rsidRDefault="00711444" w:rsidP="00AA2A4C">
            <w:pPr>
              <w:pStyle w:val="TAC"/>
              <w:rPr>
                <w:lang w:eastAsia="en-US"/>
              </w:rPr>
            </w:pPr>
            <w:r w:rsidRPr="004D0DAA">
              <w:rPr>
                <w:lang w:eastAsia="en-US"/>
              </w:rPr>
              <w:t>rTLLI</w:t>
            </w:r>
          </w:p>
        </w:tc>
        <w:tc>
          <w:tcPr>
            <w:tcW w:w="1154" w:type="dxa"/>
            <w:tcBorders>
              <w:left w:val="single" w:sz="6" w:space="0" w:color="auto"/>
            </w:tcBorders>
          </w:tcPr>
          <w:p w14:paraId="38BC8A1D" w14:textId="77777777" w:rsidR="00711444" w:rsidRPr="004D0DAA" w:rsidRDefault="00711444" w:rsidP="00AA2A4C">
            <w:pPr>
              <w:pStyle w:val="TAC"/>
              <w:rPr>
                <w:lang w:eastAsia="en-US"/>
              </w:rPr>
            </w:pPr>
            <w:r w:rsidRPr="004D0DAA">
              <w:rPr>
                <w:lang w:eastAsia="en-US"/>
              </w:rPr>
              <w:t>4</w:t>
            </w:r>
          </w:p>
        </w:tc>
      </w:tr>
      <w:tr w:rsidR="00711444" w:rsidRPr="004D0DAA" w14:paraId="001893C3" w14:textId="77777777" w:rsidTr="00AA2A4C">
        <w:trPr>
          <w:cantSplit/>
          <w:jc w:val="center"/>
        </w:trPr>
        <w:tc>
          <w:tcPr>
            <w:tcW w:w="1730" w:type="dxa"/>
            <w:gridSpan w:val="4"/>
            <w:tcBorders>
              <w:top w:val="single" w:sz="6" w:space="0" w:color="auto"/>
              <w:right w:val="single" w:sz="6" w:space="0" w:color="auto"/>
            </w:tcBorders>
          </w:tcPr>
          <w:p w14:paraId="30A56493" w14:textId="77777777" w:rsidR="00711444" w:rsidRPr="004D0DAA" w:rsidRDefault="00711444" w:rsidP="00AA2A4C">
            <w:pPr>
              <w:pStyle w:val="TAC"/>
              <w:rPr>
                <w:lang w:eastAsia="en-US"/>
              </w:rPr>
            </w:pPr>
          </w:p>
        </w:tc>
        <w:tc>
          <w:tcPr>
            <w:tcW w:w="2843" w:type="dxa"/>
            <w:gridSpan w:val="6"/>
            <w:tcBorders>
              <w:top w:val="single" w:sz="6" w:space="0" w:color="auto"/>
              <w:bottom w:val="single" w:sz="4" w:space="0" w:color="auto"/>
              <w:right w:val="single" w:sz="6" w:space="0" w:color="auto"/>
            </w:tcBorders>
          </w:tcPr>
          <w:p w14:paraId="5410346B" w14:textId="77777777" w:rsidR="00711444" w:rsidRPr="004D0DAA" w:rsidRDefault="00711444" w:rsidP="00AA2A4C">
            <w:pPr>
              <w:pStyle w:val="TAC"/>
              <w:rPr>
                <w:lang w:eastAsia="en-US"/>
              </w:rPr>
            </w:pPr>
            <w:r w:rsidRPr="004D0DAA">
              <w:rPr>
                <w:lang w:eastAsia="en-US"/>
              </w:rPr>
              <w:t>Spare</w:t>
            </w:r>
          </w:p>
        </w:tc>
        <w:tc>
          <w:tcPr>
            <w:tcW w:w="1154" w:type="dxa"/>
            <w:tcBorders>
              <w:left w:val="single" w:sz="6" w:space="0" w:color="auto"/>
            </w:tcBorders>
          </w:tcPr>
          <w:p w14:paraId="0CB7BE9F" w14:textId="77777777" w:rsidR="00711444" w:rsidRPr="004D0DAA" w:rsidRDefault="00711444" w:rsidP="00AA2A4C">
            <w:pPr>
              <w:pStyle w:val="TAC"/>
              <w:rPr>
                <w:lang w:eastAsia="en-US"/>
              </w:rPr>
            </w:pPr>
            <w:r w:rsidRPr="004D0DAA">
              <w:rPr>
                <w:lang w:eastAsia="en-US"/>
              </w:rPr>
              <w:t>5</w:t>
            </w:r>
          </w:p>
        </w:tc>
      </w:tr>
    </w:tbl>
    <w:p w14:paraId="49E94395" w14:textId="77777777" w:rsidR="00711444" w:rsidRPr="004D0DAA" w:rsidRDefault="00711444" w:rsidP="00711444">
      <w:pPr>
        <w:pStyle w:val="NF"/>
      </w:pPr>
    </w:p>
    <w:p w14:paraId="14D27743" w14:textId="77777777" w:rsidR="00711444" w:rsidRPr="004D0DAA" w:rsidRDefault="00711444" w:rsidP="00711444">
      <w:pPr>
        <w:pStyle w:val="TF"/>
        <w:rPr>
          <w:lang w:eastAsia="ko-KR"/>
        </w:rPr>
      </w:pPr>
      <w:r w:rsidRPr="004D0DAA">
        <w:t>Figure 10.3a.4.2.3: EC-GSM-IoT uplink RLC data block header for MCS-5 and MCS-6</w:t>
      </w:r>
    </w:p>
    <w:p w14:paraId="6935F511" w14:textId="77777777" w:rsidR="00711444" w:rsidRPr="004D0DAA" w:rsidRDefault="00711444" w:rsidP="00711444">
      <w:pPr>
        <w:pStyle w:val="Heading4"/>
      </w:pPr>
      <w:bookmarkStart w:id="535" w:name="_Toc516669716"/>
      <w:r w:rsidRPr="004D0DAA">
        <w:t>10.3a.4.3</w:t>
      </w:r>
      <w:r w:rsidRPr="004D0DAA">
        <w:tab/>
        <w:t>Header type 3 : header for MCS-4, MCS-3, MCS-2 and MCS-1</w:t>
      </w:r>
      <w:bookmarkEnd w:id="535"/>
      <w:r w:rsidRPr="004D0DAA">
        <w:t xml:space="preserve"> </w:t>
      </w:r>
    </w:p>
    <w:p w14:paraId="56078210" w14:textId="77777777" w:rsidR="00711444" w:rsidRPr="004D0DAA" w:rsidRDefault="00711444" w:rsidP="00711444">
      <w:pPr>
        <w:ind w:left="90"/>
      </w:pPr>
      <w:r w:rsidRPr="004D0DAA">
        <w:t>The EGPRS combined uplink RLC/MAC header for MCS</w:t>
      </w:r>
      <w:r w:rsidRPr="004D0DAA">
        <w:noBreakHyphen/>
        <w:t>1, MCS</w:t>
      </w:r>
      <w:r w:rsidRPr="004D0DAA">
        <w:noBreakHyphen/>
        <w:t>2, MCS</w:t>
      </w:r>
      <w:r w:rsidRPr="004D0DAA">
        <w:noBreakHyphen/>
        <w:t>3 and MCS</w:t>
      </w:r>
      <w:r w:rsidRPr="004D0DAA">
        <w:noBreakHyphen/>
        <w:t>4 (header type 3) shall be formatted according to figure 10.3a.4.3.1.</w:t>
      </w:r>
    </w:p>
    <w:tbl>
      <w:tblPr>
        <w:tblW w:w="0" w:type="auto"/>
        <w:jc w:val="center"/>
        <w:tblLayout w:type="fixed"/>
        <w:tblCellMar>
          <w:left w:w="28" w:type="dxa"/>
          <w:right w:w="28" w:type="dxa"/>
        </w:tblCellMar>
        <w:tblLook w:val="0000" w:firstRow="0" w:lastRow="0" w:firstColumn="0" w:lastColumn="0" w:noHBand="0" w:noVBand="0"/>
      </w:tblPr>
      <w:tblGrid>
        <w:gridCol w:w="585"/>
        <w:gridCol w:w="567"/>
        <w:gridCol w:w="577"/>
        <w:gridCol w:w="567"/>
        <w:gridCol w:w="567"/>
        <w:gridCol w:w="567"/>
        <w:gridCol w:w="567"/>
        <w:gridCol w:w="567"/>
        <w:gridCol w:w="1134"/>
      </w:tblGrid>
      <w:tr w:rsidR="00711444" w:rsidRPr="004D0DAA" w14:paraId="0BB67808" w14:textId="77777777" w:rsidTr="00AA2A4C">
        <w:tblPrEx>
          <w:tblCellMar>
            <w:top w:w="0" w:type="dxa"/>
            <w:bottom w:w="0" w:type="dxa"/>
          </w:tblCellMar>
        </w:tblPrEx>
        <w:trPr>
          <w:cantSplit/>
          <w:jc w:val="center"/>
        </w:trPr>
        <w:tc>
          <w:tcPr>
            <w:tcW w:w="4564" w:type="dxa"/>
            <w:gridSpan w:val="8"/>
          </w:tcPr>
          <w:p w14:paraId="7915876F" w14:textId="77777777" w:rsidR="00711444" w:rsidRPr="004D0DAA" w:rsidRDefault="00711444" w:rsidP="00AA2A4C">
            <w:pPr>
              <w:pStyle w:val="TAC"/>
              <w:rPr>
                <w:lang w:eastAsia="en-US"/>
              </w:rPr>
            </w:pPr>
            <w:r w:rsidRPr="004D0DAA">
              <w:rPr>
                <w:lang w:eastAsia="en-US"/>
              </w:rPr>
              <w:t>Bit</w:t>
            </w:r>
          </w:p>
        </w:tc>
        <w:tc>
          <w:tcPr>
            <w:tcW w:w="1134" w:type="dxa"/>
          </w:tcPr>
          <w:p w14:paraId="49F9B58B" w14:textId="77777777" w:rsidR="00711444" w:rsidRPr="004D0DAA" w:rsidRDefault="00711444" w:rsidP="00AA2A4C">
            <w:pPr>
              <w:pStyle w:val="TAC"/>
              <w:rPr>
                <w:lang w:eastAsia="en-US"/>
              </w:rPr>
            </w:pPr>
          </w:p>
        </w:tc>
      </w:tr>
      <w:tr w:rsidR="00711444" w:rsidRPr="004D0DAA" w14:paraId="77EAA91A" w14:textId="77777777" w:rsidTr="00AA2A4C">
        <w:tblPrEx>
          <w:tblCellMar>
            <w:top w:w="0" w:type="dxa"/>
            <w:bottom w:w="0" w:type="dxa"/>
          </w:tblCellMar>
        </w:tblPrEx>
        <w:trPr>
          <w:cantSplit/>
          <w:jc w:val="center"/>
        </w:trPr>
        <w:tc>
          <w:tcPr>
            <w:tcW w:w="585" w:type="dxa"/>
          </w:tcPr>
          <w:p w14:paraId="722778E9" w14:textId="77777777" w:rsidR="00711444" w:rsidRPr="004D0DAA" w:rsidRDefault="00711444" w:rsidP="00AA2A4C">
            <w:pPr>
              <w:pStyle w:val="TAC"/>
              <w:rPr>
                <w:lang w:eastAsia="en-US"/>
              </w:rPr>
            </w:pPr>
            <w:r w:rsidRPr="004D0DAA">
              <w:rPr>
                <w:lang w:eastAsia="en-US"/>
              </w:rPr>
              <w:t>8</w:t>
            </w:r>
          </w:p>
        </w:tc>
        <w:tc>
          <w:tcPr>
            <w:tcW w:w="567" w:type="dxa"/>
          </w:tcPr>
          <w:p w14:paraId="6F5670B6" w14:textId="77777777" w:rsidR="00711444" w:rsidRPr="004D0DAA" w:rsidRDefault="00711444" w:rsidP="00AA2A4C">
            <w:pPr>
              <w:pStyle w:val="TAC"/>
              <w:rPr>
                <w:lang w:eastAsia="en-US"/>
              </w:rPr>
            </w:pPr>
            <w:r w:rsidRPr="004D0DAA">
              <w:rPr>
                <w:lang w:eastAsia="en-US"/>
              </w:rPr>
              <w:t>7</w:t>
            </w:r>
          </w:p>
        </w:tc>
        <w:tc>
          <w:tcPr>
            <w:tcW w:w="577" w:type="dxa"/>
          </w:tcPr>
          <w:p w14:paraId="622EEFE0" w14:textId="77777777" w:rsidR="00711444" w:rsidRPr="004D0DAA" w:rsidRDefault="00711444" w:rsidP="00AA2A4C">
            <w:pPr>
              <w:pStyle w:val="TAC"/>
              <w:rPr>
                <w:lang w:eastAsia="en-US"/>
              </w:rPr>
            </w:pPr>
            <w:r w:rsidRPr="004D0DAA">
              <w:rPr>
                <w:lang w:eastAsia="en-US"/>
              </w:rPr>
              <w:t>6</w:t>
            </w:r>
          </w:p>
        </w:tc>
        <w:tc>
          <w:tcPr>
            <w:tcW w:w="567" w:type="dxa"/>
          </w:tcPr>
          <w:p w14:paraId="3DB544A9" w14:textId="77777777" w:rsidR="00711444" w:rsidRPr="004D0DAA" w:rsidRDefault="00711444" w:rsidP="00AA2A4C">
            <w:pPr>
              <w:pStyle w:val="TAC"/>
              <w:rPr>
                <w:lang w:eastAsia="en-US"/>
              </w:rPr>
            </w:pPr>
            <w:r w:rsidRPr="004D0DAA">
              <w:rPr>
                <w:lang w:eastAsia="en-US"/>
              </w:rPr>
              <w:t>5</w:t>
            </w:r>
          </w:p>
        </w:tc>
        <w:tc>
          <w:tcPr>
            <w:tcW w:w="567" w:type="dxa"/>
          </w:tcPr>
          <w:p w14:paraId="6E17CA87" w14:textId="77777777" w:rsidR="00711444" w:rsidRPr="004D0DAA" w:rsidRDefault="00711444" w:rsidP="00AA2A4C">
            <w:pPr>
              <w:pStyle w:val="TAC"/>
              <w:rPr>
                <w:lang w:eastAsia="en-US"/>
              </w:rPr>
            </w:pPr>
            <w:r w:rsidRPr="004D0DAA">
              <w:rPr>
                <w:lang w:eastAsia="en-US"/>
              </w:rPr>
              <w:t>4</w:t>
            </w:r>
          </w:p>
        </w:tc>
        <w:tc>
          <w:tcPr>
            <w:tcW w:w="567" w:type="dxa"/>
          </w:tcPr>
          <w:p w14:paraId="21C193A8" w14:textId="77777777" w:rsidR="00711444" w:rsidRPr="004D0DAA" w:rsidRDefault="00711444" w:rsidP="00AA2A4C">
            <w:pPr>
              <w:pStyle w:val="TAC"/>
              <w:rPr>
                <w:lang w:eastAsia="en-US"/>
              </w:rPr>
            </w:pPr>
            <w:r w:rsidRPr="004D0DAA">
              <w:rPr>
                <w:lang w:eastAsia="en-US"/>
              </w:rPr>
              <w:t>3</w:t>
            </w:r>
          </w:p>
        </w:tc>
        <w:tc>
          <w:tcPr>
            <w:tcW w:w="567" w:type="dxa"/>
          </w:tcPr>
          <w:p w14:paraId="1A4A5C31" w14:textId="77777777" w:rsidR="00711444" w:rsidRPr="004D0DAA" w:rsidRDefault="00711444" w:rsidP="00AA2A4C">
            <w:pPr>
              <w:pStyle w:val="TAC"/>
              <w:rPr>
                <w:lang w:eastAsia="en-US"/>
              </w:rPr>
            </w:pPr>
            <w:r w:rsidRPr="004D0DAA">
              <w:rPr>
                <w:lang w:eastAsia="en-US"/>
              </w:rPr>
              <w:t>2</w:t>
            </w:r>
          </w:p>
        </w:tc>
        <w:tc>
          <w:tcPr>
            <w:tcW w:w="567" w:type="dxa"/>
          </w:tcPr>
          <w:p w14:paraId="31BF7435" w14:textId="77777777" w:rsidR="00711444" w:rsidRPr="004D0DAA" w:rsidRDefault="00711444" w:rsidP="00AA2A4C">
            <w:pPr>
              <w:pStyle w:val="TAC"/>
              <w:rPr>
                <w:lang w:eastAsia="en-US"/>
              </w:rPr>
            </w:pPr>
            <w:r w:rsidRPr="004D0DAA">
              <w:rPr>
                <w:lang w:eastAsia="en-US"/>
              </w:rPr>
              <w:t>1</w:t>
            </w:r>
          </w:p>
        </w:tc>
        <w:tc>
          <w:tcPr>
            <w:tcW w:w="1134" w:type="dxa"/>
          </w:tcPr>
          <w:p w14:paraId="18D9D5C5" w14:textId="77777777" w:rsidR="00711444" w:rsidRPr="004D0DAA" w:rsidRDefault="00711444" w:rsidP="00AA2A4C">
            <w:pPr>
              <w:pStyle w:val="TAC"/>
              <w:rPr>
                <w:lang w:eastAsia="en-US"/>
              </w:rPr>
            </w:pPr>
            <w:r w:rsidRPr="004D0DAA">
              <w:rPr>
                <w:lang w:eastAsia="en-US"/>
              </w:rPr>
              <w:t>Octet</w:t>
            </w:r>
          </w:p>
        </w:tc>
      </w:tr>
      <w:tr w:rsidR="00711444" w:rsidRPr="004D0DAA" w14:paraId="295724BE" w14:textId="77777777" w:rsidTr="00AA2A4C">
        <w:tblPrEx>
          <w:tblCellMar>
            <w:top w:w="0" w:type="dxa"/>
            <w:bottom w:w="0" w:type="dxa"/>
          </w:tblCellMar>
        </w:tblPrEx>
        <w:trPr>
          <w:cantSplit/>
          <w:jc w:val="center"/>
        </w:trPr>
        <w:tc>
          <w:tcPr>
            <w:tcW w:w="1152" w:type="dxa"/>
            <w:gridSpan w:val="2"/>
            <w:tcBorders>
              <w:top w:val="single" w:sz="6" w:space="0" w:color="auto"/>
              <w:left w:val="single" w:sz="6" w:space="0" w:color="auto"/>
              <w:bottom w:val="single" w:sz="6" w:space="0" w:color="auto"/>
            </w:tcBorders>
          </w:tcPr>
          <w:p w14:paraId="00662FAD" w14:textId="77777777" w:rsidR="00711444" w:rsidRPr="004D0DAA" w:rsidRDefault="00711444" w:rsidP="00AA2A4C">
            <w:pPr>
              <w:pStyle w:val="TAC"/>
              <w:rPr>
                <w:lang w:eastAsia="en-US"/>
              </w:rPr>
            </w:pPr>
            <w:r w:rsidRPr="004D0DAA">
              <w:rPr>
                <w:lang w:eastAsia="en-US"/>
              </w:rPr>
              <w:t>TFI</w:t>
            </w:r>
          </w:p>
        </w:tc>
        <w:tc>
          <w:tcPr>
            <w:tcW w:w="2278" w:type="dxa"/>
            <w:gridSpan w:val="4"/>
            <w:tcBorders>
              <w:top w:val="single" w:sz="6" w:space="0" w:color="auto"/>
              <w:left w:val="single" w:sz="6" w:space="0" w:color="auto"/>
              <w:bottom w:val="single" w:sz="6" w:space="0" w:color="auto"/>
            </w:tcBorders>
          </w:tcPr>
          <w:p w14:paraId="6B3FC29B"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0819AE72" w14:textId="77777777" w:rsidR="00711444" w:rsidRPr="004D0DAA" w:rsidRDefault="00711444" w:rsidP="00AA2A4C">
            <w:pPr>
              <w:pStyle w:val="TAC"/>
              <w:rPr>
                <w:lang w:eastAsia="en-US"/>
              </w:rPr>
            </w:pPr>
            <w:r w:rsidRPr="004D0DAA">
              <w:rPr>
                <w:lang w:eastAsia="en-US"/>
              </w:rPr>
              <w:t>SI</w:t>
            </w:r>
          </w:p>
        </w:tc>
        <w:tc>
          <w:tcPr>
            <w:tcW w:w="567" w:type="dxa"/>
            <w:tcBorders>
              <w:top w:val="single" w:sz="6" w:space="0" w:color="auto"/>
              <w:left w:val="single" w:sz="6" w:space="0" w:color="auto"/>
              <w:bottom w:val="single" w:sz="6" w:space="0" w:color="auto"/>
              <w:right w:val="single" w:sz="6" w:space="0" w:color="auto"/>
            </w:tcBorders>
          </w:tcPr>
          <w:p w14:paraId="5C46101F" w14:textId="77777777" w:rsidR="00711444" w:rsidRPr="004D0DAA" w:rsidRDefault="00711444" w:rsidP="00AA2A4C">
            <w:pPr>
              <w:pStyle w:val="TAC"/>
              <w:rPr>
                <w:lang w:eastAsia="en-US"/>
              </w:rPr>
            </w:pPr>
            <w:r w:rsidRPr="004D0DAA">
              <w:rPr>
                <w:lang w:eastAsia="en-US"/>
              </w:rPr>
              <w:t>R</w:t>
            </w:r>
          </w:p>
        </w:tc>
        <w:tc>
          <w:tcPr>
            <w:tcW w:w="1134" w:type="dxa"/>
            <w:tcBorders>
              <w:left w:val="single" w:sz="6" w:space="0" w:color="auto"/>
            </w:tcBorders>
          </w:tcPr>
          <w:p w14:paraId="06E564C2" w14:textId="77777777" w:rsidR="00711444" w:rsidRPr="004D0DAA" w:rsidRDefault="00711444" w:rsidP="00AA2A4C">
            <w:pPr>
              <w:pStyle w:val="TAC"/>
              <w:rPr>
                <w:lang w:eastAsia="en-US"/>
              </w:rPr>
            </w:pPr>
            <w:r w:rsidRPr="004D0DAA">
              <w:rPr>
                <w:lang w:eastAsia="en-US"/>
              </w:rPr>
              <w:t>1</w:t>
            </w:r>
          </w:p>
        </w:tc>
      </w:tr>
      <w:tr w:rsidR="00711444" w:rsidRPr="004D0DAA" w14:paraId="3EDAD009" w14:textId="77777777" w:rsidTr="00AA2A4C">
        <w:tblPrEx>
          <w:tblCellMar>
            <w:top w:w="0" w:type="dxa"/>
            <w:bottom w:w="0" w:type="dxa"/>
          </w:tblCellMar>
        </w:tblPrEx>
        <w:trPr>
          <w:cantSplit/>
          <w:jc w:val="center"/>
        </w:trPr>
        <w:tc>
          <w:tcPr>
            <w:tcW w:w="2863" w:type="dxa"/>
            <w:gridSpan w:val="5"/>
            <w:tcBorders>
              <w:left w:val="single" w:sz="6" w:space="0" w:color="auto"/>
              <w:right w:val="single" w:sz="6" w:space="0" w:color="auto"/>
            </w:tcBorders>
          </w:tcPr>
          <w:p w14:paraId="0F2964B1" w14:textId="77777777" w:rsidR="00711444" w:rsidRPr="004D0DAA" w:rsidRDefault="00711444" w:rsidP="00AA2A4C">
            <w:pPr>
              <w:pStyle w:val="TAC"/>
              <w:rPr>
                <w:lang w:eastAsia="en-US"/>
              </w:rPr>
            </w:pPr>
            <w:r w:rsidRPr="004D0DAA">
              <w:rPr>
                <w:lang w:eastAsia="en-US"/>
              </w:rPr>
              <w:t>BSN1</w:t>
            </w:r>
          </w:p>
        </w:tc>
        <w:tc>
          <w:tcPr>
            <w:tcW w:w="1701" w:type="dxa"/>
            <w:gridSpan w:val="3"/>
            <w:tcBorders>
              <w:left w:val="single" w:sz="6" w:space="0" w:color="auto"/>
              <w:right w:val="single" w:sz="6" w:space="0" w:color="auto"/>
            </w:tcBorders>
          </w:tcPr>
          <w:p w14:paraId="4208A1B5" w14:textId="77777777" w:rsidR="00711444" w:rsidRPr="004D0DAA" w:rsidRDefault="00711444" w:rsidP="00AA2A4C">
            <w:pPr>
              <w:pStyle w:val="TAC"/>
              <w:rPr>
                <w:lang w:eastAsia="en-US"/>
              </w:rPr>
            </w:pPr>
            <w:r w:rsidRPr="004D0DAA">
              <w:rPr>
                <w:lang w:eastAsia="en-US"/>
              </w:rPr>
              <w:t>TFI</w:t>
            </w:r>
          </w:p>
        </w:tc>
        <w:tc>
          <w:tcPr>
            <w:tcW w:w="1134" w:type="dxa"/>
            <w:tcBorders>
              <w:left w:val="single" w:sz="6" w:space="0" w:color="auto"/>
            </w:tcBorders>
          </w:tcPr>
          <w:p w14:paraId="60307A90" w14:textId="77777777" w:rsidR="00711444" w:rsidRPr="004D0DAA" w:rsidRDefault="00711444" w:rsidP="00AA2A4C">
            <w:pPr>
              <w:pStyle w:val="TAC"/>
              <w:rPr>
                <w:lang w:eastAsia="en-US"/>
              </w:rPr>
            </w:pPr>
            <w:r w:rsidRPr="004D0DAA">
              <w:rPr>
                <w:lang w:eastAsia="en-US"/>
              </w:rPr>
              <w:t>2</w:t>
            </w:r>
          </w:p>
        </w:tc>
      </w:tr>
      <w:tr w:rsidR="00711444" w:rsidRPr="004D0DAA" w14:paraId="31D019A3" w14:textId="77777777" w:rsidTr="00AA2A4C">
        <w:tblPrEx>
          <w:tblCellMar>
            <w:top w:w="0" w:type="dxa"/>
            <w:bottom w:w="0" w:type="dxa"/>
          </w:tblCellMar>
        </w:tblPrEx>
        <w:trPr>
          <w:cantSplit/>
          <w:jc w:val="center"/>
        </w:trPr>
        <w:tc>
          <w:tcPr>
            <w:tcW w:w="1152" w:type="dxa"/>
            <w:gridSpan w:val="2"/>
            <w:tcBorders>
              <w:top w:val="single" w:sz="6" w:space="0" w:color="auto"/>
              <w:left w:val="single" w:sz="6" w:space="0" w:color="auto"/>
              <w:right w:val="single" w:sz="6" w:space="0" w:color="auto"/>
            </w:tcBorders>
          </w:tcPr>
          <w:p w14:paraId="6B6BCE6C" w14:textId="77777777" w:rsidR="00711444" w:rsidRPr="004D0DAA" w:rsidRDefault="00711444" w:rsidP="00AA2A4C">
            <w:pPr>
              <w:pStyle w:val="TAC"/>
              <w:rPr>
                <w:lang w:eastAsia="en-US"/>
              </w:rPr>
            </w:pPr>
            <w:r w:rsidRPr="004D0DAA">
              <w:rPr>
                <w:lang w:eastAsia="en-US"/>
              </w:rPr>
              <w:t>CPS</w:t>
            </w:r>
          </w:p>
        </w:tc>
        <w:tc>
          <w:tcPr>
            <w:tcW w:w="3412" w:type="dxa"/>
            <w:gridSpan w:val="6"/>
            <w:tcBorders>
              <w:top w:val="single" w:sz="6" w:space="0" w:color="auto"/>
              <w:left w:val="single" w:sz="6" w:space="0" w:color="auto"/>
              <w:right w:val="single" w:sz="6" w:space="0" w:color="auto"/>
            </w:tcBorders>
          </w:tcPr>
          <w:p w14:paraId="21DAE751" w14:textId="77777777" w:rsidR="00711444" w:rsidRPr="004D0DAA" w:rsidRDefault="00711444" w:rsidP="00AA2A4C">
            <w:pPr>
              <w:pStyle w:val="TAC"/>
              <w:rPr>
                <w:lang w:eastAsia="en-US"/>
              </w:rPr>
            </w:pPr>
            <w:r w:rsidRPr="004D0DAA">
              <w:rPr>
                <w:lang w:eastAsia="en-US"/>
              </w:rPr>
              <w:t>BSN1</w:t>
            </w:r>
          </w:p>
        </w:tc>
        <w:tc>
          <w:tcPr>
            <w:tcW w:w="1134" w:type="dxa"/>
            <w:tcBorders>
              <w:left w:val="single" w:sz="6" w:space="0" w:color="auto"/>
            </w:tcBorders>
          </w:tcPr>
          <w:p w14:paraId="65E8DF6C" w14:textId="77777777" w:rsidR="00711444" w:rsidRPr="004D0DAA" w:rsidRDefault="00711444" w:rsidP="00AA2A4C">
            <w:pPr>
              <w:pStyle w:val="TAC"/>
              <w:rPr>
                <w:lang w:eastAsia="en-US"/>
              </w:rPr>
            </w:pPr>
            <w:r w:rsidRPr="004D0DAA">
              <w:rPr>
                <w:lang w:eastAsia="en-US"/>
              </w:rPr>
              <w:t>3</w:t>
            </w:r>
          </w:p>
        </w:tc>
      </w:tr>
      <w:tr w:rsidR="00711444" w:rsidRPr="004D0DAA" w14:paraId="05619D87" w14:textId="77777777" w:rsidTr="00AA2A4C">
        <w:tblPrEx>
          <w:tblCellMar>
            <w:top w:w="0" w:type="dxa"/>
            <w:bottom w:w="0" w:type="dxa"/>
          </w:tblCellMar>
        </w:tblPrEx>
        <w:trPr>
          <w:cantSplit/>
          <w:jc w:val="center"/>
        </w:trPr>
        <w:tc>
          <w:tcPr>
            <w:tcW w:w="585" w:type="dxa"/>
            <w:tcBorders>
              <w:top w:val="single" w:sz="6" w:space="0" w:color="auto"/>
              <w:right w:val="single" w:sz="6" w:space="0" w:color="auto"/>
            </w:tcBorders>
          </w:tcPr>
          <w:p w14:paraId="17744F2B" w14:textId="77777777" w:rsidR="00711444" w:rsidRPr="004D0DAA" w:rsidRDefault="00711444" w:rsidP="00AA2A4C"/>
        </w:tc>
        <w:tc>
          <w:tcPr>
            <w:tcW w:w="567" w:type="dxa"/>
            <w:tcBorders>
              <w:top w:val="single" w:sz="6" w:space="0" w:color="auto"/>
              <w:left w:val="single" w:sz="6" w:space="0" w:color="auto"/>
              <w:bottom w:val="single" w:sz="6" w:space="0" w:color="auto"/>
              <w:right w:val="single" w:sz="6" w:space="0" w:color="auto"/>
            </w:tcBorders>
          </w:tcPr>
          <w:p w14:paraId="640DED00" w14:textId="77777777" w:rsidR="00711444" w:rsidRPr="004D0DAA" w:rsidRDefault="00711444" w:rsidP="00AA2A4C">
            <w:pPr>
              <w:pStyle w:val="TAC"/>
              <w:rPr>
                <w:lang w:eastAsia="en-US"/>
              </w:rPr>
            </w:pPr>
            <w:r w:rsidRPr="004D0DAA">
              <w:rPr>
                <w:lang w:eastAsia="en-US"/>
              </w:rPr>
              <w:t>Spare</w:t>
            </w:r>
          </w:p>
        </w:tc>
        <w:tc>
          <w:tcPr>
            <w:tcW w:w="577" w:type="dxa"/>
            <w:tcBorders>
              <w:top w:val="single" w:sz="6" w:space="0" w:color="auto"/>
              <w:left w:val="single" w:sz="6" w:space="0" w:color="auto"/>
              <w:bottom w:val="single" w:sz="6" w:space="0" w:color="auto"/>
              <w:right w:val="single" w:sz="6" w:space="0" w:color="auto"/>
            </w:tcBorders>
          </w:tcPr>
          <w:p w14:paraId="054A04AD" w14:textId="77777777" w:rsidR="00711444" w:rsidRPr="004D0DAA" w:rsidRDefault="00711444" w:rsidP="00AA2A4C">
            <w:pPr>
              <w:pStyle w:val="TAC"/>
              <w:rPr>
                <w:lang w:eastAsia="en-US"/>
              </w:rPr>
            </w:pPr>
            <w:r w:rsidRPr="004D0DAA">
              <w:rPr>
                <w:lang w:eastAsia="en-US"/>
              </w:rPr>
              <w:t>PI</w:t>
            </w:r>
          </w:p>
        </w:tc>
        <w:tc>
          <w:tcPr>
            <w:tcW w:w="567" w:type="dxa"/>
            <w:tcBorders>
              <w:top w:val="single" w:sz="6" w:space="0" w:color="auto"/>
              <w:left w:val="single" w:sz="6" w:space="0" w:color="auto"/>
              <w:bottom w:val="single" w:sz="6" w:space="0" w:color="auto"/>
              <w:right w:val="single" w:sz="6" w:space="0" w:color="auto"/>
            </w:tcBorders>
          </w:tcPr>
          <w:p w14:paraId="03A21500" w14:textId="77777777" w:rsidR="00711444" w:rsidRPr="004D0DAA" w:rsidRDefault="00711444" w:rsidP="00AA2A4C">
            <w:pPr>
              <w:pStyle w:val="TAC"/>
              <w:rPr>
                <w:lang w:eastAsia="en-US"/>
              </w:rPr>
            </w:pPr>
            <w:r w:rsidRPr="004D0DAA">
              <w:rPr>
                <w:lang w:eastAsia="en-US"/>
              </w:rPr>
              <w:t>RSB</w:t>
            </w:r>
          </w:p>
        </w:tc>
        <w:tc>
          <w:tcPr>
            <w:tcW w:w="1134" w:type="dxa"/>
            <w:gridSpan w:val="2"/>
            <w:tcBorders>
              <w:top w:val="single" w:sz="6" w:space="0" w:color="auto"/>
              <w:left w:val="single" w:sz="6" w:space="0" w:color="auto"/>
              <w:bottom w:val="single" w:sz="6" w:space="0" w:color="auto"/>
              <w:right w:val="single" w:sz="6" w:space="0" w:color="auto"/>
            </w:tcBorders>
          </w:tcPr>
          <w:p w14:paraId="7C0C64A8" w14:textId="77777777" w:rsidR="00711444" w:rsidRPr="004D0DAA" w:rsidRDefault="00711444" w:rsidP="00AA2A4C">
            <w:pPr>
              <w:pStyle w:val="TAC"/>
              <w:rPr>
                <w:lang w:eastAsia="en-US"/>
              </w:rPr>
            </w:pPr>
            <w:r w:rsidRPr="004D0DAA">
              <w:rPr>
                <w:lang w:eastAsia="en-US"/>
              </w:rPr>
              <w:t>SPB</w:t>
            </w:r>
          </w:p>
        </w:tc>
        <w:tc>
          <w:tcPr>
            <w:tcW w:w="1134" w:type="dxa"/>
            <w:gridSpan w:val="2"/>
            <w:tcBorders>
              <w:top w:val="single" w:sz="6" w:space="0" w:color="auto"/>
              <w:left w:val="single" w:sz="6" w:space="0" w:color="auto"/>
              <w:bottom w:val="single" w:sz="6" w:space="0" w:color="auto"/>
              <w:right w:val="single" w:sz="6" w:space="0" w:color="auto"/>
            </w:tcBorders>
          </w:tcPr>
          <w:p w14:paraId="027E8210" w14:textId="77777777" w:rsidR="00711444" w:rsidRPr="004D0DAA" w:rsidRDefault="00711444" w:rsidP="00AA2A4C">
            <w:pPr>
              <w:pStyle w:val="TAC"/>
              <w:rPr>
                <w:lang w:eastAsia="en-US"/>
              </w:rPr>
            </w:pPr>
            <w:r w:rsidRPr="004D0DAA">
              <w:rPr>
                <w:lang w:eastAsia="en-US"/>
              </w:rPr>
              <w:t>CPS</w:t>
            </w:r>
          </w:p>
        </w:tc>
        <w:tc>
          <w:tcPr>
            <w:tcW w:w="1134" w:type="dxa"/>
            <w:tcBorders>
              <w:left w:val="single" w:sz="6" w:space="0" w:color="auto"/>
            </w:tcBorders>
          </w:tcPr>
          <w:p w14:paraId="4A504B32" w14:textId="77777777" w:rsidR="00711444" w:rsidRPr="004D0DAA" w:rsidRDefault="00711444" w:rsidP="00AA2A4C">
            <w:pPr>
              <w:pStyle w:val="TAC"/>
              <w:rPr>
                <w:lang w:eastAsia="en-US"/>
              </w:rPr>
            </w:pPr>
            <w:r w:rsidRPr="004D0DAA">
              <w:rPr>
                <w:lang w:eastAsia="en-US"/>
              </w:rPr>
              <w:t>4</w:t>
            </w:r>
          </w:p>
        </w:tc>
      </w:tr>
    </w:tbl>
    <w:p w14:paraId="0CE4FECA" w14:textId="77777777" w:rsidR="00711444" w:rsidRPr="004D0DAA" w:rsidRDefault="00711444" w:rsidP="00711444">
      <w:pPr>
        <w:pStyle w:val="NF"/>
      </w:pPr>
    </w:p>
    <w:p w14:paraId="480F4E72" w14:textId="77777777" w:rsidR="00711444" w:rsidRPr="004D0DAA" w:rsidRDefault="00711444" w:rsidP="00711444">
      <w:pPr>
        <w:pStyle w:val="TF"/>
      </w:pPr>
      <w:r w:rsidRPr="004D0DAA">
        <w:t xml:space="preserve">Figure 10.3a.4.3.1: EGPRS uplink RLC data block header </w:t>
      </w:r>
      <w:r w:rsidRPr="004D0DAA">
        <w:rPr>
          <w:lang w:eastAsia="ko-KR"/>
        </w:rPr>
        <w:t>(</w:t>
      </w:r>
      <w:r w:rsidRPr="004D0DAA">
        <w:rPr>
          <w:rFonts w:hint="eastAsia"/>
          <w:lang w:eastAsia="ko-KR"/>
        </w:rPr>
        <w:t>FANR</w:t>
      </w:r>
      <w:r w:rsidRPr="004D0DAA">
        <w:rPr>
          <w:lang w:eastAsia="ko-KR"/>
        </w:rPr>
        <w:t xml:space="preserve"> not activated)</w:t>
      </w:r>
      <w:r w:rsidRPr="004D0DAA">
        <w:br/>
        <w:t>for MCS-1, MCS-2, MCS-3 and MCS-4</w:t>
      </w:r>
    </w:p>
    <w:p w14:paraId="0E4134B3" w14:textId="77777777" w:rsidR="00711444" w:rsidRPr="004D0DAA" w:rsidRDefault="00711444" w:rsidP="00711444">
      <w:pPr>
        <w:ind w:left="90"/>
      </w:pPr>
      <w:r w:rsidRPr="004D0DAA">
        <w:rPr>
          <w:rFonts w:hint="eastAsia"/>
          <w:lang w:eastAsia="ko-KR"/>
        </w:rPr>
        <w:t xml:space="preserve">For an EGPRS TBF </w:t>
      </w:r>
      <w:r w:rsidRPr="004D0DAA">
        <w:rPr>
          <w:lang w:eastAsia="ko-KR"/>
        </w:rPr>
        <w:t>with</w:t>
      </w:r>
      <w:r w:rsidRPr="004D0DAA">
        <w:rPr>
          <w:rFonts w:hint="eastAsia"/>
          <w:lang w:eastAsia="ko-KR"/>
        </w:rPr>
        <w:t xml:space="preserve"> FANR </w:t>
      </w:r>
      <w:r w:rsidRPr="004D0DAA">
        <w:rPr>
          <w:lang w:eastAsia="ko-KR"/>
        </w:rPr>
        <w:t>activated</w:t>
      </w:r>
      <w:r w:rsidRPr="004D0DAA">
        <w:rPr>
          <w:rFonts w:hint="eastAsia"/>
          <w:lang w:eastAsia="ko-KR"/>
        </w:rPr>
        <w:t xml:space="preserve"> and for </w:t>
      </w:r>
      <w:r w:rsidRPr="004D0DAA">
        <w:rPr>
          <w:lang w:eastAsia="ko-KR"/>
        </w:rPr>
        <w:t xml:space="preserve">an </w:t>
      </w:r>
      <w:r w:rsidRPr="004D0DAA">
        <w:rPr>
          <w:rFonts w:hint="eastAsia"/>
          <w:lang w:eastAsia="ko-KR"/>
        </w:rPr>
        <w:t>EGPRS2</w:t>
      </w:r>
      <w:r w:rsidRPr="004D0DAA">
        <w:rPr>
          <w:lang w:eastAsia="ko-KR"/>
        </w:rPr>
        <w:t xml:space="preserve"> TBF</w:t>
      </w:r>
      <w:r w:rsidRPr="004D0DAA">
        <w:t>, the uplink RLC/MAC header for MCS-1, MCS-2, MCS-3 and MCS-4 shall be formatted according to figure 10.3a.4.3.2.</w:t>
      </w:r>
    </w:p>
    <w:tbl>
      <w:tblPr>
        <w:tblW w:w="0" w:type="auto"/>
        <w:jc w:val="center"/>
        <w:tblLayout w:type="fixed"/>
        <w:tblCellMar>
          <w:left w:w="28" w:type="dxa"/>
          <w:right w:w="28" w:type="dxa"/>
        </w:tblCellMar>
        <w:tblLook w:val="0000" w:firstRow="0" w:lastRow="0" w:firstColumn="0" w:lastColumn="0" w:noHBand="0" w:noVBand="0"/>
      </w:tblPr>
      <w:tblGrid>
        <w:gridCol w:w="585"/>
        <w:gridCol w:w="567"/>
        <w:gridCol w:w="577"/>
        <w:gridCol w:w="567"/>
        <w:gridCol w:w="567"/>
        <w:gridCol w:w="567"/>
        <w:gridCol w:w="567"/>
        <w:gridCol w:w="567"/>
        <w:gridCol w:w="1134"/>
      </w:tblGrid>
      <w:tr w:rsidR="00711444" w:rsidRPr="004D0DAA" w14:paraId="6340210E" w14:textId="77777777" w:rsidTr="00AA2A4C">
        <w:tblPrEx>
          <w:tblCellMar>
            <w:top w:w="0" w:type="dxa"/>
            <w:bottom w:w="0" w:type="dxa"/>
          </w:tblCellMar>
        </w:tblPrEx>
        <w:trPr>
          <w:cantSplit/>
          <w:jc w:val="center"/>
        </w:trPr>
        <w:tc>
          <w:tcPr>
            <w:tcW w:w="4564" w:type="dxa"/>
            <w:gridSpan w:val="8"/>
          </w:tcPr>
          <w:p w14:paraId="768F5CDD" w14:textId="77777777" w:rsidR="00711444" w:rsidRPr="004D0DAA" w:rsidRDefault="00711444" w:rsidP="00AA2A4C">
            <w:pPr>
              <w:pStyle w:val="TAC"/>
              <w:rPr>
                <w:lang w:eastAsia="en-US"/>
              </w:rPr>
            </w:pPr>
            <w:r w:rsidRPr="004D0DAA">
              <w:rPr>
                <w:lang w:eastAsia="en-US"/>
              </w:rPr>
              <w:t>Bit</w:t>
            </w:r>
          </w:p>
        </w:tc>
        <w:tc>
          <w:tcPr>
            <w:tcW w:w="1134" w:type="dxa"/>
          </w:tcPr>
          <w:p w14:paraId="74EA8012" w14:textId="77777777" w:rsidR="00711444" w:rsidRPr="004D0DAA" w:rsidRDefault="00711444" w:rsidP="00AA2A4C">
            <w:pPr>
              <w:pStyle w:val="TAC"/>
              <w:rPr>
                <w:lang w:eastAsia="en-US"/>
              </w:rPr>
            </w:pPr>
          </w:p>
        </w:tc>
      </w:tr>
      <w:tr w:rsidR="00711444" w:rsidRPr="004D0DAA" w14:paraId="757833DD" w14:textId="77777777" w:rsidTr="00AA2A4C">
        <w:tblPrEx>
          <w:tblCellMar>
            <w:top w:w="0" w:type="dxa"/>
            <w:bottom w:w="0" w:type="dxa"/>
          </w:tblCellMar>
        </w:tblPrEx>
        <w:trPr>
          <w:cantSplit/>
          <w:jc w:val="center"/>
        </w:trPr>
        <w:tc>
          <w:tcPr>
            <w:tcW w:w="585" w:type="dxa"/>
          </w:tcPr>
          <w:p w14:paraId="2E41134B" w14:textId="77777777" w:rsidR="00711444" w:rsidRPr="004D0DAA" w:rsidRDefault="00711444" w:rsidP="00AA2A4C">
            <w:pPr>
              <w:pStyle w:val="TAC"/>
              <w:rPr>
                <w:lang w:eastAsia="en-US"/>
              </w:rPr>
            </w:pPr>
            <w:r w:rsidRPr="004D0DAA">
              <w:rPr>
                <w:lang w:eastAsia="en-US"/>
              </w:rPr>
              <w:t>8</w:t>
            </w:r>
          </w:p>
        </w:tc>
        <w:tc>
          <w:tcPr>
            <w:tcW w:w="567" w:type="dxa"/>
          </w:tcPr>
          <w:p w14:paraId="118DEBBB" w14:textId="77777777" w:rsidR="00711444" w:rsidRPr="004D0DAA" w:rsidRDefault="00711444" w:rsidP="00AA2A4C">
            <w:pPr>
              <w:pStyle w:val="TAC"/>
              <w:rPr>
                <w:lang w:eastAsia="en-US"/>
              </w:rPr>
            </w:pPr>
            <w:r w:rsidRPr="004D0DAA">
              <w:rPr>
                <w:lang w:eastAsia="en-US"/>
              </w:rPr>
              <w:t>7</w:t>
            </w:r>
          </w:p>
        </w:tc>
        <w:tc>
          <w:tcPr>
            <w:tcW w:w="577" w:type="dxa"/>
          </w:tcPr>
          <w:p w14:paraId="0C99235A" w14:textId="77777777" w:rsidR="00711444" w:rsidRPr="004D0DAA" w:rsidRDefault="00711444" w:rsidP="00AA2A4C">
            <w:pPr>
              <w:pStyle w:val="TAC"/>
              <w:rPr>
                <w:lang w:eastAsia="en-US"/>
              </w:rPr>
            </w:pPr>
            <w:r w:rsidRPr="004D0DAA">
              <w:rPr>
                <w:lang w:eastAsia="en-US"/>
              </w:rPr>
              <w:t>6</w:t>
            </w:r>
          </w:p>
        </w:tc>
        <w:tc>
          <w:tcPr>
            <w:tcW w:w="567" w:type="dxa"/>
          </w:tcPr>
          <w:p w14:paraId="69EDF2EF" w14:textId="77777777" w:rsidR="00711444" w:rsidRPr="004D0DAA" w:rsidRDefault="00711444" w:rsidP="00AA2A4C">
            <w:pPr>
              <w:pStyle w:val="TAC"/>
              <w:rPr>
                <w:lang w:eastAsia="en-US"/>
              </w:rPr>
            </w:pPr>
            <w:r w:rsidRPr="004D0DAA">
              <w:rPr>
                <w:lang w:eastAsia="en-US"/>
              </w:rPr>
              <w:t>5</w:t>
            </w:r>
          </w:p>
        </w:tc>
        <w:tc>
          <w:tcPr>
            <w:tcW w:w="567" w:type="dxa"/>
          </w:tcPr>
          <w:p w14:paraId="688DA05A" w14:textId="77777777" w:rsidR="00711444" w:rsidRPr="004D0DAA" w:rsidRDefault="00711444" w:rsidP="00AA2A4C">
            <w:pPr>
              <w:pStyle w:val="TAC"/>
              <w:rPr>
                <w:lang w:eastAsia="en-US"/>
              </w:rPr>
            </w:pPr>
            <w:r w:rsidRPr="004D0DAA">
              <w:rPr>
                <w:lang w:eastAsia="en-US"/>
              </w:rPr>
              <w:t>4</w:t>
            </w:r>
          </w:p>
        </w:tc>
        <w:tc>
          <w:tcPr>
            <w:tcW w:w="567" w:type="dxa"/>
          </w:tcPr>
          <w:p w14:paraId="1C4D7B42" w14:textId="77777777" w:rsidR="00711444" w:rsidRPr="004D0DAA" w:rsidRDefault="00711444" w:rsidP="00AA2A4C">
            <w:pPr>
              <w:pStyle w:val="TAC"/>
              <w:rPr>
                <w:lang w:eastAsia="en-US"/>
              </w:rPr>
            </w:pPr>
            <w:r w:rsidRPr="004D0DAA">
              <w:rPr>
                <w:lang w:eastAsia="en-US"/>
              </w:rPr>
              <w:t>3</w:t>
            </w:r>
          </w:p>
        </w:tc>
        <w:tc>
          <w:tcPr>
            <w:tcW w:w="567" w:type="dxa"/>
          </w:tcPr>
          <w:p w14:paraId="637E4F4B" w14:textId="77777777" w:rsidR="00711444" w:rsidRPr="004D0DAA" w:rsidRDefault="00711444" w:rsidP="00AA2A4C">
            <w:pPr>
              <w:pStyle w:val="TAC"/>
              <w:rPr>
                <w:lang w:eastAsia="en-US"/>
              </w:rPr>
            </w:pPr>
            <w:r w:rsidRPr="004D0DAA">
              <w:rPr>
                <w:lang w:eastAsia="en-US"/>
              </w:rPr>
              <w:t>2</w:t>
            </w:r>
          </w:p>
        </w:tc>
        <w:tc>
          <w:tcPr>
            <w:tcW w:w="567" w:type="dxa"/>
          </w:tcPr>
          <w:p w14:paraId="7FB4D28C" w14:textId="77777777" w:rsidR="00711444" w:rsidRPr="004D0DAA" w:rsidRDefault="00711444" w:rsidP="00AA2A4C">
            <w:pPr>
              <w:pStyle w:val="TAC"/>
              <w:rPr>
                <w:lang w:eastAsia="en-US"/>
              </w:rPr>
            </w:pPr>
            <w:r w:rsidRPr="004D0DAA">
              <w:rPr>
                <w:lang w:eastAsia="en-US"/>
              </w:rPr>
              <w:t>1</w:t>
            </w:r>
          </w:p>
        </w:tc>
        <w:tc>
          <w:tcPr>
            <w:tcW w:w="1134" w:type="dxa"/>
          </w:tcPr>
          <w:p w14:paraId="56FE510D" w14:textId="77777777" w:rsidR="00711444" w:rsidRPr="004D0DAA" w:rsidRDefault="00711444" w:rsidP="00AA2A4C">
            <w:pPr>
              <w:pStyle w:val="TAC"/>
              <w:rPr>
                <w:lang w:eastAsia="en-US"/>
              </w:rPr>
            </w:pPr>
            <w:r w:rsidRPr="004D0DAA">
              <w:rPr>
                <w:lang w:eastAsia="en-US"/>
              </w:rPr>
              <w:t>Octet</w:t>
            </w:r>
          </w:p>
        </w:tc>
      </w:tr>
      <w:tr w:rsidR="00711444" w:rsidRPr="004D0DAA" w14:paraId="7E3E4A4E" w14:textId="77777777" w:rsidTr="00AA2A4C">
        <w:tblPrEx>
          <w:tblCellMar>
            <w:top w:w="0" w:type="dxa"/>
            <w:bottom w:w="0" w:type="dxa"/>
          </w:tblCellMar>
        </w:tblPrEx>
        <w:trPr>
          <w:cantSplit/>
          <w:jc w:val="center"/>
        </w:trPr>
        <w:tc>
          <w:tcPr>
            <w:tcW w:w="1152" w:type="dxa"/>
            <w:gridSpan w:val="2"/>
            <w:tcBorders>
              <w:top w:val="single" w:sz="6" w:space="0" w:color="auto"/>
              <w:left w:val="single" w:sz="6" w:space="0" w:color="auto"/>
              <w:bottom w:val="single" w:sz="6" w:space="0" w:color="auto"/>
            </w:tcBorders>
          </w:tcPr>
          <w:p w14:paraId="1F6AA4D1" w14:textId="77777777" w:rsidR="00711444" w:rsidRPr="004D0DAA" w:rsidRDefault="00711444" w:rsidP="00AA2A4C">
            <w:pPr>
              <w:pStyle w:val="TAC"/>
              <w:rPr>
                <w:lang w:eastAsia="en-US"/>
              </w:rPr>
            </w:pPr>
            <w:r w:rsidRPr="004D0DAA">
              <w:rPr>
                <w:lang w:eastAsia="en-US"/>
              </w:rPr>
              <w:t>TFI</w:t>
            </w:r>
          </w:p>
        </w:tc>
        <w:tc>
          <w:tcPr>
            <w:tcW w:w="2278" w:type="dxa"/>
            <w:gridSpan w:val="4"/>
            <w:tcBorders>
              <w:top w:val="single" w:sz="6" w:space="0" w:color="auto"/>
              <w:left w:val="single" w:sz="6" w:space="0" w:color="auto"/>
              <w:bottom w:val="single" w:sz="6" w:space="0" w:color="auto"/>
            </w:tcBorders>
          </w:tcPr>
          <w:p w14:paraId="59419F65"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458CCBBE" w14:textId="77777777" w:rsidR="00711444" w:rsidRPr="004D0DAA" w:rsidRDefault="00711444" w:rsidP="00AA2A4C">
            <w:pPr>
              <w:pStyle w:val="TAC"/>
              <w:rPr>
                <w:lang w:eastAsia="en-US"/>
              </w:rPr>
            </w:pPr>
            <w:r w:rsidRPr="004D0DAA">
              <w:rPr>
                <w:lang w:eastAsia="en-US"/>
              </w:rPr>
              <w:t>SI</w:t>
            </w:r>
          </w:p>
        </w:tc>
        <w:tc>
          <w:tcPr>
            <w:tcW w:w="567" w:type="dxa"/>
            <w:tcBorders>
              <w:top w:val="single" w:sz="6" w:space="0" w:color="auto"/>
              <w:left w:val="single" w:sz="6" w:space="0" w:color="auto"/>
              <w:bottom w:val="single" w:sz="6" w:space="0" w:color="auto"/>
              <w:right w:val="single" w:sz="6" w:space="0" w:color="auto"/>
            </w:tcBorders>
          </w:tcPr>
          <w:p w14:paraId="457120FF" w14:textId="77777777" w:rsidR="00711444" w:rsidRPr="004D0DAA" w:rsidRDefault="00711444" w:rsidP="00AA2A4C">
            <w:pPr>
              <w:pStyle w:val="TAC"/>
              <w:rPr>
                <w:lang w:eastAsia="en-US"/>
              </w:rPr>
            </w:pPr>
            <w:r w:rsidRPr="004D0DAA">
              <w:rPr>
                <w:lang w:eastAsia="en-US"/>
              </w:rPr>
              <w:t>R</w:t>
            </w:r>
          </w:p>
        </w:tc>
        <w:tc>
          <w:tcPr>
            <w:tcW w:w="1134" w:type="dxa"/>
            <w:tcBorders>
              <w:left w:val="single" w:sz="6" w:space="0" w:color="auto"/>
            </w:tcBorders>
          </w:tcPr>
          <w:p w14:paraId="200BC2D6" w14:textId="77777777" w:rsidR="00711444" w:rsidRPr="004D0DAA" w:rsidRDefault="00711444" w:rsidP="00AA2A4C">
            <w:pPr>
              <w:pStyle w:val="TAC"/>
              <w:rPr>
                <w:lang w:eastAsia="en-US"/>
              </w:rPr>
            </w:pPr>
            <w:r w:rsidRPr="004D0DAA">
              <w:rPr>
                <w:lang w:eastAsia="en-US"/>
              </w:rPr>
              <w:t>1</w:t>
            </w:r>
          </w:p>
        </w:tc>
      </w:tr>
      <w:tr w:rsidR="00711444" w:rsidRPr="004D0DAA" w14:paraId="311EC9F6" w14:textId="77777777" w:rsidTr="00AA2A4C">
        <w:tblPrEx>
          <w:tblCellMar>
            <w:top w:w="0" w:type="dxa"/>
            <w:bottom w:w="0" w:type="dxa"/>
          </w:tblCellMar>
        </w:tblPrEx>
        <w:trPr>
          <w:cantSplit/>
          <w:jc w:val="center"/>
        </w:trPr>
        <w:tc>
          <w:tcPr>
            <w:tcW w:w="2863" w:type="dxa"/>
            <w:gridSpan w:val="5"/>
            <w:tcBorders>
              <w:left w:val="single" w:sz="6" w:space="0" w:color="auto"/>
              <w:right w:val="single" w:sz="6" w:space="0" w:color="auto"/>
            </w:tcBorders>
          </w:tcPr>
          <w:p w14:paraId="36B585E0" w14:textId="77777777" w:rsidR="00711444" w:rsidRPr="004D0DAA" w:rsidRDefault="00711444" w:rsidP="00AA2A4C">
            <w:pPr>
              <w:pStyle w:val="TAC"/>
              <w:rPr>
                <w:lang w:eastAsia="en-US"/>
              </w:rPr>
            </w:pPr>
            <w:r w:rsidRPr="004D0DAA">
              <w:rPr>
                <w:lang w:eastAsia="en-US"/>
              </w:rPr>
              <w:t>BSN1</w:t>
            </w:r>
          </w:p>
        </w:tc>
        <w:tc>
          <w:tcPr>
            <w:tcW w:w="1701" w:type="dxa"/>
            <w:gridSpan w:val="3"/>
            <w:tcBorders>
              <w:left w:val="single" w:sz="6" w:space="0" w:color="auto"/>
              <w:right w:val="single" w:sz="6" w:space="0" w:color="auto"/>
            </w:tcBorders>
          </w:tcPr>
          <w:p w14:paraId="6CDDBFCF" w14:textId="77777777" w:rsidR="00711444" w:rsidRPr="004D0DAA" w:rsidRDefault="00711444" w:rsidP="00AA2A4C">
            <w:pPr>
              <w:pStyle w:val="TAC"/>
              <w:rPr>
                <w:lang w:eastAsia="en-US"/>
              </w:rPr>
            </w:pPr>
            <w:r w:rsidRPr="004D0DAA">
              <w:rPr>
                <w:lang w:eastAsia="en-US"/>
              </w:rPr>
              <w:t>TFI</w:t>
            </w:r>
          </w:p>
        </w:tc>
        <w:tc>
          <w:tcPr>
            <w:tcW w:w="1134" w:type="dxa"/>
            <w:tcBorders>
              <w:left w:val="single" w:sz="6" w:space="0" w:color="auto"/>
            </w:tcBorders>
          </w:tcPr>
          <w:p w14:paraId="12145573" w14:textId="77777777" w:rsidR="00711444" w:rsidRPr="004D0DAA" w:rsidRDefault="00711444" w:rsidP="00AA2A4C">
            <w:pPr>
              <w:pStyle w:val="TAC"/>
              <w:rPr>
                <w:lang w:eastAsia="en-US"/>
              </w:rPr>
            </w:pPr>
            <w:r w:rsidRPr="004D0DAA">
              <w:rPr>
                <w:lang w:eastAsia="en-US"/>
              </w:rPr>
              <w:t>2</w:t>
            </w:r>
          </w:p>
        </w:tc>
      </w:tr>
      <w:tr w:rsidR="00711444" w:rsidRPr="004D0DAA" w14:paraId="341FCFC5" w14:textId="77777777" w:rsidTr="00AA2A4C">
        <w:tblPrEx>
          <w:tblCellMar>
            <w:top w:w="0" w:type="dxa"/>
            <w:bottom w:w="0" w:type="dxa"/>
          </w:tblCellMar>
        </w:tblPrEx>
        <w:trPr>
          <w:cantSplit/>
          <w:jc w:val="center"/>
        </w:trPr>
        <w:tc>
          <w:tcPr>
            <w:tcW w:w="1152" w:type="dxa"/>
            <w:gridSpan w:val="2"/>
            <w:tcBorders>
              <w:top w:val="single" w:sz="6" w:space="0" w:color="auto"/>
              <w:left w:val="single" w:sz="6" w:space="0" w:color="auto"/>
              <w:right w:val="single" w:sz="6" w:space="0" w:color="auto"/>
            </w:tcBorders>
          </w:tcPr>
          <w:p w14:paraId="0536AA27" w14:textId="77777777" w:rsidR="00711444" w:rsidRPr="004D0DAA" w:rsidRDefault="00711444" w:rsidP="00AA2A4C">
            <w:pPr>
              <w:pStyle w:val="TAC"/>
              <w:rPr>
                <w:lang w:eastAsia="en-US"/>
              </w:rPr>
            </w:pPr>
            <w:r w:rsidRPr="004D0DAA">
              <w:rPr>
                <w:lang w:eastAsia="en-US"/>
              </w:rPr>
              <w:t>CPS</w:t>
            </w:r>
          </w:p>
        </w:tc>
        <w:tc>
          <w:tcPr>
            <w:tcW w:w="3412" w:type="dxa"/>
            <w:gridSpan w:val="6"/>
            <w:tcBorders>
              <w:top w:val="single" w:sz="6" w:space="0" w:color="auto"/>
              <w:left w:val="single" w:sz="6" w:space="0" w:color="auto"/>
              <w:right w:val="single" w:sz="6" w:space="0" w:color="auto"/>
            </w:tcBorders>
          </w:tcPr>
          <w:p w14:paraId="1D2A4E19" w14:textId="77777777" w:rsidR="00711444" w:rsidRPr="004D0DAA" w:rsidRDefault="00711444" w:rsidP="00AA2A4C">
            <w:pPr>
              <w:pStyle w:val="TAC"/>
              <w:rPr>
                <w:lang w:eastAsia="en-US"/>
              </w:rPr>
            </w:pPr>
            <w:r w:rsidRPr="004D0DAA">
              <w:rPr>
                <w:lang w:eastAsia="en-US"/>
              </w:rPr>
              <w:t>BSN1</w:t>
            </w:r>
          </w:p>
        </w:tc>
        <w:tc>
          <w:tcPr>
            <w:tcW w:w="1134" w:type="dxa"/>
            <w:tcBorders>
              <w:left w:val="single" w:sz="6" w:space="0" w:color="auto"/>
            </w:tcBorders>
          </w:tcPr>
          <w:p w14:paraId="7B02C3D6" w14:textId="77777777" w:rsidR="00711444" w:rsidRPr="004D0DAA" w:rsidRDefault="00711444" w:rsidP="00AA2A4C">
            <w:pPr>
              <w:pStyle w:val="TAC"/>
              <w:rPr>
                <w:lang w:eastAsia="en-US"/>
              </w:rPr>
            </w:pPr>
            <w:r w:rsidRPr="004D0DAA">
              <w:rPr>
                <w:lang w:eastAsia="en-US"/>
              </w:rPr>
              <w:t>3</w:t>
            </w:r>
          </w:p>
        </w:tc>
      </w:tr>
      <w:tr w:rsidR="00711444" w:rsidRPr="004D0DAA" w14:paraId="3DEC8579" w14:textId="77777777" w:rsidTr="00AA2A4C">
        <w:tblPrEx>
          <w:tblCellMar>
            <w:top w:w="0" w:type="dxa"/>
            <w:bottom w:w="0" w:type="dxa"/>
          </w:tblCellMar>
        </w:tblPrEx>
        <w:trPr>
          <w:cantSplit/>
          <w:jc w:val="center"/>
        </w:trPr>
        <w:tc>
          <w:tcPr>
            <w:tcW w:w="585" w:type="dxa"/>
            <w:tcBorders>
              <w:top w:val="single" w:sz="6" w:space="0" w:color="auto"/>
              <w:right w:val="single" w:sz="6" w:space="0" w:color="auto"/>
            </w:tcBorders>
          </w:tcPr>
          <w:p w14:paraId="4372891D" w14:textId="77777777" w:rsidR="00711444" w:rsidRPr="004D0DAA" w:rsidRDefault="00711444" w:rsidP="00AA2A4C"/>
        </w:tc>
        <w:tc>
          <w:tcPr>
            <w:tcW w:w="567" w:type="dxa"/>
            <w:tcBorders>
              <w:top w:val="single" w:sz="6" w:space="0" w:color="auto"/>
              <w:left w:val="single" w:sz="6" w:space="0" w:color="auto"/>
              <w:bottom w:val="single" w:sz="6" w:space="0" w:color="auto"/>
              <w:right w:val="single" w:sz="6" w:space="0" w:color="auto"/>
            </w:tcBorders>
          </w:tcPr>
          <w:p w14:paraId="1C03017E" w14:textId="77777777" w:rsidR="00711444" w:rsidRPr="004D0DAA" w:rsidRDefault="00711444" w:rsidP="00AA2A4C">
            <w:pPr>
              <w:pStyle w:val="TAC"/>
              <w:rPr>
                <w:lang w:eastAsia="en-US"/>
              </w:rPr>
            </w:pPr>
            <w:r w:rsidRPr="004D0DAA">
              <w:rPr>
                <w:lang w:eastAsia="en-US"/>
              </w:rPr>
              <w:t>PANI</w:t>
            </w:r>
          </w:p>
        </w:tc>
        <w:tc>
          <w:tcPr>
            <w:tcW w:w="577" w:type="dxa"/>
            <w:tcBorders>
              <w:top w:val="single" w:sz="6" w:space="0" w:color="auto"/>
              <w:left w:val="single" w:sz="6" w:space="0" w:color="auto"/>
              <w:bottom w:val="single" w:sz="6" w:space="0" w:color="auto"/>
              <w:right w:val="single" w:sz="6" w:space="0" w:color="auto"/>
            </w:tcBorders>
          </w:tcPr>
          <w:p w14:paraId="3A5CFE17" w14:textId="77777777" w:rsidR="00711444" w:rsidRPr="004D0DAA" w:rsidRDefault="00711444" w:rsidP="00AA2A4C">
            <w:pPr>
              <w:pStyle w:val="TAC"/>
              <w:rPr>
                <w:lang w:eastAsia="en-US"/>
              </w:rPr>
            </w:pPr>
            <w:r w:rsidRPr="004D0DAA">
              <w:rPr>
                <w:lang w:eastAsia="en-US"/>
              </w:rPr>
              <w:t>PI</w:t>
            </w:r>
          </w:p>
        </w:tc>
        <w:tc>
          <w:tcPr>
            <w:tcW w:w="567" w:type="dxa"/>
            <w:tcBorders>
              <w:top w:val="single" w:sz="6" w:space="0" w:color="auto"/>
              <w:left w:val="single" w:sz="6" w:space="0" w:color="auto"/>
              <w:bottom w:val="single" w:sz="6" w:space="0" w:color="auto"/>
              <w:right w:val="single" w:sz="6" w:space="0" w:color="auto"/>
            </w:tcBorders>
          </w:tcPr>
          <w:p w14:paraId="1C8C7E7E" w14:textId="77777777" w:rsidR="00711444" w:rsidRPr="004D0DAA" w:rsidRDefault="00711444" w:rsidP="00AA2A4C">
            <w:pPr>
              <w:pStyle w:val="TAC"/>
              <w:rPr>
                <w:lang w:eastAsia="en-US"/>
              </w:rPr>
            </w:pPr>
            <w:r w:rsidRPr="004D0DAA">
              <w:rPr>
                <w:lang w:eastAsia="en-US"/>
              </w:rPr>
              <w:t>RSB</w:t>
            </w:r>
          </w:p>
        </w:tc>
        <w:tc>
          <w:tcPr>
            <w:tcW w:w="1134" w:type="dxa"/>
            <w:gridSpan w:val="2"/>
            <w:tcBorders>
              <w:top w:val="single" w:sz="6" w:space="0" w:color="auto"/>
              <w:left w:val="single" w:sz="6" w:space="0" w:color="auto"/>
              <w:bottom w:val="single" w:sz="6" w:space="0" w:color="auto"/>
              <w:right w:val="single" w:sz="6" w:space="0" w:color="auto"/>
            </w:tcBorders>
          </w:tcPr>
          <w:p w14:paraId="54DD5BD9" w14:textId="77777777" w:rsidR="00711444" w:rsidRPr="004D0DAA" w:rsidRDefault="00711444" w:rsidP="00AA2A4C">
            <w:pPr>
              <w:pStyle w:val="TAC"/>
              <w:rPr>
                <w:lang w:eastAsia="en-US"/>
              </w:rPr>
            </w:pPr>
            <w:r w:rsidRPr="004D0DAA">
              <w:rPr>
                <w:lang w:eastAsia="en-US"/>
              </w:rPr>
              <w:t>SPB</w:t>
            </w:r>
          </w:p>
        </w:tc>
        <w:tc>
          <w:tcPr>
            <w:tcW w:w="1134" w:type="dxa"/>
            <w:gridSpan w:val="2"/>
            <w:tcBorders>
              <w:top w:val="single" w:sz="6" w:space="0" w:color="auto"/>
              <w:left w:val="single" w:sz="6" w:space="0" w:color="auto"/>
              <w:bottom w:val="single" w:sz="6" w:space="0" w:color="auto"/>
              <w:right w:val="single" w:sz="6" w:space="0" w:color="auto"/>
            </w:tcBorders>
          </w:tcPr>
          <w:p w14:paraId="4B1976E3" w14:textId="77777777" w:rsidR="00711444" w:rsidRPr="004D0DAA" w:rsidRDefault="00711444" w:rsidP="00AA2A4C">
            <w:pPr>
              <w:pStyle w:val="TAC"/>
              <w:rPr>
                <w:lang w:eastAsia="en-US"/>
              </w:rPr>
            </w:pPr>
            <w:r w:rsidRPr="004D0DAA">
              <w:rPr>
                <w:lang w:eastAsia="en-US"/>
              </w:rPr>
              <w:t>CPS</w:t>
            </w:r>
          </w:p>
        </w:tc>
        <w:tc>
          <w:tcPr>
            <w:tcW w:w="1134" w:type="dxa"/>
            <w:tcBorders>
              <w:left w:val="single" w:sz="6" w:space="0" w:color="auto"/>
            </w:tcBorders>
          </w:tcPr>
          <w:p w14:paraId="2AF2C140" w14:textId="77777777" w:rsidR="00711444" w:rsidRPr="004D0DAA" w:rsidRDefault="00711444" w:rsidP="00AA2A4C">
            <w:pPr>
              <w:pStyle w:val="TAC"/>
              <w:rPr>
                <w:lang w:eastAsia="en-US"/>
              </w:rPr>
            </w:pPr>
            <w:r w:rsidRPr="004D0DAA">
              <w:rPr>
                <w:lang w:eastAsia="en-US"/>
              </w:rPr>
              <w:t>4</w:t>
            </w:r>
          </w:p>
        </w:tc>
      </w:tr>
    </w:tbl>
    <w:p w14:paraId="35C948E7" w14:textId="77777777" w:rsidR="00711444" w:rsidRPr="004D0DAA" w:rsidRDefault="00711444" w:rsidP="00711444">
      <w:pPr>
        <w:pStyle w:val="NF"/>
      </w:pPr>
    </w:p>
    <w:p w14:paraId="05FE8683" w14:textId="77777777" w:rsidR="00711444" w:rsidRPr="004D0DAA" w:rsidRDefault="00711444" w:rsidP="00711444">
      <w:pPr>
        <w:pStyle w:val="TF"/>
      </w:pPr>
      <w:r w:rsidRPr="004D0DAA">
        <w:t xml:space="preserve">Figure 10.3a.4.3.2: </w:t>
      </w:r>
      <w:r w:rsidRPr="004D0DAA">
        <w:rPr>
          <w:rFonts w:hint="eastAsia"/>
          <w:lang w:eastAsia="ko-KR"/>
        </w:rPr>
        <w:t>EGPRS (FANR</w:t>
      </w:r>
      <w:r w:rsidRPr="004D0DAA">
        <w:rPr>
          <w:lang w:eastAsia="ko-KR"/>
        </w:rPr>
        <w:t xml:space="preserve"> activated</w:t>
      </w:r>
      <w:r w:rsidRPr="004D0DAA">
        <w:rPr>
          <w:rFonts w:hint="eastAsia"/>
          <w:lang w:eastAsia="ko-KR"/>
        </w:rPr>
        <w:t>)/EGPRS2</w:t>
      </w:r>
      <w:r w:rsidRPr="004D0DAA">
        <w:t xml:space="preserve"> uplink RLC data block header</w:t>
      </w:r>
      <w:r w:rsidRPr="004D0DAA">
        <w:br/>
        <w:t>for MCS-1, MCS-2, MCS-3 and MCS-4</w:t>
      </w:r>
    </w:p>
    <w:p w14:paraId="107AF2BC" w14:textId="77777777" w:rsidR="00711444" w:rsidRPr="004D0DAA" w:rsidRDefault="00711444" w:rsidP="00711444">
      <w:pPr>
        <w:ind w:left="90"/>
      </w:pPr>
      <w:r w:rsidRPr="004D0DAA">
        <w:t>The EC-GSM-IoT combined uplink RLC/MAC header for MCS</w:t>
      </w:r>
      <w:r w:rsidRPr="004D0DAA">
        <w:noBreakHyphen/>
        <w:t>1, MCS</w:t>
      </w:r>
      <w:r w:rsidRPr="004D0DAA">
        <w:noBreakHyphen/>
        <w:t>2, MCS</w:t>
      </w:r>
      <w:r w:rsidRPr="004D0DAA">
        <w:noBreakHyphen/>
        <w:t>3 and MCS</w:t>
      </w:r>
      <w:r w:rsidRPr="004D0DAA">
        <w:noBreakHyphen/>
        <w:t>4 (header type 3) shall be formatted according to figure 10.3a.4.3.3.</w:t>
      </w:r>
    </w:p>
    <w:tbl>
      <w:tblPr>
        <w:tblW w:w="0" w:type="auto"/>
        <w:jc w:val="center"/>
        <w:tblLayout w:type="fixed"/>
        <w:tblCellMar>
          <w:left w:w="28" w:type="dxa"/>
          <w:right w:w="28" w:type="dxa"/>
        </w:tblCellMar>
        <w:tblLook w:val="04A0" w:firstRow="1" w:lastRow="0" w:firstColumn="1" w:lastColumn="0" w:noHBand="0" w:noVBand="1"/>
      </w:tblPr>
      <w:tblGrid>
        <w:gridCol w:w="466"/>
        <w:gridCol w:w="567"/>
        <w:gridCol w:w="567"/>
        <w:gridCol w:w="567"/>
        <w:gridCol w:w="567"/>
        <w:gridCol w:w="567"/>
        <w:gridCol w:w="567"/>
        <w:gridCol w:w="668"/>
        <w:gridCol w:w="924"/>
        <w:gridCol w:w="6"/>
      </w:tblGrid>
      <w:tr w:rsidR="00711444" w:rsidRPr="004D0DAA" w14:paraId="7A5EF2DA" w14:textId="77777777" w:rsidTr="00AA2A4C">
        <w:trPr>
          <w:gridAfter w:val="1"/>
          <w:wAfter w:w="6" w:type="dxa"/>
          <w:cantSplit/>
          <w:jc w:val="center"/>
        </w:trPr>
        <w:tc>
          <w:tcPr>
            <w:tcW w:w="466" w:type="dxa"/>
          </w:tcPr>
          <w:p w14:paraId="57BED10A" w14:textId="77777777" w:rsidR="00711444" w:rsidRPr="004D0DAA" w:rsidRDefault="00711444" w:rsidP="00AA2A4C">
            <w:pPr>
              <w:pStyle w:val="TAC"/>
              <w:rPr>
                <w:lang w:eastAsia="en-US"/>
              </w:rPr>
            </w:pPr>
          </w:p>
        </w:tc>
        <w:tc>
          <w:tcPr>
            <w:tcW w:w="567" w:type="dxa"/>
          </w:tcPr>
          <w:p w14:paraId="4E66560E" w14:textId="77777777" w:rsidR="00711444" w:rsidRPr="004D0DAA" w:rsidRDefault="00711444" w:rsidP="00AA2A4C">
            <w:pPr>
              <w:pStyle w:val="TAC"/>
              <w:rPr>
                <w:lang w:eastAsia="en-US"/>
              </w:rPr>
            </w:pPr>
          </w:p>
        </w:tc>
        <w:tc>
          <w:tcPr>
            <w:tcW w:w="567" w:type="dxa"/>
          </w:tcPr>
          <w:p w14:paraId="470046BB" w14:textId="77777777" w:rsidR="00711444" w:rsidRPr="004D0DAA" w:rsidRDefault="00711444" w:rsidP="00AA2A4C">
            <w:pPr>
              <w:pStyle w:val="TAC"/>
              <w:rPr>
                <w:lang w:eastAsia="en-US"/>
              </w:rPr>
            </w:pPr>
          </w:p>
        </w:tc>
        <w:tc>
          <w:tcPr>
            <w:tcW w:w="567" w:type="dxa"/>
          </w:tcPr>
          <w:p w14:paraId="70A64022" w14:textId="77777777" w:rsidR="00711444" w:rsidRPr="004D0DAA" w:rsidRDefault="00711444" w:rsidP="00AA2A4C">
            <w:pPr>
              <w:pStyle w:val="TAC"/>
              <w:rPr>
                <w:lang w:eastAsia="en-US"/>
              </w:rPr>
            </w:pPr>
          </w:p>
        </w:tc>
        <w:tc>
          <w:tcPr>
            <w:tcW w:w="567" w:type="dxa"/>
          </w:tcPr>
          <w:p w14:paraId="34F74E24" w14:textId="77777777" w:rsidR="00711444" w:rsidRPr="004D0DAA" w:rsidRDefault="00711444" w:rsidP="00AA2A4C">
            <w:pPr>
              <w:pStyle w:val="TAC"/>
              <w:rPr>
                <w:lang w:eastAsia="en-US"/>
              </w:rPr>
            </w:pPr>
            <w:r w:rsidRPr="004D0DAA">
              <w:rPr>
                <w:lang w:eastAsia="en-US"/>
              </w:rPr>
              <w:t>Bit</w:t>
            </w:r>
          </w:p>
        </w:tc>
        <w:tc>
          <w:tcPr>
            <w:tcW w:w="567" w:type="dxa"/>
          </w:tcPr>
          <w:p w14:paraId="0E7D833D" w14:textId="77777777" w:rsidR="00711444" w:rsidRPr="004D0DAA" w:rsidRDefault="00711444" w:rsidP="00AA2A4C">
            <w:pPr>
              <w:pStyle w:val="TAC"/>
              <w:rPr>
                <w:lang w:eastAsia="en-US"/>
              </w:rPr>
            </w:pPr>
          </w:p>
        </w:tc>
        <w:tc>
          <w:tcPr>
            <w:tcW w:w="567" w:type="dxa"/>
          </w:tcPr>
          <w:p w14:paraId="00206B91" w14:textId="77777777" w:rsidR="00711444" w:rsidRPr="004D0DAA" w:rsidRDefault="00711444" w:rsidP="00AA2A4C">
            <w:pPr>
              <w:pStyle w:val="TAC"/>
              <w:rPr>
                <w:lang w:eastAsia="en-US"/>
              </w:rPr>
            </w:pPr>
          </w:p>
        </w:tc>
        <w:tc>
          <w:tcPr>
            <w:tcW w:w="668" w:type="dxa"/>
          </w:tcPr>
          <w:p w14:paraId="76CB5A30" w14:textId="77777777" w:rsidR="00711444" w:rsidRPr="004D0DAA" w:rsidRDefault="00711444" w:rsidP="00AA2A4C">
            <w:pPr>
              <w:pStyle w:val="TAC"/>
              <w:rPr>
                <w:lang w:eastAsia="en-US"/>
              </w:rPr>
            </w:pPr>
          </w:p>
        </w:tc>
        <w:tc>
          <w:tcPr>
            <w:tcW w:w="924" w:type="dxa"/>
          </w:tcPr>
          <w:p w14:paraId="724FCC56" w14:textId="77777777" w:rsidR="00711444" w:rsidRPr="004D0DAA" w:rsidRDefault="00711444" w:rsidP="00AA2A4C">
            <w:pPr>
              <w:pStyle w:val="TAC"/>
              <w:rPr>
                <w:lang w:eastAsia="en-US"/>
              </w:rPr>
            </w:pPr>
          </w:p>
        </w:tc>
      </w:tr>
      <w:tr w:rsidR="00711444" w:rsidRPr="004D0DAA" w14:paraId="1AE40CA8" w14:textId="77777777" w:rsidTr="00AA2A4C">
        <w:trPr>
          <w:cantSplit/>
          <w:jc w:val="center"/>
        </w:trPr>
        <w:tc>
          <w:tcPr>
            <w:tcW w:w="466" w:type="dxa"/>
            <w:hideMark/>
          </w:tcPr>
          <w:p w14:paraId="27979FE4" w14:textId="77777777" w:rsidR="00711444" w:rsidRPr="004D0DAA" w:rsidRDefault="00711444" w:rsidP="00AA2A4C">
            <w:pPr>
              <w:pStyle w:val="TAC"/>
              <w:rPr>
                <w:lang w:eastAsia="en-US"/>
              </w:rPr>
            </w:pPr>
            <w:r w:rsidRPr="004D0DAA">
              <w:rPr>
                <w:lang w:eastAsia="en-US"/>
              </w:rPr>
              <w:t>8</w:t>
            </w:r>
          </w:p>
        </w:tc>
        <w:tc>
          <w:tcPr>
            <w:tcW w:w="567" w:type="dxa"/>
            <w:hideMark/>
          </w:tcPr>
          <w:p w14:paraId="7EDDA9B1" w14:textId="77777777" w:rsidR="00711444" w:rsidRPr="004D0DAA" w:rsidRDefault="00711444" w:rsidP="00AA2A4C">
            <w:pPr>
              <w:pStyle w:val="TAC"/>
              <w:rPr>
                <w:lang w:eastAsia="en-US"/>
              </w:rPr>
            </w:pPr>
            <w:r w:rsidRPr="004D0DAA">
              <w:rPr>
                <w:lang w:eastAsia="en-US"/>
              </w:rPr>
              <w:t>7</w:t>
            </w:r>
          </w:p>
        </w:tc>
        <w:tc>
          <w:tcPr>
            <w:tcW w:w="567" w:type="dxa"/>
            <w:hideMark/>
          </w:tcPr>
          <w:p w14:paraId="18C3F087" w14:textId="77777777" w:rsidR="00711444" w:rsidRPr="004D0DAA" w:rsidRDefault="00711444" w:rsidP="00AA2A4C">
            <w:pPr>
              <w:pStyle w:val="TAC"/>
              <w:rPr>
                <w:lang w:eastAsia="en-US"/>
              </w:rPr>
            </w:pPr>
            <w:r w:rsidRPr="004D0DAA">
              <w:rPr>
                <w:lang w:eastAsia="en-US"/>
              </w:rPr>
              <w:t>6</w:t>
            </w:r>
          </w:p>
        </w:tc>
        <w:tc>
          <w:tcPr>
            <w:tcW w:w="567" w:type="dxa"/>
            <w:hideMark/>
          </w:tcPr>
          <w:p w14:paraId="2FEF1D05" w14:textId="77777777" w:rsidR="00711444" w:rsidRPr="004D0DAA" w:rsidRDefault="00711444" w:rsidP="00AA2A4C">
            <w:pPr>
              <w:pStyle w:val="TAC"/>
              <w:rPr>
                <w:lang w:eastAsia="en-US"/>
              </w:rPr>
            </w:pPr>
            <w:r w:rsidRPr="004D0DAA">
              <w:rPr>
                <w:lang w:eastAsia="en-US"/>
              </w:rPr>
              <w:t>5</w:t>
            </w:r>
          </w:p>
        </w:tc>
        <w:tc>
          <w:tcPr>
            <w:tcW w:w="567" w:type="dxa"/>
          </w:tcPr>
          <w:p w14:paraId="03392894" w14:textId="77777777" w:rsidR="00711444" w:rsidRPr="004D0DAA" w:rsidRDefault="00711444" w:rsidP="00AA2A4C">
            <w:pPr>
              <w:pStyle w:val="TAC"/>
              <w:rPr>
                <w:lang w:eastAsia="en-US"/>
              </w:rPr>
            </w:pPr>
            <w:r w:rsidRPr="004D0DAA">
              <w:rPr>
                <w:lang w:eastAsia="en-US"/>
              </w:rPr>
              <w:t>4</w:t>
            </w:r>
          </w:p>
        </w:tc>
        <w:tc>
          <w:tcPr>
            <w:tcW w:w="567" w:type="dxa"/>
            <w:hideMark/>
          </w:tcPr>
          <w:p w14:paraId="42D66E7D" w14:textId="77777777" w:rsidR="00711444" w:rsidRPr="004D0DAA" w:rsidRDefault="00711444" w:rsidP="00AA2A4C">
            <w:pPr>
              <w:pStyle w:val="TAC"/>
              <w:rPr>
                <w:lang w:eastAsia="en-US"/>
              </w:rPr>
            </w:pPr>
            <w:r w:rsidRPr="004D0DAA">
              <w:rPr>
                <w:lang w:eastAsia="en-US"/>
              </w:rPr>
              <w:t>3</w:t>
            </w:r>
          </w:p>
        </w:tc>
        <w:tc>
          <w:tcPr>
            <w:tcW w:w="567" w:type="dxa"/>
            <w:hideMark/>
          </w:tcPr>
          <w:p w14:paraId="37597825" w14:textId="77777777" w:rsidR="00711444" w:rsidRPr="004D0DAA" w:rsidRDefault="00711444" w:rsidP="00AA2A4C">
            <w:pPr>
              <w:pStyle w:val="TAC"/>
              <w:rPr>
                <w:lang w:eastAsia="en-US"/>
              </w:rPr>
            </w:pPr>
            <w:r w:rsidRPr="004D0DAA">
              <w:rPr>
                <w:lang w:eastAsia="en-US"/>
              </w:rPr>
              <w:t>2</w:t>
            </w:r>
          </w:p>
        </w:tc>
        <w:tc>
          <w:tcPr>
            <w:tcW w:w="668" w:type="dxa"/>
            <w:hideMark/>
          </w:tcPr>
          <w:p w14:paraId="7E62FFE6" w14:textId="77777777" w:rsidR="00711444" w:rsidRPr="004D0DAA" w:rsidRDefault="00711444" w:rsidP="00AA2A4C">
            <w:pPr>
              <w:pStyle w:val="TAC"/>
              <w:rPr>
                <w:lang w:eastAsia="en-US"/>
              </w:rPr>
            </w:pPr>
            <w:r w:rsidRPr="004D0DAA">
              <w:rPr>
                <w:lang w:eastAsia="en-US"/>
              </w:rPr>
              <w:t>1</w:t>
            </w:r>
          </w:p>
        </w:tc>
        <w:tc>
          <w:tcPr>
            <w:tcW w:w="930" w:type="dxa"/>
            <w:gridSpan w:val="2"/>
            <w:tcBorders>
              <w:left w:val="nil"/>
            </w:tcBorders>
            <w:hideMark/>
          </w:tcPr>
          <w:p w14:paraId="3700204D" w14:textId="77777777" w:rsidR="00711444" w:rsidRPr="004D0DAA" w:rsidRDefault="00711444" w:rsidP="00AA2A4C">
            <w:pPr>
              <w:pStyle w:val="TAC"/>
              <w:rPr>
                <w:lang w:eastAsia="en-US"/>
              </w:rPr>
            </w:pPr>
            <w:r w:rsidRPr="004D0DAA">
              <w:rPr>
                <w:lang w:eastAsia="en-US"/>
              </w:rPr>
              <w:t>Octet</w:t>
            </w:r>
          </w:p>
        </w:tc>
      </w:tr>
      <w:tr w:rsidR="00711444" w:rsidRPr="004D0DAA" w14:paraId="05D0F9CA" w14:textId="77777777" w:rsidTr="00AA2A4C">
        <w:trPr>
          <w:cantSplit/>
          <w:jc w:val="center"/>
        </w:trPr>
        <w:tc>
          <w:tcPr>
            <w:tcW w:w="1033" w:type="dxa"/>
            <w:gridSpan w:val="2"/>
            <w:tcBorders>
              <w:top w:val="single" w:sz="6" w:space="0" w:color="auto"/>
              <w:left w:val="single" w:sz="6" w:space="0" w:color="auto"/>
              <w:bottom w:val="single" w:sz="6" w:space="0" w:color="auto"/>
              <w:right w:val="nil"/>
            </w:tcBorders>
            <w:hideMark/>
          </w:tcPr>
          <w:p w14:paraId="39C644F9" w14:textId="77777777" w:rsidR="00711444" w:rsidRPr="004D0DAA" w:rsidRDefault="00711444" w:rsidP="00AA2A4C">
            <w:pPr>
              <w:pStyle w:val="TAC"/>
              <w:rPr>
                <w:lang w:eastAsia="en-US"/>
              </w:rPr>
            </w:pPr>
            <w:r w:rsidRPr="004D0DAA">
              <w:rPr>
                <w:lang w:eastAsia="en-US"/>
              </w:rPr>
              <w:t>TFI</w:t>
            </w:r>
          </w:p>
        </w:tc>
        <w:tc>
          <w:tcPr>
            <w:tcW w:w="2268" w:type="dxa"/>
            <w:gridSpan w:val="4"/>
            <w:tcBorders>
              <w:top w:val="single" w:sz="6" w:space="0" w:color="auto"/>
              <w:left w:val="single" w:sz="6" w:space="0" w:color="auto"/>
              <w:bottom w:val="single" w:sz="6" w:space="0" w:color="auto"/>
              <w:right w:val="nil"/>
            </w:tcBorders>
            <w:hideMark/>
          </w:tcPr>
          <w:p w14:paraId="0650EA4A"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right w:val="nil"/>
            </w:tcBorders>
            <w:hideMark/>
          </w:tcPr>
          <w:p w14:paraId="6938C696" w14:textId="77777777" w:rsidR="00711444" w:rsidRPr="004D0DAA" w:rsidRDefault="00711444" w:rsidP="00AA2A4C">
            <w:pPr>
              <w:pStyle w:val="TAC"/>
              <w:rPr>
                <w:lang w:eastAsia="en-US"/>
              </w:rPr>
            </w:pPr>
            <w:r w:rsidRPr="004D0DAA">
              <w:rPr>
                <w:lang w:eastAsia="en-US"/>
              </w:rPr>
              <w:t>FOI</w:t>
            </w:r>
          </w:p>
        </w:tc>
        <w:tc>
          <w:tcPr>
            <w:tcW w:w="668" w:type="dxa"/>
            <w:tcBorders>
              <w:top w:val="single" w:sz="6" w:space="0" w:color="auto"/>
              <w:left w:val="single" w:sz="6" w:space="0" w:color="auto"/>
              <w:bottom w:val="single" w:sz="6" w:space="0" w:color="auto"/>
              <w:right w:val="single" w:sz="6" w:space="0" w:color="auto"/>
            </w:tcBorders>
            <w:hideMark/>
          </w:tcPr>
          <w:p w14:paraId="4227610D" w14:textId="77777777" w:rsidR="00711444" w:rsidRPr="004D0DAA" w:rsidRDefault="00711444" w:rsidP="00AA2A4C">
            <w:pPr>
              <w:pStyle w:val="TAC"/>
              <w:rPr>
                <w:lang w:eastAsia="en-US"/>
              </w:rPr>
            </w:pPr>
            <w:r w:rsidRPr="004D0DAA">
              <w:rPr>
                <w:lang w:eastAsia="en-US"/>
              </w:rPr>
              <w:t>RI</w:t>
            </w:r>
          </w:p>
        </w:tc>
        <w:tc>
          <w:tcPr>
            <w:tcW w:w="930" w:type="dxa"/>
            <w:gridSpan w:val="2"/>
            <w:tcBorders>
              <w:top w:val="nil"/>
              <w:left w:val="single" w:sz="6" w:space="0" w:color="auto"/>
              <w:bottom w:val="nil"/>
              <w:right w:val="nil"/>
            </w:tcBorders>
            <w:hideMark/>
          </w:tcPr>
          <w:p w14:paraId="7BC31386" w14:textId="77777777" w:rsidR="00711444" w:rsidRPr="004D0DAA" w:rsidRDefault="00711444" w:rsidP="00AA2A4C">
            <w:pPr>
              <w:pStyle w:val="TAC"/>
              <w:rPr>
                <w:lang w:eastAsia="en-US"/>
              </w:rPr>
            </w:pPr>
            <w:r w:rsidRPr="004D0DAA">
              <w:rPr>
                <w:lang w:eastAsia="en-US"/>
              </w:rPr>
              <w:t>1</w:t>
            </w:r>
          </w:p>
        </w:tc>
      </w:tr>
      <w:tr w:rsidR="00711444" w:rsidRPr="004D0DAA" w14:paraId="5C3EA226" w14:textId="77777777" w:rsidTr="00AA2A4C">
        <w:trPr>
          <w:cantSplit/>
          <w:jc w:val="center"/>
        </w:trPr>
        <w:tc>
          <w:tcPr>
            <w:tcW w:w="2734" w:type="dxa"/>
            <w:gridSpan w:val="5"/>
            <w:tcBorders>
              <w:top w:val="nil"/>
              <w:left w:val="single" w:sz="6" w:space="0" w:color="auto"/>
              <w:bottom w:val="nil"/>
              <w:right w:val="single" w:sz="6" w:space="0" w:color="auto"/>
            </w:tcBorders>
            <w:hideMark/>
          </w:tcPr>
          <w:p w14:paraId="3D0B6278" w14:textId="77777777" w:rsidR="00711444" w:rsidRPr="004D0DAA" w:rsidRDefault="00711444" w:rsidP="00AA2A4C">
            <w:pPr>
              <w:pStyle w:val="TAC"/>
              <w:rPr>
                <w:lang w:eastAsia="en-US"/>
              </w:rPr>
            </w:pPr>
            <w:r w:rsidRPr="004D0DAA">
              <w:rPr>
                <w:lang w:eastAsia="en-US"/>
              </w:rPr>
              <w:t>BSN1</w:t>
            </w:r>
          </w:p>
        </w:tc>
        <w:tc>
          <w:tcPr>
            <w:tcW w:w="1802" w:type="dxa"/>
            <w:gridSpan w:val="3"/>
            <w:tcBorders>
              <w:top w:val="nil"/>
              <w:left w:val="single" w:sz="6" w:space="0" w:color="auto"/>
              <w:bottom w:val="nil"/>
              <w:right w:val="single" w:sz="6" w:space="0" w:color="auto"/>
            </w:tcBorders>
            <w:hideMark/>
          </w:tcPr>
          <w:p w14:paraId="78CD7640" w14:textId="77777777" w:rsidR="00711444" w:rsidRPr="004D0DAA" w:rsidRDefault="00711444" w:rsidP="00AA2A4C">
            <w:pPr>
              <w:pStyle w:val="TAC"/>
              <w:rPr>
                <w:lang w:eastAsia="en-US"/>
              </w:rPr>
            </w:pPr>
            <w:r w:rsidRPr="004D0DAA">
              <w:rPr>
                <w:lang w:eastAsia="en-US"/>
              </w:rPr>
              <w:t>TFI</w:t>
            </w:r>
          </w:p>
        </w:tc>
        <w:tc>
          <w:tcPr>
            <w:tcW w:w="930" w:type="dxa"/>
            <w:gridSpan w:val="2"/>
            <w:tcBorders>
              <w:top w:val="nil"/>
              <w:left w:val="single" w:sz="6" w:space="0" w:color="auto"/>
              <w:bottom w:val="nil"/>
              <w:right w:val="nil"/>
            </w:tcBorders>
            <w:hideMark/>
          </w:tcPr>
          <w:p w14:paraId="7D3E5B39" w14:textId="77777777" w:rsidR="00711444" w:rsidRPr="004D0DAA" w:rsidRDefault="00711444" w:rsidP="00AA2A4C">
            <w:pPr>
              <w:pStyle w:val="TAC"/>
              <w:rPr>
                <w:lang w:eastAsia="en-US"/>
              </w:rPr>
            </w:pPr>
            <w:r w:rsidRPr="004D0DAA">
              <w:rPr>
                <w:lang w:eastAsia="en-US"/>
              </w:rPr>
              <w:t>2</w:t>
            </w:r>
          </w:p>
        </w:tc>
      </w:tr>
      <w:tr w:rsidR="00711444" w:rsidRPr="004D0DAA" w14:paraId="244724CB" w14:textId="77777777" w:rsidTr="00AA2A4C">
        <w:trPr>
          <w:cantSplit/>
          <w:jc w:val="center"/>
        </w:trPr>
        <w:tc>
          <w:tcPr>
            <w:tcW w:w="1600" w:type="dxa"/>
            <w:gridSpan w:val="3"/>
            <w:tcBorders>
              <w:top w:val="single" w:sz="6" w:space="0" w:color="auto"/>
              <w:left w:val="single" w:sz="6" w:space="0" w:color="auto"/>
              <w:bottom w:val="nil"/>
              <w:right w:val="single" w:sz="6" w:space="0" w:color="auto"/>
            </w:tcBorders>
            <w:hideMark/>
          </w:tcPr>
          <w:p w14:paraId="69DF832A" w14:textId="77777777" w:rsidR="00711444" w:rsidRPr="004D0DAA" w:rsidRDefault="00711444" w:rsidP="00AA2A4C">
            <w:pPr>
              <w:pStyle w:val="TAC"/>
              <w:ind w:right="-3"/>
              <w:rPr>
                <w:lang w:eastAsia="en-US"/>
              </w:rPr>
            </w:pPr>
            <w:r w:rsidRPr="004D0DAA">
              <w:rPr>
                <w:lang w:eastAsia="en-US"/>
              </w:rPr>
              <w:t>DCCE</w:t>
            </w:r>
          </w:p>
        </w:tc>
        <w:tc>
          <w:tcPr>
            <w:tcW w:w="1134" w:type="dxa"/>
            <w:gridSpan w:val="2"/>
            <w:tcBorders>
              <w:top w:val="single" w:sz="6" w:space="0" w:color="auto"/>
              <w:left w:val="single" w:sz="6" w:space="0" w:color="auto"/>
              <w:bottom w:val="nil"/>
              <w:right w:val="single" w:sz="6" w:space="0" w:color="auto"/>
            </w:tcBorders>
          </w:tcPr>
          <w:p w14:paraId="3EB7C9A9" w14:textId="77777777" w:rsidR="00711444" w:rsidRPr="004D0DAA" w:rsidRDefault="00711444" w:rsidP="00AA2A4C">
            <w:pPr>
              <w:pStyle w:val="TAC"/>
              <w:ind w:left="-53"/>
              <w:rPr>
                <w:lang w:eastAsia="en-US"/>
              </w:rPr>
            </w:pPr>
            <w:r w:rsidRPr="004D0DAA">
              <w:rPr>
                <w:lang w:eastAsia="en-US"/>
              </w:rPr>
              <w:t>SPB</w:t>
            </w:r>
          </w:p>
        </w:tc>
        <w:tc>
          <w:tcPr>
            <w:tcW w:w="1802" w:type="dxa"/>
            <w:gridSpan w:val="3"/>
            <w:tcBorders>
              <w:top w:val="single" w:sz="6" w:space="0" w:color="auto"/>
              <w:left w:val="single" w:sz="6" w:space="0" w:color="auto"/>
              <w:bottom w:val="nil"/>
              <w:right w:val="single" w:sz="6" w:space="0" w:color="auto"/>
            </w:tcBorders>
          </w:tcPr>
          <w:p w14:paraId="2BC02559" w14:textId="77777777" w:rsidR="00711444" w:rsidRPr="004D0DAA" w:rsidRDefault="00711444" w:rsidP="00AA2A4C">
            <w:pPr>
              <w:pStyle w:val="TAC"/>
              <w:rPr>
                <w:lang w:eastAsia="en-US"/>
              </w:rPr>
            </w:pPr>
            <w:r w:rsidRPr="004D0DAA">
              <w:rPr>
                <w:lang w:eastAsia="en-US"/>
              </w:rPr>
              <w:t>CPS/HCS</w:t>
            </w:r>
          </w:p>
        </w:tc>
        <w:tc>
          <w:tcPr>
            <w:tcW w:w="930" w:type="dxa"/>
            <w:gridSpan w:val="2"/>
            <w:tcBorders>
              <w:top w:val="nil"/>
              <w:left w:val="single" w:sz="6" w:space="0" w:color="auto"/>
              <w:bottom w:val="nil"/>
              <w:right w:val="nil"/>
            </w:tcBorders>
            <w:hideMark/>
          </w:tcPr>
          <w:p w14:paraId="05658FB7" w14:textId="77777777" w:rsidR="00711444" w:rsidRPr="004D0DAA" w:rsidRDefault="00711444" w:rsidP="00AA2A4C">
            <w:pPr>
              <w:pStyle w:val="TAC"/>
              <w:rPr>
                <w:lang w:eastAsia="en-US"/>
              </w:rPr>
            </w:pPr>
            <w:r w:rsidRPr="004D0DAA">
              <w:rPr>
                <w:lang w:eastAsia="en-US"/>
              </w:rPr>
              <w:t>3</w:t>
            </w:r>
          </w:p>
        </w:tc>
      </w:tr>
      <w:tr w:rsidR="00711444" w:rsidRPr="004D0DAA" w14:paraId="78BE96EE" w14:textId="77777777" w:rsidTr="00AA2A4C">
        <w:trPr>
          <w:cantSplit/>
          <w:trHeight w:val="260"/>
          <w:jc w:val="center"/>
        </w:trPr>
        <w:tc>
          <w:tcPr>
            <w:tcW w:w="466" w:type="dxa"/>
            <w:tcBorders>
              <w:top w:val="single" w:sz="6" w:space="0" w:color="auto"/>
              <w:left w:val="nil"/>
              <w:bottom w:val="nil"/>
              <w:right w:val="single" w:sz="6" w:space="0" w:color="auto"/>
            </w:tcBorders>
          </w:tcPr>
          <w:p w14:paraId="585B33E5" w14:textId="77777777" w:rsidR="00711444" w:rsidRPr="004D0DAA" w:rsidRDefault="00711444" w:rsidP="00AA2A4C">
            <w:pPr>
              <w:pStyle w:val="TAC"/>
              <w:rPr>
                <w:lang w:eastAsia="en-US"/>
              </w:rPr>
            </w:pPr>
          </w:p>
        </w:tc>
        <w:tc>
          <w:tcPr>
            <w:tcW w:w="1134" w:type="dxa"/>
            <w:gridSpan w:val="2"/>
            <w:tcBorders>
              <w:top w:val="single" w:sz="6" w:space="0" w:color="auto"/>
              <w:left w:val="nil"/>
              <w:bottom w:val="single" w:sz="4" w:space="0" w:color="auto"/>
              <w:right w:val="single" w:sz="6" w:space="0" w:color="auto"/>
            </w:tcBorders>
          </w:tcPr>
          <w:p w14:paraId="3DE2C237" w14:textId="77777777" w:rsidR="00711444" w:rsidRPr="004D0DAA" w:rsidRDefault="00711444" w:rsidP="00AA2A4C">
            <w:pPr>
              <w:pStyle w:val="TAC"/>
              <w:ind w:right="-28"/>
              <w:rPr>
                <w:lang w:eastAsia="en-US"/>
              </w:rPr>
            </w:pPr>
            <w:r w:rsidRPr="004D0DAA">
              <w:rPr>
                <w:lang w:eastAsia="en-US"/>
              </w:rPr>
              <w:t>Spare</w:t>
            </w:r>
          </w:p>
        </w:tc>
        <w:tc>
          <w:tcPr>
            <w:tcW w:w="2268" w:type="dxa"/>
            <w:gridSpan w:val="4"/>
            <w:tcBorders>
              <w:top w:val="single" w:sz="6" w:space="0" w:color="auto"/>
              <w:left w:val="nil"/>
              <w:bottom w:val="single" w:sz="4" w:space="0" w:color="auto"/>
              <w:right w:val="single" w:sz="6" w:space="0" w:color="auto"/>
            </w:tcBorders>
          </w:tcPr>
          <w:p w14:paraId="3F4192A5" w14:textId="77777777" w:rsidR="00711444" w:rsidRPr="004D0DAA" w:rsidRDefault="00711444" w:rsidP="00AA2A4C">
            <w:pPr>
              <w:pStyle w:val="TAC"/>
              <w:rPr>
                <w:lang w:eastAsia="en-US"/>
              </w:rPr>
            </w:pPr>
            <w:r w:rsidRPr="004D0DAA">
              <w:rPr>
                <w:lang w:eastAsia="en-US"/>
              </w:rPr>
              <w:t xml:space="preserve">rTLLI </w:t>
            </w:r>
          </w:p>
        </w:tc>
        <w:tc>
          <w:tcPr>
            <w:tcW w:w="668" w:type="dxa"/>
            <w:tcBorders>
              <w:top w:val="single" w:sz="6" w:space="0" w:color="auto"/>
              <w:left w:val="nil"/>
              <w:bottom w:val="single" w:sz="4" w:space="0" w:color="auto"/>
              <w:right w:val="single" w:sz="6" w:space="0" w:color="auto"/>
            </w:tcBorders>
          </w:tcPr>
          <w:p w14:paraId="51A3958A" w14:textId="77777777" w:rsidR="00711444" w:rsidRPr="004D0DAA" w:rsidRDefault="00711444" w:rsidP="00AA2A4C">
            <w:pPr>
              <w:pStyle w:val="TAC"/>
              <w:rPr>
                <w:lang w:eastAsia="en-US"/>
              </w:rPr>
            </w:pPr>
            <w:r w:rsidRPr="004D0DAA">
              <w:rPr>
                <w:lang w:eastAsia="en-US"/>
              </w:rPr>
              <w:t>DCCE</w:t>
            </w:r>
          </w:p>
        </w:tc>
        <w:tc>
          <w:tcPr>
            <w:tcW w:w="930" w:type="dxa"/>
            <w:gridSpan w:val="2"/>
            <w:tcBorders>
              <w:top w:val="nil"/>
              <w:left w:val="single" w:sz="6" w:space="0" w:color="auto"/>
              <w:bottom w:val="nil"/>
              <w:right w:val="nil"/>
            </w:tcBorders>
            <w:hideMark/>
          </w:tcPr>
          <w:p w14:paraId="0BACA18F" w14:textId="77777777" w:rsidR="00711444" w:rsidRPr="004D0DAA" w:rsidRDefault="00711444" w:rsidP="00AA2A4C">
            <w:pPr>
              <w:pStyle w:val="TAC"/>
              <w:rPr>
                <w:lang w:eastAsia="en-US"/>
              </w:rPr>
            </w:pPr>
            <w:r w:rsidRPr="004D0DAA">
              <w:rPr>
                <w:lang w:eastAsia="en-US"/>
              </w:rPr>
              <w:t>4</w:t>
            </w:r>
          </w:p>
        </w:tc>
      </w:tr>
    </w:tbl>
    <w:p w14:paraId="42B11A34" w14:textId="77777777" w:rsidR="00711444" w:rsidRPr="004D0DAA" w:rsidRDefault="00711444" w:rsidP="00711444">
      <w:pPr>
        <w:pStyle w:val="NF"/>
        <w:ind w:left="0" w:firstLine="0"/>
      </w:pPr>
    </w:p>
    <w:p w14:paraId="1F470C8B" w14:textId="77777777" w:rsidR="00711444" w:rsidRPr="004D0DAA" w:rsidRDefault="00711444" w:rsidP="00711444">
      <w:pPr>
        <w:pStyle w:val="TF"/>
      </w:pPr>
      <w:r w:rsidRPr="004D0DAA">
        <w:t>Figure 10.3a.4.3.3: EC-GSM-IoT uplink RLC data block header for MCS-1, MCS-2, MCS-3 and MCS-4</w:t>
      </w:r>
    </w:p>
    <w:p w14:paraId="03B8E733" w14:textId="77777777" w:rsidR="00711444" w:rsidRPr="004D0DAA" w:rsidRDefault="00711444" w:rsidP="00711444">
      <w:pPr>
        <w:pStyle w:val="Heading4"/>
      </w:pPr>
      <w:bookmarkStart w:id="536" w:name="_Toc516669717"/>
      <w:r w:rsidRPr="004D0DAA">
        <w:t>10.3a.4.4</w:t>
      </w:r>
      <w:r w:rsidRPr="004D0DAA">
        <w:tab/>
        <w:t>Header type 4: header for UAS-7, UAS-8 and UAS-9</w:t>
      </w:r>
      <w:bookmarkEnd w:id="536"/>
    </w:p>
    <w:p w14:paraId="678A3391" w14:textId="77777777" w:rsidR="00711444" w:rsidRPr="004D0DAA" w:rsidRDefault="00711444" w:rsidP="00711444">
      <w:r w:rsidRPr="004D0DAA">
        <w:t>The combined uplink RLC/MAC header for UAS-7, UAS-8 and UAS-9 (header type 4) shall be formatted according to figure 10.3a.4.4.1.</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567"/>
        <w:gridCol w:w="567"/>
        <w:gridCol w:w="567"/>
        <w:gridCol w:w="567"/>
        <w:gridCol w:w="567"/>
        <w:gridCol w:w="566"/>
        <w:gridCol w:w="1144"/>
      </w:tblGrid>
      <w:tr w:rsidR="00711444" w:rsidRPr="004D0DAA" w14:paraId="7EA3C8D9" w14:textId="77777777" w:rsidTr="00AA2A4C">
        <w:tblPrEx>
          <w:tblCellMar>
            <w:top w:w="0" w:type="dxa"/>
            <w:bottom w:w="0" w:type="dxa"/>
          </w:tblCellMar>
        </w:tblPrEx>
        <w:trPr>
          <w:cantSplit/>
          <w:jc w:val="center"/>
        </w:trPr>
        <w:tc>
          <w:tcPr>
            <w:tcW w:w="4555" w:type="dxa"/>
            <w:gridSpan w:val="8"/>
          </w:tcPr>
          <w:p w14:paraId="3BE929AD" w14:textId="77777777" w:rsidR="00711444" w:rsidRPr="004D0DAA" w:rsidRDefault="00711444" w:rsidP="00AA2A4C">
            <w:pPr>
              <w:pStyle w:val="TAC"/>
              <w:rPr>
                <w:lang w:eastAsia="en-US"/>
              </w:rPr>
            </w:pPr>
            <w:r w:rsidRPr="004D0DAA">
              <w:rPr>
                <w:lang w:eastAsia="en-US"/>
              </w:rPr>
              <w:lastRenderedPageBreak/>
              <w:t>Bit</w:t>
            </w:r>
          </w:p>
        </w:tc>
        <w:tc>
          <w:tcPr>
            <w:tcW w:w="1144" w:type="dxa"/>
          </w:tcPr>
          <w:p w14:paraId="7AF0B02E" w14:textId="77777777" w:rsidR="00711444" w:rsidRPr="004D0DAA" w:rsidRDefault="00711444" w:rsidP="00AA2A4C">
            <w:pPr>
              <w:pStyle w:val="TAC"/>
              <w:rPr>
                <w:lang w:eastAsia="en-US"/>
              </w:rPr>
            </w:pPr>
          </w:p>
        </w:tc>
      </w:tr>
      <w:tr w:rsidR="00711444" w:rsidRPr="004D0DAA" w14:paraId="4429EAEE" w14:textId="77777777" w:rsidTr="00AA2A4C">
        <w:tblPrEx>
          <w:tblCellMar>
            <w:top w:w="0" w:type="dxa"/>
            <w:bottom w:w="0" w:type="dxa"/>
          </w:tblCellMar>
        </w:tblPrEx>
        <w:trPr>
          <w:cantSplit/>
          <w:jc w:val="center"/>
        </w:trPr>
        <w:tc>
          <w:tcPr>
            <w:tcW w:w="586" w:type="dxa"/>
          </w:tcPr>
          <w:p w14:paraId="6C5D1BA6" w14:textId="77777777" w:rsidR="00711444" w:rsidRPr="004D0DAA" w:rsidRDefault="00711444" w:rsidP="00AA2A4C">
            <w:pPr>
              <w:pStyle w:val="TAC"/>
              <w:rPr>
                <w:lang w:eastAsia="en-US"/>
              </w:rPr>
            </w:pPr>
            <w:r w:rsidRPr="004D0DAA">
              <w:rPr>
                <w:lang w:eastAsia="en-US"/>
              </w:rPr>
              <w:t>8</w:t>
            </w:r>
          </w:p>
        </w:tc>
        <w:tc>
          <w:tcPr>
            <w:tcW w:w="577" w:type="dxa"/>
          </w:tcPr>
          <w:p w14:paraId="4AFAA205" w14:textId="77777777" w:rsidR="00711444" w:rsidRPr="004D0DAA" w:rsidRDefault="00711444" w:rsidP="00AA2A4C">
            <w:pPr>
              <w:pStyle w:val="TAC"/>
              <w:rPr>
                <w:lang w:eastAsia="en-US"/>
              </w:rPr>
            </w:pPr>
            <w:r w:rsidRPr="004D0DAA">
              <w:rPr>
                <w:lang w:eastAsia="en-US"/>
              </w:rPr>
              <w:t>7</w:t>
            </w:r>
          </w:p>
        </w:tc>
        <w:tc>
          <w:tcPr>
            <w:tcW w:w="567" w:type="dxa"/>
          </w:tcPr>
          <w:p w14:paraId="0C267741" w14:textId="77777777" w:rsidR="00711444" w:rsidRPr="004D0DAA" w:rsidRDefault="00711444" w:rsidP="00AA2A4C">
            <w:pPr>
              <w:pStyle w:val="TAC"/>
              <w:rPr>
                <w:lang w:eastAsia="en-US"/>
              </w:rPr>
            </w:pPr>
            <w:r w:rsidRPr="004D0DAA">
              <w:rPr>
                <w:lang w:eastAsia="en-US"/>
              </w:rPr>
              <w:t>6</w:t>
            </w:r>
          </w:p>
        </w:tc>
        <w:tc>
          <w:tcPr>
            <w:tcW w:w="567" w:type="dxa"/>
          </w:tcPr>
          <w:p w14:paraId="3AB9BF7F" w14:textId="77777777" w:rsidR="00711444" w:rsidRPr="004D0DAA" w:rsidRDefault="00711444" w:rsidP="00AA2A4C">
            <w:pPr>
              <w:pStyle w:val="TAC"/>
              <w:rPr>
                <w:lang w:eastAsia="en-US"/>
              </w:rPr>
            </w:pPr>
            <w:r w:rsidRPr="004D0DAA">
              <w:rPr>
                <w:lang w:eastAsia="en-US"/>
              </w:rPr>
              <w:t>5</w:t>
            </w:r>
          </w:p>
        </w:tc>
        <w:tc>
          <w:tcPr>
            <w:tcW w:w="567" w:type="dxa"/>
          </w:tcPr>
          <w:p w14:paraId="02F43E89" w14:textId="77777777" w:rsidR="00711444" w:rsidRPr="004D0DAA" w:rsidRDefault="00711444" w:rsidP="00AA2A4C">
            <w:pPr>
              <w:pStyle w:val="TAC"/>
              <w:rPr>
                <w:lang w:eastAsia="en-US"/>
              </w:rPr>
            </w:pPr>
            <w:r w:rsidRPr="004D0DAA">
              <w:rPr>
                <w:lang w:eastAsia="en-US"/>
              </w:rPr>
              <w:t>4</w:t>
            </w:r>
          </w:p>
        </w:tc>
        <w:tc>
          <w:tcPr>
            <w:tcW w:w="567" w:type="dxa"/>
          </w:tcPr>
          <w:p w14:paraId="6F0FC79D" w14:textId="77777777" w:rsidR="00711444" w:rsidRPr="004D0DAA" w:rsidRDefault="00711444" w:rsidP="00AA2A4C">
            <w:pPr>
              <w:pStyle w:val="TAC"/>
              <w:rPr>
                <w:lang w:eastAsia="en-US"/>
              </w:rPr>
            </w:pPr>
            <w:r w:rsidRPr="004D0DAA">
              <w:rPr>
                <w:lang w:eastAsia="en-US"/>
              </w:rPr>
              <w:t>3</w:t>
            </w:r>
          </w:p>
        </w:tc>
        <w:tc>
          <w:tcPr>
            <w:tcW w:w="567" w:type="dxa"/>
          </w:tcPr>
          <w:p w14:paraId="4B69B491" w14:textId="77777777" w:rsidR="00711444" w:rsidRPr="004D0DAA" w:rsidRDefault="00711444" w:rsidP="00AA2A4C">
            <w:pPr>
              <w:pStyle w:val="TAC"/>
              <w:rPr>
                <w:lang w:eastAsia="en-US"/>
              </w:rPr>
            </w:pPr>
            <w:r w:rsidRPr="004D0DAA">
              <w:rPr>
                <w:lang w:eastAsia="en-US"/>
              </w:rPr>
              <w:t>2</w:t>
            </w:r>
          </w:p>
        </w:tc>
        <w:tc>
          <w:tcPr>
            <w:tcW w:w="557" w:type="dxa"/>
          </w:tcPr>
          <w:p w14:paraId="31410A0D" w14:textId="77777777" w:rsidR="00711444" w:rsidRPr="004D0DAA" w:rsidRDefault="00711444" w:rsidP="00AA2A4C">
            <w:pPr>
              <w:pStyle w:val="TAC"/>
              <w:rPr>
                <w:lang w:eastAsia="en-US"/>
              </w:rPr>
            </w:pPr>
            <w:r w:rsidRPr="004D0DAA">
              <w:rPr>
                <w:lang w:eastAsia="en-US"/>
              </w:rPr>
              <w:t>1</w:t>
            </w:r>
          </w:p>
        </w:tc>
        <w:tc>
          <w:tcPr>
            <w:tcW w:w="1144" w:type="dxa"/>
          </w:tcPr>
          <w:p w14:paraId="272B535D" w14:textId="77777777" w:rsidR="00711444" w:rsidRPr="004D0DAA" w:rsidRDefault="00711444" w:rsidP="00AA2A4C">
            <w:pPr>
              <w:pStyle w:val="TAC"/>
              <w:rPr>
                <w:lang w:eastAsia="en-US"/>
              </w:rPr>
            </w:pPr>
            <w:r w:rsidRPr="004D0DAA">
              <w:rPr>
                <w:lang w:eastAsia="en-US"/>
              </w:rPr>
              <w:t>Octet</w:t>
            </w:r>
          </w:p>
        </w:tc>
      </w:tr>
      <w:tr w:rsidR="00711444" w:rsidRPr="004D0DAA" w14:paraId="60647C21"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172685A1" w14:textId="77777777" w:rsidR="00711444" w:rsidRPr="004D0DAA" w:rsidRDefault="00711444" w:rsidP="00AA2A4C">
            <w:pPr>
              <w:pStyle w:val="TAC"/>
              <w:rPr>
                <w:lang w:eastAsia="en-US"/>
              </w:rPr>
            </w:pPr>
            <w:r w:rsidRPr="004D0DAA">
              <w:rPr>
                <w:lang w:eastAsia="en-US"/>
              </w:rPr>
              <w:t>TFI</w:t>
            </w:r>
          </w:p>
        </w:tc>
        <w:tc>
          <w:tcPr>
            <w:tcW w:w="2268" w:type="dxa"/>
            <w:gridSpan w:val="4"/>
            <w:tcBorders>
              <w:top w:val="single" w:sz="6" w:space="0" w:color="auto"/>
              <w:left w:val="single" w:sz="6" w:space="0" w:color="auto"/>
              <w:bottom w:val="single" w:sz="6" w:space="0" w:color="auto"/>
            </w:tcBorders>
          </w:tcPr>
          <w:p w14:paraId="3BE12ACF"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48341F51" w14:textId="77777777" w:rsidR="00711444" w:rsidRPr="004D0DAA" w:rsidRDefault="00711444" w:rsidP="00AA2A4C">
            <w:pPr>
              <w:pStyle w:val="TAC"/>
              <w:rPr>
                <w:lang w:eastAsia="en-US"/>
              </w:rPr>
            </w:pPr>
            <w:r w:rsidRPr="004D0DAA">
              <w:rPr>
                <w:lang w:eastAsia="en-US"/>
              </w:rPr>
              <w:t>SI</w:t>
            </w:r>
          </w:p>
        </w:tc>
        <w:tc>
          <w:tcPr>
            <w:tcW w:w="557" w:type="dxa"/>
            <w:tcBorders>
              <w:top w:val="single" w:sz="6" w:space="0" w:color="auto"/>
              <w:left w:val="single" w:sz="6" w:space="0" w:color="auto"/>
              <w:bottom w:val="single" w:sz="6" w:space="0" w:color="auto"/>
              <w:right w:val="single" w:sz="6" w:space="0" w:color="auto"/>
            </w:tcBorders>
          </w:tcPr>
          <w:p w14:paraId="12A23148"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73495C3D" w14:textId="77777777" w:rsidR="00711444" w:rsidRPr="004D0DAA" w:rsidRDefault="00711444" w:rsidP="00AA2A4C">
            <w:pPr>
              <w:pStyle w:val="TAC"/>
              <w:rPr>
                <w:lang w:eastAsia="en-US"/>
              </w:rPr>
            </w:pPr>
            <w:r w:rsidRPr="004D0DAA">
              <w:rPr>
                <w:lang w:eastAsia="en-US"/>
              </w:rPr>
              <w:t>1</w:t>
            </w:r>
          </w:p>
        </w:tc>
      </w:tr>
      <w:tr w:rsidR="00711444" w:rsidRPr="004D0DAA" w14:paraId="404CC046" w14:textId="77777777" w:rsidTr="00AA2A4C">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09FAF474" w14:textId="77777777" w:rsidR="00711444" w:rsidRPr="004D0DAA" w:rsidRDefault="00711444" w:rsidP="00AA2A4C">
            <w:pPr>
              <w:pStyle w:val="TAC"/>
              <w:rPr>
                <w:lang w:eastAsia="en-US"/>
              </w:rPr>
            </w:pPr>
            <w:r w:rsidRPr="004D0DAA">
              <w:rPr>
                <w:lang w:eastAsia="en-US"/>
              </w:rPr>
              <w:t>BSN1</w:t>
            </w:r>
          </w:p>
        </w:tc>
        <w:tc>
          <w:tcPr>
            <w:tcW w:w="1691" w:type="dxa"/>
            <w:gridSpan w:val="3"/>
            <w:tcBorders>
              <w:left w:val="single" w:sz="6" w:space="0" w:color="auto"/>
              <w:right w:val="single" w:sz="6" w:space="0" w:color="auto"/>
            </w:tcBorders>
          </w:tcPr>
          <w:p w14:paraId="7B80C048"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155D8890" w14:textId="77777777" w:rsidR="00711444" w:rsidRPr="004D0DAA" w:rsidRDefault="00711444" w:rsidP="00AA2A4C">
            <w:pPr>
              <w:pStyle w:val="TAC"/>
              <w:rPr>
                <w:lang w:eastAsia="en-US"/>
              </w:rPr>
            </w:pPr>
            <w:r w:rsidRPr="004D0DAA">
              <w:rPr>
                <w:lang w:eastAsia="en-US"/>
              </w:rPr>
              <w:t>2</w:t>
            </w:r>
          </w:p>
        </w:tc>
      </w:tr>
      <w:tr w:rsidR="00711444" w:rsidRPr="004D0DAA" w14:paraId="7A232DCA"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5B790D9A" w14:textId="77777777" w:rsidR="00711444" w:rsidRPr="004D0DAA" w:rsidRDefault="00711444" w:rsidP="00AA2A4C">
            <w:pPr>
              <w:pStyle w:val="TAC"/>
              <w:rPr>
                <w:lang w:eastAsia="en-US"/>
              </w:rPr>
            </w:pPr>
            <w:r w:rsidRPr="004D0DAA">
              <w:rPr>
                <w:lang w:eastAsia="en-US"/>
              </w:rPr>
              <w:t>BSN2</w:t>
            </w:r>
          </w:p>
        </w:tc>
        <w:tc>
          <w:tcPr>
            <w:tcW w:w="3392" w:type="dxa"/>
            <w:gridSpan w:val="6"/>
            <w:tcBorders>
              <w:top w:val="single" w:sz="6" w:space="0" w:color="auto"/>
              <w:left w:val="single" w:sz="6" w:space="0" w:color="auto"/>
              <w:right w:val="single" w:sz="6" w:space="0" w:color="auto"/>
            </w:tcBorders>
          </w:tcPr>
          <w:p w14:paraId="4E0BB46C"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32156728" w14:textId="77777777" w:rsidR="00711444" w:rsidRPr="004D0DAA" w:rsidRDefault="00711444" w:rsidP="00AA2A4C">
            <w:pPr>
              <w:pStyle w:val="TAC"/>
              <w:rPr>
                <w:lang w:eastAsia="en-US"/>
              </w:rPr>
            </w:pPr>
            <w:r w:rsidRPr="004D0DAA">
              <w:rPr>
                <w:lang w:eastAsia="en-US"/>
              </w:rPr>
              <w:t>3</w:t>
            </w:r>
          </w:p>
        </w:tc>
      </w:tr>
      <w:tr w:rsidR="00711444" w:rsidRPr="004D0DAA" w14:paraId="0AF849CE" w14:textId="77777777" w:rsidTr="00AA2A4C">
        <w:tblPrEx>
          <w:tblCellMar>
            <w:top w:w="0" w:type="dxa"/>
            <w:bottom w:w="0" w:type="dxa"/>
          </w:tblCellMar>
        </w:tblPrEx>
        <w:trPr>
          <w:cantSplit/>
          <w:jc w:val="center"/>
        </w:trPr>
        <w:tc>
          <w:tcPr>
            <w:tcW w:w="4555" w:type="dxa"/>
            <w:gridSpan w:val="8"/>
            <w:tcBorders>
              <w:top w:val="single" w:sz="6" w:space="0" w:color="auto"/>
              <w:left w:val="single" w:sz="6" w:space="0" w:color="auto"/>
              <w:right w:val="single" w:sz="6" w:space="0" w:color="auto"/>
            </w:tcBorders>
          </w:tcPr>
          <w:p w14:paraId="32A08A6E"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53EB751A" w14:textId="77777777" w:rsidR="00711444" w:rsidRPr="004D0DAA" w:rsidRDefault="00711444" w:rsidP="00AA2A4C">
            <w:pPr>
              <w:pStyle w:val="TAC"/>
              <w:rPr>
                <w:lang w:eastAsia="en-US"/>
              </w:rPr>
            </w:pPr>
            <w:r w:rsidRPr="004D0DAA">
              <w:rPr>
                <w:lang w:eastAsia="en-US"/>
              </w:rPr>
              <w:t>4</w:t>
            </w:r>
          </w:p>
        </w:tc>
      </w:tr>
      <w:tr w:rsidR="00711444" w:rsidRPr="004D0DAA" w14:paraId="1384F2FE" w14:textId="77777777" w:rsidTr="00AA2A4C">
        <w:tblPrEx>
          <w:tblCellMar>
            <w:top w:w="0" w:type="dxa"/>
            <w:bottom w:w="0" w:type="dxa"/>
          </w:tblCellMar>
        </w:tblPrEx>
        <w:trPr>
          <w:cantSplit/>
          <w:jc w:val="center"/>
        </w:trPr>
        <w:tc>
          <w:tcPr>
            <w:tcW w:w="586" w:type="dxa"/>
            <w:tcBorders>
              <w:top w:val="single" w:sz="6" w:space="0" w:color="auto"/>
              <w:left w:val="single" w:sz="6" w:space="0" w:color="auto"/>
              <w:right w:val="single" w:sz="6" w:space="0" w:color="auto"/>
            </w:tcBorders>
          </w:tcPr>
          <w:p w14:paraId="723411C4" w14:textId="77777777" w:rsidR="00711444" w:rsidRPr="004D0DAA" w:rsidRDefault="00711444" w:rsidP="00AA2A4C">
            <w:pPr>
              <w:pStyle w:val="TAC"/>
              <w:rPr>
                <w:lang w:eastAsia="en-US"/>
              </w:rPr>
            </w:pPr>
            <w:r w:rsidRPr="004D0DAA">
              <w:rPr>
                <w:lang w:eastAsia="en-US"/>
              </w:rPr>
              <w:t>Spare</w:t>
            </w:r>
          </w:p>
        </w:tc>
        <w:tc>
          <w:tcPr>
            <w:tcW w:w="577" w:type="dxa"/>
            <w:tcBorders>
              <w:top w:val="single" w:sz="6" w:space="0" w:color="auto"/>
              <w:left w:val="single" w:sz="6" w:space="0" w:color="auto"/>
              <w:right w:val="single" w:sz="6" w:space="0" w:color="auto"/>
            </w:tcBorders>
          </w:tcPr>
          <w:p w14:paraId="529A734E" w14:textId="77777777" w:rsidR="00711444" w:rsidRPr="004D0DAA" w:rsidRDefault="00711444" w:rsidP="00AA2A4C">
            <w:pPr>
              <w:pStyle w:val="TAC"/>
              <w:rPr>
                <w:lang w:eastAsia="en-US"/>
              </w:rPr>
            </w:pPr>
            <w:r w:rsidRPr="004D0DAA">
              <w:rPr>
                <w:lang w:eastAsia="en-US"/>
              </w:rPr>
              <w:t>PANI</w:t>
            </w:r>
          </w:p>
        </w:tc>
        <w:tc>
          <w:tcPr>
            <w:tcW w:w="567" w:type="dxa"/>
            <w:tcBorders>
              <w:top w:val="single" w:sz="6" w:space="0" w:color="auto"/>
              <w:left w:val="single" w:sz="6" w:space="0" w:color="auto"/>
              <w:right w:val="single" w:sz="6" w:space="0" w:color="auto"/>
            </w:tcBorders>
          </w:tcPr>
          <w:p w14:paraId="0A464EC8" w14:textId="77777777" w:rsidR="00711444" w:rsidRPr="004D0DAA" w:rsidRDefault="00711444" w:rsidP="00AA2A4C">
            <w:pPr>
              <w:pStyle w:val="TAC"/>
              <w:rPr>
                <w:lang w:eastAsia="en-US"/>
              </w:rPr>
            </w:pPr>
            <w:r w:rsidRPr="004D0DAA">
              <w:rPr>
                <w:lang w:eastAsia="en-US"/>
              </w:rPr>
              <w:t>PI</w:t>
            </w:r>
          </w:p>
        </w:tc>
        <w:tc>
          <w:tcPr>
            <w:tcW w:w="2825" w:type="dxa"/>
            <w:gridSpan w:val="5"/>
            <w:tcBorders>
              <w:top w:val="single" w:sz="6" w:space="0" w:color="auto"/>
              <w:left w:val="single" w:sz="6" w:space="0" w:color="auto"/>
              <w:bottom w:val="single" w:sz="6" w:space="0" w:color="auto"/>
              <w:right w:val="single" w:sz="6" w:space="0" w:color="auto"/>
            </w:tcBorders>
          </w:tcPr>
          <w:p w14:paraId="46490128"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79BE45B4" w14:textId="77777777" w:rsidR="00711444" w:rsidRPr="004D0DAA" w:rsidRDefault="00711444" w:rsidP="00AA2A4C">
            <w:pPr>
              <w:pStyle w:val="TAC"/>
              <w:rPr>
                <w:lang w:eastAsia="en-US"/>
              </w:rPr>
            </w:pPr>
            <w:r w:rsidRPr="004D0DAA">
              <w:rPr>
                <w:lang w:eastAsia="en-US"/>
              </w:rPr>
              <w:t>5</w:t>
            </w:r>
          </w:p>
        </w:tc>
      </w:tr>
      <w:tr w:rsidR="00711444" w:rsidRPr="004D0DAA" w14:paraId="044045E9" w14:textId="77777777" w:rsidTr="00AA2A4C">
        <w:tblPrEx>
          <w:tblCellMar>
            <w:top w:w="0" w:type="dxa"/>
            <w:bottom w:w="0" w:type="dxa"/>
          </w:tblCellMar>
        </w:tblPrEx>
        <w:trPr>
          <w:cantSplit/>
          <w:jc w:val="center"/>
        </w:trPr>
        <w:tc>
          <w:tcPr>
            <w:tcW w:w="586" w:type="dxa"/>
            <w:tcBorders>
              <w:top w:val="single" w:sz="6" w:space="0" w:color="auto"/>
            </w:tcBorders>
          </w:tcPr>
          <w:p w14:paraId="6E6AC3A0" w14:textId="77777777" w:rsidR="00711444" w:rsidRPr="004D0DAA" w:rsidRDefault="00711444" w:rsidP="00AA2A4C"/>
        </w:tc>
        <w:tc>
          <w:tcPr>
            <w:tcW w:w="577" w:type="dxa"/>
            <w:tcBorders>
              <w:top w:val="single" w:sz="6" w:space="0" w:color="auto"/>
            </w:tcBorders>
          </w:tcPr>
          <w:p w14:paraId="10DFCAA9" w14:textId="77777777" w:rsidR="00711444" w:rsidRPr="004D0DAA" w:rsidRDefault="00711444" w:rsidP="00AA2A4C"/>
        </w:tc>
        <w:tc>
          <w:tcPr>
            <w:tcW w:w="565" w:type="dxa"/>
            <w:tcBorders>
              <w:top w:val="single" w:sz="6" w:space="0" w:color="auto"/>
            </w:tcBorders>
          </w:tcPr>
          <w:p w14:paraId="746E80D8" w14:textId="77777777" w:rsidR="00711444" w:rsidRPr="004D0DAA" w:rsidRDefault="00711444" w:rsidP="00AA2A4C"/>
        </w:tc>
        <w:tc>
          <w:tcPr>
            <w:tcW w:w="565" w:type="dxa"/>
            <w:tcBorders>
              <w:top w:val="single" w:sz="6" w:space="0" w:color="auto"/>
            </w:tcBorders>
          </w:tcPr>
          <w:p w14:paraId="4E51DB4C" w14:textId="77777777" w:rsidR="00711444" w:rsidRPr="004D0DAA" w:rsidRDefault="00711444" w:rsidP="00AA2A4C"/>
        </w:tc>
        <w:tc>
          <w:tcPr>
            <w:tcW w:w="566" w:type="dxa"/>
            <w:tcBorders>
              <w:top w:val="single" w:sz="6" w:space="0" w:color="auto"/>
            </w:tcBorders>
          </w:tcPr>
          <w:p w14:paraId="3556E420" w14:textId="77777777" w:rsidR="00711444" w:rsidRPr="004D0DAA" w:rsidRDefault="00711444" w:rsidP="00AA2A4C"/>
        </w:tc>
        <w:tc>
          <w:tcPr>
            <w:tcW w:w="565" w:type="dxa"/>
            <w:tcBorders>
              <w:top w:val="single" w:sz="6" w:space="0" w:color="auto"/>
            </w:tcBorders>
          </w:tcPr>
          <w:p w14:paraId="617A8095" w14:textId="77777777" w:rsidR="00711444" w:rsidRPr="004D0DAA" w:rsidRDefault="00711444" w:rsidP="00AA2A4C"/>
        </w:tc>
        <w:tc>
          <w:tcPr>
            <w:tcW w:w="565" w:type="dxa"/>
            <w:tcBorders>
              <w:top w:val="single" w:sz="6" w:space="0" w:color="auto"/>
              <w:right w:val="single" w:sz="6" w:space="0" w:color="auto"/>
            </w:tcBorders>
          </w:tcPr>
          <w:p w14:paraId="33A3AF9E" w14:textId="77777777" w:rsidR="00711444" w:rsidRPr="004D0DAA" w:rsidRDefault="00711444" w:rsidP="00AA2A4C"/>
        </w:tc>
        <w:tc>
          <w:tcPr>
            <w:tcW w:w="566" w:type="dxa"/>
            <w:tcBorders>
              <w:top w:val="single" w:sz="6" w:space="0" w:color="auto"/>
              <w:bottom w:val="single" w:sz="6" w:space="0" w:color="auto"/>
              <w:right w:val="single" w:sz="6" w:space="0" w:color="auto"/>
            </w:tcBorders>
          </w:tcPr>
          <w:p w14:paraId="299511EC" w14:textId="77777777" w:rsidR="00711444" w:rsidRPr="004D0DAA" w:rsidRDefault="00711444" w:rsidP="00AA2A4C">
            <w:pPr>
              <w:pStyle w:val="TAC"/>
              <w:rPr>
                <w:lang w:eastAsia="en-US"/>
              </w:rPr>
            </w:pPr>
            <w:r w:rsidRPr="004D0DAA">
              <w:rPr>
                <w:lang w:eastAsia="en-US"/>
              </w:rPr>
              <w:t>Spare</w:t>
            </w:r>
          </w:p>
        </w:tc>
        <w:tc>
          <w:tcPr>
            <w:tcW w:w="1144" w:type="dxa"/>
          </w:tcPr>
          <w:p w14:paraId="56DD5630" w14:textId="77777777" w:rsidR="00711444" w:rsidRPr="004D0DAA" w:rsidRDefault="00711444" w:rsidP="00AA2A4C">
            <w:pPr>
              <w:pStyle w:val="TAC"/>
              <w:rPr>
                <w:lang w:eastAsia="en-US"/>
              </w:rPr>
            </w:pPr>
            <w:r w:rsidRPr="004D0DAA">
              <w:rPr>
                <w:lang w:eastAsia="en-US"/>
              </w:rPr>
              <w:t>6</w:t>
            </w:r>
          </w:p>
        </w:tc>
      </w:tr>
    </w:tbl>
    <w:p w14:paraId="30C6A049" w14:textId="77777777" w:rsidR="00711444" w:rsidRPr="004D0DAA" w:rsidRDefault="00711444" w:rsidP="00711444">
      <w:pPr>
        <w:pStyle w:val="NF"/>
      </w:pPr>
    </w:p>
    <w:p w14:paraId="4EFFE38A" w14:textId="77777777" w:rsidR="00711444" w:rsidRPr="004D0DAA" w:rsidRDefault="00711444" w:rsidP="00711444">
      <w:pPr>
        <w:pStyle w:val="TF"/>
      </w:pPr>
      <w:r w:rsidRPr="004D0DAA">
        <w:t>Figure 10.3a.4.4.1: Combined uplink RLC data block header</w:t>
      </w:r>
      <w:r w:rsidRPr="004D0DAA">
        <w:br/>
        <w:t>for UAS-7, UAS-8 and UAS-9.</w:t>
      </w:r>
    </w:p>
    <w:p w14:paraId="49C908DD" w14:textId="77777777" w:rsidR="00711444" w:rsidRPr="004D0DAA" w:rsidRDefault="00711444" w:rsidP="00711444">
      <w:pPr>
        <w:pStyle w:val="Heading4"/>
      </w:pPr>
      <w:bookmarkStart w:id="537" w:name="_Toc516669718"/>
      <w:r w:rsidRPr="004D0DAA">
        <w:t>10.3a.4.5</w:t>
      </w:r>
      <w:r w:rsidRPr="004D0DAA">
        <w:tab/>
        <w:t>Header type 5: header for UAS-10 and UAS-11</w:t>
      </w:r>
      <w:bookmarkEnd w:id="537"/>
    </w:p>
    <w:p w14:paraId="4065D70F" w14:textId="77777777" w:rsidR="00711444" w:rsidRPr="004D0DAA" w:rsidRDefault="00711444" w:rsidP="00711444">
      <w:r w:rsidRPr="004D0DAA">
        <w:t>The combined uplink RLC/MAC header for UAS-10 and UAS-11 (header type 5) shall be formatted according to figure 10.3a.4.5.1.</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567"/>
        <w:gridCol w:w="567"/>
        <w:gridCol w:w="567"/>
        <w:gridCol w:w="567"/>
        <w:gridCol w:w="567"/>
        <w:gridCol w:w="567"/>
        <w:gridCol w:w="1144"/>
      </w:tblGrid>
      <w:tr w:rsidR="00711444" w:rsidRPr="004D0DAA" w14:paraId="5A91B3B0" w14:textId="77777777" w:rsidTr="00AA2A4C">
        <w:tblPrEx>
          <w:tblCellMar>
            <w:top w:w="0" w:type="dxa"/>
            <w:bottom w:w="0" w:type="dxa"/>
          </w:tblCellMar>
        </w:tblPrEx>
        <w:trPr>
          <w:cantSplit/>
          <w:jc w:val="center"/>
        </w:trPr>
        <w:tc>
          <w:tcPr>
            <w:tcW w:w="4565" w:type="dxa"/>
            <w:gridSpan w:val="8"/>
          </w:tcPr>
          <w:p w14:paraId="1DF82CF3" w14:textId="77777777" w:rsidR="00711444" w:rsidRPr="004D0DAA" w:rsidRDefault="00711444" w:rsidP="00AA2A4C">
            <w:pPr>
              <w:pStyle w:val="TAC"/>
              <w:rPr>
                <w:lang w:eastAsia="en-US"/>
              </w:rPr>
            </w:pPr>
            <w:r w:rsidRPr="004D0DAA">
              <w:rPr>
                <w:lang w:eastAsia="en-US"/>
              </w:rPr>
              <w:t>Bit</w:t>
            </w:r>
          </w:p>
        </w:tc>
        <w:tc>
          <w:tcPr>
            <w:tcW w:w="1144" w:type="dxa"/>
          </w:tcPr>
          <w:p w14:paraId="54E1193A" w14:textId="77777777" w:rsidR="00711444" w:rsidRPr="004D0DAA" w:rsidRDefault="00711444" w:rsidP="00AA2A4C">
            <w:pPr>
              <w:pStyle w:val="TAC"/>
              <w:rPr>
                <w:lang w:eastAsia="en-US"/>
              </w:rPr>
            </w:pPr>
          </w:p>
        </w:tc>
      </w:tr>
      <w:tr w:rsidR="00711444" w:rsidRPr="004D0DAA" w14:paraId="73DA18EE" w14:textId="77777777" w:rsidTr="00AA2A4C">
        <w:tblPrEx>
          <w:tblCellMar>
            <w:top w:w="0" w:type="dxa"/>
            <w:bottom w:w="0" w:type="dxa"/>
          </w:tblCellMar>
        </w:tblPrEx>
        <w:trPr>
          <w:cantSplit/>
          <w:jc w:val="center"/>
        </w:trPr>
        <w:tc>
          <w:tcPr>
            <w:tcW w:w="586" w:type="dxa"/>
          </w:tcPr>
          <w:p w14:paraId="22A75D2D" w14:textId="77777777" w:rsidR="00711444" w:rsidRPr="004D0DAA" w:rsidRDefault="00711444" w:rsidP="00AA2A4C">
            <w:pPr>
              <w:pStyle w:val="TAC"/>
              <w:rPr>
                <w:lang w:eastAsia="en-US"/>
              </w:rPr>
            </w:pPr>
            <w:r w:rsidRPr="004D0DAA">
              <w:rPr>
                <w:lang w:eastAsia="en-US"/>
              </w:rPr>
              <w:t>8</w:t>
            </w:r>
          </w:p>
        </w:tc>
        <w:tc>
          <w:tcPr>
            <w:tcW w:w="577" w:type="dxa"/>
          </w:tcPr>
          <w:p w14:paraId="09AE52F4" w14:textId="77777777" w:rsidR="00711444" w:rsidRPr="004D0DAA" w:rsidRDefault="00711444" w:rsidP="00AA2A4C">
            <w:pPr>
              <w:pStyle w:val="TAC"/>
              <w:rPr>
                <w:lang w:eastAsia="en-US"/>
              </w:rPr>
            </w:pPr>
            <w:r w:rsidRPr="004D0DAA">
              <w:rPr>
                <w:lang w:eastAsia="en-US"/>
              </w:rPr>
              <w:t>7</w:t>
            </w:r>
          </w:p>
        </w:tc>
        <w:tc>
          <w:tcPr>
            <w:tcW w:w="567" w:type="dxa"/>
          </w:tcPr>
          <w:p w14:paraId="7FB118AD" w14:textId="77777777" w:rsidR="00711444" w:rsidRPr="004D0DAA" w:rsidRDefault="00711444" w:rsidP="00AA2A4C">
            <w:pPr>
              <w:pStyle w:val="TAC"/>
              <w:rPr>
                <w:lang w:eastAsia="en-US"/>
              </w:rPr>
            </w:pPr>
            <w:r w:rsidRPr="004D0DAA">
              <w:rPr>
                <w:lang w:eastAsia="en-US"/>
              </w:rPr>
              <w:t>6</w:t>
            </w:r>
          </w:p>
        </w:tc>
        <w:tc>
          <w:tcPr>
            <w:tcW w:w="567" w:type="dxa"/>
          </w:tcPr>
          <w:p w14:paraId="480CB456" w14:textId="77777777" w:rsidR="00711444" w:rsidRPr="004D0DAA" w:rsidRDefault="00711444" w:rsidP="00AA2A4C">
            <w:pPr>
              <w:pStyle w:val="TAC"/>
              <w:rPr>
                <w:lang w:eastAsia="en-US"/>
              </w:rPr>
            </w:pPr>
            <w:r w:rsidRPr="004D0DAA">
              <w:rPr>
                <w:lang w:eastAsia="en-US"/>
              </w:rPr>
              <w:t>5</w:t>
            </w:r>
          </w:p>
        </w:tc>
        <w:tc>
          <w:tcPr>
            <w:tcW w:w="567" w:type="dxa"/>
          </w:tcPr>
          <w:p w14:paraId="2A6F1B17" w14:textId="77777777" w:rsidR="00711444" w:rsidRPr="004D0DAA" w:rsidRDefault="00711444" w:rsidP="00AA2A4C">
            <w:pPr>
              <w:pStyle w:val="TAC"/>
              <w:rPr>
                <w:lang w:eastAsia="en-US"/>
              </w:rPr>
            </w:pPr>
            <w:r w:rsidRPr="004D0DAA">
              <w:rPr>
                <w:lang w:eastAsia="en-US"/>
              </w:rPr>
              <w:t>4</w:t>
            </w:r>
          </w:p>
        </w:tc>
        <w:tc>
          <w:tcPr>
            <w:tcW w:w="567" w:type="dxa"/>
          </w:tcPr>
          <w:p w14:paraId="036EFEA7" w14:textId="77777777" w:rsidR="00711444" w:rsidRPr="004D0DAA" w:rsidRDefault="00711444" w:rsidP="00AA2A4C">
            <w:pPr>
              <w:pStyle w:val="TAC"/>
              <w:rPr>
                <w:lang w:eastAsia="en-US"/>
              </w:rPr>
            </w:pPr>
            <w:r w:rsidRPr="004D0DAA">
              <w:rPr>
                <w:lang w:eastAsia="en-US"/>
              </w:rPr>
              <w:t>3</w:t>
            </w:r>
          </w:p>
        </w:tc>
        <w:tc>
          <w:tcPr>
            <w:tcW w:w="567" w:type="dxa"/>
          </w:tcPr>
          <w:p w14:paraId="542BF01C" w14:textId="77777777" w:rsidR="00711444" w:rsidRPr="004D0DAA" w:rsidRDefault="00711444" w:rsidP="00AA2A4C">
            <w:pPr>
              <w:pStyle w:val="TAC"/>
              <w:rPr>
                <w:lang w:eastAsia="en-US"/>
              </w:rPr>
            </w:pPr>
            <w:r w:rsidRPr="004D0DAA">
              <w:rPr>
                <w:lang w:eastAsia="en-US"/>
              </w:rPr>
              <w:t>2</w:t>
            </w:r>
          </w:p>
        </w:tc>
        <w:tc>
          <w:tcPr>
            <w:tcW w:w="567" w:type="dxa"/>
          </w:tcPr>
          <w:p w14:paraId="34A738CA" w14:textId="77777777" w:rsidR="00711444" w:rsidRPr="004D0DAA" w:rsidRDefault="00711444" w:rsidP="00AA2A4C">
            <w:pPr>
              <w:pStyle w:val="TAC"/>
              <w:rPr>
                <w:lang w:eastAsia="en-US"/>
              </w:rPr>
            </w:pPr>
            <w:r w:rsidRPr="004D0DAA">
              <w:rPr>
                <w:lang w:eastAsia="en-US"/>
              </w:rPr>
              <w:t>1</w:t>
            </w:r>
          </w:p>
        </w:tc>
        <w:tc>
          <w:tcPr>
            <w:tcW w:w="1144" w:type="dxa"/>
          </w:tcPr>
          <w:p w14:paraId="0E3A7653" w14:textId="77777777" w:rsidR="00711444" w:rsidRPr="004D0DAA" w:rsidRDefault="00711444" w:rsidP="00AA2A4C">
            <w:pPr>
              <w:pStyle w:val="TAC"/>
              <w:rPr>
                <w:lang w:eastAsia="en-US"/>
              </w:rPr>
            </w:pPr>
            <w:r w:rsidRPr="004D0DAA">
              <w:rPr>
                <w:lang w:eastAsia="en-US"/>
              </w:rPr>
              <w:t>Octet</w:t>
            </w:r>
          </w:p>
        </w:tc>
      </w:tr>
      <w:tr w:rsidR="00711444" w:rsidRPr="004D0DAA" w14:paraId="4EEB485F"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10FB46F1" w14:textId="77777777" w:rsidR="00711444" w:rsidRPr="004D0DAA" w:rsidRDefault="00711444" w:rsidP="00AA2A4C">
            <w:pPr>
              <w:pStyle w:val="TAC"/>
              <w:rPr>
                <w:lang w:eastAsia="en-US"/>
              </w:rPr>
            </w:pPr>
            <w:r w:rsidRPr="004D0DAA">
              <w:rPr>
                <w:lang w:eastAsia="en-US"/>
              </w:rPr>
              <w:t>TFI</w:t>
            </w:r>
          </w:p>
        </w:tc>
        <w:tc>
          <w:tcPr>
            <w:tcW w:w="2268" w:type="dxa"/>
            <w:gridSpan w:val="4"/>
            <w:tcBorders>
              <w:top w:val="single" w:sz="6" w:space="0" w:color="auto"/>
              <w:left w:val="single" w:sz="6" w:space="0" w:color="auto"/>
              <w:bottom w:val="single" w:sz="6" w:space="0" w:color="auto"/>
            </w:tcBorders>
          </w:tcPr>
          <w:p w14:paraId="12DD555C" w14:textId="77777777" w:rsidR="00711444" w:rsidRPr="004D0DAA" w:rsidRDefault="00711444" w:rsidP="00AA2A4C">
            <w:pPr>
              <w:pStyle w:val="TAC"/>
              <w:rPr>
                <w:lang w:eastAsia="en-US"/>
              </w:rPr>
            </w:pPr>
            <w:r w:rsidRPr="004D0DAA">
              <w:rPr>
                <w:lang w:eastAsia="en-US"/>
              </w:rPr>
              <w:t>Countdown Value</w:t>
            </w:r>
          </w:p>
        </w:tc>
        <w:tc>
          <w:tcPr>
            <w:tcW w:w="567" w:type="dxa"/>
            <w:tcBorders>
              <w:top w:val="single" w:sz="6" w:space="0" w:color="auto"/>
              <w:left w:val="single" w:sz="6" w:space="0" w:color="auto"/>
              <w:bottom w:val="single" w:sz="6" w:space="0" w:color="auto"/>
            </w:tcBorders>
          </w:tcPr>
          <w:p w14:paraId="50205AAD" w14:textId="77777777" w:rsidR="00711444" w:rsidRPr="004D0DAA" w:rsidRDefault="00711444" w:rsidP="00AA2A4C">
            <w:pPr>
              <w:pStyle w:val="TAC"/>
              <w:rPr>
                <w:lang w:eastAsia="en-US"/>
              </w:rPr>
            </w:pPr>
            <w:r w:rsidRPr="004D0DAA">
              <w:rPr>
                <w:lang w:eastAsia="en-US"/>
              </w:rPr>
              <w:t>SI</w:t>
            </w:r>
          </w:p>
        </w:tc>
        <w:tc>
          <w:tcPr>
            <w:tcW w:w="567" w:type="dxa"/>
            <w:tcBorders>
              <w:top w:val="single" w:sz="6" w:space="0" w:color="auto"/>
              <w:left w:val="single" w:sz="6" w:space="0" w:color="auto"/>
              <w:bottom w:val="single" w:sz="6" w:space="0" w:color="auto"/>
              <w:right w:val="single" w:sz="6" w:space="0" w:color="auto"/>
            </w:tcBorders>
          </w:tcPr>
          <w:p w14:paraId="044377CB"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2B574B2A" w14:textId="77777777" w:rsidR="00711444" w:rsidRPr="004D0DAA" w:rsidRDefault="00711444" w:rsidP="00AA2A4C">
            <w:pPr>
              <w:pStyle w:val="TAC"/>
              <w:rPr>
                <w:lang w:eastAsia="en-US"/>
              </w:rPr>
            </w:pPr>
            <w:r w:rsidRPr="004D0DAA">
              <w:rPr>
                <w:lang w:eastAsia="en-US"/>
              </w:rPr>
              <w:t>1</w:t>
            </w:r>
          </w:p>
        </w:tc>
      </w:tr>
      <w:tr w:rsidR="00711444" w:rsidRPr="004D0DAA" w14:paraId="16EFCF95" w14:textId="77777777" w:rsidTr="00AA2A4C">
        <w:tblPrEx>
          <w:tblCellMar>
            <w:top w:w="0" w:type="dxa"/>
            <w:bottom w:w="0" w:type="dxa"/>
          </w:tblCellMar>
        </w:tblPrEx>
        <w:trPr>
          <w:cantSplit/>
          <w:jc w:val="center"/>
        </w:trPr>
        <w:tc>
          <w:tcPr>
            <w:tcW w:w="2864" w:type="dxa"/>
            <w:gridSpan w:val="5"/>
            <w:tcBorders>
              <w:left w:val="single" w:sz="6" w:space="0" w:color="auto"/>
              <w:right w:val="single" w:sz="6" w:space="0" w:color="auto"/>
            </w:tcBorders>
          </w:tcPr>
          <w:p w14:paraId="3344549B" w14:textId="77777777" w:rsidR="00711444" w:rsidRPr="004D0DAA" w:rsidRDefault="00711444" w:rsidP="00AA2A4C">
            <w:pPr>
              <w:pStyle w:val="TAC"/>
              <w:rPr>
                <w:lang w:eastAsia="en-US"/>
              </w:rPr>
            </w:pPr>
            <w:r w:rsidRPr="004D0DAA">
              <w:rPr>
                <w:lang w:eastAsia="en-US"/>
              </w:rPr>
              <w:t>BSN1</w:t>
            </w:r>
          </w:p>
        </w:tc>
        <w:tc>
          <w:tcPr>
            <w:tcW w:w="1701" w:type="dxa"/>
            <w:gridSpan w:val="3"/>
            <w:tcBorders>
              <w:left w:val="single" w:sz="6" w:space="0" w:color="auto"/>
              <w:right w:val="single" w:sz="6" w:space="0" w:color="auto"/>
            </w:tcBorders>
          </w:tcPr>
          <w:p w14:paraId="5F6E8DF5"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2F48CD11" w14:textId="77777777" w:rsidR="00711444" w:rsidRPr="004D0DAA" w:rsidRDefault="00711444" w:rsidP="00AA2A4C">
            <w:pPr>
              <w:pStyle w:val="TAC"/>
              <w:rPr>
                <w:lang w:eastAsia="en-US"/>
              </w:rPr>
            </w:pPr>
            <w:r w:rsidRPr="004D0DAA">
              <w:rPr>
                <w:lang w:eastAsia="en-US"/>
              </w:rPr>
              <w:t>2</w:t>
            </w:r>
          </w:p>
        </w:tc>
      </w:tr>
      <w:tr w:rsidR="00711444" w:rsidRPr="004D0DAA" w14:paraId="49F6AEF3"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08FB48C5" w14:textId="77777777" w:rsidR="00711444" w:rsidRPr="004D0DAA" w:rsidRDefault="00711444" w:rsidP="00AA2A4C">
            <w:pPr>
              <w:pStyle w:val="TAC"/>
              <w:rPr>
                <w:lang w:eastAsia="en-US"/>
              </w:rPr>
            </w:pPr>
            <w:r w:rsidRPr="004D0DAA">
              <w:rPr>
                <w:lang w:eastAsia="en-US"/>
              </w:rPr>
              <w:t>BSN2</w:t>
            </w:r>
          </w:p>
        </w:tc>
        <w:tc>
          <w:tcPr>
            <w:tcW w:w="3402" w:type="dxa"/>
            <w:gridSpan w:val="6"/>
            <w:tcBorders>
              <w:top w:val="single" w:sz="6" w:space="0" w:color="auto"/>
              <w:left w:val="single" w:sz="6" w:space="0" w:color="auto"/>
              <w:right w:val="single" w:sz="6" w:space="0" w:color="auto"/>
            </w:tcBorders>
          </w:tcPr>
          <w:p w14:paraId="2B23658A"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07FB2CEA" w14:textId="77777777" w:rsidR="00711444" w:rsidRPr="004D0DAA" w:rsidRDefault="00711444" w:rsidP="00AA2A4C">
            <w:pPr>
              <w:pStyle w:val="TAC"/>
              <w:rPr>
                <w:lang w:eastAsia="en-US"/>
              </w:rPr>
            </w:pPr>
            <w:r w:rsidRPr="004D0DAA">
              <w:rPr>
                <w:lang w:eastAsia="en-US"/>
              </w:rPr>
              <w:t>3</w:t>
            </w:r>
          </w:p>
        </w:tc>
      </w:tr>
      <w:tr w:rsidR="00711444" w:rsidRPr="004D0DAA" w14:paraId="00D28E94" w14:textId="77777777" w:rsidTr="00AA2A4C">
        <w:tblPrEx>
          <w:tblCellMar>
            <w:top w:w="0" w:type="dxa"/>
            <w:bottom w:w="0" w:type="dxa"/>
          </w:tblCellMar>
        </w:tblPrEx>
        <w:trPr>
          <w:cantSplit/>
          <w:jc w:val="center"/>
        </w:trPr>
        <w:tc>
          <w:tcPr>
            <w:tcW w:w="4565" w:type="dxa"/>
            <w:gridSpan w:val="8"/>
            <w:tcBorders>
              <w:top w:val="single" w:sz="6" w:space="0" w:color="auto"/>
              <w:left w:val="single" w:sz="6" w:space="0" w:color="auto"/>
              <w:right w:val="single" w:sz="6" w:space="0" w:color="auto"/>
            </w:tcBorders>
          </w:tcPr>
          <w:p w14:paraId="17A284FC"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50D46FD1" w14:textId="77777777" w:rsidR="00711444" w:rsidRPr="004D0DAA" w:rsidRDefault="00711444" w:rsidP="00AA2A4C">
            <w:pPr>
              <w:pStyle w:val="TAC"/>
              <w:rPr>
                <w:lang w:eastAsia="en-US"/>
              </w:rPr>
            </w:pPr>
            <w:r w:rsidRPr="004D0DAA">
              <w:rPr>
                <w:lang w:eastAsia="en-US"/>
              </w:rPr>
              <w:t>4</w:t>
            </w:r>
          </w:p>
        </w:tc>
      </w:tr>
      <w:tr w:rsidR="00711444" w:rsidRPr="004D0DAA" w14:paraId="30C4FBB7" w14:textId="77777777" w:rsidTr="00AA2A4C">
        <w:tblPrEx>
          <w:tblCellMar>
            <w:top w:w="0" w:type="dxa"/>
            <w:bottom w:w="0" w:type="dxa"/>
          </w:tblCellMar>
        </w:tblPrEx>
        <w:trPr>
          <w:cantSplit/>
          <w:jc w:val="center"/>
        </w:trPr>
        <w:tc>
          <w:tcPr>
            <w:tcW w:w="4565" w:type="dxa"/>
            <w:gridSpan w:val="8"/>
            <w:tcBorders>
              <w:top w:val="single" w:sz="6" w:space="0" w:color="auto"/>
              <w:left w:val="single" w:sz="6" w:space="0" w:color="auto"/>
              <w:right w:val="single" w:sz="6" w:space="0" w:color="auto"/>
            </w:tcBorders>
          </w:tcPr>
          <w:p w14:paraId="28B47B97"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2EF60FB2" w14:textId="77777777" w:rsidR="00711444" w:rsidRPr="004D0DAA" w:rsidRDefault="00711444" w:rsidP="00AA2A4C">
            <w:pPr>
              <w:pStyle w:val="TAC"/>
              <w:rPr>
                <w:lang w:eastAsia="en-US"/>
              </w:rPr>
            </w:pPr>
            <w:r w:rsidRPr="004D0DAA">
              <w:rPr>
                <w:lang w:eastAsia="en-US"/>
              </w:rPr>
              <w:t>5</w:t>
            </w:r>
          </w:p>
        </w:tc>
      </w:tr>
      <w:tr w:rsidR="00711444" w:rsidRPr="004D0DAA" w14:paraId="7DAFB96F" w14:textId="77777777" w:rsidTr="00AA2A4C">
        <w:tblPrEx>
          <w:tblCellMar>
            <w:top w:w="0" w:type="dxa"/>
            <w:bottom w:w="0" w:type="dxa"/>
          </w:tblCellMar>
        </w:tblPrEx>
        <w:trPr>
          <w:cantSplit/>
          <w:jc w:val="center"/>
        </w:trPr>
        <w:tc>
          <w:tcPr>
            <w:tcW w:w="3431" w:type="dxa"/>
            <w:gridSpan w:val="6"/>
            <w:tcBorders>
              <w:top w:val="single" w:sz="6" w:space="0" w:color="auto"/>
              <w:left w:val="single" w:sz="6" w:space="0" w:color="auto"/>
              <w:right w:val="single" w:sz="6" w:space="0" w:color="auto"/>
            </w:tcBorders>
          </w:tcPr>
          <w:p w14:paraId="0FF967B9" w14:textId="77777777" w:rsidR="00711444" w:rsidRPr="004D0DAA" w:rsidRDefault="00711444" w:rsidP="00AA2A4C">
            <w:pPr>
              <w:pStyle w:val="TAC"/>
              <w:rPr>
                <w:lang w:eastAsia="en-US"/>
              </w:rPr>
            </w:pPr>
            <w:r w:rsidRPr="004D0DAA">
              <w:rPr>
                <w:lang w:eastAsia="en-US"/>
              </w:rPr>
              <w:t>CPS</w:t>
            </w:r>
          </w:p>
        </w:tc>
        <w:tc>
          <w:tcPr>
            <w:tcW w:w="1134" w:type="dxa"/>
            <w:gridSpan w:val="2"/>
            <w:tcBorders>
              <w:top w:val="single" w:sz="6" w:space="0" w:color="auto"/>
              <w:left w:val="single" w:sz="6" w:space="0" w:color="auto"/>
              <w:bottom w:val="single" w:sz="6" w:space="0" w:color="auto"/>
              <w:right w:val="single" w:sz="6" w:space="0" w:color="auto"/>
            </w:tcBorders>
          </w:tcPr>
          <w:p w14:paraId="6E0CE3EE"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7F912119" w14:textId="77777777" w:rsidR="00711444" w:rsidRPr="004D0DAA" w:rsidRDefault="00711444" w:rsidP="00AA2A4C">
            <w:pPr>
              <w:pStyle w:val="TAC"/>
              <w:rPr>
                <w:lang w:eastAsia="en-US"/>
              </w:rPr>
            </w:pPr>
            <w:r w:rsidRPr="004D0DAA">
              <w:rPr>
                <w:lang w:eastAsia="en-US"/>
              </w:rPr>
              <w:t>6</w:t>
            </w:r>
          </w:p>
        </w:tc>
      </w:tr>
      <w:tr w:rsidR="00711444" w:rsidRPr="004D0DAA" w14:paraId="0B007562" w14:textId="77777777" w:rsidTr="00AA2A4C">
        <w:tblPrEx>
          <w:tblCellMar>
            <w:top w:w="0" w:type="dxa"/>
            <w:bottom w:w="0" w:type="dxa"/>
          </w:tblCellMar>
        </w:tblPrEx>
        <w:trPr>
          <w:cantSplit/>
          <w:jc w:val="center"/>
        </w:trPr>
        <w:tc>
          <w:tcPr>
            <w:tcW w:w="586" w:type="dxa"/>
            <w:tcBorders>
              <w:top w:val="single" w:sz="6" w:space="0" w:color="auto"/>
            </w:tcBorders>
          </w:tcPr>
          <w:p w14:paraId="5969D32E" w14:textId="77777777" w:rsidR="00711444" w:rsidRPr="004D0DAA" w:rsidRDefault="00711444" w:rsidP="00AA2A4C"/>
        </w:tc>
        <w:tc>
          <w:tcPr>
            <w:tcW w:w="577" w:type="dxa"/>
            <w:tcBorders>
              <w:top w:val="single" w:sz="6" w:space="0" w:color="auto"/>
            </w:tcBorders>
          </w:tcPr>
          <w:p w14:paraId="4BD76F4A" w14:textId="77777777" w:rsidR="00711444" w:rsidRPr="004D0DAA" w:rsidRDefault="00711444" w:rsidP="00AA2A4C"/>
        </w:tc>
        <w:tc>
          <w:tcPr>
            <w:tcW w:w="567" w:type="dxa"/>
            <w:tcBorders>
              <w:top w:val="single" w:sz="6" w:space="0" w:color="auto"/>
            </w:tcBorders>
          </w:tcPr>
          <w:p w14:paraId="22D55316" w14:textId="77777777" w:rsidR="00711444" w:rsidRPr="004D0DAA" w:rsidRDefault="00711444" w:rsidP="00AA2A4C"/>
        </w:tc>
        <w:tc>
          <w:tcPr>
            <w:tcW w:w="567" w:type="dxa"/>
            <w:tcBorders>
              <w:top w:val="single" w:sz="6" w:space="0" w:color="auto"/>
              <w:right w:val="single" w:sz="6" w:space="0" w:color="auto"/>
            </w:tcBorders>
          </w:tcPr>
          <w:p w14:paraId="6CE1275D" w14:textId="77777777" w:rsidR="00711444" w:rsidRPr="004D0DAA" w:rsidRDefault="00711444" w:rsidP="00AA2A4C"/>
        </w:tc>
        <w:tc>
          <w:tcPr>
            <w:tcW w:w="1134" w:type="dxa"/>
            <w:gridSpan w:val="2"/>
            <w:tcBorders>
              <w:top w:val="single" w:sz="6" w:space="0" w:color="auto"/>
              <w:left w:val="single" w:sz="6" w:space="0" w:color="auto"/>
              <w:bottom w:val="single" w:sz="6" w:space="0" w:color="auto"/>
              <w:right w:val="single" w:sz="6" w:space="0" w:color="auto"/>
            </w:tcBorders>
          </w:tcPr>
          <w:p w14:paraId="14B019B7" w14:textId="77777777" w:rsidR="00711444" w:rsidRPr="004D0DAA" w:rsidRDefault="00711444" w:rsidP="00AA2A4C">
            <w:pPr>
              <w:pStyle w:val="TAC"/>
              <w:rPr>
                <w:lang w:eastAsia="en-US"/>
              </w:rPr>
            </w:pPr>
            <w:r w:rsidRPr="004D0DAA">
              <w:rPr>
                <w:lang w:eastAsia="en-US"/>
              </w:rPr>
              <w:t>Spare</w:t>
            </w:r>
          </w:p>
        </w:tc>
        <w:tc>
          <w:tcPr>
            <w:tcW w:w="567" w:type="dxa"/>
            <w:tcBorders>
              <w:top w:val="single" w:sz="6" w:space="0" w:color="auto"/>
              <w:left w:val="single" w:sz="6" w:space="0" w:color="auto"/>
              <w:bottom w:val="single" w:sz="6" w:space="0" w:color="auto"/>
              <w:right w:val="single" w:sz="6" w:space="0" w:color="auto"/>
            </w:tcBorders>
          </w:tcPr>
          <w:p w14:paraId="42D74FEE" w14:textId="77777777" w:rsidR="00711444" w:rsidRPr="004D0DAA" w:rsidRDefault="00711444" w:rsidP="00AA2A4C">
            <w:pPr>
              <w:pStyle w:val="TAC"/>
              <w:rPr>
                <w:lang w:eastAsia="en-US"/>
              </w:rPr>
            </w:pPr>
            <w:r w:rsidRPr="004D0DAA">
              <w:rPr>
                <w:lang w:eastAsia="en-US"/>
              </w:rPr>
              <w:t>PANI</w:t>
            </w:r>
          </w:p>
        </w:tc>
        <w:tc>
          <w:tcPr>
            <w:tcW w:w="567" w:type="dxa"/>
            <w:tcBorders>
              <w:top w:val="single" w:sz="6" w:space="0" w:color="auto"/>
              <w:left w:val="single" w:sz="6" w:space="0" w:color="auto"/>
              <w:bottom w:val="single" w:sz="6" w:space="0" w:color="auto"/>
              <w:right w:val="single" w:sz="6" w:space="0" w:color="auto"/>
            </w:tcBorders>
          </w:tcPr>
          <w:p w14:paraId="59223E1E" w14:textId="77777777" w:rsidR="00711444" w:rsidRPr="004D0DAA" w:rsidRDefault="00711444" w:rsidP="00AA2A4C">
            <w:pPr>
              <w:pStyle w:val="TAC"/>
              <w:rPr>
                <w:lang w:eastAsia="en-US"/>
              </w:rPr>
            </w:pPr>
            <w:r w:rsidRPr="004D0DAA">
              <w:rPr>
                <w:lang w:eastAsia="en-US"/>
              </w:rPr>
              <w:t>PI</w:t>
            </w:r>
          </w:p>
        </w:tc>
        <w:tc>
          <w:tcPr>
            <w:tcW w:w="1144" w:type="dxa"/>
          </w:tcPr>
          <w:p w14:paraId="11B5EAE1" w14:textId="77777777" w:rsidR="00711444" w:rsidRPr="004D0DAA" w:rsidRDefault="00711444" w:rsidP="00AA2A4C">
            <w:pPr>
              <w:pStyle w:val="TAC"/>
              <w:rPr>
                <w:lang w:eastAsia="en-US"/>
              </w:rPr>
            </w:pPr>
            <w:r w:rsidRPr="004D0DAA">
              <w:rPr>
                <w:lang w:eastAsia="en-US"/>
              </w:rPr>
              <w:t>7</w:t>
            </w:r>
          </w:p>
        </w:tc>
      </w:tr>
    </w:tbl>
    <w:p w14:paraId="2BA3FA8F" w14:textId="77777777" w:rsidR="00711444" w:rsidRPr="004D0DAA" w:rsidRDefault="00711444" w:rsidP="00711444">
      <w:pPr>
        <w:pStyle w:val="NF"/>
      </w:pPr>
    </w:p>
    <w:p w14:paraId="4CCFFE24" w14:textId="77777777" w:rsidR="00711444" w:rsidRPr="004D0DAA" w:rsidRDefault="00711444" w:rsidP="00711444">
      <w:pPr>
        <w:pStyle w:val="TF"/>
      </w:pPr>
      <w:r w:rsidRPr="004D0DAA">
        <w:t>Figure 10.3a.4.5.1: Combined uplink RLC data block header</w:t>
      </w:r>
      <w:r w:rsidRPr="004D0DAA">
        <w:br/>
        <w:t>for UAS-10, UAS-11.</w:t>
      </w:r>
    </w:p>
    <w:p w14:paraId="62557BC6" w14:textId="77777777" w:rsidR="00711444" w:rsidRPr="004D0DAA" w:rsidRDefault="00711444" w:rsidP="00711444">
      <w:pPr>
        <w:pStyle w:val="Heading4"/>
      </w:pPr>
      <w:bookmarkStart w:id="538" w:name="_Toc516669719"/>
      <w:r w:rsidRPr="004D0DAA">
        <w:t>10.3a.4.6</w:t>
      </w:r>
      <w:r w:rsidRPr="004D0DAA">
        <w:tab/>
        <w:t>Header type 6: header for UBS-5 and UBS-6</w:t>
      </w:r>
      <w:bookmarkEnd w:id="538"/>
    </w:p>
    <w:p w14:paraId="047A4CD3" w14:textId="77777777" w:rsidR="00711444" w:rsidRPr="004D0DAA" w:rsidRDefault="00711444" w:rsidP="00711444">
      <w:r w:rsidRPr="004D0DAA">
        <w:t>The combined uplink RLC/MAC header for UBS-5 and UBS-6 (header type 6) shall be formatted according to figure 10.3a.4.6.1.</w:t>
      </w:r>
    </w:p>
    <w:tbl>
      <w:tblPr>
        <w:tblW w:w="0" w:type="auto"/>
        <w:jc w:val="center"/>
        <w:tblLayout w:type="fixed"/>
        <w:tblCellMar>
          <w:left w:w="28" w:type="dxa"/>
          <w:right w:w="28" w:type="dxa"/>
        </w:tblCellMar>
        <w:tblLook w:val="0000" w:firstRow="0" w:lastRow="0" w:firstColumn="0" w:lastColumn="0" w:noHBand="0" w:noVBand="0"/>
      </w:tblPr>
      <w:tblGrid>
        <w:gridCol w:w="575"/>
        <w:gridCol w:w="11"/>
        <w:gridCol w:w="550"/>
        <w:gridCol w:w="15"/>
        <w:gridCol w:w="575"/>
        <w:gridCol w:w="9"/>
        <w:gridCol w:w="567"/>
        <w:gridCol w:w="568"/>
        <w:gridCol w:w="570"/>
        <w:gridCol w:w="571"/>
        <w:gridCol w:w="568"/>
        <w:gridCol w:w="1144"/>
      </w:tblGrid>
      <w:tr w:rsidR="00711444" w:rsidRPr="004D0DAA" w14:paraId="42D9BC89" w14:textId="77777777" w:rsidTr="00AA2A4C">
        <w:tblPrEx>
          <w:tblCellMar>
            <w:top w:w="0" w:type="dxa"/>
            <w:bottom w:w="0" w:type="dxa"/>
          </w:tblCellMar>
        </w:tblPrEx>
        <w:trPr>
          <w:cantSplit/>
          <w:jc w:val="center"/>
        </w:trPr>
        <w:tc>
          <w:tcPr>
            <w:tcW w:w="4579" w:type="dxa"/>
            <w:gridSpan w:val="11"/>
          </w:tcPr>
          <w:p w14:paraId="62E1F1B9" w14:textId="77777777" w:rsidR="00711444" w:rsidRPr="004D0DAA" w:rsidRDefault="00711444" w:rsidP="00AA2A4C">
            <w:pPr>
              <w:pStyle w:val="TAC"/>
              <w:rPr>
                <w:lang w:eastAsia="en-US"/>
              </w:rPr>
            </w:pPr>
            <w:r w:rsidRPr="004D0DAA">
              <w:rPr>
                <w:lang w:eastAsia="en-US"/>
              </w:rPr>
              <w:t>Bit</w:t>
            </w:r>
          </w:p>
        </w:tc>
        <w:tc>
          <w:tcPr>
            <w:tcW w:w="1144" w:type="dxa"/>
          </w:tcPr>
          <w:p w14:paraId="11033375" w14:textId="77777777" w:rsidR="00711444" w:rsidRPr="004D0DAA" w:rsidRDefault="00711444" w:rsidP="00AA2A4C">
            <w:pPr>
              <w:pStyle w:val="TAC"/>
              <w:rPr>
                <w:lang w:eastAsia="en-US"/>
              </w:rPr>
            </w:pPr>
          </w:p>
        </w:tc>
      </w:tr>
      <w:tr w:rsidR="00711444" w:rsidRPr="004D0DAA" w14:paraId="62C8A116" w14:textId="77777777" w:rsidTr="00AA2A4C">
        <w:tblPrEx>
          <w:tblCellMar>
            <w:top w:w="0" w:type="dxa"/>
            <w:bottom w:w="0" w:type="dxa"/>
          </w:tblCellMar>
        </w:tblPrEx>
        <w:trPr>
          <w:cantSplit/>
          <w:jc w:val="center"/>
        </w:trPr>
        <w:tc>
          <w:tcPr>
            <w:tcW w:w="586" w:type="dxa"/>
            <w:gridSpan w:val="2"/>
          </w:tcPr>
          <w:p w14:paraId="3622B3FA" w14:textId="77777777" w:rsidR="00711444" w:rsidRPr="004D0DAA" w:rsidRDefault="00711444" w:rsidP="00AA2A4C">
            <w:pPr>
              <w:pStyle w:val="TAC"/>
              <w:rPr>
                <w:lang w:eastAsia="en-US"/>
              </w:rPr>
            </w:pPr>
            <w:r w:rsidRPr="004D0DAA">
              <w:rPr>
                <w:lang w:eastAsia="en-US"/>
              </w:rPr>
              <w:t>8</w:t>
            </w:r>
          </w:p>
        </w:tc>
        <w:tc>
          <w:tcPr>
            <w:tcW w:w="550" w:type="dxa"/>
          </w:tcPr>
          <w:p w14:paraId="6C5F6059" w14:textId="77777777" w:rsidR="00711444" w:rsidRPr="004D0DAA" w:rsidRDefault="00711444" w:rsidP="00AA2A4C">
            <w:pPr>
              <w:pStyle w:val="TAC"/>
              <w:rPr>
                <w:lang w:eastAsia="en-US"/>
              </w:rPr>
            </w:pPr>
            <w:r w:rsidRPr="004D0DAA">
              <w:rPr>
                <w:lang w:eastAsia="en-US"/>
              </w:rPr>
              <w:t>7</w:t>
            </w:r>
          </w:p>
        </w:tc>
        <w:tc>
          <w:tcPr>
            <w:tcW w:w="599" w:type="dxa"/>
            <w:gridSpan w:val="3"/>
          </w:tcPr>
          <w:p w14:paraId="22003111" w14:textId="77777777" w:rsidR="00711444" w:rsidRPr="004D0DAA" w:rsidRDefault="00711444" w:rsidP="00AA2A4C">
            <w:pPr>
              <w:pStyle w:val="TAC"/>
              <w:rPr>
                <w:lang w:eastAsia="en-US"/>
              </w:rPr>
            </w:pPr>
            <w:r w:rsidRPr="004D0DAA">
              <w:rPr>
                <w:lang w:eastAsia="en-US"/>
              </w:rPr>
              <w:t>6</w:t>
            </w:r>
          </w:p>
        </w:tc>
        <w:tc>
          <w:tcPr>
            <w:tcW w:w="567" w:type="dxa"/>
          </w:tcPr>
          <w:p w14:paraId="7C672107" w14:textId="77777777" w:rsidR="00711444" w:rsidRPr="004D0DAA" w:rsidRDefault="00711444" w:rsidP="00AA2A4C">
            <w:pPr>
              <w:pStyle w:val="TAC"/>
              <w:rPr>
                <w:lang w:eastAsia="en-US"/>
              </w:rPr>
            </w:pPr>
            <w:r w:rsidRPr="004D0DAA">
              <w:rPr>
                <w:lang w:eastAsia="en-US"/>
              </w:rPr>
              <w:t>5</w:t>
            </w:r>
          </w:p>
        </w:tc>
        <w:tc>
          <w:tcPr>
            <w:tcW w:w="568" w:type="dxa"/>
          </w:tcPr>
          <w:p w14:paraId="1B6B112A" w14:textId="77777777" w:rsidR="00711444" w:rsidRPr="004D0DAA" w:rsidRDefault="00711444" w:rsidP="00AA2A4C">
            <w:pPr>
              <w:pStyle w:val="TAC"/>
              <w:rPr>
                <w:lang w:eastAsia="en-US"/>
              </w:rPr>
            </w:pPr>
            <w:r w:rsidRPr="004D0DAA">
              <w:rPr>
                <w:lang w:eastAsia="en-US"/>
              </w:rPr>
              <w:t>4</w:t>
            </w:r>
          </w:p>
        </w:tc>
        <w:tc>
          <w:tcPr>
            <w:tcW w:w="570" w:type="dxa"/>
          </w:tcPr>
          <w:p w14:paraId="757E4967" w14:textId="77777777" w:rsidR="00711444" w:rsidRPr="004D0DAA" w:rsidRDefault="00711444" w:rsidP="00AA2A4C">
            <w:pPr>
              <w:pStyle w:val="TAC"/>
              <w:rPr>
                <w:lang w:eastAsia="en-US"/>
              </w:rPr>
            </w:pPr>
            <w:r w:rsidRPr="004D0DAA">
              <w:rPr>
                <w:lang w:eastAsia="en-US"/>
              </w:rPr>
              <w:t>3</w:t>
            </w:r>
          </w:p>
        </w:tc>
        <w:tc>
          <w:tcPr>
            <w:tcW w:w="571" w:type="dxa"/>
          </w:tcPr>
          <w:p w14:paraId="08D2E9C2" w14:textId="77777777" w:rsidR="00711444" w:rsidRPr="004D0DAA" w:rsidRDefault="00711444" w:rsidP="00AA2A4C">
            <w:pPr>
              <w:pStyle w:val="TAC"/>
              <w:rPr>
                <w:lang w:eastAsia="en-US"/>
              </w:rPr>
            </w:pPr>
            <w:r w:rsidRPr="004D0DAA">
              <w:rPr>
                <w:lang w:eastAsia="en-US"/>
              </w:rPr>
              <w:t>2</w:t>
            </w:r>
          </w:p>
        </w:tc>
        <w:tc>
          <w:tcPr>
            <w:tcW w:w="568" w:type="dxa"/>
          </w:tcPr>
          <w:p w14:paraId="1E5E7C57" w14:textId="77777777" w:rsidR="00711444" w:rsidRPr="004D0DAA" w:rsidRDefault="00711444" w:rsidP="00AA2A4C">
            <w:pPr>
              <w:pStyle w:val="TAC"/>
              <w:rPr>
                <w:lang w:eastAsia="en-US"/>
              </w:rPr>
            </w:pPr>
            <w:r w:rsidRPr="004D0DAA">
              <w:rPr>
                <w:lang w:eastAsia="en-US"/>
              </w:rPr>
              <w:t>1</w:t>
            </w:r>
          </w:p>
        </w:tc>
        <w:tc>
          <w:tcPr>
            <w:tcW w:w="1144" w:type="dxa"/>
          </w:tcPr>
          <w:p w14:paraId="29D4C64F" w14:textId="77777777" w:rsidR="00711444" w:rsidRPr="004D0DAA" w:rsidRDefault="00711444" w:rsidP="00AA2A4C">
            <w:pPr>
              <w:pStyle w:val="TAC"/>
              <w:rPr>
                <w:lang w:eastAsia="en-US"/>
              </w:rPr>
            </w:pPr>
            <w:r w:rsidRPr="004D0DAA">
              <w:rPr>
                <w:lang w:eastAsia="en-US"/>
              </w:rPr>
              <w:t>Octet</w:t>
            </w:r>
          </w:p>
        </w:tc>
      </w:tr>
      <w:tr w:rsidR="00711444" w:rsidRPr="004D0DAA" w14:paraId="00AE28FA" w14:textId="77777777" w:rsidTr="00AA2A4C">
        <w:tblPrEx>
          <w:tblCellMar>
            <w:top w:w="0" w:type="dxa"/>
            <w:bottom w:w="0" w:type="dxa"/>
          </w:tblCellMar>
        </w:tblPrEx>
        <w:trPr>
          <w:cantSplit/>
          <w:jc w:val="center"/>
        </w:trPr>
        <w:tc>
          <w:tcPr>
            <w:tcW w:w="1136" w:type="dxa"/>
            <w:gridSpan w:val="3"/>
            <w:tcBorders>
              <w:top w:val="single" w:sz="6" w:space="0" w:color="auto"/>
              <w:left w:val="single" w:sz="6" w:space="0" w:color="auto"/>
              <w:bottom w:val="single" w:sz="6" w:space="0" w:color="auto"/>
            </w:tcBorders>
          </w:tcPr>
          <w:p w14:paraId="45D8A168" w14:textId="77777777" w:rsidR="00711444" w:rsidRPr="004D0DAA" w:rsidRDefault="00711444" w:rsidP="00AA2A4C">
            <w:pPr>
              <w:pStyle w:val="TAC"/>
              <w:rPr>
                <w:lang w:eastAsia="en-US"/>
              </w:rPr>
            </w:pPr>
            <w:r w:rsidRPr="004D0DAA">
              <w:rPr>
                <w:lang w:eastAsia="en-US"/>
              </w:rPr>
              <w:t>TFI</w:t>
            </w:r>
          </w:p>
        </w:tc>
        <w:tc>
          <w:tcPr>
            <w:tcW w:w="2304" w:type="dxa"/>
            <w:gridSpan w:val="6"/>
            <w:tcBorders>
              <w:top w:val="single" w:sz="6" w:space="0" w:color="auto"/>
              <w:left w:val="single" w:sz="6" w:space="0" w:color="auto"/>
              <w:bottom w:val="single" w:sz="6" w:space="0" w:color="auto"/>
            </w:tcBorders>
          </w:tcPr>
          <w:p w14:paraId="22B4F983" w14:textId="77777777" w:rsidR="00711444" w:rsidRPr="004D0DAA" w:rsidRDefault="00711444" w:rsidP="00AA2A4C">
            <w:pPr>
              <w:pStyle w:val="TAC"/>
              <w:rPr>
                <w:lang w:eastAsia="en-US"/>
              </w:rPr>
            </w:pPr>
            <w:r w:rsidRPr="004D0DAA">
              <w:rPr>
                <w:lang w:eastAsia="en-US"/>
              </w:rPr>
              <w:t>Countdown Value</w:t>
            </w:r>
          </w:p>
        </w:tc>
        <w:tc>
          <w:tcPr>
            <w:tcW w:w="571" w:type="dxa"/>
            <w:tcBorders>
              <w:top w:val="single" w:sz="6" w:space="0" w:color="auto"/>
              <w:left w:val="single" w:sz="6" w:space="0" w:color="auto"/>
              <w:bottom w:val="single" w:sz="6" w:space="0" w:color="auto"/>
            </w:tcBorders>
          </w:tcPr>
          <w:p w14:paraId="13D4CB31" w14:textId="77777777" w:rsidR="00711444" w:rsidRPr="004D0DAA" w:rsidRDefault="00711444" w:rsidP="00AA2A4C">
            <w:pPr>
              <w:pStyle w:val="TAC"/>
              <w:rPr>
                <w:lang w:eastAsia="en-US"/>
              </w:rPr>
            </w:pPr>
            <w:r w:rsidRPr="004D0DAA">
              <w:rPr>
                <w:lang w:eastAsia="en-US"/>
              </w:rPr>
              <w:t>SI</w:t>
            </w:r>
          </w:p>
        </w:tc>
        <w:tc>
          <w:tcPr>
            <w:tcW w:w="568" w:type="dxa"/>
            <w:tcBorders>
              <w:top w:val="single" w:sz="6" w:space="0" w:color="auto"/>
              <w:left w:val="single" w:sz="6" w:space="0" w:color="auto"/>
              <w:bottom w:val="single" w:sz="6" w:space="0" w:color="auto"/>
              <w:right w:val="single" w:sz="6" w:space="0" w:color="auto"/>
            </w:tcBorders>
          </w:tcPr>
          <w:p w14:paraId="6583DDE8"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0EE4F596" w14:textId="77777777" w:rsidR="00711444" w:rsidRPr="004D0DAA" w:rsidRDefault="00711444" w:rsidP="00AA2A4C">
            <w:pPr>
              <w:pStyle w:val="TAC"/>
              <w:rPr>
                <w:lang w:eastAsia="en-US"/>
              </w:rPr>
            </w:pPr>
            <w:r w:rsidRPr="004D0DAA">
              <w:rPr>
                <w:lang w:eastAsia="en-US"/>
              </w:rPr>
              <w:t>1</w:t>
            </w:r>
          </w:p>
        </w:tc>
      </w:tr>
      <w:tr w:rsidR="00711444" w:rsidRPr="004D0DAA" w14:paraId="4DE45DC2" w14:textId="77777777" w:rsidTr="00AA2A4C">
        <w:tblPrEx>
          <w:tblCellMar>
            <w:top w:w="0" w:type="dxa"/>
            <w:bottom w:w="0" w:type="dxa"/>
          </w:tblCellMar>
        </w:tblPrEx>
        <w:trPr>
          <w:cantSplit/>
          <w:jc w:val="center"/>
        </w:trPr>
        <w:tc>
          <w:tcPr>
            <w:tcW w:w="2870" w:type="dxa"/>
            <w:gridSpan w:val="8"/>
            <w:tcBorders>
              <w:left w:val="single" w:sz="6" w:space="0" w:color="auto"/>
              <w:right w:val="single" w:sz="6" w:space="0" w:color="auto"/>
            </w:tcBorders>
          </w:tcPr>
          <w:p w14:paraId="3466BC1D" w14:textId="77777777" w:rsidR="00711444" w:rsidRPr="004D0DAA" w:rsidRDefault="00711444" w:rsidP="00AA2A4C">
            <w:pPr>
              <w:pStyle w:val="TAC"/>
              <w:rPr>
                <w:lang w:eastAsia="en-US"/>
              </w:rPr>
            </w:pPr>
            <w:r w:rsidRPr="004D0DAA">
              <w:rPr>
                <w:lang w:eastAsia="en-US"/>
              </w:rPr>
              <w:t>BSN</w:t>
            </w:r>
          </w:p>
        </w:tc>
        <w:tc>
          <w:tcPr>
            <w:tcW w:w="1709" w:type="dxa"/>
            <w:gridSpan w:val="3"/>
            <w:tcBorders>
              <w:left w:val="single" w:sz="6" w:space="0" w:color="auto"/>
              <w:right w:val="single" w:sz="6" w:space="0" w:color="auto"/>
            </w:tcBorders>
          </w:tcPr>
          <w:p w14:paraId="644B6E57"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3CD4E1B9" w14:textId="77777777" w:rsidR="00711444" w:rsidRPr="004D0DAA" w:rsidRDefault="00711444" w:rsidP="00AA2A4C">
            <w:pPr>
              <w:pStyle w:val="TAC"/>
              <w:rPr>
                <w:lang w:eastAsia="en-US"/>
              </w:rPr>
            </w:pPr>
            <w:r w:rsidRPr="004D0DAA">
              <w:rPr>
                <w:lang w:eastAsia="en-US"/>
              </w:rPr>
              <w:t>2</w:t>
            </w:r>
          </w:p>
        </w:tc>
      </w:tr>
      <w:tr w:rsidR="00711444" w:rsidRPr="004D0DAA" w14:paraId="78687105" w14:textId="77777777" w:rsidTr="00AA2A4C">
        <w:tblPrEx>
          <w:tblCellMar>
            <w:top w:w="0" w:type="dxa"/>
            <w:bottom w:w="0" w:type="dxa"/>
          </w:tblCellMar>
        </w:tblPrEx>
        <w:trPr>
          <w:cantSplit/>
          <w:jc w:val="center"/>
        </w:trPr>
        <w:tc>
          <w:tcPr>
            <w:tcW w:w="1136" w:type="dxa"/>
            <w:gridSpan w:val="3"/>
            <w:tcBorders>
              <w:top w:val="single" w:sz="4" w:space="0" w:color="auto"/>
              <w:left w:val="single" w:sz="4" w:space="0" w:color="auto"/>
              <w:bottom w:val="single" w:sz="4" w:space="0" w:color="auto"/>
              <w:right w:val="single" w:sz="4" w:space="0" w:color="auto"/>
            </w:tcBorders>
          </w:tcPr>
          <w:p w14:paraId="4CEDB65D" w14:textId="77777777" w:rsidR="00711444" w:rsidRPr="004D0DAA" w:rsidRDefault="00711444" w:rsidP="00AA2A4C">
            <w:pPr>
              <w:pStyle w:val="TAC"/>
              <w:rPr>
                <w:lang w:eastAsia="en-US"/>
              </w:rPr>
            </w:pPr>
            <w:r w:rsidRPr="004D0DAA">
              <w:rPr>
                <w:lang w:eastAsia="en-US"/>
              </w:rPr>
              <w:t>CPS</w:t>
            </w:r>
          </w:p>
        </w:tc>
        <w:tc>
          <w:tcPr>
            <w:tcW w:w="3443" w:type="dxa"/>
            <w:gridSpan w:val="8"/>
            <w:tcBorders>
              <w:top w:val="single" w:sz="6" w:space="0" w:color="auto"/>
              <w:left w:val="single" w:sz="4" w:space="0" w:color="auto"/>
              <w:right w:val="single" w:sz="6" w:space="0" w:color="auto"/>
            </w:tcBorders>
          </w:tcPr>
          <w:p w14:paraId="5679F449" w14:textId="77777777" w:rsidR="00711444" w:rsidRPr="004D0DAA" w:rsidRDefault="00711444" w:rsidP="00AA2A4C">
            <w:pPr>
              <w:pStyle w:val="TAC"/>
              <w:rPr>
                <w:lang w:eastAsia="en-US"/>
              </w:rPr>
            </w:pPr>
            <w:r w:rsidRPr="004D0DAA">
              <w:rPr>
                <w:lang w:eastAsia="en-US"/>
              </w:rPr>
              <w:t>BSN</w:t>
            </w:r>
          </w:p>
        </w:tc>
        <w:tc>
          <w:tcPr>
            <w:tcW w:w="1144" w:type="dxa"/>
            <w:tcBorders>
              <w:left w:val="single" w:sz="6" w:space="0" w:color="auto"/>
            </w:tcBorders>
          </w:tcPr>
          <w:p w14:paraId="1F9D80F1" w14:textId="77777777" w:rsidR="00711444" w:rsidRPr="004D0DAA" w:rsidRDefault="00711444" w:rsidP="00AA2A4C">
            <w:pPr>
              <w:pStyle w:val="TAC"/>
              <w:rPr>
                <w:lang w:eastAsia="en-US"/>
              </w:rPr>
            </w:pPr>
            <w:r w:rsidRPr="004D0DAA">
              <w:rPr>
                <w:lang w:eastAsia="en-US"/>
              </w:rPr>
              <w:t>3</w:t>
            </w:r>
          </w:p>
        </w:tc>
      </w:tr>
      <w:tr w:rsidR="00711444" w:rsidRPr="004D0DAA" w14:paraId="5364C904" w14:textId="77777777" w:rsidTr="00AA2A4C">
        <w:tblPrEx>
          <w:tblCellMar>
            <w:top w:w="0" w:type="dxa"/>
            <w:bottom w:w="0" w:type="dxa"/>
          </w:tblCellMar>
        </w:tblPrEx>
        <w:trPr>
          <w:cantSplit/>
          <w:jc w:val="center"/>
        </w:trPr>
        <w:tc>
          <w:tcPr>
            <w:tcW w:w="575" w:type="dxa"/>
            <w:tcBorders>
              <w:top w:val="single" w:sz="4" w:space="0" w:color="auto"/>
            </w:tcBorders>
          </w:tcPr>
          <w:p w14:paraId="59C4B3FE" w14:textId="77777777" w:rsidR="00711444" w:rsidRPr="004D0DAA" w:rsidRDefault="00711444" w:rsidP="00AA2A4C"/>
        </w:tc>
        <w:tc>
          <w:tcPr>
            <w:tcW w:w="576" w:type="dxa"/>
            <w:gridSpan w:val="3"/>
            <w:tcBorders>
              <w:top w:val="single" w:sz="4" w:space="0" w:color="auto"/>
            </w:tcBorders>
          </w:tcPr>
          <w:p w14:paraId="6A39F5C1" w14:textId="77777777" w:rsidR="00711444" w:rsidRPr="004D0DAA" w:rsidRDefault="00711444" w:rsidP="00AA2A4C"/>
        </w:tc>
        <w:tc>
          <w:tcPr>
            <w:tcW w:w="575" w:type="dxa"/>
            <w:tcBorders>
              <w:top w:val="single" w:sz="4" w:space="0" w:color="auto"/>
              <w:right w:val="single" w:sz="4" w:space="0" w:color="auto"/>
            </w:tcBorders>
          </w:tcPr>
          <w:p w14:paraId="4C95EF30" w14:textId="77777777" w:rsidR="00711444" w:rsidRPr="004D0DAA" w:rsidRDefault="00711444" w:rsidP="00AA2A4C"/>
        </w:tc>
        <w:tc>
          <w:tcPr>
            <w:tcW w:w="1144" w:type="dxa"/>
            <w:gridSpan w:val="3"/>
            <w:tcBorders>
              <w:top w:val="single" w:sz="4" w:space="0" w:color="auto"/>
              <w:bottom w:val="single" w:sz="6" w:space="0" w:color="auto"/>
              <w:right w:val="single" w:sz="6" w:space="0" w:color="auto"/>
            </w:tcBorders>
          </w:tcPr>
          <w:p w14:paraId="2F05EADE" w14:textId="77777777" w:rsidR="00711444" w:rsidRPr="004D0DAA" w:rsidRDefault="00711444" w:rsidP="00AA2A4C">
            <w:pPr>
              <w:pStyle w:val="TAC"/>
              <w:rPr>
                <w:lang w:eastAsia="en-US"/>
              </w:rPr>
            </w:pPr>
            <w:r w:rsidRPr="004D0DAA">
              <w:rPr>
                <w:lang w:eastAsia="en-US"/>
              </w:rPr>
              <w:t>Spare</w:t>
            </w:r>
          </w:p>
        </w:tc>
        <w:tc>
          <w:tcPr>
            <w:tcW w:w="570" w:type="dxa"/>
            <w:tcBorders>
              <w:top w:val="single" w:sz="6" w:space="0" w:color="auto"/>
              <w:left w:val="single" w:sz="4" w:space="0" w:color="auto"/>
              <w:bottom w:val="single" w:sz="6" w:space="0" w:color="auto"/>
              <w:right w:val="single" w:sz="6" w:space="0" w:color="auto"/>
            </w:tcBorders>
          </w:tcPr>
          <w:p w14:paraId="111005BE" w14:textId="77777777" w:rsidR="00711444" w:rsidRPr="004D0DAA" w:rsidRDefault="00711444" w:rsidP="00AA2A4C">
            <w:pPr>
              <w:pStyle w:val="TAC"/>
              <w:rPr>
                <w:lang w:eastAsia="en-US"/>
              </w:rPr>
            </w:pPr>
            <w:r w:rsidRPr="004D0DAA">
              <w:rPr>
                <w:lang w:eastAsia="en-US"/>
              </w:rPr>
              <w:t>PANI</w:t>
            </w:r>
          </w:p>
        </w:tc>
        <w:tc>
          <w:tcPr>
            <w:tcW w:w="571" w:type="dxa"/>
            <w:tcBorders>
              <w:top w:val="single" w:sz="6" w:space="0" w:color="auto"/>
              <w:left w:val="single" w:sz="6" w:space="0" w:color="auto"/>
              <w:bottom w:val="single" w:sz="6" w:space="0" w:color="auto"/>
              <w:right w:val="single" w:sz="6" w:space="0" w:color="auto"/>
            </w:tcBorders>
          </w:tcPr>
          <w:p w14:paraId="2EB8FB41" w14:textId="77777777" w:rsidR="00711444" w:rsidRPr="004D0DAA" w:rsidRDefault="00711444" w:rsidP="00AA2A4C">
            <w:pPr>
              <w:pStyle w:val="TAC"/>
              <w:rPr>
                <w:lang w:eastAsia="en-US"/>
              </w:rPr>
            </w:pPr>
            <w:r w:rsidRPr="004D0DAA">
              <w:rPr>
                <w:lang w:eastAsia="en-US"/>
              </w:rPr>
              <w:t>PI</w:t>
            </w:r>
          </w:p>
        </w:tc>
        <w:tc>
          <w:tcPr>
            <w:tcW w:w="568" w:type="dxa"/>
            <w:tcBorders>
              <w:top w:val="single" w:sz="6" w:space="0" w:color="auto"/>
              <w:left w:val="single" w:sz="6" w:space="0" w:color="auto"/>
              <w:bottom w:val="single" w:sz="6" w:space="0" w:color="auto"/>
              <w:right w:val="single" w:sz="6" w:space="0" w:color="auto"/>
            </w:tcBorders>
          </w:tcPr>
          <w:p w14:paraId="098BAD0E"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4E7AADA7" w14:textId="77777777" w:rsidR="00711444" w:rsidRPr="004D0DAA" w:rsidRDefault="00711444" w:rsidP="00AA2A4C">
            <w:pPr>
              <w:pStyle w:val="TAC"/>
              <w:rPr>
                <w:lang w:eastAsia="en-US"/>
              </w:rPr>
            </w:pPr>
            <w:r w:rsidRPr="004D0DAA">
              <w:rPr>
                <w:lang w:eastAsia="en-US"/>
              </w:rPr>
              <w:t>4</w:t>
            </w:r>
          </w:p>
        </w:tc>
      </w:tr>
    </w:tbl>
    <w:p w14:paraId="5C808720" w14:textId="77777777" w:rsidR="00711444" w:rsidRPr="004D0DAA" w:rsidRDefault="00711444" w:rsidP="00711444">
      <w:pPr>
        <w:pStyle w:val="NF"/>
      </w:pPr>
    </w:p>
    <w:p w14:paraId="49CCCD50" w14:textId="77777777" w:rsidR="00711444" w:rsidRPr="004D0DAA" w:rsidRDefault="00711444" w:rsidP="00711444">
      <w:pPr>
        <w:pStyle w:val="TF"/>
      </w:pPr>
      <w:r w:rsidRPr="004D0DAA">
        <w:t>Figure 10.3a.4.6.1: Combined uplink RLC data block header</w:t>
      </w:r>
      <w:r w:rsidRPr="004D0DAA">
        <w:br/>
        <w:t>for UBS-5, UBS-6.</w:t>
      </w:r>
    </w:p>
    <w:p w14:paraId="50ED451C" w14:textId="77777777" w:rsidR="00711444" w:rsidRPr="004D0DAA" w:rsidRDefault="00711444" w:rsidP="00711444">
      <w:pPr>
        <w:pStyle w:val="Heading4"/>
      </w:pPr>
      <w:bookmarkStart w:id="539" w:name="_Toc516669720"/>
      <w:r w:rsidRPr="004D0DAA">
        <w:t>10.3a.4.7</w:t>
      </w:r>
      <w:r w:rsidRPr="004D0DAA">
        <w:tab/>
        <w:t>Header type 7: header for UBS-7 and UBS-8</w:t>
      </w:r>
      <w:bookmarkEnd w:id="539"/>
    </w:p>
    <w:p w14:paraId="39813537" w14:textId="77777777" w:rsidR="00711444" w:rsidRPr="004D0DAA" w:rsidRDefault="00711444" w:rsidP="00711444">
      <w:r w:rsidRPr="004D0DAA">
        <w:t>The combined uplink RLC/MAC header for UBS-7 and UBS-8 (header type 7) shall be formatted according to figure 10.3a.4.7.1.</w:t>
      </w:r>
    </w:p>
    <w:tbl>
      <w:tblPr>
        <w:tblW w:w="0" w:type="auto"/>
        <w:jc w:val="center"/>
        <w:tblLayout w:type="fixed"/>
        <w:tblCellMar>
          <w:left w:w="28" w:type="dxa"/>
          <w:right w:w="28" w:type="dxa"/>
        </w:tblCellMar>
        <w:tblLook w:val="0000" w:firstRow="0" w:lastRow="0" w:firstColumn="0" w:lastColumn="0" w:noHBand="0" w:noVBand="0"/>
      </w:tblPr>
      <w:tblGrid>
        <w:gridCol w:w="586"/>
        <w:gridCol w:w="571"/>
        <w:gridCol w:w="11"/>
        <w:gridCol w:w="567"/>
        <w:gridCol w:w="567"/>
        <w:gridCol w:w="567"/>
        <w:gridCol w:w="570"/>
        <w:gridCol w:w="568"/>
        <w:gridCol w:w="567"/>
        <w:gridCol w:w="1144"/>
      </w:tblGrid>
      <w:tr w:rsidR="00711444" w:rsidRPr="004D0DAA" w14:paraId="0B1F5628" w14:textId="77777777" w:rsidTr="00AA2A4C">
        <w:tblPrEx>
          <w:tblCellMar>
            <w:top w:w="0" w:type="dxa"/>
            <w:bottom w:w="0" w:type="dxa"/>
          </w:tblCellMar>
        </w:tblPrEx>
        <w:trPr>
          <w:cantSplit/>
          <w:jc w:val="center"/>
        </w:trPr>
        <w:tc>
          <w:tcPr>
            <w:tcW w:w="4574" w:type="dxa"/>
            <w:gridSpan w:val="9"/>
          </w:tcPr>
          <w:p w14:paraId="2CE343FE" w14:textId="77777777" w:rsidR="00711444" w:rsidRPr="004D0DAA" w:rsidRDefault="00711444" w:rsidP="00AA2A4C">
            <w:pPr>
              <w:pStyle w:val="TAC"/>
              <w:rPr>
                <w:lang w:eastAsia="en-US"/>
              </w:rPr>
            </w:pPr>
            <w:r w:rsidRPr="004D0DAA">
              <w:rPr>
                <w:lang w:eastAsia="en-US"/>
              </w:rPr>
              <w:t>Bit</w:t>
            </w:r>
          </w:p>
        </w:tc>
        <w:tc>
          <w:tcPr>
            <w:tcW w:w="1144" w:type="dxa"/>
          </w:tcPr>
          <w:p w14:paraId="25B425EA" w14:textId="77777777" w:rsidR="00711444" w:rsidRPr="004D0DAA" w:rsidRDefault="00711444" w:rsidP="00AA2A4C">
            <w:pPr>
              <w:pStyle w:val="TAC"/>
              <w:rPr>
                <w:lang w:eastAsia="en-US"/>
              </w:rPr>
            </w:pPr>
          </w:p>
        </w:tc>
      </w:tr>
      <w:tr w:rsidR="00711444" w:rsidRPr="004D0DAA" w14:paraId="7DAEC847" w14:textId="77777777" w:rsidTr="00AA2A4C">
        <w:tblPrEx>
          <w:tblCellMar>
            <w:top w:w="0" w:type="dxa"/>
            <w:bottom w:w="0" w:type="dxa"/>
          </w:tblCellMar>
        </w:tblPrEx>
        <w:trPr>
          <w:cantSplit/>
          <w:jc w:val="center"/>
        </w:trPr>
        <w:tc>
          <w:tcPr>
            <w:tcW w:w="586" w:type="dxa"/>
          </w:tcPr>
          <w:p w14:paraId="4C38EF55" w14:textId="77777777" w:rsidR="00711444" w:rsidRPr="004D0DAA" w:rsidRDefault="00711444" w:rsidP="00AA2A4C">
            <w:pPr>
              <w:pStyle w:val="TAC"/>
              <w:rPr>
                <w:lang w:eastAsia="en-US"/>
              </w:rPr>
            </w:pPr>
            <w:r w:rsidRPr="004D0DAA">
              <w:rPr>
                <w:lang w:eastAsia="en-US"/>
              </w:rPr>
              <w:t>8</w:t>
            </w:r>
          </w:p>
        </w:tc>
        <w:tc>
          <w:tcPr>
            <w:tcW w:w="582" w:type="dxa"/>
            <w:gridSpan w:val="2"/>
          </w:tcPr>
          <w:p w14:paraId="3F426F90" w14:textId="77777777" w:rsidR="00711444" w:rsidRPr="004D0DAA" w:rsidRDefault="00711444" w:rsidP="00AA2A4C">
            <w:pPr>
              <w:pStyle w:val="TAC"/>
              <w:rPr>
                <w:lang w:eastAsia="en-US"/>
              </w:rPr>
            </w:pPr>
            <w:r w:rsidRPr="004D0DAA">
              <w:rPr>
                <w:lang w:eastAsia="en-US"/>
              </w:rPr>
              <w:t>7</w:t>
            </w:r>
          </w:p>
        </w:tc>
        <w:tc>
          <w:tcPr>
            <w:tcW w:w="567" w:type="dxa"/>
          </w:tcPr>
          <w:p w14:paraId="72BEBF6D" w14:textId="77777777" w:rsidR="00711444" w:rsidRPr="004D0DAA" w:rsidRDefault="00711444" w:rsidP="00AA2A4C">
            <w:pPr>
              <w:pStyle w:val="TAC"/>
              <w:rPr>
                <w:lang w:eastAsia="en-US"/>
              </w:rPr>
            </w:pPr>
            <w:r w:rsidRPr="004D0DAA">
              <w:rPr>
                <w:lang w:eastAsia="en-US"/>
              </w:rPr>
              <w:t>6</w:t>
            </w:r>
          </w:p>
        </w:tc>
        <w:tc>
          <w:tcPr>
            <w:tcW w:w="567" w:type="dxa"/>
          </w:tcPr>
          <w:p w14:paraId="1AC2A9D1" w14:textId="77777777" w:rsidR="00711444" w:rsidRPr="004D0DAA" w:rsidRDefault="00711444" w:rsidP="00AA2A4C">
            <w:pPr>
              <w:pStyle w:val="TAC"/>
              <w:rPr>
                <w:lang w:eastAsia="en-US"/>
              </w:rPr>
            </w:pPr>
            <w:r w:rsidRPr="004D0DAA">
              <w:rPr>
                <w:lang w:eastAsia="en-US"/>
              </w:rPr>
              <w:t>5</w:t>
            </w:r>
          </w:p>
        </w:tc>
        <w:tc>
          <w:tcPr>
            <w:tcW w:w="567" w:type="dxa"/>
          </w:tcPr>
          <w:p w14:paraId="38F97C16" w14:textId="77777777" w:rsidR="00711444" w:rsidRPr="004D0DAA" w:rsidRDefault="00711444" w:rsidP="00AA2A4C">
            <w:pPr>
              <w:pStyle w:val="TAC"/>
              <w:rPr>
                <w:lang w:eastAsia="en-US"/>
              </w:rPr>
            </w:pPr>
            <w:r w:rsidRPr="004D0DAA">
              <w:rPr>
                <w:lang w:eastAsia="en-US"/>
              </w:rPr>
              <w:t>4</w:t>
            </w:r>
          </w:p>
        </w:tc>
        <w:tc>
          <w:tcPr>
            <w:tcW w:w="570" w:type="dxa"/>
          </w:tcPr>
          <w:p w14:paraId="561A2491" w14:textId="77777777" w:rsidR="00711444" w:rsidRPr="004D0DAA" w:rsidRDefault="00711444" w:rsidP="00AA2A4C">
            <w:pPr>
              <w:pStyle w:val="TAC"/>
              <w:rPr>
                <w:lang w:eastAsia="en-US"/>
              </w:rPr>
            </w:pPr>
            <w:r w:rsidRPr="004D0DAA">
              <w:rPr>
                <w:lang w:eastAsia="en-US"/>
              </w:rPr>
              <w:t>3</w:t>
            </w:r>
          </w:p>
        </w:tc>
        <w:tc>
          <w:tcPr>
            <w:tcW w:w="568" w:type="dxa"/>
          </w:tcPr>
          <w:p w14:paraId="43F9C0F1" w14:textId="77777777" w:rsidR="00711444" w:rsidRPr="004D0DAA" w:rsidRDefault="00711444" w:rsidP="00AA2A4C">
            <w:pPr>
              <w:pStyle w:val="TAC"/>
              <w:rPr>
                <w:lang w:eastAsia="en-US"/>
              </w:rPr>
            </w:pPr>
            <w:r w:rsidRPr="004D0DAA">
              <w:rPr>
                <w:lang w:eastAsia="en-US"/>
              </w:rPr>
              <w:t>2</w:t>
            </w:r>
          </w:p>
        </w:tc>
        <w:tc>
          <w:tcPr>
            <w:tcW w:w="567" w:type="dxa"/>
          </w:tcPr>
          <w:p w14:paraId="5F6BB777" w14:textId="77777777" w:rsidR="00711444" w:rsidRPr="004D0DAA" w:rsidRDefault="00711444" w:rsidP="00AA2A4C">
            <w:pPr>
              <w:pStyle w:val="TAC"/>
              <w:rPr>
                <w:lang w:eastAsia="en-US"/>
              </w:rPr>
            </w:pPr>
            <w:r w:rsidRPr="004D0DAA">
              <w:rPr>
                <w:lang w:eastAsia="en-US"/>
              </w:rPr>
              <w:t>1</w:t>
            </w:r>
          </w:p>
        </w:tc>
        <w:tc>
          <w:tcPr>
            <w:tcW w:w="1144" w:type="dxa"/>
          </w:tcPr>
          <w:p w14:paraId="426A28DF" w14:textId="77777777" w:rsidR="00711444" w:rsidRPr="004D0DAA" w:rsidRDefault="00711444" w:rsidP="00AA2A4C">
            <w:pPr>
              <w:pStyle w:val="TAC"/>
              <w:rPr>
                <w:lang w:eastAsia="en-US"/>
              </w:rPr>
            </w:pPr>
            <w:r w:rsidRPr="004D0DAA">
              <w:rPr>
                <w:lang w:eastAsia="en-US"/>
              </w:rPr>
              <w:t>Octet</w:t>
            </w:r>
          </w:p>
        </w:tc>
      </w:tr>
      <w:tr w:rsidR="00711444" w:rsidRPr="004D0DAA" w14:paraId="5047377B" w14:textId="77777777" w:rsidTr="00AA2A4C">
        <w:tblPrEx>
          <w:tblCellMar>
            <w:top w:w="0" w:type="dxa"/>
            <w:bottom w:w="0" w:type="dxa"/>
          </w:tblCellMar>
        </w:tblPrEx>
        <w:trPr>
          <w:cantSplit/>
          <w:jc w:val="center"/>
        </w:trPr>
        <w:tc>
          <w:tcPr>
            <w:tcW w:w="1168" w:type="dxa"/>
            <w:gridSpan w:val="3"/>
            <w:tcBorders>
              <w:top w:val="single" w:sz="6" w:space="0" w:color="auto"/>
              <w:left w:val="single" w:sz="6" w:space="0" w:color="auto"/>
              <w:bottom w:val="single" w:sz="6" w:space="0" w:color="auto"/>
            </w:tcBorders>
          </w:tcPr>
          <w:p w14:paraId="354640C2" w14:textId="77777777" w:rsidR="00711444" w:rsidRPr="004D0DAA" w:rsidRDefault="00711444" w:rsidP="00AA2A4C">
            <w:pPr>
              <w:pStyle w:val="TAC"/>
              <w:rPr>
                <w:lang w:eastAsia="en-US"/>
              </w:rPr>
            </w:pPr>
            <w:r w:rsidRPr="004D0DAA">
              <w:rPr>
                <w:lang w:eastAsia="en-US"/>
              </w:rPr>
              <w:t>TFI</w:t>
            </w:r>
          </w:p>
        </w:tc>
        <w:tc>
          <w:tcPr>
            <w:tcW w:w="2271" w:type="dxa"/>
            <w:gridSpan w:val="4"/>
            <w:tcBorders>
              <w:top w:val="single" w:sz="6" w:space="0" w:color="auto"/>
              <w:left w:val="single" w:sz="6" w:space="0" w:color="auto"/>
              <w:bottom w:val="single" w:sz="6" w:space="0" w:color="auto"/>
            </w:tcBorders>
          </w:tcPr>
          <w:p w14:paraId="632F1AC8" w14:textId="77777777" w:rsidR="00711444" w:rsidRPr="004D0DAA" w:rsidRDefault="00711444" w:rsidP="00AA2A4C">
            <w:pPr>
              <w:pStyle w:val="TAC"/>
              <w:rPr>
                <w:lang w:eastAsia="en-US"/>
              </w:rPr>
            </w:pPr>
            <w:r w:rsidRPr="004D0DAA">
              <w:rPr>
                <w:lang w:eastAsia="en-US"/>
              </w:rPr>
              <w:t>Countdown Value</w:t>
            </w:r>
          </w:p>
        </w:tc>
        <w:tc>
          <w:tcPr>
            <w:tcW w:w="568" w:type="dxa"/>
            <w:tcBorders>
              <w:top w:val="single" w:sz="6" w:space="0" w:color="auto"/>
              <w:left w:val="single" w:sz="6" w:space="0" w:color="auto"/>
              <w:bottom w:val="single" w:sz="6" w:space="0" w:color="auto"/>
            </w:tcBorders>
          </w:tcPr>
          <w:p w14:paraId="21234F5D" w14:textId="77777777" w:rsidR="00711444" w:rsidRPr="004D0DAA" w:rsidRDefault="00711444" w:rsidP="00AA2A4C">
            <w:pPr>
              <w:pStyle w:val="TAC"/>
              <w:rPr>
                <w:lang w:eastAsia="en-US"/>
              </w:rPr>
            </w:pPr>
            <w:r w:rsidRPr="004D0DAA">
              <w:rPr>
                <w:lang w:eastAsia="en-US"/>
              </w:rPr>
              <w:t>SI</w:t>
            </w:r>
          </w:p>
        </w:tc>
        <w:tc>
          <w:tcPr>
            <w:tcW w:w="567" w:type="dxa"/>
            <w:tcBorders>
              <w:top w:val="single" w:sz="6" w:space="0" w:color="auto"/>
              <w:left w:val="single" w:sz="6" w:space="0" w:color="auto"/>
              <w:bottom w:val="single" w:sz="6" w:space="0" w:color="auto"/>
              <w:right w:val="single" w:sz="6" w:space="0" w:color="auto"/>
            </w:tcBorders>
          </w:tcPr>
          <w:p w14:paraId="62A85B0E"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6FBA11BB" w14:textId="77777777" w:rsidR="00711444" w:rsidRPr="004D0DAA" w:rsidRDefault="00711444" w:rsidP="00AA2A4C">
            <w:pPr>
              <w:pStyle w:val="TAC"/>
              <w:rPr>
                <w:lang w:eastAsia="en-US"/>
              </w:rPr>
            </w:pPr>
            <w:r w:rsidRPr="004D0DAA">
              <w:rPr>
                <w:lang w:eastAsia="en-US"/>
              </w:rPr>
              <w:t>1</w:t>
            </w:r>
          </w:p>
        </w:tc>
      </w:tr>
      <w:tr w:rsidR="00711444" w:rsidRPr="004D0DAA" w14:paraId="11A53EE1" w14:textId="77777777" w:rsidTr="00AA2A4C">
        <w:tblPrEx>
          <w:tblCellMar>
            <w:top w:w="0" w:type="dxa"/>
            <w:bottom w:w="0" w:type="dxa"/>
          </w:tblCellMar>
        </w:tblPrEx>
        <w:trPr>
          <w:cantSplit/>
          <w:jc w:val="center"/>
        </w:trPr>
        <w:tc>
          <w:tcPr>
            <w:tcW w:w="2869" w:type="dxa"/>
            <w:gridSpan w:val="6"/>
            <w:tcBorders>
              <w:left w:val="single" w:sz="6" w:space="0" w:color="auto"/>
              <w:right w:val="single" w:sz="6" w:space="0" w:color="auto"/>
            </w:tcBorders>
          </w:tcPr>
          <w:p w14:paraId="57284FF6" w14:textId="77777777" w:rsidR="00711444" w:rsidRPr="004D0DAA" w:rsidRDefault="00711444" w:rsidP="00AA2A4C">
            <w:pPr>
              <w:pStyle w:val="TAC"/>
              <w:rPr>
                <w:lang w:eastAsia="en-US"/>
              </w:rPr>
            </w:pPr>
            <w:r w:rsidRPr="004D0DAA">
              <w:rPr>
                <w:lang w:eastAsia="en-US"/>
              </w:rPr>
              <w:t>BSN1</w:t>
            </w:r>
          </w:p>
        </w:tc>
        <w:tc>
          <w:tcPr>
            <w:tcW w:w="1705" w:type="dxa"/>
            <w:gridSpan w:val="3"/>
            <w:tcBorders>
              <w:left w:val="single" w:sz="6" w:space="0" w:color="auto"/>
              <w:right w:val="single" w:sz="6" w:space="0" w:color="auto"/>
            </w:tcBorders>
          </w:tcPr>
          <w:p w14:paraId="409067E2"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7EEE28EE" w14:textId="77777777" w:rsidR="00711444" w:rsidRPr="004D0DAA" w:rsidRDefault="00711444" w:rsidP="00AA2A4C">
            <w:pPr>
              <w:pStyle w:val="TAC"/>
              <w:rPr>
                <w:lang w:eastAsia="en-US"/>
              </w:rPr>
            </w:pPr>
            <w:r w:rsidRPr="004D0DAA">
              <w:rPr>
                <w:lang w:eastAsia="en-US"/>
              </w:rPr>
              <w:t>2</w:t>
            </w:r>
          </w:p>
        </w:tc>
      </w:tr>
      <w:tr w:rsidR="00711444" w:rsidRPr="004D0DAA" w14:paraId="58D6D31D" w14:textId="77777777" w:rsidTr="00AA2A4C">
        <w:tblPrEx>
          <w:tblCellMar>
            <w:top w:w="0" w:type="dxa"/>
            <w:bottom w:w="0" w:type="dxa"/>
          </w:tblCellMar>
        </w:tblPrEx>
        <w:trPr>
          <w:cantSplit/>
          <w:jc w:val="center"/>
        </w:trPr>
        <w:tc>
          <w:tcPr>
            <w:tcW w:w="1168" w:type="dxa"/>
            <w:gridSpan w:val="3"/>
            <w:tcBorders>
              <w:top w:val="single" w:sz="6" w:space="0" w:color="auto"/>
              <w:left w:val="single" w:sz="6" w:space="0" w:color="auto"/>
              <w:bottom w:val="single" w:sz="4" w:space="0" w:color="auto"/>
              <w:right w:val="single" w:sz="6" w:space="0" w:color="auto"/>
            </w:tcBorders>
          </w:tcPr>
          <w:p w14:paraId="0B6A0081" w14:textId="77777777" w:rsidR="00711444" w:rsidRPr="004D0DAA" w:rsidRDefault="00711444" w:rsidP="00AA2A4C">
            <w:pPr>
              <w:pStyle w:val="TAC"/>
              <w:rPr>
                <w:lang w:eastAsia="en-US"/>
              </w:rPr>
            </w:pPr>
            <w:r w:rsidRPr="004D0DAA">
              <w:rPr>
                <w:lang w:eastAsia="en-US"/>
              </w:rPr>
              <w:t>BSN2</w:t>
            </w:r>
          </w:p>
        </w:tc>
        <w:tc>
          <w:tcPr>
            <w:tcW w:w="3406" w:type="dxa"/>
            <w:gridSpan w:val="6"/>
            <w:tcBorders>
              <w:top w:val="single" w:sz="6" w:space="0" w:color="auto"/>
              <w:left w:val="single" w:sz="6" w:space="0" w:color="auto"/>
              <w:bottom w:val="single" w:sz="4" w:space="0" w:color="auto"/>
              <w:right w:val="single" w:sz="6" w:space="0" w:color="auto"/>
            </w:tcBorders>
          </w:tcPr>
          <w:p w14:paraId="7CA20244"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6E3DEDC0" w14:textId="77777777" w:rsidR="00711444" w:rsidRPr="004D0DAA" w:rsidRDefault="00711444" w:rsidP="00AA2A4C">
            <w:pPr>
              <w:pStyle w:val="TAC"/>
              <w:rPr>
                <w:lang w:eastAsia="en-US"/>
              </w:rPr>
            </w:pPr>
            <w:r w:rsidRPr="004D0DAA">
              <w:rPr>
                <w:lang w:eastAsia="en-US"/>
              </w:rPr>
              <w:t>3</w:t>
            </w:r>
          </w:p>
        </w:tc>
      </w:tr>
      <w:tr w:rsidR="00711444" w:rsidRPr="004D0DAA" w14:paraId="08D72039" w14:textId="77777777" w:rsidTr="00AA2A4C">
        <w:tblPrEx>
          <w:tblCellMar>
            <w:top w:w="0" w:type="dxa"/>
            <w:bottom w:w="0" w:type="dxa"/>
          </w:tblCellMar>
        </w:tblPrEx>
        <w:trPr>
          <w:cantSplit/>
          <w:jc w:val="center"/>
        </w:trPr>
        <w:tc>
          <w:tcPr>
            <w:tcW w:w="4574" w:type="dxa"/>
            <w:gridSpan w:val="9"/>
            <w:tcBorders>
              <w:top w:val="single" w:sz="4" w:space="0" w:color="auto"/>
              <w:left w:val="single" w:sz="4" w:space="0" w:color="auto"/>
              <w:bottom w:val="single" w:sz="4" w:space="0" w:color="auto"/>
              <w:right w:val="single" w:sz="4" w:space="0" w:color="auto"/>
            </w:tcBorders>
          </w:tcPr>
          <w:p w14:paraId="446DDCD2" w14:textId="77777777" w:rsidR="00711444" w:rsidRPr="004D0DAA" w:rsidRDefault="00711444" w:rsidP="00AA2A4C">
            <w:pPr>
              <w:pStyle w:val="TAC"/>
              <w:rPr>
                <w:lang w:eastAsia="en-US"/>
              </w:rPr>
            </w:pPr>
            <w:r w:rsidRPr="004D0DAA">
              <w:rPr>
                <w:lang w:eastAsia="en-US"/>
              </w:rPr>
              <w:t>BSN2</w:t>
            </w:r>
          </w:p>
        </w:tc>
        <w:tc>
          <w:tcPr>
            <w:tcW w:w="1144" w:type="dxa"/>
            <w:tcBorders>
              <w:left w:val="single" w:sz="4" w:space="0" w:color="auto"/>
            </w:tcBorders>
          </w:tcPr>
          <w:p w14:paraId="45BD4399" w14:textId="77777777" w:rsidR="00711444" w:rsidRPr="004D0DAA" w:rsidRDefault="00711444" w:rsidP="00AA2A4C">
            <w:pPr>
              <w:pStyle w:val="TAC"/>
              <w:rPr>
                <w:lang w:eastAsia="en-US"/>
              </w:rPr>
            </w:pPr>
            <w:r w:rsidRPr="004D0DAA">
              <w:rPr>
                <w:lang w:eastAsia="en-US"/>
              </w:rPr>
              <w:t>4</w:t>
            </w:r>
          </w:p>
        </w:tc>
      </w:tr>
      <w:tr w:rsidR="00711444" w:rsidRPr="004D0DAA" w14:paraId="399AC480" w14:textId="77777777" w:rsidTr="00AA2A4C">
        <w:tblPrEx>
          <w:tblCellMar>
            <w:top w:w="0" w:type="dxa"/>
            <w:bottom w:w="0" w:type="dxa"/>
          </w:tblCellMar>
        </w:tblPrEx>
        <w:trPr>
          <w:cantSplit/>
          <w:jc w:val="center"/>
        </w:trPr>
        <w:tc>
          <w:tcPr>
            <w:tcW w:w="1157" w:type="dxa"/>
            <w:gridSpan w:val="2"/>
            <w:tcBorders>
              <w:top w:val="single" w:sz="4" w:space="0" w:color="auto"/>
              <w:left w:val="single" w:sz="4" w:space="0" w:color="auto"/>
              <w:bottom w:val="single" w:sz="4" w:space="0" w:color="auto"/>
              <w:right w:val="single" w:sz="4" w:space="0" w:color="auto"/>
            </w:tcBorders>
          </w:tcPr>
          <w:p w14:paraId="3FFBE3CD" w14:textId="77777777" w:rsidR="00711444" w:rsidRPr="004D0DAA" w:rsidRDefault="00711444" w:rsidP="00AA2A4C">
            <w:pPr>
              <w:pStyle w:val="TAC"/>
              <w:rPr>
                <w:lang w:eastAsia="en-US"/>
              </w:rPr>
            </w:pPr>
            <w:r w:rsidRPr="004D0DAA">
              <w:rPr>
                <w:lang w:eastAsia="en-US"/>
              </w:rPr>
              <w:t>Spare</w:t>
            </w:r>
          </w:p>
        </w:tc>
        <w:tc>
          <w:tcPr>
            <w:tcW w:w="578" w:type="dxa"/>
            <w:gridSpan w:val="2"/>
            <w:tcBorders>
              <w:top w:val="single" w:sz="4" w:space="0" w:color="auto"/>
              <w:left w:val="single" w:sz="4" w:space="0" w:color="auto"/>
              <w:bottom w:val="single" w:sz="4" w:space="0" w:color="auto"/>
              <w:right w:val="single" w:sz="4" w:space="0" w:color="auto"/>
            </w:tcBorders>
          </w:tcPr>
          <w:p w14:paraId="3D5F190C" w14:textId="77777777" w:rsidR="00711444" w:rsidRPr="004D0DAA" w:rsidRDefault="00711444" w:rsidP="00AA2A4C">
            <w:pPr>
              <w:pStyle w:val="TAC"/>
              <w:rPr>
                <w:lang w:eastAsia="en-US"/>
              </w:rPr>
            </w:pPr>
            <w:r w:rsidRPr="004D0DAA">
              <w:rPr>
                <w:lang w:eastAsia="en-US"/>
              </w:rPr>
              <w:t>PANI</w:t>
            </w:r>
          </w:p>
        </w:tc>
        <w:tc>
          <w:tcPr>
            <w:tcW w:w="567" w:type="dxa"/>
            <w:tcBorders>
              <w:top w:val="single" w:sz="4" w:space="0" w:color="auto"/>
              <w:left w:val="single" w:sz="4" w:space="0" w:color="auto"/>
              <w:bottom w:val="single" w:sz="6" w:space="0" w:color="auto"/>
              <w:right w:val="single" w:sz="6" w:space="0" w:color="auto"/>
            </w:tcBorders>
          </w:tcPr>
          <w:p w14:paraId="0450B894" w14:textId="77777777" w:rsidR="00711444" w:rsidRPr="004D0DAA" w:rsidRDefault="00711444" w:rsidP="00AA2A4C">
            <w:pPr>
              <w:pStyle w:val="TAC"/>
              <w:rPr>
                <w:lang w:eastAsia="en-US"/>
              </w:rPr>
            </w:pPr>
            <w:r w:rsidRPr="004D0DAA">
              <w:rPr>
                <w:lang w:eastAsia="en-US"/>
              </w:rPr>
              <w:t>PI</w:t>
            </w:r>
          </w:p>
        </w:tc>
        <w:tc>
          <w:tcPr>
            <w:tcW w:w="2272" w:type="dxa"/>
            <w:gridSpan w:val="4"/>
            <w:tcBorders>
              <w:top w:val="single" w:sz="4" w:space="0" w:color="auto"/>
              <w:left w:val="single" w:sz="6" w:space="0" w:color="auto"/>
              <w:bottom w:val="single" w:sz="6" w:space="0" w:color="auto"/>
              <w:right w:val="single" w:sz="6" w:space="0" w:color="auto"/>
            </w:tcBorders>
          </w:tcPr>
          <w:p w14:paraId="27C5C9BA" w14:textId="77777777" w:rsidR="00711444" w:rsidRPr="004D0DAA" w:rsidRDefault="00711444" w:rsidP="00AA2A4C">
            <w:pPr>
              <w:pStyle w:val="TAC"/>
              <w:rPr>
                <w:lang w:eastAsia="en-US"/>
              </w:rPr>
            </w:pPr>
            <w:r w:rsidRPr="004D0DAA">
              <w:rPr>
                <w:lang w:eastAsia="en-US"/>
              </w:rPr>
              <w:t>CPS</w:t>
            </w:r>
          </w:p>
        </w:tc>
        <w:tc>
          <w:tcPr>
            <w:tcW w:w="1144" w:type="dxa"/>
            <w:tcBorders>
              <w:left w:val="single" w:sz="6" w:space="0" w:color="auto"/>
            </w:tcBorders>
          </w:tcPr>
          <w:p w14:paraId="69D8B4BE" w14:textId="77777777" w:rsidR="00711444" w:rsidRPr="004D0DAA" w:rsidRDefault="00711444" w:rsidP="00AA2A4C">
            <w:pPr>
              <w:pStyle w:val="TAC"/>
              <w:rPr>
                <w:lang w:eastAsia="en-US"/>
              </w:rPr>
            </w:pPr>
            <w:r w:rsidRPr="004D0DAA">
              <w:rPr>
                <w:lang w:eastAsia="en-US"/>
              </w:rPr>
              <w:t>5</w:t>
            </w:r>
          </w:p>
        </w:tc>
      </w:tr>
    </w:tbl>
    <w:p w14:paraId="0171366D" w14:textId="77777777" w:rsidR="00711444" w:rsidRPr="004D0DAA" w:rsidRDefault="00711444" w:rsidP="00711444">
      <w:pPr>
        <w:pStyle w:val="NF"/>
      </w:pPr>
    </w:p>
    <w:p w14:paraId="6F41917E" w14:textId="77777777" w:rsidR="00711444" w:rsidRPr="004D0DAA" w:rsidRDefault="00711444" w:rsidP="00711444">
      <w:pPr>
        <w:pStyle w:val="TF"/>
      </w:pPr>
      <w:r w:rsidRPr="004D0DAA">
        <w:t>Figure 10.3a.4.7.1: Combined uplink RLC data block header</w:t>
      </w:r>
      <w:r w:rsidRPr="004D0DAA">
        <w:br/>
        <w:t>for UBS-7, UBS-8.</w:t>
      </w:r>
    </w:p>
    <w:p w14:paraId="41777AD2" w14:textId="77777777" w:rsidR="00711444" w:rsidRPr="004D0DAA" w:rsidRDefault="00711444" w:rsidP="00711444">
      <w:pPr>
        <w:pStyle w:val="Heading4"/>
      </w:pPr>
      <w:bookmarkStart w:id="540" w:name="_Toc516669721"/>
      <w:r w:rsidRPr="004D0DAA">
        <w:lastRenderedPageBreak/>
        <w:t>10.3a.4.8</w:t>
      </w:r>
      <w:r w:rsidRPr="004D0DAA">
        <w:tab/>
        <w:t>Header type 8: header for UBS-9 and UBS-10</w:t>
      </w:r>
      <w:bookmarkEnd w:id="540"/>
    </w:p>
    <w:p w14:paraId="1FAFACD2" w14:textId="77777777" w:rsidR="00711444" w:rsidRPr="004D0DAA" w:rsidRDefault="00711444" w:rsidP="00711444">
      <w:r w:rsidRPr="004D0DAA">
        <w:t>The combined uplink RLC/MAC header for UBS-9 and UBS-10 (header type 8) shall be formatted according to figure 10.3a.4.8.1.</w:t>
      </w:r>
    </w:p>
    <w:tbl>
      <w:tblPr>
        <w:tblW w:w="0" w:type="auto"/>
        <w:jc w:val="center"/>
        <w:tblLayout w:type="fixed"/>
        <w:tblCellMar>
          <w:left w:w="28" w:type="dxa"/>
          <w:right w:w="28" w:type="dxa"/>
        </w:tblCellMar>
        <w:tblLook w:val="0000" w:firstRow="0" w:lastRow="0" w:firstColumn="0" w:lastColumn="0" w:noHBand="0" w:noVBand="0"/>
      </w:tblPr>
      <w:tblGrid>
        <w:gridCol w:w="574"/>
        <w:gridCol w:w="12"/>
        <w:gridCol w:w="562"/>
        <w:gridCol w:w="15"/>
        <w:gridCol w:w="559"/>
        <w:gridCol w:w="8"/>
        <w:gridCol w:w="567"/>
        <w:gridCol w:w="575"/>
        <w:gridCol w:w="574"/>
        <w:gridCol w:w="573"/>
        <w:gridCol w:w="568"/>
        <w:gridCol w:w="1144"/>
      </w:tblGrid>
      <w:tr w:rsidR="00711444" w:rsidRPr="004D0DAA" w14:paraId="7E9C8FC3" w14:textId="77777777" w:rsidTr="00AA2A4C">
        <w:tblPrEx>
          <w:tblCellMar>
            <w:top w:w="0" w:type="dxa"/>
            <w:bottom w:w="0" w:type="dxa"/>
          </w:tblCellMar>
        </w:tblPrEx>
        <w:trPr>
          <w:cantSplit/>
          <w:jc w:val="center"/>
        </w:trPr>
        <w:tc>
          <w:tcPr>
            <w:tcW w:w="4587" w:type="dxa"/>
            <w:gridSpan w:val="11"/>
          </w:tcPr>
          <w:p w14:paraId="3185C8A9" w14:textId="77777777" w:rsidR="00711444" w:rsidRPr="004D0DAA" w:rsidRDefault="00711444" w:rsidP="00AA2A4C">
            <w:pPr>
              <w:pStyle w:val="TAC"/>
              <w:rPr>
                <w:lang w:eastAsia="en-US"/>
              </w:rPr>
            </w:pPr>
            <w:r w:rsidRPr="004D0DAA">
              <w:rPr>
                <w:lang w:eastAsia="en-US"/>
              </w:rPr>
              <w:t>Bit</w:t>
            </w:r>
          </w:p>
        </w:tc>
        <w:tc>
          <w:tcPr>
            <w:tcW w:w="1144" w:type="dxa"/>
          </w:tcPr>
          <w:p w14:paraId="746FC319" w14:textId="77777777" w:rsidR="00711444" w:rsidRPr="004D0DAA" w:rsidRDefault="00711444" w:rsidP="00AA2A4C">
            <w:pPr>
              <w:pStyle w:val="TAC"/>
              <w:rPr>
                <w:lang w:eastAsia="en-US"/>
              </w:rPr>
            </w:pPr>
          </w:p>
        </w:tc>
      </w:tr>
      <w:tr w:rsidR="00711444" w:rsidRPr="004D0DAA" w14:paraId="21310F17" w14:textId="77777777" w:rsidTr="00AA2A4C">
        <w:tblPrEx>
          <w:tblCellMar>
            <w:top w:w="0" w:type="dxa"/>
            <w:bottom w:w="0" w:type="dxa"/>
          </w:tblCellMar>
        </w:tblPrEx>
        <w:trPr>
          <w:cantSplit/>
          <w:jc w:val="center"/>
        </w:trPr>
        <w:tc>
          <w:tcPr>
            <w:tcW w:w="586" w:type="dxa"/>
            <w:gridSpan w:val="2"/>
          </w:tcPr>
          <w:p w14:paraId="57442B71" w14:textId="77777777" w:rsidR="00711444" w:rsidRPr="004D0DAA" w:rsidRDefault="00711444" w:rsidP="00AA2A4C">
            <w:pPr>
              <w:pStyle w:val="TAC"/>
              <w:rPr>
                <w:lang w:eastAsia="en-US"/>
              </w:rPr>
            </w:pPr>
            <w:r w:rsidRPr="004D0DAA">
              <w:rPr>
                <w:lang w:eastAsia="en-US"/>
              </w:rPr>
              <w:t>8</w:t>
            </w:r>
          </w:p>
        </w:tc>
        <w:tc>
          <w:tcPr>
            <w:tcW w:w="577" w:type="dxa"/>
            <w:gridSpan w:val="2"/>
          </w:tcPr>
          <w:p w14:paraId="6D4374C6" w14:textId="77777777" w:rsidR="00711444" w:rsidRPr="004D0DAA" w:rsidRDefault="00711444" w:rsidP="00AA2A4C">
            <w:pPr>
              <w:pStyle w:val="TAC"/>
              <w:rPr>
                <w:lang w:eastAsia="en-US"/>
              </w:rPr>
            </w:pPr>
            <w:r w:rsidRPr="004D0DAA">
              <w:rPr>
                <w:lang w:eastAsia="en-US"/>
              </w:rPr>
              <w:t>7</w:t>
            </w:r>
          </w:p>
        </w:tc>
        <w:tc>
          <w:tcPr>
            <w:tcW w:w="567" w:type="dxa"/>
            <w:gridSpan w:val="2"/>
          </w:tcPr>
          <w:p w14:paraId="4FE3D141" w14:textId="77777777" w:rsidR="00711444" w:rsidRPr="004D0DAA" w:rsidRDefault="00711444" w:rsidP="00AA2A4C">
            <w:pPr>
              <w:pStyle w:val="TAC"/>
              <w:rPr>
                <w:lang w:eastAsia="en-US"/>
              </w:rPr>
            </w:pPr>
            <w:r w:rsidRPr="004D0DAA">
              <w:rPr>
                <w:lang w:eastAsia="en-US"/>
              </w:rPr>
              <w:t>6</w:t>
            </w:r>
          </w:p>
        </w:tc>
        <w:tc>
          <w:tcPr>
            <w:tcW w:w="567" w:type="dxa"/>
          </w:tcPr>
          <w:p w14:paraId="71DF983B" w14:textId="77777777" w:rsidR="00711444" w:rsidRPr="004D0DAA" w:rsidRDefault="00711444" w:rsidP="00AA2A4C">
            <w:pPr>
              <w:pStyle w:val="TAC"/>
              <w:rPr>
                <w:lang w:eastAsia="en-US"/>
              </w:rPr>
            </w:pPr>
            <w:r w:rsidRPr="004D0DAA">
              <w:rPr>
                <w:lang w:eastAsia="en-US"/>
              </w:rPr>
              <w:t>5</w:t>
            </w:r>
          </w:p>
        </w:tc>
        <w:tc>
          <w:tcPr>
            <w:tcW w:w="575" w:type="dxa"/>
          </w:tcPr>
          <w:p w14:paraId="29E005AC" w14:textId="77777777" w:rsidR="00711444" w:rsidRPr="004D0DAA" w:rsidRDefault="00711444" w:rsidP="00AA2A4C">
            <w:pPr>
              <w:pStyle w:val="TAC"/>
              <w:rPr>
                <w:lang w:eastAsia="en-US"/>
              </w:rPr>
            </w:pPr>
            <w:r w:rsidRPr="004D0DAA">
              <w:rPr>
                <w:lang w:eastAsia="en-US"/>
              </w:rPr>
              <w:t>4</w:t>
            </w:r>
          </w:p>
        </w:tc>
        <w:tc>
          <w:tcPr>
            <w:tcW w:w="574" w:type="dxa"/>
          </w:tcPr>
          <w:p w14:paraId="1246633D" w14:textId="77777777" w:rsidR="00711444" w:rsidRPr="004D0DAA" w:rsidRDefault="00711444" w:rsidP="00AA2A4C">
            <w:pPr>
              <w:pStyle w:val="TAC"/>
              <w:rPr>
                <w:lang w:eastAsia="en-US"/>
              </w:rPr>
            </w:pPr>
            <w:r w:rsidRPr="004D0DAA">
              <w:rPr>
                <w:lang w:eastAsia="en-US"/>
              </w:rPr>
              <w:t>3</w:t>
            </w:r>
          </w:p>
        </w:tc>
        <w:tc>
          <w:tcPr>
            <w:tcW w:w="573" w:type="dxa"/>
          </w:tcPr>
          <w:p w14:paraId="3159E723" w14:textId="77777777" w:rsidR="00711444" w:rsidRPr="004D0DAA" w:rsidRDefault="00711444" w:rsidP="00AA2A4C">
            <w:pPr>
              <w:pStyle w:val="TAC"/>
              <w:rPr>
                <w:lang w:eastAsia="en-US"/>
              </w:rPr>
            </w:pPr>
            <w:r w:rsidRPr="004D0DAA">
              <w:rPr>
                <w:lang w:eastAsia="en-US"/>
              </w:rPr>
              <w:t>2</w:t>
            </w:r>
          </w:p>
        </w:tc>
        <w:tc>
          <w:tcPr>
            <w:tcW w:w="568" w:type="dxa"/>
          </w:tcPr>
          <w:p w14:paraId="61050A98" w14:textId="77777777" w:rsidR="00711444" w:rsidRPr="004D0DAA" w:rsidRDefault="00711444" w:rsidP="00AA2A4C">
            <w:pPr>
              <w:pStyle w:val="TAC"/>
              <w:rPr>
                <w:lang w:eastAsia="en-US"/>
              </w:rPr>
            </w:pPr>
            <w:r w:rsidRPr="004D0DAA">
              <w:rPr>
                <w:lang w:eastAsia="en-US"/>
              </w:rPr>
              <w:t>1</w:t>
            </w:r>
          </w:p>
        </w:tc>
        <w:tc>
          <w:tcPr>
            <w:tcW w:w="1144" w:type="dxa"/>
          </w:tcPr>
          <w:p w14:paraId="1974641B" w14:textId="77777777" w:rsidR="00711444" w:rsidRPr="004D0DAA" w:rsidRDefault="00711444" w:rsidP="00AA2A4C">
            <w:pPr>
              <w:pStyle w:val="TAC"/>
              <w:rPr>
                <w:lang w:eastAsia="en-US"/>
              </w:rPr>
            </w:pPr>
            <w:r w:rsidRPr="004D0DAA">
              <w:rPr>
                <w:lang w:eastAsia="en-US"/>
              </w:rPr>
              <w:t>Octet</w:t>
            </w:r>
          </w:p>
        </w:tc>
      </w:tr>
      <w:tr w:rsidR="00711444" w:rsidRPr="004D0DAA" w14:paraId="10F881EE" w14:textId="77777777" w:rsidTr="00AA2A4C">
        <w:tblPrEx>
          <w:tblCellMar>
            <w:top w:w="0" w:type="dxa"/>
            <w:bottom w:w="0" w:type="dxa"/>
          </w:tblCellMar>
        </w:tblPrEx>
        <w:trPr>
          <w:cantSplit/>
          <w:jc w:val="center"/>
        </w:trPr>
        <w:tc>
          <w:tcPr>
            <w:tcW w:w="1163" w:type="dxa"/>
            <w:gridSpan w:val="4"/>
            <w:tcBorders>
              <w:top w:val="single" w:sz="6" w:space="0" w:color="auto"/>
              <w:left w:val="single" w:sz="6" w:space="0" w:color="auto"/>
              <w:bottom w:val="single" w:sz="6" w:space="0" w:color="auto"/>
            </w:tcBorders>
          </w:tcPr>
          <w:p w14:paraId="721CB06E" w14:textId="77777777" w:rsidR="00711444" w:rsidRPr="004D0DAA" w:rsidRDefault="00711444" w:rsidP="00AA2A4C">
            <w:pPr>
              <w:pStyle w:val="TAC"/>
              <w:rPr>
                <w:lang w:eastAsia="en-US"/>
              </w:rPr>
            </w:pPr>
            <w:r w:rsidRPr="004D0DAA">
              <w:rPr>
                <w:lang w:eastAsia="en-US"/>
              </w:rPr>
              <w:t>TFI</w:t>
            </w:r>
          </w:p>
        </w:tc>
        <w:tc>
          <w:tcPr>
            <w:tcW w:w="2283" w:type="dxa"/>
            <w:gridSpan w:val="5"/>
            <w:tcBorders>
              <w:top w:val="single" w:sz="6" w:space="0" w:color="auto"/>
              <w:left w:val="single" w:sz="6" w:space="0" w:color="auto"/>
              <w:bottom w:val="single" w:sz="6" w:space="0" w:color="auto"/>
            </w:tcBorders>
          </w:tcPr>
          <w:p w14:paraId="51A96C50" w14:textId="77777777" w:rsidR="00711444" w:rsidRPr="004D0DAA" w:rsidRDefault="00711444" w:rsidP="00AA2A4C">
            <w:pPr>
              <w:pStyle w:val="TAC"/>
              <w:rPr>
                <w:lang w:eastAsia="en-US"/>
              </w:rPr>
            </w:pPr>
            <w:r w:rsidRPr="004D0DAA">
              <w:rPr>
                <w:lang w:eastAsia="en-US"/>
              </w:rPr>
              <w:t>Countdown Value</w:t>
            </w:r>
          </w:p>
        </w:tc>
        <w:tc>
          <w:tcPr>
            <w:tcW w:w="573" w:type="dxa"/>
            <w:tcBorders>
              <w:top w:val="single" w:sz="6" w:space="0" w:color="auto"/>
              <w:left w:val="single" w:sz="6" w:space="0" w:color="auto"/>
              <w:bottom w:val="single" w:sz="6" w:space="0" w:color="auto"/>
            </w:tcBorders>
          </w:tcPr>
          <w:p w14:paraId="6BAD18BE" w14:textId="77777777" w:rsidR="00711444" w:rsidRPr="004D0DAA" w:rsidRDefault="00711444" w:rsidP="00AA2A4C">
            <w:pPr>
              <w:pStyle w:val="TAC"/>
              <w:rPr>
                <w:lang w:eastAsia="en-US"/>
              </w:rPr>
            </w:pPr>
            <w:r w:rsidRPr="004D0DAA">
              <w:rPr>
                <w:lang w:eastAsia="en-US"/>
              </w:rPr>
              <w:t>SI</w:t>
            </w:r>
          </w:p>
        </w:tc>
        <w:tc>
          <w:tcPr>
            <w:tcW w:w="568" w:type="dxa"/>
            <w:tcBorders>
              <w:top w:val="single" w:sz="6" w:space="0" w:color="auto"/>
              <w:left w:val="single" w:sz="6" w:space="0" w:color="auto"/>
              <w:bottom w:val="single" w:sz="6" w:space="0" w:color="auto"/>
              <w:right w:val="single" w:sz="6" w:space="0" w:color="auto"/>
            </w:tcBorders>
          </w:tcPr>
          <w:p w14:paraId="6A9B2F80"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5E7A32B7" w14:textId="77777777" w:rsidR="00711444" w:rsidRPr="004D0DAA" w:rsidRDefault="00711444" w:rsidP="00AA2A4C">
            <w:pPr>
              <w:pStyle w:val="TAC"/>
              <w:rPr>
                <w:lang w:eastAsia="en-US"/>
              </w:rPr>
            </w:pPr>
            <w:r w:rsidRPr="004D0DAA">
              <w:rPr>
                <w:lang w:eastAsia="en-US"/>
              </w:rPr>
              <w:t>1</w:t>
            </w:r>
          </w:p>
        </w:tc>
      </w:tr>
      <w:tr w:rsidR="00711444" w:rsidRPr="004D0DAA" w14:paraId="693EB35B" w14:textId="77777777" w:rsidTr="00AA2A4C">
        <w:tblPrEx>
          <w:tblCellMar>
            <w:top w:w="0" w:type="dxa"/>
            <w:bottom w:w="0" w:type="dxa"/>
          </w:tblCellMar>
        </w:tblPrEx>
        <w:trPr>
          <w:cantSplit/>
          <w:jc w:val="center"/>
        </w:trPr>
        <w:tc>
          <w:tcPr>
            <w:tcW w:w="2872" w:type="dxa"/>
            <w:gridSpan w:val="8"/>
            <w:tcBorders>
              <w:left w:val="single" w:sz="6" w:space="0" w:color="auto"/>
              <w:right w:val="single" w:sz="6" w:space="0" w:color="auto"/>
            </w:tcBorders>
          </w:tcPr>
          <w:p w14:paraId="289D4D12" w14:textId="77777777" w:rsidR="00711444" w:rsidRPr="004D0DAA" w:rsidRDefault="00711444" w:rsidP="00AA2A4C">
            <w:pPr>
              <w:pStyle w:val="TAC"/>
              <w:rPr>
                <w:lang w:eastAsia="en-US"/>
              </w:rPr>
            </w:pPr>
            <w:r w:rsidRPr="004D0DAA">
              <w:rPr>
                <w:lang w:eastAsia="en-US"/>
              </w:rPr>
              <w:t>BSN1</w:t>
            </w:r>
          </w:p>
        </w:tc>
        <w:tc>
          <w:tcPr>
            <w:tcW w:w="1715" w:type="dxa"/>
            <w:gridSpan w:val="3"/>
            <w:tcBorders>
              <w:left w:val="single" w:sz="6" w:space="0" w:color="auto"/>
              <w:right w:val="single" w:sz="6" w:space="0" w:color="auto"/>
            </w:tcBorders>
          </w:tcPr>
          <w:p w14:paraId="35A27B90"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356B1CDA" w14:textId="77777777" w:rsidR="00711444" w:rsidRPr="004D0DAA" w:rsidRDefault="00711444" w:rsidP="00AA2A4C">
            <w:pPr>
              <w:pStyle w:val="TAC"/>
              <w:rPr>
                <w:lang w:eastAsia="en-US"/>
              </w:rPr>
            </w:pPr>
            <w:r w:rsidRPr="004D0DAA">
              <w:rPr>
                <w:lang w:eastAsia="en-US"/>
              </w:rPr>
              <w:t>2</w:t>
            </w:r>
          </w:p>
        </w:tc>
      </w:tr>
      <w:tr w:rsidR="00711444" w:rsidRPr="004D0DAA" w14:paraId="10D78A7D" w14:textId="77777777" w:rsidTr="00AA2A4C">
        <w:tblPrEx>
          <w:tblCellMar>
            <w:top w:w="0" w:type="dxa"/>
            <w:bottom w:w="0" w:type="dxa"/>
          </w:tblCellMar>
        </w:tblPrEx>
        <w:trPr>
          <w:cantSplit/>
          <w:jc w:val="center"/>
        </w:trPr>
        <w:tc>
          <w:tcPr>
            <w:tcW w:w="1163" w:type="dxa"/>
            <w:gridSpan w:val="4"/>
            <w:tcBorders>
              <w:top w:val="single" w:sz="6" w:space="0" w:color="auto"/>
              <w:left w:val="single" w:sz="6" w:space="0" w:color="auto"/>
              <w:right w:val="single" w:sz="6" w:space="0" w:color="auto"/>
            </w:tcBorders>
          </w:tcPr>
          <w:p w14:paraId="257393EF" w14:textId="77777777" w:rsidR="00711444" w:rsidRPr="004D0DAA" w:rsidRDefault="00711444" w:rsidP="00AA2A4C">
            <w:pPr>
              <w:pStyle w:val="TAC"/>
              <w:rPr>
                <w:lang w:eastAsia="en-US"/>
              </w:rPr>
            </w:pPr>
            <w:r w:rsidRPr="004D0DAA">
              <w:rPr>
                <w:lang w:eastAsia="en-US"/>
              </w:rPr>
              <w:t>BSN2</w:t>
            </w:r>
          </w:p>
        </w:tc>
        <w:tc>
          <w:tcPr>
            <w:tcW w:w="3424" w:type="dxa"/>
            <w:gridSpan w:val="7"/>
            <w:tcBorders>
              <w:top w:val="single" w:sz="6" w:space="0" w:color="auto"/>
              <w:left w:val="single" w:sz="6" w:space="0" w:color="auto"/>
              <w:right w:val="single" w:sz="6" w:space="0" w:color="auto"/>
            </w:tcBorders>
          </w:tcPr>
          <w:p w14:paraId="5DFF048D"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1B5E6F10" w14:textId="77777777" w:rsidR="00711444" w:rsidRPr="004D0DAA" w:rsidRDefault="00711444" w:rsidP="00AA2A4C">
            <w:pPr>
              <w:pStyle w:val="TAC"/>
              <w:rPr>
                <w:lang w:eastAsia="en-US"/>
              </w:rPr>
            </w:pPr>
            <w:r w:rsidRPr="004D0DAA">
              <w:rPr>
                <w:lang w:eastAsia="en-US"/>
              </w:rPr>
              <w:t>3</w:t>
            </w:r>
          </w:p>
        </w:tc>
      </w:tr>
      <w:tr w:rsidR="00711444" w:rsidRPr="004D0DAA" w14:paraId="611C6AC2" w14:textId="77777777" w:rsidTr="00AA2A4C">
        <w:tblPrEx>
          <w:tblCellMar>
            <w:top w:w="0" w:type="dxa"/>
            <w:bottom w:w="0" w:type="dxa"/>
          </w:tblCellMar>
        </w:tblPrEx>
        <w:trPr>
          <w:cantSplit/>
          <w:jc w:val="center"/>
        </w:trPr>
        <w:tc>
          <w:tcPr>
            <w:tcW w:w="4587" w:type="dxa"/>
            <w:gridSpan w:val="11"/>
            <w:tcBorders>
              <w:top w:val="single" w:sz="6" w:space="0" w:color="auto"/>
              <w:left w:val="single" w:sz="6" w:space="0" w:color="auto"/>
              <w:right w:val="single" w:sz="6" w:space="0" w:color="auto"/>
            </w:tcBorders>
          </w:tcPr>
          <w:p w14:paraId="37E89070"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6FF9E6E9" w14:textId="77777777" w:rsidR="00711444" w:rsidRPr="004D0DAA" w:rsidRDefault="00711444" w:rsidP="00AA2A4C">
            <w:pPr>
              <w:pStyle w:val="TAC"/>
              <w:rPr>
                <w:lang w:eastAsia="en-US"/>
              </w:rPr>
            </w:pPr>
            <w:r w:rsidRPr="004D0DAA">
              <w:rPr>
                <w:lang w:eastAsia="en-US"/>
              </w:rPr>
              <w:t>4</w:t>
            </w:r>
          </w:p>
        </w:tc>
      </w:tr>
      <w:tr w:rsidR="00711444" w:rsidRPr="004D0DAA" w14:paraId="433BA39C" w14:textId="77777777" w:rsidTr="00AA2A4C">
        <w:tblPrEx>
          <w:tblCellMar>
            <w:top w:w="0" w:type="dxa"/>
            <w:bottom w:w="0" w:type="dxa"/>
          </w:tblCellMar>
        </w:tblPrEx>
        <w:trPr>
          <w:cantSplit/>
          <w:jc w:val="center"/>
        </w:trPr>
        <w:tc>
          <w:tcPr>
            <w:tcW w:w="4587" w:type="dxa"/>
            <w:gridSpan w:val="11"/>
            <w:tcBorders>
              <w:top w:val="single" w:sz="6" w:space="0" w:color="auto"/>
              <w:left w:val="single" w:sz="6" w:space="0" w:color="auto"/>
              <w:right w:val="single" w:sz="6" w:space="0" w:color="auto"/>
            </w:tcBorders>
          </w:tcPr>
          <w:p w14:paraId="1A3886E5"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059BC0AF" w14:textId="77777777" w:rsidR="00711444" w:rsidRPr="004D0DAA" w:rsidRDefault="00711444" w:rsidP="00AA2A4C">
            <w:pPr>
              <w:pStyle w:val="TAC"/>
              <w:rPr>
                <w:lang w:eastAsia="en-US"/>
              </w:rPr>
            </w:pPr>
            <w:r w:rsidRPr="004D0DAA">
              <w:rPr>
                <w:lang w:eastAsia="en-US"/>
              </w:rPr>
              <w:t>5</w:t>
            </w:r>
          </w:p>
        </w:tc>
      </w:tr>
      <w:tr w:rsidR="00711444" w:rsidRPr="004D0DAA" w14:paraId="23A2D0D2" w14:textId="77777777" w:rsidTr="00AA2A4C">
        <w:tblPrEx>
          <w:tblCellMar>
            <w:top w:w="0" w:type="dxa"/>
            <w:bottom w:w="0" w:type="dxa"/>
          </w:tblCellMar>
        </w:tblPrEx>
        <w:trPr>
          <w:cantSplit/>
          <w:jc w:val="center"/>
        </w:trPr>
        <w:tc>
          <w:tcPr>
            <w:tcW w:w="3446" w:type="dxa"/>
            <w:gridSpan w:val="9"/>
            <w:tcBorders>
              <w:top w:val="single" w:sz="4" w:space="0" w:color="auto"/>
              <w:left w:val="single" w:sz="6" w:space="0" w:color="auto"/>
              <w:bottom w:val="single" w:sz="4" w:space="0" w:color="auto"/>
              <w:right w:val="single" w:sz="6" w:space="0" w:color="auto"/>
            </w:tcBorders>
          </w:tcPr>
          <w:p w14:paraId="62006DB0" w14:textId="77777777" w:rsidR="00711444" w:rsidRPr="004D0DAA" w:rsidRDefault="00711444" w:rsidP="00AA2A4C">
            <w:pPr>
              <w:pStyle w:val="TAC"/>
              <w:rPr>
                <w:lang w:eastAsia="en-US"/>
              </w:rPr>
            </w:pPr>
            <w:r w:rsidRPr="004D0DAA">
              <w:rPr>
                <w:lang w:eastAsia="en-US"/>
              </w:rPr>
              <w:t>CPS</w:t>
            </w:r>
          </w:p>
        </w:tc>
        <w:tc>
          <w:tcPr>
            <w:tcW w:w="1141" w:type="dxa"/>
            <w:gridSpan w:val="2"/>
            <w:tcBorders>
              <w:top w:val="single" w:sz="6" w:space="0" w:color="auto"/>
              <w:left w:val="single" w:sz="6" w:space="0" w:color="auto"/>
              <w:bottom w:val="single" w:sz="6" w:space="0" w:color="auto"/>
              <w:right w:val="single" w:sz="6" w:space="0" w:color="auto"/>
            </w:tcBorders>
          </w:tcPr>
          <w:p w14:paraId="457CE6DB"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63B14B4E" w14:textId="77777777" w:rsidR="00711444" w:rsidRPr="004D0DAA" w:rsidRDefault="00711444" w:rsidP="00AA2A4C">
            <w:pPr>
              <w:pStyle w:val="TAC"/>
              <w:rPr>
                <w:lang w:eastAsia="en-US"/>
              </w:rPr>
            </w:pPr>
            <w:r w:rsidRPr="004D0DAA">
              <w:rPr>
                <w:lang w:eastAsia="en-US"/>
              </w:rPr>
              <w:t>6</w:t>
            </w:r>
          </w:p>
        </w:tc>
      </w:tr>
      <w:tr w:rsidR="00711444" w:rsidRPr="004D0DAA" w14:paraId="17F09783" w14:textId="77777777" w:rsidTr="00AA2A4C">
        <w:tblPrEx>
          <w:tblCellMar>
            <w:top w:w="0" w:type="dxa"/>
            <w:bottom w:w="0" w:type="dxa"/>
          </w:tblCellMar>
        </w:tblPrEx>
        <w:trPr>
          <w:cantSplit/>
          <w:jc w:val="center"/>
        </w:trPr>
        <w:tc>
          <w:tcPr>
            <w:tcW w:w="574" w:type="dxa"/>
            <w:tcBorders>
              <w:top w:val="single" w:sz="4" w:space="0" w:color="auto"/>
            </w:tcBorders>
          </w:tcPr>
          <w:p w14:paraId="3831C7D4" w14:textId="77777777" w:rsidR="00711444" w:rsidRPr="004D0DAA" w:rsidRDefault="00711444" w:rsidP="00AA2A4C"/>
        </w:tc>
        <w:tc>
          <w:tcPr>
            <w:tcW w:w="574" w:type="dxa"/>
            <w:gridSpan w:val="2"/>
            <w:tcBorders>
              <w:top w:val="single" w:sz="4" w:space="0" w:color="auto"/>
            </w:tcBorders>
          </w:tcPr>
          <w:p w14:paraId="68CBEB0D" w14:textId="77777777" w:rsidR="00711444" w:rsidRPr="004D0DAA" w:rsidRDefault="00711444" w:rsidP="00AA2A4C"/>
        </w:tc>
        <w:tc>
          <w:tcPr>
            <w:tcW w:w="574" w:type="dxa"/>
            <w:gridSpan w:val="2"/>
            <w:tcBorders>
              <w:top w:val="single" w:sz="4" w:space="0" w:color="auto"/>
            </w:tcBorders>
          </w:tcPr>
          <w:p w14:paraId="72054629" w14:textId="77777777" w:rsidR="00711444" w:rsidRPr="004D0DAA" w:rsidRDefault="00711444" w:rsidP="00AA2A4C"/>
        </w:tc>
        <w:tc>
          <w:tcPr>
            <w:tcW w:w="575" w:type="dxa"/>
            <w:gridSpan w:val="2"/>
            <w:tcBorders>
              <w:top w:val="single" w:sz="4" w:space="0" w:color="auto"/>
              <w:right w:val="single" w:sz="6" w:space="0" w:color="auto"/>
            </w:tcBorders>
          </w:tcPr>
          <w:p w14:paraId="4F617713" w14:textId="77777777" w:rsidR="00711444" w:rsidRPr="004D0DAA" w:rsidRDefault="00711444" w:rsidP="00AA2A4C"/>
        </w:tc>
        <w:tc>
          <w:tcPr>
            <w:tcW w:w="1149" w:type="dxa"/>
            <w:gridSpan w:val="2"/>
            <w:tcBorders>
              <w:top w:val="single" w:sz="4" w:space="0" w:color="auto"/>
              <w:bottom w:val="single" w:sz="6" w:space="0" w:color="auto"/>
              <w:right w:val="single" w:sz="6" w:space="0" w:color="auto"/>
            </w:tcBorders>
          </w:tcPr>
          <w:p w14:paraId="6921E832" w14:textId="77777777" w:rsidR="00711444" w:rsidRPr="004D0DAA" w:rsidRDefault="00711444" w:rsidP="00AA2A4C">
            <w:pPr>
              <w:pStyle w:val="TAC"/>
              <w:rPr>
                <w:lang w:eastAsia="en-US"/>
              </w:rPr>
            </w:pPr>
            <w:r w:rsidRPr="004D0DAA">
              <w:rPr>
                <w:lang w:eastAsia="en-US"/>
              </w:rPr>
              <w:t>Spare</w:t>
            </w:r>
          </w:p>
        </w:tc>
        <w:tc>
          <w:tcPr>
            <w:tcW w:w="573" w:type="dxa"/>
            <w:tcBorders>
              <w:top w:val="single" w:sz="4" w:space="0" w:color="auto"/>
              <w:left w:val="single" w:sz="4" w:space="0" w:color="auto"/>
              <w:bottom w:val="single" w:sz="4" w:space="0" w:color="auto"/>
              <w:right w:val="single" w:sz="6" w:space="0" w:color="auto"/>
            </w:tcBorders>
          </w:tcPr>
          <w:p w14:paraId="54D5AD44" w14:textId="77777777" w:rsidR="00711444" w:rsidRPr="004D0DAA" w:rsidRDefault="00711444" w:rsidP="00AA2A4C">
            <w:pPr>
              <w:pStyle w:val="TAC"/>
              <w:rPr>
                <w:lang w:eastAsia="en-US"/>
              </w:rPr>
            </w:pPr>
            <w:r w:rsidRPr="004D0DAA">
              <w:rPr>
                <w:lang w:eastAsia="en-US"/>
              </w:rPr>
              <w:t>PANI</w:t>
            </w:r>
          </w:p>
        </w:tc>
        <w:tc>
          <w:tcPr>
            <w:tcW w:w="568" w:type="dxa"/>
            <w:tcBorders>
              <w:top w:val="single" w:sz="6" w:space="0" w:color="auto"/>
              <w:left w:val="single" w:sz="6" w:space="0" w:color="auto"/>
              <w:bottom w:val="single" w:sz="6" w:space="0" w:color="auto"/>
              <w:right w:val="single" w:sz="6" w:space="0" w:color="auto"/>
            </w:tcBorders>
          </w:tcPr>
          <w:p w14:paraId="2464E125" w14:textId="77777777" w:rsidR="00711444" w:rsidRPr="004D0DAA" w:rsidRDefault="00711444" w:rsidP="00AA2A4C">
            <w:pPr>
              <w:pStyle w:val="TAC"/>
              <w:rPr>
                <w:lang w:eastAsia="en-US"/>
              </w:rPr>
            </w:pPr>
            <w:r w:rsidRPr="004D0DAA">
              <w:rPr>
                <w:lang w:eastAsia="en-US"/>
              </w:rPr>
              <w:t>PI</w:t>
            </w:r>
          </w:p>
        </w:tc>
        <w:tc>
          <w:tcPr>
            <w:tcW w:w="1144" w:type="dxa"/>
            <w:tcBorders>
              <w:left w:val="single" w:sz="6" w:space="0" w:color="auto"/>
            </w:tcBorders>
          </w:tcPr>
          <w:p w14:paraId="4D1E214E" w14:textId="77777777" w:rsidR="00711444" w:rsidRPr="004D0DAA" w:rsidRDefault="00711444" w:rsidP="00AA2A4C">
            <w:pPr>
              <w:pStyle w:val="TAC"/>
              <w:rPr>
                <w:lang w:eastAsia="en-US"/>
              </w:rPr>
            </w:pPr>
            <w:r w:rsidRPr="004D0DAA">
              <w:rPr>
                <w:lang w:eastAsia="en-US"/>
              </w:rPr>
              <w:t>7</w:t>
            </w:r>
          </w:p>
        </w:tc>
      </w:tr>
    </w:tbl>
    <w:p w14:paraId="03F13ED5" w14:textId="77777777" w:rsidR="00711444" w:rsidRPr="004D0DAA" w:rsidRDefault="00711444" w:rsidP="00711444">
      <w:pPr>
        <w:pStyle w:val="NF"/>
      </w:pPr>
    </w:p>
    <w:p w14:paraId="5904145F" w14:textId="77777777" w:rsidR="00711444" w:rsidRPr="004D0DAA" w:rsidRDefault="00711444" w:rsidP="00711444">
      <w:pPr>
        <w:pStyle w:val="TF"/>
      </w:pPr>
      <w:r w:rsidRPr="004D0DAA">
        <w:t>Figure 10.3a.4.8.1: Combined uplink RLC data block header</w:t>
      </w:r>
      <w:r w:rsidRPr="004D0DAA">
        <w:br/>
        <w:t>for UBS-9, UBS-10.</w:t>
      </w:r>
    </w:p>
    <w:p w14:paraId="0C8E53B0" w14:textId="77777777" w:rsidR="00711444" w:rsidRPr="004D0DAA" w:rsidRDefault="00711444" w:rsidP="00711444">
      <w:pPr>
        <w:pStyle w:val="Heading4"/>
      </w:pPr>
      <w:bookmarkStart w:id="541" w:name="_Toc516669722"/>
      <w:r w:rsidRPr="004D0DAA">
        <w:t>10.3a.4.9</w:t>
      </w:r>
      <w:r w:rsidRPr="004D0DAA">
        <w:tab/>
        <w:t>Header type 9: header for UBS-11 and UBS-12</w:t>
      </w:r>
      <w:bookmarkEnd w:id="541"/>
    </w:p>
    <w:p w14:paraId="4B2D2BE0" w14:textId="77777777" w:rsidR="00711444" w:rsidRPr="004D0DAA" w:rsidRDefault="00711444" w:rsidP="00711444">
      <w:r w:rsidRPr="004D0DAA">
        <w:t>The combined uplink RLC/MAC header for UBS-11 and UBS-12 (header type 9) shall be formatted according to figure 10.3a.4.9.1.</w:t>
      </w:r>
    </w:p>
    <w:tbl>
      <w:tblPr>
        <w:tblW w:w="0" w:type="auto"/>
        <w:jc w:val="center"/>
        <w:tblLayout w:type="fixed"/>
        <w:tblCellMar>
          <w:left w:w="28" w:type="dxa"/>
          <w:right w:w="28" w:type="dxa"/>
        </w:tblCellMar>
        <w:tblLook w:val="0000" w:firstRow="0" w:lastRow="0" w:firstColumn="0" w:lastColumn="0" w:noHBand="0" w:noVBand="0"/>
      </w:tblPr>
      <w:tblGrid>
        <w:gridCol w:w="586"/>
        <w:gridCol w:w="577"/>
        <w:gridCol w:w="43"/>
        <w:gridCol w:w="524"/>
        <w:gridCol w:w="79"/>
        <w:gridCol w:w="604"/>
        <w:gridCol w:w="423"/>
        <w:gridCol w:w="602"/>
        <w:gridCol w:w="568"/>
        <w:gridCol w:w="572"/>
        <w:gridCol w:w="1144"/>
      </w:tblGrid>
      <w:tr w:rsidR="00711444" w:rsidRPr="004D0DAA" w14:paraId="413B6856" w14:textId="77777777" w:rsidTr="00AA2A4C">
        <w:tblPrEx>
          <w:tblCellMar>
            <w:top w:w="0" w:type="dxa"/>
            <w:bottom w:w="0" w:type="dxa"/>
          </w:tblCellMar>
        </w:tblPrEx>
        <w:trPr>
          <w:cantSplit/>
          <w:jc w:val="center"/>
        </w:trPr>
        <w:tc>
          <w:tcPr>
            <w:tcW w:w="4578" w:type="dxa"/>
            <w:gridSpan w:val="10"/>
          </w:tcPr>
          <w:p w14:paraId="1EF91F45" w14:textId="77777777" w:rsidR="00711444" w:rsidRPr="004D0DAA" w:rsidRDefault="00711444" w:rsidP="00AA2A4C">
            <w:pPr>
              <w:pStyle w:val="TAC"/>
              <w:rPr>
                <w:lang w:eastAsia="en-US"/>
              </w:rPr>
            </w:pPr>
            <w:r w:rsidRPr="004D0DAA">
              <w:rPr>
                <w:lang w:eastAsia="en-US"/>
              </w:rPr>
              <w:t>Bit</w:t>
            </w:r>
          </w:p>
        </w:tc>
        <w:tc>
          <w:tcPr>
            <w:tcW w:w="1144" w:type="dxa"/>
          </w:tcPr>
          <w:p w14:paraId="56316D50" w14:textId="77777777" w:rsidR="00711444" w:rsidRPr="004D0DAA" w:rsidRDefault="00711444" w:rsidP="00AA2A4C">
            <w:pPr>
              <w:pStyle w:val="TAC"/>
              <w:rPr>
                <w:lang w:eastAsia="en-US"/>
              </w:rPr>
            </w:pPr>
          </w:p>
        </w:tc>
      </w:tr>
      <w:tr w:rsidR="00711444" w:rsidRPr="004D0DAA" w14:paraId="1F37181E" w14:textId="77777777" w:rsidTr="00AA2A4C">
        <w:tblPrEx>
          <w:tblCellMar>
            <w:top w:w="0" w:type="dxa"/>
            <w:bottom w:w="0" w:type="dxa"/>
          </w:tblCellMar>
        </w:tblPrEx>
        <w:trPr>
          <w:cantSplit/>
          <w:jc w:val="center"/>
        </w:trPr>
        <w:tc>
          <w:tcPr>
            <w:tcW w:w="586" w:type="dxa"/>
          </w:tcPr>
          <w:p w14:paraId="1F1E6FA7" w14:textId="77777777" w:rsidR="00711444" w:rsidRPr="004D0DAA" w:rsidRDefault="00711444" w:rsidP="00AA2A4C">
            <w:pPr>
              <w:pStyle w:val="TAC"/>
              <w:rPr>
                <w:lang w:eastAsia="en-US"/>
              </w:rPr>
            </w:pPr>
            <w:r w:rsidRPr="004D0DAA">
              <w:rPr>
                <w:lang w:eastAsia="en-US"/>
              </w:rPr>
              <w:t>8</w:t>
            </w:r>
          </w:p>
        </w:tc>
        <w:tc>
          <w:tcPr>
            <w:tcW w:w="577" w:type="dxa"/>
          </w:tcPr>
          <w:p w14:paraId="6DAE2D49" w14:textId="77777777" w:rsidR="00711444" w:rsidRPr="004D0DAA" w:rsidRDefault="00711444" w:rsidP="00AA2A4C">
            <w:pPr>
              <w:pStyle w:val="TAC"/>
              <w:rPr>
                <w:lang w:eastAsia="en-US"/>
              </w:rPr>
            </w:pPr>
            <w:r w:rsidRPr="004D0DAA">
              <w:rPr>
                <w:lang w:eastAsia="en-US"/>
              </w:rPr>
              <w:t>7</w:t>
            </w:r>
          </w:p>
        </w:tc>
        <w:tc>
          <w:tcPr>
            <w:tcW w:w="567" w:type="dxa"/>
            <w:gridSpan w:val="2"/>
          </w:tcPr>
          <w:p w14:paraId="4E0C3EA2" w14:textId="77777777" w:rsidR="00711444" w:rsidRPr="004D0DAA" w:rsidRDefault="00711444" w:rsidP="00AA2A4C">
            <w:pPr>
              <w:pStyle w:val="TAC"/>
              <w:rPr>
                <w:lang w:eastAsia="en-US"/>
              </w:rPr>
            </w:pPr>
            <w:r w:rsidRPr="004D0DAA">
              <w:rPr>
                <w:lang w:eastAsia="en-US"/>
              </w:rPr>
              <w:t>6</w:t>
            </w:r>
          </w:p>
        </w:tc>
        <w:tc>
          <w:tcPr>
            <w:tcW w:w="683" w:type="dxa"/>
            <w:gridSpan w:val="2"/>
          </w:tcPr>
          <w:p w14:paraId="46CBA318" w14:textId="77777777" w:rsidR="00711444" w:rsidRPr="004D0DAA" w:rsidRDefault="00711444" w:rsidP="00AA2A4C">
            <w:pPr>
              <w:pStyle w:val="TAC"/>
              <w:rPr>
                <w:lang w:eastAsia="en-US"/>
              </w:rPr>
            </w:pPr>
            <w:r w:rsidRPr="004D0DAA">
              <w:rPr>
                <w:lang w:eastAsia="en-US"/>
              </w:rPr>
              <w:t>5</w:t>
            </w:r>
          </w:p>
        </w:tc>
        <w:tc>
          <w:tcPr>
            <w:tcW w:w="423" w:type="dxa"/>
          </w:tcPr>
          <w:p w14:paraId="0D3CAC2F" w14:textId="77777777" w:rsidR="00711444" w:rsidRPr="004D0DAA" w:rsidRDefault="00711444" w:rsidP="00AA2A4C">
            <w:pPr>
              <w:pStyle w:val="TAC"/>
              <w:rPr>
                <w:lang w:eastAsia="en-US"/>
              </w:rPr>
            </w:pPr>
            <w:r w:rsidRPr="004D0DAA">
              <w:rPr>
                <w:lang w:eastAsia="en-US"/>
              </w:rPr>
              <w:t>4</w:t>
            </w:r>
          </w:p>
        </w:tc>
        <w:tc>
          <w:tcPr>
            <w:tcW w:w="602" w:type="dxa"/>
          </w:tcPr>
          <w:p w14:paraId="6BA64018" w14:textId="77777777" w:rsidR="00711444" w:rsidRPr="004D0DAA" w:rsidRDefault="00711444" w:rsidP="00AA2A4C">
            <w:pPr>
              <w:pStyle w:val="TAC"/>
              <w:rPr>
                <w:lang w:eastAsia="en-US"/>
              </w:rPr>
            </w:pPr>
            <w:r w:rsidRPr="004D0DAA">
              <w:rPr>
                <w:lang w:eastAsia="en-US"/>
              </w:rPr>
              <w:t>3</w:t>
            </w:r>
          </w:p>
        </w:tc>
        <w:tc>
          <w:tcPr>
            <w:tcW w:w="568" w:type="dxa"/>
          </w:tcPr>
          <w:p w14:paraId="63F5BB53" w14:textId="77777777" w:rsidR="00711444" w:rsidRPr="004D0DAA" w:rsidRDefault="00711444" w:rsidP="00AA2A4C">
            <w:pPr>
              <w:pStyle w:val="TAC"/>
              <w:rPr>
                <w:lang w:eastAsia="en-US"/>
              </w:rPr>
            </w:pPr>
            <w:r w:rsidRPr="004D0DAA">
              <w:rPr>
                <w:lang w:eastAsia="en-US"/>
              </w:rPr>
              <w:t>2</w:t>
            </w:r>
          </w:p>
        </w:tc>
        <w:tc>
          <w:tcPr>
            <w:tcW w:w="572" w:type="dxa"/>
          </w:tcPr>
          <w:p w14:paraId="65203A7D" w14:textId="77777777" w:rsidR="00711444" w:rsidRPr="004D0DAA" w:rsidRDefault="00711444" w:rsidP="00AA2A4C">
            <w:pPr>
              <w:pStyle w:val="TAC"/>
              <w:rPr>
                <w:lang w:eastAsia="en-US"/>
              </w:rPr>
            </w:pPr>
            <w:r w:rsidRPr="004D0DAA">
              <w:rPr>
                <w:lang w:eastAsia="en-US"/>
              </w:rPr>
              <w:t>1</w:t>
            </w:r>
          </w:p>
        </w:tc>
        <w:tc>
          <w:tcPr>
            <w:tcW w:w="1144" w:type="dxa"/>
          </w:tcPr>
          <w:p w14:paraId="2070B75C" w14:textId="77777777" w:rsidR="00711444" w:rsidRPr="004D0DAA" w:rsidRDefault="00711444" w:rsidP="00AA2A4C">
            <w:pPr>
              <w:pStyle w:val="TAC"/>
              <w:rPr>
                <w:lang w:eastAsia="en-US"/>
              </w:rPr>
            </w:pPr>
            <w:r w:rsidRPr="004D0DAA">
              <w:rPr>
                <w:lang w:eastAsia="en-US"/>
              </w:rPr>
              <w:t>Octet</w:t>
            </w:r>
          </w:p>
        </w:tc>
      </w:tr>
      <w:tr w:rsidR="00711444" w:rsidRPr="004D0DAA" w14:paraId="30F4E020"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bottom w:val="single" w:sz="6" w:space="0" w:color="auto"/>
            </w:tcBorders>
          </w:tcPr>
          <w:p w14:paraId="1FA50C9E" w14:textId="77777777" w:rsidR="00711444" w:rsidRPr="004D0DAA" w:rsidRDefault="00711444" w:rsidP="00AA2A4C">
            <w:pPr>
              <w:pStyle w:val="TAC"/>
              <w:rPr>
                <w:lang w:eastAsia="en-US"/>
              </w:rPr>
            </w:pPr>
            <w:r w:rsidRPr="004D0DAA">
              <w:rPr>
                <w:lang w:eastAsia="en-US"/>
              </w:rPr>
              <w:t>TFI</w:t>
            </w:r>
          </w:p>
        </w:tc>
        <w:tc>
          <w:tcPr>
            <w:tcW w:w="2275" w:type="dxa"/>
            <w:gridSpan w:val="6"/>
            <w:tcBorders>
              <w:top w:val="single" w:sz="6" w:space="0" w:color="auto"/>
              <w:left w:val="single" w:sz="6" w:space="0" w:color="auto"/>
              <w:bottom w:val="single" w:sz="6" w:space="0" w:color="auto"/>
            </w:tcBorders>
          </w:tcPr>
          <w:p w14:paraId="19E1DB73" w14:textId="77777777" w:rsidR="00711444" w:rsidRPr="004D0DAA" w:rsidRDefault="00711444" w:rsidP="00AA2A4C">
            <w:pPr>
              <w:pStyle w:val="TAC"/>
              <w:rPr>
                <w:lang w:eastAsia="en-US"/>
              </w:rPr>
            </w:pPr>
            <w:r w:rsidRPr="004D0DAA">
              <w:rPr>
                <w:lang w:eastAsia="en-US"/>
              </w:rPr>
              <w:t>Countdown Value</w:t>
            </w:r>
          </w:p>
        </w:tc>
        <w:tc>
          <w:tcPr>
            <w:tcW w:w="568" w:type="dxa"/>
            <w:tcBorders>
              <w:top w:val="single" w:sz="6" w:space="0" w:color="auto"/>
              <w:left w:val="single" w:sz="6" w:space="0" w:color="auto"/>
              <w:bottom w:val="single" w:sz="6" w:space="0" w:color="auto"/>
            </w:tcBorders>
          </w:tcPr>
          <w:p w14:paraId="08AC7A49" w14:textId="77777777" w:rsidR="00711444" w:rsidRPr="004D0DAA" w:rsidRDefault="00711444" w:rsidP="00AA2A4C">
            <w:pPr>
              <w:pStyle w:val="TAC"/>
              <w:rPr>
                <w:lang w:eastAsia="en-US"/>
              </w:rPr>
            </w:pPr>
            <w:r w:rsidRPr="004D0DAA">
              <w:rPr>
                <w:lang w:eastAsia="en-US"/>
              </w:rPr>
              <w:t>SI</w:t>
            </w:r>
          </w:p>
        </w:tc>
        <w:tc>
          <w:tcPr>
            <w:tcW w:w="572" w:type="dxa"/>
            <w:tcBorders>
              <w:top w:val="single" w:sz="6" w:space="0" w:color="auto"/>
              <w:left w:val="single" w:sz="6" w:space="0" w:color="auto"/>
              <w:bottom w:val="single" w:sz="6" w:space="0" w:color="auto"/>
              <w:right w:val="single" w:sz="6" w:space="0" w:color="auto"/>
            </w:tcBorders>
          </w:tcPr>
          <w:p w14:paraId="5BDBFC23" w14:textId="77777777" w:rsidR="00711444" w:rsidRPr="004D0DAA" w:rsidRDefault="00711444" w:rsidP="00AA2A4C">
            <w:pPr>
              <w:pStyle w:val="TAC"/>
              <w:rPr>
                <w:lang w:eastAsia="en-US"/>
              </w:rPr>
            </w:pPr>
            <w:r w:rsidRPr="004D0DAA">
              <w:rPr>
                <w:lang w:eastAsia="en-US"/>
              </w:rPr>
              <w:t>R</w:t>
            </w:r>
          </w:p>
        </w:tc>
        <w:tc>
          <w:tcPr>
            <w:tcW w:w="1144" w:type="dxa"/>
            <w:tcBorders>
              <w:left w:val="single" w:sz="6" w:space="0" w:color="auto"/>
            </w:tcBorders>
          </w:tcPr>
          <w:p w14:paraId="2164BEB5" w14:textId="77777777" w:rsidR="00711444" w:rsidRPr="004D0DAA" w:rsidRDefault="00711444" w:rsidP="00AA2A4C">
            <w:pPr>
              <w:pStyle w:val="TAC"/>
              <w:rPr>
                <w:lang w:eastAsia="en-US"/>
              </w:rPr>
            </w:pPr>
            <w:r w:rsidRPr="004D0DAA">
              <w:rPr>
                <w:lang w:eastAsia="en-US"/>
              </w:rPr>
              <w:t>1</w:t>
            </w:r>
          </w:p>
        </w:tc>
      </w:tr>
      <w:tr w:rsidR="00711444" w:rsidRPr="004D0DAA" w14:paraId="4A4DCAD0" w14:textId="77777777" w:rsidTr="00AA2A4C">
        <w:tblPrEx>
          <w:tblCellMar>
            <w:top w:w="0" w:type="dxa"/>
            <w:bottom w:w="0" w:type="dxa"/>
          </w:tblCellMar>
        </w:tblPrEx>
        <w:trPr>
          <w:cantSplit/>
          <w:jc w:val="center"/>
        </w:trPr>
        <w:tc>
          <w:tcPr>
            <w:tcW w:w="2836" w:type="dxa"/>
            <w:gridSpan w:val="7"/>
            <w:tcBorders>
              <w:left w:val="single" w:sz="6" w:space="0" w:color="auto"/>
              <w:right w:val="single" w:sz="6" w:space="0" w:color="auto"/>
            </w:tcBorders>
          </w:tcPr>
          <w:p w14:paraId="3D46F235" w14:textId="77777777" w:rsidR="00711444" w:rsidRPr="004D0DAA" w:rsidRDefault="00711444" w:rsidP="00AA2A4C">
            <w:pPr>
              <w:pStyle w:val="TAC"/>
              <w:rPr>
                <w:lang w:eastAsia="en-US"/>
              </w:rPr>
            </w:pPr>
            <w:r w:rsidRPr="004D0DAA">
              <w:rPr>
                <w:lang w:eastAsia="en-US"/>
              </w:rPr>
              <w:t>BSN1</w:t>
            </w:r>
          </w:p>
        </w:tc>
        <w:tc>
          <w:tcPr>
            <w:tcW w:w="1742" w:type="dxa"/>
            <w:gridSpan w:val="3"/>
            <w:tcBorders>
              <w:left w:val="single" w:sz="6" w:space="0" w:color="auto"/>
              <w:right w:val="single" w:sz="6" w:space="0" w:color="auto"/>
            </w:tcBorders>
          </w:tcPr>
          <w:p w14:paraId="65C6B923" w14:textId="77777777" w:rsidR="00711444" w:rsidRPr="004D0DAA" w:rsidRDefault="00711444" w:rsidP="00AA2A4C">
            <w:pPr>
              <w:pStyle w:val="TAC"/>
              <w:rPr>
                <w:lang w:eastAsia="en-US"/>
              </w:rPr>
            </w:pPr>
            <w:r w:rsidRPr="004D0DAA">
              <w:rPr>
                <w:lang w:eastAsia="en-US"/>
              </w:rPr>
              <w:t>TFI</w:t>
            </w:r>
          </w:p>
        </w:tc>
        <w:tc>
          <w:tcPr>
            <w:tcW w:w="1144" w:type="dxa"/>
            <w:tcBorders>
              <w:left w:val="single" w:sz="6" w:space="0" w:color="auto"/>
            </w:tcBorders>
          </w:tcPr>
          <w:p w14:paraId="13B96469" w14:textId="77777777" w:rsidR="00711444" w:rsidRPr="004D0DAA" w:rsidRDefault="00711444" w:rsidP="00AA2A4C">
            <w:pPr>
              <w:pStyle w:val="TAC"/>
              <w:rPr>
                <w:lang w:eastAsia="en-US"/>
              </w:rPr>
            </w:pPr>
            <w:r w:rsidRPr="004D0DAA">
              <w:rPr>
                <w:lang w:eastAsia="en-US"/>
              </w:rPr>
              <w:t>2</w:t>
            </w:r>
          </w:p>
        </w:tc>
      </w:tr>
      <w:tr w:rsidR="00711444" w:rsidRPr="004D0DAA" w14:paraId="3B36BFEE" w14:textId="77777777" w:rsidTr="00AA2A4C">
        <w:tblPrEx>
          <w:tblCellMar>
            <w:top w:w="0" w:type="dxa"/>
            <w:bottom w:w="0" w:type="dxa"/>
          </w:tblCellMar>
        </w:tblPrEx>
        <w:trPr>
          <w:cantSplit/>
          <w:jc w:val="center"/>
        </w:trPr>
        <w:tc>
          <w:tcPr>
            <w:tcW w:w="1163" w:type="dxa"/>
            <w:gridSpan w:val="2"/>
            <w:tcBorders>
              <w:top w:val="single" w:sz="6" w:space="0" w:color="auto"/>
              <w:left w:val="single" w:sz="6" w:space="0" w:color="auto"/>
              <w:right w:val="single" w:sz="6" w:space="0" w:color="auto"/>
            </w:tcBorders>
          </w:tcPr>
          <w:p w14:paraId="256A7005" w14:textId="77777777" w:rsidR="00711444" w:rsidRPr="004D0DAA" w:rsidRDefault="00711444" w:rsidP="00AA2A4C">
            <w:pPr>
              <w:pStyle w:val="TAC"/>
              <w:rPr>
                <w:lang w:eastAsia="en-US"/>
              </w:rPr>
            </w:pPr>
            <w:r w:rsidRPr="004D0DAA">
              <w:rPr>
                <w:lang w:eastAsia="en-US"/>
              </w:rPr>
              <w:t>BSN2</w:t>
            </w:r>
          </w:p>
        </w:tc>
        <w:tc>
          <w:tcPr>
            <w:tcW w:w="3415" w:type="dxa"/>
            <w:gridSpan w:val="8"/>
            <w:tcBorders>
              <w:top w:val="single" w:sz="6" w:space="0" w:color="auto"/>
              <w:left w:val="single" w:sz="6" w:space="0" w:color="auto"/>
              <w:right w:val="single" w:sz="6" w:space="0" w:color="auto"/>
            </w:tcBorders>
          </w:tcPr>
          <w:p w14:paraId="7F583D37" w14:textId="77777777" w:rsidR="00711444" w:rsidRPr="004D0DAA" w:rsidRDefault="00711444" w:rsidP="00AA2A4C">
            <w:pPr>
              <w:pStyle w:val="TAC"/>
              <w:rPr>
                <w:lang w:eastAsia="en-US"/>
              </w:rPr>
            </w:pPr>
            <w:r w:rsidRPr="004D0DAA">
              <w:rPr>
                <w:lang w:eastAsia="en-US"/>
              </w:rPr>
              <w:t>BSN1</w:t>
            </w:r>
          </w:p>
        </w:tc>
        <w:tc>
          <w:tcPr>
            <w:tcW w:w="1144" w:type="dxa"/>
            <w:tcBorders>
              <w:left w:val="single" w:sz="6" w:space="0" w:color="auto"/>
            </w:tcBorders>
          </w:tcPr>
          <w:p w14:paraId="7731592B" w14:textId="77777777" w:rsidR="00711444" w:rsidRPr="004D0DAA" w:rsidRDefault="00711444" w:rsidP="00AA2A4C">
            <w:pPr>
              <w:pStyle w:val="TAC"/>
              <w:rPr>
                <w:lang w:eastAsia="en-US"/>
              </w:rPr>
            </w:pPr>
            <w:r w:rsidRPr="004D0DAA">
              <w:rPr>
                <w:lang w:eastAsia="en-US"/>
              </w:rPr>
              <w:t>3</w:t>
            </w:r>
          </w:p>
        </w:tc>
      </w:tr>
      <w:tr w:rsidR="00711444" w:rsidRPr="004D0DAA" w14:paraId="4C568CF5" w14:textId="77777777" w:rsidTr="00AA2A4C">
        <w:tblPrEx>
          <w:tblCellMar>
            <w:top w:w="0" w:type="dxa"/>
            <w:bottom w:w="0" w:type="dxa"/>
          </w:tblCellMar>
        </w:tblPrEx>
        <w:trPr>
          <w:cantSplit/>
          <w:jc w:val="center"/>
        </w:trPr>
        <w:tc>
          <w:tcPr>
            <w:tcW w:w="4578" w:type="dxa"/>
            <w:gridSpan w:val="10"/>
            <w:tcBorders>
              <w:top w:val="single" w:sz="6" w:space="0" w:color="auto"/>
              <w:left w:val="single" w:sz="6" w:space="0" w:color="auto"/>
              <w:right w:val="single" w:sz="6" w:space="0" w:color="auto"/>
            </w:tcBorders>
          </w:tcPr>
          <w:p w14:paraId="3E6DEA4C" w14:textId="77777777" w:rsidR="00711444" w:rsidRPr="004D0DAA" w:rsidRDefault="00711444" w:rsidP="00AA2A4C">
            <w:pPr>
              <w:pStyle w:val="TAC"/>
              <w:rPr>
                <w:lang w:eastAsia="en-US"/>
              </w:rPr>
            </w:pPr>
            <w:r w:rsidRPr="004D0DAA">
              <w:rPr>
                <w:lang w:eastAsia="en-US"/>
              </w:rPr>
              <w:t>BSN2</w:t>
            </w:r>
          </w:p>
        </w:tc>
        <w:tc>
          <w:tcPr>
            <w:tcW w:w="1144" w:type="dxa"/>
            <w:tcBorders>
              <w:left w:val="single" w:sz="6" w:space="0" w:color="auto"/>
            </w:tcBorders>
          </w:tcPr>
          <w:p w14:paraId="19C24179" w14:textId="77777777" w:rsidR="00711444" w:rsidRPr="004D0DAA" w:rsidRDefault="00711444" w:rsidP="00AA2A4C">
            <w:pPr>
              <w:pStyle w:val="TAC"/>
              <w:rPr>
                <w:lang w:eastAsia="en-US"/>
              </w:rPr>
            </w:pPr>
            <w:r w:rsidRPr="004D0DAA">
              <w:rPr>
                <w:lang w:eastAsia="en-US"/>
              </w:rPr>
              <w:t>4</w:t>
            </w:r>
          </w:p>
        </w:tc>
      </w:tr>
      <w:tr w:rsidR="00711444" w:rsidRPr="004D0DAA" w14:paraId="7248178B" w14:textId="77777777" w:rsidTr="00AA2A4C">
        <w:tblPrEx>
          <w:tblCellMar>
            <w:top w:w="0" w:type="dxa"/>
            <w:bottom w:w="0" w:type="dxa"/>
          </w:tblCellMar>
        </w:tblPrEx>
        <w:trPr>
          <w:cantSplit/>
          <w:jc w:val="center"/>
        </w:trPr>
        <w:tc>
          <w:tcPr>
            <w:tcW w:w="4578" w:type="dxa"/>
            <w:gridSpan w:val="10"/>
            <w:tcBorders>
              <w:top w:val="single" w:sz="6" w:space="0" w:color="auto"/>
              <w:left w:val="single" w:sz="6" w:space="0" w:color="auto"/>
              <w:right w:val="single" w:sz="6" w:space="0" w:color="auto"/>
            </w:tcBorders>
          </w:tcPr>
          <w:p w14:paraId="2F6A7037"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215FC653" w14:textId="77777777" w:rsidR="00711444" w:rsidRPr="004D0DAA" w:rsidRDefault="00711444" w:rsidP="00AA2A4C">
            <w:pPr>
              <w:pStyle w:val="TAC"/>
              <w:rPr>
                <w:lang w:eastAsia="en-US"/>
              </w:rPr>
            </w:pPr>
            <w:r w:rsidRPr="004D0DAA">
              <w:rPr>
                <w:lang w:eastAsia="en-US"/>
              </w:rPr>
              <w:t>5</w:t>
            </w:r>
          </w:p>
        </w:tc>
      </w:tr>
      <w:tr w:rsidR="00711444" w:rsidRPr="004D0DAA" w14:paraId="02CB5A2F" w14:textId="77777777" w:rsidTr="00AA2A4C">
        <w:tblPrEx>
          <w:tblCellMar>
            <w:top w:w="0" w:type="dxa"/>
            <w:bottom w:w="0" w:type="dxa"/>
          </w:tblCellMar>
        </w:tblPrEx>
        <w:trPr>
          <w:cantSplit/>
          <w:jc w:val="center"/>
        </w:trPr>
        <w:tc>
          <w:tcPr>
            <w:tcW w:w="3438" w:type="dxa"/>
            <w:gridSpan w:val="8"/>
            <w:tcBorders>
              <w:top w:val="single" w:sz="4" w:space="0" w:color="auto"/>
              <w:left w:val="single" w:sz="6" w:space="0" w:color="auto"/>
              <w:bottom w:val="single" w:sz="4" w:space="0" w:color="auto"/>
              <w:right w:val="single" w:sz="6" w:space="0" w:color="auto"/>
            </w:tcBorders>
          </w:tcPr>
          <w:p w14:paraId="52BC34F1" w14:textId="77777777" w:rsidR="00711444" w:rsidRPr="004D0DAA" w:rsidRDefault="00711444" w:rsidP="00AA2A4C">
            <w:pPr>
              <w:pStyle w:val="TAC"/>
              <w:rPr>
                <w:lang w:eastAsia="en-US"/>
              </w:rPr>
            </w:pPr>
            <w:r w:rsidRPr="004D0DAA">
              <w:rPr>
                <w:lang w:eastAsia="en-US"/>
              </w:rPr>
              <w:t>BSN4</w:t>
            </w:r>
          </w:p>
        </w:tc>
        <w:tc>
          <w:tcPr>
            <w:tcW w:w="1140" w:type="dxa"/>
            <w:gridSpan w:val="2"/>
            <w:tcBorders>
              <w:top w:val="single" w:sz="6" w:space="0" w:color="auto"/>
              <w:left w:val="single" w:sz="6" w:space="0" w:color="auto"/>
              <w:bottom w:val="single" w:sz="6" w:space="0" w:color="auto"/>
              <w:right w:val="single" w:sz="6" w:space="0" w:color="auto"/>
            </w:tcBorders>
          </w:tcPr>
          <w:p w14:paraId="1947EEB9" w14:textId="77777777" w:rsidR="00711444" w:rsidRPr="004D0DAA" w:rsidRDefault="00711444" w:rsidP="00AA2A4C">
            <w:pPr>
              <w:pStyle w:val="TAC"/>
              <w:rPr>
                <w:lang w:eastAsia="en-US"/>
              </w:rPr>
            </w:pPr>
            <w:r w:rsidRPr="004D0DAA">
              <w:rPr>
                <w:lang w:eastAsia="en-US"/>
              </w:rPr>
              <w:t>BSN3</w:t>
            </w:r>
          </w:p>
        </w:tc>
        <w:tc>
          <w:tcPr>
            <w:tcW w:w="1144" w:type="dxa"/>
            <w:tcBorders>
              <w:left w:val="single" w:sz="6" w:space="0" w:color="auto"/>
            </w:tcBorders>
          </w:tcPr>
          <w:p w14:paraId="779DFBA1" w14:textId="77777777" w:rsidR="00711444" w:rsidRPr="004D0DAA" w:rsidRDefault="00711444" w:rsidP="00AA2A4C">
            <w:pPr>
              <w:pStyle w:val="TAC"/>
              <w:rPr>
                <w:lang w:eastAsia="en-US"/>
              </w:rPr>
            </w:pPr>
            <w:r w:rsidRPr="004D0DAA">
              <w:rPr>
                <w:lang w:eastAsia="en-US"/>
              </w:rPr>
              <w:t>6</w:t>
            </w:r>
          </w:p>
        </w:tc>
      </w:tr>
      <w:tr w:rsidR="00711444" w:rsidRPr="004D0DAA" w14:paraId="42B5255C" w14:textId="77777777" w:rsidTr="00AA2A4C">
        <w:tblPrEx>
          <w:tblCellMar>
            <w:top w:w="0" w:type="dxa"/>
            <w:bottom w:w="0" w:type="dxa"/>
          </w:tblCellMar>
        </w:tblPrEx>
        <w:trPr>
          <w:cantSplit/>
          <w:jc w:val="center"/>
        </w:trPr>
        <w:tc>
          <w:tcPr>
            <w:tcW w:w="2413" w:type="dxa"/>
            <w:gridSpan w:val="6"/>
            <w:tcBorders>
              <w:top w:val="single" w:sz="4" w:space="0" w:color="auto"/>
              <w:left w:val="single" w:sz="4" w:space="0" w:color="auto"/>
              <w:bottom w:val="single" w:sz="4" w:space="0" w:color="auto"/>
              <w:right w:val="single" w:sz="4" w:space="0" w:color="auto"/>
            </w:tcBorders>
          </w:tcPr>
          <w:p w14:paraId="4E4F78F1" w14:textId="77777777" w:rsidR="00711444" w:rsidRPr="004D0DAA" w:rsidRDefault="00711444" w:rsidP="00AA2A4C">
            <w:pPr>
              <w:pStyle w:val="TAC"/>
              <w:rPr>
                <w:lang w:eastAsia="en-US"/>
              </w:rPr>
            </w:pPr>
            <w:r w:rsidRPr="004D0DAA">
              <w:rPr>
                <w:lang w:eastAsia="en-US"/>
              </w:rPr>
              <w:t>CPS</w:t>
            </w:r>
          </w:p>
        </w:tc>
        <w:tc>
          <w:tcPr>
            <w:tcW w:w="2165" w:type="dxa"/>
            <w:gridSpan w:val="4"/>
            <w:tcBorders>
              <w:top w:val="single" w:sz="4" w:space="0" w:color="auto"/>
              <w:left w:val="single" w:sz="4" w:space="0" w:color="auto"/>
              <w:bottom w:val="single" w:sz="4" w:space="0" w:color="auto"/>
              <w:right w:val="single" w:sz="6" w:space="0" w:color="auto"/>
            </w:tcBorders>
          </w:tcPr>
          <w:p w14:paraId="59DF9469" w14:textId="77777777" w:rsidR="00711444" w:rsidRPr="004D0DAA" w:rsidRDefault="00711444" w:rsidP="00AA2A4C">
            <w:pPr>
              <w:pStyle w:val="TAC"/>
              <w:rPr>
                <w:lang w:eastAsia="en-US"/>
              </w:rPr>
            </w:pPr>
            <w:r w:rsidRPr="004D0DAA">
              <w:rPr>
                <w:lang w:eastAsia="en-US"/>
              </w:rPr>
              <w:t>BSN4</w:t>
            </w:r>
          </w:p>
        </w:tc>
        <w:tc>
          <w:tcPr>
            <w:tcW w:w="1144" w:type="dxa"/>
            <w:tcBorders>
              <w:left w:val="single" w:sz="6" w:space="0" w:color="auto"/>
            </w:tcBorders>
          </w:tcPr>
          <w:p w14:paraId="714D6F56" w14:textId="77777777" w:rsidR="00711444" w:rsidRPr="004D0DAA" w:rsidRDefault="00711444" w:rsidP="00AA2A4C">
            <w:pPr>
              <w:pStyle w:val="TAC"/>
              <w:rPr>
                <w:lang w:eastAsia="en-US"/>
              </w:rPr>
            </w:pPr>
            <w:r w:rsidRPr="004D0DAA">
              <w:rPr>
                <w:lang w:eastAsia="en-US"/>
              </w:rPr>
              <w:t>7</w:t>
            </w:r>
          </w:p>
        </w:tc>
      </w:tr>
      <w:tr w:rsidR="00711444" w:rsidRPr="004D0DAA" w14:paraId="36E71912" w14:textId="77777777" w:rsidTr="00AA2A4C">
        <w:tblPrEx>
          <w:tblCellMar>
            <w:top w:w="0" w:type="dxa"/>
            <w:bottom w:w="0" w:type="dxa"/>
          </w:tblCellMar>
        </w:tblPrEx>
        <w:trPr>
          <w:cantSplit/>
          <w:jc w:val="center"/>
        </w:trPr>
        <w:tc>
          <w:tcPr>
            <w:tcW w:w="1206" w:type="dxa"/>
            <w:gridSpan w:val="3"/>
            <w:tcBorders>
              <w:top w:val="single" w:sz="4" w:space="0" w:color="auto"/>
              <w:left w:val="single" w:sz="4" w:space="0" w:color="auto"/>
              <w:bottom w:val="single" w:sz="4" w:space="0" w:color="auto"/>
              <w:right w:val="single" w:sz="4" w:space="0" w:color="auto"/>
            </w:tcBorders>
          </w:tcPr>
          <w:p w14:paraId="3A6722A6" w14:textId="77777777" w:rsidR="00711444" w:rsidRPr="004D0DAA" w:rsidRDefault="00711444" w:rsidP="00AA2A4C">
            <w:pPr>
              <w:pStyle w:val="TAC"/>
              <w:rPr>
                <w:lang w:eastAsia="en-US"/>
              </w:rPr>
            </w:pPr>
            <w:r w:rsidRPr="004D0DAA">
              <w:rPr>
                <w:lang w:eastAsia="en-US"/>
              </w:rPr>
              <w:t>Spare</w:t>
            </w:r>
          </w:p>
        </w:tc>
        <w:tc>
          <w:tcPr>
            <w:tcW w:w="603" w:type="dxa"/>
            <w:gridSpan w:val="2"/>
            <w:tcBorders>
              <w:top w:val="single" w:sz="4" w:space="0" w:color="auto"/>
              <w:left w:val="single" w:sz="4" w:space="0" w:color="auto"/>
              <w:bottom w:val="single" w:sz="4" w:space="0" w:color="auto"/>
              <w:right w:val="single" w:sz="4" w:space="0" w:color="auto"/>
            </w:tcBorders>
          </w:tcPr>
          <w:p w14:paraId="21A9072F" w14:textId="77777777" w:rsidR="00711444" w:rsidRPr="004D0DAA" w:rsidRDefault="00711444" w:rsidP="00AA2A4C">
            <w:pPr>
              <w:pStyle w:val="TAC"/>
              <w:rPr>
                <w:lang w:eastAsia="en-US"/>
              </w:rPr>
            </w:pPr>
            <w:r w:rsidRPr="004D0DAA">
              <w:rPr>
                <w:lang w:eastAsia="en-US"/>
              </w:rPr>
              <w:t>PANI</w:t>
            </w:r>
          </w:p>
        </w:tc>
        <w:tc>
          <w:tcPr>
            <w:tcW w:w="604" w:type="dxa"/>
            <w:tcBorders>
              <w:top w:val="single" w:sz="4" w:space="0" w:color="auto"/>
              <w:left w:val="single" w:sz="4" w:space="0" w:color="auto"/>
              <w:bottom w:val="single" w:sz="4" w:space="0" w:color="auto"/>
              <w:right w:val="single" w:sz="4" w:space="0" w:color="auto"/>
            </w:tcBorders>
          </w:tcPr>
          <w:p w14:paraId="6C85577C" w14:textId="77777777" w:rsidR="00711444" w:rsidRPr="004D0DAA" w:rsidRDefault="00711444" w:rsidP="00AA2A4C">
            <w:pPr>
              <w:pStyle w:val="TAC"/>
              <w:rPr>
                <w:lang w:eastAsia="en-US"/>
              </w:rPr>
            </w:pPr>
            <w:r w:rsidRPr="004D0DAA">
              <w:rPr>
                <w:lang w:eastAsia="en-US"/>
              </w:rPr>
              <w:t>PI</w:t>
            </w:r>
          </w:p>
        </w:tc>
        <w:tc>
          <w:tcPr>
            <w:tcW w:w="2165" w:type="dxa"/>
            <w:gridSpan w:val="4"/>
            <w:tcBorders>
              <w:top w:val="single" w:sz="4" w:space="0" w:color="auto"/>
              <w:left w:val="single" w:sz="4" w:space="0" w:color="auto"/>
              <w:bottom w:val="single" w:sz="4" w:space="0" w:color="auto"/>
              <w:right w:val="single" w:sz="4" w:space="0" w:color="auto"/>
            </w:tcBorders>
          </w:tcPr>
          <w:p w14:paraId="527A1FD7" w14:textId="77777777" w:rsidR="00711444" w:rsidRPr="004D0DAA" w:rsidRDefault="00711444" w:rsidP="00AA2A4C">
            <w:pPr>
              <w:pStyle w:val="TAC"/>
              <w:rPr>
                <w:lang w:eastAsia="en-US"/>
              </w:rPr>
            </w:pPr>
            <w:r w:rsidRPr="004D0DAA">
              <w:rPr>
                <w:lang w:eastAsia="en-US"/>
              </w:rPr>
              <w:t>CPS</w:t>
            </w:r>
          </w:p>
        </w:tc>
        <w:tc>
          <w:tcPr>
            <w:tcW w:w="1144" w:type="dxa"/>
            <w:tcBorders>
              <w:left w:val="single" w:sz="4" w:space="0" w:color="auto"/>
            </w:tcBorders>
          </w:tcPr>
          <w:p w14:paraId="3224553F" w14:textId="77777777" w:rsidR="00711444" w:rsidRPr="004D0DAA" w:rsidRDefault="00711444" w:rsidP="00AA2A4C">
            <w:pPr>
              <w:pStyle w:val="TAC"/>
              <w:rPr>
                <w:lang w:eastAsia="en-US"/>
              </w:rPr>
            </w:pPr>
            <w:r w:rsidRPr="004D0DAA">
              <w:rPr>
                <w:lang w:eastAsia="en-US"/>
              </w:rPr>
              <w:t>8</w:t>
            </w:r>
          </w:p>
        </w:tc>
      </w:tr>
    </w:tbl>
    <w:p w14:paraId="5AB99071" w14:textId="77777777" w:rsidR="00711444" w:rsidRPr="004D0DAA" w:rsidRDefault="00711444" w:rsidP="00711444">
      <w:pPr>
        <w:pStyle w:val="NF"/>
      </w:pPr>
    </w:p>
    <w:p w14:paraId="1BE73524" w14:textId="77777777" w:rsidR="00711444" w:rsidRPr="004D0DAA" w:rsidRDefault="00711444" w:rsidP="00711444">
      <w:pPr>
        <w:pStyle w:val="TF"/>
      </w:pPr>
      <w:r w:rsidRPr="004D0DAA">
        <w:t>Figure 10.3a.4.9.1: Combined uplink RLC data block header</w:t>
      </w:r>
      <w:r w:rsidRPr="004D0DAA">
        <w:br/>
        <w:t>for UBS-11, UBS-12.</w:t>
      </w:r>
    </w:p>
    <w:p w14:paraId="0FEE63BF" w14:textId="77777777" w:rsidR="00711444" w:rsidRPr="004D0DAA" w:rsidRDefault="00711444" w:rsidP="00711444">
      <w:pPr>
        <w:pStyle w:val="Heading4"/>
      </w:pPr>
      <w:bookmarkStart w:id="542" w:name="_Toc516669723"/>
      <w:r w:rsidRPr="004D0DAA">
        <w:t>10.3a.4.10</w:t>
      </w:r>
      <w:r w:rsidRPr="004D0DAA">
        <w:tab/>
        <w:t>Header type 4: header for MCS-1’</w:t>
      </w:r>
      <w:bookmarkEnd w:id="542"/>
    </w:p>
    <w:p w14:paraId="47755CAB" w14:textId="77777777" w:rsidR="00711444" w:rsidRPr="004D0DAA" w:rsidRDefault="00711444" w:rsidP="00711444">
      <w:r w:rsidRPr="004D0DAA">
        <w:t>The EC-GSM-IoT combined uplink RLC/MAC header for MCS-1’ shall be formatted according to figure 10.3a.4.10.1. This header type is used on UL when the MS is assigned uplink coverage class CC5 for EC-PDTCH.</w:t>
      </w:r>
    </w:p>
    <w:tbl>
      <w:tblPr>
        <w:tblW w:w="0" w:type="auto"/>
        <w:jc w:val="center"/>
        <w:tblLayout w:type="fixed"/>
        <w:tblCellMar>
          <w:left w:w="28" w:type="dxa"/>
          <w:right w:w="28" w:type="dxa"/>
        </w:tblCellMar>
        <w:tblLook w:val="04A0" w:firstRow="1" w:lastRow="0" w:firstColumn="1" w:lastColumn="0" w:noHBand="0" w:noVBand="1"/>
      </w:tblPr>
      <w:tblGrid>
        <w:gridCol w:w="697"/>
        <w:gridCol w:w="296"/>
        <w:gridCol w:w="271"/>
        <w:gridCol w:w="296"/>
        <w:gridCol w:w="232"/>
        <w:gridCol w:w="39"/>
        <w:gridCol w:w="437"/>
        <w:gridCol w:w="130"/>
        <w:gridCol w:w="437"/>
        <w:gridCol w:w="130"/>
        <w:gridCol w:w="296"/>
        <w:gridCol w:w="40"/>
        <w:gridCol w:w="231"/>
        <w:gridCol w:w="296"/>
        <w:gridCol w:w="141"/>
        <w:gridCol w:w="130"/>
        <w:gridCol w:w="423"/>
        <w:gridCol w:w="14"/>
        <w:gridCol w:w="231"/>
        <w:gridCol w:w="699"/>
        <w:gridCol w:w="225"/>
        <w:gridCol w:w="6"/>
      </w:tblGrid>
      <w:tr w:rsidR="00711444" w:rsidRPr="004D0DAA" w14:paraId="466BA206" w14:textId="77777777" w:rsidTr="00AA2A4C">
        <w:trPr>
          <w:gridAfter w:val="1"/>
          <w:wAfter w:w="6" w:type="dxa"/>
          <w:cantSplit/>
          <w:jc w:val="center"/>
        </w:trPr>
        <w:tc>
          <w:tcPr>
            <w:tcW w:w="697" w:type="dxa"/>
          </w:tcPr>
          <w:p w14:paraId="7C70F47E" w14:textId="77777777" w:rsidR="00711444" w:rsidRPr="004D0DAA" w:rsidRDefault="00711444" w:rsidP="00AA2A4C">
            <w:pPr>
              <w:pStyle w:val="TAC"/>
              <w:rPr>
                <w:lang w:eastAsia="en-US"/>
              </w:rPr>
            </w:pPr>
          </w:p>
        </w:tc>
        <w:tc>
          <w:tcPr>
            <w:tcW w:w="567" w:type="dxa"/>
            <w:gridSpan w:val="2"/>
          </w:tcPr>
          <w:p w14:paraId="146086F4" w14:textId="77777777" w:rsidR="00711444" w:rsidRPr="004D0DAA" w:rsidRDefault="00711444" w:rsidP="00AA2A4C">
            <w:pPr>
              <w:pStyle w:val="TAC"/>
              <w:rPr>
                <w:lang w:eastAsia="en-US"/>
              </w:rPr>
            </w:pPr>
          </w:p>
        </w:tc>
        <w:tc>
          <w:tcPr>
            <w:tcW w:w="567" w:type="dxa"/>
            <w:gridSpan w:val="3"/>
          </w:tcPr>
          <w:p w14:paraId="5625F7CF" w14:textId="77777777" w:rsidR="00711444" w:rsidRPr="004D0DAA" w:rsidRDefault="00711444" w:rsidP="00AA2A4C">
            <w:pPr>
              <w:pStyle w:val="TAC"/>
              <w:rPr>
                <w:lang w:eastAsia="en-US"/>
              </w:rPr>
            </w:pPr>
          </w:p>
        </w:tc>
        <w:tc>
          <w:tcPr>
            <w:tcW w:w="567" w:type="dxa"/>
            <w:gridSpan w:val="2"/>
          </w:tcPr>
          <w:p w14:paraId="09A0B0BF" w14:textId="77777777" w:rsidR="00711444" w:rsidRPr="004D0DAA" w:rsidRDefault="00711444" w:rsidP="00AA2A4C">
            <w:pPr>
              <w:pStyle w:val="TAC"/>
              <w:rPr>
                <w:lang w:eastAsia="en-US"/>
              </w:rPr>
            </w:pPr>
          </w:p>
        </w:tc>
        <w:tc>
          <w:tcPr>
            <w:tcW w:w="567" w:type="dxa"/>
            <w:gridSpan w:val="2"/>
          </w:tcPr>
          <w:p w14:paraId="74A93C1E" w14:textId="77777777" w:rsidR="00711444" w:rsidRPr="004D0DAA" w:rsidRDefault="00711444" w:rsidP="00AA2A4C">
            <w:pPr>
              <w:pStyle w:val="TAC"/>
              <w:rPr>
                <w:lang w:eastAsia="en-US"/>
              </w:rPr>
            </w:pPr>
          </w:p>
        </w:tc>
        <w:tc>
          <w:tcPr>
            <w:tcW w:w="567" w:type="dxa"/>
            <w:gridSpan w:val="3"/>
          </w:tcPr>
          <w:p w14:paraId="1B743599" w14:textId="77777777" w:rsidR="00711444" w:rsidRPr="004D0DAA" w:rsidRDefault="00711444" w:rsidP="00AA2A4C">
            <w:pPr>
              <w:pStyle w:val="TAC"/>
              <w:rPr>
                <w:lang w:eastAsia="en-US"/>
              </w:rPr>
            </w:pPr>
          </w:p>
        </w:tc>
        <w:tc>
          <w:tcPr>
            <w:tcW w:w="567" w:type="dxa"/>
            <w:gridSpan w:val="3"/>
          </w:tcPr>
          <w:p w14:paraId="5438FB3C" w14:textId="77777777" w:rsidR="00711444" w:rsidRPr="004D0DAA" w:rsidRDefault="00711444" w:rsidP="00AA2A4C">
            <w:pPr>
              <w:pStyle w:val="TAC"/>
              <w:rPr>
                <w:lang w:eastAsia="en-US"/>
              </w:rPr>
            </w:pPr>
          </w:p>
        </w:tc>
        <w:tc>
          <w:tcPr>
            <w:tcW w:w="668" w:type="dxa"/>
            <w:gridSpan w:val="3"/>
          </w:tcPr>
          <w:p w14:paraId="290AFFAB" w14:textId="77777777" w:rsidR="00711444" w:rsidRPr="004D0DAA" w:rsidRDefault="00711444" w:rsidP="00AA2A4C">
            <w:pPr>
              <w:pStyle w:val="TAC"/>
              <w:rPr>
                <w:lang w:eastAsia="en-US"/>
              </w:rPr>
            </w:pPr>
          </w:p>
        </w:tc>
        <w:tc>
          <w:tcPr>
            <w:tcW w:w="924" w:type="dxa"/>
            <w:gridSpan w:val="2"/>
          </w:tcPr>
          <w:p w14:paraId="25FF18EA" w14:textId="77777777" w:rsidR="00711444" w:rsidRPr="004D0DAA" w:rsidRDefault="00711444" w:rsidP="00AA2A4C">
            <w:pPr>
              <w:pStyle w:val="TAC"/>
              <w:rPr>
                <w:lang w:eastAsia="en-US"/>
              </w:rPr>
            </w:pPr>
          </w:p>
        </w:tc>
      </w:tr>
      <w:tr w:rsidR="00711444" w:rsidRPr="004D0DAA" w14:paraId="0B003DC7" w14:textId="77777777" w:rsidTr="00AA2A4C">
        <w:trPr>
          <w:cantSplit/>
          <w:jc w:val="center"/>
        </w:trPr>
        <w:tc>
          <w:tcPr>
            <w:tcW w:w="697" w:type="dxa"/>
          </w:tcPr>
          <w:p w14:paraId="2A3391EE" w14:textId="77777777" w:rsidR="00711444" w:rsidRPr="004D0DAA" w:rsidRDefault="00711444" w:rsidP="00AA2A4C">
            <w:pPr>
              <w:pStyle w:val="TAC"/>
              <w:rPr>
                <w:lang w:eastAsia="en-US"/>
              </w:rPr>
            </w:pPr>
          </w:p>
        </w:tc>
        <w:tc>
          <w:tcPr>
            <w:tcW w:w="567" w:type="dxa"/>
            <w:gridSpan w:val="2"/>
          </w:tcPr>
          <w:p w14:paraId="17721175" w14:textId="77777777" w:rsidR="00711444" w:rsidRPr="004D0DAA" w:rsidRDefault="00711444" w:rsidP="00AA2A4C">
            <w:pPr>
              <w:pStyle w:val="TAC"/>
              <w:rPr>
                <w:lang w:eastAsia="en-US"/>
              </w:rPr>
            </w:pPr>
          </w:p>
        </w:tc>
        <w:tc>
          <w:tcPr>
            <w:tcW w:w="528" w:type="dxa"/>
            <w:gridSpan w:val="2"/>
          </w:tcPr>
          <w:p w14:paraId="0E147F9D" w14:textId="77777777" w:rsidR="00711444" w:rsidRPr="004D0DAA" w:rsidRDefault="00711444" w:rsidP="00AA2A4C">
            <w:pPr>
              <w:pStyle w:val="TAC"/>
              <w:rPr>
                <w:lang w:eastAsia="en-US"/>
              </w:rPr>
            </w:pPr>
          </w:p>
        </w:tc>
        <w:tc>
          <w:tcPr>
            <w:tcW w:w="606" w:type="dxa"/>
            <w:gridSpan w:val="3"/>
          </w:tcPr>
          <w:p w14:paraId="43704FCD" w14:textId="77777777" w:rsidR="00711444" w:rsidRPr="004D0DAA" w:rsidRDefault="00711444" w:rsidP="00AA2A4C">
            <w:pPr>
              <w:pStyle w:val="TAC"/>
              <w:tabs>
                <w:tab w:val="left" w:pos="324"/>
              </w:tabs>
              <w:rPr>
                <w:lang w:eastAsia="en-US"/>
              </w:rPr>
            </w:pPr>
            <w:r w:rsidRPr="004D0DAA">
              <w:rPr>
                <w:lang w:eastAsia="en-US"/>
              </w:rPr>
              <w:tab/>
              <w:t>Bit</w:t>
            </w:r>
          </w:p>
        </w:tc>
        <w:tc>
          <w:tcPr>
            <w:tcW w:w="567" w:type="dxa"/>
            <w:gridSpan w:val="2"/>
          </w:tcPr>
          <w:p w14:paraId="46B233EE" w14:textId="77777777" w:rsidR="00711444" w:rsidRPr="004D0DAA" w:rsidRDefault="00711444" w:rsidP="00AA2A4C">
            <w:pPr>
              <w:pStyle w:val="TAC"/>
              <w:rPr>
                <w:lang w:eastAsia="en-US"/>
              </w:rPr>
            </w:pPr>
          </w:p>
        </w:tc>
        <w:tc>
          <w:tcPr>
            <w:tcW w:w="567" w:type="dxa"/>
            <w:gridSpan w:val="3"/>
          </w:tcPr>
          <w:p w14:paraId="3D7EFDBD" w14:textId="77777777" w:rsidR="00711444" w:rsidRPr="004D0DAA" w:rsidRDefault="00711444" w:rsidP="00AA2A4C">
            <w:pPr>
              <w:pStyle w:val="TAC"/>
              <w:rPr>
                <w:lang w:eastAsia="en-US"/>
              </w:rPr>
            </w:pPr>
          </w:p>
        </w:tc>
        <w:tc>
          <w:tcPr>
            <w:tcW w:w="567" w:type="dxa"/>
            <w:gridSpan w:val="3"/>
          </w:tcPr>
          <w:p w14:paraId="4BD9120D" w14:textId="77777777" w:rsidR="00711444" w:rsidRPr="004D0DAA" w:rsidRDefault="00711444" w:rsidP="00AA2A4C">
            <w:pPr>
              <w:pStyle w:val="TAC"/>
              <w:rPr>
                <w:lang w:eastAsia="en-US"/>
              </w:rPr>
            </w:pPr>
          </w:p>
        </w:tc>
        <w:tc>
          <w:tcPr>
            <w:tcW w:w="668" w:type="dxa"/>
            <w:gridSpan w:val="3"/>
          </w:tcPr>
          <w:p w14:paraId="6196671E" w14:textId="77777777" w:rsidR="00711444" w:rsidRPr="004D0DAA" w:rsidRDefault="00711444" w:rsidP="00AA2A4C">
            <w:pPr>
              <w:pStyle w:val="TAC"/>
              <w:rPr>
                <w:lang w:eastAsia="en-US"/>
              </w:rPr>
            </w:pPr>
          </w:p>
        </w:tc>
        <w:tc>
          <w:tcPr>
            <w:tcW w:w="930" w:type="dxa"/>
            <w:gridSpan w:val="3"/>
            <w:tcBorders>
              <w:left w:val="nil"/>
            </w:tcBorders>
          </w:tcPr>
          <w:p w14:paraId="61FEE767" w14:textId="77777777" w:rsidR="00711444" w:rsidRPr="004D0DAA" w:rsidRDefault="00711444" w:rsidP="00AA2A4C">
            <w:pPr>
              <w:pStyle w:val="TAC"/>
              <w:rPr>
                <w:lang w:eastAsia="en-US"/>
              </w:rPr>
            </w:pPr>
          </w:p>
        </w:tc>
      </w:tr>
      <w:tr w:rsidR="00711444" w:rsidRPr="004D0DAA" w14:paraId="2BDECDF9" w14:textId="77777777" w:rsidTr="00AA2A4C">
        <w:trPr>
          <w:cantSplit/>
          <w:jc w:val="center"/>
        </w:trPr>
        <w:tc>
          <w:tcPr>
            <w:tcW w:w="697" w:type="dxa"/>
          </w:tcPr>
          <w:p w14:paraId="234EA93A" w14:textId="77777777" w:rsidR="00711444" w:rsidRPr="004D0DAA" w:rsidRDefault="00711444" w:rsidP="00AA2A4C">
            <w:pPr>
              <w:pStyle w:val="TAC"/>
              <w:rPr>
                <w:lang w:eastAsia="en-US"/>
              </w:rPr>
            </w:pPr>
            <w:r w:rsidRPr="004D0DAA">
              <w:rPr>
                <w:lang w:eastAsia="en-US"/>
              </w:rPr>
              <w:t>8</w:t>
            </w:r>
          </w:p>
        </w:tc>
        <w:tc>
          <w:tcPr>
            <w:tcW w:w="296" w:type="dxa"/>
          </w:tcPr>
          <w:p w14:paraId="1BBED6D0" w14:textId="77777777" w:rsidR="00711444" w:rsidRPr="004D0DAA" w:rsidRDefault="00711444" w:rsidP="00AA2A4C">
            <w:pPr>
              <w:pStyle w:val="TAC"/>
              <w:rPr>
                <w:lang w:eastAsia="en-US"/>
              </w:rPr>
            </w:pPr>
            <w:r w:rsidRPr="004D0DAA">
              <w:rPr>
                <w:lang w:eastAsia="en-US"/>
              </w:rPr>
              <w:t>7</w:t>
            </w:r>
          </w:p>
        </w:tc>
        <w:tc>
          <w:tcPr>
            <w:tcW w:w="567" w:type="dxa"/>
            <w:gridSpan w:val="2"/>
          </w:tcPr>
          <w:p w14:paraId="03439AA5" w14:textId="77777777" w:rsidR="00711444" w:rsidRPr="004D0DAA" w:rsidRDefault="00711444" w:rsidP="00AA2A4C">
            <w:pPr>
              <w:pStyle w:val="TAC"/>
              <w:rPr>
                <w:lang w:eastAsia="en-US"/>
              </w:rPr>
            </w:pPr>
            <w:r w:rsidRPr="004D0DAA">
              <w:rPr>
                <w:lang w:eastAsia="en-US"/>
              </w:rPr>
              <w:t>6</w:t>
            </w:r>
          </w:p>
        </w:tc>
        <w:tc>
          <w:tcPr>
            <w:tcW w:w="838" w:type="dxa"/>
            <w:gridSpan w:val="4"/>
          </w:tcPr>
          <w:p w14:paraId="53905E71" w14:textId="77777777" w:rsidR="00711444" w:rsidRPr="004D0DAA" w:rsidRDefault="00711444" w:rsidP="00AA2A4C">
            <w:pPr>
              <w:pStyle w:val="TAC"/>
              <w:rPr>
                <w:lang w:eastAsia="en-US"/>
              </w:rPr>
            </w:pPr>
            <w:r w:rsidRPr="004D0DAA">
              <w:rPr>
                <w:lang w:eastAsia="en-US"/>
              </w:rPr>
              <w:t>5</w:t>
            </w:r>
          </w:p>
        </w:tc>
        <w:tc>
          <w:tcPr>
            <w:tcW w:w="567" w:type="dxa"/>
            <w:gridSpan w:val="2"/>
          </w:tcPr>
          <w:p w14:paraId="6483FF39" w14:textId="77777777" w:rsidR="00711444" w:rsidRPr="004D0DAA" w:rsidRDefault="00711444" w:rsidP="00AA2A4C">
            <w:pPr>
              <w:pStyle w:val="TAC"/>
              <w:ind w:left="-297"/>
              <w:rPr>
                <w:lang w:eastAsia="en-US"/>
              </w:rPr>
            </w:pPr>
            <w:r w:rsidRPr="004D0DAA">
              <w:rPr>
                <w:lang w:eastAsia="en-US"/>
              </w:rPr>
              <w:t>4</w:t>
            </w:r>
          </w:p>
        </w:tc>
        <w:tc>
          <w:tcPr>
            <w:tcW w:w="296" w:type="dxa"/>
          </w:tcPr>
          <w:p w14:paraId="36E32D50" w14:textId="77777777" w:rsidR="00711444" w:rsidRPr="004D0DAA" w:rsidRDefault="00711444" w:rsidP="00AA2A4C">
            <w:pPr>
              <w:pStyle w:val="TAC"/>
              <w:rPr>
                <w:lang w:eastAsia="en-US"/>
              </w:rPr>
            </w:pPr>
            <w:r w:rsidRPr="004D0DAA">
              <w:rPr>
                <w:lang w:eastAsia="en-US"/>
              </w:rPr>
              <w:t>3</w:t>
            </w:r>
          </w:p>
        </w:tc>
        <w:tc>
          <w:tcPr>
            <w:tcW w:w="708" w:type="dxa"/>
            <w:gridSpan w:val="4"/>
          </w:tcPr>
          <w:p w14:paraId="444E165A" w14:textId="77777777" w:rsidR="00711444" w:rsidRPr="004D0DAA" w:rsidRDefault="00711444" w:rsidP="00AA2A4C">
            <w:pPr>
              <w:pStyle w:val="TAC"/>
              <w:rPr>
                <w:lang w:eastAsia="en-US"/>
              </w:rPr>
            </w:pPr>
            <w:r w:rsidRPr="004D0DAA">
              <w:rPr>
                <w:lang w:eastAsia="en-US"/>
              </w:rPr>
              <w:t>2</w:t>
            </w:r>
          </w:p>
        </w:tc>
        <w:tc>
          <w:tcPr>
            <w:tcW w:w="553" w:type="dxa"/>
            <w:gridSpan w:val="2"/>
          </w:tcPr>
          <w:p w14:paraId="02BC4EB2" w14:textId="77777777" w:rsidR="00711444" w:rsidRPr="004D0DAA" w:rsidRDefault="00711444" w:rsidP="00AA2A4C">
            <w:pPr>
              <w:pStyle w:val="TAC"/>
              <w:rPr>
                <w:lang w:eastAsia="en-US"/>
              </w:rPr>
            </w:pPr>
            <w:r w:rsidRPr="004D0DAA">
              <w:rPr>
                <w:lang w:eastAsia="en-US"/>
              </w:rPr>
              <w:t>1</w:t>
            </w:r>
          </w:p>
        </w:tc>
        <w:tc>
          <w:tcPr>
            <w:tcW w:w="1175" w:type="dxa"/>
            <w:gridSpan w:val="5"/>
            <w:tcBorders>
              <w:left w:val="nil"/>
            </w:tcBorders>
          </w:tcPr>
          <w:p w14:paraId="0D23A788" w14:textId="77777777" w:rsidR="00711444" w:rsidRPr="004D0DAA" w:rsidRDefault="00711444" w:rsidP="00AA2A4C">
            <w:pPr>
              <w:pStyle w:val="TAC"/>
              <w:rPr>
                <w:lang w:eastAsia="en-US"/>
              </w:rPr>
            </w:pPr>
            <w:r w:rsidRPr="004D0DAA">
              <w:rPr>
                <w:lang w:eastAsia="en-US"/>
              </w:rPr>
              <w:t>Octet</w:t>
            </w:r>
          </w:p>
        </w:tc>
      </w:tr>
      <w:tr w:rsidR="00711444" w:rsidRPr="004D0DAA" w14:paraId="6F68DC3E" w14:textId="77777777" w:rsidTr="00AA2A4C">
        <w:trPr>
          <w:gridAfter w:val="2"/>
          <w:wAfter w:w="231" w:type="dxa"/>
          <w:cantSplit/>
          <w:jc w:val="center"/>
        </w:trPr>
        <w:tc>
          <w:tcPr>
            <w:tcW w:w="2268" w:type="dxa"/>
            <w:gridSpan w:val="7"/>
            <w:tcBorders>
              <w:top w:val="single" w:sz="4" w:space="0" w:color="auto"/>
              <w:left w:val="single" w:sz="4" w:space="0" w:color="auto"/>
              <w:bottom w:val="single" w:sz="4" w:space="0" w:color="auto"/>
              <w:right w:val="single" w:sz="4" w:space="0" w:color="auto"/>
            </w:tcBorders>
            <w:hideMark/>
          </w:tcPr>
          <w:p w14:paraId="1D909175" w14:textId="77777777" w:rsidR="00711444" w:rsidRPr="004D0DAA" w:rsidRDefault="00711444" w:rsidP="00AA2A4C">
            <w:pPr>
              <w:pStyle w:val="TAC"/>
              <w:rPr>
                <w:lang w:eastAsia="en-US"/>
              </w:rPr>
            </w:pPr>
            <w:r w:rsidRPr="004D0DAA">
              <w:rPr>
                <w:lang w:eastAsia="en-US"/>
              </w:rPr>
              <w:t>Countdown Value</w:t>
            </w:r>
          </w:p>
        </w:tc>
        <w:tc>
          <w:tcPr>
            <w:tcW w:w="1033" w:type="dxa"/>
            <w:gridSpan w:val="5"/>
            <w:tcBorders>
              <w:top w:val="single" w:sz="4" w:space="0" w:color="auto"/>
              <w:left w:val="single" w:sz="4" w:space="0" w:color="auto"/>
              <w:bottom w:val="single" w:sz="4" w:space="0" w:color="auto"/>
              <w:right w:val="single" w:sz="4" w:space="0" w:color="auto"/>
            </w:tcBorders>
          </w:tcPr>
          <w:p w14:paraId="4E28EF16" w14:textId="77777777" w:rsidR="00711444" w:rsidRPr="004D0DAA" w:rsidRDefault="00711444" w:rsidP="00AA2A4C">
            <w:pPr>
              <w:pStyle w:val="TAC"/>
              <w:rPr>
                <w:lang w:eastAsia="en-US"/>
              </w:rPr>
            </w:pPr>
            <w:r w:rsidRPr="004D0DAA">
              <w:rPr>
                <w:lang w:eastAsia="en-US"/>
              </w:rPr>
              <w:t>DLCC</w:t>
            </w:r>
          </w:p>
        </w:tc>
        <w:tc>
          <w:tcPr>
            <w:tcW w:w="527" w:type="dxa"/>
            <w:gridSpan w:val="2"/>
            <w:tcBorders>
              <w:top w:val="single" w:sz="4" w:space="0" w:color="auto"/>
              <w:left w:val="single" w:sz="4" w:space="0" w:color="auto"/>
              <w:bottom w:val="single" w:sz="4" w:space="0" w:color="auto"/>
              <w:right w:val="single" w:sz="4" w:space="0" w:color="auto"/>
            </w:tcBorders>
            <w:hideMark/>
          </w:tcPr>
          <w:p w14:paraId="1368FC52" w14:textId="77777777" w:rsidR="00711444" w:rsidRPr="004D0DAA" w:rsidRDefault="00711444" w:rsidP="00AA2A4C">
            <w:pPr>
              <w:pStyle w:val="TAC"/>
              <w:rPr>
                <w:lang w:eastAsia="en-US"/>
              </w:rPr>
            </w:pPr>
            <w:r w:rsidRPr="004D0DAA">
              <w:rPr>
                <w:lang w:eastAsia="en-US"/>
              </w:rPr>
              <w:t>FOI</w:t>
            </w:r>
          </w:p>
        </w:tc>
        <w:tc>
          <w:tcPr>
            <w:tcW w:w="708" w:type="dxa"/>
            <w:gridSpan w:val="4"/>
            <w:tcBorders>
              <w:top w:val="single" w:sz="4" w:space="0" w:color="auto"/>
              <w:left w:val="single" w:sz="4" w:space="0" w:color="auto"/>
              <w:bottom w:val="single" w:sz="4" w:space="0" w:color="auto"/>
              <w:right w:val="single" w:sz="4" w:space="0" w:color="auto"/>
            </w:tcBorders>
            <w:hideMark/>
          </w:tcPr>
          <w:p w14:paraId="3DA47F00" w14:textId="77777777" w:rsidR="00711444" w:rsidRPr="004D0DAA" w:rsidRDefault="00711444" w:rsidP="00AA2A4C">
            <w:pPr>
              <w:pStyle w:val="TAC"/>
              <w:rPr>
                <w:lang w:eastAsia="en-US"/>
              </w:rPr>
            </w:pPr>
            <w:r w:rsidRPr="004D0DAA">
              <w:rPr>
                <w:lang w:eastAsia="en-US"/>
              </w:rPr>
              <w:t>RI</w:t>
            </w:r>
          </w:p>
        </w:tc>
        <w:tc>
          <w:tcPr>
            <w:tcW w:w="930" w:type="dxa"/>
            <w:gridSpan w:val="2"/>
            <w:tcBorders>
              <w:top w:val="nil"/>
              <w:left w:val="single" w:sz="4" w:space="0" w:color="auto"/>
              <w:bottom w:val="nil"/>
              <w:right w:val="nil"/>
            </w:tcBorders>
            <w:hideMark/>
          </w:tcPr>
          <w:p w14:paraId="6AA8F917" w14:textId="77777777" w:rsidR="00711444" w:rsidRPr="004D0DAA" w:rsidRDefault="00711444" w:rsidP="00AA2A4C">
            <w:pPr>
              <w:pStyle w:val="TAC"/>
              <w:rPr>
                <w:lang w:eastAsia="en-US"/>
              </w:rPr>
            </w:pPr>
            <w:r w:rsidRPr="004D0DAA">
              <w:rPr>
                <w:lang w:eastAsia="en-US"/>
              </w:rPr>
              <w:t>1</w:t>
            </w:r>
          </w:p>
        </w:tc>
      </w:tr>
      <w:tr w:rsidR="00711444" w:rsidRPr="004D0DAA" w14:paraId="0CB431BA" w14:textId="77777777" w:rsidTr="00AA2A4C">
        <w:trPr>
          <w:gridAfter w:val="2"/>
          <w:wAfter w:w="231" w:type="dxa"/>
          <w:cantSplit/>
          <w:jc w:val="center"/>
        </w:trPr>
        <w:tc>
          <w:tcPr>
            <w:tcW w:w="2835" w:type="dxa"/>
            <w:gridSpan w:val="9"/>
            <w:tcBorders>
              <w:top w:val="single" w:sz="4" w:space="0" w:color="auto"/>
              <w:left w:val="single" w:sz="4" w:space="0" w:color="auto"/>
              <w:bottom w:val="single" w:sz="4" w:space="0" w:color="auto"/>
              <w:right w:val="single" w:sz="4" w:space="0" w:color="auto"/>
            </w:tcBorders>
            <w:hideMark/>
          </w:tcPr>
          <w:p w14:paraId="24D61E27" w14:textId="77777777" w:rsidR="00711444" w:rsidRPr="004D0DAA" w:rsidRDefault="00711444" w:rsidP="00AA2A4C">
            <w:pPr>
              <w:pStyle w:val="TAC"/>
              <w:rPr>
                <w:lang w:eastAsia="en-US"/>
              </w:rPr>
            </w:pPr>
            <w:r w:rsidRPr="004D0DAA">
              <w:rPr>
                <w:lang w:eastAsia="en-US"/>
              </w:rPr>
              <w:t>rTLLI</w:t>
            </w:r>
          </w:p>
        </w:tc>
        <w:tc>
          <w:tcPr>
            <w:tcW w:w="993" w:type="dxa"/>
            <w:gridSpan w:val="5"/>
            <w:tcBorders>
              <w:top w:val="single" w:sz="4" w:space="0" w:color="auto"/>
              <w:left w:val="single" w:sz="4" w:space="0" w:color="auto"/>
              <w:bottom w:val="single" w:sz="4" w:space="0" w:color="auto"/>
              <w:right w:val="single" w:sz="4" w:space="0" w:color="auto"/>
            </w:tcBorders>
            <w:hideMark/>
          </w:tcPr>
          <w:p w14:paraId="454F79BC" w14:textId="77777777" w:rsidR="00711444" w:rsidRPr="004D0DAA" w:rsidRDefault="00711444" w:rsidP="00AA2A4C">
            <w:pPr>
              <w:pStyle w:val="TAC"/>
              <w:rPr>
                <w:lang w:eastAsia="en-US"/>
              </w:rPr>
            </w:pPr>
            <w:r w:rsidRPr="004D0DAA">
              <w:rPr>
                <w:lang w:eastAsia="en-US"/>
              </w:rPr>
              <w:t>SPB</w:t>
            </w:r>
          </w:p>
        </w:tc>
        <w:tc>
          <w:tcPr>
            <w:tcW w:w="708" w:type="dxa"/>
            <w:gridSpan w:val="4"/>
            <w:tcBorders>
              <w:top w:val="single" w:sz="4" w:space="0" w:color="auto"/>
              <w:left w:val="single" w:sz="4" w:space="0" w:color="auto"/>
              <w:bottom w:val="single" w:sz="4" w:space="0" w:color="auto"/>
              <w:right w:val="single" w:sz="4" w:space="0" w:color="auto"/>
            </w:tcBorders>
          </w:tcPr>
          <w:p w14:paraId="14FE0AA6" w14:textId="77777777" w:rsidR="00711444" w:rsidRPr="004D0DAA" w:rsidRDefault="00711444" w:rsidP="00AA2A4C">
            <w:pPr>
              <w:pStyle w:val="TAC"/>
              <w:rPr>
                <w:lang w:eastAsia="en-US"/>
              </w:rPr>
            </w:pPr>
            <w:r w:rsidRPr="004D0DAA">
              <w:rPr>
                <w:lang w:eastAsia="en-US"/>
              </w:rPr>
              <w:t>Spare</w:t>
            </w:r>
          </w:p>
        </w:tc>
        <w:tc>
          <w:tcPr>
            <w:tcW w:w="930" w:type="dxa"/>
            <w:gridSpan w:val="2"/>
            <w:tcBorders>
              <w:top w:val="nil"/>
              <w:left w:val="single" w:sz="4" w:space="0" w:color="auto"/>
              <w:bottom w:val="nil"/>
              <w:right w:val="nil"/>
            </w:tcBorders>
            <w:hideMark/>
          </w:tcPr>
          <w:p w14:paraId="70EB449D" w14:textId="77777777" w:rsidR="00711444" w:rsidRPr="004D0DAA" w:rsidRDefault="00711444" w:rsidP="00AA2A4C">
            <w:pPr>
              <w:pStyle w:val="TAC"/>
              <w:rPr>
                <w:lang w:eastAsia="en-US"/>
              </w:rPr>
            </w:pPr>
            <w:r w:rsidRPr="004D0DAA">
              <w:rPr>
                <w:lang w:eastAsia="en-US"/>
              </w:rPr>
              <w:t>2</w:t>
            </w:r>
          </w:p>
        </w:tc>
      </w:tr>
    </w:tbl>
    <w:p w14:paraId="77E45541" w14:textId="77777777" w:rsidR="00711444" w:rsidRPr="004D0DAA" w:rsidRDefault="00711444" w:rsidP="00711444">
      <w:pPr>
        <w:pStyle w:val="NF"/>
      </w:pPr>
    </w:p>
    <w:p w14:paraId="0DA790A8" w14:textId="77777777" w:rsidR="00711444" w:rsidRPr="004D0DAA" w:rsidRDefault="00711444" w:rsidP="00711444">
      <w:pPr>
        <w:pStyle w:val="TF"/>
      </w:pPr>
      <w:r w:rsidRPr="004D0DAA">
        <w:t>Figure 10.3a.4.10.1: EC-GSM-IoT uplink RLC data block header for MCS-1’.</w:t>
      </w:r>
    </w:p>
    <w:p w14:paraId="70654230" w14:textId="77777777" w:rsidR="00711444" w:rsidRPr="004D0DAA" w:rsidRDefault="00711444" w:rsidP="00711444"/>
    <w:p w14:paraId="77A91E60" w14:textId="77777777" w:rsidR="00711444" w:rsidRPr="004D0DAA" w:rsidRDefault="00711444" w:rsidP="00711444">
      <w:pPr>
        <w:pStyle w:val="Heading2"/>
      </w:pPr>
      <w:bookmarkStart w:id="543" w:name="_Toc516669724"/>
      <w:r w:rsidRPr="004D0DAA">
        <w:t>10.3a.5</w:t>
      </w:r>
      <w:r w:rsidRPr="004D0DAA">
        <w:tab/>
        <w:t>Piggy-backed Ack/Nack field (SSN-based)</w:t>
      </w:r>
      <w:bookmarkEnd w:id="543"/>
    </w:p>
    <w:p w14:paraId="2DFF3B4B" w14:textId="77777777" w:rsidR="00711444" w:rsidRPr="004D0DAA" w:rsidRDefault="00711444" w:rsidP="00711444">
      <w:pPr>
        <w:ind w:left="90"/>
      </w:pPr>
      <w:r w:rsidRPr="004D0DAA">
        <w:t xml:space="preserve">When the SSN-based encoding is used (see sub-clause 9.1.14.1), the Piggy-backed Ack/Nack (PAN) field consists of a beginning of window (BOW), a short starting sequence number (ShortSSN), a reported bitmap (RB) and a temporary flow identifier (TFI) fields. In the downlink direction, the TFI field shall always include a valid value. In the uplink direction, the TFI field, or the combined TFI-eTFI fields (in case of a DLMC configuration and eTFI is assigned), shall include a valid value only if multiple TBF procedures or EMST or EMSR are supported by both the network and the mobile station; in all other cases, the bits of these  fields shall be set to '0'. The length of the PAN field is 25 bits except if an eTFI is assigned in which case the length of the PAN is 28 bits in the uplink direction. The size of the ShortSSN </w:t>
      </w:r>
      <w:r w:rsidRPr="004D0DAA">
        <w:lastRenderedPageBreak/>
        <w:t>field (defined in sub-clause 10.4.23) varies between 7 and 11 bits as shown in Figure 10.3a.5.1 except for a DLMC configuration where the size of the ShortSSN field varies between 11 and 13 bits (see sub-clause 10.4.12) in the uplink direction as shown in Figure 10.3a.5.2. The remaining bits in the PAN field are reserved for the reported bitmap with a size varying between 6 and 12 bits.</w:t>
      </w:r>
    </w:p>
    <w:p w14:paraId="33926DCF" w14:textId="77777777" w:rsidR="00711444" w:rsidRPr="004D0DAA" w:rsidRDefault="00711444" w:rsidP="00711444">
      <w:pPr>
        <w:ind w:left="90"/>
      </w:pPr>
      <w:r w:rsidRPr="004D0DAA">
        <w:t>The order of bits is as for the UNCOMPRESSED_RECEIVE_BLOCK_BITMAP field in the EGPRS Ack/Nack Description information element (see sub-clause 12.3.1) i.e. the lowest order bit in the RB field corresponds to the block with the sequence number from which the ShortSSN is derived.</w:t>
      </w:r>
    </w:p>
    <w:tbl>
      <w:tblPr>
        <w:tblW w:w="0" w:type="auto"/>
        <w:jc w:val="center"/>
        <w:tblLayout w:type="fixed"/>
        <w:tblCellMar>
          <w:left w:w="28" w:type="dxa"/>
          <w:right w:w="28" w:type="dxa"/>
        </w:tblCellMar>
        <w:tblLook w:val="0000" w:firstRow="0" w:lastRow="0" w:firstColumn="0" w:lastColumn="0" w:noHBand="0" w:noVBand="0"/>
      </w:tblPr>
      <w:tblGrid>
        <w:gridCol w:w="585"/>
        <w:gridCol w:w="567"/>
        <w:gridCol w:w="576"/>
        <w:gridCol w:w="576"/>
        <w:gridCol w:w="575"/>
        <w:gridCol w:w="576"/>
        <w:gridCol w:w="576"/>
        <w:gridCol w:w="575"/>
        <w:gridCol w:w="1134"/>
      </w:tblGrid>
      <w:tr w:rsidR="00711444" w:rsidRPr="004D0DAA" w14:paraId="30578856" w14:textId="77777777" w:rsidTr="00AA2A4C">
        <w:trPr>
          <w:cantSplit/>
          <w:jc w:val="center"/>
        </w:trPr>
        <w:tc>
          <w:tcPr>
            <w:tcW w:w="4606" w:type="dxa"/>
            <w:gridSpan w:val="8"/>
            <w:tcBorders>
              <w:top w:val="nil"/>
              <w:left w:val="nil"/>
              <w:bottom w:val="nil"/>
              <w:right w:val="nil"/>
            </w:tcBorders>
            <w:shd w:val="clear" w:color="auto" w:fill="auto"/>
          </w:tcPr>
          <w:p w14:paraId="138B7592"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Bit</w:t>
            </w:r>
          </w:p>
        </w:tc>
        <w:tc>
          <w:tcPr>
            <w:tcW w:w="1134" w:type="dxa"/>
            <w:tcBorders>
              <w:top w:val="nil"/>
              <w:left w:val="nil"/>
              <w:bottom w:val="nil"/>
              <w:right w:val="nil"/>
            </w:tcBorders>
            <w:shd w:val="clear" w:color="auto" w:fill="auto"/>
          </w:tcPr>
          <w:p w14:paraId="682A0D92" w14:textId="77777777" w:rsidR="00711444" w:rsidRPr="004D0DAA" w:rsidRDefault="00711444" w:rsidP="00AA2A4C">
            <w:pPr>
              <w:spacing w:after="0"/>
              <w:rPr>
                <w:rFonts w:eastAsia="SimSun"/>
                <w:sz w:val="18"/>
                <w:szCs w:val="18"/>
                <w:lang w:eastAsia="zh-CN"/>
              </w:rPr>
            </w:pPr>
          </w:p>
        </w:tc>
      </w:tr>
      <w:tr w:rsidR="00711444" w:rsidRPr="004D0DAA" w14:paraId="2C72F035" w14:textId="77777777" w:rsidTr="00AA2A4C">
        <w:trPr>
          <w:cantSplit/>
          <w:jc w:val="center"/>
        </w:trPr>
        <w:tc>
          <w:tcPr>
            <w:tcW w:w="585" w:type="dxa"/>
            <w:tcBorders>
              <w:top w:val="nil"/>
              <w:left w:val="nil"/>
              <w:bottom w:val="single" w:sz="6" w:space="0" w:color="auto"/>
              <w:right w:val="nil"/>
            </w:tcBorders>
            <w:shd w:val="clear" w:color="auto" w:fill="auto"/>
          </w:tcPr>
          <w:p w14:paraId="29160D1B"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8</w:t>
            </w:r>
          </w:p>
        </w:tc>
        <w:tc>
          <w:tcPr>
            <w:tcW w:w="567" w:type="dxa"/>
            <w:tcBorders>
              <w:top w:val="nil"/>
              <w:left w:val="nil"/>
              <w:bottom w:val="single" w:sz="6" w:space="0" w:color="auto"/>
              <w:right w:val="nil"/>
            </w:tcBorders>
            <w:shd w:val="clear" w:color="auto" w:fill="auto"/>
          </w:tcPr>
          <w:p w14:paraId="4E0191AF"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7</w:t>
            </w:r>
          </w:p>
        </w:tc>
        <w:tc>
          <w:tcPr>
            <w:tcW w:w="576" w:type="dxa"/>
            <w:tcBorders>
              <w:top w:val="nil"/>
              <w:left w:val="nil"/>
              <w:bottom w:val="single" w:sz="6" w:space="0" w:color="auto"/>
              <w:right w:val="nil"/>
            </w:tcBorders>
            <w:shd w:val="clear" w:color="auto" w:fill="auto"/>
          </w:tcPr>
          <w:p w14:paraId="2D3ECE5A"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6</w:t>
            </w:r>
          </w:p>
        </w:tc>
        <w:tc>
          <w:tcPr>
            <w:tcW w:w="576" w:type="dxa"/>
            <w:tcBorders>
              <w:top w:val="nil"/>
              <w:left w:val="nil"/>
              <w:bottom w:val="single" w:sz="6" w:space="0" w:color="auto"/>
              <w:right w:val="nil"/>
            </w:tcBorders>
            <w:shd w:val="clear" w:color="auto" w:fill="auto"/>
          </w:tcPr>
          <w:p w14:paraId="5D7F1C20"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5</w:t>
            </w:r>
          </w:p>
        </w:tc>
        <w:tc>
          <w:tcPr>
            <w:tcW w:w="575" w:type="dxa"/>
            <w:tcBorders>
              <w:top w:val="nil"/>
              <w:left w:val="nil"/>
              <w:bottom w:val="single" w:sz="6" w:space="0" w:color="auto"/>
              <w:right w:val="nil"/>
            </w:tcBorders>
            <w:shd w:val="clear" w:color="auto" w:fill="auto"/>
          </w:tcPr>
          <w:p w14:paraId="7066D1C3"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4</w:t>
            </w:r>
          </w:p>
        </w:tc>
        <w:tc>
          <w:tcPr>
            <w:tcW w:w="576" w:type="dxa"/>
            <w:tcBorders>
              <w:top w:val="nil"/>
              <w:left w:val="nil"/>
              <w:bottom w:val="single" w:sz="6" w:space="0" w:color="auto"/>
              <w:right w:val="nil"/>
            </w:tcBorders>
            <w:shd w:val="clear" w:color="auto" w:fill="auto"/>
          </w:tcPr>
          <w:p w14:paraId="338A1363"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3</w:t>
            </w:r>
          </w:p>
        </w:tc>
        <w:tc>
          <w:tcPr>
            <w:tcW w:w="576" w:type="dxa"/>
            <w:tcBorders>
              <w:top w:val="nil"/>
              <w:left w:val="nil"/>
              <w:bottom w:val="single" w:sz="6" w:space="0" w:color="auto"/>
              <w:right w:val="nil"/>
            </w:tcBorders>
            <w:shd w:val="clear" w:color="auto" w:fill="auto"/>
          </w:tcPr>
          <w:p w14:paraId="53168605"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2</w:t>
            </w:r>
          </w:p>
        </w:tc>
        <w:tc>
          <w:tcPr>
            <w:tcW w:w="575" w:type="dxa"/>
            <w:tcBorders>
              <w:top w:val="nil"/>
              <w:left w:val="nil"/>
              <w:bottom w:val="single" w:sz="6" w:space="0" w:color="auto"/>
              <w:right w:val="nil"/>
            </w:tcBorders>
            <w:shd w:val="clear" w:color="auto" w:fill="auto"/>
          </w:tcPr>
          <w:p w14:paraId="22204B7B"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1</w:t>
            </w:r>
          </w:p>
        </w:tc>
        <w:tc>
          <w:tcPr>
            <w:tcW w:w="1134" w:type="dxa"/>
            <w:tcBorders>
              <w:top w:val="nil"/>
              <w:left w:val="nil"/>
              <w:bottom w:val="nil"/>
              <w:right w:val="nil"/>
            </w:tcBorders>
            <w:shd w:val="clear" w:color="auto" w:fill="auto"/>
          </w:tcPr>
          <w:p w14:paraId="4BFC631B"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Octet</w:t>
            </w:r>
          </w:p>
        </w:tc>
      </w:tr>
      <w:tr w:rsidR="00711444" w:rsidRPr="004D0DAA" w14:paraId="5A9CCF87" w14:textId="77777777" w:rsidTr="00AA2A4C">
        <w:trPr>
          <w:cantSplit/>
          <w:jc w:val="center"/>
        </w:trPr>
        <w:tc>
          <w:tcPr>
            <w:tcW w:w="4031" w:type="dxa"/>
            <w:gridSpan w:val="7"/>
            <w:tcBorders>
              <w:top w:val="single" w:sz="6" w:space="0" w:color="auto"/>
              <w:left w:val="single" w:sz="6" w:space="0" w:color="auto"/>
              <w:bottom w:val="single" w:sz="6" w:space="0" w:color="auto"/>
              <w:right w:val="single" w:sz="6" w:space="0" w:color="auto"/>
            </w:tcBorders>
            <w:shd w:val="clear" w:color="auto" w:fill="auto"/>
          </w:tcPr>
          <w:p w14:paraId="5075DC39"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ShortSSN</w:t>
            </w:r>
          </w:p>
        </w:tc>
        <w:tc>
          <w:tcPr>
            <w:tcW w:w="575" w:type="dxa"/>
            <w:tcBorders>
              <w:top w:val="single" w:sz="6" w:space="0" w:color="auto"/>
              <w:left w:val="single" w:sz="6" w:space="0" w:color="auto"/>
              <w:bottom w:val="single" w:sz="6" w:space="0" w:color="auto"/>
              <w:right w:val="single" w:sz="6" w:space="0" w:color="auto"/>
            </w:tcBorders>
            <w:shd w:val="clear" w:color="auto" w:fill="auto"/>
          </w:tcPr>
          <w:p w14:paraId="548E4EAC"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BOW</w:t>
            </w:r>
          </w:p>
        </w:tc>
        <w:tc>
          <w:tcPr>
            <w:tcW w:w="1134" w:type="dxa"/>
            <w:tcBorders>
              <w:top w:val="nil"/>
              <w:left w:val="single" w:sz="6" w:space="0" w:color="auto"/>
              <w:bottom w:val="nil"/>
              <w:right w:val="nil"/>
            </w:tcBorders>
            <w:shd w:val="clear" w:color="auto" w:fill="auto"/>
          </w:tcPr>
          <w:p w14:paraId="726CFFC3"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1</w:t>
            </w:r>
          </w:p>
        </w:tc>
      </w:tr>
      <w:tr w:rsidR="00711444" w:rsidRPr="004D0DAA" w14:paraId="72DFE20E" w14:textId="77777777" w:rsidTr="00AA2A4C">
        <w:trPr>
          <w:cantSplit/>
          <w:jc w:val="center"/>
        </w:trPr>
        <w:tc>
          <w:tcPr>
            <w:tcW w:w="2304" w:type="dxa"/>
            <w:gridSpan w:val="4"/>
            <w:tcBorders>
              <w:top w:val="nil"/>
              <w:left w:val="single" w:sz="6" w:space="0" w:color="auto"/>
              <w:bottom w:val="single" w:sz="6" w:space="0" w:color="auto"/>
              <w:right w:val="dotted" w:sz="4" w:space="0" w:color="auto"/>
            </w:tcBorders>
            <w:shd w:val="clear" w:color="auto" w:fill="auto"/>
          </w:tcPr>
          <w:p w14:paraId="4CD25944"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RB</w:t>
            </w:r>
          </w:p>
        </w:tc>
        <w:tc>
          <w:tcPr>
            <w:tcW w:w="2302" w:type="dxa"/>
            <w:gridSpan w:val="4"/>
            <w:tcBorders>
              <w:top w:val="single" w:sz="6" w:space="0" w:color="auto"/>
              <w:left w:val="dotted" w:sz="4" w:space="0" w:color="auto"/>
              <w:bottom w:val="single" w:sz="6" w:space="0" w:color="auto"/>
              <w:right w:val="single" w:sz="6" w:space="0" w:color="auto"/>
            </w:tcBorders>
            <w:shd w:val="clear" w:color="auto" w:fill="auto"/>
          </w:tcPr>
          <w:p w14:paraId="3CB75CC5"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ShortSSN / RB</w:t>
            </w:r>
          </w:p>
        </w:tc>
        <w:tc>
          <w:tcPr>
            <w:tcW w:w="1134" w:type="dxa"/>
            <w:tcBorders>
              <w:top w:val="nil"/>
              <w:left w:val="single" w:sz="6" w:space="0" w:color="auto"/>
              <w:bottom w:val="nil"/>
              <w:right w:val="nil"/>
            </w:tcBorders>
            <w:shd w:val="clear" w:color="auto" w:fill="auto"/>
          </w:tcPr>
          <w:p w14:paraId="616ECDF4"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2</w:t>
            </w:r>
          </w:p>
        </w:tc>
      </w:tr>
      <w:tr w:rsidR="00711444" w:rsidRPr="004D0DAA" w14:paraId="22D9F0FF" w14:textId="77777777" w:rsidTr="00AA2A4C">
        <w:trPr>
          <w:cantSplit/>
          <w:jc w:val="center"/>
        </w:trPr>
        <w:tc>
          <w:tcPr>
            <w:tcW w:w="2304" w:type="dxa"/>
            <w:gridSpan w:val="4"/>
            <w:tcBorders>
              <w:top w:val="single" w:sz="6" w:space="0" w:color="auto"/>
              <w:left w:val="single" w:sz="6" w:space="0" w:color="auto"/>
              <w:bottom w:val="single" w:sz="6" w:space="0" w:color="auto"/>
              <w:right w:val="dotted" w:sz="4" w:space="0" w:color="auto"/>
            </w:tcBorders>
            <w:shd w:val="clear" w:color="auto" w:fill="auto"/>
          </w:tcPr>
          <w:p w14:paraId="11F019D1"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TFI</w:t>
            </w:r>
          </w:p>
        </w:tc>
        <w:tc>
          <w:tcPr>
            <w:tcW w:w="2302" w:type="dxa"/>
            <w:gridSpan w:val="4"/>
            <w:tcBorders>
              <w:top w:val="single" w:sz="6" w:space="0" w:color="auto"/>
              <w:left w:val="single" w:sz="6" w:space="0" w:color="auto"/>
              <w:bottom w:val="single" w:sz="6" w:space="0" w:color="auto"/>
              <w:right w:val="single" w:sz="6" w:space="0" w:color="auto"/>
            </w:tcBorders>
            <w:shd w:val="clear" w:color="auto" w:fill="auto"/>
          </w:tcPr>
          <w:p w14:paraId="431B1B9A"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RB</w:t>
            </w:r>
          </w:p>
        </w:tc>
        <w:tc>
          <w:tcPr>
            <w:tcW w:w="1134" w:type="dxa"/>
            <w:tcBorders>
              <w:top w:val="nil"/>
              <w:left w:val="single" w:sz="6" w:space="0" w:color="auto"/>
              <w:bottom w:val="nil"/>
              <w:right w:val="nil"/>
            </w:tcBorders>
            <w:shd w:val="clear" w:color="auto" w:fill="auto"/>
          </w:tcPr>
          <w:p w14:paraId="01FEB106"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3</w:t>
            </w:r>
          </w:p>
        </w:tc>
      </w:tr>
      <w:tr w:rsidR="00711444" w:rsidRPr="004D0DAA" w14:paraId="7A2C4B35" w14:textId="77777777" w:rsidTr="00AA2A4C">
        <w:trPr>
          <w:cantSplit/>
          <w:jc w:val="center"/>
        </w:trPr>
        <w:tc>
          <w:tcPr>
            <w:tcW w:w="4031" w:type="dxa"/>
            <w:gridSpan w:val="7"/>
            <w:tcBorders>
              <w:top w:val="nil"/>
              <w:left w:val="nil"/>
              <w:bottom w:val="nil"/>
              <w:right w:val="single" w:sz="4" w:space="0" w:color="auto"/>
            </w:tcBorders>
            <w:shd w:val="clear" w:color="auto" w:fill="auto"/>
          </w:tcPr>
          <w:p w14:paraId="1DFF3ADC" w14:textId="77777777" w:rsidR="00711444" w:rsidRPr="004D0DAA" w:rsidRDefault="00711444" w:rsidP="00AA2A4C">
            <w:pPr>
              <w:spacing w:after="0"/>
              <w:rPr>
                <w:rFonts w:ascii="Arial" w:eastAsia="SimSun" w:hAnsi="Arial" w:cs="Arial"/>
                <w:sz w:val="18"/>
                <w:szCs w:val="18"/>
                <w:lang w:eastAsia="zh-CN"/>
              </w:rPr>
            </w:pPr>
          </w:p>
        </w:tc>
        <w:tc>
          <w:tcPr>
            <w:tcW w:w="575" w:type="dxa"/>
            <w:tcBorders>
              <w:top w:val="single" w:sz="6" w:space="0" w:color="auto"/>
              <w:left w:val="single" w:sz="4" w:space="0" w:color="auto"/>
              <w:bottom w:val="single" w:sz="6" w:space="0" w:color="auto"/>
              <w:right w:val="single" w:sz="6" w:space="0" w:color="auto"/>
            </w:tcBorders>
            <w:shd w:val="clear" w:color="auto" w:fill="auto"/>
          </w:tcPr>
          <w:p w14:paraId="6381DAB1"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TFI</w:t>
            </w:r>
          </w:p>
        </w:tc>
        <w:tc>
          <w:tcPr>
            <w:tcW w:w="1134" w:type="dxa"/>
            <w:tcBorders>
              <w:top w:val="nil"/>
              <w:left w:val="single" w:sz="6" w:space="0" w:color="auto"/>
              <w:bottom w:val="nil"/>
              <w:right w:val="nil"/>
            </w:tcBorders>
            <w:shd w:val="clear" w:color="auto" w:fill="auto"/>
          </w:tcPr>
          <w:p w14:paraId="07AFB12A"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4</w:t>
            </w:r>
          </w:p>
        </w:tc>
      </w:tr>
    </w:tbl>
    <w:p w14:paraId="104E1DE1" w14:textId="77777777" w:rsidR="00711444" w:rsidRPr="004D0DAA" w:rsidRDefault="00711444" w:rsidP="00711444">
      <w:pPr>
        <w:pStyle w:val="NF"/>
      </w:pPr>
    </w:p>
    <w:p w14:paraId="1FDCEA53" w14:textId="77777777" w:rsidR="00711444" w:rsidRPr="004D0DAA" w:rsidRDefault="00711444" w:rsidP="00711444">
      <w:pPr>
        <w:pStyle w:val="TF"/>
      </w:pPr>
      <w:r w:rsidRPr="004D0DAA">
        <w:t>Figure 10.3a.5.1: Piggy-backed Ack/Nack field (SSN-based)</w:t>
      </w:r>
    </w:p>
    <w:tbl>
      <w:tblPr>
        <w:tblW w:w="0" w:type="auto"/>
        <w:jc w:val="center"/>
        <w:tblLayout w:type="fixed"/>
        <w:tblCellMar>
          <w:left w:w="28" w:type="dxa"/>
          <w:right w:w="28" w:type="dxa"/>
        </w:tblCellMar>
        <w:tblLook w:val="0000" w:firstRow="0" w:lastRow="0" w:firstColumn="0" w:lastColumn="0" w:noHBand="0" w:noVBand="0"/>
      </w:tblPr>
      <w:tblGrid>
        <w:gridCol w:w="575"/>
        <w:gridCol w:w="10"/>
        <w:gridCol w:w="436"/>
        <w:gridCol w:w="131"/>
        <w:gridCol w:w="576"/>
        <w:gridCol w:w="553"/>
        <w:gridCol w:w="599"/>
        <w:gridCol w:w="576"/>
        <w:gridCol w:w="576"/>
        <w:gridCol w:w="575"/>
        <w:gridCol w:w="1134"/>
      </w:tblGrid>
      <w:tr w:rsidR="00711444" w:rsidRPr="004D0DAA" w14:paraId="3E449DFC" w14:textId="77777777" w:rsidTr="00AA2A4C">
        <w:trPr>
          <w:cantSplit/>
          <w:jc w:val="center"/>
        </w:trPr>
        <w:tc>
          <w:tcPr>
            <w:tcW w:w="4607" w:type="dxa"/>
            <w:gridSpan w:val="10"/>
            <w:tcBorders>
              <w:top w:val="nil"/>
              <w:left w:val="nil"/>
              <w:bottom w:val="nil"/>
              <w:right w:val="nil"/>
            </w:tcBorders>
            <w:shd w:val="clear" w:color="auto" w:fill="auto"/>
          </w:tcPr>
          <w:p w14:paraId="791644B8"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Bit</w:t>
            </w:r>
          </w:p>
        </w:tc>
        <w:tc>
          <w:tcPr>
            <w:tcW w:w="1134" w:type="dxa"/>
            <w:tcBorders>
              <w:top w:val="nil"/>
              <w:left w:val="nil"/>
              <w:bottom w:val="nil"/>
              <w:right w:val="nil"/>
            </w:tcBorders>
            <w:shd w:val="clear" w:color="auto" w:fill="auto"/>
          </w:tcPr>
          <w:p w14:paraId="66574D7D" w14:textId="77777777" w:rsidR="00711444" w:rsidRPr="004D0DAA" w:rsidRDefault="00711444" w:rsidP="00AA2A4C">
            <w:pPr>
              <w:spacing w:after="0"/>
              <w:rPr>
                <w:rFonts w:eastAsia="SimSun"/>
                <w:sz w:val="18"/>
                <w:szCs w:val="18"/>
                <w:lang w:eastAsia="zh-CN"/>
              </w:rPr>
            </w:pPr>
          </w:p>
        </w:tc>
      </w:tr>
      <w:tr w:rsidR="00711444" w:rsidRPr="004D0DAA" w14:paraId="57E76660" w14:textId="77777777" w:rsidTr="00AA2A4C">
        <w:trPr>
          <w:cantSplit/>
          <w:jc w:val="center"/>
        </w:trPr>
        <w:tc>
          <w:tcPr>
            <w:tcW w:w="585" w:type="dxa"/>
            <w:gridSpan w:val="2"/>
            <w:tcBorders>
              <w:top w:val="nil"/>
              <w:left w:val="nil"/>
              <w:bottom w:val="single" w:sz="6" w:space="0" w:color="auto"/>
              <w:right w:val="nil"/>
            </w:tcBorders>
            <w:shd w:val="clear" w:color="auto" w:fill="auto"/>
          </w:tcPr>
          <w:p w14:paraId="696DA3C3"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8</w:t>
            </w:r>
          </w:p>
        </w:tc>
        <w:tc>
          <w:tcPr>
            <w:tcW w:w="567" w:type="dxa"/>
            <w:gridSpan w:val="2"/>
            <w:tcBorders>
              <w:top w:val="nil"/>
              <w:left w:val="nil"/>
              <w:bottom w:val="single" w:sz="6" w:space="0" w:color="auto"/>
              <w:right w:val="nil"/>
            </w:tcBorders>
            <w:shd w:val="clear" w:color="auto" w:fill="auto"/>
          </w:tcPr>
          <w:p w14:paraId="2E305A2A"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7</w:t>
            </w:r>
          </w:p>
        </w:tc>
        <w:tc>
          <w:tcPr>
            <w:tcW w:w="576" w:type="dxa"/>
            <w:tcBorders>
              <w:top w:val="nil"/>
              <w:left w:val="nil"/>
              <w:bottom w:val="single" w:sz="6" w:space="0" w:color="auto"/>
              <w:right w:val="nil"/>
            </w:tcBorders>
            <w:shd w:val="clear" w:color="auto" w:fill="auto"/>
          </w:tcPr>
          <w:p w14:paraId="0FFFCD6F"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6</w:t>
            </w:r>
          </w:p>
        </w:tc>
        <w:tc>
          <w:tcPr>
            <w:tcW w:w="553" w:type="dxa"/>
            <w:tcBorders>
              <w:top w:val="nil"/>
              <w:left w:val="nil"/>
              <w:bottom w:val="single" w:sz="6" w:space="0" w:color="auto"/>
              <w:right w:val="nil"/>
            </w:tcBorders>
            <w:shd w:val="clear" w:color="auto" w:fill="auto"/>
          </w:tcPr>
          <w:p w14:paraId="6378DC6F"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5</w:t>
            </w:r>
          </w:p>
        </w:tc>
        <w:tc>
          <w:tcPr>
            <w:tcW w:w="599" w:type="dxa"/>
            <w:tcBorders>
              <w:top w:val="nil"/>
              <w:left w:val="nil"/>
              <w:bottom w:val="single" w:sz="6" w:space="0" w:color="auto"/>
              <w:right w:val="nil"/>
            </w:tcBorders>
            <w:shd w:val="clear" w:color="auto" w:fill="auto"/>
          </w:tcPr>
          <w:p w14:paraId="2EAD889C"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4</w:t>
            </w:r>
          </w:p>
        </w:tc>
        <w:tc>
          <w:tcPr>
            <w:tcW w:w="576" w:type="dxa"/>
            <w:tcBorders>
              <w:top w:val="nil"/>
              <w:left w:val="nil"/>
              <w:bottom w:val="single" w:sz="6" w:space="0" w:color="auto"/>
              <w:right w:val="nil"/>
            </w:tcBorders>
            <w:shd w:val="clear" w:color="auto" w:fill="auto"/>
          </w:tcPr>
          <w:p w14:paraId="525E8CEE"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3</w:t>
            </w:r>
          </w:p>
        </w:tc>
        <w:tc>
          <w:tcPr>
            <w:tcW w:w="576" w:type="dxa"/>
            <w:tcBorders>
              <w:top w:val="nil"/>
              <w:left w:val="nil"/>
              <w:bottom w:val="single" w:sz="6" w:space="0" w:color="auto"/>
              <w:right w:val="nil"/>
            </w:tcBorders>
            <w:shd w:val="clear" w:color="auto" w:fill="auto"/>
          </w:tcPr>
          <w:p w14:paraId="10517283"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2</w:t>
            </w:r>
          </w:p>
        </w:tc>
        <w:tc>
          <w:tcPr>
            <w:tcW w:w="575" w:type="dxa"/>
            <w:tcBorders>
              <w:top w:val="nil"/>
              <w:left w:val="nil"/>
              <w:bottom w:val="single" w:sz="6" w:space="0" w:color="auto"/>
              <w:right w:val="nil"/>
            </w:tcBorders>
            <w:shd w:val="clear" w:color="auto" w:fill="auto"/>
          </w:tcPr>
          <w:p w14:paraId="1FA2BC38"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1</w:t>
            </w:r>
          </w:p>
        </w:tc>
        <w:tc>
          <w:tcPr>
            <w:tcW w:w="1134" w:type="dxa"/>
            <w:tcBorders>
              <w:top w:val="nil"/>
              <w:left w:val="nil"/>
              <w:bottom w:val="nil"/>
              <w:right w:val="nil"/>
            </w:tcBorders>
            <w:shd w:val="clear" w:color="auto" w:fill="auto"/>
          </w:tcPr>
          <w:p w14:paraId="411B85C3"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Octet</w:t>
            </w:r>
          </w:p>
        </w:tc>
      </w:tr>
      <w:tr w:rsidR="00711444" w:rsidRPr="004D0DAA" w14:paraId="08B5FB0A" w14:textId="77777777" w:rsidTr="00AA2A4C">
        <w:trPr>
          <w:cantSplit/>
          <w:jc w:val="center"/>
        </w:trPr>
        <w:tc>
          <w:tcPr>
            <w:tcW w:w="4032" w:type="dxa"/>
            <w:gridSpan w:val="9"/>
            <w:tcBorders>
              <w:top w:val="single" w:sz="6" w:space="0" w:color="auto"/>
              <w:left w:val="single" w:sz="6" w:space="0" w:color="auto"/>
              <w:bottom w:val="single" w:sz="6" w:space="0" w:color="auto"/>
              <w:right w:val="single" w:sz="6" w:space="0" w:color="auto"/>
            </w:tcBorders>
            <w:shd w:val="clear" w:color="auto" w:fill="auto"/>
          </w:tcPr>
          <w:p w14:paraId="634F573A"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ShortSSN</w:t>
            </w:r>
          </w:p>
        </w:tc>
        <w:tc>
          <w:tcPr>
            <w:tcW w:w="575" w:type="dxa"/>
            <w:tcBorders>
              <w:top w:val="single" w:sz="6" w:space="0" w:color="auto"/>
              <w:left w:val="single" w:sz="6" w:space="0" w:color="auto"/>
              <w:bottom w:val="single" w:sz="6" w:space="0" w:color="auto"/>
              <w:right w:val="single" w:sz="6" w:space="0" w:color="auto"/>
            </w:tcBorders>
            <w:shd w:val="clear" w:color="auto" w:fill="auto"/>
          </w:tcPr>
          <w:p w14:paraId="75D22A8D"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BOW</w:t>
            </w:r>
          </w:p>
        </w:tc>
        <w:tc>
          <w:tcPr>
            <w:tcW w:w="1134" w:type="dxa"/>
            <w:tcBorders>
              <w:top w:val="nil"/>
              <w:left w:val="single" w:sz="6" w:space="0" w:color="auto"/>
              <w:bottom w:val="nil"/>
              <w:right w:val="nil"/>
            </w:tcBorders>
            <w:shd w:val="clear" w:color="auto" w:fill="auto"/>
          </w:tcPr>
          <w:p w14:paraId="1AB7654D"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1</w:t>
            </w:r>
          </w:p>
        </w:tc>
      </w:tr>
      <w:tr w:rsidR="00711444" w:rsidRPr="004D0DAA" w14:paraId="512C28C1" w14:textId="77777777" w:rsidTr="00AA2A4C">
        <w:trPr>
          <w:cantSplit/>
          <w:jc w:val="center"/>
        </w:trPr>
        <w:tc>
          <w:tcPr>
            <w:tcW w:w="1021" w:type="dxa"/>
            <w:gridSpan w:val="3"/>
            <w:tcBorders>
              <w:top w:val="nil"/>
              <w:left w:val="single" w:sz="6" w:space="0" w:color="auto"/>
              <w:bottom w:val="single" w:sz="6" w:space="0" w:color="auto"/>
              <w:right w:val="dotted" w:sz="4" w:space="0" w:color="auto"/>
            </w:tcBorders>
            <w:shd w:val="clear" w:color="auto" w:fill="auto"/>
          </w:tcPr>
          <w:p w14:paraId="486C6DB9"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RB</w:t>
            </w:r>
          </w:p>
        </w:tc>
        <w:tc>
          <w:tcPr>
            <w:tcW w:w="1260" w:type="dxa"/>
            <w:gridSpan w:val="3"/>
            <w:tcBorders>
              <w:top w:val="nil"/>
              <w:left w:val="dotted" w:sz="4" w:space="0" w:color="auto"/>
              <w:bottom w:val="single" w:sz="6" w:space="0" w:color="auto"/>
              <w:right w:val="single" w:sz="6" w:space="0" w:color="auto"/>
            </w:tcBorders>
            <w:shd w:val="clear" w:color="auto" w:fill="auto"/>
          </w:tcPr>
          <w:p w14:paraId="02BA29CD"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ShortSSN / RB</w:t>
            </w:r>
          </w:p>
        </w:tc>
        <w:tc>
          <w:tcPr>
            <w:tcW w:w="2326" w:type="dxa"/>
            <w:gridSpan w:val="4"/>
            <w:tcBorders>
              <w:top w:val="nil"/>
              <w:left w:val="dotted" w:sz="4" w:space="0" w:color="auto"/>
              <w:bottom w:val="single" w:sz="6" w:space="0" w:color="auto"/>
              <w:right w:val="single" w:sz="6" w:space="0" w:color="auto"/>
            </w:tcBorders>
            <w:shd w:val="clear" w:color="auto" w:fill="auto"/>
          </w:tcPr>
          <w:p w14:paraId="3AE25DE9"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ShortSSN</w:t>
            </w:r>
          </w:p>
        </w:tc>
        <w:tc>
          <w:tcPr>
            <w:tcW w:w="1134" w:type="dxa"/>
            <w:tcBorders>
              <w:top w:val="nil"/>
              <w:left w:val="single" w:sz="6" w:space="0" w:color="auto"/>
              <w:bottom w:val="nil"/>
              <w:right w:val="nil"/>
            </w:tcBorders>
            <w:shd w:val="clear" w:color="auto" w:fill="auto"/>
          </w:tcPr>
          <w:p w14:paraId="19399595"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2</w:t>
            </w:r>
          </w:p>
        </w:tc>
      </w:tr>
      <w:tr w:rsidR="00711444" w:rsidRPr="004D0DAA" w14:paraId="1FD980FB" w14:textId="77777777" w:rsidTr="00AA2A4C">
        <w:trPr>
          <w:cantSplit/>
          <w:jc w:val="center"/>
        </w:trPr>
        <w:tc>
          <w:tcPr>
            <w:tcW w:w="2281" w:type="dxa"/>
            <w:gridSpan w:val="6"/>
            <w:tcBorders>
              <w:top w:val="single" w:sz="6" w:space="0" w:color="auto"/>
              <w:left w:val="single" w:sz="6" w:space="0" w:color="auto"/>
              <w:bottom w:val="single" w:sz="6" w:space="0" w:color="auto"/>
              <w:right w:val="dotted" w:sz="4" w:space="0" w:color="auto"/>
            </w:tcBorders>
            <w:shd w:val="clear" w:color="auto" w:fill="auto"/>
          </w:tcPr>
          <w:p w14:paraId="262453B9"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TFI</w:t>
            </w:r>
          </w:p>
        </w:tc>
        <w:tc>
          <w:tcPr>
            <w:tcW w:w="2326" w:type="dxa"/>
            <w:gridSpan w:val="4"/>
            <w:tcBorders>
              <w:top w:val="single" w:sz="6" w:space="0" w:color="auto"/>
              <w:left w:val="single" w:sz="6" w:space="0" w:color="auto"/>
              <w:bottom w:val="single" w:sz="6" w:space="0" w:color="auto"/>
              <w:right w:val="single" w:sz="6" w:space="0" w:color="auto"/>
            </w:tcBorders>
            <w:shd w:val="clear" w:color="auto" w:fill="auto"/>
          </w:tcPr>
          <w:p w14:paraId="5AACB15A"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RB</w:t>
            </w:r>
          </w:p>
        </w:tc>
        <w:tc>
          <w:tcPr>
            <w:tcW w:w="1134" w:type="dxa"/>
            <w:tcBorders>
              <w:top w:val="nil"/>
              <w:left w:val="single" w:sz="6" w:space="0" w:color="auto"/>
              <w:bottom w:val="nil"/>
              <w:right w:val="nil"/>
            </w:tcBorders>
            <w:shd w:val="clear" w:color="auto" w:fill="auto"/>
          </w:tcPr>
          <w:p w14:paraId="2E1CBF09"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3</w:t>
            </w:r>
          </w:p>
        </w:tc>
      </w:tr>
      <w:tr w:rsidR="00711444" w:rsidRPr="004D0DAA" w14:paraId="1256EBF5" w14:textId="77777777" w:rsidTr="00AA2A4C">
        <w:trPr>
          <w:cantSplit/>
          <w:jc w:val="center"/>
        </w:trPr>
        <w:tc>
          <w:tcPr>
            <w:tcW w:w="575" w:type="dxa"/>
            <w:tcBorders>
              <w:top w:val="nil"/>
              <w:left w:val="nil"/>
              <w:bottom w:val="nil"/>
            </w:tcBorders>
            <w:shd w:val="clear" w:color="auto" w:fill="auto"/>
          </w:tcPr>
          <w:p w14:paraId="7635E650" w14:textId="77777777" w:rsidR="00711444" w:rsidRPr="004D0DAA" w:rsidRDefault="00711444" w:rsidP="00AA2A4C">
            <w:pPr>
              <w:spacing w:after="0"/>
              <w:rPr>
                <w:rFonts w:ascii="Arial" w:eastAsia="SimSun" w:hAnsi="Arial" w:cs="Arial"/>
                <w:sz w:val="18"/>
                <w:szCs w:val="18"/>
                <w:lang w:eastAsia="zh-CN"/>
              </w:rPr>
            </w:pPr>
          </w:p>
        </w:tc>
        <w:tc>
          <w:tcPr>
            <w:tcW w:w="577" w:type="dxa"/>
            <w:gridSpan w:val="3"/>
            <w:tcBorders>
              <w:bottom w:val="nil"/>
            </w:tcBorders>
            <w:shd w:val="clear" w:color="auto" w:fill="auto"/>
          </w:tcPr>
          <w:p w14:paraId="0CD16FB2" w14:textId="77777777" w:rsidR="00711444" w:rsidRPr="004D0DAA" w:rsidRDefault="00711444" w:rsidP="00AA2A4C">
            <w:pPr>
              <w:spacing w:after="0"/>
              <w:rPr>
                <w:rFonts w:ascii="Arial" w:eastAsia="SimSun" w:hAnsi="Arial" w:cs="Arial"/>
                <w:sz w:val="18"/>
                <w:szCs w:val="18"/>
                <w:lang w:eastAsia="zh-CN"/>
              </w:rPr>
            </w:pPr>
          </w:p>
        </w:tc>
        <w:tc>
          <w:tcPr>
            <w:tcW w:w="576" w:type="dxa"/>
            <w:tcBorders>
              <w:bottom w:val="nil"/>
            </w:tcBorders>
            <w:shd w:val="clear" w:color="auto" w:fill="auto"/>
          </w:tcPr>
          <w:p w14:paraId="59B6B10A" w14:textId="77777777" w:rsidR="00711444" w:rsidRPr="004D0DAA" w:rsidRDefault="00711444" w:rsidP="00AA2A4C">
            <w:pPr>
              <w:spacing w:after="0"/>
              <w:rPr>
                <w:rFonts w:ascii="Arial" w:eastAsia="SimSun" w:hAnsi="Arial" w:cs="Arial"/>
                <w:sz w:val="18"/>
                <w:szCs w:val="18"/>
                <w:lang w:eastAsia="zh-CN"/>
              </w:rPr>
            </w:pPr>
          </w:p>
        </w:tc>
        <w:tc>
          <w:tcPr>
            <w:tcW w:w="553" w:type="dxa"/>
            <w:tcBorders>
              <w:bottom w:val="nil"/>
              <w:right w:val="single" w:sz="4" w:space="0" w:color="auto"/>
            </w:tcBorders>
            <w:shd w:val="clear" w:color="auto" w:fill="auto"/>
          </w:tcPr>
          <w:p w14:paraId="50B2C15F" w14:textId="77777777" w:rsidR="00711444" w:rsidRPr="004D0DAA" w:rsidRDefault="00711444" w:rsidP="00AA2A4C">
            <w:pPr>
              <w:spacing w:after="0"/>
              <w:rPr>
                <w:rFonts w:ascii="Arial" w:eastAsia="SimSun" w:hAnsi="Arial" w:cs="Arial"/>
                <w:sz w:val="18"/>
                <w:szCs w:val="18"/>
                <w:lang w:eastAsia="zh-CN"/>
              </w:rPr>
            </w:pPr>
          </w:p>
        </w:tc>
        <w:tc>
          <w:tcPr>
            <w:tcW w:w="1751" w:type="dxa"/>
            <w:gridSpan w:val="3"/>
            <w:tcBorders>
              <w:top w:val="nil"/>
              <w:left w:val="single" w:sz="4" w:space="0" w:color="auto"/>
              <w:bottom w:val="single" w:sz="4" w:space="0" w:color="auto"/>
              <w:right w:val="single" w:sz="4" w:space="0" w:color="auto"/>
            </w:tcBorders>
            <w:shd w:val="clear" w:color="auto" w:fill="auto"/>
          </w:tcPr>
          <w:p w14:paraId="74B13333"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eTFI</w:t>
            </w:r>
          </w:p>
        </w:tc>
        <w:tc>
          <w:tcPr>
            <w:tcW w:w="575" w:type="dxa"/>
            <w:tcBorders>
              <w:top w:val="single" w:sz="6" w:space="0" w:color="auto"/>
              <w:left w:val="single" w:sz="4" w:space="0" w:color="auto"/>
              <w:bottom w:val="single" w:sz="6" w:space="0" w:color="auto"/>
              <w:right w:val="single" w:sz="6" w:space="0" w:color="auto"/>
            </w:tcBorders>
            <w:shd w:val="clear" w:color="auto" w:fill="auto"/>
          </w:tcPr>
          <w:p w14:paraId="4D0615A0" w14:textId="77777777" w:rsidR="00711444" w:rsidRPr="004D0DAA" w:rsidRDefault="00711444" w:rsidP="00AA2A4C">
            <w:pPr>
              <w:spacing w:after="0"/>
              <w:rPr>
                <w:rFonts w:ascii="Arial" w:eastAsia="SimSun" w:hAnsi="Arial" w:cs="Arial"/>
                <w:sz w:val="18"/>
                <w:szCs w:val="18"/>
                <w:lang w:eastAsia="zh-CN"/>
              </w:rPr>
            </w:pPr>
            <w:r w:rsidRPr="004D0DAA">
              <w:rPr>
                <w:rFonts w:ascii="Arial" w:eastAsia="SimSun" w:hAnsi="Arial" w:cs="Arial"/>
                <w:sz w:val="18"/>
                <w:szCs w:val="18"/>
                <w:lang w:eastAsia="zh-CN"/>
              </w:rPr>
              <w:t>TFI</w:t>
            </w:r>
          </w:p>
        </w:tc>
        <w:tc>
          <w:tcPr>
            <w:tcW w:w="1134" w:type="dxa"/>
            <w:tcBorders>
              <w:top w:val="nil"/>
              <w:left w:val="single" w:sz="6" w:space="0" w:color="auto"/>
              <w:bottom w:val="nil"/>
              <w:right w:val="nil"/>
            </w:tcBorders>
            <w:shd w:val="clear" w:color="auto" w:fill="auto"/>
          </w:tcPr>
          <w:p w14:paraId="7D787CC1" w14:textId="77777777" w:rsidR="00711444" w:rsidRPr="004D0DAA" w:rsidRDefault="00711444" w:rsidP="00AA2A4C">
            <w:pPr>
              <w:spacing w:after="0"/>
              <w:jc w:val="center"/>
              <w:rPr>
                <w:rFonts w:ascii="Arial" w:eastAsia="SimSun" w:hAnsi="Arial" w:cs="Arial"/>
                <w:sz w:val="18"/>
                <w:szCs w:val="18"/>
                <w:lang w:eastAsia="zh-CN"/>
              </w:rPr>
            </w:pPr>
            <w:r w:rsidRPr="004D0DAA">
              <w:rPr>
                <w:rFonts w:ascii="Arial" w:eastAsia="SimSun" w:hAnsi="Arial" w:cs="Arial"/>
                <w:sz w:val="18"/>
                <w:szCs w:val="18"/>
                <w:lang w:eastAsia="zh-CN"/>
              </w:rPr>
              <w:t>4</w:t>
            </w:r>
          </w:p>
        </w:tc>
      </w:tr>
    </w:tbl>
    <w:p w14:paraId="2BA6C296" w14:textId="77777777" w:rsidR="00711444" w:rsidRPr="004D0DAA" w:rsidRDefault="00711444" w:rsidP="00711444">
      <w:pPr>
        <w:pStyle w:val="NF"/>
      </w:pPr>
    </w:p>
    <w:p w14:paraId="3783D141" w14:textId="77777777" w:rsidR="00711444" w:rsidRPr="004D0DAA" w:rsidRDefault="00711444" w:rsidP="00711444">
      <w:pPr>
        <w:pStyle w:val="TF"/>
      </w:pPr>
      <w:r w:rsidRPr="004D0DAA">
        <w:t>Figure 10.3a.5.2: Uplink Piggy-backed Ack/Nack field (SSN-based, eTFI assigned)</w:t>
      </w:r>
    </w:p>
    <w:p w14:paraId="56FF7F82" w14:textId="77777777" w:rsidR="00711444" w:rsidRPr="004D0DAA" w:rsidRDefault="00711444" w:rsidP="00711444">
      <w:pPr>
        <w:pStyle w:val="Heading2"/>
      </w:pPr>
      <w:bookmarkStart w:id="544" w:name="_Toc516669725"/>
      <w:r w:rsidRPr="004D0DAA">
        <w:t>10.3a.6</w:t>
      </w:r>
      <w:r w:rsidRPr="004D0DAA">
        <w:tab/>
        <w:t>Piggy-backed Ack/Nack field (Time-based)</w:t>
      </w:r>
      <w:bookmarkEnd w:id="544"/>
    </w:p>
    <w:p w14:paraId="22CB705A" w14:textId="77777777" w:rsidR="00711444" w:rsidRPr="004D0DAA" w:rsidRDefault="00711444" w:rsidP="00711444">
      <w:pPr>
        <w:ind w:left="90"/>
      </w:pPr>
      <w:r w:rsidRPr="004D0DAA">
        <w:t>When the Time-based encoding is used (see sub-clause 9.1.14.1), the Piggy-backed Ack/Nack (PAN) field consists of a 20 bits reported bitmap, as described in sub-clause 9.1.15, plus 5 bits set to '0.</w:t>
      </w:r>
    </w:p>
    <w:p w14:paraId="71A1E32A" w14:textId="77777777" w:rsidR="00711444" w:rsidRPr="004D0DAA" w:rsidRDefault="00711444" w:rsidP="00711444">
      <w:pPr>
        <w:ind w:left="90"/>
      </w:pPr>
      <w:r w:rsidRPr="004D0DAA">
        <w:t>Codepoints are included so that the codepoints corresponding to blocks transmitted earlier are contained in the less significant bit(s) in the field.</w:t>
      </w:r>
    </w:p>
    <w:tbl>
      <w:tblPr>
        <w:tblW w:w="0" w:type="auto"/>
        <w:jc w:val="center"/>
        <w:tblLayout w:type="fixed"/>
        <w:tblCellMar>
          <w:left w:w="28" w:type="dxa"/>
          <w:right w:w="28" w:type="dxa"/>
        </w:tblCellMar>
        <w:tblLook w:val="0000" w:firstRow="0" w:lastRow="0" w:firstColumn="0" w:lastColumn="0" w:noHBand="0" w:noVBand="0"/>
      </w:tblPr>
      <w:tblGrid>
        <w:gridCol w:w="576"/>
        <w:gridCol w:w="9"/>
        <w:gridCol w:w="567"/>
        <w:gridCol w:w="576"/>
        <w:gridCol w:w="576"/>
        <w:gridCol w:w="575"/>
        <w:gridCol w:w="575"/>
        <w:gridCol w:w="550"/>
        <w:gridCol w:w="602"/>
        <w:gridCol w:w="1134"/>
        <w:tblGridChange w:id="545">
          <w:tblGrid>
            <w:gridCol w:w="576"/>
            <w:gridCol w:w="9"/>
            <w:gridCol w:w="567"/>
            <w:gridCol w:w="576"/>
            <w:gridCol w:w="576"/>
            <w:gridCol w:w="575"/>
            <w:gridCol w:w="575"/>
            <w:gridCol w:w="550"/>
            <w:gridCol w:w="602"/>
            <w:gridCol w:w="1134"/>
          </w:tblGrid>
        </w:tblGridChange>
      </w:tblGrid>
      <w:tr w:rsidR="00711444" w:rsidRPr="004D0DAA" w14:paraId="5DAF444F" w14:textId="77777777" w:rsidTr="00AA2A4C">
        <w:tblPrEx>
          <w:tblCellMar>
            <w:top w:w="0" w:type="dxa"/>
            <w:bottom w:w="0" w:type="dxa"/>
          </w:tblCellMar>
        </w:tblPrEx>
        <w:trPr>
          <w:cantSplit/>
          <w:jc w:val="center"/>
        </w:trPr>
        <w:tc>
          <w:tcPr>
            <w:tcW w:w="4606" w:type="dxa"/>
            <w:gridSpan w:val="9"/>
          </w:tcPr>
          <w:p w14:paraId="6A94C47B" w14:textId="77777777" w:rsidR="00711444" w:rsidRPr="004D0DAA" w:rsidRDefault="00711444" w:rsidP="00AA2A4C">
            <w:pPr>
              <w:pStyle w:val="TAC"/>
              <w:rPr>
                <w:lang w:eastAsia="en-US"/>
              </w:rPr>
            </w:pPr>
            <w:r w:rsidRPr="004D0DAA">
              <w:rPr>
                <w:lang w:eastAsia="en-US"/>
              </w:rPr>
              <w:t>Bit</w:t>
            </w:r>
          </w:p>
        </w:tc>
        <w:tc>
          <w:tcPr>
            <w:tcW w:w="1134" w:type="dxa"/>
          </w:tcPr>
          <w:p w14:paraId="68429732" w14:textId="77777777" w:rsidR="00711444" w:rsidRPr="004D0DAA" w:rsidRDefault="00711444" w:rsidP="00AA2A4C">
            <w:pPr>
              <w:pStyle w:val="TAC"/>
              <w:rPr>
                <w:lang w:eastAsia="en-US"/>
              </w:rPr>
            </w:pPr>
          </w:p>
        </w:tc>
      </w:tr>
      <w:tr w:rsidR="00711444" w:rsidRPr="004D0DAA" w14:paraId="268074C9" w14:textId="77777777" w:rsidTr="00AA2A4C">
        <w:tblPrEx>
          <w:tblCellMar>
            <w:top w:w="0" w:type="dxa"/>
            <w:bottom w:w="0" w:type="dxa"/>
          </w:tblCellMar>
        </w:tblPrEx>
        <w:trPr>
          <w:cantSplit/>
          <w:jc w:val="center"/>
        </w:trPr>
        <w:tc>
          <w:tcPr>
            <w:tcW w:w="585" w:type="dxa"/>
            <w:gridSpan w:val="2"/>
            <w:tcBorders>
              <w:bottom w:val="single" w:sz="6" w:space="0" w:color="auto"/>
            </w:tcBorders>
          </w:tcPr>
          <w:p w14:paraId="27DC812A" w14:textId="77777777" w:rsidR="00711444" w:rsidRPr="004D0DAA" w:rsidRDefault="00711444" w:rsidP="00AA2A4C">
            <w:pPr>
              <w:pStyle w:val="TAC"/>
              <w:rPr>
                <w:lang w:eastAsia="en-US"/>
              </w:rPr>
            </w:pPr>
            <w:r w:rsidRPr="004D0DAA">
              <w:rPr>
                <w:lang w:eastAsia="en-US"/>
              </w:rPr>
              <w:t>8</w:t>
            </w:r>
          </w:p>
        </w:tc>
        <w:tc>
          <w:tcPr>
            <w:tcW w:w="567" w:type="dxa"/>
            <w:tcBorders>
              <w:bottom w:val="single" w:sz="6" w:space="0" w:color="auto"/>
            </w:tcBorders>
          </w:tcPr>
          <w:p w14:paraId="5153E267" w14:textId="77777777" w:rsidR="00711444" w:rsidRPr="004D0DAA" w:rsidRDefault="00711444" w:rsidP="00AA2A4C">
            <w:pPr>
              <w:pStyle w:val="TAC"/>
              <w:rPr>
                <w:lang w:eastAsia="en-US"/>
              </w:rPr>
            </w:pPr>
            <w:r w:rsidRPr="004D0DAA">
              <w:rPr>
                <w:lang w:eastAsia="en-US"/>
              </w:rPr>
              <w:t>7</w:t>
            </w:r>
          </w:p>
        </w:tc>
        <w:tc>
          <w:tcPr>
            <w:tcW w:w="576" w:type="dxa"/>
            <w:tcBorders>
              <w:bottom w:val="single" w:sz="6" w:space="0" w:color="auto"/>
            </w:tcBorders>
          </w:tcPr>
          <w:p w14:paraId="1A216176" w14:textId="77777777" w:rsidR="00711444" w:rsidRPr="004D0DAA" w:rsidRDefault="00711444" w:rsidP="00AA2A4C">
            <w:pPr>
              <w:pStyle w:val="TAC"/>
              <w:rPr>
                <w:lang w:eastAsia="en-US"/>
              </w:rPr>
            </w:pPr>
            <w:r w:rsidRPr="004D0DAA">
              <w:rPr>
                <w:lang w:eastAsia="en-US"/>
              </w:rPr>
              <w:t>6</w:t>
            </w:r>
          </w:p>
        </w:tc>
        <w:tc>
          <w:tcPr>
            <w:tcW w:w="576" w:type="dxa"/>
            <w:tcBorders>
              <w:bottom w:val="single" w:sz="6" w:space="0" w:color="auto"/>
            </w:tcBorders>
          </w:tcPr>
          <w:p w14:paraId="0DA4AFC1" w14:textId="77777777" w:rsidR="00711444" w:rsidRPr="004D0DAA" w:rsidRDefault="00711444" w:rsidP="00AA2A4C">
            <w:pPr>
              <w:pStyle w:val="TAC"/>
              <w:rPr>
                <w:lang w:eastAsia="en-US"/>
              </w:rPr>
            </w:pPr>
            <w:r w:rsidRPr="004D0DAA">
              <w:rPr>
                <w:lang w:eastAsia="en-US"/>
              </w:rPr>
              <w:t>5</w:t>
            </w:r>
          </w:p>
        </w:tc>
        <w:tc>
          <w:tcPr>
            <w:tcW w:w="575" w:type="dxa"/>
            <w:tcBorders>
              <w:bottom w:val="single" w:sz="6" w:space="0" w:color="auto"/>
            </w:tcBorders>
          </w:tcPr>
          <w:p w14:paraId="01F74853" w14:textId="77777777" w:rsidR="00711444" w:rsidRPr="004D0DAA" w:rsidRDefault="00711444" w:rsidP="00AA2A4C">
            <w:pPr>
              <w:pStyle w:val="TAC"/>
              <w:rPr>
                <w:lang w:eastAsia="en-US"/>
              </w:rPr>
            </w:pPr>
            <w:r w:rsidRPr="004D0DAA">
              <w:rPr>
                <w:lang w:eastAsia="en-US"/>
              </w:rPr>
              <w:t>4</w:t>
            </w:r>
          </w:p>
        </w:tc>
        <w:tc>
          <w:tcPr>
            <w:tcW w:w="575" w:type="dxa"/>
            <w:tcBorders>
              <w:bottom w:val="single" w:sz="6" w:space="0" w:color="auto"/>
            </w:tcBorders>
          </w:tcPr>
          <w:p w14:paraId="069E3707" w14:textId="77777777" w:rsidR="00711444" w:rsidRPr="004D0DAA" w:rsidRDefault="00711444" w:rsidP="00AA2A4C">
            <w:pPr>
              <w:pStyle w:val="TAC"/>
              <w:rPr>
                <w:lang w:eastAsia="en-US"/>
              </w:rPr>
            </w:pPr>
            <w:r w:rsidRPr="004D0DAA">
              <w:rPr>
                <w:lang w:eastAsia="en-US"/>
              </w:rPr>
              <w:t>3</w:t>
            </w:r>
          </w:p>
        </w:tc>
        <w:tc>
          <w:tcPr>
            <w:tcW w:w="550" w:type="dxa"/>
            <w:tcBorders>
              <w:bottom w:val="single" w:sz="6" w:space="0" w:color="auto"/>
            </w:tcBorders>
          </w:tcPr>
          <w:p w14:paraId="7EB1B4B9" w14:textId="77777777" w:rsidR="00711444" w:rsidRPr="004D0DAA" w:rsidRDefault="00711444" w:rsidP="00AA2A4C">
            <w:pPr>
              <w:pStyle w:val="TAC"/>
              <w:rPr>
                <w:lang w:eastAsia="en-US"/>
              </w:rPr>
            </w:pPr>
            <w:r w:rsidRPr="004D0DAA">
              <w:rPr>
                <w:lang w:eastAsia="en-US"/>
              </w:rPr>
              <w:t>2</w:t>
            </w:r>
          </w:p>
        </w:tc>
        <w:tc>
          <w:tcPr>
            <w:tcW w:w="602" w:type="dxa"/>
            <w:tcBorders>
              <w:bottom w:val="single" w:sz="6" w:space="0" w:color="auto"/>
            </w:tcBorders>
          </w:tcPr>
          <w:p w14:paraId="026F2259" w14:textId="77777777" w:rsidR="00711444" w:rsidRPr="004D0DAA" w:rsidRDefault="00711444" w:rsidP="00AA2A4C">
            <w:pPr>
              <w:pStyle w:val="TAC"/>
              <w:rPr>
                <w:lang w:eastAsia="en-US"/>
              </w:rPr>
            </w:pPr>
            <w:r w:rsidRPr="004D0DAA">
              <w:rPr>
                <w:lang w:eastAsia="en-US"/>
              </w:rPr>
              <w:t>1</w:t>
            </w:r>
          </w:p>
        </w:tc>
        <w:tc>
          <w:tcPr>
            <w:tcW w:w="1134" w:type="dxa"/>
          </w:tcPr>
          <w:p w14:paraId="7C857257" w14:textId="77777777" w:rsidR="00711444" w:rsidRPr="004D0DAA" w:rsidRDefault="00711444" w:rsidP="00AA2A4C">
            <w:pPr>
              <w:pStyle w:val="TAC"/>
              <w:rPr>
                <w:lang w:eastAsia="en-US"/>
              </w:rPr>
            </w:pPr>
            <w:r w:rsidRPr="004D0DAA">
              <w:rPr>
                <w:lang w:eastAsia="en-US"/>
              </w:rPr>
              <w:t>Octet</w:t>
            </w:r>
          </w:p>
        </w:tc>
      </w:tr>
      <w:tr w:rsidR="00711444" w:rsidRPr="004D0DAA" w14:paraId="705DAF9A" w14:textId="77777777" w:rsidTr="00AA2A4C">
        <w:tblPrEx>
          <w:tblCellMar>
            <w:top w:w="0" w:type="dxa"/>
            <w:bottom w:w="0" w:type="dxa"/>
          </w:tblCellMar>
        </w:tblPrEx>
        <w:trPr>
          <w:cantSplit/>
          <w:jc w:val="center"/>
        </w:trPr>
        <w:tc>
          <w:tcPr>
            <w:tcW w:w="4606" w:type="dxa"/>
            <w:gridSpan w:val="9"/>
            <w:tcBorders>
              <w:top w:val="single" w:sz="6" w:space="0" w:color="auto"/>
              <w:left w:val="single" w:sz="6" w:space="0" w:color="auto"/>
              <w:bottom w:val="single" w:sz="6" w:space="0" w:color="auto"/>
              <w:right w:val="single" w:sz="6" w:space="0" w:color="auto"/>
            </w:tcBorders>
          </w:tcPr>
          <w:p w14:paraId="290D1345" w14:textId="77777777" w:rsidR="00711444" w:rsidRPr="004D0DAA" w:rsidRDefault="00711444" w:rsidP="00AA2A4C">
            <w:pPr>
              <w:pStyle w:val="TAC"/>
              <w:rPr>
                <w:lang w:eastAsia="en-US"/>
              </w:rPr>
            </w:pPr>
            <w:r w:rsidRPr="004D0DAA">
              <w:rPr>
                <w:lang w:eastAsia="en-US"/>
              </w:rPr>
              <w:t xml:space="preserve">Reported bitmap </w:t>
            </w:r>
          </w:p>
        </w:tc>
        <w:tc>
          <w:tcPr>
            <w:tcW w:w="1134" w:type="dxa"/>
            <w:tcBorders>
              <w:left w:val="single" w:sz="6" w:space="0" w:color="auto"/>
            </w:tcBorders>
          </w:tcPr>
          <w:p w14:paraId="75A90625" w14:textId="77777777" w:rsidR="00711444" w:rsidRPr="004D0DAA" w:rsidRDefault="00711444" w:rsidP="00AA2A4C">
            <w:pPr>
              <w:pStyle w:val="TAC"/>
              <w:rPr>
                <w:lang w:eastAsia="en-US"/>
              </w:rPr>
            </w:pPr>
            <w:r w:rsidRPr="004D0DAA">
              <w:rPr>
                <w:lang w:eastAsia="en-US"/>
              </w:rPr>
              <w:t>1</w:t>
            </w:r>
          </w:p>
        </w:tc>
      </w:tr>
      <w:tr w:rsidR="00711444" w:rsidRPr="004D0DAA" w14:paraId="3461126A" w14:textId="77777777" w:rsidTr="00AA2A4C">
        <w:tblPrEx>
          <w:tblCellMar>
            <w:top w:w="0" w:type="dxa"/>
            <w:bottom w:w="0" w:type="dxa"/>
          </w:tblCellMar>
        </w:tblPrEx>
        <w:trPr>
          <w:cantSplit/>
          <w:jc w:val="center"/>
        </w:trPr>
        <w:tc>
          <w:tcPr>
            <w:tcW w:w="4606" w:type="dxa"/>
            <w:gridSpan w:val="9"/>
            <w:tcBorders>
              <w:top w:val="single" w:sz="6" w:space="0" w:color="auto"/>
              <w:left w:val="single" w:sz="6" w:space="0" w:color="auto"/>
              <w:bottom w:val="single" w:sz="6" w:space="0" w:color="auto"/>
              <w:right w:val="single" w:sz="6" w:space="0" w:color="auto"/>
            </w:tcBorders>
          </w:tcPr>
          <w:p w14:paraId="55269204" w14:textId="77777777" w:rsidR="00711444" w:rsidRPr="004D0DAA" w:rsidRDefault="00711444" w:rsidP="00AA2A4C">
            <w:pPr>
              <w:pStyle w:val="TAC"/>
              <w:rPr>
                <w:lang w:eastAsia="en-US"/>
              </w:rPr>
            </w:pPr>
            <w:r w:rsidRPr="004D0DAA">
              <w:rPr>
                <w:lang w:eastAsia="en-US"/>
              </w:rPr>
              <w:t>Reported bitmap (continued)</w:t>
            </w:r>
          </w:p>
        </w:tc>
        <w:tc>
          <w:tcPr>
            <w:tcW w:w="1134" w:type="dxa"/>
            <w:tcBorders>
              <w:left w:val="single" w:sz="6" w:space="0" w:color="auto"/>
            </w:tcBorders>
          </w:tcPr>
          <w:p w14:paraId="43BC9305" w14:textId="77777777" w:rsidR="00711444" w:rsidRPr="004D0DAA" w:rsidRDefault="00711444" w:rsidP="00AA2A4C">
            <w:pPr>
              <w:pStyle w:val="TAC"/>
              <w:rPr>
                <w:lang w:eastAsia="en-US"/>
              </w:rPr>
            </w:pPr>
            <w:r w:rsidRPr="004D0DAA">
              <w:rPr>
                <w:lang w:eastAsia="en-US"/>
              </w:rPr>
              <w:t>2</w:t>
            </w:r>
          </w:p>
        </w:tc>
      </w:tr>
      <w:tr w:rsidR="00711444" w:rsidRPr="004D0DAA" w14:paraId="51E87A2A" w14:textId="77777777" w:rsidTr="00AA2A4C">
        <w:tblPrEx>
          <w:tblCellMar>
            <w:top w:w="0" w:type="dxa"/>
            <w:bottom w:w="0" w:type="dxa"/>
          </w:tblCellMar>
        </w:tblPrEx>
        <w:trPr>
          <w:cantSplit/>
          <w:jc w:val="center"/>
        </w:trPr>
        <w:tc>
          <w:tcPr>
            <w:tcW w:w="576" w:type="dxa"/>
            <w:tcBorders>
              <w:top w:val="single" w:sz="4" w:space="0" w:color="auto"/>
              <w:left w:val="single" w:sz="4" w:space="0" w:color="auto"/>
              <w:bottom w:val="single" w:sz="4" w:space="0" w:color="auto"/>
              <w:right w:val="single" w:sz="4" w:space="0" w:color="auto"/>
            </w:tcBorders>
          </w:tcPr>
          <w:p w14:paraId="0B0C400E" w14:textId="77777777" w:rsidR="00711444" w:rsidRPr="004D0DAA" w:rsidRDefault="00711444" w:rsidP="00AA2A4C">
            <w:pPr>
              <w:pStyle w:val="TAC"/>
              <w:rPr>
                <w:lang w:eastAsia="en-US"/>
              </w:rPr>
            </w:pPr>
            <w:r w:rsidRPr="004D0DAA">
              <w:rPr>
                <w:lang w:eastAsia="en-US"/>
              </w:rPr>
              <w:t>0</w:t>
            </w:r>
          </w:p>
        </w:tc>
        <w:tc>
          <w:tcPr>
            <w:tcW w:w="576" w:type="dxa"/>
            <w:gridSpan w:val="2"/>
            <w:tcBorders>
              <w:top w:val="single" w:sz="4" w:space="0" w:color="auto"/>
              <w:left w:val="single" w:sz="4" w:space="0" w:color="auto"/>
              <w:bottom w:val="single" w:sz="4" w:space="0" w:color="auto"/>
              <w:right w:val="single" w:sz="4" w:space="0" w:color="auto"/>
            </w:tcBorders>
          </w:tcPr>
          <w:p w14:paraId="700220DD" w14:textId="77777777" w:rsidR="00711444" w:rsidRPr="004D0DAA" w:rsidRDefault="00711444" w:rsidP="00AA2A4C">
            <w:pPr>
              <w:pStyle w:val="TAC"/>
              <w:rPr>
                <w:lang w:eastAsia="en-US"/>
              </w:rPr>
            </w:pPr>
            <w:r w:rsidRPr="004D0DAA">
              <w:rPr>
                <w:lang w:eastAsia="en-US"/>
              </w:rPr>
              <w:t>0</w:t>
            </w:r>
          </w:p>
        </w:tc>
        <w:tc>
          <w:tcPr>
            <w:tcW w:w="576" w:type="dxa"/>
            <w:tcBorders>
              <w:top w:val="single" w:sz="4" w:space="0" w:color="auto"/>
              <w:left w:val="single" w:sz="4" w:space="0" w:color="auto"/>
              <w:bottom w:val="single" w:sz="4" w:space="0" w:color="auto"/>
              <w:right w:val="single" w:sz="4" w:space="0" w:color="auto"/>
            </w:tcBorders>
          </w:tcPr>
          <w:p w14:paraId="1CB3BEF1" w14:textId="77777777" w:rsidR="00711444" w:rsidRPr="004D0DAA" w:rsidRDefault="00711444" w:rsidP="00AA2A4C">
            <w:pPr>
              <w:pStyle w:val="TAC"/>
              <w:rPr>
                <w:lang w:eastAsia="en-US"/>
              </w:rPr>
            </w:pPr>
            <w:r w:rsidRPr="004D0DAA">
              <w:rPr>
                <w:lang w:eastAsia="en-US"/>
              </w:rPr>
              <w:t>0</w:t>
            </w:r>
          </w:p>
        </w:tc>
        <w:tc>
          <w:tcPr>
            <w:tcW w:w="576" w:type="dxa"/>
            <w:tcBorders>
              <w:top w:val="single" w:sz="4" w:space="0" w:color="auto"/>
              <w:left w:val="single" w:sz="4" w:space="0" w:color="auto"/>
              <w:bottom w:val="single" w:sz="4" w:space="0" w:color="auto"/>
              <w:right w:val="single" w:sz="4" w:space="0" w:color="auto"/>
            </w:tcBorders>
          </w:tcPr>
          <w:p w14:paraId="36B0D262" w14:textId="77777777" w:rsidR="00711444" w:rsidRPr="004D0DAA" w:rsidRDefault="00711444" w:rsidP="00AA2A4C">
            <w:pPr>
              <w:pStyle w:val="TAC"/>
              <w:rPr>
                <w:lang w:eastAsia="en-US"/>
              </w:rPr>
            </w:pPr>
            <w:r w:rsidRPr="004D0DAA">
              <w:rPr>
                <w:lang w:eastAsia="en-US"/>
              </w:rPr>
              <w:t>0</w:t>
            </w:r>
          </w:p>
        </w:tc>
        <w:tc>
          <w:tcPr>
            <w:tcW w:w="2302" w:type="dxa"/>
            <w:gridSpan w:val="4"/>
            <w:tcBorders>
              <w:top w:val="single" w:sz="6" w:space="0" w:color="auto"/>
              <w:left w:val="single" w:sz="4" w:space="0" w:color="auto"/>
              <w:bottom w:val="single" w:sz="6" w:space="0" w:color="auto"/>
              <w:right w:val="single" w:sz="6" w:space="0" w:color="auto"/>
            </w:tcBorders>
          </w:tcPr>
          <w:p w14:paraId="3883C13C" w14:textId="77777777" w:rsidR="00711444" w:rsidRPr="004D0DAA" w:rsidRDefault="00711444" w:rsidP="00AA2A4C">
            <w:pPr>
              <w:pStyle w:val="TAC"/>
              <w:rPr>
                <w:lang w:eastAsia="en-US"/>
              </w:rPr>
            </w:pPr>
            <w:r w:rsidRPr="004D0DAA">
              <w:rPr>
                <w:lang w:eastAsia="en-US"/>
              </w:rPr>
              <w:t>Reported bitmap (cont)</w:t>
            </w:r>
          </w:p>
        </w:tc>
        <w:tc>
          <w:tcPr>
            <w:tcW w:w="1134" w:type="dxa"/>
            <w:tcBorders>
              <w:left w:val="single" w:sz="6" w:space="0" w:color="auto"/>
            </w:tcBorders>
          </w:tcPr>
          <w:p w14:paraId="3198E726" w14:textId="77777777" w:rsidR="00711444" w:rsidRPr="004D0DAA" w:rsidRDefault="00711444" w:rsidP="00AA2A4C">
            <w:pPr>
              <w:pStyle w:val="TAC"/>
              <w:rPr>
                <w:lang w:eastAsia="en-US"/>
              </w:rPr>
            </w:pPr>
            <w:r w:rsidRPr="004D0DAA">
              <w:rPr>
                <w:lang w:eastAsia="en-US"/>
              </w:rPr>
              <w:t>3</w:t>
            </w:r>
          </w:p>
        </w:tc>
      </w:tr>
      <w:tr w:rsidR="00711444" w:rsidRPr="004D0DAA" w14:paraId="5D8118BF" w14:textId="77777777" w:rsidTr="00AA2A4C">
        <w:tblPrEx>
          <w:tblCellMar>
            <w:top w:w="0" w:type="dxa"/>
            <w:bottom w:w="0" w:type="dxa"/>
          </w:tblCellMar>
        </w:tblPrEx>
        <w:trPr>
          <w:cantSplit/>
          <w:jc w:val="center"/>
        </w:trPr>
        <w:tc>
          <w:tcPr>
            <w:tcW w:w="4004" w:type="dxa"/>
            <w:gridSpan w:val="8"/>
            <w:tcBorders>
              <w:top w:val="single" w:sz="6" w:space="0" w:color="auto"/>
              <w:right w:val="single" w:sz="6" w:space="0" w:color="auto"/>
            </w:tcBorders>
          </w:tcPr>
          <w:p w14:paraId="5EA38389" w14:textId="77777777" w:rsidR="00711444" w:rsidRPr="004D0DAA" w:rsidRDefault="00711444" w:rsidP="00AA2A4C"/>
        </w:tc>
        <w:tc>
          <w:tcPr>
            <w:tcW w:w="602" w:type="dxa"/>
            <w:tcBorders>
              <w:top w:val="single" w:sz="6" w:space="0" w:color="auto"/>
              <w:left w:val="single" w:sz="6" w:space="0" w:color="auto"/>
              <w:bottom w:val="single" w:sz="6" w:space="0" w:color="auto"/>
              <w:right w:val="single" w:sz="6" w:space="0" w:color="auto"/>
            </w:tcBorders>
          </w:tcPr>
          <w:p w14:paraId="41F9F649" w14:textId="77777777" w:rsidR="00711444" w:rsidRPr="004D0DAA" w:rsidRDefault="00711444" w:rsidP="00AA2A4C">
            <w:pPr>
              <w:pStyle w:val="TAC"/>
              <w:rPr>
                <w:lang w:eastAsia="en-US"/>
              </w:rPr>
            </w:pPr>
            <w:r w:rsidRPr="004D0DAA">
              <w:rPr>
                <w:lang w:eastAsia="en-US"/>
              </w:rPr>
              <w:t>0</w:t>
            </w:r>
          </w:p>
        </w:tc>
        <w:tc>
          <w:tcPr>
            <w:tcW w:w="1134" w:type="dxa"/>
            <w:tcBorders>
              <w:left w:val="single" w:sz="6" w:space="0" w:color="auto"/>
            </w:tcBorders>
          </w:tcPr>
          <w:p w14:paraId="2D6A2E5B" w14:textId="77777777" w:rsidR="00711444" w:rsidRPr="004D0DAA" w:rsidRDefault="00711444" w:rsidP="00AA2A4C">
            <w:pPr>
              <w:pStyle w:val="TAC"/>
              <w:rPr>
                <w:lang w:eastAsia="en-US"/>
              </w:rPr>
            </w:pPr>
            <w:r w:rsidRPr="004D0DAA">
              <w:rPr>
                <w:lang w:eastAsia="en-US"/>
              </w:rPr>
              <w:t>4</w:t>
            </w:r>
          </w:p>
        </w:tc>
      </w:tr>
    </w:tbl>
    <w:p w14:paraId="3C9F405D" w14:textId="77777777" w:rsidR="00711444" w:rsidRPr="004D0DAA" w:rsidRDefault="00711444" w:rsidP="00711444">
      <w:pPr>
        <w:pStyle w:val="NF"/>
      </w:pPr>
    </w:p>
    <w:p w14:paraId="4474F59E" w14:textId="77777777" w:rsidR="00711444" w:rsidRPr="004D0DAA" w:rsidRDefault="00711444" w:rsidP="00711444">
      <w:pPr>
        <w:pStyle w:val="TF"/>
        <w:rPr>
          <w:b w:val="0"/>
        </w:rPr>
      </w:pPr>
      <w:r w:rsidRPr="004D0DAA">
        <w:t>Figure 10.3a.6.1: Piggy-backed Ack/Nack field (Time-based)</w:t>
      </w:r>
    </w:p>
    <w:p w14:paraId="55FF9353" w14:textId="77777777" w:rsidR="00711444" w:rsidRPr="004D0DAA" w:rsidRDefault="00711444" w:rsidP="00711444">
      <w:pPr>
        <w:pStyle w:val="Heading2"/>
      </w:pPr>
      <w:bookmarkStart w:id="546" w:name="_Toc516669726"/>
      <w:r w:rsidRPr="004D0DAA">
        <w:t>10.4</w:t>
      </w:r>
      <w:r w:rsidRPr="004D0DAA">
        <w:tab/>
        <w:t>Header fields</w:t>
      </w:r>
      <w:bookmarkEnd w:id="546"/>
    </w:p>
    <w:p w14:paraId="48C3CAB1" w14:textId="77777777" w:rsidR="00711444" w:rsidRPr="004D0DAA" w:rsidRDefault="00711444" w:rsidP="00711444">
      <w:pPr>
        <w:pStyle w:val="Heading3"/>
      </w:pPr>
      <w:bookmarkStart w:id="547" w:name="_Toc516669727"/>
      <w:r w:rsidRPr="004D0DAA">
        <w:t>10.4.1</w:t>
      </w:r>
      <w:r w:rsidRPr="004D0DAA">
        <w:tab/>
        <w:t>Uplink state flag (USF) field</w:t>
      </w:r>
      <w:bookmarkEnd w:id="547"/>
    </w:p>
    <w:p w14:paraId="1A43C597" w14:textId="77777777" w:rsidR="00711444" w:rsidRPr="004D0DAA" w:rsidRDefault="00711444" w:rsidP="00711444">
      <w:r w:rsidRPr="004D0DAA">
        <w:t>The USF field is sent in all downlink RLC/MAC blocks and indicates the owner or use of the next uplink radio block on the same timeslot (see 3GPP TS 45.002). The USF field is three bits in length and eight different USF values can be assigned, except on PCCCH, where the value '111' (USF=FREE) indicates that the corresponding uplink radio block contains PRACH.</w:t>
      </w:r>
    </w:p>
    <w:p w14:paraId="34FFEACD" w14:textId="77777777" w:rsidR="00711444" w:rsidRPr="004D0DAA" w:rsidRDefault="00711444" w:rsidP="00711444">
      <w:pPr>
        <w:pStyle w:val="Heading3"/>
      </w:pPr>
      <w:bookmarkStart w:id="548" w:name="_Toc516669728"/>
      <w:r w:rsidRPr="004D0DAA">
        <w:lastRenderedPageBreak/>
        <w:t>10.4.2</w:t>
      </w:r>
      <w:r w:rsidRPr="004D0DAA">
        <w:tab/>
        <w:t>Retry (R) bit</w:t>
      </w:r>
      <w:bookmarkEnd w:id="548"/>
    </w:p>
    <w:p w14:paraId="58DF961C" w14:textId="77777777" w:rsidR="00711444" w:rsidRPr="004D0DAA" w:rsidRDefault="00711444" w:rsidP="00711444">
      <w:pPr>
        <w:keepNext/>
        <w:keepLines/>
      </w:pPr>
      <w:r w:rsidRPr="004D0DAA">
        <w:t>The Retry (R) bit shall indicate whether the mobile station transmitted the CHANNEL REQUEST message (see 3GPP TS 44.018), PACKET CHANNEL REQUEST message, EGPRS PACKET CHANNEL REQUEST message or MPRACH PACKET CHANNEL REQUEST message one time or more than one time during its most recent channel access. The mobile station shall send the same value for the R bit in each uplink RLC/MAC block of the TBF.</w:t>
      </w:r>
    </w:p>
    <w:p w14:paraId="148E8FA2" w14:textId="77777777" w:rsidR="00711444" w:rsidRPr="004D0DAA" w:rsidRDefault="00711444" w:rsidP="00711444">
      <w:pPr>
        <w:pStyle w:val="TH"/>
      </w:pPr>
      <w:r w:rsidRPr="004D0DAA">
        <w:t>Table 10.4.2.1: Retry (R)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749CC4DD" w14:textId="77777777" w:rsidTr="00AA2A4C">
        <w:tblPrEx>
          <w:tblCellMar>
            <w:top w:w="0" w:type="dxa"/>
            <w:bottom w:w="0" w:type="dxa"/>
          </w:tblCellMar>
        </w:tblPrEx>
        <w:trPr>
          <w:cantSplit/>
          <w:jc w:val="center"/>
        </w:trPr>
        <w:tc>
          <w:tcPr>
            <w:tcW w:w="794" w:type="dxa"/>
          </w:tcPr>
          <w:p w14:paraId="3C28FD10" w14:textId="77777777" w:rsidR="00711444" w:rsidRPr="004D0DAA" w:rsidRDefault="00711444" w:rsidP="00AA2A4C">
            <w:pPr>
              <w:pStyle w:val="TAH"/>
              <w:rPr>
                <w:lang w:eastAsia="en-US"/>
              </w:rPr>
            </w:pPr>
            <w:r w:rsidRPr="004D0DAA">
              <w:rPr>
                <w:lang w:eastAsia="en-US"/>
              </w:rPr>
              <w:t>bit 1</w:t>
            </w:r>
          </w:p>
        </w:tc>
        <w:tc>
          <w:tcPr>
            <w:tcW w:w="4536" w:type="dxa"/>
          </w:tcPr>
          <w:p w14:paraId="0B812608" w14:textId="77777777" w:rsidR="00711444" w:rsidRPr="004D0DAA" w:rsidRDefault="00711444" w:rsidP="00AA2A4C">
            <w:pPr>
              <w:pStyle w:val="TAH"/>
              <w:rPr>
                <w:lang w:eastAsia="en-US"/>
              </w:rPr>
            </w:pPr>
            <w:r w:rsidRPr="004D0DAA">
              <w:rPr>
                <w:lang w:eastAsia="en-US"/>
              </w:rPr>
              <w:t>Retry (R) bit</w:t>
            </w:r>
          </w:p>
        </w:tc>
      </w:tr>
      <w:tr w:rsidR="00711444" w:rsidRPr="004D0DAA" w14:paraId="2489FDDE" w14:textId="77777777" w:rsidTr="00AA2A4C">
        <w:tblPrEx>
          <w:tblCellMar>
            <w:top w:w="0" w:type="dxa"/>
            <w:bottom w:w="0" w:type="dxa"/>
          </w:tblCellMar>
        </w:tblPrEx>
        <w:trPr>
          <w:cantSplit/>
          <w:jc w:val="center"/>
        </w:trPr>
        <w:tc>
          <w:tcPr>
            <w:tcW w:w="794" w:type="dxa"/>
          </w:tcPr>
          <w:p w14:paraId="3D3948D2" w14:textId="77777777" w:rsidR="00711444" w:rsidRPr="004D0DAA" w:rsidRDefault="00711444" w:rsidP="00AA2A4C">
            <w:pPr>
              <w:pStyle w:val="TAC"/>
              <w:rPr>
                <w:lang w:eastAsia="en-US"/>
              </w:rPr>
            </w:pPr>
            <w:r w:rsidRPr="004D0DAA">
              <w:rPr>
                <w:lang w:eastAsia="en-US"/>
              </w:rPr>
              <w:t>0</w:t>
            </w:r>
          </w:p>
        </w:tc>
        <w:tc>
          <w:tcPr>
            <w:tcW w:w="4536" w:type="dxa"/>
          </w:tcPr>
          <w:p w14:paraId="59AB87EA" w14:textId="77777777" w:rsidR="00711444" w:rsidRPr="004D0DAA" w:rsidRDefault="00711444" w:rsidP="00AA2A4C">
            <w:pPr>
              <w:pStyle w:val="TAL"/>
              <w:rPr>
                <w:lang w:eastAsia="en-US"/>
              </w:rPr>
            </w:pPr>
            <w:r w:rsidRPr="004D0DAA">
              <w:rPr>
                <w:lang w:eastAsia="en-US"/>
              </w:rPr>
              <w:t>MS sent channel request message once</w:t>
            </w:r>
          </w:p>
        </w:tc>
      </w:tr>
      <w:tr w:rsidR="00711444" w:rsidRPr="004D0DAA" w14:paraId="03B1168A" w14:textId="77777777" w:rsidTr="00AA2A4C">
        <w:tblPrEx>
          <w:tblCellMar>
            <w:top w:w="0" w:type="dxa"/>
            <w:bottom w:w="0" w:type="dxa"/>
          </w:tblCellMar>
        </w:tblPrEx>
        <w:trPr>
          <w:cantSplit/>
          <w:jc w:val="center"/>
        </w:trPr>
        <w:tc>
          <w:tcPr>
            <w:tcW w:w="794" w:type="dxa"/>
          </w:tcPr>
          <w:p w14:paraId="5CDCE9AA" w14:textId="77777777" w:rsidR="00711444" w:rsidRPr="004D0DAA" w:rsidRDefault="00711444" w:rsidP="00AA2A4C">
            <w:pPr>
              <w:pStyle w:val="TAC"/>
              <w:rPr>
                <w:lang w:eastAsia="en-US"/>
              </w:rPr>
            </w:pPr>
            <w:r w:rsidRPr="004D0DAA">
              <w:rPr>
                <w:lang w:eastAsia="en-US"/>
              </w:rPr>
              <w:t>1</w:t>
            </w:r>
          </w:p>
        </w:tc>
        <w:tc>
          <w:tcPr>
            <w:tcW w:w="4536" w:type="dxa"/>
          </w:tcPr>
          <w:p w14:paraId="21FD0B8E" w14:textId="77777777" w:rsidR="00711444" w:rsidRPr="004D0DAA" w:rsidRDefault="00711444" w:rsidP="00AA2A4C">
            <w:pPr>
              <w:pStyle w:val="TAL"/>
              <w:rPr>
                <w:lang w:eastAsia="en-US"/>
              </w:rPr>
            </w:pPr>
            <w:r w:rsidRPr="004D0DAA">
              <w:rPr>
                <w:lang w:eastAsia="en-US"/>
              </w:rPr>
              <w:t xml:space="preserve">MS sent channel request message twice or more </w:t>
            </w:r>
          </w:p>
        </w:tc>
      </w:tr>
    </w:tbl>
    <w:p w14:paraId="3BBA5857" w14:textId="77777777" w:rsidR="00711444" w:rsidRPr="004D0DAA" w:rsidRDefault="00711444" w:rsidP="00711444"/>
    <w:p w14:paraId="76DBE1E3" w14:textId="77777777" w:rsidR="00711444" w:rsidRPr="004D0DAA" w:rsidRDefault="00711444" w:rsidP="00711444">
      <w:pPr>
        <w:pStyle w:val="Heading3"/>
      </w:pPr>
      <w:bookmarkStart w:id="549" w:name="_Toc516669729"/>
      <w:r w:rsidRPr="004D0DAA">
        <w:t>10.4.3</w:t>
      </w:r>
      <w:r w:rsidRPr="004D0DAA">
        <w:tab/>
        <w:t>Stall indicator (SI) bit</w:t>
      </w:r>
      <w:bookmarkEnd w:id="549"/>
    </w:p>
    <w:p w14:paraId="6C75AAF6" w14:textId="77777777" w:rsidR="00711444" w:rsidRPr="004D0DAA" w:rsidRDefault="00711444" w:rsidP="00711444">
      <w:pPr>
        <w:keepNext/>
        <w:keepLines/>
      </w:pPr>
      <w:r w:rsidRPr="004D0DAA">
        <w:t>The Stall indicator (SI) bit indicates whether the mobile's RLC transmit window can advance (i.e. is not stalled) or can not advance (i.e. is stalled). The mobile station shall set the SI bit in all uplink RLC data blocks.</w:t>
      </w:r>
    </w:p>
    <w:p w14:paraId="792C95FA" w14:textId="77777777" w:rsidR="00711444" w:rsidRPr="004D0DAA" w:rsidRDefault="00711444" w:rsidP="00711444">
      <w:pPr>
        <w:pStyle w:val="TH"/>
      </w:pPr>
      <w:r w:rsidRPr="004D0DAA">
        <w:t>Table 10.4.3.1: Stall indicator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E5D5DC2" w14:textId="77777777" w:rsidTr="00AA2A4C">
        <w:trPr>
          <w:cantSplit/>
          <w:jc w:val="center"/>
        </w:trPr>
        <w:tc>
          <w:tcPr>
            <w:tcW w:w="794" w:type="dxa"/>
          </w:tcPr>
          <w:p w14:paraId="3E828657" w14:textId="77777777" w:rsidR="00711444" w:rsidRPr="004D0DAA" w:rsidRDefault="00711444" w:rsidP="00AA2A4C">
            <w:pPr>
              <w:pStyle w:val="TAH"/>
              <w:rPr>
                <w:lang w:eastAsia="en-US"/>
              </w:rPr>
            </w:pPr>
            <w:r w:rsidRPr="004D0DAA">
              <w:rPr>
                <w:lang w:eastAsia="en-US"/>
              </w:rPr>
              <w:t xml:space="preserve">bit </w:t>
            </w:r>
          </w:p>
          <w:p w14:paraId="30688E73" w14:textId="77777777" w:rsidR="00711444" w:rsidRPr="004D0DAA" w:rsidRDefault="00711444" w:rsidP="00AA2A4C">
            <w:pPr>
              <w:pStyle w:val="TAH"/>
              <w:rPr>
                <w:lang w:eastAsia="en-US"/>
              </w:rPr>
            </w:pPr>
            <w:r w:rsidRPr="004D0DAA">
              <w:rPr>
                <w:lang w:eastAsia="en-US"/>
              </w:rPr>
              <w:t>1</w:t>
            </w:r>
          </w:p>
        </w:tc>
        <w:tc>
          <w:tcPr>
            <w:tcW w:w="4536" w:type="dxa"/>
          </w:tcPr>
          <w:p w14:paraId="362D9943" w14:textId="77777777" w:rsidR="00711444" w:rsidRPr="004D0DAA" w:rsidRDefault="00711444" w:rsidP="00AA2A4C">
            <w:pPr>
              <w:pStyle w:val="TAH"/>
              <w:rPr>
                <w:lang w:eastAsia="en-US"/>
              </w:rPr>
            </w:pPr>
            <w:r w:rsidRPr="004D0DAA">
              <w:rPr>
                <w:lang w:eastAsia="en-US"/>
              </w:rPr>
              <w:t>Stall indicator</w:t>
            </w:r>
          </w:p>
        </w:tc>
      </w:tr>
      <w:tr w:rsidR="00711444" w:rsidRPr="004D0DAA" w14:paraId="767BDF48" w14:textId="77777777" w:rsidTr="00AA2A4C">
        <w:trPr>
          <w:cantSplit/>
          <w:jc w:val="center"/>
        </w:trPr>
        <w:tc>
          <w:tcPr>
            <w:tcW w:w="794" w:type="dxa"/>
          </w:tcPr>
          <w:p w14:paraId="2EE29AB8" w14:textId="77777777" w:rsidR="00711444" w:rsidRPr="004D0DAA" w:rsidRDefault="00711444" w:rsidP="00AA2A4C">
            <w:pPr>
              <w:pStyle w:val="TAC"/>
              <w:rPr>
                <w:lang w:eastAsia="en-US"/>
              </w:rPr>
            </w:pPr>
            <w:r w:rsidRPr="004D0DAA">
              <w:rPr>
                <w:lang w:eastAsia="en-US"/>
              </w:rPr>
              <w:t>0</w:t>
            </w:r>
          </w:p>
        </w:tc>
        <w:tc>
          <w:tcPr>
            <w:tcW w:w="4536" w:type="dxa"/>
          </w:tcPr>
          <w:p w14:paraId="46564402" w14:textId="77777777" w:rsidR="00711444" w:rsidRPr="004D0DAA" w:rsidRDefault="00711444" w:rsidP="00AA2A4C">
            <w:pPr>
              <w:pStyle w:val="TAL"/>
              <w:rPr>
                <w:lang w:eastAsia="en-US"/>
              </w:rPr>
            </w:pPr>
            <w:r w:rsidRPr="004D0DAA">
              <w:rPr>
                <w:lang w:eastAsia="en-US"/>
              </w:rPr>
              <w:t>MS RLC transmit window is not stalled</w:t>
            </w:r>
          </w:p>
        </w:tc>
      </w:tr>
      <w:tr w:rsidR="00711444" w:rsidRPr="004D0DAA" w14:paraId="2AA76514" w14:textId="77777777" w:rsidTr="00AA2A4C">
        <w:trPr>
          <w:cantSplit/>
          <w:jc w:val="center"/>
        </w:trPr>
        <w:tc>
          <w:tcPr>
            <w:tcW w:w="794" w:type="dxa"/>
          </w:tcPr>
          <w:p w14:paraId="0931D634" w14:textId="77777777" w:rsidR="00711444" w:rsidRPr="004D0DAA" w:rsidRDefault="00711444" w:rsidP="00AA2A4C">
            <w:pPr>
              <w:pStyle w:val="TAC"/>
              <w:rPr>
                <w:lang w:eastAsia="en-US"/>
              </w:rPr>
            </w:pPr>
            <w:r w:rsidRPr="004D0DAA">
              <w:rPr>
                <w:lang w:eastAsia="en-US"/>
              </w:rPr>
              <w:t>1</w:t>
            </w:r>
          </w:p>
        </w:tc>
        <w:tc>
          <w:tcPr>
            <w:tcW w:w="4536" w:type="dxa"/>
          </w:tcPr>
          <w:p w14:paraId="57F344E8" w14:textId="77777777" w:rsidR="00711444" w:rsidRPr="004D0DAA" w:rsidRDefault="00711444" w:rsidP="00AA2A4C">
            <w:pPr>
              <w:pStyle w:val="TAL"/>
              <w:rPr>
                <w:lang w:eastAsia="en-US"/>
              </w:rPr>
            </w:pPr>
            <w:r w:rsidRPr="004D0DAA">
              <w:rPr>
                <w:lang w:eastAsia="en-US"/>
              </w:rPr>
              <w:t>MS RLC transmit window is stalled</w:t>
            </w:r>
          </w:p>
        </w:tc>
      </w:tr>
      <w:tr w:rsidR="00711444" w:rsidRPr="004D0DAA" w14:paraId="368C908D" w14:textId="77777777" w:rsidTr="00AA2A4C">
        <w:trPr>
          <w:cantSplit/>
          <w:jc w:val="center"/>
        </w:trPr>
        <w:tc>
          <w:tcPr>
            <w:tcW w:w="5330" w:type="dxa"/>
            <w:gridSpan w:val="2"/>
          </w:tcPr>
          <w:p w14:paraId="72DD8036" w14:textId="77777777" w:rsidR="00711444" w:rsidRPr="004D0DAA" w:rsidRDefault="00711444" w:rsidP="00AA2A4C">
            <w:pPr>
              <w:pStyle w:val="TAL"/>
              <w:rPr>
                <w:lang w:eastAsia="en-US"/>
              </w:rPr>
            </w:pPr>
            <w:r w:rsidRPr="004D0DAA">
              <w:rPr>
                <w:lang w:eastAsia="en-US"/>
              </w:rPr>
              <w:t>NOTE 1:</w:t>
            </w:r>
            <w:r w:rsidRPr="004D0DAA">
              <w:rPr>
                <w:lang w:eastAsia="en-US"/>
              </w:rPr>
              <w:tab/>
              <w:t>The bit numbering is relative to the field position.</w:t>
            </w:r>
          </w:p>
        </w:tc>
      </w:tr>
    </w:tbl>
    <w:p w14:paraId="499251A8" w14:textId="77777777" w:rsidR="00711444" w:rsidRPr="004D0DAA" w:rsidRDefault="00711444" w:rsidP="00711444"/>
    <w:p w14:paraId="0D536B1B" w14:textId="77777777" w:rsidR="00711444" w:rsidRPr="004D0DAA" w:rsidRDefault="00711444" w:rsidP="00711444">
      <w:pPr>
        <w:pStyle w:val="Heading3"/>
      </w:pPr>
      <w:bookmarkStart w:id="550" w:name="_Toc516669730"/>
      <w:r w:rsidRPr="004D0DAA">
        <w:t>10.4.4</w:t>
      </w:r>
      <w:r w:rsidRPr="004D0DAA">
        <w:tab/>
        <w:t>Supplementary/Polling (S/P) Bit</w:t>
      </w:r>
      <w:bookmarkEnd w:id="550"/>
    </w:p>
    <w:p w14:paraId="5440B2D0" w14:textId="77777777" w:rsidR="00711444" w:rsidRPr="004D0DAA" w:rsidRDefault="00711444" w:rsidP="00711444">
      <w:r w:rsidRPr="004D0DAA">
        <w:t>The S/P bit is used to indicate whether the RRBP field is valid or not valid in downlink GPRS RLC data blocks and downlink RLC/MAC control blocks using the coding scheme of CS-1and in downlink EC-GSM-IoT RLC/MAC control blocks on EC-PACCH/D.</w:t>
      </w:r>
    </w:p>
    <w:p w14:paraId="5118C4C1" w14:textId="77777777" w:rsidR="00711444" w:rsidRPr="004D0DAA" w:rsidRDefault="00711444" w:rsidP="00711444">
      <w:pPr>
        <w:pStyle w:val="TH"/>
      </w:pPr>
      <w:r w:rsidRPr="004D0DAA">
        <w:t>Table 10.4.4.1: Supplementary/Polling (S/P) bit - GPRS case and RLC/MAC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468B6A66" w14:textId="77777777" w:rsidTr="00AA2A4C">
        <w:tblPrEx>
          <w:tblCellMar>
            <w:top w:w="0" w:type="dxa"/>
            <w:bottom w:w="0" w:type="dxa"/>
          </w:tblCellMar>
        </w:tblPrEx>
        <w:trPr>
          <w:cantSplit/>
          <w:jc w:val="center"/>
        </w:trPr>
        <w:tc>
          <w:tcPr>
            <w:tcW w:w="794" w:type="dxa"/>
          </w:tcPr>
          <w:p w14:paraId="3E410F3B" w14:textId="77777777" w:rsidR="00711444" w:rsidRPr="004D0DAA" w:rsidRDefault="00711444" w:rsidP="00AA2A4C">
            <w:pPr>
              <w:pStyle w:val="TAH"/>
              <w:rPr>
                <w:lang w:eastAsia="en-US"/>
              </w:rPr>
            </w:pPr>
            <w:r w:rsidRPr="004D0DAA">
              <w:rPr>
                <w:lang w:eastAsia="en-US"/>
              </w:rPr>
              <w:t>bit 4</w:t>
            </w:r>
          </w:p>
        </w:tc>
        <w:tc>
          <w:tcPr>
            <w:tcW w:w="4536" w:type="dxa"/>
          </w:tcPr>
          <w:p w14:paraId="60F23295" w14:textId="77777777" w:rsidR="00711444" w:rsidRPr="004D0DAA" w:rsidRDefault="00711444" w:rsidP="00AA2A4C">
            <w:pPr>
              <w:pStyle w:val="TAH"/>
              <w:rPr>
                <w:lang w:eastAsia="en-US"/>
              </w:rPr>
            </w:pPr>
            <w:r w:rsidRPr="004D0DAA">
              <w:rPr>
                <w:lang w:eastAsia="en-US"/>
              </w:rPr>
              <w:t>S/P</w:t>
            </w:r>
          </w:p>
        </w:tc>
      </w:tr>
      <w:tr w:rsidR="00711444" w:rsidRPr="004D0DAA" w14:paraId="605CC566" w14:textId="77777777" w:rsidTr="00AA2A4C">
        <w:tblPrEx>
          <w:tblCellMar>
            <w:top w:w="0" w:type="dxa"/>
            <w:bottom w:w="0" w:type="dxa"/>
          </w:tblCellMar>
        </w:tblPrEx>
        <w:trPr>
          <w:cantSplit/>
          <w:jc w:val="center"/>
        </w:trPr>
        <w:tc>
          <w:tcPr>
            <w:tcW w:w="794" w:type="dxa"/>
          </w:tcPr>
          <w:p w14:paraId="6D7DB6F3" w14:textId="77777777" w:rsidR="00711444" w:rsidRPr="004D0DAA" w:rsidRDefault="00711444" w:rsidP="00AA2A4C">
            <w:pPr>
              <w:pStyle w:val="TAC"/>
              <w:rPr>
                <w:lang w:eastAsia="en-US"/>
              </w:rPr>
            </w:pPr>
            <w:r w:rsidRPr="004D0DAA">
              <w:rPr>
                <w:lang w:eastAsia="en-US"/>
              </w:rPr>
              <w:t>0</w:t>
            </w:r>
          </w:p>
        </w:tc>
        <w:tc>
          <w:tcPr>
            <w:tcW w:w="4536" w:type="dxa"/>
          </w:tcPr>
          <w:p w14:paraId="0AE077B3" w14:textId="77777777" w:rsidR="00711444" w:rsidRPr="004D0DAA" w:rsidRDefault="00711444" w:rsidP="00AA2A4C">
            <w:pPr>
              <w:pStyle w:val="TAL"/>
              <w:rPr>
                <w:lang w:eastAsia="en-US"/>
              </w:rPr>
            </w:pPr>
            <w:r w:rsidRPr="004D0DAA">
              <w:rPr>
                <w:lang w:eastAsia="en-US"/>
              </w:rPr>
              <w:t>RRBP field is not valid</w:t>
            </w:r>
          </w:p>
        </w:tc>
      </w:tr>
      <w:tr w:rsidR="00711444" w:rsidRPr="004D0DAA" w14:paraId="63FD15A9" w14:textId="77777777" w:rsidTr="00AA2A4C">
        <w:tblPrEx>
          <w:tblCellMar>
            <w:top w:w="0" w:type="dxa"/>
            <w:bottom w:w="0" w:type="dxa"/>
          </w:tblCellMar>
        </w:tblPrEx>
        <w:trPr>
          <w:cantSplit/>
          <w:jc w:val="center"/>
        </w:trPr>
        <w:tc>
          <w:tcPr>
            <w:tcW w:w="794" w:type="dxa"/>
          </w:tcPr>
          <w:p w14:paraId="620DBCCF" w14:textId="77777777" w:rsidR="00711444" w:rsidRPr="004D0DAA" w:rsidRDefault="00711444" w:rsidP="00AA2A4C">
            <w:pPr>
              <w:pStyle w:val="TAC"/>
              <w:rPr>
                <w:lang w:eastAsia="en-US"/>
              </w:rPr>
            </w:pPr>
            <w:r w:rsidRPr="004D0DAA">
              <w:rPr>
                <w:lang w:eastAsia="en-US"/>
              </w:rPr>
              <w:t>1</w:t>
            </w:r>
          </w:p>
        </w:tc>
        <w:tc>
          <w:tcPr>
            <w:tcW w:w="4536" w:type="dxa"/>
          </w:tcPr>
          <w:p w14:paraId="44113A79" w14:textId="77777777" w:rsidR="00711444" w:rsidRPr="004D0DAA" w:rsidRDefault="00711444" w:rsidP="00AA2A4C">
            <w:pPr>
              <w:pStyle w:val="TAL"/>
              <w:rPr>
                <w:lang w:eastAsia="en-US"/>
              </w:rPr>
            </w:pPr>
            <w:r w:rsidRPr="004D0DAA">
              <w:rPr>
                <w:lang w:eastAsia="en-US"/>
              </w:rPr>
              <w:t>RRBP field is valid</w:t>
            </w:r>
          </w:p>
        </w:tc>
      </w:tr>
    </w:tbl>
    <w:p w14:paraId="7F34EF33" w14:textId="77777777" w:rsidR="00711444" w:rsidRPr="004D0DAA" w:rsidRDefault="00711444" w:rsidP="00711444"/>
    <w:p w14:paraId="2CC96C91" w14:textId="77777777" w:rsidR="00711444" w:rsidRPr="004D0DAA" w:rsidRDefault="00711444" w:rsidP="00711444">
      <w:pPr>
        <w:pStyle w:val="Heading3"/>
      </w:pPr>
      <w:bookmarkStart w:id="551" w:name="_Toc516669731"/>
      <w:r w:rsidRPr="004D0DAA">
        <w:t>10.4.4a</w:t>
      </w:r>
      <w:r w:rsidRPr="004D0DAA">
        <w:tab/>
        <w:t>EGPRS Supplementary/Polling (ES/P) Field</w:t>
      </w:r>
      <w:bookmarkEnd w:id="551"/>
    </w:p>
    <w:p w14:paraId="4656C606" w14:textId="77777777" w:rsidR="00711444" w:rsidRPr="004D0DAA" w:rsidRDefault="00711444" w:rsidP="00711444">
      <w:r w:rsidRPr="004D0DAA">
        <w:t>The ES/P field is used to indicate whether the RRBP field is valid or not valid, and what fields the next uplink control block shall contain (see further clause 9).</w:t>
      </w:r>
    </w:p>
    <w:p w14:paraId="09F7BBBC" w14:textId="77777777" w:rsidR="00711444" w:rsidRPr="004D0DAA" w:rsidRDefault="00711444" w:rsidP="00711444">
      <w:pPr>
        <w:pStyle w:val="EX"/>
      </w:pPr>
      <w:r w:rsidRPr="004D0DAA">
        <w:t xml:space="preserve">NOTE: </w:t>
      </w:r>
      <w:r w:rsidRPr="004D0DAA">
        <w:tab/>
        <w:t>The type of Ack/Nack bitmap requested by this field is applicable only when the next uplink control block is used to send an EGPRS PACKET DOWNLINK ACK/NACK, EGPRS PACKET DOWNLINK ACK/NACK TYPE 2, EGPRS PACKET DOWNLINK ACK/NACK TYPE 3, EGPRS PACKET DOWNLINK ACK/NACK DLMC or MBMS DOWNLINK ACK/NACK message.</w:t>
      </w:r>
    </w:p>
    <w:p w14:paraId="7FE9CFD1" w14:textId="77777777" w:rsidR="00711444" w:rsidRPr="004D0DAA" w:rsidRDefault="00711444" w:rsidP="00711444">
      <w:pPr>
        <w:pStyle w:val="TH"/>
      </w:pPr>
      <w:r w:rsidRPr="004D0DAA">
        <w:t>Table 10.4.4a.1: EGPRS Supplementary/Polling (ES/P) field (non-MBMS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6439"/>
      </w:tblGrid>
      <w:tr w:rsidR="00711444" w:rsidRPr="004D0DAA" w14:paraId="62A7584E" w14:textId="77777777" w:rsidTr="00AA2A4C">
        <w:tblPrEx>
          <w:tblCellMar>
            <w:top w:w="0" w:type="dxa"/>
            <w:bottom w:w="0" w:type="dxa"/>
          </w:tblCellMar>
        </w:tblPrEx>
        <w:trPr>
          <w:cantSplit/>
          <w:jc w:val="center"/>
        </w:trPr>
        <w:tc>
          <w:tcPr>
            <w:tcW w:w="794" w:type="dxa"/>
          </w:tcPr>
          <w:p w14:paraId="47D691CA" w14:textId="77777777" w:rsidR="00711444" w:rsidRPr="004D0DAA" w:rsidRDefault="00711444" w:rsidP="00AA2A4C">
            <w:pPr>
              <w:pStyle w:val="TAH"/>
              <w:rPr>
                <w:lang w:eastAsia="en-US"/>
              </w:rPr>
            </w:pPr>
            <w:r w:rsidRPr="004D0DAA">
              <w:rPr>
                <w:lang w:eastAsia="en-US"/>
              </w:rPr>
              <w:t>bits</w:t>
            </w:r>
            <w:r w:rsidRPr="004D0DAA">
              <w:rPr>
                <w:lang w:eastAsia="en-US"/>
              </w:rPr>
              <w:br/>
              <w:t>5 4</w:t>
            </w:r>
          </w:p>
        </w:tc>
        <w:tc>
          <w:tcPr>
            <w:tcW w:w="6439" w:type="dxa"/>
          </w:tcPr>
          <w:p w14:paraId="0DA3DECF" w14:textId="77777777" w:rsidR="00711444" w:rsidRPr="004D0DAA" w:rsidRDefault="00711444" w:rsidP="00AA2A4C">
            <w:pPr>
              <w:pStyle w:val="TAH"/>
              <w:rPr>
                <w:lang w:eastAsia="en-US"/>
              </w:rPr>
            </w:pPr>
            <w:r w:rsidRPr="004D0DAA">
              <w:rPr>
                <w:lang w:eastAsia="en-US"/>
              </w:rPr>
              <w:t>ES/P</w:t>
            </w:r>
          </w:p>
        </w:tc>
      </w:tr>
      <w:tr w:rsidR="00711444" w:rsidRPr="004D0DAA" w14:paraId="11A99BBF" w14:textId="77777777" w:rsidTr="00AA2A4C">
        <w:tblPrEx>
          <w:tblCellMar>
            <w:top w:w="0" w:type="dxa"/>
            <w:bottom w:w="0" w:type="dxa"/>
          </w:tblCellMar>
        </w:tblPrEx>
        <w:trPr>
          <w:cantSplit/>
          <w:jc w:val="center"/>
        </w:trPr>
        <w:tc>
          <w:tcPr>
            <w:tcW w:w="794" w:type="dxa"/>
          </w:tcPr>
          <w:p w14:paraId="48F38F83" w14:textId="77777777" w:rsidR="00711444" w:rsidRPr="004D0DAA" w:rsidRDefault="00711444" w:rsidP="00AA2A4C">
            <w:pPr>
              <w:pStyle w:val="TAC"/>
              <w:rPr>
                <w:lang w:eastAsia="en-US"/>
              </w:rPr>
            </w:pPr>
            <w:r w:rsidRPr="004D0DAA">
              <w:rPr>
                <w:lang w:eastAsia="en-US"/>
              </w:rPr>
              <w:t>0 0</w:t>
            </w:r>
          </w:p>
        </w:tc>
        <w:tc>
          <w:tcPr>
            <w:tcW w:w="6439" w:type="dxa"/>
          </w:tcPr>
          <w:p w14:paraId="42D57300" w14:textId="77777777" w:rsidR="00711444" w:rsidRPr="004D0DAA" w:rsidRDefault="00711444" w:rsidP="00AA2A4C">
            <w:pPr>
              <w:pStyle w:val="TAL"/>
              <w:rPr>
                <w:lang w:eastAsia="en-US"/>
              </w:rPr>
            </w:pPr>
            <w:r w:rsidRPr="004D0DAA">
              <w:rPr>
                <w:lang w:eastAsia="en-US"/>
              </w:rPr>
              <w:t>RRBP field is not valid (no Polling)</w:t>
            </w:r>
          </w:p>
        </w:tc>
      </w:tr>
      <w:tr w:rsidR="00711444" w:rsidRPr="004D0DAA" w14:paraId="79150A02" w14:textId="77777777" w:rsidTr="00AA2A4C">
        <w:tblPrEx>
          <w:tblCellMar>
            <w:top w:w="0" w:type="dxa"/>
            <w:bottom w:w="0" w:type="dxa"/>
          </w:tblCellMar>
        </w:tblPrEx>
        <w:trPr>
          <w:cantSplit/>
          <w:jc w:val="center"/>
        </w:trPr>
        <w:tc>
          <w:tcPr>
            <w:tcW w:w="794" w:type="dxa"/>
          </w:tcPr>
          <w:p w14:paraId="32C8B293" w14:textId="77777777" w:rsidR="00711444" w:rsidRPr="004D0DAA" w:rsidRDefault="00711444" w:rsidP="00AA2A4C">
            <w:pPr>
              <w:pStyle w:val="TAC"/>
              <w:rPr>
                <w:lang w:eastAsia="en-US"/>
              </w:rPr>
            </w:pPr>
            <w:r w:rsidRPr="004D0DAA">
              <w:rPr>
                <w:lang w:eastAsia="en-US"/>
              </w:rPr>
              <w:t>0 1</w:t>
            </w:r>
          </w:p>
        </w:tc>
        <w:tc>
          <w:tcPr>
            <w:tcW w:w="6439" w:type="dxa"/>
          </w:tcPr>
          <w:p w14:paraId="5877701E" w14:textId="77777777" w:rsidR="00711444" w:rsidRPr="004D0DAA" w:rsidRDefault="00711444" w:rsidP="00AA2A4C">
            <w:pPr>
              <w:pStyle w:val="TAL"/>
              <w:rPr>
                <w:lang w:eastAsia="en-US"/>
              </w:rPr>
            </w:pPr>
            <w:r w:rsidRPr="004D0DAA">
              <w:rPr>
                <w:lang w:eastAsia="en-US"/>
              </w:rPr>
              <w:t>RRBP field is valid - Extended Ack/Nack bitmap type FPB</w:t>
            </w:r>
          </w:p>
        </w:tc>
      </w:tr>
      <w:tr w:rsidR="00711444" w:rsidRPr="004D0DAA" w14:paraId="6A45429B" w14:textId="77777777" w:rsidTr="00AA2A4C">
        <w:tblPrEx>
          <w:tblCellMar>
            <w:top w:w="0" w:type="dxa"/>
            <w:bottom w:w="0" w:type="dxa"/>
          </w:tblCellMar>
        </w:tblPrEx>
        <w:trPr>
          <w:cantSplit/>
          <w:jc w:val="center"/>
        </w:trPr>
        <w:tc>
          <w:tcPr>
            <w:tcW w:w="794" w:type="dxa"/>
          </w:tcPr>
          <w:p w14:paraId="372DEA22" w14:textId="77777777" w:rsidR="00711444" w:rsidRPr="004D0DAA" w:rsidRDefault="00711444" w:rsidP="00AA2A4C">
            <w:pPr>
              <w:pStyle w:val="TAC"/>
              <w:rPr>
                <w:lang w:eastAsia="en-US"/>
              </w:rPr>
            </w:pPr>
            <w:r w:rsidRPr="004D0DAA">
              <w:rPr>
                <w:lang w:eastAsia="en-US"/>
              </w:rPr>
              <w:t>1 0</w:t>
            </w:r>
          </w:p>
        </w:tc>
        <w:tc>
          <w:tcPr>
            <w:tcW w:w="6439" w:type="dxa"/>
          </w:tcPr>
          <w:p w14:paraId="777BFA7B" w14:textId="77777777" w:rsidR="00711444" w:rsidRPr="004D0DAA" w:rsidRDefault="00711444" w:rsidP="00AA2A4C">
            <w:pPr>
              <w:pStyle w:val="TAL"/>
              <w:rPr>
                <w:lang w:eastAsia="en-US"/>
              </w:rPr>
            </w:pPr>
            <w:r w:rsidRPr="004D0DAA">
              <w:rPr>
                <w:lang w:eastAsia="en-US"/>
              </w:rPr>
              <w:t>RRBP field is valid - Extended Ack/Nack bitmap type NPB</w:t>
            </w:r>
          </w:p>
        </w:tc>
      </w:tr>
      <w:tr w:rsidR="00711444" w:rsidRPr="004D0DAA" w14:paraId="4BB9E0A1" w14:textId="77777777" w:rsidTr="00AA2A4C">
        <w:tblPrEx>
          <w:tblCellMar>
            <w:top w:w="0" w:type="dxa"/>
            <w:bottom w:w="0" w:type="dxa"/>
          </w:tblCellMar>
        </w:tblPrEx>
        <w:trPr>
          <w:cantSplit/>
          <w:jc w:val="center"/>
        </w:trPr>
        <w:tc>
          <w:tcPr>
            <w:tcW w:w="794" w:type="dxa"/>
          </w:tcPr>
          <w:p w14:paraId="7E19334F" w14:textId="77777777" w:rsidR="00711444" w:rsidRPr="004D0DAA" w:rsidRDefault="00711444" w:rsidP="00AA2A4C">
            <w:pPr>
              <w:pStyle w:val="TAC"/>
              <w:rPr>
                <w:lang w:eastAsia="en-US"/>
              </w:rPr>
            </w:pPr>
            <w:r w:rsidRPr="004D0DAA">
              <w:rPr>
                <w:lang w:eastAsia="en-US"/>
              </w:rPr>
              <w:t>1 1</w:t>
            </w:r>
          </w:p>
        </w:tc>
        <w:tc>
          <w:tcPr>
            <w:tcW w:w="6439" w:type="dxa"/>
          </w:tcPr>
          <w:p w14:paraId="27D25955" w14:textId="77777777" w:rsidR="00711444" w:rsidRPr="004D0DAA" w:rsidRDefault="00711444" w:rsidP="00AA2A4C">
            <w:pPr>
              <w:pStyle w:val="TAL"/>
              <w:rPr>
                <w:lang w:eastAsia="en-US"/>
              </w:rPr>
            </w:pPr>
            <w:r w:rsidRPr="004D0DAA">
              <w:rPr>
                <w:lang w:eastAsia="en-US"/>
              </w:rPr>
              <w:t>RRBP field is valid - Extended Ack/Nack bitmap type NPB, measurement report included</w:t>
            </w:r>
          </w:p>
        </w:tc>
      </w:tr>
    </w:tbl>
    <w:p w14:paraId="34EB56A8" w14:textId="77777777" w:rsidR="00711444" w:rsidRPr="004D0DAA" w:rsidRDefault="00711444" w:rsidP="00711444"/>
    <w:p w14:paraId="43684086" w14:textId="77777777" w:rsidR="00711444" w:rsidRPr="004D0DAA" w:rsidRDefault="00711444" w:rsidP="00711444">
      <w:pPr>
        <w:pStyle w:val="TH"/>
      </w:pPr>
      <w:r w:rsidRPr="004D0DAA">
        <w:lastRenderedPageBreak/>
        <w:t>Table 10.4.4a.2: EGPRS Supplementary/Polling (ES/P) field (MBMS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6439"/>
      </w:tblGrid>
      <w:tr w:rsidR="00711444" w:rsidRPr="004D0DAA" w14:paraId="1587A033" w14:textId="77777777" w:rsidTr="00AA2A4C">
        <w:tblPrEx>
          <w:tblCellMar>
            <w:top w:w="0" w:type="dxa"/>
            <w:bottom w:w="0" w:type="dxa"/>
          </w:tblCellMar>
        </w:tblPrEx>
        <w:trPr>
          <w:cantSplit/>
          <w:jc w:val="center"/>
        </w:trPr>
        <w:tc>
          <w:tcPr>
            <w:tcW w:w="794" w:type="dxa"/>
          </w:tcPr>
          <w:p w14:paraId="11803830" w14:textId="77777777" w:rsidR="00711444" w:rsidRPr="004D0DAA" w:rsidRDefault="00711444" w:rsidP="00AA2A4C">
            <w:pPr>
              <w:pStyle w:val="TAH"/>
              <w:rPr>
                <w:lang w:eastAsia="en-US"/>
              </w:rPr>
            </w:pPr>
            <w:r w:rsidRPr="004D0DAA">
              <w:rPr>
                <w:lang w:eastAsia="en-US"/>
              </w:rPr>
              <w:t>bits</w:t>
            </w:r>
            <w:r w:rsidRPr="004D0DAA">
              <w:rPr>
                <w:lang w:eastAsia="en-US"/>
              </w:rPr>
              <w:br/>
              <w:t>5 4</w:t>
            </w:r>
          </w:p>
        </w:tc>
        <w:tc>
          <w:tcPr>
            <w:tcW w:w="6439" w:type="dxa"/>
          </w:tcPr>
          <w:p w14:paraId="7EF8454D" w14:textId="77777777" w:rsidR="00711444" w:rsidRPr="004D0DAA" w:rsidRDefault="00711444" w:rsidP="00AA2A4C">
            <w:pPr>
              <w:pStyle w:val="TAH"/>
              <w:rPr>
                <w:lang w:eastAsia="en-US"/>
              </w:rPr>
            </w:pPr>
            <w:r w:rsidRPr="004D0DAA">
              <w:rPr>
                <w:lang w:eastAsia="en-US"/>
              </w:rPr>
              <w:t>ES/P</w:t>
            </w:r>
          </w:p>
        </w:tc>
      </w:tr>
      <w:tr w:rsidR="00711444" w:rsidRPr="004D0DAA" w14:paraId="6EAB3CD8" w14:textId="77777777" w:rsidTr="00AA2A4C">
        <w:tblPrEx>
          <w:tblCellMar>
            <w:top w:w="0" w:type="dxa"/>
            <w:bottom w:w="0" w:type="dxa"/>
          </w:tblCellMar>
        </w:tblPrEx>
        <w:trPr>
          <w:cantSplit/>
          <w:jc w:val="center"/>
        </w:trPr>
        <w:tc>
          <w:tcPr>
            <w:tcW w:w="794" w:type="dxa"/>
          </w:tcPr>
          <w:p w14:paraId="0F197682" w14:textId="77777777" w:rsidR="00711444" w:rsidRPr="004D0DAA" w:rsidRDefault="00711444" w:rsidP="00AA2A4C">
            <w:pPr>
              <w:pStyle w:val="TAC"/>
              <w:rPr>
                <w:lang w:eastAsia="en-US"/>
              </w:rPr>
            </w:pPr>
            <w:r w:rsidRPr="004D0DAA">
              <w:rPr>
                <w:lang w:eastAsia="en-US"/>
              </w:rPr>
              <w:t>0 0</w:t>
            </w:r>
          </w:p>
        </w:tc>
        <w:tc>
          <w:tcPr>
            <w:tcW w:w="6439" w:type="dxa"/>
          </w:tcPr>
          <w:p w14:paraId="5EE4129F" w14:textId="77777777" w:rsidR="00711444" w:rsidRPr="004D0DAA" w:rsidRDefault="00711444" w:rsidP="00AA2A4C">
            <w:pPr>
              <w:pStyle w:val="TAL"/>
              <w:rPr>
                <w:lang w:eastAsia="en-US"/>
              </w:rPr>
            </w:pPr>
            <w:r w:rsidRPr="004D0DAA">
              <w:rPr>
                <w:lang w:eastAsia="en-US"/>
              </w:rPr>
              <w:t>RRBP field is not valid (no Polling)</w:t>
            </w:r>
          </w:p>
        </w:tc>
      </w:tr>
      <w:tr w:rsidR="00711444" w:rsidRPr="004D0DAA" w14:paraId="35C18FCD" w14:textId="77777777" w:rsidTr="00AA2A4C">
        <w:tblPrEx>
          <w:tblCellMar>
            <w:top w:w="0" w:type="dxa"/>
            <w:bottom w:w="0" w:type="dxa"/>
          </w:tblCellMar>
        </w:tblPrEx>
        <w:trPr>
          <w:cantSplit/>
          <w:jc w:val="center"/>
        </w:trPr>
        <w:tc>
          <w:tcPr>
            <w:tcW w:w="794" w:type="dxa"/>
          </w:tcPr>
          <w:p w14:paraId="3A4A1791" w14:textId="77777777" w:rsidR="00711444" w:rsidRPr="004D0DAA" w:rsidRDefault="00711444" w:rsidP="00AA2A4C">
            <w:pPr>
              <w:pStyle w:val="TAC"/>
              <w:rPr>
                <w:lang w:eastAsia="en-US"/>
              </w:rPr>
            </w:pPr>
            <w:r w:rsidRPr="004D0DAA">
              <w:rPr>
                <w:lang w:eastAsia="en-US"/>
              </w:rPr>
              <w:t>0 1</w:t>
            </w:r>
          </w:p>
        </w:tc>
        <w:tc>
          <w:tcPr>
            <w:tcW w:w="6439" w:type="dxa"/>
          </w:tcPr>
          <w:p w14:paraId="4776DB22" w14:textId="77777777" w:rsidR="00711444" w:rsidRPr="004D0DAA" w:rsidRDefault="00711444" w:rsidP="00AA2A4C">
            <w:pPr>
              <w:pStyle w:val="TAL"/>
              <w:rPr>
                <w:lang w:eastAsia="en-US"/>
              </w:rPr>
            </w:pPr>
            <w:r w:rsidRPr="004D0DAA">
              <w:rPr>
                <w:lang w:eastAsia="en-US"/>
              </w:rPr>
              <w:t>RRBP field is valid - Extended Ack/Nack bitmap type FPB</w:t>
            </w:r>
          </w:p>
        </w:tc>
      </w:tr>
      <w:tr w:rsidR="00711444" w:rsidRPr="004D0DAA" w14:paraId="5A672118" w14:textId="77777777" w:rsidTr="00AA2A4C">
        <w:tblPrEx>
          <w:tblCellMar>
            <w:top w:w="0" w:type="dxa"/>
            <w:bottom w:w="0" w:type="dxa"/>
          </w:tblCellMar>
        </w:tblPrEx>
        <w:trPr>
          <w:cantSplit/>
          <w:jc w:val="center"/>
        </w:trPr>
        <w:tc>
          <w:tcPr>
            <w:tcW w:w="794" w:type="dxa"/>
          </w:tcPr>
          <w:p w14:paraId="5DB68D41" w14:textId="77777777" w:rsidR="00711444" w:rsidRPr="004D0DAA" w:rsidRDefault="00711444" w:rsidP="00AA2A4C">
            <w:pPr>
              <w:pStyle w:val="TAC"/>
              <w:rPr>
                <w:lang w:eastAsia="en-US"/>
              </w:rPr>
            </w:pPr>
            <w:r w:rsidRPr="004D0DAA">
              <w:rPr>
                <w:lang w:eastAsia="en-US"/>
              </w:rPr>
              <w:t>1 0</w:t>
            </w:r>
          </w:p>
        </w:tc>
        <w:tc>
          <w:tcPr>
            <w:tcW w:w="6439" w:type="dxa"/>
          </w:tcPr>
          <w:p w14:paraId="3F55D207" w14:textId="77777777" w:rsidR="00711444" w:rsidRPr="004D0DAA" w:rsidRDefault="00711444" w:rsidP="00AA2A4C">
            <w:pPr>
              <w:pStyle w:val="TAL"/>
              <w:rPr>
                <w:lang w:eastAsia="en-US"/>
              </w:rPr>
            </w:pPr>
            <w:r w:rsidRPr="004D0DAA">
              <w:rPr>
                <w:lang w:eastAsia="en-US"/>
              </w:rPr>
              <w:t>RRBP field is valid - Extended Ack/Nack bitmap type NPB</w:t>
            </w:r>
          </w:p>
        </w:tc>
      </w:tr>
      <w:tr w:rsidR="00711444" w:rsidRPr="004D0DAA" w14:paraId="0FF3D427" w14:textId="77777777" w:rsidTr="00AA2A4C">
        <w:tblPrEx>
          <w:tblCellMar>
            <w:top w:w="0" w:type="dxa"/>
            <w:bottom w:w="0" w:type="dxa"/>
          </w:tblCellMar>
        </w:tblPrEx>
        <w:trPr>
          <w:cantSplit/>
          <w:jc w:val="center"/>
        </w:trPr>
        <w:tc>
          <w:tcPr>
            <w:tcW w:w="794" w:type="dxa"/>
          </w:tcPr>
          <w:p w14:paraId="416D8BA8" w14:textId="77777777" w:rsidR="00711444" w:rsidRPr="004D0DAA" w:rsidRDefault="00711444" w:rsidP="00AA2A4C">
            <w:pPr>
              <w:pStyle w:val="TAC"/>
              <w:rPr>
                <w:lang w:eastAsia="en-US"/>
              </w:rPr>
            </w:pPr>
            <w:r w:rsidRPr="004D0DAA">
              <w:rPr>
                <w:lang w:eastAsia="en-US"/>
              </w:rPr>
              <w:t>1 1</w:t>
            </w:r>
          </w:p>
        </w:tc>
        <w:tc>
          <w:tcPr>
            <w:tcW w:w="6439" w:type="dxa"/>
          </w:tcPr>
          <w:p w14:paraId="22938220" w14:textId="77777777" w:rsidR="00711444" w:rsidRPr="004D0DAA" w:rsidRDefault="00711444" w:rsidP="00AA2A4C">
            <w:pPr>
              <w:pStyle w:val="TAL"/>
              <w:rPr>
                <w:lang w:eastAsia="en-US"/>
              </w:rPr>
            </w:pPr>
            <w:r w:rsidRPr="004D0DAA">
              <w:rPr>
                <w:lang w:eastAsia="en-US"/>
              </w:rPr>
              <w:t>RRBP field is valid - Extended Ack/Nack bitmap type NPB, neighbouring cell measurement reports included</w:t>
            </w:r>
          </w:p>
        </w:tc>
      </w:tr>
    </w:tbl>
    <w:p w14:paraId="181E9D6F" w14:textId="77777777" w:rsidR="00711444" w:rsidRPr="004D0DAA" w:rsidRDefault="00711444" w:rsidP="00711444"/>
    <w:p w14:paraId="698A66D1" w14:textId="77777777" w:rsidR="00711444" w:rsidRPr="004D0DAA" w:rsidRDefault="00711444" w:rsidP="00711444">
      <w:pPr>
        <w:pStyle w:val="Heading3"/>
      </w:pPr>
      <w:bookmarkStart w:id="552" w:name="_Toc516669732"/>
      <w:r w:rsidRPr="004D0DAA">
        <w:t>10.4.4b</w:t>
      </w:r>
      <w:r w:rsidRPr="004D0DAA">
        <w:tab/>
        <w:t>Combined EGPRS Supplementary/Polling (CES/P) Field</w:t>
      </w:r>
      <w:bookmarkEnd w:id="552"/>
    </w:p>
    <w:p w14:paraId="7D97424E" w14:textId="77777777" w:rsidR="00711444" w:rsidRPr="004D0DAA" w:rsidRDefault="00711444" w:rsidP="00711444">
      <w:r w:rsidRPr="004D0DAA">
        <w:t>The CES/P field is used to indicate what fields the next uplink radio block reserved by this field shall contain (see further clause 9). The single uplink block is defined by a delay relative to the first TDMA frame (N) of the downlink block containing the CES/P value. The procedures defined for transmission of a PACCH block to the network as described in sub-clause 10.4.5 shall apply.</w:t>
      </w:r>
    </w:p>
    <w:p w14:paraId="2ED79722" w14:textId="77777777" w:rsidR="00711444" w:rsidRPr="004D0DAA" w:rsidRDefault="00711444" w:rsidP="00711444">
      <w:r w:rsidRPr="004D0DAA">
        <w:t>If the mobile station is polled for a Piggy-backed Ack/Nack, in case EFTA is not used at the time the CES/P field is received, the mobile station shall transmit the uplink radio block on the same timeslot as the block where the CES/P field was received (in case of a BTTI configuration) or on the uplink PDCH pair corresponding to the downlink PDCH pair where the block containing the CES/P field was received (in case of an RTTI configuration).  In case EFTA is used at the time the CES/P field is received, the mobile station shall transmit the uplink radio block according to the uplink radio block transmission order as described in Annex N regardless of the timeslot or PDCH pair where the block containing the CES/P field was received. The mobile station need not monitor the USF in the associated downlink RLC/MAC block appearing just before the uplink block it shall transmit. However, when Extended Dynamic Allocation or Shifted USF operation is used, the corresponding USF monitoring procedure shall apply as described in sub-clause 8.1.1.2.1 and sub-clause 8.1.1.2.4 respectively.</w:t>
      </w:r>
    </w:p>
    <w:p w14:paraId="1FCDC34D" w14:textId="77777777" w:rsidR="00711444" w:rsidRPr="004D0DAA" w:rsidRDefault="00711444" w:rsidP="00711444">
      <w:pPr>
        <w:pStyle w:val="TH"/>
      </w:pPr>
      <w:r w:rsidRPr="004D0DAA">
        <w:t xml:space="preserve">Table 10.4.4b.1: </w:t>
      </w:r>
      <w:r w:rsidRPr="004D0DAA">
        <w:rPr>
          <w:rFonts w:hint="eastAsia"/>
          <w:lang w:eastAsia="ko-KR"/>
        </w:rPr>
        <w:t>Combined EGPRS</w:t>
      </w:r>
      <w:r w:rsidRPr="004D0DAA">
        <w:t xml:space="preserve"> Supplementary/Polling (</w:t>
      </w:r>
      <w:r w:rsidRPr="004D0DAA">
        <w:rPr>
          <w:rFonts w:hint="eastAsia"/>
          <w:lang w:eastAsia="ko-KR"/>
        </w:rPr>
        <w:t>C</w:t>
      </w:r>
      <w:r w:rsidRPr="004D0DAA">
        <w:t>ES/P)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5"/>
        <w:gridCol w:w="4503"/>
        <w:gridCol w:w="1710"/>
        <w:gridCol w:w="1867"/>
      </w:tblGrid>
      <w:tr w:rsidR="00711444" w:rsidRPr="004D0DAA" w14:paraId="758A2ACA" w14:textId="77777777" w:rsidTr="00AA2A4C">
        <w:tblPrEx>
          <w:tblCellMar>
            <w:top w:w="0" w:type="dxa"/>
            <w:bottom w:w="0" w:type="dxa"/>
          </w:tblCellMar>
        </w:tblPrEx>
        <w:trPr>
          <w:cantSplit/>
          <w:trHeight w:val="213"/>
          <w:jc w:val="center"/>
        </w:trPr>
        <w:tc>
          <w:tcPr>
            <w:tcW w:w="595" w:type="dxa"/>
            <w:vMerge w:val="restart"/>
          </w:tcPr>
          <w:p w14:paraId="33CA338B" w14:textId="77777777" w:rsidR="00711444" w:rsidRPr="004D0DAA" w:rsidRDefault="00711444" w:rsidP="00AA2A4C">
            <w:pPr>
              <w:pStyle w:val="TAH"/>
              <w:rPr>
                <w:lang w:eastAsia="en-US"/>
              </w:rPr>
            </w:pPr>
            <w:r w:rsidRPr="004D0DAA">
              <w:rPr>
                <w:lang w:eastAsia="en-US"/>
              </w:rPr>
              <w:t>bits</w:t>
            </w:r>
            <w:r w:rsidRPr="004D0DAA">
              <w:rPr>
                <w:lang w:eastAsia="en-US"/>
              </w:rPr>
              <w:br/>
              <w:t>6 5 4</w:t>
            </w:r>
          </w:p>
        </w:tc>
        <w:tc>
          <w:tcPr>
            <w:tcW w:w="8080" w:type="dxa"/>
            <w:gridSpan w:val="3"/>
          </w:tcPr>
          <w:p w14:paraId="6F283BC7" w14:textId="77777777" w:rsidR="00711444" w:rsidRPr="004D0DAA" w:rsidRDefault="00711444" w:rsidP="00AA2A4C">
            <w:pPr>
              <w:pStyle w:val="TAH"/>
              <w:rPr>
                <w:lang w:eastAsia="en-US"/>
              </w:rPr>
            </w:pPr>
            <w:r w:rsidRPr="004D0DAA">
              <w:rPr>
                <w:lang w:eastAsia="en-US"/>
              </w:rPr>
              <w:t>CES/P</w:t>
            </w:r>
          </w:p>
        </w:tc>
      </w:tr>
      <w:tr w:rsidR="00711444" w:rsidRPr="004D0DAA" w14:paraId="23D56178" w14:textId="77777777" w:rsidTr="00AA2A4C">
        <w:tblPrEx>
          <w:tblCellMar>
            <w:top w:w="0" w:type="dxa"/>
            <w:bottom w:w="0" w:type="dxa"/>
          </w:tblCellMar>
        </w:tblPrEx>
        <w:trPr>
          <w:cantSplit/>
          <w:trHeight w:val="212"/>
          <w:jc w:val="center"/>
        </w:trPr>
        <w:tc>
          <w:tcPr>
            <w:tcW w:w="595" w:type="dxa"/>
            <w:vMerge/>
          </w:tcPr>
          <w:p w14:paraId="50987DFE" w14:textId="77777777" w:rsidR="00711444" w:rsidRPr="004D0DAA" w:rsidRDefault="00711444" w:rsidP="00AA2A4C"/>
        </w:tc>
        <w:tc>
          <w:tcPr>
            <w:tcW w:w="4503" w:type="dxa"/>
          </w:tcPr>
          <w:p w14:paraId="052667CC" w14:textId="77777777" w:rsidR="00711444" w:rsidRPr="004D0DAA" w:rsidRDefault="00711444" w:rsidP="00AA2A4C">
            <w:pPr>
              <w:pStyle w:val="TAH"/>
              <w:rPr>
                <w:lang w:eastAsia="en-US"/>
              </w:rPr>
            </w:pPr>
            <w:r w:rsidRPr="004D0DAA">
              <w:rPr>
                <w:lang w:eastAsia="en-US"/>
              </w:rPr>
              <w:t>Feedback</w:t>
            </w:r>
          </w:p>
        </w:tc>
        <w:tc>
          <w:tcPr>
            <w:tcW w:w="3577" w:type="dxa"/>
            <w:gridSpan w:val="2"/>
          </w:tcPr>
          <w:p w14:paraId="2D68AD84" w14:textId="77777777" w:rsidR="00711444" w:rsidRPr="004D0DAA" w:rsidRDefault="00711444" w:rsidP="00AA2A4C">
            <w:pPr>
              <w:pStyle w:val="TAH"/>
              <w:rPr>
                <w:lang w:eastAsia="en-US"/>
              </w:rPr>
            </w:pPr>
            <w:r w:rsidRPr="004D0DAA">
              <w:rPr>
                <w:lang w:eastAsia="en-US"/>
              </w:rPr>
              <w:t>Reserved Block</w:t>
            </w:r>
          </w:p>
        </w:tc>
      </w:tr>
      <w:tr w:rsidR="00711444" w:rsidRPr="004D0DAA" w14:paraId="2D8241DD" w14:textId="77777777" w:rsidTr="00AA2A4C">
        <w:tblPrEx>
          <w:tblCellMar>
            <w:top w:w="0" w:type="dxa"/>
            <w:bottom w:w="0" w:type="dxa"/>
          </w:tblCellMar>
        </w:tblPrEx>
        <w:trPr>
          <w:cantSplit/>
          <w:trHeight w:val="212"/>
          <w:jc w:val="center"/>
        </w:trPr>
        <w:tc>
          <w:tcPr>
            <w:tcW w:w="595" w:type="dxa"/>
            <w:vMerge/>
          </w:tcPr>
          <w:p w14:paraId="4C08FB21" w14:textId="77777777" w:rsidR="00711444" w:rsidRPr="004D0DAA" w:rsidRDefault="00711444" w:rsidP="00AA2A4C"/>
        </w:tc>
        <w:tc>
          <w:tcPr>
            <w:tcW w:w="4503" w:type="dxa"/>
          </w:tcPr>
          <w:p w14:paraId="0F970638" w14:textId="77777777" w:rsidR="00711444" w:rsidRPr="004D0DAA" w:rsidRDefault="00711444" w:rsidP="00AA2A4C"/>
        </w:tc>
        <w:tc>
          <w:tcPr>
            <w:tcW w:w="1710" w:type="dxa"/>
          </w:tcPr>
          <w:p w14:paraId="2FD65508" w14:textId="77777777" w:rsidR="00711444" w:rsidRPr="004D0DAA" w:rsidRDefault="00711444" w:rsidP="00AA2A4C">
            <w:pPr>
              <w:pStyle w:val="TAH"/>
              <w:rPr>
                <w:lang w:eastAsia="en-US"/>
              </w:rPr>
            </w:pPr>
            <w:r w:rsidRPr="004D0DAA">
              <w:rPr>
                <w:lang w:eastAsia="en-US"/>
              </w:rPr>
              <w:t>BTTI</w:t>
            </w:r>
          </w:p>
        </w:tc>
        <w:tc>
          <w:tcPr>
            <w:tcW w:w="1867" w:type="dxa"/>
          </w:tcPr>
          <w:p w14:paraId="4C88E0B5" w14:textId="77777777" w:rsidR="00711444" w:rsidRPr="004D0DAA" w:rsidRDefault="00711444" w:rsidP="00AA2A4C">
            <w:pPr>
              <w:pStyle w:val="TAH"/>
              <w:rPr>
                <w:lang w:eastAsia="en-US"/>
              </w:rPr>
            </w:pPr>
            <w:r w:rsidRPr="004D0DAA">
              <w:rPr>
                <w:lang w:eastAsia="en-US"/>
              </w:rPr>
              <w:t xml:space="preserve">RTTI </w:t>
            </w:r>
          </w:p>
          <w:p w14:paraId="3A216090" w14:textId="77777777" w:rsidR="00711444" w:rsidRPr="004D0DAA" w:rsidRDefault="00711444" w:rsidP="00AA2A4C">
            <w:pPr>
              <w:pStyle w:val="TAC"/>
              <w:rPr>
                <w:lang w:eastAsia="en-US"/>
              </w:rPr>
            </w:pPr>
          </w:p>
        </w:tc>
      </w:tr>
      <w:tr w:rsidR="00711444" w:rsidRPr="004D0DAA" w14:paraId="55509100" w14:textId="77777777" w:rsidTr="00AA2A4C">
        <w:tblPrEx>
          <w:tblCellMar>
            <w:top w:w="0" w:type="dxa"/>
            <w:bottom w:w="0" w:type="dxa"/>
          </w:tblCellMar>
        </w:tblPrEx>
        <w:trPr>
          <w:cantSplit/>
          <w:trHeight w:val="212"/>
          <w:jc w:val="center"/>
        </w:trPr>
        <w:tc>
          <w:tcPr>
            <w:tcW w:w="595" w:type="dxa"/>
          </w:tcPr>
          <w:p w14:paraId="7925950C" w14:textId="77777777" w:rsidR="00711444" w:rsidRPr="004D0DAA" w:rsidRDefault="00711444" w:rsidP="00AA2A4C">
            <w:pPr>
              <w:pStyle w:val="TAH"/>
              <w:rPr>
                <w:lang w:eastAsia="en-US"/>
              </w:rPr>
            </w:pPr>
            <w:r w:rsidRPr="004D0DAA">
              <w:rPr>
                <w:b w:val="0"/>
                <w:lang w:eastAsia="en-US"/>
              </w:rPr>
              <w:t>0 0 0</w:t>
            </w:r>
          </w:p>
        </w:tc>
        <w:tc>
          <w:tcPr>
            <w:tcW w:w="4503" w:type="dxa"/>
          </w:tcPr>
          <w:p w14:paraId="31D3DE6D" w14:textId="77777777" w:rsidR="00711444" w:rsidRPr="004D0DAA" w:rsidRDefault="00711444" w:rsidP="00AA2A4C">
            <w:pPr>
              <w:pStyle w:val="TAL"/>
              <w:rPr>
                <w:lang w:eastAsia="en-US"/>
              </w:rPr>
            </w:pPr>
            <w:r w:rsidRPr="004D0DAA">
              <w:rPr>
                <w:lang w:eastAsia="en-US"/>
              </w:rPr>
              <w:t>no Polling</w:t>
            </w:r>
          </w:p>
        </w:tc>
        <w:tc>
          <w:tcPr>
            <w:tcW w:w="1710" w:type="dxa"/>
          </w:tcPr>
          <w:p w14:paraId="2808D92F" w14:textId="77777777" w:rsidR="00711444" w:rsidRPr="004D0DAA" w:rsidRDefault="00711444" w:rsidP="00AA2A4C">
            <w:pPr>
              <w:pStyle w:val="TAC"/>
              <w:rPr>
                <w:lang w:eastAsia="en-US"/>
              </w:rPr>
            </w:pPr>
            <w:r w:rsidRPr="004D0DAA">
              <w:rPr>
                <w:lang w:eastAsia="en-US"/>
              </w:rPr>
              <w:t>-</w:t>
            </w:r>
          </w:p>
        </w:tc>
        <w:tc>
          <w:tcPr>
            <w:tcW w:w="1867" w:type="dxa"/>
          </w:tcPr>
          <w:p w14:paraId="7680B4E4" w14:textId="77777777" w:rsidR="00711444" w:rsidRPr="004D0DAA" w:rsidRDefault="00711444" w:rsidP="00AA2A4C">
            <w:pPr>
              <w:pStyle w:val="TAC"/>
              <w:rPr>
                <w:lang w:eastAsia="en-US"/>
              </w:rPr>
            </w:pPr>
            <w:r w:rsidRPr="004D0DAA">
              <w:rPr>
                <w:lang w:eastAsia="en-US"/>
              </w:rPr>
              <w:t>-</w:t>
            </w:r>
          </w:p>
          <w:p w14:paraId="42A88058" w14:textId="77777777" w:rsidR="00711444" w:rsidRPr="004D0DAA" w:rsidRDefault="00711444" w:rsidP="00AA2A4C">
            <w:pPr>
              <w:pStyle w:val="TAC"/>
              <w:rPr>
                <w:lang w:eastAsia="en-US"/>
              </w:rPr>
            </w:pPr>
          </w:p>
        </w:tc>
      </w:tr>
      <w:tr w:rsidR="00711444" w:rsidRPr="004D0DAA" w14:paraId="5E2AA4BC" w14:textId="77777777" w:rsidTr="00AA2A4C">
        <w:tblPrEx>
          <w:tblCellMar>
            <w:top w:w="0" w:type="dxa"/>
            <w:bottom w:w="0" w:type="dxa"/>
          </w:tblCellMar>
        </w:tblPrEx>
        <w:trPr>
          <w:cantSplit/>
          <w:trHeight w:val="212"/>
          <w:jc w:val="center"/>
        </w:trPr>
        <w:tc>
          <w:tcPr>
            <w:tcW w:w="595" w:type="dxa"/>
          </w:tcPr>
          <w:p w14:paraId="0ED78F76" w14:textId="77777777" w:rsidR="00711444" w:rsidRPr="004D0DAA" w:rsidRDefault="00711444" w:rsidP="00AA2A4C">
            <w:pPr>
              <w:pStyle w:val="TAH"/>
              <w:rPr>
                <w:lang w:eastAsia="en-US"/>
              </w:rPr>
            </w:pPr>
            <w:r w:rsidRPr="004D0DAA">
              <w:rPr>
                <w:b w:val="0"/>
                <w:lang w:eastAsia="en-US"/>
              </w:rPr>
              <w:t>0 0 1</w:t>
            </w:r>
          </w:p>
        </w:tc>
        <w:tc>
          <w:tcPr>
            <w:tcW w:w="4503" w:type="dxa"/>
          </w:tcPr>
          <w:p w14:paraId="7EA748E7" w14:textId="77777777" w:rsidR="00711444" w:rsidRPr="004D0DAA" w:rsidRDefault="00711444" w:rsidP="00AA2A4C">
            <w:pPr>
              <w:pStyle w:val="TAL"/>
              <w:rPr>
                <w:lang w:eastAsia="en-US"/>
              </w:rPr>
            </w:pPr>
            <w:r w:rsidRPr="004D0DAA">
              <w:rPr>
                <w:lang w:eastAsia="en-US"/>
              </w:rPr>
              <w:t>Extended Ack/Nack bitmap type FPB, and if there is enough room left in RLC/MAC block, channel quality report(s)</w:t>
            </w:r>
          </w:p>
        </w:tc>
        <w:tc>
          <w:tcPr>
            <w:tcW w:w="1710" w:type="dxa"/>
          </w:tcPr>
          <w:p w14:paraId="72A4B81B" w14:textId="77777777" w:rsidR="00711444" w:rsidRPr="004D0DAA" w:rsidRDefault="00711444" w:rsidP="00AA2A4C">
            <w:pPr>
              <w:pStyle w:val="TAC"/>
              <w:rPr>
                <w:lang w:eastAsia="en-US"/>
              </w:rPr>
            </w:pPr>
            <w:r w:rsidRPr="004D0DAA">
              <w:rPr>
                <w:lang w:eastAsia="en-US"/>
              </w:rPr>
              <w:t>(N+8 or N+9) mod 2715648</w:t>
            </w:r>
          </w:p>
        </w:tc>
        <w:tc>
          <w:tcPr>
            <w:tcW w:w="1867" w:type="dxa"/>
          </w:tcPr>
          <w:p w14:paraId="3437DD1E" w14:textId="77777777" w:rsidR="00711444" w:rsidRPr="004D0DAA" w:rsidRDefault="00711444" w:rsidP="00AA2A4C">
            <w:pPr>
              <w:pStyle w:val="TAC"/>
              <w:rPr>
                <w:lang w:eastAsia="en-US"/>
              </w:rPr>
            </w:pPr>
            <w:r w:rsidRPr="004D0DAA">
              <w:rPr>
                <w:lang w:eastAsia="en-US"/>
              </w:rPr>
              <w:t>(N+6 or N+7) mod 2715648</w:t>
            </w:r>
          </w:p>
        </w:tc>
      </w:tr>
      <w:tr w:rsidR="00711444" w:rsidRPr="004D0DAA" w14:paraId="19518994" w14:textId="77777777" w:rsidTr="00AA2A4C">
        <w:tblPrEx>
          <w:tblCellMar>
            <w:top w:w="0" w:type="dxa"/>
            <w:bottom w:w="0" w:type="dxa"/>
          </w:tblCellMar>
        </w:tblPrEx>
        <w:trPr>
          <w:cantSplit/>
          <w:trHeight w:val="212"/>
          <w:jc w:val="center"/>
        </w:trPr>
        <w:tc>
          <w:tcPr>
            <w:tcW w:w="595" w:type="dxa"/>
          </w:tcPr>
          <w:p w14:paraId="24FE9C29" w14:textId="77777777" w:rsidR="00711444" w:rsidRPr="004D0DAA" w:rsidRDefault="00711444" w:rsidP="00AA2A4C">
            <w:pPr>
              <w:pStyle w:val="TAH"/>
              <w:rPr>
                <w:lang w:eastAsia="en-US"/>
              </w:rPr>
            </w:pPr>
            <w:r w:rsidRPr="004D0DAA">
              <w:rPr>
                <w:b w:val="0"/>
                <w:lang w:eastAsia="en-US"/>
              </w:rPr>
              <w:t>0 1 0</w:t>
            </w:r>
          </w:p>
        </w:tc>
        <w:tc>
          <w:tcPr>
            <w:tcW w:w="4503" w:type="dxa"/>
          </w:tcPr>
          <w:p w14:paraId="56B99EE5" w14:textId="77777777" w:rsidR="00711444" w:rsidRPr="004D0DAA" w:rsidRDefault="00711444" w:rsidP="00AA2A4C">
            <w:pPr>
              <w:pStyle w:val="TAL"/>
              <w:rPr>
                <w:lang w:eastAsia="en-US"/>
              </w:rPr>
            </w:pPr>
            <w:r w:rsidRPr="004D0DAA">
              <w:rPr>
                <w:lang w:eastAsia="en-US"/>
              </w:rPr>
              <w:t>Extended Ack/Nack bitmap type FPB, and if there is enough room left in RLC/MAC block, channel quality report(s)</w:t>
            </w:r>
          </w:p>
        </w:tc>
        <w:tc>
          <w:tcPr>
            <w:tcW w:w="1710" w:type="dxa"/>
          </w:tcPr>
          <w:p w14:paraId="2A119467" w14:textId="77777777" w:rsidR="00711444" w:rsidRPr="004D0DAA" w:rsidRDefault="00711444" w:rsidP="00AA2A4C">
            <w:pPr>
              <w:pStyle w:val="TAC"/>
              <w:rPr>
                <w:lang w:eastAsia="en-US"/>
              </w:rPr>
            </w:pPr>
            <w:r w:rsidRPr="004D0DAA">
              <w:rPr>
                <w:lang w:eastAsia="en-US"/>
              </w:rPr>
              <w:t>(N+13) mod 2715648</w:t>
            </w:r>
          </w:p>
          <w:p w14:paraId="7F770BC1" w14:textId="77777777" w:rsidR="00711444" w:rsidRPr="004D0DAA" w:rsidRDefault="00711444" w:rsidP="00AA2A4C">
            <w:pPr>
              <w:pStyle w:val="TAC"/>
              <w:rPr>
                <w:lang w:eastAsia="en-US"/>
              </w:rPr>
            </w:pPr>
          </w:p>
        </w:tc>
        <w:tc>
          <w:tcPr>
            <w:tcW w:w="1867" w:type="dxa"/>
          </w:tcPr>
          <w:p w14:paraId="150AF13D" w14:textId="77777777" w:rsidR="00711444" w:rsidRPr="004D0DAA" w:rsidRDefault="00711444" w:rsidP="00AA2A4C">
            <w:pPr>
              <w:pStyle w:val="TAC"/>
              <w:rPr>
                <w:lang w:eastAsia="en-US"/>
              </w:rPr>
            </w:pPr>
            <w:r w:rsidRPr="004D0DAA">
              <w:rPr>
                <w:lang w:eastAsia="en-US"/>
              </w:rPr>
              <w:t>(N+8 or N+9) mod 2715648</w:t>
            </w:r>
          </w:p>
          <w:p w14:paraId="5FD56A07" w14:textId="77777777" w:rsidR="00711444" w:rsidRPr="004D0DAA" w:rsidRDefault="00711444" w:rsidP="00AA2A4C">
            <w:pPr>
              <w:pStyle w:val="TAC"/>
              <w:rPr>
                <w:lang w:eastAsia="en-US"/>
              </w:rPr>
            </w:pPr>
          </w:p>
        </w:tc>
      </w:tr>
      <w:tr w:rsidR="00711444" w:rsidRPr="004D0DAA" w14:paraId="33F63728" w14:textId="77777777" w:rsidTr="00AA2A4C">
        <w:tblPrEx>
          <w:tblCellMar>
            <w:top w:w="0" w:type="dxa"/>
            <w:bottom w:w="0" w:type="dxa"/>
          </w:tblCellMar>
        </w:tblPrEx>
        <w:trPr>
          <w:cantSplit/>
          <w:trHeight w:val="212"/>
          <w:jc w:val="center"/>
        </w:trPr>
        <w:tc>
          <w:tcPr>
            <w:tcW w:w="595" w:type="dxa"/>
          </w:tcPr>
          <w:p w14:paraId="6817AFFB" w14:textId="77777777" w:rsidR="00711444" w:rsidRPr="004D0DAA" w:rsidRDefault="00711444" w:rsidP="00AA2A4C">
            <w:pPr>
              <w:pStyle w:val="TAH"/>
              <w:rPr>
                <w:lang w:eastAsia="en-US"/>
              </w:rPr>
            </w:pPr>
            <w:r w:rsidRPr="004D0DAA">
              <w:rPr>
                <w:b w:val="0"/>
                <w:lang w:eastAsia="en-US"/>
              </w:rPr>
              <w:t>0 1 1</w:t>
            </w:r>
          </w:p>
        </w:tc>
        <w:tc>
          <w:tcPr>
            <w:tcW w:w="4503" w:type="dxa"/>
          </w:tcPr>
          <w:p w14:paraId="6FC71961" w14:textId="77777777" w:rsidR="00711444" w:rsidRPr="004D0DAA" w:rsidRDefault="00711444" w:rsidP="00AA2A4C">
            <w:pPr>
              <w:pStyle w:val="TAL"/>
              <w:rPr>
                <w:lang w:eastAsia="en-US"/>
              </w:rPr>
            </w:pPr>
            <w:r w:rsidRPr="004D0DAA">
              <w:rPr>
                <w:lang w:eastAsia="en-US"/>
              </w:rPr>
              <w:t>Piggy-backed Ack/Nack bitmap type FPB (see sub-clause 8.1.2.2) see note</w:t>
            </w:r>
          </w:p>
        </w:tc>
        <w:tc>
          <w:tcPr>
            <w:tcW w:w="1710" w:type="dxa"/>
          </w:tcPr>
          <w:p w14:paraId="44259F57" w14:textId="77777777" w:rsidR="00711444" w:rsidRPr="004D0DAA" w:rsidRDefault="00711444" w:rsidP="00AA2A4C">
            <w:pPr>
              <w:pStyle w:val="TAC"/>
              <w:rPr>
                <w:lang w:eastAsia="en-US"/>
              </w:rPr>
            </w:pPr>
            <w:r w:rsidRPr="004D0DAA">
              <w:rPr>
                <w:lang w:eastAsia="en-US"/>
              </w:rPr>
              <w:t>(N+8 or N+9) mod 2715648</w:t>
            </w:r>
          </w:p>
        </w:tc>
        <w:tc>
          <w:tcPr>
            <w:tcW w:w="1867" w:type="dxa"/>
          </w:tcPr>
          <w:p w14:paraId="725EA53E" w14:textId="77777777" w:rsidR="00711444" w:rsidRPr="004D0DAA" w:rsidRDefault="00711444" w:rsidP="00AA2A4C">
            <w:pPr>
              <w:pStyle w:val="TAC"/>
              <w:rPr>
                <w:lang w:eastAsia="en-US"/>
              </w:rPr>
            </w:pPr>
            <w:r w:rsidRPr="004D0DAA">
              <w:rPr>
                <w:lang w:eastAsia="en-US"/>
              </w:rPr>
              <w:t>(N+6 or N+7) mod 2715648</w:t>
            </w:r>
          </w:p>
        </w:tc>
      </w:tr>
      <w:tr w:rsidR="00711444" w:rsidRPr="004D0DAA" w14:paraId="4BE2B9CD" w14:textId="77777777" w:rsidTr="00AA2A4C">
        <w:tblPrEx>
          <w:tblCellMar>
            <w:top w:w="0" w:type="dxa"/>
            <w:bottom w:w="0" w:type="dxa"/>
          </w:tblCellMar>
        </w:tblPrEx>
        <w:trPr>
          <w:cantSplit/>
          <w:trHeight w:val="212"/>
          <w:jc w:val="center"/>
        </w:trPr>
        <w:tc>
          <w:tcPr>
            <w:tcW w:w="595" w:type="dxa"/>
          </w:tcPr>
          <w:p w14:paraId="07AEC849" w14:textId="77777777" w:rsidR="00711444" w:rsidRPr="004D0DAA" w:rsidRDefault="00711444" w:rsidP="00AA2A4C">
            <w:pPr>
              <w:pStyle w:val="TAH"/>
              <w:rPr>
                <w:lang w:eastAsia="en-US"/>
              </w:rPr>
            </w:pPr>
            <w:r w:rsidRPr="004D0DAA">
              <w:rPr>
                <w:b w:val="0"/>
                <w:lang w:eastAsia="en-US"/>
              </w:rPr>
              <w:t>1 0 0</w:t>
            </w:r>
          </w:p>
        </w:tc>
        <w:tc>
          <w:tcPr>
            <w:tcW w:w="4503" w:type="dxa"/>
          </w:tcPr>
          <w:p w14:paraId="57464853" w14:textId="77777777" w:rsidR="00711444" w:rsidRPr="004D0DAA" w:rsidRDefault="00711444" w:rsidP="00AA2A4C">
            <w:pPr>
              <w:pStyle w:val="TAL"/>
              <w:rPr>
                <w:lang w:eastAsia="en-US"/>
              </w:rPr>
            </w:pPr>
            <w:r w:rsidRPr="004D0DAA">
              <w:rPr>
                <w:lang w:eastAsia="en-US"/>
              </w:rPr>
              <w:t>Piggy-backed Ack/Nack bitmap type FPB (see sub-clause 8.1.2.2) see note</w:t>
            </w:r>
          </w:p>
        </w:tc>
        <w:tc>
          <w:tcPr>
            <w:tcW w:w="1710" w:type="dxa"/>
          </w:tcPr>
          <w:p w14:paraId="3E516DA5" w14:textId="77777777" w:rsidR="00711444" w:rsidRPr="004D0DAA" w:rsidRDefault="00711444" w:rsidP="00AA2A4C">
            <w:pPr>
              <w:pStyle w:val="TAC"/>
              <w:rPr>
                <w:lang w:eastAsia="en-US"/>
              </w:rPr>
            </w:pPr>
            <w:r w:rsidRPr="004D0DAA">
              <w:rPr>
                <w:lang w:eastAsia="en-US"/>
              </w:rPr>
              <w:t>(N+13) mod 2715648</w:t>
            </w:r>
          </w:p>
        </w:tc>
        <w:tc>
          <w:tcPr>
            <w:tcW w:w="1867" w:type="dxa"/>
          </w:tcPr>
          <w:p w14:paraId="54E83672" w14:textId="77777777" w:rsidR="00711444" w:rsidRPr="004D0DAA" w:rsidRDefault="00711444" w:rsidP="00AA2A4C">
            <w:pPr>
              <w:pStyle w:val="TAC"/>
              <w:rPr>
                <w:lang w:eastAsia="en-US"/>
              </w:rPr>
            </w:pPr>
            <w:r w:rsidRPr="004D0DAA">
              <w:rPr>
                <w:lang w:eastAsia="en-US"/>
              </w:rPr>
              <w:t>(N+8 or N+9) mod 2715648</w:t>
            </w:r>
          </w:p>
          <w:p w14:paraId="6B7D95A5" w14:textId="77777777" w:rsidR="00711444" w:rsidRPr="004D0DAA" w:rsidRDefault="00711444" w:rsidP="00AA2A4C">
            <w:pPr>
              <w:pStyle w:val="TAC"/>
              <w:rPr>
                <w:lang w:eastAsia="en-US"/>
              </w:rPr>
            </w:pPr>
          </w:p>
        </w:tc>
      </w:tr>
      <w:tr w:rsidR="00711444" w:rsidRPr="004D0DAA" w14:paraId="42F84380" w14:textId="77777777" w:rsidTr="00AA2A4C">
        <w:tblPrEx>
          <w:tblCellMar>
            <w:top w:w="0" w:type="dxa"/>
            <w:bottom w:w="0" w:type="dxa"/>
          </w:tblCellMar>
        </w:tblPrEx>
        <w:trPr>
          <w:cantSplit/>
          <w:trHeight w:val="212"/>
          <w:jc w:val="center"/>
        </w:trPr>
        <w:tc>
          <w:tcPr>
            <w:tcW w:w="595" w:type="dxa"/>
          </w:tcPr>
          <w:p w14:paraId="53FEC5D0" w14:textId="77777777" w:rsidR="00711444" w:rsidRPr="004D0DAA" w:rsidRDefault="00711444" w:rsidP="00AA2A4C">
            <w:pPr>
              <w:pStyle w:val="TAH"/>
              <w:rPr>
                <w:lang w:eastAsia="en-US"/>
              </w:rPr>
            </w:pPr>
            <w:r w:rsidRPr="004D0DAA">
              <w:rPr>
                <w:b w:val="0"/>
                <w:lang w:eastAsia="en-US"/>
              </w:rPr>
              <w:t>1 0 1</w:t>
            </w:r>
          </w:p>
        </w:tc>
        <w:tc>
          <w:tcPr>
            <w:tcW w:w="4503" w:type="dxa"/>
          </w:tcPr>
          <w:p w14:paraId="6FF79C51" w14:textId="77777777" w:rsidR="00711444" w:rsidRPr="004D0DAA" w:rsidRDefault="00711444" w:rsidP="00AA2A4C">
            <w:pPr>
              <w:pStyle w:val="TAL"/>
              <w:rPr>
                <w:lang w:eastAsia="en-US"/>
              </w:rPr>
            </w:pPr>
            <w:r w:rsidRPr="004D0DAA">
              <w:rPr>
                <w:lang w:eastAsia="en-US"/>
              </w:rPr>
              <w:t>Channel quality report(s), and if there is enough room left in RLC/MAC block, Extended Ack/Nack bitmap type NPB</w:t>
            </w:r>
          </w:p>
        </w:tc>
        <w:tc>
          <w:tcPr>
            <w:tcW w:w="1710" w:type="dxa"/>
          </w:tcPr>
          <w:p w14:paraId="0934D4E0" w14:textId="77777777" w:rsidR="00711444" w:rsidRPr="004D0DAA" w:rsidRDefault="00711444" w:rsidP="00AA2A4C">
            <w:pPr>
              <w:pStyle w:val="TAC"/>
              <w:rPr>
                <w:lang w:eastAsia="en-US"/>
              </w:rPr>
            </w:pPr>
            <w:r w:rsidRPr="004D0DAA">
              <w:rPr>
                <w:lang w:eastAsia="en-US"/>
              </w:rPr>
              <w:t>(N+8 or N+9) mod 2715648</w:t>
            </w:r>
          </w:p>
        </w:tc>
        <w:tc>
          <w:tcPr>
            <w:tcW w:w="1867" w:type="dxa"/>
          </w:tcPr>
          <w:p w14:paraId="4AD75C2F" w14:textId="77777777" w:rsidR="00711444" w:rsidRPr="004D0DAA" w:rsidRDefault="00711444" w:rsidP="00AA2A4C">
            <w:pPr>
              <w:pStyle w:val="TAC"/>
              <w:rPr>
                <w:lang w:eastAsia="en-US"/>
              </w:rPr>
            </w:pPr>
            <w:r w:rsidRPr="004D0DAA">
              <w:rPr>
                <w:lang w:eastAsia="en-US"/>
              </w:rPr>
              <w:t>(N+6 or N+7) mod 2715648</w:t>
            </w:r>
          </w:p>
        </w:tc>
      </w:tr>
      <w:tr w:rsidR="00711444" w:rsidRPr="004D0DAA" w14:paraId="69E0B372" w14:textId="77777777" w:rsidTr="00AA2A4C">
        <w:tblPrEx>
          <w:tblCellMar>
            <w:top w:w="0" w:type="dxa"/>
            <w:bottom w:w="0" w:type="dxa"/>
          </w:tblCellMar>
        </w:tblPrEx>
        <w:trPr>
          <w:cantSplit/>
          <w:trHeight w:val="212"/>
          <w:jc w:val="center"/>
        </w:trPr>
        <w:tc>
          <w:tcPr>
            <w:tcW w:w="595" w:type="dxa"/>
          </w:tcPr>
          <w:p w14:paraId="494269D4" w14:textId="77777777" w:rsidR="00711444" w:rsidRPr="004D0DAA" w:rsidRDefault="00711444" w:rsidP="00AA2A4C">
            <w:pPr>
              <w:pStyle w:val="TAH"/>
              <w:rPr>
                <w:lang w:eastAsia="en-US"/>
              </w:rPr>
            </w:pPr>
            <w:r w:rsidRPr="004D0DAA">
              <w:rPr>
                <w:b w:val="0"/>
                <w:lang w:eastAsia="en-US"/>
              </w:rPr>
              <w:t>1 1 0</w:t>
            </w:r>
          </w:p>
        </w:tc>
        <w:tc>
          <w:tcPr>
            <w:tcW w:w="4503" w:type="dxa"/>
          </w:tcPr>
          <w:p w14:paraId="13E2CC2D" w14:textId="77777777" w:rsidR="00711444" w:rsidRPr="004D0DAA" w:rsidRDefault="00711444" w:rsidP="00AA2A4C">
            <w:pPr>
              <w:pStyle w:val="TAL"/>
              <w:rPr>
                <w:lang w:eastAsia="en-US"/>
              </w:rPr>
            </w:pPr>
            <w:r w:rsidRPr="004D0DAA">
              <w:rPr>
                <w:lang w:eastAsia="en-US"/>
              </w:rPr>
              <w:t>Channel quality report(s), and if there is enough room left in RLC/MAC block, Extended Ack/Nack bitmap type NPB</w:t>
            </w:r>
          </w:p>
        </w:tc>
        <w:tc>
          <w:tcPr>
            <w:tcW w:w="1710" w:type="dxa"/>
          </w:tcPr>
          <w:p w14:paraId="7EBF8BDF" w14:textId="77777777" w:rsidR="00711444" w:rsidRPr="004D0DAA" w:rsidRDefault="00711444" w:rsidP="00AA2A4C">
            <w:pPr>
              <w:pStyle w:val="TAC"/>
              <w:rPr>
                <w:lang w:eastAsia="en-US"/>
              </w:rPr>
            </w:pPr>
            <w:r w:rsidRPr="004D0DAA">
              <w:rPr>
                <w:lang w:eastAsia="en-US"/>
              </w:rPr>
              <w:t>(N+13) mod 2715648</w:t>
            </w:r>
          </w:p>
        </w:tc>
        <w:tc>
          <w:tcPr>
            <w:tcW w:w="1867" w:type="dxa"/>
          </w:tcPr>
          <w:p w14:paraId="1565ECB1" w14:textId="77777777" w:rsidR="00711444" w:rsidRPr="004D0DAA" w:rsidRDefault="00711444" w:rsidP="00AA2A4C">
            <w:pPr>
              <w:pStyle w:val="TAC"/>
              <w:rPr>
                <w:lang w:eastAsia="en-US"/>
              </w:rPr>
            </w:pPr>
            <w:r w:rsidRPr="004D0DAA">
              <w:rPr>
                <w:lang w:eastAsia="en-US"/>
              </w:rPr>
              <w:t>(N+8 or N+9) mod 2715648</w:t>
            </w:r>
          </w:p>
          <w:p w14:paraId="0235ED63" w14:textId="77777777" w:rsidR="00711444" w:rsidRPr="004D0DAA" w:rsidRDefault="00711444" w:rsidP="00AA2A4C">
            <w:pPr>
              <w:pStyle w:val="TAC"/>
              <w:rPr>
                <w:lang w:eastAsia="en-US"/>
              </w:rPr>
            </w:pPr>
          </w:p>
        </w:tc>
      </w:tr>
      <w:tr w:rsidR="00711444" w:rsidRPr="004D0DAA" w14:paraId="08E61F65" w14:textId="77777777" w:rsidTr="00AA2A4C">
        <w:tblPrEx>
          <w:tblCellMar>
            <w:top w:w="0" w:type="dxa"/>
            <w:bottom w:w="0" w:type="dxa"/>
          </w:tblCellMar>
        </w:tblPrEx>
        <w:trPr>
          <w:cantSplit/>
          <w:trHeight w:val="212"/>
          <w:jc w:val="center"/>
        </w:trPr>
        <w:tc>
          <w:tcPr>
            <w:tcW w:w="595" w:type="dxa"/>
          </w:tcPr>
          <w:p w14:paraId="6C511D5E" w14:textId="77777777" w:rsidR="00711444" w:rsidRPr="004D0DAA" w:rsidRDefault="00711444" w:rsidP="00AA2A4C">
            <w:pPr>
              <w:pStyle w:val="TAH"/>
              <w:rPr>
                <w:lang w:eastAsia="en-US"/>
              </w:rPr>
            </w:pPr>
            <w:r w:rsidRPr="004D0DAA">
              <w:rPr>
                <w:b w:val="0"/>
                <w:lang w:eastAsia="en-US"/>
              </w:rPr>
              <w:t>1 1 1</w:t>
            </w:r>
          </w:p>
        </w:tc>
        <w:tc>
          <w:tcPr>
            <w:tcW w:w="4503" w:type="dxa"/>
          </w:tcPr>
          <w:p w14:paraId="7EE080C7" w14:textId="77777777" w:rsidR="00711444" w:rsidRPr="004D0DAA" w:rsidRDefault="00711444" w:rsidP="00AA2A4C">
            <w:pPr>
              <w:pStyle w:val="TAL"/>
              <w:rPr>
                <w:lang w:eastAsia="en-US"/>
              </w:rPr>
            </w:pPr>
            <w:r w:rsidRPr="004D0DAA">
              <w:rPr>
                <w:lang w:eastAsia="en-US"/>
              </w:rPr>
              <w:t>Extended Ack/Nack bitmap type NPB, and if there is enough room left in RLC/MAC block, channel quality report(s)</w:t>
            </w:r>
          </w:p>
        </w:tc>
        <w:tc>
          <w:tcPr>
            <w:tcW w:w="1710" w:type="dxa"/>
          </w:tcPr>
          <w:p w14:paraId="05B94636" w14:textId="77777777" w:rsidR="00711444" w:rsidRPr="004D0DAA" w:rsidRDefault="00711444" w:rsidP="00AA2A4C">
            <w:pPr>
              <w:pStyle w:val="TAC"/>
              <w:rPr>
                <w:lang w:eastAsia="en-US"/>
              </w:rPr>
            </w:pPr>
            <w:r w:rsidRPr="004D0DAA">
              <w:rPr>
                <w:lang w:eastAsia="en-US"/>
              </w:rPr>
              <w:t>(N+8 or N+9) mod 2715648</w:t>
            </w:r>
          </w:p>
        </w:tc>
        <w:tc>
          <w:tcPr>
            <w:tcW w:w="1867" w:type="dxa"/>
          </w:tcPr>
          <w:p w14:paraId="2FC73918" w14:textId="77777777" w:rsidR="00711444" w:rsidRPr="004D0DAA" w:rsidRDefault="00711444" w:rsidP="00AA2A4C">
            <w:pPr>
              <w:pStyle w:val="TAC"/>
              <w:rPr>
                <w:lang w:eastAsia="en-US"/>
              </w:rPr>
            </w:pPr>
            <w:r w:rsidRPr="004D0DAA">
              <w:rPr>
                <w:lang w:eastAsia="en-US"/>
              </w:rPr>
              <w:t>(N+6 or N+7) mod 2715648</w:t>
            </w:r>
          </w:p>
        </w:tc>
      </w:tr>
      <w:tr w:rsidR="00711444" w:rsidRPr="004D0DAA" w14:paraId="38F2934B" w14:textId="77777777" w:rsidTr="00AA2A4C">
        <w:tblPrEx>
          <w:tblCellMar>
            <w:top w:w="0" w:type="dxa"/>
            <w:bottom w:w="0" w:type="dxa"/>
          </w:tblCellMar>
        </w:tblPrEx>
        <w:trPr>
          <w:cantSplit/>
          <w:trHeight w:val="212"/>
          <w:jc w:val="center"/>
        </w:trPr>
        <w:tc>
          <w:tcPr>
            <w:tcW w:w="8675" w:type="dxa"/>
            <w:gridSpan w:val="4"/>
          </w:tcPr>
          <w:p w14:paraId="7F4F18B7" w14:textId="77777777" w:rsidR="00711444" w:rsidRPr="004D0DAA" w:rsidRDefault="00711444" w:rsidP="00AA2A4C">
            <w:pPr>
              <w:pStyle w:val="TAN"/>
              <w:rPr>
                <w:lang w:eastAsia="en-US"/>
              </w:rPr>
            </w:pPr>
            <w:r w:rsidRPr="004D0DAA">
              <w:rPr>
                <w:lang w:eastAsia="en-US"/>
              </w:rPr>
              <w:t>NOTE:</w:t>
            </w:r>
            <w:r w:rsidRPr="004D0DAA">
              <w:rPr>
                <w:lang w:eastAsia="en-US"/>
              </w:rPr>
              <w:tab/>
              <w:t>In case where a PAN cannot be sent, the Extended Ack/Nack bitmap type NPB with measurement report included shall be transmitted on the allocated reserved block instead (see sub-clause 9.1.14.2).</w:t>
            </w:r>
          </w:p>
          <w:p w14:paraId="18741912" w14:textId="77777777" w:rsidR="00711444" w:rsidRPr="004D0DAA" w:rsidRDefault="00711444" w:rsidP="00AA2A4C">
            <w:pPr>
              <w:pStyle w:val="TAN"/>
              <w:rPr>
                <w:lang w:eastAsia="en-US"/>
              </w:rPr>
            </w:pPr>
          </w:p>
        </w:tc>
      </w:tr>
    </w:tbl>
    <w:p w14:paraId="4D097039" w14:textId="77777777" w:rsidR="00711444" w:rsidRPr="004D0DAA" w:rsidRDefault="00711444" w:rsidP="00711444"/>
    <w:p w14:paraId="7E231B96" w14:textId="77777777" w:rsidR="00711444" w:rsidRPr="004D0DAA" w:rsidRDefault="00711444" w:rsidP="00711444">
      <w:r w:rsidRPr="004D0DAA">
        <w:t xml:space="preserve">In case of a DLMC configuration </w:t>
      </w:r>
      <w:r w:rsidRPr="004D0DAA">
        <w:rPr>
          <w:lang w:eastAsia="ko-KR"/>
        </w:rPr>
        <w:t xml:space="preserve">using an SNS of 8192 </w:t>
      </w:r>
      <w:r w:rsidRPr="004D0DAA">
        <w:t xml:space="preserve">the CES/P field within the RLC data block header (see sub-clause 10.3a.3.1, 10.3a.3.2, 10.3a.3.3, 10.3a.3.4, 10.3a.3.5 and 10.3a.3.10) is coded as shown in Table 10.4.4b.2. </w:t>
      </w:r>
    </w:p>
    <w:p w14:paraId="23E64460" w14:textId="77777777" w:rsidR="00711444" w:rsidRPr="004D0DAA" w:rsidRDefault="00711444" w:rsidP="00711444">
      <w:pPr>
        <w:pStyle w:val="TH"/>
      </w:pPr>
      <w:r w:rsidRPr="004D0DAA">
        <w:lastRenderedPageBreak/>
        <w:t xml:space="preserve">Table 10.4.4b.2: </w:t>
      </w:r>
      <w:r w:rsidRPr="004D0DAA">
        <w:rPr>
          <w:rFonts w:hint="eastAsia"/>
          <w:lang w:eastAsia="ko-KR"/>
        </w:rPr>
        <w:t>Combined EGPRS</w:t>
      </w:r>
      <w:r w:rsidRPr="004D0DAA">
        <w:t xml:space="preserve"> Supplementary/Polling (</w:t>
      </w:r>
      <w:r w:rsidRPr="004D0DAA">
        <w:rPr>
          <w:rFonts w:hint="eastAsia"/>
          <w:lang w:eastAsia="ko-KR"/>
        </w:rPr>
        <w:t>C</w:t>
      </w:r>
      <w:r w:rsidRPr="004D0DAA">
        <w:t>ES/P) field - DLMC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5"/>
        <w:gridCol w:w="3261"/>
        <w:gridCol w:w="2409"/>
        <w:gridCol w:w="2410"/>
      </w:tblGrid>
      <w:tr w:rsidR="00711444" w:rsidRPr="004D0DAA" w14:paraId="1ECB7DAF" w14:textId="77777777" w:rsidTr="00AA2A4C">
        <w:tblPrEx>
          <w:tblCellMar>
            <w:top w:w="0" w:type="dxa"/>
            <w:bottom w:w="0" w:type="dxa"/>
          </w:tblCellMar>
        </w:tblPrEx>
        <w:trPr>
          <w:cantSplit/>
          <w:trHeight w:val="213"/>
          <w:jc w:val="center"/>
        </w:trPr>
        <w:tc>
          <w:tcPr>
            <w:tcW w:w="595" w:type="dxa"/>
            <w:vMerge w:val="restart"/>
          </w:tcPr>
          <w:p w14:paraId="53D9EC84" w14:textId="77777777" w:rsidR="00711444" w:rsidRPr="004D0DAA" w:rsidRDefault="00711444" w:rsidP="00AA2A4C">
            <w:pPr>
              <w:pStyle w:val="TAH"/>
              <w:rPr>
                <w:lang w:eastAsia="en-US"/>
              </w:rPr>
            </w:pPr>
            <w:r w:rsidRPr="004D0DAA">
              <w:rPr>
                <w:lang w:eastAsia="en-US"/>
              </w:rPr>
              <w:t>bits</w:t>
            </w:r>
            <w:r w:rsidRPr="004D0DAA">
              <w:rPr>
                <w:lang w:eastAsia="en-US"/>
              </w:rPr>
              <w:br/>
              <w:t>5 4</w:t>
            </w:r>
          </w:p>
        </w:tc>
        <w:tc>
          <w:tcPr>
            <w:tcW w:w="8080" w:type="dxa"/>
            <w:gridSpan w:val="3"/>
          </w:tcPr>
          <w:p w14:paraId="6A537564" w14:textId="77777777" w:rsidR="00711444" w:rsidRPr="004D0DAA" w:rsidRDefault="00711444" w:rsidP="00AA2A4C">
            <w:pPr>
              <w:pStyle w:val="TAH"/>
              <w:rPr>
                <w:lang w:eastAsia="en-US"/>
              </w:rPr>
            </w:pPr>
            <w:r w:rsidRPr="004D0DAA">
              <w:rPr>
                <w:lang w:eastAsia="en-US"/>
              </w:rPr>
              <w:t>CES/P</w:t>
            </w:r>
          </w:p>
        </w:tc>
      </w:tr>
      <w:tr w:rsidR="00711444" w:rsidRPr="004D0DAA" w14:paraId="663C1169" w14:textId="77777777" w:rsidTr="00AA2A4C">
        <w:tblPrEx>
          <w:tblCellMar>
            <w:top w:w="0" w:type="dxa"/>
            <w:bottom w:w="0" w:type="dxa"/>
          </w:tblCellMar>
        </w:tblPrEx>
        <w:trPr>
          <w:cantSplit/>
          <w:trHeight w:val="212"/>
          <w:jc w:val="center"/>
        </w:trPr>
        <w:tc>
          <w:tcPr>
            <w:tcW w:w="595" w:type="dxa"/>
            <w:vMerge/>
          </w:tcPr>
          <w:p w14:paraId="7FA15BD1" w14:textId="77777777" w:rsidR="00711444" w:rsidRPr="004D0DAA" w:rsidRDefault="00711444" w:rsidP="00AA2A4C"/>
        </w:tc>
        <w:tc>
          <w:tcPr>
            <w:tcW w:w="3261" w:type="dxa"/>
            <w:vMerge w:val="restart"/>
          </w:tcPr>
          <w:p w14:paraId="6C4C586F" w14:textId="77777777" w:rsidR="00711444" w:rsidRPr="004D0DAA" w:rsidRDefault="00711444" w:rsidP="00AA2A4C">
            <w:pPr>
              <w:pStyle w:val="TAH"/>
              <w:rPr>
                <w:lang w:eastAsia="en-US"/>
              </w:rPr>
            </w:pPr>
            <w:r w:rsidRPr="004D0DAA">
              <w:rPr>
                <w:lang w:eastAsia="en-US"/>
              </w:rPr>
              <w:t>Feedback</w:t>
            </w:r>
          </w:p>
        </w:tc>
        <w:tc>
          <w:tcPr>
            <w:tcW w:w="4819" w:type="dxa"/>
            <w:gridSpan w:val="2"/>
          </w:tcPr>
          <w:p w14:paraId="47E98FBD" w14:textId="77777777" w:rsidR="00711444" w:rsidRPr="004D0DAA" w:rsidRDefault="00711444" w:rsidP="00AA2A4C">
            <w:pPr>
              <w:pStyle w:val="TAH"/>
              <w:rPr>
                <w:lang w:eastAsia="en-US"/>
              </w:rPr>
            </w:pPr>
            <w:r w:rsidRPr="004D0DAA">
              <w:rPr>
                <w:lang w:eastAsia="en-US"/>
              </w:rPr>
              <w:t>Reserved Block</w:t>
            </w:r>
          </w:p>
        </w:tc>
      </w:tr>
      <w:tr w:rsidR="00711444" w:rsidRPr="004D0DAA" w14:paraId="680E1318" w14:textId="77777777" w:rsidTr="00AA2A4C">
        <w:tblPrEx>
          <w:tblCellMar>
            <w:top w:w="0" w:type="dxa"/>
            <w:bottom w:w="0" w:type="dxa"/>
          </w:tblCellMar>
        </w:tblPrEx>
        <w:trPr>
          <w:cantSplit/>
          <w:trHeight w:val="212"/>
          <w:jc w:val="center"/>
        </w:trPr>
        <w:tc>
          <w:tcPr>
            <w:tcW w:w="595" w:type="dxa"/>
            <w:vMerge/>
          </w:tcPr>
          <w:p w14:paraId="2974DB7D" w14:textId="77777777" w:rsidR="00711444" w:rsidRPr="004D0DAA" w:rsidRDefault="00711444" w:rsidP="00AA2A4C"/>
        </w:tc>
        <w:tc>
          <w:tcPr>
            <w:tcW w:w="3261" w:type="dxa"/>
            <w:vMerge/>
          </w:tcPr>
          <w:p w14:paraId="031504EF" w14:textId="77777777" w:rsidR="00711444" w:rsidRPr="004D0DAA" w:rsidRDefault="00711444" w:rsidP="00AA2A4C"/>
        </w:tc>
        <w:tc>
          <w:tcPr>
            <w:tcW w:w="2409" w:type="dxa"/>
          </w:tcPr>
          <w:p w14:paraId="586AF2FB" w14:textId="77777777" w:rsidR="00711444" w:rsidRPr="004D0DAA" w:rsidRDefault="00711444" w:rsidP="00AA2A4C">
            <w:pPr>
              <w:pStyle w:val="TAH"/>
              <w:rPr>
                <w:lang w:eastAsia="en-US"/>
              </w:rPr>
            </w:pPr>
            <w:r w:rsidRPr="004D0DAA">
              <w:rPr>
                <w:lang w:eastAsia="en-US"/>
              </w:rPr>
              <w:t>BTTI</w:t>
            </w:r>
          </w:p>
        </w:tc>
        <w:tc>
          <w:tcPr>
            <w:tcW w:w="2410" w:type="dxa"/>
          </w:tcPr>
          <w:p w14:paraId="19F85CD5" w14:textId="77777777" w:rsidR="00711444" w:rsidRPr="004D0DAA" w:rsidRDefault="00711444" w:rsidP="00AA2A4C">
            <w:pPr>
              <w:pStyle w:val="TAH"/>
              <w:rPr>
                <w:lang w:eastAsia="en-US"/>
              </w:rPr>
            </w:pPr>
            <w:r w:rsidRPr="004D0DAA">
              <w:rPr>
                <w:lang w:eastAsia="en-US"/>
              </w:rPr>
              <w:t>RTTI</w:t>
            </w:r>
          </w:p>
        </w:tc>
      </w:tr>
      <w:tr w:rsidR="00711444" w:rsidRPr="004D0DAA" w14:paraId="0865FF81" w14:textId="77777777" w:rsidTr="00AA2A4C">
        <w:tblPrEx>
          <w:tblCellMar>
            <w:top w:w="0" w:type="dxa"/>
            <w:bottom w:w="0" w:type="dxa"/>
          </w:tblCellMar>
        </w:tblPrEx>
        <w:trPr>
          <w:cantSplit/>
          <w:trHeight w:val="212"/>
          <w:jc w:val="center"/>
        </w:trPr>
        <w:tc>
          <w:tcPr>
            <w:tcW w:w="595" w:type="dxa"/>
          </w:tcPr>
          <w:p w14:paraId="7EFF7700" w14:textId="77777777" w:rsidR="00711444" w:rsidRPr="004D0DAA" w:rsidRDefault="00711444" w:rsidP="00AA2A4C">
            <w:pPr>
              <w:pStyle w:val="TAH"/>
              <w:rPr>
                <w:lang w:eastAsia="en-US"/>
              </w:rPr>
            </w:pPr>
            <w:r w:rsidRPr="004D0DAA">
              <w:rPr>
                <w:b w:val="0"/>
                <w:lang w:eastAsia="en-US"/>
              </w:rPr>
              <w:t>0 0</w:t>
            </w:r>
          </w:p>
        </w:tc>
        <w:tc>
          <w:tcPr>
            <w:tcW w:w="3261" w:type="dxa"/>
          </w:tcPr>
          <w:p w14:paraId="298541CC" w14:textId="77777777" w:rsidR="00711444" w:rsidRPr="004D0DAA" w:rsidRDefault="00711444" w:rsidP="00AA2A4C">
            <w:pPr>
              <w:pStyle w:val="TAL"/>
              <w:rPr>
                <w:lang w:eastAsia="en-US"/>
              </w:rPr>
            </w:pPr>
            <w:r w:rsidRPr="004D0DAA">
              <w:rPr>
                <w:lang w:eastAsia="en-US"/>
              </w:rPr>
              <w:t>no Polling</w:t>
            </w:r>
          </w:p>
        </w:tc>
        <w:tc>
          <w:tcPr>
            <w:tcW w:w="2409" w:type="dxa"/>
          </w:tcPr>
          <w:p w14:paraId="783A0041" w14:textId="77777777" w:rsidR="00711444" w:rsidRPr="004D0DAA" w:rsidRDefault="00711444" w:rsidP="00AA2A4C">
            <w:pPr>
              <w:pStyle w:val="TAC"/>
              <w:rPr>
                <w:lang w:eastAsia="en-US"/>
              </w:rPr>
            </w:pPr>
            <w:r w:rsidRPr="004D0DAA">
              <w:rPr>
                <w:lang w:eastAsia="en-US"/>
              </w:rPr>
              <w:t>-</w:t>
            </w:r>
          </w:p>
        </w:tc>
        <w:tc>
          <w:tcPr>
            <w:tcW w:w="2410" w:type="dxa"/>
          </w:tcPr>
          <w:p w14:paraId="6428B2F3" w14:textId="77777777" w:rsidR="00711444" w:rsidRPr="004D0DAA" w:rsidRDefault="00711444" w:rsidP="00AA2A4C">
            <w:pPr>
              <w:pStyle w:val="TAC"/>
              <w:rPr>
                <w:lang w:eastAsia="en-US"/>
              </w:rPr>
            </w:pPr>
            <w:r w:rsidRPr="004D0DAA">
              <w:rPr>
                <w:lang w:eastAsia="en-US"/>
              </w:rPr>
              <w:t>-</w:t>
            </w:r>
          </w:p>
        </w:tc>
      </w:tr>
      <w:tr w:rsidR="00711444" w:rsidRPr="004D0DAA" w14:paraId="11A81113" w14:textId="77777777" w:rsidTr="00AA2A4C">
        <w:tblPrEx>
          <w:tblCellMar>
            <w:top w:w="0" w:type="dxa"/>
            <w:bottom w:w="0" w:type="dxa"/>
          </w:tblCellMar>
        </w:tblPrEx>
        <w:trPr>
          <w:cantSplit/>
          <w:trHeight w:val="212"/>
          <w:jc w:val="center"/>
        </w:trPr>
        <w:tc>
          <w:tcPr>
            <w:tcW w:w="595" w:type="dxa"/>
          </w:tcPr>
          <w:p w14:paraId="4C07A891" w14:textId="77777777" w:rsidR="00711444" w:rsidRPr="004D0DAA" w:rsidRDefault="00711444" w:rsidP="00AA2A4C">
            <w:pPr>
              <w:pStyle w:val="TAH"/>
              <w:rPr>
                <w:lang w:eastAsia="en-US"/>
              </w:rPr>
            </w:pPr>
            <w:r w:rsidRPr="004D0DAA">
              <w:rPr>
                <w:b w:val="0"/>
                <w:lang w:eastAsia="en-US"/>
              </w:rPr>
              <w:t>0 1</w:t>
            </w:r>
          </w:p>
        </w:tc>
        <w:tc>
          <w:tcPr>
            <w:tcW w:w="3261" w:type="dxa"/>
          </w:tcPr>
          <w:p w14:paraId="5CDA9F10" w14:textId="77777777" w:rsidR="00711444" w:rsidRPr="004D0DAA" w:rsidRDefault="00711444" w:rsidP="00AA2A4C">
            <w:pPr>
              <w:pStyle w:val="TAL"/>
              <w:rPr>
                <w:lang w:eastAsia="en-US"/>
              </w:rPr>
            </w:pPr>
            <w:r w:rsidRPr="004D0DAA">
              <w:rPr>
                <w:lang w:eastAsia="en-US"/>
              </w:rPr>
              <w:t>Extended Ack/Nack bitmap type FPB, and if there is enough room left in the RLC/MAC block, channel quality report(s)</w:t>
            </w:r>
          </w:p>
        </w:tc>
        <w:tc>
          <w:tcPr>
            <w:tcW w:w="2409" w:type="dxa"/>
          </w:tcPr>
          <w:p w14:paraId="4A15013A" w14:textId="77777777" w:rsidR="00711444" w:rsidRPr="004D0DAA" w:rsidRDefault="00711444" w:rsidP="00AA2A4C">
            <w:pPr>
              <w:pStyle w:val="TAC"/>
              <w:rPr>
                <w:lang w:eastAsia="en-US"/>
              </w:rPr>
            </w:pPr>
            <w:r w:rsidRPr="004D0DAA">
              <w:rPr>
                <w:lang w:eastAsia="en-US"/>
              </w:rPr>
              <w:t>(N+8 or N+9) mod 2715648</w:t>
            </w:r>
          </w:p>
        </w:tc>
        <w:tc>
          <w:tcPr>
            <w:tcW w:w="2410" w:type="dxa"/>
          </w:tcPr>
          <w:p w14:paraId="22DCF4CD" w14:textId="77777777" w:rsidR="00711444" w:rsidRPr="004D0DAA" w:rsidRDefault="00711444" w:rsidP="00AA2A4C">
            <w:pPr>
              <w:pStyle w:val="TAC"/>
              <w:rPr>
                <w:lang w:eastAsia="en-US"/>
              </w:rPr>
            </w:pPr>
            <w:r w:rsidRPr="004D0DAA">
              <w:rPr>
                <w:lang w:eastAsia="en-US"/>
              </w:rPr>
              <w:t>(N+6 or N+7) mod 2715648</w:t>
            </w:r>
          </w:p>
        </w:tc>
      </w:tr>
      <w:tr w:rsidR="00711444" w:rsidRPr="004D0DAA" w14:paraId="69D11890" w14:textId="77777777" w:rsidTr="00AA2A4C">
        <w:tblPrEx>
          <w:tblCellMar>
            <w:top w:w="0" w:type="dxa"/>
            <w:bottom w:w="0" w:type="dxa"/>
          </w:tblCellMar>
        </w:tblPrEx>
        <w:trPr>
          <w:cantSplit/>
          <w:trHeight w:val="212"/>
          <w:jc w:val="center"/>
        </w:trPr>
        <w:tc>
          <w:tcPr>
            <w:tcW w:w="595" w:type="dxa"/>
          </w:tcPr>
          <w:p w14:paraId="77A3CD02" w14:textId="77777777" w:rsidR="00711444" w:rsidRPr="004D0DAA" w:rsidRDefault="00711444" w:rsidP="00AA2A4C">
            <w:pPr>
              <w:pStyle w:val="TAH"/>
              <w:rPr>
                <w:b w:val="0"/>
                <w:lang w:eastAsia="en-US"/>
              </w:rPr>
            </w:pPr>
            <w:r w:rsidRPr="004D0DAA">
              <w:rPr>
                <w:b w:val="0"/>
                <w:lang w:eastAsia="en-US"/>
              </w:rPr>
              <w:t>1 0</w:t>
            </w:r>
          </w:p>
        </w:tc>
        <w:tc>
          <w:tcPr>
            <w:tcW w:w="3261" w:type="dxa"/>
          </w:tcPr>
          <w:p w14:paraId="61FCAE06" w14:textId="77777777" w:rsidR="00711444" w:rsidRPr="004D0DAA" w:rsidRDefault="00711444" w:rsidP="00AA2A4C">
            <w:pPr>
              <w:pStyle w:val="TAL"/>
              <w:rPr>
                <w:lang w:eastAsia="en-US"/>
              </w:rPr>
            </w:pPr>
            <w:r w:rsidRPr="004D0DAA">
              <w:rPr>
                <w:lang w:eastAsia="en-US"/>
              </w:rPr>
              <w:t>Channel quality report(s), and if there is enough room left in the RLC/MAC block, Extended Ack/Nack bitmap type NPB</w:t>
            </w:r>
          </w:p>
        </w:tc>
        <w:tc>
          <w:tcPr>
            <w:tcW w:w="2409" w:type="dxa"/>
          </w:tcPr>
          <w:p w14:paraId="35AD1664" w14:textId="77777777" w:rsidR="00711444" w:rsidRPr="004D0DAA" w:rsidRDefault="00711444" w:rsidP="00AA2A4C">
            <w:pPr>
              <w:pStyle w:val="TAC"/>
              <w:rPr>
                <w:lang w:eastAsia="en-US"/>
              </w:rPr>
            </w:pPr>
            <w:r w:rsidRPr="004D0DAA">
              <w:rPr>
                <w:lang w:eastAsia="en-US"/>
              </w:rPr>
              <w:t>(N+8 or N+9) mod 2715648</w:t>
            </w:r>
          </w:p>
        </w:tc>
        <w:tc>
          <w:tcPr>
            <w:tcW w:w="2410" w:type="dxa"/>
          </w:tcPr>
          <w:p w14:paraId="4C40B79E" w14:textId="77777777" w:rsidR="00711444" w:rsidRPr="004D0DAA" w:rsidRDefault="00711444" w:rsidP="00AA2A4C">
            <w:pPr>
              <w:pStyle w:val="TAC"/>
              <w:rPr>
                <w:lang w:eastAsia="en-US"/>
              </w:rPr>
            </w:pPr>
            <w:r w:rsidRPr="004D0DAA">
              <w:rPr>
                <w:lang w:eastAsia="en-US"/>
              </w:rPr>
              <w:t>(N+6 or N+7) mod 2715648</w:t>
            </w:r>
          </w:p>
        </w:tc>
      </w:tr>
      <w:tr w:rsidR="00711444" w:rsidRPr="004D0DAA" w14:paraId="1B057557" w14:textId="77777777" w:rsidTr="00AA2A4C">
        <w:tblPrEx>
          <w:tblCellMar>
            <w:top w:w="0" w:type="dxa"/>
            <w:bottom w:w="0" w:type="dxa"/>
          </w:tblCellMar>
        </w:tblPrEx>
        <w:trPr>
          <w:cantSplit/>
          <w:trHeight w:val="212"/>
          <w:jc w:val="center"/>
        </w:trPr>
        <w:tc>
          <w:tcPr>
            <w:tcW w:w="595" w:type="dxa"/>
          </w:tcPr>
          <w:p w14:paraId="15A8494C" w14:textId="77777777" w:rsidR="00711444" w:rsidRPr="004D0DAA" w:rsidRDefault="00711444" w:rsidP="00AA2A4C">
            <w:pPr>
              <w:pStyle w:val="TAH"/>
              <w:rPr>
                <w:lang w:eastAsia="en-US"/>
              </w:rPr>
            </w:pPr>
            <w:r w:rsidRPr="004D0DAA">
              <w:rPr>
                <w:b w:val="0"/>
                <w:lang w:eastAsia="en-US"/>
              </w:rPr>
              <w:t>1 1</w:t>
            </w:r>
          </w:p>
        </w:tc>
        <w:tc>
          <w:tcPr>
            <w:tcW w:w="3261" w:type="dxa"/>
          </w:tcPr>
          <w:p w14:paraId="74109B2F" w14:textId="77777777" w:rsidR="00711444" w:rsidRPr="004D0DAA" w:rsidRDefault="00711444" w:rsidP="00AA2A4C">
            <w:pPr>
              <w:pStyle w:val="TAL"/>
              <w:rPr>
                <w:lang w:eastAsia="en-US"/>
              </w:rPr>
            </w:pPr>
            <w:r w:rsidRPr="004D0DAA">
              <w:rPr>
                <w:lang w:eastAsia="en-US"/>
              </w:rPr>
              <w:t>Piggy-backed Ack/Nack bitmap type FPB (see sub-clause 8.1.2.2) - see note</w:t>
            </w:r>
          </w:p>
        </w:tc>
        <w:tc>
          <w:tcPr>
            <w:tcW w:w="2409" w:type="dxa"/>
          </w:tcPr>
          <w:p w14:paraId="3C1E4B37" w14:textId="77777777" w:rsidR="00711444" w:rsidRPr="004D0DAA" w:rsidRDefault="00711444" w:rsidP="00AA2A4C">
            <w:pPr>
              <w:pStyle w:val="TAC"/>
              <w:rPr>
                <w:lang w:eastAsia="en-US"/>
              </w:rPr>
            </w:pPr>
            <w:r w:rsidRPr="004D0DAA">
              <w:rPr>
                <w:lang w:eastAsia="en-US"/>
              </w:rPr>
              <w:t>(N+8 or N+9) mod 2715648</w:t>
            </w:r>
          </w:p>
        </w:tc>
        <w:tc>
          <w:tcPr>
            <w:tcW w:w="2410" w:type="dxa"/>
          </w:tcPr>
          <w:p w14:paraId="7138619B" w14:textId="77777777" w:rsidR="00711444" w:rsidRPr="004D0DAA" w:rsidRDefault="00711444" w:rsidP="00AA2A4C">
            <w:pPr>
              <w:pStyle w:val="TAC"/>
              <w:rPr>
                <w:lang w:eastAsia="en-US"/>
              </w:rPr>
            </w:pPr>
            <w:r w:rsidRPr="004D0DAA">
              <w:rPr>
                <w:lang w:eastAsia="en-US"/>
              </w:rPr>
              <w:t>(N+6 or N+7) mod 2715648</w:t>
            </w:r>
          </w:p>
        </w:tc>
      </w:tr>
      <w:tr w:rsidR="00711444" w:rsidRPr="004D0DAA" w14:paraId="5223DAA4" w14:textId="77777777" w:rsidTr="00AA2A4C">
        <w:tblPrEx>
          <w:tblCellMar>
            <w:top w:w="0" w:type="dxa"/>
            <w:bottom w:w="0" w:type="dxa"/>
          </w:tblCellMar>
        </w:tblPrEx>
        <w:trPr>
          <w:cantSplit/>
          <w:trHeight w:val="212"/>
          <w:jc w:val="center"/>
        </w:trPr>
        <w:tc>
          <w:tcPr>
            <w:tcW w:w="8675" w:type="dxa"/>
            <w:gridSpan w:val="4"/>
          </w:tcPr>
          <w:p w14:paraId="3B73522A" w14:textId="77777777" w:rsidR="00711444" w:rsidRPr="004D0DAA" w:rsidRDefault="00711444" w:rsidP="00AA2A4C">
            <w:pPr>
              <w:pStyle w:val="TAN"/>
              <w:rPr>
                <w:lang w:eastAsia="en-US"/>
              </w:rPr>
            </w:pPr>
            <w:r w:rsidRPr="004D0DAA">
              <w:rPr>
                <w:lang w:eastAsia="en-US"/>
              </w:rPr>
              <w:t>NOTE:</w:t>
            </w:r>
            <w:r w:rsidRPr="004D0DAA">
              <w:rPr>
                <w:lang w:eastAsia="en-US"/>
              </w:rPr>
              <w:tab/>
              <w:t>In case where a PAN cannot be sent, the Extended Ack/Nack bitmap type NPB with channel quality report(s) included shall be transmitted on the allocated reserved block instead (see sub-clause 9.1.14.2).</w:t>
            </w:r>
          </w:p>
        </w:tc>
      </w:tr>
    </w:tbl>
    <w:p w14:paraId="4487A70F" w14:textId="77777777" w:rsidR="00711444" w:rsidRPr="004D0DAA" w:rsidRDefault="00711444" w:rsidP="00711444"/>
    <w:p w14:paraId="2320D05B" w14:textId="77777777" w:rsidR="00711444" w:rsidRPr="004D0DAA" w:rsidRDefault="00711444" w:rsidP="00711444">
      <w:pPr>
        <w:pStyle w:val="Heading3"/>
      </w:pPr>
      <w:bookmarkStart w:id="553" w:name="_Toc516669733"/>
      <w:r w:rsidRPr="004D0DAA">
        <w:t>10.4.4c</w:t>
      </w:r>
      <w:r w:rsidRPr="004D0DAA">
        <w:tab/>
        <w:t>EC-GSM-IoT Supplementary/Polling (ECS/P) Field</w:t>
      </w:r>
      <w:bookmarkEnd w:id="553"/>
    </w:p>
    <w:p w14:paraId="3CE5E7BC" w14:textId="77777777" w:rsidR="00711444" w:rsidRPr="004D0DAA" w:rsidRDefault="00711444" w:rsidP="00711444">
      <w:r w:rsidRPr="004D0DAA">
        <w:t xml:space="preserve">The ECS/P field is used to indicate whether the RRBP field is valid or not valid and, if valid, if a quality report is to be included in the next uplink control block. </w:t>
      </w:r>
    </w:p>
    <w:p w14:paraId="5AF7E55F" w14:textId="77777777" w:rsidR="00711444" w:rsidRPr="004D0DAA" w:rsidRDefault="00711444" w:rsidP="00711444">
      <w:pPr>
        <w:pStyle w:val="TH"/>
      </w:pPr>
      <w:r w:rsidRPr="004D0DAA">
        <w:t>Table 10.4.4c.1: EC-GSM-IoT Supplementary/Polling (ECS/P)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6439"/>
      </w:tblGrid>
      <w:tr w:rsidR="00711444" w:rsidRPr="004D0DAA" w14:paraId="2F741973" w14:textId="77777777" w:rsidTr="00AA2A4C">
        <w:trPr>
          <w:cantSplit/>
          <w:jc w:val="center"/>
        </w:trPr>
        <w:tc>
          <w:tcPr>
            <w:tcW w:w="794" w:type="dxa"/>
          </w:tcPr>
          <w:p w14:paraId="732751B0" w14:textId="77777777" w:rsidR="00711444" w:rsidRPr="004D0DAA" w:rsidRDefault="00711444" w:rsidP="00AA2A4C">
            <w:pPr>
              <w:pStyle w:val="TAH"/>
              <w:rPr>
                <w:lang w:eastAsia="en-US"/>
              </w:rPr>
            </w:pPr>
            <w:r w:rsidRPr="004D0DAA">
              <w:rPr>
                <w:lang w:eastAsia="en-US"/>
              </w:rPr>
              <w:t>bits</w:t>
            </w:r>
            <w:r w:rsidRPr="004D0DAA">
              <w:rPr>
                <w:lang w:eastAsia="en-US"/>
              </w:rPr>
              <w:br/>
              <w:t>5 4</w:t>
            </w:r>
          </w:p>
        </w:tc>
        <w:tc>
          <w:tcPr>
            <w:tcW w:w="6439" w:type="dxa"/>
          </w:tcPr>
          <w:p w14:paraId="4675C785" w14:textId="77777777" w:rsidR="00711444" w:rsidRPr="004D0DAA" w:rsidRDefault="00711444" w:rsidP="00AA2A4C">
            <w:pPr>
              <w:pStyle w:val="TAH"/>
              <w:rPr>
                <w:lang w:eastAsia="en-US"/>
              </w:rPr>
            </w:pPr>
            <w:r w:rsidRPr="004D0DAA">
              <w:rPr>
                <w:lang w:eastAsia="en-US"/>
              </w:rPr>
              <w:t>ECS/P</w:t>
            </w:r>
          </w:p>
        </w:tc>
      </w:tr>
      <w:tr w:rsidR="00711444" w:rsidRPr="004D0DAA" w14:paraId="316B2C6A" w14:textId="77777777" w:rsidTr="00AA2A4C">
        <w:trPr>
          <w:cantSplit/>
          <w:jc w:val="center"/>
        </w:trPr>
        <w:tc>
          <w:tcPr>
            <w:tcW w:w="794" w:type="dxa"/>
          </w:tcPr>
          <w:p w14:paraId="14012C58" w14:textId="77777777" w:rsidR="00711444" w:rsidRPr="004D0DAA" w:rsidRDefault="00711444" w:rsidP="00AA2A4C">
            <w:pPr>
              <w:pStyle w:val="TAC"/>
              <w:rPr>
                <w:lang w:eastAsia="en-US"/>
              </w:rPr>
            </w:pPr>
            <w:r w:rsidRPr="004D0DAA">
              <w:rPr>
                <w:lang w:eastAsia="en-US"/>
              </w:rPr>
              <w:t>0 0</w:t>
            </w:r>
          </w:p>
        </w:tc>
        <w:tc>
          <w:tcPr>
            <w:tcW w:w="6439" w:type="dxa"/>
          </w:tcPr>
          <w:p w14:paraId="0C0EDE19" w14:textId="77777777" w:rsidR="00711444" w:rsidRPr="004D0DAA" w:rsidRDefault="00711444" w:rsidP="00AA2A4C">
            <w:pPr>
              <w:pStyle w:val="TAL"/>
              <w:rPr>
                <w:lang w:eastAsia="en-US"/>
              </w:rPr>
            </w:pPr>
            <w:r w:rsidRPr="004D0DAA">
              <w:rPr>
                <w:lang w:eastAsia="en-US"/>
              </w:rPr>
              <w:t>RRBP field is not valid (no Polling)</w:t>
            </w:r>
          </w:p>
        </w:tc>
      </w:tr>
      <w:tr w:rsidR="00711444" w:rsidRPr="004D0DAA" w14:paraId="54507446" w14:textId="77777777" w:rsidTr="00AA2A4C">
        <w:trPr>
          <w:cantSplit/>
          <w:jc w:val="center"/>
        </w:trPr>
        <w:tc>
          <w:tcPr>
            <w:tcW w:w="794" w:type="dxa"/>
          </w:tcPr>
          <w:p w14:paraId="7793B559" w14:textId="77777777" w:rsidR="00711444" w:rsidRPr="004D0DAA" w:rsidRDefault="00711444" w:rsidP="00AA2A4C">
            <w:pPr>
              <w:pStyle w:val="TAC"/>
              <w:rPr>
                <w:lang w:eastAsia="en-US"/>
              </w:rPr>
            </w:pPr>
            <w:r w:rsidRPr="004D0DAA">
              <w:rPr>
                <w:lang w:eastAsia="en-US"/>
              </w:rPr>
              <w:t>0 1</w:t>
            </w:r>
          </w:p>
        </w:tc>
        <w:tc>
          <w:tcPr>
            <w:tcW w:w="6439" w:type="dxa"/>
          </w:tcPr>
          <w:p w14:paraId="78A1052C" w14:textId="77777777" w:rsidR="00711444" w:rsidRPr="004D0DAA" w:rsidRDefault="00711444" w:rsidP="00AA2A4C">
            <w:pPr>
              <w:pStyle w:val="TAL"/>
              <w:rPr>
                <w:lang w:eastAsia="en-US"/>
              </w:rPr>
            </w:pPr>
            <w:r w:rsidRPr="004D0DAA">
              <w:rPr>
                <w:lang w:eastAsia="en-US"/>
              </w:rPr>
              <w:t>RRBP field is valid, Ack/Nack report to be included</w:t>
            </w:r>
          </w:p>
        </w:tc>
      </w:tr>
      <w:tr w:rsidR="00711444" w:rsidRPr="004D0DAA" w14:paraId="16E19171" w14:textId="77777777" w:rsidTr="00AA2A4C">
        <w:trPr>
          <w:cantSplit/>
          <w:jc w:val="center"/>
        </w:trPr>
        <w:tc>
          <w:tcPr>
            <w:tcW w:w="794" w:type="dxa"/>
          </w:tcPr>
          <w:p w14:paraId="2D89950C" w14:textId="77777777" w:rsidR="00711444" w:rsidRPr="004D0DAA" w:rsidRDefault="00711444" w:rsidP="00AA2A4C">
            <w:pPr>
              <w:pStyle w:val="TAC"/>
              <w:rPr>
                <w:lang w:eastAsia="en-US"/>
              </w:rPr>
            </w:pPr>
            <w:r w:rsidRPr="004D0DAA">
              <w:rPr>
                <w:lang w:eastAsia="en-US"/>
              </w:rPr>
              <w:t>1 0</w:t>
            </w:r>
          </w:p>
        </w:tc>
        <w:tc>
          <w:tcPr>
            <w:tcW w:w="6439" w:type="dxa"/>
          </w:tcPr>
          <w:p w14:paraId="1227AB41" w14:textId="77777777" w:rsidR="00711444" w:rsidRPr="004D0DAA" w:rsidRDefault="00711444" w:rsidP="00AA2A4C">
            <w:pPr>
              <w:pStyle w:val="TAL"/>
              <w:rPr>
                <w:lang w:eastAsia="en-US"/>
              </w:rPr>
            </w:pPr>
            <w:r w:rsidRPr="004D0DAA">
              <w:rPr>
                <w:lang w:eastAsia="en-US"/>
              </w:rPr>
              <w:t>RRBP field is valid, Ack/Nack report to be included. If there is enough room in the RLC/MAC block, a channel quality report shall also be included.</w:t>
            </w:r>
          </w:p>
        </w:tc>
      </w:tr>
      <w:tr w:rsidR="00711444" w:rsidRPr="004D0DAA" w14:paraId="1379A7B4" w14:textId="77777777" w:rsidTr="00AA2A4C">
        <w:trPr>
          <w:cantSplit/>
          <w:jc w:val="center"/>
        </w:trPr>
        <w:tc>
          <w:tcPr>
            <w:tcW w:w="794" w:type="dxa"/>
          </w:tcPr>
          <w:p w14:paraId="669551B3" w14:textId="77777777" w:rsidR="00711444" w:rsidRPr="004D0DAA" w:rsidRDefault="00711444" w:rsidP="00AA2A4C">
            <w:pPr>
              <w:pStyle w:val="TAC"/>
              <w:rPr>
                <w:lang w:eastAsia="en-US"/>
              </w:rPr>
            </w:pPr>
            <w:r w:rsidRPr="004D0DAA">
              <w:rPr>
                <w:lang w:eastAsia="en-US"/>
              </w:rPr>
              <w:t>1 1</w:t>
            </w:r>
          </w:p>
        </w:tc>
        <w:tc>
          <w:tcPr>
            <w:tcW w:w="6439" w:type="dxa"/>
          </w:tcPr>
          <w:p w14:paraId="096C1BF8" w14:textId="77777777" w:rsidR="00711444" w:rsidRPr="004D0DAA" w:rsidRDefault="00711444" w:rsidP="00AA2A4C">
            <w:pPr>
              <w:pStyle w:val="TAL"/>
              <w:rPr>
                <w:lang w:eastAsia="en-US"/>
              </w:rPr>
            </w:pPr>
            <w:r w:rsidRPr="004D0DAA">
              <w:rPr>
                <w:lang w:eastAsia="en-US"/>
              </w:rPr>
              <w:t>Reserved</w:t>
            </w:r>
          </w:p>
        </w:tc>
      </w:tr>
    </w:tbl>
    <w:p w14:paraId="3D23571E" w14:textId="77777777" w:rsidR="00711444" w:rsidRPr="004D0DAA" w:rsidRDefault="00711444" w:rsidP="00711444"/>
    <w:p w14:paraId="0FD1F29E" w14:textId="77777777" w:rsidR="00711444" w:rsidRPr="004D0DAA" w:rsidRDefault="00711444" w:rsidP="00711444">
      <w:pPr>
        <w:pStyle w:val="Heading3"/>
      </w:pPr>
      <w:bookmarkStart w:id="554" w:name="_Toc516669734"/>
      <w:r w:rsidRPr="004D0DAA">
        <w:t>10.4.5</w:t>
      </w:r>
      <w:r w:rsidRPr="004D0DAA">
        <w:tab/>
        <w:t>Relative Reserved Block Period (RRBP) field</w:t>
      </w:r>
      <w:bookmarkEnd w:id="554"/>
    </w:p>
    <w:p w14:paraId="04554D47" w14:textId="77777777" w:rsidR="00711444" w:rsidRPr="004D0DAA" w:rsidRDefault="00711444" w:rsidP="00711444">
      <w:pPr>
        <w:keepLines/>
      </w:pPr>
      <w:r w:rsidRPr="004D0DAA">
        <w:t>The RRBP value specifies a single uplink block in which the mobile station shall transmit either a PACKET CONTROL ACKNOWLEDGEMENT message, an EC PACKET CONTROL ACKNOWLEDGEMENT or EC PACKET CONTROL ACKNOWLEDGEMENT HIGHER CC message, a PACCH block or an EC-PACCH block to the network. If the RRBP field is received as part of an RLC/MAC block containing an RLC/MAC control block, the mobile station shall transmit a PACKET CONTROL ACKNOWLEDGEMENT or an EC PACKET CONTROL ACKNOWLEDGEMENT or EC PACKET CONTROL ACKNOWLEDGEMENT HIGHER CC message in the uplink radio block specified, except if:</w:t>
      </w:r>
    </w:p>
    <w:p w14:paraId="578240E8" w14:textId="77777777" w:rsidR="00711444" w:rsidRPr="004D0DAA" w:rsidRDefault="00711444" w:rsidP="00711444">
      <w:pPr>
        <w:pStyle w:val="B1"/>
      </w:pPr>
      <w:r w:rsidRPr="004D0DAA">
        <w:t>-</w:t>
      </w:r>
      <w:r w:rsidRPr="004D0DAA">
        <w:tab/>
        <w:t>The received message is a Packet Paging Request, Packet Access Reject, or Packet Queuing Notification message, or</w:t>
      </w:r>
    </w:p>
    <w:p w14:paraId="3B00F340" w14:textId="77777777" w:rsidR="00711444" w:rsidRPr="004D0DAA" w:rsidRDefault="00711444" w:rsidP="00711444">
      <w:pPr>
        <w:pStyle w:val="B1"/>
      </w:pPr>
      <w:r w:rsidRPr="004D0DAA">
        <w:t>-</w:t>
      </w:r>
      <w:r w:rsidRPr="004D0DAA">
        <w:tab/>
        <w:t>It is specified elsewhere that the mobile station shall not respond to the polling request.</w:t>
      </w:r>
    </w:p>
    <w:p w14:paraId="2E80B877" w14:textId="77777777" w:rsidR="00711444" w:rsidRPr="004D0DAA" w:rsidRDefault="00711444" w:rsidP="00711444">
      <w:pPr>
        <w:keepLines/>
      </w:pPr>
      <w:r w:rsidRPr="004D0DAA">
        <w:t>If the RRBP field is received as part of an RLC/MAC block containing an RLC/MAC control block containing a Packet Paging Request, Packet Access Reject, or Packet Queuing Notification message, or it is specified elsewhere that the mobile station shall not respond to the polling request, the mobile station shall ignore this RRBP field. The mobile station shall only react on RLC/MAC control blocks containing a valid RRBP field if the mobile station is addressed either in the downlink RLC/MAC control block header or in the control message itself. If the control message is segmented into more than one downlink RLC/MAC control blocks the mobile station shall react only on RLC/MAC control blocks containing a valid RRBP field if the mobile station is addressed in the downlink RLC/MAC control block header.</w:t>
      </w:r>
    </w:p>
    <w:p w14:paraId="1B317B62" w14:textId="77777777" w:rsidR="00711444" w:rsidRPr="004D0DAA" w:rsidRDefault="00711444" w:rsidP="00711444">
      <w:r w:rsidRPr="004D0DAA">
        <w:t xml:space="preserve">If the mobile station receives two or more RLC/MAC blocks containing an RLC/MAC control message with different RRBP values such that they specify the same uplink block, the mobile station shall transmit one PACKET CONTROL </w:t>
      </w:r>
      <w:r w:rsidRPr="004D0DAA">
        <w:lastRenderedPageBreak/>
        <w:t>ACKNOWLEDGEMENT or an EC PACKET CONTROL ACKNOWLEDGEMENT or EC PACKET CONTROL ACKNOWLEDGEMENT HIGHER CC message in the specified uplink radio block.</w:t>
      </w:r>
    </w:p>
    <w:p w14:paraId="54572363" w14:textId="77777777" w:rsidR="00711444" w:rsidRPr="004D0DAA" w:rsidRDefault="00711444" w:rsidP="00711444">
      <w:r w:rsidRPr="004D0DAA">
        <w:t>If the RRBP field is received as part of a RLC/MAC block containing an RLC data block, the mobile station shall transmit a PACCH block or an EC-PACCH block in the specified uplink radio block. If the mobile station receives two or more RLC/MAC blocks containing an RLC data block with different RRBP values such they specify the same uplink radio block, the mobile station shall transmit one (EC-)PACCH block in the specified uplink radio block.</w:t>
      </w:r>
    </w:p>
    <w:p w14:paraId="2DF55D11" w14:textId="77777777" w:rsidR="00711444" w:rsidRPr="004D0DAA" w:rsidRDefault="00711444" w:rsidP="00711444">
      <w:r w:rsidRPr="004D0DAA">
        <w:t>If the mobile station receives an RLC data block and an RLC/MAC control block with different RRBP values such that they specify the same uplink radio block, the mobile station shall transmit a PACKET CONTROL ACKNOWLEDGEMENT or an EC PACKET CONTROL ACKNOWLEDGEMENT or EC PACKET CONTROL ACKNOWLEDGEMENT HIGHER CC message in the specified uplink radio block.</w:t>
      </w:r>
    </w:p>
    <w:p w14:paraId="39000F52" w14:textId="77777777" w:rsidR="00711444" w:rsidRPr="004D0DAA" w:rsidRDefault="00711444" w:rsidP="00711444">
      <w:r w:rsidRPr="004D0DAA">
        <w:t xml:space="preserve">If no uplink control timeslot is assigned to the mobile station and EFTA is not used at the time the RRBP field is received, the mobile station shall transmit the uplink radio block on the same timeslot as the block where the RRBP was received (in case of a BTTI configuration) or on the corresponding uplink PDCH pair to the downlink PDCH pair where the block containing the RRBP was received (in case of a RTTI configuration). If EFTA is used at the time the RRBP field is received however, the mobile station shall instead transmit the uplink radio block according to the uplink radio block transmission order as described in Annex N regardless of the timeslot or PDCH-pair where the block containing the RRBP was received. </w:t>
      </w:r>
    </w:p>
    <w:p w14:paraId="525894D4" w14:textId="77777777" w:rsidR="00711444" w:rsidRPr="004D0DAA" w:rsidRDefault="00711444" w:rsidP="00711444">
      <w:r w:rsidRPr="004D0DAA">
        <w:t>If an uplink control timeslot is assigned to the mobile station, the mobile station shall transmit the uplink radio block on this uplink control timeslot (in case of a BTTI configuration) or on the uplink PDCH pair the uplink control timeslot belongs to (in case of an RTTI configuration).</w:t>
      </w:r>
    </w:p>
    <w:p w14:paraId="2B527344" w14:textId="77777777" w:rsidR="00711444" w:rsidRPr="004D0DAA" w:rsidRDefault="00711444" w:rsidP="00711444">
      <w:pPr>
        <w:pStyle w:val="NO"/>
      </w:pPr>
      <w:r w:rsidRPr="004D0DAA">
        <w:t>NOTE:</w:t>
      </w:r>
      <w:r w:rsidRPr="004D0DAA">
        <w:tab/>
        <w:t>In case of an RTTI configuration, the network should not poll the mobile station on a downlink PDCH pair for which no corresponding uplink PDCH pair exists.</w:t>
      </w:r>
    </w:p>
    <w:p w14:paraId="151CC0E9" w14:textId="77777777" w:rsidR="00711444" w:rsidRPr="004D0DAA" w:rsidRDefault="00711444" w:rsidP="00711444">
      <w:r w:rsidRPr="004D0DAA">
        <w:t>After receiving an RLC/MAC block containing a valid RRBP field the mobile station need not monitor the USF in the associated downlink RLC/MAC block appearing just before the uplink block it shall transmit. However, when Extended Dynamic Allocation or Shifted USF operation is used, the corresponding USF monitoring procedure shall apply as described in sub-clause 8.1.1.2.1 and sub-clause 8.1.1.2.4 respectively.</w:t>
      </w:r>
    </w:p>
    <w:p w14:paraId="0B216FE2" w14:textId="77777777" w:rsidR="00711444" w:rsidRPr="004D0DAA" w:rsidRDefault="00711444" w:rsidP="00711444">
      <w:r w:rsidRPr="004D0DAA">
        <w:t>After receiving an RLC/MAC block containing a valid RRBP field for an EC TBF, the mobile station need not monitor the downlink RLC/MAC blocks during the radio block periods where it shall transmit the uplink response.</w:t>
      </w:r>
    </w:p>
    <w:p w14:paraId="1CCDDE49" w14:textId="77777777" w:rsidR="00711444" w:rsidRPr="004D0DAA" w:rsidRDefault="00711444" w:rsidP="00711444">
      <w:r w:rsidRPr="004D0DAA">
        <w:t>A polled control message shall always be sent in the uplink block specified by the corresponding valid RRBP field of a downlink RLC/MAC control block, and not in any other uplink block that may be allocated to the mobile station.</w:t>
      </w:r>
    </w:p>
    <w:p w14:paraId="20D55E4E" w14:textId="77777777" w:rsidR="00711444" w:rsidRPr="004D0DAA" w:rsidRDefault="00711444" w:rsidP="00711444">
      <w:r w:rsidRPr="004D0DAA">
        <w:t>The network should use the RRBP field to schedule the transmission of a PACKET CONTROL ACKNOWLEDGEMENT or an EC PACKET CONTROL ACKNOWLEDGEMENT or EC PACKET CONTROL ACKNOWLEDGEMENT HIGHER CC message or an uplink (EC-)PACCH block as follows:</w:t>
      </w:r>
    </w:p>
    <w:p w14:paraId="348F8A43" w14:textId="77777777" w:rsidR="00711444" w:rsidRPr="004D0DAA" w:rsidRDefault="00711444" w:rsidP="00711444">
      <w:pPr>
        <w:pStyle w:val="B1"/>
      </w:pPr>
      <w:r w:rsidRPr="004D0DAA">
        <w:t>-</w:t>
      </w:r>
      <w:r w:rsidRPr="004D0DAA">
        <w:tab/>
        <w:t>For BTTI configuration, no later than the second last BTTI radio block, B(x</w:t>
      </w:r>
      <w:r w:rsidRPr="004D0DAA">
        <w:noBreakHyphen/>
        <w:t xml:space="preserve">2) mod 12, before the first BTTI radio block, B(x), where the mobile station shall be ready to transmit and receive using a new assignment. </w:t>
      </w:r>
    </w:p>
    <w:p w14:paraId="01B80176" w14:textId="77777777" w:rsidR="00711444" w:rsidRPr="004D0DAA" w:rsidRDefault="00711444" w:rsidP="00711444">
      <w:pPr>
        <w:pStyle w:val="B1"/>
      </w:pPr>
      <w:r w:rsidRPr="004D0DAA">
        <w:t>-</w:t>
      </w:r>
      <w:r w:rsidRPr="004D0DAA">
        <w:tab/>
        <w:t>For RTTI configuration, no later than the second last RTTI radio block, B(x</w:t>
      </w:r>
      <w:r w:rsidRPr="004D0DAA">
        <w:noBreakHyphen/>
        <w:t>2)</w:t>
      </w:r>
      <w:r w:rsidRPr="004D0DAA">
        <w:rPr>
          <w:vertAlign w:val="subscript"/>
        </w:rPr>
        <w:t>b</w:t>
      </w:r>
      <w:r w:rsidRPr="004D0DAA">
        <w:t>, before the first RTTI radio block, B(x)</w:t>
      </w:r>
      <w:r w:rsidRPr="004D0DAA">
        <w:rPr>
          <w:vertAlign w:val="subscript"/>
        </w:rPr>
        <w:t>a</w:t>
      </w:r>
      <w:r w:rsidRPr="004D0DAA">
        <w:t>, where the mobile station shall be ready to transmit and receive using a new assignment or no later than the second last RTTI radio block, B(x</w:t>
      </w:r>
      <w:r w:rsidRPr="004D0DAA">
        <w:noBreakHyphen/>
        <w:t>1)</w:t>
      </w:r>
      <w:r w:rsidRPr="004D0DAA">
        <w:rPr>
          <w:vertAlign w:val="subscript"/>
        </w:rPr>
        <w:t>a</w:t>
      </w:r>
      <w:r w:rsidRPr="004D0DAA">
        <w:t>, before the first RTTI radio block, B(x)</w:t>
      </w:r>
      <w:r w:rsidRPr="004D0DAA">
        <w:rPr>
          <w:vertAlign w:val="subscript"/>
        </w:rPr>
        <w:t>b</w:t>
      </w:r>
      <w:r w:rsidRPr="004D0DAA">
        <w:t>, where the mobile station shall be ready to transmit and receive using a new assignment.</w:t>
      </w:r>
    </w:p>
    <w:p w14:paraId="0B1CCC89" w14:textId="77777777" w:rsidR="00711444" w:rsidRPr="004D0DAA" w:rsidRDefault="00711444" w:rsidP="00711444">
      <w:r w:rsidRPr="004D0DAA">
        <w:t>A mobile station that is scheduled an uplink block later than these times, may omit responding to the polling request.  If a new assignment specifies an uplink TBF, and the TTI configuration of the uplink TBF specified is the same as the TTI configuration of the ongoing uplink TBF that this assignment modifies, or if the assignment does not specify any uplink TBF, then the mobile station may delay the access using the new assignment in order to respond to the polling request.</w:t>
      </w:r>
    </w:p>
    <w:p w14:paraId="6ADF4DE1" w14:textId="77777777" w:rsidR="00711444" w:rsidRPr="004D0DAA" w:rsidRDefault="00711444" w:rsidP="00711444">
      <w:r w:rsidRPr="004D0DAA">
        <w:t>The network should not use the RRBP field to schedule the transmission of PACKET CONTROL ACKNOWLEDGEMENT, EC PACKET CONTROL ACKNOWLEDGEMENT or EC PACKET CONTROL ACKNOWLEDGEMENT HIGHER CC messages or uplink (EC-) PACCH blocks, in such way, that a mobile station has more than three such uplink blocks pending for transmission at any instant. A mobile station, that is scheduled such uplink blocks more frequent than that, may omit responding to the excessive polling requests.</w:t>
      </w:r>
    </w:p>
    <w:p w14:paraId="13BBA4B9" w14:textId="77777777" w:rsidR="00711444" w:rsidRPr="004D0DAA" w:rsidRDefault="00711444" w:rsidP="00711444">
      <w:r w:rsidRPr="004D0DAA">
        <w:t>The RRBP field shall be interpreted according to the TTI configuration in use for the mobile station on the PDCH (or on the PDCH pair) where the block containing the RRBP field is received at the time it is received, and, for a BTTI configuration, according to whether FANR is activated or not for the mobile station.</w:t>
      </w:r>
    </w:p>
    <w:p w14:paraId="20AAF871" w14:textId="77777777" w:rsidR="00711444" w:rsidRPr="004D0DAA" w:rsidRDefault="00711444" w:rsidP="00711444">
      <w:r w:rsidRPr="004D0DAA">
        <w:lastRenderedPageBreak/>
        <w:t>For non EC TBFs with FANR not activated, Table 10.4.5.1 specifies the coding of the RRBP field indicat</w:t>
      </w:r>
      <w:r w:rsidRPr="004D0DAA">
        <w:rPr>
          <w:lang w:eastAsia="ko-KR"/>
        </w:rPr>
        <w:t>ing</w:t>
      </w:r>
      <w:r w:rsidRPr="004D0DAA">
        <w:t xml:space="preserve"> the number of TDMA frames the mobile station shall wait before transmitting the uplink RLC/MAC block. The delay is relative to the first TDMA frame (N) of the downlink block containing the RRBP value. For definition of TDMA frame numbering, see 3GPP TS 45.002.</w:t>
      </w:r>
    </w:p>
    <w:p w14:paraId="5A09D978" w14:textId="77777777" w:rsidR="00711444" w:rsidRPr="004D0DAA" w:rsidRDefault="00711444" w:rsidP="00711444">
      <w:pPr>
        <w:pStyle w:val="TH"/>
      </w:pPr>
      <w:r w:rsidRPr="004D0DAA">
        <w:t>Table 10.4.5.1: Relative Reserved Block Period (RRBP) field (FANR not activated)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5"/>
        <w:gridCol w:w="2235"/>
        <w:gridCol w:w="2445"/>
        <w:gridCol w:w="2273"/>
      </w:tblGrid>
      <w:tr w:rsidR="00711444" w:rsidRPr="004D0DAA" w14:paraId="3B626CED" w14:textId="77777777" w:rsidTr="00AA2A4C">
        <w:tblPrEx>
          <w:tblCellMar>
            <w:top w:w="0" w:type="dxa"/>
            <w:bottom w:w="0" w:type="dxa"/>
          </w:tblCellMar>
        </w:tblPrEx>
        <w:trPr>
          <w:cantSplit/>
          <w:jc w:val="center"/>
        </w:trPr>
        <w:tc>
          <w:tcPr>
            <w:tcW w:w="735" w:type="dxa"/>
          </w:tcPr>
          <w:p w14:paraId="46E8C94E" w14:textId="77777777" w:rsidR="00711444" w:rsidRPr="004D0DAA" w:rsidRDefault="00711444" w:rsidP="00AA2A4C">
            <w:pPr>
              <w:pStyle w:val="TAH"/>
              <w:rPr>
                <w:lang w:eastAsia="en-US"/>
              </w:rPr>
            </w:pPr>
            <w:r w:rsidRPr="004D0DAA">
              <w:rPr>
                <w:lang w:eastAsia="en-US"/>
              </w:rPr>
              <w:t>bit</w:t>
            </w:r>
            <w:r w:rsidRPr="004D0DAA">
              <w:rPr>
                <w:lang w:eastAsia="en-US"/>
              </w:rPr>
              <w:br/>
              <w:t>6-5</w:t>
            </w:r>
            <w:r w:rsidRPr="004D0DAA">
              <w:rPr>
                <w:rFonts w:hint="eastAsia"/>
                <w:lang w:eastAsia="ko-KR"/>
              </w:rPr>
              <w:t>/7-6</w:t>
            </w:r>
          </w:p>
        </w:tc>
        <w:tc>
          <w:tcPr>
            <w:tcW w:w="2235" w:type="dxa"/>
          </w:tcPr>
          <w:p w14:paraId="6B7F80B6" w14:textId="77777777" w:rsidR="00711444" w:rsidRPr="004D0DAA" w:rsidRDefault="00711444" w:rsidP="00AA2A4C">
            <w:pPr>
              <w:pStyle w:val="TAH"/>
              <w:rPr>
                <w:lang w:eastAsia="en-US"/>
              </w:rPr>
            </w:pPr>
            <w:r w:rsidRPr="004D0DAA">
              <w:rPr>
                <w:lang w:eastAsia="en-US"/>
              </w:rPr>
              <w:t>Full-rate PDCH uplink block with TDMA frame number</w:t>
            </w:r>
          </w:p>
          <w:p w14:paraId="1579BBFB" w14:textId="77777777" w:rsidR="00711444" w:rsidRPr="004D0DAA" w:rsidRDefault="00711444" w:rsidP="00AA2A4C">
            <w:pPr>
              <w:pStyle w:val="TAL"/>
              <w:rPr>
                <w:lang w:eastAsia="en-US"/>
              </w:rPr>
            </w:pPr>
          </w:p>
        </w:tc>
        <w:tc>
          <w:tcPr>
            <w:tcW w:w="2445" w:type="dxa"/>
          </w:tcPr>
          <w:p w14:paraId="7A2D5B61" w14:textId="77777777" w:rsidR="00711444" w:rsidRPr="004D0DAA" w:rsidRDefault="00711444" w:rsidP="00AA2A4C">
            <w:pPr>
              <w:pStyle w:val="TAH"/>
              <w:rPr>
                <w:lang w:eastAsia="en-US"/>
              </w:rPr>
            </w:pPr>
            <w:r w:rsidRPr="004D0DAA">
              <w:rPr>
                <w:lang w:eastAsia="en-US"/>
              </w:rPr>
              <w:t>Full-rate PDCH uplink block with TDMA frame number</w:t>
            </w:r>
          </w:p>
          <w:p w14:paraId="39179837" w14:textId="77777777" w:rsidR="00711444" w:rsidRPr="004D0DAA" w:rsidRDefault="00711444" w:rsidP="00AA2A4C">
            <w:pPr>
              <w:pStyle w:val="TAL"/>
              <w:jc w:val="center"/>
              <w:rPr>
                <w:b/>
                <w:lang w:eastAsia="en-US"/>
              </w:rPr>
            </w:pPr>
            <w:r w:rsidRPr="004D0DAA">
              <w:rPr>
                <w:b/>
                <w:lang w:eastAsia="en-US"/>
              </w:rPr>
              <w:t>(DLMC configuration with SNS 2048)</w:t>
            </w:r>
          </w:p>
        </w:tc>
        <w:tc>
          <w:tcPr>
            <w:tcW w:w="2273" w:type="dxa"/>
          </w:tcPr>
          <w:p w14:paraId="5937591C" w14:textId="77777777" w:rsidR="00711444" w:rsidRPr="004D0DAA" w:rsidRDefault="00711444" w:rsidP="00AA2A4C">
            <w:pPr>
              <w:pStyle w:val="TAH"/>
              <w:rPr>
                <w:lang w:eastAsia="en-US"/>
              </w:rPr>
            </w:pPr>
            <w:r w:rsidRPr="004D0DAA">
              <w:rPr>
                <w:lang w:eastAsia="en-US"/>
              </w:rPr>
              <w:t>Half-rate PDCH uplink block with TDMA frame number</w:t>
            </w:r>
          </w:p>
        </w:tc>
      </w:tr>
      <w:tr w:rsidR="00711444" w:rsidRPr="004D0DAA" w14:paraId="31E642A4" w14:textId="77777777" w:rsidTr="00AA2A4C">
        <w:tblPrEx>
          <w:tblCellMar>
            <w:top w:w="0" w:type="dxa"/>
            <w:bottom w:w="0" w:type="dxa"/>
          </w:tblCellMar>
        </w:tblPrEx>
        <w:trPr>
          <w:cantSplit/>
          <w:jc w:val="center"/>
        </w:trPr>
        <w:tc>
          <w:tcPr>
            <w:tcW w:w="735" w:type="dxa"/>
          </w:tcPr>
          <w:p w14:paraId="49F98D33" w14:textId="77777777" w:rsidR="00711444" w:rsidRPr="004D0DAA" w:rsidRDefault="00711444" w:rsidP="00AA2A4C">
            <w:pPr>
              <w:pStyle w:val="TAC"/>
              <w:rPr>
                <w:lang w:eastAsia="en-US"/>
              </w:rPr>
            </w:pPr>
            <w:r w:rsidRPr="004D0DAA">
              <w:rPr>
                <w:lang w:eastAsia="en-US"/>
              </w:rPr>
              <w:t>0 0</w:t>
            </w:r>
          </w:p>
        </w:tc>
        <w:tc>
          <w:tcPr>
            <w:tcW w:w="2235" w:type="dxa"/>
          </w:tcPr>
          <w:p w14:paraId="05AAB3D9" w14:textId="77777777" w:rsidR="00711444" w:rsidRPr="004D0DAA" w:rsidRDefault="00711444" w:rsidP="00AA2A4C">
            <w:pPr>
              <w:pStyle w:val="TAL"/>
              <w:rPr>
                <w:lang w:eastAsia="en-US"/>
              </w:rPr>
            </w:pPr>
            <w:r w:rsidRPr="004D0DAA">
              <w:rPr>
                <w:lang w:eastAsia="en-US"/>
              </w:rPr>
              <w:t>(N+13) mod 2715648</w:t>
            </w:r>
          </w:p>
          <w:p w14:paraId="00C248E7" w14:textId="77777777" w:rsidR="00711444" w:rsidRPr="004D0DAA" w:rsidRDefault="00711444" w:rsidP="00AA2A4C">
            <w:pPr>
              <w:pStyle w:val="TAL"/>
              <w:rPr>
                <w:lang w:eastAsia="en-US"/>
              </w:rPr>
            </w:pPr>
          </w:p>
        </w:tc>
        <w:tc>
          <w:tcPr>
            <w:tcW w:w="2445" w:type="dxa"/>
          </w:tcPr>
          <w:p w14:paraId="38737AD1" w14:textId="77777777" w:rsidR="00711444" w:rsidRPr="004D0DAA" w:rsidRDefault="00711444" w:rsidP="00AA2A4C">
            <w:pPr>
              <w:pStyle w:val="TAL"/>
              <w:rPr>
                <w:lang w:eastAsia="en-US"/>
              </w:rPr>
            </w:pPr>
            <w:r w:rsidRPr="004D0DAA">
              <w:rPr>
                <w:lang w:eastAsia="en-US"/>
              </w:rPr>
              <w:t>(N+13) mod 2715648</w:t>
            </w:r>
          </w:p>
          <w:p w14:paraId="413B86E8" w14:textId="77777777" w:rsidR="00711444" w:rsidRPr="004D0DAA" w:rsidRDefault="00711444" w:rsidP="00AA2A4C">
            <w:pPr>
              <w:pStyle w:val="TAL"/>
              <w:rPr>
                <w:lang w:eastAsia="en-US"/>
              </w:rPr>
            </w:pPr>
          </w:p>
        </w:tc>
        <w:tc>
          <w:tcPr>
            <w:tcW w:w="2273" w:type="dxa"/>
          </w:tcPr>
          <w:p w14:paraId="23B35590" w14:textId="77777777" w:rsidR="00711444" w:rsidRPr="004D0DAA" w:rsidRDefault="00711444" w:rsidP="00AA2A4C">
            <w:pPr>
              <w:pStyle w:val="TAL"/>
              <w:rPr>
                <w:lang w:eastAsia="en-US"/>
              </w:rPr>
            </w:pPr>
            <w:r w:rsidRPr="004D0DAA">
              <w:rPr>
                <w:lang w:eastAsia="en-US"/>
              </w:rPr>
              <w:t>reserved</w:t>
            </w:r>
          </w:p>
        </w:tc>
      </w:tr>
      <w:tr w:rsidR="00711444" w:rsidRPr="004D0DAA" w14:paraId="2A831A9B" w14:textId="77777777" w:rsidTr="00AA2A4C">
        <w:tblPrEx>
          <w:tblCellMar>
            <w:top w:w="0" w:type="dxa"/>
            <w:bottom w:w="0" w:type="dxa"/>
          </w:tblCellMar>
        </w:tblPrEx>
        <w:trPr>
          <w:cantSplit/>
          <w:jc w:val="center"/>
        </w:trPr>
        <w:tc>
          <w:tcPr>
            <w:tcW w:w="735" w:type="dxa"/>
          </w:tcPr>
          <w:p w14:paraId="6997526F" w14:textId="77777777" w:rsidR="00711444" w:rsidRPr="004D0DAA" w:rsidRDefault="00711444" w:rsidP="00AA2A4C">
            <w:pPr>
              <w:pStyle w:val="TAC"/>
              <w:rPr>
                <w:lang w:eastAsia="en-US"/>
              </w:rPr>
            </w:pPr>
            <w:r w:rsidRPr="004D0DAA">
              <w:rPr>
                <w:lang w:eastAsia="en-US"/>
              </w:rPr>
              <w:t>0 1</w:t>
            </w:r>
          </w:p>
        </w:tc>
        <w:tc>
          <w:tcPr>
            <w:tcW w:w="2235" w:type="dxa"/>
          </w:tcPr>
          <w:p w14:paraId="6D4269C0" w14:textId="77777777" w:rsidR="00711444" w:rsidRPr="004D0DAA" w:rsidRDefault="00711444" w:rsidP="00AA2A4C">
            <w:pPr>
              <w:pStyle w:val="TAL"/>
              <w:rPr>
                <w:lang w:eastAsia="en-US"/>
              </w:rPr>
            </w:pPr>
            <w:r w:rsidRPr="004D0DAA">
              <w:rPr>
                <w:lang w:eastAsia="en-US"/>
              </w:rPr>
              <w:t>(N+17 or N+18) mod 2715648</w:t>
            </w:r>
          </w:p>
        </w:tc>
        <w:tc>
          <w:tcPr>
            <w:tcW w:w="2445" w:type="dxa"/>
          </w:tcPr>
          <w:p w14:paraId="27DFED80" w14:textId="77777777" w:rsidR="00711444" w:rsidRPr="004D0DAA" w:rsidRDefault="00711444" w:rsidP="00AA2A4C">
            <w:pPr>
              <w:pStyle w:val="TAL"/>
              <w:rPr>
                <w:lang w:eastAsia="en-US"/>
              </w:rPr>
            </w:pPr>
            <w:r w:rsidRPr="004D0DAA">
              <w:rPr>
                <w:lang w:eastAsia="en-US"/>
              </w:rPr>
              <w:t>(N+17 or N+18) mod 2715648</w:t>
            </w:r>
          </w:p>
        </w:tc>
        <w:tc>
          <w:tcPr>
            <w:tcW w:w="2273" w:type="dxa"/>
          </w:tcPr>
          <w:p w14:paraId="54A71FFD" w14:textId="77777777" w:rsidR="00711444" w:rsidRPr="004D0DAA" w:rsidRDefault="00711444" w:rsidP="00AA2A4C">
            <w:pPr>
              <w:pStyle w:val="TAL"/>
              <w:rPr>
                <w:lang w:eastAsia="en-US"/>
              </w:rPr>
            </w:pPr>
            <w:r w:rsidRPr="004D0DAA">
              <w:rPr>
                <w:lang w:eastAsia="en-US"/>
              </w:rPr>
              <w:t>(N+17 or N+18) mod 2715648</w:t>
            </w:r>
          </w:p>
        </w:tc>
      </w:tr>
      <w:tr w:rsidR="00711444" w:rsidRPr="004D0DAA" w14:paraId="10F5A254" w14:textId="77777777" w:rsidTr="00AA2A4C">
        <w:tblPrEx>
          <w:tblCellMar>
            <w:top w:w="0" w:type="dxa"/>
            <w:bottom w:w="0" w:type="dxa"/>
          </w:tblCellMar>
        </w:tblPrEx>
        <w:trPr>
          <w:cantSplit/>
          <w:jc w:val="center"/>
        </w:trPr>
        <w:tc>
          <w:tcPr>
            <w:tcW w:w="735" w:type="dxa"/>
          </w:tcPr>
          <w:p w14:paraId="02A08328" w14:textId="77777777" w:rsidR="00711444" w:rsidRPr="004D0DAA" w:rsidRDefault="00711444" w:rsidP="00AA2A4C">
            <w:pPr>
              <w:pStyle w:val="TAC"/>
              <w:rPr>
                <w:lang w:eastAsia="en-US"/>
              </w:rPr>
            </w:pPr>
            <w:r w:rsidRPr="004D0DAA">
              <w:rPr>
                <w:lang w:eastAsia="en-US"/>
              </w:rPr>
              <w:t>1 0</w:t>
            </w:r>
          </w:p>
        </w:tc>
        <w:tc>
          <w:tcPr>
            <w:tcW w:w="2235" w:type="dxa"/>
          </w:tcPr>
          <w:p w14:paraId="62D436A6" w14:textId="77777777" w:rsidR="00711444" w:rsidRPr="004D0DAA" w:rsidRDefault="00711444" w:rsidP="00AA2A4C">
            <w:pPr>
              <w:pStyle w:val="TAL"/>
              <w:rPr>
                <w:lang w:eastAsia="en-US"/>
              </w:rPr>
            </w:pPr>
            <w:r w:rsidRPr="004D0DAA">
              <w:rPr>
                <w:lang w:eastAsia="en-US"/>
              </w:rPr>
              <w:t>(N+21 or N+22) mod 2715648</w:t>
            </w:r>
          </w:p>
          <w:p w14:paraId="02416317" w14:textId="77777777" w:rsidR="00711444" w:rsidRPr="004D0DAA" w:rsidRDefault="00711444" w:rsidP="00AA2A4C">
            <w:pPr>
              <w:pStyle w:val="TAL"/>
              <w:rPr>
                <w:lang w:eastAsia="en-US"/>
              </w:rPr>
            </w:pPr>
          </w:p>
        </w:tc>
        <w:tc>
          <w:tcPr>
            <w:tcW w:w="2445" w:type="dxa"/>
          </w:tcPr>
          <w:p w14:paraId="2183193D" w14:textId="77777777" w:rsidR="00711444" w:rsidRPr="004D0DAA" w:rsidRDefault="00711444" w:rsidP="00AA2A4C">
            <w:pPr>
              <w:pStyle w:val="TAL"/>
              <w:rPr>
                <w:lang w:eastAsia="en-US"/>
              </w:rPr>
            </w:pPr>
            <w:r w:rsidRPr="004D0DAA">
              <w:rPr>
                <w:lang w:eastAsia="en-US"/>
              </w:rPr>
              <w:t>(N+21 or N+22) mod 2715648</w:t>
            </w:r>
          </w:p>
          <w:p w14:paraId="3D6BEF43" w14:textId="77777777" w:rsidR="00711444" w:rsidRPr="004D0DAA" w:rsidRDefault="00711444" w:rsidP="00AA2A4C">
            <w:pPr>
              <w:pStyle w:val="TAL"/>
              <w:rPr>
                <w:lang w:eastAsia="en-US"/>
              </w:rPr>
            </w:pPr>
          </w:p>
        </w:tc>
        <w:tc>
          <w:tcPr>
            <w:tcW w:w="2273" w:type="dxa"/>
          </w:tcPr>
          <w:p w14:paraId="70C6AD5C" w14:textId="77777777" w:rsidR="00711444" w:rsidRPr="004D0DAA" w:rsidRDefault="00711444" w:rsidP="00AA2A4C">
            <w:pPr>
              <w:pStyle w:val="TAL"/>
              <w:rPr>
                <w:lang w:eastAsia="en-US"/>
              </w:rPr>
            </w:pPr>
            <w:r w:rsidRPr="004D0DAA">
              <w:rPr>
                <w:lang w:eastAsia="en-US"/>
              </w:rPr>
              <w:t>reserved</w:t>
            </w:r>
          </w:p>
        </w:tc>
      </w:tr>
      <w:tr w:rsidR="00711444" w:rsidRPr="004D0DAA" w14:paraId="01F8CEE1" w14:textId="77777777" w:rsidTr="00AA2A4C">
        <w:tblPrEx>
          <w:tblCellMar>
            <w:top w:w="0" w:type="dxa"/>
            <w:bottom w:w="0" w:type="dxa"/>
          </w:tblCellMar>
        </w:tblPrEx>
        <w:trPr>
          <w:cantSplit/>
          <w:jc w:val="center"/>
        </w:trPr>
        <w:tc>
          <w:tcPr>
            <w:tcW w:w="735" w:type="dxa"/>
          </w:tcPr>
          <w:p w14:paraId="3A612664" w14:textId="77777777" w:rsidR="00711444" w:rsidRPr="004D0DAA" w:rsidRDefault="00711444" w:rsidP="00AA2A4C">
            <w:pPr>
              <w:pStyle w:val="TAC"/>
              <w:rPr>
                <w:lang w:eastAsia="en-US"/>
              </w:rPr>
            </w:pPr>
            <w:r w:rsidRPr="004D0DAA">
              <w:rPr>
                <w:lang w:eastAsia="en-US"/>
              </w:rPr>
              <w:t>1 1</w:t>
            </w:r>
          </w:p>
        </w:tc>
        <w:tc>
          <w:tcPr>
            <w:tcW w:w="2235" w:type="dxa"/>
          </w:tcPr>
          <w:p w14:paraId="3C0A94CF" w14:textId="77777777" w:rsidR="00711444" w:rsidRPr="004D0DAA" w:rsidRDefault="00711444" w:rsidP="00AA2A4C">
            <w:pPr>
              <w:pStyle w:val="TAL"/>
              <w:rPr>
                <w:lang w:eastAsia="en-US"/>
              </w:rPr>
            </w:pPr>
            <w:r w:rsidRPr="004D0DAA">
              <w:rPr>
                <w:lang w:eastAsia="en-US"/>
              </w:rPr>
              <w:t xml:space="preserve"> (N+26) mod 2715648</w:t>
            </w:r>
          </w:p>
        </w:tc>
        <w:tc>
          <w:tcPr>
            <w:tcW w:w="2445" w:type="dxa"/>
          </w:tcPr>
          <w:p w14:paraId="7CFB91CD" w14:textId="77777777" w:rsidR="00711444" w:rsidRPr="004D0DAA" w:rsidRDefault="00711444" w:rsidP="00AA2A4C">
            <w:pPr>
              <w:pStyle w:val="TAL"/>
              <w:rPr>
                <w:lang w:eastAsia="en-US"/>
              </w:rPr>
            </w:pPr>
            <w:r w:rsidRPr="004D0DAA">
              <w:rPr>
                <w:lang w:eastAsia="en-US"/>
              </w:rPr>
              <w:t xml:space="preserve"> (N+26) mod 2715648</w:t>
            </w:r>
          </w:p>
        </w:tc>
        <w:tc>
          <w:tcPr>
            <w:tcW w:w="2273" w:type="dxa"/>
          </w:tcPr>
          <w:p w14:paraId="5A15660C" w14:textId="77777777" w:rsidR="00711444" w:rsidRPr="004D0DAA" w:rsidRDefault="00711444" w:rsidP="00AA2A4C">
            <w:pPr>
              <w:pStyle w:val="TAL"/>
              <w:rPr>
                <w:lang w:eastAsia="en-US"/>
              </w:rPr>
            </w:pPr>
            <w:r w:rsidRPr="004D0DAA">
              <w:rPr>
                <w:lang w:eastAsia="en-US"/>
              </w:rPr>
              <w:t>(N+26) mod 2715648</w:t>
            </w:r>
          </w:p>
        </w:tc>
      </w:tr>
    </w:tbl>
    <w:p w14:paraId="41252C29" w14:textId="77777777" w:rsidR="00711444" w:rsidRPr="004D0DAA" w:rsidRDefault="00711444" w:rsidP="00711444"/>
    <w:p w14:paraId="4A1BF0FF" w14:textId="77777777" w:rsidR="00711444" w:rsidRPr="004D0DAA" w:rsidRDefault="00711444" w:rsidP="00711444">
      <w:r w:rsidRPr="004D0DAA">
        <w:t>If the mobile station is operating on a half-rate PDCH and it receives an RLC/MAC block with a reserved RRBP value, it shall regard the RRBP field as not valid and shall ignore the polling.</w:t>
      </w:r>
    </w:p>
    <w:p w14:paraId="2CF937C9" w14:textId="77777777" w:rsidR="00711444" w:rsidRPr="004D0DAA" w:rsidRDefault="00711444" w:rsidP="00711444">
      <w:pPr>
        <w:rPr>
          <w:rFonts w:hint="eastAsia"/>
          <w:lang w:eastAsia="ko-KR"/>
        </w:rPr>
      </w:pPr>
      <w:r w:rsidRPr="004D0DAA">
        <w:t>For TBFs with FANR activated, Table 10.4.5.2 specifies the coding of the RRBP field indicating the number of TDMA frames the mobile station shall wait before transmitting the uplink RLC/MAC block</w:t>
      </w:r>
      <w:r w:rsidRPr="004D0DAA">
        <w:rPr>
          <w:rFonts w:hint="eastAsia"/>
          <w:lang w:eastAsia="ko-KR"/>
        </w:rPr>
        <w:t>.</w:t>
      </w:r>
      <w:r w:rsidRPr="004D0DAA">
        <w:t xml:space="preserve"> </w:t>
      </w:r>
    </w:p>
    <w:p w14:paraId="6FDDE8FE" w14:textId="77777777" w:rsidR="00711444" w:rsidRPr="004D0DAA" w:rsidRDefault="00711444" w:rsidP="00711444">
      <w:pPr>
        <w:pStyle w:val="TH"/>
      </w:pPr>
      <w:r w:rsidRPr="004D0DAA">
        <w:t>Table 10.4.5.2: Relative Reserved Block Period (RRBP) field (FANR activated)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gridCol w:w="3402"/>
      </w:tblGrid>
      <w:tr w:rsidR="00711444" w:rsidRPr="004D0DAA" w14:paraId="785256B1" w14:textId="77777777" w:rsidTr="00AA2A4C">
        <w:tblPrEx>
          <w:tblCellMar>
            <w:top w:w="0" w:type="dxa"/>
            <w:bottom w:w="0" w:type="dxa"/>
          </w:tblCellMar>
        </w:tblPrEx>
        <w:trPr>
          <w:cantSplit/>
          <w:jc w:val="center"/>
        </w:trPr>
        <w:tc>
          <w:tcPr>
            <w:tcW w:w="611" w:type="dxa"/>
          </w:tcPr>
          <w:p w14:paraId="2F404359" w14:textId="77777777" w:rsidR="00711444" w:rsidRPr="004D0DAA" w:rsidRDefault="00711444" w:rsidP="00AA2A4C">
            <w:pPr>
              <w:pStyle w:val="TAH"/>
              <w:rPr>
                <w:lang w:eastAsia="en-US"/>
              </w:rPr>
            </w:pPr>
            <w:r w:rsidRPr="004D0DAA">
              <w:rPr>
                <w:lang w:eastAsia="en-US"/>
              </w:rPr>
              <w:t>bit</w:t>
            </w:r>
            <w:r w:rsidRPr="004D0DAA">
              <w:rPr>
                <w:lang w:eastAsia="en-US"/>
              </w:rPr>
              <w:br/>
              <w:t>6-5</w:t>
            </w:r>
          </w:p>
        </w:tc>
        <w:tc>
          <w:tcPr>
            <w:tcW w:w="3402" w:type="dxa"/>
          </w:tcPr>
          <w:p w14:paraId="4F647689" w14:textId="77777777" w:rsidR="00711444" w:rsidRPr="004D0DAA" w:rsidRDefault="00711444" w:rsidP="00AA2A4C">
            <w:pPr>
              <w:pStyle w:val="TAH"/>
              <w:rPr>
                <w:lang w:eastAsia="en-US"/>
              </w:rPr>
            </w:pPr>
            <w:r w:rsidRPr="004D0DAA">
              <w:rPr>
                <w:lang w:eastAsia="en-US"/>
              </w:rPr>
              <w:t>PDCH uplink block with TDMA frame number (BTTI)</w:t>
            </w:r>
          </w:p>
        </w:tc>
        <w:tc>
          <w:tcPr>
            <w:tcW w:w="3402" w:type="dxa"/>
          </w:tcPr>
          <w:p w14:paraId="5C24515D" w14:textId="77777777" w:rsidR="00711444" w:rsidRPr="004D0DAA" w:rsidRDefault="00711444" w:rsidP="00AA2A4C">
            <w:pPr>
              <w:pStyle w:val="TAH"/>
              <w:rPr>
                <w:lang w:eastAsia="en-US"/>
              </w:rPr>
            </w:pPr>
            <w:r w:rsidRPr="004D0DAA">
              <w:rPr>
                <w:lang w:eastAsia="en-US"/>
              </w:rPr>
              <w:t xml:space="preserve">PDCH uplink block with TDMA frame number (RTTI) </w:t>
            </w:r>
          </w:p>
        </w:tc>
      </w:tr>
      <w:tr w:rsidR="00711444" w:rsidRPr="004D0DAA" w14:paraId="04E22D0A" w14:textId="77777777" w:rsidTr="00AA2A4C">
        <w:tblPrEx>
          <w:tblCellMar>
            <w:top w:w="0" w:type="dxa"/>
            <w:bottom w:w="0" w:type="dxa"/>
          </w:tblCellMar>
        </w:tblPrEx>
        <w:trPr>
          <w:cantSplit/>
          <w:jc w:val="center"/>
        </w:trPr>
        <w:tc>
          <w:tcPr>
            <w:tcW w:w="611" w:type="dxa"/>
          </w:tcPr>
          <w:p w14:paraId="09D4B273" w14:textId="77777777" w:rsidR="00711444" w:rsidRPr="004D0DAA" w:rsidRDefault="00711444" w:rsidP="00AA2A4C">
            <w:pPr>
              <w:pStyle w:val="TAC"/>
              <w:rPr>
                <w:lang w:eastAsia="en-US"/>
              </w:rPr>
            </w:pPr>
            <w:r w:rsidRPr="004D0DAA">
              <w:rPr>
                <w:lang w:eastAsia="en-US"/>
              </w:rPr>
              <w:t>0 0</w:t>
            </w:r>
          </w:p>
        </w:tc>
        <w:tc>
          <w:tcPr>
            <w:tcW w:w="3402" w:type="dxa"/>
          </w:tcPr>
          <w:p w14:paraId="3FCE99DA" w14:textId="77777777" w:rsidR="00711444" w:rsidRPr="004D0DAA" w:rsidRDefault="00711444" w:rsidP="00AA2A4C">
            <w:pPr>
              <w:pStyle w:val="TAL"/>
              <w:rPr>
                <w:lang w:eastAsia="en-US"/>
              </w:rPr>
            </w:pPr>
            <w:r w:rsidRPr="004D0DAA">
              <w:rPr>
                <w:lang w:eastAsia="en-US"/>
              </w:rPr>
              <w:t>(N+13) mod 2715648</w:t>
            </w:r>
          </w:p>
        </w:tc>
        <w:tc>
          <w:tcPr>
            <w:tcW w:w="3402" w:type="dxa"/>
          </w:tcPr>
          <w:p w14:paraId="73F1233F" w14:textId="77777777" w:rsidR="00711444" w:rsidRPr="004D0DAA" w:rsidRDefault="00711444" w:rsidP="00AA2A4C">
            <w:pPr>
              <w:pStyle w:val="TAL"/>
              <w:rPr>
                <w:lang w:eastAsia="en-US"/>
              </w:rPr>
            </w:pPr>
            <w:r w:rsidRPr="004D0DAA">
              <w:rPr>
                <w:lang w:eastAsia="en-US"/>
              </w:rPr>
              <w:t>reserved</w:t>
            </w:r>
          </w:p>
        </w:tc>
      </w:tr>
      <w:tr w:rsidR="00711444" w:rsidRPr="004D0DAA" w14:paraId="0A3C211C" w14:textId="77777777" w:rsidTr="00AA2A4C">
        <w:tblPrEx>
          <w:tblCellMar>
            <w:top w:w="0" w:type="dxa"/>
            <w:bottom w:w="0" w:type="dxa"/>
          </w:tblCellMar>
        </w:tblPrEx>
        <w:trPr>
          <w:cantSplit/>
          <w:jc w:val="center"/>
        </w:trPr>
        <w:tc>
          <w:tcPr>
            <w:tcW w:w="611" w:type="dxa"/>
          </w:tcPr>
          <w:p w14:paraId="73E68390" w14:textId="77777777" w:rsidR="00711444" w:rsidRPr="004D0DAA" w:rsidRDefault="00711444" w:rsidP="00AA2A4C">
            <w:pPr>
              <w:pStyle w:val="TAC"/>
              <w:rPr>
                <w:lang w:eastAsia="en-US"/>
              </w:rPr>
            </w:pPr>
            <w:r w:rsidRPr="004D0DAA">
              <w:rPr>
                <w:lang w:eastAsia="en-US"/>
              </w:rPr>
              <w:t>0 1</w:t>
            </w:r>
          </w:p>
        </w:tc>
        <w:tc>
          <w:tcPr>
            <w:tcW w:w="3402" w:type="dxa"/>
          </w:tcPr>
          <w:p w14:paraId="6D522E96" w14:textId="77777777" w:rsidR="00711444" w:rsidRPr="004D0DAA" w:rsidRDefault="00711444" w:rsidP="00AA2A4C">
            <w:pPr>
              <w:pStyle w:val="TAL"/>
              <w:rPr>
                <w:lang w:eastAsia="en-US"/>
              </w:rPr>
            </w:pPr>
            <w:r w:rsidRPr="004D0DAA">
              <w:rPr>
                <w:lang w:eastAsia="en-US"/>
              </w:rPr>
              <w:t>(N+8 or N+9) mod 2715648</w:t>
            </w:r>
          </w:p>
        </w:tc>
        <w:tc>
          <w:tcPr>
            <w:tcW w:w="3402" w:type="dxa"/>
          </w:tcPr>
          <w:p w14:paraId="04D21354" w14:textId="77777777" w:rsidR="00711444" w:rsidRPr="004D0DAA" w:rsidRDefault="00711444" w:rsidP="00AA2A4C">
            <w:pPr>
              <w:pStyle w:val="TAL"/>
              <w:rPr>
                <w:lang w:eastAsia="en-US"/>
              </w:rPr>
            </w:pPr>
            <w:r w:rsidRPr="004D0DAA">
              <w:rPr>
                <w:lang w:eastAsia="en-US"/>
              </w:rPr>
              <w:t>(N+8 or N+9) mod 2715648</w:t>
            </w:r>
          </w:p>
        </w:tc>
      </w:tr>
      <w:tr w:rsidR="00711444" w:rsidRPr="004D0DAA" w14:paraId="24BC25D7" w14:textId="77777777" w:rsidTr="00AA2A4C">
        <w:tblPrEx>
          <w:tblCellMar>
            <w:top w:w="0" w:type="dxa"/>
            <w:bottom w:w="0" w:type="dxa"/>
          </w:tblCellMar>
        </w:tblPrEx>
        <w:trPr>
          <w:cantSplit/>
          <w:jc w:val="center"/>
        </w:trPr>
        <w:tc>
          <w:tcPr>
            <w:tcW w:w="611" w:type="dxa"/>
          </w:tcPr>
          <w:p w14:paraId="3FCEED5D" w14:textId="77777777" w:rsidR="00711444" w:rsidRPr="004D0DAA" w:rsidRDefault="00711444" w:rsidP="00AA2A4C">
            <w:pPr>
              <w:pStyle w:val="TAC"/>
              <w:rPr>
                <w:lang w:eastAsia="en-US"/>
              </w:rPr>
            </w:pPr>
            <w:r w:rsidRPr="004D0DAA">
              <w:rPr>
                <w:lang w:eastAsia="en-US"/>
              </w:rPr>
              <w:t>1 0</w:t>
            </w:r>
          </w:p>
        </w:tc>
        <w:tc>
          <w:tcPr>
            <w:tcW w:w="3402" w:type="dxa"/>
          </w:tcPr>
          <w:p w14:paraId="0074D97D" w14:textId="77777777" w:rsidR="00711444" w:rsidRPr="004D0DAA" w:rsidRDefault="00711444" w:rsidP="00AA2A4C">
            <w:pPr>
              <w:pStyle w:val="TAL"/>
              <w:rPr>
                <w:lang w:eastAsia="en-US"/>
              </w:rPr>
            </w:pPr>
            <w:r w:rsidRPr="004D0DAA">
              <w:rPr>
                <w:lang w:eastAsia="en-US"/>
              </w:rPr>
              <w:t>reserved</w:t>
            </w:r>
          </w:p>
        </w:tc>
        <w:tc>
          <w:tcPr>
            <w:tcW w:w="3402" w:type="dxa"/>
          </w:tcPr>
          <w:p w14:paraId="1DC83594" w14:textId="77777777" w:rsidR="00711444" w:rsidRPr="004D0DAA" w:rsidRDefault="00711444" w:rsidP="00AA2A4C">
            <w:pPr>
              <w:pStyle w:val="TAL"/>
              <w:rPr>
                <w:lang w:eastAsia="en-US"/>
              </w:rPr>
            </w:pPr>
            <w:r w:rsidRPr="004D0DAA">
              <w:rPr>
                <w:lang w:eastAsia="en-US"/>
              </w:rPr>
              <w:t>(N+6 or N+7) mod 2715648</w:t>
            </w:r>
          </w:p>
        </w:tc>
      </w:tr>
      <w:tr w:rsidR="00711444" w:rsidRPr="004D0DAA" w14:paraId="7EDF1E15" w14:textId="77777777" w:rsidTr="00AA2A4C">
        <w:tblPrEx>
          <w:tblCellMar>
            <w:top w:w="0" w:type="dxa"/>
            <w:bottom w:w="0" w:type="dxa"/>
          </w:tblCellMar>
        </w:tblPrEx>
        <w:trPr>
          <w:cantSplit/>
          <w:jc w:val="center"/>
        </w:trPr>
        <w:tc>
          <w:tcPr>
            <w:tcW w:w="611" w:type="dxa"/>
          </w:tcPr>
          <w:p w14:paraId="61047B7D" w14:textId="77777777" w:rsidR="00711444" w:rsidRPr="004D0DAA" w:rsidRDefault="00711444" w:rsidP="00AA2A4C">
            <w:pPr>
              <w:pStyle w:val="TAC"/>
              <w:rPr>
                <w:lang w:eastAsia="en-US"/>
              </w:rPr>
            </w:pPr>
            <w:r w:rsidRPr="004D0DAA">
              <w:rPr>
                <w:lang w:eastAsia="en-US"/>
              </w:rPr>
              <w:t>1 1</w:t>
            </w:r>
          </w:p>
        </w:tc>
        <w:tc>
          <w:tcPr>
            <w:tcW w:w="3402" w:type="dxa"/>
          </w:tcPr>
          <w:p w14:paraId="04024C75" w14:textId="77777777" w:rsidR="00711444" w:rsidRPr="004D0DAA" w:rsidRDefault="00711444" w:rsidP="00AA2A4C">
            <w:pPr>
              <w:pStyle w:val="TAL"/>
              <w:rPr>
                <w:lang w:eastAsia="en-US"/>
              </w:rPr>
            </w:pPr>
            <w:r w:rsidRPr="004D0DAA">
              <w:rPr>
                <w:lang w:eastAsia="en-US"/>
              </w:rPr>
              <w:t>reserved</w:t>
            </w:r>
          </w:p>
        </w:tc>
        <w:tc>
          <w:tcPr>
            <w:tcW w:w="3402" w:type="dxa"/>
          </w:tcPr>
          <w:p w14:paraId="673BDECC" w14:textId="77777777" w:rsidR="00711444" w:rsidRPr="004D0DAA" w:rsidRDefault="00711444" w:rsidP="00AA2A4C">
            <w:pPr>
              <w:pStyle w:val="TAL"/>
              <w:rPr>
                <w:lang w:eastAsia="en-US"/>
              </w:rPr>
            </w:pPr>
            <w:r w:rsidRPr="004D0DAA">
              <w:rPr>
                <w:lang w:eastAsia="en-US"/>
              </w:rPr>
              <w:t>reserved</w:t>
            </w:r>
          </w:p>
        </w:tc>
      </w:tr>
      <w:tr w:rsidR="00711444" w:rsidRPr="004D0DAA" w14:paraId="0F160DF5" w14:textId="77777777" w:rsidTr="00AA2A4C">
        <w:tblPrEx>
          <w:tblCellMar>
            <w:top w:w="0" w:type="dxa"/>
            <w:bottom w:w="0" w:type="dxa"/>
          </w:tblCellMar>
        </w:tblPrEx>
        <w:trPr>
          <w:cantSplit/>
          <w:jc w:val="center"/>
        </w:trPr>
        <w:tc>
          <w:tcPr>
            <w:tcW w:w="7415" w:type="dxa"/>
            <w:gridSpan w:val="3"/>
          </w:tcPr>
          <w:p w14:paraId="509213FF" w14:textId="77777777" w:rsidR="00711444" w:rsidRPr="004D0DAA" w:rsidRDefault="00711444" w:rsidP="00AA2A4C">
            <w:pPr>
              <w:pStyle w:val="TAN"/>
              <w:rPr>
                <w:rFonts w:hint="eastAsia"/>
                <w:lang w:eastAsia="ko-KR"/>
              </w:rPr>
            </w:pPr>
            <w:r w:rsidRPr="004D0DAA">
              <w:rPr>
                <w:rFonts w:hint="eastAsia"/>
                <w:lang w:eastAsia="ko-KR"/>
              </w:rPr>
              <w:t>NOTE:</w:t>
            </w:r>
            <w:r w:rsidRPr="004D0DAA">
              <w:rPr>
                <w:lang w:eastAsia="en-US"/>
              </w:rPr>
              <w:t xml:space="preserve"> </w:t>
            </w:r>
            <w:r w:rsidRPr="004D0DAA">
              <w:rPr>
                <w:lang w:eastAsia="en-US"/>
              </w:rPr>
              <w:tab/>
            </w:r>
            <w:r w:rsidRPr="004D0DAA">
              <w:rPr>
                <w:lang w:eastAsia="ko-KR"/>
              </w:rPr>
              <w:t xml:space="preserve">Table </w:t>
            </w:r>
            <w:r w:rsidRPr="004D0DAA">
              <w:rPr>
                <w:lang w:eastAsia="en-US"/>
              </w:rPr>
              <w:t xml:space="preserve">10.4.5.2 </w:t>
            </w:r>
            <w:r w:rsidRPr="004D0DAA">
              <w:rPr>
                <w:lang w:eastAsia="ko-KR"/>
              </w:rPr>
              <w:t xml:space="preserve">only applies </w:t>
            </w:r>
            <w:r w:rsidRPr="004D0DAA">
              <w:rPr>
                <w:lang w:eastAsia="en-US"/>
              </w:rPr>
              <w:t xml:space="preserve">to RLC/MAC control blocks encoded using </w:t>
            </w:r>
            <w:r w:rsidRPr="004D0DAA">
              <w:rPr>
                <w:rFonts w:hint="eastAsia"/>
                <w:lang w:eastAsia="ko-KR"/>
              </w:rPr>
              <w:t>CS</w:t>
            </w:r>
            <w:r w:rsidRPr="004D0DAA">
              <w:rPr>
                <w:lang w:eastAsia="en-US"/>
              </w:rPr>
              <w:t>-</w:t>
            </w:r>
            <w:r w:rsidRPr="004D0DAA">
              <w:rPr>
                <w:rFonts w:hint="eastAsia"/>
                <w:lang w:eastAsia="ko-KR"/>
              </w:rPr>
              <w:t>1</w:t>
            </w:r>
            <w:r w:rsidRPr="004D0DAA">
              <w:rPr>
                <w:lang w:eastAsia="en-US"/>
              </w:rPr>
              <w:t>, while the CES/P field is used in case of polling in RLC data blocks (see sub-clause 10.4.4b).</w:t>
            </w:r>
          </w:p>
        </w:tc>
      </w:tr>
    </w:tbl>
    <w:p w14:paraId="5C222E31" w14:textId="77777777" w:rsidR="00711444" w:rsidRPr="004D0DAA" w:rsidRDefault="00711444" w:rsidP="00711444"/>
    <w:p w14:paraId="265304DD" w14:textId="77777777" w:rsidR="00711444" w:rsidRPr="004D0DAA" w:rsidRDefault="00711444" w:rsidP="00711444">
      <w:r w:rsidRPr="004D0DAA">
        <w:t>In downlink RLC/MAC Control blocks encoded using MSC-0, a 1-bit RRBP is defined (see subclause 10.3a.3.3). In this case the number of TDMA frames the mobile station shall wait before transmitting the uplink RLC/MAC block is indicated in Table 10.4.5.3.</w:t>
      </w:r>
    </w:p>
    <w:p w14:paraId="59EE5DD0" w14:textId="77777777" w:rsidR="00711444" w:rsidRPr="004D0DAA" w:rsidRDefault="00711444" w:rsidP="00711444">
      <w:pPr>
        <w:pStyle w:val="TH"/>
      </w:pPr>
      <w:r w:rsidRPr="004D0DAA">
        <w:t>Table 10.4.5.3: Relative Reserved Block Period (RRBP) field – 1 bit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711444" w:rsidRPr="004D0DAA" w14:paraId="04BE8180" w14:textId="77777777" w:rsidTr="00AA2A4C">
        <w:tblPrEx>
          <w:tblCellMar>
            <w:top w:w="0" w:type="dxa"/>
            <w:bottom w:w="0" w:type="dxa"/>
          </w:tblCellMar>
        </w:tblPrEx>
        <w:trPr>
          <w:cantSplit/>
          <w:jc w:val="center"/>
        </w:trPr>
        <w:tc>
          <w:tcPr>
            <w:tcW w:w="611" w:type="dxa"/>
          </w:tcPr>
          <w:p w14:paraId="2891D200" w14:textId="77777777" w:rsidR="00711444" w:rsidRPr="004D0DAA" w:rsidRDefault="00711444" w:rsidP="00AA2A4C">
            <w:pPr>
              <w:pStyle w:val="TAH"/>
              <w:rPr>
                <w:lang w:eastAsia="en-US"/>
              </w:rPr>
            </w:pPr>
            <w:r w:rsidRPr="004D0DAA">
              <w:rPr>
                <w:lang w:eastAsia="en-US"/>
              </w:rPr>
              <w:t>bit</w:t>
            </w:r>
            <w:r w:rsidRPr="004D0DAA">
              <w:rPr>
                <w:lang w:eastAsia="en-US"/>
              </w:rPr>
              <w:br/>
              <w:t>5</w:t>
            </w:r>
          </w:p>
        </w:tc>
        <w:tc>
          <w:tcPr>
            <w:tcW w:w="3402" w:type="dxa"/>
          </w:tcPr>
          <w:p w14:paraId="7D3210E1" w14:textId="77777777" w:rsidR="00711444" w:rsidRPr="004D0DAA" w:rsidRDefault="00711444" w:rsidP="00AA2A4C">
            <w:pPr>
              <w:pStyle w:val="TAH"/>
              <w:rPr>
                <w:lang w:eastAsia="en-US"/>
              </w:rPr>
            </w:pPr>
            <w:r w:rsidRPr="004D0DAA">
              <w:rPr>
                <w:lang w:eastAsia="en-US"/>
              </w:rPr>
              <w:t>PDCH uplink block with TDMA frame number</w:t>
            </w:r>
          </w:p>
        </w:tc>
      </w:tr>
      <w:tr w:rsidR="00711444" w:rsidRPr="004D0DAA" w14:paraId="7260A3C2" w14:textId="77777777" w:rsidTr="00AA2A4C">
        <w:tblPrEx>
          <w:tblCellMar>
            <w:top w:w="0" w:type="dxa"/>
            <w:bottom w:w="0" w:type="dxa"/>
          </w:tblCellMar>
        </w:tblPrEx>
        <w:trPr>
          <w:cantSplit/>
          <w:jc w:val="center"/>
        </w:trPr>
        <w:tc>
          <w:tcPr>
            <w:tcW w:w="611" w:type="dxa"/>
          </w:tcPr>
          <w:p w14:paraId="1B7AC56C" w14:textId="77777777" w:rsidR="00711444" w:rsidRPr="004D0DAA" w:rsidRDefault="00711444" w:rsidP="00AA2A4C">
            <w:pPr>
              <w:pStyle w:val="TAC"/>
              <w:rPr>
                <w:lang w:eastAsia="en-US"/>
              </w:rPr>
            </w:pPr>
            <w:r w:rsidRPr="004D0DAA">
              <w:rPr>
                <w:lang w:eastAsia="en-US"/>
              </w:rPr>
              <w:t>0</w:t>
            </w:r>
          </w:p>
        </w:tc>
        <w:tc>
          <w:tcPr>
            <w:tcW w:w="3402" w:type="dxa"/>
          </w:tcPr>
          <w:p w14:paraId="4FF4835F" w14:textId="77777777" w:rsidR="00711444" w:rsidRPr="004D0DAA" w:rsidRDefault="00711444" w:rsidP="00AA2A4C">
            <w:pPr>
              <w:pStyle w:val="TAL"/>
              <w:rPr>
                <w:lang w:eastAsia="en-US"/>
              </w:rPr>
            </w:pPr>
            <w:r w:rsidRPr="004D0DAA">
              <w:rPr>
                <w:lang w:eastAsia="en-US"/>
              </w:rPr>
              <w:t>(N+6 or N+7) mod 2715648</w:t>
            </w:r>
          </w:p>
        </w:tc>
      </w:tr>
      <w:tr w:rsidR="00711444" w:rsidRPr="004D0DAA" w14:paraId="0C8A9426" w14:textId="77777777" w:rsidTr="00AA2A4C">
        <w:tblPrEx>
          <w:tblCellMar>
            <w:top w:w="0" w:type="dxa"/>
            <w:bottom w:w="0" w:type="dxa"/>
          </w:tblCellMar>
        </w:tblPrEx>
        <w:trPr>
          <w:cantSplit/>
          <w:jc w:val="center"/>
        </w:trPr>
        <w:tc>
          <w:tcPr>
            <w:tcW w:w="611" w:type="dxa"/>
          </w:tcPr>
          <w:p w14:paraId="007737ED" w14:textId="77777777" w:rsidR="00711444" w:rsidRPr="004D0DAA" w:rsidRDefault="00711444" w:rsidP="00AA2A4C">
            <w:pPr>
              <w:pStyle w:val="TAC"/>
              <w:rPr>
                <w:lang w:eastAsia="en-US"/>
              </w:rPr>
            </w:pPr>
            <w:r w:rsidRPr="004D0DAA">
              <w:rPr>
                <w:lang w:eastAsia="en-US"/>
              </w:rPr>
              <w:t>1</w:t>
            </w:r>
          </w:p>
        </w:tc>
        <w:tc>
          <w:tcPr>
            <w:tcW w:w="3402" w:type="dxa"/>
          </w:tcPr>
          <w:p w14:paraId="78A928AE" w14:textId="77777777" w:rsidR="00711444" w:rsidRPr="004D0DAA" w:rsidRDefault="00711444" w:rsidP="00AA2A4C">
            <w:pPr>
              <w:pStyle w:val="TAL"/>
              <w:rPr>
                <w:lang w:eastAsia="en-US"/>
              </w:rPr>
            </w:pPr>
            <w:r w:rsidRPr="004D0DAA">
              <w:rPr>
                <w:lang w:eastAsia="en-US"/>
              </w:rPr>
              <w:t>(N+8 or N+9) mod 2715648</w:t>
            </w:r>
          </w:p>
        </w:tc>
      </w:tr>
    </w:tbl>
    <w:p w14:paraId="3B623B44" w14:textId="77777777" w:rsidR="00711444" w:rsidRPr="004D0DAA" w:rsidRDefault="00711444" w:rsidP="00711444"/>
    <w:p w14:paraId="428861CA" w14:textId="77777777" w:rsidR="00711444" w:rsidRPr="004D0DAA" w:rsidRDefault="00711444" w:rsidP="00711444">
      <w:r w:rsidRPr="004D0DAA">
        <w:t xml:space="preserve">In a DLMC configuration </w:t>
      </w:r>
      <w:r w:rsidRPr="004D0DAA">
        <w:rPr>
          <w:lang w:eastAsia="ko-KR"/>
        </w:rPr>
        <w:t>using an SNS of 8192 for</w:t>
      </w:r>
      <w:r w:rsidRPr="004D0DAA">
        <w:t xml:space="preserve"> a downlink TBF where FANR is not activated, Table 10.4.5.4 specifies the RRBP field in the RLC data block header (see sub-clause 10.3a.3.1, 10.3a.3.2 and 10.3a.3.3) by indicat</w:t>
      </w:r>
      <w:r w:rsidRPr="004D0DAA">
        <w:rPr>
          <w:lang w:eastAsia="ko-KR"/>
        </w:rPr>
        <w:t>ing</w:t>
      </w:r>
      <w:r w:rsidRPr="004D0DAA">
        <w:t xml:space="preserve"> the number of TDMA frames the mobile station shall wait before transmitting the uplink RLC/MAC block. The delay is relative to the first TDMA frame (N) of the downlink block containing the RRBP value. For definition of TDMA frame numbering, see 3GPP TS 45.002.</w:t>
      </w:r>
    </w:p>
    <w:p w14:paraId="051C642B" w14:textId="77777777" w:rsidR="00711444" w:rsidRPr="004D0DAA" w:rsidRDefault="00711444" w:rsidP="00711444">
      <w:pPr>
        <w:pStyle w:val="TH"/>
      </w:pPr>
      <w:r w:rsidRPr="004D0DAA">
        <w:lastRenderedPageBreak/>
        <w:t>Table 10.4.5.4: Relative Reserved Block Period (RRBP) field (FANR not activated) – DLMC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711444" w:rsidRPr="004D0DAA" w14:paraId="245BC635" w14:textId="77777777" w:rsidTr="00AA2A4C">
        <w:tblPrEx>
          <w:tblCellMar>
            <w:top w:w="0" w:type="dxa"/>
            <w:bottom w:w="0" w:type="dxa"/>
          </w:tblCellMar>
        </w:tblPrEx>
        <w:trPr>
          <w:cantSplit/>
          <w:jc w:val="center"/>
        </w:trPr>
        <w:tc>
          <w:tcPr>
            <w:tcW w:w="611" w:type="dxa"/>
          </w:tcPr>
          <w:p w14:paraId="2D3B7AAC" w14:textId="77777777" w:rsidR="00711444" w:rsidRPr="004D0DAA" w:rsidRDefault="00711444" w:rsidP="00AA2A4C">
            <w:pPr>
              <w:pStyle w:val="TAH"/>
              <w:rPr>
                <w:lang w:eastAsia="en-US"/>
              </w:rPr>
            </w:pPr>
            <w:r w:rsidRPr="004D0DAA">
              <w:rPr>
                <w:lang w:eastAsia="en-US"/>
              </w:rPr>
              <w:t>bit</w:t>
            </w:r>
            <w:r w:rsidRPr="004D0DAA">
              <w:rPr>
                <w:lang w:eastAsia="en-US"/>
              </w:rPr>
              <w:br/>
            </w:r>
            <w:r w:rsidRPr="004D0DAA">
              <w:rPr>
                <w:rFonts w:hint="eastAsia"/>
                <w:lang w:eastAsia="ko-KR"/>
              </w:rPr>
              <w:t>6</w:t>
            </w:r>
          </w:p>
        </w:tc>
        <w:tc>
          <w:tcPr>
            <w:tcW w:w="3402" w:type="dxa"/>
          </w:tcPr>
          <w:p w14:paraId="5DDDE309" w14:textId="77777777" w:rsidR="00711444" w:rsidRPr="004D0DAA" w:rsidRDefault="00711444" w:rsidP="00AA2A4C">
            <w:pPr>
              <w:pStyle w:val="TAH"/>
              <w:rPr>
                <w:lang w:eastAsia="en-US"/>
              </w:rPr>
            </w:pPr>
            <w:r w:rsidRPr="004D0DAA">
              <w:rPr>
                <w:lang w:eastAsia="en-US"/>
              </w:rPr>
              <w:t>PDCH uplink block with TDMA frame number</w:t>
            </w:r>
          </w:p>
        </w:tc>
      </w:tr>
      <w:tr w:rsidR="00711444" w:rsidRPr="004D0DAA" w14:paraId="02BAEA30" w14:textId="77777777" w:rsidTr="00AA2A4C">
        <w:tblPrEx>
          <w:tblCellMar>
            <w:top w:w="0" w:type="dxa"/>
            <w:bottom w:w="0" w:type="dxa"/>
          </w:tblCellMar>
        </w:tblPrEx>
        <w:trPr>
          <w:cantSplit/>
          <w:jc w:val="center"/>
        </w:trPr>
        <w:tc>
          <w:tcPr>
            <w:tcW w:w="611" w:type="dxa"/>
          </w:tcPr>
          <w:p w14:paraId="6FCFB558" w14:textId="77777777" w:rsidR="00711444" w:rsidRPr="004D0DAA" w:rsidRDefault="00711444" w:rsidP="00AA2A4C">
            <w:pPr>
              <w:pStyle w:val="TAC"/>
              <w:rPr>
                <w:lang w:eastAsia="en-US"/>
              </w:rPr>
            </w:pPr>
            <w:r w:rsidRPr="004D0DAA">
              <w:rPr>
                <w:lang w:eastAsia="en-US"/>
              </w:rPr>
              <w:t>0</w:t>
            </w:r>
          </w:p>
        </w:tc>
        <w:tc>
          <w:tcPr>
            <w:tcW w:w="3402" w:type="dxa"/>
          </w:tcPr>
          <w:p w14:paraId="0E6CE5DC" w14:textId="77777777" w:rsidR="00711444" w:rsidRPr="004D0DAA" w:rsidRDefault="00711444" w:rsidP="00AA2A4C">
            <w:pPr>
              <w:pStyle w:val="TAL"/>
              <w:rPr>
                <w:lang w:eastAsia="en-US"/>
              </w:rPr>
            </w:pPr>
            <w:r w:rsidRPr="004D0DAA">
              <w:rPr>
                <w:lang w:eastAsia="en-US"/>
              </w:rPr>
              <w:t>(N+6 or N+7) mod 2715648</w:t>
            </w:r>
          </w:p>
        </w:tc>
      </w:tr>
      <w:tr w:rsidR="00711444" w:rsidRPr="004D0DAA" w14:paraId="2EEEF5E8" w14:textId="77777777" w:rsidTr="00AA2A4C">
        <w:tblPrEx>
          <w:tblCellMar>
            <w:top w:w="0" w:type="dxa"/>
            <w:bottom w:w="0" w:type="dxa"/>
          </w:tblCellMar>
        </w:tblPrEx>
        <w:trPr>
          <w:cantSplit/>
          <w:jc w:val="center"/>
        </w:trPr>
        <w:tc>
          <w:tcPr>
            <w:tcW w:w="611" w:type="dxa"/>
          </w:tcPr>
          <w:p w14:paraId="57B6EEEE" w14:textId="77777777" w:rsidR="00711444" w:rsidRPr="004D0DAA" w:rsidRDefault="00711444" w:rsidP="00AA2A4C">
            <w:pPr>
              <w:pStyle w:val="TAC"/>
              <w:rPr>
                <w:lang w:eastAsia="en-US"/>
              </w:rPr>
            </w:pPr>
            <w:r w:rsidRPr="004D0DAA">
              <w:rPr>
                <w:lang w:eastAsia="en-US"/>
              </w:rPr>
              <w:t>1</w:t>
            </w:r>
          </w:p>
        </w:tc>
        <w:tc>
          <w:tcPr>
            <w:tcW w:w="3402" w:type="dxa"/>
          </w:tcPr>
          <w:p w14:paraId="1FF902D9" w14:textId="77777777" w:rsidR="00711444" w:rsidRPr="004D0DAA" w:rsidRDefault="00711444" w:rsidP="00AA2A4C">
            <w:pPr>
              <w:pStyle w:val="TAL"/>
              <w:rPr>
                <w:lang w:eastAsia="en-US"/>
              </w:rPr>
            </w:pPr>
            <w:r w:rsidRPr="004D0DAA">
              <w:rPr>
                <w:lang w:eastAsia="en-US"/>
              </w:rPr>
              <w:t>(N+8 or N+9) mod 2715648</w:t>
            </w:r>
          </w:p>
        </w:tc>
      </w:tr>
    </w:tbl>
    <w:p w14:paraId="205C8C2A" w14:textId="77777777" w:rsidR="00711444" w:rsidRPr="004D0DAA" w:rsidRDefault="00711444" w:rsidP="00711444"/>
    <w:p w14:paraId="1979FAA8" w14:textId="77777777" w:rsidR="00711444" w:rsidRPr="004D0DAA" w:rsidRDefault="00711444" w:rsidP="00711444">
      <w:r w:rsidRPr="004D0DAA">
        <w:t>For EC TBFs, Table 10.4.5.5 specifies the coding of the RRBP field if it is received as part of an RLC/MAC block containing an RLC/MAC data block indicat</w:t>
      </w:r>
      <w:r w:rsidRPr="004D0DAA">
        <w:rPr>
          <w:lang w:eastAsia="ko-KR"/>
        </w:rPr>
        <w:t>ing</w:t>
      </w:r>
      <w:r w:rsidRPr="004D0DAA">
        <w:t xml:space="preserve"> the number of TDMA frames the mobile station shall wait before transmitting the uplink RLC/MAC block according to its uplink Coverage Class. The delay is relative to the first TDMA frame (N) of the downlink block containing the last blind physical layer transmission of the EC-PACCH or EC-PDTCH message, according to the USED_DL_COVERAGE_CLASS field. For definition of TDMA frame numbering, see 3GPP TS 45.002 [13].</w:t>
      </w:r>
    </w:p>
    <w:p w14:paraId="7791B8DF" w14:textId="77777777" w:rsidR="00711444" w:rsidRPr="004D0DAA" w:rsidRDefault="00711444" w:rsidP="00711444">
      <w:pPr>
        <w:pStyle w:val="TH"/>
      </w:pPr>
      <w:r w:rsidRPr="004D0DAA">
        <w:lastRenderedPageBreak/>
        <w:t>Table 10.4.5.5: Relative Reserved Block Period (RRBP) field (EC TBF mode) if received as part of an RLC/MAC block containing an RLC/MAC data block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4"/>
        <w:gridCol w:w="1375"/>
        <w:gridCol w:w="1375"/>
        <w:gridCol w:w="1374"/>
        <w:gridCol w:w="1375"/>
        <w:gridCol w:w="1375"/>
        <w:gridCol w:w="1375"/>
      </w:tblGrid>
      <w:tr w:rsidR="00711444" w:rsidRPr="004D0DAA" w14:paraId="71AB4911" w14:textId="77777777" w:rsidTr="00AA2A4C">
        <w:trPr>
          <w:cantSplit/>
          <w:jc w:val="center"/>
        </w:trPr>
        <w:tc>
          <w:tcPr>
            <w:tcW w:w="1374" w:type="dxa"/>
          </w:tcPr>
          <w:p w14:paraId="2C6E4BE8" w14:textId="77777777" w:rsidR="00711444" w:rsidRPr="004D0DAA" w:rsidRDefault="00711444" w:rsidP="00AA2A4C">
            <w:pPr>
              <w:pStyle w:val="TAH"/>
              <w:rPr>
                <w:lang w:eastAsia="en-US"/>
              </w:rPr>
            </w:pPr>
            <w:r w:rsidRPr="004D0DAA">
              <w:rPr>
                <w:lang w:eastAsia="en-US"/>
              </w:rPr>
              <w:t>bit</w:t>
            </w:r>
            <w:r w:rsidRPr="004D0DAA">
              <w:rPr>
                <w:lang w:eastAsia="en-US"/>
              </w:rPr>
              <w:br/>
              <w:t>6 5 4</w:t>
            </w:r>
          </w:p>
        </w:tc>
        <w:tc>
          <w:tcPr>
            <w:tcW w:w="1375" w:type="dxa"/>
          </w:tcPr>
          <w:p w14:paraId="1E62D7BA" w14:textId="77777777" w:rsidR="00711444" w:rsidRPr="004D0DAA" w:rsidRDefault="00711444" w:rsidP="00AA2A4C">
            <w:pPr>
              <w:pStyle w:val="TAH"/>
              <w:rPr>
                <w:lang w:eastAsia="en-US"/>
              </w:rPr>
            </w:pPr>
            <w:r w:rsidRPr="004D0DAA">
              <w:rPr>
                <w:lang w:eastAsia="en-US"/>
              </w:rPr>
              <w:t>Full-rate PDCH uplink block with TDMA frame number given UL CC1 or CC2 with 4 PDCH allocation</w:t>
            </w:r>
          </w:p>
          <w:p w14:paraId="50FAC93F" w14:textId="77777777" w:rsidR="00711444" w:rsidRPr="004D0DAA" w:rsidRDefault="00711444" w:rsidP="00AA2A4C">
            <w:pPr>
              <w:pStyle w:val="TAL"/>
              <w:rPr>
                <w:lang w:eastAsia="en-US"/>
              </w:rPr>
            </w:pPr>
          </w:p>
        </w:tc>
        <w:tc>
          <w:tcPr>
            <w:tcW w:w="1375" w:type="dxa"/>
          </w:tcPr>
          <w:p w14:paraId="40074516" w14:textId="77777777" w:rsidR="00711444" w:rsidRPr="004D0DAA" w:rsidRDefault="00711444" w:rsidP="00AA2A4C">
            <w:pPr>
              <w:pStyle w:val="TAH"/>
              <w:rPr>
                <w:lang w:eastAsia="en-US"/>
              </w:rPr>
            </w:pPr>
            <w:r w:rsidRPr="004D0DAA">
              <w:rPr>
                <w:lang w:eastAsia="en-US"/>
              </w:rPr>
              <w:t>Full-rate PDCH uplink block with TDMA frame number given UL CC3 with 4 PDCH allocation or UL CC2 with 2 PDCH allocation</w:t>
            </w:r>
          </w:p>
          <w:p w14:paraId="71F2369B" w14:textId="77777777" w:rsidR="00711444" w:rsidRPr="004D0DAA" w:rsidRDefault="00711444" w:rsidP="00AA2A4C">
            <w:pPr>
              <w:pStyle w:val="TAL"/>
              <w:jc w:val="center"/>
              <w:rPr>
                <w:b/>
                <w:lang w:eastAsia="en-US"/>
              </w:rPr>
            </w:pPr>
          </w:p>
        </w:tc>
        <w:tc>
          <w:tcPr>
            <w:tcW w:w="1374" w:type="dxa"/>
          </w:tcPr>
          <w:p w14:paraId="7425BB70" w14:textId="77777777" w:rsidR="00711444" w:rsidRPr="004D0DAA" w:rsidRDefault="00711444" w:rsidP="00AA2A4C">
            <w:pPr>
              <w:pStyle w:val="TAH"/>
              <w:rPr>
                <w:lang w:eastAsia="en-US"/>
              </w:rPr>
            </w:pPr>
            <w:r w:rsidRPr="004D0DAA">
              <w:rPr>
                <w:lang w:eastAsia="en-US"/>
              </w:rPr>
              <w:t>Full-rate PDCH uplink block with TDMA frame number given UL CC4 with 4 PDCH allocation or UL CC3 with 2 PDCH allocation</w:t>
            </w:r>
          </w:p>
          <w:p w14:paraId="66949D83" w14:textId="77777777" w:rsidR="00711444" w:rsidRPr="004D0DAA" w:rsidRDefault="00711444" w:rsidP="00AA2A4C">
            <w:pPr>
              <w:pStyle w:val="TAH"/>
              <w:rPr>
                <w:lang w:eastAsia="en-US"/>
              </w:rPr>
            </w:pPr>
          </w:p>
        </w:tc>
        <w:tc>
          <w:tcPr>
            <w:tcW w:w="1375" w:type="dxa"/>
          </w:tcPr>
          <w:p w14:paraId="6E6BA518" w14:textId="77777777" w:rsidR="00711444" w:rsidRPr="004D0DAA" w:rsidRDefault="00711444" w:rsidP="00AA2A4C">
            <w:pPr>
              <w:pStyle w:val="TAH"/>
              <w:rPr>
                <w:lang w:eastAsia="en-US"/>
              </w:rPr>
            </w:pPr>
            <w:r w:rsidRPr="004D0DAA">
              <w:rPr>
                <w:lang w:eastAsia="en-US"/>
              </w:rPr>
              <w:t>Full-rate PDCH uplink block with TDMA frame number given UL CC4 with 2 PDCH allocation</w:t>
            </w:r>
          </w:p>
          <w:p w14:paraId="32A9893F" w14:textId="77777777" w:rsidR="00711444" w:rsidRPr="004D0DAA" w:rsidRDefault="00711444" w:rsidP="00AA2A4C">
            <w:pPr>
              <w:pStyle w:val="TAH"/>
              <w:rPr>
                <w:lang w:eastAsia="en-US"/>
              </w:rPr>
            </w:pPr>
          </w:p>
        </w:tc>
        <w:tc>
          <w:tcPr>
            <w:tcW w:w="1375" w:type="dxa"/>
          </w:tcPr>
          <w:p w14:paraId="2D0315B9" w14:textId="77777777" w:rsidR="00711444" w:rsidRPr="004D0DAA" w:rsidRDefault="00711444" w:rsidP="00AA2A4C">
            <w:pPr>
              <w:pStyle w:val="TAH"/>
              <w:rPr>
                <w:lang w:eastAsia="en-US"/>
              </w:rPr>
            </w:pPr>
            <w:r w:rsidRPr="004D0DAA">
              <w:rPr>
                <w:lang w:eastAsia="en-US"/>
              </w:rPr>
              <w:t>Full-rate PDCH uplink block with TDMA frame number given UL CC5 with 4 PDCH allocation</w:t>
            </w:r>
          </w:p>
          <w:p w14:paraId="6A6519E5" w14:textId="77777777" w:rsidR="00711444" w:rsidRPr="004D0DAA" w:rsidRDefault="00711444" w:rsidP="00AA2A4C">
            <w:pPr>
              <w:pStyle w:val="TAH"/>
              <w:rPr>
                <w:lang w:eastAsia="en-US"/>
              </w:rPr>
            </w:pPr>
          </w:p>
        </w:tc>
        <w:tc>
          <w:tcPr>
            <w:tcW w:w="1375" w:type="dxa"/>
          </w:tcPr>
          <w:p w14:paraId="439F4F2B" w14:textId="77777777" w:rsidR="00711444" w:rsidRPr="004D0DAA" w:rsidRDefault="00711444" w:rsidP="00AA2A4C">
            <w:pPr>
              <w:pStyle w:val="TAH"/>
              <w:rPr>
                <w:lang w:eastAsia="en-US"/>
              </w:rPr>
            </w:pPr>
            <w:r w:rsidRPr="004D0DAA">
              <w:rPr>
                <w:lang w:eastAsia="en-US"/>
              </w:rPr>
              <w:t>Full-rate PDCH uplink block with TDMA frame number given UL CC5 with 2 PDCH allocation</w:t>
            </w:r>
          </w:p>
          <w:p w14:paraId="51ACEA74" w14:textId="77777777" w:rsidR="00711444" w:rsidRPr="004D0DAA" w:rsidRDefault="00711444" w:rsidP="00AA2A4C">
            <w:pPr>
              <w:pStyle w:val="TAH"/>
              <w:rPr>
                <w:lang w:eastAsia="en-US"/>
              </w:rPr>
            </w:pPr>
          </w:p>
        </w:tc>
      </w:tr>
      <w:tr w:rsidR="00711444" w:rsidRPr="004D0DAA" w14:paraId="4DF0C76F" w14:textId="77777777" w:rsidTr="00AA2A4C">
        <w:trPr>
          <w:cantSplit/>
          <w:jc w:val="center"/>
        </w:trPr>
        <w:tc>
          <w:tcPr>
            <w:tcW w:w="1374" w:type="dxa"/>
          </w:tcPr>
          <w:p w14:paraId="531F04B7" w14:textId="77777777" w:rsidR="00711444" w:rsidRPr="004D0DAA" w:rsidRDefault="00711444" w:rsidP="00AA2A4C">
            <w:pPr>
              <w:pStyle w:val="TAC"/>
              <w:rPr>
                <w:lang w:eastAsia="en-US"/>
              </w:rPr>
            </w:pPr>
            <w:r w:rsidRPr="004D0DAA">
              <w:rPr>
                <w:lang w:eastAsia="en-US"/>
              </w:rPr>
              <w:lastRenderedPageBreak/>
              <w:t>0 0 0</w:t>
            </w:r>
          </w:p>
        </w:tc>
        <w:tc>
          <w:tcPr>
            <w:tcW w:w="1375" w:type="dxa"/>
          </w:tcPr>
          <w:p w14:paraId="6804BDEA" w14:textId="77777777" w:rsidR="00711444" w:rsidRPr="004D0DAA" w:rsidRDefault="00711444" w:rsidP="00AA2A4C">
            <w:pPr>
              <w:pStyle w:val="TAL"/>
              <w:rPr>
                <w:lang w:eastAsia="en-US"/>
              </w:rPr>
            </w:pPr>
            <w:r w:rsidRPr="004D0DAA">
              <w:rPr>
                <w:lang w:eastAsia="en-US"/>
              </w:rPr>
              <w:t>(N+13) mod 2715648</w:t>
            </w:r>
          </w:p>
          <w:p w14:paraId="18F6A742" w14:textId="77777777" w:rsidR="00711444" w:rsidRPr="004D0DAA" w:rsidRDefault="00711444" w:rsidP="00AA2A4C">
            <w:pPr>
              <w:pStyle w:val="TAL"/>
              <w:rPr>
                <w:lang w:eastAsia="en-US"/>
              </w:rPr>
            </w:pPr>
          </w:p>
        </w:tc>
        <w:tc>
          <w:tcPr>
            <w:tcW w:w="1375" w:type="dxa"/>
          </w:tcPr>
          <w:p w14:paraId="497B3C02" w14:textId="77777777" w:rsidR="00711444" w:rsidRPr="004D0DAA" w:rsidRDefault="00711444" w:rsidP="00AA2A4C">
            <w:pPr>
              <w:pStyle w:val="TAL"/>
              <w:rPr>
                <w:lang w:eastAsia="en-US"/>
              </w:rPr>
            </w:pPr>
            <w:r w:rsidRPr="004D0DAA">
              <w:rPr>
                <w:lang w:eastAsia="en-US"/>
              </w:rPr>
              <w:t xml:space="preserve">(N+13) mod 2715648 </w:t>
            </w:r>
          </w:p>
          <w:p w14:paraId="17B9F8F0" w14:textId="77777777" w:rsidR="00711444" w:rsidRPr="004D0DAA" w:rsidRDefault="00711444" w:rsidP="00AA2A4C">
            <w:pPr>
              <w:pStyle w:val="TAL"/>
              <w:rPr>
                <w:lang w:eastAsia="en-US"/>
              </w:rPr>
            </w:pPr>
            <w:r w:rsidRPr="004D0DAA">
              <w:rPr>
                <w:lang w:eastAsia="en-US"/>
              </w:rPr>
              <w:t xml:space="preserve">or </w:t>
            </w:r>
            <w:r w:rsidRPr="004D0DAA">
              <w:rPr>
                <w:lang w:eastAsia="en-US"/>
              </w:rPr>
              <w:br/>
              <w:t xml:space="preserve">(N+17 or N+18) mod 2715648 </w:t>
            </w:r>
          </w:p>
        </w:tc>
        <w:tc>
          <w:tcPr>
            <w:tcW w:w="1374" w:type="dxa"/>
          </w:tcPr>
          <w:p w14:paraId="548FCB5B" w14:textId="77777777" w:rsidR="00711444" w:rsidRPr="004D0DAA" w:rsidRDefault="00711444" w:rsidP="00AA2A4C">
            <w:pPr>
              <w:pStyle w:val="TAL"/>
              <w:rPr>
                <w:lang w:eastAsia="en-US"/>
              </w:rPr>
            </w:pPr>
            <w:r w:rsidRPr="004D0DAA">
              <w:rPr>
                <w:lang w:eastAsia="en-US"/>
              </w:rPr>
              <w:t xml:space="preserve">(N+13) mod 2715648 </w:t>
            </w:r>
          </w:p>
          <w:p w14:paraId="2B79366E"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6429E1AA" w14:textId="77777777" w:rsidR="00711444" w:rsidRPr="004D0DAA" w:rsidRDefault="00711444" w:rsidP="00AA2A4C">
            <w:pPr>
              <w:pStyle w:val="TAL"/>
              <w:rPr>
                <w:lang w:eastAsia="en-US"/>
              </w:rPr>
            </w:pPr>
            <w:r w:rsidRPr="004D0DAA">
              <w:rPr>
                <w:lang w:eastAsia="en-US"/>
              </w:rPr>
              <w:t>or</w:t>
            </w:r>
          </w:p>
          <w:p w14:paraId="35C33071" w14:textId="77777777" w:rsidR="00711444" w:rsidRPr="004D0DAA" w:rsidRDefault="00711444" w:rsidP="00AA2A4C">
            <w:pPr>
              <w:pStyle w:val="TAL"/>
              <w:rPr>
                <w:lang w:eastAsia="en-US"/>
              </w:rPr>
            </w:pPr>
            <w:r w:rsidRPr="004D0DAA">
              <w:rPr>
                <w:lang w:eastAsia="en-US"/>
              </w:rPr>
              <w:t xml:space="preserve">(N+21 or N+22) mod 2715648 </w:t>
            </w:r>
          </w:p>
          <w:p w14:paraId="1C26384B" w14:textId="77777777" w:rsidR="00711444" w:rsidRPr="004D0DAA" w:rsidRDefault="00711444" w:rsidP="00AA2A4C">
            <w:pPr>
              <w:pStyle w:val="TAL"/>
              <w:rPr>
                <w:lang w:eastAsia="en-US"/>
              </w:rPr>
            </w:pPr>
            <w:r w:rsidRPr="004D0DAA">
              <w:rPr>
                <w:lang w:eastAsia="en-US"/>
              </w:rPr>
              <w:t>or</w:t>
            </w:r>
          </w:p>
          <w:p w14:paraId="014A558A" w14:textId="77777777" w:rsidR="00711444" w:rsidRPr="004D0DAA" w:rsidRDefault="00711444" w:rsidP="00AA2A4C">
            <w:pPr>
              <w:pStyle w:val="TAL"/>
              <w:rPr>
                <w:lang w:eastAsia="en-US"/>
              </w:rPr>
            </w:pPr>
            <w:r w:rsidRPr="004D0DAA">
              <w:rPr>
                <w:lang w:eastAsia="en-US"/>
              </w:rPr>
              <w:t xml:space="preserve">(N+26) mod 2715648 </w:t>
            </w:r>
          </w:p>
        </w:tc>
        <w:tc>
          <w:tcPr>
            <w:tcW w:w="1375" w:type="dxa"/>
          </w:tcPr>
          <w:p w14:paraId="1BC03CC4" w14:textId="77777777" w:rsidR="00711444" w:rsidRPr="004D0DAA" w:rsidRDefault="00711444" w:rsidP="00AA2A4C">
            <w:pPr>
              <w:pStyle w:val="TAL"/>
              <w:rPr>
                <w:lang w:eastAsia="en-US"/>
              </w:rPr>
            </w:pPr>
            <w:r w:rsidRPr="004D0DAA">
              <w:rPr>
                <w:lang w:eastAsia="en-US"/>
              </w:rPr>
              <w:t xml:space="preserve">(N+13) mod 2715648 </w:t>
            </w:r>
          </w:p>
          <w:p w14:paraId="38E7F66F"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35E5CD64" w14:textId="77777777" w:rsidR="00711444" w:rsidRPr="004D0DAA" w:rsidRDefault="00711444" w:rsidP="00AA2A4C">
            <w:pPr>
              <w:pStyle w:val="TAL"/>
              <w:rPr>
                <w:lang w:eastAsia="en-US"/>
              </w:rPr>
            </w:pPr>
            <w:r w:rsidRPr="004D0DAA">
              <w:rPr>
                <w:lang w:eastAsia="en-US"/>
              </w:rPr>
              <w:t>or</w:t>
            </w:r>
          </w:p>
          <w:p w14:paraId="4C053504" w14:textId="77777777" w:rsidR="00711444" w:rsidRPr="004D0DAA" w:rsidRDefault="00711444" w:rsidP="00AA2A4C">
            <w:pPr>
              <w:pStyle w:val="TAL"/>
              <w:rPr>
                <w:lang w:eastAsia="en-US"/>
              </w:rPr>
            </w:pPr>
            <w:r w:rsidRPr="004D0DAA">
              <w:rPr>
                <w:lang w:eastAsia="en-US"/>
              </w:rPr>
              <w:t xml:space="preserve">(N+21 or N+22) mod 2715648 </w:t>
            </w:r>
          </w:p>
          <w:p w14:paraId="7ECFC36D" w14:textId="77777777" w:rsidR="00711444" w:rsidRPr="004D0DAA" w:rsidRDefault="00711444" w:rsidP="00AA2A4C">
            <w:pPr>
              <w:pStyle w:val="TAL"/>
              <w:rPr>
                <w:lang w:eastAsia="en-US"/>
              </w:rPr>
            </w:pPr>
            <w:r w:rsidRPr="004D0DAA">
              <w:rPr>
                <w:lang w:eastAsia="en-US"/>
              </w:rPr>
              <w:t>or</w:t>
            </w:r>
          </w:p>
          <w:p w14:paraId="038918CC" w14:textId="77777777" w:rsidR="00711444" w:rsidRPr="004D0DAA" w:rsidRDefault="00711444" w:rsidP="00AA2A4C">
            <w:pPr>
              <w:pStyle w:val="TAL"/>
              <w:rPr>
                <w:lang w:eastAsia="en-US"/>
              </w:rPr>
            </w:pPr>
            <w:r w:rsidRPr="004D0DAA">
              <w:rPr>
                <w:lang w:eastAsia="en-US"/>
              </w:rPr>
              <w:t>(N+26) mod 2715648</w:t>
            </w:r>
          </w:p>
          <w:p w14:paraId="3D8908AD" w14:textId="77777777" w:rsidR="00711444" w:rsidRPr="004D0DAA" w:rsidRDefault="00711444" w:rsidP="00AA2A4C">
            <w:pPr>
              <w:pStyle w:val="TAL"/>
              <w:rPr>
                <w:lang w:eastAsia="en-US"/>
              </w:rPr>
            </w:pPr>
            <w:r w:rsidRPr="004D0DAA">
              <w:rPr>
                <w:lang w:eastAsia="en-US"/>
              </w:rPr>
              <w:t>or</w:t>
            </w:r>
          </w:p>
          <w:p w14:paraId="4D1EA206" w14:textId="77777777" w:rsidR="00711444" w:rsidRPr="004D0DAA" w:rsidRDefault="00711444" w:rsidP="00AA2A4C">
            <w:pPr>
              <w:pStyle w:val="TAL"/>
              <w:rPr>
                <w:lang w:eastAsia="en-US"/>
              </w:rPr>
            </w:pPr>
            <w:r w:rsidRPr="004D0DAA">
              <w:rPr>
                <w:lang w:eastAsia="en-US"/>
              </w:rPr>
              <w:t xml:space="preserve">(N+30 or N+31) mod 2715648 </w:t>
            </w:r>
          </w:p>
          <w:p w14:paraId="2B3A9D78" w14:textId="77777777" w:rsidR="00711444" w:rsidRPr="004D0DAA" w:rsidRDefault="00711444" w:rsidP="00AA2A4C">
            <w:pPr>
              <w:pStyle w:val="TAL"/>
              <w:rPr>
                <w:lang w:eastAsia="en-US"/>
              </w:rPr>
            </w:pPr>
            <w:r w:rsidRPr="004D0DAA">
              <w:rPr>
                <w:lang w:eastAsia="en-US"/>
              </w:rPr>
              <w:t>or</w:t>
            </w:r>
          </w:p>
          <w:p w14:paraId="02B7BD8B" w14:textId="77777777" w:rsidR="00711444" w:rsidRPr="004D0DAA" w:rsidRDefault="00711444" w:rsidP="00AA2A4C">
            <w:pPr>
              <w:pStyle w:val="TAL"/>
              <w:rPr>
                <w:lang w:eastAsia="en-US"/>
              </w:rPr>
            </w:pPr>
            <w:r w:rsidRPr="004D0DAA">
              <w:rPr>
                <w:lang w:eastAsia="en-US"/>
              </w:rPr>
              <w:t xml:space="preserve">(N+34 or N+35) mod 2715648 </w:t>
            </w:r>
          </w:p>
          <w:p w14:paraId="5DEF32C5" w14:textId="77777777" w:rsidR="00711444" w:rsidRPr="004D0DAA" w:rsidRDefault="00711444" w:rsidP="00AA2A4C">
            <w:pPr>
              <w:pStyle w:val="TAL"/>
              <w:rPr>
                <w:lang w:eastAsia="en-US"/>
              </w:rPr>
            </w:pPr>
            <w:r w:rsidRPr="004D0DAA">
              <w:rPr>
                <w:lang w:eastAsia="en-US"/>
              </w:rPr>
              <w:t>or</w:t>
            </w:r>
          </w:p>
          <w:p w14:paraId="3C7B8F07" w14:textId="77777777" w:rsidR="00711444" w:rsidRPr="004D0DAA" w:rsidRDefault="00711444" w:rsidP="00AA2A4C">
            <w:pPr>
              <w:pStyle w:val="TAL"/>
              <w:rPr>
                <w:lang w:eastAsia="en-US"/>
              </w:rPr>
            </w:pPr>
            <w:r w:rsidRPr="004D0DAA">
              <w:rPr>
                <w:lang w:eastAsia="en-US"/>
              </w:rPr>
              <w:t xml:space="preserve">(N+39) mod 2715648 </w:t>
            </w:r>
          </w:p>
          <w:p w14:paraId="6B2AD9C1" w14:textId="77777777" w:rsidR="00711444" w:rsidRPr="004D0DAA" w:rsidRDefault="00711444" w:rsidP="00AA2A4C">
            <w:pPr>
              <w:pStyle w:val="TAL"/>
              <w:rPr>
                <w:lang w:eastAsia="en-US"/>
              </w:rPr>
            </w:pPr>
            <w:r w:rsidRPr="004D0DAA">
              <w:rPr>
                <w:lang w:eastAsia="en-US"/>
              </w:rPr>
              <w:t>or</w:t>
            </w:r>
          </w:p>
          <w:p w14:paraId="65F0B5A0" w14:textId="77777777" w:rsidR="00711444" w:rsidRPr="004D0DAA" w:rsidRDefault="00711444" w:rsidP="00AA2A4C">
            <w:pPr>
              <w:pStyle w:val="TAL"/>
              <w:rPr>
                <w:lang w:eastAsia="en-US"/>
              </w:rPr>
            </w:pPr>
            <w:r w:rsidRPr="004D0DAA">
              <w:rPr>
                <w:lang w:eastAsia="en-US"/>
              </w:rPr>
              <w:t>(N+43 or N+44) mod 2715648</w:t>
            </w:r>
          </w:p>
        </w:tc>
        <w:tc>
          <w:tcPr>
            <w:tcW w:w="1375" w:type="dxa"/>
          </w:tcPr>
          <w:p w14:paraId="5E74A659" w14:textId="77777777" w:rsidR="00711444" w:rsidRPr="004D0DAA" w:rsidRDefault="00711444" w:rsidP="00AA2A4C">
            <w:pPr>
              <w:pStyle w:val="TAL"/>
              <w:rPr>
                <w:lang w:eastAsia="en-US"/>
              </w:rPr>
            </w:pPr>
            <w:r w:rsidRPr="004D0DAA">
              <w:rPr>
                <w:lang w:eastAsia="en-US"/>
              </w:rPr>
              <w:t xml:space="preserve">(N+13) mod 2715648 </w:t>
            </w:r>
          </w:p>
          <w:p w14:paraId="3C1E7B66"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7870D470" w14:textId="77777777" w:rsidR="00711444" w:rsidRPr="004D0DAA" w:rsidRDefault="00711444" w:rsidP="00AA2A4C">
            <w:pPr>
              <w:pStyle w:val="TAL"/>
              <w:rPr>
                <w:lang w:eastAsia="en-US"/>
              </w:rPr>
            </w:pPr>
            <w:r w:rsidRPr="004D0DAA">
              <w:rPr>
                <w:lang w:eastAsia="en-US"/>
              </w:rPr>
              <w:t>or</w:t>
            </w:r>
          </w:p>
          <w:p w14:paraId="1B92CB78" w14:textId="77777777" w:rsidR="00711444" w:rsidRPr="004D0DAA" w:rsidRDefault="00711444" w:rsidP="00AA2A4C">
            <w:pPr>
              <w:pStyle w:val="TAL"/>
              <w:rPr>
                <w:lang w:eastAsia="en-US"/>
              </w:rPr>
            </w:pPr>
            <w:r w:rsidRPr="004D0DAA">
              <w:rPr>
                <w:lang w:eastAsia="en-US"/>
              </w:rPr>
              <w:t xml:space="preserve">(N+21 or N+22) mod 2715648 </w:t>
            </w:r>
          </w:p>
          <w:p w14:paraId="69947AF4" w14:textId="77777777" w:rsidR="00711444" w:rsidRPr="004D0DAA" w:rsidRDefault="00711444" w:rsidP="00AA2A4C">
            <w:pPr>
              <w:pStyle w:val="TAL"/>
              <w:rPr>
                <w:lang w:eastAsia="en-US"/>
              </w:rPr>
            </w:pPr>
            <w:r w:rsidRPr="004D0DAA">
              <w:rPr>
                <w:lang w:eastAsia="en-US"/>
              </w:rPr>
              <w:t>or</w:t>
            </w:r>
          </w:p>
          <w:p w14:paraId="003DE3F9" w14:textId="77777777" w:rsidR="00711444" w:rsidRPr="004D0DAA" w:rsidRDefault="00711444" w:rsidP="00AA2A4C">
            <w:pPr>
              <w:pStyle w:val="TAL"/>
              <w:rPr>
                <w:lang w:eastAsia="en-US"/>
              </w:rPr>
            </w:pPr>
            <w:r w:rsidRPr="004D0DAA">
              <w:rPr>
                <w:lang w:eastAsia="en-US"/>
              </w:rPr>
              <w:t>(N+26) mod 2715648</w:t>
            </w:r>
          </w:p>
          <w:p w14:paraId="615F6833" w14:textId="77777777" w:rsidR="00711444" w:rsidRPr="004D0DAA" w:rsidRDefault="00711444" w:rsidP="00AA2A4C">
            <w:pPr>
              <w:pStyle w:val="TAL"/>
              <w:rPr>
                <w:lang w:eastAsia="en-US"/>
              </w:rPr>
            </w:pPr>
            <w:r w:rsidRPr="004D0DAA">
              <w:rPr>
                <w:lang w:eastAsia="en-US"/>
              </w:rPr>
              <w:t>Or</w:t>
            </w:r>
          </w:p>
          <w:p w14:paraId="242D54D5" w14:textId="77777777" w:rsidR="00711444" w:rsidRPr="004D0DAA" w:rsidRDefault="00711444" w:rsidP="00AA2A4C">
            <w:pPr>
              <w:pStyle w:val="TAL"/>
              <w:rPr>
                <w:lang w:eastAsia="en-US"/>
              </w:rPr>
            </w:pPr>
            <w:r w:rsidRPr="004D0DAA">
              <w:rPr>
                <w:lang w:eastAsia="en-US"/>
              </w:rPr>
              <w:t xml:space="preserve">(N+30 or N+31) mod 2715648 </w:t>
            </w:r>
          </w:p>
          <w:p w14:paraId="7A1C2B3E" w14:textId="77777777" w:rsidR="00711444" w:rsidRPr="004D0DAA" w:rsidRDefault="00711444" w:rsidP="00AA2A4C">
            <w:pPr>
              <w:pStyle w:val="TAL"/>
              <w:rPr>
                <w:lang w:eastAsia="en-US"/>
              </w:rPr>
            </w:pPr>
            <w:r w:rsidRPr="004D0DAA">
              <w:rPr>
                <w:lang w:eastAsia="en-US"/>
              </w:rPr>
              <w:t>or</w:t>
            </w:r>
          </w:p>
          <w:p w14:paraId="25B3EEBF" w14:textId="77777777" w:rsidR="00711444" w:rsidRPr="004D0DAA" w:rsidRDefault="00711444" w:rsidP="00AA2A4C">
            <w:pPr>
              <w:pStyle w:val="TAL"/>
              <w:rPr>
                <w:lang w:eastAsia="en-US"/>
              </w:rPr>
            </w:pPr>
            <w:r w:rsidRPr="004D0DAA">
              <w:rPr>
                <w:lang w:eastAsia="en-US"/>
              </w:rPr>
              <w:t xml:space="preserve">(N+34 or N+35) mod 2715648 </w:t>
            </w:r>
          </w:p>
          <w:p w14:paraId="02DAEDBB" w14:textId="77777777" w:rsidR="00711444" w:rsidRPr="004D0DAA" w:rsidRDefault="00711444" w:rsidP="00AA2A4C">
            <w:pPr>
              <w:pStyle w:val="TAL"/>
              <w:rPr>
                <w:lang w:eastAsia="en-US"/>
              </w:rPr>
            </w:pPr>
            <w:r w:rsidRPr="004D0DAA">
              <w:rPr>
                <w:lang w:eastAsia="en-US"/>
              </w:rPr>
              <w:t>or</w:t>
            </w:r>
          </w:p>
          <w:p w14:paraId="23DED855" w14:textId="77777777" w:rsidR="00711444" w:rsidRPr="004D0DAA" w:rsidRDefault="00711444" w:rsidP="00AA2A4C">
            <w:pPr>
              <w:pStyle w:val="TAL"/>
              <w:rPr>
                <w:lang w:eastAsia="en-US"/>
              </w:rPr>
            </w:pPr>
            <w:r w:rsidRPr="004D0DAA">
              <w:rPr>
                <w:lang w:eastAsia="en-US"/>
              </w:rPr>
              <w:t xml:space="preserve">(N+39) mod 2715648 </w:t>
            </w:r>
          </w:p>
          <w:p w14:paraId="371DED9A" w14:textId="77777777" w:rsidR="00711444" w:rsidRPr="004D0DAA" w:rsidRDefault="00711444" w:rsidP="00AA2A4C">
            <w:pPr>
              <w:pStyle w:val="TAL"/>
              <w:rPr>
                <w:lang w:eastAsia="en-US"/>
              </w:rPr>
            </w:pPr>
            <w:r w:rsidRPr="004D0DAA">
              <w:rPr>
                <w:lang w:eastAsia="en-US"/>
              </w:rPr>
              <w:t>or</w:t>
            </w:r>
          </w:p>
          <w:p w14:paraId="12310AAF" w14:textId="77777777" w:rsidR="00711444" w:rsidRPr="004D0DAA" w:rsidRDefault="00711444" w:rsidP="00AA2A4C">
            <w:pPr>
              <w:pStyle w:val="TAL"/>
              <w:rPr>
                <w:lang w:eastAsia="en-US"/>
              </w:rPr>
            </w:pPr>
            <w:r w:rsidRPr="004D0DAA">
              <w:rPr>
                <w:lang w:eastAsia="en-US"/>
              </w:rPr>
              <w:t>(N+43 or N+44) mod 2715648</w:t>
            </w:r>
          </w:p>
          <w:p w14:paraId="7E7397F7" w14:textId="77777777" w:rsidR="00711444" w:rsidRPr="004D0DAA" w:rsidRDefault="00711444" w:rsidP="00AA2A4C">
            <w:pPr>
              <w:pStyle w:val="TAL"/>
              <w:rPr>
                <w:lang w:eastAsia="en-US"/>
              </w:rPr>
            </w:pPr>
            <w:r w:rsidRPr="004D0DAA">
              <w:rPr>
                <w:lang w:eastAsia="en-US"/>
              </w:rPr>
              <w:t>Or</w:t>
            </w:r>
          </w:p>
          <w:p w14:paraId="3399C801" w14:textId="77777777" w:rsidR="00711444" w:rsidRPr="004D0DAA" w:rsidRDefault="00711444" w:rsidP="00AA2A4C">
            <w:pPr>
              <w:pStyle w:val="TAL"/>
              <w:rPr>
                <w:lang w:eastAsia="en-US"/>
              </w:rPr>
            </w:pPr>
            <w:r w:rsidRPr="004D0DAA">
              <w:rPr>
                <w:lang w:eastAsia="en-US"/>
              </w:rPr>
              <w:t xml:space="preserve">(N+47 or N+48) mod 2715648 </w:t>
            </w:r>
          </w:p>
          <w:p w14:paraId="2D9AB025" w14:textId="77777777" w:rsidR="00711444" w:rsidRPr="004D0DAA" w:rsidRDefault="00711444" w:rsidP="00AA2A4C">
            <w:pPr>
              <w:pStyle w:val="TAL"/>
              <w:rPr>
                <w:lang w:eastAsia="en-US"/>
              </w:rPr>
            </w:pPr>
            <w:r w:rsidRPr="004D0DAA">
              <w:rPr>
                <w:lang w:eastAsia="en-US"/>
              </w:rPr>
              <w:t>or</w:t>
            </w:r>
          </w:p>
          <w:p w14:paraId="226456DB" w14:textId="77777777" w:rsidR="00711444" w:rsidRPr="004D0DAA" w:rsidRDefault="00711444" w:rsidP="00AA2A4C">
            <w:pPr>
              <w:pStyle w:val="TAL"/>
              <w:rPr>
                <w:lang w:eastAsia="en-US"/>
              </w:rPr>
            </w:pPr>
            <w:r w:rsidRPr="004D0DAA">
              <w:rPr>
                <w:lang w:eastAsia="en-US"/>
              </w:rPr>
              <w:t xml:space="preserve">(N+52) mod 2715648 </w:t>
            </w:r>
          </w:p>
          <w:p w14:paraId="7E64DA1C" w14:textId="77777777" w:rsidR="00711444" w:rsidRPr="004D0DAA" w:rsidRDefault="00711444" w:rsidP="00AA2A4C">
            <w:pPr>
              <w:pStyle w:val="TAL"/>
              <w:rPr>
                <w:lang w:eastAsia="en-US"/>
              </w:rPr>
            </w:pPr>
            <w:r w:rsidRPr="004D0DAA">
              <w:rPr>
                <w:lang w:eastAsia="en-US"/>
              </w:rPr>
              <w:t>or</w:t>
            </w:r>
          </w:p>
          <w:p w14:paraId="7E105A1B" w14:textId="77777777" w:rsidR="00711444" w:rsidRPr="004D0DAA" w:rsidRDefault="00711444" w:rsidP="00AA2A4C">
            <w:pPr>
              <w:pStyle w:val="TAL"/>
              <w:rPr>
                <w:lang w:eastAsia="en-US"/>
              </w:rPr>
            </w:pPr>
            <w:r w:rsidRPr="004D0DAA">
              <w:rPr>
                <w:lang w:eastAsia="en-US"/>
              </w:rPr>
              <w:t>(N+56 or N+57) mod 2715648</w:t>
            </w:r>
          </w:p>
          <w:p w14:paraId="545DBA6A" w14:textId="77777777" w:rsidR="00711444" w:rsidRPr="004D0DAA" w:rsidRDefault="00711444" w:rsidP="00AA2A4C">
            <w:pPr>
              <w:pStyle w:val="TAL"/>
              <w:rPr>
                <w:lang w:eastAsia="en-US"/>
              </w:rPr>
            </w:pPr>
            <w:r w:rsidRPr="004D0DAA">
              <w:rPr>
                <w:lang w:eastAsia="en-US"/>
              </w:rPr>
              <w:t>or</w:t>
            </w:r>
          </w:p>
          <w:p w14:paraId="2AC5510C" w14:textId="77777777" w:rsidR="00711444" w:rsidRPr="004D0DAA" w:rsidRDefault="00711444" w:rsidP="00AA2A4C">
            <w:pPr>
              <w:pStyle w:val="TAL"/>
              <w:rPr>
                <w:lang w:eastAsia="en-US"/>
              </w:rPr>
            </w:pPr>
            <w:r w:rsidRPr="004D0DAA">
              <w:rPr>
                <w:lang w:eastAsia="en-US"/>
              </w:rPr>
              <w:t>(N+60 or N+61) mod 2715648</w:t>
            </w:r>
          </w:p>
        </w:tc>
        <w:tc>
          <w:tcPr>
            <w:tcW w:w="1375" w:type="dxa"/>
          </w:tcPr>
          <w:p w14:paraId="6EC2F958" w14:textId="77777777" w:rsidR="00711444" w:rsidRPr="004D0DAA" w:rsidRDefault="00711444" w:rsidP="00AA2A4C">
            <w:pPr>
              <w:pStyle w:val="TAL"/>
              <w:rPr>
                <w:lang w:eastAsia="en-US"/>
              </w:rPr>
            </w:pPr>
            <w:r w:rsidRPr="004D0DAA">
              <w:rPr>
                <w:lang w:eastAsia="en-US"/>
              </w:rPr>
              <w:t xml:space="preserve">(N+13) mod 2715648 </w:t>
            </w:r>
          </w:p>
          <w:p w14:paraId="48E4A9D1"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075392B7" w14:textId="77777777" w:rsidR="00711444" w:rsidRPr="004D0DAA" w:rsidRDefault="00711444" w:rsidP="00AA2A4C">
            <w:pPr>
              <w:pStyle w:val="TAL"/>
              <w:rPr>
                <w:lang w:eastAsia="en-US"/>
              </w:rPr>
            </w:pPr>
            <w:r w:rsidRPr="004D0DAA">
              <w:rPr>
                <w:lang w:eastAsia="en-US"/>
              </w:rPr>
              <w:t>or</w:t>
            </w:r>
          </w:p>
          <w:p w14:paraId="2C303D84" w14:textId="77777777" w:rsidR="00711444" w:rsidRPr="004D0DAA" w:rsidRDefault="00711444" w:rsidP="00AA2A4C">
            <w:pPr>
              <w:pStyle w:val="TAL"/>
              <w:rPr>
                <w:lang w:eastAsia="en-US"/>
              </w:rPr>
            </w:pPr>
            <w:r w:rsidRPr="004D0DAA">
              <w:rPr>
                <w:lang w:eastAsia="en-US"/>
              </w:rPr>
              <w:t xml:space="preserve">(N+21 or N+22) mod 2715648 </w:t>
            </w:r>
          </w:p>
          <w:p w14:paraId="51B4ABEC" w14:textId="77777777" w:rsidR="00711444" w:rsidRPr="004D0DAA" w:rsidRDefault="00711444" w:rsidP="00AA2A4C">
            <w:pPr>
              <w:pStyle w:val="TAL"/>
              <w:rPr>
                <w:lang w:eastAsia="en-US"/>
              </w:rPr>
            </w:pPr>
            <w:r w:rsidRPr="004D0DAA">
              <w:rPr>
                <w:lang w:eastAsia="en-US"/>
              </w:rPr>
              <w:t>or</w:t>
            </w:r>
          </w:p>
          <w:p w14:paraId="1B3454B4" w14:textId="77777777" w:rsidR="00711444" w:rsidRPr="004D0DAA" w:rsidRDefault="00711444" w:rsidP="00AA2A4C">
            <w:pPr>
              <w:pStyle w:val="TAL"/>
              <w:rPr>
                <w:lang w:eastAsia="en-US"/>
              </w:rPr>
            </w:pPr>
            <w:r w:rsidRPr="004D0DAA">
              <w:rPr>
                <w:lang w:eastAsia="en-US"/>
              </w:rPr>
              <w:t>(N+26) mod 2715648</w:t>
            </w:r>
          </w:p>
          <w:p w14:paraId="41A23A4F" w14:textId="77777777" w:rsidR="00711444" w:rsidRPr="004D0DAA" w:rsidRDefault="00711444" w:rsidP="00AA2A4C">
            <w:pPr>
              <w:pStyle w:val="TAL"/>
              <w:rPr>
                <w:lang w:eastAsia="en-US"/>
              </w:rPr>
            </w:pPr>
            <w:r w:rsidRPr="004D0DAA">
              <w:rPr>
                <w:lang w:eastAsia="en-US"/>
              </w:rPr>
              <w:t>Or</w:t>
            </w:r>
          </w:p>
          <w:p w14:paraId="07A3B607" w14:textId="77777777" w:rsidR="00711444" w:rsidRPr="004D0DAA" w:rsidRDefault="00711444" w:rsidP="00AA2A4C">
            <w:pPr>
              <w:pStyle w:val="TAL"/>
              <w:rPr>
                <w:lang w:eastAsia="en-US"/>
              </w:rPr>
            </w:pPr>
            <w:r w:rsidRPr="004D0DAA">
              <w:rPr>
                <w:lang w:eastAsia="en-US"/>
              </w:rPr>
              <w:t xml:space="preserve">(N+30 or N+31) mod 2715648 </w:t>
            </w:r>
          </w:p>
          <w:p w14:paraId="2E8AEF67" w14:textId="77777777" w:rsidR="00711444" w:rsidRPr="004D0DAA" w:rsidRDefault="00711444" w:rsidP="00AA2A4C">
            <w:pPr>
              <w:pStyle w:val="TAL"/>
              <w:rPr>
                <w:lang w:eastAsia="en-US"/>
              </w:rPr>
            </w:pPr>
            <w:r w:rsidRPr="004D0DAA">
              <w:rPr>
                <w:lang w:eastAsia="en-US"/>
              </w:rPr>
              <w:t>or</w:t>
            </w:r>
          </w:p>
          <w:p w14:paraId="230F197D" w14:textId="77777777" w:rsidR="00711444" w:rsidRPr="004D0DAA" w:rsidRDefault="00711444" w:rsidP="00AA2A4C">
            <w:pPr>
              <w:pStyle w:val="TAL"/>
              <w:rPr>
                <w:lang w:eastAsia="en-US"/>
              </w:rPr>
            </w:pPr>
            <w:r w:rsidRPr="004D0DAA">
              <w:rPr>
                <w:lang w:eastAsia="en-US"/>
              </w:rPr>
              <w:t xml:space="preserve">(N+34 or N+35) mod 2715648 </w:t>
            </w:r>
          </w:p>
          <w:p w14:paraId="15518670" w14:textId="77777777" w:rsidR="00711444" w:rsidRPr="004D0DAA" w:rsidRDefault="00711444" w:rsidP="00AA2A4C">
            <w:pPr>
              <w:pStyle w:val="TAL"/>
              <w:rPr>
                <w:lang w:eastAsia="en-US"/>
              </w:rPr>
            </w:pPr>
            <w:r w:rsidRPr="004D0DAA">
              <w:rPr>
                <w:lang w:eastAsia="en-US"/>
              </w:rPr>
              <w:t>or</w:t>
            </w:r>
          </w:p>
          <w:p w14:paraId="739F28BD" w14:textId="77777777" w:rsidR="00711444" w:rsidRPr="004D0DAA" w:rsidRDefault="00711444" w:rsidP="00AA2A4C">
            <w:pPr>
              <w:pStyle w:val="TAL"/>
              <w:rPr>
                <w:lang w:eastAsia="en-US"/>
              </w:rPr>
            </w:pPr>
            <w:r w:rsidRPr="004D0DAA">
              <w:rPr>
                <w:lang w:eastAsia="en-US"/>
              </w:rPr>
              <w:t xml:space="preserve">(N+39) mod 2715648 </w:t>
            </w:r>
          </w:p>
          <w:p w14:paraId="3BEAC163" w14:textId="77777777" w:rsidR="00711444" w:rsidRPr="004D0DAA" w:rsidRDefault="00711444" w:rsidP="00AA2A4C">
            <w:pPr>
              <w:pStyle w:val="TAL"/>
              <w:rPr>
                <w:lang w:eastAsia="en-US"/>
              </w:rPr>
            </w:pPr>
            <w:r w:rsidRPr="004D0DAA">
              <w:rPr>
                <w:lang w:eastAsia="en-US"/>
              </w:rPr>
              <w:t>or</w:t>
            </w:r>
          </w:p>
          <w:p w14:paraId="3809CE01" w14:textId="77777777" w:rsidR="00711444" w:rsidRPr="004D0DAA" w:rsidRDefault="00711444" w:rsidP="00AA2A4C">
            <w:pPr>
              <w:pStyle w:val="TAL"/>
              <w:rPr>
                <w:lang w:eastAsia="en-US"/>
              </w:rPr>
            </w:pPr>
            <w:r w:rsidRPr="004D0DAA">
              <w:rPr>
                <w:lang w:eastAsia="en-US"/>
              </w:rPr>
              <w:t>(N+43 or N+44) mod 2715648</w:t>
            </w:r>
          </w:p>
          <w:p w14:paraId="6B30CA70" w14:textId="77777777" w:rsidR="00711444" w:rsidRPr="004D0DAA" w:rsidRDefault="00711444" w:rsidP="00AA2A4C">
            <w:pPr>
              <w:pStyle w:val="TAL"/>
              <w:rPr>
                <w:lang w:eastAsia="en-US"/>
              </w:rPr>
            </w:pPr>
            <w:r w:rsidRPr="004D0DAA">
              <w:rPr>
                <w:lang w:eastAsia="en-US"/>
              </w:rPr>
              <w:t>Or</w:t>
            </w:r>
          </w:p>
          <w:p w14:paraId="49D30EDE" w14:textId="77777777" w:rsidR="00711444" w:rsidRPr="004D0DAA" w:rsidRDefault="00711444" w:rsidP="00AA2A4C">
            <w:pPr>
              <w:pStyle w:val="TAL"/>
              <w:rPr>
                <w:lang w:eastAsia="en-US"/>
              </w:rPr>
            </w:pPr>
            <w:r w:rsidRPr="004D0DAA">
              <w:rPr>
                <w:lang w:eastAsia="en-US"/>
              </w:rPr>
              <w:t xml:space="preserve">(N+47 or N+48) mod 2715648 </w:t>
            </w:r>
          </w:p>
          <w:p w14:paraId="40EE2EF1" w14:textId="77777777" w:rsidR="00711444" w:rsidRPr="004D0DAA" w:rsidRDefault="00711444" w:rsidP="00AA2A4C">
            <w:pPr>
              <w:pStyle w:val="TAL"/>
              <w:rPr>
                <w:lang w:eastAsia="en-US"/>
              </w:rPr>
            </w:pPr>
            <w:r w:rsidRPr="004D0DAA">
              <w:rPr>
                <w:lang w:eastAsia="en-US"/>
              </w:rPr>
              <w:t>or</w:t>
            </w:r>
          </w:p>
          <w:p w14:paraId="0C8BBAA8" w14:textId="77777777" w:rsidR="00711444" w:rsidRPr="004D0DAA" w:rsidRDefault="00711444" w:rsidP="00AA2A4C">
            <w:pPr>
              <w:pStyle w:val="TAL"/>
              <w:rPr>
                <w:lang w:eastAsia="en-US"/>
              </w:rPr>
            </w:pPr>
            <w:r w:rsidRPr="004D0DAA">
              <w:rPr>
                <w:lang w:eastAsia="en-US"/>
              </w:rPr>
              <w:t xml:space="preserve">(N+52) mod 2715648 </w:t>
            </w:r>
          </w:p>
          <w:p w14:paraId="6784701B" w14:textId="77777777" w:rsidR="00711444" w:rsidRPr="004D0DAA" w:rsidRDefault="00711444" w:rsidP="00AA2A4C">
            <w:pPr>
              <w:pStyle w:val="TAL"/>
              <w:rPr>
                <w:lang w:eastAsia="en-US"/>
              </w:rPr>
            </w:pPr>
            <w:r w:rsidRPr="004D0DAA">
              <w:rPr>
                <w:lang w:eastAsia="en-US"/>
              </w:rPr>
              <w:t>or</w:t>
            </w:r>
          </w:p>
          <w:p w14:paraId="5ECDBB09" w14:textId="77777777" w:rsidR="00711444" w:rsidRPr="004D0DAA" w:rsidRDefault="00711444" w:rsidP="00AA2A4C">
            <w:pPr>
              <w:pStyle w:val="TAL"/>
              <w:rPr>
                <w:lang w:eastAsia="en-US"/>
              </w:rPr>
            </w:pPr>
            <w:r w:rsidRPr="004D0DAA">
              <w:rPr>
                <w:lang w:eastAsia="en-US"/>
              </w:rPr>
              <w:t>(N+56 or N+57) mod 2715648</w:t>
            </w:r>
          </w:p>
          <w:p w14:paraId="158D3272" w14:textId="77777777" w:rsidR="00711444" w:rsidRPr="004D0DAA" w:rsidRDefault="00711444" w:rsidP="00AA2A4C">
            <w:pPr>
              <w:pStyle w:val="TAL"/>
              <w:rPr>
                <w:lang w:eastAsia="en-US"/>
              </w:rPr>
            </w:pPr>
            <w:r w:rsidRPr="004D0DAA">
              <w:rPr>
                <w:lang w:eastAsia="en-US"/>
              </w:rPr>
              <w:t>or</w:t>
            </w:r>
          </w:p>
          <w:p w14:paraId="64D501A6" w14:textId="77777777" w:rsidR="00711444" w:rsidRPr="004D0DAA" w:rsidRDefault="00711444" w:rsidP="00AA2A4C">
            <w:pPr>
              <w:pStyle w:val="TAL"/>
              <w:rPr>
                <w:lang w:eastAsia="en-US"/>
              </w:rPr>
            </w:pPr>
            <w:r w:rsidRPr="004D0DAA">
              <w:rPr>
                <w:lang w:eastAsia="en-US"/>
              </w:rPr>
              <w:t>(N+60 or N+61) mod 2715648</w:t>
            </w:r>
          </w:p>
          <w:p w14:paraId="5AAD2D05" w14:textId="77777777" w:rsidR="00711444" w:rsidRPr="004D0DAA" w:rsidRDefault="00711444" w:rsidP="00AA2A4C">
            <w:pPr>
              <w:pStyle w:val="TAL"/>
              <w:rPr>
                <w:lang w:eastAsia="en-US"/>
              </w:rPr>
            </w:pPr>
            <w:r w:rsidRPr="004D0DAA">
              <w:rPr>
                <w:lang w:eastAsia="en-US"/>
              </w:rPr>
              <w:t>Or</w:t>
            </w:r>
          </w:p>
          <w:p w14:paraId="40A5125A" w14:textId="77777777" w:rsidR="00711444" w:rsidRPr="004D0DAA" w:rsidRDefault="00711444" w:rsidP="00AA2A4C">
            <w:pPr>
              <w:pStyle w:val="TAL"/>
              <w:rPr>
                <w:lang w:eastAsia="en-US"/>
              </w:rPr>
            </w:pPr>
            <w:r w:rsidRPr="004D0DAA">
              <w:rPr>
                <w:lang w:eastAsia="en-US"/>
              </w:rPr>
              <w:t xml:space="preserve">(N+65) mod 2715648 </w:t>
            </w:r>
          </w:p>
          <w:p w14:paraId="17BDD200" w14:textId="77777777" w:rsidR="00711444" w:rsidRPr="004D0DAA" w:rsidRDefault="00711444" w:rsidP="00AA2A4C">
            <w:pPr>
              <w:pStyle w:val="TAL"/>
              <w:rPr>
                <w:lang w:eastAsia="en-US"/>
              </w:rPr>
            </w:pPr>
            <w:r w:rsidRPr="004D0DAA">
              <w:rPr>
                <w:lang w:eastAsia="en-US"/>
              </w:rPr>
              <w:t>or</w:t>
            </w:r>
          </w:p>
          <w:p w14:paraId="682E1287" w14:textId="77777777" w:rsidR="00711444" w:rsidRPr="004D0DAA" w:rsidRDefault="00711444" w:rsidP="00AA2A4C">
            <w:pPr>
              <w:pStyle w:val="TAL"/>
              <w:rPr>
                <w:lang w:eastAsia="en-US"/>
              </w:rPr>
            </w:pPr>
            <w:r w:rsidRPr="004D0DAA">
              <w:rPr>
                <w:lang w:eastAsia="en-US"/>
              </w:rPr>
              <w:t xml:space="preserve">(N+69 or N+70) mod 2715648 </w:t>
            </w:r>
          </w:p>
          <w:p w14:paraId="4A89BEA7" w14:textId="77777777" w:rsidR="00711444" w:rsidRPr="004D0DAA" w:rsidRDefault="00711444" w:rsidP="00AA2A4C">
            <w:pPr>
              <w:pStyle w:val="TAL"/>
              <w:rPr>
                <w:lang w:eastAsia="en-US"/>
              </w:rPr>
            </w:pPr>
            <w:r w:rsidRPr="004D0DAA">
              <w:rPr>
                <w:lang w:eastAsia="en-US"/>
              </w:rPr>
              <w:t>or</w:t>
            </w:r>
          </w:p>
          <w:p w14:paraId="2163DEF1" w14:textId="77777777" w:rsidR="00711444" w:rsidRPr="004D0DAA" w:rsidRDefault="00711444" w:rsidP="00AA2A4C">
            <w:pPr>
              <w:pStyle w:val="TAL"/>
              <w:rPr>
                <w:lang w:eastAsia="en-US"/>
              </w:rPr>
            </w:pPr>
            <w:r w:rsidRPr="004D0DAA">
              <w:rPr>
                <w:lang w:eastAsia="en-US"/>
              </w:rPr>
              <w:t>(N+73 or N+74) mod 2715648</w:t>
            </w:r>
          </w:p>
          <w:p w14:paraId="0F6C87F7" w14:textId="77777777" w:rsidR="00711444" w:rsidRPr="004D0DAA" w:rsidRDefault="00711444" w:rsidP="00AA2A4C">
            <w:pPr>
              <w:pStyle w:val="TAL"/>
              <w:rPr>
                <w:lang w:eastAsia="en-US"/>
              </w:rPr>
            </w:pPr>
            <w:r w:rsidRPr="004D0DAA">
              <w:rPr>
                <w:lang w:eastAsia="en-US"/>
              </w:rPr>
              <w:t>or</w:t>
            </w:r>
          </w:p>
          <w:p w14:paraId="51A8BBFD" w14:textId="77777777" w:rsidR="00711444" w:rsidRPr="004D0DAA" w:rsidRDefault="00711444" w:rsidP="00AA2A4C">
            <w:pPr>
              <w:pStyle w:val="TAL"/>
              <w:rPr>
                <w:lang w:eastAsia="en-US"/>
              </w:rPr>
            </w:pPr>
            <w:r w:rsidRPr="004D0DAA">
              <w:rPr>
                <w:lang w:eastAsia="en-US"/>
              </w:rPr>
              <w:t>(N+78) mod 2715648</w:t>
            </w:r>
          </w:p>
          <w:p w14:paraId="5140A7A9" w14:textId="77777777" w:rsidR="00711444" w:rsidRPr="004D0DAA" w:rsidRDefault="00711444" w:rsidP="00AA2A4C">
            <w:pPr>
              <w:pStyle w:val="TAL"/>
              <w:rPr>
                <w:lang w:eastAsia="en-US"/>
              </w:rPr>
            </w:pPr>
            <w:r w:rsidRPr="004D0DAA">
              <w:rPr>
                <w:lang w:eastAsia="en-US"/>
              </w:rPr>
              <w:t>Or</w:t>
            </w:r>
          </w:p>
          <w:p w14:paraId="386CD490" w14:textId="77777777" w:rsidR="00711444" w:rsidRPr="004D0DAA" w:rsidRDefault="00711444" w:rsidP="00AA2A4C">
            <w:pPr>
              <w:pStyle w:val="TAL"/>
              <w:rPr>
                <w:lang w:eastAsia="en-US"/>
              </w:rPr>
            </w:pPr>
            <w:r w:rsidRPr="004D0DAA">
              <w:rPr>
                <w:lang w:eastAsia="en-US"/>
              </w:rPr>
              <w:t xml:space="preserve">(N+82 or N+83) mod 2715648 </w:t>
            </w:r>
          </w:p>
          <w:p w14:paraId="42236DCE"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64385B57" w14:textId="77777777" w:rsidR="00711444" w:rsidRPr="004D0DAA" w:rsidRDefault="00711444" w:rsidP="00AA2A4C">
            <w:pPr>
              <w:pStyle w:val="TAL"/>
              <w:rPr>
                <w:lang w:eastAsia="en-US"/>
              </w:rPr>
            </w:pPr>
            <w:r w:rsidRPr="004D0DAA">
              <w:rPr>
                <w:lang w:eastAsia="en-US"/>
              </w:rPr>
              <w:t>or</w:t>
            </w:r>
          </w:p>
          <w:p w14:paraId="6114FAD6" w14:textId="77777777" w:rsidR="00711444" w:rsidRPr="004D0DAA" w:rsidRDefault="00711444" w:rsidP="00AA2A4C">
            <w:pPr>
              <w:pStyle w:val="TAL"/>
              <w:rPr>
                <w:lang w:eastAsia="en-US"/>
              </w:rPr>
            </w:pPr>
            <w:r w:rsidRPr="004D0DAA">
              <w:rPr>
                <w:lang w:eastAsia="en-US"/>
              </w:rPr>
              <w:t xml:space="preserve">(N+91) mod 2715648 </w:t>
            </w:r>
          </w:p>
          <w:p w14:paraId="7CE7C299" w14:textId="77777777" w:rsidR="00711444" w:rsidRPr="004D0DAA" w:rsidRDefault="00711444" w:rsidP="00AA2A4C">
            <w:pPr>
              <w:pStyle w:val="TAL"/>
              <w:rPr>
                <w:lang w:eastAsia="en-US"/>
              </w:rPr>
            </w:pPr>
            <w:r w:rsidRPr="004D0DAA">
              <w:rPr>
                <w:lang w:eastAsia="en-US"/>
              </w:rPr>
              <w:t>or</w:t>
            </w:r>
          </w:p>
          <w:p w14:paraId="62216622" w14:textId="77777777" w:rsidR="00711444" w:rsidRPr="004D0DAA" w:rsidRDefault="00711444" w:rsidP="00AA2A4C">
            <w:pPr>
              <w:pStyle w:val="TAL"/>
              <w:rPr>
                <w:lang w:eastAsia="en-US"/>
              </w:rPr>
            </w:pPr>
            <w:r w:rsidRPr="004D0DAA">
              <w:rPr>
                <w:lang w:eastAsia="en-US"/>
              </w:rPr>
              <w:t>(N+95 or N+96) mod 2715648</w:t>
            </w:r>
          </w:p>
          <w:p w14:paraId="36581E9D" w14:textId="77777777" w:rsidR="00711444" w:rsidRPr="004D0DAA" w:rsidRDefault="00711444" w:rsidP="00AA2A4C">
            <w:pPr>
              <w:pStyle w:val="TAL"/>
              <w:rPr>
                <w:lang w:eastAsia="en-US"/>
              </w:rPr>
            </w:pPr>
            <w:r w:rsidRPr="004D0DAA">
              <w:rPr>
                <w:lang w:eastAsia="en-US"/>
              </w:rPr>
              <w:t>Or</w:t>
            </w:r>
          </w:p>
          <w:p w14:paraId="6D9B34F7" w14:textId="77777777" w:rsidR="00711444" w:rsidRPr="004D0DAA" w:rsidRDefault="00711444" w:rsidP="00AA2A4C">
            <w:pPr>
              <w:pStyle w:val="TAL"/>
              <w:rPr>
                <w:lang w:eastAsia="en-US"/>
              </w:rPr>
            </w:pPr>
            <w:r w:rsidRPr="004D0DAA">
              <w:rPr>
                <w:lang w:eastAsia="en-US"/>
              </w:rPr>
              <w:t xml:space="preserve">(N+99 or N+100) mod 2715648 </w:t>
            </w:r>
          </w:p>
          <w:p w14:paraId="764BCFF4" w14:textId="77777777" w:rsidR="00711444" w:rsidRPr="004D0DAA" w:rsidRDefault="00711444" w:rsidP="00AA2A4C">
            <w:pPr>
              <w:pStyle w:val="TAL"/>
              <w:rPr>
                <w:lang w:eastAsia="en-US"/>
              </w:rPr>
            </w:pPr>
            <w:r w:rsidRPr="004D0DAA">
              <w:rPr>
                <w:lang w:eastAsia="en-US"/>
              </w:rPr>
              <w:t>or</w:t>
            </w:r>
          </w:p>
          <w:p w14:paraId="5575B6F4" w14:textId="77777777" w:rsidR="00711444" w:rsidRPr="004D0DAA" w:rsidRDefault="00711444" w:rsidP="00AA2A4C">
            <w:pPr>
              <w:pStyle w:val="TAL"/>
              <w:rPr>
                <w:lang w:eastAsia="en-US"/>
              </w:rPr>
            </w:pPr>
            <w:r w:rsidRPr="004D0DAA">
              <w:rPr>
                <w:lang w:eastAsia="en-US"/>
              </w:rPr>
              <w:t xml:space="preserve">(N+104) mod 2715648 </w:t>
            </w:r>
          </w:p>
          <w:p w14:paraId="1FF89D76" w14:textId="77777777" w:rsidR="00711444" w:rsidRPr="004D0DAA" w:rsidRDefault="00711444" w:rsidP="00AA2A4C">
            <w:pPr>
              <w:pStyle w:val="TAL"/>
              <w:rPr>
                <w:lang w:eastAsia="en-US"/>
              </w:rPr>
            </w:pPr>
            <w:r w:rsidRPr="004D0DAA">
              <w:rPr>
                <w:lang w:eastAsia="en-US"/>
              </w:rPr>
              <w:t>or</w:t>
            </w:r>
          </w:p>
          <w:p w14:paraId="1FBD8426" w14:textId="77777777" w:rsidR="00711444" w:rsidRPr="004D0DAA" w:rsidRDefault="00711444" w:rsidP="00AA2A4C">
            <w:pPr>
              <w:pStyle w:val="TAL"/>
              <w:rPr>
                <w:lang w:eastAsia="en-US"/>
              </w:rPr>
            </w:pPr>
            <w:r w:rsidRPr="004D0DAA">
              <w:rPr>
                <w:lang w:eastAsia="en-US"/>
              </w:rPr>
              <w:t xml:space="preserve">(N+108 or N+109) mod 2715648 </w:t>
            </w:r>
          </w:p>
          <w:p w14:paraId="448355D5" w14:textId="77777777" w:rsidR="00711444" w:rsidRPr="004D0DAA" w:rsidRDefault="00711444" w:rsidP="00AA2A4C">
            <w:pPr>
              <w:pStyle w:val="TAL"/>
              <w:rPr>
                <w:lang w:eastAsia="en-US"/>
              </w:rPr>
            </w:pPr>
            <w:r w:rsidRPr="004D0DAA">
              <w:rPr>
                <w:lang w:eastAsia="en-US"/>
              </w:rPr>
              <w:t>or</w:t>
            </w:r>
          </w:p>
          <w:p w14:paraId="7D80B6C6" w14:textId="77777777" w:rsidR="00711444" w:rsidRPr="004D0DAA" w:rsidRDefault="00711444" w:rsidP="00AA2A4C">
            <w:pPr>
              <w:pStyle w:val="TAL"/>
              <w:rPr>
                <w:lang w:eastAsia="en-US"/>
              </w:rPr>
            </w:pPr>
            <w:r w:rsidRPr="004D0DAA">
              <w:rPr>
                <w:lang w:eastAsia="en-US"/>
              </w:rPr>
              <w:t>(N+112 or N+113) mod 2715648</w:t>
            </w:r>
          </w:p>
        </w:tc>
      </w:tr>
      <w:tr w:rsidR="00711444" w:rsidRPr="004D0DAA" w14:paraId="456DB639" w14:textId="77777777" w:rsidTr="00AA2A4C">
        <w:trPr>
          <w:cantSplit/>
          <w:jc w:val="center"/>
        </w:trPr>
        <w:tc>
          <w:tcPr>
            <w:tcW w:w="1374" w:type="dxa"/>
          </w:tcPr>
          <w:p w14:paraId="291FD0C1" w14:textId="77777777" w:rsidR="00711444" w:rsidRPr="004D0DAA" w:rsidRDefault="00711444" w:rsidP="00AA2A4C">
            <w:pPr>
              <w:pStyle w:val="TAC"/>
              <w:rPr>
                <w:lang w:eastAsia="en-US"/>
              </w:rPr>
            </w:pPr>
            <w:r w:rsidRPr="004D0DAA">
              <w:rPr>
                <w:lang w:eastAsia="en-US"/>
              </w:rPr>
              <w:lastRenderedPageBreak/>
              <w:t>0 0 1</w:t>
            </w:r>
          </w:p>
        </w:tc>
        <w:tc>
          <w:tcPr>
            <w:tcW w:w="1375" w:type="dxa"/>
          </w:tcPr>
          <w:p w14:paraId="44985760" w14:textId="77777777" w:rsidR="00711444" w:rsidRPr="004D0DAA" w:rsidRDefault="00711444" w:rsidP="00AA2A4C">
            <w:pPr>
              <w:pStyle w:val="TAL"/>
              <w:rPr>
                <w:lang w:eastAsia="en-US"/>
              </w:rPr>
            </w:pPr>
            <w:r w:rsidRPr="004D0DAA">
              <w:rPr>
                <w:lang w:eastAsia="en-US"/>
              </w:rPr>
              <w:t>(N+17 or N+18) mod 2715648</w:t>
            </w:r>
          </w:p>
        </w:tc>
        <w:tc>
          <w:tcPr>
            <w:tcW w:w="1375" w:type="dxa"/>
          </w:tcPr>
          <w:p w14:paraId="235CE0DB" w14:textId="77777777" w:rsidR="00711444" w:rsidRPr="004D0DAA" w:rsidRDefault="00711444" w:rsidP="00AA2A4C">
            <w:pPr>
              <w:pStyle w:val="TAL"/>
              <w:rPr>
                <w:lang w:eastAsia="en-US"/>
              </w:rPr>
            </w:pPr>
            <w:r w:rsidRPr="004D0DAA">
              <w:rPr>
                <w:lang w:eastAsia="en-US"/>
              </w:rPr>
              <w:t xml:space="preserve">(N+21 or N+22) mod 2715648 </w:t>
            </w:r>
          </w:p>
          <w:p w14:paraId="3D2B0960" w14:textId="77777777" w:rsidR="00711444" w:rsidRPr="004D0DAA" w:rsidRDefault="00711444" w:rsidP="00AA2A4C">
            <w:pPr>
              <w:pStyle w:val="TAL"/>
              <w:rPr>
                <w:lang w:eastAsia="en-US"/>
              </w:rPr>
            </w:pPr>
            <w:r w:rsidRPr="004D0DAA">
              <w:rPr>
                <w:lang w:eastAsia="en-US"/>
              </w:rPr>
              <w:t>or</w:t>
            </w:r>
          </w:p>
          <w:p w14:paraId="37137D38" w14:textId="77777777" w:rsidR="00711444" w:rsidRPr="004D0DAA" w:rsidRDefault="00711444" w:rsidP="00AA2A4C">
            <w:pPr>
              <w:pStyle w:val="TAL"/>
              <w:rPr>
                <w:lang w:eastAsia="en-US"/>
              </w:rPr>
            </w:pPr>
            <w:r w:rsidRPr="004D0DAA">
              <w:rPr>
                <w:lang w:eastAsia="en-US"/>
              </w:rPr>
              <w:t>(N+26) mod 2715648</w:t>
            </w:r>
          </w:p>
        </w:tc>
        <w:tc>
          <w:tcPr>
            <w:tcW w:w="1374" w:type="dxa"/>
          </w:tcPr>
          <w:p w14:paraId="01B7A2EA" w14:textId="77777777" w:rsidR="00711444" w:rsidRPr="004D0DAA" w:rsidRDefault="00711444" w:rsidP="00AA2A4C">
            <w:pPr>
              <w:pStyle w:val="TAL"/>
              <w:rPr>
                <w:lang w:eastAsia="en-US"/>
              </w:rPr>
            </w:pPr>
            <w:r w:rsidRPr="004D0DAA">
              <w:rPr>
                <w:lang w:eastAsia="en-US"/>
              </w:rPr>
              <w:t xml:space="preserve">(N+30 or N+31) mod 2715648 </w:t>
            </w:r>
          </w:p>
          <w:p w14:paraId="7CF1AF1D" w14:textId="77777777" w:rsidR="00711444" w:rsidRPr="004D0DAA" w:rsidRDefault="00711444" w:rsidP="00AA2A4C">
            <w:pPr>
              <w:pStyle w:val="TAL"/>
              <w:rPr>
                <w:lang w:eastAsia="en-US"/>
              </w:rPr>
            </w:pPr>
            <w:r w:rsidRPr="004D0DAA">
              <w:rPr>
                <w:lang w:eastAsia="en-US"/>
              </w:rPr>
              <w:t>or</w:t>
            </w:r>
          </w:p>
          <w:p w14:paraId="5ED7F002" w14:textId="77777777" w:rsidR="00711444" w:rsidRPr="004D0DAA" w:rsidRDefault="00711444" w:rsidP="00AA2A4C">
            <w:pPr>
              <w:pStyle w:val="TAL"/>
              <w:rPr>
                <w:lang w:eastAsia="en-US"/>
              </w:rPr>
            </w:pPr>
            <w:r w:rsidRPr="004D0DAA">
              <w:rPr>
                <w:lang w:eastAsia="en-US"/>
              </w:rPr>
              <w:t xml:space="preserve">(N+34 or N+35) mod 2715648 </w:t>
            </w:r>
          </w:p>
          <w:p w14:paraId="1D1F730A" w14:textId="77777777" w:rsidR="00711444" w:rsidRPr="004D0DAA" w:rsidRDefault="00711444" w:rsidP="00AA2A4C">
            <w:pPr>
              <w:pStyle w:val="TAL"/>
              <w:rPr>
                <w:lang w:eastAsia="en-US"/>
              </w:rPr>
            </w:pPr>
            <w:r w:rsidRPr="004D0DAA">
              <w:rPr>
                <w:lang w:eastAsia="en-US"/>
              </w:rPr>
              <w:t>or</w:t>
            </w:r>
          </w:p>
          <w:p w14:paraId="5A8D1934" w14:textId="77777777" w:rsidR="00711444" w:rsidRPr="004D0DAA" w:rsidRDefault="00711444" w:rsidP="00AA2A4C">
            <w:pPr>
              <w:pStyle w:val="TAL"/>
              <w:rPr>
                <w:lang w:eastAsia="en-US"/>
              </w:rPr>
            </w:pPr>
            <w:r w:rsidRPr="004D0DAA">
              <w:rPr>
                <w:lang w:eastAsia="en-US"/>
              </w:rPr>
              <w:t xml:space="preserve">(N+39) mod 2715648 </w:t>
            </w:r>
          </w:p>
          <w:p w14:paraId="720CC02C" w14:textId="77777777" w:rsidR="00711444" w:rsidRPr="004D0DAA" w:rsidRDefault="00711444" w:rsidP="00AA2A4C">
            <w:pPr>
              <w:pStyle w:val="TAL"/>
              <w:rPr>
                <w:lang w:eastAsia="en-US"/>
              </w:rPr>
            </w:pPr>
            <w:r w:rsidRPr="004D0DAA">
              <w:rPr>
                <w:lang w:eastAsia="en-US"/>
              </w:rPr>
              <w:t>or</w:t>
            </w:r>
          </w:p>
          <w:p w14:paraId="6E35417B" w14:textId="77777777" w:rsidR="00711444" w:rsidRPr="004D0DAA" w:rsidRDefault="00711444" w:rsidP="00AA2A4C">
            <w:pPr>
              <w:pStyle w:val="TAL"/>
              <w:rPr>
                <w:lang w:eastAsia="en-US"/>
              </w:rPr>
            </w:pPr>
            <w:r w:rsidRPr="004D0DAA">
              <w:rPr>
                <w:lang w:eastAsia="en-US"/>
              </w:rPr>
              <w:t>(N+43 or N+44) mod 2715648</w:t>
            </w:r>
          </w:p>
        </w:tc>
        <w:tc>
          <w:tcPr>
            <w:tcW w:w="1375" w:type="dxa"/>
          </w:tcPr>
          <w:p w14:paraId="0C1E024C" w14:textId="77777777" w:rsidR="00711444" w:rsidRPr="004D0DAA" w:rsidRDefault="00711444" w:rsidP="00AA2A4C">
            <w:pPr>
              <w:pStyle w:val="TAL"/>
              <w:rPr>
                <w:lang w:eastAsia="en-US"/>
              </w:rPr>
            </w:pPr>
            <w:r w:rsidRPr="004D0DAA">
              <w:rPr>
                <w:lang w:eastAsia="en-US"/>
              </w:rPr>
              <w:t xml:space="preserve">(N+47 or N+48) mod 2715648 </w:t>
            </w:r>
          </w:p>
          <w:p w14:paraId="764AE5C3" w14:textId="77777777" w:rsidR="00711444" w:rsidRPr="004D0DAA" w:rsidRDefault="00711444" w:rsidP="00AA2A4C">
            <w:pPr>
              <w:pStyle w:val="TAL"/>
              <w:rPr>
                <w:lang w:eastAsia="en-US"/>
              </w:rPr>
            </w:pPr>
            <w:r w:rsidRPr="004D0DAA">
              <w:rPr>
                <w:lang w:eastAsia="en-US"/>
              </w:rPr>
              <w:t>or</w:t>
            </w:r>
          </w:p>
          <w:p w14:paraId="325D66F9" w14:textId="77777777" w:rsidR="00711444" w:rsidRPr="004D0DAA" w:rsidRDefault="00711444" w:rsidP="00AA2A4C">
            <w:pPr>
              <w:pStyle w:val="TAL"/>
              <w:rPr>
                <w:lang w:eastAsia="en-US"/>
              </w:rPr>
            </w:pPr>
            <w:r w:rsidRPr="004D0DAA">
              <w:rPr>
                <w:lang w:eastAsia="en-US"/>
              </w:rPr>
              <w:t xml:space="preserve">(N+52) mod 2715648 </w:t>
            </w:r>
          </w:p>
          <w:p w14:paraId="44441F1F" w14:textId="77777777" w:rsidR="00711444" w:rsidRPr="004D0DAA" w:rsidRDefault="00711444" w:rsidP="00AA2A4C">
            <w:pPr>
              <w:pStyle w:val="TAL"/>
              <w:rPr>
                <w:lang w:eastAsia="en-US"/>
              </w:rPr>
            </w:pPr>
            <w:r w:rsidRPr="004D0DAA">
              <w:rPr>
                <w:lang w:eastAsia="en-US"/>
              </w:rPr>
              <w:t>or</w:t>
            </w:r>
          </w:p>
          <w:p w14:paraId="046AB8BD" w14:textId="77777777" w:rsidR="00711444" w:rsidRPr="004D0DAA" w:rsidRDefault="00711444" w:rsidP="00AA2A4C">
            <w:pPr>
              <w:pStyle w:val="TAL"/>
              <w:rPr>
                <w:lang w:eastAsia="en-US"/>
              </w:rPr>
            </w:pPr>
            <w:r w:rsidRPr="004D0DAA">
              <w:rPr>
                <w:lang w:eastAsia="en-US"/>
              </w:rPr>
              <w:t>(N+56 or N+57) mod 2715648</w:t>
            </w:r>
          </w:p>
          <w:p w14:paraId="0D3DE149" w14:textId="77777777" w:rsidR="00711444" w:rsidRPr="004D0DAA" w:rsidRDefault="00711444" w:rsidP="00AA2A4C">
            <w:pPr>
              <w:pStyle w:val="TAL"/>
              <w:rPr>
                <w:lang w:eastAsia="en-US"/>
              </w:rPr>
            </w:pPr>
            <w:r w:rsidRPr="004D0DAA">
              <w:rPr>
                <w:lang w:eastAsia="en-US"/>
              </w:rPr>
              <w:t>or</w:t>
            </w:r>
          </w:p>
          <w:p w14:paraId="19F870F5" w14:textId="77777777" w:rsidR="00711444" w:rsidRPr="004D0DAA" w:rsidRDefault="00711444" w:rsidP="00AA2A4C">
            <w:pPr>
              <w:pStyle w:val="TAL"/>
              <w:rPr>
                <w:lang w:eastAsia="en-US"/>
              </w:rPr>
            </w:pPr>
            <w:r w:rsidRPr="004D0DAA">
              <w:rPr>
                <w:lang w:eastAsia="en-US"/>
              </w:rPr>
              <w:t>(N+60 or N+61) mod 2715648</w:t>
            </w:r>
          </w:p>
          <w:p w14:paraId="6B122CC3" w14:textId="77777777" w:rsidR="00711444" w:rsidRPr="004D0DAA" w:rsidRDefault="00711444" w:rsidP="00AA2A4C">
            <w:pPr>
              <w:pStyle w:val="TAL"/>
              <w:rPr>
                <w:lang w:eastAsia="en-US"/>
              </w:rPr>
            </w:pPr>
            <w:r w:rsidRPr="004D0DAA">
              <w:rPr>
                <w:lang w:eastAsia="en-US"/>
              </w:rPr>
              <w:t>or</w:t>
            </w:r>
          </w:p>
          <w:p w14:paraId="334C12CD" w14:textId="77777777" w:rsidR="00711444" w:rsidRPr="004D0DAA" w:rsidRDefault="00711444" w:rsidP="00AA2A4C">
            <w:pPr>
              <w:pStyle w:val="TAL"/>
              <w:rPr>
                <w:lang w:eastAsia="en-US"/>
              </w:rPr>
            </w:pPr>
            <w:r w:rsidRPr="004D0DAA">
              <w:rPr>
                <w:lang w:eastAsia="en-US"/>
              </w:rPr>
              <w:t xml:space="preserve">(N+65) mod 2715648 </w:t>
            </w:r>
          </w:p>
          <w:p w14:paraId="087A13EC" w14:textId="77777777" w:rsidR="00711444" w:rsidRPr="004D0DAA" w:rsidRDefault="00711444" w:rsidP="00AA2A4C">
            <w:pPr>
              <w:pStyle w:val="TAL"/>
              <w:rPr>
                <w:lang w:eastAsia="en-US"/>
              </w:rPr>
            </w:pPr>
            <w:r w:rsidRPr="004D0DAA">
              <w:rPr>
                <w:lang w:eastAsia="en-US"/>
              </w:rPr>
              <w:t>or</w:t>
            </w:r>
          </w:p>
          <w:p w14:paraId="4E5B0938" w14:textId="77777777" w:rsidR="00711444" w:rsidRPr="004D0DAA" w:rsidRDefault="00711444" w:rsidP="00AA2A4C">
            <w:pPr>
              <w:pStyle w:val="TAL"/>
              <w:rPr>
                <w:lang w:eastAsia="en-US"/>
              </w:rPr>
            </w:pPr>
            <w:r w:rsidRPr="004D0DAA">
              <w:rPr>
                <w:lang w:eastAsia="en-US"/>
              </w:rPr>
              <w:t xml:space="preserve">(N+69 or N+70) mod 2715648 </w:t>
            </w:r>
          </w:p>
          <w:p w14:paraId="157D83EF" w14:textId="77777777" w:rsidR="00711444" w:rsidRPr="004D0DAA" w:rsidRDefault="00711444" w:rsidP="00AA2A4C">
            <w:pPr>
              <w:pStyle w:val="TAL"/>
              <w:rPr>
                <w:lang w:eastAsia="en-US"/>
              </w:rPr>
            </w:pPr>
            <w:r w:rsidRPr="004D0DAA">
              <w:rPr>
                <w:lang w:eastAsia="en-US"/>
              </w:rPr>
              <w:t>or</w:t>
            </w:r>
          </w:p>
          <w:p w14:paraId="0B3B3275" w14:textId="77777777" w:rsidR="00711444" w:rsidRPr="004D0DAA" w:rsidRDefault="00711444" w:rsidP="00AA2A4C">
            <w:pPr>
              <w:pStyle w:val="TAL"/>
              <w:rPr>
                <w:lang w:eastAsia="en-US"/>
              </w:rPr>
            </w:pPr>
            <w:r w:rsidRPr="004D0DAA">
              <w:rPr>
                <w:lang w:eastAsia="en-US"/>
              </w:rPr>
              <w:t>(N+73 or N+74) mod 2715648</w:t>
            </w:r>
          </w:p>
          <w:p w14:paraId="790B62AE" w14:textId="77777777" w:rsidR="00711444" w:rsidRPr="004D0DAA" w:rsidRDefault="00711444" w:rsidP="00AA2A4C">
            <w:pPr>
              <w:pStyle w:val="TAL"/>
              <w:rPr>
                <w:lang w:eastAsia="en-US"/>
              </w:rPr>
            </w:pPr>
            <w:r w:rsidRPr="004D0DAA">
              <w:rPr>
                <w:lang w:eastAsia="en-US"/>
              </w:rPr>
              <w:t>or</w:t>
            </w:r>
          </w:p>
          <w:p w14:paraId="44D5A58C" w14:textId="77777777" w:rsidR="00711444" w:rsidRPr="004D0DAA" w:rsidRDefault="00711444" w:rsidP="00AA2A4C">
            <w:pPr>
              <w:pStyle w:val="TAL"/>
              <w:rPr>
                <w:lang w:eastAsia="en-US"/>
              </w:rPr>
            </w:pPr>
            <w:r w:rsidRPr="004D0DAA">
              <w:rPr>
                <w:lang w:eastAsia="en-US"/>
              </w:rPr>
              <w:t>(N+78) mod 2715648</w:t>
            </w:r>
          </w:p>
        </w:tc>
        <w:tc>
          <w:tcPr>
            <w:tcW w:w="1375" w:type="dxa"/>
          </w:tcPr>
          <w:p w14:paraId="533CBAE8" w14:textId="77777777" w:rsidR="00711444" w:rsidRPr="004D0DAA" w:rsidRDefault="00711444" w:rsidP="00AA2A4C">
            <w:pPr>
              <w:pStyle w:val="TAL"/>
              <w:rPr>
                <w:lang w:eastAsia="en-US"/>
              </w:rPr>
            </w:pPr>
            <w:r w:rsidRPr="004D0DAA">
              <w:rPr>
                <w:lang w:eastAsia="en-US"/>
              </w:rPr>
              <w:t xml:space="preserve">(N+65) mod 2715648 </w:t>
            </w:r>
          </w:p>
          <w:p w14:paraId="5BDB4852" w14:textId="77777777" w:rsidR="00711444" w:rsidRPr="004D0DAA" w:rsidRDefault="00711444" w:rsidP="00AA2A4C">
            <w:pPr>
              <w:pStyle w:val="TAL"/>
              <w:rPr>
                <w:lang w:eastAsia="en-US"/>
              </w:rPr>
            </w:pPr>
            <w:r w:rsidRPr="004D0DAA">
              <w:rPr>
                <w:lang w:eastAsia="en-US"/>
              </w:rPr>
              <w:t>or</w:t>
            </w:r>
          </w:p>
          <w:p w14:paraId="06725D2A" w14:textId="77777777" w:rsidR="00711444" w:rsidRPr="004D0DAA" w:rsidRDefault="00711444" w:rsidP="00AA2A4C">
            <w:pPr>
              <w:pStyle w:val="TAL"/>
              <w:rPr>
                <w:lang w:eastAsia="en-US"/>
              </w:rPr>
            </w:pPr>
            <w:r w:rsidRPr="004D0DAA">
              <w:rPr>
                <w:lang w:eastAsia="en-US"/>
              </w:rPr>
              <w:t xml:space="preserve">(N+69 or N+70) mod 2715648 </w:t>
            </w:r>
          </w:p>
          <w:p w14:paraId="6C6CD2E5" w14:textId="77777777" w:rsidR="00711444" w:rsidRPr="004D0DAA" w:rsidRDefault="00711444" w:rsidP="00AA2A4C">
            <w:pPr>
              <w:pStyle w:val="TAL"/>
              <w:rPr>
                <w:lang w:eastAsia="en-US"/>
              </w:rPr>
            </w:pPr>
            <w:r w:rsidRPr="004D0DAA">
              <w:rPr>
                <w:lang w:eastAsia="en-US"/>
              </w:rPr>
              <w:t>or</w:t>
            </w:r>
          </w:p>
          <w:p w14:paraId="25E395B3" w14:textId="77777777" w:rsidR="00711444" w:rsidRPr="004D0DAA" w:rsidRDefault="00711444" w:rsidP="00AA2A4C">
            <w:pPr>
              <w:pStyle w:val="TAL"/>
              <w:rPr>
                <w:lang w:eastAsia="en-US"/>
              </w:rPr>
            </w:pPr>
            <w:r w:rsidRPr="004D0DAA">
              <w:rPr>
                <w:lang w:eastAsia="en-US"/>
              </w:rPr>
              <w:t>(N+73 or N+74) mod 2715648</w:t>
            </w:r>
          </w:p>
          <w:p w14:paraId="26F2CD45" w14:textId="77777777" w:rsidR="00711444" w:rsidRPr="004D0DAA" w:rsidRDefault="00711444" w:rsidP="00AA2A4C">
            <w:pPr>
              <w:pStyle w:val="TAL"/>
              <w:rPr>
                <w:lang w:eastAsia="en-US"/>
              </w:rPr>
            </w:pPr>
            <w:r w:rsidRPr="004D0DAA">
              <w:rPr>
                <w:lang w:eastAsia="en-US"/>
              </w:rPr>
              <w:t>or</w:t>
            </w:r>
          </w:p>
          <w:p w14:paraId="4BB9905B" w14:textId="77777777" w:rsidR="00711444" w:rsidRPr="004D0DAA" w:rsidRDefault="00711444" w:rsidP="00AA2A4C">
            <w:pPr>
              <w:pStyle w:val="TAL"/>
              <w:rPr>
                <w:lang w:eastAsia="en-US"/>
              </w:rPr>
            </w:pPr>
            <w:r w:rsidRPr="004D0DAA">
              <w:rPr>
                <w:lang w:eastAsia="en-US"/>
              </w:rPr>
              <w:t>(N+78) mod 2715648</w:t>
            </w:r>
          </w:p>
          <w:p w14:paraId="28E3C70E" w14:textId="77777777" w:rsidR="00711444" w:rsidRPr="004D0DAA" w:rsidRDefault="00711444" w:rsidP="00AA2A4C">
            <w:pPr>
              <w:pStyle w:val="TAL"/>
              <w:rPr>
                <w:lang w:eastAsia="en-US"/>
              </w:rPr>
            </w:pPr>
            <w:r w:rsidRPr="004D0DAA">
              <w:rPr>
                <w:lang w:eastAsia="en-US"/>
              </w:rPr>
              <w:t>Or</w:t>
            </w:r>
          </w:p>
          <w:p w14:paraId="45582F50" w14:textId="77777777" w:rsidR="00711444" w:rsidRPr="004D0DAA" w:rsidRDefault="00711444" w:rsidP="00AA2A4C">
            <w:pPr>
              <w:pStyle w:val="TAL"/>
              <w:rPr>
                <w:lang w:eastAsia="en-US"/>
              </w:rPr>
            </w:pPr>
            <w:r w:rsidRPr="004D0DAA">
              <w:rPr>
                <w:lang w:eastAsia="en-US"/>
              </w:rPr>
              <w:t xml:space="preserve">(N+82 or N+83) mod 2715648 </w:t>
            </w:r>
          </w:p>
          <w:p w14:paraId="631BF7FC"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43057C47" w14:textId="77777777" w:rsidR="00711444" w:rsidRPr="004D0DAA" w:rsidRDefault="00711444" w:rsidP="00AA2A4C">
            <w:pPr>
              <w:pStyle w:val="TAL"/>
              <w:rPr>
                <w:lang w:eastAsia="en-US"/>
              </w:rPr>
            </w:pPr>
            <w:r w:rsidRPr="004D0DAA">
              <w:rPr>
                <w:lang w:eastAsia="en-US"/>
              </w:rPr>
              <w:t>or</w:t>
            </w:r>
          </w:p>
          <w:p w14:paraId="447D81B1" w14:textId="77777777" w:rsidR="00711444" w:rsidRPr="004D0DAA" w:rsidRDefault="00711444" w:rsidP="00AA2A4C">
            <w:pPr>
              <w:pStyle w:val="TAL"/>
              <w:rPr>
                <w:lang w:eastAsia="en-US"/>
              </w:rPr>
            </w:pPr>
            <w:r w:rsidRPr="004D0DAA">
              <w:rPr>
                <w:lang w:eastAsia="en-US"/>
              </w:rPr>
              <w:t xml:space="preserve">(N+91) mod 2715648 </w:t>
            </w:r>
          </w:p>
          <w:p w14:paraId="1DE52B3C" w14:textId="77777777" w:rsidR="00711444" w:rsidRPr="004D0DAA" w:rsidRDefault="00711444" w:rsidP="00AA2A4C">
            <w:pPr>
              <w:pStyle w:val="TAL"/>
              <w:rPr>
                <w:lang w:eastAsia="en-US"/>
              </w:rPr>
            </w:pPr>
            <w:r w:rsidRPr="004D0DAA">
              <w:rPr>
                <w:lang w:eastAsia="en-US"/>
              </w:rPr>
              <w:t>or</w:t>
            </w:r>
          </w:p>
          <w:p w14:paraId="7BB85EA8" w14:textId="77777777" w:rsidR="00711444" w:rsidRPr="004D0DAA" w:rsidRDefault="00711444" w:rsidP="00AA2A4C">
            <w:pPr>
              <w:pStyle w:val="TAL"/>
              <w:rPr>
                <w:lang w:eastAsia="en-US"/>
              </w:rPr>
            </w:pPr>
            <w:r w:rsidRPr="004D0DAA">
              <w:rPr>
                <w:lang w:eastAsia="en-US"/>
              </w:rPr>
              <w:t>(N+95 or N+96) mod 2715648</w:t>
            </w:r>
          </w:p>
          <w:p w14:paraId="6B144645" w14:textId="77777777" w:rsidR="00711444" w:rsidRPr="004D0DAA" w:rsidRDefault="00711444" w:rsidP="00AA2A4C">
            <w:pPr>
              <w:pStyle w:val="TAL"/>
              <w:rPr>
                <w:lang w:eastAsia="en-US"/>
              </w:rPr>
            </w:pPr>
            <w:r w:rsidRPr="004D0DAA">
              <w:rPr>
                <w:lang w:eastAsia="en-US"/>
              </w:rPr>
              <w:t>Or</w:t>
            </w:r>
          </w:p>
          <w:p w14:paraId="03D8ACFF" w14:textId="77777777" w:rsidR="00711444" w:rsidRPr="004D0DAA" w:rsidRDefault="00711444" w:rsidP="00AA2A4C">
            <w:pPr>
              <w:pStyle w:val="TAL"/>
              <w:rPr>
                <w:lang w:eastAsia="en-US"/>
              </w:rPr>
            </w:pPr>
            <w:r w:rsidRPr="004D0DAA">
              <w:rPr>
                <w:lang w:eastAsia="en-US"/>
              </w:rPr>
              <w:t xml:space="preserve">(N+99 or N+100) mod 2715648 </w:t>
            </w:r>
          </w:p>
          <w:p w14:paraId="2A7163B7" w14:textId="77777777" w:rsidR="00711444" w:rsidRPr="004D0DAA" w:rsidRDefault="00711444" w:rsidP="00AA2A4C">
            <w:pPr>
              <w:pStyle w:val="TAL"/>
              <w:rPr>
                <w:lang w:eastAsia="en-US"/>
              </w:rPr>
            </w:pPr>
            <w:r w:rsidRPr="004D0DAA">
              <w:rPr>
                <w:lang w:eastAsia="en-US"/>
              </w:rPr>
              <w:t>or</w:t>
            </w:r>
          </w:p>
          <w:p w14:paraId="5B0B3C58" w14:textId="77777777" w:rsidR="00711444" w:rsidRPr="004D0DAA" w:rsidRDefault="00711444" w:rsidP="00AA2A4C">
            <w:pPr>
              <w:pStyle w:val="TAL"/>
              <w:rPr>
                <w:lang w:eastAsia="en-US"/>
              </w:rPr>
            </w:pPr>
            <w:r w:rsidRPr="004D0DAA">
              <w:rPr>
                <w:lang w:eastAsia="en-US"/>
              </w:rPr>
              <w:t xml:space="preserve">(N+104) mod 2715648 </w:t>
            </w:r>
          </w:p>
          <w:p w14:paraId="5916E624" w14:textId="77777777" w:rsidR="00711444" w:rsidRPr="004D0DAA" w:rsidRDefault="00711444" w:rsidP="00AA2A4C">
            <w:pPr>
              <w:pStyle w:val="TAL"/>
              <w:rPr>
                <w:lang w:eastAsia="en-US"/>
              </w:rPr>
            </w:pPr>
            <w:r w:rsidRPr="004D0DAA">
              <w:rPr>
                <w:lang w:eastAsia="en-US"/>
              </w:rPr>
              <w:t>or</w:t>
            </w:r>
          </w:p>
          <w:p w14:paraId="5E87DBAD" w14:textId="77777777" w:rsidR="00711444" w:rsidRPr="004D0DAA" w:rsidRDefault="00711444" w:rsidP="00AA2A4C">
            <w:pPr>
              <w:pStyle w:val="TAL"/>
              <w:rPr>
                <w:lang w:eastAsia="en-US"/>
              </w:rPr>
            </w:pPr>
            <w:r w:rsidRPr="004D0DAA">
              <w:rPr>
                <w:lang w:eastAsia="en-US"/>
              </w:rPr>
              <w:t xml:space="preserve">(N+108 or N+109) mod 2715648 </w:t>
            </w:r>
          </w:p>
          <w:p w14:paraId="1D036B91" w14:textId="77777777" w:rsidR="00711444" w:rsidRPr="004D0DAA" w:rsidRDefault="00711444" w:rsidP="00AA2A4C">
            <w:pPr>
              <w:pStyle w:val="TAL"/>
              <w:rPr>
                <w:lang w:eastAsia="en-US"/>
              </w:rPr>
            </w:pPr>
            <w:r w:rsidRPr="004D0DAA">
              <w:rPr>
                <w:lang w:eastAsia="en-US"/>
              </w:rPr>
              <w:t>or</w:t>
            </w:r>
          </w:p>
          <w:p w14:paraId="27426CD9" w14:textId="77777777" w:rsidR="00711444" w:rsidRPr="004D0DAA" w:rsidRDefault="00711444" w:rsidP="00AA2A4C">
            <w:pPr>
              <w:pStyle w:val="TAL"/>
              <w:rPr>
                <w:lang w:eastAsia="en-US"/>
              </w:rPr>
            </w:pPr>
            <w:r w:rsidRPr="004D0DAA">
              <w:rPr>
                <w:lang w:eastAsia="en-US"/>
              </w:rPr>
              <w:t>(N+112 or N+113) mod 2715648</w:t>
            </w:r>
          </w:p>
        </w:tc>
        <w:tc>
          <w:tcPr>
            <w:tcW w:w="1375" w:type="dxa"/>
          </w:tcPr>
          <w:p w14:paraId="3A568C23" w14:textId="77777777" w:rsidR="00711444" w:rsidRPr="004D0DAA" w:rsidRDefault="00711444" w:rsidP="00AA2A4C">
            <w:pPr>
              <w:pStyle w:val="TAL"/>
              <w:rPr>
                <w:lang w:eastAsia="en-US"/>
              </w:rPr>
            </w:pPr>
            <w:r w:rsidRPr="004D0DAA">
              <w:rPr>
                <w:lang w:eastAsia="en-US"/>
              </w:rPr>
              <w:t xml:space="preserve">(N+65) mod 2715648 </w:t>
            </w:r>
          </w:p>
          <w:p w14:paraId="254AE33F" w14:textId="77777777" w:rsidR="00711444" w:rsidRPr="004D0DAA" w:rsidRDefault="00711444" w:rsidP="00AA2A4C">
            <w:pPr>
              <w:pStyle w:val="TAL"/>
              <w:rPr>
                <w:lang w:eastAsia="en-US"/>
              </w:rPr>
            </w:pPr>
            <w:r w:rsidRPr="004D0DAA">
              <w:rPr>
                <w:lang w:eastAsia="en-US"/>
              </w:rPr>
              <w:t>or</w:t>
            </w:r>
          </w:p>
          <w:p w14:paraId="44FCBB22" w14:textId="77777777" w:rsidR="00711444" w:rsidRPr="004D0DAA" w:rsidRDefault="00711444" w:rsidP="00AA2A4C">
            <w:pPr>
              <w:pStyle w:val="TAL"/>
              <w:rPr>
                <w:lang w:eastAsia="en-US"/>
              </w:rPr>
            </w:pPr>
            <w:r w:rsidRPr="004D0DAA">
              <w:rPr>
                <w:lang w:eastAsia="en-US"/>
              </w:rPr>
              <w:t xml:space="preserve">(N+69 or N+70) mod 2715648 </w:t>
            </w:r>
          </w:p>
          <w:p w14:paraId="2EA3D9A0" w14:textId="77777777" w:rsidR="00711444" w:rsidRPr="004D0DAA" w:rsidRDefault="00711444" w:rsidP="00AA2A4C">
            <w:pPr>
              <w:pStyle w:val="TAL"/>
              <w:rPr>
                <w:lang w:eastAsia="en-US"/>
              </w:rPr>
            </w:pPr>
            <w:r w:rsidRPr="004D0DAA">
              <w:rPr>
                <w:lang w:eastAsia="en-US"/>
              </w:rPr>
              <w:t>or</w:t>
            </w:r>
          </w:p>
          <w:p w14:paraId="5EE09388" w14:textId="77777777" w:rsidR="00711444" w:rsidRPr="004D0DAA" w:rsidRDefault="00711444" w:rsidP="00AA2A4C">
            <w:pPr>
              <w:pStyle w:val="TAL"/>
              <w:rPr>
                <w:lang w:eastAsia="en-US"/>
              </w:rPr>
            </w:pPr>
            <w:r w:rsidRPr="004D0DAA">
              <w:rPr>
                <w:lang w:eastAsia="en-US"/>
              </w:rPr>
              <w:t>(N+73 or N+74) mod 2715648</w:t>
            </w:r>
          </w:p>
          <w:p w14:paraId="6888C263" w14:textId="77777777" w:rsidR="00711444" w:rsidRPr="004D0DAA" w:rsidRDefault="00711444" w:rsidP="00AA2A4C">
            <w:pPr>
              <w:pStyle w:val="TAL"/>
              <w:rPr>
                <w:lang w:eastAsia="en-US"/>
              </w:rPr>
            </w:pPr>
            <w:r w:rsidRPr="004D0DAA">
              <w:rPr>
                <w:lang w:eastAsia="en-US"/>
              </w:rPr>
              <w:t>or</w:t>
            </w:r>
          </w:p>
          <w:p w14:paraId="61964513" w14:textId="77777777" w:rsidR="00711444" w:rsidRPr="004D0DAA" w:rsidRDefault="00711444" w:rsidP="00AA2A4C">
            <w:pPr>
              <w:pStyle w:val="TAL"/>
              <w:rPr>
                <w:lang w:eastAsia="en-US"/>
              </w:rPr>
            </w:pPr>
            <w:r w:rsidRPr="004D0DAA">
              <w:rPr>
                <w:lang w:eastAsia="en-US"/>
              </w:rPr>
              <w:t>(N+78) mod 2715648</w:t>
            </w:r>
          </w:p>
          <w:p w14:paraId="5CE4E66F" w14:textId="77777777" w:rsidR="00711444" w:rsidRPr="004D0DAA" w:rsidRDefault="00711444" w:rsidP="00AA2A4C">
            <w:pPr>
              <w:pStyle w:val="TAL"/>
              <w:rPr>
                <w:lang w:eastAsia="en-US"/>
              </w:rPr>
            </w:pPr>
            <w:r w:rsidRPr="004D0DAA">
              <w:rPr>
                <w:lang w:eastAsia="en-US"/>
              </w:rPr>
              <w:t>Or</w:t>
            </w:r>
          </w:p>
          <w:p w14:paraId="546905D1" w14:textId="77777777" w:rsidR="00711444" w:rsidRPr="004D0DAA" w:rsidRDefault="00711444" w:rsidP="00AA2A4C">
            <w:pPr>
              <w:pStyle w:val="TAL"/>
              <w:rPr>
                <w:lang w:eastAsia="en-US"/>
              </w:rPr>
            </w:pPr>
            <w:r w:rsidRPr="004D0DAA">
              <w:rPr>
                <w:lang w:eastAsia="en-US"/>
              </w:rPr>
              <w:t xml:space="preserve">(N+82 or N+83) mod 2715648 </w:t>
            </w:r>
          </w:p>
          <w:p w14:paraId="5C11066E"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14308C32" w14:textId="77777777" w:rsidR="00711444" w:rsidRPr="004D0DAA" w:rsidRDefault="00711444" w:rsidP="00AA2A4C">
            <w:pPr>
              <w:pStyle w:val="TAL"/>
              <w:rPr>
                <w:lang w:eastAsia="en-US"/>
              </w:rPr>
            </w:pPr>
            <w:r w:rsidRPr="004D0DAA">
              <w:rPr>
                <w:lang w:eastAsia="en-US"/>
              </w:rPr>
              <w:t>or</w:t>
            </w:r>
          </w:p>
          <w:p w14:paraId="257F12A9" w14:textId="77777777" w:rsidR="00711444" w:rsidRPr="004D0DAA" w:rsidRDefault="00711444" w:rsidP="00AA2A4C">
            <w:pPr>
              <w:pStyle w:val="TAL"/>
              <w:rPr>
                <w:lang w:eastAsia="en-US"/>
              </w:rPr>
            </w:pPr>
            <w:r w:rsidRPr="004D0DAA">
              <w:rPr>
                <w:lang w:eastAsia="en-US"/>
              </w:rPr>
              <w:t xml:space="preserve">(N+91) mod 2715648 </w:t>
            </w:r>
          </w:p>
          <w:p w14:paraId="16FBB597" w14:textId="77777777" w:rsidR="00711444" w:rsidRPr="004D0DAA" w:rsidRDefault="00711444" w:rsidP="00AA2A4C">
            <w:pPr>
              <w:pStyle w:val="TAL"/>
              <w:rPr>
                <w:lang w:eastAsia="en-US"/>
              </w:rPr>
            </w:pPr>
            <w:r w:rsidRPr="004D0DAA">
              <w:rPr>
                <w:lang w:eastAsia="en-US"/>
              </w:rPr>
              <w:t>or</w:t>
            </w:r>
          </w:p>
          <w:p w14:paraId="51720D50" w14:textId="77777777" w:rsidR="00711444" w:rsidRPr="004D0DAA" w:rsidRDefault="00711444" w:rsidP="00AA2A4C">
            <w:pPr>
              <w:pStyle w:val="TAL"/>
              <w:rPr>
                <w:lang w:eastAsia="en-US"/>
              </w:rPr>
            </w:pPr>
            <w:r w:rsidRPr="004D0DAA">
              <w:rPr>
                <w:lang w:eastAsia="en-US"/>
              </w:rPr>
              <w:t>(N+95 or N+96) mod 2715648</w:t>
            </w:r>
          </w:p>
          <w:p w14:paraId="1F759D64" w14:textId="77777777" w:rsidR="00711444" w:rsidRPr="004D0DAA" w:rsidRDefault="00711444" w:rsidP="00AA2A4C">
            <w:pPr>
              <w:pStyle w:val="TAL"/>
              <w:rPr>
                <w:lang w:eastAsia="en-US"/>
              </w:rPr>
            </w:pPr>
            <w:r w:rsidRPr="004D0DAA">
              <w:rPr>
                <w:lang w:eastAsia="en-US"/>
              </w:rPr>
              <w:t>Or</w:t>
            </w:r>
          </w:p>
          <w:p w14:paraId="7E23CB4F" w14:textId="77777777" w:rsidR="00711444" w:rsidRPr="004D0DAA" w:rsidRDefault="00711444" w:rsidP="00AA2A4C">
            <w:pPr>
              <w:pStyle w:val="TAL"/>
              <w:rPr>
                <w:lang w:eastAsia="en-US"/>
              </w:rPr>
            </w:pPr>
            <w:r w:rsidRPr="004D0DAA">
              <w:rPr>
                <w:lang w:eastAsia="en-US"/>
              </w:rPr>
              <w:t xml:space="preserve">(N+99 or N+100) mod 2715648 </w:t>
            </w:r>
          </w:p>
          <w:p w14:paraId="3E3B8891" w14:textId="77777777" w:rsidR="00711444" w:rsidRPr="004D0DAA" w:rsidRDefault="00711444" w:rsidP="00AA2A4C">
            <w:pPr>
              <w:pStyle w:val="TAL"/>
              <w:rPr>
                <w:lang w:eastAsia="en-US"/>
              </w:rPr>
            </w:pPr>
            <w:r w:rsidRPr="004D0DAA">
              <w:rPr>
                <w:lang w:eastAsia="en-US"/>
              </w:rPr>
              <w:t>or</w:t>
            </w:r>
          </w:p>
          <w:p w14:paraId="0CF2E7B0" w14:textId="77777777" w:rsidR="00711444" w:rsidRPr="004D0DAA" w:rsidRDefault="00711444" w:rsidP="00AA2A4C">
            <w:pPr>
              <w:pStyle w:val="TAL"/>
              <w:rPr>
                <w:lang w:eastAsia="en-US"/>
              </w:rPr>
            </w:pPr>
            <w:r w:rsidRPr="004D0DAA">
              <w:rPr>
                <w:lang w:eastAsia="en-US"/>
              </w:rPr>
              <w:t xml:space="preserve">(N+104) mod 2715648 </w:t>
            </w:r>
          </w:p>
          <w:p w14:paraId="5DAF0993" w14:textId="77777777" w:rsidR="00711444" w:rsidRPr="004D0DAA" w:rsidRDefault="00711444" w:rsidP="00AA2A4C">
            <w:pPr>
              <w:pStyle w:val="TAL"/>
              <w:rPr>
                <w:lang w:eastAsia="en-US"/>
              </w:rPr>
            </w:pPr>
            <w:r w:rsidRPr="004D0DAA">
              <w:rPr>
                <w:lang w:eastAsia="en-US"/>
              </w:rPr>
              <w:t>or</w:t>
            </w:r>
          </w:p>
          <w:p w14:paraId="1F0F46EA" w14:textId="77777777" w:rsidR="00711444" w:rsidRPr="004D0DAA" w:rsidRDefault="00711444" w:rsidP="00AA2A4C">
            <w:pPr>
              <w:pStyle w:val="TAL"/>
              <w:rPr>
                <w:lang w:eastAsia="en-US"/>
              </w:rPr>
            </w:pPr>
            <w:r w:rsidRPr="004D0DAA">
              <w:rPr>
                <w:lang w:eastAsia="en-US"/>
              </w:rPr>
              <w:t xml:space="preserve">(N+108 or N+109) mod 2715648 </w:t>
            </w:r>
          </w:p>
          <w:p w14:paraId="282031D0" w14:textId="77777777" w:rsidR="00711444" w:rsidRPr="004D0DAA" w:rsidRDefault="00711444" w:rsidP="00AA2A4C">
            <w:pPr>
              <w:pStyle w:val="TAL"/>
              <w:rPr>
                <w:lang w:eastAsia="en-US"/>
              </w:rPr>
            </w:pPr>
            <w:r w:rsidRPr="004D0DAA">
              <w:rPr>
                <w:lang w:eastAsia="en-US"/>
              </w:rPr>
              <w:t>or</w:t>
            </w:r>
          </w:p>
          <w:p w14:paraId="7623B1E1" w14:textId="77777777" w:rsidR="00711444" w:rsidRPr="004D0DAA" w:rsidRDefault="00711444" w:rsidP="00AA2A4C">
            <w:pPr>
              <w:pStyle w:val="TAL"/>
              <w:rPr>
                <w:lang w:eastAsia="en-US"/>
              </w:rPr>
            </w:pPr>
            <w:r w:rsidRPr="004D0DAA">
              <w:rPr>
                <w:lang w:eastAsia="en-US"/>
              </w:rPr>
              <w:t>(N+112 or N+113) mod 2715648</w:t>
            </w:r>
          </w:p>
          <w:p w14:paraId="526C0337" w14:textId="77777777" w:rsidR="00711444" w:rsidRPr="004D0DAA" w:rsidRDefault="00711444" w:rsidP="00AA2A4C">
            <w:pPr>
              <w:pStyle w:val="TAL"/>
              <w:rPr>
                <w:lang w:eastAsia="en-US"/>
              </w:rPr>
            </w:pPr>
            <w:r w:rsidRPr="004D0DAA">
              <w:rPr>
                <w:lang w:eastAsia="en-US"/>
              </w:rPr>
              <w:t>Or</w:t>
            </w:r>
          </w:p>
          <w:p w14:paraId="14C44633" w14:textId="77777777" w:rsidR="00711444" w:rsidRPr="004D0DAA" w:rsidRDefault="00711444" w:rsidP="00AA2A4C">
            <w:pPr>
              <w:pStyle w:val="TAL"/>
              <w:rPr>
                <w:lang w:eastAsia="en-US"/>
              </w:rPr>
            </w:pPr>
            <w:r w:rsidRPr="004D0DAA">
              <w:rPr>
                <w:lang w:eastAsia="en-US"/>
              </w:rPr>
              <w:t xml:space="preserve">(N+117) mod 2715648 </w:t>
            </w:r>
          </w:p>
          <w:p w14:paraId="48C5D79C" w14:textId="77777777" w:rsidR="00711444" w:rsidRPr="004D0DAA" w:rsidRDefault="00711444" w:rsidP="00AA2A4C">
            <w:pPr>
              <w:pStyle w:val="TAL"/>
              <w:rPr>
                <w:lang w:eastAsia="en-US"/>
              </w:rPr>
            </w:pPr>
            <w:r w:rsidRPr="004D0DAA">
              <w:rPr>
                <w:lang w:eastAsia="en-US"/>
              </w:rPr>
              <w:t>or</w:t>
            </w:r>
          </w:p>
          <w:p w14:paraId="68ED67A4" w14:textId="77777777" w:rsidR="00711444" w:rsidRPr="004D0DAA" w:rsidRDefault="00711444" w:rsidP="00AA2A4C">
            <w:pPr>
              <w:pStyle w:val="TAL"/>
              <w:rPr>
                <w:lang w:eastAsia="en-US"/>
              </w:rPr>
            </w:pPr>
            <w:r w:rsidRPr="004D0DAA">
              <w:rPr>
                <w:lang w:eastAsia="en-US"/>
              </w:rPr>
              <w:t xml:space="preserve">(N+121 or N+122) mod 2715648 </w:t>
            </w:r>
          </w:p>
          <w:p w14:paraId="76ADF4F6" w14:textId="77777777" w:rsidR="00711444" w:rsidRPr="004D0DAA" w:rsidRDefault="00711444" w:rsidP="00AA2A4C">
            <w:pPr>
              <w:pStyle w:val="TAL"/>
              <w:rPr>
                <w:lang w:eastAsia="en-US"/>
              </w:rPr>
            </w:pPr>
            <w:r w:rsidRPr="004D0DAA">
              <w:rPr>
                <w:lang w:eastAsia="en-US"/>
              </w:rPr>
              <w:t>or</w:t>
            </w:r>
          </w:p>
          <w:p w14:paraId="0A9B8146" w14:textId="77777777" w:rsidR="00711444" w:rsidRPr="004D0DAA" w:rsidRDefault="00711444" w:rsidP="00AA2A4C">
            <w:pPr>
              <w:pStyle w:val="TAL"/>
              <w:rPr>
                <w:lang w:eastAsia="en-US"/>
              </w:rPr>
            </w:pPr>
            <w:r w:rsidRPr="004D0DAA">
              <w:rPr>
                <w:lang w:eastAsia="en-US"/>
              </w:rPr>
              <w:t>(N+125 or N+126) mod 2715648</w:t>
            </w:r>
          </w:p>
          <w:p w14:paraId="0ABB104F" w14:textId="77777777" w:rsidR="00711444" w:rsidRPr="004D0DAA" w:rsidRDefault="00711444" w:rsidP="00AA2A4C">
            <w:pPr>
              <w:pStyle w:val="TAL"/>
              <w:rPr>
                <w:lang w:eastAsia="en-US"/>
              </w:rPr>
            </w:pPr>
            <w:r w:rsidRPr="004D0DAA">
              <w:rPr>
                <w:lang w:eastAsia="en-US"/>
              </w:rPr>
              <w:t>or</w:t>
            </w:r>
          </w:p>
          <w:p w14:paraId="456D4AD1" w14:textId="77777777" w:rsidR="00711444" w:rsidRPr="004D0DAA" w:rsidRDefault="00711444" w:rsidP="00AA2A4C">
            <w:pPr>
              <w:pStyle w:val="TAL"/>
              <w:rPr>
                <w:lang w:eastAsia="en-US"/>
              </w:rPr>
            </w:pPr>
            <w:r w:rsidRPr="004D0DAA">
              <w:rPr>
                <w:lang w:eastAsia="en-US"/>
              </w:rPr>
              <w:t>(N+130) mod 2715648</w:t>
            </w:r>
          </w:p>
          <w:p w14:paraId="0CDBFC89" w14:textId="77777777" w:rsidR="00711444" w:rsidRPr="004D0DAA" w:rsidRDefault="00711444" w:rsidP="00AA2A4C">
            <w:pPr>
              <w:pStyle w:val="TAL"/>
              <w:rPr>
                <w:lang w:eastAsia="en-US"/>
              </w:rPr>
            </w:pPr>
            <w:r w:rsidRPr="004D0DAA">
              <w:rPr>
                <w:lang w:eastAsia="en-US"/>
              </w:rPr>
              <w:t>Or</w:t>
            </w:r>
          </w:p>
          <w:p w14:paraId="6E73C79E" w14:textId="77777777" w:rsidR="00711444" w:rsidRPr="004D0DAA" w:rsidRDefault="00711444" w:rsidP="00AA2A4C">
            <w:pPr>
              <w:pStyle w:val="TAL"/>
              <w:rPr>
                <w:lang w:eastAsia="en-US"/>
              </w:rPr>
            </w:pPr>
            <w:r w:rsidRPr="004D0DAA">
              <w:rPr>
                <w:lang w:eastAsia="en-US"/>
              </w:rPr>
              <w:t xml:space="preserve">(N+134 or N+135) mod 2715648 </w:t>
            </w:r>
          </w:p>
          <w:p w14:paraId="6ABDECE9" w14:textId="77777777" w:rsidR="00711444" w:rsidRPr="004D0DAA" w:rsidRDefault="00711444" w:rsidP="00AA2A4C">
            <w:pPr>
              <w:pStyle w:val="TAL"/>
              <w:rPr>
                <w:lang w:eastAsia="en-US"/>
              </w:rPr>
            </w:pPr>
            <w:r w:rsidRPr="004D0DAA">
              <w:rPr>
                <w:lang w:eastAsia="en-US"/>
              </w:rPr>
              <w:t>or</w:t>
            </w:r>
          </w:p>
          <w:p w14:paraId="133691DF" w14:textId="77777777" w:rsidR="00711444" w:rsidRPr="004D0DAA" w:rsidRDefault="00711444" w:rsidP="00AA2A4C">
            <w:pPr>
              <w:pStyle w:val="TAL"/>
              <w:rPr>
                <w:lang w:eastAsia="en-US"/>
              </w:rPr>
            </w:pPr>
            <w:r w:rsidRPr="004D0DAA">
              <w:rPr>
                <w:lang w:eastAsia="en-US"/>
              </w:rPr>
              <w:t xml:space="preserve">(N+138 or N+139) mod 2715648 </w:t>
            </w:r>
          </w:p>
          <w:p w14:paraId="2F86C8B7" w14:textId="77777777" w:rsidR="00711444" w:rsidRPr="004D0DAA" w:rsidRDefault="00711444" w:rsidP="00AA2A4C">
            <w:pPr>
              <w:pStyle w:val="TAL"/>
              <w:rPr>
                <w:lang w:eastAsia="en-US"/>
              </w:rPr>
            </w:pPr>
            <w:r w:rsidRPr="004D0DAA">
              <w:rPr>
                <w:lang w:eastAsia="en-US"/>
              </w:rPr>
              <w:t>or</w:t>
            </w:r>
          </w:p>
          <w:p w14:paraId="60CEF0DE" w14:textId="77777777" w:rsidR="00711444" w:rsidRPr="004D0DAA" w:rsidRDefault="00711444" w:rsidP="00AA2A4C">
            <w:pPr>
              <w:pStyle w:val="TAL"/>
              <w:rPr>
                <w:lang w:eastAsia="en-US"/>
              </w:rPr>
            </w:pPr>
            <w:r w:rsidRPr="004D0DAA">
              <w:rPr>
                <w:lang w:eastAsia="en-US"/>
              </w:rPr>
              <w:t>(N+143) mod 2715648</w:t>
            </w:r>
          </w:p>
          <w:p w14:paraId="7DFB4D0F" w14:textId="77777777" w:rsidR="00711444" w:rsidRPr="004D0DAA" w:rsidRDefault="00711444" w:rsidP="00AA2A4C">
            <w:pPr>
              <w:pStyle w:val="TAL"/>
              <w:rPr>
                <w:lang w:eastAsia="en-US"/>
              </w:rPr>
            </w:pPr>
            <w:r w:rsidRPr="004D0DAA">
              <w:rPr>
                <w:lang w:eastAsia="en-US"/>
              </w:rPr>
              <w:t>or</w:t>
            </w:r>
          </w:p>
          <w:p w14:paraId="2CC8458A" w14:textId="77777777" w:rsidR="00711444" w:rsidRPr="004D0DAA" w:rsidRDefault="00711444" w:rsidP="00AA2A4C">
            <w:pPr>
              <w:pStyle w:val="TAL"/>
              <w:rPr>
                <w:lang w:eastAsia="en-US"/>
              </w:rPr>
            </w:pPr>
            <w:r w:rsidRPr="004D0DAA">
              <w:rPr>
                <w:lang w:eastAsia="en-US"/>
              </w:rPr>
              <w:t>(N+147 or N+148) mod 2715648</w:t>
            </w:r>
          </w:p>
          <w:p w14:paraId="1A209A2C" w14:textId="77777777" w:rsidR="00711444" w:rsidRPr="004D0DAA" w:rsidRDefault="00711444" w:rsidP="00AA2A4C">
            <w:pPr>
              <w:pStyle w:val="TAL"/>
              <w:rPr>
                <w:lang w:eastAsia="en-US"/>
              </w:rPr>
            </w:pPr>
            <w:r w:rsidRPr="004D0DAA">
              <w:rPr>
                <w:lang w:eastAsia="en-US"/>
              </w:rPr>
              <w:t>Or</w:t>
            </w:r>
          </w:p>
          <w:p w14:paraId="6FC7580F" w14:textId="77777777" w:rsidR="00711444" w:rsidRPr="004D0DAA" w:rsidRDefault="00711444" w:rsidP="00AA2A4C">
            <w:pPr>
              <w:pStyle w:val="TAL"/>
              <w:rPr>
                <w:lang w:eastAsia="en-US"/>
              </w:rPr>
            </w:pPr>
            <w:r w:rsidRPr="004D0DAA">
              <w:rPr>
                <w:lang w:eastAsia="en-US"/>
              </w:rPr>
              <w:t>(N+151 or N+152) mod 2715648</w:t>
            </w:r>
          </w:p>
          <w:p w14:paraId="4D8A1BA1" w14:textId="77777777" w:rsidR="00711444" w:rsidRPr="004D0DAA" w:rsidRDefault="00711444" w:rsidP="00AA2A4C">
            <w:pPr>
              <w:pStyle w:val="TAL"/>
              <w:rPr>
                <w:lang w:eastAsia="en-US"/>
              </w:rPr>
            </w:pPr>
            <w:r w:rsidRPr="004D0DAA">
              <w:rPr>
                <w:lang w:eastAsia="en-US"/>
              </w:rPr>
              <w:t>or</w:t>
            </w:r>
          </w:p>
          <w:p w14:paraId="4652C3C8" w14:textId="77777777" w:rsidR="00711444" w:rsidRPr="004D0DAA" w:rsidRDefault="00711444" w:rsidP="00AA2A4C">
            <w:pPr>
              <w:pStyle w:val="TAL"/>
              <w:rPr>
                <w:lang w:eastAsia="en-US"/>
              </w:rPr>
            </w:pPr>
            <w:r w:rsidRPr="004D0DAA">
              <w:rPr>
                <w:lang w:eastAsia="en-US"/>
              </w:rPr>
              <w:t>(N+156) mod 2715648</w:t>
            </w:r>
          </w:p>
          <w:p w14:paraId="702DB6C1" w14:textId="77777777" w:rsidR="00711444" w:rsidRPr="004D0DAA" w:rsidRDefault="00711444" w:rsidP="00AA2A4C">
            <w:pPr>
              <w:pStyle w:val="TAL"/>
              <w:rPr>
                <w:lang w:eastAsia="en-US"/>
              </w:rPr>
            </w:pPr>
            <w:r w:rsidRPr="004D0DAA">
              <w:rPr>
                <w:lang w:eastAsia="en-US"/>
              </w:rPr>
              <w:t>or</w:t>
            </w:r>
          </w:p>
          <w:p w14:paraId="24C907EB" w14:textId="77777777" w:rsidR="00711444" w:rsidRPr="004D0DAA" w:rsidRDefault="00711444" w:rsidP="00AA2A4C">
            <w:pPr>
              <w:pStyle w:val="TAL"/>
              <w:rPr>
                <w:lang w:eastAsia="en-US"/>
              </w:rPr>
            </w:pPr>
            <w:r w:rsidRPr="004D0DAA">
              <w:rPr>
                <w:lang w:eastAsia="en-US"/>
              </w:rPr>
              <w:t>(N+160 or N+161) mod</w:t>
            </w:r>
          </w:p>
          <w:p w14:paraId="4F419B4F" w14:textId="77777777" w:rsidR="00711444" w:rsidRPr="004D0DAA" w:rsidRDefault="00711444" w:rsidP="00AA2A4C">
            <w:pPr>
              <w:pStyle w:val="TAL"/>
              <w:rPr>
                <w:lang w:eastAsia="en-US"/>
              </w:rPr>
            </w:pPr>
            <w:r w:rsidRPr="004D0DAA">
              <w:rPr>
                <w:lang w:eastAsia="en-US"/>
              </w:rPr>
              <w:t>2715648</w:t>
            </w:r>
          </w:p>
          <w:p w14:paraId="22F016D8" w14:textId="77777777" w:rsidR="00711444" w:rsidRPr="004D0DAA" w:rsidRDefault="00711444" w:rsidP="00AA2A4C">
            <w:pPr>
              <w:pStyle w:val="TAL"/>
              <w:rPr>
                <w:lang w:eastAsia="en-US"/>
              </w:rPr>
            </w:pPr>
            <w:r w:rsidRPr="004D0DAA">
              <w:rPr>
                <w:lang w:eastAsia="en-US"/>
              </w:rPr>
              <w:t>or</w:t>
            </w:r>
          </w:p>
          <w:p w14:paraId="6FA91A95" w14:textId="77777777" w:rsidR="00711444" w:rsidRPr="004D0DAA" w:rsidRDefault="00711444" w:rsidP="00AA2A4C">
            <w:pPr>
              <w:pStyle w:val="TAL"/>
              <w:rPr>
                <w:lang w:eastAsia="en-US"/>
              </w:rPr>
            </w:pPr>
            <w:r w:rsidRPr="004D0DAA">
              <w:rPr>
                <w:lang w:eastAsia="en-US"/>
              </w:rPr>
              <w:t>(N+164 or N+165) mode 2715648</w:t>
            </w:r>
          </w:p>
        </w:tc>
      </w:tr>
      <w:tr w:rsidR="00711444" w:rsidRPr="004D0DAA" w14:paraId="788406D9" w14:textId="77777777" w:rsidTr="00AA2A4C">
        <w:trPr>
          <w:cantSplit/>
          <w:jc w:val="center"/>
        </w:trPr>
        <w:tc>
          <w:tcPr>
            <w:tcW w:w="1374" w:type="dxa"/>
          </w:tcPr>
          <w:p w14:paraId="1CF4785C" w14:textId="77777777" w:rsidR="00711444" w:rsidRPr="004D0DAA" w:rsidRDefault="00711444" w:rsidP="00AA2A4C">
            <w:pPr>
              <w:pStyle w:val="TAC"/>
              <w:rPr>
                <w:lang w:eastAsia="en-US"/>
              </w:rPr>
            </w:pPr>
            <w:r w:rsidRPr="004D0DAA">
              <w:rPr>
                <w:lang w:eastAsia="en-US"/>
              </w:rPr>
              <w:lastRenderedPageBreak/>
              <w:t>0 1 0</w:t>
            </w:r>
          </w:p>
        </w:tc>
        <w:tc>
          <w:tcPr>
            <w:tcW w:w="1375" w:type="dxa"/>
          </w:tcPr>
          <w:p w14:paraId="69BA181E" w14:textId="77777777" w:rsidR="00711444" w:rsidRPr="004D0DAA" w:rsidRDefault="00711444" w:rsidP="00AA2A4C">
            <w:pPr>
              <w:pStyle w:val="TAL"/>
              <w:rPr>
                <w:lang w:eastAsia="en-US"/>
              </w:rPr>
            </w:pPr>
            <w:r w:rsidRPr="004D0DAA">
              <w:rPr>
                <w:lang w:eastAsia="en-US"/>
              </w:rPr>
              <w:t>(N+21 or N+22) mod 2715648</w:t>
            </w:r>
          </w:p>
          <w:p w14:paraId="233C27AB" w14:textId="77777777" w:rsidR="00711444" w:rsidRPr="004D0DAA" w:rsidRDefault="00711444" w:rsidP="00AA2A4C">
            <w:pPr>
              <w:pStyle w:val="TAL"/>
              <w:rPr>
                <w:lang w:eastAsia="en-US"/>
              </w:rPr>
            </w:pPr>
          </w:p>
        </w:tc>
        <w:tc>
          <w:tcPr>
            <w:tcW w:w="1375" w:type="dxa"/>
          </w:tcPr>
          <w:p w14:paraId="55CA8CC2" w14:textId="77777777" w:rsidR="00711444" w:rsidRPr="004D0DAA" w:rsidRDefault="00711444" w:rsidP="00AA2A4C">
            <w:pPr>
              <w:pStyle w:val="TAL"/>
              <w:rPr>
                <w:lang w:eastAsia="en-US"/>
              </w:rPr>
            </w:pPr>
            <w:r w:rsidRPr="004D0DAA">
              <w:rPr>
                <w:lang w:eastAsia="en-US"/>
              </w:rPr>
              <w:t>(N+30 or N+31) mod 2715648</w:t>
            </w:r>
          </w:p>
          <w:p w14:paraId="5686CCCF" w14:textId="77777777" w:rsidR="00711444" w:rsidRPr="004D0DAA" w:rsidRDefault="00711444" w:rsidP="00AA2A4C">
            <w:pPr>
              <w:pStyle w:val="TAL"/>
              <w:rPr>
                <w:lang w:eastAsia="en-US"/>
              </w:rPr>
            </w:pPr>
            <w:r w:rsidRPr="004D0DAA">
              <w:rPr>
                <w:lang w:eastAsia="en-US"/>
              </w:rPr>
              <w:t>or</w:t>
            </w:r>
          </w:p>
          <w:p w14:paraId="0C6C1557" w14:textId="77777777" w:rsidR="00711444" w:rsidRPr="004D0DAA" w:rsidRDefault="00711444" w:rsidP="00AA2A4C">
            <w:pPr>
              <w:pStyle w:val="TAL"/>
              <w:rPr>
                <w:lang w:eastAsia="en-US"/>
              </w:rPr>
            </w:pPr>
            <w:r w:rsidRPr="004D0DAA">
              <w:rPr>
                <w:lang w:eastAsia="en-US"/>
              </w:rPr>
              <w:t>(N+34 or N+35 ) mod 2715648</w:t>
            </w:r>
          </w:p>
        </w:tc>
        <w:tc>
          <w:tcPr>
            <w:tcW w:w="1374" w:type="dxa"/>
          </w:tcPr>
          <w:p w14:paraId="297B72EA" w14:textId="77777777" w:rsidR="00711444" w:rsidRPr="004D0DAA" w:rsidRDefault="00711444" w:rsidP="00AA2A4C">
            <w:pPr>
              <w:pStyle w:val="TAL"/>
              <w:rPr>
                <w:lang w:eastAsia="en-US"/>
              </w:rPr>
            </w:pPr>
            <w:r w:rsidRPr="004D0DAA">
              <w:rPr>
                <w:lang w:eastAsia="en-US"/>
              </w:rPr>
              <w:t xml:space="preserve">(N+47 or N+48) mod 2715648 </w:t>
            </w:r>
          </w:p>
          <w:p w14:paraId="7FF43958" w14:textId="77777777" w:rsidR="00711444" w:rsidRPr="004D0DAA" w:rsidRDefault="00711444" w:rsidP="00AA2A4C">
            <w:pPr>
              <w:pStyle w:val="TAL"/>
              <w:rPr>
                <w:lang w:eastAsia="en-US"/>
              </w:rPr>
            </w:pPr>
            <w:r w:rsidRPr="004D0DAA">
              <w:rPr>
                <w:lang w:eastAsia="en-US"/>
              </w:rPr>
              <w:t>or</w:t>
            </w:r>
          </w:p>
          <w:p w14:paraId="5748E9F7" w14:textId="77777777" w:rsidR="00711444" w:rsidRPr="004D0DAA" w:rsidRDefault="00711444" w:rsidP="00AA2A4C">
            <w:pPr>
              <w:pStyle w:val="TAL"/>
              <w:rPr>
                <w:lang w:eastAsia="en-US"/>
              </w:rPr>
            </w:pPr>
            <w:r w:rsidRPr="004D0DAA">
              <w:rPr>
                <w:lang w:eastAsia="en-US"/>
              </w:rPr>
              <w:t xml:space="preserve">(N+52) mod 2715648 </w:t>
            </w:r>
          </w:p>
          <w:p w14:paraId="23449275" w14:textId="77777777" w:rsidR="00711444" w:rsidRPr="004D0DAA" w:rsidRDefault="00711444" w:rsidP="00AA2A4C">
            <w:pPr>
              <w:pStyle w:val="TAL"/>
              <w:rPr>
                <w:lang w:eastAsia="en-US"/>
              </w:rPr>
            </w:pPr>
            <w:r w:rsidRPr="004D0DAA">
              <w:rPr>
                <w:lang w:eastAsia="en-US"/>
              </w:rPr>
              <w:t>or</w:t>
            </w:r>
          </w:p>
          <w:p w14:paraId="18B3514C" w14:textId="77777777" w:rsidR="00711444" w:rsidRPr="004D0DAA" w:rsidRDefault="00711444" w:rsidP="00AA2A4C">
            <w:pPr>
              <w:pStyle w:val="TAL"/>
              <w:rPr>
                <w:lang w:eastAsia="en-US"/>
              </w:rPr>
            </w:pPr>
            <w:r w:rsidRPr="004D0DAA">
              <w:rPr>
                <w:lang w:eastAsia="en-US"/>
              </w:rPr>
              <w:t>(N+56 or N+57) mod 2715648</w:t>
            </w:r>
          </w:p>
          <w:p w14:paraId="32428C54" w14:textId="77777777" w:rsidR="00711444" w:rsidRPr="004D0DAA" w:rsidRDefault="00711444" w:rsidP="00AA2A4C">
            <w:pPr>
              <w:pStyle w:val="TAL"/>
              <w:rPr>
                <w:lang w:eastAsia="en-US"/>
              </w:rPr>
            </w:pPr>
            <w:r w:rsidRPr="004D0DAA">
              <w:rPr>
                <w:lang w:eastAsia="en-US"/>
              </w:rPr>
              <w:t>or</w:t>
            </w:r>
          </w:p>
          <w:p w14:paraId="3E0E4370" w14:textId="77777777" w:rsidR="00711444" w:rsidRPr="004D0DAA" w:rsidRDefault="00711444" w:rsidP="00AA2A4C">
            <w:pPr>
              <w:pStyle w:val="TAL"/>
              <w:rPr>
                <w:lang w:eastAsia="en-US"/>
              </w:rPr>
            </w:pPr>
            <w:r w:rsidRPr="004D0DAA">
              <w:rPr>
                <w:lang w:eastAsia="en-US"/>
              </w:rPr>
              <w:t>(N+60 or N+61) mod 2715648</w:t>
            </w:r>
          </w:p>
        </w:tc>
        <w:tc>
          <w:tcPr>
            <w:tcW w:w="1375" w:type="dxa"/>
          </w:tcPr>
          <w:p w14:paraId="443E001F" w14:textId="77777777" w:rsidR="00711444" w:rsidRPr="004D0DAA" w:rsidRDefault="00711444" w:rsidP="00AA2A4C">
            <w:pPr>
              <w:pStyle w:val="TAL"/>
              <w:rPr>
                <w:lang w:eastAsia="en-US"/>
              </w:rPr>
            </w:pPr>
            <w:r w:rsidRPr="004D0DAA">
              <w:rPr>
                <w:lang w:eastAsia="en-US"/>
              </w:rPr>
              <w:t xml:space="preserve">(N+82 or N+83) mod 2715648 </w:t>
            </w:r>
          </w:p>
          <w:p w14:paraId="19977656"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62A3893F" w14:textId="77777777" w:rsidR="00711444" w:rsidRPr="004D0DAA" w:rsidRDefault="00711444" w:rsidP="00AA2A4C">
            <w:pPr>
              <w:pStyle w:val="TAL"/>
              <w:rPr>
                <w:lang w:eastAsia="en-US"/>
              </w:rPr>
            </w:pPr>
            <w:r w:rsidRPr="004D0DAA">
              <w:rPr>
                <w:lang w:eastAsia="en-US"/>
              </w:rPr>
              <w:t>or</w:t>
            </w:r>
          </w:p>
          <w:p w14:paraId="36D52515" w14:textId="77777777" w:rsidR="00711444" w:rsidRPr="004D0DAA" w:rsidRDefault="00711444" w:rsidP="00AA2A4C">
            <w:pPr>
              <w:pStyle w:val="TAL"/>
              <w:rPr>
                <w:lang w:eastAsia="en-US"/>
              </w:rPr>
            </w:pPr>
            <w:r w:rsidRPr="004D0DAA">
              <w:rPr>
                <w:lang w:eastAsia="en-US"/>
              </w:rPr>
              <w:t xml:space="preserve">(N+91) mod 2715648 </w:t>
            </w:r>
          </w:p>
          <w:p w14:paraId="29FC5F63" w14:textId="77777777" w:rsidR="00711444" w:rsidRPr="004D0DAA" w:rsidRDefault="00711444" w:rsidP="00AA2A4C">
            <w:pPr>
              <w:pStyle w:val="TAL"/>
              <w:rPr>
                <w:lang w:eastAsia="en-US"/>
              </w:rPr>
            </w:pPr>
            <w:r w:rsidRPr="004D0DAA">
              <w:rPr>
                <w:lang w:eastAsia="en-US"/>
              </w:rPr>
              <w:t>or</w:t>
            </w:r>
          </w:p>
          <w:p w14:paraId="51E41AC0" w14:textId="77777777" w:rsidR="00711444" w:rsidRPr="004D0DAA" w:rsidRDefault="00711444" w:rsidP="00AA2A4C">
            <w:pPr>
              <w:pStyle w:val="TAL"/>
              <w:rPr>
                <w:lang w:eastAsia="en-US"/>
              </w:rPr>
            </w:pPr>
            <w:r w:rsidRPr="004D0DAA">
              <w:rPr>
                <w:lang w:eastAsia="en-US"/>
              </w:rPr>
              <w:t>(N+95 or N+96) mod 2715648</w:t>
            </w:r>
          </w:p>
          <w:p w14:paraId="36E32406" w14:textId="77777777" w:rsidR="00711444" w:rsidRPr="004D0DAA" w:rsidRDefault="00711444" w:rsidP="00AA2A4C">
            <w:pPr>
              <w:pStyle w:val="TAL"/>
              <w:rPr>
                <w:lang w:eastAsia="en-US"/>
              </w:rPr>
            </w:pPr>
            <w:r w:rsidRPr="004D0DAA">
              <w:rPr>
                <w:lang w:eastAsia="en-US"/>
              </w:rPr>
              <w:t>or</w:t>
            </w:r>
          </w:p>
          <w:p w14:paraId="42E9BFB7" w14:textId="77777777" w:rsidR="00711444" w:rsidRPr="004D0DAA" w:rsidRDefault="00711444" w:rsidP="00AA2A4C">
            <w:pPr>
              <w:pStyle w:val="TAL"/>
              <w:rPr>
                <w:lang w:eastAsia="en-US"/>
              </w:rPr>
            </w:pPr>
            <w:r w:rsidRPr="004D0DAA">
              <w:rPr>
                <w:lang w:eastAsia="en-US"/>
              </w:rPr>
              <w:t xml:space="preserve">(N+99 or N+100) mod 2715648 </w:t>
            </w:r>
          </w:p>
          <w:p w14:paraId="1C6C988A" w14:textId="77777777" w:rsidR="00711444" w:rsidRPr="004D0DAA" w:rsidRDefault="00711444" w:rsidP="00AA2A4C">
            <w:pPr>
              <w:pStyle w:val="TAL"/>
              <w:rPr>
                <w:lang w:eastAsia="en-US"/>
              </w:rPr>
            </w:pPr>
            <w:r w:rsidRPr="004D0DAA">
              <w:rPr>
                <w:lang w:eastAsia="en-US"/>
              </w:rPr>
              <w:t>or</w:t>
            </w:r>
          </w:p>
          <w:p w14:paraId="0D249D6F" w14:textId="77777777" w:rsidR="00711444" w:rsidRPr="004D0DAA" w:rsidRDefault="00711444" w:rsidP="00AA2A4C">
            <w:pPr>
              <w:pStyle w:val="TAL"/>
              <w:rPr>
                <w:lang w:eastAsia="en-US"/>
              </w:rPr>
            </w:pPr>
            <w:r w:rsidRPr="004D0DAA">
              <w:rPr>
                <w:lang w:eastAsia="en-US"/>
              </w:rPr>
              <w:t xml:space="preserve">(N+104) mod 2715648 </w:t>
            </w:r>
          </w:p>
          <w:p w14:paraId="50B860BF" w14:textId="77777777" w:rsidR="00711444" w:rsidRPr="004D0DAA" w:rsidRDefault="00711444" w:rsidP="00AA2A4C">
            <w:pPr>
              <w:pStyle w:val="TAL"/>
              <w:rPr>
                <w:lang w:eastAsia="en-US"/>
              </w:rPr>
            </w:pPr>
            <w:r w:rsidRPr="004D0DAA">
              <w:rPr>
                <w:lang w:eastAsia="en-US"/>
              </w:rPr>
              <w:t>or</w:t>
            </w:r>
          </w:p>
          <w:p w14:paraId="4C646CC8" w14:textId="77777777" w:rsidR="00711444" w:rsidRPr="004D0DAA" w:rsidRDefault="00711444" w:rsidP="00AA2A4C">
            <w:pPr>
              <w:pStyle w:val="TAL"/>
              <w:rPr>
                <w:lang w:eastAsia="en-US"/>
              </w:rPr>
            </w:pPr>
            <w:r w:rsidRPr="004D0DAA">
              <w:rPr>
                <w:lang w:eastAsia="en-US"/>
              </w:rPr>
              <w:t xml:space="preserve">(N+108 or N+109) mod 2715648 </w:t>
            </w:r>
          </w:p>
          <w:p w14:paraId="43AE15FD" w14:textId="77777777" w:rsidR="00711444" w:rsidRPr="004D0DAA" w:rsidRDefault="00711444" w:rsidP="00AA2A4C">
            <w:pPr>
              <w:pStyle w:val="TAL"/>
              <w:rPr>
                <w:lang w:eastAsia="en-US"/>
              </w:rPr>
            </w:pPr>
            <w:r w:rsidRPr="004D0DAA">
              <w:rPr>
                <w:lang w:eastAsia="en-US"/>
              </w:rPr>
              <w:t>or</w:t>
            </w:r>
          </w:p>
          <w:p w14:paraId="088E62E1" w14:textId="77777777" w:rsidR="00711444" w:rsidRPr="004D0DAA" w:rsidRDefault="00711444" w:rsidP="00AA2A4C">
            <w:pPr>
              <w:pStyle w:val="TAL"/>
              <w:rPr>
                <w:lang w:eastAsia="en-US"/>
              </w:rPr>
            </w:pPr>
            <w:r w:rsidRPr="004D0DAA">
              <w:rPr>
                <w:lang w:eastAsia="en-US"/>
              </w:rPr>
              <w:t>(N+112 or N+113) mod 2715648</w:t>
            </w:r>
          </w:p>
        </w:tc>
        <w:tc>
          <w:tcPr>
            <w:tcW w:w="1375" w:type="dxa"/>
          </w:tcPr>
          <w:p w14:paraId="59740EA7" w14:textId="77777777" w:rsidR="00711444" w:rsidRPr="004D0DAA" w:rsidRDefault="00711444" w:rsidP="00AA2A4C">
            <w:pPr>
              <w:pStyle w:val="TAL"/>
              <w:rPr>
                <w:lang w:eastAsia="en-US"/>
              </w:rPr>
            </w:pPr>
            <w:r w:rsidRPr="004D0DAA">
              <w:rPr>
                <w:lang w:eastAsia="en-US"/>
              </w:rPr>
              <w:t xml:space="preserve">(N+117) mod 2715648 </w:t>
            </w:r>
          </w:p>
          <w:p w14:paraId="5463105B" w14:textId="77777777" w:rsidR="00711444" w:rsidRPr="004D0DAA" w:rsidRDefault="00711444" w:rsidP="00AA2A4C">
            <w:pPr>
              <w:pStyle w:val="TAL"/>
              <w:rPr>
                <w:lang w:eastAsia="en-US"/>
              </w:rPr>
            </w:pPr>
            <w:r w:rsidRPr="004D0DAA">
              <w:rPr>
                <w:lang w:eastAsia="en-US"/>
              </w:rPr>
              <w:t>or</w:t>
            </w:r>
          </w:p>
          <w:p w14:paraId="77775E47" w14:textId="77777777" w:rsidR="00711444" w:rsidRPr="004D0DAA" w:rsidRDefault="00711444" w:rsidP="00AA2A4C">
            <w:pPr>
              <w:pStyle w:val="TAL"/>
              <w:rPr>
                <w:lang w:eastAsia="en-US"/>
              </w:rPr>
            </w:pPr>
            <w:r w:rsidRPr="004D0DAA">
              <w:rPr>
                <w:lang w:eastAsia="en-US"/>
              </w:rPr>
              <w:t xml:space="preserve">(N+121 or N+122) mod 2715648 </w:t>
            </w:r>
          </w:p>
          <w:p w14:paraId="3968C739" w14:textId="77777777" w:rsidR="00711444" w:rsidRPr="004D0DAA" w:rsidRDefault="00711444" w:rsidP="00AA2A4C">
            <w:pPr>
              <w:pStyle w:val="TAL"/>
              <w:rPr>
                <w:lang w:eastAsia="en-US"/>
              </w:rPr>
            </w:pPr>
            <w:r w:rsidRPr="004D0DAA">
              <w:rPr>
                <w:lang w:eastAsia="en-US"/>
              </w:rPr>
              <w:t>or</w:t>
            </w:r>
          </w:p>
          <w:p w14:paraId="03AFB23F" w14:textId="77777777" w:rsidR="00711444" w:rsidRPr="004D0DAA" w:rsidRDefault="00711444" w:rsidP="00AA2A4C">
            <w:pPr>
              <w:pStyle w:val="TAL"/>
              <w:rPr>
                <w:lang w:eastAsia="en-US"/>
              </w:rPr>
            </w:pPr>
            <w:r w:rsidRPr="004D0DAA">
              <w:rPr>
                <w:lang w:eastAsia="en-US"/>
              </w:rPr>
              <w:t>(N+125 or N+126) mod 2715648</w:t>
            </w:r>
          </w:p>
          <w:p w14:paraId="0655DAE1" w14:textId="77777777" w:rsidR="00711444" w:rsidRPr="004D0DAA" w:rsidRDefault="00711444" w:rsidP="00AA2A4C">
            <w:pPr>
              <w:pStyle w:val="TAL"/>
              <w:rPr>
                <w:lang w:eastAsia="en-US"/>
              </w:rPr>
            </w:pPr>
            <w:r w:rsidRPr="004D0DAA">
              <w:rPr>
                <w:lang w:eastAsia="en-US"/>
              </w:rPr>
              <w:t>or</w:t>
            </w:r>
          </w:p>
          <w:p w14:paraId="26BAA1DD" w14:textId="77777777" w:rsidR="00711444" w:rsidRPr="004D0DAA" w:rsidRDefault="00711444" w:rsidP="00AA2A4C">
            <w:pPr>
              <w:pStyle w:val="TAL"/>
              <w:rPr>
                <w:lang w:eastAsia="en-US"/>
              </w:rPr>
            </w:pPr>
            <w:r w:rsidRPr="004D0DAA">
              <w:rPr>
                <w:lang w:eastAsia="en-US"/>
              </w:rPr>
              <w:t>(N+130) mod 2715648</w:t>
            </w:r>
          </w:p>
          <w:p w14:paraId="60E050A2" w14:textId="77777777" w:rsidR="00711444" w:rsidRPr="004D0DAA" w:rsidRDefault="00711444" w:rsidP="00AA2A4C">
            <w:pPr>
              <w:pStyle w:val="TAL"/>
              <w:rPr>
                <w:lang w:eastAsia="en-US"/>
              </w:rPr>
            </w:pPr>
            <w:r w:rsidRPr="004D0DAA">
              <w:rPr>
                <w:lang w:eastAsia="en-US"/>
              </w:rPr>
              <w:t>Or</w:t>
            </w:r>
          </w:p>
          <w:p w14:paraId="18823D48" w14:textId="77777777" w:rsidR="00711444" w:rsidRPr="004D0DAA" w:rsidRDefault="00711444" w:rsidP="00AA2A4C">
            <w:pPr>
              <w:pStyle w:val="TAL"/>
              <w:rPr>
                <w:lang w:eastAsia="en-US"/>
              </w:rPr>
            </w:pPr>
            <w:r w:rsidRPr="004D0DAA">
              <w:rPr>
                <w:lang w:eastAsia="en-US"/>
              </w:rPr>
              <w:t xml:space="preserve">(N+134 or N+135) mod 2715648 </w:t>
            </w:r>
          </w:p>
          <w:p w14:paraId="5775B23F" w14:textId="77777777" w:rsidR="00711444" w:rsidRPr="004D0DAA" w:rsidRDefault="00711444" w:rsidP="00AA2A4C">
            <w:pPr>
              <w:pStyle w:val="TAL"/>
              <w:rPr>
                <w:lang w:eastAsia="en-US"/>
              </w:rPr>
            </w:pPr>
            <w:r w:rsidRPr="004D0DAA">
              <w:rPr>
                <w:lang w:eastAsia="en-US"/>
              </w:rPr>
              <w:t>or</w:t>
            </w:r>
          </w:p>
          <w:p w14:paraId="5943F27A" w14:textId="77777777" w:rsidR="00711444" w:rsidRPr="004D0DAA" w:rsidRDefault="00711444" w:rsidP="00AA2A4C">
            <w:pPr>
              <w:pStyle w:val="TAL"/>
              <w:rPr>
                <w:lang w:eastAsia="en-US"/>
              </w:rPr>
            </w:pPr>
            <w:r w:rsidRPr="004D0DAA">
              <w:rPr>
                <w:lang w:eastAsia="en-US"/>
              </w:rPr>
              <w:t xml:space="preserve">(N+138 or N+139) mod 2715648 </w:t>
            </w:r>
          </w:p>
          <w:p w14:paraId="1EBA1920" w14:textId="77777777" w:rsidR="00711444" w:rsidRPr="004D0DAA" w:rsidRDefault="00711444" w:rsidP="00AA2A4C">
            <w:pPr>
              <w:pStyle w:val="TAL"/>
              <w:rPr>
                <w:lang w:eastAsia="en-US"/>
              </w:rPr>
            </w:pPr>
            <w:r w:rsidRPr="004D0DAA">
              <w:rPr>
                <w:lang w:eastAsia="en-US"/>
              </w:rPr>
              <w:t>or</w:t>
            </w:r>
          </w:p>
          <w:p w14:paraId="64629C31" w14:textId="77777777" w:rsidR="00711444" w:rsidRPr="004D0DAA" w:rsidRDefault="00711444" w:rsidP="00AA2A4C">
            <w:pPr>
              <w:pStyle w:val="TAL"/>
              <w:rPr>
                <w:lang w:eastAsia="en-US"/>
              </w:rPr>
            </w:pPr>
            <w:r w:rsidRPr="004D0DAA">
              <w:rPr>
                <w:lang w:eastAsia="en-US"/>
              </w:rPr>
              <w:t>(N+143) mod 2715648</w:t>
            </w:r>
          </w:p>
          <w:p w14:paraId="360EED27" w14:textId="77777777" w:rsidR="00711444" w:rsidRPr="004D0DAA" w:rsidRDefault="00711444" w:rsidP="00AA2A4C">
            <w:pPr>
              <w:pStyle w:val="TAL"/>
              <w:rPr>
                <w:lang w:eastAsia="en-US"/>
              </w:rPr>
            </w:pPr>
            <w:r w:rsidRPr="004D0DAA">
              <w:rPr>
                <w:lang w:eastAsia="en-US"/>
              </w:rPr>
              <w:t>or</w:t>
            </w:r>
          </w:p>
          <w:p w14:paraId="75ACB37A" w14:textId="77777777" w:rsidR="00711444" w:rsidRPr="004D0DAA" w:rsidRDefault="00711444" w:rsidP="00AA2A4C">
            <w:pPr>
              <w:pStyle w:val="TAL"/>
              <w:rPr>
                <w:lang w:eastAsia="en-US"/>
              </w:rPr>
            </w:pPr>
            <w:r w:rsidRPr="004D0DAA">
              <w:rPr>
                <w:lang w:eastAsia="en-US"/>
              </w:rPr>
              <w:t>(N+147 or N+148) mod 2715648</w:t>
            </w:r>
          </w:p>
          <w:p w14:paraId="7D6E4601" w14:textId="77777777" w:rsidR="00711444" w:rsidRPr="004D0DAA" w:rsidRDefault="00711444" w:rsidP="00AA2A4C">
            <w:pPr>
              <w:pStyle w:val="TAL"/>
              <w:rPr>
                <w:lang w:eastAsia="en-US"/>
              </w:rPr>
            </w:pPr>
            <w:r w:rsidRPr="004D0DAA">
              <w:rPr>
                <w:lang w:eastAsia="en-US"/>
              </w:rPr>
              <w:t>Or</w:t>
            </w:r>
          </w:p>
          <w:p w14:paraId="0A8089C8" w14:textId="77777777" w:rsidR="00711444" w:rsidRPr="004D0DAA" w:rsidRDefault="00711444" w:rsidP="00AA2A4C">
            <w:pPr>
              <w:pStyle w:val="TAL"/>
              <w:rPr>
                <w:lang w:eastAsia="en-US"/>
              </w:rPr>
            </w:pPr>
            <w:r w:rsidRPr="004D0DAA">
              <w:rPr>
                <w:lang w:eastAsia="en-US"/>
              </w:rPr>
              <w:t>(N+151 or N+152) mod 2715648</w:t>
            </w:r>
          </w:p>
          <w:p w14:paraId="0032630D" w14:textId="77777777" w:rsidR="00711444" w:rsidRPr="004D0DAA" w:rsidRDefault="00711444" w:rsidP="00AA2A4C">
            <w:pPr>
              <w:pStyle w:val="TAL"/>
              <w:rPr>
                <w:lang w:eastAsia="en-US"/>
              </w:rPr>
            </w:pPr>
            <w:r w:rsidRPr="004D0DAA">
              <w:rPr>
                <w:lang w:eastAsia="en-US"/>
              </w:rPr>
              <w:t>or</w:t>
            </w:r>
          </w:p>
          <w:p w14:paraId="280E8F57" w14:textId="77777777" w:rsidR="00711444" w:rsidRPr="004D0DAA" w:rsidRDefault="00711444" w:rsidP="00AA2A4C">
            <w:pPr>
              <w:pStyle w:val="TAL"/>
              <w:rPr>
                <w:lang w:eastAsia="en-US"/>
              </w:rPr>
            </w:pPr>
            <w:r w:rsidRPr="004D0DAA">
              <w:rPr>
                <w:lang w:eastAsia="en-US"/>
              </w:rPr>
              <w:t>(N+156) mod 2715648</w:t>
            </w:r>
          </w:p>
          <w:p w14:paraId="519DB720" w14:textId="77777777" w:rsidR="00711444" w:rsidRPr="004D0DAA" w:rsidRDefault="00711444" w:rsidP="00AA2A4C">
            <w:pPr>
              <w:pStyle w:val="TAL"/>
              <w:rPr>
                <w:lang w:eastAsia="en-US"/>
              </w:rPr>
            </w:pPr>
            <w:r w:rsidRPr="004D0DAA">
              <w:rPr>
                <w:lang w:eastAsia="en-US"/>
              </w:rPr>
              <w:t>or</w:t>
            </w:r>
          </w:p>
          <w:p w14:paraId="2A872988" w14:textId="77777777" w:rsidR="00711444" w:rsidRPr="004D0DAA" w:rsidRDefault="00711444" w:rsidP="00AA2A4C">
            <w:pPr>
              <w:pStyle w:val="TAL"/>
              <w:rPr>
                <w:lang w:eastAsia="en-US"/>
              </w:rPr>
            </w:pPr>
            <w:r w:rsidRPr="004D0DAA">
              <w:rPr>
                <w:lang w:eastAsia="en-US"/>
              </w:rPr>
              <w:t>(N+160 or N+161) mod</w:t>
            </w:r>
          </w:p>
          <w:p w14:paraId="1E511742" w14:textId="77777777" w:rsidR="00711444" w:rsidRPr="004D0DAA" w:rsidRDefault="00711444" w:rsidP="00AA2A4C">
            <w:pPr>
              <w:pStyle w:val="TAL"/>
              <w:rPr>
                <w:lang w:eastAsia="en-US"/>
              </w:rPr>
            </w:pPr>
            <w:r w:rsidRPr="004D0DAA">
              <w:rPr>
                <w:lang w:eastAsia="en-US"/>
              </w:rPr>
              <w:t>2715648</w:t>
            </w:r>
          </w:p>
          <w:p w14:paraId="27F5F214" w14:textId="77777777" w:rsidR="00711444" w:rsidRPr="004D0DAA" w:rsidRDefault="00711444" w:rsidP="00AA2A4C">
            <w:pPr>
              <w:pStyle w:val="TAL"/>
              <w:rPr>
                <w:lang w:eastAsia="en-US"/>
              </w:rPr>
            </w:pPr>
            <w:r w:rsidRPr="004D0DAA">
              <w:rPr>
                <w:lang w:eastAsia="en-US"/>
              </w:rPr>
              <w:t>or</w:t>
            </w:r>
          </w:p>
          <w:p w14:paraId="2154BE76" w14:textId="77777777" w:rsidR="00711444" w:rsidRPr="004D0DAA" w:rsidRDefault="00711444" w:rsidP="00AA2A4C">
            <w:pPr>
              <w:pStyle w:val="TAL"/>
              <w:rPr>
                <w:lang w:eastAsia="en-US"/>
              </w:rPr>
            </w:pPr>
            <w:r w:rsidRPr="004D0DAA">
              <w:rPr>
                <w:lang w:eastAsia="en-US"/>
              </w:rPr>
              <w:t>(N+164 or N+165) mode 2715648</w:t>
            </w:r>
          </w:p>
        </w:tc>
        <w:tc>
          <w:tcPr>
            <w:tcW w:w="1375" w:type="dxa"/>
          </w:tcPr>
          <w:p w14:paraId="4B1B7C80" w14:textId="77777777" w:rsidR="00711444" w:rsidRPr="004D0DAA" w:rsidRDefault="00711444" w:rsidP="00AA2A4C">
            <w:pPr>
              <w:pStyle w:val="TAL"/>
              <w:rPr>
                <w:lang w:eastAsia="en-US"/>
              </w:rPr>
            </w:pPr>
            <w:r w:rsidRPr="004D0DAA">
              <w:rPr>
                <w:lang w:eastAsia="en-US"/>
              </w:rPr>
              <w:t>Reserved</w:t>
            </w:r>
          </w:p>
        </w:tc>
      </w:tr>
      <w:tr w:rsidR="00711444" w:rsidRPr="004D0DAA" w14:paraId="55986F70" w14:textId="77777777" w:rsidTr="00AA2A4C">
        <w:trPr>
          <w:cantSplit/>
          <w:jc w:val="center"/>
        </w:trPr>
        <w:tc>
          <w:tcPr>
            <w:tcW w:w="1374" w:type="dxa"/>
          </w:tcPr>
          <w:p w14:paraId="7C07B68D" w14:textId="77777777" w:rsidR="00711444" w:rsidRPr="004D0DAA" w:rsidRDefault="00711444" w:rsidP="00AA2A4C">
            <w:pPr>
              <w:pStyle w:val="TAC"/>
              <w:rPr>
                <w:lang w:eastAsia="en-US"/>
              </w:rPr>
            </w:pPr>
            <w:r w:rsidRPr="004D0DAA">
              <w:rPr>
                <w:lang w:eastAsia="en-US"/>
              </w:rPr>
              <w:lastRenderedPageBreak/>
              <w:t>0 1 1</w:t>
            </w:r>
          </w:p>
        </w:tc>
        <w:tc>
          <w:tcPr>
            <w:tcW w:w="1375" w:type="dxa"/>
          </w:tcPr>
          <w:p w14:paraId="4EF34C03" w14:textId="77777777" w:rsidR="00711444" w:rsidRPr="004D0DAA" w:rsidRDefault="00711444" w:rsidP="00AA2A4C">
            <w:pPr>
              <w:pStyle w:val="TAL"/>
              <w:rPr>
                <w:lang w:eastAsia="en-US"/>
              </w:rPr>
            </w:pPr>
            <w:r w:rsidRPr="004D0DAA">
              <w:rPr>
                <w:lang w:eastAsia="en-US"/>
              </w:rPr>
              <w:t xml:space="preserve"> (N+26) mod 2715648</w:t>
            </w:r>
          </w:p>
        </w:tc>
        <w:tc>
          <w:tcPr>
            <w:tcW w:w="1375" w:type="dxa"/>
          </w:tcPr>
          <w:p w14:paraId="66B7F49E" w14:textId="77777777" w:rsidR="00711444" w:rsidRPr="004D0DAA" w:rsidRDefault="00711444" w:rsidP="00AA2A4C">
            <w:pPr>
              <w:pStyle w:val="TAL"/>
              <w:rPr>
                <w:lang w:eastAsia="en-US"/>
              </w:rPr>
            </w:pPr>
            <w:r w:rsidRPr="004D0DAA">
              <w:rPr>
                <w:lang w:eastAsia="en-US"/>
              </w:rPr>
              <w:t>(N+39) mod 2715648</w:t>
            </w:r>
          </w:p>
          <w:p w14:paraId="3A302FF5" w14:textId="77777777" w:rsidR="00711444" w:rsidRPr="004D0DAA" w:rsidRDefault="00711444" w:rsidP="00AA2A4C">
            <w:pPr>
              <w:pStyle w:val="TAL"/>
              <w:rPr>
                <w:lang w:eastAsia="en-US"/>
              </w:rPr>
            </w:pPr>
            <w:r w:rsidRPr="004D0DAA">
              <w:rPr>
                <w:lang w:eastAsia="en-US"/>
              </w:rPr>
              <w:t>or</w:t>
            </w:r>
          </w:p>
          <w:p w14:paraId="65ACACAF" w14:textId="77777777" w:rsidR="00711444" w:rsidRPr="004D0DAA" w:rsidRDefault="00711444" w:rsidP="00AA2A4C">
            <w:pPr>
              <w:pStyle w:val="TAL"/>
              <w:rPr>
                <w:lang w:eastAsia="en-US"/>
              </w:rPr>
            </w:pPr>
            <w:r w:rsidRPr="004D0DAA">
              <w:rPr>
                <w:lang w:eastAsia="en-US"/>
              </w:rPr>
              <w:t>(N+43 or N+44) mod 2715648</w:t>
            </w:r>
          </w:p>
        </w:tc>
        <w:tc>
          <w:tcPr>
            <w:tcW w:w="1374" w:type="dxa"/>
          </w:tcPr>
          <w:p w14:paraId="2C6997E2" w14:textId="77777777" w:rsidR="00711444" w:rsidRPr="004D0DAA" w:rsidRDefault="00711444" w:rsidP="00AA2A4C">
            <w:pPr>
              <w:pStyle w:val="TAL"/>
              <w:rPr>
                <w:lang w:eastAsia="en-US"/>
              </w:rPr>
            </w:pPr>
            <w:r w:rsidRPr="004D0DAA">
              <w:rPr>
                <w:lang w:eastAsia="en-US"/>
              </w:rPr>
              <w:t xml:space="preserve">(N+65) mod 2715648 </w:t>
            </w:r>
          </w:p>
          <w:p w14:paraId="69F47890" w14:textId="77777777" w:rsidR="00711444" w:rsidRPr="004D0DAA" w:rsidRDefault="00711444" w:rsidP="00AA2A4C">
            <w:pPr>
              <w:pStyle w:val="TAL"/>
              <w:rPr>
                <w:lang w:eastAsia="en-US"/>
              </w:rPr>
            </w:pPr>
            <w:r w:rsidRPr="004D0DAA">
              <w:rPr>
                <w:lang w:eastAsia="en-US"/>
              </w:rPr>
              <w:t>or</w:t>
            </w:r>
          </w:p>
          <w:p w14:paraId="62C226BE" w14:textId="77777777" w:rsidR="00711444" w:rsidRPr="004D0DAA" w:rsidRDefault="00711444" w:rsidP="00AA2A4C">
            <w:pPr>
              <w:pStyle w:val="TAL"/>
              <w:rPr>
                <w:lang w:eastAsia="en-US"/>
              </w:rPr>
            </w:pPr>
            <w:r w:rsidRPr="004D0DAA">
              <w:rPr>
                <w:lang w:eastAsia="en-US"/>
              </w:rPr>
              <w:t xml:space="preserve">(N+69 or N+70) mod 2715648 </w:t>
            </w:r>
          </w:p>
          <w:p w14:paraId="4D553F95" w14:textId="77777777" w:rsidR="00711444" w:rsidRPr="004D0DAA" w:rsidRDefault="00711444" w:rsidP="00AA2A4C">
            <w:pPr>
              <w:pStyle w:val="TAL"/>
              <w:rPr>
                <w:lang w:eastAsia="en-US"/>
              </w:rPr>
            </w:pPr>
            <w:r w:rsidRPr="004D0DAA">
              <w:rPr>
                <w:lang w:eastAsia="en-US"/>
              </w:rPr>
              <w:t>or</w:t>
            </w:r>
          </w:p>
          <w:p w14:paraId="5A751AEF" w14:textId="77777777" w:rsidR="00711444" w:rsidRPr="004D0DAA" w:rsidRDefault="00711444" w:rsidP="00AA2A4C">
            <w:pPr>
              <w:pStyle w:val="TAL"/>
              <w:rPr>
                <w:lang w:eastAsia="en-US"/>
              </w:rPr>
            </w:pPr>
            <w:r w:rsidRPr="004D0DAA">
              <w:rPr>
                <w:lang w:eastAsia="en-US"/>
              </w:rPr>
              <w:t>(N+73 or N+74) mod 2715648</w:t>
            </w:r>
          </w:p>
          <w:p w14:paraId="59971A90" w14:textId="77777777" w:rsidR="00711444" w:rsidRPr="004D0DAA" w:rsidRDefault="00711444" w:rsidP="00AA2A4C">
            <w:pPr>
              <w:pStyle w:val="TAL"/>
              <w:rPr>
                <w:lang w:eastAsia="en-US"/>
              </w:rPr>
            </w:pPr>
            <w:r w:rsidRPr="004D0DAA">
              <w:rPr>
                <w:lang w:eastAsia="en-US"/>
              </w:rPr>
              <w:t>or</w:t>
            </w:r>
          </w:p>
          <w:p w14:paraId="14E2FB0E" w14:textId="77777777" w:rsidR="00711444" w:rsidRPr="004D0DAA" w:rsidRDefault="00711444" w:rsidP="00AA2A4C">
            <w:pPr>
              <w:pStyle w:val="TAL"/>
              <w:rPr>
                <w:lang w:eastAsia="en-US"/>
              </w:rPr>
            </w:pPr>
            <w:r w:rsidRPr="004D0DAA">
              <w:rPr>
                <w:lang w:eastAsia="en-US"/>
              </w:rPr>
              <w:t>(N+78) mod 2715648</w:t>
            </w:r>
          </w:p>
        </w:tc>
        <w:tc>
          <w:tcPr>
            <w:tcW w:w="1375" w:type="dxa"/>
          </w:tcPr>
          <w:p w14:paraId="62C5FB69" w14:textId="77777777" w:rsidR="00711444" w:rsidRPr="004D0DAA" w:rsidRDefault="00711444" w:rsidP="00AA2A4C">
            <w:pPr>
              <w:pStyle w:val="TAL"/>
              <w:rPr>
                <w:lang w:eastAsia="en-US"/>
              </w:rPr>
            </w:pPr>
            <w:r w:rsidRPr="004D0DAA">
              <w:rPr>
                <w:lang w:eastAsia="en-US"/>
              </w:rPr>
              <w:t xml:space="preserve">(N+117) mod 2715648 </w:t>
            </w:r>
          </w:p>
          <w:p w14:paraId="604AD53E" w14:textId="77777777" w:rsidR="00711444" w:rsidRPr="004D0DAA" w:rsidRDefault="00711444" w:rsidP="00AA2A4C">
            <w:pPr>
              <w:pStyle w:val="TAL"/>
              <w:rPr>
                <w:lang w:eastAsia="en-US"/>
              </w:rPr>
            </w:pPr>
            <w:r w:rsidRPr="004D0DAA">
              <w:rPr>
                <w:lang w:eastAsia="en-US"/>
              </w:rPr>
              <w:t>or</w:t>
            </w:r>
          </w:p>
          <w:p w14:paraId="31E38D28" w14:textId="77777777" w:rsidR="00711444" w:rsidRPr="004D0DAA" w:rsidRDefault="00711444" w:rsidP="00AA2A4C">
            <w:pPr>
              <w:pStyle w:val="TAL"/>
              <w:rPr>
                <w:lang w:eastAsia="en-US"/>
              </w:rPr>
            </w:pPr>
            <w:r w:rsidRPr="004D0DAA">
              <w:rPr>
                <w:lang w:eastAsia="en-US"/>
              </w:rPr>
              <w:t xml:space="preserve">(N+121 or N+122) mod 2715648 </w:t>
            </w:r>
          </w:p>
          <w:p w14:paraId="01AB0503" w14:textId="77777777" w:rsidR="00711444" w:rsidRPr="004D0DAA" w:rsidRDefault="00711444" w:rsidP="00AA2A4C">
            <w:pPr>
              <w:pStyle w:val="TAL"/>
              <w:rPr>
                <w:lang w:eastAsia="en-US"/>
              </w:rPr>
            </w:pPr>
            <w:r w:rsidRPr="004D0DAA">
              <w:rPr>
                <w:lang w:eastAsia="en-US"/>
              </w:rPr>
              <w:t>or</w:t>
            </w:r>
          </w:p>
          <w:p w14:paraId="18EBF086" w14:textId="77777777" w:rsidR="00711444" w:rsidRPr="004D0DAA" w:rsidRDefault="00711444" w:rsidP="00AA2A4C">
            <w:pPr>
              <w:pStyle w:val="TAL"/>
              <w:rPr>
                <w:lang w:eastAsia="en-US"/>
              </w:rPr>
            </w:pPr>
            <w:r w:rsidRPr="004D0DAA">
              <w:rPr>
                <w:lang w:eastAsia="en-US"/>
              </w:rPr>
              <w:t>(N+125 or N+126) mod 2715648</w:t>
            </w:r>
          </w:p>
          <w:p w14:paraId="2E771382" w14:textId="77777777" w:rsidR="00711444" w:rsidRPr="004D0DAA" w:rsidRDefault="00711444" w:rsidP="00AA2A4C">
            <w:pPr>
              <w:pStyle w:val="TAL"/>
              <w:rPr>
                <w:lang w:eastAsia="en-US"/>
              </w:rPr>
            </w:pPr>
            <w:r w:rsidRPr="004D0DAA">
              <w:rPr>
                <w:lang w:eastAsia="en-US"/>
              </w:rPr>
              <w:t>or</w:t>
            </w:r>
          </w:p>
          <w:p w14:paraId="29343001" w14:textId="77777777" w:rsidR="00711444" w:rsidRPr="004D0DAA" w:rsidRDefault="00711444" w:rsidP="00AA2A4C">
            <w:pPr>
              <w:pStyle w:val="TAL"/>
              <w:rPr>
                <w:lang w:eastAsia="en-US"/>
              </w:rPr>
            </w:pPr>
            <w:r w:rsidRPr="004D0DAA">
              <w:rPr>
                <w:lang w:eastAsia="en-US"/>
              </w:rPr>
              <w:t>(N+130) mod 2715648</w:t>
            </w:r>
          </w:p>
          <w:p w14:paraId="52225EAB" w14:textId="77777777" w:rsidR="00711444" w:rsidRPr="004D0DAA" w:rsidRDefault="00711444" w:rsidP="00AA2A4C">
            <w:pPr>
              <w:pStyle w:val="TAL"/>
              <w:rPr>
                <w:lang w:eastAsia="en-US"/>
              </w:rPr>
            </w:pPr>
            <w:r w:rsidRPr="004D0DAA">
              <w:rPr>
                <w:lang w:eastAsia="en-US"/>
              </w:rPr>
              <w:t>or</w:t>
            </w:r>
          </w:p>
          <w:p w14:paraId="0B96AAD4" w14:textId="77777777" w:rsidR="00711444" w:rsidRPr="004D0DAA" w:rsidRDefault="00711444" w:rsidP="00AA2A4C">
            <w:pPr>
              <w:pStyle w:val="TAL"/>
              <w:rPr>
                <w:lang w:eastAsia="en-US"/>
              </w:rPr>
            </w:pPr>
            <w:r w:rsidRPr="004D0DAA">
              <w:rPr>
                <w:lang w:eastAsia="en-US"/>
              </w:rPr>
              <w:t xml:space="preserve">(N+134 or N+135) mod 2715648 </w:t>
            </w:r>
          </w:p>
          <w:p w14:paraId="2E243F4A" w14:textId="77777777" w:rsidR="00711444" w:rsidRPr="004D0DAA" w:rsidRDefault="00711444" w:rsidP="00AA2A4C">
            <w:pPr>
              <w:pStyle w:val="TAL"/>
              <w:rPr>
                <w:lang w:eastAsia="en-US"/>
              </w:rPr>
            </w:pPr>
            <w:r w:rsidRPr="004D0DAA">
              <w:rPr>
                <w:lang w:eastAsia="en-US"/>
              </w:rPr>
              <w:t>or</w:t>
            </w:r>
          </w:p>
          <w:p w14:paraId="3F9CBD2B" w14:textId="77777777" w:rsidR="00711444" w:rsidRPr="004D0DAA" w:rsidRDefault="00711444" w:rsidP="00AA2A4C">
            <w:pPr>
              <w:pStyle w:val="TAL"/>
              <w:rPr>
                <w:lang w:eastAsia="en-US"/>
              </w:rPr>
            </w:pPr>
            <w:r w:rsidRPr="004D0DAA">
              <w:rPr>
                <w:lang w:eastAsia="en-US"/>
              </w:rPr>
              <w:t xml:space="preserve">(N+138 or N+139) mod 2715648 </w:t>
            </w:r>
          </w:p>
          <w:p w14:paraId="7B11F8CD" w14:textId="77777777" w:rsidR="00711444" w:rsidRPr="004D0DAA" w:rsidRDefault="00711444" w:rsidP="00AA2A4C">
            <w:pPr>
              <w:pStyle w:val="TAL"/>
              <w:rPr>
                <w:lang w:eastAsia="en-US"/>
              </w:rPr>
            </w:pPr>
            <w:r w:rsidRPr="004D0DAA">
              <w:rPr>
                <w:lang w:eastAsia="en-US"/>
              </w:rPr>
              <w:t>or</w:t>
            </w:r>
          </w:p>
          <w:p w14:paraId="7B82DD09" w14:textId="77777777" w:rsidR="00711444" w:rsidRPr="004D0DAA" w:rsidRDefault="00711444" w:rsidP="00AA2A4C">
            <w:pPr>
              <w:pStyle w:val="TAL"/>
              <w:rPr>
                <w:lang w:eastAsia="en-US"/>
              </w:rPr>
            </w:pPr>
            <w:r w:rsidRPr="004D0DAA">
              <w:rPr>
                <w:lang w:eastAsia="en-US"/>
              </w:rPr>
              <w:t>(N+143) mod 2715648</w:t>
            </w:r>
          </w:p>
          <w:p w14:paraId="6666992E" w14:textId="77777777" w:rsidR="00711444" w:rsidRPr="004D0DAA" w:rsidRDefault="00711444" w:rsidP="00AA2A4C">
            <w:pPr>
              <w:pStyle w:val="TAL"/>
              <w:rPr>
                <w:lang w:eastAsia="en-US"/>
              </w:rPr>
            </w:pPr>
            <w:r w:rsidRPr="004D0DAA">
              <w:rPr>
                <w:lang w:eastAsia="en-US"/>
              </w:rPr>
              <w:t>or</w:t>
            </w:r>
          </w:p>
          <w:p w14:paraId="090F5DBE" w14:textId="77777777" w:rsidR="00711444" w:rsidRPr="004D0DAA" w:rsidRDefault="00711444" w:rsidP="00AA2A4C">
            <w:pPr>
              <w:pStyle w:val="TAL"/>
              <w:rPr>
                <w:lang w:eastAsia="en-US"/>
              </w:rPr>
            </w:pPr>
            <w:r w:rsidRPr="004D0DAA">
              <w:rPr>
                <w:lang w:eastAsia="en-US"/>
              </w:rPr>
              <w:t>(N+147 or N+148) mod 2715648</w:t>
            </w:r>
          </w:p>
        </w:tc>
        <w:tc>
          <w:tcPr>
            <w:tcW w:w="1375" w:type="dxa"/>
          </w:tcPr>
          <w:p w14:paraId="2D8C084F" w14:textId="77777777" w:rsidR="00711444" w:rsidRPr="004D0DAA" w:rsidRDefault="00711444" w:rsidP="00AA2A4C">
            <w:pPr>
              <w:pStyle w:val="TAL"/>
              <w:rPr>
                <w:lang w:eastAsia="en-US"/>
              </w:rPr>
            </w:pPr>
            <w:r w:rsidRPr="004D0DAA">
              <w:rPr>
                <w:lang w:eastAsia="en-US"/>
              </w:rPr>
              <w:t xml:space="preserve">(N+169) mod 2715648 </w:t>
            </w:r>
          </w:p>
          <w:p w14:paraId="702780B5" w14:textId="77777777" w:rsidR="00711444" w:rsidRPr="004D0DAA" w:rsidRDefault="00711444" w:rsidP="00AA2A4C">
            <w:pPr>
              <w:pStyle w:val="TAL"/>
              <w:rPr>
                <w:lang w:eastAsia="en-US"/>
              </w:rPr>
            </w:pPr>
            <w:r w:rsidRPr="004D0DAA">
              <w:rPr>
                <w:lang w:eastAsia="en-US"/>
              </w:rPr>
              <w:t>or</w:t>
            </w:r>
          </w:p>
          <w:p w14:paraId="3681A0EE" w14:textId="77777777" w:rsidR="00711444" w:rsidRPr="004D0DAA" w:rsidRDefault="00711444" w:rsidP="00AA2A4C">
            <w:pPr>
              <w:pStyle w:val="TAL"/>
              <w:rPr>
                <w:lang w:eastAsia="en-US"/>
              </w:rPr>
            </w:pPr>
            <w:r w:rsidRPr="004D0DAA">
              <w:rPr>
                <w:lang w:eastAsia="en-US"/>
              </w:rPr>
              <w:t xml:space="preserve">(N+173 or N+174) mod 2715648 </w:t>
            </w:r>
          </w:p>
          <w:p w14:paraId="2607A9FF" w14:textId="77777777" w:rsidR="00711444" w:rsidRPr="004D0DAA" w:rsidRDefault="00711444" w:rsidP="00AA2A4C">
            <w:pPr>
              <w:pStyle w:val="TAL"/>
              <w:rPr>
                <w:lang w:eastAsia="en-US"/>
              </w:rPr>
            </w:pPr>
            <w:r w:rsidRPr="004D0DAA">
              <w:rPr>
                <w:lang w:eastAsia="en-US"/>
              </w:rPr>
              <w:t>or</w:t>
            </w:r>
          </w:p>
          <w:p w14:paraId="0F1165D2" w14:textId="77777777" w:rsidR="00711444" w:rsidRPr="004D0DAA" w:rsidRDefault="00711444" w:rsidP="00AA2A4C">
            <w:pPr>
              <w:pStyle w:val="TAL"/>
              <w:rPr>
                <w:lang w:eastAsia="en-US"/>
              </w:rPr>
            </w:pPr>
            <w:r w:rsidRPr="004D0DAA">
              <w:rPr>
                <w:lang w:eastAsia="en-US"/>
              </w:rPr>
              <w:t>(N+177 or N+178) mod 2715648</w:t>
            </w:r>
          </w:p>
          <w:p w14:paraId="297BD606" w14:textId="77777777" w:rsidR="00711444" w:rsidRPr="004D0DAA" w:rsidRDefault="00711444" w:rsidP="00AA2A4C">
            <w:pPr>
              <w:pStyle w:val="TAL"/>
              <w:rPr>
                <w:lang w:eastAsia="en-US"/>
              </w:rPr>
            </w:pPr>
            <w:r w:rsidRPr="004D0DAA">
              <w:rPr>
                <w:lang w:eastAsia="en-US"/>
              </w:rPr>
              <w:t>or</w:t>
            </w:r>
          </w:p>
          <w:p w14:paraId="0ECE6885" w14:textId="77777777" w:rsidR="00711444" w:rsidRPr="004D0DAA" w:rsidRDefault="00711444" w:rsidP="00AA2A4C">
            <w:pPr>
              <w:pStyle w:val="TAL"/>
              <w:rPr>
                <w:lang w:eastAsia="en-US"/>
              </w:rPr>
            </w:pPr>
            <w:r w:rsidRPr="004D0DAA">
              <w:rPr>
                <w:lang w:eastAsia="en-US"/>
              </w:rPr>
              <w:t>(N+182) mod 2715648</w:t>
            </w:r>
          </w:p>
          <w:p w14:paraId="1F8C5C9B" w14:textId="77777777" w:rsidR="00711444" w:rsidRPr="004D0DAA" w:rsidRDefault="00711444" w:rsidP="00AA2A4C">
            <w:pPr>
              <w:pStyle w:val="TAL"/>
              <w:rPr>
                <w:lang w:eastAsia="en-US"/>
              </w:rPr>
            </w:pPr>
            <w:r w:rsidRPr="004D0DAA">
              <w:rPr>
                <w:lang w:eastAsia="en-US"/>
              </w:rPr>
              <w:t>Or</w:t>
            </w:r>
          </w:p>
          <w:p w14:paraId="66C9792D" w14:textId="77777777" w:rsidR="00711444" w:rsidRPr="004D0DAA" w:rsidRDefault="00711444" w:rsidP="00AA2A4C">
            <w:pPr>
              <w:pStyle w:val="TAL"/>
              <w:rPr>
                <w:lang w:eastAsia="en-US"/>
              </w:rPr>
            </w:pPr>
            <w:r w:rsidRPr="004D0DAA">
              <w:rPr>
                <w:lang w:eastAsia="en-US"/>
              </w:rPr>
              <w:t xml:space="preserve">(N+186 or N+187) mod 2715648 </w:t>
            </w:r>
          </w:p>
          <w:p w14:paraId="5A3AAF81" w14:textId="77777777" w:rsidR="00711444" w:rsidRPr="004D0DAA" w:rsidRDefault="00711444" w:rsidP="00AA2A4C">
            <w:pPr>
              <w:pStyle w:val="TAL"/>
              <w:rPr>
                <w:lang w:eastAsia="en-US"/>
              </w:rPr>
            </w:pPr>
            <w:r w:rsidRPr="004D0DAA">
              <w:rPr>
                <w:lang w:eastAsia="en-US"/>
              </w:rPr>
              <w:t>or</w:t>
            </w:r>
          </w:p>
          <w:p w14:paraId="186BC0E1" w14:textId="77777777" w:rsidR="00711444" w:rsidRPr="004D0DAA" w:rsidRDefault="00711444" w:rsidP="00AA2A4C">
            <w:pPr>
              <w:pStyle w:val="TAL"/>
              <w:rPr>
                <w:lang w:eastAsia="en-US"/>
              </w:rPr>
            </w:pPr>
            <w:r w:rsidRPr="004D0DAA">
              <w:rPr>
                <w:lang w:eastAsia="en-US"/>
              </w:rPr>
              <w:t xml:space="preserve">(N+190 or N+191) mod 2715648 </w:t>
            </w:r>
          </w:p>
          <w:p w14:paraId="78D3497B" w14:textId="77777777" w:rsidR="00711444" w:rsidRPr="004D0DAA" w:rsidRDefault="00711444" w:rsidP="00AA2A4C">
            <w:pPr>
              <w:pStyle w:val="TAL"/>
              <w:rPr>
                <w:lang w:eastAsia="en-US"/>
              </w:rPr>
            </w:pPr>
            <w:r w:rsidRPr="004D0DAA">
              <w:rPr>
                <w:lang w:eastAsia="en-US"/>
              </w:rPr>
              <w:t>or</w:t>
            </w:r>
          </w:p>
          <w:p w14:paraId="5CB6FA67" w14:textId="77777777" w:rsidR="00711444" w:rsidRPr="004D0DAA" w:rsidRDefault="00711444" w:rsidP="00AA2A4C">
            <w:pPr>
              <w:pStyle w:val="TAL"/>
              <w:rPr>
                <w:lang w:eastAsia="en-US"/>
              </w:rPr>
            </w:pPr>
            <w:r w:rsidRPr="004D0DAA">
              <w:rPr>
                <w:lang w:eastAsia="en-US"/>
              </w:rPr>
              <w:t>(N+195) mod 2715648</w:t>
            </w:r>
          </w:p>
          <w:p w14:paraId="72B13208" w14:textId="77777777" w:rsidR="00711444" w:rsidRPr="004D0DAA" w:rsidRDefault="00711444" w:rsidP="00AA2A4C">
            <w:pPr>
              <w:pStyle w:val="TAL"/>
              <w:rPr>
                <w:lang w:eastAsia="en-US"/>
              </w:rPr>
            </w:pPr>
            <w:r w:rsidRPr="004D0DAA">
              <w:rPr>
                <w:lang w:eastAsia="en-US"/>
              </w:rPr>
              <w:t>or</w:t>
            </w:r>
          </w:p>
          <w:p w14:paraId="12D95D56" w14:textId="77777777" w:rsidR="00711444" w:rsidRPr="004D0DAA" w:rsidRDefault="00711444" w:rsidP="00AA2A4C">
            <w:pPr>
              <w:pStyle w:val="TAL"/>
              <w:rPr>
                <w:lang w:eastAsia="en-US"/>
              </w:rPr>
            </w:pPr>
            <w:r w:rsidRPr="004D0DAA">
              <w:rPr>
                <w:lang w:eastAsia="en-US"/>
              </w:rPr>
              <w:t>(N+199 or N+200) mod 2715648</w:t>
            </w:r>
          </w:p>
          <w:p w14:paraId="37DE6C9B" w14:textId="77777777" w:rsidR="00711444" w:rsidRPr="004D0DAA" w:rsidRDefault="00711444" w:rsidP="00AA2A4C">
            <w:pPr>
              <w:pStyle w:val="TAL"/>
              <w:rPr>
                <w:lang w:eastAsia="en-US"/>
              </w:rPr>
            </w:pPr>
            <w:r w:rsidRPr="004D0DAA">
              <w:rPr>
                <w:lang w:eastAsia="en-US"/>
              </w:rPr>
              <w:t>Or</w:t>
            </w:r>
          </w:p>
          <w:p w14:paraId="6AF95145" w14:textId="77777777" w:rsidR="00711444" w:rsidRPr="004D0DAA" w:rsidRDefault="00711444" w:rsidP="00AA2A4C">
            <w:pPr>
              <w:pStyle w:val="TAL"/>
              <w:rPr>
                <w:lang w:eastAsia="en-US"/>
              </w:rPr>
            </w:pPr>
            <w:r w:rsidRPr="004D0DAA">
              <w:rPr>
                <w:lang w:eastAsia="en-US"/>
              </w:rPr>
              <w:t>(N+203 or N+204) mod 2715648</w:t>
            </w:r>
          </w:p>
          <w:p w14:paraId="79AFB189" w14:textId="77777777" w:rsidR="00711444" w:rsidRPr="004D0DAA" w:rsidRDefault="00711444" w:rsidP="00AA2A4C">
            <w:pPr>
              <w:pStyle w:val="TAL"/>
              <w:rPr>
                <w:lang w:eastAsia="en-US"/>
              </w:rPr>
            </w:pPr>
            <w:r w:rsidRPr="004D0DAA">
              <w:rPr>
                <w:lang w:eastAsia="en-US"/>
              </w:rPr>
              <w:t>or</w:t>
            </w:r>
          </w:p>
          <w:p w14:paraId="643ABD25" w14:textId="77777777" w:rsidR="00711444" w:rsidRPr="004D0DAA" w:rsidRDefault="00711444" w:rsidP="00AA2A4C">
            <w:pPr>
              <w:pStyle w:val="TAL"/>
              <w:rPr>
                <w:lang w:eastAsia="en-US"/>
              </w:rPr>
            </w:pPr>
            <w:r w:rsidRPr="004D0DAA">
              <w:rPr>
                <w:lang w:eastAsia="en-US"/>
              </w:rPr>
              <w:t>(N+208) mod 2715648</w:t>
            </w:r>
          </w:p>
          <w:p w14:paraId="3C770F54" w14:textId="77777777" w:rsidR="00711444" w:rsidRPr="004D0DAA" w:rsidRDefault="00711444" w:rsidP="00AA2A4C">
            <w:pPr>
              <w:pStyle w:val="TAL"/>
              <w:rPr>
                <w:lang w:eastAsia="en-US"/>
              </w:rPr>
            </w:pPr>
            <w:r w:rsidRPr="004D0DAA">
              <w:rPr>
                <w:lang w:eastAsia="en-US"/>
              </w:rPr>
              <w:t>or</w:t>
            </w:r>
          </w:p>
          <w:p w14:paraId="3E93F005" w14:textId="77777777" w:rsidR="00711444" w:rsidRPr="004D0DAA" w:rsidRDefault="00711444" w:rsidP="00AA2A4C">
            <w:pPr>
              <w:pStyle w:val="TAL"/>
              <w:rPr>
                <w:lang w:eastAsia="en-US"/>
              </w:rPr>
            </w:pPr>
            <w:r w:rsidRPr="004D0DAA">
              <w:rPr>
                <w:lang w:eastAsia="en-US"/>
              </w:rPr>
              <w:t>(N+212 or N+213) mod</w:t>
            </w:r>
          </w:p>
          <w:p w14:paraId="4C6BB5E0" w14:textId="77777777" w:rsidR="00711444" w:rsidRPr="004D0DAA" w:rsidRDefault="00711444" w:rsidP="00AA2A4C">
            <w:pPr>
              <w:pStyle w:val="TAL"/>
              <w:rPr>
                <w:lang w:eastAsia="en-US"/>
              </w:rPr>
            </w:pPr>
            <w:r w:rsidRPr="004D0DAA">
              <w:rPr>
                <w:lang w:eastAsia="en-US"/>
              </w:rPr>
              <w:t>2715648</w:t>
            </w:r>
          </w:p>
          <w:p w14:paraId="5B2D25D8" w14:textId="77777777" w:rsidR="00711444" w:rsidRPr="004D0DAA" w:rsidRDefault="00711444" w:rsidP="00AA2A4C">
            <w:pPr>
              <w:pStyle w:val="TAL"/>
              <w:rPr>
                <w:lang w:eastAsia="en-US"/>
              </w:rPr>
            </w:pPr>
            <w:r w:rsidRPr="004D0DAA">
              <w:rPr>
                <w:lang w:eastAsia="en-US"/>
              </w:rPr>
              <w:t>or</w:t>
            </w:r>
          </w:p>
          <w:p w14:paraId="6E11B6A4" w14:textId="77777777" w:rsidR="00711444" w:rsidRPr="004D0DAA" w:rsidRDefault="00711444" w:rsidP="00AA2A4C">
            <w:pPr>
              <w:pStyle w:val="TAL"/>
              <w:rPr>
                <w:lang w:eastAsia="en-US"/>
              </w:rPr>
            </w:pPr>
            <w:r w:rsidRPr="004D0DAA">
              <w:rPr>
                <w:lang w:eastAsia="en-US"/>
              </w:rPr>
              <w:t>(N+216 or N+217) mode 2715648</w:t>
            </w:r>
          </w:p>
        </w:tc>
        <w:tc>
          <w:tcPr>
            <w:tcW w:w="1375" w:type="dxa"/>
          </w:tcPr>
          <w:p w14:paraId="3898B65A" w14:textId="77777777" w:rsidR="00711444" w:rsidRPr="004D0DAA" w:rsidRDefault="00711444" w:rsidP="00AA2A4C">
            <w:pPr>
              <w:pStyle w:val="TAL"/>
              <w:rPr>
                <w:lang w:eastAsia="en-US"/>
              </w:rPr>
            </w:pPr>
            <w:r w:rsidRPr="004D0DAA">
              <w:rPr>
                <w:lang w:eastAsia="en-US"/>
              </w:rPr>
              <w:t>Reserved</w:t>
            </w:r>
          </w:p>
        </w:tc>
      </w:tr>
      <w:tr w:rsidR="00711444" w:rsidRPr="004D0DAA" w14:paraId="25A0EE47" w14:textId="77777777" w:rsidTr="00AA2A4C">
        <w:trPr>
          <w:cantSplit/>
          <w:jc w:val="center"/>
        </w:trPr>
        <w:tc>
          <w:tcPr>
            <w:tcW w:w="1374" w:type="dxa"/>
          </w:tcPr>
          <w:p w14:paraId="53F8063C" w14:textId="77777777" w:rsidR="00711444" w:rsidRPr="004D0DAA" w:rsidRDefault="00711444" w:rsidP="00AA2A4C">
            <w:pPr>
              <w:pStyle w:val="TAC"/>
              <w:rPr>
                <w:lang w:eastAsia="en-US"/>
              </w:rPr>
            </w:pPr>
            <w:r w:rsidRPr="004D0DAA">
              <w:rPr>
                <w:lang w:eastAsia="en-US"/>
              </w:rPr>
              <w:lastRenderedPageBreak/>
              <w:t>1 0 0</w:t>
            </w:r>
          </w:p>
        </w:tc>
        <w:tc>
          <w:tcPr>
            <w:tcW w:w="1375" w:type="dxa"/>
          </w:tcPr>
          <w:p w14:paraId="6D1410DF" w14:textId="77777777" w:rsidR="00711444" w:rsidRPr="004D0DAA" w:rsidRDefault="00711444" w:rsidP="00AA2A4C">
            <w:pPr>
              <w:pStyle w:val="TAL"/>
              <w:rPr>
                <w:lang w:eastAsia="en-US"/>
              </w:rPr>
            </w:pPr>
            <w:r w:rsidRPr="004D0DAA">
              <w:rPr>
                <w:lang w:eastAsia="en-US"/>
              </w:rPr>
              <w:t>(N+30 or N+31) mod 2715648</w:t>
            </w:r>
          </w:p>
          <w:p w14:paraId="35D83C7D" w14:textId="77777777" w:rsidR="00711444" w:rsidRPr="004D0DAA" w:rsidRDefault="00711444" w:rsidP="00AA2A4C">
            <w:pPr>
              <w:pStyle w:val="TAL"/>
              <w:rPr>
                <w:lang w:eastAsia="en-US"/>
              </w:rPr>
            </w:pPr>
          </w:p>
        </w:tc>
        <w:tc>
          <w:tcPr>
            <w:tcW w:w="1375" w:type="dxa"/>
          </w:tcPr>
          <w:p w14:paraId="43955C74" w14:textId="77777777" w:rsidR="00711444" w:rsidRPr="004D0DAA" w:rsidRDefault="00711444" w:rsidP="00AA2A4C">
            <w:pPr>
              <w:pStyle w:val="TAL"/>
              <w:rPr>
                <w:lang w:eastAsia="en-US"/>
              </w:rPr>
            </w:pPr>
            <w:r w:rsidRPr="004D0DAA">
              <w:rPr>
                <w:lang w:eastAsia="en-US"/>
              </w:rPr>
              <w:t xml:space="preserve">(N+47 or N+48) mod 2715648 </w:t>
            </w:r>
          </w:p>
          <w:p w14:paraId="5408AE33" w14:textId="77777777" w:rsidR="00711444" w:rsidRPr="004D0DAA" w:rsidRDefault="00711444" w:rsidP="00AA2A4C">
            <w:pPr>
              <w:pStyle w:val="TAL"/>
              <w:rPr>
                <w:lang w:eastAsia="en-US"/>
              </w:rPr>
            </w:pPr>
            <w:r w:rsidRPr="004D0DAA">
              <w:rPr>
                <w:lang w:eastAsia="en-US"/>
              </w:rPr>
              <w:t xml:space="preserve">or </w:t>
            </w:r>
            <w:r w:rsidRPr="004D0DAA">
              <w:rPr>
                <w:lang w:eastAsia="en-US"/>
              </w:rPr>
              <w:br/>
              <w:t xml:space="preserve">(N+52) mod 2715648 </w:t>
            </w:r>
          </w:p>
        </w:tc>
        <w:tc>
          <w:tcPr>
            <w:tcW w:w="1374" w:type="dxa"/>
          </w:tcPr>
          <w:p w14:paraId="6C0FAF1E" w14:textId="77777777" w:rsidR="00711444" w:rsidRPr="004D0DAA" w:rsidRDefault="00711444" w:rsidP="00AA2A4C">
            <w:pPr>
              <w:pStyle w:val="TAL"/>
              <w:rPr>
                <w:lang w:eastAsia="en-US"/>
              </w:rPr>
            </w:pPr>
            <w:r w:rsidRPr="004D0DAA">
              <w:rPr>
                <w:lang w:eastAsia="en-US"/>
              </w:rPr>
              <w:t xml:space="preserve">(N+82 or N+83) mod 2715648 </w:t>
            </w:r>
          </w:p>
          <w:p w14:paraId="30BE14E0"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07339C56" w14:textId="77777777" w:rsidR="00711444" w:rsidRPr="004D0DAA" w:rsidRDefault="00711444" w:rsidP="00AA2A4C">
            <w:pPr>
              <w:pStyle w:val="TAL"/>
              <w:rPr>
                <w:lang w:eastAsia="en-US"/>
              </w:rPr>
            </w:pPr>
            <w:r w:rsidRPr="004D0DAA">
              <w:rPr>
                <w:lang w:eastAsia="en-US"/>
              </w:rPr>
              <w:t>or</w:t>
            </w:r>
          </w:p>
          <w:p w14:paraId="6201433E" w14:textId="77777777" w:rsidR="00711444" w:rsidRPr="004D0DAA" w:rsidRDefault="00711444" w:rsidP="00AA2A4C">
            <w:pPr>
              <w:pStyle w:val="TAL"/>
              <w:rPr>
                <w:lang w:eastAsia="en-US"/>
              </w:rPr>
            </w:pPr>
            <w:r w:rsidRPr="004D0DAA">
              <w:rPr>
                <w:lang w:eastAsia="en-US"/>
              </w:rPr>
              <w:t xml:space="preserve">(N+91) mod 2715648 </w:t>
            </w:r>
          </w:p>
          <w:p w14:paraId="657D7D9C" w14:textId="77777777" w:rsidR="00711444" w:rsidRPr="004D0DAA" w:rsidRDefault="00711444" w:rsidP="00AA2A4C">
            <w:pPr>
              <w:pStyle w:val="TAL"/>
              <w:rPr>
                <w:lang w:eastAsia="en-US"/>
              </w:rPr>
            </w:pPr>
            <w:r w:rsidRPr="004D0DAA">
              <w:rPr>
                <w:lang w:eastAsia="en-US"/>
              </w:rPr>
              <w:t>or</w:t>
            </w:r>
          </w:p>
          <w:p w14:paraId="1A48AC94" w14:textId="77777777" w:rsidR="00711444" w:rsidRPr="004D0DAA" w:rsidRDefault="00711444" w:rsidP="00AA2A4C">
            <w:pPr>
              <w:pStyle w:val="TAL"/>
              <w:rPr>
                <w:lang w:eastAsia="en-US"/>
              </w:rPr>
            </w:pPr>
            <w:r w:rsidRPr="004D0DAA">
              <w:rPr>
                <w:lang w:eastAsia="en-US"/>
              </w:rPr>
              <w:t xml:space="preserve">(N+95 or N+96) mod 2715648 </w:t>
            </w:r>
          </w:p>
        </w:tc>
        <w:tc>
          <w:tcPr>
            <w:tcW w:w="1375" w:type="dxa"/>
          </w:tcPr>
          <w:p w14:paraId="71117A9C" w14:textId="77777777" w:rsidR="00711444" w:rsidRPr="004D0DAA" w:rsidRDefault="00711444" w:rsidP="00AA2A4C">
            <w:pPr>
              <w:pStyle w:val="TAL"/>
              <w:rPr>
                <w:lang w:eastAsia="en-US"/>
              </w:rPr>
            </w:pPr>
            <w:r w:rsidRPr="004D0DAA">
              <w:rPr>
                <w:lang w:eastAsia="en-US"/>
              </w:rPr>
              <w:t xml:space="preserve">(N+151 or N+152) mod 2715648 </w:t>
            </w:r>
          </w:p>
          <w:p w14:paraId="4699B280" w14:textId="77777777" w:rsidR="00711444" w:rsidRPr="004D0DAA" w:rsidRDefault="00711444" w:rsidP="00AA2A4C">
            <w:pPr>
              <w:pStyle w:val="TAL"/>
              <w:rPr>
                <w:lang w:eastAsia="en-US"/>
              </w:rPr>
            </w:pPr>
            <w:r w:rsidRPr="004D0DAA">
              <w:rPr>
                <w:lang w:eastAsia="en-US"/>
              </w:rPr>
              <w:t>or</w:t>
            </w:r>
          </w:p>
          <w:p w14:paraId="1161ADD9" w14:textId="77777777" w:rsidR="00711444" w:rsidRPr="004D0DAA" w:rsidRDefault="00711444" w:rsidP="00AA2A4C">
            <w:pPr>
              <w:pStyle w:val="TAL"/>
              <w:rPr>
                <w:lang w:eastAsia="en-US"/>
              </w:rPr>
            </w:pPr>
            <w:r w:rsidRPr="004D0DAA">
              <w:rPr>
                <w:lang w:eastAsia="en-US"/>
              </w:rPr>
              <w:t xml:space="preserve">(N+156) mod 2715648 </w:t>
            </w:r>
          </w:p>
          <w:p w14:paraId="6B570D09" w14:textId="77777777" w:rsidR="00711444" w:rsidRPr="004D0DAA" w:rsidRDefault="00711444" w:rsidP="00AA2A4C">
            <w:pPr>
              <w:pStyle w:val="TAL"/>
              <w:rPr>
                <w:lang w:eastAsia="en-US"/>
              </w:rPr>
            </w:pPr>
            <w:r w:rsidRPr="004D0DAA">
              <w:rPr>
                <w:lang w:eastAsia="en-US"/>
              </w:rPr>
              <w:t>or</w:t>
            </w:r>
          </w:p>
          <w:p w14:paraId="059BFCBF" w14:textId="77777777" w:rsidR="00711444" w:rsidRPr="004D0DAA" w:rsidRDefault="00711444" w:rsidP="00AA2A4C">
            <w:pPr>
              <w:pStyle w:val="TAL"/>
              <w:rPr>
                <w:lang w:eastAsia="en-US"/>
              </w:rPr>
            </w:pPr>
            <w:r w:rsidRPr="004D0DAA">
              <w:rPr>
                <w:lang w:eastAsia="en-US"/>
              </w:rPr>
              <w:t>(N+160 or N+161) mod 2715648</w:t>
            </w:r>
          </w:p>
          <w:p w14:paraId="4C3BE335" w14:textId="77777777" w:rsidR="00711444" w:rsidRPr="004D0DAA" w:rsidRDefault="00711444" w:rsidP="00AA2A4C">
            <w:pPr>
              <w:pStyle w:val="TAL"/>
              <w:rPr>
                <w:lang w:eastAsia="en-US"/>
              </w:rPr>
            </w:pPr>
            <w:r w:rsidRPr="004D0DAA">
              <w:rPr>
                <w:lang w:eastAsia="en-US"/>
              </w:rPr>
              <w:t>or</w:t>
            </w:r>
          </w:p>
          <w:p w14:paraId="30884E75" w14:textId="77777777" w:rsidR="00711444" w:rsidRPr="004D0DAA" w:rsidRDefault="00711444" w:rsidP="00AA2A4C">
            <w:pPr>
              <w:pStyle w:val="TAL"/>
              <w:rPr>
                <w:lang w:eastAsia="en-US"/>
              </w:rPr>
            </w:pPr>
            <w:r w:rsidRPr="004D0DAA">
              <w:rPr>
                <w:lang w:eastAsia="en-US"/>
              </w:rPr>
              <w:t>(N+164 or N+165) mod 2715648</w:t>
            </w:r>
          </w:p>
          <w:p w14:paraId="7836AF0C" w14:textId="77777777" w:rsidR="00711444" w:rsidRPr="004D0DAA" w:rsidRDefault="00711444" w:rsidP="00AA2A4C">
            <w:pPr>
              <w:pStyle w:val="TAL"/>
              <w:rPr>
                <w:lang w:eastAsia="en-US"/>
              </w:rPr>
            </w:pPr>
            <w:r w:rsidRPr="004D0DAA">
              <w:rPr>
                <w:lang w:eastAsia="en-US"/>
              </w:rPr>
              <w:t>or</w:t>
            </w:r>
          </w:p>
          <w:p w14:paraId="64E669AD" w14:textId="77777777" w:rsidR="00711444" w:rsidRPr="004D0DAA" w:rsidRDefault="00711444" w:rsidP="00AA2A4C">
            <w:pPr>
              <w:pStyle w:val="TAL"/>
              <w:rPr>
                <w:lang w:eastAsia="en-US"/>
              </w:rPr>
            </w:pPr>
            <w:r w:rsidRPr="004D0DAA">
              <w:rPr>
                <w:lang w:eastAsia="en-US"/>
              </w:rPr>
              <w:t xml:space="preserve">(N+169) mod 2715648 </w:t>
            </w:r>
          </w:p>
          <w:p w14:paraId="7670F7AC" w14:textId="77777777" w:rsidR="00711444" w:rsidRPr="004D0DAA" w:rsidRDefault="00711444" w:rsidP="00AA2A4C">
            <w:pPr>
              <w:pStyle w:val="TAL"/>
              <w:rPr>
                <w:lang w:eastAsia="en-US"/>
              </w:rPr>
            </w:pPr>
            <w:r w:rsidRPr="004D0DAA">
              <w:rPr>
                <w:lang w:eastAsia="en-US"/>
              </w:rPr>
              <w:t>or</w:t>
            </w:r>
          </w:p>
          <w:p w14:paraId="66DA7BEA" w14:textId="77777777" w:rsidR="00711444" w:rsidRPr="004D0DAA" w:rsidRDefault="00711444" w:rsidP="00AA2A4C">
            <w:pPr>
              <w:pStyle w:val="TAL"/>
              <w:rPr>
                <w:lang w:eastAsia="en-US"/>
              </w:rPr>
            </w:pPr>
            <w:r w:rsidRPr="004D0DAA">
              <w:rPr>
                <w:lang w:eastAsia="en-US"/>
              </w:rPr>
              <w:t xml:space="preserve">(N+173 or N+174) mod 2715648 </w:t>
            </w:r>
          </w:p>
          <w:p w14:paraId="66D0B8B7" w14:textId="77777777" w:rsidR="00711444" w:rsidRPr="004D0DAA" w:rsidRDefault="00711444" w:rsidP="00AA2A4C">
            <w:pPr>
              <w:pStyle w:val="TAL"/>
              <w:rPr>
                <w:lang w:eastAsia="en-US"/>
              </w:rPr>
            </w:pPr>
            <w:r w:rsidRPr="004D0DAA">
              <w:rPr>
                <w:lang w:eastAsia="en-US"/>
              </w:rPr>
              <w:t>or</w:t>
            </w:r>
          </w:p>
          <w:p w14:paraId="704B3638" w14:textId="77777777" w:rsidR="00711444" w:rsidRPr="004D0DAA" w:rsidRDefault="00711444" w:rsidP="00AA2A4C">
            <w:pPr>
              <w:pStyle w:val="TAL"/>
              <w:rPr>
                <w:lang w:eastAsia="en-US"/>
              </w:rPr>
            </w:pPr>
            <w:r w:rsidRPr="004D0DAA">
              <w:rPr>
                <w:lang w:eastAsia="en-US"/>
              </w:rPr>
              <w:t>(N+177 or N+178) mod 2715648</w:t>
            </w:r>
          </w:p>
          <w:p w14:paraId="106BF836" w14:textId="77777777" w:rsidR="00711444" w:rsidRPr="004D0DAA" w:rsidRDefault="00711444" w:rsidP="00AA2A4C">
            <w:pPr>
              <w:pStyle w:val="TAL"/>
              <w:rPr>
                <w:lang w:eastAsia="en-US"/>
              </w:rPr>
            </w:pPr>
            <w:r w:rsidRPr="004D0DAA">
              <w:rPr>
                <w:lang w:eastAsia="en-US"/>
              </w:rPr>
              <w:t>or</w:t>
            </w:r>
          </w:p>
          <w:p w14:paraId="191DD875" w14:textId="77777777" w:rsidR="00711444" w:rsidRPr="004D0DAA" w:rsidRDefault="00711444" w:rsidP="00AA2A4C">
            <w:pPr>
              <w:pStyle w:val="TAL"/>
              <w:rPr>
                <w:lang w:eastAsia="en-US"/>
              </w:rPr>
            </w:pPr>
            <w:r w:rsidRPr="004D0DAA">
              <w:rPr>
                <w:lang w:eastAsia="en-US"/>
              </w:rPr>
              <w:t>(N+182) mod 2715648</w:t>
            </w:r>
          </w:p>
        </w:tc>
        <w:tc>
          <w:tcPr>
            <w:tcW w:w="1375" w:type="dxa"/>
          </w:tcPr>
          <w:p w14:paraId="2905B3C2" w14:textId="77777777" w:rsidR="00711444" w:rsidRPr="004D0DAA" w:rsidRDefault="00711444" w:rsidP="00AA2A4C">
            <w:pPr>
              <w:pStyle w:val="TAL"/>
              <w:rPr>
                <w:lang w:eastAsia="en-US"/>
              </w:rPr>
            </w:pPr>
            <w:r w:rsidRPr="004D0DAA">
              <w:rPr>
                <w:lang w:eastAsia="en-US"/>
              </w:rPr>
              <w:t>Reserved</w:t>
            </w:r>
          </w:p>
        </w:tc>
        <w:tc>
          <w:tcPr>
            <w:tcW w:w="1375" w:type="dxa"/>
          </w:tcPr>
          <w:p w14:paraId="5ACDD63E" w14:textId="77777777" w:rsidR="00711444" w:rsidRPr="004D0DAA" w:rsidRDefault="00711444" w:rsidP="00AA2A4C">
            <w:pPr>
              <w:pStyle w:val="TAL"/>
              <w:rPr>
                <w:lang w:eastAsia="en-US"/>
              </w:rPr>
            </w:pPr>
            <w:r w:rsidRPr="004D0DAA">
              <w:rPr>
                <w:lang w:eastAsia="en-US"/>
              </w:rPr>
              <w:t>Reserved</w:t>
            </w:r>
          </w:p>
        </w:tc>
      </w:tr>
      <w:tr w:rsidR="00711444" w:rsidRPr="004D0DAA" w14:paraId="5E4EC1D0" w14:textId="77777777" w:rsidTr="00AA2A4C">
        <w:trPr>
          <w:cantSplit/>
          <w:jc w:val="center"/>
        </w:trPr>
        <w:tc>
          <w:tcPr>
            <w:tcW w:w="1374" w:type="dxa"/>
          </w:tcPr>
          <w:p w14:paraId="29E1E6E5" w14:textId="77777777" w:rsidR="00711444" w:rsidRPr="004D0DAA" w:rsidRDefault="00711444" w:rsidP="00AA2A4C">
            <w:pPr>
              <w:pStyle w:val="TAC"/>
              <w:rPr>
                <w:lang w:eastAsia="en-US"/>
              </w:rPr>
            </w:pPr>
            <w:r w:rsidRPr="004D0DAA">
              <w:rPr>
                <w:lang w:eastAsia="en-US"/>
              </w:rPr>
              <w:t>1 0 1</w:t>
            </w:r>
          </w:p>
        </w:tc>
        <w:tc>
          <w:tcPr>
            <w:tcW w:w="1375" w:type="dxa"/>
          </w:tcPr>
          <w:p w14:paraId="5A63B582" w14:textId="77777777" w:rsidR="00711444" w:rsidRPr="004D0DAA" w:rsidRDefault="00711444" w:rsidP="00AA2A4C">
            <w:pPr>
              <w:pStyle w:val="TAL"/>
              <w:rPr>
                <w:lang w:eastAsia="en-US"/>
              </w:rPr>
            </w:pPr>
            <w:r w:rsidRPr="004D0DAA">
              <w:rPr>
                <w:lang w:eastAsia="en-US"/>
              </w:rPr>
              <w:t>(N+34 or N+35) mod 2715648</w:t>
            </w:r>
          </w:p>
        </w:tc>
        <w:tc>
          <w:tcPr>
            <w:tcW w:w="1375" w:type="dxa"/>
          </w:tcPr>
          <w:p w14:paraId="3E371FA8" w14:textId="77777777" w:rsidR="00711444" w:rsidRPr="004D0DAA" w:rsidRDefault="00711444" w:rsidP="00AA2A4C">
            <w:pPr>
              <w:pStyle w:val="TAL"/>
              <w:rPr>
                <w:lang w:eastAsia="en-US"/>
              </w:rPr>
            </w:pPr>
            <w:r w:rsidRPr="004D0DAA">
              <w:rPr>
                <w:lang w:eastAsia="en-US"/>
              </w:rPr>
              <w:t xml:space="preserve">(N+56 or N+57) mod 2715648 </w:t>
            </w:r>
          </w:p>
          <w:p w14:paraId="63C64B4B" w14:textId="77777777" w:rsidR="00711444" w:rsidRPr="004D0DAA" w:rsidRDefault="00711444" w:rsidP="00AA2A4C">
            <w:pPr>
              <w:pStyle w:val="TAL"/>
              <w:rPr>
                <w:lang w:eastAsia="en-US"/>
              </w:rPr>
            </w:pPr>
            <w:r w:rsidRPr="004D0DAA">
              <w:rPr>
                <w:lang w:eastAsia="en-US"/>
              </w:rPr>
              <w:t>or</w:t>
            </w:r>
          </w:p>
          <w:p w14:paraId="49435F3A" w14:textId="77777777" w:rsidR="00711444" w:rsidRPr="004D0DAA" w:rsidRDefault="00711444" w:rsidP="00AA2A4C">
            <w:pPr>
              <w:pStyle w:val="TAL"/>
              <w:rPr>
                <w:lang w:eastAsia="en-US"/>
              </w:rPr>
            </w:pPr>
            <w:r w:rsidRPr="004D0DAA">
              <w:rPr>
                <w:lang w:eastAsia="en-US"/>
              </w:rPr>
              <w:t>(N+60 or N+61) mod 2715648</w:t>
            </w:r>
          </w:p>
        </w:tc>
        <w:tc>
          <w:tcPr>
            <w:tcW w:w="1374" w:type="dxa"/>
          </w:tcPr>
          <w:p w14:paraId="38A90BE3" w14:textId="77777777" w:rsidR="00711444" w:rsidRPr="004D0DAA" w:rsidRDefault="00711444" w:rsidP="00AA2A4C">
            <w:pPr>
              <w:pStyle w:val="TAL"/>
              <w:rPr>
                <w:lang w:eastAsia="en-US"/>
              </w:rPr>
            </w:pPr>
            <w:r w:rsidRPr="004D0DAA">
              <w:rPr>
                <w:lang w:eastAsia="en-US"/>
              </w:rPr>
              <w:t xml:space="preserve">(N+99 or N+100) mod 2715648 </w:t>
            </w:r>
          </w:p>
          <w:p w14:paraId="4839D8CF" w14:textId="77777777" w:rsidR="00711444" w:rsidRPr="004D0DAA" w:rsidRDefault="00711444" w:rsidP="00AA2A4C">
            <w:pPr>
              <w:pStyle w:val="TAL"/>
              <w:rPr>
                <w:lang w:eastAsia="en-US"/>
              </w:rPr>
            </w:pPr>
            <w:r w:rsidRPr="004D0DAA">
              <w:rPr>
                <w:lang w:eastAsia="en-US"/>
              </w:rPr>
              <w:t>or</w:t>
            </w:r>
          </w:p>
          <w:p w14:paraId="6E3F52C4" w14:textId="77777777" w:rsidR="00711444" w:rsidRPr="004D0DAA" w:rsidRDefault="00711444" w:rsidP="00AA2A4C">
            <w:pPr>
              <w:pStyle w:val="TAL"/>
              <w:rPr>
                <w:lang w:eastAsia="en-US"/>
              </w:rPr>
            </w:pPr>
            <w:r w:rsidRPr="004D0DAA">
              <w:rPr>
                <w:lang w:eastAsia="en-US"/>
              </w:rPr>
              <w:t xml:space="preserve">(N+104) mod 2715648 </w:t>
            </w:r>
          </w:p>
          <w:p w14:paraId="0E5713AE" w14:textId="77777777" w:rsidR="00711444" w:rsidRPr="004D0DAA" w:rsidRDefault="00711444" w:rsidP="00AA2A4C">
            <w:pPr>
              <w:pStyle w:val="TAL"/>
              <w:rPr>
                <w:lang w:eastAsia="en-US"/>
              </w:rPr>
            </w:pPr>
            <w:r w:rsidRPr="004D0DAA">
              <w:rPr>
                <w:lang w:eastAsia="en-US"/>
              </w:rPr>
              <w:t>or</w:t>
            </w:r>
          </w:p>
          <w:p w14:paraId="3D9AB208" w14:textId="77777777" w:rsidR="00711444" w:rsidRPr="004D0DAA" w:rsidRDefault="00711444" w:rsidP="00AA2A4C">
            <w:pPr>
              <w:pStyle w:val="TAL"/>
              <w:rPr>
                <w:lang w:eastAsia="en-US"/>
              </w:rPr>
            </w:pPr>
            <w:r w:rsidRPr="004D0DAA">
              <w:rPr>
                <w:lang w:eastAsia="en-US"/>
              </w:rPr>
              <w:t xml:space="preserve">(N+108 or N+109) mod 2715648 </w:t>
            </w:r>
          </w:p>
          <w:p w14:paraId="72ACC31B" w14:textId="77777777" w:rsidR="00711444" w:rsidRPr="004D0DAA" w:rsidRDefault="00711444" w:rsidP="00AA2A4C">
            <w:pPr>
              <w:pStyle w:val="TAL"/>
              <w:rPr>
                <w:lang w:eastAsia="en-US"/>
              </w:rPr>
            </w:pPr>
            <w:r w:rsidRPr="004D0DAA">
              <w:rPr>
                <w:lang w:eastAsia="en-US"/>
              </w:rPr>
              <w:t>or</w:t>
            </w:r>
          </w:p>
          <w:p w14:paraId="68C5D9B8" w14:textId="77777777" w:rsidR="00711444" w:rsidRPr="004D0DAA" w:rsidRDefault="00711444" w:rsidP="00AA2A4C">
            <w:pPr>
              <w:pStyle w:val="TAL"/>
              <w:rPr>
                <w:lang w:eastAsia="en-US"/>
              </w:rPr>
            </w:pPr>
            <w:r w:rsidRPr="004D0DAA">
              <w:rPr>
                <w:lang w:eastAsia="en-US"/>
              </w:rPr>
              <w:t>(N+112 or N+113) mod 2715648</w:t>
            </w:r>
          </w:p>
        </w:tc>
        <w:tc>
          <w:tcPr>
            <w:tcW w:w="1375" w:type="dxa"/>
          </w:tcPr>
          <w:p w14:paraId="093E4BE0" w14:textId="77777777" w:rsidR="00711444" w:rsidRPr="004D0DAA" w:rsidRDefault="00711444" w:rsidP="00AA2A4C">
            <w:pPr>
              <w:pStyle w:val="TAL"/>
              <w:rPr>
                <w:lang w:eastAsia="en-US"/>
              </w:rPr>
            </w:pPr>
            <w:r w:rsidRPr="004D0DAA">
              <w:rPr>
                <w:lang w:eastAsia="en-US"/>
              </w:rPr>
              <w:t xml:space="preserve">(N+186 or N+187) mod 2715648 </w:t>
            </w:r>
          </w:p>
          <w:p w14:paraId="35F196A9" w14:textId="77777777" w:rsidR="00711444" w:rsidRPr="004D0DAA" w:rsidRDefault="00711444" w:rsidP="00AA2A4C">
            <w:pPr>
              <w:pStyle w:val="TAL"/>
              <w:rPr>
                <w:lang w:eastAsia="en-US"/>
              </w:rPr>
            </w:pPr>
            <w:r w:rsidRPr="004D0DAA">
              <w:rPr>
                <w:lang w:eastAsia="en-US"/>
              </w:rPr>
              <w:t xml:space="preserve">or </w:t>
            </w:r>
          </w:p>
          <w:p w14:paraId="102D9369" w14:textId="77777777" w:rsidR="00711444" w:rsidRPr="004D0DAA" w:rsidRDefault="00711444" w:rsidP="00AA2A4C">
            <w:pPr>
              <w:pStyle w:val="TAL"/>
              <w:rPr>
                <w:lang w:eastAsia="en-US"/>
              </w:rPr>
            </w:pPr>
            <w:r w:rsidRPr="004D0DAA">
              <w:rPr>
                <w:lang w:eastAsia="en-US"/>
              </w:rPr>
              <w:t>(N+190 or N+191) mod 2715648</w:t>
            </w:r>
          </w:p>
          <w:p w14:paraId="3F7CD798" w14:textId="77777777" w:rsidR="00711444" w:rsidRPr="004D0DAA" w:rsidRDefault="00711444" w:rsidP="00AA2A4C">
            <w:pPr>
              <w:pStyle w:val="TAL"/>
              <w:rPr>
                <w:lang w:eastAsia="en-US"/>
              </w:rPr>
            </w:pPr>
            <w:r w:rsidRPr="004D0DAA">
              <w:rPr>
                <w:lang w:eastAsia="en-US"/>
              </w:rPr>
              <w:t>or</w:t>
            </w:r>
          </w:p>
          <w:p w14:paraId="3367C1C1" w14:textId="77777777" w:rsidR="00711444" w:rsidRPr="004D0DAA" w:rsidRDefault="00711444" w:rsidP="00AA2A4C">
            <w:pPr>
              <w:pStyle w:val="TAL"/>
              <w:rPr>
                <w:lang w:eastAsia="en-US"/>
              </w:rPr>
            </w:pPr>
            <w:r w:rsidRPr="004D0DAA">
              <w:rPr>
                <w:lang w:eastAsia="en-US"/>
              </w:rPr>
              <w:t xml:space="preserve">(N+195) mod 2715648 </w:t>
            </w:r>
          </w:p>
          <w:p w14:paraId="2E80D34B" w14:textId="77777777" w:rsidR="00711444" w:rsidRPr="004D0DAA" w:rsidRDefault="00711444" w:rsidP="00AA2A4C">
            <w:pPr>
              <w:pStyle w:val="TAL"/>
              <w:rPr>
                <w:lang w:eastAsia="en-US"/>
              </w:rPr>
            </w:pPr>
            <w:r w:rsidRPr="004D0DAA">
              <w:rPr>
                <w:lang w:eastAsia="en-US"/>
              </w:rPr>
              <w:t>or</w:t>
            </w:r>
          </w:p>
          <w:p w14:paraId="1F36B758" w14:textId="77777777" w:rsidR="00711444" w:rsidRPr="004D0DAA" w:rsidRDefault="00711444" w:rsidP="00AA2A4C">
            <w:pPr>
              <w:pStyle w:val="TAL"/>
              <w:rPr>
                <w:lang w:eastAsia="en-US"/>
              </w:rPr>
            </w:pPr>
            <w:r w:rsidRPr="004D0DAA">
              <w:rPr>
                <w:lang w:eastAsia="en-US"/>
              </w:rPr>
              <w:t>(N+199 or N+200) mod 2715648</w:t>
            </w:r>
          </w:p>
          <w:p w14:paraId="11246F4E" w14:textId="77777777" w:rsidR="00711444" w:rsidRPr="004D0DAA" w:rsidRDefault="00711444" w:rsidP="00AA2A4C">
            <w:pPr>
              <w:pStyle w:val="TAL"/>
              <w:rPr>
                <w:lang w:eastAsia="en-US"/>
              </w:rPr>
            </w:pPr>
            <w:r w:rsidRPr="004D0DAA">
              <w:rPr>
                <w:lang w:eastAsia="en-US"/>
              </w:rPr>
              <w:t>or</w:t>
            </w:r>
          </w:p>
          <w:p w14:paraId="3DCECFFD" w14:textId="77777777" w:rsidR="00711444" w:rsidRPr="004D0DAA" w:rsidRDefault="00711444" w:rsidP="00AA2A4C">
            <w:pPr>
              <w:pStyle w:val="TAL"/>
              <w:rPr>
                <w:lang w:eastAsia="en-US"/>
              </w:rPr>
            </w:pPr>
            <w:r w:rsidRPr="004D0DAA">
              <w:rPr>
                <w:lang w:eastAsia="en-US"/>
              </w:rPr>
              <w:t xml:space="preserve">(N+203 or N+204) mod 2715648 </w:t>
            </w:r>
          </w:p>
          <w:p w14:paraId="420DEFC8" w14:textId="77777777" w:rsidR="00711444" w:rsidRPr="004D0DAA" w:rsidRDefault="00711444" w:rsidP="00AA2A4C">
            <w:pPr>
              <w:pStyle w:val="TAL"/>
              <w:rPr>
                <w:lang w:eastAsia="en-US"/>
              </w:rPr>
            </w:pPr>
            <w:r w:rsidRPr="004D0DAA">
              <w:rPr>
                <w:lang w:eastAsia="en-US"/>
              </w:rPr>
              <w:t>or</w:t>
            </w:r>
          </w:p>
          <w:p w14:paraId="2BB4A173" w14:textId="77777777" w:rsidR="00711444" w:rsidRPr="004D0DAA" w:rsidRDefault="00711444" w:rsidP="00AA2A4C">
            <w:pPr>
              <w:pStyle w:val="TAL"/>
              <w:rPr>
                <w:lang w:eastAsia="en-US"/>
              </w:rPr>
            </w:pPr>
            <w:r w:rsidRPr="004D0DAA">
              <w:rPr>
                <w:lang w:eastAsia="en-US"/>
              </w:rPr>
              <w:t xml:space="preserve">(N+208) mod 2715648 </w:t>
            </w:r>
          </w:p>
          <w:p w14:paraId="4BA291CB" w14:textId="77777777" w:rsidR="00711444" w:rsidRPr="004D0DAA" w:rsidRDefault="00711444" w:rsidP="00AA2A4C">
            <w:pPr>
              <w:pStyle w:val="TAL"/>
              <w:rPr>
                <w:lang w:eastAsia="en-US"/>
              </w:rPr>
            </w:pPr>
            <w:r w:rsidRPr="004D0DAA">
              <w:rPr>
                <w:lang w:eastAsia="en-US"/>
              </w:rPr>
              <w:t>or</w:t>
            </w:r>
          </w:p>
          <w:p w14:paraId="36BFEA7E" w14:textId="77777777" w:rsidR="00711444" w:rsidRPr="004D0DAA" w:rsidRDefault="00711444" w:rsidP="00AA2A4C">
            <w:pPr>
              <w:pStyle w:val="TAL"/>
              <w:rPr>
                <w:lang w:eastAsia="en-US"/>
              </w:rPr>
            </w:pPr>
            <w:r w:rsidRPr="004D0DAA">
              <w:rPr>
                <w:lang w:eastAsia="en-US"/>
              </w:rPr>
              <w:t xml:space="preserve">(N+212 or N+213) mod 2715648 </w:t>
            </w:r>
          </w:p>
          <w:p w14:paraId="7B93C421" w14:textId="77777777" w:rsidR="00711444" w:rsidRPr="004D0DAA" w:rsidRDefault="00711444" w:rsidP="00AA2A4C">
            <w:pPr>
              <w:pStyle w:val="TAL"/>
              <w:rPr>
                <w:lang w:eastAsia="en-US"/>
              </w:rPr>
            </w:pPr>
            <w:r w:rsidRPr="004D0DAA">
              <w:rPr>
                <w:lang w:eastAsia="en-US"/>
              </w:rPr>
              <w:t>or</w:t>
            </w:r>
          </w:p>
          <w:p w14:paraId="6ED81674" w14:textId="77777777" w:rsidR="00711444" w:rsidRPr="004D0DAA" w:rsidRDefault="00711444" w:rsidP="00AA2A4C">
            <w:pPr>
              <w:pStyle w:val="TAL"/>
              <w:rPr>
                <w:lang w:eastAsia="en-US"/>
              </w:rPr>
            </w:pPr>
            <w:r w:rsidRPr="004D0DAA">
              <w:rPr>
                <w:lang w:eastAsia="en-US"/>
              </w:rPr>
              <w:t>(N+216 or N+217) mod 2715648</w:t>
            </w:r>
          </w:p>
        </w:tc>
        <w:tc>
          <w:tcPr>
            <w:tcW w:w="1375" w:type="dxa"/>
          </w:tcPr>
          <w:p w14:paraId="72E252B4" w14:textId="77777777" w:rsidR="00711444" w:rsidRPr="004D0DAA" w:rsidRDefault="00711444" w:rsidP="00AA2A4C">
            <w:pPr>
              <w:pStyle w:val="TAL"/>
              <w:rPr>
                <w:lang w:eastAsia="en-US"/>
              </w:rPr>
            </w:pPr>
            <w:r w:rsidRPr="004D0DAA">
              <w:rPr>
                <w:lang w:eastAsia="en-US"/>
              </w:rPr>
              <w:t>Reserved</w:t>
            </w:r>
          </w:p>
        </w:tc>
        <w:tc>
          <w:tcPr>
            <w:tcW w:w="1375" w:type="dxa"/>
          </w:tcPr>
          <w:p w14:paraId="6F8BB940" w14:textId="77777777" w:rsidR="00711444" w:rsidRPr="004D0DAA" w:rsidRDefault="00711444" w:rsidP="00AA2A4C">
            <w:pPr>
              <w:pStyle w:val="TAL"/>
              <w:rPr>
                <w:lang w:eastAsia="en-US"/>
              </w:rPr>
            </w:pPr>
            <w:r w:rsidRPr="004D0DAA">
              <w:rPr>
                <w:lang w:eastAsia="en-US"/>
              </w:rPr>
              <w:t>Reserved</w:t>
            </w:r>
          </w:p>
        </w:tc>
      </w:tr>
      <w:tr w:rsidR="00711444" w:rsidRPr="004D0DAA" w14:paraId="6980802D" w14:textId="77777777" w:rsidTr="00AA2A4C">
        <w:trPr>
          <w:cantSplit/>
          <w:jc w:val="center"/>
        </w:trPr>
        <w:tc>
          <w:tcPr>
            <w:tcW w:w="1374" w:type="dxa"/>
          </w:tcPr>
          <w:p w14:paraId="0E6E2241" w14:textId="77777777" w:rsidR="00711444" w:rsidRPr="004D0DAA" w:rsidRDefault="00711444" w:rsidP="00AA2A4C">
            <w:pPr>
              <w:pStyle w:val="TAC"/>
              <w:rPr>
                <w:lang w:eastAsia="en-US"/>
              </w:rPr>
            </w:pPr>
            <w:r w:rsidRPr="004D0DAA">
              <w:rPr>
                <w:lang w:eastAsia="en-US"/>
              </w:rPr>
              <w:lastRenderedPageBreak/>
              <w:t>1 1 0</w:t>
            </w:r>
          </w:p>
        </w:tc>
        <w:tc>
          <w:tcPr>
            <w:tcW w:w="1375" w:type="dxa"/>
          </w:tcPr>
          <w:p w14:paraId="3224DB5A" w14:textId="77777777" w:rsidR="00711444" w:rsidRPr="004D0DAA" w:rsidRDefault="00711444" w:rsidP="00AA2A4C">
            <w:pPr>
              <w:pStyle w:val="TAL"/>
              <w:rPr>
                <w:lang w:eastAsia="en-US"/>
              </w:rPr>
            </w:pPr>
            <w:r w:rsidRPr="004D0DAA">
              <w:rPr>
                <w:lang w:eastAsia="en-US"/>
              </w:rPr>
              <w:t>(N+39) mod 2715648</w:t>
            </w:r>
          </w:p>
          <w:p w14:paraId="4AFFC6F7" w14:textId="77777777" w:rsidR="00711444" w:rsidRPr="004D0DAA" w:rsidRDefault="00711444" w:rsidP="00AA2A4C">
            <w:pPr>
              <w:pStyle w:val="TAL"/>
              <w:rPr>
                <w:lang w:eastAsia="en-US"/>
              </w:rPr>
            </w:pPr>
          </w:p>
        </w:tc>
        <w:tc>
          <w:tcPr>
            <w:tcW w:w="1375" w:type="dxa"/>
          </w:tcPr>
          <w:p w14:paraId="5180BF35" w14:textId="77777777" w:rsidR="00711444" w:rsidRPr="004D0DAA" w:rsidRDefault="00711444" w:rsidP="00AA2A4C">
            <w:pPr>
              <w:pStyle w:val="TAL"/>
              <w:rPr>
                <w:lang w:eastAsia="en-US"/>
              </w:rPr>
            </w:pPr>
            <w:r w:rsidRPr="004D0DAA">
              <w:rPr>
                <w:lang w:eastAsia="en-US"/>
              </w:rPr>
              <w:t>(N+65) mod 2715648</w:t>
            </w:r>
          </w:p>
          <w:p w14:paraId="5334270C" w14:textId="77777777" w:rsidR="00711444" w:rsidRPr="004D0DAA" w:rsidRDefault="00711444" w:rsidP="00AA2A4C">
            <w:pPr>
              <w:pStyle w:val="TAL"/>
              <w:rPr>
                <w:lang w:eastAsia="en-US"/>
              </w:rPr>
            </w:pPr>
            <w:r w:rsidRPr="004D0DAA">
              <w:rPr>
                <w:lang w:eastAsia="en-US"/>
              </w:rPr>
              <w:t>or</w:t>
            </w:r>
          </w:p>
          <w:p w14:paraId="12CAEC8D" w14:textId="77777777" w:rsidR="00711444" w:rsidRPr="004D0DAA" w:rsidRDefault="00711444" w:rsidP="00AA2A4C">
            <w:pPr>
              <w:pStyle w:val="TAL"/>
              <w:rPr>
                <w:lang w:eastAsia="en-US"/>
              </w:rPr>
            </w:pPr>
            <w:r w:rsidRPr="004D0DAA">
              <w:rPr>
                <w:lang w:eastAsia="en-US"/>
              </w:rPr>
              <w:t>(N+69 or N+70) mod 2715648</w:t>
            </w:r>
          </w:p>
        </w:tc>
        <w:tc>
          <w:tcPr>
            <w:tcW w:w="1374" w:type="dxa"/>
          </w:tcPr>
          <w:p w14:paraId="0DE19400" w14:textId="77777777" w:rsidR="00711444" w:rsidRPr="004D0DAA" w:rsidRDefault="00711444" w:rsidP="00AA2A4C">
            <w:pPr>
              <w:pStyle w:val="TAL"/>
              <w:rPr>
                <w:lang w:eastAsia="en-US"/>
              </w:rPr>
            </w:pPr>
            <w:r w:rsidRPr="004D0DAA">
              <w:rPr>
                <w:lang w:eastAsia="en-US"/>
              </w:rPr>
              <w:t xml:space="preserve">(N+117) mod 2715648 </w:t>
            </w:r>
          </w:p>
          <w:p w14:paraId="21F76F03" w14:textId="77777777" w:rsidR="00711444" w:rsidRPr="004D0DAA" w:rsidRDefault="00711444" w:rsidP="00AA2A4C">
            <w:pPr>
              <w:pStyle w:val="TAL"/>
              <w:rPr>
                <w:lang w:eastAsia="en-US"/>
              </w:rPr>
            </w:pPr>
            <w:r w:rsidRPr="004D0DAA">
              <w:rPr>
                <w:lang w:eastAsia="en-US"/>
              </w:rPr>
              <w:t>or</w:t>
            </w:r>
          </w:p>
          <w:p w14:paraId="2C6A839C" w14:textId="77777777" w:rsidR="00711444" w:rsidRPr="004D0DAA" w:rsidRDefault="00711444" w:rsidP="00AA2A4C">
            <w:pPr>
              <w:pStyle w:val="TAL"/>
              <w:rPr>
                <w:lang w:eastAsia="en-US"/>
              </w:rPr>
            </w:pPr>
            <w:r w:rsidRPr="004D0DAA">
              <w:rPr>
                <w:lang w:eastAsia="en-US"/>
              </w:rPr>
              <w:t xml:space="preserve">(N+121 or N+122) mod 2715648 </w:t>
            </w:r>
          </w:p>
          <w:p w14:paraId="0D47B005" w14:textId="77777777" w:rsidR="00711444" w:rsidRPr="004D0DAA" w:rsidRDefault="00711444" w:rsidP="00AA2A4C">
            <w:pPr>
              <w:pStyle w:val="TAL"/>
              <w:rPr>
                <w:lang w:eastAsia="en-US"/>
              </w:rPr>
            </w:pPr>
            <w:r w:rsidRPr="004D0DAA">
              <w:rPr>
                <w:lang w:eastAsia="en-US"/>
              </w:rPr>
              <w:t>or</w:t>
            </w:r>
          </w:p>
          <w:p w14:paraId="12387A13" w14:textId="77777777" w:rsidR="00711444" w:rsidRPr="004D0DAA" w:rsidRDefault="00711444" w:rsidP="00AA2A4C">
            <w:pPr>
              <w:pStyle w:val="TAL"/>
              <w:rPr>
                <w:lang w:eastAsia="en-US"/>
              </w:rPr>
            </w:pPr>
            <w:r w:rsidRPr="004D0DAA">
              <w:rPr>
                <w:lang w:eastAsia="en-US"/>
              </w:rPr>
              <w:t>(N+125 or N+126) mod 2715648</w:t>
            </w:r>
          </w:p>
          <w:p w14:paraId="1BAFDE9B" w14:textId="77777777" w:rsidR="00711444" w:rsidRPr="004D0DAA" w:rsidRDefault="00711444" w:rsidP="00AA2A4C">
            <w:pPr>
              <w:pStyle w:val="TAL"/>
              <w:rPr>
                <w:lang w:eastAsia="en-US"/>
              </w:rPr>
            </w:pPr>
            <w:r w:rsidRPr="004D0DAA">
              <w:rPr>
                <w:lang w:eastAsia="en-US"/>
              </w:rPr>
              <w:t>or</w:t>
            </w:r>
          </w:p>
          <w:p w14:paraId="44FBA086" w14:textId="77777777" w:rsidR="00711444" w:rsidRPr="004D0DAA" w:rsidRDefault="00711444" w:rsidP="00AA2A4C">
            <w:pPr>
              <w:pStyle w:val="TAL"/>
              <w:rPr>
                <w:lang w:eastAsia="en-US"/>
              </w:rPr>
            </w:pPr>
            <w:r w:rsidRPr="004D0DAA">
              <w:rPr>
                <w:lang w:eastAsia="en-US"/>
              </w:rPr>
              <w:t>(N+130) mod 2715648</w:t>
            </w:r>
          </w:p>
        </w:tc>
        <w:tc>
          <w:tcPr>
            <w:tcW w:w="1375" w:type="dxa"/>
          </w:tcPr>
          <w:p w14:paraId="044A01B6" w14:textId="77777777" w:rsidR="00711444" w:rsidRPr="004D0DAA" w:rsidRDefault="00711444" w:rsidP="00AA2A4C">
            <w:pPr>
              <w:pStyle w:val="TAL"/>
              <w:rPr>
                <w:lang w:eastAsia="en-US"/>
              </w:rPr>
            </w:pPr>
            <w:r w:rsidRPr="004D0DAA">
              <w:rPr>
                <w:lang w:eastAsia="en-US"/>
              </w:rPr>
              <w:t xml:space="preserve">(N+221) mod 2715648 </w:t>
            </w:r>
          </w:p>
          <w:p w14:paraId="26304C1B" w14:textId="77777777" w:rsidR="00711444" w:rsidRPr="004D0DAA" w:rsidRDefault="00711444" w:rsidP="00AA2A4C">
            <w:pPr>
              <w:pStyle w:val="TAL"/>
              <w:rPr>
                <w:lang w:eastAsia="en-US"/>
              </w:rPr>
            </w:pPr>
            <w:r w:rsidRPr="004D0DAA">
              <w:rPr>
                <w:lang w:eastAsia="en-US"/>
              </w:rPr>
              <w:t>or</w:t>
            </w:r>
          </w:p>
          <w:p w14:paraId="25E46900" w14:textId="77777777" w:rsidR="00711444" w:rsidRPr="004D0DAA" w:rsidRDefault="00711444" w:rsidP="00AA2A4C">
            <w:pPr>
              <w:pStyle w:val="TAL"/>
              <w:rPr>
                <w:lang w:eastAsia="en-US"/>
              </w:rPr>
            </w:pPr>
            <w:r w:rsidRPr="004D0DAA">
              <w:rPr>
                <w:lang w:eastAsia="en-US"/>
              </w:rPr>
              <w:t xml:space="preserve">(N+225 or N+226) mod 2715648 </w:t>
            </w:r>
          </w:p>
          <w:p w14:paraId="469CD986" w14:textId="77777777" w:rsidR="00711444" w:rsidRPr="004D0DAA" w:rsidRDefault="00711444" w:rsidP="00AA2A4C">
            <w:pPr>
              <w:pStyle w:val="TAL"/>
              <w:rPr>
                <w:lang w:eastAsia="en-US"/>
              </w:rPr>
            </w:pPr>
            <w:r w:rsidRPr="004D0DAA">
              <w:rPr>
                <w:lang w:eastAsia="en-US"/>
              </w:rPr>
              <w:t>or</w:t>
            </w:r>
          </w:p>
          <w:p w14:paraId="0A51D02F" w14:textId="77777777" w:rsidR="00711444" w:rsidRPr="004D0DAA" w:rsidRDefault="00711444" w:rsidP="00AA2A4C">
            <w:pPr>
              <w:pStyle w:val="TAL"/>
              <w:rPr>
                <w:lang w:eastAsia="en-US"/>
              </w:rPr>
            </w:pPr>
            <w:r w:rsidRPr="004D0DAA">
              <w:rPr>
                <w:lang w:eastAsia="en-US"/>
              </w:rPr>
              <w:t>(N+229 or N+230) mod 2715648</w:t>
            </w:r>
          </w:p>
          <w:p w14:paraId="7FAC6121" w14:textId="77777777" w:rsidR="00711444" w:rsidRPr="004D0DAA" w:rsidRDefault="00711444" w:rsidP="00AA2A4C">
            <w:pPr>
              <w:pStyle w:val="TAL"/>
              <w:rPr>
                <w:lang w:eastAsia="en-US"/>
              </w:rPr>
            </w:pPr>
            <w:r w:rsidRPr="004D0DAA">
              <w:rPr>
                <w:lang w:eastAsia="en-US"/>
              </w:rPr>
              <w:t>or</w:t>
            </w:r>
          </w:p>
          <w:p w14:paraId="131728D3" w14:textId="77777777" w:rsidR="00711444" w:rsidRPr="004D0DAA" w:rsidRDefault="00711444" w:rsidP="00AA2A4C">
            <w:pPr>
              <w:pStyle w:val="TAL"/>
              <w:rPr>
                <w:lang w:eastAsia="en-US"/>
              </w:rPr>
            </w:pPr>
            <w:r w:rsidRPr="004D0DAA">
              <w:rPr>
                <w:lang w:eastAsia="en-US"/>
              </w:rPr>
              <w:t>(N+234) mod 2715648</w:t>
            </w:r>
          </w:p>
          <w:p w14:paraId="7A85E79D" w14:textId="77777777" w:rsidR="00711444" w:rsidRPr="004D0DAA" w:rsidRDefault="00711444" w:rsidP="00AA2A4C">
            <w:pPr>
              <w:pStyle w:val="TAL"/>
              <w:rPr>
                <w:lang w:eastAsia="en-US"/>
              </w:rPr>
            </w:pPr>
            <w:r w:rsidRPr="004D0DAA">
              <w:rPr>
                <w:lang w:eastAsia="en-US"/>
              </w:rPr>
              <w:t>or</w:t>
            </w:r>
          </w:p>
          <w:p w14:paraId="7E135E61" w14:textId="77777777" w:rsidR="00711444" w:rsidRPr="004D0DAA" w:rsidRDefault="00711444" w:rsidP="00AA2A4C">
            <w:pPr>
              <w:pStyle w:val="TAL"/>
              <w:rPr>
                <w:lang w:eastAsia="en-US"/>
              </w:rPr>
            </w:pPr>
            <w:r w:rsidRPr="004D0DAA">
              <w:rPr>
                <w:lang w:eastAsia="en-US"/>
              </w:rPr>
              <w:t xml:space="preserve">(N+238 or N+239) mod 2715648 </w:t>
            </w:r>
          </w:p>
          <w:p w14:paraId="4818A241" w14:textId="77777777" w:rsidR="00711444" w:rsidRPr="004D0DAA" w:rsidRDefault="00711444" w:rsidP="00AA2A4C">
            <w:pPr>
              <w:pStyle w:val="TAL"/>
              <w:rPr>
                <w:lang w:eastAsia="en-US"/>
              </w:rPr>
            </w:pPr>
            <w:r w:rsidRPr="004D0DAA">
              <w:rPr>
                <w:lang w:eastAsia="en-US"/>
              </w:rPr>
              <w:t>or</w:t>
            </w:r>
          </w:p>
          <w:p w14:paraId="74156A8E" w14:textId="77777777" w:rsidR="00711444" w:rsidRPr="004D0DAA" w:rsidRDefault="00711444" w:rsidP="00AA2A4C">
            <w:pPr>
              <w:pStyle w:val="TAL"/>
              <w:rPr>
                <w:lang w:eastAsia="en-US"/>
              </w:rPr>
            </w:pPr>
            <w:r w:rsidRPr="004D0DAA">
              <w:rPr>
                <w:lang w:eastAsia="en-US"/>
              </w:rPr>
              <w:t xml:space="preserve">(N+242 or N+243) mod 2715648 </w:t>
            </w:r>
          </w:p>
          <w:p w14:paraId="74A5CCB5" w14:textId="77777777" w:rsidR="00711444" w:rsidRPr="004D0DAA" w:rsidRDefault="00711444" w:rsidP="00AA2A4C">
            <w:pPr>
              <w:pStyle w:val="TAL"/>
              <w:rPr>
                <w:lang w:eastAsia="en-US"/>
              </w:rPr>
            </w:pPr>
            <w:r w:rsidRPr="004D0DAA">
              <w:rPr>
                <w:lang w:eastAsia="en-US"/>
              </w:rPr>
              <w:t>or</w:t>
            </w:r>
          </w:p>
          <w:p w14:paraId="17AB372A" w14:textId="77777777" w:rsidR="00711444" w:rsidRPr="004D0DAA" w:rsidRDefault="00711444" w:rsidP="00AA2A4C">
            <w:pPr>
              <w:pStyle w:val="TAL"/>
              <w:rPr>
                <w:lang w:eastAsia="en-US"/>
              </w:rPr>
            </w:pPr>
            <w:r w:rsidRPr="004D0DAA">
              <w:rPr>
                <w:lang w:eastAsia="en-US"/>
              </w:rPr>
              <w:t>(N+247) mod 2715648</w:t>
            </w:r>
          </w:p>
          <w:p w14:paraId="1E700008" w14:textId="77777777" w:rsidR="00711444" w:rsidRPr="004D0DAA" w:rsidRDefault="00711444" w:rsidP="00AA2A4C">
            <w:pPr>
              <w:pStyle w:val="TAL"/>
              <w:rPr>
                <w:lang w:eastAsia="en-US"/>
              </w:rPr>
            </w:pPr>
            <w:r w:rsidRPr="004D0DAA">
              <w:rPr>
                <w:lang w:eastAsia="en-US"/>
              </w:rPr>
              <w:t>or</w:t>
            </w:r>
          </w:p>
          <w:p w14:paraId="49BDE81B" w14:textId="77777777" w:rsidR="00711444" w:rsidRPr="004D0DAA" w:rsidRDefault="00711444" w:rsidP="00AA2A4C">
            <w:pPr>
              <w:pStyle w:val="TAL"/>
              <w:rPr>
                <w:lang w:eastAsia="en-US"/>
              </w:rPr>
            </w:pPr>
            <w:r w:rsidRPr="004D0DAA">
              <w:rPr>
                <w:lang w:eastAsia="en-US"/>
              </w:rPr>
              <w:t>(N+251 or N+252) mod 2715648</w:t>
            </w:r>
          </w:p>
        </w:tc>
        <w:tc>
          <w:tcPr>
            <w:tcW w:w="1375" w:type="dxa"/>
          </w:tcPr>
          <w:p w14:paraId="157E2C4D" w14:textId="77777777" w:rsidR="00711444" w:rsidRPr="004D0DAA" w:rsidRDefault="00711444" w:rsidP="00AA2A4C">
            <w:pPr>
              <w:pStyle w:val="TAL"/>
              <w:rPr>
                <w:lang w:eastAsia="en-US"/>
              </w:rPr>
            </w:pPr>
            <w:r w:rsidRPr="004D0DAA">
              <w:rPr>
                <w:lang w:eastAsia="en-US"/>
              </w:rPr>
              <w:t>Reserved</w:t>
            </w:r>
          </w:p>
        </w:tc>
        <w:tc>
          <w:tcPr>
            <w:tcW w:w="1375" w:type="dxa"/>
          </w:tcPr>
          <w:p w14:paraId="24764D4E" w14:textId="77777777" w:rsidR="00711444" w:rsidRPr="004D0DAA" w:rsidRDefault="00711444" w:rsidP="00AA2A4C">
            <w:pPr>
              <w:pStyle w:val="TAL"/>
              <w:rPr>
                <w:lang w:eastAsia="en-US"/>
              </w:rPr>
            </w:pPr>
            <w:r w:rsidRPr="004D0DAA">
              <w:rPr>
                <w:lang w:eastAsia="en-US"/>
              </w:rPr>
              <w:t>Reserved</w:t>
            </w:r>
          </w:p>
        </w:tc>
      </w:tr>
      <w:tr w:rsidR="00711444" w:rsidRPr="004D0DAA" w14:paraId="2EE38312" w14:textId="77777777" w:rsidTr="00AA2A4C">
        <w:trPr>
          <w:cantSplit/>
          <w:jc w:val="center"/>
        </w:trPr>
        <w:tc>
          <w:tcPr>
            <w:tcW w:w="1374" w:type="dxa"/>
          </w:tcPr>
          <w:p w14:paraId="01C22C32" w14:textId="77777777" w:rsidR="00711444" w:rsidRPr="004D0DAA" w:rsidRDefault="00711444" w:rsidP="00AA2A4C">
            <w:pPr>
              <w:pStyle w:val="TAC"/>
              <w:rPr>
                <w:lang w:eastAsia="en-US"/>
              </w:rPr>
            </w:pPr>
            <w:r w:rsidRPr="004D0DAA">
              <w:rPr>
                <w:lang w:eastAsia="en-US"/>
              </w:rPr>
              <w:t>1 1 1</w:t>
            </w:r>
          </w:p>
        </w:tc>
        <w:tc>
          <w:tcPr>
            <w:tcW w:w="1375" w:type="dxa"/>
          </w:tcPr>
          <w:p w14:paraId="11263895" w14:textId="77777777" w:rsidR="00711444" w:rsidRPr="004D0DAA" w:rsidRDefault="00711444" w:rsidP="00AA2A4C">
            <w:pPr>
              <w:pStyle w:val="TAL"/>
              <w:rPr>
                <w:lang w:eastAsia="en-US"/>
              </w:rPr>
            </w:pPr>
            <w:r w:rsidRPr="004D0DAA">
              <w:rPr>
                <w:lang w:eastAsia="en-US"/>
              </w:rPr>
              <w:t xml:space="preserve"> (N+43 or N+44) mod 2715648</w:t>
            </w:r>
          </w:p>
        </w:tc>
        <w:tc>
          <w:tcPr>
            <w:tcW w:w="1375" w:type="dxa"/>
          </w:tcPr>
          <w:p w14:paraId="02556B60" w14:textId="77777777" w:rsidR="00711444" w:rsidRPr="004D0DAA" w:rsidRDefault="00711444" w:rsidP="00AA2A4C">
            <w:pPr>
              <w:pStyle w:val="TAL"/>
              <w:rPr>
                <w:lang w:eastAsia="en-US"/>
              </w:rPr>
            </w:pPr>
            <w:r w:rsidRPr="004D0DAA">
              <w:rPr>
                <w:lang w:eastAsia="en-US"/>
              </w:rPr>
              <w:t>(N+73 or N+74) mod 2715648</w:t>
            </w:r>
          </w:p>
          <w:p w14:paraId="2204F1AE" w14:textId="77777777" w:rsidR="00711444" w:rsidRPr="004D0DAA" w:rsidRDefault="00711444" w:rsidP="00AA2A4C">
            <w:pPr>
              <w:pStyle w:val="TAL"/>
              <w:rPr>
                <w:lang w:eastAsia="en-US"/>
              </w:rPr>
            </w:pPr>
            <w:r w:rsidRPr="004D0DAA">
              <w:rPr>
                <w:lang w:eastAsia="en-US"/>
              </w:rPr>
              <w:t>or</w:t>
            </w:r>
          </w:p>
          <w:p w14:paraId="32B875B5" w14:textId="77777777" w:rsidR="00711444" w:rsidRPr="004D0DAA" w:rsidRDefault="00711444" w:rsidP="00AA2A4C">
            <w:pPr>
              <w:pStyle w:val="TAL"/>
              <w:rPr>
                <w:lang w:eastAsia="en-US"/>
              </w:rPr>
            </w:pPr>
            <w:r w:rsidRPr="004D0DAA">
              <w:rPr>
                <w:lang w:eastAsia="en-US"/>
              </w:rPr>
              <w:t>(N+78) mod 2715648</w:t>
            </w:r>
          </w:p>
        </w:tc>
        <w:tc>
          <w:tcPr>
            <w:tcW w:w="1374" w:type="dxa"/>
          </w:tcPr>
          <w:p w14:paraId="698874E5" w14:textId="77777777" w:rsidR="00711444" w:rsidRPr="004D0DAA" w:rsidRDefault="00711444" w:rsidP="00AA2A4C">
            <w:pPr>
              <w:pStyle w:val="TAL"/>
              <w:rPr>
                <w:lang w:eastAsia="en-US"/>
              </w:rPr>
            </w:pPr>
            <w:r w:rsidRPr="004D0DAA">
              <w:rPr>
                <w:lang w:eastAsia="en-US"/>
              </w:rPr>
              <w:t xml:space="preserve">(N+134 or N+135) mod 2715648 </w:t>
            </w:r>
          </w:p>
          <w:p w14:paraId="32F974B8" w14:textId="77777777" w:rsidR="00711444" w:rsidRPr="004D0DAA" w:rsidRDefault="00711444" w:rsidP="00AA2A4C">
            <w:pPr>
              <w:pStyle w:val="TAL"/>
              <w:rPr>
                <w:lang w:eastAsia="en-US"/>
              </w:rPr>
            </w:pPr>
            <w:r w:rsidRPr="004D0DAA">
              <w:rPr>
                <w:lang w:eastAsia="en-US"/>
              </w:rPr>
              <w:t>or</w:t>
            </w:r>
          </w:p>
          <w:p w14:paraId="26FF9687" w14:textId="77777777" w:rsidR="00711444" w:rsidRPr="004D0DAA" w:rsidRDefault="00711444" w:rsidP="00AA2A4C">
            <w:pPr>
              <w:pStyle w:val="TAL"/>
              <w:rPr>
                <w:lang w:eastAsia="en-US"/>
              </w:rPr>
            </w:pPr>
            <w:r w:rsidRPr="004D0DAA">
              <w:rPr>
                <w:lang w:eastAsia="en-US"/>
              </w:rPr>
              <w:t xml:space="preserve">(N+138 or N+139) mod 2715648 </w:t>
            </w:r>
          </w:p>
          <w:p w14:paraId="363E9129" w14:textId="77777777" w:rsidR="00711444" w:rsidRPr="004D0DAA" w:rsidRDefault="00711444" w:rsidP="00AA2A4C">
            <w:pPr>
              <w:pStyle w:val="TAL"/>
              <w:rPr>
                <w:lang w:eastAsia="en-US"/>
              </w:rPr>
            </w:pPr>
            <w:r w:rsidRPr="004D0DAA">
              <w:rPr>
                <w:lang w:eastAsia="en-US"/>
              </w:rPr>
              <w:t>or</w:t>
            </w:r>
          </w:p>
          <w:p w14:paraId="19539CC0" w14:textId="77777777" w:rsidR="00711444" w:rsidRPr="004D0DAA" w:rsidRDefault="00711444" w:rsidP="00AA2A4C">
            <w:pPr>
              <w:pStyle w:val="TAL"/>
              <w:rPr>
                <w:lang w:eastAsia="en-US"/>
              </w:rPr>
            </w:pPr>
            <w:r w:rsidRPr="004D0DAA">
              <w:rPr>
                <w:lang w:eastAsia="en-US"/>
              </w:rPr>
              <w:t>(N+143) mod 2715648</w:t>
            </w:r>
          </w:p>
          <w:p w14:paraId="37B136D6" w14:textId="77777777" w:rsidR="00711444" w:rsidRPr="004D0DAA" w:rsidRDefault="00711444" w:rsidP="00AA2A4C">
            <w:pPr>
              <w:pStyle w:val="TAL"/>
              <w:rPr>
                <w:lang w:eastAsia="en-US"/>
              </w:rPr>
            </w:pPr>
            <w:r w:rsidRPr="004D0DAA">
              <w:rPr>
                <w:lang w:eastAsia="en-US"/>
              </w:rPr>
              <w:t>or</w:t>
            </w:r>
          </w:p>
          <w:p w14:paraId="2491755A" w14:textId="77777777" w:rsidR="00711444" w:rsidRPr="004D0DAA" w:rsidRDefault="00711444" w:rsidP="00AA2A4C">
            <w:pPr>
              <w:pStyle w:val="TAL"/>
              <w:rPr>
                <w:lang w:eastAsia="en-US"/>
              </w:rPr>
            </w:pPr>
            <w:r w:rsidRPr="004D0DAA">
              <w:rPr>
                <w:lang w:eastAsia="en-US"/>
              </w:rPr>
              <w:t>(N+147 or N+148) mod 2715648</w:t>
            </w:r>
          </w:p>
        </w:tc>
        <w:tc>
          <w:tcPr>
            <w:tcW w:w="1375" w:type="dxa"/>
          </w:tcPr>
          <w:p w14:paraId="7B4FCDB7" w14:textId="77777777" w:rsidR="00711444" w:rsidRPr="004D0DAA" w:rsidRDefault="00711444" w:rsidP="00AA2A4C">
            <w:pPr>
              <w:pStyle w:val="TAL"/>
              <w:rPr>
                <w:lang w:eastAsia="en-US"/>
              </w:rPr>
            </w:pPr>
            <w:r w:rsidRPr="004D0DAA">
              <w:rPr>
                <w:lang w:eastAsia="en-US"/>
              </w:rPr>
              <w:t xml:space="preserve">(N+255 or N+256) mod 2715648 </w:t>
            </w:r>
          </w:p>
          <w:p w14:paraId="3F93E562" w14:textId="77777777" w:rsidR="00711444" w:rsidRPr="004D0DAA" w:rsidRDefault="00711444" w:rsidP="00AA2A4C">
            <w:pPr>
              <w:pStyle w:val="TAL"/>
              <w:rPr>
                <w:lang w:eastAsia="en-US"/>
              </w:rPr>
            </w:pPr>
            <w:r w:rsidRPr="004D0DAA">
              <w:rPr>
                <w:lang w:eastAsia="en-US"/>
              </w:rPr>
              <w:t>or</w:t>
            </w:r>
          </w:p>
          <w:p w14:paraId="27D3BCD7" w14:textId="77777777" w:rsidR="00711444" w:rsidRPr="004D0DAA" w:rsidRDefault="00711444" w:rsidP="00AA2A4C">
            <w:pPr>
              <w:pStyle w:val="TAL"/>
              <w:rPr>
                <w:lang w:eastAsia="en-US"/>
              </w:rPr>
            </w:pPr>
            <w:r w:rsidRPr="004D0DAA">
              <w:rPr>
                <w:lang w:eastAsia="en-US"/>
              </w:rPr>
              <w:t xml:space="preserve">(N+260) mod 2715648 </w:t>
            </w:r>
          </w:p>
          <w:p w14:paraId="01004E97" w14:textId="77777777" w:rsidR="00711444" w:rsidRPr="004D0DAA" w:rsidRDefault="00711444" w:rsidP="00AA2A4C">
            <w:pPr>
              <w:pStyle w:val="TAL"/>
              <w:rPr>
                <w:lang w:eastAsia="en-US"/>
              </w:rPr>
            </w:pPr>
            <w:r w:rsidRPr="004D0DAA">
              <w:rPr>
                <w:lang w:eastAsia="en-US"/>
              </w:rPr>
              <w:t>or</w:t>
            </w:r>
          </w:p>
          <w:p w14:paraId="03D3991A" w14:textId="77777777" w:rsidR="00711444" w:rsidRPr="004D0DAA" w:rsidRDefault="00711444" w:rsidP="00AA2A4C">
            <w:pPr>
              <w:pStyle w:val="TAL"/>
              <w:rPr>
                <w:lang w:eastAsia="en-US"/>
              </w:rPr>
            </w:pPr>
            <w:r w:rsidRPr="004D0DAA">
              <w:rPr>
                <w:lang w:eastAsia="en-US"/>
              </w:rPr>
              <w:t>(N+264 or N+265) mod 2715648</w:t>
            </w:r>
          </w:p>
          <w:p w14:paraId="67A52E4B" w14:textId="77777777" w:rsidR="00711444" w:rsidRPr="004D0DAA" w:rsidRDefault="00711444" w:rsidP="00AA2A4C">
            <w:pPr>
              <w:pStyle w:val="TAL"/>
              <w:rPr>
                <w:lang w:eastAsia="en-US"/>
              </w:rPr>
            </w:pPr>
            <w:r w:rsidRPr="004D0DAA">
              <w:rPr>
                <w:lang w:eastAsia="en-US"/>
              </w:rPr>
              <w:t>or</w:t>
            </w:r>
          </w:p>
          <w:p w14:paraId="46EDF342" w14:textId="77777777" w:rsidR="00711444" w:rsidRPr="004D0DAA" w:rsidRDefault="00711444" w:rsidP="00AA2A4C">
            <w:pPr>
              <w:pStyle w:val="TAL"/>
              <w:rPr>
                <w:lang w:eastAsia="en-US"/>
              </w:rPr>
            </w:pPr>
            <w:r w:rsidRPr="004D0DAA">
              <w:rPr>
                <w:lang w:eastAsia="en-US"/>
              </w:rPr>
              <w:t>(N+268 or N+269) mod 2715648</w:t>
            </w:r>
          </w:p>
          <w:p w14:paraId="3199F6CE" w14:textId="77777777" w:rsidR="00711444" w:rsidRPr="004D0DAA" w:rsidRDefault="00711444" w:rsidP="00AA2A4C">
            <w:pPr>
              <w:pStyle w:val="TAL"/>
              <w:rPr>
                <w:lang w:eastAsia="en-US"/>
              </w:rPr>
            </w:pPr>
            <w:r w:rsidRPr="004D0DAA">
              <w:rPr>
                <w:lang w:eastAsia="en-US"/>
              </w:rPr>
              <w:t>or</w:t>
            </w:r>
          </w:p>
          <w:p w14:paraId="7A9E0FC7" w14:textId="77777777" w:rsidR="00711444" w:rsidRPr="004D0DAA" w:rsidRDefault="00711444" w:rsidP="00AA2A4C">
            <w:pPr>
              <w:pStyle w:val="TAL"/>
              <w:rPr>
                <w:lang w:eastAsia="en-US"/>
              </w:rPr>
            </w:pPr>
            <w:r w:rsidRPr="004D0DAA">
              <w:rPr>
                <w:lang w:eastAsia="en-US"/>
              </w:rPr>
              <w:t xml:space="preserve">(N+273) mod 2715648 </w:t>
            </w:r>
          </w:p>
          <w:p w14:paraId="1CD0486C" w14:textId="77777777" w:rsidR="00711444" w:rsidRPr="004D0DAA" w:rsidRDefault="00711444" w:rsidP="00AA2A4C">
            <w:pPr>
              <w:pStyle w:val="TAL"/>
              <w:rPr>
                <w:lang w:eastAsia="en-US"/>
              </w:rPr>
            </w:pPr>
            <w:r w:rsidRPr="004D0DAA">
              <w:rPr>
                <w:lang w:eastAsia="en-US"/>
              </w:rPr>
              <w:t>or</w:t>
            </w:r>
          </w:p>
          <w:p w14:paraId="7D7705E9" w14:textId="77777777" w:rsidR="00711444" w:rsidRPr="004D0DAA" w:rsidRDefault="00711444" w:rsidP="00AA2A4C">
            <w:pPr>
              <w:pStyle w:val="TAL"/>
              <w:rPr>
                <w:lang w:eastAsia="en-US"/>
              </w:rPr>
            </w:pPr>
            <w:r w:rsidRPr="004D0DAA">
              <w:rPr>
                <w:lang w:eastAsia="en-US"/>
              </w:rPr>
              <w:t xml:space="preserve">(N+277 or N+278) mod 2715648 </w:t>
            </w:r>
          </w:p>
          <w:p w14:paraId="5A2AC211" w14:textId="77777777" w:rsidR="00711444" w:rsidRPr="004D0DAA" w:rsidRDefault="00711444" w:rsidP="00AA2A4C">
            <w:pPr>
              <w:pStyle w:val="TAL"/>
              <w:rPr>
                <w:lang w:eastAsia="en-US"/>
              </w:rPr>
            </w:pPr>
            <w:r w:rsidRPr="004D0DAA">
              <w:rPr>
                <w:lang w:eastAsia="en-US"/>
              </w:rPr>
              <w:t>or</w:t>
            </w:r>
          </w:p>
          <w:p w14:paraId="3563DAEC" w14:textId="77777777" w:rsidR="00711444" w:rsidRPr="004D0DAA" w:rsidRDefault="00711444" w:rsidP="00AA2A4C">
            <w:pPr>
              <w:pStyle w:val="TAL"/>
              <w:rPr>
                <w:lang w:eastAsia="en-US"/>
              </w:rPr>
            </w:pPr>
            <w:r w:rsidRPr="004D0DAA">
              <w:rPr>
                <w:lang w:eastAsia="en-US"/>
              </w:rPr>
              <w:t>(N+281 or N+282) mod 2715648</w:t>
            </w:r>
          </w:p>
          <w:p w14:paraId="52D253EB" w14:textId="77777777" w:rsidR="00711444" w:rsidRPr="004D0DAA" w:rsidRDefault="00711444" w:rsidP="00AA2A4C">
            <w:pPr>
              <w:pStyle w:val="TAL"/>
              <w:rPr>
                <w:lang w:eastAsia="en-US"/>
              </w:rPr>
            </w:pPr>
            <w:r w:rsidRPr="004D0DAA">
              <w:rPr>
                <w:lang w:eastAsia="en-US"/>
              </w:rPr>
              <w:t>or</w:t>
            </w:r>
          </w:p>
          <w:p w14:paraId="69EA4372" w14:textId="77777777" w:rsidR="00711444" w:rsidRPr="004D0DAA" w:rsidRDefault="00711444" w:rsidP="00AA2A4C">
            <w:pPr>
              <w:pStyle w:val="TAL"/>
              <w:rPr>
                <w:lang w:eastAsia="en-US"/>
              </w:rPr>
            </w:pPr>
            <w:r w:rsidRPr="004D0DAA">
              <w:rPr>
                <w:lang w:eastAsia="en-US"/>
              </w:rPr>
              <w:t>(N+286) mod 2715648</w:t>
            </w:r>
          </w:p>
        </w:tc>
        <w:tc>
          <w:tcPr>
            <w:tcW w:w="1375" w:type="dxa"/>
          </w:tcPr>
          <w:p w14:paraId="5B2A6DE4" w14:textId="77777777" w:rsidR="00711444" w:rsidRPr="004D0DAA" w:rsidRDefault="00711444" w:rsidP="00AA2A4C">
            <w:pPr>
              <w:pStyle w:val="TAL"/>
              <w:rPr>
                <w:lang w:eastAsia="en-US"/>
              </w:rPr>
            </w:pPr>
            <w:r w:rsidRPr="004D0DAA">
              <w:rPr>
                <w:lang w:eastAsia="en-US"/>
              </w:rPr>
              <w:t>Reserved</w:t>
            </w:r>
          </w:p>
        </w:tc>
        <w:tc>
          <w:tcPr>
            <w:tcW w:w="1375" w:type="dxa"/>
          </w:tcPr>
          <w:p w14:paraId="05C698E0" w14:textId="77777777" w:rsidR="00711444" w:rsidRPr="004D0DAA" w:rsidRDefault="00711444" w:rsidP="00AA2A4C">
            <w:pPr>
              <w:pStyle w:val="TAL"/>
              <w:rPr>
                <w:lang w:eastAsia="en-US"/>
              </w:rPr>
            </w:pPr>
            <w:r w:rsidRPr="004D0DAA">
              <w:rPr>
                <w:lang w:eastAsia="en-US"/>
              </w:rPr>
              <w:t>Reserved</w:t>
            </w:r>
          </w:p>
        </w:tc>
      </w:tr>
      <w:tr w:rsidR="00711444" w:rsidRPr="004D0DAA" w14:paraId="4318DAF7" w14:textId="77777777" w:rsidTr="00AA2A4C">
        <w:trPr>
          <w:cantSplit/>
          <w:jc w:val="center"/>
        </w:trPr>
        <w:tc>
          <w:tcPr>
            <w:tcW w:w="9623" w:type="dxa"/>
            <w:gridSpan w:val="7"/>
          </w:tcPr>
          <w:p w14:paraId="69281E22" w14:textId="77777777" w:rsidR="00711444" w:rsidRPr="004D0DAA" w:rsidRDefault="00711444" w:rsidP="00AA2A4C">
            <w:pPr>
              <w:pStyle w:val="TAL"/>
              <w:rPr>
                <w:lang w:eastAsia="ko-KR"/>
              </w:rPr>
            </w:pPr>
            <w:r w:rsidRPr="004D0DAA">
              <w:rPr>
                <w:rFonts w:hint="eastAsia"/>
                <w:lang w:eastAsia="ko-KR"/>
              </w:rPr>
              <w:t>NOTE:</w:t>
            </w:r>
            <w:r w:rsidRPr="004D0DAA">
              <w:rPr>
                <w:lang w:eastAsia="en-US"/>
              </w:rPr>
              <w:t xml:space="preserve"> </w:t>
            </w:r>
            <w:r w:rsidRPr="004D0DAA">
              <w:rPr>
                <w:lang w:eastAsia="en-US"/>
              </w:rPr>
              <w:tab/>
              <w:t xml:space="preserve">Each RRBP value in </w:t>
            </w:r>
            <w:r w:rsidRPr="004D0DAA">
              <w:rPr>
                <w:lang w:eastAsia="ko-KR"/>
              </w:rPr>
              <w:t xml:space="preserve">Table </w:t>
            </w:r>
            <w:r w:rsidRPr="004D0DAA">
              <w:rPr>
                <w:lang w:eastAsia="en-US"/>
              </w:rPr>
              <w:t>10.4.5.5 will assign only one valid uplink block given the downlink coverage class used, i.e. when the poll is received, and the uplink coverage class used. See 3GPP TS 45.002 [13] for the coverage class dependent channel mappings. The code points which indicates Reserved are not intended to be used.</w:t>
            </w:r>
          </w:p>
        </w:tc>
      </w:tr>
    </w:tbl>
    <w:p w14:paraId="2B94FCB0" w14:textId="77777777" w:rsidR="00711444" w:rsidRPr="004D0DAA" w:rsidRDefault="00711444" w:rsidP="00711444"/>
    <w:p w14:paraId="0DAEC64E" w14:textId="77777777" w:rsidR="00711444" w:rsidRPr="004D0DAA" w:rsidRDefault="00711444" w:rsidP="00711444">
      <w:r w:rsidRPr="004D0DAA">
        <w:t>For EC TBFs, Table 10.4.5.6 specifies the coding of the RRBP field if it is received as part of an RLC/MAC block containing an RLC/MAC control block indicating the number of TDMA frames the mobile station shall wait before transmitting the uplink RLC/MAC block according to its uplink Coverage Class. The delay is relative to the first TDMA frame (N) of the downlink block containing the last blind physical layer transmission of the EC-PACCH or EC-PDTCH message, according to the USED_DL_COVERAGE_CLASS field. For definition of TDMA frame numbering, see 3GPP TS 45.002 [13].</w:t>
      </w:r>
    </w:p>
    <w:p w14:paraId="04FA5410" w14:textId="77777777" w:rsidR="00711444" w:rsidRPr="004D0DAA" w:rsidRDefault="00711444" w:rsidP="00711444">
      <w:pPr>
        <w:pStyle w:val="TH"/>
      </w:pPr>
      <w:r w:rsidRPr="004D0DAA">
        <w:lastRenderedPageBreak/>
        <w:t>Table 10.4.5.6: Relative Reserved Block Period (RRBP) field (EC TBF mode) if received as part of an RLC/MAC block containing an RLC/MAC control block</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5"/>
        <w:gridCol w:w="1374"/>
        <w:gridCol w:w="1374"/>
        <w:gridCol w:w="1374"/>
        <w:gridCol w:w="1374"/>
        <w:gridCol w:w="1374"/>
        <w:gridCol w:w="1378"/>
      </w:tblGrid>
      <w:tr w:rsidR="00711444" w:rsidRPr="004D0DAA" w14:paraId="184D653F" w14:textId="77777777" w:rsidTr="00AA2A4C">
        <w:trPr>
          <w:cantSplit/>
          <w:jc w:val="center"/>
        </w:trPr>
        <w:tc>
          <w:tcPr>
            <w:tcW w:w="714" w:type="pct"/>
          </w:tcPr>
          <w:p w14:paraId="1277A65C" w14:textId="77777777" w:rsidR="00711444" w:rsidRPr="004D0DAA" w:rsidRDefault="00711444" w:rsidP="00AA2A4C">
            <w:pPr>
              <w:pStyle w:val="TAH"/>
              <w:rPr>
                <w:lang w:eastAsia="en-US"/>
              </w:rPr>
            </w:pPr>
            <w:r w:rsidRPr="004D0DAA">
              <w:rPr>
                <w:lang w:eastAsia="en-US"/>
              </w:rPr>
              <w:t>bit</w:t>
            </w:r>
            <w:r w:rsidRPr="004D0DAA">
              <w:rPr>
                <w:lang w:eastAsia="en-US"/>
              </w:rPr>
              <w:br/>
              <w:t>3 2</w:t>
            </w:r>
          </w:p>
        </w:tc>
        <w:tc>
          <w:tcPr>
            <w:tcW w:w="714" w:type="pct"/>
          </w:tcPr>
          <w:p w14:paraId="1335C1E9" w14:textId="77777777" w:rsidR="00711444" w:rsidRPr="004D0DAA" w:rsidRDefault="00711444" w:rsidP="00AA2A4C">
            <w:pPr>
              <w:pStyle w:val="TAH"/>
              <w:rPr>
                <w:lang w:eastAsia="en-US"/>
              </w:rPr>
            </w:pPr>
            <w:r w:rsidRPr="004D0DAA">
              <w:rPr>
                <w:lang w:eastAsia="en-US"/>
              </w:rPr>
              <w:t>Full-rate PDCH uplink block with TDMA frame number given UL CC1 or CC2 with 4 PDCH allocation</w:t>
            </w:r>
          </w:p>
          <w:p w14:paraId="105CBAC0" w14:textId="77777777" w:rsidR="00711444" w:rsidRPr="004D0DAA" w:rsidRDefault="00711444" w:rsidP="00AA2A4C">
            <w:pPr>
              <w:pStyle w:val="TAL"/>
              <w:rPr>
                <w:lang w:eastAsia="en-US"/>
              </w:rPr>
            </w:pPr>
          </w:p>
        </w:tc>
        <w:tc>
          <w:tcPr>
            <w:tcW w:w="714" w:type="pct"/>
          </w:tcPr>
          <w:p w14:paraId="50750694" w14:textId="77777777" w:rsidR="00711444" w:rsidRPr="004D0DAA" w:rsidRDefault="00711444" w:rsidP="00AA2A4C">
            <w:pPr>
              <w:pStyle w:val="TAH"/>
              <w:rPr>
                <w:lang w:eastAsia="en-US"/>
              </w:rPr>
            </w:pPr>
            <w:r w:rsidRPr="004D0DAA">
              <w:rPr>
                <w:lang w:eastAsia="en-US"/>
              </w:rPr>
              <w:t>Full-rate PDCH uplink block with TDMA frame number given UL CC3 with 4 PDCH allocation or UL CC2 with 2 PDCH allocation</w:t>
            </w:r>
          </w:p>
          <w:p w14:paraId="348A49C3" w14:textId="77777777" w:rsidR="00711444" w:rsidRPr="004D0DAA" w:rsidRDefault="00711444" w:rsidP="00AA2A4C">
            <w:pPr>
              <w:pStyle w:val="TAL"/>
              <w:jc w:val="center"/>
              <w:rPr>
                <w:b/>
                <w:lang w:eastAsia="en-US"/>
              </w:rPr>
            </w:pPr>
          </w:p>
        </w:tc>
        <w:tc>
          <w:tcPr>
            <w:tcW w:w="714" w:type="pct"/>
          </w:tcPr>
          <w:p w14:paraId="383C8A31" w14:textId="77777777" w:rsidR="00711444" w:rsidRPr="004D0DAA" w:rsidRDefault="00711444" w:rsidP="00AA2A4C">
            <w:pPr>
              <w:pStyle w:val="TAH"/>
              <w:rPr>
                <w:lang w:eastAsia="en-US"/>
              </w:rPr>
            </w:pPr>
            <w:r w:rsidRPr="004D0DAA">
              <w:rPr>
                <w:lang w:eastAsia="en-US"/>
              </w:rPr>
              <w:t>Full-rate PDCH uplink block with TDMA frame number given UL CC4 with 4 PDCH allocation or UL CC3 with 2 PDCH allocation</w:t>
            </w:r>
          </w:p>
          <w:p w14:paraId="058E572A" w14:textId="77777777" w:rsidR="00711444" w:rsidRPr="004D0DAA" w:rsidRDefault="00711444" w:rsidP="00AA2A4C">
            <w:pPr>
              <w:pStyle w:val="TAH"/>
              <w:rPr>
                <w:lang w:eastAsia="en-US"/>
              </w:rPr>
            </w:pPr>
          </w:p>
        </w:tc>
        <w:tc>
          <w:tcPr>
            <w:tcW w:w="714" w:type="pct"/>
          </w:tcPr>
          <w:p w14:paraId="40B2A62C" w14:textId="77777777" w:rsidR="00711444" w:rsidRPr="004D0DAA" w:rsidRDefault="00711444" w:rsidP="00AA2A4C">
            <w:pPr>
              <w:pStyle w:val="TAH"/>
              <w:rPr>
                <w:lang w:eastAsia="en-US"/>
              </w:rPr>
            </w:pPr>
            <w:r w:rsidRPr="004D0DAA">
              <w:rPr>
                <w:lang w:eastAsia="en-US"/>
              </w:rPr>
              <w:t>Full-rate PDCH uplink block with TDMA frame number given UL CC4 with 2 PDCH allocation</w:t>
            </w:r>
          </w:p>
          <w:p w14:paraId="209DBD81" w14:textId="77777777" w:rsidR="00711444" w:rsidRPr="004D0DAA" w:rsidRDefault="00711444" w:rsidP="00AA2A4C">
            <w:pPr>
              <w:pStyle w:val="TAH"/>
              <w:rPr>
                <w:lang w:eastAsia="en-US"/>
              </w:rPr>
            </w:pPr>
          </w:p>
        </w:tc>
        <w:tc>
          <w:tcPr>
            <w:tcW w:w="714" w:type="pct"/>
          </w:tcPr>
          <w:p w14:paraId="5E7BB755" w14:textId="77777777" w:rsidR="00711444" w:rsidRPr="004D0DAA" w:rsidRDefault="00711444" w:rsidP="00AA2A4C">
            <w:pPr>
              <w:pStyle w:val="TAH"/>
              <w:rPr>
                <w:lang w:eastAsia="en-US"/>
              </w:rPr>
            </w:pPr>
            <w:r w:rsidRPr="004D0DAA">
              <w:rPr>
                <w:lang w:eastAsia="en-US"/>
              </w:rPr>
              <w:t>Full-rate PDCH uplink block with TDMA frame number given UL CC5 with 4 PDCH allocation</w:t>
            </w:r>
          </w:p>
          <w:p w14:paraId="4B351DEE" w14:textId="77777777" w:rsidR="00711444" w:rsidRPr="004D0DAA" w:rsidRDefault="00711444" w:rsidP="00AA2A4C">
            <w:pPr>
              <w:pStyle w:val="TAH"/>
              <w:rPr>
                <w:lang w:eastAsia="en-US"/>
              </w:rPr>
            </w:pPr>
          </w:p>
        </w:tc>
        <w:tc>
          <w:tcPr>
            <w:tcW w:w="716" w:type="pct"/>
          </w:tcPr>
          <w:p w14:paraId="4FCA1C6F" w14:textId="77777777" w:rsidR="00711444" w:rsidRPr="004D0DAA" w:rsidRDefault="00711444" w:rsidP="00AA2A4C">
            <w:pPr>
              <w:pStyle w:val="TAH"/>
              <w:rPr>
                <w:lang w:eastAsia="en-US"/>
              </w:rPr>
            </w:pPr>
            <w:r w:rsidRPr="004D0DAA">
              <w:rPr>
                <w:lang w:eastAsia="en-US"/>
              </w:rPr>
              <w:t>Full-rate PDCH uplink block with TDMA frame number given UL CC5 with 2 PDCH allocation</w:t>
            </w:r>
          </w:p>
          <w:p w14:paraId="17B1BA86" w14:textId="77777777" w:rsidR="00711444" w:rsidRPr="004D0DAA" w:rsidRDefault="00711444" w:rsidP="00AA2A4C">
            <w:pPr>
              <w:pStyle w:val="TAH"/>
              <w:rPr>
                <w:lang w:eastAsia="en-US"/>
              </w:rPr>
            </w:pPr>
          </w:p>
        </w:tc>
      </w:tr>
      <w:tr w:rsidR="00711444" w:rsidRPr="004D0DAA" w14:paraId="6942802F" w14:textId="77777777" w:rsidTr="00AA2A4C">
        <w:trPr>
          <w:cantSplit/>
          <w:jc w:val="center"/>
        </w:trPr>
        <w:tc>
          <w:tcPr>
            <w:tcW w:w="714" w:type="pct"/>
          </w:tcPr>
          <w:p w14:paraId="6C31EF0F" w14:textId="77777777" w:rsidR="00711444" w:rsidRPr="004D0DAA" w:rsidRDefault="00711444" w:rsidP="00AA2A4C">
            <w:pPr>
              <w:pStyle w:val="TAC"/>
              <w:rPr>
                <w:lang w:eastAsia="en-US"/>
              </w:rPr>
            </w:pPr>
            <w:r w:rsidRPr="004D0DAA">
              <w:rPr>
                <w:lang w:eastAsia="en-US"/>
              </w:rPr>
              <w:lastRenderedPageBreak/>
              <w:t>0 0</w:t>
            </w:r>
          </w:p>
        </w:tc>
        <w:tc>
          <w:tcPr>
            <w:tcW w:w="714" w:type="pct"/>
          </w:tcPr>
          <w:p w14:paraId="52AD1619" w14:textId="77777777" w:rsidR="00711444" w:rsidRPr="004D0DAA" w:rsidRDefault="00711444" w:rsidP="00AA2A4C">
            <w:pPr>
              <w:pStyle w:val="TAL"/>
              <w:rPr>
                <w:lang w:eastAsia="en-US"/>
              </w:rPr>
            </w:pPr>
            <w:r w:rsidRPr="004D0DAA">
              <w:rPr>
                <w:lang w:eastAsia="en-US"/>
              </w:rPr>
              <w:t>(N+13) mod 2715648</w:t>
            </w:r>
          </w:p>
          <w:p w14:paraId="55359C77" w14:textId="77777777" w:rsidR="00711444" w:rsidRPr="004D0DAA" w:rsidRDefault="00711444" w:rsidP="00AA2A4C">
            <w:pPr>
              <w:pStyle w:val="TAL"/>
              <w:rPr>
                <w:lang w:eastAsia="en-US"/>
              </w:rPr>
            </w:pPr>
          </w:p>
        </w:tc>
        <w:tc>
          <w:tcPr>
            <w:tcW w:w="714" w:type="pct"/>
          </w:tcPr>
          <w:p w14:paraId="04C063D7" w14:textId="77777777" w:rsidR="00711444" w:rsidRPr="004D0DAA" w:rsidRDefault="00711444" w:rsidP="00AA2A4C">
            <w:pPr>
              <w:pStyle w:val="TAL"/>
              <w:rPr>
                <w:lang w:eastAsia="en-US"/>
              </w:rPr>
            </w:pPr>
            <w:r w:rsidRPr="004D0DAA">
              <w:rPr>
                <w:lang w:eastAsia="en-US"/>
              </w:rPr>
              <w:t xml:space="preserve">(N+13) mod 2715648 </w:t>
            </w:r>
          </w:p>
          <w:p w14:paraId="63C2E414" w14:textId="77777777" w:rsidR="00711444" w:rsidRPr="004D0DAA" w:rsidRDefault="00711444" w:rsidP="00AA2A4C">
            <w:pPr>
              <w:pStyle w:val="TAL"/>
              <w:rPr>
                <w:lang w:eastAsia="en-US"/>
              </w:rPr>
            </w:pPr>
            <w:r w:rsidRPr="004D0DAA">
              <w:rPr>
                <w:lang w:eastAsia="en-US"/>
              </w:rPr>
              <w:t xml:space="preserve">or </w:t>
            </w:r>
            <w:r w:rsidRPr="004D0DAA">
              <w:rPr>
                <w:lang w:eastAsia="en-US"/>
              </w:rPr>
              <w:br/>
              <w:t xml:space="preserve">(N+17 or N+18) mod 2715648 </w:t>
            </w:r>
          </w:p>
        </w:tc>
        <w:tc>
          <w:tcPr>
            <w:tcW w:w="714" w:type="pct"/>
          </w:tcPr>
          <w:p w14:paraId="46B4BD37" w14:textId="77777777" w:rsidR="00711444" w:rsidRPr="004D0DAA" w:rsidRDefault="00711444" w:rsidP="00AA2A4C">
            <w:pPr>
              <w:pStyle w:val="TAL"/>
              <w:rPr>
                <w:lang w:eastAsia="en-US"/>
              </w:rPr>
            </w:pPr>
            <w:r w:rsidRPr="004D0DAA">
              <w:rPr>
                <w:lang w:eastAsia="en-US"/>
              </w:rPr>
              <w:t xml:space="preserve">(N+13) mod 2715648 </w:t>
            </w:r>
          </w:p>
          <w:p w14:paraId="1ECBBAAD"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08C55492" w14:textId="77777777" w:rsidR="00711444" w:rsidRPr="004D0DAA" w:rsidRDefault="00711444" w:rsidP="00AA2A4C">
            <w:pPr>
              <w:pStyle w:val="TAL"/>
              <w:rPr>
                <w:lang w:eastAsia="en-US"/>
              </w:rPr>
            </w:pPr>
            <w:r w:rsidRPr="004D0DAA">
              <w:rPr>
                <w:lang w:eastAsia="en-US"/>
              </w:rPr>
              <w:t>or</w:t>
            </w:r>
          </w:p>
          <w:p w14:paraId="154A10BA" w14:textId="77777777" w:rsidR="00711444" w:rsidRPr="004D0DAA" w:rsidRDefault="00711444" w:rsidP="00AA2A4C">
            <w:pPr>
              <w:pStyle w:val="TAL"/>
              <w:rPr>
                <w:lang w:eastAsia="en-US"/>
              </w:rPr>
            </w:pPr>
            <w:r w:rsidRPr="004D0DAA">
              <w:rPr>
                <w:lang w:eastAsia="en-US"/>
              </w:rPr>
              <w:t xml:space="preserve">(N+21 or N+22) mod 2715648 </w:t>
            </w:r>
          </w:p>
          <w:p w14:paraId="55705F13" w14:textId="77777777" w:rsidR="00711444" w:rsidRPr="004D0DAA" w:rsidRDefault="00711444" w:rsidP="00AA2A4C">
            <w:pPr>
              <w:pStyle w:val="TAL"/>
              <w:rPr>
                <w:lang w:eastAsia="en-US"/>
              </w:rPr>
            </w:pPr>
            <w:r w:rsidRPr="004D0DAA">
              <w:rPr>
                <w:lang w:eastAsia="en-US"/>
              </w:rPr>
              <w:t>or</w:t>
            </w:r>
          </w:p>
          <w:p w14:paraId="52FC3BE2" w14:textId="77777777" w:rsidR="00711444" w:rsidRPr="004D0DAA" w:rsidRDefault="00711444" w:rsidP="00AA2A4C">
            <w:pPr>
              <w:pStyle w:val="TAL"/>
              <w:rPr>
                <w:lang w:eastAsia="en-US"/>
              </w:rPr>
            </w:pPr>
            <w:r w:rsidRPr="004D0DAA">
              <w:rPr>
                <w:lang w:eastAsia="en-US"/>
              </w:rPr>
              <w:t xml:space="preserve">(N+26) mod 2715648 </w:t>
            </w:r>
          </w:p>
        </w:tc>
        <w:tc>
          <w:tcPr>
            <w:tcW w:w="714" w:type="pct"/>
          </w:tcPr>
          <w:p w14:paraId="31924117" w14:textId="77777777" w:rsidR="00711444" w:rsidRPr="004D0DAA" w:rsidRDefault="00711444" w:rsidP="00AA2A4C">
            <w:pPr>
              <w:pStyle w:val="TAL"/>
              <w:rPr>
                <w:lang w:eastAsia="en-US"/>
              </w:rPr>
            </w:pPr>
            <w:r w:rsidRPr="004D0DAA">
              <w:rPr>
                <w:lang w:eastAsia="en-US"/>
              </w:rPr>
              <w:t xml:space="preserve">(N+13) mod 2715648 </w:t>
            </w:r>
          </w:p>
          <w:p w14:paraId="52D7F016"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412268F0" w14:textId="77777777" w:rsidR="00711444" w:rsidRPr="004D0DAA" w:rsidRDefault="00711444" w:rsidP="00AA2A4C">
            <w:pPr>
              <w:pStyle w:val="TAL"/>
              <w:rPr>
                <w:lang w:eastAsia="en-US"/>
              </w:rPr>
            </w:pPr>
            <w:r w:rsidRPr="004D0DAA">
              <w:rPr>
                <w:lang w:eastAsia="en-US"/>
              </w:rPr>
              <w:t>or</w:t>
            </w:r>
          </w:p>
          <w:p w14:paraId="60209D12" w14:textId="77777777" w:rsidR="00711444" w:rsidRPr="004D0DAA" w:rsidRDefault="00711444" w:rsidP="00AA2A4C">
            <w:pPr>
              <w:pStyle w:val="TAL"/>
              <w:rPr>
                <w:lang w:eastAsia="en-US"/>
              </w:rPr>
            </w:pPr>
            <w:r w:rsidRPr="004D0DAA">
              <w:rPr>
                <w:lang w:eastAsia="en-US"/>
              </w:rPr>
              <w:t xml:space="preserve">(N+21 or N+22) mod 2715648 </w:t>
            </w:r>
          </w:p>
          <w:p w14:paraId="5E36AC3B" w14:textId="77777777" w:rsidR="00711444" w:rsidRPr="004D0DAA" w:rsidRDefault="00711444" w:rsidP="00AA2A4C">
            <w:pPr>
              <w:pStyle w:val="TAL"/>
              <w:rPr>
                <w:lang w:eastAsia="en-US"/>
              </w:rPr>
            </w:pPr>
            <w:r w:rsidRPr="004D0DAA">
              <w:rPr>
                <w:lang w:eastAsia="en-US"/>
              </w:rPr>
              <w:t>or</w:t>
            </w:r>
          </w:p>
          <w:p w14:paraId="727A3477" w14:textId="77777777" w:rsidR="00711444" w:rsidRPr="004D0DAA" w:rsidRDefault="00711444" w:rsidP="00AA2A4C">
            <w:pPr>
              <w:pStyle w:val="TAL"/>
              <w:rPr>
                <w:lang w:eastAsia="en-US"/>
              </w:rPr>
            </w:pPr>
            <w:r w:rsidRPr="004D0DAA">
              <w:rPr>
                <w:lang w:eastAsia="en-US"/>
              </w:rPr>
              <w:t>(N+26) mod 2715648</w:t>
            </w:r>
          </w:p>
          <w:p w14:paraId="553B9BAF" w14:textId="77777777" w:rsidR="00711444" w:rsidRPr="004D0DAA" w:rsidRDefault="00711444" w:rsidP="00AA2A4C">
            <w:pPr>
              <w:pStyle w:val="TAL"/>
              <w:rPr>
                <w:lang w:eastAsia="en-US"/>
              </w:rPr>
            </w:pPr>
            <w:r w:rsidRPr="004D0DAA">
              <w:rPr>
                <w:lang w:eastAsia="en-US"/>
              </w:rPr>
              <w:t>or</w:t>
            </w:r>
          </w:p>
          <w:p w14:paraId="6AD07C7C" w14:textId="77777777" w:rsidR="00711444" w:rsidRPr="004D0DAA" w:rsidRDefault="00711444" w:rsidP="00AA2A4C">
            <w:pPr>
              <w:pStyle w:val="TAL"/>
              <w:rPr>
                <w:lang w:eastAsia="en-US"/>
              </w:rPr>
            </w:pPr>
            <w:r w:rsidRPr="004D0DAA">
              <w:rPr>
                <w:lang w:eastAsia="en-US"/>
              </w:rPr>
              <w:t xml:space="preserve">(N+30 or N+31) mod 2715648 </w:t>
            </w:r>
          </w:p>
          <w:p w14:paraId="5B44A12C" w14:textId="77777777" w:rsidR="00711444" w:rsidRPr="004D0DAA" w:rsidRDefault="00711444" w:rsidP="00AA2A4C">
            <w:pPr>
              <w:pStyle w:val="TAL"/>
              <w:rPr>
                <w:lang w:eastAsia="en-US"/>
              </w:rPr>
            </w:pPr>
            <w:r w:rsidRPr="004D0DAA">
              <w:rPr>
                <w:lang w:eastAsia="en-US"/>
              </w:rPr>
              <w:t>or</w:t>
            </w:r>
          </w:p>
          <w:p w14:paraId="72E80633" w14:textId="77777777" w:rsidR="00711444" w:rsidRPr="004D0DAA" w:rsidRDefault="00711444" w:rsidP="00AA2A4C">
            <w:pPr>
              <w:pStyle w:val="TAL"/>
              <w:rPr>
                <w:lang w:eastAsia="en-US"/>
              </w:rPr>
            </w:pPr>
            <w:r w:rsidRPr="004D0DAA">
              <w:rPr>
                <w:lang w:eastAsia="en-US"/>
              </w:rPr>
              <w:t xml:space="preserve">(N+34 or N+35) mod 2715648 </w:t>
            </w:r>
          </w:p>
          <w:p w14:paraId="4A42BDF9" w14:textId="77777777" w:rsidR="00711444" w:rsidRPr="004D0DAA" w:rsidRDefault="00711444" w:rsidP="00AA2A4C">
            <w:pPr>
              <w:pStyle w:val="TAL"/>
              <w:rPr>
                <w:lang w:eastAsia="en-US"/>
              </w:rPr>
            </w:pPr>
            <w:r w:rsidRPr="004D0DAA">
              <w:rPr>
                <w:lang w:eastAsia="en-US"/>
              </w:rPr>
              <w:t>or</w:t>
            </w:r>
          </w:p>
          <w:p w14:paraId="7D7EE593" w14:textId="77777777" w:rsidR="00711444" w:rsidRPr="004D0DAA" w:rsidRDefault="00711444" w:rsidP="00AA2A4C">
            <w:pPr>
              <w:pStyle w:val="TAL"/>
              <w:rPr>
                <w:lang w:eastAsia="en-US"/>
              </w:rPr>
            </w:pPr>
            <w:r w:rsidRPr="004D0DAA">
              <w:rPr>
                <w:lang w:eastAsia="en-US"/>
              </w:rPr>
              <w:t xml:space="preserve">(N+39) mod 2715648 </w:t>
            </w:r>
          </w:p>
          <w:p w14:paraId="083A3CBB" w14:textId="77777777" w:rsidR="00711444" w:rsidRPr="004D0DAA" w:rsidRDefault="00711444" w:rsidP="00AA2A4C">
            <w:pPr>
              <w:pStyle w:val="TAL"/>
              <w:rPr>
                <w:lang w:eastAsia="en-US"/>
              </w:rPr>
            </w:pPr>
            <w:r w:rsidRPr="004D0DAA">
              <w:rPr>
                <w:lang w:eastAsia="en-US"/>
              </w:rPr>
              <w:t>or</w:t>
            </w:r>
          </w:p>
          <w:p w14:paraId="3D387D05" w14:textId="77777777" w:rsidR="00711444" w:rsidRPr="004D0DAA" w:rsidRDefault="00711444" w:rsidP="00AA2A4C">
            <w:pPr>
              <w:pStyle w:val="TAL"/>
              <w:rPr>
                <w:lang w:eastAsia="en-US"/>
              </w:rPr>
            </w:pPr>
            <w:r w:rsidRPr="004D0DAA">
              <w:rPr>
                <w:lang w:eastAsia="en-US"/>
              </w:rPr>
              <w:t>(N+43 or N+44) mod 2715648</w:t>
            </w:r>
          </w:p>
        </w:tc>
        <w:tc>
          <w:tcPr>
            <w:tcW w:w="714" w:type="pct"/>
          </w:tcPr>
          <w:p w14:paraId="3B20ED4D" w14:textId="77777777" w:rsidR="00711444" w:rsidRPr="004D0DAA" w:rsidRDefault="00711444" w:rsidP="00AA2A4C">
            <w:pPr>
              <w:pStyle w:val="TAL"/>
              <w:rPr>
                <w:lang w:eastAsia="en-US"/>
              </w:rPr>
            </w:pPr>
            <w:r w:rsidRPr="004D0DAA">
              <w:rPr>
                <w:lang w:eastAsia="en-US"/>
              </w:rPr>
              <w:t xml:space="preserve">(N+13) mod 2715648 </w:t>
            </w:r>
          </w:p>
          <w:p w14:paraId="793C7D8F"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20A9C7F1" w14:textId="77777777" w:rsidR="00711444" w:rsidRPr="004D0DAA" w:rsidRDefault="00711444" w:rsidP="00AA2A4C">
            <w:pPr>
              <w:pStyle w:val="TAL"/>
              <w:rPr>
                <w:lang w:eastAsia="en-US"/>
              </w:rPr>
            </w:pPr>
            <w:r w:rsidRPr="004D0DAA">
              <w:rPr>
                <w:lang w:eastAsia="en-US"/>
              </w:rPr>
              <w:t>or</w:t>
            </w:r>
          </w:p>
          <w:p w14:paraId="2C683F18" w14:textId="77777777" w:rsidR="00711444" w:rsidRPr="004D0DAA" w:rsidRDefault="00711444" w:rsidP="00AA2A4C">
            <w:pPr>
              <w:pStyle w:val="TAL"/>
              <w:rPr>
                <w:lang w:eastAsia="en-US"/>
              </w:rPr>
            </w:pPr>
            <w:r w:rsidRPr="004D0DAA">
              <w:rPr>
                <w:lang w:eastAsia="en-US"/>
              </w:rPr>
              <w:t xml:space="preserve">(N+21 or N+22) mod 2715648 </w:t>
            </w:r>
          </w:p>
          <w:p w14:paraId="36494DB1" w14:textId="77777777" w:rsidR="00711444" w:rsidRPr="004D0DAA" w:rsidRDefault="00711444" w:rsidP="00AA2A4C">
            <w:pPr>
              <w:pStyle w:val="TAL"/>
              <w:rPr>
                <w:lang w:eastAsia="en-US"/>
              </w:rPr>
            </w:pPr>
            <w:r w:rsidRPr="004D0DAA">
              <w:rPr>
                <w:lang w:eastAsia="en-US"/>
              </w:rPr>
              <w:t>or</w:t>
            </w:r>
          </w:p>
          <w:p w14:paraId="35364E34" w14:textId="77777777" w:rsidR="00711444" w:rsidRPr="004D0DAA" w:rsidRDefault="00711444" w:rsidP="00AA2A4C">
            <w:pPr>
              <w:pStyle w:val="TAL"/>
              <w:rPr>
                <w:lang w:eastAsia="en-US"/>
              </w:rPr>
            </w:pPr>
            <w:r w:rsidRPr="004D0DAA">
              <w:rPr>
                <w:lang w:eastAsia="en-US"/>
              </w:rPr>
              <w:t>(N+26) mod 2715648</w:t>
            </w:r>
          </w:p>
          <w:p w14:paraId="7F62DEA1" w14:textId="77777777" w:rsidR="00711444" w:rsidRPr="004D0DAA" w:rsidRDefault="00711444" w:rsidP="00AA2A4C">
            <w:pPr>
              <w:pStyle w:val="TAL"/>
              <w:rPr>
                <w:lang w:eastAsia="en-US"/>
              </w:rPr>
            </w:pPr>
            <w:r w:rsidRPr="004D0DAA">
              <w:rPr>
                <w:lang w:eastAsia="en-US"/>
              </w:rPr>
              <w:t>Or</w:t>
            </w:r>
          </w:p>
          <w:p w14:paraId="0F03BA1B" w14:textId="77777777" w:rsidR="00711444" w:rsidRPr="004D0DAA" w:rsidRDefault="00711444" w:rsidP="00AA2A4C">
            <w:pPr>
              <w:pStyle w:val="TAL"/>
              <w:rPr>
                <w:lang w:eastAsia="en-US"/>
              </w:rPr>
            </w:pPr>
            <w:r w:rsidRPr="004D0DAA">
              <w:rPr>
                <w:lang w:eastAsia="en-US"/>
              </w:rPr>
              <w:t xml:space="preserve">(N+30 or N+31) mod 2715648 </w:t>
            </w:r>
          </w:p>
          <w:p w14:paraId="1D075BC7" w14:textId="77777777" w:rsidR="00711444" w:rsidRPr="004D0DAA" w:rsidRDefault="00711444" w:rsidP="00AA2A4C">
            <w:pPr>
              <w:pStyle w:val="TAL"/>
              <w:rPr>
                <w:lang w:eastAsia="en-US"/>
              </w:rPr>
            </w:pPr>
            <w:r w:rsidRPr="004D0DAA">
              <w:rPr>
                <w:lang w:eastAsia="en-US"/>
              </w:rPr>
              <w:t>or</w:t>
            </w:r>
          </w:p>
          <w:p w14:paraId="3E589D16" w14:textId="77777777" w:rsidR="00711444" w:rsidRPr="004D0DAA" w:rsidRDefault="00711444" w:rsidP="00AA2A4C">
            <w:pPr>
              <w:pStyle w:val="TAL"/>
              <w:rPr>
                <w:lang w:eastAsia="en-US"/>
              </w:rPr>
            </w:pPr>
            <w:r w:rsidRPr="004D0DAA">
              <w:rPr>
                <w:lang w:eastAsia="en-US"/>
              </w:rPr>
              <w:t xml:space="preserve">(N+34 or N+35) mod 2715648 </w:t>
            </w:r>
          </w:p>
          <w:p w14:paraId="688F2CE2" w14:textId="77777777" w:rsidR="00711444" w:rsidRPr="004D0DAA" w:rsidRDefault="00711444" w:rsidP="00AA2A4C">
            <w:pPr>
              <w:pStyle w:val="TAL"/>
              <w:rPr>
                <w:lang w:eastAsia="en-US"/>
              </w:rPr>
            </w:pPr>
            <w:r w:rsidRPr="004D0DAA">
              <w:rPr>
                <w:lang w:eastAsia="en-US"/>
              </w:rPr>
              <w:t>or</w:t>
            </w:r>
          </w:p>
          <w:p w14:paraId="57B9B669" w14:textId="77777777" w:rsidR="00711444" w:rsidRPr="004D0DAA" w:rsidRDefault="00711444" w:rsidP="00AA2A4C">
            <w:pPr>
              <w:pStyle w:val="TAL"/>
              <w:rPr>
                <w:lang w:eastAsia="en-US"/>
              </w:rPr>
            </w:pPr>
            <w:r w:rsidRPr="004D0DAA">
              <w:rPr>
                <w:lang w:eastAsia="en-US"/>
              </w:rPr>
              <w:t xml:space="preserve">(N+39) mod 2715648 </w:t>
            </w:r>
          </w:p>
          <w:p w14:paraId="0A97D1F5" w14:textId="77777777" w:rsidR="00711444" w:rsidRPr="004D0DAA" w:rsidRDefault="00711444" w:rsidP="00AA2A4C">
            <w:pPr>
              <w:pStyle w:val="TAL"/>
              <w:rPr>
                <w:lang w:eastAsia="en-US"/>
              </w:rPr>
            </w:pPr>
            <w:r w:rsidRPr="004D0DAA">
              <w:rPr>
                <w:lang w:eastAsia="en-US"/>
              </w:rPr>
              <w:t>or</w:t>
            </w:r>
          </w:p>
          <w:p w14:paraId="7D5E687C" w14:textId="77777777" w:rsidR="00711444" w:rsidRPr="004D0DAA" w:rsidRDefault="00711444" w:rsidP="00AA2A4C">
            <w:pPr>
              <w:pStyle w:val="TAL"/>
              <w:rPr>
                <w:lang w:eastAsia="en-US"/>
              </w:rPr>
            </w:pPr>
            <w:r w:rsidRPr="004D0DAA">
              <w:rPr>
                <w:lang w:eastAsia="en-US"/>
              </w:rPr>
              <w:t>(N+43 or N+44) mod 2715648</w:t>
            </w:r>
          </w:p>
          <w:p w14:paraId="29DB5E00" w14:textId="77777777" w:rsidR="00711444" w:rsidRPr="004D0DAA" w:rsidRDefault="00711444" w:rsidP="00AA2A4C">
            <w:pPr>
              <w:pStyle w:val="TAL"/>
              <w:rPr>
                <w:lang w:eastAsia="en-US"/>
              </w:rPr>
            </w:pPr>
            <w:r w:rsidRPr="004D0DAA">
              <w:rPr>
                <w:lang w:eastAsia="en-US"/>
              </w:rPr>
              <w:t>Or</w:t>
            </w:r>
          </w:p>
          <w:p w14:paraId="5FB1F0B4" w14:textId="77777777" w:rsidR="00711444" w:rsidRPr="004D0DAA" w:rsidRDefault="00711444" w:rsidP="00AA2A4C">
            <w:pPr>
              <w:pStyle w:val="TAL"/>
              <w:rPr>
                <w:lang w:eastAsia="en-US"/>
              </w:rPr>
            </w:pPr>
            <w:r w:rsidRPr="004D0DAA">
              <w:rPr>
                <w:lang w:eastAsia="en-US"/>
              </w:rPr>
              <w:t xml:space="preserve">(N+47 or N+48) mod 2715648 </w:t>
            </w:r>
          </w:p>
          <w:p w14:paraId="486C06E7" w14:textId="77777777" w:rsidR="00711444" w:rsidRPr="004D0DAA" w:rsidRDefault="00711444" w:rsidP="00AA2A4C">
            <w:pPr>
              <w:pStyle w:val="TAL"/>
              <w:rPr>
                <w:lang w:eastAsia="en-US"/>
              </w:rPr>
            </w:pPr>
            <w:r w:rsidRPr="004D0DAA">
              <w:rPr>
                <w:lang w:eastAsia="en-US"/>
              </w:rPr>
              <w:t>or</w:t>
            </w:r>
          </w:p>
          <w:p w14:paraId="735199C4" w14:textId="77777777" w:rsidR="00711444" w:rsidRPr="004D0DAA" w:rsidRDefault="00711444" w:rsidP="00AA2A4C">
            <w:pPr>
              <w:pStyle w:val="TAL"/>
              <w:rPr>
                <w:lang w:eastAsia="en-US"/>
              </w:rPr>
            </w:pPr>
            <w:r w:rsidRPr="004D0DAA">
              <w:rPr>
                <w:lang w:eastAsia="en-US"/>
              </w:rPr>
              <w:t xml:space="preserve">(N+52) mod 2715648 </w:t>
            </w:r>
          </w:p>
          <w:p w14:paraId="1C84E9D8" w14:textId="77777777" w:rsidR="00711444" w:rsidRPr="004D0DAA" w:rsidRDefault="00711444" w:rsidP="00AA2A4C">
            <w:pPr>
              <w:pStyle w:val="TAL"/>
              <w:rPr>
                <w:lang w:eastAsia="en-US"/>
              </w:rPr>
            </w:pPr>
            <w:r w:rsidRPr="004D0DAA">
              <w:rPr>
                <w:lang w:eastAsia="en-US"/>
              </w:rPr>
              <w:t>or</w:t>
            </w:r>
          </w:p>
          <w:p w14:paraId="320BBDD7" w14:textId="77777777" w:rsidR="00711444" w:rsidRPr="004D0DAA" w:rsidRDefault="00711444" w:rsidP="00AA2A4C">
            <w:pPr>
              <w:pStyle w:val="TAL"/>
              <w:rPr>
                <w:lang w:eastAsia="en-US"/>
              </w:rPr>
            </w:pPr>
            <w:r w:rsidRPr="004D0DAA">
              <w:rPr>
                <w:lang w:eastAsia="en-US"/>
              </w:rPr>
              <w:t>(N+56 or N+57) mod 2715648</w:t>
            </w:r>
          </w:p>
          <w:p w14:paraId="077EA7B1" w14:textId="77777777" w:rsidR="00711444" w:rsidRPr="004D0DAA" w:rsidRDefault="00711444" w:rsidP="00AA2A4C">
            <w:pPr>
              <w:pStyle w:val="TAL"/>
              <w:rPr>
                <w:lang w:eastAsia="en-US"/>
              </w:rPr>
            </w:pPr>
            <w:r w:rsidRPr="004D0DAA">
              <w:rPr>
                <w:lang w:eastAsia="en-US"/>
              </w:rPr>
              <w:t>or</w:t>
            </w:r>
          </w:p>
          <w:p w14:paraId="20F3E8D3" w14:textId="77777777" w:rsidR="00711444" w:rsidRPr="004D0DAA" w:rsidRDefault="00711444" w:rsidP="00AA2A4C">
            <w:pPr>
              <w:pStyle w:val="TAL"/>
              <w:rPr>
                <w:lang w:eastAsia="en-US"/>
              </w:rPr>
            </w:pPr>
            <w:r w:rsidRPr="004D0DAA">
              <w:rPr>
                <w:lang w:eastAsia="en-US"/>
              </w:rPr>
              <w:t>(N+60 or N+61) mod 2715648</w:t>
            </w:r>
          </w:p>
        </w:tc>
        <w:tc>
          <w:tcPr>
            <w:tcW w:w="716" w:type="pct"/>
          </w:tcPr>
          <w:p w14:paraId="4837B0FB" w14:textId="77777777" w:rsidR="00711444" w:rsidRPr="004D0DAA" w:rsidRDefault="00711444" w:rsidP="00AA2A4C">
            <w:pPr>
              <w:pStyle w:val="TAL"/>
              <w:rPr>
                <w:lang w:eastAsia="en-US"/>
              </w:rPr>
            </w:pPr>
            <w:r w:rsidRPr="004D0DAA">
              <w:rPr>
                <w:lang w:eastAsia="en-US"/>
              </w:rPr>
              <w:t xml:space="preserve">(N+13) mod 2715648 </w:t>
            </w:r>
          </w:p>
          <w:p w14:paraId="1B8D6E38" w14:textId="77777777" w:rsidR="00711444" w:rsidRPr="004D0DAA" w:rsidRDefault="00711444" w:rsidP="00AA2A4C">
            <w:pPr>
              <w:pStyle w:val="TAL"/>
              <w:rPr>
                <w:lang w:eastAsia="en-US"/>
              </w:rPr>
            </w:pPr>
            <w:r w:rsidRPr="004D0DAA">
              <w:rPr>
                <w:lang w:eastAsia="en-US"/>
              </w:rPr>
              <w:t xml:space="preserve">or </w:t>
            </w:r>
            <w:r w:rsidRPr="004D0DAA">
              <w:rPr>
                <w:lang w:eastAsia="en-US"/>
              </w:rPr>
              <w:br/>
              <w:t>(N+17 or N+18) mod 2715648</w:t>
            </w:r>
          </w:p>
          <w:p w14:paraId="1BCA1670" w14:textId="77777777" w:rsidR="00711444" w:rsidRPr="004D0DAA" w:rsidRDefault="00711444" w:rsidP="00AA2A4C">
            <w:pPr>
              <w:pStyle w:val="TAL"/>
              <w:rPr>
                <w:lang w:eastAsia="en-US"/>
              </w:rPr>
            </w:pPr>
            <w:r w:rsidRPr="004D0DAA">
              <w:rPr>
                <w:lang w:eastAsia="en-US"/>
              </w:rPr>
              <w:t>or</w:t>
            </w:r>
          </w:p>
          <w:p w14:paraId="32CB9417" w14:textId="77777777" w:rsidR="00711444" w:rsidRPr="004D0DAA" w:rsidRDefault="00711444" w:rsidP="00AA2A4C">
            <w:pPr>
              <w:pStyle w:val="TAL"/>
              <w:rPr>
                <w:lang w:eastAsia="en-US"/>
              </w:rPr>
            </w:pPr>
            <w:r w:rsidRPr="004D0DAA">
              <w:rPr>
                <w:lang w:eastAsia="en-US"/>
              </w:rPr>
              <w:t xml:space="preserve">(N+21 or N+22) mod 2715648 </w:t>
            </w:r>
          </w:p>
          <w:p w14:paraId="46FD022F" w14:textId="77777777" w:rsidR="00711444" w:rsidRPr="004D0DAA" w:rsidRDefault="00711444" w:rsidP="00AA2A4C">
            <w:pPr>
              <w:pStyle w:val="TAL"/>
              <w:rPr>
                <w:lang w:eastAsia="en-US"/>
              </w:rPr>
            </w:pPr>
            <w:r w:rsidRPr="004D0DAA">
              <w:rPr>
                <w:lang w:eastAsia="en-US"/>
              </w:rPr>
              <w:t>or</w:t>
            </w:r>
          </w:p>
          <w:p w14:paraId="73499804" w14:textId="77777777" w:rsidR="00711444" w:rsidRPr="004D0DAA" w:rsidRDefault="00711444" w:rsidP="00AA2A4C">
            <w:pPr>
              <w:pStyle w:val="TAL"/>
              <w:rPr>
                <w:lang w:eastAsia="en-US"/>
              </w:rPr>
            </w:pPr>
            <w:r w:rsidRPr="004D0DAA">
              <w:rPr>
                <w:lang w:eastAsia="en-US"/>
              </w:rPr>
              <w:t>(N+26) mod 2715648</w:t>
            </w:r>
          </w:p>
          <w:p w14:paraId="6959D493" w14:textId="77777777" w:rsidR="00711444" w:rsidRPr="004D0DAA" w:rsidRDefault="00711444" w:rsidP="00AA2A4C">
            <w:pPr>
              <w:pStyle w:val="TAL"/>
              <w:rPr>
                <w:lang w:eastAsia="en-US"/>
              </w:rPr>
            </w:pPr>
            <w:r w:rsidRPr="004D0DAA">
              <w:rPr>
                <w:lang w:eastAsia="en-US"/>
              </w:rPr>
              <w:t>Or</w:t>
            </w:r>
          </w:p>
          <w:p w14:paraId="363D06CF" w14:textId="77777777" w:rsidR="00711444" w:rsidRPr="004D0DAA" w:rsidRDefault="00711444" w:rsidP="00AA2A4C">
            <w:pPr>
              <w:pStyle w:val="TAL"/>
              <w:rPr>
                <w:lang w:eastAsia="en-US"/>
              </w:rPr>
            </w:pPr>
            <w:r w:rsidRPr="004D0DAA">
              <w:rPr>
                <w:lang w:eastAsia="en-US"/>
              </w:rPr>
              <w:t xml:space="preserve">(N+30 or N+31) mod 2715648 </w:t>
            </w:r>
          </w:p>
          <w:p w14:paraId="5E3B1341" w14:textId="77777777" w:rsidR="00711444" w:rsidRPr="004D0DAA" w:rsidRDefault="00711444" w:rsidP="00AA2A4C">
            <w:pPr>
              <w:pStyle w:val="TAL"/>
              <w:rPr>
                <w:lang w:eastAsia="en-US"/>
              </w:rPr>
            </w:pPr>
            <w:r w:rsidRPr="004D0DAA">
              <w:rPr>
                <w:lang w:eastAsia="en-US"/>
              </w:rPr>
              <w:t>or</w:t>
            </w:r>
          </w:p>
          <w:p w14:paraId="1B5E9F93" w14:textId="77777777" w:rsidR="00711444" w:rsidRPr="004D0DAA" w:rsidRDefault="00711444" w:rsidP="00AA2A4C">
            <w:pPr>
              <w:pStyle w:val="TAL"/>
              <w:rPr>
                <w:lang w:eastAsia="en-US"/>
              </w:rPr>
            </w:pPr>
            <w:r w:rsidRPr="004D0DAA">
              <w:rPr>
                <w:lang w:eastAsia="en-US"/>
              </w:rPr>
              <w:t xml:space="preserve">(N+34 or N+35) mod 2715648 </w:t>
            </w:r>
          </w:p>
          <w:p w14:paraId="181C80A7" w14:textId="77777777" w:rsidR="00711444" w:rsidRPr="004D0DAA" w:rsidRDefault="00711444" w:rsidP="00AA2A4C">
            <w:pPr>
              <w:pStyle w:val="TAL"/>
              <w:rPr>
                <w:lang w:eastAsia="en-US"/>
              </w:rPr>
            </w:pPr>
            <w:r w:rsidRPr="004D0DAA">
              <w:rPr>
                <w:lang w:eastAsia="en-US"/>
              </w:rPr>
              <w:t>or</w:t>
            </w:r>
          </w:p>
          <w:p w14:paraId="18804DA1" w14:textId="77777777" w:rsidR="00711444" w:rsidRPr="004D0DAA" w:rsidRDefault="00711444" w:rsidP="00AA2A4C">
            <w:pPr>
              <w:pStyle w:val="TAL"/>
              <w:rPr>
                <w:lang w:eastAsia="en-US"/>
              </w:rPr>
            </w:pPr>
            <w:r w:rsidRPr="004D0DAA">
              <w:rPr>
                <w:lang w:eastAsia="en-US"/>
              </w:rPr>
              <w:t xml:space="preserve">(N+39) mod 2715648 </w:t>
            </w:r>
          </w:p>
          <w:p w14:paraId="0D2ECD7E" w14:textId="77777777" w:rsidR="00711444" w:rsidRPr="004D0DAA" w:rsidRDefault="00711444" w:rsidP="00AA2A4C">
            <w:pPr>
              <w:pStyle w:val="TAL"/>
              <w:rPr>
                <w:lang w:eastAsia="en-US"/>
              </w:rPr>
            </w:pPr>
            <w:r w:rsidRPr="004D0DAA">
              <w:rPr>
                <w:lang w:eastAsia="en-US"/>
              </w:rPr>
              <w:t>or</w:t>
            </w:r>
          </w:p>
          <w:p w14:paraId="578E107F" w14:textId="77777777" w:rsidR="00711444" w:rsidRPr="004D0DAA" w:rsidRDefault="00711444" w:rsidP="00AA2A4C">
            <w:pPr>
              <w:pStyle w:val="TAL"/>
              <w:rPr>
                <w:lang w:eastAsia="en-US"/>
              </w:rPr>
            </w:pPr>
            <w:r w:rsidRPr="004D0DAA">
              <w:rPr>
                <w:lang w:eastAsia="en-US"/>
              </w:rPr>
              <w:t>(N+43 or N+44) mod 2715648</w:t>
            </w:r>
          </w:p>
          <w:p w14:paraId="001BBB0C" w14:textId="77777777" w:rsidR="00711444" w:rsidRPr="004D0DAA" w:rsidRDefault="00711444" w:rsidP="00AA2A4C">
            <w:pPr>
              <w:pStyle w:val="TAL"/>
              <w:rPr>
                <w:lang w:eastAsia="en-US"/>
              </w:rPr>
            </w:pPr>
            <w:r w:rsidRPr="004D0DAA">
              <w:rPr>
                <w:lang w:eastAsia="en-US"/>
              </w:rPr>
              <w:t>Or</w:t>
            </w:r>
          </w:p>
          <w:p w14:paraId="42E365D8" w14:textId="77777777" w:rsidR="00711444" w:rsidRPr="004D0DAA" w:rsidRDefault="00711444" w:rsidP="00AA2A4C">
            <w:pPr>
              <w:pStyle w:val="TAL"/>
              <w:rPr>
                <w:lang w:eastAsia="en-US"/>
              </w:rPr>
            </w:pPr>
            <w:r w:rsidRPr="004D0DAA">
              <w:rPr>
                <w:lang w:eastAsia="en-US"/>
              </w:rPr>
              <w:t xml:space="preserve">(N+47 or N+48) mod 2715648 </w:t>
            </w:r>
          </w:p>
          <w:p w14:paraId="28C6E8F0" w14:textId="77777777" w:rsidR="00711444" w:rsidRPr="004D0DAA" w:rsidRDefault="00711444" w:rsidP="00AA2A4C">
            <w:pPr>
              <w:pStyle w:val="TAL"/>
              <w:rPr>
                <w:lang w:eastAsia="en-US"/>
              </w:rPr>
            </w:pPr>
            <w:r w:rsidRPr="004D0DAA">
              <w:rPr>
                <w:lang w:eastAsia="en-US"/>
              </w:rPr>
              <w:t>or</w:t>
            </w:r>
          </w:p>
          <w:p w14:paraId="71E2FC67" w14:textId="77777777" w:rsidR="00711444" w:rsidRPr="004D0DAA" w:rsidRDefault="00711444" w:rsidP="00AA2A4C">
            <w:pPr>
              <w:pStyle w:val="TAL"/>
              <w:rPr>
                <w:lang w:eastAsia="en-US"/>
              </w:rPr>
            </w:pPr>
            <w:r w:rsidRPr="004D0DAA">
              <w:rPr>
                <w:lang w:eastAsia="en-US"/>
              </w:rPr>
              <w:t xml:space="preserve">(N+52) mod 2715648 </w:t>
            </w:r>
          </w:p>
          <w:p w14:paraId="2BF9E49E" w14:textId="77777777" w:rsidR="00711444" w:rsidRPr="004D0DAA" w:rsidRDefault="00711444" w:rsidP="00AA2A4C">
            <w:pPr>
              <w:pStyle w:val="TAL"/>
              <w:rPr>
                <w:lang w:eastAsia="en-US"/>
              </w:rPr>
            </w:pPr>
            <w:r w:rsidRPr="004D0DAA">
              <w:rPr>
                <w:lang w:eastAsia="en-US"/>
              </w:rPr>
              <w:t>or</w:t>
            </w:r>
          </w:p>
          <w:p w14:paraId="2CC45C23" w14:textId="77777777" w:rsidR="00711444" w:rsidRPr="004D0DAA" w:rsidRDefault="00711444" w:rsidP="00AA2A4C">
            <w:pPr>
              <w:pStyle w:val="TAL"/>
              <w:rPr>
                <w:lang w:eastAsia="en-US"/>
              </w:rPr>
            </w:pPr>
            <w:r w:rsidRPr="004D0DAA">
              <w:rPr>
                <w:lang w:eastAsia="en-US"/>
              </w:rPr>
              <w:t>(N+56 or N+57) mod 2715648</w:t>
            </w:r>
          </w:p>
          <w:p w14:paraId="040F8349" w14:textId="77777777" w:rsidR="00711444" w:rsidRPr="004D0DAA" w:rsidRDefault="00711444" w:rsidP="00AA2A4C">
            <w:pPr>
              <w:pStyle w:val="TAL"/>
              <w:rPr>
                <w:lang w:eastAsia="en-US"/>
              </w:rPr>
            </w:pPr>
            <w:r w:rsidRPr="004D0DAA">
              <w:rPr>
                <w:lang w:eastAsia="en-US"/>
              </w:rPr>
              <w:t>or</w:t>
            </w:r>
          </w:p>
          <w:p w14:paraId="622C2F74" w14:textId="77777777" w:rsidR="00711444" w:rsidRPr="004D0DAA" w:rsidRDefault="00711444" w:rsidP="00AA2A4C">
            <w:pPr>
              <w:pStyle w:val="TAL"/>
              <w:rPr>
                <w:lang w:eastAsia="en-US"/>
              </w:rPr>
            </w:pPr>
            <w:r w:rsidRPr="004D0DAA">
              <w:rPr>
                <w:lang w:eastAsia="en-US"/>
              </w:rPr>
              <w:t>(N+60 or N+61) mod 2715648</w:t>
            </w:r>
          </w:p>
          <w:p w14:paraId="54256E39" w14:textId="77777777" w:rsidR="00711444" w:rsidRPr="004D0DAA" w:rsidRDefault="00711444" w:rsidP="00AA2A4C">
            <w:pPr>
              <w:pStyle w:val="TAL"/>
              <w:rPr>
                <w:lang w:eastAsia="en-US"/>
              </w:rPr>
            </w:pPr>
            <w:r w:rsidRPr="004D0DAA">
              <w:rPr>
                <w:lang w:eastAsia="en-US"/>
              </w:rPr>
              <w:t>Or</w:t>
            </w:r>
          </w:p>
          <w:p w14:paraId="3B026EED" w14:textId="77777777" w:rsidR="00711444" w:rsidRPr="004D0DAA" w:rsidRDefault="00711444" w:rsidP="00AA2A4C">
            <w:pPr>
              <w:pStyle w:val="TAL"/>
              <w:rPr>
                <w:lang w:eastAsia="en-US"/>
              </w:rPr>
            </w:pPr>
            <w:r w:rsidRPr="004D0DAA">
              <w:rPr>
                <w:lang w:eastAsia="en-US"/>
              </w:rPr>
              <w:t xml:space="preserve">N+65) mod 2715648 </w:t>
            </w:r>
          </w:p>
          <w:p w14:paraId="67665B5A" w14:textId="77777777" w:rsidR="00711444" w:rsidRPr="004D0DAA" w:rsidRDefault="00711444" w:rsidP="00AA2A4C">
            <w:pPr>
              <w:pStyle w:val="TAL"/>
              <w:rPr>
                <w:lang w:eastAsia="en-US"/>
              </w:rPr>
            </w:pPr>
            <w:r w:rsidRPr="004D0DAA">
              <w:rPr>
                <w:lang w:eastAsia="en-US"/>
              </w:rPr>
              <w:t>or</w:t>
            </w:r>
          </w:p>
          <w:p w14:paraId="5CCB830E" w14:textId="77777777" w:rsidR="00711444" w:rsidRPr="004D0DAA" w:rsidRDefault="00711444" w:rsidP="00AA2A4C">
            <w:pPr>
              <w:pStyle w:val="TAL"/>
              <w:rPr>
                <w:lang w:eastAsia="en-US"/>
              </w:rPr>
            </w:pPr>
            <w:r w:rsidRPr="004D0DAA">
              <w:rPr>
                <w:lang w:eastAsia="en-US"/>
              </w:rPr>
              <w:t xml:space="preserve">(N+69 or N+70) mod 2715648 </w:t>
            </w:r>
          </w:p>
          <w:p w14:paraId="066F977E" w14:textId="77777777" w:rsidR="00711444" w:rsidRPr="004D0DAA" w:rsidRDefault="00711444" w:rsidP="00AA2A4C">
            <w:pPr>
              <w:pStyle w:val="TAL"/>
              <w:rPr>
                <w:lang w:eastAsia="en-US"/>
              </w:rPr>
            </w:pPr>
            <w:r w:rsidRPr="004D0DAA">
              <w:rPr>
                <w:lang w:eastAsia="en-US"/>
              </w:rPr>
              <w:t>or</w:t>
            </w:r>
          </w:p>
          <w:p w14:paraId="0213635E" w14:textId="77777777" w:rsidR="00711444" w:rsidRPr="004D0DAA" w:rsidRDefault="00711444" w:rsidP="00AA2A4C">
            <w:pPr>
              <w:pStyle w:val="TAL"/>
              <w:rPr>
                <w:lang w:eastAsia="en-US"/>
              </w:rPr>
            </w:pPr>
            <w:r w:rsidRPr="004D0DAA">
              <w:rPr>
                <w:lang w:eastAsia="en-US"/>
              </w:rPr>
              <w:t>(N+73 or N+74) mod 2715648</w:t>
            </w:r>
          </w:p>
          <w:p w14:paraId="3CD7AF2B" w14:textId="77777777" w:rsidR="00711444" w:rsidRPr="004D0DAA" w:rsidRDefault="00711444" w:rsidP="00AA2A4C">
            <w:pPr>
              <w:pStyle w:val="TAL"/>
              <w:rPr>
                <w:lang w:eastAsia="en-US"/>
              </w:rPr>
            </w:pPr>
            <w:r w:rsidRPr="004D0DAA">
              <w:rPr>
                <w:lang w:eastAsia="en-US"/>
              </w:rPr>
              <w:t>or</w:t>
            </w:r>
          </w:p>
          <w:p w14:paraId="3967C9EF" w14:textId="77777777" w:rsidR="00711444" w:rsidRPr="004D0DAA" w:rsidRDefault="00711444" w:rsidP="00AA2A4C">
            <w:pPr>
              <w:pStyle w:val="TAL"/>
              <w:rPr>
                <w:lang w:eastAsia="en-US"/>
              </w:rPr>
            </w:pPr>
            <w:r w:rsidRPr="004D0DAA">
              <w:rPr>
                <w:lang w:eastAsia="en-US"/>
              </w:rPr>
              <w:t>(N+78) mod 2715648</w:t>
            </w:r>
          </w:p>
          <w:p w14:paraId="5DBAA0FA" w14:textId="77777777" w:rsidR="00711444" w:rsidRPr="004D0DAA" w:rsidRDefault="00711444" w:rsidP="00AA2A4C">
            <w:pPr>
              <w:pStyle w:val="TAL"/>
              <w:rPr>
                <w:lang w:eastAsia="en-US"/>
              </w:rPr>
            </w:pPr>
            <w:r w:rsidRPr="004D0DAA">
              <w:rPr>
                <w:lang w:eastAsia="en-US"/>
              </w:rPr>
              <w:t>Or</w:t>
            </w:r>
          </w:p>
          <w:p w14:paraId="5BBE77C7" w14:textId="77777777" w:rsidR="00711444" w:rsidRPr="004D0DAA" w:rsidRDefault="00711444" w:rsidP="00AA2A4C">
            <w:pPr>
              <w:pStyle w:val="TAL"/>
              <w:rPr>
                <w:lang w:eastAsia="en-US"/>
              </w:rPr>
            </w:pPr>
            <w:r w:rsidRPr="004D0DAA">
              <w:rPr>
                <w:lang w:eastAsia="en-US"/>
              </w:rPr>
              <w:t xml:space="preserve">(N+82 or N+83) mod 2715648 </w:t>
            </w:r>
          </w:p>
          <w:p w14:paraId="3505E8C8"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3EC0122E" w14:textId="77777777" w:rsidR="00711444" w:rsidRPr="004D0DAA" w:rsidRDefault="00711444" w:rsidP="00AA2A4C">
            <w:pPr>
              <w:pStyle w:val="TAL"/>
              <w:rPr>
                <w:lang w:eastAsia="en-US"/>
              </w:rPr>
            </w:pPr>
            <w:r w:rsidRPr="004D0DAA">
              <w:rPr>
                <w:lang w:eastAsia="en-US"/>
              </w:rPr>
              <w:t>or</w:t>
            </w:r>
          </w:p>
          <w:p w14:paraId="69863A29" w14:textId="77777777" w:rsidR="00711444" w:rsidRPr="004D0DAA" w:rsidRDefault="00711444" w:rsidP="00AA2A4C">
            <w:pPr>
              <w:pStyle w:val="TAL"/>
              <w:rPr>
                <w:lang w:eastAsia="en-US"/>
              </w:rPr>
            </w:pPr>
            <w:r w:rsidRPr="004D0DAA">
              <w:rPr>
                <w:lang w:eastAsia="en-US"/>
              </w:rPr>
              <w:t xml:space="preserve">(N+91) mod 2715648 </w:t>
            </w:r>
          </w:p>
          <w:p w14:paraId="5D7233B9" w14:textId="77777777" w:rsidR="00711444" w:rsidRPr="004D0DAA" w:rsidRDefault="00711444" w:rsidP="00AA2A4C">
            <w:pPr>
              <w:pStyle w:val="TAL"/>
              <w:rPr>
                <w:lang w:eastAsia="en-US"/>
              </w:rPr>
            </w:pPr>
            <w:r w:rsidRPr="004D0DAA">
              <w:rPr>
                <w:lang w:eastAsia="en-US"/>
              </w:rPr>
              <w:t>or</w:t>
            </w:r>
          </w:p>
          <w:p w14:paraId="01373194" w14:textId="77777777" w:rsidR="00711444" w:rsidRPr="004D0DAA" w:rsidRDefault="00711444" w:rsidP="00AA2A4C">
            <w:pPr>
              <w:pStyle w:val="TAL"/>
              <w:rPr>
                <w:lang w:eastAsia="en-US"/>
              </w:rPr>
            </w:pPr>
            <w:r w:rsidRPr="004D0DAA">
              <w:rPr>
                <w:lang w:eastAsia="en-US"/>
              </w:rPr>
              <w:t>(N+95 or N+96) mod 2715648</w:t>
            </w:r>
          </w:p>
          <w:p w14:paraId="3D75A76C" w14:textId="77777777" w:rsidR="00711444" w:rsidRPr="004D0DAA" w:rsidRDefault="00711444" w:rsidP="00AA2A4C">
            <w:pPr>
              <w:pStyle w:val="TAL"/>
              <w:rPr>
                <w:lang w:eastAsia="en-US"/>
              </w:rPr>
            </w:pPr>
            <w:r w:rsidRPr="004D0DAA">
              <w:rPr>
                <w:lang w:eastAsia="en-US"/>
              </w:rPr>
              <w:t>Or</w:t>
            </w:r>
          </w:p>
          <w:p w14:paraId="65A4BDF7" w14:textId="77777777" w:rsidR="00711444" w:rsidRPr="004D0DAA" w:rsidRDefault="00711444" w:rsidP="00AA2A4C">
            <w:pPr>
              <w:pStyle w:val="TAL"/>
              <w:rPr>
                <w:lang w:eastAsia="en-US"/>
              </w:rPr>
            </w:pPr>
            <w:r w:rsidRPr="004D0DAA">
              <w:rPr>
                <w:lang w:eastAsia="en-US"/>
              </w:rPr>
              <w:t xml:space="preserve">(N+99 or N+100) mod 2715648 </w:t>
            </w:r>
          </w:p>
          <w:p w14:paraId="7C1888F7" w14:textId="77777777" w:rsidR="00711444" w:rsidRPr="004D0DAA" w:rsidRDefault="00711444" w:rsidP="00AA2A4C">
            <w:pPr>
              <w:pStyle w:val="TAL"/>
              <w:rPr>
                <w:lang w:eastAsia="en-US"/>
              </w:rPr>
            </w:pPr>
            <w:r w:rsidRPr="004D0DAA">
              <w:rPr>
                <w:lang w:eastAsia="en-US"/>
              </w:rPr>
              <w:t>or</w:t>
            </w:r>
          </w:p>
          <w:p w14:paraId="544B5C92" w14:textId="77777777" w:rsidR="00711444" w:rsidRPr="004D0DAA" w:rsidRDefault="00711444" w:rsidP="00AA2A4C">
            <w:pPr>
              <w:pStyle w:val="TAL"/>
              <w:rPr>
                <w:lang w:eastAsia="en-US"/>
              </w:rPr>
            </w:pPr>
            <w:r w:rsidRPr="004D0DAA">
              <w:rPr>
                <w:lang w:eastAsia="en-US"/>
              </w:rPr>
              <w:t xml:space="preserve">(N+104) mod 2715648 </w:t>
            </w:r>
          </w:p>
          <w:p w14:paraId="6A2B3C28" w14:textId="77777777" w:rsidR="00711444" w:rsidRPr="004D0DAA" w:rsidRDefault="00711444" w:rsidP="00AA2A4C">
            <w:pPr>
              <w:pStyle w:val="TAL"/>
              <w:rPr>
                <w:lang w:eastAsia="en-US"/>
              </w:rPr>
            </w:pPr>
            <w:r w:rsidRPr="004D0DAA">
              <w:rPr>
                <w:lang w:eastAsia="en-US"/>
              </w:rPr>
              <w:t>or</w:t>
            </w:r>
          </w:p>
          <w:p w14:paraId="17AFB2AF" w14:textId="77777777" w:rsidR="00711444" w:rsidRPr="004D0DAA" w:rsidRDefault="00711444" w:rsidP="00AA2A4C">
            <w:pPr>
              <w:pStyle w:val="TAL"/>
              <w:rPr>
                <w:lang w:eastAsia="en-US"/>
              </w:rPr>
            </w:pPr>
            <w:r w:rsidRPr="004D0DAA">
              <w:rPr>
                <w:lang w:eastAsia="en-US"/>
              </w:rPr>
              <w:t xml:space="preserve">(N+108 or N+109) mod 2715648 </w:t>
            </w:r>
          </w:p>
          <w:p w14:paraId="4A66A97B" w14:textId="77777777" w:rsidR="00711444" w:rsidRPr="004D0DAA" w:rsidRDefault="00711444" w:rsidP="00AA2A4C">
            <w:pPr>
              <w:pStyle w:val="TAL"/>
              <w:rPr>
                <w:lang w:eastAsia="en-US"/>
              </w:rPr>
            </w:pPr>
            <w:r w:rsidRPr="004D0DAA">
              <w:rPr>
                <w:lang w:eastAsia="en-US"/>
              </w:rPr>
              <w:t>or</w:t>
            </w:r>
          </w:p>
          <w:p w14:paraId="5F80BF94" w14:textId="77777777" w:rsidR="00711444" w:rsidRPr="004D0DAA" w:rsidRDefault="00711444" w:rsidP="00AA2A4C">
            <w:pPr>
              <w:pStyle w:val="TAL"/>
              <w:rPr>
                <w:lang w:eastAsia="en-US"/>
              </w:rPr>
            </w:pPr>
            <w:r w:rsidRPr="004D0DAA">
              <w:rPr>
                <w:lang w:eastAsia="en-US"/>
              </w:rPr>
              <w:t>(N+112 or N+113) mod 2715648</w:t>
            </w:r>
          </w:p>
        </w:tc>
      </w:tr>
      <w:tr w:rsidR="00711444" w:rsidRPr="004D0DAA" w14:paraId="38A2AA78" w14:textId="77777777" w:rsidTr="00AA2A4C">
        <w:trPr>
          <w:cantSplit/>
          <w:jc w:val="center"/>
        </w:trPr>
        <w:tc>
          <w:tcPr>
            <w:tcW w:w="714" w:type="pct"/>
          </w:tcPr>
          <w:p w14:paraId="373C68BC" w14:textId="77777777" w:rsidR="00711444" w:rsidRPr="004D0DAA" w:rsidRDefault="00711444" w:rsidP="00AA2A4C">
            <w:pPr>
              <w:pStyle w:val="TAC"/>
              <w:rPr>
                <w:lang w:eastAsia="en-US"/>
              </w:rPr>
            </w:pPr>
            <w:r w:rsidRPr="004D0DAA">
              <w:rPr>
                <w:lang w:eastAsia="en-US"/>
              </w:rPr>
              <w:lastRenderedPageBreak/>
              <w:t>0 1</w:t>
            </w:r>
          </w:p>
        </w:tc>
        <w:tc>
          <w:tcPr>
            <w:tcW w:w="714" w:type="pct"/>
          </w:tcPr>
          <w:p w14:paraId="238AD016" w14:textId="77777777" w:rsidR="00711444" w:rsidRPr="004D0DAA" w:rsidRDefault="00711444" w:rsidP="00AA2A4C">
            <w:pPr>
              <w:pStyle w:val="TAL"/>
              <w:rPr>
                <w:lang w:eastAsia="en-US"/>
              </w:rPr>
            </w:pPr>
            <w:r w:rsidRPr="004D0DAA">
              <w:rPr>
                <w:lang w:eastAsia="en-US"/>
              </w:rPr>
              <w:t>(N+17 or N+18) mod 2715648</w:t>
            </w:r>
          </w:p>
        </w:tc>
        <w:tc>
          <w:tcPr>
            <w:tcW w:w="714" w:type="pct"/>
          </w:tcPr>
          <w:p w14:paraId="1F5DA307" w14:textId="77777777" w:rsidR="00711444" w:rsidRPr="004D0DAA" w:rsidRDefault="00711444" w:rsidP="00AA2A4C">
            <w:pPr>
              <w:pStyle w:val="TAL"/>
              <w:rPr>
                <w:lang w:eastAsia="en-US"/>
              </w:rPr>
            </w:pPr>
            <w:r w:rsidRPr="004D0DAA">
              <w:rPr>
                <w:lang w:eastAsia="en-US"/>
              </w:rPr>
              <w:t xml:space="preserve">(N+21 or N+22) mod 2715648 </w:t>
            </w:r>
          </w:p>
          <w:p w14:paraId="6643FE82" w14:textId="77777777" w:rsidR="00711444" w:rsidRPr="004D0DAA" w:rsidRDefault="00711444" w:rsidP="00AA2A4C">
            <w:pPr>
              <w:pStyle w:val="TAL"/>
              <w:rPr>
                <w:lang w:eastAsia="en-US"/>
              </w:rPr>
            </w:pPr>
            <w:r w:rsidRPr="004D0DAA">
              <w:rPr>
                <w:lang w:eastAsia="en-US"/>
              </w:rPr>
              <w:t>or</w:t>
            </w:r>
          </w:p>
          <w:p w14:paraId="5987BF8E" w14:textId="77777777" w:rsidR="00711444" w:rsidRPr="004D0DAA" w:rsidRDefault="00711444" w:rsidP="00AA2A4C">
            <w:pPr>
              <w:pStyle w:val="TAL"/>
              <w:rPr>
                <w:lang w:eastAsia="en-US"/>
              </w:rPr>
            </w:pPr>
            <w:r w:rsidRPr="004D0DAA">
              <w:rPr>
                <w:lang w:eastAsia="en-US"/>
              </w:rPr>
              <w:t>(N+26) mod 2715648</w:t>
            </w:r>
          </w:p>
        </w:tc>
        <w:tc>
          <w:tcPr>
            <w:tcW w:w="714" w:type="pct"/>
          </w:tcPr>
          <w:p w14:paraId="47CC8DDE" w14:textId="77777777" w:rsidR="00711444" w:rsidRPr="004D0DAA" w:rsidRDefault="00711444" w:rsidP="00AA2A4C">
            <w:pPr>
              <w:pStyle w:val="TAL"/>
              <w:rPr>
                <w:lang w:eastAsia="en-US"/>
              </w:rPr>
            </w:pPr>
            <w:r w:rsidRPr="004D0DAA">
              <w:rPr>
                <w:lang w:eastAsia="en-US"/>
              </w:rPr>
              <w:t xml:space="preserve">(N+30 or N+31) mod 2715648 </w:t>
            </w:r>
          </w:p>
          <w:p w14:paraId="0D6B4AFA" w14:textId="77777777" w:rsidR="00711444" w:rsidRPr="004D0DAA" w:rsidRDefault="00711444" w:rsidP="00AA2A4C">
            <w:pPr>
              <w:pStyle w:val="TAL"/>
              <w:rPr>
                <w:lang w:eastAsia="en-US"/>
              </w:rPr>
            </w:pPr>
            <w:r w:rsidRPr="004D0DAA">
              <w:rPr>
                <w:lang w:eastAsia="en-US"/>
              </w:rPr>
              <w:t>or</w:t>
            </w:r>
          </w:p>
          <w:p w14:paraId="68281DAD" w14:textId="77777777" w:rsidR="00711444" w:rsidRPr="004D0DAA" w:rsidRDefault="00711444" w:rsidP="00AA2A4C">
            <w:pPr>
              <w:pStyle w:val="TAL"/>
              <w:rPr>
                <w:lang w:eastAsia="en-US"/>
              </w:rPr>
            </w:pPr>
            <w:r w:rsidRPr="004D0DAA">
              <w:rPr>
                <w:lang w:eastAsia="en-US"/>
              </w:rPr>
              <w:t xml:space="preserve">(N+34 or N+35) mod 2715648 </w:t>
            </w:r>
          </w:p>
          <w:p w14:paraId="66077347" w14:textId="77777777" w:rsidR="00711444" w:rsidRPr="004D0DAA" w:rsidRDefault="00711444" w:rsidP="00AA2A4C">
            <w:pPr>
              <w:pStyle w:val="TAL"/>
              <w:rPr>
                <w:lang w:eastAsia="en-US"/>
              </w:rPr>
            </w:pPr>
            <w:r w:rsidRPr="004D0DAA">
              <w:rPr>
                <w:lang w:eastAsia="en-US"/>
              </w:rPr>
              <w:t>or</w:t>
            </w:r>
          </w:p>
          <w:p w14:paraId="46DE472E" w14:textId="77777777" w:rsidR="00711444" w:rsidRPr="004D0DAA" w:rsidRDefault="00711444" w:rsidP="00AA2A4C">
            <w:pPr>
              <w:pStyle w:val="TAL"/>
              <w:rPr>
                <w:lang w:eastAsia="en-US"/>
              </w:rPr>
            </w:pPr>
            <w:r w:rsidRPr="004D0DAA">
              <w:rPr>
                <w:lang w:eastAsia="en-US"/>
              </w:rPr>
              <w:t xml:space="preserve">(N+39) mod 2715648 </w:t>
            </w:r>
          </w:p>
          <w:p w14:paraId="585D8820" w14:textId="77777777" w:rsidR="00711444" w:rsidRPr="004D0DAA" w:rsidRDefault="00711444" w:rsidP="00AA2A4C">
            <w:pPr>
              <w:pStyle w:val="TAL"/>
              <w:rPr>
                <w:lang w:eastAsia="en-US"/>
              </w:rPr>
            </w:pPr>
            <w:r w:rsidRPr="004D0DAA">
              <w:rPr>
                <w:lang w:eastAsia="en-US"/>
              </w:rPr>
              <w:t>or</w:t>
            </w:r>
          </w:p>
          <w:p w14:paraId="173C1A5B" w14:textId="77777777" w:rsidR="00711444" w:rsidRPr="004D0DAA" w:rsidRDefault="00711444" w:rsidP="00AA2A4C">
            <w:pPr>
              <w:pStyle w:val="TAL"/>
              <w:rPr>
                <w:lang w:eastAsia="en-US"/>
              </w:rPr>
            </w:pPr>
            <w:r w:rsidRPr="004D0DAA">
              <w:rPr>
                <w:lang w:eastAsia="en-US"/>
              </w:rPr>
              <w:t>(N+43 or N+44) mod 2715648</w:t>
            </w:r>
          </w:p>
        </w:tc>
        <w:tc>
          <w:tcPr>
            <w:tcW w:w="714" w:type="pct"/>
          </w:tcPr>
          <w:p w14:paraId="77CBC9A8" w14:textId="77777777" w:rsidR="00711444" w:rsidRPr="004D0DAA" w:rsidRDefault="00711444" w:rsidP="00AA2A4C">
            <w:pPr>
              <w:pStyle w:val="TAL"/>
              <w:rPr>
                <w:lang w:eastAsia="en-US"/>
              </w:rPr>
            </w:pPr>
            <w:r w:rsidRPr="004D0DAA">
              <w:rPr>
                <w:lang w:eastAsia="en-US"/>
              </w:rPr>
              <w:t xml:space="preserve">N+47 or N+48) mod 2715648 </w:t>
            </w:r>
          </w:p>
          <w:p w14:paraId="60041F80" w14:textId="77777777" w:rsidR="00711444" w:rsidRPr="004D0DAA" w:rsidRDefault="00711444" w:rsidP="00AA2A4C">
            <w:pPr>
              <w:pStyle w:val="TAL"/>
              <w:rPr>
                <w:lang w:eastAsia="en-US"/>
              </w:rPr>
            </w:pPr>
            <w:r w:rsidRPr="004D0DAA">
              <w:rPr>
                <w:lang w:eastAsia="en-US"/>
              </w:rPr>
              <w:t>or</w:t>
            </w:r>
          </w:p>
          <w:p w14:paraId="193959E1" w14:textId="77777777" w:rsidR="00711444" w:rsidRPr="004D0DAA" w:rsidRDefault="00711444" w:rsidP="00AA2A4C">
            <w:pPr>
              <w:pStyle w:val="TAL"/>
              <w:rPr>
                <w:lang w:eastAsia="en-US"/>
              </w:rPr>
            </w:pPr>
            <w:r w:rsidRPr="004D0DAA">
              <w:rPr>
                <w:lang w:eastAsia="en-US"/>
              </w:rPr>
              <w:t xml:space="preserve">(N+52) mod 2715648 </w:t>
            </w:r>
          </w:p>
          <w:p w14:paraId="4839C130" w14:textId="77777777" w:rsidR="00711444" w:rsidRPr="004D0DAA" w:rsidRDefault="00711444" w:rsidP="00AA2A4C">
            <w:pPr>
              <w:pStyle w:val="TAL"/>
              <w:rPr>
                <w:lang w:eastAsia="en-US"/>
              </w:rPr>
            </w:pPr>
            <w:r w:rsidRPr="004D0DAA">
              <w:rPr>
                <w:lang w:eastAsia="en-US"/>
              </w:rPr>
              <w:t>or</w:t>
            </w:r>
          </w:p>
          <w:p w14:paraId="6AB52DF8" w14:textId="77777777" w:rsidR="00711444" w:rsidRPr="004D0DAA" w:rsidRDefault="00711444" w:rsidP="00AA2A4C">
            <w:pPr>
              <w:pStyle w:val="TAL"/>
              <w:rPr>
                <w:lang w:eastAsia="en-US"/>
              </w:rPr>
            </w:pPr>
            <w:r w:rsidRPr="004D0DAA">
              <w:rPr>
                <w:lang w:eastAsia="en-US"/>
              </w:rPr>
              <w:t>(N+56 or N+57) mod 2715648</w:t>
            </w:r>
          </w:p>
          <w:p w14:paraId="43B173A3" w14:textId="77777777" w:rsidR="00711444" w:rsidRPr="004D0DAA" w:rsidRDefault="00711444" w:rsidP="00AA2A4C">
            <w:pPr>
              <w:pStyle w:val="TAL"/>
              <w:rPr>
                <w:lang w:eastAsia="en-US"/>
              </w:rPr>
            </w:pPr>
            <w:r w:rsidRPr="004D0DAA">
              <w:rPr>
                <w:lang w:eastAsia="en-US"/>
              </w:rPr>
              <w:t>or</w:t>
            </w:r>
          </w:p>
          <w:p w14:paraId="09AE0750" w14:textId="77777777" w:rsidR="00711444" w:rsidRPr="004D0DAA" w:rsidRDefault="00711444" w:rsidP="00AA2A4C">
            <w:pPr>
              <w:pStyle w:val="TAL"/>
              <w:rPr>
                <w:lang w:eastAsia="en-US"/>
              </w:rPr>
            </w:pPr>
            <w:r w:rsidRPr="004D0DAA">
              <w:rPr>
                <w:lang w:eastAsia="en-US"/>
              </w:rPr>
              <w:t>(N+60 or N+61) mod 2715648</w:t>
            </w:r>
          </w:p>
          <w:p w14:paraId="745B4C65" w14:textId="77777777" w:rsidR="00711444" w:rsidRPr="004D0DAA" w:rsidRDefault="00711444" w:rsidP="00AA2A4C">
            <w:pPr>
              <w:pStyle w:val="TAL"/>
              <w:rPr>
                <w:lang w:eastAsia="en-US"/>
              </w:rPr>
            </w:pPr>
            <w:r w:rsidRPr="004D0DAA">
              <w:rPr>
                <w:lang w:eastAsia="en-US"/>
              </w:rPr>
              <w:t>Or</w:t>
            </w:r>
          </w:p>
          <w:p w14:paraId="6D8EB1B4" w14:textId="77777777" w:rsidR="00711444" w:rsidRPr="004D0DAA" w:rsidRDefault="00711444" w:rsidP="00AA2A4C">
            <w:pPr>
              <w:pStyle w:val="TAL"/>
              <w:rPr>
                <w:lang w:eastAsia="en-US"/>
              </w:rPr>
            </w:pPr>
            <w:r w:rsidRPr="004D0DAA">
              <w:rPr>
                <w:lang w:eastAsia="en-US"/>
              </w:rPr>
              <w:t xml:space="preserve">(N+65) mod 2715648 </w:t>
            </w:r>
          </w:p>
          <w:p w14:paraId="16443FB4" w14:textId="77777777" w:rsidR="00711444" w:rsidRPr="004D0DAA" w:rsidRDefault="00711444" w:rsidP="00AA2A4C">
            <w:pPr>
              <w:pStyle w:val="TAL"/>
              <w:rPr>
                <w:lang w:eastAsia="en-US"/>
              </w:rPr>
            </w:pPr>
            <w:r w:rsidRPr="004D0DAA">
              <w:rPr>
                <w:lang w:eastAsia="en-US"/>
              </w:rPr>
              <w:t>or</w:t>
            </w:r>
          </w:p>
          <w:p w14:paraId="534C92DD" w14:textId="77777777" w:rsidR="00711444" w:rsidRPr="004D0DAA" w:rsidRDefault="00711444" w:rsidP="00AA2A4C">
            <w:pPr>
              <w:pStyle w:val="TAL"/>
              <w:rPr>
                <w:lang w:eastAsia="en-US"/>
              </w:rPr>
            </w:pPr>
            <w:r w:rsidRPr="004D0DAA">
              <w:rPr>
                <w:lang w:eastAsia="en-US"/>
              </w:rPr>
              <w:t xml:space="preserve">(N+69 or N+70) mod 2715648 </w:t>
            </w:r>
          </w:p>
          <w:p w14:paraId="3BAB0426" w14:textId="77777777" w:rsidR="00711444" w:rsidRPr="004D0DAA" w:rsidRDefault="00711444" w:rsidP="00AA2A4C">
            <w:pPr>
              <w:pStyle w:val="TAL"/>
              <w:rPr>
                <w:lang w:eastAsia="en-US"/>
              </w:rPr>
            </w:pPr>
            <w:r w:rsidRPr="004D0DAA">
              <w:rPr>
                <w:lang w:eastAsia="en-US"/>
              </w:rPr>
              <w:t>or</w:t>
            </w:r>
          </w:p>
          <w:p w14:paraId="2ACAF3CF" w14:textId="77777777" w:rsidR="00711444" w:rsidRPr="004D0DAA" w:rsidRDefault="00711444" w:rsidP="00AA2A4C">
            <w:pPr>
              <w:pStyle w:val="TAL"/>
              <w:rPr>
                <w:lang w:eastAsia="en-US"/>
              </w:rPr>
            </w:pPr>
            <w:r w:rsidRPr="004D0DAA">
              <w:rPr>
                <w:lang w:eastAsia="en-US"/>
              </w:rPr>
              <w:t>(N+73 or N+74) mod 2715648</w:t>
            </w:r>
          </w:p>
          <w:p w14:paraId="46F8030C" w14:textId="77777777" w:rsidR="00711444" w:rsidRPr="004D0DAA" w:rsidRDefault="00711444" w:rsidP="00AA2A4C">
            <w:pPr>
              <w:pStyle w:val="TAL"/>
              <w:rPr>
                <w:lang w:eastAsia="en-US"/>
              </w:rPr>
            </w:pPr>
            <w:r w:rsidRPr="004D0DAA">
              <w:rPr>
                <w:lang w:eastAsia="en-US"/>
              </w:rPr>
              <w:t>or</w:t>
            </w:r>
          </w:p>
          <w:p w14:paraId="3399BBB3" w14:textId="77777777" w:rsidR="00711444" w:rsidRPr="004D0DAA" w:rsidRDefault="00711444" w:rsidP="00AA2A4C">
            <w:pPr>
              <w:pStyle w:val="TAL"/>
              <w:rPr>
                <w:lang w:eastAsia="en-US"/>
              </w:rPr>
            </w:pPr>
            <w:r w:rsidRPr="004D0DAA">
              <w:rPr>
                <w:lang w:eastAsia="en-US"/>
              </w:rPr>
              <w:t>(N+78) mod 2715648</w:t>
            </w:r>
          </w:p>
        </w:tc>
        <w:tc>
          <w:tcPr>
            <w:tcW w:w="714" w:type="pct"/>
          </w:tcPr>
          <w:p w14:paraId="2BC2A1CA" w14:textId="77777777" w:rsidR="00711444" w:rsidRPr="004D0DAA" w:rsidRDefault="00711444" w:rsidP="00AA2A4C">
            <w:pPr>
              <w:pStyle w:val="TAL"/>
              <w:rPr>
                <w:lang w:eastAsia="en-US"/>
              </w:rPr>
            </w:pPr>
            <w:r w:rsidRPr="004D0DAA">
              <w:rPr>
                <w:lang w:eastAsia="en-US"/>
              </w:rPr>
              <w:t xml:space="preserve">N+65) mod 2715648 </w:t>
            </w:r>
          </w:p>
          <w:p w14:paraId="64C57B1A" w14:textId="77777777" w:rsidR="00711444" w:rsidRPr="004D0DAA" w:rsidRDefault="00711444" w:rsidP="00AA2A4C">
            <w:pPr>
              <w:pStyle w:val="TAL"/>
              <w:rPr>
                <w:lang w:eastAsia="en-US"/>
              </w:rPr>
            </w:pPr>
            <w:r w:rsidRPr="004D0DAA">
              <w:rPr>
                <w:lang w:eastAsia="en-US"/>
              </w:rPr>
              <w:t>or</w:t>
            </w:r>
          </w:p>
          <w:p w14:paraId="0710818B" w14:textId="77777777" w:rsidR="00711444" w:rsidRPr="004D0DAA" w:rsidRDefault="00711444" w:rsidP="00AA2A4C">
            <w:pPr>
              <w:pStyle w:val="TAL"/>
              <w:rPr>
                <w:lang w:eastAsia="en-US"/>
              </w:rPr>
            </w:pPr>
            <w:r w:rsidRPr="004D0DAA">
              <w:rPr>
                <w:lang w:eastAsia="en-US"/>
              </w:rPr>
              <w:t xml:space="preserve">(N+69 or N+70) mod 2715648 </w:t>
            </w:r>
          </w:p>
          <w:p w14:paraId="1F4676F5" w14:textId="77777777" w:rsidR="00711444" w:rsidRPr="004D0DAA" w:rsidRDefault="00711444" w:rsidP="00AA2A4C">
            <w:pPr>
              <w:pStyle w:val="TAL"/>
              <w:rPr>
                <w:lang w:eastAsia="en-US"/>
              </w:rPr>
            </w:pPr>
            <w:r w:rsidRPr="004D0DAA">
              <w:rPr>
                <w:lang w:eastAsia="en-US"/>
              </w:rPr>
              <w:t>or</w:t>
            </w:r>
          </w:p>
          <w:p w14:paraId="6D4E5717" w14:textId="77777777" w:rsidR="00711444" w:rsidRPr="004D0DAA" w:rsidRDefault="00711444" w:rsidP="00AA2A4C">
            <w:pPr>
              <w:pStyle w:val="TAL"/>
              <w:rPr>
                <w:lang w:eastAsia="en-US"/>
              </w:rPr>
            </w:pPr>
            <w:r w:rsidRPr="004D0DAA">
              <w:rPr>
                <w:lang w:eastAsia="en-US"/>
              </w:rPr>
              <w:t>(N+73 or N+74) mod 2715648</w:t>
            </w:r>
          </w:p>
          <w:p w14:paraId="716FEF22" w14:textId="77777777" w:rsidR="00711444" w:rsidRPr="004D0DAA" w:rsidRDefault="00711444" w:rsidP="00AA2A4C">
            <w:pPr>
              <w:pStyle w:val="TAL"/>
              <w:rPr>
                <w:lang w:eastAsia="en-US"/>
              </w:rPr>
            </w:pPr>
            <w:r w:rsidRPr="004D0DAA">
              <w:rPr>
                <w:lang w:eastAsia="en-US"/>
              </w:rPr>
              <w:t>or</w:t>
            </w:r>
          </w:p>
          <w:p w14:paraId="6E35ED33" w14:textId="77777777" w:rsidR="00711444" w:rsidRPr="004D0DAA" w:rsidRDefault="00711444" w:rsidP="00AA2A4C">
            <w:pPr>
              <w:pStyle w:val="TAL"/>
              <w:rPr>
                <w:lang w:eastAsia="en-US"/>
              </w:rPr>
            </w:pPr>
            <w:r w:rsidRPr="004D0DAA">
              <w:rPr>
                <w:lang w:eastAsia="en-US"/>
              </w:rPr>
              <w:t>(N+78) mod 2715648</w:t>
            </w:r>
          </w:p>
          <w:p w14:paraId="25D9B57D" w14:textId="77777777" w:rsidR="00711444" w:rsidRPr="004D0DAA" w:rsidRDefault="00711444" w:rsidP="00AA2A4C">
            <w:pPr>
              <w:pStyle w:val="TAL"/>
              <w:rPr>
                <w:lang w:eastAsia="en-US"/>
              </w:rPr>
            </w:pPr>
            <w:r w:rsidRPr="004D0DAA">
              <w:rPr>
                <w:lang w:eastAsia="en-US"/>
              </w:rPr>
              <w:t>Or</w:t>
            </w:r>
          </w:p>
          <w:p w14:paraId="2C144EE8" w14:textId="77777777" w:rsidR="00711444" w:rsidRPr="004D0DAA" w:rsidRDefault="00711444" w:rsidP="00AA2A4C">
            <w:pPr>
              <w:pStyle w:val="TAL"/>
              <w:rPr>
                <w:lang w:eastAsia="en-US"/>
              </w:rPr>
            </w:pPr>
            <w:r w:rsidRPr="004D0DAA">
              <w:rPr>
                <w:lang w:eastAsia="en-US"/>
              </w:rPr>
              <w:t xml:space="preserve">(N+82 or N+83) mod 2715648 </w:t>
            </w:r>
          </w:p>
          <w:p w14:paraId="2223F399"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5844FBD6" w14:textId="77777777" w:rsidR="00711444" w:rsidRPr="004D0DAA" w:rsidRDefault="00711444" w:rsidP="00AA2A4C">
            <w:pPr>
              <w:pStyle w:val="TAL"/>
              <w:rPr>
                <w:lang w:eastAsia="en-US"/>
              </w:rPr>
            </w:pPr>
            <w:r w:rsidRPr="004D0DAA">
              <w:rPr>
                <w:lang w:eastAsia="en-US"/>
              </w:rPr>
              <w:t>or</w:t>
            </w:r>
          </w:p>
          <w:p w14:paraId="697E36FA" w14:textId="77777777" w:rsidR="00711444" w:rsidRPr="004D0DAA" w:rsidRDefault="00711444" w:rsidP="00AA2A4C">
            <w:pPr>
              <w:pStyle w:val="TAL"/>
              <w:rPr>
                <w:lang w:eastAsia="en-US"/>
              </w:rPr>
            </w:pPr>
            <w:r w:rsidRPr="004D0DAA">
              <w:rPr>
                <w:lang w:eastAsia="en-US"/>
              </w:rPr>
              <w:t xml:space="preserve">(N+91) mod 2715648 </w:t>
            </w:r>
          </w:p>
          <w:p w14:paraId="2A1006CA" w14:textId="77777777" w:rsidR="00711444" w:rsidRPr="004D0DAA" w:rsidRDefault="00711444" w:rsidP="00AA2A4C">
            <w:pPr>
              <w:pStyle w:val="TAL"/>
              <w:rPr>
                <w:lang w:eastAsia="en-US"/>
              </w:rPr>
            </w:pPr>
            <w:r w:rsidRPr="004D0DAA">
              <w:rPr>
                <w:lang w:eastAsia="en-US"/>
              </w:rPr>
              <w:t>or</w:t>
            </w:r>
          </w:p>
          <w:p w14:paraId="43E1316C" w14:textId="77777777" w:rsidR="00711444" w:rsidRPr="004D0DAA" w:rsidRDefault="00711444" w:rsidP="00AA2A4C">
            <w:pPr>
              <w:pStyle w:val="TAL"/>
              <w:rPr>
                <w:lang w:eastAsia="en-US"/>
              </w:rPr>
            </w:pPr>
            <w:r w:rsidRPr="004D0DAA">
              <w:rPr>
                <w:lang w:eastAsia="en-US"/>
              </w:rPr>
              <w:t>(N+95 or N+96) mod 2715648</w:t>
            </w:r>
          </w:p>
          <w:p w14:paraId="3131E55C" w14:textId="77777777" w:rsidR="00711444" w:rsidRPr="004D0DAA" w:rsidRDefault="00711444" w:rsidP="00AA2A4C">
            <w:pPr>
              <w:pStyle w:val="TAL"/>
              <w:rPr>
                <w:lang w:eastAsia="en-US"/>
              </w:rPr>
            </w:pPr>
            <w:r w:rsidRPr="004D0DAA">
              <w:rPr>
                <w:lang w:eastAsia="en-US"/>
              </w:rPr>
              <w:t>Or</w:t>
            </w:r>
          </w:p>
          <w:p w14:paraId="6238CE31" w14:textId="77777777" w:rsidR="00711444" w:rsidRPr="004D0DAA" w:rsidRDefault="00711444" w:rsidP="00AA2A4C">
            <w:pPr>
              <w:pStyle w:val="TAL"/>
              <w:rPr>
                <w:lang w:eastAsia="en-US"/>
              </w:rPr>
            </w:pPr>
            <w:r w:rsidRPr="004D0DAA">
              <w:rPr>
                <w:lang w:eastAsia="en-US"/>
              </w:rPr>
              <w:t xml:space="preserve">(N+99 or N+100) mod 2715648 </w:t>
            </w:r>
          </w:p>
          <w:p w14:paraId="384B0A7D" w14:textId="77777777" w:rsidR="00711444" w:rsidRPr="004D0DAA" w:rsidRDefault="00711444" w:rsidP="00AA2A4C">
            <w:pPr>
              <w:pStyle w:val="TAL"/>
              <w:rPr>
                <w:lang w:eastAsia="en-US"/>
              </w:rPr>
            </w:pPr>
            <w:r w:rsidRPr="004D0DAA">
              <w:rPr>
                <w:lang w:eastAsia="en-US"/>
              </w:rPr>
              <w:t>or</w:t>
            </w:r>
          </w:p>
          <w:p w14:paraId="31DE2B56" w14:textId="77777777" w:rsidR="00711444" w:rsidRPr="004D0DAA" w:rsidRDefault="00711444" w:rsidP="00AA2A4C">
            <w:pPr>
              <w:pStyle w:val="TAL"/>
              <w:rPr>
                <w:lang w:eastAsia="en-US"/>
              </w:rPr>
            </w:pPr>
            <w:r w:rsidRPr="004D0DAA">
              <w:rPr>
                <w:lang w:eastAsia="en-US"/>
              </w:rPr>
              <w:t xml:space="preserve">(N+104) mod 2715648 </w:t>
            </w:r>
          </w:p>
          <w:p w14:paraId="3331587C" w14:textId="77777777" w:rsidR="00711444" w:rsidRPr="004D0DAA" w:rsidRDefault="00711444" w:rsidP="00AA2A4C">
            <w:pPr>
              <w:pStyle w:val="TAL"/>
              <w:rPr>
                <w:lang w:eastAsia="en-US"/>
              </w:rPr>
            </w:pPr>
            <w:r w:rsidRPr="004D0DAA">
              <w:rPr>
                <w:lang w:eastAsia="en-US"/>
              </w:rPr>
              <w:t>or</w:t>
            </w:r>
          </w:p>
          <w:p w14:paraId="071C6983" w14:textId="77777777" w:rsidR="00711444" w:rsidRPr="004D0DAA" w:rsidRDefault="00711444" w:rsidP="00AA2A4C">
            <w:pPr>
              <w:pStyle w:val="TAL"/>
              <w:rPr>
                <w:lang w:eastAsia="en-US"/>
              </w:rPr>
            </w:pPr>
            <w:r w:rsidRPr="004D0DAA">
              <w:rPr>
                <w:lang w:eastAsia="en-US"/>
              </w:rPr>
              <w:t xml:space="preserve">(N+108 or N+109) mod 2715648 </w:t>
            </w:r>
          </w:p>
          <w:p w14:paraId="68087F9C" w14:textId="77777777" w:rsidR="00711444" w:rsidRPr="004D0DAA" w:rsidRDefault="00711444" w:rsidP="00AA2A4C">
            <w:pPr>
              <w:pStyle w:val="TAL"/>
              <w:rPr>
                <w:lang w:eastAsia="en-US"/>
              </w:rPr>
            </w:pPr>
            <w:r w:rsidRPr="004D0DAA">
              <w:rPr>
                <w:lang w:eastAsia="en-US"/>
              </w:rPr>
              <w:t>or</w:t>
            </w:r>
          </w:p>
          <w:p w14:paraId="29146647" w14:textId="77777777" w:rsidR="00711444" w:rsidRPr="004D0DAA" w:rsidRDefault="00711444" w:rsidP="00AA2A4C">
            <w:pPr>
              <w:pStyle w:val="TAL"/>
              <w:rPr>
                <w:lang w:eastAsia="en-US"/>
              </w:rPr>
            </w:pPr>
            <w:r w:rsidRPr="004D0DAA">
              <w:rPr>
                <w:lang w:eastAsia="en-US"/>
              </w:rPr>
              <w:t>(N+112 or N+113) mod 2715648</w:t>
            </w:r>
          </w:p>
        </w:tc>
        <w:tc>
          <w:tcPr>
            <w:tcW w:w="716" w:type="pct"/>
          </w:tcPr>
          <w:p w14:paraId="0EA48D22" w14:textId="77777777" w:rsidR="00711444" w:rsidRPr="004D0DAA" w:rsidRDefault="00711444" w:rsidP="00AA2A4C">
            <w:pPr>
              <w:pStyle w:val="TAL"/>
              <w:rPr>
                <w:lang w:eastAsia="en-US"/>
              </w:rPr>
            </w:pPr>
            <w:r w:rsidRPr="004D0DAA">
              <w:rPr>
                <w:lang w:eastAsia="en-US"/>
              </w:rPr>
              <w:t xml:space="preserve">(N+117) mod 2715648 </w:t>
            </w:r>
          </w:p>
          <w:p w14:paraId="59C714F0" w14:textId="77777777" w:rsidR="00711444" w:rsidRPr="004D0DAA" w:rsidRDefault="00711444" w:rsidP="00AA2A4C">
            <w:pPr>
              <w:pStyle w:val="TAL"/>
              <w:rPr>
                <w:lang w:eastAsia="en-US"/>
              </w:rPr>
            </w:pPr>
            <w:r w:rsidRPr="004D0DAA">
              <w:rPr>
                <w:lang w:eastAsia="en-US"/>
              </w:rPr>
              <w:t>or</w:t>
            </w:r>
          </w:p>
          <w:p w14:paraId="457B0EE2" w14:textId="77777777" w:rsidR="00711444" w:rsidRPr="004D0DAA" w:rsidRDefault="00711444" w:rsidP="00AA2A4C">
            <w:pPr>
              <w:pStyle w:val="TAL"/>
              <w:rPr>
                <w:lang w:eastAsia="en-US"/>
              </w:rPr>
            </w:pPr>
            <w:r w:rsidRPr="004D0DAA">
              <w:rPr>
                <w:lang w:eastAsia="en-US"/>
              </w:rPr>
              <w:t xml:space="preserve">(N+121 or N+122) mod 2715648 </w:t>
            </w:r>
          </w:p>
          <w:p w14:paraId="1CF6C9D2" w14:textId="77777777" w:rsidR="00711444" w:rsidRPr="004D0DAA" w:rsidRDefault="00711444" w:rsidP="00AA2A4C">
            <w:pPr>
              <w:pStyle w:val="TAL"/>
              <w:rPr>
                <w:lang w:eastAsia="en-US"/>
              </w:rPr>
            </w:pPr>
            <w:r w:rsidRPr="004D0DAA">
              <w:rPr>
                <w:lang w:eastAsia="en-US"/>
              </w:rPr>
              <w:t>or</w:t>
            </w:r>
          </w:p>
          <w:p w14:paraId="42A94F56" w14:textId="77777777" w:rsidR="00711444" w:rsidRPr="004D0DAA" w:rsidRDefault="00711444" w:rsidP="00AA2A4C">
            <w:pPr>
              <w:pStyle w:val="TAL"/>
              <w:rPr>
                <w:lang w:eastAsia="en-US"/>
              </w:rPr>
            </w:pPr>
            <w:r w:rsidRPr="004D0DAA">
              <w:rPr>
                <w:lang w:eastAsia="en-US"/>
              </w:rPr>
              <w:t>(N+125 or N+126) mod 2715648</w:t>
            </w:r>
          </w:p>
          <w:p w14:paraId="74556C1B" w14:textId="77777777" w:rsidR="00711444" w:rsidRPr="004D0DAA" w:rsidRDefault="00711444" w:rsidP="00AA2A4C">
            <w:pPr>
              <w:pStyle w:val="TAL"/>
              <w:rPr>
                <w:lang w:eastAsia="en-US"/>
              </w:rPr>
            </w:pPr>
            <w:r w:rsidRPr="004D0DAA">
              <w:rPr>
                <w:lang w:eastAsia="en-US"/>
              </w:rPr>
              <w:t>or</w:t>
            </w:r>
          </w:p>
          <w:p w14:paraId="0C214E29" w14:textId="77777777" w:rsidR="00711444" w:rsidRPr="004D0DAA" w:rsidRDefault="00711444" w:rsidP="00AA2A4C">
            <w:pPr>
              <w:pStyle w:val="TAL"/>
              <w:rPr>
                <w:lang w:eastAsia="en-US"/>
              </w:rPr>
            </w:pPr>
            <w:r w:rsidRPr="004D0DAA">
              <w:rPr>
                <w:lang w:eastAsia="en-US"/>
              </w:rPr>
              <w:t>(N+130) mod 2715648</w:t>
            </w:r>
          </w:p>
          <w:p w14:paraId="74C0223B" w14:textId="77777777" w:rsidR="00711444" w:rsidRPr="004D0DAA" w:rsidRDefault="00711444" w:rsidP="00AA2A4C">
            <w:pPr>
              <w:pStyle w:val="TAL"/>
              <w:rPr>
                <w:lang w:eastAsia="en-US"/>
              </w:rPr>
            </w:pPr>
            <w:r w:rsidRPr="004D0DAA">
              <w:rPr>
                <w:lang w:eastAsia="en-US"/>
              </w:rPr>
              <w:t>Or</w:t>
            </w:r>
          </w:p>
          <w:p w14:paraId="09EE1923" w14:textId="77777777" w:rsidR="00711444" w:rsidRPr="004D0DAA" w:rsidRDefault="00711444" w:rsidP="00AA2A4C">
            <w:pPr>
              <w:pStyle w:val="TAL"/>
              <w:rPr>
                <w:lang w:eastAsia="en-US"/>
              </w:rPr>
            </w:pPr>
            <w:r w:rsidRPr="004D0DAA">
              <w:rPr>
                <w:lang w:eastAsia="en-US"/>
              </w:rPr>
              <w:t xml:space="preserve">(N+134 or N+135) mod 2715648 </w:t>
            </w:r>
          </w:p>
          <w:p w14:paraId="0E47162E" w14:textId="77777777" w:rsidR="00711444" w:rsidRPr="004D0DAA" w:rsidRDefault="00711444" w:rsidP="00AA2A4C">
            <w:pPr>
              <w:pStyle w:val="TAL"/>
              <w:rPr>
                <w:lang w:eastAsia="en-US"/>
              </w:rPr>
            </w:pPr>
            <w:r w:rsidRPr="004D0DAA">
              <w:rPr>
                <w:lang w:eastAsia="en-US"/>
              </w:rPr>
              <w:t>or</w:t>
            </w:r>
          </w:p>
          <w:p w14:paraId="582A9A9B" w14:textId="77777777" w:rsidR="00711444" w:rsidRPr="004D0DAA" w:rsidRDefault="00711444" w:rsidP="00AA2A4C">
            <w:pPr>
              <w:pStyle w:val="TAL"/>
              <w:rPr>
                <w:lang w:eastAsia="en-US"/>
              </w:rPr>
            </w:pPr>
            <w:r w:rsidRPr="004D0DAA">
              <w:rPr>
                <w:lang w:eastAsia="en-US"/>
              </w:rPr>
              <w:t xml:space="preserve">(N+138 or N+139) mod 2715648 </w:t>
            </w:r>
          </w:p>
          <w:p w14:paraId="757A197A" w14:textId="77777777" w:rsidR="00711444" w:rsidRPr="004D0DAA" w:rsidRDefault="00711444" w:rsidP="00AA2A4C">
            <w:pPr>
              <w:pStyle w:val="TAL"/>
              <w:rPr>
                <w:lang w:eastAsia="en-US"/>
              </w:rPr>
            </w:pPr>
            <w:r w:rsidRPr="004D0DAA">
              <w:rPr>
                <w:lang w:eastAsia="en-US"/>
              </w:rPr>
              <w:t>or</w:t>
            </w:r>
          </w:p>
          <w:p w14:paraId="6830501C" w14:textId="77777777" w:rsidR="00711444" w:rsidRPr="004D0DAA" w:rsidRDefault="00711444" w:rsidP="00AA2A4C">
            <w:pPr>
              <w:pStyle w:val="TAL"/>
              <w:rPr>
                <w:lang w:eastAsia="en-US"/>
              </w:rPr>
            </w:pPr>
            <w:r w:rsidRPr="004D0DAA">
              <w:rPr>
                <w:lang w:eastAsia="en-US"/>
              </w:rPr>
              <w:t>(N+143) mod 2715648</w:t>
            </w:r>
          </w:p>
          <w:p w14:paraId="207E2681" w14:textId="77777777" w:rsidR="00711444" w:rsidRPr="004D0DAA" w:rsidRDefault="00711444" w:rsidP="00AA2A4C">
            <w:pPr>
              <w:pStyle w:val="TAL"/>
              <w:rPr>
                <w:lang w:eastAsia="en-US"/>
              </w:rPr>
            </w:pPr>
            <w:r w:rsidRPr="004D0DAA">
              <w:rPr>
                <w:lang w:eastAsia="en-US"/>
              </w:rPr>
              <w:t>or</w:t>
            </w:r>
          </w:p>
          <w:p w14:paraId="2297DEA8" w14:textId="77777777" w:rsidR="00711444" w:rsidRPr="004D0DAA" w:rsidRDefault="00711444" w:rsidP="00AA2A4C">
            <w:pPr>
              <w:pStyle w:val="TAL"/>
              <w:rPr>
                <w:lang w:eastAsia="en-US"/>
              </w:rPr>
            </w:pPr>
            <w:r w:rsidRPr="004D0DAA">
              <w:rPr>
                <w:lang w:eastAsia="en-US"/>
              </w:rPr>
              <w:t>(N+147 or N+148) mod 2715648</w:t>
            </w:r>
          </w:p>
          <w:p w14:paraId="3745AAEC" w14:textId="77777777" w:rsidR="00711444" w:rsidRPr="004D0DAA" w:rsidRDefault="00711444" w:rsidP="00AA2A4C">
            <w:pPr>
              <w:pStyle w:val="TAL"/>
              <w:rPr>
                <w:lang w:eastAsia="en-US"/>
              </w:rPr>
            </w:pPr>
            <w:r w:rsidRPr="004D0DAA">
              <w:rPr>
                <w:lang w:eastAsia="en-US"/>
              </w:rPr>
              <w:t>Or</w:t>
            </w:r>
          </w:p>
          <w:p w14:paraId="06BAFC0D" w14:textId="77777777" w:rsidR="00711444" w:rsidRPr="004D0DAA" w:rsidRDefault="00711444" w:rsidP="00AA2A4C">
            <w:pPr>
              <w:pStyle w:val="TAL"/>
              <w:rPr>
                <w:lang w:eastAsia="en-US"/>
              </w:rPr>
            </w:pPr>
            <w:r w:rsidRPr="004D0DAA">
              <w:rPr>
                <w:lang w:eastAsia="en-US"/>
              </w:rPr>
              <w:t>(N+151 or N+152) mod 2715648</w:t>
            </w:r>
          </w:p>
          <w:p w14:paraId="4E6429CE" w14:textId="77777777" w:rsidR="00711444" w:rsidRPr="004D0DAA" w:rsidRDefault="00711444" w:rsidP="00AA2A4C">
            <w:pPr>
              <w:pStyle w:val="TAL"/>
              <w:rPr>
                <w:lang w:eastAsia="en-US"/>
              </w:rPr>
            </w:pPr>
            <w:r w:rsidRPr="004D0DAA">
              <w:rPr>
                <w:lang w:eastAsia="en-US"/>
              </w:rPr>
              <w:t>or</w:t>
            </w:r>
          </w:p>
          <w:p w14:paraId="73A4AEAE" w14:textId="77777777" w:rsidR="00711444" w:rsidRPr="004D0DAA" w:rsidRDefault="00711444" w:rsidP="00AA2A4C">
            <w:pPr>
              <w:pStyle w:val="TAL"/>
              <w:rPr>
                <w:lang w:eastAsia="en-US"/>
              </w:rPr>
            </w:pPr>
            <w:r w:rsidRPr="004D0DAA">
              <w:rPr>
                <w:lang w:eastAsia="en-US"/>
              </w:rPr>
              <w:t>(N+156) mod 2715648</w:t>
            </w:r>
          </w:p>
          <w:p w14:paraId="0FCE4A2A" w14:textId="77777777" w:rsidR="00711444" w:rsidRPr="004D0DAA" w:rsidRDefault="00711444" w:rsidP="00AA2A4C">
            <w:pPr>
              <w:pStyle w:val="TAL"/>
              <w:rPr>
                <w:lang w:eastAsia="en-US"/>
              </w:rPr>
            </w:pPr>
            <w:r w:rsidRPr="004D0DAA">
              <w:rPr>
                <w:lang w:eastAsia="en-US"/>
              </w:rPr>
              <w:t>or</w:t>
            </w:r>
          </w:p>
          <w:p w14:paraId="77FFF7F5" w14:textId="77777777" w:rsidR="00711444" w:rsidRPr="004D0DAA" w:rsidRDefault="00711444" w:rsidP="00AA2A4C">
            <w:pPr>
              <w:pStyle w:val="TAL"/>
              <w:rPr>
                <w:lang w:eastAsia="en-US"/>
              </w:rPr>
            </w:pPr>
            <w:r w:rsidRPr="004D0DAA">
              <w:rPr>
                <w:lang w:eastAsia="en-US"/>
              </w:rPr>
              <w:t>(N+160 or N+161) mod</w:t>
            </w:r>
          </w:p>
          <w:p w14:paraId="31D875E1" w14:textId="77777777" w:rsidR="00711444" w:rsidRPr="004D0DAA" w:rsidRDefault="00711444" w:rsidP="00AA2A4C">
            <w:pPr>
              <w:pStyle w:val="TAL"/>
              <w:rPr>
                <w:lang w:eastAsia="en-US"/>
              </w:rPr>
            </w:pPr>
            <w:r w:rsidRPr="004D0DAA">
              <w:rPr>
                <w:lang w:eastAsia="en-US"/>
              </w:rPr>
              <w:t>2715648</w:t>
            </w:r>
          </w:p>
          <w:p w14:paraId="582F0696" w14:textId="77777777" w:rsidR="00711444" w:rsidRPr="004D0DAA" w:rsidRDefault="00711444" w:rsidP="00AA2A4C">
            <w:pPr>
              <w:pStyle w:val="TAL"/>
              <w:rPr>
                <w:lang w:eastAsia="en-US"/>
              </w:rPr>
            </w:pPr>
            <w:r w:rsidRPr="004D0DAA">
              <w:rPr>
                <w:lang w:eastAsia="en-US"/>
              </w:rPr>
              <w:t>or</w:t>
            </w:r>
          </w:p>
          <w:p w14:paraId="1F1C9E22" w14:textId="77777777" w:rsidR="00711444" w:rsidRPr="004D0DAA" w:rsidRDefault="00711444" w:rsidP="00AA2A4C">
            <w:pPr>
              <w:pStyle w:val="TAL"/>
              <w:rPr>
                <w:lang w:eastAsia="en-US"/>
              </w:rPr>
            </w:pPr>
            <w:r w:rsidRPr="004D0DAA">
              <w:rPr>
                <w:lang w:eastAsia="en-US"/>
              </w:rPr>
              <w:t>(N+164 or N+165) mode 2715648</w:t>
            </w:r>
          </w:p>
          <w:p w14:paraId="27EB3893" w14:textId="77777777" w:rsidR="00711444" w:rsidRPr="004D0DAA" w:rsidRDefault="00711444" w:rsidP="00AA2A4C">
            <w:pPr>
              <w:pStyle w:val="TAL"/>
              <w:rPr>
                <w:lang w:eastAsia="en-US"/>
              </w:rPr>
            </w:pPr>
            <w:r w:rsidRPr="004D0DAA">
              <w:rPr>
                <w:lang w:eastAsia="en-US"/>
              </w:rPr>
              <w:t>Or</w:t>
            </w:r>
          </w:p>
          <w:p w14:paraId="05E6180D" w14:textId="77777777" w:rsidR="00711444" w:rsidRPr="004D0DAA" w:rsidRDefault="00711444" w:rsidP="00AA2A4C">
            <w:pPr>
              <w:pStyle w:val="TAL"/>
              <w:rPr>
                <w:lang w:eastAsia="en-US"/>
              </w:rPr>
            </w:pPr>
            <w:r w:rsidRPr="004D0DAA">
              <w:rPr>
                <w:lang w:eastAsia="en-US"/>
              </w:rPr>
              <w:t xml:space="preserve">(N+169) mod 2715648 </w:t>
            </w:r>
          </w:p>
          <w:p w14:paraId="67356A7C" w14:textId="77777777" w:rsidR="00711444" w:rsidRPr="004D0DAA" w:rsidRDefault="00711444" w:rsidP="00AA2A4C">
            <w:pPr>
              <w:pStyle w:val="TAL"/>
              <w:rPr>
                <w:lang w:eastAsia="en-US"/>
              </w:rPr>
            </w:pPr>
            <w:r w:rsidRPr="004D0DAA">
              <w:rPr>
                <w:lang w:eastAsia="en-US"/>
              </w:rPr>
              <w:t>or</w:t>
            </w:r>
          </w:p>
          <w:p w14:paraId="074306FE" w14:textId="77777777" w:rsidR="00711444" w:rsidRPr="004D0DAA" w:rsidRDefault="00711444" w:rsidP="00AA2A4C">
            <w:pPr>
              <w:pStyle w:val="TAL"/>
              <w:rPr>
                <w:lang w:eastAsia="en-US"/>
              </w:rPr>
            </w:pPr>
            <w:r w:rsidRPr="004D0DAA">
              <w:rPr>
                <w:lang w:eastAsia="en-US"/>
              </w:rPr>
              <w:t xml:space="preserve">(N+173 or N+174) mod 2715648 </w:t>
            </w:r>
          </w:p>
          <w:p w14:paraId="316FFFFD" w14:textId="77777777" w:rsidR="00711444" w:rsidRPr="004D0DAA" w:rsidRDefault="00711444" w:rsidP="00AA2A4C">
            <w:pPr>
              <w:pStyle w:val="TAL"/>
              <w:rPr>
                <w:lang w:eastAsia="en-US"/>
              </w:rPr>
            </w:pPr>
            <w:r w:rsidRPr="004D0DAA">
              <w:rPr>
                <w:lang w:eastAsia="en-US"/>
              </w:rPr>
              <w:t>or</w:t>
            </w:r>
          </w:p>
          <w:p w14:paraId="30BC4BDA" w14:textId="77777777" w:rsidR="00711444" w:rsidRPr="004D0DAA" w:rsidRDefault="00711444" w:rsidP="00AA2A4C">
            <w:pPr>
              <w:pStyle w:val="TAL"/>
              <w:rPr>
                <w:lang w:eastAsia="en-US"/>
              </w:rPr>
            </w:pPr>
            <w:r w:rsidRPr="004D0DAA">
              <w:rPr>
                <w:lang w:eastAsia="en-US"/>
              </w:rPr>
              <w:t>(N+177 or N+178) mod 2715648</w:t>
            </w:r>
          </w:p>
          <w:p w14:paraId="42B6B3DA" w14:textId="77777777" w:rsidR="00711444" w:rsidRPr="004D0DAA" w:rsidRDefault="00711444" w:rsidP="00AA2A4C">
            <w:pPr>
              <w:pStyle w:val="TAL"/>
              <w:rPr>
                <w:lang w:eastAsia="en-US"/>
              </w:rPr>
            </w:pPr>
            <w:r w:rsidRPr="004D0DAA">
              <w:rPr>
                <w:lang w:eastAsia="en-US"/>
              </w:rPr>
              <w:t>or</w:t>
            </w:r>
          </w:p>
          <w:p w14:paraId="761E7ADF" w14:textId="77777777" w:rsidR="00711444" w:rsidRPr="004D0DAA" w:rsidRDefault="00711444" w:rsidP="00AA2A4C">
            <w:pPr>
              <w:pStyle w:val="TAL"/>
              <w:rPr>
                <w:lang w:eastAsia="en-US"/>
              </w:rPr>
            </w:pPr>
            <w:r w:rsidRPr="004D0DAA">
              <w:rPr>
                <w:lang w:eastAsia="en-US"/>
              </w:rPr>
              <w:t>(N+182) mod 2715648</w:t>
            </w:r>
          </w:p>
          <w:p w14:paraId="0A5CC490" w14:textId="77777777" w:rsidR="00711444" w:rsidRPr="004D0DAA" w:rsidRDefault="00711444" w:rsidP="00AA2A4C">
            <w:pPr>
              <w:pStyle w:val="TAL"/>
              <w:rPr>
                <w:lang w:eastAsia="en-US"/>
              </w:rPr>
            </w:pPr>
            <w:r w:rsidRPr="004D0DAA">
              <w:rPr>
                <w:lang w:eastAsia="en-US"/>
              </w:rPr>
              <w:t>Or</w:t>
            </w:r>
          </w:p>
          <w:p w14:paraId="23ED6C0E" w14:textId="77777777" w:rsidR="00711444" w:rsidRPr="004D0DAA" w:rsidRDefault="00711444" w:rsidP="00AA2A4C">
            <w:pPr>
              <w:pStyle w:val="TAL"/>
              <w:rPr>
                <w:lang w:eastAsia="en-US"/>
              </w:rPr>
            </w:pPr>
            <w:r w:rsidRPr="004D0DAA">
              <w:rPr>
                <w:lang w:eastAsia="en-US"/>
              </w:rPr>
              <w:t xml:space="preserve">(N+186 or N+187) mod 2715648 </w:t>
            </w:r>
          </w:p>
          <w:p w14:paraId="66572136" w14:textId="77777777" w:rsidR="00711444" w:rsidRPr="004D0DAA" w:rsidRDefault="00711444" w:rsidP="00AA2A4C">
            <w:pPr>
              <w:pStyle w:val="TAL"/>
              <w:rPr>
                <w:lang w:eastAsia="en-US"/>
              </w:rPr>
            </w:pPr>
            <w:r w:rsidRPr="004D0DAA">
              <w:rPr>
                <w:lang w:eastAsia="en-US"/>
              </w:rPr>
              <w:t>or</w:t>
            </w:r>
          </w:p>
          <w:p w14:paraId="37A20370" w14:textId="77777777" w:rsidR="00711444" w:rsidRPr="004D0DAA" w:rsidRDefault="00711444" w:rsidP="00AA2A4C">
            <w:pPr>
              <w:pStyle w:val="TAL"/>
              <w:rPr>
                <w:lang w:eastAsia="en-US"/>
              </w:rPr>
            </w:pPr>
            <w:r w:rsidRPr="004D0DAA">
              <w:rPr>
                <w:lang w:eastAsia="en-US"/>
              </w:rPr>
              <w:t xml:space="preserve">(N+190 or N+191) mod 2715648 </w:t>
            </w:r>
          </w:p>
          <w:p w14:paraId="5D6AABF7" w14:textId="77777777" w:rsidR="00711444" w:rsidRPr="004D0DAA" w:rsidRDefault="00711444" w:rsidP="00AA2A4C">
            <w:pPr>
              <w:pStyle w:val="TAL"/>
              <w:rPr>
                <w:lang w:eastAsia="en-US"/>
              </w:rPr>
            </w:pPr>
            <w:r w:rsidRPr="004D0DAA">
              <w:rPr>
                <w:lang w:eastAsia="en-US"/>
              </w:rPr>
              <w:t>or</w:t>
            </w:r>
          </w:p>
          <w:p w14:paraId="6053F91F" w14:textId="77777777" w:rsidR="00711444" w:rsidRPr="004D0DAA" w:rsidRDefault="00711444" w:rsidP="00AA2A4C">
            <w:pPr>
              <w:pStyle w:val="TAL"/>
              <w:rPr>
                <w:lang w:eastAsia="en-US"/>
              </w:rPr>
            </w:pPr>
            <w:r w:rsidRPr="004D0DAA">
              <w:rPr>
                <w:lang w:eastAsia="en-US"/>
              </w:rPr>
              <w:t>(N+195) mod 2715648</w:t>
            </w:r>
          </w:p>
          <w:p w14:paraId="108904AA" w14:textId="77777777" w:rsidR="00711444" w:rsidRPr="004D0DAA" w:rsidRDefault="00711444" w:rsidP="00AA2A4C">
            <w:pPr>
              <w:pStyle w:val="TAL"/>
              <w:rPr>
                <w:lang w:eastAsia="en-US"/>
              </w:rPr>
            </w:pPr>
            <w:r w:rsidRPr="004D0DAA">
              <w:rPr>
                <w:lang w:eastAsia="en-US"/>
              </w:rPr>
              <w:t>or</w:t>
            </w:r>
          </w:p>
          <w:p w14:paraId="73849E89" w14:textId="77777777" w:rsidR="00711444" w:rsidRPr="004D0DAA" w:rsidRDefault="00711444" w:rsidP="00AA2A4C">
            <w:pPr>
              <w:pStyle w:val="TAL"/>
              <w:rPr>
                <w:lang w:eastAsia="en-US"/>
              </w:rPr>
            </w:pPr>
            <w:r w:rsidRPr="004D0DAA">
              <w:rPr>
                <w:lang w:eastAsia="en-US"/>
              </w:rPr>
              <w:t>(N+199 or N+200) mod 2715648</w:t>
            </w:r>
          </w:p>
          <w:p w14:paraId="41C2D120" w14:textId="77777777" w:rsidR="00711444" w:rsidRPr="004D0DAA" w:rsidRDefault="00711444" w:rsidP="00AA2A4C">
            <w:pPr>
              <w:pStyle w:val="TAL"/>
              <w:rPr>
                <w:lang w:eastAsia="en-US"/>
              </w:rPr>
            </w:pPr>
            <w:r w:rsidRPr="004D0DAA">
              <w:rPr>
                <w:lang w:eastAsia="en-US"/>
              </w:rPr>
              <w:t>Or</w:t>
            </w:r>
          </w:p>
          <w:p w14:paraId="69DD8D11" w14:textId="77777777" w:rsidR="00711444" w:rsidRPr="004D0DAA" w:rsidRDefault="00711444" w:rsidP="00AA2A4C">
            <w:pPr>
              <w:pStyle w:val="TAL"/>
              <w:rPr>
                <w:lang w:eastAsia="en-US"/>
              </w:rPr>
            </w:pPr>
            <w:r w:rsidRPr="004D0DAA">
              <w:rPr>
                <w:lang w:eastAsia="en-US"/>
              </w:rPr>
              <w:t>(N+203 or N+204) mod 2715648</w:t>
            </w:r>
          </w:p>
          <w:p w14:paraId="7379BA36" w14:textId="77777777" w:rsidR="00711444" w:rsidRPr="004D0DAA" w:rsidRDefault="00711444" w:rsidP="00AA2A4C">
            <w:pPr>
              <w:pStyle w:val="TAL"/>
              <w:rPr>
                <w:lang w:eastAsia="en-US"/>
              </w:rPr>
            </w:pPr>
            <w:r w:rsidRPr="004D0DAA">
              <w:rPr>
                <w:lang w:eastAsia="en-US"/>
              </w:rPr>
              <w:t>or</w:t>
            </w:r>
          </w:p>
          <w:p w14:paraId="1FE99F2F" w14:textId="77777777" w:rsidR="00711444" w:rsidRPr="004D0DAA" w:rsidRDefault="00711444" w:rsidP="00AA2A4C">
            <w:pPr>
              <w:pStyle w:val="TAL"/>
              <w:rPr>
                <w:lang w:eastAsia="en-US"/>
              </w:rPr>
            </w:pPr>
            <w:r w:rsidRPr="004D0DAA">
              <w:rPr>
                <w:lang w:eastAsia="en-US"/>
              </w:rPr>
              <w:t>(N+208) mod 2715648</w:t>
            </w:r>
          </w:p>
          <w:p w14:paraId="608C8166" w14:textId="77777777" w:rsidR="00711444" w:rsidRPr="004D0DAA" w:rsidRDefault="00711444" w:rsidP="00AA2A4C">
            <w:pPr>
              <w:pStyle w:val="TAL"/>
              <w:rPr>
                <w:lang w:eastAsia="en-US"/>
              </w:rPr>
            </w:pPr>
            <w:r w:rsidRPr="004D0DAA">
              <w:rPr>
                <w:lang w:eastAsia="en-US"/>
              </w:rPr>
              <w:t>or</w:t>
            </w:r>
          </w:p>
          <w:p w14:paraId="094D1028" w14:textId="77777777" w:rsidR="00711444" w:rsidRPr="004D0DAA" w:rsidRDefault="00711444" w:rsidP="00AA2A4C">
            <w:pPr>
              <w:pStyle w:val="TAL"/>
              <w:rPr>
                <w:lang w:eastAsia="en-US"/>
              </w:rPr>
            </w:pPr>
            <w:r w:rsidRPr="004D0DAA">
              <w:rPr>
                <w:lang w:eastAsia="en-US"/>
              </w:rPr>
              <w:t>(N+212 or N+213) mod</w:t>
            </w:r>
          </w:p>
          <w:p w14:paraId="6C7189CC" w14:textId="77777777" w:rsidR="00711444" w:rsidRPr="004D0DAA" w:rsidRDefault="00711444" w:rsidP="00AA2A4C">
            <w:pPr>
              <w:pStyle w:val="TAL"/>
              <w:rPr>
                <w:lang w:eastAsia="en-US"/>
              </w:rPr>
            </w:pPr>
            <w:r w:rsidRPr="004D0DAA">
              <w:rPr>
                <w:lang w:eastAsia="en-US"/>
              </w:rPr>
              <w:t>2715648</w:t>
            </w:r>
          </w:p>
          <w:p w14:paraId="5AC04AF2" w14:textId="77777777" w:rsidR="00711444" w:rsidRPr="004D0DAA" w:rsidRDefault="00711444" w:rsidP="00AA2A4C">
            <w:pPr>
              <w:pStyle w:val="TAL"/>
              <w:rPr>
                <w:lang w:eastAsia="en-US"/>
              </w:rPr>
            </w:pPr>
            <w:r w:rsidRPr="004D0DAA">
              <w:rPr>
                <w:lang w:eastAsia="en-US"/>
              </w:rPr>
              <w:t>or</w:t>
            </w:r>
          </w:p>
          <w:p w14:paraId="1E081F3A" w14:textId="77777777" w:rsidR="00711444" w:rsidRPr="004D0DAA" w:rsidRDefault="00711444" w:rsidP="00AA2A4C">
            <w:pPr>
              <w:pStyle w:val="TAL"/>
              <w:rPr>
                <w:lang w:eastAsia="en-US"/>
              </w:rPr>
            </w:pPr>
            <w:r w:rsidRPr="004D0DAA">
              <w:rPr>
                <w:lang w:eastAsia="en-US"/>
              </w:rPr>
              <w:t>(N+216 or N+217) mode 2715648</w:t>
            </w:r>
          </w:p>
        </w:tc>
      </w:tr>
      <w:tr w:rsidR="00711444" w:rsidRPr="004D0DAA" w14:paraId="1479971A" w14:textId="77777777" w:rsidTr="00AA2A4C">
        <w:trPr>
          <w:cantSplit/>
          <w:jc w:val="center"/>
        </w:trPr>
        <w:tc>
          <w:tcPr>
            <w:tcW w:w="714" w:type="pct"/>
          </w:tcPr>
          <w:p w14:paraId="5372927D" w14:textId="77777777" w:rsidR="00711444" w:rsidRPr="004D0DAA" w:rsidRDefault="00711444" w:rsidP="00AA2A4C">
            <w:pPr>
              <w:pStyle w:val="TAC"/>
              <w:rPr>
                <w:lang w:eastAsia="en-US"/>
              </w:rPr>
            </w:pPr>
            <w:r w:rsidRPr="004D0DAA">
              <w:rPr>
                <w:lang w:eastAsia="en-US"/>
              </w:rPr>
              <w:lastRenderedPageBreak/>
              <w:t>1 0</w:t>
            </w:r>
          </w:p>
        </w:tc>
        <w:tc>
          <w:tcPr>
            <w:tcW w:w="714" w:type="pct"/>
          </w:tcPr>
          <w:p w14:paraId="6D6A9787" w14:textId="77777777" w:rsidR="00711444" w:rsidRPr="004D0DAA" w:rsidRDefault="00711444" w:rsidP="00AA2A4C">
            <w:pPr>
              <w:pStyle w:val="TAL"/>
              <w:rPr>
                <w:lang w:eastAsia="en-US"/>
              </w:rPr>
            </w:pPr>
            <w:r w:rsidRPr="004D0DAA">
              <w:rPr>
                <w:lang w:eastAsia="en-US"/>
              </w:rPr>
              <w:t>(N+21 or N+22) mod 2715648</w:t>
            </w:r>
          </w:p>
          <w:p w14:paraId="2D44193E" w14:textId="77777777" w:rsidR="00711444" w:rsidRPr="004D0DAA" w:rsidRDefault="00711444" w:rsidP="00AA2A4C">
            <w:pPr>
              <w:pStyle w:val="TAL"/>
              <w:rPr>
                <w:lang w:eastAsia="en-US"/>
              </w:rPr>
            </w:pPr>
          </w:p>
        </w:tc>
        <w:tc>
          <w:tcPr>
            <w:tcW w:w="714" w:type="pct"/>
          </w:tcPr>
          <w:p w14:paraId="28893B76" w14:textId="77777777" w:rsidR="00711444" w:rsidRPr="004D0DAA" w:rsidRDefault="00711444" w:rsidP="00AA2A4C">
            <w:pPr>
              <w:pStyle w:val="TAL"/>
              <w:rPr>
                <w:lang w:eastAsia="en-US"/>
              </w:rPr>
            </w:pPr>
            <w:r w:rsidRPr="004D0DAA">
              <w:rPr>
                <w:lang w:eastAsia="en-US"/>
              </w:rPr>
              <w:t>(N+30 or N+31) mod 2715648</w:t>
            </w:r>
          </w:p>
          <w:p w14:paraId="33BAF2D6" w14:textId="77777777" w:rsidR="00711444" w:rsidRPr="004D0DAA" w:rsidRDefault="00711444" w:rsidP="00AA2A4C">
            <w:pPr>
              <w:pStyle w:val="TAL"/>
              <w:rPr>
                <w:lang w:eastAsia="en-US"/>
              </w:rPr>
            </w:pPr>
            <w:r w:rsidRPr="004D0DAA">
              <w:rPr>
                <w:lang w:eastAsia="en-US"/>
              </w:rPr>
              <w:t>or</w:t>
            </w:r>
          </w:p>
          <w:p w14:paraId="2602D4D5" w14:textId="77777777" w:rsidR="00711444" w:rsidRPr="004D0DAA" w:rsidRDefault="00711444" w:rsidP="00AA2A4C">
            <w:pPr>
              <w:pStyle w:val="TAL"/>
              <w:rPr>
                <w:lang w:eastAsia="en-US"/>
              </w:rPr>
            </w:pPr>
            <w:r w:rsidRPr="004D0DAA">
              <w:rPr>
                <w:lang w:eastAsia="en-US"/>
              </w:rPr>
              <w:t>(N+34 or N+35 ) mod 2715648</w:t>
            </w:r>
          </w:p>
        </w:tc>
        <w:tc>
          <w:tcPr>
            <w:tcW w:w="714" w:type="pct"/>
          </w:tcPr>
          <w:p w14:paraId="55ABC818" w14:textId="77777777" w:rsidR="00711444" w:rsidRPr="004D0DAA" w:rsidRDefault="00711444" w:rsidP="00AA2A4C">
            <w:pPr>
              <w:pStyle w:val="TAL"/>
              <w:rPr>
                <w:lang w:eastAsia="en-US"/>
              </w:rPr>
            </w:pPr>
            <w:r w:rsidRPr="004D0DAA">
              <w:rPr>
                <w:lang w:eastAsia="en-US"/>
              </w:rPr>
              <w:t xml:space="preserve">(N+47 or N+48) mod 2715648 </w:t>
            </w:r>
          </w:p>
          <w:p w14:paraId="3A281CF5" w14:textId="77777777" w:rsidR="00711444" w:rsidRPr="004D0DAA" w:rsidRDefault="00711444" w:rsidP="00AA2A4C">
            <w:pPr>
              <w:pStyle w:val="TAL"/>
              <w:rPr>
                <w:lang w:eastAsia="en-US"/>
              </w:rPr>
            </w:pPr>
            <w:r w:rsidRPr="004D0DAA">
              <w:rPr>
                <w:lang w:eastAsia="en-US"/>
              </w:rPr>
              <w:t>or</w:t>
            </w:r>
          </w:p>
          <w:p w14:paraId="2FEBAD7C" w14:textId="77777777" w:rsidR="00711444" w:rsidRPr="004D0DAA" w:rsidRDefault="00711444" w:rsidP="00AA2A4C">
            <w:pPr>
              <w:pStyle w:val="TAL"/>
              <w:rPr>
                <w:lang w:eastAsia="en-US"/>
              </w:rPr>
            </w:pPr>
            <w:r w:rsidRPr="004D0DAA">
              <w:rPr>
                <w:lang w:eastAsia="en-US"/>
              </w:rPr>
              <w:t xml:space="preserve">(N+52) mod 2715648 </w:t>
            </w:r>
          </w:p>
          <w:p w14:paraId="7F6B36A6" w14:textId="77777777" w:rsidR="00711444" w:rsidRPr="004D0DAA" w:rsidRDefault="00711444" w:rsidP="00AA2A4C">
            <w:pPr>
              <w:pStyle w:val="TAL"/>
              <w:rPr>
                <w:lang w:eastAsia="en-US"/>
              </w:rPr>
            </w:pPr>
            <w:r w:rsidRPr="004D0DAA">
              <w:rPr>
                <w:lang w:eastAsia="en-US"/>
              </w:rPr>
              <w:t>or</w:t>
            </w:r>
          </w:p>
          <w:p w14:paraId="4F1C7EE2" w14:textId="77777777" w:rsidR="00711444" w:rsidRPr="004D0DAA" w:rsidRDefault="00711444" w:rsidP="00AA2A4C">
            <w:pPr>
              <w:pStyle w:val="TAL"/>
              <w:rPr>
                <w:lang w:eastAsia="en-US"/>
              </w:rPr>
            </w:pPr>
            <w:r w:rsidRPr="004D0DAA">
              <w:rPr>
                <w:lang w:eastAsia="en-US"/>
              </w:rPr>
              <w:t>(N+56 or N+57) mod 2715648</w:t>
            </w:r>
          </w:p>
          <w:p w14:paraId="133C7241" w14:textId="77777777" w:rsidR="00711444" w:rsidRPr="004D0DAA" w:rsidRDefault="00711444" w:rsidP="00AA2A4C">
            <w:pPr>
              <w:pStyle w:val="TAL"/>
              <w:rPr>
                <w:lang w:eastAsia="en-US"/>
              </w:rPr>
            </w:pPr>
            <w:r w:rsidRPr="004D0DAA">
              <w:rPr>
                <w:lang w:eastAsia="en-US"/>
              </w:rPr>
              <w:t>or</w:t>
            </w:r>
          </w:p>
          <w:p w14:paraId="10F7EC67" w14:textId="77777777" w:rsidR="00711444" w:rsidRPr="004D0DAA" w:rsidRDefault="00711444" w:rsidP="00AA2A4C">
            <w:pPr>
              <w:pStyle w:val="TAL"/>
              <w:rPr>
                <w:lang w:eastAsia="en-US"/>
              </w:rPr>
            </w:pPr>
            <w:r w:rsidRPr="004D0DAA">
              <w:rPr>
                <w:lang w:eastAsia="en-US"/>
              </w:rPr>
              <w:t>(N+60 or N+61) mod 2715648</w:t>
            </w:r>
          </w:p>
        </w:tc>
        <w:tc>
          <w:tcPr>
            <w:tcW w:w="714" w:type="pct"/>
          </w:tcPr>
          <w:p w14:paraId="1234D528" w14:textId="77777777" w:rsidR="00711444" w:rsidRPr="004D0DAA" w:rsidRDefault="00711444" w:rsidP="00AA2A4C">
            <w:pPr>
              <w:pStyle w:val="TAL"/>
              <w:rPr>
                <w:lang w:eastAsia="en-US"/>
              </w:rPr>
            </w:pPr>
            <w:r w:rsidRPr="004D0DAA">
              <w:rPr>
                <w:lang w:eastAsia="en-US"/>
              </w:rPr>
              <w:t xml:space="preserve">(N+82 or N+83) mod 2715648 </w:t>
            </w:r>
          </w:p>
          <w:p w14:paraId="0FE219AE" w14:textId="77777777" w:rsidR="00711444" w:rsidRPr="004D0DAA" w:rsidRDefault="00711444" w:rsidP="00AA2A4C">
            <w:pPr>
              <w:pStyle w:val="TAL"/>
              <w:rPr>
                <w:lang w:eastAsia="en-US"/>
              </w:rPr>
            </w:pPr>
            <w:r w:rsidRPr="004D0DAA">
              <w:rPr>
                <w:lang w:eastAsia="en-US"/>
              </w:rPr>
              <w:t xml:space="preserve">or </w:t>
            </w:r>
            <w:r w:rsidRPr="004D0DAA">
              <w:rPr>
                <w:lang w:eastAsia="en-US"/>
              </w:rPr>
              <w:br/>
              <w:t>(N+86 or N+87) mod 2715648</w:t>
            </w:r>
          </w:p>
          <w:p w14:paraId="6FFFD9E3" w14:textId="77777777" w:rsidR="00711444" w:rsidRPr="004D0DAA" w:rsidRDefault="00711444" w:rsidP="00AA2A4C">
            <w:pPr>
              <w:pStyle w:val="TAL"/>
              <w:rPr>
                <w:lang w:eastAsia="en-US"/>
              </w:rPr>
            </w:pPr>
            <w:r w:rsidRPr="004D0DAA">
              <w:rPr>
                <w:lang w:eastAsia="en-US"/>
              </w:rPr>
              <w:t>or</w:t>
            </w:r>
          </w:p>
          <w:p w14:paraId="4556C3B7" w14:textId="77777777" w:rsidR="00711444" w:rsidRPr="004D0DAA" w:rsidRDefault="00711444" w:rsidP="00AA2A4C">
            <w:pPr>
              <w:pStyle w:val="TAL"/>
              <w:rPr>
                <w:lang w:eastAsia="en-US"/>
              </w:rPr>
            </w:pPr>
            <w:r w:rsidRPr="004D0DAA">
              <w:rPr>
                <w:lang w:eastAsia="en-US"/>
              </w:rPr>
              <w:t xml:space="preserve">(N+91) mod 2715648 </w:t>
            </w:r>
          </w:p>
          <w:p w14:paraId="2C9F0CD6" w14:textId="77777777" w:rsidR="00711444" w:rsidRPr="004D0DAA" w:rsidRDefault="00711444" w:rsidP="00AA2A4C">
            <w:pPr>
              <w:pStyle w:val="TAL"/>
              <w:rPr>
                <w:lang w:eastAsia="en-US"/>
              </w:rPr>
            </w:pPr>
            <w:r w:rsidRPr="004D0DAA">
              <w:rPr>
                <w:lang w:eastAsia="en-US"/>
              </w:rPr>
              <w:t>or</w:t>
            </w:r>
          </w:p>
          <w:p w14:paraId="6CBC40E9" w14:textId="77777777" w:rsidR="00711444" w:rsidRPr="004D0DAA" w:rsidRDefault="00711444" w:rsidP="00AA2A4C">
            <w:pPr>
              <w:pStyle w:val="TAL"/>
              <w:rPr>
                <w:lang w:eastAsia="en-US"/>
              </w:rPr>
            </w:pPr>
            <w:r w:rsidRPr="004D0DAA">
              <w:rPr>
                <w:lang w:eastAsia="en-US"/>
              </w:rPr>
              <w:t>(N+95 or N+96) mod 2715648</w:t>
            </w:r>
          </w:p>
          <w:p w14:paraId="0D131C50" w14:textId="77777777" w:rsidR="00711444" w:rsidRPr="004D0DAA" w:rsidRDefault="00711444" w:rsidP="00AA2A4C">
            <w:pPr>
              <w:pStyle w:val="TAL"/>
              <w:rPr>
                <w:lang w:eastAsia="en-US"/>
              </w:rPr>
            </w:pPr>
            <w:r w:rsidRPr="004D0DAA">
              <w:rPr>
                <w:lang w:eastAsia="en-US"/>
              </w:rPr>
              <w:t>Or</w:t>
            </w:r>
          </w:p>
          <w:p w14:paraId="3131F1AB" w14:textId="77777777" w:rsidR="00711444" w:rsidRPr="004D0DAA" w:rsidRDefault="00711444" w:rsidP="00AA2A4C">
            <w:pPr>
              <w:pStyle w:val="TAL"/>
              <w:rPr>
                <w:lang w:eastAsia="en-US"/>
              </w:rPr>
            </w:pPr>
            <w:r w:rsidRPr="004D0DAA">
              <w:rPr>
                <w:lang w:eastAsia="en-US"/>
              </w:rPr>
              <w:t xml:space="preserve">(N+99 or N+100) mod 2715648 </w:t>
            </w:r>
          </w:p>
          <w:p w14:paraId="64110755" w14:textId="77777777" w:rsidR="00711444" w:rsidRPr="004D0DAA" w:rsidRDefault="00711444" w:rsidP="00AA2A4C">
            <w:pPr>
              <w:pStyle w:val="TAL"/>
              <w:rPr>
                <w:lang w:eastAsia="en-US"/>
              </w:rPr>
            </w:pPr>
            <w:r w:rsidRPr="004D0DAA">
              <w:rPr>
                <w:lang w:eastAsia="en-US"/>
              </w:rPr>
              <w:t>or</w:t>
            </w:r>
          </w:p>
          <w:p w14:paraId="7C533C64" w14:textId="77777777" w:rsidR="00711444" w:rsidRPr="004D0DAA" w:rsidRDefault="00711444" w:rsidP="00AA2A4C">
            <w:pPr>
              <w:pStyle w:val="TAL"/>
              <w:rPr>
                <w:lang w:eastAsia="en-US"/>
              </w:rPr>
            </w:pPr>
            <w:r w:rsidRPr="004D0DAA">
              <w:rPr>
                <w:lang w:eastAsia="en-US"/>
              </w:rPr>
              <w:t xml:space="preserve">(N+104) mod 2715648 </w:t>
            </w:r>
          </w:p>
          <w:p w14:paraId="2040B37A" w14:textId="77777777" w:rsidR="00711444" w:rsidRPr="004D0DAA" w:rsidRDefault="00711444" w:rsidP="00AA2A4C">
            <w:pPr>
              <w:pStyle w:val="TAL"/>
              <w:rPr>
                <w:lang w:eastAsia="en-US"/>
              </w:rPr>
            </w:pPr>
            <w:r w:rsidRPr="004D0DAA">
              <w:rPr>
                <w:lang w:eastAsia="en-US"/>
              </w:rPr>
              <w:t>or</w:t>
            </w:r>
          </w:p>
          <w:p w14:paraId="6D321F91" w14:textId="77777777" w:rsidR="00711444" w:rsidRPr="004D0DAA" w:rsidRDefault="00711444" w:rsidP="00AA2A4C">
            <w:pPr>
              <w:pStyle w:val="TAL"/>
              <w:rPr>
                <w:lang w:eastAsia="en-US"/>
              </w:rPr>
            </w:pPr>
            <w:r w:rsidRPr="004D0DAA">
              <w:rPr>
                <w:lang w:eastAsia="en-US"/>
              </w:rPr>
              <w:t xml:space="preserve">(N+108 or N+109) mod 2715648 </w:t>
            </w:r>
          </w:p>
          <w:p w14:paraId="36F1EC1F" w14:textId="77777777" w:rsidR="00711444" w:rsidRPr="004D0DAA" w:rsidRDefault="00711444" w:rsidP="00AA2A4C">
            <w:pPr>
              <w:pStyle w:val="TAL"/>
              <w:rPr>
                <w:lang w:eastAsia="en-US"/>
              </w:rPr>
            </w:pPr>
            <w:r w:rsidRPr="004D0DAA">
              <w:rPr>
                <w:lang w:eastAsia="en-US"/>
              </w:rPr>
              <w:t>or</w:t>
            </w:r>
          </w:p>
          <w:p w14:paraId="79FC3135" w14:textId="77777777" w:rsidR="00711444" w:rsidRPr="004D0DAA" w:rsidRDefault="00711444" w:rsidP="00AA2A4C">
            <w:pPr>
              <w:pStyle w:val="TAL"/>
              <w:rPr>
                <w:lang w:eastAsia="en-US"/>
              </w:rPr>
            </w:pPr>
            <w:r w:rsidRPr="004D0DAA">
              <w:rPr>
                <w:lang w:eastAsia="en-US"/>
              </w:rPr>
              <w:t>(N+112 or N+113) mod 2715648</w:t>
            </w:r>
          </w:p>
        </w:tc>
        <w:tc>
          <w:tcPr>
            <w:tcW w:w="714" w:type="pct"/>
          </w:tcPr>
          <w:p w14:paraId="5AF8B730" w14:textId="77777777" w:rsidR="00711444" w:rsidRPr="004D0DAA" w:rsidRDefault="00711444" w:rsidP="00AA2A4C">
            <w:pPr>
              <w:pStyle w:val="TAL"/>
              <w:rPr>
                <w:lang w:eastAsia="en-US"/>
              </w:rPr>
            </w:pPr>
            <w:r w:rsidRPr="004D0DAA">
              <w:rPr>
                <w:lang w:eastAsia="en-US"/>
              </w:rPr>
              <w:t xml:space="preserve">(N+117) mod 2715648 </w:t>
            </w:r>
          </w:p>
          <w:p w14:paraId="12988CE0" w14:textId="77777777" w:rsidR="00711444" w:rsidRPr="004D0DAA" w:rsidRDefault="00711444" w:rsidP="00AA2A4C">
            <w:pPr>
              <w:pStyle w:val="TAL"/>
              <w:rPr>
                <w:lang w:eastAsia="en-US"/>
              </w:rPr>
            </w:pPr>
            <w:r w:rsidRPr="004D0DAA">
              <w:rPr>
                <w:lang w:eastAsia="en-US"/>
              </w:rPr>
              <w:t>or</w:t>
            </w:r>
          </w:p>
          <w:p w14:paraId="01611817" w14:textId="77777777" w:rsidR="00711444" w:rsidRPr="004D0DAA" w:rsidRDefault="00711444" w:rsidP="00AA2A4C">
            <w:pPr>
              <w:pStyle w:val="TAL"/>
              <w:rPr>
                <w:lang w:eastAsia="en-US"/>
              </w:rPr>
            </w:pPr>
            <w:r w:rsidRPr="004D0DAA">
              <w:rPr>
                <w:lang w:eastAsia="en-US"/>
              </w:rPr>
              <w:t xml:space="preserve">(N+121 or N+122) mod 2715648 </w:t>
            </w:r>
          </w:p>
          <w:p w14:paraId="04E5CC01" w14:textId="77777777" w:rsidR="00711444" w:rsidRPr="004D0DAA" w:rsidRDefault="00711444" w:rsidP="00AA2A4C">
            <w:pPr>
              <w:pStyle w:val="TAL"/>
              <w:rPr>
                <w:lang w:eastAsia="en-US"/>
              </w:rPr>
            </w:pPr>
            <w:r w:rsidRPr="004D0DAA">
              <w:rPr>
                <w:lang w:eastAsia="en-US"/>
              </w:rPr>
              <w:t>or</w:t>
            </w:r>
          </w:p>
          <w:p w14:paraId="7ECFE4D4" w14:textId="77777777" w:rsidR="00711444" w:rsidRPr="004D0DAA" w:rsidRDefault="00711444" w:rsidP="00AA2A4C">
            <w:pPr>
              <w:pStyle w:val="TAL"/>
              <w:rPr>
                <w:lang w:eastAsia="en-US"/>
              </w:rPr>
            </w:pPr>
            <w:r w:rsidRPr="004D0DAA">
              <w:rPr>
                <w:lang w:eastAsia="en-US"/>
              </w:rPr>
              <w:t>(N+125 or N+126) mod 2715648</w:t>
            </w:r>
          </w:p>
          <w:p w14:paraId="088A93A3" w14:textId="77777777" w:rsidR="00711444" w:rsidRPr="004D0DAA" w:rsidRDefault="00711444" w:rsidP="00AA2A4C">
            <w:pPr>
              <w:pStyle w:val="TAL"/>
              <w:rPr>
                <w:lang w:eastAsia="en-US"/>
              </w:rPr>
            </w:pPr>
            <w:r w:rsidRPr="004D0DAA">
              <w:rPr>
                <w:lang w:eastAsia="en-US"/>
              </w:rPr>
              <w:t>or</w:t>
            </w:r>
          </w:p>
          <w:p w14:paraId="474E76C2" w14:textId="77777777" w:rsidR="00711444" w:rsidRPr="004D0DAA" w:rsidRDefault="00711444" w:rsidP="00AA2A4C">
            <w:pPr>
              <w:pStyle w:val="TAL"/>
              <w:rPr>
                <w:lang w:eastAsia="en-US"/>
              </w:rPr>
            </w:pPr>
            <w:r w:rsidRPr="004D0DAA">
              <w:rPr>
                <w:lang w:eastAsia="en-US"/>
              </w:rPr>
              <w:t>(N+130) mod 2715648</w:t>
            </w:r>
          </w:p>
          <w:p w14:paraId="282EC034" w14:textId="77777777" w:rsidR="00711444" w:rsidRPr="004D0DAA" w:rsidRDefault="00711444" w:rsidP="00AA2A4C">
            <w:pPr>
              <w:pStyle w:val="TAL"/>
              <w:rPr>
                <w:lang w:eastAsia="en-US"/>
              </w:rPr>
            </w:pPr>
            <w:r w:rsidRPr="004D0DAA">
              <w:rPr>
                <w:lang w:eastAsia="en-US"/>
              </w:rPr>
              <w:t>Or</w:t>
            </w:r>
          </w:p>
          <w:p w14:paraId="2490488F" w14:textId="77777777" w:rsidR="00711444" w:rsidRPr="004D0DAA" w:rsidRDefault="00711444" w:rsidP="00AA2A4C">
            <w:pPr>
              <w:pStyle w:val="TAL"/>
              <w:rPr>
                <w:lang w:eastAsia="en-US"/>
              </w:rPr>
            </w:pPr>
            <w:r w:rsidRPr="004D0DAA">
              <w:rPr>
                <w:lang w:eastAsia="en-US"/>
              </w:rPr>
              <w:t xml:space="preserve">(N+134 or N+135) mod 2715648 </w:t>
            </w:r>
          </w:p>
          <w:p w14:paraId="4E3C5C3B" w14:textId="77777777" w:rsidR="00711444" w:rsidRPr="004D0DAA" w:rsidRDefault="00711444" w:rsidP="00AA2A4C">
            <w:pPr>
              <w:pStyle w:val="TAL"/>
              <w:rPr>
                <w:lang w:eastAsia="en-US"/>
              </w:rPr>
            </w:pPr>
            <w:r w:rsidRPr="004D0DAA">
              <w:rPr>
                <w:lang w:eastAsia="en-US"/>
              </w:rPr>
              <w:t>or</w:t>
            </w:r>
          </w:p>
          <w:p w14:paraId="7CAB2BCE" w14:textId="77777777" w:rsidR="00711444" w:rsidRPr="004D0DAA" w:rsidRDefault="00711444" w:rsidP="00AA2A4C">
            <w:pPr>
              <w:pStyle w:val="TAL"/>
              <w:rPr>
                <w:lang w:eastAsia="en-US"/>
              </w:rPr>
            </w:pPr>
            <w:r w:rsidRPr="004D0DAA">
              <w:rPr>
                <w:lang w:eastAsia="en-US"/>
              </w:rPr>
              <w:t xml:space="preserve">(N+138 or N+139) mod 2715648 </w:t>
            </w:r>
          </w:p>
          <w:p w14:paraId="4DBC7F03" w14:textId="77777777" w:rsidR="00711444" w:rsidRPr="004D0DAA" w:rsidRDefault="00711444" w:rsidP="00AA2A4C">
            <w:pPr>
              <w:pStyle w:val="TAL"/>
              <w:rPr>
                <w:lang w:eastAsia="en-US"/>
              </w:rPr>
            </w:pPr>
            <w:r w:rsidRPr="004D0DAA">
              <w:rPr>
                <w:lang w:eastAsia="en-US"/>
              </w:rPr>
              <w:t>or</w:t>
            </w:r>
          </w:p>
          <w:p w14:paraId="5361759F" w14:textId="77777777" w:rsidR="00711444" w:rsidRPr="004D0DAA" w:rsidRDefault="00711444" w:rsidP="00AA2A4C">
            <w:pPr>
              <w:pStyle w:val="TAL"/>
              <w:rPr>
                <w:lang w:eastAsia="en-US"/>
              </w:rPr>
            </w:pPr>
            <w:r w:rsidRPr="004D0DAA">
              <w:rPr>
                <w:lang w:eastAsia="en-US"/>
              </w:rPr>
              <w:t>(N+143) mod 2715648</w:t>
            </w:r>
          </w:p>
          <w:p w14:paraId="5CEA454D" w14:textId="77777777" w:rsidR="00711444" w:rsidRPr="004D0DAA" w:rsidRDefault="00711444" w:rsidP="00AA2A4C">
            <w:pPr>
              <w:pStyle w:val="TAL"/>
              <w:rPr>
                <w:lang w:eastAsia="en-US"/>
              </w:rPr>
            </w:pPr>
            <w:r w:rsidRPr="004D0DAA">
              <w:rPr>
                <w:lang w:eastAsia="en-US"/>
              </w:rPr>
              <w:t>or</w:t>
            </w:r>
          </w:p>
          <w:p w14:paraId="2271946F" w14:textId="77777777" w:rsidR="00711444" w:rsidRPr="004D0DAA" w:rsidRDefault="00711444" w:rsidP="00AA2A4C">
            <w:pPr>
              <w:pStyle w:val="TAL"/>
              <w:rPr>
                <w:lang w:eastAsia="en-US"/>
              </w:rPr>
            </w:pPr>
            <w:r w:rsidRPr="004D0DAA">
              <w:rPr>
                <w:lang w:eastAsia="en-US"/>
              </w:rPr>
              <w:t>(N+147 or N+148) mod 2715648</w:t>
            </w:r>
          </w:p>
          <w:p w14:paraId="7A582AA8" w14:textId="77777777" w:rsidR="00711444" w:rsidRPr="004D0DAA" w:rsidRDefault="00711444" w:rsidP="00AA2A4C">
            <w:pPr>
              <w:pStyle w:val="TAL"/>
              <w:rPr>
                <w:lang w:eastAsia="en-US"/>
              </w:rPr>
            </w:pPr>
            <w:r w:rsidRPr="004D0DAA">
              <w:rPr>
                <w:lang w:eastAsia="en-US"/>
              </w:rPr>
              <w:t>Or</w:t>
            </w:r>
          </w:p>
          <w:p w14:paraId="2369620C" w14:textId="77777777" w:rsidR="00711444" w:rsidRPr="004D0DAA" w:rsidRDefault="00711444" w:rsidP="00AA2A4C">
            <w:pPr>
              <w:pStyle w:val="TAL"/>
              <w:rPr>
                <w:lang w:eastAsia="en-US"/>
              </w:rPr>
            </w:pPr>
            <w:r w:rsidRPr="004D0DAA">
              <w:rPr>
                <w:lang w:eastAsia="en-US"/>
              </w:rPr>
              <w:t>(N+151 or N+152) mod 2715648</w:t>
            </w:r>
          </w:p>
          <w:p w14:paraId="1CE3394F" w14:textId="77777777" w:rsidR="00711444" w:rsidRPr="004D0DAA" w:rsidRDefault="00711444" w:rsidP="00AA2A4C">
            <w:pPr>
              <w:pStyle w:val="TAL"/>
              <w:rPr>
                <w:lang w:eastAsia="en-US"/>
              </w:rPr>
            </w:pPr>
            <w:r w:rsidRPr="004D0DAA">
              <w:rPr>
                <w:lang w:eastAsia="en-US"/>
              </w:rPr>
              <w:t>or</w:t>
            </w:r>
          </w:p>
          <w:p w14:paraId="541A4219" w14:textId="77777777" w:rsidR="00711444" w:rsidRPr="004D0DAA" w:rsidRDefault="00711444" w:rsidP="00AA2A4C">
            <w:pPr>
              <w:pStyle w:val="TAL"/>
              <w:rPr>
                <w:lang w:eastAsia="en-US"/>
              </w:rPr>
            </w:pPr>
            <w:r w:rsidRPr="004D0DAA">
              <w:rPr>
                <w:lang w:eastAsia="en-US"/>
              </w:rPr>
              <w:t>(N+156) mod 2715648</w:t>
            </w:r>
          </w:p>
          <w:p w14:paraId="0E668DFB" w14:textId="77777777" w:rsidR="00711444" w:rsidRPr="004D0DAA" w:rsidRDefault="00711444" w:rsidP="00AA2A4C">
            <w:pPr>
              <w:pStyle w:val="TAL"/>
              <w:rPr>
                <w:lang w:eastAsia="en-US"/>
              </w:rPr>
            </w:pPr>
            <w:r w:rsidRPr="004D0DAA">
              <w:rPr>
                <w:lang w:eastAsia="en-US"/>
              </w:rPr>
              <w:t>or</w:t>
            </w:r>
          </w:p>
          <w:p w14:paraId="0F6181F2" w14:textId="77777777" w:rsidR="00711444" w:rsidRPr="004D0DAA" w:rsidRDefault="00711444" w:rsidP="00AA2A4C">
            <w:pPr>
              <w:pStyle w:val="TAL"/>
              <w:rPr>
                <w:lang w:eastAsia="en-US"/>
              </w:rPr>
            </w:pPr>
            <w:r w:rsidRPr="004D0DAA">
              <w:rPr>
                <w:lang w:eastAsia="en-US"/>
              </w:rPr>
              <w:t>(N+160 or N+161) mod</w:t>
            </w:r>
          </w:p>
          <w:p w14:paraId="2AC2D763" w14:textId="77777777" w:rsidR="00711444" w:rsidRPr="004D0DAA" w:rsidRDefault="00711444" w:rsidP="00AA2A4C">
            <w:pPr>
              <w:pStyle w:val="TAL"/>
              <w:rPr>
                <w:lang w:eastAsia="en-US"/>
              </w:rPr>
            </w:pPr>
            <w:r w:rsidRPr="004D0DAA">
              <w:rPr>
                <w:lang w:eastAsia="en-US"/>
              </w:rPr>
              <w:t>2715648</w:t>
            </w:r>
          </w:p>
          <w:p w14:paraId="0FCDCCD5" w14:textId="77777777" w:rsidR="00711444" w:rsidRPr="004D0DAA" w:rsidRDefault="00711444" w:rsidP="00AA2A4C">
            <w:pPr>
              <w:pStyle w:val="TAL"/>
              <w:rPr>
                <w:lang w:eastAsia="en-US"/>
              </w:rPr>
            </w:pPr>
            <w:r w:rsidRPr="004D0DAA">
              <w:rPr>
                <w:lang w:eastAsia="en-US"/>
              </w:rPr>
              <w:t>or</w:t>
            </w:r>
          </w:p>
          <w:p w14:paraId="6537AF04" w14:textId="77777777" w:rsidR="00711444" w:rsidRPr="004D0DAA" w:rsidRDefault="00711444" w:rsidP="00AA2A4C">
            <w:pPr>
              <w:pStyle w:val="TAL"/>
              <w:rPr>
                <w:lang w:eastAsia="en-US"/>
              </w:rPr>
            </w:pPr>
            <w:r w:rsidRPr="004D0DAA">
              <w:rPr>
                <w:lang w:eastAsia="en-US"/>
              </w:rPr>
              <w:t>(N+164 or N+165) mode 2715648</w:t>
            </w:r>
          </w:p>
        </w:tc>
        <w:tc>
          <w:tcPr>
            <w:tcW w:w="716" w:type="pct"/>
          </w:tcPr>
          <w:p w14:paraId="244209AA" w14:textId="77777777" w:rsidR="00711444" w:rsidRPr="004D0DAA" w:rsidRDefault="00711444" w:rsidP="00AA2A4C">
            <w:pPr>
              <w:pStyle w:val="TAL"/>
              <w:rPr>
                <w:lang w:eastAsia="en-US"/>
              </w:rPr>
            </w:pPr>
            <w:r w:rsidRPr="004D0DAA">
              <w:rPr>
                <w:lang w:eastAsia="en-US"/>
              </w:rPr>
              <w:t>Reserved</w:t>
            </w:r>
          </w:p>
        </w:tc>
      </w:tr>
      <w:tr w:rsidR="00711444" w:rsidRPr="004D0DAA" w14:paraId="62B56BD7" w14:textId="77777777" w:rsidTr="00AA2A4C">
        <w:trPr>
          <w:cantSplit/>
          <w:jc w:val="center"/>
        </w:trPr>
        <w:tc>
          <w:tcPr>
            <w:tcW w:w="714" w:type="pct"/>
          </w:tcPr>
          <w:p w14:paraId="17A679D8" w14:textId="77777777" w:rsidR="00711444" w:rsidRPr="004D0DAA" w:rsidRDefault="00711444" w:rsidP="00AA2A4C">
            <w:pPr>
              <w:pStyle w:val="TAC"/>
              <w:rPr>
                <w:lang w:eastAsia="en-US"/>
              </w:rPr>
            </w:pPr>
            <w:r w:rsidRPr="004D0DAA">
              <w:rPr>
                <w:lang w:eastAsia="en-US"/>
              </w:rPr>
              <w:lastRenderedPageBreak/>
              <w:t>1 1</w:t>
            </w:r>
          </w:p>
        </w:tc>
        <w:tc>
          <w:tcPr>
            <w:tcW w:w="714" w:type="pct"/>
          </w:tcPr>
          <w:p w14:paraId="689D0C30" w14:textId="77777777" w:rsidR="00711444" w:rsidRPr="004D0DAA" w:rsidRDefault="00711444" w:rsidP="00AA2A4C">
            <w:pPr>
              <w:pStyle w:val="TAL"/>
              <w:rPr>
                <w:lang w:eastAsia="en-US"/>
              </w:rPr>
            </w:pPr>
            <w:r w:rsidRPr="004D0DAA">
              <w:rPr>
                <w:lang w:eastAsia="en-US"/>
              </w:rPr>
              <w:t xml:space="preserve"> (N+26) mod 2715648</w:t>
            </w:r>
          </w:p>
        </w:tc>
        <w:tc>
          <w:tcPr>
            <w:tcW w:w="714" w:type="pct"/>
          </w:tcPr>
          <w:p w14:paraId="6BE97A88" w14:textId="77777777" w:rsidR="00711444" w:rsidRPr="004D0DAA" w:rsidRDefault="00711444" w:rsidP="00AA2A4C">
            <w:pPr>
              <w:pStyle w:val="TAL"/>
              <w:rPr>
                <w:lang w:eastAsia="en-US"/>
              </w:rPr>
            </w:pPr>
            <w:r w:rsidRPr="004D0DAA">
              <w:rPr>
                <w:lang w:eastAsia="en-US"/>
              </w:rPr>
              <w:t>(N+39) mod 2715648</w:t>
            </w:r>
          </w:p>
          <w:p w14:paraId="770E9F3A" w14:textId="77777777" w:rsidR="00711444" w:rsidRPr="004D0DAA" w:rsidRDefault="00711444" w:rsidP="00AA2A4C">
            <w:pPr>
              <w:pStyle w:val="TAL"/>
              <w:rPr>
                <w:lang w:eastAsia="en-US"/>
              </w:rPr>
            </w:pPr>
            <w:r w:rsidRPr="004D0DAA">
              <w:rPr>
                <w:lang w:eastAsia="en-US"/>
              </w:rPr>
              <w:t>or</w:t>
            </w:r>
          </w:p>
          <w:p w14:paraId="06FF5C99" w14:textId="77777777" w:rsidR="00711444" w:rsidRPr="004D0DAA" w:rsidRDefault="00711444" w:rsidP="00AA2A4C">
            <w:pPr>
              <w:pStyle w:val="TAL"/>
              <w:rPr>
                <w:lang w:eastAsia="en-US"/>
              </w:rPr>
            </w:pPr>
            <w:r w:rsidRPr="004D0DAA">
              <w:rPr>
                <w:lang w:eastAsia="en-US"/>
              </w:rPr>
              <w:t>(N+43 or N+44) mod 2715648</w:t>
            </w:r>
          </w:p>
        </w:tc>
        <w:tc>
          <w:tcPr>
            <w:tcW w:w="714" w:type="pct"/>
          </w:tcPr>
          <w:p w14:paraId="0D901C0C" w14:textId="77777777" w:rsidR="00711444" w:rsidRPr="004D0DAA" w:rsidRDefault="00711444" w:rsidP="00AA2A4C">
            <w:pPr>
              <w:pStyle w:val="TAL"/>
              <w:rPr>
                <w:lang w:eastAsia="en-US"/>
              </w:rPr>
            </w:pPr>
            <w:r w:rsidRPr="004D0DAA">
              <w:rPr>
                <w:lang w:eastAsia="en-US"/>
              </w:rPr>
              <w:t xml:space="preserve">(N+65) mod 2715648 </w:t>
            </w:r>
          </w:p>
          <w:p w14:paraId="6C90B041" w14:textId="77777777" w:rsidR="00711444" w:rsidRPr="004D0DAA" w:rsidRDefault="00711444" w:rsidP="00AA2A4C">
            <w:pPr>
              <w:pStyle w:val="TAL"/>
              <w:rPr>
                <w:lang w:eastAsia="en-US"/>
              </w:rPr>
            </w:pPr>
            <w:r w:rsidRPr="004D0DAA">
              <w:rPr>
                <w:lang w:eastAsia="en-US"/>
              </w:rPr>
              <w:t>or</w:t>
            </w:r>
          </w:p>
          <w:p w14:paraId="05C69ACA" w14:textId="77777777" w:rsidR="00711444" w:rsidRPr="004D0DAA" w:rsidRDefault="00711444" w:rsidP="00AA2A4C">
            <w:pPr>
              <w:pStyle w:val="TAL"/>
              <w:rPr>
                <w:lang w:eastAsia="en-US"/>
              </w:rPr>
            </w:pPr>
            <w:r w:rsidRPr="004D0DAA">
              <w:rPr>
                <w:lang w:eastAsia="en-US"/>
              </w:rPr>
              <w:t xml:space="preserve">(N+69 or N+70) mod 2715648 </w:t>
            </w:r>
          </w:p>
          <w:p w14:paraId="2F2CDD86" w14:textId="77777777" w:rsidR="00711444" w:rsidRPr="004D0DAA" w:rsidRDefault="00711444" w:rsidP="00AA2A4C">
            <w:pPr>
              <w:pStyle w:val="TAL"/>
              <w:rPr>
                <w:lang w:eastAsia="en-US"/>
              </w:rPr>
            </w:pPr>
            <w:r w:rsidRPr="004D0DAA">
              <w:rPr>
                <w:lang w:eastAsia="en-US"/>
              </w:rPr>
              <w:t>or</w:t>
            </w:r>
          </w:p>
          <w:p w14:paraId="673B229D" w14:textId="77777777" w:rsidR="00711444" w:rsidRPr="004D0DAA" w:rsidRDefault="00711444" w:rsidP="00AA2A4C">
            <w:pPr>
              <w:pStyle w:val="TAL"/>
              <w:rPr>
                <w:lang w:eastAsia="en-US"/>
              </w:rPr>
            </w:pPr>
            <w:r w:rsidRPr="004D0DAA">
              <w:rPr>
                <w:lang w:eastAsia="en-US"/>
              </w:rPr>
              <w:t>(N+73 or N+74) mod 2715648</w:t>
            </w:r>
          </w:p>
          <w:p w14:paraId="62ABBF12" w14:textId="77777777" w:rsidR="00711444" w:rsidRPr="004D0DAA" w:rsidRDefault="00711444" w:rsidP="00AA2A4C">
            <w:pPr>
              <w:pStyle w:val="TAL"/>
              <w:rPr>
                <w:lang w:eastAsia="en-US"/>
              </w:rPr>
            </w:pPr>
            <w:r w:rsidRPr="004D0DAA">
              <w:rPr>
                <w:lang w:eastAsia="en-US"/>
              </w:rPr>
              <w:t>or</w:t>
            </w:r>
          </w:p>
          <w:p w14:paraId="71CDEDCD" w14:textId="77777777" w:rsidR="00711444" w:rsidRPr="004D0DAA" w:rsidRDefault="00711444" w:rsidP="00AA2A4C">
            <w:pPr>
              <w:pStyle w:val="TAL"/>
              <w:rPr>
                <w:lang w:eastAsia="en-US"/>
              </w:rPr>
            </w:pPr>
            <w:r w:rsidRPr="004D0DAA">
              <w:rPr>
                <w:lang w:eastAsia="en-US"/>
              </w:rPr>
              <w:t>(N+78) mod 2715648</w:t>
            </w:r>
          </w:p>
        </w:tc>
        <w:tc>
          <w:tcPr>
            <w:tcW w:w="714" w:type="pct"/>
          </w:tcPr>
          <w:p w14:paraId="0428D0A1" w14:textId="77777777" w:rsidR="00711444" w:rsidRPr="004D0DAA" w:rsidRDefault="00711444" w:rsidP="00AA2A4C">
            <w:pPr>
              <w:pStyle w:val="TAL"/>
              <w:rPr>
                <w:lang w:eastAsia="en-US"/>
              </w:rPr>
            </w:pPr>
            <w:r w:rsidRPr="004D0DAA">
              <w:rPr>
                <w:lang w:eastAsia="en-US"/>
              </w:rPr>
              <w:t xml:space="preserve">(N+117) mod 2715648 </w:t>
            </w:r>
          </w:p>
          <w:p w14:paraId="2CD86D68" w14:textId="77777777" w:rsidR="00711444" w:rsidRPr="004D0DAA" w:rsidRDefault="00711444" w:rsidP="00AA2A4C">
            <w:pPr>
              <w:pStyle w:val="TAL"/>
              <w:rPr>
                <w:lang w:eastAsia="en-US"/>
              </w:rPr>
            </w:pPr>
            <w:r w:rsidRPr="004D0DAA">
              <w:rPr>
                <w:lang w:eastAsia="en-US"/>
              </w:rPr>
              <w:t>or</w:t>
            </w:r>
          </w:p>
          <w:p w14:paraId="05E9FC1C" w14:textId="77777777" w:rsidR="00711444" w:rsidRPr="004D0DAA" w:rsidRDefault="00711444" w:rsidP="00AA2A4C">
            <w:pPr>
              <w:pStyle w:val="TAL"/>
              <w:rPr>
                <w:lang w:eastAsia="en-US"/>
              </w:rPr>
            </w:pPr>
            <w:r w:rsidRPr="004D0DAA">
              <w:rPr>
                <w:lang w:eastAsia="en-US"/>
              </w:rPr>
              <w:t xml:space="preserve">(N+121 or N+122) mod 2715648 </w:t>
            </w:r>
          </w:p>
          <w:p w14:paraId="7C798307" w14:textId="77777777" w:rsidR="00711444" w:rsidRPr="004D0DAA" w:rsidRDefault="00711444" w:rsidP="00AA2A4C">
            <w:pPr>
              <w:pStyle w:val="TAL"/>
              <w:rPr>
                <w:lang w:eastAsia="en-US"/>
              </w:rPr>
            </w:pPr>
            <w:r w:rsidRPr="004D0DAA">
              <w:rPr>
                <w:lang w:eastAsia="en-US"/>
              </w:rPr>
              <w:t>or</w:t>
            </w:r>
          </w:p>
          <w:p w14:paraId="5CA4A0F9" w14:textId="77777777" w:rsidR="00711444" w:rsidRPr="004D0DAA" w:rsidRDefault="00711444" w:rsidP="00AA2A4C">
            <w:pPr>
              <w:pStyle w:val="TAL"/>
              <w:rPr>
                <w:lang w:eastAsia="en-US"/>
              </w:rPr>
            </w:pPr>
            <w:r w:rsidRPr="004D0DAA">
              <w:rPr>
                <w:lang w:eastAsia="en-US"/>
              </w:rPr>
              <w:t>(N+125 or N+126) mod 2715648</w:t>
            </w:r>
          </w:p>
          <w:p w14:paraId="32C04CFF" w14:textId="77777777" w:rsidR="00711444" w:rsidRPr="004D0DAA" w:rsidRDefault="00711444" w:rsidP="00AA2A4C">
            <w:pPr>
              <w:pStyle w:val="TAL"/>
              <w:rPr>
                <w:lang w:eastAsia="en-US"/>
              </w:rPr>
            </w:pPr>
            <w:r w:rsidRPr="004D0DAA">
              <w:rPr>
                <w:lang w:eastAsia="en-US"/>
              </w:rPr>
              <w:t>or</w:t>
            </w:r>
          </w:p>
          <w:p w14:paraId="165692A1" w14:textId="77777777" w:rsidR="00711444" w:rsidRPr="004D0DAA" w:rsidRDefault="00711444" w:rsidP="00AA2A4C">
            <w:pPr>
              <w:pStyle w:val="TAL"/>
              <w:rPr>
                <w:lang w:eastAsia="en-US"/>
              </w:rPr>
            </w:pPr>
            <w:r w:rsidRPr="004D0DAA">
              <w:rPr>
                <w:lang w:eastAsia="en-US"/>
              </w:rPr>
              <w:t>(N+130) mod 2715648</w:t>
            </w:r>
          </w:p>
          <w:p w14:paraId="1243E29D" w14:textId="77777777" w:rsidR="00711444" w:rsidRPr="004D0DAA" w:rsidRDefault="00711444" w:rsidP="00AA2A4C">
            <w:pPr>
              <w:pStyle w:val="TAL"/>
              <w:rPr>
                <w:lang w:eastAsia="en-US"/>
              </w:rPr>
            </w:pPr>
            <w:r w:rsidRPr="004D0DAA">
              <w:rPr>
                <w:lang w:eastAsia="en-US"/>
              </w:rPr>
              <w:t>Or</w:t>
            </w:r>
          </w:p>
          <w:p w14:paraId="51595662" w14:textId="77777777" w:rsidR="00711444" w:rsidRPr="004D0DAA" w:rsidRDefault="00711444" w:rsidP="00AA2A4C">
            <w:pPr>
              <w:pStyle w:val="TAL"/>
              <w:rPr>
                <w:lang w:eastAsia="en-US"/>
              </w:rPr>
            </w:pPr>
            <w:r w:rsidRPr="004D0DAA">
              <w:rPr>
                <w:lang w:eastAsia="en-US"/>
              </w:rPr>
              <w:t xml:space="preserve">(N+134 or N+135) mod 2715648 </w:t>
            </w:r>
          </w:p>
          <w:p w14:paraId="6B53D407" w14:textId="77777777" w:rsidR="00711444" w:rsidRPr="004D0DAA" w:rsidRDefault="00711444" w:rsidP="00AA2A4C">
            <w:pPr>
              <w:pStyle w:val="TAL"/>
              <w:rPr>
                <w:lang w:eastAsia="en-US"/>
              </w:rPr>
            </w:pPr>
            <w:r w:rsidRPr="004D0DAA">
              <w:rPr>
                <w:lang w:eastAsia="en-US"/>
              </w:rPr>
              <w:t>or</w:t>
            </w:r>
          </w:p>
          <w:p w14:paraId="09F9F600" w14:textId="77777777" w:rsidR="00711444" w:rsidRPr="004D0DAA" w:rsidRDefault="00711444" w:rsidP="00AA2A4C">
            <w:pPr>
              <w:pStyle w:val="TAL"/>
              <w:rPr>
                <w:lang w:eastAsia="en-US"/>
              </w:rPr>
            </w:pPr>
            <w:r w:rsidRPr="004D0DAA">
              <w:rPr>
                <w:lang w:eastAsia="en-US"/>
              </w:rPr>
              <w:t xml:space="preserve">(N+138 or N+139) mod 2715648 </w:t>
            </w:r>
          </w:p>
          <w:p w14:paraId="555F0F60" w14:textId="77777777" w:rsidR="00711444" w:rsidRPr="004D0DAA" w:rsidRDefault="00711444" w:rsidP="00AA2A4C">
            <w:pPr>
              <w:pStyle w:val="TAL"/>
              <w:rPr>
                <w:lang w:eastAsia="en-US"/>
              </w:rPr>
            </w:pPr>
            <w:r w:rsidRPr="004D0DAA">
              <w:rPr>
                <w:lang w:eastAsia="en-US"/>
              </w:rPr>
              <w:t>or</w:t>
            </w:r>
          </w:p>
          <w:p w14:paraId="3ADDCA9D" w14:textId="77777777" w:rsidR="00711444" w:rsidRPr="004D0DAA" w:rsidRDefault="00711444" w:rsidP="00AA2A4C">
            <w:pPr>
              <w:pStyle w:val="TAL"/>
              <w:rPr>
                <w:lang w:eastAsia="en-US"/>
              </w:rPr>
            </w:pPr>
            <w:r w:rsidRPr="004D0DAA">
              <w:rPr>
                <w:lang w:eastAsia="en-US"/>
              </w:rPr>
              <w:t>(N+143) mod 2715648</w:t>
            </w:r>
          </w:p>
          <w:p w14:paraId="69B2C2B9" w14:textId="77777777" w:rsidR="00711444" w:rsidRPr="004D0DAA" w:rsidRDefault="00711444" w:rsidP="00AA2A4C">
            <w:pPr>
              <w:pStyle w:val="TAL"/>
              <w:rPr>
                <w:lang w:eastAsia="en-US"/>
              </w:rPr>
            </w:pPr>
            <w:r w:rsidRPr="004D0DAA">
              <w:rPr>
                <w:lang w:eastAsia="en-US"/>
              </w:rPr>
              <w:t>or</w:t>
            </w:r>
          </w:p>
          <w:p w14:paraId="09E51D4F" w14:textId="77777777" w:rsidR="00711444" w:rsidRPr="004D0DAA" w:rsidRDefault="00711444" w:rsidP="00AA2A4C">
            <w:pPr>
              <w:pStyle w:val="TAL"/>
              <w:rPr>
                <w:lang w:eastAsia="en-US"/>
              </w:rPr>
            </w:pPr>
            <w:r w:rsidRPr="004D0DAA">
              <w:rPr>
                <w:lang w:eastAsia="en-US"/>
              </w:rPr>
              <w:t>(N+147 or N+148) mod 2715648</w:t>
            </w:r>
          </w:p>
        </w:tc>
        <w:tc>
          <w:tcPr>
            <w:tcW w:w="714" w:type="pct"/>
          </w:tcPr>
          <w:p w14:paraId="35A21AF8" w14:textId="77777777" w:rsidR="00711444" w:rsidRPr="004D0DAA" w:rsidRDefault="00711444" w:rsidP="00AA2A4C">
            <w:pPr>
              <w:pStyle w:val="TAL"/>
              <w:rPr>
                <w:lang w:eastAsia="en-US"/>
              </w:rPr>
            </w:pPr>
            <w:r w:rsidRPr="004D0DAA">
              <w:rPr>
                <w:lang w:eastAsia="en-US"/>
              </w:rPr>
              <w:t xml:space="preserve">(N+169) mod 2715648 </w:t>
            </w:r>
          </w:p>
          <w:p w14:paraId="26F16992" w14:textId="77777777" w:rsidR="00711444" w:rsidRPr="004D0DAA" w:rsidRDefault="00711444" w:rsidP="00AA2A4C">
            <w:pPr>
              <w:pStyle w:val="TAL"/>
              <w:rPr>
                <w:lang w:eastAsia="en-US"/>
              </w:rPr>
            </w:pPr>
            <w:r w:rsidRPr="004D0DAA">
              <w:rPr>
                <w:lang w:eastAsia="en-US"/>
              </w:rPr>
              <w:t>or</w:t>
            </w:r>
          </w:p>
          <w:p w14:paraId="166BD8D6" w14:textId="77777777" w:rsidR="00711444" w:rsidRPr="004D0DAA" w:rsidRDefault="00711444" w:rsidP="00AA2A4C">
            <w:pPr>
              <w:pStyle w:val="TAL"/>
              <w:rPr>
                <w:lang w:eastAsia="en-US"/>
              </w:rPr>
            </w:pPr>
            <w:r w:rsidRPr="004D0DAA">
              <w:rPr>
                <w:lang w:eastAsia="en-US"/>
              </w:rPr>
              <w:t xml:space="preserve">(N+173 or N+174) mod 2715648 </w:t>
            </w:r>
          </w:p>
          <w:p w14:paraId="426A5891" w14:textId="77777777" w:rsidR="00711444" w:rsidRPr="004D0DAA" w:rsidRDefault="00711444" w:rsidP="00AA2A4C">
            <w:pPr>
              <w:pStyle w:val="TAL"/>
              <w:rPr>
                <w:lang w:eastAsia="en-US"/>
              </w:rPr>
            </w:pPr>
            <w:r w:rsidRPr="004D0DAA">
              <w:rPr>
                <w:lang w:eastAsia="en-US"/>
              </w:rPr>
              <w:t>or</w:t>
            </w:r>
          </w:p>
          <w:p w14:paraId="04D48FD1" w14:textId="77777777" w:rsidR="00711444" w:rsidRPr="004D0DAA" w:rsidRDefault="00711444" w:rsidP="00AA2A4C">
            <w:pPr>
              <w:pStyle w:val="TAL"/>
              <w:rPr>
                <w:lang w:eastAsia="en-US"/>
              </w:rPr>
            </w:pPr>
            <w:r w:rsidRPr="004D0DAA">
              <w:rPr>
                <w:lang w:eastAsia="en-US"/>
              </w:rPr>
              <w:t>(N+177 or N+178) mod 2715648</w:t>
            </w:r>
          </w:p>
          <w:p w14:paraId="699DEFEF" w14:textId="77777777" w:rsidR="00711444" w:rsidRPr="004D0DAA" w:rsidRDefault="00711444" w:rsidP="00AA2A4C">
            <w:pPr>
              <w:pStyle w:val="TAL"/>
              <w:rPr>
                <w:lang w:eastAsia="en-US"/>
              </w:rPr>
            </w:pPr>
            <w:r w:rsidRPr="004D0DAA">
              <w:rPr>
                <w:lang w:eastAsia="en-US"/>
              </w:rPr>
              <w:t>or</w:t>
            </w:r>
          </w:p>
          <w:p w14:paraId="6B0A87B4" w14:textId="77777777" w:rsidR="00711444" w:rsidRPr="004D0DAA" w:rsidRDefault="00711444" w:rsidP="00AA2A4C">
            <w:pPr>
              <w:pStyle w:val="TAL"/>
              <w:rPr>
                <w:lang w:eastAsia="en-US"/>
              </w:rPr>
            </w:pPr>
            <w:r w:rsidRPr="004D0DAA">
              <w:rPr>
                <w:lang w:eastAsia="en-US"/>
              </w:rPr>
              <w:t>(N+182) mod 2715648</w:t>
            </w:r>
          </w:p>
          <w:p w14:paraId="0E04E31A" w14:textId="77777777" w:rsidR="00711444" w:rsidRPr="004D0DAA" w:rsidRDefault="00711444" w:rsidP="00AA2A4C">
            <w:pPr>
              <w:pStyle w:val="TAL"/>
              <w:rPr>
                <w:lang w:eastAsia="en-US"/>
              </w:rPr>
            </w:pPr>
            <w:r w:rsidRPr="004D0DAA">
              <w:rPr>
                <w:lang w:eastAsia="en-US"/>
              </w:rPr>
              <w:t>Or</w:t>
            </w:r>
          </w:p>
          <w:p w14:paraId="6C8926B2" w14:textId="77777777" w:rsidR="00711444" w:rsidRPr="004D0DAA" w:rsidRDefault="00711444" w:rsidP="00AA2A4C">
            <w:pPr>
              <w:pStyle w:val="TAL"/>
              <w:rPr>
                <w:lang w:eastAsia="en-US"/>
              </w:rPr>
            </w:pPr>
            <w:r w:rsidRPr="004D0DAA">
              <w:rPr>
                <w:lang w:eastAsia="en-US"/>
              </w:rPr>
              <w:t xml:space="preserve">(N+186 or N+187) mod 2715648 </w:t>
            </w:r>
          </w:p>
          <w:p w14:paraId="649E7B17" w14:textId="77777777" w:rsidR="00711444" w:rsidRPr="004D0DAA" w:rsidRDefault="00711444" w:rsidP="00AA2A4C">
            <w:pPr>
              <w:pStyle w:val="TAL"/>
              <w:rPr>
                <w:lang w:eastAsia="en-US"/>
              </w:rPr>
            </w:pPr>
            <w:r w:rsidRPr="004D0DAA">
              <w:rPr>
                <w:lang w:eastAsia="en-US"/>
              </w:rPr>
              <w:t>or</w:t>
            </w:r>
          </w:p>
          <w:p w14:paraId="2EE50815" w14:textId="77777777" w:rsidR="00711444" w:rsidRPr="004D0DAA" w:rsidRDefault="00711444" w:rsidP="00AA2A4C">
            <w:pPr>
              <w:pStyle w:val="TAL"/>
              <w:rPr>
                <w:lang w:eastAsia="en-US"/>
              </w:rPr>
            </w:pPr>
            <w:r w:rsidRPr="004D0DAA">
              <w:rPr>
                <w:lang w:eastAsia="en-US"/>
              </w:rPr>
              <w:t xml:space="preserve">(N+190 or N+191) mod 2715648 </w:t>
            </w:r>
          </w:p>
          <w:p w14:paraId="2373E898" w14:textId="77777777" w:rsidR="00711444" w:rsidRPr="004D0DAA" w:rsidRDefault="00711444" w:rsidP="00AA2A4C">
            <w:pPr>
              <w:pStyle w:val="TAL"/>
              <w:rPr>
                <w:lang w:eastAsia="en-US"/>
              </w:rPr>
            </w:pPr>
            <w:r w:rsidRPr="004D0DAA">
              <w:rPr>
                <w:lang w:eastAsia="en-US"/>
              </w:rPr>
              <w:t>or</w:t>
            </w:r>
          </w:p>
          <w:p w14:paraId="30AED654" w14:textId="77777777" w:rsidR="00711444" w:rsidRPr="004D0DAA" w:rsidRDefault="00711444" w:rsidP="00AA2A4C">
            <w:pPr>
              <w:pStyle w:val="TAL"/>
              <w:rPr>
                <w:lang w:eastAsia="en-US"/>
              </w:rPr>
            </w:pPr>
            <w:r w:rsidRPr="004D0DAA">
              <w:rPr>
                <w:lang w:eastAsia="en-US"/>
              </w:rPr>
              <w:t>(N+195) mod 2715648</w:t>
            </w:r>
          </w:p>
          <w:p w14:paraId="3E611674" w14:textId="77777777" w:rsidR="00711444" w:rsidRPr="004D0DAA" w:rsidRDefault="00711444" w:rsidP="00AA2A4C">
            <w:pPr>
              <w:pStyle w:val="TAL"/>
              <w:rPr>
                <w:lang w:eastAsia="en-US"/>
              </w:rPr>
            </w:pPr>
            <w:r w:rsidRPr="004D0DAA">
              <w:rPr>
                <w:lang w:eastAsia="en-US"/>
              </w:rPr>
              <w:t>or</w:t>
            </w:r>
          </w:p>
          <w:p w14:paraId="2DA733FD" w14:textId="77777777" w:rsidR="00711444" w:rsidRPr="004D0DAA" w:rsidRDefault="00711444" w:rsidP="00AA2A4C">
            <w:pPr>
              <w:pStyle w:val="TAL"/>
              <w:rPr>
                <w:lang w:eastAsia="en-US"/>
              </w:rPr>
            </w:pPr>
            <w:r w:rsidRPr="004D0DAA">
              <w:rPr>
                <w:lang w:eastAsia="en-US"/>
              </w:rPr>
              <w:t>(N+199 or N+200) mod 2715648</w:t>
            </w:r>
          </w:p>
          <w:p w14:paraId="02822E35" w14:textId="77777777" w:rsidR="00711444" w:rsidRPr="004D0DAA" w:rsidRDefault="00711444" w:rsidP="00AA2A4C">
            <w:pPr>
              <w:pStyle w:val="TAL"/>
              <w:rPr>
                <w:lang w:eastAsia="en-US"/>
              </w:rPr>
            </w:pPr>
            <w:r w:rsidRPr="004D0DAA">
              <w:rPr>
                <w:lang w:eastAsia="en-US"/>
              </w:rPr>
              <w:t>Or</w:t>
            </w:r>
          </w:p>
          <w:p w14:paraId="57334AB2" w14:textId="77777777" w:rsidR="00711444" w:rsidRPr="004D0DAA" w:rsidRDefault="00711444" w:rsidP="00AA2A4C">
            <w:pPr>
              <w:pStyle w:val="TAL"/>
              <w:rPr>
                <w:lang w:eastAsia="en-US"/>
              </w:rPr>
            </w:pPr>
            <w:r w:rsidRPr="004D0DAA">
              <w:rPr>
                <w:lang w:eastAsia="en-US"/>
              </w:rPr>
              <w:t>(N+203 or N+204) mod 2715648</w:t>
            </w:r>
          </w:p>
          <w:p w14:paraId="65C56548" w14:textId="77777777" w:rsidR="00711444" w:rsidRPr="004D0DAA" w:rsidRDefault="00711444" w:rsidP="00AA2A4C">
            <w:pPr>
              <w:pStyle w:val="TAL"/>
              <w:rPr>
                <w:lang w:eastAsia="en-US"/>
              </w:rPr>
            </w:pPr>
            <w:r w:rsidRPr="004D0DAA">
              <w:rPr>
                <w:lang w:eastAsia="en-US"/>
              </w:rPr>
              <w:t>or</w:t>
            </w:r>
          </w:p>
          <w:p w14:paraId="60CB6B19" w14:textId="77777777" w:rsidR="00711444" w:rsidRPr="004D0DAA" w:rsidRDefault="00711444" w:rsidP="00AA2A4C">
            <w:pPr>
              <w:pStyle w:val="TAL"/>
              <w:rPr>
                <w:lang w:eastAsia="en-US"/>
              </w:rPr>
            </w:pPr>
            <w:r w:rsidRPr="004D0DAA">
              <w:rPr>
                <w:lang w:eastAsia="en-US"/>
              </w:rPr>
              <w:t>(N+208) mod 2715648</w:t>
            </w:r>
          </w:p>
          <w:p w14:paraId="76D88628" w14:textId="77777777" w:rsidR="00711444" w:rsidRPr="004D0DAA" w:rsidRDefault="00711444" w:rsidP="00AA2A4C">
            <w:pPr>
              <w:pStyle w:val="TAL"/>
              <w:rPr>
                <w:lang w:eastAsia="en-US"/>
              </w:rPr>
            </w:pPr>
            <w:r w:rsidRPr="004D0DAA">
              <w:rPr>
                <w:lang w:eastAsia="en-US"/>
              </w:rPr>
              <w:t>or</w:t>
            </w:r>
          </w:p>
          <w:p w14:paraId="6B9F91D5" w14:textId="77777777" w:rsidR="00711444" w:rsidRPr="004D0DAA" w:rsidRDefault="00711444" w:rsidP="00AA2A4C">
            <w:pPr>
              <w:pStyle w:val="TAL"/>
              <w:rPr>
                <w:lang w:eastAsia="en-US"/>
              </w:rPr>
            </w:pPr>
            <w:r w:rsidRPr="004D0DAA">
              <w:rPr>
                <w:lang w:eastAsia="en-US"/>
              </w:rPr>
              <w:t>(N+212 or N+213) mod</w:t>
            </w:r>
          </w:p>
          <w:p w14:paraId="63AA8865" w14:textId="77777777" w:rsidR="00711444" w:rsidRPr="004D0DAA" w:rsidRDefault="00711444" w:rsidP="00AA2A4C">
            <w:pPr>
              <w:pStyle w:val="TAL"/>
              <w:rPr>
                <w:lang w:eastAsia="en-US"/>
              </w:rPr>
            </w:pPr>
            <w:r w:rsidRPr="004D0DAA">
              <w:rPr>
                <w:lang w:eastAsia="en-US"/>
              </w:rPr>
              <w:t>2715648</w:t>
            </w:r>
          </w:p>
          <w:p w14:paraId="203F79D0" w14:textId="77777777" w:rsidR="00711444" w:rsidRPr="004D0DAA" w:rsidRDefault="00711444" w:rsidP="00AA2A4C">
            <w:pPr>
              <w:pStyle w:val="TAL"/>
              <w:rPr>
                <w:lang w:eastAsia="en-US"/>
              </w:rPr>
            </w:pPr>
            <w:r w:rsidRPr="004D0DAA">
              <w:rPr>
                <w:lang w:eastAsia="en-US"/>
              </w:rPr>
              <w:t>or</w:t>
            </w:r>
          </w:p>
          <w:p w14:paraId="3E30E25A" w14:textId="77777777" w:rsidR="00711444" w:rsidRPr="004D0DAA" w:rsidRDefault="00711444" w:rsidP="00AA2A4C">
            <w:pPr>
              <w:pStyle w:val="TAL"/>
              <w:rPr>
                <w:lang w:eastAsia="en-US"/>
              </w:rPr>
            </w:pPr>
            <w:r w:rsidRPr="004D0DAA">
              <w:rPr>
                <w:lang w:eastAsia="en-US"/>
              </w:rPr>
              <w:t>(N+216 or N+217) mode 2715648</w:t>
            </w:r>
          </w:p>
        </w:tc>
        <w:tc>
          <w:tcPr>
            <w:tcW w:w="716" w:type="pct"/>
          </w:tcPr>
          <w:p w14:paraId="74685C9A" w14:textId="77777777" w:rsidR="00711444" w:rsidRPr="004D0DAA" w:rsidRDefault="00711444" w:rsidP="00AA2A4C">
            <w:pPr>
              <w:pStyle w:val="TAL"/>
              <w:rPr>
                <w:lang w:eastAsia="en-US"/>
              </w:rPr>
            </w:pPr>
            <w:r w:rsidRPr="004D0DAA">
              <w:rPr>
                <w:lang w:eastAsia="en-US"/>
              </w:rPr>
              <w:t>Reserved</w:t>
            </w:r>
          </w:p>
        </w:tc>
      </w:tr>
      <w:tr w:rsidR="00711444" w:rsidRPr="004D0DAA" w14:paraId="73C22056" w14:textId="77777777" w:rsidTr="00AA2A4C">
        <w:trPr>
          <w:cantSplit/>
          <w:jc w:val="center"/>
        </w:trPr>
        <w:tc>
          <w:tcPr>
            <w:tcW w:w="5000" w:type="pct"/>
            <w:gridSpan w:val="7"/>
          </w:tcPr>
          <w:p w14:paraId="64F70686" w14:textId="77777777" w:rsidR="00711444" w:rsidRPr="004D0DAA" w:rsidRDefault="00711444" w:rsidP="00AA2A4C">
            <w:pPr>
              <w:pStyle w:val="TAL"/>
              <w:rPr>
                <w:lang w:eastAsia="ko-KR"/>
              </w:rPr>
            </w:pPr>
            <w:r w:rsidRPr="004D0DAA">
              <w:rPr>
                <w:rFonts w:hint="eastAsia"/>
                <w:lang w:eastAsia="ko-KR"/>
              </w:rPr>
              <w:t>NOTE:</w:t>
            </w:r>
            <w:r w:rsidRPr="004D0DAA">
              <w:rPr>
                <w:lang w:eastAsia="en-US"/>
              </w:rPr>
              <w:t xml:space="preserve"> </w:t>
            </w:r>
            <w:r w:rsidRPr="004D0DAA">
              <w:rPr>
                <w:lang w:eastAsia="en-US"/>
              </w:rPr>
              <w:tab/>
              <w:t xml:space="preserve">Each RRBP value in </w:t>
            </w:r>
            <w:r w:rsidRPr="004D0DAA">
              <w:rPr>
                <w:lang w:eastAsia="ko-KR"/>
              </w:rPr>
              <w:t xml:space="preserve">Table </w:t>
            </w:r>
            <w:r w:rsidRPr="004D0DAA">
              <w:rPr>
                <w:lang w:eastAsia="en-US"/>
              </w:rPr>
              <w:t>10.4.5.6 will assign only one valid uplink block given the downlink coverage class used, i.e. when the poll is received, and the uplink coverage class used. See 3GPP TS 45.002 [13] for the coverage class dependent channel mappings.</w:t>
            </w:r>
          </w:p>
        </w:tc>
      </w:tr>
    </w:tbl>
    <w:p w14:paraId="795F8564" w14:textId="77777777" w:rsidR="00711444" w:rsidRPr="004D0DAA" w:rsidRDefault="00711444" w:rsidP="00711444"/>
    <w:p w14:paraId="608D3ACC" w14:textId="77777777" w:rsidR="00711444" w:rsidRPr="004D0DAA" w:rsidRDefault="00711444" w:rsidP="00711444">
      <w:pPr>
        <w:pStyle w:val="Heading4"/>
      </w:pPr>
      <w:bookmarkStart w:id="555" w:name="_Toc516669735"/>
      <w:r w:rsidRPr="004D0DAA">
        <w:t>10.4.5.1</w:t>
      </w:r>
      <w:r w:rsidRPr="004D0DAA">
        <w:tab/>
        <w:t>Special requirements in dual transfer mode</w:t>
      </w:r>
      <w:bookmarkEnd w:id="555"/>
    </w:p>
    <w:p w14:paraId="25158C7D" w14:textId="77777777" w:rsidR="00711444" w:rsidRPr="004D0DAA" w:rsidRDefault="00711444" w:rsidP="00711444">
      <w:r w:rsidRPr="004D0DAA">
        <w:t xml:space="preserve">If the mobile station in dual transfer mode is using PDCH/H, where the </w:t>
      </w:r>
      <w:r w:rsidRPr="004D0DAA">
        <w:rPr>
          <w:i/>
        </w:rPr>
        <w:t>exclusive allocation is required</w:t>
      </w:r>
      <w:r w:rsidRPr="004D0DAA">
        <w:t xml:space="preserve">, </w:t>
      </w:r>
      <w:r w:rsidRPr="004D0DAA">
        <w:rPr>
          <w:i/>
        </w:rPr>
        <w:t>special requirements apply</w:t>
      </w:r>
      <w:r w:rsidRPr="004D0DAA">
        <w:t xml:space="preserve"> when the mobile station receives a valid RRBP field in a downlink RLC/MAC block:</w:t>
      </w:r>
    </w:p>
    <w:p w14:paraId="46BB4BDC" w14:textId="77777777" w:rsidR="00711444" w:rsidRPr="004D0DAA" w:rsidRDefault="00711444" w:rsidP="00711444">
      <w:pPr>
        <w:pStyle w:val="B1"/>
      </w:pPr>
      <w:r w:rsidRPr="004D0DAA">
        <w:t>-</w:t>
      </w:r>
      <w:r w:rsidRPr="004D0DAA">
        <w:tab/>
        <w:t>The mobile station may disregard the actual value of a valid RRBP field. The mobile station shall respond to the polling request at the TDMA frame number specified by one of the allowed RRBP values, regardless of which value that was actually received.</w:t>
      </w:r>
    </w:p>
    <w:p w14:paraId="1A5A1675" w14:textId="77777777" w:rsidR="00711444" w:rsidRPr="004D0DAA" w:rsidRDefault="00711444" w:rsidP="00711444">
      <w:pPr>
        <w:pStyle w:val="B1"/>
      </w:pPr>
      <w:r w:rsidRPr="004D0DAA">
        <w:t>-</w:t>
      </w:r>
      <w:r w:rsidRPr="004D0DAA">
        <w:tab/>
        <w:t>If the mobile station receives more than one RLC/MAC block with a valid RRBP field, the mobile station shall respond to each one of the polling requests with a separate PACKET CONTROL ACKNOWLEDGEMENT message or PACCH block to the network.</w:t>
      </w:r>
    </w:p>
    <w:p w14:paraId="0D1C50B0" w14:textId="77777777" w:rsidR="00711444" w:rsidRPr="004D0DAA" w:rsidRDefault="00711444" w:rsidP="00711444">
      <w:pPr>
        <w:pStyle w:val="B1"/>
      </w:pPr>
      <w:r w:rsidRPr="004D0DAA">
        <w:t>-</w:t>
      </w:r>
      <w:r w:rsidRPr="004D0DAA">
        <w:tab/>
        <w:t>When the mobile station responds with a PACKET CONTROL ACKNOWLEDGEMENT message to a valid RRBP field, the mobile station shall use the RLC/MAC control block format. That is regardless of the CONTROL_ACK_TYPE parameter received in the broadcast information of the cell or the TYPE_OF_ACK parameter received in a PACKET POLLING REQUEST message.</w:t>
      </w:r>
    </w:p>
    <w:p w14:paraId="12501CAC" w14:textId="77777777" w:rsidR="00711444" w:rsidRPr="004D0DAA" w:rsidRDefault="00711444" w:rsidP="00711444">
      <w:r w:rsidRPr="004D0DAA">
        <w:lastRenderedPageBreak/>
        <w:t xml:space="preserve">If the mobile station in dual transfer mode is not using PDCH/H, the </w:t>
      </w:r>
      <w:r w:rsidRPr="004D0DAA">
        <w:rPr>
          <w:i/>
        </w:rPr>
        <w:t>normal requirements apply</w:t>
      </w:r>
      <w:r w:rsidRPr="004D0DAA">
        <w:t xml:space="preserve"> when the mobile station receives a valid RRBP field in a downlink RLC/MAC block.</w:t>
      </w:r>
    </w:p>
    <w:p w14:paraId="2668B6D2" w14:textId="77777777" w:rsidR="00711444" w:rsidRPr="004D0DAA" w:rsidRDefault="00711444" w:rsidP="00711444">
      <w:pPr>
        <w:pStyle w:val="Heading3"/>
      </w:pPr>
      <w:bookmarkStart w:id="556" w:name="_Toc516669736"/>
      <w:r w:rsidRPr="004D0DAA">
        <w:t>10.4.6</w:t>
      </w:r>
      <w:r w:rsidRPr="004D0DAA">
        <w:tab/>
        <w:t>Countdown Value (CV) field</w:t>
      </w:r>
      <w:bookmarkEnd w:id="556"/>
    </w:p>
    <w:p w14:paraId="1A3A62F1" w14:textId="77777777" w:rsidR="00711444" w:rsidRPr="004D0DAA" w:rsidRDefault="00711444" w:rsidP="00711444">
      <w:r w:rsidRPr="004D0DAA">
        <w:t>The Countdown Value (CV) field is sent by the mobile station to allow the network to calculate the number of RLC data blocks remaining for the current uplink RLC entity. The CV value shall be calculated according to the process described in sub-clause 9.3.1. The CV field is 4 bits in length and is encoded as a binary number with range 0 to 15.</w:t>
      </w:r>
    </w:p>
    <w:p w14:paraId="4CF28A6C" w14:textId="77777777" w:rsidR="00711444" w:rsidRPr="004D0DAA" w:rsidRDefault="00711444" w:rsidP="00711444">
      <w:r w:rsidRPr="004D0DAA">
        <w:t>A mobile station with an uplink EC TBF is required to send the Countdown Value in an RLC uplink data block in order to inform the network that there are more remaining RLC data blocks for the uplink EC TBF than it has previously signalled to the network. When transmitting the last RLC data block, the CV equal to zero shall always be included. The Follow-On Indicator (FOI) shall indicate the presence of a valid CV field.</w:t>
      </w:r>
    </w:p>
    <w:p w14:paraId="0FB52708" w14:textId="77777777" w:rsidR="00711444" w:rsidRPr="004D0DAA" w:rsidRDefault="00711444" w:rsidP="00711444">
      <w:pPr>
        <w:pStyle w:val="Heading3"/>
      </w:pPr>
      <w:bookmarkStart w:id="557" w:name="_Toc516669737"/>
      <w:r w:rsidRPr="004D0DAA">
        <w:t>10.4.6a</w:t>
      </w:r>
      <w:r w:rsidRPr="004D0DAA">
        <w:tab/>
        <w:t>Follow-On Indicator field (FOI)</w:t>
      </w:r>
      <w:bookmarkEnd w:id="557"/>
    </w:p>
    <w:p w14:paraId="33A7108F" w14:textId="77777777" w:rsidR="00711444" w:rsidRPr="004D0DAA" w:rsidRDefault="00711444" w:rsidP="00711444">
      <w:r w:rsidRPr="004D0DAA">
        <w:t xml:space="preserve">The Follow-On Indicator bit is sent from the mobile station to the network to indicate the presence of a valid Countdown Value field in the uplink RLC data block header during an uplink EC TBF. </w:t>
      </w:r>
    </w:p>
    <w:p w14:paraId="2B330FB3" w14:textId="77777777" w:rsidR="00711444" w:rsidRPr="004D0DAA" w:rsidRDefault="00711444" w:rsidP="00711444">
      <w:pPr>
        <w:pStyle w:val="TH"/>
      </w:pPr>
      <w:r w:rsidRPr="004D0DAA">
        <w:t xml:space="preserve">Table 10.4.6a.1: Follow On Indicator field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082"/>
      </w:tblGrid>
      <w:tr w:rsidR="00711444" w:rsidRPr="004D0DAA" w14:paraId="480EACA6"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60EE0005" w14:textId="77777777" w:rsidR="00711444" w:rsidRPr="004D0DAA" w:rsidRDefault="00711444" w:rsidP="00AA2A4C">
            <w:pPr>
              <w:pStyle w:val="TAH"/>
              <w:rPr>
                <w:lang w:eastAsia="en-US"/>
              </w:rPr>
            </w:pPr>
            <w:r w:rsidRPr="004D0DAA">
              <w:rPr>
                <w:lang w:eastAsia="en-US"/>
              </w:rPr>
              <w:t>bit</w:t>
            </w:r>
            <w:r w:rsidRPr="004D0DAA">
              <w:rPr>
                <w:lang w:eastAsia="en-US"/>
              </w:rPr>
              <w:br/>
              <w:t>2</w:t>
            </w:r>
          </w:p>
        </w:tc>
        <w:tc>
          <w:tcPr>
            <w:tcW w:w="4082" w:type="dxa"/>
            <w:tcBorders>
              <w:top w:val="single" w:sz="4" w:space="0" w:color="auto"/>
              <w:left w:val="single" w:sz="4" w:space="0" w:color="auto"/>
              <w:bottom w:val="single" w:sz="4" w:space="0" w:color="auto"/>
              <w:right w:val="single" w:sz="4" w:space="0" w:color="auto"/>
            </w:tcBorders>
          </w:tcPr>
          <w:p w14:paraId="2583B049" w14:textId="77777777" w:rsidR="00711444" w:rsidRPr="004D0DAA" w:rsidRDefault="00711444" w:rsidP="00AA2A4C">
            <w:pPr>
              <w:pStyle w:val="TAH"/>
              <w:rPr>
                <w:lang w:eastAsia="en-US"/>
              </w:rPr>
            </w:pPr>
            <w:r w:rsidRPr="004D0DAA">
              <w:rPr>
                <w:lang w:eastAsia="en-US"/>
              </w:rPr>
              <w:t>FOI</w:t>
            </w:r>
          </w:p>
        </w:tc>
      </w:tr>
      <w:tr w:rsidR="00711444" w:rsidRPr="004D0DAA" w14:paraId="4E556A71"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760224C2" w14:textId="77777777" w:rsidR="00711444" w:rsidRPr="004D0DAA" w:rsidRDefault="00711444" w:rsidP="00AA2A4C">
            <w:pPr>
              <w:pStyle w:val="TAC"/>
              <w:rPr>
                <w:lang w:eastAsia="en-US"/>
              </w:rPr>
            </w:pPr>
            <w:r w:rsidRPr="004D0DAA">
              <w:rPr>
                <w:lang w:eastAsia="en-US"/>
              </w:rPr>
              <w:t>0</w:t>
            </w:r>
          </w:p>
        </w:tc>
        <w:tc>
          <w:tcPr>
            <w:tcW w:w="4082" w:type="dxa"/>
            <w:tcBorders>
              <w:top w:val="single" w:sz="4" w:space="0" w:color="auto"/>
              <w:left w:val="single" w:sz="4" w:space="0" w:color="auto"/>
              <w:bottom w:val="single" w:sz="4" w:space="0" w:color="auto"/>
              <w:right w:val="single" w:sz="4" w:space="0" w:color="auto"/>
            </w:tcBorders>
          </w:tcPr>
          <w:p w14:paraId="4B49191E" w14:textId="77777777" w:rsidR="00711444" w:rsidRPr="004D0DAA" w:rsidRDefault="00711444" w:rsidP="00AA2A4C">
            <w:pPr>
              <w:pStyle w:val="TAL"/>
              <w:rPr>
                <w:lang w:eastAsia="en-US"/>
              </w:rPr>
            </w:pPr>
            <w:r w:rsidRPr="004D0DAA">
              <w:rPr>
                <w:lang w:eastAsia="en-US"/>
              </w:rPr>
              <w:t>Countdown Value not present</w:t>
            </w:r>
          </w:p>
        </w:tc>
      </w:tr>
      <w:tr w:rsidR="00711444" w:rsidRPr="004D0DAA" w14:paraId="593D3F5E"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3DE14306" w14:textId="77777777" w:rsidR="00711444" w:rsidRPr="004D0DAA" w:rsidRDefault="00711444" w:rsidP="00AA2A4C">
            <w:pPr>
              <w:pStyle w:val="TAC"/>
              <w:rPr>
                <w:lang w:eastAsia="en-US"/>
              </w:rPr>
            </w:pPr>
            <w:r w:rsidRPr="004D0DAA">
              <w:rPr>
                <w:lang w:eastAsia="en-US"/>
              </w:rPr>
              <w:t>1</w:t>
            </w:r>
          </w:p>
        </w:tc>
        <w:tc>
          <w:tcPr>
            <w:tcW w:w="4082" w:type="dxa"/>
            <w:tcBorders>
              <w:top w:val="single" w:sz="4" w:space="0" w:color="auto"/>
              <w:left w:val="single" w:sz="4" w:space="0" w:color="auto"/>
              <w:bottom w:val="single" w:sz="4" w:space="0" w:color="auto"/>
              <w:right w:val="single" w:sz="4" w:space="0" w:color="auto"/>
            </w:tcBorders>
          </w:tcPr>
          <w:p w14:paraId="05D50C15" w14:textId="77777777" w:rsidR="00711444" w:rsidRPr="004D0DAA" w:rsidRDefault="00711444" w:rsidP="00AA2A4C">
            <w:pPr>
              <w:pStyle w:val="TAL"/>
              <w:rPr>
                <w:lang w:eastAsia="en-US"/>
              </w:rPr>
            </w:pPr>
            <w:r w:rsidRPr="004D0DAA">
              <w:rPr>
                <w:lang w:eastAsia="en-US"/>
              </w:rPr>
              <w:t>Countdown Value present</w:t>
            </w:r>
          </w:p>
        </w:tc>
      </w:tr>
    </w:tbl>
    <w:p w14:paraId="1DB4ECC4" w14:textId="77777777" w:rsidR="00711444" w:rsidRPr="004D0DAA" w:rsidRDefault="00711444" w:rsidP="00711444"/>
    <w:p w14:paraId="40EBD918" w14:textId="77777777" w:rsidR="00711444" w:rsidRPr="004D0DAA" w:rsidRDefault="00711444" w:rsidP="00711444">
      <w:pPr>
        <w:pStyle w:val="Heading3"/>
      </w:pPr>
      <w:bookmarkStart w:id="558" w:name="_Toc516669738"/>
      <w:r w:rsidRPr="004D0DAA">
        <w:t>10.4.7</w:t>
      </w:r>
      <w:r w:rsidRPr="004D0DAA">
        <w:tab/>
        <w:t>Payload Type field</w:t>
      </w:r>
      <w:bookmarkEnd w:id="558"/>
    </w:p>
    <w:p w14:paraId="32F448E8" w14:textId="77777777" w:rsidR="00711444" w:rsidRPr="004D0DAA" w:rsidRDefault="00711444" w:rsidP="00711444">
      <w:pPr>
        <w:keepNext/>
        <w:keepLines/>
      </w:pPr>
      <w:r w:rsidRPr="004D0DAA">
        <w:t>The Payload Type field shall indicate the type of data contained in remainder of the RLC/MAC block. The encoding of the Payload Type field is shown in table 10.4.7.1.</w:t>
      </w:r>
    </w:p>
    <w:p w14:paraId="609DC84B" w14:textId="77777777" w:rsidR="00711444" w:rsidRPr="004D0DAA" w:rsidRDefault="00711444" w:rsidP="00711444">
      <w:pPr>
        <w:pStyle w:val="TH"/>
      </w:pPr>
      <w:r w:rsidRPr="004D0DAA">
        <w:t>Table 10.4.7.1: Payload Type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7456"/>
      </w:tblGrid>
      <w:tr w:rsidR="00711444" w:rsidRPr="004D0DAA" w14:paraId="1B3C6817" w14:textId="77777777" w:rsidTr="00AA2A4C">
        <w:tblPrEx>
          <w:tblCellMar>
            <w:top w:w="0" w:type="dxa"/>
            <w:bottom w:w="0" w:type="dxa"/>
          </w:tblCellMar>
        </w:tblPrEx>
        <w:trPr>
          <w:cantSplit/>
          <w:jc w:val="center"/>
        </w:trPr>
        <w:tc>
          <w:tcPr>
            <w:tcW w:w="794" w:type="dxa"/>
          </w:tcPr>
          <w:p w14:paraId="2019C12F" w14:textId="77777777" w:rsidR="00711444" w:rsidRPr="004D0DAA" w:rsidRDefault="00711444" w:rsidP="00AA2A4C">
            <w:pPr>
              <w:pStyle w:val="TAH"/>
              <w:rPr>
                <w:lang w:eastAsia="en-US"/>
              </w:rPr>
            </w:pPr>
            <w:r w:rsidRPr="004D0DAA">
              <w:rPr>
                <w:lang w:eastAsia="en-US"/>
              </w:rPr>
              <w:t>bit</w:t>
            </w:r>
            <w:r w:rsidRPr="004D0DAA">
              <w:rPr>
                <w:lang w:eastAsia="en-US"/>
              </w:rPr>
              <w:br/>
              <w:t>8 7</w:t>
            </w:r>
          </w:p>
        </w:tc>
        <w:tc>
          <w:tcPr>
            <w:tcW w:w="7456" w:type="dxa"/>
          </w:tcPr>
          <w:p w14:paraId="1714FD0C" w14:textId="77777777" w:rsidR="00711444" w:rsidRPr="004D0DAA" w:rsidRDefault="00711444" w:rsidP="00AA2A4C">
            <w:pPr>
              <w:pStyle w:val="TAH"/>
              <w:rPr>
                <w:lang w:eastAsia="en-US"/>
              </w:rPr>
            </w:pPr>
            <w:r w:rsidRPr="004D0DAA">
              <w:rPr>
                <w:lang w:eastAsia="en-US"/>
              </w:rPr>
              <w:t>Payload Type</w:t>
            </w:r>
          </w:p>
        </w:tc>
      </w:tr>
      <w:tr w:rsidR="00711444" w:rsidRPr="004D0DAA" w14:paraId="5FA955D3" w14:textId="77777777" w:rsidTr="00AA2A4C">
        <w:tblPrEx>
          <w:tblCellMar>
            <w:top w:w="0" w:type="dxa"/>
            <w:bottom w:w="0" w:type="dxa"/>
          </w:tblCellMar>
        </w:tblPrEx>
        <w:trPr>
          <w:cantSplit/>
          <w:jc w:val="center"/>
        </w:trPr>
        <w:tc>
          <w:tcPr>
            <w:tcW w:w="794" w:type="dxa"/>
          </w:tcPr>
          <w:p w14:paraId="7771ECB4" w14:textId="77777777" w:rsidR="00711444" w:rsidRPr="004D0DAA" w:rsidRDefault="00711444" w:rsidP="00AA2A4C">
            <w:pPr>
              <w:pStyle w:val="TAC"/>
              <w:rPr>
                <w:lang w:eastAsia="en-US"/>
              </w:rPr>
            </w:pPr>
            <w:r w:rsidRPr="004D0DAA">
              <w:rPr>
                <w:lang w:eastAsia="en-US"/>
              </w:rPr>
              <w:t>0 0</w:t>
            </w:r>
          </w:p>
        </w:tc>
        <w:tc>
          <w:tcPr>
            <w:tcW w:w="7456" w:type="dxa"/>
          </w:tcPr>
          <w:p w14:paraId="6892B7FD" w14:textId="77777777" w:rsidR="00711444" w:rsidRPr="004D0DAA" w:rsidRDefault="00711444" w:rsidP="00AA2A4C">
            <w:pPr>
              <w:pStyle w:val="TAL"/>
              <w:rPr>
                <w:lang w:eastAsia="en-US"/>
              </w:rPr>
            </w:pPr>
            <w:r w:rsidRPr="004D0DAA">
              <w:rPr>
                <w:lang w:eastAsia="en-US"/>
              </w:rPr>
              <w:t>RLC/MAC block contains an RLC data block</w:t>
            </w:r>
          </w:p>
        </w:tc>
      </w:tr>
      <w:tr w:rsidR="00711444" w:rsidRPr="004D0DAA" w14:paraId="1D91F3E1" w14:textId="77777777" w:rsidTr="00AA2A4C">
        <w:tblPrEx>
          <w:tblCellMar>
            <w:top w:w="0" w:type="dxa"/>
            <w:bottom w:w="0" w:type="dxa"/>
          </w:tblCellMar>
        </w:tblPrEx>
        <w:trPr>
          <w:cantSplit/>
          <w:jc w:val="center"/>
        </w:trPr>
        <w:tc>
          <w:tcPr>
            <w:tcW w:w="794" w:type="dxa"/>
          </w:tcPr>
          <w:p w14:paraId="7E4E7596" w14:textId="77777777" w:rsidR="00711444" w:rsidRPr="004D0DAA" w:rsidRDefault="00711444" w:rsidP="00AA2A4C">
            <w:pPr>
              <w:pStyle w:val="TAC"/>
              <w:rPr>
                <w:lang w:eastAsia="en-US"/>
              </w:rPr>
            </w:pPr>
            <w:r w:rsidRPr="004D0DAA">
              <w:rPr>
                <w:lang w:eastAsia="en-US"/>
              </w:rPr>
              <w:t>0 1</w:t>
            </w:r>
          </w:p>
        </w:tc>
        <w:tc>
          <w:tcPr>
            <w:tcW w:w="7456" w:type="dxa"/>
          </w:tcPr>
          <w:p w14:paraId="2301F7F3" w14:textId="77777777" w:rsidR="00711444" w:rsidRPr="004D0DAA" w:rsidRDefault="00711444" w:rsidP="00AA2A4C">
            <w:pPr>
              <w:pStyle w:val="TAL"/>
              <w:rPr>
                <w:lang w:eastAsia="en-US"/>
              </w:rPr>
            </w:pPr>
            <w:r w:rsidRPr="004D0DAA">
              <w:rPr>
                <w:lang w:eastAsia="en-US"/>
              </w:rPr>
              <w:t>RLC/MAC block contains an RLC/MAC control block that does not include the optional octets of the RLC/MAC control header</w:t>
            </w:r>
          </w:p>
        </w:tc>
      </w:tr>
      <w:tr w:rsidR="00711444" w:rsidRPr="004D0DAA" w14:paraId="3859A8C6" w14:textId="77777777" w:rsidTr="00AA2A4C">
        <w:tblPrEx>
          <w:tblCellMar>
            <w:top w:w="0" w:type="dxa"/>
            <w:bottom w:w="0" w:type="dxa"/>
          </w:tblCellMar>
        </w:tblPrEx>
        <w:trPr>
          <w:cantSplit/>
          <w:jc w:val="center"/>
        </w:trPr>
        <w:tc>
          <w:tcPr>
            <w:tcW w:w="794" w:type="dxa"/>
          </w:tcPr>
          <w:p w14:paraId="0345C6F9" w14:textId="77777777" w:rsidR="00711444" w:rsidRPr="004D0DAA" w:rsidRDefault="00711444" w:rsidP="00AA2A4C">
            <w:pPr>
              <w:pStyle w:val="TAC"/>
              <w:rPr>
                <w:lang w:eastAsia="en-US"/>
              </w:rPr>
            </w:pPr>
            <w:r w:rsidRPr="004D0DAA">
              <w:rPr>
                <w:lang w:eastAsia="en-US"/>
              </w:rPr>
              <w:t>10</w:t>
            </w:r>
          </w:p>
        </w:tc>
        <w:tc>
          <w:tcPr>
            <w:tcW w:w="7456" w:type="dxa"/>
          </w:tcPr>
          <w:p w14:paraId="26EEF5D5" w14:textId="77777777" w:rsidR="00711444" w:rsidRPr="004D0DAA" w:rsidRDefault="00711444" w:rsidP="00AA2A4C">
            <w:pPr>
              <w:pStyle w:val="TAL"/>
              <w:rPr>
                <w:lang w:eastAsia="en-US"/>
              </w:rPr>
            </w:pPr>
            <w:r w:rsidRPr="004D0DAA">
              <w:rPr>
                <w:lang w:eastAsia="en-US"/>
              </w:rPr>
              <w:t>In the downlink direction, the RLC/MAC block contains an RLC/MAC control block that includes the optional first octet of the RLC/MAC control header.</w:t>
            </w:r>
            <w:r w:rsidRPr="004D0DAA">
              <w:rPr>
                <w:lang w:eastAsia="en-US"/>
              </w:rPr>
              <w:br/>
              <w:t>In the uplink direction, this value is reserved.</w:t>
            </w:r>
          </w:p>
        </w:tc>
      </w:tr>
      <w:tr w:rsidR="00711444" w:rsidRPr="004D0DAA" w14:paraId="413BB771" w14:textId="77777777" w:rsidTr="00AA2A4C">
        <w:tblPrEx>
          <w:tblCellMar>
            <w:top w:w="0" w:type="dxa"/>
            <w:bottom w:w="0" w:type="dxa"/>
          </w:tblCellMar>
        </w:tblPrEx>
        <w:trPr>
          <w:cantSplit/>
          <w:jc w:val="center"/>
        </w:trPr>
        <w:tc>
          <w:tcPr>
            <w:tcW w:w="794" w:type="dxa"/>
          </w:tcPr>
          <w:p w14:paraId="62AC8DD8" w14:textId="77777777" w:rsidR="00711444" w:rsidRPr="004D0DAA" w:rsidRDefault="00711444" w:rsidP="00AA2A4C">
            <w:pPr>
              <w:pStyle w:val="TAC"/>
              <w:rPr>
                <w:lang w:eastAsia="en-US"/>
              </w:rPr>
            </w:pPr>
            <w:r w:rsidRPr="004D0DAA">
              <w:rPr>
                <w:lang w:eastAsia="en-US"/>
              </w:rPr>
              <w:t>1 1</w:t>
            </w:r>
          </w:p>
        </w:tc>
        <w:tc>
          <w:tcPr>
            <w:tcW w:w="7456" w:type="dxa"/>
          </w:tcPr>
          <w:p w14:paraId="10CA701D" w14:textId="77777777" w:rsidR="00711444" w:rsidRPr="004D0DAA" w:rsidRDefault="00711444" w:rsidP="00AA2A4C">
            <w:pPr>
              <w:pStyle w:val="TAL"/>
              <w:rPr>
                <w:lang w:eastAsia="en-US"/>
              </w:rPr>
            </w:pPr>
            <w:r w:rsidRPr="004D0DAA">
              <w:rPr>
                <w:lang w:eastAsia="en-US"/>
              </w:rPr>
              <w:t>Reserved. In this version of the protocol, the mobile station shall ignore all fields of the RLC/MAC block except for the USF field</w:t>
            </w:r>
          </w:p>
        </w:tc>
      </w:tr>
    </w:tbl>
    <w:p w14:paraId="2AF938A7" w14:textId="77777777" w:rsidR="00711444" w:rsidRPr="004D0DAA" w:rsidRDefault="00711444" w:rsidP="00711444"/>
    <w:p w14:paraId="35FF26E6" w14:textId="77777777" w:rsidR="00711444" w:rsidRPr="004D0DAA" w:rsidRDefault="00711444" w:rsidP="00711444">
      <w:r w:rsidRPr="004D0DAA">
        <w:t>In downlink RLC/MAC Control blocks encoded using MSC-0 the encoding of the Payload Type field is shown in table 10.4.7.2.</w:t>
      </w:r>
    </w:p>
    <w:p w14:paraId="1884234B" w14:textId="77777777" w:rsidR="00711444" w:rsidRPr="004D0DAA" w:rsidRDefault="00711444" w:rsidP="00711444">
      <w:pPr>
        <w:pStyle w:val="TH"/>
      </w:pPr>
      <w:r w:rsidRPr="004D0DAA">
        <w:t>Table 10.4.7.2: Payload Type field, MCS-0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7456"/>
      </w:tblGrid>
      <w:tr w:rsidR="00711444" w:rsidRPr="004D0DAA" w14:paraId="51080B1E" w14:textId="77777777" w:rsidTr="00AA2A4C">
        <w:tblPrEx>
          <w:tblCellMar>
            <w:top w:w="0" w:type="dxa"/>
            <w:bottom w:w="0" w:type="dxa"/>
          </w:tblCellMar>
        </w:tblPrEx>
        <w:trPr>
          <w:cantSplit/>
          <w:jc w:val="center"/>
        </w:trPr>
        <w:tc>
          <w:tcPr>
            <w:tcW w:w="794" w:type="dxa"/>
          </w:tcPr>
          <w:p w14:paraId="204AB0A4" w14:textId="77777777" w:rsidR="00711444" w:rsidRPr="004D0DAA" w:rsidRDefault="00711444" w:rsidP="00AA2A4C">
            <w:pPr>
              <w:pStyle w:val="TAH"/>
              <w:rPr>
                <w:lang w:eastAsia="en-US"/>
              </w:rPr>
            </w:pPr>
            <w:r w:rsidRPr="004D0DAA">
              <w:rPr>
                <w:lang w:eastAsia="en-US"/>
              </w:rPr>
              <w:t>bit</w:t>
            </w:r>
            <w:r w:rsidRPr="004D0DAA">
              <w:rPr>
                <w:lang w:eastAsia="en-US"/>
              </w:rPr>
              <w:br/>
              <w:t>8</w:t>
            </w:r>
          </w:p>
        </w:tc>
        <w:tc>
          <w:tcPr>
            <w:tcW w:w="7456" w:type="dxa"/>
          </w:tcPr>
          <w:p w14:paraId="6C67467D" w14:textId="77777777" w:rsidR="00711444" w:rsidRPr="004D0DAA" w:rsidRDefault="00711444" w:rsidP="00AA2A4C">
            <w:pPr>
              <w:pStyle w:val="TAH"/>
              <w:rPr>
                <w:lang w:eastAsia="en-US"/>
              </w:rPr>
            </w:pPr>
            <w:r w:rsidRPr="004D0DAA">
              <w:rPr>
                <w:lang w:eastAsia="en-US"/>
              </w:rPr>
              <w:t>Payload Type</w:t>
            </w:r>
          </w:p>
        </w:tc>
      </w:tr>
      <w:tr w:rsidR="00711444" w:rsidRPr="004D0DAA" w14:paraId="35EC3124" w14:textId="77777777" w:rsidTr="00AA2A4C">
        <w:tblPrEx>
          <w:tblCellMar>
            <w:top w:w="0" w:type="dxa"/>
            <w:bottom w:w="0" w:type="dxa"/>
          </w:tblCellMar>
        </w:tblPrEx>
        <w:trPr>
          <w:cantSplit/>
          <w:jc w:val="center"/>
        </w:trPr>
        <w:tc>
          <w:tcPr>
            <w:tcW w:w="794" w:type="dxa"/>
          </w:tcPr>
          <w:p w14:paraId="3C9F5258" w14:textId="77777777" w:rsidR="00711444" w:rsidRPr="004D0DAA" w:rsidRDefault="00711444" w:rsidP="00AA2A4C">
            <w:pPr>
              <w:pStyle w:val="TAC"/>
              <w:rPr>
                <w:lang w:eastAsia="en-US"/>
              </w:rPr>
            </w:pPr>
            <w:r w:rsidRPr="004D0DAA">
              <w:rPr>
                <w:lang w:eastAsia="en-US"/>
              </w:rPr>
              <w:t>0</w:t>
            </w:r>
          </w:p>
        </w:tc>
        <w:tc>
          <w:tcPr>
            <w:tcW w:w="7456" w:type="dxa"/>
          </w:tcPr>
          <w:p w14:paraId="4726C8A5" w14:textId="77777777" w:rsidR="00711444" w:rsidRPr="004D0DAA" w:rsidRDefault="00711444" w:rsidP="00AA2A4C">
            <w:pPr>
              <w:pStyle w:val="TAL"/>
              <w:rPr>
                <w:lang w:eastAsia="en-US"/>
              </w:rPr>
            </w:pPr>
            <w:r w:rsidRPr="004D0DAA">
              <w:rPr>
                <w:lang w:eastAsia="en-US"/>
              </w:rPr>
              <w:t>RLC/MAC block contains an RLC/MAC control block that does not include the optional octets of the RLC/MAC control block  message shown in figure 10.3.1.2.1</w:t>
            </w:r>
          </w:p>
        </w:tc>
      </w:tr>
      <w:tr w:rsidR="00711444" w:rsidRPr="004D0DAA" w14:paraId="440229B7" w14:textId="77777777" w:rsidTr="00AA2A4C">
        <w:tblPrEx>
          <w:tblCellMar>
            <w:top w:w="0" w:type="dxa"/>
            <w:bottom w:w="0" w:type="dxa"/>
          </w:tblCellMar>
        </w:tblPrEx>
        <w:trPr>
          <w:cantSplit/>
          <w:jc w:val="center"/>
        </w:trPr>
        <w:tc>
          <w:tcPr>
            <w:tcW w:w="794" w:type="dxa"/>
          </w:tcPr>
          <w:p w14:paraId="41260BB1" w14:textId="77777777" w:rsidR="00711444" w:rsidRPr="004D0DAA" w:rsidRDefault="00711444" w:rsidP="00AA2A4C">
            <w:pPr>
              <w:pStyle w:val="TAC"/>
              <w:rPr>
                <w:lang w:eastAsia="en-US"/>
              </w:rPr>
            </w:pPr>
            <w:r w:rsidRPr="004D0DAA">
              <w:rPr>
                <w:lang w:eastAsia="en-US"/>
              </w:rPr>
              <w:t>1</w:t>
            </w:r>
          </w:p>
        </w:tc>
        <w:tc>
          <w:tcPr>
            <w:tcW w:w="7456" w:type="dxa"/>
          </w:tcPr>
          <w:p w14:paraId="6B9B686E" w14:textId="77777777" w:rsidR="00711444" w:rsidRPr="004D0DAA" w:rsidRDefault="00711444" w:rsidP="00AA2A4C">
            <w:pPr>
              <w:pStyle w:val="TAL"/>
              <w:rPr>
                <w:lang w:eastAsia="en-US"/>
              </w:rPr>
            </w:pPr>
            <w:r w:rsidRPr="004D0DAA">
              <w:rPr>
                <w:lang w:eastAsia="en-US"/>
              </w:rPr>
              <w:t>RLC/MAC block contains an RLC/MAC control block that includes at least the first optional octet of the RLC/MAC control block message shown in figure 10.3.1.2.1</w:t>
            </w:r>
          </w:p>
        </w:tc>
      </w:tr>
    </w:tbl>
    <w:p w14:paraId="22071EBC" w14:textId="77777777" w:rsidR="00711444" w:rsidRPr="004D0DAA" w:rsidRDefault="00711444" w:rsidP="00711444"/>
    <w:p w14:paraId="0632D031" w14:textId="77777777" w:rsidR="00711444" w:rsidRPr="004D0DAA" w:rsidRDefault="00711444" w:rsidP="00711444">
      <w:r w:rsidRPr="004D0DAA">
        <w:t>In downlink RLC/MAC Control blocks on EC-PACCH/D, the encoding of the Payload Type field is shown in table 10.4.7.3.</w:t>
      </w:r>
    </w:p>
    <w:p w14:paraId="66699CA0" w14:textId="77777777" w:rsidR="00711444" w:rsidRPr="004D0DAA" w:rsidRDefault="00711444" w:rsidP="00711444">
      <w:pPr>
        <w:pStyle w:val="TH"/>
      </w:pPr>
      <w:r w:rsidRPr="004D0DAA">
        <w:lastRenderedPageBreak/>
        <w:t>Table 10.4.7.3: Payload Type field on EC-PACCH/D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7456"/>
      </w:tblGrid>
      <w:tr w:rsidR="00711444" w:rsidRPr="004D0DAA" w14:paraId="626F5FB6" w14:textId="77777777" w:rsidTr="00AA2A4C">
        <w:trPr>
          <w:cantSplit/>
          <w:jc w:val="center"/>
        </w:trPr>
        <w:tc>
          <w:tcPr>
            <w:tcW w:w="794" w:type="dxa"/>
          </w:tcPr>
          <w:p w14:paraId="7CAA8222" w14:textId="77777777" w:rsidR="00711444" w:rsidRPr="004D0DAA" w:rsidRDefault="00711444" w:rsidP="00AA2A4C">
            <w:pPr>
              <w:pStyle w:val="TAH"/>
              <w:rPr>
                <w:lang w:eastAsia="en-US"/>
              </w:rPr>
            </w:pPr>
            <w:r w:rsidRPr="004D0DAA">
              <w:rPr>
                <w:lang w:eastAsia="en-US"/>
              </w:rPr>
              <w:t>bit</w:t>
            </w:r>
            <w:r w:rsidRPr="004D0DAA">
              <w:rPr>
                <w:lang w:eastAsia="en-US"/>
              </w:rPr>
              <w:br/>
              <w:t>7</w:t>
            </w:r>
          </w:p>
        </w:tc>
        <w:tc>
          <w:tcPr>
            <w:tcW w:w="7456" w:type="dxa"/>
          </w:tcPr>
          <w:p w14:paraId="344F54A7" w14:textId="77777777" w:rsidR="00711444" w:rsidRPr="004D0DAA" w:rsidRDefault="00711444" w:rsidP="00AA2A4C">
            <w:pPr>
              <w:pStyle w:val="TAH"/>
              <w:rPr>
                <w:lang w:eastAsia="en-US"/>
              </w:rPr>
            </w:pPr>
            <w:r w:rsidRPr="004D0DAA">
              <w:rPr>
                <w:lang w:eastAsia="en-US"/>
              </w:rPr>
              <w:t>Payload Type</w:t>
            </w:r>
          </w:p>
        </w:tc>
      </w:tr>
      <w:tr w:rsidR="00711444" w:rsidRPr="004D0DAA" w14:paraId="64F1B529" w14:textId="77777777" w:rsidTr="00AA2A4C">
        <w:trPr>
          <w:cantSplit/>
          <w:jc w:val="center"/>
        </w:trPr>
        <w:tc>
          <w:tcPr>
            <w:tcW w:w="794" w:type="dxa"/>
          </w:tcPr>
          <w:p w14:paraId="65B7A92C" w14:textId="77777777" w:rsidR="00711444" w:rsidRPr="004D0DAA" w:rsidRDefault="00711444" w:rsidP="00AA2A4C">
            <w:pPr>
              <w:pStyle w:val="TAC"/>
              <w:rPr>
                <w:lang w:eastAsia="en-US"/>
              </w:rPr>
            </w:pPr>
            <w:r w:rsidRPr="004D0DAA">
              <w:rPr>
                <w:lang w:eastAsia="en-US"/>
              </w:rPr>
              <w:t>0</w:t>
            </w:r>
          </w:p>
        </w:tc>
        <w:tc>
          <w:tcPr>
            <w:tcW w:w="7456" w:type="dxa"/>
          </w:tcPr>
          <w:p w14:paraId="51E1F7F1" w14:textId="77777777" w:rsidR="00711444" w:rsidRPr="004D0DAA" w:rsidRDefault="00711444" w:rsidP="00AA2A4C">
            <w:pPr>
              <w:pStyle w:val="TAL"/>
              <w:rPr>
                <w:lang w:eastAsia="en-US"/>
              </w:rPr>
            </w:pPr>
            <w:r w:rsidRPr="004D0DAA">
              <w:rPr>
                <w:lang w:eastAsia="en-US"/>
              </w:rPr>
              <w:t>The RLC/MAC control block, including the normal MAC header, is coded according to figure 10.3.1.3.1</w:t>
            </w:r>
          </w:p>
        </w:tc>
      </w:tr>
      <w:tr w:rsidR="00711444" w:rsidRPr="004D0DAA" w14:paraId="54B76F0E" w14:textId="77777777" w:rsidTr="00AA2A4C">
        <w:trPr>
          <w:cantSplit/>
          <w:jc w:val="center"/>
        </w:trPr>
        <w:tc>
          <w:tcPr>
            <w:tcW w:w="794" w:type="dxa"/>
          </w:tcPr>
          <w:p w14:paraId="27BFD337" w14:textId="77777777" w:rsidR="00711444" w:rsidRPr="004D0DAA" w:rsidRDefault="00711444" w:rsidP="00AA2A4C">
            <w:pPr>
              <w:pStyle w:val="TAC"/>
              <w:rPr>
                <w:lang w:eastAsia="en-US"/>
              </w:rPr>
            </w:pPr>
            <w:r w:rsidRPr="004D0DAA">
              <w:rPr>
                <w:lang w:eastAsia="en-US"/>
              </w:rPr>
              <w:t>1</w:t>
            </w:r>
          </w:p>
        </w:tc>
        <w:tc>
          <w:tcPr>
            <w:tcW w:w="7456" w:type="dxa"/>
          </w:tcPr>
          <w:p w14:paraId="0516BF59" w14:textId="77777777" w:rsidR="00711444" w:rsidRPr="004D0DAA" w:rsidRDefault="00711444" w:rsidP="00AA2A4C">
            <w:pPr>
              <w:pStyle w:val="TAL"/>
              <w:rPr>
                <w:lang w:eastAsia="en-US"/>
              </w:rPr>
            </w:pPr>
            <w:r w:rsidRPr="004D0DAA">
              <w:rPr>
                <w:lang w:eastAsia="en-US"/>
              </w:rPr>
              <w:t>The RLC/MAC control block, including the extended MAC header, is coded according to figure 10.3.1.3.2</w:t>
            </w:r>
          </w:p>
        </w:tc>
      </w:tr>
    </w:tbl>
    <w:p w14:paraId="1C2C4EFE" w14:textId="77777777" w:rsidR="00711444" w:rsidRPr="004D0DAA" w:rsidRDefault="00711444" w:rsidP="00711444">
      <w:pPr>
        <w:pStyle w:val="Heading3"/>
      </w:pPr>
      <w:bookmarkStart w:id="559" w:name="_Toc516669739"/>
      <w:r w:rsidRPr="004D0DAA">
        <w:t>10.4.8</w:t>
      </w:r>
      <w:r w:rsidRPr="004D0DAA">
        <w:tab/>
        <w:t>Final block indicator (FBI) bit</w:t>
      </w:r>
      <w:bookmarkEnd w:id="559"/>
    </w:p>
    <w:p w14:paraId="6ADF371E" w14:textId="77777777" w:rsidR="00711444" w:rsidRPr="004D0DAA" w:rsidRDefault="00711444" w:rsidP="00711444">
      <w:pPr>
        <w:keepNext/>
        <w:keepLines/>
      </w:pPr>
      <w:r w:rsidRPr="004D0DAA">
        <w:t>The Final block indicator (FBI) bit indicates that the downlink RLC data block is the last RLC data block of the downlink TBF.</w:t>
      </w:r>
    </w:p>
    <w:p w14:paraId="105279BB" w14:textId="77777777" w:rsidR="00711444" w:rsidRPr="004D0DAA" w:rsidRDefault="00711444" w:rsidP="00711444">
      <w:pPr>
        <w:pStyle w:val="TH"/>
      </w:pPr>
      <w:r w:rsidRPr="004D0DAA">
        <w:t>Table 10.4.8.1: Final block indicator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3EAB30E0" w14:textId="77777777" w:rsidTr="00AA2A4C">
        <w:tblPrEx>
          <w:tblCellMar>
            <w:top w:w="0" w:type="dxa"/>
            <w:bottom w:w="0" w:type="dxa"/>
          </w:tblCellMar>
        </w:tblPrEx>
        <w:trPr>
          <w:cantSplit/>
          <w:jc w:val="center"/>
        </w:trPr>
        <w:tc>
          <w:tcPr>
            <w:tcW w:w="794" w:type="dxa"/>
          </w:tcPr>
          <w:p w14:paraId="4714A9EA" w14:textId="77777777" w:rsidR="00711444" w:rsidRPr="004D0DAA" w:rsidRDefault="00711444" w:rsidP="00AA2A4C">
            <w:pPr>
              <w:pStyle w:val="TAH"/>
              <w:rPr>
                <w:lang w:eastAsia="en-US"/>
              </w:rPr>
            </w:pPr>
            <w:r w:rsidRPr="004D0DAA">
              <w:rPr>
                <w:lang w:eastAsia="en-US"/>
              </w:rPr>
              <w:t>bit 1</w:t>
            </w:r>
          </w:p>
        </w:tc>
        <w:tc>
          <w:tcPr>
            <w:tcW w:w="4536" w:type="dxa"/>
          </w:tcPr>
          <w:p w14:paraId="7EC74B93" w14:textId="77777777" w:rsidR="00711444" w:rsidRPr="004D0DAA" w:rsidRDefault="00711444" w:rsidP="00AA2A4C">
            <w:pPr>
              <w:pStyle w:val="TAH"/>
              <w:rPr>
                <w:lang w:eastAsia="en-US"/>
              </w:rPr>
            </w:pPr>
            <w:r w:rsidRPr="004D0DAA">
              <w:rPr>
                <w:lang w:eastAsia="en-US"/>
              </w:rPr>
              <w:t>Final block indicator</w:t>
            </w:r>
          </w:p>
        </w:tc>
      </w:tr>
      <w:tr w:rsidR="00711444" w:rsidRPr="004D0DAA" w14:paraId="064343B8" w14:textId="77777777" w:rsidTr="00AA2A4C">
        <w:tblPrEx>
          <w:tblCellMar>
            <w:top w:w="0" w:type="dxa"/>
            <w:bottom w:w="0" w:type="dxa"/>
          </w:tblCellMar>
        </w:tblPrEx>
        <w:trPr>
          <w:cantSplit/>
          <w:jc w:val="center"/>
        </w:trPr>
        <w:tc>
          <w:tcPr>
            <w:tcW w:w="794" w:type="dxa"/>
          </w:tcPr>
          <w:p w14:paraId="487EDF8F" w14:textId="77777777" w:rsidR="00711444" w:rsidRPr="004D0DAA" w:rsidRDefault="00711444" w:rsidP="00AA2A4C">
            <w:pPr>
              <w:pStyle w:val="TAC"/>
              <w:rPr>
                <w:lang w:eastAsia="en-US"/>
              </w:rPr>
            </w:pPr>
            <w:r w:rsidRPr="004D0DAA">
              <w:rPr>
                <w:lang w:eastAsia="en-US"/>
              </w:rPr>
              <w:t>0</w:t>
            </w:r>
          </w:p>
        </w:tc>
        <w:tc>
          <w:tcPr>
            <w:tcW w:w="4536" w:type="dxa"/>
          </w:tcPr>
          <w:p w14:paraId="46535727" w14:textId="77777777" w:rsidR="00711444" w:rsidRPr="004D0DAA" w:rsidRDefault="00711444" w:rsidP="00AA2A4C">
            <w:pPr>
              <w:pStyle w:val="TAL"/>
              <w:rPr>
                <w:lang w:eastAsia="en-US"/>
              </w:rPr>
            </w:pPr>
            <w:r w:rsidRPr="004D0DAA">
              <w:rPr>
                <w:lang w:eastAsia="en-US"/>
              </w:rPr>
              <w:t>Current block is not last RLC data block in TBF</w:t>
            </w:r>
          </w:p>
        </w:tc>
      </w:tr>
      <w:tr w:rsidR="00711444" w:rsidRPr="004D0DAA" w14:paraId="01567380" w14:textId="77777777" w:rsidTr="00AA2A4C">
        <w:tblPrEx>
          <w:tblCellMar>
            <w:top w:w="0" w:type="dxa"/>
            <w:bottom w:w="0" w:type="dxa"/>
          </w:tblCellMar>
        </w:tblPrEx>
        <w:trPr>
          <w:cantSplit/>
          <w:jc w:val="center"/>
        </w:trPr>
        <w:tc>
          <w:tcPr>
            <w:tcW w:w="794" w:type="dxa"/>
          </w:tcPr>
          <w:p w14:paraId="5D89A76F" w14:textId="77777777" w:rsidR="00711444" w:rsidRPr="004D0DAA" w:rsidRDefault="00711444" w:rsidP="00AA2A4C">
            <w:pPr>
              <w:pStyle w:val="TAC"/>
              <w:rPr>
                <w:lang w:eastAsia="en-US"/>
              </w:rPr>
            </w:pPr>
            <w:r w:rsidRPr="004D0DAA">
              <w:rPr>
                <w:lang w:eastAsia="en-US"/>
              </w:rPr>
              <w:t>1</w:t>
            </w:r>
          </w:p>
        </w:tc>
        <w:tc>
          <w:tcPr>
            <w:tcW w:w="4536" w:type="dxa"/>
          </w:tcPr>
          <w:p w14:paraId="04E93301" w14:textId="77777777" w:rsidR="00711444" w:rsidRPr="004D0DAA" w:rsidRDefault="00711444" w:rsidP="00AA2A4C">
            <w:pPr>
              <w:pStyle w:val="TAL"/>
              <w:rPr>
                <w:lang w:eastAsia="en-US"/>
              </w:rPr>
            </w:pPr>
            <w:r w:rsidRPr="004D0DAA">
              <w:rPr>
                <w:lang w:eastAsia="en-US"/>
              </w:rPr>
              <w:t>Current block is last RLC data block in TBF</w:t>
            </w:r>
          </w:p>
        </w:tc>
      </w:tr>
    </w:tbl>
    <w:p w14:paraId="6C99A993" w14:textId="77777777" w:rsidR="00711444" w:rsidRPr="004D0DAA" w:rsidRDefault="00711444" w:rsidP="00711444"/>
    <w:p w14:paraId="5E0B4F75" w14:textId="77777777" w:rsidR="00711444" w:rsidRPr="004D0DAA" w:rsidRDefault="00711444" w:rsidP="00711444">
      <w:pPr>
        <w:pStyle w:val="Heading3"/>
      </w:pPr>
      <w:bookmarkStart w:id="560" w:name="_Toc516669740"/>
      <w:r w:rsidRPr="004D0DAA">
        <w:t>10.4.8a</w:t>
      </w:r>
      <w:r w:rsidRPr="004D0DAA">
        <w:tab/>
        <w:t>Coding and Puncturing Scheme indicator field (CPS)</w:t>
      </w:r>
      <w:bookmarkEnd w:id="560"/>
    </w:p>
    <w:p w14:paraId="72F425D3" w14:textId="77777777" w:rsidR="00711444" w:rsidRPr="004D0DAA" w:rsidRDefault="00711444" w:rsidP="00711444">
      <w:r w:rsidRPr="004D0DAA">
        <w:t>In EGPRS and EC-GSM-IoT headers, the Coding and Puncturing Scheme indicator field is used to indicate the kind of channel coding and puncturing used for data blocks (see 3GPP TS 45.003).</w:t>
      </w:r>
    </w:p>
    <w:p w14:paraId="1B5C0631" w14:textId="77777777" w:rsidR="00711444" w:rsidRPr="004D0DAA" w:rsidRDefault="00711444" w:rsidP="00711444">
      <w:pPr>
        <w:pStyle w:val="Heading4"/>
      </w:pPr>
      <w:bookmarkStart w:id="561" w:name="_Toc516669741"/>
      <w:r w:rsidRPr="004D0DAA">
        <w:lastRenderedPageBreak/>
        <w:t>10.4.8a.1</w:t>
      </w:r>
      <w:r w:rsidRPr="004D0DAA">
        <w:tab/>
        <w:t>Header type 1</w:t>
      </w:r>
      <w:bookmarkEnd w:id="561"/>
    </w:p>
    <w:p w14:paraId="34664710" w14:textId="77777777" w:rsidR="00711444" w:rsidRPr="004D0DAA" w:rsidRDefault="00711444" w:rsidP="00711444">
      <w:pPr>
        <w:pStyle w:val="TH"/>
      </w:pPr>
      <w:r w:rsidRPr="004D0DAA">
        <w:t>Table 10.4.8a.1.1: Coding and Puncturing Scheme indicator field for Header type 1 in EGPRS TBF, EC TBF or downlink EGPRS2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214A774C" w14:textId="77777777" w:rsidTr="00AA2A4C">
        <w:tblPrEx>
          <w:tblCellMar>
            <w:top w:w="0" w:type="dxa"/>
            <w:bottom w:w="0" w:type="dxa"/>
          </w:tblCellMar>
        </w:tblPrEx>
        <w:trPr>
          <w:cantSplit/>
          <w:jc w:val="center"/>
        </w:trPr>
        <w:tc>
          <w:tcPr>
            <w:tcW w:w="1446" w:type="dxa"/>
          </w:tcPr>
          <w:p w14:paraId="52C112AB" w14:textId="77777777" w:rsidR="00711444" w:rsidRPr="004D0DAA" w:rsidRDefault="00711444" w:rsidP="00AA2A4C">
            <w:pPr>
              <w:pStyle w:val="TAH"/>
              <w:rPr>
                <w:lang w:eastAsia="en-US"/>
              </w:rPr>
            </w:pPr>
            <w:r w:rsidRPr="004D0DAA">
              <w:rPr>
                <w:lang w:eastAsia="en-US"/>
              </w:rPr>
              <w:t>bits</w:t>
            </w:r>
            <w:r w:rsidRPr="004D0DAA">
              <w:rPr>
                <w:lang w:eastAsia="en-US"/>
              </w:rPr>
              <w:br/>
              <w:t>54321</w:t>
            </w:r>
          </w:p>
        </w:tc>
        <w:tc>
          <w:tcPr>
            <w:tcW w:w="4239" w:type="dxa"/>
          </w:tcPr>
          <w:p w14:paraId="53F60C80" w14:textId="77777777" w:rsidR="00711444" w:rsidRPr="004D0DAA" w:rsidRDefault="00711444" w:rsidP="00AA2A4C">
            <w:pPr>
              <w:pStyle w:val="TAH"/>
              <w:rPr>
                <w:lang w:eastAsia="en-US"/>
              </w:rPr>
            </w:pPr>
            <w:r w:rsidRPr="004D0DAA">
              <w:rPr>
                <w:lang w:eastAsia="en-US"/>
              </w:rPr>
              <w:t>CPS</w:t>
            </w:r>
          </w:p>
        </w:tc>
      </w:tr>
      <w:tr w:rsidR="00711444" w:rsidRPr="004D0DAA" w14:paraId="25256C9A" w14:textId="77777777" w:rsidTr="00AA2A4C">
        <w:tblPrEx>
          <w:tblCellMar>
            <w:top w:w="0" w:type="dxa"/>
            <w:bottom w:w="0" w:type="dxa"/>
          </w:tblCellMar>
        </w:tblPrEx>
        <w:trPr>
          <w:cantSplit/>
          <w:jc w:val="center"/>
        </w:trPr>
        <w:tc>
          <w:tcPr>
            <w:tcW w:w="1446" w:type="dxa"/>
          </w:tcPr>
          <w:p w14:paraId="40CF6E8F" w14:textId="77777777" w:rsidR="00711444" w:rsidRPr="004D0DAA" w:rsidRDefault="00711444" w:rsidP="00AA2A4C">
            <w:pPr>
              <w:pStyle w:val="TAC"/>
              <w:rPr>
                <w:lang w:eastAsia="en-US"/>
              </w:rPr>
            </w:pPr>
            <w:r w:rsidRPr="004D0DAA">
              <w:rPr>
                <w:lang w:eastAsia="en-US"/>
              </w:rPr>
              <w:t>00000</w:t>
            </w:r>
          </w:p>
        </w:tc>
        <w:tc>
          <w:tcPr>
            <w:tcW w:w="4239" w:type="dxa"/>
          </w:tcPr>
          <w:p w14:paraId="70D13684" w14:textId="77777777" w:rsidR="00711444" w:rsidRPr="004D0DAA" w:rsidRDefault="00711444" w:rsidP="00AA2A4C">
            <w:pPr>
              <w:pStyle w:val="TAL"/>
              <w:rPr>
                <w:lang w:eastAsia="en-US"/>
              </w:rPr>
            </w:pPr>
            <w:r w:rsidRPr="004D0DAA">
              <w:rPr>
                <w:lang w:eastAsia="en-US"/>
              </w:rPr>
              <w:t>(MCS-9/P1 ; MCS-9/P1) (see NOTE 2)</w:t>
            </w:r>
          </w:p>
        </w:tc>
      </w:tr>
      <w:tr w:rsidR="00711444" w:rsidRPr="004D0DAA" w14:paraId="6498D5B5" w14:textId="77777777" w:rsidTr="00AA2A4C">
        <w:tblPrEx>
          <w:tblCellMar>
            <w:top w:w="0" w:type="dxa"/>
            <w:bottom w:w="0" w:type="dxa"/>
          </w:tblCellMar>
        </w:tblPrEx>
        <w:trPr>
          <w:cantSplit/>
          <w:jc w:val="center"/>
        </w:trPr>
        <w:tc>
          <w:tcPr>
            <w:tcW w:w="1446" w:type="dxa"/>
          </w:tcPr>
          <w:p w14:paraId="27C41328" w14:textId="77777777" w:rsidR="00711444" w:rsidRPr="004D0DAA" w:rsidRDefault="00711444" w:rsidP="00AA2A4C">
            <w:pPr>
              <w:pStyle w:val="TAC"/>
              <w:rPr>
                <w:lang w:eastAsia="en-US"/>
              </w:rPr>
            </w:pPr>
            <w:r w:rsidRPr="004D0DAA">
              <w:rPr>
                <w:lang w:eastAsia="en-US"/>
              </w:rPr>
              <w:t>00001</w:t>
            </w:r>
          </w:p>
        </w:tc>
        <w:tc>
          <w:tcPr>
            <w:tcW w:w="4239" w:type="dxa"/>
          </w:tcPr>
          <w:p w14:paraId="281FBCC0" w14:textId="77777777" w:rsidR="00711444" w:rsidRPr="004D0DAA" w:rsidRDefault="00711444" w:rsidP="00AA2A4C">
            <w:pPr>
              <w:pStyle w:val="TAL"/>
              <w:rPr>
                <w:lang w:eastAsia="en-US"/>
              </w:rPr>
            </w:pPr>
            <w:r w:rsidRPr="004D0DAA">
              <w:rPr>
                <w:lang w:eastAsia="en-US"/>
              </w:rPr>
              <w:t>(MCS-9/P1 ; MCS-9/P2) (see NOTE 2)</w:t>
            </w:r>
          </w:p>
        </w:tc>
      </w:tr>
      <w:tr w:rsidR="00711444" w:rsidRPr="004D0DAA" w14:paraId="43A15257" w14:textId="77777777" w:rsidTr="00AA2A4C">
        <w:tblPrEx>
          <w:tblCellMar>
            <w:top w:w="0" w:type="dxa"/>
            <w:bottom w:w="0" w:type="dxa"/>
          </w:tblCellMar>
        </w:tblPrEx>
        <w:trPr>
          <w:cantSplit/>
          <w:jc w:val="center"/>
        </w:trPr>
        <w:tc>
          <w:tcPr>
            <w:tcW w:w="1446" w:type="dxa"/>
          </w:tcPr>
          <w:p w14:paraId="564B774A" w14:textId="77777777" w:rsidR="00711444" w:rsidRPr="004D0DAA" w:rsidRDefault="00711444" w:rsidP="00AA2A4C">
            <w:pPr>
              <w:pStyle w:val="TAC"/>
              <w:rPr>
                <w:lang w:eastAsia="en-US"/>
              </w:rPr>
            </w:pPr>
            <w:r w:rsidRPr="004D0DAA">
              <w:rPr>
                <w:lang w:eastAsia="en-US"/>
              </w:rPr>
              <w:t>00010</w:t>
            </w:r>
          </w:p>
        </w:tc>
        <w:tc>
          <w:tcPr>
            <w:tcW w:w="4239" w:type="dxa"/>
          </w:tcPr>
          <w:p w14:paraId="282C395C" w14:textId="77777777" w:rsidR="00711444" w:rsidRPr="004D0DAA" w:rsidRDefault="00711444" w:rsidP="00AA2A4C">
            <w:pPr>
              <w:pStyle w:val="TAL"/>
              <w:rPr>
                <w:lang w:eastAsia="en-US"/>
              </w:rPr>
            </w:pPr>
            <w:r w:rsidRPr="004D0DAA">
              <w:rPr>
                <w:lang w:eastAsia="en-US"/>
              </w:rPr>
              <w:t>(MCS-9/P1 ; MCS-9/P3) (see NOTE 2)</w:t>
            </w:r>
          </w:p>
        </w:tc>
      </w:tr>
      <w:tr w:rsidR="00711444" w:rsidRPr="004D0DAA" w14:paraId="13F48CE5" w14:textId="77777777" w:rsidTr="00AA2A4C">
        <w:tblPrEx>
          <w:tblCellMar>
            <w:top w:w="0" w:type="dxa"/>
            <w:bottom w:w="0" w:type="dxa"/>
          </w:tblCellMar>
        </w:tblPrEx>
        <w:trPr>
          <w:cantSplit/>
          <w:jc w:val="center"/>
        </w:trPr>
        <w:tc>
          <w:tcPr>
            <w:tcW w:w="1446" w:type="dxa"/>
          </w:tcPr>
          <w:p w14:paraId="1EE0BE3B" w14:textId="77777777" w:rsidR="00711444" w:rsidRPr="004D0DAA" w:rsidRDefault="00711444" w:rsidP="00AA2A4C">
            <w:pPr>
              <w:pStyle w:val="TAC"/>
              <w:rPr>
                <w:lang w:eastAsia="en-US"/>
              </w:rPr>
            </w:pPr>
            <w:r w:rsidRPr="004D0DAA">
              <w:rPr>
                <w:lang w:eastAsia="en-US"/>
              </w:rPr>
              <w:t>00100</w:t>
            </w:r>
          </w:p>
        </w:tc>
        <w:tc>
          <w:tcPr>
            <w:tcW w:w="4239" w:type="dxa"/>
          </w:tcPr>
          <w:p w14:paraId="2EEEA31E" w14:textId="77777777" w:rsidR="00711444" w:rsidRPr="004D0DAA" w:rsidRDefault="00711444" w:rsidP="00AA2A4C">
            <w:pPr>
              <w:pStyle w:val="TAL"/>
              <w:rPr>
                <w:lang w:eastAsia="en-US"/>
              </w:rPr>
            </w:pPr>
            <w:r w:rsidRPr="004D0DAA">
              <w:rPr>
                <w:lang w:eastAsia="en-US"/>
              </w:rPr>
              <w:t>(MCS-9/P2 ; MCS-9/P1) (see NOTE 2)</w:t>
            </w:r>
          </w:p>
        </w:tc>
      </w:tr>
      <w:tr w:rsidR="00711444" w:rsidRPr="004D0DAA" w14:paraId="21B2CA97" w14:textId="77777777" w:rsidTr="00AA2A4C">
        <w:tblPrEx>
          <w:tblCellMar>
            <w:top w:w="0" w:type="dxa"/>
            <w:bottom w:w="0" w:type="dxa"/>
          </w:tblCellMar>
        </w:tblPrEx>
        <w:trPr>
          <w:cantSplit/>
          <w:jc w:val="center"/>
        </w:trPr>
        <w:tc>
          <w:tcPr>
            <w:tcW w:w="1446" w:type="dxa"/>
          </w:tcPr>
          <w:p w14:paraId="27CDDC40" w14:textId="77777777" w:rsidR="00711444" w:rsidRPr="004D0DAA" w:rsidRDefault="00711444" w:rsidP="00AA2A4C">
            <w:pPr>
              <w:pStyle w:val="TAC"/>
              <w:rPr>
                <w:lang w:eastAsia="en-US"/>
              </w:rPr>
            </w:pPr>
            <w:r w:rsidRPr="004D0DAA">
              <w:rPr>
                <w:lang w:eastAsia="en-US"/>
              </w:rPr>
              <w:t>00101</w:t>
            </w:r>
          </w:p>
        </w:tc>
        <w:tc>
          <w:tcPr>
            <w:tcW w:w="4239" w:type="dxa"/>
          </w:tcPr>
          <w:p w14:paraId="1F87396D" w14:textId="77777777" w:rsidR="00711444" w:rsidRPr="004D0DAA" w:rsidRDefault="00711444" w:rsidP="00AA2A4C">
            <w:pPr>
              <w:pStyle w:val="TAL"/>
              <w:rPr>
                <w:lang w:eastAsia="en-US"/>
              </w:rPr>
            </w:pPr>
            <w:r w:rsidRPr="004D0DAA">
              <w:rPr>
                <w:lang w:eastAsia="en-US"/>
              </w:rPr>
              <w:t>(MCS-9/P2 ; MCS-9/P2) (see NOTE 2)</w:t>
            </w:r>
          </w:p>
        </w:tc>
      </w:tr>
      <w:tr w:rsidR="00711444" w:rsidRPr="004D0DAA" w14:paraId="579B1BD5" w14:textId="77777777" w:rsidTr="00AA2A4C">
        <w:tblPrEx>
          <w:tblCellMar>
            <w:top w:w="0" w:type="dxa"/>
            <w:bottom w:w="0" w:type="dxa"/>
          </w:tblCellMar>
        </w:tblPrEx>
        <w:trPr>
          <w:cantSplit/>
          <w:jc w:val="center"/>
        </w:trPr>
        <w:tc>
          <w:tcPr>
            <w:tcW w:w="1446" w:type="dxa"/>
          </w:tcPr>
          <w:p w14:paraId="6312BAFA" w14:textId="77777777" w:rsidR="00711444" w:rsidRPr="004D0DAA" w:rsidRDefault="00711444" w:rsidP="00AA2A4C">
            <w:pPr>
              <w:pStyle w:val="TAC"/>
              <w:rPr>
                <w:lang w:eastAsia="en-US"/>
              </w:rPr>
            </w:pPr>
            <w:r w:rsidRPr="004D0DAA">
              <w:rPr>
                <w:lang w:eastAsia="en-US"/>
              </w:rPr>
              <w:t>00110</w:t>
            </w:r>
          </w:p>
        </w:tc>
        <w:tc>
          <w:tcPr>
            <w:tcW w:w="4239" w:type="dxa"/>
          </w:tcPr>
          <w:p w14:paraId="609BE488" w14:textId="77777777" w:rsidR="00711444" w:rsidRPr="004D0DAA" w:rsidRDefault="00711444" w:rsidP="00AA2A4C">
            <w:pPr>
              <w:pStyle w:val="TAL"/>
              <w:rPr>
                <w:lang w:eastAsia="en-US"/>
              </w:rPr>
            </w:pPr>
            <w:r w:rsidRPr="004D0DAA">
              <w:rPr>
                <w:lang w:eastAsia="en-US"/>
              </w:rPr>
              <w:t>(MCS-9/P2 ; MCS-9/P3) (see NOTE 2)</w:t>
            </w:r>
          </w:p>
        </w:tc>
      </w:tr>
      <w:tr w:rsidR="00711444" w:rsidRPr="004D0DAA" w14:paraId="5F1F61F8" w14:textId="77777777" w:rsidTr="00AA2A4C">
        <w:tblPrEx>
          <w:tblCellMar>
            <w:top w:w="0" w:type="dxa"/>
            <w:bottom w:w="0" w:type="dxa"/>
          </w:tblCellMar>
        </w:tblPrEx>
        <w:trPr>
          <w:cantSplit/>
          <w:jc w:val="center"/>
        </w:trPr>
        <w:tc>
          <w:tcPr>
            <w:tcW w:w="1446" w:type="dxa"/>
          </w:tcPr>
          <w:p w14:paraId="74879FD4" w14:textId="77777777" w:rsidR="00711444" w:rsidRPr="004D0DAA" w:rsidRDefault="00711444" w:rsidP="00AA2A4C">
            <w:pPr>
              <w:pStyle w:val="TAC"/>
              <w:rPr>
                <w:lang w:eastAsia="en-US"/>
              </w:rPr>
            </w:pPr>
            <w:r w:rsidRPr="004D0DAA">
              <w:rPr>
                <w:lang w:eastAsia="en-US"/>
              </w:rPr>
              <w:t>01000</w:t>
            </w:r>
          </w:p>
        </w:tc>
        <w:tc>
          <w:tcPr>
            <w:tcW w:w="4239" w:type="dxa"/>
          </w:tcPr>
          <w:p w14:paraId="120B85F9" w14:textId="77777777" w:rsidR="00711444" w:rsidRPr="004D0DAA" w:rsidRDefault="00711444" w:rsidP="00AA2A4C">
            <w:pPr>
              <w:pStyle w:val="TAL"/>
              <w:rPr>
                <w:lang w:eastAsia="en-US"/>
              </w:rPr>
            </w:pPr>
            <w:r w:rsidRPr="004D0DAA">
              <w:rPr>
                <w:lang w:eastAsia="en-US"/>
              </w:rPr>
              <w:t>(MCS-9/P3 ; MCS-9/P1) (see NOTE 2)</w:t>
            </w:r>
          </w:p>
        </w:tc>
      </w:tr>
      <w:tr w:rsidR="00711444" w:rsidRPr="004D0DAA" w14:paraId="1F001F8D" w14:textId="77777777" w:rsidTr="00AA2A4C">
        <w:tblPrEx>
          <w:tblCellMar>
            <w:top w:w="0" w:type="dxa"/>
            <w:bottom w:w="0" w:type="dxa"/>
          </w:tblCellMar>
        </w:tblPrEx>
        <w:trPr>
          <w:cantSplit/>
          <w:jc w:val="center"/>
        </w:trPr>
        <w:tc>
          <w:tcPr>
            <w:tcW w:w="1446" w:type="dxa"/>
          </w:tcPr>
          <w:p w14:paraId="51FE4FFE" w14:textId="77777777" w:rsidR="00711444" w:rsidRPr="004D0DAA" w:rsidRDefault="00711444" w:rsidP="00AA2A4C">
            <w:pPr>
              <w:pStyle w:val="TAC"/>
              <w:rPr>
                <w:lang w:eastAsia="en-US"/>
              </w:rPr>
            </w:pPr>
            <w:r w:rsidRPr="004D0DAA">
              <w:rPr>
                <w:lang w:eastAsia="en-US"/>
              </w:rPr>
              <w:t>01001</w:t>
            </w:r>
          </w:p>
        </w:tc>
        <w:tc>
          <w:tcPr>
            <w:tcW w:w="4239" w:type="dxa"/>
          </w:tcPr>
          <w:p w14:paraId="244FA881" w14:textId="77777777" w:rsidR="00711444" w:rsidRPr="004D0DAA" w:rsidRDefault="00711444" w:rsidP="00AA2A4C">
            <w:pPr>
              <w:pStyle w:val="TAL"/>
              <w:rPr>
                <w:lang w:eastAsia="en-US"/>
              </w:rPr>
            </w:pPr>
            <w:r w:rsidRPr="004D0DAA">
              <w:rPr>
                <w:lang w:eastAsia="en-US"/>
              </w:rPr>
              <w:t>(MCS-9/P3 ; MCS-9/P2) (see NOTE 2)</w:t>
            </w:r>
          </w:p>
        </w:tc>
      </w:tr>
      <w:tr w:rsidR="00711444" w:rsidRPr="004D0DAA" w14:paraId="272A1E76" w14:textId="77777777" w:rsidTr="00AA2A4C">
        <w:tblPrEx>
          <w:tblCellMar>
            <w:top w:w="0" w:type="dxa"/>
            <w:bottom w:w="0" w:type="dxa"/>
          </w:tblCellMar>
        </w:tblPrEx>
        <w:trPr>
          <w:cantSplit/>
          <w:jc w:val="center"/>
        </w:trPr>
        <w:tc>
          <w:tcPr>
            <w:tcW w:w="1446" w:type="dxa"/>
          </w:tcPr>
          <w:p w14:paraId="62C73106" w14:textId="77777777" w:rsidR="00711444" w:rsidRPr="004D0DAA" w:rsidRDefault="00711444" w:rsidP="00AA2A4C">
            <w:pPr>
              <w:pStyle w:val="TAC"/>
              <w:rPr>
                <w:lang w:eastAsia="en-US"/>
              </w:rPr>
            </w:pPr>
            <w:r w:rsidRPr="004D0DAA">
              <w:rPr>
                <w:lang w:eastAsia="en-US"/>
              </w:rPr>
              <w:t>01010</w:t>
            </w:r>
          </w:p>
        </w:tc>
        <w:tc>
          <w:tcPr>
            <w:tcW w:w="4239" w:type="dxa"/>
          </w:tcPr>
          <w:p w14:paraId="0EB093FE" w14:textId="77777777" w:rsidR="00711444" w:rsidRPr="004D0DAA" w:rsidRDefault="00711444" w:rsidP="00AA2A4C">
            <w:pPr>
              <w:pStyle w:val="TAL"/>
              <w:rPr>
                <w:lang w:eastAsia="en-US"/>
              </w:rPr>
            </w:pPr>
            <w:r w:rsidRPr="004D0DAA">
              <w:rPr>
                <w:lang w:eastAsia="en-US"/>
              </w:rPr>
              <w:t>(MCS-9/P3 ; MCS-9/P3) (see NOTE 2)</w:t>
            </w:r>
          </w:p>
        </w:tc>
      </w:tr>
      <w:tr w:rsidR="00711444" w:rsidRPr="004D0DAA" w14:paraId="2AC2B019" w14:textId="77777777" w:rsidTr="00AA2A4C">
        <w:tblPrEx>
          <w:tblCellMar>
            <w:top w:w="0" w:type="dxa"/>
            <w:bottom w:w="0" w:type="dxa"/>
          </w:tblCellMar>
        </w:tblPrEx>
        <w:trPr>
          <w:cantSplit/>
          <w:jc w:val="center"/>
        </w:trPr>
        <w:tc>
          <w:tcPr>
            <w:tcW w:w="1446" w:type="dxa"/>
          </w:tcPr>
          <w:p w14:paraId="15DF6EA2" w14:textId="77777777" w:rsidR="00711444" w:rsidRPr="004D0DAA" w:rsidRDefault="00711444" w:rsidP="00AA2A4C">
            <w:pPr>
              <w:pStyle w:val="TAC"/>
              <w:rPr>
                <w:lang w:eastAsia="en-US"/>
              </w:rPr>
            </w:pPr>
            <w:r w:rsidRPr="004D0DAA">
              <w:rPr>
                <w:lang w:eastAsia="en-US"/>
              </w:rPr>
              <w:t>01011</w:t>
            </w:r>
          </w:p>
        </w:tc>
        <w:tc>
          <w:tcPr>
            <w:tcW w:w="4239" w:type="dxa"/>
          </w:tcPr>
          <w:p w14:paraId="37A4078E" w14:textId="77777777" w:rsidR="00711444" w:rsidRPr="004D0DAA" w:rsidRDefault="00711444" w:rsidP="00AA2A4C">
            <w:pPr>
              <w:pStyle w:val="TAL"/>
              <w:rPr>
                <w:lang w:eastAsia="en-US"/>
              </w:rPr>
            </w:pPr>
            <w:r w:rsidRPr="004D0DAA">
              <w:rPr>
                <w:lang w:eastAsia="en-US"/>
              </w:rPr>
              <w:t>(MCS-8/P1 ; MCS-8/P1)</w:t>
            </w:r>
          </w:p>
        </w:tc>
      </w:tr>
      <w:tr w:rsidR="00711444" w:rsidRPr="004D0DAA" w14:paraId="1E221BAB" w14:textId="77777777" w:rsidTr="00AA2A4C">
        <w:tblPrEx>
          <w:tblCellMar>
            <w:top w:w="0" w:type="dxa"/>
            <w:bottom w:w="0" w:type="dxa"/>
          </w:tblCellMar>
        </w:tblPrEx>
        <w:trPr>
          <w:cantSplit/>
          <w:jc w:val="center"/>
        </w:trPr>
        <w:tc>
          <w:tcPr>
            <w:tcW w:w="1446" w:type="dxa"/>
          </w:tcPr>
          <w:p w14:paraId="09EA7CF0" w14:textId="77777777" w:rsidR="00711444" w:rsidRPr="004D0DAA" w:rsidRDefault="00711444" w:rsidP="00AA2A4C">
            <w:pPr>
              <w:pStyle w:val="TAC"/>
              <w:rPr>
                <w:lang w:eastAsia="en-US"/>
              </w:rPr>
            </w:pPr>
            <w:r w:rsidRPr="004D0DAA">
              <w:rPr>
                <w:lang w:eastAsia="en-US"/>
              </w:rPr>
              <w:t>01100</w:t>
            </w:r>
          </w:p>
        </w:tc>
        <w:tc>
          <w:tcPr>
            <w:tcW w:w="4239" w:type="dxa"/>
          </w:tcPr>
          <w:p w14:paraId="03C7AC1A" w14:textId="77777777" w:rsidR="00711444" w:rsidRPr="004D0DAA" w:rsidRDefault="00711444" w:rsidP="00AA2A4C">
            <w:pPr>
              <w:pStyle w:val="TAL"/>
              <w:rPr>
                <w:lang w:eastAsia="en-US"/>
              </w:rPr>
            </w:pPr>
            <w:r w:rsidRPr="004D0DAA">
              <w:rPr>
                <w:lang w:eastAsia="en-US"/>
              </w:rPr>
              <w:t>(MCS-8/P1 ; MCS-8/P2)</w:t>
            </w:r>
          </w:p>
        </w:tc>
      </w:tr>
      <w:tr w:rsidR="00711444" w:rsidRPr="004D0DAA" w14:paraId="04883676" w14:textId="77777777" w:rsidTr="00AA2A4C">
        <w:tblPrEx>
          <w:tblCellMar>
            <w:top w:w="0" w:type="dxa"/>
            <w:bottom w:w="0" w:type="dxa"/>
          </w:tblCellMar>
        </w:tblPrEx>
        <w:trPr>
          <w:cantSplit/>
          <w:jc w:val="center"/>
        </w:trPr>
        <w:tc>
          <w:tcPr>
            <w:tcW w:w="1446" w:type="dxa"/>
          </w:tcPr>
          <w:p w14:paraId="1D8C27C5" w14:textId="77777777" w:rsidR="00711444" w:rsidRPr="004D0DAA" w:rsidRDefault="00711444" w:rsidP="00AA2A4C">
            <w:pPr>
              <w:pStyle w:val="TAC"/>
              <w:rPr>
                <w:lang w:eastAsia="en-US"/>
              </w:rPr>
            </w:pPr>
            <w:r w:rsidRPr="004D0DAA">
              <w:rPr>
                <w:lang w:eastAsia="en-US"/>
              </w:rPr>
              <w:t>01101</w:t>
            </w:r>
          </w:p>
        </w:tc>
        <w:tc>
          <w:tcPr>
            <w:tcW w:w="4239" w:type="dxa"/>
          </w:tcPr>
          <w:p w14:paraId="24DE7055" w14:textId="77777777" w:rsidR="00711444" w:rsidRPr="004D0DAA" w:rsidRDefault="00711444" w:rsidP="00AA2A4C">
            <w:pPr>
              <w:pStyle w:val="TAL"/>
              <w:rPr>
                <w:lang w:eastAsia="en-US"/>
              </w:rPr>
            </w:pPr>
            <w:r w:rsidRPr="004D0DAA">
              <w:rPr>
                <w:lang w:eastAsia="en-US"/>
              </w:rPr>
              <w:t>(MCS-8/P1 ; MCS-8/P3)</w:t>
            </w:r>
          </w:p>
        </w:tc>
      </w:tr>
      <w:tr w:rsidR="00711444" w:rsidRPr="004D0DAA" w14:paraId="020E6133" w14:textId="77777777" w:rsidTr="00AA2A4C">
        <w:tblPrEx>
          <w:tblCellMar>
            <w:top w:w="0" w:type="dxa"/>
            <w:bottom w:w="0" w:type="dxa"/>
          </w:tblCellMar>
        </w:tblPrEx>
        <w:trPr>
          <w:cantSplit/>
          <w:jc w:val="center"/>
        </w:trPr>
        <w:tc>
          <w:tcPr>
            <w:tcW w:w="1446" w:type="dxa"/>
          </w:tcPr>
          <w:p w14:paraId="789E0E94" w14:textId="77777777" w:rsidR="00711444" w:rsidRPr="004D0DAA" w:rsidRDefault="00711444" w:rsidP="00AA2A4C">
            <w:pPr>
              <w:pStyle w:val="TAC"/>
              <w:rPr>
                <w:lang w:eastAsia="en-US"/>
              </w:rPr>
            </w:pPr>
            <w:r w:rsidRPr="004D0DAA">
              <w:rPr>
                <w:lang w:eastAsia="en-US"/>
              </w:rPr>
              <w:t>01110</w:t>
            </w:r>
          </w:p>
        </w:tc>
        <w:tc>
          <w:tcPr>
            <w:tcW w:w="4239" w:type="dxa"/>
          </w:tcPr>
          <w:p w14:paraId="62A22911" w14:textId="77777777" w:rsidR="00711444" w:rsidRPr="004D0DAA" w:rsidRDefault="00711444" w:rsidP="00AA2A4C">
            <w:pPr>
              <w:pStyle w:val="TAL"/>
              <w:rPr>
                <w:lang w:eastAsia="en-US"/>
              </w:rPr>
            </w:pPr>
            <w:r w:rsidRPr="004D0DAA">
              <w:rPr>
                <w:lang w:eastAsia="en-US"/>
              </w:rPr>
              <w:t>(MCS-8/P2 ; MCS-8/P1)</w:t>
            </w:r>
          </w:p>
        </w:tc>
      </w:tr>
      <w:tr w:rsidR="00711444" w:rsidRPr="004D0DAA" w14:paraId="5F98A5B3" w14:textId="77777777" w:rsidTr="00AA2A4C">
        <w:tblPrEx>
          <w:tblCellMar>
            <w:top w:w="0" w:type="dxa"/>
            <w:bottom w:w="0" w:type="dxa"/>
          </w:tblCellMar>
        </w:tblPrEx>
        <w:trPr>
          <w:cantSplit/>
          <w:jc w:val="center"/>
        </w:trPr>
        <w:tc>
          <w:tcPr>
            <w:tcW w:w="1446" w:type="dxa"/>
          </w:tcPr>
          <w:p w14:paraId="7CB383D7" w14:textId="77777777" w:rsidR="00711444" w:rsidRPr="004D0DAA" w:rsidRDefault="00711444" w:rsidP="00AA2A4C">
            <w:pPr>
              <w:pStyle w:val="TAC"/>
              <w:rPr>
                <w:lang w:eastAsia="en-US"/>
              </w:rPr>
            </w:pPr>
            <w:r w:rsidRPr="004D0DAA">
              <w:rPr>
                <w:lang w:eastAsia="en-US"/>
              </w:rPr>
              <w:t>01111</w:t>
            </w:r>
          </w:p>
        </w:tc>
        <w:tc>
          <w:tcPr>
            <w:tcW w:w="4239" w:type="dxa"/>
          </w:tcPr>
          <w:p w14:paraId="0DD5D6A8" w14:textId="77777777" w:rsidR="00711444" w:rsidRPr="004D0DAA" w:rsidRDefault="00711444" w:rsidP="00AA2A4C">
            <w:pPr>
              <w:pStyle w:val="TAL"/>
              <w:rPr>
                <w:lang w:eastAsia="en-US"/>
              </w:rPr>
            </w:pPr>
            <w:r w:rsidRPr="004D0DAA">
              <w:rPr>
                <w:lang w:eastAsia="en-US"/>
              </w:rPr>
              <w:t>(MCS-8/P2 ; MCS-8/P2)</w:t>
            </w:r>
          </w:p>
        </w:tc>
      </w:tr>
      <w:tr w:rsidR="00711444" w:rsidRPr="004D0DAA" w14:paraId="69C1F7AD" w14:textId="77777777" w:rsidTr="00AA2A4C">
        <w:tblPrEx>
          <w:tblCellMar>
            <w:top w:w="0" w:type="dxa"/>
            <w:bottom w:w="0" w:type="dxa"/>
          </w:tblCellMar>
        </w:tblPrEx>
        <w:trPr>
          <w:cantSplit/>
          <w:jc w:val="center"/>
        </w:trPr>
        <w:tc>
          <w:tcPr>
            <w:tcW w:w="1446" w:type="dxa"/>
          </w:tcPr>
          <w:p w14:paraId="7E19A67B" w14:textId="77777777" w:rsidR="00711444" w:rsidRPr="004D0DAA" w:rsidRDefault="00711444" w:rsidP="00AA2A4C">
            <w:pPr>
              <w:pStyle w:val="TAC"/>
              <w:rPr>
                <w:lang w:eastAsia="en-US"/>
              </w:rPr>
            </w:pPr>
            <w:r w:rsidRPr="004D0DAA">
              <w:rPr>
                <w:lang w:eastAsia="en-US"/>
              </w:rPr>
              <w:t>10000</w:t>
            </w:r>
          </w:p>
        </w:tc>
        <w:tc>
          <w:tcPr>
            <w:tcW w:w="4239" w:type="dxa"/>
          </w:tcPr>
          <w:p w14:paraId="3914B073" w14:textId="77777777" w:rsidR="00711444" w:rsidRPr="004D0DAA" w:rsidRDefault="00711444" w:rsidP="00AA2A4C">
            <w:pPr>
              <w:pStyle w:val="TAL"/>
              <w:rPr>
                <w:lang w:eastAsia="en-US"/>
              </w:rPr>
            </w:pPr>
            <w:r w:rsidRPr="004D0DAA">
              <w:rPr>
                <w:lang w:eastAsia="en-US"/>
              </w:rPr>
              <w:t>(MCS-8/P2 ; MCS-8/P3)</w:t>
            </w:r>
          </w:p>
        </w:tc>
      </w:tr>
      <w:tr w:rsidR="00711444" w:rsidRPr="004D0DAA" w14:paraId="1F2281F9" w14:textId="77777777" w:rsidTr="00AA2A4C">
        <w:tblPrEx>
          <w:tblCellMar>
            <w:top w:w="0" w:type="dxa"/>
            <w:bottom w:w="0" w:type="dxa"/>
          </w:tblCellMar>
        </w:tblPrEx>
        <w:trPr>
          <w:cantSplit/>
          <w:jc w:val="center"/>
        </w:trPr>
        <w:tc>
          <w:tcPr>
            <w:tcW w:w="1446" w:type="dxa"/>
          </w:tcPr>
          <w:p w14:paraId="5147A820" w14:textId="77777777" w:rsidR="00711444" w:rsidRPr="004D0DAA" w:rsidRDefault="00711444" w:rsidP="00AA2A4C">
            <w:pPr>
              <w:pStyle w:val="TAC"/>
              <w:rPr>
                <w:lang w:eastAsia="en-US"/>
              </w:rPr>
            </w:pPr>
            <w:r w:rsidRPr="004D0DAA">
              <w:rPr>
                <w:lang w:eastAsia="en-US"/>
              </w:rPr>
              <w:t>10001</w:t>
            </w:r>
          </w:p>
        </w:tc>
        <w:tc>
          <w:tcPr>
            <w:tcW w:w="4239" w:type="dxa"/>
          </w:tcPr>
          <w:p w14:paraId="4509AC44" w14:textId="77777777" w:rsidR="00711444" w:rsidRPr="004D0DAA" w:rsidRDefault="00711444" w:rsidP="00AA2A4C">
            <w:pPr>
              <w:pStyle w:val="TAL"/>
              <w:rPr>
                <w:lang w:eastAsia="en-US"/>
              </w:rPr>
            </w:pPr>
            <w:r w:rsidRPr="004D0DAA">
              <w:rPr>
                <w:lang w:eastAsia="en-US"/>
              </w:rPr>
              <w:t>(MCS-8/P3 ; MCS-8/P1)</w:t>
            </w:r>
          </w:p>
        </w:tc>
      </w:tr>
      <w:tr w:rsidR="00711444" w:rsidRPr="004D0DAA" w14:paraId="0A5857F3" w14:textId="77777777" w:rsidTr="00AA2A4C">
        <w:tblPrEx>
          <w:tblCellMar>
            <w:top w:w="0" w:type="dxa"/>
            <w:bottom w:w="0" w:type="dxa"/>
          </w:tblCellMar>
        </w:tblPrEx>
        <w:trPr>
          <w:cantSplit/>
          <w:jc w:val="center"/>
        </w:trPr>
        <w:tc>
          <w:tcPr>
            <w:tcW w:w="1446" w:type="dxa"/>
          </w:tcPr>
          <w:p w14:paraId="09E0FC0F" w14:textId="77777777" w:rsidR="00711444" w:rsidRPr="004D0DAA" w:rsidRDefault="00711444" w:rsidP="00AA2A4C">
            <w:pPr>
              <w:pStyle w:val="TAC"/>
              <w:rPr>
                <w:lang w:eastAsia="en-US"/>
              </w:rPr>
            </w:pPr>
            <w:r w:rsidRPr="004D0DAA">
              <w:rPr>
                <w:lang w:eastAsia="en-US"/>
              </w:rPr>
              <w:t>10010</w:t>
            </w:r>
          </w:p>
        </w:tc>
        <w:tc>
          <w:tcPr>
            <w:tcW w:w="4239" w:type="dxa"/>
          </w:tcPr>
          <w:p w14:paraId="173293AF" w14:textId="77777777" w:rsidR="00711444" w:rsidRPr="004D0DAA" w:rsidRDefault="00711444" w:rsidP="00AA2A4C">
            <w:pPr>
              <w:pStyle w:val="TAL"/>
              <w:rPr>
                <w:lang w:eastAsia="en-US"/>
              </w:rPr>
            </w:pPr>
            <w:r w:rsidRPr="004D0DAA">
              <w:rPr>
                <w:lang w:eastAsia="en-US"/>
              </w:rPr>
              <w:t>(MCS-8/P3 ; MCS-8/P2)</w:t>
            </w:r>
          </w:p>
        </w:tc>
      </w:tr>
      <w:tr w:rsidR="00711444" w:rsidRPr="004D0DAA" w14:paraId="19C8527A" w14:textId="77777777" w:rsidTr="00AA2A4C">
        <w:tblPrEx>
          <w:tblCellMar>
            <w:top w:w="0" w:type="dxa"/>
            <w:bottom w:w="0" w:type="dxa"/>
          </w:tblCellMar>
        </w:tblPrEx>
        <w:trPr>
          <w:cantSplit/>
          <w:jc w:val="center"/>
        </w:trPr>
        <w:tc>
          <w:tcPr>
            <w:tcW w:w="1446" w:type="dxa"/>
          </w:tcPr>
          <w:p w14:paraId="7A32C1AB" w14:textId="77777777" w:rsidR="00711444" w:rsidRPr="004D0DAA" w:rsidRDefault="00711444" w:rsidP="00AA2A4C">
            <w:pPr>
              <w:pStyle w:val="TAC"/>
              <w:rPr>
                <w:lang w:eastAsia="en-US"/>
              </w:rPr>
            </w:pPr>
            <w:r w:rsidRPr="004D0DAA">
              <w:rPr>
                <w:lang w:eastAsia="en-US"/>
              </w:rPr>
              <w:t>10011</w:t>
            </w:r>
          </w:p>
        </w:tc>
        <w:tc>
          <w:tcPr>
            <w:tcW w:w="4239" w:type="dxa"/>
          </w:tcPr>
          <w:p w14:paraId="083CA666" w14:textId="77777777" w:rsidR="00711444" w:rsidRPr="004D0DAA" w:rsidRDefault="00711444" w:rsidP="00AA2A4C">
            <w:pPr>
              <w:pStyle w:val="TAL"/>
              <w:rPr>
                <w:lang w:eastAsia="en-US"/>
              </w:rPr>
            </w:pPr>
            <w:r w:rsidRPr="004D0DAA">
              <w:rPr>
                <w:lang w:eastAsia="en-US"/>
              </w:rPr>
              <w:t>(MCS-8/P3 ; MCS-8/P3)</w:t>
            </w:r>
          </w:p>
        </w:tc>
      </w:tr>
      <w:tr w:rsidR="00711444" w:rsidRPr="004D0DAA" w14:paraId="7D0225BF" w14:textId="77777777" w:rsidTr="00AA2A4C">
        <w:tblPrEx>
          <w:tblCellMar>
            <w:top w:w="0" w:type="dxa"/>
            <w:bottom w:w="0" w:type="dxa"/>
          </w:tblCellMar>
        </w:tblPrEx>
        <w:trPr>
          <w:cantSplit/>
          <w:jc w:val="center"/>
        </w:trPr>
        <w:tc>
          <w:tcPr>
            <w:tcW w:w="1446" w:type="dxa"/>
          </w:tcPr>
          <w:p w14:paraId="3510C75F" w14:textId="77777777" w:rsidR="00711444" w:rsidRPr="004D0DAA" w:rsidRDefault="00711444" w:rsidP="00AA2A4C">
            <w:pPr>
              <w:pStyle w:val="TAC"/>
              <w:rPr>
                <w:lang w:eastAsia="en-US"/>
              </w:rPr>
            </w:pPr>
            <w:r w:rsidRPr="004D0DAA">
              <w:rPr>
                <w:lang w:eastAsia="en-US"/>
              </w:rPr>
              <w:t>10100</w:t>
            </w:r>
          </w:p>
        </w:tc>
        <w:tc>
          <w:tcPr>
            <w:tcW w:w="4239" w:type="dxa"/>
          </w:tcPr>
          <w:p w14:paraId="5FBD5210" w14:textId="77777777" w:rsidR="00711444" w:rsidRPr="004D0DAA" w:rsidRDefault="00711444" w:rsidP="00AA2A4C">
            <w:pPr>
              <w:pStyle w:val="TAL"/>
              <w:rPr>
                <w:lang w:eastAsia="en-US"/>
              </w:rPr>
            </w:pPr>
            <w:r w:rsidRPr="004D0DAA">
              <w:rPr>
                <w:lang w:eastAsia="en-US"/>
              </w:rPr>
              <w:t>(MCS-7/P1 ; MCS-7/P1)</w:t>
            </w:r>
          </w:p>
        </w:tc>
      </w:tr>
      <w:tr w:rsidR="00711444" w:rsidRPr="004D0DAA" w14:paraId="7C333FC4" w14:textId="77777777" w:rsidTr="00AA2A4C">
        <w:tblPrEx>
          <w:tblCellMar>
            <w:top w:w="0" w:type="dxa"/>
            <w:bottom w:w="0" w:type="dxa"/>
          </w:tblCellMar>
        </w:tblPrEx>
        <w:trPr>
          <w:cantSplit/>
          <w:jc w:val="center"/>
        </w:trPr>
        <w:tc>
          <w:tcPr>
            <w:tcW w:w="1446" w:type="dxa"/>
          </w:tcPr>
          <w:p w14:paraId="566F0CD7" w14:textId="77777777" w:rsidR="00711444" w:rsidRPr="004D0DAA" w:rsidRDefault="00711444" w:rsidP="00AA2A4C">
            <w:pPr>
              <w:pStyle w:val="TAC"/>
              <w:rPr>
                <w:lang w:eastAsia="en-US"/>
              </w:rPr>
            </w:pPr>
            <w:r w:rsidRPr="004D0DAA">
              <w:rPr>
                <w:lang w:eastAsia="en-US"/>
              </w:rPr>
              <w:t>10101</w:t>
            </w:r>
          </w:p>
        </w:tc>
        <w:tc>
          <w:tcPr>
            <w:tcW w:w="4239" w:type="dxa"/>
          </w:tcPr>
          <w:p w14:paraId="7D4C8911" w14:textId="77777777" w:rsidR="00711444" w:rsidRPr="004D0DAA" w:rsidRDefault="00711444" w:rsidP="00AA2A4C">
            <w:pPr>
              <w:pStyle w:val="TAL"/>
              <w:rPr>
                <w:lang w:eastAsia="en-US"/>
              </w:rPr>
            </w:pPr>
            <w:r w:rsidRPr="004D0DAA">
              <w:rPr>
                <w:lang w:eastAsia="en-US"/>
              </w:rPr>
              <w:t>(MCS-7/P1 ; MCS-7/P2)</w:t>
            </w:r>
          </w:p>
        </w:tc>
      </w:tr>
      <w:tr w:rsidR="00711444" w:rsidRPr="004D0DAA" w14:paraId="72A9DAB6" w14:textId="77777777" w:rsidTr="00AA2A4C">
        <w:tblPrEx>
          <w:tblCellMar>
            <w:top w:w="0" w:type="dxa"/>
            <w:bottom w:w="0" w:type="dxa"/>
          </w:tblCellMar>
        </w:tblPrEx>
        <w:trPr>
          <w:cantSplit/>
          <w:jc w:val="center"/>
        </w:trPr>
        <w:tc>
          <w:tcPr>
            <w:tcW w:w="1446" w:type="dxa"/>
          </w:tcPr>
          <w:p w14:paraId="5522464D" w14:textId="77777777" w:rsidR="00711444" w:rsidRPr="004D0DAA" w:rsidRDefault="00711444" w:rsidP="00AA2A4C">
            <w:pPr>
              <w:pStyle w:val="TAC"/>
              <w:rPr>
                <w:lang w:eastAsia="en-US"/>
              </w:rPr>
            </w:pPr>
            <w:r w:rsidRPr="004D0DAA">
              <w:rPr>
                <w:lang w:eastAsia="en-US"/>
              </w:rPr>
              <w:t>10110</w:t>
            </w:r>
          </w:p>
        </w:tc>
        <w:tc>
          <w:tcPr>
            <w:tcW w:w="4239" w:type="dxa"/>
          </w:tcPr>
          <w:p w14:paraId="1EEFDACE" w14:textId="77777777" w:rsidR="00711444" w:rsidRPr="004D0DAA" w:rsidRDefault="00711444" w:rsidP="00AA2A4C">
            <w:pPr>
              <w:pStyle w:val="TAL"/>
              <w:rPr>
                <w:lang w:eastAsia="en-US"/>
              </w:rPr>
            </w:pPr>
            <w:r w:rsidRPr="004D0DAA">
              <w:rPr>
                <w:lang w:eastAsia="en-US"/>
              </w:rPr>
              <w:t>(MCS-7/P1 ; MCS-7/P3)</w:t>
            </w:r>
          </w:p>
        </w:tc>
      </w:tr>
      <w:tr w:rsidR="00711444" w:rsidRPr="004D0DAA" w14:paraId="1CF11DBD" w14:textId="77777777" w:rsidTr="00AA2A4C">
        <w:tblPrEx>
          <w:tblCellMar>
            <w:top w:w="0" w:type="dxa"/>
            <w:bottom w:w="0" w:type="dxa"/>
          </w:tblCellMar>
        </w:tblPrEx>
        <w:trPr>
          <w:cantSplit/>
          <w:jc w:val="center"/>
        </w:trPr>
        <w:tc>
          <w:tcPr>
            <w:tcW w:w="1446" w:type="dxa"/>
          </w:tcPr>
          <w:p w14:paraId="79387C10" w14:textId="77777777" w:rsidR="00711444" w:rsidRPr="004D0DAA" w:rsidRDefault="00711444" w:rsidP="00AA2A4C">
            <w:pPr>
              <w:pStyle w:val="TAC"/>
              <w:rPr>
                <w:lang w:eastAsia="en-US"/>
              </w:rPr>
            </w:pPr>
            <w:r w:rsidRPr="004D0DAA">
              <w:rPr>
                <w:lang w:eastAsia="en-US"/>
              </w:rPr>
              <w:t>10111</w:t>
            </w:r>
          </w:p>
        </w:tc>
        <w:tc>
          <w:tcPr>
            <w:tcW w:w="4239" w:type="dxa"/>
          </w:tcPr>
          <w:p w14:paraId="06FC6D13" w14:textId="77777777" w:rsidR="00711444" w:rsidRPr="004D0DAA" w:rsidRDefault="00711444" w:rsidP="00AA2A4C">
            <w:pPr>
              <w:pStyle w:val="TAL"/>
              <w:rPr>
                <w:lang w:eastAsia="en-US"/>
              </w:rPr>
            </w:pPr>
            <w:r w:rsidRPr="004D0DAA">
              <w:rPr>
                <w:lang w:eastAsia="en-US"/>
              </w:rPr>
              <w:t>(MCS-7/P2 ; MCS-7/P1)</w:t>
            </w:r>
          </w:p>
        </w:tc>
      </w:tr>
      <w:tr w:rsidR="00711444" w:rsidRPr="004D0DAA" w14:paraId="56A1C9D0" w14:textId="77777777" w:rsidTr="00AA2A4C">
        <w:tblPrEx>
          <w:tblCellMar>
            <w:top w:w="0" w:type="dxa"/>
            <w:bottom w:w="0" w:type="dxa"/>
          </w:tblCellMar>
        </w:tblPrEx>
        <w:trPr>
          <w:cantSplit/>
          <w:jc w:val="center"/>
        </w:trPr>
        <w:tc>
          <w:tcPr>
            <w:tcW w:w="1446" w:type="dxa"/>
          </w:tcPr>
          <w:p w14:paraId="690E9919" w14:textId="77777777" w:rsidR="00711444" w:rsidRPr="004D0DAA" w:rsidRDefault="00711444" w:rsidP="00AA2A4C">
            <w:pPr>
              <w:pStyle w:val="TAC"/>
              <w:rPr>
                <w:lang w:eastAsia="en-US"/>
              </w:rPr>
            </w:pPr>
            <w:r w:rsidRPr="004D0DAA">
              <w:rPr>
                <w:lang w:eastAsia="en-US"/>
              </w:rPr>
              <w:t>11000</w:t>
            </w:r>
          </w:p>
        </w:tc>
        <w:tc>
          <w:tcPr>
            <w:tcW w:w="4239" w:type="dxa"/>
          </w:tcPr>
          <w:p w14:paraId="7014522F" w14:textId="77777777" w:rsidR="00711444" w:rsidRPr="004D0DAA" w:rsidRDefault="00711444" w:rsidP="00AA2A4C">
            <w:pPr>
              <w:pStyle w:val="TAL"/>
              <w:rPr>
                <w:lang w:eastAsia="en-US"/>
              </w:rPr>
            </w:pPr>
            <w:r w:rsidRPr="004D0DAA">
              <w:rPr>
                <w:lang w:eastAsia="en-US"/>
              </w:rPr>
              <w:t>(MCS-7/P2 ; MCS-7/P2)</w:t>
            </w:r>
          </w:p>
        </w:tc>
      </w:tr>
      <w:tr w:rsidR="00711444" w:rsidRPr="004D0DAA" w14:paraId="776BC2BE" w14:textId="77777777" w:rsidTr="00AA2A4C">
        <w:tblPrEx>
          <w:tblCellMar>
            <w:top w:w="0" w:type="dxa"/>
            <w:bottom w:w="0" w:type="dxa"/>
          </w:tblCellMar>
        </w:tblPrEx>
        <w:trPr>
          <w:cantSplit/>
          <w:jc w:val="center"/>
        </w:trPr>
        <w:tc>
          <w:tcPr>
            <w:tcW w:w="1446" w:type="dxa"/>
          </w:tcPr>
          <w:p w14:paraId="17C80A68" w14:textId="77777777" w:rsidR="00711444" w:rsidRPr="004D0DAA" w:rsidRDefault="00711444" w:rsidP="00AA2A4C">
            <w:pPr>
              <w:pStyle w:val="TAC"/>
              <w:rPr>
                <w:lang w:eastAsia="en-US"/>
              </w:rPr>
            </w:pPr>
            <w:r w:rsidRPr="004D0DAA">
              <w:rPr>
                <w:lang w:eastAsia="en-US"/>
              </w:rPr>
              <w:t>11001</w:t>
            </w:r>
          </w:p>
        </w:tc>
        <w:tc>
          <w:tcPr>
            <w:tcW w:w="4239" w:type="dxa"/>
          </w:tcPr>
          <w:p w14:paraId="7043E316" w14:textId="77777777" w:rsidR="00711444" w:rsidRPr="004D0DAA" w:rsidRDefault="00711444" w:rsidP="00AA2A4C">
            <w:pPr>
              <w:pStyle w:val="TAL"/>
              <w:rPr>
                <w:lang w:eastAsia="en-US"/>
              </w:rPr>
            </w:pPr>
            <w:r w:rsidRPr="004D0DAA">
              <w:rPr>
                <w:lang w:eastAsia="en-US"/>
              </w:rPr>
              <w:t>(MCS-7/P2 ; MCS-7/P3)</w:t>
            </w:r>
          </w:p>
        </w:tc>
      </w:tr>
      <w:tr w:rsidR="00711444" w:rsidRPr="004D0DAA" w14:paraId="707C8432" w14:textId="77777777" w:rsidTr="00AA2A4C">
        <w:tblPrEx>
          <w:tblCellMar>
            <w:top w:w="0" w:type="dxa"/>
            <w:bottom w:w="0" w:type="dxa"/>
          </w:tblCellMar>
        </w:tblPrEx>
        <w:trPr>
          <w:cantSplit/>
          <w:jc w:val="center"/>
        </w:trPr>
        <w:tc>
          <w:tcPr>
            <w:tcW w:w="1446" w:type="dxa"/>
          </w:tcPr>
          <w:p w14:paraId="7C1AE7AF" w14:textId="77777777" w:rsidR="00711444" w:rsidRPr="004D0DAA" w:rsidRDefault="00711444" w:rsidP="00AA2A4C">
            <w:pPr>
              <w:pStyle w:val="TAC"/>
              <w:rPr>
                <w:lang w:eastAsia="en-US"/>
              </w:rPr>
            </w:pPr>
            <w:r w:rsidRPr="004D0DAA">
              <w:rPr>
                <w:lang w:eastAsia="en-US"/>
              </w:rPr>
              <w:t>11010</w:t>
            </w:r>
          </w:p>
        </w:tc>
        <w:tc>
          <w:tcPr>
            <w:tcW w:w="4239" w:type="dxa"/>
          </w:tcPr>
          <w:p w14:paraId="2F371DBC" w14:textId="77777777" w:rsidR="00711444" w:rsidRPr="004D0DAA" w:rsidRDefault="00711444" w:rsidP="00AA2A4C">
            <w:pPr>
              <w:pStyle w:val="TAL"/>
              <w:rPr>
                <w:lang w:eastAsia="en-US"/>
              </w:rPr>
            </w:pPr>
            <w:r w:rsidRPr="004D0DAA">
              <w:rPr>
                <w:lang w:eastAsia="en-US"/>
              </w:rPr>
              <w:t>(MCS-7/P3 ; MCS-7/P1)</w:t>
            </w:r>
          </w:p>
        </w:tc>
      </w:tr>
      <w:tr w:rsidR="00711444" w:rsidRPr="004D0DAA" w14:paraId="14C2A1C2" w14:textId="77777777" w:rsidTr="00AA2A4C">
        <w:tblPrEx>
          <w:tblCellMar>
            <w:top w:w="0" w:type="dxa"/>
            <w:bottom w:w="0" w:type="dxa"/>
          </w:tblCellMar>
        </w:tblPrEx>
        <w:trPr>
          <w:cantSplit/>
          <w:jc w:val="center"/>
        </w:trPr>
        <w:tc>
          <w:tcPr>
            <w:tcW w:w="1446" w:type="dxa"/>
          </w:tcPr>
          <w:p w14:paraId="73E85644" w14:textId="77777777" w:rsidR="00711444" w:rsidRPr="004D0DAA" w:rsidRDefault="00711444" w:rsidP="00AA2A4C">
            <w:pPr>
              <w:pStyle w:val="TAC"/>
              <w:rPr>
                <w:lang w:eastAsia="en-US"/>
              </w:rPr>
            </w:pPr>
            <w:r w:rsidRPr="004D0DAA">
              <w:rPr>
                <w:lang w:eastAsia="en-US"/>
              </w:rPr>
              <w:t>11011</w:t>
            </w:r>
          </w:p>
        </w:tc>
        <w:tc>
          <w:tcPr>
            <w:tcW w:w="4239" w:type="dxa"/>
          </w:tcPr>
          <w:p w14:paraId="33426252" w14:textId="77777777" w:rsidR="00711444" w:rsidRPr="004D0DAA" w:rsidRDefault="00711444" w:rsidP="00AA2A4C">
            <w:pPr>
              <w:pStyle w:val="TAL"/>
              <w:rPr>
                <w:lang w:eastAsia="en-US"/>
              </w:rPr>
            </w:pPr>
            <w:r w:rsidRPr="004D0DAA">
              <w:rPr>
                <w:lang w:eastAsia="en-US"/>
              </w:rPr>
              <w:t>(MCS-7/P3 ; MCS-7/P2)</w:t>
            </w:r>
          </w:p>
        </w:tc>
      </w:tr>
      <w:tr w:rsidR="00711444" w:rsidRPr="004D0DAA" w14:paraId="6EEF2C50" w14:textId="77777777" w:rsidTr="00AA2A4C">
        <w:tblPrEx>
          <w:tblCellMar>
            <w:top w:w="0" w:type="dxa"/>
            <w:bottom w:w="0" w:type="dxa"/>
          </w:tblCellMar>
        </w:tblPrEx>
        <w:trPr>
          <w:cantSplit/>
          <w:jc w:val="center"/>
        </w:trPr>
        <w:tc>
          <w:tcPr>
            <w:tcW w:w="1446" w:type="dxa"/>
          </w:tcPr>
          <w:p w14:paraId="09C44B46" w14:textId="77777777" w:rsidR="00711444" w:rsidRPr="004D0DAA" w:rsidRDefault="00711444" w:rsidP="00AA2A4C">
            <w:pPr>
              <w:pStyle w:val="TAC"/>
              <w:rPr>
                <w:lang w:eastAsia="en-US"/>
              </w:rPr>
            </w:pPr>
            <w:r w:rsidRPr="004D0DAA">
              <w:rPr>
                <w:lang w:eastAsia="en-US"/>
              </w:rPr>
              <w:t>11100</w:t>
            </w:r>
          </w:p>
        </w:tc>
        <w:tc>
          <w:tcPr>
            <w:tcW w:w="4239" w:type="dxa"/>
          </w:tcPr>
          <w:p w14:paraId="4A886DF5" w14:textId="77777777" w:rsidR="00711444" w:rsidRPr="004D0DAA" w:rsidRDefault="00711444" w:rsidP="00AA2A4C">
            <w:pPr>
              <w:pStyle w:val="TAL"/>
              <w:rPr>
                <w:lang w:eastAsia="en-US"/>
              </w:rPr>
            </w:pPr>
            <w:r w:rsidRPr="004D0DAA">
              <w:rPr>
                <w:lang w:eastAsia="en-US"/>
              </w:rPr>
              <w:t>(MCS-7/P3 ; MCS-7/P3)</w:t>
            </w:r>
          </w:p>
        </w:tc>
      </w:tr>
      <w:tr w:rsidR="00711444" w:rsidRPr="004D0DAA" w14:paraId="636B0361" w14:textId="77777777" w:rsidTr="00AA2A4C">
        <w:tblPrEx>
          <w:tblCellMar>
            <w:top w:w="0" w:type="dxa"/>
            <w:bottom w:w="0" w:type="dxa"/>
          </w:tblCellMar>
        </w:tblPrEx>
        <w:trPr>
          <w:cantSplit/>
          <w:jc w:val="center"/>
        </w:trPr>
        <w:tc>
          <w:tcPr>
            <w:tcW w:w="1446" w:type="dxa"/>
          </w:tcPr>
          <w:p w14:paraId="6883F0DF" w14:textId="77777777" w:rsidR="00711444" w:rsidRPr="004D0DAA" w:rsidRDefault="00711444" w:rsidP="00AA2A4C">
            <w:pPr>
              <w:pStyle w:val="TAC"/>
              <w:rPr>
                <w:lang w:eastAsia="en-US"/>
              </w:rPr>
            </w:pPr>
          </w:p>
        </w:tc>
        <w:tc>
          <w:tcPr>
            <w:tcW w:w="4239" w:type="dxa"/>
          </w:tcPr>
          <w:p w14:paraId="28BC85F0"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14B33ACF" w14:textId="77777777" w:rsidTr="00AA2A4C">
        <w:tblPrEx>
          <w:tblCellMar>
            <w:top w:w="0" w:type="dxa"/>
            <w:bottom w:w="0" w:type="dxa"/>
          </w:tblCellMar>
        </w:tblPrEx>
        <w:trPr>
          <w:cantSplit/>
          <w:jc w:val="center"/>
        </w:trPr>
        <w:tc>
          <w:tcPr>
            <w:tcW w:w="5685" w:type="dxa"/>
            <w:gridSpan w:val="2"/>
          </w:tcPr>
          <w:p w14:paraId="1B6D8D1D" w14:textId="77777777" w:rsidR="00711444" w:rsidRPr="004D0DAA" w:rsidRDefault="00711444" w:rsidP="00AA2A4C">
            <w:pPr>
              <w:pStyle w:val="TAN"/>
              <w:rPr>
                <w:lang w:eastAsia="en-US"/>
              </w:rPr>
            </w:pPr>
            <w:r w:rsidRPr="004D0DAA">
              <w:rPr>
                <w:lang w:eastAsia="en-US"/>
              </w:rPr>
              <w:t>NOTE 1:</w:t>
            </w:r>
            <w:r w:rsidRPr="004D0DAA">
              <w:rPr>
                <w:lang w:eastAsia="en-US"/>
              </w:rPr>
              <w:tab/>
              <w:t>The bit numbering is relative to the field position.</w:t>
            </w:r>
          </w:p>
          <w:p w14:paraId="54CB4216" w14:textId="77777777" w:rsidR="00711444" w:rsidRPr="004D0DAA" w:rsidRDefault="00711444" w:rsidP="00AA2A4C">
            <w:pPr>
              <w:pStyle w:val="TAN"/>
              <w:rPr>
                <w:lang w:eastAsia="en-US"/>
              </w:rPr>
            </w:pPr>
            <w:r w:rsidRPr="004D0DAA">
              <w:rPr>
                <w:lang w:eastAsia="en-US"/>
              </w:rPr>
              <w:t>NOTE 2:</w:t>
            </w:r>
            <w:r w:rsidRPr="004D0DAA">
              <w:rPr>
                <w:lang w:eastAsia="en-US"/>
              </w:rPr>
              <w:tab/>
              <w:t>MCS-9 shall only be used for an EGPRS TBF, for an EC TBF or for a downlink EGPRS2-B TBF.</w:t>
            </w:r>
          </w:p>
        </w:tc>
      </w:tr>
    </w:tbl>
    <w:p w14:paraId="3AE3D17E" w14:textId="77777777" w:rsidR="00711444" w:rsidRPr="004D0DAA" w:rsidRDefault="00711444" w:rsidP="00711444"/>
    <w:p w14:paraId="50E8B4C0" w14:textId="77777777" w:rsidR="00711444" w:rsidRPr="004D0DAA" w:rsidRDefault="00711444" w:rsidP="00711444">
      <w:pPr>
        <w:pStyle w:val="Heading4"/>
      </w:pPr>
      <w:bookmarkStart w:id="562" w:name="_Toc516669742"/>
      <w:r w:rsidRPr="004D0DAA">
        <w:t>10.4.8a.2</w:t>
      </w:r>
      <w:r w:rsidRPr="004D0DAA">
        <w:tab/>
        <w:t>Header type 2</w:t>
      </w:r>
      <w:bookmarkEnd w:id="562"/>
    </w:p>
    <w:p w14:paraId="0A6B0BC3" w14:textId="77777777" w:rsidR="00711444" w:rsidRPr="004D0DAA" w:rsidRDefault="00711444" w:rsidP="00711444">
      <w:r w:rsidRPr="004D0DAA">
        <w:t>In EGPRS, EC-GSM-IoT and in EGPRS2-A uplink, the Coding and Puncturing Scheme indicator field indicates the kind of channel coding and puncturing used for data block as defined in table 10.4.8a.2.1.</w:t>
      </w:r>
    </w:p>
    <w:p w14:paraId="47AEDB6E" w14:textId="77777777" w:rsidR="00711444" w:rsidRPr="004D0DAA" w:rsidRDefault="00711444" w:rsidP="00711444">
      <w:pPr>
        <w:pStyle w:val="TH"/>
      </w:pPr>
      <w:r w:rsidRPr="004D0DAA">
        <w:lastRenderedPageBreak/>
        <w:t>Table 10.4.8a.2.1: Coding and Puncturing Scheme indicator field for Header type 2 in EGPRS TBF, EC TBF or uplink EGPRS2-A TBF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191"/>
        <w:gridCol w:w="4082"/>
      </w:tblGrid>
      <w:tr w:rsidR="00711444" w:rsidRPr="004D0DAA" w14:paraId="68FFB132"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1A24EF84"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082" w:type="dxa"/>
            <w:tcBorders>
              <w:top w:val="single" w:sz="4" w:space="0" w:color="auto"/>
              <w:left w:val="single" w:sz="4" w:space="0" w:color="auto"/>
              <w:bottom w:val="single" w:sz="4" w:space="0" w:color="auto"/>
              <w:right w:val="single" w:sz="4" w:space="0" w:color="auto"/>
            </w:tcBorders>
          </w:tcPr>
          <w:p w14:paraId="16056BA7" w14:textId="77777777" w:rsidR="00711444" w:rsidRPr="004D0DAA" w:rsidRDefault="00711444" w:rsidP="00AA2A4C">
            <w:pPr>
              <w:pStyle w:val="TAH"/>
              <w:rPr>
                <w:lang w:eastAsia="en-US"/>
              </w:rPr>
            </w:pPr>
            <w:r w:rsidRPr="004D0DAA">
              <w:rPr>
                <w:lang w:eastAsia="en-US"/>
              </w:rPr>
              <w:t>(first block)</w:t>
            </w:r>
            <w:r w:rsidRPr="004D0DAA">
              <w:rPr>
                <w:lang w:eastAsia="en-US"/>
              </w:rPr>
              <w:br/>
              <w:t>CPS</w:t>
            </w:r>
          </w:p>
        </w:tc>
      </w:tr>
      <w:tr w:rsidR="00711444" w:rsidRPr="004D0DAA" w14:paraId="2AFFB26A"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343DA89A" w14:textId="77777777" w:rsidR="00711444" w:rsidRPr="004D0DAA" w:rsidRDefault="00711444" w:rsidP="00AA2A4C">
            <w:pPr>
              <w:pStyle w:val="TAC"/>
              <w:rPr>
                <w:lang w:eastAsia="en-US"/>
              </w:rPr>
            </w:pPr>
            <w:r w:rsidRPr="004D0DAA">
              <w:rPr>
                <w:lang w:eastAsia="en-US"/>
              </w:rPr>
              <w:t>000</w:t>
            </w:r>
          </w:p>
        </w:tc>
        <w:tc>
          <w:tcPr>
            <w:tcW w:w="4082" w:type="dxa"/>
            <w:tcBorders>
              <w:top w:val="single" w:sz="4" w:space="0" w:color="auto"/>
              <w:left w:val="single" w:sz="4" w:space="0" w:color="auto"/>
              <w:bottom w:val="single" w:sz="4" w:space="0" w:color="auto"/>
              <w:right w:val="single" w:sz="4" w:space="0" w:color="auto"/>
            </w:tcBorders>
          </w:tcPr>
          <w:p w14:paraId="3C79E2D4" w14:textId="77777777" w:rsidR="00711444" w:rsidRPr="004D0DAA" w:rsidRDefault="00711444" w:rsidP="00AA2A4C">
            <w:pPr>
              <w:pStyle w:val="TAL"/>
              <w:rPr>
                <w:lang w:eastAsia="en-US"/>
              </w:rPr>
            </w:pPr>
            <w:r w:rsidRPr="004D0DAA">
              <w:rPr>
                <w:lang w:eastAsia="en-US"/>
              </w:rPr>
              <w:t>MCS-6/P1</w:t>
            </w:r>
          </w:p>
        </w:tc>
      </w:tr>
      <w:tr w:rsidR="00711444" w:rsidRPr="004D0DAA" w14:paraId="7A74FE70"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2E6C465B" w14:textId="77777777" w:rsidR="00711444" w:rsidRPr="004D0DAA" w:rsidRDefault="00711444" w:rsidP="00AA2A4C">
            <w:pPr>
              <w:pStyle w:val="TAC"/>
              <w:rPr>
                <w:lang w:eastAsia="en-US"/>
              </w:rPr>
            </w:pPr>
            <w:r w:rsidRPr="004D0DAA">
              <w:rPr>
                <w:lang w:eastAsia="en-US"/>
              </w:rPr>
              <w:t>001</w:t>
            </w:r>
          </w:p>
        </w:tc>
        <w:tc>
          <w:tcPr>
            <w:tcW w:w="4082" w:type="dxa"/>
            <w:tcBorders>
              <w:top w:val="single" w:sz="4" w:space="0" w:color="auto"/>
              <w:left w:val="single" w:sz="4" w:space="0" w:color="auto"/>
              <w:bottom w:val="single" w:sz="4" w:space="0" w:color="auto"/>
              <w:right w:val="single" w:sz="4" w:space="0" w:color="auto"/>
            </w:tcBorders>
          </w:tcPr>
          <w:p w14:paraId="0AD3CD3B" w14:textId="77777777" w:rsidR="00711444" w:rsidRPr="004D0DAA" w:rsidRDefault="00711444" w:rsidP="00AA2A4C">
            <w:pPr>
              <w:pStyle w:val="TAL"/>
              <w:rPr>
                <w:lang w:eastAsia="en-US"/>
              </w:rPr>
            </w:pPr>
            <w:r w:rsidRPr="004D0DAA">
              <w:rPr>
                <w:lang w:eastAsia="en-US"/>
              </w:rPr>
              <w:t>MCS-6/P2</w:t>
            </w:r>
          </w:p>
        </w:tc>
      </w:tr>
      <w:tr w:rsidR="00711444" w:rsidRPr="004D0DAA" w14:paraId="59CF584B"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7551FCC1" w14:textId="77777777" w:rsidR="00711444" w:rsidRPr="004D0DAA" w:rsidRDefault="00711444" w:rsidP="00AA2A4C">
            <w:pPr>
              <w:pStyle w:val="TAC"/>
              <w:rPr>
                <w:lang w:eastAsia="en-US"/>
              </w:rPr>
            </w:pPr>
            <w:r w:rsidRPr="004D0DAA">
              <w:rPr>
                <w:lang w:eastAsia="en-US"/>
              </w:rPr>
              <w:t>010</w:t>
            </w:r>
          </w:p>
        </w:tc>
        <w:tc>
          <w:tcPr>
            <w:tcW w:w="4082" w:type="dxa"/>
            <w:tcBorders>
              <w:top w:val="single" w:sz="4" w:space="0" w:color="auto"/>
              <w:left w:val="single" w:sz="4" w:space="0" w:color="auto"/>
              <w:bottom w:val="single" w:sz="4" w:space="0" w:color="auto"/>
              <w:right w:val="single" w:sz="4" w:space="0" w:color="auto"/>
            </w:tcBorders>
          </w:tcPr>
          <w:p w14:paraId="655A71DF" w14:textId="77777777" w:rsidR="00711444" w:rsidRPr="004D0DAA" w:rsidRDefault="00711444" w:rsidP="00AA2A4C">
            <w:pPr>
              <w:pStyle w:val="TAL"/>
              <w:rPr>
                <w:lang w:eastAsia="en-US"/>
              </w:rPr>
            </w:pPr>
            <w:r w:rsidRPr="004D0DAA">
              <w:rPr>
                <w:lang w:eastAsia="en-US"/>
              </w:rPr>
              <w:t>MCS-6/P1 with 6 octets padding (see NOTE 2)</w:t>
            </w:r>
          </w:p>
        </w:tc>
      </w:tr>
      <w:tr w:rsidR="00711444" w:rsidRPr="004D0DAA" w14:paraId="597D164C"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027B1EC0" w14:textId="77777777" w:rsidR="00711444" w:rsidRPr="004D0DAA" w:rsidRDefault="00711444" w:rsidP="00AA2A4C">
            <w:pPr>
              <w:pStyle w:val="TAC"/>
              <w:rPr>
                <w:lang w:eastAsia="en-US"/>
              </w:rPr>
            </w:pPr>
            <w:r w:rsidRPr="004D0DAA">
              <w:rPr>
                <w:lang w:eastAsia="en-US"/>
              </w:rPr>
              <w:t>011</w:t>
            </w:r>
          </w:p>
        </w:tc>
        <w:tc>
          <w:tcPr>
            <w:tcW w:w="4082" w:type="dxa"/>
            <w:tcBorders>
              <w:top w:val="single" w:sz="4" w:space="0" w:color="auto"/>
              <w:left w:val="single" w:sz="4" w:space="0" w:color="auto"/>
              <w:bottom w:val="single" w:sz="4" w:space="0" w:color="auto"/>
              <w:right w:val="single" w:sz="4" w:space="0" w:color="auto"/>
            </w:tcBorders>
          </w:tcPr>
          <w:p w14:paraId="485755A2" w14:textId="77777777" w:rsidR="00711444" w:rsidRPr="004D0DAA" w:rsidRDefault="00711444" w:rsidP="00AA2A4C">
            <w:pPr>
              <w:pStyle w:val="TAL"/>
              <w:rPr>
                <w:lang w:eastAsia="en-US"/>
              </w:rPr>
            </w:pPr>
            <w:r w:rsidRPr="004D0DAA">
              <w:rPr>
                <w:lang w:eastAsia="en-US"/>
              </w:rPr>
              <w:t>MCS-6/P2 with 6 octets padding (see NOTE 2)</w:t>
            </w:r>
          </w:p>
        </w:tc>
      </w:tr>
      <w:tr w:rsidR="00711444" w:rsidRPr="004D0DAA" w14:paraId="393EB041"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2ECD486A" w14:textId="77777777" w:rsidR="00711444" w:rsidRPr="004D0DAA" w:rsidRDefault="00711444" w:rsidP="00AA2A4C">
            <w:pPr>
              <w:pStyle w:val="TAC"/>
              <w:rPr>
                <w:lang w:eastAsia="en-US"/>
              </w:rPr>
            </w:pPr>
            <w:r w:rsidRPr="004D0DAA">
              <w:rPr>
                <w:lang w:eastAsia="en-US"/>
              </w:rPr>
              <w:t>100</w:t>
            </w:r>
          </w:p>
        </w:tc>
        <w:tc>
          <w:tcPr>
            <w:tcW w:w="4082" w:type="dxa"/>
            <w:tcBorders>
              <w:top w:val="single" w:sz="4" w:space="0" w:color="auto"/>
              <w:left w:val="single" w:sz="4" w:space="0" w:color="auto"/>
              <w:bottom w:val="single" w:sz="4" w:space="0" w:color="auto"/>
              <w:right w:val="single" w:sz="4" w:space="0" w:color="auto"/>
            </w:tcBorders>
          </w:tcPr>
          <w:p w14:paraId="145FC614" w14:textId="77777777" w:rsidR="00711444" w:rsidRPr="004D0DAA" w:rsidRDefault="00711444" w:rsidP="00AA2A4C">
            <w:pPr>
              <w:pStyle w:val="TAL"/>
              <w:rPr>
                <w:lang w:eastAsia="en-US"/>
              </w:rPr>
            </w:pPr>
            <w:r w:rsidRPr="004D0DAA">
              <w:rPr>
                <w:lang w:eastAsia="en-US"/>
              </w:rPr>
              <w:t xml:space="preserve">MCS-5/P1 </w:t>
            </w:r>
          </w:p>
        </w:tc>
      </w:tr>
      <w:tr w:rsidR="00711444" w:rsidRPr="004D0DAA" w14:paraId="7149A948"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34FC6FED" w14:textId="77777777" w:rsidR="00711444" w:rsidRPr="004D0DAA" w:rsidRDefault="00711444" w:rsidP="00AA2A4C">
            <w:pPr>
              <w:pStyle w:val="TAC"/>
              <w:rPr>
                <w:lang w:eastAsia="en-US"/>
              </w:rPr>
            </w:pPr>
            <w:r w:rsidRPr="004D0DAA">
              <w:rPr>
                <w:lang w:eastAsia="en-US"/>
              </w:rPr>
              <w:t>101</w:t>
            </w:r>
          </w:p>
        </w:tc>
        <w:tc>
          <w:tcPr>
            <w:tcW w:w="4082" w:type="dxa"/>
            <w:tcBorders>
              <w:top w:val="single" w:sz="4" w:space="0" w:color="auto"/>
              <w:left w:val="single" w:sz="4" w:space="0" w:color="auto"/>
              <w:bottom w:val="single" w:sz="4" w:space="0" w:color="auto"/>
              <w:right w:val="single" w:sz="4" w:space="0" w:color="auto"/>
            </w:tcBorders>
          </w:tcPr>
          <w:p w14:paraId="535EA76C" w14:textId="77777777" w:rsidR="00711444" w:rsidRPr="004D0DAA" w:rsidRDefault="00711444" w:rsidP="00AA2A4C">
            <w:pPr>
              <w:pStyle w:val="TAL"/>
              <w:rPr>
                <w:lang w:eastAsia="en-US"/>
              </w:rPr>
            </w:pPr>
            <w:r w:rsidRPr="004D0DAA">
              <w:rPr>
                <w:lang w:eastAsia="en-US"/>
              </w:rPr>
              <w:t xml:space="preserve">MCS-5/P2 </w:t>
            </w:r>
          </w:p>
        </w:tc>
      </w:tr>
      <w:tr w:rsidR="00711444" w:rsidRPr="004D0DAA" w14:paraId="160E3A84"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31F02133" w14:textId="77777777" w:rsidR="00711444" w:rsidRPr="004D0DAA" w:rsidRDefault="00711444" w:rsidP="00AA2A4C">
            <w:pPr>
              <w:pStyle w:val="TAC"/>
              <w:rPr>
                <w:lang w:eastAsia="en-US"/>
              </w:rPr>
            </w:pPr>
            <w:r w:rsidRPr="004D0DAA">
              <w:rPr>
                <w:lang w:eastAsia="en-US"/>
              </w:rPr>
              <w:t>110</w:t>
            </w:r>
          </w:p>
        </w:tc>
        <w:tc>
          <w:tcPr>
            <w:tcW w:w="4082" w:type="dxa"/>
            <w:tcBorders>
              <w:top w:val="single" w:sz="4" w:space="0" w:color="auto"/>
              <w:left w:val="single" w:sz="4" w:space="0" w:color="auto"/>
              <w:bottom w:val="single" w:sz="4" w:space="0" w:color="auto"/>
              <w:right w:val="single" w:sz="4" w:space="0" w:color="auto"/>
            </w:tcBorders>
          </w:tcPr>
          <w:p w14:paraId="643666AF" w14:textId="77777777" w:rsidR="00711444" w:rsidRPr="004D0DAA" w:rsidRDefault="00711444" w:rsidP="00AA2A4C">
            <w:pPr>
              <w:pStyle w:val="TAL"/>
              <w:rPr>
                <w:lang w:eastAsia="en-US"/>
              </w:rPr>
            </w:pPr>
            <w:r w:rsidRPr="004D0DAA">
              <w:rPr>
                <w:lang w:eastAsia="en-US"/>
              </w:rPr>
              <w:t>MCS-6/P1 with 10 octets padding (see NOTE 3)</w:t>
            </w:r>
          </w:p>
        </w:tc>
      </w:tr>
      <w:tr w:rsidR="00711444" w:rsidRPr="004D0DAA" w14:paraId="21C9A699" w14:textId="77777777" w:rsidTr="00AA2A4C">
        <w:tblPrEx>
          <w:tblCellMar>
            <w:top w:w="0" w:type="dxa"/>
            <w:bottom w:w="0" w:type="dxa"/>
          </w:tblCellMar>
        </w:tblPrEx>
        <w:trPr>
          <w:cantSplit/>
          <w:jc w:val="center"/>
        </w:trPr>
        <w:tc>
          <w:tcPr>
            <w:tcW w:w="1191" w:type="dxa"/>
            <w:tcBorders>
              <w:top w:val="single" w:sz="4" w:space="0" w:color="auto"/>
              <w:left w:val="single" w:sz="4" w:space="0" w:color="auto"/>
              <w:bottom w:val="single" w:sz="4" w:space="0" w:color="auto"/>
              <w:right w:val="single" w:sz="4" w:space="0" w:color="auto"/>
            </w:tcBorders>
          </w:tcPr>
          <w:p w14:paraId="3AE7A5DB" w14:textId="77777777" w:rsidR="00711444" w:rsidRPr="004D0DAA" w:rsidRDefault="00711444" w:rsidP="00AA2A4C">
            <w:pPr>
              <w:pStyle w:val="TAC"/>
              <w:rPr>
                <w:lang w:eastAsia="en-US"/>
              </w:rPr>
            </w:pPr>
            <w:r w:rsidRPr="004D0DAA">
              <w:rPr>
                <w:lang w:eastAsia="en-US"/>
              </w:rPr>
              <w:t>111</w:t>
            </w:r>
          </w:p>
        </w:tc>
        <w:tc>
          <w:tcPr>
            <w:tcW w:w="4082" w:type="dxa"/>
            <w:tcBorders>
              <w:top w:val="single" w:sz="4" w:space="0" w:color="auto"/>
              <w:left w:val="single" w:sz="4" w:space="0" w:color="auto"/>
              <w:bottom w:val="single" w:sz="4" w:space="0" w:color="auto"/>
              <w:right w:val="single" w:sz="4" w:space="0" w:color="auto"/>
            </w:tcBorders>
          </w:tcPr>
          <w:p w14:paraId="63D29C78" w14:textId="77777777" w:rsidR="00711444" w:rsidRPr="004D0DAA" w:rsidRDefault="00711444" w:rsidP="00AA2A4C">
            <w:pPr>
              <w:pStyle w:val="TAL"/>
              <w:rPr>
                <w:lang w:eastAsia="en-US"/>
              </w:rPr>
            </w:pPr>
            <w:r w:rsidRPr="004D0DAA">
              <w:rPr>
                <w:lang w:eastAsia="en-US"/>
              </w:rPr>
              <w:t>MCS-6/P2 with 10 octets padding (see NOTE 3)</w:t>
            </w:r>
          </w:p>
        </w:tc>
      </w:tr>
      <w:tr w:rsidR="00711444" w:rsidRPr="004D0DAA" w14:paraId="6DEBEA57" w14:textId="77777777" w:rsidTr="00AA2A4C">
        <w:tblPrEx>
          <w:tblCellMar>
            <w:top w:w="0" w:type="dxa"/>
            <w:bottom w:w="0" w:type="dxa"/>
          </w:tblCellMar>
        </w:tblPrEx>
        <w:trPr>
          <w:cantSplit/>
          <w:jc w:val="center"/>
        </w:trPr>
        <w:tc>
          <w:tcPr>
            <w:tcW w:w="5273" w:type="dxa"/>
            <w:gridSpan w:val="2"/>
            <w:tcBorders>
              <w:top w:val="single" w:sz="4" w:space="0" w:color="auto"/>
              <w:left w:val="single" w:sz="4" w:space="0" w:color="auto"/>
              <w:bottom w:val="single" w:sz="4" w:space="0" w:color="auto"/>
              <w:right w:val="single" w:sz="4" w:space="0" w:color="auto"/>
            </w:tcBorders>
          </w:tcPr>
          <w:p w14:paraId="500910DA" w14:textId="77777777" w:rsidR="00711444" w:rsidRPr="004D0DAA" w:rsidRDefault="00711444" w:rsidP="00AA2A4C">
            <w:pPr>
              <w:pStyle w:val="TAN"/>
              <w:rPr>
                <w:lang w:eastAsia="en-US"/>
              </w:rPr>
            </w:pPr>
            <w:r w:rsidRPr="004D0DAA">
              <w:rPr>
                <w:lang w:eastAsia="en-US"/>
              </w:rPr>
              <w:t>NOTE 1:</w:t>
            </w:r>
            <w:r w:rsidRPr="004D0DAA">
              <w:rPr>
                <w:lang w:eastAsia="en-US"/>
              </w:rPr>
              <w:tab/>
              <w:t>The bit numbering is relative to the field position.</w:t>
            </w:r>
          </w:p>
          <w:p w14:paraId="06D849CD" w14:textId="77777777" w:rsidR="00711444" w:rsidRPr="004D0DAA" w:rsidRDefault="00711444" w:rsidP="00AA2A4C">
            <w:pPr>
              <w:pStyle w:val="TAN"/>
              <w:rPr>
                <w:lang w:eastAsia="en-US"/>
              </w:rPr>
            </w:pPr>
            <w:r w:rsidRPr="004D0DAA">
              <w:rPr>
                <w:lang w:eastAsia="en-US"/>
              </w:rPr>
              <w:t>NOTE 2:   MCS-6 with 6 octets padding shall only be used for an EGPRS TBF or, in case of an uplink EGPRS2-A TBF, for retransmission of blocks originally transmitted using EGPRS.</w:t>
            </w:r>
          </w:p>
          <w:p w14:paraId="3293DF57" w14:textId="77777777" w:rsidR="00711444" w:rsidRPr="004D0DAA" w:rsidRDefault="00711444" w:rsidP="00AA2A4C">
            <w:pPr>
              <w:pStyle w:val="TAN"/>
              <w:rPr>
                <w:lang w:eastAsia="en-US"/>
              </w:rPr>
            </w:pPr>
            <w:r w:rsidRPr="004D0DAA">
              <w:rPr>
                <w:lang w:eastAsia="en-US"/>
              </w:rPr>
              <w:t>NOTE 3:   MSC-6 with 10 octets padding shall only be used for an uplink EGPRS2-A TBF or, in case of an uplink EGPRS TBF, for retransmission of blocks originally transmitted using EGPRS2-A.</w:t>
            </w:r>
          </w:p>
        </w:tc>
      </w:tr>
    </w:tbl>
    <w:p w14:paraId="0E89EE5D" w14:textId="77777777" w:rsidR="00711444" w:rsidRPr="004D0DAA" w:rsidRDefault="00711444" w:rsidP="00711444"/>
    <w:p w14:paraId="5C8A28D8" w14:textId="77777777" w:rsidR="00711444" w:rsidRPr="004D0DAA" w:rsidRDefault="00711444" w:rsidP="00711444">
      <w:r w:rsidRPr="004D0DAA">
        <w:t>In EGPRS2 downlink, if the Downlink EGPRS Level assigned (see Table 11.2.7.1 and Table 12.10f.1) is EGPRS2-A, the Coding and Puncturing Scheme indicator field indicates the kind of channel coding and puncturing used for data block as defined in table 10.4.8a.2.2.</w:t>
      </w:r>
    </w:p>
    <w:p w14:paraId="3B4DD61D" w14:textId="77777777" w:rsidR="00711444" w:rsidRPr="004D0DAA" w:rsidRDefault="00711444" w:rsidP="00711444">
      <w:pPr>
        <w:pStyle w:val="TH"/>
      </w:pPr>
      <w:r w:rsidRPr="004D0DAA">
        <w:t xml:space="preserve">Table 10.4.8a.2.2: Coding and Puncturing Scheme indicator field for </w:t>
      </w:r>
      <w:r w:rsidRPr="004D0DAA">
        <w:br/>
        <w:t>Header type 2 in downlink EGPRS2-A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31CBE026" w14:textId="77777777" w:rsidTr="00AA2A4C">
        <w:tblPrEx>
          <w:tblCellMar>
            <w:top w:w="0" w:type="dxa"/>
            <w:bottom w:w="0" w:type="dxa"/>
          </w:tblCellMar>
        </w:tblPrEx>
        <w:trPr>
          <w:cantSplit/>
          <w:jc w:val="center"/>
        </w:trPr>
        <w:tc>
          <w:tcPr>
            <w:tcW w:w="1446" w:type="dxa"/>
          </w:tcPr>
          <w:p w14:paraId="341BE2BD"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239" w:type="dxa"/>
          </w:tcPr>
          <w:p w14:paraId="2CD63C16" w14:textId="77777777" w:rsidR="00711444" w:rsidRPr="004D0DAA" w:rsidRDefault="00711444" w:rsidP="00AA2A4C">
            <w:pPr>
              <w:pStyle w:val="TAH"/>
              <w:rPr>
                <w:lang w:eastAsia="en-US"/>
              </w:rPr>
            </w:pPr>
            <w:r w:rsidRPr="004D0DAA">
              <w:rPr>
                <w:lang w:eastAsia="en-US"/>
              </w:rPr>
              <w:t>CPS</w:t>
            </w:r>
          </w:p>
        </w:tc>
      </w:tr>
      <w:tr w:rsidR="00711444" w:rsidRPr="004D0DAA" w14:paraId="684C6CFB" w14:textId="77777777" w:rsidTr="00AA2A4C">
        <w:tblPrEx>
          <w:tblCellMar>
            <w:top w:w="0" w:type="dxa"/>
            <w:bottom w:w="0" w:type="dxa"/>
          </w:tblCellMar>
        </w:tblPrEx>
        <w:trPr>
          <w:cantSplit/>
          <w:jc w:val="center"/>
        </w:trPr>
        <w:tc>
          <w:tcPr>
            <w:tcW w:w="1446" w:type="dxa"/>
          </w:tcPr>
          <w:p w14:paraId="7562E892" w14:textId="77777777" w:rsidR="00711444" w:rsidRPr="004D0DAA" w:rsidRDefault="00711444" w:rsidP="00AA2A4C">
            <w:pPr>
              <w:pStyle w:val="TAC"/>
              <w:rPr>
                <w:lang w:eastAsia="en-US"/>
              </w:rPr>
            </w:pPr>
            <w:r w:rsidRPr="004D0DAA">
              <w:rPr>
                <w:lang w:eastAsia="en-US"/>
              </w:rPr>
              <w:t>000</w:t>
            </w:r>
          </w:p>
        </w:tc>
        <w:tc>
          <w:tcPr>
            <w:tcW w:w="4239" w:type="dxa"/>
          </w:tcPr>
          <w:p w14:paraId="6E810FEA" w14:textId="77777777" w:rsidR="00711444" w:rsidRPr="004D0DAA" w:rsidRDefault="00711444" w:rsidP="00AA2A4C">
            <w:pPr>
              <w:pStyle w:val="TAL"/>
              <w:rPr>
                <w:lang w:eastAsia="en-US"/>
              </w:rPr>
            </w:pPr>
            <w:r w:rsidRPr="004D0DAA">
              <w:rPr>
                <w:lang w:eastAsia="en-US"/>
              </w:rPr>
              <w:t>MCS-6/P1 (see NOTE 2)</w:t>
            </w:r>
          </w:p>
        </w:tc>
      </w:tr>
      <w:tr w:rsidR="00711444" w:rsidRPr="004D0DAA" w14:paraId="17554BB1" w14:textId="77777777" w:rsidTr="00AA2A4C">
        <w:tblPrEx>
          <w:tblCellMar>
            <w:top w:w="0" w:type="dxa"/>
            <w:bottom w:w="0" w:type="dxa"/>
          </w:tblCellMar>
        </w:tblPrEx>
        <w:trPr>
          <w:cantSplit/>
          <w:jc w:val="center"/>
        </w:trPr>
        <w:tc>
          <w:tcPr>
            <w:tcW w:w="1446" w:type="dxa"/>
          </w:tcPr>
          <w:p w14:paraId="56FDC574" w14:textId="77777777" w:rsidR="00711444" w:rsidRPr="004D0DAA" w:rsidRDefault="00711444" w:rsidP="00AA2A4C">
            <w:pPr>
              <w:pStyle w:val="TAC"/>
              <w:rPr>
                <w:lang w:eastAsia="en-US"/>
              </w:rPr>
            </w:pPr>
            <w:r w:rsidRPr="004D0DAA">
              <w:rPr>
                <w:lang w:eastAsia="en-US"/>
              </w:rPr>
              <w:t>001</w:t>
            </w:r>
          </w:p>
        </w:tc>
        <w:tc>
          <w:tcPr>
            <w:tcW w:w="4239" w:type="dxa"/>
          </w:tcPr>
          <w:p w14:paraId="608CDF09" w14:textId="77777777" w:rsidR="00711444" w:rsidRPr="004D0DAA" w:rsidRDefault="00711444" w:rsidP="00AA2A4C">
            <w:pPr>
              <w:pStyle w:val="TAL"/>
              <w:rPr>
                <w:lang w:eastAsia="en-US"/>
              </w:rPr>
            </w:pPr>
            <w:r w:rsidRPr="004D0DAA">
              <w:rPr>
                <w:lang w:eastAsia="en-US"/>
              </w:rPr>
              <w:t>MCS-6/P2 (see NOTE 2)</w:t>
            </w:r>
          </w:p>
        </w:tc>
      </w:tr>
      <w:tr w:rsidR="00711444" w:rsidRPr="004D0DAA" w14:paraId="7C0B648A" w14:textId="77777777" w:rsidTr="00AA2A4C">
        <w:tblPrEx>
          <w:tblCellMar>
            <w:top w:w="0" w:type="dxa"/>
            <w:bottom w:w="0" w:type="dxa"/>
          </w:tblCellMar>
        </w:tblPrEx>
        <w:trPr>
          <w:cantSplit/>
          <w:jc w:val="center"/>
        </w:trPr>
        <w:tc>
          <w:tcPr>
            <w:tcW w:w="1446" w:type="dxa"/>
          </w:tcPr>
          <w:p w14:paraId="3E457C99" w14:textId="77777777" w:rsidR="00711444" w:rsidRPr="004D0DAA" w:rsidRDefault="00711444" w:rsidP="00AA2A4C">
            <w:pPr>
              <w:pStyle w:val="TAC"/>
              <w:rPr>
                <w:lang w:eastAsia="en-US"/>
              </w:rPr>
            </w:pPr>
            <w:r w:rsidRPr="004D0DAA">
              <w:rPr>
                <w:lang w:eastAsia="en-US"/>
              </w:rPr>
              <w:t>010</w:t>
            </w:r>
          </w:p>
        </w:tc>
        <w:tc>
          <w:tcPr>
            <w:tcW w:w="4239" w:type="dxa"/>
          </w:tcPr>
          <w:p w14:paraId="0AC9D55F" w14:textId="77777777" w:rsidR="00711444" w:rsidRPr="004D0DAA" w:rsidRDefault="00711444" w:rsidP="00AA2A4C">
            <w:pPr>
              <w:pStyle w:val="TAL"/>
              <w:rPr>
                <w:lang w:eastAsia="en-US"/>
              </w:rPr>
            </w:pPr>
            <w:r w:rsidRPr="004D0DAA">
              <w:rPr>
                <w:lang w:eastAsia="en-US"/>
              </w:rPr>
              <w:t xml:space="preserve">DAS-5/P1 </w:t>
            </w:r>
          </w:p>
        </w:tc>
      </w:tr>
      <w:tr w:rsidR="00711444" w:rsidRPr="004D0DAA" w14:paraId="13031D56" w14:textId="77777777" w:rsidTr="00AA2A4C">
        <w:tblPrEx>
          <w:tblCellMar>
            <w:top w:w="0" w:type="dxa"/>
            <w:bottom w:w="0" w:type="dxa"/>
          </w:tblCellMar>
        </w:tblPrEx>
        <w:trPr>
          <w:cantSplit/>
          <w:jc w:val="center"/>
        </w:trPr>
        <w:tc>
          <w:tcPr>
            <w:tcW w:w="1446" w:type="dxa"/>
          </w:tcPr>
          <w:p w14:paraId="5C1D09D4" w14:textId="77777777" w:rsidR="00711444" w:rsidRPr="004D0DAA" w:rsidRDefault="00711444" w:rsidP="00AA2A4C">
            <w:pPr>
              <w:pStyle w:val="TAC"/>
              <w:rPr>
                <w:lang w:eastAsia="en-US"/>
              </w:rPr>
            </w:pPr>
            <w:r w:rsidRPr="004D0DAA">
              <w:rPr>
                <w:lang w:eastAsia="en-US"/>
              </w:rPr>
              <w:t>011</w:t>
            </w:r>
          </w:p>
        </w:tc>
        <w:tc>
          <w:tcPr>
            <w:tcW w:w="4239" w:type="dxa"/>
          </w:tcPr>
          <w:p w14:paraId="610EE20E" w14:textId="77777777" w:rsidR="00711444" w:rsidRPr="004D0DAA" w:rsidRDefault="00711444" w:rsidP="00AA2A4C">
            <w:pPr>
              <w:pStyle w:val="TAL"/>
              <w:rPr>
                <w:lang w:eastAsia="en-US"/>
              </w:rPr>
            </w:pPr>
            <w:r w:rsidRPr="004D0DAA">
              <w:rPr>
                <w:lang w:eastAsia="en-US"/>
              </w:rPr>
              <w:t>DAS-5/P2</w:t>
            </w:r>
          </w:p>
        </w:tc>
      </w:tr>
      <w:tr w:rsidR="00711444" w:rsidRPr="004D0DAA" w14:paraId="2CF540A3" w14:textId="77777777" w:rsidTr="00AA2A4C">
        <w:tblPrEx>
          <w:tblCellMar>
            <w:top w:w="0" w:type="dxa"/>
            <w:bottom w:w="0" w:type="dxa"/>
          </w:tblCellMar>
        </w:tblPrEx>
        <w:trPr>
          <w:cantSplit/>
          <w:jc w:val="center"/>
        </w:trPr>
        <w:tc>
          <w:tcPr>
            <w:tcW w:w="1446" w:type="dxa"/>
          </w:tcPr>
          <w:p w14:paraId="79893572" w14:textId="77777777" w:rsidR="00711444" w:rsidRPr="004D0DAA" w:rsidRDefault="00711444" w:rsidP="00AA2A4C">
            <w:pPr>
              <w:pStyle w:val="TAC"/>
              <w:rPr>
                <w:lang w:eastAsia="en-US"/>
              </w:rPr>
            </w:pPr>
            <w:r w:rsidRPr="004D0DAA">
              <w:rPr>
                <w:lang w:eastAsia="en-US"/>
              </w:rPr>
              <w:t>100</w:t>
            </w:r>
          </w:p>
        </w:tc>
        <w:tc>
          <w:tcPr>
            <w:tcW w:w="4239" w:type="dxa"/>
          </w:tcPr>
          <w:p w14:paraId="1FD44203" w14:textId="77777777" w:rsidR="00711444" w:rsidRPr="004D0DAA" w:rsidRDefault="00711444" w:rsidP="00AA2A4C">
            <w:pPr>
              <w:pStyle w:val="TAL"/>
              <w:rPr>
                <w:lang w:eastAsia="en-US"/>
              </w:rPr>
            </w:pPr>
            <w:r w:rsidRPr="004D0DAA">
              <w:rPr>
                <w:lang w:eastAsia="en-US"/>
              </w:rPr>
              <w:t xml:space="preserve">DAS-6/P1 </w:t>
            </w:r>
          </w:p>
        </w:tc>
      </w:tr>
      <w:tr w:rsidR="00711444" w:rsidRPr="004D0DAA" w14:paraId="5F813D37" w14:textId="77777777" w:rsidTr="00AA2A4C">
        <w:tblPrEx>
          <w:tblCellMar>
            <w:top w:w="0" w:type="dxa"/>
            <w:bottom w:w="0" w:type="dxa"/>
          </w:tblCellMar>
        </w:tblPrEx>
        <w:trPr>
          <w:cantSplit/>
          <w:jc w:val="center"/>
        </w:trPr>
        <w:tc>
          <w:tcPr>
            <w:tcW w:w="1446" w:type="dxa"/>
          </w:tcPr>
          <w:p w14:paraId="57BD74FF" w14:textId="77777777" w:rsidR="00711444" w:rsidRPr="004D0DAA" w:rsidRDefault="00711444" w:rsidP="00AA2A4C">
            <w:pPr>
              <w:pStyle w:val="TAC"/>
              <w:rPr>
                <w:lang w:eastAsia="en-US"/>
              </w:rPr>
            </w:pPr>
            <w:r w:rsidRPr="004D0DAA">
              <w:rPr>
                <w:lang w:eastAsia="en-US"/>
              </w:rPr>
              <w:t>101</w:t>
            </w:r>
          </w:p>
        </w:tc>
        <w:tc>
          <w:tcPr>
            <w:tcW w:w="4239" w:type="dxa"/>
          </w:tcPr>
          <w:p w14:paraId="1A3E34EE" w14:textId="77777777" w:rsidR="00711444" w:rsidRPr="004D0DAA" w:rsidRDefault="00711444" w:rsidP="00AA2A4C">
            <w:pPr>
              <w:pStyle w:val="TAL"/>
              <w:rPr>
                <w:lang w:eastAsia="en-US"/>
              </w:rPr>
            </w:pPr>
            <w:r w:rsidRPr="004D0DAA">
              <w:rPr>
                <w:lang w:eastAsia="en-US"/>
              </w:rPr>
              <w:t>DAS-6/P2</w:t>
            </w:r>
          </w:p>
        </w:tc>
      </w:tr>
      <w:tr w:rsidR="00711444" w:rsidRPr="004D0DAA" w14:paraId="783F48A9" w14:textId="77777777" w:rsidTr="00AA2A4C">
        <w:tblPrEx>
          <w:tblCellMar>
            <w:top w:w="0" w:type="dxa"/>
            <w:bottom w:w="0" w:type="dxa"/>
          </w:tblCellMar>
        </w:tblPrEx>
        <w:trPr>
          <w:cantSplit/>
          <w:jc w:val="center"/>
        </w:trPr>
        <w:tc>
          <w:tcPr>
            <w:tcW w:w="1446" w:type="dxa"/>
          </w:tcPr>
          <w:p w14:paraId="7C164E01" w14:textId="77777777" w:rsidR="00711444" w:rsidRPr="004D0DAA" w:rsidRDefault="00711444" w:rsidP="00AA2A4C">
            <w:pPr>
              <w:pStyle w:val="TAC"/>
              <w:rPr>
                <w:lang w:eastAsia="en-US"/>
              </w:rPr>
            </w:pPr>
            <w:r w:rsidRPr="004D0DAA">
              <w:rPr>
                <w:lang w:eastAsia="en-US"/>
              </w:rPr>
              <w:t>110</w:t>
            </w:r>
          </w:p>
        </w:tc>
        <w:tc>
          <w:tcPr>
            <w:tcW w:w="4239" w:type="dxa"/>
          </w:tcPr>
          <w:p w14:paraId="7EBB7332" w14:textId="77777777" w:rsidR="00711444" w:rsidRPr="004D0DAA" w:rsidRDefault="00711444" w:rsidP="00AA2A4C">
            <w:pPr>
              <w:pStyle w:val="TAL"/>
              <w:rPr>
                <w:lang w:eastAsia="en-US"/>
              </w:rPr>
            </w:pPr>
            <w:r w:rsidRPr="004D0DAA">
              <w:rPr>
                <w:lang w:eastAsia="en-US"/>
              </w:rPr>
              <w:t>DAS-7/P1</w:t>
            </w:r>
          </w:p>
        </w:tc>
      </w:tr>
      <w:tr w:rsidR="00711444" w:rsidRPr="004D0DAA" w14:paraId="317C191F" w14:textId="77777777" w:rsidTr="00AA2A4C">
        <w:tblPrEx>
          <w:tblCellMar>
            <w:top w:w="0" w:type="dxa"/>
            <w:bottom w:w="0" w:type="dxa"/>
          </w:tblCellMar>
        </w:tblPrEx>
        <w:trPr>
          <w:cantSplit/>
          <w:jc w:val="center"/>
        </w:trPr>
        <w:tc>
          <w:tcPr>
            <w:tcW w:w="1446" w:type="dxa"/>
          </w:tcPr>
          <w:p w14:paraId="2ED37335" w14:textId="77777777" w:rsidR="00711444" w:rsidRPr="004D0DAA" w:rsidRDefault="00711444" w:rsidP="00AA2A4C">
            <w:pPr>
              <w:pStyle w:val="TAC"/>
              <w:rPr>
                <w:lang w:eastAsia="en-US"/>
              </w:rPr>
            </w:pPr>
            <w:r w:rsidRPr="004D0DAA">
              <w:rPr>
                <w:lang w:eastAsia="en-US"/>
              </w:rPr>
              <w:t>111</w:t>
            </w:r>
          </w:p>
        </w:tc>
        <w:tc>
          <w:tcPr>
            <w:tcW w:w="4239" w:type="dxa"/>
          </w:tcPr>
          <w:p w14:paraId="00F77CD1" w14:textId="77777777" w:rsidR="00711444" w:rsidRPr="004D0DAA" w:rsidRDefault="00711444" w:rsidP="00AA2A4C">
            <w:pPr>
              <w:pStyle w:val="TAL"/>
              <w:rPr>
                <w:lang w:eastAsia="en-US"/>
              </w:rPr>
            </w:pPr>
            <w:r w:rsidRPr="004D0DAA">
              <w:rPr>
                <w:lang w:eastAsia="en-US"/>
              </w:rPr>
              <w:t>DAS-7/P2</w:t>
            </w:r>
          </w:p>
        </w:tc>
      </w:tr>
      <w:tr w:rsidR="00711444" w:rsidRPr="004D0DAA" w14:paraId="3C848BA6" w14:textId="77777777" w:rsidTr="00AA2A4C">
        <w:tblPrEx>
          <w:tblCellMar>
            <w:top w:w="0" w:type="dxa"/>
            <w:bottom w:w="0" w:type="dxa"/>
          </w:tblCellMar>
        </w:tblPrEx>
        <w:trPr>
          <w:cantSplit/>
          <w:jc w:val="center"/>
        </w:trPr>
        <w:tc>
          <w:tcPr>
            <w:tcW w:w="5685" w:type="dxa"/>
            <w:gridSpan w:val="2"/>
          </w:tcPr>
          <w:p w14:paraId="00DC80C6" w14:textId="77777777" w:rsidR="00711444" w:rsidRPr="004D0DAA" w:rsidRDefault="00711444" w:rsidP="00AA2A4C">
            <w:pPr>
              <w:pStyle w:val="TAN"/>
              <w:rPr>
                <w:lang w:eastAsia="en-US"/>
              </w:rPr>
            </w:pPr>
            <w:r w:rsidRPr="004D0DAA">
              <w:rPr>
                <w:lang w:eastAsia="en-US"/>
              </w:rPr>
              <w:t>NOTE 1:</w:t>
            </w:r>
            <w:r w:rsidRPr="004D0DAA">
              <w:rPr>
                <w:lang w:eastAsia="en-US"/>
              </w:rPr>
              <w:tab/>
              <w:t>The bit numbering is relative to the field position.</w:t>
            </w:r>
          </w:p>
          <w:p w14:paraId="2644E7FD" w14:textId="77777777" w:rsidR="00711444" w:rsidRPr="004D0DAA" w:rsidRDefault="00711444" w:rsidP="00AA2A4C">
            <w:pPr>
              <w:pStyle w:val="TAN"/>
              <w:rPr>
                <w:lang w:eastAsia="en-US"/>
              </w:rPr>
            </w:pPr>
            <w:r w:rsidRPr="004D0DAA">
              <w:rPr>
                <w:lang w:eastAsia="en-US"/>
              </w:rPr>
              <w:t>NOTE 2:</w:t>
            </w:r>
            <w:r w:rsidRPr="004D0DAA">
              <w:rPr>
                <w:lang w:eastAsia="en-US"/>
              </w:rPr>
              <w:tab/>
              <w:t>In EGPRS2-A downlink, MCS-6 shall be used only for retransmissions of blocks originally transmitted using EGPRS.</w:t>
            </w:r>
          </w:p>
        </w:tc>
      </w:tr>
    </w:tbl>
    <w:p w14:paraId="43EE2583" w14:textId="77777777" w:rsidR="00711444" w:rsidRPr="004D0DAA" w:rsidRDefault="00711444" w:rsidP="00711444"/>
    <w:p w14:paraId="2221F400" w14:textId="77777777" w:rsidR="00711444" w:rsidRPr="004D0DAA" w:rsidRDefault="00711444" w:rsidP="00711444">
      <w:r w:rsidRPr="004D0DAA">
        <w:t>In EGPRS2 downlink, if the Downlink EGPRS Level assigned (see Table 11.2.7.1 and Table 12.10f.1) is EGPRS2-B, the Coding and Puncturing Scheme indicator field indicates the kind of channel coding and puncturing used for data block as defined in table 10.4.8a.2.3.</w:t>
      </w:r>
    </w:p>
    <w:p w14:paraId="0B9A5C93" w14:textId="77777777" w:rsidR="00711444" w:rsidRPr="004D0DAA" w:rsidRDefault="00711444" w:rsidP="00711444">
      <w:pPr>
        <w:pStyle w:val="TH"/>
      </w:pPr>
      <w:r w:rsidRPr="004D0DAA">
        <w:t xml:space="preserve">Table 10.4.8a.2.3: Coding and Puncturing Scheme indicator field for </w:t>
      </w:r>
      <w:r w:rsidRPr="004D0DAA">
        <w:br/>
        <w:t>Header type 2 in downlink EGPRS2-B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565B8EC5" w14:textId="77777777" w:rsidTr="00AA2A4C">
        <w:tblPrEx>
          <w:tblCellMar>
            <w:top w:w="0" w:type="dxa"/>
            <w:bottom w:w="0" w:type="dxa"/>
          </w:tblCellMar>
        </w:tblPrEx>
        <w:trPr>
          <w:cantSplit/>
          <w:jc w:val="center"/>
        </w:trPr>
        <w:tc>
          <w:tcPr>
            <w:tcW w:w="1446" w:type="dxa"/>
          </w:tcPr>
          <w:p w14:paraId="3BDE2C33"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239" w:type="dxa"/>
          </w:tcPr>
          <w:p w14:paraId="55526E3A" w14:textId="77777777" w:rsidR="00711444" w:rsidRPr="004D0DAA" w:rsidRDefault="00711444" w:rsidP="00AA2A4C">
            <w:pPr>
              <w:pStyle w:val="TAH"/>
              <w:rPr>
                <w:lang w:eastAsia="en-US"/>
              </w:rPr>
            </w:pPr>
            <w:r w:rsidRPr="004D0DAA">
              <w:rPr>
                <w:lang w:eastAsia="en-US"/>
              </w:rPr>
              <w:t>CPS</w:t>
            </w:r>
          </w:p>
        </w:tc>
      </w:tr>
      <w:tr w:rsidR="00711444" w:rsidRPr="004D0DAA" w14:paraId="10DDBDAA" w14:textId="77777777" w:rsidTr="00AA2A4C">
        <w:tblPrEx>
          <w:tblCellMar>
            <w:top w:w="0" w:type="dxa"/>
            <w:bottom w:w="0" w:type="dxa"/>
          </w:tblCellMar>
        </w:tblPrEx>
        <w:trPr>
          <w:cantSplit/>
          <w:jc w:val="center"/>
        </w:trPr>
        <w:tc>
          <w:tcPr>
            <w:tcW w:w="1446" w:type="dxa"/>
          </w:tcPr>
          <w:p w14:paraId="11810465" w14:textId="77777777" w:rsidR="00711444" w:rsidRPr="004D0DAA" w:rsidRDefault="00711444" w:rsidP="00AA2A4C">
            <w:pPr>
              <w:pStyle w:val="TAC"/>
              <w:rPr>
                <w:lang w:eastAsia="en-US"/>
              </w:rPr>
            </w:pPr>
            <w:r w:rsidRPr="004D0DAA">
              <w:rPr>
                <w:lang w:eastAsia="en-US"/>
              </w:rPr>
              <w:t>000</w:t>
            </w:r>
          </w:p>
        </w:tc>
        <w:tc>
          <w:tcPr>
            <w:tcW w:w="4239" w:type="dxa"/>
          </w:tcPr>
          <w:p w14:paraId="1D924E97" w14:textId="77777777" w:rsidR="00711444" w:rsidRPr="004D0DAA" w:rsidRDefault="00711444" w:rsidP="00AA2A4C">
            <w:pPr>
              <w:pStyle w:val="TAL"/>
              <w:rPr>
                <w:lang w:eastAsia="en-US"/>
              </w:rPr>
            </w:pPr>
            <w:r w:rsidRPr="004D0DAA">
              <w:rPr>
                <w:lang w:eastAsia="en-US"/>
              </w:rPr>
              <w:t>MCS-6/P1</w:t>
            </w:r>
          </w:p>
        </w:tc>
      </w:tr>
      <w:tr w:rsidR="00711444" w:rsidRPr="004D0DAA" w14:paraId="0A8BCB94" w14:textId="77777777" w:rsidTr="00AA2A4C">
        <w:tblPrEx>
          <w:tblCellMar>
            <w:top w:w="0" w:type="dxa"/>
            <w:bottom w:w="0" w:type="dxa"/>
          </w:tblCellMar>
        </w:tblPrEx>
        <w:trPr>
          <w:cantSplit/>
          <w:jc w:val="center"/>
        </w:trPr>
        <w:tc>
          <w:tcPr>
            <w:tcW w:w="1446" w:type="dxa"/>
          </w:tcPr>
          <w:p w14:paraId="25C1EF30" w14:textId="77777777" w:rsidR="00711444" w:rsidRPr="004D0DAA" w:rsidRDefault="00711444" w:rsidP="00AA2A4C">
            <w:pPr>
              <w:pStyle w:val="TAC"/>
              <w:rPr>
                <w:lang w:eastAsia="en-US"/>
              </w:rPr>
            </w:pPr>
            <w:r w:rsidRPr="004D0DAA">
              <w:rPr>
                <w:lang w:eastAsia="en-US"/>
              </w:rPr>
              <w:t>001</w:t>
            </w:r>
          </w:p>
        </w:tc>
        <w:tc>
          <w:tcPr>
            <w:tcW w:w="4239" w:type="dxa"/>
          </w:tcPr>
          <w:p w14:paraId="1C01C268" w14:textId="77777777" w:rsidR="00711444" w:rsidRPr="004D0DAA" w:rsidRDefault="00711444" w:rsidP="00AA2A4C">
            <w:pPr>
              <w:pStyle w:val="TAL"/>
              <w:rPr>
                <w:lang w:eastAsia="en-US"/>
              </w:rPr>
            </w:pPr>
            <w:r w:rsidRPr="004D0DAA">
              <w:rPr>
                <w:lang w:eastAsia="en-US"/>
              </w:rPr>
              <w:t>MCS-6/P2</w:t>
            </w:r>
          </w:p>
        </w:tc>
      </w:tr>
      <w:tr w:rsidR="00711444" w:rsidRPr="004D0DAA" w14:paraId="30F06266" w14:textId="77777777" w:rsidTr="00AA2A4C">
        <w:tblPrEx>
          <w:tblCellMar>
            <w:top w:w="0" w:type="dxa"/>
            <w:bottom w:w="0" w:type="dxa"/>
          </w:tblCellMar>
        </w:tblPrEx>
        <w:trPr>
          <w:cantSplit/>
          <w:jc w:val="center"/>
        </w:trPr>
        <w:tc>
          <w:tcPr>
            <w:tcW w:w="1446" w:type="dxa"/>
          </w:tcPr>
          <w:p w14:paraId="300D9E4B" w14:textId="77777777" w:rsidR="00711444" w:rsidRPr="004D0DAA" w:rsidRDefault="00711444" w:rsidP="00AA2A4C">
            <w:pPr>
              <w:pStyle w:val="TAC"/>
              <w:rPr>
                <w:lang w:eastAsia="en-US"/>
              </w:rPr>
            </w:pPr>
            <w:r w:rsidRPr="004D0DAA">
              <w:rPr>
                <w:lang w:eastAsia="en-US"/>
              </w:rPr>
              <w:t>010</w:t>
            </w:r>
          </w:p>
        </w:tc>
        <w:tc>
          <w:tcPr>
            <w:tcW w:w="4239" w:type="dxa"/>
          </w:tcPr>
          <w:p w14:paraId="157E7F90" w14:textId="77777777" w:rsidR="00711444" w:rsidRPr="004D0DAA" w:rsidRDefault="00711444" w:rsidP="00AA2A4C">
            <w:pPr>
              <w:pStyle w:val="TAL"/>
              <w:rPr>
                <w:lang w:eastAsia="en-US"/>
              </w:rPr>
            </w:pPr>
            <w:r w:rsidRPr="004D0DAA">
              <w:rPr>
                <w:lang w:eastAsia="en-US"/>
              </w:rPr>
              <w:t xml:space="preserve">DAS-5/P1 </w:t>
            </w:r>
          </w:p>
        </w:tc>
      </w:tr>
      <w:tr w:rsidR="00711444" w:rsidRPr="004D0DAA" w14:paraId="29680AD6" w14:textId="77777777" w:rsidTr="00AA2A4C">
        <w:tblPrEx>
          <w:tblCellMar>
            <w:top w:w="0" w:type="dxa"/>
            <w:bottom w:w="0" w:type="dxa"/>
          </w:tblCellMar>
        </w:tblPrEx>
        <w:trPr>
          <w:cantSplit/>
          <w:jc w:val="center"/>
        </w:trPr>
        <w:tc>
          <w:tcPr>
            <w:tcW w:w="1446" w:type="dxa"/>
          </w:tcPr>
          <w:p w14:paraId="10FBA78B" w14:textId="77777777" w:rsidR="00711444" w:rsidRPr="004D0DAA" w:rsidRDefault="00711444" w:rsidP="00AA2A4C">
            <w:pPr>
              <w:pStyle w:val="TAC"/>
              <w:rPr>
                <w:lang w:eastAsia="en-US"/>
              </w:rPr>
            </w:pPr>
            <w:r w:rsidRPr="004D0DAA">
              <w:rPr>
                <w:lang w:eastAsia="en-US"/>
              </w:rPr>
              <w:t>011</w:t>
            </w:r>
          </w:p>
        </w:tc>
        <w:tc>
          <w:tcPr>
            <w:tcW w:w="4239" w:type="dxa"/>
          </w:tcPr>
          <w:p w14:paraId="215733B9" w14:textId="77777777" w:rsidR="00711444" w:rsidRPr="004D0DAA" w:rsidRDefault="00711444" w:rsidP="00AA2A4C">
            <w:pPr>
              <w:pStyle w:val="TAL"/>
              <w:rPr>
                <w:lang w:eastAsia="en-US"/>
              </w:rPr>
            </w:pPr>
            <w:r w:rsidRPr="004D0DAA">
              <w:rPr>
                <w:lang w:eastAsia="en-US"/>
              </w:rPr>
              <w:t>DAS-5/P2</w:t>
            </w:r>
          </w:p>
        </w:tc>
      </w:tr>
      <w:tr w:rsidR="00711444" w:rsidRPr="004D0DAA" w14:paraId="63EF84AC" w14:textId="77777777" w:rsidTr="00AA2A4C">
        <w:tblPrEx>
          <w:tblCellMar>
            <w:top w:w="0" w:type="dxa"/>
            <w:bottom w:w="0" w:type="dxa"/>
          </w:tblCellMar>
        </w:tblPrEx>
        <w:trPr>
          <w:cantSplit/>
          <w:jc w:val="center"/>
        </w:trPr>
        <w:tc>
          <w:tcPr>
            <w:tcW w:w="1446" w:type="dxa"/>
          </w:tcPr>
          <w:p w14:paraId="17748A4A" w14:textId="77777777" w:rsidR="00711444" w:rsidRPr="004D0DAA" w:rsidRDefault="00711444" w:rsidP="00AA2A4C">
            <w:pPr>
              <w:pStyle w:val="TAC"/>
              <w:rPr>
                <w:lang w:eastAsia="en-US"/>
              </w:rPr>
            </w:pPr>
            <w:r w:rsidRPr="004D0DAA">
              <w:rPr>
                <w:lang w:eastAsia="en-US"/>
              </w:rPr>
              <w:t>100</w:t>
            </w:r>
          </w:p>
        </w:tc>
        <w:tc>
          <w:tcPr>
            <w:tcW w:w="4239" w:type="dxa"/>
          </w:tcPr>
          <w:p w14:paraId="6CE9E47D" w14:textId="77777777" w:rsidR="00711444" w:rsidRPr="004D0DAA" w:rsidRDefault="00711444" w:rsidP="00AA2A4C">
            <w:pPr>
              <w:pStyle w:val="TAL"/>
              <w:rPr>
                <w:lang w:eastAsia="en-US"/>
              </w:rPr>
            </w:pPr>
            <w:r w:rsidRPr="004D0DAA">
              <w:rPr>
                <w:lang w:eastAsia="en-US"/>
              </w:rPr>
              <w:t xml:space="preserve">DAS-6/P1 </w:t>
            </w:r>
          </w:p>
        </w:tc>
      </w:tr>
      <w:tr w:rsidR="00711444" w:rsidRPr="004D0DAA" w14:paraId="39355DF4" w14:textId="77777777" w:rsidTr="00AA2A4C">
        <w:tblPrEx>
          <w:tblCellMar>
            <w:top w:w="0" w:type="dxa"/>
            <w:bottom w:w="0" w:type="dxa"/>
          </w:tblCellMar>
        </w:tblPrEx>
        <w:trPr>
          <w:cantSplit/>
          <w:jc w:val="center"/>
        </w:trPr>
        <w:tc>
          <w:tcPr>
            <w:tcW w:w="1446" w:type="dxa"/>
          </w:tcPr>
          <w:p w14:paraId="76C19EA9" w14:textId="77777777" w:rsidR="00711444" w:rsidRPr="004D0DAA" w:rsidRDefault="00711444" w:rsidP="00AA2A4C">
            <w:pPr>
              <w:pStyle w:val="TAC"/>
              <w:rPr>
                <w:lang w:eastAsia="en-US"/>
              </w:rPr>
            </w:pPr>
            <w:r w:rsidRPr="004D0DAA">
              <w:rPr>
                <w:lang w:eastAsia="en-US"/>
              </w:rPr>
              <w:t>101</w:t>
            </w:r>
          </w:p>
        </w:tc>
        <w:tc>
          <w:tcPr>
            <w:tcW w:w="4239" w:type="dxa"/>
          </w:tcPr>
          <w:p w14:paraId="7CF0B3F9" w14:textId="77777777" w:rsidR="00711444" w:rsidRPr="004D0DAA" w:rsidRDefault="00711444" w:rsidP="00AA2A4C">
            <w:pPr>
              <w:pStyle w:val="TAL"/>
              <w:rPr>
                <w:lang w:eastAsia="en-US"/>
              </w:rPr>
            </w:pPr>
            <w:r w:rsidRPr="004D0DAA">
              <w:rPr>
                <w:lang w:eastAsia="en-US"/>
              </w:rPr>
              <w:t>DAS-6/P2</w:t>
            </w:r>
          </w:p>
        </w:tc>
      </w:tr>
      <w:tr w:rsidR="00711444" w:rsidRPr="004D0DAA" w14:paraId="504FB4D3" w14:textId="77777777" w:rsidTr="00AA2A4C">
        <w:tblPrEx>
          <w:tblCellMar>
            <w:top w:w="0" w:type="dxa"/>
            <w:bottom w:w="0" w:type="dxa"/>
          </w:tblCellMar>
        </w:tblPrEx>
        <w:trPr>
          <w:cantSplit/>
          <w:jc w:val="center"/>
        </w:trPr>
        <w:tc>
          <w:tcPr>
            <w:tcW w:w="1446" w:type="dxa"/>
          </w:tcPr>
          <w:p w14:paraId="4F623547" w14:textId="77777777" w:rsidR="00711444" w:rsidRPr="004D0DAA" w:rsidRDefault="00711444" w:rsidP="00AA2A4C">
            <w:pPr>
              <w:pStyle w:val="TAC"/>
              <w:rPr>
                <w:lang w:eastAsia="en-US"/>
              </w:rPr>
            </w:pPr>
          </w:p>
        </w:tc>
        <w:tc>
          <w:tcPr>
            <w:tcW w:w="4239" w:type="dxa"/>
          </w:tcPr>
          <w:p w14:paraId="05A2C441"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462B03F9" w14:textId="77777777" w:rsidTr="00AA2A4C">
        <w:tblPrEx>
          <w:tblCellMar>
            <w:top w:w="0" w:type="dxa"/>
            <w:bottom w:w="0" w:type="dxa"/>
          </w:tblCellMar>
        </w:tblPrEx>
        <w:trPr>
          <w:cantSplit/>
          <w:jc w:val="center"/>
        </w:trPr>
        <w:tc>
          <w:tcPr>
            <w:tcW w:w="5685" w:type="dxa"/>
            <w:gridSpan w:val="2"/>
          </w:tcPr>
          <w:p w14:paraId="1CD8D9DF"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7B4437A1" w14:textId="77777777" w:rsidR="00711444" w:rsidRPr="004D0DAA" w:rsidRDefault="00711444" w:rsidP="00711444"/>
    <w:p w14:paraId="031702F8" w14:textId="77777777" w:rsidR="00711444" w:rsidRPr="004D0DAA" w:rsidRDefault="00711444" w:rsidP="00711444">
      <w:pPr>
        <w:pStyle w:val="Heading4"/>
      </w:pPr>
      <w:bookmarkStart w:id="563" w:name="_Toc516669743"/>
      <w:r w:rsidRPr="004D0DAA">
        <w:lastRenderedPageBreak/>
        <w:t>10.4.8a.3</w:t>
      </w:r>
      <w:r w:rsidRPr="004D0DAA">
        <w:tab/>
        <w:t>Header type 3</w:t>
      </w:r>
      <w:bookmarkEnd w:id="563"/>
    </w:p>
    <w:p w14:paraId="24D991BA" w14:textId="77777777" w:rsidR="00711444" w:rsidRPr="004D0DAA" w:rsidRDefault="00711444" w:rsidP="00711444">
      <w:pPr>
        <w:pStyle w:val="TH"/>
      </w:pPr>
      <w:r w:rsidRPr="004D0DAA">
        <w:t>Table 10.4.8a.3.1: Coding and Puncturing Scheme indicator field for Header type 3 (non EC TBF)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786"/>
        <w:gridCol w:w="4920"/>
      </w:tblGrid>
      <w:tr w:rsidR="00711444" w:rsidRPr="004D0DAA" w14:paraId="545F49EF"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49B857CD" w14:textId="77777777" w:rsidR="00711444" w:rsidRPr="004D0DAA" w:rsidRDefault="00711444" w:rsidP="00AA2A4C">
            <w:pPr>
              <w:pStyle w:val="TAH"/>
              <w:rPr>
                <w:lang w:eastAsia="en-US"/>
              </w:rPr>
            </w:pPr>
            <w:r w:rsidRPr="004D0DAA">
              <w:rPr>
                <w:lang w:eastAsia="en-US"/>
              </w:rPr>
              <w:t>bits</w:t>
            </w:r>
            <w:r w:rsidRPr="004D0DAA">
              <w:rPr>
                <w:lang w:eastAsia="en-US"/>
              </w:rPr>
              <w:br/>
              <w:t>4321</w:t>
            </w:r>
          </w:p>
        </w:tc>
        <w:tc>
          <w:tcPr>
            <w:tcW w:w="4920" w:type="dxa"/>
            <w:tcBorders>
              <w:top w:val="single" w:sz="4" w:space="0" w:color="auto"/>
              <w:left w:val="single" w:sz="4" w:space="0" w:color="auto"/>
              <w:bottom w:val="single" w:sz="4" w:space="0" w:color="auto"/>
              <w:right w:val="single" w:sz="4" w:space="0" w:color="auto"/>
            </w:tcBorders>
          </w:tcPr>
          <w:p w14:paraId="400D2C0A" w14:textId="77777777" w:rsidR="00711444" w:rsidRPr="004D0DAA" w:rsidRDefault="00711444" w:rsidP="00AA2A4C">
            <w:pPr>
              <w:pStyle w:val="TAH"/>
              <w:rPr>
                <w:lang w:eastAsia="en-US"/>
              </w:rPr>
            </w:pPr>
            <w:r w:rsidRPr="004D0DAA">
              <w:rPr>
                <w:lang w:eastAsia="en-US"/>
              </w:rPr>
              <w:t>First block</w:t>
            </w:r>
            <w:r w:rsidRPr="004D0DAA">
              <w:rPr>
                <w:lang w:eastAsia="en-US"/>
              </w:rPr>
              <w:br/>
              <w:t>CPS</w:t>
            </w:r>
          </w:p>
        </w:tc>
      </w:tr>
      <w:tr w:rsidR="00711444" w:rsidRPr="004D0DAA" w14:paraId="19A32FBD"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66A4288B" w14:textId="77777777" w:rsidR="00711444" w:rsidRPr="004D0DAA" w:rsidRDefault="00711444" w:rsidP="00AA2A4C">
            <w:pPr>
              <w:pStyle w:val="TAC"/>
              <w:rPr>
                <w:lang w:eastAsia="en-US"/>
              </w:rPr>
            </w:pPr>
            <w:r w:rsidRPr="004D0DAA">
              <w:rPr>
                <w:lang w:eastAsia="en-US"/>
              </w:rPr>
              <w:t>0000</w:t>
            </w:r>
          </w:p>
        </w:tc>
        <w:tc>
          <w:tcPr>
            <w:tcW w:w="4920" w:type="dxa"/>
            <w:tcBorders>
              <w:top w:val="single" w:sz="4" w:space="0" w:color="auto"/>
              <w:left w:val="single" w:sz="4" w:space="0" w:color="auto"/>
              <w:bottom w:val="single" w:sz="4" w:space="0" w:color="auto"/>
              <w:right w:val="single" w:sz="4" w:space="0" w:color="auto"/>
            </w:tcBorders>
          </w:tcPr>
          <w:p w14:paraId="42B44AB7" w14:textId="77777777" w:rsidR="00711444" w:rsidRPr="004D0DAA" w:rsidRDefault="00711444" w:rsidP="00AA2A4C">
            <w:pPr>
              <w:pStyle w:val="TAL"/>
              <w:rPr>
                <w:lang w:eastAsia="en-US"/>
              </w:rPr>
            </w:pPr>
            <w:r w:rsidRPr="004D0DAA">
              <w:rPr>
                <w:lang w:eastAsia="en-US"/>
              </w:rPr>
              <w:t xml:space="preserve">MCS-4/P1 </w:t>
            </w:r>
          </w:p>
        </w:tc>
      </w:tr>
      <w:tr w:rsidR="00711444" w:rsidRPr="004D0DAA" w14:paraId="27F61947"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246B36A9" w14:textId="77777777" w:rsidR="00711444" w:rsidRPr="004D0DAA" w:rsidRDefault="00711444" w:rsidP="00AA2A4C">
            <w:pPr>
              <w:pStyle w:val="TAC"/>
              <w:rPr>
                <w:lang w:eastAsia="en-US"/>
              </w:rPr>
            </w:pPr>
            <w:r w:rsidRPr="004D0DAA">
              <w:rPr>
                <w:lang w:eastAsia="en-US"/>
              </w:rPr>
              <w:t>0001</w:t>
            </w:r>
          </w:p>
        </w:tc>
        <w:tc>
          <w:tcPr>
            <w:tcW w:w="4920" w:type="dxa"/>
            <w:tcBorders>
              <w:top w:val="single" w:sz="4" w:space="0" w:color="auto"/>
              <w:left w:val="single" w:sz="4" w:space="0" w:color="auto"/>
              <w:bottom w:val="single" w:sz="4" w:space="0" w:color="auto"/>
              <w:right w:val="single" w:sz="4" w:space="0" w:color="auto"/>
            </w:tcBorders>
          </w:tcPr>
          <w:p w14:paraId="401CB26F" w14:textId="77777777" w:rsidR="00711444" w:rsidRPr="004D0DAA" w:rsidRDefault="00711444" w:rsidP="00AA2A4C">
            <w:pPr>
              <w:pStyle w:val="TAL"/>
              <w:rPr>
                <w:lang w:eastAsia="en-US"/>
              </w:rPr>
            </w:pPr>
            <w:r w:rsidRPr="004D0DAA">
              <w:rPr>
                <w:lang w:eastAsia="en-US"/>
              </w:rPr>
              <w:t xml:space="preserve">MCS-4/P2 </w:t>
            </w:r>
          </w:p>
        </w:tc>
      </w:tr>
      <w:tr w:rsidR="00711444" w:rsidRPr="004D0DAA" w14:paraId="2124E78C"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2734812D" w14:textId="77777777" w:rsidR="00711444" w:rsidRPr="004D0DAA" w:rsidRDefault="00711444" w:rsidP="00AA2A4C">
            <w:pPr>
              <w:pStyle w:val="TAC"/>
              <w:rPr>
                <w:lang w:eastAsia="en-US"/>
              </w:rPr>
            </w:pPr>
            <w:r w:rsidRPr="004D0DAA">
              <w:rPr>
                <w:lang w:eastAsia="en-US"/>
              </w:rPr>
              <w:t>0010</w:t>
            </w:r>
          </w:p>
        </w:tc>
        <w:tc>
          <w:tcPr>
            <w:tcW w:w="4920" w:type="dxa"/>
            <w:tcBorders>
              <w:top w:val="single" w:sz="4" w:space="0" w:color="auto"/>
              <w:left w:val="single" w:sz="4" w:space="0" w:color="auto"/>
              <w:bottom w:val="single" w:sz="4" w:space="0" w:color="auto"/>
              <w:right w:val="single" w:sz="4" w:space="0" w:color="auto"/>
            </w:tcBorders>
          </w:tcPr>
          <w:p w14:paraId="244C60A9" w14:textId="77777777" w:rsidR="00711444" w:rsidRPr="004D0DAA" w:rsidRDefault="00711444" w:rsidP="00AA2A4C">
            <w:pPr>
              <w:pStyle w:val="TAL"/>
              <w:rPr>
                <w:lang w:eastAsia="en-US"/>
              </w:rPr>
            </w:pPr>
            <w:r w:rsidRPr="004D0DAA">
              <w:rPr>
                <w:lang w:eastAsia="en-US"/>
              </w:rPr>
              <w:t xml:space="preserve">MCS-4/P3 </w:t>
            </w:r>
          </w:p>
        </w:tc>
      </w:tr>
      <w:tr w:rsidR="00711444" w:rsidRPr="004D0DAA" w14:paraId="2BBFC7C8"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1FD3A986" w14:textId="77777777" w:rsidR="00711444" w:rsidRPr="004D0DAA" w:rsidRDefault="00711444" w:rsidP="00AA2A4C">
            <w:pPr>
              <w:pStyle w:val="TAC"/>
              <w:rPr>
                <w:lang w:eastAsia="en-US"/>
              </w:rPr>
            </w:pPr>
            <w:r w:rsidRPr="004D0DAA">
              <w:rPr>
                <w:lang w:eastAsia="en-US"/>
              </w:rPr>
              <w:t>0011</w:t>
            </w:r>
          </w:p>
        </w:tc>
        <w:tc>
          <w:tcPr>
            <w:tcW w:w="4920" w:type="dxa"/>
            <w:tcBorders>
              <w:top w:val="single" w:sz="4" w:space="0" w:color="auto"/>
              <w:left w:val="single" w:sz="4" w:space="0" w:color="auto"/>
              <w:bottom w:val="single" w:sz="4" w:space="0" w:color="auto"/>
              <w:right w:val="single" w:sz="4" w:space="0" w:color="auto"/>
            </w:tcBorders>
          </w:tcPr>
          <w:p w14:paraId="161B2DFC" w14:textId="77777777" w:rsidR="00711444" w:rsidRPr="004D0DAA" w:rsidRDefault="00711444" w:rsidP="00AA2A4C">
            <w:pPr>
              <w:pStyle w:val="TAL"/>
              <w:rPr>
                <w:lang w:eastAsia="en-US"/>
              </w:rPr>
            </w:pPr>
            <w:r w:rsidRPr="004D0DAA">
              <w:rPr>
                <w:lang w:eastAsia="en-US"/>
              </w:rPr>
              <w:t xml:space="preserve">MCS-3/P1 </w:t>
            </w:r>
          </w:p>
        </w:tc>
      </w:tr>
      <w:tr w:rsidR="00711444" w:rsidRPr="004D0DAA" w14:paraId="5D98857D"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77601613" w14:textId="77777777" w:rsidR="00711444" w:rsidRPr="004D0DAA" w:rsidRDefault="00711444" w:rsidP="00AA2A4C">
            <w:pPr>
              <w:pStyle w:val="TAC"/>
              <w:rPr>
                <w:lang w:eastAsia="en-US"/>
              </w:rPr>
            </w:pPr>
            <w:r w:rsidRPr="004D0DAA">
              <w:rPr>
                <w:lang w:eastAsia="en-US"/>
              </w:rPr>
              <w:t>0100</w:t>
            </w:r>
          </w:p>
        </w:tc>
        <w:tc>
          <w:tcPr>
            <w:tcW w:w="4920" w:type="dxa"/>
            <w:tcBorders>
              <w:top w:val="single" w:sz="4" w:space="0" w:color="auto"/>
              <w:left w:val="single" w:sz="4" w:space="0" w:color="auto"/>
              <w:bottom w:val="single" w:sz="4" w:space="0" w:color="auto"/>
              <w:right w:val="single" w:sz="4" w:space="0" w:color="auto"/>
            </w:tcBorders>
          </w:tcPr>
          <w:p w14:paraId="3C3BCF9D" w14:textId="77777777" w:rsidR="00711444" w:rsidRPr="004D0DAA" w:rsidRDefault="00711444" w:rsidP="00AA2A4C">
            <w:pPr>
              <w:pStyle w:val="TAL"/>
              <w:rPr>
                <w:lang w:eastAsia="en-US"/>
              </w:rPr>
            </w:pPr>
            <w:r w:rsidRPr="004D0DAA">
              <w:rPr>
                <w:lang w:eastAsia="en-US"/>
              </w:rPr>
              <w:t xml:space="preserve">MCS-3/P2 </w:t>
            </w:r>
          </w:p>
        </w:tc>
      </w:tr>
      <w:tr w:rsidR="00711444" w:rsidRPr="004D0DAA" w14:paraId="4612F80B"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3F45E2E1" w14:textId="77777777" w:rsidR="00711444" w:rsidRPr="004D0DAA" w:rsidRDefault="00711444" w:rsidP="00AA2A4C">
            <w:pPr>
              <w:pStyle w:val="TAC"/>
              <w:rPr>
                <w:lang w:eastAsia="en-US"/>
              </w:rPr>
            </w:pPr>
            <w:r w:rsidRPr="004D0DAA">
              <w:rPr>
                <w:lang w:eastAsia="en-US"/>
              </w:rPr>
              <w:t>0101</w:t>
            </w:r>
          </w:p>
        </w:tc>
        <w:tc>
          <w:tcPr>
            <w:tcW w:w="4920" w:type="dxa"/>
            <w:tcBorders>
              <w:top w:val="single" w:sz="4" w:space="0" w:color="auto"/>
              <w:left w:val="single" w:sz="4" w:space="0" w:color="auto"/>
              <w:bottom w:val="single" w:sz="4" w:space="0" w:color="auto"/>
              <w:right w:val="single" w:sz="4" w:space="0" w:color="auto"/>
            </w:tcBorders>
          </w:tcPr>
          <w:p w14:paraId="771D9CBD" w14:textId="77777777" w:rsidR="00711444" w:rsidRPr="004D0DAA" w:rsidRDefault="00711444" w:rsidP="00AA2A4C">
            <w:pPr>
              <w:pStyle w:val="TAL"/>
              <w:rPr>
                <w:lang w:eastAsia="en-US"/>
              </w:rPr>
            </w:pPr>
            <w:r w:rsidRPr="004D0DAA">
              <w:rPr>
                <w:lang w:eastAsia="en-US"/>
              </w:rPr>
              <w:t xml:space="preserve">MCS-3/P3 </w:t>
            </w:r>
          </w:p>
        </w:tc>
      </w:tr>
      <w:tr w:rsidR="00711444" w:rsidRPr="004D0DAA" w14:paraId="4BAF5B77"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60C2A1B9" w14:textId="77777777" w:rsidR="00711444" w:rsidRPr="004D0DAA" w:rsidRDefault="00711444" w:rsidP="00AA2A4C">
            <w:pPr>
              <w:pStyle w:val="TAC"/>
              <w:rPr>
                <w:lang w:eastAsia="en-US"/>
              </w:rPr>
            </w:pPr>
            <w:r w:rsidRPr="004D0DAA">
              <w:rPr>
                <w:lang w:eastAsia="en-US"/>
              </w:rPr>
              <w:t>0110</w:t>
            </w:r>
          </w:p>
        </w:tc>
        <w:tc>
          <w:tcPr>
            <w:tcW w:w="4920" w:type="dxa"/>
            <w:tcBorders>
              <w:top w:val="single" w:sz="4" w:space="0" w:color="auto"/>
              <w:left w:val="single" w:sz="4" w:space="0" w:color="auto"/>
              <w:bottom w:val="single" w:sz="4" w:space="0" w:color="auto"/>
              <w:right w:val="single" w:sz="4" w:space="0" w:color="auto"/>
            </w:tcBorders>
          </w:tcPr>
          <w:p w14:paraId="25C32D58" w14:textId="77777777" w:rsidR="00711444" w:rsidRPr="004D0DAA" w:rsidRDefault="00711444" w:rsidP="00AA2A4C">
            <w:pPr>
              <w:pStyle w:val="TAL"/>
              <w:rPr>
                <w:lang w:eastAsia="en-US"/>
              </w:rPr>
            </w:pPr>
            <w:r w:rsidRPr="004D0DAA">
              <w:rPr>
                <w:lang w:eastAsia="en-US"/>
              </w:rPr>
              <w:t>MCS-3/P1 with padding</w:t>
            </w:r>
          </w:p>
        </w:tc>
      </w:tr>
      <w:tr w:rsidR="00711444" w:rsidRPr="004D0DAA" w14:paraId="37322DC6"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2154BD8C" w14:textId="77777777" w:rsidR="00711444" w:rsidRPr="004D0DAA" w:rsidRDefault="00711444" w:rsidP="00AA2A4C">
            <w:pPr>
              <w:pStyle w:val="TAC"/>
              <w:rPr>
                <w:lang w:eastAsia="en-US"/>
              </w:rPr>
            </w:pPr>
            <w:r w:rsidRPr="004D0DAA">
              <w:rPr>
                <w:lang w:eastAsia="en-US"/>
              </w:rPr>
              <w:t>0111</w:t>
            </w:r>
          </w:p>
        </w:tc>
        <w:tc>
          <w:tcPr>
            <w:tcW w:w="4920" w:type="dxa"/>
            <w:tcBorders>
              <w:top w:val="single" w:sz="4" w:space="0" w:color="auto"/>
              <w:left w:val="single" w:sz="4" w:space="0" w:color="auto"/>
              <w:bottom w:val="single" w:sz="4" w:space="0" w:color="auto"/>
              <w:right w:val="single" w:sz="4" w:space="0" w:color="auto"/>
            </w:tcBorders>
          </w:tcPr>
          <w:p w14:paraId="4AF86B1E" w14:textId="77777777" w:rsidR="00711444" w:rsidRPr="004D0DAA" w:rsidRDefault="00711444" w:rsidP="00AA2A4C">
            <w:pPr>
              <w:pStyle w:val="TAL"/>
              <w:rPr>
                <w:lang w:eastAsia="en-US"/>
              </w:rPr>
            </w:pPr>
            <w:r w:rsidRPr="004D0DAA">
              <w:rPr>
                <w:lang w:eastAsia="en-US"/>
              </w:rPr>
              <w:t>MCS-3/P2 with padding</w:t>
            </w:r>
          </w:p>
        </w:tc>
      </w:tr>
      <w:tr w:rsidR="00711444" w:rsidRPr="004D0DAA" w14:paraId="3BD54F53"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1B12D089" w14:textId="77777777" w:rsidR="00711444" w:rsidRPr="004D0DAA" w:rsidRDefault="00711444" w:rsidP="00AA2A4C">
            <w:pPr>
              <w:pStyle w:val="TAC"/>
              <w:rPr>
                <w:lang w:eastAsia="en-US"/>
              </w:rPr>
            </w:pPr>
            <w:r w:rsidRPr="004D0DAA">
              <w:rPr>
                <w:lang w:eastAsia="en-US"/>
              </w:rPr>
              <w:t>1000</w:t>
            </w:r>
          </w:p>
        </w:tc>
        <w:tc>
          <w:tcPr>
            <w:tcW w:w="4920" w:type="dxa"/>
            <w:tcBorders>
              <w:top w:val="single" w:sz="4" w:space="0" w:color="auto"/>
              <w:left w:val="single" w:sz="4" w:space="0" w:color="auto"/>
              <w:bottom w:val="single" w:sz="4" w:space="0" w:color="auto"/>
              <w:right w:val="single" w:sz="4" w:space="0" w:color="auto"/>
            </w:tcBorders>
          </w:tcPr>
          <w:p w14:paraId="3BD6D5D0" w14:textId="77777777" w:rsidR="00711444" w:rsidRPr="004D0DAA" w:rsidRDefault="00711444" w:rsidP="00AA2A4C">
            <w:pPr>
              <w:pStyle w:val="TAL"/>
              <w:rPr>
                <w:lang w:eastAsia="en-US"/>
              </w:rPr>
            </w:pPr>
            <w:r w:rsidRPr="004D0DAA">
              <w:rPr>
                <w:lang w:eastAsia="en-US"/>
              </w:rPr>
              <w:t>MCS-3/P3 with padding</w:t>
            </w:r>
          </w:p>
        </w:tc>
      </w:tr>
      <w:tr w:rsidR="00711444" w:rsidRPr="004D0DAA" w14:paraId="7C6D3528"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0150F6ED" w14:textId="77777777" w:rsidR="00711444" w:rsidRPr="004D0DAA" w:rsidRDefault="00711444" w:rsidP="00AA2A4C">
            <w:pPr>
              <w:pStyle w:val="TAC"/>
              <w:rPr>
                <w:lang w:eastAsia="en-US"/>
              </w:rPr>
            </w:pPr>
            <w:r w:rsidRPr="004D0DAA">
              <w:rPr>
                <w:lang w:eastAsia="en-US"/>
              </w:rPr>
              <w:t>1001</w:t>
            </w:r>
          </w:p>
        </w:tc>
        <w:tc>
          <w:tcPr>
            <w:tcW w:w="4920" w:type="dxa"/>
            <w:tcBorders>
              <w:top w:val="single" w:sz="4" w:space="0" w:color="auto"/>
              <w:left w:val="single" w:sz="4" w:space="0" w:color="auto"/>
              <w:bottom w:val="single" w:sz="4" w:space="0" w:color="auto"/>
              <w:right w:val="single" w:sz="4" w:space="0" w:color="auto"/>
            </w:tcBorders>
          </w:tcPr>
          <w:p w14:paraId="1A1D986C" w14:textId="77777777" w:rsidR="00711444" w:rsidRPr="004D0DAA" w:rsidRDefault="00711444" w:rsidP="00AA2A4C">
            <w:pPr>
              <w:pStyle w:val="TAL"/>
              <w:rPr>
                <w:lang w:eastAsia="en-US"/>
              </w:rPr>
            </w:pPr>
            <w:r w:rsidRPr="004D0DAA">
              <w:rPr>
                <w:lang w:eastAsia="en-US"/>
              </w:rPr>
              <w:t xml:space="preserve">MCS-2/P1 </w:t>
            </w:r>
          </w:p>
        </w:tc>
      </w:tr>
      <w:tr w:rsidR="00711444" w:rsidRPr="004D0DAA" w14:paraId="38A656C1"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049D47A4" w14:textId="77777777" w:rsidR="00711444" w:rsidRPr="004D0DAA" w:rsidRDefault="00711444" w:rsidP="00AA2A4C">
            <w:pPr>
              <w:pStyle w:val="TAC"/>
              <w:rPr>
                <w:lang w:eastAsia="en-US"/>
              </w:rPr>
            </w:pPr>
            <w:r w:rsidRPr="004D0DAA">
              <w:rPr>
                <w:lang w:eastAsia="en-US"/>
              </w:rPr>
              <w:t>1010</w:t>
            </w:r>
          </w:p>
        </w:tc>
        <w:tc>
          <w:tcPr>
            <w:tcW w:w="4920" w:type="dxa"/>
            <w:tcBorders>
              <w:top w:val="single" w:sz="4" w:space="0" w:color="auto"/>
              <w:left w:val="single" w:sz="4" w:space="0" w:color="auto"/>
              <w:bottom w:val="single" w:sz="4" w:space="0" w:color="auto"/>
              <w:right w:val="single" w:sz="4" w:space="0" w:color="auto"/>
            </w:tcBorders>
          </w:tcPr>
          <w:p w14:paraId="20D22371" w14:textId="77777777" w:rsidR="00711444" w:rsidRPr="004D0DAA" w:rsidRDefault="00711444" w:rsidP="00AA2A4C">
            <w:pPr>
              <w:pStyle w:val="TAL"/>
              <w:rPr>
                <w:lang w:eastAsia="en-US"/>
              </w:rPr>
            </w:pPr>
            <w:r w:rsidRPr="004D0DAA">
              <w:rPr>
                <w:lang w:eastAsia="en-US"/>
              </w:rPr>
              <w:t xml:space="preserve">MCS-2/P2 </w:t>
            </w:r>
          </w:p>
        </w:tc>
      </w:tr>
      <w:tr w:rsidR="00711444" w:rsidRPr="004D0DAA" w14:paraId="0B9BDBBD"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605B0680" w14:textId="77777777" w:rsidR="00711444" w:rsidRPr="004D0DAA" w:rsidRDefault="00711444" w:rsidP="00AA2A4C">
            <w:pPr>
              <w:pStyle w:val="TAC"/>
              <w:rPr>
                <w:lang w:eastAsia="en-US"/>
              </w:rPr>
            </w:pPr>
            <w:r w:rsidRPr="004D0DAA">
              <w:rPr>
                <w:lang w:eastAsia="en-US"/>
              </w:rPr>
              <w:t>1011</w:t>
            </w:r>
          </w:p>
        </w:tc>
        <w:tc>
          <w:tcPr>
            <w:tcW w:w="4920" w:type="dxa"/>
            <w:tcBorders>
              <w:top w:val="single" w:sz="4" w:space="0" w:color="auto"/>
              <w:left w:val="single" w:sz="4" w:space="0" w:color="auto"/>
              <w:bottom w:val="single" w:sz="4" w:space="0" w:color="auto"/>
              <w:right w:val="single" w:sz="4" w:space="0" w:color="auto"/>
            </w:tcBorders>
          </w:tcPr>
          <w:p w14:paraId="1F1534EB" w14:textId="77777777" w:rsidR="00711444" w:rsidRPr="004D0DAA" w:rsidRDefault="00711444" w:rsidP="00AA2A4C">
            <w:pPr>
              <w:pStyle w:val="TAL"/>
              <w:rPr>
                <w:lang w:eastAsia="en-US"/>
              </w:rPr>
            </w:pPr>
            <w:r w:rsidRPr="004D0DAA">
              <w:rPr>
                <w:lang w:eastAsia="en-US"/>
              </w:rPr>
              <w:t xml:space="preserve">MCS-1/P1 </w:t>
            </w:r>
          </w:p>
        </w:tc>
      </w:tr>
      <w:tr w:rsidR="00711444" w:rsidRPr="004D0DAA" w14:paraId="29F2B0CA"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75499642" w14:textId="77777777" w:rsidR="00711444" w:rsidRPr="004D0DAA" w:rsidRDefault="00711444" w:rsidP="00AA2A4C">
            <w:pPr>
              <w:pStyle w:val="TAC"/>
              <w:rPr>
                <w:lang w:eastAsia="en-US"/>
              </w:rPr>
            </w:pPr>
            <w:r w:rsidRPr="004D0DAA">
              <w:rPr>
                <w:lang w:eastAsia="en-US"/>
              </w:rPr>
              <w:t>1100</w:t>
            </w:r>
          </w:p>
        </w:tc>
        <w:tc>
          <w:tcPr>
            <w:tcW w:w="4920" w:type="dxa"/>
            <w:tcBorders>
              <w:top w:val="single" w:sz="4" w:space="0" w:color="auto"/>
              <w:left w:val="single" w:sz="4" w:space="0" w:color="auto"/>
              <w:bottom w:val="single" w:sz="4" w:space="0" w:color="auto"/>
              <w:right w:val="single" w:sz="4" w:space="0" w:color="auto"/>
            </w:tcBorders>
          </w:tcPr>
          <w:p w14:paraId="23164F73" w14:textId="77777777" w:rsidR="00711444" w:rsidRPr="004D0DAA" w:rsidRDefault="00711444" w:rsidP="00AA2A4C">
            <w:pPr>
              <w:pStyle w:val="TAL"/>
              <w:rPr>
                <w:lang w:eastAsia="en-US"/>
              </w:rPr>
            </w:pPr>
            <w:r w:rsidRPr="004D0DAA">
              <w:rPr>
                <w:lang w:eastAsia="en-US"/>
              </w:rPr>
              <w:t xml:space="preserve">MCS-1/P2 </w:t>
            </w:r>
          </w:p>
        </w:tc>
      </w:tr>
      <w:tr w:rsidR="00711444" w:rsidRPr="004D0DAA" w14:paraId="7E14F634"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5E751032" w14:textId="77777777" w:rsidR="00711444" w:rsidRPr="004D0DAA" w:rsidRDefault="00711444" w:rsidP="00AA2A4C">
            <w:pPr>
              <w:pStyle w:val="TAC"/>
              <w:rPr>
                <w:lang w:eastAsia="en-US"/>
              </w:rPr>
            </w:pPr>
            <w:r w:rsidRPr="004D0DAA">
              <w:rPr>
                <w:lang w:eastAsia="en-US"/>
              </w:rPr>
              <w:t>1101</w:t>
            </w:r>
          </w:p>
        </w:tc>
        <w:tc>
          <w:tcPr>
            <w:tcW w:w="4920" w:type="dxa"/>
            <w:tcBorders>
              <w:top w:val="single" w:sz="4" w:space="0" w:color="auto"/>
              <w:left w:val="single" w:sz="4" w:space="0" w:color="auto"/>
              <w:bottom w:val="single" w:sz="4" w:space="0" w:color="auto"/>
              <w:right w:val="single" w:sz="4" w:space="0" w:color="auto"/>
            </w:tcBorders>
          </w:tcPr>
          <w:p w14:paraId="4BFB2DB2" w14:textId="77777777" w:rsidR="00711444" w:rsidRPr="004D0DAA" w:rsidRDefault="00711444" w:rsidP="00AA2A4C">
            <w:pPr>
              <w:pStyle w:val="TAL"/>
              <w:rPr>
                <w:lang w:eastAsia="en-US"/>
              </w:rPr>
            </w:pPr>
            <w:r w:rsidRPr="004D0DAA">
              <w:rPr>
                <w:lang w:eastAsia="en-US"/>
              </w:rPr>
              <w:t xml:space="preserve">MCS-2/P1 with padding (see NOTE 2) </w:t>
            </w:r>
          </w:p>
        </w:tc>
      </w:tr>
      <w:tr w:rsidR="00711444" w:rsidRPr="004D0DAA" w14:paraId="45DB2E6E"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0536225A" w14:textId="77777777" w:rsidR="00711444" w:rsidRPr="004D0DAA" w:rsidRDefault="00711444" w:rsidP="00AA2A4C">
            <w:pPr>
              <w:pStyle w:val="TAC"/>
              <w:rPr>
                <w:lang w:eastAsia="en-US"/>
              </w:rPr>
            </w:pPr>
            <w:r w:rsidRPr="004D0DAA">
              <w:rPr>
                <w:lang w:eastAsia="en-US"/>
              </w:rPr>
              <w:t>1110</w:t>
            </w:r>
          </w:p>
        </w:tc>
        <w:tc>
          <w:tcPr>
            <w:tcW w:w="4920" w:type="dxa"/>
            <w:tcBorders>
              <w:top w:val="single" w:sz="4" w:space="0" w:color="auto"/>
              <w:left w:val="single" w:sz="4" w:space="0" w:color="auto"/>
              <w:bottom w:val="single" w:sz="4" w:space="0" w:color="auto"/>
              <w:right w:val="single" w:sz="4" w:space="0" w:color="auto"/>
            </w:tcBorders>
          </w:tcPr>
          <w:p w14:paraId="08D09B1C" w14:textId="77777777" w:rsidR="00711444" w:rsidRPr="004D0DAA" w:rsidRDefault="00711444" w:rsidP="00AA2A4C">
            <w:pPr>
              <w:pStyle w:val="TAL"/>
              <w:rPr>
                <w:lang w:eastAsia="en-US"/>
              </w:rPr>
            </w:pPr>
            <w:r w:rsidRPr="004D0DAA">
              <w:rPr>
                <w:lang w:eastAsia="en-US"/>
              </w:rPr>
              <w:t xml:space="preserve">MCS-2/P2 with padding (see NOTE 2) </w:t>
            </w:r>
          </w:p>
        </w:tc>
      </w:tr>
      <w:tr w:rsidR="00711444" w:rsidRPr="004D0DAA" w14:paraId="0FAAF204" w14:textId="77777777" w:rsidTr="00AA2A4C">
        <w:tblPrEx>
          <w:tblCellMar>
            <w:top w:w="0" w:type="dxa"/>
            <w:bottom w:w="0" w:type="dxa"/>
          </w:tblCellMar>
        </w:tblPrEx>
        <w:trPr>
          <w:cantSplit/>
          <w:jc w:val="center"/>
        </w:trPr>
        <w:tc>
          <w:tcPr>
            <w:tcW w:w="1786" w:type="dxa"/>
            <w:tcBorders>
              <w:top w:val="single" w:sz="4" w:space="0" w:color="auto"/>
              <w:left w:val="single" w:sz="4" w:space="0" w:color="auto"/>
              <w:bottom w:val="single" w:sz="4" w:space="0" w:color="auto"/>
              <w:right w:val="single" w:sz="4" w:space="0" w:color="auto"/>
            </w:tcBorders>
          </w:tcPr>
          <w:p w14:paraId="049100B7" w14:textId="77777777" w:rsidR="00711444" w:rsidRPr="004D0DAA" w:rsidRDefault="00711444" w:rsidP="00AA2A4C">
            <w:pPr>
              <w:pStyle w:val="TAC"/>
              <w:rPr>
                <w:lang w:eastAsia="en-US"/>
              </w:rPr>
            </w:pPr>
            <w:r w:rsidRPr="004D0DAA">
              <w:rPr>
                <w:lang w:eastAsia="en-US"/>
              </w:rPr>
              <w:t>1111</w:t>
            </w:r>
          </w:p>
        </w:tc>
        <w:tc>
          <w:tcPr>
            <w:tcW w:w="4920" w:type="dxa"/>
            <w:tcBorders>
              <w:top w:val="single" w:sz="4" w:space="0" w:color="auto"/>
              <w:left w:val="single" w:sz="4" w:space="0" w:color="auto"/>
              <w:bottom w:val="single" w:sz="4" w:space="0" w:color="auto"/>
              <w:right w:val="single" w:sz="4" w:space="0" w:color="auto"/>
            </w:tcBorders>
          </w:tcPr>
          <w:p w14:paraId="49D51C49" w14:textId="77777777" w:rsidR="00711444" w:rsidRPr="004D0DAA" w:rsidRDefault="00711444" w:rsidP="00AA2A4C">
            <w:pPr>
              <w:pStyle w:val="TAL"/>
              <w:rPr>
                <w:lang w:eastAsia="en-US"/>
              </w:rPr>
            </w:pPr>
            <w:r w:rsidRPr="004D0DAA">
              <w:rPr>
                <w:lang w:eastAsia="en-US"/>
              </w:rPr>
              <w:t>MCS-0 (see NOTE 3)</w:t>
            </w:r>
          </w:p>
        </w:tc>
      </w:tr>
      <w:tr w:rsidR="00711444" w:rsidRPr="004D0DAA" w14:paraId="4D15A88E" w14:textId="77777777" w:rsidTr="00AA2A4C">
        <w:tblPrEx>
          <w:tblCellMar>
            <w:top w:w="0" w:type="dxa"/>
            <w:bottom w:w="0" w:type="dxa"/>
          </w:tblCellMar>
        </w:tblPrEx>
        <w:trPr>
          <w:cantSplit/>
          <w:jc w:val="center"/>
        </w:trPr>
        <w:tc>
          <w:tcPr>
            <w:tcW w:w="6706" w:type="dxa"/>
            <w:gridSpan w:val="2"/>
            <w:tcBorders>
              <w:top w:val="single" w:sz="4" w:space="0" w:color="auto"/>
              <w:left w:val="single" w:sz="4" w:space="0" w:color="auto"/>
              <w:bottom w:val="single" w:sz="4" w:space="0" w:color="auto"/>
              <w:right w:val="single" w:sz="4" w:space="0" w:color="auto"/>
            </w:tcBorders>
          </w:tcPr>
          <w:p w14:paraId="2C134099" w14:textId="77777777" w:rsidR="00711444" w:rsidRPr="004D0DAA" w:rsidRDefault="00711444" w:rsidP="00AA2A4C">
            <w:pPr>
              <w:pStyle w:val="TAN"/>
              <w:rPr>
                <w:lang w:eastAsia="en-US"/>
              </w:rPr>
            </w:pPr>
            <w:r w:rsidRPr="004D0DAA">
              <w:rPr>
                <w:lang w:eastAsia="en-US"/>
              </w:rPr>
              <w:t>NOTE 1:</w:t>
            </w:r>
            <w:r w:rsidRPr="004D0DAA">
              <w:rPr>
                <w:lang w:eastAsia="en-US"/>
              </w:rPr>
              <w:tab/>
              <w:t>The bit numbering is relative to the field position.</w:t>
            </w:r>
          </w:p>
          <w:p w14:paraId="79A1E972" w14:textId="77777777" w:rsidR="00711444" w:rsidRPr="004D0DAA" w:rsidRDefault="00711444" w:rsidP="00AA2A4C">
            <w:pPr>
              <w:pStyle w:val="TAN"/>
              <w:rPr>
                <w:lang w:eastAsia="en-US"/>
              </w:rPr>
            </w:pPr>
            <w:r w:rsidRPr="004D0DAA">
              <w:rPr>
                <w:lang w:eastAsia="en-US"/>
              </w:rPr>
              <w:t>NOTE 2:</w:t>
            </w:r>
            <w:r w:rsidRPr="004D0DAA">
              <w:rPr>
                <w:lang w:eastAsia="en-US"/>
              </w:rPr>
              <w:tab/>
              <w:t>MCS-2 with padding shall only be used for a downlink EGPRS2-A TBF or, in case of a downlink EGPRS TBF, for retransmissions of blocks originally transmitted using EGPRS2</w:t>
            </w:r>
            <w:r w:rsidRPr="004D0DAA">
              <w:rPr>
                <w:lang w:eastAsia="en-US"/>
              </w:rPr>
              <w:noBreakHyphen/>
              <w:t>A.</w:t>
            </w:r>
          </w:p>
          <w:p w14:paraId="5385BFA3" w14:textId="77777777" w:rsidR="00711444" w:rsidRPr="004D0DAA" w:rsidRDefault="00711444" w:rsidP="00AA2A4C">
            <w:pPr>
              <w:pStyle w:val="TAN"/>
              <w:rPr>
                <w:lang w:eastAsia="en-US"/>
              </w:rPr>
            </w:pPr>
            <w:r w:rsidRPr="004D0DAA">
              <w:rPr>
                <w:lang w:eastAsia="en-US"/>
              </w:rPr>
              <w:t>NOTE 3:   MCS-0 shall only be used for a downlink TBF.</w:t>
            </w:r>
          </w:p>
        </w:tc>
      </w:tr>
    </w:tbl>
    <w:p w14:paraId="52F02F58" w14:textId="77777777" w:rsidR="00711444" w:rsidRPr="004D0DAA" w:rsidRDefault="00711444" w:rsidP="00711444"/>
    <w:p w14:paraId="6355220D" w14:textId="77777777" w:rsidR="00711444" w:rsidRPr="004D0DAA" w:rsidRDefault="00711444" w:rsidP="00711444">
      <w:r w:rsidRPr="004D0DAA">
        <w:t xml:space="preserve">The number of padding octets for uplink is indicated by the SPB field (see sub clause 10.4.8b). </w:t>
      </w:r>
    </w:p>
    <w:p w14:paraId="540839D1" w14:textId="77777777" w:rsidR="00711444" w:rsidRPr="004D0DAA" w:rsidRDefault="00711444" w:rsidP="00711444">
      <w:r w:rsidRPr="004D0DAA">
        <w:t>In EC-GSM-IoT, the CPS field for MCS-1-4 in Header type 3 indicates the kind of channel coding and puncturing used for data block as defined in Table 10.4.8a.3.2.</w:t>
      </w:r>
    </w:p>
    <w:p w14:paraId="5A9EF2BF" w14:textId="77777777" w:rsidR="00711444" w:rsidRPr="004D0DAA" w:rsidRDefault="00711444" w:rsidP="00711444">
      <w:pPr>
        <w:pStyle w:val="TH"/>
      </w:pPr>
      <w:r w:rsidRPr="004D0DAA">
        <w:t>Table 10.4.8a.3.2: CPS field for Header type 3 in EC TBF.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557"/>
        <w:gridCol w:w="2048"/>
      </w:tblGrid>
      <w:tr w:rsidR="00711444" w:rsidRPr="004D0DAA" w14:paraId="43F7F018"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1ED371D7" w14:textId="77777777" w:rsidR="00711444" w:rsidRPr="004D0DAA" w:rsidRDefault="00711444" w:rsidP="00AA2A4C">
            <w:pPr>
              <w:pStyle w:val="TAH"/>
              <w:jc w:val="left"/>
              <w:rPr>
                <w:lang w:eastAsia="en-US"/>
              </w:rPr>
            </w:pPr>
            <w:r w:rsidRPr="004D0DAA">
              <w:rPr>
                <w:lang w:eastAsia="en-US"/>
              </w:rPr>
              <w:t>bits</w:t>
            </w:r>
            <w:r w:rsidRPr="004D0DAA">
              <w:rPr>
                <w:lang w:eastAsia="en-US"/>
              </w:rPr>
              <w:br/>
              <w:t>3 2 1</w:t>
            </w:r>
          </w:p>
        </w:tc>
        <w:tc>
          <w:tcPr>
            <w:tcW w:w="2048" w:type="dxa"/>
            <w:tcBorders>
              <w:top w:val="single" w:sz="4" w:space="0" w:color="auto"/>
              <w:left w:val="single" w:sz="4" w:space="0" w:color="auto"/>
              <w:bottom w:val="single" w:sz="4" w:space="0" w:color="auto"/>
              <w:right w:val="single" w:sz="4" w:space="0" w:color="auto"/>
            </w:tcBorders>
            <w:hideMark/>
          </w:tcPr>
          <w:p w14:paraId="30C30086" w14:textId="77777777" w:rsidR="00711444" w:rsidRPr="004D0DAA" w:rsidRDefault="00711444" w:rsidP="00AA2A4C">
            <w:pPr>
              <w:pStyle w:val="TAH"/>
              <w:rPr>
                <w:lang w:eastAsia="en-US"/>
              </w:rPr>
            </w:pPr>
            <w:r w:rsidRPr="004D0DAA">
              <w:rPr>
                <w:lang w:eastAsia="en-US"/>
              </w:rPr>
              <w:t>CPS</w:t>
            </w:r>
          </w:p>
        </w:tc>
      </w:tr>
      <w:tr w:rsidR="00711444" w:rsidRPr="004D0DAA" w14:paraId="753E6074"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19C29346" w14:textId="77777777" w:rsidR="00711444" w:rsidRPr="004D0DAA" w:rsidRDefault="00711444" w:rsidP="00AA2A4C">
            <w:pPr>
              <w:pStyle w:val="TAL"/>
              <w:rPr>
                <w:lang w:eastAsia="en-US"/>
              </w:rPr>
            </w:pPr>
            <w:r w:rsidRPr="004D0DAA">
              <w:rPr>
                <w:lang w:eastAsia="en-US"/>
              </w:rPr>
              <w:t>0 0 0</w:t>
            </w:r>
          </w:p>
        </w:tc>
        <w:tc>
          <w:tcPr>
            <w:tcW w:w="2048" w:type="dxa"/>
            <w:tcBorders>
              <w:top w:val="single" w:sz="4" w:space="0" w:color="auto"/>
              <w:left w:val="single" w:sz="4" w:space="0" w:color="auto"/>
              <w:bottom w:val="single" w:sz="4" w:space="0" w:color="auto"/>
              <w:right w:val="single" w:sz="4" w:space="0" w:color="auto"/>
            </w:tcBorders>
            <w:hideMark/>
          </w:tcPr>
          <w:p w14:paraId="5898B401" w14:textId="77777777" w:rsidR="00711444" w:rsidRPr="004D0DAA" w:rsidRDefault="00711444" w:rsidP="00AA2A4C">
            <w:pPr>
              <w:pStyle w:val="TAL"/>
              <w:rPr>
                <w:lang w:eastAsia="en-US"/>
              </w:rPr>
            </w:pPr>
            <w:r w:rsidRPr="004D0DAA">
              <w:rPr>
                <w:lang w:eastAsia="en-US"/>
              </w:rPr>
              <w:t xml:space="preserve">MCS-4/P1 </w:t>
            </w:r>
          </w:p>
        </w:tc>
      </w:tr>
      <w:tr w:rsidR="00711444" w:rsidRPr="004D0DAA" w14:paraId="40A2268D"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75073707" w14:textId="77777777" w:rsidR="00711444" w:rsidRPr="004D0DAA" w:rsidRDefault="00711444" w:rsidP="00AA2A4C">
            <w:pPr>
              <w:pStyle w:val="TAL"/>
              <w:rPr>
                <w:lang w:eastAsia="en-US"/>
              </w:rPr>
            </w:pPr>
            <w:r w:rsidRPr="004D0DAA">
              <w:rPr>
                <w:lang w:eastAsia="en-US"/>
              </w:rPr>
              <w:t>0 0 1</w:t>
            </w:r>
          </w:p>
        </w:tc>
        <w:tc>
          <w:tcPr>
            <w:tcW w:w="2048" w:type="dxa"/>
            <w:tcBorders>
              <w:top w:val="single" w:sz="4" w:space="0" w:color="auto"/>
              <w:left w:val="single" w:sz="4" w:space="0" w:color="auto"/>
              <w:bottom w:val="single" w:sz="4" w:space="0" w:color="auto"/>
              <w:right w:val="single" w:sz="4" w:space="0" w:color="auto"/>
            </w:tcBorders>
            <w:hideMark/>
          </w:tcPr>
          <w:p w14:paraId="30D6EF2C" w14:textId="77777777" w:rsidR="00711444" w:rsidRPr="004D0DAA" w:rsidRDefault="00711444" w:rsidP="00AA2A4C">
            <w:pPr>
              <w:pStyle w:val="TAL"/>
              <w:rPr>
                <w:lang w:eastAsia="en-US"/>
              </w:rPr>
            </w:pPr>
            <w:r w:rsidRPr="004D0DAA">
              <w:rPr>
                <w:lang w:eastAsia="en-US"/>
              </w:rPr>
              <w:t xml:space="preserve">MCS-4/P2 </w:t>
            </w:r>
          </w:p>
        </w:tc>
      </w:tr>
      <w:tr w:rsidR="00711444" w:rsidRPr="004D0DAA" w14:paraId="4897D9CE"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27ADD893" w14:textId="77777777" w:rsidR="00711444" w:rsidRPr="004D0DAA" w:rsidRDefault="00711444" w:rsidP="00AA2A4C">
            <w:pPr>
              <w:pStyle w:val="TAL"/>
              <w:rPr>
                <w:lang w:eastAsia="en-US"/>
              </w:rPr>
            </w:pPr>
            <w:r w:rsidRPr="004D0DAA">
              <w:rPr>
                <w:lang w:eastAsia="en-US"/>
              </w:rPr>
              <w:t>0 1 0</w:t>
            </w:r>
          </w:p>
        </w:tc>
        <w:tc>
          <w:tcPr>
            <w:tcW w:w="2048" w:type="dxa"/>
            <w:tcBorders>
              <w:top w:val="single" w:sz="4" w:space="0" w:color="auto"/>
              <w:left w:val="single" w:sz="4" w:space="0" w:color="auto"/>
              <w:bottom w:val="single" w:sz="4" w:space="0" w:color="auto"/>
              <w:right w:val="single" w:sz="4" w:space="0" w:color="auto"/>
            </w:tcBorders>
            <w:hideMark/>
          </w:tcPr>
          <w:p w14:paraId="535A41B7" w14:textId="77777777" w:rsidR="00711444" w:rsidRPr="004D0DAA" w:rsidRDefault="00711444" w:rsidP="00AA2A4C">
            <w:pPr>
              <w:pStyle w:val="TAL"/>
              <w:rPr>
                <w:lang w:eastAsia="en-US"/>
              </w:rPr>
            </w:pPr>
            <w:r w:rsidRPr="004D0DAA">
              <w:rPr>
                <w:lang w:eastAsia="en-US"/>
              </w:rPr>
              <w:t xml:space="preserve">MCS-3/P1 </w:t>
            </w:r>
          </w:p>
        </w:tc>
      </w:tr>
      <w:tr w:rsidR="00711444" w:rsidRPr="004D0DAA" w14:paraId="7C76F272"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048B82E4" w14:textId="77777777" w:rsidR="00711444" w:rsidRPr="004D0DAA" w:rsidRDefault="00711444" w:rsidP="00AA2A4C">
            <w:pPr>
              <w:pStyle w:val="TAL"/>
              <w:rPr>
                <w:lang w:eastAsia="en-US"/>
              </w:rPr>
            </w:pPr>
            <w:r w:rsidRPr="004D0DAA">
              <w:rPr>
                <w:lang w:eastAsia="en-US"/>
              </w:rPr>
              <w:t>0 1 1</w:t>
            </w:r>
          </w:p>
        </w:tc>
        <w:tc>
          <w:tcPr>
            <w:tcW w:w="2048" w:type="dxa"/>
            <w:tcBorders>
              <w:top w:val="single" w:sz="4" w:space="0" w:color="auto"/>
              <w:left w:val="single" w:sz="4" w:space="0" w:color="auto"/>
              <w:bottom w:val="single" w:sz="4" w:space="0" w:color="auto"/>
              <w:right w:val="single" w:sz="4" w:space="0" w:color="auto"/>
            </w:tcBorders>
            <w:hideMark/>
          </w:tcPr>
          <w:p w14:paraId="77290A24" w14:textId="77777777" w:rsidR="00711444" w:rsidRPr="004D0DAA" w:rsidRDefault="00711444" w:rsidP="00AA2A4C">
            <w:pPr>
              <w:pStyle w:val="TAL"/>
              <w:rPr>
                <w:lang w:eastAsia="en-US"/>
              </w:rPr>
            </w:pPr>
            <w:r w:rsidRPr="004D0DAA">
              <w:rPr>
                <w:lang w:eastAsia="en-US"/>
              </w:rPr>
              <w:t xml:space="preserve">MCS-3/P2 </w:t>
            </w:r>
          </w:p>
        </w:tc>
      </w:tr>
      <w:tr w:rsidR="00711444" w:rsidRPr="004D0DAA" w14:paraId="7BF2D178"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7A400ADA" w14:textId="77777777" w:rsidR="00711444" w:rsidRPr="004D0DAA" w:rsidRDefault="00711444" w:rsidP="00AA2A4C">
            <w:pPr>
              <w:pStyle w:val="TAL"/>
              <w:rPr>
                <w:lang w:eastAsia="en-US"/>
              </w:rPr>
            </w:pPr>
            <w:r w:rsidRPr="004D0DAA">
              <w:rPr>
                <w:lang w:eastAsia="en-US"/>
              </w:rPr>
              <w:t>1 0 0</w:t>
            </w:r>
          </w:p>
        </w:tc>
        <w:tc>
          <w:tcPr>
            <w:tcW w:w="2048" w:type="dxa"/>
            <w:tcBorders>
              <w:top w:val="single" w:sz="4" w:space="0" w:color="auto"/>
              <w:left w:val="single" w:sz="4" w:space="0" w:color="auto"/>
              <w:bottom w:val="single" w:sz="4" w:space="0" w:color="auto"/>
              <w:right w:val="single" w:sz="4" w:space="0" w:color="auto"/>
            </w:tcBorders>
            <w:hideMark/>
          </w:tcPr>
          <w:p w14:paraId="05ED4EC0" w14:textId="77777777" w:rsidR="00711444" w:rsidRPr="004D0DAA" w:rsidRDefault="00711444" w:rsidP="00AA2A4C">
            <w:pPr>
              <w:pStyle w:val="TAL"/>
              <w:rPr>
                <w:lang w:eastAsia="en-US"/>
              </w:rPr>
            </w:pPr>
            <w:r w:rsidRPr="004D0DAA">
              <w:rPr>
                <w:lang w:eastAsia="en-US"/>
              </w:rPr>
              <w:t>MCS-3/P1 with padding</w:t>
            </w:r>
          </w:p>
        </w:tc>
      </w:tr>
      <w:tr w:rsidR="00711444" w:rsidRPr="004D0DAA" w14:paraId="5B8FFDD1"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2D5AF1DD" w14:textId="77777777" w:rsidR="00711444" w:rsidRPr="004D0DAA" w:rsidRDefault="00711444" w:rsidP="00AA2A4C">
            <w:pPr>
              <w:pStyle w:val="TAL"/>
              <w:rPr>
                <w:lang w:eastAsia="en-US"/>
              </w:rPr>
            </w:pPr>
            <w:r w:rsidRPr="004D0DAA">
              <w:rPr>
                <w:lang w:eastAsia="en-US"/>
              </w:rPr>
              <w:t>1 0 1</w:t>
            </w:r>
          </w:p>
        </w:tc>
        <w:tc>
          <w:tcPr>
            <w:tcW w:w="2048" w:type="dxa"/>
            <w:tcBorders>
              <w:top w:val="single" w:sz="4" w:space="0" w:color="auto"/>
              <w:left w:val="single" w:sz="4" w:space="0" w:color="auto"/>
              <w:bottom w:val="single" w:sz="4" w:space="0" w:color="auto"/>
              <w:right w:val="single" w:sz="4" w:space="0" w:color="auto"/>
            </w:tcBorders>
            <w:hideMark/>
          </w:tcPr>
          <w:p w14:paraId="14FD7C23" w14:textId="77777777" w:rsidR="00711444" w:rsidRPr="004D0DAA" w:rsidRDefault="00711444" w:rsidP="00AA2A4C">
            <w:pPr>
              <w:pStyle w:val="TAL"/>
              <w:rPr>
                <w:lang w:eastAsia="en-US"/>
              </w:rPr>
            </w:pPr>
            <w:r w:rsidRPr="004D0DAA">
              <w:rPr>
                <w:lang w:eastAsia="en-US"/>
              </w:rPr>
              <w:t>MCS-3/P2 with padding</w:t>
            </w:r>
          </w:p>
        </w:tc>
      </w:tr>
      <w:tr w:rsidR="00711444" w:rsidRPr="004D0DAA" w14:paraId="5C78E98B"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3E09101F" w14:textId="77777777" w:rsidR="00711444" w:rsidRPr="004D0DAA" w:rsidRDefault="00711444" w:rsidP="00AA2A4C">
            <w:pPr>
              <w:pStyle w:val="TAL"/>
              <w:rPr>
                <w:lang w:eastAsia="en-US"/>
              </w:rPr>
            </w:pPr>
            <w:r w:rsidRPr="004D0DAA">
              <w:rPr>
                <w:lang w:eastAsia="en-US"/>
              </w:rPr>
              <w:t>1 1 0</w:t>
            </w:r>
          </w:p>
        </w:tc>
        <w:tc>
          <w:tcPr>
            <w:tcW w:w="2048" w:type="dxa"/>
            <w:tcBorders>
              <w:top w:val="single" w:sz="4" w:space="0" w:color="auto"/>
              <w:left w:val="single" w:sz="4" w:space="0" w:color="auto"/>
              <w:bottom w:val="single" w:sz="4" w:space="0" w:color="auto"/>
              <w:right w:val="single" w:sz="4" w:space="0" w:color="auto"/>
            </w:tcBorders>
            <w:hideMark/>
          </w:tcPr>
          <w:p w14:paraId="7CBC3CE4" w14:textId="77777777" w:rsidR="00711444" w:rsidRPr="004D0DAA" w:rsidRDefault="00711444" w:rsidP="00AA2A4C">
            <w:pPr>
              <w:pStyle w:val="TAL"/>
              <w:rPr>
                <w:lang w:eastAsia="en-US"/>
              </w:rPr>
            </w:pPr>
            <w:r w:rsidRPr="004D0DAA">
              <w:rPr>
                <w:lang w:eastAsia="en-US"/>
              </w:rPr>
              <w:t xml:space="preserve">MCS-2/P1 </w:t>
            </w:r>
          </w:p>
        </w:tc>
      </w:tr>
      <w:tr w:rsidR="00711444" w:rsidRPr="004D0DAA" w14:paraId="3DBE5426" w14:textId="77777777" w:rsidTr="00AA2A4C">
        <w:trPr>
          <w:cantSplit/>
          <w:jc w:val="center"/>
        </w:trPr>
        <w:tc>
          <w:tcPr>
            <w:tcW w:w="557" w:type="dxa"/>
            <w:tcBorders>
              <w:top w:val="single" w:sz="4" w:space="0" w:color="auto"/>
              <w:left w:val="single" w:sz="4" w:space="0" w:color="auto"/>
              <w:bottom w:val="single" w:sz="4" w:space="0" w:color="auto"/>
              <w:right w:val="single" w:sz="4" w:space="0" w:color="auto"/>
            </w:tcBorders>
            <w:hideMark/>
          </w:tcPr>
          <w:p w14:paraId="25A456EF" w14:textId="77777777" w:rsidR="00711444" w:rsidRPr="004D0DAA" w:rsidRDefault="00711444" w:rsidP="00AA2A4C">
            <w:pPr>
              <w:pStyle w:val="TAL"/>
              <w:rPr>
                <w:lang w:eastAsia="en-US"/>
              </w:rPr>
            </w:pPr>
            <w:r w:rsidRPr="004D0DAA">
              <w:rPr>
                <w:lang w:eastAsia="en-US"/>
              </w:rPr>
              <w:t>1 1 1</w:t>
            </w:r>
          </w:p>
        </w:tc>
        <w:tc>
          <w:tcPr>
            <w:tcW w:w="2048" w:type="dxa"/>
            <w:tcBorders>
              <w:top w:val="single" w:sz="4" w:space="0" w:color="auto"/>
              <w:left w:val="single" w:sz="4" w:space="0" w:color="auto"/>
              <w:bottom w:val="single" w:sz="4" w:space="0" w:color="auto"/>
              <w:right w:val="single" w:sz="4" w:space="0" w:color="auto"/>
            </w:tcBorders>
            <w:hideMark/>
          </w:tcPr>
          <w:p w14:paraId="2CA7D5B5" w14:textId="77777777" w:rsidR="00711444" w:rsidRPr="004D0DAA" w:rsidRDefault="00711444" w:rsidP="00AA2A4C">
            <w:pPr>
              <w:pStyle w:val="TAL"/>
              <w:rPr>
                <w:lang w:eastAsia="en-US"/>
              </w:rPr>
            </w:pPr>
            <w:r w:rsidRPr="004D0DAA">
              <w:rPr>
                <w:lang w:eastAsia="en-US"/>
              </w:rPr>
              <w:t xml:space="preserve">MCS-1/P1 </w:t>
            </w:r>
          </w:p>
        </w:tc>
      </w:tr>
    </w:tbl>
    <w:p w14:paraId="49AF1603" w14:textId="77777777" w:rsidR="00711444" w:rsidRPr="004D0DAA" w:rsidRDefault="00711444" w:rsidP="00711444"/>
    <w:p w14:paraId="5CEC539E" w14:textId="77777777" w:rsidR="00711444" w:rsidRPr="004D0DAA" w:rsidRDefault="00711444" w:rsidP="00711444"/>
    <w:p w14:paraId="7150CF21" w14:textId="77777777" w:rsidR="00711444" w:rsidRPr="004D0DAA" w:rsidRDefault="00711444" w:rsidP="00711444">
      <w:r w:rsidRPr="004D0DAA">
        <w:t>A mobile station with an EC TBF of uplink coverage class CC2, CC3 or CC4  and capable of supporting CC5 on the uplink shall indicate the capability(CC5) to BSS using the CPS bit code in header type 3. The BSS shall interpret the CPS field of header type 3  as Higher Coverage Class Coding Scheme(HCS) field, if the uplink coverage class of EC TBF is CC2, CC3 or CC4, as defined in Table 10.4.8a.3.2a.</w:t>
      </w:r>
    </w:p>
    <w:p w14:paraId="4427130F" w14:textId="77777777" w:rsidR="00711444" w:rsidRPr="004D0DAA" w:rsidRDefault="00711444" w:rsidP="00711444">
      <w:pPr>
        <w:pStyle w:val="TH"/>
      </w:pPr>
      <w:r w:rsidRPr="004D0DAA">
        <w:t xml:space="preserve">Table 10.4.8a.3.2a: HCS field for Header type 3 in EC TBF for higher UL coverage classes than CC1.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809"/>
        <w:gridCol w:w="2977"/>
      </w:tblGrid>
      <w:tr w:rsidR="00711444" w:rsidRPr="004D0DAA" w14:paraId="0384D662" w14:textId="77777777" w:rsidTr="00AA2A4C">
        <w:trPr>
          <w:cantSplit/>
          <w:trHeight w:val="433"/>
          <w:jc w:val="center"/>
        </w:trPr>
        <w:tc>
          <w:tcPr>
            <w:tcW w:w="809" w:type="dxa"/>
            <w:tcBorders>
              <w:top w:val="single" w:sz="4" w:space="0" w:color="auto"/>
              <w:left w:val="single" w:sz="4" w:space="0" w:color="auto"/>
              <w:bottom w:val="single" w:sz="4" w:space="0" w:color="auto"/>
              <w:right w:val="single" w:sz="4" w:space="0" w:color="auto"/>
            </w:tcBorders>
            <w:hideMark/>
          </w:tcPr>
          <w:p w14:paraId="2A12F9D9" w14:textId="77777777" w:rsidR="00711444" w:rsidRPr="004D0DAA" w:rsidRDefault="00711444" w:rsidP="00AA2A4C">
            <w:pPr>
              <w:pStyle w:val="TAH"/>
              <w:spacing w:line="256" w:lineRule="auto"/>
              <w:jc w:val="left"/>
              <w:rPr>
                <w:lang w:eastAsia="en-US"/>
              </w:rPr>
            </w:pPr>
            <w:r w:rsidRPr="004D0DAA">
              <w:rPr>
                <w:lang w:eastAsia="en-US"/>
              </w:rPr>
              <w:t>bits</w:t>
            </w:r>
            <w:r w:rsidRPr="004D0DAA">
              <w:rPr>
                <w:lang w:eastAsia="en-US"/>
              </w:rPr>
              <w:br/>
              <w:t>3 2 1</w:t>
            </w:r>
          </w:p>
        </w:tc>
        <w:tc>
          <w:tcPr>
            <w:tcW w:w="2977" w:type="dxa"/>
            <w:tcBorders>
              <w:top w:val="single" w:sz="4" w:space="0" w:color="auto"/>
              <w:left w:val="single" w:sz="4" w:space="0" w:color="auto"/>
              <w:bottom w:val="single" w:sz="4" w:space="0" w:color="auto"/>
              <w:right w:val="single" w:sz="4" w:space="0" w:color="auto"/>
            </w:tcBorders>
            <w:hideMark/>
          </w:tcPr>
          <w:p w14:paraId="3507B3AD" w14:textId="77777777" w:rsidR="00711444" w:rsidRPr="004D0DAA" w:rsidRDefault="00711444" w:rsidP="00AA2A4C">
            <w:pPr>
              <w:pStyle w:val="TAH"/>
              <w:spacing w:line="256" w:lineRule="auto"/>
              <w:rPr>
                <w:lang w:eastAsia="en-US"/>
              </w:rPr>
            </w:pPr>
            <w:r w:rsidRPr="004D0DAA">
              <w:rPr>
                <w:lang w:eastAsia="en-US"/>
              </w:rPr>
              <w:t>HCS</w:t>
            </w:r>
          </w:p>
        </w:tc>
      </w:tr>
      <w:tr w:rsidR="00711444" w:rsidRPr="004D0DAA" w14:paraId="6F1B178E" w14:textId="77777777" w:rsidTr="00AA2A4C">
        <w:trPr>
          <w:cantSplit/>
          <w:trHeight w:val="224"/>
          <w:jc w:val="center"/>
        </w:trPr>
        <w:tc>
          <w:tcPr>
            <w:tcW w:w="809" w:type="dxa"/>
            <w:tcBorders>
              <w:top w:val="single" w:sz="4" w:space="0" w:color="auto"/>
              <w:left w:val="single" w:sz="4" w:space="0" w:color="auto"/>
              <w:bottom w:val="single" w:sz="4" w:space="0" w:color="auto"/>
              <w:right w:val="single" w:sz="4" w:space="0" w:color="auto"/>
            </w:tcBorders>
            <w:hideMark/>
          </w:tcPr>
          <w:p w14:paraId="1A211B9C" w14:textId="77777777" w:rsidR="00711444" w:rsidRPr="004D0DAA" w:rsidRDefault="00711444" w:rsidP="00AA2A4C">
            <w:pPr>
              <w:pStyle w:val="TAL"/>
              <w:spacing w:line="256" w:lineRule="auto"/>
              <w:rPr>
                <w:lang w:eastAsia="en-US"/>
              </w:rPr>
            </w:pPr>
            <w:r w:rsidRPr="004D0DAA">
              <w:rPr>
                <w:lang w:eastAsia="en-US"/>
              </w:rPr>
              <w:t xml:space="preserve">0  0  0 </w:t>
            </w:r>
          </w:p>
        </w:tc>
        <w:tc>
          <w:tcPr>
            <w:tcW w:w="2977" w:type="dxa"/>
            <w:tcBorders>
              <w:top w:val="single" w:sz="4" w:space="0" w:color="auto"/>
              <w:left w:val="single" w:sz="4" w:space="0" w:color="auto"/>
              <w:bottom w:val="single" w:sz="4" w:space="0" w:color="auto"/>
              <w:right w:val="single" w:sz="4" w:space="0" w:color="auto"/>
            </w:tcBorders>
            <w:hideMark/>
          </w:tcPr>
          <w:p w14:paraId="032CF762" w14:textId="77777777" w:rsidR="00711444" w:rsidRPr="004D0DAA" w:rsidRDefault="00711444" w:rsidP="00AA2A4C">
            <w:pPr>
              <w:pStyle w:val="TAL"/>
              <w:spacing w:line="256" w:lineRule="auto"/>
              <w:rPr>
                <w:lang w:eastAsia="en-US"/>
              </w:rPr>
            </w:pPr>
            <w:r w:rsidRPr="004D0DAA">
              <w:rPr>
                <w:lang w:eastAsia="en-US"/>
              </w:rPr>
              <w:t>reserved</w:t>
            </w:r>
          </w:p>
        </w:tc>
      </w:tr>
      <w:tr w:rsidR="00711444" w:rsidRPr="004D0DAA" w14:paraId="5033A8B9" w14:textId="77777777" w:rsidTr="00AA2A4C">
        <w:trPr>
          <w:cantSplit/>
          <w:trHeight w:val="224"/>
          <w:jc w:val="center"/>
        </w:trPr>
        <w:tc>
          <w:tcPr>
            <w:tcW w:w="809" w:type="dxa"/>
            <w:tcBorders>
              <w:top w:val="single" w:sz="4" w:space="0" w:color="auto"/>
              <w:left w:val="single" w:sz="4" w:space="0" w:color="auto"/>
              <w:bottom w:val="single" w:sz="4" w:space="0" w:color="auto"/>
              <w:right w:val="single" w:sz="4" w:space="0" w:color="auto"/>
            </w:tcBorders>
            <w:hideMark/>
          </w:tcPr>
          <w:p w14:paraId="7D63A230" w14:textId="77777777" w:rsidR="00711444" w:rsidRPr="004D0DAA" w:rsidRDefault="00711444" w:rsidP="00AA2A4C">
            <w:pPr>
              <w:pStyle w:val="TAL"/>
              <w:spacing w:line="256" w:lineRule="auto"/>
              <w:rPr>
                <w:lang w:eastAsia="en-US"/>
              </w:rPr>
            </w:pPr>
            <w:r w:rsidRPr="004D0DAA">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520917" w14:textId="77777777" w:rsidR="00711444" w:rsidRPr="004D0DAA" w:rsidRDefault="00711444" w:rsidP="00AA2A4C">
            <w:pPr>
              <w:pStyle w:val="TAL"/>
              <w:spacing w:line="256" w:lineRule="auto"/>
              <w:rPr>
                <w:lang w:eastAsia="en-US"/>
              </w:rPr>
            </w:pPr>
            <w:r w:rsidRPr="004D0DAA">
              <w:rPr>
                <w:lang w:eastAsia="en-US"/>
              </w:rPr>
              <w:t>…</w:t>
            </w:r>
          </w:p>
        </w:tc>
      </w:tr>
      <w:tr w:rsidR="00711444" w:rsidRPr="004D0DAA" w14:paraId="2EB4EB23" w14:textId="77777777" w:rsidTr="00AA2A4C">
        <w:trPr>
          <w:cantSplit/>
          <w:trHeight w:val="224"/>
          <w:jc w:val="center"/>
        </w:trPr>
        <w:tc>
          <w:tcPr>
            <w:tcW w:w="809" w:type="dxa"/>
            <w:tcBorders>
              <w:top w:val="single" w:sz="4" w:space="0" w:color="auto"/>
              <w:left w:val="single" w:sz="4" w:space="0" w:color="auto"/>
              <w:bottom w:val="single" w:sz="4" w:space="0" w:color="auto"/>
              <w:right w:val="single" w:sz="4" w:space="0" w:color="auto"/>
            </w:tcBorders>
            <w:hideMark/>
          </w:tcPr>
          <w:p w14:paraId="68DC944D" w14:textId="77777777" w:rsidR="00711444" w:rsidRPr="004D0DAA" w:rsidRDefault="00711444" w:rsidP="00AA2A4C">
            <w:pPr>
              <w:pStyle w:val="TAL"/>
              <w:spacing w:line="256" w:lineRule="auto"/>
              <w:rPr>
                <w:lang w:eastAsia="en-US"/>
              </w:rPr>
            </w:pPr>
            <w:r w:rsidRPr="004D0DAA">
              <w:rPr>
                <w:lang w:eastAsia="en-US"/>
              </w:rPr>
              <w:t>1  0  1</w:t>
            </w:r>
          </w:p>
        </w:tc>
        <w:tc>
          <w:tcPr>
            <w:tcW w:w="2977" w:type="dxa"/>
            <w:tcBorders>
              <w:top w:val="single" w:sz="4" w:space="0" w:color="auto"/>
              <w:left w:val="single" w:sz="4" w:space="0" w:color="auto"/>
              <w:bottom w:val="single" w:sz="4" w:space="0" w:color="auto"/>
              <w:right w:val="single" w:sz="4" w:space="0" w:color="auto"/>
            </w:tcBorders>
            <w:hideMark/>
          </w:tcPr>
          <w:p w14:paraId="713238AB" w14:textId="77777777" w:rsidR="00711444" w:rsidRPr="004D0DAA" w:rsidRDefault="00711444" w:rsidP="00AA2A4C">
            <w:pPr>
              <w:pStyle w:val="TAL"/>
              <w:spacing w:line="256" w:lineRule="auto"/>
              <w:rPr>
                <w:lang w:eastAsia="en-US"/>
              </w:rPr>
            </w:pPr>
            <w:r w:rsidRPr="004D0DAA">
              <w:rPr>
                <w:lang w:eastAsia="en-US"/>
              </w:rPr>
              <w:t>reserved</w:t>
            </w:r>
          </w:p>
        </w:tc>
      </w:tr>
      <w:tr w:rsidR="00711444" w:rsidRPr="004D0DAA" w14:paraId="5BEF3393" w14:textId="77777777" w:rsidTr="00AA2A4C">
        <w:trPr>
          <w:cantSplit/>
          <w:trHeight w:val="224"/>
          <w:jc w:val="center"/>
        </w:trPr>
        <w:tc>
          <w:tcPr>
            <w:tcW w:w="809" w:type="dxa"/>
            <w:tcBorders>
              <w:top w:val="single" w:sz="4" w:space="0" w:color="auto"/>
              <w:left w:val="single" w:sz="4" w:space="0" w:color="auto"/>
              <w:bottom w:val="single" w:sz="4" w:space="0" w:color="auto"/>
              <w:right w:val="single" w:sz="4" w:space="0" w:color="auto"/>
            </w:tcBorders>
            <w:hideMark/>
          </w:tcPr>
          <w:p w14:paraId="6DAD70A8" w14:textId="77777777" w:rsidR="00711444" w:rsidRPr="004D0DAA" w:rsidRDefault="00711444" w:rsidP="00AA2A4C">
            <w:pPr>
              <w:pStyle w:val="TAL"/>
              <w:spacing w:line="256" w:lineRule="auto"/>
              <w:rPr>
                <w:lang w:eastAsia="en-US"/>
              </w:rPr>
            </w:pPr>
            <w:r w:rsidRPr="004D0DAA">
              <w:rPr>
                <w:lang w:eastAsia="en-US"/>
              </w:rPr>
              <w:t>1  1  0</w:t>
            </w:r>
          </w:p>
        </w:tc>
        <w:tc>
          <w:tcPr>
            <w:tcW w:w="2977" w:type="dxa"/>
            <w:tcBorders>
              <w:top w:val="single" w:sz="4" w:space="0" w:color="auto"/>
              <w:left w:val="single" w:sz="4" w:space="0" w:color="auto"/>
              <w:bottom w:val="single" w:sz="4" w:space="0" w:color="auto"/>
              <w:right w:val="single" w:sz="4" w:space="0" w:color="auto"/>
            </w:tcBorders>
            <w:hideMark/>
          </w:tcPr>
          <w:p w14:paraId="31C7E028" w14:textId="77777777" w:rsidR="00711444" w:rsidRPr="004D0DAA" w:rsidRDefault="00711444" w:rsidP="00AA2A4C">
            <w:pPr>
              <w:pStyle w:val="TAL"/>
              <w:spacing w:line="256" w:lineRule="auto"/>
              <w:rPr>
                <w:lang w:eastAsia="en-US"/>
              </w:rPr>
            </w:pPr>
            <w:r w:rsidRPr="004D0DAA">
              <w:rPr>
                <w:lang w:eastAsia="en-US"/>
              </w:rPr>
              <w:t>CC5 is supported</w:t>
            </w:r>
          </w:p>
        </w:tc>
      </w:tr>
      <w:tr w:rsidR="00711444" w:rsidRPr="004D0DAA" w14:paraId="1D1C807C" w14:textId="77777777" w:rsidTr="00AA2A4C">
        <w:trPr>
          <w:cantSplit/>
          <w:trHeight w:val="179"/>
          <w:jc w:val="center"/>
        </w:trPr>
        <w:tc>
          <w:tcPr>
            <w:tcW w:w="809" w:type="dxa"/>
            <w:tcBorders>
              <w:top w:val="single" w:sz="4" w:space="0" w:color="auto"/>
              <w:left w:val="single" w:sz="4" w:space="0" w:color="auto"/>
              <w:bottom w:val="single" w:sz="4" w:space="0" w:color="auto"/>
              <w:right w:val="single" w:sz="4" w:space="0" w:color="auto"/>
            </w:tcBorders>
            <w:hideMark/>
          </w:tcPr>
          <w:p w14:paraId="029A6E77" w14:textId="77777777" w:rsidR="00711444" w:rsidRPr="004D0DAA" w:rsidRDefault="00711444" w:rsidP="00AA2A4C">
            <w:pPr>
              <w:pStyle w:val="TAL"/>
              <w:spacing w:line="256" w:lineRule="auto"/>
              <w:rPr>
                <w:lang w:eastAsia="en-US"/>
              </w:rPr>
            </w:pPr>
            <w:r w:rsidRPr="004D0DAA">
              <w:rPr>
                <w:lang w:eastAsia="en-US"/>
              </w:rPr>
              <w:t>1  1  1</w:t>
            </w:r>
          </w:p>
        </w:tc>
        <w:tc>
          <w:tcPr>
            <w:tcW w:w="2977" w:type="dxa"/>
            <w:tcBorders>
              <w:top w:val="single" w:sz="4" w:space="0" w:color="auto"/>
              <w:left w:val="single" w:sz="4" w:space="0" w:color="auto"/>
              <w:bottom w:val="single" w:sz="4" w:space="0" w:color="auto"/>
              <w:right w:val="single" w:sz="4" w:space="0" w:color="auto"/>
            </w:tcBorders>
            <w:hideMark/>
          </w:tcPr>
          <w:p w14:paraId="798C7975" w14:textId="77777777" w:rsidR="00711444" w:rsidRPr="004D0DAA" w:rsidRDefault="00711444" w:rsidP="00AA2A4C">
            <w:pPr>
              <w:pStyle w:val="TAL"/>
              <w:spacing w:line="256" w:lineRule="auto"/>
              <w:rPr>
                <w:lang w:eastAsia="en-US"/>
              </w:rPr>
            </w:pPr>
            <w:r w:rsidRPr="004D0DAA">
              <w:rPr>
                <w:lang w:eastAsia="en-US"/>
              </w:rPr>
              <w:t>CC5 is not supported</w:t>
            </w:r>
          </w:p>
        </w:tc>
      </w:tr>
    </w:tbl>
    <w:p w14:paraId="6979CCB7" w14:textId="77777777" w:rsidR="00711444" w:rsidRPr="004D0DAA" w:rsidRDefault="00711444" w:rsidP="00711444"/>
    <w:p w14:paraId="00AF871D" w14:textId="77777777" w:rsidR="00711444" w:rsidRPr="004D0DAA" w:rsidRDefault="00711444" w:rsidP="00711444">
      <w:pPr>
        <w:pStyle w:val="Heading4"/>
      </w:pPr>
      <w:bookmarkStart w:id="564" w:name="_Toc516669744"/>
      <w:r w:rsidRPr="004D0DAA">
        <w:lastRenderedPageBreak/>
        <w:t>10.4.8a.4</w:t>
      </w:r>
      <w:r w:rsidRPr="004D0DAA">
        <w:tab/>
        <w:t>Header type 4</w:t>
      </w:r>
      <w:bookmarkEnd w:id="564"/>
    </w:p>
    <w:p w14:paraId="68DF15F6" w14:textId="77777777" w:rsidR="00711444" w:rsidRPr="004D0DAA" w:rsidRDefault="00711444" w:rsidP="00711444">
      <w:r w:rsidRPr="004D0DAA">
        <w:t>In downlink, the Coding and Puncturing Scheme indicator field indicates the kind of channel coding and puncturing used for data block as defined in table 10.4.8a.4.1.</w:t>
      </w:r>
    </w:p>
    <w:p w14:paraId="515A6193" w14:textId="77777777" w:rsidR="00711444" w:rsidRPr="004D0DAA" w:rsidRDefault="00711444" w:rsidP="00711444">
      <w:pPr>
        <w:pStyle w:val="TH"/>
      </w:pPr>
      <w:r w:rsidRPr="004D0DAA">
        <w:t xml:space="preserve">Table 10.4.8a.4.1: Coding and Puncturing Scheme indicator field </w:t>
      </w:r>
      <w:r w:rsidRPr="004D0DAA">
        <w:br/>
        <w:t>for Header type 4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35E1CF41" w14:textId="77777777" w:rsidTr="00AA2A4C">
        <w:tblPrEx>
          <w:tblCellMar>
            <w:top w:w="0" w:type="dxa"/>
            <w:bottom w:w="0" w:type="dxa"/>
          </w:tblCellMar>
        </w:tblPrEx>
        <w:trPr>
          <w:cantSplit/>
          <w:jc w:val="center"/>
        </w:trPr>
        <w:tc>
          <w:tcPr>
            <w:tcW w:w="1446" w:type="dxa"/>
          </w:tcPr>
          <w:p w14:paraId="135E163A" w14:textId="77777777" w:rsidR="00711444" w:rsidRPr="004D0DAA" w:rsidRDefault="00711444" w:rsidP="00AA2A4C">
            <w:pPr>
              <w:pStyle w:val="TAH"/>
              <w:rPr>
                <w:lang w:eastAsia="en-US"/>
              </w:rPr>
            </w:pPr>
            <w:r w:rsidRPr="004D0DAA">
              <w:rPr>
                <w:lang w:eastAsia="en-US"/>
              </w:rPr>
              <w:t>bits</w:t>
            </w:r>
            <w:r w:rsidRPr="004D0DAA">
              <w:rPr>
                <w:lang w:eastAsia="en-US"/>
              </w:rPr>
              <w:br/>
              <w:t>4321</w:t>
            </w:r>
          </w:p>
        </w:tc>
        <w:tc>
          <w:tcPr>
            <w:tcW w:w="4239" w:type="dxa"/>
          </w:tcPr>
          <w:p w14:paraId="1B877009" w14:textId="77777777" w:rsidR="00711444" w:rsidRPr="004D0DAA" w:rsidRDefault="00711444" w:rsidP="00AA2A4C">
            <w:pPr>
              <w:pStyle w:val="TAH"/>
              <w:rPr>
                <w:lang w:eastAsia="en-US"/>
              </w:rPr>
            </w:pPr>
            <w:r w:rsidRPr="004D0DAA">
              <w:rPr>
                <w:lang w:eastAsia="en-US"/>
              </w:rPr>
              <w:t>CPS</w:t>
            </w:r>
          </w:p>
        </w:tc>
      </w:tr>
      <w:tr w:rsidR="00711444" w:rsidRPr="004D0DAA" w14:paraId="73198569" w14:textId="77777777" w:rsidTr="00AA2A4C">
        <w:tblPrEx>
          <w:tblCellMar>
            <w:top w:w="0" w:type="dxa"/>
            <w:bottom w:w="0" w:type="dxa"/>
          </w:tblCellMar>
        </w:tblPrEx>
        <w:trPr>
          <w:cantSplit/>
          <w:jc w:val="center"/>
        </w:trPr>
        <w:tc>
          <w:tcPr>
            <w:tcW w:w="1446" w:type="dxa"/>
          </w:tcPr>
          <w:p w14:paraId="32D8BD1E" w14:textId="77777777" w:rsidR="00711444" w:rsidRPr="004D0DAA" w:rsidRDefault="00711444" w:rsidP="00AA2A4C">
            <w:pPr>
              <w:pStyle w:val="TAC"/>
              <w:rPr>
                <w:lang w:eastAsia="en-US"/>
              </w:rPr>
            </w:pPr>
            <w:r w:rsidRPr="004D0DAA">
              <w:rPr>
                <w:lang w:eastAsia="en-US"/>
              </w:rPr>
              <w:t>0000</w:t>
            </w:r>
          </w:p>
        </w:tc>
        <w:tc>
          <w:tcPr>
            <w:tcW w:w="4239" w:type="dxa"/>
          </w:tcPr>
          <w:p w14:paraId="3FDBECD5" w14:textId="77777777" w:rsidR="00711444" w:rsidRPr="004D0DAA" w:rsidRDefault="00711444" w:rsidP="00AA2A4C">
            <w:pPr>
              <w:pStyle w:val="TAL"/>
              <w:rPr>
                <w:lang w:eastAsia="en-US"/>
              </w:rPr>
            </w:pPr>
            <w:r w:rsidRPr="004D0DAA">
              <w:rPr>
                <w:lang w:eastAsia="en-US"/>
              </w:rPr>
              <w:t>DAS-9/P1 ; DAS-9/P1</w:t>
            </w:r>
          </w:p>
        </w:tc>
      </w:tr>
      <w:tr w:rsidR="00711444" w:rsidRPr="004D0DAA" w14:paraId="5C7FCCCA" w14:textId="77777777" w:rsidTr="00AA2A4C">
        <w:tblPrEx>
          <w:tblCellMar>
            <w:top w:w="0" w:type="dxa"/>
            <w:bottom w:w="0" w:type="dxa"/>
          </w:tblCellMar>
        </w:tblPrEx>
        <w:trPr>
          <w:cantSplit/>
          <w:jc w:val="center"/>
        </w:trPr>
        <w:tc>
          <w:tcPr>
            <w:tcW w:w="1446" w:type="dxa"/>
          </w:tcPr>
          <w:p w14:paraId="35200BC6" w14:textId="77777777" w:rsidR="00711444" w:rsidRPr="004D0DAA" w:rsidRDefault="00711444" w:rsidP="00AA2A4C">
            <w:pPr>
              <w:pStyle w:val="TAC"/>
              <w:rPr>
                <w:lang w:eastAsia="en-US"/>
              </w:rPr>
            </w:pPr>
            <w:r w:rsidRPr="004D0DAA">
              <w:rPr>
                <w:lang w:eastAsia="en-US"/>
              </w:rPr>
              <w:t>0001</w:t>
            </w:r>
          </w:p>
        </w:tc>
        <w:tc>
          <w:tcPr>
            <w:tcW w:w="4239" w:type="dxa"/>
          </w:tcPr>
          <w:p w14:paraId="297083DF" w14:textId="77777777" w:rsidR="00711444" w:rsidRPr="004D0DAA" w:rsidRDefault="00711444" w:rsidP="00AA2A4C">
            <w:pPr>
              <w:pStyle w:val="TAL"/>
              <w:rPr>
                <w:lang w:eastAsia="en-US"/>
              </w:rPr>
            </w:pPr>
            <w:r w:rsidRPr="004D0DAA">
              <w:rPr>
                <w:lang w:eastAsia="en-US"/>
              </w:rPr>
              <w:t>DAS-9/P1 ; DAS-9/P2</w:t>
            </w:r>
          </w:p>
        </w:tc>
      </w:tr>
      <w:tr w:rsidR="00711444" w:rsidRPr="004D0DAA" w14:paraId="5E31DE1A" w14:textId="77777777" w:rsidTr="00AA2A4C">
        <w:tblPrEx>
          <w:tblCellMar>
            <w:top w:w="0" w:type="dxa"/>
            <w:bottom w:w="0" w:type="dxa"/>
          </w:tblCellMar>
        </w:tblPrEx>
        <w:trPr>
          <w:cantSplit/>
          <w:jc w:val="center"/>
        </w:trPr>
        <w:tc>
          <w:tcPr>
            <w:tcW w:w="1446" w:type="dxa"/>
          </w:tcPr>
          <w:p w14:paraId="2DE045DD" w14:textId="77777777" w:rsidR="00711444" w:rsidRPr="004D0DAA" w:rsidRDefault="00711444" w:rsidP="00AA2A4C">
            <w:pPr>
              <w:pStyle w:val="TAC"/>
              <w:rPr>
                <w:lang w:eastAsia="en-US"/>
              </w:rPr>
            </w:pPr>
            <w:r w:rsidRPr="004D0DAA">
              <w:rPr>
                <w:lang w:eastAsia="en-US"/>
              </w:rPr>
              <w:t>0010</w:t>
            </w:r>
          </w:p>
        </w:tc>
        <w:tc>
          <w:tcPr>
            <w:tcW w:w="4239" w:type="dxa"/>
          </w:tcPr>
          <w:p w14:paraId="0FE4F905" w14:textId="77777777" w:rsidR="00711444" w:rsidRPr="004D0DAA" w:rsidRDefault="00711444" w:rsidP="00AA2A4C">
            <w:pPr>
              <w:pStyle w:val="TAL"/>
              <w:rPr>
                <w:lang w:eastAsia="en-US"/>
              </w:rPr>
            </w:pPr>
            <w:r w:rsidRPr="004D0DAA">
              <w:rPr>
                <w:lang w:eastAsia="en-US"/>
              </w:rPr>
              <w:t>DAS-9/P1 ; DAS-9/P3</w:t>
            </w:r>
          </w:p>
        </w:tc>
      </w:tr>
      <w:tr w:rsidR="00711444" w:rsidRPr="004D0DAA" w14:paraId="63E7C17D" w14:textId="77777777" w:rsidTr="00AA2A4C">
        <w:tblPrEx>
          <w:tblCellMar>
            <w:top w:w="0" w:type="dxa"/>
            <w:bottom w:w="0" w:type="dxa"/>
          </w:tblCellMar>
        </w:tblPrEx>
        <w:trPr>
          <w:cantSplit/>
          <w:jc w:val="center"/>
        </w:trPr>
        <w:tc>
          <w:tcPr>
            <w:tcW w:w="1446" w:type="dxa"/>
          </w:tcPr>
          <w:p w14:paraId="3A226882" w14:textId="77777777" w:rsidR="00711444" w:rsidRPr="004D0DAA" w:rsidRDefault="00711444" w:rsidP="00AA2A4C">
            <w:pPr>
              <w:pStyle w:val="TAC"/>
              <w:rPr>
                <w:lang w:eastAsia="en-US"/>
              </w:rPr>
            </w:pPr>
            <w:r w:rsidRPr="004D0DAA">
              <w:rPr>
                <w:lang w:eastAsia="en-US"/>
              </w:rPr>
              <w:t>0011</w:t>
            </w:r>
          </w:p>
        </w:tc>
        <w:tc>
          <w:tcPr>
            <w:tcW w:w="4239" w:type="dxa"/>
          </w:tcPr>
          <w:p w14:paraId="55100DA1" w14:textId="77777777" w:rsidR="00711444" w:rsidRPr="004D0DAA" w:rsidRDefault="00711444" w:rsidP="00AA2A4C">
            <w:pPr>
              <w:pStyle w:val="TAL"/>
              <w:rPr>
                <w:lang w:eastAsia="en-US"/>
              </w:rPr>
            </w:pPr>
            <w:r w:rsidRPr="004D0DAA">
              <w:rPr>
                <w:lang w:eastAsia="en-US"/>
              </w:rPr>
              <w:t>DAS-9/P2 ; DAS-9/P1</w:t>
            </w:r>
          </w:p>
        </w:tc>
      </w:tr>
      <w:tr w:rsidR="00711444" w:rsidRPr="004D0DAA" w14:paraId="7B60928F" w14:textId="77777777" w:rsidTr="00AA2A4C">
        <w:tblPrEx>
          <w:tblCellMar>
            <w:top w:w="0" w:type="dxa"/>
            <w:bottom w:w="0" w:type="dxa"/>
          </w:tblCellMar>
        </w:tblPrEx>
        <w:trPr>
          <w:cantSplit/>
          <w:jc w:val="center"/>
        </w:trPr>
        <w:tc>
          <w:tcPr>
            <w:tcW w:w="1446" w:type="dxa"/>
          </w:tcPr>
          <w:p w14:paraId="4CF6B6BF" w14:textId="77777777" w:rsidR="00711444" w:rsidRPr="004D0DAA" w:rsidRDefault="00711444" w:rsidP="00AA2A4C">
            <w:pPr>
              <w:pStyle w:val="TAC"/>
              <w:rPr>
                <w:lang w:eastAsia="en-US"/>
              </w:rPr>
            </w:pPr>
            <w:r w:rsidRPr="004D0DAA">
              <w:rPr>
                <w:lang w:eastAsia="en-US"/>
              </w:rPr>
              <w:t>0100</w:t>
            </w:r>
          </w:p>
        </w:tc>
        <w:tc>
          <w:tcPr>
            <w:tcW w:w="4239" w:type="dxa"/>
          </w:tcPr>
          <w:p w14:paraId="2FCD8B2A" w14:textId="77777777" w:rsidR="00711444" w:rsidRPr="004D0DAA" w:rsidRDefault="00711444" w:rsidP="00AA2A4C">
            <w:pPr>
              <w:pStyle w:val="TAL"/>
              <w:rPr>
                <w:lang w:eastAsia="en-US"/>
              </w:rPr>
            </w:pPr>
            <w:r w:rsidRPr="004D0DAA">
              <w:rPr>
                <w:lang w:eastAsia="en-US"/>
              </w:rPr>
              <w:t>DAS-9/P2 ; DAS-9/P2</w:t>
            </w:r>
          </w:p>
        </w:tc>
      </w:tr>
      <w:tr w:rsidR="00711444" w:rsidRPr="004D0DAA" w14:paraId="281DA8A5" w14:textId="77777777" w:rsidTr="00AA2A4C">
        <w:tblPrEx>
          <w:tblCellMar>
            <w:top w:w="0" w:type="dxa"/>
            <w:bottom w:w="0" w:type="dxa"/>
          </w:tblCellMar>
        </w:tblPrEx>
        <w:trPr>
          <w:cantSplit/>
          <w:jc w:val="center"/>
        </w:trPr>
        <w:tc>
          <w:tcPr>
            <w:tcW w:w="1446" w:type="dxa"/>
          </w:tcPr>
          <w:p w14:paraId="42E38304" w14:textId="77777777" w:rsidR="00711444" w:rsidRPr="004D0DAA" w:rsidRDefault="00711444" w:rsidP="00AA2A4C">
            <w:pPr>
              <w:pStyle w:val="TAC"/>
              <w:rPr>
                <w:lang w:eastAsia="en-US"/>
              </w:rPr>
            </w:pPr>
            <w:r w:rsidRPr="004D0DAA">
              <w:rPr>
                <w:lang w:eastAsia="en-US"/>
              </w:rPr>
              <w:t>0101</w:t>
            </w:r>
          </w:p>
        </w:tc>
        <w:tc>
          <w:tcPr>
            <w:tcW w:w="4239" w:type="dxa"/>
          </w:tcPr>
          <w:p w14:paraId="2D260F17" w14:textId="77777777" w:rsidR="00711444" w:rsidRPr="004D0DAA" w:rsidRDefault="00711444" w:rsidP="00AA2A4C">
            <w:pPr>
              <w:pStyle w:val="TAL"/>
              <w:rPr>
                <w:lang w:eastAsia="en-US"/>
              </w:rPr>
            </w:pPr>
            <w:r w:rsidRPr="004D0DAA">
              <w:rPr>
                <w:lang w:eastAsia="en-US"/>
              </w:rPr>
              <w:t>DAS-9/P2 ; DAS-9/P3</w:t>
            </w:r>
          </w:p>
        </w:tc>
      </w:tr>
      <w:tr w:rsidR="00711444" w:rsidRPr="004D0DAA" w14:paraId="699CBA8B" w14:textId="77777777" w:rsidTr="00AA2A4C">
        <w:tblPrEx>
          <w:tblCellMar>
            <w:top w:w="0" w:type="dxa"/>
            <w:bottom w:w="0" w:type="dxa"/>
          </w:tblCellMar>
        </w:tblPrEx>
        <w:trPr>
          <w:cantSplit/>
          <w:jc w:val="center"/>
        </w:trPr>
        <w:tc>
          <w:tcPr>
            <w:tcW w:w="1446" w:type="dxa"/>
          </w:tcPr>
          <w:p w14:paraId="14DB79C4" w14:textId="77777777" w:rsidR="00711444" w:rsidRPr="004D0DAA" w:rsidRDefault="00711444" w:rsidP="00AA2A4C">
            <w:pPr>
              <w:pStyle w:val="TAC"/>
              <w:rPr>
                <w:lang w:eastAsia="en-US"/>
              </w:rPr>
            </w:pPr>
            <w:r w:rsidRPr="004D0DAA">
              <w:rPr>
                <w:lang w:eastAsia="en-US"/>
              </w:rPr>
              <w:t>0110</w:t>
            </w:r>
          </w:p>
        </w:tc>
        <w:tc>
          <w:tcPr>
            <w:tcW w:w="4239" w:type="dxa"/>
          </w:tcPr>
          <w:p w14:paraId="42DB140B" w14:textId="77777777" w:rsidR="00711444" w:rsidRPr="004D0DAA" w:rsidRDefault="00711444" w:rsidP="00AA2A4C">
            <w:pPr>
              <w:pStyle w:val="TAL"/>
              <w:rPr>
                <w:lang w:eastAsia="en-US"/>
              </w:rPr>
            </w:pPr>
            <w:r w:rsidRPr="004D0DAA">
              <w:rPr>
                <w:lang w:eastAsia="en-US"/>
              </w:rPr>
              <w:t>DAS-9/P3 ; DAS-9/P1</w:t>
            </w:r>
          </w:p>
        </w:tc>
      </w:tr>
      <w:tr w:rsidR="00711444" w:rsidRPr="004D0DAA" w14:paraId="37A765A3" w14:textId="77777777" w:rsidTr="00AA2A4C">
        <w:tblPrEx>
          <w:tblCellMar>
            <w:top w:w="0" w:type="dxa"/>
            <w:bottom w:w="0" w:type="dxa"/>
          </w:tblCellMar>
        </w:tblPrEx>
        <w:trPr>
          <w:cantSplit/>
          <w:jc w:val="center"/>
        </w:trPr>
        <w:tc>
          <w:tcPr>
            <w:tcW w:w="1446" w:type="dxa"/>
          </w:tcPr>
          <w:p w14:paraId="3CAD4A73" w14:textId="77777777" w:rsidR="00711444" w:rsidRPr="004D0DAA" w:rsidRDefault="00711444" w:rsidP="00AA2A4C">
            <w:pPr>
              <w:pStyle w:val="TAC"/>
              <w:rPr>
                <w:lang w:eastAsia="en-US"/>
              </w:rPr>
            </w:pPr>
            <w:r w:rsidRPr="004D0DAA">
              <w:rPr>
                <w:lang w:eastAsia="en-US"/>
              </w:rPr>
              <w:t>0111</w:t>
            </w:r>
          </w:p>
        </w:tc>
        <w:tc>
          <w:tcPr>
            <w:tcW w:w="4239" w:type="dxa"/>
          </w:tcPr>
          <w:p w14:paraId="5F0E0374" w14:textId="77777777" w:rsidR="00711444" w:rsidRPr="004D0DAA" w:rsidRDefault="00711444" w:rsidP="00AA2A4C">
            <w:pPr>
              <w:pStyle w:val="TAL"/>
              <w:rPr>
                <w:lang w:eastAsia="en-US"/>
              </w:rPr>
            </w:pPr>
            <w:r w:rsidRPr="004D0DAA">
              <w:rPr>
                <w:lang w:eastAsia="en-US"/>
              </w:rPr>
              <w:t>DAS-9/P3 ; DAS-9/P2</w:t>
            </w:r>
          </w:p>
        </w:tc>
      </w:tr>
      <w:tr w:rsidR="00711444" w:rsidRPr="004D0DAA" w14:paraId="0360F4FF" w14:textId="77777777" w:rsidTr="00AA2A4C">
        <w:tblPrEx>
          <w:tblCellMar>
            <w:top w:w="0" w:type="dxa"/>
            <w:bottom w:w="0" w:type="dxa"/>
          </w:tblCellMar>
        </w:tblPrEx>
        <w:trPr>
          <w:cantSplit/>
          <w:jc w:val="center"/>
        </w:trPr>
        <w:tc>
          <w:tcPr>
            <w:tcW w:w="1446" w:type="dxa"/>
          </w:tcPr>
          <w:p w14:paraId="2BF2F8A8" w14:textId="77777777" w:rsidR="00711444" w:rsidRPr="004D0DAA" w:rsidRDefault="00711444" w:rsidP="00AA2A4C">
            <w:pPr>
              <w:pStyle w:val="TAC"/>
              <w:rPr>
                <w:lang w:eastAsia="en-US"/>
              </w:rPr>
            </w:pPr>
            <w:r w:rsidRPr="004D0DAA">
              <w:rPr>
                <w:lang w:eastAsia="en-US"/>
              </w:rPr>
              <w:t>1000</w:t>
            </w:r>
          </w:p>
        </w:tc>
        <w:tc>
          <w:tcPr>
            <w:tcW w:w="4239" w:type="dxa"/>
          </w:tcPr>
          <w:p w14:paraId="233A01BA" w14:textId="77777777" w:rsidR="00711444" w:rsidRPr="004D0DAA" w:rsidRDefault="00711444" w:rsidP="00AA2A4C">
            <w:pPr>
              <w:pStyle w:val="TAL"/>
              <w:rPr>
                <w:lang w:eastAsia="en-US"/>
              </w:rPr>
            </w:pPr>
            <w:r w:rsidRPr="004D0DAA">
              <w:rPr>
                <w:lang w:eastAsia="en-US"/>
              </w:rPr>
              <w:t>DAS-9/P3 ; DAS-9/P3</w:t>
            </w:r>
          </w:p>
        </w:tc>
      </w:tr>
      <w:tr w:rsidR="00711444" w:rsidRPr="004D0DAA" w14:paraId="662BF937" w14:textId="77777777" w:rsidTr="00AA2A4C">
        <w:tblPrEx>
          <w:tblCellMar>
            <w:top w:w="0" w:type="dxa"/>
            <w:bottom w:w="0" w:type="dxa"/>
          </w:tblCellMar>
        </w:tblPrEx>
        <w:trPr>
          <w:cantSplit/>
          <w:jc w:val="center"/>
        </w:trPr>
        <w:tc>
          <w:tcPr>
            <w:tcW w:w="1446" w:type="dxa"/>
          </w:tcPr>
          <w:p w14:paraId="39A3857F" w14:textId="77777777" w:rsidR="00711444" w:rsidRPr="004D0DAA" w:rsidRDefault="00711444" w:rsidP="00AA2A4C">
            <w:pPr>
              <w:pStyle w:val="TAC"/>
              <w:rPr>
                <w:lang w:eastAsia="en-US"/>
              </w:rPr>
            </w:pPr>
            <w:r w:rsidRPr="004D0DAA">
              <w:rPr>
                <w:lang w:eastAsia="en-US"/>
              </w:rPr>
              <w:t>1001</w:t>
            </w:r>
          </w:p>
        </w:tc>
        <w:tc>
          <w:tcPr>
            <w:tcW w:w="4239" w:type="dxa"/>
          </w:tcPr>
          <w:p w14:paraId="51452F14" w14:textId="77777777" w:rsidR="00711444" w:rsidRPr="004D0DAA" w:rsidRDefault="00711444" w:rsidP="00AA2A4C">
            <w:pPr>
              <w:pStyle w:val="TAL"/>
              <w:rPr>
                <w:lang w:eastAsia="en-US"/>
              </w:rPr>
            </w:pPr>
            <w:r w:rsidRPr="004D0DAA">
              <w:rPr>
                <w:lang w:eastAsia="en-US"/>
              </w:rPr>
              <w:t>DAS-8/P1 ; DAS-8/P1</w:t>
            </w:r>
          </w:p>
        </w:tc>
      </w:tr>
      <w:tr w:rsidR="00711444" w:rsidRPr="004D0DAA" w14:paraId="44E9C39D" w14:textId="77777777" w:rsidTr="00AA2A4C">
        <w:tblPrEx>
          <w:tblCellMar>
            <w:top w:w="0" w:type="dxa"/>
            <w:bottom w:w="0" w:type="dxa"/>
          </w:tblCellMar>
        </w:tblPrEx>
        <w:trPr>
          <w:cantSplit/>
          <w:jc w:val="center"/>
        </w:trPr>
        <w:tc>
          <w:tcPr>
            <w:tcW w:w="1446" w:type="dxa"/>
          </w:tcPr>
          <w:p w14:paraId="4004A2D9" w14:textId="77777777" w:rsidR="00711444" w:rsidRPr="004D0DAA" w:rsidRDefault="00711444" w:rsidP="00AA2A4C">
            <w:pPr>
              <w:pStyle w:val="TAC"/>
              <w:rPr>
                <w:lang w:eastAsia="en-US"/>
              </w:rPr>
            </w:pPr>
            <w:r w:rsidRPr="004D0DAA">
              <w:rPr>
                <w:lang w:eastAsia="en-US"/>
              </w:rPr>
              <w:t>1010</w:t>
            </w:r>
          </w:p>
        </w:tc>
        <w:tc>
          <w:tcPr>
            <w:tcW w:w="4239" w:type="dxa"/>
          </w:tcPr>
          <w:p w14:paraId="0CE83FF1" w14:textId="77777777" w:rsidR="00711444" w:rsidRPr="004D0DAA" w:rsidRDefault="00711444" w:rsidP="00AA2A4C">
            <w:pPr>
              <w:pStyle w:val="TAL"/>
              <w:rPr>
                <w:lang w:eastAsia="en-US"/>
              </w:rPr>
            </w:pPr>
            <w:r w:rsidRPr="004D0DAA">
              <w:rPr>
                <w:lang w:eastAsia="en-US"/>
              </w:rPr>
              <w:t>DAS-8/P1 ; DAS-8/P2</w:t>
            </w:r>
          </w:p>
        </w:tc>
      </w:tr>
      <w:tr w:rsidR="00711444" w:rsidRPr="004D0DAA" w14:paraId="272961EA" w14:textId="77777777" w:rsidTr="00AA2A4C">
        <w:tblPrEx>
          <w:tblCellMar>
            <w:top w:w="0" w:type="dxa"/>
            <w:bottom w:w="0" w:type="dxa"/>
          </w:tblCellMar>
        </w:tblPrEx>
        <w:trPr>
          <w:cantSplit/>
          <w:jc w:val="center"/>
        </w:trPr>
        <w:tc>
          <w:tcPr>
            <w:tcW w:w="1446" w:type="dxa"/>
          </w:tcPr>
          <w:p w14:paraId="57022750" w14:textId="77777777" w:rsidR="00711444" w:rsidRPr="004D0DAA" w:rsidRDefault="00711444" w:rsidP="00AA2A4C">
            <w:pPr>
              <w:pStyle w:val="TAC"/>
              <w:rPr>
                <w:lang w:eastAsia="en-US"/>
              </w:rPr>
            </w:pPr>
            <w:r w:rsidRPr="004D0DAA">
              <w:rPr>
                <w:lang w:eastAsia="en-US"/>
              </w:rPr>
              <w:t>1011</w:t>
            </w:r>
          </w:p>
        </w:tc>
        <w:tc>
          <w:tcPr>
            <w:tcW w:w="4239" w:type="dxa"/>
          </w:tcPr>
          <w:p w14:paraId="08AB1AA2" w14:textId="77777777" w:rsidR="00711444" w:rsidRPr="004D0DAA" w:rsidRDefault="00711444" w:rsidP="00AA2A4C">
            <w:pPr>
              <w:pStyle w:val="TAL"/>
              <w:rPr>
                <w:lang w:eastAsia="en-US"/>
              </w:rPr>
            </w:pPr>
            <w:r w:rsidRPr="004D0DAA">
              <w:rPr>
                <w:lang w:eastAsia="en-US"/>
              </w:rPr>
              <w:t>DAS-8/P2 ; DAS-8/P1</w:t>
            </w:r>
          </w:p>
        </w:tc>
      </w:tr>
      <w:tr w:rsidR="00711444" w:rsidRPr="004D0DAA" w14:paraId="656A6D34" w14:textId="77777777" w:rsidTr="00AA2A4C">
        <w:tblPrEx>
          <w:tblCellMar>
            <w:top w:w="0" w:type="dxa"/>
            <w:bottom w:w="0" w:type="dxa"/>
          </w:tblCellMar>
        </w:tblPrEx>
        <w:trPr>
          <w:cantSplit/>
          <w:jc w:val="center"/>
        </w:trPr>
        <w:tc>
          <w:tcPr>
            <w:tcW w:w="1446" w:type="dxa"/>
          </w:tcPr>
          <w:p w14:paraId="799E1629" w14:textId="77777777" w:rsidR="00711444" w:rsidRPr="004D0DAA" w:rsidRDefault="00711444" w:rsidP="00AA2A4C">
            <w:pPr>
              <w:pStyle w:val="TAC"/>
              <w:rPr>
                <w:lang w:eastAsia="en-US"/>
              </w:rPr>
            </w:pPr>
            <w:r w:rsidRPr="004D0DAA">
              <w:rPr>
                <w:lang w:eastAsia="en-US"/>
              </w:rPr>
              <w:t>1100</w:t>
            </w:r>
          </w:p>
        </w:tc>
        <w:tc>
          <w:tcPr>
            <w:tcW w:w="4239" w:type="dxa"/>
          </w:tcPr>
          <w:p w14:paraId="40C52006" w14:textId="77777777" w:rsidR="00711444" w:rsidRPr="004D0DAA" w:rsidRDefault="00711444" w:rsidP="00AA2A4C">
            <w:pPr>
              <w:pStyle w:val="TAL"/>
              <w:rPr>
                <w:lang w:eastAsia="en-US"/>
              </w:rPr>
            </w:pPr>
            <w:r w:rsidRPr="004D0DAA">
              <w:rPr>
                <w:lang w:eastAsia="en-US"/>
              </w:rPr>
              <w:t>DAS-8/P2 ; DAS-8/P2</w:t>
            </w:r>
          </w:p>
        </w:tc>
      </w:tr>
      <w:tr w:rsidR="00711444" w:rsidRPr="004D0DAA" w14:paraId="10DB2763" w14:textId="77777777" w:rsidTr="00AA2A4C">
        <w:tblPrEx>
          <w:tblCellMar>
            <w:top w:w="0" w:type="dxa"/>
            <w:bottom w:w="0" w:type="dxa"/>
          </w:tblCellMar>
        </w:tblPrEx>
        <w:trPr>
          <w:cantSplit/>
          <w:jc w:val="center"/>
        </w:trPr>
        <w:tc>
          <w:tcPr>
            <w:tcW w:w="1446" w:type="dxa"/>
          </w:tcPr>
          <w:p w14:paraId="3EEC5ABA" w14:textId="77777777" w:rsidR="00711444" w:rsidRPr="004D0DAA" w:rsidRDefault="00711444" w:rsidP="00AA2A4C">
            <w:pPr>
              <w:pStyle w:val="TAC"/>
              <w:rPr>
                <w:lang w:eastAsia="en-US"/>
              </w:rPr>
            </w:pPr>
          </w:p>
        </w:tc>
        <w:tc>
          <w:tcPr>
            <w:tcW w:w="4239" w:type="dxa"/>
          </w:tcPr>
          <w:p w14:paraId="0C616E8F"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2E0E852B" w14:textId="77777777" w:rsidTr="00AA2A4C">
        <w:tblPrEx>
          <w:tblCellMar>
            <w:top w:w="0" w:type="dxa"/>
            <w:bottom w:w="0" w:type="dxa"/>
          </w:tblCellMar>
        </w:tblPrEx>
        <w:trPr>
          <w:cantSplit/>
          <w:jc w:val="center"/>
        </w:trPr>
        <w:tc>
          <w:tcPr>
            <w:tcW w:w="5685" w:type="dxa"/>
            <w:gridSpan w:val="2"/>
          </w:tcPr>
          <w:p w14:paraId="4282C6B9"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7E1793EA" w14:textId="77777777" w:rsidR="00711444" w:rsidRPr="004D0DAA" w:rsidRDefault="00711444" w:rsidP="00711444"/>
    <w:p w14:paraId="69927B48" w14:textId="77777777" w:rsidR="00711444" w:rsidRPr="004D0DAA" w:rsidRDefault="00711444" w:rsidP="00711444">
      <w:r w:rsidRPr="004D0DAA">
        <w:t>In uplink, the Coding and Puncturing Scheme indicator field indicates the kind of channel coding and puncturing used for data block as defined in table 10.4.8a.4.2.</w:t>
      </w:r>
    </w:p>
    <w:p w14:paraId="33905BFD" w14:textId="77777777" w:rsidR="00711444" w:rsidRPr="004D0DAA" w:rsidRDefault="00711444" w:rsidP="00711444">
      <w:pPr>
        <w:pStyle w:val="TH"/>
      </w:pPr>
      <w:r w:rsidRPr="004D0DAA">
        <w:t xml:space="preserve">Table 10.4.8a.4.2: Coding and Puncturing Scheme indicator field </w:t>
      </w:r>
      <w:r w:rsidRPr="004D0DAA">
        <w:br/>
        <w:t>for Header type 4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00C8AAEB" w14:textId="77777777" w:rsidTr="00AA2A4C">
        <w:tblPrEx>
          <w:tblCellMar>
            <w:top w:w="0" w:type="dxa"/>
            <w:bottom w:w="0" w:type="dxa"/>
          </w:tblCellMar>
        </w:tblPrEx>
        <w:trPr>
          <w:cantSplit/>
          <w:jc w:val="center"/>
        </w:trPr>
        <w:tc>
          <w:tcPr>
            <w:tcW w:w="1446" w:type="dxa"/>
          </w:tcPr>
          <w:p w14:paraId="4425C2CA" w14:textId="77777777" w:rsidR="00711444" w:rsidRPr="004D0DAA" w:rsidRDefault="00711444" w:rsidP="00AA2A4C">
            <w:pPr>
              <w:pStyle w:val="TAH"/>
              <w:rPr>
                <w:lang w:eastAsia="en-US"/>
              </w:rPr>
            </w:pPr>
            <w:r w:rsidRPr="004D0DAA">
              <w:rPr>
                <w:lang w:eastAsia="en-US"/>
              </w:rPr>
              <w:t>bits</w:t>
            </w:r>
            <w:r w:rsidRPr="004D0DAA">
              <w:rPr>
                <w:lang w:eastAsia="en-US"/>
              </w:rPr>
              <w:br/>
              <w:t>54321</w:t>
            </w:r>
          </w:p>
        </w:tc>
        <w:tc>
          <w:tcPr>
            <w:tcW w:w="4239" w:type="dxa"/>
          </w:tcPr>
          <w:p w14:paraId="77AE9CF7" w14:textId="77777777" w:rsidR="00711444" w:rsidRPr="004D0DAA" w:rsidRDefault="00711444" w:rsidP="00AA2A4C">
            <w:pPr>
              <w:pStyle w:val="TAH"/>
              <w:rPr>
                <w:lang w:eastAsia="en-US"/>
              </w:rPr>
            </w:pPr>
            <w:r w:rsidRPr="004D0DAA">
              <w:rPr>
                <w:lang w:eastAsia="en-US"/>
              </w:rPr>
              <w:t>CPS</w:t>
            </w:r>
          </w:p>
        </w:tc>
      </w:tr>
      <w:tr w:rsidR="00711444" w:rsidRPr="004D0DAA" w14:paraId="7C8F712E" w14:textId="77777777" w:rsidTr="00AA2A4C">
        <w:tblPrEx>
          <w:tblCellMar>
            <w:top w:w="0" w:type="dxa"/>
            <w:bottom w:w="0" w:type="dxa"/>
          </w:tblCellMar>
        </w:tblPrEx>
        <w:trPr>
          <w:cantSplit/>
          <w:jc w:val="center"/>
        </w:trPr>
        <w:tc>
          <w:tcPr>
            <w:tcW w:w="1446" w:type="dxa"/>
          </w:tcPr>
          <w:p w14:paraId="2D519E2A" w14:textId="77777777" w:rsidR="00711444" w:rsidRPr="004D0DAA" w:rsidRDefault="00711444" w:rsidP="00AA2A4C">
            <w:pPr>
              <w:pStyle w:val="TAC"/>
              <w:rPr>
                <w:lang w:eastAsia="en-US"/>
              </w:rPr>
            </w:pPr>
            <w:r w:rsidRPr="004D0DAA">
              <w:rPr>
                <w:lang w:eastAsia="en-US"/>
              </w:rPr>
              <w:t>00000</w:t>
            </w:r>
          </w:p>
        </w:tc>
        <w:tc>
          <w:tcPr>
            <w:tcW w:w="4239" w:type="dxa"/>
          </w:tcPr>
          <w:p w14:paraId="2F2D6BDB" w14:textId="77777777" w:rsidR="00711444" w:rsidRPr="004D0DAA" w:rsidRDefault="00711444" w:rsidP="00AA2A4C">
            <w:pPr>
              <w:pStyle w:val="TAL"/>
              <w:rPr>
                <w:lang w:eastAsia="en-US"/>
              </w:rPr>
            </w:pPr>
            <w:r w:rsidRPr="004D0DAA">
              <w:rPr>
                <w:lang w:eastAsia="en-US"/>
              </w:rPr>
              <w:t>(UAS-9/P1 ; UAS-9/P1)</w:t>
            </w:r>
          </w:p>
        </w:tc>
      </w:tr>
      <w:tr w:rsidR="00711444" w:rsidRPr="004D0DAA" w14:paraId="2D5EA34C" w14:textId="77777777" w:rsidTr="00AA2A4C">
        <w:tblPrEx>
          <w:tblCellMar>
            <w:top w:w="0" w:type="dxa"/>
            <w:bottom w:w="0" w:type="dxa"/>
          </w:tblCellMar>
        </w:tblPrEx>
        <w:trPr>
          <w:cantSplit/>
          <w:jc w:val="center"/>
        </w:trPr>
        <w:tc>
          <w:tcPr>
            <w:tcW w:w="1446" w:type="dxa"/>
          </w:tcPr>
          <w:p w14:paraId="25F5F83F" w14:textId="77777777" w:rsidR="00711444" w:rsidRPr="004D0DAA" w:rsidRDefault="00711444" w:rsidP="00AA2A4C">
            <w:pPr>
              <w:pStyle w:val="TAC"/>
              <w:rPr>
                <w:lang w:eastAsia="en-US"/>
              </w:rPr>
            </w:pPr>
            <w:r w:rsidRPr="004D0DAA">
              <w:rPr>
                <w:lang w:eastAsia="en-US"/>
              </w:rPr>
              <w:t>00001</w:t>
            </w:r>
          </w:p>
        </w:tc>
        <w:tc>
          <w:tcPr>
            <w:tcW w:w="4239" w:type="dxa"/>
          </w:tcPr>
          <w:p w14:paraId="684154C9" w14:textId="77777777" w:rsidR="00711444" w:rsidRPr="004D0DAA" w:rsidRDefault="00711444" w:rsidP="00AA2A4C">
            <w:pPr>
              <w:pStyle w:val="TAL"/>
              <w:rPr>
                <w:lang w:eastAsia="en-US"/>
              </w:rPr>
            </w:pPr>
            <w:r w:rsidRPr="004D0DAA">
              <w:rPr>
                <w:lang w:eastAsia="en-US"/>
              </w:rPr>
              <w:t>(UAS-9/P1 ; UAS-9/P2)</w:t>
            </w:r>
          </w:p>
        </w:tc>
      </w:tr>
      <w:tr w:rsidR="00711444" w:rsidRPr="004D0DAA" w14:paraId="5FD243EA" w14:textId="77777777" w:rsidTr="00AA2A4C">
        <w:tblPrEx>
          <w:tblCellMar>
            <w:top w:w="0" w:type="dxa"/>
            <w:bottom w:w="0" w:type="dxa"/>
          </w:tblCellMar>
        </w:tblPrEx>
        <w:trPr>
          <w:cantSplit/>
          <w:jc w:val="center"/>
        </w:trPr>
        <w:tc>
          <w:tcPr>
            <w:tcW w:w="1446" w:type="dxa"/>
          </w:tcPr>
          <w:p w14:paraId="22AB7340" w14:textId="77777777" w:rsidR="00711444" w:rsidRPr="004D0DAA" w:rsidRDefault="00711444" w:rsidP="00AA2A4C">
            <w:pPr>
              <w:pStyle w:val="TAC"/>
              <w:rPr>
                <w:lang w:eastAsia="en-US"/>
              </w:rPr>
            </w:pPr>
            <w:r w:rsidRPr="004D0DAA">
              <w:rPr>
                <w:lang w:eastAsia="en-US"/>
              </w:rPr>
              <w:t>00010</w:t>
            </w:r>
          </w:p>
        </w:tc>
        <w:tc>
          <w:tcPr>
            <w:tcW w:w="4239" w:type="dxa"/>
          </w:tcPr>
          <w:p w14:paraId="26713385" w14:textId="77777777" w:rsidR="00711444" w:rsidRPr="004D0DAA" w:rsidRDefault="00711444" w:rsidP="00AA2A4C">
            <w:pPr>
              <w:pStyle w:val="TAL"/>
              <w:rPr>
                <w:lang w:eastAsia="en-US"/>
              </w:rPr>
            </w:pPr>
            <w:r w:rsidRPr="004D0DAA">
              <w:rPr>
                <w:lang w:eastAsia="en-US"/>
              </w:rPr>
              <w:t>(UAS-9/P1 ; UAS-9/P3)</w:t>
            </w:r>
          </w:p>
        </w:tc>
      </w:tr>
      <w:tr w:rsidR="00711444" w:rsidRPr="004D0DAA" w14:paraId="326108F8" w14:textId="77777777" w:rsidTr="00AA2A4C">
        <w:tblPrEx>
          <w:tblCellMar>
            <w:top w:w="0" w:type="dxa"/>
            <w:bottom w:w="0" w:type="dxa"/>
          </w:tblCellMar>
        </w:tblPrEx>
        <w:trPr>
          <w:cantSplit/>
          <w:jc w:val="center"/>
        </w:trPr>
        <w:tc>
          <w:tcPr>
            <w:tcW w:w="1446" w:type="dxa"/>
          </w:tcPr>
          <w:p w14:paraId="2084569B" w14:textId="77777777" w:rsidR="00711444" w:rsidRPr="004D0DAA" w:rsidRDefault="00711444" w:rsidP="00AA2A4C">
            <w:pPr>
              <w:pStyle w:val="TAC"/>
              <w:rPr>
                <w:lang w:eastAsia="en-US"/>
              </w:rPr>
            </w:pPr>
            <w:r w:rsidRPr="004D0DAA">
              <w:rPr>
                <w:lang w:eastAsia="en-US"/>
              </w:rPr>
              <w:t>00011</w:t>
            </w:r>
          </w:p>
        </w:tc>
        <w:tc>
          <w:tcPr>
            <w:tcW w:w="4239" w:type="dxa"/>
          </w:tcPr>
          <w:p w14:paraId="0FFB2FAF" w14:textId="77777777" w:rsidR="00711444" w:rsidRPr="004D0DAA" w:rsidRDefault="00711444" w:rsidP="00AA2A4C">
            <w:pPr>
              <w:pStyle w:val="TAL"/>
              <w:rPr>
                <w:lang w:eastAsia="en-US"/>
              </w:rPr>
            </w:pPr>
            <w:r w:rsidRPr="004D0DAA">
              <w:rPr>
                <w:lang w:eastAsia="en-US"/>
              </w:rPr>
              <w:t>(UAS-9/P2 ; UAS-9/P1)</w:t>
            </w:r>
          </w:p>
        </w:tc>
      </w:tr>
      <w:tr w:rsidR="00711444" w:rsidRPr="004D0DAA" w14:paraId="494CABFC" w14:textId="77777777" w:rsidTr="00AA2A4C">
        <w:tblPrEx>
          <w:tblCellMar>
            <w:top w:w="0" w:type="dxa"/>
            <w:bottom w:w="0" w:type="dxa"/>
          </w:tblCellMar>
        </w:tblPrEx>
        <w:trPr>
          <w:cantSplit/>
          <w:jc w:val="center"/>
        </w:trPr>
        <w:tc>
          <w:tcPr>
            <w:tcW w:w="1446" w:type="dxa"/>
          </w:tcPr>
          <w:p w14:paraId="4FA1D501" w14:textId="77777777" w:rsidR="00711444" w:rsidRPr="004D0DAA" w:rsidRDefault="00711444" w:rsidP="00AA2A4C">
            <w:pPr>
              <w:pStyle w:val="TAC"/>
              <w:rPr>
                <w:lang w:eastAsia="en-US"/>
              </w:rPr>
            </w:pPr>
            <w:r w:rsidRPr="004D0DAA">
              <w:rPr>
                <w:lang w:eastAsia="en-US"/>
              </w:rPr>
              <w:t>00100</w:t>
            </w:r>
          </w:p>
        </w:tc>
        <w:tc>
          <w:tcPr>
            <w:tcW w:w="4239" w:type="dxa"/>
          </w:tcPr>
          <w:p w14:paraId="0E756913" w14:textId="77777777" w:rsidR="00711444" w:rsidRPr="004D0DAA" w:rsidRDefault="00711444" w:rsidP="00AA2A4C">
            <w:pPr>
              <w:pStyle w:val="TAL"/>
              <w:rPr>
                <w:lang w:eastAsia="en-US"/>
              </w:rPr>
            </w:pPr>
            <w:r w:rsidRPr="004D0DAA">
              <w:rPr>
                <w:lang w:eastAsia="en-US"/>
              </w:rPr>
              <w:t>(UAS-9/P2 ; UAS-9/P2)</w:t>
            </w:r>
          </w:p>
        </w:tc>
      </w:tr>
      <w:tr w:rsidR="00711444" w:rsidRPr="004D0DAA" w14:paraId="00BCEBE6" w14:textId="77777777" w:rsidTr="00AA2A4C">
        <w:tblPrEx>
          <w:tblCellMar>
            <w:top w:w="0" w:type="dxa"/>
            <w:bottom w:w="0" w:type="dxa"/>
          </w:tblCellMar>
        </w:tblPrEx>
        <w:trPr>
          <w:cantSplit/>
          <w:jc w:val="center"/>
        </w:trPr>
        <w:tc>
          <w:tcPr>
            <w:tcW w:w="1446" w:type="dxa"/>
          </w:tcPr>
          <w:p w14:paraId="1D6EB139" w14:textId="77777777" w:rsidR="00711444" w:rsidRPr="004D0DAA" w:rsidRDefault="00711444" w:rsidP="00AA2A4C">
            <w:pPr>
              <w:pStyle w:val="TAC"/>
              <w:rPr>
                <w:lang w:eastAsia="en-US"/>
              </w:rPr>
            </w:pPr>
            <w:r w:rsidRPr="004D0DAA">
              <w:rPr>
                <w:lang w:eastAsia="en-US"/>
              </w:rPr>
              <w:t>00101</w:t>
            </w:r>
          </w:p>
        </w:tc>
        <w:tc>
          <w:tcPr>
            <w:tcW w:w="4239" w:type="dxa"/>
          </w:tcPr>
          <w:p w14:paraId="3A91A6E8" w14:textId="77777777" w:rsidR="00711444" w:rsidRPr="004D0DAA" w:rsidRDefault="00711444" w:rsidP="00AA2A4C">
            <w:pPr>
              <w:pStyle w:val="TAL"/>
              <w:rPr>
                <w:lang w:eastAsia="en-US"/>
              </w:rPr>
            </w:pPr>
            <w:r w:rsidRPr="004D0DAA">
              <w:rPr>
                <w:lang w:eastAsia="en-US"/>
              </w:rPr>
              <w:t>(UAS-9/P2 ; UAS-9/P3)</w:t>
            </w:r>
          </w:p>
        </w:tc>
      </w:tr>
      <w:tr w:rsidR="00711444" w:rsidRPr="004D0DAA" w14:paraId="79FE2B0F" w14:textId="77777777" w:rsidTr="00AA2A4C">
        <w:tblPrEx>
          <w:tblCellMar>
            <w:top w:w="0" w:type="dxa"/>
            <w:bottom w:w="0" w:type="dxa"/>
          </w:tblCellMar>
        </w:tblPrEx>
        <w:trPr>
          <w:cantSplit/>
          <w:jc w:val="center"/>
        </w:trPr>
        <w:tc>
          <w:tcPr>
            <w:tcW w:w="1446" w:type="dxa"/>
          </w:tcPr>
          <w:p w14:paraId="6AB29352" w14:textId="77777777" w:rsidR="00711444" w:rsidRPr="004D0DAA" w:rsidRDefault="00711444" w:rsidP="00AA2A4C">
            <w:pPr>
              <w:pStyle w:val="TAC"/>
              <w:rPr>
                <w:lang w:eastAsia="en-US"/>
              </w:rPr>
            </w:pPr>
            <w:r w:rsidRPr="004D0DAA">
              <w:rPr>
                <w:lang w:eastAsia="en-US"/>
              </w:rPr>
              <w:t>00110</w:t>
            </w:r>
          </w:p>
        </w:tc>
        <w:tc>
          <w:tcPr>
            <w:tcW w:w="4239" w:type="dxa"/>
          </w:tcPr>
          <w:p w14:paraId="5FCA968B" w14:textId="77777777" w:rsidR="00711444" w:rsidRPr="004D0DAA" w:rsidRDefault="00711444" w:rsidP="00AA2A4C">
            <w:pPr>
              <w:pStyle w:val="TAL"/>
              <w:rPr>
                <w:lang w:eastAsia="en-US"/>
              </w:rPr>
            </w:pPr>
            <w:r w:rsidRPr="004D0DAA">
              <w:rPr>
                <w:lang w:eastAsia="en-US"/>
              </w:rPr>
              <w:t>(UAS-9/P3 ; UAS-9/P1)</w:t>
            </w:r>
          </w:p>
        </w:tc>
      </w:tr>
      <w:tr w:rsidR="00711444" w:rsidRPr="004D0DAA" w14:paraId="259AD5B5" w14:textId="77777777" w:rsidTr="00AA2A4C">
        <w:tblPrEx>
          <w:tblCellMar>
            <w:top w:w="0" w:type="dxa"/>
            <w:bottom w:w="0" w:type="dxa"/>
          </w:tblCellMar>
        </w:tblPrEx>
        <w:trPr>
          <w:cantSplit/>
          <w:jc w:val="center"/>
        </w:trPr>
        <w:tc>
          <w:tcPr>
            <w:tcW w:w="1446" w:type="dxa"/>
          </w:tcPr>
          <w:p w14:paraId="26C6D31D" w14:textId="77777777" w:rsidR="00711444" w:rsidRPr="004D0DAA" w:rsidRDefault="00711444" w:rsidP="00AA2A4C">
            <w:pPr>
              <w:pStyle w:val="TAC"/>
              <w:rPr>
                <w:lang w:eastAsia="en-US"/>
              </w:rPr>
            </w:pPr>
            <w:r w:rsidRPr="004D0DAA">
              <w:rPr>
                <w:lang w:eastAsia="en-US"/>
              </w:rPr>
              <w:t>00111</w:t>
            </w:r>
          </w:p>
        </w:tc>
        <w:tc>
          <w:tcPr>
            <w:tcW w:w="4239" w:type="dxa"/>
          </w:tcPr>
          <w:p w14:paraId="349DD255" w14:textId="77777777" w:rsidR="00711444" w:rsidRPr="004D0DAA" w:rsidRDefault="00711444" w:rsidP="00AA2A4C">
            <w:pPr>
              <w:pStyle w:val="TAL"/>
              <w:rPr>
                <w:lang w:eastAsia="en-US"/>
              </w:rPr>
            </w:pPr>
            <w:r w:rsidRPr="004D0DAA">
              <w:rPr>
                <w:lang w:eastAsia="en-US"/>
              </w:rPr>
              <w:t>(UAS-9/P3 ; UAS-9/P2)</w:t>
            </w:r>
          </w:p>
        </w:tc>
      </w:tr>
      <w:tr w:rsidR="00711444" w:rsidRPr="004D0DAA" w14:paraId="04995164" w14:textId="77777777" w:rsidTr="00AA2A4C">
        <w:tblPrEx>
          <w:tblCellMar>
            <w:top w:w="0" w:type="dxa"/>
            <w:bottom w:w="0" w:type="dxa"/>
          </w:tblCellMar>
        </w:tblPrEx>
        <w:trPr>
          <w:cantSplit/>
          <w:jc w:val="center"/>
        </w:trPr>
        <w:tc>
          <w:tcPr>
            <w:tcW w:w="1446" w:type="dxa"/>
          </w:tcPr>
          <w:p w14:paraId="40053787" w14:textId="77777777" w:rsidR="00711444" w:rsidRPr="004D0DAA" w:rsidRDefault="00711444" w:rsidP="00AA2A4C">
            <w:pPr>
              <w:pStyle w:val="TAC"/>
              <w:rPr>
                <w:lang w:eastAsia="en-US"/>
              </w:rPr>
            </w:pPr>
            <w:r w:rsidRPr="004D0DAA">
              <w:rPr>
                <w:lang w:eastAsia="en-US"/>
              </w:rPr>
              <w:t>01000</w:t>
            </w:r>
          </w:p>
        </w:tc>
        <w:tc>
          <w:tcPr>
            <w:tcW w:w="4239" w:type="dxa"/>
          </w:tcPr>
          <w:p w14:paraId="2330076B" w14:textId="77777777" w:rsidR="00711444" w:rsidRPr="004D0DAA" w:rsidRDefault="00711444" w:rsidP="00AA2A4C">
            <w:pPr>
              <w:pStyle w:val="TAL"/>
              <w:rPr>
                <w:lang w:eastAsia="en-US"/>
              </w:rPr>
            </w:pPr>
            <w:r w:rsidRPr="004D0DAA">
              <w:rPr>
                <w:lang w:eastAsia="en-US"/>
              </w:rPr>
              <w:t>(UAS-9/P3 ; UAS-9/P3)</w:t>
            </w:r>
          </w:p>
        </w:tc>
      </w:tr>
      <w:tr w:rsidR="00711444" w:rsidRPr="004D0DAA" w14:paraId="61362382" w14:textId="77777777" w:rsidTr="00AA2A4C">
        <w:tblPrEx>
          <w:tblCellMar>
            <w:top w:w="0" w:type="dxa"/>
            <w:bottom w:w="0" w:type="dxa"/>
          </w:tblCellMar>
        </w:tblPrEx>
        <w:trPr>
          <w:cantSplit/>
          <w:jc w:val="center"/>
        </w:trPr>
        <w:tc>
          <w:tcPr>
            <w:tcW w:w="1446" w:type="dxa"/>
          </w:tcPr>
          <w:p w14:paraId="08D421AE" w14:textId="77777777" w:rsidR="00711444" w:rsidRPr="004D0DAA" w:rsidRDefault="00711444" w:rsidP="00AA2A4C">
            <w:pPr>
              <w:pStyle w:val="TAC"/>
              <w:rPr>
                <w:lang w:eastAsia="en-US"/>
              </w:rPr>
            </w:pPr>
            <w:r w:rsidRPr="004D0DAA">
              <w:rPr>
                <w:lang w:eastAsia="en-US"/>
              </w:rPr>
              <w:t>01001</w:t>
            </w:r>
          </w:p>
        </w:tc>
        <w:tc>
          <w:tcPr>
            <w:tcW w:w="4239" w:type="dxa"/>
          </w:tcPr>
          <w:p w14:paraId="4D1CB41A" w14:textId="77777777" w:rsidR="00711444" w:rsidRPr="004D0DAA" w:rsidRDefault="00711444" w:rsidP="00AA2A4C">
            <w:pPr>
              <w:pStyle w:val="TAL"/>
              <w:rPr>
                <w:lang w:eastAsia="en-US"/>
              </w:rPr>
            </w:pPr>
            <w:r w:rsidRPr="004D0DAA">
              <w:rPr>
                <w:lang w:eastAsia="en-US"/>
              </w:rPr>
              <w:t>(UAS-8/P1 ; UAS-8/P1)</w:t>
            </w:r>
          </w:p>
        </w:tc>
      </w:tr>
      <w:tr w:rsidR="00711444" w:rsidRPr="004D0DAA" w14:paraId="12DCE4A3" w14:textId="77777777" w:rsidTr="00AA2A4C">
        <w:tblPrEx>
          <w:tblCellMar>
            <w:top w:w="0" w:type="dxa"/>
            <w:bottom w:w="0" w:type="dxa"/>
          </w:tblCellMar>
        </w:tblPrEx>
        <w:trPr>
          <w:cantSplit/>
          <w:jc w:val="center"/>
        </w:trPr>
        <w:tc>
          <w:tcPr>
            <w:tcW w:w="1446" w:type="dxa"/>
          </w:tcPr>
          <w:p w14:paraId="74FD18CD" w14:textId="77777777" w:rsidR="00711444" w:rsidRPr="004D0DAA" w:rsidRDefault="00711444" w:rsidP="00AA2A4C">
            <w:pPr>
              <w:pStyle w:val="TAC"/>
              <w:rPr>
                <w:lang w:eastAsia="en-US"/>
              </w:rPr>
            </w:pPr>
            <w:r w:rsidRPr="004D0DAA">
              <w:rPr>
                <w:lang w:eastAsia="en-US"/>
              </w:rPr>
              <w:t>01010</w:t>
            </w:r>
          </w:p>
        </w:tc>
        <w:tc>
          <w:tcPr>
            <w:tcW w:w="4239" w:type="dxa"/>
          </w:tcPr>
          <w:p w14:paraId="2CAD63DD" w14:textId="77777777" w:rsidR="00711444" w:rsidRPr="004D0DAA" w:rsidRDefault="00711444" w:rsidP="00AA2A4C">
            <w:pPr>
              <w:pStyle w:val="TAL"/>
              <w:rPr>
                <w:lang w:eastAsia="en-US"/>
              </w:rPr>
            </w:pPr>
            <w:r w:rsidRPr="004D0DAA">
              <w:rPr>
                <w:lang w:eastAsia="en-US"/>
              </w:rPr>
              <w:t>(UAS-8/P1 ; UAS-8/P2)</w:t>
            </w:r>
          </w:p>
        </w:tc>
      </w:tr>
      <w:tr w:rsidR="00711444" w:rsidRPr="004D0DAA" w14:paraId="18F30AD7" w14:textId="77777777" w:rsidTr="00AA2A4C">
        <w:tblPrEx>
          <w:tblCellMar>
            <w:top w:w="0" w:type="dxa"/>
            <w:bottom w:w="0" w:type="dxa"/>
          </w:tblCellMar>
        </w:tblPrEx>
        <w:trPr>
          <w:cantSplit/>
          <w:jc w:val="center"/>
        </w:trPr>
        <w:tc>
          <w:tcPr>
            <w:tcW w:w="1446" w:type="dxa"/>
          </w:tcPr>
          <w:p w14:paraId="3F3C0267" w14:textId="77777777" w:rsidR="00711444" w:rsidRPr="004D0DAA" w:rsidRDefault="00711444" w:rsidP="00AA2A4C">
            <w:pPr>
              <w:pStyle w:val="TAC"/>
              <w:rPr>
                <w:lang w:eastAsia="en-US"/>
              </w:rPr>
            </w:pPr>
            <w:r w:rsidRPr="004D0DAA">
              <w:rPr>
                <w:lang w:eastAsia="en-US"/>
              </w:rPr>
              <w:t>01011</w:t>
            </w:r>
          </w:p>
        </w:tc>
        <w:tc>
          <w:tcPr>
            <w:tcW w:w="4239" w:type="dxa"/>
          </w:tcPr>
          <w:p w14:paraId="7C35044D" w14:textId="77777777" w:rsidR="00711444" w:rsidRPr="004D0DAA" w:rsidRDefault="00711444" w:rsidP="00AA2A4C">
            <w:pPr>
              <w:pStyle w:val="TAL"/>
              <w:rPr>
                <w:lang w:eastAsia="en-US"/>
              </w:rPr>
            </w:pPr>
            <w:r w:rsidRPr="004D0DAA">
              <w:rPr>
                <w:lang w:eastAsia="en-US"/>
              </w:rPr>
              <w:t>(UAS-8/P2 ; UAS-8/P1)</w:t>
            </w:r>
          </w:p>
        </w:tc>
      </w:tr>
      <w:tr w:rsidR="00711444" w:rsidRPr="004D0DAA" w14:paraId="71F74CBE" w14:textId="77777777" w:rsidTr="00AA2A4C">
        <w:tblPrEx>
          <w:tblCellMar>
            <w:top w:w="0" w:type="dxa"/>
            <w:bottom w:w="0" w:type="dxa"/>
          </w:tblCellMar>
        </w:tblPrEx>
        <w:trPr>
          <w:cantSplit/>
          <w:jc w:val="center"/>
        </w:trPr>
        <w:tc>
          <w:tcPr>
            <w:tcW w:w="1446" w:type="dxa"/>
          </w:tcPr>
          <w:p w14:paraId="3EF3A02A" w14:textId="77777777" w:rsidR="00711444" w:rsidRPr="004D0DAA" w:rsidRDefault="00711444" w:rsidP="00AA2A4C">
            <w:pPr>
              <w:pStyle w:val="TAC"/>
              <w:rPr>
                <w:lang w:eastAsia="en-US"/>
              </w:rPr>
            </w:pPr>
            <w:r w:rsidRPr="004D0DAA">
              <w:rPr>
                <w:lang w:eastAsia="en-US"/>
              </w:rPr>
              <w:t>01100</w:t>
            </w:r>
          </w:p>
        </w:tc>
        <w:tc>
          <w:tcPr>
            <w:tcW w:w="4239" w:type="dxa"/>
          </w:tcPr>
          <w:p w14:paraId="23543EBB" w14:textId="77777777" w:rsidR="00711444" w:rsidRPr="004D0DAA" w:rsidRDefault="00711444" w:rsidP="00AA2A4C">
            <w:pPr>
              <w:pStyle w:val="TAL"/>
              <w:rPr>
                <w:lang w:eastAsia="en-US"/>
              </w:rPr>
            </w:pPr>
            <w:r w:rsidRPr="004D0DAA">
              <w:rPr>
                <w:lang w:eastAsia="en-US"/>
              </w:rPr>
              <w:t>(UAS-8/P2 ; UAS-8/P2)</w:t>
            </w:r>
          </w:p>
        </w:tc>
      </w:tr>
      <w:tr w:rsidR="00711444" w:rsidRPr="004D0DAA" w14:paraId="342644BF" w14:textId="77777777" w:rsidTr="00AA2A4C">
        <w:tblPrEx>
          <w:tblCellMar>
            <w:top w:w="0" w:type="dxa"/>
            <w:bottom w:w="0" w:type="dxa"/>
          </w:tblCellMar>
        </w:tblPrEx>
        <w:trPr>
          <w:cantSplit/>
          <w:jc w:val="center"/>
        </w:trPr>
        <w:tc>
          <w:tcPr>
            <w:tcW w:w="1446" w:type="dxa"/>
          </w:tcPr>
          <w:p w14:paraId="374819CC" w14:textId="77777777" w:rsidR="00711444" w:rsidRPr="004D0DAA" w:rsidRDefault="00711444" w:rsidP="00AA2A4C">
            <w:pPr>
              <w:pStyle w:val="TAC"/>
              <w:rPr>
                <w:lang w:eastAsia="en-US"/>
              </w:rPr>
            </w:pPr>
            <w:r w:rsidRPr="004D0DAA">
              <w:rPr>
                <w:lang w:eastAsia="en-US"/>
              </w:rPr>
              <w:t>01101</w:t>
            </w:r>
          </w:p>
        </w:tc>
        <w:tc>
          <w:tcPr>
            <w:tcW w:w="4239" w:type="dxa"/>
          </w:tcPr>
          <w:p w14:paraId="64127BDA" w14:textId="77777777" w:rsidR="00711444" w:rsidRPr="004D0DAA" w:rsidRDefault="00711444" w:rsidP="00AA2A4C">
            <w:pPr>
              <w:pStyle w:val="TAL"/>
              <w:rPr>
                <w:lang w:eastAsia="en-US"/>
              </w:rPr>
            </w:pPr>
            <w:r w:rsidRPr="004D0DAA">
              <w:rPr>
                <w:lang w:eastAsia="en-US"/>
              </w:rPr>
              <w:t>(UAS-7/P1 ; UAS-7/P1)</w:t>
            </w:r>
          </w:p>
        </w:tc>
      </w:tr>
      <w:tr w:rsidR="00711444" w:rsidRPr="004D0DAA" w14:paraId="627824FE" w14:textId="77777777" w:rsidTr="00AA2A4C">
        <w:tblPrEx>
          <w:tblCellMar>
            <w:top w:w="0" w:type="dxa"/>
            <w:bottom w:w="0" w:type="dxa"/>
          </w:tblCellMar>
        </w:tblPrEx>
        <w:trPr>
          <w:cantSplit/>
          <w:jc w:val="center"/>
        </w:trPr>
        <w:tc>
          <w:tcPr>
            <w:tcW w:w="1446" w:type="dxa"/>
          </w:tcPr>
          <w:p w14:paraId="3B28121A" w14:textId="77777777" w:rsidR="00711444" w:rsidRPr="004D0DAA" w:rsidRDefault="00711444" w:rsidP="00AA2A4C">
            <w:pPr>
              <w:pStyle w:val="TAC"/>
              <w:rPr>
                <w:lang w:eastAsia="en-US"/>
              </w:rPr>
            </w:pPr>
            <w:r w:rsidRPr="004D0DAA">
              <w:rPr>
                <w:lang w:eastAsia="en-US"/>
              </w:rPr>
              <w:t>01110</w:t>
            </w:r>
          </w:p>
        </w:tc>
        <w:tc>
          <w:tcPr>
            <w:tcW w:w="4239" w:type="dxa"/>
          </w:tcPr>
          <w:p w14:paraId="0B4B4A90" w14:textId="77777777" w:rsidR="00711444" w:rsidRPr="004D0DAA" w:rsidRDefault="00711444" w:rsidP="00AA2A4C">
            <w:pPr>
              <w:pStyle w:val="TAL"/>
              <w:rPr>
                <w:lang w:eastAsia="en-US"/>
              </w:rPr>
            </w:pPr>
            <w:r w:rsidRPr="004D0DAA">
              <w:rPr>
                <w:lang w:eastAsia="en-US"/>
              </w:rPr>
              <w:t>(UAS-7/P1 ; UAS-7/P2)</w:t>
            </w:r>
          </w:p>
        </w:tc>
      </w:tr>
      <w:tr w:rsidR="00711444" w:rsidRPr="004D0DAA" w14:paraId="3995CF92" w14:textId="77777777" w:rsidTr="00AA2A4C">
        <w:tblPrEx>
          <w:tblCellMar>
            <w:top w:w="0" w:type="dxa"/>
            <w:bottom w:w="0" w:type="dxa"/>
          </w:tblCellMar>
        </w:tblPrEx>
        <w:trPr>
          <w:cantSplit/>
          <w:jc w:val="center"/>
        </w:trPr>
        <w:tc>
          <w:tcPr>
            <w:tcW w:w="1446" w:type="dxa"/>
          </w:tcPr>
          <w:p w14:paraId="36300455" w14:textId="77777777" w:rsidR="00711444" w:rsidRPr="004D0DAA" w:rsidRDefault="00711444" w:rsidP="00AA2A4C">
            <w:pPr>
              <w:pStyle w:val="TAC"/>
              <w:rPr>
                <w:lang w:eastAsia="en-US"/>
              </w:rPr>
            </w:pPr>
            <w:r w:rsidRPr="004D0DAA">
              <w:rPr>
                <w:lang w:eastAsia="en-US"/>
              </w:rPr>
              <w:t>01111</w:t>
            </w:r>
          </w:p>
        </w:tc>
        <w:tc>
          <w:tcPr>
            <w:tcW w:w="4239" w:type="dxa"/>
          </w:tcPr>
          <w:p w14:paraId="6B230578" w14:textId="77777777" w:rsidR="00711444" w:rsidRPr="004D0DAA" w:rsidRDefault="00711444" w:rsidP="00AA2A4C">
            <w:pPr>
              <w:pStyle w:val="TAL"/>
              <w:rPr>
                <w:lang w:eastAsia="en-US"/>
              </w:rPr>
            </w:pPr>
            <w:r w:rsidRPr="004D0DAA">
              <w:rPr>
                <w:lang w:eastAsia="en-US"/>
              </w:rPr>
              <w:t>(UAS-7/P2 ; UAS-7/P1)</w:t>
            </w:r>
          </w:p>
        </w:tc>
      </w:tr>
      <w:tr w:rsidR="00711444" w:rsidRPr="004D0DAA" w14:paraId="54453316" w14:textId="77777777" w:rsidTr="00AA2A4C">
        <w:tblPrEx>
          <w:tblCellMar>
            <w:top w:w="0" w:type="dxa"/>
            <w:bottom w:w="0" w:type="dxa"/>
          </w:tblCellMar>
        </w:tblPrEx>
        <w:trPr>
          <w:cantSplit/>
          <w:jc w:val="center"/>
        </w:trPr>
        <w:tc>
          <w:tcPr>
            <w:tcW w:w="1446" w:type="dxa"/>
          </w:tcPr>
          <w:p w14:paraId="4348DAFF" w14:textId="77777777" w:rsidR="00711444" w:rsidRPr="004D0DAA" w:rsidRDefault="00711444" w:rsidP="00AA2A4C">
            <w:pPr>
              <w:pStyle w:val="TAC"/>
              <w:rPr>
                <w:lang w:eastAsia="en-US"/>
              </w:rPr>
            </w:pPr>
            <w:r w:rsidRPr="004D0DAA">
              <w:rPr>
                <w:lang w:eastAsia="en-US"/>
              </w:rPr>
              <w:t>10000</w:t>
            </w:r>
          </w:p>
        </w:tc>
        <w:tc>
          <w:tcPr>
            <w:tcW w:w="4239" w:type="dxa"/>
          </w:tcPr>
          <w:p w14:paraId="5D064300" w14:textId="77777777" w:rsidR="00711444" w:rsidRPr="004D0DAA" w:rsidRDefault="00711444" w:rsidP="00AA2A4C">
            <w:pPr>
              <w:pStyle w:val="TAL"/>
              <w:rPr>
                <w:lang w:eastAsia="en-US"/>
              </w:rPr>
            </w:pPr>
            <w:r w:rsidRPr="004D0DAA">
              <w:rPr>
                <w:lang w:eastAsia="en-US"/>
              </w:rPr>
              <w:t>(UAS-7/P2 ; UAS-7/P2)</w:t>
            </w:r>
          </w:p>
        </w:tc>
      </w:tr>
      <w:tr w:rsidR="00711444" w:rsidRPr="004D0DAA" w14:paraId="41D58DF5" w14:textId="77777777" w:rsidTr="00AA2A4C">
        <w:tblPrEx>
          <w:tblCellMar>
            <w:top w:w="0" w:type="dxa"/>
            <w:bottom w:w="0" w:type="dxa"/>
          </w:tblCellMar>
        </w:tblPrEx>
        <w:trPr>
          <w:cantSplit/>
          <w:jc w:val="center"/>
        </w:trPr>
        <w:tc>
          <w:tcPr>
            <w:tcW w:w="1446" w:type="dxa"/>
          </w:tcPr>
          <w:p w14:paraId="7DC5B5E5" w14:textId="77777777" w:rsidR="00711444" w:rsidRPr="004D0DAA" w:rsidRDefault="00711444" w:rsidP="00AA2A4C">
            <w:pPr>
              <w:pStyle w:val="TAC"/>
              <w:rPr>
                <w:lang w:eastAsia="en-US"/>
              </w:rPr>
            </w:pPr>
          </w:p>
        </w:tc>
        <w:tc>
          <w:tcPr>
            <w:tcW w:w="4239" w:type="dxa"/>
          </w:tcPr>
          <w:p w14:paraId="24E00968"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64AC5121" w14:textId="77777777" w:rsidTr="00AA2A4C">
        <w:tblPrEx>
          <w:tblCellMar>
            <w:top w:w="0" w:type="dxa"/>
            <w:bottom w:w="0" w:type="dxa"/>
          </w:tblCellMar>
        </w:tblPrEx>
        <w:trPr>
          <w:cantSplit/>
          <w:jc w:val="center"/>
        </w:trPr>
        <w:tc>
          <w:tcPr>
            <w:tcW w:w="5685" w:type="dxa"/>
            <w:gridSpan w:val="2"/>
          </w:tcPr>
          <w:p w14:paraId="38B3CC2B"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41B15214" w14:textId="77777777" w:rsidR="00711444" w:rsidRPr="004D0DAA" w:rsidRDefault="00711444" w:rsidP="00711444"/>
    <w:p w14:paraId="4AA6A31B" w14:textId="77777777" w:rsidR="00711444" w:rsidRPr="004D0DAA" w:rsidRDefault="00711444" w:rsidP="00711444">
      <w:pPr>
        <w:pStyle w:val="Heading4"/>
      </w:pPr>
      <w:bookmarkStart w:id="565" w:name="_Toc516669745"/>
      <w:r w:rsidRPr="004D0DAA">
        <w:t>10.4.8a.5</w:t>
      </w:r>
      <w:r w:rsidRPr="004D0DAA">
        <w:tab/>
        <w:t>Header type 5</w:t>
      </w:r>
      <w:bookmarkEnd w:id="565"/>
    </w:p>
    <w:p w14:paraId="75CC147A" w14:textId="77777777" w:rsidR="00711444" w:rsidRPr="004D0DAA" w:rsidRDefault="00711444" w:rsidP="00711444">
      <w:r w:rsidRPr="004D0DAA">
        <w:t xml:space="preserve">In downlink, the Coding and Puncturing Scheme indicator field indicates the kind of channel coding and puncturing used for data block as defined in table 10.4.8a.5.1 for EGPRS2-A TBF and 10.4.8a.5.1a for EGPRS2-B TBF and table 10.4.8a.5.3. </w:t>
      </w:r>
    </w:p>
    <w:p w14:paraId="313A8C13" w14:textId="77777777" w:rsidR="00711444" w:rsidRPr="004D0DAA" w:rsidRDefault="00711444" w:rsidP="00711444">
      <w:pPr>
        <w:pStyle w:val="TH"/>
      </w:pPr>
      <w:r w:rsidRPr="004D0DAA">
        <w:lastRenderedPageBreak/>
        <w:t xml:space="preserve">Table 10.4.8a.5.1: Bit 6 of Coding and Puncturing Scheme indicator field for </w:t>
      </w:r>
      <w:r w:rsidRPr="004D0DAA">
        <w:br/>
        <w:t>Header type 5 in downlink for EGPRS2-A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7F0932E3" w14:textId="77777777" w:rsidTr="00AA2A4C">
        <w:tblPrEx>
          <w:tblCellMar>
            <w:top w:w="0" w:type="dxa"/>
            <w:bottom w:w="0" w:type="dxa"/>
          </w:tblCellMar>
        </w:tblPrEx>
        <w:trPr>
          <w:cantSplit/>
          <w:jc w:val="center"/>
        </w:trPr>
        <w:tc>
          <w:tcPr>
            <w:tcW w:w="1446" w:type="dxa"/>
          </w:tcPr>
          <w:p w14:paraId="2E1C8334" w14:textId="77777777" w:rsidR="00711444" w:rsidRPr="004D0DAA" w:rsidRDefault="00711444" w:rsidP="00AA2A4C">
            <w:pPr>
              <w:pStyle w:val="TAH"/>
              <w:rPr>
                <w:lang w:eastAsia="en-US"/>
              </w:rPr>
            </w:pPr>
            <w:r w:rsidRPr="004D0DAA">
              <w:rPr>
                <w:lang w:eastAsia="en-US"/>
              </w:rPr>
              <w:t>bit</w:t>
            </w:r>
            <w:r w:rsidRPr="004D0DAA">
              <w:rPr>
                <w:lang w:eastAsia="en-US"/>
              </w:rPr>
              <w:br/>
              <w:t>6</w:t>
            </w:r>
          </w:p>
        </w:tc>
        <w:tc>
          <w:tcPr>
            <w:tcW w:w="4239" w:type="dxa"/>
          </w:tcPr>
          <w:p w14:paraId="16E2349D" w14:textId="77777777" w:rsidR="00711444" w:rsidRPr="004D0DAA" w:rsidRDefault="00711444" w:rsidP="00AA2A4C">
            <w:pPr>
              <w:pStyle w:val="TAH"/>
              <w:rPr>
                <w:lang w:eastAsia="en-US"/>
              </w:rPr>
            </w:pPr>
            <w:r w:rsidRPr="004D0DAA">
              <w:rPr>
                <w:lang w:eastAsia="en-US"/>
              </w:rPr>
              <w:t>CPS</w:t>
            </w:r>
          </w:p>
        </w:tc>
      </w:tr>
      <w:tr w:rsidR="00711444" w:rsidRPr="004D0DAA" w14:paraId="3C45230E" w14:textId="77777777" w:rsidTr="00AA2A4C">
        <w:tblPrEx>
          <w:tblCellMar>
            <w:top w:w="0" w:type="dxa"/>
            <w:bottom w:w="0" w:type="dxa"/>
          </w:tblCellMar>
        </w:tblPrEx>
        <w:trPr>
          <w:cantSplit/>
          <w:jc w:val="center"/>
        </w:trPr>
        <w:tc>
          <w:tcPr>
            <w:tcW w:w="1446" w:type="dxa"/>
          </w:tcPr>
          <w:p w14:paraId="1EF23616" w14:textId="77777777" w:rsidR="00711444" w:rsidRPr="004D0DAA" w:rsidRDefault="00711444" w:rsidP="00AA2A4C">
            <w:pPr>
              <w:pStyle w:val="TAH"/>
              <w:rPr>
                <w:lang w:eastAsia="en-US"/>
              </w:rPr>
            </w:pPr>
            <w:r w:rsidRPr="004D0DAA">
              <w:rPr>
                <w:b w:val="0"/>
                <w:bCs/>
                <w:lang w:eastAsia="en-US"/>
              </w:rPr>
              <w:t>0</w:t>
            </w:r>
          </w:p>
        </w:tc>
        <w:tc>
          <w:tcPr>
            <w:tcW w:w="4239" w:type="dxa"/>
          </w:tcPr>
          <w:p w14:paraId="4D11BB24" w14:textId="77777777" w:rsidR="00711444" w:rsidRPr="004D0DAA" w:rsidRDefault="00711444" w:rsidP="00AA2A4C">
            <w:pPr>
              <w:pStyle w:val="TAH"/>
              <w:rPr>
                <w:lang w:eastAsia="en-US"/>
              </w:rPr>
            </w:pPr>
            <w:r w:rsidRPr="004D0DAA">
              <w:rPr>
                <w:b w:val="0"/>
                <w:bCs/>
                <w:lang w:eastAsia="en-US"/>
              </w:rPr>
              <w:t>DAS-11</w:t>
            </w:r>
          </w:p>
        </w:tc>
      </w:tr>
      <w:tr w:rsidR="00711444" w:rsidRPr="004D0DAA" w14:paraId="0DDE4BCB" w14:textId="77777777" w:rsidTr="00AA2A4C">
        <w:tblPrEx>
          <w:tblCellMar>
            <w:top w:w="0" w:type="dxa"/>
            <w:bottom w:w="0" w:type="dxa"/>
          </w:tblCellMar>
        </w:tblPrEx>
        <w:trPr>
          <w:cantSplit/>
          <w:jc w:val="center"/>
        </w:trPr>
        <w:tc>
          <w:tcPr>
            <w:tcW w:w="1446" w:type="dxa"/>
          </w:tcPr>
          <w:p w14:paraId="435E94CC" w14:textId="77777777" w:rsidR="00711444" w:rsidRPr="004D0DAA" w:rsidRDefault="00711444" w:rsidP="00AA2A4C">
            <w:pPr>
              <w:pStyle w:val="TAH"/>
              <w:rPr>
                <w:lang w:eastAsia="en-US"/>
              </w:rPr>
            </w:pPr>
            <w:r w:rsidRPr="004D0DAA">
              <w:rPr>
                <w:b w:val="0"/>
                <w:bCs/>
                <w:lang w:eastAsia="en-US"/>
              </w:rPr>
              <w:t>1</w:t>
            </w:r>
          </w:p>
        </w:tc>
        <w:tc>
          <w:tcPr>
            <w:tcW w:w="4239" w:type="dxa"/>
          </w:tcPr>
          <w:p w14:paraId="1E7F1F3E" w14:textId="77777777" w:rsidR="00711444" w:rsidRPr="004D0DAA" w:rsidRDefault="00711444" w:rsidP="00AA2A4C">
            <w:pPr>
              <w:pStyle w:val="TAH"/>
              <w:rPr>
                <w:lang w:eastAsia="en-US"/>
              </w:rPr>
            </w:pPr>
            <w:r w:rsidRPr="004D0DAA">
              <w:rPr>
                <w:b w:val="0"/>
                <w:bCs/>
                <w:lang w:eastAsia="en-US"/>
              </w:rPr>
              <w:t>DAS-12</w:t>
            </w:r>
          </w:p>
        </w:tc>
      </w:tr>
      <w:tr w:rsidR="00711444" w:rsidRPr="004D0DAA" w14:paraId="55EE2621" w14:textId="77777777" w:rsidTr="00AA2A4C">
        <w:tblPrEx>
          <w:tblCellMar>
            <w:top w:w="0" w:type="dxa"/>
            <w:bottom w:w="0" w:type="dxa"/>
          </w:tblCellMar>
        </w:tblPrEx>
        <w:trPr>
          <w:cantSplit/>
          <w:jc w:val="center"/>
        </w:trPr>
        <w:tc>
          <w:tcPr>
            <w:tcW w:w="5685" w:type="dxa"/>
            <w:gridSpan w:val="2"/>
          </w:tcPr>
          <w:p w14:paraId="240E5C0D"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2C399DCD" w14:textId="77777777" w:rsidR="00711444" w:rsidRPr="004D0DAA" w:rsidRDefault="00711444" w:rsidP="00711444"/>
    <w:p w14:paraId="396784D5" w14:textId="77777777" w:rsidR="00711444" w:rsidRPr="004D0DAA" w:rsidRDefault="00711444" w:rsidP="00711444">
      <w:pPr>
        <w:pStyle w:val="TH"/>
      </w:pPr>
      <w:r w:rsidRPr="004D0DAA">
        <w:t xml:space="preserve">Table 10.4.8a.5.1a: Bit 6 of Coding and Puncturing Scheme indicator field for </w:t>
      </w:r>
      <w:r w:rsidRPr="004D0DAA">
        <w:br/>
        <w:t>Header type 5 in downlink for EGPRS2-B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4C0BC755" w14:textId="77777777" w:rsidTr="00AA2A4C">
        <w:tblPrEx>
          <w:tblCellMar>
            <w:top w:w="0" w:type="dxa"/>
            <w:bottom w:w="0" w:type="dxa"/>
          </w:tblCellMar>
        </w:tblPrEx>
        <w:trPr>
          <w:cantSplit/>
          <w:jc w:val="center"/>
        </w:trPr>
        <w:tc>
          <w:tcPr>
            <w:tcW w:w="1446" w:type="dxa"/>
          </w:tcPr>
          <w:p w14:paraId="535FC488" w14:textId="77777777" w:rsidR="00711444" w:rsidRPr="004D0DAA" w:rsidRDefault="00711444" w:rsidP="00AA2A4C">
            <w:pPr>
              <w:pStyle w:val="TAH"/>
              <w:rPr>
                <w:lang w:eastAsia="en-US"/>
              </w:rPr>
            </w:pPr>
            <w:r w:rsidRPr="004D0DAA">
              <w:rPr>
                <w:lang w:eastAsia="en-US"/>
              </w:rPr>
              <w:t>bit</w:t>
            </w:r>
            <w:r w:rsidRPr="004D0DAA">
              <w:rPr>
                <w:lang w:eastAsia="en-US"/>
              </w:rPr>
              <w:br/>
              <w:t>6</w:t>
            </w:r>
          </w:p>
        </w:tc>
        <w:tc>
          <w:tcPr>
            <w:tcW w:w="4239" w:type="dxa"/>
          </w:tcPr>
          <w:p w14:paraId="1C03777D" w14:textId="77777777" w:rsidR="00711444" w:rsidRPr="004D0DAA" w:rsidRDefault="00711444" w:rsidP="00AA2A4C">
            <w:pPr>
              <w:pStyle w:val="TAH"/>
              <w:rPr>
                <w:lang w:eastAsia="en-US"/>
              </w:rPr>
            </w:pPr>
            <w:r w:rsidRPr="004D0DAA">
              <w:rPr>
                <w:lang w:eastAsia="en-US"/>
              </w:rPr>
              <w:t>CPS</w:t>
            </w:r>
          </w:p>
        </w:tc>
      </w:tr>
      <w:tr w:rsidR="00711444" w:rsidRPr="004D0DAA" w14:paraId="296104DF" w14:textId="77777777" w:rsidTr="00AA2A4C">
        <w:tblPrEx>
          <w:tblCellMar>
            <w:top w:w="0" w:type="dxa"/>
            <w:bottom w:w="0" w:type="dxa"/>
          </w:tblCellMar>
        </w:tblPrEx>
        <w:trPr>
          <w:cantSplit/>
          <w:jc w:val="center"/>
        </w:trPr>
        <w:tc>
          <w:tcPr>
            <w:tcW w:w="1446" w:type="dxa"/>
          </w:tcPr>
          <w:p w14:paraId="7AEAE84F" w14:textId="77777777" w:rsidR="00711444" w:rsidRPr="004D0DAA" w:rsidRDefault="00711444" w:rsidP="00AA2A4C">
            <w:pPr>
              <w:pStyle w:val="TAH"/>
              <w:rPr>
                <w:lang w:eastAsia="en-US"/>
              </w:rPr>
            </w:pPr>
            <w:r w:rsidRPr="004D0DAA">
              <w:rPr>
                <w:b w:val="0"/>
                <w:bCs/>
                <w:lang w:eastAsia="en-US"/>
              </w:rPr>
              <w:t>0</w:t>
            </w:r>
          </w:p>
        </w:tc>
        <w:tc>
          <w:tcPr>
            <w:tcW w:w="4239" w:type="dxa"/>
          </w:tcPr>
          <w:p w14:paraId="20DF1623" w14:textId="77777777" w:rsidR="00711444" w:rsidRPr="004D0DAA" w:rsidRDefault="00711444" w:rsidP="00AA2A4C">
            <w:pPr>
              <w:pStyle w:val="TAH"/>
              <w:rPr>
                <w:lang w:eastAsia="en-US"/>
              </w:rPr>
            </w:pPr>
            <w:r w:rsidRPr="004D0DAA">
              <w:rPr>
                <w:b w:val="0"/>
                <w:bCs/>
                <w:lang w:eastAsia="en-US"/>
              </w:rPr>
              <w:t>DAS-11</w:t>
            </w:r>
          </w:p>
        </w:tc>
      </w:tr>
      <w:tr w:rsidR="00711444" w:rsidRPr="004D0DAA" w14:paraId="3361AC86" w14:textId="77777777" w:rsidTr="00AA2A4C">
        <w:tblPrEx>
          <w:tblCellMar>
            <w:top w:w="0" w:type="dxa"/>
            <w:bottom w:w="0" w:type="dxa"/>
          </w:tblCellMar>
        </w:tblPrEx>
        <w:trPr>
          <w:cantSplit/>
          <w:jc w:val="center"/>
        </w:trPr>
        <w:tc>
          <w:tcPr>
            <w:tcW w:w="1446" w:type="dxa"/>
          </w:tcPr>
          <w:p w14:paraId="0A04B5C8" w14:textId="77777777" w:rsidR="00711444" w:rsidRPr="004D0DAA" w:rsidRDefault="00711444" w:rsidP="00AA2A4C">
            <w:pPr>
              <w:pStyle w:val="TAH"/>
              <w:rPr>
                <w:lang w:eastAsia="en-US"/>
              </w:rPr>
            </w:pPr>
            <w:r w:rsidRPr="004D0DAA">
              <w:rPr>
                <w:b w:val="0"/>
                <w:bCs/>
                <w:lang w:eastAsia="en-US"/>
              </w:rPr>
              <w:t>1</w:t>
            </w:r>
          </w:p>
        </w:tc>
        <w:tc>
          <w:tcPr>
            <w:tcW w:w="4239" w:type="dxa"/>
          </w:tcPr>
          <w:p w14:paraId="71BE7A2B" w14:textId="77777777" w:rsidR="00711444" w:rsidRPr="004D0DAA" w:rsidRDefault="00711444" w:rsidP="00AA2A4C">
            <w:pPr>
              <w:pStyle w:val="TAH"/>
              <w:rPr>
                <w:lang w:eastAsia="en-US"/>
              </w:rPr>
            </w:pPr>
            <w:r w:rsidRPr="004D0DAA">
              <w:rPr>
                <w:b w:val="0"/>
                <w:bCs/>
                <w:lang w:eastAsia="en-US"/>
              </w:rPr>
              <w:t>DAS-12 with padding</w:t>
            </w:r>
          </w:p>
        </w:tc>
      </w:tr>
      <w:tr w:rsidR="00711444" w:rsidRPr="004D0DAA" w14:paraId="1D0C708C" w14:textId="77777777" w:rsidTr="00AA2A4C">
        <w:tblPrEx>
          <w:tblCellMar>
            <w:top w:w="0" w:type="dxa"/>
            <w:bottom w:w="0" w:type="dxa"/>
          </w:tblCellMar>
        </w:tblPrEx>
        <w:trPr>
          <w:cantSplit/>
          <w:jc w:val="center"/>
        </w:trPr>
        <w:tc>
          <w:tcPr>
            <w:tcW w:w="5685" w:type="dxa"/>
            <w:gridSpan w:val="2"/>
          </w:tcPr>
          <w:p w14:paraId="45244F8B"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014677AA" w14:textId="77777777" w:rsidR="00711444" w:rsidRPr="004D0DAA" w:rsidRDefault="00711444" w:rsidP="00711444"/>
    <w:p w14:paraId="07696F35" w14:textId="77777777" w:rsidR="00711444" w:rsidRPr="004D0DAA" w:rsidRDefault="00711444" w:rsidP="00711444">
      <w:r w:rsidRPr="004D0DAA">
        <w:t>For DAS-12 with padding, the first 8 data octets of the RLC data block are padded with zeros.</w:t>
      </w:r>
    </w:p>
    <w:p w14:paraId="72DBEB71" w14:textId="77777777" w:rsidR="00711444" w:rsidRPr="004D0DAA" w:rsidRDefault="00711444" w:rsidP="00711444">
      <w:r w:rsidRPr="004D0DAA">
        <w:t>In uplink, the Coding and Puncturing Scheme indicator field indicates the kind of channel coding and puncturing used for data block as defined in table 10.4.8a.5.2 and table 10.4.8a.5.3.</w:t>
      </w:r>
    </w:p>
    <w:p w14:paraId="79E43350" w14:textId="77777777" w:rsidR="00711444" w:rsidRPr="004D0DAA" w:rsidRDefault="00711444" w:rsidP="00711444">
      <w:pPr>
        <w:pStyle w:val="TH"/>
      </w:pPr>
      <w:r w:rsidRPr="004D0DAA">
        <w:t xml:space="preserve">Table 10.4.8a.5.2: Bit 6 of Coding and Puncturing Scheme indicator field for </w:t>
      </w:r>
      <w:r w:rsidRPr="004D0DAA">
        <w:br/>
        <w:t>Header type 5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75D3FECA" w14:textId="77777777" w:rsidTr="00AA2A4C">
        <w:tblPrEx>
          <w:tblCellMar>
            <w:top w:w="0" w:type="dxa"/>
            <w:bottom w:w="0" w:type="dxa"/>
          </w:tblCellMar>
        </w:tblPrEx>
        <w:trPr>
          <w:cantSplit/>
          <w:jc w:val="center"/>
        </w:trPr>
        <w:tc>
          <w:tcPr>
            <w:tcW w:w="1446" w:type="dxa"/>
          </w:tcPr>
          <w:p w14:paraId="429183D1" w14:textId="77777777" w:rsidR="00711444" w:rsidRPr="004D0DAA" w:rsidRDefault="00711444" w:rsidP="00AA2A4C">
            <w:pPr>
              <w:pStyle w:val="TAH"/>
              <w:rPr>
                <w:lang w:eastAsia="en-US"/>
              </w:rPr>
            </w:pPr>
            <w:r w:rsidRPr="004D0DAA">
              <w:rPr>
                <w:lang w:eastAsia="en-US"/>
              </w:rPr>
              <w:t>bit</w:t>
            </w:r>
            <w:r w:rsidRPr="004D0DAA">
              <w:rPr>
                <w:lang w:eastAsia="en-US"/>
              </w:rPr>
              <w:br/>
              <w:t>6</w:t>
            </w:r>
          </w:p>
        </w:tc>
        <w:tc>
          <w:tcPr>
            <w:tcW w:w="4239" w:type="dxa"/>
          </w:tcPr>
          <w:p w14:paraId="637AB739" w14:textId="77777777" w:rsidR="00711444" w:rsidRPr="004D0DAA" w:rsidRDefault="00711444" w:rsidP="00AA2A4C">
            <w:pPr>
              <w:pStyle w:val="TAH"/>
              <w:rPr>
                <w:lang w:eastAsia="en-US"/>
              </w:rPr>
            </w:pPr>
            <w:r w:rsidRPr="004D0DAA">
              <w:rPr>
                <w:lang w:eastAsia="en-US"/>
              </w:rPr>
              <w:t>CPS</w:t>
            </w:r>
          </w:p>
        </w:tc>
      </w:tr>
      <w:tr w:rsidR="00711444" w:rsidRPr="004D0DAA" w14:paraId="59AB7DC2" w14:textId="77777777" w:rsidTr="00AA2A4C">
        <w:tblPrEx>
          <w:tblCellMar>
            <w:top w:w="0" w:type="dxa"/>
            <w:bottom w:w="0" w:type="dxa"/>
          </w:tblCellMar>
        </w:tblPrEx>
        <w:trPr>
          <w:cantSplit/>
          <w:jc w:val="center"/>
        </w:trPr>
        <w:tc>
          <w:tcPr>
            <w:tcW w:w="1446" w:type="dxa"/>
          </w:tcPr>
          <w:p w14:paraId="60E2799A" w14:textId="77777777" w:rsidR="00711444" w:rsidRPr="004D0DAA" w:rsidRDefault="00711444" w:rsidP="00AA2A4C">
            <w:pPr>
              <w:pStyle w:val="TAH"/>
              <w:rPr>
                <w:lang w:eastAsia="en-US"/>
              </w:rPr>
            </w:pPr>
            <w:r w:rsidRPr="004D0DAA">
              <w:rPr>
                <w:b w:val="0"/>
                <w:bCs/>
                <w:lang w:eastAsia="en-US"/>
              </w:rPr>
              <w:t>0</w:t>
            </w:r>
          </w:p>
        </w:tc>
        <w:tc>
          <w:tcPr>
            <w:tcW w:w="4239" w:type="dxa"/>
          </w:tcPr>
          <w:p w14:paraId="6B5FEA46" w14:textId="77777777" w:rsidR="00711444" w:rsidRPr="004D0DAA" w:rsidRDefault="00711444" w:rsidP="00AA2A4C">
            <w:pPr>
              <w:pStyle w:val="TAH"/>
              <w:rPr>
                <w:lang w:eastAsia="en-US"/>
              </w:rPr>
            </w:pPr>
            <w:r w:rsidRPr="004D0DAA">
              <w:rPr>
                <w:b w:val="0"/>
                <w:bCs/>
                <w:lang w:eastAsia="en-US"/>
              </w:rPr>
              <w:t>UAS-10</w:t>
            </w:r>
          </w:p>
        </w:tc>
      </w:tr>
      <w:tr w:rsidR="00711444" w:rsidRPr="004D0DAA" w14:paraId="66DC4879" w14:textId="77777777" w:rsidTr="00AA2A4C">
        <w:tblPrEx>
          <w:tblCellMar>
            <w:top w:w="0" w:type="dxa"/>
            <w:bottom w:w="0" w:type="dxa"/>
          </w:tblCellMar>
        </w:tblPrEx>
        <w:trPr>
          <w:cantSplit/>
          <w:jc w:val="center"/>
        </w:trPr>
        <w:tc>
          <w:tcPr>
            <w:tcW w:w="1446" w:type="dxa"/>
          </w:tcPr>
          <w:p w14:paraId="23045EE9" w14:textId="77777777" w:rsidR="00711444" w:rsidRPr="004D0DAA" w:rsidRDefault="00711444" w:rsidP="00AA2A4C">
            <w:pPr>
              <w:pStyle w:val="TAH"/>
              <w:rPr>
                <w:lang w:eastAsia="en-US"/>
              </w:rPr>
            </w:pPr>
            <w:r w:rsidRPr="004D0DAA">
              <w:rPr>
                <w:b w:val="0"/>
                <w:bCs/>
                <w:lang w:eastAsia="en-US"/>
              </w:rPr>
              <w:t>1</w:t>
            </w:r>
          </w:p>
        </w:tc>
        <w:tc>
          <w:tcPr>
            <w:tcW w:w="4239" w:type="dxa"/>
          </w:tcPr>
          <w:p w14:paraId="79B9C58A" w14:textId="77777777" w:rsidR="00711444" w:rsidRPr="004D0DAA" w:rsidRDefault="00711444" w:rsidP="00AA2A4C">
            <w:pPr>
              <w:pStyle w:val="TAH"/>
              <w:rPr>
                <w:lang w:eastAsia="en-US"/>
              </w:rPr>
            </w:pPr>
            <w:r w:rsidRPr="004D0DAA">
              <w:rPr>
                <w:b w:val="0"/>
                <w:bCs/>
                <w:lang w:eastAsia="en-US"/>
              </w:rPr>
              <w:t>UAS-11</w:t>
            </w:r>
          </w:p>
        </w:tc>
      </w:tr>
      <w:tr w:rsidR="00711444" w:rsidRPr="004D0DAA" w14:paraId="30401BEE" w14:textId="77777777" w:rsidTr="00AA2A4C">
        <w:tblPrEx>
          <w:tblCellMar>
            <w:top w:w="0" w:type="dxa"/>
            <w:bottom w:w="0" w:type="dxa"/>
          </w:tblCellMar>
        </w:tblPrEx>
        <w:trPr>
          <w:cantSplit/>
          <w:jc w:val="center"/>
        </w:trPr>
        <w:tc>
          <w:tcPr>
            <w:tcW w:w="5685" w:type="dxa"/>
            <w:gridSpan w:val="2"/>
          </w:tcPr>
          <w:p w14:paraId="2BD54836"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267C4AE9" w14:textId="77777777" w:rsidR="00711444" w:rsidRPr="004D0DAA" w:rsidRDefault="00711444" w:rsidP="00711444"/>
    <w:p w14:paraId="09529122" w14:textId="77777777" w:rsidR="00711444" w:rsidRPr="004D0DAA" w:rsidRDefault="00711444" w:rsidP="00711444">
      <w:pPr>
        <w:pStyle w:val="TH"/>
      </w:pPr>
      <w:r w:rsidRPr="004D0DAA">
        <w:lastRenderedPageBreak/>
        <w:t xml:space="preserve">Table 10.4.8a.5.3: Bits 1 to 5 of Coding and Puncturing Scheme indicator field for </w:t>
      </w:r>
      <w:r w:rsidRPr="004D0DAA">
        <w:br/>
        <w:t>Header type 5 common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731A123B" w14:textId="77777777" w:rsidTr="00AA2A4C">
        <w:tblPrEx>
          <w:tblCellMar>
            <w:top w:w="0" w:type="dxa"/>
            <w:bottom w:w="0" w:type="dxa"/>
          </w:tblCellMar>
        </w:tblPrEx>
        <w:trPr>
          <w:cantSplit/>
          <w:jc w:val="center"/>
        </w:trPr>
        <w:tc>
          <w:tcPr>
            <w:tcW w:w="1446" w:type="dxa"/>
          </w:tcPr>
          <w:p w14:paraId="3F967994" w14:textId="77777777" w:rsidR="00711444" w:rsidRPr="004D0DAA" w:rsidRDefault="00711444" w:rsidP="00AA2A4C">
            <w:pPr>
              <w:pStyle w:val="TAH"/>
              <w:rPr>
                <w:lang w:eastAsia="en-US"/>
              </w:rPr>
            </w:pPr>
            <w:r w:rsidRPr="004D0DAA">
              <w:rPr>
                <w:lang w:eastAsia="en-US"/>
              </w:rPr>
              <w:t>bits</w:t>
            </w:r>
            <w:r w:rsidRPr="004D0DAA">
              <w:rPr>
                <w:lang w:eastAsia="en-US"/>
              </w:rPr>
              <w:br/>
              <w:t>54321</w:t>
            </w:r>
          </w:p>
        </w:tc>
        <w:tc>
          <w:tcPr>
            <w:tcW w:w="4239" w:type="dxa"/>
          </w:tcPr>
          <w:p w14:paraId="0AC2ED66" w14:textId="77777777" w:rsidR="00711444" w:rsidRPr="004D0DAA" w:rsidRDefault="00711444" w:rsidP="00AA2A4C">
            <w:pPr>
              <w:pStyle w:val="TAH"/>
              <w:rPr>
                <w:lang w:eastAsia="en-US"/>
              </w:rPr>
            </w:pPr>
            <w:r w:rsidRPr="004D0DAA">
              <w:rPr>
                <w:lang w:eastAsia="en-US"/>
              </w:rPr>
              <w:t>CPS</w:t>
            </w:r>
          </w:p>
        </w:tc>
      </w:tr>
      <w:tr w:rsidR="00711444" w:rsidRPr="004D0DAA" w14:paraId="0481DE14" w14:textId="77777777" w:rsidTr="00AA2A4C">
        <w:tblPrEx>
          <w:tblCellMar>
            <w:top w:w="0" w:type="dxa"/>
            <w:bottom w:w="0" w:type="dxa"/>
          </w:tblCellMar>
        </w:tblPrEx>
        <w:trPr>
          <w:cantSplit/>
          <w:jc w:val="center"/>
        </w:trPr>
        <w:tc>
          <w:tcPr>
            <w:tcW w:w="1446" w:type="dxa"/>
          </w:tcPr>
          <w:p w14:paraId="4A3A59C5" w14:textId="77777777" w:rsidR="00711444" w:rsidRPr="004D0DAA" w:rsidRDefault="00711444" w:rsidP="00AA2A4C">
            <w:pPr>
              <w:pStyle w:val="TAC"/>
              <w:rPr>
                <w:lang w:eastAsia="en-US"/>
              </w:rPr>
            </w:pPr>
            <w:r w:rsidRPr="004D0DAA">
              <w:rPr>
                <w:lang w:eastAsia="en-US"/>
              </w:rPr>
              <w:t>00000</w:t>
            </w:r>
          </w:p>
        </w:tc>
        <w:tc>
          <w:tcPr>
            <w:tcW w:w="4239" w:type="dxa"/>
          </w:tcPr>
          <w:p w14:paraId="3B92A99E" w14:textId="77777777" w:rsidR="00711444" w:rsidRPr="004D0DAA" w:rsidRDefault="00711444" w:rsidP="00AA2A4C">
            <w:pPr>
              <w:pStyle w:val="TAL"/>
              <w:rPr>
                <w:lang w:eastAsia="en-US"/>
              </w:rPr>
            </w:pPr>
            <w:r w:rsidRPr="004D0DAA">
              <w:rPr>
                <w:lang w:eastAsia="en-US"/>
              </w:rPr>
              <w:t>(P1 ; P1 ; P1)</w:t>
            </w:r>
          </w:p>
        </w:tc>
      </w:tr>
      <w:tr w:rsidR="00711444" w:rsidRPr="004D0DAA" w14:paraId="10364A79" w14:textId="77777777" w:rsidTr="00AA2A4C">
        <w:tblPrEx>
          <w:tblCellMar>
            <w:top w:w="0" w:type="dxa"/>
            <w:bottom w:w="0" w:type="dxa"/>
          </w:tblCellMar>
        </w:tblPrEx>
        <w:trPr>
          <w:cantSplit/>
          <w:jc w:val="center"/>
        </w:trPr>
        <w:tc>
          <w:tcPr>
            <w:tcW w:w="1446" w:type="dxa"/>
          </w:tcPr>
          <w:p w14:paraId="05316A47" w14:textId="77777777" w:rsidR="00711444" w:rsidRPr="004D0DAA" w:rsidRDefault="00711444" w:rsidP="00AA2A4C">
            <w:pPr>
              <w:pStyle w:val="TAC"/>
              <w:rPr>
                <w:lang w:eastAsia="en-US"/>
              </w:rPr>
            </w:pPr>
            <w:r w:rsidRPr="004D0DAA">
              <w:rPr>
                <w:lang w:eastAsia="en-US"/>
              </w:rPr>
              <w:t>00001</w:t>
            </w:r>
          </w:p>
        </w:tc>
        <w:tc>
          <w:tcPr>
            <w:tcW w:w="4239" w:type="dxa"/>
          </w:tcPr>
          <w:p w14:paraId="53C6E46F" w14:textId="77777777" w:rsidR="00711444" w:rsidRPr="004D0DAA" w:rsidRDefault="00711444" w:rsidP="00AA2A4C">
            <w:pPr>
              <w:pStyle w:val="TAL"/>
              <w:rPr>
                <w:lang w:eastAsia="en-US"/>
              </w:rPr>
            </w:pPr>
            <w:r w:rsidRPr="004D0DAA">
              <w:rPr>
                <w:lang w:eastAsia="en-US"/>
              </w:rPr>
              <w:t>(P1 ; P1 ; P2)</w:t>
            </w:r>
          </w:p>
        </w:tc>
      </w:tr>
      <w:tr w:rsidR="00711444" w:rsidRPr="004D0DAA" w14:paraId="25D3CD03" w14:textId="77777777" w:rsidTr="00AA2A4C">
        <w:tblPrEx>
          <w:tblCellMar>
            <w:top w:w="0" w:type="dxa"/>
            <w:bottom w:w="0" w:type="dxa"/>
          </w:tblCellMar>
        </w:tblPrEx>
        <w:trPr>
          <w:cantSplit/>
          <w:jc w:val="center"/>
        </w:trPr>
        <w:tc>
          <w:tcPr>
            <w:tcW w:w="1446" w:type="dxa"/>
          </w:tcPr>
          <w:p w14:paraId="0DD3B6C3" w14:textId="77777777" w:rsidR="00711444" w:rsidRPr="004D0DAA" w:rsidRDefault="00711444" w:rsidP="00AA2A4C">
            <w:pPr>
              <w:pStyle w:val="TAC"/>
              <w:rPr>
                <w:lang w:eastAsia="en-US"/>
              </w:rPr>
            </w:pPr>
            <w:r w:rsidRPr="004D0DAA">
              <w:rPr>
                <w:lang w:eastAsia="en-US"/>
              </w:rPr>
              <w:t>00010</w:t>
            </w:r>
          </w:p>
        </w:tc>
        <w:tc>
          <w:tcPr>
            <w:tcW w:w="4239" w:type="dxa"/>
          </w:tcPr>
          <w:p w14:paraId="0E17102A" w14:textId="77777777" w:rsidR="00711444" w:rsidRPr="004D0DAA" w:rsidRDefault="00711444" w:rsidP="00AA2A4C">
            <w:pPr>
              <w:pStyle w:val="TAL"/>
              <w:rPr>
                <w:lang w:eastAsia="en-US"/>
              </w:rPr>
            </w:pPr>
            <w:r w:rsidRPr="004D0DAA">
              <w:rPr>
                <w:lang w:eastAsia="en-US"/>
              </w:rPr>
              <w:t>(P1 ; P1 ; P3)</w:t>
            </w:r>
          </w:p>
        </w:tc>
      </w:tr>
      <w:tr w:rsidR="00711444" w:rsidRPr="004D0DAA" w14:paraId="75EBF09B" w14:textId="77777777" w:rsidTr="00AA2A4C">
        <w:tblPrEx>
          <w:tblCellMar>
            <w:top w:w="0" w:type="dxa"/>
            <w:bottom w:w="0" w:type="dxa"/>
          </w:tblCellMar>
        </w:tblPrEx>
        <w:trPr>
          <w:cantSplit/>
          <w:jc w:val="center"/>
        </w:trPr>
        <w:tc>
          <w:tcPr>
            <w:tcW w:w="1446" w:type="dxa"/>
          </w:tcPr>
          <w:p w14:paraId="496CB6F1" w14:textId="77777777" w:rsidR="00711444" w:rsidRPr="004D0DAA" w:rsidRDefault="00711444" w:rsidP="00AA2A4C">
            <w:pPr>
              <w:pStyle w:val="TAC"/>
              <w:rPr>
                <w:lang w:eastAsia="en-US"/>
              </w:rPr>
            </w:pPr>
            <w:r w:rsidRPr="004D0DAA">
              <w:rPr>
                <w:lang w:eastAsia="en-US"/>
              </w:rPr>
              <w:t>00011</w:t>
            </w:r>
          </w:p>
        </w:tc>
        <w:tc>
          <w:tcPr>
            <w:tcW w:w="4239" w:type="dxa"/>
          </w:tcPr>
          <w:p w14:paraId="6AB326FF" w14:textId="77777777" w:rsidR="00711444" w:rsidRPr="004D0DAA" w:rsidRDefault="00711444" w:rsidP="00AA2A4C">
            <w:pPr>
              <w:pStyle w:val="TAL"/>
              <w:rPr>
                <w:lang w:eastAsia="en-US"/>
              </w:rPr>
            </w:pPr>
            <w:r w:rsidRPr="004D0DAA">
              <w:rPr>
                <w:lang w:eastAsia="en-US"/>
              </w:rPr>
              <w:t>(P1 ; P2 ; P1)</w:t>
            </w:r>
          </w:p>
        </w:tc>
      </w:tr>
      <w:tr w:rsidR="00711444" w:rsidRPr="004D0DAA" w14:paraId="1E49B521" w14:textId="77777777" w:rsidTr="00AA2A4C">
        <w:tblPrEx>
          <w:tblCellMar>
            <w:top w:w="0" w:type="dxa"/>
            <w:bottom w:w="0" w:type="dxa"/>
          </w:tblCellMar>
        </w:tblPrEx>
        <w:trPr>
          <w:cantSplit/>
          <w:jc w:val="center"/>
        </w:trPr>
        <w:tc>
          <w:tcPr>
            <w:tcW w:w="1446" w:type="dxa"/>
          </w:tcPr>
          <w:p w14:paraId="777A60B1" w14:textId="77777777" w:rsidR="00711444" w:rsidRPr="004D0DAA" w:rsidRDefault="00711444" w:rsidP="00AA2A4C">
            <w:pPr>
              <w:pStyle w:val="TAC"/>
              <w:rPr>
                <w:lang w:eastAsia="en-US"/>
              </w:rPr>
            </w:pPr>
            <w:r w:rsidRPr="004D0DAA">
              <w:rPr>
                <w:lang w:eastAsia="en-US"/>
              </w:rPr>
              <w:t>00100</w:t>
            </w:r>
          </w:p>
        </w:tc>
        <w:tc>
          <w:tcPr>
            <w:tcW w:w="4239" w:type="dxa"/>
          </w:tcPr>
          <w:p w14:paraId="2CDC6634" w14:textId="77777777" w:rsidR="00711444" w:rsidRPr="004D0DAA" w:rsidRDefault="00711444" w:rsidP="00AA2A4C">
            <w:pPr>
              <w:pStyle w:val="TAL"/>
              <w:rPr>
                <w:lang w:eastAsia="en-US"/>
              </w:rPr>
            </w:pPr>
            <w:r w:rsidRPr="004D0DAA">
              <w:rPr>
                <w:lang w:eastAsia="en-US"/>
              </w:rPr>
              <w:t>(P1 ; P2 ; P2)</w:t>
            </w:r>
          </w:p>
        </w:tc>
      </w:tr>
      <w:tr w:rsidR="00711444" w:rsidRPr="004D0DAA" w14:paraId="7EEAD7BD" w14:textId="77777777" w:rsidTr="00AA2A4C">
        <w:tblPrEx>
          <w:tblCellMar>
            <w:top w:w="0" w:type="dxa"/>
            <w:bottom w:w="0" w:type="dxa"/>
          </w:tblCellMar>
        </w:tblPrEx>
        <w:trPr>
          <w:cantSplit/>
          <w:jc w:val="center"/>
        </w:trPr>
        <w:tc>
          <w:tcPr>
            <w:tcW w:w="1446" w:type="dxa"/>
          </w:tcPr>
          <w:p w14:paraId="0CB67D78" w14:textId="77777777" w:rsidR="00711444" w:rsidRPr="004D0DAA" w:rsidRDefault="00711444" w:rsidP="00AA2A4C">
            <w:pPr>
              <w:pStyle w:val="TAC"/>
              <w:rPr>
                <w:lang w:eastAsia="en-US"/>
              </w:rPr>
            </w:pPr>
            <w:r w:rsidRPr="004D0DAA">
              <w:rPr>
                <w:lang w:eastAsia="en-US"/>
              </w:rPr>
              <w:t>00101</w:t>
            </w:r>
          </w:p>
        </w:tc>
        <w:tc>
          <w:tcPr>
            <w:tcW w:w="4239" w:type="dxa"/>
          </w:tcPr>
          <w:p w14:paraId="4FF82D33" w14:textId="77777777" w:rsidR="00711444" w:rsidRPr="004D0DAA" w:rsidRDefault="00711444" w:rsidP="00AA2A4C">
            <w:pPr>
              <w:pStyle w:val="TAL"/>
              <w:rPr>
                <w:lang w:eastAsia="en-US"/>
              </w:rPr>
            </w:pPr>
            <w:r w:rsidRPr="004D0DAA">
              <w:rPr>
                <w:lang w:eastAsia="en-US"/>
              </w:rPr>
              <w:t>(P1 ; P2 ; P3)</w:t>
            </w:r>
          </w:p>
        </w:tc>
      </w:tr>
      <w:tr w:rsidR="00711444" w:rsidRPr="004D0DAA" w14:paraId="43FF5152" w14:textId="77777777" w:rsidTr="00AA2A4C">
        <w:tblPrEx>
          <w:tblCellMar>
            <w:top w:w="0" w:type="dxa"/>
            <w:bottom w:w="0" w:type="dxa"/>
          </w:tblCellMar>
        </w:tblPrEx>
        <w:trPr>
          <w:cantSplit/>
          <w:jc w:val="center"/>
        </w:trPr>
        <w:tc>
          <w:tcPr>
            <w:tcW w:w="1446" w:type="dxa"/>
          </w:tcPr>
          <w:p w14:paraId="1263622D" w14:textId="77777777" w:rsidR="00711444" w:rsidRPr="004D0DAA" w:rsidRDefault="00711444" w:rsidP="00AA2A4C">
            <w:pPr>
              <w:pStyle w:val="TAC"/>
              <w:rPr>
                <w:lang w:eastAsia="en-US"/>
              </w:rPr>
            </w:pPr>
            <w:r w:rsidRPr="004D0DAA">
              <w:rPr>
                <w:lang w:eastAsia="en-US"/>
              </w:rPr>
              <w:t>00110</w:t>
            </w:r>
          </w:p>
        </w:tc>
        <w:tc>
          <w:tcPr>
            <w:tcW w:w="4239" w:type="dxa"/>
          </w:tcPr>
          <w:p w14:paraId="09BA1D36" w14:textId="77777777" w:rsidR="00711444" w:rsidRPr="004D0DAA" w:rsidRDefault="00711444" w:rsidP="00AA2A4C">
            <w:pPr>
              <w:pStyle w:val="TAL"/>
              <w:rPr>
                <w:lang w:eastAsia="en-US"/>
              </w:rPr>
            </w:pPr>
            <w:r w:rsidRPr="004D0DAA">
              <w:rPr>
                <w:lang w:eastAsia="en-US"/>
              </w:rPr>
              <w:t>(P1 ; P3 ; P1)</w:t>
            </w:r>
          </w:p>
        </w:tc>
      </w:tr>
      <w:tr w:rsidR="00711444" w:rsidRPr="004D0DAA" w14:paraId="199D0892" w14:textId="77777777" w:rsidTr="00AA2A4C">
        <w:tblPrEx>
          <w:tblCellMar>
            <w:top w:w="0" w:type="dxa"/>
            <w:bottom w:w="0" w:type="dxa"/>
          </w:tblCellMar>
        </w:tblPrEx>
        <w:trPr>
          <w:cantSplit/>
          <w:jc w:val="center"/>
        </w:trPr>
        <w:tc>
          <w:tcPr>
            <w:tcW w:w="1446" w:type="dxa"/>
          </w:tcPr>
          <w:p w14:paraId="34DF932D" w14:textId="77777777" w:rsidR="00711444" w:rsidRPr="004D0DAA" w:rsidRDefault="00711444" w:rsidP="00AA2A4C">
            <w:pPr>
              <w:pStyle w:val="TAC"/>
              <w:rPr>
                <w:lang w:eastAsia="en-US"/>
              </w:rPr>
            </w:pPr>
            <w:r w:rsidRPr="004D0DAA">
              <w:rPr>
                <w:lang w:eastAsia="en-US"/>
              </w:rPr>
              <w:t>00111</w:t>
            </w:r>
          </w:p>
        </w:tc>
        <w:tc>
          <w:tcPr>
            <w:tcW w:w="4239" w:type="dxa"/>
          </w:tcPr>
          <w:p w14:paraId="001DFDC4" w14:textId="77777777" w:rsidR="00711444" w:rsidRPr="004D0DAA" w:rsidRDefault="00711444" w:rsidP="00AA2A4C">
            <w:pPr>
              <w:pStyle w:val="TAL"/>
              <w:rPr>
                <w:lang w:eastAsia="en-US"/>
              </w:rPr>
            </w:pPr>
            <w:r w:rsidRPr="004D0DAA">
              <w:rPr>
                <w:lang w:eastAsia="en-US"/>
              </w:rPr>
              <w:t>(P1 ; P3 ; P2)</w:t>
            </w:r>
          </w:p>
        </w:tc>
      </w:tr>
      <w:tr w:rsidR="00711444" w:rsidRPr="004D0DAA" w14:paraId="4CB52818" w14:textId="77777777" w:rsidTr="00AA2A4C">
        <w:tblPrEx>
          <w:tblCellMar>
            <w:top w:w="0" w:type="dxa"/>
            <w:bottom w:w="0" w:type="dxa"/>
          </w:tblCellMar>
        </w:tblPrEx>
        <w:trPr>
          <w:cantSplit/>
          <w:jc w:val="center"/>
        </w:trPr>
        <w:tc>
          <w:tcPr>
            <w:tcW w:w="1446" w:type="dxa"/>
          </w:tcPr>
          <w:p w14:paraId="385E7DA4" w14:textId="77777777" w:rsidR="00711444" w:rsidRPr="004D0DAA" w:rsidRDefault="00711444" w:rsidP="00AA2A4C">
            <w:pPr>
              <w:pStyle w:val="TAC"/>
              <w:rPr>
                <w:lang w:eastAsia="en-US"/>
              </w:rPr>
            </w:pPr>
            <w:r w:rsidRPr="004D0DAA">
              <w:rPr>
                <w:lang w:eastAsia="en-US"/>
              </w:rPr>
              <w:t>01000</w:t>
            </w:r>
          </w:p>
        </w:tc>
        <w:tc>
          <w:tcPr>
            <w:tcW w:w="4239" w:type="dxa"/>
          </w:tcPr>
          <w:p w14:paraId="1C06D20E" w14:textId="77777777" w:rsidR="00711444" w:rsidRPr="004D0DAA" w:rsidRDefault="00711444" w:rsidP="00AA2A4C">
            <w:pPr>
              <w:pStyle w:val="TAL"/>
              <w:rPr>
                <w:lang w:eastAsia="en-US"/>
              </w:rPr>
            </w:pPr>
            <w:r w:rsidRPr="004D0DAA">
              <w:rPr>
                <w:lang w:eastAsia="en-US"/>
              </w:rPr>
              <w:t>(P1 ; P3 ; P3)</w:t>
            </w:r>
          </w:p>
        </w:tc>
      </w:tr>
      <w:tr w:rsidR="00711444" w:rsidRPr="004D0DAA" w14:paraId="2BC87BDD" w14:textId="77777777" w:rsidTr="00AA2A4C">
        <w:tblPrEx>
          <w:tblCellMar>
            <w:top w:w="0" w:type="dxa"/>
            <w:bottom w:w="0" w:type="dxa"/>
          </w:tblCellMar>
        </w:tblPrEx>
        <w:trPr>
          <w:cantSplit/>
          <w:jc w:val="center"/>
        </w:trPr>
        <w:tc>
          <w:tcPr>
            <w:tcW w:w="1446" w:type="dxa"/>
          </w:tcPr>
          <w:p w14:paraId="5CD005B8" w14:textId="77777777" w:rsidR="00711444" w:rsidRPr="004D0DAA" w:rsidRDefault="00711444" w:rsidP="00AA2A4C">
            <w:pPr>
              <w:pStyle w:val="TAC"/>
              <w:rPr>
                <w:lang w:eastAsia="en-US"/>
              </w:rPr>
            </w:pPr>
            <w:r w:rsidRPr="004D0DAA">
              <w:rPr>
                <w:lang w:eastAsia="en-US"/>
              </w:rPr>
              <w:t>01001</w:t>
            </w:r>
          </w:p>
        </w:tc>
        <w:tc>
          <w:tcPr>
            <w:tcW w:w="4239" w:type="dxa"/>
          </w:tcPr>
          <w:p w14:paraId="33785E5A" w14:textId="77777777" w:rsidR="00711444" w:rsidRPr="004D0DAA" w:rsidRDefault="00711444" w:rsidP="00AA2A4C">
            <w:pPr>
              <w:pStyle w:val="TAL"/>
              <w:rPr>
                <w:lang w:eastAsia="en-US"/>
              </w:rPr>
            </w:pPr>
            <w:r w:rsidRPr="004D0DAA">
              <w:rPr>
                <w:lang w:eastAsia="en-US"/>
              </w:rPr>
              <w:t>(P2 ; P1 ; P1)</w:t>
            </w:r>
          </w:p>
        </w:tc>
      </w:tr>
      <w:tr w:rsidR="00711444" w:rsidRPr="004D0DAA" w14:paraId="459EE073" w14:textId="77777777" w:rsidTr="00AA2A4C">
        <w:tblPrEx>
          <w:tblCellMar>
            <w:top w:w="0" w:type="dxa"/>
            <w:bottom w:w="0" w:type="dxa"/>
          </w:tblCellMar>
        </w:tblPrEx>
        <w:trPr>
          <w:cantSplit/>
          <w:jc w:val="center"/>
        </w:trPr>
        <w:tc>
          <w:tcPr>
            <w:tcW w:w="1446" w:type="dxa"/>
          </w:tcPr>
          <w:p w14:paraId="4544869B" w14:textId="77777777" w:rsidR="00711444" w:rsidRPr="004D0DAA" w:rsidRDefault="00711444" w:rsidP="00AA2A4C">
            <w:pPr>
              <w:pStyle w:val="TAC"/>
              <w:rPr>
                <w:lang w:eastAsia="en-US"/>
              </w:rPr>
            </w:pPr>
            <w:r w:rsidRPr="004D0DAA">
              <w:rPr>
                <w:lang w:eastAsia="en-US"/>
              </w:rPr>
              <w:t>01010</w:t>
            </w:r>
          </w:p>
        </w:tc>
        <w:tc>
          <w:tcPr>
            <w:tcW w:w="4239" w:type="dxa"/>
          </w:tcPr>
          <w:p w14:paraId="70ECC06C" w14:textId="77777777" w:rsidR="00711444" w:rsidRPr="004D0DAA" w:rsidRDefault="00711444" w:rsidP="00AA2A4C">
            <w:pPr>
              <w:pStyle w:val="TAL"/>
              <w:rPr>
                <w:lang w:eastAsia="en-US"/>
              </w:rPr>
            </w:pPr>
            <w:r w:rsidRPr="004D0DAA">
              <w:rPr>
                <w:lang w:eastAsia="en-US"/>
              </w:rPr>
              <w:t>(P2 ; P1 ; P2)</w:t>
            </w:r>
          </w:p>
        </w:tc>
      </w:tr>
      <w:tr w:rsidR="00711444" w:rsidRPr="004D0DAA" w14:paraId="514F2A46" w14:textId="77777777" w:rsidTr="00AA2A4C">
        <w:tblPrEx>
          <w:tblCellMar>
            <w:top w:w="0" w:type="dxa"/>
            <w:bottom w:w="0" w:type="dxa"/>
          </w:tblCellMar>
        </w:tblPrEx>
        <w:trPr>
          <w:cantSplit/>
          <w:jc w:val="center"/>
        </w:trPr>
        <w:tc>
          <w:tcPr>
            <w:tcW w:w="1446" w:type="dxa"/>
          </w:tcPr>
          <w:p w14:paraId="7B15874C" w14:textId="77777777" w:rsidR="00711444" w:rsidRPr="004D0DAA" w:rsidRDefault="00711444" w:rsidP="00AA2A4C">
            <w:pPr>
              <w:pStyle w:val="TAC"/>
              <w:rPr>
                <w:lang w:eastAsia="en-US"/>
              </w:rPr>
            </w:pPr>
            <w:r w:rsidRPr="004D0DAA">
              <w:rPr>
                <w:lang w:eastAsia="en-US"/>
              </w:rPr>
              <w:t>01011</w:t>
            </w:r>
          </w:p>
        </w:tc>
        <w:tc>
          <w:tcPr>
            <w:tcW w:w="4239" w:type="dxa"/>
          </w:tcPr>
          <w:p w14:paraId="03F4618E" w14:textId="77777777" w:rsidR="00711444" w:rsidRPr="004D0DAA" w:rsidRDefault="00711444" w:rsidP="00AA2A4C">
            <w:pPr>
              <w:pStyle w:val="TAL"/>
              <w:rPr>
                <w:lang w:eastAsia="en-US"/>
              </w:rPr>
            </w:pPr>
            <w:r w:rsidRPr="004D0DAA">
              <w:rPr>
                <w:lang w:eastAsia="en-US"/>
              </w:rPr>
              <w:t>(P2 ; P1 ; P3)</w:t>
            </w:r>
          </w:p>
        </w:tc>
      </w:tr>
      <w:tr w:rsidR="00711444" w:rsidRPr="004D0DAA" w14:paraId="66DC2E9A" w14:textId="77777777" w:rsidTr="00AA2A4C">
        <w:tblPrEx>
          <w:tblCellMar>
            <w:top w:w="0" w:type="dxa"/>
            <w:bottom w:w="0" w:type="dxa"/>
          </w:tblCellMar>
        </w:tblPrEx>
        <w:trPr>
          <w:cantSplit/>
          <w:jc w:val="center"/>
        </w:trPr>
        <w:tc>
          <w:tcPr>
            <w:tcW w:w="1446" w:type="dxa"/>
          </w:tcPr>
          <w:p w14:paraId="6515A747" w14:textId="77777777" w:rsidR="00711444" w:rsidRPr="004D0DAA" w:rsidRDefault="00711444" w:rsidP="00AA2A4C">
            <w:pPr>
              <w:pStyle w:val="TAC"/>
              <w:rPr>
                <w:lang w:eastAsia="en-US"/>
              </w:rPr>
            </w:pPr>
            <w:r w:rsidRPr="004D0DAA">
              <w:rPr>
                <w:lang w:eastAsia="en-US"/>
              </w:rPr>
              <w:t>01100</w:t>
            </w:r>
          </w:p>
        </w:tc>
        <w:tc>
          <w:tcPr>
            <w:tcW w:w="4239" w:type="dxa"/>
          </w:tcPr>
          <w:p w14:paraId="0ABF458F" w14:textId="77777777" w:rsidR="00711444" w:rsidRPr="004D0DAA" w:rsidRDefault="00711444" w:rsidP="00AA2A4C">
            <w:pPr>
              <w:pStyle w:val="TAL"/>
              <w:rPr>
                <w:lang w:eastAsia="en-US"/>
              </w:rPr>
            </w:pPr>
            <w:r w:rsidRPr="004D0DAA">
              <w:rPr>
                <w:lang w:eastAsia="en-US"/>
              </w:rPr>
              <w:t>(P2 ; P2 ; P1)</w:t>
            </w:r>
          </w:p>
        </w:tc>
      </w:tr>
      <w:tr w:rsidR="00711444" w:rsidRPr="004D0DAA" w14:paraId="63826563" w14:textId="77777777" w:rsidTr="00AA2A4C">
        <w:tblPrEx>
          <w:tblCellMar>
            <w:top w:w="0" w:type="dxa"/>
            <w:bottom w:w="0" w:type="dxa"/>
          </w:tblCellMar>
        </w:tblPrEx>
        <w:trPr>
          <w:cantSplit/>
          <w:jc w:val="center"/>
        </w:trPr>
        <w:tc>
          <w:tcPr>
            <w:tcW w:w="1446" w:type="dxa"/>
          </w:tcPr>
          <w:p w14:paraId="27F4B7DE" w14:textId="77777777" w:rsidR="00711444" w:rsidRPr="004D0DAA" w:rsidRDefault="00711444" w:rsidP="00AA2A4C">
            <w:pPr>
              <w:pStyle w:val="TAC"/>
              <w:rPr>
                <w:lang w:eastAsia="en-US"/>
              </w:rPr>
            </w:pPr>
            <w:r w:rsidRPr="004D0DAA">
              <w:rPr>
                <w:lang w:eastAsia="en-US"/>
              </w:rPr>
              <w:t>01101</w:t>
            </w:r>
          </w:p>
        </w:tc>
        <w:tc>
          <w:tcPr>
            <w:tcW w:w="4239" w:type="dxa"/>
          </w:tcPr>
          <w:p w14:paraId="723E8508" w14:textId="77777777" w:rsidR="00711444" w:rsidRPr="004D0DAA" w:rsidRDefault="00711444" w:rsidP="00AA2A4C">
            <w:pPr>
              <w:pStyle w:val="TAL"/>
              <w:rPr>
                <w:lang w:eastAsia="en-US"/>
              </w:rPr>
            </w:pPr>
            <w:r w:rsidRPr="004D0DAA">
              <w:rPr>
                <w:lang w:eastAsia="en-US"/>
              </w:rPr>
              <w:t>(P2 ; P2 ; P2)</w:t>
            </w:r>
          </w:p>
        </w:tc>
      </w:tr>
      <w:tr w:rsidR="00711444" w:rsidRPr="004D0DAA" w14:paraId="1811A6E8" w14:textId="77777777" w:rsidTr="00AA2A4C">
        <w:tblPrEx>
          <w:tblCellMar>
            <w:top w:w="0" w:type="dxa"/>
            <w:bottom w:w="0" w:type="dxa"/>
          </w:tblCellMar>
        </w:tblPrEx>
        <w:trPr>
          <w:cantSplit/>
          <w:jc w:val="center"/>
        </w:trPr>
        <w:tc>
          <w:tcPr>
            <w:tcW w:w="1446" w:type="dxa"/>
          </w:tcPr>
          <w:p w14:paraId="1C786CF2" w14:textId="77777777" w:rsidR="00711444" w:rsidRPr="004D0DAA" w:rsidRDefault="00711444" w:rsidP="00AA2A4C">
            <w:pPr>
              <w:pStyle w:val="TAC"/>
              <w:rPr>
                <w:lang w:eastAsia="en-US"/>
              </w:rPr>
            </w:pPr>
            <w:r w:rsidRPr="004D0DAA">
              <w:rPr>
                <w:lang w:eastAsia="en-US"/>
              </w:rPr>
              <w:t>01110</w:t>
            </w:r>
          </w:p>
        </w:tc>
        <w:tc>
          <w:tcPr>
            <w:tcW w:w="4239" w:type="dxa"/>
          </w:tcPr>
          <w:p w14:paraId="52F83B8E" w14:textId="77777777" w:rsidR="00711444" w:rsidRPr="004D0DAA" w:rsidRDefault="00711444" w:rsidP="00AA2A4C">
            <w:pPr>
              <w:pStyle w:val="TAL"/>
              <w:rPr>
                <w:lang w:eastAsia="en-US"/>
              </w:rPr>
            </w:pPr>
            <w:r w:rsidRPr="004D0DAA">
              <w:rPr>
                <w:lang w:eastAsia="en-US"/>
              </w:rPr>
              <w:t>(P2 ; P2 ; P3)</w:t>
            </w:r>
          </w:p>
        </w:tc>
      </w:tr>
      <w:tr w:rsidR="00711444" w:rsidRPr="004D0DAA" w14:paraId="0A9F32A3" w14:textId="77777777" w:rsidTr="00AA2A4C">
        <w:tblPrEx>
          <w:tblCellMar>
            <w:top w:w="0" w:type="dxa"/>
            <w:bottom w:w="0" w:type="dxa"/>
          </w:tblCellMar>
        </w:tblPrEx>
        <w:trPr>
          <w:cantSplit/>
          <w:jc w:val="center"/>
        </w:trPr>
        <w:tc>
          <w:tcPr>
            <w:tcW w:w="1446" w:type="dxa"/>
          </w:tcPr>
          <w:p w14:paraId="783CD078" w14:textId="77777777" w:rsidR="00711444" w:rsidRPr="004D0DAA" w:rsidRDefault="00711444" w:rsidP="00AA2A4C">
            <w:pPr>
              <w:pStyle w:val="TAC"/>
              <w:rPr>
                <w:lang w:eastAsia="en-US"/>
              </w:rPr>
            </w:pPr>
            <w:r w:rsidRPr="004D0DAA">
              <w:rPr>
                <w:lang w:eastAsia="en-US"/>
              </w:rPr>
              <w:t>01111</w:t>
            </w:r>
          </w:p>
        </w:tc>
        <w:tc>
          <w:tcPr>
            <w:tcW w:w="4239" w:type="dxa"/>
          </w:tcPr>
          <w:p w14:paraId="501682A7" w14:textId="77777777" w:rsidR="00711444" w:rsidRPr="004D0DAA" w:rsidRDefault="00711444" w:rsidP="00AA2A4C">
            <w:pPr>
              <w:pStyle w:val="TAL"/>
              <w:rPr>
                <w:lang w:eastAsia="en-US"/>
              </w:rPr>
            </w:pPr>
            <w:r w:rsidRPr="004D0DAA">
              <w:rPr>
                <w:lang w:eastAsia="en-US"/>
              </w:rPr>
              <w:t>(P2 ; P3 ; P1)</w:t>
            </w:r>
          </w:p>
        </w:tc>
      </w:tr>
      <w:tr w:rsidR="00711444" w:rsidRPr="004D0DAA" w14:paraId="6F21316D" w14:textId="77777777" w:rsidTr="00AA2A4C">
        <w:tblPrEx>
          <w:tblCellMar>
            <w:top w:w="0" w:type="dxa"/>
            <w:bottom w:w="0" w:type="dxa"/>
          </w:tblCellMar>
        </w:tblPrEx>
        <w:trPr>
          <w:cantSplit/>
          <w:jc w:val="center"/>
        </w:trPr>
        <w:tc>
          <w:tcPr>
            <w:tcW w:w="1446" w:type="dxa"/>
          </w:tcPr>
          <w:p w14:paraId="18665542" w14:textId="77777777" w:rsidR="00711444" w:rsidRPr="004D0DAA" w:rsidRDefault="00711444" w:rsidP="00AA2A4C">
            <w:pPr>
              <w:pStyle w:val="TAC"/>
              <w:rPr>
                <w:lang w:eastAsia="en-US"/>
              </w:rPr>
            </w:pPr>
            <w:r w:rsidRPr="004D0DAA">
              <w:rPr>
                <w:lang w:eastAsia="en-US"/>
              </w:rPr>
              <w:t>10000</w:t>
            </w:r>
          </w:p>
        </w:tc>
        <w:tc>
          <w:tcPr>
            <w:tcW w:w="4239" w:type="dxa"/>
          </w:tcPr>
          <w:p w14:paraId="28E187BD" w14:textId="77777777" w:rsidR="00711444" w:rsidRPr="004D0DAA" w:rsidRDefault="00711444" w:rsidP="00AA2A4C">
            <w:pPr>
              <w:pStyle w:val="TAL"/>
              <w:rPr>
                <w:lang w:eastAsia="en-US"/>
              </w:rPr>
            </w:pPr>
            <w:r w:rsidRPr="004D0DAA">
              <w:rPr>
                <w:lang w:eastAsia="en-US"/>
              </w:rPr>
              <w:t>(P2 ; P3 ; P2)</w:t>
            </w:r>
          </w:p>
        </w:tc>
      </w:tr>
      <w:tr w:rsidR="00711444" w:rsidRPr="004D0DAA" w14:paraId="288CD08C" w14:textId="77777777" w:rsidTr="00AA2A4C">
        <w:tblPrEx>
          <w:tblCellMar>
            <w:top w:w="0" w:type="dxa"/>
            <w:bottom w:w="0" w:type="dxa"/>
          </w:tblCellMar>
        </w:tblPrEx>
        <w:trPr>
          <w:cantSplit/>
          <w:jc w:val="center"/>
        </w:trPr>
        <w:tc>
          <w:tcPr>
            <w:tcW w:w="1446" w:type="dxa"/>
          </w:tcPr>
          <w:p w14:paraId="677225A5" w14:textId="77777777" w:rsidR="00711444" w:rsidRPr="004D0DAA" w:rsidRDefault="00711444" w:rsidP="00AA2A4C">
            <w:pPr>
              <w:pStyle w:val="TAC"/>
              <w:rPr>
                <w:lang w:eastAsia="en-US"/>
              </w:rPr>
            </w:pPr>
            <w:r w:rsidRPr="004D0DAA">
              <w:rPr>
                <w:lang w:eastAsia="en-US"/>
              </w:rPr>
              <w:t>10001</w:t>
            </w:r>
          </w:p>
        </w:tc>
        <w:tc>
          <w:tcPr>
            <w:tcW w:w="4239" w:type="dxa"/>
          </w:tcPr>
          <w:p w14:paraId="211B1F4F" w14:textId="77777777" w:rsidR="00711444" w:rsidRPr="004D0DAA" w:rsidRDefault="00711444" w:rsidP="00AA2A4C">
            <w:pPr>
              <w:pStyle w:val="TAL"/>
              <w:rPr>
                <w:lang w:eastAsia="en-US"/>
              </w:rPr>
            </w:pPr>
            <w:r w:rsidRPr="004D0DAA">
              <w:rPr>
                <w:lang w:eastAsia="en-US"/>
              </w:rPr>
              <w:t>(P2 ; P3 ; P3)</w:t>
            </w:r>
          </w:p>
        </w:tc>
      </w:tr>
      <w:tr w:rsidR="00711444" w:rsidRPr="004D0DAA" w14:paraId="6DB97E9A" w14:textId="77777777" w:rsidTr="00AA2A4C">
        <w:tblPrEx>
          <w:tblCellMar>
            <w:top w:w="0" w:type="dxa"/>
            <w:bottom w:w="0" w:type="dxa"/>
          </w:tblCellMar>
        </w:tblPrEx>
        <w:trPr>
          <w:cantSplit/>
          <w:jc w:val="center"/>
        </w:trPr>
        <w:tc>
          <w:tcPr>
            <w:tcW w:w="1446" w:type="dxa"/>
          </w:tcPr>
          <w:p w14:paraId="3D296333" w14:textId="77777777" w:rsidR="00711444" w:rsidRPr="004D0DAA" w:rsidRDefault="00711444" w:rsidP="00AA2A4C">
            <w:pPr>
              <w:pStyle w:val="TAC"/>
              <w:rPr>
                <w:lang w:eastAsia="en-US"/>
              </w:rPr>
            </w:pPr>
            <w:r w:rsidRPr="004D0DAA">
              <w:rPr>
                <w:lang w:eastAsia="en-US"/>
              </w:rPr>
              <w:t>10010</w:t>
            </w:r>
          </w:p>
        </w:tc>
        <w:tc>
          <w:tcPr>
            <w:tcW w:w="4239" w:type="dxa"/>
          </w:tcPr>
          <w:p w14:paraId="77CF7B48" w14:textId="77777777" w:rsidR="00711444" w:rsidRPr="004D0DAA" w:rsidRDefault="00711444" w:rsidP="00AA2A4C">
            <w:pPr>
              <w:pStyle w:val="TAL"/>
              <w:rPr>
                <w:lang w:eastAsia="en-US"/>
              </w:rPr>
            </w:pPr>
            <w:r w:rsidRPr="004D0DAA">
              <w:rPr>
                <w:lang w:eastAsia="en-US"/>
              </w:rPr>
              <w:t>(P3 ; P1 ; P1)</w:t>
            </w:r>
          </w:p>
        </w:tc>
      </w:tr>
      <w:tr w:rsidR="00711444" w:rsidRPr="004D0DAA" w14:paraId="0D97B25B" w14:textId="77777777" w:rsidTr="00AA2A4C">
        <w:tblPrEx>
          <w:tblCellMar>
            <w:top w:w="0" w:type="dxa"/>
            <w:bottom w:w="0" w:type="dxa"/>
          </w:tblCellMar>
        </w:tblPrEx>
        <w:trPr>
          <w:cantSplit/>
          <w:jc w:val="center"/>
        </w:trPr>
        <w:tc>
          <w:tcPr>
            <w:tcW w:w="1446" w:type="dxa"/>
          </w:tcPr>
          <w:p w14:paraId="003AC71F" w14:textId="77777777" w:rsidR="00711444" w:rsidRPr="004D0DAA" w:rsidRDefault="00711444" w:rsidP="00AA2A4C">
            <w:pPr>
              <w:pStyle w:val="TAC"/>
              <w:rPr>
                <w:lang w:eastAsia="en-US"/>
              </w:rPr>
            </w:pPr>
            <w:r w:rsidRPr="004D0DAA">
              <w:rPr>
                <w:lang w:eastAsia="en-US"/>
              </w:rPr>
              <w:t>10011</w:t>
            </w:r>
          </w:p>
        </w:tc>
        <w:tc>
          <w:tcPr>
            <w:tcW w:w="4239" w:type="dxa"/>
          </w:tcPr>
          <w:p w14:paraId="69F59666" w14:textId="77777777" w:rsidR="00711444" w:rsidRPr="004D0DAA" w:rsidRDefault="00711444" w:rsidP="00AA2A4C">
            <w:pPr>
              <w:pStyle w:val="TAL"/>
              <w:rPr>
                <w:lang w:eastAsia="en-US"/>
              </w:rPr>
            </w:pPr>
            <w:r w:rsidRPr="004D0DAA">
              <w:rPr>
                <w:lang w:eastAsia="en-US"/>
              </w:rPr>
              <w:t>(P3 ; P1 ; P2)</w:t>
            </w:r>
          </w:p>
        </w:tc>
      </w:tr>
      <w:tr w:rsidR="00711444" w:rsidRPr="004D0DAA" w14:paraId="1DD9B254" w14:textId="77777777" w:rsidTr="00AA2A4C">
        <w:tblPrEx>
          <w:tblCellMar>
            <w:top w:w="0" w:type="dxa"/>
            <w:bottom w:w="0" w:type="dxa"/>
          </w:tblCellMar>
        </w:tblPrEx>
        <w:trPr>
          <w:cantSplit/>
          <w:jc w:val="center"/>
        </w:trPr>
        <w:tc>
          <w:tcPr>
            <w:tcW w:w="1446" w:type="dxa"/>
          </w:tcPr>
          <w:p w14:paraId="0FA2131F" w14:textId="77777777" w:rsidR="00711444" w:rsidRPr="004D0DAA" w:rsidRDefault="00711444" w:rsidP="00AA2A4C">
            <w:pPr>
              <w:pStyle w:val="TAC"/>
              <w:rPr>
                <w:lang w:eastAsia="en-US"/>
              </w:rPr>
            </w:pPr>
            <w:r w:rsidRPr="004D0DAA">
              <w:rPr>
                <w:lang w:eastAsia="en-US"/>
              </w:rPr>
              <w:t>10100</w:t>
            </w:r>
          </w:p>
        </w:tc>
        <w:tc>
          <w:tcPr>
            <w:tcW w:w="4239" w:type="dxa"/>
          </w:tcPr>
          <w:p w14:paraId="57C4395E" w14:textId="77777777" w:rsidR="00711444" w:rsidRPr="004D0DAA" w:rsidRDefault="00711444" w:rsidP="00AA2A4C">
            <w:pPr>
              <w:pStyle w:val="TAL"/>
              <w:rPr>
                <w:lang w:eastAsia="en-US"/>
              </w:rPr>
            </w:pPr>
            <w:r w:rsidRPr="004D0DAA">
              <w:rPr>
                <w:lang w:eastAsia="en-US"/>
              </w:rPr>
              <w:t>(P3 ; P1 ; P3)</w:t>
            </w:r>
          </w:p>
        </w:tc>
      </w:tr>
      <w:tr w:rsidR="00711444" w:rsidRPr="004D0DAA" w14:paraId="17E9E0A3" w14:textId="77777777" w:rsidTr="00AA2A4C">
        <w:tblPrEx>
          <w:tblCellMar>
            <w:top w:w="0" w:type="dxa"/>
            <w:bottom w:w="0" w:type="dxa"/>
          </w:tblCellMar>
        </w:tblPrEx>
        <w:trPr>
          <w:cantSplit/>
          <w:jc w:val="center"/>
        </w:trPr>
        <w:tc>
          <w:tcPr>
            <w:tcW w:w="1446" w:type="dxa"/>
          </w:tcPr>
          <w:p w14:paraId="439AF890" w14:textId="77777777" w:rsidR="00711444" w:rsidRPr="004D0DAA" w:rsidRDefault="00711444" w:rsidP="00AA2A4C">
            <w:pPr>
              <w:pStyle w:val="TAC"/>
              <w:rPr>
                <w:lang w:eastAsia="en-US"/>
              </w:rPr>
            </w:pPr>
            <w:r w:rsidRPr="004D0DAA">
              <w:rPr>
                <w:lang w:eastAsia="en-US"/>
              </w:rPr>
              <w:t>10101</w:t>
            </w:r>
          </w:p>
        </w:tc>
        <w:tc>
          <w:tcPr>
            <w:tcW w:w="4239" w:type="dxa"/>
          </w:tcPr>
          <w:p w14:paraId="2B3E810F" w14:textId="77777777" w:rsidR="00711444" w:rsidRPr="004D0DAA" w:rsidRDefault="00711444" w:rsidP="00AA2A4C">
            <w:pPr>
              <w:pStyle w:val="TAL"/>
              <w:rPr>
                <w:lang w:eastAsia="en-US"/>
              </w:rPr>
            </w:pPr>
            <w:r w:rsidRPr="004D0DAA">
              <w:rPr>
                <w:lang w:eastAsia="en-US"/>
              </w:rPr>
              <w:t>(P3 ; P2 ; P1)</w:t>
            </w:r>
          </w:p>
        </w:tc>
      </w:tr>
      <w:tr w:rsidR="00711444" w:rsidRPr="004D0DAA" w14:paraId="54005073" w14:textId="77777777" w:rsidTr="00AA2A4C">
        <w:tblPrEx>
          <w:tblCellMar>
            <w:top w:w="0" w:type="dxa"/>
            <w:bottom w:w="0" w:type="dxa"/>
          </w:tblCellMar>
        </w:tblPrEx>
        <w:trPr>
          <w:cantSplit/>
          <w:jc w:val="center"/>
        </w:trPr>
        <w:tc>
          <w:tcPr>
            <w:tcW w:w="1446" w:type="dxa"/>
          </w:tcPr>
          <w:p w14:paraId="025B8BEF" w14:textId="77777777" w:rsidR="00711444" w:rsidRPr="004D0DAA" w:rsidRDefault="00711444" w:rsidP="00AA2A4C">
            <w:pPr>
              <w:pStyle w:val="TAC"/>
              <w:rPr>
                <w:lang w:eastAsia="en-US"/>
              </w:rPr>
            </w:pPr>
            <w:r w:rsidRPr="004D0DAA">
              <w:rPr>
                <w:lang w:eastAsia="en-US"/>
              </w:rPr>
              <w:t>10110</w:t>
            </w:r>
          </w:p>
        </w:tc>
        <w:tc>
          <w:tcPr>
            <w:tcW w:w="4239" w:type="dxa"/>
          </w:tcPr>
          <w:p w14:paraId="0D140494" w14:textId="77777777" w:rsidR="00711444" w:rsidRPr="004D0DAA" w:rsidRDefault="00711444" w:rsidP="00AA2A4C">
            <w:pPr>
              <w:pStyle w:val="TAL"/>
              <w:rPr>
                <w:lang w:eastAsia="en-US"/>
              </w:rPr>
            </w:pPr>
            <w:r w:rsidRPr="004D0DAA">
              <w:rPr>
                <w:lang w:eastAsia="en-US"/>
              </w:rPr>
              <w:t>(P3 ; P2 ; P2)</w:t>
            </w:r>
          </w:p>
        </w:tc>
      </w:tr>
      <w:tr w:rsidR="00711444" w:rsidRPr="004D0DAA" w14:paraId="44746414" w14:textId="77777777" w:rsidTr="00AA2A4C">
        <w:tblPrEx>
          <w:tblCellMar>
            <w:top w:w="0" w:type="dxa"/>
            <w:bottom w:w="0" w:type="dxa"/>
          </w:tblCellMar>
        </w:tblPrEx>
        <w:trPr>
          <w:cantSplit/>
          <w:jc w:val="center"/>
        </w:trPr>
        <w:tc>
          <w:tcPr>
            <w:tcW w:w="1446" w:type="dxa"/>
          </w:tcPr>
          <w:p w14:paraId="2B1B1C78" w14:textId="77777777" w:rsidR="00711444" w:rsidRPr="004D0DAA" w:rsidRDefault="00711444" w:rsidP="00AA2A4C">
            <w:pPr>
              <w:pStyle w:val="TAC"/>
              <w:rPr>
                <w:lang w:eastAsia="en-US"/>
              </w:rPr>
            </w:pPr>
            <w:r w:rsidRPr="004D0DAA">
              <w:rPr>
                <w:lang w:eastAsia="en-US"/>
              </w:rPr>
              <w:t>10111</w:t>
            </w:r>
          </w:p>
        </w:tc>
        <w:tc>
          <w:tcPr>
            <w:tcW w:w="4239" w:type="dxa"/>
          </w:tcPr>
          <w:p w14:paraId="4A1FE3D6" w14:textId="77777777" w:rsidR="00711444" w:rsidRPr="004D0DAA" w:rsidRDefault="00711444" w:rsidP="00AA2A4C">
            <w:pPr>
              <w:pStyle w:val="TAL"/>
              <w:rPr>
                <w:lang w:eastAsia="en-US"/>
              </w:rPr>
            </w:pPr>
            <w:r w:rsidRPr="004D0DAA">
              <w:rPr>
                <w:lang w:eastAsia="en-US"/>
              </w:rPr>
              <w:t>(P3 ; P2 ; P3)</w:t>
            </w:r>
          </w:p>
        </w:tc>
      </w:tr>
      <w:tr w:rsidR="00711444" w:rsidRPr="004D0DAA" w14:paraId="183CD492" w14:textId="77777777" w:rsidTr="00AA2A4C">
        <w:tblPrEx>
          <w:tblCellMar>
            <w:top w:w="0" w:type="dxa"/>
            <w:bottom w:w="0" w:type="dxa"/>
          </w:tblCellMar>
        </w:tblPrEx>
        <w:trPr>
          <w:cantSplit/>
          <w:jc w:val="center"/>
        </w:trPr>
        <w:tc>
          <w:tcPr>
            <w:tcW w:w="1446" w:type="dxa"/>
          </w:tcPr>
          <w:p w14:paraId="40303D37" w14:textId="77777777" w:rsidR="00711444" w:rsidRPr="004D0DAA" w:rsidRDefault="00711444" w:rsidP="00AA2A4C">
            <w:pPr>
              <w:pStyle w:val="TAC"/>
              <w:rPr>
                <w:lang w:eastAsia="en-US"/>
              </w:rPr>
            </w:pPr>
            <w:r w:rsidRPr="004D0DAA">
              <w:rPr>
                <w:lang w:eastAsia="en-US"/>
              </w:rPr>
              <w:t>11000</w:t>
            </w:r>
          </w:p>
        </w:tc>
        <w:tc>
          <w:tcPr>
            <w:tcW w:w="4239" w:type="dxa"/>
          </w:tcPr>
          <w:p w14:paraId="15A93AAE" w14:textId="77777777" w:rsidR="00711444" w:rsidRPr="004D0DAA" w:rsidRDefault="00711444" w:rsidP="00AA2A4C">
            <w:pPr>
              <w:pStyle w:val="TAL"/>
              <w:rPr>
                <w:lang w:eastAsia="en-US"/>
              </w:rPr>
            </w:pPr>
            <w:r w:rsidRPr="004D0DAA">
              <w:rPr>
                <w:lang w:eastAsia="en-US"/>
              </w:rPr>
              <w:t>(P3 ; P3 ; P1)</w:t>
            </w:r>
          </w:p>
        </w:tc>
      </w:tr>
      <w:tr w:rsidR="00711444" w:rsidRPr="004D0DAA" w14:paraId="7C51BC08" w14:textId="77777777" w:rsidTr="00AA2A4C">
        <w:tblPrEx>
          <w:tblCellMar>
            <w:top w:w="0" w:type="dxa"/>
            <w:bottom w:w="0" w:type="dxa"/>
          </w:tblCellMar>
        </w:tblPrEx>
        <w:trPr>
          <w:cantSplit/>
          <w:jc w:val="center"/>
        </w:trPr>
        <w:tc>
          <w:tcPr>
            <w:tcW w:w="1446" w:type="dxa"/>
          </w:tcPr>
          <w:p w14:paraId="70B390B8" w14:textId="77777777" w:rsidR="00711444" w:rsidRPr="004D0DAA" w:rsidRDefault="00711444" w:rsidP="00AA2A4C">
            <w:pPr>
              <w:pStyle w:val="TAC"/>
              <w:rPr>
                <w:lang w:eastAsia="en-US"/>
              </w:rPr>
            </w:pPr>
            <w:r w:rsidRPr="004D0DAA">
              <w:rPr>
                <w:lang w:eastAsia="en-US"/>
              </w:rPr>
              <w:t>11001</w:t>
            </w:r>
          </w:p>
        </w:tc>
        <w:tc>
          <w:tcPr>
            <w:tcW w:w="4239" w:type="dxa"/>
          </w:tcPr>
          <w:p w14:paraId="33C3DF13" w14:textId="77777777" w:rsidR="00711444" w:rsidRPr="004D0DAA" w:rsidRDefault="00711444" w:rsidP="00AA2A4C">
            <w:pPr>
              <w:pStyle w:val="TAL"/>
              <w:rPr>
                <w:lang w:eastAsia="en-US"/>
              </w:rPr>
            </w:pPr>
            <w:r w:rsidRPr="004D0DAA">
              <w:rPr>
                <w:lang w:eastAsia="en-US"/>
              </w:rPr>
              <w:t>(P3 ; P3 ; P2)</w:t>
            </w:r>
          </w:p>
        </w:tc>
      </w:tr>
      <w:tr w:rsidR="00711444" w:rsidRPr="004D0DAA" w14:paraId="626C4915" w14:textId="77777777" w:rsidTr="00AA2A4C">
        <w:tblPrEx>
          <w:tblCellMar>
            <w:top w:w="0" w:type="dxa"/>
            <w:bottom w:w="0" w:type="dxa"/>
          </w:tblCellMar>
        </w:tblPrEx>
        <w:trPr>
          <w:cantSplit/>
          <w:jc w:val="center"/>
        </w:trPr>
        <w:tc>
          <w:tcPr>
            <w:tcW w:w="1446" w:type="dxa"/>
          </w:tcPr>
          <w:p w14:paraId="66A780D4" w14:textId="77777777" w:rsidR="00711444" w:rsidRPr="004D0DAA" w:rsidRDefault="00711444" w:rsidP="00AA2A4C">
            <w:pPr>
              <w:pStyle w:val="TAC"/>
              <w:rPr>
                <w:lang w:eastAsia="en-US"/>
              </w:rPr>
            </w:pPr>
            <w:r w:rsidRPr="004D0DAA">
              <w:rPr>
                <w:lang w:eastAsia="en-US"/>
              </w:rPr>
              <w:t>11010</w:t>
            </w:r>
          </w:p>
        </w:tc>
        <w:tc>
          <w:tcPr>
            <w:tcW w:w="4239" w:type="dxa"/>
          </w:tcPr>
          <w:p w14:paraId="43064405" w14:textId="77777777" w:rsidR="00711444" w:rsidRPr="004D0DAA" w:rsidRDefault="00711444" w:rsidP="00AA2A4C">
            <w:pPr>
              <w:pStyle w:val="TAL"/>
              <w:rPr>
                <w:lang w:eastAsia="en-US"/>
              </w:rPr>
            </w:pPr>
            <w:r w:rsidRPr="004D0DAA">
              <w:rPr>
                <w:lang w:eastAsia="en-US"/>
              </w:rPr>
              <w:t>(P3 ; P3 ; P3)</w:t>
            </w:r>
          </w:p>
        </w:tc>
      </w:tr>
      <w:tr w:rsidR="00711444" w:rsidRPr="004D0DAA" w14:paraId="773EE382" w14:textId="77777777" w:rsidTr="00AA2A4C">
        <w:tblPrEx>
          <w:tblCellMar>
            <w:top w:w="0" w:type="dxa"/>
            <w:bottom w:w="0" w:type="dxa"/>
          </w:tblCellMar>
        </w:tblPrEx>
        <w:trPr>
          <w:cantSplit/>
          <w:jc w:val="center"/>
        </w:trPr>
        <w:tc>
          <w:tcPr>
            <w:tcW w:w="1446" w:type="dxa"/>
          </w:tcPr>
          <w:p w14:paraId="6F3C9F97" w14:textId="77777777" w:rsidR="00711444" w:rsidRPr="004D0DAA" w:rsidRDefault="00711444" w:rsidP="00AA2A4C">
            <w:pPr>
              <w:pStyle w:val="TAC"/>
              <w:rPr>
                <w:lang w:eastAsia="en-US"/>
              </w:rPr>
            </w:pPr>
          </w:p>
        </w:tc>
        <w:tc>
          <w:tcPr>
            <w:tcW w:w="4239" w:type="dxa"/>
          </w:tcPr>
          <w:p w14:paraId="03C35274"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34794865" w14:textId="77777777" w:rsidTr="00AA2A4C">
        <w:tblPrEx>
          <w:tblCellMar>
            <w:top w:w="0" w:type="dxa"/>
            <w:bottom w:w="0" w:type="dxa"/>
          </w:tblCellMar>
        </w:tblPrEx>
        <w:trPr>
          <w:cantSplit/>
          <w:jc w:val="center"/>
        </w:trPr>
        <w:tc>
          <w:tcPr>
            <w:tcW w:w="5685" w:type="dxa"/>
            <w:gridSpan w:val="2"/>
          </w:tcPr>
          <w:p w14:paraId="42AAFB58"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2BDB13F9" w14:textId="77777777" w:rsidR="00711444" w:rsidRPr="004D0DAA" w:rsidRDefault="00711444" w:rsidP="00711444"/>
    <w:p w14:paraId="0E9A03AA" w14:textId="77777777" w:rsidR="00711444" w:rsidRPr="004D0DAA" w:rsidRDefault="00711444" w:rsidP="00711444">
      <w:pPr>
        <w:pStyle w:val="Heading4"/>
      </w:pPr>
      <w:bookmarkStart w:id="566" w:name="_Toc516669746"/>
      <w:r w:rsidRPr="004D0DAA">
        <w:t>10.4.8a.6</w:t>
      </w:r>
      <w:r w:rsidRPr="004D0DAA">
        <w:tab/>
        <w:t>Header type 6</w:t>
      </w:r>
      <w:bookmarkEnd w:id="566"/>
    </w:p>
    <w:p w14:paraId="458B39D2" w14:textId="77777777" w:rsidR="00711444" w:rsidRPr="004D0DAA" w:rsidRDefault="00711444" w:rsidP="00711444">
      <w:r w:rsidRPr="004D0DAA">
        <w:t>In downlink, the Coding and Puncturing Scheme indicator field indicates the kind of channel coding and puncturing used for data block as defined in table 10.4.8a.6.1.</w:t>
      </w:r>
    </w:p>
    <w:p w14:paraId="0935F573" w14:textId="77777777" w:rsidR="00711444" w:rsidRPr="004D0DAA" w:rsidRDefault="00711444" w:rsidP="00711444">
      <w:pPr>
        <w:pStyle w:val="TH"/>
      </w:pPr>
      <w:r w:rsidRPr="004D0DAA">
        <w:t xml:space="preserve">Table 10.4.8a.6.1: Coding and Puncturing Scheme indicator field for </w:t>
      </w:r>
      <w:r w:rsidRPr="004D0DAA">
        <w:br/>
        <w:t>Header type 6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1BA63778" w14:textId="77777777" w:rsidTr="00AA2A4C">
        <w:tblPrEx>
          <w:tblCellMar>
            <w:top w:w="0" w:type="dxa"/>
            <w:bottom w:w="0" w:type="dxa"/>
          </w:tblCellMar>
        </w:tblPrEx>
        <w:trPr>
          <w:cantSplit/>
          <w:jc w:val="center"/>
        </w:trPr>
        <w:tc>
          <w:tcPr>
            <w:tcW w:w="1446" w:type="dxa"/>
          </w:tcPr>
          <w:p w14:paraId="7615ED2E"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239" w:type="dxa"/>
          </w:tcPr>
          <w:p w14:paraId="4238E496" w14:textId="77777777" w:rsidR="00711444" w:rsidRPr="004D0DAA" w:rsidRDefault="00711444" w:rsidP="00AA2A4C">
            <w:pPr>
              <w:pStyle w:val="TAH"/>
              <w:rPr>
                <w:lang w:eastAsia="en-US"/>
              </w:rPr>
            </w:pPr>
            <w:r w:rsidRPr="004D0DAA">
              <w:rPr>
                <w:lang w:eastAsia="en-US"/>
              </w:rPr>
              <w:t>CPS</w:t>
            </w:r>
          </w:p>
        </w:tc>
      </w:tr>
      <w:tr w:rsidR="00711444" w:rsidRPr="004D0DAA" w14:paraId="0434B639" w14:textId="77777777" w:rsidTr="00AA2A4C">
        <w:tblPrEx>
          <w:tblCellMar>
            <w:top w:w="0" w:type="dxa"/>
            <w:bottom w:w="0" w:type="dxa"/>
          </w:tblCellMar>
        </w:tblPrEx>
        <w:trPr>
          <w:cantSplit/>
          <w:jc w:val="center"/>
        </w:trPr>
        <w:tc>
          <w:tcPr>
            <w:tcW w:w="1446" w:type="dxa"/>
          </w:tcPr>
          <w:p w14:paraId="52AABC6D" w14:textId="77777777" w:rsidR="00711444" w:rsidRPr="004D0DAA" w:rsidRDefault="00711444" w:rsidP="00AA2A4C">
            <w:pPr>
              <w:pStyle w:val="TAC"/>
              <w:rPr>
                <w:lang w:eastAsia="en-US"/>
              </w:rPr>
            </w:pPr>
            <w:r w:rsidRPr="004D0DAA">
              <w:rPr>
                <w:lang w:eastAsia="en-US"/>
              </w:rPr>
              <w:t>000</w:t>
            </w:r>
          </w:p>
        </w:tc>
        <w:tc>
          <w:tcPr>
            <w:tcW w:w="4239" w:type="dxa"/>
          </w:tcPr>
          <w:p w14:paraId="7B0B8686" w14:textId="77777777" w:rsidR="00711444" w:rsidRPr="004D0DAA" w:rsidRDefault="00711444" w:rsidP="00AA2A4C">
            <w:pPr>
              <w:pStyle w:val="TAL"/>
              <w:rPr>
                <w:lang w:eastAsia="en-US"/>
              </w:rPr>
            </w:pPr>
            <w:r w:rsidRPr="004D0DAA">
              <w:rPr>
                <w:lang w:eastAsia="en-US"/>
              </w:rPr>
              <w:t>DBS-5 P1</w:t>
            </w:r>
          </w:p>
        </w:tc>
      </w:tr>
      <w:tr w:rsidR="00711444" w:rsidRPr="004D0DAA" w14:paraId="0AE77BAE" w14:textId="77777777" w:rsidTr="00AA2A4C">
        <w:tblPrEx>
          <w:tblCellMar>
            <w:top w:w="0" w:type="dxa"/>
            <w:bottom w:w="0" w:type="dxa"/>
          </w:tblCellMar>
        </w:tblPrEx>
        <w:trPr>
          <w:cantSplit/>
          <w:jc w:val="center"/>
        </w:trPr>
        <w:tc>
          <w:tcPr>
            <w:tcW w:w="1446" w:type="dxa"/>
          </w:tcPr>
          <w:p w14:paraId="753F5FC7" w14:textId="77777777" w:rsidR="00711444" w:rsidRPr="004D0DAA" w:rsidRDefault="00711444" w:rsidP="00AA2A4C">
            <w:pPr>
              <w:pStyle w:val="TAC"/>
              <w:rPr>
                <w:lang w:eastAsia="en-US"/>
              </w:rPr>
            </w:pPr>
            <w:r w:rsidRPr="004D0DAA">
              <w:rPr>
                <w:lang w:eastAsia="en-US"/>
              </w:rPr>
              <w:t>001</w:t>
            </w:r>
          </w:p>
        </w:tc>
        <w:tc>
          <w:tcPr>
            <w:tcW w:w="4239" w:type="dxa"/>
          </w:tcPr>
          <w:p w14:paraId="1B4A428A" w14:textId="77777777" w:rsidR="00711444" w:rsidRPr="004D0DAA" w:rsidRDefault="00711444" w:rsidP="00AA2A4C">
            <w:pPr>
              <w:pStyle w:val="TAL"/>
              <w:rPr>
                <w:lang w:eastAsia="en-US"/>
              </w:rPr>
            </w:pPr>
            <w:r w:rsidRPr="004D0DAA">
              <w:rPr>
                <w:lang w:eastAsia="en-US"/>
              </w:rPr>
              <w:t>DBS-5 P2</w:t>
            </w:r>
          </w:p>
        </w:tc>
      </w:tr>
      <w:tr w:rsidR="00711444" w:rsidRPr="004D0DAA" w14:paraId="216DFC82" w14:textId="77777777" w:rsidTr="00AA2A4C">
        <w:tblPrEx>
          <w:tblCellMar>
            <w:top w:w="0" w:type="dxa"/>
            <w:bottom w:w="0" w:type="dxa"/>
          </w:tblCellMar>
        </w:tblPrEx>
        <w:trPr>
          <w:cantSplit/>
          <w:jc w:val="center"/>
        </w:trPr>
        <w:tc>
          <w:tcPr>
            <w:tcW w:w="1446" w:type="dxa"/>
          </w:tcPr>
          <w:p w14:paraId="6D8089FD" w14:textId="77777777" w:rsidR="00711444" w:rsidRPr="004D0DAA" w:rsidRDefault="00711444" w:rsidP="00AA2A4C">
            <w:pPr>
              <w:pStyle w:val="TAC"/>
              <w:rPr>
                <w:lang w:eastAsia="en-US"/>
              </w:rPr>
            </w:pPr>
            <w:r w:rsidRPr="004D0DAA">
              <w:rPr>
                <w:lang w:eastAsia="en-US"/>
              </w:rPr>
              <w:t>010</w:t>
            </w:r>
          </w:p>
        </w:tc>
        <w:tc>
          <w:tcPr>
            <w:tcW w:w="4239" w:type="dxa"/>
          </w:tcPr>
          <w:p w14:paraId="773AAF8F" w14:textId="77777777" w:rsidR="00711444" w:rsidRPr="004D0DAA" w:rsidRDefault="00711444" w:rsidP="00AA2A4C">
            <w:pPr>
              <w:pStyle w:val="TAL"/>
              <w:rPr>
                <w:lang w:eastAsia="en-US"/>
              </w:rPr>
            </w:pPr>
            <w:r w:rsidRPr="004D0DAA">
              <w:rPr>
                <w:lang w:eastAsia="en-US"/>
              </w:rPr>
              <w:t>DBS-6 P1</w:t>
            </w:r>
          </w:p>
        </w:tc>
      </w:tr>
      <w:tr w:rsidR="00711444" w:rsidRPr="004D0DAA" w14:paraId="5729B6AE" w14:textId="77777777" w:rsidTr="00AA2A4C">
        <w:tblPrEx>
          <w:tblCellMar>
            <w:top w:w="0" w:type="dxa"/>
            <w:bottom w:w="0" w:type="dxa"/>
          </w:tblCellMar>
        </w:tblPrEx>
        <w:trPr>
          <w:cantSplit/>
          <w:jc w:val="center"/>
        </w:trPr>
        <w:tc>
          <w:tcPr>
            <w:tcW w:w="1446" w:type="dxa"/>
          </w:tcPr>
          <w:p w14:paraId="137CCEF0" w14:textId="77777777" w:rsidR="00711444" w:rsidRPr="004D0DAA" w:rsidRDefault="00711444" w:rsidP="00AA2A4C">
            <w:pPr>
              <w:pStyle w:val="TAC"/>
              <w:rPr>
                <w:lang w:eastAsia="en-US"/>
              </w:rPr>
            </w:pPr>
            <w:r w:rsidRPr="004D0DAA">
              <w:rPr>
                <w:lang w:eastAsia="en-US"/>
              </w:rPr>
              <w:t>011</w:t>
            </w:r>
          </w:p>
        </w:tc>
        <w:tc>
          <w:tcPr>
            <w:tcW w:w="4239" w:type="dxa"/>
          </w:tcPr>
          <w:p w14:paraId="361B7A25" w14:textId="77777777" w:rsidR="00711444" w:rsidRPr="004D0DAA" w:rsidRDefault="00711444" w:rsidP="00AA2A4C">
            <w:pPr>
              <w:pStyle w:val="TAL"/>
              <w:rPr>
                <w:lang w:eastAsia="en-US"/>
              </w:rPr>
            </w:pPr>
            <w:r w:rsidRPr="004D0DAA">
              <w:rPr>
                <w:lang w:eastAsia="en-US"/>
              </w:rPr>
              <w:t>DBS-6 P2</w:t>
            </w:r>
          </w:p>
        </w:tc>
      </w:tr>
      <w:tr w:rsidR="00711444" w:rsidRPr="004D0DAA" w14:paraId="77238E75" w14:textId="77777777" w:rsidTr="00AA2A4C">
        <w:tblPrEx>
          <w:tblCellMar>
            <w:top w:w="0" w:type="dxa"/>
            <w:bottom w:w="0" w:type="dxa"/>
          </w:tblCellMar>
        </w:tblPrEx>
        <w:trPr>
          <w:cantSplit/>
          <w:jc w:val="center"/>
        </w:trPr>
        <w:tc>
          <w:tcPr>
            <w:tcW w:w="1446" w:type="dxa"/>
          </w:tcPr>
          <w:p w14:paraId="765217DC" w14:textId="77777777" w:rsidR="00711444" w:rsidRPr="004D0DAA" w:rsidRDefault="00711444" w:rsidP="00AA2A4C">
            <w:pPr>
              <w:pStyle w:val="TAC"/>
              <w:rPr>
                <w:lang w:eastAsia="en-US"/>
              </w:rPr>
            </w:pPr>
          </w:p>
        </w:tc>
        <w:tc>
          <w:tcPr>
            <w:tcW w:w="4239" w:type="dxa"/>
          </w:tcPr>
          <w:p w14:paraId="466A4D48"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3797D54D" w14:textId="77777777" w:rsidTr="00AA2A4C">
        <w:tblPrEx>
          <w:tblCellMar>
            <w:top w:w="0" w:type="dxa"/>
            <w:bottom w:w="0" w:type="dxa"/>
          </w:tblCellMar>
        </w:tblPrEx>
        <w:trPr>
          <w:cantSplit/>
          <w:jc w:val="center"/>
        </w:trPr>
        <w:tc>
          <w:tcPr>
            <w:tcW w:w="5685" w:type="dxa"/>
            <w:gridSpan w:val="2"/>
          </w:tcPr>
          <w:p w14:paraId="2A1D0D66"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56DEBD3E" w14:textId="77777777" w:rsidR="00711444" w:rsidRPr="004D0DAA" w:rsidRDefault="00711444" w:rsidP="00711444"/>
    <w:p w14:paraId="3A0EDE4C" w14:textId="77777777" w:rsidR="00711444" w:rsidRPr="004D0DAA" w:rsidRDefault="00711444" w:rsidP="00711444">
      <w:r w:rsidRPr="004D0DAA">
        <w:t>In uplink, the Coding and Puncturing Scheme indicator field indicates the kind of channel coding and puncturing used for data block as defined in table 10.4.8a.6.2.</w:t>
      </w:r>
    </w:p>
    <w:p w14:paraId="6772DD3A" w14:textId="77777777" w:rsidR="00711444" w:rsidRPr="004D0DAA" w:rsidRDefault="00711444" w:rsidP="00711444">
      <w:pPr>
        <w:pStyle w:val="TH"/>
      </w:pPr>
      <w:r w:rsidRPr="004D0DAA">
        <w:lastRenderedPageBreak/>
        <w:t xml:space="preserve">Table 10.4.8a.6.2: Coding and Puncturing Scheme indicator field for </w:t>
      </w:r>
      <w:r w:rsidRPr="004D0DAA">
        <w:br/>
        <w:t>Header type 6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67288404" w14:textId="77777777" w:rsidTr="00AA2A4C">
        <w:tblPrEx>
          <w:tblCellMar>
            <w:top w:w="0" w:type="dxa"/>
            <w:bottom w:w="0" w:type="dxa"/>
          </w:tblCellMar>
        </w:tblPrEx>
        <w:trPr>
          <w:cantSplit/>
          <w:jc w:val="center"/>
        </w:trPr>
        <w:tc>
          <w:tcPr>
            <w:tcW w:w="1446" w:type="dxa"/>
          </w:tcPr>
          <w:p w14:paraId="3C9DEF2F"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239" w:type="dxa"/>
          </w:tcPr>
          <w:p w14:paraId="11EDB43F" w14:textId="77777777" w:rsidR="00711444" w:rsidRPr="004D0DAA" w:rsidRDefault="00711444" w:rsidP="00AA2A4C">
            <w:pPr>
              <w:pStyle w:val="TAH"/>
              <w:rPr>
                <w:lang w:eastAsia="en-US"/>
              </w:rPr>
            </w:pPr>
            <w:r w:rsidRPr="004D0DAA">
              <w:rPr>
                <w:lang w:eastAsia="en-US"/>
              </w:rPr>
              <w:t>CPS</w:t>
            </w:r>
          </w:p>
        </w:tc>
      </w:tr>
      <w:tr w:rsidR="00711444" w:rsidRPr="004D0DAA" w14:paraId="05DD61A9" w14:textId="77777777" w:rsidTr="00AA2A4C">
        <w:tblPrEx>
          <w:tblCellMar>
            <w:top w:w="0" w:type="dxa"/>
            <w:bottom w:w="0" w:type="dxa"/>
          </w:tblCellMar>
        </w:tblPrEx>
        <w:trPr>
          <w:cantSplit/>
          <w:jc w:val="center"/>
        </w:trPr>
        <w:tc>
          <w:tcPr>
            <w:tcW w:w="1446" w:type="dxa"/>
          </w:tcPr>
          <w:p w14:paraId="185D70F6" w14:textId="77777777" w:rsidR="00711444" w:rsidRPr="004D0DAA" w:rsidRDefault="00711444" w:rsidP="00AA2A4C">
            <w:pPr>
              <w:pStyle w:val="TAC"/>
              <w:rPr>
                <w:lang w:eastAsia="en-US"/>
              </w:rPr>
            </w:pPr>
            <w:r w:rsidRPr="004D0DAA">
              <w:rPr>
                <w:lang w:eastAsia="en-US"/>
              </w:rPr>
              <w:t>000</w:t>
            </w:r>
          </w:p>
        </w:tc>
        <w:tc>
          <w:tcPr>
            <w:tcW w:w="4239" w:type="dxa"/>
          </w:tcPr>
          <w:p w14:paraId="53C3493C" w14:textId="77777777" w:rsidR="00711444" w:rsidRPr="004D0DAA" w:rsidRDefault="00711444" w:rsidP="00AA2A4C">
            <w:pPr>
              <w:pStyle w:val="TAL"/>
              <w:rPr>
                <w:lang w:eastAsia="en-US"/>
              </w:rPr>
            </w:pPr>
            <w:r w:rsidRPr="004D0DAA">
              <w:rPr>
                <w:lang w:eastAsia="en-US"/>
              </w:rPr>
              <w:t>UBS-5 P1</w:t>
            </w:r>
          </w:p>
        </w:tc>
      </w:tr>
      <w:tr w:rsidR="00711444" w:rsidRPr="004D0DAA" w14:paraId="3F31605F" w14:textId="77777777" w:rsidTr="00AA2A4C">
        <w:tblPrEx>
          <w:tblCellMar>
            <w:top w:w="0" w:type="dxa"/>
            <w:bottom w:w="0" w:type="dxa"/>
          </w:tblCellMar>
        </w:tblPrEx>
        <w:trPr>
          <w:cantSplit/>
          <w:jc w:val="center"/>
        </w:trPr>
        <w:tc>
          <w:tcPr>
            <w:tcW w:w="1446" w:type="dxa"/>
          </w:tcPr>
          <w:p w14:paraId="18F84239" w14:textId="77777777" w:rsidR="00711444" w:rsidRPr="004D0DAA" w:rsidRDefault="00711444" w:rsidP="00AA2A4C">
            <w:pPr>
              <w:pStyle w:val="TAC"/>
              <w:rPr>
                <w:lang w:eastAsia="en-US"/>
              </w:rPr>
            </w:pPr>
            <w:r w:rsidRPr="004D0DAA">
              <w:rPr>
                <w:lang w:eastAsia="en-US"/>
              </w:rPr>
              <w:t>001</w:t>
            </w:r>
          </w:p>
        </w:tc>
        <w:tc>
          <w:tcPr>
            <w:tcW w:w="4239" w:type="dxa"/>
          </w:tcPr>
          <w:p w14:paraId="07115688" w14:textId="77777777" w:rsidR="00711444" w:rsidRPr="004D0DAA" w:rsidRDefault="00711444" w:rsidP="00AA2A4C">
            <w:pPr>
              <w:pStyle w:val="TAL"/>
              <w:rPr>
                <w:lang w:eastAsia="en-US"/>
              </w:rPr>
            </w:pPr>
            <w:r w:rsidRPr="004D0DAA">
              <w:rPr>
                <w:lang w:eastAsia="en-US"/>
              </w:rPr>
              <w:t>UBS-5 P2</w:t>
            </w:r>
          </w:p>
        </w:tc>
      </w:tr>
      <w:tr w:rsidR="00711444" w:rsidRPr="004D0DAA" w14:paraId="54D2CE83" w14:textId="77777777" w:rsidTr="00AA2A4C">
        <w:tblPrEx>
          <w:tblCellMar>
            <w:top w:w="0" w:type="dxa"/>
            <w:bottom w:w="0" w:type="dxa"/>
          </w:tblCellMar>
        </w:tblPrEx>
        <w:trPr>
          <w:cantSplit/>
          <w:jc w:val="center"/>
        </w:trPr>
        <w:tc>
          <w:tcPr>
            <w:tcW w:w="1446" w:type="dxa"/>
          </w:tcPr>
          <w:p w14:paraId="644AE27E" w14:textId="77777777" w:rsidR="00711444" w:rsidRPr="004D0DAA" w:rsidRDefault="00711444" w:rsidP="00AA2A4C">
            <w:pPr>
              <w:pStyle w:val="TAC"/>
              <w:rPr>
                <w:lang w:eastAsia="en-US"/>
              </w:rPr>
            </w:pPr>
            <w:r w:rsidRPr="004D0DAA">
              <w:rPr>
                <w:lang w:eastAsia="en-US"/>
              </w:rPr>
              <w:t>010</w:t>
            </w:r>
          </w:p>
        </w:tc>
        <w:tc>
          <w:tcPr>
            <w:tcW w:w="4239" w:type="dxa"/>
          </w:tcPr>
          <w:p w14:paraId="27DFEEA4" w14:textId="77777777" w:rsidR="00711444" w:rsidRPr="004D0DAA" w:rsidRDefault="00711444" w:rsidP="00AA2A4C">
            <w:pPr>
              <w:pStyle w:val="TAL"/>
              <w:rPr>
                <w:lang w:eastAsia="en-US"/>
              </w:rPr>
            </w:pPr>
            <w:r w:rsidRPr="004D0DAA">
              <w:rPr>
                <w:lang w:eastAsia="en-US"/>
              </w:rPr>
              <w:t>UBS-6 P1</w:t>
            </w:r>
          </w:p>
        </w:tc>
      </w:tr>
      <w:tr w:rsidR="00711444" w:rsidRPr="004D0DAA" w14:paraId="1CFCDC1F" w14:textId="77777777" w:rsidTr="00AA2A4C">
        <w:tblPrEx>
          <w:tblCellMar>
            <w:top w:w="0" w:type="dxa"/>
            <w:bottom w:w="0" w:type="dxa"/>
          </w:tblCellMar>
        </w:tblPrEx>
        <w:trPr>
          <w:cantSplit/>
          <w:jc w:val="center"/>
        </w:trPr>
        <w:tc>
          <w:tcPr>
            <w:tcW w:w="1446" w:type="dxa"/>
          </w:tcPr>
          <w:p w14:paraId="364955A0" w14:textId="77777777" w:rsidR="00711444" w:rsidRPr="004D0DAA" w:rsidRDefault="00711444" w:rsidP="00AA2A4C">
            <w:pPr>
              <w:pStyle w:val="TAC"/>
              <w:rPr>
                <w:lang w:eastAsia="en-US"/>
              </w:rPr>
            </w:pPr>
            <w:r w:rsidRPr="004D0DAA">
              <w:rPr>
                <w:lang w:eastAsia="en-US"/>
              </w:rPr>
              <w:t>011</w:t>
            </w:r>
          </w:p>
        </w:tc>
        <w:tc>
          <w:tcPr>
            <w:tcW w:w="4239" w:type="dxa"/>
          </w:tcPr>
          <w:p w14:paraId="3666B364" w14:textId="77777777" w:rsidR="00711444" w:rsidRPr="004D0DAA" w:rsidRDefault="00711444" w:rsidP="00AA2A4C">
            <w:pPr>
              <w:pStyle w:val="TAL"/>
              <w:rPr>
                <w:lang w:eastAsia="en-US"/>
              </w:rPr>
            </w:pPr>
            <w:r w:rsidRPr="004D0DAA">
              <w:rPr>
                <w:lang w:eastAsia="en-US"/>
              </w:rPr>
              <w:t>UBS-6 P2</w:t>
            </w:r>
          </w:p>
        </w:tc>
      </w:tr>
      <w:tr w:rsidR="00711444" w:rsidRPr="004D0DAA" w14:paraId="142BC29B" w14:textId="77777777" w:rsidTr="00AA2A4C">
        <w:tblPrEx>
          <w:tblCellMar>
            <w:top w:w="0" w:type="dxa"/>
            <w:bottom w:w="0" w:type="dxa"/>
          </w:tblCellMar>
        </w:tblPrEx>
        <w:trPr>
          <w:cantSplit/>
          <w:jc w:val="center"/>
        </w:trPr>
        <w:tc>
          <w:tcPr>
            <w:tcW w:w="1446" w:type="dxa"/>
          </w:tcPr>
          <w:p w14:paraId="2B954E1B" w14:textId="77777777" w:rsidR="00711444" w:rsidRPr="004D0DAA" w:rsidRDefault="00711444" w:rsidP="00AA2A4C">
            <w:pPr>
              <w:pStyle w:val="TAC"/>
              <w:rPr>
                <w:lang w:eastAsia="en-US"/>
              </w:rPr>
            </w:pPr>
            <w:r w:rsidRPr="004D0DAA">
              <w:rPr>
                <w:lang w:eastAsia="en-US"/>
              </w:rPr>
              <w:t>100</w:t>
            </w:r>
          </w:p>
        </w:tc>
        <w:tc>
          <w:tcPr>
            <w:tcW w:w="4239" w:type="dxa"/>
          </w:tcPr>
          <w:p w14:paraId="19E2282B" w14:textId="77777777" w:rsidR="00711444" w:rsidRPr="004D0DAA" w:rsidRDefault="00711444" w:rsidP="00AA2A4C">
            <w:pPr>
              <w:pStyle w:val="TAL"/>
              <w:rPr>
                <w:lang w:eastAsia="en-US"/>
              </w:rPr>
            </w:pPr>
            <w:r w:rsidRPr="004D0DAA">
              <w:rPr>
                <w:lang w:eastAsia="en-US"/>
              </w:rPr>
              <w:t>UBS-6 P1 with padding</w:t>
            </w:r>
          </w:p>
        </w:tc>
      </w:tr>
      <w:tr w:rsidR="00711444" w:rsidRPr="004D0DAA" w14:paraId="646C0F48" w14:textId="77777777" w:rsidTr="00AA2A4C">
        <w:tblPrEx>
          <w:tblCellMar>
            <w:top w:w="0" w:type="dxa"/>
            <w:bottom w:w="0" w:type="dxa"/>
          </w:tblCellMar>
        </w:tblPrEx>
        <w:trPr>
          <w:cantSplit/>
          <w:jc w:val="center"/>
        </w:trPr>
        <w:tc>
          <w:tcPr>
            <w:tcW w:w="1446" w:type="dxa"/>
          </w:tcPr>
          <w:p w14:paraId="6DD564A3" w14:textId="77777777" w:rsidR="00711444" w:rsidRPr="004D0DAA" w:rsidRDefault="00711444" w:rsidP="00AA2A4C">
            <w:pPr>
              <w:pStyle w:val="TAC"/>
              <w:rPr>
                <w:lang w:eastAsia="en-US"/>
              </w:rPr>
            </w:pPr>
            <w:r w:rsidRPr="004D0DAA">
              <w:rPr>
                <w:lang w:eastAsia="en-US"/>
              </w:rPr>
              <w:t>101</w:t>
            </w:r>
          </w:p>
        </w:tc>
        <w:tc>
          <w:tcPr>
            <w:tcW w:w="4239" w:type="dxa"/>
          </w:tcPr>
          <w:p w14:paraId="2E82A120" w14:textId="77777777" w:rsidR="00711444" w:rsidRPr="004D0DAA" w:rsidRDefault="00711444" w:rsidP="00AA2A4C">
            <w:pPr>
              <w:pStyle w:val="TAL"/>
              <w:rPr>
                <w:lang w:eastAsia="en-US"/>
              </w:rPr>
            </w:pPr>
            <w:r w:rsidRPr="004D0DAA">
              <w:rPr>
                <w:lang w:eastAsia="en-US"/>
              </w:rPr>
              <w:t>UBS-6 P2 with padding</w:t>
            </w:r>
          </w:p>
        </w:tc>
      </w:tr>
      <w:tr w:rsidR="00711444" w:rsidRPr="004D0DAA" w14:paraId="76FBAC03" w14:textId="77777777" w:rsidTr="00AA2A4C">
        <w:tblPrEx>
          <w:tblCellMar>
            <w:top w:w="0" w:type="dxa"/>
            <w:bottom w:w="0" w:type="dxa"/>
          </w:tblCellMar>
        </w:tblPrEx>
        <w:trPr>
          <w:cantSplit/>
          <w:jc w:val="center"/>
        </w:trPr>
        <w:tc>
          <w:tcPr>
            <w:tcW w:w="1446" w:type="dxa"/>
          </w:tcPr>
          <w:p w14:paraId="20932203" w14:textId="77777777" w:rsidR="00711444" w:rsidRPr="004D0DAA" w:rsidRDefault="00711444" w:rsidP="00AA2A4C">
            <w:pPr>
              <w:pStyle w:val="TAC"/>
              <w:rPr>
                <w:lang w:eastAsia="en-US"/>
              </w:rPr>
            </w:pPr>
          </w:p>
        </w:tc>
        <w:tc>
          <w:tcPr>
            <w:tcW w:w="4239" w:type="dxa"/>
          </w:tcPr>
          <w:p w14:paraId="478C934C"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7C665932" w14:textId="77777777" w:rsidTr="00AA2A4C">
        <w:tblPrEx>
          <w:tblCellMar>
            <w:top w:w="0" w:type="dxa"/>
            <w:bottom w:w="0" w:type="dxa"/>
          </w:tblCellMar>
        </w:tblPrEx>
        <w:trPr>
          <w:cantSplit/>
          <w:jc w:val="center"/>
        </w:trPr>
        <w:tc>
          <w:tcPr>
            <w:tcW w:w="5685" w:type="dxa"/>
            <w:gridSpan w:val="2"/>
          </w:tcPr>
          <w:p w14:paraId="3002F463"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7D78CE31" w14:textId="77777777" w:rsidR="00711444" w:rsidRPr="004D0DAA" w:rsidRDefault="00711444" w:rsidP="00711444"/>
    <w:p w14:paraId="1E8B37E5" w14:textId="77777777" w:rsidR="00711444" w:rsidRPr="004D0DAA" w:rsidRDefault="00711444" w:rsidP="00711444">
      <w:pPr>
        <w:pStyle w:val="Heading4"/>
      </w:pPr>
      <w:bookmarkStart w:id="567" w:name="_Toc516669747"/>
      <w:r w:rsidRPr="004D0DAA">
        <w:t>10.4.8a.7</w:t>
      </w:r>
      <w:r w:rsidRPr="004D0DAA">
        <w:tab/>
        <w:t>Header type 7</w:t>
      </w:r>
      <w:bookmarkEnd w:id="567"/>
      <w:r w:rsidRPr="004D0DAA">
        <w:t xml:space="preserve"> </w:t>
      </w:r>
    </w:p>
    <w:p w14:paraId="5DEC1D0A" w14:textId="77777777" w:rsidR="00711444" w:rsidRPr="004D0DAA" w:rsidRDefault="00711444" w:rsidP="00711444">
      <w:r w:rsidRPr="004D0DAA">
        <w:t>In downlink, the Coding and Puncturing Scheme indicator field indicates the kind of channel coding and puncturing used for data block as defined in table 10.4.8a.7.1 and table 10.4.8a.7.3.</w:t>
      </w:r>
    </w:p>
    <w:p w14:paraId="4622E219" w14:textId="77777777" w:rsidR="00711444" w:rsidRPr="004D0DAA" w:rsidRDefault="00711444" w:rsidP="00711444">
      <w:pPr>
        <w:pStyle w:val="TH"/>
      </w:pPr>
      <w:r w:rsidRPr="004D0DAA">
        <w:t xml:space="preserve">Table 10.4.8a.7.1: Bit 4 of Coding and Puncturing Scheme indicator field for </w:t>
      </w:r>
      <w:r w:rsidRPr="004D0DAA">
        <w:br/>
        <w:t>Header type 7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3B079EF3" w14:textId="77777777" w:rsidTr="00AA2A4C">
        <w:tblPrEx>
          <w:tblCellMar>
            <w:top w:w="0" w:type="dxa"/>
            <w:bottom w:w="0" w:type="dxa"/>
          </w:tblCellMar>
        </w:tblPrEx>
        <w:trPr>
          <w:cantSplit/>
          <w:jc w:val="center"/>
        </w:trPr>
        <w:tc>
          <w:tcPr>
            <w:tcW w:w="1446" w:type="dxa"/>
          </w:tcPr>
          <w:p w14:paraId="4348AE47" w14:textId="77777777" w:rsidR="00711444" w:rsidRPr="004D0DAA" w:rsidRDefault="00711444" w:rsidP="00AA2A4C">
            <w:pPr>
              <w:pStyle w:val="TAH"/>
              <w:rPr>
                <w:lang w:eastAsia="en-US"/>
              </w:rPr>
            </w:pPr>
            <w:r w:rsidRPr="004D0DAA">
              <w:rPr>
                <w:lang w:eastAsia="en-US"/>
              </w:rPr>
              <w:t>bit</w:t>
            </w:r>
            <w:r w:rsidRPr="004D0DAA">
              <w:rPr>
                <w:lang w:eastAsia="en-US"/>
              </w:rPr>
              <w:br/>
              <w:t>4</w:t>
            </w:r>
          </w:p>
        </w:tc>
        <w:tc>
          <w:tcPr>
            <w:tcW w:w="4239" w:type="dxa"/>
          </w:tcPr>
          <w:p w14:paraId="5652A16C" w14:textId="77777777" w:rsidR="00711444" w:rsidRPr="004D0DAA" w:rsidRDefault="00711444" w:rsidP="00AA2A4C">
            <w:pPr>
              <w:pStyle w:val="TAH"/>
              <w:rPr>
                <w:lang w:eastAsia="en-US"/>
              </w:rPr>
            </w:pPr>
            <w:r w:rsidRPr="004D0DAA">
              <w:rPr>
                <w:lang w:eastAsia="en-US"/>
              </w:rPr>
              <w:t>CPS</w:t>
            </w:r>
          </w:p>
        </w:tc>
      </w:tr>
      <w:tr w:rsidR="00711444" w:rsidRPr="004D0DAA" w14:paraId="0AB2B54B" w14:textId="77777777" w:rsidTr="00AA2A4C">
        <w:tblPrEx>
          <w:tblCellMar>
            <w:top w:w="0" w:type="dxa"/>
            <w:bottom w:w="0" w:type="dxa"/>
          </w:tblCellMar>
        </w:tblPrEx>
        <w:trPr>
          <w:cantSplit/>
          <w:jc w:val="center"/>
        </w:trPr>
        <w:tc>
          <w:tcPr>
            <w:tcW w:w="1446" w:type="dxa"/>
          </w:tcPr>
          <w:p w14:paraId="2E69ADA4" w14:textId="77777777" w:rsidR="00711444" w:rsidRPr="004D0DAA" w:rsidRDefault="00711444" w:rsidP="00AA2A4C">
            <w:pPr>
              <w:pStyle w:val="TAC"/>
              <w:rPr>
                <w:lang w:eastAsia="en-US"/>
              </w:rPr>
            </w:pPr>
            <w:r w:rsidRPr="004D0DAA">
              <w:rPr>
                <w:lang w:eastAsia="en-US"/>
              </w:rPr>
              <w:t>0</w:t>
            </w:r>
          </w:p>
        </w:tc>
        <w:tc>
          <w:tcPr>
            <w:tcW w:w="4239" w:type="dxa"/>
          </w:tcPr>
          <w:p w14:paraId="27372C7E" w14:textId="77777777" w:rsidR="00711444" w:rsidRPr="004D0DAA" w:rsidRDefault="00711444" w:rsidP="00AA2A4C">
            <w:pPr>
              <w:pStyle w:val="TAH"/>
              <w:rPr>
                <w:lang w:eastAsia="en-US"/>
              </w:rPr>
            </w:pPr>
            <w:r w:rsidRPr="004D0DAA">
              <w:rPr>
                <w:b w:val="0"/>
                <w:bCs/>
                <w:lang w:eastAsia="en-US"/>
              </w:rPr>
              <w:t>DBS-7</w:t>
            </w:r>
          </w:p>
        </w:tc>
      </w:tr>
      <w:tr w:rsidR="00711444" w:rsidRPr="004D0DAA" w14:paraId="7746C361" w14:textId="77777777" w:rsidTr="00AA2A4C">
        <w:tblPrEx>
          <w:tblCellMar>
            <w:top w:w="0" w:type="dxa"/>
            <w:bottom w:w="0" w:type="dxa"/>
          </w:tblCellMar>
        </w:tblPrEx>
        <w:trPr>
          <w:cantSplit/>
          <w:jc w:val="center"/>
        </w:trPr>
        <w:tc>
          <w:tcPr>
            <w:tcW w:w="1446" w:type="dxa"/>
          </w:tcPr>
          <w:p w14:paraId="04E1B7B8" w14:textId="77777777" w:rsidR="00711444" w:rsidRPr="004D0DAA" w:rsidRDefault="00711444" w:rsidP="00AA2A4C">
            <w:pPr>
              <w:pStyle w:val="TAC"/>
              <w:rPr>
                <w:lang w:eastAsia="en-US"/>
              </w:rPr>
            </w:pPr>
            <w:r w:rsidRPr="004D0DAA">
              <w:rPr>
                <w:lang w:eastAsia="en-US"/>
              </w:rPr>
              <w:t>1</w:t>
            </w:r>
          </w:p>
        </w:tc>
        <w:tc>
          <w:tcPr>
            <w:tcW w:w="4239" w:type="dxa"/>
          </w:tcPr>
          <w:p w14:paraId="6251CD88" w14:textId="77777777" w:rsidR="00711444" w:rsidRPr="004D0DAA" w:rsidRDefault="00711444" w:rsidP="00AA2A4C">
            <w:pPr>
              <w:pStyle w:val="TAH"/>
              <w:rPr>
                <w:lang w:eastAsia="en-US"/>
              </w:rPr>
            </w:pPr>
            <w:r w:rsidRPr="004D0DAA">
              <w:rPr>
                <w:b w:val="0"/>
                <w:bCs/>
                <w:lang w:eastAsia="en-US"/>
              </w:rPr>
              <w:t>DBS-8</w:t>
            </w:r>
          </w:p>
        </w:tc>
      </w:tr>
      <w:tr w:rsidR="00711444" w:rsidRPr="004D0DAA" w14:paraId="68FB2340" w14:textId="77777777" w:rsidTr="00AA2A4C">
        <w:tblPrEx>
          <w:tblCellMar>
            <w:top w:w="0" w:type="dxa"/>
            <w:bottom w:w="0" w:type="dxa"/>
          </w:tblCellMar>
        </w:tblPrEx>
        <w:trPr>
          <w:cantSplit/>
          <w:jc w:val="center"/>
        </w:trPr>
        <w:tc>
          <w:tcPr>
            <w:tcW w:w="5685" w:type="dxa"/>
            <w:gridSpan w:val="2"/>
          </w:tcPr>
          <w:p w14:paraId="70C24C6F"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058441DE" w14:textId="77777777" w:rsidR="00711444" w:rsidRPr="004D0DAA" w:rsidRDefault="00711444" w:rsidP="00711444"/>
    <w:p w14:paraId="3DDF9F8A" w14:textId="77777777" w:rsidR="00711444" w:rsidRPr="004D0DAA" w:rsidRDefault="00711444" w:rsidP="00711444">
      <w:r w:rsidRPr="004D0DAA">
        <w:t>In uplink, the Coding and Puncturing Scheme indicator field indicates the kind of channel coding and puncturing used for data block as defined in table 10.4.8a.7.2 and table 10.4.8a.7.3.</w:t>
      </w:r>
    </w:p>
    <w:p w14:paraId="46F84C52" w14:textId="77777777" w:rsidR="00711444" w:rsidRPr="004D0DAA" w:rsidRDefault="00711444" w:rsidP="00711444">
      <w:pPr>
        <w:pStyle w:val="TH"/>
      </w:pPr>
      <w:r w:rsidRPr="004D0DAA">
        <w:t xml:space="preserve">Table 10.4.8a.7.2: Bit 4 of Coding and Puncturing Scheme indicator field for </w:t>
      </w:r>
      <w:r w:rsidRPr="004D0DAA">
        <w:br/>
        <w:t>Header type 7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6631DE1C" w14:textId="77777777" w:rsidTr="00AA2A4C">
        <w:tblPrEx>
          <w:tblCellMar>
            <w:top w:w="0" w:type="dxa"/>
            <w:bottom w:w="0" w:type="dxa"/>
          </w:tblCellMar>
        </w:tblPrEx>
        <w:trPr>
          <w:cantSplit/>
          <w:jc w:val="center"/>
        </w:trPr>
        <w:tc>
          <w:tcPr>
            <w:tcW w:w="1446" w:type="dxa"/>
          </w:tcPr>
          <w:p w14:paraId="3E94C1CD" w14:textId="77777777" w:rsidR="00711444" w:rsidRPr="004D0DAA" w:rsidRDefault="00711444" w:rsidP="00AA2A4C">
            <w:pPr>
              <w:pStyle w:val="TAH"/>
              <w:rPr>
                <w:lang w:eastAsia="en-US"/>
              </w:rPr>
            </w:pPr>
            <w:r w:rsidRPr="004D0DAA">
              <w:rPr>
                <w:lang w:eastAsia="en-US"/>
              </w:rPr>
              <w:t>bit</w:t>
            </w:r>
            <w:r w:rsidRPr="004D0DAA">
              <w:rPr>
                <w:lang w:eastAsia="en-US"/>
              </w:rPr>
              <w:br/>
              <w:t>4</w:t>
            </w:r>
          </w:p>
        </w:tc>
        <w:tc>
          <w:tcPr>
            <w:tcW w:w="4239" w:type="dxa"/>
          </w:tcPr>
          <w:p w14:paraId="6BDBB168" w14:textId="77777777" w:rsidR="00711444" w:rsidRPr="004D0DAA" w:rsidRDefault="00711444" w:rsidP="00AA2A4C">
            <w:pPr>
              <w:pStyle w:val="TAH"/>
              <w:rPr>
                <w:lang w:eastAsia="en-US"/>
              </w:rPr>
            </w:pPr>
            <w:r w:rsidRPr="004D0DAA">
              <w:rPr>
                <w:lang w:eastAsia="en-US"/>
              </w:rPr>
              <w:t>CPS</w:t>
            </w:r>
          </w:p>
        </w:tc>
      </w:tr>
      <w:tr w:rsidR="00711444" w:rsidRPr="004D0DAA" w14:paraId="3A5C0120" w14:textId="77777777" w:rsidTr="00AA2A4C">
        <w:tblPrEx>
          <w:tblCellMar>
            <w:top w:w="0" w:type="dxa"/>
            <w:bottom w:w="0" w:type="dxa"/>
          </w:tblCellMar>
        </w:tblPrEx>
        <w:trPr>
          <w:cantSplit/>
          <w:jc w:val="center"/>
        </w:trPr>
        <w:tc>
          <w:tcPr>
            <w:tcW w:w="1446" w:type="dxa"/>
          </w:tcPr>
          <w:p w14:paraId="2222D7C7" w14:textId="77777777" w:rsidR="00711444" w:rsidRPr="004D0DAA" w:rsidRDefault="00711444" w:rsidP="00AA2A4C">
            <w:pPr>
              <w:pStyle w:val="TAC"/>
              <w:rPr>
                <w:lang w:eastAsia="en-US"/>
              </w:rPr>
            </w:pPr>
            <w:r w:rsidRPr="004D0DAA">
              <w:rPr>
                <w:lang w:eastAsia="en-US"/>
              </w:rPr>
              <w:t>0</w:t>
            </w:r>
          </w:p>
        </w:tc>
        <w:tc>
          <w:tcPr>
            <w:tcW w:w="4239" w:type="dxa"/>
          </w:tcPr>
          <w:p w14:paraId="2DBCAD95" w14:textId="77777777" w:rsidR="00711444" w:rsidRPr="004D0DAA" w:rsidRDefault="00711444" w:rsidP="00AA2A4C">
            <w:pPr>
              <w:pStyle w:val="TAH"/>
              <w:rPr>
                <w:lang w:eastAsia="en-US"/>
              </w:rPr>
            </w:pPr>
            <w:r w:rsidRPr="004D0DAA">
              <w:rPr>
                <w:b w:val="0"/>
                <w:bCs/>
                <w:lang w:eastAsia="en-US"/>
              </w:rPr>
              <w:t>UBS-7</w:t>
            </w:r>
          </w:p>
        </w:tc>
      </w:tr>
      <w:tr w:rsidR="00711444" w:rsidRPr="004D0DAA" w14:paraId="3C92AEB4" w14:textId="77777777" w:rsidTr="00AA2A4C">
        <w:tblPrEx>
          <w:tblCellMar>
            <w:top w:w="0" w:type="dxa"/>
            <w:bottom w:w="0" w:type="dxa"/>
          </w:tblCellMar>
        </w:tblPrEx>
        <w:trPr>
          <w:cantSplit/>
          <w:jc w:val="center"/>
        </w:trPr>
        <w:tc>
          <w:tcPr>
            <w:tcW w:w="1446" w:type="dxa"/>
          </w:tcPr>
          <w:p w14:paraId="76A3F3DA" w14:textId="77777777" w:rsidR="00711444" w:rsidRPr="004D0DAA" w:rsidRDefault="00711444" w:rsidP="00AA2A4C">
            <w:pPr>
              <w:pStyle w:val="TAC"/>
              <w:rPr>
                <w:lang w:eastAsia="en-US"/>
              </w:rPr>
            </w:pPr>
            <w:r w:rsidRPr="004D0DAA">
              <w:rPr>
                <w:lang w:eastAsia="en-US"/>
              </w:rPr>
              <w:t>1</w:t>
            </w:r>
          </w:p>
        </w:tc>
        <w:tc>
          <w:tcPr>
            <w:tcW w:w="4239" w:type="dxa"/>
          </w:tcPr>
          <w:p w14:paraId="0ACEDA20" w14:textId="77777777" w:rsidR="00711444" w:rsidRPr="004D0DAA" w:rsidRDefault="00711444" w:rsidP="00AA2A4C">
            <w:pPr>
              <w:pStyle w:val="TAH"/>
              <w:rPr>
                <w:lang w:eastAsia="en-US"/>
              </w:rPr>
            </w:pPr>
            <w:r w:rsidRPr="004D0DAA">
              <w:rPr>
                <w:b w:val="0"/>
                <w:bCs/>
                <w:lang w:eastAsia="en-US"/>
              </w:rPr>
              <w:t>UBS-8</w:t>
            </w:r>
          </w:p>
        </w:tc>
      </w:tr>
      <w:tr w:rsidR="00711444" w:rsidRPr="004D0DAA" w14:paraId="0D5A8FCA" w14:textId="77777777" w:rsidTr="00AA2A4C">
        <w:tblPrEx>
          <w:tblCellMar>
            <w:top w:w="0" w:type="dxa"/>
            <w:bottom w:w="0" w:type="dxa"/>
          </w:tblCellMar>
        </w:tblPrEx>
        <w:trPr>
          <w:cantSplit/>
          <w:jc w:val="center"/>
        </w:trPr>
        <w:tc>
          <w:tcPr>
            <w:tcW w:w="5685" w:type="dxa"/>
            <w:gridSpan w:val="2"/>
          </w:tcPr>
          <w:p w14:paraId="62450841"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664AFA9E" w14:textId="77777777" w:rsidR="00711444" w:rsidRPr="004D0DAA" w:rsidRDefault="00711444" w:rsidP="00711444"/>
    <w:p w14:paraId="657D6F1D" w14:textId="77777777" w:rsidR="00711444" w:rsidRPr="004D0DAA" w:rsidRDefault="00711444" w:rsidP="00711444">
      <w:pPr>
        <w:pStyle w:val="TH"/>
      </w:pPr>
      <w:r w:rsidRPr="004D0DAA">
        <w:t xml:space="preserve">Table 10.4.8a.7.3: Bit 1 and 3 of Coding and Puncturing Scheme indicator field for </w:t>
      </w:r>
      <w:r w:rsidRPr="004D0DAA">
        <w:br/>
        <w:t>Header type 7 common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6BAA1CFF" w14:textId="77777777" w:rsidTr="00AA2A4C">
        <w:tblPrEx>
          <w:tblCellMar>
            <w:top w:w="0" w:type="dxa"/>
            <w:bottom w:w="0" w:type="dxa"/>
          </w:tblCellMar>
        </w:tblPrEx>
        <w:trPr>
          <w:cantSplit/>
          <w:jc w:val="center"/>
        </w:trPr>
        <w:tc>
          <w:tcPr>
            <w:tcW w:w="1446" w:type="dxa"/>
          </w:tcPr>
          <w:p w14:paraId="181CA512" w14:textId="77777777" w:rsidR="00711444" w:rsidRPr="004D0DAA" w:rsidRDefault="00711444" w:rsidP="00AA2A4C">
            <w:pPr>
              <w:pStyle w:val="TAH"/>
              <w:rPr>
                <w:lang w:eastAsia="en-US"/>
              </w:rPr>
            </w:pPr>
            <w:r w:rsidRPr="004D0DAA">
              <w:rPr>
                <w:lang w:eastAsia="en-US"/>
              </w:rPr>
              <w:t>bits</w:t>
            </w:r>
            <w:r w:rsidRPr="004D0DAA">
              <w:rPr>
                <w:lang w:eastAsia="en-US"/>
              </w:rPr>
              <w:br/>
              <w:t>321</w:t>
            </w:r>
          </w:p>
        </w:tc>
        <w:tc>
          <w:tcPr>
            <w:tcW w:w="4239" w:type="dxa"/>
          </w:tcPr>
          <w:p w14:paraId="1DF56ED8" w14:textId="77777777" w:rsidR="00711444" w:rsidRPr="004D0DAA" w:rsidRDefault="00711444" w:rsidP="00AA2A4C">
            <w:pPr>
              <w:pStyle w:val="TAH"/>
              <w:rPr>
                <w:lang w:eastAsia="en-US"/>
              </w:rPr>
            </w:pPr>
            <w:r w:rsidRPr="004D0DAA">
              <w:rPr>
                <w:lang w:eastAsia="en-US"/>
              </w:rPr>
              <w:t>CPS</w:t>
            </w:r>
          </w:p>
        </w:tc>
      </w:tr>
      <w:tr w:rsidR="00711444" w:rsidRPr="004D0DAA" w14:paraId="49F15C40" w14:textId="77777777" w:rsidTr="00AA2A4C">
        <w:tblPrEx>
          <w:tblCellMar>
            <w:top w:w="0" w:type="dxa"/>
            <w:bottom w:w="0" w:type="dxa"/>
          </w:tblCellMar>
        </w:tblPrEx>
        <w:trPr>
          <w:cantSplit/>
          <w:jc w:val="center"/>
        </w:trPr>
        <w:tc>
          <w:tcPr>
            <w:tcW w:w="1446" w:type="dxa"/>
          </w:tcPr>
          <w:p w14:paraId="78275C3E" w14:textId="77777777" w:rsidR="00711444" w:rsidRPr="004D0DAA" w:rsidRDefault="00711444" w:rsidP="00AA2A4C">
            <w:pPr>
              <w:pStyle w:val="TAC"/>
              <w:rPr>
                <w:lang w:eastAsia="en-US"/>
              </w:rPr>
            </w:pPr>
            <w:r w:rsidRPr="004D0DAA">
              <w:rPr>
                <w:lang w:eastAsia="en-US"/>
              </w:rPr>
              <w:t>000</w:t>
            </w:r>
          </w:p>
        </w:tc>
        <w:tc>
          <w:tcPr>
            <w:tcW w:w="4239" w:type="dxa"/>
          </w:tcPr>
          <w:p w14:paraId="190AAF3C" w14:textId="77777777" w:rsidR="00711444" w:rsidRPr="004D0DAA" w:rsidRDefault="00711444" w:rsidP="00AA2A4C">
            <w:pPr>
              <w:pStyle w:val="TAL"/>
              <w:rPr>
                <w:lang w:eastAsia="en-US"/>
              </w:rPr>
            </w:pPr>
            <w:r w:rsidRPr="004D0DAA">
              <w:rPr>
                <w:lang w:eastAsia="en-US"/>
              </w:rPr>
              <w:t>(P1 ; P1)</w:t>
            </w:r>
          </w:p>
        </w:tc>
      </w:tr>
      <w:tr w:rsidR="00711444" w:rsidRPr="004D0DAA" w14:paraId="725081DA" w14:textId="77777777" w:rsidTr="00AA2A4C">
        <w:tblPrEx>
          <w:tblCellMar>
            <w:top w:w="0" w:type="dxa"/>
            <w:bottom w:w="0" w:type="dxa"/>
          </w:tblCellMar>
        </w:tblPrEx>
        <w:trPr>
          <w:cantSplit/>
          <w:jc w:val="center"/>
        </w:trPr>
        <w:tc>
          <w:tcPr>
            <w:tcW w:w="1446" w:type="dxa"/>
          </w:tcPr>
          <w:p w14:paraId="4B6CD9B8" w14:textId="77777777" w:rsidR="00711444" w:rsidRPr="004D0DAA" w:rsidRDefault="00711444" w:rsidP="00AA2A4C">
            <w:pPr>
              <w:pStyle w:val="TAC"/>
              <w:rPr>
                <w:lang w:eastAsia="en-US"/>
              </w:rPr>
            </w:pPr>
            <w:r w:rsidRPr="004D0DAA">
              <w:rPr>
                <w:lang w:eastAsia="en-US"/>
              </w:rPr>
              <w:t>001</w:t>
            </w:r>
          </w:p>
        </w:tc>
        <w:tc>
          <w:tcPr>
            <w:tcW w:w="4239" w:type="dxa"/>
          </w:tcPr>
          <w:p w14:paraId="29E932D9" w14:textId="77777777" w:rsidR="00711444" w:rsidRPr="004D0DAA" w:rsidRDefault="00711444" w:rsidP="00AA2A4C">
            <w:pPr>
              <w:pStyle w:val="TAL"/>
              <w:rPr>
                <w:lang w:eastAsia="en-US"/>
              </w:rPr>
            </w:pPr>
            <w:r w:rsidRPr="004D0DAA">
              <w:rPr>
                <w:lang w:eastAsia="en-US"/>
              </w:rPr>
              <w:t>(P1 ; P2)</w:t>
            </w:r>
          </w:p>
        </w:tc>
      </w:tr>
      <w:tr w:rsidR="00711444" w:rsidRPr="004D0DAA" w14:paraId="062CA462" w14:textId="77777777" w:rsidTr="00AA2A4C">
        <w:tblPrEx>
          <w:tblCellMar>
            <w:top w:w="0" w:type="dxa"/>
            <w:bottom w:w="0" w:type="dxa"/>
          </w:tblCellMar>
        </w:tblPrEx>
        <w:trPr>
          <w:cantSplit/>
          <w:jc w:val="center"/>
        </w:trPr>
        <w:tc>
          <w:tcPr>
            <w:tcW w:w="1446" w:type="dxa"/>
          </w:tcPr>
          <w:p w14:paraId="15926BEE" w14:textId="77777777" w:rsidR="00711444" w:rsidRPr="004D0DAA" w:rsidRDefault="00711444" w:rsidP="00AA2A4C">
            <w:pPr>
              <w:pStyle w:val="TAC"/>
              <w:rPr>
                <w:lang w:eastAsia="en-US"/>
              </w:rPr>
            </w:pPr>
            <w:r w:rsidRPr="004D0DAA">
              <w:rPr>
                <w:lang w:eastAsia="en-US"/>
              </w:rPr>
              <w:t>010</w:t>
            </w:r>
          </w:p>
        </w:tc>
        <w:tc>
          <w:tcPr>
            <w:tcW w:w="4239" w:type="dxa"/>
          </w:tcPr>
          <w:p w14:paraId="2D4333F2" w14:textId="77777777" w:rsidR="00711444" w:rsidRPr="004D0DAA" w:rsidRDefault="00711444" w:rsidP="00AA2A4C">
            <w:pPr>
              <w:pStyle w:val="TAL"/>
              <w:rPr>
                <w:lang w:eastAsia="en-US"/>
              </w:rPr>
            </w:pPr>
            <w:r w:rsidRPr="004D0DAA">
              <w:rPr>
                <w:lang w:eastAsia="en-US"/>
              </w:rPr>
              <w:t>(P2 ; P1)</w:t>
            </w:r>
          </w:p>
        </w:tc>
      </w:tr>
      <w:tr w:rsidR="00711444" w:rsidRPr="004D0DAA" w14:paraId="1C58AA5C" w14:textId="77777777" w:rsidTr="00AA2A4C">
        <w:tblPrEx>
          <w:tblCellMar>
            <w:top w:w="0" w:type="dxa"/>
            <w:bottom w:w="0" w:type="dxa"/>
          </w:tblCellMar>
        </w:tblPrEx>
        <w:trPr>
          <w:cantSplit/>
          <w:jc w:val="center"/>
        </w:trPr>
        <w:tc>
          <w:tcPr>
            <w:tcW w:w="1446" w:type="dxa"/>
          </w:tcPr>
          <w:p w14:paraId="79AAF26E" w14:textId="77777777" w:rsidR="00711444" w:rsidRPr="004D0DAA" w:rsidRDefault="00711444" w:rsidP="00AA2A4C">
            <w:pPr>
              <w:pStyle w:val="TAC"/>
              <w:rPr>
                <w:lang w:eastAsia="en-US"/>
              </w:rPr>
            </w:pPr>
            <w:r w:rsidRPr="004D0DAA">
              <w:rPr>
                <w:lang w:eastAsia="en-US"/>
              </w:rPr>
              <w:t>011</w:t>
            </w:r>
          </w:p>
        </w:tc>
        <w:tc>
          <w:tcPr>
            <w:tcW w:w="4239" w:type="dxa"/>
          </w:tcPr>
          <w:p w14:paraId="2E2353F5" w14:textId="77777777" w:rsidR="00711444" w:rsidRPr="004D0DAA" w:rsidRDefault="00711444" w:rsidP="00AA2A4C">
            <w:pPr>
              <w:pStyle w:val="TAL"/>
              <w:rPr>
                <w:lang w:eastAsia="en-US"/>
              </w:rPr>
            </w:pPr>
            <w:r w:rsidRPr="004D0DAA">
              <w:rPr>
                <w:lang w:eastAsia="en-US"/>
              </w:rPr>
              <w:t>(P2 ; P2)</w:t>
            </w:r>
          </w:p>
        </w:tc>
      </w:tr>
      <w:tr w:rsidR="00711444" w:rsidRPr="004D0DAA" w14:paraId="08E92E53" w14:textId="77777777" w:rsidTr="00AA2A4C">
        <w:tblPrEx>
          <w:tblCellMar>
            <w:top w:w="0" w:type="dxa"/>
            <w:bottom w:w="0" w:type="dxa"/>
          </w:tblCellMar>
        </w:tblPrEx>
        <w:trPr>
          <w:cantSplit/>
          <w:jc w:val="center"/>
        </w:trPr>
        <w:tc>
          <w:tcPr>
            <w:tcW w:w="1446" w:type="dxa"/>
          </w:tcPr>
          <w:p w14:paraId="108C426C" w14:textId="77777777" w:rsidR="00711444" w:rsidRPr="004D0DAA" w:rsidRDefault="00711444" w:rsidP="00AA2A4C">
            <w:pPr>
              <w:pStyle w:val="TAC"/>
              <w:rPr>
                <w:lang w:eastAsia="en-US"/>
              </w:rPr>
            </w:pPr>
            <w:r w:rsidRPr="004D0DAA">
              <w:rPr>
                <w:lang w:eastAsia="en-US"/>
              </w:rPr>
              <w:t>100</w:t>
            </w:r>
          </w:p>
        </w:tc>
        <w:tc>
          <w:tcPr>
            <w:tcW w:w="4239" w:type="dxa"/>
          </w:tcPr>
          <w:p w14:paraId="6FDCE925" w14:textId="77777777" w:rsidR="00711444" w:rsidRPr="004D0DAA" w:rsidRDefault="00711444" w:rsidP="00AA2A4C">
            <w:pPr>
              <w:pStyle w:val="TAL"/>
              <w:rPr>
                <w:lang w:eastAsia="en-US"/>
              </w:rPr>
            </w:pPr>
            <w:r w:rsidRPr="004D0DAA">
              <w:rPr>
                <w:lang w:eastAsia="en-US"/>
              </w:rPr>
              <w:t>(P1 ; P1) with padding</w:t>
            </w:r>
          </w:p>
        </w:tc>
      </w:tr>
      <w:tr w:rsidR="00711444" w:rsidRPr="004D0DAA" w14:paraId="1E7D60B0" w14:textId="77777777" w:rsidTr="00AA2A4C">
        <w:tblPrEx>
          <w:tblCellMar>
            <w:top w:w="0" w:type="dxa"/>
            <w:bottom w:w="0" w:type="dxa"/>
          </w:tblCellMar>
        </w:tblPrEx>
        <w:trPr>
          <w:cantSplit/>
          <w:jc w:val="center"/>
        </w:trPr>
        <w:tc>
          <w:tcPr>
            <w:tcW w:w="1446" w:type="dxa"/>
          </w:tcPr>
          <w:p w14:paraId="74A2DF9F" w14:textId="77777777" w:rsidR="00711444" w:rsidRPr="004D0DAA" w:rsidRDefault="00711444" w:rsidP="00AA2A4C">
            <w:pPr>
              <w:pStyle w:val="TAC"/>
              <w:rPr>
                <w:lang w:eastAsia="en-US"/>
              </w:rPr>
            </w:pPr>
            <w:r w:rsidRPr="004D0DAA">
              <w:rPr>
                <w:lang w:eastAsia="en-US"/>
              </w:rPr>
              <w:t>101</w:t>
            </w:r>
          </w:p>
        </w:tc>
        <w:tc>
          <w:tcPr>
            <w:tcW w:w="4239" w:type="dxa"/>
          </w:tcPr>
          <w:p w14:paraId="2769BCD1" w14:textId="77777777" w:rsidR="00711444" w:rsidRPr="004D0DAA" w:rsidRDefault="00711444" w:rsidP="00AA2A4C">
            <w:pPr>
              <w:pStyle w:val="TAL"/>
              <w:rPr>
                <w:lang w:eastAsia="en-US"/>
              </w:rPr>
            </w:pPr>
            <w:r w:rsidRPr="004D0DAA">
              <w:rPr>
                <w:lang w:eastAsia="en-US"/>
              </w:rPr>
              <w:t>(P1 ; P2) with padding</w:t>
            </w:r>
          </w:p>
        </w:tc>
      </w:tr>
      <w:tr w:rsidR="00711444" w:rsidRPr="004D0DAA" w14:paraId="62ED33F9" w14:textId="77777777" w:rsidTr="00AA2A4C">
        <w:tblPrEx>
          <w:tblCellMar>
            <w:top w:w="0" w:type="dxa"/>
            <w:bottom w:w="0" w:type="dxa"/>
          </w:tblCellMar>
        </w:tblPrEx>
        <w:trPr>
          <w:cantSplit/>
          <w:jc w:val="center"/>
        </w:trPr>
        <w:tc>
          <w:tcPr>
            <w:tcW w:w="1446" w:type="dxa"/>
          </w:tcPr>
          <w:p w14:paraId="4AF313B5" w14:textId="77777777" w:rsidR="00711444" w:rsidRPr="004D0DAA" w:rsidRDefault="00711444" w:rsidP="00AA2A4C">
            <w:pPr>
              <w:pStyle w:val="TAC"/>
              <w:rPr>
                <w:lang w:eastAsia="en-US"/>
              </w:rPr>
            </w:pPr>
            <w:r w:rsidRPr="004D0DAA">
              <w:rPr>
                <w:lang w:eastAsia="en-US"/>
              </w:rPr>
              <w:t>110</w:t>
            </w:r>
          </w:p>
        </w:tc>
        <w:tc>
          <w:tcPr>
            <w:tcW w:w="4239" w:type="dxa"/>
          </w:tcPr>
          <w:p w14:paraId="6A47E370" w14:textId="77777777" w:rsidR="00711444" w:rsidRPr="004D0DAA" w:rsidRDefault="00711444" w:rsidP="00AA2A4C">
            <w:pPr>
              <w:pStyle w:val="TAL"/>
              <w:rPr>
                <w:lang w:eastAsia="en-US"/>
              </w:rPr>
            </w:pPr>
            <w:r w:rsidRPr="004D0DAA">
              <w:rPr>
                <w:lang w:eastAsia="en-US"/>
              </w:rPr>
              <w:t>(P2 ; P1) with padding</w:t>
            </w:r>
          </w:p>
        </w:tc>
      </w:tr>
      <w:tr w:rsidR="00711444" w:rsidRPr="004D0DAA" w14:paraId="6B3FCAD0" w14:textId="77777777" w:rsidTr="00AA2A4C">
        <w:tblPrEx>
          <w:tblCellMar>
            <w:top w:w="0" w:type="dxa"/>
            <w:bottom w:w="0" w:type="dxa"/>
          </w:tblCellMar>
        </w:tblPrEx>
        <w:trPr>
          <w:cantSplit/>
          <w:jc w:val="center"/>
        </w:trPr>
        <w:tc>
          <w:tcPr>
            <w:tcW w:w="1446" w:type="dxa"/>
          </w:tcPr>
          <w:p w14:paraId="40EFD410" w14:textId="77777777" w:rsidR="00711444" w:rsidRPr="004D0DAA" w:rsidRDefault="00711444" w:rsidP="00AA2A4C">
            <w:pPr>
              <w:pStyle w:val="TAC"/>
              <w:rPr>
                <w:lang w:eastAsia="en-US"/>
              </w:rPr>
            </w:pPr>
            <w:r w:rsidRPr="004D0DAA">
              <w:rPr>
                <w:lang w:eastAsia="en-US"/>
              </w:rPr>
              <w:t>111</w:t>
            </w:r>
          </w:p>
        </w:tc>
        <w:tc>
          <w:tcPr>
            <w:tcW w:w="4239" w:type="dxa"/>
          </w:tcPr>
          <w:p w14:paraId="4BA74646" w14:textId="77777777" w:rsidR="00711444" w:rsidRPr="004D0DAA" w:rsidRDefault="00711444" w:rsidP="00AA2A4C">
            <w:pPr>
              <w:pStyle w:val="TAL"/>
              <w:rPr>
                <w:lang w:eastAsia="en-US"/>
              </w:rPr>
            </w:pPr>
            <w:r w:rsidRPr="004D0DAA">
              <w:rPr>
                <w:lang w:eastAsia="en-US"/>
              </w:rPr>
              <w:t>(P2 ; P2) with padding</w:t>
            </w:r>
          </w:p>
        </w:tc>
      </w:tr>
      <w:tr w:rsidR="00711444" w:rsidRPr="004D0DAA" w14:paraId="075FFCF6" w14:textId="77777777" w:rsidTr="00AA2A4C">
        <w:tblPrEx>
          <w:tblCellMar>
            <w:top w:w="0" w:type="dxa"/>
            <w:bottom w:w="0" w:type="dxa"/>
          </w:tblCellMar>
        </w:tblPrEx>
        <w:trPr>
          <w:cantSplit/>
          <w:jc w:val="center"/>
        </w:trPr>
        <w:tc>
          <w:tcPr>
            <w:tcW w:w="5685" w:type="dxa"/>
            <w:gridSpan w:val="2"/>
          </w:tcPr>
          <w:p w14:paraId="0954702C"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08782CF5" w14:textId="77777777" w:rsidR="00711444" w:rsidRPr="004D0DAA" w:rsidRDefault="00711444" w:rsidP="00711444"/>
    <w:p w14:paraId="05616057" w14:textId="77777777" w:rsidR="00711444" w:rsidRPr="004D0DAA" w:rsidRDefault="00711444" w:rsidP="00711444">
      <w:pPr>
        <w:pStyle w:val="Heading4"/>
      </w:pPr>
      <w:bookmarkStart w:id="568" w:name="_Toc516669748"/>
      <w:r w:rsidRPr="004D0DAA">
        <w:t>10.4.8a.8</w:t>
      </w:r>
      <w:r w:rsidRPr="004D0DAA">
        <w:tab/>
        <w:t>Header type 8</w:t>
      </w:r>
      <w:bookmarkEnd w:id="568"/>
    </w:p>
    <w:p w14:paraId="03B998F7" w14:textId="77777777" w:rsidR="00711444" w:rsidRPr="004D0DAA" w:rsidRDefault="00711444" w:rsidP="00711444">
      <w:r w:rsidRPr="004D0DAA">
        <w:t>The Coding and Puncturing Scheme indicator field indicates the kind of channel coding and puncturing used for data block as defined in table 10.4.8a.8.1 for uplink and table 10.4.8a.8.2 for downlink. DBS-9 and DBS-10, and also UBS-9 and UBS-10 use different modulations hence the CPS field need not distinguish between these coding schemes.</w:t>
      </w:r>
    </w:p>
    <w:p w14:paraId="022DE76B" w14:textId="77777777" w:rsidR="00711444" w:rsidRPr="004D0DAA" w:rsidRDefault="00711444" w:rsidP="00711444">
      <w:pPr>
        <w:pStyle w:val="TH"/>
      </w:pPr>
      <w:r w:rsidRPr="004D0DAA">
        <w:lastRenderedPageBreak/>
        <w:t xml:space="preserve">Table 10.4.8a.8.1: Coding and Puncturing Scheme indicator field for </w:t>
      </w:r>
      <w:r w:rsidRPr="004D0DAA">
        <w:br/>
        <w:t>Header type 8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11A2D18E" w14:textId="77777777" w:rsidTr="00AA2A4C">
        <w:tblPrEx>
          <w:tblCellMar>
            <w:top w:w="0" w:type="dxa"/>
            <w:bottom w:w="0" w:type="dxa"/>
          </w:tblCellMar>
        </w:tblPrEx>
        <w:trPr>
          <w:cantSplit/>
          <w:jc w:val="center"/>
        </w:trPr>
        <w:tc>
          <w:tcPr>
            <w:tcW w:w="1446" w:type="dxa"/>
          </w:tcPr>
          <w:p w14:paraId="3613A360" w14:textId="77777777" w:rsidR="00711444" w:rsidRPr="004D0DAA" w:rsidRDefault="00711444" w:rsidP="00AA2A4C">
            <w:pPr>
              <w:pStyle w:val="TAH"/>
              <w:rPr>
                <w:lang w:eastAsia="en-US"/>
              </w:rPr>
            </w:pPr>
            <w:r w:rsidRPr="004D0DAA">
              <w:rPr>
                <w:lang w:eastAsia="en-US"/>
              </w:rPr>
              <w:t>bits</w:t>
            </w:r>
            <w:r w:rsidRPr="004D0DAA">
              <w:rPr>
                <w:lang w:eastAsia="en-US"/>
              </w:rPr>
              <w:br/>
              <w:t>654321</w:t>
            </w:r>
          </w:p>
        </w:tc>
        <w:tc>
          <w:tcPr>
            <w:tcW w:w="4239" w:type="dxa"/>
          </w:tcPr>
          <w:p w14:paraId="2A6F79DD" w14:textId="77777777" w:rsidR="00711444" w:rsidRPr="004D0DAA" w:rsidRDefault="00711444" w:rsidP="00AA2A4C">
            <w:pPr>
              <w:pStyle w:val="TAH"/>
              <w:rPr>
                <w:lang w:eastAsia="en-US"/>
              </w:rPr>
            </w:pPr>
            <w:r w:rsidRPr="004D0DAA">
              <w:rPr>
                <w:lang w:eastAsia="en-US"/>
              </w:rPr>
              <w:t>CPS</w:t>
            </w:r>
          </w:p>
        </w:tc>
      </w:tr>
      <w:tr w:rsidR="00711444" w:rsidRPr="004D0DAA" w14:paraId="2B49929C" w14:textId="77777777" w:rsidTr="00AA2A4C">
        <w:tblPrEx>
          <w:tblCellMar>
            <w:top w:w="0" w:type="dxa"/>
            <w:bottom w:w="0" w:type="dxa"/>
          </w:tblCellMar>
        </w:tblPrEx>
        <w:trPr>
          <w:cantSplit/>
          <w:jc w:val="center"/>
        </w:trPr>
        <w:tc>
          <w:tcPr>
            <w:tcW w:w="1446" w:type="dxa"/>
          </w:tcPr>
          <w:p w14:paraId="2E4DE5E4" w14:textId="77777777" w:rsidR="00711444" w:rsidRPr="004D0DAA" w:rsidRDefault="00711444" w:rsidP="00AA2A4C">
            <w:pPr>
              <w:pStyle w:val="TAC"/>
              <w:rPr>
                <w:lang w:eastAsia="en-US"/>
              </w:rPr>
            </w:pPr>
            <w:r w:rsidRPr="004D0DAA">
              <w:rPr>
                <w:lang w:eastAsia="en-US"/>
              </w:rPr>
              <w:t>000000</w:t>
            </w:r>
          </w:p>
        </w:tc>
        <w:tc>
          <w:tcPr>
            <w:tcW w:w="4239" w:type="dxa"/>
          </w:tcPr>
          <w:p w14:paraId="7D79233B" w14:textId="77777777" w:rsidR="00711444" w:rsidRPr="004D0DAA" w:rsidRDefault="00711444" w:rsidP="00AA2A4C">
            <w:pPr>
              <w:pStyle w:val="TAL"/>
              <w:rPr>
                <w:lang w:eastAsia="en-US"/>
              </w:rPr>
            </w:pPr>
            <w:r w:rsidRPr="004D0DAA">
              <w:rPr>
                <w:lang w:eastAsia="en-US"/>
              </w:rPr>
              <w:t>(P1 ; P1 ; P1)</w:t>
            </w:r>
          </w:p>
        </w:tc>
      </w:tr>
      <w:tr w:rsidR="00711444" w:rsidRPr="004D0DAA" w14:paraId="0931F789" w14:textId="77777777" w:rsidTr="00AA2A4C">
        <w:tblPrEx>
          <w:tblCellMar>
            <w:top w:w="0" w:type="dxa"/>
            <w:bottom w:w="0" w:type="dxa"/>
          </w:tblCellMar>
        </w:tblPrEx>
        <w:trPr>
          <w:cantSplit/>
          <w:jc w:val="center"/>
        </w:trPr>
        <w:tc>
          <w:tcPr>
            <w:tcW w:w="1446" w:type="dxa"/>
          </w:tcPr>
          <w:p w14:paraId="408A2E08" w14:textId="77777777" w:rsidR="00711444" w:rsidRPr="004D0DAA" w:rsidRDefault="00711444" w:rsidP="00AA2A4C">
            <w:pPr>
              <w:pStyle w:val="TAC"/>
              <w:rPr>
                <w:lang w:eastAsia="en-US"/>
              </w:rPr>
            </w:pPr>
            <w:r w:rsidRPr="004D0DAA">
              <w:rPr>
                <w:lang w:eastAsia="en-US"/>
              </w:rPr>
              <w:t>000001</w:t>
            </w:r>
          </w:p>
        </w:tc>
        <w:tc>
          <w:tcPr>
            <w:tcW w:w="4239" w:type="dxa"/>
          </w:tcPr>
          <w:p w14:paraId="1014CE10" w14:textId="77777777" w:rsidR="00711444" w:rsidRPr="004D0DAA" w:rsidRDefault="00711444" w:rsidP="00AA2A4C">
            <w:pPr>
              <w:pStyle w:val="TAL"/>
              <w:rPr>
                <w:lang w:eastAsia="en-US"/>
              </w:rPr>
            </w:pPr>
            <w:r w:rsidRPr="004D0DAA">
              <w:rPr>
                <w:lang w:eastAsia="en-US"/>
              </w:rPr>
              <w:t>(P1 ; P1 ; P2)</w:t>
            </w:r>
          </w:p>
        </w:tc>
      </w:tr>
      <w:tr w:rsidR="00711444" w:rsidRPr="004D0DAA" w14:paraId="23E12E5A" w14:textId="77777777" w:rsidTr="00AA2A4C">
        <w:tblPrEx>
          <w:tblCellMar>
            <w:top w:w="0" w:type="dxa"/>
            <w:bottom w:w="0" w:type="dxa"/>
          </w:tblCellMar>
        </w:tblPrEx>
        <w:trPr>
          <w:cantSplit/>
          <w:jc w:val="center"/>
        </w:trPr>
        <w:tc>
          <w:tcPr>
            <w:tcW w:w="1446" w:type="dxa"/>
          </w:tcPr>
          <w:p w14:paraId="5CF1ED54" w14:textId="77777777" w:rsidR="00711444" w:rsidRPr="004D0DAA" w:rsidRDefault="00711444" w:rsidP="00AA2A4C">
            <w:pPr>
              <w:pStyle w:val="TAC"/>
              <w:rPr>
                <w:lang w:eastAsia="en-US"/>
              </w:rPr>
            </w:pPr>
            <w:r w:rsidRPr="004D0DAA">
              <w:rPr>
                <w:lang w:eastAsia="en-US"/>
              </w:rPr>
              <w:t>000010</w:t>
            </w:r>
          </w:p>
        </w:tc>
        <w:tc>
          <w:tcPr>
            <w:tcW w:w="4239" w:type="dxa"/>
          </w:tcPr>
          <w:p w14:paraId="482A8FF3" w14:textId="77777777" w:rsidR="00711444" w:rsidRPr="004D0DAA" w:rsidRDefault="00711444" w:rsidP="00AA2A4C">
            <w:pPr>
              <w:pStyle w:val="TAL"/>
              <w:rPr>
                <w:lang w:eastAsia="en-US"/>
              </w:rPr>
            </w:pPr>
            <w:r w:rsidRPr="004D0DAA">
              <w:rPr>
                <w:lang w:eastAsia="en-US"/>
              </w:rPr>
              <w:t>(P1 ; P1 ; P3)</w:t>
            </w:r>
          </w:p>
        </w:tc>
      </w:tr>
      <w:tr w:rsidR="00711444" w:rsidRPr="004D0DAA" w14:paraId="507C1776" w14:textId="77777777" w:rsidTr="00AA2A4C">
        <w:tblPrEx>
          <w:tblCellMar>
            <w:top w:w="0" w:type="dxa"/>
            <w:bottom w:w="0" w:type="dxa"/>
          </w:tblCellMar>
        </w:tblPrEx>
        <w:trPr>
          <w:cantSplit/>
          <w:jc w:val="center"/>
        </w:trPr>
        <w:tc>
          <w:tcPr>
            <w:tcW w:w="1446" w:type="dxa"/>
          </w:tcPr>
          <w:p w14:paraId="10BBFAB4" w14:textId="77777777" w:rsidR="00711444" w:rsidRPr="004D0DAA" w:rsidRDefault="00711444" w:rsidP="00AA2A4C">
            <w:pPr>
              <w:pStyle w:val="TAC"/>
              <w:rPr>
                <w:lang w:eastAsia="en-US"/>
              </w:rPr>
            </w:pPr>
            <w:r w:rsidRPr="004D0DAA">
              <w:rPr>
                <w:lang w:eastAsia="en-US"/>
              </w:rPr>
              <w:t>000100</w:t>
            </w:r>
          </w:p>
        </w:tc>
        <w:tc>
          <w:tcPr>
            <w:tcW w:w="4239" w:type="dxa"/>
          </w:tcPr>
          <w:p w14:paraId="168D9439" w14:textId="77777777" w:rsidR="00711444" w:rsidRPr="004D0DAA" w:rsidRDefault="00711444" w:rsidP="00AA2A4C">
            <w:pPr>
              <w:pStyle w:val="TAL"/>
              <w:rPr>
                <w:lang w:eastAsia="en-US"/>
              </w:rPr>
            </w:pPr>
            <w:r w:rsidRPr="004D0DAA">
              <w:rPr>
                <w:lang w:eastAsia="en-US"/>
              </w:rPr>
              <w:t>(P1 ; P2 ; P1)</w:t>
            </w:r>
          </w:p>
        </w:tc>
      </w:tr>
      <w:tr w:rsidR="00711444" w:rsidRPr="004D0DAA" w14:paraId="73B3F81A" w14:textId="77777777" w:rsidTr="00AA2A4C">
        <w:tblPrEx>
          <w:tblCellMar>
            <w:top w:w="0" w:type="dxa"/>
            <w:bottom w:w="0" w:type="dxa"/>
          </w:tblCellMar>
        </w:tblPrEx>
        <w:trPr>
          <w:cantSplit/>
          <w:jc w:val="center"/>
        </w:trPr>
        <w:tc>
          <w:tcPr>
            <w:tcW w:w="1446" w:type="dxa"/>
          </w:tcPr>
          <w:p w14:paraId="439CF205" w14:textId="77777777" w:rsidR="00711444" w:rsidRPr="004D0DAA" w:rsidRDefault="00711444" w:rsidP="00AA2A4C">
            <w:pPr>
              <w:pStyle w:val="TAC"/>
              <w:rPr>
                <w:lang w:eastAsia="en-US"/>
              </w:rPr>
            </w:pPr>
            <w:r w:rsidRPr="004D0DAA">
              <w:rPr>
                <w:lang w:eastAsia="en-US"/>
              </w:rPr>
              <w:t>000101</w:t>
            </w:r>
          </w:p>
        </w:tc>
        <w:tc>
          <w:tcPr>
            <w:tcW w:w="4239" w:type="dxa"/>
          </w:tcPr>
          <w:p w14:paraId="76FD6FB9" w14:textId="77777777" w:rsidR="00711444" w:rsidRPr="004D0DAA" w:rsidRDefault="00711444" w:rsidP="00AA2A4C">
            <w:pPr>
              <w:pStyle w:val="TAL"/>
              <w:rPr>
                <w:lang w:eastAsia="en-US"/>
              </w:rPr>
            </w:pPr>
            <w:r w:rsidRPr="004D0DAA">
              <w:rPr>
                <w:lang w:eastAsia="en-US"/>
              </w:rPr>
              <w:t>(P1 ; P2 ; P2)</w:t>
            </w:r>
          </w:p>
        </w:tc>
      </w:tr>
      <w:tr w:rsidR="00711444" w:rsidRPr="004D0DAA" w14:paraId="6B287A92" w14:textId="77777777" w:rsidTr="00AA2A4C">
        <w:tblPrEx>
          <w:tblCellMar>
            <w:top w:w="0" w:type="dxa"/>
            <w:bottom w:w="0" w:type="dxa"/>
          </w:tblCellMar>
        </w:tblPrEx>
        <w:trPr>
          <w:cantSplit/>
          <w:jc w:val="center"/>
        </w:trPr>
        <w:tc>
          <w:tcPr>
            <w:tcW w:w="1446" w:type="dxa"/>
          </w:tcPr>
          <w:p w14:paraId="5A41ECDD" w14:textId="77777777" w:rsidR="00711444" w:rsidRPr="004D0DAA" w:rsidRDefault="00711444" w:rsidP="00AA2A4C">
            <w:pPr>
              <w:pStyle w:val="TAC"/>
              <w:rPr>
                <w:lang w:eastAsia="en-US"/>
              </w:rPr>
            </w:pPr>
            <w:r w:rsidRPr="004D0DAA">
              <w:rPr>
                <w:lang w:eastAsia="en-US"/>
              </w:rPr>
              <w:t>000110</w:t>
            </w:r>
          </w:p>
        </w:tc>
        <w:tc>
          <w:tcPr>
            <w:tcW w:w="4239" w:type="dxa"/>
          </w:tcPr>
          <w:p w14:paraId="2E28B806" w14:textId="77777777" w:rsidR="00711444" w:rsidRPr="004D0DAA" w:rsidRDefault="00711444" w:rsidP="00AA2A4C">
            <w:pPr>
              <w:pStyle w:val="TAL"/>
              <w:rPr>
                <w:lang w:eastAsia="en-US"/>
              </w:rPr>
            </w:pPr>
            <w:r w:rsidRPr="004D0DAA">
              <w:rPr>
                <w:lang w:eastAsia="en-US"/>
              </w:rPr>
              <w:t>(P1 ; P2 ; P3)</w:t>
            </w:r>
          </w:p>
        </w:tc>
      </w:tr>
      <w:tr w:rsidR="00711444" w:rsidRPr="004D0DAA" w14:paraId="1CB6DBE2" w14:textId="77777777" w:rsidTr="00AA2A4C">
        <w:tblPrEx>
          <w:tblCellMar>
            <w:top w:w="0" w:type="dxa"/>
            <w:bottom w:w="0" w:type="dxa"/>
          </w:tblCellMar>
        </w:tblPrEx>
        <w:trPr>
          <w:cantSplit/>
          <w:jc w:val="center"/>
        </w:trPr>
        <w:tc>
          <w:tcPr>
            <w:tcW w:w="1446" w:type="dxa"/>
          </w:tcPr>
          <w:p w14:paraId="0AF31C51" w14:textId="77777777" w:rsidR="00711444" w:rsidRPr="004D0DAA" w:rsidRDefault="00711444" w:rsidP="00AA2A4C">
            <w:pPr>
              <w:pStyle w:val="TAC"/>
              <w:rPr>
                <w:lang w:eastAsia="en-US"/>
              </w:rPr>
            </w:pPr>
            <w:r w:rsidRPr="004D0DAA">
              <w:rPr>
                <w:lang w:eastAsia="en-US"/>
              </w:rPr>
              <w:t>001000</w:t>
            </w:r>
          </w:p>
        </w:tc>
        <w:tc>
          <w:tcPr>
            <w:tcW w:w="4239" w:type="dxa"/>
          </w:tcPr>
          <w:p w14:paraId="2B920AD8" w14:textId="77777777" w:rsidR="00711444" w:rsidRPr="004D0DAA" w:rsidRDefault="00711444" w:rsidP="00AA2A4C">
            <w:pPr>
              <w:pStyle w:val="TAL"/>
              <w:rPr>
                <w:lang w:eastAsia="en-US"/>
              </w:rPr>
            </w:pPr>
            <w:r w:rsidRPr="004D0DAA">
              <w:rPr>
                <w:lang w:eastAsia="en-US"/>
              </w:rPr>
              <w:t>(P1 ; P3 ; P1)</w:t>
            </w:r>
          </w:p>
        </w:tc>
      </w:tr>
      <w:tr w:rsidR="00711444" w:rsidRPr="004D0DAA" w14:paraId="28ACCB67" w14:textId="77777777" w:rsidTr="00AA2A4C">
        <w:tblPrEx>
          <w:tblCellMar>
            <w:top w:w="0" w:type="dxa"/>
            <w:bottom w:w="0" w:type="dxa"/>
          </w:tblCellMar>
        </w:tblPrEx>
        <w:trPr>
          <w:cantSplit/>
          <w:jc w:val="center"/>
        </w:trPr>
        <w:tc>
          <w:tcPr>
            <w:tcW w:w="1446" w:type="dxa"/>
          </w:tcPr>
          <w:p w14:paraId="2E1E37A8" w14:textId="77777777" w:rsidR="00711444" w:rsidRPr="004D0DAA" w:rsidRDefault="00711444" w:rsidP="00AA2A4C">
            <w:pPr>
              <w:pStyle w:val="TAC"/>
              <w:rPr>
                <w:lang w:eastAsia="en-US"/>
              </w:rPr>
            </w:pPr>
            <w:r w:rsidRPr="004D0DAA">
              <w:rPr>
                <w:lang w:eastAsia="en-US"/>
              </w:rPr>
              <w:t>001001</w:t>
            </w:r>
          </w:p>
        </w:tc>
        <w:tc>
          <w:tcPr>
            <w:tcW w:w="4239" w:type="dxa"/>
          </w:tcPr>
          <w:p w14:paraId="5849F79B" w14:textId="77777777" w:rsidR="00711444" w:rsidRPr="004D0DAA" w:rsidRDefault="00711444" w:rsidP="00AA2A4C">
            <w:pPr>
              <w:pStyle w:val="TAL"/>
              <w:rPr>
                <w:lang w:eastAsia="en-US"/>
              </w:rPr>
            </w:pPr>
            <w:r w:rsidRPr="004D0DAA">
              <w:rPr>
                <w:lang w:eastAsia="en-US"/>
              </w:rPr>
              <w:t>(P1 ; P3 ; P2)</w:t>
            </w:r>
          </w:p>
        </w:tc>
      </w:tr>
      <w:tr w:rsidR="00711444" w:rsidRPr="004D0DAA" w14:paraId="02CD4D35" w14:textId="77777777" w:rsidTr="00AA2A4C">
        <w:tblPrEx>
          <w:tblCellMar>
            <w:top w:w="0" w:type="dxa"/>
            <w:bottom w:w="0" w:type="dxa"/>
          </w:tblCellMar>
        </w:tblPrEx>
        <w:trPr>
          <w:cantSplit/>
          <w:jc w:val="center"/>
        </w:trPr>
        <w:tc>
          <w:tcPr>
            <w:tcW w:w="1446" w:type="dxa"/>
          </w:tcPr>
          <w:p w14:paraId="0803FCF2" w14:textId="77777777" w:rsidR="00711444" w:rsidRPr="004D0DAA" w:rsidRDefault="00711444" w:rsidP="00AA2A4C">
            <w:pPr>
              <w:pStyle w:val="TAC"/>
              <w:rPr>
                <w:lang w:eastAsia="en-US"/>
              </w:rPr>
            </w:pPr>
            <w:r w:rsidRPr="004D0DAA">
              <w:rPr>
                <w:lang w:eastAsia="en-US"/>
              </w:rPr>
              <w:t>001010</w:t>
            </w:r>
          </w:p>
        </w:tc>
        <w:tc>
          <w:tcPr>
            <w:tcW w:w="4239" w:type="dxa"/>
          </w:tcPr>
          <w:p w14:paraId="1C0B912E" w14:textId="77777777" w:rsidR="00711444" w:rsidRPr="004D0DAA" w:rsidRDefault="00711444" w:rsidP="00AA2A4C">
            <w:pPr>
              <w:pStyle w:val="TAL"/>
              <w:rPr>
                <w:lang w:eastAsia="en-US"/>
              </w:rPr>
            </w:pPr>
            <w:r w:rsidRPr="004D0DAA">
              <w:rPr>
                <w:lang w:eastAsia="en-US"/>
              </w:rPr>
              <w:t>(P1 ; P3 ; P3)</w:t>
            </w:r>
          </w:p>
        </w:tc>
      </w:tr>
      <w:tr w:rsidR="00711444" w:rsidRPr="004D0DAA" w14:paraId="69B2B23C" w14:textId="77777777" w:rsidTr="00AA2A4C">
        <w:tblPrEx>
          <w:tblCellMar>
            <w:top w:w="0" w:type="dxa"/>
            <w:bottom w:w="0" w:type="dxa"/>
          </w:tblCellMar>
        </w:tblPrEx>
        <w:trPr>
          <w:cantSplit/>
          <w:jc w:val="center"/>
        </w:trPr>
        <w:tc>
          <w:tcPr>
            <w:tcW w:w="1446" w:type="dxa"/>
          </w:tcPr>
          <w:p w14:paraId="1917A646" w14:textId="77777777" w:rsidR="00711444" w:rsidRPr="004D0DAA" w:rsidRDefault="00711444" w:rsidP="00AA2A4C">
            <w:pPr>
              <w:pStyle w:val="TAC"/>
              <w:rPr>
                <w:lang w:eastAsia="en-US"/>
              </w:rPr>
            </w:pPr>
            <w:r w:rsidRPr="004D0DAA">
              <w:rPr>
                <w:lang w:eastAsia="en-US"/>
              </w:rPr>
              <w:t>001011</w:t>
            </w:r>
          </w:p>
        </w:tc>
        <w:tc>
          <w:tcPr>
            <w:tcW w:w="4239" w:type="dxa"/>
          </w:tcPr>
          <w:p w14:paraId="3B5291DE" w14:textId="77777777" w:rsidR="00711444" w:rsidRPr="004D0DAA" w:rsidRDefault="00711444" w:rsidP="00AA2A4C">
            <w:pPr>
              <w:pStyle w:val="TAL"/>
              <w:rPr>
                <w:lang w:eastAsia="en-US"/>
              </w:rPr>
            </w:pPr>
            <w:r w:rsidRPr="004D0DAA">
              <w:rPr>
                <w:lang w:eastAsia="en-US"/>
              </w:rPr>
              <w:t>(P2 ; P1 ; P1)</w:t>
            </w:r>
          </w:p>
        </w:tc>
      </w:tr>
      <w:tr w:rsidR="00711444" w:rsidRPr="004D0DAA" w14:paraId="523648B5" w14:textId="77777777" w:rsidTr="00AA2A4C">
        <w:tblPrEx>
          <w:tblCellMar>
            <w:top w:w="0" w:type="dxa"/>
            <w:bottom w:w="0" w:type="dxa"/>
          </w:tblCellMar>
        </w:tblPrEx>
        <w:trPr>
          <w:cantSplit/>
          <w:jc w:val="center"/>
        </w:trPr>
        <w:tc>
          <w:tcPr>
            <w:tcW w:w="1446" w:type="dxa"/>
          </w:tcPr>
          <w:p w14:paraId="076C97AB" w14:textId="77777777" w:rsidR="00711444" w:rsidRPr="004D0DAA" w:rsidRDefault="00711444" w:rsidP="00AA2A4C">
            <w:pPr>
              <w:pStyle w:val="TAC"/>
              <w:rPr>
                <w:lang w:eastAsia="en-US"/>
              </w:rPr>
            </w:pPr>
            <w:r w:rsidRPr="004D0DAA">
              <w:rPr>
                <w:lang w:eastAsia="en-US"/>
              </w:rPr>
              <w:t>001100</w:t>
            </w:r>
          </w:p>
        </w:tc>
        <w:tc>
          <w:tcPr>
            <w:tcW w:w="4239" w:type="dxa"/>
          </w:tcPr>
          <w:p w14:paraId="6C0335DD" w14:textId="77777777" w:rsidR="00711444" w:rsidRPr="004D0DAA" w:rsidRDefault="00711444" w:rsidP="00AA2A4C">
            <w:pPr>
              <w:pStyle w:val="TAL"/>
              <w:rPr>
                <w:lang w:eastAsia="en-US"/>
              </w:rPr>
            </w:pPr>
            <w:r w:rsidRPr="004D0DAA">
              <w:rPr>
                <w:lang w:eastAsia="en-US"/>
              </w:rPr>
              <w:t>(P2 ; P1 ; P2)</w:t>
            </w:r>
          </w:p>
        </w:tc>
      </w:tr>
      <w:tr w:rsidR="00711444" w:rsidRPr="004D0DAA" w14:paraId="7F84ED4A" w14:textId="77777777" w:rsidTr="00AA2A4C">
        <w:tblPrEx>
          <w:tblCellMar>
            <w:top w:w="0" w:type="dxa"/>
            <w:bottom w:w="0" w:type="dxa"/>
          </w:tblCellMar>
        </w:tblPrEx>
        <w:trPr>
          <w:cantSplit/>
          <w:jc w:val="center"/>
        </w:trPr>
        <w:tc>
          <w:tcPr>
            <w:tcW w:w="1446" w:type="dxa"/>
          </w:tcPr>
          <w:p w14:paraId="0790377A" w14:textId="77777777" w:rsidR="00711444" w:rsidRPr="004D0DAA" w:rsidRDefault="00711444" w:rsidP="00AA2A4C">
            <w:pPr>
              <w:pStyle w:val="TAC"/>
              <w:rPr>
                <w:lang w:eastAsia="en-US"/>
              </w:rPr>
            </w:pPr>
            <w:r w:rsidRPr="004D0DAA">
              <w:rPr>
                <w:lang w:eastAsia="en-US"/>
              </w:rPr>
              <w:t>001101</w:t>
            </w:r>
          </w:p>
        </w:tc>
        <w:tc>
          <w:tcPr>
            <w:tcW w:w="4239" w:type="dxa"/>
          </w:tcPr>
          <w:p w14:paraId="42ACF021" w14:textId="77777777" w:rsidR="00711444" w:rsidRPr="004D0DAA" w:rsidRDefault="00711444" w:rsidP="00AA2A4C">
            <w:pPr>
              <w:pStyle w:val="TAL"/>
              <w:rPr>
                <w:lang w:eastAsia="en-US"/>
              </w:rPr>
            </w:pPr>
            <w:r w:rsidRPr="004D0DAA">
              <w:rPr>
                <w:lang w:eastAsia="en-US"/>
              </w:rPr>
              <w:t>(P2 ; P1 ; P3)</w:t>
            </w:r>
          </w:p>
        </w:tc>
      </w:tr>
      <w:tr w:rsidR="00711444" w:rsidRPr="004D0DAA" w14:paraId="386AFF68" w14:textId="77777777" w:rsidTr="00AA2A4C">
        <w:tblPrEx>
          <w:tblCellMar>
            <w:top w:w="0" w:type="dxa"/>
            <w:bottom w:w="0" w:type="dxa"/>
          </w:tblCellMar>
        </w:tblPrEx>
        <w:trPr>
          <w:cantSplit/>
          <w:jc w:val="center"/>
        </w:trPr>
        <w:tc>
          <w:tcPr>
            <w:tcW w:w="1446" w:type="dxa"/>
          </w:tcPr>
          <w:p w14:paraId="29901EC7" w14:textId="77777777" w:rsidR="00711444" w:rsidRPr="004D0DAA" w:rsidRDefault="00711444" w:rsidP="00AA2A4C">
            <w:pPr>
              <w:pStyle w:val="TAC"/>
              <w:rPr>
                <w:lang w:eastAsia="en-US"/>
              </w:rPr>
            </w:pPr>
            <w:r w:rsidRPr="004D0DAA">
              <w:rPr>
                <w:lang w:eastAsia="en-US"/>
              </w:rPr>
              <w:t>001110</w:t>
            </w:r>
          </w:p>
        </w:tc>
        <w:tc>
          <w:tcPr>
            <w:tcW w:w="4239" w:type="dxa"/>
          </w:tcPr>
          <w:p w14:paraId="18F98B8A" w14:textId="77777777" w:rsidR="00711444" w:rsidRPr="004D0DAA" w:rsidRDefault="00711444" w:rsidP="00AA2A4C">
            <w:pPr>
              <w:pStyle w:val="TAL"/>
              <w:rPr>
                <w:lang w:eastAsia="en-US"/>
              </w:rPr>
            </w:pPr>
            <w:r w:rsidRPr="004D0DAA">
              <w:rPr>
                <w:lang w:eastAsia="en-US"/>
              </w:rPr>
              <w:t>(P2 ; P2 ; P1)</w:t>
            </w:r>
          </w:p>
        </w:tc>
      </w:tr>
      <w:tr w:rsidR="00711444" w:rsidRPr="004D0DAA" w14:paraId="2BD641FC" w14:textId="77777777" w:rsidTr="00AA2A4C">
        <w:tblPrEx>
          <w:tblCellMar>
            <w:top w:w="0" w:type="dxa"/>
            <w:bottom w:w="0" w:type="dxa"/>
          </w:tblCellMar>
        </w:tblPrEx>
        <w:trPr>
          <w:cantSplit/>
          <w:jc w:val="center"/>
        </w:trPr>
        <w:tc>
          <w:tcPr>
            <w:tcW w:w="1446" w:type="dxa"/>
          </w:tcPr>
          <w:p w14:paraId="7BD4FD30" w14:textId="77777777" w:rsidR="00711444" w:rsidRPr="004D0DAA" w:rsidRDefault="00711444" w:rsidP="00AA2A4C">
            <w:pPr>
              <w:pStyle w:val="TAC"/>
              <w:rPr>
                <w:lang w:eastAsia="en-US"/>
              </w:rPr>
            </w:pPr>
            <w:r w:rsidRPr="004D0DAA">
              <w:rPr>
                <w:lang w:eastAsia="en-US"/>
              </w:rPr>
              <w:t>001111</w:t>
            </w:r>
          </w:p>
        </w:tc>
        <w:tc>
          <w:tcPr>
            <w:tcW w:w="4239" w:type="dxa"/>
          </w:tcPr>
          <w:p w14:paraId="3502146C" w14:textId="77777777" w:rsidR="00711444" w:rsidRPr="004D0DAA" w:rsidRDefault="00711444" w:rsidP="00AA2A4C">
            <w:pPr>
              <w:pStyle w:val="TAL"/>
              <w:rPr>
                <w:lang w:eastAsia="en-US"/>
              </w:rPr>
            </w:pPr>
            <w:r w:rsidRPr="004D0DAA">
              <w:rPr>
                <w:lang w:eastAsia="en-US"/>
              </w:rPr>
              <w:t>(P2 ; P2 ; P2)</w:t>
            </w:r>
          </w:p>
        </w:tc>
      </w:tr>
      <w:tr w:rsidR="00711444" w:rsidRPr="004D0DAA" w14:paraId="201E36F7" w14:textId="77777777" w:rsidTr="00AA2A4C">
        <w:tblPrEx>
          <w:tblCellMar>
            <w:top w:w="0" w:type="dxa"/>
            <w:bottom w:w="0" w:type="dxa"/>
          </w:tblCellMar>
        </w:tblPrEx>
        <w:trPr>
          <w:cantSplit/>
          <w:jc w:val="center"/>
        </w:trPr>
        <w:tc>
          <w:tcPr>
            <w:tcW w:w="1446" w:type="dxa"/>
          </w:tcPr>
          <w:p w14:paraId="55AE36B7" w14:textId="77777777" w:rsidR="00711444" w:rsidRPr="004D0DAA" w:rsidRDefault="00711444" w:rsidP="00AA2A4C">
            <w:pPr>
              <w:pStyle w:val="TAC"/>
              <w:rPr>
                <w:lang w:eastAsia="en-US"/>
              </w:rPr>
            </w:pPr>
            <w:r w:rsidRPr="004D0DAA">
              <w:rPr>
                <w:lang w:eastAsia="en-US"/>
              </w:rPr>
              <w:t>010000</w:t>
            </w:r>
          </w:p>
        </w:tc>
        <w:tc>
          <w:tcPr>
            <w:tcW w:w="4239" w:type="dxa"/>
          </w:tcPr>
          <w:p w14:paraId="1775DFFA" w14:textId="77777777" w:rsidR="00711444" w:rsidRPr="004D0DAA" w:rsidRDefault="00711444" w:rsidP="00AA2A4C">
            <w:pPr>
              <w:pStyle w:val="TAL"/>
              <w:rPr>
                <w:lang w:eastAsia="en-US"/>
              </w:rPr>
            </w:pPr>
            <w:r w:rsidRPr="004D0DAA">
              <w:rPr>
                <w:lang w:eastAsia="en-US"/>
              </w:rPr>
              <w:t>(P2 ; P2 ; P3)</w:t>
            </w:r>
          </w:p>
        </w:tc>
      </w:tr>
      <w:tr w:rsidR="00711444" w:rsidRPr="004D0DAA" w14:paraId="193FE83E" w14:textId="77777777" w:rsidTr="00AA2A4C">
        <w:tblPrEx>
          <w:tblCellMar>
            <w:top w:w="0" w:type="dxa"/>
            <w:bottom w:w="0" w:type="dxa"/>
          </w:tblCellMar>
        </w:tblPrEx>
        <w:trPr>
          <w:cantSplit/>
          <w:jc w:val="center"/>
        </w:trPr>
        <w:tc>
          <w:tcPr>
            <w:tcW w:w="1446" w:type="dxa"/>
          </w:tcPr>
          <w:p w14:paraId="422F5D99" w14:textId="77777777" w:rsidR="00711444" w:rsidRPr="004D0DAA" w:rsidRDefault="00711444" w:rsidP="00AA2A4C">
            <w:pPr>
              <w:pStyle w:val="TAC"/>
              <w:rPr>
                <w:lang w:eastAsia="en-US"/>
              </w:rPr>
            </w:pPr>
            <w:r w:rsidRPr="004D0DAA">
              <w:rPr>
                <w:lang w:eastAsia="en-US"/>
              </w:rPr>
              <w:t>010001</w:t>
            </w:r>
          </w:p>
        </w:tc>
        <w:tc>
          <w:tcPr>
            <w:tcW w:w="4239" w:type="dxa"/>
          </w:tcPr>
          <w:p w14:paraId="2E269571" w14:textId="77777777" w:rsidR="00711444" w:rsidRPr="004D0DAA" w:rsidRDefault="00711444" w:rsidP="00AA2A4C">
            <w:pPr>
              <w:pStyle w:val="TAL"/>
              <w:rPr>
                <w:lang w:eastAsia="en-US"/>
              </w:rPr>
            </w:pPr>
            <w:r w:rsidRPr="004D0DAA">
              <w:rPr>
                <w:lang w:eastAsia="en-US"/>
              </w:rPr>
              <w:t>(P2 ; P3 ; P1)</w:t>
            </w:r>
          </w:p>
        </w:tc>
      </w:tr>
      <w:tr w:rsidR="00711444" w:rsidRPr="004D0DAA" w14:paraId="71840897" w14:textId="77777777" w:rsidTr="00AA2A4C">
        <w:tblPrEx>
          <w:tblCellMar>
            <w:top w:w="0" w:type="dxa"/>
            <w:bottom w:w="0" w:type="dxa"/>
          </w:tblCellMar>
        </w:tblPrEx>
        <w:trPr>
          <w:cantSplit/>
          <w:jc w:val="center"/>
        </w:trPr>
        <w:tc>
          <w:tcPr>
            <w:tcW w:w="1446" w:type="dxa"/>
          </w:tcPr>
          <w:p w14:paraId="43BD6458" w14:textId="77777777" w:rsidR="00711444" w:rsidRPr="004D0DAA" w:rsidRDefault="00711444" w:rsidP="00AA2A4C">
            <w:pPr>
              <w:pStyle w:val="TAC"/>
              <w:rPr>
                <w:lang w:eastAsia="en-US"/>
              </w:rPr>
            </w:pPr>
            <w:r w:rsidRPr="004D0DAA">
              <w:rPr>
                <w:lang w:eastAsia="en-US"/>
              </w:rPr>
              <w:t>010010</w:t>
            </w:r>
          </w:p>
        </w:tc>
        <w:tc>
          <w:tcPr>
            <w:tcW w:w="4239" w:type="dxa"/>
          </w:tcPr>
          <w:p w14:paraId="53BF6B4B" w14:textId="77777777" w:rsidR="00711444" w:rsidRPr="004D0DAA" w:rsidRDefault="00711444" w:rsidP="00AA2A4C">
            <w:pPr>
              <w:pStyle w:val="TAL"/>
              <w:rPr>
                <w:lang w:eastAsia="en-US"/>
              </w:rPr>
            </w:pPr>
            <w:r w:rsidRPr="004D0DAA">
              <w:rPr>
                <w:lang w:eastAsia="en-US"/>
              </w:rPr>
              <w:t>(P2 ; P3 ; P2)</w:t>
            </w:r>
          </w:p>
        </w:tc>
      </w:tr>
      <w:tr w:rsidR="00711444" w:rsidRPr="004D0DAA" w14:paraId="30C87C0F" w14:textId="77777777" w:rsidTr="00AA2A4C">
        <w:tblPrEx>
          <w:tblCellMar>
            <w:top w:w="0" w:type="dxa"/>
            <w:bottom w:w="0" w:type="dxa"/>
          </w:tblCellMar>
        </w:tblPrEx>
        <w:trPr>
          <w:cantSplit/>
          <w:jc w:val="center"/>
        </w:trPr>
        <w:tc>
          <w:tcPr>
            <w:tcW w:w="1446" w:type="dxa"/>
          </w:tcPr>
          <w:p w14:paraId="714A7BB8" w14:textId="77777777" w:rsidR="00711444" w:rsidRPr="004D0DAA" w:rsidRDefault="00711444" w:rsidP="00AA2A4C">
            <w:pPr>
              <w:pStyle w:val="TAC"/>
              <w:rPr>
                <w:lang w:eastAsia="en-US"/>
              </w:rPr>
            </w:pPr>
            <w:r w:rsidRPr="004D0DAA">
              <w:rPr>
                <w:lang w:eastAsia="en-US"/>
              </w:rPr>
              <w:t>010011</w:t>
            </w:r>
          </w:p>
        </w:tc>
        <w:tc>
          <w:tcPr>
            <w:tcW w:w="4239" w:type="dxa"/>
          </w:tcPr>
          <w:p w14:paraId="51792D37" w14:textId="77777777" w:rsidR="00711444" w:rsidRPr="004D0DAA" w:rsidRDefault="00711444" w:rsidP="00AA2A4C">
            <w:pPr>
              <w:pStyle w:val="TAL"/>
              <w:rPr>
                <w:lang w:eastAsia="en-US"/>
              </w:rPr>
            </w:pPr>
            <w:r w:rsidRPr="004D0DAA">
              <w:rPr>
                <w:lang w:eastAsia="en-US"/>
              </w:rPr>
              <w:t>(P2 ; P3 ; P3)</w:t>
            </w:r>
          </w:p>
        </w:tc>
      </w:tr>
      <w:tr w:rsidR="00711444" w:rsidRPr="004D0DAA" w14:paraId="26087E1E" w14:textId="77777777" w:rsidTr="00AA2A4C">
        <w:tblPrEx>
          <w:tblCellMar>
            <w:top w:w="0" w:type="dxa"/>
            <w:bottom w:w="0" w:type="dxa"/>
          </w:tblCellMar>
        </w:tblPrEx>
        <w:trPr>
          <w:cantSplit/>
          <w:jc w:val="center"/>
        </w:trPr>
        <w:tc>
          <w:tcPr>
            <w:tcW w:w="1446" w:type="dxa"/>
          </w:tcPr>
          <w:p w14:paraId="164C2691" w14:textId="77777777" w:rsidR="00711444" w:rsidRPr="004D0DAA" w:rsidRDefault="00711444" w:rsidP="00AA2A4C">
            <w:pPr>
              <w:pStyle w:val="TAC"/>
              <w:rPr>
                <w:lang w:eastAsia="en-US"/>
              </w:rPr>
            </w:pPr>
            <w:r w:rsidRPr="004D0DAA">
              <w:rPr>
                <w:lang w:eastAsia="en-US"/>
              </w:rPr>
              <w:t>010100</w:t>
            </w:r>
          </w:p>
        </w:tc>
        <w:tc>
          <w:tcPr>
            <w:tcW w:w="4239" w:type="dxa"/>
          </w:tcPr>
          <w:p w14:paraId="0270375C" w14:textId="77777777" w:rsidR="00711444" w:rsidRPr="004D0DAA" w:rsidRDefault="00711444" w:rsidP="00AA2A4C">
            <w:pPr>
              <w:pStyle w:val="TAL"/>
              <w:rPr>
                <w:lang w:eastAsia="en-US"/>
              </w:rPr>
            </w:pPr>
            <w:r w:rsidRPr="004D0DAA">
              <w:rPr>
                <w:lang w:eastAsia="en-US"/>
              </w:rPr>
              <w:t>(P3 ; P1 ; P1)</w:t>
            </w:r>
          </w:p>
        </w:tc>
      </w:tr>
      <w:tr w:rsidR="00711444" w:rsidRPr="004D0DAA" w14:paraId="61C5BC38" w14:textId="77777777" w:rsidTr="00AA2A4C">
        <w:tblPrEx>
          <w:tblCellMar>
            <w:top w:w="0" w:type="dxa"/>
            <w:bottom w:w="0" w:type="dxa"/>
          </w:tblCellMar>
        </w:tblPrEx>
        <w:trPr>
          <w:cantSplit/>
          <w:jc w:val="center"/>
        </w:trPr>
        <w:tc>
          <w:tcPr>
            <w:tcW w:w="1446" w:type="dxa"/>
          </w:tcPr>
          <w:p w14:paraId="2EDB197F" w14:textId="77777777" w:rsidR="00711444" w:rsidRPr="004D0DAA" w:rsidRDefault="00711444" w:rsidP="00AA2A4C">
            <w:pPr>
              <w:pStyle w:val="TAC"/>
              <w:rPr>
                <w:lang w:eastAsia="en-US"/>
              </w:rPr>
            </w:pPr>
            <w:r w:rsidRPr="004D0DAA">
              <w:rPr>
                <w:lang w:eastAsia="en-US"/>
              </w:rPr>
              <w:t>010101</w:t>
            </w:r>
          </w:p>
        </w:tc>
        <w:tc>
          <w:tcPr>
            <w:tcW w:w="4239" w:type="dxa"/>
          </w:tcPr>
          <w:p w14:paraId="266DEA64" w14:textId="77777777" w:rsidR="00711444" w:rsidRPr="004D0DAA" w:rsidRDefault="00711444" w:rsidP="00AA2A4C">
            <w:pPr>
              <w:pStyle w:val="TAL"/>
              <w:rPr>
                <w:lang w:eastAsia="en-US"/>
              </w:rPr>
            </w:pPr>
            <w:r w:rsidRPr="004D0DAA">
              <w:rPr>
                <w:lang w:eastAsia="en-US"/>
              </w:rPr>
              <w:t>(P3 ; P1 ; P2)</w:t>
            </w:r>
          </w:p>
        </w:tc>
      </w:tr>
      <w:tr w:rsidR="00711444" w:rsidRPr="004D0DAA" w14:paraId="312C30CF" w14:textId="77777777" w:rsidTr="00AA2A4C">
        <w:tblPrEx>
          <w:tblCellMar>
            <w:top w:w="0" w:type="dxa"/>
            <w:bottom w:w="0" w:type="dxa"/>
          </w:tblCellMar>
        </w:tblPrEx>
        <w:trPr>
          <w:cantSplit/>
          <w:jc w:val="center"/>
        </w:trPr>
        <w:tc>
          <w:tcPr>
            <w:tcW w:w="1446" w:type="dxa"/>
          </w:tcPr>
          <w:p w14:paraId="79D28B87" w14:textId="77777777" w:rsidR="00711444" w:rsidRPr="004D0DAA" w:rsidRDefault="00711444" w:rsidP="00AA2A4C">
            <w:pPr>
              <w:pStyle w:val="TAC"/>
              <w:rPr>
                <w:lang w:eastAsia="en-US"/>
              </w:rPr>
            </w:pPr>
            <w:r w:rsidRPr="004D0DAA">
              <w:rPr>
                <w:lang w:eastAsia="en-US"/>
              </w:rPr>
              <w:t>010110</w:t>
            </w:r>
          </w:p>
        </w:tc>
        <w:tc>
          <w:tcPr>
            <w:tcW w:w="4239" w:type="dxa"/>
          </w:tcPr>
          <w:p w14:paraId="1D3FBC6C" w14:textId="77777777" w:rsidR="00711444" w:rsidRPr="004D0DAA" w:rsidRDefault="00711444" w:rsidP="00AA2A4C">
            <w:pPr>
              <w:pStyle w:val="TAL"/>
              <w:rPr>
                <w:lang w:eastAsia="en-US"/>
              </w:rPr>
            </w:pPr>
            <w:r w:rsidRPr="004D0DAA">
              <w:rPr>
                <w:lang w:eastAsia="en-US"/>
              </w:rPr>
              <w:t>(P3 ; P1 ; P3)</w:t>
            </w:r>
          </w:p>
        </w:tc>
      </w:tr>
      <w:tr w:rsidR="00711444" w:rsidRPr="004D0DAA" w14:paraId="34E31AD5" w14:textId="77777777" w:rsidTr="00AA2A4C">
        <w:tblPrEx>
          <w:tblCellMar>
            <w:top w:w="0" w:type="dxa"/>
            <w:bottom w:w="0" w:type="dxa"/>
          </w:tblCellMar>
        </w:tblPrEx>
        <w:trPr>
          <w:cantSplit/>
          <w:jc w:val="center"/>
        </w:trPr>
        <w:tc>
          <w:tcPr>
            <w:tcW w:w="1446" w:type="dxa"/>
          </w:tcPr>
          <w:p w14:paraId="07594A2C" w14:textId="77777777" w:rsidR="00711444" w:rsidRPr="004D0DAA" w:rsidRDefault="00711444" w:rsidP="00AA2A4C">
            <w:pPr>
              <w:pStyle w:val="TAC"/>
              <w:rPr>
                <w:lang w:eastAsia="en-US"/>
              </w:rPr>
            </w:pPr>
            <w:r w:rsidRPr="004D0DAA">
              <w:rPr>
                <w:lang w:eastAsia="en-US"/>
              </w:rPr>
              <w:t>010111</w:t>
            </w:r>
          </w:p>
        </w:tc>
        <w:tc>
          <w:tcPr>
            <w:tcW w:w="4239" w:type="dxa"/>
          </w:tcPr>
          <w:p w14:paraId="077F2CB7" w14:textId="77777777" w:rsidR="00711444" w:rsidRPr="004D0DAA" w:rsidRDefault="00711444" w:rsidP="00AA2A4C">
            <w:pPr>
              <w:pStyle w:val="TAL"/>
              <w:rPr>
                <w:lang w:eastAsia="en-US"/>
              </w:rPr>
            </w:pPr>
            <w:r w:rsidRPr="004D0DAA">
              <w:rPr>
                <w:lang w:eastAsia="en-US"/>
              </w:rPr>
              <w:t>(P3 ; P2 ; P1)</w:t>
            </w:r>
          </w:p>
        </w:tc>
      </w:tr>
      <w:tr w:rsidR="00711444" w:rsidRPr="004D0DAA" w14:paraId="21EA7C59" w14:textId="77777777" w:rsidTr="00AA2A4C">
        <w:tblPrEx>
          <w:tblCellMar>
            <w:top w:w="0" w:type="dxa"/>
            <w:bottom w:w="0" w:type="dxa"/>
          </w:tblCellMar>
        </w:tblPrEx>
        <w:trPr>
          <w:cantSplit/>
          <w:jc w:val="center"/>
        </w:trPr>
        <w:tc>
          <w:tcPr>
            <w:tcW w:w="1446" w:type="dxa"/>
          </w:tcPr>
          <w:p w14:paraId="0789399F" w14:textId="77777777" w:rsidR="00711444" w:rsidRPr="004D0DAA" w:rsidRDefault="00711444" w:rsidP="00AA2A4C">
            <w:pPr>
              <w:pStyle w:val="TAC"/>
              <w:rPr>
                <w:lang w:eastAsia="en-US"/>
              </w:rPr>
            </w:pPr>
            <w:r w:rsidRPr="004D0DAA">
              <w:rPr>
                <w:lang w:eastAsia="en-US"/>
              </w:rPr>
              <w:t>011000</w:t>
            </w:r>
          </w:p>
        </w:tc>
        <w:tc>
          <w:tcPr>
            <w:tcW w:w="4239" w:type="dxa"/>
          </w:tcPr>
          <w:p w14:paraId="36742CE1" w14:textId="77777777" w:rsidR="00711444" w:rsidRPr="004D0DAA" w:rsidRDefault="00711444" w:rsidP="00AA2A4C">
            <w:pPr>
              <w:pStyle w:val="TAL"/>
              <w:rPr>
                <w:lang w:eastAsia="en-US"/>
              </w:rPr>
            </w:pPr>
            <w:r w:rsidRPr="004D0DAA">
              <w:rPr>
                <w:lang w:eastAsia="en-US"/>
              </w:rPr>
              <w:t>(P3 ; P2 ; P2)</w:t>
            </w:r>
          </w:p>
        </w:tc>
      </w:tr>
      <w:tr w:rsidR="00711444" w:rsidRPr="004D0DAA" w14:paraId="68C990DA" w14:textId="77777777" w:rsidTr="00AA2A4C">
        <w:tblPrEx>
          <w:tblCellMar>
            <w:top w:w="0" w:type="dxa"/>
            <w:bottom w:w="0" w:type="dxa"/>
          </w:tblCellMar>
        </w:tblPrEx>
        <w:trPr>
          <w:cantSplit/>
          <w:jc w:val="center"/>
        </w:trPr>
        <w:tc>
          <w:tcPr>
            <w:tcW w:w="1446" w:type="dxa"/>
          </w:tcPr>
          <w:p w14:paraId="3BB1162F" w14:textId="77777777" w:rsidR="00711444" w:rsidRPr="004D0DAA" w:rsidRDefault="00711444" w:rsidP="00AA2A4C">
            <w:pPr>
              <w:pStyle w:val="TAC"/>
              <w:rPr>
                <w:lang w:eastAsia="en-US"/>
              </w:rPr>
            </w:pPr>
            <w:r w:rsidRPr="004D0DAA">
              <w:rPr>
                <w:lang w:eastAsia="en-US"/>
              </w:rPr>
              <w:t>011001</w:t>
            </w:r>
          </w:p>
        </w:tc>
        <w:tc>
          <w:tcPr>
            <w:tcW w:w="4239" w:type="dxa"/>
          </w:tcPr>
          <w:p w14:paraId="13ACD73A" w14:textId="77777777" w:rsidR="00711444" w:rsidRPr="004D0DAA" w:rsidRDefault="00711444" w:rsidP="00AA2A4C">
            <w:pPr>
              <w:pStyle w:val="TAL"/>
              <w:rPr>
                <w:lang w:eastAsia="en-US"/>
              </w:rPr>
            </w:pPr>
            <w:r w:rsidRPr="004D0DAA">
              <w:rPr>
                <w:lang w:eastAsia="en-US"/>
              </w:rPr>
              <w:t>(P3 ; P2 ; P3)</w:t>
            </w:r>
          </w:p>
        </w:tc>
      </w:tr>
      <w:tr w:rsidR="00711444" w:rsidRPr="004D0DAA" w14:paraId="7802782C" w14:textId="77777777" w:rsidTr="00AA2A4C">
        <w:tblPrEx>
          <w:tblCellMar>
            <w:top w:w="0" w:type="dxa"/>
            <w:bottom w:w="0" w:type="dxa"/>
          </w:tblCellMar>
        </w:tblPrEx>
        <w:trPr>
          <w:cantSplit/>
          <w:jc w:val="center"/>
        </w:trPr>
        <w:tc>
          <w:tcPr>
            <w:tcW w:w="1446" w:type="dxa"/>
          </w:tcPr>
          <w:p w14:paraId="17C6F1A9" w14:textId="77777777" w:rsidR="00711444" w:rsidRPr="004D0DAA" w:rsidRDefault="00711444" w:rsidP="00AA2A4C">
            <w:pPr>
              <w:pStyle w:val="TAC"/>
              <w:rPr>
                <w:lang w:eastAsia="en-US"/>
              </w:rPr>
            </w:pPr>
            <w:r w:rsidRPr="004D0DAA">
              <w:rPr>
                <w:lang w:eastAsia="en-US"/>
              </w:rPr>
              <w:t>011010</w:t>
            </w:r>
          </w:p>
        </w:tc>
        <w:tc>
          <w:tcPr>
            <w:tcW w:w="4239" w:type="dxa"/>
          </w:tcPr>
          <w:p w14:paraId="46319A8A" w14:textId="77777777" w:rsidR="00711444" w:rsidRPr="004D0DAA" w:rsidRDefault="00711444" w:rsidP="00AA2A4C">
            <w:pPr>
              <w:pStyle w:val="TAL"/>
              <w:rPr>
                <w:lang w:eastAsia="en-US"/>
              </w:rPr>
            </w:pPr>
            <w:r w:rsidRPr="004D0DAA">
              <w:rPr>
                <w:lang w:eastAsia="en-US"/>
              </w:rPr>
              <w:t>(P3 ; P3 ; P1)</w:t>
            </w:r>
          </w:p>
        </w:tc>
      </w:tr>
      <w:tr w:rsidR="00711444" w:rsidRPr="004D0DAA" w14:paraId="029D6058" w14:textId="77777777" w:rsidTr="00AA2A4C">
        <w:tblPrEx>
          <w:tblCellMar>
            <w:top w:w="0" w:type="dxa"/>
            <w:bottom w:w="0" w:type="dxa"/>
          </w:tblCellMar>
        </w:tblPrEx>
        <w:trPr>
          <w:cantSplit/>
          <w:jc w:val="center"/>
        </w:trPr>
        <w:tc>
          <w:tcPr>
            <w:tcW w:w="1446" w:type="dxa"/>
          </w:tcPr>
          <w:p w14:paraId="11C91A3C" w14:textId="77777777" w:rsidR="00711444" w:rsidRPr="004D0DAA" w:rsidRDefault="00711444" w:rsidP="00AA2A4C">
            <w:pPr>
              <w:pStyle w:val="TAC"/>
              <w:rPr>
                <w:lang w:eastAsia="en-US"/>
              </w:rPr>
            </w:pPr>
            <w:r w:rsidRPr="004D0DAA">
              <w:rPr>
                <w:lang w:eastAsia="en-US"/>
              </w:rPr>
              <w:t>011011</w:t>
            </w:r>
          </w:p>
        </w:tc>
        <w:tc>
          <w:tcPr>
            <w:tcW w:w="4239" w:type="dxa"/>
          </w:tcPr>
          <w:p w14:paraId="6B003926" w14:textId="77777777" w:rsidR="00711444" w:rsidRPr="004D0DAA" w:rsidRDefault="00711444" w:rsidP="00AA2A4C">
            <w:pPr>
              <w:pStyle w:val="TAL"/>
              <w:rPr>
                <w:lang w:eastAsia="en-US"/>
              </w:rPr>
            </w:pPr>
            <w:r w:rsidRPr="004D0DAA">
              <w:rPr>
                <w:lang w:eastAsia="en-US"/>
              </w:rPr>
              <w:t>(P3 ; P3 ; P2)</w:t>
            </w:r>
          </w:p>
        </w:tc>
      </w:tr>
      <w:tr w:rsidR="00711444" w:rsidRPr="004D0DAA" w14:paraId="1164D761" w14:textId="77777777" w:rsidTr="00AA2A4C">
        <w:tblPrEx>
          <w:tblCellMar>
            <w:top w:w="0" w:type="dxa"/>
            <w:bottom w:w="0" w:type="dxa"/>
          </w:tblCellMar>
        </w:tblPrEx>
        <w:trPr>
          <w:cantSplit/>
          <w:jc w:val="center"/>
        </w:trPr>
        <w:tc>
          <w:tcPr>
            <w:tcW w:w="1446" w:type="dxa"/>
          </w:tcPr>
          <w:p w14:paraId="6A85B50E" w14:textId="77777777" w:rsidR="00711444" w:rsidRPr="004D0DAA" w:rsidRDefault="00711444" w:rsidP="00AA2A4C">
            <w:pPr>
              <w:pStyle w:val="TAC"/>
              <w:rPr>
                <w:lang w:eastAsia="en-US"/>
              </w:rPr>
            </w:pPr>
            <w:r w:rsidRPr="004D0DAA">
              <w:rPr>
                <w:lang w:eastAsia="en-US"/>
              </w:rPr>
              <w:t>011100</w:t>
            </w:r>
          </w:p>
        </w:tc>
        <w:tc>
          <w:tcPr>
            <w:tcW w:w="4239" w:type="dxa"/>
          </w:tcPr>
          <w:p w14:paraId="267FD6EC" w14:textId="77777777" w:rsidR="00711444" w:rsidRPr="004D0DAA" w:rsidRDefault="00711444" w:rsidP="00AA2A4C">
            <w:pPr>
              <w:pStyle w:val="TAL"/>
              <w:rPr>
                <w:lang w:eastAsia="en-US"/>
              </w:rPr>
            </w:pPr>
            <w:r w:rsidRPr="004D0DAA">
              <w:rPr>
                <w:lang w:eastAsia="en-US"/>
              </w:rPr>
              <w:t>(P3 ; P3 ; P3)</w:t>
            </w:r>
          </w:p>
        </w:tc>
      </w:tr>
      <w:tr w:rsidR="00711444" w:rsidRPr="004D0DAA" w14:paraId="28079DC2" w14:textId="77777777" w:rsidTr="00AA2A4C">
        <w:tblPrEx>
          <w:tblCellMar>
            <w:top w:w="0" w:type="dxa"/>
            <w:bottom w:w="0" w:type="dxa"/>
          </w:tblCellMar>
        </w:tblPrEx>
        <w:trPr>
          <w:cantSplit/>
          <w:jc w:val="center"/>
        </w:trPr>
        <w:tc>
          <w:tcPr>
            <w:tcW w:w="1446" w:type="dxa"/>
          </w:tcPr>
          <w:p w14:paraId="64A76E31" w14:textId="77777777" w:rsidR="00711444" w:rsidRPr="004D0DAA" w:rsidRDefault="00711444" w:rsidP="00AA2A4C">
            <w:pPr>
              <w:pStyle w:val="TAC"/>
              <w:rPr>
                <w:lang w:eastAsia="en-US"/>
              </w:rPr>
            </w:pPr>
            <w:r w:rsidRPr="004D0DAA">
              <w:rPr>
                <w:lang w:eastAsia="en-US"/>
              </w:rPr>
              <w:t>011101</w:t>
            </w:r>
          </w:p>
        </w:tc>
        <w:tc>
          <w:tcPr>
            <w:tcW w:w="4239" w:type="dxa"/>
          </w:tcPr>
          <w:p w14:paraId="063B325C" w14:textId="77777777" w:rsidR="00711444" w:rsidRPr="004D0DAA" w:rsidRDefault="00711444" w:rsidP="00AA2A4C">
            <w:pPr>
              <w:pStyle w:val="TAL"/>
              <w:rPr>
                <w:lang w:eastAsia="en-US"/>
              </w:rPr>
            </w:pPr>
            <w:r w:rsidRPr="004D0DAA">
              <w:rPr>
                <w:lang w:eastAsia="en-US"/>
              </w:rPr>
              <w:t>(P1 ; P1 ; P1) with padding</w:t>
            </w:r>
          </w:p>
        </w:tc>
      </w:tr>
      <w:tr w:rsidR="00711444" w:rsidRPr="004D0DAA" w14:paraId="5DEAF55A" w14:textId="77777777" w:rsidTr="00AA2A4C">
        <w:tblPrEx>
          <w:tblCellMar>
            <w:top w:w="0" w:type="dxa"/>
            <w:bottom w:w="0" w:type="dxa"/>
          </w:tblCellMar>
        </w:tblPrEx>
        <w:trPr>
          <w:cantSplit/>
          <w:jc w:val="center"/>
        </w:trPr>
        <w:tc>
          <w:tcPr>
            <w:tcW w:w="1446" w:type="dxa"/>
          </w:tcPr>
          <w:p w14:paraId="473BE701" w14:textId="77777777" w:rsidR="00711444" w:rsidRPr="004D0DAA" w:rsidRDefault="00711444" w:rsidP="00AA2A4C">
            <w:pPr>
              <w:pStyle w:val="TAC"/>
              <w:rPr>
                <w:lang w:eastAsia="en-US"/>
              </w:rPr>
            </w:pPr>
            <w:r w:rsidRPr="004D0DAA">
              <w:rPr>
                <w:lang w:eastAsia="en-US"/>
              </w:rPr>
              <w:t>011110</w:t>
            </w:r>
          </w:p>
        </w:tc>
        <w:tc>
          <w:tcPr>
            <w:tcW w:w="4239" w:type="dxa"/>
          </w:tcPr>
          <w:p w14:paraId="6019EECC" w14:textId="77777777" w:rsidR="00711444" w:rsidRPr="004D0DAA" w:rsidRDefault="00711444" w:rsidP="00AA2A4C">
            <w:pPr>
              <w:pStyle w:val="TAL"/>
              <w:rPr>
                <w:lang w:eastAsia="en-US"/>
              </w:rPr>
            </w:pPr>
            <w:r w:rsidRPr="004D0DAA">
              <w:rPr>
                <w:lang w:eastAsia="en-US"/>
              </w:rPr>
              <w:t>(P1 ; P1 ; P2) with padding</w:t>
            </w:r>
          </w:p>
        </w:tc>
      </w:tr>
      <w:tr w:rsidR="00711444" w:rsidRPr="004D0DAA" w14:paraId="21C7A1DD" w14:textId="77777777" w:rsidTr="00AA2A4C">
        <w:tblPrEx>
          <w:tblCellMar>
            <w:top w:w="0" w:type="dxa"/>
            <w:bottom w:w="0" w:type="dxa"/>
          </w:tblCellMar>
        </w:tblPrEx>
        <w:trPr>
          <w:cantSplit/>
          <w:jc w:val="center"/>
        </w:trPr>
        <w:tc>
          <w:tcPr>
            <w:tcW w:w="1446" w:type="dxa"/>
          </w:tcPr>
          <w:p w14:paraId="19D37775" w14:textId="77777777" w:rsidR="00711444" w:rsidRPr="004D0DAA" w:rsidRDefault="00711444" w:rsidP="00AA2A4C">
            <w:pPr>
              <w:pStyle w:val="TAC"/>
              <w:rPr>
                <w:lang w:eastAsia="en-US"/>
              </w:rPr>
            </w:pPr>
            <w:r w:rsidRPr="004D0DAA">
              <w:rPr>
                <w:lang w:eastAsia="en-US"/>
              </w:rPr>
              <w:t>011111</w:t>
            </w:r>
          </w:p>
        </w:tc>
        <w:tc>
          <w:tcPr>
            <w:tcW w:w="4239" w:type="dxa"/>
          </w:tcPr>
          <w:p w14:paraId="609A7D59" w14:textId="77777777" w:rsidR="00711444" w:rsidRPr="004D0DAA" w:rsidRDefault="00711444" w:rsidP="00AA2A4C">
            <w:pPr>
              <w:pStyle w:val="TAL"/>
              <w:rPr>
                <w:lang w:eastAsia="en-US"/>
              </w:rPr>
            </w:pPr>
            <w:r w:rsidRPr="004D0DAA">
              <w:rPr>
                <w:lang w:eastAsia="en-US"/>
              </w:rPr>
              <w:t>(P1 ; P1 ; P3) with padding</w:t>
            </w:r>
          </w:p>
        </w:tc>
      </w:tr>
      <w:tr w:rsidR="00711444" w:rsidRPr="004D0DAA" w14:paraId="3C95F0FC" w14:textId="77777777" w:rsidTr="00AA2A4C">
        <w:tblPrEx>
          <w:tblCellMar>
            <w:top w:w="0" w:type="dxa"/>
            <w:bottom w:w="0" w:type="dxa"/>
          </w:tblCellMar>
        </w:tblPrEx>
        <w:trPr>
          <w:cantSplit/>
          <w:jc w:val="center"/>
        </w:trPr>
        <w:tc>
          <w:tcPr>
            <w:tcW w:w="1446" w:type="dxa"/>
          </w:tcPr>
          <w:p w14:paraId="02996FA9" w14:textId="77777777" w:rsidR="00711444" w:rsidRPr="004D0DAA" w:rsidRDefault="00711444" w:rsidP="00AA2A4C">
            <w:pPr>
              <w:pStyle w:val="TAC"/>
              <w:rPr>
                <w:lang w:eastAsia="en-US"/>
              </w:rPr>
            </w:pPr>
            <w:r w:rsidRPr="004D0DAA">
              <w:rPr>
                <w:lang w:eastAsia="en-US"/>
              </w:rPr>
              <w:t>100000</w:t>
            </w:r>
          </w:p>
        </w:tc>
        <w:tc>
          <w:tcPr>
            <w:tcW w:w="4239" w:type="dxa"/>
          </w:tcPr>
          <w:p w14:paraId="535D47BD" w14:textId="77777777" w:rsidR="00711444" w:rsidRPr="004D0DAA" w:rsidRDefault="00711444" w:rsidP="00AA2A4C">
            <w:pPr>
              <w:pStyle w:val="TAL"/>
              <w:rPr>
                <w:lang w:eastAsia="en-US"/>
              </w:rPr>
            </w:pPr>
            <w:r w:rsidRPr="004D0DAA">
              <w:rPr>
                <w:lang w:eastAsia="en-US"/>
              </w:rPr>
              <w:t>(P1 ; P2 ; P1) with padding</w:t>
            </w:r>
          </w:p>
        </w:tc>
      </w:tr>
      <w:tr w:rsidR="00711444" w:rsidRPr="004D0DAA" w14:paraId="4C78CBE5" w14:textId="77777777" w:rsidTr="00AA2A4C">
        <w:tblPrEx>
          <w:tblCellMar>
            <w:top w:w="0" w:type="dxa"/>
            <w:bottom w:w="0" w:type="dxa"/>
          </w:tblCellMar>
        </w:tblPrEx>
        <w:trPr>
          <w:cantSplit/>
          <w:jc w:val="center"/>
        </w:trPr>
        <w:tc>
          <w:tcPr>
            <w:tcW w:w="1446" w:type="dxa"/>
          </w:tcPr>
          <w:p w14:paraId="5F4ABD6D" w14:textId="77777777" w:rsidR="00711444" w:rsidRPr="004D0DAA" w:rsidRDefault="00711444" w:rsidP="00AA2A4C">
            <w:pPr>
              <w:pStyle w:val="TAC"/>
              <w:rPr>
                <w:lang w:eastAsia="en-US"/>
              </w:rPr>
            </w:pPr>
            <w:r w:rsidRPr="004D0DAA">
              <w:rPr>
                <w:lang w:eastAsia="en-US"/>
              </w:rPr>
              <w:t>100001</w:t>
            </w:r>
          </w:p>
        </w:tc>
        <w:tc>
          <w:tcPr>
            <w:tcW w:w="4239" w:type="dxa"/>
          </w:tcPr>
          <w:p w14:paraId="5151DC2F" w14:textId="77777777" w:rsidR="00711444" w:rsidRPr="004D0DAA" w:rsidRDefault="00711444" w:rsidP="00AA2A4C">
            <w:pPr>
              <w:pStyle w:val="TAL"/>
              <w:rPr>
                <w:lang w:eastAsia="en-US"/>
              </w:rPr>
            </w:pPr>
            <w:r w:rsidRPr="004D0DAA">
              <w:rPr>
                <w:lang w:eastAsia="en-US"/>
              </w:rPr>
              <w:t>(P1 ; P2 ; P2) with padding</w:t>
            </w:r>
          </w:p>
        </w:tc>
      </w:tr>
      <w:tr w:rsidR="00711444" w:rsidRPr="004D0DAA" w14:paraId="03A52297" w14:textId="77777777" w:rsidTr="00AA2A4C">
        <w:tblPrEx>
          <w:tblCellMar>
            <w:top w:w="0" w:type="dxa"/>
            <w:bottom w:w="0" w:type="dxa"/>
          </w:tblCellMar>
        </w:tblPrEx>
        <w:trPr>
          <w:cantSplit/>
          <w:jc w:val="center"/>
        </w:trPr>
        <w:tc>
          <w:tcPr>
            <w:tcW w:w="1446" w:type="dxa"/>
          </w:tcPr>
          <w:p w14:paraId="5132DB58" w14:textId="77777777" w:rsidR="00711444" w:rsidRPr="004D0DAA" w:rsidRDefault="00711444" w:rsidP="00AA2A4C">
            <w:pPr>
              <w:pStyle w:val="TAC"/>
              <w:rPr>
                <w:lang w:eastAsia="en-US"/>
              </w:rPr>
            </w:pPr>
            <w:r w:rsidRPr="004D0DAA">
              <w:rPr>
                <w:lang w:eastAsia="en-US"/>
              </w:rPr>
              <w:t>100010</w:t>
            </w:r>
          </w:p>
        </w:tc>
        <w:tc>
          <w:tcPr>
            <w:tcW w:w="4239" w:type="dxa"/>
          </w:tcPr>
          <w:p w14:paraId="27159FEE" w14:textId="77777777" w:rsidR="00711444" w:rsidRPr="004D0DAA" w:rsidRDefault="00711444" w:rsidP="00AA2A4C">
            <w:pPr>
              <w:pStyle w:val="TAL"/>
              <w:rPr>
                <w:lang w:eastAsia="en-US"/>
              </w:rPr>
            </w:pPr>
            <w:r w:rsidRPr="004D0DAA">
              <w:rPr>
                <w:lang w:eastAsia="en-US"/>
              </w:rPr>
              <w:t>(P1 ; P2 ; P3) with padding</w:t>
            </w:r>
          </w:p>
        </w:tc>
      </w:tr>
      <w:tr w:rsidR="00711444" w:rsidRPr="004D0DAA" w14:paraId="188144D3" w14:textId="77777777" w:rsidTr="00AA2A4C">
        <w:tblPrEx>
          <w:tblCellMar>
            <w:top w:w="0" w:type="dxa"/>
            <w:bottom w:w="0" w:type="dxa"/>
          </w:tblCellMar>
        </w:tblPrEx>
        <w:trPr>
          <w:cantSplit/>
          <w:jc w:val="center"/>
        </w:trPr>
        <w:tc>
          <w:tcPr>
            <w:tcW w:w="1446" w:type="dxa"/>
          </w:tcPr>
          <w:p w14:paraId="712CA603" w14:textId="77777777" w:rsidR="00711444" w:rsidRPr="004D0DAA" w:rsidRDefault="00711444" w:rsidP="00AA2A4C">
            <w:pPr>
              <w:pStyle w:val="TAC"/>
              <w:rPr>
                <w:lang w:eastAsia="en-US"/>
              </w:rPr>
            </w:pPr>
            <w:r w:rsidRPr="004D0DAA">
              <w:rPr>
                <w:lang w:eastAsia="en-US"/>
              </w:rPr>
              <w:t>100011</w:t>
            </w:r>
          </w:p>
        </w:tc>
        <w:tc>
          <w:tcPr>
            <w:tcW w:w="4239" w:type="dxa"/>
          </w:tcPr>
          <w:p w14:paraId="58E9B2E8" w14:textId="77777777" w:rsidR="00711444" w:rsidRPr="004D0DAA" w:rsidRDefault="00711444" w:rsidP="00AA2A4C">
            <w:pPr>
              <w:pStyle w:val="TAL"/>
              <w:rPr>
                <w:lang w:eastAsia="en-US"/>
              </w:rPr>
            </w:pPr>
            <w:r w:rsidRPr="004D0DAA">
              <w:rPr>
                <w:lang w:eastAsia="en-US"/>
              </w:rPr>
              <w:t>(P1 ; P3 ; P1) with padding</w:t>
            </w:r>
          </w:p>
        </w:tc>
      </w:tr>
      <w:tr w:rsidR="00711444" w:rsidRPr="004D0DAA" w14:paraId="257B1349" w14:textId="77777777" w:rsidTr="00AA2A4C">
        <w:tblPrEx>
          <w:tblCellMar>
            <w:top w:w="0" w:type="dxa"/>
            <w:bottom w:w="0" w:type="dxa"/>
          </w:tblCellMar>
        </w:tblPrEx>
        <w:trPr>
          <w:cantSplit/>
          <w:jc w:val="center"/>
        </w:trPr>
        <w:tc>
          <w:tcPr>
            <w:tcW w:w="1446" w:type="dxa"/>
          </w:tcPr>
          <w:p w14:paraId="323A24A0" w14:textId="77777777" w:rsidR="00711444" w:rsidRPr="004D0DAA" w:rsidRDefault="00711444" w:rsidP="00AA2A4C">
            <w:pPr>
              <w:pStyle w:val="TAC"/>
              <w:rPr>
                <w:lang w:eastAsia="en-US"/>
              </w:rPr>
            </w:pPr>
            <w:r w:rsidRPr="004D0DAA">
              <w:rPr>
                <w:lang w:eastAsia="en-US"/>
              </w:rPr>
              <w:t>100100</w:t>
            </w:r>
          </w:p>
        </w:tc>
        <w:tc>
          <w:tcPr>
            <w:tcW w:w="4239" w:type="dxa"/>
          </w:tcPr>
          <w:p w14:paraId="7B9BDD05" w14:textId="77777777" w:rsidR="00711444" w:rsidRPr="004D0DAA" w:rsidRDefault="00711444" w:rsidP="00AA2A4C">
            <w:pPr>
              <w:pStyle w:val="TAL"/>
              <w:rPr>
                <w:lang w:eastAsia="en-US"/>
              </w:rPr>
            </w:pPr>
            <w:r w:rsidRPr="004D0DAA">
              <w:rPr>
                <w:lang w:eastAsia="en-US"/>
              </w:rPr>
              <w:t>(P1 ; P3 ; P2) with padding</w:t>
            </w:r>
          </w:p>
        </w:tc>
      </w:tr>
      <w:tr w:rsidR="00711444" w:rsidRPr="004D0DAA" w14:paraId="1F963CA1" w14:textId="77777777" w:rsidTr="00AA2A4C">
        <w:tblPrEx>
          <w:tblCellMar>
            <w:top w:w="0" w:type="dxa"/>
            <w:bottom w:w="0" w:type="dxa"/>
          </w:tblCellMar>
        </w:tblPrEx>
        <w:trPr>
          <w:cantSplit/>
          <w:jc w:val="center"/>
        </w:trPr>
        <w:tc>
          <w:tcPr>
            <w:tcW w:w="1446" w:type="dxa"/>
          </w:tcPr>
          <w:p w14:paraId="7D9FA4C4" w14:textId="77777777" w:rsidR="00711444" w:rsidRPr="004D0DAA" w:rsidRDefault="00711444" w:rsidP="00AA2A4C">
            <w:pPr>
              <w:pStyle w:val="TAC"/>
              <w:rPr>
                <w:lang w:eastAsia="en-US"/>
              </w:rPr>
            </w:pPr>
            <w:r w:rsidRPr="004D0DAA">
              <w:rPr>
                <w:lang w:eastAsia="en-US"/>
              </w:rPr>
              <w:t>100101</w:t>
            </w:r>
          </w:p>
        </w:tc>
        <w:tc>
          <w:tcPr>
            <w:tcW w:w="4239" w:type="dxa"/>
          </w:tcPr>
          <w:p w14:paraId="7080FDD1" w14:textId="77777777" w:rsidR="00711444" w:rsidRPr="004D0DAA" w:rsidRDefault="00711444" w:rsidP="00AA2A4C">
            <w:pPr>
              <w:pStyle w:val="TAL"/>
              <w:rPr>
                <w:lang w:eastAsia="en-US"/>
              </w:rPr>
            </w:pPr>
            <w:r w:rsidRPr="004D0DAA">
              <w:rPr>
                <w:lang w:eastAsia="en-US"/>
              </w:rPr>
              <w:t>(P1 ; P3 ; P3) with padding</w:t>
            </w:r>
          </w:p>
        </w:tc>
      </w:tr>
      <w:tr w:rsidR="00711444" w:rsidRPr="004D0DAA" w14:paraId="4ABDD931" w14:textId="77777777" w:rsidTr="00AA2A4C">
        <w:tblPrEx>
          <w:tblCellMar>
            <w:top w:w="0" w:type="dxa"/>
            <w:bottom w:w="0" w:type="dxa"/>
          </w:tblCellMar>
        </w:tblPrEx>
        <w:trPr>
          <w:cantSplit/>
          <w:jc w:val="center"/>
        </w:trPr>
        <w:tc>
          <w:tcPr>
            <w:tcW w:w="1446" w:type="dxa"/>
          </w:tcPr>
          <w:p w14:paraId="61A0B026" w14:textId="77777777" w:rsidR="00711444" w:rsidRPr="004D0DAA" w:rsidRDefault="00711444" w:rsidP="00AA2A4C">
            <w:pPr>
              <w:pStyle w:val="TAC"/>
              <w:rPr>
                <w:lang w:eastAsia="en-US"/>
              </w:rPr>
            </w:pPr>
            <w:r w:rsidRPr="004D0DAA">
              <w:rPr>
                <w:lang w:eastAsia="en-US"/>
              </w:rPr>
              <w:t>100110</w:t>
            </w:r>
          </w:p>
        </w:tc>
        <w:tc>
          <w:tcPr>
            <w:tcW w:w="4239" w:type="dxa"/>
          </w:tcPr>
          <w:p w14:paraId="6C927C77" w14:textId="77777777" w:rsidR="00711444" w:rsidRPr="004D0DAA" w:rsidRDefault="00711444" w:rsidP="00AA2A4C">
            <w:pPr>
              <w:pStyle w:val="TAL"/>
              <w:rPr>
                <w:lang w:eastAsia="en-US"/>
              </w:rPr>
            </w:pPr>
            <w:r w:rsidRPr="004D0DAA">
              <w:rPr>
                <w:lang w:eastAsia="en-US"/>
              </w:rPr>
              <w:t>(P2 ; P1 ; P1) with padding</w:t>
            </w:r>
          </w:p>
        </w:tc>
      </w:tr>
      <w:tr w:rsidR="00711444" w:rsidRPr="004D0DAA" w14:paraId="29FA4E5B" w14:textId="77777777" w:rsidTr="00AA2A4C">
        <w:tblPrEx>
          <w:tblCellMar>
            <w:top w:w="0" w:type="dxa"/>
            <w:bottom w:w="0" w:type="dxa"/>
          </w:tblCellMar>
        </w:tblPrEx>
        <w:trPr>
          <w:cantSplit/>
          <w:jc w:val="center"/>
        </w:trPr>
        <w:tc>
          <w:tcPr>
            <w:tcW w:w="1446" w:type="dxa"/>
          </w:tcPr>
          <w:p w14:paraId="7041FF4B" w14:textId="77777777" w:rsidR="00711444" w:rsidRPr="004D0DAA" w:rsidRDefault="00711444" w:rsidP="00AA2A4C">
            <w:pPr>
              <w:pStyle w:val="TAC"/>
              <w:rPr>
                <w:lang w:eastAsia="en-US"/>
              </w:rPr>
            </w:pPr>
            <w:r w:rsidRPr="004D0DAA">
              <w:rPr>
                <w:lang w:eastAsia="en-US"/>
              </w:rPr>
              <w:t>100111</w:t>
            </w:r>
          </w:p>
        </w:tc>
        <w:tc>
          <w:tcPr>
            <w:tcW w:w="4239" w:type="dxa"/>
          </w:tcPr>
          <w:p w14:paraId="2EEBDFED" w14:textId="77777777" w:rsidR="00711444" w:rsidRPr="004D0DAA" w:rsidRDefault="00711444" w:rsidP="00AA2A4C">
            <w:pPr>
              <w:pStyle w:val="TAL"/>
              <w:rPr>
                <w:lang w:eastAsia="en-US"/>
              </w:rPr>
            </w:pPr>
            <w:r w:rsidRPr="004D0DAA">
              <w:rPr>
                <w:lang w:eastAsia="en-US"/>
              </w:rPr>
              <w:t>(P2 ; P1 ; P2) with padding</w:t>
            </w:r>
          </w:p>
        </w:tc>
      </w:tr>
      <w:tr w:rsidR="00711444" w:rsidRPr="004D0DAA" w14:paraId="37AEEE01" w14:textId="77777777" w:rsidTr="00AA2A4C">
        <w:tblPrEx>
          <w:tblCellMar>
            <w:top w:w="0" w:type="dxa"/>
            <w:bottom w:w="0" w:type="dxa"/>
          </w:tblCellMar>
        </w:tblPrEx>
        <w:trPr>
          <w:cantSplit/>
          <w:jc w:val="center"/>
        </w:trPr>
        <w:tc>
          <w:tcPr>
            <w:tcW w:w="1446" w:type="dxa"/>
          </w:tcPr>
          <w:p w14:paraId="029CC8F0" w14:textId="77777777" w:rsidR="00711444" w:rsidRPr="004D0DAA" w:rsidRDefault="00711444" w:rsidP="00AA2A4C">
            <w:pPr>
              <w:pStyle w:val="TAC"/>
              <w:rPr>
                <w:lang w:eastAsia="en-US"/>
              </w:rPr>
            </w:pPr>
            <w:r w:rsidRPr="004D0DAA">
              <w:rPr>
                <w:lang w:eastAsia="en-US"/>
              </w:rPr>
              <w:t>101000</w:t>
            </w:r>
          </w:p>
        </w:tc>
        <w:tc>
          <w:tcPr>
            <w:tcW w:w="4239" w:type="dxa"/>
          </w:tcPr>
          <w:p w14:paraId="53D5446D" w14:textId="77777777" w:rsidR="00711444" w:rsidRPr="004D0DAA" w:rsidRDefault="00711444" w:rsidP="00AA2A4C">
            <w:pPr>
              <w:pStyle w:val="TAL"/>
              <w:rPr>
                <w:lang w:eastAsia="en-US"/>
              </w:rPr>
            </w:pPr>
            <w:r w:rsidRPr="004D0DAA">
              <w:rPr>
                <w:lang w:eastAsia="en-US"/>
              </w:rPr>
              <w:t>(P2 ; P1 ; P3) with padding</w:t>
            </w:r>
          </w:p>
        </w:tc>
      </w:tr>
      <w:tr w:rsidR="00711444" w:rsidRPr="004D0DAA" w14:paraId="531055CF" w14:textId="77777777" w:rsidTr="00AA2A4C">
        <w:tblPrEx>
          <w:tblCellMar>
            <w:top w:w="0" w:type="dxa"/>
            <w:bottom w:w="0" w:type="dxa"/>
          </w:tblCellMar>
        </w:tblPrEx>
        <w:trPr>
          <w:cantSplit/>
          <w:jc w:val="center"/>
        </w:trPr>
        <w:tc>
          <w:tcPr>
            <w:tcW w:w="1446" w:type="dxa"/>
          </w:tcPr>
          <w:p w14:paraId="4CED7620" w14:textId="77777777" w:rsidR="00711444" w:rsidRPr="004D0DAA" w:rsidRDefault="00711444" w:rsidP="00AA2A4C">
            <w:pPr>
              <w:pStyle w:val="TAC"/>
              <w:rPr>
                <w:lang w:eastAsia="en-US"/>
              </w:rPr>
            </w:pPr>
            <w:r w:rsidRPr="004D0DAA">
              <w:rPr>
                <w:lang w:eastAsia="en-US"/>
              </w:rPr>
              <w:t>101001</w:t>
            </w:r>
          </w:p>
        </w:tc>
        <w:tc>
          <w:tcPr>
            <w:tcW w:w="4239" w:type="dxa"/>
          </w:tcPr>
          <w:p w14:paraId="4CD99AB1" w14:textId="77777777" w:rsidR="00711444" w:rsidRPr="004D0DAA" w:rsidRDefault="00711444" w:rsidP="00AA2A4C">
            <w:pPr>
              <w:pStyle w:val="TAL"/>
              <w:rPr>
                <w:lang w:eastAsia="en-US"/>
              </w:rPr>
            </w:pPr>
            <w:r w:rsidRPr="004D0DAA">
              <w:rPr>
                <w:lang w:eastAsia="en-US"/>
              </w:rPr>
              <w:t>(P2 ; P2 ; P1) with padding</w:t>
            </w:r>
          </w:p>
        </w:tc>
      </w:tr>
      <w:tr w:rsidR="00711444" w:rsidRPr="004D0DAA" w14:paraId="3AF2503D" w14:textId="77777777" w:rsidTr="00AA2A4C">
        <w:tblPrEx>
          <w:tblCellMar>
            <w:top w:w="0" w:type="dxa"/>
            <w:bottom w:w="0" w:type="dxa"/>
          </w:tblCellMar>
        </w:tblPrEx>
        <w:trPr>
          <w:cantSplit/>
          <w:jc w:val="center"/>
        </w:trPr>
        <w:tc>
          <w:tcPr>
            <w:tcW w:w="1446" w:type="dxa"/>
          </w:tcPr>
          <w:p w14:paraId="34B8DA6A" w14:textId="77777777" w:rsidR="00711444" w:rsidRPr="004D0DAA" w:rsidRDefault="00711444" w:rsidP="00AA2A4C">
            <w:pPr>
              <w:pStyle w:val="TAC"/>
              <w:rPr>
                <w:lang w:eastAsia="en-US"/>
              </w:rPr>
            </w:pPr>
            <w:r w:rsidRPr="004D0DAA">
              <w:rPr>
                <w:lang w:eastAsia="en-US"/>
              </w:rPr>
              <w:t>101010</w:t>
            </w:r>
          </w:p>
        </w:tc>
        <w:tc>
          <w:tcPr>
            <w:tcW w:w="4239" w:type="dxa"/>
          </w:tcPr>
          <w:p w14:paraId="329FE3C8" w14:textId="77777777" w:rsidR="00711444" w:rsidRPr="004D0DAA" w:rsidRDefault="00711444" w:rsidP="00AA2A4C">
            <w:pPr>
              <w:pStyle w:val="TAL"/>
              <w:rPr>
                <w:lang w:eastAsia="en-US"/>
              </w:rPr>
            </w:pPr>
            <w:r w:rsidRPr="004D0DAA">
              <w:rPr>
                <w:lang w:eastAsia="en-US"/>
              </w:rPr>
              <w:t>(P2 ; P2 ; P2) with padding</w:t>
            </w:r>
          </w:p>
        </w:tc>
      </w:tr>
      <w:tr w:rsidR="00711444" w:rsidRPr="004D0DAA" w14:paraId="76D51567" w14:textId="77777777" w:rsidTr="00AA2A4C">
        <w:tblPrEx>
          <w:tblCellMar>
            <w:top w:w="0" w:type="dxa"/>
            <w:bottom w:w="0" w:type="dxa"/>
          </w:tblCellMar>
        </w:tblPrEx>
        <w:trPr>
          <w:cantSplit/>
          <w:jc w:val="center"/>
        </w:trPr>
        <w:tc>
          <w:tcPr>
            <w:tcW w:w="1446" w:type="dxa"/>
          </w:tcPr>
          <w:p w14:paraId="7CFD132A" w14:textId="77777777" w:rsidR="00711444" w:rsidRPr="004D0DAA" w:rsidRDefault="00711444" w:rsidP="00AA2A4C">
            <w:pPr>
              <w:pStyle w:val="TAC"/>
              <w:rPr>
                <w:lang w:eastAsia="en-US"/>
              </w:rPr>
            </w:pPr>
            <w:r w:rsidRPr="004D0DAA">
              <w:rPr>
                <w:lang w:eastAsia="en-US"/>
              </w:rPr>
              <w:t>101011</w:t>
            </w:r>
          </w:p>
        </w:tc>
        <w:tc>
          <w:tcPr>
            <w:tcW w:w="4239" w:type="dxa"/>
          </w:tcPr>
          <w:p w14:paraId="13D53EC0" w14:textId="77777777" w:rsidR="00711444" w:rsidRPr="004D0DAA" w:rsidRDefault="00711444" w:rsidP="00AA2A4C">
            <w:pPr>
              <w:pStyle w:val="TAL"/>
              <w:rPr>
                <w:lang w:eastAsia="en-US"/>
              </w:rPr>
            </w:pPr>
            <w:r w:rsidRPr="004D0DAA">
              <w:rPr>
                <w:lang w:eastAsia="en-US"/>
              </w:rPr>
              <w:t>(P2 ; P2 ; P3) with padding</w:t>
            </w:r>
          </w:p>
        </w:tc>
      </w:tr>
      <w:tr w:rsidR="00711444" w:rsidRPr="004D0DAA" w14:paraId="74CC037E" w14:textId="77777777" w:rsidTr="00AA2A4C">
        <w:tblPrEx>
          <w:tblCellMar>
            <w:top w:w="0" w:type="dxa"/>
            <w:bottom w:w="0" w:type="dxa"/>
          </w:tblCellMar>
        </w:tblPrEx>
        <w:trPr>
          <w:cantSplit/>
          <w:jc w:val="center"/>
        </w:trPr>
        <w:tc>
          <w:tcPr>
            <w:tcW w:w="1446" w:type="dxa"/>
          </w:tcPr>
          <w:p w14:paraId="67A2FF76" w14:textId="77777777" w:rsidR="00711444" w:rsidRPr="004D0DAA" w:rsidRDefault="00711444" w:rsidP="00AA2A4C">
            <w:pPr>
              <w:pStyle w:val="TAC"/>
              <w:rPr>
                <w:lang w:eastAsia="en-US"/>
              </w:rPr>
            </w:pPr>
            <w:r w:rsidRPr="004D0DAA">
              <w:rPr>
                <w:lang w:eastAsia="en-US"/>
              </w:rPr>
              <w:t>101100</w:t>
            </w:r>
          </w:p>
        </w:tc>
        <w:tc>
          <w:tcPr>
            <w:tcW w:w="4239" w:type="dxa"/>
          </w:tcPr>
          <w:p w14:paraId="732F3332" w14:textId="77777777" w:rsidR="00711444" w:rsidRPr="004D0DAA" w:rsidRDefault="00711444" w:rsidP="00AA2A4C">
            <w:pPr>
              <w:pStyle w:val="TAL"/>
              <w:rPr>
                <w:lang w:eastAsia="en-US"/>
              </w:rPr>
            </w:pPr>
            <w:r w:rsidRPr="004D0DAA">
              <w:rPr>
                <w:lang w:eastAsia="en-US"/>
              </w:rPr>
              <w:t>(P2 ; P3 ; P1) with padding</w:t>
            </w:r>
          </w:p>
        </w:tc>
      </w:tr>
      <w:tr w:rsidR="00711444" w:rsidRPr="004D0DAA" w14:paraId="60F0A504" w14:textId="77777777" w:rsidTr="00AA2A4C">
        <w:tblPrEx>
          <w:tblCellMar>
            <w:top w:w="0" w:type="dxa"/>
            <w:bottom w:w="0" w:type="dxa"/>
          </w:tblCellMar>
        </w:tblPrEx>
        <w:trPr>
          <w:cantSplit/>
          <w:jc w:val="center"/>
        </w:trPr>
        <w:tc>
          <w:tcPr>
            <w:tcW w:w="1446" w:type="dxa"/>
          </w:tcPr>
          <w:p w14:paraId="51AEDC34" w14:textId="77777777" w:rsidR="00711444" w:rsidRPr="004D0DAA" w:rsidRDefault="00711444" w:rsidP="00AA2A4C">
            <w:pPr>
              <w:pStyle w:val="TAC"/>
              <w:rPr>
                <w:lang w:eastAsia="en-US"/>
              </w:rPr>
            </w:pPr>
            <w:r w:rsidRPr="004D0DAA">
              <w:rPr>
                <w:lang w:eastAsia="en-US"/>
              </w:rPr>
              <w:t>101101</w:t>
            </w:r>
          </w:p>
        </w:tc>
        <w:tc>
          <w:tcPr>
            <w:tcW w:w="4239" w:type="dxa"/>
          </w:tcPr>
          <w:p w14:paraId="3C42923B" w14:textId="77777777" w:rsidR="00711444" w:rsidRPr="004D0DAA" w:rsidRDefault="00711444" w:rsidP="00AA2A4C">
            <w:pPr>
              <w:pStyle w:val="TAL"/>
              <w:rPr>
                <w:lang w:eastAsia="en-US"/>
              </w:rPr>
            </w:pPr>
            <w:r w:rsidRPr="004D0DAA">
              <w:rPr>
                <w:lang w:eastAsia="en-US"/>
              </w:rPr>
              <w:t>(P2 ; P3 ; P2) with padding</w:t>
            </w:r>
          </w:p>
        </w:tc>
      </w:tr>
      <w:tr w:rsidR="00711444" w:rsidRPr="004D0DAA" w14:paraId="1C5887C0" w14:textId="77777777" w:rsidTr="00AA2A4C">
        <w:tblPrEx>
          <w:tblCellMar>
            <w:top w:w="0" w:type="dxa"/>
            <w:bottom w:w="0" w:type="dxa"/>
          </w:tblCellMar>
        </w:tblPrEx>
        <w:trPr>
          <w:cantSplit/>
          <w:jc w:val="center"/>
        </w:trPr>
        <w:tc>
          <w:tcPr>
            <w:tcW w:w="1446" w:type="dxa"/>
          </w:tcPr>
          <w:p w14:paraId="0AF78484" w14:textId="77777777" w:rsidR="00711444" w:rsidRPr="004D0DAA" w:rsidRDefault="00711444" w:rsidP="00AA2A4C">
            <w:pPr>
              <w:pStyle w:val="TAC"/>
              <w:rPr>
                <w:lang w:eastAsia="en-US"/>
              </w:rPr>
            </w:pPr>
            <w:r w:rsidRPr="004D0DAA">
              <w:rPr>
                <w:lang w:eastAsia="en-US"/>
              </w:rPr>
              <w:t>101110</w:t>
            </w:r>
          </w:p>
        </w:tc>
        <w:tc>
          <w:tcPr>
            <w:tcW w:w="4239" w:type="dxa"/>
          </w:tcPr>
          <w:p w14:paraId="54A36B4F" w14:textId="77777777" w:rsidR="00711444" w:rsidRPr="004D0DAA" w:rsidRDefault="00711444" w:rsidP="00AA2A4C">
            <w:pPr>
              <w:pStyle w:val="TAL"/>
              <w:rPr>
                <w:lang w:eastAsia="en-US"/>
              </w:rPr>
            </w:pPr>
            <w:r w:rsidRPr="004D0DAA">
              <w:rPr>
                <w:lang w:eastAsia="en-US"/>
              </w:rPr>
              <w:t>(P2 ; P3 ; P3) with padding</w:t>
            </w:r>
          </w:p>
        </w:tc>
      </w:tr>
      <w:tr w:rsidR="00711444" w:rsidRPr="004D0DAA" w14:paraId="03C94436" w14:textId="77777777" w:rsidTr="00AA2A4C">
        <w:tblPrEx>
          <w:tblCellMar>
            <w:top w:w="0" w:type="dxa"/>
            <w:bottom w:w="0" w:type="dxa"/>
          </w:tblCellMar>
        </w:tblPrEx>
        <w:trPr>
          <w:cantSplit/>
          <w:jc w:val="center"/>
        </w:trPr>
        <w:tc>
          <w:tcPr>
            <w:tcW w:w="1446" w:type="dxa"/>
          </w:tcPr>
          <w:p w14:paraId="0B5C8042" w14:textId="77777777" w:rsidR="00711444" w:rsidRPr="004D0DAA" w:rsidRDefault="00711444" w:rsidP="00AA2A4C">
            <w:pPr>
              <w:pStyle w:val="TAC"/>
              <w:rPr>
                <w:lang w:eastAsia="en-US"/>
              </w:rPr>
            </w:pPr>
            <w:r w:rsidRPr="004D0DAA">
              <w:rPr>
                <w:lang w:eastAsia="en-US"/>
              </w:rPr>
              <w:t>101111</w:t>
            </w:r>
          </w:p>
        </w:tc>
        <w:tc>
          <w:tcPr>
            <w:tcW w:w="4239" w:type="dxa"/>
          </w:tcPr>
          <w:p w14:paraId="76B11D98" w14:textId="77777777" w:rsidR="00711444" w:rsidRPr="004D0DAA" w:rsidRDefault="00711444" w:rsidP="00AA2A4C">
            <w:pPr>
              <w:pStyle w:val="TAL"/>
              <w:rPr>
                <w:lang w:eastAsia="en-US"/>
              </w:rPr>
            </w:pPr>
            <w:r w:rsidRPr="004D0DAA">
              <w:rPr>
                <w:lang w:eastAsia="en-US"/>
              </w:rPr>
              <w:t>(P3 ; P1 ; P1) with padding</w:t>
            </w:r>
          </w:p>
        </w:tc>
      </w:tr>
      <w:tr w:rsidR="00711444" w:rsidRPr="004D0DAA" w14:paraId="6F5D1CA8" w14:textId="77777777" w:rsidTr="00AA2A4C">
        <w:tblPrEx>
          <w:tblCellMar>
            <w:top w:w="0" w:type="dxa"/>
            <w:bottom w:w="0" w:type="dxa"/>
          </w:tblCellMar>
        </w:tblPrEx>
        <w:trPr>
          <w:cantSplit/>
          <w:jc w:val="center"/>
        </w:trPr>
        <w:tc>
          <w:tcPr>
            <w:tcW w:w="1446" w:type="dxa"/>
          </w:tcPr>
          <w:p w14:paraId="5B4A85FC" w14:textId="77777777" w:rsidR="00711444" w:rsidRPr="004D0DAA" w:rsidRDefault="00711444" w:rsidP="00AA2A4C">
            <w:pPr>
              <w:pStyle w:val="TAC"/>
              <w:rPr>
                <w:lang w:eastAsia="en-US"/>
              </w:rPr>
            </w:pPr>
            <w:r w:rsidRPr="004D0DAA">
              <w:rPr>
                <w:lang w:eastAsia="en-US"/>
              </w:rPr>
              <w:t>110000</w:t>
            </w:r>
          </w:p>
        </w:tc>
        <w:tc>
          <w:tcPr>
            <w:tcW w:w="4239" w:type="dxa"/>
          </w:tcPr>
          <w:p w14:paraId="5503017E" w14:textId="77777777" w:rsidR="00711444" w:rsidRPr="004D0DAA" w:rsidRDefault="00711444" w:rsidP="00AA2A4C">
            <w:pPr>
              <w:pStyle w:val="TAL"/>
              <w:rPr>
                <w:lang w:eastAsia="en-US"/>
              </w:rPr>
            </w:pPr>
            <w:r w:rsidRPr="004D0DAA">
              <w:rPr>
                <w:lang w:eastAsia="en-US"/>
              </w:rPr>
              <w:t>(P3 ; P1 ; P2) with padding</w:t>
            </w:r>
          </w:p>
        </w:tc>
      </w:tr>
      <w:tr w:rsidR="00711444" w:rsidRPr="004D0DAA" w14:paraId="15B9499E" w14:textId="77777777" w:rsidTr="00AA2A4C">
        <w:tblPrEx>
          <w:tblCellMar>
            <w:top w:w="0" w:type="dxa"/>
            <w:bottom w:w="0" w:type="dxa"/>
          </w:tblCellMar>
        </w:tblPrEx>
        <w:trPr>
          <w:cantSplit/>
          <w:jc w:val="center"/>
        </w:trPr>
        <w:tc>
          <w:tcPr>
            <w:tcW w:w="1446" w:type="dxa"/>
          </w:tcPr>
          <w:p w14:paraId="622149B9" w14:textId="77777777" w:rsidR="00711444" w:rsidRPr="004D0DAA" w:rsidRDefault="00711444" w:rsidP="00AA2A4C">
            <w:pPr>
              <w:pStyle w:val="TAC"/>
              <w:rPr>
                <w:lang w:eastAsia="en-US"/>
              </w:rPr>
            </w:pPr>
            <w:r w:rsidRPr="004D0DAA">
              <w:rPr>
                <w:lang w:eastAsia="en-US"/>
              </w:rPr>
              <w:t>110001</w:t>
            </w:r>
          </w:p>
        </w:tc>
        <w:tc>
          <w:tcPr>
            <w:tcW w:w="4239" w:type="dxa"/>
          </w:tcPr>
          <w:p w14:paraId="32161F3E" w14:textId="77777777" w:rsidR="00711444" w:rsidRPr="004D0DAA" w:rsidRDefault="00711444" w:rsidP="00AA2A4C">
            <w:pPr>
              <w:pStyle w:val="TAL"/>
              <w:rPr>
                <w:lang w:eastAsia="en-US"/>
              </w:rPr>
            </w:pPr>
            <w:r w:rsidRPr="004D0DAA">
              <w:rPr>
                <w:lang w:eastAsia="en-US"/>
              </w:rPr>
              <w:t>(P3 ; P1 ; P3) with padding</w:t>
            </w:r>
          </w:p>
        </w:tc>
      </w:tr>
      <w:tr w:rsidR="00711444" w:rsidRPr="004D0DAA" w14:paraId="0BDB87EC" w14:textId="77777777" w:rsidTr="00AA2A4C">
        <w:tblPrEx>
          <w:tblCellMar>
            <w:top w:w="0" w:type="dxa"/>
            <w:bottom w:w="0" w:type="dxa"/>
          </w:tblCellMar>
        </w:tblPrEx>
        <w:trPr>
          <w:cantSplit/>
          <w:jc w:val="center"/>
        </w:trPr>
        <w:tc>
          <w:tcPr>
            <w:tcW w:w="1446" w:type="dxa"/>
          </w:tcPr>
          <w:p w14:paraId="0049FFCE" w14:textId="77777777" w:rsidR="00711444" w:rsidRPr="004D0DAA" w:rsidRDefault="00711444" w:rsidP="00AA2A4C">
            <w:pPr>
              <w:pStyle w:val="TAC"/>
              <w:rPr>
                <w:lang w:eastAsia="en-US"/>
              </w:rPr>
            </w:pPr>
            <w:r w:rsidRPr="004D0DAA">
              <w:rPr>
                <w:lang w:eastAsia="en-US"/>
              </w:rPr>
              <w:t>110010</w:t>
            </w:r>
          </w:p>
        </w:tc>
        <w:tc>
          <w:tcPr>
            <w:tcW w:w="4239" w:type="dxa"/>
          </w:tcPr>
          <w:p w14:paraId="31E7274D" w14:textId="77777777" w:rsidR="00711444" w:rsidRPr="004D0DAA" w:rsidRDefault="00711444" w:rsidP="00AA2A4C">
            <w:pPr>
              <w:pStyle w:val="TAL"/>
              <w:rPr>
                <w:lang w:eastAsia="en-US"/>
              </w:rPr>
            </w:pPr>
            <w:r w:rsidRPr="004D0DAA">
              <w:rPr>
                <w:lang w:eastAsia="en-US"/>
              </w:rPr>
              <w:t>(P3 ; P2 ; P1) with padding</w:t>
            </w:r>
          </w:p>
        </w:tc>
      </w:tr>
      <w:tr w:rsidR="00711444" w:rsidRPr="004D0DAA" w14:paraId="13DC1E18" w14:textId="77777777" w:rsidTr="00AA2A4C">
        <w:tblPrEx>
          <w:tblCellMar>
            <w:top w:w="0" w:type="dxa"/>
            <w:bottom w:w="0" w:type="dxa"/>
          </w:tblCellMar>
        </w:tblPrEx>
        <w:trPr>
          <w:cantSplit/>
          <w:jc w:val="center"/>
        </w:trPr>
        <w:tc>
          <w:tcPr>
            <w:tcW w:w="1446" w:type="dxa"/>
          </w:tcPr>
          <w:p w14:paraId="7FFA2D84" w14:textId="77777777" w:rsidR="00711444" w:rsidRPr="004D0DAA" w:rsidRDefault="00711444" w:rsidP="00AA2A4C">
            <w:pPr>
              <w:pStyle w:val="TAC"/>
              <w:rPr>
                <w:lang w:eastAsia="en-US"/>
              </w:rPr>
            </w:pPr>
            <w:r w:rsidRPr="004D0DAA">
              <w:rPr>
                <w:lang w:eastAsia="en-US"/>
              </w:rPr>
              <w:t>110011</w:t>
            </w:r>
          </w:p>
        </w:tc>
        <w:tc>
          <w:tcPr>
            <w:tcW w:w="4239" w:type="dxa"/>
          </w:tcPr>
          <w:p w14:paraId="3BB1176A" w14:textId="77777777" w:rsidR="00711444" w:rsidRPr="004D0DAA" w:rsidRDefault="00711444" w:rsidP="00AA2A4C">
            <w:pPr>
              <w:pStyle w:val="TAL"/>
              <w:rPr>
                <w:lang w:eastAsia="en-US"/>
              </w:rPr>
            </w:pPr>
            <w:r w:rsidRPr="004D0DAA">
              <w:rPr>
                <w:lang w:eastAsia="en-US"/>
              </w:rPr>
              <w:t>(P3 ; P2 ; P2) with padding</w:t>
            </w:r>
          </w:p>
        </w:tc>
      </w:tr>
      <w:tr w:rsidR="00711444" w:rsidRPr="004D0DAA" w14:paraId="3EE66AAA" w14:textId="77777777" w:rsidTr="00AA2A4C">
        <w:tblPrEx>
          <w:tblCellMar>
            <w:top w:w="0" w:type="dxa"/>
            <w:bottom w:w="0" w:type="dxa"/>
          </w:tblCellMar>
        </w:tblPrEx>
        <w:trPr>
          <w:cantSplit/>
          <w:jc w:val="center"/>
        </w:trPr>
        <w:tc>
          <w:tcPr>
            <w:tcW w:w="1446" w:type="dxa"/>
          </w:tcPr>
          <w:p w14:paraId="7E7B375C" w14:textId="77777777" w:rsidR="00711444" w:rsidRPr="004D0DAA" w:rsidRDefault="00711444" w:rsidP="00AA2A4C">
            <w:pPr>
              <w:pStyle w:val="TAC"/>
              <w:rPr>
                <w:lang w:eastAsia="en-US"/>
              </w:rPr>
            </w:pPr>
            <w:r w:rsidRPr="004D0DAA">
              <w:rPr>
                <w:lang w:eastAsia="en-US"/>
              </w:rPr>
              <w:t>110100</w:t>
            </w:r>
          </w:p>
        </w:tc>
        <w:tc>
          <w:tcPr>
            <w:tcW w:w="4239" w:type="dxa"/>
          </w:tcPr>
          <w:p w14:paraId="5807D0E9" w14:textId="77777777" w:rsidR="00711444" w:rsidRPr="004D0DAA" w:rsidRDefault="00711444" w:rsidP="00AA2A4C">
            <w:pPr>
              <w:pStyle w:val="TAL"/>
              <w:rPr>
                <w:lang w:eastAsia="en-US"/>
              </w:rPr>
            </w:pPr>
            <w:r w:rsidRPr="004D0DAA">
              <w:rPr>
                <w:lang w:eastAsia="en-US"/>
              </w:rPr>
              <w:t>(P3 ; P2 ; P3) with padding</w:t>
            </w:r>
          </w:p>
        </w:tc>
      </w:tr>
      <w:tr w:rsidR="00711444" w:rsidRPr="004D0DAA" w14:paraId="451E7E0A" w14:textId="77777777" w:rsidTr="00AA2A4C">
        <w:tblPrEx>
          <w:tblCellMar>
            <w:top w:w="0" w:type="dxa"/>
            <w:bottom w:w="0" w:type="dxa"/>
          </w:tblCellMar>
        </w:tblPrEx>
        <w:trPr>
          <w:cantSplit/>
          <w:jc w:val="center"/>
        </w:trPr>
        <w:tc>
          <w:tcPr>
            <w:tcW w:w="1446" w:type="dxa"/>
          </w:tcPr>
          <w:p w14:paraId="2896C471" w14:textId="77777777" w:rsidR="00711444" w:rsidRPr="004D0DAA" w:rsidRDefault="00711444" w:rsidP="00AA2A4C">
            <w:pPr>
              <w:pStyle w:val="TAC"/>
              <w:rPr>
                <w:lang w:eastAsia="en-US"/>
              </w:rPr>
            </w:pPr>
            <w:r w:rsidRPr="004D0DAA">
              <w:rPr>
                <w:lang w:eastAsia="en-US"/>
              </w:rPr>
              <w:t>110101</w:t>
            </w:r>
          </w:p>
        </w:tc>
        <w:tc>
          <w:tcPr>
            <w:tcW w:w="4239" w:type="dxa"/>
          </w:tcPr>
          <w:p w14:paraId="3AFADDDF" w14:textId="77777777" w:rsidR="00711444" w:rsidRPr="004D0DAA" w:rsidRDefault="00711444" w:rsidP="00AA2A4C">
            <w:pPr>
              <w:pStyle w:val="TAL"/>
              <w:rPr>
                <w:lang w:eastAsia="en-US"/>
              </w:rPr>
            </w:pPr>
            <w:r w:rsidRPr="004D0DAA">
              <w:rPr>
                <w:lang w:eastAsia="en-US"/>
              </w:rPr>
              <w:t>(P3 ; P3 ; P1) with padding</w:t>
            </w:r>
          </w:p>
        </w:tc>
      </w:tr>
      <w:tr w:rsidR="00711444" w:rsidRPr="004D0DAA" w14:paraId="79603612" w14:textId="77777777" w:rsidTr="00AA2A4C">
        <w:tblPrEx>
          <w:tblCellMar>
            <w:top w:w="0" w:type="dxa"/>
            <w:bottom w:w="0" w:type="dxa"/>
          </w:tblCellMar>
        </w:tblPrEx>
        <w:trPr>
          <w:cantSplit/>
          <w:jc w:val="center"/>
        </w:trPr>
        <w:tc>
          <w:tcPr>
            <w:tcW w:w="1446" w:type="dxa"/>
          </w:tcPr>
          <w:p w14:paraId="3DD63128" w14:textId="77777777" w:rsidR="00711444" w:rsidRPr="004D0DAA" w:rsidRDefault="00711444" w:rsidP="00AA2A4C">
            <w:pPr>
              <w:pStyle w:val="TAC"/>
              <w:rPr>
                <w:lang w:eastAsia="en-US"/>
              </w:rPr>
            </w:pPr>
            <w:r w:rsidRPr="004D0DAA">
              <w:rPr>
                <w:lang w:eastAsia="en-US"/>
              </w:rPr>
              <w:t>110110</w:t>
            </w:r>
          </w:p>
        </w:tc>
        <w:tc>
          <w:tcPr>
            <w:tcW w:w="4239" w:type="dxa"/>
          </w:tcPr>
          <w:p w14:paraId="5D28981B" w14:textId="77777777" w:rsidR="00711444" w:rsidRPr="004D0DAA" w:rsidRDefault="00711444" w:rsidP="00AA2A4C">
            <w:pPr>
              <w:pStyle w:val="TAL"/>
              <w:rPr>
                <w:lang w:eastAsia="en-US"/>
              </w:rPr>
            </w:pPr>
            <w:r w:rsidRPr="004D0DAA">
              <w:rPr>
                <w:lang w:eastAsia="en-US"/>
              </w:rPr>
              <w:t>(P3 ; P3 ; P2) with padding</w:t>
            </w:r>
          </w:p>
        </w:tc>
      </w:tr>
      <w:tr w:rsidR="00711444" w:rsidRPr="004D0DAA" w14:paraId="3737A205" w14:textId="77777777" w:rsidTr="00AA2A4C">
        <w:tblPrEx>
          <w:tblCellMar>
            <w:top w:w="0" w:type="dxa"/>
            <w:bottom w:w="0" w:type="dxa"/>
          </w:tblCellMar>
        </w:tblPrEx>
        <w:trPr>
          <w:cantSplit/>
          <w:jc w:val="center"/>
        </w:trPr>
        <w:tc>
          <w:tcPr>
            <w:tcW w:w="1446" w:type="dxa"/>
          </w:tcPr>
          <w:p w14:paraId="7B0750D0" w14:textId="77777777" w:rsidR="00711444" w:rsidRPr="004D0DAA" w:rsidRDefault="00711444" w:rsidP="00AA2A4C">
            <w:pPr>
              <w:pStyle w:val="TAC"/>
              <w:rPr>
                <w:lang w:eastAsia="en-US"/>
              </w:rPr>
            </w:pPr>
            <w:r w:rsidRPr="004D0DAA">
              <w:rPr>
                <w:lang w:eastAsia="en-US"/>
              </w:rPr>
              <w:t>110111</w:t>
            </w:r>
          </w:p>
        </w:tc>
        <w:tc>
          <w:tcPr>
            <w:tcW w:w="4239" w:type="dxa"/>
          </w:tcPr>
          <w:p w14:paraId="62B43A90" w14:textId="77777777" w:rsidR="00711444" w:rsidRPr="004D0DAA" w:rsidRDefault="00711444" w:rsidP="00AA2A4C">
            <w:pPr>
              <w:pStyle w:val="TAL"/>
              <w:rPr>
                <w:lang w:eastAsia="en-US"/>
              </w:rPr>
            </w:pPr>
            <w:r w:rsidRPr="004D0DAA">
              <w:rPr>
                <w:lang w:eastAsia="en-US"/>
              </w:rPr>
              <w:t>(P3 ; P3 ; P3) with padding</w:t>
            </w:r>
          </w:p>
        </w:tc>
      </w:tr>
      <w:tr w:rsidR="00711444" w:rsidRPr="004D0DAA" w14:paraId="0D43D017" w14:textId="77777777" w:rsidTr="00AA2A4C">
        <w:tblPrEx>
          <w:tblCellMar>
            <w:top w:w="0" w:type="dxa"/>
            <w:bottom w:w="0" w:type="dxa"/>
          </w:tblCellMar>
        </w:tblPrEx>
        <w:trPr>
          <w:cantSplit/>
          <w:jc w:val="center"/>
        </w:trPr>
        <w:tc>
          <w:tcPr>
            <w:tcW w:w="1446" w:type="dxa"/>
          </w:tcPr>
          <w:p w14:paraId="6C4F6F62" w14:textId="77777777" w:rsidR="00711444" w:rsidRPr="004D0DAA" w:rsidRDefault="00711444" w:rsidP="00AA2A4C">
            <w:pPr>
              <w:pStyle w:val="TAC"/>
              <w:rPr>
                <w:lang w:eastAsia="en-US"/>
              </w:rPr>
            </w:pPr>
          </w:p>
        </w:tc>
        <w:tc>
          <w:tcPr>
            <w:tcW w:w="4239" w:type="dxa"/>
          </w:tcPr>
          <w:p w14:paraId="3E70ED13"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0230C8B7" w14:textId="77777777" w:rsidTr="00AA2A4C">
        <w:tblPrEx>
          <w:tblCellMar>
            <w:top w:w="0" w:type="dxa"/>
            <w:bottom w:w="0" w:type="dxa"/>
          </w:tblCellMar>
        </w:tblPrEx>
        <w:trPr>
          <w:cantSplit/>
          <w:jc w:val="center"/>
        </w:trPr>
        <w:tc>
          <w:tcPr>
            <w:tcW w:w="5685" w:type="dxa"/>
            <w:gridSpan w:val="2"/>
          </w:tcPr>
          <w:p w14:paraId="7D92C231"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2490D226" w14:textId="77777777" w:rsidR="00711444" w:rsidRPr="004D0DAA" w:rsidRDefault="00711444" w:rsidP="00711444"/>
    <w:p w14:paraId="62DAC217" w14:textId="77777777" w:rsidR="00711444" w:rsidRPr="004D0DAA" w:rsidRDefault="00711444" w:rsidP="00711444">
      <w:pPr>
        <w:pStyle w:val="TH"/>
      </w:pPr>
      <w:r w:rsidRPr="004D0DAA">
        <w:lastRenderedPageBreak/>
        <w:t xml:space="preserve">Table 10.4.8a.8.2: Coding and Puncturing Scheme indicator field for </w:t>
      </w:r>
      <w:r w:rsidRPr="004D0DAA">
        <w:br/>
        <w:t>Header type 8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6FFE8768" w14:textId="77777777" w:rsidTr="00AA2A4C">
        <w:tblPrEx>
          <w:tblCellMar>
            <w:top w:w="0" w:type="dxa"/>
            <w:bottom w:w="0" w:type="dxa"/>
          </w:tblCellMar>
        </w:tblPrEx>
        <w:trPr>
          <w:cantSplit/>
          <w:jc w:val="center"/>
        </w:trPr>
        <w:tc>
          <w:tcPr>
            <w:tcW w:w="1446" w:type="dxa"/>
          </w:tcPr>
          <w:p w14:paraId="7D54C55E" w14:textId="77777777" w:rsidR="00711444" w:rsidRPr="004D0DAA" w:rsidRDefault="00711444" w:rsidP="00AA2A4C">
            <w:pPr>
              <w:pStyle w:val="TAH"/>
              <w:rPr>
                <w:lang w:eastAsia="en-US"/>
              </w:rPr>
            </w:pPr>
            <w:r w:rsidRPr="004D0DAA">
              <w:rPr>
                <w:lang w:eastAsia="en-US"/>
              </w:rPr>
              <w:t>bits</w:t>
            </w:r>
            <w:r w:rsidRPr="004D0DAA">
              <w:rPr>
                <w:lang w:eastAsia="en-US"/>
              </w:rPr>
              <w:br/>
              <w:t>654321</w:t>
            </w:r>
          </w:p>
        </w:tc>
        <w:tc>
          <w:tcPr>
            <w:tcW w:w="4239" w:type="dxa"/>
          </w:tcPr>
          <w:p w14:paraId="38249F42" w14:textId="77777777" w:rsidR="00711444" w:rsidRPr="004D0DAA" w:rsidRDefault="00711444" w:rsidP="00AA2A4C">
            <w:pPr>
              <w:pStyle w:val="TAH"/>
              <w:rPr>
                <w:lang w:eastAsia="en-US"/>
              </w:rPr>
            </w:pPr>
            <w:r w:rsidRPr="004D0DAA">
              <w:rPr>
                <w:lang w:eastAsia="en-US"/>
              </w:rPr>
              <w:t>CPS</w:t>
            </w:r>
          </w:p>
        </w:tc>
      </w:tr>
      <w:tr w:rsidR="00711444" w:rsidRPr="004D0DAA" w14:paraId="754D5944" w14:textId="77777777" w:rsidTr="00AA2A4C">
        <w:tblPrEx>
          <w:tblCellMar>
            <w:top w:w="0" w:type="dxa"/>
            <w:bottom w:w="0" w:type="dxa"/>
          </w:tblCellMar>
        </w:tblPrEx>
        <w:trPr>
          <w:cantSplit/>
          <w:jc w:val="center"/>
        </w:trPr>
        <w:tc>
          <w:tcPr>
            <w:tcW w:w="1446" w:type="dxa"/>
          </w:tcPr>
          <w:p w14:paraId="129D9838" w14:textId="77777777" w:rsidR="00711444" w:rsidRPr="004D0DAA" w:rsidRDefault="00711444" w:rsidP="00AA2A4C">
            <w:pPr>
              <w:pStyle w:val="TAC"/>
              <w:rPr>
                <w:lang w:eastAsia="en-US"/>
              </w:rPr>
            </w:pPr>
            <w:r w:rsidRPr="004D0DAA">
              <w:rPr>
                <w:lang w:eastAsia="en-US"/>
              </w:rPr>
              <w:t>000000</w:t>
            </w:r>
          </w:p>
        </w:tc>
        <w:tc>
          <w:tcPr>
            <w:tcW w:w="4239" w:type="dxa"/>
          </w:tcPr>
          <w:p w14:paraId="42E56480" w14:textId="77777777" w:rsidR="00711444" w:rsidRPr="004D0DAA" w:rsidRDefault="00711444" w:rsidP="00AA2A4C">
            <w:pPr>
              <w:pStyle w:val="TAL"/>
              <w:rPr>
                <w:lang w:eastAsia="en-US"/>
              </w:rPr>
            </w:pPr>
            <w:r w:rsidRPr="004D0DAA">
              <w:rPr>
                <w:lang w:eastAsia="en-US"/>
              </w:rPr>
              <w:t>(P1 ; P1 ; P1)</w:t>
            </w:r>
          </w:p>
        </w:tc>
      </w:tr>
      <w:tr w:rsidR="00711444" w:rsidRPr="004D0DAA" w14:paraId="395308DB" w14:textId="77777777" w:rsidTr="00AA2A4C">
        <w:tblPrEx>
          <w:tblCellMar>
            <w:top w:w="0" w:type="dxa"/>
            <w:bottom w:w="0" w:type="dxa"/>
          </w:tblCellMar>
        </w:tblPrEx>
        <w:trPr>
          <w:cantSplit/>
          <w:jc w:val="center"/>
        </w:trPr>
        <w:tc>
          <w:tcPr>
            <w:tcW w:w="1446" w:type="dxa"/>
          </w:tcPr>
          <w:p w14:paraId="33666C95" w14:textId="77777777" w:rsidR="00711444" w:rsidRPr="004D0DAA" w:rsidRDefault="00711444" w:rsidP="00AA2A4C">
            <w:pPr>
              <w:pStyle w:val="TAC"/>
              <w:rPr>
                <w:lang w:eastAsia="en-US"/>
              </w:rPr>
            </w:pPr>
            <w:r w:rsidRPr="004D0DAA">
              <w:rPr>
                <w:lang w:eastAsia="en-US"/>
              </w:rPr>
              <w:t>000001</w:t>
            </w:r>
          </w:p>
        </w:tc>
        <w:tc>
          <w:tcPr>
            <w:tcW w:w="4239" w:type="dxa"/>
          </w:tcPr>
          <w:p w14:paraId="7B6052BD" w14:textId="77777777" w:rsidR="00711444" w:rsidRPr="004D0DAA" w:rsidRDefault="00711444" w:rsidP="00AA2A4C">
            <w:pPr>
              <w:pStyle w:val="TAL"/>
              <w:rPr>
                <w:lang w:eastAsia="en-US"/>
              </w:rPr>
            </w:pPr>
            <w:r w:rsidRPr="004D0DAA">
              <w:rPr>
                <w:lang w:eastAsia="en-US"/>
              </w:rPr>
              <w:t>(P1 ; P1 ; P2)</w:t>
            </w:r>
          </w:p>
        </w:tc>
      </w:tr>
      <w:tr w:rsidR="00711444" w:rsidRPr="004D0DAA" w14:paraId="18E8CDC8" w14:textId="77777777" w:rsidTr="00AA2A4C">
        <w:tblPrEx>
          <w:tblCellMar>
            <w:top w:w="0" w:type="dxa"/>
            <w:bottom w:w="0" w:type="dxa"/>
          </w:tblCellMar>
        </w:tblPrEx>
        <w:trPr>
          <w:cantSplit/>
          <w:jc w:val="center"/>
        </w:trPr>
        <w:tc>
          <w:tcPr>
            <w:tcW w:w="1446" w:type="dxa"/>
          </w:tcPr>
          <w:p w14:paraId="41879E7D" w14:textId="77777777" w:rsidR="00711444" w:rsidRPr="004D0DAA" w:rsidRDefault="00711444" w:rsidP="00AA2A4C">
            <w:pPr>
              <w:pStyle w:val="TAC"/>
              <w:rPr>
                <w:lang w:eastAsia="en-US"/>
              </w:rPr>
            </w:pPr>
            <w:r w:rsidRPr="004D0DAA">
              <w:rPr>
                <w:lang w:eastAsia="en-US"/>
              </w:rPr>
              <w:t>000010</w:t>
            </w:r>
          </w:p>
        </w:tc>
        <w:tc>
          <w:tcPr>
            <w:tcW w:w="4239" w:type="dxa"/>
          </w:tcPr>
          <w:p w14:paraId="0AD7EE97" w14:textId="77777777" w:rsidR="00711444" w:rsidRPr="004D0DAA" w:rsidRDefault="00711444" w:rsidP="00AA2A4C">
            <w:pPr>
              <w:pStyle w:val="TAL"/>
              <w:rPr>
                <w:lang w:eastAsia="en-US"/>
              </w:rPr>
            </w:pPr>
            <w:r w:rsidRPr="004D0DAA">
              <w:rPr>
                <w:lang w:eastAsia="en-US"/>
              </w:rPr>
              <w:t>(P1 ; P1 ; P3)</w:t>
            </w:r>
          </w:p>
        </w:tc>
      </w:tr>
      <w:tr w:rsidR="00711444" w:rsidRPr="004D0DAA" w14:paraId="08910097" w14:textId="77777777" w:rsidTr="00AA2A4C">
        <w:tblPrEx>
          <w:tblCellMar>
            <w:top w:w="0" w:type="dxa"/>
            <w:bottom w:w="0" w:type="dxa"/>
          </w:tblCellMar>
        </w:tblPrEx>
        <w:trPr>
          <w:cantSplit/>
          <w:jc w:val="center"/>
        </w:trPr>
        <w:tc>
          <w:tcPr>
            <w:tcW w:w="1446" w:type="dxa"/>
          </w:tcPr>
          <w:p w14:paraId="362B2A9A" w14:textId="77777777" w:rsidR="00711444" w:rsidRPr="004D0DAA" w:rsidRDefault="00711444" w:rsidP="00AA2A4C">
            <w:pPr>
              <w:pStyle w:val="TAC"/>
              <w:rPr>
                <w:lang w:eastAsia="en-US"/>
              </w:rPr>
            </w:pPr>
            <w:r w:rsidRPr="004D0DAA">
              <w:rPr>
                <w:lang w:eastAsia="en-US"/>
              </w:rPr>
              <w:t>000100</w:t>
            </w:r>
          </w:p>
        </w:tc>
        <w:tc>
          <w:tcPr>
            <w:tcW w:w="4239" w:type="dxa"/>
          </w:tcPr>
          <w:p w14:paraId="310E3195" w14:textId="77777777" w:rsidR="00711444" w:rsidRPr="004D0DAA" w:rsidRDefault="00711444" w:rsidP="00AA2A4C">
            <w:pPr>
              <w:pStyle w:val="TAL"/>
              <w:rPr>
                <w:lang w:eastAsia="en-US"/>
              </w:rPr>
            </w:pPr>
            <w:r w:rsidRPr="004D0DAA">
              <w:rPr>
                <w:lang w:eastAsia="en-US"/>
              </w:rPr>
              <w:t>(P1 ; P2 ; P1)</w:t>
            </w:r>
          </w:p>
        </w:tc>
      </w:tr>
      <w:tr w:rsidR="00711444" w:rsidRPr="004D0DAA" w14:paraId="36D761A7" w14:textId="77777777" w:rsidTr="00AA2A4C">
        <w:tblPrEx>
          <w:tblCellMar>
            <w:top w:w="0" w:type="dxa"/>
            <w:bottom w:w="0" w:type="dxa"/>
          </w:tblCellMar>
        </w:tblPrEx>
        <w:trPr>
          <w:cantSplit/>
          <w:jc w:val="center"/>
        </w:trPr>
        <w:tc>
          <w:tcPr>
            <w:tcW w:w="1446" w:type="dxa"/>
          </w:tcPr>
          <w:p w14:paraId="3DD06411" w14:textId="77777777" w:rsidR="00711444" w:rsidRPr="004D0DAA" w:rsidRDefault="00711444" w:rsidP="00AA2A4C">
            <w:pPr>
              <w:pStyle w:val="TAC"/>
              <w:rPr>
                <w:lang w:eastAsia="en-US"/>
              </w:rPr>
            </w:pPr>
            <w:r w:rsidRPr="004D0DAA">
              <w:rPr>
                <w:lang w:eastAsia="en-US"/>
              </w:rPr>
              <w:t>000101</w:t>
            </w:r>
          </w:p>
        </w:tc>
        <w:tc>
          <w:tcPr>
            <w:tcW w:w="4239" w:type="dxa"/>
          </w:tcPr>
          <w:p w14:paraId="7E9BB764" w14:textId="77777777" w:rsidR="00711444" w:rsidRPr="004D0DAA" w:rsidRDefault="00711444" w:rsidP="00AA2A4C">
            <w:pPr>
              <w:pStyle w:val="TAL"/>
              <w:rPr>
                <w:lang w:eastAsia="en-US"/>
              </w:rPr>
            </w:pPr>
            <w:r w:rsidRPr="004D0DAA">
              <w:rPr>
                <w:lang w:eastAsia="en-US"/>
              </w:rPr>
              <w:t>(P1 ; P2 ; P2)</w:t>
            </w:r>
          </w:p>
        </w:tc>
      </w:tr>
      <w:tr w:rsidR="00711444" w:rsidRPr="004D0DAA" w14:paraId="4E17C017" w14:textId="77777777" w:rsidTr="00AA2A4C">
        <w:tblPrEx>
          <w:tblCellMar>
            <w:top w:w="0" w:type="dxa"/>
            <w:bottom w:w="0" w:type="dxa"/>
          </w:tblCellMar>
        </w:tblPrEx>
        <w:trPr>
          <w:cantSplit/>
          <w:jc w:val="center"/>
        </w:trPr>
        <w:tc>
          <w:tcPr>
            <w:tcW w:w="1446" w:type="dxa"/>
          </w:tcPr>
          <w:p w14:paraId="7FCA13EA" w14:textId="77777777" w:rsidR="00711444" w:rsidRPr="004D0DAA" w:rsidRDefault="00711444" w:rsidP="00AA2A4C">
            <w:pPr>
              <w:pStyle w:val="TAC"/>
              <w:rPr>
                <w:lang w:eastAsia="en-US"/>
              </w:rPr>
            </w:pPr>
            <w:r w:rsidRPr="004D0DAA">
              <w:rPr>
                <w:lang w:eastAsia="en-US"/>
              </w:rPr>
              <w:t>000110</w:t>
            </w:r>
          </w:p>
        </w:tc>
        <w:tc>
          <w:tcPr>
            <w:tcW w:w="4239" w:type="dxa"/>
          </w:tcPr>
          <w:p w14:paraId="066AE675" w14:textId="77777777" w:rsidR="00711444" w:rsidRPr="004D0DAA" w:rsidRDefault="00711444" w:rsidP="00AA2A4C">
            <w:pPr>
              <w:pStyle w:val="TAL"/>
              <w:rPr>
                <w:lang w:eastAsia="en-US"/>
              </w:rPr>
            </w:pPr>
            <w:r w:rsidRPr="004D0DAA">
              <w:rPr>
                <w:lang w:eastAsia="en-US"/>
              </w:rPr>
              <w:t>(P1 ; P2 ; P3)</w:t>
            </w:r>
          </w:p>
        </w:tc>
      </w:tr>
      <w:tr w:rsidR="00711444" w:rsidRPr="004D0DAA" w14:paraId="7CF7EABC" w14:textId="77777777" w:rsidTr="00AA2A4C">
        <w:tblPrEx>
          <w:tblCellMar>
            <w:top w:w="0" w:type="dxa"/>
            <w:bottom w:w="0" w:type="dxa"/>
          </w:tblCellMar>
        </w:tblPrEx>
        <w:trPr>
          <w:cantSplit/>
          <w:jc w:val="center"/>
        </w:trPr>
        <w:tc>
          <w:tcPr>
            <w:tcW w:w="1446" w:type="dxa"/>
          </w:tcPr>
          <w:p w14:paraId="003104EE" w14:textId="77777777" w:rsidR="00711444" w:rsidRPr="004D0DAA" w:rsidRDefault="00711444" w:rsidP="00AA2A4C">
            <w:pPr>
              <w:pStyle w:val="TAC"/>
              <w:rPr>
                <w:lang w:eastAsia="en-US"/>
              </w:rPr>
            </w:pPr>
            <w:r w:rsidRPr="004D0DAA">
              <w:rPr>
                <w:lang w:eastAsia="en-US"/>
              </w:rPr>
              <w:t>001000</w:t>
            </w:r>
          </w:p>
        </w:tc>
        <w:tc>
          <w:tcPr>
            <w:tcW w:w="4239" w:type="dxa"/>
          </w:tcPr>
          <w:p w14:paraId="7396D861" w14:textId="77777777" w:rsidR="00711444" w:rsidRPr="004D0DAA" w:rsidRDefault="00711444" w:rsidP="00AA2A4C">
            <w:pPr>
              <w:pStyle w:val="TAL"/>
              <w:rPr>
                <w:lang w:eastAsia="en-US"/>
              </w:rPr>
            </w:pPr>
            <w:r w:rsidRPr="004D0DAA">
              <w:rPr>
                <w:lang w:eastAsia="en-US"/>
              </w:rPr>
              <w:t>(P1 ; P3 ; P1)</w:t>
            </w:r>
          </w:p>
        </w:tc>
      </w:tr>
      <w:tr w:rsidR="00711444" w:rsidRPr="004D0DAA" w14:paraId="51C7E83F" w14:textId="77777777" w:rsidTr="00AA2A4C">
        <w:tblPrEx>
          <w:tblCellMar>
            <w:top w:w="0" w:type="dxa"/>
            <w:bottom w:w="0" w:type="dxa"/>
          </w:tblCellMar>
        </w:tblPrEx>
        <w:trPr>
          <w:cantSplit/>
          <w:jc w:val="center"/>
        </w:trPr>
        <w:tc>
          <w:tcPr>
            <w:tcW w:w="1446" w:type="dxa"/>
          </w:tcPr>
          <w:p w14:paraId="4DF5334B" w14:textId="77777777" w:rsidR="00711444" w:rsidRPr="004D0DAA" w:rsidRDefault="00711444" w:rsidP="00AA2A4C">
            <w:pPr>
              <w:pStyle w:val="TAC"/>
              <w:rPr>
                <w:lang w:eastAsia="en-US"/>
              </w:rPr>
            </w:pPr>
            <w:r w:rsidRPr="004D0DAA">
              <w:rPr>
                <w:lang w:eastAsia="en-US"/>
              </w:rPr>
              <w:t>001001</w:t>
            </w:r>
          </w:p>
        </w:tc>
        <w:tc>
          <w:tcPr>
            <w:tcW w:w="4239" w:type="dxa"/>
          </w:tcPr>
          <w:p w14:paraId="52BDADF8" w14:textId="77777777" w:rsidR="00711444" w:rsidRPr="004D0DAA" w:rsidRDefault="00711444" w:rsidP="00AA2A4C">
            <w:pPr>
              <w:pStyle w:val="TAL"/>
              <w:rPr>
                <w:lang w:eastAsia="en-US"/>
              </w:rPr>
            </w:pPr>
            <w:r w:rsidRPr="004D0DAA">
              <w:rPr>
                <w:lang w:eastAsia="en-US"/>
              </w:rPr>
              <w:t>(P1 ; P3 ; P2)</w:t>
            </w:r>
          </w:p>
        </w:tc>
      </w:tr>
      <w:tr w:rsidR="00711444" w:rsidRPr="004D0DAA" w14:paraId="52AF92E3" w14:textId="77777777" w:rsidTr="00AA2A4C">
        <w:tblPrEx>
          <w:tblCellMar>
            <w:top w:w="0" w:type="dxa"/>
            <w:bottom w:w="0" w:type="dxa"/>
          </w:tblCellMar>
        </w:tblPrEx>
        <w:trPr>
          <w:cantSplit/>
          <w:jc w:val="center"/>
        </w:trPr>
        <w:tc>
          <w:tcPr>
            <w:tcW w:w="1446" w:type="dxa"/>
          </w:tcPr>
          <w:p w14:paraId="7D259AF7" w14:textId="77777777" w:rsidR="00711444" w:rsidRPr="004D0DAA" w:rsidRDefault="00711444" w:rsidP="00AA2A4C">
            <w:pPr>
              <w:pStyle w:val="TAC"/>
              <w:rPr>
                <w:lang w:eastAsia="en-US"/>
              </w:rPr>
            </w:pPr>
            <w:r w:rsidRPr="004D0DAA">
              <w:rPr>
                <w:lang w:eastAsia="en-US"/>
              </w:rPr>
              <w:t>001010</w:t>
            </w:r>
          </w:p>
        </w:tc>
        <w:tc>
          <w:tcPr>
            <w:tcW w:w="4239" w:type="dxa"/>
          </w:tcPr>
          <w:p w14:paraId="26B6ED05" w14:textId="77777777" w:rsidR="00711444" w:rsidRPr="004D0DAA" w:rsidRDefault="00711444" w:rsidP="00AA2A4C">
            <w:pPr>
              <w:pStyle w:val="TAL"/>
              <w:rPr>
                <w:lang w:eastAsia="en-US"/>
              </w:rPr>
            </w:pPr>
            <w:r w:rsidRPr="004D0DAA">
              <w:rPr>
                <w:lang w:eastAsia="en-US"/>
              </w:rPr>
              <w:t>(P1 ; P3 ; P3)</w:t>
            </w:r>
          </w:p>
        </w:tc>
      </w:tr>
      <w:tr w:rsidR="00711444" w:rsidRPr="004D0DAA" w14:paraId="614222E8" w14:textId="77777777" w:rsidTr="00AA2A4C">
        <w:tblPrEx>
          <w:tblCellMar>
            <w:top w:w="0" w:type="dxa"/>
            <w:bottom w:w="0" w:type="dxa"/>
          </w:tblCellMar>
        </w:tblPrEx>
        <w:trPr>
          <w:cantSplit/>
          <w:jc w:val="center"/>
        </w:trPr>
        <w:tc>
          <w:tcPr>
            <w:tcW w:w="1446" w:type="dxa"/>
          </w:tcPr>
          <w:p w14:paraId="34A2DF8A" w14:textId="77777777" w:rsidR="00711444" w:rsidRPr="004D0DAA" w:rsidRDefault="00711444" w:rsidP="00AA2A4C">
            <w:pPr>
              <w:pStyle w:val="TAC"/>
              <w:rPr>
                <w:lang w:eastAsia="en-US"/>
              </w:rPr>
            </w:pPr>
            <w:r w:rsidRPr="004D0DAA">
              <w:rPr>
                <w:lang w:eastAsia="en-US"/>
              </w:rPr>
              <w:t>001011</w:t>
            </w:r>
          </w:p>
        </w:tc>
        <w:tc>
          <w:tcPr>
            <w:tcW w:w="4239" w:type="dxa"/>
          </w:tcPr>
          <w:p w14:paraId="67667923" w14:textId="77777777" w:rsidR="00711444" w:rsidRPr="004D0DAA" w:rsidRDefault="00711444" w:rsidP="00AA2A4C">
            <w:pPr>
              <w:pStyle w:val="TAL"/>
              <w:rPr>
                <w:lang w:eastAsia="en-US"/>
              </w:rPr>
            </w:pPr>
            <w:r w:rsidRPr="004D0DAA">
              <w:rPr>
                <w:lang w:eastAsia="en-US"/>
              </w:rPr>
              <w:t>(P2 ; P1 ; P1)</w:t>
            </w:r>
          </w:p>
        </w:tc>
      </w:tr>
      <w:tr w:rsidR="00711444" w:rsidRPr="004D0DAA" w14:paraId="570DB929" w14:textId="77777777" w:rsidTr="00AA2A4C">
        <w:tblPrEx>
          <w:tblCellMar>
            <w:top w:w="0" w:type="dxa"/>
            <w:bottom w:w="0" w:type="dxa"/>
          </w:tblCellMar>
        </w:tblPrEx>
        <w:trPr>
          <w:cantSplit/>
          <w:jc w:val="center"/>
        </w:trPr>
        <w:tc>
          <w:tcPr>
            <w:tcW w:w="1446" w:type="dxa"/>
          </w:tcPr>
          <w:p w14:paraId="41420D66" w14:textId="77777777" w:rsidR="00711444" w:rsidRPr="004D0DAA" w:rsidRDefault="00711444" w:rsidP="00AA2A4C">
            <w:pPr>
              <w:pStyle w:val="TAC"/>
              <w:rPr>
                <w:lang w:eastAsia="en-US"/>
              </w:rPr>
            </w:pPr>
            <w:r w:rsidRPr="004D0DAA">
              <w:rPr>
                <w:lang w:eastAsia="en-US"/>
              </w:rPr>
              <w:t>001100</w:t>
            </w:r>
          </w:p>
        </w:tc>
        <w:tc>
          <w:tcPr>
            <w:tcW w:w="4239" w:type="dxa"/>
          </w:tcPr>
          <w:p w14:paraId="1E08EA35" w14:textId="77777777" w:rsidR="00711444" w:rsidRPr="004D0DAA" w:rsidRDefault="00711444" w:rsidP="00AA2A4C">
            <w:pPr>
              <w:pStyle w:val="TAL"/>
              <w:rPr>
                <w:lang w:eastAsia="en-US"/>
              </w:rPr>
            </w:pPr>
            <w:r w:rsidRPr="004D0DAA">
              <w:rPr>
                <w:lang w:eastAsia="en-US"/>
              </w:rPr>
              <w:t>(P2 ; P1 ; P2)</w:t>
            </w:r>
          </w:p>
        </w:tc>
      </w:tr>
      <w:tr w:rsidR="00711444" w:rsidRPr="004D0DAA" w14:paraId="0F29A723" w14:textId="77777777" w:rsidTr="00AA2A4C">
        <w:tblPrEx>
          <w:tblCellMar>
            <w:top w:w="0" w:type="dxa"/>
            <w:bottom w:w="0" w:type="dxa"/>
          </w:tblCellMar>
        </w:tblPrEx>
        <w:trPr>
          <w:cantSplit/>
          <w:jc w:val="center"/>
        </w:trPr>
        <w:tc>
          <w:tcPr>
            <w:tcW w:w="1446" w:type="dxa"/>
          </w:tcPr>
          <w:p w14:paraId="448545CB" w14:textId="77777777" w:rsidR="00711444" w:rsidRPr="004D0DAA" w:rsidRDefault="00711444" w:rsidP="00AA2A4C">
            <w:pPr>
              <w:pStyle w:val="TAC"/>
              <w:rPr>
                <w:lang w:eastAsia="en-US"/>
              </w:rPr>
            </w:pPr>
            <w:r w:rsidRPr="004D0DAA">
              <w:rPr>
                <w:lang w:eastAsia="en-US"/>
              </w:rPr>
              <w:t>001101</w:t>
            </w:r>
          </w:p>
        </w:tc>
        <w:tc>
          <w:tcPr>
            <w:tcW w:w="4239" w:type="dxa"/>
          </w:tcPr>
          <w:p w14:paraId="47D345CD" w14:textId="77777777" w:rsidR="00711444" w:rsidRPr="004D0DAA" w:rsidRDefault="00711444" w:rsidP="00AA2A4C">
            <w:pPr>
              <w:pStyle w:val="TAL"/>
              <w:rPr>
                <w:lang w:eastAsia="en-US"/>
              </w:rPr>
            </w:pPr>
            <w:r w:rsidRPr="004D0DAA">
              <w:rPr>
                <w:lang w:eastAsia="en-US"/>
              </w:rPr>
              <w:t>(P2 ; P1 ; P3)</w:t>
            </w:r>
          </w:p>
        </w:tc>
      </w:tr>
      <w:tr w:rsidR="00711444" w:rsidRPr="004D0DAA" w14:paraId="2CB7E681" w14:textId="77777777" w:rsidTr="00AA2A4C">
        <w:tblPrEx>
          <w:tblCellMar>
            <w:top w:w="0" w:type="dxa"/>
            <w:bottom w:w="0" w:type="dxa"/>
          </w:tblCellMar>
        </w:tblPrEx>
        <w:trPr>
          <w:cantSplit/>
          <w:jc w:val="center"/>
        </w:trPr>
        <w:tc>
          <w:tcPr>
            <w:tcW w:w="1446" w:type="dxa"/>
          </w:tcPr>
          <w:p w14:paraId="4BFD9F23" w14:textId="77777777" w:rsidR="00711444" w:rsidRPr="004D0DAA" w:rsidRDefault="00711444" w:rsidP="00AA2A4C">
            <w:pPr>
              <w:pStyle w:val="TAC"/>
              <w:rPr>
                <w:lang w:eastAsia="en-US"/>
              </w:rPr>
            </w:pPr>
            <w:r w:rsidRPr="004D0DAA">
              <w:rPr>
                <w:lang w:eastAsia="en-US"/>
              </w:rPr>
              <w:t>001110</w:t>
            </w:r>
          </w:p>
        </w:tc>
        <w:tc>
          <w:tcPr>
            <w:tcW w:w="4239" w:type="dxa"/>
          </w:tcPr>
          <w:p w14:paraId="5BCEEF1C" w14:textId="77777777" w:rsidR="00711444" w:rsidRPr="004D0DAA" w:rsidRDefault="00711444" w:rsidP="00AA2A4C">
            <w:pPr>
              <w:pStyle w:val="TAL"/>
              <w:rPr>
                <w:lang w:eastAsia="en-US"/>
              </w:rPr>
            </w:pPr>
            <w:r w:rsidRPr="004D0DAA">
              <w:rPr>
                <w:lang w:eastAsia="en-US"/>
              </w:rPr>
              <w:t>(P2 ; P2 ; P1)</w:t>
            </w:r>
          </w:p>
        </w:tc>
      </w:tr>
      <w:tr w:rsidR="00711444" w:rsidRPr="004D0DAA" w14:paraId="194742F0" w14:textId="77777777" w:rsidTr="00AA2A4C">
        <w:tblPrEx>
          <w:tblCellMar>
            <w:top w:w="0" w:type="dxa"/>
            <w:bottom w:w="0" w:type="dxa"/>
          </w:tblCellMar>
        </w:tblPrEx>
        <w:trPr>
          <w:cantSplit/>
          <w:jc w:val="center"/>
        </w:trPr>
        <w:tc>
          <w:tcPr>
            <w:tcW w:w="1446" w:type="dxa"/>
          </w:tcPr>
          <w:p w14:paraId="2612BAD5" w14:textId="77777777" w:rsidR="00711444" w:rsidRPr="004D0DAA" w:rsidRDefault="00711444" w:rsidP="00AA2A4C">
            <w:pPr>
              <w:pStyle w:val="TAC"/>
              <w:rPr>
                <w:lang w:eastAsia="en-US"/>
              </w:rPr>
            </w:pPr>
            <w:r w:rsidRPr="004D0DAA">
              <w:rPr>
                <w:lang w:eastAsia="en-US"/>
              </w:rPr>
              <w:t>001111</w:t>
            </w:r>
          </w:p>
        </w:tc>
        <w:tc>
          <w:tcPr>
            <w:tcW w:w="4239" w:type="dxa"/>
          </w:tcPr>
          <w:p w14:paraId="37963A4C" w14:textId="77777777" w:rsidR="00711444" w:rsidRPr="004D0DAA" w:rsidRDefault="00711444" w:rsidP="00AA2A4C">
            <w:pPr>
              <w:pStyle w:val="TAL"/>
              <w:rPr>
                <w:lang w:eastAsia="en-US"/>
              </w:rPr>
            </w:pPr>
            <w:r w:rsidRPr="004D0DAA">
              <w:rPr>
                <w:lang w:eastAsia="en-US"/>
              </w:rPr>
              <w:t>(P2 ; P2 ; P2)</w:t>
            </w:r>
          </w:p>
        </w:tc>
      </w:tr>
      <w:tr w:rsidR="00711444" w:rsidRPr="004D0DAA" w14:paraId="43A44EFC" w14:textId="77777777" w:rsidTr="00AA2A4C">
        <w:tblPrEx>
          <w:tblCellMar>
            <w:top w:w="0" w:type="dxa"/>
            <w:bottom w:w="0" w:type="dxa"/>
          </w:tblCellMar>
        </w:tblPrEx>
        <w:trPr>
          <w:cantSplit/>
          <w:jc w:val="center"/>
        </w:trPr>
        <w:tc>
          <w:tcPr>
            <w:tcW w:w="1446" w:type="dxa"/>
          </w:tcPr>
          <w:p w14:paraId="5DDFB60C" w14:textId="77777777" w:rsidR="00711444" w:rsidRPr="004D0DAA" w:rsidRDefault="00711444" w:rsidP="00AA2A4C">
            <w:pPr>
              <w:pStyle w:val="TAC"/>
              <w:rPr>
                <w:lang w:eastAsia="en-US"/>
              </w:rPr>
            </w:pPr>
            <w:r w:rsidRPr="004D0DAA">
              <w:rPr>
                <w:lang w:eastAsia="en-US"/>
              </w:rPr>
              <w:t>010000</w:t>
            </w:r>
          </w:p>
        </w:tc>
        <w:tc>
          <w:tcPr>
            <w:tcW w:w="4239" w:type="dxa"/>
          </w:tcPr>
          <w:p w14:paraId="6A57C16C" w14:textId="77777777" w:rsidR="00711444" w:rsidRPr="004D0DAA" w:rsidRDefault="00711444" w:rsidP="00AA2A4C">
            <w:pPr>
              <w:pStyle w:val="TAL"/>
              <w:rPr>
                <w:lang w:eastAsia="en-US"/>
              </w:rPr>
            </w:pPr>
            <w:r w:rsidRPr="004D0DAA">
              <w:rPr>
                <w:lang w:eastAsia="en-US"/>
              </w:rPr>
              <w:t>(P2 ; P2 ; P3)</w:t>
            </w:r>
          </w:p>
        </w:tc>
      </w:tr>
      <w:tr w:rsidR="00711444" w:rsidRPr="004D0DAA" w14:paraId="348CE0AF" w14:textId="77777777" w:rsidTr="00AA2A4C">
        <w:tblPrEx>
          <w:tblCellMar>
            <w:top w:w="0" w:type="dxa"/>
            <w:bottom w:w="0" w:type="dxa"/>
          </w:tblCellMar>
        </w:tblPrEx>
        <w:trPr>
          <w:cantSplit/>
          <w:jc w:val="center"/>
        </w:trPr>
        <w:tc>
          <w:tcPr>
            <w:tcW w:w="1446" w:type="dxa"/>
          </w:tcPr>
          <w:p w14:paraId="1176F1F7" w14:textId="77777777" w:rsidR="00711444" w:rsidRPr="004D0DAA" w:rsidRDefault="00711444" w:rsidP="00AA2A4C">
            <w:pPr>
              <w:pStyle w:val="TAC"/>
              <w:rPr>
                <w:lang w:eastAsia="en-US"/>
              </w:rPr>
            </w:pPr>
            <w:r w:rsidRPr="004D0DAA">
              <w:rPr>
                <w:lang w:eastAsia="en-US"/>
              </w:rPr>
              <w:t>010001</w:t>
            </w:r>
          </w:p>
        </w:tc>
        <w:tc>
          <w:tcPr>
            <w:tcW w:w="4239" w:type="dxa"/>
          </w:tcPr>
          <w:p w14:paraId="1B2D5119" w14:textId="77777777" w:rsidR="00711444" w:rsidRPr="004D0DAA" w:rsidRDefault="00711444" w:rsidP="00AA2A4C">
            <w:pPr>
              <w:pStyle w:val="TAL"/>
              <w:rPr>
                <w:lang w:eastAsia="en-US"/>
              </w:rPr>
            </w:pPr>
            <w:r w:rsidRPr="004D0DAA">
              <w:rPr>
                <w:lang w:eastAsia="en-US"/>
              </w:rPr>
              <w:t>(P2 ; P3 ; P1)</w:t>
            </w:r>
          </w:p>
        </w:tc>
      </w:tr>
      <w:tr w:rsidR="00711444" w:rsidRPr="004D0DAA" w14:paraId="13EB0470" w14:textId="77777777" w:rsidTr="00AA2A4C">
        <w:tblPrEx>
          <w:tblCellMar>
            <w:top w:w="0" w:type="dxa"/>
            <w:bottom w:w="0" w:type="dxa"/>
          </w:tblCellMar>
        </w:tblPrEx>
        <w:trPr>
          <w:cantSplit/>
          <w:jc w:val="center"/>
        </w:trPr>
        <w:tc>
          <w:tcPr>
            <w:tcW w:w="1446" w:type="dxa"/>
          </w:tcPr>
          <w:p w14:paraId="1B9460AF" w14:textId="77777777" w:rsidR="00711444" w:rsidRPr="004D0DAA" w:rsidRDefault="00711444" w:rsidP="00AA2A4C">
            <w:pPr>
              <w:pStyle w:val="TAC"/>
              <w:rPr>
                <w:lang w:eastAsia="en-US"/>
              </w:rPr>
            </w:pPr>
            <w:r w:rsidRPr="004D0DAA">
              <w:rPr>
                <w:lang w:eastAsia="en-US"/>
              </w:rPr>
              <w:t>010010</w:t>
            </w:r>
          </w:p>
        </w:tc>
        <w:tc>
          <w:tcPr>
            <w:tcW w:w="4239" w:type="dxa"/>
          </w:tcPr>
          <w:p w14:paraId="264DDB83" w14:textId="77777777" w:rsidR="00711444" w:rsidRPr="004D0DAA" w:rsidRDefault="00711444" w:rsidP="00AA2A4C">
            <w:pPr>
              <w:pStyle w:val="TAL"/>
              <w:rPr>
                <w:lang w:eastAsia="en-US"/>
              </w:rPr>
            </w:pPr>
            <w:r w:rsidRPr="004D0DAA">
              <w:rPr>
                <w:lang w:eastAsia="en-US"/>
              </w:rPr>
              <w:t>(P2 ; P3 ; P2)</w:t>
            </w:r>
          </w:p>
        </w:tc>
      </w:tr>
      <w:tr w:rsidR="00711444" w:rsidRPr="004D0DAA" w14:paraId="12BB4F88" w14:textId="77777777" w:rsidTr="00AA2A4C">
        <w:tblPrEx>
          <w:tblCellMar>
            <w:top w:w="0" w:type="dxa"/>
            <w:bottom w:w="0" w:type="dxa"/>
          </w:tblCellMar>
        </w:tblPrEx>
        <w:trPr>
          <w:cantSplit/>
          <w:jc w:val="center"/>
        </w:trPr>
        <w:tc>
          <w:tcPr>
            <w:tcW w:w="1446" w:type="dxa"/>
          </w:tcPr>
          <w:p w14:paraId="3A15F9FB" w14:textId="77777777" w:rsidR="00711444" w:rsidRPr="004D0DAA" w:rsidRDefault="00711444" w:rsidP="00AA2A4C">
            <w:pPr>
              <w:pStyle w:val="TAC"/>
              <w:rPr>
                <w:lang w:eastAsia="en-US"/>
              </w:rPr>
            </w:pPr>
            <w:r w:rsidRPr="004D0DAA">
              <w:rPr>
                <w:lang w:eastAsia="en-US"/>
              </w:rPr>
              <w:t>010011</w:t>
            </w:r>
          </w:p>
        </w:tc>
        <w:tc>
          <w:tcPr>
            <w:tcW w:w="4239" w:type="dxa"/>
          </w:tcPr>
          <w:p w14:paraId="7823DBFC" w14:textId="77777777" w:rsidR="00711444" w:rsidRPr="004D0DAA" w:rsidRDefault="00711444" w:rsidP="00AA2A4C">
            <w:pPr>
              <w:pStyle w:val="TAL"/>
              <w:rPr>
                <w:lang w:eastAsia="en-US"/>
              </w:rPr>
            </w:pPr>
            <w:r w:rsidRPr="004D0DAA">
              <w:rPr>
                <w:lang w:eastAsia="en-US"/>
              </w:rPr>
              <w:t>(P2 ; P3 ; P3)</w:t>
            </w:r>
          </w:p>
        </w:tc>
      </w:tr>
      <w:tr w:rsidR="00711444" w:rsidRPr="004D0DAA" w14:paraId="32EA60A2" w14:textId="77777777" w:rsidTr="00AA2A4C">
        <w:tblPrEx>
          <w:tblCellMar>
            <w:top w:w="0" w:type="dxa"/>
            <w:bottom w:w="0" w:type="dxa"/>
          </w:tblCellMar>
        </w:tblPrEx>
        <w:trPr>
          <w:cantSplit/>
          <w:jc w:val="center"/>
        </w:trPr>
        <w:tc>
          <w:tcPr>
            <w:tcW w:w="1446" w:type="dxa"/>
          </w:tcPr>
          <w:p w14:paraId="36E6C6FC" w14:textId="77777777" w:rsidR="00711444" w:rsidRPr="004D0DAA" w:rsidRDefault="00711444" w:rsidP="00AA2A4C">
            <w:pPr>
              <w:pStyle w:val="TAC"/>
              <w:rPr>
                <w:lang w:eastAsia="en-US"/>
              </w:rPr>
            </w:pPr>
            <w:r w:rsidRPr="004D0DAA">
              <w:rPr>
                <w:lang w:eastAsia="en-US"/>
              </w:rPr>
              <w:t>010100</w:t>
            </w:r>
          </w:p>
        </w:tc>
        <w:tc>
          <w:tcPr>
            <w:tcW w:w="4239" w:type="dxa"/>
          </w:tcPr>
          <w:p w14:paraId="4E6C7C53" w14:textId="77777777" w:rsidR="00711444" w:rsidRPr="004D0DAA" w:rsidRDefault="00711444" w:rsidP="00AA2A4C">
            <w:pPr>
              <w:pStyle w:val="TAL"/>
              <w:rPr>
                <w:lang w:eastAsia="en-US"/>
              </w:rPr>
            </w:pPr>
            <w:r w:rsidRPr="004D0DAA">
              <w:rPr>
                <w:lang w:eastAsia="en-US"/>
              </w:rPr>
              <w:t>(P3 ; P1 ; P1)</w:t>
            </w:r>
          </w:p>
        </w:tc>
      </w:tr>
      <w:tr w:rsidR="00711444" w:rsidRPr="004D0DAA" w14:paraId="049DD65C" w14:textId="77777777" w:rsidTr="00AA2A4C">
        <w:tblPrEx>
          <w:tblCellMar>
            <w:top w:w="0" w:type="dxa"/>
            <w:bottom w:w="0" w:type="dxa"/>
          </w:tblCellMar>
        </w:tblPrEx>
        <w:trPr>
          <w:cantSplit/>
          <w:jc w:val="center"/>
        </w:trPr>
        <w:tc>
          <w:tcPr>
            <w:tcW w:w="1446" w:type="dxa"/>
          </w:tcPr>
          <w:p w14:paraId="6489F094" w14:textId="77777777" w:rsidR="00711444" w:rsidRPr="004D0DAA" w:rsidRDefault="00711444" w:rsidP="00AA2A4C">
            <w:pPr>
              <w:pStyle w:val="TAC"/>
              <w:rPr>
                <w:lang w:eastAsia="en-US"/>
              </w:rPr>
            </w:pPr>
            <w:r w:rsidRPr="004D0DAA">
              <w:rPr>
                <w:lang w:eastAsia="en-US"/>
              </w:rPr>
              <w:t>010101</w:t>
            </w:r>
          </w:p>
        </w:tc>
        <w:tc>
          <w:tcPr>
            <w:tcW w:w="4239" w:type="dxa"/>
          </w:tcPr>
          <w:p w14:paraId="1ADF53C8" w14:textId="77777777" w:rsidR="00711444" w:rsidRPr="004D0DAA" w:rsidRDefault="00711444" w:rsidP="00AA2A4C">
            <w:pPr>
              <w:pStyle w:val="TAL"/>
              <w:rPr>
                <w:lang w:eastAsia="en-US"/>
              </w:rPr>
            </w:pPr>
            <w:r w:rsidRPr="004D0DAA">
              <w:rPr>
                <w:lang w:eastAsia="en-US"/>
              </w:rPr>
              <w:t>(P3 ; P1 ; P2)</w:t>
            </w:r>
          </w:p>
        </w:tc>
      </w:tr>
      <w:tr w:rsidR="00711444" w:rsidRPr="004D0DAA" w14:paraId="650C63FB" w14:textId="77777777" w:rsidTr="00AA2A4C">
        <w:tblPrEx>
          <w:tblCellMar>
            <w:top w:w="0" w:type="dxa"/>
            <w:bottom w:w="0" w:type="dxa"/>
          </w:tblCellMar>
        </w:tblPrEx>
        <w:trPr>
          <w:cantSplit/>
          <w:jc w:val="center"/>
        </w:trPr>
        <w:tc>
          <w:tcPr>
            <w:tcW w:w="1446" w:type="dxa"/>
          </w:tcPr>
          <w:p w14:paraId="36352B77" w14:textId="77777777" w:rsidR="00711444" w:rsidRPr="004D0DAA" w:rsidRDefault="00711444" w:rsidP="00AA2A4C">
            <w:pPr>
              <w:pStyle w:val="TAC"/>
              <w:rPr>
                <w:lang w:eastAsia="en-US"/>
              </w:rPr>
            </w:pPr>
            <w:r w:rsidRPr="004D0DAA">
              <w:rPr>
                <w:lang w:eastAsia="en-US"/>
              </w:rPr>
              <w:t>010110</w:t>
            </w:r>
          </w:p>
        </w:tc>
        <w:tc>
          <w:tcPr>
            <w:tcW w:w="4239" w:type="dxa"/>
          </w:tcPr>
          <w:p w14:paraId="30D135DE" w14:textId="77777777" w:rsidR="00711444" w:rsidRPr="004D0DAA" w:rsidRDefault="00711444" w:rsidP="00AA2A4C">
            <w:pPr>
              <w:pStyle w:val="TAL"/>
              <w:rPr>
                <w:lang w:eastAsia="en-US"/>
              </w:rPr>
            </w:pPr>
            <w:r w:rsidRPr="004D0DAA">
              <w:rPr>
                <w:lang w:eastAsia="en-US"/>
              </w:rPr>
              <w:t>(P3 ; P1 ; P3)</w:t>
            </w:r>
          </w:p>
        </w:tc>
      </w:tr>
      <w:tr w:rsidR="00711444" w:rsidRPr="004D0DAA" w14:paraId="4FEE8D35" w14:textId="77777777" w:rsidTr="00AA2A4C">
        <w:tblPrEx>
          <w:tblCellMar>
            <w:top w:w="0" w:type="dxa"/>
            <w:bottom w:w="0" w:type="dxa"/>
          </w:tblCellMar>
        </w:tblPrEx>
        <w:trPr>
          <w:cantSplit/>
          <w:jc w:val="center"/>
        </w:trPr>
        <w:tc>
          <w:tcPr>
            <w:tcW w:w="1446" w:type="dxa"/>
          </w:tcPr>
          <w:p w14:paraId="27648853" w14:textId="77777777" w:rsidR="00711444" w:rsidRPr="004D0DAA" w:rsidRDefault="00711444" w:rsidP="00AA2A4C">
            <w:pPr>
              <w:pStyle w:val="TAC"/>
              <w:rPr>
                <w:lang w:eastAsia="en-US"/>
              </w:rPr>
            </w:pPr>
            <w:r w:rsidRPr="004D0DAA">
              <w:rPr>
                <w:lang w:eastAsia="en-US"/>
              </w:rPr>
              <w:t>010111</w:t>
            </w:r>
          </w:p>
        </w:tc>
        <w:tc>
          <w:tcPr>
            <w:tcW w:w="4239" w:type="dxa"/>
          </w:tcPr>
          <w:p w14:paraId="56CEA075" w14:textId="77777777" w:rsidR="00711444" w:rsidRPr="004D0DAA" w:rsidRDefault="00711444" w:rsidP="00AA2A4C">
            <w:pPr>
              <w:pStyle w:val="TAL"/>
              <w:rPr>
                <w:lang w:eastAsia="en-US"/>
              </w:rPr>
            </w:pPr>
            <w:r w:rsidRPr="004D0DAA">
              <w:rPr>
                <w:lang w:eastAsia="en-US"/>
              </w:rPr>
              <w:t>(P3 ; P2 ; P1)</w:t>
            </w:r>
          </w:p>
        </w:tc>
      </w:tr>
      <w:tr w:rsidR="00711444" w:rsidRPr="004D0DAA" w14:paraId="286BF4B9" w14:textId="77777777" w:rsidTr="00AA2A4C">
        <w:tblPrEx>
          <w:tblCellMar>
            <w:top w:w="0" w:type="dxa"/>
            <w:bottom w:w="0" w:type="dxa"/>
          </w:tblCellMar>
        </w:tblPrEx>
        <w:trPr>
          <w:cantSplit/>
          <w:jc w:val="center"/>
        </w:trPr>
        <w:tc>
          <w:tcPr>
            <w:tcW w:w="1446" w:type="dxa"/>
          </w:tcPr>
          <w:p w14:paraId="0DAC08E4" w14:textId="77777777" w:rsidR="00711444" w:rsidRPr="004D0DAA" w:rsidRDefault="00711444" w:rsidP="00AA2A4C">
            <w:pPr>
              <w:pStyle w:val="TAC"/>
              <w:rPr>
                <w:lang w:eastAsia="en-US"/>
              </w:rPr>
            </w:pPr>
            <w:r w:rsidRPr="004D0DAA">
              <w:rPr>
                <w:lang w:eastAsia="en-US"/>
              </w:rPr>
              <w:t>011000</w:t>
            </w:r>
          </w:p>
        </w:tc>
        <w:tc>
          <w:tcPr>
            <w:tcW w:w="4239" w:type="dxa"/>
          </w:tcPr>
          <w:p w14:paraId="1BDDD61E" w14:textId="77777777" w:rsidR="00711444" w:rsidRPr="004D0DAA" w:rsidRDefault="00711444" w:rsidP="00AA2A4C">
            <w:pPr>
              <w:pStyle w:val="TAL"/>
              <w:rPr>
                <w:lang w:eastAsia="en-US"/>
              </w:rPr>
            </w:pPr>
            <w:r w:rsidRPr="004D0DAA">
              <w:rPr>
                <w:lang w:eastAsia="en-US"/>
              </w:rPr>
              <w:t>(P3 ; P2 ; P2)</w:t>
            </w:r>
          </w:p>
        </w:tc>
      </w:tr>
      <w:tr w:rsidR="00711444" w:rsidRPr="004D0DAA" w14:paraId="527E193C" w14:textId="77777777" w:rsidTr="00AA2A4C">
        <w:tblPrEx>
          <w:tblCellMar>
            <w:top w:w="0" w:type="dxa"/>
            <w:bottom w:w="0" w:type="dxa"/>
          </w:tblCellMar>
        </w:tblPrEx>
        <w:trPr>
          <w:cantSplit/>
          <w:jc w:val="center"/>
        </w:trPr>
        <w:tc>
          <w:tcPr>
            <w:tcW w:w="1446" w:type="dxa"/>
          </w:tcPr>
          <w:p w14:paraId="50981D0C" w14:textId="77777777" w:rsidR="00711444" w:rsidRPr="004D0DAA" w:rsidRDefault="00711444" w:rsidP="00AA2A4C">
            <w:pPr>
              <w:pStyle w:val="TAC"/>
              <w:rPr>
                <w:lang w:eastAsia="en-US"/>
              </w:rPr>
            </w:pPr>
            <w:r w:rsidRPr="004D0DAA">
              <w:rPr>
                <w:lang w:eastAsia="en-US"/>
              </w:rPr>
              <w:t>011001</w:t>
            </w:r>
          </w:p>
        </w:tc>
        <w:tc>
          <w:tcPr>
            <w:tcW w:w="4239" w:type="dxa"/>
          </w:tcPr>
          <w:p w14:paraId="769F25E7" w14:textId="77777777" w:rsidR="00711444" w:rsidRPr="004D0DAA" w:rsidRDefault="00711444" w:rsidP="00AA2A4C">
            <w:pPr>
              <w:pStyle w:val="TAL"/>
              <w:rPr>
                <w:lang w:eastAsia="en-US"/>
              </w:rPr>
            </w:pPr>
            <w:r w:rsidRPr="004D0DAA">
              <w:rPr>
                <w:lang w:eastAsia="en-US"/>
              </w:rPr>
              <w:t>(P3 ; P2 ; P3)</w:t>
            </w:r>
          </w:p>
        </w:tc>
      </w:tr>
      <w:tr w:rsidR="00711444" w:rsidRPr="004D0DAA" w14:paraId="72CBDE5C" w14:textId="77777777" w:rsidTr="00AA2A4C">
        <w:tblPrEx>
          <w:tblCellMar>
            <w:top w:w="0" w:type="dxa"/>
            <w:bottom w:w="0" w:type="dxa"/>
          </w:tblCellMar>
        </w:tblPrEx>
        <w:trPr>
          <w:cantSplit/>
          <w:jc w:val="center"/>
        </w:trPr>
        <w:tc>
          <w:tcPr>
            <w:tcW w:w="1446" w:type="dxa"/>
          </w:tcPr>
          <w:p w14:paraId="4A9AF8A0" w14:textId="77777777" w:rsidR="00711444" w:rsidRPr="004D0DAA" w:rsidRDefault="00711444" w:rsidP="00AA2A4C">
            <w:pPr>
              <w:pStyle w:val="TAC"/>
              <w:rPr>
                <w:lang w:eastAsia="en-US"/>
              </w:rPr>
            </w:pPr>
            <w:r w:rsidRPr="004D0DAA">
              <w:rPr>
                <w:lang w:eastAsia="en-US"/>
              </w:rPr>
              <w:t>011010</w:t>
            </w:r>
          </w:p>
        </w:tc>
        <w:tc>
          <w:tcPr>
            <w:tcW w:w="4239" w:type="dxa"/>
          </w:tcPr>
          <w:p w14:paraId="3640E632" w14:textId="77777777" w:rsidR="00711444" w:rsidRPr="004D0DAA" w:rsidRDefault="00711444" w:rsidP="00AA2A4C">
            <w:pPr>
              <w:pStyle w:val="TAL"/>
              <w:rPr>
                <w:lang w:eastAsia="en-US"/>
              </w:rPr>
            </w:pPr>
            <w:r w:rsidRPr="004D0DAA">
              <w:rPr>
                <w:lang w:eastAsia="en-US"/>
              </w:rPr>
              <w:t>(P3 ; P3 ; P1)</w:t>
            </w:r>
          </w:p>
        </w:tc>
      </w:tr>
      <w:tr w:rsidR="00711444" w:rsidRPr="004D0DAA" w14:paraId="2E448CF0" w14:textId="77777777" w:rsidTr="00AA2A4C">
        <w:tblPrEx>
          <w:tblCellMar>
            <w:top w:w="0" w:type="dxa"/>
            <w:bottom w:w="0" w:type="dxa"/>
          </w:tblCellMar>
        </w:tblPrEx>
        <w:trPr>
          <w:cantSplit/>
          <w:jc w:val="center"/>
        </w:trPr>
        <w:tc>
          <w:tcPr>
            <w:tcW w:w="1446" w:type="dxa"/>
          </w:tcPr>
          <w:p w14:paraId="121E533B" w14:textId="77777777" w:rsidR="00711444" w:rsidRPr="004D0DAA" w:rsidRDefault="00711444" w:rsidP="00AA2A4C">
            <w:pPr>
              <w:pStyle w:val="TAC"/>
              <w:rPr>
                <w:lang w:eastAsia="en-US"/>
              </w:rPr>
            </w:pPr>
            <w:r w:rsidRPr="004D0DAA">
              <w:rPr>
                <w:lang w:eastAsia="en-US"/>
              </w:rPr>
              <w:t>011011</w:t>
            </w:r>
          </w:p>
        </w:tc>
        <w:tc>
          <w:tcPr>
            <w:tcW w:w="4239" w:type="dxa"/>
          </w:tcPr>
          <w:p w14:paraId="306BAFD0" w14:textId="77777777" w:rsidR="00711444" w:rsidRPr="004D0DAA" w:rsidRDefault="00711444" w:rsidP="00AA2A4C">
            <w:pPr>
              <w:pStyle w:val="TAL"/>
              <w:rPr>
                <w:lang w:eastAsia="en-US"/>
              </w:rPr>
            </w:pPr>
            <w:r w:rsidRPr="004D0DAA">
              <w:rPr>
                <w:lang w:eastAsia="en-US"/>
              </w:rPr>
              <w:t>(P3 ; P3 ; P2)</w:t>
            </w:r>
          </w:p>
        </w:tc>
      </w:tr>
      <w:tr w:rsidR="00711444" w:rsidRPr="004D0DAA" w14:paraId="4CDDBE97" w14:textId="77777777" w:rsidTr="00AA2A4C">
        <w:tblPrEx>
          <w:tblCellMar>
            <w:top w:w="0" w:type="dxa"/>
            <w:bottom w:w="0" w:type="dxa"/>
          </w:tblCellMar>
        </w:tblPrEx>
        <w:trPr>
          <w:cantSplit/>
          <w:jc w:val="center"/>
        </w:trPr>
        <w:tc>
          <w:tcPr>
            <w:tcW w:w="1446" w:type="dxa"/>
          </w:tcPr>
          <w:p w14:paraId="16DFACE1" w14:textId="77777777" w:rsidR="00711444" w:rsidRPr="004D0DAA" w:rsidRDefault="00711444" w:rsidP="00AA2A4C">
            <w:pPr>
              <w:pStyle w:val="TAC"/>
              <w:rPr>
                <w:lang w:eastAsia="en-US"/>
              </w:rPr>
            </w:pPr>
            <w:r w:rsidRPr="004D0DAA">
              <w:rPr>
                <w:lang w:eastAsia="en-US"/>
              </w:rPr>
              <w:t>011100</w:t>
            </w:r>
          </w:p>
        </w:tc>
        <w:tc>
          <w:tcPr>
            <w:tcW w:w="4239" w:type="dxa"/>
          </w:tcPr>
          <w:p w14:paraId="1DF7F77A" w14:textId="77777777" w:rsidR="00711444" w:rsidRPr="004D0DAA" w:rsidRDefault="00711444" w:rsidP="00AA2A4C">
            <w:pPr>
              <w:pStyle w:val="TAL"/>
              <w:rPr>
                <w:lang w:eastAsia="en-US"/>
              </w:rPr>
            </w:pPr>
            <w:r w:rsidRPr="004D0DAA">
              <w:rPr>
                <w:lang w:eastAsia="en-US"/>
              </w:rPr>
              <w:t>(P3 ; P3 ; P3)</w:t>
            </w:r>
          </w:p>
        </w:tc>
      </w:tr>
      <w:tr w:rsidR="00711444" w:rsidRPr="004D0DAA" w14:paraId="1E75C2C0" w14:textId="77777777" w:rsidTr="00AA2A4C">
        <w:tblPrEx>
          <w:tblCellMar>
            <w:top w:w="0" w:type="dxa"/>
            <w:bottom w:w="0" w:type="dxa"/>
          </w:tblCellMar>
        </w:tblPrEx>
        <w:trPr>
          <w:cantSplit/>
          <w:jc w:val="center"/>
        </w:trPr>
        <w:tc>
          <w:tcPr>
            <w:tcW w:w="1446" w:type="dxa"/>
          </w:tcPr>
          <w:p w14:paraId="71E57454" w14:textId="77777777" w:rsidR="00711444" w:rsidRPr="004D0DAA" w:rsidRDefault="00711444" w:rsidP="00AA2A4C">
            <w:pPr>
              <w:pStyle w:val="TAC"/>
              <w:rPr>
                <w:lang w:eastAsia="en-US"/>
              </w:rPr>
            </w:pPr>
          </w:p>
        </w:tc>
        <w:tc>
          <w:tcPr>
            <w:tcW w:w="4239" w:type="dxa"/>
          </w:tcPr>
          <w:p w14:paraId="0AACB3AE" w14:textId="77777777" w:rsidR="00711444" w:rsidRPr="004D0DAA" w:rsidRDefault="00711444" w:rsidP="00AA2A4C">
            <w:pPr>
              <w:pStyle w:val="TAL"/>
              <w:rPr>
                <w:lang w:eastAsia="en-US"/>
              </w:rPr>
            </w:pPr>
            <w:r w:rsidRPr="004D0DAA">
              <w:rPr>
                <w:lang w:eastAsia="en-US"/>
              </w:rPr>
              <w:t>All the other values are reserved for future use</w:t>
            </w:r>
          </w:p>
        </w:tc>
      </w:tr>
      <w:tr w:rsidR="00711444" w:rsidRPr="004D0DAA" w14:paraId="3B559806" w14:textId="77777777" w:rsidTr="00AA2A4C">
        <w:tblPrEx>
          <w:tblCellMar>
            <w:top w:w="0" w:type="dxa"/>
            <w:bottom w:w="0" w:type="dxa"/>
          </w:tblCellMar>
        </w:tblPrEx>
        <w:trPr>
          <w:cantSplit/>
          <w:jc w:val="center"/>
        </w:trPr>
        <w:tc>
          <w:tcPr>
            <w:tcW w:w="5685" w:type="dxa"/>
            <w:gridSpan w:val="2"/>
          </w:tcPr>
          <w:p w14:paraId="26BCFD7E"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5DB6026F" w14:textId="77777777" w:rsidR="00711444" w:rsidRPr="004D0DAA" w:rsidRDefault="00711444" w:rsidP="00711444"/>
    <w:p w14:paraId="2A883783" w14:textId="77777777" w:rsidR="00711444" w:rsidRPr="004D0DAA" w:rsidRDefault="00711444" w:rsidP="00711444">
      <w:pPr>
        <w:pStyle w:val="Heading4"/>
      </w:pPr>
      <w:bookmarkStart w:id="569" w:name="_Toc516669749"/>
      <w:r w:rsidRPr="004D0DAA">
        <w:t>10.4.8a.9</w:t>
      </w:r>
      <w:r w:rsidRPr="004D0DAA">
        <w:tab/>
        <w:t>Header type 9</w:t>
      </w:r>
      <w:bookmarkEnd w:id="569"/>
    </w:p>
    <w:p w14:paraId="46C6789A" w14:textId="77777777" w:rsidR="00711444" w:rsidRPr="004D0DAA" w:rsidRDefault="00711444" w:rsidP="00711444">
      <w:r w:rsidRPr="004D0DAA">
        <w:t>In downlink, the Coding and Puncturing Scheme indicator field indicates the kind of channel coding and puncturing used for data block as defined in table 10.4.8a.9.1 and table 10.4.8a.9.3.</w:t>
      </w:r>
    </w:p>
    <w:p w14:paraId="470D87E2" w14:textId="77777777" w:rsidR="00711444" w:rsidRPr="004D0DAA" w:rsidRDefault="00711444" w:rsidP="00711444">
      <w:pPr>
        <w:pStyle w:val="TH"/>
      </w:pPr>
      <w:r w:rsidRPr="004D0DAA">
        <w:t xml:space="preserve">Table 10.4.8a.9.1: Bit 8 of Coding and Puncturing Scheme indicator field for </w:t>
      </w:r>
      <w:r w:rsidRPr="004D0DAA">
        <w:br/>
        <w:t>Header type 9 in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56F9A647" w14:textId="77777777" w:rsidTr="00AA2A4C">
        <w:tblPrEx>
          <w:tblCellMar>
            <w:top w:w="0" w:type="dxa"/>
            <w:bottom w:w="0" w:type="dxa"/>
          </w:tblCellMar>
        </w:tblPrEx>
        <w:trPr>
          <w:cantSplit/>
          <w:jc w:val="center"/>
        </w:trPr>
        <w:tc>
          <w:tcPr>
            <w:tcW w:w="1446" w:type="dxa"/>
          </w:tcPr>
          <w:p w14:paraId="6D22BE11" w14:textId="77777777" w:rsidR="00711444" w:rsidRPr="004D0DAA" w:rsidRDefault="00711444" w:rsidP="00AA2A4C">
            <w:pPr>
              <w:pStyle w:val="TAH"/>
              <w:rPr>
                <w:lang w:eastAsia="en-US"/>
              </w:rPr>
            </w:pPr>
            <w:r w:rsidRPr="004D0DAA">
              <w:rPr>
                <w:lang w:eastAsia="en-US"/>
              </w:rPr>
              <w:t>bit</w:t>
            </w:r>
            <w:r w:rsidRPr="004D0DAA">
              <w:rPr>
                <w:lang w:eastAsia="en-US"/>
              </w:rPr>
              <w:br/>
              <w:t>8</w:t>
            </w:r>
          </w:p>
        </w:tc>
        <w:tc>
          <w:tcPr>
            <w:tcW w:w="4239" w:type="dxa"/>
          </w:tcPr>
          <w:p w14:paraId="68E291A0" w14:textId="77777777" w:rsidR="00711444" w:rsidRPr="004D0DAA" w:rsidRDefault="00711444" w:rsidP="00AA2A4C">
            <w:pPr>
              <w:pStyle w:val="TAH"/>
              <w:rPr>
                <w:lang w:eastAsia="en-US"/>
              </w:rPr>
            </w:pPr>
            <w:r w:rsidRPr="004D0DAA">
              <w:rPr>
                <w:lang w:eastAsia="en-US"/>
              </w:rPr>
              <w:t>CPS</w:t>
            </w:r>
          </w:p>
        </w:tc>
      </w:tr>
      <w:tr w:rsidR="00711444" w:rsidRPr="004D0DAA" w14:paraId="3FD6BD67" w14:textId="77777777" w:rsidTr="00AA2A4C">
        <w:tblPrEx>
          <w:tblCellMar>
            <w:top w:w="0" w:type="dxa"/>
            <w:bottom w:w="0" w:type="dxa"/>
          </w:tblCellMar>
        </w:tblPrEx>
        <w:trPr>
          <w:cantSplit/>
          <w:jc w:val="center"/>
        </w:trPr>
        <w:tc>
          <w:tcPr>
            <w:tcW w:w="1446" w:type="dxa"/>
          </w:tcPr>
          <w:p w14:paraId="426CD500" w14:textId="77777777" w:rsidR="00711444" w:rsidRPr="004D0DAA" w:rsidRDefault="00711444" w:rsidP="00AA2A4C">
            <w:pPr>
              <w:pStyle w:val="TAC"/>
              <w:rPr>
                <w:lang w:eastAsia="en-US"/>
              </w:rPr>
            </w:pPr>
            <w:r w:rsidRPr="004D0DAA">
              <w:rPr>
                <w:lang w:eastAsia="en-US"/>
              </w:rPr>
              <w:t>0</w:t>
            </w:r>
          </w:p>
        </w:tc>
        <w:tc>
          <w:tcPr>
            <w:tcW w:w="4239" w:type="dxa"/>
          </w:tcPr>
          <w:p w14:paraId="6434275B" w14:textId="77777777" w:rsidR="00711444" w:rsidRPr="004D0DAA" w:rsidRDefault="00711444" w:rsidP="00AA2A4C">
            <w:pPr>
              <w:pStyle w:val="TAH"/>
              <w:rPr>
                <w:lang w:eastAsia="en-US"/>
              </w:rPr>
            </w:pPr>
            <w:r w:rsidRPr="004D0DAA">
              <w:rPr>
                <w:b w:val="0"/>
                <w:bCs/>
                <w:lang w:eastAsia="en-US"/>
              </w:rPr>
              <w:t>DBS-11</w:t>
            </w:r>
          </w:p>
        </w:tc>
      </w:tr>
      <w:tr w:rsidR="00711444" w:rsidRPr="004D0DAA" w14:paraId="25AA1D4A" w14:textId="77777777" w:rsidTr="00AA2A4C">
        <w:tblPrEx>
          <w:tblCellMar>
            <w:top w:w="0" w:type="dxa"/>
            <w:bottom w:w="0" w:type="dxa"/>
          </w:tblCellMar>
        </w:tblPrEx>
        <w:trPr>
          <w:cantSplit/>
          <w:jc w:val="center"/>
        </w:trPr>
        <w:tc>
          <w:tcPr>
            <w:tcW w:w="1446" w:type="dxa"/>
          </w:tcPr>
          <w:p w14:paraId="2C2CEF1D" w14:textId="77777777" w:rsidR="00711444" w:rsidRPr="004D0DAA" w:rsidRDefault="00711444" w:rsidP="00AA2A4C">
            <w:pPr>
              <w:pStyle w:val="TAC"/>
              <w:rPr>
                <w:lang w:eastAsia="en-US"/>
              </w:rPr>
            </w:pPr>
            <w:r w:rsidRPr="004D0DAA">
              <w:rPr>
                <w:lang w:eastAsia="en-US"/>
              </w:rPr>
              <w:t>1</w:t>
            </w:r>
          </w:p>
        </w:tc>
        <w:tc>
          <w:tcPr>
            <w:tcW w:w="4239" w:type="dxa"/>
          </w:tcPr>
          <w:p w14:paraId="52DDE514" w14:textId="77777777" w:rsidR="00711444" w:rsidRPr="004D0DAA" w:rsidRDefault="00711444" w:rsidP="00AA2A4C">
            <w:pPr>
              <w:pStyle w:val="TAH"/>
              <w:rPr>
                <w:lang w:eastAsia="en-US"/>
              </w:rPr>
            </w:pPr>
            <w:r w:rsidRPr="004D0DAA">
              <w:rPr>
                <w:b w:val="0"/>
                <w:bCs/>
                <w:lang w:eastAsia="en-US"/>
              </w:rPr>
              <w:t>DBS-12</w:t>
            </w:r>
          </w:p>
        </w:tc>
      </w:tr>
      <w:tr w:rsidR="00711444" w:rsidRPr="004D0DAA" w14:paraId="495B4F15" w14:textId="77777777" w:rsidTr="00AA2A4C">
        <w:tblPrEx>
          <w:tblCellMar>
            <w:top w:w="0" w:type="dxa"/>
            <w:bottom w:w="0" w:type="dxa"/>
          </w:tblCellMar>
        </w:tblPrEx>
        <w:trPr>
          <w:cantSplit/>
          <w:jc w:val="center"/>
        </w:trPr>
        <w:tc>
          <w:tcPr>
            <w:tcW w:w="5685" w:type="dxa"/>
            <w:gridSpan w:val="2"/>
          </w:tcPr>
          <w:p w14:paraId="0A325E60"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4EF5BA09" w14:textId="77777777" w:rsidR="00711444" w:rsidRPr="004D0DAA" w:rsidRDefault="00711444" w:rsidP="00711444"/>
    <w:p w14:paraId="43EECA34" w14:textId="77777777" w:rsidR="00711444" w:rsidRPr="004D0DAA" w:rsidRDefault="00711444" w:rsidP="00711444">
      <w:r w:rsidRPr="004D0DAA">
        <w:t>In uplink, the Coding and Puncturing Scheme indicator field indicates the kind of channel coding and puncturing used for data block as defined in table 10.4.8a.9.2 and table 10.4.8a.9.3.</w:t>
      </w:r>
    </w:p>
    <w:p w14:paraId="3AD00C0D" w14:textId="77777777" w:rsidR="00711444" w:rsidRPr="004D0DAA" w:rsidRDefault="00711444" w:rsidP="00711444">
      <w:pPr>
        <w:pStyle w:val="TH"/>
      </w:pPr>
      <w:r w:rsidRPr="004D0DAA">
        <w:t xml:space="preserve">Table 10.4.8a.9.2: Bit 8 of Coding and Puncturing Scheme indicator field for </w:t>
      </w:r>
      <w:r w:rsidRPr="004D0DAA">
        <w:br/>
        <w:t>Header type 9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3BCAB3A6" w14:textId="77777777" w:rsidTr="00AA2A4C">
        <w:tblPrEx>
          <w:tblCellMar>
            <w:top w:w="0" w:type="dxa"/>
            <w:bottom w:w="0" w:type="dxa"/>
          </w:tblCellMar>
        </w:tblPrEx>
        <w:trPr>
          <w:cantSplit/>
          <w:jc w:val="center"/>
        </w:trPr>
        <w:tc>
          <w:tcPr>
            <w:tcW w:w="1446" w:type="dxa"/>
          </w:tcPr>
          <w:p w14:paraId="5A6B1C6C" w14:textId="77777777" w:rsidR="00711444" w:rsidRPr="004D0DAA" w:rsidRDefault="00711444" w:rsidP="00AA2A4C">
            <w:pPr>
              <w:pStyle w:val="TAH"/>
              <w:rPr>
                <w:lang w:eastAsia="en-US"/>
              </w:rPr>
            </w:pPr>
            <w:r w:rsidRPr="004D0DAA">
              <w:rPr>
                <w:lang w:eastAsia="en-US"/>
              </w:rPr>
              <w:t>bit</w:t>
            </w:r>
            <w:r w:rsidRPr="004D0DAA">
              <w:rPr>
                <w:lang w:eastAsia="en-US"/>
              </w:rPr>
              <w:br/>
              <w:t>8</w:t>
            </w:r>
          </w:p>
        </w:tc>
        <w:tc>
          <w:tcPr>
            <w:tcW w:w="4239" w:type="dxa"/>
          </w:tcPr>
          <w:p w14:paraId="5A2E42EF" w14:textId="77777777" w:rsidR="00711444" w:rsidRPr="004D0DAA" w:rsidRDefault="00711444" w:rsidP="00AA2A4C">
            <w:pPr>
              <w:pStyle w:val="TAH"/>
              <w:rPr>
                <w:lang w:eastAsia="en-US"/>
              </w:rPr>
            </w:pPr>
            <w:r w:rsidRPr="004D0DAA">
              <w:rPr>
                <w:lang w:eastAsia="en-US"/>
              </w:rPr>
              <w:t>CPS</w:t>
            </w:r>
          </w:p>
        </w:tc>
      </w:tr>
      <w:tr w:rsidR="00711444" w:rsidRPr="004D0DAA" w14:paraId="1583EB7A" w14:textId="77777777" w:rsidTr="00AA2A4C">
        <w:tblPrEx>
          <w:tblCellMar>
            <w:top w:w="0" w:type="dxa"/>
            <w:bottom w:w="0" w:type="dxa"/>
          </w:tblCellMar>
        </w:tblPrEx>
        <w:trPr>
          <w:cantSplit/>
          <w:jc w:val="center"/>
        </w:trPr>
        <w:tc>
          <w:tcPr>
            <w:tcW w:w="1446" w:type="dxa"/>
          </w:tcPr>
          <w:p w14:paraId="6A5AC590" w14:textId="77777777" w:rsidR="00711444" w:rsidRPr="004D0DAA" w:rsidRDefault="00711444" w:rsidP="00AA2A4C">
            <w:pPr>
              <w:pStyle w:val="TAH"/>
              <w:rPr>
                <w:lang w:eastAsia="en-US"/>
              </w:rPr>
            </w:pPr>
            <w:r w:rsidRPr="004D0DAA">
              <w:rPr>
                <w:b w:val="0"/>
                <w:bCs/>
                <w:lang w:eastAsia="en-US"/>
              </w:rPr>
              <w:t>0</w:t>
            </w:r>
          </w:p>
        </w:tc>
        <w:tc>
          <w:tcPr>
            <w:tcW w:w="4239" w:type="dxa"/>
          </w:tcPr>
          <w:p w14:paraId="375A127C" w14:textId="77777777" w:rsidR="00711444" w:rsidRPr="004D0DAA" w:rsidRDefault="00711444" w:rsidP="00AA2A4C">
            <w:pPr>
              <w:pStyle w:val="TAH"/>
              <w:rPr>
                <w:lang w:eastAsia="en-US"/>
              </w:rPr>
            </w:pPr>
            <w:r w:rsidRPr="004D0DAA">
              <w:rPr>
                <w:b w:val="0"/>
                <w:bCs/>
                <w:lang w:eastAsia="en-US"/>
              </w:rPr>
              <w:t>UBS-11</w:t>
            </w:r>
          </w:p>
        </w:tc>
      </w:tr>
      <w:tr w:rsidR="00711444" w:rsidRPr="004D0DAA" w14:paraId="54EF5BBD" w14:textId="77777777" w:rsidTr="00AA2A4C">
        <w:tblPrEx>
          <w:tblCellMar>
            <w:top w:w="0" w:type="dxa"/>
            <w:bottom w:w="0" w:type="dxa"/>
          </w:tblCellMar>
        </w:tblPrEx>
        <w:trPr>
          <w:cantSplit/>
          <w:jc w:val="center"/>
        </w:trPr>
        <w:tc>
          <w:tcPr>
            <w:tcW w:w="1446" w:type="dxa"/>
          </w:tcPr>
          <w:p w14:paraId="00ED654A" w14:textId="77777777" w:rsidR="00711444" w:rsidRPr="004D0DAA" w:rsidRDefault="00711444" w:rsidP="00AA2A4C">
            <w:pPr>
              <w:pStyle w:val="TAH"/>
              <w:rPr>
                <w:lang w:eastAsia="en-US"/>
              </w:rPr>
            </w:pPr>
            <w:r w:rsidRPr="004D0DAA">
              <w:rPr>
                <w:b w:val="0"/>
                <w:bCs/>
                <w:lang w:eastAsia="en-US"/>
              </w:rPr>
              <w:t>1</w:t>
            </w:r>
          </w:p>
        </w:tc>
        <w:tc>
          <w:tcPr>
            <w:tcW w:w="4239" w:type="dxa"/>
          </w:tcPr>
          <w:p w14:paraId="2E5383AD" w14:textId="77777777" w:rsidR="00711444" w:rsidRPr="004D0DAA" w:rsidRDefault="00711444" w:rsidP="00AA2A4C">
            <w:pPr>
              <w:pStyle w:val="TAH"/>
              <w:rPr>
                <w:lang w:eastAsia="en-US"/>
              </w:rPr>
            </w:pPr>
            <w:r w:rsidRPr="004D0DAA">
              <w:rPr>
                <w:b w:val="0"/>
                <w:bCs/>
                <w:lang w:eastAsia="en-US"/>
              </w:rPr>
              <w:t>UBS-12</w:t>
            </w:r>
          </w:p>
        </w:tc>
      </w:tr>
      <w:tr w:rsidR="00711444" w:rsidRPr="004D0DAA" w14:paraId="62D28703" w14:textId="77777777" w:rsidTr="00AA2A4C">
        <w:tblPrEx>
          <w:tblCellMar>
            <w:top w:w="0" w:type="dxa"/>
            <w:bottom w:w="0" w:type="dxa"/>
          </w:tblCellMar>
        </w:tblPrEx>
        <w:trPr>
          <w:cantSplit/>
          <w:jc w:val="center"/>
        </w:trPr>
        <w:tc>
          <w:tcPr>
            <w:tcW w:w="5685" w:type="dxa"/>
            <w:gridSpan w:val="2"/>
          </w:tcPr>
          <w:p w14:paraId="7D9F4978"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41927932" w14:textId="77777777" w:rsidR="00711444" w:rsidRPr="004D0DAA" w:rsidRDefault="00711444" w:rsidP="00711444"/>
    <w:p w14:paraId="2B405DB7" w14:textId="77777777" w:rsidR="00711444" w:rsidRPr="004D0DAA" w:rsidRDefault="00711444" w:rsidP="00711444">
      <w:pPr>
        <w:pStyle w:val="TH"/>
      </w:pPr>
      <w:r w:rsidRPr="004D0DAA">
        <w:lastRenderedPageBreak/>
        <w:t xml:space="preserve">Table 10.4.8a.9.3: Bits 1 to 7 of Coding and Puncturing Scheme indicator field for </w:t>
      </w:r>
      <w:r w:rsidRPr="004D0DAA">
        <w:br/>
        <w:t>Header type 9 common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4DE461D6" w14:textId="77777777" w:rsidTr="00AA2A4C">
        <w:tblPrEx>
          <w:tblCellMar>
            <w:top w:w="0" w:type="dxa"/>
            <w:bottom w:w="0" w:type="dxa"/>
          </w:tblCellMar>
        </w:tblPrEx>
        <w:trPr>
          <w:cantSplit/>
          <w:jc w:val="center"/>
        </w:trPr>
        <w:tc>
          <w:tcPr>
            <w:tcW w:w="1446" w:type="dxa"/>
          </w:tcPr>
          <w:p w14:paraId="5F57F432" w14:textId="77777777" w:rsidR="00711444" w:rsidRPr="004D0DAA" w:rsidRDefault="00711444" w:rsidP="00AA2A4C">
            <w:pPr>
              <w:pStyle w:val="TAH"/>
              <w:rPr>
                <w:lang w:eastAsia="en-US"/>
              </w:rPr>
            </w:pPr>
            <w:r w:rsidRPr="004D0DAA">
              <w:rPr>
                <w:lang w:eastAsia="en-US"/>
              </w:rPr>
              <w:t>bits</w:t>
            </w:r>
            <w:r w:rsidRPr="004D0DAA">
              <w:rPr>
                <w:lang w:eastAsia="en-US"/>
              </w:rPr>
              <w:br/>
              <w:t>7654321</w:t>
            </w:r>
          </w:p>
        </w:tc>
        <w:tc>
          <w:tcPr>
            <w:tcW w:w="4239" w:type="dxa"/>
          </w:tcPr>
          <w:p w14:paraId="4C3FFD47" w14:textId="77777777" w:rsidR="00711444" w:rsidRPr="004D0DAA" w:rsidRDefault="00711444" w:rsidP="00AA2A4C">
            <w:pPr>
              <w:pStyle w:val="TAH"/>
              <w:rPr>
                <w:lang w:eastAsia="en-US"/>
              </w:rPr>
            </w:pPr>
            <w:r w:rsidRPr="004D0DAA">
              <w:rPr>
                <w:lang w:eastAsia="en-US"/>
              </w:rPr>
              <w:t>CPS</w:t>
            </w:r>
          </w:p>
        </w:tc>
      </w:tr>
      <w:tr w:rsidR="00711444" w:rsidRPr="004D0DAA" w14:paraId="2843BFCA" w14:textId="77777777" w:rsidTr="00AA2A4C">
        <w:tblPrEx>
          <w:tblCellMar>
            <w:top w:w="0" w:type="dxa"/>
            <w:bottom w:w="0" w:type="dxa"/>
          </w:tblCellMar>
        </w:tblPrEx>
        <w:trPr>
          <w:cantSplit/>
          <w:jc w:val="center"/>
        </w:trPr>
        <w:tc>
          <w:tcPr>
            <w:tcW w:w="1446" w:type="dxa"/>
          </w:tcPr>
          <w:p w14:paraId="4D8A2ECD" w14:textId="77777777" w:rsidR="00711444" w:rsidRPr="004D0DAA" w:rsidRDefault="00711444" w:rsidP="00AA2A4C">
            <w:pPr>
              <w:pStyle w:val="TAC"/>
              <w:rPr>
                <w:lang w:eastAsia="en-US"/>
              </w:rPr>
            </w:pPr>
            <w:r w:rsidRPr="004D0DAA">
              <w:rPr>
                <w:lang w:eastAsia="en-US"/>
              </w:rPr>
              <w:t>0000000</w:t>
            </w:r>
          </w:p>
        </w:tc>
        <w:tc>
          <w:tcPr>
            <w:tcW w:w="4239" w:type="dxa"/>
          </w:tcPr>
          <w:p w14:paraId="49324311" w14:textId="77777777" w:rsidR="00711444" w:rsidRPr="004D0DAA" w:rsidRDefault="00711444" w:rsidP="00AA2A4C">
            <w:pPr>
              <w:pStyle w:val="TAL"/>
              <w:rPr>
                <w:lang w:eastAsia="en-US"/>
              </w:rPr>
            </w:pPr>
            <w:r w:rsidRPr="004D0DAA">
              <w:rPr>
                <w:lang w:eastAsia="en-US"/>
              </w:rPr>
              <w:t>(P1 ; P1 ; P1; P1)</w:t>
            </w:r>
          </w:p>
        </w:tc>
      </w:tr>
      <w:tr w:rsidR="00711444" w:rsidRPr="004D0DAA" w14:paraId="7F7EA42D" w14:textId="77777777" w:rsidTr="00AA2A4C">
        <w:tblPrEx>
          <w:tblCellMar>
            <w:top w:w="0" w:type="dxa"/>
            <w:bottom w:w="0" w:type="dxa"/>
          </w:tblCellMar>
        </w:tblPrEx>
        <w:trPr>
          <w:cantSplit/>
          <w:jc w:val="center"/>
        </w:trPr>
        <w:tc>
          <w:tcPr>
            <w:tcW w:w="1446" w:type="dxa"/>
          </w:tcPr>
          <w:p w14:paraId="4A216F57" w14:textId="77777777" w:rsidR="00711444" w:rsidRPr="004D0DAA" w:rsidRDefault="00711444" w:rsidP="00AA2A4C">
            <w:pPr>
              <w:pStyle w:val="TAC"/>
              <w:rPr>
                <w:lang w:eastAsia="en-US"/>
              </w:rPr>
            </w:pPr>
            <w:r w:rsidRPr="004D0DAA">
              <w:rPr>
                <w:lang w:eastAsia="en-US"/>
              </w:rPr>
              <w:t>0000001</w:t>
            </w:r>
          </w:p>
        </w:tc>
        <w:tc>
          <w:tcPr>
            <w:tcW w:w="4239" w:type="dxa"/>
          </w:tcPr>
          <w:p w14:paraId="7FB936F7" w14:textId="77777777" w:rsidR="00711444" w:rsidRPr="004D0DAA" w:rsidRDefault="00711444" w:rsidP="00AA2A4C">
            <w:pPr>
              <w:pStyle w:val="TAL"/>
              <w:rPr>
                <w:lang w:eastAsia="en-US"/>
              </w:rPr>
            </w:pPr>
            <w:r w:rsidRPr="004D0DAA">
              <w:rPr>
                <w:lang w:eastAsia="en-US"/>
              </w:rPr>
              <w:t>(P1 ; P1 ; P1; P2)</w:t>
            </w:r>
          </w:p>
        </w:tc>
      </w:tr>
      <w:tr w:rsidR="00711444" w:rsidRPr="004D0DAA" w14:paraId="3F60CD1D" w14:textId="77777777" w:rsidTr="00AA2A4C">
        <w:tblPrEx>
          <w:tblCellMar>
            <w:top w:w="0" w:type="dxa"/>
            <w:bottom w:w="0" w:type="dxa"/>
          </w:tblCellMar>
        </w:tblPrEx>
        <w:trPr>
          <w:cantSplit/>
          <w:jc w:val="center"/>
        </w:trPr>
        <w:tc>
          <w:tcPr>
            <w:tcW w:w="1446" w:type="dxa"/>
          </w:tcPr>
          <w:p w14:paraId="386D5BB1" w14:textId="77777777" w:rsidR="00711444" w:rsidRPr="004D0DAA" w:rsidRDefault="00711444" w:rsidP="00AA2A4C">
            <w:pPr>
              <w:pStyle w:val="TAC"/>
              <w:rPr>
                <w:lang w:eastAsia="en-US"/>
              </w:rPr>
            </w:pPr>
            <w:r w:rsidRPr="004D0DAA">
              <w:rPr>
                <w:lang w:eastAsia="en-US"/>
              </w:rPr>
              <w:t>0000010</w:t>
            </w:r>
          </w:p>
        </w:tc>
        <w:tc>
          <w:tcPr>
            <w:tcW w:w="4239" w:type="dxa"/>
          </w:tcPr>
          <w:p w14:paraId="56636D31" w14:textId="77777777" w:rsidR="00711444" w:rsidRPr="004D0DAA" w:rsidRDefault="00711444" w:rsidP="00AA2A4C">
            <w:pPr>
              <w:pStyle w:val="TAL"/>
              <w:rPr>
                <w:lang w:eastAsia="en-US"/>
              </w:rPr>
            </w:pPr>
            <w:r w:rsidRPr="004D0DAA">
              <w:rPr>
                <w:lang w:eastAsia="en-US"/>
              </w:rPr>
              <w:t>(P1 ; P1 ; P1; P3)</w:t>
            </w:r>
          </w:p>
        </w:tc>
      </w:tr>
      <w:tr w:rsidR="00711444" w:rsidRPr="004D0DAA" w14:paraId="5363A7A5" w14:textId="77777777" w:rsidTr="00AA2A4C">
        <w:tblPrEx>
          <w:tblCellMar>
            <w:top w:w="0" w:type="dxa"/>
            <w:bottom w:w="0" w:type="dxa"/>
          </w:tblCellMar>
        </w:tblPrEx>
        <w:trPr>
          <w:cantSplit/>
          <w:jc w:val="center"/>
        </w:trPr>
        <w:tc>
          <w:tcPr>
            <w:tcW w:w="1446" w:type="dxa"/>
          </w:tcPr>
          <w:p w14:paraId="7FA9A2FB" w14:textId="77777777" w:rsidR="00711444" w:rsidRPr="004D0DAA" w:rsidRDefault="00711444" w:rsidP="00AA2A4C">
            <w:pPr>
              <w:pStyle w:val="TAC"/>
              <w:rPr>
                <w:lang w:eastAsia="en-US"/>
              </w:rPr>
            </w:pPr>
            <w:r w:rsidRPr="004D0DAA">
              <w:rPr>
                <w:lang w:eastAsia="en-US"/>
              </w:rPr>
              <w:t>0000011</w:t>
            </w:r>
          </w:p>
        </w:tc>
        <w:tc>
          <w:tcPr>
            <w:tcW w:w="4239" w:type="dxa"/>
          </w:tcPr>
          <w:p w14:paraId="29DE6208" w14:textId="77777777" w:rsidR="00711444" w:rsidRPr="004D0DAA" w:rsidRDefault="00711444" w:rsidP="00AA2A4C">
            <w:pPr>
              <w:pStyle w:val="TAL"/>
              <w:rPr>
                <w:lang w:eastAsia="en-US"/>
              </w:rPr>
            </w:pPr>
            <w:r w:rsidRPr="004D0DAA">
              <w:rPr>
                <w:lang w:eastAsia="en-US"/>
              </w:rPr>
              <w:t>(P1 ; P1 ; P2; P1)</w:t>
            </w:r>
          </w:p>
        </w:tc>
      </w:tr>
      <w:tr w:rsidR="00711444" w:rsidRPr="004D0DAA" w14:paraId="5C6577C3" w14:textId="77777777" w:rsidTr="00AA2A4C">
        <w:tblPrEx>
          <w:tblCellMar>
            <w:top w:w="0" w:type="dxa"/>
            <w:bottom w:w="0" w:type="dxa"/>
          </w:tblCellMar>
        </w:tblPrEx>
        <w:trPr>
          <w:cantSplit/>
          <w:jc w:val="center"/>
        </w:trPr>
        <w:tc>
          <w:tcPr>
            <w:tcW w:w="1446" w:type="dxa"/>
          </w:tcPr>
          <w:p w14:paraId="31233D82" w14:textId="77777777" w:rsidR="00711444" w:rsidRPr="004D0DAA" w:rsidRDefault="00711444" w:rsidP="00AA2A4C">
            <w:pPr>
              <w:pStyle w:val="TAC"/>
              <w:rPr>
                <w:lang w:eastAsia="en-US"/>
              </w:rPr>
            </w:pPr>
            <w:r w:rsidRPr="004D0DAA">
              <w:rPr>
                <w:lang w:eastAsia="en-US"/>
              </w:rPr>
              <w:t>0000100</w:t>
            </w:r>
          </w:p>
        </w:tc>
        <w:tc>
          <w:tcPr>
            <w:tcW w:w="4239" w:type="dxa"/>
          </w:tcPr>
          <w:p w14:paraId="2FFB7287" w14:textId="77777777" w:rsidR="00711444" w:rsidRPr="004D0DAA" w:rsidRDefault="00711444" w:rsidP="00AA2A4C">
            <w:pPr>
              <w:pStyle w:val="TAL"/>
              <w:rPr>
                <w:lang w:eastAsia="en-US"/>
              </w:rPr>
            </w:pPr>
            <w:r w:rsidRPr="004D0DAA">
              <w:rPr>
                <w:lang w:eastAsia="en-US"/>
              </w:rPr>
              <w:t>(P1 ; P1 ; P2; P2)</w:t>
            </w:r>
          </w:p>
        </w:tc>
      </w:tr>
      <w:tr w:rsidR="00711444" w:rsidRPr="004D0DAA" w14:paraId="623D82C0" w14:textId="77777777" w:rsidTr="00AA2A4C">
        <w:tblPrEx>
          <w:tblCellMar>
            <w:top w:w="0" w:type="dxa"/>
            <w:bottom w:w="0" w:type="dxa"/>
          </w:tblCellMar>
        </w:tblPrEx>
        <w:trPr>
          <w:cantSplit/>
          <w:jc w:val="center"/>
        </w:trPr>
        <w:tc>
          <w:tcPr>
            <w:tcW w:w="1446" w:type="dxa"/>
          </w:tcPr>
          <w:p w14:paraId="3BB0620F" w14:textId="77777777" w:rsidR="00711444" w:rsidRPr="004D0DAA" w:rsidRDefault="00711444" w:rsidP="00AA2A4C">
            <w:pPr>
              <w:pStyle w:val="TAC"/>
              <w:rPr>
                <w:lang w:eastAsia="en-US"/>
              </w:rPr>
            </w:pPr>
            <w:r w:rsidRPr="004D0DAA">
              <w:rPr>
                <w:lang w:eastAsia="en-US"/>
              </w:rPr>
              <w:t>0000101</w:t>
            </w:r>
          </w:p>
        </w:tc>
        <w:tc>
          <w:tcPr>
            <w:tcW w:w="4239" w:type="dxa"/>
          </w:tcPr>
          <w:p w14:paraId="78AEBAB4" w14:textId="77777777" w:rsidR="00711444" w:rsidRPr="004D0DAA" w:rsidRDefault="00711444" w:rsidP="00AA2A4C">
            <w:pPr>
              <w:pStyle w:val="TAL"/>
              <w:rPr>
                <w:lang w:eastAsia="en-US"/>
              </w:rPr>
            </w:pPr>
            <w:r w:rsidRPr="004D0DAA">
              <w:rPr>
                <w:lang w:eastAsia="en-US"/>
              </w:rPr>
              <w:t>(P1 ; P1 ; P2; P3)</w:t>
            </w:r>
          </w:p>
        </w:tc>
      </w:tr>
      <w:tr w:rsidR="00711444" w:rsidRPr="004D0DAA" w14:paraId="6DD12788" w14:textId="77777777" w:rsidTr="00AA2A4C">
        <w:tblPrEx>
          <w:tblCellMar>
            <w:top w:w="0" w:type="dxa"/>
            <w:bottom w:w="0" w:type="dxa"/>
          </w:tblCellMar>
        </w:tblPrEx>
        <w:trPr>
          <w:cantSplit/>
          <w:jc w:val="center"/>
        </w:trPr>
        <w:tc>
          <w:tcPr>
            <w:tcW w:w="1446" w:type="dxa"/>
          </w:tcPr>
          <w:p w14:paraId="6CCDE739" w14:textId="77777777" w:rsidR="00711444" w:rsidRPr="004D0DAA" w:rsidRDefault="00711444" w:rsidP="00AA2A4C">
            <w:pPr>
              <w:pStyle w:val="TAC"/>
              <w:rPr>
                <w:lang w:eastAsia="en-US"/>
              </w:rPr>
            </w:pPr>
            <w:r w:rsidRPr="004D0DAA">
              <w:rPr>
                <w:lang w:eastAsia="en-US"/>
              </w:rPr>
              <w:t>0000110</w:t>
            </w:r>
          </w:p>
        </w:tc>
        <w:tc>
          <w:tcPr>
            <w:tcW w:w="4239" w:type="dxa"/>
          </w:tcPr>
          <w:p w14:paraId="322C6FFE" w14:textId="77777777" w:rsidR="00711444" w:rsidRPr="004D0DAA" w:rsidRDefault="00711444" w:rsidP="00AA2A4C">
            <w:pPr>
              <w:pStyle w:val="TAL"/>
              <w:rPr>
                <w:lang w:eastAsia="en-US"/>
              </w:rPr>
            </w:pPr>
            <w:r w:rsidRPr="004D0DAA">
              <w:rPr>
                <w:lang w:eastAsia="en-US"/>
              </w:rPr>
              <w:t>(P1 ; P1 ; P3; P1)</w:t>
            </w:r>
          </w:p>
        </w:tc>
      </w:tr>
      <w:tr w:rsidR="00711444" w:rsidRPr="004D0DAA" w14:paraId="78149A82" w14:textId="77777777" w:rsidTr="00AA2A4C">
        <w:tblPrEx>
          <w:tblCellMar>
            <w:top w:w="0" w:type="dxa"/>
            <w:bottom w:w="0" w:type="dxa"/>
          </w:tblCellMar>
        </w:tblPrEx>
        <w:trPr>
          <w:cantSplit/>
          <w:jc w:val="center"/>
        </w:trPr>
        <w:tc>
          <w:tcPr>
            <w:tcW w:w="1446" w:type="dxa"/>
          </w:tcPr>
          <w:p w14:paraId="0BE67875" w14:textId="77777777" w:rsidR="00711444" w:rsidRPr="004D0DAA" w:rsidRDefault="00711444" w:rsidP="00AA2A4C">
            <w:pPr>
              <w:pStyle w:val="TAC"/>
              <w:rPr>
                <w:lang w:eastAsia="en-US"/>
              </w:rPr>
            </w:pPr>
            <w:r w:rsidRPr="004D0DAA">
              <w:rPr>
                <w:lang w:eastAsia="en-US"/>
              </w:rPr>
              <w:t>0000111</w:t>
            </w:r>
          </w:p>
        </w:tc>
        <w:tc>
          <w:tcPr>
            <w:tcW w:w="4239" w:type="dxa"/>
          </w:tcPr>
          <w:p w14:paraId="23A7D149" w14:textId="77777777" w:rsidR="00711444" w:rsidRPr="004D0DAA" w:rsidRDefault="00711444" w:rsidP="00AA2A4C">
            <w:pPr>
              <w:pStyle w:val="TAL"/>
              <w:rPr>
                <w:lang w:eastAsia="en-US"/>
              </w:rPr>
            </w:pPr>
            <w:r w:rsidRPr="004D0DAA">
              <w:rPr>
                <w:lang w:eastAsia="en-US"/>
              </w:rPr>
              <w:t>(P1 ; P1 ; P3; P2)</w:t>
            </w:r>
          </w:p>
        </w:tc>
      </w:tr>
      <w:tr w:rsidR="00711444" w:rsidRPr="004D0DAA" w14:paraId="58E6F234" w14:textId="77777777" w:rsidTr="00AA2A4C">
        <w:tblPrEx>
          <w:tblCellMar>
            <w:top w:w="0" w:type="dxa"/>
            <w:bottom w:w="0" w:type="dxa"/>
          </w:tblCellMar>
        </w:tblPrEx>
        <w:trPr>
          <w:cantSplit/>
          <w:jc w:val="center"/>
        </w:trPr>
        <w:tc>
          <w:tcPr>
            <w:tcW w:w="1446" w:type="dxa"/>
          </w:tcPr>
          <w:p w14:paraId="497867E2" w14:textId="77777777" w:rsidR="00711444" w:rsidRPr="004D0DAA" w:rsidRDefault="00711444" w:rsidP="00AA2A4C">
            <w:pPr>
              <w:pStyle w:val="TAC"/>
              <w:rPr>
                <w:lang w:eastAsia="en-US"/>
              </w:rPr>
            </w:pPr>
            <w:r w:rsidRPr="004D0DAA">
              <w:rPr>
                <w:lang w:eastAsia="en-US"/>
              </w:rPr>
              <w:t>0001000</w:t>
            </w:r>
          </w:p>
        </w:tc>
        <w:tc>
          <w:tcPr>
            <w:tcW w:w="4239" w:type="dxa"/>
          </w:tcPr>
          <w:p w14:paraId="2B363048" w14:textId="77777777" w:rsidR="00711444" w:rsidRPr="004D0DAA" w:rsidRDefault="00711444" w:rsidP="00AA2A4C">
            <w:pPr>
              <w:pStyle w:val="TAL"/>
              <w:rPr>
                <w:lang w:eastAsia="en-US"/>
              </w:rPr>
            </w:pPr>
            <w:r w:rsidRPr="004D0DAA">
              <w:rPr>
                <w:lang w:eastAsia="en-US"/>
              </w:rPr>
              <w:t>(P1 ; P1 ; P3; P3)</w:t>
            </w:r>
          </w:p>
        </w:tc>
      </w:tr>
      <w:tr w:rsidR="00711444" w:rsidRPr="004D0DAA" w14:paraId="3A0B8C22" w14:textId="77777777" w:rsidTr="00AA2A4C">
        <w:tblPrEx>
          <w:tblCellMar>
            <w:top w:w="0" w:type="dxa"/>
            <w:bottom w:w="0" w:type="dxa"/>
          </w:tblCellMar>
        </w:tblPrEx>
        <w:trPr>
          <w:cantSplit/>
          <w:jc w:val="center"/>
        </w:trPr>
        <w:tc>
          <w:tcPr>
            <w:tcW w:w="1446" w:type="dxa"/>
          </w:tcPr>
          <w:p w14:paraId="2EE689A3" w14:textId="77777777" w:rsidR="00711444" w:rsidRPr="004D0DAA" w:rsidRDefault="00711444" w:rsidP="00AA2A4C">
            <w:pPr>
              <w:pStyle w:val="TAC"/>
              <w:rPr>
                <w:lang w:eastAsia="en-US"/>
              </w:rPr>
            </w:pPr>
            <w:r w:rsidRPr="004D0DAA">
              <w:rPr>
                <w:lang w:eastAsia="en-US"/>
              </w:rPr>
              <w:t>0001001</w:t>
            </w:r>
          </w:p>
        </w:tc>
        <w:tc>
          <w:tcPr>
            <w:tcW w:w="4239" w:type="dxa"/>
          </w:tcPr>
          <w:p w14:paraId="5D3AF666" w14:textId="77777777" w:rsidR="00711444" w:rsidRPr="004D0DAA" w:rsidRDefault="00711444" w:rsidP="00AA2A4C">
            <w:pPr>
              <w:pStyle w:val="TAL"/>
              <w:rPr>
                <w:lang w:eastAsia="en-US"/>
              </w:rPr>
            </w:pPr>
            <w:r w:rsidRPr="004D0DAA">
              <w:rPr>
                <w:lang w:eastAsia="en-US"/>
              </w:rPr>
              <w:t>(P1 ; P2 ; P1; P1)</w:t>
            </w:r>
          </w:p>
        </w:tc>
      </w:tr>
      <w:tr w:rsidR="00711444" w:rsidRPr="004D0DAA" w14:paraId="5C8FA67D" w14:textId="77777777" w:rsidTr="00AA2A4C">
        <w:tblPrEx>
          <w:tblCellMar>
            <w:top w:w="0" w:type="dxa"/>
            <w:bottom w:w="0" w:type="dxa"/>
          </w:tblCellMar>
        </w:tblPrEx>
        <w:trPr>
          <w:cantSplit/>
          <w:jc w:val="center"/>
        </w:trPr>
        <w:tc>
          <w:tcPr>
            <w:tcW w:w="1446" w:type="dxa"/>
          </w:tcPr>
          <w:p w14:paraId="680BCF76" w14:textId="77777777" w:rsidR="00711444" w:rsidRPr="004D0DAA" w:rsidRDefault="00711444" w:rsidP="00AA2A4C">
            <w:pPr>
              <w:pStyle w:val="TAC"/>
              <w:rPr>
                <w:lang w:eastAsia="en-US"/>
              </w:rPr>
            </w:pPr>
            <w:r w:rsidRPr="004D0DAA">
              <w:rPr>
                <w:lang w:eastAsia="en-US"/>
              </w:rPr>
              <w:t>0001010</w:t>
            </w:r>
          </w:p>
        </w:tc>
        <w:tc>
          <w:tcPr>
            <w:tcW w:w="4239" w:type="dxa"/>
          </w:tcPr>
          <w:p w14:paraId="2822DD47" w14:textId="77777777" w:rsidR="00711444" w:rsidRPr="004D0DAA" w:rsidRDefault="00711444" w:rsidP="00AA2A4C">
            <w:pPr>
              <w:pStyle w:val="TAL"/>
              <w:rPr>
                <w:lang w:eastAsia="en-US"/>
              </w:rPr>
            </w:pPr>
            <w:r w:rsidRPr="004D0DAA">
              <w:rPr>
                <w:lang w:eastAsia="en-US"/>
              </w:rPr>
              <w:t>(P1 ; P2 ; P1; P2)</w:t>
            </w:r>
          </w:p>
        </w:tc>
      </w:tr>
      <w:tr w:rsidR="00711444" w:rsidRPr="004D0DAA" w14:paraId="40CE45C7" w14:textId="77777777" w:rsidTr="00AA2A4C">
        <w:tblPrEx>
          <w:tblCellMar>
            <w:top w:w="0" w:type="dxa"/>
            <w:bottom w:w="0" w:type="dxa"/>
          </w:tblCellMar>
        </w:tblPrEx>
        <w:trPr>
          <w:cantSplit/>
          <w:jc w:val="center"/>
        </w:trPr>
        <w:tc>
          <w:tcPr>
            <w:tcW w:w="1446" w:type="dxa"/>
          </w:tcPr>
          <w:p w14:paraId="0DF2DE02" w14:textId="77777777" w:rsidR="00711444" w:rsidRPr="004D0DAA" w:rsidRDefault="00711444" w:rsidP="00AA2A4C">
            <w:pPr>
              <w:pStyle w:val="TAC"/>
              <w:rPr>
                <w:lang w:eastAsia="en-US"/>
              </w:rPr>
            </w:pPr>
            <w:r w:rsidRPr="004D0DAA">
              <w:rPr>
                <w:lang w:eastAsia="en-US"/>
              </w:rPr>
              <w:t>0001011</w:t>
            </w:r>
          </w:p>
        </w:tc>
        <w:tc>
          <w:tcPr>
            <w:tcW w:w="4239" w:type="dxa"/>
          </w:tcPr>
          <w:p w14:paraId="393BA8FA" w14:textId="77777777" w:rsidR="00711444" w:rsidRPr="004D0DAA" w:rsidRDefault="00711444" w:rsidP="00AA2A4C">
            <w:pPr>
              <w:pStyle w:val="TAL"/>
              <w:rPr>
                <w:lang w:eastAsia="en-US"/>
              </w:rPr>
            </w:pPr>
            <w:r w:rsidRPr="004D0DAA">
              <w:rPr>
                <w:lang w:eastAsia="en-US"/>
              </w:rPr>
              <w:t>(P1 ; P2 ; P1; P3)</w:t>
            </w:r>
          </w:p>
        </w:tc>
      </w:tr>
      <w:tr w:rsidR="00711444" w:rsidRPr="004D0DAA" w14:paraId="0FA50BCF" w14:textId="77777777" w:rsidTr="00AA2A4C">
        <w:tblPrEx>
          <w:tblCellMar>
            <w:top w:w="0" w:type="dxa"/>
            <w:bottom w:w="0" w:type="dxa"/>
          </w:tblCellMar>
        </w:tblPrEx>
        <w:trPr>
          <w:cantSplit/>
          <w:jc w:val="center"/>
        </w:trPr>
        <w:tc>
          <w:tcPr>
            <w:tcW w:w="1446" w:type="dxa"/>
          </w:tcPr>
          <w:p w14:paraId="4457BDA8" w14:textId="77777777" w:rsidR="00711444" w:rsidRPr="004D0DAA" w:rsidRDefault="00711444" w:rsidP="00AA2A4C">
            <w:pPr>
              <w:pStyle w:val="TAC"/>
              <w:rPr>
                <w:lang w:eastAsia="en-US"/>
              </w:rPr>
            </w:pPr>
            <w:r w:rsidRPr="004D0DAA">
              <w:rPr>
                <w:lang w:eastAsia="en-US"/>
              </w:rPr>
              <w:t>0001100</w:t>
            </w:r>
          </w:p>
        </w:tc>
        <w:tc>
          <w:tcPr>
            <w:tcW w:w="4239" w:type="dxa"/>
          </w:tcPr>
          <w:p w14:paraId="7513B21D" w14:textId="77777777" w:rsidR="00711444" w:rsidRPr="004D0DAA" w:rsidRDefault="00711444" w:rsidP="00AA2A4C">
            <w:pPr>
              <w:pStyle w:val="TAL"/>
              <w:rPr>
                <w:lang w:eastAsia="en-US"/>
              </w:rPr>
            </w:pPr>
            <w:r w:rsidRPr="004D0DAA">
              <w:rPr>
                <w:lang w:eastAsia="en-US"/>
              </w:rPr>
              <w:t>(P1 ; P2 ; P2; P1)</w:t>
            </w:r>
          </w:p>
        </w:tc>
      </w:tr>
      <w:tr w:rsidR="00711444" w:rsidRPr="004D0DAA" w14:paraId="3B62D9D4" w14:textId="77777777" w:rsidTr="00AA2A4C">
        <w:tblPrEx>
          <w:tblCellMar>
            <w:top w:w="0" w:type="dxa"/>
            <w:bottom w:w="0" w:type="dxa"/>
          </w:tblCellMar>
        </w:tblPrEx>
        <w:trPr>
          <w:cantSplit/>
          <w:jc w:val="center"/>
        </w:trPr>
        <w:tc>
          <w:tcPr>
            <w:tcW w:w="1446" w:type="dxa"/>
          </w:tcPr>
          <w:p w14:paraId="49C2AEAF" w14:textId="77777777" w:rsidR="00711444" w:rsidRPr="004D0DAA" w:rsidRDefault="00711444" w:rsidP="00AA2A4C">
            <w:pPr>
              <w:pStyle w:val="TAC"/>
              <w:rPr>
                <w:lang w:eastAsia="en-US"/>
              </w:rPr>
            </w:pPr>
            <w:r w:rsidRPr="004D0DAA">
              <w:rPr>
                <w:lang w:eastAsia="en-US"/>
              </w:rPr>
              <w:t>0001101</w:t>
            </w:r>
          </w:p>
        </w:tc>
        <w:tc>
          <w:tcPr>
            <w:tcW w:w="4239" w:type="dxa"/>
          </w:tcPr>
          <w:p w14:paraId="4CB4490A" w14:textId="77777777" w:rsidR="00711444" w:rsidRPr="004D0DAA" w:rsidRDefault="00711444" w:rsidP="00AA2A4C">
            <w:pPr>
              <w:pStyle w:val="TAL"/>
              <w:rPr>
                <w:lang w:eastAsia="en-US"/>
              </w:rPr>
            </w:pPr>
            <w:r w:rsidRPr="004D0DAA">
              <w:rPr>
                <w:lang w:eastAsia="en-US"/>
              </w:rPr>
              <w:t>(P1 ; P2 ; P2; P2)</w:t>
            </w:r>
          </w:p>
        </w:tc>
      </w:tr>
      <w:tr w:rsidR="00711444" w:rsidRPr="004D0DAA" w14:paraId="7A29AF64" w14:textId="77777777" w:rsidTr="00AA2A4C">
        <w:tblPrEx>
          <w:tblCellMar>
            <w:top w:w="0" w:type="dxa"/>
            <w:bottom w:w="0" w:type="dxa"/>
          </w:tblCellMar>
        </w:tblPrEx>
        <w:trPr>
          <w:cantSplit/>
          <w:jc w:val="center"/>
        </w:trPr>
        <w:tc>
          <w:tcPr>
            <w:tcW w:w="1446" w:type="dxa"/>
          </w:tcPr>
          <w:p w14:paraId="5A4B61A5" w14:textId="77777777" w:rsidR="00711444" w:rsidRPr="004D0DAA" w:rsidRDefault="00711444" w:rsidP="00AA2A4C">
            <w:pPr>
              <w:pStyle w:val="TAC"/>
              <w:rPr>
                <w:lang w:eastAsia="en-US"/>
              </w:rPr>
            </w:pPr>
            <w:r w:rsidRPr="004D0DAA">
              <w:rPr>
                <w:lang w:eastAsia="en-US"/>
              </w:rPr>
              <w:t>0001110</w:t>
            </w:r>
          </w:p>
        </w:tc>
        <w:tc>
          <w:tcPr>
            <w:tcW w:w="4239" w:type="dxa"/>
          </w:tcPr>
          <w:p w14:paraId="18EDE9A9" w14:textId="77777777" w:rsidR="00711444" w:rsidRPr="004D0DAA" w:rsidRDefault="00711444" w:rsidP="00AA2A4C">
            <w:pPr>
              <w:pStyle w:val="TAL"/>
              <w:rPr>
                <w:lang w:eastAsia="en-US"/>
              </w:rPr>
            </w:pPr>
            <w:r w:rsidRPr="004D0DAA">
              <w:rPr>
                <w:lang w:eastAsia="en-US"/>
              </w:rPr>
              <w:t>(P1 ; P2 ; P2; P3)</w:t>
            </w:r>
          </w:p>
        </w:tc>
      </w:tr>
      <w:tr w:rsidR="00711444" w:rsidRPr="004D0DAA" w14:paraId="7F16685A" w14:textId="77777777" w:rsidTr="00AA2A4C">
        <w:tblPrEx>
          <w:tblCellMar>
            <w:top w:w="0" w:type="dxa"/>
            <w:bottom w:w="0" w:type="dxa"/>
          </w:tblCellMar>
        </w:tblPrEx>
        <w:trPr>
          <w:cantSplit/>
          <w:jc w:val="center"/>
        </w:trPr>
        <w:tc>
          <w:tcPr>
            <w:tcW w:w="1446" w:type="dxa"/>
          </w:tcPr>
          <w:p w14:paraId="2C3A759B" w14:textId="77777777" w:rsidR="00711444" w:rsidRPr="004D0DAA" w:rsidRDefault="00711444" w:rsidP="00AA2A4C">
            <w:pPr>
              <w:pStyle w:val="TAC"/>
              <w:rPr>
                <w:lang w:eastAsia="en-US"/>
              </w:rPr>
            </w:pPr>
            <w:r w:rsidRPr="004D0DAA">
              <w:rPr>
                <w:lang w:eastAsia="en-US"/>
              </w:rPr>
              <w:t>0001111</w:t>
            </w:r>
          </w:p>
        </w:tc>
        <w:tc>
          <w:tcPr>
            <w:tcW w:w="4239" w:type="dxa"/>
          </w:tcPr>
          <w:p w14:paraId="59BE92E6" w14:textId="77777777" w:rsidR="00711444" w:rsidRPr="004D0DAA" w:rsidRDefault="00711444" w:rsidP="00AA2A4C">
            <w:pPr>
              <w:pStyle w:val="TAL"/>
              <w:rPr>
                <w:lang w:eastAsia="en-US"/>
              </w:rPr>
            </w:pPr>
            <w:r w:rsidRPr="004D0DAA">
              <w:rPr>
                <w:lang w:eastAsia="en-US"/>
              </w:rPr>
              <w:t>(P1 ; P2 ; P3; P1)</w:t>
            </w:r>
          </w:p>
        </w:tc>
      </w:tr>
      <w:tr w:rsidR="00711444" w:rsidRPr="004D0DAA" w14:paraId="13D7FF86" w14:textId="77777777" w:rsidTr="00AA2A4C">
        <w:tblPrEx>
          <w:tblCellMar>
            <w:top w:w="0" w:type="dxa"/>
            <w:bottom w:w="0" w:type="dxa"/>
          </w:tblCellMar>
        </w:tblPrEx>
        <w:trPr>
          <w:cantSplit/>
          <w:jc w:val="center"/>
        </w:trPr>
        <w:tc>
          <w:tcPr>
            <w:tcW w:w="1446" w:type="dxa"/>
          </w:tcPr>
          <w:p w14:paraId="19AE4CFE" w14:textId="77777777" w:rsidR="00711444" w:rsidRPr="004D0DAA" w:rsidRDefault="00711444" w:rsidP="00AA2A4C">
            <w:pPr>
              <w:pStyle w:val="TAC"/>
              <w:rPr>
                <w:lang w:eastAsia="en-US"/>
              </w:rPr>
            </w:pPr>
            <w:r w:rsidRPr="004D0DAA">
              <w:rPr>
                <w:lang w:eastAsia="en-US"/>
              </w:rPr>
              <w:t>0010000</w:t>
            </w:r>
          </w:p>
        </w:tc>
        <w:tc>
          <w:tcPr>
            <w:tcW w:w="4239" w:type="dxa"/>
          </w:tcPr>
          <w:p w14:paraId="4ECC6F55" w14:textId="77777777" w:rsidR="00711444" w:rsidRPr="004D0DAA" w:rsidRDefault="00711444" w:rsidP="00AA2A4C">
            <w:pPr>
              <w:pStyle w:val="TAL"/>
              <w:rPr>
                <w:lang w:eastAsia="en-US"/>
              </w:rPr>
            </w:pPr>
            <w:r w:rsidRPr="004D0DAA">
              <w:rPr>
                <w:lang w:eastAsia="en-US"/>
              </w:rPr>
              <w:t>(P1 ; P2 ; P3; P2)</w:t>
            </w:r>
          </w:p>
        </w:tc>
      </w:tr>
      <w:tr w:rsidR="00711444" w:rsidRPr="004D0DAA" w14:paraId="6A63B732" w14:textId="77777777" w:rsidTr="00AA2A4C">
        <w:tblPrEx>
          <w:tblCellMar>
            <w:top w:w="0" w:type="dxa"/>
            <w:bottom w:w="0" w:type="dxa"/>
          </w:tblCellMar>
        </w:tblPrEx>
        <w:trPr>
          <w:cantSplit/>
          <w:jc w:val="center"/>
        </w:trPr>
        <w:tc>
          <w:tcPr>
            <w:tcW w:w="1446" w:type="dxa"/>
          </w:tcPr>
          <w:p w14:paraId="607283E1" w14:textId="77777777" w:rsidR="00711444" w:rsidRPr="004D0DAA" w:rsidRDefault="00711444" w:rsidP="00AA2A4C">
            <w:pPr>
              <w:pStyle w:val="TAC"/>
              <w:rPr>
                <w:lang w:eastAsia="en-US"/>
              </w:rPr>
            </w:pPr>
            <w:r w:rsidRPr="004D0DAA">
              <w:rPr>
                <w:lang w:eastAsia="en-US"/>
              </w:rPr>
              <w:t>0010001</w:t>
            </w:r>
          </w:p>
        </w:tc>
        <w:tc>
          <w:tcPr>
            <w:tcW w:w="4239" w:type="dxa"/>
          </w:tcPr>
          <w:p w14:paraId="243A4487" w14:textId="77777777" w:rsidR="00711444" w:rsidRPr="004D0DAA" w:rsidRDefault="00711444" w:rsidP="00AA2A4C">
            <w:pPr>
              <w:pStyle w:val="TAL"/>
              <w:rPr>
                <w:lang w:eastAsia="en-US"/>
              </w:rPr>
            </w:pPr>
            <w:r w:rsidRPr="004D0DAA">
              <w:rPr>
                <w:lang w:eastAsia="en-US"/>
              </w:rPr>
              <w:t>(P1 ; P2 ; P3; P3)</w:t>
            </w:r>
          </w:p>
        </w:tc>
      </w:tr>
      <w:tr w:rsidR="00711444" w:rsidRPr="004D0DAA" w14:paraId="7EFCC828" w14:textId="77777777" w:rsidTr="00AA2A4C">
        <w:tblPrEx>
          <w:tblCellMar>
            <w:top w:w="0" w:type="dxa"/>
            <w:bottom w:w="0" w:type="dxa"/>
          </w:tblCellMar>
        </w:tblPrEx>
        <w:trPr>
          <w:cantSplit/>
          <w:jc w:val="center"/>
        </w:trPr>
        <w:tc>
          <w:tcPr>
            <w:tcW w:w="1446" w:type="dxa"/>
          </w:tcPr>
          <w:p w14:paraId="0E77F64C" w14:textId="77777777" w:rsidR="00711444" w:rsidRPr="004D0DAA" w:rsidRDefault="00711444" w:rsidP="00AA2A4C">
            <w:pPr>
              <w:pStyle w:val="TAC"/>
              <w:rPr>
                <w:lang w:eastAsia="en-US"/>
              </w:rPr>
            </w:pPr>
            <w:r w:rsidRPr="004D0DAA">
              <w:rPr>
                <w:lang w:eastAsia="en-US"/>
              </w:rPr>
              <w:t>0010010</w:t>
            </w:r>
          </w:p>
        </w:tc>
        <w:tc>
          <w:tcPr>
            <w:tcW w:w="4239" w:type="dxa"/>
          </w:tcPr>
          <w:p w14:paraId="2B308220" w14:textId="77777777" w:rsidR="00711444" w:rsidRPr="004D0DAA" w:rsidRDefault="00711444" w:rsidP="00AA2A4C">
            <w:pPr>
              <w:pStyle w:val="TAL"/>
              <w:rPr>
                <w:lang w:eastAsia="en-US"/>
              </w:rPr>
            </w:pPr>
            <w:r w:rsidRPr="004D0DAA">
              <w:rPr>
                <w:lang w:eastAsia="en-US"/>
              </w:rPr>
              <w:t>(P1 ; P3 ; P1; P1)</w:t>
            </w:r>
          </w:p>
        </w:tc>
      </w:tr>
      <w:tr w:rsidR="00711444" w:rsidRPr="004D0DAA" w14:paraId="211501BD" w14:textId="77777777" w:rsidTr="00AA2A4C">
        <w:tblPrEx>
          <w:tblCellMar>
            <w:top w:w="0" w:type="dxa"/>
            <w:bottom w:w="0" w:type="dxa"/>
          </w:tblCellMar>
        </w:tblPrEx>
        <w:trPr>
          <w:cantSplit/>
          <w:jc w:val="center"/>
        </w:trPr>
        <w:tc>
          <w:tcPr>
            <w:tcW w:w="1446" w:type="dxa"/>
          </w:tcPr>
          <w:p w14:paraId="4297B21F" w14:textId="77777777" w:rsidR="00711444" w:rsidRPr="004D0DAA" w:rsidRDefault="00711444" w:rsidP="00AA2A4C">
            <w:pPr>
              <w:pStyle w:val="TAC"/>
              <w:rPr>
                <w:lang w:eastAsia="en-US"/>
              </w:rPr>
            </w:pPr>
            <w:r w:rsidRPr="004D0DAA">
              <w:rPr>
                <w:lang w:eastAsia="en-US"/>
              </w:rPr>
              <w:t>0010011</w:t>
            </w:r>
          </w:p>
        </w:tc>
        <w:tc>
          <w:tcPr>
            <w:tcW w:w="4239" w:type="dxa"/>
          </w:tcPr>
          <w:p w14:paraId="50993863" w14:textId="77777777" w:rsidR="00711444" w:rsidRPr="004D0DAA" w:rsidRDefault="00711444" w:rsidP="00AA2A4C">
            <w:pPr>
              <w:pStyle w:val="TAL"/>
              <w:rPr>
                <w:lang w:eastAsia="en-US"/>
              </w:rPr>
            </w:pPr>
            <w:r w:rsidRPr="004D0DAA">
              <w:rPr>
                <w:lang w:eastAsia="en-US"/>
              </w:rPr>
              <w:t>(P1 ; P3 ; P1; P2)</w:t>
            </w:r>
          </w:p>
        </w:tc>
      </w:tr>
      <w:tr w:rsidR="00711444" w:rsidRPr="004D0DAA" w14:paraId="7553F232" w14:textId="77777777" w:rsidTr="00AA2A4C">
        <w:tblPrEx>
          <w:tblCellMar>
            <w:top w:w="0" w:type="dxa"/>
            <w:bottom w:w="0" w:type="dxa"/>
          </w:tblCellMar>
        </w:tblPrEx>
        <w:trPr>
          <w:cantSplit/>
          <w:jc w:val="center"/>
        </w:trPr>
        <w:tc>
          <w:tcPr>
            <w:tcW w:w="1446" w:type="dxa"/>
          </w:tcPr>
          <w:p w14:paraId="3DF065FC" w14:textId="77777777" w:rsidR="00711444" w:rsidRPr="004D0DAA" w:rsidRDefault="00711444" w:rsidP="00AA2A4C">
            <w:pPr>
              <w:pStyle w:val="TAC"/>
              <w:rPr>
                <w:lang w:eastAsia="en-US"/>
              </w:rPr>
            </w:pPr>
            <w:r w:rsidRPr="004D0DAA">
              <w:rPr>
                <w:lang w:eastAsia="en-US"/>
              </w:rPr>
              <w:t>0010100</w:t>
            </w:r>
          </w:p>
        </w:tc>
        <w:tc>
          <w:tcPr>
            <w:tcW w:w="4239" w:type="dxa"/>
          </w:tcPr>
          <w:p w14:paraId="4A854279" w14:textId="77777777" w:rsidR="00711444" w:rsidRPr="004D0DAA" w:rsidRDefault="00711444" w:rsidP="00AA2A4C">
            <w:pPr>
              <w:pStyle w:val="TAL"/>
              <w:rPr>
                <w:lang w:eastAsia="en-US"/>
              </w:rPr>
            </w:pPr>
            <w:r w:rsidRPr="004D0DAA">
              <w:rPr>
                <w:lang w:eastAsia="en-US"/>
              </w:rPr>
              <w:t>(P1 ; P3 ; P1; P3)</w:t>
            </w:r>
          </w:p>
        </w:tc>
      </w:tr>
      <w:tr w:rsidR="00711444" w:rsidRPr="004D0DAA" w14:paraId="41B31E98" w14:textId="77777777" w:rsidTr="00AA2A4C">
        <w:tblPrEx>
          <w:tblCellMar>
            <w:top w:w="0" w:type="dxa"/>
            <w:bottom w:w="0" w:type="dxa"/>
          </w:tblCellMar>
        </w:tblPrEx>
        <w:trPr>
          <w:cantSplit/>
          <w:jc w:val="center"/>
        </w:trPr>
        <w:tc>
          <w:tcPr>
            <w:tcW w:w="1446" w:type="dxa"/>
          </w:tcPr>
          <w:p w14:paraId="307F6AFD" w14:textId="77777777" w:rsidR="00711444" w:rsidRPr="004D0DAA" w:rsidRDefault="00711444" w:rsidP="00AA2A4C">
            <w:pPr>
              <w:pStyle w:val="TAC"/>
              <w:rPr>
                <w:lang w:eastAsia="en-US"/>
              </w:rPr>
            </w:pPr>
            <w:r w:rsidRPr="004D0DAA">
              <w:rPr>
                <w:lang w:eastAsia="en-US"/>
              </w:rPr>
              <w:t>0010101</w:t>
            </w:r>
          </w:p>
        </w:tc>
        <w:tc>
          <w:tcPr>
            <w:tcW w:w="4239" w:type="dxa"/>
          </w:tcPr>
          <w:p w14:paraId="23384B72" w14:textId="77777777" w:rsidR="00711444" w:rsidRPr="004D0DAA" w:rsidRDefault="00711444" w:rsidP="00AA2A4C">
            <w:pPr>
              <w:pStyle w:val="TAL"/>
              <w:rPr>
                <w:lang w:eastAsia="en-US"/>
              </w:rPr>
            </w:pPr>
            <w:r w:rsidRPr="004D0DAA">
              <w:rPr>
                <w:lang w:eastAsia="en-US"/>
              </w:rPr>
              <w:t>(P1 ; P3 ; P2; P1)</w:t>
            </w:r>
          </w:p>
        </w:tc>
      </w:tr>
      <w:tr w:rsidR="00711444" w:rsidRPr="004D0DAA" w14:paraId="1515707F" w14:textId="77777777" w:rsidTr="00AA2A4C">
        <w:tblPrEx>
          <w:tblCellMar>
            <w:top w:w="0" w:type="dxa"/>
            <w:bottom w:w="0" w:type="dxa"/>
          </w:tblCellMar>
        </w:tblPrEx>
        <w:trPr>
          <w:cantSplit/>
          <w:jc w:val="center"/>
        </w:trPr>
        <w:tc>
          <w:tcPr>
            <w:tcW w:w="1446" w:type="dxa"/>
          </w:tcPr>
          <w:p w14:paraId="0FA98051" w14:textId="77777777" w:rsidR="00711444" w:rsidRPr="004D0DAA" w:rsidRDefault="00711444" w:rsidP="00AA2A4C">
            <w:pPr>
              <w:pStyle w:val="TAC"/>
              <w:rPr>
                <w:lang w:eastAsia="en-US"/>
              </w:rPr>
            </w:pPr>
            <w:r w:rsidRPr="004D0DAA">
              <w:rPr>
                <w:lang w:eastAsia="en-US"/>
              </w:rPr>
              <w:t>0010110</w:t>
            </w:r>
          </w:p>
        </w:tc>
        <w:tc>
          <w:tcPr>
            <w:tcW w:w="4239" w:type="dxa"/>
          </w:tcPr>
          <w:p w14:paraId="74AC67C2" w14:textId="77777777" w:rsidR="00711444" w:rsidRPr="004D0DAA" w:rsidRDefault="00711444" w:rsidP="00AA2A4C">
            <w:pPr>
              <w:pStyle w:val="TAL"/>
              <w:rPr>
                <w:lang w:eastAsia="en-US"/>
              </w:rPr>
            </w:pPr>
            <w:r w:rsidRPr="004D0DAA">
              <w:rPr>
                <w:lang w:eastAsia="en-US"/>
              </w:rPr>
              <w:t>(P1 ; P3 ; P2; P2)</w:t>
            </w:r>
          </w:p>
        </w:tc>
      </w:tr>
      <w:tr w:rsidR="00711444" w:rsidRPr="004D0DAA" w14:paraId="7201E659" w14:textId="77777777" w:rsidTr="00AA2A4C">
        <w:tblPrEx>
          <w:tblCellMar>
            <w:top w:w="0" w:type="dxa"/>
            <w:bottom w:w="0" w:type="dxa"/>
          </w:tblCellMar>
        </w:tblPrEx>
        <w:trPr>
          <w:cantSplit/>
          <w:jc w:val="center"/>
        </w:trPr>
        <w:tc>
          <w:tcPr>
            <w:tcW w:w="1446" w:type="dxa"/>
          </w:tcPr>
          <w:p w14:paraId="728964B7" w14:textId="77777777" w:rsidR="00711444" w:rsidRPr="004D0DAA" w:rsidRDefault="00711444" w:rsidP="00AA2A4C">
            <w:pPr>
              <w:pStyle w:val="TAC"/>
              <w:rPr>
                <w:lang w:eastAsia="en-US"/>
              </w:rPr>
            </w:pPr>
            <w:r w:rsidRPr="004D0DAA">
              <w:rPr>
                <w:lang w:eastAsia="en-US"/>
              </w:rPr>
              <w:t>0010111</w:t>
            </w:r>
          </w:p>
        </w:tc>
        <w:tc>
          <w:tcPr>
            <w:tcW w:w="4239" w:type="dxa"/>
          </w:tcPr>
          <w:p w14:paraId="1BE9C39C" w14:textId="77777777" w:rsidR="00711444" w:rsidRPr="004D0DAA" w:rsidRDefault="00711444" w:rsidP="00AA2A4C">
            <w:pPr>
              <w:pStyle w:val="TAL"/>
              <w:rPr>
                <w:lang w:eastAsia="en-US"/>
              </w:rPr>
            </w:pPr>
            <w:r w:rsidRPr="004D0DAA">
              <w:rPr>
                <w:lang w:eastAsia="en-US"/>
              </w:rPr>
              <w:t>(P1 ; P3 ; P2; P3)</w:t>
            </w:r>
          </w:p>
        </w:tc>
      </w:tr>
      <w:tr w:rsidR="00711444" w:rsidRPr="004D0DAA" w14:paraId="5530361B" w14:textId="77777777" w:rsidTr="00AA2A4C">
        <w:tblPrEx>
          <w:tblCellMar>
            <w:top w:w="0" w:type="dxa"/>
            <w:bottom w:w="0" w:type="dxa"/>
          </w:tblCellMar>
        </w:tblPrEx>
        <w:trPr>
          <w:cantSplit/>
          <w:jc w:val="center"/>
        </w:trPr>
        <w:tc>
          <w:tcPr>
            <w:tcW w:w="1446" w:type="dxa"/>
          </w:tcPr>
          <w:p w14:paraId="4DEEEAC1" w14:textId="77777777" w:rsidR="00711444" w:rsidRPr="004D0DAA" w:rsidRDefault="00711444" w:rsidP="00AA2A4C">
            <w:pPr>
              <w:pStyle w:val="TAC"/>
              <w:rPr>
                <w:lang w:eastAsia="en-US"/>
              </w:rPr>
            </w:pPr>
            <w:r w:rsidRPr="004D0DAA">
              <w:rPr>
                <w:lang w:eastAsia="en-US"/>
              </w:rPr>
              <w:t>0011000</w:t>
            </w:r>
          </w:p>
        </w:tc>
        <w:tc>
          <w:tcPr>
            <w:tcW w:w="4239" w:type="dxa"/>
          </w:tcPr>
          <w:p w14:paraId="61B0C2DB" w14:textId="77777777" w:rsidR="00711444" w:rsidRPr="004D0DAA" w:rsidRDefault="00711444" w:rsidP="00AA2A4C">
            <w:pPr>
              <w:pStyle w:val="TAL"/>
              <w:rPr>
                <w:lang w:eastAsia="en-US"/>
              </w:rPr>
            </w:pPr>
            <w:r w:rsidRPr="004D0DAA">
              <w:rPr>
                <w:lang w:eastAsia="en-US"/>
              </w:rPr>
              <w:t>(P1 ; P3 ; P3; P1)</w:t>
            </w:r>
          </w:p>
        </w:tc>
      </w:tr>
      <w:tr w:rsidR="00711444" w:rsidRPr="004D0DAA" w14:paraId="17E183D0" w14:textId="77777777" w:rsidTr="00AA2A4C">
        <w:tblPrEx>
          <w:tblCellMar>
            <w:top w:w="0" w:type="dxa"/>
            <w:bottom w:w="0" w:type="dxa"/>
          </w:tblCellMar>
        </w:tblPrEx>
        <w:trPr>
          <w:cantSplit/>
          <w:jc w:val="center"/>
        </w:trPr>
        <w:tc>
          <w:tcPr>
            <w:tcW w:w="1446" w:type="dxa"/>
          </w:tcPr>
          <w:p w14:paraId="35988EE3" w14:textId="77777777" w:rsidR="00711444" w:rsidRPr="004D0DAA" w:rsidRDefault="00711444" w:rsidP="00AA2A4C">
            <w:pPr>
              <w:pStyle w:val="TAC"/>
              <w:rPr>
                <w:lang w:eastAsia="en-US"/>
              </w:rPr>
            </w:pPr>
            <w:r w:rsidRPr="004D0DAA">
              <w:rPr>
                <w:lang w:eastAsia="en-US"/>
              </w:rPr>
              <w:t>0011001</w:t>
            </w:r>
          </w:p>
        </w:tc>
        <w:tc>
          <w:tcPr>
            <w:tcW w:w="4239" w:type="dxa"/>
          </w:tcPr>
          <w:p w14:paraId="38AE7594" w14:textId="77777777" w:rsidR="00711444" w:rsidRPr="004D0DAA" w:rsidRDefault="00711444" w:rsidP="00AA2A4C">
            <w:pPr>
              <w:pStyle w:val="TAL"/>
              <w:rPr>
                <w:lang w:eastAsia="en-US"/>
              </w:rPr>
            </w:pPr>
            <w:r w:rsidRPr="004D0DAA">
              <w:rPr>
                <w:lang w:eastAsia="en-US"/>
              </w:rPr>
              <w:t>(P1 ; P3 ; P3; P2)</w:t>
            </w:r>
          </w:p>
        </w:tc>
      </w:tr>
      <w:tr w:rsidR="00711444" w:rsidRPr="004D0DAA" w14:paraId="08FAF1A7" w14:textId="77777777" w:rsidTr="00AA2A4C">
        <w:tblPrEx>
          <w:tblCellMar>
            <w:top w:w="0" w:type="dxa"/>
            <w:bottom w:w="0" w:type="dxa"/>
          </w:tblCellMar>
        </w:tblPrEx>
        <w:trPr>
          <w:cantSplit/>
          <w:jc w:val="center"/>
        </w:trPr>
        <w:tc>
          <w:tcPr>
            <w:tcW w:w="1446" w:type="dxa"/>
          </w:tcPr>
          <w:p w14:paraId="418A7C42" w14:textId="77777777" w:rsidR="00711444" w:rsidRPr="004D0DAA" w:rsidRDefault="00711444" w:rsidP="00AA2A4C">
            <w:pPr>
              <w:pStyle w:val="TAC"/>
              <w:rPr>
                <w:lang w:eastAsia="en-US"/>
              </w:rPr>
            </w:pPr>
            <w:r w:rsidRPr="004D0DAA">
              <w:rPr>
                <w:lang w:eastAsia="en-US"/>
              </w:rPr>
              <w:t>0011010</w:t>
            </w:r>
          </w:p>
        </w:tc>
        <w:tc>
          <w:tcPr>
            <w:tcW w:w="4239" w:type="dxa"/>
          </w:tcPr>
          <w:p w14:paraId="78CDC491" w14:textId="77777777" w:rsidR="00711444" w:rsidRPr="004D0DAA" w:rsidRDefault="00711444" w:rsidP="00AA2A4C">
            <w:pPr>
              <w:pStyle w:val="TAL"/>
              <w:rPr>
                <w:lang w:eastAsia="en-US"/>
              </w:rPr>
            </w:pPr>
            <w:r w:rsidRPr="004D0DAA">
              <w:rPr>
                <w:lang w:eastAsia="en-US"/>
              </w:rPr>
              <w:t>(P1 ; P3 ; P3; P3)</w:t>
            </w:r>
          </w:p>
        </w:tc>
      </w:tr>
      <w:tr w:rsidR="00711444" w:rsidRPr="004D0DAA" w14:paraId="772E457E" w14:textId="77777777" w:rsidTr="00AA2A4C">
        <w:tblPrEx>
          <w:tblCellMar>
            <w:top w:w="0" w:type="dxa"/>
            <w:bottom w:w="0" w:type="dxa"/>
          </w:tblCellMar>
        </w:tblPrEx>
        <w:trPr>
          <w:cantSplit/>
          <w:jc w:val="center"/>
        </w:trPr>
        <w:tc>
          <w:tcPr>
            <w:tcW w:w="1446" w:type="dxa"/>
          </w:tcPr>
          <w:p w14:paraId="1E155AA1" w14:textId="77777777" w:rsidR="00711444" w:rsidRPr="004D0DAA" w:rsidRDefault="00711444" w:rsidP="00AA2A4C">
            <w:pPr>
              <w:pStyle w:val="TAC"/>
              <w:rPr>
                <w:lang w:eastAsia="en-US"/>
              </w:rPr>
            </w:pPr>
            <w:r w:rsidRPr="004D0DAA">
              <w:rPr>
                <w:lang w:eastAsia="en-US"/>
              </w:rPr>
              <w:t>0011011</w:t>
            </w:r>
          </w:p>
        </w:tc>
        <w:tc>
          <w:tcPr>
            <w:tcW w:w="4239" w:type="dxa"/>
          </w:tcPr>
          <w:p w14:paraId="3442867D" w14:textId="77777777" w:rsidR="00711444" w:rsidRPr="004D0DAA" w:rsidRDefault="00711444" w:rsidP="00AA2A4C">
            <w:pPr>
              <w:pStyle w:val="TAL"/>
              <w:rPr>
                <w:lang w:eastAsia="en-US"/>
              </w:rPr>
            </w:pPr>
            <w:r w:rsidRPr="004D0DAA">
              <w:rPr>
                <w:lang w:eastAsia="en-US"/>
              </w:rPr>
              <w:t>(P2 ; P1 ; P1; P1)</w:t>
            </w:r>
          </w:p>
        </w:tc>
      </w:tr>
      <w:tr w:rsidR="00711444" w:rsidRPr="004D0DAA" w14:paraId="1F4FF1EF" w14:textId="77777777" w:rsidTr="00AA2A4C">
        <w:tblPrEx>
          <w:tblCellMar>
            <w:top w:w="0" w:type="dxa"/>
            <w:bottom w:w="0" w:type="dxa"/>
          </w:tblCellMar>
        </w:tblPrEx>
        <w:trPr>
          <w:cantSplit/>
          <w:jc w:val="center"/>
        </w:trPr>
        <w:tc>
          <w:tcPr>
            <w:tcW w:w="1446" w:type="dxa"/>
          </w:tcPr>
          <w:p w14:paraId="452CFC0B" w14:textId="77777777" w:rsidR="00711444" w:rsidRPr="004D0DAA" w:rsidRDefault="00711444" w:rsidP="00AA2A4C">
            <w:pPr>
              <w:pStyle w:val="TAC"/>
              <w:rPr>
                <w:lang w:eastAsia="en-US"/>
              </w:rPr>
            </w:pPr>
            <w:r w:rsidRPr="004D0DAA">
              <w:rPr>
                <w:lang w:eastAsia="en-US"/>
              </w:rPr>
              <w:t>0011100</w:t>
            </w:r>
          </w:p>
        </w:tc>
        <w:tc>
          <w:tcPr>
            <w:tcW w:w="4239" w:type="dxa"/>
          </w:tcPr>
          <w:p w14:paraId="69CE02D7" w14:textId="77777777" w:rsidR="00711444" w:rsidRPr="004D0DAA" w:rsidRDefault="00711444" w:rsidP="00AA2A4C">
            <w:pPr>
              <w:pStyle w:val="TAL"/>
              <w:rPr>
                <w:lang w:eastAsia="en-US"/>
              </w:rPr>
            </w:pPr>
            <w:r w:rsidRPr="004D0DAA">
              <w:rPr>
                <w:lang w:eastAsia="en-US"/>
              </w:rPr>
              <w:t>(P2 ; P1 ; P1; P2)</w:t>
            </w:r>
          </w:p>
        </w:tc>
      </w:tr>
      <w:tr w:rsidR="00711444" w:rsidRPr="004D0DAA" w14:paraId="42AA1E21" w14:textId="77777777" w:rsidTr="00AA2A4C">
        <w:tblPrEx>
          <w:tblCellMar>
            <w:top w:w="0" w:type="dxa"/>
            <w:bottom w:w="0" w:type="dxa"/>
          </w:tblCellMar>
        </w:tblPrEx>
        <w:trPr>
          <w:cantSplit/>
          <w:jc w:val="center"/>
        </w:trPr>
        <w:tc>
          <w:tcPr>
            <w:tcW w:w="1446" w:type="dxa"/>
          </w:tcPr>
          <w:p w14:paraId="59013304" w14:textId="77777777" w:rsidR="00711444" w:rsidRPr="004D0DAA" w:rsidRDefault="00711444" w:rsidP="00AA2A4C">
            <w:pPr>
              <w:pStyle w:val="TAC"/>
              <w:rPr>
                <w:lang w:eastAsia="en-US"/>
              </w:rPr>
            </w:pPr>
            <w:r w:rsidRPr="004D0DAA">
              <w:rPr>
                <w:lang w:eastAsia="en-US"/>
              </w:rPr>
              <w:t>0011101</w:t>
            </w:r>
          </w:p>
        </w:tc>
        <w:tc>
          <w:tcPr>
            <w:tcW w:w="4239" w:type="dxa"/>
          </w:tcPr>
          <w:p w14:paraId="1E0F0E73" w14:textId="77777777" w:rsidR="00711444" w:rsidRPr="004D0DAA" w:rsidRDefault="00711444" w:rsidP="00AA2A4C">
            <w:pPr>
              <w:pStyle w:val="TAL"/>
              <w:rPr>
                <w:lang w:eastAsia="en-US"/>
              </w:rPr>
            </w:pPr>
            <w:r w:rsidRPr="004D0DAA">
              <w:rPr>
                <w:lang w:eastAsia="en-US"/>
              </w:rPr>
              <w:t>(P2 ; P1 ; P1; P3)</w:t>
            </w:r>
          </w:p>
        </w:tc>
      </w:tr>
      <w:tr w:rsidR="00711444" w:rsidRPr="004D0DAA" w14:paraId="1F252131" w14:textId="77777777" w:rsidTr="00AA2A4C">
        <w:tblPrEx>
          <w:tblCellMar>
            <w:top w:w="0" w:type="dxa"/>
            <w:bottom w:w="0" w:type="dxa"/>
          </w:tblCellMar>
        </w:tblPrEx>
        <w:trPr>
          <w:cantSplit/>
          <w:jc w:val="center"/>
        </w:trPr>
        <w:tc>
          <w:tcPr>
            <w:tcW w:w="1446" w:type="dxa"/>
          </w:tcPr>
          <w:p w14:paraId="1352B55A" w14:textId="77777777" w:rsidR="00711444" w:rsidRPr="004D0DAA" w:rsidRDefault="00711444" w:rsidP="00AA2A4C">
            <w:pPr>
              <w:pStyle w:val="TAC"/>
              <w:rPr>
                <w:lang w:eastAsia="en-US"/>
              </w:rPr>
            </w:pPr>
            <w:r w:rsidRPr="004D0DAA">
              <w:rPr>
                <w:lang w:eastAsia="en-US"/>
              </w:rPr>
              <w:t>0011110</w:t>
            </w:r>
          </w:p>
        </w:tc>
        <w:tc>
          <w:tcPr>
            <w:tcW w:w="4239" w:type="dxa"/>
          </w:tcPr>
          <w:p w14:paraId="6703FD9B" w14:textId="77777777" w:rsidR="00711444" w:rsidRPr="004D0DAA" w:rsidRDefault="00711444" w:rsidP="00AA2A4C">
            <w:pPr>
              <w:pStyle w:val="TAL"/>
              <w:rPr>
                <w:lang w:eastAsia="en-US"/>
              </w:rPr>
            </w:pPr>
            <w:r w:rsidRPr="004D0DAA">
              <w:rPr>
                <w:lang w:eastAsia="en-US"/>
              </w:rPr>
              <w:t>(P2 ; P1 ; P2; P1)</w:t>
            </w:r>
          </w:p>
        </w:tc>
      </w:tr>
      <w:tr w:rsidR="00711444" w:rsidRPr="004D0DAA" w14:paraId="78608F05" w14:textId="77777777" w:rsidTr="00AA2A4C">
        <w:tblPrEx>
          <w:tblCellMar>
            <w:top w:w="0" w:type="dxa"/>
            <w:bottom w:w="0" w:type="dxa"/>
          </w:tblCellMar>
        </w:tblPrEx>
        <w:trPr>
          <w:cantSplit/>
          <w:jc w:val="center"/>
        </w:trPr>
        <w:tc>
          <w:tcPr>
            <w:tcW w:w="1446" w:type="dxa"/>
          </w:tcPr>
          <w:p w14:paraId="6E770E45" w14:textId="77777777" w:rsidR="00711444" w:rsidRPr="004D0DAA" w:rsidRDefault="00711444" w:rsidP="00AA2A4C">
            <w:pPr>
              <w:pStyle w:val="TAC"/>
              <w:rPr>
                <w:lang w:eastAsia="en-US"/>
              </w:rPr>
            </w:pPr>
            <w:r w:rsidRPr="004D0DAA">
              <w:rPr>
                <w:lang w:eastAsia="en-US"/>
              </w:rPr>
              <w:t>0011111</w:t>
            </w:r>
          </w:p>
        </w:tc>
        <w:tc>
          <w:tcPr>
            <w:tcW w:w="4239" w:type="dxa"/>
          </w:tcPr>
          <w:p w14:paraId="686B531E" w14:textId="77777777" w:rsidR="00711444" w:rsidRPr="004D0DAA" w:rsidRDefault="00711444" w:rsidP="00AA2A4C">
            <w:pPr>
              <w:pStyle w:val="TAL"/>
              <w:rPr>
                <w:lang w:eastAsia="en-US"/>
              </w:rPr>
            </w:pPr>
            <w:r w:rsidRPr="004D0DAA">
              <w:rPr>
                <w:lang w:eastAsia="en-US"/>
              </w:rPr>
              <w:t>(P2 ; P1 ; P2; P2)</w:t>
            </w:r>
          </w:p>
        </w:tc>
      </w:tr>
      <w:tr w:rsidR="00711444" w:rsidRPr="004D0DAA" w14:paraId="59780B65" w14:textId="77777777" w:rsidTr="00AA2A4C">
        <w:tblPrEx>
          <w:tblCellMar>
            <w:top w:w="0" w:type="dxa"/>
            <w:bottom w:w="0" w:type="dxa"/>
          </w:tblCellMar>
        </w:tblPrEx>
        <w:trPr>
          <w:cantSplit/>
          <w:jc w:val="center"/>
        </w:trPr>
        <w:tc>
          <w:tcPr>
            <w:tcW w:w="1446" w:type="dxa"/>
          </w:tcPr>
          <w:p w14:paraId="2B5BACF3" w14:textId="77777777" w:rsidR="00711444" w:rsidRPr="004D0DAA" w:rsidRDefault="00711444" w:rsidP="00AA2A4C">
            <w:pPr>
              <w:pStyle w:val="TAC"/>
              <w:rPr>
                <w:lang w:eastAsia="en-US"/>
              </w:rPr>
            </w:pPr>
            <w:r w:rsidRPr="004D0DAA">
              <w:rPr>
                <w:lang w:eastAsia="en-US"/>
              </w:rPr>
              <w:t>0100000</w:t>
            </w:r>
          </w:p>
        </w:tc>
        <w:tc>
          <w:tcPr>
            <w:tcW w:w="4239" w:type="dxa"/>
          </w:tcPr>
          <w:p w14:paraId="7706C31C" w14:textId="77777777" w:rsidR="00711444" w:rsidRPr="004D0DAA" w:rsidRDefault="00711444" w:rsidP="00AA2A4C">
            <w:pPr>
              <w:pStyle w:val="TAL"/>
              <w:rPr>
                <w:lang w:eastAsia="en-US"/>
              </w:rPr>
            </w:pPr>
            <w:r w:rsidRPr="004D0DAA">
              <w:rPr>
                <w:lang w:eastAsia="en-US"/>
              </w:rPr>
              <w:t>(P2 ; P1 ; P2; P3)</w:t>
            </w:r>
          </w:p>
        </w:tc>
      </w:tr>
      <w:tr w:rsidR="00711444" w:rsidRPr="004D0DAA" w14:paraId="4C91B3E1" w14:textId="77777777" w:rsidTr="00AA2A4C">
        <w:tblPrEx>
          <w:tblCellMar>
            <w:top w:w="0" w:type="dxa"/>
            <w:bottom w:w="0" w:type="dxa"/>
          </w:tblCellMar>
        </w:tblPrEx>
        <w:trPr>
          <w:cantSplit/>
          <w:jc w:val="center"/>
        </w:trPr>
        <w:tc>
          <w:tcPr>
            <w:tcW w:w="1446" w:type="dxa"/>
          </w:tcPr>
          <w:p w14:paraId="6D5A1634" w14:textId="77777777" w:rsidR="00711444" w:rsidRPr="004D0DAA" w:rsidRDefault="00711444" w:rsidP="00AA2A4C">
            <w:pPr>
              <w:pStyle w:val="TAC"/>
              <w:rPr>
                <w:lang w:eastAsia="en-US"/>
              </w:rPr>
            </w:pPr>
            <w:r w:rsidRPr="004D0DAA">
              <w:rPr>
                <w:lang w:eastAsia="en-US"/>
              </w:rPr>
              <w:t>0100001</w:t>
            </w:r>
          </w:p>
        </w:tc>
        <w:tc>
          <w:tcPr>
            <w:tcW w:w="4239" w:type="dxa"/>
          </w:tcPr>
          <w:p w14:paraId="3412B40A" w14:textId="77777777" w:rsidR="00711444" w:rsidRPr="004D0DAA" w:rsidRDefault="00711444" w:rsidP="00AA2A4C">
            <w:pPr>
              <w:pStyle w:val="TAL"/>
              <w:rPr>
                <w:lang w:eastAsia="en-US"/>
              </w:rPr>
            </w:pPr>
            <w:r w:rsidRPr="004D0DAA">
              <w:rPr>
                <w:lang w:eastAsia="en-US"/>
              </w:rPr>
              <w:t>(P2 ; P1 ; P3; P1)</w:t>
            </w:r>
          </w:p>
        </w:tc>
      </w:tr>
      <w:tr w:rsidR="00711444" w:rsidRPr="004D0DAA" w14:paraId="619F5D02" w14:textId="77777777" w:rsidTr="00AA2A4C">
        <w:tblPrEx>
          <w:tblCellMar>
            <w:top w:w="0" w:type="dxa"/>
            <w:bottom w:w="0" w:type="dxa"/>
          </w:tblCellMar>
        </w:tblPrEx>
        <w:trPr>
          <w:cantSplit/>
          <w:jc w:val="center"/>
        </w:trPr>
        <w:tc>
          <w:tcPr>
            <w:tcW w:w="1446" w:type="dxa"/>
          </w:tcPr>
          <w:p w14:paraId="0CAEAD30" w14:textId="77777777" w:rsidR="00711444" w:rsidRPr="004D0DAA" w:rsidRDefault="00711444" w:rsidP="00AA2A4C">
            <w:pPr>
              <w:pStyle w:val="TAC"/>
              <w:rPr>
                <w:lang w:eastAsia="en-US"/>
              </w:rPr>
            </w:pPr>
            <w:r w:rsidRPr="004D0DAA">
              <w:rPr>
                <w:lang w:eastAsia="en-US"/>
              </w:rPr>
              <w:t>0100010</w:t>
            </w:r>
          </w:p>
        </w:tc>
        <w:tc>
          <w:tcPr>
            <w:tcW w:w="4239" w:type="dxa"/>
          </w:tcPr>
          <w:p w14:paraId="2436B3E0" w14:textId="77777777" w:rsidR="00711444" w:rsidRPr="004D0DAA" w:rsidRDefault="00711444" w:rsidP="00AA2A4C">
            <w:pPr>
              <w:pStyle w:val="TAL"/>
              <w:rPr>
                <w:lang w:eastAsia="en-US"/>
              </w:rPr>
            </w:pPr>
            <w:r w:rsidRPr="004D0DAA">
              <w:rPr>
                <w:lang w:eastAsia="en-US"/>
              </w:rPr>
              <w:t>(P2 ; P1 ; P3; P2)</w:t>
            </w:r>
          </w:p>
        </w:tc>
      </w:tr>
      <w:tr w:rsidR="00711444" w:rsidRPr="004D0DAA" w14:paraId="617DC54A" w14:textId="77777777" w:rsidTr="00AA2A4C">
        <w:tblPrEx>
          <w:tblCellMar>
            <w:top w:w="0" w:type="dxa"/>
            <w:bottom w:w="0" w:type="dxa"/>
          </w:tblCellMar>
        </w:tblPrEx>
        <w:trPr>
          <w:cantSplit/>
          <w:jc w:val="center"/>
        </w:trPr>
        <w:tc>
          <w:tcPr>
            <w:tcW w:w="1446" w:type="dxa"/>
          </w:tcPr>
          <w:p w14:paraId="39BFFE41" w14:textId="77777777" w:rsidR="00711444" w:rsidRPr="004D0DAA" w:rsidRDefault="00711444" w:rsidP="00AA2A4C">
            <w:pPr>
              <w:pStyle w:val="TAC"/>
              <w:rPr>
                <w:lang w:eastAsia="en-US"/>
              </w:rPr>
            </w:pPr>
            <w:r w:rsidRPr="004D0DAA">
              <w:rPr>
                <w:lang w:eastAsia="en-US"/>
              </w:rPr>
              <w:t>0100011</w:t>
            </w:r>
          </w:p>
        </w:tc>
        <w:tc>
          <w:tcPr>
            <w:tcW w:w="4239" w:type="dxa"/>
          </w:tcPr>
          <w:p w14:paraId="1589C601" w14:textId="77777777" w:rsidR="00711444" w:rsidRPr="004D0DAA" w:rsidRDefault="00711444" w:rsidP="00AA2A4C">
            <w:pPr>
              <w:pStyle w:val="TAL"/>
              <w:rPr>
                <w:lang w:eastAsia="en-US"/>
              </w:rPr>
            </w:pPr>
            <w:r w:rsidRPr="004D0DAA">
              <w:rPr>
                <w:lang w:eastAsia="en-US"/>
              </w:rPr>
              <w:t>(P2 ; P1 ; P3; P3)</w:t>
            </w:r>
          </w:p>
        </w:tc>
      </w:tr>
      <w:tr w:rsidR="00711444" w:rsidRPr="004D0DAA" w14:paraId="5BD473E7" w14:textId="77777777" w:rsidTr="00AA2A4C">
        <w:tblPrEx>
          <w:tblCellMar>
            <w:top w:w="0" w:type="dxa"/>
            <w:bottom w:w="0" w:type="dxa"/>
          </w:tblCellMar>
        </w:tblPrEx>
        <w:trPr>
          <w:cantSplit/>
          <w:jc w:val="center"/>
        </w:trPr>
        <w:tc>
          <w:tcPr>
            <w:tcW w:w="1446" w:type="dxa"/>
          </w:tcPr>
          <w:p w14:paraId="3106992D" w14:textId="77777777" w:rsidR="00711444" w:rsidRPr="004D0DAA" w:rsidRDefault="00711444" w:rsidP="00AA2A4C">
            <w:pPr>
              <w:pStyle w:val="TAC"/>
              <w:rPr>
                <w:lang w:eastAsia="en-US"/>
              </w:rPr>
            </w:pPr>
            <w:r w:rsidRPr="004D0DAA">
              <w:rPr>
                <w:lang w:eastAsia="en-US"/>
              </w:rPr>
              <w:t>0100100</w:t>
            </w:r>
          </w:p>
        </w:tc>
        <w:tc>
          <w:tcPr>
            <w:tcW w:w="4239" w:type="dxa"/>
          </w:tcPr>
          <w:p w14:paraId="652F1F66" w14:textId="77777777" w:rsidR="00711444" w:rsidRPr="004D0DAA" w:rsidRDefault="00711444" w:rsidP="00AA2A4C">
            <w:pPr>
              <w:pStyle w:val="TAL"/>
              <w:rPr>
                <w:lang w:eastAsia="en-US"/>
              </w:rPr>
            </w:pPr>
            <w:r w:rsidRPr="004D0DAA">
              <w:rPr>
                <w:lang w:eastAsia="en-US"/>
              </w:rPr>
              <w:t>(P2 ; P2 ; P1; P1)</w:t>
            </w:r>
          </w:p>
        </w:tc>
      </w:tr>
      <w:tr w:rsidR="00711444" w:rsidRPr="004D0DAA" w14:paraId="316BB6FE" w14:textId="77777777" w:rsidTr="00AA2A4C">
        <w:tblPrEx>
          <w:tblCellMar>
            <w:top w:w="0" w:type="dxa"/>
            <w:bottom w:w="0" w:type="dxa"/>
          </w:tblCellMar>
        </w:tblPrEx>
        <w:trPr>
          <w:cantSplit/>
          <w:jc w:val="center"/>
        </w:trPr>
        <w:tc>
          <w:tcPr>
            <w:tcW w:w="1446" w:type="dxa"/>
          </w:tcPr>
          <w:p w14:paraId="006F5BAF" w14:textId="77777777" w:rsidR="00711444" w:rsidRPr="004D0DAA" w:rsidRDefault="00711444" w:rsidP="00AA2A4C">
            <w:pPr>
              <w:pStyle w:val="TAC"/>
              <w:rPr>
                <w:lang w:eastAsia="en-US"/>
              </w:rPr>
            </w:pPr>
            <w:r w:rsidRPr="004D0DAA">
              <w:rPr>
                <w:lang w:eastAsia="en-US"/>
              </w:rPr>
              <w:t>0100101</w:t>
            </w:r>
          </w:p>
        </w:tc>
        <w:tc>
          <w:tcPr>
            <w:tcW w:w="4239" w:type="dxa"/>
          </w:tcPr>
          <w:p w14:paraId="4B1CF83A" w14:textId="77777777" w:rsidR="00711444" w:rsidRPr="004D0DAA" w:rsidRDefault="00711444" w:rsidP="00AA2A4C">
            <w:pPr>
              <w:pStyle w:val="TAL"/>
              <w:rPr>
                <w:lang w:eastAsia="en-US"/>
              </w:rPr>
            </w:pPr>
            <w:r w:rsidRPr="004D0DAA">
              <w:rPr>
                <w:lang w:eastAsia="en-US"/>
              </w:rPr>
              <w:t>(P2 ; P2 ; P1; P2)</w:t>
            </w:r>
          </w:p>
        </w:tc>
      </w:tr>
      <w:tr w:rsidR="00711444" w:rsidRPr="004D0DAA" w14:paraId="7291B1C3" w14:textId="77777777" w:rsidTr="00AA2A4C">
        <w:tblPrEx>
          <w:tblCellMar>
            <w:top w:w="0" w:type="dxa"/>
            <w:bottom w:w="0" w:type="dxa"/>
          </w:tblCellMar>
        </w:tblPrEx>
        <w:trPr>
          <w:cantSplit/>
          <w:jc w:val="center"/>
        </w:trPr>
        <w:tc>
          <w:tcPr>
            <w:tcW w:w="1446" w:type="dxa"/>
          </w:tcPr>
          <w:p w14:paraId="0C57FF20" w14:textId="77777777" w:rsidR="00711444" w:rsidRPr="004D0DAA" w:rsidRDefault="00711444" w:rsidP="00AA2A4C">
            <w:pPr>
              <w:pStyle w:val="TAC"/>
              <w:rPr>
                <w:lang w:eastAsia="en-US"/>
              </w:rPr>
            </w:pPr>
            <w:r w:rsidRPr="004D0DAA">
              <w:rPr>
                <w:lang w:eastAsia="en-US"/>
              </w:rPr>
              <w:t>0100110</w:t>
            </w:r>
          </w:p>
        </w:tc>
        <w:tc>
          <w:tcPr>
            <w:tcW w:w="4239" w:type="dxa"/>
          </w:tcPr>
          <w:p w14:paraId="26E321BA" w14:textId="77777777" w:rsidR="00711444" w:rsidRPr="004D0DAA" w:rsidRDefault="00711444" w:rsidP="00AA2A4C">
            <w:pPr>
              <w:pStyle w:val="TAL"/>
              <w:rPr>
                <w:lang w:eastAsia="en-US"/>
              </w:rPr>
            </w:pPr>
            <w:r w:rsidRPr="004D0DAA">
              <w:rPr>
                <w:lang w:eastAsia="en-US"/>
              </w:rPr>
              <w:t>(P2 ; P2 ; P1; P3)</w:t>
            </w:r>
          </w:p>
        </w:tc>
      </w:tr>
      <w:tr w:rsidR="00711444" w:rsidRPr="004D0DAA" w14:paraId="61976714" w14:textId="77777777" w:rsidTr="00AA2A4C">
        <w:tblPrEx>
          <w:tblCellMar>
            <w:top w:w="0" w:type="dxa"/>
            <w:bottom w:w="0" w:type="dxa"/>
          </w:tblCellMar>
        </w:tblPrEx>
        <w:trPr>
          <w:cantSplit/>
          <w:jc w:val="center"/>
        </w:trPr>
        <w:tc>
          <w:tcPr>
            <w:tcW w:w="1446" w:type="dxa"/>
          </w:tcPr>
          <w:p w14:paraId="5A5D73D5" w14:textId="77777777" w:rsidR="00711444" w:rsidRPr="004D0DAA" w:rsidRDefault="00711444" w:rsidP="00AA2A4C">
            <w:pPr>
              <w:pStyle w:val="TAC"/>
              <w:rPr>
                <w:lang w:eastAsia="en-US"/>
              </w:rPr>
            </w:pPr>
            <w:r w:rsidRPr="004D0DAA">
              <w:rPr>
                <w:lang w:eastAsia="en-US"/>
              </w:rPr>
              <w:t>0100111</w:t>
            </w:r>
          </w:p>
        </w:tc>
        <w:tc>
          <w:tcPr>
            <w:tcW w:w="4239" w:type="dxa"/>
          </w:tcPr>
          <w:p w14:paraId="4E31A518" w14:textId="77777777" w:rsidR="00711444" w:rsidRPr="004D0DAA" w:rsidRDefault="00711444" w:rsidP="00AA2A4C">
            <w:pPr>
              <w:pStyle w:val="TAL"/>
              <w:rPr>
                <w:lang w:eastAsia="en-US"/>
              </w:rPr>
            </w:pPr>
            <w:r w:rsidRPr="004D0DAA">
              <w:rPr>
                <w:lang w:eastAsia="en-US"/>
              </w:rPr>
              <w:t>(P2 ; P2 ; P2; P1)</w:t>
            </w:r>
          </w:p>
        </w:tc>
      </w:tr>
      <w:tr w:rsidR="00711444" w:rsidRPr="004D0DAA" w14:paraId="61C99EEC" w14:textId="77777777" w:rsidTr="00AA2A4C">
        <w:tblPrEx>
          <w:tblCellMar>
            <w:top w:w="0" w:type="dxa"/>
            <w:bottom w:w="0" w:type="dxa"/>
          </w:tblCellMar>
        </w:tblPrEx>
        <w:trPr>
          <w:cantSplit/>
          <w:jc w:val="center"/>
        </w:trPr>
        <w:tc>
          <w:tcPr>
            <w:tcW w:w="1446" w:type="dxa"/>
          </w:tcPr>
          <w:p w14:paraId="085A508C" w14:textId="77777777" w:rsidR="00711444" w:rsidRPr="004D0DAA" w:rsidRDefault="00711444" w:rsidP="00AA2A4C">
            <w:pPr>
              <w:pStyle w:val="TAC"/>
              <w:rPr>
                <w:lang w:eastAsia="en-US"/>
              </w:rPr>
            </w:pPr>
            <w:r w:rsidRPr="004D0DAA">
              <w:rPr>
                <w:lang w:eastAsia="en-US"/>
              </w:rPr>
              <w:t>0101000</w:t>
            </w:r>
          </w:p>
        </w:tc>
        <w:tc>
          <w:tcPr>
            <w:tcW w:w="4239" w:type="dxa"/>
          </w:tcPr>
          <w:p w14:paraId="0BD0BC04" w14:textId="77777777" w:rsidR="00711444" w:rsidRPr="004D0DAA" w:rsidRDefault="00711444" w:rsidP="00AA2A4C">
            <w:pPr>
              <w:pStyle w:val="TAL"/>
              <w:rPr>
                <w:lang w:eastAsia="en-US"/>
              </w:rPr>
            </w:pPr>
            <w:r w:rsidRPr="004D0DAA">
              <w:rPr>
                <w:lang w:eastAsia="en-US"/>
              </w:rPr>
              <w:t>(P2 ; P2 ; P2; P2)</w:t>
            </w:r>
          </w:p>
        </w:tc>
      </w:tr>
      <w:tr w:rsidR="00711444" w:rsidRPr="004D0DAA" w14:paraId="7A9A3877" w14:textId="77777777" w:rsidTr="00AA2A4C">
        <w:tblPrEx>
          <w:tblCellMar>
            <w:top w:w="0" w:type="dxa"/>
            <w:bottom w:w="0" w:type="dxa"/>
          </w:tblCellMar>
        </w:tblPrEx>
        <w:trPr>
          <w:cantSplit/>
          <w:jc w:val="center"/>
        </w:trPr>
        <w:tc>
          <w:tcPr>
            <w:tcW w:w="1446" w:type="dxa"/>
          </w:tcPr>
          <w:p w14:paraId="0EE2A9CA" w14:textId="77777777" w:rsidR="00711444" w:rsidRPr="004D0DAA" w:rsidRDefault="00711444" w:rsidP="00AA2A4C">
            <w:pPr>
              <w:pStyle w:val="TAC"/>
              <w:rPr>
                <w:lang w:eastAsia="en-US"/>
              </w:rPr>
            </w:pPr>
            <w:r w:rsidRPr="004D0DAA">
              <w:rPr>
                <w:lang w:eastAsia="en-US"/>
              </w:rPr>
              <w:t>0101001</w:t>
            </w:r>
          </w:p>
        </w:tc>
        <w:tc>
          <w:tcPr>
            <w:tcW w:w="4239" w:type="dxa"/>
          </w:tcPr>
          <w:p w14:paraId="28986CFF" w14:textId="77777777" w:rsidR="00711444" w:rsidRPr="004D0DAA" w:rsidRDefault="00711444" w:rsidP="00AA2A4C">
            <w:pPr>
              <w:pStyle w:val="TAL"/>
              <w:rPr>
                <w:lang w:eastAsia="en-US"/>
              </w:rPr>
            </w:pPr>
            <w:r w:rsidRPr="004D0DAA">
              <w:rPr>
                <w:lang w:eastAsia="en-US"/>
              </w:rPr>
              <w:t>(P2 ; P2 ; P2; P3)</w:t>
            </w:r>
          </w:p>
        </w:tc>
      </w:tr>
      <w:tr w:rsidR="00711444" w:rsidRPr="004D0DAA" w14:paraId="16E943B8" w14:textId="77777777" w:rsidTr="00AA2A4C">
        <w:tblPrEx>
          <w:tblCellMar>
            <w:top w:w="0" w:type="dxa"/>
            <w:bottom w:w="0" w:type="dxa"/>
          </w:tblCellMar>
        </w:tblPrEx>
        <w:trPr>
          <w:cantSplit/>
          <w:jc w:val="center"/>
        </w:trPr>
        <w:tc>
          <w:tcPr>
            <w:tcW w:w="1446" w:type="dxa"/>
          </w:tcPr>
          <w:p w14:paraId="09753887" w14:textId="77777777" w:rsidR="00711444" w:rsidRPr="004D0DAA" w:rsidRDefault="00711444" w:rsidP="00AA2A4C">
            <w:pPr>
              <w:pStyle w:val="TAC"/>
              <w:rPr>
                <w:lang w:eastAsia="en-US"/>
              </w:rPr>
            </w:pPr>
            <w:r w:rsidRPr="004D0DAA">
              <w:rPr>
                <w:lang w:eastAsia="en-US"/>
              </w:rPr>
              <w:t>0101010</w:t>
            </w:r>
          </w:p>
        </w:tc>
        <w:tc>
          <w:tcPr>
            <w:tcW w:w="4239" w:type="dxa"/>
          </w:tcPr>
          <w:p w14:paraId="710639EE" w14:textId="77777777" w:rsidR="00711444" w:rsidRPr="004D0DAA" w:rsidRDefault="00711444" w:rsidP="00AA2A4C">
            <w:pPr>
              <w:pStyle w:val="TAL"/>
              <w:rPr>
                <w:lang w:eastAsia="en-US"/>
              </w:rPr>
            </w:pPr>
            <w:r w:rsidRPr="004D0DAA">
              <w:rPr>
                <w:lang w:eastAsia="en-US"/>
              </w:rPr>
              <w:t>(P2 ; P2 ; P3; P1)</w:t>
            </w:r>
          </w:p>
        </w:tc>
      </w:tr>
      <w:tr w:rsidR="00711444" w:rsidRPr="004D0DAA" w14:paraId="7AF2E211" w14:textId="77777777" w:rsidTr="00AA2A4C">
        <w:tblPrEx>
          <w:tblCellMar>
            <w:top w:w="0" w:type="dxa"/>
            <w:bottom w:w="0" w:type="dxa"/>
          </w:tblCellMar>
        </w:tblPrEx>
        <w:trPr>
          <w:cantSplit/>
          <w:jc w:val="center"/>
        </w:trPr>
        <w:tc>
          <w:tcPr>
            <w:tcW w:w="1446" w:type="dxa"/>
          </w:tcPr>
          <w:p w14:paraId="0DD79ED2" w14:textId="77777777" w:rsidR="00711444" w:rsidRPr="004D0DAA" w:rsidRDefault="00711444" w:rsidP="00AA2A4C">
            <w:pPr>
              <w:pStyle w:val="TAC"/>
              <w:rPr>
                <w:lang w:eastAsia="en-US"/>
              </w:rPr>
            </w:pPr>
            <w:r w:rsidRPr="004D0DAA">
              <w:rPr>
                <w:lang w:eastAsia="en-US"/>
              </w:rPr>
              <w:t>0101011</w:t>
            </w:r>
          </w:p>
        </w:tc>
        <w:tc>
          <w:tcPr>
            <w:tcW w:w="4239" w:type="dxa"/>
          </w:tcPr>
          <w:p w14:paraId="23F4A1E0" w14:textId="77777777" w:rsidR="00711444" w:rsidRPr="004D0DAA" w:rsidRDefault="00711444" w:rsidP="00AA2A4C">
            <w:pPr>
              <w:pStyle w:val="TAL"/>
              <w:rPr>
                <w:lang w:eastAsia="en-US"/>
              </w:rPr>
            </w:pPr>
            <w:r w:rsidRPr="004D0DAA">
              <w:rPr>
                <w:lang w:eastAsia="en-US"/>
              </w:rPr>
              <w:t>(P2 ; P2 ; P3; P2)</w:t>
            </w:r>
          </w:p>
        </w:tc>
      </w:tr>
      <w:tr w:rsidR="00711444" w:rsidRPr="004D0DAA" w14:paraId="6D3A0C0C" w14:textId="77777777" w:rsidTr="00AA2A4C">
        <w:tblPrEx>
          <w:tblCellMar>
            <w:top w:w="0" w:type="dxa"/>
            <w:bottom w:w="0" w:type="dxa"/>
          </w:tblCellMar>
        </w:tblPrEx>
        <w:trPr>
          <w:cantSplit/>
          <w:jc w:val="center"/>
        </w:trPr>
        <w:tc>
          <w:tcPr>
            <w:tcW w:w="1446" w:type="dxa"/>
          </w:tcPr>
          <w:p w14:paraId="52D7A242" w14:textId="77777777" w:rsidR="00711444" w:rsidRPr="004D0DAA" w:rsidRDefault="00711444" w:rsidP="00AA2A4C">
            <w:pPr>
              <w:pStyle w:val="TAC"/>
              <w:rPr>
                <w:lang w:eastAsia="en-US"/>
              </w:rPr>
            </w:pPr>
            <w:r w:rsidRPr="004D0DAA">
              <w:rPr>
                <w:lang w:eastAsia="en-US"/>
              </w:rPr>
              <w:t>0101100</w:t>
            </w:r>
          </w:p>
        </w:tc>
        <w:tc>
          <w:tcPr>
            <w:tcW w:w="4239" w:type="dxa"/>
          </w:tcPr>
          <w:p w14:paraId="35789006" w14:textId="77777777" w:rsidR="00711444" w:rsidRPr="004D0DAA" w:rsidRDefault="00711444" w:rsidP="00AA2A4C">
            <w:pPr>
              <w:pStyle w:val="TAL"/>
              <w:rPr>
                <w:lang w:eastAsia="en-US"/>
              </w:rPr>
            </w:pPr>
            <w:r w:rsidRPr="004D0DAA">
              <w:rPr>
                <w:lang w:eastAsia="en-US"/>
              </w:rPr>
              <w:t>(P2 ; P2 ; P3; P3)</w:t>
            </w:r>
          </w:p>
        </w:tc>
      </w:tr>
      <w:tr w:rsidR="00711444" w:rsidRPr="004D0DAA" w14:paraId="1628B8D3" w14:textId="77777777" w:rsidTr="00AA2A4C">
        <w:tblPrEx>
          <w:tblCellMar>
            <w:top w:w="0" w:type="dxa"/>
            <w:bottom w:w="0" w:type="dxa"/>
          </w:tblCellMar>
        </w:tblPrEx>
        <w:trPr>
          <w:cantSplit/>
          <w:jc w:val="center"/>
        </w:trPr>
        <w:tc>
          <w:tcPr>
            <w:tcW w:w="1446" w:type="dxa"/>
          </w:tcPr>
          <w:p w14:paraId="66ED0857" w14:textId="77777777" w:rsidR="00711444" w:rsidRPr="004D0DAA" w:rsidRDefault="00711444" w:rsidP="00AA2A4C">
            <w:pPr>
              <w:pStyle w:val="TAC"/>
              <w:rPr>
                <w:lang w:eastAsia="en-US"/>
              </w:rPr>
            </w:pPr>
            <w:r w:rsidRPr="004D0DAA">
              <w:rPr>
                <w:lang w:eastAsia="en-US"/>
              </w:rPr>
              <w:t>0101101</w:t>
            </w:r>
          </w:p>
        </w:tc>
        <w:tc>
          <w:tcPr>
            <w:tcW w:w="4239" w:type="dxa"/>
          </w:tcPr>
          <w:p w14:paraId="2E65E5AC" w14:textId="77777777" w:rsidR="00711444" w:rsidRPr="004D0DAA" w:rsidRDefault="00711444" w:rsidP="00AA2A4C">
            <w:pPr>
              <w:pStyle w:val="TAL"/>
              <w:rPr>
                <w:lang w:eastAsia="en-US"/>
              </w:rPr>
            </w:pPr>
            <w:r w:rsidRPr="004D0DAA">
              <w:rPr>
                <w:lang w:eastAsia="en-US"/>
              </w:rPr>
              <w:t>(P2 ; P3 ; P1; P1)</w:t>
            </w:r>
          </w:p>
        </w:tc>
      </w:tr>
      <w:tr w:rsidR="00711444" w:rsidRPr="004D0DAA" w14:paraId="5D70B7EA" w14:textId="77777777" w:rsidTr="00AA2A4C">
        <w:tblPrEx>
          <w:tblCellMar>
            <w:top w:w="0" w:type="dxa"/>
            <w:bottom w:w="0" w:type="dxa"/>
          </w:tblCellMar>
        </w:tblPrEx>
        <w:trPr>
          <w:cantSplit/>
          <w:jc w:val="center"/>
        </w:trPr>
        <w:tc>
          <w:tcPr>
            <w:tcW w:w="1446" w:type="dxa"/>
          </w:tcPr>
          <w:p w14:paraId="3347391D" w14:textId="77777777" w:rsidR="00711444" w:rsidRPr="004D0DAA" w:rsidRDefault="00711444" w:rsidP="00AA2A4C">
            <w:pPr>
              <w:pStyle w:val="TAC"/>
              <w:rPr>
                <w:lang w:eastAsia="en-US"/>
              </w:rPr>
            </w:pPr>
            <w:r w:rsidRPr="004D0DAA">
              <w:rPr>
                <w:lang w:eastAsia="en-US"/>
              </w:rPr>
              <w:t>0101110</w:t>
            </w:r>
          </w:p>
        </w:tc>
        <w:tc>
          <w:tcPr>
            <w:tcW w:w="4239" w:type="dxa"/>
          </w:tcPr>
          <w:p w14:paraId="4E66EBCB" w14:textId="77777777" w:rsidR="00711444" w:rsidRPr="004D0DAA" w:rsidRDefault="00711444" w:rsidP="00AA2A4C">
            <w:pPr>
              <w:pStyle w:val="TAL"/>
              <w:rPr>
                <w:lang w:eastAsia="en-US"/>
              </w:rPr>
            </w:pPr>
            <w:r w:rsidRPr="004D0DAA">
              <w:rPr>
                <w:lang w:eastAsia="en-US"/>
              </w:rPr>
              <w:t>(P2 ; P3 ; P1; P2)</w:t>
            </w:r>
          </w:p>
        </w:tc>
      </w:tr>
      <w:tr w:rsidR="00711444" w:rsidRPr="004D0DAA" w14:paraId="2C8076D8" w14:textId="77777777" w:rsidTr="00AA2A4C">
        <w:tblPrEx>
          <w:tblCellMar>
            <w:top w:w="0" w:type="dxa"/>
            <w:bottom w:w="0" w:type="dxa"/>
          </w:tblCellMar>
        </w:tblPrEx>
        <w:trPr>
          <w:cantSplit/>
          <w:jc w:val="center"/>
        </w:trPr>
        <w:tc>
          <w:tcPr>
            <w:tcW w:w="1446" w:type="dxa"/>
          </w:tcPr>
          <w:p w14:paraId="484C7ECC" w14:textId="77777777" w:rsidR="00711444" w:rsidRPr="004D0DAA" w:rsidRDefault="00711444" w:rsidP="00AA2A4C">
            <w:pPr>
              <w:pStyle w:val="TAC"/>
              <w:rPr>
                <w:lang w:eastAsia="en-US"/>
              </w:rPr>
            </w:pPr>
            <w:r w:rsidRPr="004D0DAA">
              <w:rPr>
                <w:lang w:eastAsia="en-US"/>
              </w:rPr>
              <w:t>0101111</w:t>
            </w:r>
          </w:p>
        </w:tc>
        <w:tc>
          <w:tcPr>
            <w:tcW w:w="4239" w:type="dxa"/>
          </w:tcPr>
          <w:p w14:paraId="39A93C70" w14:textId="77777777" w:rsidR="00711444" w:rsidRPr="004D0DAA" w:rsidRDefault="00711444" w:rsidP="00AA2A4C">
            <w:pPr>
              <w:pStyle w:val="TAL"/>
              <w:rPr>
                <w:lang w:eastAsia="en-US"/>
              </w:rPr>
            </w:pPr>
            <w:r w:rsidRPr="004D0DAA">
              <w:rPr>
                <w:lang w:eastAsia="en-US"/>
              </w:rPr>
              <w:t>(P2 ; P3 ; P1; P3)</w:t>
            </w:r>
          </w:p>
        </w:tc>
      </w:tr>
      <w:tr w:rsidR="00711444" w:rsidRPr="004D0DAA" w14:paraId="6664A2BE" w14:textId="77777777" w:rsidTr="00AA2A4C">
        <w:tblPrEx>
          <w:tblCellMar>
            <w:top w:w="0" w:type="dxa"/>
            <w:bottom w:w="0" w:type="dxa"/>
          </w:tblCellMar>
        </w:tblPrEx>
        <w:trPr>
          <w:cantSplit/>
          <w:jc w:val="center"/>
        </w:trPr>
        <w:tc>
          <w:tcPr>
            <w:tcW w:w="1446" w:type="dxa"/>
          </w:tcPr>
          <w:p w14:paraId="575C145C" w14:textId="77777777" w:rsidR="00711444" w:rsidRPr="004D0DAA" w:rsidRDefault="00711444" w:rsidP="00AA2A4C">
            <w:pPr>
              <w:pStyle w:val="TAC"/>
              <w:rPr>
                <w:lang w:eastAsia="en-US"/>
              </w:rPr>
            </w:pPr>
            <w:r w:rsidRPr="004D0DAA">
              <w:rPr>
                <w:lang w:eastAsia="en-US"/>
              </w:rPr>
              <w:t>0110000</w:t>
            </w:r>
          </w:p>
        </w:tc>
        <w:tc>
          <w:tcPr>
            <w:tcW w:w="4239" w:type="dxa"/>
          </w:tcPr>
          <w:p w14:paraId="0285E9BD" w14:textId="77777777" w:rsidR="00711444" w:rsidRPr="004D0DAA" w:rsidRDefault="00711444" w:rsidP="00AA2A4C">
            <w:pPr>
              <w:pStyle w:val="TAL"/>
              <w:rPr>
                <w:lang w:eastAsia="en-US"/>
              </w:rPr>
            </w:pPr>
            <w:r w:rsidRPr="004D0DAA">
              <w:rPr>
                <w:lang w:eastAsia="en-US"/>
              </w:rPr>
              <w:t>(P2 ; P3 ; P2; P1)</w:t>
            </w:r>
          </w:p>
        </w:tc>
      </w:tr>
      <w:tr w:rsidR="00711444" w:rsidRPr="004D0DAA" w14:paraId="3FC04CDF" w14:textId="77777777" w:rsidTr="00AA2A4C">
        <w:tblPrEx>
          <w:tblCellMar>
            <w:top w:w="0" w:type="dxa"/>
            <w:bottom w:w="0" w:type="dxa"/>
          </w:tblCellMar>
        </w:tblPrEx>
        <w:trPr>
          <w:cantSplit/>
          <w:jc w:val="center"/>
        </w:trPr>
        <w:tc>
          <w:tcPr>
            <w:tcW w:w="1446" w:type="dxa"/>
          </w:tcPr>
          <w:p w14:paraId="3DC43DE0" w14:textId="77777777" w:rsidR="00711444" w:rsidRPr="004D0DAA" w:rsidRDefault="00711444" w:rsidP="00AA2A4C">
            <w:pPr>
              <w:pStyle w:val="TAC"/>
              <w:rPr>
                <w:lang w:eastAsia="en-US"/>
              </w:rPr>
            </w:pPr>
            <w:r w:rsidRPr="004D0DAA">
              <w:rPr>
                <w:lang w:eastAsia="en-US"/>
              </w:rPr>
              <w:t>0110001</w:t>
            </w:r>
          </w:p>
        </w:tc>
        <w:tc>
          <w:tcPr>
            <w:tcW w:w="4239" w:type="dxa"/>
          </w:tcPr>
          <w:p w14:paraId="2C86859B" w14:textId="77777777" w:rsidR="00711444" w:rsidRPr="004D0DAA" w:rsidRDefault="00711444" w:rsidP="00AA2A4C">
            <w:pPr>
              <w:pStyle w:val="TAL"/>
              <w:rPr>
                <w:lang w:eastAsia="en-US"/>
              </w:rPr>
            </w:pPr>
            <w:r w:rsidRPr="004D0DAA">
              <w:rPr>
                <w:lang w:eastAsia="en-US"/>
              </w:rPr>
              <w:t>(P2 ; P3 ; P2; P2)</w:t>
            </w:r>
          </w:p>
        </w:tc>
      </w:tr>
      <w:tr w:rsidR="00711444" w:rsidRPr="004D0DAA" w14:paraId="5DB163A5" w14:textId="77777777" w:rsidTr="00AA2A4C">
        <w:tblPrEx>
          <w:tblCellMar>
            <w:top w:w="0" w:type="dxa"/>
            <w:bottom w:w="0" w:type="dxa"/>
          </w:tblCellMar>
        </w:tblPrEx>
        <w:trPr>
          <w:cantSplit/>
          <w:jc w:val="center"/>
        </w:trPr>
        <w:tc>
          <w:tcPr>
            <w:tcW w:w="1446" w:type="dxa"/>
          </w:tcPr>
          <w:p w14:paraId="4F51DE61" w14:textId="77777777" w:rsidR="00711444" w:rsidRPr="004D0DAA" w:rsidRDefault="00711444" w:rsidP="00AA2A4C">
            <w:pPr>
              <w:pStyle w:val="TAC"/>
              <w:rPr>
                <w:lang w:eastAsia="en-US"/>
              </w:rPr>
            </w:pPr>
            <w:r w:rsidRPr="004D0DAA">
              <w:rPr>
                <w:lang w:eastAsia="en-US"/>
              </w:rPr>
              <w:t>0110010</w:t>
            </w:r>
          </w:p>
        </w:tc>
        <w:tc>
          <w:tcPr>
            <w:tcW w:w="4239" w:type="dxa"/>
          </w:tcPr>
          <w:p w14:paraId="12CD0123" w14:textId="77777777" w:rsidR="00711444" w:rsidRPr="004D0DAA" w:rsidRDefault="00711444" w:rsidP="00AA2A4C">
            <w:pPr>
              <w:pStyle w:val="TAL"/>
              <w:rPr>
                <w:lang w:eastAsia="en-US"/>
              </w:rPr>
            </w:pPr>
            <w:r w:rsidRPr="004D0DAA">
              <w:rPr>
                <w:lang w:eastAsia="en-US"/>
              </w:rPr>
              <w:t>(P2 ; P3 ; P2; P3)</w:t>
            </w:r>
          </w:p>
        </w:tc>
      </w:tr>
      <w:tr w:rsidR="00711444" w:rsidRPr="004D0DAA" w14:paraId="46469710" w14:textId="77777777" w:rsidTr="00AA2A4C">
        <w:tblPrEx>
          <w:tblCellMar>
            <w:top w:w="0" w:type="dxa"/>
            <w:bottom w:w="0" w:type="dxa"/>
          </w:tblCellMar>
        </w:tblPrEx>
        <w:trPr>
          <w:cantSplit/>
          <w:jc w:val="center"/>
        </w:trPr>
        <w:tc>
          <w:tcPr>
            <w:tcW w:w="1446" w:type="dxa"/>
          </w:tcPr>
          <w:p w14:paraId="7948992A" w14:textId="77777777" w:rsidR="00711444" w:rsidRPr="004D0DAA" w:rsidRDefault="00711444" w:rsidP="00AA2A4C">
            <w:pPr>
              <w:pStyle w:val="TAC"/>
              <w:rPr>
                <w:lang w:eastAsia="en-US"/>
              </w:rPr>
            </w:pPr>
            <w:r w:rsidRPr="004D0DAA">
              <w:rPr>
                <w:lang w:eastAsia="en-US"/>
              </w:rPr>
              <w:t>0110011</w:t>
            </w:r>
          </w:p>
        </w:tc>
        <w:tc>
          <w:tcPr>
            <w:tcW w:w="4239" w:type="dxa"/>
          </w:tcPr>
          <w:p w14:paraId="7128D37F" w14:textId="77777777" w:rsidR="00711444" w:rsidRPr="004D0DAA" w:rsidRDefault="00711444" w:rsidP="00AA2A4C">
            <w:pPr>
              <w:pStyle w:val="TAL"/>
              <w:rPr>
                <w:lang w:eastAsia="en-US"/>
              </w:rPr>
            </w:pPr>
            <w:r w:rsidRPr="004D0DAA">
              <w:rPr>
                <w:lang w:eastAsia="en-US"/>
              </w:rPr>
              <w:t>(P2 ; P3 ; P3; P1)</w:t>
            </w:r>
          </w:p>
        </w:tc>
      </w:tr>
      <w:tr w:rsidR="00711444" w:rsidRPr="004D0DAA" w14:paraId="48F0887E" w14:textId="77777777" w:rsidTr="00AA2A4C">
        <w:tblPrEx>
          <w:tblCellMar>
            <w:top w:w="0" w:type="dxa"/>
            <w:bottom w:w="0" w:type="dxa"/>
          </w:tblCellMar>
        </w:tblPrEx>
        <w:trPr>
          <w:cantSplit/>
          <w:jc w:val="center"/>
        </w:trPr>
        <w:tc>
          <w:tcPr>
            <w:tcW w:w="1446" w:type="dxa"/>
          </w:tcPr>
          <w:p w14:paraId="1D1E1842" w14:textId="77777777" w:rsidR="00711444" w:rsidRPr="004D0DAA" w:rsidRDefault="00711444" w:rsidP="00AA2A4C">
            <w:pPr>
              <w:pStyle w:val="TAC"/>
              <w:rPr>
                <w:lang w:eastAsia="en-US"/>
              </w:rPr>
            </w:pPr>
            <w:r w:rsidRPr="004D0DAA">
              <w:rPr>
                <w:lang w:eastAsia="en-US"/>
              </w:rPr>
              <w:t>0110100</w:t>
            </w:r>
          </w:p>
        </w:tc>
        <w:tc>
          <w:tcPr>
            <w:tcW w:w="4239" w:type="dxa"/>
          </w:tcPr>
          <w:p w14:paraId="26954E7B" w14:textId="77777777" w:rsidR="00711444" w:rsidRPr="004D0DAA" w:rsidRDefault="00711444" w:rsidP="00AA2A4C">
            <w:pPr>
              <w:pStyle w:val="TAL"/>
              <w:rPr>
                <w:lang w:eastAsia="en-US"/>
              </w:rPr>
            </w:pPr>
            <w:r w:rsidRPr="004D0DAA">
              <w:rPr>
                <w:lang w:eastAsia="en-US"/>
              </w:rPr>
              <w:t>(P2 ; P3 ; P3; P2)</w:t>
            </w:r>
          </w:p>
        </w:tc>
      </w:tr>
      <w:tr w:rsidR="00711444" w:rsidRPr="004D0DAA" w14:paraId="6586E89A" w14:textId="77777777" w:rsidTr="00AA2A4C">
        <w:tblPrEx>
          <w:tblCellMar>
            <w:top w:w="0" w:type="dxa"/>
            <w:bottom w:w="0" w:type="dxa"/>
          </w:tblCellMar>
        </w:tblPrEx>
        <w:trPr>
          <w:cantSplit/>
          <w:jc w:val="center"/>
        </w:trPr>
        <w:tc>
          <w:tcPr>
            <w:tcW w:w="1446" w:type="dxa"/>
          </w:tcPr>
          <w:p w14:paraId="4EB1325F" w14:textId="77777777" w:rsidR="00711444" w:rsidRPr="004D0DAA" w:rsidRDefault="00711444" w:rsidP="00AA2A4C">
            <w:pPr>
              <w:pStyle w:val="TAC"/>
              <w:rPr>
                <w:lang w:eastAsia="en-US"/>
              </w:rPr>
            </w:pPr>
            <w:r w:rsidRPr="004D0DAA">
              <w:rPr>
                <w:lang w:eastAsia="en-US"/>
              </w:rPr>
              <w:t>0110101</w:t>
            </w:r>
          </w:p>
        </w:tc>
        <w:tc>
          <w:tcPr>
            <w:tcW w:w="4239" w:type="dxa"/>
          </w:tcPr>
          <w:p w14:paraId="7EE6563A" w14:textId="77777777" w:rsidR="00711444" w:rsidRPr="004D0DAA" w:rsidRDefault="00711444" w:rsidP="00AA2A4C">
            <w:pPr>
              <w:pStyle w:val="TAL"/>
              <w:rPr>
                <w:lang w:eastAsia="en-US"/>
              </w:rPr>
            </w:pPr>
            <w:r w:rsidRPr="004D0DAA">
              <w:rPr>
                <w:lang w:eastAsia="en-US"/>
              </w:rPr>
              <w:t>(P2 ; P3 ; P3; P3)</w:t>
            </w:r>
          </w:p>
        </w:tc>
      </w:tr>
      <w:tr w:rsidR="00711444" w:rsidRPr="004D0DAA" w14:paraId="727589B3" w14:textId="77777777" w:rsidTr="00AA2A4C">
        <w:tblPrEx>
          <w:tblCellMar>
            <w:top w:w="0" w:type="dxa"/>
            <w:bottom w:w="0" w:type="dxa"/>
          </w:tblCellMar>
        </w:tblPrEx>
        <w:trPr>
          <w:cantSplit/>
          <w:jc w:val="center"/>
        </w:trPr>
        <w:tc>
          <w:tcPr>
            <w:tcW w:w="1446" w:type="dxa"/>
          </w:tcPr>
          <w:p w14:paraId="03964DC4" w14:textId="77777777" w:rsidR="00711444" w:rsidRPr="004D0DAA" w:rsidRDefault="00711444" w:rsidP="00AA2A4C">
            <w:pPr>
              <w:pStyle w:val="TAC"/>
              <w:rPr>
                <w:lang w:eastAsia="en-US"/>
              </w:rPr>
            </w:pPr>
            <w:r w:rsidRPr="004D0DAA">
              <w:rPr>
                <w:lang w:eastAsia="en-US"/>
              </w:rPr>
              <w:t>0110110</w:t>
            </w:r>
          </w:p>
        </w:tc>
        <w:tc>
          <w:tcPr>
            <w:tcW w:w="4239" w:type="dxa"/>
          </w:tcPr>
          <w:p w14:paraId="3832084F" w14:textId="77777777" w:rsidR="00711444" w:rsidRPr="004D0DAA" w:rsidRDefault="00711444" w:rsidP="00AA2A4C">
            <w:pPr>
              <w:pStyle w:val="TAL"/>
              <w:rPr>
                <w:lang w:eastAsia="en-US"/>
              </w:rPr>
            </w:pPr>
            <w:r w:rsidRPr="004D0DAA">
              <w:rPr>
                <w:lang w:eastAsia="en-US"/>
              </w:rPr>
              <w:t>(P3 ; P1 ; P1; P1)</w:t>
            </w:r>
          </w:p>
        </w:tc>
      </w:tr>
      <w:tr w:rsidR="00711444" w:rsidRPr="004D0DAA" w14:paraId="165CFE27" w14:textId="77777777" w:rsidTr="00AA2A4C">
        <w:tblPrEx>
          <w:tblCellMar>
            <w:top w:w="0" w:type="dxa"/>
            <w:bottom w:w="0" w:type="dxa"/>
          </w:tblCellMar>
        </w:tblPrEx>
        <w:trPr>
          <w:cantSplit/>
          <w:jc w:val="center"/>
        </w:trPr>
        <w:tc>
          <w:tcPr>
            <w:tcW w:w="1446" w:type="dxa"/>
          </w:tcPr>
          <w:p w14:paraId="2230916A" w14:textId="77777777" w:rsidR="00711444" w:rsidRPr="004D0DAA" w:rsidRDefault="00711444" w:rsidP="00AA2A4C">
            <w:pPr>
              <w:pStyle w:val="TAC"/>
              <w:rPr>
                <w:lang w:eastAsia="en-US"/>
              </w:rPr>
            </w:pPr>
            <w:r w:rsidRPr="004D0DAA">
              <w:rPr>
                <w:lang w:eastAsia="en-US"/>
              </w:rPr>
              <w:t>0110111</w:t>
            </w:r>
          </w:p>
        </w:tc>
        <w:tc>
          <w:tcPr>
            <w:tcW w:w="4239" w:type="dxa"/>
          </w:tcPr>
          <w:p w14:paraId="3C474CE0" w14:textId="77777777" w:rsidR="00711444" w:rsidRPr="004D0DAA" w:rsidRDefault="00711444" w:rsidP="00AA2A4C">
            <w:pPr>
              <w:pStyle w:val="TAL"/>
              <w:rPr>
                <w:lang w:eastAsia="en-US"/>
              </w:rPr>
            </w:pPr>
            <w:r w:rsidRPr="004D0DAA">
              <w:rPr>
                <w:lang w:eastAsia="en-US"/>
              </w:rPr>
              <w:t>(P3 ; P1 ; P1; P2)</w:t>
            </w:r>
          </w:p>
        </w:tc>
      </w:tr>
      <w:tr w:rsidR="00711444" w:rsidRPr="004D0DAA" w14:paraId="6AE46F23" w14:textId="77777777" w:rsidTr="00AA2A4C">
        <w:tblPrEx>
          <w:tblCellMar>
            <w:top w:w="0" w:type="dxa"/>
            <w:bottom w:w="0" w:type="dxa"/>
          </w:tblCellMar>
        </w:tblPrEx>
        <w:trPr>
          <w:cantSplit/>
          <w:jc w:val="center"/>
        </w:trPr>
        <w:tc>
          <w:tcPr>
            <w:tcW w:w="1446" w:type="dxa"/>
          </w:tcPr>
          <w:p w14:paraId="088ECA4E" w14:textId="77777777" w:rsidR="00711444" w:rsidRPr="004D0DAA" w:rsidRDefault="00711444" w:rsidP="00AA2A4C">
            <w:pPr>
              <w:pStyle w:val="TAC"/>
              <w:rPr>
                <w:lang w:eastAsia="en-US"/>
              </w:rPr>
            </w:pPr>
            <w:r w:rsidRPr="004D0DAA">
              <w:rPr>
                <w:lang w:eastAsia="en-US"/>
              </w:rPr>
              <w:t>0111000</w:t>
            </w:r>
          </w:p>
        </w:tc>
        <w:tc>
          <w:tcPr>
            <w:tcW w:w="4239" w:type="dxa"/>
          </w:tcPr>
          <w:p w14:paraId="68F3C549" w14:textId="77777777" w:rsidR="00711444" w:rsidRPr="004D0DAA" w:rsidRDefault="00711444" w:rsidP="00AA2A4C">
            <w:pPr>
              <w:pStyle w:val="TAL"/>
              <w:rPr>
                <w:lang w:eastAsia="en-US"/>
              </w:rPr>
            </w:pPr>
            <w:r w:rsidRPr="004D0DAA">
              <w:rPr>
                <w:lang w:eastAsia="en-US"/>
              </w:rPr>
              <w:t>(P3 ; P1 ; P1; P3)</w:t>
            </w:r>
          </w:p>
        </w:tc>
      </w:tr>
      <w:tr w:rsidR="00711444" w:rsidRPr="004D0DAA" w14:paraId="578F59AB" w14:textId="77777777" w:rsidTr="00AA2A4C">
        <w:tblPrEx>
          <w:tblCellMar>
            <w:top w:w="0" w:type="dxa"/>
            <w:bottom w:w="0" w:type="dxa"/>
          </w:tblCellMar>
        </w:tblPrEx>
        <w:trPr>
          <w:cantSplit/>
          <w:jc w:val="center"/>
        </w:trPr>
        <w:tc>
          <w:tcPr>
            <w:tcW w:w="1446" w:type="dxa"/>
          </w:tcPr>
          <w:p w14:paraId="588887F3" w14:textId="77777777" w:rsidR="00711444" w:rsidRPr="004D0DAA" w:rsidRDefault="00711444" w:rsidP="00AA2A4C">
            <w:pPr>
              <w:pStyle w:val="TAC"/>
              <w:rPr>
                <w:lang w:eastAsia="en-US"/>
              </w:rPr>
            </w:pPr>
            <w:r w:rsidRPr="004D0DAA">
              <w:rPr>
                <w:lang w:eastAsia="en-US"/>
              </w:rPr>
              <w:t>0111001</w:t>
            </w:r>
          </w:p>
        </w:tc>
        <w:tc>
          <w:tcPr>
            <w:tcW w:w="4239" w:type="dxa"/>
          </w:tcPr>
          <w:p w14:paraId="08D46766" w14:textId="77777777" w:rsidR="00711444" w:rsidRPr="004D0DAA" w:rsidRDefault="00711444" w:rsidP="00AA2A4C">
            <w:pPr>
              <w:pStyle w:val="TAL"/>
              <w:rPr>
                <w:lang w:eastAsia="en-US"/>
              </w:rPr>
            </w:pPr>
            <w:r w:rsidRPr="004D0DAA">
              <w:rPr>
                <w:lang w:eastAsia="en-US"/>
              </w:rPr>
              <w:t>(P3 ; P1 ; P2; P1)</w:t>
            </w:r>
          </w:p>
        </w:tc>
      </w:tr>
      <w:tr w:rsidR="00711444" w:rsidRPr="004D0DAA" w14:paraId="67CE8BBE" w14:textId="77777777" w:rsidTr="00AA2A4C">
        <w:tblPrEx>
          <w:tblCellMar>
            <w:top w:w="0" w:type="dxa"/>
            <w:bottom w:w="0" w:type="dxa"/>
          </w:tblCellMar>
        </w:tblPrEx>
        <w:trPr>
          <w:cantSplit/>
          <w:jc w:val="center"/>
        </w:trPr>
        <w:tc>
          <w:tcPr>
            <w:tcW w:w="1446" w:type="dxa"/>
          </w:tcPr>
          <w:p w14:paraId="316FD601" w14:textId="77777777" w:rsidR="00711444" w:rsidRPr="004D0DAA" w:rsidRDefault="00711444" w:rsidP="00AA2A4C">
            <w:pPr>
              <w:pStyle w:val="TAC"/>
              <w:rPr>
                <w:lang w:eastAsia="en-US"/>
              </w:rPr>
            </w:pPr>
            <w:r w:rsidRPr="004D0DAA">
              <w:rPr>
                <w:lang w:eastAsia="en-US"/>
              </w:rPr>
              <w:t>0111010</w:t>
            </w:r>
          </w:p>
        </w:tc>
        <w:tc>
          <w:tcPr>
            <w:tcW w:w="4239" w:type="dxa"/>
          </w:tcPr>
          <w:p w14:paraId="2A71B8E2" w14:textId="77777777" w:rsidR="00711444" w:rsidRPr="004D0DAA" w:rsidRDefault="00711444" w:rsidP="00AA2A4C">
            <w:pPr>
              <w:pStyle w:val="TAL"/>
              <w:rPr>
                <w:lang w:eastAsia="en-US"/>
              </w:rPr>
            </w:pPr>
            <w:r w:rsidRPr="004D0DAA">
              <w:rPr>
                <w:lang w:eastAsia="en-US"/>
              </w:rPr>
              <w:t>(P3 ; P1 ; P2; P2)</w:t>
            </w:r>
          </w:p>
        </w:tc>
      </w:tr>
      <w:tr w:rsidR="00711444" w:rsidRPr="004D0DAA" w14:paraId="749BC806" w14:textId="77777777" w:rsidTr="00AA2A4C">
        <w:tblPrEx>
          <w:tblCellMar>
            <w:top w:w="0" w:type="dxa"/>
            <w:bottom w:w="0" w:type="dxa"/>
          </w:tblCellMar>
        </w:tblPrEx>
        <w:trPr>
          <w:cantSplit/>
          <w:jc w:val="center"/>
        </w:trPr>
        <w:tc>
          <w:tcPr>
            <w:tcW w:w="1446" w:type="dxa"/>
          </w:tcPr>
          <w:p w14:paraId="79D3E976" w14:textId="77777777" w:rsidR="00711444" w:rsidRPr="004D0DAA" w:rsidRDefault="00711444" w:rsidP="00AA2A4C">
            <w:pPr>
              <w:pStyle w:val="TAC"/>
              <w:rPr>
                <w:lang w:eastAsia="en-US"/>
              </w:rPr>
            </w:pPr>
            <w:r w:rsidRPr="004D0DAA">
              <w:rPr>
                <w:lang w:eastAsia="en-US"/>
              </w:rPr>
              <w:t>0111011</w:t>
            </w:r>
          </w:p>
        </w:tc>
        <w:tc>
          <w:tcPr>
            <w:tcW w:w="4239" w:type="dxa"/>
          </w:tcPr>
          <w:p w14:paraId="51B05438" w14:textId="77777777" w:rsidR="00711444" w:rsidRPr="004D0DAA" w:rsidRDefault="00711444" w:rsidP="00AA2A4C">
            <w:pPr>
              <w:pStyle w:val="TAL"/>
              <w:rPr>
                <w:lang w:eastAsia="en-US"/>
              </w:rPr>
            </w:pPr>
            <w:r w:rsidRPr="004D0DAA">
              <w:rPr>
                <w:lang w:eastAsia="en-US"/>
              </w:rPr>
              <w:t>(P3 ; P1 ; P2; P3)</w:t>
            </w:r>
          </w:p>
        </w:tc>
      </w:tr>
      <w:tr w:rsidR="00711444" w:rsidRPr="004D0DAA" w14:paraId="0EEA2E56" w14:textId="77777777" w:rsidTr="00AA2A4C">
        <w:tblPrEx>
          <w:tblCellMar>
            <w:top w:w="0" w:type="dxa"/>
            <w:bottom w:w="0" w:type="dxa"/>
          </w:tblCellMar>
        </w:tblPrEx>
        <w:trPr>
          <w:cantSplit/>
          <w:jc w:val="center"/>
        </w:trPr>
        <w:tc>
          <w:tcPr>
            <w:tcW w:w="1446" w:type="dxa"/>
          </w:tcPr>
          <w:p w14:paraId="17558CA9" w14:textId="77777777" w:rsidR="00711444" w:rsidRPr="004D0DAA" w:rsidRDefault="00711444" w:rsidP="00AA2A4C">
            <w:pPr>
              <w:pStyle w:val="TAC"/>
              <w:rPr>
                <w:lang w:eastAsia="en-US"/>
              </w:rPr>
            </w:pPr>
            <w:r w:rsidRPr="004D0DAA">
              <w:rPr>
                <w:lang w:eastAsia="en-US"/>
              </w:rPr>
              <w:lastRenderedPageBreak/>
              <w:t>0111100</w:t>
            </w:r>
          </w:p>
        </w:tc>
        <w:tc>
          <w:tcPr>
            <w:tcW w:w="4239" w:type="dxa"/>
          </w:tcPr>
          <w:p w14:paraId="4801FA3F" w14:textId="77777777" w:rsidR="00711444" w:rsidRPr="004D0DAA" w:rsidRDefault="00711444" w:rsidP="00AA2A4C">
            <w:pPr>
              <w:pStyle w:val="TAL"/>
              <w:rPr>
                <w:lang w:eastAsia="en-US"/>
              </w:rPr>
            </w:pPr>
            <w:r w:rsidRPr="004D0DAA">
              <w:rPr>
                <w:lang w:eastAsia="en-US"/>
              </w:rPr>
              <w:t>(P3 ; P1 ; P3; P1)</w:t>
            </w:r>
          </w:p>
        </w:tc>
      </w:tr>
      <w:tr w:rsidR="00711444" w:rsidRPr="004D0DAA" w14:paraId="738CBAE1" w14:textId="77777777" w:rsidTr="00AA2A4C">
        <w:tblPrEx>
          <w:tblCellMar>
            <w:top w:w="0" w:type="dxa"/>
            <w:bottom w:w="0" w:type="dxa"/>
          </w:tblCellMar>
        </w:tblPrEx>
        <w:trPr>
          <w:cantSplit/>
          <w:jc w:val="center"/>
        </w:trPr>
        <w:tc>
          <w:tcPr>
            <w:tcW w:w="1446" w:type="dxa"/>
          </w:tcPr>
          <w:p w14:paraId="49005EDA" w14:textId="77777777" w:rsidR="00711444" w:rsidRPr="004D0DAA" w:rsidRDefault="00711444" w:rsidP="00AA2A4C">
            <w:pPr>
              <w:pStyle w:val="TAC"/>
              <w:rPr>
                <w:lang w:eastAsia="en-US"/>
              </w:rPr>
            </w:pPr>
            <w:r w:rsidRPr="004D0DAA">
              <w:rPr>
                <w:lang w:eastAsia="en-US"/>
              </w:rPr>
              <w:t>0111101</w:t>
            </w:r>
          </w:p>
        </w:tc>
        <w:tc>
          <w:tcPr>
            <w:tcW w:w="4239" w:type="dxa"/>
          </w:tcPr>
          <w:p w14:paraId="2E43A138" w14:textId="77777777" w:rsidR="00711444" w:rsidRPr="004D0DAA" w:rsidRDefault="00711444" w:rsidP="00AA2A4C">
            <w:pPr>
              <w:pStyle w:val="TAL"/>
              <w:rPr>
                <w:lang w:eastAsia="en-US"/>
              </w:rPr>
            </w:pPr>
            <w:r w:rsidRPr="004D0DAA">
              <w:rPr>
                <w:lang w:eastAsia="en-US"/>
              </w:rPr>
              <w:t>(P3 ; P1 ; P3; P2)</w:t>
            </w:r>
          </w:p>
        </w:tc>
      </w:tr>
      <w:tr w:rsidR="00711444" w:rsidRPr="004D0DAA" w14:paraId="78BB1A85" w14:textId="77777777" w:rsidTr="00AA2A4C">
        <w:tblPrEx>
          <w:tblCellMar>
            <w:top w:w="0" w:type="dxa"/>
            <w:bottom w:w="0" w:type="dxa"/>
          </w:tblCellMar>
        </w:tblPrEx>
        <w:trPr>
          <w:cantSplit/>
          <w:jc w:val="center"/>
        </w:trPr>
        <w:tc>
          <w:tcPr>
            <w:tcW w:w="1446" w:type="dxa"/>
          </w:tcPr>
          <w:p w14:paraId="78EA4C43" w14:textId="77777777" w:rsidR="00711444" w:rsidRPr="004D0DAA" w:rsidRDefault="00711444" w:rsidP="00AA2A4C">
            <w:pPr>
              <w:pStyle w:val="TAC"/>
              <w:rPr>
                <w:lang w:eastAsia="en-US"/>
              </w:rPr>
            </w:pPr>
            <w:r w:rsidRPr="004D0DAA">
              <w:rPr>
                <w:lang w:eastAsia="en-US"/>
              </w:rPr>
              <w:t>0111110</w:t>
            </w:r>
          </w:p>
        </w:tc>
        <w:tc>
          <w:tcPr>
            <w:tcW w:w="4239" w:type="dxa"/>
          </w:tcPr>
          <w:p w14:paraId="4F7C905D" w14:textId="77777777" w:rsidR="00711444" w:rsidRPr="004D0DAA" w:rsidRDefault="00711444" w:rsidP="00AA2A4C">
            <w:pPr>
              <w:pStyle w:val="TAL"/>
              <w:rPr>
                <w:lang w:eastAsia="en-US"/>
              </w:rPr>
            </w:pPr>
            <w:r w:rsidRPr="004D0DAA">
              <w:rPr>
                <w:lang w:eastAsia="en-US"/>
              </w:rPr>
              <w:t>(P3 ; P1 ; P3; P3)</w:t>
            </w:r>
          </w:p>
        </w:tc>
      </w:tr>
      <w:tr w:rsidR="00711444" w:rsidRPr="004D0DAA" w14:paraId="24533DE7" w14:textId="77777777" w:rsidTr="00AA2A4C">
        <w:tblPrEx>
          <w:tblCellMar>
            <w:top w:w="0" w:type="dxa"/>
            <w:bottom w:w="0" w:type="dxa"/>
          </w:tblCellMar>
        </w:tblPrEx>
        <w:trPr>
          <w:cantSplit/>
          <w:jc w:val="center"/>
        </w:trPr>
        <w:tc>
          <w:tcPr>
            <w:tcW w:w="1446" w:type="dxa"/>
          </w:tcPr>
          <w:p w14:paraId="3CF55F3F" w14:textId="77777777" w:rsidR="00711444" w:rsidRPr="004D0DAA" w:rsidRDefault="00711444" w:rsidP="00AA2A4C">
            <w:pPr>
              <w:pStyle w:val="TAC"/>
              <w:rPr>
                <w:lang w:eastAsia="en-US"/>
              </w:rPr>
            </w:pPr>
            <w:r w:rsidRPr="004D0DAA">
              <w:rPr>
                <w:lang w:eastAsia="en-US"/>
              </w:rPr>
              <w:t>0111111</w:t>
            </w:r>
          </w:p>
        </w:tc>
        <w:tc>
          <w:tcPr>
            <w:tcW w:w="4239" w:type="dxa"/>
          </w:tcPr>
          <w:p w14:paraId="2C53C257" w14:textId="77777777" w:rsidR="00711444" w:rsidRPr="004D0DAA" w:rsidRDefault="00711444" w:rsidP="00AA2A4C">
            <w:pPr>
              <w:pStyle w:val="TAL"/>
              <w:rPr>
                <w:lang w:eastAsia="en-US"/>
              </w:rPr>
            </w:pPr>
            <w:r w:rsidRPr="004D0DAA">
              <w:rPr>
                <w:lang w:eastAsia="en-US"/>
              </w:rPr>
              <w:t>(P3 ; P2 ; P1; P1)</w:t>
            </w:r>
          </w:p>
        </w:tc>
      </w:tr>
      <w:tr w:rsidR="00711444" w:rsidRPr="004D0DAA" w14:paraId="1D453977" w14:textId="77777777" w:rsidTr="00AA2A4C">
        <w:tblPrEx>
          <w:tblCellMar>
            <w:top w:w="0" w:type="dxa"/>
            <w:bottom w:w="0" w:type="dxa"/>
          </w:tblCellMar>
        </w:tblPrEx>
        <w:trPr>
          <w:cantSplit/>
          <w:jc w:val="center"/>
        </w:trPr>
        <w:tc>
          <w:tcPr>
            <w:tcW w:w="1446" w:type="dxa"/>
          </w:tcPr>
          <w:p w14:paraId="287A8689" w14:textId="77777777" w:rsidR="00711444" w:rsidRPr="004D0DAA" w:rsidRDefault="00711444" w:rsidP="00AA2A4C">
            <w:pPr>
              <w:pStyle w:val="TAC"/>
              <w:rPr>
                <w:lang w:eastAsia="en-US"/>
              </w:rPr>
            </w:pPr>
            <w:r w:rsidRPr="004D0DAA">
              <w:rPr>
                <w:lang w:eastAsia="en-US"/>
              </w:rPr>
              <w:t>1000000</w:t>
            </w:r>
          </w:p>
        </w:tc>
        <w:tc>
          <w:tcPr>
            <w:tcW w:w="4239" w:type="dxa"/>
          </w:tcPr>
          <w:p w14:paraId="7F87F169" w14:textId="77777777" w:rsidR="00711444" w:rsidRPr="004D0DAA" w:rsidRDefault="00711444" w:rsidP="00AA2A4C">
            <w:pPr>
              <w:pStyle w:val="TAL"/>
              <w:rPr>
                <w:lang w:eastAsia="en-US"/>
              </w:rPr>
            </w:pPr>
            <w:r w:rsidRPr="004D0DAA">
              <w:rPr>
                <w:lang w:eastAsia="en-US"/>
              </w:rPr>
              <w:t>(P3 ; P2 ; P1; P2)</w:t>
            </w:r>
          </w:p>
        </w:tc>
      </w:tr>
      <w:tr w:rsidR="00711444" w:rsidRPr="004D0DAA" w14:paraId="5D44313E" w14:textId="77777777" w:rsidTr="00AA2A4C">
        <w:tblPrEx>
          <w:tblCellMar>
            <w:top w:w="0" w:type="dxa"/>
            <w:bottom w:w="0" w:type="dxa"/>
          </w:tblCellMar>
        </w:tblPrEx>
        <w:trPr>
          <w:cantSplit/>
          <w:jc w:val="center"/>
        </w:trPr>
        <w:tc>
          <w:tcPr>
            <w:tcW w:w="1446" w:type="dxa"/>
          </w:tcPr>
          <w:p w14:paraId="03BA4880" w14:textId="77777777" w:rsidR="00711444" w:rsidRPr="004D0DAA" w:rsidRDefault="00711444" w:rsidP="00AA2A4C">
            <w:pPr>
              <w:pStyle w:val="TAC"/>
              <w:rPr>
                <w:lang w:eastAsia="en-US"/>
              </w:rPr>
            </w:pPr>
            <w:r w:rsidRPr="004D0DAA">
              <w:rPr>
                <w:lang w:eastAsia="en-US"/>
              </w:rPr>
              <w:t>1000001</w:t>
            </w:r>
          </w:p>
        </w:tc>
        <w:tc>
          <w:tcPr>
            <w:tcW w:w="4239" w:type="dxa"/>
          </w:tcPr>
          <w:p w14:paraId="1C7C07CE" w14:textId="77777777" w:rsidR="00711444" w:rsidRPr="004D0DAA" w:rsidRDefault="00711444" w:rsidP="00AA2A4C">
            <w:pPr>
              <w:pStyle w:val="TAL"/>
              <w:rPr>
                <w:lang w:eastAsia="en-US"/>
              </w:rPr>
            </w:pPr>
            <w:r w:rsidRPr="004D0DAA">
              <w:rPr>
                <w:lang w:eastAsia="en-US"/>
              </w:rPr>
              <w:t>(P3 ; P2 ; P1; P3)</w:t>
            </w:r>
          </w:p>
        </w:tc>
      </w:tr>
      <w:tr w:rsidR="00711444" w:rsidRPr="004D0DAA" w14:paraId="35A3A419" w14:textId="77777777" w:rsidTr="00AA2A4C">
        <w:tblPrEx>
          <w:tblCellMar>
            <w:top w:w="0" w:type="dxa"/>
            <w:bottom w:w="0" w:type="dxa"/>
          </w:tblCellMar>
        </w:tblPrEx>
        <w:trPr>
          <w:cantSplit/>
          <w:jc w:val="center"/>
        </w:trPr>
        <w:tc>
          <w:tcPr>
            <w:tcW w:w="1446" w:type="dxa"/>
          </w:tcPr>
          <w:p w14:paraId="1C21F556" w14:textId="77777777" w:rsidR="00711444" w:rsidRPr="004D0DAA" w:rsidRDefault="00711444" w:rsidP="00AA2A4C">
            <w:pPr>
              <w:pStyle w:val="TAC"/>
              <w:rPr>
                <w:lang w:eastAsia="en-US"/>
              </w:rPr>
            </w:pPr>
            <w:r w:rsidRPr="004D0DAA">
              <w:rPr>
                <w:lang w:eastAsia="en-US"/>
              </w:rPr>
              <w:t>1000010</w:t>
            </w:r>
          </w:p>
        </w:tc>
        <w:tc>
          <w:tcPr>
            <w:tcW w:w="4239" w:type="dxa"/>
          </w:tcPr>
          <w:p w14:paraId="5DCDA79A" w14:textId="77777777" w:rsidR="00711444" w:rsidRPr="004D0DAA" w:rsidRDefault="00711444" w:rsidP="00AA2A4C">
            <w:pPr>
              <w:pStyle w:val="TAL"/>
              <w:rPr>
                <w:lang w:eastAsia="en-US"/>
              </w:rPr>
            </w:pPr>
            <w:r w:rsidRPr="004D0DAA">
              <w:rPr>
                <w:lang w:eastAsia="en-US"/>
              </w:rPr>
              <w:t>(P3 ; P2 ; P2; P1)</w:t>
            </w:r>
          </w:p>
        </w:tc>
      </w:tr>
      <w:tr w:rsidR="00711444" w:rsidRPr="004D0DAA" w14:paraId="7D6A8E24" w14:textId="77777777" w:rsidTr="00AA2A4C">
        <w:tblPrEx>
          <w:tblCellMar>
            <w:top w:w="0" w:type="dxa"/>
            <w:bottom w:w="0" w:type="dxa"/>
          </w:tblCellMar>
        </w:tblPrEx>
        <w:trPr>
          <w:cantSplit/>
          <w:jc w:val="center"/>
        </w:trPr>
        <w:tc>
          <w:tcPr>
            <w:tcW w:w="1446" w:type="dxa"/>
          </w:tcPr>
          <w:p w14:paraId="61DB3529" w14:textId="77777777" w:rsidR="00711444" w:rsidRPr="004D0DAA" w:rsidRDefault="00711444" w:rsidP="00AA2A4C">
            <w:pPr>
              <w:pStyle w:val="TAC"/>
              <w:rPr>
                <w:lang w:eastAsia="en-US"/>
              </w:rPr>
            </w:pPr>
            <w:r w:rsidRPr="004D0DAA">
              <w:rPr>
                <w:lang w:eastAsia="en-US"/>
              </w:rPr>
              <w:t>1000011</w:t>
            </w:r>
          </w:p>
        </w:tc>
        <w:tc>
          <w:tcPr>
            <w:tcW w:w="4239" w:type="dxa"/>
          </w:tcPr>
          <w:p w14:paraId="31935D2E" w14:textId="77777777" w:rsidR="00711444" w:rsidRPr="004D0DAA" w:rsidRDefault="00711444" w:rsidP="00AA2A4C">
            <w:pPr>
              <w:pStyle w:val="TAL"/>
              <w:rPr>
                <w:lang w:eastAsia="en-US"/>
              </w:rPr>
            </w:pPr>
            <w:r w:rsidRPr="004D0DAA">
              <w:rPr>
                <w:lang w:eastAsia="en-US"/>
              </w:rPr>
              <w:t>(P3 ; P2 ; P2; P2)</w:t>
            </w:r>
          </w:p>
        </w:tc>
      </w:tr>
      <w:tr w:rsidR="00711444" w:rsidRPr="004D0DAA" w14:paraId="7AA05B03" w14:textId="77777777" w:rsidTr="00AA2A4C">
        <w:tblPrEx>
          <w:tblCellMar>
            <w:top w:w="0" w:type="dxa"/>
            <w:bottom w:w="0" w:type="dxa"/>
          </w:tblCellMar>
        </w:tblPrEx>
        <w:trPr>
          <w:cantSplit/>
          <w:jc w:val="center"/>
        </w:trPr>
        <w:tc>
          <w:tcPr>
            <w:tcW w:w="1446" w:type="dxa"/>
          </w:tcPr>
          <w:p w14:paraId="7BDBF283" w14:textId="77777777" w:rsidR="00711444" w:rsidRPr="004D0DAA" w:rsidRDefault="00711444" w:rsidP="00AA2A4C">
            <w:pPr>
              <w:pStyle w:val="TAC"/>
              <w:rPr>
                <w:lang w:eastAsia="en-US"/>
              </w:rPr>
            </w:pPr>
            <w:r w:rsidRPr="004D0DAA">
              <w:rPr>
                <w:lang w:eastAsia="en-US"/>
              </w:rPr>
              <w:t>1000100</w:t>
            </w:r>
          </w:p>
        </w:tc>
        <w:tc>
          <w:tcPr>
            <w:tcW w:w="4239" w:type="dxa"/>
          </w:tcPr>
          <w:p w14:paraId="3FF37A1C" w14:textId="77777777" w:rsidR="00711444" w:rsidRPr="004D0DAA" w:rsidRDefault="00711444" w:rsidP="00AA2A4C">
            <w:pPr>
              <w:pStyle w:val="TAL"/>
              <w:rPr>
                <w:lang w:eastAsia="en-US"/>
              </w:rPr>
            </w:pPr>
            <w:r w:rsidRPr="004D0DAA">
              <w:rPr>
                <w:lang w:eastAsia="en-US"/>
              </w:rPr>
              <w:t>(P3 ; P2 ; P2; P3)</w:t>
            </w:r>
          </w:p>
        </w:tc>
      </w:tr>
      <w:tr w:rsidR="00711444" w:rsidRPr="004D0DAA" w14:paraId="2153A15E" w14:textId="77777777" w:rsidTr="00AA2A4C">
        <w:tblPrEx>
          <w:tblCellMar>
            <w:top w:w="0" w:type="dxa"/>
            <w:bottom w:w="0" w:type="dxa"/>
          </w:tblCellMar>
        </w:tblPrEx>
        <w:trPr>
          <w:cantSplit/>
          <w:jc w:val="center"/>
        </w:trPr>
        <w:tc>
          <w:tcPr>
            <w:tcW w:w="1446" w:type="dxa"/>
          </w:tcPr>
          <w:p w14:paraId="74D06FEF" w14:textId="77777777" w:rsidR="00711444" w:rsidRPr="004D0DAA" w:rsidRDefault="00711444" w:rsidP="00AA2A4C">
            <w:pPr>
              <w:pStyle w:val="TAC"/>
              <w:rPr>
                <w:lang w:eastAsia="en-US"/>
              </w:rPr>
            </w:pPr>
            <w:r w:rsidRPr="004D0DAA">
              <w:rPr>
                <w:lang w:eastAsia="en-US"/>
              </w:rPr>
              <w:t>1000101</w:t>
            </w:r>
          </w:p>
        </w:tc>
        <w:tc>
          <w:tcPr>
            <w:tcW w:w="4239" w:type="dxa"/>
          </w:tcPr>
          <w:p w14:paraId="7B6308C0" w14:textId="77777777" w:rsidR="00711444" w:rsidRPr="004D0DAA" w:rsidRDefault="00711444" w:rsidP="00AA2A4C">
            <w:pPr>
              <w:pStyle w:val="TAL"/>
              <w:rPr>
                <w:lang w:eastAsia="en-US"/>
              </w:rPr>
            </w:pPr>
            <w:r w:rsidRPr="004D0DAA">
              <w:rPr>
                <w:lang w:eastAsia="en-US"/>
              </w:rPr>
              <w:t>(P3 ; P2 ; P3; P1)</w:t>
            </w:r>
          </w:p>
        </w:tc>
      </w:tr>
      <w:tr w:rsidR="00711444" w:rsidRPr="004D0DAA" w14:paraId="71040930" w14:textId="77777777" w:rsidTr="00AA2A4C">
        <w:tblPrEx>
          <w:tblCellMar>
            <w:top w:w="0" w:type="dxa"/>
            <w:bottom w:w="0" w:type="dxa"/>
          </w:tblCellMar>
        </w:tblPrEx>
        <w:trPr>
          <w:cantSplit/>
          <w:jc w:val="center"/>
        </w:trPr>
        <w:tc>
          <w:tcPr>
            <w:tcW w:w="1446" w:type="dxa"/>
          </w:tcPr>
          <w:p w14:paraId="2062511E" w14:textId="77777777" w:rsidR="00711444" w:rsidRPr="004D0DAA" w:rsidRDefault="00711444" w:rsidP="00AA2A4C">
            <w:pPr>
              <w:pStyle w:val="TAC"/>
              <w:rPr>
                <w:lang w:eastAsia="en-US"/>
              </w:rPr>
            </w:pPr>
            <w:r w:rsidRPr="004D0DAA">
              <w:rPr>
                <w:lang w:eastAsia="en-US"/>
              </w:rPr>
              <w:t>1000110</w:t>
            </w:r>
          </w:p>
        </w:tc>
        <w:tc>
          <w:tcPr>
            <w:tcW w:w="4239" w:type="dxa"/>
          </w:tcPr>
          <w:p w14:paraId="76CEA7B0" w14:textId="77777777" w:rsidR="00711444" w:rsidRPr="004D0DAA" w:rsidRDefault="00711444" w:rsidP="00AA2A4C">
            <w:pPr>
              <w:pStyle w:val="TAL"/>
              <w:rPr>
                <w:lang w:eastAsia="en-US"/>
              </w:rPr>
            </w:pPr>
            <w:r w:rsidRPr="004D0DAA">
              <w:rPr>
                <w:lang w:eastAsia="en-US"/>
              </w:rPr>
              <w:t>(P3 ; P2 ; P3; P2)</w:t>
            </w:r>
          </w:p>
        </w:tc>
      </w:tr>
      <w:tr w:rsidR="00711444" w:rsidRPr="004D0DAA" w14:paraId="2B2AB7CB" w14:textId="77777777" w:rsidTr="00AA2A4C">
        <w:tblPrEx>
          <w:tblCellMar>
            <w:top w:w="0" w:type="dxa"/>
            <w:bottom w:w="0" w:type="dxa"/>
          </w:tblCellMar>
        </w:tblPrEx>
        <w:trPr>
          <w:cantSplit/>
          <w:jc w:val="center"/>
        </w:trPr>
        <w:tc>
          <w:tcPr>
            <w:tcW w:w="1446" w:type="dxa"/>
          </w:tcPr>
          <w:p w14:paraId="42E17930" w14:textId="77777777" w:rsidR="00711444" w:rsidRPr="004D0DAA" w:rsidRDefault="00711444" w:rsidP="00AA2A4C">
            <w:pPr>
              <w:pStyle w:val="TAC"/>
              <w:rPr>
                <w:lang w:eastAsia="en-US"/>
              </w:rPr>
            </w:pPr>
            <w:r w:rsidRPr="004D0DAA">
              <w:rPr>
                <w:lang w:eastAsia="en-US"/>
              </w:rPr>
              <w:t>1000111</w:t>
            </w:r>
          </w:p>
        </w:tc>
        <w:tc>
          <w:tcPr>
            <w:tcW w:w="4239" w:type="dxa"/>
          </w:tcPr>
          <w:p w14:paraId="5EF2FEED" w14:textId="77777777" w:rsidR="00711444" w:rsidRPr="004D0DAA" w:rsidRDefault="00711444" w:rsidP="00AA2A4C">
            <w:pPr>
              <w:pStyle w:val="TAL"/>
              <w:rPr>
                <w:lang w:eastAsia="en-US"/>
              </w:rPr>
            </w:pPr>
            <w:r w:rsidRPr="004D0DAA">
              <w:rPr>
                <w:lang w:eastAsia="en-US"/>
              </w:rPr>
              <w:t>(P3 ; P2 ; P3; P3)</w:t>
            </w:r>
          </w:p>
        </w:tc>
      </w:tr>
      <w:tr w:rsidR="00711444" w:rsidRPr="004D0DAA" w14:paraId="46E4F505" w14:textId="77777777" w:rsidTr="00AA2A4C">
        <w:tblPrEx>
          <w:tblCellMar>
            <w:top w:w="0" w:type="dxa"/>
            <w:bottom w:w="0" w:type="dxa"/>
          </w:tblCellMar>
        </w:tblPrEx>
        <w:trPr>
          <w:cantSplit/>
          <w:jc w:val="center"/>
        </w:trPr>
        <w:tc>
          <w:tcPr>
            <w:tcW w:w="1446" w:type="dxa"/>
          </w:tcPr>
          <w:p w14:paraId="20D9BD97" w14:textId="77777777" w:rsidR="00711444" w:rsidRPr="004D0DAA" w:rsidRDefault="00711444" w:rsidP="00AA2A4C">
            <w:pPr>
              <w:pStyle w:val="TAC"/>
              <w:rPr>
                <w:lang w:eastAsia="en-US"/>
              </w:rPr>
            </w:pPr>
            <w:r w:rsidRPr="004D0DAA">
              <w:rPr>
                <w:lang w:eastAsia="en-US"/>
              </w:rPr>
              <w:t>1001000</w:t>
            </w:r>
          </w:p>
        </w:tc>
        <w:tc>
          <w:tcPr>
            <w:tcW w:w="4239" w:type="dxa"/>
          </w:tcPr>
          <w:p w14:paraId="5C4B1156" w14:textId="77777777" w:rsidR="00711444" w:rsidRPr="004D0DAA" w:rsidRDefault="00711444" w:rsidP="00AA2A4C">
            <w:pPr>
              <w:pStyle w:val="TAL"/>
              <w:rPr>
                <w:lang w:eastAsia="en-US"/>
              </w:rPr>
            </w:pPr>
            <w:r w:rsidRPr="004D0DAA">
              <w:rPr>
                <w:lang w:eastAsia="en-US"/>
              </w:rPr>
              <w:t>(P3 ; P3 ; P1; P1)</w:t>
            </w:r>
          </w:p>
        </w:tc>
      </w:tr>
      <w:tr w:rsidR="00711444" w:rsidRPr="004D0DAA" w14:paraId="5C5AF39D" w14:textId="77777777" w:rsidTr="00AA2A4C">
        <w:tblPrEx>
          <w:tblCellMar>
            <w:top w:w="0" w:type="dxa"/>
            <w:bottom w:w="0" w:type="dxa"/>
          </w:tblCellMar>
        </w:tblPrEx>
        <w:trPr>
          <w:cantSplit/>
          <w:jc w:val="center"/>
        </w:trPr>
        <w:tc>
          <w:tcPr>
            <w:tcW w:w="1446" w:type="dxa"/>
          </w:tcPr>
          <w:p w14:paraId="5898A66B" w14:textId="77777777" w:rsidR="00711444" w:rsidRPr="004D0DAA" w:rsidRDefault="00711444" w:rsidP="00AA2A4C">
            <w:pPr>
              <w:pStyle w:val="TAC"/>
              <w:rPr>
                <w:lang w:eastAsia="en-US"/>
              </w:rPr>
            </w:pPr>
            <w:r w:rsidRPr="004D0DAA">
              <w:rPr>
                <w:lang w:eastAsia="en-US"/>
              </w:rPr>
              <w:t>1001001</w:t>
            </w:r>
          </w:p>
        </w:tc>
        <w:tc>
          <w:tcPr>
            <w:tcW w:w="4239" w:type="dxa"/>
          </w:tcPr>
          <w:p w14:paraId="73353C65" w14:textId="77777777" w:rsidR="00711444" w:rsidRPr="004D0DAA" w:rsidRDefault="00711444" w:rsidP="00AA2A4C">
            <w:pPr>
              <w:pStyle w:val="TAL"/>
              <w:rPr>
                <w:lang w:eastAsia="en-US"/>
              </w:rPr>
            </w:pPr>
            <w:r w:rsidRPr="004D0DAA">
              <w:rPr>
                <w:lang w:eastAsia="en-US"/>
              </w:rPr>
              <w:t>(P3 ; P3 ; P1; P2)</w:t>
            </w:r>
          </w:p>
        </w:tc>
      </w:tr>
      <w:tr w:rsidR="00711444" w:rsidRPr="004D0DAA" w14:paraId="7DAA5EA0" w14:textId="77777777" w:rsidTr="00AA2A4C">
        <w:tblPrEx>
          <w:tblCellMar>
            <w:top w:w="0" w:type="dxa"/>
            <w:bottom w:w="0" w:type="dxa"/>
          </w:tblCellMar>
        </w:tblPrEx>
        <w:trPr>
          <w:cantSplit/>
          <w:jc w:val="center"/>
        </w:trPr>
        <w:tc>
          <w:tcPr>
            <w:tcW w:w="1446" w:type="dxa"/>
          </w:tcPr>
          <w:p w14:paraId="2840B0DE" w14:textId="77777777" w:rsidR="00711444" w:rsidRPr="004D0DAA" w:rsidRDefault="00711444" w:rsidP="00AA2A4C">
            <w:pPr>
              <w:pStyle w:val="TAC"/>
              <w:rPr>
                <w:lang w:eastAsia="en-US"/>
              </w:rPr>
            </w:pPr>
            <w:r w:rsidRPr="004D0DAA">
              <w:rPr>
                <w:lang w:eastAsia="en-US"/>
              </w:rPr>
              <w:t>1001010</w:t>
            </w:r>
          </w:p>
        </w:tc>
        <w:tc>
          <w:tcPr>
            <w:tcW w:w="4239" w:type="dxa"/>
          </w:tcPr>
          <w:p w14:paraId="54CDFE87" w14:textId="77777777" w:rsidR="00711444" w:rsidRPr="004D0DAA" w:rsidRDefault="00711444" w:rsidP="00AA2A4C">
            <w:pPr>
              <w:pStyle w:val="TAL"/>
              <w:rPr>
                <w:lang w:eastAsia="en-US"/>
              </w:rPr>
            </w:pPr>
            <w:r w:rsidRPr="004D0DAA">
              <w:rPr>
                <w:lang w:eastAsia="en-US"/>
              </w:rPr>
              <w:t>(P3 ; P3 ; P1; P3)</w:t>
            </w:r>
          </w:p>
        </w:tc>
      </w:tr>
      <w:tr w:rsidR="00711444" w:rsidRPr="004D0DAA" w14:paraId="06AF3C28" w14:textId="77777777" w:rsidTr="00AA2A4C">
        <w:tblPrEx>
          <w:tblCellMar>
            <w:top w:w="0" w:type="dxa"/>
            <w:bottom w:w="0" w:type="dxa"/>
          </w:tblCellMar>
        </w:tblPrEx>
        <w:trPr>
          <w:cantSplit/>
          <w:jc w:val="center"/>
        </w:trPr>
        <w:tc>
          <w:tcPr>
            <w:tcW w:w="1446" w:type="dxa"/>
          </w:tcPr>
          <w:p w14:paraId="0BFD1B50" w14:textId="77777777" w:rsidR="00711444" w:rsidRPr="004D0DAA" w:rsidRDefault="00711444" w:rsidP="00AA2A4C">
            <w:pPr>
              <w:pStyle w:val="TAC"/>
              <w:rPr>
                <w:lang w:eastAsia="en-US"/>
              </w:rPr>
            </w:pPr>
            <w:r w:rsidRPr="004D0DAA">
              <w:rPr>
                <w:lang w:eastAsia="en-US"/>
              </w:rPr>
              <w:t>1001011</w:t>
            </w:r>
          </w:p>
        </w:tc>
        <w:tc>
          <w:tcPr>
            <w:tcW w:w="4239" w:type="dxa"/>
          </w:tcPr>
          <w:p w14:paraId="080D70DB" w14:textId="77777777" w:rsidR="00711444" w:rsidRPr="004D0DAA" w:rsidRDefault="00711444" w:rsidP="00AA2A4C">
            <w:pPr>
              <w:pStyle w:val="TAL"/>
              <w:rPr>
                <w:lang w:eastAsia="en-US"/>
              </w:rPr>
            </w:pPr>
            <w:r w:rsidRPr="004D0DAA">
              <w:rPr>
                <w:lang w:eastAsia="en-US"/>
              </w:rPr>
              <w:t>(P3 ; P3 ; P2; P1)</w:t>
            </w:r>
          </w:p>
        </w:tc>
      </w:tr>
      <w:tr w:rsidR="00711444" w:rsidRPr="004D0DAA" w14:paraId="34C5100A" w14:textId="77777777" w:rsidTr="00AA2A4C">
        <w:tblPrEx>
          <w:tblCellMar>
            <w:top w:w="0" w:type="dxa"/>
            <w:bottom w:w="0" w:type="dxa"/>
          </w:tblCellMar>
        </w:tblPrEx>
        <w:trPr>
          <w:cantSplit/>
          <w:jc w:val="center"/>
        </w:trPr>
        <w:tc>
          <w:tcPr>
            <w:tcW w:w="1446" w:type="dxa"/>
          </w:tcPr>
          <w:p w14:paraId="0BA37FA9" w14:textId="77777777" w:rsidR="00711444" w:rsidRPr="004D0DAA" w:rsidRDefault="00711444" w:rsidP="00AA2A4C">
            <w:pPr>
              <w:pStyle w:val="TAC"/>
              <w:rPr>
                <w:lang w:eastAsia="en-US"/>
              </w:rPr>
            </w:pPr>
            <w:r w:rsidRPr="004D0DAA">
              <w:rPr>
                <w:lang w:eastAsia="en-US"/>
              </w:rPr>
              <w:t>1001100</w:t>
            </w:r>
          </w:p>
        </w:tc>
        <w:tc>
          <w:tcPr>
            <w:tcW w:w="4239" w:type="dxa"/>
          </w:tcPr>
          <w:p w14:paraId="1A65218E" w14:textId="77777777" w:rsidR="00711444" w:rsidRPr="004D0DAA" w:rsidRDefault="00711444" w:rsidP="00AA2A4C">
            <w:pPr>
              <w:pStyle w:val="TAL"/>
              <w:rPr>
                <w:lang w:eastAsia="en-US"/>
              </w:rPr>
            </w:pPr>
            <w:r w:rsidRPr="004D0DAA">
              <w:rPr>
                <w:lang w:eastAsia="en-US"/>
              </w:rPr>
              <w:t>(P3 ; P3 ; P2; P2)</w:t>
            </w:r>
          </w:p>
        </w:tc>
      </w:tr>
      <w:tr w:rsidR="00711444" w:rsidRPr="004D0DAA" w14:paraId="1466D4CD" w14:textId="77777777" w:rsidTr="00AA2A4C">
        <w:tblPrEx>
          <w:tblCellMar>
            <w:top w:w="0" w:type="dxa"/>
            <w:bottom w:w="0" w:type="dxa"/>
          </w:tblCellMar>
        </w:tblPrEx>
        <w:trPr>
          <w:cantSplit/>
          <w:jc w:val="center"/>
        </w:trPr>
        <w:tc>
          <w:tcPr>
            <w:tcW w:w="1446" w:type="dxa"/>
          </w:tcPr>
          <w:p w14:paraId="0705261B" w14:textId="77777777" w:rsidR="00711444" w:rsidRPr="004D0DAA" w:rsidRDefault="00711444" w:rsidP="00AA2A4C">
            <w:pPr>
              <w:pStyle w:val="TAC"/>
              <w:rPr>
                <w:lang w:eastAsia="en-US"/>
              </w:rPr>
            </w:pPr>
            <w:r w:rsidRPr="004D0DAA">
              <w:rPr>
                <w:lang w:eastAsia="en-US"/>
              </w:rPr>
              <w:t>1001101</w:t>
            </w:r>
          </w:p>
        </w:tc>
        <w:tc>
          <w:tcPr>
            <w:tcW w:w="4239" w:type="dxa"/>
          </w:tcPr>
          <w:p w14:paraId="6B937E72" w14:textId="77777777" w:rsidR="00711444" w:rsidRPr="004D0DAA" w:rsidRDefault="00711444" w:rsidP="00AA2A4C">
            <w:pPr>
              <w:pStyle w:val="TAL"/>
              <w:rPr>
                <w:lang w:eastAsia="en-US"/>
              </w:rPr>
            </w:pPr>
            <w:r w:rsidRPr="004D0DAA">
              <w:rPr>
                <w:lang w:eastAsia="en-US"/>
              </w:rPr>
              <w:t>(P3 ; P3 ; P2; P3)</w:t>
            </w:r>
          </w:p>
        </w:tc>
      </w:tr>
      <w:tr w:rsidR="00711444" w:rsidRPr="004D0DAA" w14:paraId="56DC733C" w14:textId="77777777" w:rsidTr="00AA2A4C">
        <w:tblPrEx>
          <w:tblCellMar>
            <w:top w:w="0" w:type="dxa"/>
            <w:bottom w:w="0" w:type="dxa"/>
          </w:tblCellMar>
        </w:tblPrEx>
        <w:trPr>
          <w:cantSplit/>
          <w:jc w:val="center"/>
        </w:trPr>
        <w:tc>
          <w:tcPr>
            <w:tcW w:w="1446" w:type="dxa"/>
          </w:tcPr>
          <w:p w14:paraId="47FE79D7" w14:textId="77777777" w:rsidR="00711444" w:rsidRPr="004D0DAA" w:rsidRDefault="00711444" w:rsidP="00AA2A4C">
            <w:pPr>
              <w:pStyle w:val="TAC"/>
              <w:rPr>
                <w:lang w:eastAsia="en-US"/>
              </w:rPr>
            </w:pPr>
            <w:r w:rsidRPr="004D0DAA">
              <w:rPr>
                <w:lang w:eastAsia="en-US"/>
              </w:rPr>
              <w:t>1001110</w:t>
            </w:r>
          </w:p>
        </w:tc>
        <w:tc>
          <w:tcPr>
            <w:tcW w:w="4239" w:type="dxa"/>
          </w:tcPr>
          <w:p w14:paraId="0894FDE2" w14:textId="77777777" w:rsidR="00711444" w:rsidRPr="004D0DAA" w:rsidRDefault="00711444" w:rsidP="00AA2A4C">
            <w:pPr>
              <w:pStyle w:val="TAL"/>
              <w:rPr>
                <w:lang w:eastAsia="en-US"/>
              </w:rPr>
            </w:pPr>
            <w:r w:rsidRPr="004D0DAA">
              <w:rPr>
                <w:lang w:eastAsia="en-US"/>
              </w:rPr>
              <w:t>(P3 ; P3 ; P3; P1)</w:t>
            </w:r>
          </w:p>
        </w:tc>
      </w:tr>
      <w:tr w:rsidR="00711444" w:rsidRPr="004D0DAA" w14:paraId="7D048C9E" w14:textId="77777777" w:rsidTr="00AA2A4C">
        <w:tblPrEx>
          <w:tblCellMar>
            <w:top w:w="0" w:type="dxa"/>
            <w:bottom w:w="0" w:type="dxa"/>
          </w:tblCellMar>
        </w:tblPrEx>
        <w:trPr>
          <w:cantSplit/>
          <w:jc w:val="center"/>
        </w:trPr>
        <w:tc>
          <w:tcPr>
            <w:tcW w:w="1446" w:type="dxa"/>
          </w:tcPr>
          <w:p w14:paraId="623D9E1C" w14:textId="77777777" w:rsidR="00711444" w:rsidRPr="004D0DAA" w:rsidRDefault="00711444" w:rsidP="00AA2A4C">
            <w:pPr>
              <w:pStyle w:val="TAC"/>
              <w:rPr>
                <w:lang w:eastAsia="en-US"/>
              </w:rPr>
            </w:pPr>
            <w:r w:rsidRPr="004D0DAA">
              <w:rPr>
                <w:lang w:eastAsia="en-US"/>
              </w:rPr>
              <w:t>1001111</w:t>
            </w:r>
          </w:p>
        </w:tc>
        <w:tc>
          <w:tcPr>
            <w:tcW w:w="4239" w:type="dxa"/>
          </w:tcPr>
          <w:p w14:paraId="70E785CA" w14:textId="77777777" w:rsidR="00711444" w:rsidRPr="004D0DAA" w:rsidRDefault="00711444" w:rsidP="00AA2A4C">
            <w:pPr>
              <w:pStyle w:val="TAL"/>
              <w:rPr>
                <w:lang w:eastAsia="en-US"/>
              </w:rPr>
            </w:pPr>
            <w:r w:rsidRPr="004D0DAA">
              <w:rPr>
                <w:lang w:eastAsia="en-US"/>
              </w:rPr>
              <w:t>(P3 ; P3 ; P3; P2)</w:t>
            </w:r>
          </w:p>
        </w:tc>
      </w:tr>
      <w:tr w:rsidR="00711444" w:rsidRPr="004D0DAA" w14:paraId="28756537" w14:textId="77777777" w:rsidTr="00AA2A4C">
        <w:tblPrEx>
          <w:tblCellMar>
            <w:top w:w="0" w:type="dxa"/>
            <w:bottom w:w="0" w:type="dxa"/>
          </w:tblCellMar>
        </w:tblPrEx>
        <w:trPr>
          <w:cantSplit/>
          <w:jc w:val="center"/>
        </w:trPr>
        <w:tc>
          <w:tcPr>
            <w:tcW w:w="1446" w:type="dxa"/>
          </w:tcPr>
          <w:p w14:paraId="32937B84" w14:textId="77777777" w:rsidR="00711444" w:rsidRPr="004D0DAA" w:rsidRDefault="00711444" w:rsidP="00AA2A4C">
            <w:pPr>
              <w:pStyle w:val="TAC"/>
              <w:rPr>
                <w:lang w:eastAsia="en-US"/>
              </w:rPr>
            </w:pPr>
            <w:r w:rsidRPr="004D0DAA">
              <w:rPr>
                <w:lang w:eastAsia="en-US"/>
              </w:rPr>
              <w:t>1010000</w:t>
            </w:r>
          </w:p>
        </w:tc>
        <w:tc>
          <w:tcPr>
            <w:tcW w:w="4239" w:type="dxa"/>
          </w:tcPr>
          <w:p w14:paraId="5EF64301" w14:textId="77777777" w:rsidR="00711444" w:rsidRPr="004D0DAA" w:rsidRDefault="00711444" w:rsidP="00AA2A4C">
            <w:pPr>
              <w:pStyle w:val="TAL"/>
              <w:rPr>
                <w:lang w:eastAsia="en-US"/>
              </w:rPr>
            </w:pPr>
            <w:r w:rsidRPr="004D0DAA">
              <w:rPr>
                <w:lang w:eastAsia="en-US"/>
              </w:rPr>
              <w:t>(P3 ; P3 ; P3; P3)</w:t>
            </w:r>
          </w:p>
        </w:tc>
      </w:tr>
      <w:tr w:rsidR="00711444" w:rsidRPr="004D0DAA" w14:paraId="05332589" w14:textId="77777777" w:rsidTr="00AA2A4C">
        <w:tblPrEx>
          <w:tblCellMar>
            <w:top w:w="0" w:type="dxa"/>
            <w:bottom w:w="0" w:type="dxa"/>
          </w:tblCellMar>
        </w:tblPrEx>
        <w:trPr>
          <w:cantSplit/>
          <w:jc w:val="center"/>
        </w:trPr>
        <w:tc>
          <w:tcPr>
            <w:tcW w:w="1446" w:type="dxa"/>
          </w:tcPr>
          <w:p w14:paraId="3AB8BF61" w14:textId="77777777" w:rsidR="00711444" w:rsidRPr="004D0DAA" w:rsidRDefault="00711444" w:rsidP="00AA2A4C">
            <w:pPr>
              <w:pStyle w:val="TAC"/>
              <w:rPr>
                <w:lang w:eastAsia="en-US"/>
              </w:rPr>
            </w:pPr>
          </w:p>
        </w:tc>
        <w:tc>
          <w:tcPr>
            <w:tcW w:w="4239" w:type="dxa"/>
          </w:tcPr>
          <w:p w14:paraId="5C92C241" w14:textId="77777777" w:rsidR="00711444" w:rsidRPr="004D0DAA" w:rsidRDefault="00711444" w:rsidP="00AA2A4C">
            <w:pPr>
              <w:pStyle w:val="TAL"/>
              <w:rPr>
                <w:lang w:eastAsia="en-US"/>
              </w:rPr>
            </w:pPr>
            <w:r w:rsidRPr="004D0DAA">
              <w:rPr>
                <w:lang w:eastAsia="en-US"/>
              </w:rPr>
              <w:t>All other values are reserved for future use</w:t>
            </w:r>
          </w:p>
        </w:tc>
      </w:tr>
    </w:tbl>
    <w:p w14:paraId="1633BE28" w14:textId="77777777" w:rsidR="00711444" w:rsidRPr="004D0DAA" w:rsidRDefault="00711444" w:rsidP="00711444"/>
    <w:p w14:paraId="5A12BFA6" w14:textId="77777777" w:rsidR="00711444" w:rsidRPr="004D0DAA" w:rsidRDefault="00711444" w:rsidP="00711444">
      <w:pPr>
        <w:pStyle w:val="Heading4"/>
      </w:pPr>
      <w:bookmarkStart w:id="570" w:name="_Toc516669750"/>
      <w:r w:rsidRPr="004D0DAA">
        <w:t>10.4.8a.10</w:t>
      </w:r>
      <w:r w:rsidRPr="004D0DAA">
        <w:tab/>
        <w:t>Header type 10</w:t>
      </w:r>
      <w:bookmarkEnd w:id="570"/>
    </w:p>
    <w:p w14:paraId="1C4F2936" w14:textId="77777777" w:rsidR="00711444" w:rsidRPr="004D0DAA" w:rsidRDefault="00711444" w:rsidP="00711444">
      <w:r w:rsidRPr="004D0DAA">
        <w:t>In downlink, the Coding and Puncturing Scheme indicator field indicates the kind of channel coding and puncturing used for data block as defined in table 10.4.8a.10.1 for EGPRS2-A TBF and in table 10.4.8a.10.2 for EGPRS2-B TBF.</w:t>
      </w:r>
    </w:p>
    <w:p w14:paraId="23ECB14B" w14:textId="77777777" w:rsidR="00711444" w:rsidRPr="004D0DAA" w:rsidRDefault="00711444" w:rsidP="00711444">
      <w:pPr>
        <w:pStyle w:val="TH"/>
      </w:pPr>
      <w:r w:rsidRPr="004D0DAA">
        <w:t xml:space="preserve">Table 10.4.8a.10.1: Coding and Puncturing Scheme indicator field for </w:t>
      </w:r>
      <w:r w:rsidRPr="004D0DAA">
        <w:br/>
        <w:t>Header type 10 in downlink EGPRS2-A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6BEC6F50" w14:textId="77777777" w:rsidTr="00AA2A4C">
        <w:tblPrEx>
          <w:tblCellMar>
            <w:top w:w="0" w:type="dxa"/>
            <w:bottom w:w="0" w:type="dxa"/>
          </w:tblCellMar>
        </w:tblPrEx>
        <w:trPr>
          <w:cantSplit/>
          <w:jc w:val="center"/>
        </w:trPr>
        <w:tc>
          <w:tcPr>
            <w:tcW w:w="1446" w:type="dxa"/>
          </w:tcPr>
          <w:p w14:paraId="4A5A5852" w14:textId="77777777" w:rsidR="00711444" w:rsidRPr="004D0DAA" w:rsidRDefault="00711444" w:rsidP="00AA2A4C">
            <w:pPr>
              <w:pStyle w:val="TAH"/>
              <w:rPr>
                <w:lang w:eastAsia="en-US"/>
              </w:rPr>
            </w:pPr>
            <w:r w:rsidRPr="004D0DAA">
              <w:rPr>
                <w:lang w:eastAsia="en-US"/>
              </w:rPr>
              <w:t>bits</w:t>
            </w:r>
            <w:r w:rsidRPr="004D0DAA">
              <w:rPr>
                <w:lang w:eastAsia="en-US"/>
              </w:rPr>
              <w:br/>
              <w:t>21</w:t>
            </w:r>
          </w:p>
        </w:tc>
        <w:tc>
          <w:tcPr>
            <w:tcW w:w="4239" w:type="dxa"/>
          </w:tcPr>
          <w:p w14:paraId="06FB25F9" w14:textId="77777777" w:rsidR="00711444" w:rsidRPr="004D0DAA" w:rsidRDefault="00711444" w:rsidP="00AA2A4C">
            <w:pPr>
              <w:pStyle w:val="TAH"/>
              <w:rPr>
                <w:lang w:eastAsia="en-US"/>
              </w:rPr>
            </w:pPr>
            <w:r w:rsidRPr="004D0DAA">
              <w:rPr>
                <w:lang w:eastAsia="en-US"/>
              </w:rPr>
              <w:t>CPS</w:t>
            </w:r>
          </w:p>
        </w:tc>
      </w:tr>
      <w:tr w:rsidR="00711444" w:rsidRPr="004D0DAA" w14:paraId="4ACA9CEE" w14:textId="77777777" w:rsidTr="00AA2A4C">
        <w:tblPrEx>
          <w:tblCellMar>
            <w:top w:w="0" w:type="dxa"/>
            <w:bottom w:w="0" w:type="dxa"/>
          </w:tblCellMar>
        </w:tblPrEx>
        <w:trPr>
          <w:cantSplit/>
          <w:jc w:val="center"/>
        </w:trPr>
        <w:tc>
          <w:tcPr>
            <w:tcW w:w="1446" w:type="dxa"/>
          </w:tcPr>
          <w:p w14:paraId="68773032" w14:textId="77777777" w:rsidR="00711444" w:rsidRPr="004D0DAA" w:rsidRDefault="00711444" w:rsidP="00AA2A4C">
            <w:pPr>
              <w:pStyle w:val="TAC"/>
              <w:rPr>
                <w:lang w:eastAsia="en-US"/>
              </w:rPr>
            </w:pPr>
            <w:r w:rsidRPr="004D0DAA">
              <w:rPr>
                <w:lang w:eastAsia="en-US"/>
              </w:rPr>
              <w:t>00</w:t>
            </w:r>
          </w:p>
        </w:tc>
        <w:tc>
          <w:tcPr>
            <w:tcW w:w="4239" w:type="dxa"/>
          </w:tcPr>
          <w:p w14:paraId="3F80C9CD" w14:textId="77777777" w:rsidR="00711444" w:rsidRPr="004D0DAA" w:rsidRDefault="00711444" w:rsidP="00AA2A4C">
            <w:pPr>
              <w:pStyle w:val="TAL"/>
              <w:rPr>
                <w:lang w:eastAsia="en-US"/>
              </w:rPr>
            </w:pPr>
            <w:r w:rsidRPr="004D0DAA">
              <w:rPr>
                <w:lang w:eastAsia="en-US"/>
              </w:rPr>
              <w:t>DAS-10/P1 ; DAS-10/P1</w:t>
            </w:r>
          </w:p>
        </w:tc>
      </w:tr>
      <w:tr w:rsidR="00711444" w:rsidRPr="004D0DAA" w14:paraId="00A42F60" w14:textId="77777777" w:rsidTr="00AA2A4C">
        <w:tblPrEx>
          <w:tblCellMar>
            <w:top w:w="0" w:type="dxa"/>
            <w:bottom w:w="0" w:type="dxa"/>
          </w:tblCellMar>
        </w:tblPrEx>
        <w:trPr>
          <w:cantSplit/>
          <w:jc w:val="center"/>
        </w:trPr>
        <w:tc>
          <w:tcPr>
            <w:tcW w:w="1446" w:type="dxa"/>
          </w:tcPr>
          <w:p w14:paraId="59F34009" w14:textId="77777777" w:rsidR="00711444" w:rsidRPr="004D0DAA" w:rsidRDefault="00711444" w:rsidP="00AA2A4C">
            <w:pPr>
              <w:pStyle w:val="TAC"/>
              <w:rPr>
                <w:lang w:eastAsia="en-US"/>
              </w:rPr>
            </w:pPr>
            <w:r w:rsidRPr="004D0DAA">
              <w:rPr>
                <w:lang w:eastAsia="en-US"/>
              </w:rPr>
              <w:t>01</w:t>
            </w:r>
          </w:p>
        </w:tc>
        <w:tc>
          <w:tcPr>
            <w:tcW w:w="4239" w:type="dxa"/>
          </w:tcPr>
          <w:p w14:paraId="63EC707C" w14:textId="77777777" w:rsidR="00711444" w:rsidRPr="004D0DAA" w:rsidRDefault="00711444" w:rsidP="00AA2A4C">
            <w:pPr>
              <w:pStyle w:val="TAL"/>
              <w:rPr>
                <w:lang w:eastAsia="en-US"/>
              </w:rPr>
            </w:pPr>
            <w:r w:rsidRPr="004D0DAA">
              <w:rPr>
                <w:lang w:eastAsia="en-US"/>
              </w:rPr>
              <w:t>DAS-10/P1 ; DAS-10/P2</w:t>
            </w:r>
          </w:p>
        </w:tc>
      </w:tr>
      <w:tr w:rsidR="00711444" w:rsidRPr="004D0DAA" w14:paraId="0031261C" w14:textId="77777777" w:rsidTr="00AA2A4C">
        <w:tblPrEx>
          <w:tblCellMar>
            <w:top w:w="0" w:type="dxa"/>
            <w:bottom w:w="0" w:type="dxa"/>
          </w:tblCellMar>
        </w:tblPrEx>
        <w:trPr>
          <w:cantSplit/>
          <w:jc w:val="center"/>
        </w:trPr>
        <w:tc>
          <w:tcPr>
            <w:tcW w:w="1446" w:type="dxa"/>
          </w:tcPr>
          <w:p w14:paraId="35BA1FB0" w14:textId="77777777" w:rsidR="00711444" w:rsidRPr="004D0DAA" w:rsidRDefault="00711444" w:rsidP="00AA2A4C">
            <w:pPr>
              <w:pStyle w:val="TAC"/>
              <w:rPr>
                <w:lang w:eastAsia="en-US"/>
              </w:rPr>
            </w:pPr>
            <w:r w:rsidRPr="004D0DAA">
              <w:rPr>
                <w:lang w:eastAsia="en-US"/>
              </w:rPr>
              <w:t>10</w:t>
            </w:r>
          </w:p>
        </w:tc>
        <w:tc>
          <w:tcPr>
            <w:tcW w:w="4239" w:type="dxa"/>
          </w:tcPr>
          <w:p w14:paraId="405E640D" w14:textId="77777777" w:rsidR="00711444" w:rsidRPr="004D0DAA" w:rsidRDefault="00711444" w:rsidP="00AA2A4C">
            <w:pPr>
              <w:pStyle w:val="TAL"/>
              <w:rPr>
                <w:lang w:eastAsia="en-US"/>
              </w:rPr>
            </w:pPr>
            <w:r w:rsidRPr="004D0DAA">
              <w:rPr>
                <w:lang w:eastAsia="en-US"/>
              </w:rPr>
              <w:t>DAS-10/P2 ; DAS-10/P1</w:t>
            </w:r>
          </w:p>
        </w:tc>
      </w:tr>
      <w:tr w:rsidR="00711444" w:rsidRPr="004D0DAA" w14:paraId="43529BE1" w14:textId="77777777" w:rsidTr="00AA2A4C">
        <w:tblPrEx>
          <w:tblCellMar>
            <w:top w:w="0" w:type="dxa"/>
            <w:bottom w:w="0" w:type="dxa"/>
          </w:tblCellMar>
        </w:tblPrEx>
        <w:trPr>
          <w:cantSplit/>
          <w:jc w:val="center"/>
        </w:trPr>
        <w:tc>
          <w:tcPr>
            <w:tcW w:w="1446" w:type="dxa"/>
          </w:tcPr>
          <w:p w14:paraId="788FBC69" w14:textId="77777777" w:rsidR="00711444" w:rsidRPr="004D0DAA" w:rsidRDefault="00711444" w:rsidP="00AA2A4C">
            <w:pPr>
              <w:pStyle w:val="TAC"/>
              <w:rPr>
                <w:lang w:eastAsia="en-US"/>
              </w:rPr>
            </w:pPr>
            <w:r w:rsidRPr="004D0DAA">
              <w:rPr>
                <w:lang w:eastAsia="en-US"/>
              </w:rPr>
              <w:t>11</w:t>
            </w:r>
          </w:p>
        </w:tc>
        <w:tc>
          <w:tcPr>
            <w:tcW w:w="4239" w:type="dxa"/>
          </w:tcPr>
          <w:p w14:paraId="3D3C09D9" w14:textId="77777777" w:rsidR="00711444" w:rsidRPr="004D0DAA" w:rsidRDefault="00711444" w:rsidP="00AA2A4C">
            <w:pPr>
              <w:pStyle w:val="TAL"/>
              <w:rPr>
                <w:lang w:eastAsia="en-US"/>
              </w:rPr>
            </w:pPr>
            <w:r w:rsidRPr="004D0DAA">
              <w:rPr>
                <w:lang w:eastAsia="en-US"/>
              </w:rPr>
              <w:t>DAS-10/P2 ; DAS-10/P2</w:t>
            </w:r>
          </w:p>
        </w:tc>
      </w:tr>
      <w:tr w:rsidR="00711444" w:rsidRPr="004D0DAA" w14:paraId="6146064A" w14:textId="77777777" w:rsidTr="00AA2A4C">
        <w:tblPrEx>
          <w:tblCellMar>
            <w:top w:w="0" w:type="dxa"/>
            <w:bottom w:w="0" w:type="dxa"/>
          </w:tblCellMar>
        </w:tblPrEx>
        <w:trPr>
          <w:cantSplit/>
          <w:jc w:val="center"/>
        </w:trPr>
        <w:tc>
          <w:tcPr>
            <w:tcW w:w="5685" w:type="dxa"/>
            <w:gridSpan w:val="2"/>
          </w:tcPr>
          <w:p w14:paraId="5332DC9B"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566C38DF" w14:textId="77777777" w:rsidR="00711444" w:rsidRPr="004D0DAA" w:rsidRDefault="00711444" w:rsidP="00711444"/>
    <w:p w14:paraId="10CEA3BF" w14:textId="77777777" w:rsidR="00711444" w:rsidRPr="004D0DAA" w:rsidRDefault="00711444" w:rsidP="00711444">
      <w:pPr>
        <w:pStyle w:val="TH"/>
      </w:pPr>
      <w:r w:rsidRPr="004D0DAA">
        <w:t xml:space="preserve">Table 10.4.8a.10.2: Coding and Puncturing Scheme indicator field for </w:t>
      </w:r>
      <w:r w:rsidRPr="004D0DAA">
        <w:br/>
        <w:t>Header type 10 in downlink EGPRS2-B TBF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239"/>
      </w:tblGrid>
      <w:tr w:rsidR="00711444" w:rsidRPr="004D0DAA" w14:paraId="43DB6E83" w14:textId="77777777" w:rsidTr="00AA2A4C">
        <w:tblPrEx>
          <w:tblCellMar>
            <w:top w:w="0" w:type="dxa"/>
            <w:bottom w:w="0" w:type="dxa"/>
          </w:tblCellMar>
        </w:tblPrEx>
        <w:trPr>
          <w:cantSplit/>
          <w:jc w:val="center"/>
        </w:trPr>
        <w:tc>
          <w:tcPr>
            <w:tcW w:w="1446" w:type="dxa"/>
          </w:tcPr>
          <w:p w14:paraId="626C9CF8" w14:textId="77777777" w:rsidR="00711444" w:rsidRPr="004D0DAA" w:rsidRDefault="00711444" w:rsidP="00AA2A4C">
            <w:pPr>
              <w:pStyle w:val="TAH"/>
              <w:rPr>
                <w:lang w:eastAsia="en-US"/>
              </w:rPr>
            </w:pPr>
            <w:r w:rsidRPr="004D0DAA">
              <w:rPr>
                <w:lang w:eastAsia="en-US"/>
              </w:rPr>
              <w:t>bits</w:t>
            </w:r>
            <w:r w:rsidRPr="004D0DAA">
              <w:rPr>
                <w:lang w:eastAsia="en-US"/>
              </w:rPr>
              <w:br/>
              <w:t>21</w:t>
            </w:r>
          </w:p>
        </w:tc>
        <w:tc>
          <w:tcPr>
            <w:tcW w:w="4239" w:type="dxa"/>
          </w:tcPr>
          <w:p w14:paraId="7BCEB3FA" w14:textId="77777777" w:rsidR="00711444" w:rsidRPr="004D0DAA" w:rsidRDefault="00711444" w:rsidP="00AA2A4C">
            <w:pPr>
              <w:pStyle w:val="TAH"/>
              <w:rPr>
                <w:lang w:eastAsia="en-US"/>
              </w:rPr>
            </w:pPr>
            <w:r w:rsidRPr="004D0DAA">
              <w:rPr>
                <w:lang w:eastAsia="en-US"/>
              </w:rPr>
              <w:t>CPS</w:t>
            </w:r>
          </w:p>
        </w:tc>
      </w:tr>
      <w:tr w:rsidR="00711444" w:rsidRPr="004D0DAA" w14:paraId="202887BF" w14:textId="77777777" w:rsidTr="00AA2A4C">
        <w:tblPrEx>
          <w:tblCellMar>
            <w:top w:w="0" w:type="dxa"/>
            <w:bottom w:w="0" w:type="dxa"/>
          </w:tblCellMar>
        </w:tblPrEx>
        <w:trPr>
          <w:cantSplit/>
          <w:jc w:val="center"/>
        </w:trPr>
        <w:tc>
          <w:tcPr>
            <w:tcW w:w="1446" w:type="dxa"/>
          </w:tcPr>
          <w:p w14:paraId="542B789F" w14:textId="77777777" w:rsidR="00711444" w:rsidRPr="004D0DAA" w:rsidRDefault="00711444" w:rsidP="00AA2A4C">
            <w:pPr>
              <w:pStyle w:val="TAC"/>
              <w:rPr>
                <w:lang w:eastAsia="en-US"/>
              </w:rPr>
            </w:pPr>
            <w:r w:rsidRPr="004D0DAA">
              <w:rPr>
                <w:lang w:eastAsia="en-US"/>
              </w:rPr>
              <w:t>00</w:t>
            </w:r>
          </w:p>
        </w:tc>
        <w:tc>
          <w:tcPr>
            <w:tcW w:w="4239" w:type="dxa"/>
          </w:tcPr>
          <w:p w14:paraId="22BF4E38" w14:textId="77777777" w:rsidR="00711444" w:rsidRPr="004D0DAA" w:rsidRDefault="00711444" w:rsidP="00AA2A4C">
            <w:pPr>
              <w:pStyle w:val="TAL"/>
              <w:rPr>
                <w:lang w:eastAsia="en-US"/>
              </w:rPr>
            </w:pPr>
            <w:r w:rsidRPr="004D0DAA">
              <w:rPr>
                <w:lang w:eastAsia="en-US"/>
              </w:rPr>
              <w:t>DAS-10/P1 ; DAS-10/P1 both with padding</w:t>
            </w:r>
          </w:p>
        </w:tc>
      </w:tr>
      <w:tr w:rsidR="00711444" w:rsidRPr="004D0DAA" w14:paraId="5DFDD6DB" w14:textId="77777777" w:rsidTr="00AA2A4C">
        <w:tblPrEx>
          <w:tblCellMar>
            <w:top w:w="0" w:type="dxa"/>
            <w:bottom w:w="0" w:type="dxa"/>
          </w:tblCellMar>
        </w:tblPrEx>
        <w:trPr>
          <w:cantSplit/>
          <w:jc w:val="center"/>
        </w:trPr>
        <w:tc>
          <w:tcPr>
            <w:tcW w:w="1446" w:type="dxa"/>
          </w:tcPr>
          <w:p w14:paraId="4DEC7637" w14:textId="77777777" w:rsidR="00711444" w:rsidRPr="004D0DAA" w:rsidRDefault="00711444" w:rsidP="00AA2A4C">
            <w:pPr>
              <w:pStyle w:val="TAC"/>
              <w:rPr>
                <w:lang w:eastAsia="en-US"/>
              </w:rPr>
            </w:pPr>
            <w:r w:rsidRPr="004D0DAA">
              <w:rPr>
                <w:lang w:eastAsia="en-US"/>
              </w:rPr>
              <w:t>01</w:t>
            </w:r>
          </w:p>
        </w:tc>
        <w:tc>
          <w:tcPr>
            <w:tcW w:w="4239" w:type="dxa"/>
          </w:tcPr>
          <w:p w14:paraId="037FEEEE" w14:textId="77777777" w:rsidR="00711444" w:rsidRPr="004D0DAA" w:rsidRDefault="00711444" w:rsidP="00AA2A4C">
            <w:pPr>
              <w:pStyle w:val="TAL"/>
              <w:rPr>
                <w:lang w:eastAsia="en-US"/>
              </w:rPr>
            </w:pPr>
            <w:r w:rsidRPr="004D0DAA">
              <w:rPr>
                <w:lang w:eastAsia="en-US"/>
              </w:rPr>
              <w:t>DAS-10/P1 ; DAS-10/P2 both with padding</w:t>
            </w:r>
          </w:p>
        </w:tc>
      </w:tr>
      <w:tr w:rsidR="00711444" w:rsidRPr="004D0DAA" w14:paraId="69261731" w14:textId="77777777" w:rsidTr="00AA2A4C">
        <w:tblPrEx>
          <w:tblCellMar>
            <w:top w:w="0" w:type="dxa"/>
            <w:bottom w:w="0" w:type="dxa"/>
          </w:tblCellMar>
        </w:tblPrEx>
        <w:trPr>
          <w:cantSplit/>
          <w:jc w:val="center"/>
        </w:trPr>
        <w:tc>
          <w:tcPr>
            <w:tcW w:w="1446" w:type="dxa"/>
          </w:tcPr>
          <w:p w14:paraId="6E288AD0" w14:textId="77777777" w:rsidR="00711444" w:rsidRPr="004D0DAA" w:rsidRDefault="00711444" w:rsidP="00AA2A4C">
            <w:pPr>
              <w:pStyle w:val="TAC"/>
              <w:rPr>
                <w:lang w:eastAsia="en-US"/>
              </w:rPr>
            </w:pPr>
            <w:r w:rsidRPr="004D0DAA">
              <w:rPr>
                <w:lang w:eastAsia="en-US"/>
              </w:rPr>
              <w:t>10</w:t>
            </w:r>
          </w:p>
        </w:tc>
        <w:tc>
          <w:tcPr>
            <w:tcW w:w="4239" w:type="dxa"/>
          </w:tcPr>
          <w:p w14:paraId="2462460D" w14:textId="77777777" w:rsidR="00711444" w:rsidRPr="004D0DAA" w:rsidRDefault="00711444" w:rsidP="00AA2A4C">
            <w:pPr>
              <w:pStyle w:val="TAL"/>
              <w:rPr>
                <w:lang w:eastAsia="en-US"/>
              </w:rPr>
            </w:pPr>
            <w:r w:rsidRPr="004D0DAA">
              <w:rPr>
                <w:lang w:eastAsia="en-US"/>
              </w:rPr>
              <w:t>DAS-10/P2 ; DAS-10/P1 both with padding</w:t>
            </w:r>
          </w:p>
        </w:tc>
      </w:tr>
      <w:tr w:rsidR="00711444" w:rsidRPr="004D0DAA" w14:paraId="31A900C8" w14:textId="77777777" w:rsidTr="00AA2A4C">
        <w:tblPrEx>
          <w:tblCellMar>
            <w:top w:w="0" w:type="dxa"/>
            <w:bottom w:w="0" w:type="dxa"/>
          </w:tblCellMar>
        </w:tblPrEx>
        <w:trPr>
          <w:cantSplit/>
          <w:jc w:val="center"/>
        </w:trPr>
        <w:tc>
          <w:tcPr>
            <w:tcW w:w="1446" w:type="dxa"/>
          </w:tcPr>
          <w:p w14:paraId="7554B506" w14:textId="77777777" w:rsidR="00711444" w:rsidRPr="004D0DAA" w:rsidRDefault="00711444" w:rsidP="00AA2A4C">
            <w:pPr>
              <w:pStyle w:val="TAC"/>
              <w:rPr>
                <w:lang w:eastAsia="en-US"/>
              </w:rPr>
            </w:pPr>
            <w:r w:rsidRPr="004D0DAA">
              <w:rPr>
                <w:lang w:eastAsia="en-US"/>
              </w:rPr>
              <w:t>11</w:t>
            </w:r>
          </w:p>
        </w:tc>
        <w:tc>
          <w:tcPr>
            <w:tcW w:w="4239" w:type="dxa"/>
          </w:tcPr>
          <w:p w14:paraId="4DB19B8B" w14:textId="77777777" w:rsidR="00711444" w:rsidRPr="004D0DAA" w:rsidRDefault="00711444" w:rsidP="00AA2A4C">
            <w:pPr>
              <w:pStyle w:val="TAL"/>
              <w:rPr>
                <w:lang w:eastAsia="en-US"/>
              </w:rPr>
            </w:pPr>
            <w:r w:rsidRPr="004D0DAA">
              <w:rPr>
                <w:lang w:eastAsia="en-US"/>
              </w:rPr>
              <w:t>DAS-10/P2 ; DAS-10/P2 both with padding</w:t>
            </w:r>
          </w:p>
        </w:tc>
      </w:tr>
      <w:tr w:rsidR="00711444" w:rsidRPr="004D0DAA" w14:paraId="185CFA5F" w14:textId="77777777" w:rsidTr="00AA2A4C">
        <w:tblPrEx>
          <w:tblCellMar>
            <w:top w:w="0" w:type="dxa"/>
            <w:bottom w:w="0" w:type="dxa"/>
          </w:tblCellMar>
        </w:tblPrEx>
        <w:trPr>
          <w:cantSplit/>
          <w:jc w:val="center"/>
        </w:trPr>
        <w:tc>
          <w:tcPr>
            <w:tcW w:w="5685" w:type="dxa"/>
            <w:gridSpan w:val="2"/>
          </w:tcPr>
          <w:p w14:paraId="3B8FD7F7"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41FDC79B" w14:textId="77777777" w:rsidR="00711444" w:rsidRPr="004D0DAA" w:rsidRDefault="00711444" w:rsidP="00711444"/>
    <w:p w14:paraId="3FDF6EE2" w14:textId="77777777" w:rsidR="00711444" w:rsidRPr="004D0DAA" w:rsidRDefault="00711444" w:rsidP="00711444">
      <w:r w:rsidRPr="004D0DAA">
        <w:t>For DAS-10 with padding, the first 8 data octets of the RLC data block are padded with zeros.</w:t>
      </w:r>
    </w:p>
    <w:p w14:paraId="79ADAB51" w14:textId="77777777" w:rsidR="00711444" w:rsidRPr="004D0DAA" w:rsidRDefault="00711444" w:rsidP="00711444">
      <w:pPr>
        <w:pStyle w:val="Heading3"/>
      </w:pPr>
      <w:bookmarkStart w:id="571" w:name="_Toc516669751"/>
      <w:r w:rsidRPr="004D0DAA">
        <w:lastRenderedPageBreak/>
        <w:t>10.4.8b</w:t>
      </w:r>
      <w:r w:rsidRPr="004D0DAA">
        <w:tab/>
        <w:t>Split Block indicator field (SPB)</w:t>
      </w:r>
      <w:bookmarkEnd w:id="571"/>
    </w:p>
    <w:p w14:paraId="16922CC0" w14:textId="77777777" w:rsidR="00711444" w:rsidRPr="004D0DAA" w:rsidRDefault="00711444" w:rsidP="00711444">
      <w:pPr>
        <w:keepNext/>
      </w:pPr>
      <w:r w:rsidRPr="004D0DAA">
        <w:t>In EGPRS uplink, EC-GSM-IoT uplink and EGPRS2 uplink, the Split Block indicator is only used in header type 3 to indicate if some user data is retransmitted using 2 block resegmentation (see clause 9).</w:t>
      </w:r>
    </w:p>
    <w:p w14:paraId="00CB9201" w14:textId="77777777" w:rsidR="00711444" w:rsidRPr="004D0DAA" w:rsidRDefault="00711444" w:rsidP="00711444">
      <w:pPr>
        <w:pStyle w:val="TH"/>
      </w:pPr>
      <w:r w:rsidRPr="004D0DAA">
        <w:t>Table 10.4.8b.1: Split Block indicator field (uplink)</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082"/>
      </w:tblGrid>
      <w:tr w:rsidR="00711444" w:rsidRPr="004D0DAA" w14:paraId="17022F19"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CACD215" w14:textId="77777777" w:rsidR="00711444" w:rsidRPr="004D0DAA" w:rsidRDefault="00711444" w:rsidP="00AA2A4C">
            <w:pPr>
              <w:pStyle w:val="TAH"/>
              <w:rPr>
                <w:lang w:eastAsia="en-US"/>
              </w:rPr>
            </w:pPr>
            <w:r w:rsidRPr="004D0DAA">
              <w:rPr>
                <w:lang w:eastAsia="en-US"/>
              </w:rPr>
              <w:t>bits</w:t>
            </w:r>
            <w:r w:rsidRPr="004D0DAA">
              <w:rPr>
                <w:lang w:eastAsia="en-US"/>
              </w:rPr>
              <w:br/>
              <w:t>2 1</w:t>
            </w:r>
          </w:p>
        </w:tc>
        <w:tc>
          <w:tcPr>
            <w:tcW w:w="4082" w:type="dxa"/>
            <w:tcBorders>
              <w:top w:val="single" w:sz="4" w:space="0" w:color="auto"/>
              <w:left w:val="single" w:sz="4" w:space="0" w:color="auto"/>
              <w:bottom w:val="single" w:sz="4" w:space="0" w:color="auto"/>
              <w:right w:val="single" w:sz="4" w:space="0" w:color="auto"/>
            </w:tcBorders>
          </w:tcPr>
          <w:p w14:paraId="2D043F6E" w14:textId="77777777" w:rsidR="00711444" w:rsidRPr="004D0DAA" w:rsidRDefault="00711444" w:rsidP="00AA2A4C">
            <w:pPr>
              <w:pStyle w:val="TAH"/>
              <w:rPr>
                <w:lang w:eastAsia="en-US"/>
              </w:rPr>
            </w:pPr>
            <w:r w:rsidRPr="004D0DAA">
              <w:rPr>
                <w:lang w:eastAsia="en-US"/>
              </w:rPr>
              <w:t>SPB</w:t>
            </w:r>
          </w:p>
        </w:tc>
      </w:tr>
      <w:tr w:rsidR="00711444" w:rsidRPr="004D0DAA" w14:paraId="0774ED50"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49D5A2E4" w14:textId="77777777" w:rsidR="00711444" w:rsidRPr="004D0DAA" w:rsidRDefault="00711444" w:rsidP="00AA2A4C">
            <w:pPr>
              <w:pStyle w:val="TAC"/>
              <w:rPr>
                <w:lang w:eastAsia="en-US"/>
              </w:rPr>
            </w:pPr>
            <w:r w:rsidRPr="004D0DAA">
              <w:rPr>
                <w:lang w:eastAsia="en-US"/>
              </w:rPr>
              <w:t>0 0</w:t>
            </w:r>
          </w:p>
        </w:tc>
        <w:tc>
          <w:tcPr>
            <w:tcW w:w="4082" w:type="dxa"/>
            <w:tcBorders>
              <w:top w:val="single" w:sz="4" w:space="0" w:color="auto"/>
              <w:left w:val="single" w:sz="4" w:space="0" w:color="auto"/>
              <w:bottom w:val="single" w:sz="4" w:space="0" w:color="auto"/>
              <w:right w:val="single" w:sz="4" w:space="0" w:color="auto"/>
            </w:tcBorders>
          </w:tcPr>
          <w:p w14:paraId="23D6EDFE" w14:textId="77777777" w:rsidR="00711444" w:rsidRPr="004D0DAA" w:rsidRDefault="00711444" w:rsidP="00AA2A4C">
            <w:pPr>
              <w:pStyle w:val="TAL"/>
              <w:rPr>
                <w:lang w:eastAsia="en-US"/>
              </w:rPr>
            </w:pPr>
            <w:r w:rsidRPr="004D0DAA">
              <w:rPr>
                <w:lang w:eastAsia="en-US"/>
              </w:rPr>
              <w:t>No retransmission</w:t>
            </w:r>
          </w:p>
        </w:tc>
      </w:tr>
      <w:tr w:rsidR="00711444" w:rsidRPr="004D0DAA" w14:paraId="130CC82A"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BC0C6D8" w14:textId="77777777" w:rsidR="00711444" w:rsidRPr="004D0DAA" w:rsidRDefault="00711444" w:rsidP="00AA2A4C">
            <w:pPr>
              <w:pStyle w:val="TAC"/>
              <w:rPr>
                <w:lang w:eastAsia="en-US"/>
              </w:rPr>
            </w:pPr>
            <w:r w:rsidRPr="004D0DAA">
              <w:rPr>
                <w:lang w:eastAsia="en-US"/>
              </w:rPr>
              <w:t>0 1</w:t>
            </w:r>
          </w:p>
        </w:tc>
        <w:tc>
          <w:tcPr>
            <w:tcW w:w="4082" w:type="dxa"/>
            <w:tcBorders>
              <w:top w:val="single" w:sz="4" w:space="0" w:color="auto"/>
              <w:left w:val="single" w:sz="4" w:space="0" w:color="auto"/>
              <w:bottom w:val="single" w:sz="4" w:space="0" w:color="auto"/>
              <w:right w:val="single" w:sz="4" w:space="0" w:color="auto"/>
            </w:tcBorders>
          </w:tcPr>
          <w:p w14:paraId="1D990976" w14:textId="77777777" w:rsidR="00711444" w:rsidRPr="004D0DAA" w:rsidRDefault="00711444" w:rsidP="00AA2A4C">
            <w:pPr>
              <w:pStyle w:val="TAL"/>
              <w:rPr>
                <w:lang w:eastAsia="en-US"/>
              </w:rPr>
            </w:pPr>
            <w:r w:rsidRPr="004D0DAA">
              <w:rPr>
                <w:lang w:eastAsia="en-US"/>
              </w:rPr>
              <w:t>Retransmission - first part of block with 10 octet padding</w:t>
            </w:r>
          </w:p>
        </w:tc>
      </w:tr>
      <w:tr w:rsidR="00711444" w:rsidRPr="004D0DAA" w14:paraId="4A427935"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6C67B3FE" w14:textId="77777777" w:rsidR="00711444" w:rsidRPr="004D0DAA" w:rsidRDefault="00711444" w:rsidP="00AA2A4C">
            <w:pPr>
              <w:pStyle w:val="TAC"/>
              <w:rPr>
                <w:lang w:eastAsia="en-US"/>
              </w:rPr>
            </w:pPr>
            <w:r w:rsidRPr="004D0DAA">
              <w:rPr>
                <w:lang w:eastAsia="en-US"/>
              </w:rPr>
              <w:t>1 0</w:t>
            </w:r>
          </w:p>
        </w:tc>
        <w:tc>
          <w:tcPr>
            <w:tcW w:w="4082" w:type="dxa"/>
            <w:tcBorders>
              <w:top w:val="single" w:sz="4" w:space="0" w:color="auto"/>
              <w:left w:val="single" w:sz="4" w:space="0" w:color="auto"/>
              <w:bottom w:val="single" w:sz="4" w:space="0" w:color="auto"/>
              <w:right w:val="single" w:sz="4" w:space="0" w:color="auto"/>
            </w:tcBorders>
          </w:tcPr>
          <w:p w14:paraId="61711514" w14:textId="77777777" w:rsidR="00711444" w:rsidRPr="004D0DAA" w:rsidRDefault="00711444" w:rsidP="00AA2A4C">
            <w:pPr>
              <w:pStyle w:val="TAL"/>
              <w:rPr>
                <w:lang w:eastAsia="en-US"/>
              </w:rPr>
            </w:pPr>
            <w:r w:rsidRPr="004D0DAA">
              <w:rPr>
                <w:lang w:eastAsia="en-US"/>
              </w:rPr>
              <w:t>Retransmission - first part of block with no padding or 6 octet padding</w:t>
            </w:r>
          </w:p>
        </w:tc>
      </w:tr>
      <w:tr w:rsidR="00711444" w:rsidRPr="004D0DAA" w14:paraId="798BF3C4"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7330B108" w14:textId="77777777" w:rsidR="00711444" w:rsidRPr="004D0DAA" w:rsidRDefault="00711444" w:rsidP="00AA2A4C">
            <w:pPr>
              <w:pStyle w:val="TAC"/>
              <w:rPr>
                <w:lang w:eastAsia="en-US"/>
              </w:rPr>
            </w:pPr>
            <w:r w:rsidRPr="004D0DAA">
              <w:rPr>
                <w:lang w:eastAsia="en-US"/>
              </w:rPr>
              <w:t>1 1</w:t>
            </w:r>
          </w:p>
        </w:tc>
        <w:tc>
          <w:tcPr>
            <w:tcW w:w="4082" w:type="dxa"/>
            <w:tcBorders>
              <w:top w:val="single" w:sz="4" w:space="0" w:color="auto"/>
              <w:left w:val="single" w:sz="4" w:space="0" w:color="auto"/>
              <w:bottom w:val="single" w:sz="4" w:space="0" w:color="auto"/>
              <w:right w:val="single" w:sz="4" w:space="0" w:color="auto"/>
            </w:tcBorders>
          </w:tcPr>
          <w:p w14:paraId="2E046463" w14:textId="77777777" w:rsidR="00711444" w:rsidRPr="004D0DAA" w:rsidRDefault="00711444" w:rsidP="00AA2A4C">
            <w:pPr>
              <w:pStyle w:val="TAL"/>
              <w:rPr>
                <w:lang w:eastAsia="en-US"/>
              </w:rPr>
            </w:pPr>
            <w:r w:rsidRPr="004D0DAA">
              <w:rPr>
                <w:lang w:eastAsia="en-US"/>
              </w:rPr>
              <w:t>Retransmission - second part of block</w:t>
            </w:r>
          </w:p>
        </w:tc>
      </w:tr>
      <w:tr w:rsidR="00711444" w:rsidRPr="004D0DAA" w14:paraId="51681B03" w14:textId="77777777" w:rsidTr="00AA2A4C">
        <w:tblPrEx>
          <w:tblCellMar>
            <w:top w:w="0" w:type="dxa"/>
            <w:bottom w:w="0" w:type="dxa"/>
          </w:tblCellMar>
        </w:tblPrEx>
        <w:trPr>
          <w:cantSplit/>
          <w:jc w:val="center"/>
        </w:trPr>
        <w:tc>
          <w:tcPr>
            <w:tcW w:w="4876" w:type="dxa"/>
            <w:gridSpan w:val="2"/>
            <w:tcBorders>
              <w:top w:val="single" w:sz="4" w:space="0" w:color="auto"/>
              <w:left w:val="single" w:sz="4" w:space="0" w:color="auto"/>
              <w:bottom w:val="single" w:sz="4" w:space="0" w:color="auto"/>
              <w:right w:val="single" w:sz="4" w:space="0" w:color="auto"/>
            </w:tcBorders>
          </w:tcPr>
          <w:p w14:paraId="0913A330" w14:textId="77777777" w:rsidR="00711444" w:rsidRPr="004D0DAA" w:rsidRDefault="00711444" w:rsidP="00AA2A4C">
            <w:pPr>
              <w:pStyle w:val="TAN"/>
              <w:rPr>
                <w:lang w:eastAsia="en-US"/>
              </w:rPr>
            </w:pPr>
            <w:r w:rsidRPr="004D0DAA">
              <w:rPr>
                <w:lang w:eastAsia="en-US"/>
              </w:rPr>
              <w:t>NOTE:</w:t>
            </w:r>
            <w:r w:rsidRPr="004D0DAA">
              <w:rPr>
                <w:lang w:eastAsia="en-US"/>
              </w:rPr>
              <w:tab/>
              <w:t>The bit numbering is relative to the field position.</w:t>
            </w:r>
          </w:p>
        </w:tc>
      </w:tr>
    </w:tbl>
    <w:p w14:paraId="21E1333C" w14:textId="77777777" w:rsidR="00711444" w:rsidRPr="004D0DAA" w:rsidRDefault="00711444" w:rsidP="00711444"/>
    <w:p w14:paraId="577742E9" w14:textId="77777777" w:rsidR="00711444" w:rsidRPr="004D0DAA" w:rsidRDefault="00711444" w:rsidP="00711444">
      <w:pPr>
        <w:keepNext/>
      </w:pPr>
      <w:r w:rsidRPr="004D0DAA">
        <w:t>In case of EGPRS, 10 octet padding shall be used only for retransmissions of blocks originally transmitted using EGPRS2-A. In case of EGPRS2-A, 6 octet padding shall be used only for retransmissions of blocks originally transmitted using EGPRS.</w:t>
      </w:r>
    </w:p>
    <w:p w14:paraId="154ED4BD" w14:textId="77777777" w:rsidR="00711444" w:rsidRPr="004D0DAA" w:rsidRDefault="00711444" w:rsidP="00711444">
      <w:pPr>
        <w:keepNext/>
      </w:pPr>
      <w:r w:rsidRPr="004D0DAA">
        <w:t>In EGPRS downlink, EC-GSM-IoT downlink and EGPRS2 downlink, the Split Block indicator is only used in header type 3 to indicate if some user data is retransmitted using 2 or 3 block resegmentation (see clause 9).</w:t>
      </w:r>
    </w:p>
    <w:p w14:paraId="0C442650" w14:textId="77777777" w:rsidR="00711444" w:rsidRPr="004D0DAA" w:rsidRDefault="00711444" w:rsidP="00711444">
      <w:pPr>
        <w:pStyle w:val="TH"/>
      </w:pPr>
      <w:r w:rsidRPr="004D0DAA">
        <w:t>Table 10.4.8b.2: Split Block indicator field (downlink)</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082"/>
      </w:tblGrid>
      <w:tr w:rsidR="00711444" w:rsidRPr="004D0DAA" w14:paraId="125B9287"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D7E81C3" w14:textId="77777777" w:rsidR="00711444" w:rsidRPr="004D0DAA" w:rsidRDefault="00711444" w:rsidP="00AA2A4C">
            <w:pPr>
              <w:pStyle w:val="TAH"/>
              <w:rPr>
                <w:lang w:eastAsia="en-US"/>
              </w:rPr>
            </w:pPr>
            <w:r w:rsidRPr="004D0DAA">
              <w:rPr>
                <w:lang w:eastAsia="en-US"/>
              </w:rPr>
              <w:t>bits</w:t>
            </w:r>
            <w:r w:rsidRPr="004D0DAA">
              <w:rPr>
                <w:lang w:eastAsia="en-US"/>
              </w:rPr>
              <w:br/>
              <w:t>2 1</w:t>
            </w:r>
          </w:p>
        </w:tc>
        <w:tc>
          <w:tcPr>
            <w:tcW w:w="4082" w:type="dxa"/>
            <w:tcBorders>
              <w:top w:val="single" w:sz="4" w:space="0" w:color="auto"/>
              <w:left w:val="single" w:sz="4" w:space="0" w:color="auto"/>
              <w:bottom w:val="single" w:sz="4" w:space="0" w:color="auto"/>
              <w:right w:val="single" w:sz="4" w:space="0" w:color="auto"/>
            </w:tcBorders>
          </w:tcPr>
          <w:p w14:paraId="6944E03E" w14:textId="77777777" w:rsidR="00711444" w:rsidRPr="004D0DAA" w:rsidRDefault="00711444" w:rsidP="00AA2A4C">
            <w:pPr>
              <w:pStyle w:val="TAH"/>
              <w:rPr>
                <w:lang w:eastAsia="en-US"/>
              </w:rPr>
            </w:pPr>
            <w:r w:rsidRPr="004D0DAA">
              <w:rPr>
                <w:lang w:eastAsia="en-US"/>
              </w:rPr>
              <w:t>SPB</w:t>
            </w:r>
          </w:p>
        </w:tc>
      </w:tr>
      <w:tr w:rsidR="00711444" w:rsidRPr="004D0DAA" w14:paraId="155DAFBE"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E10FD03" w14:textId="77777777" w:rsidR="00711444" w:rsidRPr="004D0DAA" w:rsidRDefault="00711444" w:rsidP="00AA2A4C">
            <w:pPr>
              <w:pStyle w:val="TAC"/>
              <w:rPr>
                <w:lang w:eastAsia="en-US"/>
              </w:rPr>
            </w:pPr>
            <w:r w:rsidRPr="004D0DAA">
              <w:rPr>
                <w:lang w:eastAsia="en-US"/>
              </w:rPr>
              <w:t>0 0</w:t>
            </w:r>
          </w:p>
        </w:tc>
        <w:tc>
          <w:tcPr>
            <w:tcW w:w="4082" w:type="dxa"/>
            <w:tcBorders>
              <w:top w:val="single" w:sz="4" w:space="0" w:color="auto"/>
              <w:left w:val="single" w:sz="4" w:space="0" w:color="auto"/>
              <w:bottom w:val="single" w:sz="4" w:space="0" w:color="auto"/>
              <w:right w:val="single" w:sz="4" w:space="0" w:color="auto"/>
            </w:tcBorders>
          </w:tcPr>
          <w:p w14:paraId="4CC7503A" w14:textId="77777777" w:rsidR="00711444" w:rsidRPr="004D0DAA" w:rsidRDefault="00711444" w:rsidP="00AA2A4C">
            <w:pPr>
              <w:pStyle w:val="TAL"/>
              <w:rPr>
                <w:lang w:eastAsia="en-US"/>
              </w:rPr>
            </w:pPr>
            <w:r w:rsidRPr="004D0DAA">
              <w:rPr>
                <w:lang w:eastAsia="en-US"/>
              </w:rPr>
              <w:t>No retransmission</w:t>
            </w:r>
          </w:p>
        </w:tc>
      </w:tr>
      <w:tr w:rsidR="00711444" w:rsidRPr="004D0DAA" w14:paraId="10F16286"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462BCA5D" w14:textId="77777777" w:rsidR="00711444" w:rsidRPr="004D0DAA" w:rsidRDefault="00711444" w:rsidP="00AA2A4C">
            <w:pPr>
              <w:pStyle w:val="TAC"/>
              <w:rPr>
                <w:lang w:eastAsia="en-US"/>
              </w:rPr>
            </w:pPr>
            <w:r w:rsidRPr="004D0DAA">
              <w:rPr>
                <w:lang w:eastAsia="en-US"/>
              </w:rPr>
              <w:t>0 1</w:t>
            </w:r>
          </w:p>
        </w:tc>
        <w:tc>
          <w:tcPr>
            <w:tcW w:w="4082" w:type="dxa"/>
            <w:tcBorders>
              <w:top w:val="single" w:sz="4" w:space="0" w:color="auto"/>
              <w:left w:val="single" w:sz="4" w:space="0" w:color="auto"/>
              <w:bottom w:val="single" w:sz="4" w:space="0" w:color="auto"/>
              <w:right w:val="single" w:sz="4" w:space="0" w:color="auto"/>
            </w:tcBorders>
          </w:tcPr>
          <w:p w14:paraId="18FF306C" w14:textId="77777777" w:rsidR="00711444" w:rsidRPr="004D0DAA" w:rsidRDefault="00711444" w:rsidP="00AA2A4C">
            <w:pPr>
              <w:pStyle w:val="TAL"/>
              <w:rPr>
                <w:lang w:eastAsia="en-US"/>
              </w:rPr>
            </w:pPr>
            <w:r w:rsidRPr="004D0DAA">
              <w:rPr>
                <w:lang w:eastAsia="en-US"/>
              </w:rPr>
              <w:t>Retransmission - third part of block (Note 2)</w:t>
            </w:r>
          </w:p>
        </w:tc>
      </w:tr>
      <w:tr w:rsidR="00711444" w:rsidRPr="004D0DAA" w14:paraId="1F6A23F1"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75D6681" w14:textId="77777777" w:rsidR="00711444" w:rsidRPr="004D0DAA" w:rsidRDefault="00711444" w:rsidP="00AA2A4C">
            <w:pPr>
              <w:pStyle w:val="TAC"/>
              <w:rPr>
                <w:lang w:eastAsia="en-US"/>
              </w:rPr>
            </w:pPr>
            <w:r w:rsidRPr="004D0DAA">
              <w:rPr>
                <w:lang w:eastAsia="en-US"/>
              </w:rPr>
              <w:t>1 0</w:t>
            </w:r>
          </w:p>
        </w:tc>
        <w:tc>
          <w:tcPr>
            <w:tcW w:w="4082" w:type="dxa"/>
            <w:tcBorders>
              <w:top w:val="single" w:sz="4" w:space="0" w:color="auto"/>
              <w:left w:val="single" w:sz="4" w:space="0" w:color="auto"/>
              <w:bottom w:val="single" w:sz="4" w:space="0" w:color="auto"/>
              <w:right w:val="single" w:sz="4" w:space="0" w:color="auto"/>
            </w:tcBorders>
          </w:tcPr>
          <w:p w14:paraId="753222B3" w14:textId="77777777" w:rsidR="00711444" w:rsidRPr="004D0DAA" w:rsidRDefault="00711444" w:rsidP="00AA2A4C">
            <w:pPr>
              <w:pStyle w:val="TAL"/>
              <w:rPr>
                <w:lang w:eastAsia="en-US"/>
              </w:rPr>
            </w:pPr>
            <w:r w:rsidRPr="004D0DAA">
              <w:rPr>
                <w:lang w:eastAsia="en-US"/>
              </w:rPr>
              <w:t>Retransmission - first part of block</w:t>
            </w:r>
          </w:p>
        </w:tc>
      </w:tr>
      <w:tr w:rsidR="00711444" w:rsidRPr="004D0DAA" w14:paraId="4786C680"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45F19237" w14:textId="77777777" w:rsidR="00711444" w:rsidRPr="004D0DAA" w:rsidRDefault="00711444" w:rsidP="00AA2A4C">
            <w:pPr>
              <w:pStyle w:val="TAC"/>
              <w:rPr>
                <w:lang w:eastAsia="en-US"/>
              </w:rPr>
            </w:pPr>
            <w:r w:rsidRPr="004D0DAA">
              <w:rPr>
                <w:lang w:eastAsia="en-US"/>
              </w:rPr>
              <w:t>1 1</w:t>
            </w:r>
          </w:p>
        </w:tc>
        <w:tc>
          <w:tcPr>
            <w:tcW w:w="4082" w:type="dxa"/>
            <w:tcBorders>
              <w:top w:val="single" w:sz="4" w:space="0" w:color="auto"/>
              <w:left w:val="single" w:sz="4" w:space="0" w:color="auto"/>
              <w:bottom w:val="single" w:sz="4" w:space="0" w:color="auto"/>
              <w:right w:val="single" w:sz="4" w:space="0" w:color="auto"/>
            </w:tcBorders>
          </w:tcPr>
          <w:p w14:paraId="5F8334A0" w14:textId="77777777" w:rsidR="00711444" w:rsidRPr="004D0DAA" w:rsidRDefault="00711444" w:rsidP="00AA2A4C">
            <w:pPr>
              <w:pStyle w:val="TAL"/>
              <w:rPr>
                <w:lang w:eastAsia="en-US"/>
              </w:rPr>
            </w:pPr>
            <w:r w:rsidRPr="004D0DAA">
              <w:rPr>
                <w:lang w:eastAsia="en-US"/>
              </w:rPr>
              <w:t>Retransmission - second part of block</w:t>
            </w:r>
          </w:p>
        </w:tc>
      </w:tr>
      <w:tr w:rsidR="00711444" w:rsidRPr="004D0DAA" w14:paraId="2FF192C3" w14:textId="77777777" w:rsidTr="00AA2A4C">
        <w:tblPrEx>
          <w:tblCellMar>
            <w:top w:w="0" w:type="dxa"/>
            <w:bottom w:w="0" w:type="dxa"/>
          </w:tblCellMar>
        </w:tblPrEx>
        <w:trPr>
          <w:cantSplit/>
          <w:jc w:val="center"/>
        </w:trPr>
        <w:tc>
          <w:tcPr>
            <w:tcW w:w="4876" w:type="dxa"/>
            <w:gridSpan w:val="2"/>
            <w:tcBorders>
              <w:top w:val="single" w:sz="4" w:space="0" w:color="auto"/>
              <w:left w:val="single" w:sz="4" w:space="0" w:color="auto"/>
              <w:bottom w:val="single" w:sz="4" w:space="0" w:color="auto"/>
              <w:right w:val="single" w:sz="4" w:space="0" w:color="auto"/>
            </w:tcBorders>
          </w:tcPr>
          <w:p w14:paraId="1879F751" w14:textId="77777777" w:rsidR="00711444" w:rsidRPr="004D0DAA" w:rsidRDefault="00711444" w:rsidP="00AA2A4C">
            <w:pPr>
              <w:pStyle w:val="TAN"/>
              <w:rPr>
                <w:lang w:eastAsia="en-US"/>
              </w:rPr>
            </w:pPr>
            <w:r w:rsidRPr="004D0DAA">
              <w:rPr>
                <w:lang w:eastAsia="en-US"/>
              </w:rPr>
              <w:t>NOTE 1:</w:t>
            </w:r>
            <w:r w:rsidRPr="004D0DAA">
              <w:rPr>
                <w:lang w:eastAsia="en-US"/>
              </w:rPr>
              <w:tab/>
              <w:t>The bit numbering is relative to the field position.</w:t>
            </w:r>
          </w:p>
          <w:p w14:paraId="1A119799" w14:textId="77777777" w:rsidR="00711444" w:rsidRPr="004D0DAA" w:rsidRDefault="00711444" w:rsidP="00AA2A4C">
            <w:pPr>
              <w:pStyle w:val="TAN"/>
              <w:rPr>
                <w:lang w:eastAsia="en-US"/>
              </w:rPr>
            </w:pPr>
            <w:r w:rsidRPr="004D0DAA">
              <w:rPr>
                <w:lang w:eastAsia="en-US"/>
              </w:rPr>
              <w:t xml:space="preserve">NOTE 2: </w:t>
            </w:r>
            <w:r w:rsidRPr="004D0DAA">
              <w:rPr>
                <w:lang w:eastAsia="en-US"/>
              </w:rPr>
              <w:tab/>
              <w:t>In EGPRS downlink this code point is only used when retransmiting blocks at EGPRS level change from EGPRS2-A to EGPRS.</w:t>
            </w:r>
          </w:p>
        </w:tc>
      </w:tr>
    </w:tbl>
    <w:p w14:paraId="619815EF" w14:textId="77777777" w:rsidR="00711444" w:rsidRPr="004D0DAA" w:rsidRDefault="00711444" w:rsidP="00711444"/>
    <w:p w14:paraId="228E5C86" w14:textId="77777777" w:rsidR="00711444" w:rsidRPr="004D0DAA" w:rsidRDefault="00711444" w:rsidP="00711444">
      <w:pPr>
        <w:pStyle w:val="Heading3"/>
      </w:pPr>
      <w:bookmarkStart w:id="572" w:name="_Toc516669752"/>
      <w:r w:rsidRPr="004D0DAA">
        <w:t>10.4.9</w:t>
      </w:r>
      <w:r w:rsidRPr="004D0DAA">
        <w:tab/>
        <w:t>TLLI Indicator (TI) bit</w:t>
      </w:r>
      <w:bookmarkEnd w:id="572"/>
    </w:p>
    <w:p w14:paraId="4A804D55" w14:textId="77777777" w:rsidR="00711444" w:rsidRPr="004D0DAA" w:rsidRDefault="00711444" w:rsidP="00711444">
      <w:pPr>
        <w:keepNext/>
        <w:keepLines/>
      </w:pPr>
      <w:r w:rsidRPr="004D0DAA">
        <w:t>The TLLI Indicator (TI) bit indicates the presence of an optional TLLI/G-RNTI field within the RLC data block.</w:t>
      </w:r>
    </w:p>
    <w:p w14:paraId="372388C0" w14:textId="77777777" w:rsidR="00711444" w:rsidRPr="004D0DAA" w:rsidRDefault="00711444" w:rsidP="00711444">
      <w:pPr>
        <w:pStyle w:val="TH"/>
      </w:pPr>
      <w:r w:rsidRPr="004D0DAA">
        <w:t>Table 10.4.9.1: TLLI Indicator (TI) bit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1415A757" w14:textId="77777777" w:rsidTr="00AA2A4C">
        <w:tblPrEx>
          <w:tblCellMar>
            <w:top w:w="0" w:type="dxa"/>
            <w:bottom w:w="0" w:type="dxa"/>
          </w:tblCellMar>
        </w:tblPrEx>
        <w:trPr>
          <w:cantSplit/>
          <w:jc w:val="center"/>
        </w:trPr>
        <w:tc>
          <w:tcPr>
            <w:tcW w:w="794" w:type="dxa"/>
            <w:tcBorders>
              <w:bottom w:val="nil"/>
            </w:tcBorders>
          </w:tcPr>
          <w:p w14:paraId="6942038A" w14:textId="77777777" w:rsidR="00711444" w:rsidRPr="004D0DAA" w:rsidRDefault="00711444" w:rsidP="00AA2A4C">
            <w:pPr>
              <w:pStyle w:val="TAH"/>
              <w:rPr>
                <w:lang w:eastAsia="en-US"/>
              </w:rPr>
            </w:pPr>
            <w:r w:rsidRPr="004D0DAA">
              <w:rPr>
                <w:lang w:eastAsia="en-US"/>
              </w:rPr>
              <w:t>bit 1</w:t>
            </w:r>
          </w:p>
        </w:tc>
        <w:tc>
          <w:tcPr>
            <w:tcW w:w="4536" w:type="dxa"/>
            <w:tcBorders>
              <w:bottom w:val="nil"/>
            </w:tcBorders>
          </w:tcPr>
          <w:p w14:paraId="248EC483" w14:textId="77777777" w:rsidR="00711444" w:rsidRPr="004D0DAA" w:rsidRDefault="00711444" w:rsidP="00AA2A4C">
            <w:pPr>
              <w:pStyle w:val="TAH"/>
              <w:rPr>
                <w:lang w:eastAsia="en-US"/>
              </w:rPr>
            </w:pPr>
            <w:r w:rsidRPr="004D0DAA">
              <w:rPr>
                <w:lang w:eastAsia="en-US"/>
              </w:rPr>
              <w:t>TLLI indicator (TI) bit</w:t>
            </w:r>
          </w:p>
        </w:tc>
      </w:tr>
      <w:tr w:rsidR="00711444" w:rsidRPr="004D0DAA" w14:paraId="071FC2DB"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DC16E9A" w14:textId="77777777" w:rsidR="00711444" w:rsidRPr="004D0DAA" w:rsidRDefault="00711444" w:rsidP="00AA2A4C">
            <w:pPr>
              <w:pStyle w:val="TAC"/>
              <w:rPr>
                <w:lang w:eastAsia="en-US"/>
              </w:rPr>
            </w:pPr>
            <w:r w:rsidRPr="004D0DAA">
              <w:rPr>
                <w:lang w:eastAsia="en-US"/>
              </w:rPr>
              <w:t>0</w:t>
            </w:r>
          </w:p>
        </w:tc>
        <w:tc>
          <w:tcPr>
            <w:tcW w:w="4536" w:type="dxa"/>
            <w:tcBorders>
              <w:top w:val="single" w:sz="4" w:space="0" w:color="auto"/>
              <w:left w:val="single" w:sz="4" w:space="0" w:color="auto"/>
              <w:bottom w:val="single" w:sz="4" w:space="0" w:color="auto"/>
              <w:right w:val="single" w:sz="4" w:space="0" w:color="auto"/>
            </w:tcBorders>
          </w:tcPr>
          <w:p w14:paraId="20BCD40D" w14:textId="77777777" w:rsidR="00711444" w:rsidRPr="004D0DAA" w:rsidRDefault="00711444" w:rsidP="00AA2A4C">
            <w:pPr>
              <w:pStyle w:val="TAL"/>
              <w:rPr>
                <w:lang w:eastAsia="en-US"/>
              </w:rPr>
            </w:pPr>
            <w:r w:rsidRPr="004D0DAA">
              <w:rPr>
                <w:lang w:eastAsia="en-US"/>
              </w:rPr>
              <w:t>TLLI/G-RNTI field is not present</w:t>
            </w:r>
          </w:p>
        </w:tc>
      </w:tr>
      <w:tr w:rsidR="00711444" w:rsidRPr="004D0DAA" w14:paraId="1FDF794F"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6882EDA6" w14:textId="77777777" w:rsidR="00711444" w:rsidRPr="004D0DAA" w:rsidRDefault="00711444" w:rsidP="00AA2A4C">
            <w:pPr>
              <w:pStyle w:val="TAC"/>
              <w:rPr>
                <w:lang w:eastAsia="en-US"/>
              </w:rPr>
            </w:pPr>
            <w:r w:rsidRPr="004D0DAA">
              <w:rPr>
                <w:lang w:eastAsia="en-US"/>
              </w:rPr>
              <w:t>1</w:t>
            </w:r>
          </w:p>
        </w:tc>
        <w:tc>
          <w:tcPr>
            <w:tcW w:w="4536" w:type="dxa"/>
            <w:tcBorders>
              <w:top w:val="single" w:sz="4" w:space="0" w:color="auto"/>
              <w:left w:val="single" w:sz="4" w:space="0" w:color="auto"/>
              <w:bottom w:val="single" w:sz="4" w:space="0" w:color="auto"/>
              <w:right w:val="single" w:sz="4" w:space="0" w:color="auto"/>
            </w:tcBorders>
          </w:tcPr>
          <w:p w14:paraId="01E3EBF3" w14:textId="77777777" w:rsidR="00711444" w:rsidRPr="004D0DAA" w:rsidRDefault="00711444" w:rsidP="00AA2A4C">
            <w:pPr>
              <w:pStyle w:val="TAL"/>
              <w:rPr>
                <w:lang w:eastAsia="en-US"/>
              </w:rPr>
            </w:pPr>
            <w:r w:rsidRPr="004D0DAA">
              <w:rPr>
                <w:lang w:eastAsia="en-US"/>
              </w:rPr>
              <w:t>TLLI/G-RNTI field is present</w:t>
            </w:r>
          </w:p>
        </w:tc>
      </w:tr>
    </w:tbl>
    <w:p w14:paraId="5B3D8FBC" w14:textId="77777777" w:rsidR="00711444" w:rsidRPr="004D0DAA" w:rsidRDefault="00711444" w:rsidP="00711444"/>
    <w:p w14:paraId="63C00D71" w14:textId="77777777" w:rsidR="00711444" w:rsidRPr="004D0DAA" w:rsidRDefault="00711444" w:rsidP="00711444">
      <w:pPr>
        <w:pStyle w:val="Heading3"/>
      </w:pPr>
      <w:bookmarkStart w:id="573" w:name="_Toc516669753"/>
      <w:r w:rsidRPr="004D0DAA">
        <w:t>10.4.9a</w:t>
      </w:r>
      <w:r w:rsidRPr="004D0DAA">
        <w:tab/>
        <w:t>Address Control (AC) bit</w:t>
      </w:r>
      <w:bookmarkEnd w:id="573"/>
    </w:p>
    <w:p w14:paraId="59D08257" w14:textId="77777777" w:rsidR="00711444" w:rsidRPr="004D0DAA" w:rsidRDefault="00711444" w:rsidP="00711444">
      <w:pPr>
        <w:keepNext/>
        <w:keepLines/>
      </w:pPr>
      <w:r w:rsidRPr="004D0DAA">
        <w:t>The Address Control (AC) bit is used to indicate the presence of the optional TFI/D octet in the header of downlink RLC/MAC control blocks.</w:t>
      </w:r>
    </w:p>
    <w:p w14:paraId="2F2518BA" w14:textId="77777777" w:rsidR="00711444" w:rsidRPr="004D0DAA" w:rsidRDefault="00711444" w:rsidP="00711444">
      <w:pPr>
        <w:pStyle w:val="TH"/>
      </w:pPr>
      <w:r w:rsidRPr="004D0DAA">
        <w:t>Table 10.4.9a.1: Address Control (AC)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E16220E" w14:textId="77777777" w:rsidTr="00AA2A4C">
        <w:tblPrEx>
          <w:tblCellMar>
            <w:top w:w="0" w:type="dxa"/>
            <w:bottom w:w="0" w:type="dxa"/>
          </w:tblCellMar>
        </w:tblPrEx>
        <w:trPr>
          <w:cantSplit/>
          <w:jc w:val="center"/>
        </w:trPr>
        <w:tc>
          <w:tcPr>
            <w:tcW w:w="794" w:type="dxa"/>
          </w:tcPr>
          <w:p w14:paraId="3D32583C" w14:textId="77777777" w:rsidR="00711444" w:rsidRPr="004D0DAA" w:rsidRDefault="00711444" w:rsidP="00AA2A4C">
            <w:pPr>
              <w:pStyle w:val="TAH"/>
              <w:rPr>
                <w:lang w:eastAsia="en-US"/>
              </w:rPr>
            </w:pPr>
            <w:r w:rsidRPr="004D0DAA">
              <w:rPr>
                <w:lang w:eastAsia="en-US"/>
              </w:rPr>
              <w:t>bit 1</w:t>
            </w:r>
          </w:p>
        </w:tc>
        <w:tc>
          <w:tcPr>
            <w:tcW w:w="4536" w:type="dxa"/>
          </w:tcPr>
          <w:p w14:paraId="4F6FC645" w14:textId="77777777" w:rsidR="00711444" w:rsidRPr="004D0DAA" w:rsidRDefault="00711444" w:rsidP="00AA2A4C">
            <w:pPr>
              <w:pStyle w:val="TAH"/>
              <w:rPr>
                <w:lang w:eastAsia="en-US"/>
              </w:rPr>
            </w:pPr>
            <w:r w:rsidRPr="004D0DAA">
              <w:rPr>
                <w:lang w:eastAsia="en-US"/>
              </w:rPr>
              <w:t>Address Control (AC) bit</w:t>
            </w:r>
          </w:p>
        </w:tc>
      </w:tr>
      <w:tr w:rsidR="00711444" w:rsidRPr="004D0DAA" w14:paraId="487E3EA6" w14:textId="77777777" w:rsidTr="00AA2A4C">
        <w:tblPrEx>
          <w:tblCellMar>
            <w:top w:w="0" w:type="dxa"/>
            <w:bottom w:w="0" w:type="dxa"/>
          </w:tblCellMar>
        </w:tblPrEx>
        <w:trPr>
          <w:cantSplit/>
          <w:jc w:val="center"/>
        </w:trPr>
        <w:tc>
          <w:tcPr>
            <w:tcW w:w="794" w:type="dxa"/>
          </w:tcPr>
          <w:p w14:paraId="02253687" w14:textId="77777777" w:rsidR="00711444" w:rsidRPr="004D0DAA" w:rsidRDefault="00711444" w:rsidP="00AA2A4C">
            <w:pPr>
              <w:pStyle w:val="TAC"/>
              <w:rPr>
                <w:lang w:eastAsia="en-US"/>
              </w:rPr>
            </w:pPr>
            <w:r w:rsidRPr="004D0DAA">
              <w:rPr>
                <w:lang w:eastAsia="en-US"/>
              </w:rPr>
              <w:t>0</w:t>
            </w:r>
          </w:p>
        </w:tc>
        <w:tc>
          <w:tcPr>
            <w:tcW w:w="4536" w:type="dxa"/>
          </w:tcPr>
          <w:p w14:paraId="68A97870" w14:textId="77777777" w:rsidR="00711444" w:rsidRPr="004D0DAA" w:rsidRDefault="00711444" w:rsidP="00AA2A4C">
            <w:pPr>
              <w:pStyle w:val="TAL"/>
              <w:rPr>
                <w:lang w:eastAsia="en-US"/>
              </w:rPr>
            </w:pPr>
            <w:r w:rsidRPr="004D0DAA">
              <w:rPr>
                <w:lang w:eastAsia="en-US"/>
              </w:rPr>
              <w:t>TFI/D octet is not present</w:t>
            </w:r>
          </w:p>
        </w:tc>
      </w:tr>
      <w:tr w:rsidR="00711444" w:rsidRPr="004D0DAA" w14:paraId="63790FD2" w14:textId="77777777" w:rsidTr="00AA2A4C">
        <w:tblPrEx>
          <w:tblCellMar>
            <w:top w:w="0" w:type="dxa"/>
            <w:bottom w:w="0" w:type="dxa"/>
          </w:tblCellMar>
        </w:tblPrEx>
        <w:trPr>
          <w:cantSplit/>
          <w:jc w:val="center"/>
        </w:trPr>
        <w:tc>
          <w:tcPr>
            <w:tcW w:w="794" w:type="dxa"/>
          </w:tcPr>
          <w:p w14:paraId="2E364E9B" w14:textId="77777777" w:rsidR="00711444" w:rsidRPr="004D0DAA" w:rsidRDefault="00711444" w:rsidP="00AA2A4C">
            <w:pPr>
              <w:pStyle w:val="TAC"/>
              <w:rPr>
                <w:lang w:eastAsia="en-US"/>
              </w:rPr>
            </w:pPr>
            <w:r w:rsidRPr="004D0DAA">
              <w:rPr>
                <w:lang w:eastAsia="en-US"/>
              </w:rPr>
              <w:t>1</w:t>
            </w:r>
          </w:p>
        </w:tc>
        <w:tc>
          <w:tcPr>
            <w:tcW w:w="4536" w:type="dxa"/>
          </w:tcPr>
          <w:p w14:paraId="74726427" w14:textId="77777777" w:rsidR="00711444" w:rsidRPr="004D0DAA" w:rsidRDefault="00711444" w:rsidP="00AA2A4C">
            <w:pPr>
              <w:pStyle w:val="TAL"/>
              <w:rPr>
                <w:lang w:eastAsia="en-US"/>
              </w:rPr>
            </w:pPr>
            <w:r w:rsidRPr="004D0DAA">
              <w:rPr>
                <w:lang w:eastAsia="en-US"/>
              </w:rPr>
              <w:t>TFI/D octet is present</w:t>
            </w:r>
          </w:p>
        </w:tc>
      </w:tr>
    </w:tbl>
    <w:p w14:paraId="3660DB9C" w14:textId="77777777" w:rsidR="00711444" w:rsidRPr="004D0DAA" w:rsidRDefault="00711444" w:rsidP="00711444"/>
    <w:p w14:paraId="3CD5ADDD" w14:textId="77777777" w:rsidR="00711444" w:rsidRPr="004D0DAA" w:rsidRDefault="00711444" w:rsidP="00711444">
      <w:pPr>
        <w:pStyle w:val="Heading3"/>
      </w:pPr>
      <w:bookmarkStart w:id="574" w:name="_Toc516669754"/>
      <w:r w:rsidRPr="004D0DAA">
        <w:lastRenderedPageBreak/>
        <w:t>10.4.9b</w:t>
      </w:r>
      <w:r w:rsidRPr="004D0DAA">
        <w:tab/>
        <w:t>Final Segment (FS) bit</w:t>
      </w:r>
      <w:bookmarkEnd w:id="574"/>
    </w:p>
    <w:p w14:paraId="6C7BC7FB" w14:textId="77777777" w:rsidR="00711444" w:rsidRPr="004D0DAA" w:rsidRDefault="00711444" w:rsidP="00711444">
      <w:pPr>
        <w:keepNext/>
        <w:keepLines/>
      </w:pPr>
      <w:r w:rsidRPr="004D0DAA">
        <w:t>The Final Segment (FS) bit indicates that the downlink RLC/MAC control block contains the final segment of an RLC/MAC control message except when it is sent using extended RLC/MAC control message segmentation. In case of extended RLC/MAC control message segmentation, the final segment of an RLC/MAC control message is indicated with the FSe bit as defined in sub-clause 10.4.9e while the FS bit is set to ‘0’ (see sub-clauses 9.1.12a and 10.4.12b).</w:t>
      </w:r>
    </w:p>
    <w:p w14:paraId="63B3DA13" w14:textId="77777777" w:rsidR="00711444" w:rsidRPr="004D0DAA" w:rsidRDefault="00711444" w:rsidP="00711444">
      <w:pPr>
        <w:pStyle w:val="TH"/>
      </w:pPr>
      <w:r w:rsidRPr="004D0DAA">
        <w:t>Table 10.4.9b.1: Final Segment (FS)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DE746CF" w14:textId="77777777" w:rsidTr="00AA2A4C">
        <w:trPr>
          <w:cantSplit/>
          <w:jc w:val="center"/>
        </w:trPr>
        <w:tc>
          <w:tcPr>
            <w:tcW w:w="794" w:type="dxa"/>
          </w:tcPr>
          <w:p w14:paraId="05C1E858" w14:textId="77777777" w:rsidR="00711444" w:rsidRPr="004D0DAA" w:rsidRDefault="00711444" w:rsidP="00AA2A4C">
            <w:pPr>
              <w:pStyle w:val="TAH"/>
              <w:rPr>
                <w:lang w:eastAsia="en-US"/>
              </w:rPr>
            </w:pPr>
            <w:r w:rsidRPr="004D0DAA">
              <w:rPr>
                <w:lang w:eastAsia="en-US"/>
              </w:rPr>
              <w:t>bit 1</w:t>
            </w:r>
          </w:p>
        </w:tc>
        <w:tc>
          <w:tcPr>
            <w:tcW w:w="4536" w:type="dxa"/>
          </w:tcPr>
          <w:p w14:paraId="7AFB187C" w14:textId="77777777" w:rsidR="00711444" w:rsidRPr="004D0DAA" w:rsidRDefault="00711444" w:rsidP="00AA2A4C">
            <w:pPr>
              <w:pStyle w:val="TAH"/>
              <w:rPr>
                <w:lang w:eastAsia="en-US"/>
              </w:rPr>
            </w:pPr>
            <w:r w:rsidRPr="004D0DAA">
              <w:rPr>
                <w:lang w:eastAsia="en-US"/>
              </w:rPr>
              <w:t>Final Segment (FS) bit</w:t>
            </w:r>
          </w:p>
        </w:tc>
      </w:tr>
      <w:tr w:rsidR="00711444" w:rsidRPr="004D0DAA" w14:paraId="4E6F364D" w14:textId="77777777" w:rsidTr="00AA2A4C">
        <w:trPr>
          <w:cantSplit/>
          <w:jc w:val="center"/>
        </w:trPr>
        <w:tc>
          <w:tcPr>
            <w:tcW w:w="794" w:type="dxa"/>
          </w:tcPr>
          <w:p w14:paraId="7C942D1E" w14:textId="77777777" w:rsidR="00711444" w:rsidRPr="004D0DAA" w:rsidRDefault="00711444" w:rsidP="00AA2A4C">
            <w:pPr>
              <w:pStyle w:val="TAC"/>
              <w:rPr>
                <w:lang w:eastAsia="en-US"/>
              </w:rPr>
            </w:pPr>
            <w:r w:rsidRPr="004D0DAA">
              <w:rPr>
                <w:lang w:eastAsia="en-US"/>
              </w:rPr>
              <w:t>0</w:t>
            </w:r>
          </w:p>
        </w:tc>
        <w:tc>
          <w:tcPr>
            <w:tcW w:w="4536" w:type="dxa"/>
          </w:tcPr>
          <w:p w14:paraId="5B93C165" w14:textId="77777777" w:rsidR="00711444" w:rsidRPr="004D0DAA" w:rsidRDefault="00711444" w:rsidP="00AA2A4C">
            <w:pPr>
              <w:pStyle w:val="TAL"/>
              <w:rPr>
                <w:lang w:eastAsia="en-US"/>
              </w:rPr>
            </w:pPr>
            <w:r w:rsidRPr="004D0DAA">
              <w:rPr>
                <w:lang w:eastAsia="en-US"/>
              </w:rPr>
              <w:t>Current block does not contain the final segment of an RLC/MAC control message</w:t>
            </w:r>
          </w:p>
        </w:tc>
      </w:tr>
      <w:tr w:rsidR="00711444" w:rsidRPr="004D0DAA" w14:paraId="07DB491F" w14:textId="77777777" w:rsidTr="00AA2A4C">
        <w:trPr>
          <w:cantSplit/>
          <w:jc w:val="center"/>
        </w:trPr>
        <w:tc>
          <w:tcPr>
            <w:tcW w:w="794" w:type="dxa"/>
          </w:tcPr>
          <w:p w14:paraId="1B83166B" w14:textId="77777777" w:rsidR="00711444" w:rsidRPr="004D0DAA" w:rsidRDefault="00711444" w:rsidP="00AA2A4C">
            <w:pPr>
              <w:pStyle w:val="TAC"/>
              <w:rPr>
                <w:lang w:eastAsia="en-US"/>
              </w:rPr>
            </w:pPr>
            <w:r w:rsidRPr="004D0DAA">
              <w:rPr>
                <w:lang w:eastAsia="en-US"/>
              </w:rPr>
              <w:t>1</w:t>
            </w:r>
          </w:p>
        </w:tc>
        <w:tc>
          <w:tcPr>
            <w:tcW w:w="4536" w:type="dxa"/>
          </w:tcPr>
          <w:p w14:paraId="0EFFD6AC" w14:textId="77777777" w:rsidR="00711444" w:rsidRPr="004D0DAA" w:rsidRDefault="00711444" w:rsidP="00AA2A4C">
            <w:pPr>
              <w:pStyle w:val="TAL"/>
              <w:rPr>
                <w:lang w:eastAsia="en-US"/>
              </w:rPr>
            </w:pPr>
            <w:r w:rsidRPr="004D0DAA">
              <w:rPr>
                <w:lang w:eastAsia="en-US"/>
              </w:rPr>
              <w:t>Current block contains the final segment of an RLC/MAC control message</w:t>
            </w:r>
          </w:p>
        </w:tc>
      </w:tr>
      <w:tr w:rsidR="00711444" w:rsidRPr="004D0DAA" w14:paraId="0CCAD3FD" w14:textId="77777777" w:rsidTr="00AA2A4C">
        <w:trPr>
          <w:cantSplit/>
          <w:jc w:val="center"/>
        </w:trPr>
        <w:tc>
          <w:tcPr>
            <w:tcW w:w="5330" w:type="dxa"/>
            <w:gridSpan w:val="2"/>
          </w:tcPr>
          <w:p w14:paraId="0290EC6D" w14:textId="77777777" w:rsidR="00711444" w:rsidRPr="004D0DAA" w:rsidRDefault="00711444" w:rsidP="00AA2A4C">
            <w:pPr>
              <w:pStyle w:val="TAL"/>
              <w:rPr>
                <w:lang w:eastAsia="en-US"/>
              </w:rPr>
            </w:pPr>
            <w:r w:rsidRPr="004D0DAA">
              <w:rPr>
                <w:lang w:eastAsia="en-US"/>
              </w:rPr>
              <w:t>NOTE:</w:t>
            </w:r>
            <w:r w:rsidRPr="004D0DAA">
              <w:rPr>
                <w:lang w:eastAsia="en-US"/>
              </w:rPr>
              <w:tab/>
              <w:t>The bit numbering is relative to the field position.</w:t>
            </w:r>
          </w:p>
        </w:tc>
      </w:tr>
    </w:tbl>
    <w:p w14:paraId="5C3341D7" w14:textId="77777777" w:rsidR="00711444" w:rsidRPr="004D0DAA" w:rsidRDefault="00711444" w:rsidP="00711444">
      <w:pPr>
        <w:pStyle w:val="TH"/>
      </w:pPr>
    </w:p>
    <w:p w14:paraId="3571B707" w14:textId="77777777" w:rsidR="00711444" w:rsidRPr="004D0DAA" w:rsidRDefault="00711444" w:rsidP="00711444">
      <w:pPr>
        <w:pStyle w:val="Heading3"/>
      </w:pPr>
      <w:bookmarkStart w:id="575" w:name="_Toc516669755"/>
      <w:r w:rsidRPr="004D0DAA">
        <w:t>10.4.9c</w:t>
      </w:r>
      <w:r w:rsidRPr="004D0DAA">
        <w:tab/>
        <w:t>Radio Transaction Identifier (RTI) field</w:t>
      </w:r>
      <w:bookmarkEnd w:id="575"/>
    </w:p>
    <w:p w14:paraId="6687619B" w14:textId="77777777" w:rsidR="00711444" w:rsidRPr="004D0DAA" w:rsidRDefault="00711444" w:rsidP="00711444">
      <w:r w:rsidRPr="004D0DAA">
        <w:t>The Radio Transaction Identifier (RTI) field is used to group the downlink RLC/MAC control blocks that make up an RLC/MAC control message and identifies the segmented control message sequence with which the downlink RLC/MAC control block is associated. The RTI field is five bits in length with range 0 to 31.</w:t>
      </w:r>
    </w:p>
    <w:p w14:paraId="72B85DE2" w14:textId="77777777" w:rsidR="00711444" w:rsidRPr="004D0DAA" w:rsidRDefault="00711444" w:rsidP="00711444">
      <w:pPr>
        <w:pStyle w:val="Heading3"/>
      </w:pPr>
      <w:bookmarkStart w:id="576" w:name="_Toc516669756"/>
      <w:r w:rsidRPr="004D0DAA">
        <w:t>10.4.9d</w:t>
      </w:r>
      <w:r w:rsidRPr="004D0DAA">
        <w:tab/>
        <w:t>Direction (D) bit</w:t>
      </w:r>
      <w:bookmarkEnd w:id="576"/>
    </w:p>
    <w:p w14:paraId="25F69A7E" w14:textId="77777777" w:rsidR="00711444" w:rsidRPr="004D0DAA" w:rsidRDefault="00711444" w:rsidP="00711444">
      <w:pPr>
        <w:keepNext/>
        <w:keepLines/>
      </w:pPr>
      <w:r w:rsidRPr="004D0DAA">
        <w:t>The Direction (D) bit indicates the direction of the TBF identified by the TFI field in the downlink RLC/MAC control block header.</w:t>
      </w:r>
    </w:p>
    <w:p w14:paraId="0091A320" w14:textId="77777777" w:rsidR="00711444" w:rsidRPr="004D0DAA" w:rsidRDefault="00711444" w:rsidP="00711444">
      <w:pPr>
        <w:pStyle w:val="TH"/>
      </w:pPr>
      <w:r w:rsidRPr="004D0DAA">
        <w:t>Table 10.4.9d.1: Direction (D)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4F5376E4" w14:textId="77777777" w:rsidTr="00AA2A4C">
        <w:tblPrEx>
          <w:tblCellMar>
            <w:top w:w="0" w:type="dxa"/>
            <w:bottom w:w="0" w:type="dxa"/>
          </w:tblCellMar>
        </w:tblPrEx>
        <w:trPr>
          <w:cantSplit/>
          <w:jc w:val="center"/>
        </w:trPr>
        <w:tc>
          <w:tcPr>
            <w:tcW w:w="794" w:type="dxa"/>
          </w:tcPr>
          <w:p w14:paraId="6E2BC3CF" w14:textId="77777777" w:rsidR="00711444" w:rsidRPr="004D0DAA" w:rsidRDefault="00711444" w:rsidP="00AA2A4C">
            <w:pPr>
              <w:pStyle w:val="TAH"/>
              <w:rPr>
                <w:lang w:eastAsia="en-US"/>
              </w:rPr>
            </w:pPr>
            <w:r w:rsidRPr="004D0DAA">
              <w:rPr>
                <w:lang w:eastAsia="en-US"/>
              </w:rPr>
              <w:t>bit 1</w:t>
            </w:r>
          </w:p>
        </w:tc>
        <w:tc>
          <w:tcPr>
            <w:tcW w:w="4536" w:type="dxa"/>
          </w:tcPr>
          <w:p w14:paraId="2003DD74" w14:textId="77777777" w:rsidR="00711444" w:rsidRPr="004D0DAA" w:rsidRDefault="00711444" w:rsidP="00AA2A4C">
            <w:pPr>
              <w:pStyle w:val="TAH"/>
              <w:rPr>
                <w:lang w:eastAsia="en-US"/>
              </w:rPr>
            </w:pPr>
            <w:r w:rsidRPr="004D0DAA">
              <w:rPr>
                <w:lang w:eastAsia="en-US"/>
              </w:rPr>
              <w:t>Direction (D) bit</w:t>
            </w:r>
          </w:p>
        </w:tc>
      </w:tr>
      <w:tr w:rsidR="00711444" w:rsidRPr="004D0DAA" w14:paraId="15890663" w14:textId="77777777" w:rsidTr="00AA2A4C">
        <w:tblPrEx>
          <w:tblCellMar>
            <w:top w:w="0" w:type="dxa"/>
            <w:bottom w:w="0" w:type="dxa"/>
          </w:tblCellMar>
        </w:tblPrEx>
        <w:trPr>
          <w:cantSplit/>
          <w:jc w:val="center"/>
        </w:trPr>
        <w:tc>
          <w:tcPr>
            <w:tcW w:w="794" w:type="dxa"/>
          </w:tcPr>
          <w:p w14:paraId="5004FB2B" w14:textId="77777777" w:rsidR="00711444" w:rsidRPr="004D0DAA" w:rsidRDefault="00711444" w:rsidP="00AA2A4C">
            <w:pPr>
              <w:pStyle w:val="TAC"/>
              <w:rPr>
                <w:lang w:eastAsia="en-US"/>
              </w:rPr>
            </w:pPr>
            <w:r w:rsidRPr="004D0DAA">
              <w:rPr>
                <w:lang w:eastAsia="en-US"/>
              </w:rPr>
              <w:t>0</w:t>
            </w:r>
          </w:p>
        </w:tc>
        <w:tc>
          <w:tcPr>
            <w:tcW w:w="4536" w:type="dxa"/>
          </w:tcPr>
          <w:p w14:paraId="6A248180" w14:textId="77777777" w:rsidR="00711444" w:rsidRPr="004D0DAA" w:rsidRDefault="00711444" w:rsidP="00AA2A4C">
            <w:pPr>
              <w:pStyle w:val="TAL"/>
              <w:rPr>
                <w:lang w:eastAsia="en-US"/>
              </w:rPr>
            </w:pPr>
            <w:r w:rsidRPr="004D0DAA">
              <w:rPr>
                <w:lang w:eastAsia="en-US"/>
              </w:rPr>
              <w:t>TFI field identifies an uplink TBF</w:t>
            </w:r>
          </w:p>
        </w:tc>
      </w:tr>
      <w:tr w:rsidR="00711444" w:rsidRPr="004D0DAA" w14:paraId="7E30D7B7" w14:textId="77777777" w:rsidTr="00AA2A4C">
        <w:tblPrEx>
          <w:tblCellMar>
            <w:top w:w="0" w:type="dxa"/>
            <w:bottom w:w="0" w:type="dxa"/>
          </w:tblCellMar>
        </w:tblPrEx>
        <w:trPr>
          <w:cantSplit/>
          <w:jc w:val="center"/>
        </w:trPr>
        <w:tc>
          <w:tcPr>
            <w:tcW w:w="794" w:type="dxa"/>
          </w:tcPr>
          <w:p w14:paraId="44C6B33F" w14:textId="77777777" w:rsidR="00711444" w:rsidRPr="004D0DAA" w:rsidRDefault="00711444" w:rsidP="00AA2A4C">
            <w:pPr>
              <w:pStyle w:val="TAC"/>
              <w:rPr>
                <w:lang w:eastAsia="en-US"/>
              </w:rPr>
            </w:pPr>
            <w:r w:rsidRPr="004D0DAA">
              <w:rPr>
                <w:lang w:eastAsia="en-US"/>
              </w:rPr>
              <w:t>1</w:t>
            </w:r>
          </w:p>
        </w:tc>
        <w:tc>
          <w:tcPr>
            <w:tcW w:w="4536" w:type="dxa"/>
          </w:tcPr>
          <w:p w14:paraId="15D742F8" w14:textId="77777777" w:rsidR="00711444" w:rsidRPr="004D0DAA" w:rsidRDefault="00711444" w:rsidP="00AA2A4C">
            <w:pPr>
              <w:pStyle w:val="TAL"/>
              <w:rPr>
                <w:lang w:eastAsia="en-US"/>
              </w:rPr>
            </w:pPr>
            <w:r w:rsidRPr="004D0DAA">
              <w:rPr>
                <w:lang w:eastAsia="en-US"/>
              </w:rPr>
              <w:t>TFI field identifies a downlink TBF</w:t>
            </w:r>
          </w:p>
        </w:tc>
      </w:tr>
    </w:tbl>
    <w:p w14:paraId="32D08D74" w14:textId="77777777" w:rsidR="00711444" w:rsidRPr="004D0DAA" w:rsidRDefault="00711444" w:rsidP="00711444"/>
    <w:p w14:paraId="05CF6C4B" w14:textId="77777777" w:rsidR="00711444" w:rsidRPr="004D0DAA" w:rsidRDefault="00711444" w:rsidP="00711444">
      <w:pPr>
        <w:pStyle w:val="Heading3"/>
      </w:pPr>
      <w:bookmarkStart w:id="577" w:name="_Toc516669757"/>
      <w:r w:rsidRPr="004D0DAA">
        <w:t>10.4.9e</w:t>
      </w:r>
      <w:r w:rsidRPr="004D0DAA">
        <w:tab/>
        <w:t>Final Segment extension (FSe) bit</w:t>
      </w:r>
      <w:bookmarkEnd w:id="577"/>
    </w:p>
    <w:p w14:paraId="017A21DD" w14:textId="77777777" w:rsidR="00711444" w:rsidRPr="004D0DAA" w:rsidRDefault="00711444" w:rsidP="00711444">
      <w:pPr>
        <w:keepNext/>
        <w:keepLines/>
      </w:pPr>
      <w:r w:rsidRPr="004D0DAA">
        <w:t>The Final Segment extension (FSe) bit indicates that the downlink RLC/MAC control block contains the final segment of an RLC/MAC control message segmented using extended RLC/MAC control message segmentation (see sub-clauses 9.1.12a and 10.4.12b). The FSe bit is only present from the second RLC/MAC control block onwards.</w:t>
      </w:r>
    </w:p>
    <w:p w14:paraId="4571B9A2" w14:textId="77777777" w:rsidR="00711444" w:rsidRPr="004D0DAA" w:rsidRDefault="00711444" w:rsidP="00711444">
      <w:pPr>
        <w:pStyle w:val="TH"/>
      </w:pPr>
      <w:r w:rsidRPr="004D0DAA">
        <w:t>Table 10.4.9e.1: Final Segment extension (FSe)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94F1072" w14:textId="77777777" w:rsidTr="00AA2A4C">
        <w:tblPrEx>
          <w:tblCellMar>
            <w:top w:w="0" w:type="dxa"/>
            <w:bottom w:w="0" w:type="dxa"/>
          </w:tblCellMar>
        </w:tblPrEx>
        <w:trPr>
          <w:cantSplit/>
          <w:jc w:val="center"/>
        </w:trPr>
        <w:tc>
          <w:tcPr>
            <w:tcW w:w="794" w:type="dxa"/>
          </w:tcPr>
          <w:p w14:paraId="36EB44FC" w14:textId="77777777" w:rsidR="00711444" w:rsidRPr="004D0DAA" w:rsidRDefault="00711444" w:rsidP="00AA2A4C">
            <w:pPr>
              <w:pStyle w:val="TAH"/>
              <w:rPr>
                <w:lang w:eastAsia="en-US"/>
              </w:rPr>
            </w:pPr>
            <w:r w:rsidRPr="004D0DAA">
              <w:rPr>
                <w:lang w:eastAsia="en-US"/>
              </w:rPr>
              <w:t>bit 5</w:t>
            </w:r>
          </w:p>
        </w:tc>
        <w:tc>
          <w:tcPr>
            <w:tcW w:w="4536" w:type="dxa"/>
          </w:tcPr>
          <w:p w14:paraId="7AC24146" w14:textId="77777777" w:rsidR="00711444" w:rsidRPr="004D0DAA" w:rsidRDefault="00711444" w:rsidP="00AA2A4C">
            <w:pPr>
              <w:pStyle w:val="TAH"/>
              <w:rPr>
                <w:lang w:eastAsia="en-US"/>
              </w:rPr>
            </w:pPr>
            <w:r w:rsidRPr="004D0DAA">
              <w:rPr>
                <w:lang w:eastAsia="en-US"/>
              </w:rPr>
              <w:t>Final Segment extension (FSe) bit</w:t>
            </w:r>
          </w:p>
        </w:tc>
      </w:tr>
      <w:tr w:rsidR="00711444" w:rsidRPr="004D0DAA" w14:paraId="0AC91F15" w14:textId="77777777" w:rsidTr="00AA2A4C">
        <w:tblPrEx>
          <w:tblCellMar>
            <w:top w:w="0" w:type="dxa"/>
            <w:bottom w:w="0" w:type="dxa"/>
          </w:tblCellMar>
        </w:tblPrEx>
        <w:trPr>
          <w:cantSplit/>
          <w:jc w:val="center"/>
        </w:trPr>
        <w:tc>
          <w:tcPr>
            <w:tcW w:w="794" w:type="dxa"/>
          </w:tcPr>
          <w:p w14:paraId="39369C30" w14:textId="77777777" w:rsidR="00711444" w:rsidRPr="004D0DAA" w:rsidRDefault="00711444" w:rsidP="00AA2A4C">
            <w:pPr>
              <w:pStyle w:val="TAC"/>
              <w:rPr>
                <w:lang w:eastAsia="en-US"/>
              </w:rPr>
            </w:pPr>
            <w:r w:rsidRPr="004D0DAA">
              <w:rPr>
                <w:lang w:eastAsia="en-US"/>
              </w:rPr>
              <w:t>0</w:t>
            </w:r>
          </w:p>
        </w:tc>
        <w:tc>
          <w:tcPr>
            <w:tcW w:w="4536" w:type="dxa"/>
          </w:tcPr>
          <w:p w14:paraId="7F12AECE" w14:textId="77777777" w:rsidR="00711444" w:rsidRPr="004D0DAA" w:rsidRDefault="00711444" w:rsidP="00AA2A4C">
            <w:pPr>
              <w:pStyle w:val="TAL"/>
              <w:rPr>
                <w:lang w:eastAsia="en-US"/>
              </w:rPr>
            </w:pPr>
            <w:r w:rsidRPr="004D0DAA">
              <w:rPr>
                <w:lang w:eastAsia="en-US"/>
              </w:rPr>
              <w:t>Current block does not contain the final segment of an RLC/MAC control message</w:t>
            </w:r>
          </w:p>
        </w:tc>
      </w:tr>
      <w:tr w:rsidR="00711444" w:rsidRPr="004D0DAA" w14:paraId="1C00D9DC" w14:textId="77777777" w:rsidTr="00AA2A4C">
        <w:tblPrEx>
          <w:tblCellMar>
            <w:top w:w="0" w:type="dxa"/>
            <w:bottom w:w="0" w:type="dxa"/>
          </w:tblCellMar>
        </w:tblPrEx>
        <w:trPr>
          <w:cantSplit/>
          <w:jc w:val="center"/>
        </w:trPr>
        <w:tc>
          <w:tcPr>
            <w:tcW w:w="794" w:type="dxa"/>
          </w:tcPr>
          <w:p w14:paraId="60BA210C" w14:textId="77777777" w:rsidR="00711444" w:rsidRPr="004D0DAA" w:rsidRDefault="00711444" w:rsidP="00AA2A4C">
            <w:pPr>
              <w:pStyle w:val="TAC"/>
              <w:rPr>
                <w:lang w:eastAsia="en-US"/>
              </w:rPr>
            </w:pPr>
            <w:r w:rsidRPr="004D0DAA">
              <w:rPr>
                <w:lang w:eastAsia="en-US"/>
              </w:rPr>
              <w:t>1</w:t>
            </w:r>
          </w:p>
        </w:tc>
        <w:tc>
          <w:tcPr>
            <w:tcW w:w="4536" w:type="dxa"/>
          </w:tcPr>
          <w:p w14:paraId="5F92C0F1" w14:textId="77777777" w:rsidR="00711444" w:rsidRPr="004D0DAA" w:rsidRDefault="00711444" w:rsidP="00AA2A4C">
            <w:pPr>
              <w:pStyle w:val="TAL"/>
              <w:rPr>
                <w:lang w:eastAsia="en-US"/>
              </w:rPr>
            </w:pPr>
            <w:r w:rsidRPr="004D0DAA">
              <w:rPr>
                <w:lang w:eastAsia="en-US"/>
              </w:rPr>
              <w:t>Current block contains the final segment of an RLC/MAC control message</w:t>
            </w:r>
          </w:p>
        </w:tc>
      </w:tr>
    </w:tbl>
    <w:p w14:paraId="67B28D82" w14:textId="77777777" w:rsidR="00711444" w:rsidRPr="004D0DAA" w:rsidRDefault="00711444" w:rsidP="00711444"/>
    <w:p w14:paraId="47EBA418" w14:textId="77777777" w:rsidR="00711444" w:rsidRPr="004D0DAA" w:rsidRDefault="00711444" w:rsidP="00711444">
      <w:pPr>
        <w:pStyle w:val="Heading3"/>
      </w:pPr>
      <w:bookmarkStart w:id="578" w:name="_Toc516669758"/>
      <w:r w:rsidRPr="004D0DAA">
        <w:t>10.4.9f</w:t>
      </w:r>
      <w:r w:rsidRPr="004D0DAA">
        <w:tab/>
        <w:t>Reduced TLLI (rTLLI)</w:t>
      </w:r>
      <w:bookmarkEnd w:id="578"/>
    </w:p>
    <w:p w14:paraId="36030DD4" w14:textId="77777777" w:rsidR="00711444" w:rsidRPr="004D0DAA" w:rsidRDefault="00711444" w:rsidP="00711444">
      <w:r w:rsidRPr="004D0DAA">
        <w:t>A mobile station in EC operation that has been indicated to use the enhanced access burst procedure shall only include the TLLI in the first RLC data block of the uplink EC TBF and the rTLLI in the RLC/MAC headers of the remaining RLC data blocks until the contention resolution is completed (see sub-clause 7a.2.1.2).</w:t>
      </w:r>
    </w:p>
    <w:p w14:paraId="2E364114" w14:textId="77777777" w:rsidR="00711444" w:rsidRPr="004D0DAA" w:rsidRDefault="00711444" w:rsidP="00711444">
      <w:pPr>
        <w:pStyle w:val="Heading3"/>
      </w:pPr>
      <w:bookmarkStart w:id="579" w:name="_Toc516669759"/>
      <w:r w:rsidRPr="004D0DAA">
        <w:t>10.4.9g</w:t>
      </w:r>
      <w:r w:rsidRPr="004D0DAA">
        <w:tab/>
        <w:t>Reduced TLLI Indicator (RI)</w:t>
      </w:r>
      <w:bookmarkEnd w:id="579"/>
    </w:p>
    <w:p w14:paraId="726B658B" w14:textId="77777777" w:rsidR="00711444" w:rsidRPr="004D0DAA" w:rsidRDefault="00711444" w:rsidP="00711444">
      <w:r w:rsidRPr="004D0DAA">
        <w:t>The RI bit is used to indicate whether the rTLLI field is valid or not valid.</w:t>
      </w:r>
    </w:p>
    <w:p w14:paraId="1D237810" w14:textId="77777777" w:rsidR="00711444" w:rsidRPr="004D0DAA" w:rsidRDefault="00711444" w:rsidP="00711444">
      <w:pPr>
        <w:pStyle w:val="TH"/>
      </w:pPr>
      <w:r w:rsidRPr="004D0DAA">
        <w:lastRenderedPageBreak/>
        <w:t>Table 10.4.9g.1: Reduced TLLI Indicator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59F2ADE1" w14:textId="77777777" w:rsidTr="00AA2A4C">
        <w:trPr>
          <w:cantSplit/>
          <w:jc w:val="center"/>
        </w:trPr>
        <w:tc>
          <w:tcPr>
            <w:tcW w:w="794" w:type="dxa"/>
          </w:tcPr>
          <w:p w14:paraId="74C1CD4F" w14:textId="77777777" w:rsidR="00711444" w:rsidRPr="004D0DAA" w:rsidRDefault="00711444" w:rsidP="00AA2A4C">
            <w:pPr>
              <w:pStyle w:val="TAH"/>
              <w:rPr>
                <w:lang w:eastAsia="en-US"/>
              </w:rPr>
            </w:pPr>
            <w:r w:rsidRPr="004D0DAA">
              <w:rPr>
                <w:lang w:eastAsia="en-US"/>
              </w:rPr>
              <w:t xml:space="preserve">bit </w:t>
            </w:r>
          </w:p>
          <w:p w14:paraId="49EE4530" w14:textId="77777777" w:rsidR="00711444" w:rsidRPr="004D0DAA" w:rsidRDefault="00711444" w:rsidP="00AA2A4C">
            <w:pPr>
              <w:pStyle w:val="TAH"/>
              <w:rPr>
                <w:lang w:eastAsia="en-US"/>
              </w:rPr>
            </w:pPr>
            <w:r w:rsidRPr="004D0DAA">
              <w:rPr>
                <w:lang w:eastAsia="en-US"/>
              </w:rPr>
              <w:t>1</w:t>
            </w:r>
          </w:p>
        </w:tc>
        <w:tc>
          <w:tcPr>
            <w:tcW w:w="4536" w:type="dxa"/>
          </w:tcPr>
          <w:p w14:paraId="54E11515" w14:textId="77777777" w:rsidR="00711444" w:rsidRPr="004D0DAA" w:rsidRDefault="00711444" w:rsidP="00AA2A4C">
            <w:pPr>
              <w:pStyle w:val="TAH"/>
              <w:rPr>
                <w:lang w:eastAsia="en-US"/>
              </w:rPr>
            </w:pPr>
            <w:r w:rsidRPr="004D0DAA">
              <w:rPr>
                <w:lang w:eastAsia="en-US"/>
              </w:rPr>
              <w:t>RI</w:t>
            </w:r>
          </w:p>
        </w:tc>
      </w:tr>
      <w:tr w:rsidR="00711444" w:rsidRPr="004D0DAA" w14:paraId="568C323D" w14:textId="77777777" w:rsidTr="00AA2A4C">
        <w:trPr>
          <w:cantSplit/>
          <w:jc w:val="center"/>
        </w:trPr>
        <w:tc>
          <w:tcPr>
            <w:tcW w:w="794" w:type="dxa"/>
          </w:tcPr>
          <w:p w14:paraId="4E05761E" w14:textId="77777777" w:rsidR="00711444" w:rsidRPr="004D0DAA" w:rsidRDefault="00711444" w:rsidP="00AA2A4C">
            <w:pPr>
              <w:pStyle w:val="TAC"/>
              <w:rPr>
                <w:lang w:eastAsia="en-US"/>
              </w:rPr>
            </w:pPr>
            <w:r w:rsidRPr="004D0DAA">
              <w:rPr>
                <w:lang w:eastAsia="en-US"/>
              </w:rPr>
              <w:t>0</w:t>
            </w:r>
          </w:p>
        </w:tc>
        <w:tc>
          <w:tcPr>
            <w:tcW w:w="4536" w:type="dxa"/>
          </w:tcPr>
          <w:p w14:paraId="42912D85" w14:textId="77777777" w:rsidR="00711444" w:rsidRPr="004D0DAA" w:rsidRDefault="00711444" w:rsidP="00AA2A4C">
            <w:pPr>
              <w:pStyle w:val="TAL"/>
              <w:rPr>
                <w:lang w:eastAsia="en-US"/>
              </w:rPr>
            </w:pPr>
            <w:r w:rsidRPr="004D0DAA">
              <w:rPr>
                <w:lang w:eastAsia="en-US"/>
              </w:rPr>
              <w:t>rTLLI field is not valid</w:t>
            </w:r>
          </w:p>
        </w:tc>
      </w:tr>
      <w:tr w:rsidR="00711444" w:rsidRPr="004D0DAA" w14:paraId="24C08F9D" w14:textId="77777777" w:rsidTr="00AA2A4C">
        <w:trPr>
          <w:cantSplit/>
          <w:jc w:val="center"/>
        </w:trPr>
        <w:tc>
          <w:tcPr>
            <w:tcW w:w="794" w:type="dxa"/>
          </w:tcPr>
          <w:p w14:paraId="5B702FB7" w14:textId="77777777" w:rsidR="00711444" w:rsidRPr="004D0DAA" w:rsidRDefault="00711444" w:rsidP="00AA2A4C">
            <w:pPr>
              <w:pStyle w:val="TAC"/>
              <w:rPr>
                <w:lang w:eastAsia="en-US"/>
              </w:rPr>
            </w:pPr>
            <w:r w:rsidRPr="004D0DAA">
              <w:rPr>
                <w:lang w:eastAsia="en-US"/>
              </w:rPr>
              <w:t>1</w:t>
            </w:r>
          </w:p>
        </w:tc>
        <w:tc>
          <w:tcPr>
            <w:tcW w:w="4536" w:type="dxa"/>
          </w:tcPr>
          <w:p w14:paraId="79E36C59" w14:textId="77777777" w:rsidR="00711444" w:rsidRPr="004D0DAA" w:rsidRDefault="00711444" w:rsidP="00AA2A4C">
            <w:pPr>
              <w:pStyle w:val="TAL"/>
              <w:rPr>
                <w:lang w:eastAsia="en-US"/>
              </w:rPr>
            </w:pPr>
            <w:r w:rsidRPr="004D0DAA">
              <w:rPr>
                <w:lang w:eastAsia="en-US"/>
              </w:rPr>
              <w:t>rTLLI field is valid</w:t>
            </w:r>
          </w:p>
        </w:tc>
      </w:tr>
    </w:tbl>
    <w:p w14:paraId="0A52487D" w14:textId="77777777" w:rsidR="00711444" w:rsidRPr="004D0DAA" w:rsidRDefault="00711444" w:rsidP="00711444"/>
    <w:p w14:paraId="11B39DB5" w14:textId="77777777" w:rsidR="00711444" w:rsidRPr="004D0DAA" w:rsidRDefault="00711444" w:rsidP="00711444">
      <w:pPr>
        <w:pStyle w:val="Heading3"/>
      </w:pPr>
      <w:bookmarkStart w:id="580" w:name="_Toc516669760"/>
      <w:r w:rsidRPr="004D0DAA">
        <w:t>10.4.10</w:t>
      </w:r>
      <w:r w:rsidRPr="004D0DAA">
        <w:tab/>
        <w:t>Temporary Flow Identity (TFI) field</w:t>
      </w:r>
      <w:bookmarkEnd w:id="580"/>
    </w:p>
    <w:p w14:paraId="32B5E85F" w14:textId="77777777" w:rsidR="00711444" w:rsidRPr="004D0DAA" w:rsidRDefault="00711444" w:rsidP="00711444">
      <w:pPr>
        <w:keepNext/>
        <w:keepLines/>
      </w:pPr>
      <w:r w:rsidRPr="004D0DAA">
        <w:t>In the header of an RLC/MAC block for data transfer, the TFI identifies the Temporary Block Flow (TBF) to which the RLC data block belongs. For the downlink and the uplink TFI the TFI field is 5 bits in length and are encoded as a binary number with range 0 to 31. When eTFI is assigned it is 3 bits in length and is encoded as a binary number with range 0 to 7. TFI and eTFI (if assigned) together identify the downlink Temporary Block Flow (TBF). In downlink RLC/MAC control blocks, the TFI identifies the Temporary Block Flow (TBF) to which the RLC/MAC control message contained in the downlink RLC/MAC control block relates. If present, this field indicates the mobile station to which the control message is addressed; all other mobile stations shall analyse the distribution contents, depending on their protocol state, as specified in clauses 5 and 7 of the present document, except if the downlink RLC/MAC control block is sent using an eTFI in which case only the mobile station to which the control message is addressed shall analyse the content. If this field is present and the contents of the control message also contain a TFI addressing the mobile station, the mobile station shall ignore the TFI in the control message contents. If this field is not present all mobile stations shall interpret the contents of the control message, except if the downlink RLC/MAC control block is sent using an eTFI in which case only the mobile stations that support that eTFI shall interpret the contents of the control message.</w:t>
      </w:r>
    </w:p>
    <w:p w14:paraId="07A04029" w14:textId="77777777" w:rsidR="00711444" w:rsidRPr="004D0DAA" w:rsidRDefault="00711444" w:rsidP="00711444">
      <w:r w:rsidRPr="004D0DAA">
        <w:t>If a valid TFI field or valid TFI-eTFI fields (see sub-clause 10.3a.5) are included in a PAN field, they identify the Temporary Block Flow (TBF) being acknowledged.</w:t>
      </w:r>
    </w:p>
    <w:p w14:paraId="29CA087D" w14:textId="77777777" w:rsidR="00711444" w:rsidRPr="004D0DAA" w:rsidRDefault="00711444" w:rsidP="00711444">
      <w:pPr>
        <w:pStyle w:val="Heading3"/>
      </w:pPr>
      <w:bookmarkStart w:id="581" w:name="_Toc516669761"/>
      <w:r w:rsidRPr="004D0DAA">
        <w:t>10.4.10a</w:t>
      </w:r>
      <w:r w:rsidRPr="004D0DAA">
        <w:tab/>
        <w:t>Power Reduction (PR) field</w:t>
      </w:r>
      <w:bookmarkEnd w:id="581"/>
    </w:p>
    <w:p w14:paraId="46B4619A" w14:textId="77777777" w:rsidR="00711444" w:rsidRPr="004D0DAA" w:rsidRDefault="00711444" w:rsidP="00711444">
      <w:r w:rsidRPr="004D0DAA">
        <w:t>The Power Reduction (PR) field indicates the power level reduction of the current RLC block.</w:t>
      </w:r>
    </w:p>
    <w:p w14:paraId="111121A5" w14:textId="77777777" w:rsidR="00711444" w:rsidRPr="004D0DAA" w:rsidRDefault="00711444" w:rsidP="00711444">
      <w:r w:rsidRPr="004D0DAA">
        <w:t>The coding of Power Reduction (PR) field is shown in Table 10.4.10a.1. There is one value of the PR field which indicates that the field shall be ignored by the MS.</w:t>
      </w:r>
    </w:p>
    <w:p w14:paraId="59448278" w14:textId="77777777" w:rsidR="00711444" w:rsidRPr="004D0DAA" w:rsidRDefault="00711444" w:rsidP="00711444">
      <w:r w:rsidRPr="004D0DAA">
        <w:t>If downlink power control is not used, the MS shall ignore the PR field.</w:t>
      </w:r>
    </w:p>
    <w:p w14:paraId="344E1308" w14:textId="77777777" w:rsidR="00711444" w:rsidRPr="004D0DAA" w:rsidRDefault="00711444" w:rsidP="00711444">
      <w:r w:rsidRPr="004D0DAA">
        <w:t>If downlink power control is used and the PR field is not included in a downlink RLC/MAC control block, the MS shall act as if the block contained a usable PR field with value ‘0 0’.</w:t>
      </w:r>
    </w:p>
    <w:p w14:paraId="323CE0CA" w14:textId="77777777" w:rsidR="00711444" w:rsidRPr="004D0DAA" w:rsidRDefault="00711444" w:rsidP="00711444">
      <w:pPr>
        <w:pStyle w:val="TH"/>
      </w:pPr>
      <w:r w:rsidRPr="004D0DAA">
        <w:t>Table 10.4.10a.1: Power Reduction (PR) field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7CCF309"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648878C7" w14:textId="77777777" w:rsidR="00711444" w:rsidRPr="004D0DAA" w:rsidRDefault="00711444" w:rsidP="00AA2A4C">
            <w:pPr>
              <w:pStyle w:val="TAH"/>
              <w:rPr>
                <w:lang w:eastAsia="en-US"/>
              </w:rPr>
            </w:pPr>
            <w:r w:rsidRPr="004D0DAA">
              <w:rPr>
                <w:lang w:eastAsia="en-US"/>
              </w:rPr>
              <w:t>bit</w:t>
            </w:r>
            <w:r w:rsidRPr="004D0DAA">
              <w:rPr>
                <w:lang w:eastAsia="en-US"/>
              </w:rPr>
              <w:br/>
              <w:t>6 5</w:t>
            </w:r>
          </w:p>
        </w:tc>
        <w:tc>
          <w:tcPr>
            <w:tcW w:w="4536" w:type="dxa"/>
            <w:tcBorders>
              <w:top w:val="single" w:sz="4" w:space="0" w:color="auto"/>
              <w:left w:val="single" w:sz="4" w:space="0" w:color="auto"/>
              <w:bottom w:val="single" w:sz="4" w:space="0" w:color="auto"/>
              <w:right w:val="single" w:sz="4" w:space="0" w:color="auto"/>
            </w:tcBorders>
          </w:tcPr>
          <w:p w14:paraId="628E4A80" w14:textId="77777777" w:rsidR="00711444" w:rsidRPr="004D0DAA" w:rsidRDefault="00711444" w:rsidP="00AA2A4C">
            <w:pPr>
              <w:pStyle w:val="TAH"/>
              <w:rPr>
                <w:lang w:eastAsia="en-US"/>
              </w:rPr>
            </w:pPr>
            <w:r w:rsidRPr="004D0DAA">
              <w:rPr>
                <w:lang w:eastAsia="en-US"/>
              </w:rPr>
              <w:t>Power Reduction</w:t>
            </w:r>
          </w:p>
        </w:tc>
      </w:tr>
      <w:tr w:rsidR="00711444" w:rsidRPr="004D0DAA" w14:paraId="4C8B1ED2"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C944E46" w14:textId="77777777" w:rsidR="00711444" w:rsidRPr="004D0DAA" w:rsidRDefault="00711444" w:rsidP="00AA2A4C">
            <w:pPr>
              <w:pStyle w:val="TAC"/>
              <w:rPr>
                <w:lang w:eastAsia="en-US"/>
              </w:rPr>
            </w:pPr>
            <w:r w:rsidRPr="004D0DAA">
              <w:rPr>
                <w:lang w:eastAsia="en-US"/>
              </w:rPr>
              <w:t>0 0</w:t>
            </w:r>
          </w:p>
        </w:tc>
        <w:tc>
          <w:tcPr>
            <w:tcW w:w="4536" w:type="dxa"/>
            <w:tcBorders>
              <w:top w:val="single" w:sz="4" w:space="0" w:color="auto"/>
              <w:left w:val="single" w:sz="4" w:space="0" w:color="auto"/>
              <w:bottom w:val="single" w:sz="4" w:space="0" w:color="auto"/>
              <w:right w:val="single" w:sz="4" w:space="0" w:color="auto"/>
            </w:tcBorders>
          </w:tcPr>
          <w:p w14:paraId="408BC180" w14:textId="77777777" w:rsidR="00711444" w:rsidRPr="004D0DAA" w:rsidRDefault="00711444" w:rsidP="00AA2A4C">
            <w:pPr>
              <w:pStyle w:val="TAL"/>
              <w:rPr>
                <w:lang w:eastAsia="en-US"/>
              </w:rPr>
            </w:pPr>
            <w:r w:rsidRPr="004D0DAA">
              <w:rPr>
                <w:lang w:eastAsia="en-US"/>
              </w:rPr>
              <w:t>0 dB (included) to 3 dB (excluded) less than BCCH level - P0</w:t>
            </w:r>
          </w:p>
        </w:tc>
      </w:tr>
      <w:tr w:rsidR="00711444" w:rsidRPr="004D0DAA" w14:paraId="45D6ACA9"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02A3788" w14:textId="77777777" w:rsidR="00711444" w:rsidRPr="004D0DAA" w:rsidRDefault="00711444" w:rsidP="00AA2A4C">
            <w:pPr>
              <w:pStyle w:val="TAC"/>
              <w:rPr>
                <w:lang w:eastAsia="en-US"/>
              </w:rPr>
            </w:pPr>
            <w:r w:rsidRPr="004D0DAA">
              <w:rPr>
                <w:lang w:eastAsia="en-US"/>
              </w:rPr>
              <w:t>0 1</w:t>
            </w:r>
          </w:p>
        </w:tc>
        <w:tc>
          <w:tcPr>
            <w:tcW w:w="4536" w:type="dxa"/>
            <w:tcBorders>
              <w:top w:val="single" w:sz="4" w:space="0" w:color="auto"/>
              <w:left w:val="single" w:sz="4" w:space="0" w:color="auto"/>
              <w:bottom w:val="single" w:sz="4" w:space="0" w:color="auto"/>
              <w:right w:val="single" w:sz="4" w:space="0" w:color="auto"/>
            </w:tcBorders>
          </w:tcPr>
          <w:p w14:paraId="3EA11CB2" w14:textId="77777777" w:rsidR="00711444" w:rsidRPr="004D0DAA" w:rsidRDefault="00711444" w:rsidP="00AA2A4C">
            <w:pPr>
              <w:pStyle w:val="TAL"/>
              <w:rPr>
                <w:lang w:eastAsia="en-US"/>
              </w:rPr>
            </w:pPr>
            <w:r w:rsidRPr="004D0DAA">
              <w:rPr>
                <w:lang w:eastAsia="en-US"/>
              </w:rPr>
              <w:t>3 dB (included) to 7 dB (excluded) less than BCCH level - P0</w:t>
            </w:r>
          </w:p>
        </w:tc>
      </w:tr>
      <w:tr w:rsidR="00711444" w:rsidRPr="004D0DAA" w14:paraId="19E6104E"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7AA9A9F" w14:textId="77777777" w:rsidR="00711444" w:rsidRPr="004D0DAA" w:rsidRDefault="00711444" w:rsidP="00AA2A4C">
            <w:pPr>
              <w:pStyle w:val="TAC"/>
              <w:rPr>
                <w:lang w:eastAsia="en-US"/>
              </w:rPr>
            </w:pPr>
            <w:r w:rsidRPr="004D0DAA">
              <w:rPr>
                <w:lang w:eastAsia="en-US"/>
              </w:rPr>
              <w:t>1 0</w:t>
            </w:r>
          </w:p>
        </w:tc>
        <w:tc>
          <w:tcPr>
            <w:tcW w:w="4536" w:type="dxa"/>
            <w:tcBorders>
              <w:top w:val="single" w:sz="4" w:space="0" w:color="auto"/>
              <w:left w:val="single" w:sz="4" w:space="0" w:color="auto"/>
              <w:bottom w:val="single" w:sz="4" w:space="0" w:color="auto"/>
              <w:right w:val="single" w:sz="4" w:space="0" w:color="auto"/>
            </w:tcBorders>
          </w:tcPr>
          <w:p w14:paraId="46FAADB0" w14:textId="77777777" w:rsidR="00711444" w:rsidRPr="004D0DAA" w:rsidRDefault="00711444" w:rsidP="00AA2A4C">
            <w:pPr>
              <w:pStyle w:val="TAL"/>
              <w:rPr>
                <w:lang w:eastAsia="en-US"/>
              </w:rPr>
            </w:pPr>
            <w:r w:rsidRPr="004D0DAA">
              <w:rPr>
                <w:lang w:eastAsia="en-US"/>
              </w:rPr>
              <w:t>7 dB (included) to 10 dB (included) less than BCCH level - P0</w:t>
            </w:r>
          </w:p>
        </w:tc>
      </w:tr>
      <w:tr w:rsidR="00711444" w:rsidRPr="004D0DAA" w14:paraId="7785BACB"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A0C523C" w14:textId="77777777" w:rsidR="00711444" w:rsidRPr="004D0DAA" w:rsidRDefault="00711444" w:rsidP="00AA2A4C">
            <w:pPr>
              <w:pStyle w:val="TAC"/>
              <w:rPr>
                <w:lang w:eastAsia="en-US"/>
              </w:rPr>
            </w:pPr>
            <w:r w:rsidRPr="004D0DAA">
              <w:rPr>
                <w:lang w:eastAsia="en-US"/>
              </w:rPr>
              <w:t>1 1</w:t>
            </w:r>
          </w:p>
        </w:tc>
        <w:tc>
          <w:tcPr>
            <w:tcW w:w="4536" w:type="dxa"/>
            <w:tcBorders>
              <w:top w:val="single" w:sz="4" w:space="0" w:color="auto"/>
              <w:left w:val="single" w:sz="4" w:space="0" w:color="auto"/>
              <w:bottom w:val="single" w:sz="4" w:space="0" w:color="auto"/>
              <w:right w:val="single" w:sz="4" w:space="0" w:color="auto"/>
            </w:tcBorders>
          </w:tcPr>
          <w:p w14:paraId="35BB8FBB" w14:textId="77777777" w:rsidR="00711444" w:rsidRPr="004D0DAA" w:rsidRDefault="00711444" w:rsidP="00AA2A4C">
            <w:pPr>
              <w:pStyle w:val="TAL"/>
              <w:rPr>
                <w:lang w:eastAsia="en-US"/>
              </w:rPr>
            </w:pPr>
            <w:r w:rsidRPr="004D0DAA">
              <w:rPr>
                <w:lang w:eastAsia="en-US"/>
              </w:rPr>
              <w:t>Not usable</w:t>
            </w:r>
          </w:p>
        </w:tc>
      </w:tr>
    </w:tbl>
    <w:p w14:paraId="605BF0FC" w14:textId="77777777" w:rsidR="00711444" w:rsidRPr="004D0DAA" w:rsidRDefault="00711444" w:rsidP="00711444"/>
    <w:p w14:paraId="4238DB79" w14:textId="77777777" w:rsidR="00711444" w:rsidRPr="004D0DAA" w:rsidRDefault="00711444" w:rsidP="00711444">
      <w:r w:rsidRPr="004D0DAA">
        <w:t xml:space="preserve">The Power Reduction (PR) field in a downlink EC-GSM-IoT control block indicates the power level reduction of the current RLC/MAC control block. When PRe is not included, the coding of Power Reduction (PR) field for a downlink EC-GSM-IoT control block is shown in Table 10.4.10a.2. </w:t>
      </w:r>
    </w:p>
    <w:p w14:paraId="1A488853" w14:textId="77777777" w:rsidR="00711444" w:rsidRPr="004D0DAA" w:rsidRDefault="00711444" w:rsidP="00711444">
      <w:pPr>
        <w:pStyle w:val="TH"/>
      </w:pPr>
      <w:r w:rsidRPr="004D0DAA">
        <w:lastRenderedPageBreak/>
        <w:t>Table 10.4.10a.2: Power Reduction (PR) field for EC-GSM-IoT control blocks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0F54FAE6"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6BA2AA0C" w14:textId="77777777" w:rsidR="00711444" w:rsidRPr="004D0DAA" w:rsidRDefault="00711444" w:rsidP="00AA2A4C">
            <w:pPr>
              <w:pStyle w:val="TAH"/>
              <w:rPr>
                <w:lang w:eastAsia="en-US"/>
              </w:rPr>
            </w:pPr>
            <w:r w:rsidRPr="004D0DAA">
              <w:rPr>
                <w:lang w:eastAsia="en-US"/>
              </w:rPr>
              <w:t>bit</w:t>
            </w:r>
            <w:r w:rsidRPr="004D0DAA">
              <w:rPr>
                <w:lang w:eastAsia="en-US"/>
              </w:rPr>
              <w:br/>
              <w:t xml:space="preserve">8 </w:t>
            </w:r>
          </w:p>
        </w:tc>
        <w:tc>
          <w:tcPr>
            <w:tcW w:w="4536" w:type="dxa"/>
            <w:tcBorders>
              <w:top w:val="single" w:sz="4" w:space="0" w:color="auto"/>
              <w:left w:val="single" w:sz="4" w:space="0" w:color="auto"/>
              <w:bottom w:val="single" w:sz="4" w:space="0" w:color="auto"/>
              <w:right w:val="single" w:sz="4" w:space="0" w:color="auto"/>
            </w:tcBorders>
          </w:tcPr>
          <w:p w14:paraId="5A627CA7" w14:textId="77777777" w:rsidR="00711444" w:rsidRPr="004D0DAA" w:rsidRDefault="00711444" w:rsidP="00AA2A4C">
            <w:pPr>
              <w:pStyle w:val="TAH"/>
              <w:rPr>
                <w:lang w:eastAsia="en-US"/>
              </w:rPr>
            </w:pPr>
            <w:r w:rsidRPr="004D0DAA">
              <w:rPr>
                <w:lang w:eastAsia="en-US"/>
              </w:rPr>
              <w:t>Power Reduction</w:t>
            </w:r>
          </w:p>
        </w:tc>
      </w:tr>
      <w:tr w:rsidR="00711444" w:rsidRPr="004D0DAA" w14:paraId="7BFD9111"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4A29F011" w14:textId="77777777" w:rsidR="00711444" w:rsidRPr="004D0DAA" w:rsidRDefault="00711444" w:rsidP="00AA2A4C">
            <w:pPr>
              <w:pStyle w:val="TAC"/>
              <w:rPr>
                <w:lang w:eastAsia="en-US"/>
              </w:rPr>
            </w:pPr>
            <w:r w:rsidRPr="004D0DAA">
              <w:rPr>
                <w:lang w:eastAsia="en-US"/>
              </w:rPr>
              <w:t>0</w:t>
            </w:r>
          </w:p>
        </w:tc>
        <w:tc>
          <w:tcPr>
            <w:tcW w:w="4536" w:type="dxa"/>
            <w:tcBorders>
              <w:top w:val="single" w:sz="4" w:space="0" w:color="auto"/>
              <w:left w:val="single" w:sz="4" w:space="0" w:color="auto"/>
              <w:bottom w:val="single" w:sz="4" w:space="0" w:color="auto"/>
              <w:right w:val="single" w:sz="4" w:space="0" w:color="auto"/>
            </w:tcBorders>
          </w:tcPr>
          <w:p w14:paraId="45EBA3F4" w14:textId="77777777" w:rsidR="00711444" w:rsidRPr="004D0DAA" w:rsidRDefault="00711444" w:rsidP="00AA2A4C">
            <w:pPr>
              <w:pStyle w:val="TAL"/>
              <w:rPr>
                <w:lang w:eastAsia="en-US"/>
              </w:rPr>
            </w:pPr>
            <w:r w:rsidRPr="004D0DAA">
              <w:rPr>
                <w:lang w:eastAsia="en-US"/>
              </w:rPr>
              <w:t>0 dB (included) to 3 dB (excluded) less than BCCH level - P0</w:t>
            </w:r>
          </w:p>
        </w:tc>
      </w:tr>
      <w:tr w:rsidR="00711444" w:rsidRPr="004D0DAA" w14:paraId="7264BE77"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49B339AD" w14:textId="77777777" w:rsidR="00711444" w:rsidRPr="004D0DAA" w:rsidRDefault="00711444" w:rsidP="00AA2A4C">
            <w:pPr>
              <w:pStyle w:val="TAC"/>
              <w:rPr>
                <w:lang w:eastAsia="en-US"/>
              </w:rPr>
            </w:pPr>
            <w:r w:rsidRPr="004D0DAA">
              <w:rPr>
                <w:lang w:eastAsia="en-US"/>
              </w:rPr>
              <w:t>1</w:t>
            </w:r>
          </w:p>
        </w:tc>
        <w:tc>
          <w:tcPr>
            <w:tcW w:w="4536" w:type="dxa"/>
            <w:tcBorders>
              <w:top w:val="single" w:sz="4" w:space="0" w:color="auto"/>
              <w:left w:val="single" w:sz="4" w:space="0" w:color="auto"/>
              <w:bottom w:val="single" w:sz="4" w:space="0" w:color="auto"/>
              <w:right w:val="single" w:sz="4" w:space="0" w:color="auto"/>
            </w:tcBorders>
          </w:tcPr>
          <w:p w14:paraId="7BB88F77" w14:textId="77777777" w:rsidR="00711444" w:rsidRPr="004D0DAA" w:rsidRDefault="00711444" w:rsidP="00AA2A4C">
            <w:pPr>
              <w:pStyle w:val="TAL"/>
              <w:rPr>
                <w:lang w:eastAsia="en-US"/>
              </w:rPr>
            </w:pPr>
            <w:r w:rsidRPr="004D0DAA">
              <w:rPr>
                <w:lang w:eastAsia="en-US"/>
              </w:rPr>
              <w:t>3 dB (included) to 7 dB (excluded) less than BCCH level - P0</w:t>
            </w:r>
          </w:p>
        </w:tc>
      </w:tr>
    </w:tbl>
    <w:p w14:paraId="1DEBCD59" w14:textId="77777777" w:rsidR="00711444" w:rsidRPr="004D0DAA" w:rsidRDefault="00711444" w:rsidP="00711444">
      <w:pPr>
        <w:pStyle w:val="Heading3"/>
      </w:pPr>
    </w:p>
    <w:p w14:paraId="7A319B62" w14:textId="77777777" w:rsidR="00711444" w:rsidRPr="004D0DAA" w:rsidRDefault="00711444" w:rsidP="00711444">
      <w:pPr>
        <w:pStyle w:val="Heading3"/>
      </w:pPr>
      <w:bookmarkStart w:id="582" w:name="_Toc516669762"/>
      <w:r w:rsidRPr="004D0DAA">
        <w:t>10.4.10b Power Reduction extension (PRe) field</w:t>
      </w:r>
      <w:bookmarkEnd w:id="582"/>
    </w:p>
    <w:p w14:paraId="5C22E673" w14:textId="77777777" w:rsidR="00711444" w:rsidRPr="004D0DAA" w:rsidRDefault="00711444" w:rsidP="00711444">
      <w:r w:rsidRPr="004D0DAA">
        <w:t>The Power Reduction extension (PRe) field indicates the extended power level reduction of the current RLC/MAC control block. The PRe field is only included if the Payload Type, see table 10.4.7.3, is set to 1.</w:t>
      </w:r>
    </w:p>
    <w:p w14:paraId="41EFC0B0" w14:textId="77777777" w:rsidR="00711444" w:rsidRPr="004D0DAA" w:rsidRDefault="00711444" w:rsidP="00711444">
      <w:r w:rsidRPr="004D0DAA">
        <w:t>When included the PRe field, together with the PR field, gives the coding of the power reduction for a downlink EC-GSM-IoT control block as shown in Table 10.4.10b.1.</w:t>
      </w:r>
    </w:p>
    <w:p w14:paraId="25C003E5" w14:textId="77777777" w:rsidR="00711444" w:rsidRPr="004D0DAA" w:rsidRDefault="00711444" w:rsidP="00711444">
      <w:pPr>
        <w:pStyle w:val="TH"/>
        <w:rPr>
          <w:lang w:val="fr-FR"/>
        </w:rPr>
      </w:pPr>
      <w:r w:rsidRPr="004D0DAA">
        <w:rPr>
          <w:lang w:val="fr-FR"/>
        </w:rPr>
        <w:t>Table 10.4.10b.1: PR bit, PRe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1434"/>
        <w:gridCol w:w="2997"/>
      </w:tblGrid>
      <w:tr w:rsidR="00711444" w:rsidRPr="004D0DAA" w14:paraId="72BFDDF9" w14:textId="77777777" w:rsidTr="00AA2A4C">
        <w:trPr>
          <w:cantSplit/>
          <w:jc w:val="center"/>
        </w:trPr>
        <w:tc>
          <w:tcPr>
            <w:tcW w:w="794" w:type="dxa"/>
          </w:tcPr>
          <w:p w14:paraId="52622781" w14:textId="77777777" w:rsidR="00711444" w:rsidRPr="004D0DAA" w:rsidRDefault="00711444" w:rsidP="00AA2A4C">
            <w:pPr>
              <w:pStyle w:val="TAH"/>
              <w:rPr>
                <w:lang w:eastAsia="en-US"/>
              </w:rPr>
            </w:pPr>
            <w:r w:rsidRPr="004D0DAA">
              <w:rPr>
                <w:lang w:eastAsia="en-US"/>
              </w:rPr>
              <w:t>PR</w:t>
            </w:r>
          </w:p>
        </w:tc>
        <w:tc>
          <w:tcPr>
            <w:tcW w:w="1434" w:type="dxa"/>
          </w:tcPr>
          <w:p w14:paraId="1A926C5D" w14:textId="77777777" w:rsidR="00711444" w:rsidRPr="004D0DAA" w:rsidRDefault="00711444" w:rsidP="00AA2A4C">
            <w:pPr>
              <w:pStyle w:val="TAH"/>
              <w:rPr>
                <w:lang w:eastAsia="en-US"/>
              </w:rPr>
            </w:pPr>
            <w:r w:rsidRPr="004D0DAA">
              <w:rPr>
                <w:lang w:eastAsia="en-US"/>
              </w:rPr>
              <w:t>PRe</w:t>
            </w:r>
          </w:p>
        </w:tc>
        <w:tc>
          <w:tcPr>
            <w:tcW w:w="2997" w:type="dxa"/>
          </w:tcPr>
          <w:p w14:paraId="7E53DFDB" w14:textId="77777777" w:rsidR="00711444" w:rsidRPr="004D0DAA" w:rsidRDefault="00711444" w:rsidP="00AA2A4C">
            <w:pPr>
              <w:pStyle w:val="TAH"/>
              <w:rPr>
                <w:lang w:eastAsia="en-US"/>
              </w:rPr>
            </w:pPr>
            <w:r w:rsidRPr="004D0DAA">
              <w:rPr>
                <w:lang w:eastAsia="en-US"/>
              </w:rPr>
              <w:t>Power Reduction</w:t>
            </w:r>
          </w:p>
        </w:tc>
      </w:tr>
      <w:tr w:rsidR="00711444" w:rsidRPr="004D0DAA" w14:paraId="6391FB94" w14:textId="77777777" w:rsidTr="00AA2A4C">
        <w:trPr>
          <w:cantSplit/>
          <w:jc w:val="center"/>
        </w:trPr>
        <w:tc>
          <w:tcPr>
            <w:tcW w:w="794" w:type="dxa"/>
          </w:tcPr>
          <w:p w14:paraId="45B39EC1" w14:textId="77777777" w:rsidR="00711444" w:rsidRPr="004D0DAA" w:rsidRDefault="00711444" w:rsidP="00AA2A4C">
            <w:pPr>
              <w:pStyle w:val="TAC"/>
              <w:rPr>
                <w:lang w:eastAsia="en-US"/>
              </w:rPr>
            </w:pPr>
            <w:r w:rsidRPr="004D0DAA">
              <w:rPr>
                <w:lang w:eastAsia="en-US"/>
              </w:rPr>
              <w:t>0</w:t>
            </w:r>
          </w:p>
        </w:tc>
        <w:tc>
          <w:tcPr>
            <w:tcW w:w="1434" w:type="dxa"/>
          </w:tcPr>
          <w:p w14:paraId="16DE315A" w14:textId="77777777" w:rsidR="00711444" w:rsidRPr="004D0DAA" w:rsidRDefault="00711444" w:rsidP="00AA2A4C">
            <w:pPr>
              <w:pStyle w:val="TAC"/>
              <w:rPr>
                <w:lang w:eastAsia="en-US"/>
              </w:rPr>
            </w:pPr>
            <w:r w:rsidRPr="004D0DAA">
              <w:rPr>
                <w:lang w:eastAsia="en-US"/>
              </w:rPr>
              <w:t>0</w:t>
            </w:r>
          </w:p>
        </w:tc>
        <w:tc>
          <w:tcPr>
            <w:tcW w:w="2997" w:type="dxa"/>
          </w:tcPr>
          <w:p w14:paraId="6517F800" w14:textId="77777777" w:rsidR="00711444" w:rsidRPr="004D0DAA" w:rsidRDefault="00711444" w:rsidP="00AA2A4C">
            <w:pPr>
              <w:pStyle w:val="TAL"/>
              <w:rPr>
                <w:lang w:eastAsia="en-US"/>
              </w:rPr>
            </w:pPr>
            <w:r w:rsidRPr="004D0DAA">
              <w:rPr>
                <w:lang w:eastAsia="en-US"/>
              </w:rPr>
              <w:t>0 dB (included) to 3 dB (excluded) less than BCCH level - P0</w:t>
            </w:r>
          </w:p>
        </w:tc>
      </w:tr>
      <w:tr w:rsidR="00711444" w:rsidRPr="004D0DAA" w14:paraId="4ED87E11" w14:textId="77777777" w:rsidTr="00AA2A4C">
        <w:trPr>
          <w:cantSplit/>
          <w:jc w:val="center"/>
        </w:trPr>
        <w:tc>
          <w:tcPr>
            <w:tcW w:w="794" w:type="dxa"/>
          </w:tcPr>
          <w:p w14:paraId="726D45F6" w14:textId="77777777" w:rsidR="00711444" w:rsidRPr="004D0DAA" w:rsidRDefault="00711444" w:rsidP="00AA2A4C">
            <w:pPr>
              <w:pStyle w:val="TAC"/>
              <w:rPr>
                <w:lang w:eastAsia="en-US"/>
              </w:rPr>
            </w:pPr>
            <w:r w:rsidRPr="004D0DAA">
              <w:rPr>
                <w:lang w:eastAsia="en-US"/>
              </w:rPr>
              <w:t>1</w:t>
            </w:r>
          </w:p>
        </w:tc>
        <w:tc>
          <w:tcPr>
            <w:tcW w:w="1434" w:type="dxa"/>
          </w:tcPr>
          <w:p w14:paraId="6521EF77" w14:textId="77777777" w:rsidR="00711444" w:rsidRPr="004D0DAA" w:rsidRDefault="00711444" w:rsidP="00AA2A4C">
            <w:pPr>
              <w:pStyle w:val="TAC"/>
              <w:rPr>
                <w:lang w:eastAsia="en-US"/>
              </w:rPr>
            </w:pPr>
            <w:r w:rsidRPr="004D0DAA">
              <w:rPr>
                <w:lang w:eastAsia="en-US"/>
              </w:rPr>
              <w:t>0</w:t>
            </w:r>
          </w:p>
        </w:tc>
        <w:tc>
          <w:tcPr>
            <w:tcW w:w="2997" w:type="dxa"/>
          </w:tcPr>
          <w:p w14:paraId="61ECA73B" w14:textId="77777777" w:rsidR="00711444" w:rsidRPr="004D0DAA" w:rsidRDefault="00711444" w:rsidP="00AA2A4C">
            <w:pPr>
              <w:pStyle w:val="TAL"/>
              <w:rPr>
                <w:lang w:eastAsia="en-US"/>
              </w:rPr>
            </w:pPr>
            <w:r w:rsidRPr="004D0DAA">
              <w:rPr>
                <w:lang w:eastAsia="en-US"/>
              </w:rPr>
              <w:t>3 dB (included) to 7 dB (excluded) less than BCCH level - P0</w:t>
            </w:r>
          </w:p>
        </w:tc>
      </w:tr>
      <w:tr w:rsidR="00711444" w:rsidRPr="004D0DAA" w14:paraId="75333956" w14:textId="77777777" w:rsidTr="00AA2A4C">
        <w:trPr>
          <w:cantSplit/>
          <w:jc w:val="center"/>
        </w:trPr>
        <w:tc>
          <w:tcPr>
            <w:tcW w:w="794" w:type="dxa"/>
          </w:tcPr>
          <w:p w14:paraId="626920C6" w14:textId="77777777" w:rsidR="00711444" w:rsidRPr="004D0DAA" w:rsidRDefault="00711444" w:rsidP="00AA2A4C">
            <w:pPr>
              <w:pStyle w:val="TAC"/>
              <w:rPr>
                <w:lang w:eastAsia="en-US"/>
              </w:rPr>
            </w:pPr>
            <w:r w:rsidRPr="004D0DAA">
              <w:rPr>
                <w:lang w:eastAsia="en-US"/>
              </w:rPr>
              <w:t>0</w:t>
            </w:r>
          </w:p>
        </w:tc>
        <w:tc>
          <w:tcPr>
            <w:tcW w:w="1434" w:type="dxa"/>
          </w:tcPr>
          <w:p w14:paraId="761B3A85" w14:textId="77777777" w:rsidR="00711444" w:rsidRPr="004D0DAA" w:rsidRDefault="00711444" w:rsidP="00AA2A4C">
            <w:pPr>
              <w:pStyle w:val="TAC"/>
              <w:rPr>
                <w:lang w:eastAsia="en-US"/>
              </w:rPr>
            </w:pPr>
            <w:r w:rsidRPr="004D0DAA">
              <w:rPr>
                <w:lang w:eastAsia="en-US"/>
              </w:rPr>
              <w:t>1</w:t>
            </w:r>
          </w:p>
        </w:tc>
        <w:tc>
          <w:tcPr>
            <w:tcW w:w="2997" w:type="dxa"/>
          </w:tcPr>
          <w:p w14:paraId="0DA1046B" w14:textId="77777777" w:rsidR="00711444" w:rsidRPr="004D0DAA" w:rsidRDefault="00711444" w:rsidP="00AA2A4C">
            <w:pPr>
              <w:pStyle w:val="TAL"/>
              <w:rPr>
                <w:lang w:eastAsia="en-US"/>
              </w:rPr>
            </w:pPr>
            <w:r w:rsidRPr="004D0DAA">
              <w:rPr>
                <w:lang w:eastAsia="en-US"/>
              </w:rPr>
              <w:t>7 dB (included) to 10 dB (included) less than BCCH level - P0</w:t>
            </w:r>
          </w:p>
        </w:tc>
      </w:tr>
      <w:tr w:rsidR="00711444" w:rsidRPr="004D0DAA" w14:paraId="6F245E6B" w14:textId="77777777" w:rsidTr="00AA2A4C">
        <w:trPr>
          <w:cantSplit/>
          <w:jc w:val="center"/>
        </w:trPr>
        <w:tc>
          <w:tcPr>
            <w:tcW w:w="794" w:type="dxa"/>
          </w:tcPr>
          <w:p w14:paraId="492B887C" w14:textId="77777777" w:rsidR="00711444" w:rsidRPr="004D0DAA" w:rsidRDefault="00711444" w:rsidP="00AA2A4C">
            <w:pPr>
              <w:pStyle w:val="TAC"/>
              <w:rPr>
                <w:lang w:eastAsia="en-US"/>
              </w:rPr>
            </w:pPr>
            <w:r w:rsidRPr="004D0DAA">
              <w:rPr>
                <w:lang w:eastAsia="en-US"/>
              </w:rPr>
              <w:t>1</w:t>
            </w:r>
          </w:p>
        </w:tc>
        <w:tc>
          <w:tcPr>
            <w:tcW w:w="1434" w:type="dxa"/>
          </w:tcPr>
          <w:p w14:paraId="261FDAC9" w14:textId="77777777" w:rsidR="00711444" w:rsidRPr="004D0DAA" w:rsidRDefault="00711444" w:rsidP="00AA2A4C">
            <w:pPr>
              <w:pStyle w:val="TAC"/>
              <w:rPr>
                <w:lang w:eastAsia="en-US"/>
              </w:rPr>
            </w:pPr>
            <w:r w:rsidRPr="004D0DAA">
              <w:rPr>
                <w:lang w:eastAsia="en-US"/>
              </w:rPr>
              <w:t>1</w:t>
            </w:r>
          </w:p>
        </w:tc>
        <w:tc>
          <w:tcPr>
            <w:tcW w:w="2997" w:type="dxa"/>
          </w:tcPr>
          <w:p w14:paraId="2F190D6A" w14:textId="77777777" w:rsidR="00711444" w:rsidRPr="004D0DAA" w:rsidRDefault="00711444" w:rsidP="00AA2A4C">
            <w:pPr>
              <w:pStyle w:val="TAL"/>
              <w:rPr>
                <w:lang w:eastAsia="en-US"/>
              </w:rPr>
            </w:pPr>
            <w:r w:rsidRPr="004D0DAA">
              <w:rPr>
                <w:lang w:eastAsia="en-US"/>
              </w:rPr>
              <w:t>Reserved</w:t>
            </w:r>
          </w:p>
        </w:tc>
      </w:tr>
    </w:tbl>
    <w:p w14:paraId="61471093" w14:textId="77777777" w:rsidR="00711444" w:rsidRPr="004D0DAA" w:rsidRDefault="00711444" w:rsidP="00711444">
      <w:pPr>
        <w:rPr>
          <w:lang w:val="en-US" w:eastAsia="ja-JP"/>
        </w:rPr>
      </w:pPr>
    </w:p>
    <w:p w14:paraId="7E53D235" w14:textId="77777777" w:rsidR="00711444" w:rsidRPr="004D0DAA" w:rsidRDefault="00711444" w:rsidP="00711444">
      <w:pPr>
        <w:pStyle w:val="Heading3"/>
      </w:pPr>
      <w:bookmarkStart w:id="583" w:name="_Toc516669763"/>
      <w:r w:rsidRPr="004D0DAA">
        <w:t>10.4.11</w:t>
      </w:r>
      <w:r w:rsidRPr="004D0DAA">
        <w:tab/>
        <w:t>Extension (E) Bit</w:t>
      </w:r>
      <w:bookmarkEnd w:id="583"/>
    </w:p>
    <w:p w14:paraId="70B4304A" w14:textId="77777777" w:rsidR="00711444" w:rsidRPr="004D0DAA" w:rsidRDefault="00711444" w:rsidP="00711444">
      <w:pPr>
        <w:keepNext/>
        <w:keepLines/>
      </w:pPr>
      <w:r w:rsidRPr="004D0DAA">
        <w:t>The Extension (E) bit is used to indicate the presence of an optional octet in the RLC data block header.</w:t>
      </w:r>
    </w:p>
    <w:p w14:paraId="4BAD7C98" w14:textId="77777777" w:rsidR="00711444" w:rsidRPr="004D0DAA" w:rsidRDefault="00711444" w:rsidP="00711444">
      <w:pPr>
        <w:pStyle w:val="TH"/>
      </w:pPr>
      <w:r w:rsidRPr="004D0DAA">
        <w:t>Table 10.4.11.1: Extension (E) bit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61C69C88"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991BAD8" w14:textId="77777777" w:rsidR="00711444" w:rsidRPr="004D0DAA" w:rsidRDefault="00711444" w:rsidP="00AA2A4C">
            <w:pPr>
              <w:pStyle w:val="TAH"/>
              <w:rPr>
                <w:lang w:eastAsia="en-US"/>
              </w:rPr>
            </w:pPr>
            <w:r w:rsidRPr="004D0DAA">
              <w:rPr>
                <w:lang w:eastAsia="en-US"/>
              </w:rPr>
              <w:t>bit 1</w:t>
            </w:r>
          </w:p>
        </w:tc>
        <w:tc>
          <w:tcPr>
            <w:tcW w:w="4536" w:type="dxa"/>
            <w:tcBorders>
              <w:top w:val="single" w:sz="4" w:space="0" w:color="auto"/>
              <w:left w:val="single" w:sz="4" w:space="0" w:color="auto"/>
              <w:bottom w:val="single" w:sz="4" w:space="0" w:color="auto"/>
              <w:right w:val="single" w:sz="4" w:space="0" w:color="auto"/>
            </w:tcBorders>
          </w:tcPr>
          <w:p w14:paraId="46B9D253" w14:textId="77777777" w:rsidR="00711444" w:rsidRPr="004D0DAA" w:rsidRDefault="00711444" w:rsidP="00AA2A4C">
            <w:pPr>
              <w:pStyle w:val="TAH"/>
              <w:rPr>
                <w:lang w:eastAsia="en-US"/>
              </w:rPr>
            </w:pPr>
            <w:r w:rsidRPr="004D0DAA">
              <w:rPr>
                <w:lang w:eastAsia="en-US"/>
              </w:rPr>
              <w:t>E bit</w:t>
            </w:r>
          </w:p>
        </w:tc>
      </w:tr>
      <w:tr w:rsidR="00711444" w:rsidRPr="004D0DAA" w14:paraId="3D0246AD"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B6FFA34" w14:textId="77777777" w:rsidR="00711444" w:rsidRPr="004D0DAA" w:rsidRDefault="00711444" w:rsidP="00AA2A4C">
            <w:pPr>
              <w:pStyle w:val="TAC"/>
              <w:rPr>
                <w:lang w:eastAsia="en-US"/>
              </w:rPr>
            </w:pPr>
            <w:r w:rsidRPr="004D0DAA">
              <w:rPr>
                <w:lang w:eastAsia="en-US"/>
              </w:rPr>
              <w:t>0</w:t>
            </w:r>
          </w:p>
        </w:tc>
        <w:tc>
          <w:tcPr>
            <w:tcW w:w="4536" w:type="dxa"/>
            <w:tcBorders>
              <w:top w:val="single" w:sz="4" w:space="0" w:color="auto"/>
              <w:left w:val="single" w:sz="4" w:space="0" w:color="auto"/>
              <w:bottom w:val="single" w:sz="4" w:space="0" w:color="auto"/>
              <w:right w:val="single" w:sz="4" w:space="0" w:color="auto"/>
            </w:tcBorders>
          </w:tcPr>
          <w:p w14:paraId="31DE6CD7" w14:textId="77777777" w:rsidR="00711444" w:rsidRPr="004D0DAA" w:rsidRDefault="00711444" w:rsidP="00AA2A4C">
            <w:pPr>
              <w:pStyle w:val="TAL"/>
              <w:rPr>
                <w:lang w:eastAsia="en-US"/>
              </w:rPr>
            </w:pPr>
            <w:r w:rsidRPr="004D0DAA">
              <w:rPr>
                <w:lang w:eastAsia="en-US"/>
              </w:rPr>
              <w:t>Extension octet follows immediately</w:t>
            </w:r>
          </w:p>
        </w:tc>
      </w:tr>
      <w:tr w:rsidR="00711444" w:rsidRPr="004D0DAA" w14:paraId="2AA96DA9"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1B5E3B22" w14:textId="77777777" w:rsidR="00711444" w:rsidRPr="004D0DAA" w:rsidRDefault="00711444" w:rsidP="00AA2A4C">
            <w:pPr>
              <w:pStyle w:val="TAC"/>
              <w:rPr>
                <w:lang w:eastAsia="en-US"/>
              </w:rPr>
            </w:pPr>
            <w:r w:rsidRPr="004D0DAA">
              <w:rPr>
                <w:lang w:eastAsia="en-US"/>
              </w:rPr>
              <w:t>1</w:t>
            </w:r>
          </w:p>
        </w:tc>
        <w:tc>
          <w:tcPr>
            <w:tcW w:w="4536" w:type="dxa"/>
            <w:tcBorders>
              <w:top w:val="single" w:sz="4" w:space="0" w:color="auto"/>
              <w:left w:val="single" w:sz="4" w:space="0" w:color="auto"/>
              <w:bottom w:val="single" w:sz="4" w:space="0" w:color="auto"/>
              <w:right w:val="single" w:sz="4" w:space="0" w:color="auto"/>
            </w:tcBorders>
          </w:tcPr>
          <w:p w14:paraId="090F4A7E" w14:textId="77777777" w:rsidR="00711444" w:rsidRPr="004D0DAA" w:rsidRDefault="00711444" w:rsidP="00AA2A4C">
            <w:pPr>
              <w:pStyle w:val="TAL"/>
              <w:rPr>
                <w:lang w:eastAsia="en-US"/>
              </w:rPr>
            </w:pPr>
            <w:r w:rsidRPr="004D0DAA">
              <w:rPr>
                <w:lang w:eastAsia="en-US"/>
              </w:rPr>
              <w:t>No extension octet follows</w:t>
            </w:r>
          </w:p>
        </w:tc>
      </w:tr>
    </w:tbl>
    <w:p w14:paraId="40E0B47A" w14:textId="77777777" w:rsidR="00711444" w:rsidRPr="004D0DAA" w:rsidRDefault="00711444" w:rsidP="00711444"/>
    <w:p w14:paraId="07787C1F" w14:textId="77777777" w:rsidR="00711444" w:rsidRPr="004D0DAA" w:rsidRDefault="00711444" w:rsidP="00711444">
      <w:r w:rsidRPr="004D0DAA">
        <w:t xml:space="preserve">In </w:t>
      </w:r>
      <w:r w:rsidRPr="004D0DAA">
        <w:rPr>
          <w:i/>
          <w:iCs/>
        </w:rPr>
        <w:t>A/Gb mode</w:t>
      </w:r>
      <w:r w:rsidRPr="004D0DAA">
        <w:t>, extension (E) bit after the PFI field is used for extensions of the protocol by allowing optional octets in the RLC data block header. However, when extensions of this protocol are developed, networks will treat all unknown optional octets as spare until the E bit of 1.</w:t>
      </w:r>
    </w:p>
    <w:p w14:paraId="343E75E6" w14:textId="77777777" w:rsidR="00711444" w:rsidRPr="004D0DAA" w:rsidRDefault="00711444" w:rsidP="00711444">
      <w:pPr>
        <w:pStyle w:val="Heading3"/>
      </w:pPr>
      <w:bookmarkStart w:id="584" w:name="_Toc516669764"/>
      <w:r w:rsidRPr="004D0DAA">
        <w:t>10.4.12</w:t>
      </w:r>
      <w:r w:rsidRPr="004D0DAA">
        <w:tab/>
        <w:t>Block Sequence Number (BSN) field</w:t>
      </w:r>
      <w:bookmarkEnd w:id="584"/>
    </w:p>
    <w:p w14:paraId="5B3DBAB7" w14:textId="77777777" w:rsidR="00711444" w:rsidRPr="004D0DAA" w:rsidRDefault="00711444" w:rsidP="00711444">
      <w:r w:rsidRPr="004D0DAA">
        <w:t xml:space="preserve">The Block Sequence Number (BSN) field carries the sequence absolute Block Sequence Number (BSN') modulo Sequence Number Space (SNS) (32 in EC-GSM-IoT, 128 in GPRS, 2 048 in EGPRS and 8192 in a DLMC configuration) of each RLC data block within the TBF. </w:t>
      </w:r>
    </w:p>
    <w:p w14:paraId="6A30E73A" w14:textId="77777777" w:rsidR="00711444" w:rsidRPr="004D0DAA" w:rsidRDefault="00711444" w:rsidP="00711444">
      <w:r w:rsidRPr="004D0DAA">
        <w:t>In EC-GSM-IoT, the BSN is 5 bits in length and is encoded as a binary number with range 0 to 31.</w:t>
      </w:r>
    </w:p>
    <w:p w14:paraId="712399B9" w14:textId="77777777" w:rsidR="00711444" w:rsidRPr="004D0DAA" w:rsidRDefault="00711444" w:rsidP="00711444">
      <w:r w:rsidRPr="004D0DAA">
        <w:t>In GPRS, the BSN is 7 bits in length and is encoded as a binary number with range 0 to 127.</w:t>
      </w:r>
    </w:p>
    <w:p w14:paraId="7DCD3F7F" w14:textId="77777777" w:rsidR="00711444" w:rsidRPr="004D0DAA" w:rsidRDefault="00711444" w:rsidP="00711444">
      <w:r w:rsidRPr="004D0DAA">
        <w:t>In EGPRS, or in a DLMC configuration where a SNS of 2048 is used (see sub-clause 5.13), the BSN is 11 bits in length and is encoded as a binary number with range 0 to 2 047.</w:t>
      </w:r>
    </w:p>
    <w:p w14:paraId="4609DD8D" w14:textId="77777777" w:rsidR="00711444" w:rsidRPr="004D0DAA" w:rsidRDefault="00711444" w:rsidP="00711444">
      <w:r w:rsidRPr="004D0DAA">
        <w:t xml:space="preserve">In a DLMC configuration where a SNS of 8192 is used (see sub-clause 5.13), the BSN is 13 bits in length and is encoded as a binary number with range 0 to 8191. </w:t>
      </w:r>
    </w:p>
    <w:p w14:paraId="03855227" w14:textId="77777777" w:rsidR="00711444" w:rsidRPr="004D0DAA" w:rsidRDefault="00711444" w:rsidP="00711444">
      <w:r w:rsidRPr="004D0DAA">
        <w:lastRenderedPageBreak/>
        <w:t>In case two to four RLC data blocks are sent within a RLC/MAC block, BSN2 to BSN4 are relative to BSN1, provided the difference between the second to fourth block number and the first block modulo SNS is less than Window Size (WS).</w:t>
      </w:r>
    </w:p>
    <w:p w14:paraId="2CAD532C" w14:textId="77777777" w:rsidR="00711444" w:rsidRPr="004D0DAA" w:rsidRDefault="00711444" w:rsidP="00711444">
      <w:r w:rsidRPr="004D0DAA">
        <w:t>For example,</w:t>
      </w:r>
    </w:p>
    <w:p w14:paraId="105C90E2" w14:textId="77777777" w:rsidR="00711444" w:rsidRPr="004D0DAA" w:rsidRDefault="00711444" w:rsidP="00711444">
      <w:pPr>
        <w:pStyle w:val="EX"/>
      </w:pPr>
      <w:r w:rsidRPr="004D0DAA">
        <w:t xml:space="preserve">Second block number = [BSN1 + BSN2] modulo SNS </w:t>
      </w:r>
    </w:p>
    <w:p w14:paraId="4A2EF608" w14:textId="77777777" w:rsidR="00711444" w:rsidRPr="004D0DAA" w:rsidRDefault="00711444" w:rsidP="00711444">
      <w:pPr>
        <w:pStyle w:val="EX"/>
      </w:pPr>
      <w:r w:rsidRPr="004D0DAA">
        <w:t>(e.g. SNS = 2 048, WS = 512, Block A block number = 10 and Block B block number= 2 000 then:</w:t>
      </w:r>
    </w:p>
    <w:p w14:paraId="06A17923" w14:textId="77777777" w:rsidR="00711444" w:rsidRPr="004D0DAA" w:rsidRDefault="00711444" w:rsidP="00711444">
      <w:pPr>
        <w:pStyle w:val="EX"/>
      </w:pPr>
      <w:r w:rsidRPr="004D0DAA">
        <w:t>[Block A - Block B] modulo SNS = 58 &lt; 512;</w:t>
      </w:r>
    </w:p>
    <w:p w14:paraId="7BB0DA3A" w14:textId="77777777" w:rsidR="00711444" w:rsidRPr="004D0DAA" w:rsidRDefault="00711444" w:rsidP="00711444">
      <w:pPr>
        <w:pStyle w:val="EX"/>
      </w:pPr>
      <w:r w:rsidRPr="004D0DAA">
        <w:t>[Block B - Block A] modulo SNS = 1 990 &gt; 512;</w:t>
      </w:r>
    </w:p>
    <w:p w14:paraId="4AB0CAD8" w14:textId="77777777" w:rsidR="00711444" w:rsidRPr="004D0DAA" w:rsidRDefault="00711444" w:rsidP="00711444">
      <w:pPr>
        <w:pStyle w:val="EX"/>
      </w:pPr>
      <w:r w:rsidRPr="004D0DAA">
        <w:t>Then: Block #1 = Block B and Block #2 = Block A, BSN1 = 2 000 and BSN2 = 58).</w:t>
      </w:r>
    </w:p>
    <w:p w14:paraId="7B62B055" w14:textId="77777777" w:rsidR="00711444" w:rsidRPr="004D0DAA" w:rsidRDefault="00711444" w:rsidP="00711444">
      <w:r w:rsidRPr="004D0DAA">
        <w:t>In a DLMC configuration there are restrictions regarding the selection of RLC data blocks for inclusion within a given RLC/MAC block:</w:t>
      </w:r>
    </w:p>
    <w:p w14:paraId="1413B45A" w14:textId="77777777" w:rsidR="00711444" w:rsidRPr="004D0DAA" w:rsidRDefault="00711444" w:rsidP="00711444">
      <w:pPr>
        <w:pStyle w:val="B1"/>
      </w:pPr>
      <w:r w:rsidRPr="004D0DAA">
        <w:t>-</w:t>
      </w:r>
      <w:r w:rsidRPr="004D0DAA">
        <w:tab/>
      </w:r>
      <w:r w:rsidRPr="004D0DAA">
        <w:tab/>
        <w:t xml:space="preserve">In the RLC/MAC header for MCS-7, MCS-8 and MCS-9 13 bits for BSN1 and 11 bits for BSN2 are defined. For these MCSs the difference between the two RLC data blocks (Block A and Block B) shall be less than 2048. </w:t>
      </w:r>
    </w:p>
    <w:p w14:paraId="52FAA3C1" w14:textId="77777777" w:rsidR="00711444" w:rsidRPr="004D0DAA" w:rsidRDefault="00711444" w:rsidP="00711444">
      <w:pPr>
        <w:pStyle w:val="B2"/>
      </w:pPr>
      <w:r w:rsidRPr="004D0DAA">
        <w:t>-</w:t>
      </w:r>
      <w:r w:rsidRPr="004D0DAA">
        <w:tab/>
        <w:t>i.e. [Block A - Block B] modulo SNS &lt; 2048 or [Block B - Block A] modulo SNS &lt; 2048</w:t>
      </w:r>
    </w:p>
    <w:p w14:paraId="746912C1" w14:textId="77777777" w:rsidR="00711444" w:rsidRPr="004D0DAA" w:rsidRDefault="00711444" w:rsidP="00711444">
      <w:pPr>
        <w:pStyle w:val="B1"/>
      </w:pPr>
      <w:r w:rsidRPr="004D0DAA">
        <w:t>-</w:t>
      </w:r>
      <w:r w:rsidRPr="004D0DAA">
        <w:tab/>
        <w:t xml:space="preserve">In the RLC/MAC header for DAS-11 and DAS-12 13 bits for BSN1, 12 bits for BSN2 and 11 bits for BSN3 are defined. For these MCSs the difference between two of the RLC data blocks (i.e. two out of Block A, B or C) shall be less than 2048. </w:t>
      </w:r>
    </w:p>
    <w:p w14:paraId="7E0168AD" w14:textId="77777777" w:rsidR="00711444" w:rsidRPr="004D0DAA" w:rsidRDefault="00711444" w:rsidP="00711444">
      <w:pPr>
        <w:pStyle w:val="B2"/>
      </w:pPr>
      <w:r w:rsidRPr="004D0DAA">
        <w:t>-</w:t>
      </w:r>
      <w:r w:rsidRPr="004D0DAA">
        <w:tab/>
        <w:t>i.e. [Block X - Block Y] modulo SNS &lt; 2048 or [Block Y - Block X] modulo SNS &lt; 2048 where X is any one of Block A, B or C, and Y is any of the two remaining blocks.</w:t>
      </w:r>
    </w:p>
    <w:p w14:paraId="1719AAB6" w14:textId="77777777" w:rsidR="00711444" w:rsidRPr="004D0DAA" w:rsidRDefault="00711444" w:rsidP="00711444">
      <w:r w:rsidRPr="004D0DAA">
        <w:t>For example,</w:t>
      </w:r>
    </w:p>
    <w:p w14:paraId="4EB6D751" w14:textId="77777777" w:rsidR="00711444" w:rsidRPr="004D0DAA" w:rsidRDefault="00711444" w:rsidP="00711444">
      <w:pPr>
        <w:pStyle w:val="EX"/>
      </w:pPr>
      <w:r w:rsidRPr="004D0DAA">
        <w:t>SNS = 8192, WS = 4096:</w:t>
      </w:r>
    </w:p>
    <w:p w14:paraId="576F180A" w14:textId="77777777" w:rsidR="00711444" w:rsidRPr="004D0DAA" w:rsidRDefault="00711444" w:rsidP="00711444">
      <w:pPr>
        <w:pStyle w:val="EX"/>
      </w:pPr>
      <w:r w:rsidRPr="004D0DAA">
        <w:t>BSN1=2000 (Block B block number=2000)</w:t>
      </w:r>
    </w:p>
    <w:p w14:paraId="5BFA1AC3" w14:textId="77777777" w:rsidR="00711444" w:rsidRPr="004D0DAA" w:rsidRDefault="00711444" w:rsidP="00711444">
      <w:pPr>
        <w:pStyle w:val="EX"/>
      </w:pPr>
      <w:r w:rsidRPr="004D0DAA">
        <w:t>BSN2=58 (Block A block number=2058) </w:t>
      </w:r>
    </w:p>
    <w:p w14:paraId="24E19098" w14:textId="77777777" w:rsidR="00711444" w:rsidRPr="004D0DAA" w:rsidRDefault="00711444" w:rsidP="00711444">
      <w:pPr>
        <w:pStyle w:val="B2"/>
      </w:pPr>
      <w:r w:rsidRPr="004D0DAA">
        <w:t>-</w:t>
      </w:r>
      <w:r w:rsidRPr="004D0DAA">
        <w:tab/>
        <w:t>[Block A – Block B] modulo 8192 = 58 &lt; 4096</w:t>
      </w:r>
    </w:p>
    <w:p w14:paraId="7C74E451" w14:textId="77777777" w:rsidR="00711444" w:rsidRPr="004D0DAA" w:rsidRDefault="00711444" w:rsidP="00711444">
      <w:pPr>
        <w:pStyle w:val="B2"/>
      </w:pPr>
      <w:r w:rsidRPr="004D0DAA">
        <w:t>-</w:t>
      </w:r>
      <w:r w:rsidRPr="004D0DAA">
        <w:tab/>
        <w:t>[Block B – Block A] modulo 8192 = 8133 &gt; 4096</w:t>
      </w:r>
    </w:p>
    <w:p w14:paraId="2B67F41C" w14:textId="77777777" w:rsidR="00711444" w:rsidRPr="004D0DAA" w:rsidRDefault="00711444" w:rsidP="00711444">
      <w:pPr>
        <w:pStyle w:val="EX"/>
      </w:pPr>
      <w:r w:rsidRPr="004D0DAA">
        <w:t>then Block C block number shall fulfill [Block C - Block B] modulo SNS &lt; 2048. </w:t>
      </w:r>
    </w:p>
    <w:p w14:paraId="4E0C933D" w14:textId="77777777" w:rsidR="00711444" w:rsidRPr="004D0DAA" w:rsidRDefault="00711444" w:rsidP="00711444">
      <w:pPr>
        <w:pStyle w:val="EX"/>
      </w:pPr>
      <w:r w:rsidRPr="004D0DAA">
        <w:t>For example Block C block number = 4003, and BSN3=2003</w:t>
      </w:r>
    </w:p>
    <w:p w14:paraId="5379666C" w14:textId="77777777" w:rsidR="00711444" w:rsidRPr="004D0DAA" w:rsidRDefault="00711444" w:rsidP="00711444">
      <w:pPr>
        <w:pStyle w:val="B2"/>
      </w:pPr>
      <w:r w:rsidRPr="004D0DAA">
        <w:t>-</w:t>
      </w:r>
      <w:r w:rsidRPr="004D0DAA">
        <w:tab/>
        <w:t>[Block C – Block B] modulo 8192 = 2003 &lt; 2048</w:t>
      </w:r>
    </w:p>
    <w:p w14:paraId="735B2036" w14:textId="77777777" w:rsidR="00711444" w:rsidRPr="004D0DAA" w:rsidRDefault="00711444" w:rsidP="00711444">
      <w:pPr>
        <w:pStyle w:val="Heading3"/>
      </w:pPr>
      <w:bookmarkStart w:id="585" w:name="_Toc516669765"/>
      <w:r w:rsidRPr="004D0DAA">
        <w:t>10.4.12a</w:t>
      </w:r>
      <w:r w:rsidRPr="004D0DAA">
        <w:tab/>
        <w:t>Reduced Block Sequence Number (RBSN) bit</w:t>
      </w:r>
      <w:bookmarkEnd w:id="585"/>
    </w:p>
    <w:p w14:paraId="09EFB5CD" w14:textId="77777777" w:rsidR="00711444" w:rsidRPr="004D0DAA" w:rsidRDefault="00711444" w:rsidP="00711444">
      <w:r w:rsidRPr="004D0DAA">
        <w:t>The Reduced Block Sequence Number (RBSN) bit carries the sequence number of the downlink RLC/MAC control blocks. The RBSN bit is encoded as a binary number with range 0 to 1.</w:t>
      </w:r>
    </w:p>
    <w:p w14:paraId="4C1E2874" w14:textId="77777777" w:rsidR="00711444" w:rsidRPr="004D0DAA" w:rsidRDefault="00711444" w:rsidP="00711444">
      <w:pPr>
        <w:pStyle w:val="Heading3"/>
      </w:pPr>
      <w:bookmarkStart w:id="586" w:name="_Toc516669766"/>
      <w:r w:rsidRPr="004D0DAA">
        <w:t>10.4.12b</w:t>
      </w:r>
      <w:r w:rsidRPr="004D0DAA">
        <w:tab/>
        <w:t>Reduced Block Sequence Number extension (RBSNe) field</w:t>
      </w:r>
      <w:bookmarkEnd w:id="586"/>
    </w:p>
    <w:p w14:paraId="3C02BFB6" w14:textId="77777777" w:rsidR="00711444" w:rsidRPr="004D0DAA" w:rsidRDefault="00711444" w:rsidP="00711444">
      <w:r w:rsidRPr="004D0DAA">
        <w:t>The Reduced Block Sequence Number extension (RBSNe) field together with the RBSN bit indicate the sequence number of the downlink RLC/MAC control blocks of an RLC/MAC control message segmented using extended RLC/MAC control message segmentation. The RBSNe field is encoded as a binary number with range 0 to 7. Along with the FS bit and the FSe bit, they allow for extended RLC/MAC control message segmentation as shown in table 10.4.12b.1 (see sub-clause 9.1.12a).</w:t>
      </w:r>
    </w:p>
    <w:p w14:paraId="50816D3A" w14:textId="77777777" w:rsidR="00711444" w:rsidRPr="004D0DAA" w:rsidRDefault="00711444" w:rsidP="00711444">
      <w:pPr>
        <w:pStyle w:val="TH"/>
      </w:pPr>
      <w:r w:rsidRPr="004D0DAA">
        <w:lastRenderedPageBreak/>
        <w:t>Table 10.4.12b.1: RBSN bit, FS bit, RBSNe field, FSe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1434"/>
        <w:gridCol w:w="1434"/>
        <w:gridCol w:w="1435"/>
        <w:gridCol w:w="2997"/>
      </w:tblGrid>
      <w:tr w:rsidR="00711444" w:rsidRPr="004D0DAA" w14:paraId="1AA73562" w14:textId="77777777" w:rsidTr="00AA2A4C">
        <w:tblPrEx>
          <w:tblCellMar>
            <w:top w:w="0" w:type="dxa"/>
            <w:bottom w:w="0" w:type="dxa"/>
          </w:tblCellMar>
        </w:tblPrEx>
        <w:trPr>
          <w:cantSplit/>
          <w:jc w:val="center"/>
        </w:trPr>
        <w:tc>
          <w:tcPr>
            <w:tcW w:w="794" w:type="dxa"/>
          </w:tcPr>
          <w:p w14:paraId="1048282F" w14:textId="77777777" w:rsidR="00711444" w:rsidRPr="004D0DAA" w:rsidRDefault="00711444" w:rsidP="00AA2A4C">
            <w:pPr>
              <w:pStyle w:val="TAH"/>
              <w:rPr>
                <w:lang w:eastAsia="en-US"/>
              </w:rPr>
            </w:pPr>
            <w:r w:rsidRPr="004D0DAA">
              <w:rPr>
                <w:lang w:eastAsia="en-US"/>
              </w:rPr>
              <w:t>RBSN</w:t>
            </w:r>
          </w:p>
        </w:tc>
        <w:tc>
          <w:tcPr>
            <w:tcW w:w="1434" w:type="dxa"/>
          </w:tcPr>
          <w:p w14:paraId="3B3A4BF2" w14:textId="77777777" w:rsidR="00711444" w:rsidRPr="004D0DAA" w:rsidRDefault="00711444" w:rsidP="00AA2A4C">
            <w:pPr>
              <w:pStyle w:val="TAH"/>
              <w:rPr>
                <w:lang w:eastAsia="en-US"/>
              </w:rPr>
            </w:pPr>
            <w:r w:rsidRPr="004D0DAA">
              <w:rPr>
                <w:lang w:eastAsia="en-US"/>
              </w:rPr>
              <w:t>FS</w:t>
            </w:r>
          </w:p>
        </w:tc>
        <w:tc>
          <w:tcPr>
            <w:tcW w:w="1434" w:type="dxa"/>
          </w:tcPr>
          <w:p w14:paraId="46805795" w14:textId="77777777" w:rsidR="00711444" w:rsidRPr="004D0DAA" w:rsidRDefault="00711444" w:rsidP="00AA2A4C">
            <w:pPr>
              <w:pStyle w:val="TAH"/>
              <w:rPr>
                <w:lang w:eastAsia="en-US"/>
              </w:rPr>
            </w:pPr>
            <w:r w:rsidRPr="004D0DAA">
              <w:rPr>
                <w:lang w:eastAsia="en-US"/>
              </w:rPr>
              <w:t>RBSNe</w:t>
            </w:r>
          </w:p>
        </w:tc>
        <w:tc>
          <w:tcPr>
            <w:tcW w:w="1435" w:type="dxa"/>
          </w:tcPr>
          <w:p w14:paraId="44ACD2B5" w14:textId="77777777" w:rsidR="00711444" w:rsidRPr="004D0DAA" w:rsidRDefault="00711444" w:rsidP="00AA2A4C">
            <w:pPr>
              <w:pStyle w:val="TAH"/>
              <w:rPr>
                <w:lang w:eastAsia="en-US"/>
              </w:rPr>
            </w:pPr>
            <w:r w:rsidRPr="004D0DAA">
              <w:rPr>
                <w:lang w:eastAsia="en-US"/>
              </w:rPr>
              <w:t>FSe</w:t>
            </w:r>
          </w:p>
        </w:tc>
        <w:tc>
          <w:tcPr>
            <w:tcW w:w="2997" w:type="dxa"/>
          </w:tcPr>
          <w:p w14:paraId="351C52F4" w14:textId="77777777" w:rsidR="00711444" w:rsidRPr="004D0DAA" w:rsidRDefault="00711444" w:rsidP="00AA2A4C">
            <w:pPr>
              <w:pStyle w:val="TAH"/>
              <w:rPr>
                <w:lang w:eastAsia="en-US"/>
              </w:rPr>
            </w:pPr>
          </w:p>
        </w:tc>
      </w:tr>
      <w:tr w:rsidR="00711444" w:rsidRPr="004D0DAA" w14:paraId="2DAB1A1D" w14:textId="77777777" w:rsidTr="00AA2A4C">
        <w:tblPrEx>
          <w:tblCellMar>
            <w:top w:w="0" w:type="dxa"/>
            <w:bottom w:w="0" w:type="dxa"/>
          </w:tblCellMar>
        </w:tblPrEx>
        <w:trPr>
          <w:cantSplit/>
          <w:jc w:val="center"/>
        </w:trPr>
        <w:tc>
          <w:tcPr>
            <w:tcW w:w="794" w:type="dxa"/>
          </w:tcPr>
          <w:p w14:paraId="1BB7A2CE" w14:textId="77777777" w:rsidR="00711444" w:rsidRPr="004D0DAA" w:rsidRDefault="00711444" w:rsidP="00AA2A4C">
            <w:pPr>
              <w:pStyle w:val="TAC"/>
              <w:rPr>
                <w:lang w:eastAsia="en-US"/>
              </w:rPr>
            </w:pPr>
            <w:r w:rsidRPr="004D0DAA">
              <w:rPr>
                <w:lang w:eastAsia="en-US"/>
              </w:rPr>
              <w:t>0</w:t>
            </w:r>
          </w:p>
        </w:tc>
        <w:tc>
          <w:tcPr>
            <w:tcW w:w="1434" w:type="dxa"/>
          </w:tcPr>
          <w:p w14:paraId="6EED8722" w14:textId="77777777" w:rsidR="00711444" w:rsidRPr="004D0DAA" w:rsidRDefault="00711444" w:rsidP="00AA2A4C">
            <w:pPr>
              <w:pStyle w:val="TAC"/>
              <w:rPr>
                <w:lang w:eastAsia="en-US"/>
              </w:rPr>
            </w:pPr>
            <w:r w:rsidRPr="004D0DAA">
              <w:rPr>
                <w:lang w:eastAsia="en-US"/>
              </w:rPr>
              <w:t>0</w:t>
            </w:r>
          </w:p>
        </w:tc>
        <w:tc>
          <w:tcPr>
            <w:tcW w:w="1434" w:type="dxa"/>
          </w:tcPr>
          <w:p w14:paraId="29661C70" w14:textId="77777777" w:rsidR="00711444" w:rsidRPr="004D0DAA" w:rsidRDefault="00711444" w:rsidP="00AA2A4C">
            <w:pPr>
              <w:pStyle w:val="TAC"/>
              <w:rPr>
                <w:lang w:eastAsia="en-US"/>
              </w:rPr>
            </w:pPr>
            <w:r w:rsidRPr="004D0DAA">
              <w:rPr>
                <w:lang w:eastAsia="en-US"/>
              </w:rPr>
              <w:t>N/A</w:t>
            </w:r>
          </w:p>
        </w:tc>
        <w:tc>
          <w:tcPr>
            <w:tcW w:w="1435" w:type="dxa"/>
          </w:tcPr>
          <w:p w14:paraId="4D5DBC8B" w14:textId="77777777" w:rsidR="00711444" w:rsidRPr="004D0DAA" w:rsidRDefault="00711444" w:rsidP="00AA2A4C">
            <w:pPr>
              <w:pStyle w:val="TAC"/>
              <w:rPr>
                <w:lang w:eastAsia="en-US"/>
              </w:rPr>
            </w:pPr>
            <w:r w:rsidRPr="004D0DAA">
              <w:rPr>
                <w:lang w:eastAsia="en-US"/>
              </w:rPr>
              <w:t>N/A</w:t>
            </w:r>
          </w:p>
        </w:tc>
        <w:tc>
          <w:tcPr>
            <w:tcW w:w="2997" w:type="dxa"/>
          </w:tcPr>
          <w:p w14:paraId="201701C1"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RLC/MAC control block</w:t>
            </w:r>
          </w:p>
        </w:tc>
      </w:tr>
      <w:tr w:rsidR="00711444" w:rsidRPr="004D0DAA" w14:paraId="0B231FDA" w14:textId="77777777" w:rsidTr="00AA2A4C">
        <w:tblPrEx>
          <w:tblCellMar>
            <w:top w:w="0" w:type="dxa"/>
            <w:bottom w:w="0" w:type="dxa"/>
          </w:tblCellMar>
        </w:tblPrEx>
        <w:trPr>
          <w:cantSplit/>
          <w:jc w:val="center"/>
        </w:trPr>
        <w:tc>
          <w:tcPr>
            <w:tcW w:w="794" w:type="dxa"/>
          </w:tcPr>
          <w:p w14:paraId="18158B93" w14:textId="77777777" w:rsidR="00711444" w:rsidRPr="004D0DAA" w:rsidRDefault="00711444" w:rsidP="00AA2A4C">
            <w:pPr>
              <w:pStyle w:val="TAC"/>
              <w:rPr>
                <w:lang w:eastAsia="en-US"/>
              </w:rPr>
            </w:pPr>
            <w:r w:rsidRPr="004D0DAA">
              <w:rPr>
                <w:lang w:eastAsia="en-US"/>
              </w:rPr>
              <w:t>1</w:t>
            </w:r>
          </w:p>
        </w:tc>
        <w:tc>
          <w:tcPr>
            <w:tcW w:w="1434" w:type="dxa"/>
          </w:tcPr>
          <w:p w14:paraId="0D98535B" w14:textId="77777777" w:rsidR="00711444" w:rsidRPr="004D0DAA" w:rsidRDefault="00711444" w:rsidP="00AA2A4C">
            <w:pPr>
              <w:pStyle w:val="TAC"/>
              <w:rPr>
                <w:lang w:eastAsia="en-US"/>
              </w:rPr>
            </w:pPr>
            <w:r w:rsidRPr="004D0DAA">
              <w:rPr>
                <w:lang w:eastAsia="en-US"/>
              </w:rPr>
              <w:t>0</w:t>
            </w:r>
          </w:p>
        </w:tc>
        <w:tc>
          <w:tcPr>
            <w:tcW w:w="1434" w:type="dxa"/>
          </w:tcPr>
          <w:p w14:paraId="27C29271" w14:textId="77777777" w:rsidR="00711444" w:rsidRPr="004D0DAA" w:rsidRDefault="00711444" w:rsidP="00AA2A4C">
            <w:pPr>
              <w:pStyle w:val="TAC"/>
              <w:rPr>
                <w:lang w:eastAsia="en-US"/>
              </w:rPr>
            </w:pPr>
            <w:r w:rsidRPr="004D0DAA">
              <w:rPr>
                <w:lang w:eastAsia="en-US"/>
              </w:rPr>
              <w:t>0 0 0</w:t>
            </w:r>
          </w:p>
        </w:tc>
        <w:tc>
          <w:tcPr>
            <w:tcW w:w="1435" w:type="dxa"/>
          </w:tcPr>
          <w:p w14:paraId="6E78BE5B" w14:textId="77777777" w:rsidR="00711444" w:rsidRPr="004D0DAA" w:rsidRDefault="00711444" w:rsidP="00AA2A4C">
            <w:pPr>
              <w:pStyle w:val="TAC"/>
              <w:rPr>
                <w:lang w:eastAsia="en-US"/>
              </w:rPr>
            </w:pPr>
            <w:r w:rsidRPr="004D0DAA">
              <w:rPr>
                <w:lang w:eastAsia="en-US"/>
              </w:rPr>
              <w:t>0</w:t>
            </w:r>
          </w:p>
        </w:tc>
        <w:tc>
          <w:tcPr>
            <w:tcW w:w="2997" w:type="dxa"/>
          </w:tcPr>
          <w:p w14:paraId="292BA9F0" w14:textId="77777777" w:rsidR="00711444" w:rsidRPr="004D0DAA" w:rsidRDefault="00711444" w:rsidP="00AA2A4C">
            <w:pPr>
              <w:pStyle w:val="TAL"/>
              <w:rPr>
                <w:lang w:eastAsia="en-US"/>
              </w:rPr>
            </w:pPr>
            <w:r w:rsidRPr="004D0DAA">
              <w:rPr>
                <w:lang w:eastAsia="en-US"/>
              </w:rPr>
              <w:t>2</w:t>
            </w:r>
            <w:r w:rsidRPr="004D0DAA">
              <w:rPr>
                <w:vertAlign w:val="superscript"/>
                <w:lang w:eastAsia="en-US"/>
              </w:rPr>
              <w:t>nd</w:t>
            </w:r>
            <w:r w:rsidRPr="004D0DAA">
              <w:rPr>
                <w:lang w:eastAsia="en-US"/>
              </w:rPr>
              <w:t xml:space="preserve"> RLC/MAC control block</w:t>
            </w:r>
          </w:p>
        </w:tc>
      </w:tr>
      <w:tr w:rsidR="00711444" w:rsidRPr="004D0DAA" w14:paraId="33CDD136" w14:textId="77777777" w:rsidTr="00AA2A4C">
        <w:tblPrEx>
          <w:tblCellMar>
            <w:top w:w="0" w:type="dxa"/>
            <w:bottom w:w="0" w:type="dxa"/>
          </w:tblCellMar>
        </w:tblPrEx>
        <w:trPr>
          <w:cantSplit/>
          <w:jc w:val="center"/>
        </w:trPr>
        <w:tc>
          <w:tcPr>
            <w:tcW w:w="794" w:type="dxa"/>
          </w:tcPr>
          <w:p w14:paraId="5D89A27E" w14:textId="77777777" w:rsidR="00711444" w:rsidRPr="004D0DAA" w:rsidRDefault="00711444" w:rsidP="00AA2A4C">
            <w:pPr>
              <w:pStyle w:val="TAC"/>
              <w:rPr>
                <w:lang w:eastAsia="en-US"/>
              </w:rPr>
            </w:pPr>
            <w:r w:rsidRPr="004D0DAA">
              <w:rPr>
                <w:lang w:eastAsia="en-US"/>
              </w:rPr>
              <w:t>1</w:t>
            </w:r>
          </w:p>
        </w:tc>
        <w:tc>
          <w:tcPr>
            <w:tcW w:w="1434" w:type="dxa"/>
          </w:tcPr>
          <w:p w14:paraId="042BB3BD" w14:textId="77777777" w:rsidR="00711444" w:rsidRPr="004D0DAA" w:rsidRDefault="00711444" w:rsidP="00AA2A4C">
            <w:pPr>
              <w:pStyle w:val="TAC"/>
              <w:rPr>
                <w:lang w:eastAsia="en-US"/>
              </w:rPr>
            </w:pPr>
            <w:r w:rsidRPr="004D0DAA">
              <w:rPr>
                <w:lang w:eastAsia="en-US"/>
              </w:rPr>
              <w:t>0</w:t>
            </w:r>
          </w:p>
        </w:tc>
        <w:tc>
          <w:tcPr>
            <w:tcW w:w="1434" w:type="dxa"/>
          </w:tcPr>
          <w:p w14:paraId="1B9B05B8" w14:textId="77777777" w:rsidR="00711444" w:rsidRPr="004D0DAA" w:rsidRDefault="00711444" w:rsidP="00AA2A4C">
            <w:pPr>
              <w:pStyle w:val="TAC"/>
              <w:rPr>
                <w:lang w:eastAsia="en-US"/>
              </w:rPr>
            </w:pPr>
            <w:r w:rsidRPr="004D0DAA">
              <w:rPr>
                <w:lang w:eastAsia="en-US"/>
              </w:rPr>
              <w:t>0 0 1</w:t>
            </w:r>
          </w:p>
        </w:tc>
        <w:tc>
          <w:tcPr>
            <w:tcW w:w="1435" w:type="dxa"/>
          </w:tcPr>
          <w:p w14:paraId="25373631" w14:textId="77777777" w:rsidR="00711444" w:rsidRPr="004D0DAA" w:rsidRDefault="00711444" w:rsidP="00AA2A4C">
            <w:pPr>
              <w:pStyle w:val="TAC"/>
              <w:rPr>
                <w:lang w:eastAsia="en-US"/>
              </w:rPr>
            </w:pPr>
            <w:r w:rsidRPr="004D0DAA">
              <w:rPr>
                <w:lang w:eastAsia="en-US"/>
              </w:rPr>
              <w:t>0 / 1</w:t>
            </w:r>
          </w:p>
        </w:tc>
        <w:tc>
          <w:tcPr>
            <w:tcW w:w="2997" w:type="dxa"/>
          </w:tcPr>
          <w:p w14:paraId="5226C12E" w14:textId="77777777" w:rsidR="00711444" w:rsidRPr="004D0DAA" w:rsidRDefault="00711444" w:rsidP="00AA2A4C">
            <w:pPr>
              <w:pStyle w:val="TAL"/>
              <w:rPr>
                <w:lang w:eastAsia="en-US"/>
              </w:rPr>
            </w:pPr>
            <w:r w:rsidRPr="004D0DAA">
              <w:rPr>
                <w:lang w:eastAsia="en-US"/>
              </w:rPr>
              <w:t>3</w:t>
            </w:r>
            <w:r w:rsidRPr="004D0DAA">
              <w:rPr>
                <w:vertAlign w:val="superscript"/>
                <w:lang w:eastAsia="en-US"/>
              </w:rPr>
              <w:t>rd</w:t>
            </w:r>
            <w:r w:rsidRPr="004D0DAA">
              <w:rPr>
                <w:lang w:eastAsia="en-US"/>
              </w:rPr>
              <w:t xml:space="preserve"> / last RLC/MAC control block</w:t>
            </w:r>
          </w:p>
        </w:tc>
      </w:tr>
      <w:tr w:rsidR="00711444" w:rsidRPr="004D0DAA" w14:paraId="13B383A6" w14:textId="77777777" w:rsidTr="00AA2A4C">
        <w:tblPrEx>
          <w:tblCellMar>
            <w:top w:w="0" w:type="dxa"/>
            <w:bottom w:w="0" w:type="dxa"/>
          </w:tblCellMar>
        </w:tblPrEx>
        <w:trPr>
          <w:cantSplit/>
          <w:jc w:val="center"/>
        </w:trPr>
        <w:tc>
          <w:tcPr>
            <w:tcW w:w="794" w:type="dxa"/>
          </w:tcPr>
          <w:p w14:paraId="79DFD3BD" w14:textId="77777777" w:rsidR="00711444" w:rsidRPr="004D0DAA" w:rsidRDefault="00711444" w:rsidP="00AA2A4C">
            <w:pPr>
              <w:pStyle w:val="TAC"/>
              <w:rPr>
                <w:lang w:eastAsia="en-US"/>
              </w:rPr>
            </w:pPr>
            <w:r w:rsidRPr="004D0DAA">
              <w:rPr>
                <w:lang w:eastAsia="en-US"/>
              </w:rPr>
              <w:t>1</w:t>
            </w:r>
          </w:p>
        </w:tc>
        <w:tc>
          <w:tcPr>
            <w:tcW w:w="1434" w:type="dxa"/>
          </w:tcPr>
          <w:p w14:paraId="1ACAF2AC" w14:textId="77777777" w:rsidR="00711444" w:rsidRPr="004D0DAA" w:rsidRDefault="00711444" w:rsidP="00AA2A4C">
            <w:pPr>
              <w:pStyle w:val="TAC"/>
              <w:rPr>
                <w:lang w:eastAsia="en-US"/>
              </w:rPr>
            </w:pPr>
            <w:r w:rsidRPr="004D0DAA">
              <w:rPr>
                <w:lang w:eastAsia="en-US"/>
              </w:rPr>
              <w:t>0</w:t>
            </w:r>
          </w:p>
        </w:tc>
        <w:tc>
          <w:tcPr>
            <w:tcW w:w="1434" w:type="dxa"/>
          </w:tcPr>
          <w:p w14:paraId="76CC7172" w14:textId="77777777" w:rsidR="00711444" w:rsidRPr="004D0DAA" w:rsidRDefault="00711444" w:rsidP="00AA2A4C">
            <w:pPr>
              <w:pStyle w:val="TAC"/>
              <w:rPr>
                <w:lang w:eastAsia="en-US"/>
              </w:rPr>
            </w:pPr>
            <w:r w:rsidRPr="004D0DAA">
              <w:rPr>
                <w:lang w:eastAsia="en-US"/>
              </w:rPr>
              <w:t>0 1 0</w:t>
            </w:r>
          </w:p>
        </w:tc>
        <w:tc>
          <w:tcPr>
            <w:tcW w:w="1435" w:type="dxa"/>
          </w:tcPr>
          <w:p w14:paraId="1C290EC3" w14:textId="77777777" w:rsidR="00711444" w:rsidRPr="004D0DAA" w:rsidRDefault="00711444" w:rsidP="00AA2A4C">
            <w:pPr>
              <w:pStyle w:val="TAC"/>
              <w:rPr>
                <w:lang w:eastAsia="en-US"/>
              </w:rPr>
            </w:pPr>
            <w:r w:rsidRPr="004D0DAA">
              <w:rPr>
                <w:lang w:eastAsia="en-US"/>
              </w:rPr>
              <w:t>0 / 1</w:t>
            </w:r>
          </w:p>
        </w:tc>
        <w:tc>
          <w:tcPr>
            <w:tcW w:w="2997" w:type="dxa"/>
          </w:tcPr>
          <w:p w14:paraId="6E281B7D" w14:textId="77777777" w:rsidR="00711444" w:rsidRPr="004D0DAA" w:rsidRDefault="00711444" w:rsidP="00AA2A4C">
            <w:pPr>
              <w:pStyle w:val="TAL"/>
              <w:rPr>
                <w:lang w:eastAsia="en-US"/>
              </w:rPr>
            </w:pPr>
            <w:r w:rsidRPr="004D0DAA">
              <w:rPr>
                <w:lang w:eastAsia="en-US"/>
              </w:rPr>
              <w:t>4</w:t>
            </w:r>
            <w:r w:rsidRPr="004D0DAA">
              <w:rPr>
                <w:vertAlign w:val="superscript"/>
                <w:lang w:eastAsia="en-US"/>
              </w:rPr>
              <w:t>th</w:t>
            </w:r>
            <w:r w:rsidRPr="004D0DAA">
              <w:rPr>
                <w:lang w:eastAsia="en-US"/>
              </w:rPr>
              <w:t xml:space="preserve"> / last RLC/MAC control block</w:t>
            </w:r>
          </w:p>
        </w:tc>
      </w:tr>
      <w:tr w:rsidR="00711444" w:rsidRPr="004D0DAA" w14:paraId="72CED919" w14:textId="77777777" w:rsidTr="00AA2A4C">
        <w:tblPrEx>
          <w:tblCellMar>
            <w:top w:w="0" w:type="dxa"/>
            <w:bottom w:w="0" w:type="dxa"/>
          </w:tblCellMar>
        </w:tblPrEx>
        <w:trPr>
          <w:cantSplit/>
          <w:jc w:val="center"/>
        </w:trPr>
        <w:tc>
          <w:tcPr>
            <w:tcW w:w="794" w:type="dxa"/>
          </w:tcPr>
          <w:p w14:paraId="68CE26E2" w14:textId="77777777" w:rsidR="00711444" w:rsidRPr="004D0DAA" w:rsidRDefault="00711444" w:rsidP="00AA2A4C">
            <w:pPr>
              <w:pStyle w:val="TAC"/>
              <w:rPr>
                <w:lang w:eastAsia="en-US"/>
              </w:rPr>
            </w:pPr>
            <w:r w:rsidRPr="004D0DAA">
              <w:rPr>
                <w:lang w:eastAsia="en-US"/>
              </w:rPr>
              <w:t>1</w:t>
            </w:r>
          </w:p>
        </w:tc>
        <w:tc>
          <w:tcPr>
            <w:tcW w:w="1434" w:type="dxa"/>
          </w:tcPr>
          <w:p w14:paraId="47B6930E" w14:textId="77777777" w:rsidR="00711444" w:rsidRPr="004D0DAA" w:rsidRDefault="00711444" w:rsidP="00AA2A4C">
            <w:pPr>
              <w:pStyle w:val="TAC"/>
              <w:rPr>
                <w:lang w:eastAsia="en-US"/>
              </w:rPr>
            </w:pPr>
            <w:r w:rsidRPr="004D0DAA">
              <w:rPr>
                <w:lang w:eastAsia="en-US"/>
              </w:rPr>
              <w:t>0</w:t>
            </w:r>
          </w:p>
        </w:tc>
        <w:tc>
          <w:tcPr>
            <w:tcW w:w="1434" w:type="dxa"/>
          </w:tcPr>
          <w:p w14:paraId="42344997" w14:textId="77777777" w:rsidR="00711444" w:rsidRPr="004D0DAA" w:rsidRDefault="00711444" w:rsidP="00AA2A4C">
            <w:pPr>
              <w:pStyle w:val="TAC"/>
              <w:rPr>
                <w:lang w:eastAsia="en-US"/>
              </w:rPr>
            </w:pPr>
            <w:r w:rsidRPr="004D0DAA">
              <w:rPr>
                <w:lang w:eastAsia="en-US"/>
              </w:rPr>
              <w:t>0 1 1</w:t>
            </w:r>
          </w:p>
        </w:tc>
        <w:tc>
          <w:tcPr>
            <w:tcW w:w="1435" w:type="dxa"/>
          </w:tcPr>
          <w:p w14:paraId="6AF806F6" w14:textId="77777777" w:rsidR="00711444" w:rsidRPr="004D0DAA" w:rsidRDefault="00711444" w:rsidP="00AA2A4C">
            <w:pPr>
              <w:pStyle w:val="TAC"/>
              <w:rPr>
                <w:lang w:eastAsia="en-US"/>
              </w:rPr>
            </w:pPr>
            <w:r w:rsidRPr="004D0DAA">
              <w:rPr>
                <w:lang w:eastAsia="en-US"/>
              </w:rPr>
              <w:t>0 / 1</w:t>
            </w:r>
          </w:p>
        </w:tc>
        <w:tc>
          <w:tcPr>
            <w:tcW w:w="2997" w:type="dxa"/>
          </w:tcPr>
          <w:p w14:paraId="482FF4CB" w14:textId="77777777" w:rsidR="00711444" w:rsidRPr="004D0DAA" w:rsidRDefault="00711444" w:rsidP="00AA2A4C">
            <w:pPr>
              <w:pStyle w:val="TAL"/>
              <w:rPr>
                <w:lang w:eastAsia="en-US"/>
              </w:rPr>
            </w:pPr>
            <w:r w:rsidRPr="004D0DAA">
              <w:rPr>
                <w:lang w:eastAsia="en-US"/>
              </w:rPr>
              <w:t>5</w:t>
            </w:r>
            <w:r w:rsidRPr="004D0DAA">
              <w:rPr>
                <w:vertAlign w:val="superscript"/>
                <w:lang w:eastAsia="en-US"/>
              </w:rPr>
              <w:t>th</w:t>
            </w:r>
            <w:r w:rsidRPr="004D0DAA">
              <w:rPr>
                <w:lang w:eastAsia="en-US"/>
              </w:rPr>
              <w:t>/last RLC/MAC control block</w:t>
            </w:r>
          </w:p>
        </w:tc>
      </w:tr>
      <w:tr w:rsidR="00711444" w:rsidRPr="004D0DAA" w14:paraId="2A2F2486" w14:textId="77777777" w:rsidTr="00AA2A4C">
        <w:tblPrEx>
          <w:tblCellMar>
            <w:top w:w="0" w:type="dxa"/>
            <w:bottom w:w="0" w:type="dxa"/>
          </w:tblCellMar>
        </w:tblPrEx>
        <w:trPr>
          <w:cantSplit/>
          <w:jc w:val="center"/>
        </w:trPr>
        <w:tc>
          <w:tcPr>
            <w:tcW w:w="794" w:type="dxa"/>
          </w:tcPr>
          <w:p w14:paraId="046B8D9F" w14:textId="77777777" w:rsidR="00711444" w:rsidRPr="004D0DAA" w:rsidRDefault="00711444" w:rsidP="00AA2A4C">
            <w:pPr>
              <w:pStyle w:val="TAC"/>
              <w:rPr>
                <w:lang w:eastAsia="en-US"/>
              </w:rPr>
            </w:pPr>
            <w:r w:rsidRPr="004D0DAA">
              <w:rPr>
                <w:lang w:eastAsia="en-US"/>
              </w:rPr>
              <w:t>1</w:t>
            </w:r>
          </w:p>
        </w:tc>
        <w:tc>
          <w:tcPr>
            <w:tcW w:w="1434" w:type="dxa"/>
          </w:tcPr>
          <w:p w14:paraId="2D24B1DA" w14:textId="77777777" w:rsidR="00711444" w:rsidRPr="004D0DAA" w:rsidRDefault="00711444" w:rsidP="00AA2A4C">
            <w:pPr>
              <w:pStyle w:val="TAC"/>
              <w:rPr>
                <w:lang w:eastAsia="en-US"/>
              </w:rPr>
            </w:pPr>
            <w:r w:rsidRPr="004D0DAA">
              <w:rPr>
                <w:lang w:eastAsia="en-US"/>
              </w:rPr>
              <w:t>0</w:t>
            </w:r>
          </w:p>
        </w:tc>
        <w:tc>
          <w:tcPr>
            <w:tcW w:w="1434" w:type="dxa"/>
          </w:tcPr>
          <w:p w14:paraId="73C7CEA9" w14:textId="77777777" w:rsidR="00711444" w:rsidRPr="004D0DAA" w:rsidRDefault="00711444" w:rsidP="00AA2A4C">
            <w:pPr>
              <w:pStyle w:val="TAC"/>
              <w:rPr>
                <w:lang w:eastAsia="en-US"/>
              </w:rPr>
            </w:pPr>
            <w:r w:rsidRPr="004D0DAA">
              <w:rPr>
                <w:lang w:eastAsia="en-US"/>
              </w:rPr>
              <w:t>1 0 0</w:t>
            </w:r>
          </w:p>
        </w:tc>
        <w:tc>
          <w:tcPr>
            <w:tcW w:w="1435" w:type="dxa"/>
          </w:tcPr>
          <w:p w14:paraId="53501AC3" w14:textId="77777777" w:rsidR="00711444" w:rsidRPr="004D0DAA" w:rsidRDefault="00711444" w:rsidP="00AA2A4C">
            <w:pPr>
              <w:pStyle w:val="TAC"/>
              <w:rPr>
                <w:lang w:eastAsia="en-US"/>
              </w:rPr>
            </w:pPr>
            <w:r w:rsidRPr="004D0DAA">
              <w:rPr>
                <w:lang w:eastAsia="en-US"/>
              </w:rPr>
              <w:t>0 / 1</w:t>
            </w:r>
          </w:p>
        </w:tc>
        <w:tc>
          <w:tcPr>
            <w:tcW w:w="2997" w:type="dxa"/>
          </w:tcPr>
          <w:p w14:paraId="431F7DEF" w14:textId="77777777" w:rsidR="00711444" w:rsidRPr="004D0DAA" w:rsidRDefault="00711444" w:rsidP="00AA2A4C">
            <w:pPr>
              <w:pStyle w:val="TAL"/>
              <w:rPr>
                <w:lang w:eastAsia="en-US"/>
              </w:rPr>
            </w:pPr>
            <w:r w:rsidRPr="004D0DAA">
              <w:rPr>
                <w:lang w:eastAsia="en-US"/>
              </w:rPr>
              <w:t>6</w:t>
            </w:r>
            <w:r w:rsidRPr="004D0DAA">
              <w:rPr>
                <w:vertAlign w:val="superscript"/>
                <w:lang w:eastAsia="en-US"/>
              </w:rPr>
              <w:t>th</w:t>
            </w:r>
            <w:r w:rsidRPr="004D0DAA">
              <w:rPr>
                <w:lang w:eastAsia="en-US"/>
              </w:rPr>
              <w:t>/last RLC/MAC control block</w:t>
            </w:r>
          </w:p>
        </w:tc>
      </w:tr>
      <w:tr w:rsidR="00711444" w:rsidRPr="004D0DAA" w14:paraId="6D8D9701" w14:textId="77777777" w:rsidTr="00AA2A4C">
        <w:tblPrEx>
          <w:tblCellMar>
            <w:top w:w="0" w:type="dxa"/>
            <w:bottom w:w="0" w:type="dxa"/>
          </w:tblCellMar>
        </w:tblPrEx>
        <w:trPr>
          <w:cantSplit/>
          <w:jc w:val="center"/>
        </w:trPr>
        <w:tc>
          <w:tcPr>
            <w:tcW w:w="794" w:type="dxa"/>
          </w:tcPr>
          <w:p w14:paraId="6D98F554" w14:textId="77777777" w:rsidR="00711444" w:rsidRPr="004D0DAA" w:rsidRDefault="00711444" w:rsidP="00AA2A4C">
            <w:pPr>
              <w:pStyle w:val="TAC"/>
              <w:rPr>
                <w:lang w:eastAsia="en-US"/>
              </w:rPr>
            </w:pPr>
            <w:r w:rsidRPr="004D0DAA">
              <w:rPr>
                <w:lang w:eastAsia="en-US"/>
              </w:rPr>
              <w:t>1</w:t>
            </w:r>
          </w:p>
        </w:tc>
        <w:tc>
          <w:tcPr>
            <w:tcW w:w="1434" w:type="dxa"/>
          </w:tcPr>
          <w:p w14:paraId="200890C0" w14:textId="77777777" w:rsidR="00711444" w:rsidRPr="004D0DAA" w:rsidRDefault="00711444" w:rsidP="00AA2A4C">
            <w:pPr>
              <w:pStyle w:val="TAC"/>
              <w:rPr>
                <w:lang w:eastAsia="en-US"/>
              </w:rPr>
            </w:pPr>
            <w:r w:rsidRPr="004D0DAA">
              <w:rPr>
                <w:lang w:eastAsia="en-US"/>
              </w:rPr>
              <w:t>0</w:t>
            </w:r>
          </w:p>
        </w:tc>
        <w:tc>
          <w:tcPr>
            <w:tcW w:w="1434" w:type="dxa"/>
          </w:tcPr>
          <w:p w14:paraId="03A5EBB2" w14:textId="77777777" w:rsidR="00711444" w:rsidRPr="004D0DAA" w:rsidRDefault="00711444" w:rsidP="00AA2A4C">
            <w:pPr>
              <w:pStyle w:val="TAC"/>
              <w:rPr>
                <w:lang w:eastAsia="en-US"/>
              </w:rPr>
            </w:pPr>
            <w:r w:rsidRPr="004D0DAA">
              <w:rPr>
                <w:lang w:eastAsia="en-US"/>
              </w:rPr>
              <w:t>1 0 1</w:t>
            </w:r>
          </w:p>
        </w:tc>
        <w:tc>
          <w:tcPr>
            <w:tcW w:w="1435" w:type="dxa"/>
          </w:tcPr>
          <w:p w14:paraId="0F4FCC41" w14:textId="77777777" w:rsidR="00711444" w:rsidRPr="004D0DAA" w:rsidRDefault="00711444" w:rsidP="00AA2A4C">
            <w:pPr>
              <w:pStyle w:val="TAC"/>
              <w:rPr>
                <w:lang w:eastAsia="en-US"/>
              </w:rPr>
            </w:pPr>
            <w:r w:rsidRPr="004D0DAA">
              <w:rPr>
                <w:lang w:eastAsia="en-US"/>
              </w:rPr>
              <w:t>0 / 1</w:t>
            </w:r>
          </w:p>
        </w:tc>
        <w:tc>
          <w:tcPr>
            <w:tcW w:w="2997" w:type="dxa"/>
          </w:tcPr>
          <w:p w14:paraId="035BA31F" w14:textId="77777777" w:rsidR="00711444" w:rsidRPr="004D0DAA" w:rsidRDefault="00711444" w:rsidP="00AA2A4C">
            <w:pPr>
              <w:pStyle w:val="TAL"/>
              <w:rPr>
                <w:lang w:eastAsia="en-US"/>
              </w:rPr>
            </w:pPr>
            <w:r w:rsidRPr="004D0DAA">
              <w:rPr>
                <w:lang w:eastAsia="en-US"/>
              </w:rPr>
              <w:t>7</w:t>
            </w:r>
            <w:r w:rsidRPr="004D0DAA">
              <w:rPr>
                <w:vertAlign w:val="superscript"/>
                <w:lang w:eastAsia="en-US"/>
              </w:rPr>
              <w:t>th</w:t>
            </w:r>
            <w:r w:rsidRPr="004D0DAA">
              <w:rPr>
                <w:lang w:eastAsia="en-US"/>
              </w:rPr>
              <w:t>/last RLC/MAC control block</w:t>
            </w:r>
          </w:p>
        </w:tc>
      </w:tr>
      <w:tr w:rsidR="00711444" w:rsidRPr="004D0DAA" w14:paraId="596A9841" w14:textId="77777777" w:rsidTr="00AA2A4C">
        <w:tblPrEx>
          <w:tblCellMar>
            <w:top w:w="0" w:type="dxa"/>
            <w:bottom w:w="0" w:type="dxa"/>
          </w:tblCellMar>
        </w:tblPrEx>
        <w:trPr>
          <w:cantSplit/>
          <w:jc w:val="center"/>
        </w:trPr>
        <w:tc>
          <w:tcPr>
            <w:tcW w:w="794" w:type="dxa"/>
          </w:tcPr>
          <w:p w14:paraId="6BE6EAC9" w14:textId="77777777" w:rsidR="00711444" w:rsidRPr="004D0DAA" w:rsidRDefault="00711444" w:rsidP="00AA2A4C">
            <w:pPr>
              <w:pStyle w:val="TAC"/>
              <w:rPr>
                <w:lang w:eastAsia="en-US"/>
              </w:rPr>
            </w:pPr>
            <w:r w:rsidRPr="004D0DAA">
              <w:rPr>
                <w:lang w:eastAsia="en-US"/>
              </w:rPr>
              <w:t>1</w:t>
            </w:r>
          </w:p>
        </w:tc>
        <w:tc>
          <w:tcPr>
            <w:tcW w:w="1434" w:type="dxa"/>
          </w:tcPr>
          <w:p w14:paraId="14CA10BE" w14:textId="77777777" w:rsidR="00711444" w:rsidRPr="004D0DAA" w:rsidRDefault="00711444" w:rsidP="00AA2A4C">
            <w:pPr>
              <w:pStyle w:val="TAC"/>
              <w:rPr>
                <w:lang w:eastAsia="en-US"/>
              </w:rPr>
            </w:pPr>
            <w:r w:rsidRPr="004D0DAA">
              <w:rPr>
                <w:lang w:eastAsia="en-US"/>
              </w:rPr>
              <w:t>0</w:t>
            </w:r>
          </w:p>
        </w:tc>
        <w:tc>
          <w:tcPr>
            <w:tcW w:w="1434" w:type="dxa"/>
          </w:tcPr>
          <w:p w14:paraId="26F0F5E8" w14:textId="77777777" w:rsidR="00711444" w:rsidRPr="004D0DAA" w:rsidRDefault="00711444" w:rsidP="00AA2A4C">
            <w:pPr>
              <w:pStyle w:val="TAC"/>
              <w:rPr>
                <w:lang w:eastAsia="en-US"/>
              </w:rPr>
            </w:pPr>
            <w:r w:rsidRPr="004D0DAA">
              <w:rPr>
                <w:lang w:eastAsia="en-US"/>
              </w:rPr>
              <w:t>1 1 0</w:t>
            </w:r>
          </w:p>
        </w:tc>
        <w:tc>
          <w:tcPr>
            <w:tcW w:w="1435" w:type="dxa"/>
          </w:tcPr>
          <w:p w14:paraId="0516978E" w14:textId="77777777" w:rsidR="00711444" w:rsidRPr="004D0DAA" w:rsidRDefault="00711444" w:rsidP="00AA2A4C">
            <w:pPr>
              <w:pStyle w:val="TAC"/>
              <w:rPr>
                <w:lang w:eastAsia="en-US"/>
              </w:rPr>
            </w:pPr>
            <w:r w:rsidRPr="004D0DAA">
              <w:rPr>
                <w:lang w:eastAsia="en-US"/>
              </w:rPr>
              <w:t>0 / 1</w:t>
            </w:r>
          </w:p>
        </w:tc>
        <w:tc>
          <w:tcPr>
            <w:tcW w:w="2997" w:type="dxa"/>
          </w:tcPr>
          <w:p w14:paraId="4EC0E6FF" w14:textId="77777777" w:rsidR="00711444" w:rsidRPr="004D0DAA" w:rsidRDefault="00711444" w:rsidP="00AA2A4C">
            <w:pPr>
              <w:pStyle w:val="TAL"/>
              <w:rPr>
                <w:lang w:eastAsia="en-US"/>
              </w:rPr>
            </w:pPr>
            <w:r w:rsidRPr="004D0DAA">
              <w:rPr>
                <w:lang w:eastAsia="en-US"/>
              </w:rPr>
              <w:t>8</w:t>
            </w:r>
            <w:r w:rsidRPr="004D0DAA">
              <w:rPr>
                <w:vertAlign w:val="superscript"/>
                <w:lang w:eastAsia="en-US"/>
              </w:rPr>
              <w:t>th</w:t>
            </w:r>
            <w:r w:rsidRPr="004D0DAA">
              <w:rPr>
                <w:lang w:eastAsia="en-US"/>
              </w:rPr>
              <w:t>/last RLC/MAC control block</w:t>
            </w:r>
          </w:p>
        </w:tc>
      </w:tr>
      <w:tr w:rsidR="00711444" w:rsidRPr="004D0DAA" w14:paraId="2DA75557" w14:textId="77777777" w:rsidTr="00AA2A4C">
        <w:tblPrEx>
          <w:tblCellMar>
            <w:top w:w="0" w:type="dxa"/>
            <w:bottom w:w="0" w:type="dxa"/>
          </w:tblCellMar>
        </w:tblPrEx>
        <w:trPr>
          <w:cantSplit/>
          <w:jc w:val="center"/>
        </w:trPr>
        <w:tc>
          <w:tcPr>
            <w:tcW w:w="794" w:type="dxa"/>
          </w:tcPr>
          <w:p w14:paraId="695FEAB9" w14:textId="77777777" w:rsidR="00711444" w:rsidRPr="004D0DAA" w:rsidRDefault="00711444" w:rsidP="00AA2A4C">
            <w:pPr>
              <w:pStyle w:val="TAC"/>
              <w:rPr>
                <w:lang w:eastAsia="en-US"/>
              </w:rPr>
            </w:pPr>
            <w:r w:rsidRPr="004D0DAA">
              <w:rPr>
                <w:lang w:eastAsia="en-US"/>
              </w:rPr>
              <w:t>1</w:t>
            </w:r>
          </w:p>
        </w:tc>
        <w:tc>
          <w:tcPr>
            <w:tcW w:w="1434" w:type="dxa"/>
          </w:tcPr>
          <w:p w14:paraId="1FBCB7BD" w14:textId="77777777" w:rsidR="00711444" w:rsidRPr="004D0DAA" w:rsidRDefault="00711444" w:rsidP="00AA2A4C">
            <w:pPr>
              <w:pStyle w:val="TAC"/>
              <w:rPr>
                <w:lang w:eastAsia="en-US"/>
              </w:rPr>
            </w:pPr>
            <w:r w:rsidRPr="004D0DAA">
              <w:rPr>
                <w:lang w:eastAsia="en-US"/>
              </w:rPr>
              <w:t>0</w:t>
            </w:r>
          </w:p>
        </w:tc>
        <w:tc>
          <w:tcPr>
            <w:tcW w:w="1434" w:type="dxa"/>
          </w:tcPr>
          <w:p w14:paraId="25E1A328" w14:textId="77777777" w:rsidR="00711444" w:rsidRPr="004D0DAA" w:rsidRDefault="00711444" w:rsidP="00AA2A4C">
            <w:pPr>
              <w:pStyle w:val="TAC"/>
              <w:rPr>
                <w:lang w:eastAsia="en-US"/>
              </w:rPr>
            </w:pPr>
            <w:r w:rsidRPr="004D0DAA">
              <w:rPr>
                <w:lang w:eastAsia="en-US"/>
              </w:rPr>
              <w:t>1 1 1</w:t>
            </w:r>
          </w:p>
        </w:tc>
        <w:tc>
          <w:tcPr>
            <w:tcW w:w="1435" w:type="dxa"/>
          </w:tcPr>
          <w:p w14:paraId="5C3CF2AC" w14:textId="77777777" w:rsidR="00711444" w:rsidRPr="004D0DAA" w:rsidRDefault="00711444" w:rsidP="00AA2A4C">
            <w:pPr>
              <w:pStyle w:val="TAC"/>
              <w:rPr>
                <w:lang w:eastAsia="en-US"/>
              </w:rPr>
            </w:pPr>
            <w:r w:rsidRPr="004D0DAA">
              <w:rPr>
                <w:lang w:eastAsia="en-US"/>
              </w:rPr>
              <w:t>1</w:t>
            </w:r>
          </w:p>
        </w:tc>
        <w:tc>
          <w:tcPr>
            <w:tcW w:w="2997" w:type="dxa"/>
          </w:tcPr>
          <w:p w14:paraId="293692B8" w14:textId="77777777" w:rsidR="00711444" w:rsidRPr="004D0DAA" w:rsidRDefault="00711444" w:rsidP="00AA2A4C">
            <w:pPr>
              <w:pStyle w:val="TAL"/>
              <w:rPr>
                <w:lang w:eastAsia="en-US"/>
              </w:rPr>
            </w:pPr>
            <w:r w:rsidRPr="004D0DAA">
              <w:rPr>
                <w:lang w:eastAsia="en-US"/>
              </w:rPr>
              <w:t>9</w:t>
            </w:r>
            <w:r w:rsidRPr="004D0DAA">
              <w:rPr>
                <w:vertAlign w:val="superscript"/>
                <w:lang w:eastAsia="en-US"/>
              </w:rPr>
              <w:t>th</w:t>
            </w:r>
            <w:r w:rsidRPr="004D0DAA">
              <w:rPr>
                <w:lang w:eastAsia="en-US"/>
              </w:rPr>
              <w:t xml:space="preserve"> and last RLC/MAC control block</w:t>
            </w:r>
          </w:p>
        </w:tc>
      </w:tr>
    </w:tbl>
    <w:p w14:paraId="0781C2CD" w14:textId="77777777" w:rsidR="00711444" w:rsidRPr="004D0DAA" w:rsidRDefault="00711444" w:rsidP="00711444"/>
    <w:p w14:paraId="181ADDEF" w14:textId="77777777" w:rsidR="00711444" w:rsidRPr="004D0DAA" w:rsidRDefault="00711444" w:rsidP="00711444">
      <w:pPr>
        <w:pStyle w:val="Heading3"/>
      </w:pPr>
      <w:bookmarkStart w:id="587" w:name="_Toc516669767"/>
      <w:r w:rsidRPr="004D0DAA">
        <w:t>10.4.13</w:t>
      </w:r>
      <w:r w:rsidRPr="004D0DAA">
        <w:tab/>
        <w:t>More (M) bit</w:t>
      </w:r>
      <w:bookmarkEnd w:id="587"/>
    </w:p>
    <w:p w14:paraId="59C0DAC9" w14:textId="77777777" w:rsidR="00711444" w:rsidRPr="004D0DAA" w:rsidRDefault="00711444" w:rsidP="00711444">
      <w:pPr>
        <w:keepNext/>
        <w:keepLines/>
      </w:pPr>
      <w:r w:rsidRPr="004D0DAA">
        <w:t>In GPRS TBF mode, the M bit, along with the E bit and the Length Indicator (LI), are used to delimit LLC PDUs within a TBF. When the M bit is present it indicates whether or not another LLC PDU follows the current one within the RLC data block. The function of the M and E bits when they occur in the same octet is defined in table 10.4.13.1.</w:t>
      </w:r>
    </w:p>
    <w:p w14:paraId="56963D5D" w14:textId="77777777" w:rsidR="00711444" w:rsidRPr="004D0DAA" w:rsidRDefault="00711444" w:rsidP="00711444">
      <w:r w:rsidRPr="004D0DAA">
        <w:t>In EGPRS TBF mode the M bit is not used, instead a special combination of the LI field is used to indicate presence of following LLC PDUs.</w:t>
      </w:r>
    </w:p>
    <w:p w14:paraId="5CBD0BA6" w14:textId="77777777" w:rsidR="00711444" w:rsidRPr="004D0DAA" w:rsidRDefault="00711444" w:rsidP="00711444">
      <w:pPr>
        <w:pStyle w:val="TH"/>
      </w:pPr>
      <w:r w:rsidRPr="004D0DAA">
        <w:t>Table 10.4.13.1: M bit and E bit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7172"/>
      </w:tblGrid>
      <w:tr w:rsidR="00711444" w:rsidRPr="004D0DAA" w14:paraId="0ADB9C74"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B74CA9A" w14:textId="77777777" w:rsidR="00711444" w:rsidRPr="004D0DAA" w:rsidRDefault="00711444" w:rsidP="00AA2A4C">
            <w:pPr>
              <w:pStyle w:val="TAH"/>
              <w:rPr>
                <w:lang w:eastAsia="en-US"/>
              </w:rPr>
            </w:pPr>
            <w:r w:rsidRPr="004D0DAA">
              <w:rPr>
                <w:lang w:eastAsia="en-US"/>
              </w:rPr>
              <w:t>bit</w:t>
            </w:r>
            <w:r w:rsidRPr="004D0DAA">
              <w:rPr>
                <w:lang w:eastAsia="en-US"/>
              </w:rPr>
              <w:br/>
              <w:t>M E</w:t>
            </w:r>
          </w:p>
        </w:tc>
        <w:tc>
          <w:tcPr>
            <w:tcW w:w="7172" w:type="dxa"/>
            <w:tcBorders>
              <w:top w:val="single" w:sz="4" w:space="0" w:color="auto"/>
              <w:left w:val="single" w:sz="4" w:space="0" w:color="auto"/>
              <w:bottom w:val="single" w:sz="4" w:space="0" w:color="auto"/>
              <w:right w:val="single" w:sz="4" w:space="0" w:color="auto"/>
            </w:tcBorders>
          </w:tcPr>
          <w:p w14:paraId="2A8D53FB" w14:textId="77777777" w:rsidR="00711444" w:rsidRPr="004D0DAA" w:rsidRDefault="00711444" w:rsidP="00AA2A4C">
            <w:pPr>
              <w:pStyle w:val="TAH"/>
              <w:rPr>
                <w:lang w:eastAsia="en-US"/>
              </w:rPr>
            </w:pPr>
          </w:p>
        </w:tc>
      </w:tr>
      <w:tr w:rsidR="00711444" w:rsidRPr="004D0DAA" w14:paraId="619B6D75"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60DC092" w14:textId="77777777" w:rsidR="00711444" w:rsidRPr="004D0DAA" w:rsidRDefault="00711444" w:rsidP="00AA2A4C">
            <w:pPr>
              <w:pStyle w:val="TAC"/>
              <w:rPr>
                <w:lang w:eastAsia="en-US"/>
              </w:rPr>
            </w:pPr>
            <w:r w:rsidRPr="004D0DAA">
              <w:rPr>
                <w:lang w:eastAsia="en-US"/>
              </w:rPr>
              <w:t>0 0</w:t>
            </w:r>
          </w:p>
        </w:tc>
        <w:tc>
          <w:tcPr>
            <w:tcW w:w="7172" w:type="dxa"/>
            <w:tcBorders>
              <w:top w:val="single" w:sz="4" w:space="0" w:color="auto"/>
              <w:left w:val="single" w:sz="4" w:space="0" w:color="auto"/>
              <w:bottom w:val="single" w:sz="4" w:space="0" w:color="auto"/>
              <w:right w:val="single" w:sz="4" w:space="0" w:color="auto"/>
            </w:tcBorders>
          </w:tcPr>
          <w:p w14:paraId="78A15DE1" w14:textId="77777777" w:rsidR="00711444" w:rsidRPr="004D0DAA" w:rsidRDefault="00711444" w:rsidP="00AA2A4C">
            <w:pPr>
              <w:pStyle w:val="TAL"/>
              <w:rPr>
                <w:lang w:eastAsia="en-US"/>
              </w:rPr>
            </w:pPr>
            <w:r w:rsidRPr="004D0DAA">
              <w:rPr>
                <w:lang w:eastAsia="en-US"/>
              </w:rPr>
              <w:t xml:space="preserve">In </w:t>
            </w:r>
            <w:r w:rsidRPr="004D0DAA">
              <w:rPr>
                <w:i/>
                <w:iCs/>
                <w:lang w:eastAsia="en-US"/>
              </w:rPr>
              <w:t>Iu mode</w:t>
            </w:r>
            <w:r w:rsidRPr="004D0DAA">
              <w:rPr>
                <w:lang w:eastAsia="en-US"/>
              </w:rPr>
              <w:t>, the RLC data block belongs to the signalling radio bearer identified by SRBid. In A/Gb mode, if received by the mobile station it shall ignore all fields of the RLC/MAC block except for the fields of the MAC header</w:t>
            </w:r>
          </w:p>
        </w:tc>
      </w:tr>
      <w:tr w:rsidR="00711444" w:rsidRPr="004D0DAA" w14:paraId="625AFD7A"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2C310ED" w14:textId="77777777" w:rsidR="00711444" w:rsidRPr="004D0DAA" w:rsidRDefault="00711444" w:rsidP="00AA2A4C">
            <w:pPr>
              <w:pStyle w:val="TAC"/>
              <w:rPr>
                <w:lang w:eastAsia="en-US"/>
              </w:rPr>
            </w:pPr>
            <w:r w:rsidRPr="004D0DAA">
              <w:rPr>
                <w:lang w:eastAsia="en-US"/>
              </w:rPr>
              <w:t>0 1</w:t>
            </w:r>
          </w:p>
        </w:tc>
        <w:tc>
          <w:tcPr>
            <w:tcW w:w="7172" w:type="dxa"/>
            <w:tcBorders>
              <w:top w:val="single" w:sz="4" w:space="0" w:color="auto"/>
              <w:left w:val="single" w:sz="4" w:space="0" w:color="auto"/>
              <w:bottom w:val="single" w:sz="4" w:space="0" w:color="auto"/>
              <w:right w:val="single" w:sz="4" w:space="0" w:color="auto"/>
            </w:tcBorders>
          </w:tcPr>
          <w:p w14:paraId="306D0B65" w14:textId="77777777" w:rsidR="00711444" w:rsidRPr="004D0DAA" w:rsidRDefault="00711444" w:rsidP="00AA2A4C">
            <w:pPr>
              <w:pStyle w:val="TAL"/>
              <w:rPr>
                <w:lang w:eastAsia="en-US"/>
              </w:rPr>
            </w:pPr>
            <w:r w:rsidRPr="004D0DAA">
              <w:rPr>
                <w:lang w:eastAsia="en-US"/>
              </w:rPr>
              <w:t>no LLC data after the current LLC PDU, no more extension octets</w:t>
            </w:r>
          </w:p>
        </w:tc>
      </w:tr>
      <w:tr w:rsidR="00711444" w:rsidRPr="004D0DAA" w14:paraId="5D4E8A87"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57BB1EB7" w14:textId="77777777" w:rsidR="00711444" w:rsidRPr="004D0DAA" w:rsidRDefault="00711444" w:rsidP="00AA2A4C">
            <w:pPr>
              <w:pStyle w:val="TAC"/>
              <w:rPr>
                <w:lang w:eastAsia="en-US"/>
              </w:rPr>
            </w:pPr>
            <w:r w:rsidRPr="004D0DAA">
              <w:rPr>
                <w:lang w:eastAsia="en-US"/>
              </w:rPr>
              <w:t>1 0</w:t>
            </w:r>
          </w:p>
        </w:tc>
        <w:tc>
          <w:tcPr>
            <w:tcW w:w="7172" w:type="dxa"/>
            <w:tcBorders>
              <w:top w:val="single" w:sz="4" w:space="0" w:color="auto"/>
              <w:left w:val="single" w:sz="4" w:space="0" w:color="auto"/>
              <w:bottom w:val="single" w:sz="4" w:space="0" w:color="auto"/>
              <w:right w:val="single" w:sz="4" w:space="0" w:color="auto"/>
            </w:tcBorders>
          </w:tcPr>
          <w:p w14:paraId="409633D0" w14:textId="77777777" w:rsidR="00711444" w:rsidRPr="004D0DAA" w:rsidRDefault="00711444" w:rsidP="00AA2A4C">
            <w:pPr>
              <w:pStyle w:val="TAL"/>
              <w:rPr>
                <w:lang w:eastAsia="en-US"/>
              </w:rPr>
            </w:pPr>
            <w:r w:rsidRPr="004D0DAA">
              <w:rPr>
                <w:lang w:eastAsia="en-US"/>
              </w:rPr>
              <w:t>a new LLC PDU starts after the current LLC PDU and there is another extension octet, which delimits the new LLC PDU</w:t>
            </w:r>
          </w:p>
        </w:tc>
      </w:tr>
      <w:tr w:rsidR="00711444" w:rsidRPr="004D0DAA" w14:paraId="40D79C8B" w14:textId="77777777" w:rsidTr="00AA2A4C">
        <w:tblPrEx>
          <w:tblCellMar>
            <w:top w:w="0" w:type="dxa"/>
            <w:bottom w:w="0" w:type="dxa"/>
          </w:tblCellMar>
        </w:tblPrEx>
        <w:trPr>
          <w:cantSplit/>
          <w:jc w:val="center"/>
        </w:trPr>
        <w:tc>
          <w:tcPr>
            <w:tcW w:w="794" w:type="dxa"/>
            <w:tcBorders>
              <w:top w:val="single" w:sz="4" w:space="0" w:color="auto"/>
              <w:left w:val="single" w:sz="4" w:space="0" w:color="auto"/>
              <w:bottom w:val="single" w:sz="4" w:space="0" w:color="auto"/>
              <w:right w:val="single" w:sz="4" w:space="0" w:color="auto"/>
            </w:tcBorders>
          </w:tcPr>
          <w:p w14:paraId="29254053" w14:textId="77777777" w:rsidR="00711444" w:rsidRPr="004D0DAA" w:rsidRDefault="00711444" w:rsidP="00AA2A4C">
            <w:pPr>
              <w:pStyle w:val="TAC"/>
              <w:rPr>
                <w:lang w:eastAsia="en-US"/>
              </w:rPr>
            </w:pPr>
            <w:r w:rsidRPr="004D0DAA">
              <w:rPr>
                <w:lang w:eastAsia="en-US"/>
              </w:rPr>
              <w:t>1 1</w:t>
            </w:r>
          </w:p>
        </w:tc>
        <w:tc>
          <w:tcPr>
            <w:tcW w:w="7172" w:type="dxa"/>
            <w:tcBorders>
              <w:top w:val="single" w:sz="4" w:space="0" w:color="auto"/>
              <w:left w:val="single" w:sz="4" w:space="0" w:color="auto"/>
              <w:bottom w:val="single" w:sz="4" w:space="0" w:color="auto"/>
              <w:right w:val="single" w:sz="4" w:space="0" w:color="auto"/>
            </w:tcBorders>
          </w:tcPr>
          <w:p w14:paraId="15217D7B" w14:textId="77777777" w:rsidR="00711444" w:rsidRPr="004D0DAA" w:rsidRDefault="00711444" w:rsidP="00AA2A4C">
            <w:pPr>
              <w:pStyle w:val="TAL"/>
              <w:rPr>
                <w:lang w:eastAsia="en-US"/>
              </w:rPr>
            </w:pPr>
            <w:r w:rsidRPr="004D0DAA">
              <w:rPr>
                <w:lang w:eastAsia="en-US"/>
              </w:rPr>
              <w:t>a new LLC PDU starts after the current LLC PDU and continues until the end of the RLC information field, no more extension octets</w:t>
            </w:r>
          </w:p>
        </w:tc>
      </w:tr>
    </w:tbl>
    <w:p w14:paraId="2A9D5790" w14:textId="77777777" w:rsidR="00711444" w:rsidRPr="004D0DAA" w:rsidRDefault="00711444" w:rsidP="00711444"/>
    <w:p w14:paraId="71350BB2" w14:textId="77777777" w:rsidR="00711444" w:rsidRPr="004D0DAA" w:rsidRDefault="00711444" w:rsidP="00711444">
      <w:pPr>
        <w:pStyle w:val="Heading3"/>
      </w:pPr>
      <w:bookmarkStart w:id="588" w:name="_Toc516669768"/>
      <w:r w:rsidRPr="004D0DAA">
        <w:t>10.4.14</w:t>
      </w:r>
      <w:r w:rsidRPr="004D0DAA">
        <w:tab/>
        <w:t>Length Indicator (LI) field in GPRS TBF mode and DCCH TBF mode (</w:t>
      </w:r>
      <w:r w:rsidRPr="004D0DAA">
        <w:rPr>
          <w:i/>
          <w:iCs/>
        </w:rPr>
        <w:t>Iu mode</w:t>
      </w:r>
      <w:r w:rsidRPr="004D0DAA">
        <w:t>)</w:t>
      </w:r>
      <w:bookmarkEnd w:id="588"/>
    </w:p>
    <w:p w14:paraId="1B0EAA72" w14:textId="77777777" w:rsidR="00711444" w:rsidRPr="004D0DAA" w:rsidRDefault="00711444" w:rsidP="00711444">
      <w:r w:rsidRPr="004D0DAA">
        <w:t xml:space="preserve">The Length Indicator is used to delimit Upper Layer PDUs within the RLC data block. Additionally for </w:t>
      </w:r>
      <w:r w:rsidRPr="004D0DAA">
        <w:rPr>
          <w:i/>
        </w:rPr>
        <w:t>Iu mode</w:t>
      </w:r>
      <w:r w:rsidRPr="004D0DAA">
        <w:t xml:space="preserve">, a Length Indicator of value 63 may be used to indicate the presence of filler information within the RLC data block. If the first length indicator in the RLC data block is set to 63, then the entire RLC data block contains filler information. </w:t>
      </w:r>
    </w:p>
    <w:p w14:paraId="1CAD97C8" w14:textId="77777777" w:rsidR="00711444" w:rsidRPr="004D0DAA" w:rsidRDefault="00711444" w:rsidP="00711444">
      <w:r w:rsidRPr="004D0DAA">
        <w:t xml:space="preserve">A Length Indicator of value 62 is used by a mobile station supporting network sharing to indicate the presence of a </w:t>
      </w:r>
      <w:r w:rsidRPr="004D0DAA">
        <w:rPr>
          <w:i/>
        </w:rPr>
        <w:t>Selected PLMN Index</w:t>
      </w:r>
      <w:r w:rsidRPr="004D0DAA">
        <w:t xml:space="preserve"> field (see sub-clause 10.4.27) in the octet immediately following this Length Indicator. In this case, it shall always be the first Length Indicator in the RLC data block.</w:t>
      </w:r>
    </w:p>
    <w:p w14:paraId="4AA48841" w14:textId="77777777" w:rsidR="00711444" w:rsidRPr="004D0DAA" w:rsidRDefault="00711444" w:rsidP="00711444">
      <w:r w:rsidRPr="004D0DAA">
        <w:t>A Length Indicator of value 61 is used by a mobile station supporting MS assisted Dedicated Core Network selection and indicates the presence of a DCN-ID value (see sub-clause 10.4.30) in the two octets immediately following this Length Indicator.</w:t>
      </w:r>
    </w:p>
    <w:p w14:paraId="250C1316" w14:textId="77777777" w:rsidR="00711444" w:rsidRPr="004D0DAA" w:rsidRDefault="00711444" w:rsidP="00711444">
      <w:r w:rsidRPr="004D0DAA">
        <w:t>The first Length Indicator (respectively, second length Indicator, if the first is of value 62, as described above) shall indicate the number of octets of the RLC data field belonging to the first Upper Layer PDU, the second Length Indicator (respectively third Length Indicator, if the first is of value 62, as described above) shall indicate the number of octets of the RLC data field belonging to the second Upper Layer PDU, etc. Only the last segment of any Upper Layer PDU of a TBF (either this segment carries the entire Upper Layer PDU or not) shall be identified with a Length Indicator within the corresponding RLC data block.</w:t>
      </w:r>
    </w:p>
    <w:p w14:paraId="5B44F4EE" w14:textId="77777777" w:rsidR="00711444" w:rsidRPr="004D0DAA" w:rsidRDefault="00711444" w:rsidP="00711444">
      <w:r w:rsidRPr="004D0DAA">
        <w:t xml:space="preserve">A singular case occurs when the end of the Upper Layer PDU would fit within the RLC data block but the addition of the corresponding Length Indicator octet (to indicate the Upper Layer PDU boundary) causes the Upper Layer PDU to extend into the next RLC data block. In this case, this additional LI field shall take the value 0 whatever is the length of </w:t>
      </w:r>
      <w:r w:rsidRPr="004D0DAA">
        <w:lastRenderedPageBreak/>
        <w:t>the last but one Upper Layer PDU segment. The inclusion of a Length Indicator that indicates the presence of a Selected PLMN Index field will never correspond to an Upper Layer PDU and therefore will never result in this singular case.</w:t>
      </w:r>
    </w:p>
    <w:p w14:paraId="7F75224D" w14:textId="77777777" w:rsidR="00711444" w:rsidRPr="004D0DAA" w:rsidRDefault="00711444" w:rsidP="00711444">
      <w:r w:rsidRPr="004D0DAA">
        <w:t>The final RLC data block of a TBF shall have a Length Indicator field corresponding to the final Upper Layer PDU unless this PDU fills the RLC data block precisely without the LI field being added (i.e. the singular case mentioned above never applies in this situation).</w:t>
      </w:r>
    </w:p>
    <w:p w14:paraId="4BB1EDFD" w14:textId="77777777" w:rsidR="00711444" w:rsidRPr="004D0DAA" w:rsidRDefault="00711444" w:rsidP="00711444">
      <w:r w:rsidRPr="004D0DAA">
        <w:t xml:space="preserve">The LI field is 6 bits in length and shall be encoded as a binary number with range 1 to 19, 29, 35 or 49, according to the coding scheme in use, i.e. CS-1, CS-2, CS-3 or CS-4 respectively. The value 0 shall indicate that no Upper Layer PDU boundary exists. In this case the M bit shall be set to' 0' and the E bit shall be set to '1' on the transmitting side, while on the receiving side the M bit shall be ignored and the E bit shall be interpreted as having the value '1'. The value 61 or 62 may also be used as described above. In </w:t>
      </w:r>
      <w:r w:rsidRPr="004D0DAA">
        <w:rPr>
          <w:i/>
        </w:rPr>
        <w:t>Iu mode</w:t>
      </w:r>
      <w:r w:rsidRPr="004D0DAA">
        <w:t>, a value of 63 shall indicate the presence of filler information within the RLC data block. All other values are reserved, and in this version of the protocol, the mobile station shall ignore all fields of the RLC data block except for the USF field.</w:t>
      </w:r>
    </w:p>
    <w:p w14:paraId="0403F33B" w14:textId="77777777" w:rsidR="00711444" w:rsidRPr="004D0DAA" w:rsidRDefault="00711444" w:rsidP="00711444">
      <w:pPr>
        <w:pStyle w:val="Heading3"/>
      </w:pPr>
      <w:bookmarkStart w:id="589" w:name="_Toc516669769"/>
      <w:r w:rsidRPr="004D0DAA">
        <w:t>10.4.14a</w:t>
      </w:r>
      <w:r w:rsidRPr="004D0DAA">
        <w:tab/>
        <w:t>Length Indicator (LI) field in EGPRS TBF mode, EC TBF mode and TCH TBF mode (</w:t>
      </w:r>
      <w:r w:rsidRPr="004D0DAA">
        <w:rPr>
          <w:i/>
          <w:iCs/>
        </w:rPr>
        <w:t>Iu mode</w:t>
      </w:r>
      <w:r w:rsidRPr="004D0DAA">
        <w:t>)</w:t>
      </w:r>
      <w:bookmarkEnd w:id="589"/>
    </w:p>
    <w:p w14:paraId="2696DCA0" w14:textId="77777777" w:rsidR="00711444" w:rsidRPr="004D0DAA" w:rsidRDefault="00711444" w:rsidP="00711444">
      <w:r w:rsidRPr="004D0DAA">
        <w:t xml:space="preserve">The Length indicator is used to delimit Upper Layer PDUs within the RLC data block. Additionally for </w:t>
      </w:r>
      <w:r w:rsidRPr="004D0DAA">
        <w:rPr>
          <w:i/>
        </w:rPr>
        <w:t>Iu mode</w:t>
      </w:r>
      <w:r w:rsidRPr="004D0DAA">
        <w:t>, a Length Indicator of value 127 may be used to indicate the presence of filler information within the RLC data block. If the first length indicator in the RLC data block is set to 127, then the entire RLC data block contains filler information.</w:t>
      </w:r>
    </w:p>
    <w:p w14:paraId="049AB6D4" w14:textId="77777777" w:rsidR="00711444" w:rsidRPr="004D0DAA" w:rsidRDefault="00711444" w:rsidP="00711444">
      <w:r w:rsidRPr="004D0DAA">
        <w:t>The first Length Indicator (respectively, second length Indicator, if the first is of value 123, as described below) shall indicate the number of octets of the RLC data field belonging to the first Upper Layer PDU, the second Length Indicator (respectively third Length Indicator, if the first is of value 123, as described below) shall indicate the number of octets of the RLC data field belonging to the second Upper Layer PDU, etc. Only the last segment of any Upper Layer PDU, including those with only one segment, shall be identified with a Length Indicator. The length indicator shall be placed in the RLC data block corresponding to the last segment of the Upper Layer PDU, unless the Upper Layer PDU without the corresponding LI field fills the RLC data block precisely. In this singular case, the Length Indicator shall be placed as the first Length Indicator in the next in sequence RLC data block and take the value 0. The inclusion of a Length Indicator that indicates the presence of a Selected PLMN Index field (see sub-clause 10.4.27) will never correspond to an Upper Layer PDU and therefore will never result in this singular case.</w:t>
      </w:r>
    </w:p>
    <w:p w14:paraId="3E64882E" w14:textId="77777777" w:rsidR="00711444" w:rsidRPr="004D0DAA" w:rsidRDefault="00711444" w:rsidP="00711444">
      <w:r w:rsidRPr="004D0DAA">
        <w:t xml:space="preserve">If the Upper Layer PDU does not fill the current RLC data block, a Length Indicator with value 127 (111 1111) shall be included as the last Length Indicator of the current RLC data block, indicating that there is no following Upper Layer PDU in this RLC data block. If the Upper Layer PDU does not fill the RLC data block and there is only one octet left, then the Length Indicator corresponding to the Upper Layer PDU is the last Length Indicator field that shall be included in the RLC data block. </w:t>
      </w:r>
    </w:p>
    <w:p w14:paraId="31C92A26" w14:textId="77777777" w:rsidR="00711444" w:rsidRPr="004D0DAA" w:rsidRDefault="00711444" w:rsidP="00711444">
      <w:r w:rsidRPr="004D0DAA">
        <w:t>During RLC non-persistent mode of operation, or, during RLC unacknowledged mode of operation if the network has commanded the usage of "Indication of Upper Layer PDU Start for RLC UM" for the TBF, and if the current RLC data block starts with the first segment of a new Upper Layer PDU, then a Length Indicator taking the value 126 shall be placed as the first Length Indicator in the RLC data block unless a Length Indicator with the value 0, signalling that the last segment of the previous Upper Layer PDU precisely fills the previous in sequence RLC data block, shall be included.</w:t>
      </w:r>
    </w:p>
    <w:p w14:paraId="0D62BAB1" w14:textId="77777777" w:rsidR="00711444" w:rsidRPr="004D0DAA" w:rsidRDefault="00711444" w:rsidP="00711444">
      <w:r w:rsidRPr="004D0DAA">
        <w:t xml:space="preserve">If the network and the mobile station support dynamic timeslot reduction (see sub-clause 8.1.8), a Length Indicator with value 125 indicates the presence of dynamic timeslot reduction control information which shall be included after the last Upper Layer PDU. </w:t>
      </w:r>
    </w:p>
    <w:p w14:paraId="1FA0C556" w14:textId="77777777" w:rsidR="00711444" w:rsidRPr="004D0DAA" w:rsidRDefault="00711444" w:rsidP="00711444">
      <w:r w:rsidRPr="004D0DAA">
        <w:t>If EMSR is enabled, the transmission of an Upper Layer PDU can be suspended to transmit a higher priority Upper Layer PDU by including an LI with a value of 124 as the first LI field within the next transmitted RLC data block where an octet containing the TFI value associated with the higher priority Upper Layer PDU immediately follows the LI field. The transmission of the suspended Upper Layer PDU is resumed by including an LI with a value of 124 followed by an octet containing the TFI (and eTFI if assigned, see sub-clause 5.13) associated with the Upper Layer PDU whose transmission is resumed after the LI associated with the last segment of the higher priority Upper Layer PDU whose transmission is completed. The transition from the last segment of an Upper Layer PDU to the first segment of a new Upper Layer PDU associated with a different PFC can also occur within an RLC data block (i.e. no suspend occurs) in which case the transition is indicated by including an LI with a value of 124 followed by an octet containing the TFI (and eTFI if assigned) associated with the new Upper Layer PDU after the LI associated with the last segment of the Upper Layer PDU whose transmission is completed. In addition:</w:t>
      </w:r>
    </w:p>
    <w:p w14:paraId="75BF2E15" w14:textId="77777777" w:rsidR="00711444" w:rsidRPr="004D0DAA" w:rsidRDefault="00711444" w:rsidP="00711444">
      <w:pPr>
        <w:pStyle w:val="B1"/>
      </w:pPr>
      <w:r w:rsidRPr="004D0DAA">
        <w:lastRenderedPageBreak/>
        <w:t>-</w:t>
      </w:r>
      <w:r w:rsidRPr="004D0DAA">
        <w:tab/>
        <w:t>If the last segment of the Upper Layer PDU without the corresponding LI field fills the RLC data block precisely and the next in sequence RLC data block is in the same radio block, then a Length Indicator with the value 0 shall be placed as the first Length Indicator in the next in sequence RLC data block.</w:t>
      </w:r>
    </w:p>
    <w:p w14:paraId="4257E486" w14:textId="77777777" w:rsidR="00711444" w:rsidRPr="004D0DAA" w:rsidRDefault="00711444" w:rsidP="00711444">
      <w:pPr>
        <w:pStyle w:val="B1"/>
      </w:pPr>
      <w:r w:rsidRPr="004D0DAA">
        <w:t>-</w:t>
      </w:r>
      <w:r w:rsidRPr="004D0DAA">
        <w:tab/>
        <w:t>If the last segment of the Upper Layer PDU without the corresponding LI field fills the RLC data block precisely and the next in sequence RLC data block is in a different radio block, then a Length Indicator with the value 0 shall be placed as the first Length Indicator in the next in sequence RLC data block and the TFI in the RLC/MAC header associated with the next in sequence RLC data block and, if eTFI is assigned, the eTFI indicated by the CRC of the  next in sequence RLC data block, shall correspond to the last segment of the Upper Layer PDU.</w:t>
      </w:r>
    </w:p>
    <w:p w14:paraId="40E6BD20" w14:textId="77777777" w:rsidR="00711444" w:rsidRPr="004D0DAA" w:rsidRDefault="00711444" w:rsidP="00711444">
      <w:pPr>
        <w:pStyle w:val="B1"/>
      </w:pPr>
      <w:r w:rsidRPr="004D0DAA">
        <w:t>-</w:t>
      </w:r>
      <w:r w:rsidRPr="004D0DAA">
        <w:tab/>
        <w:t>When a Length Indicator having the value 124 is included in the same RLC data block as the last segment of the Upper Layer PDU and fills the RLC data block precisely then the first octet of the RLC data field of the next in sequence RLC data block shall include the TFI (and eTFI if assigned) corresponding to the Upper Layer PDU whose transmission is resumed (if a suspend occurred) or to a new Upper Layer PDU (if no suspend occurred).</w:t>
      </w:r>
    </w:p>
    <w:p w14:paraId="6EF2434C" w14:textId="77777777" w:rsidR="00711444" w:rsidRPr="004D0DAA" w:rsidRDefault="00711444" w:rsidP="00711444">
      <w:r w:rsidRPr="004D0DAA">
        <w:t xml:space="preserve">A Length Indicator of value 123 is used by a mobile station supporting network sharing to indicate the presence of the </w:t>
      </w:r>
      <w:r w:rsidRPr="004D0DAA">
        <w:rPr>
          <w:i/>
        </w:rPr>
        <w:t>Selected PLMN Index</w:t>
      </w:r>
      <w:r w:rsidRPr="004D0DAA">
        <w:t xml:space="preserve"> field (see sub-clause 10.4.27) in the octet immediately following this Length Indicator. In this case  it shall always be the first Length Indicator in the RLC data block. The first Length Indicator used for the case of EMSR requires that at least one previous RLC data block has been sent for the uplink TBF whereas the first Length Indicator used to indicate the presence of the Selected PLMN Index field shall always occur within the very first RLC data block sent for the uplink TBF and as such they can never occur within the same RLC data block.</w:t>
      </w:r>
    </w:p>
    <w:p w14:paraId="5F0CB02C" w14:textId="77777777" w:rsidR="00711444" w:rsidRPr="004D0DAA" w:rsidRDefault="00711444" w:rsidP="00711444">
      <w:r w:rsidRPr="004D0DAA">
        <w:t>When performing the radio access part of the MTA procedure using the RLC Data Block method (see 3GPP TS 44.018 [11]) a Length Indicator of value 122 is used by a mobile station to indicate the presence of the “</w:t>
      </w:r>
      <w:r w:rsidRPr="004D0DAA">
        <w:rPr>
          <w:i/>
        </w:rPr>
        <w:t>Cell Identity</w:t>
      </w:r>
      <w:r w:rsidRPr="004D0DAA">
        <w:t>” field (2 octets) starting in the octet immediately following LI = 122, the</w:t>
      </w:r>
      <w:r w:rsidRPr="004D0DAA">
        <w:rPr>
          <w:i/>
        </w:rPr>
        <w:t xml:space="preserve"> </w:t>
      </w:r>
      <w:r w:rsidRPr="004D0DAA">
        <w:t>“</w:t>
      </w:r>
      <w:r w:rsidRPr="004D0DAA">
        <w:rPr>
          <w:i/>
        </w:rPr>
        <w:t>Routing Area Identification</w:t>
      </w:r>
      <w:r w:rsidRPr="004D0DAA">
        <w:t xml:space="preserve">” field (6 octets) starting in the octet immediately following the last octet used for the </w:t>
      </w:r>
      <w:r w:rsidRPr="004D0DAA">
        <w:rPr>
          <w:i/>
        </w:rPr>
        <w:t>Cell Identity</w:t>
      </w:r>
      <w:r w:rsidRPr="004D0DAA">
        <w:t>” field,  the “</w:t>
      </w:r>
      <w:r w:rsidRPr="004D0DAA">
        <w:rPr>
          <w:i/>
        </w:rPr>
        <w:t>MS Sync Accuracy</w:t>
      </w:r>
      <w:r w:rsidRPr="004D0DAA">
        <w:t>” field (4 bits) and the “</w:t>
      </w:r>
      <w:r w:rsidRPr="004D0DAA">
        <w:rPr>
          <w:i/>
        </w:rPr>
        <w:t>MS Transmission Offset</w:t>
      </w:r>
      <w:r w:rsidRPr="004D0DAA">
        <w:t>” field (4 bits) in the octet immediately following the last octet used for the “</w:t>
      </w:r>
      <w:r w:rsidRPr="004D0DAA">
        <w:rPr>
          <w:i/>
        </w:rPr>
        <w:t>Routing Area Identification</w:t>
      </w:r>
      <w:r w:rsidRPr="004D0DAA">
        <w:t>” field and the “</w:t>
      </w:r>
      <w:r w:rsidRPr="004D0DAA">
        <w:rPr>
          <w:i/>
        </w:rPr>
        <w:t>Random ID</w:t>
      </w:r>
      <w:r w:rsidRPr="004D0DAA">
        <w:t xml:space="preserve">” field (16 bits) in the two octets immediately following the octet used for the </w:t>
      </w:r>
      <w:r w:rsidRPr="004D0DAA">
        <w:rPr>
          <w:i/>
        </w:rPr>
        <w:t>MS Sync Accuracy</w:t>
      </w:r>
      <w:r w:rsidRPr="004D0DAA">
        <w:t>” and the “</w:t>
      </w:r>
      <w:r w:rsidRPr="004D0DAA">
        <w:rPr>
          <w:i/>
        </w:rPr>
        <w:t>MS Transmission Offset</w:t>
      </w:r>
      <w:r w:rsidRPr="004D0DAA">
        <w:t xml:space="preserve">” fields (see sub-clause 10.3a.2.1 and sub-clause 10.3a.2.2). A single RLC data block is sent when performing the radio access part of the MTA procedure when using this method and does not include an Upper Layer PDU. As such, no additional payload beyond the </w:t>
      </w:r>
      <w:r w:rsidR="003A27B2" w:rsidRPr="004D0DAA">
        <w:t>11</w:t>
      </w:r>
      <w:r w:rsidRPr="004D0DAA">
        <w:t xml:space="preserve"> octets immediately following LI = 122 shall be carried by the RLC data block (i.e. an RLC data field shall not be included). </w:t>
      </w:r>
    </w:p>
    <w:p w14:paraId="04CF61AD" w14:textId="77777777" w:rsidR="003A27B2" w:rsidRPr="004D0DAA" w:rsidRDefault="003A27B2" w:rsidP="003A27B2">
      <w:pPr>
        <w:jc w:val="both"/>
      </w:pPr>
      <w:r w:rsidRPr="004D0DAA">
        <w:t xml:space="preserve">When performing the radio access part of the MTA procedure using the RLC Data Block method (see 3GPP TS 44.018 [11]) a Length Indicator of value 119 is used by a mobile station to indicate the presence of the “MTA Signature” field (4 octets) starting in the octet immediately following LI = 119 (see sub-clause 10.3a.2.1 and sub-clause 10.3a.2.2). MS generates MTA signature using integrity protection algorithm (see 3GPP TS 43.020) with a concatenated string formed using cellid and transmission as input. A single RLC data block is sent when performing the radio access part of the MTA procedure when using this method and does not include an Upper Layer PDU. As such, no additional payload beyond the 4 octets immediately following LI = 119 shall be carried by the RLC data block (i.e. an RLC data field shall not be included). </w:t>
      </w:r>
    </w:p>
    <w:p w14:paraId="22E2ED96" w14:textId="77777777" w:rsidR="003A27B2" w:rsidRPr="004D0DAA" w:rsidRDefault="003A27B2" w:rsidP="003A27B2">
      <w:pPr>
        <w:jc w:val="both"/>
      </w:pPr>
      <w:r w:rsidRPr="004D0DAA">
        <w:t>When performing the radio access part of the MTA procedure using the RLC Data Block method (see 3GPP TS 44.018 [11]) a Length Indicator of value 118 is used by a mobile station to indicate the presence of the “</w:t>
      </w:r>
      <w:r w:rsidRPr="004D0DAA">
        <w:rPr>
          <w:i/>
        </w:rPr>
        <w:t>MTA Report Instance</w:t>
      </w:r>
      <w:r w:rsidRPr="004D0DAA">
        <w:t>” field and the “</w:t>
      </w:r>
      <w:r w:rsidRPr="004D0DAA">
        <w:rPr>
          <w:i/>
        </w:rPr>
        <w:t>FMA</w:t>
      </w:r>
      <w:r w:rsidRPr="004D0DAA">
        <w:t xml:space="preserve">” field starting in the octet immediately following LI = 118 (see sub-clause 10.3a.2.1 and sub-clause 10.3a.2.2). A single RLC data block including these fields is sent when performing the radio access part of the MTA procedure with enhanced security provided according to the BSS Duplication Detection Method (see 3GPP TS 43.059 and 3GPP TS 49.031) and does not include an Upper Layer PDU. As such, no additional payload beyond the octet immediately following LI = 118 shall be carried by the RLC data block (i.e. an RLC data field shall not be included). </w:t>
      </w:r>
    </w:p>
    <w:p w14:paraId="76C14EC2" w14:textId="77777777" w:rsidR="00711444" w:rsidRPr="004D0DAA" w:rsidRDefault="00711444" w:rsidP="00711444">
      <w:r w:rsidRPr="004D0DAA">
        <w:t>When sending a Page Response due to receiving a Page with a ‘positioning event’ indication (see 3GPP TS 44.018 [11] and 3GPP TS 44.031) a Length Indicator of value 121 is used by a mobile station to indicate the presence of the “</w:t>
      </w:r>
      <w:r w:rsidRPr="004D0DAA">
        <w:rPr>
          <w:i/>
        </w:rPr>
        <w:t>MS Sync Accuracy</w:t>
      </w:r>
      <w:r w:rsidRPr="004D0DAA">
        <w:t>” field (4 bits) and the “</w:t>
      </w:r>
      <w:r w:rsidRPr="004D0DAA">
        <w:rPr>
          <w:i/>
        </w:rPr>
        <w:t>MS Transmission Offset</w:t>
      </w:r>
      <w:r w:rsidRPr="004D0DAA">
        <w:t>” field (4 bits) starting in the octet immediately following following LI = 121 (see sub-clause 10.3a.2.1 and sub-clause 10.3a.2.2). The LLC PDU (i.e. the Page Response) is carried within the RLC data field. When receiving an RLC Data Block with LI = 121 the BSS sends the SGSN an UL-UNITDATA PDU that includes the LLC PDU, the “MultilaterationTiming Advance”, “MS Synchronization Accuracy” and the “BTS Reception Accuracy” parameters.</w:t>
      </w:r>
    </w:p>
    <w:p w14:paraId="70F75C50" w14:textId="77777777" w:rsidR="00711444" w:rsidRPr="004D0DAA" w:rsidRDefault="00711444" w:rsidP="00711444">
      <w:r w:rsidRPr="004D0DAA">
        <w:t>A Length Indicator of value 120 is used by a mobile station supporting MS assisted Dedicated Core Network selection and indicates the presence of a DCN-ID value (see sub-clause 10.4.30) in the two octets immediately following this Length Indicator.</w:t>
      </w:r>
    </w:p>
    <w:p w14:paraId="5C9D625F" w14:textId="77777777" w:rsidR="00711444" w:rsidRPr="004D0DAA" w:rsidRDefault="00711444" w:rsidP="00711444">
      <w:r w:rsidRPr="004D0DAA">
        <w:lastRenderedPageBreak/>
        <w:t>The final RLC data block of a TBF shall have a Length Indicator field corresponding to the final Upper Layer PDU unless the final Upper Layer PDU fills the RLC data block precisely. If the final Upper Layer PDU fills the final RLC data block precisely, the final Upper Layer PDU shall be sent without a corresponding Length Indicator field.</w:t>
      </w:r>
    </w:p>
    <w:p w14:paraId="1CD3B35A" w14:textId="77777777" w:rsidR="00711444" w:rsidRPr="004D0DAA" w:rsidRDefault="00711444" w:rsidP="00711444">
      <w:r w:rsidRPr="004D0DAA">
        <w:t>The Length Indicator field is 7 bits in length and shall be encoded as a binary number. The valid values are the values ranging from 0 to 74 for an EGPRS TBF, an EC TBF, an EGPRS2-A uplink TBF or an EGPRS2-B TBF, from 0 to 82 for an EGPRS2-A downlink TBF, from 0 to 103 in TCH TBF mode (</w:t>
      </w:r>
      <w:r w:rsidRPr="004D0DAA">
        <w:rPr>
          <w:i/>
          <w:iCs/>
        </w:rPr>
        <w:t>Iu mode</w:t>
      </w:r>
      <w:r w:rsidRPr="004D0DAA">
        <w:t xml:space="preserve">), and the values </w:t>
      </w:r>
      <w:r w:rsidR="003A27B2" w:rsidRPr="004D0DAA">
        <w:t>118</w:t>
      </w:r>
      <w:r w:rsidRPr="004D0DAA">
        <w:t xml:space="preserve"> to 127. All other values are reserved. A mobile station detecting a reserved Length Indicator value or an inconsistent encoding of the Length Indicator and E fields shall ignore the RLC data block.</w:t>
      </w:r>
    </w:p>
    <w:p w14:paraId="00943933" w14:textId="77777777" w:rsidR="00711444" w:rsidRPr="004D0DAA" w:rsidRDefault="00711444" w:rsidP="00711444">
      <w:r w:rsidRPr="004D0DAA">
        <w:t>The interpretation of the value contained in the length indicator with corresponding E bit is summarized in table 10.4.14a.1 and some examples are shown in annex B.</w:t>
      </w:r>
    </w:p>
    <w:p w14:paraId="5163012A" w14:textId="77777777" w:rsidR="00711444" w:rsidRPr="004D0DAA" w:rsidRDefault="00711444" w:rsidP="00711444">
      <w:pPr>
        <w:pStyle w:val="TH"/>
      </w:pPr>
      <w:r w:rsidRPr="004D0DAA">
        <w:lastRenderedPageBreak/>
        <w:t>Table 10.4.14a.1: Interpretation of values of LI field and E bit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91"/>
        <w:gridCol w:w="1662"/>
        <w:gridCol w:w="4676"/>
      </w:tblGrid>
      <w:tr w:rsidR="00711444" w:rsidRPr="004D0DAA" w14:paraId="75DDB07B" w14:textId="77777777" w:rsidTr="00AA2A4C">
        <w:tblPrEx>
          <w:tblCellMar>
            <w:top w:w="0" w:type="dxa"/>
            <w:bottom w:w="0" w:type="dxa"/>
          </w:tblCellMar>
        </w:tblPrEx>
        <w:tc>
          <w:tcPr>
            <w:tcW w:w="1709" w:type="pct"/>
            <w:tcBorders>
              <w:bottom w:val="single" w:sz="4" w:space="0" w:color="auto"/>
            </w:tcBorders>
          </w:tcPr>
          <w:p w14:paraId="5E308578" w14:textId="77777777" w:rsidR="00711444" w:rsidRPr="004D0DAA" w:rsidRDefault="00711444" w:rsidP="00AA2A4C">
            <w:pPr>
              <w:pStyle w:val="TAH"/>
              <w:rPr>
                <w:lang w:eastAsia="en-US"/>
              </w:rPr>
            </w:pPr>
            <w:r w:rsidRPr="004D0DAA">
              <w:rPr>
                <w:lang w:eastAsia="en-US"/>
              </w:rPr>
              <w:t>Value of LI in a RLC data block</w:t>
            </w:r>
          </w:p>
        </w:tc>
        <w:tc>
          <w:tcPr>
            <w:tcW w:w="863" w:type="pct"/>
            <w:tcBorders>
              <w:bottom w:val="single" w:sz="4" w:space="0" w:color="auto"/>
            </w:tcBorders>
          </w:tcPr>
          <w:p w14:paraId="067D3067" w14:textId="77777777" w:rsidR="00711444" w:rsidRPr="004D0DAA" w:rsidRDefault="00711444" w:rsidP="00AA2A4C">
            <w:pPr>
              <w:pStyle w:val="TAH"/>
              <w:rPr>
                <w:lang w:eastAsia="en-US"/>
              </w:rPr>
            </w:pPr>
            <w:r w:rsidRPr="004D0DAA">
              <w:rPr>
                <w:lang w:eastAsia="en-US"/>
              </w:rPr>
              <w:t>Value of E bit in the same octet</w:t>
            </w:r>
          </w:p>
        </w:tc>
        <w:tc>
          <w:tcPr>
            <w:tcW w:w="2428" w:type="pct"/>
            <w:tcBorders>
              <w:bottom w:val="single" w:sz="4" w:space="0" w:color="auto"/>
            </w:tcBorders>
          </w:tcPr>
          <w:p w14:paraId="0BB690CD" w14:textId="77777777" w:rsidR="00711444" w:rsidRPr="004D0DAA" w:rsidRDefault="00711444" w:rsidP="00AA2A4C">
            <w:pPr>
              <w:pStyle w:val="TAH"/>
              <w:rPr>
                <w:lang w:eastAsia="en-US"/>
              </w:rPr>
            </w:pPr>
            <w:r w:rsidRPr="004D0DAA">
              <w:rPr>
                <w:lang w:eastAsia="en-US"/>
              </w:rPr>
              <w:t xml:space="preserve">Interpretation </w:t>
            </w:r>
          </w:p>
        </w:tc>
      </w:tr>
      <w:tr w:rsidR="00711444" w:rsidRPr="004D0DAA" w14:paraId="42A87F03" w14:textId="77777777" w:rsidTr="00AA2A4C">
        <w:tblPrEx>
          <w:tblCellMar>
            <w:top w:w="0" w:type="dxa"/>
            <w:bottom w:w="0" w:type="dxa"/>
          </w:tblCellMar>
        </w:tblPrEx>
        <w:tc>
          <w:tcPr>
            <w:tcW w:w="1709" w:type="pct"/>
            <w:tcBorders>
              <w:top w:val="single" w:sz="4" w:space="0" w:color="auto"/>
              <w:left w:val="single" w:sz="4" w:space="0" w:color="auto"/>
              <w:bottom w:val="nil"/>
              <w:right w:val="nil"/>
            </w:tcBorders>
          </w:tcPr>
          <w:p w14:paraId="54C85EBC" w14:textId="77777777" w:rsidR="00711444" w:rsidRPr="004D0DAA" w:rsidRDefault="00711444" w:rsidP="00AA2A4C">
            <w:pPr>
              <w:pStyle w:val="TAL"/>
              <w:rPr>
                <w:lang w:eastAsia="en-US"/>
              </w:rPr>
            </w:pPr>
            <w:r w:rsidRPr="004D0DAA">
              <w:rPr>
                <w:lang w:eastAsia="en-US"/>
              </w:rPr>
              <w:t xml:space="preserve">k-th LI (k&gt;0 integer): </w:t>
            </w:r>
          </w:p>
          <w:p w14:paraId="25E73C79" w14:textId="77777777" w:rsidR="00711444" w:rsidRPr="004D0DAA" w:rsidRDefault="00711444" w:rsidP="00AA2A4C">
            <w:pPr>
              <w:pStyle w:val="TAL"/>
              <w:rPr>
                <w:lang w:eastAsia="en-US"/>
              </w:rPr>
            </w:pPr>
            <w:r w:rsidRPr="004D0DAA">
              <w:rPr>
                <w:lang w:eastAsia="en-US"/>
              </w:rPr>
              <w:t>0&lt; value &lt;75 (EGPRS/EC-GSM-IoT except EGPRS2-A downlink)</w:t>
            </w:r>
          </w:p>
          <w:p w14:paraId="3307B032" w14:textId="77777777" w:rsidR="00711444" w:rsidRPr="004D0DAA" w:rsidRDefault="00711444" w:rsidP="00AA2A4C">
            <w:pPr>
              <w:pStyle w:val="TAL"/>
              <w:rPr>
                <w:lang w:eastAsia="en-US"/>
              </w:rPr>
            </w:pPr>
            <w:r w:rsidRPr="004D0DAA">
              <w:rPr>
                <w:lang w:eastAsia="en-US"/>
              </w:rPr>
              <w:t xml:space="preserve">0&lt; value &lt;83 (EGPRS2-A downlink) </w:t>
            </w:r>
          </w:p>
          <w:p w14:paraId="48FF3785" w14:textId="77777777" w:rsidR="00711444" w:rsidRPr="004D0DAA" w:rsidRDefault="00711444" w:rsidP="00AA2A4C">
            <w:pPr>
              <w:pStyle w:val="TAL"/>
              <w:rPr>
                <w:lang w:eastAsia="en-US"/>
              </w:rPr>
            </w:pPr>
            <w:r w:rsidRPr="004D0DAA">
              <w:rPr>
                <w:lang w:eastAsia="en-US"/>
              </w:rPr>
              <w:t>0&lt; value &lt;104 (TCH)</w:t>
            </w:r>
          </w:p>
        </w:tc>
        <w:tc>
          <w:tcPr>
            <w:tcW w:w="863" w:type="pct"/>
            <w:tcBorders>
              <w:top w:val="single" w:sz="4" w:space="0" w:color="auto"/>
              <w:left w:val="nil"/>
              <w:bottom w:val="nil"/>
              <w:right w:val="nil"/>
            </w:tcBorders>
          </w:tcPr>
          <w:p w14:paraId="0201BC7E" w14:textId="77777777" w:rsidR="00711444" w:rsidRPr="004D0DAA" w:rsidRDefault="00711444" w:rsidP="00AA2A4C">
            <w:pPr>
              <w:pStyle w:val="TAC"/>
              <w:rPr>
                <w:lang w:eastAsia="en-US"/>
              </w:rPr>
            </w:pPr>
          </w:p>
        </w:tc>
        <w:tc>
          <w:tcPr>
            <w:tcW w:w="2428" w:type="pct"/>
            <w:tcBorders>
              <w:top w:val="single" w:sz="4" w:space="0" w:color="auto"/>
              <w:left w:val="nil"/>
              <w:bottom w:val="nil"/>
              <w:right w:val="single" w:sz="4" w:space="0" w:color="auto"/>
            </w:tcBorders>
          </w:tcPr>
          <w:p w14:paraId="17A8D2B7" w14:textId="77777777" w:rsidR="00711444" w:rsidRPr="004D0DAA" w:rsidRDefault="00711444" w:rsidP="00AA2A4C">
            <w:pPr>
              <w:pStyle w:val="TAL"/>
              <w:rPr>
                <w:lang w:eastAsia="en-US"/>
              </w:rPr>
            </w:pPr>
            <w:r w:rsidRPr="004D0DAA">
              <w:rPr>
                <w:lang w:eastAsia="en-US"/>
              </w:rPr>
              <w:t>The value of the k-th LI is the number of octets of the k-th Upper Layer PDU, or the last segment of it, in the current RLC data block.</w:t>
            </w:r>
          </w:p>
        </w:tc>
      </w:tr>
      <w:tr w:rsidR="00711444" w:rsidRPr="004D0DAA" w14:paraId="3AA4F7A8" w14:textId="77777777" w:rsidTr="00AA2A4C">
        <w:tblPrEx>
          <w:tblCellMar>
            <w:top w:w="0" w:type="dxa"/>
            <w:bottom w:w="0" w:type="dxa"/>
          </w:tblCellMar>
        </w:tblPrEx>
        <w:tc>
          <w:tcPr>
            <w:tcW w:w="1709" w:type="pct"/>
            <w:tcBorders>
              <w:top w:val="nil"/>
              <w:left w:val="single" w:sz="4" w:space="0" w:color="auto"/>
              <w:bottom w:val="nil"/>
              <w:right w:val="nil"/>
            </w:tcBorders>
          </w:tcPr>
          <w:p w14:paraId="551D8056" w14:textId="77777777" w:rsidR="00711444" w:rsidRPr="004D0DAA" w:rsidRDefault="00711444" w:rsidP="00AA2A4C">
            <w:pPr>
              <w:pStyle w:val="TAL"/>
              <w:rPr>
                <w:lang w:eastAsia="en-US"/>
              </w:rPr>
            </w:pPr>
          </w:p>
        </w:tc>
        <w:tc>
          <w:tcPr>
            <w:tcW w:w="863" w:type="pct"/>
            <w:tcBorders>
              <w:top w:val="nil"/>
              <w:left w:val="nil"/>
              <w:bottom w:val="nil"/>
              <w:right w:val="nil"/>
            </w:tcBorders>
          </w:tcPr>
          <w:p w14:paraId="67D152CF" w14:textId="77777777" w:rsidR="00711444" w:rsidRPr="004D0DAA" w:rsidRDefault="00711444" w:rsidP="00AA2A4C">
            <w:pPr>
              <w:pStyle w:val="TAC"/>
              <w:rPr>
                <w:lang w:eastAsia="en-US"/>
              </w:rPr>
            </w:pPr>
            <w:r w:rsidRPr="004D0DAA">
              <w:rPr>
                <w:lang w:eastAsia="en-US"/>
              </w:rPr>
              <w:t>0</w:t>
            </w:r>
          </w:p>
        </w:tc>
        <w:tc>
          <w:tcPr>
            <w:tcW w:w="2428" w:type="pct"/>
            <w:tcBorders>
              <w:top w:val="nil"/>
              <w:left w:val="nil"/>
              <w:bottom w:val="nil"/>
              <w:right w:val="single" w:sz="4" w:space="0" w:color="auto"/>
            </w:tcBorders>
          </w:tcPr>
          <w:p w14:paraId="6462BACB" w14:textId="77777777" w:rsidR="00711444" w:rsidRPr="004D0DAA" w:rsidRDefault="00711444" w:rsidP="00AA2A4C">
            <w:pPr>
              <w:pStyle w:val="TAL"/>
              <w:rPr>
                <w:lang w:eastAsia="en-US"/>
              </w:rPr>
            </w:pPr>
            <w:r w:rsidRPr="004D0DAA">
              <w:rPr>
                <w:lang w:eastAsia="en-US"/>
              </w:rPr>
              <w:t>There is at least one Upper Layer PDU following the k-th Upper Layer PDU in the current RLC data block.</w:t>
            </w:r>
          </w:p>
        </w:tc>
      </w:tr>
      <w:tr w:rsidR="00711444" w:rsidRPr="004D0DAA" w14:paraId="364DBC17" w14:textId="77777777" w:rsidTr="00AA2A4C">
        <w:tblPrEx>
          <w:tblCellMar>
            <w:top w:w="0" w:type="dxa"/>
            <w:bottom w:w="0" w:type="dxa"/>
          </w:tblCellMar>
        </w:tblPrEx>
        <w:tc>
          <w:tcPr>
            <w:tcW w:w="1709" w:type="pct"/>
            <w:tcBorders>
              <w:top w:val="nil"/>
              <w:left w:val="single" w:sz="4" w:space="0" w:color="auto"/>
              <w:bottom w:val="single" w:sz="4" w:space="0" w:color="auto"/>
              <w:right w:val="nil"/>
            </w:tcBorders>
          </w:tcPr>
          <w:p w14:paraId="65BDAFD0" w14:textId="77777777" w:rsidR="00711444" w:rsidRPr="004D0DAA" w:rsidRDefault="00711444" w:rsidP="00AA2A4C">
            <w:pPr>
              <w:pStyle w:val="TAL"/>
              <w:rPr>
                <w:lang w:eastAsia="en-US"/>
              </w:rPr>
            </w:pPr>
          </w:p>
        </w:tc>
        <w:tc>
          <w:tcPr>
            <w:tcW w:w="863" w:type="pct"/>
            <w:tcBorders>
              <w:top w:val="nil"/>
              <w:left w:val="nil"/>
              <w:bottom w:val="single" w:sz="4" w:space="0" w:color="auto"/>
              <w:right w:val="nil"/>
            </w:tcBorders>
          </w:tcPr>
          <w:p w14:paraId="390E98DA" w14:textId="77777777" w:rsidR="00711444" w:rsidRPr="004D0DAA" w:rsidRDefault="00711444" w:rsidP="00AA2A4C">
            <w:pPr>
              <w:pStyle w:val="TAC"/>
              <w:rPr>
                <w:lang w:eastAsia="en-US"/>
              </w:rPr>
            </w:pPr>
            <w:r w:rsidRPr="004D0DAA">
              <w:rPr>
                <w:lang w:eastAsia="en-US"/>
              </w:rPr>
              <w:t>1</w:t>
            </w:r>
          </w:p>
        </w:tc>
        <w:tc>
          <w:tcPr>
            <w:tcW w:w="2428" w:type="pct"/>
            <w:tcBorders>
              <w:top w:val="nil"/>
              <w:left w:val="nil"/>
              <w:bottom w:val="single" w:sz="4" w:space="0" w:color="auto"/>
              <w:right w:val="single" w:sz="4" w:space="0" w:color="auto"/>
            </w:tcBorders>
          </w:tcPr>
          <w:p w14:paraId="000AB851" w14:textId="77777777" w:rsidR="00711444" w:rsidRPr="004D0DAA" w:rsidRDefault="00711444" w:rsidP="00AA2A4C">
            <w:pPr>
              <w:pStyle w:val="TAL"/>
              <w:rPr>
                <w:lang w:eastAsia="en-US"/>
              </w:rPr>
            </w:pPr>
            <w:r w:rsidRPr="004D0DAA">
              <w:rPr>
                <w:lang w:eastAsia="en-US"/>
              </w:rPr>
              <w:t>There is no more than one Upper Layer PDU following the k-th Upper Layer PDU in the current RLC data block.</w:t>
            </w:r>
          </w:p>
        </w:tc>
      </w:tr>
      <w:tr w:rsidR="00711444" w:rsidRPr="004D0DAA" w14:paraId="24226355" w14:textId="77777777" w:rsidTr="00AA2A4C">
        <w:tblPrEx>
          <w:tblCellMar>
            <w:top w:w="0" w:type="dxa"/>
            <w:bottom w:w="0" w:type="dxa"/>
          </w:tblCellMar>
        </w:tblPrEx>
        <w:tc>
          <w:tcPr>
            <w:tcW w:w="1709" w:type="pct"/>
            <w:tcBorders>
              <w:top w:val="single" w:sz="4" w:space="0" w:color="auto"/>
              <w:left w:val="single" w:sz="4" w:space="0" w:color="auto"/>
              <w:bottom w:val="nil"/>
              <w:right w:val="nil"/>
            </w:tcBorders>
          </w:tcPr>
          <w:p w14:paraId="5F358ED4"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LI: value =0</w:t>
            </w:r>
          </w:p>
        </w:tc>
        <w:tc>
          <w:tcPr>
            <w:tcW w:w="863" w:type="pct"/>
            <w:tcBorders>
              <w:top w:val="single" w:sz="4" w:space="0" w:color="auto"/>
              <w:left w:val="nil"/>
              <w:bottom w:val="nil"/>
              <w:right w:val="nil"/>
            </w:tcBorders>
          </w:tcPr>
          <w:p w14:paraId="24B545A4" w14:textId="77777777" w:rsidR="00711444" w:rsidRPr="004D0DAA" w:rsidRDefault="00711444" w:rsidP="00AA2A4C">
            <w:pPr>
              <w:pStyle w:val="TAC"/>
              <w:rPr>
                <w:lang w:eastAsia="en-US"/>
              </w:rPr>
            </w:pPr>
            <w:r w:rsidRPr="004D0DAA">
              <w:rPr>
                <w:lang w:eastAsia="en-US"/>
              </w:rPr>
              <w:t>0</w:t>
            </w:r>
          </w:p>
        </w:tc>
        <w:tc>
          <w:tcPr>
            <w:tcW w:w="2428" w:type="pct"/>
            <w:tcBorders>
              <w:top w:val="single" w:sz="4" w:space="0" w:color="auto"/>
              <w:left w:val="nil"/>
              <w:bottom w:val="nil"/>
              <w:right w:val="single" w:sz="4" w:space="0" w:color="auto"/>
            </w:tcBorders>
          </w:tcPr>
          <w:p w14:paraId="593D6A43" w14:textId="77777777" w:rsidR="00711444" w:rsidRPr="004D0DAA" w:rsidRDefault="00711444" w:rsidP="00AA2A4C">
            <w:pPr>
              <w:pStyle w:val="TAL"/>
              <w:rPr>
                <w:lang w:eastAsia="en-US"/>
              </w:rPr>
            </w:pPr>
            <w:r w:rsidRPr="004D0DAA">
              <w:rPr>
                <w:lang w:eastAsia="en-US"/>
              </w:rPr>
              <w:t>The last Upper Layer PDU of the previous in sequence RLC data block ends at the boundary of that RLC data block and it has no LI in the header of that RLC data block. Thus the current RLC data block contains the first segment of all included Upper Layer PDUs.</w:t>
            </w:r>
          </w:p>
        </w:tc>
      </w:tr>
      <w:tr w:rsidR="00711444" w:rsidRPr="004D0DAA" w14:paraId="2866443C" w14:textId="77777777" w:rsidTr="00AA2A4C">
        <w:tblPrEx>
          <w:tblCellMar>
            <w:top w:w="0" w:type="dxa"/>
            <w:bottom w:w="0" w:type="dxa"/>
          </w:tblCellMar>
        </w:tblPrEx>
        <w:trPr>
          <w:cantSplit/>
        </w:trPr>
        <w:tc>
          <w:tcPr>
            <w:tcW w:w="1709" w:type="pct"/>
            <w:tcBorders>
              <w:top w:val="nil"/>
              <w:left w:val="single" w:sz="4" w:space="0" w:color="auto"/>
              <w:bottom w:val="nil"/>
              <w:right w:val="nil"/>
            </w:tcBorders>
          </w:tcPr>
          <w:p w14:paraId="5649894C"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LI: value = 126</w:t>
            </w:r>
          </w:p>
        </w:tc>
        <w:tc>
          <w:tcPr>
            <w:tcW w:w="863" w:type="pct"/>
            <w:tcBorders>
              <w:top w:val="nil"/>
              <w:left w:val="nil"/>
              <w:bottom w:val="nil"/>
              <w:right w:val="nil"/>
            </w:tcBorders>
          </w:tcPr>
          <w:p w14:paraId="5E250525" w14:textId="77777777" w:rsidR="00711444" w:rsidRPr="004D0DAA" w:rsidRDefault="00711444" w:rsidP="00AA2A4C">
            <w:pPr>
              <w:pStyle w:val="TAC"/>
              <w:rPr>
                <w:lang w:eastAsia="en-US"/>
              </w:rPr>
            </w:pPr>
            <w:r w:rsidRPr="004D0DAA">
              <w:rPr>
                <w:lang w:eastAsia="en-US"/>
              </w:rPr>
              <w:t>0</w:t>
            </w:r>
          </w:p>
        </w:tc>
        <w:tc>
          <w:tcPr>
            <w:tcW w:w="2428" w:type="pct"/>
            <w:tcBorders>
              <w:top w:val="nil"/>
              <w:left w:val="nil"/>
              <w:bottom w:val="nil"/>
              <w:right w:val="single" w:sz="4" w:space="0" w:color="auto"/>
            </w:tcBorders>
          </w:tcPr>
          <w:p w14:paraId="4D4342CB" w14:textId="77777777" w:rsidR="00711444" w:rsidRPr="004D0DAA" w:rsidRDefault="00711444" w:rsidP="00AA2A4C">
            <w:pPr>
              <w:pStyle w:val="TAL"/>
              <w:rPr>
                <w:lang w:eastAsia="en-US"/>
              </w:rPr>
            </w:pPr>
            <w:r w:rsidRPr="004D0DAA">
              <w:rPr>
                <w:lang w:eastAsia="en-US"/>
              </w:rPr>
              <w:t>The current RLC data block contains the first segment of all included Upper Layer PDUs.</w:t>
            </w:r>
          </w:p>
        </w:tc>
      </w:tr>
      <w:tr w:rsidR="00711444" w:rsidRPr="004D0DAA" w14:paraId="3D5F6750" w14:textId="77777777" w:rsidTr="00AA2A4C">
        <w:tblPrEx>
          <w:tblCellMar>
            <w:top w:w="0" w:type="dxa"/>
            <w:bottom w:w="0" w:type="dxa"/>
          </w:tblCellMar>
        </w:tblPrEx>
        <w:tc>
          <w:tcPr>
            <w:tcW w:w="1709" w:type="pct"/>
            <w:tcBorders>
              <w:top w:val="nil"/>
              <w:left w:val="single" w:sz="4" w:space="0" w:color="auto"/>
              <w:bottom w:val="nil"/>
              <w:right w:val="nil"/>
            </w:tcBorders>
          </w:tcPr>
          <w:p w14:paraId="76546725" w14:textId="77777777" w:rsidR="00711444" w:rsidRPr="004D0DAA" w:rsidRDefault="00711444" w:rsidP="00AA2A4C">
            <w:pPr>
              <w:pStyle w:val="TAL"/>
              <w:rPr>
                <w:lang w:eastAsia="en-US"/>
              </w:rPr>
            </w:pPr>
            <w:r w:rsidRPr="004D0DAA">
              <w:rPr>
                <w:lang w:eastAsia="en-US"/>
              </w:rPr>
              <w:t xml:space="preserve">k-th LI (k&gt;1 integer): </w:t>
            </w:r>
          </w:p>
          <w:p w14:paraId="1F05DCDF" w14:textId="77777777" w:rsidR="00711444" w:rsidRPr="004D0DAA" w:rsidRDefault="00711444" w:rsidP="00AA2A4C">
            <w:pPr>
              <w:pStyle w:val="TAL"/>
              <w:rPr>
                <w:lang w:eastAsia="en-US"/>
              </w:rPr>
            </w:pPr>
            <w:r w:rsidRPr="004D0DAA">
              <w:rPr>
                <w:lang w:eastAsia="en-US"/>
              </w:rPr>
              <w:t>0&lt; value &lt;75 (EGPRS/EC-GSM-IoT except EGPRS2-A downlink)</w:t>
            </w:r>
          </w:p>
          <w:p w14:paraId="3EF7162D" w14:textId="77777777" w:rsidR="00711444" w:rsidRPr="004D0DAA" w:rsidRDefault="00711444" w:rsidP="00AA2A4C">
            <w:pPr>
              <w:pStyle w:val="TAL"/>
              <w:rPr>
                <w:lang w:eastAsia="en-US"/>
              </w:rPr>
            </w:pPr>
            <w:r w:rsidRPr="004D0DAA">
              <w:rPr>
                <w:lang w:eastAsia="en-US"/>
              </w:rPr>
              <w:t xml:space="preserve">0&lt; value &lt;83 (EGPRS2-A downlink) </w:t>
            </w:r>
          </w:p>
          <w:p w14:paraId="281A9AE9" w14:textId="77777777" w:rsidR="00711444" w:rsidRPr="004D0DAA" w:rsidRDefault="00711444" w:rsidP="00AA2A4C">
            <w:pPr>
              <w:pStyle w:val="TAL"/>
              <w:rPr>
                <w:lang w:eastAsia="en-US"/>
              </w:rPr>
            </w:pPr>
            <w:r w:rsidRPr="004D0DAA">
              <w:rPr>
                <w:lang w:eastAsia="en-US"/>
              </w:rPr>
              <w:t>0&lt; value &lt;104 (TCH)</w:t>
            </w:r>
          </w:p>
        </w:tc>
        <w:tc>
          <w:tcPr>
            <w:tcW w:w="863" w:type="pct"/>
            <w:tcBorders>
              <w:top w:val="nil"/>
              <w:left w:val="nil"/>
              <w:bottom w:val="nil"/>
              <w:right w:val="nil"/>
            </w:tcBorders>
          </w:tcPr>
          <w:p w14:paraId="1FB598F7" w14:textId="77777777" w:rsidR="00711444" w:rsidRPr="004D0DAA" w:rsidRDefault="00711444" w:rsidP="00AA2A4C">
            <w:pPr>
              <w:pStyle w:val="TAC"/>
              <w:rPr>
                <w:lang w:eastAsia="en-US"/>
              </w:rPr>
            </w:pPr>
          </w:p>
        </w:tc>
        <w:tc>
          <w:tcPr>
            <w:tcW w:w="2428" w:type="pct"/>
            <w:tcBorders>
              <w:top w:val="nil"/>
              <w:left w:val="nil"/>
              <w:bottom w:val="nil"/>
              <w:right w:val="single" w:sz="4" w:space="0" w:color="auto"/>
            </w:tcBorders>
          </w:tcPr>
          <w:p w14:paraId="14B9F7AD" w14:textId="77777777" w:rsidR="00711444" w:rsidRPr="004D0DAA" w:rsidRDefault="00711444" w:rsidP="00AA2A4C">
            <w:pPr>
              <w:pStyle w:val="TAL"/>
              <w:rPr>
                <w:lang w:eastAsia="en-US"/>
              </w:rPr>
            </w:pPr>
            <w:r w:rsidRPr="004D0DAA">
              <w:rPr>
                <w:lang w:eastAsia="en-US"/>
              </w:rPr>
              <w:t>The k-th LI contains the number of octets of the (k-1)-th Upper Layer PDU in the current RLC data block.</w:t>
            </w:r>
          </w:p>
        </w:tc>
      </w:tr>
      <w:tr w:rsidR="00711444" w:rsidRPr="004D0DAA" w14:paraId="1952DD80" w14:textId="77777777" w:rsidTr="00AA2A4C">
        <w:tblPrEx>
          <w:tblCellMar>
            <w:top w:w="0" w:type="dxa"/>
            <w:bottom w:w="0" w:type="dxa"/>
          </w:tblCellMar>
        </w:tblPrEx>
        <w:tc>
          <w:tcPr>
            <w:tcW w:w="1709" w:type="pct"/>
            <w:tcBorders>
              <w:top w:val="nil"/>
              <w:left w:val="single" w:sz="4" w:space="0" w:color="auto"/>
              <w:bottom w:val="nil"/>
              <w:right w:val="nil"/>
            </w:tcBorders>
          </w:tcPr>
          <w:p w14:paraId="100B3C23" w14:textId="77777777" w:rsidR="00711444" w:rsidRPr="004D0DAA" w:rsidRDefault="00711444" w:rsidP="00AA2A4C">
            <w:pPr>
              <w:pStyle w:val="TAL"/>
              <w:rPr>
                <w:lang w:eastAsia="en-US"/>
              </w:rPr>
            </w:pPr>
          </w:p>
        </w:tc>
        <w:tc>
          <w:tcPr>
            <w:tcW w:w="863" w:type="pct"/>
            <w:tcBorders>
              <w:top w:val="nil"/>
              <w:left w:val="nil"/>
              <w:bottom w:val="nil"/>
              <w:right w:val="nil"/>
            </w:tcBorders>
          </w:tcPr>
          <w:p w14:paraId="1A0EB68D" w14:textId="77777777" w:rsidR="00711444" w:rsidRPr="004D0DAA" w:rsidRDefault="00711444" w:rsidP="00AA2A4C">
            <w:pPr>
              <w:pStyle w:val="TAC"/>
              <w:rPr>
                <w:lang w:eastAsia="en-US"/>
              </w:rPr>
            </w:pPr>
            <w:r w:rsidRPr="004D0DAA">
              <w:rPr>
                <w:lang w:eastAsia="en-US"/>
              </w:rPr>
              <w:t>0</w:t>
            </w:r>
          </w:p>
        </w:tc>
        <w:tc>
          <w:tcPr>
            <w:tcW w:w="2428" w:type="pct"/>
            <w:tcBorders>
              <w:top w:val="nil"/>
              <w:left w:val="nil"/>
              <w:bottom w:val="nil"/>
              <w:right w:val="single" w:sz="4" w:space="0" w:color="auto"/>
            </w:tcBorders>
          </w:tcPr>
          <w:p w14:paraId="417DFCAA" w14:textId="77777777" w:rsidR="00711444" w:rsidRPr="004D0DAA" w:rsidRDefault="00711444" w:rsidP="00AA2A4C">
            <w:pPr>
              <w:pStyle w:val="TAL"/>
              <w:rPr>
                <w:lang w:eastAsia="en-US"/>
              </w:rPr>
            </w:pPr>
            <w:r w:rsidRPr="004D0DAA">
              <w:rPr>
                <w:lang w:eastAsia="en-US"/>
              </w:rPr>
              <w:t>There is at least one Upper Layer PDU following the (k-1)-th Upper Layer PDU in the current RLC data block.</w:t>
            </w:r>
          </w:p>
        </w:tc>
      </w:tr>
      <w:tr w:rsidR="00711444" w:rsidRPr="004D0DAA" w14:paraId="02FBDB48" w14:textId="77777777" w:rsidTr="00AA2A4C">
        <w:tblPrEx>
          <w:tblCellMar>
            <w:top w:w="0" w:type="dxa"/>
            <w:bottom w:w="0" w:type="dxa"/>
          </w:tblCellMar>
        </w:tblPrEx>
        <w:tc>
          <w:tcPr>
            <w:tcW w:w="1709" w:type="pct"/>
            <w:tcBorders>
              <w:top w:val="nil"/>
              <w:left w:val="single" w:sz="4" w:space="0" w:color="auto"/>
              <w:bottom w:val="single" w:sz="4" w:space="0" w:color="auto"/>
              <w:right w:val="nil"/>
            </w:tcBorders>
          </w:tcPr>
          <w:p w14:paraId="1B0845E1" w14:textId="77777777" w:rsidR="00711444" w:rsidRPr="004D0DAA" w:rsidRDefault="00711444" w:rsidP="00AA2A4C">
            <w:pPr>
              <w:pStyle w:val="TAL"/>
              <w:rPr>
                <w:lang w:eastAsia="en-US"/>
              </w:rPr>
            </w:pPr>
          </w:p>
        </w:tc>
        <w:tc>
          <w:tcPr>
            <w:tcW w:w="863" w:type="pct"/>
            <w:tcBorders>
              <w:top w:val="nil"/>
              <w:left w:val="nil"/>
              <w:bottom w:val="single" w:sz="4" w:space="0" w:color="auto"/>
              <w:right w:val="nil"/>
            </w:tcBorders>
          </w:tcPr>
          <w:p w14:paraId="276D7C11" w14:textId="77777777" w:rsidR="00711444" w:rsidRPr="004D0DAA" w:rsidRDefault="00711444" w:rsidP="00AA2A4C">
            <w:pPr>
              <w:pStyle w:val="TAC"/>
              <w:rPr>
                <w:lang w:eastAsia="en-US"/>
              </w:rPr>
            </w:pPr>
            <w:r w:rsidRPr="004D0DAA">
              <w:rPr>
                <w:lang w:eastAsia="en-US"/>
              </w:rPr>
              <w:t>1</w:t>
            </w:r>
          </w:p>
        </w:tc>
        <w:tc>
          <w:tcPr>
            <w:tcW w:w="2428" w:type="pct"/>
            <w:tcBorders>
              <w:top w:val="nil"/>
              <w:left w:val="nil"/>
              <w:bottom w:val="single" w:sz="4" w:space="0" w:color="auto"/>
              <w:right w:val="single" w:sz="4" w:space="0" w:color="auto"/>
            </w:tcBorders>
          </w:tcPr>
          <w:p w14:paraId="2E3D5BEA" w14:textId="77777777" w:rsidR="00711444" w:rsidRPr="004D0DAA" w:rsidRDefault="00711444" w:rsidP="00AA2A4C">
            <w:pPr>
              <w:pStyle w:val="TAL"/>
              <w:rPr>
                <w:lang w:eastAsia="en-US"/>
              </w:rPr>
            </w:pPr>
            <w:r w:rsidRPr="004D0DAA">
              <w:rPr>
                <w:lang w:eastAsia="en-US"/>
              </w:rPr>
              <w:t>There is no more than one Upper Layer PDU following the (k-1)-th Upper Layer PDU in the current RLC data block.</w:t>
            </w:r>
          </w:p>
        </w:tc>
      </w:tr>
      <w:tr w:rsidR="00711444" w:rsidRPr="004D0DAA" w14:paraId="644CD19A" w14:textId="77777777" w:rsidTr="00AA2A4C">
        <w:tblPrEx>
          <w:tblCellMar>
            <w:top w:w="0" w:type="dxa"/>
            <w:bottom w:w="0" w:type="dxa"/>
          </w:tblCellMar>
        </w:tblPrEx>
        <w:tc>
          <w:tcPr>
            <w:tcW w:w="1709" w:type="pct"/>
            <w:tcBorders>
              <w:top w:val="single" w:sz="4" w:space="0" w:color="auto"/>
              <w:left w:val="single" w:sz="4" w:space="0" w:color="auto"/>
              <w:bottom w:val="single" w:sz="4" w:space="0" w:color="auto"/>
              <w:right w:val="nil"/>
            </w:tcBorders>
          </w:tcPr>
          <w:p w14:paraId="13180046" w14:textId="77777777" w:rsidR="00711444" w:rsidRPr="004D0DAA" w:rsidRDefault="00711444" w:rsidP="00AA2A4C">
            <w:pPr>
              <w:pStyle w:val="TAL"/>
              <w:rPr>
                <w:lang w:eastAsia="en-US"/>
              </w:rPr>
            </w:pPr>
            <w:r w:rsidRPr="004D0DAA">
              <w:rPr>
                <w:lang w:eastAsia="en-US"/>
              </w:rPr>
              <w:t>k-th LI: value=127</w:t>
            </w:r>
          </w:p>
        </w:tc>
        <w:tc>
          <w:tcPr>
            <w:tcW w:w="863" w:type="pct"/>
            <w:tcBorders>
              <w:top w:val="single" w:sz="4" w:space="0" w:color="auto"/>
              <w:left w:val="nil"/>
              <w:bottom w:val="single" w:sz="4" w:space="0" w:color="auto"/>
              <w:right w:val="nil"/>
            </w:tcBorders>
          </w:tcPr>
          <w:p w14:paraId="1ACF29DE" w14:textId="77777777" w:rsidR="00711444" w:rsidRPr="004D0DAA" w:rsidRDefault="00711444" w:rsidP="00AA2A4C">
            <w:pPr>
              <w:pStyle w:val="TAC"/>
              <w:rPr>
                <w:lang w:eastAsia="en-US"/>
              </w:rPr>
            </w:pPr>
            <w:r w:rsidRPr="004D0DAA">
              <w:rPr>
                <w:lang w:eastAsia="en-US"/>
              </w:rPr>
              <w:t>1</w:t>
            </w:r>
          </w:p>
        </w:tc>
        <w:tc>
          <w:tcPr>
            <w:tcW w:w="2428" w:type="pct"/>
            <w:tcBorders>
              <w:top w:val="single" w:sz="4" w:space="0" w:color="auto"/>
              <w:left w:val="nil"/>
              <w:bottom w:val="single" w:sz="4" w:space="0" w:color="auto"/>
              <w:right w:val="single" w:sz="4" w:space="0" w:color="auto"/>
            </w:tcBorders>
          </w:tcPr>
          <w:p w14:paraId="1885E91E" w14:textId="77777777" w:rsidR="00711444" w:rsidRPr="004D0DAA" w:rsidRDefault="00711444" w:rsidP="00AA2A4C">
            <w:pPr>
              <w:pStyle w:val="TAL"/>
              <w:rPr>
                <w:lang w:eastAsia="en-US"/>
              </w:rPr>
            </w:pPr>
            <w:r w:rsidRPr="004D0DAA">
              <w:rPr>
                <w:lang w:eastAsia="en-US"/>
              </w:rPr>
              <w:t>The octets between the end of the Upper Layer PDU indicated by the (k-1)-th LI and the end of the current RLC data block are filling octets.</w:t>
            </w:r>
          </w:p>
        </w:tc>
      </w:tr>
      <w:tr w:rsidR="00711444" w:rsidRPr="004D0DAA" w14:paraId="0B56FCAA"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7211F981"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LI: value=0</w:t>
            </w:r>
          </w:p>
        </w:tc>
        <w:tc>
          <w:tcPr>
            <w:tcW w:w="863" w:type="pct"/>
            <w:tcBorders>
              <w:top w:val="single" w:sz="4" w:space="0" w:color="auto"/>
              <w:left w:val="nil"/>
              <w:bottom w:val="single" w:sz="4" w:space="0" w:color="auto"/>
              <w:right w:val="nil"/>
            </w:tcBorders>
          </w:tcPr>
          <w:p w14:paraId="369DADAB" w14:textId="77777777" w:rsidR="00711444" w:rsidRPr="004D0DAA" w:rsidRDefault="00711444" w:rsidP="00AA2A4C">
            <w:pPr>
              <w:pStyle w:val="TAC"/>
              <w:rPr>
                <w:lang w:eastAsia="en-US"/>
              </w:rPr>
            </w:pPr>
            <w:r w:rsidRPr="004D0DAA">
              <w:rPr>
                <w:lang w:eastAsia="en-US"/>
              </w:rPr>
              <w:t>1</w:t>
            </w:r>
          </w:p>
        </w:tc>
        <w:tc>
          <w:tcPr>
            <w:tcW w:w="2428" w:type="pct"/>
            <w:tcBorders>
              <w:top w:val="single" w:sz="4" w:space="0" w:color="auto"/>
              <w:left w:val="nil"/>
              <w:bottom w:val="single" w:sz="4" w:space="0" w:color="auto"/>
              <w:right w:val="single" w:sz="4" w:space="0" w:color="auto"/>
            </w:tcBorders>
          </w:tcPr>
          <w:p w14:paraId="5A1C50DC" w14:textId="77777777" w:rsidR="00711444" w:rsidRPr="004D0DAA" w:rsidRDefault="00711444" w:rsidP="00AA2A4C">
            <w:pPr>
              <w:pStyle w:val="TAL"/>
              <w:rPr>
                <w:lang w:eastAsia="en-US"/>
              </w:rPr>
            </w:pPr>
            <w:r w:rsidRPr="004D0DAA">
              <w:rPr>
                <w:lang w:eastAsia="en-US"/>
              </w:rPr>
              <w:t>The previous RLC data block contains a Upper Layer PDU, or a part of it, that fills precisely the previous data block and for which there is no length indicator in that RLC data block. The current RLC data block contains a Upper Layer PDU that either fills the current RLC data block precisely or continues in the next RLC data block.</w:t>
            </w:r>
          </w:p>
        </w:tc>
      </w:tr>
      <w:tr w:rsidR="00711444" w:rsidRPr="004D0DAA" w14:paraId="0486195F"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2327B916"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LI: value = 126</w:t>
            </w:r>
          </w:p>
        </w:tc>
        <w:tc>
          <w:tcPr>
            <w:tcW w:w="863" w:type="pct"/>
            <w:tcBorders>
              <w:top w:val="single" w:sz="4" w:space="0" w:color="auto"/>
              <w:left w:val="nil"/>
              <w:bottom w:val="single" w:sz="4" w:space="0" w:color="auto"/>
              <w:right w:val="nil"/>
            </w:tcBorders>
          </w:tcPr>
          <w:p w14:paraId="45F444BA" w14:textId="77777777" w:rsidR="00711444" w:rsidRPr="004D0DAA" w:rsidRDefault="00711444" w:rsidP="00AA2A4C">
            <w:pPr>
              <w:pStyle w:val="TAC"/>
              <w:rPr>
                <w:lang w:eastAsia="en-US"/>
              </w:rPr>
            </w:pPr>
            <w:r w:rsidRPr="004D0DAA">
              <w:rPr>
                <w:lang w:eastAsia="en-US"/>
              </w:rPr>
              <w:t>1</w:t>
            </w:r>
          </w:p>
        </w:tc>
        <w:tc>
          <w:tcPr>
            <w:tcW w:w="2428" w:type="pct"/>
            <w:tcBorders>
              <w:top w:val="single" w:sz="4" w:space="0" w:color="auto"/>
              <w:left w:val="nil"/>
              <w:bottom w:val="single" w:sz="4" w:space="0" w:color="auto"/>
              <w:right w:val="single" w:sz="4" w:space="0" w:color="auto"/>
            </w:tcBorders>
          </w:tcPr>
          <w:p w14:paraId="46FD7534" w14:textId="77777777" w:rsidR="00711444" w:rsidRPr="004D0DAA" w:rsidRDefault="00711444" w:rsidP="00AA2A4C">
            <w:pPr>
              <w:pStyle w:val="TAL"/>
              <w:rPr>
                <w:lang w:eastAsia="en-US"/>
              </w:rPr>
            </w:pPr>
            <w:r w:rsidRPr="004D0DAA">
              <w:rPr>
                <w:lang w:eastAsia="en-US"/>
              </w:rPr>
              <w:t>The current RLC data block contains the first segment of an Upper Layer PDU that either fills the current RLC data block precisely or continues in the next RLC data block.</w:t>
            </w:r>
          </w:p>
        </w:tc>
      </w:tr>
      <w:tr w:rsidR="00711444" w:rsidRPr="004D0DAA" w14:paraId="077317B7"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2787FDF2"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st</w:t>
            </w:r>
            <w:r w:rsidRPr="004D0DAA">
              <w:rPr>
                <w:lang w:eastAsia="en-US"/>
              </w:rPr>
              <w:t xml:space="preserve"> LI: value=127</w:t>
            </w:r>
          </w:p>
          <w:p w14:paraId="2725FBBE" w14:textId="77777777" w:rsidR="00711444" w:rsidRPr="004D0DAA" w:rsidRDefault="00711444" w:rsidP="00AA2A4C">
            <w:pPr>
              <w:pStyle w:val="TAL"/>
              <w:rPr>
                <w:lang w:eastAsia="en-US"/>
              </w:rPr>
            </w:pPr>
            <w:r w:rsidRPr="004D0DAA">
              <w:rPr>
                <w:lang w:eastAsia="en-US"/>
              </w:rPr>
              <w:t>(</w:t>
            </w:r>
            <w:r w:rsidRPr="004D0DAA">
              <w:rPr>
                <w:i/>
                <w:lang w:eastAsia="en-US"/>
              </w:rPr>
              <w:t>Iu mode</w:t>
            </w:r>
            <w:r w:rsidRPr="004D0DAA">
              <w:rPr>
                <w:lang w:eastAsia="en-US"/>
              </w:rPr>
              <w:t xml:space="preserve"> only)</w:t>
            </w:r>
          </w:p>
        </w:tc>
        <w:tc>
          <w:tcPr>
            <w:tcW w:w="863" w:type="pct"/>
            <w:tcBorders>
              <w:top w:val="single" w:sz="4" w:space="0" w:color="auto"/>
              <w:left w:val="nil"/>
              <w:bottom w:val="single" w:sz="4" w:space="0" w:color="auto"/>
              <w:right w:val="nil"/>
            </w:tcBorders>
          </w:tcPr>
          <w:p w14:paraId="77375ECB" w14:textId="77777777" w:rsidR="00711444" w:rsidRPr="004D0DAA" w:rsidRDefault="00711444" w:rsidP="00AA2A4C">
            <w:pPr>
              <w:pStyle w:val="TAC"/>
              <w:rPr>
                <w:lang w:eastAsia="en-US"/>
              </w:rPr>
            </w:pPr>
            <w:r w:rsidRPr="004D0DAA">
              <w:rPr>
                <w:lang w:eastAsia="en-US"/>
              </w:rPr>
              <w:t>1</w:t>
            </w:r>
          </w:p>
        </w:tc>
        <w:tc>
          <w:tcPr>
            <w:tcW w:w="2428" w:type="pct"/>
            <w:tcBorders>
              <w:top w:val="single" w:sz="4" w:space="0" w:color="auto"/>
              <w:left w:val="nil"/>
              <w:bottom w:val="single" w:sz="4" w:space="0" w:color="auto"/>
              <w:right w:val="single" w:sz="4" w:space="0" w:color="auto"/>
            </w:tcBorders>
          </w:tcPr>
          <w:p w14:paraId="223C897C" w14:textId="77777777" w:rsidR="00711444" w:rsidRPr="004D0DAA" w:rsidRDefault="00711444" w:rsidP="00AA2A4C">
            <w:pPr>
              <w:pStyle w:val="TAL"/>
              <w:rPr>
                <w:lang w:eastAsia="en-US"/>
              </w:rPr>
            </w:pPr>
            <w:r w:rsidRPr="004D0DAA">
              <w:rPr>
                <w:lang w:eastAsia="en-US"/>
              </w:rPr>
              <w:t>All octets of the RLC Data block contain filling information.</w:t>
            </w:r>
          </w:p>
        </w:tc>
      </w:tr>
      <w:tr w:rsidR="00711444" w:rsidRPr="004D0DAA" w14:paraId="6E356D55"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65618DC3" w14:textId="77777777" w:rsidR="00711444" w:rsidRPr="004D0DAA" w:rsidRDefault="00711444" w:rsidP="00AA2A4C">
            <w:pPr>
              <w:pStyle w:val="TAL"/>
              <w:rPr>
                <w:lang w:eastAsia="en-US"/>
              </w:rPr>
            </w:pPr>
            <w:r w:rsidRPr="004D0DAA">
              <w:rPr>
                <w:lang w:eastAsia="en-US"/>
              </w:rPr>
              <w:t>k-th LI: value=125</w:t>
            </w:r>
          </w:p>
          <w:p w14:paraId="6A885A36" w14:textId="77777777" w:rsidR="00711444" w:rsidRPr="004D0DAA" w:rsidRDefault="00711444" w:rsidP="00AA2A4C">
            <w:pPr>
              <w:pStyle w:val="TAL"/>
              <w:rPr>
                <w:lang w:eastAsia="en-US"/>
              </w:rPr>
            </w:pPr>
            <w:r w:rsidRPr="004D0DAA">
              <w:rPr>
                <w:lang w:eastAsia="en-US"/>
              </w:rPr>
              <w:t>(this value is not supported in EC operation)</w:t>
            </w:r>
          </w:p>
        </w:tc>
        <w:tc>
          <w:tcPr>
            <w:tcW w:w="863" w:type="pct"/>
            <w:tcBorders>
              <w:top w:val="single" w:sz="4" w:space="0" w:color="auto"/>
              <w:left w:val="nil"/>
              <w:bottom w:val="single" w:sz="4" w:space="0" w:color="auto"/>
              <w:right w:val="nil"/>
            </w:tcBorders>
          </w:tcPr>
          <w:p w14:paraId="0BF9CACC" w14:textId="77777777" w:rsidR="00711444" w:rsidRPr="004D0DAA" w:rsidRDefault="00711444" w:rsidP="00AA2A4C">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08E5AD49" w14:textId="77777777" w:rsidR="00711444" w:rsidRPr="004D0DAA" w:rsidRDefault="00711444" w:rsidP="00AA2A4C">
            <w:pPr>
              <w:pStyle w:val="TAL"/>
              <w:rPr>
                <w:lang w:eastAsia="en-US"/>
              </w:rPr>
            </w:pPr>
            <w:r w:rsidRPr="004D0DAA">
              <w:rPr>
                <w:lang w:eastAsia="en-US"/>
              </w:rPr>
              <w:t>The current RLC data block contains the dynamic timeslot reduction control information.</w:t>
            </w:r>
          </w:p>
        </w:tc>
      </w:tr>
      <w:tr w:rsidR="00711444" w:rsidRPr="004D0DAA" w14:paraId="48CDA1D6"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12B04F57" w14:textId="77777777" w:rsidR="00711444" w:rsidRPr="004D0DAA" w:rsidRDefault="00711444" w:rsidP="00AA2A4C">
            <w:pPr>
              <w:pStyle w:val="TAL"/>
              <w:rPr>
                <w:lang w:eastAsia="en-US"/>
              </w:rPr>
            </w:pPr>
            <w:r w:rsidRPr="004D0DAA">
              <w:rPr>
                <w:lang w:eastAsia="en-US"/>
              </w:rPr>
              <w:t>k-th LI:value=124</w:t>
            </w:r>
          </w:p>
          <w:p w14:paraId="10E08105" w14:textId="77777777" w:rsidR="00711444" w:rsidRPr="004D0DAA" w:rsidRDefault="00711444" w:rsidP="00AA2A4C">
            <w:pPr>
              <w:pStyle w:val="TAL"/>
              <w:rPr>
                <w:lang w:eastAsia="en-US"/>
              </w:rPr>
            </w:pPr>
            <w:r w:rsidRPr="004D0DAA">
              <w:rPr>
                <w:lang w:eastAsia="en-US"/>
              </w:rPr>
              <w:t>(this value is only allowed if EMSR is enabled)</w:t>
            </w:r>
          </w:p>
        </w:tc>
        <w:tc>
          <w:tcPr>
            <w:tcW w:w="863" w:type="pct"/>
            <w:tcBorders>
              <w:top w:val="single" w:sz="4" w:space="0" w:color="auto"/>
              <w:left w:val="nil"/>
              <w:bottom w:val="single" w:sz="4" w:space="0" w:color="auto"/>
              <w:right w:val="nil"/>
            </w:tcBorders>
          </w:tcPr>
          <w:p w14:paraId="0FC24A14" w14:textId="77777777" w:rsidR="00711444" w:rsidRPr="004D0DAA" w:rsidRDefault="00711444" w:rsidP="00AA2A4C">
            <w:pPr>
              <w:pStyle w:val="TAC"/>
              <w:rPr>
                <w:lang w:eastAsia="en-US"/>
              </w:rPr>
            </w:pPr>
            <w:r w:rsidRPr="004D0DAA">
              <w:rPr>
                <w:lang w:eastAsia="en-US"/>
              </w:rPr>
              <w:t>0</w:t>
            </w:r>
          </w:p>
        </w:tc>
        <w:tc>
          <w:tcPr>
            <w:tcW w:w="2428" w:type="pct"/>
            <w:tcBorders>
              <w:top w:val="single" w:sz="4" w:space="0" w:color="auto"/>
              <w:left w:val="nil"/>
              <w:bottom w:val="single" w:sz="4" w:space="0" w:color="auto"/>
              <w:right w:val="single" w:sz="4" w:space="0" w:color="auto"/>
            </w:tcBorders>
          </w:tcPr>
          <w:p w14:paraId="2BA089A7" w14:textId="77777777" w:rsidR="00711444" w:rsidRPr="004D0DAA" w:rsidRDefault="00711444" w:rsidP="00AA2A4C">
            <w:pPr>
              <w:pStyle w:val="TAL"/>
              <w:rPr>
                <w:lang w:eastAsia="en-US"/>
              </w:rPr>
            </w:pPr>
            <w:r w:rsidRPr="004D0DAA">
              <w:rPr>
                <w:lang w:eastAsia="en-US"/>
              </w:rPr>
              <w:t>An LI value of 124 serves as a TFI transition indicator and is immediately followed by an octet containing the TFI associated with the next Upper Layer PDU segment in bit positions 1 to 5 (where bit 5 is the most significant bit) and reserved bits in bit positions 6 to 8.  If eTFI is assigned then it shall be indicated by bit positions 6 to 8 (where bit 8 is the most significant bit).</w:t>
            </w:r>
          </w:p>
        </w:tc>
      </w:tr>
      <w:tr w:rsidR="00711444" w:rsidRPr="004D0DAA" w14:paraId="6E12D7F0"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13C6643D" w14:textId="77777777" w:rsidR="00711444" w:rsidRPr="004D0DAA" w:rsidRDefault="00711444" w:rsidP="00AA2A4C">
            <w:pPr>
              <w:pStyle w:val="TAL"/>
              <w:rPr>
                <w:lang w:eastAsia="en-US"/>
              </w:rPr>
            </w:pPr>
            <w:r w:rsidRPr="004D0DAA">
              <w:rPr>
                <w:lang w:eastAsia="en-US"/>
              </w:rPr>
              <w:t>1</w:t>
            </w:r>
            <w:r w:rsidRPr="004D0DAA">
              <w:rPr>
                <w:vertAlign w:val="superscript"/>
                <w:lang w:eastAsia="en-US"/>
              </w:rPr>
              <w:t xml:space="preserve"> st</w:t>
            </w:r>
            <w:r w:rsidRPr="004D0DAA">
              <w:rPr>
                <w:lang w:eastAsia="en-US"/>
              </w:rPr>
              <w:t xml:space="preserve"> LI:value=123</w:t>
            </w:r>
          </w:p>
          <w:p w14:paraId="3D00354D" w14:textId="77777777" w:rsidR="00711444" w:rsidRPr="004D0DAA" w:rsidRDefault="00711444" w:rsidP="00AA2A4C">
            <w:pPr>
              <w:pStyle w:val="TAL"/>
              <w:rPr>
                <w:lang w:eastAsia="en-US"/>
              </w:rPr>
            </w:pPr>
            <w:r w:rsidRPr="004D0DAA">
              <w:rPr>
                <w:lang w:eastAsia="en-US"/>
              </w:rPr>
              <w:t>(this value is only allowed if network sharing is supported both by the network and the mobile station)</w:t>
            </w:r>
          </w:p>
        </w:tc>
        <w:tc>
          <w:tcPr>
            <w:tcW w:w="863" w:type="pct"/>
            <w:tcBorders>
              <w:top w:val="single" w:sz="4" w:space="0" w:color="auto"/>
              <w:left w:val="nil"/>
              <w:bottom w:val="single" w:sz="4" w:space="0" w:color="auto"/>
              <w:right w:val="nil"/>
            </w:tcBorders>
          </w:tcPr>
          <w:p w14:paraId="4C09AD34" w14:textId="77777777" w:rsidR="00711444" w:rsidRPr="004D0DAA" w:rsidRDefault="00711444" w:rsidP="00AA2A4C">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2A4682C0" w14:textId="77777777" w:rsidR="00711444" w:rsidRPr="004D0DAA" w:rsidRDefault="00711444" w:rsidP="00AA2A4C">
            <w:pPr>
              <w:pStyle w:val="TAL"/>
              <w:rPr>
                <w:lang w:eastAsia="en-US"/>
              </w:rPr>
            </w:pPr>
            <w:r w:rsidRPr="004D0DAA">
              <w:rPr>
                <w:lang w:eastAsia="en-US"/>
              </w:rPr>
              <w:t xml:space="preserve">An LI value of 123 serves as a </w:t>
            </w:r>
            <w:r w:rsidRPr="004D0DAA">
              <w:rPr>
                <w:i/>
                <w:lang w:eastAsia="en-US"/>
              </w:rPr>
              <w:t xml:space="preserve">Selected PLMN Index </w:t>
            </w:r>
            <w:r w:rsidRPr="004D0DAA">
              <w:rPr>
                <w:lang w:eastAsia="en-US"/>
              </w:rPr>
              <w:t xml:space="preserve">field indicator and is immediately followed by an octet that contains the </w:t>
            </w:r>
            <w:r w:rsidRPr="004D0DAA">
              <w:rPr>
                <w:i/>
                <w:lang w:eastAsia="en-US"/>
              </w:rPr>
              <w:t>Selected PLMN Index</w:t>
            </w:r>
            <w:r w:rsidRPr="004D0DAA">
              <w:rPr>
                <w:lang w:eastAsia="en-US"/>
              </w:rPr>
              <w:t xml:space="preserve"> field (see sub-clause 10.4.27).</w:t>
            </w:r>
          </w:p>
        </w:tc>
      </w:tr>
      <w:tr w:rsidR="00711444" w:rsidRPr="004D0DAA" w14:paraId="1F784999"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63F30A5F" w14:textId="77777777" w:rsidR="00711444" w:rsidRPr="004D0DAA" w:rsidRDefault="00711444" w:rsidP="00AA2A4C">
            <w:pPr>
              <w:pStyle w:val="TAL"/>
              <w:rPr>
                <w:lang w:eastAsia="en-US"/>
              </w:rPr>
            </w:pPr>
            <w:r w:rsidRPr="004D0DAA">
              <w:rPr>
                <w:lang w:eastAsia="en-US"/>
              </w:rPr>
              <w:t>LI: value=122</w:t>
            </w:r>
          </w:p>
          <w:p w14:paraId="7DE1C5D6" w14:textId="77777777" w:rsidR="00711444" w:rsidRPr="004D0DAA" w:rsidRDefault="00711444" w:rsidP="00AA2A4C">
            <w:pPr>
              <w:pStyle w:val="TAL"/>
              <w:rPr>
                <w:lang w:eastAsia="en-US"/>
              </w:rPr>
            </w:pPr>
            <w:r w:rsidRPr="004D0DAA">
              <w:rPr>
                <w:lang w:eastAsia="en-US"/>
              </w:rPr>
              <w:t>(this value is only used if the MS is performing the radio access part of the MTA procedure using the RLC Data Block method)</w:t>
            </w:r>
          </w:p>
        </w:tc>
        <w:tc>
          <w:tcPr>
            <w:tcW w:w="863" w:type="pct"/>
            <w:tcBorders>
              <w:top w:val="single" w:sz="4" w:space="0" w:color="auto"/>
              <w:left w:val="nil"/>
              <w:bottom w:val="single" w:sz="4" w:space="0" w:color="auto"/>
              <w:right w:val="nil"/>
            </w:tcBorders>
          </w:tcPr>
          <w:p w14:paraId="596F8F16" w14:textId="77777777" w:rsidR="00711444" w:rsidRPr="004D0DAA" w:rsidRDefault="00711444" w:rsidP="00AA2A4C">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27D13202" w14:textId="77777777" w:rsidR="00711444" w:rsidRPr="004D0DAA" w:rsidRDefault="00711444" w:rsidP="00AA2A4C">
            <w:pPr>
              <w:pStyle w:val="TAL"/>
              <w:rPr>
                <w:lang w:eastAsia="en-US"/>
              </w:rPr>
            </w:pPr>
            <w:r w:rsidRPr="004D0DAA">
              <w:rPr>
                <w:rFonts w:cs="Arial"/>
                <w:szCs w:val="18"/>
                <w:lang w:eastAsia="en-US"/>
              </w:rPr>
              <w:t>An LI value of 122 indicates the RLC data block includes the “</w:t>
            </w:r>
            <w:r w:rsidRPr="004D0DAA">
              <w:rPr>
                <w:rFonts w:cs="Arial"/>
                <w:i/>
                <w:szCs w:val="18"/>
                <w:lang w:eastAsia="en-US"/>
              </w:rPr>
              <w:t>Cell Identity</w:t>
            </w:r>
            <w:r w:rsidRPr="004D0DAA">
              <w:rPr>
                <w:rFonts w:cs="Arial"/>
                <w:szCs w:val="18"/>
                <w:lang w:eastAsia="en-US"/>
              </w:rPr>
              <w:t>”, “</w:t>
            </w:r>
            <w:r w:rsidRPr="004D0DAA">
              <w:rPr>
                <w:rFonts w:cs="Arial"/>
                <w:i/>
                <w:szCs w:val="18"/>
                <w:lang w:eastAsia="en-US"/>
              </w:rPr>
              <w:t>Routing Area Identification</w:t>
            </w:r>
            <w:r w:rsidRPr="004D0DAA">
              <w:rPr>
                <w:rFonts w:cs="Arial"/>
                <w:szCs w:val="18"/>
                <w:lang w:eastAsia="en-US"/>
              </w:rPr>
              <w:t xml:space="preserve">”, </w:t>
            </w:r>
            <w:r w:rsidRPr="004D0DAA">
              <w:rPr>
                <w:rFonts w:ascii="Times New Roman" w:hAnsi="Times New Roman"/>
                <w:sz w:val="20"/>
                <w:lang w:eastAsia="en-US"/>
              </w:rPr>
              <w:t>“</w:t>
            </w:r>
            <w:r w:rsidRPr="004D0DAA">
              <w:rPr>
                <w:rFonts w:cs="Arial"/>
                <w:i/>
                <w:szCs w:val="18"/>
                <w:lang w:eastAsia="en-US"/>
              </w:rPr>
              <w:t>MS Sync Accuracy</w:t>
            </w:r>
            <w:r w:rsidRPr="004D0DAA">
              <w:rPr>
                <w:rFonts w:ascii="Times New Roman" w:hAnsi="Times New Roman"/>
                <w:sz w:val="20"/>
                <w:lang w:eastAsia="en-US"/>
              </w:rPr>
              <w:t>”,</w:t>
            </w:r>
            <w:r w:rsidRPr="004D0DAA">
              <w:rPr>
                <w:rFonts w:cs="Arial"/>
                <w:szCs w:val="18"/>
                <w:lang w:eastAsia="en-US"/>
              </w:rPr>
              <w:t xml:space="preserve"> </w:t>
            </w:r>
            <w:r w:rsidRPr="004D0DAA">
              <w:rPr>
                <w:rFonts w:ascii="Times New Roman" w:hAnsi="Times New Roman"/>
                <w:sz w:val="20"/>
                <w:lang w:eastAsia="en-US"/>
              </w:rPr>
              <w:t>“</w:t>
            </w:r>
            <w:r w:rsidRPr="004D0DAA">
              <w:rPr>
                <w:rFonts w:cs="Arial"/>
                <w:i/>
                <w:szCs w:val="18"/>
                <w:lang w:eastAsia="en-US"/>
              </w:rPr>
              <w:t>MS Transmission Offset”and</w:t>
            </w:r>
            <w:r w:rsidRPr="004D0DAA">
              <w:rPr>
                <w:lang w:eastAsia="en-US"/>
              </w:rPr>
              <w:t xml:space="preserve"> “</w:t>
            </w:r>
            <w:r w:rsidRPr="004D0DAA">
              <w:rPr>
                <w:i/>
                <w:lang w:eastAsia="en-US"/>
              </w:rPr>
              <w:t>Random ID</w:t>
            </w:r>
            <w:r w:rsidRPr="004D0DAA">
              <w:rPr>
                <w:lang w:eastAsia="en-US"/>
              </w:rPr>
              <w:t>”</w:t>
            </w:r>
            <w:r w:rsidRPr="004D0DAA">
              <w:rPr>
                <w:rFonts w:cs="Arial"/>
                <w:i/>
                <w:szCs w:val="18"/>
                <w:lang w:eastAsia="en-US"/>
              </w:rPr>
              <w:t xml:space="preserve"> </w:t>
            </w:r>
            <w:r w:rsidRPr="004D0DAA">
              <w:rPr>
                <w:rFonts w:cs="Arial"/>
                <w:szCs w:val="18"/>
                <w:lang w:eastAsia="en-US"/>
              </w:rPr>
              <w:t>fields and is immediately followed by 11 octets that contain this information. The first 2 octets immediately following LI = 122 contain the “Cell Identity” field, the next 6 octets contain the “</w:t>
            </w:r>
            <w:r w:rsidRPr="004D0DAA">
              <w:rPr>
                <w:rFonts w:cs="Arial"/>
                <w:i/>
                <w:szCs w:val="18"/>
                <w:lang w:eastAsia="en-US"/>
              </w:rPr>
              <w:t>Routing Area Identification</w:t>
            </w:r>
            <w:r w:rsidRPr="004D0DAA">
              <w:rPr>
                <w:rFonts w:cs="Arial"/>
                <w:szCs w:val="18"/>
                <w:lang w:eastAsia="en-US"/>
              </w:rPr>
              <w:t>” field, the next octet contains the “MS Sync Accuracy” field and the “MS transmission Offset” fields and the last 2 octets include the “</w:t>
            </w:r>
            <w:r w:rsidRPr="004D0DAA">
              <w:rPr>
                <w:rFonts w:cs="Arial"/>
                <w:i/>
                <w:szCs w:val="18"/>
                <w:lang w:eastAsia="en-US"/>
              </w:rPr>
              <w:t>Random ID</w:t>
            </w:r>
            <w:r w:rsidRPr="004D0DAA">
              <w:rPr>
                <w:rFonts w:cs="Arial"/>
                <w:szCs w:val="18"/>
                <w:lang w:eastAsia="en-US"/>
              </w:rPr>
              <w:t>” field.</w:t>
            </w:r>
          </w:p>
        </w:tc>
      </w:tr>
      <w:tr w:rsidR="00711444" w:rsidRPr="004D0DAA" w14:paraId="2150B919"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64AC485F" w14:textId="77777777" w:rsidR="00711444" w:rsidRPr="004D0DAA" w:rsidRDefault="00711444" w:rsidP="00AA2A4C">
            <w:pPr>
              <w:pStyle w:val="TAL"/>
              <w:rPr>
                <w:lang w:eastAsia="en-US"/>
              </w:rPr>
            </w:pPr>
            <w:r w:rsidRPr="004D0DAA">
              <w:rPr>
                <w:lang w:eastAsia="en-US"/>
              </w:rPr>
              <w:lastRenderedPageBreak/>
              <w:t>LI: value=121</w:t>
            </w:r>
          </w:p>
          <w:p w14:paraId="406163E4" w14:textId="77777777" w:rsidR="00711444" w:rsidRPr="004D0DAA" w:rsidRDefault="00711444" w:rsidP="00AA2A4C">
            <w:pPr>
              <w:pStyle w:val="TAL"/>
              <w:rPr>
                <w:lang w:eastAsia="en-US"/>
              </w:rPr>
            </w:pPr>
            <w:r w:rsidRPr="004D0DAA">
              <w:rPr>
                <w:lang w:eastAsia="en-US"/>
              </w:rPr>
              <w:t>(this value is only used if the MS is sending a Page Response due to receiving a page with a positioning event indication)</w:t>
            </w:r>
          </w:p>
        </w:tc>
        <w:tc>
          <w:tcPr>
            <w:tcW w:w="863" w:type="pct"/>
            <w:tcBorders>
              <w:top w:val="single" w:sz="4" w:space="0" w:color="auto"/>
              <w:left w:val="nil"/>
              <w:bottom w:val="single" w:sz="4" w:space="0" w:color="auto"/>
              <w:right w:val="nil"/>
            </w:tcBorders>
          </w:tcPr>
          <w:p w14:paraId="7341F392" w14:textId="77777777" w:rsidR="00711444" w:rsidRPr="004D0DAA" w:rsidRDefault="00711444" w:rsidP="00AA2A4C">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442A2EC3" w14:textId="77777777" w:rsidR="00711444" w:rsidRPr="004D0DAA" w:rsidRDefault="00711444" w:rsidP="00AA2A4C">
            <w:pPr>
              <w:pStyle w:val="TAL"/>
              <w:rPr>
                <w:rFonts w:cs="Arial"/>
                <w:szCs w:val="18"/>
                <w:lang w:eastAsia="en-US"/>
              </w:rPr>
            </w:pPr>
            <w:r w:rsidRPr="004D0DAA">
              <w:rPr>
                <w:rFonts w:cs="Arial"/>
                <w:szCs w:val="18"/>
                <w:lang w:eastAsia="en-US"/>
              </w:rPr>
              <w:t xml:space="preserve">An LI value of 121 indicates the RLC data block includes the </w:t>
            </w:r>
            <w:r w:rsidRPr="004D0DAA">
              <w:rPr>
                <w:rFonts w:ascii="Times New Roman" w:hAnsi="Times New Roman"/>
                <w:sz w:val="20"/>
                <w:lang w:eastAsia="en-US"/>
              </w:rPr>
              <w:t>“</w:t>
            </w:r>
            <w:r w:rsidRPr="004D0DAA">
              <w:rPr>
                <w:rFonts w:cs="Arial"/>
                <w:i/>
                <w:szCs w:val="18"/>
                <w:lang w:eastAsia="en-US"/>
              </w:rPr>
              <w:t>MS Sync Accuracy</w:t>
            </w:r>
            <w:r w:rsidRPr="004D0DAA">
              <w:rPr>
                <w:rFonts w:ascii="Times New Roman" w:hAnsi="Times New Roman"/>
                <w:sz w:val="20"/>
                <w:lang w:eastAsia="en-US"/>
              </w:rPr>
              <w:t xml:space="preserve">” </w:t>
            </w:r>
            <w:r w:rsidRPr="004D0DAA">
              <w:rPr>
                <w:rFonts w:cs="Arial"/>
                <w:szCs w:val="18"/>
                <w:lang w:eastAsia="en-US"/>
              </w:rPr>
              <w:t xml:space="preserve">and </w:t>
            </w:r>
            <w:r w:rsidRPr="004D0DAA">
              <w:rPr>
                <w:rFonts w:ascii="Times New Roman" w:hAnsi="Times New Roman"/>
                <w:sz w:val="20"/>
                <w:lang w:eastAsia="en-US"/>
              </w:rPr>
              <w:t>“</w:t>
            </w:r>
            <w:r w:rsidRPr="004D0DAA">
              <w:rPr>
                <w:rFonts w:cs="Arial"/>
                <w:i/>
                <w:szCs w:val="18"/>
                <w:lang w:eastAsia="en-US"/>
              </w:rPr>
              <w:t xml:space="preserve">MS Transmission Offset” </w:t>
            </w:r>
            <w:r w:rsidRPr="004D0DAA">
              <w:rPr>
                <w:rFonts w:cs="Arial"/>
                <w:szCs w:val="18"/>
                <w:lang w:eastAsia="en-US"/>
              </w:rPr>
              <w:t>fields which are included starting in the octet immediately following LI = 121.</w:t>
            </w:r>
          </w:p>
        </w:tc>
      </w:tr>
      <w:tr w:rsidR="00711444" w:rsidRPr="004D0DAA" w14:paraId="49B329A0"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30D9A7C9" w14:textId="77777777" w:rsidR="00711444" w:rsidRPr="004D0DAA" w:rsidRDefault="00711444" w:rsidP="00AA2A4C">
            <w:pPr>
              <w:pStyle w:val="TAL"/>
              <w:rPr>
                <w:lang w:eastAsia="en-US"/>
              </w:rPr>
            </w:pPr>
            <w:r w:rsidRPr="004D0DAA">
              <w:rPr>
                <w:lang w:eastAsia="en-US"/>
              </w:rPr>
              <w:t>LI:value=120</w:t>
            </w:r>
          </w:p>
          <w:p w14:paraId="29068A3C" w14:textId="77777777" w:rsidR="00711444" w:rsidRPr="004D0DAA" w:rsidRDefault="00711444" w:rsidP="00AA2A4C">
            <w:pPr>
              <w:pStyle w:val="TAL"/>
              <w:rPr>
                <w:lang w:eastAsia="en-US"/>
              </w:rPr>
            </w:pPr>
            <w:r w:rsidRPr="004D0DAA">
              <w:rPr>
                <w:lang w:eastAsia="en-US"/>
              </w:rPr>
              <w:t>(this value is only allowed if MS assisted Dedicated Core Network selection is supported both by the network (see 3GPP TS 44.018) and the mobile station)</w:t>
            </w:r>
          </w:p>
        </w:tc>
        <w:tc>
          <w:tcPr>
            <w:tcW w:w="863" w:type="pct"/>
            <w:tcBorders>
              <w:top w:val="single" w:sz="4" w:space="0" w:color="auto"/>
              <w:left w:val="nil"/>
              <w:bottom w:val="single" w:sz="4" w:space="0" w:color="auto"/>
              <w:right w:val="nil"/>
            </w:tcBorders>
          </w:tcPr>
          <w:p w14:paraId="7AF1ECD2" w14:textId="77777777" w:rsidR="00711444" w:rsidRPr="004D0DAA" w:rsidRDefault="00711444" w:rsidP="00AA2A4C">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2E172A01" w14:textId="77777777" w:rsidR="00711444" w:rsidRPr="004D0DAA" w:rsidRDefault="00711444" w:rsidP="00AA2A4C">
            <w:pPr>
              <w:pStyle w:val="TAL"/>
              <w:rPr>
                <w:rFonts w:cs="Arial"/>
                <w:szCs w:val="18"/>
                <w:lang w:eastAsia="en-US"/>
              </w:rPr>
            </w:pPr>
            <w:r w:rsidRPr="004D0DAA">
              <w:rPr>
                <w:rFonts w:cs="Arial"/>
                <w:szCs w:val="18"/>
                <w:lang w:eastAsia="en-US"/>
              </w:rPr>
              <w:t>An LI value of 120 serves as a DCN-ID field indicator and is immediately followed by two octets that contains the DCN-ID field (see sub-clause 10.4.30).</w:t>
            </w:r>
          </w:p>
        </w:tc>
      </w:tr>
      <w:tr w:rsidR="003A27B2" w:rsidRPr="004D0DAA" w14:paraId="1B871FBA" w14:textId="77777777" w:rsidTr="003A27B2">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7950C0FA" w14:textId="77777777" w:rsidR="003A27B2" w:rsidRPr="004D0DAA" w:rsidRDefault="003A27B2" w:rsidP="006C6BCB">
            <w:pPr>
              <w:pStyle w:val="TAL"/>
              <w:rPr>
                <w:lang w:eastAsia="en-US"/>
              </w:rPr>
            </w:pPr>
            <w:r w:rsidRPr="004D0DAA">
              <w:rPr>
                <w:lang w:eastAsia="en-US"/>
              </w:rPr>
              <w:t>LI: value=119</w:t>
            </w:r>
          </w:p>
          <w:p w14:paraId="2A083F91" w14:textId="77777777" w:rsidR="003A27B2" w:rsidRPr="004D0DAA" w:rsidRDefault="003A27B2" w:rsidP="006C6BCB">
            <w:pPr>
              <w:pStyle w:val="TAL"/>
              <w:rPr>
                <w:lang w:eastAsia="en-US"/>
              </w:rPr>
            </w:pPr>
            <w:r w:rsidRPr="004D0DAA">
              <w:rPr>
                <w:lang w:eastAsia="en-US"/>
              </w:rPr>
              <w:t>(this value is only used if the MS is performing the radio access part of the MTA procedure and has need to provide MTA Signature using the RLC Data Block method)</w:t>
            </w:r>
          </w:p>
        </w:tc>
        <w:tc>
          <w:tcPr>
            <w:tcW w:w="863" w:type="pct"/>
            <w:tcBorders>
              <w:top w:val="single" w:sz="4" w:space="0" w:color="auto"/>
              <w:left w:val="nil"/>
              <w:bottom w:val="single" w:sz="4" w:space="0" w:color="auto"/>
              <w:right w:val="nil"/>
            </w:tcBorders>
          </w:tcPr>
          <w:p w14:paraId="197B6430" w14:textId="77777777" w:rsidR="003A27B2" w:rsidRPr="004D0DAA" w:rsidRDefault="003A27B2" w:rsidP="006C6BCB">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2DBF35FE" w14:textId="77777777" w:rsidR="003A27B2" w:rsidRPr="004D0DAA" w:rsidRDefault="003A27B2" w:rsidP="006C6BCB">
            <w:pPr>
              <w:pStyle w:val="TAL"/>
              <w:rPr>
                <w:rFonts w:cs="Arial"/>
                <w:szCs w:val="18"/>
                <w:lang w:eastAsia="en-US"/>
              </w:rPr>
            </w:pPr>
            <w:r w:rsidRPr="004D0DAA">
              <w:rPr>
                <w:rFonts w:cs="Arial"/>
                <w:szCs w:val="18"/>
                <w:lang w:eastAsia="en-US"/>
              </w:rPr>
              <w:t>An LI value of 119 indicates the RLC data block includes the “MTA Signature” field.</w:t>
            </w:r>
          </w:p>
        </w:tc>
      </w:tr>
      <w:tr w:rsidR="003A27B2" w:rsidRPr="004D0DAA" w14:paraId="4B267113" w14:textId="77777777" w:rsidTr="003A27B2">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29D8DCDE" w14:textId="77777777" w:rsidR="003A27B2" w:rsidRPr="004D0DAA" w:rsidRDefault="003A27B2" w:rsidP="006C6BCB">
            <w:pPr>
              <w:pStyle w:val="TAL"/>
              <w:rPr>
                <w:lang w:eastAsia="en-US"/>
              </w:rPr>
            </w:pPr>
            <w:r w:rsidRPr="004D0DAA">
              <w:rPr>
                <w:lang w:eastAsia="en-US"/>
              </w:rPr>
              <w:t>LI: value=118</w:t>
            </w:r>
          </w:p>
          <w:p w14:paraId="7F9DF042" w14:textId="77777777" w:rsidR="003A27B2" w:rsidRPr="004D0DAA" w:rsidRDefault="003A27B2" w:rsidP="006C6BCB">
            <w:pPr>
              <w:pStyle w:val="TAL"/>
              <w:rPr>
                <w:lang w:eastAsia="en-US"/>
              </w:rPr>
            </w:pPr>
            <w:r w:rsidRPr="004D0DAA">
              <w:rPr>
                <w:lang w:eastAsia="en-US"/>
              </w:rPr>
              <w:t>(this value is only used if the MS is performing the radio access part of the MTA procedure using the RLC Data Block method where enhanced security is provided using the BSS Duplication Detection Method)</w:t>
            </w:r>
          </w:p>
        </w:tc>
        <w:tc>
          <w:tcPr>
            <w:tcW w:w="863" w:type="pct"/>
            <w:tcBorders>
              <w:top w:val="single" w:sz="4" w:space="0" w:color="auto"/>
              <w:left w:val="nil"/>
              <w:bottom w:val="single" w:sz="4" w:space="0" w:color="auto"/>
              <w:right w:val="nil"/>
            </w:tcBorders>
          </w:tcPr>
          <w:p w14:paraId="69171C58" w14:textId="77777777" w:rsidR="003A27B2" w:rsidRPr="004D0DAA" w:rsidRDefault="003A27B2" w:rsidP="006C6BCB">
            <w:pPr>
              <w:pStyle w:val="TAC"/>
              <w:rPr>
                <w:lang w:eastAsia="en-US"/>
              </w:rPr>
            </w:pPr>
            <w:r w:rsidRPr="004D0DAA">
              <w:rPr>
                <w:lang w:eastAsia="en-US"/>
              </w:rPr>
              <w:t>0/1</w:t>
            </w:r>
          </w:p>
        </w:tc>
        <w:tc>
          <w:tcPr>
            <w:tcW w:w="2428" w:type="pct"/>
            <w:tcBorders>
              <w:top w:val="single" w:sz="4" w:space="0" w:color="auto"/>
              <w:left w:val="nil"/>
              <w:bottom w:val="single" w:sz="4" w:space="0" w:color="auto"/>
              <w:right w:val="single" w:sz="4" w:space="0" w:color="auto"/>
            </w:tcBorders>
          </w:tcPr>
          <w:p w14:paraId="36A74C4A" w14:textId="77777777" w:rsidR="003A27B2" w:rsidRPr="004D0DAA" w:rsidRDefault="003A27B2" w:rsidP="006C6BCB">
            <w:pPr>
              <w:pStyle w:val="TAL"/>
              <w:rPr>
                <w:rFonts w:cs="Arial"/>
                <w:szCs w:val="18"/>
                <w:lang w:eastAsia="en-US"/>
              </w:rPr>
            </w:pPr>
            <w:r w:rsidRPr="004D0DAA">
              <w:rPr>
                <w:rFonts w:cs="Arial"/>
                <w:szCs w:val="18"/>
                <w:lang w:eastAsia="en-US"/>
              </w:rPr>
              <w:t xml:space="preserve">An LI value of 118 indicates the RLC data block includes the “FMA” and “MTA Report Instance” fields and is immediately followed by the octet that contains these fields. </w:t>
            </w:r>
          </w:p>
        </w:tc>
      </w:tr>
      <w:tr w:rsidR="00711444" w:rsidRPr="004D0DAA" w14:paraId="3B3531A6" w14:textId="77777777" w:rsidTr="00AA2A4C">
        <w:tblPrEx>
          <w:tblCellMar>
            <w:top w:w="0" w:type="dxa"/>
            <w:bottom w:w="0" w:type="dxa"/>
          </w:tblCellMar>
        </w:tblPrEx>
        <w:trPr>
          <w:cantSplit/>
        </w:trPr>
        <w:tc>
          <w:tcPr>
            <w:tcW w:w="1709" w:type="pct"/>
            <w:tcBorders>
              <w:top w:val="single" w:sz="4" w:space="0" w:color="auto"/>
              <w:left w:val="single" w:sz="4" w:space="0" w:color="auto"/>
              <w:bottom w:val="single" w:sz="4" w:space="0" w:color="auto"/>
              <w:right w:val="nil"/>
            </w:tcBorders>
          </w:tcPr>
          <w:p w14:paraId="1CCCB69A" w14:textId="77777777" w:rsidR="00711444" w:rsidRPr="004D0DAA" w:rsidRDefault="00711444" w:rsidP="00AA2A4C">
            <w:pPr>
              <w:pStyle w:val="TAL"/>
              <w:rPr>
                <w:lang w:eastAsia="en-US"/>
              </w:rPr>
            </w:pPr>
            <w:r w:rsidRPr="004D0DAA">
              <w:rPr>
                <w:lang w:eastAsia="en-US"/>
              </w:rPr>
              <w:t>No LI field present</w:t>
            </w:r>
          </w:p>
        </w:tc>
        <w:tc>
          <w:tcPr>
            <w:tcW w:w="863" w:type="pct"/>
            <w:tcBorders>
              <w:top w:val="single" w:sz="4" w:space="0" w:color="auto"/>
              <w:left w:val="nil"/>
              <w:bottom w:val="single" w:sz="4" w:space="0" w:color="auto"/>
              <w:right w:val="nil"/>
            </w:tcBorders>
          </w:tcPr>
          <w:p w14:paraId="7485FD78" w14:textId="77777777" w:rsidR="00711444" w:rsidRPr="004D0DAA" w:rsidRDefault="00711444" w:rsidP="00AA2A4C">
            <w:pPr>
              <w:pStyle w:val="TAC"/>
              <w:rPr>
                <w:lang w:eastAsia="en-US"/>
              </w:rPr>
            </w:pPr>
            <w:r w:rsidRPr="004D0DAA">
              <w:rPr>
                <w:lang w:eastAsia="en-US"/>
              </w:rPr>
              <w:t>n.a.</w:t>
            </w:r>
          </w:p>
        </w:tc>
        <w:tc>
          <w:tcPr>
            <w:tcW w:w="2428" w:type="pct"/>
            <w:tcBorders>
              <w:top w:val="single" w:sz="4" w:space="0" w:color="auto"/>
              <w:left w:val="nil"/>
              <w:bottom w:val="single" w:sz="4" w:space="0" w:color="auto"/>
              <w:right w:val="single" w:sz="4" w:space="0" w:color="auto"/>
            </w:tcBorders>
          </w:tcPr>
          <w:p w14:paraId="5359E864" w14:textId="77777777" w:rsidR="00711444" w:rsidRPr="004D0DAA" w:rsidRDefault="00711444" w:rsidP="00AA2A4C">
            <w:pPr>
              <w:pStyle w:val="TAL"/>
              <w:rPr>
                <w:lang w:eastAsia="en-US"/>
              </w:rPr>
            </w:pPr>
            <w:r w:rsidRPr="004D0DAA">
              <w:rPr>
                <w:lang w:eastAsia="en-US"/>
              </w:rPr>
              <w:t>The Upper Layer PDU that starts with the current RLC data block either fills the current RLC data block precisely or continues in the following in-sequence RLC data block</w:t>
            </w:r>
          </w:p>
        </w:tc>
      </w:tr>
    </w:tbl>
    <w:p w14:paraId="02BE87AC" w14:textId="77777777" w:rsidR="00711444" w:rsidRPr="004D0DAA" w:rsidRDefault="00711444" w:rsidP="00711444"/>
    <w:p w14:paraId="62678735" w14:textId="77777777" w:rsidR="00711444" w:rsidRPr="004D0DAA" w:rsidRDefault="00711444" w:rsidP="00711444">
      <w:pPr>
        <w:pStyle w:val="Heading3"/>
      </w:pPr>
      <w:bookmarkStart w:id="590" w:name="_Toc516669770"/>
      <w:r w:rsidRPr="004D0DAA">
        <w:t>10.4.15</w:t>
      </w:r>
      <w:r w:rsidRPr="004D0DAA">
        <w:tab/>
        <w:t>TLLI field</w:t>
      </w:r>
      <w:bookmarkEnd w:id="590"/>
    </w:p>
    <w:p w14:paraId="38BADF2A" w14:textId="77777777" w:rsidR="00711444" w:rsidRPr="004D0DAA" w:rsidRDefault="00711444" w:rsidP="00711444">
      <w:r w:rsidRPr="004D0DAA">
        <w:t>The TLLI field contains a TLLI encoded as the contents of the TLLI information element defined in 3GPP TS 44.018.</w:t>
      </w:r>
    </w:p>
    <w:p w14:paraId="74100FBE" w14:textId="77777777" w:rsidR="00711444" w:rsidRPr="004D0DAA" w:rsidRDefault="00711444" w:rsidP="00711444">
      <w:pPr>
        <w:pStyle w:val="Heading3"/>
      </w:pPr>
      <w:bookmarkStart w:id="591" w:name="_Toc516669771"/>
      <w:r w:rsidRPr="004D0DAA">
        <w:t>10.4.16</w:t>
      </w:r>
      <w:r w:rsidRPr="004D0DAA">
        <w:tab/>
        <w:t>RLC data field</w:t>
      </w:r>
      <w:bookmarkEnd w:id="591"/>
    </w:p>
    <w:p w14:paraId="2738E2C9" w14:textId="77777777" w:rsidR="00711444" w:rsidRPr="004D0DAA" w:rsidRDefault="00711444" w:rsidP="00711444">
      <w:pPr>
        <w:tabs>
          <w:tab w:val="left" w:pos="2127"/>
        </w:tabs>
      </w:pPr>
      <w:r w:rsidRPr="004D0DAA">
        <w:t>The RLC data field contains octets from one or more Upper Layer PDUs. The RLC data field may contain parts of one or two Upper Layer PDUs and all of an arbitrary number of Upper Layer PDUs. The E bit, the M bit, and the Length Indicator delimit the RLC data field into Upper Layer PDUs. If the last Upper Layer PDU of a downlink TBF or an uplink RLC data block with CV = 0 does not fill the entire RLC data field, an extension octet shall be used to indicate the number of valid RLC data octets. The remainder of the RLC data field shall be filled with filler octets with the value '00101011'. Only the last RLC data block of a downlink TBF or an uplink RLC data block with CV = 0 may contain filler octets. If an uplink TBF is continued after the RLC data block with CV = 0, the next Upper Layer PDU starts with the first octet of the RLC data field of the next in sequence RLC data block.</w:t>
      </w:r>
    </w:p>
    <w:p w14:paraId="4C610F1D" w14:textId="77777777" w:rsidR="00711444" w:rsidRPr="004D0DAA" w:rsidRDefault="00711444" w:rsidP="00711444">
      <w:pPr>
        <w:pStyle w:val="Heading3"/>
      </w:pPr>
      <w:bookmarkStart w:id="592" w:name="_Toc516669772"/>
      <w:r w:rsidRPr="004D0DAA">
        <w:t>10.4.17</w:t>
      </w:r>
      <w:r w:rsidRPr="004D0DAA">
        <w:tab/>
        <w:t>Control message contents field</w:t>
      </w:r>
      <w:bookmarkEnd w:id="592"/>
    </w:p>
    <w:p w14:paraId="428D9A0F" w14:textId="77777777" w:rsidR="00711444" w:rsidRPr="004D0DAA" w:rsidRDefault="00711444" w:rsidP="00711444">
      <w:r w:rsidRPr="004D0DAA">
        <w:t>The Control message contents field shall contain exactly one segment from one RLC/MAC control message field (i.e. RLC/MAC control block).</w:t>
      </w:r>
    </w:p>
    <w:p w14:paraId="4D5C1913" w14:textId="77777777" w:rsidR="00711444" w:rsidRPr="004D0DAA" w:rsidRDefault="00711444" w:rsidP="00711444">
      <w:pPr>
        <w:pStyle w:val="Heading3"/>
      </w:pPr>
      <w:bookmarkStart w:id="593" w:name="_Toc516669773"/>
      <w:r w:rsidRPr="004D0DAA">
        <w:t>10.4.18</w:t>
      </w:r>
      <w:r w:rsidRPr="004D0DAA">
        <w:tab/>
        <w:t>Resent Block Bit (RSB)</w:t>
      </w:r>
      <w:bookmarkEnd w:id="593"/>
    </w:p>
    <w:p w14:paraId="613ACFC2" w14:textId="77777777" w:rsidR="00711444" w:rsidRPr="004D0DAA" w:rsidRDefault="00711444" w:rsidP="00711444">
      <w:r w:rsidRPr="004D0DAA">
        <w:t>The Resent Block Bit (RSB) indicates whether any of the RLC data blocks contained within the EGPRS radio block have been sent previously. The setting of this field is shown in table 10.4.18.1.</w:t>
      </w:r>
    </w:p>
    <w:p w14:paraId="284127DC" w14:textId="77777777" w:rsidR="00711444" w:rsidRPr="004D0DAA" w:rsidRDefault="00711444" w:rsidP="00711444">
      <w:pPr>
        <w:pStyle w:val="TH"/>
      </w:pPr>
      <w:r w:rsidRPr="004D0DAA">
        <w:lastRenderedPageBreak/>
        <w:t>Table 10.4.18.1: Resent block bit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94"/>
        <w:gridCol w:w="5415"/>
      </w:tblGrid>
      <w:tr w:rsidR="00711444" w:rsidRPr="004D0DAA" w14:paraId="13A8D74D" w14:textId="77777777" w:rsidTr="00AA2A4C">
        <w:tblPrEx>
          <w:tblCellMar>
            <w:top w:w="0" w:type="dxa"/>
            <w:bottom w:w="0" w:type="dxa"/>
          </w:tblCellMar>
        </w:tblPrEx>
        <w:trPr>
          <w:cantSplit/>
          <w:jc w:val="center"/>
        </w:trPr>
        <w:tc>
          <w:tcPr>
            <w:tcW w:w="794" w:type="dxa"/>
          </w:tcPr>
          <w:p w14:paraId="66A2E95A" w14:textId="77777777" w:rsidR="00711444" w:rsidRPr="004D0DAA" w:rsidRDefault="00711444" w:rsidP="00AA2A4C">
            <w:pPr>
              <w:pStyle w:val="TAH"/>
              <w:rPr>
                <w:lang w:eastAsia="en-US"/>
              </w:rPr>
            </w:pPr>
            <w:r w:rsidRPr="004D0DAA">
              <w:rPr>
                <w:lang w:eastAsia="en-US"/>
              </w:rPr>
              <w:t>bit</w:t>
            </w:r>
          </w:p>
        </w:tc>
        <w:tc>
          <w:tcPr>
            <w:tcW w:w="5415" w:type="dxa"/>
          </w:tcPr>
          <w:p w14:paraId="12DF1803" w14:textId="77777777" w:rsidR="00711444" w:rsidRPr="004D0DAA" w:rsidRDefault="00711444" w:rsidP="00AA2A4C">
            <w:pPr>
              <w:pStyle w:val="TAH"/>
              <w:rPr>
                <w:lang w:eastAsia="en-US"/>
              </w:rPr>
            </w:pPr>
          </w:p>
        </w:tc>
      </w:tr>
      <w:tr w:rsidR="00711444" w:rsidRPr="004D0DAA" w14:paraId="23F378C4" w14:textId="77777777" w:rsidTr="00AA2A4C">
        <w:tblPrEx>
          <w:tblCellMar>
            <w:top w:w="0" w:type="dxa"/>
            <w:bottom w:w="0" w:type="dxa"/>
          </w:tblCellMar>
        </w:tblPrEx>
        <w:trPr>
          <w:cantSplit/>
          <w:jc w:val="center"/>
        </w:trPr>
        <w:tc>
          <w:tcPr>
            <w:tcW w:w="794" w:type="dxa"/>
          </w:tcPr>
          <w:p w14:paraId="4F585EE4" w14:textId="77777777" w:rsidR="00711444" w:rsidRPr="004D0DAA" w:rsidRDefault="00711444" w:rsidP="00AA2A4C">
            <w:pPr>
              <w:pStyle w:val="TAC"/>
              <w:rPr>
                <w:lang w:eastAsia="en-US"/>
              </w:rPr>
            </w:pPr>
            <w:r w:rsidRPr="004D0DAA">
              <w:rPr>
                <w:lang w:eastAsia="en-US"/>
              </w:rPr>
              <w:t>0</w:t>
            </w:r>
          </w:p>
        </w:tc>
        <w:tc>
          <w:tcPr>
            <w:tcW w:w="5415" w:type="dxa"/>
          </w:tcPr>
          <w:p w14:paraId="0C3D3A55" w14:textId="77777777" w:rsidR="00711444" w:rsidRPr="004D0DAA" w:rsidRDefault="00711444" w:rsidP="00AA2A4C">
            <w:pPr>
              <w:pStyle w:val="TAL"/>
              <w:rPr>
                <w:lang w:eastAsia="en-US"/>
              </w:rPr>
            </w:pPr>
            <w:r w:rsidRPr="004D0DAA">
              <w:rPr>
                <w:lang w:eastAsia="en-US"/>
              </w:rPr>
              <w:t>All of the RLC data blocks contained within the EGPRS radio block are being transmitted for the first time</w:t>
            </w:r>
          </w:p>
        </w:tc>
      </w:tr>
      <w:tr w:rsidR="00711444" w:rsidRPr="004D0DAA" w14:paraId="569EC56C" w14:textId="77777777" w:rsidTr="00AA2A4C">
        <w:tblPrEx>
          <w:tblCellMar>
            <w:top w:w="0" w:type="dxa"/>
            <w:bottom w:w="0" w:type="dxa"/>
          </w:tblCellMar>
        </w:tblPrEx>
        <w:trPr>
          <w:cantSplit/>
          <w:jc w:val="center"/>
        </w:trPr>
        <w:tc>
          <w:tcPr>
            <w:tcW w:w="794" w:type="dxa"/>
          </w:tcPr>
          <w:p w14:paraId="4E6CBF49" w14:textId="77777777" w:rsidR="00711444" w:rsidRPr="004D0DAA" w:rsidRDefault="00711444" w:rsidP="00AA2A4C">
            <w:pPr>
              <w:pStyle w:val="TAC"/>
              <w:rPr>
                <w:lang w:eastAsia="en-US"/>
              </w:rPr>
            </w:pPr>
            <w:r w:rsidRPr="004D0DAA">
              <w:rPr>
                <w:lang w:eastAsia="en-US"/>
              </w:rPr>
              <w:t>1</w:t>
            </w:r>
          </w:p>
        </w:tc>
        <w:tc>
          <w:tcPr>
            <w:tcW w:w="5415" w:type="dxa"/>
          </w:tcPr>
          <w:p w14:paraId="3CF32352" w14:textId="77777777" w:rsidR="00711444" w:rsidRPr="004D0DAA" w:rsidRDefault="00711444" w:rsidP="00AA2A4C">
            <w:pPr>
              <w:pStyle w:val="TAL"/>
              <w:rPr>
                <w:lang w:eastAsia="en-US"/>
              </w:rPr>
            </w:pPr>
            <w:r w:rsidRPr="004D0DAA">
              <w:rPr>
                <w:lang w:eastAsia="en-US"/>
              </w:rPr>
              <w:t>At least one RLC data block contained within the EGPRS radio block has been transmitted before</w:t>
            </w:r>
          </w:p>
        </w:tc>
      </w:tr>
      <w:tr w:rsidR="00711444" w:rsidRPr="004D0DAA" w14:paraId="7B3F0339" w14:textId="77777777" w:rsidTr="00AA2A4C">
        <w:tblPrEx>
          <w:tblCellMar>
            <w:top w:w="0" w:type="dxa"/>
            <w:bottom w:w="0" w:type="dxa"/>
          </w:tblCellMar>
        </w:tblPrEx>
        <w:trPr>
          <w:cantSplit/>
          <w:jc w:val="center"/>
        </w:trPr>
        <w:tc>
          <w:tcPr>
            <w:tcW w:w="6209" w:type="dxa"/>
            <w:gridSpan w:val="2"/>
          </w:tcPr>
          <w:p w14:paraId="2408A8C3" w14:textId="77777777" w:rsidR="00711444" w:rsidRPr="004D0DAA" w:rsidRDefault="00711444" w:rsidP="00AA2A4C">
            <w:pPr>
              <w:pStyle w:val="TAN"/>
              <w:rPr>
                <w:lang w:eastAsia="en-US"/>
              </w:rPr>
            </w:pPr>
            <w:r w:rsidRPr="004D0DAA">
              <w:rPr>
                <w:lang w:eastAsia="en-US"/>
              </w:rPr>
              <w:t>NOTE:</w:t>
            </w:r>
            <w:r w:rsidRPr="004D0DAA">
              <w:rPr>
                <w:lang w:eastAsia="en-US"/>
              </w:rPr>
              <w:tab/>
              <w:t>The use of this bit shall be reconsidered in future versions of the present document.</w:t>
            </w:r>
          </w:p>
        </w:tc>
      </w:tr>
    </w:tbl>
    <w:p w14:paraId="3B6B9F5D" w14:textId="77777777" w:rsidR="00711444" w:rsidRPr="004D0DAA" w:rsidRDefault="00711444" w:rsidP="00711444"/>
    <w:p w14:paraId="2ACD7DCA" w14:textId="77777777" w:rsidR="00711444" w:rsidRPr="004D0DAA" w:rsidRDefault="00711444" w:rsidP="00711444">
      <w:pPr>
        <w:pStyle w:val="Heading3"/>
      </w:pPr>
      <w:bookmarkStart w:id="594" w:name="_Toc516669774"/>
      <w:r w:rsidRPr="004D0DAA">
        <w:t>10.4.19</w:t>
      </w:r>
      <w:r w:rsidRPr="004D0DAA">
        <w:tab/>
        <w:t>PFI Indicator (PI) bit</w:t>
      </w:r>
      <w:bookmarkEnd w:id="594"/>
    </w:p>
    <w:p w14:paraId="285F8168" w14:textId="77777777" w:rsidR="00711444" w:rsidRPr="004D0DAA" w:rsidRDefault="00711444" w:rsidP="00711444">
      <w:r w:rsidRPr="004D0DAA">
        <w:t xml:space="preserve">The PFI Indicator (PI) indicates the presence of the optional PFI field. The PI shall be ignored in </w:t>
      </w:r>
      <w:r w:rsidRPr="004D0DAA">
        <w:rPr>
          <w:i/>
          <w:iCs/>
        </w:rPr>
        <w:t>Iu mode</w:t>
      </w:r>
      <w:r w:rsidRPr="004D0DAA">
        <w:t>.</w:t>
      </w:r>
    </w:p>
    <w:p w14:paraId="72F43025" w14:textId="77777777" w:rsidR="00711444" w:rsidRPr="004D0DAA" w:rsidRDefault="00711444" w:rsidP="00711444">
      <w:pPr>
        <w:pStyle w:val="TH"/>
      </w:pPr>
      <w:r w:rsidRPr="004D0DAA">
        <w:t>Table 10.4.19.1: PFI Indicator (PI) bit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firstRow="0" w:lastRow="0" w:firstColumn="0" w:lastColumn="0" w:noHBand="0" w:noVBand="0"/>
      </w:tblPr>
      <w:tblGrid>
        <w:gridCol w:w="794"/>
        <w:gridCol w:w="4536"/>
      </w:tblGrid>
      <w:tr w:rsidR="00711444" w:rsidRPr="004D0DAA" w14:paraId="269AA566" w14:textId="77777777" w:rsidTr="00AA2A4C">
        <w:tblPrEx>
          <w:tblCellMar>
            <w:top w:w="0" w:type="dxa"/>
            <w:bottom w:w="0" w:type="dxa"/>
          </w:tblCellMar>
        </w:tblPrEx>
        <w:trPr>
          <w:cantSplit/>
          <w:jc w:val="center"/>
        </w:trPr>
        <w:tc>
          <w:tcPr>
            <w:tcW w:w="794" w:type="dxa"/>
            <w:tcBorders>
              <w:bottom w:val="nil"/>
            </w:tcBorders>
          </w:tcPr>
          <w:p w14:paraId="1CE7F294" w14:textId="77777777" w:rsidR="00711444" w:rsidRPr="004D0DAA" w:rsidRDefault="00711444" w:rsidP="00AA2A4C">
            <w:pPr>
              <w:pStyle w:val="TAH"/>
              <w:rPr>
                <w:lang w:eastAsia="en-US"/>
              </w:rPr>
            </w:pPr>
            <w:r w:rsidRPr="004D0DAA">
              <w:rPr>
                <w:lang w:eastAsia="en-US"/>
              </w:rPr>
              <w:t>bit</w:t>
            </w:r>
          </w:p>
        </w:tc>
        <w:tc>
          <w:tcPr>
            <w:tcW w:w="4536" w:type="dxa"/>
            <w:tcBorders>
              <w:bottom w:val="nil"/>
            </w:tcBorders>
          </w:tcPr>
          <w:p w14:paraId="0951EA6A" w14:textId="77777777" w:rsidR="00711444" w:rsidRPr="004D0DAA" w:rsidRDefault="00711444" w:rsidP="00AA2A4C">
            <w:pPr>
              <w:pStyle w:val="TAH"/>
              <w:rPr>
                <w:lang w:eastAsia="en-US"/>
              </w:rPr>
            </w:pPr>
            <w:r w:rsidRPr="004D0DAA">
              <w:rPr>
                <w:lang w:eastAsia="en-US"/>
              </w:rPr>
              <w:t>PFI Indicator (PI) bit</w:t>
            </w:r>
          </w:p>
        </w:tc>
      </w:tr>
      <w:tr w:rsidR="00711444" w:rsidRPr="004D0DAA" w14:paraId="40FF27D1" w14:textId="77777777" w:rsidTr="00AA2A4C">
        <w:tblPrEx>
          <w:tblCellMar>
            <w:top w:w="0" w:type="dxa"/>
            <w:bottom w:w="0" w:type="dxa"/>
          </w:tblCellMar>
        </w:tblPrEx>
        <w:trPr>
          <w:cantSplit/>
          <w:jc w:val="center"/>
        </w:trPr>
        <w:tc>
          <w:tcPr>
            <w:tcW w:w="794" w:type="dxa"/>
            <w:tcBorders>
              <w:top w:val="single" w:sz="4" w:space="0" w:color="auto"/>
              <w:bottom w:val="single" w:sz="4" w:space="0" w:color="auto"/>
              <w:right w:val="single" w:sz="4" w:space="0" w:color="auto"/>
            </w:tcBorders>
          </w:tcPr>
          <w:p w14:paraId="15C7F913" w14:textId="77777777" w:rsidR="00711444" w:rsidRPr="004D0DAA" w:rsidRDefault="00711444" w:rsidP="00AA2A4C">
            <w:pPr>
              <w:pStyle w:val="TAC"/>
              <w:rPr>
                <w:lang w:eastAsia="en-US"/>
              </w:rPr>
            </w:pPr>
            <w:r w:rsidRPr="004D0DAA">
              <w:rPr>
                <w:lang w:eastAsia="en-US"/>
              </w:rPr>
              <w:t>0</w:t>
            </w:r>
          </w:p>
        </w:tc>
        <w:tc>
          <w:tcPr>
            <w:tcW w:w="4536" w:type="dxa"/>
            <w:tcBorders>
              <w:top w:val="single" w:sz="4" w:space="0" w:color="auto"/>
              <w:left w:val="single" w:sz="4" w:space="0" w:color="auto"/>
              <w:bottom w:val="single" w:sz="4" w:space="0" w:color="auto"/>
            </w:tcBorders>
          </w:tcPr>
          <w:p w14:paraId="33AAF82A" w14:textId="77777777" w:rsidR="00711444" w:rsidRPr="004D0DAA" w:rsidRDefault="00711444" w:rsidP="00AA2A4C">
            <w:pPr>
              <w:pStyle w:val="TAL"/>
              <w:rPr>
                <w:lang w:eastAsia="en-US"/>
              </w:rPr>
            </w:pPr>
            <w:r w:rsidRPr="004D0DAA">
              <w:rPr>
                <w:lang w:eastAsia="en-US"/>
              </w:rPr>
              <w:t>PFI is not present</w:t>
            </w:r>
          </w:p>
        </w:tc>
      </w:tr>
      <w:tr w:rsidR="00711444" w:rsidRPr="004D0DAA" w14:paraId="61D6FB80" w14:textId="77777777" w:rsidTr="00AA2A4C">
        <w:tblPrEx>
          <w:tblCellMar>
            <w:top w:w="0" w:type="dxa"/>
            <w:bottom w:w="0" w:type="dxa"/>
          </w:tblCellMar>
        </w:tblPrEx>
        <w:trPr>
          <w:cantSplit/>
          <w:jc w:val="center"/>
        </w:trPr>
        <w:tc>
          <w:tcPr>
            <w:tcW w:w="794" w:type="dxa"/>
            <w:tcBorders>
              <w:top w:val="single" w:sz="4" w:space="0" w:color="auto"/>
              <w:bottom w:val="single" w:sz="4" w:space="0" w:color="auto"/>
              <w:right w:val="single" w:sz="4" w:space="0" w:color="auto"/>
            </w:tcBorders>
          </w:tcPr>
          <w:p w14:paraId="17A75E7C" w14:textId="77777777" w:rsidR="00711444" w:rsidRPr="004D0DAA" w:rsidRDefault="00711444" w:rsidP="00AA2A4C">
            <w:pPr>
              <w:pStyle w:val="TAC"/>
              <w:rPr>
                <w:lang w:eastAsia="en-US"/>
              </w:rPr>
            </w:pPr>
            <w:r w:rsidRPr="004D0DAA">
              <w:rPr>
                <w:lang w:eastAsia="en-US"/>
              </w:rPr>
              <w:t>1</w:t>
            </w:r>
          </w:p>
        </w:tc>
        <w:tc>
          <w:tcPr>
            <w:tcW w:w="4536" w:type="dxa"/>
            <w:tcBorders>
              <w:top w:val="single" w:sz="4" w:space="0" w:color="auto"/>
              <w:left w:val="single" w:sz="4" w:space="0" w:color="auto"/>
              <w:bottom w:val="single" w:sz="4" w:space="0" w:color="auto"/>
            </w:tcBorders>
          </w:tcPr>
          <w:p w14:paraId="0AE0818F" w14:textId="77777777" w:rsidR="00711444" w:rsidRPr="004D0DAA" w:rsidRDefault="00711444" w:rsidP="00AA2A4C">
            <w:pPr>
              <w:pStyle w:val="TAL"/>
              <w:rPr>
                <w:lang w:eastAsia="en-US"/>
              </w:rPr>
            </w:pPr>
            <w:r w:rsidRPr="004D0DAA">
              <w:rPr>
                <w:lang w:eastAsia="en-US"/>
              </w:rPr>
              <w:t>PFI is present if TI field indicates presence of TLLI</w:t>
            </w:r>
          </w:p>
        </w:tc>
      </w:tr>
    </w:tbl>
    <w:p w14:paraId="0F7B5251" w14:textId="77777777" w:rsidR="00711444" w:rsidRPr="004D0DAA" w:rsidRDefault="00711444" w:rsidP="00711444"/>
    <w:p w14:paraId="0911A7B9" w14:textId="77777777" w:rsidR="00711444" w:rsidRPr="004D0DAA" w:rsidRDefault="00711444" w:rsidP="00711444">
      <w:pPr>
        <w:pStyle w:val="Heading3"/>
      </w:pPr>
      <w:bookmarkStart w:id="595" w:name="_Toc516669775"/>
      <w:r w:rsidRPr="004D0DAA">
        <w:t>10.4.20</w:t>
      </w:r>
      <w:r w:rsidRPr="004D0DAA">
        <w:tab/>
        <w:t>Packet Flow Identifier (PFI) field</w:t>
      </w:r>
      <w:bookmarkEnd w:id="595"/>
    </w:p>
    <w:p w14:paraId="055C23D3" w14:textId="77777777" w:rsidR="00711444" w:rsidRPr="004D0DAA" w:rsidRDefault="00711444" w:rsidP="00711444">
      <w:pPr>
        <w:rPr>
          <w:sz w:val="40"/>
          <w:szCs w:val="40"/>
          <w:lang w:eastAsia="ja-JP"/>
        </w:rPr>
      </w:pPr>
      <w:r w:rsidRPr="004D0DAA">
        <w:t>The PFI field contains a PFI value encoded as the contents of the PFI information element as defined in 3GPP TS 44.018. The use of PFI is not supported in EC operation.</w:t>
      </w:r>
    </w:p>
    <w:p w14:paraId="3AD7114C" w14:textId="77777777" w:rsidR="00711444" w:rsidRPr="004D0DAA" w:rsidRDefault="00711444" w:rsidP="00711444">
      <w:pPr>
        <w:pStyle w:val="Heading3"/>
        <w:ind w:left="432" w:hanging="432"/>
      </w:pPr>
      <w:bookmarkStart w:id="596" w:name="_Toc516669776"/>
      <w:r w:rsidRPr="004D0DAA">
        <w:t>10.4.21</w:t>
      </w:r>
      <w:r w:rsidRPr="004D0DAA">
        <w:tab/>
        <w:t>PAN Indication (PANI) field</w:t>
      </w:r>
      <w:bookmarkEnd w:id="596"/>
    </w:p>
    <w:p w14:paraId="67BF5A90" w14:textId="77777777" w:rsidR="00711444" w:rsidRPr="004D0DAA" w:rsidRDefault="00711444" w:rsidP="00711444">
      <w:r w:rsidRPr="004D0DAA">
        <w:t>The PANI field indicates the presence of the PAN field.</w:t>
      </w:r>
    </w:p>
    <w:p w14:paraId="33022ADE" w14:textId="77777777" w:rsidR="00711444" w:rsidRPr="004D0DAA" w:rsidRDefault="00711444" w:rsidP="00711444">
      <w:pPr>
        <w:pStyle w:val="TH"/>
      </w:pPr>
      <w:r w:rsidRPr="004D0DAA">
        <w:t>Table 10.4.21.1: PAN Indication (PANI)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11"/>
        <w:gridCol w:w="3402"/>
      </w:tblGrid>
      <w:tr w:rsidR="00711444" w:rsidRPr="004D0DAA" w14:paraId="2A1C215C" w14:textId="77777777" w:rsidTr="00AA2A4C">
        <w:tblPrEx>
          <w:tblCellMar>
            <w:top w:w="0" w:type="dxa"/>
            <w:bottom w:w="0" w:type="dxa"/>
          </w:tblCellMar>
        </w:tblPrEx>
        <w:trPr>
          <w:cantSplit/>
          <w:jc w:val="center"/>
        </w:trPr>
        <w:tc>
          <w:tcPr>
            <w:tcW w:w="611" w:type="dxa"/>
          </w:tcPr>
          <w:p w14:paraId="75335758" w14:textId="77777777" w:rsidR="00711444" w:rsidRPr="004D0DAA" w:rsidRDefault="00711444" w:rsidP="00AA2A4C">
            <w:pPr>
              <w:pStyle w:val="TAH"/>
              <w:rPr>
                <w:lang w:eastAsia="en-US"/>
              </w:rPr>
            </w:pPr>
            <w:r w:rsidRPr="004D0DAA">
              <w:rPr>
                <w:lang w:eastAsia="en-US"/>
              </w:rPr>
              <w:t>bit</w:t>
            </w:r>
          </w:p>
        </w:tc>
        <w:tc>
          <w:tcPr>
            <w:tcW w:w="3402" w:type="dxa"/>
          </w:tcPr>
          <w:p w14:paraId="4DAABCDC" w14:textId="77777777" w:rsidR="00711444" w:rsidRPr="004D0DAA" w:rsidRDefault="00711444" w:rsidP="00AA2A4C">
            <w:pPr>
              <w:pStyle w:val="TAH"/>
              <w:rPr>
                <w:lang w:eastAsia="en-US"/>
              </w:rPr>
            </w:pPr>
            <w:r w:rsidRPr="004D0DAA">
              <w:rPr>
                <w:lang w:eastAsia="en-US"/>
              </w:rPr>
              <w:t>PANI</w:t>
            </w:r>
          </w:p>
        </w:tc>
      </w:tr>
      <w:tr w:rsidR="00711444" w:rsidRPr="004D0DAA" w14:paraId="6A023224" w14:textId="77777777" w:rsidTr="00AA2A4C">
        <w:tblPrEx>
          <w:tblCellMar>
            <w:top w:w="0" w:type="dxa"/>
            <w:bottom w:w="0" w:type="dxa"/>
          </w:tblCellMar>
        </w:tblPrEx>
        <w:trPr>
          <w:cantSplit/>
          <w:jc w:val="center"/>
        </w:trPr>
        <w:tc>
          <w:tcPr>
            <w:tcW w:w="611" w:type="dxa"/>
          </w:tcPr>
          <w:p w14:paraId="14388D4F" w14:textId="77777777" w:rsidR="00711444" w:rsidRPr="004D0DAA" w:rsidRDefault="00711444" w:rsidP="00AA2A4C">
            <w:pPr>
              <w:pStyle w:val="TAC"/>
              <w:rPr>
                <w:lang w:eastAsia="en-US"/>
              </w:rPr>
            </w:pPr>
            <w:r w:rsidRPr="004D0DAA">
              <w:rPr>
                <w:lang w:eastAsia="en-US"/>
              </w:rPr>
              <w:t xml:space="preserve">0 </w:t>
            </w:r>
          </w:p>
        </w:tc>
        <w:tc>
          <w:tcPr>
            <w:tcW w:w="3402" w:type="dxa"/>
          </w:tcPr>
          <w:p w14:paraId="5891BCBB" w14:textId="77777777" w:rsidR="00711444" w:rsidRPr="004D0DAA" w:rsidRDefault="00711444" w:rsidP="00AA2A4C">
            <w:pPr>
              <w:pStyle w:val="TAL"/>
              <w:rPr>
                <w:lang w:eastAsia="en-US"/>
              </w:rPr>
            </w:pPr>
            <w:r w:rsidRPr="004D0DAA">
              <w:rPr>
                <w:lang w:eastAsia="en-US"/>
              </w:rPr>
              <w:t>A PAN field is not included</w:t>
            </w:r>
          </w:p>
        </w:tc>
      </w:tr>
      <w:tr w:rsidR="00711444" w:rsidRPr="004D0DAA" w14:paraId="0EF367DB" w14:textId="77777777" w:rsidTr="00AA2A4C">
        <w:tblPrEx>
          <w:tblCellMar>
            <w:top w:w="0" w:type="dxa"/>
            <w:bottom w:w="0" w:type="dxa"/>
          </w:tblCellMar>
        </w:tblPrEx>
        <w:trPr>
          <w:cantSplit/>
          <w:jc w:val="center"/>
        </w:trPr>
        <w:tc>
          <w:tcPr>
            <w:tcW w:w="611" w:type="dxa"/>
          </w:tcPr>
          <w:p w14:paraId="714A719B" w14:textId="77777777" w:rsidR="00711444" w:rsidRPr="004D0DAA" w:rsidRDefault="00711444" w:rsidP="00AA2A4C">
            <w:pPr>
              <w:pStyle w:val="TAC"/>
              <w:rPr>
                <w:lang w:eastAsia="en-US"/>
              </w:rPr>
            </w:pPr>
            <w:r w:rsidRPr="004D0DAA">
              <w:rPr>
                <w:lang w:eastAsia="en-US"/>
              </w:rPr>
              <w:t>1</w:t>
            </w:r>
          </w:p>
        </w:tc>
        <w:tc>
          <w:tcPr>
            <w:tcW w:w="3402" w:type="dxa"/>
          </w:tcPr>
          <w:p w14:paraId="4FF5420A" w14:textId="77777777" w:rsidR="00711444" w:rsidRPr="004D0DAA" w:rsidRDefault="00711444" w:rsidP="00AA2A4C">
            <w:pPr>
              <w:pStyle w:val="TAL"/>
              <w:rPr>
                <w:lang w:eastAsia="en-US"/>
              </w:rPr>
            </w:pPr>
            <w:r w:rsidRPr="004D0DAA">
              <w:rPr>
                <w:lang w:eastAsia="en-US"/>
              </w:rPr>
              <w:t>A PAN field is included</w:t>
            </w:r>
          </w:p>
        </w:tc>
      </w:tr>
    </w:tbl>
    <w:p w14:paraId="2AE3F774" w14:textId="77777777" w:rsidR="00711444" w:rsidRPr="004D0DAA" w:rsidRDefault="00711444" w:rsidP="00711444"/>
    <w:p w14:paraId="0698EE24" w14:textId="77777777" w:rsidR="00711444" w:rsidRPr="004D0DAA" w:rsidRDefault="00711444" w:rsidP="00711444">
      <w:pPr>
        <w:pStyle w:val="Heading3"/>
        <w:ind w:left="432" w:hanging="432"/>
      </w:pPr>
      <w:bookmarkStart w:id="597" w:name="_Toc516669777"/>
      <w:r w:rsidRPr="004D0DAA">
        <w:t>10.4.22</w:t>
      </w:r>
      <w:r w:rsidRPr="004D0DAA">
        <w:tab/>
        <w:t>Beginning of Window (BOW) field</w:t>
      </w:r>
      <w:bookmarkEnd w:id="597"/>
    </w:p>
    <w:p w14:paraId="33F49C1E" w14:textId="77777777" w:rsidR="00711444" w:rsidRPr="004D0DAA" w:rsidRDefault="00711444" w:rsidP="00711444">
      <w:r w:rsidRPr="004D0DAA">
        <w:t>The BOW (begin of window) bit shall be set if SSN = [V(Q) + 1] modulo SNS.</w:t>
      </w:r>
    </w:p>
    <w:p w14:paraId="4A15F7D9" w14:textId="77777777" w:rsidR="00711444" w:rsidRPr="004D0DAA" w:rsidRDefault="00711444" w:rsidP="00711444">
      <w:pPr>
        <w:pStyle w:val="Heading3"/>
        <w:ind w:left="432" w:hanging="432"/>
      </w:pPr>
      <w:bookmarkStart w:id="598" w:name="_Toc516669778"/>
      <w:r w:rsidRPr="004D0DAA">
        <w:t>10.4.23</w:t>
      </w:r>
      <w:r w:rsidRPr="004D0DAA">
        <w:tab/>
        <w:t>Short Starting Sequence Number (ShortSSN) field</w:t>
      </w:r>
      <w:bookmarkEnd w:id="598"/>
    </w:p>
    <w:p w14:paraId="47D22E93" w14:textId="77777777" w:rsidR="00711444" w:rsidRPr="004D0DAA" w:rsidRDefault="00711444" w:rsidP="00711444">
      <w:r w:rsidRPr="004D0DAA">
        <w:t xml:space="preserve">The ShortSSN field contains the </w:t>
      </w:r>
      <w:r w:rsidRPr="004D0DAA">
        <w:rPr>
          <w:i/>
        </w:rPr>
        <w:t xml:space="preserve">L </w:t>
      </w:r>
      <w:r w:rsidRPr="004D0DAA">
        <w:t xml:space="preserve">least significant bits of an SSN. The size </w:t>
      </w:r>
      <w:r w:rsidRPr="004D0DAA">
        <w:rPr>
          <w:i/>
        </w:rPr>
        <w:t xml:space="preserve">L </w:t>
      </w:r>
      <w:r w:rsidRPr="004D0DAA">
        <w:t>of the ShortSSN field is determined from the window size as follows:</w:t>
      </w:r>
    </w:p>
    <w:p w14:paraId="6551A913" w14:textId="77777777" w:rsidR="00711444" w:rsidRPr="004D0DAA" w:rsidRDefault="00711444" w:rsidP="00711444">
      <w:pPr>
        <w:jc w:val="center"/>
        <w:rPr>
          <w:b/>
        </w:rPr>
      </w:pPr>
      <w:r w:rsidRPr="004D0DAA">
        <w:rPr>
          <w:position w:val="-12"/>
        </w:rPr>
        <w:object w:dxaOrig="3019" w:dyaOrig="360" w14:anchorId="1094C668">
          <v:shape id="_x0000_i1031" type="#_x0000_t75" style="width:151.2pt;height:18pt" o:ole="">
            <v:imagedata r:id="rId20" o:title=""/>
          </v:shape>
          <o:OLEObject Type="Embed" ProgID="Equation.3" ShapeID="_x0000_i1031" DrawAspect="Content" ObjectID="_1821896823" r:id="rId21"/>
        </w:object>
      </w:r>
    </w:p>
    <w:p w14:paraId="08D0186B" w14:textId="77777777" w:rsidR="00711444" w:rsidRPr="004D0DAA" w:rsidRDefault="00711444" w:rsidP="00711444">
      <w:r w:rsidRPr="004D0DAA">
        <w:t>In RLC non-persistent mode, if the assigned window size is less than 64 the size of the ShortSSN field is 7 bits.</w:t>
      </w:r>
    </w:p>
    <w:p w14:paraId="32458488" w14:textId="77777777" w:rsidR="00711444" w:rsidRPr="004D0DAA" w:rsidRDefault="00711444" w:rsidP="00711444">
      <w:pPr>
        <w:pStyle w:val="Heading3"/>
        <w:ind w:left="432" w:hanging="432"/>
      </w:pPr>
      <w:bookmarkStart w:id="599" w:name="_Toc516669779"/>
      <w:r w:rsidRPr="004D0DAA">
        <w:t>10.4.24</w:t>
      </w:r>
      <w:r w:rsidRPr="004D0DAA">
        <w:tab/>
        <w:t>Carrier ID (CI) field</w:t>
      </w:r>
      <w:bookmarkEnd w:id="599"/>
    </w:p>
    <w:p w14:paraId="2FFA3012" w14:textId="77777777" w:rsidR="00711444" w:rsidRPr="004D0DAA" w:rsidRDefault="00711444" w:rsidP="00711444">
      <w:r w:rsidRPr="004D0DAA">
        <w:t>The CI field contains a carrier ID and shall be encoded as CI_DTR IE as defined in sub-clause 11.2.28. It indicates the carrier the mobile station shall monitor when DTR is used (see sub-clause 8.1.8). The timeslot or PDCH-pair to monitor on this carrier is indicated with the TN/PDCH-pair field.</w:t>
      </w:r>
    </w:p>
    <w:p w14:paraId="2C12F423" w14:textId="77777777" w:rsidR="00711444" w:rsidRPr="004D0DAA" w:rsidRDefault="00711444" w:rsidP="00711444">
      <w:r w:rsidRPr="004D0DAA">
        <w:t xml:space="preserve">When DTR is used in a DLMC configuration the mobile station shall ignore this field (see sub-clause 8.1.8.2). </w:t>
      </w:r>
    </w:p>
    <w:p w14:paraId="6E2CB522" w14:textId="77777777" w:rsidR="00711444" w:rsidRPr="004D0DAA" w:rsidRDefault="00711444" w:rsidP="00711444">
      <w:pPr>
        <w:pStyle w:val="Heading3"/>
        <w:ind w:left="432" w:hanging="432"/>
      </w:pPr>
      <w:bookmarkStart w:id="600" w:name="_Toc516669780"/>
      <w:r w:rsidRPr="004D0DAA">
        <w:lastRenderedPageBreak/>
        <w:t>10.4.25</w:t>
      </w:r>
      <w:r w:rsidRPr="004D0DAA">
        <w:tab/>
        <w:t>TN/PDCH-pair field</w:t>
      </w:r>
      <w:bookmarkEnd w:id="600"/>
    </w:p>
    <w:p w14:paraId="442DD210" w14:textId="77777777" w:rsidR="00711444" w:rsidRPr="004D0DAA" w:rsidRDefault="00711444" w:rsidP="00711444">
      <w:r w:rsidRPr="004D0DAA">
        <w:t xml:space="preserve">This field contains the timeslot number (BTTI configuration) or the PDCH-pair number (RTTI configuration) the mobile station shall monitor on the indicated carrier (CI field) when DTR is used (see sub-clause 8.1.8). </w:t>
      </w:r>
    </w:p>
    <w:p w14:paraId="2CE07B44" w14:textId="77777777" w:rsidR="00711444" w:rsidRPr="004D0DAA" w:rsidRDefault="00711444" w:rsidP="00711444">
      <w:pPr>
        <w:pStyle w:val="Heading3"/>
      </w:pPr>
      <w:bookmarkStart w:id="601" w:name="_Toc516669781"/>
      <w:r w:rsidRPr="004D0DAA">
        <w:t>10.4.26</w:t>
      </w:r>
      <w:r w:rsidRPr="004D0DAA">
        <w:tab/>
        <w:t>DTR Blks</w:t>
      </w:r>
      <w:bookmarkEnd w:id="601"/>
    </w:p>
    <w:p w14:paraId="3AE5B62C" w14:textId="77777777" w:rsidR="00711444" w:rsidRPr="004D0DAA" w:rsidRDefault="00711444" w:rsidP="00711444">
      <w:r w:rsidRPr="004D0DAA">
        <w:t>This field indicates the subset of downlink radio blocks the mobile station shall monitor for USFs and/or downlink RLC data blocks in DTR mode. The field is coded as in table 10.4.26.1, where the block numbers are specified in 3GPP TS 45.002.</w:t>
      </w:r>
    </w:p>
    <w:p w14:paraId="198A80FE" w14:textId="77777777" w:rsidR="00711444" w:rsidRPr="004D0DAA" w:rsidRDefault="00711444" w:rsidP="00711444">
      <w:pPr>
        <w:pStyle w:val="TH"/>
      </w:pPr>
      <w:r w:rsidRPr="004D0DAA">
        <w:t>Table 10.4.26.1: Radio blocks monitored in DTR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4"/>
        <w:gridCol w:w="2268"/>
        <w:gridCol w:w="2268"/>
        <w:gridCol w:w="2268"/>
        <w:tblGridChange w:id="602">
          <w:tblGrid>
            <w:gridCol w:w="1384"/>
            <w:gridCol w:w="2268"/>
            <w:gridCol w:w="2268"/>
            <w:gridCol w:w="2268"/>
          </w:tblGrid>
        </w:tblGridChange>
      </w:tblGrid>
      <w:tr w:rsidR="00711444" w:rsidRPr="004D0DAA" w14:paraId="6D1AF536" w14:textId="77777777" w:rsidTr="00AA2A4C">
        <w:trPr>
          <w:trHeight w:val="326"/>
          <w:jc w:val="center"/>
        </w:trPr>
        <w:tc>
          <w:tcPr>
            <w:tcW w:w="1384" w:type="dxa"/>
            <w:vMerge w:val="restart"/>
          </w:tcPr>
          <w:p w14:paraId="71833CEE" w14:textId="77777777" w:rsidR="00711444" w:rsidRPr="004D0DAA" w:rsidRDefault="00711444" w:rsidP="00AA2A4C">
            <w:pPr>
              <w:pStyle w:val="TAH"/>
              <w:rPr>
                <w:lang w:eastAsia="en-US"/>
              </w:rPr>
            </w:pPr>
            <w:r w:rsidRPr="004D0DAA">
              <w:rPr>
                <w:lang w:eastAsia="en-US"/>
              </w:rPr>
              <w:t>DTR Blks</w:t>
            </w:r>
          </w:p>
          <w:p w14:paraId="52C55A31" w14:textId="77777777" w:rsidR="00711444" w:rsidRPr="004D0DAA" w:rsidRDefault="00711444" w:rsidP="00AA2A4C">
            <w:pPr>
              <w:pStyle w:val="TAH"/>
              <w:rPr>
                <w:lang w:eastAsia="en-US"/>
              </w:rPr>
            </w:pPr>
            <w:r w:rsidRPr="004D0DAA">
              <w:rPr>
                <w:lang w:eastAsia="en-US"/>
              </w:rPr>
              <w:t>bit</w:t>
            </w:r>
          </w:p>
          <w:p w14:paraId="7821DAA5" w14:textId="77777777" w:rsidR="00711444" w:rsidRPr="004D0DAA" w:rsidRDefault="00711444" w:rsidP="00AA2A4C">
            <w:pPr>
              <w:pStyle w:val="TAH"/>
              <w:rPr>
                <w:lang w:eastAsia="en-US"/>
              </w:rPr>
            </w:pPr>
            <w:r w:rsidRPr="004D0DAA">
              <w:rPr>
                <w:lang w:eastAsia="en-US"/>
              </w:rPr>
              <w:t>6 5</w:t>
            </w:r>
          </w:p>
        </w:tc>
        <w:tc>
          <w:tcPr>
            <w:tcW w:w="2268" w:type="dxa"/>
            <w:vMerge w:val="restart"/>
          </w:tcPr>
          <w:p w14:paraId="45CDEBC5" w14:textId="77777777" w:rsidR="00711444" w:rsidRPr="004D0DAA" w:rsidRDefault="00711444" w:rsidP="00AA2A4C">
            <w:pPr>
              <w:pStyle w:val="TAH"/>
              <w:rPr>
                <w:lang w:eastAsia="en-US"/>
              </w:rPr>
            </w:pPr>
            <w:r w:rsidRPr="004D0DAA">
              <w:rPr>
                <w:lang w:eastAsia="en-US"/>
              </w:rPr>
              <w:t>BTTI Configuration</w:t>
            </w:r>
          </w:p>
        </w:tc>
        <w:tc>
          <w:tcPr>
            <w:tcW w:w="4536" w:type="dxa"/>
            <w:gridSpan w:val="2"/>
          </w:tcPr>
          <w:p w14:paraId="07DAB9EA" w14:textId="77777777" w:rsidR="00711444" w:rsidRPr="004D0DAA" w:rsidRDefault="00711444" w:rsidP="00AA2A4C">
            <w:pPr>
              <w:pStyle w:val="TAH"/>
              <w:rPr>
                <w:lang w:eastAsia="en-US"/>
              </w:rPr>
            </w:pPr>
            <w:r w:rsidRPr="004D0DAA">
              <w:rPr>
                <w:lang w:eastAsia="en-US"/>
              </w:rPr>
              <w:t>RTTI Configuration</w:t>
            </w:r>
          </w:p>
        </w:tc>
      </w:tr>
      <w:tr w:rsidR="00711444" w:rsidRPr="004D0DAA" w14:paraId="215B6757" w14:textId="77777777" w:rsidTr="00AA2A4C">
        <w:trPr>
          <w:trHeight w:val="326"/>
          <w:jc w:val="center"/>
        </w:trPr>
        <w:tc>
          <w:tcPr>
            <w:tcW w:w="1384" w:type="dxa"/>
            <w:vMerge/>
          </w:tcPr>
          <w:p w14:paraId="3E3E0317" w14:textId="77777777" w:rsidR="00711444" w:rsidRPr="004D0DAA" w:rsidRDefault="00711444" w:rsidP="00AA2A4C"/>
        </w:tc>
        <w:tc>
          <w:tcPr>
            <w:tcW w:w="2268" w:type="dxa"/>
            <w:vMerge/>
          </w:tcPr>
          <w:p w14:paraId="6C09678A" w14:textId="77777777" w:rsidR="00711444" w:rsidRPr="004D0DAA" w:rsidRDefault="00711444" w:rsidP="00AA2A4C"/>
        </w:tc>
        <w:tc>
          <w:tcPr>
            <w:tcW w:w="2268" w:type="dxa"/>
          </w:tcPr>
          <w:p w14:paraId="3FD5FF56" w14:textId="77777777" w:rsidR="00711444" w:rsidRPr="004D0DAA" w:rsidRDefault="00711444" w:rsidP="00AA2A4C">
            <w:pPr>
              <w:pStyle w:val="TAH"/>
              <w:rPr>
                <w:lang w:eastAsia="en-US"/>
              </w:rPr>
            </w:pPr>
            <w:r w:rsidRPr="004D0DAA">
              <w:rPr>
                <w:lang w:eastAsia="en-US"/>
              </w:rPr>
              <w:t>BTTI USF mode</w:t>
            </w:r>
          </w:p>
        </w:tc>
        <w:tc>
          <w:tcPr>
            <w:tcW w:w="2268" w:type="dxa"/>
          </w:tcPr>
          <w:p w14:paraId="0FB156CB" w14:textId="77777777" w:rsidR="00711444" w:rsidRPr="004D0DAA" w:rsidRDefault="00711444" w:rsidP="00AA2A4C">
            <w:pPr>
              <w:pStyle w:val="TAH"/>
              <w:rPr>
                <w:lang w:eastAsia="en-US"/>
              </w:rPr>
            </w:pPr>
            <w:r w:rsidRPr="004D0DAA">
              <w:rPr>
                <w:lang w:eastAsia="en-US"/>
              </w:rPr>
              <w:t>RTTI USF mode</w:t>
            </w:r>
          </w:p>
        </w:tc>
      </w:tr>
      <w:tr w:rsidR="00711444" w:rsidRPr="004D0DAA" w14:paraId="5B126724" w14:textId="77777777" w:rsidTr="00AA2A4C">
        <w:trPr>
          <w:jc w:val="center"/>
        </w:trPr>
        <w:tc>
          <w:tcPr>
            <w:tcW w:w="1384" w:type="dxa"/>
          </w:tcPr>
          <w:p w14:paraId="4A9833EB" w14:textId="77777777" w:rsidR="00711444" w:rsidRPr="004D0DAA" w:rsidRDefault="00711444" w:rsidP="00AA2A4C">
            <w:pPr>
              <w:pStyle w:val="TAC"/>
              <w:rPr>
                <w:lang w:eastAsia="en-US"/>
              </w:rPr>
            </w:pPr>
            <w:r w:rsidRPr="004D0DAA">
              <w:rPr>
                <w:lang w:eastAsia="en-US"/>
              </w:rPr>
              <w:t>0 0</w:t>
            </w:r>
          </w:p>
        </w:tc>
        <w:tc>
          <w:tcPr>
            <w:tcW w:w="2268" w:type="dxa"/>
          </w:tcPr>
          <w:p w14:paraId="4C0CAADE" w14:textId="77777777" w:rsidR="00711444" w:rsidRPr="004D0DAA" w:rsidRDefault="00711444" w:rsidP="00AA2A4C">
            <w:pPr>
              <w:pStyle w:val="TAC"/>
              <w:rPr>
                <w:lang w:eastAsia="en-US"/>
              </w:rPr>
            </w:pPr>
            <w:r w:rsidRPr="004D0DAA">
              <w:rPr>
                <w:lang w:eastAsia="en-US"/>
              </w:rPr>
              <w:t>All</w:t>
            </w:r>
          </w:p>
        </w:tc>
        <w:tc>
          <w:tcPr>
            <w:tcW w:w="2268" w:type="dxa"/>
          </w:tcPr>
          <w:p w14:paraId="1D03E117" w14:textId="77777777" w:rsidR="00711444" w:rsidRPr="004D0DAA" w:rsidRDefault="00711444" w:rsidP="00AA2A4C">
            <w:pPr>
              <w:pStyle w:val="TAC"/>
              <w:rPr>
                <w:lang w:eastAsia="en-US"/>
              </w:rPr>
            </w:pPr>
            <w:r w:rsidRPr="004D0DAA">
              <w:rPr>
                <w:lang w:eastAsia="en-US"/>
              </w:rPr>
              <w:t>All</w:t>
            </w:r>
          </w:p>
        </w:tc>
        <w:tc>
          <w:tcPr>
            <w:tcW w:w="2268" w:type="dxa"/>
          </w:tcPr>
          <w:p w14:paraId="38DEEC0C" w14:textId="77777777" w:rsidR="00711444" w:rsidRPr="004D0DAA" w:rsidRDefault="00711444" w:rsidP="00AA2A4C">
            <w:pPr>
              <w:pStyle w:val="TAC"/>
              <w:rPr>
                <w:lang w:eastAsia="en-US"/>
              </w:rPr>
            </w:pPr>
            <w:r w:rsidRPr="004D0DAA">
              <w:rPr>
                <w:lang w:eastAsia="en-US"/>
              </w:rPr>
              <w:t>All</w:t>
            </w:r>
          </w:p>
        </w:tc>
      </w:tr>
      <w:tr w:rsidR="00711444" w:rsidRPr="004D0DAA" w14:paraId="77CBFBEF" w14:textId="77777777" w:rsidTr="00AA2A4C">
        <w:trPr>
          <w:jc w:val="center"/>
        </w:trPr>
        <w:tc>
          <w:tcPr>
            <w:tcW w:w="1384" w:type="dxa"/>
          </w:tcPr>
          <w:p w14:paraId="6C0BC7A9" w14:textId="77777777" w:rsidR="00711444" w:rsidRPr="004D0DAA" w:rsidRDefault="00711444" w:rsidP="00AA2A4C">
            <w:pPr>
              <w:pStyle w:val="TAC"/>
              <w:rPr>
                <w:lang w:eastAsia="en-US"/>
              </w:rPr>
            </w:pPr>
            <w:r w:rsidRPr="004D0DAA">
              <w:rPr>
                <w:lang w:eastAsia="en-US"/>
              </w:rPr>
              <w:t>0 1</w:t>
            </w:r>
          </w:p>
        </w:tc>
        <w:tc>
          <w:tcPr>
            <w:tcW w:w="2268" w:type="dxa"/>
          </w:tcPr>
          <w:p w14:paraId="1AF79AB4" w14:textId="77777777" w:rsidR="00711444" w:rsidRPr="004D0DAA" w:rsidRDefault="00711444" w:rsidP="00AA2A4C">
            <w:pPr>
              <w:pStyle w:val="TAC"/>
              <w:rPr>
                <w:lang w:eastAsia="en-US"/>
              </w:rPr>
            </w:pPr>
            <w:r w:rsidRPr="004D0DAA">
              <w:rPr>
                <w:lang w:eastAsia="en-US"/>
              </w:rPr>
              <w:t>B0, B2, B4, B6, B8, B10</w:t>
            </w:r>
          </w:p>
        </w:tc>
        <w:tc>
          <w:tcPr>
            <w:tcW w:w="2268" w:type="dxa"/>
          </w:tcPr>
          <w:p w14:paraId="27F6AC0E" w14:textId="77777777" w:rsidR="00711444" w:rsidRPr="004D0DAA" w:rsidRDefault="00711444" w:rsidP="00AA2A4C">
            <w:pPr>
              <w:pStyle w:val="TAC"/>
              <w:rPr>
                <w:lang w:eastAsia="en-US"/>
              </w:rPr>
            </w:pPr>
            <w:r w:rsidRPr="004D0DAA">
              <w:rPr>
                <w:lang w:eastAsia="en-US"/>
              </w:rPr>
              <w:t>B0</w:t>
            </w:r>
            <w:r w:rsidRPr="004D0DAA">
              <w:rPr>
                <w:vertAlign w:val="subscript"/>
                <w:lang w:eastAsia="en-US"/>
              </w:rPr>
              <w:t>a</w:t>
            </w:r>
            <w:r w:rsidRPr="004D0DAA">
              <w:rPr>
                <w:lang w:eastAsia="en-US"/>
              </w:rPr>
              <w:t>, B0</w:t>
            </w:r>
            <w:r w:rsidRPr="004D0DAA">
              <w:rPr>
                <w:vertAlign w:val="subscript"/>
                <w:lang w:eastAsia="en-US"/>
              </w:rPr>
              <w:t>b</w:t>
            </w:r>
            <w:r w:rsidRPr="004D0DAA">
              <w:rPr>
                <w:lang w:eastAsia="en-US"/>
              </w:rPr>
              <w:t>, B2</w:t>
            </w:r>
            <w:r w:rsidRPr="004D0DAA">
              <w:rPr>
                <w:vertAlign w:val="subscript"/>
                <w:lang w:eastAsia="en-US"/>
              </w:rPr>
              <w:t>a</w:t>
            </w:r>
            <w:r w:rsidRPr="004D0DAA">
              <w:rPr>
                <w:lang w:eastAsia="en-US"/>
              </w:rPr>
              <w:t>, B2</w:t>
            </w:r>
            <w:r w:rsidRPr="004D0DAA">
              <w:rPr>
                <w:vertAlign w:val="subscript"/>
                <w:lang w:eastAsia="en-US"/>
              </w:rPr>
              <w:t>b</w:t>
            </w:r>
            <w:r w:rsidRPr="004D0DAA">
              <w:rPr>
                <w:lang w:eastAsia="en-US"/>
              </w:rPr>
              <w:t>, B4</w:t>
            </w:r>
            <w:r w:rsidRPr="004D0DAA">
              <w:rPr>
                <w:vertAlign w:val="subscript"/>
                <w:lang w:eastAsia="en-US"/>
              </w:rPr>
              <w:t>a</w:t>
            </w:r>
            <w:r w:rsidRPr="004D0DAA">
              <w:rPr>
                <w:lang w:eastAsia="en-US"/>
              </w:rPr>
              <w:t>, B4</w:t>
            </w:r>
            <w:r w:rsidRPr="004D0DAA">
              <w:rPr>
                <w:vertAlign w:val="subscript"/>
                <w:lang w:eastAsia="en-US"/>
              </w:rPr>
              <w:t>b</w:t>
            </w:r>
            <w:r w:rsidRPr="004D0DAA">
              <w:rPr>
                <w:lang w:eastAsia="en-US"/>
              </w:rPr>
              <w:t>, B6</w:t>
            </w:r>
            <w:r w:rsidRPr="004D0DAA">
              <w:rPr>
                <w:vertAlign w:val="subscript"/>
                <w:lang w:eastAsia="en-US"/>
              </w:rPr>
              <w:t>a</w:t>
            </w:r>
            <w:r w:rsidRPr="004D0DAA">
              <w:rPr>
                <w:lang w:eastAsia="en-US"/>
              </w:rPr>
              <w:t>, B6</w:t>
            </w:r>
            <w:r w:rsidRPr="004D0DAA">
              <w:rPr>
                <w:vertAlign w:val="subscript"/>
                <w:lang w:eastAsia="en-US"/>
              </w:rPr>
              <w:t>b</w:t>
            </w:r>
            <w:r w:rsidRPr="004D0DAA">
              <w:rPr>
                <w:lang w:eastAsia="en-US"/>
              </w:rPr>
              <w:t>, B8</w:t>
            </w:r>
            <w:r w:rsidRPr="004D0DAA">
              <w:rPr>
                <w:vertAlign w:val="subscript"/>
                <w:lang w:eastAsia="en-US"/>
              </w:rPr>
              <w:t>a</w:t>
            </w:r>
            <w:r w:rsidRPr="004D0DAA">
              <w:rPr>
                <w:lang w:eastAsia="en-US"/>
              </w:rPr>
              <w:t>, B8</w:t>
            </w:r>
            <w:r w:rsidRPr="004D0DAA">
              <w:rPr>
                <w:vertAlign w:val="subscript"/>
                <w:lang w:eastAsia="en-US"/>
              </w:rPr>
              <w:t>b</w:t>
            </w:r>
            <w:r w:rsidRPr="004D0DAA">
              <w:rPr>
                <w:lang w:eastAsia="en-US"/>
              </w:rPr>
              <w:t>, B10</w:t>
            </w:r>
            <w:r w:rsidRPr="004D0DAA">
              <w:rPr>
                <w:vertAlign w:val="subscript"/>
                <w:lang w:eastAsia="en-US"/>
              </w:rPr>
              <w:t>a</w:t>
            </w:r>
            <w:r w:rsidRPr="004D0DAA">
              <w:rPr>
                <w:lang w:eastAsia="en-US"/>
              </w:rPr>
              <w:t>, B10</w:t>
            </w:r>
            <w:r w:rsidRPr="004D0DAA">
              <w:rPr>
                <w:vertAlign w:val="subscript"/>
                <w:lang w:eastAsia="en-US"/>
              </w:rPr>
              <w:t>b</w:t>
            </w:r>
            <w:r w:rsidRPr="004D0DAA">
              <w:rPr>
                <w:lang w:eastAsia="en-US"/>
              </w:rPr>
              <w:t>,</w:t>
            </w:r>
          </w:p>
        </w:tc>
        <w:tc>
          <w:tcPr>
            <w:tcW w:w="2268" w:type="dxa"/>
          </w:tcPr>
          <w:p w14:paraId="3D33658F" w14:textId="77777777" w:rsidR="00711444" w:rsidRPr="004D0DAA" w:rsidRDefault="00711444" w:rsidP="00AA2A4C">
            <w:pPr>
              <w:pStyle w:val="TAC"/>
              <w:rPr>
                <w:lang w:eastAsia="en-US"/>
              </w:rPr>
            </w:pPr>
            <w:r w:rsidRPr="004D0DAA">
              <w:rPr>
                <w:lang w:eastAsia="en-US"/>
              </w:rPr>
              <w:t>B0</w:t>
            </w:r>
            <w:r w:rsidRPr="004D0DAA">
              <w:rPr>
                <w:vertAlign w:val="subscript"/>
                <w:lang w:eastAsia="en-US"/>
              </w:rPr>
              <w:t>a</w:t>
            </w:r>
            <w:r w:rsidRPr="004D0DAA">
              <w:rPr>
                <w:lang w:eastAsia="en-US"/>
              </w:rPr>
              <w:t>, B1</w:t>
            </w:r>
            <w:r w:rsidRPr="004D0DAA">
              <w:rPr>
                <w:vertAlign w:val="subscript"/>
                <w:lang w:eastAsia="en-US"/>
              </w:rPr>
              <w:t>a</w:t>
            </w:r>
            <w:r w:rsidRPr="004D0DAA">
              <w:rPr>
                <w:lang w:eastAsia="en-US"/>
              </w:rPr>
              <w:t>, B2</w:t>
            </w:r>
            <w:r w:rsidRPr="004D0DAA">
              <w:rPr>
                <w:vertAlign w:val="subscript"/>
                <w:lang w:eastAsia="en-US"/>
              </w:rPr>
              <w:t>a</w:t>
            </w:r>
            <w:r w:rsidRPr="004D0DAA">
              <w:rPr>
                <w:lang w:eastAsia="en-US"/>
              </w:rPr>
              <w:t>, B3</w:t>
            </w:r>
            <w:r w:rsidRPr="004D0DAA">
              <w:rPr>
                <w:vertAlign w:val="subscript"/>
                <w:lang w:eastAsia="en-US"/>
              </w:rPr>
              <w:t>a</w:t>
            </w:r>
            <w:r w:rsidRPr="004D0DAA">
              <w:rPr>
                <w:lang w:eastAsia="en-US"/>
              </w:rPr>
              <w:t>, B4</w:t>
            </w:r>
            <w:r w:rsidRPr="004D0DAA">
              <w:rPr>
                <w:vertAlign w:val="subscript"/>
                <w:lang w:eastAsia="en-US"/>
              </w:rPr>
              <w:t>a</w:t>
            </w:r>
            <w:r w:rsidRPr="004D0DAA">
              <w:rPr>
                <w:lang w:eastAsia="en-US"/>
              </w:rPr>
              <w:t>, B5</w:t>
            </w:r>
            <w:r w:rsidRPr="004D0DAA">
              <w:rPr>
                <w:vertAlign w:val="subscript"/>
                <w:lang w:eastAsia="en-US"/>
              </w:rPr>
              <w:t>a</w:t>
            </w:r>
            <w:r w:rsidRPr="004D0DAA">
              <w:rPr>
                <w:lang w:eastAsia="en-US"/>
              </w:rPr>
              <w:t>, B6</w:t>
            </w:r>
            <w:r w:rsidRPr="004D0DAA">
              <w:rPr>
                <w:vertAlign w:val="subscript"/>
                <w:lang w:eastAsia="en-US"/>
              </w:rPr>
              <w:t>a</w:t>
            </w:r>
            <w:r w:rsidRPr="004D0DAA">
              <w:rPr>
                <w:lang w:eastAsia="en-US"/>
              </w:rPr>
              <w:t>, B7</w:t>
            </w:r>
            <w:r w:rsidRPr="004D0DAA">
              <w:rPr>
                <w:vertAlign w:val="subscript"/>
                <w:lang w:eastAsia="en-US"/>
              </w:rPr>
              <w:t>a</w:t>
            </w:r>
            <w:r w:rsidRPr="004D0DAA">
              <w:rPr>
                <w:lang w:eastAsia="en-US"/>
              </w:rPr>
              <w:t>, B8</w:t>
            </w:r>
            <w:r w:rsidRPr="004D0DAA">
              <w:rPr>
                <w:vertAlign w:val="subscript"/>
                <w:lang w:eastAsia="en-US"/>
              </w:rPr>
              <w:t>a</w:t>
            </w:r>
            <w:r w:rsidRPr="004D0DAA">
              <w:rPr>
                <w:lang w:eastAsia="en-US"/>
              </w:rPr>
              <w:t>, B9</w:t>
            </w:r>
            <w:r w:rsidRPr="004D0DAA">
              <w:rPr>
                <w:vertAlign w:val="subscript"/>
                <w:lang w:eastAsia="en-US"/>
              </w:rPr>
              <w:t>a</w:t>
            </w:r>
            <w:r w:rsidRPr="004D0DAA">
              <w:rPr>
                <w:lang w:eastAsia="en-US"/>
              </w:rPr>
              <w:t>, B10</w:t>
            </w:r>
            <w:r w:rsidRPr="004D0DAA">
              <w:rPr>
                <w:vertAlign w:val="subscript"/>
                <w:lang w:eastAsia="en-US"/>
              </w:rPr>
              <w:t>a</w:t>
            </w:r>
            <w:r w:rsidRPr="004D0DAA">
              <w:rPr>
                <w:lang w:eastAsia="en-US"/>
              </w:rPr>
              <w:t>, B11</w:t>
            </w:r>
            <w:r w:rsidRPr="004D0DAA">
              <w:rPr>
                <w:vertAlign w:val="subscript"/>
                <w:lang w:eastAsia="en-US"/>
              </w:rPr>
              <w:t>a</w:t>
            </w:r>
            <w:r w:rsidRPr="004D0DAA">
              <w:rPr>
                <w:lang w:eastAsia="en-US"/>
              </w:rPr>
              <w:t>,</w:t>
            </w:r>
          </w:p>
        </w:tc>
      </w:tr>
      <w:tr w:rsidR="00711444" w:rsidRPr="004D0DAA" w14:paraId="53F89A15" w14:textId="77777777" w:rsidTr="00AA2A4C">
        <w:trPr>
          <w:jc w:val="center"/>
        </w:trPr>
        <w:tc>
          <w:tcPr>
            <w:tcW w:w="1384" w:type="dxa"/>
          </w:tcPr>
          <w:p w14:paraId="678CE99F" w14:textId="77777777" w:rsidR="00711444" w:rsidRPr="004D0DAA" w:rsidRDefault="00711444" w:rsidP="00AA2A4C">
            <w:pPr>
              <w:pStyle w:val="TAC"/>
              <w:rPr>
                <w:lang w:eastAsia="en-US"/>
              </w:rPr>
            </w:pPr>
            <w:r w:rsidRPr="004D0DAA">
              <w:rPr>
                <w:lang w:eastAsia="en-US"/>
              </w:rPr>
              <w:t>1 0</w:t>
            </w:r>
          </w:p>
        </w:tc>
        <w:tc>
          <w:tcPr>
            <w:tcW w:w="2268" w:type="dxa"/>
          </w:tcPr>
          <w:p w14:paraId="23EB64E3" w14:textId="77777777" w:rsidR="00711444" w:rsidRPr="004D0DAA" w:rsidRDefault="00711444" w:rsidP="00AA2A4C">
            <w:pPr>
              <w:pStyle w:val="TAC"/>
              <w:rPr>
                <w:lang w:eastAsia="en-US"/>
              </w:rPr>
            </w:pPr>
            <w:r w:rsidRPr="004D0DAA">
              <w:rPr>
                <w:lang w:eastAsia="en-US"/>
              </w:rPr>
              <w:t>B0, B4, B8</w:t>
            </w:r>
          </w:p>
        </w:tc>
        <w:tc>
          <w:tcPr>
            <w:tcW w:w="2268" w:type="dxa"/>
          </w:tcPr>
          <w:p w14:paraId="188A1010" w14:textId="77777777" w:rsidR="00711444" w:rsidRPr="004D0DAA" w:rsidRDefault="00711444" w:rsidP="00AA2A4C">
            <w:pPr>
              <w:pStyle w:val="TAC"/>
              <w:rPr>
                <w:lang w:eastAsia="en-US"/>
              </w:rPr>
            </w:pPr>
            <w:r w:rsidRPr="004D0DAA">
              <w:rPr>
                <w:lang w:eastAsia="en-US"/>
              </w:rPr>
              <w:t>B0</w:t>
            </w:r>
            <w:r w:rsidRPr="004D0DAA">
              <w:rPr>
                <w:vertAlign w:val="subscript"/>
                <w:lang w:eastAsia="en-US"/>
              </w:rPr>
              <w:t>a</w:t>
            </w:r>
            <w:r w:rsidRPr="004D0DAA">
              <w:rPr>
                <w:lang w:eastAsia="en-US"/>
              </w:rPr>
              <w:t>, B0</w:t>
            </w:r>
            <w:r w:rsidRPr="004D0DAA">
              <w:rPr>
                <w:vertAlign w:val="subscript"/>
                <w:lang w:eastAsia="en-US"/>
              </w:rPr>
              <w:t>b</w:t>
            </w:r>
            <w:r w:rsidRPr="004D0DAA">
              <w:rPr>
                <w:lang w:eastAsia="en-US"/>
              </w:rPr>
              <w:t>, B4</w:t>
            </w:r>
            <w:r w:rsidRPr="004D0DAA">
              <w:rPr>
                <w:vertAlign w:val="subscript"/>
                <w:lang w:eastAsia="en-US"/>
              </w:rPr>
              <w:t>a</w:t>
            </w:r>
            <w:r w:rsidRPr="004D0DAA">
              <w:rPr>
                <w:lang w:eastAsia="en-US"/>
              </w:rPr>
              <w:t>, B4</w:t>
            </w:r>
            <w:r w:rsidRPr="004D0DAA">
              <w:rPr>
                <w:vertAlign w:val="subscript"/>
                <w:lang w:eastAsia="en-US"/>
              </w:rPr>
              <w:t>b</w:t>
            </w:r>
            <w:r w:rsidRPr="004D0DAA">
              <w:rPr>
                <w:lang w:eastAsia="en-US"/>
              </w:rPr>
              <w:t>, B8</w:t>
            </w:r>
            <w:r w:rsidRPr="004D0DAA">
              <w:rPr>
                <w:vertAlign w:val="subscript"/>
                <w:lang w:eastAsia="en-US"/>
              </w:rPr>
              <w:t>a</w:t>
            </w:r>
            <w:r w:rsidRPr="004D0DAA">
              <w:rPr>
                <w:lang w:eastAsia="en-US"/>
              </w:rPr>
              <w:t>, B8</w:t>
            </w:r>
            <w:r w:rsidRPr="004D0DAA">
              <w:rPr>
                <w:vertAlign w:val="subscript"/>
                <w:lang w:eastAsia="en-US"/>
              </w:rPr>
              <w:t>b</w:t>
            </w:r>
            <w:r w:rsidRPr="004D0DAA">
              <w:rPr>
                <w:lang w:eastAsia="en-US"/>
              </w:rPr>
              <w:t>,</w:t>
            </w:r>
          </w:p>
        </w:tc>
        <w:tc>
          <w:tcPr>
            <w:tcW w:w="2268" w:type="dxa"/>
          </w:tcPr>
          <w:p w14:paraId="0397071D" w14:textId="77777777" w:rsidR="00711444" w:rsidRPr="004D0DAA" w:rsidRDefault="00711444" w:rsidP="00AA2A4C">
            <w:pPr>
              <w:pStyle w:val="TAC"/>
              <w:rPr>
                <w:lang w:eastAsia="en-US"/>
              </w:rPr>
            </w:pPr>
            <w:r w:rsidRPr="004D0DAA">
              <w:rPr>
                <w:lang w:eastAsia="en-US"/>
              </w:rPr>
              <w:t>B0</w:t>
            </w:r>
            <w:r w:rsidRPr="004D0DAA">
              <w:rPr>
                <w:vertAlign w:val="subscript"/>
                <w:lang w:eastAsia="en-US"/>
              </w:rPr>
              <w:t>a</w:t>
            </w:r>
            <w:r w:rsidRPr="004D0DAA">
              <w:rPr>
                <w:lang w:eastAsia="en-US"/>
              </w:rPr>
              <w:t>, B2</w:t>
            </w:r>
            <w:r w:rsidRPr="004D0DAA">
              <w:rPr>
                <w:vertAlign w:val="subscript"/>
                <w:lang w:eastAsia="en-US"/>
              </w:rPr>
              <w:t>a</w:t>
            </w:r>
            <w:r w:rsidRPr="004D0DAA">
              <w:rPr>
                <w:lang w:eastAsia="en-US"/>
              </w:rPr>
              <w:t>, B4</w:t>
            </w:r>
            <w:r w:rsidRPr="004D0DAA">
              <w:rPr>
                <w:vertAlign w:val="subscript"/>
                <w:lang w:eastAsia="en-US"/>
              </w:rPr>
              <w:t>a</w:t>
            </w:r>
            <w:r w:rsidRPr="004D0DAA">
              <w:rPr>
                <w:lang w:eastAsia="en-US"/>
              </w:rPr>
              <w:t>, B6</w:t>
            </w:r>
            <w:r w:rsidRPr="004D0DAA">
              <w:rPr>
                <w:vertAlign w:val="subscript"/>
                <w:lang w:eastAsia="en-US"/>
              </w:rPr>
              <w:t>a</w:t>
            </w:r>
            <w:r w:rsidRPr="004D0DAA">
              <w:rPr>
                <w:lang w:eastAsia="en-US"/>
              </w:rPr>
              <w:t>, B8</w:t>
            </w:r>
            <w:r w:rsidRPr="004D0DAA">
              <w:rPr>
                <w:vertAlign w:val="subscript"/>
                <w:lang w:eastAsia="en-US"/>
              </w:rPr>
              <w:t>a</w:t>
            </w:r>
            <w:r w:rsidRPr="004D0DAA">
              <w:rPr>
                <w:lang w:eastAsia="en-US"/>
              </w:rPr>
              <w:t>, B10</w:t>
            </w:r>
            <w:r w:rsidRPr="004D0DAA">
              <w:rPr>
                <w:vertAlign w:val="subscript"/>
                <w:lang w:eastAsia="en-US"/>
              </w:rPr>
              <w:t>a</w:t>
            </w:r>
            <w:r w:rsidRPr="004D0DAA">
              <w:rPr>
                <w:lang w:eastAsia="en-US"/>
              </w:rPr>
              <w:t xml:space="preserve">, </w:t>
            </w:r>
          </w:p>
        </w:tc>
      </w:tr>
      <w:tr w:rsidR="00711444" w:rsidRPr="004D0DAA" w14:paraId="2C43263F" w14:textId="77777777" w:rsidTr="00AA2A4C">
        <w:trPr>
          <w:jc w:val="center"/>
        </w:trPr>
        <w:tc>
          <w:tcPr>
            <w:tcW w:w="1384" w:type="dxa"/>
          </w:tcPr>
          <w:p w14:paraId="033BFA77" w14:textId="77777777" w:rsidR="00711444" w:rsidRPr="004D0DAA" w:rsidRDefault="00711444" w:rsidP="00AA2A4C">
            <w:pPr>
              <w:pStyle w:val="TAC"/>
              <w:rPr>
                <w:lang w:eastAsia="en-US"/>
              </w:rPr>
            </w:pPr>
            <w:r w:rsidRPr="004D0DAA">
              <w:rPr>
                <w:lang w:eastAsia="en-US"/>
              </w:rPr>
              <w:t>1 1 (NOTE)</w:t>
            </w:r>
          </w:p>
        </w:tc>
        <w:tc>
          <w:tcPr>
            <w:tcW w:w="2268" w:type="dxa"/>
          </w:tcPr>
          <w:p w14:paraId="2F044ABF" w14:textId="77777777" w:rsidR="00711444" w:rsidRPr="004D0DAA" w:rsidRDefault="00711444" w:rsidP="00AA2A4C">
            <w:pPr>
              <w:pStyle w:val="TAC"/>
              <w:rPr>
                <w:lang w:eastAsia="en-US"/>
              </w:rPr>
            </w:pPr>
            <w:r w:rsidRPr="004D0DAA">
              <w:rPr>
                <w:lang w:eastAsia="en-US"/>
              </w:rPr>
              <w:t>reserved</w:t>
            </w:r>
          </w:p>
        </w:tc>
        <w:tc>
          <w:tcPr>
            <w:tcW w:w="2268" w:type="dxa"/>
          </w:tcPr>
          <w:p w14:paraId="52B45EF9" w14:textId="77777777" w:rsidR="00711444" w:rsidRPr="004D0DAA" w:rsidRDefault="00711444" w:rsidP="00AA2A4C">
            <w:pPr>
              <w:pStyle w:val="TAC"/>
              <w:rPr>
                <w:lang w:eastAsia="en-US"/>
              </w:rPr>
            </w:pPr>
            <w:r w:rsidRPr="004D0DAA">
              <w:rPr>
                <w:lang w:eastAsia="en-US"/>
              </w:rPr>
              <w:t>reserved</w:t>
            </w:r>
          </w:p>
        </w:tc>
        <w:tc>
          <w:tcPr>
            <w:tcW w:w="2268" w:type="dxa"/>
          </w:tcPr>
          <w:p w14:paraId="6CAC6247" w14:textId="77777777" w:rsidR="00711444" w:rsidRPr="004D0DAA" w:rsidRDefault="00711444" w:rsidP="00AA2A4C">
            <w:pPr>
              <w:pStyle w:val="TAC"/>
              <w:rPr>
                <w:lang w:eastAsia="en-US"/>
              </w:rPr>
            </w:pPr>
            <w:r w:rsidRPr="004D0DAA">
              <w:rPr>
                <w:lang w:eastAsia="en-US"/>
              </w:rPr>
              <w:t>reserved</w:t>
            </w:r>
          </w:p>
        </w:tc>
      </w:tr>
      <w:tr w:rsidR="00711444" w:rsidRPr="004D0DAA" w14:paraId="6A7B1D7D" w14:textId="77777777" w:rsidTr="00AA2A4C">
        <w:trPr>
          <w:jc w:val="center"/>
        </w:trPr>
        <w:tc>
          <w:tcPr>
            <w:tcW w:w="8188" w:type="dxa"/>
            <w:gridSpan w:val="4"/>
          </w:tcPr>
          <w:p w14:paraId="271EFA75" w14:textId="77777777" w:rsidR="00711444" w:rsidRPr="004D0DAA" w:rsidRDefault="00711444" w:rsidP="00AA2A4C">
            <w:pPr>
              <w:pStyle w:val="TAN"/>
              <w:rPr>
                <w:lang w:eastAsia="en-US"/>
              </w:rPr>
            </w:pPr>
            <w:r w:rsidRPr="004D0DAA">
              <w:rPr>
                <w:lang w:eastAsia="en-US"/>
              </w:rPr>
              <w:t>NOTE:</w:t>
            </w:r>
            <w:r w:rsidRPr="004D0DAA">
              <w:rPr>
                <w:lang w:eastAsia="en-US"/>
              </w:rPr>
              <w:tab/>
              <w:t>When received it shall be interpreted as '00'.</w:t>
            </w:r>
          </w:p>
        </w:tc>
      </w:tr>
    </w:tbl>
    <w:p w14:paraId="10272D17" w14:textId="77777777" w:rsidR="00711444" w:rsidRPr="004D0DAA" w:rsidRDefault="00711444" w:rsidP="00711444"/>
    <w:p w14:paraId="49F97551" w14:textId="77777777" w:rsidR="00711444" w:rsidRPr="004D0DAA" w:rsidRDefault="00711444" w:rsidP="00711444">
      <w:pPr>
        <w:pStyle w:val="Heading3"/>
      </w:pPr>
      <w:bookmarkStart w:id="603" w:name="_Toc516669782"/>
      <w:r w:rsidRPr="004D0DAA">
        <w:t>10.4.27</w:t>
      </w:r>
      <w:r w:rsidRPr="004D0DAA">
        <w:tab/>
        <w:t>Selected PLMN Index field</w:t>
      </w:r>
      <w:bookmarkEnd w:id="603"/>
    </w:p>
    <w:p w14:paraId="0216737B" w14:textId="77777777" w:rsidR="00711444" w:rsidRPr="004D0DAA" w:rsidRDefault="00711444" w:rsidP="00711444">
      <w:r w:rsidRPr="004D0DAA">
        <w:t xml:space="preserve">This field contains the index of the PLMN selected by a mobile station supporting network sharing. The index value refers either to the identity of the Common PLMN broadcast in the SYSTEM INFORMATION TYPE 3/4 message, or EC SYSTEM INFORMATION TYPE 2 message for EC-GSM-IoT, or to the identity of an Additional PLMN broadcast in the SYSTEM INFORMATION TYPE 22 message, or EC SYSTEM INFORMATION TYPE 4 message for EC-GSM-IoT, as described in Table 10.4.27.1. </w:t>
      </w:r>
    </w:p>
    <w:p w14:paraId="3258DB00" w14:textId="77777777" w:rsidR="00711444" w:rsidRPr="004D0DAA" w:rsidRDefault="00711444" w:rsidP="00711444">
      <w:pPr>
        <w:pStyle w:val="TH"/>
      </w:pPr>
      <w:r w:rsidRPr="004D0DAA">
        <w:t>Table 10.4.27.1: Selected PLMN Index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3"/>
        <w:gridCol w:w="6817"/>
      </w:tblGrid>
      <w:tr w:rsidR="00711444" w:rsidRPr="004D0DAA" w14:paraId="74F8135F" w14:textId="77777777" w:rsidTr="00AA2A4C">
        <w:trPr>
          <w:cantSplit/>
          <w:jc w:val="center"/>
        </w:trPr>
        <w:tc>
          <w:tcPr>
            <w:tcW w:w="1433" w:type="dxa"/>
          </w:tcPr>
          <w:p w14:paraId="15D65404" w14:textId="77777777" w:rsidR="00711444" w:rsidRPr="004D0DAA" w:rsidRDefault="00711444" w:rsidP="00AA2A4C">
            <w:pPr>
              <w:pStyle w:val="TAH"/>
              <w:rPr>
                <w:lang w:eastAsia="en-US"/>
              </w:rPr>
            </w:pPr>
            <w:r w:rsidRPr="004D0DAA">
              <w:rPr>
                <w:lang w:eastAsia="en-US"/>
              </w:rPr>
              <w:t>bit</w:t>
            </w:r>
            <w:r w:rsidRPr="004D0DAA">
              <w:rPr>
                <w:lang w:eastAsia="en-US"/>
              </w:rPr>
              <w:br/>
              <w:t>3 2 1</w:t>
            </w:r>
          </w:p>
        </w:tc>
        <w:tc>
          <w:tcPr>
            <w:tcW w:w="6817" w:type="dxa"/>
          </w:tcPr>
          <w:p w14:paraId="5A61CCBB" w14:textId="77777777" w:rsidR="00711444" w:rsidRPr="004D0DAA" w:rsidRDefault="00711444" w:rsidP="00AA2A4C">
            <w:pPr>
              <w:pStyle w:val="TAH"/>
              <w:rPr>
                <w:lang w:eastAsia="en-US"/>
              </w:rPr>
            </w:pPr>
            <w:r w:rsidRPr="004D0DAA">
              <w:rPr>
                <w:lang w:eastAsia="en-US"/>
              </w:rPr>
              <w:t>Selected PLMN Index</w:t>
            </w:r>
          </w:p>
        </w:tc>
      </w:tr>
      <w:tr w:rsidR="00711444" w:rsidRPr="004D0DAA" w14:paraId="36D36649" w14:textId="77777777" w:rsidTr="00AA2A4C">
        <w:trPr>
          <w:cantSplit/>
          <w:jc w:val="center"/>
        </w:trPr>
        <w:tc>
          <w:tcPr>
            <w:tcW w:w="1433" w:type="dxa"/>
          </w:tcPr>
          <w:p w14:paraId="6C0C23DD" w14:textId="77777777" w:rsidR="00711444" w:rsidRPr="004D0DAA" w:rsidRDefault="00711444" w:rsidP="00AA2A4C">
            <w:pPr>
              <w:pStyle w:val="TAC"/>
              <w:rPr>
                <w:lang w:eastAsia="en-US"/>
              </w:rPr>
            </w:pPr>
            <w:r w:rsidRPr="004D0DAA">
              <w:rPr>
                <w:lang w:eastAsia="en-US"/>
              </w:rPr>
              <w:t>0 0 1</w:t>
            </w:r>
          </w:p>
        </w:tc>
        <w:tc>
          <w:tcPr>
            <w:tcW w:w="6817" w:type="dxa"/>
          </w:tcPr>
          <w:p w14:paraId="28C8B4F8" w14:textId="77777777" w:rsidR="00711444" w:rsidRPr="004D0DAA" w:rsidRDefault="00711444" w:rsidP="00AA2A4C">
            <w:pPr>
              <w:pStyle w:val="TAL"/>
              <w:rPr>
                <w:lang w:eastAsia="en-US"/>
              </w:rPr>
            </w:pPr>
            <w:r w:rsidRPr="004D0DAA">
              <w:rPr>
                <w:lang w:eastAsia="en-US"/>
              </w:rPr>
              <w:t>PLMN identity of the Common PLMN broadcast in SYSTEM INFORMATION TYPE 3/4. For EC-GSM-IoT, the PLMN identity of the Common PLMN is broadcast in EC SYSTEM INFORMATION TYPE 2.</w:t>
            </w:r>
          </w:p>
        </w:tc>
      </w:tr>
      <w:tr w:rsidR="00711444" w:rsidRPr="004D0DAA" w14:paraId="26EF16CF" w14:textId="77777777" w:rsidTr="00AA2A4C">
        <w:trPr>
          <w:cantSplit/>
          <w:jc w:val="center"/>
        </w:trPr>
        <w:tc>
          <w:tcPr>
            <w:tcW w:w="1433" w:type="dxa"/>
          </w:tcPr>
          <w:p w14:paraId="6707D057" w14:textId="77777777" w:rsidR="00711444" w:rsidRPr="004D0DAA" w:rsidRDefault="00711444" w:rsidP="00AA2A4C">
            <w:pPr>
              <w:pStyle w:val="TAC"/>
              <w:rPr>
                <w:lang w:eastAsia="en-US"/>
              </w:rPr>
            </w:pPr>
            <w:r w:rsidRPr="004D0DAA">
              <w:rPr>
                <w:lang w:eastAsia="en-US"/>
              </w:rPr>
              <w:t>0 1 0</w:t>
            </w:r>
          </w:p>
        </w:tc>
        <w:tc>
          <w:tcPr>
            <w:tcW w:w="6817" w:type="dxa"/>
          </w:tcPr>
          <w:p w14:paraId="31D080EF" w14:textId="77777777" w:rsidR="00711444" w:rsidRPr="004D0DAA" w:rsidRDefault="00711444" w:rsidP="00AA2A4C">
            <w:pPr>
              <w:pStyle w:val="TAL"/>
              <w:rPr>
                <w:lang w:eastAsia="en-US"/>
              </w:rPr>
            </w:pPr>
            <w:r w:rsidRPr="004D0DAA">
              <w:rPr>
                <w:lang w:eastAsia="en-US"/>
              </w:rPr>
              <w:t>PLMN identity of the first Additional PLMN in the network sharing information broadcast in SYSTEM INFORMATION TYPE 22. For EC-GSM-IoT, the PLMN identity of the first Additional PLMN in the network sharing information is broadcast in EC SYSTEM INFORMATION TYPE 4.</w:t>
            </w:r>
          </w:p>
        </w:tc>
      </w:tr>
      <w:tr w:rsidR="00711444" w:rsidRPr="004D0DAA" w14:paraId="2A4CDB30" w14:textId="77777777" w:rsidTr="00AA2A4C">
        <w:trPr>
          <w:cantSplit/>
          <w:jc w:val="center"/>
        </w:trPr>
        <w:tc>
          <w:tcPr>
            <w:tcW w:w="1433" w:type="dxa"/>
          </w:tcPr>
          <w:p w14:paraId="3D4ACFB4" w14:textId="77777777" w:rsidR="00711444" w:rsidRPr="004D0DAA" w:rsidRDefault="00711444" w:rsidP="00AA2A4C">
            <w:pPr>
              <w:pStyle w:val="TAC"/>
              <w:rPr>
                <w:lang w:eastAsia="en-US"/>
              </w:rPr>
            </w:pPr>
            <w:r w:rsidRPr="004D0DAA">
              <w:rPr>
                <w:lang w:eastAsia="en-US"/>
              </w:rPr>
              <w:t>0 1 1</w:t>
            </w:r>
          </w:p>
        </w:tc>
        <w:tc>
          <w:tcPr>
            <w:tcW w:w="6817" w:type="dxa"/>
          </w:tcPr>
          <w:p w14:paraId="7A0EF152" w14:textId="77777777" w:rsidR="00711444" w:rsidRPr="004D0DAA" w:rsidRDefault="00711444" w:rsidP="00AA2A4C">
            <w:pPr>
              <w:pStyle w:val="TAL"/>
              <w:rPr>
                <w:lang w:eastAsia="en-US"/>
              </w:rPr>
            </w:pPr>
            <w:r w:rsidRPr="004D0DAA">
              <w:rPr>
                <w:lang w:eastAsia="en-US"/>
              </w:rPr>
              <w:t>PLMN identity of the second Additional PLMN in the network sharing information broadcast in SYSTEM INFORMATION TYPE 22. For EC-GSM-IoT, the PLMN identity of the second Additional PLMN in the network sharing information is broadcast in EC SYSTEM INFORMATION TYPE 4.</w:t>
            </w:r>
          </w:p>
        </w:tc>
      </w:tr>
      <w:tr w:rsidR="00711444" w:rsidRPr="004D0DAA" w14:paraId="73F5D3CE" w14:textId="77777777" w:rsidTr="00AA2A4C">
        <w:trPr>
          <w:cantSplit/>
          <w:jc w:val="center"/>
        </w:trPr>
        <w:tc>
          <w:tcPr>
            <w:tcW w:w="1433" w:type="dxa"/>
          </w:tcPr>
          <w:p w14:paraId="618198C7" w14:textId="77777777" w:rsidR="00711444" w:rsidRPr="004D0DAA" w:rsidRDefault="00711444" w:rsidP="00AA2A4C">
            <w:pPr>
              <w:pStyle w:val="TAC"/>
              <w:rPr>
                <w:lang w:eastAsia="en-US"/>
              </w:rPr>
            </w:pPr>
            <w:r w:rsidRPr="004D0DAA">
              <w:rPr>
                <w:lang w:eastAsia="en-US"/>
              </w:rPr>
              <w:t>1 0 0</w:t>
            </w:r>
          </w:p>
        </w:tc>
        <w:tc>
          <w:tcPr>
            <w:tcW w:w="6817" w:type="dxa"/>
          </w:tcPr>
          <w:p w14:paraId="43CEEA0D" w14:textId="77777777" w:rsidR="00711444" w:rsidRPr="004D0DAA" w:rsidRDefault="00711444" w:rsidP="00AA2A4C">
            <w:pPr>
              <w:pStyle w:val="TAL"/>
              <w:rPr>
                <w:lang w:eastAsia="en-US"/>
              </w:rPr>
            </w:pPr>
            <w:r w:rsidRPr="004D0DAA">
              <w:rPr>
                <w:lang w:eastAsia="en-US"/>
              </w:rPr>
              <w:t>PLMN identity of the third Additional PLMN in the network sharing information broadcast in SYSTEM INFORMATION TYPE 22. For EC-GSM-IoT, the PLMN identity of the third Additional PLMN in the network sharing information is broadcast in EC SYSTEM INFORMATION TYPE 4.</w:t>
            </w:r>
          </w:p>
        </w:tc>
      </w:tr>
      <w:tr w:rsidR="00711444" w:rsidRPr="004D0DAA" w14:paraId="0AE8B29C" w14:textId="77777777" w:rsidTr="00AA2A4C">
        <w:trPr>
          <w:cantSplit/>
          <w:jc w:val="center"/>
        </w:trPr>
        <w:tc>
          <w:tcPr>
            <w:tcW w:w="1433" w:type="dxa"/>
          </w:tcPr>
          <w:p w14:paraId="38CB72EF" w14:textId="77777777" w:rsidR="00711444" w:rsidRPr="004D0DAA" w:rsidRDefault="00711444" w:rsidP="00AA2A4C">
            <w:pPr>
              <w:pStyle w:val="TAC"/>
              <w:rPr>
                <w:lang w:eastAsia="en-US"/>
              </w:rPr>
            </w:pPr>
            <w:r w:rsidRPr="004D0DAA">
              <w:rPr>
                <w:lang w:eastAsia="en-US"/>
              </w:rPr>
              <w:t>1 0 1</w:t>
            </w:r>
          </w:p>
        </w:tc>
        <w:tc>
          <w:tcPr>
            <w:tcW w:w="6817" w:type="dxa"/>
          </w:tcPr>
          <w:p w14:paraId="70050048" w14:textId="77777777" w:rsidR="00711444" w:rsidRPr="004D0DAA" w:rsidRDefault="00711444" w:rsidP="00AA2A4C">
            <w:pPr>
              <w:pStyle w:val="TAL"/>
              <w:rPr>
                <w:lang w:eastAsia="en-US"/>
              </w:rPr>
            </w:pPr>
            <w:r w:rsidRPr="004D0DAA">
              <w:rPr>
                <w:lang w:eastAsia="en-US"/>
              </w:rPr>
              <w:t>PLMN identity of the fourth Additional PLMN in the network sharing information broadcast in SYSTEM INFORMATION TYPE 22. For EC-GSM-IoT, the PLMN identity of the fourth Additional PLMN in the network sharing information is broadcast in EC SYSTEM INFORMATION TYPE 4.</w:t>
            </w:r>
          </w:p>
        </w:tc>
      </w:tr>
      <w:tr w:rsidR="00711444" w:rsidRPr="004D0DAA" w14:paraId="4BB292E7" w14:textId="77777777" w:rsidTr="00AA2A4C">
        <w:trPr>
          <w:cantSplit/>
          <w:jc w:val="center"/>
        </w:trPr>
        <w:tc>
          <w:tcPr>
            <w:tcW w:w="1433" w:type="dxa"/>
          </w:tcPr>
          <w:p w14:paraId="1C18C63E" w14:textId="77777777" w:rsidR="00711444" w:rsidRPr="004D0DAA" w:rsidRDefault="00711444" w:rsidP="00AA2A4C">
            <w:pPr>
              <w:pStyle w:val="TAC"/>
              <w:rPr>
                <w:lang w:eastAsia="en-US"/>
              </w:rPr>
            </w:pPr>
          </w:p>
        </w:tc>
        <w:tc>
          <w:tcPr>
            <w:tcW w:w="6817" w:type="dxa"/>
          </w:tcPr>
          <w:p w14:paraId="7D79FB82" w14:textId="77777777" w:rsidR="00711444" w:rsidRPr="004D0DAA" w:rsidRDefault="00711444" w:rsidP="00AA2A4C">
            <w:pPr>
              <w:pStyle w:val="TAL"/>
              <w:rPr>
                <w:lang w:eastAsia="en-US"/>
              </w:rPr>
            </w:pPr>
            <w:r w:rsidRPr="004D0DAA">
              <w:rPr>
                <w:lang w:eastAsia="en-US"/>
              </w:rPr>
              <w:t>All other values are reserved</w:t>
            </w:r>
          </w:p>
        </w:tc>
      </w:tr>
    </w:tbl>
    <w:p w14:paraId="1CBA7852" w14:textId="77777777" w:rsidR="00711444" w:rsidRPr="004D0DAA" w:rsidRDefault="00711444" w:rsidP="00711444"/>
    <w:p w14:paraId="38A69172" w14:textId="77777777" w:rsidR="00711444" w:rsidRPr="004D0DAA" w:rsidRDefault="00711444" w:rsidP="00711444">
      <w:pPr>
        <w:pStyle w:val="Heading3"/>
      </w:pPr>
      <w:bookmarkStart w:id="604" w:name="_Toc516669783"/>
      <w:r w:rsidRPr="004D0DAA">
        <w:lastRenderedPageBreak/>
        <w:t>10.4.28</w:t>
      </w:r>
      <w:r w:rsidRPr="004D0DAA">
        <w:tab/>
        <w:t>Coverage Class field (CC)</w:t>
      </w:r>
      <w:bookmarkEnd w:id="604"/>
    </w:p>
    <w:p w14:paraId="692689F8" w14:textId="77777777" w:rsidR="00711444" w:rsidRPr="004D0DAA" w:rsidRDefault="00711444" w:rsidP="00711444">
      <w:pPr>
        <w:keepNext/>
      </w:pPr>
      <w:r w:rsidRPr="004D0DAA">
        <w:t>In EC operation, a 2-bit field is included in the downlink RLC data block header type 3 to signal the downlink Coverage Class used in the block. The Coverage Class indicates a predefined number of blind physical layer transmissions to be applied for each logical channel, where the use of blind physical layer transmissions can allow the mobile station to operate in extended coverage, see 3GPP TS 43.064. Coverage class 5 (CC5) is applicable only for UL TBFs. The field EC_Reduced_PDCH_Allocation in the EC SYSTEM INFORMATION TYPE 2 message specifies if an EC TBF uses normal allocation with 4 PDCHs or reduced allocation with 2 PDCHs in the coverage class CC2, CC3 or CC4 in the cell. The corresponding mapping of EC channels onto physical channels shall be as specified in 3GPP TS 45.002.</w:t>
      </w:r>
    </w:p>
    <w:p w14:paraId="0687DAD8" w14:textId="77777777" w:rsidR="00711444" w:rsidRPr="004D0DAA" w:rsidRDefault="00711444" w:rsidP="00711444">
      <w:pPr>
        <w:pStyle w:val="TH"/>
      </w:pPr>
      <w:r w:rsidRPr="004D0DAA">
        <w:t xml:space="preserve">Table 10.4.28.1: Coverage Class field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94"/>
        <w:gridCol w:w="4082"/>
      </w:tblGrid>
      <w:tr w:rsidR="00711444" w:rsidRPr="004D0DAA" w14:paraId="710AC0BA"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24E34B97" w14:textId="77777777" w:rsidR="00711444" w:rsidRPr="004D0DAA" w:rsidRDefault="00711444" w:rsidP="00AA2A4C">
            <w:pPr>
              <w:pStyle w:val="TAH"/>
              <w:rPr>
                <w:lang w:eastAsia="en-US"/>
              </w:rPr>
            </w:pPr>
            <w:r w:rsidRPr="004D0DAA">
              <w:rPr>
                <w:lang w:eastAsia="en-US"/>
              </w:rPr>
              <w:t>bits</w:t>
            </w:r>
            <w:r w:rsidRPr="004D0DAA">
              <w:rPr>
                <w:lang w:eastAsia="en-US"/>
              </w:rPr>
              <w:br/>
              <w:t>7 6</w:t>
            </w:r>
          </w:p>
        </w:tc>
        <w:tc>
          <w:tcPr>
            <w:tcW w:w="4082" w:type="dxa"/>
            <w:tcBorders>
              <w:top w:val="single" w:sz="4" w:space="0" w:color="auto"/>
              <w:left w:val="single" w:sz="4" w:space="0" w:color="auto"/>
              <w:bottom w:val="single" w:sz="4" w:space="0" w:color="auto"/>
              <w:right w:val="single" w:sz="4" w:space="0" w:color="auto"/>
            </w:tcBorders>
          </w:tcPr>
          <w:p w14:paraId="3ED79F65" w14:textId="77777777" w:rsidR="00711444" w:rsidRPr="004D0DAA" w:rsidRDefault="00711444" w:rsidP="00AA2A4C">
            <w:pPr>
              <w:pStyle w:val="TAH"/>
              <w:rPr>
                <w:lang w:eastAsia="en-US"/>
              </w:rPr>
            </w:pPr>
            <w:r w:rsidRPr="004D0DAA">
              <w:rPr>
                <w:lang w:eastAsia="en-US"/>
              </w:rPr>
              <w:t>CC</w:t>
            </w:r>
          </w:p>
        </w:tc>
      </w:tr>
      <w:tr w:rsidR="00711444" w:rsidRPr="004D0DAA" w14:paraId="62E7FC3D"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44909402" w14:textId="77777777" w:rsidR="00711444" w:rsidRPr="004D0DAA" w:rsidRDefault="00711444" w:rsidP="00AA2A4C">
            <w:pPr>
              <w:pStyle w:val="TAC"/>
              <w:rPr>
                <w:lang w:eastAsia="en-US"/>
              </w:rPr>
            </w:pPr>
            <w:r w:rsidRPr="004D0DAA">
              <w:rPr>
                <w:lang w:eastAsia="en-US"/>
              </w:rPr>
              <w:t>0 0</w:t>
            </w:r>
          </w:p>
        </w:tc>
        <w:tc>
          <w:tcPr>
            <w:tcW w:w="4082" w:type="dxa"/>
            <w:tcBorders>
              <w:top w:val="single" w:sz="4" w:space="0" w:color="auto"/>
              <w:left w:val="single" w:sz="4" w:space="0" w:color="auto"/>
              <w:bottom w:val="single" w:sz="4" w:space="0" w:color="auto"/>
              <w:right w:val="single" w:sz="4" w:space="0" w:color="auto"/>
            </w:tcBorders>
          </w:tcPr>
          <w:p w14:paraId="798AF50D" w14:textId="77777777" w:rsidR="00711444" w:rsidRPr="004D0DAA" w:rsidRDefault="00711444" w:rsidP="00AA2A4C">
            <w:pPr>
              <w:pStyle w:val="TAL"/>
              <w:rPr>
                <w:lang w:eastAsia="en-US"/>
              </w:rPr>
            </w:pPr>
            <w:r w:rsidRPr="004D0DAA">
              <w:rPr>
                <w:lang w:eastAsia="en-US"/>
              </w:rPr>
              <w:t>Coverage Class 1, CC1</w:t>
            </w:r>
          </w:p>
        </w:tc>
      </w:tr>
      <w:tr w:rsidR="00711444" w:rsidRPr="004D0DAA" w14:paraId="6E40C1AA"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78C4AE90" w14:textId="77777777" w:rsidR="00711444" w:rsidRPr="004D0DAA" w:rsidRDefault="00711444" w:rsidP="00AA2A4C">
            <w:pPr>
              <w:pStyle w:val="TAC"/>
              <w:rPr>
                <w:lang w:eastAsia="en-US"/>
              </w:rPr>
            </w:pPr>
            <w:r w:rsidRPr="004D0DAA">
              <w:rPr>
                <w:lang w:eastAsia="en-US"/>
              </w:rPr>
              <w:t>0 1</w:t>
            </w:r>
          </w:p>
        </w:tc>
        <w:tc>
          <w:tcPr>
            <w:tcW w:w="4082" w:type="dxa"/>
            <w:tcBorders>
              <w:top w:val="single" w:sz="4" w:space="0" w:color="auto"/>
              <w:left w:val="single" w:sz="4" w:space="0" w:color="auto"/>
              <w:bottom w:val="single" w:sz="4" w:space="0" w:color="auto"/>
              <w:right w:val="single" w:sz="4" w:space="0" w:color="auto"/>
            </w:tcBorders>
          </w:tcPr>
          <w:p w14:paraId="2C69B490" w14:textId="77777777" w:rsidR="00711444" w:rsidRPr="004D0DAA" w:rsidRDefault="00711444" w:rsidP="00AA2A4C">
            <w:pPr>
              <w:pStyle w:val="TAL"/>
              <w:rPr>
                <w:lang w:eastAsia="en-US"/>
              </w:rPr>
            </w:pPr>
            <w:r w:rsidRPr="004D0DAA">
              <w:rPr>
                <w:lang w:eastAsia="en-US"/>
              </w:rPr>
              <w:t>Coverage Class 2, CC2</w:t>
            </w:r>
          </w:p>
        </w:tc>
      </w:tr>
      <w:tr w:rsidR="00711444" w:rsidRPr="004D0DAA" w14:paraId="5635A17E"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4552904B" w14:textId="77777777" w:rsidR="00711444" w:rsidRPr="004D0DAA" w:rsidRDefault="00711444" w:rsidP="00AA2A4C">
            <w:pPr>
              <w:pStyle w:val="TAC"/>
              <w:rPr>
                <w:lang w:eastAsia="en-US"/>
              </w:rPr>
            </w:pPr>
            <w:r w:rsidRPr="004D0DAA">
              <w:rPr>
                <w:lang w:eastAsia="en-US"/>
              </w:rPr>
              <w:t>1 0</w:t>
            </w:r>
          </w:p>
        </w:tc>
        <w:tc>
          <w:tcPr>
            <w:tcW w:w="4082" w:type="dxa"/>
            <w:tcBorders>
              <w:top w:val="single" w:sz="4" w:space="0" w:color="auto"/>
              <w:left w:val="single" w:sz="4" w:space="0" w:color="auto"/>
              <w:bottom w:val="single" w:sz="4" w:space="0" w:color="auto"/>
              <w:right w:val="single" w:sz="4" w:space="0" w:color="auto"/>
            </w:tcBorders>
          </w:tcPr>
          <w:p w14:paraId="0B7658B4" w14:textId="77777777" w:rsidR="00711444" w:rsidRPr="004D0DAA" w:rsidRDefault="00711444" w:rsidP="00AA2A4C">
            <w:pPr>
              <w:pStyle w:val="TAL"/>
              <w:rPr>
                <w:lang w:eastAsia="en-US"/>
              </w:rPr>
            </w:pPr>
            <w:r w:rsidRPr="004D0DAA">
              <w:rPr>
                <w:lang w:eastAsia="en-US"/>
              </w:rPr>
              <w:t>Coverage Class 3, CC3</w:t>
            </w:r>
          </w:p>
        </w:tc>
      </w:tr>
      <w:tr w:rsidR="00711444" w:rsidRPr="004D0DAA" w14:paraId="2496CAD0" w14:textId="77777777" w:rsidTr="00AA2A4C">
        <w:trPr>
          <w:cantSplit/>
          <w:jc w:val="center"/>
        </w:trPr>
        <w:tc>
          <w:tcPr>
            <w:tcW w:w="794" w:type="dxa"/>
            <w:tcBorders>
              <w:top w:val="single" w:sz="4" w:space="0" w:color="auto"/>
              <w:left w:val="single" w:sz="4" w:space="0" w:color="auto"/>
              <w:bottom w:val="single" w:sz="4" w:space="0" w:color="auto"/>
              <w:right w:val="single" w:sz="4" w:space="0" w:color="auto"/>
            </w:tcBorders>
          </w:tcPr>
          <w:p w14:paraId="62815023" w14:textId="77777777" w:rsidR="00711444" w:rsidRPr="004D0DAA" w:rsidRDefault="00711444" w:rsidP="00AA2A4C">
            <w:pPr>
              <w:pStyle w:val="TAC"/>
              <w:rPr>
                <w:lang w:eastAsia="en-US"/>
              </w:rPr>
            </w:pPr>
            <w:r w:rsidRPr="004D0DAA">
              <w:rPr>
                <w:lang w:eastAsia="en-US"/>
              </w:rPr>
              <w:t>1 1</w:t>
            </w:r>
          </w:p>
        </w:tc>
        <w:tc>
          <w:tcPr>
            <w:tcW w:w="4082" w:type="dxa"/>
            <w:tcBorders>
              <w:top w:val="single" w:sz="4" w:space="0" w:color="auto"/>
              <w:left w:val="single" w:sz="4" w:space="0" w:color="auto"/>
              <w:bottom w:val="single" w:sz="4" w:space="0" w:color="auto"/>
              <w:right w:val="single" w:sz="4" w:space="0" w:color="auto"/>
            </w:tcBorders>
          </w:tcPr>
          <w:p w14:paraId="15EC481A" w14:textId="77777777" w:rsidR="00711444" w:rsidRPr="004D0DAA" w:rsidRDefault="00711444" w:rsidP="00AA2A4C">
            <w:pPr>
              <w:pStyle w:val="TAL"/>
              <w:rPr>
                <w:lang w:eastAsia="en-US"/>
              </w:rPr>
            </w:pPr>
            <w:r w:rsidRPr="004D0DAA">
              <w:rPr>
                <w:lang w:eastAsia="en-US"/>
              </w:rPr>
              <w:t>Coverage Class 4, CC4</w:t>
            </w:r>
          </w:p>
        </w:tc>
      </w:tr>
    </w:tbl>
    <w:p w14:paraId="47EF5E56" w14:textId="77777777" w:rsidR="00711444" w:rsidRPr="004D0DAA" w:rsidRDefault="00711444" w:rsidP="00711444">
      <w:pPr>
        <w:rPr>
          <w:lang w:val="en-US" w:eastAsia="ja-JP"/>
        </w:rPr>
      </w:pPr>
    </w:p>
    <w:p w14:paraId="4502DBBD" w14:textId="77777777" w:rsidR="00711444" w:rsidRPr="004D0DAA" w:rsidRDefault="00711444" w:rsidP="00711444">
      <w:pPr>
        <w:pStyle w:val="Heading3"/>
      </w:pPr>
      <w:bookmarkStart w:id="605" w:name="_Toc516669784"/>
      <w:r w:rsidRPr="004D0DAA">
        <w:t>10.4.29</w:t>
      </w:r>
      <w:r w:rsidRPr="004D0DAA">
        <w:tab/>
        <w:t>Downlink Coverage Class Estimate (DCCE)</w:t>
      </w:r>
      <w:bookmarkEnd w:id="605"/>
    </w:p>
    <w:p w14:paraId="19B4BAFA" w14:textId="77777777" w:rsidR="00711444" w:rsidRPr="004D0DAA" w:rsidRDefault="00711444" w:rsidP="00711444">
      <w:pPr>
        <w:keepNext/>
      </w:pPr>
      <w:r w:rsidRPr="004D0DAA">
        <w:t xml:space="preserve">In EC operation, a 4-bit field is included in the uplink RLC data block header to signal the estimated downlink Coverage Class, see 3GPP TS 43.064, and, when CC1 is estimated, the extent to which the estimated C value (see 3GPP TS 45.008) exceeds the value indicated by the </w:t>
      </w:r>
      <w:r w:rsidRPr="004D0DAA">
        <w:rPr>
          <w:lang w:eastAsia="en-GB"/>
        </w:rPr>
        <w:t xml:space="preserve">BT_Threshold_DL parameter </w:t>
      </w:r>
      <w:r w:rsidRPr="004D0DAA">
        <w:t>sent in EC SI2</w:t>
      </w:r>
      <w:r w:rsidRPr="004D0DAA">
        <w:rPr>
          <w:lang w:eastAsia="en-GB"/>
        </w:rPr>
        <w:t xml:space="preserve"> (see </w:t>
      </w:r>
      <w:r w:rsidRPr="004D0DAA">
        <w:t>3GPP TS 44.018). The C value will be reported in steps of 3 dB above the BT_Threshold_DL where BT_Threshold_DL indicates when blind physical layer transmissions are used.</w:t>
      </w:r>
    </w:p>
    <w:p w14:paraId="4575D014" w14:textId="77777777" w:rsidR="00711444" w:rsidRPr="004D0DAA" w:rsidRDefault="00711444" w:rsidP="00711444">
      <w:pPr>
        <w:pStyle w:val="TH"/>
      </w:pPr>
      <w:r w:rsidRPr="004D0DAA">
        <w:t xml:space="preserve">Table 10.4.29.1: DCCE field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81"/>
        <w:gridCol w:w="3897"/>
        <w:gridCol w:w="780"/>
        <w:gridCol w:w="3757"/>
      </w:tblGrid>
      <w:tr w:rsidR="00711444" w:rsidRPr="004D0DAA" w14:paraId="6E325471"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53BC5F23" w14:textId="77777777" w:rsidR="00711444" w:rsidRPr="004D0DAA" w:rsidRDefault="00711444" w:rsidP="00AA2A4C">
            <w:pPr>
              <w:pStyle w:val="TAH"/>
              <w:rPr>
                <w:lang w:eastAsia="en-US"/>
              </w:rPr>
            </w:pPr>
            <w:r w:rsidRPr="004D0DAA">
              <w:rPr>
                <w:lang w:eastAsia="en-US"/>
              </w:rPr>
              <w:t>bits</w:t>
            </w:r>
            <w:r w:rsidRPr="004D0DAA">
              <w:rPr>
                <w:lang w:eastAsia="en-US"/>
              </w:rPr>
              <w:br/>
              <w:t>4 3 2 1</w:t>
            </w:r>
          </w:p>
        </w:tc>
        <w:tc>
          <w:tcPr>
            <w:tcW w:w="3897" w:type="dxa"/>
            <w:tcBorders>
              <w:top w:val="single" w:sz="4" w:space="0" w:color="auto"/>
              <w:left w:val="single" w:sz="4" w:space="0" w:color="auto"/>
              <w:bottom w:val="single" w:sz="4" w:space="0" w:color="auto"/>
              <w:right w:val="single" w:sz="4" w:space="0" w:color="auto"/>
            </w:tcBorders>
          </w:tcPr>
          <w:p w14:paraId="7C9AB3AD" w14:textId="77777777" w:rsidR="00711444" w:rsidRPr="004D0DAA" w:rsidRDefault="00711444" w:rsidP="00AA2A4C">
            <w:pPr>
              <w:pStyle w:val="TAH"/>
              <w:rPr>
                <w:lang w:eastAsia="en-US"/>
              </w:rPr>
            </w:pPr>
            <w:r w:rsidRPr="004D0DAA">
              <w:rPr>
                <w:lang w:eastAsia="en-US"/>
              </w:rPr>
              <w:t>DCCE</w:t>
            </w:r>
          </w:p>
          <w:p w14:paraId="55EBFE9D" w14:textId="77777777" w:rsidR="00711444" w:rsidRPr="004D0DAA" w:rsidRDefault="00711444" w:rsidP="00AA2A4C">
            <w:pPr>
              <w:pStyle w:val="TAL"/>
              <w:rPr>
                <w:lang w:eastAsia="en-US"/>
              </w:rPr>
            </w:pPr>
          </w:p>
        </w:tc>
        <w:tc>
          <w:tcPr>
            <w:tcW w:w="780" w:type="dxa"/>
            <w:tcBorders>
              <w:top w:val="single" w:sz="4" w:space="0" w:color="auto"/>
              <w:left w:val="single" w:sz="4" w:space="0" w:color="auto"/>
              <w:bottom w:val="single" w:sz="4" w:space="0" w:color="auto"/>
              <w:right w:val="single" w:sz="4" w:space="0" w:color="auto"/>
            </w:tcBorders>
          </w:tcPr>
          <w:p w14:paraId="5993B629" w14:textId="77777777" w:rsidR="00711444" w:rsidRPr="004D0DAA" w:rsidRDefault="00711444" w:rsidP="00AA2A4C">
            <w:pPr>
              <w:pStyle w:val="TAL"/>
              <w:jc w:val="center"/>
              <w:rPr>
                <w:b/>
                <w:lang w:eastAsia="en-US"/>
              </w:rPr>
            </w:pPr>
            <w:r w:rsidRPr="004D0DAA">
              <w:rPr>
                <w:b/>
                <w:lang w:eastAsia="en-US"/>
              </w:rPr>
              <w:t>bits</w:t>
            </w:r>
            <w:r w:rsidRPr="004D0DAA">
              <w:rPr>
                <w:b/>
                <w:lang w:eastAsia="en-US"/>
              </w:rPr>
              <w:br/>
              <w:t>4 3 2 1</w:t>
            </w:r>
          </w:p>
        </w:tc>
        <w:tc>
          <w:tcPr>
            <w:tcW w:w="3757" w:type="dxa"/>
            <w:tcBorders>
              <w:top w:val="single" w:sz="4" w:space="0" w:color="auto"/>
              <w:left w:val="single" w:sz="4" w:space="0" w:color="auto"/>
              <w:bottom w:val="single" w:sz="4" w:space="0" w:color="auto"/>
              <w:right w:val="single" w:sz="4" w:space="0" w:color="auto"/>
            </w:tcBorders>
          </w:tcPr>
          <w:p w14:paraId="12C016AB" w14:textId="77777777" w:rsidR="00711444" w:rsidRPr="004D0DAA" w:rsidRDefault="00711444" w:rsidP="00AA2A4C">
            <w:pPr>
              <w:pStyle w:val="TAL"/>
              <w:jc w:val="center"/>
              <w:rPr>
                <w:b/>
                <w:lang w:eastAsia="en-US"/>
              </w:rPr>
            </w:pPr>
            <w:r w:rsidRPr="004D0DAA">
              <w:rPr>
                <w:b/>
                <w:lang w:eastAsia="en-US"/>
              </w:rPr>
              <w:t>DCCE</w:t>
            </w:r>
          </w:p>
        </w:tc>
      </w:tr>
      <w:tr w:rsidR="00711444" w:rsidRPr="004D0DAA" w14:paraId="6409CA18"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1BDE6758" w14:textId="77777777" w:rsidR="00711444" w:rsidRPr="004D0DAA" w:rsidRDefault="00711444" w:rsidP="00AA2A4C">
            <w:pPr>
              <w:pStyle w:val="TAC"/>
              <w:rPr>
                <w:lang w:eastAsia="en-US"/>
              </w:rPr>
            </w:pPr>
            <w:r w:rsidRPr="004D0DAA">
              <w:rPr>
                <w:lang w:eastAsia="en-US"/>
              </w:rPr>
              <w:t>0 0 0 0</w:t>
            </w:r>
          </w:p>
        </w:tc>
        <w:tc>
          <w:tcPr>
            <w:tcW w:w="3897" w:type="dxa"/>
            <w:tcBorders>
              <w:top w:val="single" w:sz="4" w:space="0" w:color="auto"/>
              <w:left w:val="single" w:sz="4" w:space="0" w:color="auto"/>
              <w:bottom w:val="single" w:sz="4" w:space="0" w:color="auto"/>
              <w:right w:val="single" w:sz="4" w:space="0" w:color="auto"/>
            </w:tcBorders>
          </w:tcPr>
          <w:p w14:paraId="3E2F4AD9" w14:textId="77777777" w:rsidR="00711444" w:rsidRPr="004D0DAA" w:rsidRDefault="00711444" w:rsidP="00AA2A4C">
            <w:pPr>
              <w:pStyle w:val="TAL"/>
              <w:rPr>
                <w:lang w:eastAsia="en-US"/>
              </w:rPr>
            </w:pPr>
            <w:r w:rsidRPr="004D0DAA">
              <w:rPr>
                <w:lang w:eastAsia="en-US"/>
              </w:rPr>
              <w:t>DL CC4</w:t>
            </w:r>
          </w:p>
        </w:tc>
        <w:tc>
          <w:tcPr>
            <w:tcW w:w="780" w:type="dxa"/>
            <w:tcBorders>
              <w:top w:val="single" w:sz="4" w:space="0" w:color="auto"/>
              <w:left w:val="single" w:sz="4" w:space="0" w:color="auto"/>
              <w:bottom w:val="single" w:sz="4" w:space="0" w:color="auto"/>
              <w:right w:val="single" w:sz="4" w:space="0" w:color="auto"/>
            </w:tcBorders>
          </w:tcPr>
          <w:p w14:paraId="3757434B" w14:textId="77777777" w:rsidR="00711444" w:rsidRPr="004D0DAA" w:rsidRDefault="00711444" w:rsidP="00AA2A4C">
            <w:pPr>
              <w:pStyle w:val="TAL"/>
              <w:jc w:val="center"/>
              <w:rPr>
                <w:lang w:eastAsia="en-US"/>
              </w:rPr>
            </w:pPr>
            <w:r w:rsidRPr="004D0DAA">
              <w:rPr>
                <w:lang w:eastAsia="en-US"/>
              </w:rPr>
              <w:t>1 0 0 0</w:t>
            </w:r>
          </w:p>
        </w:tc>
        <w:tc>
          <w:tcPr>
            <w:tcW w:w="3757" w:type="dxa"/>
            <w:tcBorders>
              <w:top w:val="single" w:sz="4" w:space="0" w:color="auto"/>
              <w:left w:val="single" w:sz="4" w:space="0" w:color="auto"/>
              <w:bottom w:val="single" w:sz="4" w:space="0" w:color="auto"/>
              <w:right w:val="single" w:sz="4" w:space="0" w:color="auto"/>
            </w:tcBorders>
          </w:tcPr>
          <w:p w14:paraId="29BD73A2"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BT_Threshold_DL+15 dB ≤ C value &lt; BT_Threshold_DL+18 dB</w:t>
            </w:r>
          </w:p>
        </w:tc>
      </w:tr>
      <w:tr w:rsidR="00711444" w:rsidRPr="004D0DAA" w14:paraId="763233D2"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669AD60E" w14:textId="77777777" w:rsidR="00711444" w:rsidRPr="004D0DAA" w:rsidRDefault="00711444" w:rsidP="00AA2A4C">
            <w:pPr>
              <w:pStyle w:val="TAC"/>
              <w:rPr>
                <w:lang w:eastAsia="en-US"/>
              </w:rPr>
            </w:pPr>
            <w:r w:rsidRPr="004D0DAA">
              <w:rPr>
                <w:lang w:eastAsia="en-US"/>
              </w:rPr>
              <w:t>0 0 0 1</w:t>
            </w:r>
          </w:p>
        </w:tc>
        <w:tc>
          <w:tcPr>
            <w:tcW w:w="3897" w:type="dxa"/>
            <w:tcBorders>
              <w:top w:val="single" w:sz="4" w:space="0" w:color="auto"/>
              <w:left w:val="single" w:sz="4" w:space="0" w:color="auto"/>
              <w:bottom w:val="single" w:sz="4" w:space="0" w:color="auto"/>
              <w:right w:val="single" w:sz="4" w:space="0" w:color="auto"/>
            </w:tcBorders>
          </w:tcPr>
          <w:p w14:paraId="5D12C108" w14:textId="77777777" w:rsidR="00711444" w:rsidRPr="004D0DAA" w:rsidRDefault="00711444" w:rsidP="00AA2A4C">
            <w:pPr>
              <w:pStyle w:val="TAL"/>
              <w:rPr>
                <w:lang w:eastAsia="en-US"/>
              </w:rPr>
            </w:pPr>
            <w:r w:rsidRPr="004D0DAA">
              <w:rPr>
                <w:lang w:eastAsia="en-US"/>
              </w:rPr>
              <w:t>DL CC3</w:t>
            </w:r>
          </w:p>
        </w:tc>
        <w:tc>
          <w:tcPr>
            <w:tcW w:w="780" w:type="dxa"/>
            <w:tcBorders>
              <w:top w:val="single" w:sz="4" w:space="0" w:color="auto"/>
              <w:left w:val="single" w:sz="4" w:space="0" w:color="auto"/>
              <w:bottom w:val="single" w:sz="4" w:space="0" w:color="auto"/>
              <w:right w:val="single" w:sz="4" w:space="0" w:color="auto"/>
            </w:tcBorders>
          </w:tcPr>
          <w:p w14:paraId="338449F7" w14:textId="77777777" w:rsidR="00711444" w:rsidRPr="004D0DAA" w:rsidRDefault="00711444" w:rsidP="00AA2A4C">
            <w:pPr>
              <w:pStyle w:val="TAL"/>
              <w:jc w:val="center"/>
              <w:rPr>
                <w:lang w:eastAsia="en-US"/>
              </w:rPr>
            </w:pPr>
            <w:r w:rsidRPr="004D0DAA">
              <w:rPr>
                <w:lang w:eastAsia="en-US"/>
              </w:rPr>
              <w:t>1 0 0 1</w:t>
            </w:r>
          </w:p>
        </w:tc>
        <w:tc>
          <w:tcPr>
            <w:tcW w:w="3757" w:type="dxa"/>
            <w:tcBorders>
              <w:top w:val="single" w:sz="4" w:space="0" w:color="auto"/>
              <w:left w:val="single" w:sz="4" w:space="0" w:color="auto"/>
              <w:bottom w:val="single" w:sz="4" w:space="0" w:color="auto"/>
              <w:right w:val="single" w:sz="4" w:space="0" w:color="auto"/>
            </w:tcBorders>
          </w:tcPr>
          <w:p w14:paraId="75165E72"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BT_Threshold_DL+18 dB ≤ C value &lt; BT_Threshold_DL+21 dB</w:t>
            </w:r>
          </w:p>
        </w:tc>
      </w:tr>
      <w:tr w:rsidR="00711444" w:rsidRPr="004D0DAA" w14:paraId="5FB47157"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7EFAFB97" w14:textId="77777777" w:rsidR="00711444" w:rsidRPr="004D0DAA" w:rsidRDefault="00711444" w:rsidP="00AA2A4C">
            <w:pPr>
              <w:pStyle w:val="TAC"/>
              <w:rPr>
                <w:lang w:eastAsia="en-US"/>
              </w:rPr>
            </w:pPr>
            <w:r w:rsidRPr="004D0DAA">
              <w:rPr>
                <w:lang w:eastAsia="en-US"/>
              </w:rPr>
              <w:t>0 0 1 0</w:t>
            </w:r>
          </w:p>
        </w:tc>
        <w:tc>
          <w:tcPr>
            <w:tcW w:w="3897" w:type="dxa"/>
            <w:tcBorders>
              <w:top w:val="single" w:sz="4" w:space="0" w:color="auto"/>
              <w:left w:val="single" w:sz="4" w:space="0" w:color="auto"/>
              <w:bottom w:val="single" w:sz="4" w:space="0" w:color="auto"/>
              <w:right w:val="single" w:sz="4" w:space="0" w:color="auto"/>
            </w:tcBorders>
          </w:tcPr>
          <w:p w14:paraId="7D92DD3E" w14:textId="77777777" w:rsidR="00711444" w:rsidRPr="004D0DAA" w:rsidRDefault="00711444" w:rsidP="00AA2A4C">
            <w:pPr>
              <w:pStyle w:val="TAL"/>
              <w:rPr>
                <w:lang w:eastAsia="en-US"/>
              </w:rPr>
            </w:pPr>
            <w:r w:rsidRPr="004D0DAA">
              <w:rPr>
                <w:lang w:eastAsia="en-US"/>
              </w:rPr>
              <w:t>DL CC2</w:t>
            </w:r>
          </w:p>
        </w:tc>
        <w:tc>
          <w:tcPr>
            <w:tcW w:w="780" w:type="dxa"/>
            <w:tcBorders>
              <w:top w:val="single" w:sz="4" w:space="0" w:color="auto"/>
              <w:left w:val="single" w:sz="4" w:space="0" w:color="auto"/>
              <w:bottom w:val="single" w:sz="4" w:space="0" w:color="auto"/>
              <w:right w:val="single" w:sz="4" w:space="0" w:color="auto"/>
            </w:tcBorders>
          </w:tcPr>
          <w:p w14:paraId="063E8A70" w14:textId="77777777" w:rsidR="00711444" w:rsidRPr="004D0DAA" w:rsidRDefault="00711444" w:rsidP="00AA2A4C">
            <w:pPr>
              <w:pStyle w:val="TAL"/>
              <w:jc w:val="center"/>
              <w:rPr>
                <w:lang w:eastAsia="en-US"/>
              </w:rPr>
            </w:pPr>
            <w:r w:rsidRPr="004D0DAA">
              <w:rPr>
                <w:lang w:eastAsia="en-US"/>
              </w:rPr>
              <w:t>1 0 1 0</w:t>
            </w:r>
          </w:p>
        </w:tc>
        <w:tc>
          <w:tcPr>
            <w:tcW w:w="3757" w:type="dxa"/>
            <w:tcBorders>
              <w:top w:val="single" w:sz="4" w:space="0" w:color="auto"/>
              <w:left w:val="single" w:sz="4" w:space="0" w:color="auto"/>
              <w:bottom w:val="single" w:sz="4" w:space="0" w:color="auto"/>
              <w:right w:val="single" w:sz="4" w:space="0" w:color="auto"/>
            </w:tcBorders>
          </w:tcPr>
          <w:p w14:paraId="2851A85B"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BT_Threshold_DL+21 dB ≤ C value &lt; BT_Threshold_DL+24 dB</w:t>
            </w:r>
          </w:p>
        </w:tc>
      </w:tr>
      <w:tr w:rsidR="00711444" w:rsidRPr="004D0DAA" w14:paraId="73288F39"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286CFEFB" w14:textId="77777777" w:rsidR="00711444" w:rsidRPr="004D0DAA" w:rsidRDefault="00711444" w:rsidP="00AA2A4C">
            <w:pPr>
              <w:pStyle w:val="TAC"/>
              <w:rPr>
                <w:lang w:eastAsia="en-US"/>
              </w:rPr>
            </w:pPr>
            <w:r w:rsidRPr="004D0DAA">
              <w:rPr>
                <w:lang w:eastAsia="en-US"/>
              </w:rPr>
              <w:t>0 0 1 1</w:t>
            </w:r>
          </w:p>
        </w:tc>
        <w:tc>
          <w:tcPr>
            <w:tcW w:w="3897" w:type="dxa"/>
            <w:tcBorders>
              <w:top w:val="single" w:sz="4" w:space="0" w:color="auto"/>
              <w:left w:val="single" w:sz="4" w:space="0" w:color="auto"/>
              <w:bottom w:val="single" w:sz="4" w:space="0" w:color="auto"/>
              <w:right w:val="single" w:sz="4" w:space="0" w:color="auto"/>
            </w:tcBorders>
          </w:tcPr>
          <w:p w14:paraId="787EBDFE"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 ≤ C value &lt; BT_Threshold_DL+3 dB</w:t>
            </w:r>
          </w:p>
        </w:tc>
        <w:tc>
          <w:tcPr>
            <w:tcW w:w="780" w:type="dxa"/>
            <w:tcBorders>
              <w:top w:val="single" w:sz="4" w:space="0" w:color="auto"/>
              <w:left w:val="single" w:sz="4" w:space="0" w:color="auto"/>
              <w:bottom w:val="single" w:sz="4" w:space="0" w:color="auto"/>
              <w:right w:val="single" w:sz="4" w:space="0" w:color="auto"/>
            </w:tcBorders>
          </w:tcPr>
          <w:p w14:paraId="314BBF2C" w14:textId="77777777" w:rsidR="00711444" w:rsidRPr="004D0DAA" w:rsidRDefault="00711444" w:rsidP="00AA2A4C">
            <w:pPr>
              <w:pStyle w:val="TAL"/>
              <w:jc w:val="center"/>
              <w:rPr>
                <w:lang w:eastAsia="en-US"/>
              </w:rPr>
            </w:pPr>
            <w:r w:rsidRPr="004D0DAA">
              <w:rPr>
                <w:lang w:eastAsia="en-US"/>
              </w:rPr>
              <w:t>1 0 1 1</w:t>
            </w:r>
          </w:p>
        </w:tc>
        <w:tc>
          <w:tcPr>
            <w:tcW w:w="3757" w:type="dxa"/>
            <w:tcBorders>
              <w:top w:val="single" w:sz="4" w:space="0" w:color="auto"/>
              <w:left w:val="single" w:sz="4" w:space="0" w:color="auto"/>
              <w:bottom w:val="single" w:sz="4" w:space="0" w:color="auto"/>
              <w:right w:val="single" w:sz="4" w:space="0" w:color="auto"/>
            </w:tcBorders>
          </w:tcPr>
          <w:p w14:paraId="41F1C53D"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BT_Threshold_DL+24 dB ≤ C value &lt; BT_Threshold_DL+27 dB</w:t>
            </w:r>
          </w:p>
        </w:tc>
      </w:tr>
      <w:tr w:rsidR="00711444" w:rsidRPr="004D0DAA" w14:paraId="3FB1DAD1"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760B6448" w14:textId="77777777" w:rsidR="00711444" w:rsidRPr="004D0DAA" w:rsidRDefault="00711444" w:rsidP="00AA2A4C">
            <w:pPr>
              <w:pStyle w:val="TAC"/>
              <w:rPr>
                <w:lang w:eastAsia="en-US"/>
              </w:rPr>
            </w:pPr>
            <w:r w:rsidRPr="004D0DAA">
              <w:rPr>
                <w:lang w:eastAsia="en-US"/>
              </w:rPr>
              <w:t>0 1 0 0</w:t>
            </w:r>
          </w:p>
        </w:tc>
        <w:tc>
          <w:tcPr>
            <w:tcW w:w="3897" w:type="dxa"/>
            <w:tcBorders>
              <w:top w:val="single" w:sz="4" w:space="0" w:color="auto"/>
              <w:left w:val="single" w:sz="4" w:space="0" w:color="auto"/>
              <w:bottom w:val="single" w:sz="4" w:space="0" w:color="auto"/>
              <w:right w:val="single" w:sz="4" w:space="0" w:color="auto"/>
            </w:tcBorders>
          </w:tcPr>
          <w:p w14:paraId="2E13119F"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BT_Threshold_DL+3 dB ≤ C value &lt; BT_Threshold_DL+6 dB</w:t>
            </w:r>
          </w:p>
        </w:tc>
        <w:tc>
          <w:tcPr>
            <w:tcW w:w="780" w:type="dxa"/>
            <w:tcBorders>
              <w:top w:val="single" w:sz="4" w:space="0" w:color="auto"/>
              <w:left w:val="single" w:sz="4" w:space="0" w:color="auto"/>
              <w:bottom w:val="single" w:sz="4" w:space="0" w:color="auto"/>
              <w:right w:val="single" w:sz="4" w:space="0" w:color="auto"/>
            </w:tcBorders>
          </w:tcPr>
          <w:p w14:paraId="2C97D728" w14:textId="77777777" w:rsidR="00711444" w:rsidRPr="004D0DAA" w:rsidRDefault="00711444" w:rsidP="00AA2A4C">
            <w:pPr>
              <w:pStyle w:val="TAL"/>
              <w:jc w:val="center"/>
              <w:rPr>
                <w:lang w:eastAsia="en-US"/>
              </w:rPr>
            </w:pPr>
            <w:r w:rsidRPr="004D0DAA">
              <w:rPr>
                <w:lang w:eastAsia="en-US"/>
              </w:rPr>
              <w:t>1 1 0 0</w:t>
            </w:r>
          </w:p>
        </w:tc>
        <w:tc>
          <w:tcPr>
            <w:tcW w:w="3757" w:type="dxa"/>
            <w:tcBorders>
              <w:top w:val="single" w:sz="4" w:space="0" w:color="auto"/>
              <w:left w:val="single" w:sz="4" w:space="0" w:color="auto"/>
              <w:bottom w:val="single" w:sz="4" w:space="0" w:color="auto"/>
              <w:right w:val="single" w:sz="4" w:space="0" w:color="auto"/>
            </w:tcBorders>
          </w:tcPr>
          <w:p w14:paraId="5825DD91"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BT_Threshold_DL+27 dB ≤ C value &lt; BT_Threshold_DL+30 dB</w:t>
            </w:r>
          </w:p>
        </w:tc>
      </w:tr>
      <w:tr w:rsidR="00711444" w:rsidRPr="004D0DAA" w14:paraId="59099B0A"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25246748" w14:textId="77777777" w:rsidR="00711444" w:rsidRPr="004D0DAA" w:rsidRDefault="00711444" w:rsidP="00AA2A4C">
            <w:pPr>
              <w:pStyle w:val="TAC"/>
              <w:rPr>
                <w:lang w:eastAsia="en-US"/>
              </w:rPr>
            </w:pPr>
            <w:r w:rsidRPr="004D0DAA">
              <w:rPr>
                <w:lang w:eastAsia="en-US"/>
              </w:rPr>
              <w:t>0 1 0 1</w:t>
            </w:r>
          </w:p>
        </w:tc>
        <w:tc>
          <w:tcPr>
            <w:tcW w:w="3897" w:type="dxa"/>
            <w:tcBorders>
              <w:top w:val="single" w:sz="4" w:space="0" w:color="auto"/>
              <w:left w:val="single" w:sz="4" w:space="0" w:color="auto"/>
              <w:bottom w:val="single" w:sz="4" w:space="0" w:color="auto"/>
              <w:right w:val="single" w:sz="4" w:space="0" w:color="auto"/>
            </w:tcBorders>
          </w:tcPr>
          <w:p w14:paraId="009B0974"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BT_Threshold_DL+6 dB ≤ C value &lt; BT_Threshold_DL+9 dB</w:t>
            </w:r>
          </w:p>
        </w:tc>
        <w:tc>
          <w:tcPr>
            <w:tcW w:w="780" w:type="dxa"/>
            <w:tcBorders>
              <w:top w:val="single" w:sz="4" w:space="0" w:color="auto"/>
              <w:left w:val="single" w:sz="4" w:space="0" w:color="auto"/>
              <w:bottom w:val="single" w:sz="4" w:space="0" w:color="auto"/>
              <w:right w:val="single" w:sz="4" w:space="0" w:color="auto"/>
            </w:tcBorders>
          </w:tcPr>
          <w:p w14:paraId="56C667E1" w14:textId="77777777" w:rsidR="00711444" w:rsidRPr="004D0DAA" w:rsidRDefault="00711444" w:rsidP="00AA2A4C">
            <w:pPr>
              <w:pStyle w:val="TAL"/>
              <w:jc w:val="center"/>
              <w:rPr>
                <w:lang w:eastAsia="en-US"/>
              </w:rPr>
            </w:pPr>
            <w:r w:rsidRPr="004D0DAA">
              <w:rPr>
                <w:lang w:eastAsia="en-US"/>
              </w:rPr>
              <w:t>1 1 0 1</w:t>
            </w:r>
          </w:p>
        </w:tc>
        <w:tc>
          <w:tcPr>
            <w:tcW w:w="3757" w:type="dxa"/>
            <w:tcBorders>
              <w:top w:val="single" w:sz="4" w:space="0" w:color="auto"/>
              <w:left w:val="single" w:sz="4" w:space="0" w:color="auto"/>
              <w:bottom w:val="single" w:sz="4" w:space="0" w:color="auto"/>
              <w:right w:val="single" w:sz="4" w:space="0" w:color="auto"/>
            </w:tcBorders>
          </w:tcPr>
          <w:p w14:paraId="148BFA2F"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BT_Threshold_DL+30 dB ≤ C value &lt; BT_Threshold_DL+33 dB</w:t>
            </w:r>
          </w:p>
        </w:tc>
      </w:tr>
      <w:tr w:rsidR="00711444" w:rsidRPr="004D0DAA" w14:paraId="7620EA70"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608DB0CA" w14:textId="77777777" w:rsidR="00711444" w:rsidRPr="004D0DAA" w:rsidRDefault="00711444" w:rsidP="00AA2A4C">
            <w:pPr>
              <w:pStyle w:val="TAC"/>
              <w:rPr>
                <w:lang w:eastAsia="en-US"/>
              </w:rPr>
            </w:pPr>
            <w:r w:rsidRPr="004D0DAA">
              <w:rPr>
                <w:lang w:eastAsia="en-US"/>
              </w:rPr>
              <w:t>0 1 1 0</w:t>
            </w:r>
          </w:p>
        </w:tc>
        <w:tc>
          <w:tcPr>
            <w:tcW w:w="3897" w:type="dxa"/>
            <w:tcBorders>
              <w:top w:val="single" w:sz="4" w:space="0" w:color="auto"/>
              <w:left w:val="single" w:sz="4" w:space="0" w:color="auto"/>
              <w:bottom w:val="single" w:sz="4" w:space="0" w:color="auto"/>
              <w:right w:val="single" w:sz="4" w:space="0" w:color="auto"/>
            </w:tcBorders>
          </w:tcPr>
          <w:p w14:paraId="36C40D46"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BT_Threshold_DL+9 dB ≤ C value &lt; BT_Threshold_DL+12 dB</w:t>
            </w:r>
          </w:p>
        </w:tc>
        <w:tc>
          <w:tcPr>
            <w:tcW w:w="780" w:type="dxa"/>
            <w:tcBorders>
              <w:top w:val="single" w:sz="4" w:space="0" w:color="auto"/>
              <w:left w:val="single" w:sz="4" w:space="0" w:color="auto"/>
              <w:bottom w:val="single" w:sz="4" w:space="0" w:color="auto"/>
              <w:right w:val="single" w:sz="4" w:space="0" w:color="auto"/>
            </w:tcBorders>
          </w:tcPr>
          <w:p w14:paraId="1A3E12BE" w14:textId="77777777" w:rsidR="00711444" w:rsidRPr="004D0DAA" w:rsidRDefault="00711444" w:rsidP="00AA2A4C">
            <w:pPr>
              <w:pStyle w:val="TAL"/>
              <w:jc w:val="center"/>
              <w:rPr>
                <w:lang w:eastAsia="en-US"/>
              </w:rPr>
            </w:pPr>
            <w:r w:rsidRPr="004D0DAA">
              <w:rPr>
                <w:lang w:eastAsia="en-US"/>
              </w:rPr>
              <w:t>1 1 1 0</w:t>
            </w:r>
          </w:p>
        </w:tc>
        <w:tc>
          <w:tcPr>
            <w:tcW w:w="3757" w:type="dxa"/>
            <w:tcBorders>
              <w:top w:val="single" w:sz="4" w:space="0" w:color="auto"/>
              <w:left w:val="single" w:sz="4" w:space="0" w:color="auto"/>
              <w:bottom w:val="single" w:sz="4" w:space="0" w:color="auto"/>
              <w:right w:val="single" w:sz="4" w:space="0" w:color="auto"/>
            </w:tcBorders>
          </w:tcPr>
          <w:p w14:paraId="5A61D478"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BT_Threshold_DL+33 dB ≤ C value &lt; BT_Threshold_DL+36 dB</w:t>
            </w:r>
          </w:p>
        </w:tc>
      </w:tr>
      <w:tr w:rsidR="00711444" w:rsidRPr="004D0DAA" w14:paraId="07DE68BC"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tcPr>
          <w:p w14:paraId="67CECBA3" w14:textId="77777777" w:rsidR="00711444" w:rsidRPr="004D0DAA" w:rsidRDefault="00711444" w:rsidP="00AA2A4C">
            <w:pPr>
              <w:pStyle w:val="TAC"/>
              <w:rPr>
                <w:lang w:eastAsia="en-US"/>
              </w:rPr>
            </w:pPr>
            <w:r w:rsidRPr="004D0DAA">
              <w:rPr>
                <w:lang w:eastAsia="en-US"/>
              </w:rPr>
              <w:t>0 1 1 1</w:t>
            </w:r>
          </w:p>
        </w:tc>
        <w:tc>
          <w:tcPr>
            <w:tcW w:w="3897" w:type="dxa"/>
            <w:tcBorders>
              <w:top w:val="single" w:sz="4" w:space="0" w:color="auto"/>
              <w:left w:val="single" w:sz="4" w:space="0" w:color="auto"/>
              <w:bottom w:val="single" w:sz="4" w:space="0" w:color="auto"/>
              <w:right w:val="single" w:sz="4" w:space="0" w:color="auto"/>
            </w:tcBorders>
          </w:tcPr>
          <w:p w14:paraId="03671D49"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BT_Threshold_DL+12 dB ≤ C value &lt; BT_Threshold_DL+15 dB</w:t>
            </w:r>
          </w:p>
        </w:tc>
        <w:tc>
          <w:tcPr>
            <w:tcW w:w="780" w:type="dxa"/>
            <w:tcBorders>
              <w:top w:val="single" w:sz="4" w:space="0" w:color="auto"/>
              <w:left w:val="single" w:sz="4" w:space="0" w:color="auto"/>
              <w:bottom w:val="single" w:sz="4" w:space="0" w:color="auto"/>
              <w:right w:val="single" w:sz="4" w:space="0" w:color="auto"/>
            </w:tcBorders>
          </w:tcPr>
          <w:p w14:paraId="25DB30AB" w14:textId="77777777" w:rsidR="00711444" w:rsidRPr="004D0DAA" w:rsidRDefault="00711444" w:rsidP="00AA2A4C">
            <w:pPr>
              <w:pStyle w:val="TAL"/>
              <w:jc w:val="center"/>
              <w:rPr>
                <w:lang w:eastAsia="en-US"/>
              </w:rPr>
            </w:pPr>
            <w:r w:rsidRPr="004D0DAA">
              <w:rPr>
                <w:lang w:eastAsia="en-US"/>
              </w:rPr>
              <w:t>1 1 1 1</w:t>
            </w:r>
          </w:p>
        </w:tc>
        <w:tc>
          <w:tcPr>
            <w:tcW w:w="3757" w:type="dxa"/>
            <w:tcBorders>
              <w:top w:val="single" w:sz="4" w:space="0" w:color="auto"/>
              <w:left w:val="single" w:sz="4" w:space="0" w:color="auto"/>
              <w:bottom w:val="single" w:sz="4" w:space="0" w:color="auto"/>
              <w:right w:val="single" w:sz="4" w:space="0" w:color="auto"/>
            </w:tcBorders>
          </w:tcPr>
          <w:p w14:paraId="64E6DDF8" w14:textId="77777777" w:rsidR="00711444" w:rsidRPr="004D0DAA" w:rsidRDefault="00711444" w:rsidP="00AA2A4C">
            <w:pPr>
              <w:pStyle w:val="TAL"/>
              <w:rPr>
                <w:lang w:eastAsia="en-US"/>
              </w:rPr>
            </w:pPr>
            <w:r w:rsidRPr="004D0DAA">
              <w:rPr>
                <w:lang w:eastAsia="en-US"/>
              </w:rPr>
              <w:t>DL CC1</w:t>
            </w:r>
            <w:r w:rsidRPr="004D0DAA">
              <w:rPr>
                <w:bCs/>
                <w:lang w:eastAsia="en-US"/>
              </w:rPr>
              <w:t>; BT_Threshold_DL+36 dB ≤ C value &lt; BT_Threshold_DL+39 dB</w:t>
            </w:r>
          </w:p>
        </w:tc>
      </w:tr>
      <w:tr w:rsidR="00711444" w:rsidRPr="004D0DAA" w14:paraId="0387DCF7" w14:textId="77777777" w:rsidTr="00AA2A4C">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A64AE83" w14:textId="77777777" w:rsidR="00711444" w:rsidRPr="004D0DAA" w:rsidRDefault="00711444" w:rsidP="00AA2A4C">
            <w:pPr>
              <w:pStyle w:val="TAL"/>
              <w:rPr>
                <w:lang w:eastAsia="en-US"/>
              </w:rPr>
            </w:pPr>
            <w:r w:rsidRPr="004D0DAA">
              <w:rPr>
                <w:lang w:eastAsia="en-US"/>
              </w:rPr>
              <w:t>NOTE:</w:t>
            </w:r>
            <w:r w:rsidRPr="004D0DAA">
              <w:rPr>
                <w:lang w:eastAsia="en-US"/>
              </w:rPr>
              <w:tab/>
              <w:t>The bit numbering is relative to the field position.</w:t>
            </w:r>
          </w:p>
        </w:tc>
      </w:tr>
    </w:tbl>
    <w:p w14:paraId="0E34AF7F" w14:textId="77777777" w:rsidR="00711444" w:rsidRPr="004D0DAA" w:rsidRDefault="00711444" w:rsidP="00711444"/>
    <w:p w14:paraId="163D64B8" w14:textId="77777777" w:rsidR="00711444" w:rsidRPr="004D0DAA" w:rsidRDefault="00711444" w:rsidP="00711444">
      <w:pPr>
        <w:pStyle w:val="Heading3"/>
        <w:keepNext w:val="0"/>
        <w:keepLines w:val="0"/>
      </w:pPr>
      <w:bookmarkStart w:id="606" w:name="_Toc516669785"/>
      <w:r w:rsidRPr="004D0DAA">
        <w:t>10.4.30</w:t>
      </w:r>
      <w:r w:rsidRPr="004D0DAA">
        <w:tab/>
        <w:t>Cell Identity</w:t>
      </w:r>
      <w:bookmarkEnd w:id="606"/>
    </w:p>
    <w:p w14:paraId="4C4DA88E" w14:textId="77777777" w:rsidR="00711444" w:rsidRPr="004D0DAA" w:rsidRDefault="00711444" w:rsidP="00711444">
      <w:r w:rsidRPr="004D0DAA">
        <w:t xml:space="preserve">When the radio access part of the MTA procedure is performed using the RLC Data Block method, a 16 bit “Cell Identity” field is included in the uplink RLC data block (see sub-clause 10.3a.2.1 and sub-clause 10.3a.2.2) and identifies the cell in which the MS received the RRLP Multilateration Timing Advance Request RRLP message (see 3GPP TS 44.031). The “Cell Identity” field is coded as per the value part of the “Cell Identity” information element defined in 3GPP TS 24.008. </w:t>
      </w:r>
    </w:p>
    <w:p w14:paraId="5A4834E3" w14:textId="77777777" w:rsidR="00711444" w:rsidRPr="004D0DAA" w:rsidRDefault="00711444" w:rsidP="00711444">
      <w:pPr>
        <w:pStyle w:val="Heading3"/>
        <w:keepNext w:val="0"/>
        <w:keepLines w:val="0"/>
      </w:pPr>
      <w:bookmarkStart w:id="607" w:name="_Toc516669786"/>
      <w:r w:rsidRPr="004D0DAA">
        <w:t>10.4.31</w:t>
      </w:r>
      <w:r w:rsidRPr="004D0DAA">
        <w:tab/>
        <w:t>Routing Area Identification</w:t>
      </w:r>
      <w:bookmarkEnd w:id="607"/>
    </w:p>
    <w:p w14:paraId="1F21D87C" w14:textId="77777777" w:rsidR="00711444" w:rsidRPr="004D0DAA" w:rsidRDefault="00711444" w:rsidP="00711444">
      <w:r w:rsidRPr="004D0DAA">
        <w:lastRenderedPageBreak/>
        <w:t>When the radio access part of the MTA procedure is performed using the RLC Data Block method a 48 bit “Routing Area Identification” field is included in the uplink RLC data block (see sub-clause 10.3a.2.1 and sub-clause 10.3a.2.2).  This field identifies the Routing Area Identification corresponding to cell in which the MS received the RRLP Multilateration Timing Advance Request message (see 3GPP TS 44.031). It is coded as per the value part of the “Routing Area Identification” information element defined in 3GPP TS 24.008.</w:t>
      </w:r>
    </w:p>
    <w:p w14:paraId="707AD5BA" w14:textId="77777777" w:rsidR="00711444" w:rsidRPr="004D0DAA" w:rsidRDefault="00711444" w:rsidP="00711444">
      <w:pPr>
        <w:pStyle w:val="Heading3"/>
        <w:keepNext w:val="0"/>
        <w:keepLines w:val="0"/>
      </w:pPr>
      <w:bookmarkStart w:id="608" w:name="_Toc516669787"/>
      <w:r w:rsidRPr="004D0DAA">
        <w:t>10.4.32</w:t>
      </w:r>
      <w:r w:rsidRPr="004D0DAA">
        <w:tab/>
        <w:t>MS Sync Accuracy</w:t>
      </w:r>
      <w:bookmarkEnd w:id="608"/>
    </w:p>
    <w:p w14:paraId="336621C1" w14:textId="77777777" w:rsidR="00711444" w:rsidRPr="004D0DAA" w:rsidRDefault="00711444" w:rsidP="00711444">
      <w:r w:rsidRPr="004D0DAA">
        <w:t>When the radio access part of the MTA procedure is performed using the RLC Data Block method the octet immediately following the 6 octet “Routing Area Identification” field contains the 4 bit “MS Sync Accuracy” field and the 4 bit “MS Transmission Offset” field (see sub-clause 10.3a.2.1 and sub-clause 10.3a.2.2). The “MS Sync Accuracy” field is coded per the value part of the “</w:t>
      </w:r>
      <w:r w:rsidRPr="004D0DAA">
        <w:rPr>
          <w:i/>
        </w:rPr>
        <w:t>MS Synchronization Accuracy</w:t>
      </w:r>
      <w:r w:rsidRPr="004D0DAA">
        <w:t>” IE defined in 3GPP TS 49.031.</w:t>
      </w:r>
    </w:p>
    <w:p w14:paraId="7029B337" w14:textId="77777777" w:rsidR="00711444" w:rsidRPr="004D0DAA" w:rsidRDefault="00711444" w:rsidP="00711444">
      <w:pPr>
        <w:pStyle w:val="Heading3"/>
        <w:keepNext w:val="0"/>
        <w:keepLines w:val="0"/>
      </w:pPr>
      <w:bookmarkStart w:id="609" w:name="_Toc516669788"/>
      <w:r w:rsidRPr="004D0DAA">
        <w:t>10.4.33</w:t>
      </w:r>
      <w:r w:rsidRPr="004D0DAA">
        <w:tab/>
        <w:t>MS Transmission Offset</w:t>
      </w:r>
      <w:bookmarkEnd w:id="609"/>
    </w:p>
    <w:p w14:paraId="0ACD3779" w14:textId="77777777" w:rsidR="00711444" w:rsidRPr="004D0DAA" w:rsidRDefault="00711444" w:rsidP="00711444">
      <w:r w:rsidRPr="004D0DAA">
        <w:t>When the radio access part of the MTA procedure is performed using the RLC Data Block method the octet immediately following the 6 octet “</w:t>
      </w:r>
      <w:r w:rsidRPr="004D0DAA">
        <w:rPr>
          <w:i/>
        </w:rPr>
        <w:t>Routing Area Identification</w:t>
      </w:r>
      <w:r w:rsidRPr="004D0DAA">
        <w:t>” field contains the 4 bit “</w:t>
      </w:r>
      <w:r w:rsidRPr="004D0DAA">
        <w:rPr>
          <w:i/>
        </w:rPr>
        <w:t>MS Sync Accuracy</w:t>
      </w:r>
      <w:r w:rsidRPr="004D0DAA">
        <w:t>” field and the 4 bit “</w:t>
      </w:r>
      <w:r w:rsidRPr="004D0DAA">
        <w:rPr>
          <w:i/>
        </w:rPr>
        <w:t>MS Transmission Offset</w:t>
      </w:r>
      <w:r w:rsidRPr="004D0DAA">
        <w:t>” field (see sub-clause 10.3a.2.1 and sub-clause 10.3a.2.2). The “</w:t>
      </w:r>
      <w:r w:rsidRPr="004D0DAA">
        <w:rPr>
          <w:i/>
        </w:rPr>
        <w:t>MS Transmission Offset</w:t>
      </w:r>
      <w:r w:rsidRPr="004D0DAA">
        <w:t xml:space="preserve">” field is coded as shown in Table 10.4.33.1. </w:t>
      </w:r>
    </w:p>
    <w:p w14:paraId="7DD5E569" w14:textId="77777777" w:rsidR="00711444" w:rsidRPr="004D0DAA" w:rsidRDefault="00711444" w:rsidP="00711444">
      <w:pPr>
        <w:pStyle w:val="TH"/>
        <w:keepNext w:val="0"/>
        <w:keepLines w:val="0"/>
        <w:widowControl w:val="0"/>
      </w:pPr>
      <w:r w:rsidRPr="004D0DAA">
        <w:t xml:space="preserve">Table 10.4.33.1:  </w:t>
      </w:r>
      <w:r w:rsidRPr="004D0DAA">
        <w:rPr>
          <w:noProof/>
        </w:rPr>
        <w:t xml:space="preserve">MS Transmission Offset </w:t>
      </w:r>
      <w:r w:rsidRPr="004D0DAA">
        <w:t>information element</w:t>
      </w:r>
    </w:p>
    <w:tbl>
      <w:tblPr>
        <w:tblW w:w="723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Change w:id="610">
          <w:tblGrid>
            <w:gridCol w:w="7230"/>
          </w:tblGrid>
        </w:tblGridChange>
      </w:tblGrid>
      <w:tr w:rsidR="00711444" w:rsidRPr="004D0DAA" w14:paraId="7D8D3C98" w14:textId="77777777" w:rsidTr="00AA2A4C">
        <w:trPr>
          <w:trHeight w:val="1245"/>
        </w:trPr>
        <w:tc>
          <w:tcPr>
            <w:tcW w:w="7230" w:type="dxa"/>
            <w:shd w:val="clear" w:color="auto" w:fill="auto"/>
          </w:tcPr>
          <w:p w14:paraId="11CEDFCA"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alibri" w:hAnsi="Calibri"/>
                <w:b/>
                <w:spacing w:val="2"/>
              </w:rPr>
            </w:pPr>
            <w:r w:rsidRPr="004D0DAA">
              <w:rPr>
                <w:rFonts w:ascii="Courier New" w:hAnsi="Courier New" w:cs="Courier New"/>
                <w:noProof/>
                <w:sz w:val="16"/>
                <w:szCs w:val="16"/>
              </w:rPr>
              <w:t>MS Transmission Offset</w:t>
            </w:r>
            <w:r w:rsidRPr="004D0DAA">
              <w:rPr>
                <w:b/>
                <w:spacing w:val="2"/>
              </w:rPr>
              <w:t xml:space="preserve"> </w:t>
            </w:r>
            <w:r w:rsidRPr="004D0DAA">
              <w:rPr>
                <w:rFonts w:ascii="Courier New" w:hAnsi="Courier New" w:cs="Courier New"/>
                <w:noProof/>
                <w:sz w:val="16"/>
                <w:szCs w:val="16"/>
              </w:rPr>
              <w:t>(4 bits)</w:t>
            </w:r>
          </w:p>
          <w:p w14:paraId="486BF890" w14:textId="77777777" w:rsidR="00711444" w:rsidRPr="004D0DAA" w:rsidRDefault="00711444" w:rsidP="00AA2A4C">
            <w:pPr>
              <w:spacing w:after="0"/>
              <w:rPr>
                <w:rFonts w:ascii="Courier New" w:hAnsi="Courier New" w:cs="Courier New"/>
                <w:noProof/>
                <w:sz w:val="16"/>
                <w:szCs w:val="16"/>
              </w:rPr>
            </w:pPr>
          </w:p>
          <w:p w14:paraId="712B7E48" w14:textId="77777777" w:rsidR="00711444" w:rsidRPr="004D0DAA" w:rsidRDefault="00711444" w:rsidP="00AA2A4C">
            <w:pPr>
              <w:spacing w:after="0"/>
              <w:rPr>
                <w:rFonts w:ascii="Courier New" w:hAnsi="Courier New" w:cs="Courier New"/>
                <w:noProof/>
                <w:sz w:val="16"/>
                <w:szCs w:val="16"/>
              </w:rPr>
            </w:pPr>
            <w:r w:rsidRPr="004D0DAA">
              <w:rPr>
                <w:rFonts w:ascii="Courier New" w:hAnsi="Courier New" w:cs="Courier New"/>
                <w:noProof/>
                <w:sz w:val="16"/>
                <w:szCs w:val="16"/>
              </w:rPr>
              <w:t>This field indicates the transmission offset applied by the MS when sending a RLC data block during the radio access part of the MTA procedure and is coded as follows:</w:t>
            </w:r>
          </w:p>
          <w:p w14:paraId="2C98856C"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alibri" w:hAnsi="Calibri"/>
                <w:b/>
                <w:spacing w:val="2"/>
              </w:rPr>
            </w:pPr>
          </w:p>
          <w:p w14:paraId="72433E0C"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alibri" w:hAnsi="Calibri"/>
                <w:b/>
                <w:spacing w:val="2"/>
              </w:rPr>
            </w:pPr>
            <w:r w:rsidRPr="004D0DAA">
              <w:rPr>
                <w:b/>
                <w:spacing w:val="2"/>
              </w:rPr>
              <w:t>Bit</w:t>
            </w:r>
          </w:p>
          <w:p w14:paraId="18B04CF2"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alibri" w:hAnsi="Calibri"/>
                <w:spacing w:val="2"/>
              </w:rPr>
            </w:pPr>
            <w:r w:rsidRPr="004D0DAA">
              <w:rPr>
                <w:spacing w:val="2"/>
              </w:rPr>
              <w:t>4321</w:t>
            </w:r>
          </w:p>
          <w:p w14:paraId="3E8499AF"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0000   MS Trans. Offset = -7/32 of symbol period</w:t>
            </w:r>
          </w:p>
          <w:p w14:paraId="0008AA24"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0001   MS Trans. Offset = -3/16 of symbol period</w:t>
            </w:r>
          </w:p>
          <w:p w14:paraId="6773D934"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0010   MS Trans. Offset = -5/32 of symbol period</w:t>
            </w:r>
          </w:p>
          <w:p w14:paraId="62608D96"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0011   MS Trans. Offset = -1/8 of symbol period</w:t>
            </w:r>
          </w:p>
          <w:p w14:paraId="2D2497F9"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0100   MS Trans. Offset = -3/32 of symbol period</w:t>
            </w:r>
          </w:p>
          <w:p w14:paraId="6FE6F52F"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0101   MS Trans. Offset = -1/16 of a symbol period</w:t>
            </w:r>
          </w:p>
          <w:p w14:paraId="0A590217"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0110   MS Trans. Offset = -1/32 of a symbol period</w:t>
            </w:r>
          </w:p>
          <w:p w14:paraId="13B1E322"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0111   MS Trans. Offset = 0</w:t>
            </w:r>
          </w:p>
          <w:p w14:paraId="2A633A5D" w14:textId="77777777" w:rsidR="00711444" w:rsidRPr="004D0DAA" w:rsidDel="00E6377D"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1000   MS Trans. Offset = 1/32 of a symbol period</w:t>
            </w:r>
          </w:p>
          <w:p w14:paraId="3BC2BF4D" w14:textId="77777777" w:rsidR="00711444" w:rsidRPr="004D0DAA" w:rsidDel="00E6377D"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1001   MS Trans. Offset = 1/16 of a symbol period</w:t>
            </w:r>
          </w:p>
          <w:p w14:paraId="3931CBAF" w14:textId="77777777" w:rsidR="00711444" w:rsidRPr="004D0DAA" w:rsidDel="00E6377D"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1010   MS Trans. Offset = 3/32 of a symbol period</w:t>
            </w:r>
          </w:p>
          <w:p w14:paraId="465FC2D4" w14:textId="77777777" w:rsidR="00711444" w:rsidRPr="004D0DAA" w:rsidDel="00E6377D"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1011   MS Trans. Offset = 1/8 of a symbol period</w:t>
            </w:r>
          </w:p>
          <w:p w14:paraId="62C21914"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1100   MS Trans. Offset = 5/32 of symbol period</w:t>
            </w:r>
          </w:p>
          <w:p w14:paraId="4B48FAD8"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1101   MS Trans. Offset = 3/16 of symbol period</w:t>
            </w:r>
          </w:p>
          <w:p w14:paraId="49CBFD7F"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1110   MS Trans. Offset = 7/32 of symbol period</w:t>
            </w:r>
          </w:p>
          <w:p w14:paraId="31C8C07D" w14:textId="77777777" w:rsidR="00711444" w:rsidRPr="004D0DAA" w:rsidRDefault="00711444" w:rsidP="00AA2A4C">
            <w:pPr>
              <w:tabs>
                <w:tab w:val="left" w:pos="2552"/>
                <w:tab w:val="left" w:pos="3856"/>
                <w:tab w:val="left" w:pos="5216"/>
                <w:tab w:val="left" w:pos="6464"/>
                <w:tab w:val="left" w:pos="7768"/>
                <w:tab w:val="left" w:pos="9072"/>
                <w:tab w:val="left" w:pos="9639"/>
              </w:tabs>
              <w:spacing w:after="0"/>
              <w:rPr>
                <w:rFonts w:ascii="Courier New" w:hAnsi="Courier New" w:cs="Courier New"/>
                <w:sz w:val="16"/>
                <w:szCs w:val="16"/>
                <w:lang w:eastAsia="ja-JP"/>
              </w:rPr>
            </w:pPr>
            <w:r w:rsidRPr="004D0DAA">
              <w:rPr>
                <w:rFonts w:ascii="Courier New" w:hAnsi="Courier New" w:cs="Courier New"/>
                <w:sz w:val="16"/>
                <w:szCs w:val="16"/>
                <w:lang w:eastAsia="ja-JP"/>
              </w:rPr>
              <w:t>1111   MS Trans. Offset = 1/4 of symbol period</w:t>
            </w:r>
          </w:p>
        </w:tc>
      </w:tr>
    </w:tbl>
    <w:p w14:paraId="2E5A9479" w14:textId="77777777" w:rsidR="00711444" w:rsidRPr="004D0DAA" w:rsidRDefault="00711444" w:rsidP="00711444"/>
    <w:p w14:paraId="63FEA62B" w14:textId="77777777" w:rsidR="00711444" w:rsidRPr="004D0DAA" w:rsidRDefault="00711444" w:rsidP="00711444">
      <w:pPr>
        <w:pStyle w:val="Heading3"/>
        <w:keepNext w:val="0"/>
        <w:keepLines w:val="0"/>
      </w:pPr>
      <w:bookmarkStart w:id="611" w:name="_Toc516669789"/>
      <w:r w:rsidRPr="004D0DAA">
        <w:t>10.4.34 Random ID</w:t>
      </w:r>
      <w:bookmarkEnd w:id="611"/>
    </w:p>
    <w:p w14:paraId="3B39B303" w14:textId="77777777" w:rsidR="00711444" w:rsidRPr="004D0DAA" w:rsidRDefault="00711444" w:rsidP="00711444">
      <w:r w:rsidRPr="004D0DAA">
        <w:t xml:space="preserve">When the radio access part of the MTA procedure is performed using the RLC Data Block method the 2 octets immediately following the octet that with the 4 bit “MS Sync Accuracy” field and 4 bit “MS Transmission Offset” field contain the “Random ID” field (see sub-clause 10.3a.2.1 and sub-clause 10.3a.2.2). </w:t>
      </w:r>
      <w:r w:rsidRPr="004D0DAA">
        <w:rPr>
          <w:noProof/>
        </w:rPr>
        <w:t xml:space="preserve">The “Random ID” value sent by a MS performing the radio access part of the MTA procedure is selected from the set of the Random ID values provided by the </w:t>
      </w:r>
      <w:r w:rsidRPr="004D0DAA">
        <w:t>RRLP Multilateration Timing Advance Request message (see 3GPP TS 44.031). Each Random ID value provided by the RRLP Multilateration Timing Advance Request message can only be used in one cell used during the MTA procedure.</w:t>
      </w:r>
    </w:p>
    <w:p w14:paraId="2F954971" w14:textId="77777777" w:rsidR="00711444" w:rsidRPr="004D0DAA" w:rsidRDefault="00711444" w:rsidP="00711444">
      <w:pPr>
        <w:pStyle w:val="Heading3"/>
      </w:pPr>
      <w:bookmarkStart w:id="612" w:name="_Toc516669790"/>
      <w:r w:rsidRPr="004D0DAA">
        <w:lastRenderedPageBreak/>
        <w:t>10.4.35</w:t>
      </w:r>
      <w:r w:rsidRPr="004D0DAA">
        <w:tab/>
        <w:t>Downlink Coverage Class (DLCC)</w:t>
      </w:r>
      <w:bookmarkEnd w:id="612"/>
    </w:p>
    <w:p w14:paraId="0D2F353E" w14:textId="77777777" w:rsidR="00711444" w:rsidRPr="004D0DAA" w:rsidRDefault="00711444" w:rsidP="00711444">
      <w:pPr>
        <w:keepNext/>
      </w:pPr>
      <w:r w:rsidRPr="004D0DAA">
        <w:t>An EC TBF established with uplink coverage class CC5 shall include  a 2 bit field in the uplink RLC data block header to signal the estimated downlink Coverage Class, see 3GPP TS 43.064.</w:t>
      </w:r>
    </w:p>
    <w:p w14:paraId="671A400C" w14:textId="77777777" w:rsidR="00711444" w:rsidRPr="004D0DAA" w:rsidRDefault="00711444" w:rsidP="00711444">
      <w:pPr>
        <w:pStyle w:val="TH"/>
      </w:pPr>
      <w:r w:rsidRPr="004D0DAA">
        <w:t xml:space="preserve">Table 10.4.30.1: DLCC field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81"/>
        <w:gridCol w:w="3897"/>
      </w:tblGrid>
      <w:tr w:rsidR="00711444" w:rsidRPr="004D0DAA" w14:paraId="18E964BD"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7517F2DC" w14:textId="77777777" w:rsidR="00711444" w:rsidRPr="004D0DAA" w:rsidRDefault="00711444" w:rsidP="00AA2A4C">
            <w:pPr>
              <w:pStyle w:val="TAH"/>
              <w:rPr>
                <w:lang w:eastAsia="en-US"/>
              </w:rPr>
            </w:pPr>
            <w:r w:rsidRPr="004D0DAA">
              <w:rPr>
                <w:lang w:eastAsia="en-US"/>
              </w:rPr>
              <w:t>bits</w:t>
            </w:r>
            <w:r w:rsidRPr="004D0DAA">
              <w:rPr>
                <w:lang w:eastAsia="en-US"/>
              </w:rPr>
              <w:br/>
              <w:t>2 1</w:t>
            </w:r>
          </w:p>
        </w:tc>
        <w:tc>
          <w:tcPr>
            <w:tcW w:w="3897" w:type="dxa"/>
            <w:tcBorders>
              <w:top w:val="single" w:sz="4" w:space="0" w:color="auto"/>
              <w:left w:val="single" w:sz="4" w:space="0" w:color="auto"/>
              <w:bottom w:val="single" w:sz="4" w:space="0" w:color="auto"/>
              <w:right w:val="single" w:sz="4" w:space="0" w:color="auto"/>
            </w:tcBorders>
          </w:tcPr>
          <w:p w14:paraId="32CCCE58" w14:textId="77777777" w:rsidR="00711444" w:rsidRPr="004D0DAA" w:rsidRDefault="00711444" w:rsidP="00AA2A4C">
            <w:pPr>
              <w:pStyle w:val="TAH"/>
              <w:rPr>
                <w:lang w:eastAsia="en-US"/>
              </w:rPr>
            </w:pPr>
            <w:r w:rsidRPr="004D0DAA">
              <w:rPr>
                <w:lang w:eastAsia="en-US"/>
              </w:rPr>
              <w:t>DLCC</w:t>
            </w:r>
          </w:p>
          <w:p w14:paraId="7614D983" w14:textId="77777777" w:rsidR="00711444" w:rsidRPr="004D0DAA" w:rsidRDefault="00711444" w:rsidP="00AA2A4C">
            <w:pPr>
              <w:pStyle w:val="TAL"/>
              <w:rPr>
                <w:lang w:eastAsia="en-US"/>
              </w:rPr>
            </w:pPr>
          </w:p>
        </w:tc>
      </w:tr>
      <w:tr w:rsidR="00711444" w:rsidRPr="004D0DAA" w14:paraId="6691787A"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4CCA5ABC" w14:textId="77777777" w:rsidR="00711444" w:rsidRPr="004D0DAA" w:rsidRDefault="00711444" w:rsidP="00AA2A4C">
            <w:pPr>
              <w:pStyle w:val="TAC"/>
              <w:rPr>
                <w:lang w:eastAsia="en-US"/>
              </w:rPr>
            </w:pPr>
            <w:r w:rsidRPr="004D0DAA">
              <w:rPr>
                <w:lang w:eastAsia="en-US"/>
              </w:rPr>
              <w:t>0 0</w:t>
            </w:r>
          </w:p>
        </w:tc>
        <w:tc>
          <w:tcPr>
            <w:tcW w:w="3897" w:type="dxa"/>
            <w:tcBorders>
              <w:top w:val="single" w:sz="4" w:space="0" w:color="auto"/>
              <w:left w:val="single" w:sz="4" w:space="0" w:color="auto"/>
              <w:bottom w:val="single" w:sz="4" w:space="0" w:color="auto"/>
              <w:right w:val="single" w:sz="4" w:space="0" w:color="auto"/>
            </w:tcBorders>
            <w:hideMark/>
          </w:tcPr>
          <w:p w14:paraId="0A07C15B" w14:textId="77777777" w:rsidR="00711444" w:rsidRPr="004D0DAA" w:rsidRDefault="00711444" w:rsidP="00AA2A4C">
            <w:pPr>
              <w:pStyle w:val="TAL"/>
              <w:rPr>
                <w:lang w:eastAsia="en-US"/>
              </w:rPr>
            </w:pPr>
            <w:r w:rsidRPr="004D0DAA">
              <w:rPr>
                <w:lang w:eastAsia="en-US"/>
              </w:rPr>
              <w:t>DL CC4</w:t>
            </w:r>
          </w:p>
        </w:tc>
      </w:tr>
      <w:tr w:rsidR="00711444" w:rsidRPr="004D0DAA" w14:paraId="78DF32BB"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75C7D7E7" w14:textId="77777777" w:rsidR="00711444" w:rsidRPr="004D0DAA" w:rsidRDefault="00711444" w:rsidP="00AA2A4C">
            <w:pPr>
              <w:pStyle w:val="TAC"/>
              <w:rPr>
                <w:lang w:eastAsia="en-US"/>
              </w:rPr>
            </w:pPr>
            <w:r w:rsidRPr="004D0DAA">
              <w:rPr>
                <w:lang w:eastAsia="en-US"/>
              </w:rPr>
              <w:t>0 1</w:t>
            </w:r>
          </w:p>
        </w:tc>
        <w:tc>
          <w:tcPr>
            <w:tcW w:w="3897" w:type="dxa"/>
            <w:tcBorders>
              <w:top w:val="single" w:sz="4" w:space="0" w:color="auto"/>
              <w:left w:val="single" w:sz="4" w:space="0" w:color="auto"/>
              <w:bottom w:val="single" w:sz="4" w:space="0" w:color="auto"/>
              <w:right w:val="single" w:sz="4" w:space="0" w:color="auto"/>
            </w:tcBorders>
            <w:hideMark/>
          </w:tcPr>
          <w:p w14:paraId="0EB2B53A" w14:textId="77777777" w:rsidR="00711444" w:rsidRPr="004D0DAA" w:rsidRDefault="00711444" w:rsidP="00AA2A4C">
            <w:pPr>
              <w:pStyle w:val="TAL"/>
              <w:rPr>
                <w:lang w:eastAsia="en-US"/>
              </w:rPr>
            </w:pPr>
            <w:r w:rsidRPr="004D0DAA">
              <w:rPr>
                <w:lang w:eastAsia="en-US"/>
              </w:rPr>
              <w:t>DL CC3</w:t>
            </w:r>
          </w:p>
        </w:tc>
      </w:tr>
      <w:tr w:rsidR="00711444" w:rsidRPr="004D0DAA" w14:paraId="4EBF3AC3"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25AA26C6" w14:textId="77777777" w:rsidR="00711444" w:rsidRPr="004D0DAA" w:rsidRDefault="00711444" w:rsidP="00AA2A4C">
            <w:pPr>
              <w:pStyle w:val="TAC"/>
              <w:rPr>
                <w:lang w:eastAsia="en-US"/>
              </w:rPr>
            </w:pPr>
            <w:r w:rsidRPr="004D0DAA">
              <w:rPr>
                <w:lang w:eastAsia="en-US"/>
              </w:rPr>
              <w:t>1 0</w:t>
            </w:r>
          </w:p>
        </w:tc>
        <w:tc>
          <w:tcPr>
            <w:tcW w:w="3897" w:type="dxa"/>
            <w:tcBorders>
              <w:top w:val="single" w:sz="4" w:space="0" w:color="auto"/>
              <w:left w:val="single" w:sz="4" w:space="0" w:color="auto"/>
              <w:bottom w:val="single" w:sz="4" w:space="0" w:color="auto"/>
              <w:right w:val="single" w:sz="4" w:space="0" w:color="auto"/>
            </w:tcBorders>
            <w:hideMark/>
          </w:tcPr>
          <w:p w14:paraId="0B9E30B5" w14:textId="77777777" w:rsidR="00711444" w:rsidRPr="004D0DAA" w:rsidRDefault="00711444" w:rsidP="00AA2A4C">
            <w:pPr>
              <w:pStyle w:val="TAL"/>
              <w:rPr>
                <w:lang w:eastAsia="en-US"/>
              </w:rPr>
            </w:pPr>
            <w:r w:rsidRPr="004D0DAA">
              <w:rPr>
                <w:lang w:eastAsia="en-US"/>
              </w:rPr>
              <w:t>DL CC2</w:t>
            </w:r>
          </w:p>
        </w:tc>
      </w:tr>
      <w:tr w:rsidR="00711444" w:rsidRPr="004D0DAA" w14:paraId="05613CD8" w14:textId="77777777" w:rsidTr="00AA2A4C">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193E2EB9" w14:textId="77777777" w:rsidR="00711444" w:rsidRPr="004D0DAA" w:rsidRDefault="00711444" w:rsidP="00AA2A4C">
            <w:pPr>
              <w:pStyle w:val="TAC"/>
              <w:rPr>
                <w:lang w:eastAsia="en-US"/>
              </w:rPr>
            </w:pPr>
            <w:r w:rsidRPr="004D0DAA">
              <w:rPr>
                <w:lang w:eastAsia="en-US"/>
              </w:rPr>
              <w:t>1 1</w:t>
            </w:r>
          </w:p>
        </w:tc>
        <w:tc>
          <w:tcPr>
            <w:tcW w:w="3897" w:type="dxa"/>
            <w:tcBorders>
              <w:top w:val="single" w:sz="4" w:space="0" w:color="auto"/>
              <w:left w:val="single" w:sz="4" w:space="0" w:color="auto"/>
              <w:bottom w:val="single" w:sz="4" w:space="0" w:color="auto"/>
              <w:right w:val="single" w:sz="4" w:space="0" w:color="auto"/>
            </w:tcBorders>
            <w:hideMark/>
          </w:tcPr>
          <w:p w14:paraId="0193278F" w14:textId="77777777" w:rsidR="00711444" w:rsidRPr="004D0DAA" w:rsidRDefault="00711444" w:rsidP="00AA2A4C">
            <w:pPr>
              <w:pStyle w:val="TAL"/>
              <w:rPr>
                <w:lang w:eastAsia="en-US"/>
              </w:rPr>
            </w:pPr>
            <w:r w:rsidRPr="004D0DAA">
              <w:rPr>
                <w:lang w:eastAsia="en-US"/>
              </w:rPr>
              <w:t>DL CC1</w:t>
            </w:r>
          </w:p>
        </w:tc>
      </w:tr>
      <w:tr w:rsidR="00711444" w:rsidRPr="004D0DAA" w14:paraId="71C309B1" w14:textId="77777777" w:rsidTr="00AA2A4C">
        <w:trPr>
          <w:cantSplit/>
          <w:jc w:val="center"/>
        </w:trPr>
        <w:tc>
          <w:tcPr>
            <w:tcW w:w="4678" w:type="dxa"/>
            <w:gridSpan w:val="2"/>
            <w:tcBorders>
              <w:top w:val="single" w:sz="4" w:space="0" w:color="auto"/>
              <w:left w:val="single" w:sz="4" w:space="0" w:color="auto"/>
              <w:bottom w:val="single" w:sz="4" w:space="0" w:color="auto"/>
              <w:right w:val="single" w:sz="4" w:space="0" w:color="auto"/>
            </w:tcBorders>
            <w:hideMark/>
          </w:tcPr>
          <w:p w14:paraId="7E67DE2B" w14:textId="77777777" w:rsidR="00711444" w:rsidRPr="004D0DAA" w:rsidRDefault="00711444" w:rsidP="00AA2A4C">
            <w:pPr>
              <w:pStyle w:val="TAL"/>
              <w:rPr>
                <w:lang w:eastAsia="en-US"/>
              </w:rPr>
            </w:pPr>
            <w:r w:rsidRPr="004D0DAA">
              <w:rPr>
                <w:lang w:eastAsia="en-US"/>
              </w:rPr>
              <w:t>NOTE:</w:t>
            </w:r>
            <w:r w:rsidRPr="004D0DAA">
              <w:rPr>
                <w:lang w:eastAsia="en-US"/>
              </w:rPr>
              <w:tab/>
              <w:t>The bit numbering is relative to the field position.</w:t>
            </w:r>
          </w:p>
        </w:tc>
      </w:tr>
    </w:tbl>
    <w:p w14:paraId="6257C5CF" w14:textId="77777777" w:rsidR="00711444" w:rsidRPr="004D0DAA" w:rsidRDefault="00711444" w:rsidP="00711444"/>
    <w:p w14:paraId="5C4C6F70" w14:textId="77777777" w:rsidR="00711444" w:rsidRPr="004D0DAA" w:rsidRDefault="00711444" w:rsidP="00711444">
      <w:pPr>
        <w:pStyle w:val="Heading3"/>
      </w:pPr>
      <w:bookmarkStart w:id="613" w:name="_Toc516669791"/>
      <w:r w:rsidRPr="004D0DAA">
        <w:t>10.4.36</w:t>
      </w:r>
      <w:r w:rsidRPr="004D0DAA">
        <w:tab/>
        <w:t>DCN-ID field</w:t>
      </w:r>
      <w:bookmarkEnd w:id="613"/>
    </w:p>
    <w:p w14:paraId="7B5C0256" w14:textId="77777777" w:rsidR="00711444" w:rsidRPr="004D0DAA" w:rsidRDefault="00711444" w:rsidP="00711444">
      <w:r w:rsidRPr="004D0DAA">
        <w:t>This field contains the DCN-ID value (as indicated to the RLC/MAC layer by upper layers) sent from a mobile station to a BSS when both the mobile station and BSS support MS assisted Dedicated Core Network selection, see 3GPP TS 24.008 [51] and TS 3GPP TS 23.401 [54].</w:t>
      </w:r>
    </w:p>
    <w:p w14:paraId="13D2979A" w14:textId="77777777" w:rsidR="00711444" w:rsidRPr="004D0DAA" w:rsidRDefault="00711444" w:rsidP="00711444">
      <w:pPr>
        <w:pStyle w:val="TH"/>
      </w:pPr>
      <w:r w:rsidRPr="004D0DAA">
        <w:t xml:space="preserve">Table 10.4.30.1: DCN-ID field </w:t>
      </w:r>
    </w:p>
    <w:tbl>
      <w:tblPr>
        <w:tblW w:w="0" w:type="auto"/>
        <w:tblInd w:w="1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3686"/>
      </w:tblGrid>
      <w:tr w:rsidR="00711444" w:rsidRPr="004D0DAA" w14:paraId="222A6844" w14:textId="77777777" w:rsidTr="00AA2A4C">
        <w:tc>
          <w:tcPr>
            <w:tcW w:w="1586" w:type="dxa"/>
            <w:shd w:val="clear" w:color="auto" w:fill="auto"/>
          </w:tcPr>
          <w:p w14:paraId="110EBA40" w14:textId="77777777" w:rsidR="00711444" w:rsidRPr="004D0DAA" w:rsidRDefault="00711444" w:rsidP="00AA2A4C">
            <w:pPr>
              <w:pStyle w:val="TH"/>
              <w:rPr>
                <w:rFonts w:cs="Arial"/>
                <w:noProof/>
                <w:lang w:eastAsia="en-US"/>
              </w:rPr>
            </w:pPr>
          </w:p>
        </w:tc>
        <w:tc>
          <w:tcPr>
            <w:tcW w:w="3686" w:type="dxa"/>
            <w:shd w:val="clear" w:color="auto" w:fill="auto"/>
          </w:tcPr>
          <w:p w14:paraId="7D0BF1C7" w14:textId="77777777" w:rsidR="00711444" w:rsidRPr="004D0DAA" w:rsidRDefault="00711444" w:rsidP="00AA2A4C">
            <w:pPr>
              <w:spacing w:after="0"/>
              <w:jc w:val="center"/>
              <w:rPr>
                <w:rFonts w:ascii="Arial" w:hAnsi="Arial" w:cs="Arial"/>
                <w:b/>
                <w:noProof/>
              </w:rPr>
            </w:pPr>
            <w:r w:rsidRPr="004D0DAA">
              <w:rPr>
                <w:rFonts w:ascii="Arial" w:hAnsi="Arial" w:cs="Arial"/>
                <w:b/>
                <w:noProof/>
              </w:rPr>
              <w:t>Bits</w:t>
            </w:r>
          </w:p>
          <w:p w14:paraId="4E4758E7" w14:textId="77777777" w:rsidR="00711444" w:rsidRPr="004D0DAA" w:rsidRDefault="00711444" w:rsidP="00AA2A4C">
            <w:pPr>
              <w:spacing w:after="0"/>
              <w:jc w:val="center"/>
              <w:rPr>
                <w:rFonts w:ascii="Arial" w:hAnsi="Arial" w:cs="Arial"/>
                <w:noProof/>
              </w:rPr>
            </w:pPr>
            <w:r w:rsidRPr="004D0DAA">
              <w:rPr>
                <w:rFonts w:ascii="Arial" w:hAnsi="Arial" w:cs="Arial"/>
                <w:b/>
                <w:noProof/>
              </w:rPr>
              <w:t>8 7 6 5 4 3 2 1</w:t>
            </w:r>
          </w:p>
        </w:tc>
      </w:tr>
      <w:tr w:rsidR="00711444" w:rsidRPr="004D0DAA" w14:paraId="0A5C792F" w14:textId="77777777" w:rsidTr="00AA2A4C">
        <w:tc>
          <w:tcPr>
            <w:tcW w:w="1586" w:type="dxa"/>
            <w:shd w:val="clear" w:color="auto" w:fill="auto"/>
          </w:tcPr>
          <w:p w14:paraId="4FEEC415" w14:textId="77777777" w:rsidR="00711444" w:rsidRPr="004D0DAA" w:rsidRDefault="00711444" w:rsidP="00AA2A4C">
            <w:pPr>
              <w:spacing w:after="0"/>
              <w:rPr>
                <w:rFonts w:ascii="Arial" w:hAnsi="Arial" w:cs="Arial"/>
                <w:b/>
                <w:noProof/>
              </w:rPr>
            </w:pPr>
            <w:r w:rsidRPr="004D0DAA">
              <w:rPr>
                <w:rFonts w:ascii="Arial" w:hAnsi="Arial" w:cs="Arial"/>
                <w:b/>
                <w:noProof/>
              </w:rPr>
              <w:t>Octet 1</w:t>
            </w:r>
          </w:p>
        </w:tc>
        <w:tc>
          <w:tcPr>
            <w:tcW w:w="3686" w:type="dxa"/>
            <w:shd w:val="clear" w:color="auto" w:fill="auto"/>
          </w:tcPr>
          <w:p w14:paraId="15E52921" w14:textId="77777777" w:rsidR="00711444" w:rsidRPr="004D0DAA" w:rsidRDefault="00711444" w:rsidP="00AA2A4C">
            <w:pPr>
              <w:spacing w:after="0"/>
              <w:jc w:val="center"/>
              <w:rPr>
                <w:rFonts w:ascii="Arial" w:hAnsi="Arial" w:cs="Arial"/>
                <w:noProof/>
              </w:rPr>
            </w:pPr>
            <w:r w:rsidRPr="004D0DAA">
              <w:rPr>
                <w:rFonts w:ascii="Arial" w:hAnsi="Arial" w:cs="Arial"/>
                <w:noProof/>
              </w:rPr>
              <w:t>8 least most significant bits</w:t>
            </w:r>
          </w:p>
          <w:p w14:paraId="1367A61E" w14:textId="77777777" w:rsidR="00711444" w:rsidRPr="004D0DAA" w:rsidRDefault="00711444" w:rsidP="00AA2A4C">
            <w:pPr>
              <w:spacing w:after="0"/>
              <w:jc w:val="center"/>
              <w:rPr>
                <w:rFonts w:ascii="Arial" w:hAnsi="Arial" w:cs="Arial"/>
                <w:noProof/>
              </w:rPr>
            </w:pPr>
            <w:r w:rsidRPr="004D0DAA">
              <w:rPr>
                <w:rFonts w:ascii="Arial" w:hAnsi="Arial" w:cs="Arial"/>
                <w:noProof/>
              </w:rPr>
              <w:t>(8 7 6 5 4 3 2 1)</w:t>
            </w:r>
          </w:p>
        </w:tc>
      </w:tr>
      <w:tr w:rsidR="00711444" w:rsidRPr="004D0DAA" w14:paraId="0D2EF9A7" w14:textId="77777777" w:rsidTr="00AA2A4C">
        <w:tc>
          <w:tcPr>
            <w:tcW w:w="1586" w:type="dxa"/>
            <w:shd w:val="clear" w:color="auto" w:fill="auto"/>
          </w:tcPr>
          <w:p w14:paraId="18A1C0F7" w14:textId="77777777" w:rsidR="00711444" w:rsidRPr="004D0DAA" w:rsidRDefault="00711444" w:rsidP="00AA2A4C">
            <w:pPr>
              <w:spacing w:after="0"/>
              <w:rPr>
                <w:rFonts w:ascii="Arial" w:hAnsi="Arial" w:cs="Arial"/>
                <w:b/>
                <w:noProof/>
              </w:rPr>
            </w:pPr>
            <w:r w:rsidRPr="004D0DAA">
              <w:rPr>
                <w:rFonts w:ascii="Arial" w:hAnsi="Arial" w:cs="Arial"/>
                <w:b/>
                <w:noProof/>
              </w:rPr>
              <w:t>Octet 2</w:t>
            </w:r>
          </w:p>
        </w:tc>
        <w:tc>
          <w:tcPr>
            <w:tcW w:w="3686" w:type="dxa"/>
            <w:shd w:val="clear" w:color="auto" w:fill="auto"/>
          </w:tcPr>
          <w:p w14:paraId="107482C0" w14:textId="77777777" w:rsidR="00711444" w:rsidRPr="004D0DAA" w:rsidRDefault="00711444" w:rsidP="00AA2A4C">
            <w:pPr>
              <w:spacing w:after="0"/>
              <w:jc w:val="center"/>
              <w:rPr>
                <w:rFonts w:ascii="Arial" w:hAnsi="Arial" w:cs="Arial"/>
                <w:noProof/>
              </w:rPr>
            </w:pPr>
            <w:r w:rsidRPr="004D0DAA">
              <w:rPr>
                <w:rFonts w:ascii="Arial" w:hAnsi="Arial" w:cs="Arial"/>
                <w:noProof/>
              </w:rPr>
              <w:t>8 most significant bits</w:t>
            </w:r>
          </w:p>
          <w:p w14:paraId="60C8AA02" w14:textId="77777777" w:rsidR="00711444" w:rsidRPr="004D0DAA" w:rsidRDefault="00711444" w:rsidP="00AA2A4C">
            <w:pPr>
              <w:spacing w:after="0"/>
              <w:jc w:val="center"/>
              <w:rPr>
                <w:rFonts w:ascii="Arial" w:hAnsi="Arial" w:cs="Arial"/>
                <w:noProof/>
              </w:rPr>
            </w:pPr>
            <w:r w:rsidRPr="004D0DAA">
              <w:rPr>
                <w:rFonts w:ascii="Arial" w:hAnsi="Arial" w:cs="Arial"/>
                <w:noProof/>
              </w:rPr>
              <w:t>(16 15 14 13 12 11 10 9)</w:t>
            </w:r>
          </w:p>
        </w:tc>
      </w:tr>
    </w:tbl>
    <w:p w14:paraId="5E2C36DC" w14:textId="77777777" w:rsidR="00711444" w:rsidRPr="004D0DAA" w:rsidRDefault="00711444" w:rsidP="00711444"/>
    <w:p w14:paraId="614182CA" w14:textId="77777777" w:rsidR="003A27B2" w:rsidRPr="004D0DAA" w:rsidRDefault="003A27B2" w:rsidP="003A27B2">
      <w:pPr>
        <w:pStyle w:val="Heading3"/>
      </w:pPr>
      <w:bookmarkStart w:id="614" w:name="_Toc516669792"/>
      <w:r w:rsidRPr="004D0DAA">
        <w:t>10.4.37</w:t>
      </w:r>
      <w:r w:rsidRPr="004D0DAA">
        <w:tab/>
        <w:t>MTA Signature</w:t>
      </w:r>
      <w:bookmarkEnd w:id="614"/>
    </w:p>
    <w:p w14:paraId="29437CAA" w14:textId="77777777" w:rsidR="003A27B2" w:rsidRPr="004D0DAA" w:rsidRDefault="003A27B2" w:rsidP="003A27B2">
      <w:pPr>
        <w:jc w:val="both"/>
      </w:pPr>
      <w:r w:rsidRPr="004D0DAA">
        <w:t>When the radio access part of the MTA procedure is performed using the RLC Data Block method, a four octet MTA signature is sent from the mobile station to the BSS if requested by the SMLC (see 3GPP TS 44.031).</w:t>
      </w:r>
      <w:r w:rsidRPr="004D0DAA" w:rsidDel="006221DA">
        <w:t xml:space="preserve"> </w:t>
      </w:r>
      <w:r w:rsidRPr="004D0DAA">
        <w:t>The mobile derives this based on cell-identifier and MS transmission offset parameters sent in all successful MTA attempts.</w:t>
      </w:r>
    </w:p>
    <w:p w14:paraId="1D125436" w14:textId="77777777" w:rsidR="003A27B2" w:rsidRPr="004D0DAA" w:rsidRDefault="003A27B2" w:rsidP="003A27B2">
      <w:pPr>
        <w:pStyle w:val="Heading3"/>
      </w:pPr>
      <w:bookmarkStart w:id="615" w:name="_Toc516669793"/>
      <w:r w:rsidRPr="004D0DAA">
        <w:t>10.4.38</w:t>
      </w:r>
      <w:r w:rsidRPr="004D0DAA">
        <w:tab/>
        <w:t>Final MTA Access (FMA)</w:t>
      </w:r>
      <w:bookmarkEnd w:id="615"/>
    </w:p>
    <w:p w14:paraId="633555E9" w14:textId="77777777" w:rsidR="003A27B2" w:rsidRPr="004D0DAA" w:rsidRDefault="003A27B2" w:rsidP="003A27B2">
      <w:r w:rsidRPr="004D0DAA">
        <w:t>This is field is set to ‘1’ when the RLC data block is transmitted in conjunction with the MS performing the last instance of the radio access part of the MTA procedure using the RLC Data Block method where enhanced security is provided using the BSS Duplication Detection Method. Otherwise, it is set to ‘0’.</w:t>
      </w:r>
    </w:p>
    <w:p w14:paraId="102DB1A0" w14:textId="77777777" w:rsidR="003A27B2" w:rsidRPr="004D0DAA" w:rsidRDefault="003A27B2" w:rsidP="003A27B2">
      <w:pPr>
        <w:pStyle w:val="Heading3"/>
      </w:pPr>
      <w:bookmarkStart w:id="616" w:name="_Toc516669794"/>
      <w:r w:rsidRPr="004D0DAA">
        <w:lastRenderedPageBreak/>
        <w:t>10.4.39</w:t>
      </w:r>
      <w:r w:rsidRPr="004D0DAA">
        <w:tab/>
        <w:t>MTA Report Instance</w:t>
      </w:r>
      <w:bookmarkEnd w:id="616"/>
    </w:p>
    <w:p w14:paraId="440402C5" w14:textId="77777777" w:rsidR="003A27B2" w:rsidRPr="004D0DAA" w:rsidRDefault="003A27B2" w:rsidP="003A27B2">
      <w:pPr>
        <w:keepNext/>
      </w:pPr>
      <w:r w:rsidRPr="004D0DAA">
        <w:t xml:space="preserve">This is field is set according to the instance of the radio access part of the MTA procedure performed using the RLC Data Block method where enhanced security is provided using the BSS Duplication Detection Method. It is 3 bits long and is coded as shown in Table 10.4.39.1. </w:t>
      </w:r>
    </w:p>
    <w:p w14:paraId="68EB0985" w14:textId="77777777" w:rsidR="003A27B2" w:rsidRPr="004D0DAA" w:rsidRDefault="003A27B2" w:rsidP="003A27B2">
      <w:pPr>
        <w:pStyle w:val="TH"/>
      </w:pPr>
      <w:r w:rsidRPr="004D0DAA">
        <w:t xml:space="preserve">Table 10.4.39.1: MTA Report Instance field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81"/>
        <w:gridCol w:w="3897"/>
      </w:tblGrid>
      <w:tr w:rsidR="003A27B2" w:rsidRPr="004D0DAA" w14:paraId="034A8A62"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1BD917DF" w14:textId="77777777" w:rsidR="003A27B2" w:rsidRPr="004D0DAA" w:rsidRDefault="003A27B2" w:rsidP="006C6BCB">
            <w:pPr>
              <w:pStyle w:val="TAH"/>
            </w:pPr>
            <w:r w:rsidRPr="004D0DAA">
              <w:t>bits</w:t>
            </w:r>
            <w:r w:rsidRPr="004D0DAA">
              <w:br/>
              <w:t>3 2 1</w:t>
            </w:r>
          </w:p>
        </w:tc>
        <w:tc>
          <w:tcPr>
            <w:tcW w:w="3897" w:type="dxa"/>
            <w:tcBorders>
              <w:top w:val="single" w:sz="4" w:space="0" w:color="auto"/>
              <w:left w:val="single" w:sz="4" w:space="0" w:color="auto"/>
              <w:bottom w:val="single" w:sz="4" w:space="0" w:color="auto"/>
              <w:right w:val="single" w:sz="4" w:space="0" w:color="auto"/>
            </w:tcBorders>
          </w:tcPr>
          <w:p w14:paraId="727596B5" w14:textId="77777777" w:rsidR="003A27B2" w:rsidRPr="004D0DAA" w:rsidRDefault="003A27B2" w:rsidP="006C6BCB">
            <w:pPr>
              <w:pStyle w:val="TAH"/>
            </w:pPr>
            <w:r w:rsidRPr="004D0DAA">
              <w:t>MTA Report Instance</w:t>
            </w:r>
          </w:p>
          <w:p w14:paraId="24238FA6" w14:textId="77777777" w:rsidR="003A27B2" w:rsidRPr="004D0DAA" w:rsidRDefault="003A27B2" w:rsidP="006C6BCB">
            <w:pPr>
              <w:pStyle w:val="TAL"/>
            </w:pPr>
          </w:p>
        </w:tc>
      </w:tr>
      <w:tr w:rsidR="003A27B2" w:rsidRPr="004D0DAA" w14:paraId="35153E3E"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5DAB721E" w14:textId="77777777" w:rsidR="003A27B2" w:rsidRPr="004D0DAA" w:rsidRDefault="003A27B2" w:rsidP="006C6BCB">
            <w:pPr>
              <w:pStyle w:val="TAC"/>
            </w:pPr>
            <w:r w:rsidRPr="004D0DAA">
              <w:t>0 0 0</w:t>
            </w:r>
          </w:p>
        </w:tc>
        <w:tc>
          <w:tcPr>
            <w:tcW w:w="3897" w:type="dxa"/>
            <w:tcBorders>
              <w:top w:val="single" w:sz="4" w:space="0" w:color="auto"/>
              <w:left w:val="single" w:sz="4" w:space="0" w:color="auto"/>
              <w:bottom w:val="single" w:sz="4" w:space="0" w:color="auto"/>
              <w:right w:val="single" w:sz="4" w:space="0" w:color="auto"/>
            </w:tcBorders>
            <w:hideMark/>
          </w:tcPr>
          <w:p w14:paraId="1545E2AA" w14:textId="77777777" w:rsidR="003A27B2" w:rsidRPr="004D0DAA" w:rsidRDefault="003A27B2" w:rsidP="006C6BCB">
            <w:pPr>
              <w:pStyle w:val="TAL"/>
            </w:pPr>
            <w:r w:rsidRPr="004D0DAA">
              <w:t>1</w:t>
            </w:r>
            <w:r w:rsidRPr="004D0DAA">
              <w:rPr>
                <w:vertAlign w:val="superscript"/>
              </w:rPr>
              <w:t>st</w:t>
            </w:r>
            <w:r w:rsidRPr="004D0DAA">
              <w:t xml:space="preserve"> instance</w:t>
            </w:r>
          </w:p>
        </w:tc>
      </w:tr>
      <w:tr w:rsidR="003A27B2" w:rsidRPr="004D0DAA" w14:paraId="79ECE770"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0B01A9FE" w14:textId="77777777" w:rsidR="003A27B2" w:rsidRPr="004D0DAA" w:rsidRDefault="003A27B2" w:rsidP="006C6BCB">
            <w:pPr>
              <w:pStyle w:val="TAC"/>
            </w:pPr>
            <w:r w:rsidRPr="004D0DAA">
              <w:t>0 0 1</w:t>
            </w:r>
          </w:p>
        </w:tc>
        <w:tc>
          <w:tcPr>
            <w:tcW w:w="3897" w:type="dxa"/>
            <w:tcBorders>
              <w:top w:val="single" w:sz="4" w:space="0" w:color="auto"/>
              <w:left w:val="single" w:sz="4" w:space="0" w:color="auto"/>
              <w:bottom w:val="single" w:sz="4" w:space="0" w:color="auto"/>
              <w:right w:val="single" w:sz="4" w:space="0" w:color="auto"/>
            </w:tcBorders>
            <w:hideMark/>
          </w:tcPr>
          <w:p w14:paraId="59E3241A" w14:textId="77777777" w:rsidR="003A27B2" w:rsidRPr="004D0DAA" w:rsidRDefault="003A27B2" w:rsidP="006C6BCB">
            <w:pPr>
              <w:pStyle w:val="TAL"/>
            </w:pPr>
            <w:r w:rsidRPr="004D0DAA">
              <w:t>2</w:t>
            </w:r>
            <w:r w:rsidRPr="004D0DAA">
              <w:rPr>
                <w:vertAlign w:val="superscript"/>
              </w:rPr>
              <w:t>nd</w:t>
            </w:r>
            <w:r w:rsidRPr="004D0DAA">
              <w:t xml:space="preserve"> instance</w:t>
            </w:r>
          </w:p>
        </w:tc>
      </w:tr>
      <w:tr w:rsidR="003A27B2" w:rsidRPr="004D0DAA" w14:paraId="453C8A71"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1077A668" w14:textId="77777777" w:rsidR="003A27B2" w:rsidRPr="004D0DAA" w:rsidRDefault="003A27B2" w:rsidP="006C6BCB">
            <w:pPr>
              <w:pStyle w:val="TAC"/>
            </w:pPr>
            <w:r w:rsidRPr="004D0DAA">
              <w:t>0 1 0</w:t>
            </w:r>
          </w:p>
        </w:tc>
        <w:tc>
          <w:tcPr>
            <w:tcW w:w="3897" w:type="dxa"/>
            <w:tcBorders>
              <w:top w:val="single" w:sz="4" w:space="0" w:color="auto"/>
              <w:left w:val="single" w:sz="4" w:space="0" w:color="auto"/>
              <w:bottom w:val="single" w:sz="4" w:space="0" w:color="auto"/>
              <w:right w:val="single" w:sz="4" w:space="0" w:color="auto"/>
            </w:tcBorders>
            <w:hideMark/>
          </w:tcPr>
          <w:p w14:paraId="59379ADA" w14:textId="77777777" w:rsidR="003A27B2" w:rsidRPr="004D0DAA" w:rsidRDefault="003A27B2" w:rsidP="006C6BCB">
            <w:pPr>
              <w:pStyle w:val="TAL"/>
            </w:pPr>
            <w:r w:rsidRPr="004D0DAA">
              <w:t>3</w:t>
            </w:r>
            <w:r w:rsidRPr="004D0DAA">
              <w:rPr>
                <w:vertAlign w:val="superscript"/>
              </w:rPr>
              <w:t>rd</w:t>
            </w:r>
            <w:r w:rsidRPr="004D0DAA">
              <w:t xml:space="preserve"> instance</w:t>
            </w:r>
          </w:p>
        </w:tc>
      </w:tr>
      <w:tr w:rsidR="003A27B2" w:rsidRPr="004D0DAA" w14:paraId="4BFABB4B"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hideMark/>
          </w:tcPr>
          <w:p w14:paraId="3E97E472" w14:textId="77777777" w:rsidR="003A27B2" w:rsidRPr="004D0DAA" w:rsidRDefault="003A27B2" w:rsidP="006C6BCB">
            <w:pPr>
              <w:pStyle w:val="TAC"/>
            </w:pPr>
            <w:r w:rsidRPr="004D0DAA">
              <w:t>0 1 1</w:t>
            </w:r>
          </w:p>
        </w:tc>
        <w:tc>
          <w:tcPr>
            <w:tcW w:w="3897" w:type="dxa"/>
            <w:tcBorders>
              <w:top w:val="single" w:sz="4" w:space="0" w:color="auto"/>
              <w:left w:val="single" w:sz="4" w:space="0" w:color="auto"/>
              <w:bottom w:val="single" w:sz="4" w:space="0" w:color="auto"/>
              <w:right w:val="single" w:sz="4" w:space="0" w:color="auto"/>
            </w:tcBorders>
            <w:hideMark/>
          </w:tcPr>
          <w:p w14:paraId="6423C99F" w14:textId="77777777" w:rsidR="003A27B2" w:rsidRPr="004D0DAA" w:rsidRDefault="003A27B2" w:rsidP="006C6BCB">
            <w:pPr>
              <w:pStyle w:val="TAL"/>
            </w:pPr>
            <w:r w:rsidRPr="004D0DAA">
              <w:t>4</w:t>
            </w:r>
            <w:r w:rsidRPr="004D0DAA">
              <w:rPr>
                <w:vertAlign w:val="superscript"/>
              </w:rPr>
              <w:t>th</w:t>
            </w:r>
            <w:r w:rsidRPr="004D0DAA">
              <w:t xml:space="preserve"> instance</w:t>
            </w:r>
          </w:p>
        </w:tc>
      </w:tr>
      <w:tr w:rsidR="003A27B2" w:rsidRPr="004D0DAA" w14:paraId="191D6035" w14:textId="77777777" w:rsidTr="006C6BCB">
        <w:trPr>
          <w:cantSplit/>
          <w:jc w:val="center"/>
        </w:trPr>
        <w:tc>
          <w:tcPr>
            <w:tcW w:w="781" w:type="dxa"/>
            <w:tcBorders>
              <w:top w:val="single" w:sz="4" w:space="0" w:color="auto"/>
              <w:left w:val="single" w:sz="4" w:space="0" w:color="auto"/>
              <w:bottom w:val="single" w:sz="4" w:space="0" w:color="auto"/>
              <w:right w:val="single" w:sz="4" w:space="0" w:color="auto"/>
            </w:tcBorders>
          </w:tcPr>
          <w:p w14:paraId="6CF0009D" w14:textId="77777777" w:rsidR="003A27B2" w:rsidRPr="004D0DAA" w:rsidRDefault="003A27B2" w:rsidP="006C6BCB">
            <w:pPr>
              <w:pStyle w:val="TAC"/>
            </w:pPr>
            <w:r w:rsidRPr="004D0DAA">
              <w:t xml:space="preserve">1 0 0 </w:t>
            </w:r>
          </w:p>
        </w:tc>
        <w:tc>
          <w:tcPr>
            <w:tcW w:w="3897" w:type="dxa"/>
            <w:tcBorders>
              <w:top w:val="single" w:sz="4" w:space="0" w:color="auto"/>
              <w:left w:val="single" w:sz="4" w:space="0" w:color="auto"/>
              <w:bottom w:val="single" w:sz="4" w:space="0" w:color="auto"/>
              <w:right w:val="single" w:sz="4" w:space="0" w:color="auto"/>
            </w:tcBorders>
          </w:tcPr>
          <w:p w14:paraId="4E54751B" w14:textId="77777777" w:rsidR="003A27B2" w:rsidRPr="004D0DAA" w:rsidRDefault="003A27B2" w:rsidP="006C6BCB">
            <w:pPr>
              <w:pStyle w:val="TAL"/>
            </w:pPr>
            <w:r w:rsidRPr="004D0DAA">
              <w:t>5</w:t>
            </w:r>
            <w:r w:rsidRPr="004D0DAA">
              <w:rPr>
                <w:vertAlign w:val="superscript"/>
              </w:rPr>
              <w:t>th</w:t>
            </w:r>
            <w:r w:rsidRPr="004D0DAA">
              <w:t xml:space="preserve"> instance</w:t>
            </w:r>
          </w:p>
        </w:tc>
      </w:tr>
      <w:tr w:rsidR="003A27B2" w:rsidRPr="004D0DAA" w14:paraId="0AE5209E" w14:textId="77777777" w:rsidTr="006C6BCB">
        <w:trPr>
          <w:cantSplit/>
          <w:jc w:val="center"/>
        </w:trPr>
        <w:tc>
          <w:tcPr>
            <w:tcW w:w="4678" w:type="dxa"/>
            <w:gridSpan w:val="2"/>
            <w:tcBorders>
              <w:top w:val="single" w:sz="4" w:space="0" w:color="auto"/>
              <w:left w:val="single" w:sz="4" w:space="0" w:color="auto"/>
              <w:bottom w:val="single" w:sz="4" w:space="0" w:color="auto"/>
              <w:right w:val="single" w:sz="4" w:space="0" w:color="auto"/>
            </w:tcBorders>
            <w:hideMark/>
          </w:tcPr>
          <w:p w14:paraId="17008B1A" w14:textId="77777777" w:rsidR="003A27B2" w:rsidRPr="004D0DAA" w:rsidRDefault="003A27B2" w:rsidP="006C6BCB">
            <w:pPr>
              <w:pStyle w:val="TAL"/>
            </w:pPr>
            <w:r w:rsidRPr="004D0DAA">
              <w:t>NOTE: All remaining values are reserved.</w:t>
            </w:r>
            <w:r w:rsidRPr="004D0DAA">
              <w:tab/>
              <w:t>The bit numbering is relative to the field position.</w:t>
            </w:r>
          </w:p>
        </w:tc>
      </w:tr>
    </w:tbl>
    <w:p w14:paraId="1320FB68" w14:textId="77777777" w:rsidR="003A27B2" w:rsidRPr="004D0DAA" w:rsidRDefault="003A27B2" w:rsidP="003A27B2">
      <w:pPr>
        <w:pStyle w:val="FP"/>
      </w:pPr>
    </w:p>
    <w:p w14:paraId="73598C7C" w14:textId="77777777" w:rsidR="00711444" w:rsidRPr="004D0DAA" w:rsidRDefault="00711444" w:rsidP="00711444">
      <w:pPr>
        <w:pStyle w:val="Heading1"/>
      </w:pPr>
      <w:bookmarkStart w:id="617" w:name="_Toc516669795"/>
      <w:r w:rsidRPr="004D0DAA">
        <w:t>11</w:t>
      </w:r>
      <w:r w:rsidRPr="004D0DAA">
        <w:tab/>
        <w:t>Message functional definitions and contents</w:t>
      </w:r>
      <w:bookmarkEnd w:id="617"/>
    </w:p>
    <w:p w14:paraId="4D6F6ABB" w14:textId="77777777" w:rsidR="00711444" w:rsidRPr="004D0DAA" w:rsidRDefault="00711444" w:rsidP="00711444">
      <w:r w:rsidRPr="004D0DAA">
        <w:t>This sub-clause defines the structure of the RLC/MAC control messages. These are non-standard L3 messages as defined in 3GPP TS 24.007. The formats for the messages are valid only for the PDCH. The format for RLC/MAC control messages for use on the CCCH are defined in 3GPP TS 44.018.</w:t>
      </w:r>
    </w:p>
    <w:p w14:paraId="465E612C" w14:textId="77777777" w:rsidR="00711444" w:rsidRPr="004D0DAA" w:rsidRDefault="00711444" w:rsidP="00711444">
      <w:r w:rsidRPr="004D0DAA">
        <w:t xml:space="preserve">The RLC/MAC control messages defined in this sub-clause may be used also on DBPSCH and SBPSCH in </w:t>
      </w:r>
      <w:r w:rsidRPr="004D0DAA">
        <w:rPr>
          <w:i/>
          <w:iCs/>
        </w:rPr>
        <w:t>Iu mode</w:t>
      </w:r>
      <w:r w:rsidRPr="004D0DAA">
        <w:t xml:space="preserve">. A subset of these messages is used exclusively in </w:t>
      </w:r>
      <w:r w:rsidRPr="004D0DAA">
        <w:rPr>
          <w:i/>
          <w:iCs/>
        </w:rPr>
        <w:t>Iu mode</w:t>
      </w:r>
      <w:r w:rsidRPr="004D0DAA">
        <w:t>. Messages belonging to that subset are labelled as "</w:t>
      </w:r>
      <w:r w:rsidRPr="004D0DAA">
        <w:rPr>
          <w:i/>
          <w:iCs/>
        </w:rPr>
        <w:t>Iu mode</w:t>
      </w:r>
      <w:r w:rsidRPr="004D0DAA">
        <w:t xml:space="preserve"> only" in this technical specification. </w:t>
      </w:r>
    </w:p>
    <w:p w14:paraId="2DC2BBA3" w14:textId="77777777" w:rsidR="00711444" w:rsidRPr="004D0DAA" w:rsidRDefault="00711444" w:rsidP="00711444">
      <w:r w:rsidRPr="004D0DAA">
        <w:t xml:space="preserve">A subset of the </w:t>
      </w:r>
      <w:r w:rsidRPr="004D0DAA">
        <w:rPr>
          <w:i/>
          <w:iCs/>
        </w:rPr>
        <w:t>Iu mode</w:t>
      </w:r>
      <w:r w:rsidRPr="004D0DAA">
        <w:t xml:space="preserve"> only messages is used exclusively on DBPSCH. These messages do not follow the general syntactical rules for the RLC/MAC control messages used on shared channels. The error handling defined for shared channels does not apply. Messages that may be sent from the network to the mobile station, and that belong to this subset, are classified as </w:t>
      </w:r>
      <w:r w:rsidRPr="004D0DAA">
        <w:rPr>
          <w:i/>
          <w:iCs/>
        </w:rPr>
        <w:t>DBPSCH messages</w:t>
      </w:r>
      <w:r w:rsidRPr="004D0DAA">
        <w:t>, see sub-clause 11.1.1.</w:t>
      </w:r>
    </w:p>
    <w:p w14:paraId="22A53036" w14:textId="77777777" w:rsidR="00711444" w:rsidRPr="004D0DAA" w:rsidRDefault="00711444" w:rsidP="00711444">
      <w:r w:rsidRPr="004D0DAA">
        <w:t>Specific RLC/MAC control messages, sent on the EC-PACCH, are used for EC TBFs.</w:t>
      </w:r>
    </w:p>
    <w:p w14:paraId="363752D9" w14:textId="77777777" w:rsidR="00711444" w:rsidRPr="004D0DAA" w:rsidRDefault="00711444" w:rsidP="00711444">
      <w:r w:rsidRPr="004D0DAA">
        <w:t>Each definition given in the present sub-clause includes:</w:t>
      </w:r>
    </w:p>
    <w:p w14:paraId="03721066" w14:textId="77777777" w:rsidR="00711444" w:rsidRPr="004D0DAA" w:rsidRDefault="00711444" w:rsidP="00711444">
      <w:pPr>
        <w:pStyle w:val="B1"/>
      </w:pPr>
      <w:r w:rsidRPr="004D0DAA">
        <w:t>-</w:t>
      </w:r>
      <w:r w:rsidRPr="004D0DAA">
        <w:tab/>
        <w:t>a brief description of the message direction and use;</w:t>
      </w:r>
    </w:p>
    <w:p w14:paraId="49EBCA0F" w14:textId="77777777" w:rsidR="00711444" w:rsidRPr="004D0DAA" w:rsidRDefault="00711444" w:rsidP="00711444">
      <w:pPr>
        <w:pStyle w:val="B1"/>
      </w:pPr>
      <w:r w:rsidRPr="004D0DAA">
        <w:t>-</w:t>
      </w:r>
      <w:r w:rsidRPr="004D0DAA">
        <w:tab/>
        <w:t>a CSN.1 description of the message information elements and fields (see CSN.1 Specification, Version 2.0). Definition of information elements may immediately follow the definition of the message. If the definition of an information element immediately follows the message definition, the information element name ends with 'struct'. Otherwise the information element name ends with 'IE' and the definition of the information element is defined in clause 12 or in 3GPP TS 44.018. The definition of a 'struct' is valid only within the table in which it is defined. No references shall be made to a 'struct' definition from outside of the table in which it is defined or from outside the present document. The definition of an information element is valid throughout clause 11 and clause 12 as well as in 3GPP TS 44.018;</w:t>
      </w:r>
    </w:p>
    <w:p w14:paraId="75B37358" w14:textId="77777777" w:rsidR="00711444" w:rsidRPr="004D0DAA" w:rsidRDefault="00711444" w:rsidP="00711444">
      <w:pPr>
        <w:pStyle w:val="B1"/>
      </w:pPr>
      <w:r w:rsidRPr="004D0DAA">
        <w:t>-</w:t>
      </w:r>
      <w:r w:rsidRPr="004D0DAA">
        <w:tab/>
        <w:t>a note specifying, where appropriate, conditions for information elements or fields with presence requirement C or O in the relevant message which together with other conditions specified in 3GPP TS 44.060 define when the information elements shall be included or not, what non-presence of such information elements or fields means, and - for IEs with presence requirement C - the static conditions for presence and/or non-presence of the information elements or fields (see 3GPP TS 24.007);</w:t>
      </w:r>
    </w:p>
    <w:p w14:paraId="005CE544" w14:textId="77777777" w:rsidR="00711444" w:rsidRPr="004D0DAA" w:rsidRDefault="00711444" w:rsidP="00711444">
      <w:pPr>
        <w:pStyle w:val="B1"/>
      </w:pPr>
      <w:r w:rsidRPr="004D0DAA">
        <w:t>-</w:t>
      </w:r>
      <w:r w:rsidRPr="004D0DAA">
        <w:tab/>
        <w:t>a table follows which contains a definition for each field referenced in the message definition or in an information element struct immediately following the message definition.</w:t>
      </w:r>
    </w:p>
    <w:p w14:paraId="06D42392" w14:textId="77777777" w:rsidR="00711444" w:rsidRPr="004D0DAA" w:rsidRDefault="00711444" w:rsidP="00711444">
      <w:r w:rsidRPr="004D0DAA">
        <w:t>Bit fields within RLC/MAC messages shall have the highest numbered bit of the bit field in the highest numbered bit of the lowest number octet (see sub-clause 10.0b.3.1). The mapping of an 11 bit field is illustrated in figure 11.1.</w:t>
      </w:r>
    </w:p>
    <w:tbl>
      <w:tblPr>
        <w:tblW w:w="0" w:type="auto"/>
        <w:jc w:val="center"/>
        <w:tblLayout w:type="fixed"/>
        <w:tblCellMar>
          <w:left w:w="28" w:type="dxa"/>
          <w:right w:w="28" w:type="dxa"/>
        </w:tblCellMar>
        <w:tblLook w:val="0000" w:firstRow="0" w:lastRow="0" w:firstColumn="0" w:lastColumn="0" w:noHBand="0" w:noVBand="0"/>
      </w:tblPr>
      <w:tblGrid>
        <w:gridCol w:w="624"/>
        <w:gridCol w:w="624"/>
        <w:gridCol w:w="624"/>
        <w:gridCol w:w="624"/>
        <w:gridCol w:w="624"/>
        <w:gridCol w:w="624"/>
        <w:gridCol w:w="624"/>
        <w:gridCol w:w="624"/>
        <w:gridCol w:w="1052"/>
      </w:tblGrid>
      <w:tr w:rsidR="00711444" w:rsidRPr="004D0DAA" w14:paraId="412B47A0" w14:textId="77777777" w:rsidTr="00AA2A4C">
        <w:tblPrEx>
          <w:tblCellMar>
            <w:top w:w="0" w:type="dxa"/>
            <w:bottom w:w="0" w:type="dxa"/>
          </w:tblCellMar>
        </w:tblPrEx>
        <w:trPr>
          <w:cantSplit/>
          <w:jc w:val="center"/>
        </w:trPr>
        <w:tc>
          <w:tcPr>
            <w:tcW w:w="4992" w:type="dxa"/>
            <w:gridSpan w:val="8"/>
          </w:tcPr>
          <w:p w14:paraId="13653E8F" w14:textId="77777777" w:rsidR="00711444" w:rsidRPr="004D0DAA" w:rsidRDefault="00711444" w:rsidP="00AA2A4C">
            <w:pPr>
              <w:pStyle w:val="TAC"/>
              <w:rPr>
                <w:lang w:eastAsia="en-US"/>
              </w:rPr>
            </w:pPr>
            <w:r w:rsidRPr="004D0DAA">
              <w:rPr>
                <w:lang w:eastAsia="en-US"/>
              </w:rPr>
              <w:lastRenderedPageBreak/>
              <w:t>bit</w:t>
            </w:r>
          </w:p>
        </w:tc>
        <w:tc>
          <w:tcPr>
            <w:tcW w:w="1052" w:type="dxa"/>
          </w:tcPr>
          <w:p w14:paraId="2E1D9D60" w14:textId="77777777" w:rsidR="00711444" w:rsidRPr="004D0DAA" w:rsidRDefault="00711444" w:rsidP="00AA2A4C">
            <w:pPr>
              <w:pStyle w:val="TAC"/>
              <w:rPr>
                <w:lang w:eastAsia="en-US"/>
              </w:rPr>
            </w:pPr>
          </w:p>
        </w:tc>
      </w:tr>
      <w:tr w:rsidR="00711444" w:rsidRPr="004D0DAA" w14:paraId="29ECEC8C" w14:textId="77777777" w:rsidTr="00AA2A4C">
        <w:tblPrEx>
          <w:tblCellMar>
            <w:top w:w="0" w:type="dxa"/>
            <w:bottom w:w="0" w:type="dxa"/>
          </w:tblCellMar>
        </w:tblPrEx>
        <w:trPr>
          <w:cantSplit/>
          <w:jc w:val="center"/>
        </w:trPr>
        <w:tc>
          <w:tcPr>
            <w:tcW w:w="624" w:type="dxa"/>
          </w:tcPr>
          <w:p w14:paraId="34679BDB" w14:textId="77777777" w:rsidR="00711444" w:rsidRPr="004D0DAA" w:rsidRDefault="00711444" w:rsidP="00AA2A4C">
            <w:pPr>
              <w:pStyle w:val="TAC"/>
              <w:rPr>
                <w:lang w:eastAsia="en-US"/>
              </w:rPr>
            </w:pPr>
            <w:r w:rsidRPr="004D0DAA">
              <w:rPr>
                <w:lang w:eastAsia="en-US"/>
              </w:rPr>
              <w:t>8</w:t>
            </w:r>
          </w:p>
        </w:tc>
        <w:tc>
          <w:tcPr>
            <w:tcW w:w="624" w:type="dxa"/>
          </w:tcPr>
          <w:p w14:paraId="05D2F0BC" w14:textId="77777777" w:rsidR="00711444" w:rsidRPr="004D0DAA" w:rsidRDefault="00711444" w:rsidP="00AA2A4C">
            <w:pPr>
              <w:pStyle w:val="TAC"/>
              <w:rPr>
                <w:lang w:eastAsia="en-US"/>
              </w:rPr>
            </w:pPr>
            <w:r w:rsidRPr="004D0DAA">
              <w:rPr>
                <w:lang w:eastAsia="en-US"/>
              </w:rPr>
              <w:t>7</w:t>
            </w:r>
          </w:p>
        </w:tc>
        <w:tc>
          <w:tcPr>
            <w:tcW w:w="624" w:type="dxa"/>
          </w:tcPr>
          <w:p w14:paraId="086A1D6A" w14:textId="77777777" w:rsidR="00711444" w:rsidRPr="004D0DAA" w:rsidRDefault="00711444" w:rsidP="00AA2A4C">
            <w:pPr>
              <w:pStyle w:val="TAC"/>
              <w:rPr>
                <w:lang w:eastAsia="en-US"/>
              </w:rPr>
            </w:pPr>
            <w:r w:rsidRPr="004D0DAA">
              <w:rPr>
                <w:lang w:eastAsia="en-US"/>
              </w:rPr>
              <w:t>6</w:t>
            </w:r>
          </w:p>
        </w:tc>
        <w:tc>
          <w:tcPr>
            <w:tcW w:w="624" w:type="dxa"/>
          </w:tcPr>
          <w:p w14:paraId="69F71910" w14:textId="77777777" w:rsidR="00711444" w:rsidRPr="004D0DAA" w:rsidRDefault="00711444" w:rsidP="00AA2A4C">
            <w:pPr>
              <w:pStyle w:val="TAC"/>
              <w:rPr>
                <w:lang w:eastAsia="en-US"/>
              </w:rPr>
            </w:pPr>
            <w:r w:rsidRPr="004D0DAA">
              <w:rPr>
                <w:lang w:eastAsia="en-US"/>
              </w:rPr>
              <w:t>5</w:t>
            </w:r>
          </w:p>
        </w:tc>
        <w:tc>
          <w:tcPr>
            <w:tcW w:w="624" w:type="dxa"/>
          </w:tcPr>
          <w:p w14:paraId="4789656F" w14:textId="77777777" w:rsidR="00711444" w:rsidRPr="004D0DAA" w:rsidRDefault="00711444" w:rsidP="00AA2A4C">
            <w:pPr>
              <w:pStyle w:val="TAC"/>
              <w:rPr>
                <w:lang w:eastAsia="en-US"/>
              </w:rPr>
            </w:pPr>
            <w:r w:rsidRPr="004D0DAA">
              <w:rPr>
                <w:lang w:eastAsia="en-US"/>
              </w:rPr>
              <w:t>4</w:t>
            </w:r>
          </w:p>
        </w:tc>
        <w:tc>
          <w:tcPr>
            <w:tcW w:w="624" w:type="dxa"/>
          </w:tcPr>
          <w:p w14:paraId="7D053F5E" w14:textId="77777777" w:rsidR="00711444" w:rsidRPr="004D0DAA" w:rsidRDefault="00711444" w:rsidP="00AA2A4C">
            <w:pPr>
              <w:pStyle w:val="TAC"/>
              <w:rPr>
                <w:lang w:eastAsia="en-US"/>
              </w:rPr>
            </w:pPr>
            <w:r w:rsidRPr="004D0DAA">
              <w:rPr>
                <w:lang w:eastAsia="en-US"/>
              </w:rPr>
              <w:t>3</w:t>
            </w:r>
          </w:p>
        </w:tc>
        <w:tc>
          <w:tcPr>
            <w:tcW w:w="624" w:type="dxa"/>
          </w:tcPr>
          <w:p w14:paraId="4D5CF681" w14:textId="77777777" w:rsidR="00711444" w:rsidRPr="004D0DAA" w:rsidRDefault="00711444" w:rsidP="00AA2A4C">
            <w:pPr>
              <w:pStyle w:val="TAC"/>
              <w:rPr>
                <w:lang w:eastAsia="en-US"/>
              </w:rPr>
            </w:pPr>
            <w:r w:rsidRPr="004D0DAA">
              <w:rPr>
                <w:lang w:eastAsia="en-US"/>
              </w:rPr>
              <w:t>2</w:t>
            </w:r>
          </w:p>
        </w:tc>
        <w:tc>
          <w:tcPr>
            <w:tcW w:w="624" w:type="dxa"/>
          </w:tcPr>
          <w:p w14:paraId="0269885C" w14:textId="77777777" w:rsidR="00711444" w:rsidRPr="004D0DAA" w:rsidRDefault="00711444" w:rsidP="00AA2A4C">
            <w:pPr>
              <w:pStyle w:val="TAC"/>
              <w:rPr>
                <w:lang w:eastAsia="en-US"/>
              </w:rPr>
            </w:pPr>
            <w:r w:rsidRPr="004D0DAA">
              <w:rPr>
                <w:lang w:eastAsia="en-US"/>
              </w:rPr>
              <w:t>1</w:t>
            </w:r>
          </w:p>
        </w:tc>
        <w:tc>
          <w:tcPr>
            <w:tcW w:w="1052" w:type="dxa"/>
          </w:tcPr>
          <w:p w14:paraId="25A0EE91" w14:textId="77777777" w:rsidR="00711444" w:rsidRPr="004D0DAA" w:rsidRDefault="00711444" w:rsidP="00AA2A4C">
            <w:pPr>
              <w:pStyle w:val="TAC"/>
              <w:rPr>
                <w:lang w:eastAsia="en-US"/>
              </w:rPr>
            </w:pPr>
          </w:p>
        </w:tc>
      </w:tr>
      <w:tr w:rsidR="00711444" w:rsidRPr="004D0DAA" w14:paraId="79F9E21A" w14:textId="77777777" w:rsidTr="00AA2A4C">
        <w:tblPrEx>
          <w:tblCellMar>
            <w:top w:w="0" w:type="dxa"/>
            <w:bottom w:w="0" w:type="dxa"/>
          </w:tblCellMar>
        </w:tblPrEx>
        <w:trPr>
          <w:cantSplit/>
          <w:jc w:val="center"/>
        </w:trPr>
        <w:tc>
          <w:tcPr>
            <w:tcW w:w="624" w:type="dxa"/>
            <w:tcBorders>
              <w:top w:val="single" w:sz="6" w:space="0" w:color="auto"/>
              <w:left w:val="single" w:sz="6" w:space="0" w:color="auto"/>
            </w:tcBorders>
          </w:tcPr>
          <w:p w14:paraId="013B865D" w14:textId="77777777" w:rsidR="00711444" w:rsidRPr="004D0DAA" w:rsidRDefault="00711444" w:rsidP="00AA2A4C"/>
        </w:tc>
        <w:tc>
          <w:tcPr>
            <w:tcW w:w="624" w:type="dxa"/>
            <w:tcBorders>
              <w:top w:val="single" w:sz="6" w:space="0" w:color="auto"/>
            </w:tcBorders>
          </w:tcPr>
          <w:p w14:paraId="639E468B" w14:textId="77777777" w:rsidR="00711444" w:rsidRPr="004D0DAA" w:rsidRDefault="00711444" w:rsidP="00AA2A4C"/>
        </w:tc>
        <w:tc>
          <w:tcPr>
            <w:tcW w:w="624" w:type="dxa"/>
            <w:tcBorders>
              <w:top w:val="single" w:sz="6" w:space="0" w:color="auto"/>
            </w:tcBorders>
          </w:tcPr>
          <w:p w14:paraId="4A053B82" w14:textId="77777777" w:rsidR="00711444" w:rsidRPr="004D0DAA" w:rsidRDefault="00711444" w:rsidP="00AA2A4C"/>
        </w:tc>
        <w:tc>
          <w:tcPr>
            <w:tcW w:w="624" w:type="dxa"/>
            <w:tcBorders>
              <w:top w:val="single" w:sz="6" w:space="0" w:color="auto"/>
            </w:tcBorders>
          </w:tcPr>
          <w:p w14:paraId="45C8B694" w14:textId="77777777" w:rsidR="00711444" w:rsidRPr="004D0DAA" w:rsidRDefault="00711444" w:rsidP="00AA2A4C"/>
        </w:tc>
        <w:tc>
          <w:tcPr>
            <w:tcW w:w="624" w:type="dxa"/>
            <w:tcBorders>
              <w:top w:val="single" w:sz="6" w:space="0" w:color="auto"/>
            </w:tcBorders>
          </w:tcPr>
          <w:p w14:paraId="40112920" w14:textId="77777777" w:rsidR="00711444" w:rsidRPr="004D0DAA" w:rsidRDefault="00711444" w:rsidP="00AA2A4C"/>
        </w:tc>
        <w:tc>
          <w:tcPr>
            <w:tcW w:w="624" w:type="dxa"/>
            <w:tcBorders>
              <w:top w:val="single" w:sz="6" w:space="0" w:color="auto"/>
            </w:tcBorders>
          </w:tcPr>
          <w:p w14:paraId="6D6396E6" w14:textId="77777777" w:rsidR="00711444" w:rsidRPr="004D0DAA" w:rsidRDefault="00711444" w:rsidP="00AA2A4C"/>
        </w:tc>
        <w:tc>
          <w:tcPr>
            <w:tcW w:w="624" w:type="dxa"/>
            <w:tcBorders>
              <w:top w:val="single" w:sz="6" w:space="0" w:color="auto"/>
            </w:tcBorders>
          </w:tcPr>
          <w:p w14:paraId="20A0F370" w14:textId="77777777" w:rsidR="00711444" w:rsidRPr="004D0DAA" w:rsidRDefault="00711444" w:rsidP="00AA2A4C"/>
        </w:tc>
        <w:tc>
          <w:tcPr>
            <w:tcW w:w="624" w:type="dxa"/>
            <w:tcBorders>
              <w:top w:val="single" w:sz="6" w:space="0" w:color="auto"/>
              <w:right w:val="single" w:sz="6" w:space="0" w:color="auto"/>
            </w:tcBorders>
          </w:tcPr>
          <w:p w14:paraId="59A7C928" w14:textId="77777777" w:rsidR="00711444" w:rsidRPr="004D0DAA" w:rsidRDefault="00711444" w:rsidP="00AA2A4C">
            <w:pPr>
              <w:pStyle w:val="TAC"/>
              <w:rPr>
                <w:lang w:eastAsia="en-US"/>
              </w:rPr>
            </w:pPr>
          </w:p>
        </w:tc>
        <w:tc>
          <w:tcPr>
            <w:tcW w:w="1052" w:type="dxa"/>
          </w:tcPr>
          <w:p w14:paraId="14DCE996" w14:textId="77777777" w:rsidR="00711444" w:rsidRPr="004D0DAA" w:rsidRDefault="00711444" w:rsidP="00AA2A4C">
            <w:pPr>
              <w:pStyle w:val="TAL"/>
              <w:rPr>
                <w:lang w:eastAsia="en-US"/>
              </w:rPr>
            </w:pPr>
            <w:r w:rsidRPr="004D0DAA">
              <w:rPr>
                <w:lang w:eastAsia="en-US"/>
              </w:rPr>
              <w:t>Octet N</w:t>
            </w:r>
          </w:p>
        </w:tc>
      </w:tr>
      <w:tr w:rsidR="00711444" w:rsidRPr="004D0DAA" w14:paraId="52CDE041" w14:textId="77777777" w:rsidTr="00AA2A4C">
        <w:tblPrEx>
          <w:tblCellMar>
            <w:top w:w="0" w:type="dxa"/>
            <w:bottom w:w="0" w:type="dxa"/>
          </w:tblCellMar>
        </w:tblPrEx>
        <w:trPr>
          <w:cantSplit/>
          <w:jc w:val="center"/>
        </w:trPr>
        <w:tc>
          <w:tcPr>
            <w:tcW w:w="624" w:type="dxa"/>
            <w:tcBorders>
              <w:left w:val="single" w:sz="6" w:space="0" w:color="auto"/>
            </w:tcBorders>
          </w:tcPr>
          <w:p w14:paraId="0263EBA5" w14:textId="77777777" w:rsidR="00711444" w:rsidRPr="004D0DAA" w:rsidRDefault="00711444" w:rsidP="00AA2A4C"/>
        </w:tc>
        <w:tc>
          <w:tcPr>
            <w:tcW w:w="624" w:type="dxa"/>
          </w:tcPr>
          <w:p w14:paraId="4E53D782" w14:textId="77777777" w:rsidR="00711444" w:rsidRPr="004D0DAA" w:rsidRDefault="00711444" w:rsidP="00AA2A4C"/>
        </w:tc>
        <w:tc>
          <w:tcPr>
            <w:tcW w:w="624" w:type="dxa"/>
          </w:tcPr>
          <w:p w14:paraId="017F6369" w14:textId="77777777" w:rsidR="00711444" w:rsidRPr="004D0DAA" w:rsidRDefault="00711444" w:rsidP="00AA2A4C"/>
        </w:tc>
        <w:tc>
          <w:tcPr>
            <w:tcW w:w="624" w:type="dxa"/>
          </w:tcPr>
          <w:p w14:paraId="0F155AB6" w14:textId="77777777" w:rsidR="00711444" w:rsidRPr="004D0DAA" w:rsidRDefault="00711444" w:rsidP="00AA2A4C"/>
        </w:tc>
        <w:tc>
          <w:tcPr>
            <w:tcW w:w="624" w:type="dxa"/>
            <w:tcBorders>
              <w:top w:val="single" w:sz="6" w:space="0" w:color="auto"/>
              <w:left w:val="single" w:sz="6" w:space="0" w:color="auto"/>
            </w:tcBorders>
          </w:tcPr>
          <w:p w14:paraId="4145A7FF" w14:textId="77777777" w:rsidR="00711444" w:rsidRPr="004D0DAA" w:rsidRDefault="00711444" w:rsidP="00AA2A4C">
            <w:pPr>
              <w:pStyle w:val="TAC"/>
              <w:rPr>
                <w:lang w:eastAsia="en-US"/>
              </w:rPr>
            </w:pPr>
            <w:r w:rsidRPr="004D0DAA">
              <w:rPr>
                <w:lang w:eastAsia="en-US"/>
              </w:rPr>
              <w:t>bit 11</w:t>
            </w:r>
          </w:p>
        </w:tc>
        <w:tc>
          <w:tcPr>
            <w:tcW w:w="624" w:type="dxa"/>
            <w:tcBorders>
              <w:top w:val="single" w:sz="6" w:space="0" w:color="auto"/>
            </w:tcBorders>
          </w:tcPr>
          <w:p w14:paraId="284AC99A" w14:textId="77777777" w:rsidR="00711444" w:rsidRPr="004D0DAA" w:rsidRDefault="00711444" w:rsidP="00AA2A4C">
            <w:pPr>
              <w:pStyle w:val="TAC"/>
              <w:rPr>
                <w:lang w:eastAsia="en-US"/>
              </w:rPr>
            </w:pPr>
            <w:r w:rsidRPr="004D0DAA">
              <w:rPr>
                <w:lang w:eastAsia="en-US"/>
              </w:rPr>
              <w:t>bit 10</w:t>
            </w:r>
          </w:p>
        </w:tc>
        <w:tc>
          <w:tcPr>
            <w:tcW w:w="624" w:type="dxa"/>
            <w:tcBorders>
              <w:top w:val="single" w:sz="6" w:space="0" w:color="auto"/>
            </w:tcBorders>
          </w:tcPr>
          <w:p w14:paraId="5824E093" w14:textId="77777777" w:rsidR="00711444" w:rsidRPr="004D0DAA" w:rsidRDefault="00711444" w:rsidP="00AA2A4C">
            <w:pPr>
              <w:pStyle w:val="TAC"/>
              <w:rPr>
                <w:lang w:eastAsia="en-US"/>
              </w:rPr>
            </w:pPr>
            <w:r w:rsidRPr="004D0DAA">
              <w:rPr>
                <w:lang w:eastAsia="en-US"/>
              </w:rPr>
              <w:t>bit 9</w:t>
            </w:r>
          </w:p>
        </w:tc>
        <w:tc>
          <w:tcPr>
            <w:tcW w:w="624" w:type="dxa"/>
            <w:tcBorders>
              <w:top w:val="single" w:sz="6" w:space="0" w:color="auto"/>
              <w:bottom w:val="single" w:sz="6" w:space="0" w:color="auto"/>
              <w:right w:val="single" w:sz="6" w:space="0" w:color="auto"/>
            </w:tcBorders>
          </w:tcPr>
          <w:p w14:paraId="19C85A1F" w14:textId="77777777" w:rsidR="00711444" w:rsidRPr="004D0DAA" w:rsidRDefault="00711444" w:rsidP="00AA2A4C">
            <w:pPr>
              <w:pStyle w:val="TAC"/>
              <w:rPr>
                <w:lang w:eastAsia="en-US"/>
              </w:rPr>
            </w:pPr>
            <w:r w:rsidRPr="004D0DAA">
              <w:rPr>
                <w:lang w:eastAsia="en-US"/>
              </w:rPr>
              <w:t>bit 8</w:t>
            </w:r>
          </w:p>
        </w:tc>
        <w:tc>
          <w:tcPr>
            <w:tcW w:w="1052" w:type="dxa"/>
          </w:tcPr>
          <w:p w14:paraId="36360E43" w14:textId="77777777" w:rsidR="00711444" w:rsidRPr="004D0DAA" w:rsidRDefault="00711444" w:rsidP="00AA2A4C">
            <w:pPr>
              <w:pStyle w:val="TAL"/>
              <w:rPr>
                <w:lang w:eastAsia="en-US"/>
              </w:rPr>
            </w:pPr>
            <w:r w:rsidRPr="004D0DAA">
              <w:rPr>
                <w:lang w:eastAsia="en-US"/>
              </w:rPr>
              <w:t>Octet N+1</w:t>
            </w:r>
          </w:p>
        </w:tc>
      </w:tr>
      <w:tr w:rsidR="00711444" w:rsidRPr="004D0DAA" w14:paraId="3FABC60A" w14:textId="77777777" w:rsidTr="00AA2A4C">
        <w:tblPrEx>
          <w:tblCellMar>
            <w:top w:w="0" w:type="dxa"/>
            <w:bottom w:w="0" w:type="dxa"/>
          </w:tblCellMar>
        </w:tblPrEx>
        <w:trPr>
          <w:cantSplit/>
          <w:jc w:val="center"/>
        </w:trPr>
        <w:tc>
          <w:tcPr>
            <w:tcW w:w="624" w:type="dxa"/>
            <w:tcBorders>
              <w:top w:val="single" w:sz="6" w:space="0" w:color="auto"/>
              <w:left w:val="single" w:sz="6" w:space="0" w:color="auto"/>
              <w:bottom w:val="single" w:sz="6" w:space="0" w:color="auto"/>
            </w:tcBorders>
          </w:tcPr>
          <w:p w14:paraId="3F20F521" w14:textId="77777777" w:rsidR="00711444" w:rsidRPr="004D0DAA" w:rsidRDefault="00711444" w:rsidP="00AA2A4C">
            <w:pPr>
              <w:pStyle w:val="TAC"/>
              <w:rPr>
                <w:lang w:eastAsia="en-US"/>
              </w:rPr>
            </w:pPr>
            <w:r w:rsidRPr="004D0DAA">
              <w:rPr>
                <w:lang w:eastAsia="en-US"/>
              </w:rPr>
              <w:t>bit 7</w:t>
            </w:r>
          </w:p>
        </w:tc>
        <w:tc>
          <w:tcPr>
            <w:tcW w:w="624" w:type="dxa"/>
            <w:tcBorders>
              <w:top w:val="single" w:sz="6" w:space="0" w:color="auto"/>
              <w:bottom w:val="single" w:sz="6" w:space="0" w:color="auto"/>
            </w:tcBorders>
          </w:tcPr>
          <w:p w14:paraId="6E68D2D2" w14:textId="77777777" w:rsidR="00711444" w:rsidRPr="004D0DAA" w:rsidRDefault="00711444" w:rsidP="00AA2A4C">
            <w:pPr>
              <w:pStyle w:val="TAC"/>
              <w:rPr>
                <w:lang w:eastAsia="en-US"/>
              </w:rPr>
            </w:pPr>
            <w:r w:rsidRPr="004D0DAA">
              <w:rPr>
                <w:lang w:eastAsia="en-US"/>
              </w:rPr>
              <w:t>bit 6</w:t>
            </w:r>
          </w:p>
        </w:tc>
        <w:tc>
          <w:tcPr>
            <w:tcW w:w="624" w:type="dxa"/>
            <w:tcBorders>
              <w:top w:val="single" w:sz="6" w:space="0" w:color="auto"/>
              <w:bottom w:val="single" w:sz="6" w:space="0" w:color="auto"/>
            </w:tcBorders>
          </w:tcPr>
          <w:p w14:paraId="466CA857" w14:textId="77777777" w:rsidR="00711444" w:rsidRPr="004D0DAA" w:rsidRDefault="00711444" w:rsidP="00AA2A4C">
            <w:pPr>
              <w:pStyle w:val="TAC"/>
              <w:rPr>
                <w:lang w:eastAsia="en-US"/>
              </w:rPr>
            </w:pPr>
            <w:r w:rsidRPr="004D0DAA">
              <w:rPr>
                <w:lang w:eastAsia="en-US"/>
              </w:rPr>
              <w:t>bit 5</w:t>
            </w:r>
          </w:p>
        </w:tc>
        <w:tc>
          <w:tcPr>
            <w:tcW w:w="624" w:type="dxa"/>
            <w:tcBorders>
              <w:top w:val="single" w:sz="6" w:space="0" w:color="auto"/>
              <w:bottom w:val="single" w:sz="6" w:space="0" w:color="auto"/>
            </w:tcBorders>
          </w:tcPr>
          <w:p w14:paraId="5182FABB" w14:textId="77777777" w:rsidR="00711444" w:rsidRPr="004D0DAA" w:rsidRDefault="00711444" w:rsidP="00AA2A4C">
            <w:pPr>
              <w:pStyle w:val="TAC"/>
              <w:rPr>
                <w:lang w:eastAsia="en-US"/>
              </w:rPr>
            </w:pPr>
            <w:r w:rsidRPr="004D0DAA">
              <w:rPr>
                <w:lang w:eastAsia="en-US"/>
              </w:rPr>
              <w:t>bit 4</w:t>
            </w:r>
          </w:p>
        </w:tc>
        <w:tc>
          <w:tcPr>
            <w:tcW w:w="624" w:type="dxa"/>
            <w:tcBorders>
              <w:bottom w:val="single" w:sz="6" w:space="0" w:color="auto"/>
            </w:tcBorders>
          </w:tcPr>
          <w:p w14:paraId="28D9ABB5" w14:textId="77777777" w:rsidR="00711444" w:rsidRPr="004D0DAA" w:rsidRDefault="00711444" w:rsidP="00AA2A4C">
            <w:pPr>
              <w:pStyle w:val="TAC"/>
              <w:rPr>
                <w:lang w:eastAsia="en-US"/>
              </w:rPr>
            </w:pPr>
            <w:r w:rsidRPr="004D0DAA">
              <w:rPr>
                <w:lang w:eastAsia="en-US"/>
              </w:rPr>
              <w:t>bit 3</w:t>
            </w:r>
          </w:p>
        </w:tc>
        <w:tc>
          <w:tcPr>
            <w:tcW w:w="624" w:type="dxa"/>
            <w:tcBorders>
              <w:bottom w:val="single" w:sz="6" w:space="0" w:color="auto"/>
            </w:tcBorders>
          </w:tcPr>
          <w:p w14:paraId="419CF514" w14:textId="77777777" w:rsidR="00711444" w:rsidRPr="004D0DAA" w:rsidRDefault="00711444" w:rsidP="00AA2A4C">
            <w:pPr>
              <w:pStyle w:val="TAC"/>
              <w:rPr>
                <w:lang w:eastAsia="en-US"/>
              </w:rPr>
            </w:pPr>
            <w:r w:rsidRPr="004D0DAA">
              <w:rPr>
                <w:lang w:eastAsia="en-US"/>
              </w:rPr>
              <w:t>bit 2</w:t>
            </w:r>
          </w:p>
        </w:tc>
        <w:tc>
          <w:tcPr>
            <w:tcW w:w="624" w:type="dxa"/>
            <w:tcBorders>
              <w:bottom w:val="single" w:sz="6" w:space="0" w:color="auto"/>
              <w:right w:val="single" w:sz="6" w:space="0" w:color="auto"/>
            </w:tcBorders>
          </w:tcPr>
          <w:p w14:paraId="3D72CE31" w14:textId="77777777" w:rsidR="00711444" w:rsidRPr="004D0DAA" w:rsidRDefault="00711444" w:rsidP="00AA2A4C">
            <w:pPr>
              <w:pStyle w:val="TAC"/>
              <w:rPr>
                <w:lang w:eastAsia="en-US"/>
              </w:rPr>
            </w:pPr>
            <w:r w:rsidRPr="004D0DAA">
              <w:rPr>
                <w:lang w:eastAsia="en-US"/>
              </w:rPr>
              <w:t>bit 1</w:t>
            </w:r>
          </w:p>
        </w:tc>
        <w:tc>
          <w:tcPr>
            <w:tcW w:w="624" w:type="dxa"/>
            <w:tcBorders>
              <w:right w:val="single" w:sz="6" w:space="0" w:color="auto"/>
            </w:tcBorders>
          </w:tcPr>
          <w:p w14:paraId="785D040A" w14:textId="77777777" w:rsidR="00711444" w:rsidRPr="004D0DAA" w:rsidRDefault="00711444" w:rsidP="00AA2A4C">
            <w:pPr>
              <w:pStyle w:val="TAC"/>
              <w:rPr>
                <w:lang w:eastAsia="en-US"/>
              </w:rPr>
            </w:pPr>
          </w:p>
        </w:tc>
        <w:tc>
          <w:tcPr>
            <w:tcW w:w="1052" w:type="dxa"/>
          </w:tcPr>
          <w:p w14:paraId="2370F676" w14:textId="77777777" w:rsidR="00711444" w:rsidRPr="004D0DAA" w:rsidRDefault="00711444" w:rsidP="00AA2A4C">
            <w:pPr>
              <w:pStyle w:val="TAL"/>
              <w:rPr>
                <w:lang w:eastAsia="en-US"/>
              </w:rPr>
            </w:pPr>
            <w:r w:rsidRPr="004D0DAA">
              <w:rPr>
                <w:lang w:eastAsia="en-US"/>
              </w:rPr>
              <w:t>Octet N+2</w:t>
            </w:r>
          </w:p>
        </w:tc>
      </w:tr>
      <w:tr w:rsidR="00711444" w:rsidRPr="004D0DAA" w14:paraId="71CFAE93" w14:textId="77777777" w:rsidTr="00AA2A4C">
        <w:tblPrEx>
          <w:tblCellMar>
            <w:top w:w="0" w:type="dxa"/>
            <w:bottom w:w="0" w:type="dxa"/>
          </w:tblCellMar>
        </w:tblPrEx>
        <w:trPr>
          <w:cantSplit/>
          <w:jc w:val="center"/>
        </w:trPr>
        <w:tc>
          <w:tcPr>
            <w:tcW w:w="624" w:type="dxa"/>
            <w:tcBorders>
              <w:top w:val="single" w:sz="6" w:space="0" w:color="auto"/>
              <w:left w:val="single" w:sz="6" w:space="0" w:color="auto"/>
              <w:bottom w:val="single" w:sz="6" w:space="0" w:color="auto"/>
            </w:tcBorders>
          </w:tcPr>
          <w:p w14:paraId="3BD937D0" w14:textId="77777777" w:rsidR="00711444" w:rsidRPr="004D0DAA" w:rsidRDefault="00711444" w:rsidP="00AA2A4C"/>
        </w:tc>
        <w:tc>
          <w:tcPr>
            <w:tcW w:w="624" w:type="dxa"/>
            <w:tcBorders>
              <w:top w:val="single" w:sz="6" w:space="0" w:color="auto"/>
              <w:bottom w:val="single" w:sz="6" w:space="0" w:color="auto"/>
            </w:tcBorders>
          </w:tcPr>
          <w:p w14:paraId="173EF9A9" w14:textId="77777777" w:rsidR="00711444" w:rsidRPr="004D0DAA" w:rsidRDefault="00711444" w:rsidP="00AA2A4C"/>
        </w:tc>
        <w:tc>
          <w:tcPr>
            <w:tcW w:w="624" w:type="dxa"/>
            <w:tcBorders>
              <w:top w:val="single" w:sz="6" w:space="0" w:color="auto"/>
              <w:bottom w:val="single" w:sz="6" w:space="0" w:color="auto"/>
            </w:tcBorders>
          </w:tcPr>
          <w:p w14:paraId="65FC8CBA" w14:textId="77777777" w:rsidR="00711444" w:rsidRPr="004D0DAA" w:rsidRDefault="00711444" w:rsidP="00AA2A4C"/>
        </w:tc>
        <w:tc>
          <w:tcPr>
            <w:tcW w:w="624" w:type="dxa"/>
            <w:tcBorders>
              <w:top w:val="single" w:sz="6" w:space="0" w:color="auto"/>
              <w:bottom w:val="single" w:sz="6" w:space="0" w:color="auto"/>
            </w:tcBorders>
          </w:tcPr>
          <w:p w14:paraId="24AFAE96" w14:textId="77777777" w:rsidR="00711444" w:rsidRPr="004D0DAA" w:rsidRDefault="00711444" w:rsidP="00AA2A4C"/>
        </w:tc>
        <w:tc>
          <w:tcPr>
            <w:tcW w:w="624" w:type="dxa"/>
            <w:tcBorders>
              <w:top w:val="single" w:sz="6" w:space="0" w:color="auto"/>
              <w:bottom w:val="single" w:sz="6" w:space="0" w:color="auto"/>
            </w:tcBorders>
          </w:tcPr>
          <w:p w14:paraId="02C9835E" w14:textId="77777777" w:rsidR="00711444" w:rsidRPr="004D0DAA" w:rsidRDefault="00711444" w:rsidP="00AA2A4C"/>
        </w:tc>
        <w:tc>
          <w:tcPr>
            <w:tcW w:w="624" w:type="dxa"/>
            <w:tcBorders>
              <w:top w:val="single" w:sz="6" w:space="0" w:color="auto"/>
              <w:bottom w:val="single" w:sz="6" w:space="0" w:color="auto"/>
            </w:tcBorders>
          </w:tcPr>
          <w:p w14:paraId="07C15C95" w14:textId="77777777" w:rsidR="00711444" w:rsidRPr="004D0DAA" w:rsidRDefault="00711444" w:rsidP="00AA2A4C"/>
        </w:tc>
        <w:tc>
          <w:tcPr>
            <w:tcW w:w="624" w:type="dxa"/>
            <w:tcBorders>
              <w:top w:val="single" w:sz="6" w:space="0" w:color="auto"/>
              <w:bottom w:val="single" w:sz="6" w:space="0" w:color="auto"/>
            </w:tcBorders>
          </w:tcPr>
          <w:p w14:paraId="200972C9" w14:textId="77777777" w:rsidR="00711444" w:rsidRPr="004D0DAA" w:rsidRDefault="00711444" w:rsidP="00AA2A4C"/>
        </w:tc>
        <w:tc>
          <w:tcPr>
            <w:tcW w:w="624" w:type="dxa"/>
            <w:tcBorders>
              <w:bottom w:val="single" w:sz="6" w:space="0" w:color="auto"/>
              <w:right w:val="single" w:sz="6" w:space="0" w:color="auto"/>
            </w:tcBorders>
          </w:tcPr>
          <w:p w14:paraId="25854B66" w14:textId="77777777" w:rsidR="00711444" w:rsidRPr="004D0DAA" w:rsidRDefault="00711444" w:rsidP="00AA2A4C">
            <w:pPr>
              <w:pStyle w:val="TAC"/>
              <w:rPr>
                <w:lang w:eastAsia="en-US"/>
              </w:rPr>
            </w:pPr>
          </w:p>
        </w:tc>
        <w:tc>
          <w:tcPr>
            <w:tcW w:w="1052" w:type="dxa"/>
          </w:tcPr>
          <w:p w14:paraId="05AA501A" w14:textId="77777777" w:rsidR="00711444" w:rsidRPr="004D0DAA" w:rsidRDefault="00711444" w:rsidP="00AA2A4C">
            <w:pPr>
              <w:pStyle w:val="TAL"/>
              <w:rPr>
                <w:lang w:eastAsia="en-US"/>
              </w:rPr>
            </w:pPr>
            <w:r w:rsidRPr="004D0DAA">
              <w:rPr>
                <w:lang w:eastAsia="en-US"/>
              </w:rPr>
              <w:t>Octet N+3</w:t>
            </w:r>
          </w:p>
        </w:tc>
      </w:tr>
    </w:tbl>
    <w:p w14:paraId="47693DA4" w14:textId="77777777" w:rsidR="00711444" w:rsidRPr="004D0DAA" w:rsidRDefault="00711444" w:rsidP="00711444">
      <w:pPr>
        <w:pStyle w:val="TAC"/>
      </w:pPr>
    </w:p>
    <w:p w14:paraId="2B6EA4F4" w14:textId="77777777" w:rsidR="00711444" w:rsidRPr="004D0DAA" w:rsidRDefault="00711444" w:rsidP="00711444">
      <w:pPr>
        <w:pStyle w:val="TF"/>
      </w:pPr>
      <w:r w:rsidRPr="004D0DAA">
        <w:t>Figure 11.1: Field mapping within RLC/MAC messages</w:t>
      </w:r>
    </w:p>
    <w:p w14:paraId="4EBAFF74" w14:textId="77777777" w:rsidR="00711444" w:rsidRPr="004D0DAA" w:rsidRDefault="00711444" w:rsidP="00711444">
      <w:pPr>
        <w:keepNext/>
      </w:pPr>
      <w:r w:rsidRPr="004D0DAA">
        <w:t>The length of an RLC/MAC control messages is an integer number of RLC/MAC control blocks. Padding bits are necessary to fill the message up to the desired length. The padding bits may be the 'null' string. Otherwise, the padding bits starts with bit '0', followed by 'spare padding'.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71"/>
      </w:tblGrid>
      <w:tr w:rsidR="00711444" w:rsidRPr="004D0DAA" w14:paraId="12DF8B08" w14:textId="77777777" w:rsidTr="00AA2A4C">
        <w:tblPrEx>
          <w:tblCellMar>
            <w:top w:w="0" w:type="dxa"/>
            <w:bottom w:w="0" w:type="dxa"/>
          </w:tblCellMar>
        </w:tblPrEx>
        <w:trPr>
          <w:cantSplit/>
          <w:jc w:val="center"/>
        </w:trPr>
        <w:tc>
          <w:tcPr>
            <w:tcW w:w="7571" w:type="dxa"/>
          </w:tcPr>
          <w:p w14:paraId="76E6E4AC" w14:textId="77777777" w:rsidR="00711444" w:rsidRPr="004D0DAA" w:rsidRDefault="00711444" w:rsidP="00AA2A4C">
            <w:pPr>
              <w:pStyle w:val="TAC"/>
              <w:rPr>
                <w:lang w:eastAsia="en-US"/>
              </w:rPr>
            </w:pPr>
            <w:r w:rsidRPr="004D0DAA">
              <w:rPr>
                <w:lang w:eastAsia="en-US"/>
              </w:rPr>
              <w:t>&lt; padding bits &gt; ::= { null | 0 &lt; spare padding &gt; ! &lt; Ignore : 1 bit** = &lt; no string &gt; &gt; } ;</w:t>
            </w:r>
          </w:p>
        </w:tc>
      </w:tr>
    </w:tbl>
    <w:p w14:paraId="24E55ECA" w14:textId="77777777" w:rsidR="00711444" w:rsidRPr="004D0DAA" w:rsidRDefault="00711444" w:rsidP="00711444"/>
    <w:p w14:paraId="0E723DA8" w14:textId="77777777" w:rsidR="00711444" w:rsidRPr="004D0DAA" w:rsidRDefault="00711444" w:rsidP="00711444">
      <w:r w:rsidRPr="004D0DAA">
        <w:t>The padding sequence used for 'spare padding' in the present document, see 3GPP TS 24.007, is a repetition of octet '00101011', starting on an octet boundary.</w:t>
      </w:r>
    </w:p>
    <w:p w14:paraId="4FB41A71" w14:textId="77777777" w:rsidR="00711444" w:rsidRPr="004D0DAA" w:rsidRDefault="00711444" w:rsidP="00711444">
      <w:pPr>
        <w:pStyle w:val="Heading2"/>
      </w:pPr>
      <w:bookmarkStart w:id="618" w:name="_Toc516669796"/>
      <w:r w:rsidRPr="004D0DAA">
        <w:t>11.1</w:t>
      </w:r>
      <w:r w:rsidRPr="004D0DAA">
        <w:tab/>
        <w:t>Handling of erroneous protocol data</w:t>
      </w:r>
      <w:bookmarkEnd w:id="618"/>
    </w:p>
    <w:p w14:paraId="4B6734AC" w14:textId="77777777" w:rsidR="00711444" w:rsidRPr="004D0DAA" w:rsidRDefault="00711444" w:rsidP="00711444">
      <w:r w:rsidRPr="004D0DAA">
        <w:t>This sub-clause specifies procedures for the handling of unknown and erroneous protocol data by the receiving entity.</w:t>
      </w:r>
    </w:p>
    <w:p w14:paraId="515C793C" w14:textId="77777777" w:rsidR="00711444" w:rsidRPr="004D0DAA" w:rsidRDefault="00711444" w:rsidP="00711444">
      <w:r w:rsidRPr="004D0DAA">
        <w:t>These error-handling procedures are mandatory for the mobile station.</w:t>
      </w:r>
    </w:p>
    <w:p w14:paraId="63A3C8F6" w14:textId="77777777" w:rsidR="00711444" w:rsidRPr="004D0DAA" w:rsidRDefault="00711444" w:rsidP="00711444">
      <w:r w:rsidRPr="004D0DAA">
        <w:t>A message is defined to be syntactically incorrect if it violates rules of clauses 11 and 12, or if it contains at least one value defined as "reserved" in clauses 11 and 12. However, if the rules of clause 11 and 12 define a specific interpretation for a "reserved" value, the specified interpretation takes precedence and the considered field remains syntactically correct.</w:t>
      </w:r>
    </w:p>
    <w:p w14:paraId="1D61813A" w14:textId="77777777" w:rsidR="00711444" w:rsidRPr="004D0DAA" w:rsidRDefault="00711444" w:rsidP="00711444">
      <w:r w:rsidRPr="004D0DAA">
        <w:t>Decoding a received message based on its CSN.1 description yields the complete acceptance or rejection of the message. Error handling allows a message to be partially accepted even when some parts are erroneous.</w:t>
      </w:r>
    </w:p>
    <w:p w14:paraId="40A74B36" w14:textId="77777777" w:rsidR="00711444" w:rsidRPr="004D0DAA" w:rsidRDefault="00711444" w:rsidP="00711444">
      <w:r w:rsidRPr="004D0DAA">
        <w:t>Error detection mechanisms are introduced to identify which parts of a message to be protected against which kinds of errors.</w:t>
      </w:r>
    </w:p>
    <w:p w14:paraId="6CFD38D9" w14:textId="77777777" w:rsidR="00711444" w:rsidRPr="004D0DAA" w:rsidRDefault="00711444" w:rsidP="00711444">
      <w:pPr>
        <w:pStyle w:val="Heading3"/>
      </w:pPr>
      <w:bookmarkStart w:id="619" w:name="_Toc516669797"/>
      <w:r w:rsidRPr="004D0DAA">
        <w:t>11.1.1</w:t>
      </w:r>
      <w:r w:rsidRPr="004D0DAA">
        <w:tab/>
        <w:t>Message classification</w:t>
      </w:r>
      <w:bookmarkEnd w:id="619"/>
    </w:p>
    <w:p w14:paraId="497ABBB1" w14:textId="77777777" w:rsidR="00711444" w:rsidRPr="004D0DAA" w:rsidRDefault="00711444" w:rsidP="00711444">
      <w:r w:rsidRPr="004D0DAA">
        <w:t>The packet data channel (PDCH) is a shared resource, i.e. all mobile stations assigned resources on a PDCH may receive a message sent by the network. The message type is identified by the MESSAGE_TYPE field contained in each message. The message type is used for classification and determining the message syntax.</w:t>
      </w:r>
    </w:p>
    <w:p w14:paraId="047F4DA5" w14:textId="77777777" w:rsidR="00711444" w:rsidRPr="004D0DAA" w:rsidRDefault="00711444" w:rsidP="00711444">
      <w:r w:rsidRPr="004D0DAA">
        <w:t>Messages sent from the network to the mobile station on PDCH (</w:t>
      </w:r>
      <w:r w:rsidRPr="004D0DAA">
        <w:rPr>
          <w:i/>
          <w:iCs/>
        </w:rPr>
        <w:t>A/Gb mode</w:t>
      </w:r>
      <w:r w:rsidRPr="004D0DAA">
        <w:t xml:space="preserve"> and </w:t>
      </w:r>
      <w:r w:rsidRPr="004D0DAA">
        <w:rPr>
          <w:i/>
          <w:iCs/>
        </w:rPr>
        <w:t>Iu mode</w:t>
      </w:r>
      <w:r w:rsidRPr="004D0DAA">
        <w:t>) or DBPSCH (</w:t>
      </w:r>
      <w:r w:rsidRPr="004D0DAA">
        <w:rPr>
          <w:i/>
          <w:iCs/>
        </w:rPr>
        <w:t>Iu mode</w:t>
      </w:r>
      <w:r w:rsidRPr="004D0DAA">
        <w:t xml:space="preserve">) are classified as either distribution messages or non-distribution messages. </w:t>
      </w:r>
    </w:p>
    <w:p w14:paraId="22D26C57" w14:textId="77777777" w:rsidR="00711444" w:rsidRPr="004D0DAA" w:rsidRDefault="00711444" w:rsidP="00711444">
      <w:r w:rsidRPr="004D0DAA">
        <w:t>Messages sent from the network to the mobile station exclusively on DBPSCH (</w:t>
      </w:r>
      <w:r w:rsidRPr="004D0DAA">
        <w:rPr>
          <w:i/>
          <w:iCs/>
        </w:rPr>
        <w:t>Iu mode</w:t>
      </w:r>
      <w:r w:rsidRPr="004D0DAA">
        <w:t>) are classified as DBPSCH messages.</w:t>
      </w:r>
    </w:p>
    <w:p w14:paraId="7D92FE53" w14:textId="77777777" w:rsidR="00711444" w:rsidRPr="004D0DAA" w:rsidRDefault="00711444" w:rsidP="00711444">
      <w:pPr>
        <w:pStyle w:val="Heading4"/>
      </w:pPr>
      <w:bookmarkStart w:id="620" w:name="_Toc516669798"/>
      <w:r w:rsidRPr="004D0DAA">
        <w:t>11.1.1.1</w:t>
      </w:r>
      <w:r w:rsidRPr="004D0DAA">
        <w:tab/>
        <w:t>Distribution messages</w:t>
      </w:r>
      <w:bookmarkEnd w:id="620"/>
    </w:p>
    <w:p w14:paraId="0B33A340" w14:textId="77777777" w:rsidR="00711444" w:rsidRPr="004D0DAA" w:rsidRDefault="00711444" w:rsidP="00711444">
      <w:r w:rsidRPr="004D0DAA">
        <w:t>A distribution message is recognised by the most significant bit of the message type being set to bit '1'. The general format of a distribution message, except for distribution messages on the EC-PACCH, sent from the network to the mobile station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0"/>
      </w:tblGrid>
      <w:tr w:rsidR="00711444" w:rsidRPr="004D0DAA" w14:paraId="2523F61C" w14:textId="77777777" w:rsidTr="00AA2A4C">
        <w:tblPrEx>
          <w:tblCellMar>
            <w:top w:w="0" w:type="dxa"/>
            <w:bottom w:w="0" w:type="dxa"/>
          </w:tblCellMar>
        </w:tblPrEx>
        <w:trPr>
          <w:cantSplit/>
          <w:jc w:val="center"/>
        </w:trPr>
        <w:tc>
          <w:tcPr>
            <w:tcW w:w="7380" w:type="dxa"/>
          </w:tcPr>
          <w:p w14:paraId="570A93B5" w14:textId="77777777" w:rsidR="00711444" w:rsidRPr="004D0DAA" w:rsidRDefault="00711444" w:rsidP="00AA2A4C">
            <w:pPr>
              <w:pStyle w:val="TAL"/>
              <w:rPr>
                <w:lang w:eastAsia="en-US"/>
              </w:rPr>
            </w:pPr>
            <w:r w:rsidRPr="004D0DAA">
              <w:rPr>
                <w:lang w:eastAsia="en-US"/>
              </w:rPr>
              <w:t>&lt; Distribution message &gt; ::=</w:t>
            </w:r>
          </w:p>
          <w:p w14:paraId="4BD16F34" w14:textId="77777777" w:rsidR="00711444" w:rsidRPr="004D0DAA" w:rsidRDefault="00711444" w:rsidP="00AA2A4C">
            <w:pPr>
              <w:pStyle w:val="TAL"/>
              <w:rPr>
                <w:lang w:eastAsia="en-US"/>
              </w:rPr>
            </w:pPr>
            <w:r w:rsidRPr="004D0DAA">
              <w:rPr>
                <w:lang w:eastAsia="en-US"/>
              </w:rPr>
              <w:tab/>
              <w:t>&lt; MESSAGE_TYPE : 1 bit (5) &gt;</w:t>
            </w:r>
          </w:p>
          <w:p w14:paraId="3CA3FFAC" w14:textId="77777777" w:rsidR="00711444" w:rsidRPr="004D0DAA" w:rsidRDefault="00711444" w:rsidP="00AA2A4C">
            <w:pPr>
              <w:pStyle w:val="TAL"/>
              <w:rPr>
                <w:lang w:eastAsia="en-US"/>
              </w:rPr>
            </w:pPr>
            <w:r w:rsidRPr="004D0DAA">
              <w:rPr>
                <w:lang w:eastAsia="en-US"/>
              </w:rPr>
              <w:tab/>
              <w:t>&lt; Distribution contents &gt;</w:t>
            </w:r>
          </w:p>
          <w:p w14:paraId="7A9444E5" w14:textId="77777777" w:rsidR="00711444" w:rsidRPr="004D0DAA" w:rsidRDefault="00711444" w:rsidP="00AA2A4C">
            <w:pPr>
              <w:pStyle w:val="TAL"/>
              <w:rPr>
                <w:lang w:eastAsia="en-US"/>
              </w:rPr>
            </w:pPr>
            <w:r w:rsidRPr="004D0DAA">
              <w:rPr>
                <w:lang w:eastAsia="en-US"/>
              </w:rPr>
              <w:tab/>
              <w:t>&lt; padding bits &gt; ;</w:t>
            </w:r>
          </w:p>
        </w:tc>
      </w:tr>
    </w:tbl>
    <w:p w14:paraId="6FA55FD1" w14:textId="77777777" w:rsidR="00711444" w:rsidRPr="004D0DAA" w:rsidRDefault="00711444" w:rsidP="00711444"/>
    <w:p w14:paraId="3659D85A" w14:textId="77777777" w:rsidR="00711444" w:rsidRPr="004D0DAA" w:rsidRDefault="00711444" w:rsidP="00711444">
      <w:r w:rsidRPr="004D0DAA">
        <w:lastRenderedPageBreak/>
        <w:t xml:space="preserve">The general format of a distribution message sent on the EC-PACCH from the network to the mobile station is: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0"/>
      </w:tblGrid>
      <w:tr w:rsidR="00711444" w:rsidRPr="004D0DAA" w14:paraId="1AE78347" w14:textId="77777777" w:rsidTr="00AA2A4C">
        <w:tblPrEx>
          <w:tblCellMar>
            <w:top w:w="0" w:type="dxa"/>
            <w:bottom w:w="0" w:type="dxa"/>
          </w:tblCellMar>
        </w:tblPrEx>
        <w:trPr>
          <w:cantSplit/>
          <w:jc w:val="center"/>
        </w:trPr>
        <w:tc>
          <w:tcPr>
            <w:tcW w:w="7380" w:type="dxa"/>
          </w:tcPr>
          <w:p w14:paraId="2FCDBF40" w14:textId="77777777" w:rsidR="00711444" w:rsidRPr="004D0DAA" w:rsidRDefault="00711444" w:rsidP="00AA2A4C">
            <w:pPr>
              <w:pStyle w:val="TAL"/>
              <w:rPr>
                <w:lang w:eastAsia="en-US"/>
              </w:rPr>
            </w:pPr>
            <w:r w:rsidRPr="004D0DAA">
              <w:rPr>
                <w:lang w:eastAsia="en-US"/>
              </w:rPr>
              <w:t>&lt; Distribution message &gt; ::=</w:t>
            </w:r>
          </w:p>
          <w:p w14:paraId="032EC9D4" w14:textId="77777777" w:rsidR="00711444" w:rsidRPr="004D0DAA" w:rsidRDefault="00711444" w:rsidP="00AA2A4C">
            <w:pPr>
              <w:pStyle w:val="TAL"/>
              <w:rPr>
                <w:lang w:eastAsia="en-US"/>
              </w:rPr>
            </w:pPr>
            <w:r w:rsidRPr="004D0DAA">
              <w:rPr>
                <w:lang w:eastAsia="en-US"/>
              </w:rPr>
              <w:tab/>
              <w:t>&lt; MESSAGE_TYPE : 1 bit (4) &gt;</w:t>
            </w:r>
          </w:p>
          <w:p w14:paraId="350179BF" w14:textId="77777777" w:rsidR="00711444" w:rsidRPr="004D0DAA" w:rsidRDefault="00711444" w:rsidP="00AA2A4C">
            <w:pPr>
              <w:pStyle w:val="TAL"/>
              <w:rPr>
                <w:lang w:eastAsia="en-US"/>
              </w:rPr>
            </w:pPr>
            <w:r w:rsidRPr="004D0DAA">
              <w:rPr>
                <w:lang w:eastAsia="en-US"/>
              </w:rPr>
              <w:tab/>
              <w:t>&lt; Distribution contents &gt;</w:t>
            </w:r>
          </w:p>
          <w:p w14:paraId="14A862EB" w14:textId="77777777" w:rsidR="00711444" w:rsidRPr="004D0DAA" w:rsidRDefault="00711444" w:rsidP="00AA2A4C">
            <w:pPr>
              <w:pStyle w:val="TAL"/>
              <w:rPr>
                <w:lang w:eastAsia="en-US"/>
              </w:rPr>
            </w:pPr>
            <w:r w:rsidRPr="004D0DAA">
              <w:rPr>
                <w:lang w:eastAsia="en-US"/>
              </w:rPr>
              <w:tab/>
              <w:t>&lt; padding bits &gt; ;</w:t>
            </w:r>
          </w:p>
        </w:tc>
      </w:tr>
    </w:tbl>
    <w:p w14:paraId="3EA3ED38" w14:textId="77777777" w:rsidR="00711444" w:rsidRPr="004D0DAA" w:rsidRDefault="00711444" w:rsidP="00711444"/>
    <w:p w14:paraId="31D0608D" w14:textId="77777777" w:rsidR="00711444" w:rsidRPr="004D0DAA" w:rsidRDefault="00711444" w:rsidP="00711444">
      <w:r w:rsidRPr="004D0DAA">
        <w:t>Any mobile stations may receive a distribution message. Depending on the protocol state of the mobile station, a distribution message shall be analysed as specified in sub-clauses 5, 6, 7, 8 and 9 of the present document.</w:t>
      </w:r>
    </w:p>
    <w:p w14:paraId="2214C795" w14:textId="77777777" w:rsidR="00711444" w:rsidRPr="004D0DAA" w:rsidRDefault="00711444" w:rsidP="00711444">
      <w:r w:rsidRPr="004D0DAA">
        <w:t>The 'Distribution contents' of a distribution message contains Page Mode information and any specific distribution information according to the syntax defined for the message type. The ‘Distribution contents’ of a distribution message on the EC-PACCH contains Used DL Coverage Class information instead of the Page Mode information. The 'padding bits' of a distribution message can be reduced to the null string.</w:t>
      </w:r>
    </w:p>
    <w:p w14:paraId="1239681D" w14:textId="77777777" w:rsidR="00711444" w:rsidRPr="004D0DAA" w:rsidRDefault="00711444" w:rsidP="00711444">
      <w:r w:rsidRPr="004D0DAA">
        <w:t>The general format of the 'Distribution contents', except for distribution messages sent on the EC-PACCH, is: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tblGrid>
      <w:tr w:rsidR="00711444" w:rsidRPr="004D0DAA" w14:paraId="288E8F25" w14:textId="77777777" w:rsidTr="00AA2A4C">
        <w:tblPrEx>
          <w:tblCellMar>
            <w:top w:w="0" w:type="dxa"/>
            <w:bottom w:w="0" w:type="dxa"/>
          </w:tblCellMar>
        </w:tblPrEx>
        <w:trPr>
          <w:cantSplit/>
        </w:trPr>
        <w:tc>
          <w:tcPr>
            <w:tcW w:w="7371" w:type="dxa"/>
          </w:tcPr>
          <w:p w14:paraId="3F5BD0DD" w14:textId="77777777" w:rsidR="00711444" w:rsidRPr="004D0DAA" w:rsidRDefault="00711444" w:rsidP="00AA2A4C">
            <w:pPr>
              <w:pStyle w:val="TAL"/>
              <w:rPr>
                <w:lang w:val="fr-FR" w:eastAsia="en-US"/>
              </w:rPr>
            </w:pPr>
            <w:r w:rsidRPr="004D0DAA">
              <w:rPr>
                <w:lang w:val="fr-FR" w:eastAsia="en-US"/>
              </w:rPr>
              <w:t>&lt; Distribution contents &gt; ::=</w:t>
            </w:r>
          </w:p>
          <w:p w14:paraId="40688E32" w14:textId="77777777" w:rsidR="00711444" w:rsidRPr="004D0DAA" w:rsidRDefault="00711444" w:rsidP="00AA2A4C">
            <w:pPr>
              <w:pStyle w:val="TAL"/>
              <w:rPr>
                <w:lang w:val="fr-FR" w:eastAsia="en-US"/>
              </w:rPr>
            </w:pPr>
            <w:r w:rsidRPr="004D0DAA">
              <w:rPr>
                <w:lang w:val="fr-FR" w:eastAsia="en-US"/>
              </w:rPr>
              <w:tab/>
              <w:t>&lt; PAGE_MODE : bit (2) &gt;</w:t>
            </w:r>
          </w:p>
          <w:p w14:paraId="0623DAD3" w14:textId="77777777" w:rsidR="00711444" w:rsidRPr="004D0DAA" w:rsidRDefault="00711444" w:rsidP="00AA2A4C">
            <w:pPr>
              <w:pStyle w:val="TAL"/>
              <w:rPr>
                <w:lang w:eastAsia="en-US"/>
              </w:rPr>
            </w:pPr>
            <w:r w:rsidRPr="004D0DAA">
              <w:rPr>
                <w:lang w:val="fr-FR" w:eastAsia="en-US"/>
              </w:rPr>
              <w:tab/>
            </w:r>
            <w:r w:rsidRPr="004D0DAA">
              <w:rPr>
                <w:lang w:eastAsia="en-US"/>
              </w:rPr>
              <w:t>&lt; specific distribution information &gt; ;</w:t>
            </w:r>
          </w:p>
        </w:tc>
      </w:tr>
    </w:tbl>
    <w:p w14:paraId="001644A7" w14:textId="77777777" w:rsidR="00711444" w:rsidRPr="004D0DAA" w:rsidRDefault="00711444" w:rsidP="00711444"/>
    <w:p w14:paraId="715475B5" w14:textId="77777777" w:rsidR="00711444" w:rsidRPr="004D0DAA" w:rsidRDefault="00711444" w:rsidP="00711444">
      <w:r w:rsidRPr="004D0DAA">
        <w:t>The encoding of the Page Mode information is defined in sub-clause 12.20.</w:t>
      </w:r>
    </w:p>
    <w:p w14:paraId="5034A60D" w14:textId="77777777" w:rsidR="00711444" w:rsidRPr="004D0DAA" w:rsidRDefault="00711444" w:rsidP="00711444">
      <w:r w:rsidRPr="004D0DAA">
        <w:t>The general format of the 'Distribution contents' for distribution messages sent on the EC-PACCH is: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tblGrid>
      <w:tr w:rsidR="00711444" w:rsidRPr="004D0DAA" w14:paraId="7774D3EA" w14:textId="77777777" w:rsidTr="00AA2A4C">
        <w:tblPrEx>
          <w:tblCellMar>
            <w:top w:w="0" w:type="dxa"/>
            <w:bottom w:w="0" w:type="dxa"/>
          </w:tblCellMar>
        </w:tblPrEx>
        <w:trPr>
          <w:cantSplit/>
        </w:trPr>
        <w:tc>
          <w:tcPr>
            <w:tcW w:w="7371" w:type="dxa"/>
          </w:tcPr>
          <w:p w14:paraId="0ED32D99" w14:textId="77777777" w:rsidR="00711444" w:rsidRPr="004D0DAA" w:rsidRDefault="00711444" w:rsidP="00AA2A4C">
            <w:pPr>
              <w:pStyle w:val="TAL"/>
              <w:rPr>
                <w:lang w:val="en-US" w:eastAsia="en-US"/>
              </w:rPr>
            </w:pPr>
            <w:r w:rsidRPr="004D0DAA">
              <w:rPr>
                <w:lang w:val="en-US" w:eastAsia="en-US"/>
              </w:rPr>
              <w:t>&lt; Distribution contents &gt; ::=</w:t>
            </w:r>
          </w:p>
          <w:p w14:paraId="5688F722" w14:textId="77777777" w:rsidR="00711444" w:rsidRPr="004D0DAA" w:rsidRDefault="00711444" w:rsidP="00AA2A4C">
            <w:pPr>
              <w:pStyle w:val="TAL"/>
              <w:rPr>
                <w:lang w:eastAsia="en-US"/>
              </w:rPr>
            </w:pPr>
            <w:r w:rsidRPr="004D0DAA">
              <w:rPr>
                <w:lang w:val="en-US" w:eastAsia="en-US"/>
              </w:rPr>
              <w:tab/>
            </w:r>
            <w:r w:rsidRPr="004D0DAA">
              <w:rPr>
                <w:lang w:eastAsia="en-US"/>
              </w:rPr>
              <w:t xml:space="preserve">&lt; </w:t>
            </w:r>
            <w:r w:rsidRPr="004D0DAA">
              <w:rPr>
                <w:lang w:val="en-US" w:eastAsia="en-US"/>
              </w:rPr>
              <w:t>USED_DL_COVERAGE_CLASS : bit (2)</w:t>
            </w:r>
            <w:r w:rsidRPr="004D0DAA">
              <w:rPr>
                <w:lang w:eastAsia="en-US"/>
              </w:rPr>
              <w:t xml:space="preserve"> &gt;</w:t>
            </w:r>
          </w:p>
          <w:p w14:paraId="5F7DC82A" w14:textId="77777777" w:rsidR="00711444" w:rsidRPr="004D0DAA" w:rsidRDefault="00711444" w:rsidP="00AA2A4C">
            <w:pPr>
              <w:pStyle w:val="TAL"/>
              <w:rPr>
                <w:lang w:eastAsia="en-US"/>
              </w:rPr>
            </w:pPr>
            <w:r w:rsidRPr="004D0DAA">
              <w:rPr>
                <w:lang w:val="en-US" w:eastAsia="en-US"/>
              </w:rPr>
              <w:tab/>
            </w:r>
            <w:r w:rsidRPr="004D0DAA">
              <w:rPr>
                <w:lang w:eastAsia="en-US"/>
              </w:rPr>
              <w:t>&lt; specific distribution information &gt; ;</w:t>
            </w:r>
          </w:p>
        </w:tc>
      </w:tr>
    </w:tbl>
    <w:p w14:paraId="57F29DFC" w14:textId="77777777" w:rsidR="00711444" w:rsidRPr="004D0DAA" w:rsidRDefault="00711444" w:rsidP="00711444"/>
    <w:p w14:paraId="11A3AEA2" w14:textId="77777777" w:rsidR="00711444" w:rsidRPr="004D0DAA" w:rsidRDefault="00711444" w:rsidP="00711444">
      <w:r w:rsidRPr="004D0DAA">
        <w:t>The encoding of the Used DL Coverage Class information is defined in sub-clause 12.71.</w:t>
      </w:r>
    </w:p>
    <w:p w14:paraId="4F6F2769" w14:textId="77777777" w:rsidR="00711444" w:rsidRPr="004D0DAA" w:rsidRDefault="00711444" w:rsidP="00711444">
      <w:pPr>
        <w:pStyle w:val="Heading4"/>
      </w:pPr>
      <w:bookmarkStart w:id="621" w:name="_Toc516669799"/>
      <w:r w:rsidRPr="004D0DAA">
        <w:t>11.1.1.2</w:t>
      </w:r>
      <w:r w:rsidRPr="004D0DAA">
        <w:tab/>
        <w:t>Non-distribution messages</w:t>
      </w:r>
      <w:bookmarkEnd w:id="621"/>
    </w:p>
    <w:p w14:paraId="7647C793" w14:textId="77777777" w:rsidR="00711444" w:rsidRPr="004D0DAA" w:rsidRDefault="00711444" w:rsidP="00711444">
      <w:r w:rsidRPr="004D0DAA">
        <w:t>A non-distribution message is recognised by the most significant bit of the message type being set to bit '0'. The general format of a message, except for non-distribution messages on the EC-PACCH, sent from the network to the mobile station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17E311E" w14:textId="77777777" w:rsidTr="00AA2A4C">
        <w:tblPrEx>
          <w:tblCellMar>
            <w:top w:w="0" w:type="dxa"/>
            <w:bottom w:w="0" w:type="dxa"/>
          </w:tblCellMar>
        </w:tblPrEx>
        <w:trPr>
          <w:cantSplit/>
        </w:trPr>
        <w:tc>
          <w:tcPr>
            <w:tcW w:w="9848" w:type="dxa"/>
          </w:tcPr>
          <w:p w14:paraId="3AC049D7" w14:textId="77777777" w:rsidR="00711444" w:rsidRPr="004D0DAA" w:rsidRDefault="00711444" w:rsidP="00AA2A4C">
            <w:pPr>
              <w:pStyle w:val="TAL"/>
              <w:rPr>
                <w:lang w:val="fr-FR" w:eastAsia="en-US"/>
              </w:rPr>
            </w:pPr>
            <w:r w:rsidRPr="004D0DAA">
              <w:rPr>
                <w:lang w:val="fr-FR" w:eastAsia="en-US"/>
              </w:rPr>
              <w:t>&lt; Non-distribution message &gt; ::=</w:t>
            </w:r>
          </w:p>
          <w:p w14:paraId="7DDD8542" w14:textId="77777777" w:rsidR="00711444" w:rsidRPr="004D0DAA" w:rsidRDefault="00711444" w:rsidP="00AA2A4C">
            <w:pPr>
              <w:pStyle w:val="TAL"/>
              <w:rPr>
                <w:lang w:val="fr-FR" w:eastAsia="en-US"/>
              </w:rPr>
            </w:pPr>
            <w:r w:rsidRPr="004D0DAA">
              <w:rPr>
                <w:lang w:val="fr-FR" w:eastAsia="en-US"/>
              </w:rPr>
              <w:tab/>
              <w:t>&lt; MESSAGE_TYPE : 0 bit (5) &gt;</w:t>
            </w:r>
          </w:p>
          <w:p w14:paraId="364E321C" w14:textId="77777777" w:rsidR="00711444" w:rsidRPr="004D0DAA" w:rsidRDefault="00711444" w:rsidP="00AA2A4C">
            <w:pPr>
              <w:pStyle w:val="TAL"/>
              <w:rPr>
                <w:lang w:val="fr-FR" w:eastAsia="en-US"/>
              </w:rPr>
            </w:pPr>
            <w:r w:rsidRPr="004D0DAA">
              <w:rPr>
                <w:lang w:val="fr-FR" w:eastAsia="en-US"/>
              </w:rPr>
              <w:tab/>
              <w:t>&lt; Distribution contents &gt;</w:t>
            </w:r>
          </w:p>
          <w:p w14:paraId="70E51CD5" w14:textId="77777777" w:rsidR="00711444" w:rsidRPr="004D0DAA" w:rsidRDefault="00711444" w:rsidP="00AA2A4C">
            <w:pPr>
              <w:pStyle w:val="TAL"/>
              <w:rPr>
                <w:lang w:val="fr-FR" w:eastAsia="en-US"/>
              </w:rPr>
            </w:pPr>
            <w:r w:rsidRPr="004D0DAA">
              <w:rPr>
                <w:lang w:val="fr-FR" w:eastAsia="en-US"/>
              </w:rPr>
              <w:tab/>
              <w:t>&lt; Address information &gt; &lt; Non-distribution contents &gt;</w:t>
            </w:r>
          </w:p>
          <w:p w14:paraId="20900E38" w14:textId="77777777" w:rsidR="00711444" w:rsidRPr="004D0DAA" w:rsidRDefault="00711444" w:rsidP="00AA2A4C">
            <w:pPr>
              <w:pStyle w:val="TAL"/>
              <w:rPr>
                <w:lang w:eastAsia="en-US"/>
              </w:rPr>
            </w:pPr>
            <w:r w:rsidRPr="004D0DAA">
              <w:rPr>
                <w:lang w:val="fr-FR" w:eastAsia="en-US"/>
              </w:rPr>
              <w:tab/>
            </w:r>
            <w:r w:rsidRPr="004D0DAA">
              <w:rPr>
                <w:lang w:eastAsia="en-US"/>
              </w:rPr>
              <w:t>&lt; padding bits &gt; ;</w:t>
            </w:r>
          </w:p>
        </w:tc>
      </w:tr>
    </w:tbl>
    <w:p w14:paraId="712F1D45" w14:textId="77777777" w:rsidR="00711444" w:rsidRPr="004D0DAA" w:rsidRDefault="00711444" w:rsidP="00711444"/>
    <w:p w14:paraId="3782C3F2" w14:textId="77777777" w:rsidR="00711444" w:rsidRPr="004D0DAA" w:rsidRDefault="00711444" w:rsidP="00711444">
      <w:r w:rsidRPr="004D0DAA">
        <w:t>The general format of a non-distribution message on the EC-PACCH sent from the network to the mobile station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96E8794" w14:textId="77777777" w:rsidTr="00AA2A4C">
        <w:tblPrEx>
          <w:tblCellMar>
            <w:top w:w="0" w:type="dxa"/>
            <w:bottom w:w="0" w:type="dxa"/>
          </w:tblCellMar>
        </w:tblPrEx>
        <w:trPr>
          <w:cantSplit/>
        </w:trPr>
        <w:tc>
          <w:tcPr>
            <w:tcW w:w="9848" w:type="dxa"/>
          </w:tcPr>
          <w:p w14:paraId="2EA3F9B3" w14:textId="77777777" w:rsidR="00711444" w:rsidRPr="004D0DAA" w:rsidRDefault="00711444" w:rsidP="00AA2A4C">
            <w:pPr>
              <w:pStyle w:val="TAL"/>
              <w:rPr>
                <w:lang w:val="fr-FR" w:eastAsia="en-US"/>
              </w:rPr>
            </w:pPr>
            <w:r w:rsidRPr="004D0DAA">
              <w:rPr>
                <w:lang w:val="fr-FR" w:eastAsia="en-US"/>
              </w:rPr>
              <w:t>&lt; Non-distribution message &gt; ::=</w:t>
            </w:r>
          </w:p>
          <w:p w14:paraId="63AF193F" w14:textId="77777777" w:rsidR="00711444" w:rsidRPr="004D0DAA" w:rsidRDefault="00711444" w:rsidP="00AA2A4C">
            <w:pPr>
              <w:pStyle w:val="TAL"/>
              <w:rPr>
                <w:lang w:val="fr-FR" w:eastAsia="en-US"/>
              </w:rPr>
            </w:pPr>
            <w:r w:rsidRPr="004D0DAA">
              <w:rPr>
                <w:lang w:val="fr-FR" w:eastAsia="en-US"/>
              </w:rPr>
              <w:tab/>
              <w:t>&lt; MESSAGE_TYPE : 0 bit (4) &gt;</w:t>
            </w:r>
          </w:p>
          <w:p w14:paraId="4F688231" w14:textId="77777777" w:rsidR="00711444" w:rsidRPr="004D0DAA" w:rsidRDefault="00711444" w:rsidP="00AA2A4C">
            <w:pPr>
              <w:pStyle w:val="TAL"/>
              <w:rPr>
                <w:lang w:val="fr-FR" w:eastAsia="en-US"/>
              </w:rPr>
            </w:pPr>
            <w:r w:rsidRPr="004D0DAA">
              <w:rPr>
                <w:lang w:val="fr-FR" w:eastAsia="en-US"/>
              </w:rPr>
              <w:tab/>
              <w:t>&lt; Distribution contents &gt;</w:t>
            </w:r>
          </w:p>
          <w:p w14:paraId="775778C0" w14:textId="77777777" w:rsidR="00711444" w:rsidRPr="004D0DAA" w:rsidRDefault="00711444" w:rsidP="00AA2A4C">
            <w:pPr>
              <w:pStyle w:val="TAL"/>
              <w:rPr>
                <w:lang w:val="fr-FR" w:eastAsia="en-US"/>
              </w:rPr>
            </w:pPr>
            <w:r w:rsidRPr="004D0DAA">
              <w:rPr>
                <w:lang w:val="fr-FR" w:eastAsia="en-US"/>
              </w:rPr>
              <w:tab/>
              <w:t>&lt; Address information &gt; &lt; Non-distribution contents &gt;</w:t>
            </w:r>
          </w:p>
          <w:p w14:paraId="71C04D9D" w14:textId="77777777" w:rsidR="00711444" w:rsidRPr="004D0DAA" w:rsidRDefault="00711444" w:rsidP="00AA2A4C">
            <w:pPr>
              <w:pStyle w:val="TAL"/>
              <w:rPr>
                <w:lang w:eastAsia="en-US"/>
              </w:rPr>
            </w:pPr>
            <w:r w:rsidRPr="004D0DAA">
              <w:rPr>
                <w:lang w:val="fr-FR" w:eastAsia="en-US"/>
              </w:rPr>
              <w:tab/>
            </w:r>
            <w:r w:rsidRPr="004D0DAA">
              <w:rPr>
                <w:lang w:eastAsia="en-US"/>
              </w:rPr>
              <w:t>&lt; padding bits &gt; ;</w:t>
            </w:r>
          </w:p>
        </w:tc>
      </w:tr>
    </w:tbl>
    <w:p w14:paraId="2054293C" w14:textId="77777777" w:rsidR="00711444" w:rsidRPr="004D0DAA" w:rsidRDefault="00711444" w:rsidP="00711444"/>
    <w:p w14:paraId="57BEAEFF" w14:textId="77777777" w:rsidR="00711444" w:rsidRPr="004D0DAA" w:rsidRDefault="00711444" w:rsidP="00711444">
      <w:r w:rsidRPr="004D0DAA">
        <w:t>Any mobile station may receive a non-distribution message.</w:t>
      </w:r>
    </w:p>
    <w:p w14:paraId="494C626C" w14:textId="77777777" w:rsidR="00711444" w:rsidRPr="004D0DAA" w:rsidRDefault="00711444" w:rsidP="00711444">
      <w:r w:rsidRPr="004D0DAA">
        <w:t>The 'Distribution contents' of a non-distribution message contains Page Mode information and any specific distribution information according to the syntax defined for the message type. The ‘Distribution contents’ of a non-distribution message on the EC-PACCH contains Used DL Coverage Class information instead of the Page Mode information. The general format of the 'Distribution contents' is defined in sub-clause 11.1.1.1. Depending on the protocol state of the mobile station, the 'Distribution contents' of a non</w:t>
      </w:r>
      <w:r w:rsidRPr="004D0DAA">
        <w:noBreakHyphen/>
        <w:t>distribution message shall be analysed as specified in clauses 5 and 7 of the present document.</w:t>
      </w:r>
    </w:p>
    <w:p w14:paraId="1268B7C2" w14:textId="77777777" w:rsidR="00711444" w:rsidRPr="004D0DAA" w:rsidRDefault="00711444" w:rsidP="00711444">
      <w:r w:rsidRPr="004D0DAA">
        <w:lastRenderedPageBreak/>
        <w:t>The 'Address information' contained in a non-distribution message shall be analysed by a mobile station receiving the message. The 'Non-distribution contents' following the address information shall be ignored by any mobile station not identified by the address information. The allowed addressing options and the specific syntax of the 'Non-distribution contents' depend on the message type. The 'padding bits' of a non-distribution message can be reduced to the null string.</w:t>
      </w:r>
    </w:p>
    <w:p w14:paraId="565E3DE1" w14:textId="77777777" w:rsidR="00711444" w:rsidRPr="004D0DAA" w:rsidRDefault="00711444" w:rsidP="00711444">
      <w:pPr>
        <w:pStyle w:val="Heading5"/>
      </w:pPr>
      <w:bookmarkStart w:id="622" w:name="_Toc516669800"/>
      <w:r w:rsidRPr="004D0DAA">
        <w:t>11.1.1.2.1</w:t>
      </w:r>
      <w:r w:rsidRPr="004D0DAA">
        <w:tab/>
        <w:t>Format of the address information</w:t>
      </w:r>
      <w:bookmarkEnd w:id="622"/>
    </w:p>
    <w:p w14:paraId="7878C79D" w14:textId="77777777" w:rsidR="00711444" w:rsidRPr="004D0DAA" w:rsidRDefault="00711444" w:rsidP="00711444">
      <w:r w:rsidRPr="004D0DAA">
        <w:t>The general format of the 'Address information' in a non-distribution message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E36FB73" w14:textId="77777777" w:rsidTr="00AA2A4C">
        <w:tblPrEx>
          <w:tblCellMar>
            <w:top w:w="0" w:type="dxa"/>
            <w:bottom w:w="0" w:type="dxa"/>
          </w:tblCellMar>
        </w:tblPrEx>
        <w:trPr>
          <w:cantSplit/>
        </w:trPr>
        <w:tc>
          <w:tcPr>
            <w:tcW w:w="9848" w:type="dxa"/>
          </w:tcPr>
          <w:p w14:paraId="4C8EBAEF" w14:textId="77777777" w:rsidR="00711444" w:rsidRPr="004D0DAA" w:rsidRDefault="00711444" w:rsidP="00AA2A4C">
            <w:pPr>
              <w:pStyle w:val="TAL"/>
              <w:rPr>
                <w:lang w:eastAsia="en-US"/>
              </w:rPr>
            </w:pPr>
            <w:r w:rsidRPr="004D0DAA">
              <w:rPr>
                <w:lang w:eastAsia="en-US"/>
              </w:rPr>
              <w:t>&lt; Address information &gt; ::=</w:t>
            </w:r>
          </w:p>
          <w:p w14:paraId="1AA6480E" w14:textId="77777777" w:rsidR="00711444" w:rsidRPr="004D0DAA" w:rsidRDefault="00711444" w:rsidP="00AA2A4C">
            <w:pPr>
              <w:pStyle w:val="TAL"/>
              <w:rPr>
                <w:lang w:eastAsia="en-US"/>
              </w:rPr>
            </w:pPr>
            <w:r w:rsidRPr="004D0DAA">
              <w:rPr>
                <w:lang w:eastAsia="en-US"/>
              </w:rPr>
              <w:tab/>
              <w:t>0</w:t>
            </w:r>
            <w:r w:rsidRPr="004D0DAA">
              <w:rPr>
                <w:lang w:eastAsia="en-US"/>
              </w:rPr>
              <w:tab/>
              <w:t>&lt; Global TFI IE &gt; |</w:t>
            </w:r>
            <w:r w:rsidRPr="004D0DAA">
              <w:rPr>
                <w:lang w:eastAsia="en-US"/>
              </w:rPr>
              <w:tab/>
              <w:t xml:space="preserve">-- </w:t>
            </w:r>
            <w:r w:rsidRPr="004D0DAA">
              <w:rPr>
                <w:i/>
                <w:lang w:eastAsia="en-US"/>
              </w:rPr>
              <w:t>see sub-clause 12.10</w:t>
            </w:r>
          </w:p>
          <w:p w14:paraId="782703C5" w14:textId="77777777" w:rsidR="00711444" w:rsidRPr="004D0DAA" w:rsidRDefault="00711444" w:rsidP="00AA2A4C">
            <w:pPr>
              <w:pStyle w:val="TAL"/>
              <w:rPr>
                <w:lang w:eastAsia="en-US"/>
              </w:rPr>
            </w:pPr>
            <w:r w:rsidRPr="004D0DAA">
              <w:rPr>
                <w:lang w:eastAsia="en-US"/>
              </w:rPr>
              <w:tab/>
              <w:t>1 0</w:t>
            </w:r>
            <w:r w:rsidRPr="004D0DAA">
              <w:rPr>
                <w:lang w:eastAsia="en-US"/>
              </w:rPr>
              <w:tab/>
              <w:t xml:space="preserve">&lt; TLLI </w:t>
            </w:r>
            <w:r w:rsidRPr="004D0DAA">
              <w:rPr>
                <w:b/>
                <w:bCs/>
                <w:lang w:eastAsia="en-US"/>
              </w:rPr>
              <w:t>/</w:t>
            </w:r>
            <w:r w:rsidRPr="004D0DAA">
              <w:rPr>
                <w:lang w:eastAsia="en-US"/>
              </w:rPr>
              <w:t xml:space="preserve"> G-RNTI &gt; |</w:t>
            </w:r>
            <w:r w:rsidRPr="004D0DAA">
              <w:rPr>
                <w:lang w:eastAsia="en-US"/>
              </w:rPr>
              <w:tab/>
              <w:t xml:space="preserve">-- </w:t>
            </w:r>
            <w:r w:rsidRPr="004D0DAA">
              <w:rPr>
                <w:i/>
                <w:lang w:eastAsia="en-US"/>
              </w:rPr>
              <w:t>see sub-clause 12.16</w:t>
            </w:r>
          </w:p>
          <w:p w14:paraId="0BC88FBC" w14:textId="77777777" w:rsidR="00711444" w:rsidRPr="004D0DAA" w:rsidRDefault="00711444" w:rsidP="00AA2A4C">
            <w:pPr>
              <w:pStyle w:val="TAL"/>
              <w:rPr>
                <w:lang w:eastAsia="en-US"/>
              </w:rPr>
            </w:pPr>
            <w:r w:rsidRPr="004D0DAA">
              <w:rPr>
                <w:lang w:eastAsia="en-US"/>
              </w:rPr>
              <w:tab/>
              <w:t>1 1 0</w:t>
            </w:r>
            <w:r w:rsidRPr="004D0DAA">
              <w:rPr>
                <w:lang w:eastAsia="en-US"/>
              </w:rPr>
              <w:tab/>
              <w:t>&lt; TQI &gt; |</w:t>
            </w:r>
            <w:r w:rsidRPr="004D0DAA">
              <w:rPr>
                <w:lang w:eastAsia="en-US"/>
              </w:rPr>
              <w:tab/>
              <w:t xml:space="preserve">-- </w:t>
            </w:r>
            <w:r w:rsidRPr="004D0DAA">
              <w:rPr>
                <w:i/>
                <w:lang w:eastAsia="en-US"/>
              </w:rPr>
              <w:t>see sub-clause 12.17</w:t>
            </w:r>
          </w:p>
          <w:p w14:paraId="283ED9D1" w14:textId="77777777" w:rsidR="00711444" w:rsidRPr="004D0DAA" w:rsidRDefault="00711444" w:rsidP="00AA2A4C">
            <w:pPr>
              <w:pStyle w:val="TAL"/>
              <w:rPr>
                <w:lang w:eastAsia="en-US"/>
              </w:rPr>
            </w:pPr>
            <w:r w:rsidRPr="004D0DAA">
              <w:rPr>
                <w:lang w:eastAsia="en-US"/>
              </w:rPr>
              <w:tab/>
              <w:t>1 1 1</w:t>
            </w:r>
            <w:r w:rsidRPr="004D0DAA">
              <w:rPr>
                <w:lang w:eastAsia="en-US"/>
              </w:rPr>
              <w:tab/>
              <w:t>&lt; Packet Request Reference IE &gt; ;</w:t>
            </w:r>
            <w:r w:rsidRPr="004D0DAA">
              <w:rPr>
                <w:lang w:eastAsia="en-US"/>
              </w:rPr>
              <w:tab/>
              <w:t xml:space="preserve">-- </w:t>
            </w:r>
            <w:r w:rsidRPr="004D0DAA">
              <w:rPr>
                <w:i/>
                <w:lang w:eastAsia="en-US"/>
              </w:rPr>
              <w:t>see sub-clause 12.11</w:t>
            </w:r>
          </w:p>
        </w:tc>
      </w:tr>
    </w:tbl>
    <w:p w14:paraId="6E591A0E" w14:textId="77777777" w:rsidR="00711444" w:rsidRPr="004D0DAA" w:rsidRDefault="00711444" w:rsidP="00711444"/>
    <w:p w14:paraId="6B497C86" w14:textId="77777777" w:rsidR="00711444" w:rsidRPr="004D0DAA" w:rsidRDefault="00711444" w:rsidP="00711444">
      <w:r w:rsidRPr="004D0DAA">
        <w:t>The description of a certain message type may specify a restricted set of addressing options being syntactically correct in the message. A message received with a disallowed addressing option shall be regarded as syntactically incorrect.</w:t>
      </w:r>
    </w:p>
    <w:p w14:paraId="7D3B212E" w14:textId="77777777" w:rsidR="00711444" w:rsidRPr="004D0DAA" w:rsidRDefault="00711444" w:rsidP="00711444">
      <w:pPr>
        <w:pStyle w:val="Heading4"/>
      </w:pPr>
      <w:bookmarkStart w:id="623" w:name="_Toc516669801"/>
      <w:r w:rsidRPr="004D0DAA">
        <w:t>11.1.1.3</w:t>
      </w:r>
      <w:r w:rsidRPr="004D0DAA">
        <w:tab/>
        <w:t>DBPSCH message (</w:t>
      </w:r>
      <w:r w:rsidRPr="004D0DAA">
        <w:rPr>
          <w:i/>
          <w:iCs/>
        </w:rPr>
        <w:t>Iu mode</w:t>
      </w:r>
      <w:r w:rsidRPr="004D0DAA">
        <w:t xml:space="preserve"> only)</w:t>
      </w:r>
      <w:bookmarkEnd w:id="623"/>
    </w:p>
    <w:p w14:paraId="6074CF54" w14:textId="77777777" w:rsidR="00711444" w:rsidRPr="004D0DAA" w:rsidRDefault="00711444" w:rsidP="00711444">
      <w:r w:rsidRPr="004D0DAA">
        <w:t xml:space="preserve">A DBPSCH message is sent exclusively on DBPSCH, from the network to the mobile station, in </w:t>
      </w:r>
      <w:r w:rsidRPr="004D0DAA">
        <w:rPr>
          <w:i/>
          <w:iCs/>
        </w:rPr>
        <w:t>Iu mode</w:t>
      </w:r>
      <w:r w:rsidRPr="004D0DAA">
        <w:t>. The general format of such a message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067512C" w14:textId="77777777" w:rsidTr="00AA2A4C">
        <w:tblPrEx>
          <w:tblCellMar>
            <w:top w:w="0" w:type="dxa"/>
            <w:bottom w:w="0" w:type="dxa"/>
          </w:tblCellMar>
        </w:tblPrEx>
        <w:trPr>
          <w:cantSplit/>
        </w:trPr>
        <w:tc>
          <w:tcPr>
            <w:tcW w:w="9848" w:type="dxa"/>
          </w:tcPr>
          <w:p w14:paraId="7C42BFD3" w14:textId="77777777" w:rsidR="00711444" w:rsidRPr="004D0DAA" w:rsidRDefault="00711444" w:rsidP="00AA2A4C">
            <w:pPr>
              <w:pStyle w:val="TAL"/>
              <w:rPr>
                <w:lang w:eastAsia="en-US"/>
              </w:rPr>
            </w:pPr>
            <w:r w:rsidRPr="004D0DAA">
              <w:rPr>
                <w:lang w:eastAsia="en-US"/>
              </w:rPr>
              <w:t>&lt; DBPSCH message &gt; ::=</w:t>
            </w:r>
          </w:p>
          <w:p w14:paraId="27C5FA97" w14:textId="77777777" w:rsidR="00711444" w:rsidRPr="004D0DAA" w:rsidRDefault="00711444" w:rsidP="00AA2A4C">
            <w:pPr>
              <w:pStyle w:val="TAL"/>
              <w:rPr>
                <w:lang w:eastAsia="en-US"/>
              </w:rPr>
            </w:pPr>
            <w:r w:rsidRPr="004D0DAA">
              <w:rPr>
                <w:lang w:eastAsia="en-US"/>
              </w:rPr>
              <w:tab/>
              <w:t>&lt; DBPSCH message contents &gt;</w:t>
            </w:r>
          </w:p>
          <w:p w14:paraId="712B2CEC" w14:textId="77777777" w:rsidR="00711444" w:rsidRPr="004D0DAA" w:rsidRDefault="00711444" w:rsidP="00AA2A4C">
            <w:pPr>
              <w:pStyle w:val="TAL"/>
              <w:rPr>
                <w:lang w:eastAsia="en-US"/>
              </w:rPr>
            </w:pPr>
            <w:r w:rsidRPr="004D0DAA">
              <w:rPr>
                <w:lang w:eastAsia="en-US"/>
              </w:rPr>
              <w:tab/>
              <w:t>&lt; padding bits &gt; ;</w:t>
            </w:r>
          </w:p>
        </w:tc>
      </w:tr>
    </w:tbl>
    <w:p w14:paraId="36A1CD24" w14:textId="77777777" w:rsidR="00711444" w:rsidRPr="004D0DAA" w:rsidRDefault="00711444" w:rsidP="00711444"/>
    <w:p w14:paraId="7847B4D8" w14:textId="77777777" w:rsidR="00711444" w:rsidRPr="004D0DAA" w:rsidRDefault="00711444" w:rsidP="00711444">
      <w:r w:rsidRPr="004D0DAA">
        <w:t>The 'padding bits' of a DBPSCH message can be reduced to the null string.</w:t>
      </w:r>
    </w:p>
    <w:p w14:paraId="71F1A958" w14:textId="77777777" w:rsidR="00711444" w:rsidRPr="004D0DAA" w:rsidRDefault="00711444" w:rsidP="00711444">
      <w:r w:rsidRPr="004D0DAA">
        <w:t>The general format of the 'DBPSCH message contents' is: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tblGrid>
      <w:tr w:rsidR="00711444" w:rsidRPr="004D0DAA" w14:paraId="68BDD07E" w14:textId="77777777" w:rsidTr="00AA2A4C">
        <w:tblPrEx>
          <w:tblCellMar>
            <w:top w:w="0" w:type="dxa"/>
            <w:bottom w:w="0" w:type="dxa"/>
          </w:tblCellMar>
        </w:tblPrEx>
        <w:trPr>
          <w:cantSplit/>
        </w:trPr>
        <w:tc>
          <w:tcPr>
            <w:tcW w:w="7371" w:type="dxa"/>
          </w:tcPr>
          <w:p w14:paraId="5EFA7DF1" w14:textId="77777777" w:rsidR="00711444" w:rsidRPr="004D0DAA" w:rsidRDefault="00711444" w:rsidP="00AA2A4C">
            <w:pPr>
              <w:pStyle w:val="TAL"/>
              <w:rPr>
                <w:lang w:eastAsia="en-US"/>
              </w:rPr>
            </w:pPr>
            <w:r w:rsidRPr="004D0DAA">
              <w:rPr>
                <w:lang w:eastAsia="en-US"/>
              </w:rPr>
              <w:t>&lt; DBPSCH message contents &gt; ::=</w:t>
            </w:r>
          </w:p>
          <w:p w14:paraId="4ABE72D2" w14:textId="77777777" w:rsidR="00711444" w:rsidRPr="004D0DAA" w:rsidRDefault="00711444" w:rsidP="00AA2A4C">
            <w:pPr>
              <w:pStyle w:val="TAL"/>
              <w:rPr>
                <w:lang w:eastAsia="en-US"/>
              </w:rPr>
            </w:pPr>
            <w:r w:rsidRPr="004D0DAA">
              <w:rPr>
                <w:lang w:eastAsia="en-US"/>
              </w:rPr>
              <w:tab/>
              <w:t>&lt; MESSAGE_TYPE : bit (6) &gt;</w:t>
            </w:r>
          </w:p>
          <w:p w14:paraId="0747CE31" w14:textId="77777777" w:rsidR="00711444" w:rsidRPr="004D0DAA" w:rsidRDefault="00711444" w:rsidP="00AA2A4C">
            <w:pPr>
              <w:pStyle w:val="TAL"/>
              <w:rPr>
                <w:lang w:eastAsia="en-US"/>
              </w:rPr>
            </w:pPr>
            <w:r w:rsidRPr="004D0DAA">
              <w:rPr>
                <w:lang w:eastAsia="en-US"/>
              </w:rPr>
              <w:tab/>
              <w:t>&lt; specific DBPSCH message information &gt; ;</w:t>
            </w:r>
          </w:p>
        </w:tc>
      </w:tr>
    </w:tbl>
    <w:p w14:paraId="54F44F6F" w14:textId="77777777" w:rsidR="00711444" w:rsidRPr="004D0DAA" w:rsidRDefault="00711444" w:rsidP="00711444"/>
    <w:p w14:paraId="3B98311D" w14:textId="77777777" w:rsidR="00711444" w:rsidRPr="004D0DAA" w:rsidRDefault="00711444" w:rsidP="00711444">
      <w:pPr>
        <w:pStyle w:val="Heading3"/>
      </w:pPr>
      <w:bookmarkStart w:id="624" w:name="_Toc516669802"/>
      <w:r w:rsidRPr="004D0DAA">
        <w:t>11.1.2</w:t>
      </w:r>
      <w:r w:rsidRPr="004D0DAA">
        <w:tab/>
        <w:t>Error detection mechanism</w:t>
      </w:r>
      <w:bookmarkEnd w:id="624"/>
    </w:p>
    <w:p w14:paraId="58A0EC91" w14:textId="77777777" w:rsidR="00711444" w:rsidRPr="004D0DAA" w:rsidRDefault="00711444" w:rsidP="00711444">
      <w:r w:rsidRPr="004D0DAA">
        <w:t>The symbol '!' indicates an error branch. It acts as a separator (similar to the '|' choice symbol) where the choice on the right of the '!' are to be considered as an 'error' branch. The symbol '!' allows partial analysis of data in a received message, with some parts of the message to be ignored due to it being syntactically incorrect.</w:t>
      </w:r>
    </w:p>
    <w:p w14:paraId="30A05802" w14:textId="77777777" w:rsidR="00711444" w:rsidRPr="004D0DAA" w:rsidRDefault="00711444" w:rsidP="00711444">
      <w:r w:rsidRPr="004D0DAA">
        <w:t>The description on the left of '!' defines the set of syntactically correct data and shall be recognised correctly. Otherwise, the data associated shall be rejected and the description within the error branch shall be used.</w:t>
      </w:r>
    </w:p>
    <w:p w14:paraId="125D1CB2" w14:textId="77777777" w:rsidR="00711444" w:rsidRPr="004D0DAA" w:rsidRDefault="00711444" w:rsidP="00711444">
      <w:r w:rsidRPr="004D0DAA">
        <w:t>The description within the error branch, on the right of '!', shall accept any syntactically incorrect data. Therefore, according to the error label the relevant error handling procedure shall be implemented.</w:t>
      </w:r>
    </w:p>
    <w:p w14:paraId="19229595" w14:textId="77777777" w:rsidR="00711444" w:rsidRPr="004D0DAA" w:rsidRDefault="00711444" w:rsidP="00711444">
      <w:pPr>
        <w:pStyle w:val="Heading3"/>
      </w:pPr>
      <w:bookmarkStart w:id="625" w:name="_Toc516669803"/>
      <w:r w:rsidRPr="004D0DAA">
        <w:t>11.1.3</w:t>
      </w:r>
      <w:r w:rsidRPr="004D0DAA">
        <w:tab/>
        <w:t>Error labels</w:t>
      </w:r>
      <w:bookmarkEnd w:id="625"/>
    </w:p>
    <w:p w14:paraId="5ED14274" w14:textId="77777777" w:rsidR="00711444" w:rsidRPr="004D0DAA" w:rsidRDefault="00711444" w:rsidP="00711444">
      <w:r w:rsidRPr="004D0DAA">
        <w:t>There are different categories of error labels introduced in clauses 11 and 12 of the present document.</w:t>
      </w:r>
    </w:p>
    <w:p w14:paraId="1CEF475E" w14:textId="77777777" w:rsidR="00711444" w:rsidRPr="004D0DAA" w:rsidRDefault="00711444" w:rsidP="00711444">
      <w:pPr>
        <w:pStyle w:val="Heading4"/>
      </w:pPr>
      <w:bookmarkStart w:id="626" w:name="_Toc516669804"/>
      <w:r w:rsidRPr="004D0DAA">
        <w:lastRenderedPageBreak/>
        <w:t>11.1.3.1</w:t>
      </w:r>
      <w:r w:rsidRPr="004D0DAA">
        <w:tab/>
        <w:t>Generic error labels</w:t>
      </w:r>
      <w:bookmarkEnd w:id="626"/>
    </w:p>
    <w:p w14:paraId="229191DB" w14:textId="77777777" w:rsidR="00711444" w:rsidRPr="004D0DAA" w:rsidRDefault="00711444" w:rsidP="00711444">
      <w:pPr>
        <w:keepNext/>
      </w:pPr>
      <w:r w:rsidRPr="004D0DAA">
        <w:t>Generic error labels are defined for syntactical errors 'Unknown message type', 'Distribution part error', 'Address information part error' and 'Non-distribution part error'.</w:t>
      </w:r>
    </w:p>
    <w:p w14:paraId="45953495" w14:textId="77777777" w:rsidR="00711444" w:rsidRPr="004D0DAA" w:rsidRDefault="00711444" w:rsidP="00711444">
      <w:pPr>
        <w:keepNext/>
      </w:pPr>
      <w:r w:rsidRPr="004D0DAA">
        <w:t>The general format of a distribution message (except for a distribution message on the EC-PACCH), including these error labels,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7330689" w14:textId="77777777" w:rsidTr="00AA2A4C">
        <w:tblPrEx>
          <w:tblCellMar>
            <w:top w:w="0" w:type="dxa"/>
            <w:bottom w:w="0" w:type="dxa"/>
          </w:tblCellMar>
        </w:tblPrEx>
        <w:trPr>
          <w:cantSplit/>
        </w:trPr>
        <w:tc>
          <w:tcPr>
            <w:tcW w:w="9848" w:type="dxa"/>
          </w:tcPr>
          <w:p w14:paraId="080F108C" w14:textId="77777777" w:rsidR="00711444" w:rsidRPr="004D0DAA" w:rsidRDefault="00711444" w:rsidP="00AA2A4C">
            <w:pPr>
              <w:pStyle w:val="TAL"/>
              <w:rPr>
                <w:lang w:eastAsia="en-US"/>
              </w:rPr>
            </w:pPr>
            <w:r w:rsidRPr="004D0DAA">
              <w:rPr>
                <w:lang w:eastAsia="en-US"/>
              </w:rPr>
              <w:t>&lt; Distribution message &gt; ::=</w:t>
            </w:r>
          </w:p>
          <w:p w14:paraId="44FA8B39" w14:textId="77777777" w:rsidR="00711444" w:rsidRPr="004D0DAA" w:rsidRDefault="00711444" w:rsidP="00AA2A4C">
            <w:pPr>
              <w:pStyle w:val="TAL"/>
              <w:rPr>
                <w:lang w:eastAsia="en-US"/>
              </w:rPr>
            </w:pPr>
            <w:r w:rsidRPr="004D0DAA">
              <w:rPr>
                <w:lang w:eastAsia="en-US"/>
              </w:rPr>
              <w:tab/>
              <w:t>&lt; MESSAGE_TYPE : 1 bit (5) &gt;</w:t>
            </w:r>
          </w:p>
          <w:p w14:paraId="5ABBE4AB" w14:textId="77777777" w:rsidR="00711444" w:rsidRPr="004D0DAA" w:rsidRDefault="00711444" w:rsidP="00AA2A4C">
            <w:pPr>
              <w:pStyle w:val="TAL"/>
              <w:rPr>
                <w:lang w:eastAsia="en-US"/>
              </w:rPr>
            </w:pPr>
            <w:r w:rsidRPr="004D0DAA">
              <w:rPr>
                <w:lang w:eastAsia="en-US"/>
              </w:rPr>
              <w:tab/>
              <w:t>{</w:t>
            </w:r>
            <w:r w:rsidRPr="004D0DAA">
              <w:rPr>
                <w:lang w:eastAsia="en-US"/>
              </w:rPr>
              <w:tab/>
              <w:t>&lt; Distribution contents &gt;</w:t>
            </w:r>
          </w:p>
          <w:p w14:paraId="75406197"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41ECC628" w14:textId="77777777" w:rsidR="00711444" w:rsidRPr="004D0DAA" w:rsidRDefault="00711444" w:rsidP="00AA2A4C">
            <w:pPr>
              <w:pStyle w:val="TAL"/>
              <w:rPr>
                <w:lang w:eastAsia="en-US"/>
              </w:rPr>
            </w:pPr>
            <w:r w:rsidRPr="004D0DAA">
              <w:rPr>
                <w:lang w:eastAsia="en-US"/>
              </w:rPr>
              <w:tab/>
            </w:r>
            <w:r w:rsidRPr="004D0DAA">
              <w:rPr>
                <w:sz w:val="24"/>
                <w:lang w:eastAsia="en-US"/>
              </w:rPr>
              <w:tab/>
            </w:r>
            <w:r w:rsidRPr="004D0DAA">
              <w:rPr>
                <w:lang w:eastAsia="en-US"/>
              </w:rPr>
              <w:t>! &lt; Distribution part error : bit (*) = &lt; no string &gt; &gt; }</w:t>
            </w:r>
          </w:p>
          <w:p w14:paraId="337AC061" w14:textId="77777777" w:rsidR="00711444" w:rsidRPr="004D0DAA" w:rsidRDefault="00711444" w:rsidP="00AA2A4C">
            <w:pPr>
              <w:pStyle w:val="TAL"/>
              <w:rPr>
                <w:lang w:eastAsia="en-US"/>
              </w:rPr>
            </w:pPr>
            <w:r w:rsidRPr="004D0DAA">
              <w:rPr>
                <w:sz w:val="24"/>
                <w:lang w:eastAsia="en-US"/>
              </w:rPr>
              <w:tab/>
            </w:r>
            <w:r w:rsidRPr="004D0DAA">
              <w:rPr>
                <w:lang w:eastAsia="en-US"/>
              </w:rPr>
              <w:t>! &lt; Unknown message type : bit (6) = &lt; no string &gt; &lt; Default downlink message content &gt; &gt; ;</w:t>
            </w:r>
          </w:p>
        </w:tc>
      </w:tr>
    </w:tbl>
    <w:p w14:paraId="4B8E5936" w14:textId="77777777" w:rsidR="00711444" w:rsidRPr="004D0DAA" w:rsidRDefault="00711444" w:rsidP="00711444"/>
    <w:p w14:paraId="2F01433C" w14:textId="77777777" w:rsidR="00711444" w:rsidRPr="004D0DAA" w:rsidRDefault="00711444" w:rsidP="00711444">
      <w:pPr>
        <w:keepNext/>
      </w:pPr>
      <w:r w:rsidRPr="004D0DAA">
        <w:t>The general format of a distribution message on the EC-PACCH, including these error labels,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41800BF" w14:textId="77777777" w:rsidTr="00AA2A4C">
        <w:tblPrEx>
          <w:tblCellMar>
            <w:top w:w="0" w:type="dxa"/>
            <w:bottom w:w="0" w:type="dxa"/>
          </w:tblCellMar>
        </w:tblPrEx>
        <w:trPr>
          <w:cantSplit/>
        </w:trPr>
        <w:tc>
          <w:tcPr>
            <w:tcW w:w="9848" w:type="dxa"/>
          </w:tcPr>
          <w:p w14:paraId="5E7D2DBC" w14:textId="77777777" w:rsidR="00711444" w:rsidRPr="004D0DAA" w:rsidRDefault="00711444" w:rsidP="00AA2A4C">
            <w:pPr>
              <w:pStyle w:val="TAL"/>
              <w:rPr>
                <w:lang w:eastAsia="en-US"/>
              </w:rPr>
            </w:pPr>
            <w:r w:rsidRPr="004D0DAA">
              <w:rPr>
                <w:lang w:eastAsia="en-US"/>
              </w:rPr>
              <w:t>&lt; Distribution message &gt; ::=</w:t>
            </w:r>
          </w:p>
          <w:p w14:paraId="03507671" w14:textId="77777777" w:rsidR="00711444" w:rsidRPr="004D0DAA" w:rsidRDefault="00711444" w:rsidP="00AA2A4C">
            <w:pPr>
              <w:pStyle w:val="TAL"/>
              <w:rPr>
                <w:lang w:eastAsia="en-US"/>
              </w:rPr>
            </w:pPr>
            <w:r w:rsidRPr="004D0DAA">
              <w:rPr>
                <w:lang w:eastAsia="en-US"/>
              </w:rPr>
              <w:tab/>
              <w:t>&lt; MESSAGE_TYPE : 1 bit (4) &gt;</w:t>
            </w:r>
          </w:p>
          <w:p w14:paraId="40DC8B2B" w14:textId="77777777" w:rsidR="00711444" w:rsidRPr="004D0DAA" w:rsidRDefault="00711444" w:rsidP="00AA2A4C">
            <w:pPr>
              <w:pStyle w:val="TAL"/>
              <w:rPr>
                <w:lang w:eastAsia="en-US"/>
              </w:rPr>
            </w:pPr>
            <w:r w:rsidRPr="004D0DAA">
              <w:rPr>
                <w:lang w:eastAsia="en-US"/>
              </w:rPr>
              <w:tab/>
              <w:t>{</w:t>
            </w:r>
            <w:r w:rsidRPr="004D0DAA">
              <w:rPr>
                <w:lang w:eastAsia="en-US"/>
              </w:rPr>
              <w:tab/>
              <w:t>&lt; Distribution contents &gt;</w:t>
            </w:r>
          </w:p>
          <w:p w14:paraId="67D3BA5A"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40A0F559" w14:textId="77777777" w:rsidR="00711444" w:rsidRPr="004D0DAA" w:rsidRDefault="00711444" w:rsidP="00AA2A4C">
            <w:pPr>
              <w:pStyle w:val="TAL"/>
              <w:rPr>
                <w:lang w:eastAsia="en-US"/>
              </w:rPr>
            </w:pPr>
            <w:r w:rsidRPr="004D0DAA">
              <w:rPr>
                <w:lang w:eastAsia="en-US"/>
              </w:rPr>
              <w:tab/>
            </w:r>
            <w:r w:rsidRPr="004D0DAA">
              <w:rPr>
                <w:sz w:val="24"/>
                <w:lang w:eastAsia="en-US"/>
              </w:rPr>
              <w:tab/>
            </w:r>
            <w:r w:rsidRPr="004D0DAA">
              <w:rPr>
                <w:lang w:eastAsia="en-US"/>
              </w:rPr>
              <w:t>! &lt; Distribution part error : bit (*) = &lt; no string &gt; &gt; }</w:t>
            </w:r>
          </w:p>
          <w:p w14:paraId="79F12B53" w14:textId="77777777" w:rsidR="00711444" w:rsidRPr="004D0DAA" w:rsidRDefault="00711444" w:rsidP="00AA2A4C">
            <w:pPr>
              <w:pStyle w:val="TAL"/>
              <w:rPr>
                <w:lang w:eastAsia="en-US"/>
              </w:rPr>
            </w:pPr>
            <w:r w:rsidRPr="004D0DAA">
              <w:rPr>
                <w:sz w:val="24"/>
                <w:lang w:eastAsia="en-US"/>
              </w:rPr>
              <w:tab/>
            </w:r>
            <w:r w:rsidRPr="004D0DAA">
              <w:rPr>
                <w:lang w:eastAsia="en-US"/>
              </w:rPr>
              <w:t>! &lt; Unknown message type : bit (5) = &lt; no string &gt; &lt; Default downlink message content &gt; &gt; ;</w:t>
            </w:r>
          </w:p>
        </w:tc>
      </w:tr>
    </w:tbl>
    <w:p w14:paraId="17E160F4" w14:textId="77777777" w:rsidR="00711444" w:rsidRPr="004D0DAA" w:rsidRDefault="00711444" w:rsidP="00711444"/>
    <w:p w14:paraId="3C5121A5" w14:textId="77777777" w:rsidR="00711444" w:rsidRPr="004D0DAA" w:rsidRDefault="00711444" w:rsidP="00711444">
      <w:r w:rsidRPr="004D0DAA">
        <w:t>The general format of a non-distribution message (except for a non-distribution message on the EC-PACCH), including these error labels,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2EDAA38" w14:textId="77777777" w:rsidTr="00AA2A4C">
        <w:tblPrEx>
          <w:tblCellMar>
            <w:top w:w="0" w:type="dxa"/>
            <w:bottom w:w="0" w:type="dxa"/>
          </w:tblCellMar>
        </w:tblPrEx>
        <w:trPr>
          <w:cantSplit/>
        </w:trPr>
        <w:tc>
          <w:tcPr>
            <w:tcW w:w="9848" w:type="dxa"/>
          </w:tcPr>
          <w:p w14:paraId="0F8488D7" w14:textId="77777777" w:rsidR="00711444" w:rsidRPr="004D0DAA" w:rsidRDefault="00711444" w:rsidP="00AA2A4C">
            <w:pPr>
              <w:pStyle w:val="TAL"/>
              <w:rPr>
                <w:lang w:val="fr-FR" w:eastAsia="en-US"/>
              </w:rPr>
            </w:pPr>
            <w:r w:rsidRPr="004D0DAA">
              <w:rPr>
                <w:lang w:val="fr-FR" w:eastAsia="en-US"/>
              </w:rPr>
              <w:t>&lt; Non-distribution message &gt; ::=</w:t>
            </w:r>
          </w:p>
          <w:p w14:paraId="6A826809" w14:textId="77777777" w:rsidR="00711444" w:rsidRPr="004D0DAA" w:rsidRDefault="00711444" w:rsidP="00AA2A4C">
            <w:pPr>
              <w:pStyle w:val="TAL"/>
              <w:rPr>
                <w:lang w:val="fr-FR" w:eastAsia="en-US"/>
              </w:rPr>
            </w:pPr>
            <w:r w:rsidRPr="004D0DAA">
              <w:rPr>
                <w:lang w:val="fr-FR" w:eastAsia="en-US"/>
              </w:rPr>
              <w:tab/>
              <w:t>&lt; MESSAGE_TYPE : 0 bit (5) &gt;</w:t>
            </w:r>
          </w:p>
          <w:p w14:paraId="27DE097F"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&lt; Distribution contents &gt;</w:t>
            </w:r>
          </w:p>
          <w:p w14:paraId="0C1F1A04"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w:t>
            </w:r>
            <w:r w:rsidRPr="004D0DAA">
              <w:rPr>
                <w:lang w:val="fr-FR" w:eastAsia="en-US"/>
              </w:rPr>
              <w:tab/>
              <w:t>&lt; Address information &gt;</w:t>
            </w:r>
          </w:p>
          <w:p w14:paraId="2035CCDE"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w:t>
            </w:r>
            <w:r w:rsidRPr="004D0DAA">
              <w:rPr>
                <w:lang w:val="fr-FR" w:eastAsia="en-US"/>
              </w:rPr>
              <w:tab/>
              <w:t>&lt; Non-distribution contents &gt;</w:t>
            </w:r>
          </w:p>
          <w:p w14:paraId="4B012A14"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&lt; padding bits &gt;</w:t>
            </w:r>
          </w:p>
          <w:p w14:paraId="06B81B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 w:val="24"/>
                <w:lang w:eastAsia="en-US"/>
              </w:rPr>
              <w:tab/>
            </w:r>
            <w:r w:rsidRPr="004D0DAA">
              <w:rPr>
                <w:lang w:eastAsia="en-US"/>
              </w:rPr>
              <w:t>! &lt; Non-distribution part error : bit (*) = &lt; no string &gt; &gt; }</w:t>
            </w:r>
          </w:p>
          <w:p w14:paraId="60002BF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 w:val="24"/>
                <w:lang w:eastAsia="en-US"/>
              </w:rPr>
              <w:tab/>
            </w:r>
            <w:r w:rsidRPr="004D0DAA">
              <w:rPr>
                <w:lang w:eastAsia="en-US"/>
              </w:rPr>
              <w:t>! &lt; Address information part error : bit (*) = &lt; no string &gt; &gt; }</w:t>
            </w:r>
          </w:p>
          <w:p w14:paraId="01A36BA4" w14:textId="77777777" w:rsidR="00711444" w:rsidRPr="004D0DAA" w:rsidRDefault="00711444" w:rsidP="00AA2A4C">
            <w:pPr>
              <w:pStyle w:val="TAL"/>
              <w:rPr>
                <w:lang w:eastAsia="en-US"/>
              </w:rPr>
            </w:pPr>
            <w:r w:rsidRPr="004D0DAA">
              <w:rPr>
                <w:lang w:eastAsia="en-US"/>
              </w:rPr>
              <w:tab/>
            </w:r>
            <w:r w:rsidRPr="004D0DAA">
              <w:rPr>
                <w:sz w:val="24"/>
                <w:lang w:eastAsia="en-US"/>
              </w:rPr>
              <w:tab/>
            </w:r>
            <w:r w:rsidRPr="004D0DAA">
              <w:rPr>
                <w:lang w:eastAsia="en-US"/>
              </w:rPr>
              <w:t>! &lt; Distribution part error : bit (*) = &lt; no string &gt; &gt; }</w:t>
            </w:r>
          </w:p>
          <w:p w14:paraId="75651BF0" w14:textId="77777777" w:rsidR="00711444" w:rsidRPr="004D0DAA" w:rsidRDefault="00711444" w:rsidP="00AA2A4C">
            <w:pPr>
              <w:pStyle w:val="TAL"/>
              <w:rPr>
                <w:lang w:eastAsia="en-US"/>
              </w:rPr>
            </w:pPr>
            <w:r w:rsidRPr="004D0DAA">
              <w:rPr>
                <w:sz w:val="24"/>
                <w:lang w:eastAsia="en-US"/>
              </w:rPr>
              <w:tab/>
            </w:r>
            <w:r w:rsidRPr="004D0DAA">
              <w:rPr>
                <w:lang w:eastAsia="en-US"/>
              </w:rPr>
              <w:t>! &lt; Unknown message type : bit (6) = &lt; no string &gt; &lt; Default downlink message content &gt; &gt; ;</w:t>
            </w:r>
          </w:p>
        </w:tc>
      </w:tr>
    </w:tbl>
    <w:p w14:paraId="32A7F83E" w14:textId="77777777" w:rsidR="00711444" w:rsidRPr="004D0DAA" w:rsidRDefault="00711444" w:rsidP="00711444"/>
    <w:p w14:paraId="70EB2A74" w14:textId="77777777" w:rsidR="00711444" w:rsidRPr="004D0DAA" w:rsidRDefault="00711444" w:rsidP="00711444">
      <w:r w:rsidRPr="004D0DAA">
        <w:t>The general format of a non-distribution message on the EC-PACCH, including these error labels,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9212F54" w14:textId="77777777" w:rsidTr="00AA2A4C">
        <w:tblPrEx>
          <w:tblCellMar>
            <w:top w:w="0" w:type="dxa"/>
            <w:bottom w:w="0" w:type="dxa"/>
          </w:tblCellMar>
        </w:tblPrEx>
        <w:trPr>
          <w:cantSplit/>
        </w:trPr>
        <w:tc>
          <w:tcPr>
            <w:tcW w:w="9848" w:type="dxa"/>
          </w:tcPr>
          <w:p w14:paraId="08C88C5F" w14:textId="77777777" w:rsidR="00711444" w:rsidRPr="004D0DAA" w:rsidRDefault="00711444" w:rsidP="00AA2A4C">
            <w:pPr>
              <w:pStyle w:val="TAL"/>
              <w:rPr>
                <w:lang w:val="fr-FR" w:eastAsia="en-US"/>
              </w:rPr>
            </w:pPr>
            <w:r w:rsidRPr="004D0DAA">
              <w:rPr>
                <w:lang w:val="fr-FR" w:eastAsia="en-US"/>
              </w:rPr>
              <w:t>&lt; Non-distribution message &gt; ::=</w:t>
            </w:r>
          </w:p>
          <w:p w14:paraId="10BDBF1A" w14:textId="77777777" w:rsidR="00711444" w:rsidRPr="004D0DAA" w:rsidRDefault="00711444" w:rsidP="00AA2A4C">
            <w:pPr>
              <w:pStyle w:val="TAL"/>
              <w:rPr>
                <w:lang w:val="fr-FR" w:eastAsia="en-US"/>
              </w:rPr>
            </w:pPr>
            <w:r w:rsidRPr="004D0DAA">
              <w:rPr>
                <w:lang w:val="fr-FR" w:eastAsia="en-US"/>
              </w:rPr>
              <w:tab/>
              <w:t>&lt; MESSAGE_TYPE : 0 bit (4) &gt;</w:t>
            </w:r>
          </w:p>
          <w:p w14:paraId="5A5910D3"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&lt; Distribution contents &gt;</w:t>
            </w:r>
          </w:p>
          <w:p w14:paraId="25E75A54"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w:t>
            </w:r>
            <w:r w:rsidRPr="004D0DAA">
              <w:rPr>
                <w:lang w:val="fr-FR" w:eastAsia="en-US"/>
              </w:rPr>
              <w:tab/>
              <w:t>&lt; Address information &gt;</w:t>
            </w:r>
          </w:p>
          <w:p w14:paraId="3780FCAB"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w:t>
            </w:r>
            <w:r w:rsidRPr="004D0DAA">
              <w:rPr>
                <w:lang w:val="fr-FR" w:eastAsia="en-US"/>
              </w:rPr>
              <w:tab/>
              <w:t>&lt; Non-distribution contents &gt;</w:t>
            </w:r>
          </w:p>
          <w:p w14:paraId="6A69EFC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&lt; padding bits &gt;</w:t>
            </w:r>
          </w:p>
          <w:p w14:paraId="7D20A6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 w:val="24"/>
                <w:lang w:eastAsia="en-US"/>
              </w:rPr>
              <w:tab/>
            </w:r>
            <w:r w:rsidRPr="004D0DAA">
              <w:rPr>
                <w:lang w:eastAsia="en-US"/>
              </w:rPr>
              <w:t>! &lt; Non-distribution part error : bit (*) = &lt; no string &gt; &gt; }</w:t>
            </w:r>
          </w:p>
          <w:p w14:paraId="6899696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 w:val="24"/>
                <w:lang w:eastAsia="en-US"/>
              </w:rPr>
              <w:tab/>
            </w:r>
            <w:r w:rsidRPr="004D0DAA">
              <w:rPr>
                <w:lang w:eastAsia="en-US"/>
              </w:rPr>
              <w:t>! &lt; Address information part error : bit (*) = &lt; no string &gt; &gt; }</w:t>
            </w:r>
          </w:p>
          <w:p w14:paraId="606CCD76" w14:textId="77777777" w:rsidR="00711444" w:rsidRPr="004D0DAA" w:rsidRDefault="00711444" w:rsidP="00AA2A4C">
            <w:pPr>
              <w:pStyle w:val="TAL"/>
              <w:rPr>
                <w:lang w:eastAsia="en-US"/>
              </w:rPr>
            </w:pPr>
            <w:r w:rsidRPr="004D0DAA">
              <w:rPr>
                <w:lang w:eastAsia="en-US"/>
              </w:rPr>
              <w:tab/>
            </w:r>
            <w:r w:rsidRPr="004D0DAA">
              <w:rPr>
                <w:sz w:val="24"/>
                <w:lang w:eastAsia="en-US"/>
              </w:rPr>
              <w:tab/>
            </w:r>
            <w:r w:rsidRPr="004D0DAA">
              <w:rPr>
                <w:lang w:eastAsia="en-US"/>
              </w:rPr>
              <w:t>! &lt; Distribution part error : bit (*) = &lt; no string &gt; &gt; }</w:t>
            </w:r>
          </w:p>
          <w:p w14:paraId="4913012E" w14:textId="77777777" w:rsidR="00711444" w:rsidRPr="004D0DAA" w:rsidRDefault="00711444" w:rsidP="00AA2A4C">
            <w:pPr>
              <w:pStyle w:val="TAL"/>
              <w:rPr>
                <w:lang w:eastAsia="en-US"/>
              </w:rPr>
            </w:pPr>
            <w:r w:rsidRPr="004D0DAA">
              <w:rPr>
                <w:sz w:val="24"/>
                <w:lang w:eastAsia="en-US"/>
              </w:rPr>
              <w:tab/>
            </w:r>
            <w:r w:rsidRPr="004D0DAA">
              <w:rPr>
                <w:lang w:eastAsia="en-US"/>
              </w:rPr>
              <w:t>! &lt; Unknown message type : bit (5) = &lt; no string &gt; &lt; Default downlink message content &gt; &gt; ;</w:t>
            </w:r>
          </w:p>
        </w:tc>
      </w:tr>
    </w:tbl>
    <w:p w14:paraId="09219FC2" w14:textId="77777777" w:rsidR="00711444" w:rsidRPr="004D0DAA" w:rsidRDefault="00711444" w:rsidP="00711444"/>
    <w:p w14:paraId="69FA7ADD" w14:textId="77777777" w:rsidR="00711444" w:rsidRPr="004D0DAA" w:rsidRDefault="00711444" w:rsidP="00711444">
      <w:r w:rsidRPr="004D0DAA">
        <w:t>The general format of a DBPSCH message, including these error labels,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59ECC7C" w14:textId="77777777" w:rsidTr="00AA2A4C">
        <w:tblPrEx>
          <w:tblCellMar>
            <w:top w:w="0" w:type="dxa"/>
            <w:bottom w:w="0" w:type="dxa"/>
          </w:tblCellMar>
        </w:tblPrEx>
        <w:trPr>
          <w:cantSplit/>
        </w:trPr>
        <w:tc>
          <w:tcPr>
            <w:tcW w:w="9848" w:type="dxa"/>
          </w:tcPr>
          <w:p w14:paraId="494862A0" w14:textId="77777777" w:rsidR="00711444" w:rsidRPr="004D0DAA" w:rsidRDefault="00711444" w:rsidP="00AA2A4C">
            <w:pPr>
              <w:pStyle w:val="TAL"/>
              <w:rPr>
                <w:lang w:eastAsia="en-US"/>
              </w:rPr>
            </w:pPr>
            <w:r w:rsidRPr="004D0DAA">
              <w:rPr>
                <w:lang w:eastAsia="en-US"/>
              </w:rPr>
              <w:t>&lt; DBPSCH message &gt; ::=</w:t>
            </w:r>
          </w:p>
          <w:p w14:paraId="78FC7501" w14:textId="77777777" w:rsidR="00711444" w:rsidRPr="004D0DAA" w:rsidRDefault="00711444" w:rsidP="00AA2A4C">
            <w:pPr>
              <w:pStyle w:val="TAL"/>
              <w:rPr>
                <w:lang w:eastAsia="en-US"/>
              </w:rPr>
            </w:pPr>
            <w:r w:rsidRPr="004D0DAA">
              <w:rPr>
                <w:lang w:eastAsia="en-US"/>
              </w:rPr>
              <w:tab/>
              <w:t>{</w:t>
            </w:r>
            <w:r w:rsidRPr="004D0DAA">
              <w:rPr>
                <w:lang w:eastAsia="en-US"/>
              </w:rPr>
              <w:tab/>
              <w:t>&lt; DBPSCH message contents &gt;</w:t>
            </w:r>
          </w:p>
          <w:p w14:paraId="0821A240"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0D5A2088" w14:textId="77777777" w:rsidR="00711444" w:rsidRPr="004D0DAA" w:rsidRDefault="00711444" w:rsidP="00AA2A4C">
            <w:pPr>
              <w:pStyle w:val="TAL"/>
              <w:rPr>
                <w:lang w:eastAsia="en-US"/>
              </w:rPr>
            </w:pPr>
            <w:r w:rsidRPr="004D0DAA">
              <w:rPr>
                <w:lang w:eastAsia="en-US"/>
              </w:rPr>
              <w:tab/>
            </w:r>
            <w:r w:rsidRPr="004D0DAA">
              <w:rPr>
                <w:lang w:eastAsia="en-US"/>
              </w:rPr>
              <w:tab/>
              <w:t>! &lt; DBPSCH message part error : bit (*) = &lt; no string &gt; &gt; } ;</w:t>
            </w:r>
          </w:p>
        </w:tc>
      </w:tr>
    </w:tbl>
    <w:p w14:paraId="48178B09" w14:textId="77777777" w:rsidR="00711444" w:rsidRPr="004D0DAA" w:rsidRDefault="00711444" w:rsidP="00711444"/>
    <w:p w14:paraId="4A3DB7E1" w14:textId="77777777" w:rsidR="00711444" w:rsidRPr="004D0DAA" w:rsidRDefault="00711444" w:rsidP="00711444">
      <w:r w:rsidRPr="004D0DAA">
        <w:t>These error labels allow ignoring a part of the message that is syntactically incorrect. Once an error is detected, the error branch is called. Except for the 'Unknown message type', the error branch is, followed by an unspecified bit string that expands to the end of the message. The corresponding data is ignored. In case of an 'Unknown message type', further treatment of the message is defined in</w:t>
      </w:r>
      <w:r w:rsidRPr="004D0DAA">
        <w:rPr>
          <w:i/>
        </w:rPr>
        <w:t xml:space="preserve"> </w:t>
      </w:r>
      <w:r w:rsidRPr="004D0DAA">
        <w:rPr>
          <w:iCs/>
        </w:rPr>
        <w:t>sub-clause</w:t>
      </w:r>
      <w:r w:rsidRPr="004D0DAA">
        <w:t xml:space="preserve"> 11.1.4.1.</w:t>
      </w:r>
    </w:p>
    <w:p w14:paraId="3CC403E3" w14:textId="77777777" w:rsidR="00711444" w:rsidRPr="004D0DAA" w:rsidRDefault="00711444" w:rsidP="00711444">
      <w:pPr>
        <w:pStyle w:val="Heading4"/>
      </w:pPr>
      <w:bookmarkStart w:id="627" w:name="_Toc516669805"/>
      <w:r w:rsidRPr="004D0DAA">
        <w:lastRenderedPageBreak/>
        <w:t>11.1.3.2</w:t>
      </w:r>
      <w:r w:rsidRPr="004D0DAA">
        <w:tab/>
        <w:t>'Ignore' error label</w:t>
      </w:r>
      <w:bookmarkEnd w:id="627"/>
    </w:p>
    <w:p w14:paraId="46D5EA70" w14:textId="77777777" w:rsidR="00711444" w:rsidRPr="004D0DAA" w:rsidRDefault="00711444" w:rsidP="00711444">
      <w:r w:rsidRPr="004D0DAA">
        <w:t>An 'Ignore' error label is used to ignore part of the message. The generic description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F3CC2F7" w14:textId="77777777" w:rsidTr="00AA2A4C">
        <w:tblPrEx>
          <w:tblCellMar>
            <w:top w:w="0" w:type="dxa"/>
            <w:bottom w:w="0" w:type="dxa"/>
          </w:tblCellMar>
        </w:tblPrEx>
        <w:trPr>
          <w:cantSplit/>
        </w:trPr>
        <w:tc>
          <w:tcPr>
            <w:tcW w:w="9848" w:type="dxa"/>
          </w:tcPr>
          <w:p w14:paraId="178FB5C3" w14:textId="77777777" w:rsidR="00711444" w:rsidRPr="004D0DAA" w:rsidRDefault="00711444" w:rsidP="00AA2A4C">
            <w:pPr>
              <w:pStyle w:val="TAL"/>
              <w:rPr>
                <w:lang w:eastAsia="en-US"/>
              </w:rPr>
            </w:pPr>
            <w:r w:rsidRPr="004D0DAA">
              <w:rPr>
                <w:lang w:eastAsia="en-US"/>
              </w:rPr>
              <w:tab/>
              <w:t>&lt; content &gt; ! &lt; Ignore : bit (*) = &lt; no string &gt; &gt;</w:t>
            </w:r>
            <w:r w:rsidRPr="004D0DAA">
              <w:rPr>
                <w:lang w:eastAsia="en-US"/>
              </w:rPr>
              <w:tab/>
              <w:t xml:space="preserve">-- </w:t>
            </w:r>
            <w:r w:rsidRPr="004D0DAA">
              <w:rPr>
                <w:i/>
                <w:lang w:eastAsia="en-US"/>
              </w:rPr>
              <w:t>Ignore by indefinite length</w:t>
            </w:r>
          </w:p>
        </w:tc>
      </w:tr>
    </w:tbl>
    <w:p w14:paraId="591088B9" w14:textId="77777777" w:rsidR="00711444" w:rsidRPr="004D0DAA" w:rsidRDefault="00711444" w:rsidP="00711444"/>
    <w:p w14:paraId="6A59F8F2" w14:textId="77777777" w:rsidR="00711444" w:rsidRPr="004D0DAA" w:rsidRDefault="00711444" w:rsidP="00711444">
      <w:r w:rsidRPr="004D0DAA">
        <w:t>Or</w:t>
      </w:r>
    </w:p>
    <w:p w14:paraId="18B050A8" w14:textId="77777777" w:rsidR="00711444" w:rsidRPr="004D0DAA" w:rsidRDefault="00711444" w:rsidP="00711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49BBD28" w14:textId="77777777" w:rsidTr="00AA2A4C">
        <w:tblPrEx>
          <w:tblCellMar>
            <w:top w:w="0" w:type="dxa"/>
            <w:bottom w:w="0" w:type="dxa"/>
          </w:tblCellMar>
        </w:tblPrEx>
        <w:trPr>
          <w:cantSplit/>
        </w:trPr>
        <w:tc>
          <w:tcPr>
            <w:tcW w:w="9848" w:type="dxa"/>
          </w:tcPr>
          <w:p w14:paraId="3F12F05C" w14:textId="77777777" w:rsidR="00711444" w:rsidRPr="004D0DAA" w:rsidRDefault="00711444" w:rsidP="00AA2A4C">
            <w:pPr>
              <w:pStyle w:val="TAL"/>
              <w:rPr>
                <w:lang w:eastAsia="en-US"/>
              </w:rPr>
            </w:pPr>
            <w:r w:rsidRPr="004D0DAA">
              <w:rPr>
                <w:lang w:eastAsia="en-US"/>
              </w:rPr>
              <w:tab/>
              <w:t>&lt; content of fixed length n &gt; ! &lt; Ignore : bit (n) = &lt; no string &gt; &gt;</w:t>
            </w:r>
            <w:r w:rsidRPr="004D0DAA">
              <w:rPr>
                <w:lang w:eastAsia="en-US"/>
              </w:rPr>
              <w:tab/>
              <w:t xml:space="preserve">-- </w:t>
            </w:r>
            <w:r w:rsidRPr="004D0DAA">
              <w:rPr>
                <w:i/>
                <w:lang w:eastAsia="en-US"/>
              </w:rPr>
              <w:t>Ignore by definite length</w:t>
            </w:r>
          </w:p>
        </w:tc>
      </w:tr>
    </w:tbl>
    <w:p w14:paraId="75B48929" w14:textId="77777777" w:rsidR="00711444" w:rsidRPr="004D0DAA" w:rsidRDefault="00711444" w:rsidP="00711444"/>
    <w:p w14:paraId="29FEDDBC" w14:textId="77777777" w:rsidR="00711444" w:rsidRPr="004D0DAA" w:rsidRDefault="00711444" w:rsidP="00711444">
      <w:r w:rsidRPr="004D0DAA">
        <w:t>An 'Ignore' error label shall be applied by the receiver of a downlink RLC/MAC control message when specified in the message description in clauses 11 and 12 of the present document. This error label allows ignoring a part of the message that is syntactically incorrect. Once the error is detected, the error branch 'Ignore' is called followed by an unspecified bit string.</w:t>
      </w:r>
    </w:p>
    <w:p w14:paraId="318D483E" w14:textId="77777777" w:rsidR="00711444" w:rsidRPr="004D0DAA" w:rsidRDefault="00711444" w:rsidP="00711444">
      <w:r w:rsidRPr="004D0DAA">
        <w:t>When this error label is used with an indefinite length (bit (*) = &lt; no string &gt;), the unspecified bit string expands to the end of the message and the corresponding data is ignored.</w:t>
      </w:r>
    </w:p>
    <w:p w14:paraId="14194F4A" w14:textId="77777777" w:rsidR="00711444" w:rsidRPr="004D0DAA" w:rsidRDefault="00711444" w:rsidP="00711444">
      <w:pPr>
        <w:pStyle w:val="NO"/>
      </w:pPr>
      <w:r w:rsidRPr="004D0DAA">
        <w:t>NOTE:</w:t>
      </w:r>
      <w:r w:rsidRPr="004D0DAA">
        <w:tab/>
        <w:t>If this error label is used with the indefinite length within a structure or delimited description (i.e. within { } brackets), any description following the structure or delimited description must allow truncation, in order to be consistent with the CSN.1 description of the message.</w:t>
      </w:r>
    </w:p>
    <w:p w14:paraId="2A03786A" w14:textId="77777777" w:rsidR="00711444" w:rsidRPr="004D0DAA" w:rsidRDefault="00711444" w:rsidP="00711444">
      <w:r w:rsidRPr="004D0DAA">
        <w:t>When this error label is used with a definite length (bit (n) = &lt; no string &gt;), the unspecified bit string contains a defined number of bits. The corresponding data is ignored.</w:t>
      </w:r>
    </w:p>
    <w:p w14:paraId="622F4CA1" w14:textId="77777777" w:rsidR="00711444" w:rsidRPr="004D0DAA" w:rsidRDefault="00711444" w:rsidP="00711444">
      <w:pPr>
        <w:pStyle w:val="Heading4"/>
      </w:pPr>
      <w:bookmarkStart w:id="628" w:name="_Toc516669806"/>
      <w:r w:rsidRPr="004D0DAA">
        <w:t>11.1.3.3</w:t>
      </w:r>
      <w:r w:rsidRPr="004D0DAA">
        <w:tab/>
        <w:t>'Message escape' error label</w:t>
      </w:r>
      <w:bookmarkEnd w:id="628"/>
    </w:p>
    <w:p w14:paraId="4B9B9953" w14:textId="77777777" w:rsidR="00711444" w:rsidRPr="004D0DAA" w:rsidRDefault="00711444" w:rsidP="00711444">
      <w:pPr>
        <w:keepNext/>
      </w:pPr>
      <w:r w:rsidRPr="004D0DAA">
        <w:t>The 'Message escape' error label is used to provide an escape for, e.g. a future modification of the message syntax. The generic description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A62475" w14:textId="77777777" w:rsidTr="00AA2A4C">
        <w:tblPrEx>
          <w:tblCellMar>
            <w:top w:w="0" w:type="dxa"/>
            <w:bottom w:w="0" w:type="dxa"/>
          </w:tblCellMar>
        </w:tblPrEx>
        <w:trPr>
          <w:cantSplit/>
        </w:trPr>
        <w:tc>
          <w:tcPr>
            <w:tcW w:w="9848" w:type="dxa"/>
          </w:tcPr>
          <w:p w14:paraId="2B55E104" w14:textId="77777777" w:rsidR="00711444" w:rsidRPr="004D0DAA" w:rsidRDefault="00711444" w:rsidP="00AA2A4C">
            <w:pPr>
              <w:pStyle w:val="TAL"/>
              <w:rPr>
                <w:lang w:eastAsia="en-US"/>
              </w:rPr>
            </w:pPr>
            <w:r w:rsidRPr="004D0DAA">
              <w:rPr>
                <w:lang w:eastAsia="en-US"/>
              </w:rPr>
              <w:tab/>
              <w:t>0 &lt; Content &gt; ! &lt; Message escape : 1 bit (*) = &lt; no string &gt; &gt;</w:t>
            </w:r>
          </w:p>
        </w:tc>
      </w:tr>
    </w:tbl>
    <w:p w14:paraId="38D1535A" w14:textId="77777777" w:rsidR="00711444" w:rsidRPr="004D0DAA" w:rsidRDefault="00711444" w:rsidP="00711444"/>
    <w:p w14:paraId="51777C09" w14:textId="77777777" w:rsidR="00711444" w:rsidRPr="004D0DAA" w:rsidRDefault="00711444" w:rsidP="00711444">
      <w:r w:rsidRPr="004D0DAA">
        <w:t>An 'Message escape' error label shall be applied by the receiver of a downlink RLC/MAC control message when specified in the message description in clauses 11 and 12 of the present document. The description on the left of the error branch needs to be correctly recognised. Otherwise, the error branch 'Message escape' is called and the remaining part of the message is ignored.</w:t>
      </w:r>
    </w:p>
    <w:p w14:paraId="6FDE4506" w14:textId="77777777" w:rsidR="00711444" w:rsidRPr="004D0DAA" w:rsidRDefault="00711444" w:rsidP="00711444">
      <w:pPr>
        <w:pStyle w:val="NO"/>
      </w:pPr>
      <w:r w:rsidRPr="004D0DAA">
        <w:t>NOTE:</w:t>
      </w:r>
      <w:r w:rsidRPr="004D0DAA">
        <w:tab/>
        <w:t>Any description following a structure or delimited description (i.e. within { } brackets) including this error label must allow truncation. Otherwise, it is not consistent with the CSN.1 description of the message.</w:t>
      </w:r>
    </w:p>
    <w:p w14:paraId="3D0AFCA1" w14:textId="77777777" w:rsidR="00711444" w:rsidRPr="004D0DAA" w:rsidRDefault="00711444" w:rsidP="00711444">
      <w:pPr>
        <w:pStyle w:val="Heading3"/>
      </w:pPr>
      <w:bookmarkStart w:id="629" w:name="_Toc516669807"/>
      <w:r w:rsidRPr="004D0DAA">
        <w:t>11.1.4</w:t>
      </w:r>
      <w:r w:rsidRPr="004D0DAA">
        <w:tab/>
        <w:t>Error detection and order of precedence</w:t>
      </w:r>
      <w:bookmarkEnd w:id="629"/>
    </w:p>
    <w:p w14:paraId="698A734B" w14:textId="77777777" w:rsidR="00711444" w:rsidRPr="004D0DAA" w:rsidRDefault="00711444" w:rsidP="00711444">
      <w:r w:rsidRPr="004D0DAA">
        <w:t>A mobile station shall detect and process errors in the order in which they are defined in this sub-clause of the present document. (E.g. a message, which is not compatible with the current protocol state AND is syntactically incorrect, shall be treated as if it is not compatible with the current protocol state.)</w:t>
      </w:r>
    </w:p>
    <w:p w14:paraId="7F75F708" w14:textId="77777777" w:rsidR="00711444" w:rsidRPr="004D0DAA" w:rsidRDefault="00711444" w:rsidP="00711444">
      <w:r w:rsidRPr="004D0DAA">
        <w:t>At certain error events defined in this sub-clause, the PACKET TBF STATUS message shall be sent by the mobile station. In case of multiple error events, and, due to restrictions defined in sub-clauses 5, 6, 7, 8 and 9, the mobile station is not able to send a first status message until the occurrence of a subsequent event generating a second status message, the mobile station shall suppress the sending of the second and additional status messages until the first status message has been sent to the network.</w:t>
      </w:r>
    </w:p>
    <w:p w14:paraId="6B92F899" w14:textId="77777777" w:rsidR="00711444" w:rsidRPr="004D0DAA" w:rsidRDefault="00711444" w:rsidP="00711444">
      <w:pPr>
        <w:pStyle w:val="Heading4"/>
      </w:pPr>
      <w:bookmarkStart w:id="630" w:name="_Toc516669808"/>
      <w:r w:rsidRPr="004D0DAA">
        <w:t>11.1.4.1</w:t>
      </w:r>
      <w:r w:rsidRPr="004D0DAA">
        <w:tab/>
        <w:t>Unknown message type</w:t>
      </w:r>
      <w:bookmarkEnd w:id="630"/>
    </w:p>
    <w:p w14:paraId="0057E7D1" w14:textId="77777777" w:rsidR="00711444" w:rsidRPr="004D0DAA" w:rsidRDefault="00711444" w:rsidP="00711444">
      <w:pPr>
        <w:spacing w:before="120" w:after="120"/>
      </w:pPr>
      <w:r w:rsidRPr="004D0DAA">
        <w:t>If a mobile station receives a message with message type either not defined or not implemented (generic error label: 'Unknown message type'), the content of the bits representing the message type shall be ignored.</w:t>
      </w:r>
    </w:p>
    <w:p w14:paraId="4764F57F" w14:textId="77777777" w:rsidR="00711444" w:rsidRPr="004D0DAA" w:rsidRDefault="00711444" w:rsidP="00711444">
      <w:r w:rsidRPr="004D0DAA">
        <w:lastRenderedPageBreak/>
        <w:t>The remaining part of the message shall be analysed according to the syntax defined as the 'Default downlink message content' in</w:t>
      </w:r>
      <w:r w:rsidRPr="004D0DAA">
        <w:rPr>
          <w:i/>
        </w:rPr>
        <w:t xml:space="preserve"> </w:t>
      </w:r>
      <w:r w:rsidRPr="004D0DAA">
        <w:rPr>
          <w:iCs/>
        </w:rPr>
        <w:t>sub-clause</w:t>
      </w:r>
      <w:r w:rsidRPr="004D0DAA">
        <w:t xml:space="preserve"> 11.2.0.1. The 'Default downlink message content' contains the Page Mode information. Depending on the protocol state of the mobile station, the Page Mode information shall be analysed as specified in clause 5 of the present document. The 'Default downlink message content' for a downlink message sent on the EC-PACCH contains the Used DL Coverage Class information instead of the Page Mode information.</w:t>
      </w:r>
    </w:p>
    <w:p w14:paraId="072AE84D" w14:textId="77777777" w:rsidR="00711444" w:rsidRPr="004D0DAA" w:rsidRDefault="00711444" w:rsidP="00711444">
      <w:pPr>
        <w:pStyle w:val="Heading4"/>
      </w:pPr>
      <w:bookmarkStart w:id="631" w:name="_Toc516669809"/>
      <w:r w:rsidRPr="004D0DAA">
        <w:t>11.1.4.2</w:t>
      </w:r>
      <w:r w:rsidRPr="004D0DAA">
        <w:tab/>
        <w:t>Message not compatible with current protocol state</w:t>
      </w:r>
      <w:bookmarkEnd w:id="631"/>
    </w:p>
    <w:p w14:paraId="141E87B3" w14:textId="77777777" w:rsidR="00711444" w:rsidRPr="004D0DAA" w:rsidRDefault="00711444" w:rsidP="00711444">
      <w:pPr>
        <w:spacing w:before="120" w:after="120"/>
      </w:pPr>
      <w:r w:rsidRPr="004D0DAA">
        <w:t>When a non-distribution message is received, which is not expected by the addressed receiver in its current protocol state, the mobile station shall follow the procedures that are described in sub-clauses 5, 6, 7, 8 and 9 of the present document.</w:t>
      </w:r>
    </w:p>
    <w:p w14:paraId="72489A91" w14:textId="77777777" w:rsidR="00711444" w:rsidRPr="004D0DAA" w:rsidRDefault="00711444" w:rsidP="00711444">
      <w:pPr>
        <w:spacing w:before="120" w:after="120"/>
      </w:pPr>
      <w:r w:rsidRPr="004D0DAA">
        <w:t>If no such reaction is specified, the mobile station shall ignore the message. If in packet transfer mode, the mobile station, which is identified by the address information, shall return a status message (PACKET MOBILE TBF STATUS message) with TBF_CAUSE #4, "Message not compatible with current protocol state", unless the mobile station has an ongoing EC TBF.</w:t>
      </w:r>
    </w:p>
    <w:p w14:paraId="665EA3E2" w14:textId="77777777" w:rsidR="00711444" w:rsidRPr="004D0DAA" w:rsidRDefault="00711444" w:rsidP="00711444">
      <w:pPr>
        <w:spacing w:before="120" w:after="120"/>
      </w:pPr>
      <w:r w:rsidRPr="004D0DAA">
        <w:t>Unexpected distribution messages are ignored.</w:t>
      </w:r>
    </w:p>
    <w:p w14:paraId="57C21501" w14:textId="77777777" w:rsidR="00711444" w:rsidRPr="004D0DAA" w:rsidRDefault="00711444" w:rsidP="00711444">
      <w:pPr>
        <w:pStyle w:val="Heading4"/>
      </w:pPr>
      <w:bookmarkStart w:id="632" w:name="_Toc516669810"/>
      <w:r w:rsidRPr="004D0DAA">
        <w:t>11.1.4.3</w:t>
      </w:r>
      <w:r w:rsidRPr="004D0DAA">
        <w:tab/>
        <w:t>Syntactically incorrect message</w:t>
      </w:r>
      <w:bookmarkEnd w:id="632"/>
    </w:p>
    <w:p w14:paraId="4BACA386" w14:textId="77777777" w:rsidR="00711444" w:rsidRPr="004D0DAA" w:rsidRDefault="00711444" w:rsidP="00711444">
      <w:r w:rsidRPr="004D0DAA">
        <w:t>When a message containing a syntactically incorrect data is received, depending on the error detection mechanisms that may be defined in the CSN.1 description of the message, the message can be rejected or partially accepted.</w:t>
      </w:r>
    </w:p>
    <w:p w14:paraId="390A358E" w14:textId="77777777" w:rsidR="00711444" w:rsidRPr="004D0DAA" w:rsidRDefault="00711444" w:rsidP="00711444">
      <w:pPr>
        <w:pStyle w:val="NO"/>
      </w:pPr>
      <w:r w:rsidRPr="004D0DAA">
        <w:t>NOTE:</w:t>
      </w:r>
      <w:r w:rsidRPr="004D0DAA">
        <w:tab/>
        <w:t>The order, in which the error labels mentioned in this sub-clause are detected and processed, depends on the nesting of error labels defined by the description of each message type in sub-clause 11.2 and clause 12. E.g. a message, which contains syntactically incorrect data in both the addressing information AND the non-distribution contents, is typically received with the error label 'Address information part error'.</w:t>
      </w:r>
    </w:p>
    <w:p w14:paraId="57B55550" w14:textId="77777777" w:rsidR="00711444" w:rsidRPr="004D0DAA" w:rsidRDefault="00711444" w:rsidP="00711444">
      <w:pPr>
        <w:pStyle w:val="Heading5"/>
      </w:pPr>
      <w:bookmarkStart w:id="633" w:name="_Toc516669811"/>
      <w:r w:rsidRPr="004D0DAA">
        <w:t>11.1.4.3.1</w:t>
      </w:r>
      <w:r w:rsidRPr="004D0DAA">
        <w:tab/>
        <w:t>Messages with error label: 'Distribution part error'</w:t>
      </w:r>
      <w:bookmarkEnd w:id="633"/>
    </w:p>
    <w:p w14:paraId="6296B7E6" w14:textId="77777777" w:rsidR="00711444" w:rsidRPr="004D0DAA" w:rsidRDefault="00711444" w:rsidP="00711444">
      <w:pPr>
        <w:spacing w:before="120" w:after="120"/>
      </w:pPr>
      <w:r w:rsidRPr="004D0DAA">
        <w:t>For syntactically incorrect messages received with generic error label: 'Distribution part error', data corresponding to the description following the error label shall be recognised as erroneous data and be ignored.</w:t>
      </w:r>
    </w:p>
    <w:p w14:paraId="4B19EA97" w14:textId="77777777" w:rsidR="00711444" w:rsidRPr="004D0DAA" w:rsidRDefault="00711444" w:rsidP="00711444">
      <w:pPr>
        <w:pStyle w:val="Heading5"/>
      </w:pPr>
      <w:bookmarkStart w:id="634" w:name="_Toc516669812"/>
      <w:r w:rsidRPr="004D0DAA">
        <w:t>11.1.4.3.2</w:t>
      </w:r>
      <w:r w:rsidRPr="004D0DAA">
        <w:tab/>
        <w:t>Messages with error label: 'Address information part error'</w:t>
      </w:r>
      <w:bookmarkEnd w:id="634"/>
    </w:p>
    <w:p w14:paraId="3C497C3F" w14:textId="77777777" w:rsidR="00711444" w:rsidRPr="004D0DAA" w:rsidRDefault="00711444" w:rsidP="00711444">
      <w:pPr>
        <w:spacing w:before="120" w:after="120"/>
      </w:pPr>
      <w:r w:rsidRPr="004D0DAA">
        <w:t>For syntactically incorrect messages received with generic error label: 'Address information part error', data corresponding to the description following the error label shall be recognised as erroneous data and be ignored. The distribution contents preceding the error label may be analysed and treated as described in clause 5 and clause 7 of the present document.</w:t>
      </w:r>
    </w:p>
    <w:p w14:paraId="6A304B1C" w14:textId="77777777" w:rsidR="00711444" w:rsidRPr="004D0DAA" w:rsidRDefault="00711444" w:rsidP="00711444">
      <w:pPr>
        <w:pStyle w:val="Heading5"/>
      </w:pPr>
      <w:bookmarkStart w:id="635" w:name="_Toc516669813"/>
      <w:r w:rsidRPr="004D0DAA">
        <w:t>11.1.4.3.3</w:t>
      </w:r>
      <w:r w:rsidRPr="004D0DAA">
        <w:tab/>
        <w:t>Messages with error label: 'Non-distribution part error'</w:t>
      </w:r>
      <w:bookmarkEnd w:id="635"/>
    </w:p>
    <w:p w14:paraId="59BE6349" w14:textId="77777777" w:rsidR="00711444" w:rsidRPr="004D0DAA" w:rsidRDefault="00711444" w:rsidP="00711444">
      <w:pPr>
        <w:spacing w:before="120" w:after="120"/>
      </w:pPr>
      <w:r w:rsidRPr="004D0DAA">
        <w:t>For syntactically incorrect messages received with generic error label: 'Non-distribution part error', data corresponding to the description following the error label shall be recognised as erroneous data and be ignored.</w:t>
      </w:r>
    </w:p>
    <w:p w14:paraId="77F3D9DB" w14:textId="77777777" w:rsidR="00711444" w:rsidRPr="004D0DAA" w:rsidRDefault="00711444" w:rsidP="00711444">
      <w:pPr>
        <w:spacing w:before="120" w:after="120"/>
      </w:pPr>
      <w:r w:rsidRPr="004D0DAA">
        <w:t>The distribution contents preceding the error label may be analysed and treated as described in clause 5 and clause 7 of the present document.</w:t>
      </w:r>
    </w:p>
    <w:p w14:paraId="60F9ADCD" w14:textId="77777777" w:rsidR="00711444" w:rsidRPr="004D0DAA" w:rsidRDefault="00711444" w:rsidP="00711444">
      <w:pPr>
        <w:spacing w:before="120" w:after="120"/>
      </w:pPr>
      <w:r w:rsidRPr="004D0DAA">
        <w:t>The address information preceding the error label shall be analysed. In packet transfer mode, the mobile station identified by the address information shall return a PACKET MOBILE TBF STATUS message with TBF_CAUSE #2 "Syntactically incorrect message, non-distribution part error", unless the mobile station has an ongoing EC TBF.</w:t>
      </w:r>
    </w:p>
    <w:p w14:paraId="658D8C6E" w14:textId="77777777" w:rsidR="00711444" w:rsidRPr="004D0DAA" w:rsidRDefault="00711444" w:rsidP="00711444">
      <w:pPr>
        <w:pStyle w:val="Heading5"/>
      </w:pPr>
      <w:bookmarkStart w:id="636" w:name="_Toc516669814"/>
      <w:r w:rsidRPr="004D0DAA">
        <w:t>11.1.4.3.4</w:t>
      </w:r>
      <w:r w:rsidRPr="004D0DAA">
        <w:tab/>
        <w:t>Messages with error label: 'Message escape'</w:t>
      </w:r>
      <w:bookmarkEnd w:id="636"/>
    </w:p>
    <w:p w14:paraId="02513494" w14:textId="77777777" w:rsidR="00711444" w:rsidRPr="004D0DAA" w:rsidRDefault="00711444" w:rsidP="00711444">
      <w:pPr>
        <w:spacing w:before="120" w:after="120"/>
      </w:pPr>
      <w:r w:rsidRPr="004D0DAA">
        <w:t>For syntactically incorrect messages with error label: 'Message escape', data corresponding to the description following the error label shall be recognised as erroneously received mandatory data and be rejected.</w:t>
      </w:r>
    </w:p>
    <w:p w14:paraId="005AB25D" w14:textId="77777777" w:rsidR="00711444" w:rsidRPr="004D0DAA" w:rsidRDefault="00711444" w:rsidP="00711444">
      <w:pPr>
        <w:spacing w:before="120" w:after="120"/>
      </w:pPr>
      <w:r w:rsidRPr="004D0DAA">
        <w:lastRenderedPageBreak/>
        <w:t>The distribution contents preceding the error label may be analysed and treated as described in clause 5 of the present document.</w:t>
      </w:r>
    </w:p>
    <w:p w14:paraId="32794DCA" w14:textId="77777777" w:rsidR="00711444" w:rsidRPr="004D0DAA" w:rsidRDefault="00711444" w:rsidP="00711444">
      <w:pPr>
        <w:spacing w:before="120" w:after="120"/>
      </w:pPr>
      <w:r w:rsidRPr="004D0DAA">
        <w:t>If the address information proceeds the error label and it is received correctly, it shall be analysed. In packet transfer mode, the mobile station identified by the address information shall return a PACKET MOBILE TBF STATUS message with TBF_CAUSE #3 "Syntactically incorrect message, message escape", unless the mobile station has an ongoing EC TBF.</w:t>
      </w:r>
    </w:p>
    <w:p w14:paraId="72AA0B1A" w14:textId="77777777" w:rsidR="00711444" w:rsidRPr="004D0DAA" w:rsidRDefault="00711444" w:rsidP="00711444">
      <w:pPr>
        <w:pStyle w:val="Heading5"/>
      </w:pPr>
      <w:bookmarkStart w:id="637" w:name="_Toc516669815"/>
      <w:r w:rsidRPr="004D0DAA">
        <w:t>11.1.4.3.5</w:t>
      </w:r>
      <w:r w:rsidRPr="004D0DAA">
        <w:tab/>
        <w:t>Messages with error label: 'Ignore'</w:t>
      </w:r>
      <w:bookmarkEnd w:id="637"/>
    </w:p>
    <w:p w14:paraId="0078D464" w14:textId="77777777" w:rsidR="00711444" w:rsidRPr="004D0DAA" w:rsidRDefault="00711444" w:rsidP="00711444">
      <w:pPr>
        <w:spacing w:before="120" w:after="120"/>
      </w:pPr>
      <w:r w:rsidRPr="004D0DAA">
        <w:t>For syntactically incorrect messages with error label: 'Ignore', data corresponding to the description following the error label shall be recognised as unnecessary data. If a syntactically incorrect message with the 'Ignore' error label is received, depending on the length of the unspecified bit string associated with the error label (sub-clause 11.1.3.2), the corresponding data shall be ignored.</w:t>
      </w:r>
    </w:p>
    <w:p w14:paraId="3678C231" w14:textId="77777777" w:rsidR="00711444" w:rsidRPr="004D0DAA" w:rsidRDefault="00711444" w:rsidP="00711444">
      <w:pPr>
        <w:pStyle w:val="Heading5"/>
      </w:pPr>
      <w:bookmarkStart w:id="638" w:name="_Toc516669816"/>
      <w:r w:rsidRPr="004D0DAA">
        <w:t>11.1.4.3.6</w:t>
      </w:r>
      <w:r w:rsidRPr="004D0DAA">
        <w:tab/>
        <w:t>Messages with error label: "DBPSCH message part error"</w:t>
      </w:r>
      <w:bookmarkEnd w:id="638"/>
    </w:p>
    <w:p w14:paraId="51BE9EAD" w14:textId="77777777" w:rsidR="00711444" w:rsidRPr="004D0DAA" w:rsidRDefault="00711444" w:rsidP="00711444">
      <w:pPr>
        <w:spacing w:before="120" w:after="120"/>
      </w:pPr>
      <w:r w:rsidRPr="004D0DAA">
        <w:t>For syntactically incorrect messages received with generic error label: 'DBPSCH message part error', data corresponding to the description following the error label shall be recognised as erroneous data and be ignored.</w:t>
      </w:r>
    </w:p>
    <w:p w14:paraId="18DA4617" w14:textId="77777777" w:rsidR="00711444" w:rsidRPr="004D0DAA" w:rsidRDefault="00711444" w:rsidP="00711444">
      <w:pPr>
        <w:pStyle w:val="Heading4"/>
      </w:pPr>
      <w:bookmarkStart w:id="639" w:name="_Toc516669817"/>
      <w:r w:rsidRPr="004D0DAA">
        <w:t>11.1.4.4</w:t>
      </w:r>
      <w:r w:rsidRPr="004D0DAA">
        <w:tab/>
        <w:t>Syntactic error in truncated concatenation</w:t>
      </w:r>
      <w:bookmarkEnd w:id="639"/>
    </w:p>
    <w:p w14:paraId="08BFA1C6" w14:textId="77777777" w:rsidR="00711444" w:rsidRPr="004D0DAA" w:rsidRDefault="00711444" w:rsidP="00711444">
      <w:r w:rsidRPr="004D0DAA">
        <w:t>Truncated concatenation is sequences of components encapsulated by the { } brackets followed by the symbol '//'. The concatenation is any of the concatenations starting with null and up to any number of components.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877CFC7" w14:textId="77777777" w:rsidTr="00AA2A4C">
        <w:tblPrEx>
          <w:tblCellMar>
            <w:top w:w="0" w:type="dxa"/>
            <w:bottom w:w="0" w:type="dxa"/>
          </w:tblCellMar>
        </w:tblPrEx>
        <w:trPr>
          <w:cantSplit/>
        </w:trPr>
        <w:tc>
          <w:tcPr>
            <w:tcW w:w="9848" w:type="dxa"/>
          </w:tcPr>
          <w:p w14:paraId="3AADCBFF" w14:textId="77777777" w:rsidR="00711444" w:rsidRPr="004D0DAA" w:rsidRDefault="00711444" w:rsidP="00AA2A4C">
            <w:pPr>
              <w:pStyle w:val="TAL"/>
              <w:rPr>
                <w:lang w:eastAsia="en-US"/>
              </w:rPr>
            </w:pPr>
            <w:r w:rsidRPr="004D0DAA">
              <w:rPr>
                <w:lang w:eastAsia="en-US"/>
              </w:rPr>
              <w:tab/>
              <w:t>{ &lt; a &gt; &lt; b &gt; &lt; c &gt; } //</w:t>
            </w:r>
          </w:p>
        </w:tc>
      </w:tr>
    </w:tbl>
    <w:p w14:paraId="676ACC79" w14:textId="77777777" w:rsidR="00711444" w:rsidRPr="004D0DAA" w:rsidRDefault="00711444" w:rsidP="00711444"/>
    <w:p w14:paraId="07332D3B" w14:textId="77777777" w:rsidR="00711444" w:rsidRPr="004D0DAA" w:rsidRDefault="00711444" w:rsidP="00711444">
      <w:pPr>
        <w:keepNext/>
        <w:keepLines/>
      </w:pPr>
      <w:r w:rsidRPr="004D0DAA">
        <w:t>The above set is equivalent 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8098C1B" w14:textId="77777777" w:rsidTr="00AA2A4C">
        <w:tblPrEx>
          <w:tblCellMar>
            <w:top w:w="0" w:type="dxa"/>
            <w:bottom w:w="0" w:type="dxa"/>
          </w:tblCellMar>
        </w:tblPrEx>
        <w:trPr>
          <w:cantSplit/>
        </w:trPr>
        <w:tc>
          <w:tcPr>
            <w:tcW w:w="9848" w:type="dxa"/>
          </w:tcPr>
          <w:p w14:paraId="515AD9CB" w14:textId="77777777" w:rsidR="00711444" w:rsidRPr="004D0DAA" w:rsidRDefault="00711444" w:rsidP="00AA2A4C">
            <w:pPr>
              <w:pStyle w:val="TAL"/>
              <w:rPr>
                <w:lang w:eastAsia="en-US"/>
              </w:rPr>
            </w:pPr>
            <w:r w:rsidRPr="004D0DAA">
              <w:rPr>
                <w:lang w:eastAsia="en-US"/>
              </w:rPr>
              <w:tab/>
              <w:t>{ &lt; a &gt; &lt; b &gt; &lt; c &gt; }</w:t>
            </w:r>
            <w:r w:rsidRPr="004D0DAA">
              <w:rPr>
                <w:lang w:eastAsia="en-US"/>
              </w:rPr>
              <w:tab/>
              <w:t>or</w:t>
            </w:r>
          </w:p>
          <w:p w14:paraId="256224C7" w14:textId="77777777" w:rsidR="00711444" w:rsidRPr="004D0DAA" w:rsidRDefault="00711444" w:rsidP="00AA2A4C">
            <w:pPr>
              <w:pStyle w:val="TAL"/>
              <w:rPr>
                <w:lang w:eastAsia="en-US"/>
              </w:rPr>
            </w:pPr>
            <w:r w:rsidRPr="004D0DAA">
              <w:rPr>
                <w:lang w:eastAsia="en-US"/>
              </w:rPr>
              <w:tab/>
              <w:t>{ &lt; a &gt; &lt; b &gt; }</w:t>
            </w:r>
            <w:r w:rsidRPr="004D0DAA">
              <w:rPr>
                <w:lang w:eastAsia="en-US"/>
              </w:rPr>
              <w:tab/>
              <w:t>or</w:t>
            </w:r>
          </w:p>
          <w:p w14:paraId="4129AC93" w14:textId="77777777" w:rsidR="00711444" w:rsidRPr="004D0DAA" w:rsidRDefault="00711444" w:rsidP="00AA2A4C">
            <w:pPr>
              <w:pStyle w:val="TAL"/>
              <w:rPr>
                <w:lang w:eastAsia="en-US"/>
              </w:rPr>
            </w:pPr>
            <w:r w:rsidRPr="004D0DAA">
              <w:rPr>
                <w:lang w:eastAsia="en-US"/>
              </w:rPr>
              <w:tab/>
              <w:t>{ &lt; a &gt; }</w:t>
            </w:r>
            <w:r w:rsidRPr="004D0DAA">
              <w:rPr>
                <w:lang w:eastAsia="en-US"/>
              </w:rPr>
              <w:tab/>
              <w:t>or</w:t>
            </w:r>
          </w:p>
          <w:p w14:paraId="76CE6BC6" w14:textId="77777777" w:rsidR="00711444" w:rsidRPr="004D0DAA" w:rsidRDefault="00711444" w:rsidP="00AA2A4C">
            <w:pPr>
              <w:pStyle w:val="TAL"/>
              <w:rPr>
                <w:lang w:eastAsia="en-US"/>
              </w:rPr>
            </w:pPr>
            <w:r w:rsidRPr="004D0DAA">
              <w:rPr>
                <w:lang w:eastAsia="en-US"/>
              </w:rPr>
              <w:tab/>
              <w:t>null</w:t>
            </w:r>
          </w:p>
        </w:tc>
      </w:tr>
    </w:tbl>
    <w:p w14:paraId="5150C757" w14:textId="77777777" w:rsidR="00711444" w:rsidRPr="004D0DAA" w:rsidRDefault="00711444" w:rsidP="00711444"/>
    <w:p w14:paraId="22FC4526" w14:textId="77777777" w:rsidR="00711444" w:rsidRPr="004D0DAA" w:rsidRDefault="00711444" w:rsidP="00711444">
      <w:r w:rsidRPr="004D0DAA">
        <w:t>Any syntactically incorrect component shall truncate the sequence. The correctly received components are accepted and the truncated components are ignored.</w:t>
      </w:r>
    </w:p>
    <w:p w14:paraId="42F595E6" w14:textId="77777777" w:rsidR="00711444" w:rsidRPr="004D0DAA" w:rsidRDefault="00711444" w:rsidP="00711444">
      <w:pPr>
        <w:pStyle w:val="NO"/>
      </w:pPr>
      <w:r w:rsidRPr="004D0DAA">
        <w:t>NOTE:</w:t>
      </w:r>
      <w:r w:rsidRPr="004D0DAA">
        <w:tab/>
        <w:t>If the 'padding bits' at the end of a message are included within the concatenation, truncation requires the resulting concatenation to fit exactly with the received message length. Otherwise, it is a syntactical error, which may cause rejection of the complete message or part thereof.</w:t>
      </w:r>
    </w:p>
    <w:p w14:paraId="62848340" w14:textId="77777777" w:rsidR="00711444" w:rsidRPr="004D0DAA" w:rsidRDefault="00711444" w:rsidP="00711444">
      <w:pPr>
        <w:pStyle w:val="Heading4"/>
      </w:pPr>
      <w:bookmarkStart w:id="640" w:name="_Toc516669818"/>
      <w:r w:rsidRPr="004D0DAA">
        <w:lastRenderedPageBreak/>
        <w:t>11.1.4.5</w:t>
      </w:r>
      <w:r w:rsidRPr="004D0DAA">
        <w:tab/>
        <w:t>(void)</w:t>
      </w:r>
      <w:bookmarkEnd w:id="640"/>
    </w:p>
    <w:p w14:paraId="10AC2145" w14:textId="77777777" w:rsidR="00711444" w:rsidRPr="004D0DAA" w:rsidRDefault="00711444" w:rsidP="00711444">
      <w:pPr>
        <w:pStyle w:val="Heading2"/>
      </w:pPr>
      <w:bookmarkStart w:id="641" w:name="_Toc516669819"/>
      <w:r w:rsidRPr="004D0DAA">
        <w:t>11.2</w:t>
      </w:r>
      <w:r w:rsidRPr="004D0DAA">
        <w:tab/>
        <w:t>RLC/MAC control messages</w:t>
      </w:r>
      <w:bookmarkEnd w:id="641"/>
    </w:p>
    <w:p w14:paraId="36850093" w14:textId="77777777" w:rsidR="00711444" w:rsidRPr="004D0DAA" w:rsidRDefault="00711444" w:rsidP="00711444">
      <w:pPr>
        <w:keepNext/>
      </w:pPr>
      <w:r w:rsidRPr="004D0DAA">
        <w:t>Table 11.2.1 summarises the RLC/MAC control messages. Table 11.2.2 summarises the RLC/MAC control messages on the EC-PACCH. For each control message, the message type shall be a fixed number of bits from the beginning of the message.</w:t>
      </w:r>
    </w:p>
    <w:p w14:paraId="2773DD32" w14:textId="77777777" w:rsidR="00711444" w:rsidRPr="004D0DAA" w:rsidRDefault="00711444" w:rsidP="00711444">
      <w:pPr>
        <w:pStyle w:val="TH"/>
      </w:pPr>
      <w:r w:rsidRPr="004D0DAA">
        <w:t>Table 11.2.1: RLC/MAC control messages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4878"/>
        <w:gridCol w:w="2034"/>
      </w:tblGrid>
      <w:tr w:rsidR="00711444" w:rsidRPr="004D0DAA" w14:paraId="7F6A26DC" w14:textId="77777777" w:rsidTr="00AA2A4C">
        <w:tblPrEx>
          <w:tblCellMar>
            <w:top w:w="0" w:type="dxa"/>
            <w:bottom w:w="0" w:type="dxa"/>
          </w:tblCellMar>
        </w:tblPrEx>
        <w:trPr>
          <w:cantSplit/>
          <w:jc w:val="center"/>
        </w:trPr>
        <w:tc>
          <w:tcPr>
            <w:tcW w:w="4878" w:type="dxa"/>
          </w:tcPr>
          <w:p w14:paraId="22F9A02E" w14:textId="77777777" w:rsidR="00711444" w:rsidRPr="004D0DAA" w:rsidRDefault="00711444" w:rsidP="00AA2A4C">
            <w:pPr>
              <w:pStyle w:val="TAH"/>
              <w:rPr>
                <w:lang w:eastAsia="en-US"/>
              </w:rPr>
            </w:pPr>
            <w:r w:rsidRPr="004D0DAA">
              <w:rPr>
                <w:lang w:eastAsia="en-US"/>
              </w:rPr>
              <w:t>Uplink TBF establishment messages:</w:t>
            </w:r>
          </w:p>
        </w:tc>
        <w:tc>
          <w:tcPr>
            <w:tcW w:w="2034" w:type="dxa"/>
          </w:tcPr>
          <w:p w14:paraId="5D82D675" w14:textId="77777777" w:rsidR="00711444" w:rsidRPr="004D0DAA" w:rsidRDefault="00711444" w:rsidP="00AA2A4C">
            <w:pPr>
              <w:pStyle w:val="TAH"/>
              <w:rPr>
                <w:lang w:eastAsia="en-US"/>
              </w:rPr>
            </w:pPr>
            <w:r w:rsidRPr="004D0DAA">
              <w:rPr>
                <w:lang w:eastAsia="en-US"/>
              </w:rPr>
              <w:t>Reference</w:t>
            </w:r>
          </w:p>
        </w:tc>
      </w:tr>
      <w:tr w:rsidR="00711444" w:rsidRPr="004D0DAA" w14:paraId="23FEBED5" w14:textId="77777777" w:rsidTr="00AA2A4C">
        <w:tblPrEx>
          <w:tblCellMar>
            <w:top w:w="0" w:type="dxa"/>
            <w:bottom w:w="0" w:type="dxa"/>
          </w:tblCellMar>
        </w:tblPrEx>
        <w:trPr>
          <w:cantSplit/>
          <w:jc w:val="center"/>
        </w:trPr>
        <w:tc>
          <w:tcPr>
            <w:tcW w:w="4878" w:type="dxa"/>
          </w:tcPr>
          <w:p w14:paraId="2661B664" w14:textId="77777777" w:rsidR="00711444" w:rsidRPr="004D0DAA" w:rsidRDefault="00711444" w:rsidP="00AA2A4C">
            <w:pPr>
              <w:pStyle w:val="TAL"/>
              <w:rPr>
                <w:lang w:eastAsia="en-US"/>
              </w:rPr>
            </w:pPr>
            <w:r w:rsidRPr="004D0DAA">
              <w:rPr>
                <w:lang w:eastAsia="en-US"/>
              </w:rPr>
              <w:t>Packet Access Reject</w:t>
            </w:r>
          </w:p>
        </w:tc>
        <w:tc>
          <w:tcPr>
            <w:tcW w:w="2034" w:type="dxa"/>
          </w:tcPr>
          <w:p w14:paraId="0D9EE689" w14:textId="77777777" w:rsidR="00711444" w:rsidRPr="004D0DAA" w:rsidRDefault="00711444" w:rsidP="00AA2A4C">
            <w:pPr>
              <w:pStyle w:val="TAL"/>
              <w:rPr>
                <w:lang w:eastAsia="en-US"/>
              </w:rPr>
            </w:pPr>
            <w:r w:rsidRPr="004D0DAA">
              <w:rPr>
                <w:lang w:eastAsia="en-US"/>
              </w:rPr>
              <w:t>11.2.1</w:t>
            </w:r>
          </w:p>
        </w:tc>
      </w:tr>
      <w:tr w:rsidR="00711444" w:rsidRPr="004D0DAA" w14:paraId="1FDDD5CC" w14:textId="77777777" w:rsidTr="00AA2A4C">
        <w:tblPrEx>
          <w:tblCellMar>
            <w:top w:w="0" w:type="dxa"/>
            <w:bottom w:w="0" w:type="dxa"/>
          </w:tblCellMar>
        </w:tblPrEx>
        <w:trPr>
          <w:cantSplit/>
          <w:jc w:val="center"/>
        </w:trPr>
        <w:tc>
          <w:tcPr>
            <w:tcW w:w="4878" w:type="dxa"/>
          </w:tcPr>
          <w:p w14:paraId="7EEBB988" w14:textId="77777777" w:rsidR="00711444" w:rsidRPr="004D0DAA" w:rsidRDefault="00711444" w:rsidP="00AA2A4C">
            <w:pPr>
              <w:pStyle w:val="TAL"/>
              <w:rPr>
                <w:lang w:eastAsia="en-US"/>
              </w:rPr>
            </w:pPr>
            <w:r w:rsidRPr="004D0DAA">
              <w:rPr>
                <w:lang w:eastAsia="en-US"/>
              </w:rPr>
              <w:t>Packet Channel Request</w:t>
            </w:r>
          </w:p>
        </w:tc>
        <w:tc>
          <w:tcPr>
            <w:tcW w:w="2034" w:type="dxa"/>
          </w:tcPr>
          <w:p w14:paraId="3439938A" w14:textId="77777777" w:rsidR="00711444" w:rsidRPr="004D0DAA" w:rsidRDefault="00711444" w:rsidP="00AA2A4C">
            <w:pPr>
              <w:pStyle w:val="TAL"/>
              <w:rPr>
                <w:lang w:eastAsia="en-US"/>
              </w:rPr>
            </w:pPr>
            <w:r w:rsidRPr="004D0DAA">
              <w:rPr>
                <w:lang w:eastAsia="en-US"/>
              </w:rPr>
              <w:t>11.2.5</w:t>
            </w:r>
          </w:p>
        </w:tc>
      </w:tr>
      <w:tr w:rsidR="00711444" w:rsidRPr="004D0DAA" w14:paraId="27472A56" w14:textId="77777777" w:rsidTr="00AA2A4C">
        <w:tblPrEx>
          <w:tblCellMar>
            <w:top w:w="0" w:type="dxa"/>
            <w:bottom w:w="0" w:type="dxa"/>
          </w:tblCellMar>
        </w:tblPrEx>
        <w:trPr>
          <w:cantSplit/>
          <w:jc w:val="center"/>
        </w:trPr>
        <w:tc>
          <w:tcPr>
            <w:tcW w:w="4878" w:type="dxa"/>
          </w:tcPr>
          <w:p w14:paraId="1C5FC396" w14:textId="77777777" w:rsidR="00711444" w:rsidRPr="004D0DAA" w:rsidRDefault="00711444" w:rsidP="00AA2A4C">
            <w:pPr>
              <w:pStyle w:val="TAL"/>
              <w:rPr>
                <w:lang w:eastAsia="en-US"/>
              </w:rPr>
            </w:pPr>
            <w:r w:rsidRPr="004D0DAA">
              <w:rPr>
                <w:lang w:eastAsia="en-US"/>
              </w:rPr>
              <w:t>EGPRS Packet Channel Request</w:t>
            </w:r>
          </w:p>
        </w:tc>
        <w:tc>
          <w:tcPr>
            <w:tcW w:w="2034" w:type="dxa"/>
          </w:tcPr>
          <w:p w14:paraId="20DF081E" w14:textId="77777777" w:rsidR="00711444" w:rsidRPr="004D0DAA" w:rsidRDefault="00711444" w:rsidP="00AA2A4C">
            <w:pPr>
              <w:pStyle w:val="TAL"/>
              <w:rPr>
                <w:lang w:eastAsia="en-US"/>
              </w:rPr>
            </w:pPr>
            <w:r w:rsidRPr="004D0DAA">
              <w:rPr>
                <w:lang w:eastAsia="en-US"/>
              </w:rPr>
              <w:t>11.2.5a</w:t>
            </w:r>
          </w:p>
        </w:tc>
      </w:tr>
      <w:tr w:rsidR="00711444" w:rsidRPr="004D0DAA" w14:paraId="22CA7AD1" w14:textId="77777777" w:rsidTr="00AA2A4C">
        <w:tblPrEx>
          <w:tblCellMar>
            <w:top w:w="0" w:type="dxa"/>
            <w:bottom w:w="0" w:type="dxa"/>
          </w:tblCellMar>
        </w:tblPrEx>
        <w:trPr>
          <w:cantSplit/>
          <w:jc w:val="center"/>
        </w:trPr>
        <w:tc>
          <w:tcPr>
            <w:tcW w:w="4878" w:type="dxa"/>
          </w:tcPr>
          <w:p w14:paraId="702FEAFF" w14:textId="77777777" w:rsidR="00711444" w:rsidRPr="004D0DAA" w:rsidRDefault="00711444" w:rsidP="00AA2A4C">
            <w:pPr>
              <w:pStyle w:val="TAL"/>
              <w:rPr>
                <w:lang w:eastAsia="en-US"/>
              </w:rPr>
            </w:pPr>
            <w:r w:rsidRPr="004D0DAA">
              <w:rPr>
                <w:lang w:eastAsia="en-US"/>
              </w:rPr>
              <w:t>Packet Queuing Notification</w:t>
            </w:r>
          </w:p>
        </w:tc>
        <w:tc>
          <w:tcPr>
            <w:tcW w:w="2034" w:type="dxa"/>
          </w:tcPr>
          <w:p w14:paraId="79573CF5" w14:textId="77777777" w:rsidR="00711444" w:rsidRPr="004D0DAA" w:rsidRDefault="00711444" w:rsidP="00AA2A4C">
            <w:pPr>
              <w:pStyle w:val="TAL"/>
              <w:rPr>
                <w:lang w:eastAsia="en-US"/>
              </w:rPr>
            </w:pPr>
            <w:r w:rsidRPr="004D0DAA">
              <w:rPr>
                <w:lang w:eastAsia="en-US"/>
              </w:rPr>
              <w:t>11.2.15</w:t>
            </w:r>
          </w:p>
        </w:tc>
      </w:tr>
      <w:tr w:rsidR="00711444" w:rsidRPr="004D0DAA" w14:paraId="583586D1" w14:textId="77777777" w:rsidTr="00AA2A4C">
        <w:tblPrEx>
          <w:tblCellMar>
            <w:top w:w="0" w:type="dxa"/>
            <w:bottom w:w="0" w:type="dxa"/>
          </w:tblCellMar>
        </w:tblPrEx>
        <w:trPr>
          <w:cantSplit/>
          <w:jc w:val="center"/>
        </w:trPr>
        <w:tc>
          <w:tcPr>
            <w:tcW w:w="4878" w:type="dxa"/>
          </w:tcPr>
          <w:p w14:paraId="4CD6687C" w14:textId="77777777" w:rsidR="00711444" w:rsidRPr="004D0DAA" w:rsidRDefault="00711444" w:rsidP="00AA2A4C">
            <w:pPr>
              <w:pStyle w:val="TAL"/>
              <w:rPr>
                <w:lang w:eastAsia="en-US"/>
              </w:rPr>
            </w:pPr>
            <w:r w:rsidRPr="004D0DAA">
              <w:rPr>
                <w:lang w:eastAsia="en-US"/>
              </w:rPr>
              <w:t>Packet Resource Request</w:t>
            </w:r>
          </w:p>
        </w:tc>
        <w:tc>
          <w:tcPr>
            <w:tcW w:w="2034" w:type="dxa"/>
          </w:tcPr>
          <w:p w14:paraId="58733E9A" w14:textId="77777777" w:rsidR="00711444" w:rsidRPr="004D0DAA" w:rsidRDefault="00711444" w:rsidP="00AA2A4C">
            <w:pPr>
              <w:pStyle w:val="TAL"/>
              <w:rPr>
                <w:lang w:eastAsia="en-US"/>
              </w:rPr>
            </w:pPr>
            <w:r w:rsidRPr="004D0DAA">
              <w:rPr>
                <w:lang w:eastAsia="en-US"/>
              </w:rPr>
              <w:t>11.2.16</w:t>
            </w:r>
          </w:p>
        </w:tc>
      </w:tr>
      <w:tr w:rsidR="00711444" w:rsidRPr="004D0DAA" w14:paraId="72101A07" w14:textId="77777777" w:rsidTr="00AA2A4C">
        <w:tblPrEx>
          <w:tblCellMar>
            <w:top w:w="0" w:type="dxa"/>
            <w:bottom w:w="0" w:type="dxa"/>
          </w:tblCellMar>
        </w:tblPrEx>
        <w:trPr>
          <w:cantSplit/>
          <w:jc w:val="center"/>
        </w:trPr>
        <w:tc>
          <w:tcPr>
            <w:tcW w:w="4878" w:type="dxa"/>
          </w:tcPr>
          <w:p w14:paraId="1881D6D8" w14:textId="77777777" w:rsidR="00711444" w:rsidRPr="004D0DAA" w:rsidRDefault="00711444" w:rsidP="00AA2A4C">
            <w:pPr>
              <w:pStyle w:val="TAL"/>
              <w:rPr>
                <w:lang w:eastAsia="en-US"/>
              </w:rPr>
            </w:pPr>
            <w:r w:rsidRPr="004D0DAA">
              <w:rPr>
                <w:lang w:eastAsia="en-US"/>
              </w:rPr>
              <w:t>Packet Uplink Assignment</w:t>
            </w:r>
          </w:p>
        </w:tc>
        <w:tc>
          <w:tcPr>
            <w:tcW w:w="2034" w:type="dxa"/>
          </w:tcPr>
          <w:p w14:paraId="481BEAEB" w14:textId="77777777" w:rsidR="00711444" w:rsidRPr="004D0DAA" w:rsidRDefault="00711444" w:rsidP="00AA2A4C">
            <w:pPr>
              <w:pStyle w:val="TAL"/>
              <w:rPr>
                <w:lang w:eastAsia="en-US"/>
              </w:rPr>
            </w:pPr>
            <w:r w:rsidRPr="004D0DAA">
              <w:rPr>
                <w:lang w:eastAsia="en-US"/>
              </w:rPr>
              <w:t>11.2.29</w:t>
            </w:r>
          </w:p>
        </w:tc>
      </w:tr>
      <w:tr w:rsidR="00711444" w:rsidRPr="004D0DAA" w14:paraId="29252E0E" w14:textId="77777777" w:rsidTr="00AA2A4C">
        <w:tblPrEx>
          <w:tblCellMar>
            <w:top w:w="0" w:type="dxa"/>
            <w:bottom w:w="0" w:type="dxa"/>
          </w:tblCellMar>
        </w:tblPrEx>
        <w:trPr>
          <w:cantSplit/>
          <w:jc w:val="center"/>
        </w:trPr>
        <w:tc>
          <w:tcPr>
            <w:tcW w:w="4878" w:type="dxa"/>
          </w:tcPr>
          <w:p w14:paraId="6EC36485" w14:textId="77777777" w:rsidR="00711444" w:rsidRPr="004D0DAA" w:rsidRDefault="00711444" w:rsidP="00AA2A4C">
            <w:pPr>
              <w:pStyle w:val="TAL"/>
              <w:rPr>
                <w:lang w:eastAsia="en-US"/>
              </w:rPr>
            </w:pPr>
            <w:r w:rsidRPr="004D0DAA">
              <w:rPr>
                <w:lang w:eastAsia="en-US"/>
              </w:rPr>
              <w:t>Multiple TBF Uplink Assignment</w:t>
            </w:r>
          </w:p>
        </w:tc>
        <w:tc>
          <w:tcPr>
            <w:tcW w:w="2034" w:type="dxa"/>
          </w:tcPr>
          <w:p w14:paraId="58F42465" w14:textId="77777777" w:rsidR="00711444" w:rsidRPr="004D0DAA" w:rsidRDefault="00711444" w:rsidP="00AA2A4C">
            <w:pPr>
              <w:pStyle w:val="TAL"/>
              <w:rPr>
                <w:lang w:eastAsia="en-US"/>
              </w:rPr>
            </w:pPr>
            <w:r w:rsidRPr="004D0DAA">
              <w:rPr>
                <w:lang w:eastAsia="en-US"/>
              </w:rPr>
              <w:t>11.2.29a</w:t>
            </w:r>
          </w:p>
        </w:tc>
      </w:tr>
      <w:tr w:rsidR="00711444" w:rsidRPr="004D0DAA" w14:paraId="2C5C3E26" w14:textId="77777777" w:rsidTr="00AA2A4C">
        <w:tblPrEx>
          <w:tblCellMar>
            <w:top w:w="0" w:type="dxa"/>
            <w:bottom w:w="0" w:type="dxa"/>
          </w:tblCellMar>
        </w:tblPrEx>
        <w:trPr>
          <w:cantSplit/>
          <w:jc w:val="center"/>
        </w:trPr>
        <w:tc>
          <w:tcPr>
            <w:tcW w:w="4878" w:type="dxa"/>
          </w:tcPr>
          <w:p w14:paraId="12649020" w14:textId="77777777" w:rsidR="00711444" w:rsidRPr="004D0DAA" w:rsidRDefault="00711444" w:rsidP="00AA2A4C">
            <w:pPr>
              <w:pStyle w:val="TAL"/>
              <w:rPr>
                <w:lang w:eastAsia="en-US"/>
              </w:rPr>
            </w:pPr>
            <w:r w:rsidRPr="004D0DAA">
              <w:rPr>
                <w:lang w:eastAsia="en-US"/>
              </w:rPr>
              <w:t>Additional MS Radio Access Capabilities</w:t>
            </w:r>
          </w:p>
        </w:tc>
        <w:tc>
          <w:tcPr>
            <w:tcW w:w="2034" w:type="dxa"/>
          </w:tcPr>
          <w:p w14:paraId="36F9E894" w14:textId="77777777" w:rsidR="00711444" w:rsidRPr="004D0DAA" w:rsidRDefault="00711444" w:rsidP="00AA2A4C">
            <w:pPr>
              <w:pStyle w:val="TAL"/>
              <w:rPr>
                <w:lang w:eastAsia="en-US"/>
              </w:rPr>
            </w:pPr>
            <w:r w:rsidRPr="004D0DAA">
              <w:rPr>
                <w:lang w:eastAsia="en-US"/>
              </w:rPr>
              <w:t>11.2.32</w:t>
            </w:r>
          </w:p>
        </w:tc>
      </w:tr>
      <w:tr w:rsidR="00711444" w:rsidRPr="004D0DAA" w14:paraId="3277E262" w14:textId="77777777" w:rsidTr="00AA2A4C">
        <w:tblPrEx>
          <w:tblCellMar>
            <w:top w:w="0" w:type="dxa"/>
            <w:bottom w:w="0" w:type="dxa"/>
          </w:tblCellMar>
        </w:tblPrEx>
        <w:trPr>
          <w:cantSplit/>
          <w:jc w:val="center"/>
        </w:trPr>
        <w:tc>
          <w:tcPr>
            <w:tcW w:w="4878" w:type="dxa"/>
          </w:tcPr>
          <w:p w14:paraId="69C8FD1C" w14:textId="77777777" w:rsidR="00711444" w:rsidRPr="004D0DAA" w:rsidRDefault="00711444" w:rsidP="00AA2A4C">
            <w:pPr>
              <w:pStyle w:val="TAH"/>
              <w:rPr>
                <w:lang w:eastAsia="en-US"/>
              </w:rPr>
            </w:pPr>
            <w:r w:rsidRPr="004D0DAA">
              <w:rPr>
                <w:lang w:eastAsia="en-US"/>
              </w:rPr>
              <w:t>Downlink TBF establishment messages:</w:t>
            </w:r>
          </w:p>
        </w:tc>
        <w:tc>
          <w:tcPr>
            <w:tcW w:w="2034" w:type="dxa"/>
          </w:tcPr>
          <w:p w14:paraId="5EA31C0C" w14:textId="77777777" w:rsidR="00711444" w:rsidRPr="004D0DAA" w:rsidRDefault="00711444" w:rsidP="00AA2A4C">
            <w:pPr>
              <w:pStyle w:val="TAH"/>
              <w:rPr>
                <w:lang w:eastAsia="en-US"/>
              </w:rPr>
            </w:pPr>
            <w:r w:rsidRPr="004D0DAA">
              <w:rPr>
                <w:lang w:eastAsia="en-US"/>
              </w:rPr>
              <w:t>Reference</w:t>
            </w:r>
          </w:p>
        </w:tc>
      </w:tr>
      <w:tr w:rsidR="00711444" w:rsidRPr="004D0DAA" w14:paraId="5B28DA64" w14:textId="77777777" w:rsidTr="00AA2A4C">
        <w:tblPrEx>
          <w:tblCellMar>
            <w:top w:w="0" w:type="dxa"/>
            <w:bottom w:w="0" w:type="dxa"/>
          </w:tblCellMar>
        </w:tblPrEx>
        <w:trPr>
          <w:cantSplit/>
          <w:jc w:val="center"/>
        </w:trPr>
        <w:tc>
          <w:tcPr>
            <w:tcW w:w="4878" w:type="dxa"/>
          </w:tcPr>
          <w:p w14:paraId="3C34A444" w14:textId="77777777" w:rsidR="00711444" w:rsidRPr="004D0DAA" w:rsidRDefault="00711444" w:rsidP="00AA2A4C">
            <w:pPr>
              <w:pStyle w:val="TAL"/>
              <w:rPr>
                <w:lang w:eastAsia="en-US"/>
              </w:rPr>
            </w:pPr>
            <w:r w:rsidRPr="004D0DAA">
              <w:rPr>
                <w:lang w:eastAsia="en-US"/>
              </w:rPr>
              <w:t>Packet DBPSCH Assignment</w:t>
            </w:r>
          </w:p>
        </w:tc>
        <w:tc>
          <w:tcPr>
            <w:tcW w:w="2034" w:type="dxa"/>
          </w:tcPr>
          <w:p w14:paraId="4A8E964D" w14:textId="77777777" w:rsidR="00711444" w:rsidRPr="004D0DAA" w:rsidRDefault="00711444" w:rsidP="00AA2A4C">
            <w:pPr>
              <w:pStyle w:val="TAL"/>
              <w:rPr>
                <w:lang w:eastAsia="en-US"/>
              </w:rPr>
            </w:pPr>
            <w:r w:rsidRPr="004D0DAA">
              <w:rPr>
                <w:lang w:eastAsia="en-US"/>
              </w:rPr>
              <w:t>11.2.5b</w:t>
            </w:r>
          </w:p>
        </w:tc>
      </w:tr>
      <w:tr w:rsidR="00711444" w:rsidRPr="004D0DAA" w14:paraId="26512097" w14:textId="77777777" w:rsidTr="00AA2A4C">
        <w:tblPrEx>
          <w:tblCellMar>
            <w:top w:w="0" w:type="dxa"/>
            <w:bottom w:w="0" w:type="dxa"/>
          </w:tblCellMar>
        </w:tblPrEx>
        <w:trPr>
          <w:cantSplit/>
          <w:jc w:val="center"/>
        </w:trPr>
        <w:tc>
          <w:tcPr>
            <w:tcW w:w="4878" w:type="dxa"/>
          </w:tcPr>
          <w:p w14:paraId="494F270A" w14:textId="77777777" w:rsidR="00711444" w:rsidRPr="004D0DAA" w:rsidRDefault="00711444" w:rsidP="00AA2A4C">
            <w:pPr>
              <w:pStyle w:val="TAL"/>
              <w:rPr>
                <w:lang w:eastAsia="en-US"/>
              </w:rPr>
            </w:pPr>
            <w:r w:rsidRPr="004D0DAA">
              <w:rPr>
                <w:lang w:eastAsia="en-US"/>
              </w:rPr>
              <w:t>Packet Downlink Assignment</w:t>
            </w:r>
          </w:p>
        </w:tc>
        <w:tc>
          <w:tcPr>
            <w:tcW w:w="2034" w:type="dxa"/>
          </w:tcPr>
          <w:p w14:paraId="7C997602" w14:textId="77777777" w:rsidR="00711444" w:rsidRPr="004D0DAA" w:rsidRDefault="00711444" w:rsidP="00AA2A4C">
            <w:pPr>
              <w:pStyle w:val="TAL"/>
              <w:rPr>
                <w:lang w:eastAsia="en-US"/>
              </w:rPr>
            </w:pPr>
            <w:r w:rsidRPr="004D0DAA">
              <w:rPr>
                <w:lang w:eastAsia="en-US"/>
              </w:rPr>
              <w:t>11.2.7</w:t>
            </w:r>
          </w:p>
        </w:tc>
      </w:tr>
      <w:tr w:rsidR="00711444" w:rsidRPr="004D0DAA" w14:paraId="309A3029" w14:textId="77777777" w:rsidTr="00AA2A4C">
        <w:tblPrEx>
          <w:tblCellMar>
            <w:top w:w="0" w:type="dxa"/>
            <w:bottom w:w="0" w:type="dxa"/>
          </w:tblCellMar>
        </w:tblPrEx>
        <w:trPr>
          <w:cantSplit/>
          <w:jc w:val="center"/>
        </w:trPr>
        <w:tc>
          <w:tcPr>
            <w:tcW w:w="4878" w:type="dxa"/>
          </w:tcPr>
          <w:p w14:paraId="115C100F" w14:textId="77777777" w:rsidR="00711444" w:rsidRPr="004D0DAA" w:rsidRDefault="00711444" w:rsidP="00AA2A4C">
            <w:pPr>
              <w:pStyle w:val="TAL"/>
              <w:rPr>
                <w:lang w:eastAsia="en-US"/>
              </w:rPr>
            </w:pPr>
            <w:r w:rsidRPr="004D0DAA">
              <w:rPr>
                <w:lang w:eastAsia="en-US"/>
              </w:rPr>
              <w:t>Multiple TBF Downlink Assignment</w:t>
            </w:r>
          </w:p>
        </w:tc>
        <w:tc>
          <w:tcPr>
            <w:tcW w:w="2034" w:type="dxa"/>
          </w:tcPr>
          <w:p w14:paraId="13E0C2B4" w14:textId="77777777" w:rsidR="00711444" w:rsidRPr="004D0DAA" w:rsidRDefault="00711444" w:rsidP="00AA2A4C">
            <w:pPr>
              <w:pStyle w:val="TAL"/>
              <w:rPr>
                <w:lang w:eastAsia="en-US"/>
              </w:rPr>
            </w:pPr>
            <w:r w:rsidRPr="004D0DAA">
              <w:rPr>
                <w:lang w:eastAsia="en-US"/>
              </w:rPr>
              <w:t>11.2.7a</w:t>
            </w:r>
          </w:p>
        </w:tc>
      </w:tr>
      <w:tr w:rsidR="00711444" w:rsidRPr="004D0DAA" w14:paraId="417E4714" w14:textId="77777777" w:rsidTr="00AA2A4C">
        <w:tblPrEx>
          <w:tblCellMar>
            <w:top w:w="0" w:type="dxa"/>
            <w:bottom w:w="0" w:type="dxa"/>
          </w:tblCellMar>
        </w:tblPrEx>
        <w:trPr>
          <w:cantSplit/>
          <w:jc w:val="center"/>
        </w:trPr>
        <w:tc>
          <w:tcPr>
            <w:tcW w:w="4878" w:type="dxa"/>
          </w:tcPr>
          <w:p w14:paraId="26365449" w14:textId="77777777" w:rsidR="00711444" w:rsidRPr="004D0DAA" w:rsidRDefault="00711444" w:rsidP="00AA2A4C">
            <w:pPr>
              <w:pStyle w:val="TAH"/>
              <w:rPr>
                <w:lang w:eastAsia="en-US"/>
              </w:rPr>
            </w:pPr>
            <w:r w:rsidRPr="004D0DAA">
              <w:rPr>
                <w:lang w:eastAsia="en-US"/>
              </w:rPr>
              <w:t>TBF release messages:</w:t>
            </w:r>
          </w:p>
        </w:tc>
        <w:tc>
          <w:tcPr>
            <w:tcW w:w="2034" w:type="dxa"/>
          </w:tcPr>
          <w:p w14:paraId="0D4C41A0" w14:textId="77777777" w:rsidR="00711444" w:rsidRPr="004D0DAA" w:rsidRDefault="00711444" w:rsidP="00AA2A4C">
            <w:pPr>
              <w:pStyle w:val="TAH"/>
              <w:rPr>
                <w:lang w:eastAsia="en-US"/>
              </w:rPr>
            </w:pPr>
            <w:r w:rsidRPr="004D0DAA">
              <w:rPr>
                <w:lang w:eastAsia="en-US"/>
              </w:rPr>
              <w:t>Reference</w:t>
            </w:r>
          </w:p>
        </w:tc>
      </w:tr>
      <w:tr w:rsidR="00711444" w:rsidRPr="004D0DAA" w14:paraId="61D84714" w14:textId="77777777" w:rsidTr="00AA2A4C">
        <w:tblPrEx>
          <w:tblCellMar>
            <w:top w:w="0" w:type="dxa"/>
            <w:bottom w:w="0" w:type="dxa"/>
          </w:tblCellMar>
        </w:tblPrEx>
        <w:trPr>
          <w:cantSplit/>
          <w:jc w:val="center"/>
        </w:trPr>
        <w:tc>
          <w:tcPr>
            <w:tcW w:w="4878" w:type="dxa"/>
          </w:tcPr>
          <w:p w14:paraId="2479ADB3" w14:textId="77777777" w:rsidR="00711444" w:rsidRPr="004D0DAA" w:rsidRDefault="00711444" w:rsidP="00AA2A4C">
            <w:pPr>
              <w:pStyle w:val="TAL"/>
              <w:rPr>
                <w:lang w:eastAsia="en-US"/>
              </w:rPr>
            </w:pPr>
            <w:r w:rsidRPr="004D0DAA">
              <w:rPr>
                <w:lang w:eastAsia="en-US"/>
              </w:rPr>
              <w:t>Packet TBF Release</w:t>
            </w:r>
          </w:p>
        </w:tc>
        <w:tc>
          <w:tcPr>
            <w:tcW w:w="2034" w:type="dxa"/>
          </w:tcPr>
          <w:p w14:paraId="6B0960ED" w14:textId="77777777" w:rsidR="00711444" w:rsidRPr="004D0DAA" w:rsidRDefault="00711444" w:rsidP="00AA2A4C">
            <w:pPr>
              <w:pStyle w:val="TAL"/>
              <w:rPr>
                <w:lang w:eastAsia="en-US"/>
              </w:rPr>
            </w:pPr>
            <w:r w:rsidRPr="004D0DAA">
              <w:rPr>
                <w:lang w:eastAsia="en-US"/>
              </w:rPr>
              <w:t>11.2.26</w:t>
            </w:r>
          </w:p>
        </w:tc>
      </w:tr>
      <w:tr w:rsidR="00711444" w:rsidRPr="004D0DAA" w14:paraId="7D3E93EA" w14:textId="77777777" w:rsidTr="00AA2A4C">
        <w:tblPrEx>
          <w:tblCellMar>
            <w:top w:w="0" w:type="dxa"/>
            <w:bottom w:w="0" w:type="dxa"/>
          </w:tblCellMar>
        </w:tblPrEx>
        <w:trPr>
          <w:cantSplit/>
          <w:jc w:val="center"/>
        </w:trPr>
        <w:tc>
          <w:tcPr>
            <w:tcW w:w="4878" w:type="dxa"/>
          </w:tcPr>
          <w:p w14:paraId="412BA228" w14:textId="77777777" w:rsidR="00711444" w:rsidRPr="004D0DAA" w:rsidRDefault="00711444" w:rsidP="00AA2A4C">
            <w:pPr>
              <w:pStyle w:val="TAH"/>
              <w:rPr>
                <w:lang w:eastAsia="en-US"/>
              </w:rPr>
            </w:pPr>
            <w:r w:rsidRPr="004D0DAA">
              <w:rPr>
                <w:lang w:eastAsia="en-US"/>
              </w:rPr>
              <w:t>Paging messages:</w:t>
            </w:r>
          </w:p>
        </w:tc>
        <w:tc>
          <w:tcPr>
            <w:tcW w:w="2034" w:type="dxa"/>
          </w:tcPr>
          <w:p w14:paraId="41F8B4D8" w14:textId="77777777" w:rsidR="00711444" w:rsidRPr="004D0DAA" w:rsidRDefault="00711444" w:rsidP="00AA2A4C">
            <w:pPr>
              <w:pStyle w:val="TAH"/>
              <w:rPr>
                <w:lang w:eastAsia="en-US"/>
              </w:rPr>
            </w:pPr>
            <w:r w:rsidRPr="004D0DAA">
              <w:rPr>
                <w:lang w:eastAsia="en-US"/>
              </w:rPr>
              <w:t>Reference</w:t>
            </w:r>
          </w:p>
        </w:tc>
      </w:tr>
      <w:tr w:rsidR="00711444" w:rsidRPr="004D0DAA" w14:paraId="4A43AA2D" w14:textId="77777777" w:rsidTr="00AA2A4C">
        <w:tblPrEx>
          <w:tblCellMar>
            <w:top w:w="0" w:type="dxa"/>
            <w:bottom w:w="0" w:type="dxa"/>
          </w:tblCellMar>
        </w:tblPrEx>
        <w:trPr>
          <w:cantSplit/>
          <w:jc w:val="center"/>
        </w:trPr>
        <w:tc>
          <w:tcPr>
            <w:tcW w:w="4878" w:type="dxa"/>
          </w:tcPr>
          <w:p w14:paraId="64BD62DB" w14:textId="77777777" w:rsidR="00711444" w:rsidRPr="004D0DAA" w:rsidRDefault="00711444" w:rsidP="00AA2A4C">
            <w:pPr>
              <w:pStyle w:val="TAL"/>
              <w:rPr>
                <w:lang w:eastAsia="en-US"/>
              </w:rPr>
            </w:pPr>
            <w:r w:rsidRPr="004D0DAA">
              <w:rPr>
                <w:lang w:eastAsia="en-US"/>
              </w:rPr>
              <w:t>Packet Paging Request</w:t>
            </w:r>
          </w:p>
        </w:tc>
        <w:tc>
          <w:tcPr>
            <w:tcW w:w="2034" w:type="dxa"/>
          </w:tcPr>
          <w:p w14:paraId="5086464C" w14:textId="77777777" w:rsidR="00711444" w:rsidRPr="004D0DAA" w:rsidRDefault="00711444" w:rsidP="00AA2A4C">
            <w:pPr>
              <w:pStyle w:val="TAL"/>
              <w:rPr>
                <w:lang w:eastAsia="en-US"/>
              </w:rPr>
            </w:pPr>
            <w:r w:rsidRPr="004D0DAA">
              <w:rPr>
                <w:lang w:eastAsia="en-US"/>
              </w:rPr>
              <w:t>11.2.10</w:t>
            </w:r>
          </w:p>
        </w:tc>
      </w:tr>
      <w:tr w:rsidR="00711444" w:rsidRPr="004D0DAA" w14:paraId="23291967" w14:textId="77777777" w:rsidTr="00AA2A4C">
        <w:tblPrEx>
          <w:tblCellMar>
            <w:top w:w="0" w:type="dxa"/>
            <w:bottom w:w="0" w:type="dxa"/>
          </w:tblCellMar>
        </w:tblPrEx>
        <w:trPr>
          <w:cantSplit/>
          <w:jc w:val="center"/>
        </w:trPr>
        <w:tc>
          <w:tcPr>
            <w:tcW w:w="4878" w:type="dxa"/>
          </w:tcPr>
          <w:p w14:paraId="20E44EA6" w14:textId="77777777" w:rsidR="00711444" w:rsidRPr="004D0DAA" w:rsidRDefault="00711444" w:rsidP="00AA2A4C">
            <w:pPr>
              <w:pStyle w:val="TAH"/>
              <w:rPr>
                <w:lang w:eastAsia="en-US"/>
              </w:rPr>
            </w:pPr>
            <w:r w:rsidRPr="004D0DAA">
              <w:rPr>
                <w:lang w:eastAsia="en-US"/>
              </w:rPr>
              <w:t>RLC messages:</w:t>
            </w:r>
          </w:p>
        </w:tc>
        <w:tc>
          <w:tcPr>
            <w:tcW w:w="2034" w:type="dxa"/>
          </w:tcPr>
          <w:p w14:paraId="71AA0906" w14:textId="77777777" w:rsidR="00711444" w:rsidRPr="004D0DAA" w:rsidRDefault="00711444" w:rsidP="00AA2A4C">
            <w:pPr>
              <w:pStyle w:val="TAH"/>
              <w:rPr>
                <w:lang w:eastAsia="en-US"/>
              </w:rPr>
            </w:pPr>
            <w:r w:rsidRPr="004D0DAA">
              <w:rPr>
                <w:lang w:eastAsia="en-US"/>
              </w:rPr>
              <w:t>Reference</w:t>
            </w:r>
          </w:p>
        </w:tc>
      </w:tr>
      <w:tr w:rsidR="00711444" w:rsidRPr="004D0DAA" w14:paraId="6060DDE4" w14:textId="77777777" w:rsidTr="00AA2A4C">
        <w:tblPrEx>
          <w:tblCellMar>
            <w:top w:w="0" w:type="dxa"/>
            <w:bottom w:w="0" w:type="dxa"/>
          </w:tblCellMar>
        </w:tblPrEx>
        <w:trPr>
          <w:cantSplit/>
          <w:jc w:val="center"/>
        </w:trPr>
        <w:tc>
          <w:tcPr>
            <w:tcW w:w="4878" w:type="dxa"/>
          </w:tcPr>
          <w:p w14:paraId="7AC03F62" w14:textId="77777777" w:rsidR="00711444" w:rsidRPr="004D0DAA" w:rsidRDefault="00711444" w:rsidP="00AA2A4C">
            <w:pPr>
              <w:pStyle w:val="TAL"/>
              <w:rPr>
                <w:lang w:eastAsia="en-US"/>
              </w:rPr>
            </w:pPr>
            <w:r w:rsidRPr="004D0DAA">
              <w:rPr>
                <w:lang w:eastAsia="en-US"/>
              </w:rPr>
              <w:t>Packet Downlink Ack/Nack</w:t>
            </w:r>
          </w:p>
        </w:tc>
        <w:tc>
          <w:tcPr>
            <w:tcW w:w="2034" w:type="dxa"/>
          </w:tcPr>
          <w:p w14:paraId="3C4C90EE" w14:textId="77777777" w:rsidR="00711444" w:rsidRPr="004D0DAA" w:rsidRDefault="00711444" w:rsidP="00AA2A4C">
            <w:pPr>
              <w:pStyle w:val="TAL"/>
              <w:rPr>
                <w:lang w:eastAsia="en-US"/>
              </w:rPr>
            </w:pPr>
            <w:r w:rsidRPr="004D0DAA">
              <w:rPr>
                <w:lang w:eastAsia="en-US"/>
              </w:rPr>
              <w:t>11.2.6</w:t>
            </w:r>
          </w:p>
        </w:tc>
      </w:tr>
      <w:tr w:rsidR="00711444" w:rsidRPr="004D0DAA" w14:paraId="1B8CA323" w14:textId="77777777" w:rsidTr="00AA2A4C">
        <w:tblPrEx>
          <w:tblCellMar>
            <w:top w:w="0" w:type="dxa"/>
            <w:bottom w:w="0" w:type="dxa"/>
          </w:tblCellMar>
        </w:tblPrEx>
        <w:trPr>
          <w:cantSplit/>
          <w:jc w:val="center"/>
        </w:trPr>
        <w:tc>
          <w:tcPr>
            <w:tcW w:w="4878" w:type="dxa"/>
          </w:tcPr>
          <w:p w14:paraId="7F2D4F16" w14:textId="77777777" w:rsidR="00711444" w:rsidRPr="004D0DAA" w:rsidRDefault="00711444" w:rsidP="00AA2A4C">
            <w:pPr>
              <w:pStyle w:val="TAL"/>
              <w:rPr>
                <w:lang w:eastAsia="en-US"/>
              </w:rPr>
            </w:pPr>
            <w:r w:rsidRPr="004D0DAA">
              <w:rPr>
                <w:lang w:eastAsia="en-US"/>
              </w:rPr>
              <w:t>EGPRS Packet Downlink Ack/Nack</w:t>
            </w:r>
          </w:p>
        </w:tc>
        <w:tc>
          <w:tcPr>
            <w:tcW w:w="2034" w:type="dxa"/>
          </w:tcPr>
          <w:p w14:paraId="08400857" w14:textId="77777777" w:rsidR="00711444" w:rsidRPr="004D0DAA" w:rsidRDefault="00711444" w:rsidP="00AA2A4C">
            <w:pPr>
              <w:pStyle w:val="TAL"/>
              <w:rPr>
                <w:lang w:eastAsia="en-US"/>
              </w:rPr>
            </w:pPr>
            <w:r w:rsidRPr="004D0DAA">
              <w:rPr>
                <w:lang w:eastAsia="en-US"/>
              </w:rPr>
              <w:t>11.2.6a</w:t>
            </w:r>
          </w:p>
        </w:tc>
      </w:tr>
      <w:tr w:rsidR="00711444" w:rsidRPr="004D0DAA" w14:paraId="7773B7CF" w14:textId="77777777" w:rsidTr="00AA2A4C">
        <w:tblPrEx>
          <w:tblCellMar>
            <w:top w:w="0" w:type="dxa"/>
            <w:bottom w:w="0" w:type="dxa"/>
          </w:tblCellMar>
        </w:tblPrEx>
        <w:trPr>
          <w:cantSplit/>
          <w:jc w:val="center"/>
        </w:trPr>
        <w:tc>
          <w:tcPr>
            <w:tcW w:w="4878" w:type="dxa"/>
          </w:tcPr>
          <w:p w14:paraId="7D5B2BA9" w14:textId="77777777" w:rsidR="00711444" w:rsidRPr="004D0DAA" w:rsidRDefault="00711444" w:rsidP="00AA2A4C">
            <w:pPr>
              <w:pStyle w:val="TAL"/>
              <w:rPr>
                <w:lang w:eastAsia="en-US"/>
              </w:rPr>
            </w:pPr>
            <w:r w:rsidRPr="004D0DAA">
              <w:rPr>
                <w:lang w:eastAsia="en-US"/>
              </w:rPr>
              <w:t>Packet DBPSCH Downlink Ack/Nack</w:t>
            </w:r>
          </w:p>
        </w:tc>
        <w:tc>
          <w:tcPr>
            <w:tcW w:w="2034" w:type="dxa"/>
          </w:tcPr>
          <w:p w14:paraId="2DA6EA35" w14:textId="77777777" w:rsidR="00711444" w:rsidRPr="004D0DAA" w:rsidRDefault="00711444" w:rsidP="00AA2A4C">
            <w:pPr>
              <w:pStyle w:val="TAL"/>
              <w:rPr>
                <w:lang w:eastAsia="en-US"/>
              </w:rPr>
            </w:pPr>
            <w:r w:rsidRPr="004D0DAA">
              <w:rPr>
                <w:lang w:eastAsia="en-US"/>
              </w:rPr>
              <w:t>11.2.6b</w:t>
            </w:r>
          </w:p>
        </w:tc>
      </w:tr>
      <w:tr w:rsidR="00711444" w:rsidRPr="004D0DAA" w14:paraId="25CFC33A" w14:textId="77777777" w:rsidTr="00AA2A4C">
        <w:tblPrEx>
          <w:tblCellMar>
            <w:top w:w="0" w:type="dxa"/>
            <w:bottom w:w="0" w:type="dxa"/>
          </w:tblCellMar>
        </w:tblPrEx>
        <w:trPr>
          <w:cantSplit/>
          <w:jc w:val="center"/>
        </w:trPr>
        <w:tc>
          <w:tcPr>
            <w:tcW w:w="4878" w:type="dxa"/>
          </w:tcPr>
          <w:p w14:paraId="2D5F881F" w14:textId="77777777" w:rsidR="00711444" w:rsidRPr="004D0DAA" w:rsidRDefault="00711444" w:rsidP="00AA2A4C">
            <w:pPr>
              <w:pStyle w:val="TAL"/>
              <w:rPr>
                <w:lang w:eastAsia="en-US"/>
              </w:rPr>
            </w:pPr>
            <w:r w:rsidRPr="004D0DAA">
              <w:rPr>
                <w:lang w:eastAsia="en-US"/>
              </w:rPr>
              <w:t>Packet DBPSCH Downlink Ack/Nack Type 2</w:t>
            </w:r>
          </w:p>
        </w:tc>
        <w:tc>
          <w:tcPr>
            <w:tcW w:w="2034" w:type="dxa"/>
          </w:tcPr>
          <w:p w14:paraId="44F5D3EB" w14:textId="77777777" w:rsidR="00711444" w:rsidRPr="004D0DAA" w:rsidRDefault="00711444" w:rsidP="00AA2A4C">
            <w:pPr>
              <w:pStyle w:val="TAL"/>
              <w:rPr>
                <w:lang w:eastAsia="en-US"/>
              </w:rPr>
            </w:pPr>
            <w:r w:rsidRPr="004D0DAA">
              <w:rPr>
                <w:lang w:eastAsia="en-US"/>
              </w:rPr>
              <w:t>11.2.6c</w:t>
            </w:r>
          </w:p>
        </w:tc>
      </w:tr>
      <w:tr w:rsidR="00711444" w:rsidRPr="004D0DAA" w14:paraId="1C7A1277" w14:textId="77777777" w:rsidTr="00AA2A4C">
        <w:tblPrEx>
          <w:tblCellMar>
            <w:top w:w="0" w:type="dxa"/>
            <w:bottom w:w="0" w:type="dxa"/>
          </w:tblCellMar>
        </w:tblPrEx>
        <w:trPr>
          <w:cantSplit/>
          <w:jc w:val="center"/>
        </w:trPr>
        <w:tc>
          <w:tcPr>
            <w:tcW w:w="4878" w:type="dxa"/>
          </w:tcPr>
          <w:p w14:paraId="2E814E48" w14:textId="77777777" w:rsidR="00711444" w:rsidRPr="004D0DAA" w:rsidRDefault="00711444" w:rsidP="00AA2A4C">
            <w:pPr>
              <w:pStyle w:val="TAL"/>
              <w:rPr>
                <w:lang w:eastAsia="en-US"/>
              </w:rPr>
            </w:pPr>
            <w:r w:rsidRPr="004D0DAA">
              <w:rPr>
                <w:lang w:eastAsia="en-US"/>
              </w:rPr>
              <w:t>MBMS Downlink Ack/Nack</w:t>
            </w:r>
          </w:p>
        </w:tc>
        <w:tc>
          <w:tcPr>
            <w:tcW w:w="2034" w:type="dxa"/>
          </w:tcPr>
          <w:p w14:paraId="31A4DB33" w14:textId="77777777" w:rsidR="00711444" w:rsidRPr="004D0DAA" w:rsidRDefault="00711444" w:rsidP="00AA2A4C">
            <w:pPr>
              <w:pStyle w:val="TAL"/>
              <w:rPr>
                <w:lang w:eastAsia="en-US"/>
              </w:rPr>
            </w:pPr>
            <w:r w:rsidRPr="004D0DAA">
              <w:rPr>
                <w:lang w:eastAsia="en-US"/>
              </w:rPr>
              <w:t>11.2.6d</w:t>
            </w:r>
          </w:p>
        </w:tc>
      </w:tr>
      <w:tr w:rsidR="00711444" w:rsidRPr="004D0DAA" w14:paraId="0BC03C3A" w14:textId="77777777" w:rsidTr="00AA2A4C">
        <w:tblPrEx>
          <w:tblCellMar>
            <w:top w:w="0" w:type="dxa"/>
            <w:bottom w:w="0" w:type="dxa"/>
          </w:tblCellMar>
        </w:tblPrEx>
        <w:trPr>
          <w:cantSplit/>
          <w:jc w:val="center"/>
        </w:trPr>
        <w:tc>
          <w:tcPr>
            <w:tcW w:w="4878" w:type="dxa"/>
          </w:tcPr>
          <w:p w14:paraId="12231807" w14:textId="77777777" w:rsidR="00711444" w:rsidRPr="004D0DAA" w:rsidRDefault="00711444" w:rsidP="00AA2A4C">
            <w:pPr>
              <w:pStyle w:val="TAL"/>
              <w:rPr>
                <w:lang w:eastAsia="en-US"/>
              </w:rPr>
            </w:pPr>
            <w:r w:rsidRPr="004D0DAA">
              <w:rPr>
                <w:lang w:eastAsia="en-US"/>
              </w:rPr>
              <w:t>EGPRS Packet Downlink Ack/Nack Type 2</w:t>
            </w:r>
          </w:p>
        </w:tc>
        <w:tc>
          <w:tcPr>
            <w:tcW w:w="2034" w:type="dxa"/>
          </w:tcPr>
          <w:p w14:paraId="675D923E" w14:textId="77777777" w:rsidR="00711444" w:rsidRPr="004D0DAA" w:rsidRDefault="00711444" w:rsidP="00AA2A4C">
            <w:pPr>
              <w:pStyle w:val="TAL"/>
              <w:rPr>
                <w:lang w:eastAsia="en-US"/>
              </w:rPr>
            </w:pPr>
            <w:r w:rsidRPr="004D0DAA">
              <w:rPr>
                <w:lang w:eastAsia="en-US"/>
              </w:rPr>
              <w:t>11.2.6e</w:t>
            </w:r>
          </w:p>
        </w:tc>
      </w:tr>
      <w:tr w:rsidR="00711444" w:rsidRPr="004D0DAA" w14:paraId="29F3C0EE" w14:textId="77777777" w:rsidTr="00AA2A4C">
        <w:tblPrEx>
          <w:tblCellMar>
            <w:top w:w="0" w:type="dxa"/>
            <w:bottom w:w="0" w:type="dxa"/>
          </w:tblCellMar>
        </w:tblPrEx>
        <w:trPr>
          <w:cantSplit/>
          <w:jc w:val="center"/>
        </w:trPr>
        <w:tc>
          <w:tcPr>
            <w:tcW w:w="4878" w:type="dxa"/>
          </w:tcPr>
          <w:p w14:paraId="68D33F88" w14:textId="77777777" w:rsidR="00711444" w:rsidRPr="004D0DAA" w:rsidRDefault="00711444" w:rsidP="00AA2A4C">
            <w:pPr>
              <w:pStyle w:val="TAL"/>
              <w:rPr>
                <w:lang w:eastAsia="en-US"/>
              </w:rPr>
            </w:pPr>
            <w:r w:rsidRPr="004D0DAA">
              <w:rPr>
                <w:lang w:eastAsia="en-US"/>
              </w:rPr>
              <w:t>EGPRS Packet Downlink Ack/Nack Type 3</w:t>
            </w:r>
          </w:p>
        </w:tc>
        <w:tc>
          <w:tcPr>
            <w:tcW w:w="2034" w:type="dxa"/>
          </w:tcPr>
          <w:p w14:paraId="0B3922AB" w14:textId="77777777" w:rsidR="00711444" w:rsidRPr="004D0DAA" w:rsidRDefault="00711444" w:rsidP="00AA2A4C">
            <w:pPr>
              <w:pStyle w:val="TAL"/>
              <w:rPr>
                <w:lang w:eastAsia="en-US"/>
              </w:rPr>
            </w:pPr>
            <w:r w:rsidRPr="004D0DAA">
              <w:rPr>
                <w:lang w:eastAsia="en-US"/>
              </w:rPr>
              <w:t>11.2.6f</w:t>
            </w:r>
          </w:p>
        </w:tc>
      </w:tr>
      <w:tr w:rsidR="00711444" w:rsidRPr="004D0DAA" w14:paraId="1B92FBE8" w14:textId="77777777" w:rsidTr="00AA2A4C">
        <w:tblPrEx>
          <w:tblCellMar>
            <w:top w:w="0" w:type="dxa"/>
            <w:bottom w:w="0" w:type="dxa"/>
          </w:tblCellMar>
        </w:tblPrEx>
        <w:trPr>
          <w:cantSplit/>
          <w:jc w:val="center"/>
        </w:trPr>
        <w:tc>
          <w:tcPr>
            <w:tcW w:w="4878" w:type="dxa"/>
          </w:tcPr>
          <w:p w14:paraId="073D36E4" w14:textId="77777777" w:rsidR="00711444" w:rsidRPr="004D0DAA" w:rsidRDefault="00711444" w:rsidP="00AA2A4C">
            <w:pPr>
              <w:pStyle w:val="TAL"/>
              <w:rPr>
                <w:lang w:eastAsia="en-US"/>
              </w:rPr>
            </w:pPr>
            <w:r w:rsidRPr="004D0DAA">
              <w:rPr>
                <w:lang w:eastAsia="en-US"/>
              </w:rPr>
              <w:t>Packet Uplink Ack/Nack</w:t>
            </w:r>
          </w:p>
        </w:tc>
        <w:tc>
          <w:tcPr>
            <w:tcW w:w="2034" w:type="dxa"/>
          </w:tcPr>
          <w:p w14:paraId="526F86CB" w14:textId="77777777" w:rsidR="00711444" w:rsidRPr="004D0DAA" w:rsidRDefault="00711444" w:rsidP="00AA2A4C">
            <w:pPr>
              <w:pStyle w:val="TAL"/>
              <w:rPr>
                <w:lang w:eastAsia="en-US"/>
              </w:rPr>
            </w:pPr>
            <w:r w:rsidRPr="004D0DAA">
              <w:rPr>
                <w:lang w:eastAsia="en-US"/>
              </w:rPr>
              <w:t>11.2.28</w:t>
            </w:r>
          </w:p>
        </w:tc>
      </w:tr>
      <w:tr w:rsidR="00711444" w:rsidRPr="004D0DAA" w14:paraId="6911F409" w14:textId="77777777" w:rsidTr="00AA2A4C">
        <w:tblPrEx>
          <w:tblCellMar>
            <w:top w:w="0" w:type="dxa"/>
            <w:bottom w:w="0" w:type="dxa"/>
          </w:tblCellMar>
        </w:tblPrEx>
        <w:trPr>
          <w:cantSplit/>
          <w:jc w:val="center"/>
        </w:trPr>
        <w:tc>
          <w:tcPr>
            <w:tcW w:w="4878" w:type="dxa"/>
          </w:tcPr>
          <w:p w14:paraId="70D6A4CE" w14:textId="77777777" w:rsidR="00711444" w:rsidRPr="004D0DAA" w:rsidRDefault="00711444" w:rsidP="00AA2A4C">
            <w:pPr>
              <w:pStyle w:val="TAL"/>
              <w:rPr>
                <w:lang w:eastAsia="en-US"/>
              </w:rPr>
            </w:pPr>
            <w:r w:rsidRPr="004D0DAA">
              <w:rPr>
                <w:lang w:eastAsia="en-US"/>
              </w:rPr>
              <w:t>Packet DBPSCH Uplink Ack/Nack</w:t>
            </w:r>
          </w:p>
        </w:tc>
        <w:tc>
          <w:tcPr>
            <w:tcW w:w="2034" w:type="dxa"/>
          </w:tcPr>
          <w:p w14:paraId="757D7582" w14:textId="77777777" w:rsidR="00711444" w:rsidRPr="004D0DAA" w:rsidRDefault="00711444" w:rsidP="00AA2A4C">
            <w:pPr>
              <w:pStyle w:val="TAL"/>
              <w:rPr>
                <w:lang w:eastAsia="en-US"/>
              </w:rPr>
            </w:pPr>
            <w:r w:rsidRPr="004D0DAA">
              <w:rPr>
                <w:lang w:eastAsia="en-US"/>
              </w:rPr>
              <w:t>11.2.28a</w:t>
            </w:r>
          </w:p>
        </w:tc>
      </w:tr>
      <w:tr w:rsidR="00711444" w:rsidRPr="004D0DAA" w14:paraId="244A6D15" w14:textId="77777777" w:rsidTr="00AA2A4C">
        <w:tblPrEx>
          <w:tblCellMar>
            <w:top w:w="0" w:type="dxa"/>
            <w:bottom w:w="0" w:type="dxa"/>
          </w:tblCellMar>
        </w:tblPrEx>
        <w:trPr>
          <w:cantSplit/>
          <w:jc w:val="center"/>
        </w:trPr>
        <w:tc>
          <w:tcPr>
            <w:tcW w:w="4878" w:type="dxa"/>
          </w:tcPr>
          <w:p w14:paraId="70CBE831" w14:textId="77777777" w:rsidR="00711444" w:rsidRPr="004D0DAA" w:rsidRDefault="00711444" w:rsidP="00AA2A4C">
            <w:pPr>
              <w:pStyle w:val="TAL"/>
              <w:rPr>
                <w:lang w:eastAsia="en-US"/>
              </w:rPr>
            </w:pPr>
            <w:r w:rsidRPr="004D0DAA">
              <w:rPr>
                <w:lang w:eastAsia="en-US"/>
              </w:rPr>
              <w:t>Packet DBPSCH Uplink Ack/Nack Type 2</w:t>
            </w:r>
          </w:p>
        </w:tc>
        <w:tc>
          <w:tcPr>
            <w:tcW w:w="2034" w:type="dxa"/>
          </w:tcPr>
          <w:p w14:paraId="5997815B" w14:textId="77777777" w:rsidR="00711444" w:rsidRPr="004D0DAA" w:rsidRDefault="00711444" w:rsidP="00AA2A4C">
            <w:pPr>
              <w:pStyle w:val="TAL"/>
              <w:rPr>
                <w:lang w:eastAsia="en-US"/>
              </w:rPr>
            </w:pPr>
            <w:r w:rsidRPr="004D0DAA">
              <w:rPr>
                <w:lang w:eastAsia="en-US"/>
              </w:rPr>
              <w:t>11.2.28b</w:t>
            </w:r>
          </w:p>
        </w:tc>
      </w:tr>
      <w:tr w:rsidR="00711444" w:rsidRPr="004D0DAA" w14:paraId="4EBEE100" w14:textId="77777777" w:rsidTr="00AA2A4C">
        <w:tblPrEx>
          <w:tblCellMar>
            <w:top w:w="0" w:type="dxa"/>
            <w:bottom w:w="0" w:type="dxa"/>
          </w:tblCellMar>
        </w:tblPrEx>
        <w:trPr>
          <w:cantSplit/>
          <w:jc w:val="center"/>
        </w:trPr>
        <w:tc>
          <w:tcPr>
            <w:tcW w:w="4878" w:type="dxa"/>
          </w:tcPr>
          <w:p w14:paraId="56477D1E" w14:textId="77777777" w:rsidR="00711444" w:rsidRPr="004D0DAA" w:rsidRDefault="00711444" w:rsidP="00AA2A4C">
            <w:pPr>
              <w:pStyle w:val="TAL"/>
              <w:rPr>
                <w:lang w:eastAsia="en-US"/>
              </w:rPr>
            </w:pPr>
            <w:r w:rsidRPr="004D0DAA">
              <w:rPr>
                <w:lang w:eastAsia="en-US"/>
              </w:rPr>
              <w:t>EGPRS Packet Downlink Ack/Nack DLMC</w:t>
            </w:r>
          </w:p>
        </w:tc>
        <w:tc>
          <w:tcPr>
            <w:tcW w:w="2034" w:type="dxa"/>
          </w:tcPr>
          <w:p w14:paraId="0F97D479" w14:textId="77777777" w:rsidR="00711444" w:rsidRPr="004D0DAA" w:rsidRDefault="00711444" w:rsidP="00AA2A4C">
            <w:pPr>
              <w:pStyle w:val="TAL"/>
              <w:rPr>
                <w:lang w:eastAsia="en-US"/>
              </w:rPr>
            </w:pPr>
            <w:r w:rsidRPr="004D0DAA">
              <w:rPr>
                <w:lang w:eastAsia="en-US"/>
              </w:rPr>
              <w:t>11.2.48</w:t>
            </w:r>
          </w:p>
        </w:tc>
      </w:tr>
      <w:tr w:rsidR="00711444" w:rsidRPr="004D0DAA" w14:paraId="315ED740" w14:textId="77777777" w:rsidTr="00AA2A4C">
        <w:tblPrEx>
          <w:tblCellMar>
            <w:top w:w="0" w:type="dxa"/>
            <w:bottom w:w="0" w:type="dxa"/>
          </w:tblCellMar>
        </w:tblPrEx>
        <w:trPr>
          <w:cantSplit/>
          <w:jc w:val="center"/>
        </w:trPr>
        <w:tc>
          <w:tcPr>
            <w:tcW w:w="4878" w:type="dxa"/>
          </w:tcPr>
          <w:p w14:paraId="0BCA9BF0" w14:textId="77777777" w:rsidR="00711444" w:rsidRPr="004D0DAA" w:rsidRDefault="00711444" w:rsidP="00AA2A4C">
            <w:pPr>
              <w:pStyle w:val="TAH"/>
              <w:rPr>
                <w:lang w:eastAsia="en-US"/>
              </w:rPr>
            </w:pPr>
            <w:r w:rsidRPr="004D0DAA">
              <w:rPr>
                <w:lang w:eastAsia="en-US"/>
              </w:rPr>
              <w:t>System information messages:</w:t>
            </w:r>
          </w:p>
        </w:tc>
        <w:tc>
          <w:tcPr>
            <w:tcW w:w="2034" w:type="dxa"/>
          </w:tcPr>
          <w:p w14:paraId="76CCFEFB" w14:textId="77777777" w:rsidR="00711444" w:rsidRPr="004D0DAA" w:rsidRDefault="00711444" w:rsidP="00AA2A4C">
            <w:pPr>
              <w:pStyle w:val="TAH"/>
              <w:rPr>
                <w:lang w:eastAsia="en-US"/>
              </w:rPr>
            </w:pPr>
            <w:r w:rsidRPr="004D0DAA">
              <w:rPr>
                <w:lang w:eastAsia="en-US"/>
              </w:rPr>
              <w:t>Reference</w:t>
            </w:r>
          </w:p>
        </w:tc>
      </w:tr>
      <w:tr w:rsidR="00711444" w:rsidRPr="004D0DAA" w14:paraId="5541AD93" w14:textId="77777777" w:rsidTr="00AA2A4C">
        <w:tblPrEx>
          <w:tblCellMar>
            <w:top w:w="0" w:type="dxa"/>
            <w:bottom w:w="0" w:type="dxa"/>
          </w:tblCellMar>
        </w:tblPrEx>
        <w:trPr>
          <w:cantSplit/>
          <w:jc w:val="center"/>
        </w:trPr>
        <w:tc>
          <w:tcPr>
            <w:tcW w:w="4878" w:type="dxa"/>
          </w:tcPr>
          <w:p w14:paraId="1E7473AA" w14:textId="77777777" w:rsidR="00711444" w:rsidRPr="004D0DAA" w:rsidRDefault="00711444" w:rsidP="00AA2A4C">
            <w:pPr>
              <w:pStyle w:val="TAL"/>
              <w:rPr>
                <w:lang w:eastAsia="en-US"/>
              </w:rPr>
            </w:pPr>
            <w:r w:rsidRPr="004D0DAA">
              <w:rPr>
                <w:lang w:eastAsia="en-US"/>
              </w:rPr>
              <w:t>Packet System Information Type 1</w:t>
            </w:r>
          </w:p>
        </w:tc>
        <w:tc>
          <w:tcPr>
            <w:tcW w:w="2034" w:type="dxa"/>
          </w:tcPr>
          <w:p w14:paraId="74860A2F" w14:textId="77777777" w:rsidR="00711444" w:rsidRPr="004D0DAA" w:rsidRDefault="00711444" w:rsidP="00AA2A4C">
            <w:pPr>
              <w:pStyle w:val="TAL"/>
              <w:rPr>
                <w:lang w:eastAsia="en-US"/>
              </w:rPr>
            </w:pPr>
            <w:r w:rsidRPr="004D0DAA">
              <w:rPr>
                <w:lang w:eastAsia="en-US"/>
              </w:rPr>
              <w:t>11.2.18</w:t>
            </w:r>
          </w:p>
        </w:tc>
      </w:tr>
      <w:tr w:rsidR="00711444" w:rsidRPr="004D0DAA" w14:paraId="70D1C0B0" w14:textId="77777777" w:rsidTr="00AA2A4C">
        <w:tblPrEx>
          <w:tblCellMar>
            <w:top w:w="0" w:type="dxa"/>
            <w:bottom w:w="0" w:type="dxa"/>
          </w:tblCellMar>
        </w:tblPrEx>
        <w:trPr>
          <w:cantSplit/>
          <w:jc w:val="center"/>
        </w:trPr>
        <w:tc>
          <w:tcPr>
            <w:tcW w:w="4878" w:type="dxa"/>
          </w:tcPr>
          <w:p w14:paraId="53ACCE06" w14:textId="77777777" w:rsidR="00711444" w:rsidRPr="004D0DAA" w:rsidRDefault="00711444" w:rsidP="00AA2A4C">
            <w:pPr>
              <w:pStyle w:val="TAL"/>
              <w:rPr>
                <w:lang w:eastAsia="en-US"/>
              </w:rPr>
            </w:pPr>
            <w:r w:rsidRPr="004D0DAA">
              <w:rPr>
                <w:lang w:eastAsia="en-US"/>
              </w:rPr>
              <w:t>Packet System Information Type 2</w:t>
            </w:r>
          </w:p>
        </w:tc>
        <w:tc>
          <w:tcPr>
            <w:tcW w:w="2034" w:type="dxa"/>
          </w:tcPr>
          <w:p w14:paraId="27688C0E" w14:textId="77777777" w:rsidR="00711444" w:rsidRPr="004D0DAA" w:rsidRDefault="00711444" w:rsidP="00AA2A4C">
            <w:pPr>
              <w:pStyle w:val="TAL"/>
              <w:rPr>
                <w:lang w:eastAsia="en-US"/>
              </w:rPr>
            </w:pPr>
            <w:r w:rsidRPr="004D0DAA">
              <w:rPr>
                <w:lang w:eastAsia="en-US"/>
              </w:rPr>
              <w:t>11.2.19</w:t>
            </w:r>
          </w:p>
        </w:tc>
      </w:tr>
      <w:tr w:rsidR="00711444" w:rsidRPr="004D0DAA" w14:paraId="2AA2E7B4" w14:textId="77777777" w:rsidTr="00AA2A4C">
        <w:tblPrEx>
          <w:tblCellMar>
            <w:top w:w="0" w:type="dxa"/>
            <w:bottom w:w="0" w:type="dxa"/>
          </w:tblCellMar>
        </w:tblPrEx>
        <w:trPr>
          <w:cantSplit/>
          <w:jc w:val="center"/>
        </w:trPr>
        <w:tc>
          <w:tcPr>
            <w:tcW w:w="4878" w:type="dxa"/>
          </w:tcPr>
          <w:p w14:paraId="39DA0458" w14:textId="77777777" w:rsidR="00711444" w:rsidRPr="004D0DAA" w:rsidRDefault="00711444" w:rsidP="00AA2A4C">
            <w:pPr>
              <w:pStyle w:val="TAL"/>
              <w:rPr>
                <w:lang w:eastAsia="en-US"/>
              </w:rPr>
            </w:pPr>
            <w:r w:rsidRPr="004D0DAA">
              <w:rPr>
                <w:lang w:eastAsia="en-US"/>
              </w:rPr>
              <w:t>Packet System Information Type 3</w:t>
            </w:r>
          </w:p>
        </w:tc>
        <w:tc>
          <w:tcPr>
            <w:tcW w:w="2034" w:type="dxa"/>
          </w:tcPr>
          <w:p w14:paraId="7BE566BA" w14:textId="77777777" w:rsidR="00711444" w:rsidRPr="004D0DAA" w:rsidRDefault="00711444" w:rsidP="00AA2A4C">
            <w:pPr>
              <w:pStyle w:val="TAL"/>
              <w:rPr>
                <w:lang w:eastAsia="en-US"/>
              </w:rPr>
            </w:pPr>
            <w:r w:rsidRPr="004D0DAA">
              <w:rPr>
                <w:lang w:eastAsia="en-US"/>
              </w:rPr>
              <w:t>11.2.20</w:t>
            </w:r>
          </w:p>
        </w:tc>
      </w:tr>
      <w:tr w:rsidR="00711444" w:rsidRPr="004D0DAA" w14:paraId="08B803D4" w14:textId="77777777" w:rsidTr="00AA2A4C">
        <w:tblPrEx>
          <w:tblCellMar>
            <w:top w:w="0" w:type="dxa"/>
            <w:bottom w:w="0" w:type="dxa"/>
          </w:tblCellMar>
        </w:tblPrEx>
        <w:trPr>
          <w:cantSplit/>
          <w:jc w:val="center"/>
        </w:trPr>
        <w:tc>
          <w:tcPr>
            <w:tcW w:w="4878" w:type="dxa"/>
          </w:tcPr>
          <w:p w14:paraId="469FC13A" w14:textId="77777777" w:rsidR="00711444" w:rsidRPr="004D0DAA" w:rsidRDefault="00711444" w:rsidP="00AA2A4C">
            <w:pPr>
              <w:pStyle w:val="TAL"/>
              <w:rPr>
                <w:lang w:eastAsia="en-US"/>
              </w:rPr>
            </w:pPr>
            <w:r w:rsidRPr="004D0DAA">
              <w:rPr>
                <w:lang w:eastAsia="en-US"/>
              </w:rPr>
              <w:t>Packet System Information Type 3 bis</w:t>
            </w:r>
          </w:p>
        </w:tc>
        <w:tc>
          <w:tcPr>
            <w:tcW w:w="2034" w:type="dxa"/>
          </w:tcPr>
          <w:p w14:paraId="79C4A9EE" w14:textId="77777777" w:rsidR="00711444" w:rsidRPr="004D0DAA" w:rsidRDefault="00711444" w:rsidP="00AA2A4C">
            <w:pPr>
              <w:pStyle w:val="TAL"/>
              <w:rPr>
                <w:lang w:eastAsia="en-US"/>
              </w:rPr>
            </w:pPr>
            <w:r w:rsidRPr="004D0DAA">
              <w:rPr>
                <w:lang w:eastAsia="en-US"/>
              </w:rPr>
              <w:t>11.2.21</w:t>
            </w:r>
          </w:p>
        </w:tc>
      </w:tr>
      <w:tr w:rsidR="00711444" w:rsidRPr="004D0DAA" w14:paraId="144D43C7" w14:textId="77777777" w:rsidTr="00AA2A4C">
        <w:tblPrEx>
          <w:tblCellMar>
            <w:top w:w="0" w:type="dxa"/>
            <w:bottom w:w="0" w:type="dxa"/>
          </w:tblCellMar>
        </w:tblPrEx>
        <w:trPr>
          <w:cantSplit/>
          <w:jc w:val="center"/>
        </w:trPr>
        <w:tc>
          <w:tcPr>
            <w:tcW w:w="4878" w:type="dxa"/>
          </w:tcPr>
          <w:p w14:paraId="167792F1" w14:textId="77777777" w:rsidR="00711444" w:rsidRPr="004D0DAA" w:rsidRDefault="00711444" w:rsidP="00AA2A4C">
            <w:pPr>
              <w:pStyle w:val="TAL"/>
              <w:rPr>
                <w:lang w:eastAsia="en-US"/>
              </w:rPr>
            </w:pPr>
            <w:r w:rsidRPr="004D0DAA">
              <w:rPr>
                <w:lang w:eastAsia="en-US"/>
              </w:rPr>
              <w:t>Packet System Information Type 3 ter</w:t>
            </w:r>
          </w:p>
        </w:tc>
        <w:tc>
          <w:tcPr>
            <w:tcW w:w="2034" w:type="dxa"/>
          </w:tcPr>
          <w:p w14:paraId="044CE080" w14:textId="77777777" w:rsidR="00711444" w:rsidRPr="004D0DAA" w:rsidRDefault="00711444" w:rsidP="00AA2A4C">
            <w:pPr>
              <w:pStyle w:val="TAL"/>
              <w:rPr>
                <w:lang w:eastAsia="en-US"/>
              </w:rPr>
            </w:pPr>
            <w:r w:rsidRPr="004D0DAA">
              <w:rPr>
                <w:lang w:eastAsia="en-US"/>
              </w:rPr>
              <w:t>11.2.21a</w:t>
            </w:r>
          </w:p>
        </w:tc>
      </w:tr>
      <w:tr w:rsidR="00711444" w:rsidRPr="004D0DAA" w14:paraId="7F705A6C" w14:textId="77777777" w:rsidTr="00AA2A4C">
        <w:tblPrEx>
          <w:tblCellMar>
            <w:top w:w="0" w:type="dxa"/>
            <w:bottom w:w="0" w:type="dxa"/>
          </w:tblCellMar>
        </w:tblPrEx>
        <w:trPr>
          <w:cantSplit/>
          <w:jc w:val="center"/>
        </w:trPr>
        <w:tc>
          <w:tcPr>
            <w:tcW w:w="4878" w:type="dxa"/>
          </w:tcPr>
          <w:p w14:paraId="732DE263" w14:textId="77777777" w:rsidR="00711444" w:rsidRPr="004D0DAA" w:rsidRDefault="00711444" w:rsidP="00AA2A4C">
            <w:pPr>
              <w:pStyle w:val="TAL"/>
              <w:rPr>
                <w:lang w:eastAsia="en-US"/>
              </w:rPr>
            </w:pPr>
            <w:r w:rsidRPr="004D0DAA">
              <w:rPr>
                <w:lang w:eastAsia="en-US"/>
              </w:rPr>
              <w:t>Packet System Information Type 3 quater</w:t>
            </w:r>
          </w:p>
        </w:tc>
        <w:tc>
          <w:tcPr>
            <w:tcW w:w="2034" w:type="dxa"/>
          </w:tcPr>
          <w:p w14:paraId="4252D98A" w14:textId="77777777" w:rsidR="00711444" w:rsidRPr="004D0DAA" w:rsidRDefault="00711444" w:rsidP="00AA2A4C">
            <w:pPr>
              <w:pStyle w:val="TAL"/>
              <w:rPr>
                <w:lang w:eastAsia="en-US"/>
              </w:rPr>
            </w:pPr>
            <w:r w:rsidRPr="004D0DAA">
              <w:rPr>
                <w:lang w:eastAsia="en-US"/>
              </w:rPr>
              <w:t>11.2.21b</w:t>
            </w:r>
          </w:p>
        </w:tc>
      </w:tr>
      <w:tr w:rsidR="00711444" w:rsidRPr="004D0DAA" w14:paraId="7919ED91" w14:textId="77777777" w:rsidTr="00AA2A4C">
        <w:tblPrEx>
          <w:tblCellMar>
            <w:top w:w="0" w:type="dxa"/>
            <w:bottom w:w="0" w:type="dxa"/>
          </w:tblCellMar>
        </w:tblPrEx>
        <w:trPr>
          <w:cantSplit/>
          <w:jc w:val="center"/>
        </w:trPr>
        <w:tc>
          <w:tcPr>
            <w:tcW w:w="4878" w:type="dxa"/>
          </w:tcPr>
          <w:p w14:paraId="1449D287" w14:textId="77777777" w:rsidR="00711444" w:rsidRPr="004D0DAA" w:rsidRDefault="00711444" w:rsidP="00AA2A4C">
            <w:pPr>
              <w:pStyle w:val="TAL"/>
              <w:rPr>
                <w:lang w:eastAsia="en-US"/>
              </w:rPr>
            </w:pPr>
            <w:r w:rsidRPr="004D0DAA">
              <w:rPr>
                <w:lang w:eastAsia="en-US"/>
              </w:rPr>
              <w:t>Packet System Information Type 5</w:t>
            </w:r>
          </w:p>
        </w:tc>
        <w:tc>
          <w:tcPr>
            <w:tcW w:w="2034" w:type="dxa"/>
          </w:tcPr>
          <w:p w14:paraId="6F1E5118" w14:textId="77777777" w:rsidR="00711444" w:rsidRPr="004D0DAA" w:rsidRDefault="00711444" w:rsidP="00AA2A4C">
            <w:pPr>
              <w:pStyle w:val="TAL"/>
              <w:rPr>
                <w:lang w:eastAsia="en-US"/>
              </w:rPr>
            </w:pPr>
            <w:r w:rsidRPr="004D0DAA">
              <w:rPr>
                <w:lang w:eastAsia="en-US"/>
              </w:rPr>
              <w:t>11.2.23</w:t>
            </w:r>
          </w:p>
        </w:tc>
      </w:tr>
      <w:tr w:rsidR="00711444" w:rsidRPr="004D0DAA" w14:paraId="26819B0A" w14:textId="77777777" w:rsidTr="00AA2A4C">
        <w:tblPrEx>
          <w:tblCellMar>
            <w:top w:w="0" w:type="dxa"/>
            <w:bottom w:w="0" w:type="dxa"/>
          </w:tblCellMar>
        </w:tblPrEx>
        <w:trPr>
          <w:cantSplit/>
          <w:jc w:val="center"/>
        </w:trPr>
        <w:tc>
          <w:tcPr>
            <w:tcW w:w="4878" w:type="dxa"/>
          </w:tcPr>
          <w:p w14:paraId="72BBCA96" w14:textId="77777777" w:rsidR="00711444" w:rsidRPr="004D0DAA" w:rsidRDefault="00711444" w:rsidP="00AA2A4C">
            <w:pPr>
              <w:pStyle w:val="TAL"/>
              <w:rPr>
                <w:lang w:eastAsia="en-US"/>
              </w:rPr>
            </w:pPr>
            <w:r w:rsidRPr="004D0DAA">
              <w:rPr>
                <w:lang w:eastAsia="en-US"/>
              </w:rPr>
              <w:t>Packet System Information Type 6</w:t>
            </w:r>
          </w:p>
        </w:tc>
        <w:tc>
          <w:tcPr>
            <w:tcW w:w="2034" w:type="dxa"/>
          </w:tcPr>
          <w:p w14:paraId="2957C086" w14:textId="77777777" w:rsidR="00711444" w:rsidRPr="004D0DAA" w:rsidRDefault="00711444" w:rsidP="00AA2A4C">
            <w:pPr>
              <w:pStyle w:val="TAL"/>
              <w:rPr>
                <w:lang w:eastAsia="en-US"/>
              </w:rPr>
            </w:pPr>
            <w:r w:rsidRPr="004D0DAA">
              <w:rPr>
                <w:lang w:eastAsia="en-US"/>
              </w:rPr>
              <w:t>11.2.23a</w:t>
            </w:r>
          </w:p>
        </w:tc>
      </w:tr>
      <w:tr w:rsidR="00711444" w:rsidRPr="004D0DAA" w14:paraId="212B177B" w14:textId="77777777" w:rsidTr="00AA2A4C">
        <w:tblPrEx>
          <w:tblCellMar>
            <w:top w:w="0" w:type="dxa"/>
            <w:bottom w:w="0" w:type="dxa"/>
          </w:tblCellMar>
        </w:tblPrEx>
        <w:trPr>
          <w:cantSplit/>
          <w:jc w:val="center"/>
        </w:trPr>
        <w:tc>
          <w:tcPr>
            <w:tcW w:w="4878" w:type="dxa"/>
          </w:tcPr>
          <w:p w14:paraId="5525979D" w14:textId="77777777" w:rsidR="00711444" w:rsidRPr="004D0DAA" w:rsidRDefault="00711444" w:rsidP="00AA2A4C">
            <w:pPr>
              <w:pStyle w:val="TAL"/>
              <w:rPr>
                <w:lang w:eastAsia="en-US"/>
              </w:rPr>
            </w:pPr>
            <w:r w:rsidRPr="004D0DAA">
              <w:rPr>
                <w:lang w:eastAsia="en-US"/>
              </w:rPr>
              <w:t>Packet System Information Type 7</w:t>
            </w:r>
          </w:p>
        </w:tc>
        <w:tc>
          <w:tcPr>
            <w:tcW w:w="2034" w:type="dxa"/>
          </w:tcPr>
          <w:p w14:paraId="1E3638BB" w14:textId="77777777" w:rsidR="00711444" w:rsidRPr="004D0DAA" w:rsidRDefault="00711444" w:rsidP="00AA2A4C">
            <w:pPr>
              <w:pStyle w:val="TAL"/>
              <w:rPr>
                <w:lang w:eastAsia="en-US"/>
              </w:rPr>
            </w:pPr>
            <w:r w:rsidRPr="004D0DAA">
              <w:rPr>
                <w:lang w:eastAsia="en-US"/>
              </w:rPr>
              <w:t>11.2.23b</w:t>
            </w:r>
          </w:p>
        </w:tc>
      </w:tr>
      <w:tr w:rsidR="00711444" w:rsidRPr="004D0DAA" w14:paraId="724EFB12" w14:textId="77777777" w:rsidTr="00AA2A4C">
        <w:tblPrEx>
          <w:tblCellMar>
            <w:top w:w="0" w:type="dxa"/>
            <w:bottom w:w="0" w:type="dxa"/>
          </w:tblCellMar>
        </w:tblPrEx>
        <w:trPr>
          <w:cantSplit/>
          <w:jc w:val="center"/>
        </w:trPr>
        <w:tc>
          <w:tcPr>
            <w:tcW w:w="4878" w:type="dxa"/>
          </w:tcPr>
          <w:p w14:paraId="0D309058" w14:textId="77777777" w:rsidR="00711444" w:rsidRPr="004D0DAA" w:rsidRDefault="00711444" w:rsidP="00AA2A4C">
            <w:pPr>
              <w:pStyle w:val="TAL"/>
              <w:rPr>
                <w:lang w:eastAsia="en-US"/>
              </w:rPr>
            </w:pPr>
            <w:r w:rsidRPr="004D0DAA">
              <w:rPr>
                <w:lang w:eastAsia="en-US"/>
              </w:rPr>
              <w:t>Packet System Information Type 8</w:t>
            </w:r>
          </w:p>
        </w:tc>
        <w:tc>
          <w:tcPr>
            <w:tcW w:w="2034" w:type="dxa"/>
          </w:tcPr>
          <w:p w14:paraId="1B1E3E76" w14:textId="77777777" w:rsidR="00711444" w:rsidRPr="004D0DAA" w:rsidRDefault="00711444" w:rsidP="00AA2A4C">
            <w:pPr>
              <w:pStyle w:val="TAL"/>
              <w:rPr>
                <w:lang w:eastAsia="en-US"/>
              </w:rPr>
            </w:pPr>
            <w:r w:rsidRPr="004D0DAA">
              <w:rPr>
                <w:lang w:eastAsia="en-US"/>
              </w:rPr>
              <w:t>11.2.24</w:t>
            </w:r>
          </w:p>
        </w:tc>
      </w:tr>
      <w:tr w:rsidR="00711444" w:rsidRPr="004D0DAA" w14:paraId="104AD804" w14:textId="77777777" w:rsidTr="00AA2A4C">
        <w:tblPrEx>
          <w:tblCellMar>
            <w:top w:w="0" w:type="dxa"/>
            <w:bottom w:w="0" w:type="dxa"/>
          </w:tblCellMar>
        </w:tblPrEx>
        <w:trPr>
          <w:cantSplit/>
          <w:jc w:val="center"/>
        </w:trPr>
        <w:tc>
          <w:tcPr>
            <w:tcW w:w="4878" w:type="dxa"/>
          </w:tcPr>
          <w:p w14:paraId="5B02E94F" w14:textId="77777777" w:rsidR="00711444" w:rsidRPr="004D0DAA" w:rsidRDefault="00711444" w:rsidP="00AA2A4C">
            <w:pPr>
              <w:pStyle w:val="TAL"/>
              <w:rPr>
                <w:lang w:eastAsia="en-US"/>
              </w:rPr>
            </w:pPr>
            <w:r w:rsidRPr="004D0DAA">
              <w:rPr>
                <w:lang w:eastAsia="en-US"/>
              </w:rPr>
              <w:t>Packet System Information Type 13</w:t>
            </w:r>
          </w:p>
        </w:tc>
        <w:tc>
          <w:tcPr>
            <w:tcW w:w="2034" w:type="dxa"/>
          </w:tcPr>
          <w:p w14:paraId="19BD5AA3" w14:textId="77777777" w:rsidR="00711444" w:rsidRPr="004D0DAA" w:rsidRDefault="00711444" w:rsidP="00AA2A4C">
            <w:pPr>
              <w:pStyle w:val="TAL"/>
              <w:rPr>
                <w:lang w:eastAsia="en-US"/>
              </w:rPr>
            </w:pPr>
            <w:r w:rsidRPr="004D0DAA">
              <w:rPr>
                <w:lang w:eastAsia="en-US"/>
              </w:rPr>
              <w:t>11.2.25</w:t>
            </w:r>
          </w:p>
        </w:tc>
      </w:tr>
      <w:tr w:rsidR="00711444" w:rsidRPr="004D0DAA" w14:paraId="7A4ADF73" w14:textId="77777777" w:rsidTr="00AA2A4C">
        <w:tblPrEx>
          <w:tblCellMar>
            <w:top w:w="0" w:type="dxa"/>
            <w:bottom w:w="0" w:type="dxa"/>
          </w:tblCellMar>
        </w:tblPrEx>
        <w:trPr>
          <w:cantSplit/>
          <w:jc w:val="center"/>
        </w:trPr>
        <w:tc>
          <w:tcPr>
            <w:tcW w:w="4878" w:type="dxa"/>
          </w:tcPr>
          <w:p w14:paraId="224DB8CB" w14:textId="77777777" w:rsidR="00711444" w:rsidRPr="004D0DAA" w:rsidRDefault="00711444" w:rsidP="00AA2A4C">
            <w:pPr>
              <w:pStyle w:val="TAL"/>
              <w:rPr>
                <w:lang w:eastAsia="en-US"/>
              </w:rPr>
            </w:pPr>
            <w:r w:rsidRPr="004D0DAA">
              <w:rPr>
                <w:lang w:eastAsia="en-US"/>
              </w:rPr>
              <w:t>Packet System Information Type 14</w:t>
            </w:r>
          </w:p>
        </w:tc>
        <w:tc>
          <w:tcPr>
            <w:tcW w:w="2034" w:type="dxa"/>
          </w:tcPr>
          <w:p w14:paraId="1AB70516" w14:textId="77777777" w:rsidR="00711444" w:rsidRPr="004D0DAA" w:rsidRDefault="00711444" w:rsidP="00AA2A4C">
            <w:pPr>
              <w:pStyle w:val="TAL"/>
              <w:rPr>
                <w:lang w:eastAsia="en-US"/>
              </w:rPr>
            </w:pPr>
            <w:r w:rsidRPr="004D0DAA">
              <w:rPr>
                <w:lang w:eastAsia="en-US"/>
              </w:rPr>
              <w:t>11.2.25a</w:t>
            </w:r>
          </w:p>
        </w:tc>
      </w:tr>
      <w:tr w:rsidR="00711444" w:rsidRPr="004D0DAA" w14:paraId="330D763D" w14:textId="77777777" w:rsidTr="00AA2A4C">
        <w:tblPrEx>
          <w:tblCellMar>
            <w:top w:w="0" w:type="dxa"/>
            <w:bottom w:w="0" w:type="dxa"/>
          </w:tblCellMar>
        </w:tblPrEx>
        <w:trPr>
          <w:cantSplit/>
          <w:jc w:val="center"/>
        </w:trPr>
        <w:tc>
          <w:tcPr>
            <w:tcW w:w="4878" w:type="dxa"/>
          </w:tcPr>
          <w:p w14:paraId="256B4367" w14:textId="77777777" w:rsidR="00711444" w:rsidRPr="004D0DAA" w:rsidRDefault="00711444" w:rsidP="00AA2A4C">
            <w:pPr>
              <w:pStyle w:val="TAL"/>
              <w:rPr>
                <w:lang w:eastAsia="en-US"/>
              </w:rPr>
            </w:pPr>
            <w:r w:rsidRPr="004D0DAA">
              <w:rPr>
                <w:lang w:eastAsia="en-US"/>
              </w:rPr>
              <w:t>Packet System Information Type 15</w:t>
            </w:r>
          </w:p>
        </w:tc>
        <w:tc>
          <w:tcPr>
            <w:tcW w:w="2034" w:type="dxa"/>
          </w:tcPr>
          <w:p w14:paraId="1F058D61" w14:textId="77777777" w:rsidR="00711444" w:rsidRPr="004D0DAA" w:rsidRDefault="00711444" w:rsidP="00AA2A4C">
            <w:pPr>
              <w:pStyle w:val="TAL"/>
              <w:rPr>
                <w:lang w:eastAsia="en-US"/>
              </w:rPr>
            </w:pPr>
            <w:r w:rsidRPr="004D0DAA">
              <w:rPr>
                <w:lang w:eastAsia="en-US"/>
              </w:rPr>
              <w:t>11.2.25b</w:t>
            </w:r>
          </w:p>
        </w:tc>
      </w:tr>
      <w:tr w:rsidR="00711444" w:rsidRPr="004D0DAA" w14:paraId="0A52B199" w14:textId="77777777" w:rsidTr="00AA2A4C">
        <w:tblPrEx>
          <w:tblCellMar>
            <w:top w:w="0" w:type="dxa"/>
            <w:bottom w:w="0" w:type="dxa"/>
          </w:tblCellMar>
        </w:tblPrEx>
        <w:trPr>
          <w:cantSplit/>
          <w:jc w:val="center"/>
        </w:trPr>
        <w:tc>
          <w:tcPr>
            <w:tcW w:w="4878" w:type="dxa"/>
          </w:tcPr>
          <w:p w14:paraId="267DDE40" w14:textId="77777777" w:rsidR="00711444" w:rsidRPr="004D0DAA" w:rsidRDefault="00711444" w:rsidP="00AA2A4C">
            <w:pPr>
              <w:pStyle w:val="TAL"/>
              <w:rPr>
                <w:lang w:eastAsia="en-US"/>
              </w:rPr>
            </w:pPr>
            <w:r w:rsidRPr="004D0DAA">
              <w:rPr>
                <w:lang w:eastAsia="en-US"/>
              </w:rPr>
              <w:t>Packet System Information Type 16</w:t>
            </w:r>
          </w:p>
        </w:tc>
        <w:tc>
          <w:tcPr>
            <w:tcW w:w="2034" w:type="dxa"/>
          </w:tcPr>
          <w:p w14:paraId="45C3F9CB" w14:textId="77777777" w:rsidR="00711444" w:rsidRPr="004D0DAA" w:rsidRDefault="00711444" w:rsidP="00AA2A4C">
            <w:pPr>
              <w:pStyle w:val="TAL"/>
              <w:rPr>
                <w:lang w:eastAsia="en-US"/>
              </w:rPr>
            </w:pPr>
            <w:r w:rsidRPr="004D0DAA">
              <w:rPr>
                <w:lang w:eastAsia="en-US"/>
              </w:rPr>
              <w:t>11.2.25c</w:t>
            </w:r>
          </w:p>
        </w:tc>
      </w:tr>
      <w:tr w:rsidR="00711444" w:rsidRPr="004D0DAA" w14:paraId="716C7832" w14:textId="77777777" w:rsidTr="00AA2A4C">
        <w:tblPrEx>
          <w:tblCellMar>
            <w:top w:w="0" w:type="dxa"/>
            <w:bottom w:w="0" w:type="dxa"/>
          </w:tblCellMar>
        </w:tblPrEx>
        <w:trPr>
          <w:cantSplit/>
          <w:jc w:val="center"/>
        </w:trPr>
        <w:tc>
          <w:tcPr>
            <w:tcW w:w="4878" w:type="dxa"/>
          </w:tcPr>
          <w:p w14:paraId="2173EDAF" w14:textId="77777777" w:rsidR="00711444" w:rsidRPr="004D0DAA" w:rsidRDefault="00711444" w:rsidP="00AA2A4C">
            <w:pPr>
              <w:pStyle w:val="TAH"/>
              <w:rPr>
                <w:lang w:eastAsia="en-US"/>
              </w:rPr>
            </w:pPr>
            <w:r w:rsidRPr="004D0DAA">
              <w:rPr>
                <w:lang w:eastAsia="en-US"/>
              </w:rPr>
              <w:t>Miscellaneous messages:</w:t>
            </w:r>
          </w:p>
        </w:tc>
        <w:tc>
          <w:tcPr>
            <w:tcW w:w="2034" w:type="dxa"/>
          </w:tcPr>
          <w:p w14:paraId="777227C4" w14:textId="77777777" w:rsidR="00711444" w:rsidRPr="004D0DAA" w:rsidRDefault="00711444" w:rsidP="00AA2A4C">
            <w:pPr>
              <w:pStyle w:val="TAH"/>
              <w:rPr>
                <w:lang w:eastAsia="en-US"/>
              </w:rPr>
            </w:pPr>
            <w:r w:rsidRPr="004D0DAA">
              <w:rPr>
                <w:lang w:eastAsia="en-US"/>
              </w:rPr>
              <w:t>Reference</w:t>
            </w:r>
          </w:p>
        </w:tc>
      </w:tr>
      <w:tr w:rsidR="00711444" w:rsidRPr="004D0DAA" w14:paraId="2BB7EE3B" w14:textId="77777777" w:rsidTr="00AA2A4C">
        <w:tblPrEx>
          <w:tblCellMar>
            <w:top w:w="0" w:type="dxa"/>
            <w:bottom w:w="0" w:type="dxa"/>
          </w:tblCellMar>
        </w:tblPrEx>
        <w:trPr>
          <w:cantSplit/>
          <w:jc w:val="center"/>
        </w:trPr>
        <w:tc>
          <w:tcPr>
            <w:tcW w:w="4878" w:type="dxa"/>
          </w:tcPr>
          <w:p w14:paraId="694C08E1" w14:textId="77777777" w:rsidR="00711444" w:rsidRPr="004D0DAA" w:rsidRDefault="00711444" w:rsidP="00AA2A4C">
            <w:pPr>
              <w:pStyle w:val="TAL"/>
              <w:rPr>
                <w:lang w:eastAsia="en-US"/>
              </w:rPr>
            </w:pPr>
            <w:r w:rsidRPr="004D0DAA">
              <w:rPr>
                <w:lang w:eastAsia="en-US"/>
              </w:rPr>
              <w:t>Packet Control Acknowledgement</w:t>
            </w:r>
          </w:p>
        </w:tc>
        <w:tc>
          <w:tcPr>
            <w:tcW w:w="2034" w:type="dxa"/>
          </w:tcPr>
          <w:p w14:paraId="24FD7D2D" w14:textId="77777777" w:rsidR="00711444" w:rsidRPr="004D0DAA" w:rsidRDefault="00711444" w:rsidP="00AA2A4C">
            <w:pPr>
              <w:pStyle w:val="TAL"/>
              <w:rPr>
                <w:lang w:eastAsia="en-US"/>
              </w:rPr>
            </w:pPr>
            <w:r w:rsidRPr="004D0DAA">
              <w:rPr>
                <w:lang w:eastAsia="en-US"/>
              </w:rPr>
              <w:t>11.2.2</w:t>
            </w:r>
          </w:p>
        </w:tc>
      </w:tr>
      <w:tr w:rsidR="00711444" w:rsidRPr="004D0DAA" w14:paraId="69D77E3C" w14:textId="77777777" w:rsidTr="00AA2A4C">
        <w:tblPrEx>
          <w:tblCellMar>
            <w:top w:w="0" w:type="dxa"/>
            <w:bottom w:w="0" w:type="dxa"/>
          </w:tblCellMar>
        </w:tblPrEx>
        <w:trPr>
          <w:cantSplit/>
          <w:jc w:val="center"/>
        </w:trPr>
        <w:tc>
          <w:tcPr>
            <w:tcW w:w="4878" w:type="dxa"/>
          </w:tcPr>
          <w:p w14:paraId="4A3B20D4" w14:textId="77777777" w:rsidR="00711444" w:rsidRPr="004D0DAA" w:rsidRDefault="00711444" w:rsidP="00AA2A4C">
            <w:pPr>
              <w:pStyle w:val="TAL"/>
              <w:rPr>
                <w:lang w:eastAsia="en-US"/>
              </w:rPr>
            </w:pPr>
            <w:r w:rsidRPr="004D0DAA">
              <w:rPr>
                <w:lang w:eastAsia="en-US"/>
              </w:rPr>
              <w:t>Packet Cell Change Continue</w:t>
            </w:r>
          </w:p>
        </w:tc>
        <w:tc>
          <w:tcPr>
            <w:tcW w:w="2034" w:type="dxa"/>
          </w:tcPr>
          <w:p w14:paraId="59674539" w14:textId="77777777" w:rsidR="00711444" w:rsidRPr="004D0DAA" w:rsidRDefault="00711444" w:rsidP="00AA2A4C">
            <w:pPr>
              <w:pStyle w:val="TAL"/>
              <w:rPr>
                <w:lang w:eastAsia="en-US"/>
              </w:rPr>
            </w:pPr>
            <w:r w:rsidRPr="004D0DAA">
              <w:rPr>
                <w:lang w:eastAsia="en-US"/>
              </w:rPr>
              <w:t>11.2.2a</w:t>
            </w:r>
          </w:p>
        </w:tc>
      </w:tr>
      <w:tr w:rsidR="00711444" w:rsidRPr="004D0DAA" w14:paraId="2C303EDB" w14:textId="77777777" w:rsidTr="00AA2A4C">
        <w:tblPrEx>
          <w:tblCellMar>
            <w:top w:w="0" w:type="dxa"/>
            <w:bottom w:w="0" w:type="dxa"/>
          </w:tblCellMar>
        </w:tblPrEx>
        <w:trPr>
          <w:cantSplit/>
          <w:jc w:val="center"/>
        </w:trPr>
        <w:tc>
          <w:tcPr>
            <w:tcW w:w="4878" w:type="dxa"/>
          </w:tcPr>
          <w:p w14:paraId="0B12BE88" w14:textId="77777777" w:rsidR="00711444" w:rsidRPr="004D0DAA" w:rsidRDefault="00711444" w:rsidP="00AA2A4C">
            <w:pPr>
              <w:pStyle w:val="TAL"/>
              <w:rPr>
                <w:lang w:eastAsia="en-US"/>
              </w:rPr>
            </w:pPr>
            <w:r w:rsidRPr="004D0DAA">
              <w:rPr>
                <w:lang w:eastAsia="en-US"/>
              </w:rPr>
              <w:t>Packet Cell Change Failure</w:t>
            </w:r>
          </w:p>
        </w:tc>
        <w:tc>
          <w:tcPr>
            <w:tcW w:w="2034" w:type="dxa"/>
          </w:tcPr>
          <w:p w14:paraId="69242F1C" w14:textId="77777777" w:rsidR="00711444" w:rsidRPr="004D0DAA" w:rsidRDefault="00711444" w:rsidP="00AA2A4C">
            <w:pPr>
              <w:pStyle w:val="TAL"/>
              <w:rPr>
                <w:lang w:eastAsia="en-US"/>
              </w:rPr>
            </w:pPr>
            <w:r w:rsidRPr="004D0DAA">
              <w:rPr>
                <w:lang w:eastAsia="en-US"/>
              </w:rPr>
              <w:t>11.2.3</w:t>
            </w:r>
          </w:p>
        </w:tc>
      </w:tr>
      <w:tr w:rsidR="00711444" w:rsidRPr="004D0DAA" w14:paraId="788254D5" w14:textId="77777777" w:rsidTr="00AA2A4C">
        <w:tblPrEx>
          <w:tblCellMar>
            <w:top w:w="0" w:type="dxa"/>
            <w:bottom w:w="0" w:type="dxa"/>
          </w:tblCellMar>
        </w:tblPrEx>
        <w:trPr>
          <w:cantSplit/>
          <w:jc w:val="center"/>
        </w:trPr>
        <w:tc>
          <w:tcPr>
            <w:tcW w:w="4878" w:type="dxa"/>
          </w:tcPr>
          <w:p w14:paraId="51E830CC" w14:textId="77777777" w:rsidR="00711444" w:rsidRPr="004D0DAA" w:rsidRDefault="00711444" w:rsidP="00AA2A4C">
            <w:pPr>
              <w:pStyle w:val="TAL"/>
              <w:rPr>
                <w:lang w:eastAsia="en-US"/>
              </w:rPr>
            </w:pPr>
            <w:r w:rsidRPr="004D0DAA">
              <w:rPr>
                <w:lang w:eastAsia="en-US"/>
              </w:rPr>
              <w:t>Packet Cell Change Notification</w:t>
            </w:r>
          </w:p>
        </w:tc>
        <w:tc>
          <w:tcPr>
            <w:tcW w:w="2034" w:type="dxa"/>
          </w:tcPr>
          <w:p w14:paraId="53A4E8C3" w14:textId="77777777" w:rsidR="00711444" w:rsidRPr="004D0DAA" w:rsidRDefault="00711444" w:rsidP="00AA2A4C">
            <w:pPr>
              <w:pStyle w:val="TAL"/>
              <w:rPr>
                <w:lang w:eastAsia="en-US"/>
              </w:rPr>
            </w:pPr>
            <w:r w:rsidRPr="004D0DAA">
              <w:rPr>
                <w:lang w:eastAsia="en-US"/>
              </w:rPr>
              <w:t>11.2.3a</w:t>
            </w:r>
          </w:p>
        </w:tc>
      </w:tr>
      <w:tr w:rsidR="00711444" w:rsidRPr="004D0DAA" w14:paraId="6BBA812E" w14:textId="77777777" w:rsidTr="00AA2A4C">
        <w:tblPrEx>
          <w:tblCellMar>
            <w:top w:w="0" w:type="dxa"/>
            <w:bottom w:w="0" w:type="dxa"/>
          </w:tblCellMar>
        </w:tblPrEx>
        <w:trPr>
          <w:cantSplit/>
          <w:jc w:val="center"/>
        </w:trPr>
        <w:tc>
          <w:tcPr>
            <w:tcW w:w="4878" w:type="dxa"/>
          </w:tcPr>
          <w:p w14:paraId="3AFD60F9" w14:textId="77777777" w:rsidR="00711444" w:rsidRPr="004D0DAA" w:rsidRDefault="00711444" w:rsidP="00AA2A4C">
            <w:pPr>
              <w:pStyle w:val="TAL"/>
              <w:rPr>
                <w:lang w:eastAsia="en-US"/>
              </w:rPr>
            </w:pPr>
            <w:r w:rsidRPr="004D0DAA">
              <w:rPr>
                <w:lang w:eastAsia="en-US"/>
              </w:rPr>
              <w:t>Packet Cell Change Order</w:t>
            </w:r>
          </w:p>
        </w:tc>
        <w:tc>
          <w:tcPr>
            <w:tcW w:w="2034" w:type="dxa"/>
          </w:tcPr>
          <w:p w14:paraId="257DF205" w14:textId="77777777" w:rsidR="00711444" w:rsidRPr="004D0DAA" w:rsidRDefault="00711444" w:rsidP="00AA2A4C">
            <w:pPr>
              <w:pStyle w:val="TAL"/>
              <w:rPr>
                <w:lang w:eastAsia="en-US"/>
              </w:rPr>
            </w:pPr>
            <w:r w:rsidRPr="004D0DAA">
              <w:rPr>
                <w:lang w:eastAsia="en-US"/>
              </w:rPr>
              <w:t>11.2.4</w:t>
            </w:r>
          </w:p>
        </w:tc>
      </w:tr>
      <w:tr w:rsidR="00711444" w:rsidRPr="004D0DAA" w14:paraId="1E519723" w14:textId="77777777" w:rsidTr="00AA2A4C">
        <w:tblPrEx>
          <w:tblCellMar>
            <w:top w:w="0" w:type="dxa"/>
            <w:bottom w:w="0" w:type="dxa"/>
          </w:tblCellMar>
        </w:tblPrEx>
        <w:trPr>
          <w:cantSplit/>
          <w:jc w:val="center"/>
        </w:trPr>
        <w:tc>
          <w:tcPr>
            <w:tcW w:w="4878" w:type="dxa"/>
          </w:tcPr>
          <w:p w14:paraId="6CFAB9F8" w14:textId="77777777" w:rsidR="00711444" w:rsidRPr="004D0DAA" w:rsidRDefault="00711444" w:rsidP="00AA2A4C">
            <w:pPr>
              <w:pStyle w:val="TAL"/>
              <w:rPr>
                <w:lang w:eastAsia="en-US"/>
              </w:rPr>
            </w:pPr>
            <w:r w:rsidRPr="004D0DAA">
              <w:rPr>
                <w:lang w:eastAsia="en-US"/>
              </w:rPr>
              <w:t>Packet Downlink Dummy Control Block</w:t>
            </w:r>
          </w:p>
        </w:tc>
        <w:tc>
          <w:tcPr>
            <w:tcW w:w="2034" w:type="dxa"/>
          </w:tcPr>
          <w:p w14:paraId="69BD4D76" w14:textId="77777777" w:rsidR="00711444" w:rsidRPr="004D0DAA" w:rsidRDefault="00711444" w:rsidP="00AA2A4C">
            <w:pPr>
              <w:pStyle w:val="TAL"/>
              <w:rPr>
                <w:lang w:eastAsia="en-US"/>
              </w:rPr>
            </w:pPr>
            <w:r w:rsidRPr="004D0DAA">
              <w:rPr>
                <w:lang w:eastAsia="en-US"/>
              </w:rPr>
              <w:t>11.2.8</w:t>
            </w:r>
          </w:p>
        </w:tc>
      </w:tr>
      <w:tr w:rsidR="00711444" w:rsidRPr="004D0DAA" w14:paraId="2E8AC621" w14:textId="77777777" w:rsidTr="00AA2A4C">
        <w:tblPrEx>
          <w:tblCellMar>
            <w:top w:w="0" w:type="dxa"/>
            <w:bottom w:w="0" w:type="dxa"/>
          </w:tblCellMar>
        </w:tblPrEx>
        <w:trPr>
          <w:cantSplit/>
          <w:jc w:val="center"/>
        </w:trPr>
        <w:tc>
          <w:tcPr>
            <w:tcW w:w="4878" w:type="dxa"/>
          </w:tcPr>
          <w:p w14:paraId="3B1FE970" w14:textId="77777777" w:rsidR="00711444" w:rsidRPr="004D0DAA" w:rsidRDefault="00711444" w:rsidP="00AA2A4C">
            <w:pPr>
              <w:pStyle w:val="TAL"/>
              <w:rPr>
                <w:lang w:eastAsia="en-US"/>
              </w:rPr>
            </w:pPr>
            <w:r w:rsidRPr="004D0DAA">
              <w:rPr>
                <w:lang w:eastAsia="en-US"/>
              </w:rPr>
              <w:t>Packet Uplink Dummy Control Block</w:t>
            </w:r>
          </w:p>
        </w:tc>
        <w:tc>
          <w:tcPr>
            <w:tcW w:w="2034" w:type="dxa"/>
          </w:tcPr>
          <w:p w14:paraId="524B51B7" w14:textId="77777777" w:rsidR="00711444" w:rsidRPr="004D0DAA" w:rsidRDefault="00711444" w:rsidP="00AA2A4C">
            <w:pPr>
              <w:pStyle w:val="TAL"/>
              <w:rPr>
                <w:lang w:eastAsia="en-US"/>
              </w:rPr>
            </w:pPr>
            <w:r w:rsidRPr="004D0DAA">
              <w:rPr>
                <w:lang w:eastAsia="en-US"/>
              </w:rPr>
              <w:t>11.2.8b</w:t>
            </w:r>
          </w:p>
        </w:tc>
      </w:tr>
      <w:tr w:rsidR="00711444" w:rsidRPr="004D0DAA" w14:paraId="7B636F18" w14:textId="77777777" w:rsidTr="00AA2A4C">
        <w:tblPrEx>
          <w:tblCellMar>
            <w:top w:w="0" w:type="dxa"/>
            <w:bottom w:w="0" w:type="dxa"/>
          </w:tblCellMar>
        </w:tblPrEx>
        <w:trPr>
          <w:cantSplit/>
          <w:jc w:val="center"/>
        </w:trPr>
        <w:tc>
          <w:tcPr>
            <w:tcW w:w="4878" w:type="dxa"/>
          </w:tcPr>
          <w:p w14:paraId="1CDFA201" w14:textId="77777777" w:rsidR="00711444" w:rsidRPr="004D0DAA" w:rsidRDefault="00711444" w:rsidP="00AA2A4C">
            <w:pPr>
              <w:pStyle w:val="TAL"/>
              <w:rPr>
                <w:lang w:eastAsia="en-US"/>
              </w:rPr>
            </w:pPr>
            <w:r w:rsidRPr="004D0DAA">
              <w:rPr>
                <w:lang w:eastAsia="en-US"/>
              </w:rPr>
              <w:t>Packet Measurement Report</w:t>
            </w:r>
          </w:p>
        </w:tc>
        <w:tc>
          <w:tcPr>
            <w:tcW w:w="2034" w:type="dxa"/>
          </w:tcPr>
          <w:p w14:paraId="4A56B4D0" w14:textId="77777777" w:rsidR="00711444" w:rsidRPr="004D0DAA" w:rsidRDefault="00711444" w:rsidP="00AA2A4C">
            <w:pPr>
              <w:pStyle w:val="TAL"/>
              <w:rPr>
                <w:lang w:eastAsia="en-US"/>
              </w:rPr>
            </w:pPr>
            <w:r w:rsidRPr="004D0DAA">
              <w:rPr>
                <w:lang w:eastAsia="en-US"/>
              </w:rPr>
              <w:t>11.2.9</w:t>
            </w:r>
          </w:p>
        </w:tc>
      </w:tr>
      <w:tr w:rsidR="00711444" w:rsidRPr="004D0DAA" w14:paraId="180951C4" w14:textId="77777777" w:rsidTr="00AA2A4C">
        <w:tblPrEx>
          <w:tblCellMar>
            <w:top w:w="0" w:type="dxa"/>
            <w:bottom w:w="0" w:type="dxa"/>
          </w:tblCellMar>
        </w:tblPrEx>
        <w:trPr>
          <w:cantSplit/>
          <w:jc w:val="center"/>
        </w:trPr>
        <w:tc>
          <w:tcPr>
            <w:tcW w:w="4878" w:type="dxa"/>
          </w:tcPr>
          <w:p w14:paraId="30A9DC43" w14:textId="77777777" w:rsidR="00711444" w:rsidRPr="004D0DAA" w:rsidRDefault="00711444" w:rsidP="00AA2A4C">
            <w:pPr>
              <w:pStyle w:val="TAL"/>
              <w:rPr>
                <w:lang w:eastAsia="en-US"/>
              </w:rPr>
            </w:pPr>
            <w:r w:rsidRPr="004D0DAA">
              <w:rPr>
                <w:lang w:eastAsia="en-US"/>
              </w:rPr>
              <w:t>Packet Measurement Order</w:t>
            </w:r>
          </w:p>
        </w:tc>
        <w:tc>
          <w:tcPr>
            <w:tcW w:w="2034" w:type="dxa"/>
          </w:tcPr>
          <w:p w14:paraId="7F73C995" w14:textId="77777777" w:rsidR="00711444" w:rsidRPr="004D0DAA" w:rsidRDefault="00711444" w:rsidP="00AA2A4C">
            <w:pPr>
              <w:pStyle w:val="TAL"/>
              <w:rPr>
                <w:lang w:eastAsia="en-US"/>
              </w:rPr>
            </w:pPr>
            <w:r w:rsidRPr="004D0DAA">
              <w:rPr>
                <w:lang w:eastAsia="en-US"/>
              </w:rPr>
              <w:t>11.2.9b</w:t>
            </w:r>
          </w:p>
        </w:tc>
      </w:tr>
      <w:tr w:rsidR="00711444" w:rsidRPr="004D0DAA" w14:paraId="48A69190" w14:textId="77777777" w:rsidTr="00AA2A4C">
        <w:tblPrEx>
          <w:tblCellMar>
            <w:top w:w="0" w:type="dxa"/>
            <w:bottom w:w="0" w:type="dxa"/>
          </w:tblCellMar>
        </w:tblPrEx>
        <w:trPr>
          <w:cantSplit/>
          <w:jc w:val="center"/>
        </w:trPr>
        <w:tc>
          <w:tcPr>
            <w:tcW w:w="4878" w:type="dxa"/>
          </w:tcPr>
          <w:p w14:paraId="389290C3" w14:textId="77777777" w:rsidR="00711444" w:rsidRPr="004D0DAA" w:rsidRDefault="00711444" w:rsidP="00AA2A4C">
            <w:pPr>
              <w:pStyle w:val="TAL"/>
              <w:rPr>
                <w:lang w:eastAsia="en-US"/>
              </w:rPr>
            </w:pPr>
            <w:r w:rsidRPr="004D0DAA">
              <w:rPr>
                <w:lang w:eastAsia="en-US"/>
              </w:rPr>
              <w:t>Packet Mobile TBF Status</w:t>
            </w:r>
          </w:p>
        </w:tc>
        <w:tc>
          <w:tcPr>
            <w:tcW w:w="2034" w:type="dxa"/>
          </w:tcPr>
          <w:p w14:paraId="69C86A65" w14:textId="77777777" w:rsidR="00711444" w:rsidRPr="004D0DAA" w:rsidRDefault="00711444" w:rsidP="00AA2A4C">
            <w:pPr>
              <w:pStyle w:val="TAL"/>
              <w:rPr>
                <w:lang w:eastAsia="en-US"/>
              </w:rPr>
            </w:pPr>
            <w:r w:rsidRPr="004D0DAA">
              <w:rPr>
                <w:lang w:eastAsia="en-US"/>
              </w:rPr>
              <w:t>11.2.9c</w:t>
            </w:r>
          </w:p>
        </w:tc>
      </w:tr>
      <w:tr w:rsidR="00711444" w:rsidRPr="004D0DAA" w14:paraId="441787C2" w14:textId="77777777" w:rsidTr="00AA2A4C">
        <w:tblPrEx>
          <w:tblCellMar>
            <w:top w:w="0" w:type="dxa"/>
            <w:bottom w:w="0" w:type="dxa"/>
          </w:tblCellMar>
        </w:tblPrEx>
        <w:trPr>
          <w:cantSplit/>
          <w:jc w:val="center"/>
        </w:trPr>
        <w:tc>
          <w:tcPr>
            <w:tcW w:w="4878" w:type="dxa"/>
          </w:tcPr>
          <w:p w14:paraId="392B183B" w14:textId="77777777" w:rsidR="00711444" w:rsidRPr="004D0DAA" w:rsidRDefault="00711444" w:rsidP="00AA2A4C">
            <w:pPr>
              <w:pStyle w:val="TAL"/>
              <w:rPr>
                <w:lang w:eastAsia="en-US"/>
              </w:rPr>
            </w:pPr>
            <w:r w:rsidRPr="004D0DAA">
              <w:rPr>
                <w:lang w:eastAsia="en-US"/>
              </w:rPr>
              <w:lastRenderedPageBreak/>
              <w:t>Packet Enhanced Measurement Report</w:t>
            </w:r>
          </w:p>
        </w:tc>
        <w:tc>
          <w:tcPr>
            <w:tcW w:w="2034" w:type="dxa"/>
          </w:tcPr>
          <w:p w14:paraId="454D5DE2" w14:textId="77777777" w:rsidR="00711444" w:rsidRPr="004D0DAA" w:rsidRDefault="00711444" w:rsidP="00AA2A4C">
            <w:pPr>
              <w:pStyle w:val="TAL"/>
              <w:rPr>
                <w:lang w:eastAsia="en-US"/>
              </w:rPr>
            </w:pPr>
            <w:r w:rsidRPr="004D0DAA">
              <w:rPr>
                <w:lang w:eastAsia="en-US"/>
              </w:rPr>
              <w:t>11.2.9d</w:t>
            </w:r>
          </w:p>
        </w:tc>
      </w:tr>
      <w:tr w:rsidR="00711444" w:rsidRPr="004D0DAA" w14:paraId="46228AC2" w14:textId="77777777" w:rsidTr="00AA2A4C">
        <w:tblPrEx>
          <w:tblCellMar>
            <w:top w:w="0" w:type="dxa"/>
            <w:bottom w:w="0" w:type="dxa"/>
          </w:tblCellMar>
        </w:tblPrEx>
        <w:trPr>
          <w:cantSplit/>
          <w:jc w:val="center"/>
        </w:trPr>
        <w:tc>
          <w:tcPr>
            <w:tcW w:w="4878" w:type="dxa"/>
          </w:tcPr>
          <w:p w14:paraId="55C00374" w14:textId="77777777" w:rsidR="00711444" w:rsidRPr="004D0DAA" w:rsidRDefault="00711444" w:rsidP="00AA2A4C">
            <w:pPr>
              <w:pStyle w:val="TAL"/>
              <w:rPr>
                <w:lang w:eastAsia="en-US"/>
              </w:rPr>
            </w:pPr>
            <w:r w:rsidRPr="004D0DAA">
              <w:rPr>
                <w:lang w:eastAsia="en-US"/>
              </w:rPr>
              <w:t>Packet Neighbour Cell Data</w:t>
            </w:r>
          </w:p>
        </w:tc>
        <w:tc>
          <w:tcPr>
            <w:tcW w:w="2034" w:type="dxa"/>
          </w:tcPr>
          <w:p w14:paraId="42515B26" w14:textId="77777777" w:rsidR="00711444" w:rsidRPr="004D0DAA" w:rsidRDefault="00711444" w:rsidP="00AA2A4C">
            <w:pPr>
              <w:pStyle w:val="TAL"/>
              <w:rPr>
                <w:lang w:eastAsia="en-US"/>
              </w:rPr>
            </w:pPr>
            <w:r w:rsidRPr="004D0DAA">
              <w:rPr>
                <w:lang w:eastAsia="en-US"/>
              </w:rPr>
              <w:t>11.2.9e</w:t>
            </w:r>
          </w:p>
        </w:tc>
      </w:tr>
      <w:tr w:rsidR="00711444" w:rsidRPr="004D0DAA" w14:paraId="3477BDD6" w14:textId="77777777" w:rsidTr="00AA2A4C">
        <w:tblPrEx>
          <w:tblCellMar>
            <w:top w:w="0" w:type="dxa"/>
            <w:bottom w:w="0" w:type="dxa"/>
          </w:tblCellMar>
        </w:tblPrEx>
        <w:trPr>
          <w:cantSplit/>
          <w:jc w:val="center"/>
        </w:trPr>
        <w:tc>
          <w:tcPr>
            <w:tcW w:w="4878" w:type="dxa"/>
          </w:tcPr>
          <w:p w14:paraId="36321908" w14:textId="77777777" w:rsidR="00711444" w:rsidRPr="004D0DAA" w:rsidRDefault="00711444" w:rsidP="00AA2A4C">
            <w:pPr>
              <w:pStyle w:val="TAL"/>
              <w:rPr>
                <w:lang w:eastAsia="en-US"/>
              </w:rPr>
            </w:pPr>
            <w:r w:rsidRPr="004D0DAA">
              <w:rPr>
                <w:lang w:eastAsia="en-US"/>
              </w:rPr>
              <w:t>Packet PDCH Release</w:t>
            </w:r>
          </w:p>
        </w:tc>
        <w:tc>
          <w:tcPr>
            <w:tcW w:w="2034" w:type="dxa"/>
          </w:tcPr>
          <w:p w14:paraId="3AF7189B" w14:textId="77777777" w:rsidR="00711444" w:rsidRPr="004D0DAA" w:rsidRDefault="00711444" w:rsidP="00AA2A4C">
            <w:pPr>
              <w:pStyle w:val="TAL"/>
              <w:rPr>
                <w:lang w:eastAsia="en-US"/>
              </w:rPr>
            </w:pPr>
            <w:r w:rsidRPr="004D0DAA">
              <w:rPr>
                <w:lang w:eastAsia="en-US"/>
              </w:rPr>
              <w:t>11.2.11</w:t>
            </w:r>
          </w:p>
        </w:tc>
      </w:tr>
      <w:tr w:rsidR="00711444" w:rsidRPr="004D0DAA" w14:paraId="096411C4" w14:textId="77777777" w:rsidTr="00AA2A4C">
        <w:tblPrEx>
          <w:tblCellMar>
            <w:top w:w="0" w:type="dxa"/>
            <w:bottom w:w="0" w:type="dxa"/>
          </w:tblCellMar>
        </w:tblPrEx>
        <w:trPr>
          <w:cantSplit/>
          <w:jc w:val="center"/>
        </w:trPr>
        <w:tc>
          <w:tcPr>
            <w:tcW w:w="4878" w:type="dxa"/>
          </w:tcPr>
          <w:p w14:paraId="70BA982D" w14:textId="77777777" w:rsidR="00711444" w:rsidRPr="004D0DAA" w:rsidRDefault="00711444" w:rsidP="00AA2A4C">
            <w:pPr>
              <w:pStyle w:val="TAL"/>
              <w:rPr>
                <w:lang w:eastAsia="en-US"/>
              </w:rPr>
            </w:pPr>
            <w:r w:rsidRPr="004D0DAA">
              <w:rPr>
                <w:lang w:eastAsia="en-US"/>
              </w:rPr>
              <w:t>Packet Polling Request</w:t>
            </w:r>
          </w:p>
        </w:tc>
        <w:tc>
          <w:tcPr>
            <w:tcW w:w="2034" w:type="dxa"/>
          </w:tcPr>
          <w:p w14:paraId="416CE398" w14:textId="77777777" w:rsidR="00711444" w:rsidRPr="004D0DAA" w:rsidRDefault="00711444" w:rsidP="00AA2A4C">
            <w:pPr>
              <w:pStyle w:val="TAL"/>
              <w:rPr>
                <w:lang w:eastAsia="en-US"/>
              </w:rPr>
            </w:pPr>
            <w:r w:rsidRPr="004D0DAA">
              <w:rPr>
                <w:lang w:eastAsia="en-US"/>
              </w:rPr>
              <w:t>11.2.12</w:t>
            </w:r>
          </w:p>
        </w:tc>
      </w:tr>
      <w:tr w:rsidR="00711444" w:rsidRPr="004D0DAA" w14:paraId="2B401ADD" w14:textId="77777777" w:rsidTr="00AA2A4C">
        <w:tblPrEx>
          <w:tblCellMar>
            <w:top w:w="0" w:type="dxa"/>
            <w:bottom w:w="0" w:type="dxa"/>
          </w:tblCellMar>
        </w:tblPrEx>
        <w:trPr>
          <w:cantSplit/>
          <w:jc w:val="center"/>
        </w:trPr>
        <w:tc>
          <w:tcPr>
            <w:tcW w:w="4878" w:type="dxa"/>
          </w:tcPr>
          <w:p w14:paraId="5F0A53FC" w14:textId="77777777" w:rsidR="00711444" w:rsidRPr="004D0DAA" w:rsidRDefault="00711444" w:rsidP="00AA2A4C">
            <w:pPr>
              <w:pStyle w:val="TAL"/>
              <w:rPr>
                <w:lang w:eastAsia="en-US"/>
              </w:rPr>
            </w:pPr>
            <w:r w:rsidRPr="004D0DAA">
              <w:rPr>
                <w:lang w:eastAsia="en-US"/>
              </w:rPr>
              <w:t>Packet Power Control/Timing Advance</w:t>
            </w:r>
          </w:p>
        </w:tc>
        <w:tc>
          <w:tcPr>
            <w:tcW w:w="2034" w:type="dxa"/>
          </w:tcPr>
          <w:p w14:paraId="2A44C4D6" w14:textId="77777777" w:rsidR="00711444" w:rsidRPr="004D0DAA" w:rsidRDefault="00711444" w:rsidP="00AA2A4C">
            <w:pPr>
              <w:pStyle w:val="TAL"/>
              <w:rPr>
                <w:lang w:eastAsia="en-US"/>
              </w:rPr>
            </w:pPr>
            <w:r w:rsidRPr="004D0DAA">
              <w:rPr>
                <w:lang w:eastAsia="en-US"/>
              </w:rPr>
              <w:t>11.2.13</w:t>
            </w:r>
          </w:p>
        </w:tc>
      </w:tr>
      <w:tr w:rsidR="00711444" w:rsidRPr="004D0DAA" w14:paraId="7B2184BC" w14:textId="77777777" w:rsidTr="00AA2A4C">
        <w:tblPrEx>
          <w:tblCellMar>
            <w:top w:w="0" w:type="dxa"/>
            <w:bottom w:w="0" w:type="dxa"/>
          </w:tblCellMar>
        </w:tblPrEx>
        <w:trPr>
          <w:cantSplit/>
          <w:jc w:val="center"/>
        </w:trPr>
        <w:tc>
          <w:tcPr>
            <w:tcW w:w="4878" w:type="dxa"/>
          </w:tcPr>
          <w:p w14:paraId="555350F3" w14:textId="77777777" w:rsidR="00711444" w:rsidRPr="004D0DAA" w:rsidRDefault="00711444" w:rsidP="00AA2A4C">
            <w:pPr>
              <w:pStyle w:val="TAL"/>
              <w:rPr>
                <w:lang w:eastAsia="en-US"/>
              </w:rPr>
            </w:pPr>
            <w:r w:rsidRPr="004D0DAA">
              <w:rPr>
                <w:lang w:eastAsia="en-US"/>
              </w:rPr>
              <w:t>Packet PRACH Parameters</w:t>
            </w:r>
          </w:p>
        </w:tc>
        <w:tc>
          <w:tcPr>
            <w:tcW w:w="2034" w:type="dxa"/>
          </w:tcPr>
          <w:p w14:paraId="78554ABF" w14:textId="77777777" w:rsidR="00711444" w:rsidRPr="004D0DAA" w:rsidRDefault="00711444" w:rsidP="00AA2A4C">
            <w:pPr>
              <w:pStyle w:val="TAL"/>
              <w:rPr>
                <w:lang w:eastAsia="en-US"/>
              </w:rPr>
            </w:pPr>
            <w:r w:rsidRPr="004D0DAA">
              <w:rPr>
                <w:lang w:eastAsia="en-US"/>
              </w:rPr>
              <w:t>11.2.14</w:t>
            </w:r>
          </w:p>
        </w:tc>
      </w:tr>
      <w:tr w:rsidR="00711444" w:rsidRPr="004D0DAA" w14:paraId="47562DD4" w14:textId="77777777" w:rsidTr="00AA2A4C">
        <w:tblPrEx>
          <w:tblCellMar>
            <w:top w:w="0" w:type="dxa"/>
            <w:bottom w:w="0" w:type="dxa"/>
          </w:tblCellMar>
        </w:tblPrEx>
        <w:trPr>
          <w:cantSplit/>
          <w:jc w:val="center"/>
        </w:trPr>
        <w:tc>
          <w:tcPr>
            <w:tcW w:w="4878" w:type="dxa"/>
          </w:tcPr>
          <w:p w14:paraId="4FEE0A2B" w14:textId="77777777" w:rsidR="00711444" w:rsidRPr="004D0DAA" w:rsidRDefault="00711444" w:rsidP="00AA2A4C">
            <w:pPr>
              <w:pStyle w:val="TAL"/>
              <w:rPr>
                <w:lang w:eastAsia="en-US"/>
              </w:rPr>
            </w:pPr>
            <w:r w:rsidRPr="004D0DAA">
              <w:rPr>
                <w:lang w:eastAsia="en-US"/>
              </w:rPr>
              <w:t>Packet PSI Status</w:t>
            </w:r>
          </w:p>
        </w:tc>
        <w:tc>
          <w:tcPr>
            <w:tcW w:w="2034" w:type="dxa"/>
          </w:tcPr>
          <w:p w14:paraId="7A0906C8" w14:textId="77777777" w:rsidR="00711444" w:rsidRPr="004D0DAA" w:rsidRDefault="00711444" w:rsidP="00AA2A4C">
            <w:pPr>
              <w:pStyle w:val="TAL"/>
              <w:rPr>
                <w:lang w:eastAsia="en-US"/>
              </w:rPr>
            </w:pPr>
            <w:r w:rsidRPr="004D0DAA">
              <w:rPr>
                <w:lang w:eastAsia="en-US"/>
              </w:rPr>
              <w:t>11.2.17</w:t>
            </w:r>
          </w:p>
        </w:tc>
      </w:tr>
      <w:tr w:rsidR="00711444" w:rsidRPr="004D0DAA" w14:paraId="134500C2" w14:textId="77777777" w:rsidTr="00AA2A4C">
        <w:tblPrEx>
          <w:tblCellMar>
            <w:top w:w="0" w:type="dxa"/>
            <w:bottom w:w="0" w:type="dxa"/>
          </w:tblCellMar>
        </w:tblPrEx>
        <w:trPr>
          <w:cantSplit/>
          <w:jc w:val="center"/>
        </w:trPr>
        <w:tc>
          <w:tcPr>
            <w:tcW w:w="4878" w:type="dxa"/>
          </w:tcPr>
          <w:p w14:paraId="5028EB91" w14:textId="77777777" w:rsidR="00711444" w:rsidRPr="004D0DAA" w:rsidRDefault="00711444" w:rsidP="00AA2A4C">
            <w:pPr>
              <w:pStyle w:val="TAL"/>
              <w:rPr>
                <w:lang w:eastAsia="en-US"/>
              </w:rPr>
            </w:pPr>
            <w:r w:rsidRPr="004D0DAA">
              <w:rPr>
                <w:lang w:eastAsia="en-US"/>
              </w:rPr>
              <w:t>Packet Serving Cell Data</w:t>
            </w:r>
          </w:p>
        </w:tc>
        <w:tc>
          <w:tcPr>
            <w:tcW w:w="2034" w:type="dxa"/>
          </w:tcPr>
          <w:p w14:paraId="4CE1F370" w14:textId="77777777" w:rsidR="00711444" w:rsidRPr="004D0DAA" w:rsidRDefault="00711444" w:rsidP="00AA2A4C">
            <w:pPr>
              <w:pStyle w:val="TAL"/>
              <w:rPr>
                <w:lang w:eastAsia="en-US"/>
              </w:rPr>
            </w:pPr>
            <w:r w:rsidRPr="004D0DAA">
              <w:rPr>
                <w:lang w:eastAsia="en-US"/>
              </w:rPr>
              <w:t>11.2.17a</w:t>
            </w:r>
          </w:p>
        </w:tc>
      </w:tr>
      <w:tr w:rsidR="00711444" w:rsidRPr="004D0DAA" w14:paraId="59A56218" w14:textId="77777777" w:rsidTr="00AA2A4C">
        <w:tblPrEx>
          <w:tblCellMar>
            <w:top w:w="0" w:type="dxa"/>
            <w:bottom w:w="0" w:type="dxa"/>
          </w:tblCellMar>
        </w:tblPrEx>
        <w:trPr>
          <w:cantSplit/>
          <w:jc w:val="center"/>
        </w:trPr>
        <w:tc>
          <w:tcPr>
            <w:tcW w:w="4878" w:type="dxa"/>
          </w:tcPr>
          <w:p w14:paraId="593AC99F" w14:textId="77777777" w:rsidR="00711444" w:rsidRPr="004D0DAA" w:rsidRDefault="00711444" w:rsidP="00AA2A4C">
            <w:pPr>
              <w:pStyle w:val="TAL"/>
              <w:rPr>
                <w:lang w:eastAsia="en-US"/>
              </w:rPr>
            </w:pPr>
            <w:r w:rsidRPr="004D0DAA">
              <w:rPr>
                <w:lang w:eastAsia="en-US"/>
              </w:rPr>
              <w:t>Packet SI Status</w:t>
            </w:r>
          </w:p>
        </w:tc>
        <w:tc>
          <w:tcPr>
            <w:tcW w:w="2034" w:type="dxa"/>
          </w:tcPr>
          <w:p w14:paraId="3F55CCFA" w14:textId="77777777" w:rsidR="00711444" w:rsidRPr="004D0DAA" w:rsidRDefault="00711444" w:rsidP="00AA2A4C">
            <w:pPr>
              <w:pStyle w:val="TAL"/>
              <w:rPr>
                <w:lang w:eastAsia="en-US"/>
              </w:rPr>
            </w:pPr>
            <w:r w:rsidRPr="004D0DAA">
              <w:rPr>
                <w:lang w:eastAsia="en-US"/>
              </w:rPr>
              <w:t>11.2.17b</w:t>
            </w:r>
          </w:p>
        </w:tc>
      </w:tr>
      <w:tr w:rsidR="00711444" w:rsidRPr="004D0DAA" w14:paraId="7D8F364F" w14:textId="77777777" w:rsidTr="00AA2A4C">
        <w:tblPrEx>
          <w:tblCellMar>
            <w:top w:w="0" w:type="dxa"/>
            <w:bottom w:w="0" w:type="dxa"/>
          </w:tblCellMar>
        </w:tblPrEx>
        <w:trPr>
          <w:cantSplit/>
          <w:jc w:val="center"/>
        </w:trPr>
        <w:tc>
          <w:tcPr>
            <w:tcW w:w="4878" w:type="dxa"/>
          </w:tcPr>
          <w:p w14:paraId="38B1134D" w14:textId="77777777" w:rsidR="00711444" w:rsidRPr="004D0DAA" w:rsidRDefault="00711444" w:rsidP="00AA2A4C">
            <w:pPr>
              <w:pStyle w:val="TAL"/>
              <w:rPr>
                <w:lang w:eastAsia="en-US"/>
              </w:rPr>
            </w:pPr>
            <w:r w:rsidRPr="004D0DAA">
              <w:rPr>
                <w:lang w:eastAsia="en-US"/>
              </w:rPr>
              <w:t>Packet Pause</w:t>
            </w:r>
          </w:p>
        </w:tc>
        <w:tc>
          <w:tcPr>
            <w:tcW w:w="2034" w:type="dxa"/>
          </w:tcPr>
          <w:p w14:paraId="7C3E4FFA" w14:textId="77777777" w:rsidR="00711444" w:rsidRPr="004D0DAA" w:rsidRDefault="00711444" w:rsidP="00AA2A4C">
            <w:pPr>
              <w:pStyle w:val="TAL"/>
              <w:rPr>
                <w:lang w:eastAsia="en-US"/>
              </w:rPr>
            </w:pPr>
            <w:r w:rsidRPr="004D0DAA">
              <w:rPr>
                <w:lang w:eastAsia="en-US"/>
              </w:rPr>
              <w:t>11.2.30a</w:t>
            </w:r>
          </w:p>
        </w:tc>
      </w:tr>
      <w:tr w:rsidR="00711444" w:rsidRPr="004D0DAA" w14:paraId="18EC68CF" w14:textId="77777777" w:rsidTr="00AA2A4C">
        <w:tblPrEx>
          <w:tblCellMar>
            <w:top w:w="0" w:type="dxa"/>
            <w:bottom w:w="0" w:type="dxa"/>
          </w:tblCellMar>
        </w:tblPrEx>
        <w:trPr>
          <w:cantSplit/>
          <w:jc w:val="center"/>
        </w:trPr>
        <w:tc>
          <w:tcPr>
            <w:tcW w:w="4878" w:type="dxa"/>
          </w:tcPr>
          <w:p w14:paraId="7A2364B7" w14:textId="77777777" w:rsidR="00711444" w:rsidRPr="004D0DAA" w:rsidRDefault="00711444" w:rsidP="00AA2A4C">
            <w:pPr>
              <w:pStyle w:val="TAL"/>
              <w:rPr>
                <w:lang w:eastAsia="en-US"/>
              </w:rPr>
            </w:pPr>
            <w:r w:rsidRPr="004D0DAA">
              <w:rPr>
                <w:lang w:eastAsia="en-US"/>
              </w:rPr>
              <w:t>Packet Timeslot Reconfigure</w:t>
            </w:r>
          </w:p>
        </w:tc>
        <w:tc>
          <w:tcPr>
            <w:tcW w:w="2034" w:type="dxa"/>
          </w:tcPr>
          <w:p w14:paraId="3ADBAF9A" w14:textId="77777777" w:rsidR="00711444" w:rsidRPr="004D0DAA" w:rsidRDefault="00711444" w:rsidP="00AA2A4C">
            <w:pPr>
              <w:pStyle w:val="TAL"/>
              <w:rPr>
                <w:lang w:eastAsia="en-US"/>
              </w:rPr>
            </w:pPr>
            <w:r w:rsidRPr="004D0DAA">
              <w:rPr>
                <w:lang w:eastAsia="en-US"/>
              </w:rPr>
              <w:t>11.2.31</w:t>
            </w:r>
          </w:p>
        </w:tc>
      </w:tr>
      <w:tr w:rsidR="00711444" w:rsidRPr="004D0DAA" w14:paraId="09AF86A5" w14:textId="77777777" w:rsidTr="00AA2A4C">
        <w:tblPrEx>
          <w:tblCellMar>
            <w:top w:w="0" w:type="dxa"/>
            <w:bottom w:w="0" w:type="dxa"/>
          </w:tblCellMar>
        </w:tblPrEx>
        <w:trPr>
          <w:cantSplit/>
          <w:jc w:val="center"/>
        </w:trPr>
        <w:tc>
          <w:tcPr>
            <w:tcW w:w="4878" w:type="dxa"/>
          </w:tcPr>
          <w:p w14:paraId="407D9A13" w14:textId="77777777" w:rsidR="00711444" w:rsidRPr="004D0DAA" w:rsidRDefault="00711444" w:rsidP="00AA2A4C">
            <w:pPr>
              <w:pStyle w:val="TAL"/>
              <w:rPr>
                <w:lang w:eastAsia="en-US"/>
              </w:rPr>
            </w:pPr>
            <w:r w:rsidRPr="004D0DAA">
              <w:rPr>
                <w:lang w:eastAsia="en-US"/>
              </w:rPr>
              <w:t>Multiple TBF Timeslot Reconfigure</w:t>
            </w:r>
          </w:p>
        </w:tc>
        <w:tc>
          <w:tcPr>
            <w:tcW w:w="2034" w:type="dxa"/>
          </w:tcPr>
          <w:p w14:paraId="2D8CB2AE" w14:textId="77777777" w:rsidR="00711444" w:rsidRPr="004D0DAA" w:rsidRDefault="00711444" w:rsidP="00AA2A4C">
            <w:pPr>
              <w:pStyle w:val="TAL"/>
              <w:rPr>
                <w:lang w:eastAsia="en-US"/>
              </w:rPr>
            </w:pPr>
            <w:r w:rsidRPr="004D0DAA">
              <w:rPr>
                <w:lang w:eastAsia="en-US"/>
              </w:rPr>
              <w:t>11.2.31a</w:t>
            </w:r>
          </w:p>
        </w:tc>
      </w:tr>
      <w:tr w:rsidR="00711444" w:rsidRPr="004D0DAA" w14:paraId="7E0BBA72" w14:textId="77777777" w:rsidTr="00AA2A4C">
        <w:tblPrEx>
          <w:tblCellMar>
            <w:top w:w="0" w:type="dxa"/>
            <w:bottom w:w="0" w:type="dxa"/>
          </w:tblCellMar>
        </w:tblPrEx>
        <w:trPr>
          <w:cantSplit/>
          <w:jc w:val="center"/>
        </w:trPr>
        <w:tc>
          <w:tcPr>
            <w:tcW w:w="4878" w:type="dxa"/>
          </w:tcPr>
          <w:p w14:paraId="2DCD1BB8" w14:textId="77777777" w:rsidR="00711444" w:rsidRPr="004D0DAA" w:rsidRDefault="00711444" w:rsidP="00AA2A4C">
            <w:pPr>
              <w:pStyle w:val="TAL"/>
              <w:rPr>
                <w:lang w:eastAsia="en-US"/>
              </w:rPr>
            </w:pPr>
            <w:r w:rsidRPr="004D0DAA">
              <w:rPr>
                <w:lang w:eastAsia="en-US"/>
              </w:rPr>
              <w:t>Handover Access</w:t>
            </w:r>
          </w:p>
        </w:tc>
        <w:tc>
          <w:tcPr>
            <w:tcW w:w="2034" w:type="dxa"/>
          </w:tcPr>
          <w:p w14:paraId="30AD2907" w14:textId="77777777" w:rsidR="00711444" w:rsidRPr="004D0DAA" w:rsidRDefault="00711444" w:rsidP="00AA2A4C">
            <w:pPr>
              <w:pStyle w:val="TAL"/>
              <w:rPr>
                <w:lang w:eastAsia="en-US"/>
              </w:rPr>
            </w:pPr>
            <w:r w:rsidRPr="004D0DAA">
              <w:rPr>
                <w:lang w:eastAsia="en-US"/>
              </w:rPr>
              <w:t>11.2.33</w:t>
            </w:r>
          </w:p>
        </w:tc>
      </w:tr>
      <w:tr w:rsidR="00711444" w:rsidRPr="004D0DAA" w14:paraId="53B3F6B0" w14:textId="77777777" w:rsidTr="00AA2A4C">
        <w:tblPrEx>
          <w:tblCellMar>
            <w:top w:w="0" w:type="dxa"/>
            <w:bottom w:w="0" w:type="dxa"/>
          </w:tblCellMar>
        </w:tblPrEx>
        <w:trPr>
          <w:cantSplit/>
          <w:jc w:val="center"/>
        </w:trPr>
        <w:tc>
          <w:tcPr>
            <w:tcW w:w="4878" w:type="dxa"/>
          </w:tcPr>
          <w:p w14:paraId="22FC9D81" w14:textId="77777777" w:rsidR="00711444" w:rsidRPr="004D0DAA" w:rsidRDefault="00711444" w:rsidP="00AA2A4C">
            <w:pPr>
              <w:pStyle w:val="TAL"/>
              <w:rPr>
                <w:lang w:eastAsia="en-US"/>
              </w:rPr>
            </w:pPr>
            <w:r w:rsidRPr="004D0DAA">
              <w:rPr>
                <w:lang w:eastAsia="en-US"/>
              </w:rPr>
              <w:t>Physical Information</w:t>
            </w:r>
          </w:p>
        </w:tc>
        <w:tc>
          <w:tcPr>
            <w:tcW w:w="2034" w:type="dxa"/>
          </w:tcPr>
          <w:p w14:paraId="50331B87" w14:textId="77777777" w:rsidR="00711444" w:rsidRPr="004D0DAA" w:rsidRDefault="00711444" w:rsidP="00AA2A4C">
            <w:pPr>
              <w:pStyle w:val="TAL"/>
              <w:rPr>
                <w:lang w:eastAsia="en-US"/>
              </w:rPr>
            </w:pPr>
            <w:r w:rsidRPr="004D0DAA">
              <w:rPr>
                <w:lang w:eastAsia="en-US"/>
              </w:rPr>
              <w:t>11.2.34</w:t>
            </w:r>
          </w:p>
        </w:tc>
      </w:tr>
      <w:tr w:rsidR="00711444" w:rsidRPr="004D0DAA" w14:paraId="29D1E1E9" w14:textId="77777777" w:rsidTr="00AA2A4C">
        <w:tblPrEx>
          <w:tblCellMar>
            <w:top w:w="0" w:type="dxa"/>
            <w:bottom w:w="0" w:type="dxa"/>
          </w:tblCellMar>
        </w:tblPrEx>
        <w:trPr>
          <w:cantSplit/>
          <w:jc w:val="center"/>
        </w:trPr>
        <w:tc>
          <w:tcPr>
            <w:tcW w:w="4878" w:type="dxa"/>
          </w:tcPr>
          <w:p w14:paraId="3A0BA650" w14:textId="77777777" w:rsidR="00711444" w:rsidRPr="004D0DAA" w:rsidRDefault="00711444" w:rsidP="00AA2A4C">
            <w:pPr>
              <w:pStyle w:val="TAL"/>
              <w:rPr>
                <w:lang w:eastAsia="en-US"/>
              </w:rPr>
            </w:pPr>
            <w:r w:rsidRPr="004D0DAA">
              <w:rPr>
                <w:lang w:eastAsia="en-US"/>
              </w:rPr>
              <w:t>Packet CS Request</w:t>
            </w:r>
          </w:p>
        </w:tc>
        <w:tc>
          <w:tcPr>
            <w:tcW w:w="2034" w:type="dxa"/>
          </w:tcPr>
          <w:p w14:paraId="6BF825E0" w14:textId="77777777" w:rsidR="00711444" w:rsidRPr="004D0DAA" w:rsidRDefault="00711444" w:rsidP="00AA2A4C">
            <w:pPr>
              <w:pStyle w:val="TAL"/>
              <w:rPr>
                <w:lang w:eastAsia="en-US"/>
              </w:rPr>
            </w:pPr>
            <w:r w:rsidRPr="004D0DAA">
              <w:rPr>
                <w:lang w:eastAsia="en-US"/>
              </w:rPr>
              <w:t>11.2.35</w:t>
            </w:r>
          </w:p>
        </w:tc>
      </w:tr>
      <w:tr w:rsidR="00711444" w:rsidRPr="004D0DAA" w14:paraId="1994BA21" w14:textId="77777777" w:rsidTr="00AA2A4C">
        <w:tblPrEx>
          <w:tblCellMar>
            <w:top w:w="0" w:type="dxa"/>
            <w:bottom w:w="0" w:type="dxa"/>
          </w:tblCellMar>
        </w:tblPrEx>
        <w:trPr>
          <w:cantSplit/>
          <w:jc w:val="center"/>
        </w:trPr>
        <w:tc>
          <w:tcPr>
            <w:tcW w:w="4878" w:type="dxa"/>
          </w:tcPr>
          <w:p w14:paraId="73D471E5" w14:textId="77777777" w:rsidR="00711444" w:rsidRPr="004D0DAA" w:rsidRDefault="00711444" w:rsidP="00AA2A4C">
            <w:pPr>
              <w:pStyle w:val="TAL"/>
              <w:rPr>
                <w:lang w:eastAsia="en-US"/>
              </w:rPr>
            </w:pPr>
            <w:r w:rsidRPr="004D0DAA">
              <w:rPr>
                <w:lang w:eastAsia="en-US"/>
              </w:rPr>
              <w:t>Packet CS Command</w:t>
            </w:r>
          </w:p>
        </w:tc>
        <w:tc>
          <w:tcPr>
            <w:tcW w:w="2034" w:type="dxa"/>
          </w:tcPr>
          <w:p w14:paraId="38225E9F" w14:textId="77777777" w:rsidR="00711444" w:rsidRPr="004D0DAA" w:rsidRDefault="00711444" w:rsidP="00AA2A4C">
            <w:pPr>
              <w:pStyle w:val="TAL"/>
              <w:rPr>
                <w:lang w:eastAsia="en-US"/>
              </w:rPr>
            </w:pPr>
            <w:r w:rsidRPr="004D0DAA">
              <w:rPr>
                <w:lang w:eastAsia="en-US"/>
              </w:rPr>
              <w:t>11.2.36</w:t>
            </w:r>
          </w:p>
        </w:tc>
      </w:tr>
      <w:tr w:rsidR="00711444" w:rsidRPr="004D0DAA" w14:paraId="59F928BE" w14:textId="77777777" w:rsidTr="00AA2A4C">
        <w:tblPrEx>
          <w:tblCellMar>
            <w:top w:w="0" w:type="dxa"/>
            <w:bottom w:w="0" w:type="dxa"/>
          </w:tblCellMar>
        </w:tblPrEx>
        <w:trPr>
          <w:cantSplit/>
          <w:jc w:val="center"/>
        </w:trPr>
        <w:tc>
          <w:tcPr>
            <w:tcW w:w="4878" w:type="dxa"/>
          </w:tcPr>
          <w:p w14:paraId="79B53896" w14:textId="77777777" w:rsidR="00711444" w:rsidRPr="004D0DAA" w:rsidRDefault="00711444" w:rsidP="00AA2A4C">
            <w:pPr>
              <w:pStyle w:val="TAL"/>
              <w:rPr>
                <w:lang w:eastAsia="en-US"/>
              </w:rPr>
            </w:pPr>
            <w:r w:rsidRPr="004D0DAA">
              <w:rPr>
                <w:lang w:eastAsia="en-US"/>
              </w:rPr>
              <w:t>Packet CS Release Indication</w:t>
            </w:r>
          </w:p>
        </w:tc>
        <w:tc>
          <w:tcPr>
            <w:tcW w:w="2034" w:type="dxa"/>
          </w:tcPr>
          <w:p w14:paraId="3848BFF7" w14:textId="77777777" w:rsidR="00711444" w:rsidRPr="004D0DAA" w:rsidRDefault="00711444" w:rsidP="00AA2A4C">
            <w:pPr>
              <w:pStyle w:val="TAL"/>
              <w:rPr>
                <w:lang w:eastAsia="en-US"/>
              </w:rPr>
            </w:pPr>
            <w:r w:rsidRPr="004D0DAA">
              <w:rPr>
                <w:lang w:eastAsia="en-US"/>
              </w:rPr>
              <w:t>11.2.37</w:t>
            </w:r>
          </w:p>
        </w:tc>
      </w:tr>
      <w:tr w:rsidR="00711444" w:rsidRPr="004D0DAA" w14:paraId="4A07EDF9" w14:textId="77777777" w:rsidTr="00AA2A4C">
        <w:tblPrEx>
          <w:tblCellMar>
            <w:top w:w="0" w:type="dxa"/>
            <w:bottom w:w="0" w:type="dxa"/>
          </w:tblCellMar>
        </w:tblPrEx>
        <w:trPr>
          <w:cantSplit/>
          <w:jc w:val="center"/>
        </w:trPr>
        <w:tc>
          <w:tcPr>
            <w:tcW w:w="4878" w:type="dxa"/>
          </w:tcPr>
          <w:p w14:paraId="469CDBD6" w14:textId="77777777" w:rsidR="00711444" w:rsidRPr="004D0DAA" w:rsidRDefault="00711444" w:rsidP="00AA2A4C">
            <w:pPr>
              <w:pStyle w:val="TAL"/>
              <w:rPr>
                <w:lang w:eastAsia="en-US"/>
              </w:rPr>
            </w:pPr>
            <w:r w:rsidRPr="004D0DAA">
              <w:rPr>
                <w:lang w:eastAsia="en-US"/>
              </w:rPr>
              <w:t>MBMS Service Request</w:t>
            </w:r>
          </w:p>
        </w:tc>
        <w:tc>
          <w:tcPr>
            <w:tcW w:w="2034" w:type="dxa"/>
          </w:tcPr>
          <w:p w14:paraId="0AAA8048" w14:textId="77777777" w:rsidR="00711444" w:rsidRPr="004D0DAA" w:rsidRDefault="00711444" w:rsidP="00AA2A4C">
            <w:pPr>
              <w:pStyle w:val="TAL"/>
              <w:rPr>
                <w:lang w:eastAsia="en-US"/>
              </w:rPr>
            </w:pPr>
            <w:r w:rsidRPr="004D0DAA">
              <w:rPr>
                <w:lang w:eastAsia="en-US"/>
              </w:rPr>
              <w:t>11.2.38</w:t>
            </w:r>
          </w:p>
        </w:tc>
      </w:tr>
      <w:tr w:rsidR="00711444" w:rsidRPr="004D0DAA" w14:paraId="79B44562" w14:textId="77777777" w:rsidTr="00AA2A4C">
        <w:tblPrEx>
          <w:tblCellMar>
            <w:top w:w="0" w:type="dxa"/>
            <w:bottom w:w="0" w:type="dxa"/>
          </w:tblCellMar>
        </w:tblPrEx>
        <w:trPr>
          <w:cantSplit/>
          <w:jc w:val="center"/>
        </w:trPr>
        <w:tc>
          <w:tcPr>
            <w:tcW w:w="4878" w:type="dxa"/>
          </w:tcPr>
          <w:p w14:paraId="2D413C8E" w14:textId="77777777" w:rsidR="00711444" w:rsidRPr="004D0DAA" w:rsidRDefault="00711444" w:rsidP="00AA2A4C">
            <w:pPr>
              <w:pStyle w:val="TAL"/>
              <w:rPr>
                <w:lang w:eastAsia="en-US"/>
              </w:rPr>
            </w:pPr>
            <w:r w:rsidRPr="004D0DAA">
              <w:rPr>
                <w:lang w:eastAsia="en-US"/>
              </w:rPr>
              <w:t>MBMS Assignment (Non-distribution)</w:t>
            </w:r>
            <w:r w:rsidRPr="004D0DAA">
              <w:rPr>
                <w:lang w:eastAsia="en-US"/>
              </w:rPr>
              <w:br/>
              <w:t>MBMS Assignment (Distribution)</w:t>
            </w:r>
          </w:p>
        </w:tc>
        <w:tc>
          <w:tcPr>
            <w:tcW w:w="2034" w:type="dxa"/>
          </w:tcPr>
          <w:p w14:paraId="3ABCD7EC" w14:textId="77777777" w:rsidR="00711444" w:rsidRPr="004D0DAA" w:rsidRDefault="00711444" w:rsidP="00AA2A4C">
            <w:pPr>
              <w:pStyle w:val="TAL"/>
              <w:rPr>
                <w:lang w:eastAsia="en-US"/>
              </w:rPr>
            </w:pPr>
            <w:r w:rsidRPr="004D0DAA">
              <w:rPr>
                <w:lang w:eastAsia="en-US"/>
              </w:rPr>
              <w:t>11.2.39</w:t>
            </w:r>
            <w:r w:rsidRPr="004D0DAA">
              <w:rPr>
                <w:lang w:eastAsia="en-US"/>
              </w:rPr>
              <w:br/>
              <w:t>11.2.39a</w:t>
            </w:r>
          </w:p>
        </w:tc>
      </w:tr>
      <w:tr w:rsidR="00711444" w:rsidRPr="004D0DAA" w14:paraId="45ED4C87" w14:textId="77777777" w:rsidTr="00AA2A4C">
        <w:tblPrEx>
          <w:tblCellMar>
            <w:top w:w="0" w:type="dxa"/>
            <w:bottom w:w="0" w:type="dxa"/>
          </w:tblCellMar>
        </w:tblPrEx>
        <w:trPr>
          <w:cantSplit/>
          <w:jc w:val="center"/>
        </w:trPr>
        <w:tc>
          <w:tcPr>
            <w:tcW w:w="4878" w:type="dxa"/>
          </w:tcPr>
          <w:p w14:paraId="13D6B9D7" w14:textId="77777777" w:rsidR="00711444" w:rsidRPr="004D0DAA" w:rsidRDefault="00711444" w:rsidP="00AA2A4C">
            <w:pPr>
              <w:pStyle w:val="TAL"/>
              <w:rPr>
                <w:lang w:eastAsia="en-US"/>
              </w:rPr>
            </w:pPr>
            <w:r w:rsidRPr="004D0DAA">
              <w:rPr>
                <w:lang w:eastAsia="en-US"/>
              </w:rPr>
              <w:t>MBMS Neighbouring Cell Information</w:t>
            </w:r>
          </w:p>
        </w:tc>
        <w:tc>
          <w:tcPr>
            <w:tcW w:w="2034" w:type="dxa"/>
          </w:tcPr>
          <w:p w14:paraId="2FA41CB0" w14:textId="77777777" w:rsidR="00711444" w:rsidRPr="004D0DAA" w:rsidRDefault="00711444" w:rsidP="00AA2A4C">
            <w:pPr>
              <w:pStyle w:val="TAL"/>
              <w:rPr>
                <w:lang w:eastAsia="en-US"/>
              </w:rPr>
            </w:pPr>
            <w:r w:rsidRPr="004D0DAA">
              <w:rPr>
                <w:lang w:eastAsia="en-US"/>
              </w:rPr>
              <w:t>11.2.40</w:t>
            </w:r>
          </w:p>
        </w:tc>
      </w:tr>
      <w:tr w:rsidR="00711444" w:rsidRPr="004D0DAA" w14:paraId="0AE31C28" w14:textId="77777777" w:rsidTr="00AA2A4C">
        <w:tblPrEx>
          <w:tblCellMar>
            <w:top w:w="0" w:type="dxa"/>
            <w:bottom w:w="0" w:type="dxa"/>
          </w:tblCellMar>
        </w:tblPrEx>
        <w:trPr>
          <w:cantSplit/>
          <w:jc w:val="center"/>
        </w:trPr>
        <w:tc>
          <w:tcPr>
            <w:tcW w:w="4878" w:type="dxa"/>
          </w:tcPr>
          <w:p w14:paraId="3B9DA08C" w14:textId="77777777" w:rsidR="00711444" w:rsidRPr="004D0DAA" w:rsidRDefault="00711444" w:rsidP="00AA2A4C">
            <w:pPr>
              <w:pStyle w:val="TAL"/>
              <w:rPr>
                <w:lang w:eastAsia="en-US"/>
              </w:rPr>
            </w:pPr>
            <w:r w:rsidRPr="004D0DAA">
              <w:rPr>
                <w:lang w:eastAsia="en-US"/>
              </w:rPr>
              <w:t>MBMS MS_ID Assignment</w:t>
            </w:r>
          </w:p>
        </w:tc>
        <w:tc>
          <w:tcPr>
            <w:tcW w:w="2034" w:type="dxa"/>
          </w:tcPr>
          <w:p w14:paraId="2924FBF8" w14:textId="77777777" w:rsidR="00711444" w:rsidRPr="004D0DAA" w:rsidRDefault="00711444" w:rsidP="00AA2A4C">
            <w:pPr>
              <w:pStyle w:val="TAL"/>
              <w:rPr>
                <w:lang w:eastAsia="en-US"/>
              </w:rPr>
            </w:pPr>
            <w:r w:rsidRPr="004D0DAA">
              <w:rPr>
                <w:lang w:eastAsia="en-US"/>
              </w:rPr>
              <w:t>11.2.41</w:t>
            </w:r>
          </w:p>
        </w:tc>
      </w:tr>
      <w:tr w:rsidR="00711444" w:rsidRPr="004D0DAA" w14:paraId="50C5B4A0" w14:textId="77777777" w:rsidTr="00AA2A4C">
        <w:tblPrEx>
          <w:tblCellMar>
            <w:top w:w="0" w:type="dxa"/>
            <w:bottom w:w="0" w:type="dxa"/>
          </w:tblCellMar>
        </w:tblPrEx>
        <w:trPr>
          <w:cantSplit/>
          <w:jc w:val="center"/>
        </w:trPr>
        <w:tc>
          <w:tcPr>
            <w:tcW w:w="4878" w:type="dxa"/>
          </w:tcPr>
          <w:p w14:paraId="45BBF3D0" w14:textId="77777777" w:rsidR="00711444" w:rsidRPr="004D0DAA" w:rsidRDefault="00711444" w:rsidP="00AA2A4C">
            <w:pPr>
              <w:pStyle w:val="TAL"/>
              <w:rPr>
                <w:lang w:eastAsia="en-US"/>
              </w:rPr>
            </w:pPr>
            <w:r w:rsidRPr="004D0DAA">
              <w:rPr>
                <w:lang w:eastAsia="en-US"/>
              </w:rPr>
              <w:t>Packet MBMS Announcement</w:t>
            </w:r>
          </w:p>
        </w:tc>
        <w:tc>
          <w:tcPr>
            <w:tcW w:w="2034" w:type="dxa"/>
          </w:tcPr>
          <w:p w14:paraId="56853EC3" w14:textId="77777777" w:rsidR="00711444" w:rsidRPr="004D0DAA" w:rsidRDefault="00711444" w:rsidP="00AA2A4C">
            <w:pPr>
              <w:pStyle w:val="TAL"/>
              <w:rPr>
                <w:lang w:eastAsia="en-US"/>
              </w:rPr>
            </w:pPr>
            <w:r w:rsidRPr="004D0DAA">
              <w:rPr>
                <w:lang w:eastAsia="en-US"/>
              </w:rPr>
              <w:t>11.2.42</w:t>
            </w:r>
          </w:p>
        </w:tc>
      </w:tr>
      <w:tr w:rsidR="00711444" w:rsidRPr="004D0DAA" w14:paraId="16EC02A2" w14:textId="77777777" w:rsidTr="00AA2A4C">
        <w:tblPrEx>
          <w:tblCellMar>
            <w:top w:w="0" w:type="dxa"/>
            <w:bottom w:w="0" w:type="dxa"/>
          </w:tblCellMar>
        </w:tblPrEx>
        <w:trPr>
          <w:cantSplit/>
          <w:jc w:val="center"/>
        </w:trPr>
        <w:tc>
          <w:tcPr>
            <w:tcW w:w="4878" w:type="dxa"/>
          </w:tcPr>
          <w:p w14:paraId="4BAF4CA5" w14:textId="77777777" w:rsidR="00711444" w:rsidRPr="004D0DAA" w:rsidRDefault="00711444" w:rsidP="00AA2A4C">
            <w:pPr>
              <w:pStyle w:val="TAL"/>
              <w:rPr>
                <w:lang w:eastAsia="en-US"/>
              </w:rPr>
            </w:pPr>
            <w:r w:rsidRPr="004D0DAA">
              <w:rPr>
                <w:lang w:eastAsia="en-US"/>
              </w:rPr>
              <w:t>PS Handover Command</w:t>
            </w:r>
          </w:p>
        </w:tc>
        <w:tc>
          <w:tcPr>
            <w:tcW w:w="2034" w:type="dxa"/>
          </w:tcPr>
          <w:p w14:paraId="1F1C2CB6" w14:textId="77777777" w:rsidR="00711444" w:rsidRPr="004D0DAA" w:rsidRDefault="00711444" w:rsidP="00AA2A4C">
            <w:pPr>
              <w:pStyle w:val="TAL"/>
              <w:rPr>
                <w:lang w:eastAsia="en-US"/>
              </w:rPr>
            </w:pPr>
            <w:r w:rsidRPr="004D0DAA">
              <w:rPr>
                <w:lang w:eastAsia="en-US"/>
              </w:rPr>
              <w:t>11.2.43</w:t>
            </w:r>
          </w:p>
        </w:tc>
      </w:tr>
      <w:tr w:rsidR="00711444" w:rsidRPr="004D0DAA" w14:paraId="6ACE4AEC" w14:textId="77777777" w:rsidTr="00AA2A4C">
        <w:tblPrEx>
          <w:tblCellMar>
            <w:top w:w="0" w:type="dxa"/>
            <w:bottom w:w="0" w:type="dxa"/>
          </w:tblCellMar>
        </w:tblPrEx>
        <w:trPr>
          <w:cantSplit/>
          <w:jc w:val="center"/>
        </w:trPr>
        <w:tc>
          <w:tcPr>
            <w:tcW w:w="4878" w:type="dxa"/>
          </w:tcPr>
          <w:p w14:paraId="772DC363" w14:textId="77777777" w:rsidR="00711444" w:rsidRPr="004D0DAA" w:rsidRDefault="00711444" w:rsidP="00AA2A4C">
            <w:pPr>
              <w:pStyle w:val="TAL"/>
              <w:rPr>
                <w:lang w:eastAsia="en-US"/>
              </w:rPr>
            </w:pPr>
            <w:r w:rsidRPr="004D0DAA">
              <w:rPr>
                <w:lang w:eastAsia="en-US"/>
              </w:rPr>
              <w:t>PS Handover Access</w:t>
            </w:r>
          </w:p>
        </w:tc>
        <w:tc>
          <w:tcPr>
            <w:tcW w:w="2034" w:type="dxa"/>
          </w:tcPr>
          <w:p w14:paraId="31AD9232" w14:textId="77777777" w:rsidR="00711444" w:rsidRPr="004D0DAA" w:rsidRDefault="00711444" w:rsidP="00AA2A4C">
            <w:pPr>
              <w:pStyle w:val="TAL"/>
              <w:rPr>
                <w:lang w:eastAsia="en-US"/>
              </w:rPr>
            </w:pPr>
            <w:r w:rsidRPr="004D0DAA">
              <w:rPr>
                <w:lang w:eastAsia="en-US"/>
              </w:rPr>
              <w:t>11.2.44</w:t>
            </w:r>
          </w:p>
        </w:tc>
      </w:tr>
      <w:tr w:rsidR="00711444" w:rsidRPr="004D0DAA" w14:paraId="03CE2EEA" w14:textId="77777777" w:rsidTr="00AA2A4C">
        <w:tblPrEx>
          <w:tblCellMar>
            <w:top w:w="0" w:type="dxa"/>
            <w:bottom w:w="0" w:type="dxa"/>
          </w:tblCellMar>
        </w:tblPrEx>
        <w:trPr>
          <w:cantSplit/>
          <w:jc w:val="center"/>
        </w:trPr>
        <w:tc>
          <w:tcPr>
            <w:tcW w:w="4878" w:type="dxa"/>
          </w:tcPr>
          <w:p w14:paraId="071D39DF" w14:textId="77777777" w:rsidR="00711444" w:rsidRPr="004D0DAA" w:rsidRDefault="00711444" w:rsidP="00AA2A4C">
            <w:pPr>
              <w:pStyle w:val="TAL"/>
              <w:rPr>
                <w:lang w:eastAsia="en-US"/>
              </w:rPr>
            </w:pPr>
            <w:r w:rsidRPr="004D0DAA">
              <w:rPr>
                <w:lang w:eastAsia="en-US"/>
              </w:rPr>
              <w:t>Packet Physical Information</w:t>
            </w:r>
          </w:p>
        </w:tc>
        <w:tc>
          <w:tcPr>
            <w:tcW w:w="2034" w:type="dxa"/>
          </w:tcPr>
          <w:p w14:paraId="0741D67D" w14:textId="77777777" w:rsidR="00711444" w:rsidRPr="004D0DAA" w:rsidRDefault="00711444" w:rsidP="00AA2A4C">
            <w:pPr>
              <w:pStyle w:val="TAL"/>
              <w:rPr>
                <w:lang w:eastAsia="en-US"/>
              </w:rPr>
            </w:pPr>
            <w:r w:rsidRPr="004D0DAA">
              <w:rPr>
                <w:lang w:eastAsia="en-US"/>
              </w:rPr>
              <w:t>11.2.45</w:t>
            </w:r>
          </w:p>
        </w:tc>
      </w:tr>
      <w:tr w:rsidR="00711444" w:rsidRPr="004D0DAA" w14:paraId="786AE981" w14:textId="77777777" w:rsidTr="00AA2A4C">
        <w:tblPrEx>
          <w:tblCellMar>
            <w:top w:w="0" w:type="dxa"/>
            <w:bottom w:w="0" w:type="dxa"/>
          </w:tblCellMar>
        </w:tblPrEx>
        <w:trPr>
          <w:cantSplit/>
          <w:jc w:val="center"/>
        </w:trPr>
        <w:tc>
          <w:tcPr>
            <w:tcW w:w="4878" w:type="dxa"/>
          </w:tcPr>
          <w:p w14:paraId="17EA6EA6" w14:textId="77777777" w:rsidR="00711444" w:rsidRPr="004D0DAA" w:rsidRDefault="00711444" w:rsidP="00AA2A4C">
            <w:pPr>
              <w:pStyle w:val="TAL"/>
              <w:rPr>
                <w:lang w:eastAsia="en-US"/>
              </w:rPr>
            </w:pPr>
            <w:r w:rsidRPr="004D0DAA">
              <w:rPr>
                <w:lang w:eastAsia="en-US"/>
              </w:rPr>
              <w:t>DTM Hando</w:t>
            </w:r>
            <w:r w:rsidRPr="004D0DAA">
              <w:rPr>
                <w:lang w:eastAsia="en-US"/>
              </w:rPr>
              <w:t>ver Command</w:t>
            </w:r>
          </w:p>
        </w:tc>
        <w:tc>
          <w:tcPr>
            <w:tcW w:w="2034" w:type="dxa"/>
          </w:tcPr>
          <w:p w14:paraId="17A38D28" w14:textId="77777777" w:rsidR="00711444" w:rsidRPr="004D0DAA" w:rsidRDefault="00711444" w:rsidP="00AA2A4C">
            <w:pPr>
              <w:pStyle w:val="TAL"/>
              <w:rPr>
                <w:lang w:eastAsia="en-US"/>
              </w:rPr>
            </w:pPr>
            <w:r w:rsidRPr="004D0DAA">
              <w:rPr>
                <w:lang w:eastAsia="en-US"/>
              </w:rPr>
              <w:t>11.2.46</w:t>
            </w:r>
          </w:p>
        </w:tc>
      </w:tr>
      <w:tr w:rsidR="00711444" w:rsidRPr="004D0DAA" w14:paraId="4092DE53" w14:textId="77777777" w:rsidTr="00AA2A4C">
        <w:tblPrEx>
          <w:tblCellMar>
            <w:top w:w="0" w:type="dxa"/>
            <w:bottom w:w="0" w:type="dxa"/>
          </w:tblCellMar>
        </w:tblPrEx>
        <w:trPr>
          <w:cantSplit/>
          <w:jc w:val="center"/>
        </w:trPr>
        <w:tc>
          <w:tcPr>
            <w:tcW w:w="4878" w:type="dxa"/>
            <w:tcBorders>
              <w:top w:val="single" w:sz="2" w:space="0" w:color="auto"/>
              <w:left w:val="single" w:sz="2" w:space="0" w:color="auto"/>
              <w:bottom w:val="single" w:sz="2" w:space="0" w:color="auto"/>
              <w:right w:val="single" w:sz="2" w:space="0" w:color="auto"/>
            </w:tcBorders>
          </w:tcPr>
          <w:p w14:paraId="388CFFFC" w14:textId="77777777" w:rsidR="00711444" w:rsidRPr="004D0DAA" w:rsidRDefault="00711444" w:rsidP="00AA2A4C">
            <w:pPr>
              <w:pStyle w:val="TAL"/>
              <w:rPr>
                <w:lang w:eastAsia="en-US"/>
              </w:rPr>
            </w:pPr>
            <w:r w:rsidRPr="004D0DAA">
              <w:rPr>
                <w:lang w:eastAsia="en-US"/>
              </w:rPr>
              <w:t>Packet Application Information</w:t>
            </w:r>
          </w:p>
        </w:tc>
        <w:tc>
          <w:tcPr>
            <w:tcW w:w="2034" w:type="dxa"/>
            <w:tcBorders>
              <w:top w:val="single" w:sz="2" w:space="0" w:color="auto"/>
              <w:left w:val="single" w:sz="2" w:space="0" w:color="auto"/>
              <w:bottom w:val="single" w:sz="2" w:space="0" w:color="auto"/>
              <w:right w:val="single" w:sz="2" w:space="0" w:color="auto"/>
            </w:tcBorders>
          </w:tcPr>
          <w:p w14:paraId="144545C9" w14:textId="77777777" w:rsidR="00711444" w:rsidRPr="004D0DAA" w:rsidRDefault="00711444" w:rsidP="00AA2A4C">
            <w:pPr>
              <w:pStyle w:val="TAL"/>
              <w:rPr>
                <w:lang w:eastAsia="en-US"/>
              </w:rPr>
            </w:pPr>
            <w:r w:rsidRPr="004D0DAA">
              <w:rPr>
                <w:lang w:eastAsia="en-US"/>
              </w:rPr>
              <w:t>11.2.47</w:t>
            </w:r>
          </w:p>
        </w:tc>
      </w:tr>
    </w:tbl>
    <w:p w14:paraId="5D67F9BB" w14:textId="77777777" w:rsidR="00711444" w:rsidRPr="004D0DAA" w:rsidRDefault="00711444" w:rsidP="00711444"/>
    <w:p w14:paraId="78E46421" w14:textId="77777777" w:rsidR="00711444" w:rsidRPr="004D0DAA" w:rsidRDefault="00711444" w:rsidP="00711444">
      <w:pPr>
        <w:pStyle w:val="TH"/>
      </w:pPr>
      <w:r w:rsidRPr="004D0DAA">
        <w:t>Table 11.2.2: RLC/MAC control messages on EC-PACCH</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4878"/>
        <w:gridCol w:w="2034"/>
      </w:tblGrid>
      <w:tr w:rsidR="00711444" w:rsidRPr="004D0DAA" w14:paraId="602EACFA" w14:textId="77777777" w:rsidTr="00AA2A4C">
        <w:trPr>
          <w:cantSplit/>
          <w:jc w:val="center"/>
        </w:trPr>
        <w:tc>
          <w:tcPr>
            <w:tcW w:w="4878" w:type="dxa"/>
          </w:tcPr>
          <w:p w14:paraId="6CE24716" w14:textId="77777777" w:rsidR="00711444" w:rsidRPr="004D0DAA" w:rsidRDefault="00711444" w:rsidP="00AA2A4C">
            <w:pPr>
              <w:pStyle w:val="TAH"/>
              <w:rPr>
                <w:lang w:eastAsia="en-US"/>
              </w:rPr>
            </w:pPr>
            <w:r w:rsidRPr="004D0DAA">
              <w:rPr>
                <w:lang w:eastAsia="en-US"/>
              </w:rPr>
              <w:t>Uplink EC TBF establishment messages:</w:t>
            </w:r>
          </w:p>
        </w:tc>
        <w:tc>
          <w:tcPr>
            <w:tcW w:w="2034" w:type="dxa"/>
          </w:tcPr>
          <w:p w14:paraId="3FCE15FF" w14:textId="77777777" w:rsidR="00711444" w:rsidRPr="004D0DAA" w:rsidRDefault="00711444" w:rsidP="00AA2A4C">
            <w:pPr>
              <w:pStyle w:val="TAH"/>
              <w:rPr>
                <w:lang w:eastAsia="en-US"/>
              </w:rPr>
            </w:pPr>
            <w:r w:rsidRPr="004D0DAA">
              <w:rPr>
                <w:lang w:eastAsia="en-US"/>
              </w:rPr>
              <w:t>Reference</w:t>
            </w:r>
          </w:p>
        </w:tc>
      </w:tr>
      <w:tr w:rsidR="00711444" w:rsidRPr="004D0DAA" w14:paraId="6B6936E4" w14:textId="77777777" w:rsidTr="00AA2A4C">
        <w:trPr>
          <w:cantSplit/>
          <w:jc w:val="center"/>
        </w:trPr>
        <w:tc>
          <w:tcPr>
            <w:tcW w:w="4878" w:type="dxa"/>
          </w:tcPr>
          <w:p w14:paraId="79AEEEC0" w14:textId="77777777" w:rsidR="00711444" w:rsidRPr="004D0DAA" w:rsidRDefault="00711444" w:rsidP="00AA2A4C">
            <w:pPr>
              <w:pStyle w:val="TAL"/>
              <w:rPr>
                <w:lang w:eastAsia="en-US"/>
              </w:rPr>
            </w:pPr>
            <w:r w:rsidRPr="004D0DAA">
              <w:rPr>
                <w:lang w:eastAsia="en-US"/>
              </w:rPr>
              <w:t>EC Packet Access Reject</w:t>
            </w:r>
          </w:p>
        </w:tc>
        <w:tc>
          <w:tcPr>
            <w:tcW w:w="2034" w:type="dxa"/>
          </w:tcPr>
          <w:p w14:paraId="470A2639" w14:textId="77777777" w:rsidR="00711444" w:rsidRPr="004D0DAA" w:rsidRDefault="00711444" w:rsidP="00AA2A4C">
            <w:pPr>
              <w:pStyle w:val="TAL"/>
              <w:rPr>
                <w:lang w:eastAsia="en-US"/>
              </w:rPr>
            </w:pPr>
            <w:r w:rsidRPr="004D0DAA">
              <w:rPr>
                <w:lang w:eastAsia="en-US"/>
              </w:rPr>
              <w:t>11.2.49</w:t>
            </w:r>
          </w:p>
        </w:tc>
      </w:tr>
      <w:tr w:rsidR="00711444" w:rsidRPr="004D0DAA" w14:paraId="1766C419" w14:textId="77777777" w:rsidTr="00AA2A4C">
        <w:trPr>
          <w:cantSplit/>
          <w:jc w:val="center"/>
        </w:trPr>
        <w:tc>
          <w:tcPr>
            <w:tcW w:w="4878" w:type="dxa"/>
          </w:tcPr>
          <w:p w14:paraId="3E6BAF08" w14:textId="77777777" w:rsidR="00711444" w:rsidRPr="004D0DAA" w:rsidRDefault="00711444" w:rsidP="00AA2A4C">
            <w:pPr>
              <w:pStyle w:val="TAL"/>
              <w:rPr>
                <w:lang w:eastAsia="en-US"/>
              </w:rPr>
            </w:pPr>
            <w:r w:rsidRPr="004D0DAA">
              <w:rPr>
                <w:lang w:eastAsia="en-US"/>
              </w:rPr>
              <w:t>EC Packet Uplink Assignment</w:t>
            </w:r>
          </w:p>
        </w:tc>
        <w:tc>
          <w:tcPr>
            <w:tcW w:w="2034" w:type="dxa"/>
          </w:tcPr>
          <w:p w14:paraId="44269674" w14:textId="77777777" w:rsidR="00711444" w:rsidRPr="004D0DAA" w:rsidRDefault="00711444" w:rsidP="00AA2A4C">
            <w:pPr>
              <w:pStyle w:val="TAL"/>
              <w:rPr>
                <w:lang w:eastAsia="en-US"/>
              </w:rPr>
            </w:pPr>
            <w:r w:rsidRPr="004D0DAA">
              <w:rPr>
                <w:lang w:eastAsia="en-US"/>
              </w:rPr>
              <w:t>11.2.58</w:t>
            </w:r>
          </w:p>
        </w:tc>
      </w:tr>
      <w:tr w:rsidR="00711444" w:rsidRPr="004D0DAA" w14:paraId="579A40E0" w14:textId="77777777" w:rsidTr="00AA2A4C">
        <w:trPr>
          <w:cantSplit/>
          <w:jc w:val="center"/>
        </w:trPr>
        <w:tc>
          <w:tcPr>
            <w:tcW w:w="4878" w:type="dxa"/>
          </w:tcPr>
          <w:p w14:paraId="5C7DB265" w14:textId="77777777" w:rsidR="00711444" w:rsidRPr="004D0DAA" w:rsidRDefault="00711444" w:rsidP="00AA2A4C">
            <w:pPr>
              <w:pStyle w:val="TAH"/>
              <w:rPr>
                <w:lang w:eastAsia="en-US"/>
              </w:rPr>
            </w:pPr>
            <w:r w:rsidRPr="004D0DAA">
              <w:rPr>
                <w:lang w:eastAsia="en-US"/>
              </w:rPr>
              <w:t>Downlink EC TBF establishment messages:</w:t>
            </w:r>
          </w:p>
        </w:tc>
        <w:tc>
          <w:tcPr>
            <w:tcW w:w="2034" w:type="dxa"/>
          </w:tcPr>
          <w:p w14:paraId="5D31B930" w14:textId="77777777" w:rsidR="00711444" w:rsidRPr="004D0DAA" w:rsidRDefault="00711444" w:rsidP="00AA2A4C">
            <w:pPr>
              <w:pStyle w:val="TAH"/>
              <w:rPr>
                <w:lang w:eastAsia="en-US"/>
              </w:rPr>
            </w:pPr>
            <w:r w:rsidRPr="004D0DAA">
              <w:rPr>
                <w:lang w:eastAsia="en-US"/>
              </w:rPr>
              <w:t>Reference</w:t>
            </w:r>
          </w:p>
        </w:tc>
      </w:tr>
      <w:tr w:rsidR="00711444" w:rsidRPr="004D0DAA" w14:paraId="774F769B" w14:textId="77777777" w:rsidTr="00AA2A4C">
        <w:trPr>
          <w:cantSplit/>
          <w:jc w:val="center"/>
        </w:trPr>
        <w:tc>
          <w:tcPr>
            <w:tcW w:w="4878" w:type="dxa"/>
          </w:tcPr>
          <w:p w14:paraId="53B7B46E" w14:textId="77777777" w:rsidR="00711444" w:rsidRPr="004D0DAA" w:rsidRDefault="00711444" w:rsidP="00AA2A4C">
            <w:pPr>
              <w:pStyle w:val="TAL"/>
              <w:rPr>
                <w:lang w:eastAsia="en-US"/>
              </w:rPr>
            </w:pPr>
            <w:r w:rsidRPr="004D0DAA">
              <w:rPr>
                <w:lang w:eastAsia="en-US"/>
              </w:rPr>
              <w:t>EC Packet Downlink Assignment</w:t>
            </w:r>
          </w:p>
        </w:tc>
        <w:tc>
          <w:tcPr>
            <w:tcW w:w="2034" w:type="dxa"/>
          </w:tcPr>
          <w:p w14:paraId="4991BEBF" w14:textId="77777777" w:rsidR="00711444" w:rsidRPr="004D0DAA" w:rsidRDefault="00711444" w:rsidP="00AA2A4C">
            <w:pPr>
              <w:pStyle w:val="TAL"/>
              <w:rPr>
                <w:lang w:eastAsia="en-US"/>
              </w:rPr>
            </w:pPr>
            <w:r w:rsidRPr="004D0DAA">
              <w:rPr>
                <w:lang w:eastAsia="en-US"/>
              </w:rPr>
              <w:t>11.2.52</w:t>
            </w:r>
          </w:p>
        </w:tc>
      </w:tr>
      <w:tr w:rsidR="00711444" w:rsidRPr="004D0DAA" w14:paraId="5FA8E049" w14:textId="77777777" w:rsidTr="00AA2A4C">
        <w:trPr>
          <w:cantSplit/>
          <w:jc w:val="center"/>
        </w:trPr>
        <w:tc>
          <w:tcPr>
            <w:tcW w:w="4878" w:type="dxa"/>
          </w:tcPr>
          <w:p w14:paraId="3E86149D" w14:textId="77777777" w:rsidR="00711444" w:rsidRPr="004D0DAA" w:rsidRDefault="00711444" w:rsidP="00AA2A4C">
            <w:pPr>
              <w:pStyle w:val="TAH"/>
              <w:rPr>
                <w:lang w:eastAsia="en-US"/>
              </w:rPr>
            </w:pPr>
            <w:r w:rsidRPr="004D0DAA">
              <w:rPr>
                <w:lang w:eastAsia="en-US"/>
              </w:rPr>
              <w:t>EC TBF release messages:</w:t>
            </w:r>
          </w:p>
        </w:tc>
        <w:tc>
          <w:tcPr>
            <w:tcW w:w="2034" w:type="dxa"/>
          </w:tcPr>
          <w:p w14:paraId="38D1B210" w14:textId="77777777" w:rsidR="00711444" w:rsidRPr="004D0DAA" w:rsidRDefault="00711444" w:rsidP="00AA2A4C">
            <w:pPr>
              <w:pStyle w:val="TAH"/>
              <w:rPr>
                <w:lang w:eastAsia="en-US"/>
              </w:rPr>
            </w:pPr>
            <w:r w:rsidRPr="004D0DAA">
              <w:rPr>
                <w:lang w:eastAsia="en-US"/>
              </w:rPr>
              <w:t>Reference</w:t>
            </w:r>
          </w:p>
        </w:tc>
      </w:tr>
      <w:tr w:rsidR="00711444" w:rsidRPr="004D0DAA" w14:paraId="77661A83" w14:textId="77777777" w:rsidTr="00AA2A4C">
        <w:trPr>
          <w:cantSplit/>
          <w:jc w:val="center"/>
        </w:trPr>
        <w:tc>
          <w:tcPr>
            <w:tcW w:w="4878" w:type="dxa"/>
          </w:tcPr>
          <w:p w14:paraId="6CB12D81" w14:textId="77777777" w:rsidR="00711444" w:rsidRPr="004D0DAA" w:rsidRDefault="00711444" w:rsidP="00AA2A4C">
            <w:pPr>
              <w:pStyle w:val="TAL"/>
              <w:rPr>
                <w:lang w:eastAsia="en-US"/>
              </w:rPr>
            </w:pPr>
            <w:r w:rsidRPr="004D0DAA">
              <w:rPr>
                <w:lang w:eastAsia="en-US"/>
              </w:rPr>
              <w:t>EC Packet TBF Release</w:t>
            </w:r>
          </w:p>
        </w:tc>
        <w:tc>
          <w:tcPr>
            <w:tcW w:w="2034" w:type="dxa"/>
          </w:tcPr>
          <w:p w14:paraId="642B97A9" w14:textId="77777777" w:rsidR="00711444" w:rsidRPr="004D0DAA" w:rsidRDefault="00711444" w:rsidP="00AA2A4C">
            <w:pPr>
              <w:pStyle w:val="TAL"/>
              <w:rPr>
                <w:lang w:eastAsia="en-US"/>
              </w:rPr>
            </w:pPr>
            <w:r w:rsidRPr="004D0DAA">
              <w:rPr>
                <w:lang w:eastAsia="en-US"/>
              </w:rPr>
              <w:t>11.2.56</w:t>
            </w:r>
          </w:p>
        </w:tc>
      </w:tr>
      <w:tr w:rsidR="00711444" w:rsidRPr="004D0DAA" w14:paraId="1FD075FE" w14:textId="77777777" w:rsidTr="00AA2A4C">
        <w:trPr>
          <w:cantSplit/>
          <w:jc w:val="center"/>
        </w:trPr>
        <w:tc>
          <w:tcPr>
            <w:tcW w:w="4878" w:type="dxa"/>
            <w:tcBorders>
              <w:bottom w:val="single" w:sz="2" w:space="0" w:color="auto"/>
            </w:tcBorders>
          </w:tcPr>
          <w:p w14:paraId="231417EA" w14:textId="77777777" w:rsidR="00711444" w:rsidRPr="004D0DAA" w:rsidRDefault="00711444" w:rsidP="00AA2A4C">
            <w:pPr>
              <w:pStyle w:val="TAH"/>
              <w:rPr>
                <w:lang w:eastAsia="en-US"/>
              </w:rPr>
            </w:pPr>
            <w:r w:rsidRPr="004D0DAA">
              <w:rPr>
                <w:lang w:eastAsia="en-US"/>
              </w:rPr>
              <w:t>EC-GSM-IoT RLC messages:</w:t>
            </w:r>
          </w:p>
        </w:tc>
        <w:tc>
          <w:tcPr>
            <w:tcW w:w="2034" w:type="dxa"/>
            <w:tcBorders>
              <w:bottom w:val="single" w:sz="2" w:space="0" w:color="auto"/>
            </w:tcBorders>
          </w:tcPr>
          <w:p w14:paraId="54E63D74" w14:textId="77777777" w:rsidR="00711444" w:rsidRPr="004D0DAA" w:rsidRDefault="00711444" w:rsidP="00AA2A4C">
            <w:pPr>
              <w:pStyle w:val="TAH"/>
              <w:rPr>
                <w:lang w:eastAsia="en-US"/>
              </w:rPr>
            </w:pPr>
            <w:r w:rsidRPr="004D0DAA">
              <w:rPr>
                <w:lang w:eastAsia="en-US"/>
              </w:rPr>
              <w:t>Reference</w:t>
            </w:r>
          </w:p>
        </w:tc>
      </w:tr>
      <w:tr w:rsidR="00711444" w:rsidRPr="004D0DAA" w14:paraId="2FAF6A88" w14:textId="77777777" w:rsidTr="00AA2A4C">
        <w:trPr>
          <w:cantSplit/>
          <w:jc w:val="center"/>
        </w:trPr>
        <w:tc>
          <w:tcPr>
            <w:tcW w:w="4878" w:type="dxa"/>
          </w:tcPr>
          <w:p w14:paraId="1B4B4580" w14:textId="77777777" w:rsidR="00711444" w:rsidRPr="004D0DAA" w:rsidRDefault="00711444" w:rsidP="00AA2A4C">
            <w:pPr>
              <w:pStyle w:val="TAL"/>
              <w:rPr>
                <w:lang w:eastAsia="en-US"/>
              </w:rPr>
            </w:pPr>
            <w:r w:rsidRPr="004D0DAA">
              <w:rPr>
                <w:lang w:eastAsia="en-US"/>
              </w:rPr>
              <w:t>EC Packet Downlink Ack/Nack</w:t>
            </w:r>
          </w:p>
        </w:tc>
        <w:tc>
          <w:tcPr>
            <w:tcW w:w="2034" w:type="dxa"/>
          </w:tcPr>
          <w:p w14:paraId="31B60A21" w14:textId="77777777" w:rsidR="00711444" w:rsidRPr="004D0DAA" w:rsidRDefault="00711444" w:rsidP="00AA2A4C">
            <w:pPr>
              <w:pStyle w:val="TAL"/>
              <w:rPr>
                <w:lang w:eastAsia="en-US"/>
              </w:rPr>
            </w:pPr>
            <w:r w:rsidRPr="004D0DAA">
              <w:rPr>
                <w:lang w:eastAsia="en-US"/>
              </w:rPr>
              <w:t>11.2.51</w:t>
            </w:r>
          </w:p>
        </w:tc>
      </w:tr>
      <w:tr w:rsidR="00711444" w:rsidRPr="004D0DAA" w14:paraId="370637E5" w14:textId="77777777" w:rsidTr="00AA2A4C">
        <w:trPr>
          <w:cantSplit/>
          <w:jc w:val="center"/>
        </w:trPr>
        <w:tc>
          <w:tcPr>
            <w:tcW w:w="4878" w:type="dxa"/>
          </w:tcPr>
          <w:p w14:paraId="7796B560" w14:textId="77777777" w:rsidR="00711444" w:rsidRPr="004D0DAA" w:rsidRDefault="00711444" w:rsidP="00AA2A4C">
            <w:pPr>
              <w:pStyle w:val="TAL"/>
              <w:widowControl w:val="0"/>
              <w:tabs>
                <w:tab w:val="right" w:leader="dot" w:pos="9639"/>
              </w:tabs>
              <w:ind w:left="1701" w:right="425" w:hanging="1701"/>
              <w:rPr>
                <w:lang w:eastAsia="en-US"/>
              </w:rPr>
            </w:pPr>
            <w:r w:rsidRPr="004D0DAA">
              <w:rPr>
                <w:lang w:eastAsia="en-US"/>
              </w:rPr>
              <w:t>EC Packet Downlink Ack/Nack Higher CC</w:t>
            </w:r>
          </w:p>
        </w:tc>
        <w:tc>
          <w:tcPr>
            <w:tcW w:w="2034" w:type="dxa"/>
          </w:tcPr>
          <w:p w14:paraId="6BB91923" w14:textId="77777777" w:rsidR="00711444" w:rsidRPr="004D0DAA" w:rsidRDefault="00711444" w:rsidP="00AA2A4C">
            <w:pPr>
              <w:pStyle w:val="TAL"/>
              <w:widowControl w:val="0"/>
              <w:tabs>
                <w:tab w:val="right" w:leader="dot" w:pos="9639"/>
              </w:tabs>
              <w:ind w:left="1701" w:right="425" w:hanging="1701"/>
              <w:rPr>
                <w:lang w:eastAsia="en-US"/>
              </w:rPr>
            </w:pPr>
            <w:r w:rsidRPr="004D0DAA">
              <w:rPr>
                <w:lang w:eastAsia="en-US"/>
              </w:rPr>
              <w:t>11.2.60</w:t>
            </w:r>
          </w:p>
        </w:tc>
      </w:tr>
      <w:tr w:rsidR="00711444" w:rsidRPr="004D0DAA" w14:paraId="2656B53F" w14:textId="77777777" w:rsidTr="00AA2A4C">
        <w:trPr>
          <w:cantSplit/>
          <w:jc w:val="center"/>
        </w:trPr>
        <w:tc>
          <w:tcPr>
            <w:tcW w:w="4878" w:type="dxa"/>
          </w:tcPr>
          <w:p w14:paraId="049B207D" w14:textId="77777777" w:rsidR="00711444" w:rsidRPr="004D0DAA" w:rsidRDefault="00711444" w:rsidP="00AA2A4C">
            <w:pPr>
              <w:pStyle w:val="TAL"/>
              <w:rPr>
                <w:lang w:eastAsia="en-US"/>
              </w:rPr>
            </w:pPr>
            <w:r w:rsidRPr="004D0DAA">
              <w:rPr>
                <w:lang w:eastAsia="en-US"/>
              </w:rPr>
              <w:t>EC Packet Uplink Ack/Nack</w:t>
            </w:r>
          </w:p>
        </w:tc>
        <w:tc>
          <w:tcPr>
            <w:tcW w:w="2034" w:type="dxa"/>
          </w:tcPr>
          <w:p w14:paraId="4E3A1C26" w14:textId="77777777" w:rsidR="00711444" w:rsidRPr="004D0DAA" w:rsidRDefault="00711444" w:rsidP="00AA2A4C">
            <w:pPr>
              <w:pStyle w:val="TAL"/>
              <w:rPr>
                <w:lang w:eastAsia="en-US"/>
              </w:rPr>
            </w:pPr>
            <w:r w:rsidRPr="004D0DAA">
              <w:rPr>
                <w:lang w:eastAsia="en-US"/>
              </w:rPr>
              <w:t>11.2.57</w:t>
            </w:r>
          </w:p>
        </w:tc>
      </w:tr>
      <w:tr w:rsidR="00711444" w:rsidRPr="004D0DAA" w14:paraId="04CCB357" w14:textId="77777777" w:rsidTr="00AA2A4C">
        <w:trPr>
          <w:cantSplit/>
          <w:jc w:val="center"/>
        </w:trPr>
        <w:tc>
          <w:tcPr>
            <w:tcW w:w="4878" w:type="dxa"/>
          </w:tcPr>
          <w:p w14:paraId="67740AC0" w14:textId="77777777" w:rsidR="00711444" w:rsidRPr="004D0DAA" w:rsidRDefault="00711444" w:rsidP="00AA2A4C">
            <w:pPr>
              <w:pStyle w:val="TAL"/>
              <w:rPr>
                <w:lang w:eastAsia="en-US"/>
              </w:rPr>
            </w:pPr>
            <w:r w:rsidRPr="004D0DAA">
              <w:rPr>
                <w:lang w:eastAsia="en-US"/>
              </w:rPr>
              <w:t>EC Packet Uplink Ack/Nack and Contention Resolution</w:t>
            </w:r>
          </w:p>
        </w:tc>
        <w:tc>
          <w:tcPr>
            <w:tcW w:w="2034" w:type="dxa"/>
          </w:tcPr>
          <w:p w14:paraId="69CD51EC" w14:textId="77777777" w:rsidR="00711444" w:rsidRPr="004D0DAA" w:rsidRDefault="00711444" w:rsidP="00AA2A4C">
            <w:pPr>
              <w:pStyle w:val="TAL"/>
              <w:rPr>
                <w:lang w:eastAsia="en-US"/>
              </w:rPr>
            </w:pPr>
            <w:r w:rsidRPr="004D0DAA">
              <w:rPr>
                <w:lang w:eastAsia="en-US"/>
              </w:rPr>
              <w:t>11.2.59</w:t>
            </w:r>
          </w:p>
        </w:tc>
      </w:tr>
      <w:tr w:rsidR="00711444" w:rsidRPr="004D0DAA" w14:paraId="61A2026A" w14:textId="77777777" w:rsidTr="00AA2A4C">
        <w:trPr>
          <w:cantSplit/>
          <w:jc w:val="center"/>
        </w:trPr>
        <w:tc>
          <w:tcPr>
            <w:tcW w:w="4878" w:type="dxa"/>
          </w:tcPr>
          <w:p w14:paraId="3C08B399" w14:textId="77777777" w:rsidR="00711444" w:rsidRPr="004D0DAA" w:rsidRDefault="00711444" w:rsidP="00AA2A4C">
            <w:pPr>
              <w:pStyle w:val="TAH"/>
              <w:rPr>
                <w:lang w:eastAsia="en-US"/>
              </w:rPr>
            </w:pPr>
            <w:r w:rsidRPr="004D0DAA">
              <w:rPr>
                <w:lang w:eastAsia="en-US"/>
              </w:rPr>
              <w:t>EC-GSM-IoT miscellaneous messages:</w:t>
            </w:r>
          </w:p>
        </w:tc>
        <w:tc>
          <w:tcPr>
            <w:tcW w:w="2034" w:type="dxa"/>
          </w:tcPr>
          <w:p w14:paraId="34DEC7C1" w14:textId="77777777" w:rsidR="00711444" w:rsidRPr="004D0DAA" w:rsidRDefault="00711444" w:rsidP="00AA2A4C">
            <w:pPr>
              <w:pStyle w:val="TAH"/>
              <w:rPr>
                <w:lang w:eastAsia="en-US"/>
              </w:rPr>
            </w:pPr>
            <w:r w:rsidRPr="004D0DAA">
              <w:rPr>
                <w:lang w:eastAsia="en-US"/>
              </w:rPr>
              <w:t>Reference</w:t>
            </w:r>
          </w:p>
        </w:tc>
      </w:tr>
      <w:tr w:rsidR="00711444" w:rsidRPr="004D0DAA" w14:paraId="44DD6907" w14:textId="77777777" w:rsidTr="00AA2A4C">
        <w:trPr>
          <w:cantSplit/>
          <w:jc w:val="center"/>
        </w:trPr>
        <w:tc>
          <w:tcPr>
            <w:tcW w:w="4878" w:type="dxa"/>
            <w:tcBorders>
              <w:bottom w:val="single" w:sz="2" w:space="0" w:color="auto"/>
            </w:tcBorders>
          </w:tcPr>
          <w:p w14:paraId="1F438B67" w14:textId="77777777" w:rsidR="00711444" w:rsidRPr="004D0DAA" w:rsidRDefault="00711444" w:rsidP="00AA2A4C">
            <w:pPr>
              <w:pStyle w:val="TAL"/>
              <w:rPr>
                <w:lang w:eastAsia="en-US"/>
              </w:rPr>
            </w:pPr>
            <w:r w:rsidRPr="004D0DAA">
              <w:rPr>
                <w:lang w:eastAsia="en-US"/>
              </w:rPr>
              <w:t>EC Packet Control Acknowledgement</w:t>
            </w:r>
          </w:p>
        </w:tc>
        <w:tc>
          <w:tcPr>
            <w:tcW w:w="2034" w:type="dxa"/>
            <w:tcBorders>
              <w:bottom w:val="single" w:sz="2" w:space="0" w:color="auto"/>
            </w:tcBorders>
          </w:tcPr>
          <w:p w14:paraId="7D47C1A9" w14:textId="77777777" w:rsidR="00711444" w:rsidRPr="004D0DAA" w:rsidRDefault="00711444" w:rsidP="00AA2A4C">
            <w:pPr>
              <w:pStyle w:val="TAL"/>
              <w:rPr>
                <w:lang w:eastAsia="en-US"/>
              </w:rPr>
            </w:pPr>
            <w:r w:rsidRPr="004D0DAA">
              <w:rPr>
                <w:lang w:eastAsia="en-US"/>
              </w:rPr>
              <w:t>11.2.50</w:t>
            </w:r>
          </w:p>
        </w:tc>
      </w:tr>
      <w:tr w:rsidR="00711444" w:rsidRPr="004D0DAA" w14:paraId="3804260A" w14:textId="77777777" w:rsidTr="00AA2A4C">
        <w:trPr>
          <w:cantSplit/>
          <w:jc w:val="center"/>
        </w:trPr>
        <w:tc>
          <w:tcPr>
            <w:tcW w:w="4878" w:type="dxa"/>
          </w:tcPr>
          <w:p w14:paraId="7D131C76" w14:textId="77777777" w:rsidR="00711444" w:rsidRPr="004D0DAA" w:rsidRDefault="00711444" w:rsidP="00AA2A4C">
            <w:pPr>
              <w:pStyle w:val="TAL"/>
              <w:widowControl w:val="0"/>
              <w:tabs>
                <w:tab w:val="right" w:leader="dot" w:pos="9639"/>
              </w:tabs>
              <w:ind w:right="425"/>
              <w:rPr>
                <w:lang w:eastAsia="en-US"/>
              </w:rPr>
            </w:pPr>
            <w:r w:rsidRPr="004D0DAA">
              <w:rPr>
                <w:lang w:eastAsia="en-US"/>
              </w:rPr>
              <w:t xml:space="preserve">EC PACKET CONTROL ACKNOWLEDGEMENT HIGHER CC </w:t>
            </w:r>
          </w:p>
        </w:tc>
        <w:tc>
          <w:tcPr>
            <w:tcW w:w="2034" w:type="dxa"/>
          </w:tcPr>
          <w:p w14:paraId="6137E2C9" w14:textId="77777777" w:rsidR="00711444" w:rsidRPr="004D0DAA" w:rsidRDefault="00711444" w:rsidP="00AA2A4C">
            <w:pPr>
              <w:pStyle w:val="TAL"/>
              <w:widowControl w:val="0"/>
              <w:tabs>
                <w:tab w:val="right" w:leader="dot" w:pos="9639"/>
              </w:tabs>
              <w:ind w:left="1701" w:right="425" w:hanging="1701"/>
              <w:rPr>
                <w:lang w:eastAsia="en-US"/>
              </w:rPr>
            </w:pPr>
            <w:r w:rsidRPr="004D0DAA">
              <w:rPr>
                <w:lang w:eastAsia="en-US"/>
              </w:rPr>
              <w:t>11.2.61</w:t>
            </w:r>
          </w:p>
        </w:tc>
      </w:tr>
      <w:tr w:rsidR="00711444" w:rsidRPr="004D0DAA" w14:paraId="44A1ADCE" w14:textId="77777777" w:rsidTr="00AA2A4C">
        <w:trPr>
          <w:cantSplit/>
          <w:jc w:val="center"/>
        </w:trPr>
        <w:tc>
          <w:tcPr>
            <w:tcW w:w="4878" w:type="dxa"/>
          </w:tcPr>
          <w:p w14:paraId="1234327D" w14:textId="77777777" w:rsidR="00711444" w:rsidRPr="004D0DAA" w:rsidRDefault="00711444" w:rsidP="00AA2A4C">
            <w:pPr>
              <w:pStyle w:val="TAL"/>
              <w:rPr>
                <w:lang w:eastAsia="en-US"/>
              </w:rPr>
            </w:pPr>
            <w:r w:rsidRPr="004D0DAA">
              <w:rPr>
                <w:lang w:eastAsia="en-US"/>
              </w:rPr>
              <w:t>EC Packet Polling Request</w:t>
            </w:r>
          </w:p>
        </w:tc>
        <w:tc>
          <w:tcPr>
            <w:tcW w:w="2034" w:type="dxa"/>
          </w:tcPr>
          <w:p w14:paraId="7781AB9D" w14:textId="77777777" w:rsidR="00711444" w:rsidRPr="004D0DAA" w:rsidRDefault="00711444" w:rsidP="00AA2A4C">
            <w:pPr>
              <w:pStyle w:val="TAL"/>
              <w:rPr>
                <w:lang w:eastAsia="en-US"/>
              </w:rPr>
            </w:pPr>
            <w:r w:rsidRPr="004D0DAA">
              <w:rPr>
                <w:lang w:eastAsia="en-US"/>
              </w:rPr>
              <w:t>11.2.54</w:t>
            </w:r>
          </w:p>
        </w:tc>
      </w:tr>
      <w:tr w:rsidR="00711444" w:rsidRPr="004D0DAA" w14:paraId="2497C746" w14:textId="77777777" w:rsidTr="00AA2A4C">
        <w:trPr>
          <w:cantSplit/>
          <w:jc w:val="center"/>
        </w:trPr>
        <w:tc>
          <w:tcPr>
            <w:tcW w:w="4878" w:type="dxa"/>
          </w:tcPr>
          <w:p w14:paraId="099596C6" w14:textId="77777777" w:rsidR="00711444" w:rsidRPr="004D0DAA" w:rsidRDefault="00711444" w:rsidP="00AA2A4C">
            <w:pPr>
              <w:pStyle w:val="TAL"/>
              <w:rPr>
                <w:lang w:eastAsia="en-US"/>
              </w:rPr>
            </w:pPr>
            <w:r w:rsidRPr="004D0DAA">
              <w:rPr>
                <w:lang w:eastAsia="en-US"/>
              </w:rPr>
              <w:t>EC Packet Power Control/Timing Advance</w:t>
            </w:r>
          </w:p>
        </w:tc>
        <w:tc>
          <w:tcPr>
            <w:tcW w:w="2034" w:type="dxa"/>
          </w:tcPr>
          <w:p w14:paraId="4AC5E2BA" w14:textId="77777777" w:rsidR="00711444" w:rsidRPr="004D0DAA" w:rsidRDefault="00711444" w:rsidP="00AA2A4C">
            <w:pPr>
              <w:pStyle w:val="TAL"/>
              <w:rPr>
                <w:lang w:eastAsia="en-US"/>
              </w:rPr>
            </w:pPr>
            <w:r w:rsidRPr="004D0DAA">
              <w:rPr>
                <w:lang w:eastAsia="en-US"/>
              </w:rPr>
              <w:t>11.2.55</w:t>
            </w:r>
          </w:p>
        </w:tc>
      </w:tr>
      <w:tr w:rsidR="00711444" w:rsidRPr="004D0DAA" w14:paraId="3F8EA3E1" w14:textId="77777777" w:rsidTr="00AA2A4C">
        <w:trPr>
          <w:cantSplit/>
          <w:jc w:val="center"/>
        </w:trPr>
        <w:tc>
          <w:tcPr>
            <w:tcW w:w="4878" w:type="dxa"/>
          </w:tcPr>
          <w:p w14:paraId="6DC489C4" w14:textId="77777777" w:rsidR="00711444" w:rsidRPr="004D0DAA" w:rsidRDefault="00711444" w:rsidP="00AA2A4C">
            <w:pPr>
              <w:pStyle w:val="TAL"/>
              <w:rPr>
                <w:lang w:eastAsia="en-US"/>
              </w:rPr>
            </w:pPr>
            <w:r w:rsidRPr="004D0DAA">
              <w:rPr>
                <w:lang w:eastAsia="en-US"/>
              </w:rPr>
              <w:t>EC Packet Downlink Dummy Control Block</w:t>
            </w:r>
          </w:p>
        </w:tc>
        <w:tc>
          <w:tcPr>
            <w:tcW w:w="2034" w:type="dxa"/>
          </w:tcPr>
          <w:p w14:paraId="27E60D08" w14:textId="77777777" w:rsidR="00711444" w:rsidRPr="004D0DAA" w:rsidRDefault="00711444" w:rsidP="00AA2A4C">
            <w:pPr>
              <w:pStyle w:val="TAL"/>
              <w:rPr>
                <w:lang w:eastAsia="en-US"/>
              </w:rPr>
            </w:pPr>
            <w:r w:rsidRPr="004D0DAA">
              <w:rPr>
                <w:lang w:eastAsia="en-US"/>
              </w:rPr>
              <w:t>11.2.53</w:t>
            </w:r>
          </w:p>
        </w:tc>
      </w:tr>
    </w:tbl>
    <w:p w14:paraId="5E31BC83" w14:textId="77777777" w:rsidR="00711444" w:rsidRPr="004D0DAA" w:rsidRDefault="00711444" w:rsidP="00711444"/>
    <w:p w14:paraId="3519DC43" w14:textId="77777777" w:rsidR="00711444" w:rsidRPr="004D0DAA" w:rsidRDefault="00711444" w:rsidP="00711444">
      <w:pPr>
        <w:pStyle w:val="Heading3"/>
      </w:pPr>
      <w:bookmarkStart w:id="642" w:name="_Toc516669820"/>
      <w:r w:rsidRPr="004D0DAA">
        <w:t>11.2.0</w:t>
      </w:r>
      <w:r w:rsidRPr="004D0DAA">
        <w:tab/>
        <w:t>Message format</w:t>
      </w:r>
      <w:bookmarkEnd w:id="642"/>
    </w:p>
    <w:p w14:paraId="3C23B4AE" w14:textId="77777777" w:rsidR="00711444" w:rsidRPr="004D0DAA" w:rsidRDefault="00711444" w:rsidP="00711444">
      <w:r w:rsidRPr="004D0DAA">
        <w:t>All RLC/MAC control messages, with the exception of the PACKET CONTROL ACKNOWLEDGEMENT message in access burst format (11-bit and 8-bit contents), the HANDOVER ACCESS message in access burst format (8-bit content), the PS HANDOVER ACCESS message</w:t>
      </w:r>
      <w:r w:rsidRPr="004D0DAA">
        <w:rPr>
          <w:rFonts w:hint="eastAsia"/>
          <w:lang w:eastAsia="ko-KR"/>
        </w:rPr>
        <w:t>,</w:t>
      </w:r>
      <w:r w:rsidRPr="004D0DAA">
        <w:t xml:space="preserve"> the PACKET CHANNEL REQUEST message</w:t>
      </w:r>
      <w:r w:rsidRPr="004D0DAA">
        <w:rPr>
          <w:rFonts w:hint="eastAsia"/>
          <w:lang w:eastAsia="ko-KR"/>
        </w:rPr>
        <w:t>, EGPRS PACKET CHANNEL REQUEST message</w:t>
      </w:r>
      <w:r w:rsidRPr="004D0DAA">
        <w:rPr>
          <w:lang w:eastAsia="ko-KR"/>
        </w:rPr>
        <w:t>,</w:t>
      </w:r>
      <w:r w:rsidRPr="004D0DAA">
        <w:rPr>
          <w:rFonts w:hint="eastAsia"/>
          <w:lang w:eastAsia="ko-KR"/>
        </w:rPr>
        <w:t xml:space="preserve"> MPRACH PACKET CHANNEL REQUEST message</w:t>
      </w:r>
      <w:r w:rsidRPr="004D0DAA">
        <w:t xml:space="preserve"> and the RLC/MAC control messages sent on the EC-PACCH follow the same non-standard format (see 3GPP TS 24.007).</w:t>
      </w:r>
    </w:p>
    <w:p w14:paraId="40D755D8" w14:textId="77777777" w:rsidR="00711444" w:rsidRPr="004D0DAA" w:rsidRDefault="00711444" w:rsidP="00711444">
      <w:r w:rsidRPr="004D0DAA">
        <w:t>The RLC/MAC control messages sent on the EC-PACCH follow the same non-standard format (see 3GPP TS 24.007).</w:t>
      </w:r>
    </w:p>
    <w:p w14:paraId="2005291F" w14:textId="77777777" w:rsidR="00711444" w:rsidRPr="004D0DAA" w:rsidRDefault="00711444" w:rsidP="00711444">
      <w:pPr>
        <w:pStyle w:val="Heading4"/>
      </w:pPr>
      <w:bookmarkStart w:id="643" w:name="_Toc516669821"/>
      <w:r w:rsidRPr="004D0DAA">
        <w:lastRenderedPageBreak/>
        <w:t>11.2.0.1</w:t>
      </w:r>
      <w:r w:rsidRPr="004D0DAA">
        <w:tab/>
        <w:t>Downlink RLC/MAC messages</w:t>
      </w:r>
      <w:bookmarkEnd w:id="643"/>
    </w:p>
    <w:p w14:paraId="01074216" w14:textId="77777777" w:rsidR="00711444" w:rsidRPr="004D0DAA" w:rsidRDefault="00711444" w:rsidP="00711444">
      <w:pPr>
        <w:keepNext/>
      </w:pPr>
      <w:r w:rsidRPr="004D0DAA">
        <w:t>Downlink RLC/MAC control messages are received in RLC/MAC control block format. The different types of messages are distinguished by the MESSAGE_TYPE field.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1C93C2C" w14:textId="77777777" w:rsidTr="00AA2A4C">
        <w:tblPrEx>
          <w:tblCellMar>
            <w:top w:w="0" w:type="dxa"/>
            <w:bottom w:w="0" w:type="dxa"/>
          </w:tblCellMar>
        </w:tblPrEx>
        <w:trPr>
          <w:cantSplit/>
        </w:trPr>
        <w:tc>
          <w:tcPr>
            <w:tcW w:w="9848" w:type="dxa"/>
          </w:tcPr>
          <w:p w14:paraId="0E7F05D6" w14:textId="77777777" w:rsidR="00711444" w:rsidRPr="004D0DAA" w:rsidRDefault="00711444" w:rsidP="00AA2A4C">
            <w:pPr>
              <w:pStyle w:val="TAL"/>
              <w:rPr>
                <w:lang w:eastAsia="en-US"/>
              </w:rPr>
            </w:pPr>
            <w:r w:rsidRPr="004D0DAA">
              <w:rPr>
                <w:lang w:eastAsia="en-US"/>
              </w:rPr>
              <w:t>&lt; Downlink RLC/MAC control message &gt; ::=</w:t>
            </w:r>
          </w:p>
          <w:p w14:paraId="3A0F8CE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1 00001 &gt;</w:t>
            </w:r>
            <w:r w:rsidRPr="004D0DAA">
              <w:rPr>
                <w:lang w:eastAsia="en-US"/>
              </w:rPr>
              <w:tab/>
              <w:t>&lt; Packet Access Reject message content &gt; |</w:t>
            </w:r>
          </w:p>
          <w:p w14:paraId="019E4F8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00001 &gt;</w:t>
            </w:r>
            <w:r w:rsidRPr="004D0DAA">
              <w:rPr>
                <w:lang w:eastAsia="en-US"/>
              </w:rPr>
              <w:tab/>
              <w:t>&lt; Packet Cell Change Order message content &gt; |</w:t>
            </w:r>
          </w:p>
          <w:p w14:paraId="315EC88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00010 &gt;</w:t>
            </w:r>
            <w:r w:rsidRPr="004D0DAA">
              <w:rPr>
                <w:lang w:eastAsia="en-US"/>
              </w:rPr>
              <w:tab/>
              <w:t>&lt; Packet Downlink Assignment message content &gt; |</w:t>
            </w:r>
          </w:p>
          <w:p w14:paraId="1C3F1FD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00011 &gt;</w:t>
            </w:r>
            <w:r w:rsidRPr="004D0DAA">
              <w:rPr>
                <w:lang w:eastAsia="en-US"/>
              </w:rPr>
              <w:tab/>
              <w:t>&lt; Packet Measurement Order message content &gt; |</w:t>
            </w:r>
          </w:p>
          <w:p w14:paraId="3CB5165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1 00010 &gt;</w:t>
            </w:r>
            <w:r w:rsidRPr="004D0DAA">
              <w:rPr>
                <w:lang w:eastAsia="en-US"/>
              </w:rPr>
              <w:tab/>
              <w:t>&lt; Packet Paging Request message content &gt; |</w:t>
            </w:r>
          </w:p>
          <w:p w14:paraId="0A26F5A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1 00011 &gt;</w:t>
            </w:r>
            <w:r w:rsidRPr="004D0DAA">
              <w:rPr>
                <w:lang w:eastAsia="en-US"/>
              </w:rPr>
              <w:tab/>
              <w:t>&lt; Packet PDCH Release message content &gt; |</w:t>
            </w:r>
          </w:p>
          <w:p w14:paraId="13AA514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00100 &gt;</w:t>
            </w:r>
            <w:r w:rsidRPr="004D0DAA">
              <w:rPr>
                <w:lang w:eastAsia="en-US"/>
              </w:rPr>
              <w:tab/>
              <w:t>&lt; Packet Polling Request message content &gt; |</w:t>
            </w:r>
          </w:p>
          <w:p w14:paraId="07FCA2D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00101 &gt;</w:t>
            </w:r>
            <w:r w:rsidRPr="004D0DAA">
              <w:rPr>
                <w:lang w:eastAsia="en-US"/>
              </w:rPr>
              <w:tab/>
              <w:t>&lt; Packet Power Control/Timing Advance message content &gt; |</w:t>
            </w:r>
          </w:p>
          <w:p w14:paraId="0200566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1 00100 &gt;</w:t>
            </w:r>
            <w:r w:rsidRPr="004D0DAA">
              <w:rPr>
                <w:lang w:eastAsia="en-US"/>
              </w:rPr>
              <w:tab/>
              <w:t>&lt; Packet PRACH Parameters message content &gt; |</w:t>
            </w:r>
          </w:p>
          <w:p w14:paraId="62001CD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00110 &gt;</w:t>
            </w:r>
            <w:r w:rsidRPr="004D0DAA">
              <w:rPr>
                <w:lang w:eastAsia="en-US"/>
              </w:rPr>
              <w:tab/>
              <w:t>&lt; Packet Queueing Notification message content &gt; |</w:t>
            </w:r>
          </w:p>
          <w:p w14:paraId="395E3E8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00111 &gt;</w:t>
            </w:r>
            <w:r w:rsidRPr="004D0DAA">
              <w:rPr>
                <w:lang w:eastAsia="en-US"/>
              </w:rPr>
              <w:tab/>
              <w:t>&lt; Packet Timeslot Reconfigure message content &gt; |</w:t>
            </w:r>
          </w:p>
          <w:p w14:paraId="6F912E7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01000 &gt;</w:t>
            </w:r>
            <w:r w:rsidRPr="004D0DAA">
              <w:rPr>
                <w:lang w:eastAsia="en-US"/>
              </w:rPr>
              <w:tab/>
              <w:t>&lt; Packet TBF Release message content &gt; |</w:t>
            </w:r>
          </w:p>
          <w:p w14:paraId="2FB03CE9" w14:textId="77777777" w:rsidR="00711444" w:rsidRPr="004D0DAA" w:rsidRDefault="00711444" w:rsidP="00AA2A4C">
            <w:pPr>
              <w:pStyle w:val="TAL"/>
              <w:rPr>
                <w:i/>
                <w:iCs/>
                <w:lang w:eastAsia="en-US"/>
              </w:rPr>
            </w:pPr>
            <w:r w:rsidRPr="004D0DAA">
              <w:rPr>
                <w:lang w:eastAsia="en-US"/>
              </w:rPr>
              <w:tab/>
              <w:t xml:space="preserve">&lt; </w:t>
            </w:r>
            <w:r w:rsidRPr="004D0DAA">
              <w:rPr>
                <w:b/>
                <w:lang w:eastAsia="en-US"/>
              </w:rPr>
              <w:t>MESSAGE_TYPE</w:t>
            </w:r>
            <w:r w:rsidRPr="004D0DAA">
              <w:rPr>
                <w:lang w:eastAsia="en-US"/>
              </w:rPr>
              <w:t> : bit (6) == 0 01001 &gt;</w:t>
            </w:r>
            <w:r w:rsidRPr="004D0DAA">
              <w:rPr>
                <w:lang w:eastAsia="en-US"/>
              </w:rPr>
              <w:tab/>
              <w:t>&lt; Packet Uplink Ack/Nack message content &gt; |</w:t>
            </w:r>
            <w:r w:rsidRPr="004D0DAA">
              <w:rPr>
                <w:lang w:eastAsia="en-US"/>
              </w:rPr>
              <w:tab/>
              <w:t xml:space="preserve">-- </w:t>
            </w:r>
            <w:r w:rsidRPr="004D0DAA">
              <w:rPr>
                <w:i/>
                <w:iCs/>
                <w:lang w:eastAsia="en-US"/>
              </w:rPr>
              <w:t>PACCH only</w:t>
            </w:r>
          </w:p>
          <w:p w14:paraId="171D7A9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01010 &gt;</w:t>
            </w:r>
            <w:r w:rsidRPr="004D0DAA">
              <w:rPr>
                <w:lang w:eastAsia="en-US"/>
              </w:rPr>
              <w:tab/>
              <w:t>&lt; Packet Uplink Assignment message content &gt; |</w:t>
            </w:r>
          </w:p>
          <w:p w14:paraId="60F55C7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01011 &gt;</w:t>
            </w:r>
            <w:r w:rsidRPr="004D0DAA">
              <w:rPr>
                <w:lang w:eastAsia="en-US"/>
              </w:rPr>
              <w:tab/>
              <w:t>&lt; Packet Cell Change Continue message content &gt; |</w:t>
            </w:r>
          </w:p>
          <w:p w14:paraId="3FE9C22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01100 &gt;</w:t>
            </w:r>
            <w:r w:rsidRPr="004D0DAA">
              <w:rPr>
                <w:lang w:eastAsia="en-US"/>
              </w:rPr>
              <w:tab/>
              <w:t>&lt; Packet Neighbour Cell Data message content &gt; |</w:t>
            </w:r>
          </w:p>
          <w:p w14:paraId="05CA72D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01101 &gt;</w:t>
            </w:r>
            <w:r w:rsidRPr="004D0DAA">
              <w:rPr>
                <w:lang w:eastAsia="en-US"/>
              </w:rPr>
              <w:tab/>
              <w:t>&lt; Packet Serving Cell Data message content &gt; |</w:t>
            </w:r>
          </w:p>
          <w:p w14:paraId="42A3803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xml:space="preserve"> : bit (6) == 0 01110 &gt;</w:t>
            </w:r>
            <w:r w:rsidRPr="004D0DAA">
              <w:rPr>
                <w:lang w:eastAsia="en-US"/>
              </w:rPr>
              <w:tab/>
              <w:t>&lt; Packet DBPSCH Assignment message content &gt; |</w:t>
            </w:r>
          </w:p>
          <w:p w14:paraId="1579772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01111 &gt;</w:t>
            </w:r>
            <w:r w:rsidRPr="004D0DAA">
              <w:rPr>
                <w:lang w:eastAsia="en-US"/>
              </w:rPr>
              <w:tab/>
              <w:t>&lt; Multiple TBF Downlink Assignment message content &gt; |</w:t>
            </w:r>
          </w:p>
          <w:p w14:paraId="6FDBB74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10000 &gt;</w:t>
            </w:r>
            <w:r w:rsidRPr="004D0DAA">
              <w:rPr>
                <w:lang w:eastAsia="en-US"/>
              </w:rPr>
              <w:tab/>
              <w:t>&lt; Multiple TBF Uplink Assignment message content &gt; |</w:t>
            </w:r>
          </w:p>
          <w:p w14:paraId="5B120E0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10001 &gt;</w:t>
            </w:r>
            <w:r w:rsidRPr="004D0DAA">
              <w:rPr>
                <w:lang w:eastAsia="en-US"/>
              </w:rPr>
              <w:tab/>
              <w:t>&lt; Multiple TBF Timeslot Reconfigure message content &gt; |</w:t>
            </w:r>
          </w:p>
          <w:p w14:paraId="5EB1257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MESSAGE_TYPE</w:t>
            </w:r>
            <w:r w:rsidRPr="004D0DAA">
              <w:rPr>
                <w:lang w:eastAsia="en-US"/>
              </w:rPr>
              <w:t> : bit (6) == 0 10011 &gt;</w:t>
            </w:r>
            <w:r w:rsidRPr="004D0DAA">
              <w:rPr>
                <w:lang w:eastAsia="en-US"/>
              </w:rPr>
              <w:tab/>
              <w:t>&lt; MBMS MS_ID Assignment message content &gt; |</w:t>
            </w:r>
            <w:r w:rsidRPr="004D0DAA">
              <w:rPr>
                <w:lang w:eastAsia="en-US"/>
              </w:rPr>
              <w:tab/>
              <w:t xml:space="preserve">-- </w:t>
            </w:r>
            <w:r w:rsidRPr="004D0DAA">
              <w:rPr>
                <w:i/>
                <w:iCs/>
                <w:lang w:eastAsia="en-US"/>
              </w:rPr>
              <w:t>PACCH only</w:t>
            </w:r>
          </w:p>
          <w:p w14:paraId="4CF6466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MESSAGE_TYPE</w:t>
            </w:r>
            <w:r w:rsidRPr="004D0DAA">
              <w:rPr>
                <w:lang w:eastAsia="en-US"/>
              </w:rPr>
              <w:t> : bit (6) == 0 10100 &gt;</w:t>
            </w:r>
            <w:r w:rsidRPr="004D0DAA">
              <w:rPr>
                <w:lang w:eastAsia="en-US"/>
              </w:rPr>
              <w:tab/>
              <w:t>&lt; MBMS Assignment (Non-distribution) message content &gt; |</w:t>
            </w:r>
          </w:p>
          <w:p w14:paraId="1EF7BBE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10101 &gt;</w:t>
            </w:r>
            <w:r w:rsidRPr="004D0DAA">
              <w:rPr>
                <w:lang w:eastAsia="en-US"/>
              </w:rPr>
              <w:tab/>
              <w:t>&lt; PS Handover Command message content &gt; |</w:t>
            </w:r>
            <w:r w:rsidRPr="004D0DAA">
              <w:rPr>
                <w:lang w:eastAsia="en-US"/>
              </w:rPr>
              <w:tab/>
              <w:t xml:space="preserve"> </w:t>
            </w:r>
            <w:r w:rsidRPr="004D0DAA">
              <w:rPr>
                <w:lang w:eastAsia="en-US"/>
              </w:rPr>
              <w:tab/>
              <w:t xml:space="preserve">-- </w:t>
            </w:r>
            <w:r w:rsidRPr="004D0DAA">
              <w:rPr>
                <w:i/>
                <w:iCs/>
                <w:lang w:eastAsia="en-US"/>
              </w:rPr>
              <w:t>PACCH only</w:t>
            </w:r>
          </w:p>
          <w:p w14:paraId="20F068A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 10110 &gt;</w:t>
            </w:r>
            <w:r w:rsidRPr="004D0DAA">
              <w:rPr>
                <w:lang w:eastAsia="en-US"/>
              </w:rPr>
              <w:tab/>
              <w:t>&lt; Packet Physical Information message content &gt; |</w:t>
            </w:r>
            <w:r w:rsidRPr="004D0DAA">
              <w:rPr>
                <w:lang w:eastAsia="en-US"/>
              </w:rPr>
              <w:tab/>
              <w:t xml:space="preserve"> -- </w:t>
            </w:r>
            <w:r w:rsidRPr="004D0DAA">
              <w:rPr>
                <w:i/>
                <w:iCs/>
                <w:lang w:eastAsia="en-US"/>
              </w:rPr>
              <w:t>PACCH only</w:t>
            </w:r>
          </w:p>
          <w:p w14:paraId="41EACEE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MESSAGE_TYPE</w:t>
            </w:r>
            <w:r w:rsidRPr="004D0DAA">
              <w:rPr>
                <w:lang w:eastAsia="en-US"/>
              </w:rPr>
              <w:t> : bit (6) == 0 10111 &gt;</w:t>
            </w:r>
            <w:r w:rsidRPr="004D0DAA">
              <w:rPr>
                <w:lang w:eastAsia="en-US"/>
              </w:rPr>
              <w:tab/>
              <w:t>&lt; DTM Handover Command message content &gt; |</w:t>
            </w:r>
            <w:r w:rsidRPr="004D0DAA">
              <w:rPr>
                <w:lang w:eastAsia="en-US"/>
              </w:rPr>
              <w:tab/>
              <w:t xml:space="preserve">-- </w:t>
            </w:r>
            <w:r w:rsidRPr="004D0DAA">
              <w:rPr>
                <w:i/>
                <w:iCs/>
                <w:lang w:eastAsia="en-US"/>
              </w:rPr>
              <w:t>PACCH only</w:t>
            </w:r>
          </w:p>
          <w:p w14:paraId="6810CC7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1 00101 &gt;</w:t>
            </w:r>
            <w:r w:rsidRPr="004D0DAA">
              <w:rPr>
                <w:lang w:eastAsia="en-US"/>
              </w:rPr>
              <w:tab/>
              <w:t>&lt; Packet Downlink Dummy Control Block message content &gt; |</w:t>
            </w:r>
          </w:p>
          <w:p w14:paraId="6780A275"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MESSAGE_TYPE</w:t>
            </w:r>
            <w:r w:rsidRPr="004D0DAA">
              <w:rPr>
                <w:lang w:val="fr-FR" w:eastAsia="en-US"/>
              </w:rPr>
              <w:t> : bit (6) == 1 10001 &gt;</w:t>
            </w:r>
            <w:r w:rsidRPr="004D0DAA">
              <w:rPr>
                <w:lang w:val="fr-FR" w:eastAsia="en-US"/>
              </w:rPr>
              <w:tab/>
              <w:t>&lt; PSI1 message content &gt; |</w:t>
            </w:r>
          </w:p>
          <w:p w14:paraId="4CE5494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10010 &gt;</w:t>
            </w:r>
            <w:r w:rsidRPr="004D0DAA">
              <w:rPr>
                <w:lang w:val="fr-FR" w:eastAsia="en-US"/>
              </w:rPr>
              <w:tab/>
              <w:t>&lt; PSI2 message content &gt; |</w:t>
            </w:r>
          </w:p>
          <w:p w14:paraId="133A1745"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10011 &gt;</w:t>
            </w:r>
            <w:r w:rsidRPr="004D0DAA">
              <w:rPr>
                <w:lang w:val="fr-FR" w:eastAsia="en-US"/>
              </w:rPr>
              <w:tab/>
              <w:t>&lt; PSI3 message content &gt; |</w:t>
            </w:r>
          </w:p>
          <w:p w14:paraId="369B750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10100 &gt;</w:t>
            </w:r>
            <w:r w:rsidRPr="004D0DAA">
              <w:rPr>
                <w:lang w:val="fr-FR" w:eastAsia="en-US"/>
              </w:rPr>
              <w:tab/>
              <w:t>&lt; PSI3 bis message content &gt; |</w:t>
            </w:r>
          </w:p>
          <w:p w14:paraId="04E65C67"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MESSAGE_TYPE</w:t>
            </w:r>
            <w:r w:rsidRPr="004D0DAA">
              <w:rPr>
                <w:lang w:eastAsia="en-US"/>
              </w:rPr>
              <w:t> : bit (6) == 1 10101 &gt;</w:t>
            </w:r>
            <w:r w:rsidRPr="004D0DAA">
              <w:rPr>
                <w:lang w:eastAsia="en-US"/>
              </w:rPr>
              <w:tab/>
            </w:r>
            <w:r w:rsidRPr="004D0DAA">
              <w:rPr>
                <w:lang w:eastAsia="en-US"/>
              </w:rPr>
              <w:tab/>
              <w:t>reserved |</w:t>
            </w:r>
            <w:r w:rsidRPr="004D0DAA">
              <w:rPr>
                <w:lang w:eastAsia="en-US"/>
              </w:rPr>
              <w:tab/>
            </w:r>
            <w:r w:rsidRPr="004D0DAA">
              <w:rPr>
                <w:lang w:eastAsia="en-US"/>
              </w:rPr>
              <w:tab/>
            </w:r>
            <w:r w:rsidRPr="004D0DAA">
              <w:rPr>
                <w:lang w:eastAsia="en-US"/>
              </w:rPr>
              <w:tab/>
              <w:t xml:space="preserve">-- </w:t>
            </w:r>
            <w:r w:rsidRPr="004D0DAA">
              <w:rPr>
                <w:i/>
                <w:iCs/>
                <w:lang w:eastAsia="en-US"/>
              </w:rPr>
              <w:t>this value was allocated in an earlier</w:t>
            </w:r>
            <w:r w:rsidRPr="004D0DAA">
              <w:rPr>
                <w:i/>
                <w:iCs/>
                <w:lang w:eastAsia="en-US"/>
              </w:rPr>
              <w:br/>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version of the protocol and shall not be used</w:t>
            </w:r>
          </w:p>
          <w:p w14:paraId="14738561"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MESSAGE_TYPE</w:t>
            </w:r>
            <w:r w:rsidRPr="004D0DAA">
              <w:rPr>
                <w:lang w:val="fr-FR" w:eastAsia="en-US"/>
              </w:rPr>
              <w:t> : bit (6) == 1 10110 &gt;</w:t>
            </w:r>
            <w:r w:rsidRPr="004D0DAA">
              <w:rPr>
                <w:lang w:val="fr-FR" w:eastAsia="en-US"/>
              </w:rPr>
              <w:tab/>
              <w:t>&lt; PSI5 message content &gt; |</w:t>
            </w:r>
          </w:p>
          <w:p w14:paraId="2ED0A94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10000 &gt;</w:t>
            </w:r>
            <w:r w:rsidRPr="004D0DAA">
              <w:rPr>
                <w:lang w:val="fr-FR" w:eastAsia="en-US"/>
              </w:rPr>
              <w:tab/>
              <w:t>&lt; PSI6 message content &gt; |</w:t>
            </w:r>
          </w:p>
          <w:p w14:paraId="15FB4790"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11000 &gt;</w:t>
            </w:r>
            <w:r w:rsidRPr="004D0DAA">
              <w:rPr>
                <w:lang w:val="fr-FR" w:eastAsia="en-US"/>
              </w:rPr>
              <w:tab/>
              <w:t>&lt; PSI7 message content &gt; |</w:t>
            </w:r>
          </w:p>
          <w:p w14:paraId="63F52452"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11001 &gt;</w:t>
            </w:r>
            <w:r w:rsidRPr="004D0DAA">
              <w:rPr>
                <w:lang w:val="fr-FR" w:eastAsia="en-US"/>
              </w:rPr>
              <w:tab/>
              <w:t>&lt; PSI8 message content &gt; |</w:t>
            </w:r>
          </w:p>
          <w:p w14:paraId="4E7F42CB"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10111 &gt;</w:t>
            </w:r>
            <w:r w:rsidRPr="004D0DAA">
              <w:rPr>
                <w:lang w:val="fr-FR" w:eastAsia="en-US"/>
              </w:rPr>
              <w:tab/>
              <w:t>&lt; PSI13 message content &gt; |</w:t>
            </w:r>
          </w:p>
          <w:p w14:paraId="033239E5"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11010 &gt;</w:t>
            </w:r>
            <w:r w:rsidRPr="004D0DAA">
              <w:rPr>
                <w:lang w:val="fr-FR" w:eastAsia="en-US"/>
              </w:rPr>
              <w:tab/>
              <w:t>&lt; PSI14 message content &gt; |</w:t>
            </w:r>
          </w:p>
          <w:p w14:paraId="38E3B8F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11100 &gt;</w:t>
            </w:r>
            <w:r w:rsidRPr="004D0DAA">
              <w:rPr>
                <w:lang w:val="fr-FR" w:eastAsia="en-US"/>
              </w:rPr>
              <w:tab/>
              <w:t>&lt; PSI3 ter message content &gt; |</w:t>
            </w:r>
          </w:p>
          <w:p w14:paraId="133CC7F6"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11101 &gt;</w:t>
            </w:r>
            <w:r w:rsidRPr="004D0DAA">
              <w:rPr>
                <w:lang w:val="fr-FR" w:eastAsia="en-US"/>
              </w:rPr>
              <w:tab/>
              <w:t>&lt; PSI3 quater message content &gt; |</w:t>
            </w:r>
          </w:p>
          <w:p w14:paraId="1DCFF120"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11110 &gt;</w:t>
            </w:r>
            <w:r w:rsidRPr="004D0DAA">
              <w:rPr>
                <w:lang w:val="fr-FR" w:eastAsia="en-US"/>
              </w:rPr>
              <w:tab/>
              <w:t>&lt; PSI15 message content &gt; |</w:t>
            </w:r>
          </w:p>
          <w:p w14:paraId="4D621A69"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1 01000 &gt;</w:t>
            </w:r>
            <w:r w:rsidRPr="004D0DAA">
              <w:rPr>
                <w:lang w:val="fr-FR" w:eastAsia="en-US"/>
              </w:rPr>
              <w:tab/>
              <w:t>&lt; PSI16 message content &gt; |</w:t>
            </w:r>
          </w:p>
          <w:p w14:paraId="479C1A6A"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00000 &gt;</w:t>
            </w:r>
            <w:r w:rsidRPr="004D0DAA">
              <w:rPr>
                <w:lang w:val="fr-FR" w:eastAsia="en-US"/>
              </w:rPr>
              <w:tab/>
              <w:t>&lt; Packet Serving Cell SI message content &gt; |</w:t>
            </w:r>
          </w:p>
          <w:p w14:paraId="4AAE4067"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00111 &gt;</w:t>
            </w:r>
            <w:r w:rsidRPr="004D0DAA">
              <w:rPr>
                <w:lang w:val="fr-FR" w:eastAsia="en-US"/>
              </w:rPr>
              <w:tab/>
              <w:t>&lt; Packet CS Command message content &gt; |</w:t>
            </w:r>
          </w:p>
          <w:p w14:paraId="19E99ED7"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01001 &gt;</w:t>
            </w:r>
            <w:r w:rsidRPr="004D0DAA">
              <w:rPr>
                <w:lang w:val="fr-FR" w:eastAsia="en-US"/>
              </w:rPr>
              <w:tab/>
              <w:t>&lt; Packet CS Release Indication message content &gt; |</w:t>
            </w:r>
          </w:p>
          <w:p w14:paraId="327F5567"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01010 &gt;</w:t>
            </w:r>
            <w:r w:rsidRPr="004D0DAA">
              <w:rPr>
                <w:lang w:val="fr-FR" w:eastAsia="en-US"/>
              </w:rPr>
              <w:tab/>
              <w:t>&lt; MBMS Assignment (Distribution) message content &gt; |</w:t>
            </w:r>
          </w:p>
          <w:p w14:paraId="59FC2C34"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01011 &gt;</w:t>
            </w:r>
            <w:r w:rsidRPr="004D0DAA">
              <w:rPr>
                <w:lang w:val="fr-FR" w:eastAsia="en-US"/>
              </w:rPr>
              <w:tab/>
              <w:t>&lt; MBMS Neighbouring Cell Information message content &gt;|</w:t>
            </w:r>
          </w:p>
          <w:p w14:paraId="3A38B449"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MESSAGE_TYPE</w:t>
            </w:r>
            <w:r w:rsidRPr="004D0DAA">
              <w:rPr>
                <w:lang w:val="fr-FR" w:eastAsia="en-US"/>
              </w:rPr>
              <w:t> : bit (6) == 1 01100 &gt;</w:t>
            </w:r>
            <w:r w:rsidRPr="004D0DAA">
              <w:rPr>
                <w:lang w:val="fr-FR" w:eastAsia="en-US"/>
              </w:rPr>
              <w:tab/>
              <w:t>&lt; Packet MBMS Announcement message content &gt;</w:t>
            </w:r>
          </w:p>
          <w:p w14:paraId="2C6935DA"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MESSAGE_TYPE</w:t>
            </w:r>
            <w:r w:rsidRPr="004D0DAA">
              <w:rPr>
                <w:lang w:eastAsia="en-US"/>
              </w:rPr>
              <w:t xml:space="preserve"> : bit (6) == 1 01101 &gt; &lt; Packet Application Information message content &gt;</w:t>
            </w:r>
          </w:p>
          <w:p w14:paraId="5B43C429" w14:textId="77777777" w:rsidR="00711444" w:rsidRPr="004D0DAA" w:rsidRDefault="00711444" w:rsidP="00AA2A4C">
            <w:pPr>
              <w:pStyle w:val="TAL"/>
              <w:rPr>
                <w:lang w:eastAsia="en-US"/>
              </w:rPr>
            </w:pPr>
            <w:r w:rsidRPr="004D0DAA">
              <w:rPr>
                <w:lang w:eastAsia="en-US"/>
              </w:rPr>
              <w:tab/>
              <w:t>! &lt; Unknown message type : { bit (6) = &lt; no string &gt; } &lt; Default downlink message content &gt; &gt; ;</w:t>
            </w:r>
          </w:p>
        </w:tc>
      </w:tr>
    </w:tbl>
    <w:p w14:paraId="301657AD" w14:textId="77777777" w:rsidR="00711444" w:rsidRPr="004D0DAA" w:rsidRDefault="00711444" w:rsidP="00711444"/>
    <w:p w14:paraId="642E4CB4" w14:textId="77777777" w:rsidR="00711444" w:rsidRPr="004D0DAA" w:rsidRDefault="00711444" w:rsidP="00711444">
      <w:pPr>
        <w:pStyle w:val="NO"/>
      </w:pPr>
      <w:r w:rsidRPr="004D0DAA">
        <w:t xml:space="preserve">NOTE: </w:t>
      </w:r>
      <w:r w:rsidRPr="004D0DAA">
        <w:tab/>
        <w:t>the MESSAGE_TYPE "010010" is reserved for the PHYSICAL INFORMATION message on DBPSCH only.</w:t>
      </w:r>
    </w:p>
    <w:p w14:paraId="5F4192D2" w14:textId="77777777" w:rsidR="00711444" w:rsidRPr="004D0DAA" w:rsidRDefault="00711444" w:rsidP="00711444">
      <w:r w:rsidRPr="004D0DAA">
        <w:t>The 'Default downlink message contents', for messages that are not sent on the EC-PACCH, consists of the Page Mode information and an unspecified bit string that expands to the end of the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1D07724" w14:textId="77777777" w:rsidTr="00AA2A4C">
        <w:tblPrEx>
          <w:tblCellMar>
            <w:top w:w="0" w:type="dxa"/>
            <w:bottom w:w="0" w:type="dxa"/>
          </w:tblCellMar>
        </w:tblPrEx>
        <w:trPr>
          <w:cantSplit/>
        </w:trPr>
        <w:tc>
          <w:tcPr>
            <w:tcW w:w="9848" w:type="dxa"/>
          </w:tcPr>
          <w:p w14:paraId="71AA5EAC" w14:textId="77777777" w:rsidR="00711444" w:rsidRPr="004D0DAA" w:rsidRDefault="00711444" w:rsidP="00AA2A4C">
            <w:pPr>
              <w:pStyle w:val="TAL"/>
              <w:rPr>
                <w:lang w:eastAsia="en-US"/>
              </w:rPr>
            </w:pPr>
            <w:r w:rsidRPr="004D0DAA">
              <w:rPr>
                <w:lang w:eastAsia="en-US"/>
              </w:rPr>
              <w:lastRenderedPageBreak/>
              <w:t>&lt; Default downlink message content &gt; ::=</w:t>
            </w:r>
          </w:p>
          <w:p w14:paraId="2FFEEB44" w14:textId="77777777" w:rsidR="00711444" w:rsidRPr="004D0DAA" w:rsidRDefault="00711444" w:rsidP="00AA2A4C">
            <w:pPr>
              <w:pStyle w:val="TAL"/>
              <w:rPr>
                <w:lang w:eastAsia="en-US"/>
              </w:rPr>
            </w:pPr>
            <w:r w:rsidRPr="004D0DAA">
              <w:rPr>
                <w:lang w:eastAsia="en-US"/>
              </w:rPr>
              <w:tab/>
              <w:t>&lt; PAGE_MODE : bit (2) &gt;</w:t>
            </w:r>
          </w:p>
          <w:p w14:paraId="61945011" w14:textId="77777777" w:rsidR="00711444" w:rsidRPr="004D0DAA" w:rsidRDefault="00711444" w:rsidP="00AA2A4C">
            <w:pPr>
              <w:pStyle w:val="TAL"/>
              <w:rPr>
                <w:lang w:eastAsia="en-US"/>
              </w:rPr>
            </w:pPr>
            <w:r w:rsidRPr="004D0DAA">
              <w:rPr>
                <w:lang w:eastAsia="en-US"/>
              </w:rPr>
              <w:tab/>
              <w:t>bit (*) = &lt; no string &gt; ;</w:t>
            </w:r>
          </w:p>
        </w:tc>
      </w:tr>
    </w:tbl>
    <w:p w14:paraId="05776730" w14:textId="77777777" w:rsidR="00711444" w:rsidRPr="004D0DAA" w:rsidRDefault="00711444" w:rsidP="00711444"/>
    <w:p w14:paraId="50BE5E60" w14:textId="77777777" w:rsidR="00711444" w:rsidRPr="004D0DAA" w:rsidRDefault="00711444" w:rsidP="00711444">
      <w:r w:rsidRPr="004D0DAA">
        <w:t>The encoding of the Page Mode information is defined in</w:t>
      </w:r>
      <w:r w:rsidRPr="004D0DAA">
        <w:rPr>
          <w:i/>
        </w:rPr>
        <w:t xml:space="preserve"> </w:t>
      </w:r>
      <w:r w:rsidRPr="004D0DAA">
        <w:rPr>
          <w:iCs/>
        </w:rPr>
        <w:t>sub-clause</w:t>
      </w:r>
      <w:r w:rsidRPr="004D0DAA">
        <w:t xml:space="preserve"> 12.20.</w:t>
      </w:r>
    </w:p>
    <w:p w14:paraId="32375CB9" w14:textId="77777777" w:rsidR="00711444" w:rsidRPr="004D0DAA" w:rsidRDefault="00711444" w:rsidP="00711444">
      <w:pPr>
        <w:keepNext/>
      </w:pPr>
      <w:r w:rsidRPr="004D0DAA">
        <w:t>Downlink RLC/MAC control messages sent on EC-PACCH are received in RLC/MAC control block format. The different types of messages on the EC-PACCH are distinguished by the MESSAGE_TYPE field.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D2BC0F0" w14:textId="77777777" w:rsidTr="00AA2A4C">
        <w:tblPrEx>
          <w:tblCellMar>
            <w:top w:w="0" w:type="dxa"/>
            <w:bottom w:w="0" w:type="dxa"/>
          </w:tblCellMar>
        </w:tblPrEx>
        <w:trPr>
          <w:cantSplit/>
        </w:trPr>
        <w:tc>
          <w:tcPr>
            <w:tcW w:w="9848" w:type="dxa"/>
          </w:tcPr>
          <w:p w14:paraId="10ECE280" w14:textId="77777777" w:rsidR="00711444" w:rsidRPr="004D0DAA" w:rsidRDefault="00711444" w:rsidP="00AA2A4C">
            <w:pPr>
              <w:pStyle w:val="TAL"/>
              <w:rPr>
                <w:lang w:eastAsia="en-US"/>
              </w:rPr>
            </w:pPr>
            <w:r w:rsidRPr="004D0DAA">
              <w:rPr>
                <w:lang w:eastAsia="en-US"/>
              </w:rPr>
              <w:t>&lt; Downlink RLC/MAC control message on EC-PACCH &gt; ::=</w:t>
            </w:r>
          </w:p>
          <w:p w14:paraId="6ABA124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1 0001 &gt;</w:t>
            </w:r>
            <w:r w:rsidRPr="004D0DAA">
              <w:rPr>
                <w:lang w:eastAsia="en-US"/>
              </w:rPr>
              <w:tab/>
              <w:t>&lt; EC Packet Access Reject message content &gt; |</w:t>
            </w:r>
          </w:p>
          <w:p w14:paraId="7F5D10F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 0001 &gt;</w:t>
            </w:r>
            <w:r w:rsidRPr="004D0DAA">
              <w:rPr>
                <w:lang w:eastAsia="en-US"/>
              </w:rPr>
              <w:tab/>
              <w:t>&lt; EC Packet Downlink Assignment message content &gt; |</w:t>
            </w:r>
          </w:p>
          <w:p w14:paraId="3060399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 0010 &gt;</w:t>
            </w:r>
            <w:r w:rsidRPr="004D0DAA">
              <w:rPr>
                <w:lang w:eastAsia="en-US"/>
              </w:rPr>
              <w:tab/>
              <w:t>&lt; EC Packet Polling Request message content &gt; |</w:t>
            </w:r>
          </w:p>
          <w:p w14:paraId="768DD3F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 0011 &gt;</w:t>
            </w:r>
            <w:r w:rsidRPr="004D0DAA">
              <w:rPr>
                <w:lang w:eastAsia="en-US"/>
              </w:rPr>
              <w:tab/>
              <w:t>&lt; EC Packet Power Control/Timing Advance message content &gt; |</w:t>
            </w:r>
          </w:p>
          <w:p w14:paraId="3A0A2FA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 0100 &gt;</w:t>
            </w:r>
            <w:r w:rsidRPr="004D0DAA">
              <w:rPr>
                <w:lang w:eastAsia="en-US"/>
              </w:rPr>
              <w:tab/>
              <w:t>&lt; EC Packet TBF Release message content &gt; |</w:t>
            </w:r>
          </w:p>
          <w:p w14:paraId="33D21F9C" w14:textId="77777777" w:rsidR="00711444" w:rsidRPr="004D0DAA" w:rsidRDefault="00711444" w:rsidP="00AA2A4C">
            <w:pPr>
              <w:pStyle w:val="TAL"/>
              <w:rPr>
                <w:i/>
                <w:iCs/>
                <w:lang w:eastAsia="en-US"/>
              </w:rPr>
            </w:pPr>
            <w:r w:rsidRPr="004D0DAA">
              <w:rPr>
                <w:lang w:eastAsia="en-US"/>
              </w:rPr>
              <w:tab/>
              <w:t xml:space="preserve">&lt; </w:t>
            </w:r>
            <w:r w:rsidRPr="004D0DAA">
              <w:rPr>
                <w:b/>
                <w:lang w:eastAsia="en-US"/>
              </w:rPr>
              <w:t>MESSAGE_TYPE</w:t>
            </w:r>
            <w:r w:rsidRPr="004D0DAA">
              <w:rPr>
                <w:lang w:eastAsia="en-US"/>
              </w:rPr>
              <w:t> : bit (5) == 0 0101 &gt;</w:t>
            </w:r>
            <w:r w:rsidRPr="004D0DAA">
              <w:rPr>
                <w:lang w:eastAsia="en-US"/>
              </w:rPr>
              <w:tab/>
              <w:t>&lt; EC Packet Uplink Ack/Nack message content &gt; |</w:t>
            </w:r>
          </w:p>
          <w:p w14:paraId="1F1381A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 0110 &gt;</w:t>
            </w:r>
            <w:r w:rsidRPr="004D0DAA">
              <w:rPr>
                <w:lang w:eastAsia="en-US"/>
              </w:rPr>
              <w:tab/>
              <w:t>&lt; EC Packet Uplink Assignment message content &gt; |</w:t>
            </w:r>
          </w:p>
          <w:p w14:paraId="4A60F526" w14:textId="77777777" w:rsidR="00711444" w:rsidRPr="004D0DAA" w:rsidRDefault="00711444" w:rsidP="00AA2A4C">
            <w:pPr>
              <w:pStyle w:val="TAL"/>
              <w:rPr>
                <w:i/>
                <w:iCs/>
                <w:lang w:eastAsia="en-US"/>
              </w:rPr>
            </w:pPr>
            <w:r w:rsidRPr="004D0DAA">
              <w:rPr>
                <w:lang w:eastAsia="en-US"/>
              </w:rPr>
              <w:tab/>
              <w:t xml:space="preserve">&lt; </w:t>
            </w:r>
            <w:r w:rsidRPr="004D0DAA">
              <w:rPr>
                <w:b/>
                <w:lang w:eastAsia="en-US"/>
              </w:rPr>
              <w:t>MESSAGE_TYPE</w:t>
            </w:r>
            <w:r w:rsidRPr="004D0DAA">
              <w:rPr>
                <w:lang w:eastAsia="en-US"/>
              </w:rPr>
              <w:t> : bit (5) == 0 0111 &gt;</w:t>
            </w:r>
            <w:r w:rsidRPr="004D0DAA">
              <w:rPr>
                <w:lang w:eastAsia="en-US"/>
              </w:rPr>
              <w:tab/>
              <w:t>&lt; EC Packet Uplink Ack/Nack and Contention Resolution message content &gt; |</w:t>
            </w:r>
          </w:p>
          <w:p w14:paraId="04A98FB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1 0010 &gt;</w:t>
            </w:r>
            <w:r w:rsidRPr="004D0DAA">
              <w:rPr>
                <w:lang w:eastAsia="en-US"/>
              </w:rPr>
              <w:tab/>
              <w:t>&lt; EC Packet Downlink Dummy Control Block message content &gt;</w:t>
            </w:r>
          </w:p>
          <w:p w14:paraId="77FB424F" w14:textId="77777777" w:rsidR="00711444" w:rsidRPr="004D0DAA" w:rsidRDefault="00711444" w:rsidP="00AA2A4C">
            <w:pPr>
              <w:pStyle w:val="TAL"/>
              <w:rPr>
                <w:lang w:eastAsia="en-US"/>
              </w:rPr>
            </w:pPr>
            <w:r w:rsidRPr="004D0DAA">
              <w:rPr>
                <w:lang w:eastAsia="en-US"/>
              </w:rPr>
              <w:tab/>
              <w:t>! &lt; Unknown message type : { bit (5) = &lt; no string &gt; } &lt; Default downlink message content &gt; &gt; ;</w:t>
            </w:r>
          </w:p>
        </w:tc>
      </w:tr>
    </w:tbl>
    <w:p w14:paraId="1295BB4A" w14:textId="77777777" w:rsidR="00711444" w:rsidRPr="004D0DAA" w:rsidRDefault="00711444" w:rsidP="00711444"/>
    <w:p w14:paraId="153EC25A" w14:textId="77777777" w:rsidR="00711444" w:rsidRPr="004D0DAA" w:rsidRDefault="00711444" w:rsidP="00711444">
      <w:r w:rsidRPr="004D0DAA">
        <w:t>The 'Default downlink message contents' for messages that are sent on the EC-PACCH consists of the Used DL Coverage Class information and an unspecified bit string that expands to the end of the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029B16" w14:textId="77777777" w:rsidTr="00AA2A4C">
        <w:tblPrEx>
          <w:tblCellMar>
            <w:top w:w="0" w:type="dxa"/>
            <w:bottom w:w="0" w:type="dxa"/>
          </w:tblCellMar>
        </w:tblPrEx>
        <w:trPr>
          <w:cantSplit/>
        </w:trPr>
        <w:tc>
          <w:tcPr>
            <w:tcW w:w="9848" w:type="dxa"/>
          </w:tcPr>
          <w:p w14:paraId="23B2C094" w14:textId="77777777" w:rsidR="00711444" w:rsidRPr="004D0DAA" w:rsidRDefault="00711444" w:rsidP="00AA2A4C">
            <w:pPr>
              <w:pStyle w:val="TAL"/>
              <w:rPr>
                <w:lang w:eastAsia="en-US"/>
              </w:rPr>
            </w:pPr>
            <w:r w:rsidRPr="004D0DAA">
              <w:rPr>
                <w:lang w:eastAsia="en-US"/>
              </w:rPr>
              <w:t>&lt; Default downlink message content &gt; ::=</w:t>
            </w:r>
          </w:p>
          <w:p w14:paraId="1B92A4FE" w14:textId="77777777" w:rsidR="00711444" w:rsidRPr="004D0DAA" w:rsidRDefault="00711444" w:rsidP="00AA2A4C">
            <w:pPr>
              <w:pStyle w:val="TAL"/>
              <w:rPr>
                <w:lang w:eastAsia="en-US"/>
              </w:rPr>
            </w:pPr>
            <w:r w:rsidRPr="004D0DAA">
              <w:rPr>
                <w:lang w:eastAsia="en-US"/>
              </w:rPr>
              <w:tab/>
              <w:t>&lt; USED_DL_COVERAGE_CLASS : bit (2) &gt;</w:t>
            </w:r>
          </w:p>
          <w:p w14:paraId="63D052BA" w14:textId="77777777" w:rsidR="00711444" w:rsidRPr="004D0DAA" w:rsidRDefault="00711444" w:rsidP="00AA2A4C">
            <w:pPr>
              <w:pStyle w:val="TAL"/>
              <w:rPr>
                <w:lang w:eastAsia="en-US"/>
              </w:rPr>
            </w:pPr>
            <w:r w:rsidRPr="004D0DAA">
              <w:rPr>
                <w:lang w:eastAsia="en-US"/>
              </w:rPr>
              <w:tab/>
              <w:t>bit (*) = &lt; no string &gt; ;</w:t>
            </w:r>
          </w:p>
        </w:tc>
      </w:tr>
    </w:tbl>
    <w:p w14:paraId="61047BF3" w14:textId="77777777" w:rsidR="00711444" w:rsidRPr="004D0DAA" w:rsidRDefault="00711444" w:rsidP="00711444"/>
    <w:p w14:paraId="0413F4C5" w14:textId="77777777" w:rsidR="00711444" w:rsidRPr="004D0DAA" w:rsidRDefault="00711444" w:rsidP="00711444">
      <w:r w:rsidRPr="004D0DAA">
        <w:t>The encoding of the Used DL Coverage Class information element is defined in</w:t>
      </w:r>
      <w:r w:rsidRPr="004D0DAA">
        <w:rPr>
          <w:i/>
        </w:rPr>
        <w:t xml:space="preserve"> </w:t>
      </w:r>
      <w:r w:rsidRPr="004D0DAA">
        <w:rPr>
          <w:iCs/>
        </w:rPr>
        <w:t>sub-clause</w:t>
      </w:r>
      <w:r w:rsidRPr="004D0DAA">
        <w:t xml:space="preserve"> 12.71.</w:t>
      </w:r>
    </w:p>
    <w:p w14:paraId="0CA1D4BB" w14:textId="77777777" w:rsidR="00711444" w:rsidRPr="004D0DAA" w:rsidRDefault="00711444" w:rsidP="00711444">
      <w:pPr>
        <w:pStyle w:val="Heading4"/>
      </w:pPr>
      <w:bookmarkStart w:id="644" w:name="_Toc516669822"/>
      <w:r w:rsidRPr="004D0DAA">
        <w:t>11.2.0.2</w:t>
      </w:r>
      <w:r w:rsidRPr="004D0DAA">
        <w:tab/>
        <w:t>Uplink RLC/MAC messages</w:t>
      </w:r>
      <w:bookmarkEnd w:id="644"/>
    </w:p>
    <w:p w14:paraId="376AAF06" w14:textId="77777777" w:rsidR="00711444" w:rsidRPr="004D0DAA" w:rsidRDefault="00711444" w:rsidP="00711444">
      <w:pPr>
        <w:keepNext/>
      </w:pPr>
      <w:r w:rsidRPr="004D0DAA">
        <w:t>Uplink RLC/MAC control messages, except those using the access burst formats, are received in the RLC/MAC control block format. The different types of messages are distinguished by the MESSAGE_TYPE field.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8D26511" w14:textId="77777777" w:rsidTr="00AA2A4C">
        <w:tblPrEx>
          <w:tblCellMar>
            <w:top w:w="0" w:type="dxa"/>
            <w:bottom w:w="0" w:type="dxa"/>
          </w:tblCellMar>
        </w:tblPrEx>
        <w:trPr>
          <w:cantSplit/>
        </w:trPr>
        <w:tc>
          <w:tcPr>
            <w:tcW w:w="9848" w:type="dxa"/>
          </w:tcPr>
          <w:p w14:paraId="12C94FA6" w14:textId="77777777" w:rsidR="00711444" w:rsidRPr="004D0DAA" w:rsidRDefault="00711444" w:rsidP="00AA2A4C">
            <w:pPr>
              <w:pStyle w:val="TAL"/>
              <w:rPr>
                <w:lang w:eastAsia="en-US"/>
              </w:rPr>
            </w:pPr>
            <w:r w:rsidRPr="004D0DAA">
              <w:rPr>
                <w:lang w:eastAsia="en-US"/>
              </w:rPr>
              <w:t>&lt; Uplink RLC/MAC control message &gt; ::=</w:t>
            </w:r>
          </w:p>
          <w:p w14:paraId="50015E4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000000 &gt;</w:t>
            </w:r>
            <w:r w:rsidRPr="004D0DAA">
              <w:rPr>
                <w:lang w:eastAsia="en-US"/>
              </w:rPr>
              <w:tab/>
              <w:t>&lt; Packet Cell Change Failure message content &gt; |</w:t>
            </w:r>
          </w:p>
          <w:p w14:paraId="5F8BCFB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000001 &gt;</w:t>
            </w:r>
            <w:r w:rsidRPr="004D0DAA">
              <w:rPr>
                <w:lang w:eastAsia="en-US"/>
              </w:rPr>
              <w:tab/>
              <w:t>&lt; Packet Control Acknowledgement message content &gt; |</w:t>
            </w:r>
          </w:p>
          <w:p w14:paraId="11ACA99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000010 &gt;</w:t>
            </w:r>
            <w:r w:rsidRPr="004D0DAA">
              <w:rPr>
                <w:lang w:eastAsia="en-US"/>
              </w:rPr>
              <w:tab/>
              <w:t>&lt; Packet Downlink Ack/Nack message content &gt; |</w:t>
            </w:r>
            <w:r w:rsidRPr="004D0DAA">
              <w:rPr>
                <w:lang w:eastAsia="en-US"/>
              </w:rPr>
              <w:tab/>
              <w:t xml:space="preserve">-- </w:t>
            </w:r>
            <w:r w:rsidRPr="004D0DAA">
              <w:rPr>
                <w:i/>
                <w:iCs/>
                <w:lang w:eastAsia="en-US"/>
              </w:rPr>
              <w:t>PACCH only</w:t>
            </w:r>
          </w:p>
          <w:p w14:paraId="27F23D2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000011 &gt;</w:t>
            </w:r>
            <w:r w:rsidRPr="004D0DAA">
              <w:rPr>
                <w:lang w:eastAsia="en-US"/>
              </w:rPr>
              <w:tab/>
              <w:t>&lt; Packet Uplink Dummy Control Block message content &gt; |</w:t>
            </w:r>
          </w:p>
          <w:p w14:paraId="1321B9D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000100 &gt;</w:t>
            </w:r>
            <w:r w:rsidRPr="004D0DAA">
              <w:rPr>
                <w:lang w:eastAsia="en-US"/>
              </w:rPr>
              <w:tab/>
              <w:t>&lt; Packet Measurement Report message content &gt; |</w:t>
            </w:r>
          </w:p>
          <w:p w14:paraId="0FE36CC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001010 &gt;</w:t>
            </w:r>
            <w:r w:rsidRPr="004D0DAA">
              <w:rPr>
                <w:lang w:eastAsia="en-US"/>
              </w:rPr>
              <w:tab/>
              <w:t>&lt; Packet Enhanced Measurement Report message content &gt; |</w:t>
            </w:r>
          </w:p>
          <w:p w14:paraId="22D1224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000101 &gt;</w:t>
            </w:r>
            <w:r w:rsidRPr="004D0DAA">
              <w:rPr>
                <w:lang w:eastAsia="en-US"/>
              </w:rPr>
              <w:tab/>
              <w:t>&lt; Packet Resource Request message content &gt; |</w:t>
            </w:r>
          </w:p>
          <w:p w14:paraId="4C1CCDA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000110 &gt;</w:t>
            </w:r>
            <w:r w:rsidRPr="004D0DAA">
              <w:rPr>
                <w:lang w:eastAsia="en-US"/>
              </w:rPr>
              <w:tab/>
              <w:t>&lt; Packet Mobile TBF Status message content &gt; |</w:t>
            </w:r>
          </w:p>
          <w:p w14:paraId="080AE4B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000111 &gt;</w:t>
            </w:r>
            <w:r w:rsidRPr="004D0DAA">
              <w:rPr>
                <w:lang w:eastAsia="en-US"/>
              </w:rPr>
              <w:tab/>
              <w:t>&lt; Packet PSI Status message content &gt; |</w:t>
            </w:r>
          </w:p>
          <w:p w14:paraId="24F5719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001000 &gt;</w:t>
            </w:r>
            <w:r w:rsidRPr="004D0DAA">
              <w:rPr>
                <w:lang w:eastAsia="en-US"/>
              </w:rPr>
              <w:tab/>
              <w:t>&lt; EGPRS Packet Downlink Ack/Nack message content &gt; |</w:t>
            </w:r>
          </w:p>
          <w:p w14:paraId="771456C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010001 &gt;</w:t>
            </w:r>
            <w:r w:rsidRPr="004D0DAA">
              <w:rPr>
                <w:lang w:eastAsia="en-US"/>
              </w:rPr>
              <w:tab/>
              <w:t>&lt; EGPRS Packet Downlink Ack/Nack Type 2 message content &gt; |</w:t>
            </w:r>
          </w:p>
          <w:p w14:paraId="6252A3E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010010 &gt;</w:t>
            </w:r>
            <w:r w:rsidRPr="004D0DAA">
              <w:rPr>
                <w:lang w:eastAsia="en-US"/>
              </w:rPr>
              <w:tab/>
              <w:t>&lt; EGPRS Packet Downlink Ack/Nack Type 3 message content &gt; |</w:t>
            </w:r>
          </w:p>
          <w:p w14:paraId="1765CB9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001001 &gt;</w:t>
            </w:r>
            <w:r w:rsidRPr="004D0DAA">
              <w:rPr>
                <w:lang w:eastAsia="en-US"/>
              </w:rPr>
              <w:tab/>
              <w:t>&lt; Packet Pause message content &gt; |</w:t>
            </w:r>
          </w:p>
          <w:p w14:paraId="373FA24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001011 &gt;</w:t>
            </w:r>
            <w:r w:rsidRPr="004D0DAA">
              <w:rPr>
                <w:lang w:eastAsia="en-US"/>
              </w:rPr>
              <w:tab/>
              <w:t>&lt; Additional MS Radio Access Capabilities message content &gt; |</w:t>
            </w:r>
          </w:p>
          <w:p w14:paraId="1F40D8B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(6) == 001100 &gt;</w:t>
            </w:r>
            <w:r w:rsidRPr="004D0DAA">
              <w:rPr>
                <w:lang w:eastAsia="en-US"/>
              </w:rPr>
              <w:tab/>
              <w:t>&lt; Packet Cell Change Notification message content &gt; |</w:t>
            </w:r>
          </w:p>
          <w:p w14:paraId="15C64E9B"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MESSAGE_TYPE</w:t>
            </w:r>
            <w:r w:rsidRPr="004D0DAA">
              <w:rPr>
                <w:lang w:val="fr-FR" w:eastAsia="en-US"/>
              </w:rPr>
              <w:t> : bit (6) == 001101 &gt;</w:t>
            </w:r>
            <w:r w:rsidRPr="004D0DAA">
              <w:rPr>
                <w:lang w:val="fr-FR" w:eastAsia="en-US"/>
              </w:rPr>
              <w:tab/>
              <w:t>&lt; Packet SI Status message content &gt; |</w:t>
            </w:r>
          </w:p>
          <w:p w14:paraId="73C24248"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001110 &gt;</w:t>
            </w:r>
            <w:r w:rsidRPr="004D0DAA">
              <w:rPr>
                <w:lang w:val="fr-FR" w:eastAsia="en-US"/>
              </w:rPr>
              <w:tab/>
              <w:t>&lt; Packet CS Request message content &gt; |</w:t>
            </w:r>
          </w:p>
          <w:p w14:paraId="7E75CA46"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MESSAGE_TYPE</w:t>
            </w:r>
            <w:r w:rsidRPr="004D0DAA">
              <w:rPr>
                <w:lang w:val="fr-FR" w:eastAsia="en-US"/>
              </w:rPr>
              <w:t> : bit (6) == 001111 &gt;</w:t>
            </w:r>
            <w:r w:rsidRPr="004D0DAA">
              <w:rPr>
                <w:lang w:val="fr-FR" w:eastAsia="en-US"/>
              </w:rPr>
              <w:tab/>
              <w:t>&lt; MBMS Service Request message content &gt; |</w:t>
            </w:r>
          </w:p>
          <w:p w14:paraId="07DDE508" w14:textId="77777777" w:rsidR="00711444" w:rsidRPr="004D0DAA" w:rsidRDefault="00711444" w:rsidP="00AA2A4C">
            <w:pPr>
              <w:pStyle w:val="TAL"/>
              <w:rPr>
                <w:lang w:val="fr-FR" w:eastAsia="en-US"/>
              </w:rPr>
            </w:pPr>
            <w:r w:rsidRPr="004D0DAA">
              <w:rPr>
                <w:lang w:val="fr-FR" w:eastAsia="en-US"/>
              </w:rPr>
              <w:t> </w:t>
            </w:r>
            <w:r w:rsidRPr="004D0DAA">
              <w:rPr>
                <w:lang w:val="fr-FR" w:eastAsia="en-US"/>
              </w:rPr>
              <w:tab/>
              <w:t xml:space="preserve">&lt; </w:t>
            </w:r>
            <w:r w:rsidRPr="004D0DAA">
              <w:rPr>
                <w:b/>
                <w:bCs/>
                <w:lang w:val="fr-FR" w:eastAsia="en-US"/>
              </w:rPr>
              <w:t xml:space="preserve">MESSAGE_TYPE </w:t>
            </w:r>
            <w:r w:rsidRPr="004D0DAA">
              <w:rPr>
                <w:lang w:val="fr-FR" w:eastAsia="en-US"/>
              </w:rPr>
              <w:t>: bit (6) == 010000 &gt;</w:t>
            </w:r>
            <w:r w:rsidRPr="004D0DAA">
              <w:rPr>
                <w:lang w:val="fr-FR" w:eastAsia="en-US"/>
              </w:rPr>
              <w:tab/>
              <w:t>&lt; MBMS Downlink Ack/Nack message content &gt; |</w:t>
            </w:r>
          </w:p>
          <w:p w14:paraId="66A81249" w14:textId="77777777" w:rsidR="00711444" w:rsidRPr="004D0DAA" w:rsidRDefault="00711444" w:rsidP="00AA2A4C">
            <w:pPr>
              <w:pStyle w:val="TAL"/>
              <w:rPr>
                <w:lang w:val="en-US" w:eastAsia="en-US"/>
              </w:rPr>
            </w:pPr>
            <w:r w:rsidRPr="004D0DAA">
              <w:rPr>
                <w:lang w:val="fr-FR" w:eastAsia="en-US"/>
              </w:rPr>
              <w:t> </w:t>
            </w:r>
            <w:r w:rsidRPr="004D0DAA">
              <w:rPr>
                <w:lang w:val="fr-FR" w:eastAsia="en-US"/>
              </w:rPr>
              <w:tab/>
            </w:r>
            <w:r w:rsidRPr="004D0DAA">
              <w:rPr>
                <w:lang w:eastAsia="en-US"/>
              </w:rPr>
              <w:t xml:space="preserve">&lt; </w:t>
            </w:r>
            <w:r w:rsidRPr="004D0DAA">
              <w:rPr>
                <w:b/>
                <w:bCs/>
                <w:lang w:eastAsia="en-US"/>
              </w:rPr>
              <w:t xml:space="preserve">MESSAGE_TYPE </w:t>
            </w:r>
            <w:r w:rsidRPr="004D0DAA">
              <w:rPr>
                <w:lang w:eastAsia="en-US"/>
              </w:rPr>
              <w:t>: bit (6) == 010011 &gt;</w:t>
            </w:r>
            <w:r w:rsidRPr="004D0DAA">
              <w:rPr>
                <w:lang w:eastAsia="en-US"/>
              </w:rPr>
              <w:tab/>
              <w:t>&lt; EGPRS Packet Downlink Ack/Nack DLMC message content &gt;</w:t>
            </w:r>
            <w:r w:rsidRPr="004D0DAA">
              <w:rPr>
                <w:lang w:val="en-US" w:eastAsia="en-US"/>
              </w:rPr>
              <w:t>;</w:t>
            </w:r>
          </w:p>
        </w:tc>
      </w:tr>
    </w:tbl>
    <w:p w14:paraId="1A7C2242" w14:textId="77777777" w:rsidR="00711444" w:rsidRPr="004D0DAA" w:rsidRDefault="00711444" w:rsidP="00711444">
      <w:pPr>
        <w:rPr>
          <w:lang w:val="en-US"/>
        </w:rPr>
      </w:pPr>
    </w:p>
    <w:p w14:paraId="273AF2BA" w14:textId="77777777" w:rsidR="00711444" w:rsidRPr="004D0DAA" w:rsidRDefault="00711444" w:rsidP="00711444">
      <w:r w:rsidRPr="004D0DAA">
        <w:t>Messages using the access burst formats (11-bit and 8-bit formats) are defined in</w:t>
      </w:r>
      <w:r w:rsidRPr="004D0DAA">
        <w:rPr>
          <w:i/>
        </w:rPr>
        <w:t xml:space="preserve"> </w:t>
      </w:r>
      <w:r w:rsidRPr="004D0DAA">
        <w:rPr>
          <w:iCs/>
        </w:rPr>
        <w:t>sub-clause</w:t>
      </w:r>
      <w:r w:rsidRPr="004D0DAA">
        <w:t xml:space="preserve">s 11.2.2 11.2.5, </w:t>
      </w:r>
      <w:r w:rsidRPr="004D0DAA">
        <w:rPr>
          <w:rFonts w:hint="eastAsia"/>
          <w:lang w:eastAsia="ko-KR"/>
        </w:rPr>
        <w:t xml:space="preserve">11.2.5a, 11.2.5c, </w:t>
      </w:r>
      <w:r w:rsidRPr="004D0DAA">
        <w:t>11.2.33 and 11.2.44.</w:t>
      </w:r>
    </w:p>
    <w:p w14:paraId="1B7E9E9E" w14:textId="77777777" w:rsidR="00711444" w:rsidRPr="004D0DAA" w:rsidRDefault="00711444" w:rsidP="00711444">
      <w:pPr>
        <w:keepNext/>
      </w:pPr>
      <w:r w:rsidRPr="004D0DAA">
        <w:lastRenderedPageBreak/>
        <w:t>Uplink RLC/MAC control messages sent on EC-PACCH, except those using the access burst formats, are received in the RLC/MAC control block format.</w:t>
      </w:r>
    </w:p>
    <w:p w14:paraId="6397CD17" w14:textId="77777777" w:rsidR="00711444" w:rsidRPr="004D0DAA" w:rsidRDefault="00711444" w:rsidP="00711444">
      <w:pPr>
        <w:keepNext/>
      </w:pPr>
      <w:r w:rsidRPr="004D0DAA">
        <w:t>The different types of messages on the EC-PACCH when one of the coverage classes CC1 to CC4 for uplink is selected are distinguished by the MESSAGE_TYPE field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2679F32" w14:textId="77777777" w:rsidTr="00AA2A4C">
        <w:tblPrEx>
          <w:tblCellMar>
            <w:top w:w="0" w:type="dxa"/>
            <w:bottom w:w="0" w:type="dxa"/>
          </w:tblCellMar>
        </w:tblPrEx>
        <w:trPr>
          <w:cantSplit/>
        </w:trPr>
        <w:tc>
          <w:tcPr>
            <w:tcW w:w="9848" w:type="dxa"/>
          </w:tcPr>
          <w:p w14:paraId="51A3E650" w14:textId="77777777" w:rsidR="00711444" w:rsidRPr="004D0DAA" w:rsidRDefault="00711444" w:rsidP="00AA2A4C">
            <w:pPr>
              <w:pStyle w:val="TAL"/>
              <w:rPr>
                <w:lang w:eastAsia="en-US"/>
              </w:rPr>
            </w:pPr>
            <w:r w:rsidRPr="004D0DAA">
              <w:rPr>
                <w:lang w:eastAsia="en-US"/>
              </w:rPr>
              <w:t>&lt; Uplink RLC/MAC control message on EC-PACCH &gt; ::=</w:t>
            </w:r>
          </w:p>
          <w:p w14:paraId="17C767A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00001 &gt;</w:t>
            </w:r>
            <w:r w:rsidRPr="004D0DAA">
              <w:rPr>
                <w:lang w:eastAsia="en-US"/>
              </w:rPr>
              <w:tab/>
              <w:t>&lt; EC Packet Control Acknowledgement message content &gt; |</w:t>
            </w:r>
          </w:p>
          <w:p w14:paraId="57E11EC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(5) == 00010 &gt;</w:t>
            </w:r>
            <w:r w:rsidRPr="004D0DAA">
              <w:rPr>
                <w:lang w:eastAsia="en-US"/>
              </w:rPr>
              <w:tab/>
              <w:t>&lt; EC Packet Downlink Ack/Nack message content &gt;;</w:t>
            </w:r>
          </w:p>
        </w:tc>
      </w:tr>
    </w:tbl>
    <w:p w14:paraId="0C53439E" w14:textId="77777777" w:rsidR="00711444" w:rsidRPr="004D0DAA" w:rsidRDefault="00711444" w:rsidP="00711444"/>
    <w:p w14:paraId="7155C103" w14:textId="77777777" w:rsidR="00711444" w:rsidRPr="004D0DAA" w:rsidRDefault="00711444" w:rsidP="00711444">
      <w:r w:rsidRPr="004D0DAA">
        <w:t>The different types of messages on the EC-PACCH, when coverage class CC5 for uplink is selected are distinguished by the MESSAGE_TYPE field as follows: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711444" w:rsidRPr="004D0DAA" w14:paraId="38F14698" w14:textId="77777777" w:rsidTr="00AA2A4C">
        <w:trPr>
          <w:cantSplit/>
        </w:trPr>
        <w:tc>
          <w:tcPr>
            <w:tcW w:w="9848" w:type="dxa"/>
            <w:tcBorders>
              <w:top w:val="single" w:sz="4" w:space="0" w:color="auto"/>
              <w:left w:val="single" w:sz="4" w:space="0" w:color="auto"/>
              <w:bottom w:val="single" w:sz="4" w:space="0" w:color="auto"/>
              <w:right w:val="single" w:sz="4" w:space="0" w:color="auto"/>
            </w:tcBorders>
            <w:hideMark/>
          </w:tcPr>
          <w:p w14:paraId="01DA8E46" w14:textId="77777777" w:rsidR="00711444" w:rsidRPr="004D0DAA" w:rsidRDefault="00711444" w:rsidP="00AA2A4C">
            <w:pPr>
              <w:pStyle w:val="TAL"/>
              <w:rPr>
                <w:lang w:eastAsia="en-US"/>
              </w:rPr>
            </w:pPr>
            <w:r w:rsidRPr="004D0DAA">
              <w:rPr>
                <w:lang w:eastAsia="en-US"/>
              </w:rPr>
              <w:t>&lt; Uplink RLC/MAC control message on EC-PACCH CC5 &gt; ::=</w:t>
            </w:r>
          </w:p>
          <w:p w14:paraId="3890C26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(3) == 001 &gt;</w:t>
            </w:r>
            <w:r w:rsidRPr="004D0DAA">
              <w:rPr>
                <w:lang w:eastAsia="en-US"/>
              </w:rPr>
              <w:tab/>
              <w:t>&lt; EC Packet Control Acknowledgement message Higher CC content &gt; |</w:t>
            </w:r>
          </w:p>
          <w:p w14:paraId="247F0BB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 bit (3) == 010 &gt;</w:t>
            </w:r>
            <w:r w:rsidRPr="004D0DAA">
              <w:rPr>
                <w:lang w:eastAsia="en-US"/>
              </w:rPr>
              <w:tab/>
              <w:t>&lt; EC Packet Downlink Ack/Nack Higher CC message content &gt;;</w:t>
            </w:r>
          </w:p>
        </w:tc>
      </w:tr>
    </w:tbl>
    <w:p w14:paraId="1B2E0A44" w14:textId="77777777" w:rsidR="00711444" w:rsidRPr="004D0DAA" w:rsidRDefault="00711444" w:rsidP="00711444"/>
    <w:p w14:paraId="504C8C66" w14:textId="77777777" w:rsidR="00711444" w:rsidRPr="004D0DAA" w:rsidRDefault="00711444" w:rsidP="00711444">
      <w:r w:rsidRPr="004D0DAA">
        <w:t>The EC Packet Control Acknowledgement message or EC Packet Control Acknowledgement Higher CC message can be sent both using the normal burst format and the access burst format (11-bit format). The access burst format is defined in sub-clause 11.2.50.</w:t>
      </w:r>
    </w:p>
    <w:p w14:paraId="23B2F9A7" w14:textId="77777777" w:rsidR="00711444" w:rsidRPr="004D0DAA" w:rsidRDefault="00711444" w:rsidP="00711444">
      <w:pPr>
        <w:pStyle w:val="Heading3"/>
      </w:pPr>
      <w:bookmarkStart w:id="645" w:name="_Toc516669823"/>
      <w:r w:rsidRPr="004D0DAA">
        <w:t>11.2.1</w:t>
      </w:r>
      <w:r w:rsidRPr="004D0DAA">
        <w:tab/>
        <w:t>Packet Access Reject</w:t>
      </w:r>
      <w:bookmarkEnd w:id="645"/>
    </w:p>
    <w:p w14:paraId="242031EB" w14:textId="77777777" w:rsidR="00711444" w:rsidRPr="004D0DAA" w:rsidRDefault="00711444" w:rsidP="00711444">
      <w:r w:rsidRPr="004D0DAA">
        <w:t>This message is sent on the PCCCH or PACCH by the network to the mobile station to indicate that the network has rejected the MSs access request. This message may contain fields addressing more than one mobile station.</w:t>
      </w:r>
    </w:p>
    <w:p w14:paraId="0227CB55" w14:textId="77777777" w:rsidR="00711444" w:rsidRPr="004D0DAA" w:rsidRDefault="00711444" w:rsidP="00711444">
      <w:pPr>
        <w:pStyle w:val="EX"/>
      </w:pPr>
      <w:r w:rsidRPr="004D0DAA">
        <w:t>Message type:</w:t>
      </w:r>
      <w:r w:rsidRPr="004D0DAA">
        <w:tab/>
        <w:t>PACKET ACCESS REJECT</w:t>
      </w:r>
    </w:p>
    <w:p w14:paraId="4BB02FE1" w14:textId="77777777" w:rsidR="00711444" w:rsidRPr="004D0DAA" w:rsidRDefault="00711444" w:rsidP="00711444">
      <w:pPr>
        <w:pStyle w:val="EX"/>
      </w:pPr>
      <w:r w:rsidRPr="004D0DAA">
        <w:t>Direction:</w:t>
      </w:r>
      <w:r w:rsidRPr="004D0DAA">
        <w:tab/>
        <w:t>network to mobile station</w:t>
      </w:r>
    </w:p>
    <w:p w14:paraId="4129A6D4" w14:textId="77777777" w:rsidR="00711444" w:rsidRPr="004D0DAA" w:rsidRDefault="00711444" w:rsidP="00711444">
      <w:pPr>
        <w:pStyle w:val="EX"/>
      </w:pPr>
      <w:r w:rsidRPr="004D0DAA">
        <w:t>Classification:</w:t>
      </w:r>
      <w:r w:rsidRPr="004D0DAA">
        <w:tab/>
        <w:t>distribution message</w:t>
      </w:r>
    </w:p>
    <w:p w14:paraId="75F1E68F" w14:textId="77777777" w:rsidR="00711444" w:rsidRPr="004D0DAA" w:rsidRDefault="00711444" w:rsidP="00711444">
      <w:pPr>
        <w:pStyle w:val="TH"/>
      </w:pPr>
      <w:r w:rsidRPr="004D0DAA">
        <w:t xml:space="preserve">Table 11.2.1.1: </w:t>
      </w:r>
      <w:r w:rsidRPr="004D0DAA">
        <w:rPr>
          <w:caps/>
        </w:rPr>
        <w:t>Packet ACCESS REJECT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1DDCCA7" w14:textId="77777777" w:rsidTr="00AA2A4C">
        <w:tblPrEx>
          <w:tblCellMar>
            <w:top w:w="0" w:type="dxa"/>
            <w:bottom w:w="0" w:type="dxa"/>
          </w:tblCellMar>
        </w:tblPrEx>
        <w:trPr>
          <w:cantSplit/>
        </w:trPr>
        <w:tc>
          <w:tcPr>
            <w:tcW w:w="9848" w:type="dxa"/>
          </w:tcPr>
          <w:p w14:paraId="5C26EA18" w14:textId="77777777" w:rsidR="00711444" w:rsidRPr="004D0DAA" w:rsidRDefault="00711444" w:rsidP="00AA2A4C">
            <w:pPr>
              <w:pStyle w:val="TAL"/>
              <w:rPr>
                <w:lang w:eastAsia="en-US"/>
              </w:rPr>
            </w:pPr>
            <w:r w:rsidRPr="004D0DAA">
              <w:rPr>
                <w:lang w:eastAsia="en-US"/>
              </w:rPr>
              <w:t>&lt; Packet Access Reject message content &gt; ::=</w:t>
            </w:r>
          </w:p>
          <w:p w14:paraId="5BEF752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0C6E629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Reject</w:t>
            </w:r>
            <w:r w:rsidRPr="004D0DAA">
              <w:rPr>
                <w:lang w:eastAsia="en-US"/>
              </w:rPr>
              <w:t xml:space="preserve"> : &lt; Reject struct &gt; &gt;</w:t>
            </w:r>
          </w:p>
          <w:p w14:paraId="01C8F348" w14:textId="77777777" w:rsidR="00711444" w:rsidRPr="004D0DAA" w:rsidRDefault="00711444" w:rsidP="00AA2A4C">
            <w:pPr>
              <w:pStyle w:val="TAL"/>
              <w:rPr>
                <w:lang w:eastAsia="en-US"/>
              </w:rPr>
            </w:pPr>
            <w:r w:rsidRPr="004D0DAA">
              <w:rPr>
                <w:lang w:eastAsia="en-US"/>
              </w:rPr>
              <w:tab/>
              <w:t xml:space="preserve">{ { 1 &lt; </w:t>
            </w:r>
            <w:r w:rsidRPr="004D0DAA">
              <w:rPr>
                <w:b/>
                <w:lang w:eastAsia="en-US"/>
              </w:rPr>
              <w:t>Additional Reject</w:t>
            </w:r>
            <w:r w:rsidRPr="004D0DAA">
              <w:rPr>
                <w:lang w:eastAsia="en-US"/>
              </w:rPr>
              <w:t>: &lt; Reject struct &gt; &gt; } ** 0</w:t>
            </w:r>
          </w:p>
          <w:p w14:paraId="1529BC05" w14:textId="77777777" w:rsidR="00711444" w:rsidRPr="004D0DAA" w:rsidRDefault="00711444" w:rsidP="00AA2A4C">
            <w:pPr>
              <w:pStyle w:val="TAL"/>
              <w:rPr>
                <w:lang w:eastAsia="en-US"/>
              </w:rPr>
            </w:pPr>
            <w:r w:rsidRPr="004D0DAA">
              <w:rPr>
                <w:lang w:eastAsia="en-US"/>
              </w:rPr>
              <w:tab/>
              <w:t>{ null</w:t>
            </w:r>
            <w:r w:rsidRPr="004D0DAA">
              <w:rPr>
                <w:lang w:eastAsia="en-US"/>
              </w:rPr>
              <w:tab/>
              <w:t xml:space="preserve"> | 0 </w:t>
            </w:r>
            <w:r w:rsidRPr="004D0DAA">
              <w:rPr>
                <w:lang w:eastAsia="en-US"/>
              </w:rPr>
              <w:tab/>
              <w:t>bit **</w:t>
            </w:r>
            <w:r w:rsidRPr="004D0DAA">
              <w:rPr>
                <w:lang w:eastAsia="en-US"/>
              </w:rPr>
              <w:tab/>
              <w:t>= &lt; no string &gt;</w:t>
            </w:r>
            <w:r w:rsidRPr="004D0DAA">
              <w:rPr>
                <w:lang w:eastAsia="en-US"/>
              </w:rPr>
              <w:tab/>
              <w:t xml:space="preserve">-- </w:t>
            </w:r>
            <w:r w:rsidRPr="004D0DAA">
              <w:rPr>
                <w:i/>
                <w:lang w:eastAsia="en-US"/>
              </w:rPr>
              <w:t>Receiver compatible with earlier releases</w:t>
            </w:r>
          </w:p>
          <w:p w14:paraId="7D1EBB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 1 </w:t>
            </w:r>
            <w:r w:rsidRPr="004D0DAA">
              <w:rPr>
                <w:lang w:eastAsia="en-US"/>
              </w:rPr>
              <w:tab/>
            </w:r>
            <w:r w:rsidRPr="004D0DAA">
              <w:rPr>
                <w:lang w:eastAsia="en-US"/>
              </w:rPr>
              <w:tab/>
            </w:r>
            <w:r w:rsidRPr="004D0DAA">
              <w:rPr>
                <w:lang w:eastAsia="en-US"/>
              </w:rPr>
              <w:tab/>
              <w:t xml:space="preserve">-- </w:t>
            </w:r>
            <w:r w:rsidRPr="004D0DAA">
              <w:rPr>
                <w:i/>
                <w:lang w:eastAsia="en-US"/>
              </w:rPr>
              <w:t>Additions in release 5</w:t>
            </w:r>
          </w:p>
          <w:p w14:paraId="1F080FA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Iu mode</w:t>
            </w:r>
            <w:r w:rsidRPr="004D0DAA">
              <w:rPr>
                <w:lang w:eastAsia="en-US"/>
              </w:rPr>
              <w:t xml:space="preserve"> </w:t>
            </w:r>
            <w:r w:rsidRPr="004D0DAA">
              <w:rPr>
                <w:b/>
                <w:lang w:eastAsia="en-US"/>
              </w:rPr>
              <w:t>Reject</w:t>
            </w:r>
            <w:r w:rsidRPr="004D0DAA">
              <w:rPr>
                <w:lang w:eastAsia="en-US"/>
              </w:rPr>
              <w:t>: &lt; Iu mode Reject struct &gt; &gt; } ** 0</w:t>
            </w:r>
          </w:p>
          <w:p w14:paraId="134D13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null | 0 bit **</w:t>
            </w:r>
            <w:r w:rsidRPr="004D0DAA">
              <w:rPr>
                <w:lang w:eastAsia="en-US"/>
              </w:rPr>
              <w:tab/>
              <w:t>= &lt; no string &gt;</w:t>
            </w:r>
            <w:r w:rsidRPr="004D0DAA">
              <w:rPr>
                <w:lang w:eastAsia="en-US"/>
              </w:rPr>
              <w:tab/>
              <w:t xml:space="preserve">-- </w:t>
            </w:r>
            <w:r w:rsidRPr="004D0DAA">
              <w:rPr>
                <w:i/>
                <w:lang w:eastAsia="en-US"/>
              </w:rPr>
              <w:t>Receiver compatible with earlier releases</w:t>
            </w:r>
          </w:p>
          <w:p w14:paraId="0EFE21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 1 </w:t>
            </w:r>
            <w:r w:rsidRPr="004D0DAA">
              <w:rPr>
                <w:lang w:eastAsia="en-US"/>
              </w:rPr>
              <w:tab/>
            </w:r>
            <w:r w:rsidRPr="004D0DAA">
              <w:rPr>
                <w:lang w:eastAsia="en-US"/>
              </w:rPr>
              <w:tab/>
            </w:r>
            <w:r w:rsidRPr="004D0DAA">
              <w:rPr>
                <w:lang w:eastAsia="en-US"/>
              </w:rPr>
              <w:tab/>
              <w:t xml:space="preserve">-- </w:t>
            </w:r>
            <w:r w:rsidRPr="004D0DAA">
              <w:rPr>
                <w:i/>
                <w:lang w:eastAsia="en-US"/>
              </w:rPr>
              <w:t>Additions in release 6</w:t>
            </w:r>
          </w:p>
          <w:p w14:paraId="466480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lang w:eastAsia="en-US"/>
              </w:rPr>
              <w:t>A/Gb mode</w:t>
            </w:r>
            <w:r w:rsidRPr="004D0DAA">
              <w:rPr>
                <w:lang w:eastAsia="en-US"/>
              </w:rPr>
              <w:t xml:space="preserve"> </w:t>
            </w:r>
            <w:r w:rsidRPr="004D0DAA">
              <w:rPr>
                <w:b/>
                <w:lang w:eastAsia="en-US"/>
              </w:rPr>
              <w:t>Reject</w:t>
            </w:r>
            <w:r w:rsidRPr="004D0DAA">
              <w:rPr>
                <w:lang w:eastAsia="en-US"/>
              </w:rPr>
              <w:t>: &lt; A/Gb mode Reject struct &gt; &gt; } ** 0 }</w:t>
            </w:r>
          </w:p>
          <w:p w14:paraId="18B120CA" w14:textId="77777777" w:rsidR="00711444" w:rsidRPr="004D0DAA" w:rsidRDefault="00711444" w:rsidP="00AA2A4C">
            <w:pPr>
              <w:pStyle w:val="TAL"/>
              <w:rPr>
                <w:lang w:eastAsia="en-US"/>
              </w:rPr>
            </w:pPr>
            <w:r w:rsidRPr="004D0DAA">
              <w:rPr>
                <w:lang w:eastAsia="en-US"/>
              </w:rPr>
              <w:tab/>
              <w:t>&lt; padding bits &gt; }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5E43B22F" w14:textId="77777777" w:rsidR="00711444" w:rsidRPr="004D0DAA" w:rsidRDefault="00711444" w:rsidP="00AA2A4C">
            <w:pPr>
              <w:pStyle w:val="TAL"/>
              <w:rPr>
                <w:lang w:eastAsia="en-US"/>
              </w:rPr>
            </w:pPr>
            <w:r w:rsidRPr="004D0DAA">
              <w:rPr>
                <w:lang w:eastAsia="en-US"/>
              </w:rPr>
              <w:tab/>
              <w:t>! &lt; Distribution part error : bit (*) = &lt; no string &gt; &gt; ;</w:t>
            </w:r>
          </w:p>
          <w:p w14:paraId="661795E1" w14:textId="77777777" w:rsidR="00711444" w:rsidRPr="004D0DAA" w:rsidRDefault="00711444" w:rsidP="00AA2A4C">
            <w:pPr>
              <w:pStyle w:val="TAL"/>
              <w:rPr>
                <w:lang w:eastAsia="en-US"/>
              </w:rPr>
            </w:pPr>
          </w:p>
        </w:tc>
      </w:tr>
      <w:tr w:rsidR="00711444" w:rsidRPr="004D0DAA" w14:paraId="78E15525" w14:textId="77777777" w:rsidTr="00AA2A4C">
        <w:tblPrEx>
          <w:tblCellMar>
            <w:top w:w="0" w:type="dxa"/>
            <w:bottom w:w="0" w:type="dxa"/>
          </w:tblCellMar>
        </w:tblPrEx>
        <w:trPr>
          <w:cantSplit/>
        </w:trPr>
        <w:tc>
          <w:tcPr>
            <w:tcW w:w="9848" w:type="dxa"/>
          </w:tcPr>
          <w:p w14:paraId="2500FC6F" w14:textId="77777777" w:rsidR="00711444" w:rsidRPr="004D0DAA" w:rsidRDefault="00711444" w:rsidP="00AA2A4C">
            <w:pPr>
              <w:pStyle w:val="TAL"/>
              <w:rPr>
                <w:lang w:eastAsia="en-US"/>
              </w:rPr>
            </w:pPr>
            <w:r w:rsidRPr="004D0DAA">
              <w:rPr>
                <w:lang w:eastAsia="en-US"/>
              </w:rPr>
              <w:t>&lt; Reject struct &gt; ::=</w:t>
            </w:r>
          </w:p>
          <w:p w14:paraId="31E0F907"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TLLI / G-RNTI</w:t>
            </w:r>
            <w:r w:rsidRPr="004D0DAA">
              <w:rPr>
                <w:lang w:eastAsia="en-US"/>
              </w:rPr>
              <w:t xml:space="preserve"> : bit (32) &gt;</w:t>
            </w:r>
          </w:p>
          <w:p w14:paraId="1EBE5F0E" w14:textId="77777777" w:rsidR="00711444" w:rsidRPr="004D0DAA" w:rsidRDefault="00711444" w:rsidP="00AA2A4C">
            <w:pPr>
              <w:pStyle w:val="TAL"/>
              <w:rPr>
                <w:lang w:eastAsia="en-US"/>
              </w:rPr>
            </w:pPr>
            <w:r w:rsidRPr="004D0DAA">
              <w:rPr>
                <w:lang w:eastAsia="en-US"/>
              </w:rPr>
              <w:tab/>
              <w:t>| 1</w:t>
            </w:r>
            <w:r w:rsidRPr="004D0DAA">
              <w:rPr>
                <w:lang w:eastAsia="en-US"/>
              </w:rPr>
              <w:tab/>
              <w:t>{ 0</w:t>
            </w:r>
            <w:r w:rsidRPr="004D0DAA">
              <w:rPr>
                <w:lang w:eastAsia="en-US"/>
              </w:rPr>
              <w:tab/>
              <w:t xml:space="preserve">&lt; </w:t>
            </w:r>
            <w:r w:rsidRPr="004D0DAA">
              <w:rPr>
                <w:b/>
                <w:lang w:eastAsia="en-US"/>
              </w:rPr>
              <w:t>Packet Request Reference</w:t>
            </w:r>
            <w:r w:rsidRPr="004D0DAA">
              <w:rPr>
                <w:lang w:eastAsia="en-US"/>
              </w:rPr>
              <w:t xml:space="preserve"> : &lt; Packet Request Reference IE &gt; &gt;</w:t>
            </w:r>
          </w:p>
          <w:p w14:paraId="085169F1"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Global TFI</w:t>
            </w:r>
            <w:r w:rsidRPr="004D0DAA">
              <w:rPr>
                <w:lang w:eastAsia="en-US"/>
              </w:rPr>
              <w:t xml:space="preserve"> : &lt; Global TFI IE &gt; &gt; } }</w:t>
            </w:r>
          </w:p>
          <w:p w14:paraId="3659EB7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WAIT_INDICATION </w:t>
            </w:r>
            <w:r w:rsidRPr="004D0DAA">
              <w:rPr>
                <w:lang w:eastAsia="en-US"/>
              </w:rPr>
              <w:t>: bit (8) &gt;</w:t>
            </w:r>
          </w:p>
          <w:p w14:paraId="32AAEE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WAIT _INDICATION_SIZE</w:t>
            </w:r>
            <w:r w:rsidRPr="004D0DAA">
              <w:rPr>
                <w:lang w:eastAsia="en-US"/>
              </w:rPr>
              <w:t xml:space="preserve"> : bit (1) &gt; }</w:t>
            </w:r>
          </w:p>
          <w:p w14:paraId="628A90C9" w14:textId="77777777" w:rsidR="00711444" w:rsidRPr="004D0DAA" w:rsidRDefault="00711444" w:rsidP="00AA2A4C">
            <w:pPr>
              <w:pStyle w:val="TAL"/>
              <w:rPr>
                <w:lang w:eastAsia="en-US"/>
              </w:rPr>
            </w:pPr>
            <w:r w:rsidRPr="004D0DAA">
              <w:rPr>
                <w:lang w:eastAsia="en-US"/>
              </w:rPr>
              <w:tab/>
              <w:t>! &lt; Ignore : bit (*) = &lt;no string&gt; &gt; ;</w:t>
            </w:r>
          </w:p>
        </w:tc>
      </w:tr>
      <w:tr w:rsidR="00711444" w:rsidRPr="004D0DAA" w14:paraId="192AFE01" w14:textId="77777777" w:rsidTr="00AA2A4C">
        <w:tblPrEx>
          <w:tblCellMar>
            <w:top w:w="0" w:type="dxa"/>
            <w:bottom w:w="0" w:type="dxa"/>
          </w:tblCellMar>
        </w:tblPrEx>
        <w:trPr>
          <w:cantSplit/>
        </w:trPr>
        <w:tc>
          <w:tcPr>
            <w:tcW w:w="9848" w:type="dxa"/>
          </w:tcPr>
          <w:p w14:paraId="778C5C62" w14:textId="77777777" w:rsidR="00711444" w:rsidRPr="004D0DAA" w:rsidRDefault="00711444" w:rsidP="00AA2A4C">
            <w:pPr>
              <w:pStyle w:val="TAL"/>
              <w:rPr>
                <w:lang w:eastAsia="en-US"/>
              </w:rPr>
            </w:pPr>
            <w:r w:rsidRPr="004D0DAA">
              <w:rPr>
                <w:lang w:eastAsia="en-US"/>
              </w:rPr>
              <w:t>&lt; Iu mode Reject struct &gt; ::=</w:t>
            </w:r>
          </w:p>
          <w:p w14:paraId="5EC103D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G-RNTI_extension</w:t>
            </w:r>
            <w:r w:rsidRPr="004D0DAA">
              <w:rPr>
                <w:lang w:eastAsia="en-US"/>
              </w:rPr>
              <w:t xml:space="preserve"> : bit (4) &gt;</w:t>
            </w:r>
          </w:p>
          <w:p w14:paraId="2DBCA8F8"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r>
            <w:r w:rsidRPr="004D0DAA">
              <w:rPr>
                <w:lang w:eastAsia="en-US"/>
              </w:rPr>
              <w:tab/>
            </w:r>
            <w:r w:rsidRPr="004D0DAA">
              <w:rPr>
                <w:lang w:eastAsia="en-US"/>
              </w:rPr>
              <w:tab/>
              <w:t xml:space="preserve">-- </w:t>
            </w:r>
            <w:r w:rsidRPr="004D0DAA">
              <w:rPr>
                <w:i/>
                <w:lang w:eastAsia="en-US"/>
              </w:rPr>
              <w:t>all TBF requests for the MS identified by the G-RNTI in the corresponding Reject structare rejected</w:t>
            </w:r>
          </w:p>
          <w:p w14:paraId="39AAFA7A"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 1 &lt; </w:t>
            </w:r>
            <w:r w:rsidRPr="004D0DAA">
              <w:rPr>
                <w:b/>
                <w:lang w:eastAsia="en-US"/>
              </w:rPr>
              <w:t>RB Id</w:t>
            </w:r>
            <w:r w:rsidRPr="004D0DAA">
              <w:rPr>
                <w:lang w:eastAsia="en-US"/>
              </w:rPr>
              <w:t xml:space="preserve"> : bit(5) &gt; } ** 0 } ;</w:t>
            </w:r>
            <w:r w:rsidRPr="004D0DAA">
              <w:rPr>
                <w:lang w:eastAsia="en-US"/>
              </w:rPr>
              <w:tab/>
            </w:r>
            <w:r w:rsidRPr="004D0DAA">
              <w:rPr>
                <w:iCs/>
                <w:lang w:eastAsia="en-US"/>
              </w:rPr>
              <w:t xml:space="preserve">-- </w:t>
            </w:r>
            <w:r w:rsidRPr="004D0DAA">
              <w:rPr>
                <w:i/>
                <w:iCs/>
                <w:lang w:eastAsia="en-US"/>
              </w:rPr>
              <w:t>TBF requests for these RB Ids are rejected</w:t>
            </w:r>
          </w:p>
          <w:p w14:paraId="6F57DFA0" w14:textId="77777777" w:rsidR="00711444" w:rsidRPr="004D0DAA" w:rsidRDefault="00711444" w:rsidP="00AA2A4C">
            <w:pPr>
              <w:pStyle w:val="TAL"/>
              <w:rPr>
                <w:lang w:eastAsia="en-US"/>
              </w:rPr>
            </w:pPr>
          </w:p>
        </w:tc>
      </w:tr>
      <w:tr w:rsidR="00711444" w:rsidRPr="004D0DAA" w14:paraId="4AE285EE" w14:textId="77777777" w:rsidTr="00AA2A4C">
        <w:tblPrEx>
          <w:tblCellMar>
            <w:top w:w="0" w:type="dxa"/>
            <w:bottom w:w="0" w:type="dxa"/>
          </w:tblCellMar>
        </w:tblPrEx>
        <w:trPr>
          <w:cantSplit/>
        </w:trPr>
        <w:tc>
          <w:tcPr>
            <w:tcW w:w="9848" w:type="dxa"/>
          </w:tcPr>
          <w:p w14:paraId="215F3007" w14:textId="77777777" w:rsidR="00711444" w:rsidRPr="004D0DAA" w:rsidRDefault="00711444" w:rsidP="00AA2A4C">
            <w:pPr>
              <w:pStyle w:val="TAL"/>
              <w:rPr>
                <w:lang w:eastAsia="en-US"/>
              </w:rPr>
            </w:pPr>
            <w:r w:rsidRPr="004D0DAA">
              <w:rPr>
                <w:lang w:eastAsia="en-US"/>
              </w:rPr>
              <w:t>&lt; A/Gb mode Reject struct &gt; ::=</w:t>
            </w:r>
          </w:p>
          <w:p w14:paraId="5BC230D7"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r>
            <w:r w:rsidRPr="004D0DAA">
              <w:rPr>
                <w:lang w:eastAsia="en-US"/>
              </w:rPr>
              <w:tab/>
            </w:r>
            <w:r w:rsidRPr="004D0DAA">
              <w:rPr>
                <w:lang w:eastAsia="en-US"/>
              </w:rPr>
              <w:tab/>
              <w:t xml:space="preserve">-- </w:t>
            </w:r>
            <w:r w:rsidRPr="004D0DAA">
              <w:rPr>
                <w:i/>
                <w:lang w:eastAsia="en-US"/>
              </w:rPr>
              <w:t>all TBF requests for the MS identified by the TLLI in the corresponding Reject struct are rejected</w:t>
            </w:r>
          </w:p>
          <w:p w14:paraId="43D8A011"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 1 &lt; </w:t>
            </w:r>
            <w:r w:rsidRPr="004D0DAA">
              <w:rPr>
                <w:b/>
                <w:lang w:eastAsia="en-US"/>
              </w:rPr>
              <w:t>PFI</w:t>
            </w:r>
            <w:r w:rsidRPr="004D0DAA">
              <w:rPr>
                <w:lang w:eastAsia="en-US"/>
              </w:rPr>
              <w:t xml:space="preserve"> : bit (7) &gt; } ** 0 } ;</w:t>
            </w:r>
            <w:r w:rsidRPr="004D0DAA">
              <w:rPr>
                <w:lang w:eastAsia="en-US"/>
              </w:rPr>
              <w:tab/>
            </w:r>
            <w:r w:rsidRPr="004D0DAA">
              <w:rPr>
                <w:iCs/>
                <w:lang w:eastAsia="en-US"/>
              </w:rPr>
              <w:t xml:space="preserve">-- </w:t>
            </w:r>
            <w:r w:rsidRPr="004D0DAA">
              <w:rPr>
                <w:i/>
                <w:iCs/>
                <w:lang w:eastAsia="en-US"/>
              </w:rPr>
              <w:t>TBF requests for these PFIs are rejected</w:t>
            </w:r>
          </w:p>
          <w:p w14:paraId="68817E98" w14:textId="77777777" w:rsidR="00711444" w:rsidRPr="004D0DAA" w:rsidRDefault="00711444" w:rsidP="00AA2A4C">
            <w:pPr>
              <w:pStyle w:val="TAL"/>
              <w:rPr>
                <w:lang w:eastAsia="en-US"/>
              </w:rPr>
            </w:pPr>
          </w:p>
        </w:tc>
      </w:tr>
    </w:tbl>
    <w:p w14:paraId="6F38C6D6" w14:textId="77777777" w:rsidR="00711444" w:rsidRPr="004D0DAA" w:rsidRDefault="00711444" w:rsidP="00711444"/>
    <w:p w14:paraId="7030F59A" w14:textId="77777777" w:rsidR="00711444" w:rsidRPr="004D0DAA" w:rsidRDefault="00711444" w:rsidP="00711444">
      <w:pPr>
        <w:pStyle w:val="TH"/>
      </w:pPr>
      <w:r w:rsidRPr="004D0DAA">
        <w:lastRenderedPageBreak/>
        <w:t xml:space="preserve">Table 11.2.1.2: </w:t>
      </w:r>
      <w:r w:rsidRPr="004D0DAA">
        <w:rPr>
          <w:caps/>
        </w:rPr>
        <w:t>Packet ACCESS REJECT</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9"/>
      </w:tblGrid>
      <w:tr w:rsidR="00711444" w:rsidRPr="004D0DAA" w14:paraId="1E8F4C61" w14:textId="77777777" w:rsidTr="00AA2A4C">
        <w:tblPrEx>
          <w:tblCellMar>
            <w:top w:w="0" w:type="dxa"/>
            <w:bottom w:w="0" w:type="dxa"/>
          </w:tblCellMar>
        </w:tblPrEx>
        <w:tc>
          <w:tcPr>
            <w:tcW w:w="9857" w:type="dxa"/>
          </w:tcPr>
          <w:p w14:paraId="214B0A83" w14:textId="77777777" w:rsidR="00711444" w:rsidRPr="004D0DAA" w:rsidRDefault="00711444" w:rsidP="00AA2A4C">
            <w:pPr>
              <w:keepNext/>
              <w:keepLines/>
            </w:pPr>
            <w:r w:rsidRPr="004D0DAA">
              <w:rPr>
                <w:b/>
              </w:rPr>
              <w:t>PAGE_MODE</w:t>
            </w:r>
            <w:r w:rsidRPr="004D0DAA">
              <w:t xml:space="preserve"> (2 bit field)</w:t>
            </w:r>
            <w:r w:rsidRPr="004D0DAA">
              <w:br/>
              <w:t>This field is defined in</w:t>
            </w:r>
            <w:r w:rsidRPr="004D0DAA">
              <w:rPr>
                <w:i/>
              </w:rPr>
              <w:t xml:space="preserve"> </w:t>
            </w:r>
            <w:r w:rsidRPr="004D0DAA">
              <w:rPr>
                <w:iCs/>
              </w:rPr>
              <w:t>sub-clause</w:t>
            </w:r>
            <w:r w:rsidRPr="004D0DAA">
              <w:t xml:space="preserve"> 12.20.</w:t>
            </w:r>
          </w:p>
          <w:p w14:paraId="56DEF6EA" w14:textId="77777777" w:rsidR="00711444" w:rsidRPr="004D0DAA" w:rsidRDefault="00711444" w:rsidP="00AA2A4C">
            <w:pPr>
              <w:keepNext/>
              <w:keepLines/>
            </w:pPr>
            <w:r w:rsidRPr="004D0DAA">
              <w:rPr>
                <w:b/>
                <w:bCs/>
              </w:rPr>
              <w:t>Reject struct</w:t>
            </w:r>
            <w:r w:rsidRPr="004D0DAA">
              <w:br/>
              <w:t>The mobile station shall only accept the first Reject struct addressed to it and ignore all other Reject structs.</w:t>
            </w:r>
          </w:p>
          <w:p w14:paraId="42B3591B" w14:textId="77777777" w:rsidR="00711444" w:rsidRPr="004D0DAA" w:rsidRDefault="00711444" w:rsidP="00AA2A4C">
            <w:pPr>
              <w:keepNext/>
              <w:keepLines/>
              <w:rPr>
                <w:b/>
              </w:rPr>
            </w:pPr>
            <w:r w:rsidRPr="004D0DAA">
              <w:rPr>
                <w:b/>
              </w:rPr>
              <w:t>Iu mode Reject struct</w:t>
            </w:r>
          </w:p>
          <w:p w14:paraId="756E4270" w14:textId="77777777" w:rsidR="00711444" w:rsidRPr="004D0DAA" w:rsidRDefault="00711444" w:rsidP="00AA2A4C">
            <w:pPr>
              <w:keepNext/>
              <w:keepLines/>
            </w:pPr>
            <w:r w:rsidRPr="004D0DAA">
              <w:t xml:space="preserve">For each occurrence of a G-RNTI in the TLLI / G-RNTI field of a Reject struct, a corresponding </w:t>
            </w:r>
            <w:r w:rsidRPr="004D0DAA">
              <w:rPr>
                <w:i/>
              </w:rPr>
              <w:t>Iu mode Reject struct</w:t>
            </w:r>
            <w:r w:rsidRPr="004D0DAA">
              <w:t xml:space="preserve"> shall be included in the message. The list of </w:t>
            </w:r>
            <w:r w:rsidRPr="004D0DAA">
              <w:rPr>
                <w:i/>
              </w:rPr>
              <w:t xml:space="preserve">Iu mode Reject structs </w:t>
            </w:r>
            <w:r w:rsidRPr="004D0DAA">
              <w:t xml:space="preserve">shall address the Iu mode mobile stations in the same order as the list of G-RNTI values in the Reject structs. </w:t>
            </w:r>
          </w:p>
          <w:p w14:paraId="21F7B687" w14:textId="77777777" w:rsidR="00711444" w:rsidRPr="004D0DAA" w:rsidRDefault="00711444" w:rsidP="00AA2A4C">
            <w:pPr>
              <w:keepNext/>
              <w:keepLines/>
              <w:rPr>
                <w:b/>
              </w:rPr>
            </w:pPr>
            <w:r w:rsidRPr="004D0DAA">
              <w:rPr>
                <w:b/>
              </w:rPr>
              <w:t>A/Gb mode Reject struct</w:t>
            </w:r>
          </w:p>
          <w:p w14:paraId="37222BFD" w14:textId="77777777" w:rsidR="00711444" w:rsidRPr="004D0DAA" w:rsidRDefault="00711444" w:rsidP="00AA2A4C">
            <w:pPr>
              <w:keepNext/>
              <w:keepLines/>
            </w:pPr>
            <w:r w:rsidRPr="004D0DAA">
              <w:t xml:space="preserve">For each occurrence of a TLLI in the TLLI / G-RNTI field of a Reject struct, a corresponding </w:t>
            </w:r>
            <w:r w:rsidRPr="004D0DAA">
              <w:rPr>
                <w:i/>
              </w:rPr>
              <w:t xml:space="preserve">A/Gb mode Reject struct </w:t>
            </w:r>
            <w:r w:rsidRPr="004D0DAA">
              <w:t xml:space="preserve">shall be included in the message. The list of </w:t>
            </w:r>
            <w:r w:rsidRPr="004D0DAA">
              <w:rPr>
                <w:i/>
              </w:rPr>
              <w:t xml:space="preserve">A/Gb mode Reject structs </w:t>
            </w:r>
            <w:r w:rsidRPr="004D0DAA">
              <w:t xml:space="preserve">shall address the A/Gb mode mobile stations in the same order as the list of TLLI values in the Reject structs. </w:t>
            </w:r>
          </w:p>
          <w:p w14:paraId="34FE65AC" w14:textId="77777777" w:rsidR="00711444" w:rsidRPr="004D0DAA" w:rsidRDefault="00711444" w:rsidP="00AA2A4C">
            <w:pPr>
              <w:keepNext/>
              <w:keepLines/>
              <w:rPr>
                <w:b/>
              </w:rPr>
            </w:pPr>
            <w:r w:rsidRPr="004D0DAA">
              <w:rPr>
                <w:b/>
              </w:rPr>
              <w:t>Packet Request Reference</w:t>
            </w:r>
            <w:r w:rsidRPr="004D0DAA">
              <w:br/>
              <w:t>This information element shall be included if the PACKET ACCESS REJECT message is sent in response to a PACKET CHANNEL REQUEST message. This information element is defined in sub-clause 12.11.</w:t>
            </w:r>
          </w:p>
        </w:tc>
      </w:tr>
      <w:tr w:rsidR="00711444" w:rsidRPr="004D0DAA" w14:paraId="012B6143" w14:textId="77777777" w:rsidTr="00AA2A4C">
        <w:tblPrEx>
          <w:tblCellMar>
            <w:top w:w="0" w:type="dxa"/>
            <w:bottom w:w="0" w:type="dxa"/>
          </w:tblCellMar>
        </w:tblPrEx>
        <w:tc>
          <w:tcPr>
            <w:tcW w:w="9857" w:type="dxa"/>
          </w:tcPr>
          <w:p w14:paraId="7A71F75B" w14:textId="77777777" w:rsidR="00711444" w:rsidRPr="004D0DAA" w:rsidRDefault="00711444" w:rsidP="00AA2A4C">
            <w:pPr>
              <w:keepNext/>
              <w:keepLines/>
            </w:pPr>
            <w:r w:rsidRPr="004D0DAA">
              <w:rPr>
                <w:b/>
              </w:rPr>
              <w:t>TLLI / G-RNTI</w:t>
            </w:r>
            <w:r w:rsidRPr="004D0DAA">
              <w:t xml:space="preserve"> (32 bit field)</w:t>
            </w:r>
            <w:r w:rsidRPr="004D0DAA">
              <w:br/>
              <w:t>This information field shall be included if the PACKET ACCESS REJECT message is sent in response to a PACKET RESOURCE REQUEST message or a Channel Request Description IE contained in a PACKET DOWNLINK ACK/NACK message. This information field is defined in</w:t>
            </w:r>
            <w:r w:rsidRPr="004D0DAA">
              <w:rPr>
                <w:i/>
              </w:rPr>
              <w:t xml:space="preserve"> </w:t>
            </w:r>
            <w:r w:rsidRPr="004D0DAA">
              <w:t>sub-clause 12.16.</w:t>
            </w:r>
          </w:p>
        </w:tc>
      </w:tr>
      <w:tr w:rsidR="00711444" w:rsidRPr="004D0DAA" w14:paraId="05166874" w14:textId="77777777" w:rsidTr="00AA2A4C">
        <w:tblPrEx>
          <w:tblCellMar>
            <w:top w:w="0" w:type="dxa"/>
            <w:bottom w:w="0" w:type="dxa"/>
          </w:tblCellMar>
        </w:tblPrEx>
        <w:tc>
          <w:tcPr>
            <w:tcW w:w="9857" w:type="dxa"/>
          </w:tcPr>
          <w:p w14:paraId="783EFCE9" w14:textId="77777777" w:rsidR="00711444" w:rsidRPr="004D0DAA" w:rsidRDefault="00711444" w:rsidP="00AA2A4C">
            <w:pPr>
              <w:keepNext/>
              <w:keepLines/>
            </w:pPr>
            <w:r w:rsidRPr="004D0DAA">
              <w:rPr>
                <w:b/>
                <w:bCs/>
              </w:rPr>
              <w:t xml:space="preserve">G-RNTI extension </w:t>
            </w:r>
            <w:r w:rsidRPr="004D0DAA">
              <w:t>(4 bit field)</w:t>
            </w:r>
            <w:r w:rsidRPr="004D0DAA">
              <w:br/>
              <w:t>This field contains the extra 4 bits of the G-RNTI not included in the TLLI / G-RNTI field which are necessary to provide a unique identifier for contention resolution in Iu-mode.</w:t>
            </w:r>
          </w:p>
          <w:p w14:paraId="237971FB" w14:textId="77777777" w:rsidR="00711444" w:rsidRPr="004D0DAA" w:rsidRDefault="00711444" w:rsidP="00AA2A4C">
            <w:pPr>
              <w:keepNext/>
              <w:keepLines/>
              <w:rPr>
                <w:b/>
              </w:rPr>
            </w:pPr>
            <w:r w:rsidRPr="004D0DAA">
              <w:t xml:space="preserve">For each occurrence of the TLLI / G-RNTI field in the Reject struct, the corresponding G-RNTI extension field shall be included in the Iu mode reject struct in the same order as the list of G-RNTI values in the TLLI / G-RNTI field. </w:t>
            </w:r>
          </w:p>
        </w:tc>
      </w:tr>
      <w:tr w:rsidR="00711444" w:rsidRPr="004D0DAA" w14:paraId="0D3C6BD3" w14:textId="77777777" w:rsidTr="00AA2A4C">
        <w:tblPrEx>
          <w:tblCellMar>
            <w:top w:w="0" w:type="dxa"/>
            <w:bottom w:w="0" w:type="dxa"/>
          </w:tblCellMar>
        </w:tblPrEx>
        <w:tc>
          <w:tcPr>
            <w:tcW w:w="9857" w:type="dxa"/>
          </w:tcPr>
          <w:p w14:paraId="47B1DB71" w14:textId="77777777" w:rsidR="00711444" w:rsidRPr="004D0DAA" w:rsidRDefault="00711444" w:rsidP="00AA2A4C">
            <w:pPr>
              <w:keepNext/>
              <w:keepLines/>
              <w:rPr>
                <w:b/>
              </w:rPr>
            </w:pPr>
            <w:r w:rsidRPr="004D0DAA">
              <w:rPr>
                <w:b/>
              </w:rPr>
              <w:t>Global TFI</w:t>
            </w:r>
            <w:r w:rsidRPr="004D0DAA">
              <w:br/>
              <w:t>This information element contains the TFI of one of the mobile station's downlink TBFs or uplink TBFs. This field is defined in</w:t>
            </w:r>
            <w:r w:rsidRPr="004D0DAA">
              <w:rPr>
                <w:i/>
              </w:rPr>
              <w:t xml:space="preserve"> </w:t>
            </w:r>
            <w:r w:rsidRPr="004D0DAA">
              <w:t>sub-clause 12.10.</w:t>
            </w:r>
          </w:p>
        </w:tc>
      </w:tr>
      <w:tr w:rsidR="00711444" w:rsidRPr="004D0DAA" w14:paraId="635EE9CE" w14:textId="77777777" w:rsidTr="00AA2A4C">
        <w:tblPrEx>
          <w:tblCellMar>
            <w:top w:w="0" w:type="dxa"/>
            <w:bottom w:w="0" w:type="dxa"/>
          </w:tblCellMar>
        </w:tblPrEx>
        <w:tc>
          <w:tcPr>
            <w:tcW w:w="9857" w:type="dxa"/>
          </w:tcPr>
          <w:p w14:paraId="62013519" w14:textId="77777777" w:rsidR="00711444" w:rsidRPr="004D0DAA" w:rsidRDefault="00711444" w:rsidP="00AA2A4C">
            <w:r w:rsidRPr="004D0DAA">
              <w:rPr>
                <w:b/>
              </w:rPr>
              <w:t>WAIT_INDICATION</w:t>
            </w:r>
            <w:r w:rsidRPr="004D0DAA">
              <w:t xml:space="preserve"> (8 bit field)</w:t>
            </w:r>
            <w:r w:rsidRPr="004D0DAA">
              <w:br/>
              <w:t>The Wait Indication field indicates the time the mobile station shall wait before attempting another channel request. This field is coded as the binary representation of the T3172 timeout value in units of 20 ms or in units of seconds. The units are indicated in the WAIT_INDICATION_SIZE field.</w:t>
            </w:r>
            <w:r w:rsidRPr="004D0DAA">
              <w:br/>
              <w:t>Range 0 to 255.</w:t>
            </w:r>
          </w:p>
        </w:tc>
      </w:tr>
      <w:tr w:rsidR="00711444" w:rsidRPr="004D0DAA" w14:paraId="49FE4832" w14:textId="77777777" w:rsidTr="00AA2A4C">
        <w:tblPrEx>
          <w:tblCellMar>
            <w:top w:w="0" w:type="dxa"/>
            <w:bottom w:w="0" w:type="dxa"/>
          </w:tblCellMar>
        </w:tblPrEx>
        <w:tc>
          <w:tcPr>
            <w:tcW w:w="9857" w:type="dxa"/>
          </w:tcPr>
          <w:p w14:paraId="4B3C68FD" w14:textId="77777777" w:rsidR="00711444" w:rsidRPr="004D0DAA" w:rsidRDefault="00711444" w:rsidP="00AA2A4C">
            <w:r w:rsidRPr="004D0DAA">
              <w:rPr>
                <w:b/>
              </w:rPr>
              <w:t>WAIT_INDICATION_SIZE</w:t>
            </w:r>
            <w:r w:rsidRPr="004D0DAA">
              <w:t xml:space="preserve"> (1 bit field)</w:t>
            </w:r>
            <w:r w:rsidRPr="004D0DAA">
              <w:br/>
              <w:t>This field indicates the units of the WAIT_INDICATION field.</w:t>
            </w:r>
          </w:p>
          <w:p w14:paraId="679493FD" w14:textId="77777777" w:rsidR="00711444" w:rsidRPr="004D0DAA" w:rsidRDefault="00711444" w:rsidP="00AA2A4C">
            <w:pPr>
              <w:rPr>
                <w:b/>
              </w:rPr>
            </w:pPr>
            <w:r w:rsidRPr="004D0DAA">
              <w:t>0</w:t>
            </w:r>
            <w:r w:rsidRPr="004D0DAA">
              <w:tab/>
              <w:t>the WAIT_INDICATION field is coded in units of s</w:t>
            </w:r>
            <w:r w:rsidRPr="004D0DAA">
              <w:br/>
              <w:t>1</w:t>
            </w:r>
            <w:r w:rsidRPr="004D0DAA">
              <w:tab/>
              <w:t>the WAIT_INDICATION field is coded in units of 20 ms</w:t>
            </w:r>
          </w:p>
        </w:tc>
      </w:tr>
      <w:tr w:rsidR="00711444" w:rsidRPr="004D0DAA" w14:paraId="034C6CA9" w14:textId="77777777" w:rsidTr="00AA2A4C">
        <w:tblPrEx>
          <w:tblCellMar>
            <w:top w:w="0" w:type="dxa"/>
            <w:bottom w:w="0" w:type="dxa"/>
          </w:tblCellMar>
        </w:tblPrEx>
        <w:tc>
          <w:tcPr>
            <w:tcW w:w="9857" w:type="dxa"/>
          </w:tcPr>
          <w:p w14:paraId="3B248699" w14:textId="77777777" w:rsidR="00711444" w:rsidRPr="004D0DAA" w:rsidRDefault="00711444" w:rsidP="00AA2A4C">
            <w:pPr>
              <w:rPr>
                <w:b/>
              </w:rPr>
            </w:pPr>
            <w:r w:rsidRPr="004D0DAA">
              <w:rPr>
                <w:b/>
              </w:rPr>
              <w:t>RB Id</w:t>
            </w:r>
            <w:r w:rsidRPr="004D0DAA">
              <w:rPr>
                <w:bCs/>
              </w:rPr>
              <w:t xml:space="preserve"> (5 bit field)</w:t>
            </w:r>
            <w:r w:rsidRPr="004D0DAA">
              <w:rPr>
                <w:bCs/>
              </w:rPr>
              <w:br/>
              <w:t xml:space="preserve">This field contains the identifier of the radio bearer for which a TBF was requested. </w:t>
            </w:r>
          </w:p>
        </w:tc>
      </w:tr>
      <w:tr w:rsidR="00711444" w:rsidRPr="004D0DAA" w14:paraId="788B55FC" w14:textId="77777777" w:rsidTr="00AA2A4C">
        <w:tblPrEx>
          <w:tblCellMar>
            <w:top w:w="0" w:type="dxa"/>
            <w:bottom w:w="0" w:type="dxa"/>
          </w:tblCellMar>
        </w:tblPrEx>
        <w:tc>
          <w:tcPr>
            <w:tcW w:w="9857" w:type="dxa"/>
          </w:tcPr>
          <w:p w14:paraId="25F1310A" w14:textId="77777777" w:rsidR="00711444" w:rsidRPr="004D0DAA" w:rsidRDefault="00711444" w:rsidP="00AA2A4C">
            <w:pPr>
              <w:spacing w:after="0"/>
              <w:rPr>
                <w:b/>
              </w:rPr>
            </w:pPr>
            <w:r w:rsidRPr="004D0DAA">
              <w:rPr>
                <w:b/>
              </w:rPr>
              <w:t xml:space="preserve">PFI </w:t>
            </w:r>
            <w:r w:rsidRPr="004D0DAA">
              <w:rPr>
                <w:bCs/>
              </w:rPr>
              <w:t>(7 bit field)</w:t>
            </w:r>
          </w:p>
          <w:p w14:paraId="30F31577" w14:textId="77777777" w:rsidR="00711444" w:rsidRPr="004D0DAA" w:rsidRDefault="00711444" w:rsidP="00AA2A4C">
            <w:pPr>
              <w:rPr>
                <w:bCs/>
              </w:rPr>
            </w:pPr>
            <w:r w:rsidRPr="004D0DAA">
              <w:t>This field contains the PFI parameter identifying a Packet Flow Context. The PFI parameter is encoded as the contents of the PFI information element defined in 3GPP TS 44.018.</w:t>
            </w:r>
          </w:p>
        </w:tc>
      </w:tr>
    </w:tbl>
    <w:p w14:paraId="146EA9FF" w14:textId="77777777" w:rsidR="00711444" w:rsidRPr="004D0DAA" w:rsidRDefault="00711444" w:rsidP="00711444"/>
    <w:p w14:paraId="747C6271" w14:textId="77777777" w:rsidR="00711444" w:rsidRPr="004D0DAA" w:rsidRDefault="00711444" w:rsidP="00711444">
      <w:pPr>
        <w:pStyle w:val="Heading3"/>
      </w:pPr>
      <w:bookmarkStart w:id="646" w:name="_Toc516669824"/>
      <w:r w:rsidRPr="004D0DAA">
        <w:lastRenderedPageBreak/>
        <w:t>11.2.2</w:t>
      </w:r>
      <w:r w:rsidRPr="004D0DAA">
        <w:tab/>
        <w:t>Packet Control Acknowledgement</w:t>
      </w:r>
      <w:bookmarkEnd w:id="646"/>
    </w:p>
    <w:p w14:paraId="62D97BD7" w14:textId="77777777" w:rsidR="00711444" w:rsidRPr="004D0DAA" w:rsidRDefault="00711444" w:rsidP="00711444">
      <w:r w:rsidRPr="004D0DAA">
        <w:t xml:space="preserve">This message is sent on the PACCH from the mobile station to the network. In </w:t>
      </w:r>
      <w:r w:rsidRPr="004D0DAA">
        <w:rPr>
          <w:i/>
          <w:iCs/>
        </w:rPr>
        <w:t>Iu mode</w:t>
      </w:r>
      <w:r w:rsidRPr="004D0DAA">
        <w:t>, it is also sent on FACCH, SACCH and SDCCH from the mobile station to the network. The message is formatted either as an RLC/MAC control block using the PACCH block format defined in 3GPP TS 44.004 or as 4 identical access bursts using the PACCH short acknowledgement block format defined in 3GPP TS 44.004. If the CTRL_ACK_EXTENSION field is to be included (i.e. the MS is sending acknowledgement information for a RLC/MAC control message which it knows to have been segmented using extended RLC/MAC control message segmentation - see Table 11.2.2.2) the message shall be formatted as an RLC/MAC control block. Otherwise, if sent as response to a Packet Polling Request message this latter message shall specify the format of the Packet Control Acknowledgement message. Otherwise the System Information parameter CONTROL_ACK_TYPE indicates which format the mobile station shall use. The order of bit transmission is defined in 3GPP TS 44.004. The numbering, assembling and field mapping conventions defined for RLC/MAC control blocks in</w:t>
      </w:r>
      <w:r w:rsidRPr="004D0DAA">
        <w:rPr>
          <w:i/>
        </w:rPr>
        <w:t xml:space="preserve"> </w:t>
      </w:r>
      <w:r w:rsidRPr="004D0DAA">
        <w:t>sub-clause 10.0b shall apply.</w:t>
      </w:r>
    </w:p>
    <w:p w14:paraId="4C70CB6F" w14:textId="77777777" w:rsidR="00711444" w:rsidRPr="004D0DAA" w:rsidRDefault="00711444" w:rsidP="00711444">
      <w:r w:rsidRPr="004D0DAA">
        <w:t>The RLC/MAC control block format is shown in table 11.2.2.1 and table 11.2.2.2.</w:t>
      </w:r>
    </w:p>
    <w:p w14:paraId="1E39437C" w14:textId="77777777" w:rsidR="00711444" w:rsidRPr="004D0DAA" w:rsidRDefault="00711444" w:rsidP="00711444">
      <w:r w:rsidRPr="004D0DAA">
        <w:t>The access burst format is either 11-bit or 8-bit and is coded as shown in table 11.2.2.1. The mobile station shall use the format indicated by the System Information parameter ACCESS_BURST_TYPE. The mobile station shall transmit the access burst four times, one time in each TDMA frame of the uplink radio block.</w:t>
      </w:r>
    </w:p>
    <w:p w14:paraId="15DE9D94" w14:textId="77777777" w:rsidR="00711444" w:rsidRPr="004D0DAA" w:rsidRDefault="00711444" w:rsidP="00711444">
      <w:pPr>
        <w:pStyle w:val="EX"/>
      </w:pPr>
      <w:r w:rsidRPr="004D0DAA">
        <w:t>Message type:</w:t>
      </w:r>
      <w:r w:rsidRPr="004D0DAA">
        <w:tab/>
        <w:t>PACKET CONTROL ACKNOWLEDGEMENT</w:t>
      </w:r>
    </w:p>
    <w:p w14:paraId="184FECB7" w14:textId="77777777" w:rsidR="00711444" w:rsidRPr="004D0DAA" w:rsidRDefault="00711444" w:rsidP="00711444">
      <w:pPr>
        <w:pStyle w:val="EX"/>
      </w:pPr>
      <w:r w:rsidRPr="004D0DAA">
        <w:t>Direction:</w:t>
      </w:r>
      <w:r w:rsidRPr="004D0DAA">
        <w:tab/>
        <w:t>mobile station to network</w:t>
      </w:r>
    </w:p>
    <w:p w14:paraId="4D38F9ED" w14:textId="77777777" w:rsidR="00711444" w:rsidRPr="004D0DAA" w:rsidRDefault="00711444" w:rsidP="00711444">
      <w:pPr>
        <w:pStyle w:val="TH"/>
      </w:pPr>
      <w:r w:rsidRPr="004D0DAA">
        <w:t>Table 11.2.2.1: PACKET CONTROL ACKNOWLEDGEMENT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53E1A92" w14:textId="77777777" w:rsidTr="00AA2A4C">
        <w:tblPrEx>
          <w:tblCellMar>
            <w:top w:w="0" w:type="dxa"/>
            <w:bottom w:w="0" w:type="dxa"/>
          </w:tblCellMar>
        </w:tblPrEx>
        <w:trPr>
          <w:cantSplit/>
        </w:trPr>
        <w:tc>
          <w:tcPr>
            <w:tcW w:w="9848" w:type="dxa"/>
          </w:tcPr>
          <w:p w14:paraId="1DD8E3F3" w14:textId="77777777" w:rsidR="00711444" w:rsidRPr="004D0DAA" w:rsidRDefault="00711444" w:rsidP="00AA2A4C">
            <w:pPr>
              <w:pStyle w:val="TAL"/>
              <w:rPr>
                <w:lang w:eastAsia="en-US"/>
              </w:rPr>
            </w:pPr>
            <w:r w:rsidRPr="004D0DAA">
              <w:rPr>
                <w:lang w:eastAsia="en-US"/>
              </w:rPr>
              <w:t>&lt; Packet Control Acknowledgement message content &gt; ::=</w:t>
            </w:r>
            <w:r w:rsidRPr="004D0DAA">
              <w:rPr>
                <w:lang w:eastAsia="en-US"/>
              </w:rPr>
              <w:tab/>
            </w:r>
            <w:r w:rsidRPr="004D0DAA">
              <w:rPr>
                <w:lang w:eastAsia="en-US"/>
              </w:rPr>
              <w:tab/>
              <w:t xml:space="preserve">-- </w:t>
            </w:r>
            <w:r w:rsidRPr="004D0DAA">
              <w:rPr>
                <w:i/>
                <w:lang w:eastAsia="en-US"/>
              </w:rPr>
              <w:t>RLC/MAC control block format</w:t>
            </w:r>
          </w:p>
          <w:p w14:paraId="24AD95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TLLI/G-RNTI</w:t>
            </w:r>
            <w:r w:rsidRPr="004D0DAA">
              <w:rPr>
                <w:lang w:eastAsia="en-US"/>
              </w:rPr>
              <w:t xml:space="preserve"> : bit (32) &gt;</w:t>
            </w:r>
          </w:p>
          <w:p w14:paraId="324D407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CTRL_ACK</w:t>
            </w:r>
            <w:r w:rsidRPr="004D0DAA">
              <w:rPr>
                <w:lang w:eastAsia="en-US"/>
              </w:rPr>
              <w:t xml:space="preserve"> : bit (2) &gt;</w:t>
            </w:r>
          </w:p>
          <w:p w14:paraId="58AFF850" w14:textId="77777777" w:rsidR="00711444" w:rsidRPr="004D0DAA" w:rsidRDefault="00711444" w:rsidP="00AA2A4C">
            <w:pPr>
              <w:pStyle w:val="TAL"/>
              <w:rPr>
                <w:i/>
                <w:lang w:eastAsia="en-US"/>
              </w:rPr>
            </w:pP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 of the protocol</w:t>
            </w:r>
          </w:p>
          <w:p w14:paraId="71D60D65"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5 additions</w:t>
            </w:r>
          </w:p>
          <w:p w14:paraId="3BCCD0F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TN_RRBP</w:t>
            </w:r>
            <w:r w:rsidRPr="004D0DAA">
              <w:rPr>
                <w:lang w:eastAsia="en-US"/>
              </w:rPr>
              <w:t xml:space="preserve"> : bit (3) &gt; }</w:t>
            </w:r>
          </w:p>
          <w:p w14:paraId="3B7904D2"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 xml:space="preserve">G-RNTI extension </w:t>
            </w:r>
            <w:r w:rsidRPr="004D0DAA">
              <w:rPr>
                <w:iCs/>
                <w:lang w:eastAsia="en-US"/>
              </w:rPr>
              <w:t>: bit (4) &gt; }</w:t>
            </w:r>
          </w:p>
          <w:p w14:paraId="2CBAC083"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 of the protocol</w:t>
            </w:r>
          </w:p>
          <w:p w14:paraId="13781B5D" w14:textId="77777777" w:rsidR="00711444" w:rsidRPr="004D0DAA" w:rsidRDefault="00711444" w:rsidP="00AA2A4C">
            <w:pPr>
              <w:pStyle w:val="TAL"/>
              <w:rPr>
                <w:i/>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w:t>
            </w:r>
            <w:r w:rsidRPr="004D0DAA">
              <w:rPr>
                <w:i/>
                <w:iCs/>
                <w:lang w:eastAsia="en-US"/>
              </w:rPr>
              <w:t>Release 6 additions</w:t>
            </w:r>
          </w:p>
          <w:p w14:paraId="01BE73FD"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CTRL_ACK_EXTENSION</w:t>
            </w:r>
            <w:r w:rsidRPr="004D0DAA">
              <w:rPr>
                <w:iCs/>
                <w:lang w:eastAsia="en-US"/>
              </w:rPr>
              <w:t xml:space="preserve"> : bit (9) &gt; }</w:t>
            </w:r>
          </w:p>
          <w:p w14:paraId="0274630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 } } ;</w:t>
            </w:r>
          </w:p>
          <w:p w14:paraId="46083DF8" w14:textId="77777777" w:rsidR="00711444" w:rsidRPr="004D0DAA" w:rsidRDefault="00711444" w:rsidP="00AA2A4C">
            <w:pPr>
              <w:pStyle w:val="TAL"/>
              <w:rPr>
                <w:lang w:eastAsia="en-US"/>
              </w:rPr>
            </w:pPr>
          </w:p>
        </w:tc>
      </w:tr>
      <w:tr w:rsidR="00711444" w:rsidRPr="004D0DAA" w14:paraId="79E3EFC0" w14:textId="77777777" w:rsidTr="00AA2A4C">
        <w:tblPrEx>
          <w:tblCellMar>
            <w:top w:w="0" w:type="dxa"/>
            <w:bottom w:w="0" w:type="dxa"/>
          </w:tblCellMar>
        </w:tblPrEx>
        <w:trPr>
          <w:cantSplit/>
        </w:trPr>
        <w:tc>
          <w:tcPr>
            <w:tcW w:w="9848" w:type="dxa"/>
          </w:tcPr>
          <w:p w14:paraId="7A8E302C" w14:textId="77777777" w:rsidR="00711444" w:rsidRPr="004D0DAA" w:rsidRDefault="00711444" w:rsidP="00AA2A4C">
            <w:pPr>
              <w:pStyle w:val="TAL"/>
              <w:rPr>
                <w:lang w:eastAsia="en-US"/>
              </w:rPr>
            </w:pPr>
            <w:r w:rsidRPr="004D0DAA">
              <w:rPr>
                <w:lang w:eastAsia="en-US"/>
              </w:rPr>
              <w:t>&lt; Packet Control Acknowledgement 11 bit message &gt; ::=</w:t>
            </w:r>
            <w:r w:rsidRPr="004D0DAA">
              <w:rPr>
                <w:lang w:eastAsia="en-US"/>
              </w:rPr>
              <w:tab/>
            </w:r>
            <w:r w:rsidRPr="004D0DAA">
              <w:rPr>
                <w:lang w:eastAsia="en-US"/>
              </w:rPr>
              <w:tab/>
              <w:t xml:space="preserve">-- </w:t>
            </w:r>
            <w:r w:rsidRPr="004D0DAA">
              <w:rPr>
                <w:i/>
                <w:lang w:eastAsia="en-US"/>
              </w:rPr>
              <w:t>11-bit access burst format</w:t>
            </w:r>
          </w:p>
          <w:p w14:paraId="3BDAFFB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xml:space="preserve"> : bit (9) == 1111 1100 1 &gt;</w:t>
            </w:r>
          </w:p>
          <w:p w14:paraId="5B9119DF" w14:textId="77777777" w:rsidR="00711444" w:rsidRPr="004D0DAA" w:rsidRDefault="00711444" w:rsidP="00AA2A4C">
            <w:pPr>
              <w:pStyle w:val="TAL"/>
              <w:rPr>
                <w:lang w:eastAsia="en-US"/>
              </w:rPr>
            </w:pPr>
            <w:r w:rsidRPr="004D0DAA">
              <w:rPr>
                <w:lang w:eastAsia="en-US"/>
              </w:rPr>
              <w:tab/>
              <w:t>|</w:t>
            </w:r>
            <w:r w:rsidRPr="004D0DAA">
              <w:rPr>
                <w:lang w:eastAsia="en-US"/>
              </w:rPr>
              <w:tab/>
              <w:t>{</w:t>
            </w:r>
            <w:r w:rsidRPr="004D0DAA">
              <w:rPr>
                <w:lang w:eastAsia="en-US"/>
              </w:rPr>
              <w:tab/>
              <w:t xml:space="preserve">&lt; </w:t>
            </w:r>
            <w:r w:rsidRPr="004D0DAA">
              <w:rPr>
                <w:b/>
                <w:lang w:eastAsia="en-US"/>
              </w:rPr>
              <w:t>MESSAGE_TYPE</w:t>
            </w:r>
            <w:r w:rsidRPr="004D0DAA">
              <w:rPr>
                <w:lang w:eastAsia="en-US"/>
              </w:rPr>
              <w:t xml:space="preserve"> : bit (6) == 110111 &gt;</w:t>
            </w:r>
          </w:p>
          <w:p w14:paraId="689A6CA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TN_RRBP</w:t>
            </w:r>
            <w:r w:rsidRPr="004D0DAA">
              <w:rPr>
                <w:lang w:eastAsia="en-US"/>
              </w:rPr>
              <w:t xml:space="preserve"> : bit (3) &gt; }</w:t>
            </w:r>
          </w:p>
          <w:p w14:paraId="0747516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CTRL_ACK </w:t>
            </w:r>
            <w:r w:rsidRPr="004D0DAA">
              <w:rPr>
                <w:lang w:eastAsia="en-US"/>
              </w:rPr>
              <w:t>: bit (2) &gt; ;</w:t>
            </w:r>
          </w:p>
          <w:p w14:paraId="560ADD98" w14:textId="77777777" w:rsidR="00711444" w:rsidRPr="004D0DAA" w:rsidRDefault="00711444" w:rsidP="00AA2A4C">
            <w:pPr>
              <w:pStyle w:val="TAL"/>
              <w:rPr>
                <w:lang w:eastAsia="en-US"/>
              </w:rPr>
            </w:pPr>
          </w:p>
        </w:tc>
      </w:tr>
      <w:tr w:rsidR="00711444" w:rsidRPr="004D0DAA" w14:paraId="7D697E15" w14:textId="77777777" w:rsidTr="00AA2A4C">
        <w:tblPrEx>
          <w:tblCellMar>
            <w:top w:w="0" w:type="dxa"/>
            <w:bottom w:w="0" w:type="dxa"/>
          </w:tblCellMar>
        </w:tblPrEx>
        <w:trPr>
          <w:cantSplit/>
        </w:trPr>
        <w:tc>
          <w:tcPr>
            <w:tcW w:w="9848" w:type="dxa"/>
          </w:tcPr>
          <w:p w14:paraId="3871894B" w14:textId="77777777" w:rsidR="00711444" w:rsidRPr="004D0DAA" w:rsidRDefault="00711444" w:rsidP="00AA2A4C">
            <w:pPr>
              <w:pStyle w:val="TAL"/>
              <w:rPr>
                <w:lang w:eastAsia="en-US"/>
              </w:rPr>
            </w:pPr>
            <w:r w:rsidRPr="004D0DAA">
              <w:rPr>
                <w:lang w:eastAsia="en-US"/>
              </w:rPr>
              <w:t>&lt; Packet Control Acknowledgement 8 bit message &gt; ::=</w:t>
            </w:r>
            <w:r w:rsidRPr="004D0DAA">
              <w:rPr>
                <w:lang w:eastAsia="en-US"/>
              </w:rPr>
              <w:tab/>
            </w:r>
            <w:r w:rsidRPr="004D0DAA">
              <w:rPr>
                <w:lang w:eastAsia="en-US"/>
              </w:rPr>
              <w:tab/>
            </w:r>
            <w:r w:rsidRPr="004D0DAA">
              <w:rPr>
                <w:lang w:eastAsia="en-US"/>
              </w:rPr>
              <w:tab/>
              <w:t xml:space="preserve">-- </w:t>
            </w:r>
            <w:r w:rsidRPr="004D0DAA">
              <w:rPr>
                <w:i/>
                <w:lang w:eastAsia="en-US"/>
              </w:rPr>
              <w:t>8-bit access burst format</w:t>
            </w:r>
          </w:p>
          <w:p w14:paraId="76ACD57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xml:space="preserve"> : bit (6) == 0111 11 &gt;</w:t>
            </w:r>
          </w:p>
          <w:p w14:paraId="5F87150B" w14:textId="77777777" w:rsidR="00711444" w:rsidRPr="004D0DAA" w:rsidRDefault="00711444" w:rsidP="00AA2A4C">
            <w:pPr>
              <w:pStyle w:val="TAL"/>
              <w:rPr>
                <w:lang w:eastAsia="en-US"/>
              </w:rPr>
            </w:pPr>
            <w:r w:rsidRPr="004D0DAA">
              <w:rPr>
                <w:lang w:eastAsia="en-US"/>
              </w:rPr>
              <w:tab/>
              <w:t>|</w:t>
            </w:r>
            <w:r w:rsidRPr="004D0DAA">
              <w:rPr>
                <w:lang w:eastAsia="en-US"/>
              </w:rPr>
              <w:tab/>
              <w:t>{</w:t>
            </w:r>
            <w:r w:rsidRPr="004D0DAA">
              <w:rPr>
                <w:lang w:eastAsia="en-US"/>
              </w:rPr>
              <w:tab/>
              <w:t xml:space="preserve">&lt; </w:t>
            </w:r>
            <w:r w:rsidRPr="004D0DAA">
              <w:rPr>
                <w:b/>
                <w:lang w:eastAsia="en-US"/>
              </w:rPr>
              <w:t>MESSAGE_TYPE</w:t>
            </w:r>
            <w:r w:rsidRPr="004D0DAA">
              <w:rPr>
                <w:lang w:eastAsia="en-US"/>
              </w:rPr>
              <w:t xml:space="preserve"> : bit (3) == 000&gt;</w:t>
            </w:r>
          </w:p>
          <w:p w14:paraId="5C3F31E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TN_RRBP</w:t>
            </w:r>
            <w:r w:rsidRPr="004D0DAA">
              <w:rPr>
                <w:lang w:eastAsia="en-US"/>
              </w:rPr>
              <w:t xml:space="preserve"> : bit (3) &gt; }</w:t>
            </w:r>
          </w:p>
          <w:p w14:paraId="7F6AE5E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CTRL_ACK </w:t>
            </w:r>
            <w:r w:rsidRPr="004D0DAA">
              <w:rPr>
                <w:lang w:eastAsia="en-US"/>
              </w:rPr>
              <w:t>: bit (2) &gt; ;</w:t>
            </w:r>
          </w:p>
          <w:p w14:paraId="4303A1F8" w14:textId="77777777" w:rsidR="00711444" w:rsidRPr="004D0DAA" w:rsidRDefault="00711444" w:rsidP="00AA2A4C">
            <w:pPr>
              <w:pStyle w:val="TAL"/>
              <w:rPr>
                <w:lang w:eastAsia="en-US"/>
              </w:rPr>
            </w:pPr>
          </w:p>
        </w:tc>
      </w:tr>
    </w:tbl>
    <w:p w14:paraId="5316E769" w14:textId="77777777" w:rsidR="00711444" w:rsidRPr="004D0DAA" w:rsidRDefault="00711444" w:rsidP="00711444"/>
    <w:p w14:paraId="30B883AF" w14:textId="77777777" w:rsidR="00711444" w:rsidRPr="004D0DAA" w:rsidRDefault="00711444" w:rsidP="00711444">
      <w:pPr>
        <w:pStyle w:val="TH"/>
      </w:pPr>
      <w:r w:rsidRPr="004D0DAA">
        <w:t>Table 11.2.2.2: PACKET CONTROL ACKNOWLEDGEMENT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7D6C2CB" w14:textId="77777777" w:rsidTr="00AA2A4C">
        <w:tblPrEx>
          <w:tblCellMar>
            <w:top w:w="0" w:type="dxa"/>
            <w:bottom w:w="0" w:type="dxa"/>
          </w:tblCellMar>
        </w:tblPrEx>
        <w:trPr>
          <w:cantSplit/>
        </w:trPr>
        <w:tc>
          <w:tcPr>
            <w:tcW w:w="9848" w:type="dxa"/>
          </w:tcPr>
          <w:p w14:paraId="31A09090" w14:textId="77777777" w:rsidR="00711444" w:rsidRPr="004D0DAA" w:rsidRDefault="00711444" w:rsidP="00AA2A4C">
            <w:pPr>
              <w:rPr>
                <w:b/>
              </w:rPr>
            </w:pPr>
            <w:r w:rsidRPr="004D0DAA">
              <w:rPr>
                <w:b/>
              </w:rPr>
              <w:t>TLLI/G-RNTI</w:t>
            </w:r>
            <w:r w:rsidRPr="004D0DAA">
              <w:t xml:space="preserve"> (32 bit field)</w:t>
            </w:r>
            <w:r w:rsidRPr="004D0DAA">
              <w:br/>
              <w:t>This field contains the TLLI/G-RNTI of the mobile station. This field is encoded as defined in</w:t>
            </w:r>
            <w:r w:rsidRPr="004D0DAA">
              <w:rPr>
                <w:i/>
              </w:rPr>
              <w:t xml:space="preserve"> </w:t>
            </w:r>
            <w:r w:rsidRPr="004D0DAA">
              <w:t>sub-clause 12.16.</w:t>
            </w:r>
          </w:p>
        </w:tc>
      </w:tr>
      <w:tr w:rsidR="00711444" w:rsidRPr="004D0DAA" w14:paraId="46EC824A" w14:textId="77777777" w:rsidTr="00AA2A4C">
        <w:tblPrEx>
          <w:tblCellMar>
            <w:top w:w="0" w:type="dxa"/>
            <w:bottom w:w="0" w:type="dxa"/>
          </w:tblCellMar>
        </w:tblPrEx>
        <w:trPr>
          <w:cantSplit/>
        </w:trPr>
        <w:tc>
          <w:tcPr>
            <w:tcW w:w="9848" w:type="dxa"/>
          </w:tcPr>
          <w:p w14:paraId="04FBE7D3" w14:textId="77777777" w:rsidR="00711444" w:rsidRPr="004D0DAA" w:rsidRDefault="00711444" w:rsidP="00AA2A4C">
            <w:r w:rsidRPr="004D0DAA">
              <w:rPr>
                <w:b/>
              </w:rPr>
              <w:lastRenderedPageBreak/>
              <w:t>CTRL_ACK</w:t>
            </w:r>
            <w:r w:rsidRPr="004D0DAA">
              <w:t xml:space="preserve"> (2 bit field)</w:t>
            </w:r>
            <w:r w:rsidRPr="004D0DAA">
              <w:br/>
              <w:t>This field contains acknowledgement information for the group of RLC/MAC control blocks that make up an RLC/MAC control message. The mobile station shall set the CTRL_ACK field to indicate which segments of an RLC/MAC control message have been received by the time of transmission of the PACKET CONTROL ACKNOWLEDGEMENT message.</w:t>
            </w:r>
          </w:p>
          <w:p w14:paraId="4EF949B7" w14:textId="77777777" w:rsidR="00711444" w:rsidRPr="004D0DAA" w:rsidRDefault="00711444" w:rsidP="00AA2A4C">
            <w:r w:rsidRPr="004D0DAA">
              <w:t>This field can also be coded to contain the information if the mobile station is requesting the establishment of new TBF. This coding is allowed only when the message is sent in access burst format as a response to the PACKET UPLINK ACK/NACK message with Final Ack Indicator set to '1' and TBF Est is set to '1'.</w:t>
            </w:r>
          </w:p>
          <w:p w14:paraId="4C8DD6EF" w14:textId="77777777" w:rsidR="00711444" w:rsidRPr="004D0DAA" w:rsidRDefault="00711444" w:rsidP="00AA2A4C">
            <w:r w:rsidRPr="004D0DAA">
              <w:t>If the PACKET CONTROL ACKNOWLEDGEMENT message is being transmitted in response to a valid RRBP field received as part of an RLC/MAC block with Payload Type equal to '10', the CTRL_ACK field shall be set according to the following table:</w:t>
            </w:r>
          </w:p>
          <w:p w14:paraId="787B666A" w14:textId="77777777" w:rsidR="00711444" w:rsidRPr="004D0DAA" w:rsidRDefault="00711444" w:rsidP="00AA2A4C">
            <w:pPr>
              <w:pStyle w:val="FP"/>
              <w:tabs>
                <w:tab w:val="left" w:pos="567"/>
              </w:tabs>
              <w:ind w:left="567" w:hanging="567"/>
            </w:pPr>
            <w:r w:rsidRPr="004D0DAA">
              <w:t>bit</w:t>
            </w:r>
          </w:p>
          <w:p w14:paraId="3114D750" w14:textId="77777777" w:rsidR="00711444" w:rsidRPr="004D0DAA" w:rsidRDefault="00711444" w:rsidP="00AA2A4C">
            <w:pPr>
              <w:pStyle w:val="FP"/>
              <w:tabs>
                <w:tab w:val="left" w:pos="567"/>
              </w:tabs>
              <w:ind w:left="567" w:hanging="567"/>
            </w:pPr>
            <w:r w:rsidRPr="004D0DAA">
              <w:t>2 1</w:t>
            </w:r>
          </w:p>
          <w:p w14:paraId="0794D3A2" w14:textId="77777777" w:rsidR="00711444" w:rsidRPr="004D0DAA" w:rsidRDefault="00711444" w:rsidP="00AA2A4C">
            <w:pPr>
              <w:pStyle w:val="FP"/>
              <w:tabs>
                <w:tab w:val="left" w:pos="567"/>
              </w:tabs>
              <w:ind w:left="567" w:hanging="567"/>
            </w:pPr>
            <w:r w:rsidRPr="004D0DAA">
              <w:t>0 0</w:t>
            </w:r>
            <w:r w:rsidRPr="004D0DAA">
              <w:tab/>
            </w:r>
            <w:r w:rsidRPr="004D0DAA">
              <w:tab/>
              <w:t>in case the message is sent in access burst format, the same meaning as for the value '11' except that the mobile station is requesting new TBF. Otherwise the bit value '00' is reserved and shall not be sent. If received it shall be intepreted as bit value '01'.</w:t>
            </w:r>
          </w:p>
          <w:p w14:paraId="7387B0D6" w14:textId="77777777" w:rsidR="00711444" w:rsidRPr="004D0DAA" w:rsidRDefault="00711444" w:rsidP="00AA2A4C">
            <w:pPr>
              <w:pStyle w:val="FP"/>
              <w:tabs>
                <w:tab w:val="left" w:pos="567"/>
              </w:tabs>
              <w:ind w:left="567" w:hanging="567"/>
            </w:pPr>
            <w:r w:rsidRPr="004D0DAA">
              <w:t>0 1</w:t>
            </w:r>
            <w:r w:rsidRPr="004D0DAA">
              <w:tab/>
            </w:r>
            <w:r w:rsidRPr="004D0DAA">
              <w:tab/>
              <w:t>the MS received an RLC/MAC control block addressed to itself and with RBSN = 1, and did not receive an</w:t>
            </w:r>
            <w:r w:rsidRPr="004D0DAA">
              <w:tab/>
              <w:t>RLC/MAC control block with the same RTI value and RBSN = 0.</w:t>
            </w:r>
          </w:p>
          <w:p w14:paraId="3797EA6B" w14:textId="77777777" w:rsidR="00711444" w:rsidRPr="004D0DAA" w:rsidRDefault="00711444" w:rsidP="00AA2A4C">
            <w:pPr>
              <w:pStyle w:val="FP"/>
              <w:tabs>
                <w:tab w:val="left" w:pos="567"/>
              </w:tabs>
              <w:ind w:left="567" w:hanging="567"/>
            </w:pPr>
            <w:r w:rsidRPr="004D0DAA">
              <w:t>1 0</w:t>
            </w:r>
            <w:r w:rsidRPr="004D0DAA">
              <w:tab/>
            </w:r>
            <w:r w:rsidRPr="004D0DAA">
              <w:tab/>
              <w:t>the MS received an RLC/MAC control block addressed to itself and with RBSN = 0, and did not receive an</w:t>
            </w:r>
            <w:r w:rsidRPr="004D0DAA">
              <w:tab/>
              <w:t>RLC/MAC control block with the same RTI value and RBSN = 1. This value is sent irrespective of the value of the FS bit.</w:t>
            </w:r>
          </w:p>
          <w:p w14:paraId="5A08DB45" w14:textId="77777777" w:rsidR="00711444" w:rsidRPr="004D0DAA" w:rsidRDefault="00711444" w:rsidP="00AA2A4C">
            <w:pPr>
              <w:pStyle w:val="FP"/>
              <w:tabs>
                <w:tab w:val="left" w:pos="567"/>
              </w:tabs>
              <w:ind w:left="567" w:hanging="567"/>
            </w:pPr>
            <w:r w:rsidRPr="004D0DAA">
              <w:t>1 1</w:t>
            </w:r>
            <w:r w:rsidRPr="004D0DAA">
              <w:tab/>
            </w:r>
            <w:r w:rsidRPr="004D0DAA">
              <w:tab/>
              <w:t>the MS received two RLC/MAC blocks with the same RTI value, one with RBSN = 0 and the other with RBSN = 1.</w:t>
            </w:r>
          </w:p>
          <w:p w14:paraId="20D0BC16" w14:textId="77777777" w:rsidR="00711444" w:rsidRPr="004D0DAA" w:rsidRDefault="00711444" w:rsidP="00AA2A4C">
            <w:pPr>
              <w:pStyle w:val="FP"/>
              <w:tabs>
                <w:tab w:val="left" w:pos="567"/>
              </w:tabs>
              <w:ind w:left="567" w:hanging="567"/>
            </w:pPr>
          </w:p>
          <w:p w14:paraId="02CC5F8E" w14:textId="77777777" w:rsidR="00711444" w:rsidRPr="004D0DAA" w:rsidRDefault="00711444" w:rsidP="00AA2A4C">
            <w:r w:rsidRPr="004D0DAA">
              <w:t>If the PACKET CONTROL ACKNOWLEDGEMENT message is being transmitted in response to a valid RRBP field received as part of an RLC/MAC block with Payload Type not equal to '10', the CTRL_ACK field shall be set to the value '11' in case the message is sent in normal burst format or in case the mobile station is not requesting new TBF. In case the message is sent in access burst format and the mobile station is requesting new TBF, the CTRL_ACK field shall be set to the value '00'.</w:t>
            </w:r>
          </w:p>
          <w:p w14:paraId="757A699A" w14:textId="77777777" w:rsidR="00711444" w:rsidRPr="004D0DAA" w:rsidRDefault="00711444" w:rsidP="00AA2A4C">
            <w:r w:rsidRPr="004D0DAA">
              <w:t>If the PACKET CONTROL ACKNOWLEDGEMENT message is being transmitted in response to a polling request in an IMMEDIATE ASSIGNMENT message received on CCCH, the CTRL_ACK field shall be set to the value '11'.</w:t>
            </w:r>
          </w:p>
          <w:p w14:paraId="743240CA" w14:textId="77777777" w:rsidR="00711444" w:rsidRPr="004D0DAA" w:rsidRDefault="00711444" w:rsidP="00AA2A4C">
            <w:pPr>
              <w:rPr>
                <w:b/>
              </w:rPr>
            </w:pPr>
            <w:r w:rsidRPr="004D0DAA">
              <w:t>If the mobile station receives an RLC/MAC block with Payload Type equal to '10' and RLC/MAC block with Payload Type not equal to '10' with different RRBP values such that they specify the same uplink block, the mobile station shall set the CTRL_ACK field according to the group of RLC/MAC control blocks that the RLC/MAC block with Payload Type equal to '10' belongs.</w:t>
            </w:r>
          </w:p>
        </w:tc>
      </w:tr>
      <w:tr w:rsidR="00711444" w:rsidRPr="004D0DAA" w14:paraId="385934C9" w14:textId="77777777" w:rsidTr="00AA2A4C">
        <w:tblPrEx>
          <w:tblCellMar>
            <w:top w:w="0" w:type="dxa"/>
            <w:bottom w:w="0" w:type="dxa"/>
          </w:tblCellMar>
        </w:tblPrEx>
        <w:trPr>
          <w:cantSplit/>
        </w:trPr>
        <w:tc>
          <w:tcPr>
            <w:tcW w:w="9848" w:type="dxa"/>
          </w:tcPr>
          <w:p w14:paraId="7A4F22ED" w14:textId="77777777" w:rsidR="00711444" w:rsidRPr="004D0DAA" w:rsidRDefault="00711444" w:rsidP="00AA2A4C">
            <w:pPr>
              <w:rPr>
                <w:bCs/>
              </w:rPr>
            </w:pPr>
            <w:r w:rsidRPr="004D0DAA">
              <w:rPr>
                <w:b/>
              </w:rPr>
              <w:lastRenderedPageBreak/>
              <w:t>CTRL_ACK_EXTENSION</w:t>
            </w:r>
            <w:r w:rsidRPr="004D0DAA">
              <w:rPr>
                <w:bCs/>
              </w:rPr>
              <w:t xml:space="preserve"> (9 bit field)</w:t>
            </w:r>
            <w:r w:rsidRPr="004D0DAA">
              <w:rPr>
                <w:bCs/>
              </w:rPr>
              <w:br/>
              <w:t>This field contains acknowledgement information for the group of up to nine RLC/MAC control blocks that make up an RLC/MAC control message</w:t>
            </w:r>
            <w:r w:rsidRPr="004D0DAA">
              <w:t xml:space="preserve"> sent using extended RLC/MAC control message segmentation</w:t>
            </w:r>
            <w:r w:rsidRPr="004D0DAA">
              <w:rPr>
                <w:bCs/>
              </w:rPr>
              <w:t>. The mobile station shall set the CTRL_ACK_EXTENSION field to indicate which segments of an RLC/MAC control message addressed to itself have been received by the time of transmission of the PACKET CONTROL ACKNOWLEDGEMENT message. Bit at index n in the CTRL_ACK_EXTENSION field indicates whether RLC/MAC control block "10 - n" has been received. This bit shall be set to ‘1’ if the corresponding RLC/MAC control block has been received and to ‘0’ otherwise. When CTRL_ACK_EXTENSION field is present, the CTRL_ACK field shall be ignored. The CTRL_ACK_EXTENSION field shall be included only if the MS knows an RLC/MAC control message has been segmented using extended RLC/MAC control message segmentation (i.e. the MS has received at least one segment other than the first segment of an RLC/MAC control message segmented using extended RLC/MAC control message segmentation). The CTRL_ACK_EXTENSION field shall not be included if the MS has only received the first segment of an RLC/MAC control message and hence does not know whether extended RLC/MAC control message segmentation is used.</w:t>
            </w:r>
          </w:p>
          <w:p w14:paraId="48FBDA54" w14:textId="77777777" w:rsidR="00711444" w:rsidRPr="004D0DAA" w:rsidRDefault="00711444" w:rsidP="00AA2A4C">
            <w:pPr>
              <w:pStyle w:val="FP"/>
            </w:pPr>
            <w:r w:rsidRPr="004D0DAA">
              <w:t>bit</w:t>
            </w:r>
            <w:r w:rsidRPr="004D0DAA">
              <w:br/>
              <w:t>9 8 7 6 5 4 3 2 1</w:t>
            </w:r>
          </w:p>
          <w:p w14:paraId="00F3A8A7" w14:textId="77777777" w:rsidR="00711444" w:rsidRPr="004D0DAA" w:rsidRDefault="00711444" w:rsidP="00AA2A4C">
            <w:pPr>
              <w:pStyle w:val="FP"/>
            </w:pPr>
            <w:r w:rsidRPr="004D0DAA">
              <w:t>0 0 0 0 0 0 0 0 0</w:t>
            </w:r>
            <w:r w:rsidRPr="004D0DAA">
              <w:tab/>
            </w:r>
            <w:r w:rsidRPr="004D0DAA">
              <w:tab/>
              <w:t>this value is reserved and shall not be sent.</w:t>
            </w:r>
          </w:p>
          <w:p w14:paraId="1E99C3DF" w14:textId="77777777" w:rsidR="00711444" w:rsidRPr="004D0DAA" w:rsidRDefault="00711444" w:rsidP="00AA2A4C">
            <w:pPr>
              <w:pStyle w:val="FP"/>
            </w:pPr>
            <w:r w:rsidRPr="004D0DAA">
              <w:t>1 0 0 0 0 0 0 0 0</w:t>
            </w:r>
            <w:r w:rsidRPr="004D0DAA">
              <w:tab/>
            </w:r>
            <w:r w:rsidRPr="004D0DAA">
              <w:tab/>
              <w:t>this value is reserved and shall not be sent.</w:t>
            </w:r>
          </w:p>
          <w:p w14:paraId="0BFBF425" w14:textId="77777777" w:rsidR="00711444" w:rsidRPr="004D0DAA" w:rsidRDefault="00711444" w:rsidP="00AA2A4C">
            <w:pPr>
              <w:pStyle w:val="FP"/>
            </w:pPr>
            <w:r w:rsidRPr="004D0DAA">
              <w:t xml:space="preserve"> …</w:t>
            </w:r>
          </w:p>
          <w:p w14:paraId="5BD1DBE9" w14:textId="77777777" w:rsidR="00711444" w:rsidRPr="004D0DAA" w:rsidRDefault="00711444" w:rsidP="00AA2A4C">
            <w:pPr>
              <w:pStyle w:val="FP"/>
              <w:ind w:left="1701" w:hanging="1701"/>
            </w:pPr>
            <w:r w:rsidRPr="004D0DAA">
              <w:t>0 0 1 0 1 0 0 0 0</w:t>
            </w:r>
            <w:r w:rsidRPr="004D0DAA">
              <w:tab/>
              <w:t>the MS received the 3</w:t>
            </w:r>
            <w:r w:rsidRPr="004D0DAA">
              <w:rPr>
                <w:vertAlign w:val="superscript"/>
              </w:rPr>
              <w:t>rd</w:t>
            </w:r>
            <w:r w:rsidRPr="004D0DAA">
              <w:t xml:space="preserve"> and 5</w:t>
            </w:r>
            <w:r w:rsidRPr="004D0DAA">
              <w:rPr>
                <w:vertAlign w:val="superscript"/>
              </w:rPr>
              <w:t>th</w:t>
            </w:r>
            <w:r w:rsidRPr="004D0DAA">
              <w:t xml:space="preserve"> segments (i.e. with RBSN = ‘1’ and RBSNe = ‘001’ and RBSN = ‘1’ and RBSNe = ‘011’ respectively) of an RLC/MAC control message sent using a given RTI value and did not receive any other RLC/MAC control block(s) with other RBSN and RBSNe values having that same RTI value.</w:t>
            </w:r>
          </w:p>
          <w:p w14:paraId="1CEE5F23" w14:textId="77777777" w:rsidR="00711444" w:rsidRPr="004D0DAA" w:rsidRDefault="00711444" w:rsidP="00AA2A4C">
            <w:pPr>
              <w:pStyle w:val="FP"/>
            </w:pPr>
            <w:r w:rsidRPr="004D0DAA">
              <w:t xml:space="preserve"> …</w:t>
            </w:r>
          </w:p>
          <w:p w14:paraId="7FC489A4" w14:textId="77777777" w:rsidR="00711444" w:rsidRPr="004D0DAA" w:rsidRDefault="00711444" w:rsidP="00AA2A4C">
            <w:pPr>
              <w:pStyle w:val="FP"/>
            </w:pPr>
            <w:r w:rsidRPr="004D0DAA">
              <w:t>1 1 1 1 1 1 1 1 1</w:t>
            </w:r>
            <w:r w:rsidRPr="004D0DAA">
              <w:tab/>
            </w:r>
            <w:r w:rsidRPr="004D0DAA">
              <w:tab/>
              <w:t>the MS received all nine segments of an RLC/MAC control message.</w:t>
            </w:r>
          </w:p>
          <w:p w14:paraId="31E1672B" w14:textId="77777777" w:rsidR="00711444" w:rsidRPr="004D0DAA" w:rsidRDefault="00711444" w:rsidP="00AA2A4C">
            <w:pPr>
              <w:pStyle w:val="FP"/>
            </w:pPr>
          </w:p>
          <w:p w14:paraId="2F3FA993" w14:textId="77777777" w:rsidR="00711444" w:rsidRPr="004D0DAA" w:rsidRDefault="00711444" w:rsidP="00AA2A4C">
            <w:r w:rsidRPr="004D0DAA">
              <w:t>If the mobile station receives an RLC/MAC block with Payload Type equal to '10' and an RLC/MAC block with Payload Type not equal to '10' with different RRBP values such that they specify the same uplink block, the mobile station shall set the CTRL_ACK_EXTENSION field according to the group of RLC/MAC control blocks that the RLC/MAC block with Payload Type equal to '10' belongs.</w:t>
            </w:r>
          </w:p>
        </w:tc>
      </w:tr>
      <w:tr w:rsidR="00711444" w:rsidRPr="004D0DAA" w14:paraId="3CF41908" w14:textId="77777777" w:rsidTr="00AA2A4C">
        <w:tblPrEx>
          <w:tblCellMar>
            <w:top w:w="0" w:type="dxa"/>
            <w:bottom w:w="0" w:type="dxa"/>
          </w:tblCellMar>
        </w:tblPrEx>
        <w:trPr>
          <w:cantSplit/>
        </w:trPr>
        <w:tc>
          <w:tcPr>
            <w:tcW w:w="9848" w:type="dxa"/>
          </w:tcPr>
          <w:p w14:paraId="514AC854" w14:textId="77777777" w:rsidR="00711444" w:rsidRPr="004D0DAA" w:rsidRDefault="00711444" w:rsidP="00AA2A4C">
            <w:pPr>
              <w:rPr>
                <w:b/>
              </w:rPr>
            </w:pPr>
            <w:r w:rsidRPr="004D0DAA">
              <w:rPr>
                <w:b/>
              </w:rPr>
              <w:t>TN_RRBP</w:t>
            </w:r>
            <w:r w:rsidRPr="004D0DAA">
              <w:t xml:space="preserve"> (3 bit field)</w:t>
            </w:r>
            <w:r w:rsidRPr="004D0DAA">
              <w:br/>
              <w:t>This field contains the timeslot number of the downlink PDCH on which the RRBP was received. The TN_RRBP field is coded as the binary representation of the timeslot number as defined in 3GPP TS 45.002.</w:t>
            </w:r>
          </w:p>
        </w:tc>
      </w:tr>
      <w:tr w:rsidR="00711444" w:rsidRPr="004D0DAA" w14:paraId="3AD59457" w14:textId="77777777" w:rsidTr="00AA2A4C">
        <w:tblPrEx>
          <w:tblCellMar>
            <w:top w:w="0" w:type="dxa"/>
            <w:bottom w:w="0" w:type="dxa"/>
          </w:tblCellMar>
        </w:tblPrEx>
        <w:trPr>
          <w:cantSplit/>
        </w:trPr>
        <w:tc>
          <w:tcPr>
            <w:tcW w:w="9848" w:type="dxa"/>
          </w:tcPr>
          <w:p w14:paraId="7B710B90" w14:textId="77777777" w:rsidR="00711444" w:rsidRPr="004D0DAA" w:rsidRDefault="00711444" w:rsidP="00AA2A4C">
            <w:r w:rsidRPr="004D0DAA">
              <w:rPr>
                <w:b/>
              </w:rPr>
              <w:t>G-RNTI extension</w:t>
            </w:r>
            <w:r w:rsidRPr="004D0DAA">
              <w:t xml:space="preserve"> (4 bit field)</w:t>
            </w:r>
            <w:r w:rsidRPr="004D0DAA">
              <w:br/>
              <w:t xml:space="preserve">This field contains the extra 4 bits of the G-RNTI not included in the TLLI / G-RNTI field which are necessary to provide a unique identifier in </w:t>
            </w:r>
            <w:r w:rsidRPr="004D0DAA">
              <w:rPr>
                <w:i/>
                <w:iCs/>
              </w:rPr>
              <w:t>Iu mode</w:t>
            </w:r>
            <w:r w:rsidRPr="004D0DAA">
              <w:t>.</w:t>
            </w:r>
          </w:p>
        </w:tc>
      </w:tr>
    </w:tbl>
    <w:p w14:paraId="2EA89F5B" w14:textId="77777777" w:rsidR="00711444" w:rsidRPr="004D0DAA" w:rsidRDefault="00711444" w:rsidP="00711444"/>
    <w:p w14:paraId="15F6200E" w14:textId="77777777" w:rsidR="00711444" w:rsidRPr="004D0DAA" w:rsidRDefault="00711444" w:rsidP="00711444">
      <w:pPr>
        <w:pStyle w:val="Heading3"/>
      </w:pPr>
      <w:bookmarkStart w:id="647" w:name="_Toc516669825"/>
      <w:r w:rsidRPr="004D0DAA">
        <w:t>11.2.2a</w:t>
      </w:r>
      <w:r w:rsidRPr="004D0DAA">
        <w:tab/>
        <w:t>Packet Cell Change Continue</w:t>
      </w:r>
      <w:bookmarkEnd w:id="647"/>
    </w:p>
    <w:p w14:paraId="1E388331" w14:textId="77777777" w:rsidR="00711444" w:rsidRPr="004D0DAA" w:rsidRDefault="00711444" w:rsidP="00711444">
      <w:r w:rsidRPr="004D0DAA">
        <w:t>This message is sent on the PACCH by the network to the mobile station to command the mobile station to continue the cell reselection procedure.</w:t>
      </w:r>
    </w:p>
    <w:p w14:paraId="790DBAED" w14:textId="77777777" w:rsidR="00711444" w:rsidRPr="004D0DAA" w:rsidRDefault="00711444" w:rsidP="00711444">
      <w:pPr>
        <w:pStyle w:val="EX"/>
      </w:pPr>
      <w:r w:rsidRPr="004D0DAA">
        <w:t>Message type:</w:t>
      </w:r>
      <w:r w:rsidRPr="004D0DAA">
        <w:tab/>
        <w:t>PACKET CELL CHANGE CONTINUE</w:t>
      </w:r>
    </w:p>
    <w:p w14:paraId="1EC904EB" w14:textId="77777777" w:rsidR="00711444" w:rsidRPr="004D0DAA" w:rsidRDefault="00711444" w:rsidP="00711444">
      <w:pPr>
        <w:pStyle w:val="EX"/>
      </w:pPr>
      <w:r w:rsidRPr="004D0DAA">
        <w:t>Direction:</w:t>
      </w:r>
      <w:r w:rsidRPr="004D0DAA">
        <w:tab/>
        <w:t>network to mobile station</w:t>
      </w:r>
    </w:p>
    <w:p w14:paraId="20CE77BA" w14:textId="77777777" w:rsidR="00711444" w:rsidRPr="004D0DAA" w:rsidRDefault="00711444" w:rsidP="00711444">
      <w:pPr>
        <w:pStyle w:val="EX"/>
      </w:pPr>
      <w:r w:rsidRPr="004D0DAA">
        <w:t>Classification:</w:t>
      </w:r>
      <w:r w:rsidRPr="004D0DAA">
        <w:tab/>
        <w:t>non-distribution message</w:t>
      </w:r>
    </w:p>
    <w:p w14:paraId="2BD3D192" w14:textId="77777777" w:rsidR="00711444" w:rsidRPr="004D0DAA" w:rsidRDefault="00711444" w:rsidP="00711444">
      <w:pPr>
        <w:pStyle w:val="TH"/>
      </w:pPr>
      <w:r w:rsidRPr="004D0DAA">
        <w:lastRenderedPageBreak/>
        <w:t>Table 11.2.2a.1: PACKET CELL CHANGE CONTINUE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B6D521A" w14:textId="77777777" w:rsidTr="00AA2A4C">
        <w:tblPrEx>
          <w:tblCellMar>
            <w:top w:w="0" w:type="dxa"/>
            <w:bottom w:w="0" w:type="dxa"/>
          </w:tblCellMar>
        </w:tblPrEx>
        <w:trPr>
          <w:cantSplit/>
        </w:trPr>
        <w:tc>
          <w:tcPr>
            <w:tcW w:w="9848" w:type="dxa"/>
          </w:tcPr>
          <w:p w14:paraId="781B8DF3" w14:textId="77777777" w:rsidR="00711444" w:rsidRPr="004D0DAA" w:rsidRDefault="00711444" w:rsidP="00AA2A4C">
            <w:pPr>
              <w:pStyle w:val="TAL"/>
              <w:rPr>
                <w:lang w:val="fr-FR" w:eastAsia="en-US"/>
              </w:rPr>
            </w:pPr>
            <w:r w:rsidRPr="004D0DAA">
              <w:rPr>
                <w:lang w:val="fr-FR" w:eastAsia="en-US"/>
              </w:rPr>
              <w:t>&lt; Packet Cell Change Continue message content &gt; ::=</w:t>
            </w:r>
          </w:p>
          <w:p w14:paraId="5421A128"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29305B5E"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xml:space="preserve">{ 0 &lt; </w:t>
            </w:r>
            <w:r w:rsidRPr="004D0DAA">
              <w:rPr>
                <w:b/>
                <w:lang w:eastAsia="en-US"/>
              </w:rPr>
              <w:t>GLOBAL_TFI</w:t>
            </w:r>
            <w:r w:rsidRPr="004D0DAA">
              <w:rPr>
                <w:lang w:eastAsia="en-US"/>
              </w:rPr>
              <w:t xml:space="preserve"> : Global TFI IE &gt;</w:t>
            </w:r>
          </w:p>
          <w:p w14:paraId="3F2DE4D6"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0 | 1</w:t>
            </w:r>
            <w:r w:rsidRPr="004D0DAA">
              <w:rPr>
                <w:lang w:eastAsia="en-US"/>
              </w:rPr>
              <w:tab/>
              <w:t xml:space="preserve">&lt; </w:t>
            </w:r>
            <w:r w:rsidRPr="004D0DAA">
              <w:rPr>
                <w:b/>
                <w:lang w:eastAsia="en-US"/>
              </w:rPr>
              <w:t>ARFCN</w:t>
            </w:r>
            <w:r w:rsidRPr="004D0DAA">
              <w:rPr>
                <w:lang w:eastAsia="en-US"/>
              </w:rPr>
              <w:t xml:space="preserve"> : bit (10) &gt;</w:t>
            </w:r>
          </w:p>
          <w:p w14:paraId="5EB0CE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3FF72E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CONTAINER_ID</w:t>
            </w:r>
            <w:r w:rsidRPr="004D0DAA">
              <w:rPr>
                <w:lang w:eastAsia="en-US"/>
              </w:rPr>
              <w:t xml:space="preserve"> : bit (2) &gt; }</w:t>
            </w:r>
          </w:p>
          <w:p w14:paraId="08C687C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padding bits &gt; </w:t>
            </w:r>
          </w:p>
          <w:p w14:paraId="4353AA7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7BBF9AE0"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00A5890D" w14:textId="77777777" w:rsidR="00711444" w:rsidRPr="004D0DAA" w:rsidRDefault="00711444" w:rsidP="00AA2A4C">
            <w:pPr>
              <w:pStyle w:val="TAL"/>
              <w:rPr>
                <w:lang w:eastAsia="en-US"/>
              </w:rPr>
            </w:pPr>
            <w:r w:rsidRPr="004D0DAA">
              <w:rPr>
                <w:lang w:eastAsia="en-US"/>
              </w:rPr>
              <w:tab/>
              <w:t>! &lt; Distribution part error : bit (*) = &lt; no string &gt; &gt; ;</w:t>
            </w:r>
          </w:p>
          <w:p w14:paraId="69876CFF" w14:textId="77777777" w:rsidR="00711444" w:rsidRPr="004D0DAA" w:rsidRDefault="00711444" w:rsidP="00AA2A4C">
            <w:pPr>
              <w:pStyle w:val="TAL"/>
              <w:rPr>
                <w:lang w:eastAsia="en-US"/>
              </w:rPr>
            </w:pPr>
          </w:p>
        </w:tc>
      </w:tr>
    </w:tbl>
    <w:p w14:paraId="7BF357C1" w14:textId="77777777" w:rsidR="00711444" w:rsidRPr="004D0DAA" w:rsidRDefault="00711444" w:rsidP="00711444"/>
    <w:p w14:paraId="417A7CAD" w14:textId="77777777" w:rsidR="00711444" w:rsidRPr="004D0DAA" w:rsidRDefault="00711444" w:rsidP="00711444">
      <w:pPr>
        <w:pStyle w:val="TH"/>
      </w:pPr>
      <w:r w:rsidRPr="004D0DAA">
        <w:t>Table 11.2.2a.2: PACKET CELL CHANGE CONTINUE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8338A1" w14:textId="77777777" w:rsidTr="00AA2A4C">
        <w:tblPrEx>
          <w:tblCellMar>
            <w:top w:w="0" w:type="dxa"/>
            <w:bottom w:w="0" w:type="dxa"/>
          </w:tblCellMar>
        </w:tblPrEx>
        <w:trPr>
          <w:cantSplit/>
        </w:trPr>
        <w:tc>
          <w:tcPr>
            <w:tcW w:w="9848" w:type="dxa"/>
          </w:tcPr>
          <w:p w14:paraId="130DD28A" w14:textId="77777777" w:rsidR="00711444" w:rsidRPr="004D0DAA" w:rsidRDefault="00711444" w:rsidP="00AA2A4C">
            <w:pPr>
              <w:keepNext/>
            </w:pPr>
            <w:r w:rsidRPr="004D0DAA">
              <w:rPr>
                <w:b/>
              </w:rPr>
              <w:t>PAGE_MODE</w:t>
            </w:r>
            <w:r w:rsidRPr="004D0DAA">
              <w:t xml:space="preserve"> (2 bit field)</w:t>
            </w:r>
            <w:r w:rsidRPr="004D0DAA">
              <w:br/>
              <w:t>This field is defined in</w:t>
            </w:r>
            <w:r w:rsidRPr="004D0DAA">
              <w:rPr>
                <w:i/>
              </w:rPr>
              <w:t xml:space="preserve"> </w:t>
            </w:r>
            <w:r w:rsidRPr="004D0DAA">
              <w:t>sub-clause 12.20.</w:t>
            </w:r>
          </w:p>
          <w:p w14:paraId="1452BBDF" w14:textId="77777777" w:rsidR="00711444" w:rsidRPr="004D0DAA" w:rsidRDefault="00711444" w:rsidP="00AA2A4C">
            <w:pPr>
              <w:keepLines/>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sub-clause 12.10.</w:t>
            </w:r>
          </w:p>
          <w:p w14:paraId="44FE1548" w14:textId="77777777" w:rsidR="00711444" w:rsidRPr="004D0DAA" w:rsidRDefault="00711444" w:rsidP="00AA2A4C">
            <w:pPr>
              <w:keepLines/>
              <w:rPr>
                <w:b/>
              </w:rPr>
            </w:pPr>
            <w:r w:rsidRPr="004D0DAA">
              <w:t xml:space="preserve">The </w:t>
            </w:r>
            <w:r w:rsidRPr="004D0DAA">
              <w:rPr>
                <w:b/>
              </w:rPr>
              <w:t xml:space="preserve">ARFCN, BSIC and the CONTAINER_ID </w:t>
            </w:r>
            <w:r w:rsidRPr="004D0DAA">
              <w:t>parameters shall be included if the network has earlier sent neighbour cell system information for the cell within a set of PACKET NEIGHBOUR CELL DATA messages referred by the corresponding CONTAINER_ID value but without ARFCN and BSIC provided. Otherwise these parameters are optional.</w:t>
            </w:r>
          </w:p>
        </w:tc>
      </w:tr>
      <w:tr w:rsidR="00711444" w:rsidRPr="004D0DAA" w14:paraId="1FF76C13" w14:textId="77777777" w:rsidTr="00AA2A4C">
        <w:tblPrEx>
          <w:tblCellMar>
            <w:top w:w="0" w:type="dxa"/>
            <w:bottom w:w="0" w:type="dxa"/>
          </w:tblCellMar>
        </w:tblPrEx>
        <w:trPr>
          <w:cantSplit/>
        </w:trPr>
        <w:tc>
          <w:tcPr>
            <w:tcW w:w="9848" w:type="dxa"/>
          </w:tcPr>
          <w:p w14:paraId="5F2071A5" w14:textId="77777777" w:rsidR="00711444" w:rsidRPr="004D0DAA" w:rsidRDefault="00711444" w:rsidP="00AA2A4C">
            <w:pPr>
              <w:keepLines/>
            </w:pPr>
            <w:r w:rsidRPr="004D0DAA">
              <w:rPr>
                <w:b/>
              </w:rPr>
              <w:t>ARFCN</w:t>
            </w:r>
            <w:r w:rsidRPr="004D0DAA">
              <w:t xml:space="preserve"> (10 bit field)</w:t>
            </w:r>
            <w:r w:rsidRPr="004D0DAA">
              <w:br/>
              <w:t>This field contains the BCCH frequency of the new cell candidate for re-selection. This field is encoded as the ARFCN defined in 3GPP TS 44.018.</w:t>
            </w:r>
            <w:r w:rsidRPr="004D0DAA">
              <w:br/>
              <w:t>Range 0 to 1023</w:t>
            </w:r>
          </w:p>
          <w:p w14:paraId="7AB4BC20" w14:textId="77777777" w:rsidR="00711444" w:rsidRPr="004D0DAA" w:rsidRDefault="00711444" w:rsidP="00AA2A4C">
            <w:pPr>
              <w:keepNext/>
            </w:pPr>
            <w:r w:rsidRPr="004D0DAA">
              <w:rPr>
                <w:b/>
              </w:rPr>
              <w:t>BSIC</w:t>
            </w:r>
            <w:r w:rsidRPr="004D0DAA">
              <w:t xml:space="preserve"> (6 bit field)</w:t>
            </w:r>
            <w:r w:rsidRPr="004D0DAA">
              <w:br/>
              <w:t>This field contains the BSIC of the new cell candidate for re-selection. This field is encoded as the BSIC value defined in 3GPP TS 44.018.</w:t>
            </w:r>
            <w:r w:rsidRPr="004D0DAA">
              <w:br/>
              <w:t>Range 0 to 63</w:t>
            </w:r>
          </w:p>
          <w:p w14:paraId="02A21B21" w14:textId="77777777" w:rsidR="00711444" w:rsidRPr="004D0DAA" w:rsidRDefault="00711444" w:rsidP="00AA2A4C">
            <w:pPr>
              <w:keepNext/>
              <w:rPr>
                <w:b/>
              </w:rPr>
            </w:pPr>
            <w:r w:rsidRPr="004D0DAA">
              <w:rPr>
                <w:b/>
              </w:rPr>
              <w:t>CONTAINER_ID</w:t>
            </w:r>
            <w:r w:rsidRPr="004D0DAA">
              <w:t xml:space="preserve"> (2 bit field)</w:t>
            </w:r>
            <w:r w:rsidRPr="004D0DAA">
              <w:br/>
              <w:t>This field contains the identity of the neighbour cell system information container previously sent in the PACKET NEIGHBOUR CELL DATA message for the cell addressed by the ARFCN and the BSIC above.</w:t>
            </w:r>
            <w:r w:rsidRPr="004D0DAA">
              <w:br/>
              <w:t>Range 0 to 3</w:t>
            </w:r>
          </w:p>
        </w:tc>
      </w:tr>
    </w:tbl>
    <w:p w14:paraId="71F9D963" w14:textId="77777777" w:rsidR="00711444" w:rsidRPr="004D0DAA" w:rsidRDefault="00711444" w:rsidP="00711444"/>
    <w:p w14:paraId="19159C8F" w14:textId="77777777" w:rsidR="00711444" w:rsidRPr="004D0DAA" w:rsidRDefault="00711444" w:rsidP="00711444">
      <w:pPr>
        <w:pStyle w:val="Heading3"/>
      </w:pPr>
      <w:bookmarkStart w:id="648" w:name="_Toc516669826"/>
      <w:r w:rsidRPr="004D0DAA">
        <w:t>11.2.3</w:t>
      </w:r>
      <w:r w:rsidRPr="004D0DAA">
        <w:tab/>
        <w:t>Packet Cell Change Failure</w:t>
      </w:r>
      <w:bookmarkEnd w:id="648"/>
    </w:p>
    <w:p w14:paraId="6D23DB82" w14:textId="77777777" w:rsidR="00711444" w:rsidRPr="004D0DAA" w:rsidRDefault="00711444" w:rsidP="00711444">
      <w:r w:rsidRPr="004D0DAA">
        <w:t>This message is sent on the PACCH from the mobile station to the network to indicate that a commanded cell change order has failed. For a (3G) multi-RAT mobile station this may be a 3G Cell. For a (E-UTRAN) multi-RAT mobile station this may be an E-UTRAN cell.</w:t>
      </w:r>
    </w:p>
    <w:p w14:paraId="13A907F6" w14:textId="77777777" w:rsidR="00711444" w:rsidRPr="004D0DAA" w:rsidRDefault="00711444" w:rsidP="00711444">
      <w:pPr>
        <w:pStyle w:val="EX"/>
      </w:pPr>
      <w:r w:rsidRPr="004D0DAA">
        <w:t>Message type:</w:t>
      </w:r>
      <w:r w:rsidRPr="004D0DAA">
        <w:tab/>
        <w:t>PACKET CELL CHANGE FAILURE</w:t>
      </w:r>
    </w:p>
    <w:p w14:paraId="56A3140D" w14:textId="77777777" w:rsidR="00711444" w:rsidRPr="004D0DAA" w:rsidRDefault="00711444" w:rsidP="00711444">
      <w:pPr>
        <w:pStyle w:val="EX"/>
      </w:pPr>
      <w:r w:rsidRPr="004D0DAA">
        <w:t>Direction:</w:t>
      </w:r>
      <w:r w:rsidRPr="004D0DAA">
        <w:tab/>
        <w:t>mobile station to network</w:t>
      </w:r>
    </w:p>
    <w:p w14:paraId="49450C97" w14:textId="77777777" w:rsidR="00711444" w:rsidRPr="004D0DAA" w:rsidRDefault="00711444" w:rsidP="00711444">
      <w:pPr>
        <w:pStyle w:val="TH"/>
      </w:pPr>
      <w:r w:rsidRPr="004D0DAA">
        <w:lastRenderedPageBreak/>
        <w:t>Table 11.2.3.1: PACKET CELL CHANGE FAILURE message 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219CAA7" w14:textId="77777777" w:rsidTr="00AA2A4C">
        <w:tblPrEx>
          <w:tblCellMar>
            <w:top w:w="0" w:type="dxa"/>
            <w:bottom w:w="0" w:type="dxa"/>
          </w:tblCellMar>
        </w:tblPrEx>
        <w:trPr>
          <w:cantSplit/>
        </w:trPr>
        <w:tc>
          <w:tcPr>
            <w:tcW w:w="9848" w:type="dxa"/>
          </w:tcPr>
          <w:p w14:paraId="7900DCD6" w14:textId="77777777" w:rsidR="00711444" w:rsidRPr="004D0DAA" w:rsidRDefault="00711444" w:rsidP="00AA2A4C">
            <w:pPr>
              <w:pStyle w:val="TAL"/>
              <w:rPr>
                <w:lang w:eastAsia="en-US"/>
              </w:rPr>
            </w:pPr>
            <w:r w:rsidRPr="004D0DAA">
              <w:rPr>
                <w:lang w:eastAsia="en-US"/>
              </w:rPr>
              <w:t>&lt; Packet Cell Change Failure message content &gt; ::=</w:t>
            </w:r>
          </w:p>
          <w:p w14:paraId="3124F1B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 / G-RNTI</w:t>
            </w:r>
            <w:r w:rsidRPr="004D0DAA">
              <w:rPr>
                <w:lang w:eastAsia="en-US"/>
              </w:rPr>
              <w:t xml:space="preserve"> : bit (32) &gt;</w:t>
            </w:r>
          </w:p>
          <w:p w14:paraId="715A73A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w:t>
            </w:r>
            <w:r w:rsidRPr="004D0DAA">
              <w:rPr>
                <w:lang w:eastAsia="en-US"/>
              </w:rPr>
              <w:t xml:space="preserve"> : bit (10) &gt;</w:t>
            </w:r>
          </w:p>
          <w:p w14:paraId="36142DB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3F2A306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CAUSE</w:t>
            </w:r>
            <w:r w:rsidRPr="004D0DAA">
              <w:rPr>
                <w:lang w:eastAsia="en-US"/>
              </w:rPr>
              <w:t xml:space="preserve"> : bit (4) &gt;</w:t>
            </w:r>
          </w:p>
          <w:p w14:paraId="50909DDD" w14:textId="77777777" w:rsidR="00711444" w:rsidRPr="004D0DAA" w:rsidRDefault="00711444" w:rsidP="00AA2A4C">
            <w:pPr>
              <w:pStyle w:val="TAL"/>
              <w:rPr>
                <w:lang w:eastAsia="en-US"/>
              </w:rPr>
            </w:pPr>
            <w:r w:rsidRPr="004D0DAA">
              <w:rPr>
                <w:lang w:eastAsia="en-US"/>
              </w:rPr>
              <w:tab/>
              <w:t>{ null | 0</w:t>
            </w:r>
            <w:r w:rsidRPr="004D0DAA">
              <w:rPr>
                <w:lang w:eastAsia="en-US"/>
              </w:rPr>
              <w:tab/>
              <w:t>bit **</w:t>
            </w:r>
            <w:r w:rsidRPr="004D0DAA">
              <w:rPr>
                <w:lang w:eastAsia="en-US"/>
              </w:rPr>
              <w:tab/>
              <w:t>= &lt; no string &gt;</w:t>
            </w:r>
            <w:r w:rsidRPr="004D0DAA">
              <w:rPr>
                <w:lang w:eastAsia="en-US"/>
              </w:rPr>
              <w:tab/>
            </w:r>
            <w:r w:rsidRPr="004D0DAA">
              <w:rPr>
                <w:lang w:eastAsia="en-US"/>
              </w:rPr>
              <w:tab/>
              <w:t xml:space="preserve">-- </w:t>
            </w:r>
            <w:r w:rsidRPr="004D0DAA">
              <w:rPr>
                <w:i/>
                <w:lang w:eastAsia="en-US"/>
              </w:rPr>
              <w:t>Receiver compatible with earlier release</w:t>
            </w:r>
          </w:p>
          <w:p w14:paraId="57050013"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t xml:space="preserve">-- </w:t>
            </w:r>
            <w:r w:rsidRPr="004D0DAA">
              <w:rPr>
                <w:i/>
                <w:lang w:eastAsia="en-US"/>
              </w:rPr>
              <w:t>Additions in release 99 :</w:t>
            </w:r>
          </w:p>
          <w:p w14:paraId="75E0BC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UTRAN FDD Target cell</w:t>
            </w:r>
            <w:r w:rsidRPr="004D0DAA">
              <w:rPr>
                <w:lang w:eastAsia="en-US"/>
              </w:rPr>
              <w:t>: &lt; UTRAN FDD Target cell IE &gt; &gt; }</w:t>
            </w:r>
            <w:r w:rsidRPr="004D0DAA">
              <w:rPr>
                <w:lang w:eastAsia="en-US"/>
              </w:rPr>
              <w:br/>
            </w:r>
            <w:r w:rsidRPr="004D0DAA">
              <w:rPr>
                <w:lang w:eastAsia="en-US"/>
              </w:rPr>
              <w:tab/>
            </w:r>
            <w:r w:rsidRPr="004D0DAA">
              <w:rPr>
                <w:lang w:eastAsia="en-US"/>
              </w:rPr>
              <w:tab/>
            </w:r>
            <w:r w:rsidRPr="004D0DAA">
              <w:rPr>
                <w:lang w:eastAsia="en-US"/>
              </w:rPr>
              <w:tab/>
              <w:t xml:space="preserve">{ 0 | 1 &lt; </w:t>
            </w:r>
            <w:r w:rsidRPr="004D0DAA">
              <w:rPr>
                <w:b/>
                <w:lang w:eastAsia="en-US"/>
              </w:rPr>
              <w:t>UTRAN TDD Target cell</w:t>
            </w:r>
            <w:r w:rsidRPr="004D0DAA">
              <w:rPr>
                <w:lang w:eastAsia="en-US"/>
              </w:rPr>
              <w:t>: &lt; UTRAN TDD Target cell IE &gt; &gt; }</w:t>
            </w:r>
          </w:p>
          <w:p w14:paraId="499D448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315ADE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06153288"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i/>
                <w:lang w:eastAsia="en-US"/>
              </w:rPr>
              <w:t>-- Receiver compatible with earlier release</w:t>
            </w:r>
          </w:p>
          <w:p w14:paraId="764040D4"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1</w:t>
            </w:r>
            <w:r w:rsidRPr="004D0DAA">
              <w:rPr>
                <w:iCs/>
                <w:lang w:eastAsia="en-US"/>
              </w:rPr>
              <w:tab/>
            </w:r>
            <w:r w:rsidRPr="004D0DAA">
              <w:rPr>
                <w:iCs/>
                <w:lang w:eastAsia="en-US"/>
              </w:rPr>
              <w:tab/>
            </w:r>
            <w:r w:rsidRPr="004D0DAA">
              <w:rPr>
                <w:i/>
                <w:lang w:eastAsia="en-US"/>
              </w:rPr>
              <w:t xml:space="preserve">-- </w:t>
            </w:r>
            <w:r w:rsidRPr="004D0DAA">
              <w:rPr>
                <w:i/>
                <w:iCs/>
                <w:lang w:eastAsia="en-US"/>
              </w:rPr>
              <w:t>Additions in Rel-8 :</w:t>
            </w:r>
          </w:p>
          <w:p w14:paraId="1A03F26A"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iCs/>
                <w:lang w:eastAsia="en-US"/>
              </w:rPr>
              <w:t>E-UTRAN Target cell</w:t>
            </w:r>
            <w:r w:rsidRPr="004D0DAA">
              <w:rPr>
                <w:iCs/>
                <w:lang w:eastAsia="en-US"/>
              </w:rPr>
              <w:t>: &lt; E-UTRAN Target cell IE &gt; &gt; }</w:t>
            </w:r>
          </w:p>
          <w:p w14:paraId="2477877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i/>
                <w:lang w:eastAsia="en-US"/>
              </w:rPr>
              <w:t>-- Receiver compatible with earlier release</w:t>
            </w:r>
          </w:p>
          <w:p w14:paraId="18952B4A"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1</w:t>
            </w:r>
            <w:r w:rsidRPr="004D0DAA">
              <w:rPr>
                <w:iCs/>
                <w:lang w:eastAsia="en-US"/>
              </w:rPr>
              <w:tab/>
            </w:r>
            <w:r w:rsidRPr="004D0DAA">
              <w:rPr>
                <w:iCs/>
                <w:lang w:eastAsia="en-US"/>
              </w:rPr>
              <w:tab/>
            </w:r>
            <w:r w:rsidRPr="004D0DAA">
              <w:rPr>
                <w:i/>
                <w:lang w:eastAsia="en-US"/>
              </w:rPr>
              <w:t xml:space="preserve">-- </w:t>
            </w:r>
            <w:r w:rsidRPr="004D0DAA">
              <w:rPr>
                <w:i/>
                <w:iCs/>
                <w:lang w:eastAsia="en-US"/>
              </w:rPr>
              <w:t>Additions in Rel-9 :</w:t>
            </w:r>
          </w:p>
          <w:p w14:paraId="2DAA72CD"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t>{ 0 | 1</w:t>
            </w:r>
            <w:r w:rsidRPr="004D0DAA">
              <w:rPr>
                <w:iCs/>
                <w:lang w:eastAsia="en-US"/>
              </w:rPr>
              <w:tab/>
            </w:r>
            <w:r w:rsidRPr="004D0DAA">
              <w:rPr>
                <w:lang w:eastAsia="en-US"/>
              </w:rPr>
              <w:t xml:space="preserve">&lt; </w:t>
            </w:r>
            <w:r w:rsidRPr="004D0DAA">
              <w:rPr>
                <w:b/>
                <w:lang w:eastAsia="en-US"/>
              </w:rPr>
              <w:t>UTRAN</w:t>
            </w:r>
            <w:r w:rsidRPr="004D0DAA">
              <w:rPr>
                <w:lang w:eastAsia="en-US"/>
              </w:rPr>
              <w:t xml:space="preserve"> </w:t>
            </w:r>
            <w:r w:rsidRPr="004D0DAA">
              <w:rPr>
                <w:b/>
                <w:lang w:eastAsia="en-US"/>
              </w:rPr>
              <w:t>CSG Target cell</w:t>
            </w:r>
            <w:r w:rsidRPr="004D0DAA">
              <w:rPr>
                <w:lang w:eastAsia="en-US"/>
              </w:rPr>
              <w:t>:</w:t>
            </w:r>
          </w:p>
          <w:p w14:paraId="7F02EFCC" w14:textId="77777777" w:rsidR="00711444" w:rsidRPr="004D0DAA" w:rsidRDefault="00711444" w:rsidP="00AA2A4C">
            <w:pPr>
              <w:pStyle w:val="TAL"/>
              <w:rPr>
                <w:rFonts w:hint="eastAsia"/>
                <w:lang w:eastAsia="zh-CN"/>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iCs/>
                <w:lang w:eastAsia="en-US"/>
              </w:rPr>
              <w:tab/>
            </w:r>
            <w:r w:rsidRPr="004D0DAA">
              <w:rPr>
                <w:lang w:eastAsia="en-US"/>
              </w:rPr>
              <w:tab/>
              <w:t xml:space="preserve">&lt; UTRAN CSG </w:t>
            </w:r>
            <w:r w:rsidRPr="004D0DAA">
              <w:rPr>
                <w:lang w:eastAsia="zh-CN"/>
              </w:rPr>
              <w:t>Target cell IE</w:t>
            </w:r>
            <w:r w:rsidRPr="004D0DAA">
              <w:rPr>
                <w:lang w:eastAsia="en-US"/>
              </w:rPr>
              <w:t xml:space="preserve"> &gt; &gt; }</w:t>
            </w:r>
          </w:p>
          <w:p w14:paraId="2EB65055"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zh-CN"/>
              </w:rPr>
              <w:tab/>
            </w:r>
            <w:r w:rsidRPr="004D0DAA">
              <w:rPr>
                <w:lang w:eastAsia="en-US"/>
              </w:rPr>
              <w:t>{ 0 | 1</w:t>
            </w:r>
            <w:r w:rsidRPr="004D0DAA">
              <w:rPr>
                <w:iCs/>
                <w:lang w:eastAsia="en-US"/>
              </w:rPr>
              <w:tab/>
            </w:r>
            <w:r w:rsidRPr="004D0DAA">
              <w:rPr>
                <w:lang w:eastAsia="en-US"/>
              </w:rPr>
              <w:t xml:space="preserve">&lt; </w:t>
            </w:r>
            <w:r w:rsidRPr="004D0DAA">
              <w:rPr>
                <w:b/>
                <w:lang w:eastAsia="en-US"/>
              </w:rPr>
              <w:t>E-UTRAN</w:t>
            </w:r>
            <w:r w:rsidRPr="004D0DAA">
              <w:rPr>
                <w:lang w:eastAsia="en-US"/>
              </w:rPr>
              <w:t xml:space="preserve"> </w:t>
            </w:r>
            <w:r w:rsidRPr="004D0DAA">
              <w:rPr>
                <w:b/>
                <w:lang w:eastAsia="en-US"/>
              </w:rPr>
              <w:t xml:space="preserve">CSG </w:t>
            </w:r>
            <w:r w:rsidRPr="004D0DAA">
              <w:rPr>
                <w:b/>
                <w:lang w:eastAsia="zh-CN"/>
              </w:rPr>
              <w:t>Target cell</w:t>
            </w:r>
            <w:r w:rsidRPr="004D0DAA">
              <w:rPr>
                <w:b/>
                <w:lang w:eastAsia="en-US"/>
              </w:rPr>
              <w:t xml:space="preserve"> </w:t>
            </w:r>
            <w:r w:rsidRPr="004D0DAA">
              <w:rPr>
                <w:lang w:eastAsia="en-US"/>
              </w:rPr>
              <w:t>:</w:t>
            </w:r>
          </w:p>
          <w:p w14:paraId="2334A406" w14:textId="77777777" w:rsidR="00711444" w:rsidRPr="004D0DAA" w:rsidRDefault="00711444" w:rsidP="00AA2A4C">
            <w:pPr>
              <w:keepNext/>
              <w:keepLines/>
              <w:spacing w:after="0"/>
              <w:rPr>
                <w:rFonts w:ascii="Arial" w:hAnsi="Arial"/>
                <w:sz w:val="18"/>
                <w:lang w:eastAsia="en-GB"/>
              </w:rPr>
            </w:pPr>
            <w:r w:rsidRPr="004D0DAA">
              <w:rPr>
                <w:iCs/>
              </w:rPr>
              <w:tab/>
            </w:r>
            <w:r w:rsidRPr="004D0DAA">
              <w:rPr>
                <w:iCs/>
              </w:rPr>
              <w:tab/>
            </w:r>
            <w:r w:rsidRPr="004D0DAA">
              <w:rPr>
                <w:iCs/>
              </w:rPr>
              <w:tab/>
            </w:r>
            <w:r w:rsidRPr="004D0DAA">
              <w:rPr>
                <w:iCs/>
              </w:rPr>
              <w:tab/>
            </w:r>
            <w:r w:rsidRPr="004D0DAA">
              <w:rPr>
                <w:iCs/>
              </w:rPr>
              <w:tab/>
            </w:r>
            <w:r w:rsidRPr="004D0DAA">
              <w:rPr>
                <w:iCs/>
              </w:rPr>
              <w:tab/>
            </w:r>
            <w:r w:rsidRPr="004D0DAA">
              <w:rPr>
                <w:iCs/>
              </w:rPr>
              <w:tab/>
            </w:r>
            <w:r w:rsidRPr="004D0DAA">
              <w:tab/>
            </w:r>
            <w:r w:rsidRPr="004D0DAA">
              <w:rPr>
                <w:iCs/>
              </w:rPr>
              <w:tab/>
            </w:r>
            <w:r w:rsidRPr="004D0DAA">
              <w:tab/>
              <w:t xml:space="preserve">&lt; E-UTRAN CSG </w:t>
            </w:r>
            <w:r w:rsidRPr="004D0DAA">
              <w:rPr>
                <w:lang w:eastAsia="zh-CN"/>
              </w:rPr>
              <w:t>Target cell IE</w:t>
            </w:r>
            <w:r w:rsidRPr="004D0DAA">
              <w:t xml:space="preserve"> &gt; &gt; }</w:t>
            </w:r>
          </w:p>
          <w:p w14:paraId="3585372C" w14:textId="77777777" w:rsidR="00711444" w:rsidRPr="004D0DAA" w:rsidRDefault="00711444" w:rsidP="00AA2A4C">
            <w:pPr>
              <w:keepNext/>
              <w:keepLines/>
              <w:spacing w:after="0"/>
              <w:rPr>
                <w:rFonts w:ascii="Arial" w:hAnsi="Arial"/>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t>{ null | 0</w:t>
            </w:r>
            <w:r w:rsidRPr="004D0DAA">
              <w:rPr>
                <w:rFonts w:ascii="Arial" w:hAnsi="Arial"/>
                <w:sz w:val="18"/>
                <w:lang w:eastAsia="en-GB"/>
              </w:rPr>
              <w:tab/>
              <w:t>bit ** = &lt; no string &gt;</w:t>
            </w:r>
            <w:r w:rsidRPr="004D0DAA">
              <w:rPr>
                <w:rFonts w:ascii="Arial" w:hAnsi="Arial"/>
                <w:sz w:val="18"/>
                <w:lang w:eastAsia="en-GB"/>
              </w:rPr>
              <w:tab/>
            </w:r>
            <w:r w:rsidRPr="004D0DAA">
              <w:rPr>
                <w:rFonts w:ascii="Arial" w:hAnsi="Arial"/>
                <w:i/>
                <w:sz w:val="18"/>
                <w:lang w:eastAsia="en-GB"/>
              </w:rPr>
              <w:t>-- Receiver compatible with earlier release</w:t>
            </w:r>
          </w:p>
          <w:p w14:paraId="52A26747" w14:textId="77777777" w:rsidR="00711444" w:rsidRPr="004D0DAA" w:rsidRDefault="00711444" w:rsidP="00AA2A4C">
            <w:pPr>
              <w:keepNext/>
              <w:keepLines/>
              <w:spacing w:after="0"/>
              <w:rPr>
                <w:rFonts w:ascii="Arial" w:hAnsi="Arial"/>
                <w:i/>
                <w:iCs/>
                <w:sz w:val="18"/>
                <w:lang w:eastAsia="en-GB"/>
              </w:rPr>
            </w:pP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iCs/>
                <w:sz w:val="18"/>
                <w:lang w:eastAsia="en-GB"/>
              </w:rPr>
              <w:tab/>
              <w:t>| 1</w:t>
            </w:r>
            <w:r w:rsidRPr="004D0DAA">
              <w:rPr>
                <w:rFonts w:ascii="Arial" w:hAnsi="Arial"/>
                <w:iCs/>
                <w:sz w:val="18"/>
                <w:lang w:eastAsia="en-GB"/>
              </w:rPr>
              <w:tab/>
            </w:r>
            <w:r w:rsidRPr="004D0DAA">
              <w:rPr>
                <w:rFonts w:ascii="Arial" w:hAnsi="Arial"/>
                <w:iCs/>
                <w:sz w:val="18"/>
                <w:lang w:eastAsia="en-GB"/>
              </w:rPr>
              <w:tab/>
            </w:r>
            <w:r w:rsidRPr="004D0DAA">
              <w:rPr>
                <w:rFonts w:ascii="Arial" w:hAnsi="Arial"/>
                <w:i/>
                <w:sz w:val="18"/>
                <w:lang w:eastAsia="en-GB"/>
              </w:rPr>
              <w:t xml:space="preserve">-- </w:t>
            </w:r>
            <w:r w:rsidRPr="004D0DAA">
              <w:rPr>
                <w:rFonts w:ascii="Arial" w:hAnsi="Arial"/>
                <w:i/>
                <w:iCs/>
                <w:sz w:val="18"/>
                <w:lang w:eastAsia="en-GB"/>
              </w:rPr>
              <w:t>Additions in Rel-11 :</w:t>
            </w:r>
          </w:p>
          <w:p w14:paraId="3B60F5E5" w14:textId="77777777" w:rsidR="00711444" w:rsidRPr="004D0DAA" w:rsidRDefault="00711444" w:rsidP="00AA2A4C">
            <w:pPr>
              <w:keepNext/>
              <w:keepLines/>
              <w:spacing w:after="0"/>
              <w:rPr>
                <w:rFonts w:ascii="Arial" w:hAnsi="Arial"/>
                <w:iCs/>
                <w:sz w:val="18"/>
                <w:lang w:eastAsia="en-GB"/>
              </w:rPr>
            </w:pP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t xml:space="preserve">{ 0 | 1 &lt; </w:t>
            </w:r>
            <w:r w:rsidRPr="004D0DAA">
              <w:rPr>
                <w:rFonts w:ascii="Arial" w:hAnsi="Arial"/>
                <w:b/>
                <w:iCs/>
                <w:sz w:val="18"/>
                <w:lang w:eastAsia="en-GB"/>
              </w:rPr>
              <w:t xml:space="preserve">E-UTRAN Target cell with extended EARFCN </w:t>
            </w:r>
            <w:r w:rsidRPr="004D0DAA">
              <w:rPr>
                <w:rFonts w:ascii="Arial" w:hAnsi="Arial"/>
                <w:iCs/>
                <w:sz w:val="18"/>
                <w:lang w:eastAsia="en-GB"/>
              </w:rPr>
              <w:t xml:space="preserve">: </w:t>
            </w:r>
          </w:p>
          <w:p w14:paraId="11C629A3" w14:textId="77777777" w:rsidR="00711444" w:rsidRPr="004D0DAA" w:rsidRDefault="00711444" w:rsidP="00AA2A4C">
            <w:pPr>
              <w:keepNext/>
              <w:keepLines/>
              <w:spacing w:after="0"/>
              <w:rPr>
                <w:rFonts w:ascii="Arial" w:hAnsi="Arial"/>
                <w:sz w:val="18"/>
                <w:lang w:eastAsia="en-GB"/>
              </w:rPr>
            </w:pP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r>
            <w:r w:rsidRPr="004D0DAA">
              <w:rPr>
                <w:rFonts w:ascii="Arial" w:hAnsi="Arial"/>
                <w:iCs/>
                <w:sz w:val="18"/>
                <w:lang w:eastAsia="en-GB"/>
              </w:rPr>
              <w:tab/>
              <w:t xml:space="preserve">   </w:t>
            </w:r>
            <w:r w:rsidRPr="004D0DAA">
              <w:rPr>
                <w:rFonts w:ascii="Arial" w:hAnsi="Arial"/>
                <w:iCs/>
                <w:sz w:val="18"/>
                <w:lang w:eastAsia="en-GB"/>
              </w:rPr>
              <w:tab/>
              <w:t xml:space="preserve">     &lt; E-UTRAN Target cell with extended EARFCN IE &gt; &gt; }</w:t>
            </w:r>
          </w:p>
          <w:p w14:paraId="7A3804B7" w14:textId="77777777" w:rsidR="00711444" w:rsidRPr="004D0DAA" w:rsidRDefault="00711444" w:rsidP="00AA2A4C">
            <w:pPr>
              <w:pStyle w:val="TAL"/>
              <w:rPr>
                <w:lang w:eastAsia="en-US"/>
              </w:rPr>
            </w:pPr>
            <w:r w:rsidRPr="004D0DAA">
              <w:rPr>
                <w:lang w:eastAsia="en-GB"/>
              </w:rPr>
              <w:tab/>
            </w:r>
            <w:r w:rsidRPr="004D0DAA">
              <w:rPr>
                <w:lang w:eastAsia="en-GB"/>
              </w:rPr>
              <w:tab/>
            </w:r>
            <w:r w:rsidRPr="004D0DAA">
              <w:rPr>
                <w:lang w:eastAsia="en-GB"/>
              </w:rPr>
              <w:tab/>
            </w:r>
            <w:r w:rsidRPr="004D0DAA">
              <w:rPr>
                <w:lang w:eastAsia="en-GB"/>
              </w:rPr>
              <w:tab/>
              <w:t>&lt; padding bits &gt; } } } } } ;</w:t>
            </w:r>
          </w:p>
        </w:tc>
      </w:tr>
    </w:tbl>
    <w:p w14:paraId="42805158" w14:textId="77777777" w:rsidR="00711444" w:rsidRPr="004D0DAA" w:rsidRDefault="00711444" w:rsidP="00711444"/>
    <w:p w14:paraId="4FBD6D4B" w14:textId="77777777" w:rsidR="00711444" w:rsidRPr="004D0DAA" w:rsidRDefault="00711444" w:rsidP="00711444">
      <w:pPr>
        <w:pStyle w:val="TH"/>
      </w:pPr>
      <w:r w:rsidRPr="004D0DAA">
        <w:t>Table 11.2.3.2: PACKET CELL CHANGE FAILURE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CD02049" w14:textId="77777777" w:rsidTr="00AA2A4C">
        <w:tblPrEx>
          <w:tblCellMar>
            <w:top w:w="0" w:type="dxa"/>
            <w:bottom w:w="0" w:type="dxa"/>
          </w:tblCellMar>
        </w:tblPrEx>
        <w:trPr>
          <w:cantSplit/>
        </w:trPr>
        <w:tc>
          <w:tcPr>
            <w:tcW w:w="9848" w:type="dxa"/>
          </w:tcPr>
          <w:p w14:paraId="3116A54C" w14:textId="77777777" w:rsidR="00711444" w:rsidRPr="004D0DAA" w:rsidRDefault="00711444" w:rsidP="00AA2A4C">
            <w:pPr>
              <w:keepLines/>
              <w:rPr>
                <w:b/>
              </w:rPr>
            </w:pPr>
            <w:r w:rsidRPr="004D0DAA">
              <w:rPr>
                <w:b/>
              </w:rPr>
              <w:t>TLLI / G-RNTI</w:t>
            </w:r>
            <w:r w:rsidRPr="004D0DAA">
              <w:t xml:space="preserve"> (32 bit field)</w:t>
            </w:r>
            <w:r w:rsidRPr="004D0DAA">
              <w:br/>
              <w:t>This field is defined in</w:t>
            </w:r>
            <w:r w:rsidRPr="004D0DAA">
              <w:rPr>
                <w:i/>
              </w:rPr>
              <w:t xml:space="preserve"> </w:t>
            </w:r>
            <w:r w:rsidRPr="004D0DAA">
              <w:t>sub-clause 12.16.</w:t>
            </w:r>
          </w:p>
        </w:tc>
      </w:tr>
      <w:tr w:rsidR="00711444" w:rsidRPr="004D0DAA" w14:paraId="5464BED5" w14:textId="77777777" w:rsidTr="00AA2A4C">
        <w:tblPrEx>
          <w:tblCellMar>
            <w:top w:w="0" w:type="dxa"/>
            <w:bottom w:w="0" w:type="dxa"/>
          </w:tblCellMar>
        </w:tblPrEx>
        <w:trPr>
          <w:cantSplit/>
        </w:trPr>
        <w:tc>
          <w:tcPr>
            <w:tcW w:w="9848" w:type="dxa"/>
          </w:tcPr>
          <w:p w14:paraId="67737BE4" w14:textId="77777777" w:rsidR="00711444" w:rsidRPr="004D0DAA" w:rsidRDefault="00711444" w:rsidP="00AA2A4C">
            <w:pPr>
              <w:keepLines/>
              <w:rPr>
                <w:b/>
              </w:rPr>
            </w:pPr>
            <w:r w:rsidRPr="004D0DAA">
              <w:rPr>
                <w:b/>
              </w:rPr>
              <w:t>ARFCN</w:t>
            </w:r>
            <w:r w:rsidRPr="004D0DAA">
              <w:t xml:space="preserve"> (10 bit field)</w:t>
            </w:r>
            <w:r w:rsidRPr="004D0DAA">
              <w:br/>
              <w:t>This field contains, in case of a GSM cell, the BCH frequency of the target cell on which the failure occurred. This field is encoded as the ARFCN defined in 3GPP TS 44.018.</w:t>
            </w:r>
            <w:r w:rsidRPr="004D0DAA">
              <w:br/>
              <w:t>Range 0 to 1023</w:t>
            </w:r>
            <w:r w:rsidRPr="004D0DAA">
              <w:br/>
              <w:t xml:space="preserve">If a 3G Cell </w:t>
            </w:r>
            <w:r w:rsidRPr="004D0DAA">
              <w:rPr>
                <w:rFonts w:hint="eastAsia"/>
                <w:lang w:eastAsia="zh-CN"/>
              </w:rPr>
              <w:t xml:space="preserve">or an E-UTRAN Cell </w:t>
            </w:r>
            <w:r w:rsidRPr="004D0DAA">
              <w:t>is indicated, this field shall be sent with the value 0</w:t>
            </w:r>
          </w:p>
        </w:tc>
      </w:tr>
      <w:tr w:rsidR="00711444" w:rsidRPr="004D0DAA" w14:paraId="041B7ED9" w14:textId="77777777" w:rsidTr="00AA2A4C">
        <w:tblPrEx>
          <w:tblCellMar>
            <w:top w:w="0" w:type="dxa"/>
            <w:bottom w:w="0" w:type="dxa"/>
          </w:tblCellMar>
        </w:tblPrEx>
        <w:trPr>
          <w:cantSplit/>
        </w:trPr>
        <w:tc>
          <w:tcPr>
            <w:tcW w:w="9848" w:type="dxa"/>
          </w:tcPr>
          <w:p w14:paraId="37F9C586" w14:textId="77777777" w:rsidR="00711444" w:rsidRPr="004D0DAA" w:rsidRDefault="00711444" w:rsidP="00AA2A4C">
            <w:pPr>
              <w:keepLines/>
              <w:rPr>
                <w:b/>
              </w:rPr>
            </w:pPr>
            <w:r w:rsidRPr="004D0DAA">
              <w:rPr>
                <w:b/>
              </w:rPr>
              <w:t>BSIC</w:t>
            </w:r>
            <w:r w:rsidRPr="004D0DAA">
              <w:t xml:space="preserve"> (6 bit field)</w:t>
            </w:r>
            <w:r w:rsidRPr="004D0DAA">
              <w:br/>
              <w:t>This field contains, in case of a GSM cell, the BSIC of the BCH frequency of the target cell on which the failure occurred. This field is encoded as the BSIC value defined in 3GPP TS 44.018.</w:t>
            </w:r>
            <w:r w:rsidRPr="004D0DAA">
              <w:br/>
              <w:t xml:space="preserve">Range 0 to 63 </w:t>
            </w:r>
            <w:r w:rsidRPr="004D0DAA">
              <w:br/>
              <w:t xml:space="preserve">If a 3G Cell </w:t>
            </w:r>
            <w:r w:rsidRPr="004D0DAA">
              <w:rPr>
                <w:rFonts w:hint="eastAsia"/>
                <w:lang w:eastAsia="zh-CN"/>
              </w:rPr>
              <w:t xml:space="preserve">or an E-UTRAN Cell </w:t>
            </w:r>
            <w:r w:rsidRPr="004D0DAA">
              <w:t>is indicated, this field shall be sent with the value 0.</w:t>
            </w:r>
          </w:p>
        </w:tc>
      </w:tr>
      <w:tr w:rsidR="00711444" w:rsidRPr="004D0DAA" w14:paraId="7A8E5AF5" w14:textId="77777777" w:rsidTr="00AA2A4C">
        <w:tblPrEx>
          <w:tblCellMar>
            <w:top w:w="0" w:type="dxa"/>
            <w:bottom w:w="0" w:type="dxa"/>
          </w:tblCellMar>
        </w:tblPrEx>
        <w:trPr>
          <w:cantSplit/>
        </w:trPr>
        <w:tc>
          <w:tcPr>
            <w:tcW w:w="9848" w:type="dxa"/>
          </w:tcPr>
          <w:p w14:paraId="2DDE0427" w14:textId="77777777" w:rsidR="00711444" w:rsidRPr="004D0DAA" w:rsidRDefault="00711444" w:rsidP="00AA2A4C">
            <w:pPr>
              <w:keepLines/>
            </w:pPr>
            <w:r w:rsidRPr="004D0DAA">
              <w:rPr>
                <w:b/>
              </w:rPr>
              <w:t>CAUSE</w:t>
            </w:r>
            <w:r w:rsidRPr="004D0DAA">
              <w:t xml:space="preserve"> (4 bit field)</w:t>
            </w:r>
            <w:r w:rsidRPr="004D0DAA">
              <w:br/>
              <w:t>This field indicates the cause of the cell change order failure on the target cell.</w:t>
            </w:r>
          </w:p>
          <w:p w14:paraId="39522449" w14:textId="77777777" w:rsidR="00711444" w:rsidRPr="004D0DAA" w:rsidRDefault="00711444" w:rsidP="00AA2A4C">
            <w:pPr>
              <w:keepLines/>
              <w:tabs>
                <w:tab w:val="left" w:pos="1418"/>
              </w:tabs>
              <w:spacing w:after="0"/>
            </w:pPr>
            <w:r w:rsidRPr="004D0DAA">
              <w:t>bit</w:t>
            </w:r>
            <w:r w:rsidRPr="004D0DAA">
              <w:br/>
              <w:t>4 3 2 1</w:t>
            </w:r>
            <w:r w:rsidRPr="004D0DAA">
              <w:br/>
              <w:t>0 0 0 0</w:t>
            </w:r>
            <w:r w:rsidRPr="004D0DAA">
              <w:tab/>
              <w:t>Frequency not implemented</w:t>
            </w:r>
            <w:r w:rsidRPr="004D0DAA">
              <w:br/>
              <w:t>0 0 0 1</w:t>
            </w:r>
            <w:r w:rsidRPr="004D0DAA">
              <w:tab/>
              <w:t>No response on target cell</w:t>
            </w:r>
            <w:r w:rsidRPr="004D0DAA">
              <w:br/>
              <w:t>0 0 1 0</w:t>
            </w:r>
            <w:r w:rsidRPr="004D0DAA">
              <w:tab/>
              <w:t>Immediate Assign Reject or Packet Access Reject on target cell</w:t>
            </w:r>
            <w:r w:rsidRPr="004D0DAA">
              <w:br/>
              <w:t>0 0 1 1</w:t>
            </w:r>
            <w:r w:rsidRPr="004D0DAA">
              <w:tab/>
              <w:t>On going CS connection</w:t>
            </w:r>
            <w:r w:rsidRPr="004D0DAA">
              <w:br/>
              <w:t>0 1 0 0</w:t>
            </w:r>
            <w:r w:rsidRPr="004D0DAA">
              <w:tab/>
              <w:t>PS Handover failure</w:t>
            </w:r>
            <w:r w:rsidRPr="004D0DAA">
              <w:rPr>
                <w:lang w:eastAsia="zh-CN"/>
              </w:rPr>
              <w:t>-other</w:t>
            </w:r>
          </w:p>
          <w:p w14:paraId="1F46CF60" w14:textId="77777777" w:rsidR="00711444" w:rsidRPr="004D0DAA" w:rsidRDefault="00711444" w:rsidP="00AA2A4C">
            <w:pPr>
              <w:keepLines/>
              <w:tabs>
                <w:tab w:val="left" w:pos="1418"/>
              </w:tabs>
              <w:rPr>
                <w:b/>
              </w:rPr>
            </w:pPr>
            <w:r w:rsidRPr="004D0DAA">
              <w:t>0 1 0 1</w:t>
            </w:r>
            <w:r w:rsidRPr="004D0DAA">
              <w:tab/>
              <w:t>MS in GMM Standby state</w:t>
            </w:r>
            <w:r w:rsidRPr="004D0DAA">
              <w:br/>
              <w:t>0 1 1 0</w:t>
            </w:r>
            <w:r w:rsidRPr="004D0DAA">
              <w:tab/>
              <w:t>Forced to the Standby state</w:t>
            </w:r>
            <w:r w:rsidRPr="004D0DAA">
              <w:br/>
              <w:t>All others</w:t>
            </w:r>
            <w:r w:rsidRPr="004D0DAA">
              <w:tab/>
              <w:t>Reserved for future use</w:t>
            </w:r>
          </w:p>
        </w:tc>
      </w:tr>
      <w:tr w:rsidR="00711444" w:rsidRPr="004D0DAA" w14:paraId="188179E2" w14:textId="77777777" w:rsidTr="00AA2A4C">
        <w:tblPrEx>
          <w:tblCellMar>
            <w:top w:w="0" w:type="dxa"/>
            <w:bottom w:w="0" w:type="dxa"/>
          </w:tblCellMar>
        </w:tblPrEx>
        <w:trPr>
          <w:cantSplit/>
        </w:trPr>
        <w:tc>
          <w:tcPr>
            <w:tcW w:w="9848" w:type="dxa"/>
          </w:tcPr>
          <w:p w14:paraId="424454FA" w14:textId="77777777" w:rsidR="00711444" w:rsidRPr="004D0DAA" w:rsidRDefault="00711444" w:rsidP="00AA2A4C">
            <w:pPr>
              <w:keepLines/>
            </w:pPr>
            <w:r w:rsidRPr="004D0DAA">
              <w:rPr>
                <w:b/>
              </w:rPr>
              <w:t>UTRAN FDD Target cell</w:t>
            </w:r>
          </w:p>
          <w:p w14:paraId="527CCAEB" w14:textId="77777777" w:rsidR="00711444" w:rsidRPr="004D0DAA" w:rsidRDefault="00711444" w:rsidP="00AA2A4C">
            <w:pPr>
              <w:keepLines/>
              <w:rPr>
                <w:b/>
              </w:rPr>
            </w:pPr>
            <w:r w:rsidRPr="004D0DAA">
              <w:t>This information element contains the description of the UTRAN FDD Target cell. This information element is defined in</w:t>
            </w:r>
            <w:r w:rsidRPr="004D0DAA">
              <w:rPr>
                <w:i/>
              </w:rPr>
              <w:t xml:space="preserve"> </w:t>
            </w:r>
            <w:r w:rsidRPr="004D0DAA">
              <w:t xml:space="preserve">sub-clause 12.31. </w:t>
            </w:r>
          </w:p>
        </w:tc>
      </w:tr>
      <w:tr w:rsidR="00711444" w:rsidRPr="004D0DAA" w14:paraId="15C08DB4" w14:textId="77777777" w:rsidTr="00AA2A4C">
        <w:tblPrEx>
          <w:tblCellMar>
            <w:top w:w="0" w:type="dxa"/>
            <w:bottom w:w="0" w:type="dxa"/>
          </w:tblCellMar>
        </w:tblPrEx>
        <w:trPr>
          <w:cantSplit/>
        </w:trPr>
        <w:tc>
          <w:tcPr>
            <w:tcW w:w="9848" w:type="dxa"/>
          </w:tcPr>
          <w:p w14:paraId="3A2D84C8" w14:textId="77777777" w:rsidR="00711444" w:rsidRPr="004D0DAA" w:rsidRDefault="00711444" w:rsidP="00AA2A4C">
            <w:pPr>
              <w:keepLines/>
            </w:pPr>
            <w:r w:rsidRPr="004D0DAA">
              <w:rPr>
                <w:b/>
              </w:rPr>
              <w:lastRenderedPageBreak/>
              <w:t>UTRAN TDD Target cell</w:t>
            </w:r>
          </w:p>
          <w:p w14:paraId="7F4BB08A" w14:textId="77777777" w:rsidR="00711444" w:rsidRPr="004D0DAA" w:rsidRDefault="00711444" w:rsidP="00AA2A4C">
            <w:pPr>
              <w:keepLines/>
            </w:pPr>
            <w:r w:rsidRPr="004D0DAA">
              <w:t>This information element contains the description of the UTRAN TDD Target cell. This field is defined in</w:t>
            </w:r>
            <w:r w:rsidRPr="004D0DAA">
              <w:rPr>
                <w:i/>
              </w:rPr>
              <w:t xml:space="preserve"> </w:t>
            </w:r>
            <w:r w:rsidRPr="004D0DAA">
              <w:t xml:space="preserve">sub-clause 12.32. </w:t>
            </w:r>
          </w:p>
        </w:tc>
      </w:tr>
      <w:tr w:rsidR="00711444" w:rsidRPr="004D0DAA" w14:paraId="599E6028" w14:textId="77777777" w:rsidTr="00AA2A4C">
        <w:tblPrEx>
          <w:tblCellMar>
            <w:top w:w="0" w:type="dxa"/>
            <w:bottom w:w="0" w:type="dxa"/>
          </w:tblCellMar>
        </w:tblPrEx>
        <w:trPr>
          <w:cantSplit/>
        </w:trPr>
        <w:tc>
          <w:tcPr>
            <w:tcW w:w="9848" w:type="dxa"/>
          </w:tcPr>
          <w:p w14:paraId="1708F7B4" w14:textId="77777777" w:rsidR="00711444" w:rsidRPr="004D0DAA" w:rsidRDefault="00711444" w:rsidP="00AA2A4C">
            <w:pPr>
              <w:keepLines/>
            </w:pPr>
            <w:r w:rsidRPr="004D0DAA">
              <w:rPr>
                <w:b/>
              </w:rPr>
              <w:t>E-UTRAN Target cell</w:t>
            </w:r>
          </w:p>
          <w:p w14:paraId="4E13688A" w14:textId="77777777" w:rsidR="00711444" w:rsidRPr="004D0DAA" w:rsidRDefault="00711444" w:rsidP="00AA2A4C">
            <w:pPr>
              <w:keepLines/>
              <w:rPr>
                <w:b/>
              </w:rPr>
            </w:pPr>
            <w:r w:rsidRPr="004D0DAA">
              <w:t>This information element contains the description of the E-UTRAN Target cell. This field is defined in</w:t>
            </w:r>
            <w:r w:rsidRPr="004D0DAA">
              <w:rPr>
                <w:i/>
              </w:rPr>
              <w:t xml:space="preserve"> </w:t>
            </w:r>
            <w:r w:rsidRPr="004D0DAA">
              <w:t>sub-clause 12.49</w:t>
            </w:r>
            <w:r w:rsidRPr="004D0DAA">
              <w:rPr>
                <w:lang w:eastAsia="en-GB"/>
              </w:rPr>
              <w:t xml:space="preserve">. If the conditions for sending the </w:t>
            </w:r>
            <w:r w:rsidRPr="004D0DAA">
              <w:rPr>
                <w:i/>
                <w:lang w:eastAsia="en-GB"/>
              </w:rPr>
              <w:t>E-UTRAN Target cell with extended EARFCN</w:t>
            </w:r>
            <w:r w:rsidRPr="004D0DAA">
              <w:rPr>
                <w:lang w:eastAsia="en-GB"/>
              </w:rPr>
              <w:t xml:space="preserve"> information element are met (see definition of </w:t>
            </w:r>
            <w:r w:rsidRPr="004D0DAA">
              <w:rPr>
                <w:i/>
                <w:lang w:eastAsia="en-GB"/>
              </w:rPr>
              <w:t>E-UTRAN Target cell with extended EARFCN</w:t>
            </w:r>
            <w:r w:rsidRPr="004D0DAA">
              <w:rPr>
                <w:lang w:eastAsia="en-GB"/>
              </w:rPr>
              <w:t xml:space="preserve"> IE below) then this information element shall not be included.</w:t>
            </w:r>
          </w:p>
        </w:tc>
      </w:tr>
      <w:tr w:rsidR="00711444" w:rsidRPr="004D0DAA" w14:paraId="235DFF43" w14:textId="77777777" w:rsidTr="00AA2A4C">
        <w:tblPrEx>
          <w:tblCellMar>
            <w:top w:w="0" w:type="dxa"/>
            <w:bottom w:w="0" w:type="dxa"/>
          </w:tblCellMar>
        </w:tblPrEx>
        <w:trPr>
          <w:cantSplit/>
        </w:trPr>
        <w:tc>
          <w:tcPr>
            <w:tcW w:w="9848" w:type="dxa"/>
          </w:tcPr>
          <w:p w14:paraId="2BDBB932" w14:textId="77777777" w:rsidR="00711444" w:rsidRPr="004D0DAA" w:rsidRDefault="00711444" w:rsidP="00AA2A4C">
            <w:pPr>
              <w:spacing w:after="60"/>
            </w:pPr>
            <w:r w:rsidRPr="004D0DAA">
              <w:rPr>
                <w:b/>
                <w:bCs/>
              </w:rPr>
              <w:t xml:space="preserve">G-RNTI extension </w:t>
            </w:r>
            <w:r w:rsidRPr="004D0DAA">
              <w:t>(4 bit field)</w:t>
            </w:r>
          </w:p>
          <w:p w14:paraId="275C84C3" w14:textId="77777777" w:rsidR="00711444" w:rsidRPr="004D0DAA" w:rsidRDefault="00711444" w:rsidP="00AA2A4C">
            <w:pPr>
              <w:rPr>
                <w:b/>
                <w:iCs/>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r w:rsidR="00711444" w:rsidRPr="004D0DAA" w14:paraId="422D4E51" w14:textId="77777777" w:rsidTr="00AA2A4C">
        <w:tblPrEx>
          <w:tblCellMar>
            <w:top w:w="0" w:type="dxa"/>
            <w:bottom w:w="0" w:type="dxa"/>
          </w:tblCellMar>
        </w:tblPrEx>
        <w:trPr>
          <w:cantSplit/>
        </w:trPr>
        <w:tc>
          <w:tcPr>
            <w:tcW w:w="9848" w:type="dxa"/>
          </w:tcPr>
          <w:p w14:paraId="68167FAF" w14:textId="77777777" w:rsidR="00711444" w:rsidRPr="004D0DAA" w:rsidRDefault="00711444" w:rsidP="00AA2A4C">
            <w:pPr>
              <w:spacing w:after="60"/>
              <w:rPr>
                <w:b/>
                <w:bCs/>
              </w:rPr>
            </w:pPr>
            <w:r w:rsidRPr="004D0DAA">
              <w:rPr>
                <w:b/>
                <w:bCs/>
              </w:rPr>
              <w:t>UTRAN CSG Target cell</w:t>
            </w:r>
            <w:r w:rsidRPr="004D0DAA">
              <w:rPr>
                <w:b/>
                <w:bCs/>
              </w:rPr>
              <w:br/>
            </w:r>
            <w:r w:rsidRPr="004D0DAA">
              <w:rPr>
                <w:bCs/>
              </w:rPr>
              <w:t>This information element contains the routing parameters for the UTRAN CSG or hybrid cell. It is defined in sub-clause 12.63.</w:t>
            </w:r>
          </w:p>
        </w:tc>
      </w:tr>
      <w:tr w:rsidR="00711444" w:rsidRPr="004D0DAA" w14:paraId="41547B39" w14:textId="77777777" w:rsidTr="00AA2A4C">
        <w:tblPrEx>
          <w:tblCellMar>
            <w:top w:w="0" w:type="dxa"/>
            <w:bottom w:w="0" w:type="dxa"/>
          </w:tblCellMar>
        </w:tblPrEx>
        <w:trPr>
          <w:cantSplit/>
        </w:trPr>
        <w:tc>
          <w:tcPr>
            <w:tcW w:w="9848" w:type="dxa"/>
          </w:tcPr>
          <w:p w14:paraId="5F2248EC" w14:textId="77777777" w:rsidR="00711444" w:rsidRPr="004D0DAA" w:rsidRDefault="00711444" w:rsidP="00AA2A4C">
            <w:pPr>
              <w:spacing w:after="60"/>
              <w:rPr>
                <w:b/>
                <w:bCs/>
              </w:rPr>
            </w:pPr>
            <w:r w:rsidRPr="004D0DAA">
              <w:rPr>
                <w:b/>
                <w:bCs/>
              </w:rPr>
              <w:t>E-UTRAN CSG Target cell</w:t>
            </w:r>
            <w:r w:rsidRPr="004D0DAA">
              <w:rPr>
                <w:b/>
                <w:bCs/>
              </w:rPr>
              <w:br/>
            </w:r>
            <w:r w:rsidRPr="004D0DAA">
              <w:rPr>
                <w:bCs/>
              </w:rPr>
              <w:t>This information element contains the routing parameters for the E-UTRAN CSG or hybrid cell. It is defined in sub-clause 12.62.</w:t>
            </w:r>
          </w:p>
        </w:tc>
      </w:tr>
      <w:tr w:rsidR="00711444" w:rsidRPr="004D0DAA" w14:paraId="0CCEBFF3" w14:textId="77777777" w:rsidTr="00AA2A4C">
        <w:tblPrEx>
          <w:tblCellMar>
            <w:top w:w="0" w:type="dxa"/>
            <w:bottom w:w="0" w:type="dxa"/>
          </w:tblCellMar>
        </w:tblPrEx>
        <w:trPr>
          <w:cantSplit/>
        </w:trPr>
        <w:tc>
          <w:tcPr>
            <w:tcW w:w="9848" w:type="dxa"/>
          </w:tcPr>
          <w:p w14:paraId="61080C5A" w14:textId="77777777" w:rsidR="00711444" w:rsidRPr="004D0DAA" w:rsidRDefault="00711444" w:rsidP="00AA2A4C">
            <w:pPr>
              <w:spacing w:after="60"/>
              <w:rPr>
                <w:b/>
                <w:bCs/>
                <w:lang w:eastAsia="en-GB"/>
              </w:rPr>
            </w:pPr>
            <w:r w:rsidRPr="004D0DAA">
              <w:rPr>
                <w:b/>
                <w:bCs/>
                <w:lang w:eastAsia="en-GB"/>
              </w:rPr>
              <w:t>E-UTRAN Target cell with extended EARFCN</w:t>
            </w:r>
            <w:r w:rsidRPr="004D0DAA">
              <w:rPr>
                <w:b/>
                <w:bCs/>
                <w:lang w:eastAsia="en-GB"/>
              </w:rPr>
              <w:br/>
            </w:r>
            <w:r w:rsidRPr="004D0DAA">
              <w:rPr>
                <w:bCs/>
                <w:lang w:eastAsia="en-GB"/>
              </w:rPr>
              <w:t xml:space="preserve">This information element contains the description of the E-UTRAN Target cell. It is defined in sub-clause 12.68. This information element shall only be included if both the mobile station and the network supports extended EARFCNs </w:t>
            </w:r>
            <w:r w:rsidRPr="004D0DAA">
              <w:rPr>
                <w:bCs/>
                <w:szCs w:val="18"/>
                <w:lang w:eastAsia="en-GB"/>
              </w:rPr>
              <w:t xml:space="preserve">(see 3GPP TS 24.008); in such a case the </w:t>
            </w:r>
            <w:r w:rsidRPr="004D0DAA">
              <w:rPr>
                <w:i/>
                <w:lang w:eastAsia="en-GB"/>
              </w:rPr>
              <w:t xml:space="preserve">E-UTRAN Target cell </w:t>
            </w:r>
            <w:r w:rsidRPr="004D0DAA">
              <w:rPr>
                <w:lang w:eastAsia="en-GB"/>
              </w:rPr>
              <w:t>IE shall not be included in the message</w:t>
            </w:r>
            <w:r w:rsidRPr="004D0DAA">
              <w:rPr>
                <w:bCs/>
                <w:lang w:eastAsia="en-GB"/>
              </w:rPr>
              <w:t>.</w:t>
            </w:r>
          </w:p>
        </w:tc>
      </w:tr>
    </w:tbl>
    <w:p w14:paraId="72A68C4A" w14:textId="77777777" w:rsidR="00711444" w:rsidRPr="004D0DAA" w:rsidRDefault="00711444" w:rsidP="00711444"/>
    <w:p w14:paraId="7A60E9DE" w14:textId="77777777" w:rsidR="00711444" w:rsidRPr="004D0DAA" w:rsidRDefault="00711444" w:rsidP="00711444">
      <w:pPr>
        <w:pStyle w:val="Heading3"/>
      </w:pPr>
      <w:bookmarkStart w:id="649" w:name="_Toc516669827"/>
      <w:r w:rsidRPr="004D0DAA">
        <w:t>11.2.3a</w:t>
      </w:r>
      <w:r w:rsidRPr="004D0DAA">
        <w:tab/>
        <w:t>Packet Cell Change Notification</w:t>
      </w:r>
      <w:bookmarkEnd w:id="649"/>
    </w:p>
    <w:p w14:paraId="72F8D491" w14:textId="77777777" w:rsidR="00711444" w:rsidRPr="004D0DAA" w:rsidRDefault="00711444" w:rsidP="00711444">
      <w:r w:rsidRPr="004D0DAA">
        <w:t>This message is sent on the PACCH by the mobile station to the network to inform the network that the cell re-selection criteria are now fulfilled and that the mobile station has entered CCN mode or that the criteria specified in sub-clause 5.6.3.9 have been met in respect of a CSG or detected hybrid cell.</w:t>
      </w:r>
    </w:p>
    <w:p w14:paraId="4EFFC6AC" w14:textId="77777777" w:rsidR="00711444" w:rsidRPr="004D0DAA" w:rsidRDefault="00711444" w:rsidP="00711444">
      <w:pPr>
        <w:pStyle w:val="EX"/>
      </w:pPr>
      <w:r w:rsidRPr="004D0DAA">
        <w:t>Message type:</w:t>
      </w:r>
      <w:r w:rsidRPr="004D0DAA">
        <w:tab/>
        <w:t>PACKET CELL CHANGE NOTIFICATION</w:t>
      </w:r>
    </w:p>
    <w:p w14:paraId="45758209" w14:textId="77777777" w:rsidR="00711444" w:rsidRPr="004D0DAA" w:rsidRDefault="00711444" w:rsidP="00711444">
      <w:pPr>
        <w:pStyle w:val="EX"/>
      </w:pPr>
      <w:r w:rsidRPr="004D0DAA">
        <w:t>Direction:</w:t>
      </w:r>
      <w:r w:rsidRPr="004D0DAA">
        <w:tab/>
        <w:t>mobile station to network</w:t>
      </w:r>
    </w:p>
    <w:p w14:paraId="480A6D09" w14:textId="77777777" w:rsidR="00711444" w:rsidRPr="004D0DAA" w:rsidRDefault="00711444" w:rsidP="00711444">
      <w:pPr>
        <w:pStyle w:val="TH"/>
      </w:pPr>
      <w:r w:rsidRPr="004D0DAA">
        <w:lastRenderedPageBreak/>
        <w:t>Table 11.2.3a.1: PACKET CELL CHANGE NOTIFICATION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B2E8DF9" w14:textId="77777777" w:rsidTr="00AA2A4C">
        <w:tblPrEx>
          <w:tblCellMar>
            <w:top w:w="0" w:type="dxa"/>
            <w:bottom w:w="0" w:type="dxa"/>
          </w:tblCellMar>
        </w:tblPrEx>
        <w:trPr>
          <w:cantSplit/>
        </w:trPr>
        <w:tc>
          <w:tcPr>
            <w:tcW w:w="9848" w:type="dxa"/>
          </w:tcPr>
          <w:p w14:paraId="5305BCF9" w14:textId="77777777" w:rsidR="00711444" w:rsidRPr="004D0DAA" w:rsidRDefault="00711444" w:rsidP="00AA2A4C">
            <w:pPr>
              <w:pStyle w:val="TAL"/>
              <w:rPr>
                <w:lang w:eastAsia="en-US"/>
              </w:rPr>
            </w:pPr>
            <w:r w:rsidRPr="004D0DAA">
              <w:rPr>
                <w:lang w:eastAsia="en-US"/>
              </w:rPr>
              <w:t>&lt; Packet Cell Change Notification message content &gt; ::=</w:t>
            </w:r>
          </w:p>
          <w:p w14:paraId="1E2F79F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Global TFI</w:t>
            </w:r>
            <w:r w:rsidRPr="004D0DAA">
              <w:rPr>
                <w:lang w:eastAsia="en-US"/>
              </w:rPr>
              <w:t xml:space="preserve"> : &lt; Global TFI IE &gt; &gt;</w:t>
            </w:r>
          </w:p>
          <w:p w14:paraId="1E66ECF2"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ARFCN</w:t>
            </w:r>
            <w:r w:rsidRPr="004D0DAA">
              <w:rPr>
                <w:lang w:eastAsia="en-US"/>
              </w:rPr>
              <w:t xml:space="preserve"> : bit (10) &gt;</w:t>
            </w:r>
          </w:p>
          <w:p w14:paraId="6D9CCF3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33C54505" w14:textId="77777777" w:rsidR="00711444" w:rsidRPr="004D0DAA" w:rsidRDefault="00711444" w:rsidP="00AA2A4C">
            <w:pPr>
              <w:pStyle w:val="TAL"/>
              <w:rPr>
                <w:lang w:eastAsia="en-US"/>
              </w:rPr>
            </w:pPr>
            <w:r w:rsidRPr="004D0DAA">
              <w:rPr>
                <w:lang w:eastAsia="en-US"/>
              </w:rPr>
              <w:tab/>
              <w:t>| 10</w:t>
            </w:r>
            <w:r w:rsidRPr="004D0DAA">
              <w:rPr>
                <w:lang w:eastAsia="en-US"/>
              </w:rPr>
              <w:tab/>
            </w:r>
            <w:r w:rsidRPr="004D0DAA">
              <w:rPr>
                <w:lang w:eastAsia="en-US"/>
              </w:rPr>
              <w:tab/>
            </w:r>
            <w:r w:rsidRPr="004D0DAA">
              <w:rPr>
                <w:lang w:eastAsia="en-US"/>
              </w:rPr>
              <w:tab/>
              <w:t xml:space="preserve">-- </w:t>
            </w:r>
            <w:r w:rsidRPr="004D0DAA">
              <w:rPr>
                <w:i/>
                <w:lang w:eastAsia="en-US"/>
              </w:rPr>
              <w:t xml:space="preserve">Extension in Rel-6 and an escape bit for future extensions of the message added: </w:t>
            </w:r>
          </w:p>
          <w:p w14:paraId="31F5AFE7" w14:textId="77777777" w:rsidR="00711444" w:rsidRPr="004D0DAA" w:rsidRDefault="00711444" w:rsidP="00AA2A4C">
            <w:pPr>
              <w:pStyle w:val="TAL"/>
              <w:rPr>
                <w:i/>
                <w:lang w:eastAsia="en-US"/>
              </w:rPr>
            </w:pPr>
            <w:r w:rsidRPr="004D0DAA">
              <w:rPr>
                <w:lang w:eastAsia="en-US"/>
              </w:rPr>
              <w:tab/>
            </w:r>
            <w:r w:rsidRPr="004D0DAA">
              <w:rPr>
                <w:lang w:eastAsia="en-US"/>
              </w:rPr>
              <w:tab/>
              <w:t xml:space="preserve">&lt; </w:t>
            </w:r>
            <w:r w:rsidRPr="004D0DAA">
              <w:rPr>
                <w:b/>
                <w:lang w:eastAsia="en-US"/>
              </w:rPr>
              <w:t>3G Target Cell</w:t>
            </w:r>
            <w:r w:rsidRPr="004D0DAA">
              <w:rPr>
                <w:lang w:eastAsia="en-US"/>
              </w:rPr>
              <w:t xml:space="preserve"> : &lt; 3G Target Cell Struct &gt;&gt; } -- </w:t>
            </w:r>
            <w:r w:rsidRPr="004D0DAA">
              <w:rPr>
                <w:i/>
                <w:lang w:eastAsia="en-US"/>
              </w:rPr>
              <w:t>Re-selection with a 3G cell as the preferred target cell</w:t>
            </w:r>
          </w:p>
          <w:p w14:paraId="3969F7A7" w14:textId="77777777" w:rsidR="00711444" w:rsidRPr="004D0DAA" w:rsidRDefault="00711444" w:rsidP="00AA2A4C">
            <w:pPr>
              <w:pStyle w:val="TAL"/>
              <w:rPr>
                <w:lang w:eastAsia="en-US"/>
              </w:rPr>
            </w:pPr>
            <w:r w:rsidRPr="004D0DAA">
              <w:rPr>
                <w:lang w:eastAsia="en-US"/>
              </w:rPr>
              <w:tab/>
              <w:t>| 110</w:t>
            </w:r>
            <w:r w:rsidRPr="004D0DAA">
              <w:rPr>
                <w:lang w:eastAsia="en-US"/>
              </w:rPr>
              <w:tab/>
            </w:r>
            <w:r w:rsidRPr="004D0DAA">
              <w:rPr>
                <w:lang w:eastAsia="en-US"/>
              </w:rPr>
              <w:tab/>
            </w:r>
            <w:r w:rsidRPr="004D0DAA">
              <w:rPr>
                <w:lang w:eastAsia="en-US"/>
              </w:rPr>
              <w:tab/>
            </w:r>
            <w:r w:rsidRPr="004D0DAA">
              <w:rPr>
                <w:i/>
                <w:lang w:eastAsia="en-US"/>
              </w:rPr>
              <w:t>-- Extension in Rel-8 for E-UTRAN and an escape bit for future extensions of the message</w:t>
            </w:r>
          </w:p>
          <w:p w14:paraId="314E872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ARFCN</w:t>
            </w:r>
            <w:r w:rsidRPr="004D0DAA">
              <w:rPr>
                <w:lang w:eastAsia="en-US"/>
              </w:rPr>
              <w:t xml:space="preserve"> : bit (10) &gt;</w:t>
            </w:r>
          </w:p>
          <w:p w14:paraId="2CA2BF1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 }</w:t>
            </w:r>
          </w:p>
          <w:p w14:paraId="7A891DA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3G Target Cell</w:t>
            </w:r>
            <w:r w:rsidRPr="004D0DAA">
              <w:rPr>
                <w:lang w:eastAsia="en-US"/>
              </w:rPr>
              <w:t xml:space="preserve"> : &lt; 3G Target Cell Struct &gt;&gt; }</w:t>
            </w:r>
          </w:p>
          <w:p w14:paraId="79449DF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E-UTRAN Target Cell</w:t>
            </w:r>
            <w:r w:rsidRPr="004D0DAA">
              <w:rPr>
                <w:lang w:eastAsia="en-US"/>
              </w:rPr>
              <w:t xml:space="preserve"> : &lt; E-UTRAN Target Cell Struct &gt;&gt; }</w:t>
            </w:r>
          </w:p>
          <w:p w14:paraId="586DBD7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E-UTRAN CCN Measurement Report</w:t>
            </w:r>
            <w:r w:rsidRPr="004D0DAA">
              <w:rPr>
                <w:lang w:eastAsia="en-US"/>
              </w:rPr>
              <w:t xml:space="preserve"> : &lt; E-UTRAN CCN Measurement Report struct &gt; &gt; }</w:t>
            </w:r>
          </w:p>
          <w:p w14:paraId="050A4DE2" w14:textId="77777777" w:rsidR="00711444" w:rsidRPr="004D0DAA" w:rsidRDefault="00711444" w:rsidP="00AA2A4C">
            <w:pPr>
              <w:pStyle w:val="TAL"/>
              <w:rPr>
                <w:i/>
                <w:lang w:eastAsia="en-US"/>
              </w:rPr>
            </w:pPr>
            <w:r w:rsidRPr="004D0DAA">
              <w:rPr>
                <w:lang w:eastAsia="en-US"/>
              </w:rPr>
              <w:tab/>
              <w:t>| 1110</w:t>
            </w:r>
            <w:r w:rsidRPr="004D0DAA">
              <w:rPr>
                <w:lang w:eastAsia="en-US"/>
              </w:rPr>
              <w:tab/>
            </w:r>
            <w:r w:rsidRPr="004D0DAA">
              <w:rPr>
                <w:lang w:eastAsia="en-US"/>
              </w:rPr>
              <w:tab/>
            </w:r>
            <w:r w:rsidRPr="004D0DAA">
              <w:rPr>
                <w:lang w:eastAsia="en-US"/>
              </w:rPr>
              <w:tab/>
            </w:r>
            <w:r w:rsidRPr="004D0DAA">
              <w:rPr>
                <w:i/>
                <w:lang w:eastAsia="en-US"/>
              </w:rPr>
              <w:t>-- Extension in Rel-9 for CSG target cells and an escape bit for future extensions of the message</w:t>
            </w:r>
          </w:p>
          <w:p w14:paraId="775A8DCC"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 xml:space="preserve">{ 0 </w:t>
            </w:r>
          </w:p>
          <w:p w14:paraId="67FEBB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UTRAN</w:t>
            </w:r>
            <w:r w:rsidRPr="004D0DAA">
              <w:rPr>
                <w:lang w:eastAsia="en-US"/>
              </w:rPr>
              <w:t xml:space="preserve"> </w:t>
            </w:r>
            <w:r w:rsidRPr="004D0DAA">
              <w:rPr>
                <w:b/>
                <w:lang w:eastAsia="en-US"/>
              </w:rPr>
              <w:t xml:space="preserve">CSG Target Cell Measurement Report </w:t>
            </w:r>
            <w:r w:rsidRPr="004D0DAA">
              <w:rPr>
                <w:lang w:eastAsia="en-US"/>
              </w:rPr>
              <w:t>: &lt; UTRAN CSG Measurement Report IE &gt; &gt;</w:t>
            </w:r>
          </w:p>
          <w:p w14:paraId="327A6874" w14:textId="77777777" w:rsidR="00711444" w:rsidRPr="004D0DAA" w:rsidRDefault="00711444" w:rsidP="00AA2A4C">
            <w:pPr>
              <w:pStyle w:val="TAL"/>
              <w:rPr>
                <w:lang w:eastAsia="en-US"/>
              </w:rPr>
            </w:pPr>
            <w:r w:rsidRPr="004D0DAA">
              <w:rPr>
                <w:lang w:eastAsia="en-US"/>
              </w:rPr>
              <w:tab/>
            </w:r>
            <w:r w:rsidRPr="004D0DAA">
              <w:rPr>
                <w:lang w:eastAsia="en-US"/>
              </w:rPr>
              <w:tab/>
              <w:t xml:space="preserve"> | 1 </w:t>
            </w:r>
          </w:p>
          <w:p w14:paraId="1D05E91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E-UTRAN</w:t>
            </w:r>
            <w:r w:rsidRPr="004D0DAA">
              <w:rPr>
                <w:lang w:eastAsia="en-US"/>
              </w:rPr>
              <w:t xml:space="preserve"> </w:t>
            </w:r>
            <w:r w:rsidRPr="004D0DAA">
              <w:rPr>
                <w:b/>
                <w:lang w:eastAsia="en-US"/>
              </w:rPr>
              <w:t xml:space="preserve">CSG Target Cell Measurement Report </w:t>
            </w:r>
            <w:r w:rsidRPr="004D0DAA">
              <w:rPr>
                <w:lang w:eastAsia="en-US"/>
              </w:rPr>
              <w:t>: &lt; E-UTRAN CSG Measurement Report IE &gt; &gt; }</w:t>
            </w:r>
          </w:p>
          <w:p w14:paraId="06CB944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E-UTRAN CCN Measurement Report</w:t>
            </w:r>
            <w:r w:rsidRPr="004D0DAA">
              <w:rPr>
                <w:lang w:eastAsia="en-US"/>
              </w:rPr>
              <w:t xml:space="preserve"> : &lt; E-UTRAN CCN Measurement Report struct &gt; &gt; }</w:t>
            </w:r>
          </w:p>
          <w:p w14:paraId="4B047D33" w14:textId="77777777" w:rsidR="00711444" w:rsidRPr="004D0DAA" w:rsidRDefault="00711444" w:rsidP="00AA2A4C">
            <w:pPr>
              <w:pStyle w:val="TAL"/>
              <w:rPr>
                <w:lang w:eastAsia="en-US"/>
              </w:rPr>
            </w:pPr>
            <w:r w:rsidRPr="004D0DAA">
              <w:rPr>
                <w:lang w:eastAsia="en-US"/>
              </w:rPr>
              <w:tab/>
              <w:t>! &lt; Message escape : { 1111 } bit (*) = &lt;no string&gt; &gt; }</w:t>
            </w:r>
          </w:p>
          <w:p w14:paraId="0643EEB7" w14:textId="77777777" w:rsidR="00711444" w:rsidRPr="004D0DAA" w:rsidRDefault="00711444" w:rsidP="00AA2A4C">
            <w:pPr>
              <w:pStyle w:val="TAL"/>
              <w:rPr>
                <w:lang w:eastAsia="en-US"/>
              </w:rPr>
            </w:pPr>
            <w:r w:rsidRPr="004D0DAA">
              <w:rPr>
                <w:lang w:eastAsia="en-US"/>
              </w:rPr>
              <w:tab/>
              <w:t xml:space="preserve">{ 0&lt; </w:t>
            </w:r>
            <w:r w:rsidRPr="004D0DAA">
              <w:rPr>
                <w:b/>
                <w:lang w:eastAsia="en-US"/>
              </w:rPr>
              <w:t>BA_USED</w:t>
            </w:r>
            <w:r w:rsidRPr="004D0DAA">
              <w:rPr>
                <w:lang w:eastAsia="en-US"/>
              </w:rPr>
              <w:t xml:space="preserve"> : bit &gt; | 1 &lt; </w:t>
            </w:r>
            <w:r w:rsidRPr="004D0DAA">
              <w:rPr>
                <w:b/>
                <w:lang w:eastAsia="en-US"/>
              </w:rPr>
              <w:t>PSI3_CHANGE_MARK</w:t>
            </w:r>
            <w:r w:rsidRPr="004D0DAA">
              <w:rPr>
                <w:lang w:eastAsia="en-US"/>
              </w:rPr>
              <w:t xml:space="preserve"> : bit(2) &gt; }</w:t>
            </w:r>
          </w:p>
          <w:p w14:paraId="7729862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PMO_USED</w:t>
            </w:r>
            <w:r w:rsidRPr="004D0DAA">
              <w:rPr>
                <w:lang w:eastAsia="en-US"/>
              </w:rPr>
              <w:t xml:space="preserve"> : bit &gt;</w:t>
            </w:r>
          </w:p>
          <w:p w14:paraId="0F0C24F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PCCN_SENDING </w:t>
            </w:r>
            <w:r w:rsidRPr="004D0DAA">
              <w:rPr>
                <w:lang w:eastAsia="en-US"/>
              </w:rPr>
              <w:t>: bit (1) &gt;</w:t>
            </w:r>
          </w:p>
          <w:p w14:paraId="5FF2E461" w14:textId="77777777" w:rsidR="00711444" w:rsidRPr="004D0DAA" w:rsidRDefault="00711444" w:rsidP="00AA2A4C">
            <w:pPr>
              <w:pStyle w:val="TAL"/>
              <w:rPr>
                <w:lang w:eastAsia="en-US"/>
              </w:rPr>
            </w:pPr>
            <w:r w:rsidRPr="004D0DAA">
              <w:rPr>
                <w:b/>
                <w:lang w:eastAsia="en-US"/>
              </w:rPr>
              <w:tab/>
              <w:t>&lt; CCN Measurement Report</w:t>
            </w:r>
            <w:r w:rsidRPr="004D0DAA">
              <w:rPr>
                <w:lang w:eastAsia="en-US"/>
              </w:rPr>
              <w:t xml:space="preserve"> : &lt; CCN Measurement Report struct &gt; &gt;</w:t>
            </w:r>
          </w:p>
          <w:p w14:paraId="0430567A" w14:textId="77777777" w:rsidR="00711444" w:rsidRPr="004D0DAA" w:rsidRDefault="00711444" w:rsidP="00AA2A4C">
            <w:pPr>
              <w:pStyle w:val="TAL"/>
              <w:rPr>
                <w:lang w:eastAsia="en-US"/>
              </w:rPr>
            </w:pPr>
            <w:r w:rsidRPr="004D0DAA">
              <w:rPr>
                <w:lang w:eastAsia="en-US"/>
              </w:rPr>
              <w:tab/>
              <w:t xml:space="preserve">{ null | 0 </w:t>
            </w:r>
            <w:r w:rsidRPr="004D0DAA">
              <w:rPr>
                <w:lang w:eastAsia="en-US"/>
              </w:rPr>
              <w:tab/>
              <w:t>bit** = &lt; no string &gt;</w:t>
            </w:r>
            <w:r w:rsidRPr="004D0DAA">
              <w:rPr>
                <w:lang w:eastAsia="en-US"/>
              </w:rPr>
              <w:tab/>
              <w:t xml:space="preserve">-- </w:t>
            </w:r>
            <w:r w:rsidRPr="004D0DAA">
              <w:rPr>
                <w:i/>
                <w:lang w:eastAsia="en-US"/>
              </w:rPr>
              <w:t>Receiver compatible with earlier release</w:t>
            </w:r>
          </w:p>
          <w:p w14:paraId="4D7235C0"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 in Rel-6</w:t>
            </w:r>
          </w:p>
          <w:p w14:paraId="3184DFC4"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t xml:space="preserve">&lt; </w:t>
            </w:r>
            <w:r w:rsidRPr="004D0DAA">
              <w:rPr>
                <w:b/>
                <w:lang w:eastAsia="en-US"/>
              </w:rPr>
              <w:t>3G_BA_USED</w:t>
            </w:r>
            <w:r w:rsidRPr="004D0DAA">
              <w:rPr>
                <w:lang w:eastAsia="en-US"/>
              </w:rPr>
              <w:t xml:space="preserve"> : bit &gt; }</w:t>
            </w:r>
          </w:p>
          <w:p w14:paraId="518933F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3G CCN Measurement Report</w:t>
            </w:r>
            <w:r w:rsidRPr="004D0DAA">
              <w:rPr>
                <w:lang w:eastAsia="en-US"/>
              </w:rPr>
              <w:t xml:space="preserve"> : &lt; 3G CCN Measurement Report struct &gt; &gt;</w:t>
            </w:r>
          </w:p>
          <w:p w14:paraId="179AD1A3" w14:textId="77777777" w:rsidR="00711444" w:rsidRPr="004D0DAA" w:rsidRDefault="00711444" w:rsidP="00AA2A4C">
            <w:pPr>
              <w:pStyle w:val="TAL"/>
              <w:rPr>
                <w:i/>
                <w:iCs/>
                <w:lang w:eastAsia="en-US"/>
              </w:rPr>
            </w:pPr>
            <w:r w:rsidRPr="004D0DAA">
              <w:rPr>
                <w:lang w:eastAsia="en-US"/>
              </w:rPr>
              <w:tab/>
            </w:r>
            <w:r w:rsidRPr="004D0DAA">
              <w:rPr>
                <w:iCs/>
                <w:lang w:eastAsia="en-US"/>
              </w:rPr>
              <w:tab/>
            </w:r>
            <w:r w:rsidRPr="004D0DAA">
              <w:rPr>
                <w:lang w:eastAsia="en-US"/>
              </w:rPr>
              <w:t>{ null | 0</w:t>
            </w:r>
            <w:r w:rsidRPr="004D0DAA">
              <w:rPr>
                <w:lang w:eastAsia="en-US"/>
              </w:rPr>
              <w:tab/>
              <w:t>bit ** = &lt; no string &gt;</w:t>
            </w:r>
            <w:r w:rsidRPr="004D0DAA">
              <w:rPr>
                <w:lang w:eastAsia="en-US"/>
              </w:rPr>
              <w:tab/>
            </w:r>
            <w:r w:rsidRPr="004D0DAA">
              <w:rPr>
                <w:i/>
                <w:lang w:eastAsia="en-US"/>
              </w:rPr>
              <w:t>-- Receiver compatible with earlier release</w:t>
            </w:r>
          </w:p>
          <w:p w14:paraId="29692452" w14:textId="77777777" w:rsidR="00711444" w:rsidRPr="004D0DAA" w:rsidRDefault="00711444" w:rsidP="00AA2A4C">
            <w:pPr>
              <w:keepNext/>
              <w:keepLines/>
              <w:spacing w:after="0"/>
              <w:rPr>
                <w:rFonts w:ascii="Arial" w:hAnsi="Arial"/>
                <w:i/>
                <w:iCs/>
                <w:sz w:val="18"/>
                <w:lang w:eastAsia="en-GB"/>
              </w:rPr>
            </w:pPr>
            <w:r w:rsidRPr="004D0DAA">
              <w:tab/>
            </w:r>
            <w:r w:rsidRPr="004D0DAA">
              <w:tab/>
              <w:t>| 1</w:t>
            </w:r>
            <w:r w:rsidRPr="004D0DAA">
              <w:tab/>
            </w:r>
            <w:r w:rsidRPr="004D0DAA">
              <w:tab/>
              <w:t xml:space="preserve">-- </w:t>
            </w:r>
            <w:r w:rsidRPr="004D0DAA">
              <w:rPr>
                <w:i/>
                <w:iCs/>
              </w:rPr>
              <w:t>Additions in Rel-10</w:t>
            </w:r>
          </w:p>
          <w:p w14:paraId="41A329EB" w14:textId="77777777" w:rsidR="00711444" w:rsidRPr="004D0DAA" w:rsidRDefault="00711444" w:rsidP="00AA2A4C">
            <w:pPr>
              <w:keepNext/>
              <w:keepLines/>
              <w:spacing w:after="0"/>
              <w:rPr>
                <w:rFonts w:ascii="Arial" w:hAnsi="Arial"/>
                <w:sz w:val="18"/>
                <w:lang w:eastAsia="en-GB"/>
              </w:rPr>
            </w:pPr>
            <w:r w:rsidRPr="004D0DAA">
              <w:rPr>
                <w:rFonts w:ascii="Arial" w:hAnsi="Arial"/>
                <w:i/>
                <w:iCs/>
                <w:sz w:val="18"/>
                <w:lang w:eastAsia="en-GB"/>
              </w:rPr>
              <w:tab/>
            </w:r>
            <w:r w:rsidRPr="004D0DAA">
              <w:rPr>
                <w:rFonts w:ascii="Arial" w:hAnsi="Arial"/>
                <w:i/>
                <w:iCs/>
                <w:sz w:val="18"/>
                <w:lang w:eastAsia="en-GB"/>
              </w:rPr>
              <w:tab/>
            </w:r>
            <w:r w:rsidRPr="004D0DAA">
              <w:rPr>
                <w:rFonts w:ascii="Arial" w:hAnsi="Arial"/>
                <w:i/>
                <w:iCs/>
                <w:sz w:val="18"/>
                <w:lang w:eastAsia="en-GB"/>
              </w:rPr>
              <w:tab/>
            </w:r>
            <w:r w:rsidRPr="004D0DAA">
              <w:rPr>
                <w:rFonts w:ascii="Arial" w:hAnsi="Arial"/>
                <w:sz w:val="18"/>
                <w:lang w:eastAsia="en-GB"/>
              </w:rPr>
              <w:t xml:space="preserve">&lt; </w:t>
            </w:r>
            <w:r w:rsidRPr="004D0DAA">
              <w:rPr>
                <w:rFonts w:ascii="Arial" w:hAnsi="Arial"/>
                <w:b/>
                <w:sz w:val="18"/>
                <w:lang w:eastAsia="en-GB"/>
              </w:rPr>
              <w:t>CSG Discriminator</w:t>
            </w:r>
            <w:r w:rsidRPr="004D0DAA">
              <w:rPr>
                <w:rFonts w:ascii="Arial" w:hAnsi="Arial"/>
                <w:sz w:val="18"/>
                <w:lang w:eastAsia="en-GB"/>
              </w:rPr>
              <w:t xml:space="preserve"> : bit (1) &gt;</w:t>
            </w:r>
          </w:p>
          <w:p w14:paraId="2B8BE4D4"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ab/>
              <w:t>{ null | 0</w:t>
            </w:r>
            <w:r w:rsidRPr="004D0DAA">
              <w:rPr>
                <w:rFonts w:ascii="Arial" w:hAnsi="Arial"/>
                <w:sz w:val="18"/>
                <w:lang w:eastAsia="en-GB"/>
              </w:rPr>
              <w:tab/>
              <w:t>bit ** = &lt; no string &gt;</w:t>
            </w:r>
            <w:r w:rsidRPr="004D0DAA">
              <w:rPr>
                <w:rFonts w:ascii="Arial" w:hAnsi="Arial"/>
                <w:sz w:val="18"/>
                <w:lang w:eastAsia="en-GB"/>
              </w:rPr>
              <w:tab/>
            </w:r>
            <w:r w:rsidRPr="004D0DAA">
              <w:rPr>
                <w:rFonts w:ascii="Arial" w:hAnsi="Arial"/>
                <w:i/>
                <w:sz w:val="18"/>
                <w:lang w:eastAsia="en-GB"/>
              </w:rPr>
              <w:t>-- Receiver compatible with earlier release</w:t>
            </w:r>
          </w:p>
          <w:p w14:paraId="30D6654B"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t>| 1</w:t>
            </w:r>
            <w:r w:rsidRPr="004D0DAA">
              <w:rPr>
                <w:rFonts w:ascii="Arial" w:hAnsi="Arial"/>
                <w:sz w:val="18"/>
                <w:lang w:eastAsia="en-GB"/>
              </w:rPr>
              <w:tab/>
            </w:r>
            <w:r w:rsidRPr="004D0DAA">
              <w:rPr>
                <w:rFonts w:ascii="Arial" w:hAnsi="Arial"/>
                <w:sz w:val="18"/>
                <w:lang w:eastAsia="en-GB"/>
              </w:rPr>
              <w:tab/>
              <w:t xml:space="preserve">-- </w:t>
            </w:r>
            <w:r w:rsidRPr="004D0DAA">
              <w:rPr>
                <w:rFonts w:ascii="Arial" w:hAnsi="Arial"/>
                <w:i/>
                <w:iCs/>
                <w:sz w:val="18"/>
                <w:lang w:eastAsia="en-GB"/>
              </w:rPr>
              <w:t>Additions in Rel-11</w:t>
            </w:r>
          </w:p>
          <w:p w14:paraId="2BF8C4A4"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sz w:val="18"/>
                <w:lang w:eastAsia="en-GB"/>
              </w:rPr>
              <w:tab/>
              <w:t>{ 0 | 1</w:t>
            </w:r>
            <w:r w:rsidRPr="004D0DAA">
              <w:rPr>
                <w:rFonts w:ascii="Arial" w:hAnsi="Arial"/>
                <w:sz w:val="18"/>
                <w:lang w:eastAsia="en-GB"/>
              </w:rPr>
              <w:tab/>
              <w:t xml:space="preserve">&lt; </w:t>
            </w:r>
            <w:r w:rsidRPr="004D0DAA">
              <w:rPr>
                <w:rFonts w:ascii="Arial" w:hAnsi="Arial"/>
                <w:b/>
                <w:sz w:val="18"/>
                <w:lang w:eastAsia="en-GB"/>
              </w:rPr>
              <w:t>E-UTRAN Target Cell</w:t>
            </w:r>
            <w:r w:rsidRPr="004D0DAA">
              <w:rPr>
                <w:rFonts w:ascii="Arial" w:hAnsi="Arial"/>
                <w:sz w:val="18"/>
                <w:lang w:eastAsia="en-GB"/>
              </w:rPr>
              <w:t xml:space="preserve"> </w:t>
            </w:r>
            <w:r w:rsidRPr="004D0DAA">
              <w:rPr>
                <w:rFonts w:ascii="Arial" w:hAnsi="Arial"/>
                <w:b/>
                <w:sz w:val="18"/>
                <w:lang w:eastAsia="en-GB"/>
              </w:rPr>
              <w:t>with extended EARFCN</w:t>
            </w:r>
            <w:r w:rsidRPr="004D0DAA">
              <w:rPr>
                <w:rFonts w:ascii="Arial" w:hAnsi="Arial"/>
                <w:sz w:val="18"/>
                <w:lang w:eastAsia="en-GB"/>
              </w:rPr>
              <w:t xml:space="preserve"> :</w:t>
            </w:r>
          </w:p>
          <w:p w14:paraId="019C8B9E"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t>&lt; E-UTRAN Target Cell with extended EARFCN struct &gt;&gt; }</w:t>
            </w:r>
          </w:p>
          <w:p w14:paraId="6DA4DD2D"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tab/>
            </w:r>
            <w:r w:rsidRPr="004D0DAA">
              <w:rPr>
                <w:iCs/>
              </w:rPr>
              <w:tab/>
            </w:r>
            <w:r w:rsidRPr="004D0DAA">
              <w:rPr>
                <w:i/>
                <w:iCs/>
              </w:rPr>
              <w:tab/>
            </w:r>
            <w:r w:rsidRPr="004D0DAA">
              <w:rPr>
                <w:rFonts w:ascii="Arial" w:hAnsi="Arial"/>
                <w:sz w:val="18"/>
                <w:lang w:eastAsia="en-GB"/>
              </w:rPr>
              <w:t>{ null | 0</w:t>
            </w:r>
            <w:r w:rsidRPr="004D0DAA">
              <w:rPr>
                <w:rFonts w:ascii="Arial" w:hAnsi="Arial"/>
                <w:sz w:val="18"/>
                <w:lang w:eastAsia="en-GB"/>
              </w:rPr>
              <w:tab/>
              <w:t>bit ** = &lt; no string &gt;</w:t>
            </w:r>
            <w:r w:rsidRPr="004D0DAA">
              <w:rPr>
                <w:rFonts w:ascii="Arial" w:hAnsi="Arial"/>
                <w:sz w:val="18"/>
                <w:lang w:eastAsia="en-GB"/>
              </w:rPr>
              <w:tab/>
            </w:r>
            <w:r w:rsidRPr="004D0DAA">
              <w:rPr>
                <w:rFonts w:ascii="Arial" w:hAnsi="Arial"/>
                <w:i/>
                <w:sz w:val="18"/>
                <w:lang w:eastAsia="en-GB"/>
              </w:rPr>
              <w:t>-- Receiver compatible with earlier release</w:t>
            </w:r>
          </w:p>
          <w:p w14:paraId="68C5EAB4"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
                <w:iCs/>
                <w:sz w:val="18"/>
                <w:lang w:eastAsia="en-GB"/>
              </w:rPr>
              <w:tab/>
            </w:r>
            <w:r w:rsidRPr="004D0DAA">
              <w:rPr>
                <w:rFonts w:ascii="Arial" w:hAnsi="Arial"/>
                <w:sz w:val="18"/>
                <w:lang w:eastAsia="en-GB"/>
              </w:rPr>
              <w:t>| 1</w:t>
            </w:r>
            <w:r w:rsidRPr="004D0DAA">
              <w:rPr>
                <w:rFonts w:ascii="Arial" w:hAnsi="Arial"/>
                <w:sz w:val="18"/>
                <w:lang w:eastAsia="en-GB"/>
              </w:rPr>
              <w:tab/>
            </w:r>
            <w:r w:rsidRPr="004D0DAA">
              <w:rPr>
                <w:rFonts w:ascii="Arial" w:hAnsi="Arial"/>
                <w:sz w:val="18"/>
                <w:lang w:eastAsia="en-GB"/>
              </w:rPr>
              <w:tab/>
              <w:t xml:space="preserve">-- </w:t>
            </w:r>
            <w:r w:rsidRPr="004D0DAA">
              <w:rPr>
                <w:rFonts w:ascii="Arial" w:hAnsi="Arial"/>
                <w:i/>
                <w:iCs/>
                <w:sz w:val="18"/>
                <w:lang w:eastAsia="en-GB"/>
              </w:rPr>
              <w:t>Additions in Rel-12</w:t>
            </w:r>
          </w:p>
          <w:p w14:paraId="0BC9DB3A" w14:textId="77777777" w:rsidR="00711444" w:rsidRPr="004D0DAA" w:rsidRDefault="00711444" w:rsidP="00AA2A4C">
            <w:pPr>
              <w:pStyle w:val="TAL"/>
              <w:rPr>
                <w:lang w:eastAsia="en-GB"/>
              </w:rPr>
            </w:pPr>
            <w:r w:rsidRPr="004D0DAA">
              <w:rPr>
                <w:lang w:eastAsia="en-GB"/>
              </w:rPr>
              <w:tab/>
            </w:r>
            <w:r w:rsidRPr="004D0DAA">
              <w:rPr>
                <w:i/>
                <w:iCs/>
                <w:lang w:eastAsia="en-GB"/>
              </w:rPr>
              <w:tab/>
            </w:r>
            <w:r w:rsidRPr="004D0DAA">
              <w:rPr>
                <w:i/>
                <w:iCs/>
                <w:lang w:eastAsia="en-GB"/>
              </w:rPr>
              <w:tab/>
            </w:r>
            <w:r w:rsidRPr="004D0DAA">
              <w:rPr>
                <w:i/>
                <w:iCs/>
                <w:lang w:eastAsia="en-GB"/>
              </w:rPr>
              <w:tab/>
            </w:r>
            <w:r w:rsidRPr="004D0DAA">
              <w:rPr>
                <w:i/>
                <w:iCs/>
                <w:lang w:eastAsia="en-GB"/>
              </w:rPr>
              <w:tab/>
            </w:r>
            <w:r w:rsidRPr="004D0DAA">
              <w:rPr>
                <w:iCs/>
                <w:lang w:eastAsia="en-US"/>
              </w:rPr>
              <w:t xml:space="preserve">{ 0 | 1 </w:t>
            </w:r>
            <w:r w:rsidRPr="004D0DAA">
              <w:rPr>
                <w:lang w:eastAsia="en-US"/>
              </w:rPr>
              <w:t xml:space="preserve">&lt; </w:t>
            </w:r>
            <w:r w:rsidRPr="004D0DAA">
              <w:rPr>
                <w:b/>
                <w:lang w:eastAsia="en-US"/>
              </w:rPr>
              <w:t xml:space="preserve">Downlink_eTFI </w:t>
            </w:r>
            <w:r w:rsidRPr="004D0DAA">
              <w:rPr>
                <w:lang w:eastAsia="en-US"/>
              </w:rPr>
              <w:t>: bit (3) &gt; }</w:t>
            </w:r>
          </w:p>
          <w:p w14:paraId="59EBFFC2"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&lt; padding bits &gt; } } } };</w:t>
            </w:r>
          </w:p>
          <w:p w14:paraId="4DBF9E73" w14:textId="77777777" w:rsidR="00711444" w:rsidRPr="004D0DAA" w:rsidRDefault="00711444" w:rsidP="00AA2A4C">
            <w:pPr>
              <w:pStyle w:val="TAL"/>
              <w:rPr>
                <w:lang w:eastAsia="en-US"/>
              </w:rPr>
            </w:pPr>
          </w:p>
        </w:tc>
      </w:tr>
      <w:tr w:rsidR="00711444" w:rsidRPr="004D0DAA" w14:paraId="02DB314E" w14:textId="77777777" w:rsidTr="00AA2A4C">
        <w:tblPrEx>
          <w:tblCellMar>
            <w:top w:w="0" w:type="dxa"/>
            <w:bottom w:w="0" w:type="dxa"/>
          </w:tblCellMar>
        </w:tblPrEx>
        <w:trPr>
          <w:cantSplit/>
        </w:trPr>
        <w:tc>
          <w:tcPr>
            <w:tcW w:w="9848" w:type="dxa"/>
          </w:tcPr>
          <w:p w14:paraId="54096E62" w14:textId="77777777" w:rsidR="00711444" w:rsidRPr="004D0DAA" w:rsidRDefault="00711444" w:rsidP="00AA2A4C">
            <w:pPr>
              <w:pStyle w:val="TAL"/>
              <w:rPr>
                <w:lang w:eastAsia="en-US"/>
              </w:rPr>
            </w:pPr>
            <w:r w:rsidRPr="004D0DAA">
              <w:rPr>
                <w:lang w:eastAsia="en-US"/>
              </w:rPr>
              <w:t>&lt; CCN Measurement Report struct &gt; ::=</w:t>
            </w:r>
          </w:p>
          <w:p w14:paraId="08DC992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RXLEV_SERVING_CELL</w:t>
            </w:r>
            <w:r w:rsidRPr="004D0DAA">
              <w:rPr>
                <w:lang w:eastAsia="en-US"/>
              </w:rPr>
              <w:t xml:space="preserve"> : bit (6) &gt;</w:t>
            </w:r>
          </w:p>
          <w:p w14:paraId="11EBD75E" w14:textId="77777777" w:rsidR="00711444" w:rsidRPr="004D0DAA" w:rsidRDefault="00711444" w:rsidP="00AA2A4C">
            <w:pPr>
              <w:pStyle w:val="TAL"/>
              <w:rPr>
                <w:lang w:eastAsia="en-US"/>
              </w:rPr>
            </w:pPr>
            <w:r w:rsidRPr="004D0DAA">
              <w:rPr>
                <w:lang w:eastAsia="en-US"/>
              </w:rPr>
              <w:tab/>
              <w:t xml:space="preserve">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The value '1' was allocated in an earlier version of the protocol and shall not be used.</w:t>
            </w:r>
          </w:p>
          <w:p w14:paraId="1FB1EA1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NUMBER_OF_NC_MEASUREMENTS</w:t>
            </w:r>
            <w:r w:rsidRPr="004D0DAA">
              <w:rPr>
                <w:lang w:eastAsia="en-US"/>
              </w:rPr>
              <w:t xml:space="preserve"> : bit (3) &gt;</w:t>
            </w:r>
          </w:p>
          <w:p w14:paraId="076E765C"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FREQUENCY_N</w:t>
            </w:r>
            <w:r w:rsidRPr="004D0DAA">
              <w:rPr>
                <w:lang w:eastAsia="en-US"/>
              </w:rPr>
              <w:t xml:space="preserve"> : bit (6) &gt;</w:t>
            </w:r>
          </w:p>
          <w:p w14:paraId="33BF6085"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BSIC_N</w:t>
            </w:r>
            <w:r w:rsidRPr="004D0DAA">
              <w:rPr>
                <w:lang w:eastAsia="en-US"/>
              </w:rPr>
              <w:t xml:space="preserve"> : bit (6) &gt; }</w:t>
            </w:r>
          </w:p>
          <w:p w14:paraId="4FE6918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RXLEV_N</w:t>
            </w:r>
            <w:r w:rsidRPr="004D0DAA">
              <w:rPr>
                <w:lang w:eastAsia="en-US"/>
              </w:rPr>
              <w:t xml:space="preserve"> : bit (6) &gt; } * (val(NUMBER_OF_NC_MEASUREMENTS)) ;</w:t>
            </w:r>
          </w:p>
          <w:p w14:paraId="5B69BF42" w14:textId="77777777" w:rsidR="00711444" w:rsidRPr="004D0DAA" w:rsidRDefault="00711444" w:rsidP="00AA2A4C">
            <w:pPr>
              <w:pStyle w:val="TAL"/>
              <w:rPr>
                <w:lang w:eastAsia="en-US"/>
              </w:rPr>
            </w:pPr>
          </w:p>
        </w:tc>
      </w:tr>
      <w:tr w:rsidR="00711444" w:rsidRPr="004D0DAA" w14:paraId="6011BD32" w14:textId="77777777" w:rsidTr="00AA2A4C">
        <w:tblPrEx>
          <w:tblCellMar>
            <w:top w:w="0" w:type="dxa"/>
            <w:bottom w:w="0" w:type="dxa"/>
          </w:tblCellMar>
        </w:tblPrEx>
        <w:trPr>
          <w:cantSplit/>
        </w:trPr>
        <w:tc>
          <w:tcPr>
            <w:tcW w:w="9848" w:type="dxa"/>
          </w:tcPr>
          <w:p w14:paraId="2DFF2726" w14:textId="77777777" w:rsidR="00711444" w:rsidRPr="004D0DAA" w:rsidRDefault="00711444" w:rsidP="00AA2A4C">
            <w:pPr>
              <w:pStyle w:val="TAL"/>
              <w:rPr>
                <w:lang w:eastAsia="en-US"/>
              </w:rPr>
            </w:pPr>
            <w:r w:rsidRPr="004D0DAA">
              <w:rPr>
                <w:lang w:eastAsia="en-US"/>
              </w:rPr>
              <w:t>&lt; 3G Target Cell Struct &gt; ::=</w:t>
            </w:r>
          </w:p>
          <w:p w14:paraId="308D9DEC"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FDD-ARFCN</w:t>
            </w:r>
            <w:r w:rsidRPr="004D0DAA">
              <w:rPr>
                <w:lang w:eastAsia="en-US"/>
              </w:rPr>
              <w:t xml:space="preserve"> : bit (14)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3G UTRAN FDD</w:t>
            </w:r>
          </w:p>
          <w:p w14:paraId="43F02B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Bandwidth_FDD</w:t>
            </w:r>
            <w:r w:rsidRPr="004D0DAA">
              <w:rPr>
                <w:lang w:eastAsia="en-US"/>
              </w:rPr>
              <w:t xml:space="preserve"> : bit (3) &gt; }</w:t>
            </w:r>
          </w:p>
          <w:p w14:paraId="6FB9BD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SCRAMBLING_CODE</w:t>
            </w:r>
            <w:r w:rsidRPr="004D0DAA">
              <w:rPr>
                <w:lang w:eastAsia="en-US"/>
              </w:rPr>
              <w:t xml:space="preserve"> : bit (9) &gt; }</w:t>
            </w:r>
          </w:p>
          <w:p w14:paraId="43B34E58"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TDD-ARFCN</w:t>
            </w:r>
            <w:r w:rsidRPr="004D0DAA">
              <w:rPr>
                <w:lang w:eastAsia="en-US"/>
              </w:rPr>
              <w:t xml:space="preserve"> : bit (14)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3G UTRAN TDD</w:t>
            </w:r>
          </w:p>
          <w:p w14:paraId="50D15CF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Bandwidth_TDD</w:t>
            </w:r>
            <w:r w:rsidRPr="004D0DAA">
              <w:rPr>
                <w:lang w:eastAsia="en-US"/>
              </w:rPr>
              <w:t xml:space="preserve"> : bit (3) &gt; }</w:t>
            </w:r>
          </w:p>
          <w:p w14:paraId="0AE81E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Cell Parameter</w:t>
            </w:r>
            <w:r w:rsidRPr="004D0DAA">
              <w:rPr>
                <w:lang w:eastAsia="en-US"/>
              </w:rPr>
              <w:t xml:space="preserve"> : bit (7) &gt;</w:t>
            </w:r>
          </w:p>
          <w:p w14:paraId="05F1E1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Sync Case</w:t>
            </w:r>
            <w:r w:rsidRPr="004D0DAA">
              <w:rPr>
                <w:lang w:eastAsia="en-US"/>
              </w:rPr>
              <w:t xml:space="preserve"> : bit &gt; }</w:t>
            </w:r>
          </w:p>
          <w:p w14:paraId="2B66EAF1" w14:textId="77777777" w:rsidR="00711444" w:rsidRPr="004D0DAA" w:rsidRDefault="00711444" w:rsidP="00AA2A4C">
            <w:pPr>
              <w:pStyle w:val="TAL"/>
              <w:rPr>
                <w:i/>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w:t>
            </w:r>
            <w:r w:rsidRPr="004D0DAA">
              <w:rPr>
                <w:lang w:eastAsia="en-US"/>
              </w:rPr>
              <w:tab/>
            </w:r>
            <w:r w:rsidRPr="004D0DAA">
              <w:rPr>
                <w:lang w:eastAsia="en-US"/>
              </w:rPr>
              <w:tab/>
              <w:t xml:space="preserve">-- </w:t>
            </w:r>
            <w:r w:rsidRPr="004D0DAA">
              <w:rPr>
                <w:i/>
                <w:lang w:eastAsia="en-US"/>
              </w:rPr>
              <w:t>Measurement Report for 3G target cell</w:t>
            </w:r>
          </w:p>
          <w:p w14:paraId="264FD7AD" w14:textId="77777777" w:rsidR="00711444" w:rsidRPr="004D0DAA" w:rsidRDefault="00711444" w:rsidP="00AA2A4C">
            <w:pPr>
              <w:pStyle w:val="TAL"/>
              <w:rPr>
                <w:lang w:eastAsia="en-US"/>
              </w:rPr>
            </w:pPr>
          </w:p>
        </w:tc>
      </w:tr>
      <w:tr w:rsidR="00711444" w:rsidRPr="004D0DAA" w14:paraId="7459FF82" w14:textId="77777777" w:rsidTr="00AA2A4C">
        <w:tblPrEx>
          <w:tblCellMar>
            <w:top w:w="0" w:type="dxa"/>
            <w:bottom w:w="0" w:type="dxa"/>
          </w:tblCellMar>
        </w:tblPrEx>
        <w:trPr>
          <w:cantSplit/>
        </w:trPr>
        <w:tc>
          <w:tcPr>
            <w:tcW w:w="9848" w:type="dxa"/>
          </w:tcPr>
          <w:p w14:paraId="23940D98" w14:textId="77777777" w:rsidR="00711444" w:rsidRPr="004D0DAA" w:rsidRDefault="00711444" w:rsidP="00AA2A4C">
            <w:pPr>
              <w:pStyle w:val="TAL"/>
              <w:rPr>
                <w:lang w:eastAsia="en-US"/>
              </w:rPr>
            </w:pPr>
            <w:r w:rsidRPr="004D0DAA">
              <w:rPr>
                <w:lang w:eastAsia="en-US"/>
              </w:rPr>
              <w:t xml:space="preserve">&lt; 3G CCN Measurement Report Struct &gt; ::= </w:t>
            </w:r>
            <w:r w:rsidRPr="004D0DAA">
              <w:rPr>
                <w:lang w:eastAsia="en-US"/>
              </w:rPr>
              <w:tab/>
            </w:r>
            <w:r w:rsidRPr="004D0DAA">
              <w:rPr>
                <w:lang w:eastAsia="en-US"/>
              </w:rPr>
              <w:tab/>
            </w:r>
            <w:r w:rsidRPr="004D0DAA">
              <w:rPr>
                <w:lang w:eastAsia="en-US"/>
              </w:rPr>
              <w:tab/>
              <w:t xml:space="preserve">-- </w:t>
            </w:r>
            <w:r w:rsidRPr="004D0DAA">
              <w:rPr>
                <w:i/>
                <w:lang w:eastAsia="en-US"/>
              </w:rPr>
              <w:t>Measurement Report for 3G neighbour cells</w:t>
            </w:r>
            <w:r w:rsidRPr="004D0DAA">
              <w:rPr>
                <w:lang w:eastAsia="en-US"/>
              </w:rPr>
              <w:t xml:space="preserve"> </w:t>
            </w:r>
          </w:p>
          <w:p w14:paraId="01DA3F5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N_3G</w:t>
            </w:r>
            <w:r w:rsidRPr="004D0DAA">
              <w:rPr>
                <w:lang w:eastAsia="en-US"/>
              </w:rPr>
              <w:t>: bit (3) &gt;</w:t>
            </w:r>
          </w:p>
          <w:p w14:paraId="2CBB914B"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3G_CELL_LIST_INDEX</w:t>
            </w:r>
            <w:r w:rsidRPr="004D0DAA">
              <w:rPr>
                <w:lang w:eastAsia="en-US"/>
              </w:rPr>
              <w:t xml:space="preserve"> : bit (7) &gt;</w:t>
            </w:r>
          </w:p>
          <w:p w14:paraId="32C1AAB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 (val(N_3G + 1 )) ;</w:t>
            </w:r>
          </w:p>
          <w:p w14:paraId="4ABDF482" w14:textId="77777777" w:rsidR="00711444" w:rsidRPr="004D0DAA" w:rsidRDefault="00711444" w:rsidP="00AA2A4C">
            <w:pPr>
              <w:pStyle w:val="TAL"/>
              <w:rPr>
                <w:lang w:eastAsia="en-US"/>
              </w:rPr>
            </w:pPr>
          </w:p>
        </w:tc>
      </w:tr>
      <w:tr w:rsidR="00711444" w:rsidRPr="004D0DAA" w14:paraId="21F1F230" w14:textId="77777777" w:rsidTr="00AA2A4C">
        <w:tblPrEx>
          <w:tblCellMar>
            <w:top w:w="0" w:type="dxa"/>
            <w:bottom w:w="0" w:type="dxa"/>
          </w:tblCellMar>
        </w:tblPrEx>
        <w:trPr>
          <w:cantSplit/>
        </w:trPr>
        <w:tc>
          <w:tcPr>
            <w:tcW w:w="9848" w:type="dxa"/>
          </w:tcPr>
          <w:p w14:paraId="3BAC07BA" w14:textId="77777777" w:rsidR="00711444" w:rsidRPr="004D0DAA" w:rsidRDefault="00711444" w:rsidP="00AA2A4C">
            <w:pPr>
              <w:pStyle w:val="TAL"/>
              <w:rPr>
                <w:lang w:eastAsia="en-US"/>
              </w:rPr>
            </w:pPr>
            <w:r w:rsidRPr="004D0DAA">
              <w:rPr>
                <w:lang w:eastAsia="en-US"/>
              </w:rPr>
              <w:lastRenderedPageBreak/>
              <w:t>&lt; E-UTRAN Target Cell struct &gt; ::=</w:t>
            </w:r>
          </w:p>
          <w:p w14:paraId="51B13AD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EARFCN</w:t>
            </w:r>
            <w:r w:rsidRPr="004D0DAA">
              <w:rPr>
                <w:lang w:eastAsia="en-US"/>
              </w:rPr>
              <w:t xml:space="preserve"> : bit (16) &gt;</w:t>
            </w:r>
          </w:p>
          <w:p w14:paraId="172A525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Measurement Bandwidth</w:t>
            </w:r>
            <w:r w:rsidRPr="004D0DAA">
              <w:rPr>
                <w:lang w:eastAsia="en-US"/>
              </w:rPr>
              <w:t>: bit (3) &gt; }</w:t>
            </w:r>
          </w:p>
          <w:p w14:paraId="4DA6D64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Physical Layer Cell Identity</w:t>
            </w:r>
            <w:r w:rsidRPr="004D0DAA">
              <w:rPr>
                <w:lang w:eastAsia="en-US"/>
              </w:rPr>
              <w:t xml:space="preserve"> : bit (9) &gt;</w:t>
            </w:r>
          </w:p>
          <w:p w14:paraId="14787FB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REPORTING_QUANTITY</w:t>
            </w:r>
            <w:r w:rsidRPr="004D0DAA">
              <w:rPr>
                <w:lang w:eastAsia="en-US"/>
              </w:rPr>
              <w:t xml:space="preserve"> : bit (6) &gt; ; </w:t>
            </w:r>
            <w:r w:rsidRPr="004D0DAA">
              <w:rPr>
                <w:lang w:eastAsia="en-US"/>
              </w:rPr>
              <w:tab/>
            </w:r>
            <w:r w:rsidRPr="004D0DAA">
              <w:rPr>
                <w:lang w:eastAsia="en-US"/>
              </w:rPr>
              <w:tab/>
              <w:t xml:space="preserve">-- </w:t>
            </w:r>
            <w:r w:rsidRPr="004D0DAA">
              <w:rPr>
                <w:i/>
                <w:lang w:eastAsia="en-US"/>
              </w:rPr>
              <w:t>Measurement Report for E-UTRAN target cell</w:t>
            </w:r>
          </w:p>
          <w:p w14:paraId="6DC7B830" w14:textId="77777777" w:rsidR="00711444" w:rsidRPr="004D0DAA" w:rsidRDefault="00711444" w:rsidP="00AA2A4C">
            <w:pPr>
              <w:pStyle w:val="TAL"/>
              <w:rPr>
                <w:lang w:eastAsia="en-US"/>
              </w:rPr>
            </w:pPr>
          </w:p>
        </w:tc>
      </w:tr>
      <w:tr w:rsidR="00711444" w:rsidRPr="004D0DAA" w14:paraId="02CE140C" w14:textId="77777777" w:rsidTr="00AA2A4C">
        <w:tblPrEx>
          <w:tblCellMar>
            <w:top w:w="0" w:type="dxa"/>
            <w:bottom w:w="0" w:type="dxa"/>
          </w:tblCellMar>
        </w:tblPrEx>
        <w:trPr>
          <w:cantSplit/>
        </w:trPr>
        <w:tc>
          <w:tcPr>
            <w:tcW w:w="9848" w:type="dxa"/>
          </w:tcPr>
          <w:p w14:paraId="59E4F2E1" w14:textId="77777777" w:rsidR="00711444" w:rsidRPr="004D0DAA" w:rsidRDefault="00711444" w:rsidP="00AA2A4C">
            <w:pPr>
              <w:pStyle w:val="TAL"/>
              <w:rPr>
                <w:lang w:eastAsia="en-US"/>
              </w:rPr>
            </w:pPr>
            <w:r w:rsidRPr="004D0DAA">
              <w:rPr>
                <w:lang w:eastAsia="en-US"/>
              </w:rPr>
              <w:t>&lt; E-UTRAN CCN Measurement Report struct &gt; ::=</w:t>
            </w:r>
            <w:r w:rsidRPr="004D0DAA">
              <w:rPr>
                <w:lang w:eastAsia="en-US"/>
              </w:rPr>
              <w:tab/>
            </w:r>
            <w:r w:rsidRPr="004D0DAA">
              <w:rPr>
                <w:lang w:eastAsia="en-US"/>
              </w:rPr>
              <w:tab/>
              <w:t xml:space="preserve">-- </w:t>
            </w:r>
            <w:r w:rsidRPr="004D0DAA">
              <w:rPr>
                <w:i/>
                <w:lang w:eastAsia="en-US"/>
              </w:rPr>
              <w:t>Measurement Report for E-UTRAN neighbour cells</w:t>
            </w:r>
          </w:p>
          <w:p w14:paraId="3F467A9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3G_BA_USED</w:t>
            </w:r>
            <w:r w:rsidRPr="004D0DAA">
              <w:rPr>
                <w:lang w:eastAsia="en-US"/>
              </w:rPr>
              <w:t xml:space="preserve"> : bit &gt;</w:t>
            </w:r>
          </w:p>
          <w:p w14:paraId="0DDA501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N_E-UTRAN</w:t>
            </w:r>
            <w:r w:rsidRPr="004D0DAA">
              <w:rPr>
                <w:lang w:eastAsia="en-US"/>
              </w:rPr>
              <w:t>: bit (2) &gt;</w:t>
            </w:r>
          </w:p>
          <w:p w14:paraId="0B407780"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E-UTRAN_FREQUENCY_INDEX</w:t>
            </w:r>
            <w:r w:rsidRPr="004D0DAA">
              <w:rPr>
                <w:lang w:eastAsia="en-US"/>
              </w:rPr>
              <w:t xml:space="preserve"> : bit (3) &gt;</w:t>
            </w:r>
          </w:p>
          <w:p w14:paraId="433532D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CELL IDENTITY</w:t>
            </w:r>
            <w:r w:rsidRPr="004D0DAA">
              <w:rPr>
                <w:lang w:eastAsia="en-US"/>
              </w:rPr>
              <w:t xml:space="preserve"> : bit (9) &gt;</w:t>
            </w:r>
          </w:p>
          <w:p w14:paraId="6AECCEB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 (val(N_E-UTRAN + 1 )) ;</w:t>
            </w:r>
          </w:p>
          <w:p w14:paraId="19C3A73D"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&lt; E-UTRAN Target Cell with extended EARFCN struct &gt; ::=</w:t>
            </w:r>
          </w:p>
          <w:p w14:paraId="01F397C5"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&lt; </w:t>
            </w:r>
            <w:r w:rsidRPr="004D0DAA">
              <w:rPr>
                <w:rFonts w:ascii="Arial" w:hAnsi="Arial"/>
                <w:b/>
                <w:sz w:val="18"/>
                <w:lang w:eastAsia="en-GB"/>
              </w:rPr>
              <w:t>EARFCN_extended</w:t>
            </w:r>
            <w:r w:rsidRPr="004D0DAA">
              <w:rPr>
                <w:rFonts w:ascii="Arial" w:hAnsi="Arial"/>
                <w:sz w:val="18"/>
                <w:lang w:eastAsia="en-GB"/>
              </w:rPr>
              <w:t xml:space="preserve"> : bit (18) &gt;</w:t>
            </w:r>
          </w:p>
          <w:p w14:paraId="7912146A"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 0 | 1 &lt; </w:t>
            </w:r>
            <w:r w:rsidRPr="004D0DAA">
              <w:rPr>
                <w:rFonts w:ascii="Arial" w:hAnsi="Arial"/>
                <w:b/>
                <w:sz w:val="18"/>
                <w:lang w:eastAsia="en-GB"/>
              </w:rPr>
              <w:t>Measurement Bandwidth</w:t>
            </w:r>
            <w:r w:rsidRPr="004D0DAA">
              <w:rPr>
                <w:rFonts w:ascii="Arial" w:hAnsi="Arial"/>
                <w:sz w:val="18"/>
                <w:lang w:eastAsia="en-GB"/>
              </w:rPr>
              <w:t>: bit (3) &gt; }</w:t>
            </w:r>
          </w:p>
          <w:p w14:paraId="45A61B06"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&lt; </w:t>
            </w:r>
            <w:r w:rsidRPr="004D0DAA">
              <w:rPr>
                <w:rFonts w:ascii="Arial" w:hAnsi="Arial"/>
                <w:b/>
                <w:sz w:val="18"/>
                <w:lang w:eastAsia="en-GB"/>
              </w:rPr>
              <w:t>Physical Layer Cell Identity</w:t>
            </w:r>
            <w:r w:rsidRPr="004D0DAA">
              <w:rPr>
                <w:rFonts w:ascii="Arial" w:hAnsi="Arial"/>
                <w:sz w:val="18"/>
                <w:lang w:eastAsia="en-GB"/>
              </w:rPr>
              <w:t xml:space="preserve"> : bit (9) &gt;</w:t>
            </w:r>
          </w:p>
          <w:p w14:paraId="106790F8"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&lt; </w:t>
            </w:r>
            <w:r w:rsidRPr="004D0DAA">
              <w:rPr>
                <w:rFonts w:ascii="Arial" w:hAnsi="Arial"/>
                <w:b/>
                <w:sz w:val="18"/>
                <w:lang w:eastAsia="en-GB"/>
              </w:rPr>
              <w:t>REPORTING_QUANTITY</w:t>
            </w:r>
            <w:r w:rsidRPr="004D0DAA">
              <w:rPr>
                <w:rFonts w:ascii="Arial" w:hAnsi="Arial"/>
                <w:sz w:val="18"/>
                <w:lang w:eastAsia="en-GB"/>
              </w:rPr>
              <w:t xml:space="preserve"> : bit (6) &gt; ; </w:t>
            </w:r>
            <w:r w:rsidRPr="004D0DAA">
              <w:rPr>
                <w:rFonts w:ascii="Arial" w:hAnsi="Arial"/>
                <w:sz w:val="18"/>
                <w:lang w:eastAsia="en-GB"/>
              </w:rPr>
              <w:tab/>
            </w:r>
            <w:r w:rsidRPr="004D0DAA">
              <w:rPr>
                <w:rFonts w:ascii="Arial" w:hAnsi="Arial"/>
                <w:sz w:val="18"/>
                <w:lang w:eastAsia="en-GB"/>
              </w:rPr>
              <w:tab/>
              <w:t xml:space="preserve">-- </w:t>
            </w:r>
            <w:r w:rsidRPr="004D0DAA">
              <w:rPr>
                <w:rFonts w:ascii="Arial" w:hAnsi="Arial"/>
                <w:i/>
                <w:sz w:val="18"/>
                <w:lang w:eastAsia="en-GB"/>
              </w:rPr>
              <w:t>Measurement Report for E-UTRAN target cell</w:t>
            </w:r>
          </w:p>
          <w:p w14:paraId="70314120" w14:textId="77777777" w:rsidR="00711444" w:rsidRPr="004D0DAA" w:rsidRDefault="00711444" w:rsidP="00AA2A4C">
            <w:pPr>
              <w:pStyle w:val="TAL"/>
              <w:rPr>
                <w:lang w:eastAsia="en-US"/>
              </w:rPr>
            </w:pPr>
          </w:p>
          <w:p w14:paraId="2C9C49F5" w14:textId="77777777" w:rsidR="00711444" w:rsidRPr="004D0DAA" w:rsidRDefault="00711444" w:rsidP="00AA2A4C">
            <w:pPr>
              <w:pStyle w:val="TAL"/>
              <w:rPr>
                <w:lang w:eastAsia="en-US"/>
              </w:rPr>
            </w:pPr>
          </w:p>
        </w:tc>
      </w:tr>
    </w:tbl>
    <w:p w14:paraId="36E3D43F" w14:textId="77777777" w:rsidR="00711444" w:rsidRPr="004D0DAA" w:rsidRDefault="00711444" w:rsidP="00711444"/>
    <w:p w14:paraId="5D523E18" w14:textId="77777777" w:rsidR="00711444" w:rsidRPr="004D0DAA" w:rsidRDefault="00711444" w:rsidP="00711444">
      <w:pPr>
        <w:pStyle w:val="TH"/>
      </w:pPr>
      <w:r w:rsidRPr="004D0DAA">
        <w:t>Table 11.2.3a.2: PACKET CELL CHANGE NOTIFICATION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0BC537C" w14:textId="77777777" w:rsidTr="00AA2A4C">
        <w:tblPrEx>
          <w:tblCellMar>
            <w:top w:w="0" w:type="dxa"/>
            <w:bottom w:w="0" w:type="dxa"/>
          </w:tblCellMar>
        </w:tblPrEx>
        <w:trPr>
          <w:cantSplit/>
        </w:trPr>
        <w:tc>
          <w:tcPr>
            <w:tcW w:w="9848" w:type="dxa"/>
          </w:tcPr>
          <w:p w14:paraId="3724FAF5" w14:textId="77777777" w:rsidR="00711444" w:rsidRPr="004D0DAA" w:rsidRDefault="00711444" w:rsidP="00AA2A4C">
            <w:pPr>
              <w:rPr>
                <w:b/>
              </w:rPr>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sub-clause 12.10.</w:t>
            </w:r>
          </w:p>
        </w:tc>
      </w:tr>
      <w:tr w:rsidR="00711444" w:rsidRPr="004D0DAA" w14:paraId="477CD4E2" w14:textId="77777777" w:rsidTr="00AA2A4C">
        <w:tblPrEx>
          <w:tblCellMar>
            <w:top w:w="0" w:type="dxa"/>
            <w:bottom w:w="0" w:type="dxa"/>
          </w:tblCellMar>
        </w:tblPrEx>
        <w:trPr>
          <w:cantSplit/>
        </w:trPr>
        <w:tc>
          <w:tcPr>
            <w:tcW w:w="9848" w:type="dxa"/>
          </w:tcPr>
          <w:p w14:paraId="73DB84A6" w14:textId="77777777" w:rsidR="00711444" w:rsidRPr="004D0DAA" w:rsidRDefault="00711444" w:rsidP="00AA2A4C">
            <w:pPr>
              <w:keepLines/>
              <w:rPr>
                <w:b/>
              </w:rPr>
            </w:pPr>
            <w:r w:rsidRPr="004D0DAA">
              <w:rPr>
                <w:b/>
              </w:rPr>
              <w:t>ARFCN</w:t>
            </w:r>
            <w:r w:rsidRPr="004D0DAA">
              <w:t xml:space="preserve"> (10 bit field)</w:t>
            </w:r>
            <w:r w:rsidRPr="004D0DAA">
              <w:br/>
              <w:t>This field contains the BCCH frequency of the proposed cell for re-selection. This field is encoded as the ARFCN defined in 3GPP TS 44.018.</w:t>
            </w:r>
            <w:r w:rsidRPr="004D0DAA">
              <w:br/>
              <w:t>Range 0 to 1023</w:t>
            </w:r>
          </w:p>
        </w:tc>
      </w:tr>
      <w:tr w:rsidR="00711444" w:rsidRPr="004D0DAA" w14:paraId="5E197265" w14:textId="77777777" w:rsidTr="00AA2A4C">
        <w:tblPrEx>
          <w:tblCellMar>
            <w:top w:w="0" w:type="dxa"/>
            <w:bottom w:w="0" w:type="dxa"/>
          </w:tblCellMar>
        </w:tblPrEx>
        <w:trPr>
          <w:cantSplit/>
        </w:trPr>
        <w:tc>
          <w:tcPr>
            <w:tcW w:w="9848" w:type="dxa"/>
          </w:tcPr>
          <w:p w14:paraId="1AFFB041" w14:textId="77777777" w:rsidR="00711444" w:rsidRPr="004D0DAA" w:rsidRDefault="00711444" w:rsidP="00AA2A4C">
            <w:pPr>
              <w:rPr>
                <w:b/>
              </w:rPr>
            </w:pPr>
            <w:r w:rsidRPr="004D0DAA">
              <w:rPr>
                <w:b/>
              </w:rPr>
              <w:t>BSIC</w:t>
            </w:r>
            <w:r w:rsidRPr="004D0DAA">
              <w:t xml:space="preserve"> (6 bit field)</w:t>
            </w:r>
            <w:r w:rsidRPr="004D0DAA">
              <w:br/>
              <w:t>This field contains the BSIC of the proposed cell for re-selection. This field is encoded as the BSIC value defined in 3GPP TS 44.018.</w:t>
            </w:r>
            <w:r w:rsidRPr="004D0DAA">
              <w:br/>
              <w:t>Range 0 to 63</w:t>
            </w:r>
          </w:p>
        </w:tc>
      </w:tr>
      <w:tr w:rsidR="00711444" w:rsidRPr="004D0DAA" w14:paraId="4FDC973F" w14:textId="77777777" w:rsidTr="00AA2A4C">
        <w:tblPrEx>
          <w:tblCellMar>
            <w:top w:w="0" w:type="dxa"/>
            <w:bottom w:w="0" w:type="dxa"/>
          </w:tblCellMar>
        </w:tblPrEx>
        <w:trPr>
          <w:cantSplit/>
        </w:trPr>
        <w:tc>
          <w:tcPr>
            <w:tcW w:w="9848" w:type="dxa"/>
          </w:tcPr>
          <w:p w14:paraId="11468328" w14:textId="77777777" w:rsidR="00711444" w:rsidRPr="004D0DAA" w:rsidRDefault="00711444" w:rsidP="00AA2A4C">
            <w:r w:rsidRPr="004D0DAA">
              <w:rPr>
                <w:b/>
              </w:rPr>
              <w:t xml:space="preserve">BA_USED </w:t>
            </w:r>
            <w:r w:rsidRPr="004D0DAA">
              <w:t>(1 bit field)</w:t>
            </w:r>
          </w:p>
          <w:p w14:paraId="59224FAD" w14:textId="77777777" w:rsidR="00711444" w:rsidRPr="004D0DAA" w:rsidRDefault="00711444" w:rsidP="00AA2A4C">
            <w:r w:rsidRPr="004D0DAA">
              <w:rPr>
                <w:b/>
              </w:rPr>
              <w:t xml:space="preserve">3G_BA_USED </w:t>
            </w:r>
            <w:r w:rsidRPr="004D0DAA">
              <w:t>(1 bit field)</w:t>
            </w:r>
          </w:p>
          <w:p w14:paraId="145777E4" w14:textId="77777777" w:rsidR="00711444" w:rsidRPr="004D0DAA" w:rsidRDefault="00711444" w:rsidP="00AA2A4C">
            <w:r w:rsidRPr="004D0DAA">
              <w:rPr>
                <w:b/>
              </w:rPr>
              <w:t xml:space="preserve">PSI3_CHANGE_MARK </w:t>
            </w:r>
            <w:r w:rsidRPr="004D0DAA">
              <w:t>(2 bit field)</w:t>
            </w:r>
          </w:p>
          <w:p w14:paraId="7A9F29B6" w14:textId="77777777" w:rsidR="00711444" w:rsidRPr="004D0DAA" w:rsidRDefault="00711444" w:rsidP="00AA2A4C">
            <w:r w:rsidRPr="004D0DAA">
              <w:t>These fields shall be included and contain the value of the BA_IND, 3G_BA_IND and PSI3_CHANGE_MARK respectively in the messages defining the used GSM Neighbour Cell list.</w:t>
            </w:r>
          </w:p>
          <w:p w14:paraId="47101AAF" w14:textId="77777777" w:rsidR="00711444" w:rsidRPr="004D0DAA" w:rsidRDefault="00711444" w:rsidP="00AA2A4C">
            <w:pPr>
              <w:rPr>
                <w:b/>
              </w:rPr>
            </w:pPr>
            <w:r w:rsidRPr="004D0DAA">
              <w:t>In case PBCCH exists, PSI3_CHANGE_MARK shall be used.</w:t>
            </w:r>
            <w:r w:rsidRPr="004D0DAA">
              <w:br/>
              <w:t>In case PBCCH does not exist, BA_USED and 3G_BA_USED shall be used.</w:t>
            </w:r>
          </w:p>
        </w:tc>
      </w:tr>
      <w:tr w:rsidR="00711444" w:rsidRPr="004D0DAA" w14:paraId="7A050113" w14:textId="77777777" w:rsidTr="00AA2A4C">
        <w:tblPrEx>
          <w:tblCellMar>
            <w:top w:w="0" w:type="dxa"/>
            <w:bottom w:w="0" w:type="dxa"/>
          </w:tblCellMar>
        </w:tblPrEx>
        <w:trPr>
          <w:cantSplit/>
        </w:trPr>
        <w:tc>
          <w:tcPr>
            <w:tcW w:w="9848" w:type="dxa"/>
          </w:tcPr>
          <w:p w14:paraId="5CA32666" w14:textId="77777777" w:rsidR="00711444" w:rsidRPr="004D0DAA" w:rsidRDefault="00711444" w:rsidP="00AA2A4C">
            <w:pPr>
              <w:rPr>
                <w:b/>
              </w:rPr>
            </w:pPr>
            <w:r w:rsidRPr="004D0DAA">
              <w:rPr>
                <w:b/>
              </w:rPr>
              <w:t>PMO_USED</w:t>
            </w:r>
            <w:r w:rsidRPr="004D0DAA">
              <w:t xml:space="preserve"> (1 bit field)</w:t>
            </w:r>
            <w:r w:rsidRPr="004D0DAA">
              <w:br/>
              <w:t>This parameter shall contain the value of the PMO_IND in the PACKET CELL CHANGE ORDER or PACKET MEASUREMENT ORDER messages that has modified the used GSM Neighbour Cell list. If no such message has been received, PMO_USED shall be set to zero.</w:t>
            </w:r>
          </w:p>
        </w:tc>
      </w:tr>
      <w:tr w:rsidR="00711444" w:rsidRPr="004D0DAA" w14:paraId="25A1439D" w14:textId="77777777" w:rsidTr="00AA2A4C">
        <w:tblPrEx>
          <w:tblCellMar>
            <w:top w:w="0" w:type="dxa"/>
            <w:bottom w:w="0" w:type="dxa"/>
          </w:tblCellMar>
        </w:tblPrEx>
        <w:trPr>
          <w:cantSplit/>
        </w:trPr>
        <w:tc>
          <w:tcPr>
            <w:tcW w:w="9848" w:type="dxa"/>
          </w:tcPr>
          <w:p w14:paraId="2D0736EE" w14:textId="77777777" w:rsidR="00711444" w:rsidRPr="004D0DAA" w:rsidRDefault="00711444" w:rsidP="00AA2A4C">
            <w:pPr>
              <w:rPr>
                <w:b/>
              </w:rPr>
            </w:pPr>
            <w:r w:rsidRPr="004D0DAA">
              <w:rPr>
                <w:b/>
              </w:rPr>
              <w:t>CCN Measurement Report struct</w:t>
            </w:r>
          </w:p>
          <w:p w14:paraId="08D31A36" w14:textId="77777777" w:rsidR="00711444" w:rsidRPr="004D0DAA" w:rsidRDefault="00711444" w:rsidP="00AA2A4C">
            <w:pPr>
              <w:rPr>
                <w:b/>
              </w:rPr>
            </w:pPr>
            <w:r w:rsidRPr="004D0DAA">
              <w:t>This struct is identical to the NC Measurement Report struct specified in the PACKET MEASUREMENT REPORT message with the exception that the NC_MODE parameter is not part of the struct.</w:t>
            </w:r>
          </w:p>
        </w:tc>
      </w:tr>
      <w:tr w:rsidR="00711444" w:rsidRPr="004D0DAA" w14:paraId="5592C0F4" w14:textId="77777777" w:rsidTr="00AA2A4C">
        <w:tblPrEx>
          <w:tblCellMar>
            <w:top w:w="0" w:type="dxa"/>
            <w:bottom w:w="0" w:type="dxa"/>
          </w:tblCellMar>
        </w:tblPrEx>
        <w:trPr>
          <w:cantSplit/>
        </w:trPr>
        <w:tc>
          <w:tcPr>
            <w:tcW w:w="9848" w:type="dxa"/>
          </w:tcPr>
          <w:p w14:paraId="36ABA824" w14:textId="77777777" w:rsidR="00711444" w:rsidRPr="004D0DAA" w:rsidRDefault="00711444" w:rsidP="00AA2A4C">
            <w:pPr>
              <w:spacing w:after="0"/>
              <w:rPr>
                <w:b/>
              </w:rPr>
            </w:pPr>
            <w:r w:rsidRPr="004D0DAA">
              <w:rPr>
                <w:b/>
              </w:rPr>
              <w:t xml:space="preserve">PCCN SENDING </w:t>
            </w:r>
            <w:r w:rsidRPr="004D0DAA">
              <w:t>(1 bit field)</w:t>
            </w:r>
          </w:p>
          <w:p w14:paraId="725E3934" w14:textId="77777777" w:rsidR="00711444" w:rsidRPr="004D0DAA" w:rsidRDefault="00714E95" w:rsidP="00714E95">
            <w:pPr>
              <w:overflowPunct w:val="0"/>
              <w:autoSpaceDE w:val="0"/>
              <w:autoSpaceDN w:val="0"/>
              <w:adjustRightInd w:val="0"/>
              <w:spacing w:after="0"/>
              <w:textAlignment w:val="baseline"/>
            </w:pPr>
            <w:r w:rsidRPr="004D0DAA">
              <w:t>0</w:t>
            </w:r>
            <w:r w:rsidRPr="004D0DAA">
              <w:tab/>
            </w:r>
            <w:r w:rsidR="00711444" w:rsidRPr="004D0DAA">
              <w:t>This is the first sending of the Packet Cell Change Notification message;</w:t>
            </w:r>
          </w:p>
          <w:p w14:paraId="23C56EB6" w14:textId="77777777" w:rsidR="00711444" w:rsidRPr="004D0DAA" w:rsidRDefault="00714E95" w:rsidP="00714E95">
            <w:pPr>
              <w:overflowPunct w:val="0"/>
              <w:autoSpaceDE w:val="0"/>
              <w:autoSpaceDN w:val="0"/>
              <w:adjustRightInd w:val="0"/>
              <w:textAlignment w:val="baseline"/>
            </w:pPr>
            <w:r w:rsidRPr="004D0DAA">
              <w:t>1</w:t>
            </w:r>
            <w:r w:rsidRPr="004D0DAA">
              <w:tab/>
            </w:r>
            <w:r w:rsidR="00711444" w:rsidRPr="004D0DAA">
              <w:t>This is the second sending of the Packet Cell Change Notification message.</w:t>
            </w:r>
          </w:p>
          <w:p w14:paraId="68350878" w14:textId="77777777" w:rsidR="00711444" w:rsidRPr="004D0DAA" w:rsidRDefault="00711444" w:rsidP="00AA2A4C">
            <w:pPr>
              <w:rPr>
                <w:b/>
              </w:rPr>
            </w:pPr>
            <w:r w:rsidRPr="004D0DAA">
              <w:t>This field is used by the network to know whether the mobile station has just started T3208 or whether the reception of this message was triggered by T3210 expiry.</w:t>
            </w:r>
          </w:p>
        </w:tc>
      </w:tr>
      <w:tr w:rsidR="00711444" w:rsidRPr="004D0DAA" w14:paraId="1789604D" w14:textId="77777777" w:rsidTr="00AA2A4C">
        <w:tblPrEx>
          <w:tblCellMar>
            <w:top w:w="0" w:type="dxa"/>
            <w:bottom w:w="0" w:type="dxa"/>
          </w:tblCellMar>
        </w:tblPrEx>
        <w:trPr>
          <w:cantSplit/>
        </w:trPr>
        <w:tc>
          <w:tcPr>
            <w:tcW w:w="9848" w:type="dxa"/>
          </w:tcPr>
          <w:p w14:paraId="7A0136EA" w14:textId="77777777" w:rsidR="00711444" w:rsidRPr="004D0DAA" w:rsidRDefault="00711444" w:rsidP="00AA2A4C">
            <w:pPr>
              <w:spacing w:after="0"/>
            </w:pPr>
            <w:r w:rsidRPr="004D0DAA">
              <w:rPr>
                <w:b/>
                <w:i/>
              </w:rPr>
              <w:lastRenderedPageBreak/>
              <w:t>3G Target Cell struct</w:t>
            </w:r>
            <w:r w:rsidRPr="004D0DAA">
              <w:rPr>
                <w:b/>
                <w:i/>
              </w:rPr>
              <w:br/>
            </w:r>
            <w:r w:rsidRPr="004D0DAA">
              <w:t>For information regarding the REPORTING QUANTITY see below. Regarding the other parameters see sub-clause 11.2.4 -PACKET CELL CHANGE ORDER message.</w:t>
            </w:r>
          </w:p>
          <w:p w14:paraId="1BA4ACE4" w14:textId="77777777" w:rsidR="00711444" w:rsidRPr="004D0DAA" w:rsidRDefault="00711444" w:rsidP="00AA2A4C">
            <w:pPr>
              <w:spacing w:after="0"/>
              <w:rPr>
                <w:b/>
              </w:rPr>
            </w:pPr>
          </w:p>
        </w:tc>
      </w:tr>
      <w:tr w:rsidR="00711444" w:rsidRPr="004D0DAA" w14:paraId="6DCFB7E5" w14:textId="77777777" w:rsidTr="00AA2A4C">
        <w:tblPrEx>
          <w:tblCellMar>
            <w:top w:w="0" w:type="dxa"/>
            <w:bottom w:w="0" w:type="dxa"/>
          </w:tblCellMar>
        </w:tblPrEx>
        <w:trPr>
          <w:cantSplit/>
        </w:trPr>
        <w:tc>
          <w:tcPr>
            <w:tcW w:w="9848" w:type="dxa"/>
          </w:tcPr>
          <w:p w14:paraId="0C4029AA" w14:textId="77777777" w:rsidR="00711444" w:rsidRPr="004D0DAA" w:rsidRDefault="00711444" w:rsidP="00AA2A4C">
            <w:r w:rsidRPr="004D0DAA">
              <w:rPr>
                <w:b/>
              </w:rPr>
              <w:t>3G CCN Measurement Report struct</w:t>
            </w:r>
            <w:r w:rsidRPr="004D0DAA">
              <w:rPr>
                <w:b/>
              </w:rPr>
              <w:br/>
            </w:r>
            <w:r w:rsidRPr="004D0DAA">
              <w:t>Measurement reporting for 3G Cells is defined in 3GPP TS 45.008. Should no 3G Cell be available for reporting, N_3G shall be set to 0 and the 3G_CELL_LIST_INDEX shall be set to 127 whenever this 3G CCN Measurement Report struct is included in the message.</w:t>
            </w:r>
          </w:p>
          <w:p w14:paraId="148B215F" w14:textId="77777777" w:rsidR="00711444" w:rsidRPr="004D0DAA" w:rsidRDefault="00711444" w:rsidP="00AA2A4C">
            <w:r w:rsidRPr="004D0DAA">
              <w:rPr>
                <w:b/>
              </w:rPr>
              <w:t xml:space="preserve">3G_CELL_LIST_INDEX </w:t>
            </w:r>
            <w:r w:rsidRPr="004D0DAA">
              <w:t>(7 bit field)</w:t>
            </w:r>
            <w:r w:rsidRPr="004D0DAA">
              <w:br/>
              <w:t>This is the index of the i'th reported 3G neighbour cell in the 3G Neighbour Cell List. See sub-clause 5.6.3.1.</w:t>
            </w:r>
          </w:p>
          <w:p w14:paraId="388BFF58" w14:textId="77777777" w:rsidR="00711444" w:rsidRPr="004D0DAA" w:rsidRDefault="00711444" w:rsidP="00AA2A4C">
            <w:pPr>
              <w:rPr>
                <w:b/>
              </w:rPr>
            </w:pPr>
            <w:r w:rsidRPr="004D0DAA">
              <w:rPr>
                <w:b/>
              </w:rPr>
              <w:t>REPORTING_QUANTITY</w:t>
            </w:r>
            <w:r w:rsidRPr="004D0DAA">
              <w:t xml:space="preserve"> (6 bit field)</w:t>
            </w:r>
            <w:r w:rsidRPr="004D0DAA">
              <w:br/>
              <w:t>This is the reporting quantity for the serving and for the i'th reported 3G cell. The quantities are defined in 3GPP TS 45.008 for the respective Radio Access Technology</w:t>
            </w:r>
          </w:p>
        </w:tc>
      </w:tr>
      <w:tr w:rsidR="00711444" w:rsidRPr="004D0DAA" w14:paraId="44FE7165" w14:textId="77777777" w:rsidTr="00AA2A4C">
        <w:tblPrEx>
          <w:tblCellMar>
            <w:top w:w="0" w:type="dxa"/>
            <w:bottom w:w="0" w:type="dxa"/>
          </w:tblCellMar>
        </w:tblPrEx>
        <w:trPr>
          <w:cantSplit/>
        </w:trPr>
        <w:tc>
          <w:tcPr>
            <w:tcW w:w="9848" w:type="dxa"/>
          </w:tcPr>
          <w:p w14:paraId="54CEBFBB" w14:textId="77777777" w:rsidR="00711444" w:rsidRPr="004D0DAA" w:rsidRDefault="00711444" w:rsidP="00AA2A4C">
            <w:pPr>
              <w:spacing w:after="0"/>
              <w:rPr>
                <w:lang w:eastAsia="en-GB"/>
              </w:rPr>
            </w:pPr>
            <w:r w:rsidRPr="004D0DAA">
              <w:rPr>
                <w:b/>
                <w:lang w:eastAsia="en-GB"/>
              </w:rPr>
              <w:t>E-UTRAN Target Cell struct</w:t>
            </w:r>
            <w:r w:rsidRPr="004D0DAA">
              <w:rPr>
                <w:b/>
                <w:i/>
                <w:lang w:eastAsia="en-GB"/>
              </w:rPr>
              <w:br/>
            </w:r>
            <w:r w:rsidRPr="004D0DAA">
              <w:rPr>
                <w:lang w:eastAsia="en-GB"/>
              </w:rPr>
              <w:t xml:space="preserve">For information regarding the REPORTING QUANTITY see below. Regarding the other parameters see sub-clause 12.49. If the conditions for sending the </w:t>
            </w:r>
            <w:r w:rsidRPr="004D0DAA">
              <w:rPr>
                <w:i/>
                <w:lang w:eastAsia="en-GB"/>
              </w:rPr>
              <w:t>E-UTRAN Target cell with extended EARFCN</w:t>
            </w:r>
            <w:r w:rsidRPr="004D0DAA">
              <w:rPr>
                <w:lang w:eastAsia="en-GB"/>
              </w:rPr>
              <w:t xml:space="preserve"> structure are met (see definition of </w:t>
            </w:r>
            <w:r w:rsidRPr="004D0DAA">
              <w:rPr>
                <w:i/>
                <w:lang w:eastAsia="en-GB"/>
              </w:rPr>
              <w:t>E-UTRAN Target Cell with extended EARFCN</w:t>
            </w:r>
            <w:r w:rsidRPr="004D0DAA">
              <w:rPr>
                <w:lang w:eastAsia="en-GB"/>
              </w:rPr>
              <w:t xml:space="preserve"> below) then this structure shall not be included.</w:t>
            </w:r>
          </w:p>
          <w:p w14:paraId="1A9E465F" w14:textId="77777777" w:rsidR="00711444" w:rsidRPr="004D0DAA" w:rsidRDefault="00711444" w:rsidP="00AA2A4C">
            <w:pPr>
              <w:spacing w:after="0"/>
              <w:rPr>
                <w:b/>
                <w:i/>
              </w:rPr>
            </w:pPr>
          </w:p>
        </w:tc>
      </w:tr>
      <w:tr w:rsidR="00711444" w:rsidRPr="004D0DAA" w14:paraId="76A9B9E4" w14:textId="77777777" w:rsidTr="00AA2A4C">
        <w:tblPrEx>
          <w:tblCellMar>
            <w:top w:w="0" w:type="dxa"/>
            <w:bottom w:w="0" w:type="dxa"/>
          </w:tblCellMar>
        </w:tblPrEx>
        <w:trPr>
          <w:cantSplit/>
        </w:trPr>
        <w:tc>
          <w:tcPr>
            <w:tcW w:w="9848" w:type="dxa"/>
          </w:tcPr>
          <w:p w14:paraId="70510315" w14:textId="77777777" w:rsidR="00711444" w:rsidRPr="004D0DAA" w:rsidRDefault="00711444" w:rsidP="00AA2A4C">
            <w:r w:rsidRPr="004D0DAA">
              <w:rPr>
                <w:b/>
              </w:rPr>
              <w:t>E-UTRAN CCN Measurement Report struct</w:t>
            </w:r>
            <w:r w:rsidRPr="004D0DAA">
              <w:rPr>
                <w:b/>
              </w:rPr>
              <w:br/>
            </w:r>
            <w:r w:rsidRPr="004D0DAA">
              <w:t>Measurement reporting for E-UTRAN Cells is defined in 3GPP TS 45.008.</w:t>
            </w:r>
          </w:p>
          <w:p w14:paraId="6EF04333" w14:textId="77777777" w:rsidR="00711444" w:rsidRPr="004D0DAA" w:rsidRDefault="00711444" w:rsidP="00AA2A4C">
            <w:r w:rsidRPr="004D0DAA">
              <w:rPr>
                <w:b/>
              </w:rPr>
              <w:t xml:space="preserve">3G_BA_USED </w:t>
            </w:r>
            <w:r w:rsidRPr="004D0DAA">
              <w:t>(1 bit field)</w:t>
            </w:r>
            <w:r w:rsidRPr="004D0DAA">
              <w:br/>
            </w:r>
            <w:r w:rsidRPr="004D0DAA">
              <w:rPr>
                <w:b/>
              </w:rPr>
              <w:t xml:space="preserve">N_E-UTRAN </w:t>
            </w:r>
            <w:r w:rsidRPr="004D0DAA">
              <w:t>(2 bit field)</w:t>
            </w:r>
            <w:r w:rsidRPr="004D0DAA">
              <w:rPr>
                <w:b/>
              </w:rPr>
              <w:br/>
              <w:t xml:space="preserve">E-UTRAN_FREQUENCY_INDEX </w:t>
            </w:r>
            <w:r w:rsidRPr="004D0DAA">
              <w:t>(3 bit field)</w:t>
            </w:r>
            <w:r w:rsidRPr="004D0DAA">
              <w:rPr>
                <w:b/>
              </w:rPr>
              <w:br/>
              <w:t xml:space="preserve">CELL IDENTITY </w:t>
            </w:r>
            <w:r w:rsidRPr="004D0DAA">
              <w:t>(9 bit field)</w:t>
            </w:r>
            <w:r w:rsidRPr="004D0DAA">
              <w:br/>
              <w:t>These fields are described in sub-clause 11.2.9.</w:t>
            </w:r>
          </w:p>
          <w:p w14:paraId="124EDE10" w14:textId="77777777" w:rsidR="00711444" w:rsidRPr="004D0DAA" w:rsidRDefault="00711444" w:rsidP="00AA2A4C">
            <w:pPr>
              <w:spacing w:after="0"/>
              <w:rPr>
                <w:b/>
                <w:i/>
              </w:rPr>
            </w:pPr>
            <w:r w:rsidRPr="004D0DAA">
              <w:rPr>
                <w:b/>
              </w:rPr>
              <w:t>REPORTING_QUANTITY</w:t>
            </w:r>
            <w:r w:rsidRPr="004D0DAA">
              <w:t xml:space="preserve"> (6 bit field)</w:t>
            </w:r>
            <w:r w:rsidRPr="004D0DAA">
              <w:br/>
              <w:t>This is the reporting quantity for the E-UTRAN neighbour cell. The quantities are defined in 3GPP TS 45.008 for the respective Radio Access Technology.</w:t>
            </w:r>
          </w:p>
        </w:tc>
      </w:tr>
      <w:tr w:rsidR="00711444" w:rsidRPr="004D0DAA" w14:paraId="79BD97FF" w14:textId="77777777" w:rsidTr="00AA2A4C">
        <w:tblPrEx>
          <w:tblCellMar>
            <w:top w:w="0" w:type="dxa"/>
            <w:bottom w:w="0" w:type="dxa"/>
          </w:tblCellMar>
        </w:tblPrEx>
        <w:trPr>
          <w:cantSplit/>
        </w:trPr>
        <w:tc>
          <w:tcPr>
            <w:tcW w:w="9848" w:type="dxa"/>
          </w:tcPr>
          <w:p w14:paraId="684D54DD" w14:textId="77777777" w:rsidR="00711444" w:rsidRPr="004D0DAA" w:rsidRDefault="00711444" w:rsidP="00AA2A4C">
            <w:pPr>
              <w:rPr>
                <w:b/>
              </w:rPr>
            </w:pPr>
            <w:r w:rsidRPr="004D0DAA">
              <w:rPr>
                <w:b/>
              </w:rPr>
              <w:t>UTRAN CSG Target Cell Measurement Report</w:t>
            </w:r>
            <w:r w:rsidRPr="004D0DAA">
              <w:rPr>
                <w:b/>
              </w:rPr>
              <w:br/>
            </w:r>
            <w:r w:rsidRPr="004D0DAA">
              <w:t xml:space="preserve">Measurement reporting for UTRAN CSG cells is defined in 3GPP TS 45.008. This information element contains the measurement results and routing parameters for one UTRAN CSG </w:t>
            </w:r>
            <w:r w:rsidRPr="004D0DAA">
              <w:rPr>
                <w:bCs/>
              </w:rPr>
              <w:t xml:space="preserve">or hybrid target </w:t>
            </w:r>
            <w:r w:rsidRPr="004D0DAA">
              <w:t>cell. It is encoded as the UTRAN CSG Measurement Report IE defined in sub-clause 12.61.</w:t>
            </w:r>
          </w:p>
        </w:tc>
      </w:tr>
      <w:tr w:rsidR="00711444" w:rsidRPr="004D0DAA" w14:paraId="4A70817A" w14:textId="77777777" w:rsidTr="00AA2A4C">
        <w:tblPrEx>
          <w:tblCellMar>
            <w:top w:w="0" w:type="dxa"/>
            <w:bottom w:w="0" w:type="dxa"/>
          </w:tblCellMar>
        </w:tblPrEx>
        <w:trPr>
          <w:cantSplit/>
        </w:trPr>
        <w:tc>
          <w:tcPr>
            <w:tcW w:w="9848" w:type="dxa"/>
          </w:tcPr>
          <w:p w14:paraId="797CF92F" w14:textId="77777777" w:rsidR="00711444" w:rsidRPr="004D0DAA" w:rsidRDefault="00711444" w:rsidP="00AA2A4C">
            <w:pPr>
              <w:rPr>
                <w:b/>
              </w:rPr>
            </w:pPr>
            <w:r w:rsidRPr="004D0DAA">
              <w:rPr>
                <w:b/>
              </w:rPr>
              <w:t>E-UTRAN CSG Target Cell Measurement Report</w:t>
            </w:r>
            <w:r w:rsidRPr="004D0DAA">
              <w:rPr>
                <w:b/>
              </w:rPr>
              <w:br/>
            </w:r>
            <w:r w:rsidRPr="004D0DAA">
              <w:t xml:space="preserve">Measurement reporting for E-UTRAN CSG cells is defined in 3GPP TS 45.008. This information element contains the measurement results and routing parameters for one E-UTRAN CSG </w:t>
            </w:r>
            <w:r w:rsidRPr="004D0DAA">
              <w:rPr>
                <w:bCs/>
              </w:rPr>
              <w:t xml:space="preserve">or hybrid target </w:t>
            </w:r>
            <w:r w:rsidRPr="004D0DAA">
              <w:t>cell. It is encoded as the E-UTRAN CSG Measurement Report IE defined in sub-clause 12.60.</w:t>
            </w:r>
          </w:p>
        </w:tc>
      </w:tr>
      <w:tr w:rsidR="00711444" w:rsidRPr="004D0DAA" w14:paraId="53402DBE" w14:textId="77777777" w:rsidTr="00AA2A4C">
        <w:tblPrEx>
          <w:tblCellMar>
            <w:top w:w="0" w:type="dxa"/>
            <w:bottom w:w="0" w:type="dxa"/>
          </w:tblCellMar>
        </w:tblPrEx>
        <w:trPr>
          <w:cantSplit/>
        </w:trPr>
        <w:tc>
          <w:tcPr>
            <w:tcW w:w="9848" w:type="dxa"/>
          </w:tcPr>
          <w:p w14:paraId="5923F378" w14:textId="77777777" w:rsidR="00711444" w:rsidRPr="004D0DAA" w:rsidRDefault="00711444" w:rsidP="00AA2A4C">
            <w:pPr>
              <w:rPr>
                <w:b/>
              </w:rPr>
            </w:pPr>
            <w:r w:rsidRPr="004D0DAA">
              <w:rPr>
                <w:b/>
              </w:rPr>
              <w:t xml:space="preserve">CSG Discriminator </w:t>
            </w:r>
            <w:r w:rsidRPr="004D0DAA">
              <w:t>(1 bit field)</w:t>
            </w:r>
            <w:r w:rsidRPr="004D0DAA">
              <w:rPr>
                <w:b/>
              </w:rPr>
              <w:br/>
            </w:r>
            <w:r w:rsidRPr="004D0DAA">
              <w:rPr>
                <w:bCs/>
              </w:rPr>
              <w:t>This field is defined in sub-clause 5.6.3.9. It shall be included if the message includes a report for a CSG cell as specified in sub-clause 5.6.3.9, otherwise, it shall be omitted.</w:t>
            </w:r>
          </w:p>
        </w:tc>
      </w:tr>
      <w:tr w:rsidR="00711444" w:rsidRPr="004D0DAA" w14:paraId="6B835FC4" w14:textId="77777777" w:rsidTr="00AA2A4C">
        <w:tblPrEx>
          <w:tblCellMar>
            <w:top w:w="0" w:type="dxa"/>
            <w:bottom w:w="0" w:type="dxa"/>
          </w:tblCellMar>
        </w:tblPrEx>
        <w:trPr>
          <w:cantSplit/>
        </w:trPr>
        <w:tc>
          <w:tcPr>
            <w:tcW w:w="9848" w:type="dxa"/>
          </w:tcPr>
          <w:p w14:paraId="6027A21F" w14:textId="77777777" w:rsidR="00711444" w:rsidRPr="004D0DAA" w:rsidRDefault="00711444" w:rsidP="00AA2A4C">
            <w:pPr>
              <w:rPr>
                <w:b/>
              </w:rPr>
            </w:pPr>
            <w:r w:rsidRPr="004D0DAA">
              <w:rPr>
                <w:b/>
              </w:rPr>
              <w:t xml:space="preserve">DOWNLINK_eTFI </w:t>
            </w:r>
            <w:r w:rsidRPr="004D0DAA">
              <w:t>(3 bit field)</w:t>
            </w:r>
            <w:r w:rsidRPr="004D0DAA">
              <w:br/>
              <w:t>See sub-clause 11.2.48</w:t>
            </w:r>
          </w:p>
        </w:tc>
      </w:tr>
      <w:tr w:rsidR="00711444" w:rsidRPr="004D0DAA" w14:paraId="5B530B06" w14:textId="77777777" w:rsidTr="00AA2A4C">
        <w:tblPrEx>
          <w:tblCellMar>
            <w:top w:w="0" w:type="dxa"/>
            <w:bottom w:w="0" w:type="dxa"/>
          </w:tblCellMar>
        </w:tblPrEx>
        <w:trPr>
          <w:cantSplit/>
        </w:trPr>
        <w:tc>
          <w:tcPr>
            <w:tcW w:w="9848" w:type="dxa"/>
          </w:tcPr>
          <w:p w14:paraId="29FDE09C" w14:textId="77777777" w:rsidR="00711444" w:rsidRPr="004D0DAA" w:rsidRDefault="00711444" w:rsidP="00AA2A4C">
            <w:pPr>
              <w:rPr>
                <w:lang w:eastAsia="en-GB"/>
              </w:rPr>
            </w:pPr>
            <w:r w:rsidRPr="004D0DAA">
              <w:rPr>
                <w:b/>
                <w:lang w:eastAsia="en-GB"/>
              </w:rPr>
              <w:t>E-UTRAN Target Cell with extended EARFCN struct</w:t>
            </w:r>
            <w:r w:rsidRPr="004D0DAA">
              <w:rPr>
                <w:b/>
                <w:lang w:eastAsia="en-GB"/>
              </w:rPr>
              <w:br/>
            </w:r>
            <w:r w:rsidRPr="004D0DAA">
              <w:rPr>
                <w:bCs/>
                <w:lang w:eastAsia="en-GB"/>
              </w:rPr>
              <w:t xml:space="preserve">This structure shall only be included if both the mobile station and the network supports extended EARFCNs (see 3GPP TS 24.008); in such a case the </w:t>
            </w:r>
            <w:r w:rsidRPr="004D0DAA">
              <w:rPr>
                <w:i/>
                <w:lang w:eastAsia="en-GB"/>
              </w:rPr>
              <w:t xml:space="preserve">E-UTRAN Target Cell </w:t>
            </w:r>
            <w:r w:rsidRPr="004D0DAA">
              <w:rPr>
                <w:lang w:eastAsia="en-GB"/>
              </w:rPr>
              <w:t>structure shall not be included in the message</w:t>
            </w:r>
            <w:r w:rsidRPr="004D0DAA">
              <w:rPr>
                <w:bCs/>
                <w:lang w:eastAsia="en-GB"/>
              </w:rPr>
              <w:t>.</w:t>
            </w:r>
          </w:p>
          <w:p w14:paraId="0B9E84A3" w14:textId="77777777" w:rsidR="00711444" w:rsidRPr="004D0DAA" w:rsidRDefault="00711444" w:rsidP="00AA2A4C">
            <w:pPr>
              <w:rPr>
                <w:b/>
                <w:i/>
                <w:lang w:eastAsia="en-GB"/>
              </w:rPr>
            </w:pPr>
            <w:r w:rsidRPr="004D0DAA">
              <w:rPr>
                <w:lang w:eastAsia="en-GB"/>
              </w:rPr>
              <w:t xml:space="preserve">For information regarding the </w:t>
            </w:r>
            <w:r w:rsidRPr="004D0DAA">
              <w:rPr>
                <w:i/>
                <w:lang w:eastAsia="en-GB"/>
              </w:rPr>
              <w:t>REPORTING QUANTITY</w:t>
            </w:r>
            <w:r w:rsidRPr="004D0DAA">
              <w:rPr>
                <w:lang w:eastAsia="en-GB"/>
              </w:rPr>
              <w:t xml:space="preserve"> field see above. For a description of the remaining fields included within this struct, see sub-clause 12.49 and 12.70.</w:t>
            </w:r>
          </w:p>
        </w:tc>
      </w:tr>
    </w:tbl>
    <w:p w14:paraId="1BDACCA8" w14:textId="77777777" w:rsidR="00711444" w:rsidRPr="004D0DAA" w:rsidRDefault="00711444" w:rsidP="00711444"/>
    <w:p w14:paraId="33EA1CF4" w14:textId="77777777" w:rsidR="00711444" w:rsidRPr="004D0DAA" w:rsidRDefault="00711444" w:rsidP="00711444">
      <w:pPr>
        <w:pStyle w:val="Heading3"/>
      </w:pPr>
      <w:bookmarkStart w:id="650" w:name="_Toc516669828"/>
      <w:r w:rsidRPr="004D0DAA">
        <w:lastRenderedPageBreak/>
        <w:t>11.2.4</w:t>
      </w:r>
      <w:r w:rsidRPr="004D0DAA">
        <w:tab/>
        <w:t>Packet Cell Change Order</w:t>
      </w:r>
      <w:bookmarkEnd w:id="650"/>
    </w:p>
    <w:p w14:paraId="376580E7" w14:textId="77777777" w:rsidR="00711444" w:rsidRPr="004D0DAA" w:rsidRDefault="00711444" w:rsidP="00711444">
      <w:r w:rsidRPr="004D0DAA">
        <w:t>This message is sent on the PCCCH or PACCH by the network to the mobile station to command the mobile station to leave the current cell and change to a new cell. For a (3G) multi-RAT mobile station the new cell may be a 3G Cell. For a (E-UTRAN) multi-RAT mobile station the new cell may be an E-UTRAN cell.</w:t>
      </w:r>
    </w:p>
    <w:p w14:paraId="4C0EE39A" w14:textId="77777777" w:rsidR="00711444" w:rsidRPr="004D0DAA" w:rsidRDefault="00711444" w:rsidP="00711444">
      <w:pPr>
        <w:pStyle w:val="EX"/>
      </w:pPr>
      <w:r w:rsidRPr="004D0DAA">
        <w:t>Message type:</w:t>
      </w:r>
      <w:r w:rsidRPr="004D0DAA">
        <w:tab/>
        <w:t>PACKET CELL CHANGE ORDER</w:t>
      </w:r>
    </w:p>
    <w:p w14:paraId="723E61EF" w14:textId="77777777" w:rsidR="00711444" w:rsidRPr="004D0DAA" w:rsidRDefault="00711444" w:rsidP="00711444">
      <w:pPr>
        <w:pStyle w:val="EX"/>
      </w:pPr>
      <w:r w:rsidRPr="004D0DAA">
        <w:t>Direction:</w:t>
      </w:r>
      <w:r w:rsidRPr="004D0DAA">
        <w:tab/>
        <w:t>network to mobile station</w:t>
      </w:r>
    </w:p>
    <w:p w14:paraId="5E40099B" w14:textId="77777777" w:rsidR="00711444" w:rsidRPr="004D0DAA" w:rsidRDefault="00711444" w:rsidP="00711444">
      <w:pPr>
        <w:pStyle w:val="EX"/>
      </w:pPr>
      <w:r w:rsidRPr="004D0DAA">
        <w:t>Classification:</w:t>
      </w:r>
      <w:r w:rsidRPr="004D0DAA">
        <w:tab/>
        <w:t>non-distribution message</w:t>
      </w:r>
    </w:p>
    <w:p w14:paraId="59BD5BD8" w14:textId="77777777" w:rsidR="00711444" w:rsidRPr="004D0DAA" w:rsidRDefault="00711444" w:rsidP="00711444">
      <w:pPr>
        <w:pStyle w:val="TH"/>
      </w:pPr>
      <w:r w:rsidRPr="004D0DAA">
        <w:lastRenderedPageBreak/>
        <w:t>Table 11.2.4.1: PACKET CELL CHANGE ORDER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A494357" w14:textId="77777777" w:rsidTr="00AA2A4C">
        <w:tblPrEx>
          <w:tblCellMar>
            <w:top w:w="0" w:type="dxa"/>
            <w:bottom w:w="0" w:type="dxa"/>
          </w:tblCellMar>
        </w:tblPrEx>
        <w:trPr>
          <w:cantSplit/>
        </w:trPr>
        <w:tc>
          <w:tcPr>
            <w:tcW w:w="9848" w:type="dxa"/>
          </w:tcPr>
          <w:p w14:paraId="507953D2" w14:textId="77777777" w:rsidR="00711444" w:rsidRPr="004D0DAA" w:rsidRDefault="00711444" w:rsidP="00AA2A4C">
            <w:pPr>
              <w:pStyle w:val="TAL"/>
              <w:rPr>
                <w:lang w:eastAsia="en-US"/>
              </w:rPr>
            </w:pPr>
            <w:r w:rsidRPr="004D0DAA">
              <w:rPr>
                <w:lang w:eastAsia="en-US"/>
              </w:rPr>
              <w:t>&lt; Packet Cell Change Order message content &gt; ::=</w:t>
            </w:r>
          </w:p>
          <w:p w14:paraId="59917DC6"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PAGE_MODE</w:t>
            </w:r>
            <w:r w:rsidRPr="004D0DAA">
              <w:rPr>
                <w:lang w:val="fr-FR" w:eastAsia="en-US"/>
              </w:rPr>
              <w:t xml:space="preserve"> : bit (2) &gt;</w:t>
            </w:r>
          </w:p>
          <w:p w14:paraId="3D92F0A4"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4926AA01"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10</w:t>
            </w:r>
            <w:r w:rsidRPr="004D0DAA">
              <w:rPr>
                <w:lang w:eastAsia="en-US"/>
              </w:rPr>
              <w:tab/>
              <w:t xml:space="preserve">&lt; </w:t>
            </w:r>
            <w:r w:rsidRPr="004D0DAA">
              <w:rPr>
                <w:b/>
                <w:lang w:eastAsia="en-US"/>
              </w:rPr>
              <w:t>TLLI</w:t>
            </w:r>
            <w:r w:rsidRPr="004D0DAA">
              <w:rPr>
                <w:lang w:eastAsia="en-US"/>
              </w:rPr>
              <w:t xml:space="preserve"> </w:t>
            </w:r>
            <w:r w:rsidRPr="004D0DAA">
              <w:rPr>
                <w:b/>
                <w:bCs/>
                <w:lang w:eastAsia="en-US"/>
              </w:rPr>
              <w:t xml:space="preserve">/ G-RNTI </w:t>
            </w:r>
            <w:r w:rsidRPr="004D0DAA">
              <w:rPr>
                <w:lang w:eastAsia="en-US"/>
              </w:rPr>
              <w:t>: bit (32) &gt; }</w:t>
            </w:r>
          </w:p>
          <w:p w14:paraId="6B54CDD0"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r>
          </w:p>
          <w:p w14:paraId="2F68A28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IMMEDIATE_REL</w:t>
            </w:r>
            <w:r w:rsidRPr="004D0DAA">
              <w:rPr>
                <w:lang w:eastAsia="en-US"/>
              </w:rPr>
              <w:t xml:space="preserve"> : bit &gt;</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GSM target cell:</w:t>
            </w:r>
            <w:r w:rsidRPr="004D0DAA">
              <w:rPr>
                <w:lang w:eastAsia="en-US"/>
              </w:rPr>
              <w:t xml:space="preserve"> &lt; GSM target cell struct &gt;&gt;</w:t>
            </w:r>
          </w:p>
          <w:p w14:paraId="5C2F88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26A115EB" w14:textId="77777777" w:rsidR="00711444" w:rsidRPr="004D0DAA" w:rsidRDefault="00711444" w:rsidP="00AA2A4C">
            <w:pPr>
              <w:pStyle w:val="TAL"/>
              <w:rPr>
                <w:lang w:eastAsia="en-US"/>
              </w:rPr>
            </w:pPr>
            <w:r w:rsidRPr="004D0DAA">
              <w:rPr>
                <w:lang w:eastAsia="en-US"/>
              </w:rPr>
              <w:tab/>
            </w:r>
            <w:r w:rsidRPr="004D0DAA">
              <w:rPr>
                <w:lang w:eastAsia="en-US"/>
              </w:rPr>
              <w:tab/>
              <w:t>| 1</w:t>
            </w:r>
          </w:p>
          <w:p w14:paraId="0CD297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00</w:t>
            </w:r>
            <w:r w:rsidRPr="004D0DAA">
              <w:rPr>
                <w:lang w:eastAsia="en-US"/>
              </w:rPr>
              <w:tab/>
              <w:t xml:space="preserve">-- </w:t>
            </w:r>
            <w:r w:rsidRPr="004D0DAA">
              <w:rPr>
                <w:i/>
                <w:lang w:eastAsia="en-US"/>
              </w:rPr>
              <w:t>Message escape</w:t>
            </w:r>
          </w:p>
          <w:p w14:paraId="0600C1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IMMEDIATE_REL</w:t>
            </w:r>
            <w:r w:rsidRPr="004D0DAA">
              <w:rPr>
                <w:lang w:eastAsia="en-US"/>
              </w:rPr>
              <w:t xml:space="preserve"> : bit &gt;</w:t>
            </w:r>
          </w:p>
          <w:p w14:paraId="66196E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UTRAN FDD Target cell</w:t>
            </w:r>
            <w:r w:rsidRPr="004D0DAA">
              <w:rPr>
                <w:lang w:eastAsia="en-US"/>
              </w:rPr>
              <w:t>: &lt; UTRAN FDD Target cell IE &gt; &gt; }</w:t>
            </w:r>
          </w:p>
          <w:p w14:paraId="78B61DA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UTRAN TDD Target cell</w:t>
            </w:r>
            <w:r w:rsidRPr="004D0DAA">
              <w:rPr>
                <w:lang w:eastAsia="en-US"/>
              </w:rPr>
              <w:t>: &lt; UTRAN TDD Target cell IE &gt; &gt; }</w:t>
            </w:r>
          </w:p>
          <w:p w14:paraId="7D9CA9F1"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7E3082C0"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2614F7DD" w14:textId="77777777" w:rsidR="00711444" w:rsidRPr="004D0DAA" w:rsidRDefault="00711444" w:rsidP="00AA2A4C">
            <w:pPr>
              <w:pStyle w:val="TAL"/>
              <w:rPr>
                <w:i/>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null | 0</w:t>
            </w:r>
            <w:r w:rsidRPr="004D0DAA">
              <w:rPr>
                <w:lang w:eastAsia="en-US"/>
              </w:rPr>
              <w:tab/>
              <w:t>bit ** = &lt; no string &gt;</w:t>
            </w:r>
            <w:r w:rsidRPr="004D0DAA">
              <w:rPr>
                <w:lang w:eastAsia="en-US"/>
              </w:rPr>
              <w:tab/>
            </w:r>
            <w:r w:rsidRPr="004D0DAA">
              <w:rPr>
                <w:i/>
                <w:lang w:eastAsia="en-US"/>
              </w:rPr>
              <w:t>-- Receiver compatible with earlier release</w:t>
            </w:r>
          </w:p>
          <w:p w14:paraId="0D7593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Rel-8</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E-UTRAN Target cell</w:t>
            </w:r>
            <w:r w:rsidRPr="004D0DAA">
              <w:rPr>
                <w:lang w:eastAsia="en-US"/>
              </w:rPr>
              <w:t xml:space="preserve"> : &lt; E-UTRAN Target cell IE &gt;&gt; }</w:t>
            </w:r>
          </w:p>
          <w:p w14:paraId="72A2DB21" w14:textId="77777777" w:rsidR="00711444" w:rsidRPr="004D0DAA" w:rsidRDefault="00711444" w:rsidP="00AA2A4C">
            <w:pPr>
              <w:pStyle w:val="TAL"/>
              <w:rPr>
                <w:lang w:eastAsia="en-US"/>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en-US"/>
              </w:rPr>
              <w:t>{ 0 | 1</w:t>
            </w:r>
            <w:r w:rsidRPr="004D0DAA">
              <w:rPr>
                <w:lang w:eastAsia="en-US"/>
              </w:rPr>
              <w:tab/>
              <w:t xml:space="preserve">&lt; </w:t>
            </w:r>
            <w:r w:rsidRPr="004D0DAA">
              <w:rPr>
                <w:rFonts w:hint="eastAsia"/>
                <w:b/>
                <w:lang w:eastAsia="zh-CN"/>
              </w:rPr>
              <w:t>Individual Priorities</w:t>
            </w:r>
            <w:r w:rsidRPr="004D0DAA">
              <w:rPr>
                <w:lang w:eastAsia="en-US"/>
              </w:rPr>
              <w:t xml:space="preserve"> : &lt; </w:t>
            </w:r>
            <w:r w:rsidRPr="004D0DAA">
              <w:rPr>
                <w:rFonts w:hint="eastAsia"/>
                <w:lang w:eastAsia="zh-CN"/>
              </w:rPr>
              <w:t>Individual Pr</w:t>
            </w:r>
            <w:r w:rsidRPr="004D0DAA">
              <w:rPr>
                <w:lang w:eastAsia="zh-CN"/>
              </w:rPr>
              <w:t>i</w:t>
            </w:r>
            <w:r w:rsidRPr="004D0DAA">
              <w:rPr>
                <w:rFonts w:hint="eastAsia"/>
                <w:lang w:eastAsia="zh-CN"/>
              </w:rPr>
              <w:t>orities</w:t>
            </w:r>
            <w:r w:rsidRPr="004D0DAA">
              <w:rPr>
                <w:lang w:eastAsia="en-US"/>
              </w:rPr>
              <w:t xml:space="preserve"> IE &gt;&gt; </w:t>
            </w:r>
            <w:r w:rsidRPr="004D0DAA">
              <w:rPr>
                <w:rFonts w:hint="eastAsia"/>
                <w:lang w:eastAsia="zh-CN"/>
              </w:rPr>
              <w:t>}</w:t>
            </w:r>
            <w:r w:rsidRPr="004D0DAA">
              <w:rPr>
                <w:lang w:eastAsia="en-US"/>
              </w:rPr>
              <w:tab/>
            </w:r>
          </w:p>
          <w:p w14:paraId="6CBD6F5B"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 null | 0</w:t>
            </w:r>
            <w:r w:rsidRPr="004D0DAA">
              <w:rPr>
                <w:rFonts w:ascii="Arial" w:hAnsi="Arial"/>
                <w:sz w:val="18"/>
                <w:lang w:eastAsia="en-GB"/>
              </w:rPr>
              <w:tab/>
              <w:t>bit ** = &lt; no string &gt;</w:t>
            </w:r>
            <w:r w:rsidRPr="004D0DAA">
              <w:rPr>
                <w:rFonts w:ascii="Arial" w:hAnsi="Arial"/>
                <w:sz w:val="18"/>
                <w:lang w:eastAsia="en-GB"/>
              </w:rPr>
              <w:tab/>
            </w:r>
            <w:r w:rsidRPr="004D0DAA">
              <w:rPr>
                <w:rFonts w:ascii="Arial" w:hAnsi="Arial"/>
                <w:i/>
                <w:sz w:val="18"/>
                <w:lang w:eastAsia="en-GB"/>
              </w:rPr>
              <w:t>-- Receiver compatible with earlier release</w:t>
            </w:r>
          </w:p>
          <w:p w14:paraId="3A65E554" w14:textId="77777777" w:rsidR="00711444" w:rsidRPr="004D0DAA" w:rsidRDefault="00711444" w:rsidP="00AA2A4C">
            <w:pPr>
              <w:keepNext/>
              <w:keepLines/>
              <w:spacing w:after="0"/>
              <w:rPr>
                <w:rFonts w:ascii="Arial" w:hAnsi="Arial"/>
                <w:i/>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t>| 1</w:t>
            </w:r>
            <w:r w:rsidRPr="004D0DAA">
              <w:rPr>
                <w:rFonts w:ascii="Arial" w:hAnsi="Arial"/>
                <w:sz w:val="18"/>
                <w:lang w:eastAsia="en-GB"/>
              </w:rPr>
              <w:tab/>
            </w:r>
            <w:r w:rsidRPr="004D0DAA">
              <w:rPr>
                <w:rFonts w:ascii="Arial" w:hAnsi="Arial"/>
                <w:sz w:val="18"/>
                <w:lang w:eastAsia="en-GB"/>
              </w:rPr>
              <w:tab/>
              <w:t xml:space="preserve">-- </w:t>
            </w:r>
            <w:r w:rsidRPr="004D0DAA">
              <w:rPr>
                <w:rFonts w:ascii="Arial" w:hAnsi="Arial"/>
                <w:i/>
                <w:iCs/>
                <w:sz w:val="18"/>
                <w:lang w:eastAsia="en-GB"/>
              </w:rPr>
              <w:t>Additions in Rel-11</w:t>
            </w:r>
          </w:p>
          <w:p w14:paraId="721B9750" w14:textId="77777777" w:rsidR="00711444" w:rsidRPr="004D0DAA" w:rsidRDefault="00711444" w:rsidP="00AA2A4C">
            <w:pPr>
              <w:keepNext/>
              <w:keepLines/>
              <w:spacing w:after="0"/>
              <w:rPr>
                <w:rFonts w:ascii="Arial" w:hAnsi="Arial"/>
                <w:iCs/>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t>{ 0 | 1</w:t>
            </w:r>
            <w:r w:rsidRPr="004D0DAA">
              <w:rPr>
                <w:rFonts w:ascii="Arial" w:hAnsi="Arial"/>
                <w:iCs/>
                <w:sz w:val="18"/>
                <w:lang w:eastAsia="en-GB"/>
              </w:rPr>
              <w:tab/>
              <w:t xml:space="preserve">&lt; </w:t>
            </w:r>
            <w:r w:rsidRPr="004D0DAA">
              <w:rPr>
                <w:rFonts w:ascii="Arial" w:hAnsi="Arial"/>
                <w:b/>
                <w:iCs/>
                <w:sz w:val="18"/>
                <w:lang w:eastAsia="en-GB"/>
              </w:rPr>
              <w:t>E-UTRAN Target cell</w:t>
            </w:r>
            <w:r w:rsidRPr="004D0DAA">
              <w:rPr>
                <w:rFonts w:ascii="Arial" w:hAnsi="Arial"/>
                <w:iCs/>
                <w:sz w:val="18"/>
                <w:lang w:eastAsia="en-GB"/>
              </w:rPr>
              <w:t xml:space="preserve"> </w:t>
            </w:r>
            <w:r w:rsidRPr="004D0DAA">
              <w:rPr>
                <w:rFonts w:ascii="Arial" w:hAnsi="Arial"/>
                <w:b/>
                <w:iCs/>
                <w:sz w:val="18"/>
                <w:lang w:eastAsia="en-GB"/>
              </w:rPr>
              <w:t xml:space="preserve">with extended EARFCN </w:t>
            </w:r>
            <w:r w:rsidRPr="004D0DAA">
              <w:rPr>
                <w:rFonts w:ascii="Arial" w:hAnsi="Arial"/>
                <w:iCs/>
                <w:sz w:val="18"/>
                <w:lang w:eastAsia="en-GB"/>
              </w:rPr>
              <w:t>:</w:t>
            </w:r>
          </w:p>
          <w:p w14:paraId="2788C310" w14:textId="77777777" w:rsidR="00711444" w:rsidRPr="004D0DAA" w:rsidRDefault="00711444" w:rsidP="00AA2A4C">
            <w:pPr>
              <w:keepNext/>
              <w:keepLines/>
              <w:spacing w:after="0"/>
              <w:rPr>
                <w:rFonts w:ascii="Arial" w:hAnsi="Arial"/>
                <w:iCs/>
                <w:sz w:val="18"/>
                <w:lang w:eastAsia="en-GB"/>
              </w:rPr>
            </w:pPr>
            <w:r w:rsidRPr="004D0DAA">
              <w:rPr>
                <w:rFonts w:ascii="Arial" w:hAnsi="Arial"/>
                <w:iCs/>
                <w:sz w:val="18"/>
                <w:lang w:eastAsia="en-GB"/>
              </w:rPr>
              <w:t xml:space="preserve"> </w:t>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iCs/>
                <w:sz w:val="18"/>
                <w:lang w:eastAsia="en-GB"/>
              </w:rPr>
              <w:tab/>
              <w:t>&lt; E-UTRAN Target cell with extended EARFCN IE &gt;&gt; }</w:t>
            </w:r>
          </w:p>
          <w:p w14:paraId="44AFFEF9"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t>{ 0 | 1</w:t>
            </w:r>
            <w:r w:rsidRPr="004D0DAA">
              <w:rPr>
                <w:rFonts w:ascii="Arial" w:hAnsi="Arial"/>
                <w:iCs/>
                <w:sz w:val="18"/>
                <w:lang w:eastAsia="en-GB"/>
              </w:rPr>
              <w:tab/>
              <w:t xml:space="preserve">&lt; </w:t>
            </w:r>
            <w:r w:rsidRPr="004D0DAA">
              <w:rPr>
                <w:rFonts w:ascii="Arial" w:hAnsi="Arial"/>
                <w:b/>
                <w:sz w:val="18"/>
                <w:lang w:eastAsia="zh-CN"/>
              </w:rPr>
              <w:t>E-UTRAN IPP</w:t>
            </w:r>
            <w:r w:rsidRPr="004D0DAA">
              <w:rPr>
                <w:rFonts w:ascii="Arial" w:hAnsi="Arial"/>
                <w:sz w:val="18"/>
                <w:lang w:eastAsia="en-GB"/>
              </w:rPr>
              <w:t xml:space="preserve"> </w:t>
            </w:r>
            <w:r w:rsidRPr="004D0DAA">
              <w:rPr>
                <w:rFonts w:ascii="Arial" w:hAnsi="Arial"/>
                <w:b/>
                <w:sz w:val="18"/>
                <w:lang w:eastAsia="en-GB"/>
              </w:rPr>
              <w:t>with extended EARFCNs</w:t>
            </w:r>
            <w:r w:rsidRPr="004D0DAA">
              <w:rPr>
                <w:rFonts w:ascii="Arial" w:hAnsi="Arial"/>
                <w:sz w:val="18"/>
                <w:lang w:eastAsia="en-GB"/>
              </w:rPr>
              <w:t>:</w:t>
            </w:r>
          </w:p>
          <w:p w14:paraId="2ED57F35"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 xml:space="preserve"> </w:t>
            </w:r>
            <w:r w:rsidRPr="004D0DAA">
              <w:rPr>
                <w:rFonts w:ascii="Arial" w:hAnsi="Arial"/>
                <w:iCs/>
                <w:sz w:val="18"/>
                <w:lang w:eastAsia="en-GB"/>
              </w:rPr>
              <w:t xml:space="preserve"> </w:t>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ab/>
            </w:r>
            <w:r w:rsidRPr="004D0DAA">
              <w:rPr>
                <w:rFonts w:ascii="Arial" w:hAnsi="Arial"/>
                <w:iCs/>
                <w:sz w:val="18"/>
                <w:lang w:eastAsia="en-GB"/>
              </w:rPr>
              <w:tab/>
            </w:r>
            <w:r w:rsidRPr="004D0DAA">
              <w:rPr>
                <w:rFonts w:ascii="Arial" w:hAnsi="Arial"/>
                <w:sz w:val="18"/>
                <w:lang w:eastAsia="en-GB"/>
              </w:rPr>
              <w:t xml:space="preserve">&lt; E-UTRAN </w:t>
            </w:r>
            <w:r w:rsidRPr="004D0DAA">
              <w:rPr>
                <w:rFonts w:ascii="Arial" w:hAnsi="Arial" w:hint="eastAsia"/>
                <w:sz w:val="18"/>
                <w:lang w:eastAsia="zh-CN"/>
              </w:rPr>
              <w:t>IP</w:t>
            </w:r>
            <w:r w:rsidRPr="004D0DAA">
              <w:rPr>
                <w:rFonts w:ascii="Arial" w:hAnsi="Arial"/>
                <w:sz w:val="18"/>
                <w:lang w:eastAsia="zh-CN"/>
              </w:rPr>
              <w:t>P</w:t>
            </w:r>
            <w:r w:rsidRPr="004D0DAA">
              <w:rPr>
                <w:rFonts w:ascii="Arial" w:hAnsi="Arial"/>
                <w:sz w:val="18"/>
                <w:lang w:eastAsia="en-GB"/>
              </w:rPr>
              <w:t xml:space="preserve"> with extended EARFCNs IE</w:t>
            </w:r>
            <w:r w:rsidRPr="004D0DAA">
              <w:rPr>
                <w:rFonts w:ascii="Arial" w:hAnsi="Arial"/>
                <w:iCs/>
                <w:sz w:val="18"/>
                <w:lang w:eastAsia="en-GB"/>
              </w:rPr>
              <w:t xml:space="preserve"> &gt;&gt; }</w:t>
            </w:r>
          </w:p>
          <w:p w14:paraId="4F7DEB8B" w14:textId="77777777" w:rsidR="00711444" w:rsidRPr="004D0DAA" w:rsidRDefault="00711444" w:rsidP="00AA2A4C">
            <w:pPr>
              <w:pStyle w:val="TAL"/>
              <w:rPr>
                <w:lang w:eastAsia="en-US"/>
              </w:rPr>
            </w:pP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t>&lt; padding bits &gt; } } }</w:t>
            </w:r>
          </w:p>
          <w:p w14:paraId="2CC224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2F0A257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Message escape : { 01 | 10 | 11} bit (*) = &lt;no string&gt; &gt; } }</w:t>
            </w:r>
          </w:p>
          <w:p w14:paraId="334AFB2D"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5E92BDBF" w14:textId="77777777" w:rsidR="00711444" w:rsidRPr="004D0DAA" w:rsidRDefault="00711444" w:rsidP="00AA2A4C">
            <w:pPr>
              <w:pStyle w:val="TAL"/>
              <w:rPr>
                <w:lang w:eastAsia="en-US"/>
              </w:rPr>
            </w:pPr>
            <w:r w:rsidRPr="004D0DAA">
              <w:rPr>
                <w:lang w:eastAsia="en-US"/>
              </w:rPr>
              <w:tab/>
              <w:t>! &lt; Distribution part error : bit (*) = &lt; no string &gt; &gt; ;</w:t>
            </w:r>
          </w:p>
          <w:p w14:paraId="3E861E68" w14:textId="77777777" w:rsidR="00711444" w:rsidRPr="004D0DAA" w:rsidRDefault="00711444" w:rsidP="00AA2A4C">
            <w:pPr>
              <w:pStyle w:val="TAL"/>
              <w:rPr>
                <w:lang w:eastAsia="en-US"/>
              </w:rPr>
            </w:pPr>
          </w:p>
        </w:tc>
      </w:tr>
      <w:tr w:rsidR="00711444" w:rsidRPr="004D0DAA" w14:paraId="1DDF3825" w14:textId="77777777" w:rsidTr="00AA2A4C">
        <w:tblPrEx>
          <w:tblCellMar>
            <w:top w:w="0" w:type="dxa"/>
            <w:bottom w:w="0" w:type="dxa"/>
          </w:tblCellMar>
        </w:tblPrEx>
        <w:trPr>
          <w:cantSplit/>
        </w:trPr>
        <w:tc>
          <w:tcPr>
            <w:tcW w:w="9848" w:type="dxa"/>
          </w:tcPr>
          <w:p w14:paraId="27A925FE" w14:textId="77777777" w:rsidR="00711444" w:rsidRPr="004D0DAA" w:rsidRDefault="00711444" w:rsidP="00AA2A4C">
            <w:pPr>
              <w:pStyle w:val="TAL"/>
              <w:rPr>
                <w:lang w:eastAsia="en-US"/>
              </w:rPr>
            </w:pPr>
            <w:r w:rsidRPr="004D0DAA">
              <w:rPr>
                <w:lang w:eastAsia="en-US"/>
              </w:rPr>
              <w:lastRenderedPageBreak/>
              <w:t>&lt; GSM target cell struct &gt; ::=</w:t>
            </w:r>
          </w:p>
          <w:p w14:paraId="1F233C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w:t>
            </w:r>
            <w:r w:rsidRPr="004D0DAA">
              <w:rPr>
                <w:lang w:eastAsia="en-US"/>
              </w:rPr>
              <w:t xml:space="preserve"> : bit (10) &gt;</w:t>
            </w:r>
          </w:p>
          <w:p w14:paraId="25D0AE3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BSIC</w:t>
            </w:r>
            <w:r w:rsidRPr="004D0DAA">
              <w:rPr>
                <w:lang w:eastAsia="en-US"/>
              </w:rPr>
              <w:t xml:space="preserve"> : bit (6) &gt;</w:t>
            </w:r>
          </w:p>
          <w:p w14:paraId="51B8E87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NC Measurement Parameters</w:t>
            </w:r>
            <w:r w:rsidRPr="004D0DAA">
              <w:rPr>
                <w:lang w:eastAsia="en-US"/>
              </w:rPr>
              <w:t xml:space="preserve"> : &lt; NC Measurement Parameters struct &gt; &gt;</w:t>
            </w:r>
          </w:p>
          <w:p w14:paraId="3DBB3808" w14:textId="77777777" w:rsidR="00711444" w:rsidRPr="004D0DAA" w:rsidRDefault="00711444" w:rsidP="00AA2A4C">
            <w:pPr>
              <w:pStyle w:val="TAL"/>
              <w:rPr>
                <w:lang w:eastAsia="en-US"/>
              </w:rPr>
            </w:pP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52616F16"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t xml:space="preserve">-- </w:t>
            </w:r>
            <w:r w:rsidRPr="004D0DAA">
              <w:rPr>
                <w:i/>
                <w:lang w:eastAsia="en-US"/>
              </w:rPr>
              <w:t>Additions in release 98 :</w:t>
            </w:r>
          </w:p>
          <w:p w14:paraId="7EEF7335"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LSA Parameters</w:t>
            </w:r>
            <w:r w:rsidRPr="004D0DAA">
              <w:rPr>
                <w:lang w:eastAsia="en-US"/>
              </w:rPr>
              <w:t xml:space="preserve"> : &lt; LSA Parameters IE &gt;&gt; }</w:t>
            </w:r>
          </w:p>
          <w:p w14:paraId="4323BEC0" w14:textId="77777777" w:rsidR="00711444" w:rsidRPr="004D0DAA" w:rsidRDefault="00711444" w:rsidP="00AA2A4C">
            <w:pPr>
              <w:pStyle w:val="TAL"/>
              <w:rPr>
                <w:lang w:eastAsia="en-US"/>
              </w:rPr>
            </w:pP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4D59A763"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lang w:eastAsia="en-US"/>
              </w:rPr>
              <w:t>Additions in release 99 :</w:t>
            </w:r>
          </w:p>
          <w:p w14:paraId="0377606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ENH Measurement parameters</w:t>
            </w:r>
            <w:r w:rsidRPr="004D0DAA">
              <w:rPr>
                <w:lang w:eastAsia="en-US"/>
              </w:rPr>
              <w:t xml:space="preserve"> : &lt; ENH Measurement parameters struct &gt;&gt; </w:t>
            </w:r>
          </w:p>
          <w:p w14:paraId="15BAF8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40E7F46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lang w:eastAsia="en-US"/>
              </w:rPr>
              <w:t>Additions in Rel-4 :</w:t>
            </w:r>
          </w:p>
          <w:p w14:paraId="1D9870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CCN_ACTIVE</w:t>
            </w:r>
            <w:r w:rsidRPr="004D0DAA">
              <w:rPr>
                <w:lang w:eastAsia="en-US"/>
              </w:rPr>
              <w:t xml:space="preserve"> : bit (1) &gt;</w:t>
            </w:r>
          </w:p>
          <w:p w14:paraId="7C2D6B8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CONTAINER_ID</w:t>
            </w:r>
            <w:r w:rsidRPr="004D0DAA">
              <w:rPr>
                <w:lang w:eastAsia="en-US"/>
              </w:rPr>
              <w:t xml:space="preserve"> : bit (2) &gt; }</w:t>
            </w:r>
          </w:p>
          <w:p w14:paraId="7583E7B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CCN Support Description</w:t>
            </w:r>
            <w:r w:rsidRPr="004D0DAA">
              <w:rPr>
                <w:lang w:eastAsia="en-US"/>
              </w:rPr>
              <w:t xml:space="preserve"> : &lt; CCN Support Description struct &gt;&gt; }</w:t>
            </w:r>
          </w:p>
          <w:p w14:paraId="605C9205"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5A5ABB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0 | 1</w:t>
            </w:r>
            <w:r w:rsidRPr="004D0DAA">
              <w:rPr>
                <w:iCs/>
                <w:lang w:eastAsia="en-US"/>
              </w:rPr>
              <w:tab/>
              <w:t xml:space="preserve">&lt; </w:t>
            </w:r>
            <w:r w:rsidRPr="004D0DAA">
              <w:rPr>
                <w:b/>
                <w:bCs/>
                <w:iCs/>
                <w:lang w:eastAsia="en-US"/>
              </w:rPr>
              <w:t xml:space="preserve">G-RNTI extension </w:t>
            </w:r>
            <w:r w:rsidRPr="004D0DAA">
              <w:rPr>
                <w:iCs/>
                <w:lang w:eastAsia="en-US"/>
              </w:rPr>
              <w:t>: bit (4) &gt; }</w:t>
            </w:r>
          </w:p>
          <w:p w14:paraId="65D74C9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Iu Mode Neighbour Cell Parameters</w:t>
            </w:r>
            <w:r w:rsidRPr="004D0DAA">
              <w:rPr>
                <w:lang w:eastAsia="en-US"/>
              </w:rPr>
              <w:t xml:space="preserve"> : { 1 &lt; Iu Mode Neighbour Cell params struct &gt;</w:t>
            </w:r>
            <w:r w:rsidRPr="004D0DAA">
              <w:rPr>
                <w:bCs/>
                <w:lang w:eastAsia="en-US"/>
              </w:rPr>
              <w:t xml:space="preserve"> </w:t>
            </w:r>
            <w:r w:rsidRPr="004D0DAA">
              <w:rPr>
                <w:lang w:eastAsia="en-US"/>
              </w:rPr>
              <w:t>} ** 0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--Supplementary information for dual </w:t>
            </w:r>
            <w:r w:rsidRPr="004D0DAA">
              <w:rPr>
                <w:i/>
                <w:iCs/>
                <w:lang w:eastAsia="en-US"/>
              </w:rPr>
              <w:t>Iu mode</w:t>
            </w:r>
            <w:r w:rsidRPr="004D0DAA">
              <w:rPr>
                <w:lang w:eastAsia="en-US"/>
              </w:rPr>
              <w:t xml:space="preserve"> and </w:t>
            </w:r>
            <w:r w:rsidRPr="004D0DAA">
              <w:rPr>
                <w:i/>
                <w:iCs/>
                <w:lang w:eastAsia="en-US"/>
              </w:rPr>
              <w:t>A/Gb mode</w:t>
            </w:r>
            <w:r w:rsidRPr="004D0DAA">
              <w:rPr>
                <w:lang w:eastAsia="en-US"/>
              </w:rPr>
              <w:t xml:space="preserve"> capable cells</w:t>
            </w:r>
          </w:p>
          <w:p w14:paraId="0FA19D0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NC Iu MODE ONLY CAPABLE CELL LIST </w:t>
            </w:r>
            <w:r w:rsidRPr="004D0DAA">
              <w:rPr>
                <w:lang w:eastAsia="en-US"/>
              </w:rPr>
              <w:t>: NC Iu Mode Only Cell List struct &gt; }</w:t>
            </w:r>
          </w:p>
          <w:p w14:paraId="46114E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GPRS 3G Additional Measurement Parameters Description 2 </w:t>
            </w:r>
            <w:r w:rsidRPr="004D0DAA">
              <w:rPr>
                <w:lang w:eastAsia="en-US"/>
              </w:rPr>
              <w:t xml:space="preserve">: </w:t>
            </w:r>
          </w:p>
          <w:p w14:paraId="20F80A3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GPRS 3G Additional Measurement Parameters Description 2 struct &gt;&gt;}</w:t>
            </w:r>
          </w:p>
          <w:p w14:paraId="66ABF3C8"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6DB434C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lang w:eastAsia="en-US"/>
              </w:rPr>
              <w:t>Additions in Rel-6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3G_CCN_ACTIVE</w:t>
            </w:r>
            <w:r w:rsidRPr="004D0DAA">
              <w:rPr>
                <w:lang w:eastAsia="en-US"/>
              </w:rPr>
              <w:t xml:space="preserve"> : bit (1) &gt;</w:t>
            </w:r>
          </w:p>
          <w:p w14:paraId="35593FB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lang w:eastAsia="en-US"/>
              </w:rPr>
              <w:tab/>
              <w:t xml:space="preserve">-- </w:t>
            </w:r>
            <w:r w:rsidRPr="004D0DAA">
              <w:rPr>
                <w:i/>
                <w:lang w:eastAsia="en-US"/>
              </w:rPr>
              <w:t>Receiver compatible with earlier release</w:t>
            </w:r>
          </w:p>
          <w:p w14:paraId="3BEEE4F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Rel-7 :</w:t>
            </w:r>
            <w:r w:rsidRPr="004D0DAA">
              <w:rPr>
                <w:lang w:eastAsia="en-US"/>
              </w:rPr>
              <w:tab/>
            </w:r>
          </w:p>
          <w:p w14:paraId="56D1BCA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zh-CN"/>
              </w:rPr>
              <w:t>70</w:t>
            </w:r>
            <w:r w:rsidRPr="004D0DAA">
              <w:rPr>
                <w:b/>
                <w:lang w:eastAsia="en-US"/>
              </w:rPr>
              <w:t>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zh-CN"/>
              </w:rPr>
              <w:t>70</w:t>
            </w:r>
            <w:r w:rsidRPr="004D0DAA">
              <w:rPr>
                <w:b/>
                <w:lang w:eastAsia="en-US"/>
              </w:rPr>
              <w:t xml:space="preserve">0_REPORTING_THRESHOLD </w:t>
            </w:r>
            <w:r w:rsidRPr="004D0DAA">
              <w:rPr>
                <w:lang w:eastAsia="en-US"/>
              </w:rPr>
              <w:t>: bit (3) &gt; }</w:t>
            </w:r>
          </w:p>
          <w:p w14:paraId="473E467A"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zh-CN"/>
              </w:rPr>
              <w:t>8</w:t>
            </w:r>
            <w:r w:rsidRPr="004D0DAA">
              <w:rPr>
                <w:b/>
                <w:lang w:eastAsia="en-US"/>
              </w:rPr>
              <w:t>10_REPORTING_OFFSET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zh-CN"/>
              </w:rPr>
              <w:t>8</w:t>
            </w:r>
            <w:r w:rsidRPr="004D0DAA">
              <w:rPr>
                <w:b/>
                <w:lang w:eastAsia="en-US"/>
              </w:rPr>
              <w:t xml:space="preserve">10_REPORTING_THRESHOLD </w:t>
            </w:r>
            <w:r w:rsidRPr="004D0DAA">
              <w:rPr>
                <w:lang w:eastAsia="en-US"/>
              </w:rPr>
              <w:t>: bit (3) &gt; }</w:t>
            </w:r>
          </w:p>
          <w:p w14:paraId="3B2295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 bit** = &lt;no string &gt;</w:t>
            </w:r>
            <w:r w:rsidRPr="004D0DAA">
              <w:rPr>
                <w:lang w:eastAsia="en-US"/>
              </w:rPr>
              <w:tab/>
              <w:t xml:space="preserve">-- </w:t>
            </w:r>
            <w:r w:rsidRPr="004D0DAA">
              <w:rPr>
                <w:i/>
                <w:iCs/>
                <w:lang w:eastAsia="en-US"/>
              </w:rPr>
              <w:t>Receiver backward compatible with earlier version</w:t>
            </w:r>
          </w:p>
          <w:p w14:paraId="38DE9C9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for Rel-8</w:t>
            </w:r>
          </w:p>
          <w:p w14:paraId="4F2ADBA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E-UTRAN_CCN_ACTIVE</w:t>
            </w:r>
            <w:r w:rsidRPr="004D0DAA">
              <w:rPr>
                <w:lang w:eastAsia="en-US"/>
              </w:rPr>
              <w:t xml:space="preserve"> : bit (1) &gt;</w:t>
            </w:r>
          </w:p>
          <w:p w14:paraId="3A393404"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en-US"/>
              </w:rPr>
              <w:t xml:space="preserve">{ 0 | 1 &lt; </w:t>
            </w:r>
            <w:r w:rsidRPr="004D0DAA">
              <w:rPr>
                <w:rFonts w:hint="eastAsia"/>
                <w:b/>
                <w:lang w:eastAsia="zh-CN"/>
              </w:rPr>
              <w:t>Individual Priorities</w:t>
            </w:r>
            <w:r w:rsidRPr="004D0DAA">
              <w:rPr>
                <w:lang w:eastAsia="en-US"/>
              </w:rPr>
              <w:t xml:space="preserve"> : &lt; </w:t>
            </w:r>
            <w:r w:rsidRPr="004D0DAA">
              <w:rPr>
                <w:rFonts w:hint="eastAsia"/>
                <w:lang w:eastAsia="zh-CN"/>
              </w:rPr>
              <w:t xml:space="preserve">Individual </w:t>
            </w:r>
            <w:r w:rsidRPr="004D0DAA">
              <w:rPr>
                <w:lang w:eastAsia="zh-CN"/>
              </w:rPr>
              <w:t>Priorities</w:t>
            </w:r>
            <w:r w:rsidRPr="004D0DAA">
              <w:rPr>
                <w:lang w:eastAsia="en-US"/>
              </w:rPr>
              <w:t xml:space="preserve"> IE &gt;&gt; </w:t>
            </w:r>
            <w:r w:rsidRPr="004D0DAA">
              <w:rPr>
                <w:rFonts w:hint="eastAsia"/>
                <w:lang w:eastAsia="zh-CN"/>
              </w:rPr>
              <w:t>}</w:t>
            </w:r>
          </w:p>
          <w:p w14:paraId="3F8D469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 } } } ;</w:t>
            </w:r>
          </w:p>
          <w:p w14:paraId="29D9A6C2" w14:textId="77777777" w:rsidR="00711444" w:rsidRPr="004D0DAA" w:rsidRDefault="00711444" w:rsidP="00AA2A4C">
            <w:pPr>
              <w:pStyle w:val="TAL"/>
              <w:rPr>
                <w:lang w:eastAsia="en-US"/>
              </w:rPr>
            </w:pPr>
          </w:p>
        </w:tc>
      </w:tr>
      <w:tr w:rsidR="00711444" w:rsidRPr="004D0DAA" w14:paraId="6345C13A" w14:textId="77777777" w:rsidTr="00AA2A4C">
        <w:tblPrEx>
          <w:tblCellMar>
            <w:top w:w="0" w:type="dxa"/>
            <w:bottom w:w="0" w:type="dxa"/>
          </w:tblCellMar>
        </w:tblPrEx>
        <w:trPr>
          <w:cantSplit/>
        </w:trPr>
        <w:tc>
          <w:tcPr>
            <w:tcW w:w="9848" w:type="dxa"/>
          </w:tcPr>
          <w:p w14:paraId="1779AADA" w14:textId="77777777" w:rsidR="00711444" w:rsidRPr="004D0DAA" w:rsidRDefault="00711444" w:rsidP="00AA2A4C">
            <w:pPr>
              <w:pStyle w:val="TAL"/>
              <w:rPr>
                <w:lang w:eastAsia="en-US"/>
              </w:rPr>
            </w:pPr>
            <w:r w:rsidRPr="004D0DAA">
              <w:rPr>
                <w:lang w:eastAsia="en-US"/>
              </w:rPr>
              <w:t>&lt; NC Measurement Parameters struct &gt; ::=</w:t>
            </w:r>
          </w:p>
          <w:p w14:paraId="319C24A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NETWORK_CONTROL_ORDER</w:t>
            </w:r>
            <w:r w:rsidRPr="004D0DAA">
              <w:rPr>
                <w:lang w:eastAsia="en-US"/>
              </w:rPr>
              <w:t xml:space="preserve"> : bit (2) &gt;</w:t>
            </w:r>
          </w:p>
          <w:p w14:paraId="4E36914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NC_NON_DRX_PERIOD </w:t>
            </w:r>
            <w:r w:rsidRPr="004D0DAA">
              <w:rPr>
                <w:lang w:eastAsia="en-US"/>
              </w:rPr>
              <w:t>: bit (3) &gt;</w:t>
            </w:r>
          </w:p>
          <w:p w14:paraId="1E711C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NC_REPORTING_PERIOD_I </w:t>
            </w:r>
            <w:r w:rsidRPr="004D0DAA">
              <w:rPr>
                <w:lang w:eastAsia="en-US"/>
              </w:rPr>
              <w:t>: bit (3) &gt;</w:t>
            </w:r>
          </w:p>
          <w:p w14:paraId="7450D9B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NC_REPORTING_PERIOD_T </w:t>
            </w:r>
            <w:r w:rsidRPr="004D0DAA">
              <w:rPr>
                <w:lang w:eastAsia="en-US"/>
              </w:rPr>
              <w:t>: bit (3) &gt; }</w:t>
            </w:r>
          </w:p>
          <w:p w14:paraId="5CBCC5A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NC_FREQUENCY_LIST </w:t>
            </w:r>
            <w:r w:rsidRPr="004D0DAA">
              <w:rPr>
                <w:lang w:eastAsia="en-US"/>
              </w:rPr>
              <w:t>: NC Frequency list struct &gt; } ;</w:t>
            </w:r>
          </w:p>
          <w:p w14:paraId="50F85E48" w14:textId="77777777" w:rsidR="00711444" w:rsidRPr="004D0DAA" w:rsidRDefault="00711444" w:rsidP="00AA2A4C">
            <w:pPr>
              <w:pStyle w:val="TAL"/>
              <w:rPr>
                <w:lang w:eastAsia="en-US"/>
              </w:rPr>
            </w:pPr>
          </w:p>
        </w:tc>
      </w:tr>
      <w:tr w:rsidR="00711444" w:rsidRPr="004D0DAA" w14:paraId="76C22013" w14:textId="77777777" w:rsidTr="00AA2A4C">
        <w:tblPrEx>
          <w:tblCellMar>
            <w:top w:w="0" w:type="dxa"/>
            <w:bottom w:w="0" w:type="dxa"/>
          </w:tblCellMar>
        </w:tblPrEx>
        <w:trPr>
          <w:cantSplit/>
        </w:trPr>
        <w:tc>
          <w:tcPr>
            <w:tcW w:w="9848" w:type="dxa"/>
          </w:tcPr>
          <w:p w14:paraId="0612BC72" w14:textId="77777777" w:rsidR="00711444" w:rsidRPr="004D0DAA" w:rsidRDefault="00711444" w:rsidP="00AA2A4C">
            <w:pPr>
              <w:pStyle w:val="TAL"/>
              <w:rPr>
                <w:lang w:eastAsia="en-US"/>
              </w:rPr>
            </w:pPr>
            <w:r w:rsidRPr="004D0DAA">
              <w:rPr>
                <w:lang w:eastAsia="en-US"/>
              </w:rPr>
              <w:t>&lt; NC Frequency list struct &gt; ::=</w:t>
            </w:r>
          </w:p>
          <w:p w14:paraId="17D403E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NR_OF_REMOVED_FREQ</w:t>
            </w:r>
            <w:r w:rsidRPr="004D0DAA">
              <w:rPr>
                <w:lang w:eastAsia="en-US"/>
              </w:rPr>
              <w:t xml:space="preserve"> : bit (5) &gt;</w:t>
            </w:r>
          </w:p>
          <w:p w14:paraId="3BA5BDD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w:t>
            </w:r>
            <w:r w:rsidRPr="004D0DAA">
              <w:rPr>
                <w:b/>
                <w:lang w:eastAsia="en-US"/>
              </w:rPr>
              <w:t>REMOVED_FREQ_INDEX</w:t>
            </w:r>
            <w:r w:rsidRPr="004D0DAA">
              <w:rPr>
                <w:lang w:eastAsia="en-US"/>
              </w:rPr>
              <w:t xml:space="preserve"> : bit (6) &gt; } * (1 + val(NR_OF_REMOVED_FREQ)) }</w:t>
            </w:r>
          </w:p>
          <w:p w14:paraId="607162B5"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List of added Frequency</w:t>
            </w:r>
            <w:r w:rsidRPr="004D0DAA">
              <w:rPr>
                <w:lang w:eastAsia="en-US"/>
              </w:rPr>
              <w:t xml:space="preserve"> : &lt; Add Frequency list struct &gt; &gt;} ** 0;</w:t>
            </w:r>
          </w:p>
          <w:p w14:paraId="78E4A606" w14:textId="77777777" w:rsidR="00711444" w:rsidRPr="004D0DAA" w:rsidRDefault="00711444" w:rsidP="00AA2A4C">
            <w:pPr>
              <w:pStyle w:val="TAL"/>
              <w:rPr>
                <w:lang w:eastAsia="en-US"/>
              </w:rPr>
            </w:pPr>
          </w:p>
        </w:tc>
      </w:tr>
      <w:tr w:rsidR="00711444" w:rsidRPr="004D0DAA" w14:paraId="3D9C8303" w14:textId="77777777" w:rsidTr="00AA2A4C">
        <w:tblPrEx>
          <w:tblCellMar>
            <w:top w:w="0" w:type="dxa"/>
            <w:bottom w:w="0" w:type="dxa"/>
          </w:tblCellMar>
        </w:tblPrEx>
        <w:trPr>
          <w:cantSplit/>
        </w:trPr>
        <w:tc>
          <w:tcPr>
            <w:tcW w:w="9848" w:type="dxa"/>
          </w:tcPr>
          <w:p w14:paraId="10556853" w14:textId="77777777" w:rsidR="00711444" w:rsidRPr="004D0DAA" w:rsidRDefault="00711444" w:rsidP="00AA2A4C">
            <w:pPr>
              <w:pStyle w:val="TAL"/>
              <w:rPr>
                <w:lang w:eastAsia="en-US"/>
              </w:rPr>
            </w:pPr>
            <w:r w:rsidRPr="004D0DAA">
              <w:rPr>
                <w:lang w:eastAsia="en-US"/>
              </w:rPr>
              <w:t>&lt; Add Frequency list struct &gt; ::=</w:t>
            </w:r>
          </w:p>
          <w:p w14:paraId="378FEF8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START_FREQUENCY </w:t>
            </w:r>
            <w:r w:rsidRPr="004D0DAA">
              <w:rPr>
                <w:lang w:eastAsia="en-US"/>
              </w:rPr>
              <w:t>: bit (10) &gt;</w:t>
            </w:r>
          </w:p>
          <w:p w14:paraId="27E4CA7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0F36ED9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Cell selection params</w:t>
            </w:r>
            <w:r w:rsidRPr="004D0DAA">
              <w:rPr>
                <w:lang w:eastAsia="en-US"/>
              </w:rPr>
              <w:t xml:space="preserve"> : &lt; Cell Selection struct &gt; &gt; }</w:t>
            </w:r>
          </w:p>
          <w:p w14:paraId="4945E8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NR_OF_FREQUENCIES </w:t>
            </w:r>
            <w:r w:rsidRPr="004D0DAA">
              <w:rPr>
                <w:lang w:eastAsia="en-US"/>
              </w:rPr>
              <w:t>: bit (5) &gt;</w:t>
            </w:r>
          </w:p>
          <w:p w14:paraId="19ED335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FREQ_DIFF_LENGTH </w:t>
            </w:r>
            <w:r w:rsidRPr="004D0DAA">
              <w:rPr>
                <w:lang w:eastAsia="en-US"/>
              </w:rPr>
              <w:t>: bit (3) &gt;</w:t>
            </w:r>
          </w:p>
          <w:p w14:paraId="3BD6EC3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w:t>
            </w:r>
            <w:r w:rsidRPr="004D0DAA">
              <w:rPr>
                <w:b/>
                <w:lang w:eastAsia="en-US"/>
              </w:rPr>
              <w:t xml:space="preserve">FREQUENCY_DIFF </w:t>
            </w:r>
            <w:r w:rsidRPr="004D0DAA">
              <w:rPr>
                <w:lang w:eastAsia="en-US"/>
              </w:rPr>
              <w:t>: bit (val(FREQ_DIFF_LENGTH)) &gt;</w:t>
            </w:r>
          </w:p>
          <w:p w14:paraId="3F2FE30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2B24509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&lt; Cell Selection struct &gt; &gt; } } * (val(NR_OF_FREQUENCIES)) ;</w:t>
            </w:r>
          </w:p>
          <w:p w14:paraId="2B357A2B" w14:textId="77777777" w:rsidR="00711444" w:rsidRPr="004D0DAA" w:rsidRDefault="00711444" w:rsidP="00AA2A4C">
            <w:pPr>
              <w:pStyle w:val="TAL"/>
              <w:rPr>
                <w:lang w:eastAsia="en-US"/>
              </w:rPr>
            </w:pPr>
          </w:p>
        </w:tc>
      </w:tr>
      <w:tr w:rsidR="00711444" w:rsidRPr="004D0DAA" w14:paraId="5F7C2524" w14:textId="77777777" w:rsidTr="00AA2A4C">
        <w:tblPrEx>
          <w:tblCellMar>
            <w:top w:w="0" w:type="dxa"/>
            <w:bottom w:w="0" w:type="dxa"/>
          </w:tblCellMar>
        </w:tblPrEx>
        <w:trPr>
          <w:cantSplit/>
        </w:trPr>
        <w:tc>
          <w:tcPr>
            <w:tcW w:w="9848" w:type="dxa"/>
          </w:tcPr>
          <w:p w14:paraId="385AD731" w14:textId="77777777" w:rsidR="00711444" w:rsidRPr="004D0DAA" w:rsidRDefault="00711444" w:rsidP="00AA2A4C">
            <w:pPr>
              <w:pStyle w:val="TAL"/>
              <w:rPr>
                <w:lang w:eastAsia="en-US"/>
              </w:rPr>
            </w:pPr>
            <w:r w:rsidRPr="004D0DAA">
              <w:rPr>
                <w:lang w:eastAsia="en-US"/>
              </w:rPr>
              <w:lastRenderedPageBreak/>
              <w:t>&lt; Cell Selection struct &gt; ::=</w:t>
            </w:r>
          </w:p>
          <w:p w14:paraId="0FFE491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CELL_BAR_ACCESS_2</w:t>
            </w:r>
            <w:r w:rsidRPr="004D0DAA">
              <w:rPr>
                <w:lang w:eastAsia="en-US"/>
              </w:rPr>
              <w:t> : bit (1) &gt;</w:t>
            </w:r>
          </w:p>
          <w:p w14:paraId="2947E75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46825CC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SAME_RA_AS_SERVING_CELL </w:t>
            </w:r>
            <w:r w:rsidRPr="004D0DAA">
              <w:rPr>
                <w:lang w:eastAsia="en-US"/>
              </w:rPr>
              <w:t>: bit (1) &gt;</w:t>
            </w:r>
          </w:p>
          <w:p w14:paraId="122E214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GPRS_RXLEV_ACCESS_MIN </w:t>
            </w:r>
            <w:r w:rsidRPr="004D0DAA">
              <w:rPr>
                <w:lang w:eastAsia="en-US"/>
              </w:rPr>
              <w:t>: bit (6) &gt;</w:t>
            </w:r>
          </w:p>
          <w:p w14:paraId="0EBF524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GPRS_MS_TXPWR_MAX_CCH </w:t>
            </w:r>
            <w:r w:rsidRPr="004D0DAA">
              <w:rPr>
                <w:lang w:eastAsia="en-US"/>
              </w:rPr>
              <w:t>: bit (5) &gt; }</w:t>
            </w:r>
          </w:p>
          <w:p w14:paraId="5CC3103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GPRS_TEMPORARY_OFFSET </w:t>
            </w:r>
            <w:r w:rsidRPr="004D0DAA">
              <w:rPr>
                <w:lang w:eastAsia="en-US"/>
              </w:rPr>
              <w:t>: bit (3) &gt;</w:t>
            </w:r>
          </w:p>
          <w:p w14:paraId="42527D0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GPRS_PENALTY_TIME </w:t>
            </w:r>
            <w:r w:rsidRPr="004D0DAA">
              <w:rPr>
                <w:lang w:eastAsia="en-US"/>
              </w:rPr>
              <w:t>: bit (5) &gt; }</w:t>
            </w:r>
          </w:p>
          <w:p w14:paraId="7192537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GPRS_RESELECT_OFFSET </w:t>
            </w:r>
            <w:r w:rsidRPr="004D0DAA">
              <w:rPr>
                <w:lang w:eastAsia="en-US"/>
              </w:rPr>
              <w:t>: bit (5) &gt; }</w:t>
            </w:r>
          </w:p>
          <w:p w14:paraId="1599271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HCS params </w:t>
            </w:r>
            <w:r w:rsidRPr="004D0DAA">
              <w:rPr>
                <w:lang w:eastAsia="en-US"/>
              </w:rPr>
              <w:t>: &lt; HCS struct &gt; &gt; }</w:t>
            </w:r>
          </w:p>
          <w:p w14:paraId="2F7C9669"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 xml:space="preserve">SI13_PBCCH_LOCATION </w:t>
            </w:r>
            <w:r w:rsidRPr="004D0DAA">
              <w:rPr>
                <w:lang w:val="fr-FR" w:eastAsia="en-US"/>
              </w:rPr>
              <w:t>: &lt; SI13_PBCCH_LOCATION struct &gt; &gt; } ;</w:t>
            </w:r>
          </w:p>
          <w:p w14:paraId="59A30ED0" w14:textId="77777777" w:rsidR="00711444" w:rsidRPr="004D0DAA" w:rsidRDefault="00711444" w:rsidP="00AA2A4C">
            <w:pPr>
              <w:pStyle w:val="TAL"/>
              <w:rPr>
                <w:lang w:val="fr-FR" w:eastAsia="en-US"/>
              </w:rPr>
            </w:pPr>
          </w:p>
        </w:tc>
      </w:tr>
      <w:tr w:rsidR="00711444" w:rsidRPr="004D0DAA" w14:paraId="2641F963" w14:textId="77777777" w:rsidTr="00AA2A4C">
        <w:tblPrEx>
          <w:tblCellMar>
            <w:top w:w="0" w:type="dxa"/>
            <w:bottom w:w="0" w:type="dxa"/>
          </w:tblCellMar>
        </w:tblPrEx>
        <w:trPr>
          <w:cantSplit/>
        </w:trPr>
        <w:tc>
          <w:tcPr>
            <w:tcW w:w="9848" w:type="dxa"/>
          </w:tcPr>
          <w:p w14:paraId="38A9BF47" w14:textId="77777777" w:rsidR="00711444" w:rsidRPr="004D0DAA" w:rsidRDefault="00711444" w:rsidP="00AA2A4C">
            <w:pPr>
              <w:pStyle w:val="TAL"/>
              <w:rPr>
                <w:lang w:val="fr-FR" w:eastAsia="en-US"/>
              </w:rPr>
            </w:pPr>
            <w:r w:rsidRPr="004D0DAA">
              <w:rPr>
                <w:lang w:val="fr-FR" w:eastAsia="en-US"/>
              </w:rPr>
              <w:t>&lt; SI13_PBCCH_LOCATION struct &gt; ::=</w:t>
            </w:r>
          </w:p>
          <w:p w14:paraId="631BE188" w14:textId="77777777" w:rsidR="00711444" w:rsidRPr="004D0DAA" w:rsidRDefault="00711444" w:rsidP="00AA2A4C">
            <w:pPr>
              <w:pStyle w:val="TAL"/>
              <w:rPr>
                <w:lang w:val="fr-FR" w:eastAsia="en-US"/>
              </w:rPr>
            </w:pPr>
            <w:r w:rsidRPr="004D0DAA">
              <w:rPr>
                <w:lang w:val="fr-FR" w:eastAsia="en-US"/>
              </w:rPr>
              <w:tab/>
              <w:t>{ 0</w:t>
            </w:r>
            <w:r w:rsidRPr="004D0DAA">
              <w:rPr>
                <w:lang w:val="fr-FR" w:eastAsia="en-US"/>
              </w:rPr>
              <w:tab/>
              <w:t xml:space="preserve">&lt; </w:t>
            </w:r>
            <w:r w:rsidRPr="004D0DAA">
              <w:rPr>
                <w:b/>
                <w:lang w:val="fr-FR" w:eastAsia="en-US"/>
              </w:rPr>
              <w:t>SI13_LOCATION</w:t>
            </w:r>
            <w:r w:rsidRPr="004D0DAA">
              <w:rPr>
                <w:lang w:val="fr-FR" w:eastAsia="en-US"/>
              </w:rPr>
              <w:t xml:space="preserve"> : bit (1) &gt;</w:t>
            </w:r>
          </w:p>
          <w:p w14:paraId="3FA7F6F9" w14:textId="77777777" w:rsidR="00711444" w:rsidRPr="004D0DAA" w:rsidRDefault="00711444" w:rsidP="00AA2A4C">
            <w:pPr>
              <w:pStyle w:val="TAL"/>
              <w:rPr>
                <w:lang w:eastAsia="en-US"/>
              </w:rPr>
            </w:pPr>
            <w:r w:rsidRPr="004D0DAA">
              <w:rPr>
                <w:lang w:val="fr-FR" w:eastAsia="en-US"/>
              </w:rPr>
              <w:tab/>
            </w:r>
            <w:r w:rsidRPr="004D0DAA">
              <w:rPr>
                <w:lang w:eastAsia="en-US"/>
              </w:rPr>
              <w:t>| 1</w:t>
            </w:r>
            <w:r w:rsidRPr="004D0DAA">
              <w:rPr>
                <w:lang w:eastAsia="en-US"/>
              </w:rPr>
              <w:tab/>
              <w:t xml:space="preserve">&lt; </w:t>
            </w:r>
            <w:r w:rsidRPr="004D0DAA">
              <w:rPr>
                <w:b/>
                <w:lang w:eastAsia="en-US"/>
              </w:rPr>
              <w:t>PBCCH_LOCATION</w:t>
            </w:r>
            <w:r w:rsidRPr="004D0DAA">
              <w:rPr>
                <w:lang w:eastAsia="en-US"/>
              </w:rPr>
              <w:t xml:space="preserve"> : bit (2) &gt;</w:t>
            </w:r>
          </w:p>
          <w:p w14:paraId="29BA7CC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PSI1_REPEAT_PERIOD</w:t>
            </w:r>
            <w:r w:rsidRPr="004D0DAA">
              <w:rPr>
                <w:lang w:eastAsia="en-US"/>
              </w:rPr>
              <w:t xml:space="preserve"> : bit (4) &gt; } ;</w:t>
            </w:r>
          </w:p>
          <w:p w14:paraId="7250F132" w14:textId="77777777" w:rsidR="00711444" w:rsidRPr="004D0DAA" w:rsidRDefault="00711444" w:rsidP="00AA2A4C">
            <w:pPr>
              <w:pStyle w:val="TAL"/>
              <w:rPr>
                <w:lang w:eastAsia="en-US"/>
              </w:rPr>
            </w:pPr>
          </w:p>
        </w:tc>
      </w:tr>
      <w:tr w:rsidR="00711444" w:rsidRPr="004D0DAA" w14:paraId="077FA0DB" w14:textId="77777777" w:rsidTr="00AA2A4C">
        <w:tblPrEx>
          <w:tblCellMar>
            <w:top w:w="0" w:type="dxa"/>
            <w:bottom w:w="0" w:type="dxa"/>
          </w:tblCellMar>
        </w:tblPrEx>
        <w:trPr>
          <w:cantSplit/>
        </w:trPr>
        <w:tc>
          <w:tcPr>
            <w:tcW w:w="9848" w:type="dxa"/>
          </w:tcPr>
          <w:p w14:paraId="4C0905EF" w14:textId="77777777" w:rsidR="00711444" w:rsidRPr="004D0DAA" w:rsidRDefault="00711444" w:rsidP="00AA2A4C">
            <w:pPr>
              <w:pStyle w:val="TAL"/>
              <w:rPr>
                <w:lang w:eastAsia="en-US"/>
              </w:rPr>
            </w:pPr>
            <w:r w:rsidRPr="004D0DAA">
              <w:rPr>
                <w:lang w:eastAsia="en-US"/>
              </w:rPr>
              <w:t>&lt; HCS struct &gt; ::=</w:t>
            </w:r>
          </w:p>
          <w:p w14:paraId="113579C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PRIORITY_CLASS </w:t>
            </w:r>
            <w:r w:rsidRPr="004D0DAA">
              <w:rPr>
                <w:lang w:eastAsia="en-US"/>
              </w:rPr>
              <w:t>: bit (3) &gt;</w:t>
            </w:r>
          </w:p>
          <w:p w14:paraId="4B8E1DA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HCS_THR </w:t>
            </w:r>
            <w:r w:rsidRPr="004D0DAA">
              <w:rPr>
                <w:lang w:eastAsia="en-US"/>
              </w:rPr>
              <w:t>: bit (5) &gt; ;</w:t>
            </w:r>
          </w:p>
          <w:p w14:paraId="2614D016" w14:textId="77777777" w:rsidR="00711444" w:rsidRPr="004D0DAA" w:rsidRDefault="00711444" w:rsidP="00AA2A4C">
            <w:pPr>
              <w:pStyle w:val="TAL"/>
              <w:rPr>
                <w:lang w:eastAsia="en-US"/>
              </w:rPr>
            </w:pPr>
          </w:p>
        </w:tc>
      </w:tr>
      <w:tr w:rsidR="00711444" w:rsidRPr="004D0DAA" w14:paraId="7FAE434D" w14:textId="77777777" w:rsidTr="00AA2A4C">
        <w:tblPrEx>
          <w:tblCellMar>
            <w:top w:w="0" w:type="dxa"/>
            <w:bottom w:w="0" w:type="dxa"/>
          </w:tblCellMar>
        </w:tblPrEx>
        <w:trPr>
          <w:cantSplit/>
        </w:trPr>
        <w:tc>
          <w:tcPr>
            <w:tcW w:w="9848" w:type="dxa"/>
          </w:tcPr>
          <w:p w14:paraId="464AA243" w14:textId="77777777" w:rsidR="00711444" w:rsidRPr="004D0DAA" w:rsidRDefault="00711444" w:rsidP="00AA2A4C">
            <w:pPr>
              <w:pStyle w:val="TAL"/>
              <w:rPr>
                <w:lang w:eastAsia="en-US"/>
              </w:rPr>
            </w:pPr>
            <w:r w:rsidRPr="004D0DAA">
              <w:rPr>
                <w:lang w:eastAsia="en-US"/>
              </w:rPr>
              <w:t xml:space="preserve">&lt; ENH Measurement parameters struct &gt; :: = </w:t>
            </w:r>
          </w:p>
          <w:p w14:paraId="383FC0BA"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BA_IND</w:t>
            </w:r>
            <w:r w:rsidRPr="004D0DAA">
              <w:rPr>
                <w:lang w:eastAsia="en-US"/>
              </w:rPr>
              <w:t xml:space="preserve"> : bit &gt; &lt; </w:t>
            </w:r>
            <w:r w:rsidRPr="004D0DAA">
              <w:rPr>
                <w:b/>
                <w:lang w:eastAsia="en-US"/>
              </w:rPr>
              <w:t>3G_BA_IND</w:t>
            </w:r>
            <w:r w:rsidRPr="004D0DAA">
              <w:rPr>
                <w:lang w:eastAsia="en-US"/>
              </w:rPr>
              <w:t xml:space="preserve"> : bit &gt; | 1 &lt; </w:t>
            </w:r>
            <w:r w:rsidRPr="004D0DAA">
              <w:rPr>
                <w:b/>
                <w:lang w:eastAsia="en-US"/>
              </w:rPr>
              <w:t>PSI3_CHANGE_MARK</w:t>
            </w:r>
            <w:r w:rsidRPr="004D0DAA">
              <w:rPr>
                <w:lang w:eastAsia="en-US"/>
              </w:rPr>
              <w:t xml:space="preserve"> : bit(2) &gt; }</w:t>
            </w:r>
          </w:p>
          <w:p w14:paraId="00D177F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PMO_IND</w:t>
            </w:r>
            <w:r w:rsidRPr="004D0DAA">
              <w:rPr>
                <w:lang w:eastAsia="en-US"/>
              </w:rPr>
              <w:t xml:space="preserve"> : bit &gt;</w:t>
            </w:r>
            <w:r w:rsidRPr="004D0DAA">
              <w:rPr>
                <w:lang w:eastAsia="en-US"/>
              </w:rPr>
              <w:br/>
            </w:r>
            <w:r w:rsidRPr="004D0DAA">
              <w:rPr>
                <w:lang w:eastAsia="en-US"/>
              </w:rPr>
              <w:tab/>
              <w:t xml:space="preserve">&lt; </w:t>
            </w:r>
            <w:r w:rsidRPr="004D0DAA">
              <w:rPr>
                <w:b/>
                <w:lang w:eastAsia="en-US"/>
              </w:rPr>
              <w:t>REPORT_TYPE</w:t>
            </w:r>
            <w:r w:rsidRPr="004D0DAA">
              <w:rPr>
                <w:lang w:eastAsia="en-US"/>
              </w:rPr>
              <w:t xml:space="preserve"> : bit &gt;</w:t>
            </w:r>
          </w:p>
          <w:p w14:paraId="7EF4E54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REPORTING_RATE</w:t>
            </w:r>
            <w:r w:rsidRPr="004D0DAA">
              <w:rPr>
                <w:lang w:eastAsia="en-US"/>
              </w:rPr>
              <w:t> : bit &gt;</w:t>
            </w:r>
            <w:r w:rsidRPr="004D0DAA">
              <w:rPr>
                <w:lang w:eastAsia="en-US"/>
              </w:rPr>
              <w:br/>
            </w:r>
            <w:r w:rsidRPr="004D0DAA">
              <w:rPr>
                <w:lang w:eastAsia="en-US"/>
              </w:rPr>
              <w:tab/>
              <w:t xml:space="preserve">&lt; </w:t>
            </w:r>
            <w:r w:rsidRPr="004D0DAA">
              <w:rPr>
                <w:b/>
                <w:lang w:eastAsia="en-US"/>
              </w:rPr>
              <w:t>INVALID_BSIC_REPORTING</w:t>
            </w:r>
            <w:r w:rsidRPr="004D0DAA">
              <w:rPr>
                <w:lang w:eastAsia="en-US"/>
              </w:rPr>
              <w:t xml:space="preserve"> : bit &gt;</w:t>
            </w:r>
            <w:r w:rsidRPr="004D0DAA">
              <w:rPr>
                <w:lang w:eastAsia="en-US"/>
              </w:rPr>
              <w:br/>
            </w:r>
            <w:r w:rsidRPr="004D0DAA">
              <w:rPr>
                <w:lang w:eastAsia="en-US"/>
              </w:rPr>
              <w:tab/>
              <w:t>{ 0 | 1</w:t>
            </w:r>
            <w:r w:rsidRPr="004D0DAA">
              <w:rPr>
                <w:lang w:eastAsia="en-US"/>
              </w:rPr>
              <w:tab/>
              <w:t xml:space="preserve">&lt; </w:t>
            </w:r>
            <w:r w:rsidRPr="004D0DAA">
              <w:rPr>
                <w:b/>
                <w:lang w:eastAsia="en-US"/>
              </w:rPr>
              <w:t>3G Neighbour Cell Description</w:t>
            </w:r>
            <w:r w:rsidRPr="004D0DAA">
              <w:rPr>
                <w:lang w:eastAsia="en-US"/>
              </w:rPr>
              <w:t xml:space="preserve"> : &lt; 3G Neighbour Cell Description struct &gt;&gt; }</w:t>
            </w:r>
          </w:p>
          <w:p w14:paraId="140C896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REP PRIORITY Description</w:t>
            </w:r>
            <w:r w:rsidRPr="004D0DAA">
              <w:rPr>
                <w:lang w:eastAsia="en-US"/>
              </w:rPr>
              <w:t xml:space="preserve"> : &lt; GPRS REP</w:t>
            </w:r>
            <w:r w:rsidRPr="004D0DAA">
              <w:rPr>
                <w:b/>
                <w:lang w:eastAsia="en-US"/>
              </w:rPr>
              <w:t xml:space="preserve"> </w:t>
            </w:r>
            <w:r w:rsidRPr="004D0DAA">
              <w:rPr>
                <w:lang w:eastAsia="en-US"/>
              </w:rPr>
              <w:t>PRIORITY Description struct &gt;&gt; }</w:t>
            </w:r>
          </w:p>
          <w:p w14:paraId="3FFFBA5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MEASUREMENT Parameters Description</w:t>
            </w:r>
            <w:r w:rsidRPr="004D0DAA">
              <w:rPr>
                <w:lang w:eastAsia="en-US"/>
              </w:rPr>
              <w:t xml:space="preserve"> : </w:t>
            </w:r>
            <w:r w:rsidRPr="004D0DAA">
              <w:rPr>
                <w:lang w:eastAsia="en-US"/>
              </w:rPr>
              <w:br/>
            </w:r>
            <w:r w:rsidRPr="004D0DAA">
              <w:rPr>
                <w:lang w:eastAsia="en-US"/>
              </w:rPr>
              <w:tab/>
            </w:r>
            <w:r w:rsidRPr="004D0DAA">
              <w:rPr>
                <w:lang w:eastAsia="en-US"/>
              </w:rPr>
              <w:tab/>
            </w:r>
            <w:r w:rsidRPr="004D0DAA">
              <w:rPr>
                <w:lang w:eastAsia="en-US"/>
              </w:rPr>
              <w:tab/>
              <w:t>&lt; GPRS MEASUREMENT PARAMETERS Description struct &gt;&gt; }</w:t>
            </w:r>
          </w:p>
          <w:p w14:paraId="509C5C7E"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3G MEASUREMENT Parameters Description</w:t>
            </w:r>
            <w:r w:rsidRPr="004D0DAA">
              <w:rPr>
                <w:lang w:eastAsia="en-US"/>
              </w:rPr>
              <w:t xml:space="preserve"> : </w:t>
            </w:r>
          </w:p>
          <w:p w14:paraId="1995332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GPRS 3G MEASUREMENT PARAMETERS Description struct &gt;&gt; } ;</w:t>
            </w:r>
          </w:p>
          <w:p w14:paraId="0BD82FCB" w14:textId="77777777" w:rsidR="00711444" w:rsidRPr="004D0DAA" w:rsidRDefault="00711444" w:rsidP="00AA2A4C">
            <w:pPr>
              <w:pStyle w:val="TAL"/>
              <w:rPr>
                <w:lang w:eastAsia="en-US"/>
              </w:rPr>
            </w:pPr>
          </w:p>
        </w:tc>
      </w:tr>
      <w:tr w:rsidR="00711444" w:rsidRPr="004D0DAA" w14:paraId="732CE24B" w14:textId="77777777" w:rsidTr="00AA2A4C">
        <w:tblPrEx>
          <w:tblCellMar>
            <w:top w:w="0" w:type="dxa"/>
            <w:bottom w:w="0" w:type="dxa"/>
          </w:tblCellMar>
        </w:tblPrEx>
        <w:trPr>
          <w:cantSplit/>
        </w:trPr>
        <w:tc>
          <w:tcPr>
            <w:tcW w:w="9848" w:type="dxa"/>
          </w:tcPr>
          <w:p w14:paraId="5B58E8E4" w14:textId="77777777" w:rsidR="00711444" w:rsidRPr="004D0DAA" w:rsidRDefault="00711444" w:rsidP="00AA2A4C">
            <w:pPr>
              <w:pStyle w:val="TAL"/>
              <w:rPr>
                <w:lang w:eastAsia="en-US"/>
              </w:rPr>
            </w:pPr>
            <w:r w:rsidRPr="004D0DAA">
              <w:rPr>
                <w:lang w:eastAsia="en-US"/>
              </w:rPr>
              <w:t>&lt; 3G Neighbour Cell Description struct &gt; ::=</w:t>
            </w:r>
          </w:p>
          <w:p w14:paraId="7CEB5FD8"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 &lt; </w:t>
            </w:r>
            <w:r w:rsidRPr="004D0DAA">
              <w:rPr>
                <w:b/>
                <w:lang w:eastAsia="en-US"/>
              </w:rPr>
              <w:t>Index_Start_3G</w:t>
            </w:r>
            <w:r w:rsidRPr="004D0DAA">
              <w:rPr>
                <w:lang w:eastAsia="en-US"/>
              </w:rPr>
              <w:t xml:space="preserve"> : bit (7) &gt; }</w:t>
            </w:r>
            <w:r w:rsidRPr="004D0DAA">
              <w:rPr>
                <w:lang w:eastAsia="en-US"/>
              </w:rPr>
              <w:br/>
            </w:r>
            <w:r w:rsidRPr="004D0DAA">
              <w:rPr>
                <w:lang w:eastAsia="en-US"/>
              </w:rPr>
              <w:tab/>
            </w:r>
            <w:r w:rsidRPr="004D0DAA">
              <w:rPr>
                <w:lang w:eastAsia="en-US"/>
              </w:rPr>
              <w:sym w:font="Symbol" w:char="F07B"/>
            </w:r>
            <w:r w:rsidRPr="004D0DAA">
              <w:rPr>
                <w:lang w:eastAsia="en-US"/>
              </w:rPr>
              <w:t xml:space="preserve"> 0 | 1 &lt; </w:t>
            </w:r>
            <w:r w:rsidRPr="004D0DAA">
              <w:rPr>
                <w:b/>
                <w:lang w:eastAsia="en-US"/>
              </w:rPr>
              <w:t>Absolute_Index_Start_EMR</w:t>
            </w:r>
            <w:r w:rsidRPr="004D0DAA">
              <w:rPr>
                <w:lang w:eastAsia="en-US"/>
              </w:rPr>
              <w:t xml:space="preserve"> : bit (7) &gt; }</w:t>
            </w:r>
            <w:r w:rsidRPr="004D0DAA">
              <w:rPr>
                <w:lang w:eastAsia="en-US"/>
              </w:rPr>
              <w:br/>
            </w:r>
            <w:r w:rsidRPr="004D0DAA">
              <w:rPr>
                <w:lang w:eastAsia="en-US"/>
              </w:rPr>
              <w:tab/>
              <w:t xml:space="preserve">{ 0 | 1 &lt; </w:t>
            </w:r>
            <w:r w:rsidRPr="004D0DAA">
              <w:rPr>
                <w:b/>
                <w:lang w:eastAsia="en-US"/>
              </w:rPr>
              <w:t>UTRAN FDD Description</w:t>
            </w:r>
            <w:r w:rsidRPr="004D0DAA">
              <w:rPr>
                <w:lang w:eastAsia="en-US"/>
              </w:rPr>
              <w:t xml:space="preserve"> : &lt; UTRAN FDD Description struct &gt;&gt; }</w:t>
            </w:r>
            <w:r w:rsidRPr="004D0DAA">
              <w:rPr>
                <w:lang w:eastAsia="en-US"/>
              </w:rPr>
              <w:br/>
            </w:r>
            <w:r w:rsidRPr="004D0DAA">
              <w:rPr>
                <w:lang w:eastAsia="en-US"/>
              </w:rPr>
              <w:tab/>
              <w:t xml:space="preserve">{ 0 | 1 &lt; </w:t>
            </w:r>
            <w:r w:rsidRPr="004D0DAA">
              <w:rPr>
                <w:b/>
                <w:lang w:eastAsia="en-US"/>
              </w:rPr>
              <w:t>UTRAN TDD Description</w:t>
            </w:r>
            <w:r w:rsidRPr="004D0DAA">
              <w:rPr>
                <w:lang w:eastAsia="en-US"/>
              </w:rPr>
              <w:t xml:space="preserve"> : &lt; UTRAN TDD Description struct &gt;&gt; }</w:t>
            </w:r>
            <w:r w:rsidRPr="004D0DAA">
              <w:rPr>
                <w:lang w:eastAsia="en-US"/>
              </w:rPr>
              <w:br/>
            </w:r>
            <w:r w:rsidRPr="004D0DAA">
              <w:rPr>
                <w:lang w:eastAsia="en-US"/>
              </w:rPr>
              <w:tab/>
              <w:t xml:space="preserve">{ 0 | 1 &lt; </w:t>
            </w:r>
            <w:r w:rsidRPr="004D0DAA">
              <w:rPr>
                <w:b/>
                <w:lang w:eastAsia="en-US"/>
              </w:rPr>
              <w:t>REMOVED_3GCELL_Description</w:t>
            </w:r>
            <w:r w:rsidRPr="004D0DAA">
              <w:rPr>
                <w:lang w:eastAsia="en-US"/>
              </w:rPr>
              <w:t xml:space="preserve"> : &lt; REMOVED_3GCELL_Description struct &gt;&gt; } ; </w:t>
            </w:r>
          </w:p>
          <w:p w14:paraId="6CC8ECAF" w14:textId="77777777" w:rsidR="00711444" w:rsidRPr="004D0DAA" w:rsidRDefault="00711444" w:rsidP="00AA2A4C">
            <w:pPr>
              <w:pStyle w:val="TAL"/>
              <w:rPr>
                <w:lang w:eastAsia="en-US"/>
              </w:rPr>
            </w:pPr>
          </w:p>
        </w:tc>
      </w:tr>
      <w:tr w:rsidR="00711444" w:rsidRPr="004D0DAA" w14:paraId="629D2B01" w14:textId="77777777" w:rsidTr="00AA2A4C">
        <w:tblPrEx>
          <w:tblCellMar>
            <w:top w:w="0" w:type="dxa"/>
            <w:bottom w:w="0" w:type="dxa"/>
          </w:tblCellMar>
        </w:tblPrEx>
        <w:trPr>
          <w:cantSplit/>
        </w:trPr>
        <w:tc>
          <w:tcPr>
            <w:tcW w:w="9848" w:type="dxa"/>
          </w:tcPr>
          <w:p w14:paraId="1BF246AB" w14:textId="77777777" w:rsidR="00711444" w:rsidRPr="004D0DAA" w:rsidRDefault="00711444" w:rsidP="00AA2A4C">
            <w:pPr>
              <w:pStyle w:val="TAL"/>
              <w:rPr>
                <w:lang w:eastAsia="en-US"/>
              </w:rPr>
            </w:pPr>
            <w:r w:rsidRPr="004D0DAA">
              <w:rPr>
                <w:lang w:eastAsia="en-US"/>
              </w:rPr>
              <w:t>&lt; REMOVED_3GCELL_Description struct &gt; ::=</w:t>
            </w:r>
          </w:p>
          <w:p w14:paraId="388DC57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N1</w:t>
            </w:r>
            <w:r w:rsidRPr="004D0DAA">
              <w:rPr>
                <w:lang w:eastAsia="en-US"/>
              </w:rPr>
              <w:t xml:space="preserve"> : bit (2) &gt;</w:t>
            </w:r>
          </w:p>
          <w:p w14:paraId="31DE5588"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N2</w:t>
            </w:r>
            <w:r w:rsidRPr="004D0DAA">
              <w:rPr>
                <w:lang w:eastAsia="en-US"/>
              </w:rPr>
              <w:t xml:space="preserve"> : bit (5) &gt;</w:t>
            </w:r>
          </w:p>
          <w:p w14:paraId="39840551"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REMOVED_3GCELL_INDEX</w:t>
            </w:r>
            <w:r w:rsidRPr="004D0DAA">
              <w:rPr>
                <w:lang w:eastAsia="en-US"/>
              </w:rPr>
              <w:t xml:space="preserve"> : bit (7) &gt;</w:t>
            </w:r>
          </w:p>
          <w:p w14:paraId="18CCD6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3G_CELL_DIFF_LENGTH</w:t>
            </w:r>
            <w:r w:rsidRPr="004D0DAA">
              <w:rPr>
                <w:lang w:eastAsia="en-US"/>
              </w:rPr>
              <w:t xml:space="preserve"> : bit (3) &gt;</w:t>
            </w:r>
          </w:p>
          <w:p w14:paraId="053FAA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3GCELL_DIFF</w:t>
            </w:r>
            <w:r w:rsidRPr="004D0DAA">
              <w:rPr>
                <w:lang w:eastAsia="en-US"/>
              </w:rPr>
              <w:t xml:space="preserve"> : bit (val(3G_CELL_DIFF_LENGTH)) &gt;</w:t>
            </w:r>
          </w:p>
          <w:p w14:paraId="768822C8" w14:textId="77777777" w:rsidR="00711444" w:rsidRPr="004D0DAA" w:rsidRDefault="00711444" w:rsidP="00AA2A4C">
            <w:pPr>
              <w:pStyle w:val="TAL"/>
              <w:rPr>
                <w:lang w:eastAsia="en-US"/>
              </w:rPr>
            </w:pPr>
            <w:r w:rsidRPr="004D0DAA">
              <w:rPr>
                <w:lang w:eastAsia="en-US"/>
              </w:rPr>
              <w:tab/>
            </w:r>
            <w:r w:rsidRPr="004D0DAA">
              <w:rPr>
                <w:lang w:eastAsia="en-US"/>
              </w:rPr>
              <w:tab/>
              <w:t>} * (1+val(N2))</w:t>
            </w:r>
          </w:p>
          <w:p w14:paraId="5FAB4838" w14:textId="77777777" w:rsidR="00711444" w:rsidRPr="004D0DAA" w:rsidRDefault="00711444" w:rsidP="00AA2A4C">
            <w:pPr>
              <w:pStyle w:val="TAL"/>
              <w:rPr>
                <w:lang w:eastAsia="en-US"/>
              </w:rPr>
            </w:pPr>
            <w:r w:rsidRPr="004D0DAA">
              <w:rPr>
                <w:lang w:eastAsia="en-US"/>
              </w:rPr>
              <w:tab/>
              <w:t>} * (1+val(N1)) ;</w:t>
            </w:r>
          </w:p>
          <w:p w14:paraId="48FE6608" w14:textId="77777777" w:rsidR="00711444" w:rsidRPr="004D0DAA" w:rsidRDefault="00711444" w:rsidP="00AA2A4C">
            <w:pPr>
              <w:pStyle w:val="TAL"/>
              <w:rPr>
                <w:lang w:eastAsia="en-US"/>
              </w:rPr>
            </w:pPr>
          </w:p>
        </w:tc>
      </w:tr>
      <w:tr w:rsidR="00711444" w:rsidRPr="004D0DAA" w14:paraId="13F2B288" w14:textId="77777777" w:rsidTr="00AA2A4C">
        <w:tblPrEx>
          <w:tblCellMar>
            <w:top w:w="0" w:type="dxa"/>
            <w:bottom w:w="0" w:type="dxa"/>
          </w:tblCellMar>
        </w:tblPrEx>
        <w:trPr>
          <w:cantSplit/>
        </w:trPr>
        <w:tc>
          <w:tcPr>
            <w:tcW w:w="9848" w:type="dxa"/>
          </w:tcPr>
          <w:p w14:paraId="4287A6FF" w14:textId="77777777" w:rsidR="00711444" w:rsidRPr="004D0DAA" w:rsidRDefault="00711444" w:rsidP="00AA2A4C">
            <w:pPr>
              <w:pStyle w:val="TAL"/>
              <w:rPr>
                <w:lang w:eastAsia="en-US"/>
              </w:rPr>
            </w:pPr>
            <w:r w:rsidRPr="004D0DAA">
              <w:rPr>
                <w:lang w:eastAsia="en-US"/>
              </w:rPr>
              <w:t>&lt; UTRAN FDD Description struct &gt; ::=</w:t>
            </w:r>
          </w:p>
          <w:p w14:paraId="691E521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Bandwidth_FDD </w:t>
            </w:r>
            <w:r w:rsidRPr="004D0DAA">
              <w:rPr>
                <w:lang w:eastAsia="en-US"/>
              </w:rPr>
              <w:t>: bit (3) &gt; }</w:t>
            </w:r>
          </w:p>
          <w:p w14:paraId="4B40F555"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Repeated UTRAN FDD Neighbour Cells</w:t>
            </w:r>
            <w:r w:rsidRPr="004D0DAA">
              <w:rPr>
                <w:lang w:eastAsia="en-US"/>
              </w:rPr>
              <w:t xml:space="preserve"> : &lt; Repeated UTRAN FDD Neighbour Cells struct &gt;&gt; } ** 0 ;</w:t>
            </w:r>
          </w:p>
          <w:p w14:paraId="16108CB5" w14:textId="77777777" w:rsidR="00711444" w:rsidRPr="004D0DAA" w:rsidRDefault="00711444" w:rsidP="00AA2A4C">
            <w:pPr>
              <w:pStyle w:val="TAL"/>
              <w:rPr>
                <w:lang w:eastAsia="en-US"/>
              </w:rPr>
            </w:pPr>
          </w:p>
        </w:tc>
      </w:tr>
      <w:tr w:rsidR="00711444" w:rsidRPr="004D0DAA" w14:paraId="371B57AF" w14:textId="77777777" w:rsidTr="00AA2A4C">
        <w:tblPrEx>
          <w:tblCellMar>
            <w:top w:w="0" w:type="dxa"/>
            <w:bottom w:w="0" w:type="dxa"/>
          </w:tblCellMar>
        </w:tblPrEx>
        <w:trPr>
          <w:cantSplit/>
        </w:trPr>
        <w:tc>
          <w:tcPr>
            <w:tcW w:w="9848" w:type="dxa"/>
          </w:tcPr>
          <w:p w14:paraId="60B7B66A" w14:textId="77777777" w:rsidR="00711444" w:rsidRPr="004D0DAA" w:rsidRDefault="00711444" w:rsidP="00AA2A4C">
            <w:pPr>
              <w:pStyle w:val="TAL"/>
              <w:rPr>
                <w:lang w:eastAsia="en-US"/>
              </w:rPr>
            </w:pPr>
            <w:r w:rsidRPr="004D0DAA">
              <w:rPr>
                <w:lang w:eastAsia="en-US"/>
              </w:rPr>
              <w:t>&lt; Repeated UTRAN FDD Neighbour Cells struct &gt; ::=</w:t>
            </w:r>
          </w:p>
          <w:p w14:paraId="02DDE464" w14:textId="77777777" w:rsidR="00711444" w:rsidRPr="004D0DAA" w:rsidRDefault="00711444" w:rsidP="00AA2A4C">
            <w:pPr>
              <w:pStyle w:val="TAL"/>
              <w:rPr>
                <w:i/>
                <w:lang w:eastAsia="en-US"/>
              </w:rPr>
            </w:pPr>
            <w:r w:rsidRPr="004D0DAA">
              <w:rPr>
                <w:lang w:eastAsia="en-US"/>
              </w:rPr>
              <w:tab/>
              <w:t xml:space="preserve">0 &lt; </w:t>
            </w:r>
            <w:r w:rsidRPr="004D0DAA">
              <w:rPr>
                <w:b/>
                <w:lang w:eastAsia="en-US"/>
              </w:rPr>
              <w:t xml:space="preserve">FDD-ARFCN </w:t>
            </w:r>
            <w:r w:rsidRPr="004D0DAA">
              <w:rPr>
                <w:lang w:eastAsia="en-US"/>
              </w:rPr>
              <w:t>: bit (14) &gt;</w:t>
            </w:r>
            <w:r w:rsidRPr="004D0DAA">
              <w:rPr>
                <w:lang w:eastAsia="en-US"/>
              </w:rPr>
              <w:tab/>
            </w:r>
            <w:r w:rsidRPr="004D0DAA">
              <w:rPr>
                <w:lang w:eastAsia="en-US"/>
              </w:rPr>
              <w:tab/>
            </w:r>
            <w:r w:rsidRPr="004D0DAA">
              <w:rPr>
                <w:lang w:eastAsia="en-US"/>
              </w:rPr>
              <w:tab/>
              <w:t xml:space="preserve">-- </w:t>
            </w:r>
            <w:r w:rsidRPr="004D0DAA">
              <w:rPr>
                <w:i/>
                <w:lang w:eastAsia="en-US"/>
              </w:rPr>
              <w:t xml:space="preserve">The value ‘1’ was used in an earlier </w:t>
            </w:r>
          </w:p>
          <w:p w14:paraId="158F88AD"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version of the protocol and shall not be used.</w:t>
            </w:r>
          </w:p>
          <w:p w14:paraId="3E7B1F1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FDD_Indic0 : </w:t>
            </w:r>
            <w:r w:rsidRPr="004D0DAA">
              <w:rPr>
                <w:lang w:eastAsia="en-US"/>
              </w:rPr>
              <w:t>bit</w:t>
            </w:r>
            <w:r w:rsidRPr="004D0DAA">
              <w:rPr>
                <w:b/>
                <w:lang w:eastAsia="en-US"/>
              </w:rPr>
              <w:t xml:space="preserve"> </w:t>
            </w:r>
            <w:r w:rsidRPr="004D0DAA">
              <w:rPr>
                <w:lang w:eastAsia="en-US"/>
              </w:rPr>
              <w:t>&gt;</w:t>
            </w:r>
          </w:p>
          <w:p w14:paraId="1465198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NR_OF_FDD_CELLS</w:t>
            </w:r>
            <w:r w:rsidRPr="004D0DAA">
              <w:rPr>
                <w:lang w:eastAsia="en-US"/>
              </w:rPr>
              <w:t> : bit (5) &gt;</w:t>
            </w:r>
          </w:p>
          <w:p w14:paraId="0590941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FDD_CELL_INFORMATION Field </w:t>
            </w:r>
            <w:r w:rsidRPr="004D0DAA">
              <w:rPr>
                <w:lang w:eastAsia="en-US"/>
              </w:rPr>
              <w:t xml:space="preserve">: bit(p(NR_OF_FDD_CELLS)) &gt; ; </w:t>
            </w:r>
          </w:p>
          <w:p w14:paraId="168E77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p(x) defined in table 11.2.9b.2.a/3GPP TS 44.060</w:t>
            </w:r>
          </w:p>
          <w:p w14:paraId="72836DE1" w14:textId="77777777" w:rsidR="00711444" w:rsidRPr="004D0DAA" w:rsidRDefault="00711444" w:rsidP="00AA2A4C">
            <w:pPr>
              <w:pStyle w:val="TAL"/>
              <w:rPr>
                <w:lang w:eastAsia="en-US"/>
              </w:rPr>
            </w:pPr>
          </w:p>
        </w:tc>
      </w:tr>
      <w:tr w:rsidR="00711444" w:rsidRPr="004D0DAA" w14:paraId="20793D12" w14:textId="77777777" w:rsidTr="00AA2A4C">
        <w:tblPrEx>
          <w:tblCellMar>
            <w:top w:w="0" w:type="dxa"/>
            <w:bottom w:w="0" w:type="dxa"/>
          </w:tblCellMar>
        </w:tblPrEx>
        <w:trPr>
          <w:cantSplit/>
        </w:trPr>
        <w:tc>
          <w:tcPr>
            <w:tcW w:w="9848" w:type="dxa"/>
          </w:tcPr>
          <w:p w14:paraId="2EFFB3A9" w14:textId="77777777" w:rsidR="00711444" w:rsidRPr="004D0DAA" w:rsidRDefault="00711444" w:rsidP="00AA2A4C">
            <w:pPr>
              <w:pStyle w:val="TAL"/>
              <w:rPr>
                <w:lang w:eastAsia="en-US"/>
              </w:rPr>
            </w:pPr>
            <w:r w:rsidRPr="004D0DAA">
              <w:rPr>
                <w:lang w:eastAsia="en-US"/>
              </w:rPr>
              <w:t>&lt; UTRAN TDD Description struct &gt; ::=</w:t>
            </w:r>
          </w:p>
          <w:p w14:paraId="229C2121"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Bandwidth_TDD </w:t>
            </w:r>
            <w:r w:rsidRPr="004D0DAA">
              <w:rPr>
                <w:lang w:eastAsia="en-US"/>
              </w:rPr>
              <w:t>: bit (3) &gt; }</w:t>
            </w:r>
          </w:p>
          <w:p w14:paraId="5AAFB472"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Repeated UTRAN TDD Neighbour Cells</w:t>
            </w:r>
            <w:r w:rsidRPr="004D0DAA">
              <w:rPr>
                <w:lang w:eastAsia="en-US"/>
              </w:rPr>
              <w:t xml:space="preserve"> : &lt; Repeated UTRAN TDD Neighbour Cells struct &gt;&gt; } ** 0 ;</w:t>
            </w:r>
          </w:p>
          <w:p w14:paraId="21AA61DE" w14:textId="77777777" w:rsidR="00711444" w:rsidRPr="004D0DAA" w:rsidRDefault="00711444" w:rsidP="00AA2A4C">
            <w:pPr>
              <w:pStyle w:val="TAL"/>
              <w:rPr>
                <w:lang w:eastAsia="en-US"/>
              </w:rPr>
            </w:pPr>
          </w:p>
        </w:tc>
      </w:tr>
      <w:tr w:rsidR="00711444" w:rsidRPr="004D0DAA" w14:paraId="1A3AEFB2" w14:textId="77777777" w:rsidTr="00AA2A4C">
        <w:tblPrEx>
          <w:tblCellMar>
            <w:top w:w="0" w:type="dxa"/>
            <w:bottom w:w="0" w:type="dxa"/>
          </w:tblCellMar>
        </w:tblPrEx>
        <w:trPr>
          <w:cantSplit/>
        </w:trPr>
        <w:tc>
          <w:tcPr>
            <w:tcW w:w="9848" w:type="dxa"/>
          </w:tcPr>
          <w:p w14:paraId="66289096" w14:textId="77777777" w:rsidR="00711444" w:rsidRPr="004D0DAA" w:rsidRDefault="00711444" w:rsidP="00AA2A4C">
            <w:pPr>
              <w:pStyle w:val="TAL"/>
              <w:rPr>
                <w:lang w:eastAsia="en-US"/>
              </w:rPr>
            </w:pPr>
            <w:r w:rsidRPr="004D0DAA">
              <w:rPr>
                <w:lang w:eastAsia="en-US"/>
              </w:rPr>
              <w:lastRenderedPageBreak/>
              <w:t>&lt; Repeated UTRAN TDD Neighbour Cells struct &gt; ::=</w:t>
            </w:r>
          </w:p>
          <w:p w14:paraId="3D3FBB69" w14:textId="77777777" w:rsidR="00711444" w:rsidRPr="004D0DAA" w:rsidRDefault="00711444" w:rsidP="00AA2A4C">
            <w:pPr>
              <w:pStyle w:val="TAL"/>
              <w:rPr>
                <w:i/>
                <w:lang w:eastAsia="en-US"/>
              </w:rPr>
            </w:pPr>
            <w:r w:rsidRPr="004D0DAA">
              <w:rPr>
                <w:lang w:eastAsia="en-US"/>
              </w:rPr>
              <w:tab/>
              <w:t xml:space="preserve">0 &lt; </w:t>
            </w:r>
            <w:r w:rsidRPr="004D0DAA">
              <w:rPr>
                <w:b/>
                <w:lang w:eastAsia="en-US"/>
              </w:rPr>
              <w:t xml:space="preserve">TDD-ARFCN </w:t>
            </w:r>
            <w:r w:rsidRPr="004D0DAA">
              <w:rPr>
                <w:lang w:eastAsia="en-US"/>
              </w:rPr>
              <w:t>: bit (14) &gt;</w:t>
            </w:r>
            <w:r w:rsidRPr="004D0DAA">
              <w:rPr>
                <w:lang w:eastAsia="en-US"/>
              </w:rPr>
              <w:tab/>
            </w:r>
            <w:r w:rsidRPr="004D0DAA">
              <w:rPr>
                <w:lang w:eastAsia="en-US"/>
              </w:rPr>
              <w:tab/>
            </w:r>
            <w:r w:rsidRPr="004D0DAA">
              <w:rPr>
                <w:lang w:eastAsia="en-US"/>
              </w:rPr>
              <w:tab/>
              <w:t xml:space="preserve">-- </w:t>
            </w:r>
            <w:r w:rsidRPr="004D0DAA">
              <w:rPr>
                <w:i/>
                <w:lang w:eastAsia="en-US"/>
              </w:rPr>
              <w:t>The value ‘1’ was used in an earlier</w:t>
            </w:r>
          </w:p>
          <w:p w14:paraId="51057AB8"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version of the protocol and shall not be used.</w:t>
            </w:r>
          </w:p>
          <w:p w14:paraId="5A41BAE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TDD_Indic0 : </w:t>
            </w:r>
            <w:r w:rsidRPr="004D0DAA">
              <w:rPr>
                <w:lang w:eastAsia="en-US"/>
              </w:rPr>
              <w:t>bit</w:t>
            </w:r>
            <w:r w:rsidRPr="004D0DAA">
              <w:rPr>
                <w:b/>
                <w:lang w:eastAsia="en-US"/>
              </w:rPr>
              <w:t xml:space="preserve"> </w:t>
            </w:r>
            <w:r w:rsidRPr="004D0DAA">
              <w:rPr>
                <w:lang w:eastAsia="en-US"/>
              </w:rPr>
              <w:t>&gt;</w:t>
            </w:r>
          </w:p>
          <w:p w14:paraId="26AD57B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NR_OF_TDD_CELLS</w:t>
            </w:r>
            <w:r w:rsidRPr="004D0DAA">
              <w:rPr>
                <w:lang w:eastAsia="en-US"/>
              </w:rPr>
              <w:t> : bit (5) &gt;</w:t>
            </w:r>
          </w:p>
          <w:p w14:paraId="630AC8B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TDD_CELL_INFORMATION Field </w:t>
            </w:r>
            <w:r w:rsidRPr="004D0DAA">
              <w:rPr>
                <w:lang w:eastAsia="en-US"/>
              </w:rPr>
              <w:t xml:space="preserve">: bit(q(NR_OF_TDD_CELLS)) &gt; ; </w:t>
            </w:r>
          </w:p>
          <w:p w14:paraId="2FC402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q(x) defined in table 11.2.9b.2.b/3GPP TS 44.060.</w:t>
            </w:r>
          </w:p>
          <w:p w14:paraId="0DAF541F" w14:textId="77777777" w:rsidR="00711444" w:rsidRPr="004D0DAA" w:rsidRDefault="00711444" w:rsidP="00AA2A4C">
            <w:pPr>
              <w:pStyle w:val="TAL"/>
              <w:rPr>
                <w:b/>
                <w:lang w:eastAsia="en-US"/>
              </w:rPr>
            </w:pPr>
          </w:p>
        </w:tc>
      </w:tr>
      <w:tr w:rsidR="00711444" w:rsidRPr="004D0DAA" w14:paraId="727B3B4E" w14:textId="77777777" w:rsidTr="00AA2A4C">
        <w:tblPrEx>
          <w:tblCellMar>
            <w:top w:w="0" w:type="dxa"/>
            <w:bottom w:w="0" w:type="dxa"/>
          </w:tblCellMar>
        </w:tblPrEx>
        <w:trPr>
          <w:cantSplit/>
        </w:trPr>
        <w:tc>
          <w:tcPr>
            <w:tcW w:w="9848" w:type="dxa"/>
          </w:tcPr>
          <w:p w14:paraId="620A4F9C" w14:textId="77777777" w:rsidR="00711444" w:rsidRPr="004D0DAA" w:rsidRDefault="00711444" w:rsidP="00AA2A4C">
            <w:pPr>
              <w:pStyle w:val="TAL"/>
              <w:rPr>
                <w:lang w:eastAsia="en-US"/>
              </w:rPr>
            </w:pPr>
            <w:r w:rsidRPr="004D0DAA">
              <w:rPr>
                <w:lang w:eastAsia="en-US"/>
              </w:rPr>
              <w:t>&lt;</w:t>
            </w:r>
            <w:r w:rsidRPr="004D0DAA">
              <w:rPr>
                <w:b/>
                <w:lang w:eastAsia="en-US"/>
              </w:rPr>
              <w:t xml:space="preserve"> </w:t>
            </w:r>
            <w:r w:rsidRPr="004D0DAA">
              <w:rPr>
                <w:lang w:eastAsia="en-US"/>
              </w:rPr>
              <w:t>GPRS REP PRIORITY Description struct</w:t>
            </w:r>
            <w:r w:rsidRPr="004D0DAA">
              <w:rPr>
                <w:b/>
                <w:lang w:eastAsia="en-US"/>
              </w:rPr>
              <w:t xml:space="preserve"> </w:t>
            </w:r>
            <w:r w:rsidRPr="004D0DAA">
              <w:rPr>
                <w:lang w:eastAsia="en-US"/>
              </w:rPr>
              <w:t>&gt; ::=</w:t>
            </w:r>
          </w:p>
          <w:p w14:paraId="409D0C9B" w14:textId="77777777" w:rsidR="00711444" w:rsidRPr="004D0DAA" w:rsidRDefault="00711444" w:rsidP="00AA2A4C">
            <w:pPr>
              <w:pStyle w:val="TAL"/>
              <w:rPr>
                <w:lang w:eastAsia="en-US"/>
              </w:rPr>
            </w:pPr>
            <w:r w:rsidRPr="004D0DAA">
              <w:rPr>
                <w:lang w:eastAsia="en-US"/>
              </w:rPr>
              <w:tab/>
              <w:t>&lt; Number_Cells : bit(7) &gt;</w:t>
            </w:r>
          </w:p>
          <w:p w14:paraId="63F97697" w14:textId="77777777" w:rsidR="00711444" w:rsidRPr="004D0DAA" w:rsidRDefault="00711444" w:rsidP="00AA2A4C">
            <w:pPr>
              <w:pStyle w:val="TAL"/>
              <w:rPr>
                <w:lang w:eastAsia="en-US"/>
              </w:rPr>
            </w:pPr>
            <w:r w:rsidRPr="004D0DAA">
              <w:rPr>
                <w:lang w:eastAsia="en-US"/>
              </w:rPr>
              <w:tab/>
              <w:t>{ &lt; REP_PRIORITY : bit &gt; } * (val(Number_Cells)) ;</w:t>
            </w:r>
          </w:p>
          <w:p w14:paraId="7447685A" w14:textId="77777777" w:rsidR="00711444" w:rsidRPr="004D0DAA" w:rsidRDefault="00711444" w:rsidP="00AA2A4C">
            <w:pPr>
              <w:pStyle w:val="TAL"/>
              <w:rPr>
                <w:lang w:eastAsia="en-US"/>
              </w:rPr>
            </w:pPr>
          </w:p>
        </w:tc>
      </w:tr>
      <w:tr w:rsidR="00711444" w:rsidRPr="004D0DAA" w14:paraId="5D338250" w14:textId="77777777" w:rsidTr="00AA2A4C">
        <w:tblPrEx>
          <w:tblCellMar>
            <w:top w:w="0" w:type="dxa"/>
            <w:bottom w:w="0" w:type="dxa"/>
          </w:tblCellMar>
        </w:tblPrEx>
        <w:trPr>
          <w:cantSplit/>
        </w:trPr>
        <w:tc>
          <w:tcPr>
            <w:tcW w:w="9848" w:type="dxa"/>
          </w:tcPr>
          <w:p w14:paraId="7C9F0DDA" w14:textId="77777777" w:rsidR="00711444" w:rsidRPr="004D0DAA" w:rsidRDefault="00711444" w:rsidP="00AA2A4C">
            <w:pPr>
              <w:pStyle w:val="TAL"/>
              <w:rPr>
                <w:lang w:eastAsia="en-US"/>
              </w:rPr>
            </w:pPr>
            <w:r w:rsidRPr="004D0DAA">
              <w:rPr>
                <w:lang w:eastAsia="en-US"/>
              </w:rPr>
              <w:t>&lt;</w:t>
            </w:r>
            <w:r w:rsidRPr="004D0DAA">
              <w:rPr>
                <w:b/>
                <w:lang w:eastAsia="en-US"/>
              </w:rPr>
              <w:t xml:space="preserve"> </w:t>
            </w:r>
            <w:r w:rsidRPr="004D0DAA">
              <w:rPr>
                <w:lang w:eastAsia="en-US"/>
              </w:rPr>
              <w:t>GPRS MEASUREMENT PARAMETERS Description struct</w:t>
            </w:r>
            <w:r w:rsidRPr="004D0DAA">
              <w:rPr>
                <w:b/>
                <w:lang w:eastAsia="en-US"/>
              </w:rPr>
              <w:t xml:space="preserve"> </w:t>
            </w:r>
            <w:r w:rsidRPr="004D0DAA">
              <w:rPr>
                <w:lang w:eastAsia="en-US"/>
              </w:rPr>
              <w:t>&gt; ::=</w:t>
            </w:r>
          </w:p>
          <w:p w14:paraId="7CE36166"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&lt; MULTIBAND_REPORTING : bit (2) &gt; }</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&lt; SERVING_BAND_REPORTING : bit (2) &gt; }</w:t>
            </w:r>
            <w:r w:rsidRPr="004D0DAA">
              <w:rPr>
                <w:lang w:eastAsia="en-US"/>
              </w:rPr>
              <w:br/>
            </w:r>
            <w:r w:rsidRPr="004D0DAA">
              <w:rPr>
                <w:lang w:eastAsia="en-US"/>
              </w:rPr>
              <w:tab/>
              <w:t>&lt; SCALE_ORD : bit(2) &gt;</w:t>
            </w:r>
            <w:r w:rsidRPr="004D0DAA">
              <w:rPr>
                <w:lang w:eastAsia="en-US"/>
              </w:rPr>
              <w:br/>
            </w:r>
          </w:p>
          <w:p w14:paraId="3A1C73FA"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900_REPORTING_OFFSET : bit (3) &gt; </w:t>
            </w:r>
            <w:r w:rsidRPr="004D0DAA">
              <w:rPr>
                <w:lang w:eastAsia="en-US"/>
              </w:rPr>
              <w:br/>
            </w:r>
            <w:r w:rsidRPr="004D0DAA">
              <w:rPr>
                <w:lang w:eastAsia="en-US"/>
              </w:rPr>
              <w:tab/>
            </w:r>
            <w:r w:rsidRPr="004D0DAA">
              <w:rPr>
                <w:lang w:eastAsia="en-US"/>
              </w:rPr>
              <w:tab/>
            </w:r>
            <w:r w:rsidRPr="004D0DAA">
              <w:rPr>
                <w:lang w:eastAsia="en-US"/>
              </w:rPr>
              <w:tab/>
              <w:t>&lt; 900_REPORTING_THRESHOLD : bit (3) &gt; }</w:t>
            </w:r>
            <w:r w:rsidRPr="004D0DAA">
              <w:rPr>
                <w:lang w:eastAsia="en-US"/>
              </w:rPr>
              <w:br/>
            </w:r>
          </w:p>
          <w:p w14:paraId="709A0347"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1800_REPORTING_OFFSET : bit (3) &gt; </w:t>
            </w:r>
            <w:r w:rsidRPr="004D0DAA">
              <w:rPr>
                <w:lang w:eastAsia="en-US"/>
              </w:rPr>
              <w:br/>
            </w:r>
            <w:r w:rsidRPr="004D0DAA">
              <w:rPr>
                <w:lang w:eastAsia="en-US"/>
              </w:rPr>
              <w:tab/>
            </w:r>
            <w:r w:rsidRPr="004D0DAA">
              <w:rPr>
                <w:lang w:eastAsia="en-US"/>
              </w:rPr>
              <w:tab/>
            </w:r>
            <w:r w:rsidRPr="004D0DAA">
              <w:rPr>
                <w:lang w:eastAsia="en-US"/>
              </w:rPr>
              <w:tab/>
              <w:t>&lt; 1800_REPORTING_THRESHOLD : bit (3) &gt; }</w:t>
            </w:r>
            <w:r w:rsidRPr="004D0DAA">
              <w:rPr>
                <w:lang w:eastAsia="en-US"/>
              </w:rPr>
              <w:br/>
            </w:r>
          </w:p>
          <w:p w14:paraId="5F7CA33E"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400_REPORTING_OFFSET : bit (3) &gt; </w:t>
            </w:r>
            <w:r w:rsidRPr="004D0DAA">
              <w:rPr>
                <w:lang w:eastAsia="en-US"/>
              </w:rPr>
              <w:br/>
            </w:r>
            <w:r w:rsidRPr="004D0DAA">
              <w:rPr>
                <w:lang w:eastAsia="en-US"/>
              </w:rPr>
              <w:tab/>
            </w:r>
            <w:r w:rsidRPr="004D0DAA">
              <w:rPr>
                <w:lang w:eastAsia="en-US"/>
              </w:rPr>
              <w:tab/>
            </w:r>
            <w:r w:rsidRPr="004D0DAA">
              <w:rPr>
                <w:lang w:eastAsia="en-US"/>
              </w:rPr>
              <w:tab/>
              <w:t>&lt; 400_REPORTING_THRESHOLD : bit (3) &gt; }</w:t>
            </w:r>
            <w:r w:rsidRPr="004D0DAA">
              <w:rPr>
                <w:lang w:eastAsia="en-US"/>
              </w:rPr>
              <w:br/>
            </w:r>
          </w:p>
          <w:p w14:paraId="4B8F6374"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1900_REPORTING_OFFSET : bit (3) &gt; </w:t>
            </w:r>
            <w:r w:rsidRPr="004D0DAA">
              <w:rPr>
                <w:lang w:eastAsia="en-US"/>
              </w:rPr>
              <w:br/>
            </w:r>
            <w:r w:rsidRPr="004D0DAA">
              <w:rPr>
                <w:lang w:eastAsia="en-US"/>
              </w:rPr>
              <w:tab/>
            </w:r>
            <w:r w:rsidRPr="004D0DAA">
              <w:rPr>
                <w:lang w:eastAsia="en-US"/>
              </w:rPr>
              <w:tab/>
            </w:r>
            <w:r w:rsidRPr="004D0DAA">
              <w:rPr>
                <w:lang w:eastAsia="en-US"/>
              </w:rPr>
              <w:tab/>
              <w:t>&lt; 1900_REPORTING_THRESHOLD : bit (3) &gt; }</w:t>
            </w:r>
            <w:r w:rsidRPr="004D0DAA">
              <w:rPr>
                <w:lang w:eastAsia="en-US"/>
              </w:rPr>
              <w:br/>
            </w:r>
          </w:p>
          <w:p w14:paraId="56E7427D"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850_REPORTING_OFFSET : bit (3) &gt; </w:t>
            </w:r>
            <w:r w:rsidRPr="004D0DAA">
              <w:rPr>
                <w:lang w:eastAsia="en-US"/>
              </w:rPr>
              <w:br/>
            </w:r>
            <w:r w:rsidRPr="004D0DAA">
              <w:rPr>
                <w:lang w:eastAsia="en-US"/>
              </w:rPr>
              <w:tab/>
            </w:r>
            <w:r w:rsidRPr="004D0DAA">
              <w:rPr>
                <w:lang w:eastAsia="en-US"/>
              </w:rPr>
              <w:tab/>
            </w:r>
            <w:r w:rsidRPr="004D0DAA">
              <w:rPr>
                <w:lang w:eastAsia="en-US"/>
              </w:rPr>
              <w:tab/>
              <w:t>&lt; 850_REPORTING_THRESHOLD : bit (3) &gt; } ;</w:t>
            </w:r>
            <w:r w:rsidRPr="004D0DAA">
              <w:rPr>
                <w:lang w:eastAsia="en-US"/>
              </w:rPr>
              <w:br/>
            </w:r>
          </w:p>
          <w:p w14:paraId="00EE9E17" w14:textId="77777777" w:rsidR="00711444" w:rsidRPr="004D0DAA" w:rsidRDefault="00711444" w:rsidP="00AA2A4C">
            <w:pPr>
              <w:pStyle w:val="TAL"/>
              <w:rPr>
                <w:lang w:eastAsia="en-US"/>
              </w:rPr>
            </w:pPr>
          </w:p>
        </w:tc>
      </w:tr>
      <w:tr w:rsidR="00711444" w:rsidRPr="004D0DAA" w14:paraId="77289454" w14:textId="77777777" w:rsidTr="00AA2A4C">
        <w:tblPrEx>
          <w:tblCellMar>
            <w:top w:w="0" w:type="dxa"/>
            <w:bottom w:w="0" w:type="dxa"/>
          </w:tblCellMar>
        </w:tblPrEx>
        <w:trPr>
          <w:cantSplit/>
        </w:trPr>
        <w:tc>
          <w:tcPr>
            <w:tcW w:w="9848" w:type="dxa"/>
          </w:tcPr>
          <w:p w14:paraId="1C1B2C7B" w14:textId="77777777" w:rsidR="00711444" w:rsidRPr="004D0DAA" w:rsidRDefault="00711444" w:rsidP="00AA2A4C">
            <w:pPr>
              <w:pStyle w:val="TAL"/>
              <w:rPr>
                <w:lang w:eastAsia="en-US"/>
              </w:rPr>
            </w:pPr>
            <w:r w:rsidRPr="004D0DAA">
              <w:rPr>
                <w:lang w:eastAsia="en-US"/>
              </w:rPr>
              <w:t>&lt;</w:t>
            </w:r>
            <w:r w:rsidRPr="004D0DAA">
              <w:rPr>
                <w:b/>
                <w:lang w:eastAsia="en-US"/>
              </w:rPr>
              <w:t xml:space="preserve"> </w:t>
            </w:r>
            <w:r w:rsidRPr="004D0DAA">
              <w:rPr>
                <w:lang w:eastAsia="en-US"/>
              </w:rPr>
              <w:t>GPRS 3G MEASUREMENT PARAMETERS Description struct</w:t>
            </w:r>
            <w:r w:rsidRPr="004D0DAA">
              <w:rPr>
                <w:b/>
                <w:lang w:eastAsia="en-US"/>
              </w:rPr>
              <w:t xml:space="preserve"> </w:t>
            </w:r>
            <w:r w:rsidRPr="004D0DAA">
              <w:rPr>
                <w:lang w:eastAsia="en-US"/>
              </w:rPr>
              <w:t>&gt; ::=</w:t>
            </w:r>
          </w:p>
          <w:p w14:paraId="59861B7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Qsearch_P :</w:t>
            </w:r>
            <w:r w:rsidRPr="004D0DAA">
              <w:rPr>
                <w:lang w:eastAsia="en-US"/>
              </w:rPr>
              <w:t xml:space="preserve"> bit (4) &gt; </w:t>
            </w:r>
            <w:r w:rsidRPr="004D0DAA">
              <w:rPr>
                <w:lang w:eastAsia="en-US"/>
              </w:rPr>
              <w:br/>
            </w:r>
            <w:r w:rsidRPr="004D0DAA">
              <w:rPr>
                <w:lang w:eastAsia="en-US"/>
              </w:rPr>
              <w:tab/>
              <w:t>{ 1 ! &lt; Ignore : bit = &lt; no string &gt;&gt; }</w:t>
            </w:r>
            <w:r w:rsidRPr="004D0DAA">
              <w:rPr>
                <w:lang w:eastAsia="en-US"/>
              </w:rPr>
              <w:tab/>
            </w:r>
            <w:r w:rsidRPr="004D0DAA">
              <w:rPr>
                <w:lang w:eastAsia="en-US"/>
              </w:rPr>
              <w:tab/>
            </w:r>
            <w:r w:rsidRPr="004D0DAA">
              <w:rPr>
                <w:lang w:eastAsia="en-US"/>
              </w:rPr>
              <w:tab/>
              <w:t>-- this bit shall be ignored by the receiver</w:t>
            </w:r>
          </w:p>
          <w:p w14:paraId="08D8613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for backward compatibility with earlier releases</w:t>
            </w:r>
            <w:r w:rsidRPr="004D0DAA">
              <w:rPr>
                <w:sz w:val="16"/>
                <w:lang w:eastAsia="en-US"/>
              </w:rPr>
              <w:br/>
            </w:r>
            <w:r w:rsidRPr="004D0DAA">
              <w:rPr>
                <w:lang w:eastAsia="en-US"/>
              </w:rPr>
              <w:tab/>
            </w:r>
            <w:r w:rsidRPr="004D0DAA">
              <w:rPr>
                <w:lang w:eastAsia="en-US"/>
              </w:rPr>
              <w:sym w:font="Symbol" w:char="F07B"/>
            </w:r>
            <w:r w:rsidRPr="004D0DAA">
              <w:rPr>
                <w:lang w:eastAsia="en-US"/>
              </w:rPr>
              <w:t xml:space="preserve"> 0 | 1 &lt; </w:t>
            </w:r>
            <w:r w:rsidRPr="004D0DAA">
              <w:rPr>
                <w:b/>
                <w:lang w:eastAsia="en-US"/>
              </w:rPr>
              <w:t>FDD_REP_QUANT</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FDD Parameters</w:t>
            </w:r>
          </w:p>
          <w:p w14:paraId="70169C00" w14:textId="77777777" w:rsidR="00711444" w:rsidRPr="004D0DAA" w:rsidRDefault="00711444" w:rsidP="00AA2A4C">
            <w:pPr>
              <w:pStyle w:val="TAL"/>
              <w:rPr>
                <w:sz w:val="16"/>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FDD_MULTIRAT_REPORTING</w:t>
            </w:r>
            <w:r w:rsidRPr="004D0DAA">
              <w:rPr>
                <w:lang w:eastAsia="en-US"/>
              </w:rPr>
              <w:t xml:space="preserve"> : bit (2) &gt; }</w:t>
            </w:r>
          </w:p>
          <w:p w14:paraId="2E6B931A" w14:textId="77777777" w:rsidR="00711444" w:rsidRPr="004D0DAA" w:rsidRDefault="00711444" w:rsidP="00AA2A4C">
            <w:pPr>
              <w:pStyle w:val="TAL"/>
              <w:rPr>
                <w:lang w:eastAsia="en-US"/>
              </w:rPr>
            </w:pP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FDD_REPORTING_OFFSET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FDD_REPORTING_THRESHOLD </w:t>
            </w:r>
            <w:r w:rsidRPr="004D0DAA">
              <w:rPr>
                <w:lang w:eastAsia="en-US"/>
              </w:rPr>
              <w:t>: bit (3) &gt; }</w:t>
            </w:r>
            <w:r w:rsidRPr="004D0DAA">
              <w:rPr>
                <w:lang w:eastAsia="en-US"/>
              </w:rPr>
              <w:br/>
            </w:r>
          </w:p>
          <w:p w14:paraId="6FF723E2" w14:textId="77777777" w:rsidR="00711444" w:rsidRPr="004D0DAA" w:rsidRDefault="00711444" w:rsidP="00AA2A4C">
            <w:pPr>
              <w:pStyle w:val="TAL"/>
              <w:rPr>
                <w:b/>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TDD_MULTIRAT_REPORTING</w:t>
            </w:r>
            <w:r w:rsidRPr="004D0DAA">
              <w:rPr>
                <w:lang w:eastAsia="en-US"/>
              </w:rPr>
              <w:t xml:space="preserve"> : bit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TDD Parameters</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TDD_REPORTING_THRESHOLD </w:t>
            </w:r>
            <w:r w:rsidRPr="004D0DAA">
              <w:rPr>
                <w:lang w:eastAsia="en-US"/>
              </w:rPr>
              <w:t>: bit (3) &gt; } ;</w:t>
            </w:r>
            <w:r w:rsidRPr="004D0DAA">
              <w:rPr>
                <w:lang w:eastAsia="en-US"/>
              </w:rPr>
              <w:br/>
            </w:r>
          </w:p>
        </w:tc>
      </w:tr>
      <w:tr w:rsidR="00711444" w:rsidRPr="004D0DAA" w14:paraId="2C90BC5B" w14:textId="77777777" w:rsidTr="00AA2A4C">
        <w:tblPrEx>
          <w:tblCellMar>
            <w:top w:w="0" w:type="dxa"/>
            <w:bottom w:w="0" w:type="dxa"/>
          </w:tblCellMar>
        </w:tblPrEx>
        <w:trPr>
          <w:cantSplit/>
        </w:trPr>
        <w:tc>
          <w:tcPr>
            <w:tcW w:w="9848" w:type="dxa"/>
          </w:tcPr>
          <w:p w14:paraId="6ACF44D6"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r>
            <w:r w:rsidRPr="004D0DAA">
              <w:rPr>
                <w:lang w:eastAsia="en-US"/>
              </w:rPr>
              <w:tab/>
              <w:t xml:space="preserve">&lt; </w:t>
            </w:r>
            <w:r w:rsidRPr="004D0DAA">
              <w:rPr>
                <w:b/>
                <w:lang w:eastAsia="en-US"/>
              </w:rPr>
              <w:t>Number_Cells</w:t>
            </w:r>
            <w:r w:rsidRPr="004D0DAA">
              <w:rPr>
                <w:lang w:eastAsia="en-US"/>
              </w:rPr>
              <w:t xml:space="preserve"> : bit (7) &gt;</w:t>
            </w:r>
            <w:r w:rsidRPr="004D0DAA">
              <w:rPr>
                <w:lang w:eastAsia="en-US"/>
              </w:rPr>
              <w:br/>
            </w:r>
            <w:r w:rsidRPr="004D0DAA">
              <w:rPr>
                <w:lang w:eastAsia="en-US"/>
              </w:rPr>
              <w:tab/>
              <w:t xml:space="preserve">{ </w:t>
            </w:r>
            <w:r w:rsidRPr="004D0DAA">
              <w:rPr>
                <w:b/>
                <w:lang w:eastAsia="en-US"/>
              </w:rPr>
              <w:t>CCN_SUPPORTED</w:t>
            </w:r>
            <w:r w:rsidRPr="004D0DAA">
              <w:rPr>
                <w:lang w:eastAsia="en-US"/>
              </w:rPr>
              <w:t xml:space="preserve"> : bit } * (val(Number_Cells)) ;</w:t>
            </w:r>
          </w:p>
        </w:tc>
      </w:tr>
      <w:tr w:rsidR="00711444" w:rsidRPr="004D0DAA" w14:paraId="01D195E9" w14:textId="77777777" w:rsidTr="00AA2A4C">
        <w:tblPrEx>
          <w:tblCellMar>
            <w:top w:w="0" w:type="dxa"/>
            <w:bottom w:w="0" w:type="dxa"/>
          </w:tblCellMar>
        </w:tblPrEx>
        <w:trPr>
          <w:cantSplit/>
        </w:trPr>
        <w:tc>
          <w:tcPr>
            <w:tcW w:w="9848" w:type="dxa"/>
          </w:tcPr>
          <w:p w14:paraId="4796B737" w14:textId="77777777" w:rsidR="00711444" w:rsidRPr="004D0DAA" w:rsidRDefault="00711444" w:rsidP="00AA2A4C">
            <w:pPr>
              <w:pStyle w:val="TAL"/>
              <w:rPr>
                <w:lang w:eastAsia="en-US"/>
              </w:rPr>
            </w:pPr>
            <w:r w:rsidRPr="004D0DAA">
              <w:rPr>
                <w:lang w:eastAsia="en-US"/>
              </w:rPr>
              <w:t>&lt; Iu Mode Neighbour Cell Params struct &gt; ::=</w:t>
            </w:r>
          </w:p>
          <w:p w14:paraId="7BFF8FBE"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&lt;Iu Mode Cell Selection struct &gt; &gt; }</w:t>
            </w:r>
          </w:p>
          <w:p w14:paraId="163A794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NR_OF_FREQUENCIES </w:t>
            </w:r>
            <w:r w:rsidRPr="004D0DAA">
              <w:rPr>
                <w:lang w:eastAsia="en-US"/>
              </w:rPr>
              <w:t>: bit (5) &gt;</w:t>
            </w:r>
          </w:p>
          <w:p w14:paraId="5C4AE8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xml:space="preserve">: </w:t>
            </w:r>
          </w:p>
          <w:p w14:paraId="40BF31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Iu Mode Cell Selection struct &gt; &gt; } * (val(NR_OF_FREQUENCIES)) ;</w:t>
            </w:r>
          </w:p>
        </w:tc>
      </w:tr>
      <w:tr w:rsidR="00711444" w:rsidRPr="004D0DAA" w14:paraId="1E4FB53D" w14:textId="77777777" w:rsidTr="00AA2A4C">
        <w:tblPrEx>
          <w:tblCellMar>
            <w:top w:w="0" w:type="dxa"/>
            <w:bottom w:w="0" w:type="dxa"/>
          </w:tblCellMar>
        </w:tblPrEx>
        <w:trPr>
          <w:cantSplit/>
        </w:trPr>
        <w:tc>
          <w:tcPr>
            <w:tcW w:w="9848" w:type="dxa"/>
          </w:tcPr>
          <w:p w14:paraId="6070B275" w14:textId="77777777" w:rsidR="00711444" w:rsidRPr="004D0DAA" w:rsidRDefault="00711444" w:rsidP="00AA2A4C">
            <w:pPr>
              <w:pStyle w:val="TAL"/>
              <w:rPr>
                <w:lang w:eastAsia="en-US"/>
              </w:rPr>
            </w:pPr>
            <w:r w:rsidRPr="004D0DAA">
              <w:rPr>
                <w:lang w:eastAsia="en-US"/>
              </w:rPr>
              <w:t>&lt; Iu Mode Cell Selection struct &gt; ::=</w:t>
            </w:r>
          </w:p>
          <w:p w14:paraId="5E7B0FC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BAR QUALIFY 3</w:t>
            </w:r>
            <w:r w:rsidRPr="004D0DAA">
              <w:rPr>
                <w:bCs/>
                <w:lang w:eastAsia="en-US"/>
              </w:rPr>
              <w:t xml:space="preserve"> </w:t>
            </w:r>
            <w:r w:rsidRPr="004D0DAA">
              <w:rPr>
                <w:lang w:eastAsia="en-US"/>
              </w:rPr>
              <w:t>: bit (2) &gt;</w:t>
            </w:r>
            <w:r w:rsidRPr="004D0DAA">
              <w:rPr>
                <w:lang w:eastAsia="en-US"/>
              </w:rPr>
              <w:tab/>
            </w:r>
          </w:p>
          <w:p w14:paraId="3219AEB2"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SI13Alt PBCCH Location</w:t>
            </w:r>
            <w:r w:rsidRPr="004D0DAA">
              <w:rPr>
                <w:lang w:val="fr-FR" w:eastAsia="en-US"/>
              </w:rPr>
              <w:t>: &lt; SI13 PBCCH Location struct &gt; &gt; } ;</w:t>
            </w:r>
          </w:p>
        </w:tc>
      </w:tr>
      <w:tr w:rsidR="00711444" w:rsidRPr="004D0DAA" w14:paraId="63694E73" w14:textId="77777777" w:rsidTr="00AA2A4C">
        <w:tblPrEx>
          <w:tblCellMar>
            <w:top w:w="0" w:type="dxa"/>
            <w:bottom w:w="0" w:type="dxa"/>
          </w:tblCellMar>
        </w:tblPrEx>
        <w:trPr>
          <w:cantSplit/>
        </w:trPr>
        <w:tc>
          <w:tcPr>
            <w:tcW w:w="9848" w:type="dxa"/>
          </w:tcPr>
          <w:p w14:paraId="72E89F14" w14:textId="77777777" w:rsidR="00711444" w:rsidRPr="004D0DAA" w:rsidRDefault="00711444" w:rsidP="00AA2A4C">
            <w:pPr>
              <w:pStyle w:val="TAL"/>
              <w:rPr>
                <w:lang w:eastAsia="en-US"/>
              </w:rPr>
            </w:pPr>
            <w:r w:rsidRPr="004D0DAA">
              <w:rPr>
                <w:lang w:eastAsia="en-US"/>
              </w:rPr>
              <w:t>&lt; NC Iu Mode Only Cell List struct &gt; ::=</w:t>
            </w:r>
          </w:p>
          <w:p w14:paraId="612BABC3"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List of added cells</w:t>
            </w:r>
            <w:r w:rsidRPr="004D0DAA">
              <w:rPr>
                <w:lang w:eastAsia="en-US"/>
              </w:rPr>
              <w:t xml:space="preserve"> : &lt; Add Iu Mode Only Cell List struct &gt; &gt;} ** 0;</w:t>
            </w:r>
          </w:p>
        </w:tc>
      </w:tr>
      <w:tr w:rsidR="00711444" w:rsidRPr="004D0DAA" w14:paraId="0C6F07BD" w14:textId="77777777" w:rsidTr="00AA2A4C">
        <w:tblPrEx>
          <w:tblCellMar>
            <w:top w:w="0" w:type="dxa"/>
            <w:bottom w:w="0" w:type="dxa"/>
          </w:tblCellMar>
        </w:tblPrEx>
        <w:trPr>
          <w:cantSplit/>
        </w:trPr>
        <w:tc>
          <w:tcPr>
            <w:tcW w:w="9848" w:type="dxa"/>
          </w:tcPr>
          <w:p w14:paraId="59F38038" w14:textId="77777777" w:rsidR="00711444" w:rsidRPr="004D0DAA" w:rsidRDefault="00711444" w:rsidP="00AA2A4C">
            <w:pPr>
              <w:pStyle w:val="TAL"/>
              <w:rPr>
                <w:lang w:eastAsia="en-US"/>
              </w:rPr>
            </w:pPr>
            <w:r w:rsidRPr="004D0DAA">
              <w:rPr>
                <w:lang w:eastAsia="en-US"/>
              </w:rPr>
              <w:lastRenderedPageBreak/>
              <w:t>&lt; Add Iu Mode Only Cell List struct &gt; ::=</w:t>
            </w:r>
          </w:p>
          <w:p w14:paraId="6D8ADA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START_FREQUENCY </w:t>
            </w:r>
            <w:r w:rsidRPr="004D0DAA">
              <w:rPr>
                <w:lang w:eastAsia="en-US"/>
              </w:rPr>
              <w:t>: bit (10) &gt;</w:t>
            </w:r>
          </w:p>
          <w:p w14:paraId="02ED71D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6A35ED7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&lt; Iu Mode Only Cell Selection struct &gt; &gt; }</w:t>
            </w:r>
          </w:p>
          <w:p w14:paraId="31E3172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NR_OF_FREQUENCIES </w:t>
            </w:r>
            <w:r w:rsidRPr="004D0DAA">
              <w:rPr>
                <w:lang w:eastAsia="en-US"/>
              </w:rPr>
              <w:t>: bit (5) &gt;</w:t>
            </w:r>
          </w:p>
          <w:p w14:paraId="6FFC948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FREQ_DIFF_LENGTH </w:t>
            </w:r>
            <w:r w:rsidRPr="004D0DAA">
              <w:rPr>
                <w:lang w:eastAsia="en-US"/>
              </w:rPr>
              <w:t>: bit (3) &gt;</w:t>
            </w:r>
          </w:p>
          <w:p w14:paraId="47DBCD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w:t>
            </w:r>
            <w:r w:rsidRPr="004D0DAA">
              <w:rPr>
                <w:b/>
                <w:lang w:eastAsia="en-US"/>
              </w:rPr>
              <w:t xml:space="preserve">FREQUENCY_DIFF </w:t>
            </w:r>
            <w:r w:rsidRPr="004D0DAA">
              <w:rPr>
                <w:lang w:eastAsia="en-US"/>
              </w:rPr>
              <w:t>: bit (val(FREQ_DIFF_LENGTH)) &gt;</w:t>
            </w:r>
          </w:p>
          <w:p w14:paraId="566581B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0F2EAB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&lt; Iu Mode Only Cell Selection struct &gt; &gt; } } * (val(NR_OF_FREQUENCIES)) ;</w:t>
            </w:r>
          </w:p>
        </w:tc>
      </w:tr>
      <w:tr w:rsidR="00711444" w:rsidRPr="004D0DAA" w14:paraId="45B7FF10" w14:textId="77777777" w:rsidTr="00AA2A4C">
        <w:tblPrEx>
          <w:tblCellMar>
            <w:top w:w="0" w:type="dxa"/>
            <w:bottom w:w="0" w:type="dxa"/>
          </w:tblCellMar>
        </w:tblPrEx>
        <w:trPr>
          <w:cantSplit/>
        </w:trPr>
        <w:tc>
          <w:tcPr>
            <w:tcW w:w="9848" w:type="dxa"/>
          </w:tcPr>
          <w:p w14:paraId="1A8891D0" w14:textId="77777777" w:rsidR="00711444" w:rsidRPr="004D0DAA" w:rsidRDefault="00711444" w:rsidP="00AA2A4C">
            <w:pPr>
              <w:pStyle w:val="TAL"/>
              <w:rPr>
                <w:lang w:eastAsia="en-US"/>
              </w:rPr>
            </w:pPr>
            <w:r w:rsidRPr="004D0DAA">
              <w:rPr>
                <w:lang w:eastAsia="en-US"/>
              </w:rPr>
              <w:t>&lt; Iu Mode Only Cell Selection struct &gt; ::=</w:t>
            </w:r>
          </w:p>
          <w:p w14:paraId="044E9C3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CELL BAR QUALIFY 3</w:t>
            </w:r>
            <w:r w:rsidRPr="004D0DAA">
              <w:rPr>
                <w:lang w:eastAsia="en-US"/>
              </w:rPr>
              <w:t xml:space="preserve"> : bit (2) &gt;</w:t>
            </w:r>
          </w:p>
          <w:p w14:paraId="56CC115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6DC33B1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GPRS_RXLEV_ACCESS_MIN</w:t>
            </w:r>
            <w:r w:rsidRPr="004D0DAA">
              <w:rPr>
                <w:lang w:eastAsia="en-US"/>
              </w:rPr>
              <w:t xml:space="preserve"> : bit (6) &gt;</w:t>
            </w:r>
          </w:p>
          <w:p w14:paraId="75BF739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GPRS_MS_TXPWR_MAX_CCH</w:t>
            </w:r>
            <w:r w:rsidRPr="004D0DAA">
              <w:rPr>
                <w:lang w:eastAsia="en-US"/>
              </w:rPr>
              <w:t xml:space="preserve"> : bit (5) &gt; }</w:t>
            </w:r>
          </w:p>
          <w:p w14:paraId="4CC2609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GPRS_TEMPORARY_OFFSET</w:t>
            </w:r>
            <w:r w:rsidRPr="004D0DAA">
              <w:rPr>
                <w:lang w:eastAsia="en-US"/>
              </w:rPr>
              <w:t xml:space="preserve"> : bit (3) &gt;</w:t>
            </w:r>
          </w:p>
          <w:p w14:paraId="57FF66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GPRS_PENALTY_TIME</w:t>
            </w:r>
            <w:r w:rsidRPr="004D0DAA">
              <w:rPr>
                <w:lang w:eastAsia="en-US"/>
              </w:rPr>
              <w:t xml:space="preserve"> : bit (5) &gt; }</w:t>
            </w:r>
          </w:p>
          <w:p w14:paraId="7BFDD67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GPRS_RESELECT_OFFSET</w:t>
            </w:r>
            <w:r w:rsidRPr="004D0DAA">
              <w:rPr>
                <w:lang w:eastAsia="en-US"/>
              </w:rPr>
              <w:t xml:space="preserve"> : bit (5) &gt; }</w:t>
            </w:r>
          </w:p>
          <w:p w14:paraId="5419118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HCS params</w:t>
            </w:r>
            <w:r w:rsidRPr="004D0DAA">
              <w:rPr>
                <w:lang w:eastAsia="en-US"/>
              </w:rPr>
              <w:t xml:space="preserve"> : &lt; HCS struct &gt; &gt; }</w:t>
            </w:r>
          </w:p>
          <w:p w14:paraId="60C17B52"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SI13Alt_PBCCH_LOCATION</w:t>
            </w:r>
            <w:r w:rsidRPr="004D0DAA">
              <w:rPr>
                <w:lang w:val="fr-FR" w:eastAsia="en-US"/>
              </w:rPr>
              <w:t xml:space="preserve"> : &lt; SI13_PBCCH_LOCATION struct &gt; &gt; } ;</w:t>
            </w:r>
          </w:p>
          <w:p w14:paraId="79A4E37C" w14:textId="77777777" w:rsidR="00711444" w:rsidRPr="004D0DAA" w:rsidRDefault="00711444" w:rsidP="00AA2A4C">
            <w:pPr>
              <w:pStyle w:val="TAL"/>
              <w:rPr>
                <w:lang w:val="fr-FR" w:eastAsia="en-US"/>
              </w:rPr>
            </w:pPr>
          </w:p>
        </w:tc>
      </w:tr>
      <w:tr w:rsidR="00711444" w:rsidRPr="004D0DAA" w14:paraId="353C4E35" w14:textId="77777777" w:rsidTr="00AA2A4C">
        <w:tblPrEx>
          <w:tblCellMar>
            <w:top w:w="0" w:type="dxa"/>
            <w:bottom w:w="0" w:type="dxa"/>
          </w:tblCellMar>
        </w:tblPrEx>
        <w:trPr>
          <w:cantSplit/>
        </w:trPr>
        <w:tc>
          <w:tcPr>
            <w:tcW w:w="9848" w:type="dxa"/>
          </w:tcPr>
          <w:p w14:paraId="3EC0DBC2" w14:textId="77777777" w:rsidR="00711444" w:rsidRPr="004D0DAA" w:rsidRDefault="00711444" w:rsidP="00AA2A4C">
            <w:pPr>
              <w:pStyle w:val="TAL"/>
              <w:rPr>
                <w:lang w:eastAsia="en-US"/>
              </w:rPr>
            </w:pPr>
            <w:r w:rsidRPr="004D0DAA">
              <w:rPr>
                <w:lang w:eastAsia="en-US"/>
              </w:rPr>
              <w:t xml:space="preserve">&lt; GPRS 3G Additional Measurement Parameters Description 2 struct &gt; ::= </w:t>
            </w:r>
          </w:p>
          <w:p w14:paraId="07BB7E3E" w14:textId="77777777" w:rsidR="00711444" w:rsidRPr="004D0DAA" w:rsidRDefault="00711444" w:rsidP="00AA2A4C">
            <w:pPr>
              <w:pStyle w:val="TAL"/>
              <w:rPr>
                <w:i/>
                <w:lang w:eastAsia="en-US"/>
              </w:rPr>
            </w:pPr>
            <w:r w:rsidRPr="004D0DAA">
              <w:rPr>
                <w:lang w:eastAsia="en-US"/>
              </w:rPr>
              <w:tab/>
              <w:t xml:space="preserve">{ 0 | 1 &lt; </w:t>
            </w:r>
            <w:r w:rsidRPr="004D0DAA">
              <w:rPr>
                <w:b/>
                <w:bCs/>
                <w:lang w:eastAsia="en-US"/>
              </w:rPr>
              <w:t xml:space="preserve">FDD_REPORTING_THRESHOLD_2 </w:t>
            </w:r>
            <w:r w:rsidRPr="004D0DAA">
              <w:rPr>
                <w:lang w:eastAsia="en-US"/>
              </w:rPr>
              <w:t>: bit (6)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Parameters</w:t>
            </w:r>
          </w:p>
          <w:p w14:paraId="3EE6BF0E" w14:textId="77777777" w:rsidR="00711444" w:rsidRPr="004D0DAA" w:rsidRDefault="00711444" w:rsidP="00AA2A4C">
            <w:pPr>
              <w:pStyle w:val="TAL"/>
              <w:rPr>
                <w:lang w:eastAsia="en-US"/>
              </w:rPr>
            </w:pPr>
          </w:p>
        </w:tc>
      </w:tr>
    </w:tbl>
    <w:p w14:paraId="65912417" w14:textId="77777777" w:rsidR="00711444" w:rsidRPr="004D0DAA" w:rsidRDefault="00711444" w:rsidP="00711444"/>
    <w:p w14:paraId="0C226239" w14:textId="77777777" w:rsidR="00711444" w:rsidRPr="004D0DAA" w:rsidRDefault="00711444" w:rsidP="00711444">
      <w:pPr>
        <w:pStyle w:val="TH"/>
      </w:pPr>
      <w:r w:rsidRPr="004D0DAA">
        <w:t>Table 11.2.4.2: PACKET CELL CHANGE ORDER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gridCol w:w="7"/>
      </w:tblGrid>
      <w:tr w:rsidR="00711444" w:rsidRPr="004D0DAA" w14:paraId="5F4FAC7B" w14:textId="77777777" w:rsidTr="00AA2A4C">
        <w:tblPrEx>
          <w:tblCellMar>
            <w:top w:w="0" w:type="dxa"/>
            <w:bottom w:w="0" w:type="dxa"/>
          </w:tblCellMar>
        </w:tblPrEx>
        <w:trPr>
          <w:cantSplit/>
        </w:trPr>
        <w:tc>
          <w:tcPr>
            <w:tcW w:w="9855" w:type="dxa"/>
            <w:gridSpan w:val="2"/>
          </w:tcPr>
          <w:p w14:paraId="1E1ECC59" w14:textId="77777777" w:rsidR="00711444" w:rsidRPr="004D0DAA" w:rsidRDefault="00711444" w:rsidP="00AA2A4C">
            <w:pPr>
              <w:keepNext/>
            </w:pPr>
            <w:r w:rsidRPr="004D0DAA">
              <w:rPr>
                <w:b/>
              </w:rPr>
              <w:t>PAGE_MODE</w:t>
            </w:r>
            <w:r w:rsidRPr="004D0DAA">
              <w:t xml:space="preserve"> (2 bit field)</w:t>
            </w:r>
            <w:r w:rsidRPr="004D0DAA">
              <w:br/>
              <w:t>This field is defined in</w:t>
            </w:r>
            <w:r w:rsidRPr="004D0DAA">
              <w:rPr>
                <w:i/>
              </w:rPr>
              <w:t xml:space="preserve"> </w:t>
            </w:r>
            <w:r w:rsidRPr="004D0DAA">
              <w:t>sub-clause 12.20.</w:t>
            </w:r>
          </w:p>
          <w:p w14:paraId="1E92292F" w14:textId="77777777" w:rsidR="00711444" w:rsidRPr="004D0DAA" w:rsidRDefault="00711444" w:rsidP="00AA2A4C">
            <w:pPr>
              <w:keepLines/>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sub-clause 12.10.</w:t>
            </w:r>
          </w:p>
          <w:p w14:paraId="6842A20D" w14:textId="77777777" w:rsidR="00711444" w:rsidRPr="004D0DAA" w:rsidRDefault="00711444" w:rsidP="00AA2A4C">
            <w:pPr>
              <w:keepLines/>
              <w:rPr>
                <w:b/>
              </w:rPr>
            </w:pPr>
            <w:r w:rsidRPr="004D0DAA">
              <w:rPr>
                <w:b/>
              </w:rPr>
              <w:t>TLLI / G-RNTI</w:t>
            </w:r>
            <w:r w:rsidRPr="004D0DAA">
              <w:t xml:space="preserve"> (32 bit field)</w:t>
            </w:r>
            <w:r w:rsidRPr="004D0DAA">
              <w:br/>
              <w:t>This field is defined in</w:t>
            </w:r>
            <w:r w:rsidRPr="004D0DAA">
              <w:rPr>
                <w:i/>
              </w:rPr>
              <w:t xml:space="preserve"> </w:t>
            </w:r>
            <w:r w:rsidRPr="004D0DAA">
              <w:t>sub-clause 12.16.</w:t>
            </w:r>
          </w:p>
        </w:tc>
      </w:tr>
      <w:tr w:rsidR="00711444" w:rsidRPr="004D0DAA" w14:paraId="7A18BC6E" w14:textId="77777777" w:rsidTr="00AA2A4C">
        <w:tblPrEx>
          <w:tblCellMar>
            <w:top w:w="0" w:type="dxa"/>
            <w:bottom w:w="0" w:type="dxa"/>
          </w:tblCellMar>
        </w:tblPrEx>
        <w:trPr>
          <w:cantSplit/>
        </w:trPr>
        <w:tc>
          <w:tcPr>
            <w:tcW w:w="9855" w:type="dxa"/>
            <w:gridSpan w:val="2"/>
          </w:tcPr>
          <w:p w14:paraId="0E98C9C5" w14:textId="77777777" w:rsidR="00711444" w:rsidRPr="004D0DAA" w:rsidRDefault="00711444" w:rsidP="00AA2A4C">
            <w:pPr>
              <w:keepLines/>
            </w:pPr>
            <w:r w:rsidRPr="004D0DAA">
              <w:rPr>
                <w:b/>
              </w:rPr>
              <w:t>IMMEDIATE_REL</w:t>
            </w:r>
            <w:r w:rsidRPr="004D0DAA">
              <w:t xml:space="preserve"> (</w:t>
            </w:r>
            <w:r w:rsidRPr="004D0DAA">
              <w:rPr>
                <w:rFonts w:hint="eastAsia"/>
                <w:lang w:eastAsia="ko-KR"/>
              </w:rPr>
              <w:t xml:space="preserve">1 </w:t>
            </w:r>
            <w:r w:rsidRPr="004D0DAA">
              <w:t>bit</w:t>
            </w:r>
            <w:r w:rsidRPr="004D0DAA">
              <w:rPr>
                <w:rFonts w:hint="eastAsia"/>
                <w:lang w:eastAsia="ko-KR"/>
              </w:rPr>
              <w:t xml:space="preserve"> field</w:t>
            </w:r>
            <w:r w:rsidRPr="004D0DAA">
              <w:t>)</w:t>
            </w:r>
            <w:r w:rsidRPr="004D0DAA">
              <w:br/>
              <w:t>This field indicates whether the MS shall immediately abort any operation in the old cell and move to the target cell (see</w:t>
            </w:r>
            <w:r w:rsidRPr="004D0DAA">
              <w:rPr>
                <w:i/>
              </w:rPr>
              <w:t xml:space="preserve"> </w:t>
            </w:r>
            <w:r w:rsidRPr="004D0DAA">
              <w:t>sub-clause 8.4), or it shall not immediately abort operation in the old cell and follow the cell reselection procedure defined in</w:t>
            </w:r>
            <w:r w:rsidRPr="004D0DAA">
              <w:rPr>
                <w:i/>
              </w:rPr>
              <w:t xml:space="preserve"> </w:t>
            </w:r>
            <w:r w:rsidRPr="004D0DAA">
              <w:t>sub-clause 5.5.1.1. This field is coded according to the following table:</w:t>
            </w:r>
          </w:p>
          <w:p w14:paraId="1681514D" w14:textId="77777777" w:rsidR="00711444" w:rsidRPr="004D0DAA" w:rsidRDefault="00711444" w:rsidP="00AA2A4C">
            <w:pPr>
              <w:keepLines/>
            </w:pPr>
            <w:r w:rsidRPr="004D0DAA">
              <w:t>0</w:t>
            </w:r>
            <w:r w:rsidRPr="004D0DAA">
              <w:tab/>
              <w:t>No immediate abort of operation in the old cell is required.</w:t>
            </w:r>
            <w:r w:rsidRPr="004D0DAA">
              <w:br/>
              <w:t>1</w:t>
            </w:r>
            <w:r w:rsidRPr="004D0DAA">
              <w:tab/>
              <w:t>Immediate abort of operation in the old cell is required.</w:t>
            </w:r>
          </w:p>
        </w:tc>
      </w:tr>
      <w:tr w:rsidR="00711444" w:rsidRPr="004D0DAA" w14:paraId="35D98E14" w14:textId="77777777" w:rsidTr="00AA2A4C">
        <w:tblPrEx>
          <w:tblCellMar>
            <w:top w:w="0" w:type="dxa"/>
            <w:bottom w:w="0" w:type="dxa"/>
          </w:tblCellMar>
        </w:tblPrEx>
        <w:trPr>
          <w:cantSplit/>
        </w:trPr>
        <w:tc>
          <w:tcPr>
            <w:tcW w:w="9855" w:type="dxa"/>
            <w:gridSpan w:val="2"/>
          </w:tcPr>
          <w:p w14:paraId="2201B06A" w14:textId="77777777" w:rsidR="00711444" w:rsidRPr="004D0DAA" w:rsidRDefault="00711444" w:rsidP="00AA2A4C">
            <w:pPr>
              <w:keepLines/>
            </w:pPr>
            <w:r w:rsidRPr="004D0DAA">
              <w:rPr>
                <w:b/>
              </w:rPr>
              <w:t>ARFCN</w:t>
            </w:r>
            <w:r w:rsidRPr="004D0DAA">
              <w:t xml:space="preserve"> (10 bit field)</w:t>
            </w:r>
            <w:r w:rsidRPr="004D0DAA">
              <w:br/>
              <w:t>This field contains the BCCH frequency of the new cell. This field is encoded as the ARFCN defined in 3GPP TS 44.018.</w:t>
            </w:r>
            <w:r w:rsidRPr="004D0DAA">
              <w:br/>
              <w:t>Range 0 to 1023</w:t>
            </w:r>
          </w:p>
        </w:tc>
      </w:tr>
      <w:tr w:rsidR="00711444" w:rsidRPr="004D0DAA" w14:paraId="1E4277ED" w14:textId="77777777" w:rsidTr="00AA2A4C">
        <w:tblPrEx>
          <w:tblCellMar>
            <w:top w:w="0" w:type="dxa"/>
            <w:bottom w:w="0" w:type="dxa"/>
          </w:tblCellMar>
        </w:tblPrEx>
        <w:trPr>
          <w:cantSplit/>
        </w:trPr>
        <w:tc>
          <w:tcPr>
            <w:tcW w:w="9855" w:type="dxa"/>
            <w:gridSpan w:val="2"/>
          </w:tcPr>
          <w:p w14:paraId="762C5840" w14:textId="77777777" w:rsidR="00711444" w:rsidRPr="004D0DAA" w:rsidRDefault="00711444" w:rsidP="00AA2A4C">
            <w:pPr>
              <w:keepNext/>
            </w:pPr>
            <w:r w:rsidRPr="004D0DAA">
              <w:rPr>
                <w:b/>
              </w:rPr>
              <w:lastRenderedPageBreak/>
              <w:t>BSIC</w:t>
            </w:r>
            <w:r w:rsidRPr="004D0DAA">
              <w:t xml:space="preserve"> (6 bit field)</w:t>
            </w:r>
            <w:r w:rsidRPr="004D0DAA">
              <w:br/>
              <w:t>This field contains the BSIC of the new cell. This field is encoded as the BSIC value defined in 3GPP TS 44.018.</w:t>
            </w:r>
            <w:r w:rsidRPr="004D0DAA">
              <w:br/>
              <w:t>Range 0 to 63</w:t>
            </w:r>
          </w:p>
        </w:tc>
      </w:tr>
      <w:tr w:rsidR="00711444" w:rsidRPr="004D0DAA" w14:paraId="4530D128" w14:textId="77777777" w:rsidTr="00AA2A4C">
        <w:tblPrEx>
          <w:tblCellMar>
            <w:top w:w="0" w:type="dxa"/>
            <w:bottom w:w="0" w:type="dxa"/>
          </w:tblCellMar>
        </w:tblPrEx>
        <w:trPr>
          <w:cantSplit/>
        </w:trPr>
        <w:tc>
          <w:tcPr>
            <w:tcW w:w="9855" w:type="dxa"/>
            <w:gridSpan w:val="2"/>
          </w:tcPr>
          <w:p w14:paraId="76FF8F7E" w14:textId="77777777" w:rsidR="00711444" w:rsidRPr="004D0DAA" w:rsidRDefault="00711444" w:rsidP="00AA2A4C">
            <w:pPr>
              <w:keepNext/>
            </w:pPr>
            <w:r w:rsidRPr="004D0DAA">
              <w:rPr>
                <w:b/>
              </w:rPr>
              <w:t xml:space="preserve">CCN_ACTIVE </w:t>
            </w:r>
            <w:r w:rsidRPr="004D0DAA">
              <w:t>(1 bit field)</w:t>
            </w:r>
            <w:r w:rsidRPr="004D0DAA">
              <w:br/>
              <w:t>This field indicates whether CCN is enabled towards GSM cells for the mobile station in the GSM cell addressed by ARFCN and BSIC. It is coded as follows:</w:t>
            </w:r>
            <w:r w:rsidRPr="004D0DAA">
              <w:br/>
              <w:t>0</w:t>
            </w:r>
            <w:r w:rsidRPr="004D0DAA">
              <w:tab/>
              <w:t xml:space="preserve">The broadcast CCN_ACTIVE parameter shall apply if available. Otherwise, CCN is disabled for the mobile station. </w:t>
            </w:r>
            <w:r w:rsidRPr="004D0DAA">
              <w:br/>
              <w:t>1</w:t>
            </w:r>
            <w:r w:rsidRPr="004D0DAA">
              <w:tab/>
              <w:t>CCN is enabled for the mobile station.</w:t>
            </w:r>
          </w:p>
        </w:tc>
      </w:tr>
      <w:tr w:rsidR="00711444" w:rsidRPr="004D0DAA" w14:paraId="06E73EBE" w14:textId="77777777" w:rsidTr="00AA2A4C">
        <w:tblPrEx>
          <w:tblCellMar>
            <w:top w:w="0" w:type="dxa"/>
            <w:bottom w:w="0" w:type="dxa"/>
          </w:tblCellMar>
        </w:tblPrEx>
        <w:trPr>
          <w:cantSplit/>
        </w:trPr>
        <w:tc>
          <w:tcPr>
            <w:tcW w:w="9855" w:type="dxa"/>
            <w:gridSpan w:val="2"/>
          </w:tcPr>
          <w:p w14:paraId="7CD4B316" w14:textId="77777777" w:rsidR="00711444" w:rsidRPr="004D0DAA" w:rsidRDefault="00711444" w:rsidP="00AA2A4C">
            <w:pPr>
              <w:keepNext/>
            </w:pPr>
            <w:r w:rsidRPr="004D0DAA">
              <w:rPr>
                <w:b/>
              </w:rPr>
              <w:t>CONTAINER_ID</w:t>
            </w:r>
            <w:r w:rsidRPr="004D0DAA">
              <w:t xml:space="preserve"> (2 bit field)</w:t>
            </w:r>
            <w:r w:rsidRPr="004D0DAA">
              <w:br/>
              <w:t>This optional parameters is included only if the network has earlier sent neighbour cell system information for the cell addressed by the ARFCN and the BSIC. For detailed element definition see</w:t>
            </w:r>
            <w:r w:rsidRPr="004D0DAA">
              <w:rPr>
                <w:i/>
              </w:rPr>
              <w:t xml:space="preserve"> </w:t>
            </w:r>
            <w:r w:rsidRPr="004D0DAA">
              <w:t>sub-clause 11.2.2.a.</w:t>
            </w:r>
          </w:p>
        </w:tc>
      </w:tr>
      <w:tr w:rsidR="00711444" w:rsidRPr="004D0DAA" w14:paraId="7D1D9CB8" w14:textId="77777777" w:rsidTr="00AA2A4C">
        <w:tblPrEx>
          <w:tblCellMar>
            <w:top w:w="0" w:type="dxa"/>
            <w:bottom w:w="0" w:type="dxa"/>
          </w:tblCellMar>
        </w:tblPrEx>
        <w:trPr>
          <w:cantSplit/>
        </w:trPr>
        <w:tc>
          <w:tcPr>
            <w:tcW w:w="9855" w:type="dxa"/>
            <w:gridSpan w:val="2"/>
          </w:tcPr>
          <w:p w14:paraId="705EBA4A" w14:textId="77777777" w:rsidR="00711444" w:rsidRPr="004D0DAA" w:rsidRDefault="00711444" w:rsidP="00AA2A4C">
            <w:pPr>
              <w:keepNext/>
              <w:rPr>
                <w:b/>
              </w:rPr>
            </w:pPr>
            <w:r w:rsidRPr="004D0DAA">
              <w:t xml:space="preserve">The </w:t>
            </w:r>
            <w:r w:rsidRPr="004D0DAA">
              <w:rPr>
                <w:b/>
              </w:rPr>
              <w:t>NC_Measurement_Parameters struct</w:t>
            </w:r>
            <w:r w:rsidRPr="004D0DAA">
              <w:t xml:space="preserve"> contains the NETWORK_CONTROL_ORDER and the optional parameters NC_NON_DRX_PERIOD, NC_REPORTING_PERIOD_I, NC_REPORTING_PERIOD_T and the NC_FREQUENCY LIST. These parameters shall apply in the target cell (see</w:t>
            </w:r>
            <w:r w:rsidRPr="004D0DAA">
              <w:rPr>
                <w:i/>
              </w:rPr>
              <w:t xml:space="preserve"> </w:t>
            </w:r>
            <w:r w:rsidRPr="004D0DAA">
              <w:t>sub-clause 5.6.1)</w:t>
            </w:r>
          </w:p>
        </w:tc>
      </w:tr>
      <w:tr w:rsidR="00711444" w:rsidRPr="004D0DAA" w14:paraId="155CBB4E" w14:textId="77777777" w:rsidTr="00AA2A4C">
        <w:tblPrEx>
          <w:tblCellMar>
            <w:top w:w="0" w:type="dxa"/>
            <w:bottom w:w="0" w:type="dxa"/>
          </w:tblCellMar>
        </w:tblPrEx>
        <w:trPr>
          <w:cantSplit/>
        </w:trPr>
        <w:tc>
          <w:tcPr>
            <w:tcW w:w="9855" w:type="dxa"/>
            <w:gridSpan w:val="2"/>
          </w:tcPr>
          <w:p w14:paraId="74123826" w14:textId="77777777" w:rsidR="00711444" w:rsidRPr="004D0DAA" w:rsidRDefault="00711444" w:rsidP="00AA2A4C">
            <w:pPr>
              <w:keepLines/>
            </w:pPr>
            <w:r w:rsidRPr="004D0DAA">
              <w:rPr>
                <w:b/>
              </w:rPr>
              <w:t>NETWORK_CONTROL_ORDER</w:t>
            </w:r>
            <w:r w:rsidRPr="004D0DAA">
              <w:t xml:space="preserve"> (2 bit field)</w:t>
            </w:r>
            <w:r w:rsidRPr="004D0DAA">
              <w:br/>
              <w:t>The NETWORK_CONTROL_ORDER field is coded according to the following table (for definition of NCx see 3GPP TS 45.008):</w:t>
            </w:r>
          </w:p>
          <w:p w14:paraId="7A010D00" w14:textId="77777777" w:rsidR="00711444" w:rsidRPr="004D0DAA" w:rsidRDefault="00711444" w:rsidP="00AA2A4C">
            <w:pPr>
              <w:keepLines/>
              <w:rPr>
                <w:b/>
              </w:rPr>
            </w:pPr>
            <w:r w:rsidRPr="004D0DAA">
              <w:t>bit</w:t>
            </w:r>
            <w:r w:rsidRPr="004D0DAA">
              <w:br/>
              <w:t>2 1</w:t>
            </w:r>
            <w:r w:rsidRPr="004D0DAA">
              <w:br/>
              <w:t>0 0</w:t>
            </w:r>
            <w:r w:rsidRPr="004D0DAA">
              <w:tab/>
              <w:t xml:space="preserve">NC0 </w:t>
            </w:r>
            <w:r w:rsidRPr="004D0DAA">
              <w:br/>
              <w:t>0 1</w:t>
            </w:r>
            <w:r w:rsidRPr="004D0DAA">
              <w:tab/>
              <w:t xml:space="preserve">NC1 </w:t>
            </w:r>
            <w:r w:rsidRPr="004D0DAA">
              <w:br/>
              <w:t>1 0</w:t>
            </w:r>
            <w:r w:rsidRPr="004D0DAA">
              <w:tab/>
              <w:t xml:space="preserve">NC2 </w:t>
            </w:r>
            <w:r w:rsidRPr="004D0DAA">
              <w:br/>
              <w:t>1 1</w:t>
            </w:r>
            <w:r w:rsidRPr="004D0DAA">
              <w:tab/>
              <w:t>RESET</w:t>
            </w:r>
          </w:p>
        </w:tc>
      </w:tr>
      <w:tr w:rsidR="00711444" w:rsidRPr="004D0DAA" w14:paraId="51DFCF83" w14:textId="77777777" w:rsidTr="00AA2A4C">
        <w:tblPrEx>
          <w:tblCellMar>
            <w:top w:w="0" w:type="dxa"/>
            <w:bottom w:w="0" w:type="dxa"/>
          </w:tblCellMar>
        </w:tblPrEx>
        <w:trPr>
          <w:cantSplit/>
        </w:trPr>
        <w:tc>
          <w:tcPr>
            <w:tcW w:w="9855" w:type="dxa"/>
            <w:gridSpan w:val="2"/>
          </w:tcPr>
          <w:p w14:paraId="218A4E05" w14:textId="77777777" w:rsidR="00711444" w:rsidRPr="004D0DAA" w:rsidRDefault="00711444" w:rsidP="00AA2A4C">
            <w:pPr>
              <w:keepLines/>
              <w:rPr>
                <w:b/>
              </w:rPr>
            </w:pPr>
            <w:r w:rsidRPr="004D0DAA">
              <w:rPr>
                <w:b/>
              </w:rPr>
              <w:t>NC_NON_DRX_PERIOD</w:t>
            </w:r>
            <w:r w:rsidRPr="004D0DAA">
              <w:t xml:space="preserve"> (3 bit field)</w:t>
            </w:r>
            <w:r w:rsidRPr="004D0DAA">
              <w:br/>
            </w:r>
            <w:r w:rsidRPr="004D0DAA">
              <w:rPr>
                <w:b/>
              </w:rPr>
              <w:t>NC_REPORTING_PERIOD_I</w:t>
            </w:r>
            <w:r w:rsidRPr="004D0DAA">
              <w:t xml:space="preserve"> (3 bit field)</w:t>
            </w:r>
            <w:r w:rsidRPr="004D0DAA">
              <w:br/>
            </w:r>
            <w:r w:rsidRPr="004D0DAA">
              <w:rPr>
                <w:b/>
              </w:rPr>
              <w:t>NC_REPORTING_PERIOD_T</w:t>
            </w:r>
            <w:r w:rsidRPr="004D0DAA">
              <w:t xml:space="preserve"> (3 bit field)</w:t>
            </w:r>
            <w:r w:rsidRPr="004D0DAA">
              <w:br/>
              <w:t>For detailed element definitions see the PSI5 message.</w:t>
            </w:r>
          </w:p>
        </w:tc>
      </w:tr>
      <w:tr w:rsidR="00711444" w:rsidRPr="004D0DAA" w14:paraId="3CEF4CB0" w14:textId="77777777" w:rsidTr="00AA2A4C">
        <w:tblPrEx>
          <w:tblCellMar>
            <w:top w:w="0" w:type="dxa"/>
            <w:bottom w:w="0" w:type="dxa"/>
          </w:tblCellMar>
        </w:tblPrEx>
        <w:trPr>
          <w:cantSplit/>
        </w:trPr>
        <w:tc>
          <w:tcPr>
            <w:tcW w:w="9855" w:type="dxa"/>
            <w:gridSpan w:val="2"/>
          </w:tcPr>
          <w:p w14:paraId="1228A930" w14:textId="77777777" w:rsidR="00711444" w:rsidRPr="004D0DAA" w:rsidRDefault="00711444" w:rsidP="00AA2A4C">
            <w:pPr>
              <w:keepLines/>
              <w:rPr>
                <w:b/>
              </w:rPr>
            </w:pPr>
            <w:r w:rsidRPr="004D0DAA">
              <w:rPr>
                <w:b/>
              </w:rPr>
              <w:t>NR_OF_REMOVED_FREQ</w:t>
            </w:r>
            <w:r w:rsidRPr="004D0DAA">
              <w:t xml:space="preserve"> (5 bit field)</w:t>
            </w:r>
            <w:r w:rsidRPr="004D0DAA">
              <w:br/>
            </w:r>
            <w:r w:rsidRPr="004D0DAA">
              <w:rPr>
                <w:b/>
              </w:rPr>
              <w:t>REMOVED_FREQ_INDEX</w:t>
            </w:r>
            <w:r w:rsidRPr="004D0DAA">
              <w:t xml:space="preserve"> (6 bit field) </w:t>
            </w:r>
            <w:r w:rsidRPr="004D0DAA">
              <w:br/>
            </w:r>
            <w:r w:rsidRPr="004D0DAA">
              <w:rPr>
                <w:b/>
              </w:rPr>
              <w:t>START_FREQUENCY</w:t>
            </w:r>
            <w:r w:rsidRPr="004D0DAA">
              <w:t xml:space="preserve"> (10 bit field)</w:t>
            </w:r>
            <w:r w:rsidRPr="004D0DAA">
              <w:br/>
            </w:r>
            <w:r w:rsidRPr="004D0DAA">
              <w:rPr>
                <w:b/>
              </w:rPr>
              <w:t>BSIC</w:t>
            </w:r>
            <w:r w:rsidRPr="004D0DAA">
              <w:t xml:space="preserve"> (6 bit field)</w:t>
            </w:r>
            <w:r w:rsidRPr="004D0DAA">
              <w:br/>
              <w:t>For detailed element definitions, see the Packet Measurement Order message</w:t>
            </w:r>
          </w:p>
        </w:tc>
      </w:tr>
      <w:tr w:rsidR="00711444" w:rsidRPr="004D0DAA" w14:paraId="7F0AA58D" w14:textId="77777777" w:rsidTr="00AA2A4C">
        <w:tblPrEx>
          <w:tblCellMar>
            <w:top w:w="0" w:type="dxa"/>
            <w:bottom w:w="0" w:type="dxa"/>
          </w:tblCellMar>
        </w:tblPrEx>
        <w:trPr>
          <w:cantSplit/>
        </w:trPr>
        <w:tc>
          <w:tcPr>
            <w:tcW w:w="9855" w:type="dxa"/>
            <w:gridSpan w:val="2"/>
          </w:tcPr>
          <w:p w14:paraId="435DC2E5" w14:textId="77777777" w:rsidR="00711444" w:rsidRPr="004D0DAA" w:rsidRDefault="00711444" w:rsidP="00AA2A4C">
            <w:pPr>
              <w:keepNext/>
              <w:rPr>
                <w:b/>
              </w:rPr>
            </w:pPr>
            <w:r w:rsidRPr="004D0DAA">
              <w:rPr>
                <w:b/>
              </w:rPr>
              <w:t>FREQ_DIFF_LENGTH</w:t>
            </w:r>
            <w:r w:rsidRPr="004D0DAA">
              <w:t xml:space="preserve"> (3 bit field)</w:t>
            </w:r>
            <w:r w:rsidRPr="004D0DAA">
              <w:br/>
              <w:t>This field is required to calculate the number of bits to be used for the FREQUENCY_DIFF field in the current frequency group. The FREQ_DIFF_LENGTH value shall be different to 0.</w:t>
            </w:r>
          </w:p>
        </w:tc>
      </w:tr>
      <w:tr w:rsidR="00711444" w:rsidRPr="004D0DAA" w14:paraId="3DEBED77" w14:textId="77777777" w:rsidTr="00AA2A4C">
        <w:tblPrEx>
          <w:tblCellMar>
            <w:top w:w="0" w:type="dxa"/>
            <w:bottom w:w="0" w:type="dxa"/>
          </w:tblCellMar>
        </w:tblPrEx>
        <w:trPr>
          <w:cantSplit/>
        </w:trPr>
        <w:tc>
          <w:tcPr>
            <w:tcW w:w="9855" w:type="dxa"/>
            <w:gridSpan w:val="2"/>
          </w:tcPr>
          <w:p w14:paraId="567E14AC" w14:textId="77777777" w:rsidR="00711444" w:rsidRPr="004D0DAA" w:rsidRDefault="00711444" w:rsidP="00AA2A4C">
            <w:pPr>
              <w:keepNext/>
              <w:rPr>
                <w:b/>
              </w:rPr>
            </w:pPr>
            <w:r w:rsidRPr="004D0DAA">
              <w:rPr>
                <w:b/>
              </w:rPr>
              <w:t>FREQUENCY_DIFF</w:t>
            </w:r>
            <w:r w:rsidRPr="004D0DAA">
              <w:t xml:space="preserve"> (val(FREQ_DIFF_LENGTH) bit field)</w:t>
            </w:r>
            <w:r w:rsidRPr="004D0DAA">
              <w:br/>
              <w:t>Each FREQUENCY_DIFF parameter field specifies the difference in frequency to the next carrier to be defined. The F REQUENCY_DIFF parameter encodes a non negative integer in binary format (W). Each frequency following the start frequency (ARFCN(0)) and belonging to the Frequency List struct is then calculated by the formula ARFCN(n) = (ARFCN(n-1) + W(n) ) modulus 1024, n=1, . . ., val(NR_OF_FREQUENCIES).</w:t>
            </w:r>
          </w:p>
        </w:tc>
      </w:tr>
      <w:tr w:rsidR="00711444" w:rsidRPr="004D0DAA" w14:paraId="22178FB4" w14:textId="77777777" w:rsidTr="00AA2A4C">
        <w:tblPrEx>
          <w:tblCellMar>
            <w:top w:w="0" w:type="dxa"/>
            <w:bottom w:w="0" w:type="dxa"/>
          </w:tblCellMar>
        </w:tblPrEx>
        <w:trPr>
          <w:cantSplit/>
        </w:trPr>
        <w:tc>
          <w:tcPr>
            <w:tcW w:w="9855" w:type="dxa"/>
            <w:gridSpan w:val="2"/>
          </w:tcPr>
          <w:p w14:paraId="1F01C60C" w14:textId="77777777" w:rsidR="00711444" w:rsidRPr="004D0DAA" w:rsidRDefault="00711444" w:rsidP="00AA2A4C">
            <w:pPr>
              <w:rPr>
                <w:iCs/>
              </w:rPr>
            </w:pPr>
            <w:r w:rsidRPr="004D0DAA">
              <w:rPr>
                <w:b/>
                <w:bCs/>
              </w:rPr>
              <w:t>LSA Parameters</w:t>
            </w:r>
            <w:r w:rsidRPr="004D0DAA">
              <w:rPr>
                <w:b/>
                <w:bCs/>
              </w:rPr>
              <w:br/>
            </w:r>
            <w:r w:rsidRPr="004D0DAA">
              <w:t>This information element is defined in</w:t>
            </w:r>
            <w:r w:rsidRPr="004D0DAA">
              <w:rPr>
                <w:i/>
              </w:rPr>
              <w:t xml:space="preserve"> </w:t>
            </w:r>
            <w:r w:rsidRPr="004D0DAA">
              <w:t>sub-clause 12.28. The 'LSA parameters IE' is optional. For detailed element definition, see the PSI3 message.</w:t>
            </w:r>
          </w:p>
        </w:tc>
      </w:tr>
      <w:tr w:rsidR="00711444" w:rsidRPr="004D0DAA" w14:paraId="30912C82" w14:textId="77777777" w:rsidTr="00AA2A4C">
        <w:tblPrEx>
          <w:tblCellMar>
            <w:top w:w="0" w:type="dxa"/>
            <w:bottom w:w="0" w:type="dxa"/>
          </w:tblCellMar>
        </w:tblPrEx>
        <w:trPr>
          <w:cantSplit/>
        </w:trPr>
        <w:tc>
          <w:tcPr>
            <w:tcW w:w="9855" w:type="dxa"/>
            <w:gridSpan w:val="2"/>
          </w:tcPr>
          <w:p w14:paraId="7CF0C1F5" w14:textId="77777777" w:rsidR="00711444" w:rsidRPr="004D0DAA" w:rsidRDefault="00711444" w:rsidP="00AA2A4C">
            <w:pPr>
              <w:keepLines/>
              <w:rPr>
                <w:b/>
                <w:i/>
              </w:rPr>
            </w:pPr>
            <w:r w:rsidRPr="004D0DAA">
              <w:rPr>
                <w:b/>
                <w:i/>
              </w:rPr>
              <w:t>ENH Measurement Parameters:</w:t>
            </w:r>
          </w:p>
          <w:p w14:paraId="3B4DBE7A" w14:textId="77777777" w:rsidR="00711444" w:rsidRPr="004D0DAA" w:rsidRDefault="00711444" w:rsidP="00AA2A4C">
            <w:pPr>
              <w:keepNext/>
              <w:rPr>
                <w:b/>
              </w:rPr>
            </w:pPr>
            <w:r w:rsidRPr="004D0DAA">
              <w:t xml:space="preserve">For detailed element definitions see the Packet Measurement Order message </w:t>
            </w:r>
            <w:r w:rsidRPr="004D0DAA">
              <w:br/>
              <w:t>(except that CDMA2000 Description struct does not exist in this message).</w:t>
            </w:r>
          </w:p>
        </w:tc>
      </w:tr>
      <w:tr w:rsidR="00711444" w:rsidRPr="004D0DAA" w14:paraId="75783829" w14:textId="77777777" w:rsidTr="00AA2A4C">
        <w:tblPrEx>
          <w:tblCellMar>
            <w:top w:w="0" w:type="dxa"/>
            <w:bottom w:w="0" w:type="dxa"/>
          </w:tblCellMar>
        </w:tblPrEx>
        <w:trPr>
          <w:cantSplit/>
        </w:trPr>
        <w:tc>
          <w:tcPr>
            <w:tcW w:w="9855" w:type="dxa"/>
            <w:gridSpan w:val="2"/>
          </w:tcPr>
          <w:p w14:paraId="4C653711" w14:textId="77777777" w:rsidR="00711444" w:rsidRPr="004D0DAA" w:rsidRDefault="00711444" w:rsidP="00AA2A4C">
            <w:pPr>
              <w:keepLines/>
            </w:pPr>
            <w:r w:rsidRPr="004D0DAA">
              <w:rPr>
                <w:b/>
              </w:rPr>
              <w:t>UTRAN FDD Target cell</w:t>
            </w:r>
          </w:p>
          <w:p w14:paraId="61FE57B9" w14:textId="77777777" w:rsidR="00711444" w:rsidRPr="004D0DAA" w:rsidRDefault="00711444" w:rsidP="00AA2A4C">
            <w:pPr>
              <w:keepLines/>
              <w:rPr>
                <w:b/>
              </w:rPr>
            </w:pPr>
            <w:r w:rsidRPr="004D0DAA">
              <w:t>This information element contains the description of the UTRAN FDD Target cell. This information element is defined in</w:t>
            </w:r>
            <w:r w:rsidRPr="004D0DAA">
              <w:rPr>
                <w:i/>
              </w:rPr>
              <w:t xml:space="preserve"> </w:t>
            </w:r>
            <w:r w:rsidRPr="004D0DAA">
              <w:t xml:space="preserve">sub-clause 12.31. </w:t>
            </w:r>
          </w:p>
        </w:tc>
      </w:tr>
      <w:tr w:rsidR="00711444" w:rsidRPr="004D0DAA" w14:paraId="46A4AD14" w14:textId="77777777" w:rsidTr="00AA2A4C">
        <w:tblPrEx>
          <w:tblCellMar>
            <w:top w:w="0" w:type="dxa"/>
            <w:bottom w:w="0" w:type="dxa"/>
          </w:tblCellMar>
        </w:tblPrEx>
        <w:trPr>
          <w:cantSplit/>
        </w:trPr>
        <w:tc>
          <w:tcPr>
            <w:tcW w:w="9855" w:type="dxa"/>
            <w:gridSpan w:val="2"/>
          </w:tcPr>
          <w:p w14:paraId="200F6293" w14:textId="77777777" w:rsidR="00711444" w:rsidRPr="004D0DAA" w:rsidRDefault="00711444" w:rsidP="00AA2A4C">
            <w:pPr>
              <w:keepLines/>
            </w:pPr>
            <w:r w:rsidRPr="004D0DAA">
              <w:rPr>
                <w:b/>
              </w:rPr>
              <w:lastRenderedPageBreak/>
              <w:t>UTRAN TDD Target cell</w:t>
            </w:r>
          </w:p>
          <w:p w14:paraId="0945679D" w14:textId="77777777" w:rsidR="00711444" w:rsidRPr="004D0DAA" w:rsidRDefault="00711444" w:rsidP="00AA2A4C">
            <w:pPr>
              <w:keepLines/>
            </w:pPr>
            <w:r w:rsidRPr="004D0DAA">
              <w:t>This information element contains the description of the UTRAN TDD Target cell. This information element is defined in</w:t>
            </w:r>
            <w:r w:rsidRPr="004D0DAA">
              <w:rPr>
                <w:i/>
              </w:rPr>
              <w:t xml:space="preserve"> </w:t>
            </w:r>
            <w:r w:rsidRPr="004D0DAA">
              <w:t xml:space="preserve">sub-clause 12.32. </w:t>
            </w:r>
          </w:p>
        </w:tc>
      </w:tr>
      <w:tr w:rsidR="00711444" w:rsidRPr="004D0DAA" w14:paraId="34C773A4" w14:textId="77777777" w:rsidTr="00AA2A4C">
        <w:tblPrEx>
          <w:tblCellMar>
            <w:top w:w="0" w:type="dxa"/>
            <w:bottom w:w="0" w:type="dxa"/>
          </w:tblCellMar>
        </w:tblPrEx>
        <w:trPr>
          <w:cantSplit/>
        </w:trPr>
        <w:tc>
          <w:tcPr>
            <w:tcW w:w="9855" w:type="dxa"/>
            <w:gridSpan w:val="2"/>
          </w:tcPr>
          <w:p w14:paraId="3690B733" w14:textId="77777777" w:rsidR="00711444" w:rsidRPr="004D0DAA" w:rsidRDefault="00711444" w:rsidP="00AA2A4C">
            <w:pPr>
              <w:keepLines/>
              <w:rPr>
                <w:lang w:eastAsia="en-GB"/>
              </w:rPr>
            </w:pPr>
            <w:r w:rsidRPr="004D0DAA">
              <w:rPr>
                <w:b/>
                <w:lang w:eastAsia="en-GB"/>
              </w:rPr>
              <w:t>E-UTRAN Target cell</w:t>
            </w:r>
          </w:p>
          <w:p w14:paraId="68D0FEAF" w14:textId="77777777" w:rsidR="00711444" w:rsidRPr="004D0DAA" w:rsidRDefault="00711444" w:rsidP="00AA2A4C">
            <w:pPr>
              <w:keepLines/>
              <w:rPr>
                <w:b/>
              </w:rPr>
            </w:pPr>
            <w:r w:rsidRPr="004D0DAA">
              <w:rPr>
                <w:lang w:eastAsia="en-GB"/>
              </w:rPr>
              <w:t>This information element contains the description of the E-UTRAN Target cell. This information element is defined in</w:t>
            </w:r>
            <w:r w:rsidRPr="004D0DAA">
              <w:rPr>
                <w:i/>
                <w:lang w:eastAsia="en-GB"/>
              </w:rPr>
              <w:t xml:space="preserve"> </w:t>
            </w:r>
            <w:r w:rsidRPr="004D0DAA">
              <w:rPr>
                <w:lang w:eastAsia="en-GB"/>
              </w:rPr>
              <w:t xml:space="preserve">sub-clause 12.49. If the conditions for sending the </w:t>
            </w:r>
            <w:r w:rsidRPr="004D0DAA">
              <w:rPr>
                <w:i/>
                <w:lang w:eastAsia="en-GB"/>
              </w:rPr>
              <w:t>E-UTRAN Target cell with extended EARFCN</w:t>
            </w:r>
            <w:r w:rsidRPr="004D0DAA">
              <w:rPr>
                <w:lang w:eastAsia="en-GB"/>
              </w:rPr>
              <w:t xml:space="preserve"> information element are met (see definition of </w:t>
            </w:r>
            <w:r w:rsidRPr="004D0DAA">
              <w:rPr>
                <w:i/>
                <w:lang w:eastAsia="en-GB"/>
              </w:rPr>
              <w:t>E-UTRAN Target cell with extended EARFCN</w:t>
            </w:r>
            <w:r w:rsidRPr="004D0DAA">
              <w:rPr>
                <w:lang w:eastAsia="en-GB"/>
              </w:rPr>
              <w:t xml:space="preserve"> IE below) then this information element shall not be included.</w:t>
            </w:r>
          </w:p>
        </w:tc>
      </w:tr>
      <w:tr w:rsidR="00711444" w:rsidRPr="004D0DAA" w14:paraId="7FB7C8D4" w14:textId="77777777" w:rsidTr="00AA2A4C">
        <w:tblPrEx>
          <w:tblCellMar>
            <w:top w:w="0" w:type="dxa"/>
            <w:bottom w:w="0" w:type="dxa"/>
          </w:tblCellMar>
        </w:tblPrEx>
        <w:trPr>
          <w:cantSplit/>
        </w:trPr>
        <w:tc>
          <w:tcPr>
            <w:tcW w:w="9855" w:type="dxa"/>
            <w:gridSpan w:val="2"/>
          </w:tcPr>
          <w:p w14:paraId="62AC1BEA" w14:textId="77777777" w:rsidR="00711444" w:rsidRPr="004D0DAA" w:rsidRDefault="00711444" w:rsidP="00AA2A4C">
            <w:pPr>
              <w:keepLines/>
              <w:rPr>
                <w:b/>
              </w:rPr>
            </w:pPr>
            <w:r w:rsidRPr="004D0DAA">
              <w:rPr>
                <w:b/>
              </w:rPr>
              <w:t xml:space="preserve">GPRS </w:t>
            </w:r>
            <w:r w:rsidRPr="004D0DAA">
              <w:rPr>
                <w:b/>
                <w:i/>
              </w:rPr>
              <w:t>MEASUREMENT PARAMETERS Description</w:t>
            </w:r>
            <w:r w:rsidRPr="004D0DAA">
              <w:rPr>
                <w:b/>
              </w:rPr>
              <w:br/>
            </w:r>
            <w:r w:rsidRPr="004D0DAA">
              <w:t>The fields of this Description are used for measurements, as defined in 3GPP TS 45.008.</w:t>
            </w:r>
            <w:r w:rsidRPr="004D0DAA">
              <w:br/>
              <w:t>Any parameter present overwrites any old data held by the mobile station for this parameter.</w:t>
            </w:r>
          </w:p>
        </w:tc>
      </w:tr>
      <w:tr w:rsidR="00711444" w:rsidRPr="004D0DAA" w14:paraId="4E346789" w14:textId="77777777" w:rsidTr="00AA2A4C">
        <w:tblPrEx>
          <w:tblCellMar>
            <w:top w:w="0" w:type="dxa"/>
            <w:bottom w:w="0" w:type="dxa"/>
          </w:tblCellMar>
        </w:tblPrEx>
        <w:trPr>
          <w:cantSplit/>
        </w:trPr>
        <w:tc>
          <w:tcPr>
            <w:tcW w:w="9855" w:type="dxa"/>
            <w:gridSpan w:val="2"/>
          </w:tcPr>
          <w:p w14:paraId="48A071A3" w14:textId="77777777" w:rsidR="00711444" w:rsidRPr="004D0DAA" w:rsidRDefault="00711444" w:rsidP="00AA2A4C">
            <w:pPr>
              <w:keepLines/>
              <w:rPr>
                <w:b/>
              </w:rPr>
            </w:pPr>
            <w:r w:rsidRPr="004D0DAA">
              <w:rPr>
                <w:b/>
              </w:rPr>
              <w:t xml:space="preserve">GPRS 3G </w:t>
            </w:r>
            <w:r w:rsidRPr="004D0DAA">
              <w:rPr>
                <w:b/>
                <w:i/>
              </w:rPr>
              <w:t>MEASUREMENT PARAMETERS Description</w:t>
            </w:r>
            <w:r w:rsidRPr="004D0DAA">
              <w:rPr>
                <w:b/>
              </w:rPr>
              <w:br/>
            </w:r>
            <w:r w:rsidRPr="004D0DAA">
              <w:t>The fields of this Description are used for measurements, as defined in 3GPP TS 45.008.</w:t>
            </w:r>
            <w:r w:rsidRPr="004D0DAA">
              <w:br/>
              <w:t>Any parameter present overwrites any old data held by the mobile station for this parameter.</w:t>
            </w:r>
          </w:p>
        </w:tc>
      </w:tr>
      <w:tr w:rsidR="00711444" w:rsidRPr="004D0DAA" w14:paraId="07E94499" w14:textId="77777777" w:rsidTr="00AA2A4C">
        <w:tblPrEx>
          <w:tblCellMar>
            <w:top w:w="0" w:type="dxa"/>
            <w:bottom w:w="0" w:type="dxa"/>
          </w:tblCellMar>
        </w:tblPrEx>
        <w:trPr>
          <w:cantSplit/>
        </w:trPr>
        <w:tc>
          <w:tcPr>
            <w:tcW w:w="9855" w:type="dxa"/>
            <w:gridSpan w:val="2"/>
          </w:tcPr>
          <w:p w14:paraId="4B74CD22" w14:textId="77777777" w:rsidR="00711444" w:rsidRPr="004D0DAA" w:rsidRDefault="00711444" w:rsidP="00AA2A4C">
            <w:pPr>
              <w:rPr>
                <w:b/>
                <w:i/>
              </w:rPr>
            </w:pPr>
            <w:r w:rsidRPr="004D0DAA">
              <w:rPr>
                <w:b/>
                <w:i/>
              </w:rPr>
              <w:t>GPRS REP PRIORITY Description</w:t>
            </w:r>
          </w:p>
          <w:p w14:paraId="5AEE6D70" w14:textId="77777777" w:rsidR="00711444" w:rsidRPr="004D0DAA" w:rsidRDefault="00711444" w:rsidP="00AA2A4C">
            <w:r w:rsidRPr="004D0DAA">
              <w:rPr>
                <w:b/>
              </w:rPr>
              <w:t>REP_PRIORITY bit:</w:t>
            </w:r>
            <w:r w:rsidRPr="004D0DAA">
              <w:br/>
            </w:r>
            <w:r w:rsidRPr="004D0DAA">
              <w:rPr>
                <w:b/>
              </w:rPr>
              <w:t>0</w:t>
            </w:r>
            <w:r w:rsidRPr="004D0DAA">
              <w:rPr>
                <w:b/>
              </w:rPr>
              <w:tab/>
            </w:r>
            <w:r w:rsidRPr="004D0DAA">
              <w:t>Normal reporting priority</w:t>
            </w:r>
            <w:r w:rsidRPr="004D0DAA">
              <w:br/>
            </w:r>
            <w:r w:rsidRPr="004D0DAA">
              <w:rPr>
                <w:b/>
              </w:rPr>
              <w:t>1</w:t>
            </w:r>
            <w:r w:rsidRPr="004D0DAA">
              <w:rPr>
                <w:b/>
              </w:rPr>
              <w:tab/>
            </w:r>
            <w:r w:rsidRPr="004D0DAA">
              <w:t>High reporting priority</w:t>
            </w:r>
            <w:r w:rsidRPr="004D0DAA">
              <w:br/>
              <w:t>The use of these bits is defined in</w:t>
            </w:r>
            <w:r w:rsidRPr="004D0DAA">
              <w:rPr>
                <w:i/>
              </w:rPr>
              <w:t xml:space="preserve"> </w:t>
            </w:r>
            <w:r w:rsidRPr="004D0DAA">
              <w:t>sub-clause 5.6.3.5 and 3GPP TS 45.008.</w:t>
            </w:r>
          </w:p>
        </w:tc>
      </w:tr>
      <w:tr w:rsidR="00711444" w:rsidRPr="004D0DAA" w14:paraId="68E801A3" w14:textId="77777777" w:rsidTr="00AA2A4C">
        <w:tblPrEx>
          <w:tblCellMar>
            <w:top w:w="0" w:type="dxa"/>
            <w:bottom w:w="0" w:type="dxa"/>
          </w:tblCellMar>
        </w:tblPrEx>
        <w:trPr>
          <w:cantSplit/>
        </w:trPr>
        <w:tc>
          <w:tcPr>
            <w:tcW w:w="9855" w:type="dxa"/>
            <w:gridSpan w:val="2"/>
          </w:tcPr>
          <w:p w14:paraId="1AF94C12" w14:textId="77777777" w:rsidR="00711444" w:rsidRPr="004D0DAA" w:rsidRDefault="00711444" w:rsidP="00AA2A4C">
            <w:pPr>
              <w:rPr>
                <w:b/>
              </w:rPr>
            </w:pPr>
            <w:r w:rsidRPr="004D0DAA">
              <w:rPr>
                <w:b/>
                <w:i/>
              </w:rPr>
              <w:t>CCN Support Description</w:t>
            </w:r>
            <w:r w:rsidRPr="004D0DAA">
              <w:rPr>
                <w:b/>
              </w:rPr>
              <w:t xml:space="preserve"> </w:t>
            </w:r>
            <w:r w:rsidRPr="004D0DAA">
              <w:br/>
            </w:r>
            <w:r w:rsidRPr="004D0DAA">
              <w:br/>
            </w:r>
            <w:r w:rsidRPr="004D0DAA">
              <w:rPr>
                <w:b/>
              </w:rPr>
              <w:t>CCN_SUPPORTED</w:t>
            </w:r>
            <w:r w:rsidRPr="004D0DAA">
              <w:t xml:space="preserve"> (1 bit field) </w:t>
            </w:r>
            <w:r w:rsidRPr="004D0DAA">
              <w:br/>
              <w:t>This parameter is used for determining whether the mobile station shall enter CCN mode when re-selecting a GSM cell and CCN is enabled. The use of these bits is described in</w:t>
            </w:r>
            <w:r w:rsidRPr="004D0DAA">
              <w:rPr>
                <w:i/>
              </w:rPr>
              <w:t xml:space="preserve"> </w:t>
            </w:r>
            <w:r w:rsidRPr="004D0DAA">
              <w:t>sub-clause8.8.2a:</w:t>
            </w:r>
            <w:r w:rsidRPr="004D0DAA">
              <w:br/>
              <w:t>Bit</w:t>
            </w:r>
            <w:r w:rsidRPr="004D0DAA">
              <w:br/>
            </w:r>
            <w:r w:rsidRPr="004D0DAA">
              <w:rPr>
                <w:b/>
              </w:rPr>
              <w:t>0</w:t>
            </w:r>
            <w:r w:rsidRPr="004D0DAA">
              <w:tab/>
              <w:t>CCN is enabled towards the corresponding cell</w:t>
            </w:r>
            <w:r w:rsidRPr="004D0DAA">
              <w:br/>
            </w:r>
            <w:r w:rsidRPr="004D0DAA">
              <w:rPr>
                <w:b/>
              </w:rPr>
              <w:t>1</w:t>
            </w:r>
            <w:r w:rsidRPr="004D0DAA">
              <w:tab/>
              <w:t>CCN is disabled towards the corresponding cell</w:t>
            </w:r>
          </w:p>
        </w:tc>
      </w:tr>
      <w:tr w:rsidR="00711444" w:rsidRPr="004D0DAA" w14:paraId="6D16D4A9" w14:textId="77777777" w:rsidTr="00AA2A4C">
        <w:tblPrEx>
          <w:tblCellMar>
            <w:top w:w="0" w:type="dxa"/>
            <w:bottom w:w="0" w:type="dxa"/>
          </w:tblCellMar>
        </w:tblPrEx>
        <w:trPr>
          <w:cantSplit/>
        </w:trPr>
        <w:tc>
          <w:tcPr>
            <w:tcW w:w="9855" w:type="dxa"/>
            <w:gridSpan w:val="2"/>
          </w:tcPr>
          <w:p w14:paraId="2793C5C6" w14:textId="77777777" w:rsidR="00711444" w:rsidRPr="004D0DAA" w:rsidRDefault="00711444" w:rsidP="00AA2A4C">
            <w:pPr>
              <w:spacing w:after="60"/>
            </w:pPr>
            <w:r w:rsidRPr="004D0DAA">
              <w:rPr>
                <w:b/>
                <w:bCs/>
              </w:rPr>
              <w:t xml:space="preserve">G-RNTI extension </w:t>
            </w:r>
            <w:r w:rsidRPr="004D0DAA">
              <w:t>(4 bit field)</w:t>
            </w:r>
          </w:p>
          <w:p w14:paraId="6B17048F" w14:textId="77777777" w:rsidR="00711444" w:rsidRPr="004D0DAA" w:rsidRDefault="00711444" w:rsidP="00AA2A4C">
            <w:pPr>
              <w:rPr>
                <w:b/>
                <w:i/>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r w:rsidR="00711444" w:rsidRPr="004D0DAA" w14:paraId="2F1403A0" w14:textId="77777777" w:rsidTr="00AA2A4C">
        <w:tblPrEx>
          <w:tblCellMar>
            <w:top w:w="0" w:type="dxa"/>
            <w:bottom w:w="0" w:type="dxa"/>
          </w:tblCellMar>
        </w:tblPrEx>
        <w:trPr>
          <w:cantSplit/>
        </w:trPr>
        <w:tc>
          <w:tcPr>
            <w:tcW w:w="9855" w:type="dxa"/>
            <w:gridSpan w:val="2"/>
          </w:tcPr>
          <w:p w14:paraId="1FE95B32" w14:textId="77777777" w:rsidR="00711444" w:rsidRPr="004D0DAA" w:rsidRDefault="00711444" w:rsidP="00AA2A4C">
            <w:pPr>
              <w:rPr>
                <w:i/>
              </w:rPr>
            </w:pPr>
            <w:r w:rsidRPr="004D0DAA">
              <w:rPr>
                <w:b/>
                <w:bCs/>
                <w:i/>
                <w:iCs/>
              </w:rPr>
              <w:t>Iu Mode Neighbour Cell Parameters</w:t>
            </w:r>
          </w:p>
          <w:p w14:paraId="565C541F" w14:textId="77777777" w:rsidR="00711444" w:rsidRPr="004D0DAA" w:rsidRDefault="00711444" w:rsidP="00AA2A4C">
            <w:pPr>
              <w:spacing w:after="60"/>
              <w:rPr>
                <w:b/>
                <w:bCs/>
              </w:rPr>
            </w:pPr>
            <w:r w:rsidRPr="004D0DAA">
              <w:t xml:space="preserve">The </w:t>
            </w:r>
            <w:r w:rsidRPr="004D0DAA">
              <w:rPr>
                <w:i/>
                <w:iCs/>
              </w:rPr>
              <w:t>Iu mode Neighbour Cell Parameters</w:t>
            </w:r>
            <w:r w:rsidRPr="004D0DAA">
              <w:t xml:space="preserve"> shall only be included when the </w:t>
            </w:r>
            <w:r w:rsidRPr="004D0DAA">
              <w:rPr>
                <w:i/>
                <w:iCs/>
              </w:rPr>
              <w:t>List of added Frequency struct</w:t>
            </w:r>
            <w:r w:rsidRPr="004D0DAA">
              <w:t xml:space="preserve"> is present.</w:t>
            </w:r>
          </w:p>
        </w:tc>
      </w:tr>
      <w:tr w:rsidR="00711444" w:rsidRPr="004D0DAA" w14:paraId="4181CC87" w14:textId="77777777" w:rsidTr="00AA2A4C">
        <w:tblPrEx>
          <w:tblCellMar>
            <w:top w:w="0" w:type="dxa"/>
            <w:bottom w:w="0" w:type="dxa"/>
          </w:tblCellMar>
        </w:tblPrEx>
        <w:trPr>
          <w:cantSplit/>
        </w:trPr>
        <w:tc>
          <w:tcPr>
            <w:tcW w:w="9855" w:type="dxa"/>
            <w:gridSpan w:val="2"/>
          </w:tcPr>
          <w:p w14:paraId="2DDBED37" w14:textId="77777777" w:rsidR="00711444" w:rsidRPr="004D0DAA" w:rsidRDefault="00711444" w:rsidP="00AA2A4C">
            <w:pPr>
              <w:rPr>
                <w:i/>
                <w:iCs/>
              </w:rPr>
            </w:pPr>
            <w:r w:rsidRPr="004D0DAA">
              <w:rPr>
                <w:b/>
                <w:bCs/>
                <w:i/>
                <w:iCs/>
              </w:rPr>
              <w:t>Iu Mode Neighbour Cell Params Struct</w:t>
            </w:r>
          </w:p>
          <w:p w14:paraId="69281385" w14:textId="77777777" w:rsidR="00711444" w:rsidRPr="004D0DAA" w:rsidRDefault="00711444" w:rsidP="00AA2A4C">
            <w:pPr>
              <w:spacing w:after="60"/>
              <w:rPr>
                <w:b/>
                <w:bCs/>
              </w:rPr>
            </w:pPr>
            <w:r w:rsidRPr="004D0DAA">
              <w:t xml:space="preserve">This struct presents supplementary information for </w:t>
            </w:r>
            <w:r w:rsidRPr="004D0DAA">
              <w:rPr>
                <w:i/>
                <w:iCs/>
              </w:rPr>
              <w:t>Iu mode</w:t>
            </w:r>
            <w:r w:rsidRPr="004D0DAA">
              <w:t xml:space="preserve"> capable cells. The struct assigns </w:t>
            </w:r>
            <w:r w:rsidRPr="004D0DAA">
              <w:rPr>
                <w:i/>
                <w:iCs/>
              </w:rPr>
              <w:t>Iu mode</w:t>
            </w:r>
            <w:r w:rsidRPr="004D0DAA">
              <w:t xml:space="preserve"> parameter values to the neighbouring cells defined by the message. The </w:t>
            </w:r>
            <w:r w:rsidRPr="004D0DAA">
              <w:rPr>
                <w:i/>
                <w:iCs/>
              </w:rPr>
              <w:t>Iu mode Neighbour Cell params struct</w:t>
            </w:r>
            <w:r w:rsidRPr="004D0DAA">
              <w:t xml:space="preserve"> values are assigned to the neighbouring cells in the same order they appear in the </w:t>
            </w:r>
            <w:r w:rsidRPr="004D0DAA">
              <w:rPr>
                <w:i/>
                <w:iCs/>
              </w:rPr>
              <w:t>List of added Frequency struct</w:t>
            </w:r>
            <w:r w:rsidRPr="004D0DAA">
              <w:t>.</w:t>
            </w:r>
          </w:p>
        </w:tc>
      </w:tr>
      <w:tr w:rsidR="00711444" w:rsidRPr="004D0DAA" w14:paraId="395FB6DE" w14:textId="77777777" w:rsidTr="00AA2A4C">
        <w:tblPrEx>
          <w:tblCellMar>
            <w:top w:w="0" w:type="dxa"/>
            <w:bottom w:w="0" w:type="dxa"/>
          </w:tblCellMar>
        </w:tblPrEx>
        <w:trPr>
          <w:cantSplit/>
        </w:trPr>
        <w:tc>
          <w:tcPr>
            <w:tcW w:w="9855" w:type="dxa"/>
            <w:gridSpan w:val="2"/>
          </w:tcPr>
          <w:p w14:paraId="2B903082" w14:textId="77777777" w:rsidR="00711444" w:rsidRPr="004D0DAA" w:rsidRDefault="00711444" w:rsidP="00AA2A4C">
            <w:pPr>
              <w:spacing w:after="60"/>
              <w:rPr>
                <w:b/>
                <w:bCs/>
                <w:i/>
                <w:iCs/>
              </w:rPr>
            </w:pPr>
            <w:r w:rsidRPr="004D0DAA">
              <w:rPr>
                <w:b/>
                <w:bCs/>
                <w:i/>
                <w:iCs/>
              </w:rPr>
              <w:t>NC Iu Mode Only Capable Cell List Parameters</w:t>
            </w:r>
          </w:p>
          <w:p w14:paraId="55A1C06B" w14:textId="77777777" w:rsidR="00711444" w:rsidRPr="004D0DAA" w:rsidRDefault="00711444" w:rsidP="00AA2A4C">
            <w:pPr>
              <w:spacing w:after="60"/>
              <w:rPr>
                <w:b/>
                <w:bCs/>
              </w:rPr>
            </w:pPr>
            <w:r w:rsidRPr="004D0DAA">
              <w:t>These parameters are used to add Iu mode only capable cells to BA(GPRS) list.</w:t>
            </w:r>
          </w:p>
        </w:tc>
      </w:tr>
      <w:tr w:rsidR="00711444" w:rsidRPr="004D0DAA" w14:paraId="475BDFB3" w14:textId="77777777" w:rsidTr="00AA2A4C">
        <w:tblPrEx>
          <w:tblCellMar>
            <w:top w:w="0" w:type="dxa"/>
            <w:bottom w:w="0" w:type="dxa"/>
          </w:tblCellMar>
        </w:tblPrEx>
        <w:trPr>
          <w:cantSplit/>
        </w:trPr>
        <w:tc>
          <w:tcPr>
            <w:tcW w:w="9855" w:type="dxa"/>
            <w:gridSpan w:val="2"/>
          </w:tcPr>
          <w:p w14:paraId="27F72F01" w14:textId="77777777" w:rsidR="00711444" w:rsidRPr="004D0DAA" w:rsidRDefault="00711444" w:rsidP="00AA2A4C">
            <w:pPr>
              <w:rPr>
                <w:bCs/>
              </w:rPr>
            </w:pPr>
            <w:r w:rsidRPr="004D0DAA">
              <w:rPr>
                <w:b/>
                <w:bCs/>
              </w:rPr>
              <w:t>CELL BAR QUALIFY 3</w:t>
            </w:r>
            <w:r w:rsidRPr="004D0DAA">
              <w:t xml:space="preserve"> </w:t>
            </w:r>
            <w:r w:rsidRPr="004D0DAA">
              <w:rPr>
                <w:bCs/>
              </w:rPr>
              <w:t>(2 bit field)</w:t>
            </w:r>
          </w:p>
          <w:p w14:paraId="50D2F05C" w14:textId="77777777" w:rsidR="00711444" w:rsidRPr="004D0DAA" w:rsidRDefault="00711444" w:rsidP="00AA2A4C">
            <w:pPr>
              <w:spacing w:after="60"/>
              <w:rPr>
                <w:b/>
                <w:bCs/>
              </w:rPr>
            </w:pPr>
            <w:r w:rsidRPr="004D0DAA">
              <w:t>This information element is defined in 3GPP TS 44.018.</w:t>
            </w:r>
          </w:p>
        </w:tc>
      </w:tr>
      <w:tr w:rsidR="00711444" w:rsidRPr="004D0DAA" w14:paraId="5FB9B591" w14:textId="77777777" w:rsidTr="00AA2A4C">
        <w:tblPrEx>
          <w:tblCellMar>
            <w:top w:w="0" w:type="dxa"/>
            <w:bottom w:w="0" w:type="dxa"/>
          </w:tblCellMar>
        </w:tblPrEx>
        <w:trPr>
          <w:cantSplit/>
        </w:trPr>
        <w:tc>
          <w:tcPr>
            <w:tcW w:w="9855" w:type="dxa"/>
            <w:gridSpan w:val="2"/>
          </w:tcPr>
          <w:p w14:paraId="2AA1AD8C" w14:textId="77777777" w:rsidR="00711444" w:rsidRPr="004D0DAA" w:rsidRDefault="00711444" w:rsidP="00AA2A4C">
            <w:pPr>
              <w:keepLines/>
              <w:rPr>
                <w:b/>
                <w:bCs/>
                <w:i/>
                <w:iCs/>
              </w:rPr>
            </w:pPr>
            <w:r w:rsidRPr="004D0DAA">
              <w:rPr>
                <w:b/>
                <w:bCs/>
                <w:i/>
                <w:iCs/>
              </w:rPr>
              <w:t>GPRS 3G Additional Measurement Parameters Description 2</w:t>
            </w:r>
          </w:p>
          <w:p w14:paraId="178B8D55" w14:textId="77777777" w:rsidR="00711444" w:rsidRPr="004D0DAA" w:rsidRDefault="00711444" w:rsidP="00AA2A4C">
            <w:pPr>
              <w:spacing w:after="60"/>
              <w:rPr>
                <w:b/>
                <w:bCs/>
              </w:rPr>
            </w:pPr>
            <w:r w:rsidRPr="004D0DAA">
              <w:t>The fields of this Description are used for measurements, as defined in 3GPP TS 45.008.</w:t>
            </w:r>
            <w:r w:rsidRPr="004D0DAA">
              <w:br/>
              <w:t>Any parameter present overwrites any old data held by the mobile station for this parameter.</w:t>
            </w:r>
          </w:p>
        </w:tc>
      </w:tr>
      <w:tr w:rsidR="00711444" w:rsidRPr="004D0DAA" w14:paraId="13545024" w14:textId="77777777" w:rsidTr="00AA2A4C">
        <w:tblPrEx>
          <w:tblCellMar>
            <w:top w:w="0" w:type="dxa"/>
            <w:bottom w:w="0" w:type="dxa"/>
          </w:tblCellMar>
        </w:tblPrEx>
        <w:trPr>
          <w:cantSplit/>
        </w:trPr>
        <w:tc>
          <w:tcPr>
            <w:tcW w:w="9855" w:type="dxa"/>
            <w:gridSpan w:val="2"/>
          </w:tcPr>
          <w:p w14:paraId="727764A6" w14:textId="77777777" w:rsidR="00711444" w:rsidRPr="004D0DAA" w:rsidRDefault="00711444" w:rsidP="00AA2A4C">
            <w:pPr>
              <w:spacing w:after="60"/>
            </w:pPr>
            <w:r w:rsidRPr="004D0DAA">
              <w:rPr>
                <w:b/>
              </w:rPr>
              <w:lastRenderedPageBreak/>
              <w:t xml:space="preserve">3G_CCN_ACTIVE </w:t>
            </w:r>
            <w:r w:rsidRPr="004D0DAA">
              <w:t>(1 bit field)</w:t>
            </w:r>
            <w:r w:rsidRPr="004D0DAA">
              <w:br/>
              <w:t>This field indicates whether CCN is enabled towards 3G neighbouring cells. It is coded as follows:</w:t>
            </w:r>
          </w:p>
          <w:p w14:paraId="695D2080" w14:textId="77777777" w:rsidR="00711444" w:rsidRPr="004D0DAA" w:rsidRDefault="00711444" w:rsidP="00AA2A4C">
            <w:pPr>
              <w:spacing w:after="60"/>
              <w:ind w:left="426" w:hanging="426"/>
            </w:pPr>
            <w:r w:rsidRPr="004D0DAA">
              <w:t>0</w:t>
            </w:r>
            <w:r w:rsidRPr="004D0DAA">
              <w:tab/>
              <w:t xml:space="preserve">The broadcast 3G_CCN_ACTIVE parameter shall apply if available. Otherwise, CCN towards 3G cells is disabled in the cell. </w:t>
            </w:r>
          </w:p>
          <w:p w14:paraId="34B4B36E" w14:textId="77777777" w:rsidR="00711444" w:rsidRPr="004D0DAA" w:rsidRDefault="00711444" w:rsidP="00AA2A4C">
            <w:pPr>
              <w:spacing w:after="60"/>
              <w:ind w:left="426" w:hanging="426"/>
              <w:rPr>
                <w:b/>
              </w:rPr>
            </w:pPr>
            <w:r w:rsidRPr="004D0DAA">
              <w:t>1</w:t>
            </w:r>
            <w:r w:rsidRPr="004D0DAA">
              <w:tab/>
              <w:t>CCN towards 3G cells is enabled in the cell.</w:t>
            </w:r>
          </w:p>
        </w:tc>
      </w:tr>
      <w:tr w:rsidR="00711444" w:rsidRPr="004D0DAA" w14:paraId="3D0BDB4F" w14:textId="77777777" w:rsidTr="00AA2A4C">
        <w:tblPrEx>
          <w:tblCellMar>
            <w:top w:w="0" w:type="dxa"/>
            <w:bottom w:w="0" w:type="dxa"/>
          </w:tblCellMar>
        </w:tblPrEx>
        <w:trPr>
          <w:cantSplit/>
        </w:trPr>
        <w:tc>
          <w:tcPr>
            <w:tcW w:w="9855" w:type="dxa"/>
            <w:gridSpan w:val="2"/>
          </w:tcPr>
          <w:p w14:paraId="24932C01" w14:textId="77777777" w:rsidR="00711444" w:rsidRPr="004D0DAA" w:rsidRDefault="00711444" w:rsidP="00AA2A4C">
            <w:pPr>
              <w:spacing w:after="60"/>
              <w:rPr>
                <w:b/>
              </w:rPr>
            </w:pPr>
            <w:r w:rsidRPr="004D0DAA">
              <w:rPr>
                <w:b/>
                <w:lang w:eastAsia="zh-CN"/>
              </w:rPr>
              <w:t>700</w:t>
            </w:r>
            <w:r w:rsidRPr="004D0DAA">
              <w:rPr>
                <w:b/>
              </w:rPr>
              <w:t>_REPORTING_OFFSET</w:t>
            </w:r>
            <w:r w:rsidRPr="004D0DAA">
              <w:t xml:space="preserve"> (3 bit field)</w:t>
            </w:r>
            <w:r w:rsidRPr="004D0DAA">
              <w:br/>
            </w:r>
            <w:r w:rsidRPr="004D0DAA">
              <w:rPr>
                <w:b/>
                <w:lang w:eastAsia="zh-CN"/>
              </w:rPr>
              <w:t>700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r w:rsidRPr="004D0DAA">
              <w:br/>
              <w:t>Any parameter present overwrites any old data held by the mobile station for these parameters.</w:t>
            </w:r>
          </w:p>
        </w:tc>
      </w:tr>
      <w:tr w:rsidR="00711444" w:rsidRPr="004D0DAA" w14:paraId="317C5FB4" w14:textId="77777777" w:rsidTr="00AA2A4C">
        <w:tblPrEx>
          <w:tblCellMar>
            <w:top w:w="0" w:type="dxa"/>
            <w:bottom w:w="0" w:type="dxa"/>
          </w:tblCellMar>
        </w:tblPrEx>
        <w:trPr>
          <w:cantSplit/>
        </w:trPr>
        <w:tc>
          <w:tcPr>
            <w:tcW w:w="9855" w:type="dxa"/>
            <w:gridSpan w:val="2"/>
          </w:tcPr>
          <w:p w14:paraId="0AE94157" w14:textId="77777777" w:rsidR="00711444" w:rsidRPr="004D0DAA" w:rsidRDefault="00711444" w:rsidP="00AA2A4C">
            <w:pPr>
              <w:spacing w:after="60"/>
              <w:rPr>
                <w:b/>
              </w:rPr>
            </w:pPr>
            <w:r w:rsidRPr="004D0DAA">
              <w:rPr>
                <w:b/>
                <w:lang w:eastAsia="zh-CN"/>
              </w:rPr>
              <w:t>810</w:t>
            </w:r>
            <w:r w:rsidRPr="004D0DAA">
              <w:rPr>
                <w:b/>
              </w:rPr>
              <w:t>_REPORTING_OFFSET</w:t>
            </w:r>
            <w:r w:rsidRPr="004D0DAA">
              <w:t xml:space="preserve"> (3 bit field)</w:t>
            </w:r>
            <w:r w:rsidRPr="004D0DAA">
              <w:br/>
            </w:r>
            <w:r w:rsidRPr="004D0DAA">
              <w:rPr>
                <w:b/>
                <w:lang w:eastAsia="zh-CN"/>
              </w:rPr>
              <w:t>810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r w:rsidRPr="004D0DAA">
              <w:br/>
              <w:t>Any parameter present overwrites any old data held by the mobile station for these parameters.</w:t>
            </w:r>
          </w:p>
        </w:tc>
      </w:tr>
      <w:tr w:rsidR="00711444" w:rsidRPr="004D0DAA" w14:paraId="6C44CE29" w14:textId="77777777" w:rsidTr="00AA2A4C">
        <w:tblPrEx>
          <w:tblCellMar>
            <w:top w:w="0" w:type="dxa"/>
            <w:bottom w:w="0" w:type="dxa"/>
          </w:tblCellMar>
        </w:tblPrEx>
        <w:trPr>
          <w:gridAfter w:val="1"/>
          <w:wAfter w:w="7" w:type="dxa"/>
          <w:cantSplit/>
        </w:trPr>
        <w:tc>
          <w:tcPr>
            <w:tcW w:w="9848" w:type="dxa"/>
          </w:tcPr>
          <w:p w14:paraId="0B703F9B" w14:textId="77777777" w:rsidR="00711444" w:rsidRPr="004D0DAA" w:rsidRDefault="00711444" w:rsidP="00AA2A4C">
            <w:pPr>
              <w:keepLines/>
              <w:rPr>
                <w:b/>
                <w:bCs/>
              </w:rPr>
            </w:pPr>
            <w:r w:rsidRPr="004D0DAA">
              <w:rPr>
                <w:b/>
                <w:lang w:eastAsia="zh-CN"/>
              </w:rPr>
              <w:t xml:space="preserve">E-UTRAN_CCN_ACTIVE </w:t>
            </w:r>
            <w:r w:rsidRPr="004D0DAA">
              <w:rPr>
                <w:lang w:eastAsia="zh-CN"/>
              </w:rPr>
              <w:t>(1 bit field)</w:t>
            </w:r>
            <w:r w:rsidRPr="004D0DAA">
              <w:rPr>
                <w:lang w:eastAsia="zh-CN"/>
              </w:rPr>
              <w:br/>
              <w:t xml:space="preserve">This field indicates whether CCN is enabled towards E-UTRAN neighbouring cells in the target cell. </w:t>
            </w:r>
            <w:r w:rsidRPr="004D0DAA">
              <w:t>For description and encoding see subclause 12.53.</w:t>
            </w:r>
          </w:p>
        </w:tc>
      </w:tr>
      <w:tr w:rsidR="00711444" w:rsidRPr="004D0DAA" w14:paraId="45576598" w14:textId="77777777" w:rsidTr="00AA2A4C">
        <w:tblPrEx>
          <w:tblCellMar>
            <w:top w:w="0" w:type="dxa"/>
            <w:bottom w:w="0" w:type="dxa"/>
          </w:tblCellMar>
        </w:tblPrEx>
        <w:trPr>
          <w:cantSplit/>
        </w:trPr>
        <w:tc>
          <w:tcPr>
            <w:tcW w:w="9855" w:type="dxa"/>
            <w:gridSpan w:val="2"/>
          </w:tcPr>
          <w:p w14:paraId="26A5E538" w14:textId="77777777" w:rsidR="00711444" w:rsidRPr="004D0DAA" w:rsidRDefault="00711444" w:rsidP="00AA2A4C">
            <w:pPr>
              <w:spacing w:after="60"/>
              <w:rPr>
                <w:b/>
                <w:lang w:eastAsia="zh-CN"/>
              </w:rPr>
            </w:pPr>
            <w:r w:rsidRPr="004D0DAA">
              <w:rPr>
                <w:rFonts w:hint="eastAsia"/>
                <w:b/>
                <w:lang w:eastAsia="zh-CN"/>
              </w:rPr>
              <w:t>Individual Priorities</w:t>
            </w:r>
            <w:r w:rsidRPr="004D0DAA">
              <w:rPr>
                <w:b/>
                <w:lang w:eastAsia="zh-CN"/>
              </w:rPr>
              <w:br/>
            </w:r>
            <w:r w:rsidRPr="004D0DAA">
              <w:rPr>
                <w:lang w:eastAsia="en-GB"/>
              </w:rPr>
              <w:t>This information element is defined in</w:t>
            </w:r>
            <w:r w:rsidRPr="004D0DAA">
              <w:rPr>
                <w:i/>
                <w:lang w:eastAsia="en-GB"/>
              </w:rPr>
              <w:t xml:space="preserve"> </w:t>
            </w:r>
            <w:r w:rsidRPr="004D0DAA">
              <w:rPr>
                <w:lang w:eastAsia="en-GB"/>
              </w:rPr>
              <w:t>sub-clause 12.</w:t>
            </w:r>
            <w:r w:rsidRPr="004D0DAA">
              <w:rPr>
                <w:rFonts w:hint="eastAsia"/>
                <w:lang w:eastAsia="zh-CN"/>
              </w:rPr>
              <w:t>50</w:t>
            </w:r>
            <w:r w:rsidRPr="004D0DAA">
              <w:rPr>
                <w:lang w:eastAsia="en-GB"/>
              </w:rPr>
              <w:t xml:space="preserve">. If the conditions for sending the </w:t>
            </w:r>
            <w:r w:rsidRPr="004D0DAA">
              <w:rPr>
                <w:i/>
                <w:lang w:eastAsia="en-GB"/>
              </w:rPr>
              <w:t>E-UTRAN IPP with extended EARFCNs</w:t>
            </w:r>
            <w:r w:rsidRPr="004D0DAA">
              <w:rPr>
                <w:lang w:eastAsia="en-GB"/>
              </w:rPr>
              <w:t xml:space="preserve"> information element are met (see definition of </w:t>
            </w:r>
            <w:r w:rsidRPr="004D0DAA">
              <w:rPr>
                <w:i/>
                <w:lang w:eastAsia="en-GB"/>
              </w:rPr>
              <w:t>E-UTRAN IPP with extended EARFCNs</w:t>
            </w:r>
            <w:r w:rsidRPr="004D0DAA">
              <w:rPr>
                <w:lang w:eastAsia="en-GB"/>
              </w:rPr>
              <w:t xml:space="preserve"> IE below) then the </w:t>
            </w:r>
            <w:r w:rsidRPr="004D0DAA">
              <w:rPr>
                <w:i/>
                <w:lang w:eastAsia="en-GB"/>
              </w:rPr>
              <w:t>E-UTRAN Individual Priority Parameters Description</w:t>
            </w:r>
            <w:r w:rsidRPr="004D0DAA">
              <w:rPr>
                <w:lang w:eastAsia="en-GB"/>
              </w:rPr>
              <w:t xml:space="preserve"> IE shall not be provided within the </w:t>
            </w:r>
            <w:r w:rsidRPr="004D0DAA">
              <w:rPr>
                <w:i/>
                <w:lang w:eastAsia="en-GB"/>
              </w:rPr>
              <w:t>Individual Priorities</w:t>
            </w:r>
            <w:r w:rsidRPr="004D0DAA">
              <w:rPr>
                <w:lang w:eastAsia="en-GB"/>
              </w:rPr>
              <w:t xml:space="preserve"> information element.</w:t>
            </w:r>
          </w:p>
        </w:tc>
      </w:tr>
      <w:tr w:rsidR="00711444" w:rsidRPr="004D0DAA" w14:paraId="106C99C6" w14:textId="77777777" w:rsidTr="00AA2A4C">
        <w:tblPrEx>
          <w:tblCellMar>
            <w:top w:w="0" w:type="dxa"/>
            <w:bottom w:w="0" w:type="dxa"/>
          </w:tblCellMar>
        </w:tblPrEx>
        <w:trPr>
          <w:cantSplit/>
        </w:trPr>
        <w:tc>
          <w:tcPr>
            <w:tcW w:w="9855" w:type="dxa"/>
            <w:gridSpan w:val="2"/>
          </w:tcPr>
          <w:p w14:paraId="44E1404D" w14:textId="77777777" w:rsidR="00711444" w:rsidRPr="004D0DAA" w:rsidRDefault="00711444" w:rsidP="00AA2A4C">
            <w:pPr>
              <w:spacing w:after="60"/>
              <w:rPr>
                <w:rFonts w:hint="eastAsia"/>
                <w:b/>
                <w:lang w:eastAsia="zh-CN"/>
              </w:rPr>
            </w:pPr>
            <w:r w:rsidRPr="004D0DAA">
              <w:rPr>
                <w:b/>
                <w:bCs/>
                <w:lang w:eastAsia="en-GB"/>
              </w:rPr>
              <w:t>E-UTRAN Target cell with extended EARFCN</w:t>
            </w:r>
            <w:r w:rsidRPr="004D0DAA">
              <w:rPr>
                <w:b/>
                <w:bCs/>
                <w:lang w:eastAsia="en-GB"/>
              </w:rPr>
              <w:br/>
            </w:r>
            <w:r w:rsidRPr="004D0DAA">
              <w:rPr>
                <w:bCs/>
                <w:lang w:eastAsia="en-GB"/>
              </w:rPr>
              <w:t xml:space="preserve">This information element contains the description of the E-UTRAN Target cell. It is defined in sub-clause 12.68. This information element shall only be included if both the network and the mobile station support extended EARFCNs </w:t>
            </w:r>
            <w:r w:rsidRPr="004D0DAA">
              <w:rPr>
                <w:bCs/>
                <w:szCs w:val="18"/>
                <w:lang w:eastAsia="en-GB"/>
              </w:rPr>
              <w:t>(see 3GPP TS 24.008)</w:t>
            </w:r>
            <w:r w:rsidRPr="004D0DAA">
              <w:rPr>
                <w:bCs/>
                <w:lang w:eastAsia="en-GB"/>
              </w:rPr>
              <w:t xml:space="preserve">; </w:t>
            </w:r>
            <w:r w:rsidRPr="004D0DAA">
              <w:rPr>
                <w:lang w:eastAsia="en-GB"/>
              </w:rPr>
              <w:t xml:space="preserve">in such a case the </w:t>
            </w:r>
            <w:r w:rsidRPr="004D0DAA">
              <w:rPr>
                <w:i/>
                <w:lang w:eastAsia="en-GB"/>
              </w:rPr>
              <w:t>E-UTRAN Target Cell</w:t>
            </w:r>
            <w:r w:rsidRPr="004D0DAA">
              <w:rPr>
                <w:lang w:eastAsia="en-GB"/>
              </w:rPr>
              <w:t xml:space="preserve"> IE shall not be provided in the message</w:t>
            </w:r>
            <w:r w:rsidRPr="004D0DAA">
              <w:rPr>
                <w:bCs/>
                <w:lang w:eastAsia="en-GB"/>
              </w:rPr>
              <w:t>.</w:t>
            </w:r>
          </w:p>
        </w:tc>
      </w:tr>
      <w:tr w:rsidR="00711444" w:rsidRPr="004D0DAA" w14:paraId="7F664DD5" w14:textId="77777777" w:rsidTr="00AA2A4C">
        <w:tblPrEx>
          <w:tblCellMar>
            <w:top w:w="0" w:type="dxa"/>
            <w:bottom w:w="0" w:type="dxa"/>
          </w:tblCellMar>
        </w:tblPrEx>
        <w:trPr>
          <w:cantSplit/>
        </w:trPr>
        <w:tc>
          <w:tcPr>
            <w:tcW w:w="9855" w:type="dxa"/>
            <w:gridSpan w:val="2"/>
          </w:tcPr>
          <w:p w14:paraId="31540591" w14:textId="77777777" w:rsidR="00711444" w:rsidRPr="004D0DAA" w:rsidRDefault="00711444" w:rsidP="00AA2A4C">
            <w:pPr>
              <w:spacing w:after="60"/>
              <w:rPr>
                <w:b/>
                <w:bCs/>
                <w:lang w:eastAsia="en-GB"/>
              </w:rPr>
            </w:pPr>
            <w:r w:rsidRPr="004D0DAA">
              <w:rPr>
                <w:b/>
                <w:lang w:eastAsia="zh-CN"/>
              </w:rPr>
              <w:t xml:space="preserve">E-UTRAN </w:t>
            </w:r>
            <w:r w:rsidRPr="004D0DAA">
              <w:rPr>
                <w:rFonts w:hint="eastAsia"/>
                <w:b/>
                <w:lang w:eastAsia="zh-CN"/>
              </w:rPr>
              <w:t>IP</w:t>
            </w:r>
            <w:r w:rsidRPr="004D0DAA">
              <w:rPr>
                <w:b/>
                <w:lang w:eastAsia="zh-CN"/>
              </w:rPr>
              <w:t>P with extended EARFCNs</w:t>
            </w:r>
            <w:r w:rsidRPr="004D0DAA">
              <w:rPr>
                <w:b/>
                <w:lang w:eastAsia="zh-CN"/>
              </w:rPr>
              <w:br/>
            </w:r>
            <w:r w:rsidRPr="004D0DAA">
              <w:rPr>
                <w:lang w:eastAsia="en-GB"/>
              </w:rPr>
              <w:t>This information element is defined in</w:t>
            </w:r>
            <w:r w:rsidRPr="004D0DAA">
              <w:rPr>
                <w:i/>
                <w:lang w:eastAsia="en-GB"/>
              </w:rPr>
              <w:t xml:space="preserve"> </w:t>
            </w:r>
            <w:r w:rsidRPr="004D0DAA">
              <w:rPr>
                <w:lang w:eastAsia="en-GB"/>
              </w:rPr>
              <w:t xml:space="preserve">sub-clause 12.69. It shall be included if E-UTRAN individual priorities are provided and both the network and the mobile station support extended EARFCNs (see 3GPP TS 24.008); in such a case the </w:t>
            </w:r>
            <w:r w:rsidRPr="004D0DAA">
              <w:rPr>
                <w:i/>
                <w:lang w:eastAsia="en-GB"/>
              </w:rPr>
              <w:t>E-UTRAN Individual Priority Parameters Description</w:t>
            </w:r>
            <w:r w:rsidRPr="004D0DAA">
              <w:rPr>
                <w:lang w:eastAsia="en-GB"/>
              </w:rPr>
              <w:t xml:space="preserve"> IE shall not be provided within the </w:t>
            </w:r>
            <w:r w:rsidRPr="004D0DAA">
              <w:rPr>
                <w:i/>
                <w:lang w:eastAsia="en-GB"/>
              </w:rPr>
              <w:t xml:space="preserve">Individual Priorities </w:t>
            </w:r>
            <w:r w:rsidRPr="004D0DAA">
              <w:rPr>
                <w:lang w:eastAsia="en-GB"/>
              </w:rPr>
              <w:t xml:space="preserve">IE (see definition of </w:t>
            </w:r>
            <w:r w:rsidRPr="004D0DAA">
              <w:rPr>
                <w:i/>
                <w:lang w:eastAsia="en-GB"/>
              </w:rPr>
              <w:t xml:space="preserve">Individual Priorities </w:t>
            </w:r>
            <w:r w:rsidRPr="004D0DAA">
              <w:rPr>
                <w:lang w:eastAsia="en-GB"/>
              </w:rPr>
              <w:t xml:space="preserve">IE above). </w:t>
            </w:r>
          </w:p>
        </w:tc>
      </w:tr>
    </w:tbl>
    <w:p w14:paraId="12C4F37F" w14:textId="77777777" w:rsidR="00711444" w:rsidRPr="004D0DAA" w:rsidRDefault="00711444" w:rsidP="00711444"/>
    <w:p w14:paraId="28BE0037" w14:textId="77777777" w:rsidR="00711444" w:rsidRPr="004D0DAA" w:rsidRDefault="00711444" w:rsidP="00711444">
      <w:pPr>
        <w:pStyle w:val="Heading3"/>
      </w:pPr>
      <w:bookmarkStart w:id="651" w:name="_Toc516669829"/>
      <w:r w:rsidRPr="004D0DAA">
        <w:t>11.2.5</w:t>
      </w:r>
      <w:r w:rsidRPr="004D0DAA">
        <w:tab/>
        <w:t>Packet Channel Request</w:t>
      </w:r>
      <w:bookmarkEnd w:id="651"/>
    </w:p>
    <w:p w14:paraId="1C1B16D9" w14:textId="77777777" w:rsidR="00711444" w:rsidRPr="004D0DAA" w:rsidRDefault="00711444" w:rsidP="00711444">
      <w:r w:rsidRPr="004D0DAA">
        <w:t>This message is sent in random mode on the PRACH using the PRACH uplink block format defined in 3GPP TS 44.004. The order of bit transmission is defined in 3GPP TS 44.004. The numbering, assembling and field mapping conventions defined for RLC/MAC control blocks in</w:t>
      </w:r>
      <w:r w:rsidRPr="004D0DAA">
        <w:rPr>
          <w:i/>
        </w:rPr>
        <w:t xml:space="preserve"> </w:t>
      </w:r>
      <w:r w:rsidRPr="004D0DAA">
        <w:t>sub-clause 10.0b shall apply.</w:t>
      </w:r>
    </w:p>
    <w:p w14:paraId="564846A4" w14:textId="77777777" w:rsidR="00711444" w:rsidRPr="004D0DAA" w:rsidRDefault="00711444" w:rsidP="00711444">
      <w:r w:rsidRPr="004D0DAA">
        <w:t>The message format is either 11-bit or 8-bit. The mobile station shall use the format indicated by the System Information parameter ACCESS_BURST_TYPE</w:t>
      </w:r>
    </w:p>
    <w:p w14:paraId="2DCAEA2E" w14:textId="77777777" w:rsidR="00711444" w:rsidRPr="004D0DAA" w:rsidRDefault="00711444" w:rsidP="00711444">
      <w:r w:rsidRPr="004D0DAA">
        <w:t>The 11-bit format is coded as shown in table 11.2.5.1.</w:t>
      </w:r>
    </w:p>
    <w:p w14:paraId="5C86B010" w14:textId="77777777" w:rsidR="00711444" w:rsidRPr="004D0DAA" w:rsidRDefault="00711444" w:rsidP="00711444">
      <w:r w:rsidRPr="004D0DAA">
        <w:t>The 8-bit format is coded as shown in table 11.2.5.2.</w:t>
      </w:r>
    </w:p>
    <w:p w14:paraId="361D4F59" w14:textId="77777777" w:rsidR="00711444" w:rsidRPr="004D0DAA" w:rsidRDefault="00711444" w:rsidP="00711444">
      <w:pPr>
        <w:pStyle w:val="TH"/>
      </w:pPr>
      <w:r w:rsidRPr="004D0DAA">
        <w:lastRenderedPageBreak/>
        <w:t>Table 11.2.5.1: PACKET CHANNEL REQUEST 11 bit message 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DBED31" w14:textId="77777777" w:rsidTr="00AA2A4C">
        <w:tblPrEx>
          <w:tblCellMar>
            <w:top w:w="0" w:type="dxa"/>
            <w:bottom w:w="0" w:type="dxa"/>
          </w:tblCellMar>
        </w:tblPrEx>
        <w:trPr>
          <w:cantSplit/>
        </w:trPr>
        <w:tc>
          <w:tcPr>
            <w:tcW w:w="9848" w:type="dxa"/>
          </w:tcPr>
          <w:p w14:paraId="1D79D4A3" w14:textId="77777777" w:rsidR="00711444" w:rsidRPr="004D0DAA" w:rsidRDefault="00711444" w:rsidP="00AA2A4C">
            <w:pPr>
              <w:pStyle w:val="TAL"/>
              <w:rPr>
                <w:lang w:eastAsia="en-US"/>
              </w:rPr>
            </w:pPr>
            <w:r w:rsidRPr="004D0DAA">
              <w:rPr>
                <w:lang w:eastAsia="en-US"/>
              </w:rPr>
              <w:t>&lt; Packet channel request 11 bit message content &gt; ::=</w:t>
            </w:r>
          </w:p>
          <w:p w14:paraId="65DF39B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One Phase Access Request</w:t>
            </w:r>
            <w:r w:rsidRPr="004D0DAA">
              <w:rPr>
                <w:lang w:eastAsia="en-US"/>
              </w:rPr>
              <w:t xml:space="preserve"> :</w:t>
            </w:r>
            <w:r w:rsidRPr="004D0DAA">
              <w:rPr>
                <w:lang w:eastAsia="en-US"/>
              </w:rPr>
              <w:tab/>
              <w:t>0</w:t>
            </w:r>
            <w:r w:rsidRPr="004D0DAA">
              <w:rPr>
                <w:lang w:eastAsia="en-US"/>
              </w:rPr>
              <w:tab/>
              <w:t xml:space="preserve">&lt; </w:t>
            </w:r>
            <w:r w:rsidRPr="004D0DAA">
              <w:rPr>
                <w:b/>
                <w:lang w:eastAsia="en-US"/>
              </w:rPr>
              <w:t xml:space="preserve">MultislotClass </w:t>
            </w:r>
            <w:r w:rsidRPr="004D0DAA">
              <w:rPr>
                <w:lang w:eastAsia="en-US"/>
              </w:rPr>
              <w:t>: bit (5) &gt;</w:t>
            </w:r>
          </w:p>
          <w:p w14:paraId="3FB727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Priority </w:t>
            </w:r>
            <w:r w:rsidRPr="004D0DAA">
              <w:rPr>
                <w:lang w:eastAsia="en-US"/>
              </w:rPr>
              <w:t>: bit (2) &gt;</w:t>
            </w:r>
          </w:p>
          <w:p w14:paraId="7078441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bit (3) &gt; &gt;</w:t>
            </w:r>
          </w:p>
          <w:p w14:paraId="50DA4409" w14:textId="77777777" w:rsidR="00711444" w:rsidRPr="004D0DAA" w:rsidRDefault="00711444" w:rsidP="00AA2A4C">
            <w:pPr>
              <w:pStyle w:val="TAL"/>
              <w:rPr>
                <w:i/>
                <w:iCs/>
                <w:lang w:eastAsia="en-US"/>
              </w:rPr>
            </w:pPr>
            <w:r w:rsidRPr="004D0DAA">
              <w:rPr>
                <w:lang w:eastAsia="en-US"/>
              </w:rPr>
              <w:tab/>
              <w:t xml:space="preserve">| &lt; </w:t>
            </w:r>
            <w:r w:rsidRPr="004D0DAA">
              <w:rPr>
                <w:b/>
                <w:lang w:eastAsia="en-US"/>
              </w:rPr>
              <w:t>Short Access Request</w:t>
            </w:r>
            <w:r w:rsidRPr="004D0DAA">
              <w:rPr>
                <w:lang w:eastAsia="en-US"/>
              </w:rPr>
              <w:t xml:space="preserve"> :</w:t>
            </w:r>
            <w:r w:rsidRPr="004D0DAA">
              <w:rPr>
                <w:lang w:eastAsia="en-US"/>
              </w:rPr>
              <w:tab/>
              <w:t>100</w:t>
            </w:r>
            <w:r w:rsidRPr="004D0DAA">
              <w:rPr>
                <w:lang w:eastAsia="en-US"/>
              </w:rPr>
              <w:tab/>
            </w:r>
            <w:r w:rsidRPr="004D0DAA">
              <w:rPr>
                <w:iCs/>
                <w:lang w:eastAsia="en-US"/>
              </w:rPr>
              <w:t xml:space="preserve">-- </w:t>
            </w:r>
            <w:r w:rsidRPr="004D0DAA">
              <w:rPr>
                <w:i/>
                <w:iCs/>
                <w:lang w:eastAsia="en-US"/>
              </w:rPr>
              <w:t xml:space="preserve">The value 100 was allocated in an earlier version of the protocol and shall not be used by the mobile station </w:t>
            </w:r>
          </w:p>
          <w:p w14:paraId="6070E0F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NumberOfBlocks </w:t>
            </w:r>
            <w:r w:rsidRPr="004D0DAA">
              <w:rPr>
                <w:lang w:eastAsia="en-US"/>
              </w:rPr>
              <w:t>: bit (3) &gt;</w:t>
            </w:r>
          </w:p>
          <w:p w14:paraId="657339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Priority </w:t>
            </w:r>
            <w:r w:rsidRPr="004D0DAA">
              <w:rPr>
                <w:lang w:eastAsia="en-US"/>
              </w:rPr>
              <w:t>: bit (2) &gt;</w:t>
            </w:r>
          </w:p>
          <w:p w14:paraId="106FC2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bit (3) &gt; &gt;</w:t>
            </w:r>
          </w:p>
          <w:p w14:paraId="2A91EE86"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Two Phase Access Request</w:t>
            </w:r>
            <w:r w:rsidRPr="004D0DAA">
              <w:rPr>
                <w:lang w:eastAsia="en-US"/>
              </w:rPr>
              <w:t xml:space="preserve"> :</w:t>
            </w:r>
            <w:r w:rsidRPr="004D0DAA">
              <w:rPr>
                <w:lang w:eastAsia="en-US"/>
              </w:rPr>
              <w:tab/>
              <w:t>110000</w:t>
            </w:r>
            <w:r w:rsidRPr="004D0DAA">
              <w:rPr>
                <w:lang w:eastAsia="en-US"/>
              </w:rPr>
              <w:tab/>
              <w:t xml:space="preserve">&lt; </w:t>
            </w:r>
            <w:r w:rsidRPr="004D0DAA">
              <w:rPr>
                <w:b/>
                <w:lang w:eastAsia="en-US"/>
              </w:rPr>
              <w:t>Priority</w:t>
            </w:r>
            <w:r w:rsidRPr="004D0DAA">
              <w:rPr>
                <w:lang w:eastAsia="en-US"/>
              </w:rPr>
              <w:t xml:space="preserve"> : bit (2) &gt; </w:t>
            </w:r>
          </w:p>
          <w:p w14:paraId="3B78444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bit (3) &gt; &gt;</w:t>
            </w:r>
          </w:p>
          <w:p w14:paraId="0FE10B9A"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Page Response</w:t>
            </w:r>
            <w:r w:rsidRPr="004D0DAA">
              <w:rPr>
                <w:lang w:eastAsia="en-US"/>
              </w:rPr>
              <w:t xml:space="preserve"> :</w:t>
            </w:r>
            <w:r w:rsidRPr="004D0DAA">
              <w:rPr>
                <w:lang w:eastAsia="en-US"/>
              </w:rPr>
              <w:tab/>
              <w:t>110001</w:t>
            </w:r>
            <w:r w:rsidRPr="004D0DAA">
              <w:rPr>
                <w:lang w:eastAsia="en-US"/>
              </w:rPr>
              <w:tab/>
              <w:t xml:space="preserve">&lt; </w:t>
            </w:r>
            <w:r w:rsidRPr="004D0DAA">
              <w:rPr>
                <w:b/>
                <w:lang w:eastAsia="en-US"/>
              </w:rPr>
              <w:t>RandomBits</w:t>
            </w:r>
            <w:r w:rsidRPr="004D0DAA">
              <w:rPr>
                <w:lang w:eastAsia="en-US"/>
              </w:rPr>
              <w:t xml:space="preserve"> : bit (5) &gt; &gt;</w:t>
            </w:r>
          </w:p>
          <w:p w14:paraId="4786CD50"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Cell Update</w:t>
            </w:r>
            <w:r w:rsidRPr="004D0DAA">
              <w:rPr>
                <w:lang w:eastAsia="en-US"/>
              </w:rPr>
              <w:t xml:space="preserve"> :</w:t>
            </w:r>
            <w:r w:rsidRPr="004D0DAA">
              <w:rPr>
                <w:lang w:eastAsia="en-US"/>
              </w:rPr>
              <w:tab/>
              <w:t>110010</w:t>
            </w:r>
            <w:r w:rsidRPr="004D0DAA">
              <w:rPr>
                <w:lang w:eastAsia="en-US"/>
              </w:rPr>
              <w:tab/>
              <w:t xml:space="preserve">&lt; </w:t>
            </w:r>
            <w:r w:rsidRPr="004D0DAA">
              <w:rPr>
                <w:b/>
                <w:lang w:eastAsia="en-US"/>
              </w:rPr>
              <w:t>RandomBits</w:t>
            </w:r>
            <w:r w:rsidRPr="004D0DAA">
              <w:rPr>
                <w:lang w:eastAsia="en-US"/>
              </w:rPr>
              <w:t xml:space="preserve"> : bit (5) &gt; &gt;</w:t>
            </w:r>
          </w:p>
          <w:p w14:paraId="197F6303"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MM Procedure</w:t>
            </w:r>
            <w:r w:rsidRPr="004D0DAA">
              <w:rPr>
                <w:lang w:eastAsia="en-US"/>
              </w:rPr>
              <w:t xml:space="preserve"> :</w:t>
            </w:r>
            <w:r w:rsidRPr="004D0DAA">
              <w:rPr>
                <w:lang w:eastAsia="en-US"/>
              </w:rPr>
              <w:tab/>
              <w:t>110011</w:t>
            </w:r>
            <w:r w:rsidRPr="004D0DAA">
              <w:rPr>
                <w:lang w:eastAsia="en-US"/>
              </w:rPr>
              <w:tab/>
              <w:t xml:space="preserve">&lt; </w:t>
            </w:r>
            <w:r w:rsidRPr="004D0DAA">
              <w:rPr>
                <w:b/>
                <w:lang w:eastAsia="en-US"/>
              </w:rPr>
              <w:t>RandomBits</w:t>
            </w:r>
            <w:r w:rsidRPr="004D0DAA">
              <w:rPr>
                <w:lang w:eastAsia="en-US"/>
              </w:rPr>
              <w:t xml:space="preserve"> : bit (5) &gt; &gt;</w:t>
            </w:r>
          </w:p>
          <w:p w14:paraId="4706219D"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Single Block Without TBF Establishment</w:t>
            </w:r>
            <w:r w:rsidRPr="004D0DAA">
              <w:rPr>
                <w:lang w:eastAsia="en-US"/>
              </w:rPr>
              <w:t xml:space="preserve"> :</w:t>
            </w:r>
            <w:r w:rsidRPr="004D0DAA">
              <w:rPr>
                <w:lang w:eastAsia="en-US"/>
              </w:rPr>
              <w:tab/>
              <w:t>110100</w:t>
            </w:r>
            <w:r w:rsidRPr="004D0DAA">
              <w:rPr>
                <w:lang w:eastAsia="en-US"/>
              </w:rPr>
              <w:tab/>
              <w:t xml:space="preserve">&lt; </w:t>
            </w:r>
            <w:r w:rsidRPr="004D0DAA">
              <w:rPr>
                <w:b/>
                <w:lang w:eastAsia="en-US"/>
              </w:rPr>
              <w:t>RandomBits</w:t>
            </w:r>
            <w:r w:rsidRPr="004D0DAA">
              <w:rPr>
                <w:lang w:eastAsia="en-US"/>
              </w:rPr>
              <w:t xml:space="preserve"> : bit (5) &gt; &gt;</w:t>
            </w:r>
          </w:p>
          <w:p w14:paraId="51444E5D" w14:textId="77777777" w:rsidR="00711444" w:rsidRPr="004D0DAA" w:rsidRDefault="00711444" w:rsidP="00AA2A4C">
            <w:pPr>
              <w:pStyle w:val="TAL"/>
              <w:rPr>
                <w:lang w:eastAsia="en-US"/>
              </w:rPr>
            </w:pPr>
            <w:r w:rsidRPr="004D0DAA">
              <w:rPr>
                <w:lang w:eastAsia="en-US"/>
              </w:rPr>
              <w:tab/>
              <w:t xml:space="preserve">| &lt; </w:t>
            </w:r>
            <w:r w:rsidRPr="004D0DAA">
              <w:rPr>
                <w:b/>
                <w:bCs/>
                <w:lang w:eastAsia="en-US"/>
              </w:rPr>
              <w:t>One Phase Access Request in RLC unack mode</w:t>
            </w:r>
            <w:r w:rsidRPr="004D0DAA">
              <w:rPr>
                <w:lang w:eastAsia="en-US"/>
              </w:rPr>
              <w:t xml:space="preserve"> :</w:t>
            </w:r>
            <w:r w:rsidRPr="004D0DAA">
              <w:rPr>
                <w:b/>
                <w:bCs/>
                <w:lang w:eastAsia="en-US"/>
              </w:rPr>
              <w:tab/>
            </w:r>
            <w:r w:rsidRPr="004D0DAA">
              <w:rPr>
                <w:lang w:eastAsia="en-US"/>
              </w:rPr>
              <w:t>110101</w:t>
            </w:r>
            <w:r w:rsidRPr="004D0DAA">
              <w:rPr>
                <w:lang w:eastAsia="en-US"/>
              </w:rPr>
              <w:tab/>
              <w:t>&lt;</w:t>
            </w:r>
            <w:r w:rsidRPr="004D0DAA">
              <w:rPr>
                <w:b/>
                <w:lang w:eastAsia="en-US"/>
              </w:rPr>
              <w:t xml:space="preserve"> RandomBits </w:t>
            </w:r>
            <w:r w:rsidRPr="004D0DAA">
              <w:rPr>
                <w:lang w:eastAsia="en-US"/>
              </w:rPr>
              <w:t>: bit (5) &gt; &gt;</w:t>
            </w:r>
          </w:p>
          <w:p w14:paraId="447F26D1" w14:textId="77777777" w:rsidR="00711444" w:rsidRPr="004D0DAA" w:rsidRDefault="00711444" w:rsidP="00AA2A4C">
            <w:pPr>
              <w:pStyle w:val="TAL"/>
              <w:rPr>
                <w:lang w:eastAsia="en-US"/>
              </w:rPr>
            </w:pPr>
            <w:r w:rsidRPr="004D0DAA">
              <w:rPr>
                <w:lang w:eastAsia="en-US"/>
              </w:rPr>
              <w:tab/>
              <w:t xml:space="preserve">| &lt; </w:t>
            </w:r>
            <w:r w:rsidRPr="004D0DAA">
              <w:rPr>
                <w:b/>
                <w:bCs/>
                <w:lang w:eastAsia="en-US"/>
              </w:rPr>
              <w:t xml:space="preserve">Dedicated </w:t>
            </w:r>
            <w:r w:rsidRPr="004D0DAA">
              <w:rPr>
                <w:b/>
                <w:lang w:eastAsia="en-US"/>
              </w:rPr>
              <w:t>channel request</w:t>
            </w:r>
            <w:r w:rsidRPr="004D0DAA">
              <w:rPr>
                <w:lang w:eastAsia="en-US"/>
              </w:rPr>
              <w:t xml:space="preserve"> :</w:t>
            </w:r>
            <w:r w:rsidRPr="004D0DAA">
              <w:rPr>
                <w:lang w:eastAsia="en-US"/>
              </w:rPr>
              <w:tab/>
              <w:t>110110</w:t>
            </w:r>
            <w:r w:rsidRPr="004D0DAA">
              <w:rPr>
                <w:lang w:eastAsia="en-US"/>
              </w:rPr>
              <w:tab/>
              <w:t>&lt;</w:t>
            </w:r>
            <w:r w:rsidRPr="004D0DAA">
              <w:rPr>
                <w:b/>
                <w:lang w:eastAsia="en-US"/>
              </w:rPr>
              <w:t xml:space="preserve"> RandomBits </w:t>
            </w:r>
            <w:r w:rsidRPr="004D0DAA">
              <w:rPr>
                <w:lang w:eastAsia="en-US"/>
              </w:rPr>
              <w:t>: bit (5) &gt; &gt;</w:t>
            </w:r>
          </w:p>
          <w:p w14:paraId="5D010261" w14:textId="77777777" w:rsidR="00711444" w:rsidRPr="004D0DAA" w:rsidRDefault="00711444" w:rsidP="00AA2A4C">
            <w:pPr>
              <w:pStyle w:val="TAL"/>
              <w:rPr>
                <w:lang w:eastAsia="en-US"/>
              </w:rPr>
            </w:pPr>
            <w:r w:rsidRPr="004D0DAA">
              <w:rPr>
                <w:lang w:eastAsia="en-US"/>
              </w:rPr>
              <w:tab/>
              <w:t xml:space="preserve">| &lt; </w:t>
            </w:r>
            <w:r w:rsidRPr="004D0DAA">
              <w:rPr>
                <w:b/>
                <w:bCs/>
                <w:lang w:eastAsia="en-US"/>
              </w:rPr>
              <w:t>Emergency call</w:t>
            </w:r>
            <w:r w:rsidRPr="004D0DAA">
              <w:rPr>
                <w:lang w:eastAsia="en-US"/>
              </w:rPr>
              <w:t xml:space="preserve"> :</w:t>
            </w:r>
            <w:r w:rsidRPr="004D0DAA">
              <w:rPr>
                <w:b/>
                <w:bCs/>
                <w:lang w:eastAsia="en-US"/>
              </w:rPr>
              <w:tab/>
            </w:r>
            <w:r w:rsidRPr="004D0DAA">
              <w:rPr>
                <w:lang w:eastAsia="en-US"/>
              </w:rPr>
              <w:t>110111</w:t>
            </w:r>
            <w:r w:rsidRPr="004D0DAA">
              <w:rPr>
                <w:lang w:eastAsia="en-US"/>
              </w:rPr>
              <w:tab/>
              <w:t>&lt;</w:t>
            </w:r>
            <w:r w:rsidRPr="004D0DAA">
              <w:rPr>
                <w:b/>
                <w:lang w:eastAsia="en-US"/>
              </w:rPr>
              <w:t xml:space="preserve"> RandomBits </w:t>
            </w:r>
            <w:r w:rsidRPr="004D0DAA">
              <w:rPr>
                <w:lang w:eastAsia="en-US"/>
              </w:rPr>
              <w:t xml:space="preserve">: bit (5) &gt; &gt; </w:t>
            </w:r>
          </w:p>
          <w:p w14:paraId="0AC53702"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 xml:space="preserve">Single block MBMS access </w:t>
            </w:r>
            <w:r w:rsidRPr="004D0DAA">
              <w:rPr>
                <w:lang w:eastAsia="en-US"/>
              </w:rPr>
              <w:t>:</w:t>
            </w:r>
            <w:r w:rsidRPr="004D0DAA">
              <w:rPr>
                <w:b/>
                <w:bCs/>
                <w:lang w:eastAsia="en-US"/>
              </w:rPr>
              <w:tab/>
            </w:r>
            <w:r w:rsidRPr="004D0DAA">
              <w:rPr>
                <w:lang w:eastAsia="en-US"/>
              </w:rPr>
              <w:t>111000</w:t>
            </w:r>
            <w:r w:rsidRPr="004D0DAA">
              <w:rPr>
                <w:lang w:eastAsia="en-US"/>
              </w:rPr>
              <w:tab/>
              <w:t>&lt;</w:t>
            </w:r>
            <w:r w:rsidRPr="004D0DAA">
              <w:rPr>
                <w:b/>
                <w:lang w:eastAsia="en-US"/>
              </w:rPr>
              <w:t xml:space="preserve"> RandomBits </w:t>
            </w:r>
            <w:r w:rsidRPr="004D0DAA">
              <w:rPr>
                <w:lang w:eastAsia="en-US"/>
              </w:rPr>
              <w:t>: bit (5) &gt; &gt; ;</w:t>
            </w:r>
          </w:p>
        </w:tc>
      </w:tr>
    </w:tbl>
    <w:p w14:paraId="722743BE" w14:textId="77777777" w:rsidR="00711444" w:rsidRPr="004D0DAA" w:rsidRDefault="00711444" w:rsidP="00711444"/>
    <w:p w14:paraId="675ED325" w14:textId="77777777" w:rsidR="00711444" w:rsidRPr="004D0DAA" w:rsidRDefault="00711444" w:rsidP="00711444">
      <w:pPr>
        <w:pStyle w:val="TH"/>
      </w:pPr>
      <w:r w:rsidRPr="004D0DAA">
        <w:t>Table 11.2.5.2: PACKET CHANNEL REQUEST 8 bit message 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B439D01" w14:textId="77777777" w:rsidTr="00AA2A4C">
        <w:tblPrEx>
          <w:tblCellMar>
            <w:top w:w="0" w:type="dxa"/>
            <w:bottom w:w="0" w:type="dxa"/>
          </w:tblCellMar>
        </w:tblPrEx>
        <w:trPr>
          <w:cantSplit/>
        </w:trPr>
        <w:tc>
          <w:tcPr>
            <w:tcW w:w="9848" w:type="dxa"/>
          </w:tcPr>
          <w:p w14:paraId="3BD72DD9" w14:textId="77777777" w:rsidR="00711444" w:rsidRPr="004D0DAA" w:rsidRDefault="00711444" w:rsidP="00AA2A4C">
            <w:pPr>
              <w:pStyle w:val="TAL"/>
              <w:rPr>
                <w:lang w:eastAsia="en-US"/>
              </w:rPr>
            </w:pPr>
            <w:r w:rsidRPr="004D0DAA">
              <w:rPr>
                <w:lang w:eastAsia="en-US"/>
              </w:rPr>
              <w:t>&lt; Packet channel request 8 bit message content &gt; ::=</w:t>
            </w:r>
          </w:p>
          <w:p w14:paraId="4906BDE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One Phase Access Request</w:t>
            </w:r>
            <w:r w:rsidRPr="004D0DAA">
              <w:rPr>
                <w:lang w:eastAsia="en-US"/>
              </w:rPr>
              <w:t xml:space="preserve"> :</w:t>
            </w:r>
            <w:r w:rsidRPr="004D0DAA">
              <w:rPr>
                <w:lang w:eastAsia="en-US"/>
              </w:rPr>
              <w:tab/>
              <w:t>1</w:t>
            </w:r>
            <w:r w:rsidRPr="004D0DAA">
              <w:rPr>
                <w:lang w:eastAsia="en-US"/>
              </w:rPr>
              <w:tab/>
              <w:t xml:space="preserve">&lt; </w:t>
            </w:r>
            <w:r w:rsidRPr="004D0DAA">
              <w:rPr>
                <w:b/>
                <w:lang w:eastAsia="en-US"/>
              </w:rPr>
              <w:t>MultislotClass</w:t>
            </w:r>
            <w:r w:rsidRPr="004D0DAA">
              <w:rPr>
                <w:lang w:eastAsia="en-US"/>
              </w:rPr>
              <w:t xml:space="preserve"> : bit (5) &gt;</w:t>
            </w:r>
          </w:p>
          <w:p w14:paraId="22AFA86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RandomBits</w:t>
            </w:r>
            <w:r w:rsidRPr="004D0DAA">
              <w:rPr>
                <w:lang w:eastAsia="en-US"/>
              </w:rPr>
              <w:t xml:space="preserve"> : bit (2) &gt; &gt;</w:t>
            </w:r>
          </w:p>
          <w:p w14:paraId="47DD13D8" w14:textId="77777777" w:rsidR="00711444" w:rsidRPr="004D0DAA" w:rsidRDefault="00711444" w:rsidP="00AA2A4C">
            <w:pPr>
              <w:pStyle w:val="TAL"/>
              <w:rPr>
                <w:i/>
                <w:iCs/>
                <w:lang w:eastAsia="en-US"/>
              </w:rPr>
            </w:pPr>
            <w:r w:rsidRPr="004D0DAA">
              <w:rPr>
                <w:lang w:eastAsia="en-US"/>
              </w:rPr>
              <w:tab/>
              <w:t xml:space="preserve">| &lt; </w:t>
            </w:r>
            <w:r w:rsidRPr="004D0DAA">
              <w:rPr>
                <w:b/>
                <w:lang w:eastAsia="en-US"/>
              </w:rPr>
              <w:t>Short Access Request</w:t>
            </w:r>
            <w:r w:rsidRPr="004D0DAA">
              <w:rPr>
                <w:lang w:eastAsia="en-US"/>
              </w:rPr>
              <w:t xml:space="preserve"> :</w:t>
            </w:r>
            <w:r w:rsidRPr="004D0DAA">
              <w:rPr>
                <w:lang w:eastAsia="en-US"/>
              </w:rPr>
              <w:tab/>
              <w:t>00</w:t>
            </w:r>
            <w:r w:rsidRPr="004D0DAA">
              <w:rPr>
                <w:lang w:eastAsia="en-US"/>
              </w:rPr>
              <w:tab/>
            </w:r>
            <w:r w:rsidRPr="004D0DAA">
              <w:rPr>
                <w:iCs/>
                <w:lang w:eastAsia="en-US"/>
              </w:rPr>
              <w:t xml:space="preserve">-- </w:t>
            </w:r>
            <w:r w:rsidRPr="004D0DAA">
              <w:rPr>
                <w:i/>
                <w:iCs/>
                <w:lang w:eastAsia="en-US"/>
              </w:rPr>
              <w:t xml:space="preserve">The value 00 was allocated in an earlier version of the protocol and shall not be used by the mobile station </w:t>
            </w:r>
          </w:p>
          <w:p w14:paraId="074F32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NumberOfBlocks</w:t>
            </w:r>
            <w:r w:rsidRPr="004D0DAA">
              <w:rPr>
                <w:lang w:eastAsia="en-US"/>
              </w:rPr>
              <w:t xml:space="preserve"> : bit (3) &gt;</w:t>
            </w:r>
          </w:p>
          <w:p w14:paraId="045C49C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RandomBits</w:t>
            </w:r>
            <w:r w:rsidRPr="004D0DAA">
              <w:rPr>
                <w:lang w:eastAsia="en-US"/>
              </w:rPr>
              <w:t xml:space="preserve"> : bit (3) &gt; &gt;</w:t>
            </w:r>
          </w:p>
          <w:p w14:paraId="63860079"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Two Phase Access Request</w:t>
            </w:r>
            <w:r w:rsidRPr="004D0DAA">
              <w:rPr>
                <w:lang w:eastAsia="en-US"/>
              </w:rPr>
              <w:t xml:space="preserve"> :</w:t>
            </w:r>
            <w:r w:rsidRPr="004D0DAA">
              <w:rPr>
                <w:lang w:eastAsia="en-US"/>
              </w:rPr>
              <w:tab/>
              <w:t>01000</w:t>
            </w:r>
            <w:r w:rsidRPr="004D0DAA">
              <w:rPr>
                <w:lang w:eastAsia="en-US"/>
              </w:rPr>
              <w:tab/>
              <w:t xml:space="preserve">&lt; </w:t>
            </w:r>
            <w:r w:rsidRPr="004D0DAA">
              <w:rPr>
                <w:b/>
                <w:lang w:eastAsia="en-US"/>
              </w:rPr>
              <w:t>RandomBits</w:t>
            </w:r>
            <w:r w:rsidRPr="004D0DAA">
              <w:rPr>
                <w:lang w:eastAsia="en-US"/>
              </w:rPr>
              <w:t xml:space="preserve"> : bit (3) &gt; &gt;</w:t>
            </w:r>
          </w:p>
          <w:p w14:paraId="26CD04DD"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Page Response</w:t>
            </w:r>
            <w:r w:rsidRPr="004D0DAA">
              <w:rPr>
                <w:lang w:eastAsia="en-US"/>
              </w:rPr>
              <w:t xml:space="preserve"> :</w:t>
            </w:r>
            <w:r w:rsidRPr="004D0DAA">
              <w:rPr>
                <w:lang w:eastAsia="en-US"/>
              </w:rPr>
              <w:tab/>
              <w:t>01001</w:t>
            </w:r>
            <w:r w:rsidRPr="004D0DAA">
              <w:rPr>
                <w:lang w:eastAsia="en-US"/>
              </w:rPr>
              <w:tab/>
              <w:t xml:space="preserve">&lt; </w:t>
            </w:r>
            <w:r w:rsidRPr="004D0DAA">
              <w:rPr>
                <w:b/>
                <w:lang w:eastAsia="en-US"/>
              </w:rPr>
              <w:t>RandomBits</w:t>
            </w:r>
            <w:r w:rsidRPr="004D0DAA">
              <w:rPr>
                <w:lang w:eastAsia="en-US"/>
              </w:rPr>
              <w:t xml:space="preserve"> : bit (3) &gt; &gt;</w:t>
            </w:r>
          </w:p>
          <w:p w14:paraId="22406323"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Cell Update</w:t>
            </w:r>
            <w:r w:rsidRPr="004D0DAA">
              <w:rPr>
                <w:lang w:eastAsia="en-US"/>
              </w:rPr>
              <w:t xml:space="preserve"> :</w:t>
            </w:r>
            <w:r w:rsidRPr="004D0DAA">
              <w:rPr>
                <w:lang w:eastAsia="en-US"/>
              </w:rPr>
              <w:tab/>
              <w:t>01010</w:t>
            </w:r>
            <w:r w:rsidRPr="004D0DAA">
              <w:rPr>
                <w:lang w:eastAsia="en-US"/>
              </w:rPr>
              <w:tab/>
              <w:t xml:space="preserve">&lt; </w:t>
            </w:r>
            <w:r w:rsidRPr="004D0DAA">
              <w:rPr>
                <w:b/>
                <w:lang w:eastAsia="en-US"/>
              </w:rPr>
              <w:t>RandomBits</w:t>
            </w:r>
            <w:r w:rsidRPr="004D0DAA">
              <w:rPr>
                <w:lang w:eastAsia="en-US"/>
              </w:rPr>
              <w:t xml:space="preserve"> : bit (3) &gt; &gt;</w:t>
            </w:r>
          </w:p>
          <w:p w14:paraId="1B27E8D2"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MM Procedure</w:t>
            </w:r>
            <w:r w:rsidRPr="004D0DAA">
              <w:rPr>
                <w:lang w:eastAsia="en-US"/>
              </w:rPr>
              <w:t xml:space="preserve"> :</w:t>
            </w:r>
            <w:r w:rsidRPr="004D0DAA">
              <w:rPr>
                <w:lang w:eastAsia="en-US"/>
              </w:rPr>
              <w:tab/>
              <w:t>01011</w:t>
            </w:r>
            <w:r w:rsidRPr="004D0DAA">
              <w:rPr>
                <w:lang w:eastAsia="en-US"/>
              </w:rPr>
              <w:tab/>
              <w:t xml:space="preserve">&lt; </w:t>
            </w:r>
            <w:r w:rsidRPr="004D0DAA">
              <w:rPr>
                <w:b/>
                <w:lang w:eastAsia="en-US"/>
              </w:rPr>
              <w:t>RandomBits</w:t>
            </w:r>
            <w:r w:rsidRPr="004D0DAA">
              <w:rPr>
                <w:lang w:eastAsia="en-US"/>
              </w:rPr>
              <w:t xml:space="preserve"> : bit (3) &gt; &gt;</w:t>
            </w:r>
          </w:p>
          <w:p w14:paraId="651B6F1E"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Single Block Without TBF Establishment</w:t>
            </w:r>
            <w:r w:rsidRPr="004D0DAA">
              <w:rPr>
                <w:lang w:eastAsia="en-US"/>
              </w:rPr>
              <w:t xml:space="preserve"> :</w:t>
            </w:r>
            <w:r w:rsidRPr="004D0DAA">
              <w:rPr>
                <w:lang w:eastAsia="en-US"/>
              </w:rPr>
              <w:tab/>
              <w:t>01100</w:t>
            </w:r>
            <w:r w:rsidRPr="004D0DAA">
              <w:rPr>
                <w:lang w:eastAsia="en-US"/>
              </w:rPr>
              <w:tab/>
              <w:t xml:space="preserve">&lt; </w:t>
            </w:r>
            <w:r w:rsidRPr="004D0DAA">
              <w:rPr>
                <w:b/>
                <w:lang w:eastAsia="en-US"/>
              </w:rPr>
              <w:t>RandomBits</w:t>
            </w:r>
            <w:r w:rsidRPr="004D0DAA">
              <w:rPr>
                <w:lang w:eastAsia="en-US"/>
              </w:rPr>
              <w:t xml:space="preserve"> : bit (3) &gt; &gt; </w:t>
            </w:r>
          </w:p>
          <w:p w14:paraId="6882BFE4" w14:textId="77777777" w:rsidR="00711444" w:rsidRPr="004D0DAA" w:rsidRDefault="00711444" w:rsidP="00AA2A4C">
            <w:pPr>
              <w:pStyle w:val="TAL"/>
              <w:rPr>
                <w:lang w:eastAsia="en-US"/>
              </w:rPr>
            </w:pPr>
            <w:r w:rsidRPr="004D0DAA">
              <w:rPr>
                <w:lang w:eastAsia="en-US"/>
              </w:rPr>
              <w:tab/>
              <w:t>| &lt;</w:t>
            </w:r>
            <w:r w:rsidRPr="004D0DAA">
              <w:rPr>
                <w:b/>
                <w:lang w:eastAsia="en-US"/>
              </w:rPr>
              <w:t xml:space="preserve"> One phase Access Request in RLC unack mode</w:t>
            </w:r>
            <w:r w:rsidRPr="004D0DAA">
              <w:rPr>
                <w:lang w:eastAsia="en-US"/>
              </w:rPr>
              <w:t xml:space="preserve"> :</w:t>
            </w:r>
            <w:r w:rsidRPr="004D0DAA">
              <w:rPr>
                <w:b/>
                <w:lang w:eastAsia="en-US"/>
              </w:rPr>
              <w:tab/>
            </w:r>
            <w:r w:rsidRPr="004D0DAA">
              <w:rPr>
                <w:lang w:eastAsia="en-US"/>
              </w:rPr>
              <w:t>011010</w:t>
            </w:r>
            <w:r w:rsidRPr="004D0DAA">
              <w:rPr>
                <w:lang w:eastAsia="en-US"/>
              </w:rPr>
              <w:tab/>
              <w:t xml:space="preserve">&lt; </w:t>
            </w:r>
            <w:r w:rsidRPr="004D0DAA">
              <w:rPr>
                <w:b/>
                <w:lang w:eastAsia="en-US"/>
              </w:rPr>
              <w:t>RandomBits</w:t>
            </w:r>
            <w:r w:rsidRPr="004D0DAA">
              <w:rPr>
                <w:lang w:eastAsia="en-US"/>
              </w:rPr>
              <w:t xml:space="preserve"> : bit (2) &gt; &gt;</w:t>
            </w:r>
          </w:p>
          <w:p w14:paraId="7B08808A"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Dedicated channel request</w:t>
            </w:r>
            <w:r w:rsidRPr="004D0DAA">
              <w:rPr>
                <w:lang w:eastAsia="en-US"/>
              </w:rPr>
              <w:t xml:space="preserve"> :</w:t>
            </w:r>
            <w:r w:rsidRPr="004D0DAA">
              <w:rPr>
                <w:lang w:eastAsia="en-US"/>
              </w:rPr>
              <w:tab/>
              <w:t>011011</w:t>
            </w:r>
            <w:r w:rsidRPr="004D0DAA">
              <w:rPr>
                <w:lang w:eastAsia="en-US"/>
              </w:rPr>
              <w:tab/>
              <w:t xml:space="preserve">&lt; </w:t>
            </w:r>
            <w:r w:rsidRPr="004D0DAA">
              <w:rPr>
                <w:b/>
                <w:lang w:eastAsia="en-US"/>
              </w:rPr>
              <w:t>RandomBits</w:t>
            </w:r>
            <w:r w:rsidRPr="004D0DAA">
              <w:rPr>
                <w:lang w:eastAsia="en-US"/>
              </w:rPr>
              <w:t xml:space="preserve"> : bit (2) &gt; &gt;</w:t>
            </w:r>
          </w:p>
          <w:p w14:paraId="103831DC"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Emergency call</w:t>
            </w:r>
            <w:r w:rsidRPr="004D0DAA">
              <w:rPr>
                <w:lang w:eastAsia="en-US"/>
              </w:rPr>
              <w:t xml:space="preserve"> :</w:t>
            </w:r>
            <w:r w:rsidRPr="004D0DAA">
              <w:rPr>
                <w:lang w:eastAsia="en-US"/>
              </w:rPr>
              <w:tab/>
              <w:t>011100</w:t>
            </w:r>
            <w:r w:rsidRPr="004D0DAA">
              <w:rPr>
                <w:lang w:eastAsia="en-US"/>
              </w:rPr>
              <w:tab/>
              <w:t xml:space="preserve">&lt; </w:t>
            </w:r>
            <w:r w:rsidRPr="004D0DAA">
              <w:rPr>
                <w:b/>
                <w:lang w:eastAsia="en-US"/>
              </w:rPr>
              <w:t>RandomBits</w:t>
            </w:r>
            <w:r w:rsidRPr="004D0DAA">
              <w:rPr>
                <w:lang w:eastAsia="en-US"/>
              </w:rPr>
              <w:t xml:space="preserve"> : bit (2) &gt; &gt; </w:t>
            </w:r>
          </w:p>
          <w:p w14:paraId="56DD84FC"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Single block MBMS access</w:t>
            </w:r>
            <w:r w:rsidRPr="004D0DAA">
              <w:rPr>
                <w:lang w:eastAsia="en-US"/>
              </w:rPr>
              <w:t xml:space="preserve"> :</w:t>
            </w:r>
            <w:r w:rsidRPr="004D0DAA">
              <w:rPr>
                <w:lang w:eastAsia="en-US"/>
              </w:rPr>
              <w:tab/>
              <w:t>01111</w:t>
            </w:r>
            <w:r w:rsidRPr="004D0DAA">
              <w:rPr>
                <w:lang w:eastAsia="en-US"/>
              </w:rPr>
              <w:tab/>
              <w:t xml:space="preserve">&lt; </w:t>
            </w:r>
            <w:r w:rsidRPr="004D0DAA">
              <w:rPr>
                <w:b/>
                <w:lang w:eastAsia="en-US"/>
              </w:rPr>
              <w:t>RandomBits</w:t>
            </w:r>
            <w:r w:rsidRPr="004D0DAA">
              <w:rPr>
                <w:lang w:eastAsia="en-US"/>
              </w:rPr>
              <w:t xml:space="preserve"> : bit (3) &gt; &gt;;</w:t>
            </w:r>
          </w:p>
        </w:tc>
      </w:tr>
    </w:tbl>
    <w:p w14:paraId="3BEAE097" w14:textId="77777777" w:rsidR="00711444" w:rsidRPr="004D0DAA" w:rsidRDefault="00711444" w:rsidP="00711444"/>
    <w:p w14:paraId="3CB6E7A8" w14:textId="77777777" w:rsidR="00711444" w:rsidRPr="004D0DAA" w:rsidRDefault="00711444" w:rsidP="00711444">
      <w:pPr>
        <w:pStyle w:val="TH"/>
      </w:pPr>
      <w:r w:rsidRPr="004D0DAA">
        <w:t>Table 11.2.5.3: PACKET CHANNEL REQUEST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3E2C428" w14:textId="77777777" w:rsidTr="00AA2A4C">
        <w:tblPrEx>
          <w:tblCellMar>
            <w:top w:w="0" w:type="dxa"/>
            <w:bottom w:w="0" w:type="dxa"/>
          </w:tblCellMar>
        </w:tblPrEx>
        <w:trPr>
          <w:cantSplit/>
        </w:trPr>
        <w:tc>
          <w:tcPr>
            <w:tcW w:w="9848" w:type="dxa"/>
          </w:tcPr>
          <w:p w14:paraId="4FE1F9F6" w14:textId="77777777" w:rsidR="00711444" w:rsidRPr="004D0DAA" w:rsidRDefault="00711444" w:rsidP="00AA2A4C">
            <w:r w:rsidRPr="004D0DAA">
              <w:rPr>
                <w:b/>
              </w:rPr>
              <w:t>MultislotClass</w:t>
            </w:r>
            <w:r w:rsidRPr="004D0DAA">
              <w:t xml:space="preserve"> (5 bit field)</w:t>
            </w:r>
            <w:r w:rsidRPr="004D0DAA">
              <w:br/>
              <w:t>This information field indicates the GPRS multislot class of the MS. The multislot class indicated by this field shall be the same as the GPRS multislot class indicated in the MS Radio Access Capability IE (see 3GPP TS 24.008). The coding is defined in the following table.</w:t>
            </w:r>
          </w:p>
          <w:p w14:paraId="2B3F3BB8" w14:textId="77777777" w:rsidR="00711444" w:rsidRPr="004D0DAA" w:rsidRDefault="00711444" w:rsidP="00AA2A4C">
            <w:pPr>
              <w:tabs>
                <w:tab w:val="left" w:pos="1134"/>
              </w:tabs>
              <w:rPr>
                <w:b/>
              </w:rPr>
            </w:pPr>
            <w:r w:rsidRPr="004D0DAA">
              <w:t>bit</w:t>
            </w:r>
            <w:r w:rsidRPr="004D0DAA">
              <w:br/>
              <w:t>5 4 3 2 1</w:t>
            </w:r>
            <w:r w:rsidRPr="004D0DAA">
              <w:br/>
              <w:t>0 0 0 0 0</w:t>
            </w:r>
            <w:r w:rsidRPr="004D0DAA">
              <w:tab/>
              <w:t>multislot class 1</w:t>
            </w:r>
            <w:r w:rsidRPr="004D0DAA">
              <w:br/>
              <w:t>0 0 0 0 1</w:t>
            </w:r>
            <w:r w:rsidRPr="004D0DAA">
              <w:tab/>
              <w:t>multislot class 2</w:t>
            </w:r>
            <w:r w:rsidRPr="004D0DAA">
              <w:br/>
              <w:t>: :</w:t>
            </w:r>
            <w:r w:rsidRPr="004D0DAA">
              <w:tab/>
              <w:t>: :</w:t>
            </w:r>
            <w:r w:rsidRPr="004D0DAA">
              <w:br/>
              <w:t>1 1 1 0 0</w:t>
            </w:r>
            <w:r w:rsidRPr="004D0DAA">
              <w:tab/>
            </w:r>
            <w:r w:rsidRPr="004D0DAA">
              <w:tab/>
              <w:t>multislot class 29</w:t>
            </w:r>
            <w:r w:rsidRPr="004D0DAA">
              <w:br/>
              <w:t>other</w:t>
            </w:r>
            <w:r w:rsidRPr="004D0DAA">
              <w:tab/>
            </w:r>
            <w:r w:rsidRPr="004D0DAA">
              <w:tab/>
              <w:t>reserved values</w:t>
            </w:r>
          </w:p>
        </w:tc>
      </w:tr>
      <w:tr w:rsidR="00711444" w:rsidRPr="004D0DAA" w14:paraId="4EDEDE59" w14:textId="77777777" w:rsidTr="00AA2A4C">
        <w:tblPrEx>
          <w:tblCellMar>
            <w:top w:w="0" w:type="dxa"/>
            <w:bottom w:w="0" w:type="dxa"/>
          </w:tblCellMar>
        </w:tblPrEx>
        <w:trPr>
          <w:cantSplit/>
        </w:trPr>
        <w:tc>
          <w:tcPr>
            <w:tcW w:w="9848" w:type="dxa"/>
          </w:tcPr>
          <w:p w14:paraId="1D8C02DB" w14:textId="77777777" w:rsidR="00711444" w:rsidRPr="004D0DAA" w:rsidRDefault="00711444" w:rsidP="00AA2A4C">
            <w:pPr>
              <w:rPr>
                <w:rFonts w:hint="eastAsia"/>
                <w:lang w:eastAsia="ko-KR"/>
              </w:rPr>
            </w:pPr>
            <w:r w:rsidRPr="004D0DAA">
              <w:rPr>
                <w:b/>
              </w:rPr>
              <w:lastRenderedPageBreak/>
              <w:t>Priority</w:t>
            </w:r>
            <w:r w:rsidRPr="004D0DAA">
              <w:t xml:space="preserve"> (2 bit field)</w:t>
            </w:r>
            <w:r w:rsidRPr="004D0DAA">
              <w:br/>
              <w:t>This information field indicates the requested Radio Priority. This field is coded as shown in the following table. The 8 bit format has a default Radio Priority of 4.</w:t>
            </w:r>
          </w:p>
          <w:p w14:paraId="1F565A9C" w14:textId="77777777" w:rsidR="00711444" w:rsidRPr="004D0DAA" w:rsidRDefault="00711444" w:rsidP="00AA2A4C">
            <w:pPr>
              <w:tabs>
                <w:tab w:val="left" w:pos="851"/>
              </w:tabs>
              <w:rPr>
                <w:b/>
              </w:rPr>
            </w:pPr>
            <w:r w:rsidRPr="004D0DAA">
              <w:t>bit</w:t>
            </w:r>
            <w:r w:rsidRPr="004D0DAA">
              <w:br/>
              <w:t>2 1</w:t>
            </w:r>
            <w:r w:rsidRPr="004D0DAA">
              <w:br/>
              <w:t>0 0</w:t>
            </w:r>
            <w:r w:rsidRPr="004D0DAA">
              <w:tab/>
              <w:t>Radio Priority 1 (Highest priority)</w:t>
            </w:r>
            <w:r w:rsidRPr="004D0DAA">
              <w:br/>
              <w:t>0 1</w:t>
            </w:r>
            <w:r w:rsidRPr="004D0DAA">
              <w:tab/>
              <w:t>Radio Priority 2</w:t>
            </w:r>
            <w:r w:rsidRPr="004D0DAA">
              <w:br/>
              <w:t>1 0</w:t>
            </w:r>
            <w:r w:rsidRPr="004D0DAA">
              <w:tab/>
              <w:t>Radio Priority 3</w:t>
            </w:r>
            <w:r w:rsidRPr="004D0DAA">
              <w:br/>
              <w:t>1 1</w:t>
            </w:r>
            <w:r w:rsidRPr="004D0DAA">
              <w:tab/>
              <w:t>Radio Priority 4 (Lower priority)</w:t>
            </w:r>
          </w:p>
        </w:tc>
      </w:tr>
      <w:tr w:rsidR="00711444" w:rsidRPr="004D0DAA" w14:paraId="2DEFFBD6" w14:textId="77777777" w:rsidTr="00AA2A4C">
        <w:tblPrEx>
          <w:tblCellMar>
            <w:top w:w="0" w:type="dxa"/>
            <w:bottom w:w="0" w:type="dxa"/>
          </w:tblCellMar>
        </w:tblPrEx>
        <w:trPr>
          <w:cantSplit/>
        </w:trPr>
        <w:tc>
          <w:tcPr>
            <w:tcW w:w="9848" w:type="dxa"/>
          </w:tcPr>
          <w:p w14:paraId="5704E7B4" w14:textId="77777777" w:rsidR="00711444" w:rsidRPr="004D0DAA" w:rsidRDefault="00711444" w:rsidP="00AA2A4C">
            <w:r w:rsidRPr="004D0DAA">
              <w:rPr>
                <w:b/>
              </w:rPr>
              <w:t>NumberOfBlocks</w:t>
            </w:r>
            <w:r w:rsidRPr="004D0DAA">
              <w:t xml:space="preserve"> (3 bit field)</w:t>
            </w:r>
            <w:r w:rsidRPr="004D0DAA">
              <w:br/>
              <w:t>This information field indicates the number of blocks requested during a mobile originated Temporary Block Flow. This field is coded as shown in the following table:</w:t>
            </w:r>
          </w:p>
          <w:p w14:paraId="7239C964" w14:textId="77777777" w:rsidR="00711444" w:rsidRPr="004D0DAA" w:rsidRDefault="00711444" w:rsidP="00AA2A4C">
            <w:pPr>
              <w:tabs>
                <w:tab w:val="left" w:pos="1134"/>
              </w:tabs>
              <w:rPr>
                <w:b/>
              </w:rPr>
            </w:pPr>
            <w:r w:rsidRPr="004D0DAA">
              <w:t>bit</w:t>
            </w:r>
            <w:r w:rsidRPr="004D0DAA">
              <w:br/>
              <w:t xml:space="preserve">3 2 1 </w:t>
            </w:r>
            <w:r w:rsidRPr="004D0DAA">
              <w:br/>
              <w:t>0 0 0</w:t>
            </w:r>
            <w:r w:rsidRPr="004D0DAA">
              <w:tab/>
              <w:t>1 RLC data block</w:t>
            </w:r>
            <w:r w:rsidRPr="004D0DAA">
              <w:br/>
              <w:t>0 0 1</w:t>
            </w:r>
            <w:r w:rsidRPr="004D0DAA">
              <w:tab/>
              <w:t>2 RLC data blocks</w:t>
            </w:r>
            <w:r w:rsidRPr="004D0DAA">
              <w:br/>
              <w:t>. . .</w:t>
            </w:r>
            <w:r w:rsidRPr="004D0DAA">
              <w:br/>
              <w:t>1 1 1</w:t>
            </w:r>
            <w:r w:rsidRPr="004D0DAA">
              <w:tab/>
              <w:t>8 RLC data blocks</w:t>
            </w:r>
          </w:p>
        </w:tc>
      </w:tr>
      <w:tr w:rsidR="00711444" w:rsidRPr="004D0DAA" w14:paraId="27FA98D6" w14:textId="77777777" w:rsidTr="00AA2A4C">
        <w:tblPrEx>
          <w:tblCellMar>
            <w:top w:w="0" w:type="dxa"/>
            <w:bottom w:w="0" w:type="dxa"/>
          </w:tblCellMar>
        </w:tblPrEx>
        <w:trPr>
          <w:cantSplit/>
        </w:trPr>
        <w:tc>
          <w:tcPr>
            <w:tcW w:w="9848" w:type="dxa"/>
          </w:tcPr>
          <w:p w14:paraId="6A9D19FB" w14:textId="77777777" w:rsidR="00711444" w:rsidRPr="004D0DAA" w:rsidRDefault="00711444" w:rsidP="00AA2A4C">
            <w:r w:rsidRPr="004D0DAA">
              <w:rPr>
                <w:b/>
              </w:rPr>
              <w:t>RandomBits</w:t>
            </w:r>
            <w:r w:rsidRPr="004D0DAA">
              <w:t xml:space="preserve"> (2 bit field or 3 bit field or 5 bit field)</w:t>
            </w:r>
            <w:r w:rsidRPr="004D0DAA">
              <w:br/>
              <w:t>This is an unformatted field.</w:t>
            </w:r>
          </w:p>
        </w:tc>
      </w:tr>
    </w:tbl>
    <w:p w14:paraId="53C61DBC" w14:textId="77777777" w:rsidR="00711444" w:rsidRPr="004D0DAA" w:rsidRDefault="00711444" w:rsidP="00711444"/>
    <w:p w14:paraId="726FA6E3" w14:textId="77777777" w:rsidR="00711444" w:rsidRPr="004D0DAA" w:rsidRDefault="00711444" w:rsidP="00711444">
      <w:pPr>
        <w:pStyle w:val="Heading3"/>
      </w:pPr>
      <w:bookmarkStart w:id="652" w:name="_Toc516669830"/>
      <w:r w:rsidRPr="004D0DAA">
        <w:t>11.2.5a</w:t>
      </w:r>
      <w:r w:rsidRPr="004D0DAA">
        <w:tab/>
        <w:t>EGPRS Packet Channel Request</w:t>
      </w:r>
      <w:bookmarkEnd w:id="652"/>
    </w:p>
    <w:p w14:paraId="40623A64" w14:textId="77777777" w:rsidR="00711444" w:rsidRPr="004D0DAA" w:rsidRDefault="00711444" w:rsidP="00711444">
      <w:r w:rsidRPr="004D0DAA">
        <w:t>This message may be sent by an EGPRS capable mobile station in a cell supporting EGPRS and where the EGPRS_PACKET_CHANNEL_REQUEST parameter indicates that this message shall be used.</w:t>
      </w:r>
    </w:p>
    <w:p w14:paraId="1366E5C6" w14:textId="77777777" w:rsidR="00711444" w:rsidRPr="004D0DAA" w:rsidRDefault="00711444" w:rsidP="00711444">
      <w:r w:rsidRPr="004D0DAA">
        <w:t>This message is sent in random mode on the PRACH using the PRACH uplink block format or on the RACH (see 3GPP TS 44.018) using the RACH uplink / Uplink access burst block format defined in 3GPP TS 44.004. The order of bit transmission is defined in 3GPP TS 44.004. The numbering, assembling and field mapping conventions defined for RLC/MAC control blocks in</w:t>
      </w:r>
      <w:r w:rsidRPr="004D0DAA">
        <w:rPr>
          <w:i/>
        </w:rPr>
        <w:t xml:space="preserve"> </w:t>
      </w:r>
      <w:r w:rsidRPr="004D0DAA">
        <w:t>sub-clause 10.0b shall apply. The message is coded in 11</w:t>
      </w:r>
      <w:r w:rsidRPr="004D0DAA">
        <w:noBreakHyphen/>
        <w:t>bit format.</w:t>
      </w:r>
    </w:p>
    <w:p w14:paraId="6D898F6E" w14:textId="77777777" w:rsidR="00711444" w:rsidRPr="004D0DAA" w:rsidRDefault="00711444" w:rsidP="00711444">
      <w:r w:rsidRPr="004D0DAA">
        <w:t>The EGPRS capability is indicated using alternative training sequences (see 3GPP TS 45.002).</w:t>
      </w:r>
    </w:p>
    <w:p w14:paraId="51505922" w14:textId="77777777" w:rsidR="00711444" w:rsidRPr="004D0DAA" w:rsidRDefault="00711444" w:rsidP="00711444">
      <w:pPr>
        <w:pStyle w:val="TH"/>
      </w:pPr>
      <w:r w:rsidRPr="004D0DAA">
        <w:t>Table 11.2.5a.1: EGPRS PACKET CHANNEL REQUEST messages (non-PEO access)</w:t>
      </w:r>
    </w:p>
    <w:tbl>
      <w:tblPr>
        <w:tblW w:w="97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5"/>
        <w:gridCol w:w="4394"/>
        <w:gridCol w:w="3402"/>
      </w:tblGrid>
      <w:tr w:rsidR="00711444" w:rsidRPr="004D0DAA" w14:paraId="308DEFB5" w14:textId="77777777" w:rsidTr="00AA2A4C">
        <w:tblPrEx>
          <w:tblCellMar>
            <w:top w:w="0" w:type="dxa"/>
            <w:bottom w:w="0" w:type="dxa"/>
          </w:tblCellMar>
        </w:tblPrEx>
        <w:trPr>
          <w:cantSplit/>
        </w:trPr>
        <w:tc>
          <w:tcPr>
            <w:tcW w:w="1985" w:type="dxa"/>
          </w:tcPr>
          <w:p w14:paraId="12785608" w14:textId="77777777" w:rsidR="00711444" w:rsidRPr="004D0DAA" w:rsidRDefault="00711444" w:rsidP="00AA2A4C">
            <w:pPr>
              <w:pStyle w:val="TAH"/>
              <w:rPr>
                <w:lang w:eastAsia="en-US"/>
              </w:rPr>
            </w:pPr>
            <w:r w:rsidRPr="004D0DAA">
              <w:rPr>
                <w:lang w:eastAsia="en-US"/>
              </w:rPr>
              <w:t xml:space="preserve">Training sequence </w:t>
            </w:r>
            <w:r w:rsidRPr="004D0DAA">
              <w:rPr>
                <w:lang w:eastAsia="en-US"/>
              </w:rPr>
              <w:br/>
              <w:t>(see 3GPP TS 45.002)</w:t>
            </w:r>
          </w:p>
        </w:tc>
        <w:tc>
          <w:tcPr>
            <w:tcW w:w="4394" w:type="dxa"/>
          </w:tcPr>
          <w:p w14:paraId="2D891ADE" w14:textId="77777777" w:rsidR="00711444" w:rsidRPr="004D0DAA" w:rsidRDefault="00711444" w:rsidP="00AA2A4C">
            <w:pPr>
              <w:pStyle w:val="TAH"/>
              <w:rPr>
                <w:lang w:eastAsia="en-US"/>
              </w:rPr>
            </w:pPr>
            <w:r w:rsidRPr="004D0DAA">
              <w:rPr>
                <w:lang w:eastAsia="en-US"/>
              </w:rPr>
              <w:t>bits</w:t>
            </w:r>
            <w:r w:rsidRPr="004D0DAA">
              <w:rPr>
                <w:lang w:eastAsia="en-US"/>
              </w:rPr>
              <w:br/>
              <w:t>11…...1</w:t>
            </w:r>
          </w:p>
        </w:tc>
        <w:tc>
          <w:tcPr>
            <w:tcW w:w="3402" w:type="dxa"/>
          </w:tcPr>
          <w:p w14:paraId="7FD885B2" w14:textId="77777777" w:rsidR="00711444" w:rsidRPr="004D0DAA" w:rsidRDefault="00711444" w:rsidP="00AA2A4C">
            <w:pPr>
              <w:pStyle w:val="TAH"/>
              <w:rPr>
                <w:lang w:eastAsia="en-US"/>
              </w:rPr>
            </w:pPr>
            <w:r w:rsidRPr="004D0DAA">
              <w:rPr>
                <w:lang w:eastAsia="en-US"/>
              </w:rPr>
              <w:br/>
              <w:t>Packet Channel Access</w:t>
            </w:r>
          </w:p>
        </w:tc>
      </w:tr>
      <w:tr w:rsidR="00711444" w:rsidRPr="004D0DAA" w14:paraId="01FE829C" w14:textId="77777777" w:rsidTr="00AA2A4C">
        <w:tblPrEx>
          <w:tblCellMar>
            <w:top w:w="0" w:type="dxa"/>
            <w:bottom w:w="0" w:type="dxa"/>
          </w:tblCellMar>
        </w:tblPrEx>
        <w:trPr>
          <w:cantSplit/>
        </w:trPr>
        <w:tc>
          <w:tcPr>
            <w:tcW w:w="1985" w:type="dxa"/>
          </w:tcPr>
          <w:p w14:paraId="5031B7E9" w14:textId="77777777" w:rsidR="00711444" w:rsidRPr="004D0DAA" w:rsidRDefault="00711444" w:rsidP="00AA2A4C">
            <w:pPr>
              <w:pStyle w:val="TAL"/>
              <w:rPr>
                <w:lang w:eastAsia="en-US"/>
              </w:rPr>
            </w:pPr>
            <w:r w:rsidRPr="004D0DAA">
              <w:rPr>
                <w:lang w:eastAsia="en-US"/>
              </w:rPr>
              <w:t>TS1</w:t>
            </w:r>
          </w:p>
        </w:tc>
        <w:tc>
          <w:tcPr>
            <w:tcW w:w="4394" w:type="dxa"/>
          </w:tcPr>
          <w:p w14:paraId="1E695896" w14:textId="77777777" w:rsidR="00711444" w:rsidRPr="004D0DAA" w:rsidRDefault="00711444" w:rsidP="00AA2A4C">
            <w:pPr>
              <w:pStyle w:val="TAL"/>
              <w:rPr>
                <w:lang w:eastAsia="en-US"/>
              </w:rPr>
            </w:pPr>
            <w:r w:rsidRPr="004D0DAA">
              <w:rPr>
                <w:lang w:eastAsia="en-US"/>
              </w:rPr>
              <w:t>&lt; EGPRS Packet channel request message content &gt;</w:t>
            </w:r>
          </w:p>
        </w:tc>
        <w:tc>
          <w:tcPr>
            <w:tcW w:w="3402" w:type="dxa"/>
          </w:tcPr>
          <w:p w14:paraId="4A783E65" w14:textId="77777777" w:rsidR="00711444" w:rsidRPr="004D0DAA" w:rsidRDefault="00711444" w:rsidP="00AA2A4C">
            <w:pPr>
              <w:pStyle w:val="TAL"/>
              <w:rPr>
                <w:lang w:eastAsia="en-US"/>
              </w:rPr>
            </w:pPr>
            <w:r w:rsidRPr="004D0DAA">
              <w:rPr>
                <w:lang w:eastAsia="en-US"/>
              </w:rPr>
              <w:t>EGPRS with 8PSK capability in uplink</w:t>
            </w:r>
          </w:p>
        </w:tc>
      </w:tr>
      <w:tr w:rsidR="00711444" w:rsidRPr="004D0DAA" w14:paraId="06B4E766" w14:textId="77777777" w:rsidTr="00AA2A4C">
        <w:tblPrEx>
          <w:tblCellMar>
            <w:top w:w="0" w:type="dxa"/>
            <w:bottom w:w="0" w:type="dxa"/>
          </w:tblCellMar>
        </w:tblPrEx>
        <w:trPr>
          <w:cantSplit/>
        </w:trPr>
        <w:tc>
          <w:tcPr>
            <w:tcW w:w="1985" w:type="dxa"/>
          </w:tcPr>
          <w:p w14:paraId="1BE54CF4" w14:textId="77777777" w:rsidR="00711444" w:rsidRPr="004D0DAA" w:rsidRDefault="00711444" w:rsidP="00AA2A4C">
            <w:pPr>
              <w:pStyle w:val="TAL"/>
              <w:rPr>
                <w:lang w:eastAsia="en-US"/>
              </w:rPr>
            </w:pPr>
            <w:r w:rsidRPr="004D0DAA">
              <w:rPr>
                <w:lang w:eastAsia="en-US"/>
              </w:rPr>
              <w:t>TS2</w:t>
            </w:r>
          </w:p>
        </w:tc>
        <w:tc>
          <w:tcPr>
            <w:tcW w:w="4394" w:type="dxa"/>
          </w:tcPr>
          <w:p w14:paraId="46C5DB8C" w14:textId="77777777" w:rsidR="00711444" w:rsidRPr="004D0DAA" w:rsidRDefault="00711444" w:rsidP="00AA2A4C">
            <w:pPr>
              <w:pStyle w:val="TAL"/>
              <w:rPr>
                <w:lang w:eastAsia="en-US"/>
              </w:rPr>
            </w:pPr>
            <w:r w:rsidRPr="004D0DAA">
              <w:rPr>
                <w:lang w:eastAsia="en-US"/>
              </w:rPr>
              <w:t>&lt; EGPRS Packet channel request message content &gt;</w:t>
            </w:r>
          </w:p>
        </w:tc>
        <w:tc>
          <w:tcPr>
            <w:tcW w:w="3402" w:type="dxa"/>
          </w:tcPr>
          <w:p w14:paraId="2F846F77" w14:textId="77777777" w:rsidR="00711444" w:rsidRPr="004D0DAA" w:rsidRDefault="00711444" w:rsidP="00AA2A4C">
            <w:pPr>
              <w:pStyle w:val="TAL"/>
              <w:rPr>
                <w:lang w:eastAsia="en-US"/>
              </w:rPr>
            </w:pPr>
            <w:r w:rsidRPr="004D0DAA">
              <w:rPr>
                <w:lang w:eastAsia="en-US"/>
              </w:rPr>
              <w:t>EGPRS without 8PSK capability in uplink</w:t>
            </w:r>
          </w:p>
        </w:tc>
      </w:tr>
    </w:tbl>
    <w:p w14:paraId="651DEC40" w14:textId="77777777" w:rsidR="00711444" w:rsidRPr="004D0DAA" w:rsidRDefault="00711444" w:rsidP="00711444"/>
    <w:p w14:paraId="47FD35EE" w14:textId="77777777" w:rsidR="00711444" w:rsidRPr="004D0DAA" w:rsidRDefault="00711444" w:rsidP="00711444"/>
    <w:p w14:paraId="580ACDC4" w14:textId="77777777" w:rsidR="00711444" w:rsidRPr="004D0DAA" w:rsidRDefault="00711444" w:rsidP="00711444">
      <w:pPr>
        <w:pStyle w:val="TH"/>
      </w:pPr>
      <w:r w:rsidRPr="004D0DAA">
        <w:lastRenderedPageBreak/>
        <w:t>Table 11.2.5a.2: EGPRS PACKET CHANNEL REQUEST message content (non-PEO access)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0"/>
      </w:tblGrid>
      <w:tr w:rsidR="00711444" w:rsidRPr="004D0DAA" w14:paraId="177D4E3D" w14:textId="77777777" w:rsidTr="00AA2A4C">
        <w:tblPrEx>
          <w:tblCellMar>
            <w:top w:w="0" w:type="dxa"/>
            <w:bottom w:w="0" w:type="dxa"/>
          </w:tblCellMar>
        </w:tblPrEx>
        <w:tc>
          <w:tcPr>
            <w:tcW w:w="9740" w:type="dxa"/>
          </w:tcPr>
          <w:p w14:paraId="3184BE08" w14:textId="77777777" w:rsidR="00711444" w:rsidRPr="004D0DAA" w:rsidRDefault="00711444" w:rsidP="00AA2A4C">
            <w:pPr>
              <w:pStyle w:val="TAL"/>
              <w:tabs>
                <w:tab w:val="left" w:pos="297"/>
                <w:tab w:val="left" w:pos="4854"/>
                <w:tab w:val="left" w:pos="6271"/>
              </w:tabs>
              <w:rPr>
                <w:lang w:eastAsia="en-US"/>
              </w:rPr>
            </w:pPr>
            <w:r w:rsidRPr="004D0DAA">
              <w:rPr>
                <w:lang w:eastAsia="en-US"/>
              </w:rPr>
              <w:t>&lt; EGPRS Packet channel request message content &gt; ::=</w:t>
            </w:r>
          </w:p>
          <w:p w14:paraId="4C7B0CFA"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&lt; </w:t>
            </w:r>
            <w:r w:rsidRPr="004D0DAA">
              <w:rPr>
                <w:b/>
                <w:lang w:eastAsia="en-US"/>
              </w:rPr>
              <w:t>One Phase Access Request</w:t>
            </w:r>
            <w:r w:rsidRPr="004D0DAA">
              <w:rPr>
                <w:lang w:eastAsia="en-US"/>
              </w:rPr>
              <w:t xml:space="preserve"> :</w:t>
            </w:r>
            <w:r w:rsidRPr="004D0DAA">
              <w:rPr>
                <w:lang w:eastAsia="en-US"/>
              </w:rPr>
              <w:tab/>
              <w:t>0</w:t>
            </w:r>
            <w:r w:rsidRPr="004D0DAA">
              <w:rPr>
                <w:lang w:eastAsia="en-US"/>
              </w:rPr>
              <w:tab/>
              <w:t xml:space="preserve">&lt; </w:t>
            </w:r>
            <w:r w:rsidRPr="004D0DAA">
              <w:rPr>
                <w:b/>
                <w:lang w:eastAsia="en-US"/>
              </w:rPr>
              <w:t xml:space="preserve">MultislotClass </w:t>
            </w:r>
            <w:r w:rsidRPr="004D0DAA">
              <w:rPr>
                <w:lang w:eastAsia="en-US"/>
              </w:rPr>
              <w:t>: bit (5) &gt;</w:t>
            </w:r>
          </w:p>
          <w:p w14:paraId="27ADA505"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Priority </w:t>
            </w:r>
            <w:r w:rsidRPr="004D0DAA">
              <w:rPr>
                <w:lang w:eastAsia="en-US"/>
              </w:rPr>
              <w:t>: bit (2) &gt;</w:t>
            </w:r>
          </w:p>
          <w:p w14:paraId="4BA06E42"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bit (3) &gt; &gt;</w:t>
            </w:r>
          </w:p>
          <w:p w14:paraId="64B2B1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3658AE38" w14:textId="77777777" w:rsidR="00711444" w:rsidRPr="004D0DAA" w:rsidRDefault="00711444" w:rsidP="00AA2A4C">
            <w:pPr>
              <w:pStyle w:val="TAL"/>
              <w:rPr>
                <w:i/>
                <w:iCs/>
                <w:lang w:eastAsia="en-US"/>
              </w:rPr>
            </w:pPr>
            <w:r w:rsidRPr="004D0DAA">
              <w:rPr>
                <w:lang w:eastAsia="en-US"/>
              </w:rPr>
              <w:t xml:space="preserve">       | &lt; </w:t>
            </w:r>
            <w:r w:rsidRPr="004D0DAA">
              <w:rPr>
                <w:b/>
                <w:bCs/>
                <w:lang w:eastAsia="en-US"/>
              </w:rPr>
              <w:t>Short Access Request</w:t>
            </w:r>
            <w:r w:rsidRPr="004D0DAA">
              <w:rPr>
                <w:lang w:eastAsia="en-US"/>
              </w:rPr>
              <w:t xml:space="preserve">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100         --    </w:t>
            </w:r>
            <w:r w:rsidRPr="004D0DAA">
              <w:rPr>
                <w:i/>
                <w:iCs/>
                <w:lang w:eastAsia="en-US"/>
              </w:rPr>
              <w:t xml:space="preserve">The value 100 was allocated in an earlier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iCs/>
                <w:lang w:eastAsia="en-US"/>
              </w:rPr>
              <w:t xml:space="preserve">version of the protocol and shall not be used </w:t>
            </w:r>
          </w:p>
          <w:p w14:paraId="03207409" w14:textId="77777777" w:rsidR="00711444" w:rsidRPr="004D0DAA" w:rsidRDefault="00711444" w:rsidP="00AA2A4C">
            <w:pPr>
              <w:pStyle w:val="TAL"/>
              <w:rPr>
                <w:lang w:eastAsia="en-US"/>
              </w:rPr>
            </w:pPr>
            <w:r w:rsidRPr="004D0DAA">
              <w:rPr>
                <w:lang w:eastAsia="en-US"/>
              </w:rPr>
              <w:t xml:space="preserve">                                                                                                                              &lt; </w:t>
            </w:r>
            <w:r w:rsidRPr="004D0DAA">
              <w:rPr>
                <w:b/>
                <w:bCs/>
                <w:lang w:eastAsia="en-US"/>
              </w:rPr>
              <w:t xml:space="preserve">NumberOfBlocks </w:t>
            </w:r>
            <w:r w:rsidRPr="004D0DAA">
              <w:rPr>
                <w:lang w:eastAsia="en-US"/>
              </w:rPr>
              <w:t>: bit (3) &gt;</w:t>
            </w:r>
          </w:p>
          <w:p w14:paraId="0F104102" w14:textId="77777777" w:rsidR="00711444" w:rsidRPr="004D0DAA" w:rsidRDefault="00711444" w:rsidP="00AA2A4C">
            <w:pPr>
              <w:pStyle w:val="TAL"/>
              <w:rPr>
                <w:lang w:eastAsia="en-US"/>
              </w:rPr>
            </w:pPr>
            <w:r w:rsidRPr="004D0DAA">
              <w:rPr>
                <w:lang w:eastAsia="en-US"/>
              </w:rPr>
              <w:t xml:space="preserve">                                                                                                                              &lt; </w:t>
            </w:r>
            <w:r w:rsidRPr="004D0DAA">
              <w:rPr>
                <w:b/>
                <w:bCs/>
                <w:lang w:eastAsia="en-US"/>
              </w:rPr>
              <w:t xml:space="preserve">Priority </w:t>
            </w:r>
            <w:r w:rsidRPr="004D0DAA">
              <w:rPr>
                <w:lang w:eastAsia="en-US"/>
              </w:rPr>
              <w:t>: bit (2) &gt;</w:t>
            </w:r>
          </w:p>
          <w:p w14:paraId="7D9AA4FE" w14:textId="77777777" w:rsidR="00711444" w:rsidRPr="004D0DAA" w:rsidRDefault="00711444" w:rsidP="00AA2A4C">
            <w:pPr>
              <w:pStyle w:val="TAL"/>
              <w:rPr>
                <w:lang w:eastAsia="en-US"/>
              </w:rPr>
            </w:pPr>
            <w:r w:rsidRPr="004D0DAA">
              <w:rPr>
                <w:lang w:eastAsia="en-US"/>
              </w:rPr>
              <w:t xml:space="preserve">                                                                                                                              &lt; </w:t>
            </w:r>
            <w:r w:rsidRPr="004D0DAA">
              <w:rPr>
                <w:b/>
                <w:bCs/>
                <w:lang w:eastAsia="en-US"/>
              </w:rPr>
              <w:t xml:space="preserve">RandomBits </w:t>
            </w:r>
            <w:r w:rsidRPr="004D0DAA">
              <w:rPr>
                <w:lang w:eastAsia="en-US"/>
              </w:rPr>
              <w:t>: bit (3) &gt; &gt;</w:t>
            </w:r>
          </w:p>
          <w:p w14:paraId="30B8AF1E"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bCs/>
                <w:lang w:eastAsia="en-US"/>
              </w:rPr>
              <w:t xml:space="preserve">One Phase Access Request by Reduced Latency MS </w:t>
            </w:r>
            <w:r w:rsidRPr="004D0DAA">
              <w:rPr>
                <w:lang w:eastAsia="en-US"/>
              </w:rPr>
              <w:t>: 101</w:t>
            </w:r>
            <w:r w:rsidRPr="004D0DAA">
              <w:rPr>
                <w:lang w:eastAsia="en-US"/>
              </w:rPr>
              <w:tab/>
              <w:t xml:space="preserve">&lt; </w:t>
            </w:r>
            <w:r w:rsidRPr="004D0DAA">
              <w:rPr>
                <w:b/>
                <w:bCs/>
                <w:lang w:eastAsia="en-US"/>
              </w:rPr>
              <w:t>MultislotClassGroup</w:t>
            </w:r>
            <w:r w:rsidRPr="004D0DAA">
              <w:rPr>
                <w:lang w:eastAsia="en-US"/>
              </w:rPr>
              <w:t xml:space="preserve"> : bit (3) &gt;</w:t>
            </w:r>
          </w:p>
          <w:p w14:paraId="3822DBB4"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Priority</w:t>
            </w:r>
            <w:r w:rsidRPr="004D0DAA">
              <w:rPr>
                <w:lang w:eastAsia="en-US"/>
              </w:rPr>
              <w:t xml:space="preserve"> : bit (2) &gt;</w:t>
            </w:r>
          </w:p>
          <w:p w14:paraId="2C535F02"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RandomBits</w:t>
            </w:r>
            <w:r w:rsidRPr="004D0DAA">
              <w:rPr>
                <w:lang w:eastAsia="en-US"/>
              </w:rPr>
              <w:t xml:space="preserve"> : bit (3) &gt; &gt;</w:t>
            </w:r>
          </w:p>
          <w:p w14:paraId="1570A8AB"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lang w:eastAsia="en-US"/>
              </w:rPr>
              <w:t>Two Phase Access Request</w:t>
            </w:r>
            <w:r w:rsidRPr="004D0DAA">
              <w:rPr>
                <w:lang w:eastAsia="en-US"/>
              </w:rPr>
              <w:t xml:space="preserve"> :</w:t>
            </w:r>
            <w:r w:rsidRPr="004D0DAA">
              <w:rPr>
                <w:lang w:eastAsia="en-US"/>
              </w:rPr>
              <w:tab/>
              <w:t>110000</w:t>
            </w:r>
            <w:r w:rsidRPr="004D0DAA">
              <w:rPr>
                <w:lang w:eastAsia="en-US"/>
              </w:rPr>
              <w:tab/>
              <w:t xml:space="preserve">&lt; </w:t>
            </w:r>
            <w:r w:rsidRPr="004D0DAA">
              <w:rPr>
                <w:b/>
                <w:lang w:eastAsia="en-US"/>
              </w:rPr>
              <w:t>Priority</w:t>
            </w:r>
            <w:r w:rsidRPr="004D0DAA">
              <w:rPr>
                <w:lang w:eastAsia="en-US"/>
              </w:rPr>
              <w:t xml:space="preserve"> : bit (2) &gt; </w:t>
            </w:r>
          </w:p>
          <w:p w14:paraId="1E0372E7"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xml:space="preserve">: bit (3) &gt; &gt; </w:t>
            </w:r>
          </w:p>
          <w:p w14:paraId="055BC60A"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lang w:eastAsia="en-US"/>
              </w:rPr>
              <w:t>Signalling</w:t>
            </w:r>
            <w:r w:rsidRPr="004D0DAA">
              <w:rPr>
                <w:lang w:eastAsia="en-US"/>
              </w:rPr>
              <w:t xml:space="preserve"> :</w:t>
            </w:r>
            <w:r w:rsidRPr="004D0DAA">
              <w:rPr>
                <w:lang w:eastAsia="en-US"/>
              </w:rPr>
              <w:tab/>
              <w:t>110011</w:t>
            </w:r>
            <w:r w:rsidRPr="004D0DAA">
              <w:rPr>
                <w:lang w:eastAsia="en-US"/>
              </w:rPr>
              <w:tab/>
              <w:t xml:space="preserve">&lt; </w:t>
            </w:r>
            <w:r w:rsidRPr="004D0DAA">
              <w:rPr>
                <w:b/>
                <w:lang w:eastAsia="en-US"/>
              </w:rPr>
              <w:t xml:space="preserve">RandomBits </w:t>
            </w:r>
            <w:r w:rsidRPr="004D0DAA">
              <w:rPr>
                <w:lang w:eastAsia="en-US"/>
              </w:rPr>
              <w:t>: bit (5) &gt; &gt;</w:t>
            </w:r>
          </w:p>
          <w:p w14:paraId="2CC91100"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lang w:eastAsia="en-US"/>
              </w:rPr>
              <w:t>One phase Access Request in RLC unack mode</w:t>
            </w:r>
            <w:r w:rsidRPr="004D0DAA">
              <w:rPr>
                <w:lang w:eastAsia="en-US"/>
              </w:rPr>
              <w:t xml:space="preserve"> :</w:t>
            </w:r>
            <w:r w:rsidRPr="004D0DAA">
              <w:rPr>
                <w:lang w:eastAsia="en-US"/>
              </w:rPr>
              <w:tab/>
              <w:t>110101</w:t>
            </w:r>
            <w:r w:rsidRPr="004D0DAA">
              <w:rPr>
                <w:lang w:eastAsia="en-US"/>
              </w:rPr>
              <w:tab/>
              <w:t xml:space="preserve">&lt; </w:t>
            </w:r>
            <w:r w:rsidRPr="004D0DAA">
              <w:rPr>
                <w:b/>
                <w:lang w:eastAsia="en-US"/>
              </w:rPr>
              <w:t xml:space="preserve">RandomBits </w:t>
            </w:r>
            <w:r w:rsidRPr="004D0DAA">
              <w:rPr>
                <w:lang w:eastAsia="en-US"/>
              </w:rPr>
              <w:t>: bit (5) &gt; &gt;</w:t>
            </w:r>
          </w:p>
          <w:p w14:paraId="389DFCA6"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lang w:eastAsia="en-US"/>
              </w:rPr>
              <w:t>Dedicated Channel Request</w:t>
            </w:r>
            <w:r w:rsidRPr="004D0DAA">
              <w:rPr>
                <w:lang w:eastAsia="en-US"/>
              </w:rPr>
              <w:t xml:space="preserve"> :</w:t>
            </w:r>
            <w:r w:rsidRPr="004D0DAA">
              <w:rPr>
                <w:lang w:eastAsia="en-US"/>
              </w:rPr>
              <w:tab/>
              <w:t>110110</w:t>
            </w:r>
            <w:r w:rsidRPr="004D0DAA">
              <w:rPr>
                <w:lang w:eastAsia="en-US"/>
              </w:rPr>
              <w:tab/>
              <w:t xml:space="preserve">&lt; </w:t>
            </w:r>
            <w:r w:rsidRPr="004D0DAA">
              <w:rPr>
                <w:b/>
                <w:lang w:eastAsia="en-US"/>
              </w:rPr>
              <w:t xml:space="preserve">RandomBits </w:t>
            </w:r>
            <w:r w:rsidRPr="004D0DAA">
              <w:rPr>
                <w:lang w:eastAsia="en-US"/>
              </w:rPr>
              <w:t>: bit (5) &gt; &gt;</w:t>
            </w:r>
          </w:p>
          <w:p w14:paraId="1FF2495E" w14:textId="77777777" w:rsidR="00711444" w:rsidRPr="004D0DAA" w:rsidRDefault="00711444" w:rsidP="00AA2A4C">
            <w:pPr>
              <w:pStyle w:val="TAL"/>
              <w:tabs>
                <w:tab w:val="left" w:pos="297"/>
                <w:tab w:val="left" w:pos="4854"/>
                <w:tab w:val="left" w:pos="6271"/>
              </w:tabs>
              <w:rPr>
                <w:rFonts w:hint="eastAsia"/>
                <w:lang w:eastAsia="zh-CN"/>
              </w:rPr>
            </w:pPr>
            <w:r w:rsidRPr="004D0DAA">
              <w:rPr>
                <w:lang w:eastAsia="en-US"/>
              </w:rPr>
              <w:tab/>
              <w:t xml:space="preserve">| &lt; </w:t>
            </w:r>
            <w:r w:rsidRPr="004D0DAA">
              <w:rPr>
                <w:b/>
                <w:bCs/>
                <w:lang w:eastAsia="en-US"/>
              </w:rPr>
              <w:t>Emergency call</w:t>
            </w:r>
            <w:r w:rsidRPr="004D0DAA">
              <w:rPr>
                <w:lang w:eastAsia="en-US"/>
              </w:rPr>
              <w:t xml:space="preserve"> :</w:t>
            </w:r>
            <w:r w:rsidRPr="004D0DAA">
              <w:rPr>
                <w:lang w:eastAsia="en-US"/>
              </w:rPr>
              <w:tab/>
              <w:t>110111</w:t>
            </w:r>
            <w:r w:rsidRPr="004D0DAA">
              <w:rPr>
                <w:lang w:eastAsia="en-US"/>
              </w:rPr>
              <w:tab/>
              <w:t xml:space="preserve">&lt; </w:t>
            </w:r>
            <w:r w:rsidRPr="004D0DAA">
              <w:rPr>
                <w:b/>
                <w:lang w:eastAsia="en-US"/>
              </w:rPr>
              <w:t xml:space="preserve">RandomBits </w:t>
            </w:r>
            <w:r w:rsidRPr="004D0DAA">
              <w:rPr>
                <w:lang w:eastAsia="en-US"/>
              </w:rPr>
              <w:t>: bit (5) &gt; &gt;</w:t>
            </w:r>
          </w:p>
          <w:p w14:paraId="2CF5658E" w14:textId="77777777" w:rsidR="00711444" w:rsidRPr="004D0DAA" w:rsidRDefault="00711444" w:rsidP="00AA2A4C">
            <w:pPr>
              <w:pStyle w:val="TAL"/>
              <w:tabs>
                <w:tab w:val="left" w:pos="297"/>
                <w:tab w:val="left" w:pos="4854"/>
                <w:tab w:val="left" w:pos="6271"/>
              </w:tabs>
              <w:rPr>
                <w:lang w:eastAsia="en-US"/>
              </w:rPr>
            </w:pPr>
            <w:r w:rsidRPr="004D0DAA">
              <w:rPr>
                <w:lang w:eastAsia="zh-CN"/>
              </w:rPr>
              <w:tab/>
            </w:r>
            <w:r w:rsidRPr="004D0DAA">
              <w:rPr>
                <w:rFonts w:hint="eastAsia"/>
                <w:lang w:eastAsia="zh-CN"/>
              </w:rPr>
              <w:t>| &lt;</w:t>
            </w:r>
            <w:r w:rsidRPr="004D0DAA">
              <w:rPr>
                <w:b/>
                <w:bCs/>
                <w:lang w:eastAsia="en-US"/>
              </w:rPr>
              <w:t xml:space="preserve"> </w:t>
            </w:r>
            <w:r w:rsidRPr="004D0DAA">
              <w:rPr>
                <w:rFonts w:hint="eastAsia"/>
                <w:b/>
                <w:bCs/>
                <w:lang w:eastAsia="zh-CN"/>
              </w:rPr>
              <w:t>Two</w:t>
            </w:r>
            <w:r w:rsidRPr="004D0DAA">
              <w:rPr>
                <w:b/>
                <w:bCs/>
                <w:lang w:eastAsia="en-US"/>
              </w:rPr>
              <w:t xml:space="preserve"> Phase</w:t>
            </w:r>
            <w:r w:rsidRPr="004D0DAA">
              <w:rPr>
                <w:rFonts w:hint="eastAsia"/>
                <w:b/>
                <w:lang w:eastAsia="zh-CN"/>
              </w:rPr>
              <w:t xml:space="preserve"> Access Request by IPA capable MS</w:t>
            </w:r>
            <w:r w:rsidRPr="004D0DAA">
              <w:rPr>
                <w:lang w:eastAsia="zh-CN"/>
              </w:rPr>
              <w:tab/>
            </w:r>
            <w:r w:rsidRPr="004D0DAA">
              <w:rPr>
                <w:rFonts w:hint="eastAsia"/>
                <w:lang w:eastAsia="zh-CN"/>
              </w:rPr>
              <w:t>111</w:t>
            </w:r>
            <w:r w:rsidRPr="004D0DAA">
              <w:rPr>
                <w:lang w:eastAsia="zh-CN"/>
              </w:rPr>
              <w:t>0</w:t>
            </w:r>
            <w:r w:rsidRPr="004D0DAA">
              <w:rPr>
                <w:rFonts w:hint="eastAsia"/>
                <w:lang w:eastAsia="zh-CN"/>
              </w:rPr>
              <w:t>00</w:t>
            </w:r>
            <w:r w:rsidRPr="004D0DAA">
              <w:rPr>
                <w:lang w:eastAsia="zh-CN"/>
              </w:rPr>
              <w:tab/>
            </w:r>
            <w:r w:rsidRPr="004D0DAA">
              <w:rPr>
                <w:lang w:eastAsia="en-US"/>
              </w:rPr>
              <w:t xml:space="preserve">&lt; </w:t>
            </w:r>
            <w:r w:rsidRPr="004D0DAA">
              <w:rPr>
                <w:b/>
                <w:lang w:eastAsia="en-US"/>
              </w:rPr>
              <w:t xml:space="preserve">Priority </w:t>
            </w:r>
            <w:r w:rsidRPr="004D0DAA">
              <w:rPr>
                <w:lang w:eastAsia="en-US"/>
              </w:rPr>
              <w:t>: bit (2) &gt;</w:t>
            </w:r>
          </w:p>
          <w:p w14:paraId="5D45BA39"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RandomBits </w:t>
            </w:r>
            <w:r w:rsidRPr="004D0DAA">
              <w:rPr>
                <w:lang w:eastAsia="en-US"/>
              </w:rPr>
              <w:t>: bit (</w:t>
            </w:r>
            <w:r w:rsidRPr="004D0DAA">
              <w:rPr>
                <w:rFonts w:hint="eastAsia"/>
                <w:lang w:eastAsia="zh-CN"/>
              </w:rPr>
              <w:t>3</w:t>
            </w:r>
            <w:r w:rsidRPr="004D0DAA">
              <w:rPr>
                <w:lang w:eastAsia="en-US"/>
              </w:rPr>
              <w:t>) &gt; &gt;</w:t>
            </w:r>
          </w:p>
          <w:p w14:paraId="5705FB0A" w14:textId="77777777" w:rsidR="00711444" w:rsidRPr="004D0DAA" w:rsidRDefault="00711444" w:rsidP="00AA2A4C">
            <w:pPr>
              <w:pStyle w:val="TAL"/>
              <w:tabs>
                <w:tab w:val="left" w:pos="297"/>
                <w:tab w:val="left" w:pos="4854"/>
                <w:tab w:val="left" w:pos="6271"/>
              </w:tabs>
              <w:rPr>
                <w:lang w:eastAsia="en-US"/>
              </w:rPr>
            </w:pPr>
            <w:r w:rsidRPr="004D0DAA">
              <w:rPr>
                <w:lang w:eastAsia="en-US"/>
              </w:rPr>
              <w:tab/>
              <w:t xml:space="preserve">| &lt; </w:t>
            </w:r>
            <w:r w:rsidRPr="004D0DAA">
              <w:rPr>
                <w:b/>
                <w:lang w:eastAsia="en-US"/>
              </w:rPr>
              <w:t>Signalling by IPA capable MS</w:t>
            </w:r>
            <w:r w:rsidRPr="004D0DAA">
              <w:rPr>
                <w:lang w:eastAsia="en-US"/>
              </w:rPr>
              <w:t xml:space="preserve"> :</w:t>
            </w:r>
            <w:r w:rsidRPr="004D0DAA">
              <w:rPr>
                <w:lang w:eastAsia="en-US"/>
              </w:rPr>
              <w:tab/>
              <w:t>111001</w:t>
            </w:r>
            <w:r w:rsidRPr="004D0DAA">
              <w:rPr>
                <w:lang w:eastAsia="en-US"/>
              </w:rPr>
              <w:tab/>
              <w:t xml:space="preserve">&lt; </w:t>
            </w:r>
            <w:r w:rsidRPr="004D0DAA">
              <w:rPr>
                <w:b/>
                <w:lang w:eastAsia="en-US"/>
              </w:rPr>
              <w:t xml:space="preserve">RandomBits </w:t>
            </w:r>
            <w:r w:rsidRPr="004D0DAA">
              <w:rPr>
                <w:lang w:eastAsia="en-US"/>
              </w:rPr>
              <w:t>: bit (5) &gt; &gt;;</w:t>
            </w:r>
          </w:p>
          <w:p w14:paraId="1B7CA2C6" w14:textId="77777777" w:rsidR="00711444" w:rsidRPr="004D0DAA" w:rsidRDefault="00711444" w:rsidP="00AA2A4C">
            <w:pPr>
              <w:pStyle w:val="TAL"/>
              <w:tabs>
                <w:tab w:val="left" w:pos="297"/>
                <w:tab w:val="left" w:pos="4854"/>
                <w:tab w:val="left" w:pos="6271"/>
              </w:tabs>
              <w:rPr>
                <w:lang w:eastAsia="en-US"/>
              </w:rPr>
            </w:pPr>
          </w:p>
        </w:tc>
      </w:tr>
    </w:tbl>
    <w:p w14:paraId="3D2F3880" w14:textId="77777777" w:rsidR="00711444" w:rsidRPr="004D0DAA" w:rsidRDefault="00711444" w:rsidP="00711444"/>
    <w:p w14:paraId="57976522" w14:textId="77777777" w:rsidR="00711444" w:rsidRPr="004D0DAA" w:rsidRDefault="00711444" w:rsidP="00711444">
      <w:pPr>
        <w:pStyle w:val="TH"/>
      </w:pPr>
      <w:r w:rsidRPr="004D0DAA">
        <w:t>Table 11.2.5a.3: EGPRS PACKET CHANNEL REQUEST messages (PEO access)</w:t>
      </w:r>
    </w:p>
    <w:tbl>
      <w:tblPr>
        <w:tblW w:w="97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5"/>
        <w:gridCol w:w="4394"/>
        <w:gridCol w:w="3402"/>
      </w:tblGrid>
      <w:tr w:rsidR="00711444" w:rsidRPr="004D0DAA" w14:paraId="1142CE59" w14:textId="77777777" w:rsidTr="00AA2A4C">
        <w:tblPrEx>
          <w:tblCellMar>
            <w:top w:w="0" w:type="dxa"/>
            <w:bottom w:w="0" w:type="dxa"/>
          </w:tblCellMar>
        </w:tblPrEx>
        <w:trPr>
          <w:cantSplit/>
        </w:trPr>
        <w:tc>
          <w:tcPr>
            <w:tcW w:w="1985" w:type="dxa"/>
          </w:tcPr>
          <w:p w14:paraId="660FB300" w14:textId="77777777" w:rsidR="00711444" w:rsidRPr="004D0DAA" w:rsidRDefault="00711444" w:rsidP="00AA2A4C">
            <w:pPr>
              <w:pStyle w:val="TAH"/>
              <w:rPr>
                <w:lang w:eastAsia="en-US"/>
              </w:rPr>
            </w:pPr>
            <w:r w:rsidRPr="004D0DAA">
              <w:rPr>
                <w:lang w:eastAsia="en-US"/>
              </w:rPr>
              <w:t xml:space="preserve">Training sequence </w:t>
            </w:r>
            <w:r w:rsidRPr="004D0DAA">
              <w:rPr>
                <w:lang w:eastAsia="en-US"/>
              </w:rPr>
              <w:br/>
              <w:t>(see 3GPP TS 45.002)</w:t>
            </w:r>
          </w:p>
        </w:tc>
        <w:tc>
          <w:tcPr>
            <w:tcW w:w="4394" w:type="dxa"/>
          </w:tcPr>
          <w:p w14:paraId="0352E530" w14:textId="77777777" w:rsidR="00711444" w:rsidRPr="004D0DAA" w:rsidRDefault="00711444" w:rsidP="00AA2A4C">
            <w:pPr>
              <w:pStyle w:val="TAH"/>
              <w:rPr>
                <w:lang w:eastAsia="en-US"/>
              </w:rPr>
            </w:pPr>
            <w:r w:rsidRPr="004D0DAA">
              <w:rPr>
                <w:lang w:eastAsia="en-US"/>
              </w:rPr>
              <w:t>bits</w:t>
            </w:r>
            <w:r w:rsidRPr="004D0DAA">
              <w:rPr>
                <w:lang w:eastAsia="en-US"/>
              </w:rPr>
              <w:br/>
              <w:t>11…...1</w:t>
            </w:r>
          </w:p>
        </w:tc>
        <w:tc>
          <w:tcPr>
            <w:tcW w:w="3402" w:type="dxa"/>
          </w:tcPr>
          <w:p w14:paraId="1E2F2247" w14:textId="77777777" w:rsidR="00711444" w:rsidRPr="004D0DAA" w:rsidRDefault="00711444" w:rsidP="00AA2A4C">
            <w:pPr>
              <w:pStyle w:val="TAH"/>
              <w:rPr>
                <w:lang w:eastAsia="en-US"/>
              </w:rPr>
            </w:pPr>
            <w:r w:rsidRPr="004D0DAA">
              <w:rPr>
                <w:lang w:eastAsia="en-US"/>
              </w:rPr>
              <w:br/>
              <w:t>Packet Channel Access</w:t>
            </w:r>
          </w:p>
        </w:tc>
      </w:tr>
      <w:tr w:rsidR="00711444" w:rsidRPr="004D0DAA" w14:paraId="50846473" w14:textId="77777777" w:rsidTr="00AA2A4C">
        <w:tblPrEx>
          <w:tblCellMar>
            <w:top w:w="0" w:type="dxa"/>
            <w:bottom w:w="0" w:type="dxa"/>
          </w:tblCellMar>
        </w:tblPrEx>
        <w:trPr>
          <w:cantSplit/>
        </w:trPr>
        <w:tc>
          <w:tcPr>
            <w:tcW w:w="1985" w:type="dxa"/>
          </w:tcPr>
          <w:p w14:paraId="4AF2DA90" w14:textId="77777777" w:rsidR="00711444" w:rsidRPr="004D0DAA" w:rsidRDefault="00711444" w:rsidP="00AA2A4C">
            <w:pPr>
              <w:pStyle w:val="TAL"/>
              <w:rPr>
                <w:lang w:eastAsia="en-US"/>
              </w:rPr>
            </w:pPr>
            <w:r w:rsidRPr="004D0DAA">
              <w:rPr>
                <w:lang w:eastAsia="en-US"/>
              </w:rPr>
              <w:t xml:space="preserve">TS4 </w:t>
            </w:r>
          </w:p>
        </w:tc>
        <w:tc>
          <w:tcPr>
            <w:tcW w:w="4394" w:type="dxa"/>
          </w:tcPr>
          <w:p w14:paraId="61B7A2EC" w14:textId="77777777" w:rsidR="00711444" w:rsidRPr="004D0DAA" w:rsidRDefault="00711444" w:rsidP="00AA2A4C">
            <w:pPr>
              <w:pStyle w:val="TAL"/>
              <w:rPr>
                <w:lang w:eastAsia="en-US"/>
              </w:rPr>
            </w:pPr>
            <w:r w:rsidRPr="004D0DAA">
              <w:rPr>
                <w:lang w:eastAsia="en-US"/>
              </w:rPr>
              <w:t>&lt; EGPRS PACKET CHANNEL REQUEST message content &gt;</w:t>
            </w:r>
          </w:p>
        </w:tc>
        <w:tc>
          <w:tcPr>
            <w:tcW w:w="3402" w:type="dxa"/>
          </w:tcPr>
          <w:p w14:paraId="5CF2250E" w14:textId="77777777" w:rsidR="00711444" w:rsidRPr="004D0DAA" w:rsidRDefault="00711444" w:rsidP="00AA2A4C">
            <w:pPr>
              <w:pStyle w:val="TAL"/>
              <w:rPr>
                <w:lang w:eastAsia="en-US"/>
              </w:rPr>
            </w:pPr>
            <w:r w:rsidRPr="004D0DAA">
              <w:rPr>
                <w:lang w:eastAsia="en-US"/>
              </w:rPr>
              <w:t>Access from a MS that has enabled PEO and is performing the Packet Access procedure.</w:t>
            </w:r>
          </w:p>
        </w:tc>
      </w:tr>
      <w:tr w:rsidR="00711444" w:rsidRPr="004D0DAA" w14:paraId="7B2438C5" w14:textId="77777777" w:rsidTr="00AA2A4C">
        <w:tblPrEx>
          <w:tblCellMar>
            <w:top w:w="0" w:type="dxa"/>
            <w:bottom w:w="0" w:type="dxa"/>
          </w:tblCellMar>
        </w:tblPrEx>
        <w:trPr>
          <w:cantSplit/>
        </w:trPr>
        <w:tc>
          <w:tcPr>
            <w:tcW w:w="1985" w:type="dxa"/>
          </w:tcPr>
          <w:p w14:paraId="020E6BDE" w14:textId="77777777" w:rsidR="00711444" w:rsidRPr="004D0DAA" w:rsidRDefault="00711444" w:rsidP="00AA2A4C">
            <w:pPr>
              <w:pStyle w:val="TAL"/>
              <w:rPr>
                <w:lang w:eastAsia="en-US"/>
              </w:rPr>
            </w:pPr>
            <w:r w:rsidRPr="004D0DAA">
              <w:rPr>
                <w:lang w:eastAsia="en-US"/>
              </w:rPr>
              <w:t xml:space="preserve">TS4 </w:t>
            </w:r>
          </w:p>
        </w:tc>
        <w:tc>
          <w:tcPr>
            <w:tcW w:w="4394" w:type="dxa"/>
          </w:tcPr>
          <w:p w14:paraId="7E4CE030" w14:textId="77777777" w:rsidR="00711444" w:rsidRPr="004D0DAA" w:rsidRDefault="00711444" w:rsidP="00AA2A4C">
            <w:pPr>
              <w:pStyle w:val="TAL"/>
              <w:rPr>
                <w:lang w:val="fr-FR" w:eastAsia="en-US"/>
              </w:rPr>
            </w:pPr>
            <w:r w:rsidRPr="004D0DAA">
              <w:rPr>
                <w:lang w:val="fr-FR" w:eastAsia="en-US"/>
              </w:rPr>
              <w:t>&lt; EGPRS MULTILATERATION REQUEST message content &gt;</w:t>
            </w:r>
          </w:p>
        </w:tc>
        <w:tc>
          <w:tcPr>
            <w:tcW w:w="3402" w:type="dxa"/>
          </w:tcPr>
          <w:p w14:paraId="664188A6" w14:textId="77777777" w:rsidR="00711444" w:rsidRPr="004D0DAA" w:rsidRDefault="00711444" w:rsidP="00AA2A4C">
            <w:pPr>
              <w:pStyle w:val="TAL"/>
              <w:rPr>
                <w:lang w:eastAsia="en-US"/>
              </w:rPr>
            </w:pPr>
            <w:r w:rsidRPr="004D0DAA">
              <w:rPr>
                <w:lang w:eastAsia="en-US"/>
              </w:rPr>
              <w:t>Access from a MS that has enabled PEO and is performing the radio access part of the MTA procedure using the RLC Data Block method or sending a Page Response for a positioning event (see Table 11.2.5a.4).</w:t>
            </w:r>
          </w:p>
        </w:tc>
      </w:tr>
    </w:tbl>
    <w:p w14:paraId="37A2D00F" w14:textId="77777777" w:rsidR="00711444" w:rsidRPr="004D0DAA" w:rsidRDefault="00711444" w:rsidP="00711444"/>
    <w:p w14:paraId="7C1497E7" w14:textId="77777777" w:rsidR="00711444" w:rsidRPr="004D0DAA" w:rsidRDefault="00711444" w:rsidP="00711444">
      <w:pPr>
        <w:pStyle w:val="TH"/>
      </w:pPr>
      <w:r w:rsidRPr="004D0DAA">
        <w:t>Table 11.2.5a.4: EGPRS PACKET CHANNEL REQUEST message and EGPRS MULTILATERATION REQUEST message content (PEO access)</w:t>
      </w:r>
    </w:p>
    <w:tbl>
      <w:tblPr>
        <w:tblW w:w="8988" w:type="dxa"/>
        <w:tblCellMar>
          <w:left w:w="0" w:type="dxa"/>
          <w:right w:w="0" w:type="dxa"/>
        </w:tblCellMar>
        <w:tblLook w:val="04A0" w:firstRow="1" w:lastRow="0" w:firstColumn="1" w:lastColumn="0" w:noHBand="0" w:noVBand="1"/>
      </w:tblPr>
      <w:tblGrid>
        <w:gridCol w:w="749"/>
        <w:gridCol w:w="748"/>
        <w:gridCol w:w="748"/>
        <w:gridCol w:w="748"/>
        <w:gridCol w:w="748"/>
        <w:gridCol w:w="748"/>
        <w:gridCol w:w="748"/>
        <w:gridCol w:w="748"/>
        <w:gridCol w:w="748"/>
        <w:gridCol w:w="748"/>
        <w:gridCol w:w="748"/>
        <w:gridCol w:w="759"/>
        <w:tblGridChange w:id="653">
          <w:tblGrid>
            <w:gridCol w:w="749"/>
            <w:gridCol w:w="748"/>
            <w:gridCol w:w="748"/>
            <w:gridCol w:w="748"/>
            <w:gridCol w:w="748"/>
            <w:gridCol w:w="748"/>
            <w:gridCol w:w="748"/>
            <w:gridCol w:w="748"/>
            <w:gridCol w:w="748"/>
            <w:gridCol w:w="748"/>
            <w:gridCol w:w="748"/>
            <w:gridCol w:w="759"/>
          </w:tblGrid>
        </w:tblGridChange>
      </w:tblGrid>
      <w:tr w:rsidR="00711444" w:rsidRPr="004D0DAA" w14:paraId="5DC418A6" w14:textId="77777777" w:rsidTr="00AA2A4C">
        <w:tc>
          <w:tcPr>
            <w:tcW w:w="7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146B8F"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TS</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6F237E" w14:textId="77777777" w:rsidR="00711444" w:rsidRPr="004D0DAA" w:rsidRDefault="00711444" w:rsidP="00AA2A4C">
            <w:pPr>
              <w:rPr>
                <w:rFonts w:ascii="Arial" w:eastAsia="Calibri" w:hAnsi="Arial" w:cs="Arial"/>
                <w:sz w:val="18"/>
                <w:szCs w:val="18"/>
              </w:rPr>
            </w:pPr>
            <w:r w:rsidRPr="004D0DAA">
              <w:rPr>
                <w:rFonts w:ascii="Arial" w:hAnsi="Arial" w:cs="Arial"/>
                <w:sz w:val="18"/>
                <w:szCs w:val="18"/>
              </w:rPr>
              <w:t>Bit 11</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B16ABE"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10</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58F049"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9</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0704A0"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8</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493B61"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7</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77B620"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6</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92EB2E"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5</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5504F9"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4</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ACA650"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3</w:t>
            </w:r>
          </w:p>
        </w:tc>
        <w:tc>
          <w:tcPr>
            <w:tcW w:w="7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752D72"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2</w:t>
            </w:r>
          </w:p>
        </w:tc>
        <w:tc>
          <w:tcPr>
            <w:tcW w:w="7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5D34EC"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Bit 1</w:t>
            </w:r>
          </w:p>
        </w:tc>
      </w:tr>
      <w:tr w:rsidR="00711444" w:rsidRPr="004D0DAA" w14:paraId="4B2A1BFD"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F28D1E"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4</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621C988E"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7E15658F"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15E62752"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0</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hideMark/>
          </w:tcPr>
          <w:p w14:paraId="397F3EBE" w14:textId="77777777" w:rsidR="00711444" w:rsidRPr="004D0DAA" w:rsidRDefault="00711444" w:rsidP="00AA2A4C">
            <w:pPr>
              <w:spacing w:after="0"/>
              <w:rPr>
                <w:rFonts w:ascii="Arial" w:eastAsia="Calibri" w:hAnsi="Arial" w:cs="Arial"/>
                <w:sz w:val="18"/>
                <w:szCs w:val="18"/>
              </w:rPr>
            </w:pPr>
            <w:r w:rsidRPr="004D0DAA">
              <w:rPr>
                <w:rFonts w:ascii="Arial" w:hAnsi="Arial" w:cs="Arial"/>
                <w:sz w:val="18"/>
                <w:szCs w:val="18"/>
              </w:rPr>
              <w:t>&lt; EGPRS PACKET CHANNEL REQUEST message content for ‘PEO One Phase Access Request’ &gt; ::=</w:t>
            </w:r>
          </w:p>
          <w:p w14:paraId="6196E393" w14:textId="77777777" w:rsidR="00711444" w:rsidRPr="004D0DAA" w:rsidRDefault="00711444" w:rsidP="00AA2A4C">
            <w:pPr>
              <w:pStyle w:val="ListParagraph"/>
              <w:spacing w:after="0" w:line="240" w:lineRule="auto"/>
              <w:ind w:left="0"/>
              <w:rPr>
                <w:rFonts w:ascii="Arial" w:hAnsi="Arial" w:cs="Arial"/>
                <w:sz w:val="18"/>
                <w:szCs w:val="18"/>
              </w:rPr>
            </w:pPr>
            <w:r w:rsidRPr="004D0DAA">
              <w:rPr>
                <w:rFonts w:ascii="Arial" w:hAnsi="Arial" w:cs="Arial"/>
                <w:sz w:val="18"/>
                <w:szCs w:val="18"/>
              </w:rPr>
              <w:t>&lt; Access Cause : bit (2) &gt;</w:t>
            </w:r>
          </w:p>
          <w:p w14:paraId="74A57576" w14:textId="77777777" w:rsidR="00711444" w:rsidRPr="004D0DAA" w:rsidRDefault="00711444" w:rsidP="00AA2A4C">
            <w:pPr>
              <w:pStyle w:val="ListParagraph"/>
              <w:spacing w:after="0" w:line="240" w:lineRule="auto"/>
              <w:ind w:left="0"/>
              <w:rPr>
                <w:rFonts w:ascii="Arial" w:hAnsi="Arial" w:cs="Arial"/>
                <w:sz w:val="18"/>
                <w:szCs w:val="18"/>
              </w:rPr>
            </w:pPr>
            <w:r w:rsidRPr="004D0DAA">
              <w:rPr>
                <w:rFonts w:ascii="Arial" w:hAnsi="Arial" w:cs="Arial"/>
                <w:sz w:val="18"/>
                <w:szCs w:val="18"/>
              </w:rPr>
              <w:t>&lt; PEO Priority : bit (1) &gt;</w:t>
            </w:r>
          </w:p>
          <w:p w14:paraId="0A9821C3" w14:textId="77777777" w:rsidR="00711444" w:rsidRPr="004D0DAA" w:rsidRDefault="00711444" w:rsidP="00AA2A4C">
            <w:pPr>
              <w:pStyle w:val="ListParagraph"/>
              <w:spacing w:after="0" w:line="240" w:lineRule="auto"/>
              <w:ind w:left="0"/>
              <w:rPr>
                <w:rFonts w:ascii="Arial" w:hAnsi="Arial" w:cs="Arial"/>
                <w:sz w:val="18"/>
                <w:szCs w:val="18"/>
              </w:rPr>
            </w:pPr>
            <w:r w:rsidRPr="004D0DAA">
              <w:rPr>
                <w:rFonts w:ascii="Arial" w:hAnsi="Arial" w:cs="Arial"/>
                <w:sz w:val="18"/>
                <w:szCs w:val="18"/>
              </w:rPr>
              <w:t>&lt; Random Bits : bit (3) &gt;</w:t>
            </w:r>
          </w:p>
          <w:p w14:paraId="0953ECEA" w14:textId="77777777" w:rsidR="00711444" w:rsidRPr="004D0DAA" w:rsidRDefault="00711444" w:rsidP="00AA2A4C">
            <w:pPr>
              <w:pStyle w:val="ListParagraph"/>
              <w:spacing w:after="0" w:line="240" w:lineRule="auto"/>
              <w:ind w:left="0"/>
              <w:rPr>
                <w:rFonts w:ascii="Arial" w:hAnsi="Arial" w:cs="Arial"/>
                <w:sz w:val="18"/>
                <w:szCs w:val="18"/>
              </w:rPr>
            </w:pPr>
            <w:r w:rsidRPr="004D0DAA">
              <w:rPr>
                <w:rFonts w:ascii="Arial" w:hAnsi="Arial" w:cs="Arial"/>
                <w:sz w:val="18"/>
                <w:szCs w:val="18"/>
              </w:rPr>
              <w:t>&lt; EGPRS Capability : bit (1) &gt;</w:t>
            </w:r>
          </w:p>
          <w:p w14:paraId="73B493E3" w14:textId="77777777" w:rsidR="00711444" w:rsidRPr="004D0DAA" w:rsidRDefault="00711444" w:rsidP="00AA2A4C">
            <w:pPr>
              <w:pStyle w:val="ListParagraph"/>
              <w:spacing w:after="0" w:line="240" w:lineRule="auto"/>
              <w:ind w:left="0"/>
              <w:rPr>
                <w:rFonts w:ascii="Arial" w:hAnsi="Arial" w:cs="Arial"/>
                <w:sz w:val="18"/>
                <w:szCs w:val="18"/>
              </w:rPr>
            </w:pPr>
            <w:r w:rsidRPr="004D0DAA">
              <w:rPr>
                <w:rFonts w:ascii="Arial" w:hAnsi="Arial" w:cs="Arial"/>
                <w:sz w:val="18"/>
                <w:szCs w:val="18"/>
              </w:rPr>
              <w:t>&lt; Spare : bit (1) &gt; ;</w:t>
            </w:r>
          </w:p>
          <w:p w14:paraId="719A6538" w14:textId="77777777" w:rsidR="00711444" w:rsidRPr="004D0DAA" w:rsidRDefault="00711444" w:rsidP="00AA2A4C">
            <w:pPr>
              <w:pStyle w:val="ListParagraph"/>
              <w:spacing w:after="0" w:line="240" w:lineRule="auto"/>
              <w:ind w:left="0"/>
              <w:rPr>
                <w:rFonts w:ascii="Arial" w:hAnsi="Arial" w:cs="Arial"/>
                <w:sz w:val="18"/>
                <w:szCs w:val="18"/>
              </w:rPr>
            </w:pPr>
          </w:p>
        </w:tc>
      </w:tr>
      <w:tr w:rsidR="00711444" w:rsidRPr="004D0DAA" w14:paraId="77CABEE0"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0A27C"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4</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46E64643"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0B2262AB"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412FE3EE"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1</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hideMark/>
          </w:tcPr>
          <w:p w14:paraId="654808EF" w14:textId="77777777" w:rsidR="00711444" w:rsidRPr="004D0DAA" w:rsidRDefault="00711444" w:rsidP="00AA2A4C">
            <w:pPr>
              <w:keepNext/>
              <w:keepLines/>
              <w:spacing w:after="0"/>
              <w:rPr>
                <w:rFonts w:ascii="Arial" w:eastAsia="Calibri" w:hAnsi="Arial" w:cs="Arial"/>
                <w:sz w:val="18"/>
                <w:szCs w:val="18"/>
              </w:rPr>
            </w:pPr>
            <w:r w:rsidRPr="004D0DAA">
              <w:rPr>
                <w:rFonts w:ascii="Arial" w:hAnsi="Arial" w:cs="Arial"/>
                <w:sz w:val="18"/>
                <w:szCs w:val="18"/>
              </w:rPr>
              <w:t>&lt; EGPRS MULTILATERATION REQUEST message content (RLC Data Block method or Page Response for Positioning Event) &gt; :: =</w:t>
            </w:r>
          </w:p>
          <w:p w14:paraId="178BB31C"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&lt; RandomBits : bit (3) &gt;</w:t>
            </w:r>
          </w:p>
          <w:p w14:paraId="6562FD6E"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&lt; Access Discriminator : bit (1) &gt;</w:t>
            </w:r>
          </w:p>
          <w:p w14:paraId="21A15102"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&lt; Final MTA Access : bit (1) &gt;</w:t>
            </w:r>
          </w:p>
          <w:p w14:paraId="44AD90B8"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 xml:space="preserve">&lt; Spare : bit (3) &gt; ; </w:t>
            </w:r>
          </w:p>
          <w:p w14:paraId="5195B843" w14:textId="77777777" w:rsidR="00711444" w:rsidRPr="004D0DAA" w:rsidRDefault="00711444" w:rsidP="00AA2A4C">
            <w:pPr>
              <w:spacing w:after="0"/>
              <w:rPr>
                <w:rFonts w:ascii="Arial" w:eastAsia="Calibri" w:hAnsi="Arial" w:cs="Arial"/>
                <w:sz w:val="18"/>
                <w:szCs w:val="18"/>
              </w:rPr>
            </w:pPr>
          </w:p>
        </w:tc>
      </w:tr>
      <w:tr w:rsidR="00711444" w:rsidRPr="004D0DAA" w14:paraId="348C9E42"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097DBA"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4</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5F292734"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48D1DF8A"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36798F52"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tcPr>
          <w:p w14:paraId="707BFCA0" w14:textId="77777777" w:rsidR="00711444" w:rsidRPr="004D0DAA" w:rsidRDefault="00711444" w:rsidP="00AA2A4C">
            <w:pPr>
              <w:keepNext/>
              <w:keepLines/>
              <w:spacing w:after="0"/>
              <w:rPr>
                <w:rFonts w:ascii="Arial" w:eastAsia="Calibri" w:hAnsi="Arial" w:cs="Arial"/>
                <w:sz w:val="18"/>
                <w:szCs w:val="18"/>
              </w:rPr>
            </w:pPr>
            <w:r w:rsidRPr="004D0DAA">
              <w:rPr>
                <w:rFonts w:ascii="Arial" w:hAnsi="Arial" w:cs="Arial"/>
                <w:sz w:val="18"/>
                <w:szCs w:val="18"/>
              </w:rPr>
              <w:t>&lt; EGPRS MULTILATERATION REQUEST message content (Access Burst method) &gt; :: =</w:t>
            </w:r>
          </w:p>
          <w:p w14:paraId="5F977D09"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&lt; Short ID : bit (8) &gt; ;</w:t>
            </w:r>
          </w:p>
          <w:p w14:paraId="51A4A64C" w14:textId="77777777" w:rsidR="00711444" w:rsidRPr="004D0DAA" w:rsidRDefault="00711444" w:rsidP="00AA2A4C">
            <w:pPr>
              <w:keepNext/>
              <w:keepLines/>
              <w:spacing w:after="0"/>
              <w:rPr>
                <w:rFonts w:ascii="Arial" w:hAnsi="Arial" w:cs="Arial"/>
                <w:sz w:val="18"/>
                <w:szCs w:val="18"/>
              </w:rPr>
            </w:pPr>
          </w:p>
        </w:tc>
      </w:tr>
      <w:tr w:rsidR="00711444" w:rsidRPr="004D0DAA" w14:paraId="5FAE2B97"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00BFE"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lastRenderedPageBreak/>
              <w:t>4</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43F8C3B9"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39796FBE"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02C09635"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tcPr>
          <w:p w14:paraId="314F1BFD" w14:textId="77777777" w:rsidR="00711444" w:rsidRPr="004D0DAA" w:rsidRDefault="00711444" w:rsidP="00AA2A4C">
            <w:pPr>
              <w:keepNext/>
              <w:keepLines/>
              <w:spacing w:after="0"/>
              <w:rPr>
                <w:rFonts w:ascii="Arial" w:eastAsia="Calibri" w:hAnsi="Arial" w:cs="Arial"/>
                <w:sz w:val="18"/>
                <w:szCs w:val="18"/>
              </w:rPr>
            </w:pPr>
            <w:r w:rsidRPr="004D0DAA">
              <w:rPr>
                <w:rFonts w:ascii="Arial" w:hAnsi="Arial" w:cs="Arial"/>
                <w:sz w:val="18"/>
                <w:szCs w:val="18"/>
              </w:rPr>
              <w:t>&lt; EGPRS MULTILATERATION REQUEST message content (Extended Access Burst Method – part 1) &gt; :: =</w:t>
            </w:r>
          </w:p>
          <w:p w14:paraId="42F17D3F"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&lt; Random ID Low : bit (4) &gt;</w:t>
            </w:r>
          </w:p>
          <w:p w14:paraId="455EBD8B"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 xml:space="preserve">&lt; MS Transmission Offset : bit (4) &gt;; </w:t>
            </w:r>
          </w:p>
          <w:p w14:paraId="5E9A474D" w14:textId="77777777" w:rsidR="00711444" w:rsidRPr="004D0DAA" w:rsidRDefault="00711444" w:rsidP="00AA2A4C">
            <w:pPr>
              <w:keepNext/>
              <w:keepLines/>
              <w:spacing w:after="0"/>
              <w:rPr>
                <w:rFonts w:ascii="Arial" w:hAnsi="Arial" w:cs="Arial"/>
                <w:sz w:val="18"/>
                <w:szCs w:val="18"/>
              </w:rPr>
            </w:pPr>
          </w:p>
        </w:tc>
      </w:tr>
      <w:tr w:rsidR="00711444" w:rsidRPr="004D0DAA" w14:paraId="3E4D67BD"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CB18CC"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4 (Note 1)</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058314E4"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10C52CF2"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775A09A4"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tcPr>
          <w:p w14:paraId="5430CE97" w14:textId="77777777" w:rsidR="00711444" w:rsidRPr="004D0DAA" w:rsidRDefault="00711444" w:rsidP="00AA2A4C">
            <w:pPr>
              <w:keepNext/>
              <w:keepLines/>
              <w:spacing w:after="0"/>
              <w:rPr>
                <w:rFonts w:ascii="Arial" w:eastAsia="Calibri" w:hAnsi="Arial" w:cs="Arial"/>
                <w:sz w:val="18"/>
                <w:szCs w:val="18"/>
              </w:rPr>
            </w:pPr>
            <w:r w:rsidRPr="004D0DAA">
              <w:rPr>
                <w:rFonts w:ascii="Arial" w:hAnsi="Arial" w:cs="Arial"/>
                <w:sz w:val="18"/>
                <w:szCs w:val="18"/>
              </w:rPr>
              <w:t>&lt; EGPRS MULTILATERATION REQUEST message content (Extended Access Burst Method – part 2) &gt; :: =</w:t>
            </w:r>
          </w:p>
          <w:p w14:paraId="6F7253FD"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&lt; Random ID Low : bit (4) &gt;</w:t>
            </w:r>
          </w:p>
          <w:p w14:paraId="100D08A6"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&lt; MS Sync Accuracy : bit (4) &gt;;</w:t>
            </w:r>
          </w:p>
          <w:p w14:paraId="5F1185F8" w14:textId="77777777" w:rsidR="00711444" w:rsidRPr="004D0DAA" w:rsidRDefault="00711444" w:rsidP="00AA2A4C">
            <w:pPr>
              <w:keepNext/>
              <w:keepLines/>
              <w:spacing w:after="0"/>
              <w:rPr>
                <w:rFonts w:ascii="Arial" w:hAnsi="Arial" w:cs="Arial"/>
                <w:sz w:val="18"/>
                <w:szCs w:val="18"/>
              </w:rPr>
            </w:pPr>
          </w:p>
        </w:tc>
      </w:tr>
      <w:tr w:rsidR="00711444" w:rsidRPr="004D0DAA" w14:paraId="599DB691" w14:textId="77777777" w:rsidTr="00AA2A4C">
        <w:tc>
          <w:tcPr>
            <w:tcW w:w="74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91A609"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4</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009B8216"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68DA3F29"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0</w:t>
            </w:r>
          </w:p>
        </w:tc>
        <w:tc>
          <w:tcPr>
            <w:tcW w:w="748" w:type="dxa"/>
            <w:tcBorders>
              <w:top w:val="nil"/>
              <w:left w:val="nil"/>
              <w:bottom w:val="single" w:sz="8" w:space="0" w:color="auto"/>
              <w:right w:val="single" w:sz="8" w:space="0" w:color="auto"/>
            </w:tcBorders>
            <w:tcMar>
              <w:top w:w="0" w:type="dxa"/>
              <w:left w:w="108" w:type="dxa"/>
              <w:bottom w:w="0" w:type="dxa"/>
              <w:right w:w="108" w:type="dxa"/>
            </w:tcMar>
          </w:tcPr>
          <w:p w14:paraId="17B5F871" w14:textId="77777777" w:rsidR="00711444" w:rsidRPr="004D0DAA" w:rsidRDefault="00711444" w:rsidP="00AA2A4C">
            <w:pPr>
              <w:jc w:val="center"/>
              <w:rPr>
                <w:rFonts w:ascii="Arial" w:hAnsi="Arial" w:cs="Arial"/>
                <w:sz w:val="18"/>
                <w:szCs w:val="18"/>
              </w:rPr>
            </w:pPr>
            <w:r w:rsidRPr="004D0DAA">
              <w:rPr>
                <w:rFonts w:ascii="Arial" w:hAnsi="Arial" w:cs="Arial"/>
                <w:sz w:val="18"/>
                <w:szCs w:val="18"/>
              </w:rPr>
              <w:t>1</w:t>
            </w:r>
          </w:p>
        </w:tc>
        <w:tc>
          <w:tcPr>
            <w:tcW w:w="5995" w:type="dxa"/>
            <w:gridSpan w:val="8"/>
            <w:tcBorders>
              <w:top w:val="nil"/>
              <w:left w:val="nil"/>
              <w:bottom w:val="single" w:sz="8" w:space="0" w:color="auto"/>
              <w:right w:val="single" w:sz="8" w:space="0" w:color="auto"/>
            </w:tcBorders>
            <w:tcMar>
              <w:top w:w="0" w:type="dxa"/>
              <w:left w:w="108" w:type="dxa"/>
              <w:bottom w:w="0" w:type="dxa"/>
              <w:right w:w="108" w:type="dxa"/>
            </w:tcMar>
          </w:tcPr>
          <w:p w14:paraId="3B08BF3F"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Spare (8)</w:t>
            </w:r>
          </w:p>
        </w:tc>
      </w:tr>
      <w:tr w:rsidR="00711444" w:rsidRPr="004D0DAA" w14:paraId="4D793929" w14:textId="77777777" w:rsidTr="00AA2A4C">
        <w:tc>
          <w:tcPr>
            <w:tcW w:w="749"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71BAFC"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4</w:t>
            </w:r>
          </w:p>
        </w:tc>
        <w:tc>
          <w:tcPr>
            <w:tcW w:w="748" w:type="dxa"/>
            <w:tcBorders>
              <w:top w:val="nil"/>
              <w:left w:val="nil"/>
              <w:bottom w:val="single" w:sz="4" w:space="0" w:color="auto"/>
              <w:right w:val="single" w:sz="8" w:space="0" w:color="auto"/>
            </w:tcBorders>
            <w:tcMar>
              <w:top w:w="0" w:type="dxa"/>
              <w:left w:w="108" w:type="dxa"/>
              <w:bottom w:w="0" w:type="dxa"/>
              <w:right w:w="108" w:type="dxa"/>
            </w:tcMar>
          </w:tcPr>
          <w:p w14:paraId="301F1503"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1</w:t>
            </w:r>
          </w:p>
        </w:tc>
        <w:tc>
          <w:tcPr>
            <w:tcW w:w="748" w:type="dxa"/>
            <w:tcBorders>
              <w:top w:val="nil"/>
              <w:left w:val="nil"/>
              <w:bottom w:val="single" w:sz="4" w:space="0" w:color="auto"/>
              <w:right w:val="single" w:sz="8" w:space="0" w:color="auto"/>
            </w:tcBorders>
            <w:tcMar>
              <w:top w:w="0" w:type="dxa"/>
              <w:left w:w="108" w:type="dxa"/>
              <w:bottom w:w="0" w:type="dxa"/>
              <w:right w:w="108" w:type="dxa"/>
            </w:tcMar>
          </w:tcPr>
          <w:p w14:paraId="3375E829" w14:textId="77777777" w:rsidR="00711444" w:rsidRPr="004D0DAA" w:rsidRDefault="00711444" w:rsidP="00AA2A4C">
            <w:pPr>
              <w:jc w:val="center"/>
              <w:rPr>
                <w:rFonts w:ascii="Arial" w:eastAsia="Calibri" w:hAnsi="Arial" w:cs="Arial"/>
                <w:sz w:val="18"/>
                <w:szCs w:val="18"/>
              </w:rPr>
            </w:pPr>
            <w:r w:rsidRPr="004D0DAA">
              <w:rPr>
                <w:rFonts w:ascii="Arial" w:hAnsi="Arial" w:cs="Arial"/>
                <w:sz w:val="18"/>
                <w:szCs w:val="18"/>
              </w:rPr>
              <w:t>1</w:t>
            </w:r>
          </w:p>
        </w:tc>
        <w:tc>
          <w:tcPr>
            <w:tcW w:w="6743" w:type="dxa"/>
            <w:gridSpan w:val="9"/>
            <w:tcBorders>
              <w:top w:val="nil"/>
              <w:left w:val="nil"/>
              <w:bottom w:val="single" w:sz="4" w:space="0" w:color="auto"/>
              <w:right w:val="single" w:sz="8" w:space="0" w:color="auto"/>
            </w:tcBorders>
            <w:tcMar>
              <w:top w:w="0" w:type="dxa"/>
              <w:left w:w="108" w:type="dxa"/>
              <w:bottom w:w="0" w:type="dxa"/>
              <w:right w:w="108" w:type="dxa"/>
            </w:tcMar>
          </w:tcPr>
          <w:p w14:paraId="4D583F17" w14:textId="77777777" w:rsidR="00711444" w:rsidRPr="004D0DAA" w:rsidRDefault="00711444" w:rsidP="00AA2A4C">
            <w:pPr>
              <w:rPr>
                <w:rFonts w:ascii="Arial" w:eastAsia="Calibri" w:hAnsi="Arial" w:cs="Arial"/>
                <w:sz w:val="18"/>
                <w:szCs w:val="18"/>
              </w:rPr>
            </w:pPr>
            <w:r w:rsidRPr="004D0DAA">
              <w:rPr>
                <w:rFonts w:ascii="Arial" w:hAnsi="Arial" w:cs="Arial"/>
                <w:sz w:val="18"/>
                <w:szCs w:val="18"/>
              </w:rPr>
              <w:t>Spare (9)</w:t>
            </w:r>
          </w:p>
        </w:tc>
      </w:tr>
      <w:tr w:rsidR="00711444" w:rsidRPr="004D0DAA" w14:paraId="7B45E28B" w14:textId="77777777" w:rsidTr="00AA2A4C">
        <w:tc>
          <w:tcPr>
            <w:tcW w:w="8988" w:type="dxa"/>
            <w:gridSpan w:val="1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92B1A3" w14:textId="77777777" w:rsidR="00711444" w:rsidRPr="004D0DAA" w:rsidRDefault="00711444" w:rsidP="00AA2A4C">
            <w:pPr>
              <w:spacing w:after="0"/>
              <w:ind w:left="720" w:hanging="634"/>
              <w:rPr>
                <w:rFonts w:ascii="Arial" w:hAnsi="Arial" w:cs="Arial"/>
                <w:sz w:val="18"/>
                <w:szCs w:val="18"/>
              </w:rPr>
            </w:pPr>
            <w:r w:rsidRPr="004D0DAA">
              <w:rPr>
                <w:rFonts w:ascii="Arial" w:hAnsi="Arial" w:cs="Arial"/>
                <w:sz w:val="18"/>
                <w:szCs w:val="18"/>
              </w:rPr>
              <w:t>Note 1: See Table 11.2.5a.4.1 for 19 remaining bits of EGPRS MULTILATERATION REQUEST message indicating ‘Extended Access Burst Method – part 2’.</w:t>
            </w:r>
          </w:p>
          <w:p w14:paraId="1CB58898" w14:textId="77777777" w:rsidR="00711444" w:rsidRPr="004D0DAA" w:rsidDel="003207A2" w:rsidRDefault="00711444" w:rsidP="00AA2A4C">
            <w:pPr>
              <w:rPr>
                <w:rFonts w:ascii="Arial" w:hAnsi="Arial" w:cs="Arial"/>
                <w:sz w:val="18"/>
                <w:szCs w:val="18"/>
              </w:rPr>
            </w:pPr>
          </w:p>
        </w:tc>
      </w:tr>
    </w:tbl>
    <w:p w14:paraId="4310D898" w14:textId="77777777" w:rsidR="00711444" w:rsidRPr="004D0DAA" w:rsidRDefault="00711444" w:rsidP="00711444"/>
    <w:p w14:paraId="785220D9" w14:textId="77777777" w:rsidR="00711444" w:rsidRPr="004D0DAA" w:rsidRDefault="00711444" w:rsidP="00711444">
      <w:pPr>
        <w:pStyle w:val="NO"/>
      </w:pPr>
      <w:r w:rsidRPr="004D0DAA">
        <w:t xml:space="preserve">NOTE: </w:t>
      </w:r>
      <w:r w:rsidRPr="004D0DAA">
        <w:tab/>
        <w:t>A mobile station that has enabled PEO (i.e. eDRX or PSM – see 3GPP TS 23.060 [19]) while in a cell that supports PEO, shall always send an EGPRS PACKET CHANNEL REQUEST message using TS4 (see Table 11.2.5a.3) and access type ‘PEO One Phase Access Request’ (see Table 11.2.5a.4) on the RACH when performing the Packet Access procedure.  A mobile station that has enabled PEO while in a cell that supports PEO shall send an EGPRS MULTILATERATION REQUEST message on the RACH when performing the radio access part of the MTA procedure or when sending a Page Response due to receiving a page with a ‘pending positioning event’ indication (see 3GPP TS 44.018 [11] and 3GPP TS 44.031). The MTA method indicated by the EGPRS MULTILATERATION REQUEST message (i.e. one of the RLC Data Block method, Access Burst method or Extended Access Burst method) shall be supported by both the mobile station and the cell.</w:t>
      </w:r>
    </w:p>
    <w:p w14:paraId="01C318AD" w14:textId="77777777" w:rsidR="00711444" w:rsidRPr="004D0DAA" w:rsidRDefault="00711444" w:rsidP="00711444"/>
    <w:p w14:paraId="3496516E" w14:textId="77777777" w:rsidR="00711444" w:rsidRPr="004D0DAA" w:rsidRDefault="00711444" w:rsidP="00711444">
      <w:pPr>
        <w:pStyle w:val="TH"/>
        <w:keepNext w:val="0"/>
        <w:keepLines w:val="0"/>
        <w:spacing w:before="120" w:after="0"/>
      </w:pPr>
      <w:r w:rsidRPr="004D0DAA">
        <w:t>Table 11.2.5a.4.1: EGPRS MULTILATERATION REQUEST message indicating ‘Extended Access Burst Method – part 2’ (Bit 12 to Bit 30)</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6"/>
        <w:gridCol w:w="9101"/>
      </w:tblGrid>
      <w:tr w:rsidR="00711444" w:rsidRPr="004D0DAA" w14:paraId="568C72DD" w14:textId="77777777" w:rsidTr="00AA2A4C">
        <w:trPr>
          <w:trHeight w:val="176"/>
        </w:trPr>
        <w:tc>
          <w:tcPr>
            <w:tcW w:w="816" w:type="dxa"/>
            <w:tcMar>
              <w:top w:w="0" w:type="dxa"/>
              <w:left w:w="108" w:type="dxa"/>
              <w:bottom w:w="0" w:type="dxa"/>
              <w:right w:w="108" w:type="dxa"/>
            </w:tcMar>
            <w:hideMark/>
          </w:tcPr>
          <w:p w14:paraId="05BEC5BA" w14:textId="77777777" w:rsidR="00711444" w:rsidRPr="004D0DAA" w:rsidRDefault="00711444" w:rsidP="00AA2A4C">
            <w:pPr>
              <w:pStyle w:val="TAL"/>
              <w:keepNext w:val="0"/>
              <w:keepLines w:val="0"/>
              <w:jc w:val="center"/>
              <w:rPr>
                <w:lang w:eastAsia="en-US"/>
              </w:rPr>
            </w:pPr>
            <w:r w:rsidRPr="004D0DAA">
              <w:rPr>
                <w:lang w:eastAsia="en-US"/>
              </w:rPr>
              <w:t>TS</w:t>
            </w:r>
          </w:p>
        </w:tc>
        <w:tc>
          <w:tcPr>
            <w:tcW w:w="9101" w:type="dxa"/>
            <w:tcMar>
              <w:top w:w="0" w:type="dxa"/>
              <w:left w:w="108" w:type="dxa"/>
              <w:bottom w:w="0" w:type="dxa"/>
              <w:right w:w="108" w:type="dxa"/>
            </w:tcMar>
          </w:tcPr>
          <w:p w14:paraId="02B4361C" w14:textId="77777777" w:rsidR="00711444" w:rsidRPr="004D0DAA" w:rsidRDefault="00711444" w:rsidP="00AA2A4C">
            <w:pPr>
              <w:pStyle w:val="TAL"/>
              <w:keepNext w:val="0"/>
              <w:keepLines w:val="0"/>
              <w:jc w:val="center"/>
              <w:rPr>
                <w:lang w:eastAsia="en-US"/>
              </w:rPr>
            </w:pPr>
            <w:r w:rsidRPr="004D0DAA">
              <w:rPr>
                <w:lang w:eastAsia="en-US"/>
              </w:rPr>
              <w:t>Bits 12 to Bit 30</w:t>
            </w:r>
          </w:p>
        </w:tc>
      </w:tr>
      <w:tr w:rsidR="00711444" w:rsidRPr="004D0DAA" w14:paraId="46176ACC" w14:textId="77777777" w:rsidTr="00AA2A4C">
        <w:trPr>
          <w:trHeight w:val="787"/>
        </w:trPr>
        <w:tc>
          <w:tcPr>
            <w:tcW w:w="816" w:type="dxa"/>
            <w:tcMar>
              <w:top w:w="0" w:type="dxa"/>
              <w:left w:w="108" w:type="dxa"/>
              <w:bottom w:w="0" w:type="dxa"/>
              <w:right w:w="108" w:type="dxa"/>
            </w:tcMar>
            <w:hideMark/>
          </w:tcPr>
          <w:p w14:paraId="651F65F2" w14:textId="77777777" w:rsidR="00711444" w:rsidRPr="004D0DAA" w:rsidRDefault="00711444" w:rsidP="00AA2A4C">
            <w:pPr>
              <w:pStyle w:val="TAL"/>
              <w:keepNext w:val="0"/>
              <w:keepLines w:val="0"/>
              <w:jc w:val="center"/>
              <w:rPr>
                <w:lang w:eastAsia="en-US"/>
              </w:rPr>
            </w:pPr>
            <w:r w:rsidRPr="004D0DAA">
              <w:rPr>
                <w:lang w:eastAsia="en-US"/>
              </w:rPr>
              <w:t>4 (CC1)</w:t>
            </w:r>
          </w:p>
        </w:tc>
        <w:tc>
          <w:tcPr>
            <w:tcW w:w="9101" w:type="dxa"/>
            <w:tcMar>
              <w:top w:w="0" w:type="dxa"/>
              <w:left w:w="108" w:type="dxa"/>
              <w:bottom w:w="0" w:type="dxa"/>
              <w:right w:w="108" w:type="dxa"/>
            </w:tcMar>
          </w:tcPr>
          <w:p w14:paraId="0096E7B5"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&lt; Random ID High : bit (12) &gt;</w:t>
            </w:r>
          </w:p>
          <w:p w14:paraId="3843C8B8"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 xml:space="preserve">&lt; Short BSS ID : bit (3) &gt;  </w:t>
            </w:r>
          </w:p>
          <w:p w14:paraId="1B781D01"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&lt; Final MTA Access : bit (1) &gt;</w:t>
            </w:r>
          </w:p>
          <w:p w14:paraId="69FD6C5A" w14:textId="77777777" w:rsidR="00711444" w:rsidRPr="004D0DAA" w:rsidRDefault="00711444" w:rsidP="00AA2A4C">
            <w:pPr>
              <w:spacing w:after="0"/>
              <w:rPr>
                <w:rFonts w:ascii="Arial" w:hAnsi="Arial" w:cs="Arial"/>
                <w:sz w:val="18"/>
                <w:szCs w:val="18"/>
              </w:rPr>
            </w:pPr>
            <w:r w:rsidRPr="004D0DAA">
              <w:rPr>
                <w:rFonts w:ascii="Arial" w:hAnsi="Arial" w:cs="Arial"/>
                <w:sz w:val="18"/>
                <w:szCs w:val="18"/>
              </w:rPr>
              <w:t>&lt; spare : bit (3) &gt;;</w:t>
            </w:r>
          </w:p>
          <w:p w14:paraId="3A32B35B" w14:textId="77777777" w:rsidR="00711444" w:rsidRPr="004D0DAA" w:rsidRDefault="00711444" w:rsidP="00AA2A4C">
            <w:pPr>
              <w:spacing w:after="0"/>
              <w:rPr>
                <w:rFonts w:ascii="Arial" w:eastAsia="Calibri" w:hAnsi="Arial" w:cs="Arial"/>
                <w:sz w:val="18"/>
                <w:szCs w:val="18"/>
              </w:rPr>
            </w:pPr>
          </w:p>
        </w:tc>
      </w:tr>
    </w:tbl>
    <w:p w14:paraId="0B68EB8E" w14:textId="77777777" w:rsidR="00711444" w:rsidRPr="004D0DAA" w:rsidRDefault="00711444" w:rsidP="00711444"/>
    <w:p w14:paraId="53215916" w14:textId="77777777" w:rsidR="00711444" w:rsidRPr="004D0DAA" w:rsidRDefault="00711444" w:rsidP="00711444">
      <w:pPr>
        <w:pStyle w:val="TH"/>
      </w:pPr>
      <w:r w:rsidRPr="004D0DAA">
        <w:t>Table 11.2.5a.5: EGPRS PACKET CHANNEL REQUEST details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0"/>
      </w:tblGrid>
      <w:tr w:rsidR="00711444" w:rsidRPr="004D0DAA" w14:paraId="3EABB8B8" w14:textId="77777777" w:rsidTr="00AA2A4C">
        <w:tblPrEx>
          <w:tblCellMar>
            <w:top w:w="0" w:type="dxa"/>
            <w:bottom w:w="0" w:type="dxa"/>
          </w:tblCellMar>
        </w:tblPrEx>
        <w:trPr>
          <w:cantSplit/>
        </w:trPr>
        <w:tc>
          <w:tcPr>
            <w:tcW w:w="9740" w:type="dxa"/>
          </w:tcPr>
          <w:p w14:paraId="41638B2A" w14:textId="77777777" w:rsidR="00711444" w:rsidRPr="004D0DAA" w:rsidRDefault="00711444" w:rsidP="00AA2A4C">
            <w:r w:rsidRPr="004D0DAA">
              <w:rPr>
                <w:b/>
              </w:rPr>
              <w:t>MultislotClass</w:t>
            </w:r>
            <w:r w:rsidRPr="004D0DAA">
              <w:t xml:space="preserve"> (5 bit field)</w:t>
            </w:r>
          </w:p>
          <w:p w14:paraId="22DEB2DC" w14:textId="77777777" w:rsidR="00711444" w:rsidRPr="004D0DAA" w:rsidRDefault="00711444" w:rsidP="00AA2A4C">
            <w:r w:rsidRPr="004D0DAA">
              <w:t xml:space="preserve">This information field indicates the EGPRS multislot class of the MS. The multislot class indicated by this field shall be the same as the EGPRS multislot class indicated in the MS Radio Access Capability IE (see 3GPP TS 24.008). The coding is defined in the following table. </w:t>
            </w:r>
          </w:p>
          <w:p w14:paraId="54806B47" w14:textId="77777777" w:rsidR="00711444" w:rsidRPr="004D0DAA" w:rsidRDefault="00711444" w:rsidP="00AA2A4C">
            <w:pPr>
              <w:spacing w:after="0"/>
              <w:rPr>
                <w:rFonts w:hint="eastAsia"/>
                <w:lang w:eastAsia="zh-CN"/>
              </w:rPr>
            </w:pPr>
            <w:r w:rsidRPr="004D0DAA">
              <w:t>bit</w:t>
            </w:r>
            <w:r w:rsidRPr="004D0DAA">
              <w:br/>
              <w:t>5 4 3 2 1</w:t>
            </w:r>
            <w:r w:rsidRPr="004D0DAA">
              <w:br/>
              <w:t>0 0 0 0 0</w:t>
            </w:r>
            <w:r w:rsidRPr="004D0DAA">
              <w:tab/>
            </w:r>
            <w:r w:rsidRPr="004D0DAA">
              <w:tab/>
              <w:t>multislot class 1</w:t>
            </w:r>
            <w:r w:rsidRPr="004D0DAA">
              <w:br/>
              <w:t>0 0 0 0 1</w:t>
            </w:r>
            <w:r w:rsidRPr="004D0DAA">
              <w:tab/>
            </w:r>
            <w:r w:rsidRPr="004D0DAA">
              <w:tab/>
              <w:t>multislot class 2</w:t>
            </w:r>
            <w:r w:rsidRPr="004D0DAA">
              <w:br/>
              <w:t>: :</w:t>
            </w:r>
            <w:r w:rsidRPr="004D0DAA">
              <w:tab/>
              <w:t>: :</w:t>
            </w:r>
            <w:r w:rsidRPr="004D0DAA">
              <w:br/>
              <w:t>1 1 1 0 0</w:t>
            </w:r>
            <w:r w:rsidRPr="004D0DAA">
              <w:tab/>
            </w:r>
            <w:r w:rsidRPr="004D0DAA">
              <w:tab/>
              <w:t>multislot class 29</w:t>
            </w:r>
            <w:r w:rsidRPr="004D0DAA">
              <w:br/>
              <w:t>1 1 1 0 1</w:t>
            </w:r>
            <w:r w:rsidRPr="004D0DAA">
              <w:tab/>
            </w:r>
            <w:r w:rsidRPr="004D0DAA">
              <w:tab/>
            </w:r>
            <w:r w:rsidRPr="004D0DAA">
              <w:rPr>
                <w:rFonts w:hint="eastAsia"/>
                <w:lang w:eastAsia="zh-CN"/>
              </w:rPr>
              <w:t xml:space="preserve">multislot class </w:t>
            </w:r>
            <w:r w:rsidRPr="004D0DAA">
              <w:rPr>
                <w:lang w:eastAsia="zh-CN"/>
              </w:rPr>
              <w:t>with</w:t>
            </w:r>
            <w:r w:rsidRPr="004D0DAA">
              <w:rPr>
                <w:rFonts w:hint="eastAsia"/>
                <w:lang w:eastAsia="zh-CN"/>
              </w:rPr>
              <w:t xml:space="preserve"> Tx=1</w:t>
            </w:r>
            <w:r w:rsidRPr="004D0DAA">
              <w:t xml:space="preserve"> by IPA capable MS</w:t>
            </w:r>
            <w:r w:rsidRPr="004D0DAA">
              <w:rPr>
                <w:rFonts w:hint="eastAsia"/>
                <w:lang w:eastAsia="zh-CN"/>
              </w:rPr>
              <w:t>, the network shall assume the MS is multislot class 1</w:t>
            </w:r>
          </w:p>
          <w:p w14:paraId="5DA055F6" w14:textId="77777777" w:rsidR="00711444" w:rsidRPr="004D0DAA" w:rsidRDefault="00711444" w:rsidP="00AA2A4C">
            <w:pPr>
              <w:spacing w:after="0"/>
              <w:rPr>
                <w:rFonts w:hint="eastAsia"/>
                <w:lang w:eastAsia="zh-CN"/>
              </w:rPr>
            </w:pPr>
            <w:r w:rsidRPr="004D0DAA">
              <w:t>1 1 1 1 0</w:t>
            </w:r>
            <w:r w:rsidRPr="004D0DAA">
              <w:tab/>
            </w:r>
            <w:r w:rsidRPr="004D0DAA">
              <w:tab/>
            </w:r>
            <w:r w:rsidRPr="004D0DAA">
              <w:rPr>
                <w:rFonts w:hint="eastAsia"/>
                <w:lang w:eastAsia="zh-CN"/>
              </w:rPr>
              <w:t xml:space="preserve">multislot class </w:t>
            </w:r>
            <w:r w:rsidRPr="004D0DAA">
              <w:rPr>
                <w:lang w:eastAsia="zh-CN"/>
              </w:rPr>
              <w:t>with</w:t>
            </w:r>
            <w:r w:rsidRPr="004D0DAA">
              <w:rPr>
                <w:rFonts w:hint="eastAsia"/>
                <w:lang w:eastAsia="zh-CN"/>
              </w:rPr>
              <w:t xml:space="preserve"> Tx=2 </w:t>
            </w:r>
            <w:r w:rsidRPr="004D0DAA">
              <w:t>by IPA capable MS</w:t>
            </w:r>
            <w:r w:rsidRPr="004D0DAA">
              <w:rPr>
                <w:rFonts w:hint="eastAsia"/>
                <w:lang w:eastAsia="zh-CN"/>
              </w:rPr>
              <w:t>, the network shall assume the MS is multislot class 5</w:t>
            </w:r>
          </w:p>
          <w:p w14:paraId="6B0EB008" w14:textId="77777777" w:rsidR="00711444" w:rsidRPr="004D0DAA" w:rsidRDefault="00711444" w:rsidP="00AA2A4C">
            <w:pPr>
              <w:spacing w:after="0"/>
            </w:pPr>
            <w:r w:rsidRPr="004D0DAA">
              <w:t>1 1 1 1 1</w:t>
            </w:r>
            <w:r w:rsidRPr="004D0DAA">
              <w:tab/>
            </w:r>
            <w:r w:rsidRPr="004D0DAA">
              <w:tab/>
            </w:r>
            <w:r w:rsidRPr="004D0DAA">
              <w:rPr>
                <w:rFonts w:hint="eastAsia"/>
                <w:lang w:eastAsia="zh-CN"/>
              </w:rPr>
              <w:t xml:space="preserve">multislot class with Tx=4 </w:t>
            </w:r>
            <w:r w:rsidRPr="004D0DAA">
              <w:t>by IPA capable MS</w:t>
            </w:r>
            <w:r w:rsidRPr="004D0DAA">
              <w:rPr>
                <w:rFonts w:hint="eastAsia"/>
                <w:lang w:eastAsia="zh-CN"/>
              </w:rPr>
              <w:t>, the network shall assume the MS is multislot class 12</w:t>
            </w:r>
          </w:p>
          <w:p w14:paraId="2D8411CD" w14:textId="77777777" w:rsidR="00711444" w:rsidRPr="004D0DAA" w:rsidRDefault="00711444" w:rsidP="00AA2A4C">
            <w:pPr>
              <w:rPr>
                <w:b/>
              </w:rPr>
            </w:pPr>
          </w:p>
        </w:tc>
      </w:tr>
      <w:tr w:rsidR="00711444" w:rsidRPr="004D0DAA" w14:paraId="2F3AA68A" w14:textId="77777777" w:rsidTr="00AA2A4C">
        <w:tblPrEx>
          <w:tblCellMar>
            <w:top w:w="0" w:type="dxa"/>
            <w:bottom w:w="0" w:type="dxa"/>
          </w:tblCellMar>
        </w:tblPrEx>
        <w:trPr>
          <w:cantSplit/>
        </w:trPr>
        <w:tc>
          <w:tcPr>
            <w:tcW w:w="9740" w:type="dxa"/>
          </w:tcPr>
          <w:p w14:paraId="5CDA3D1D" w14:textId="77777777" w:rsidR="00711444" w:rsidRPr="004D0DAA" w:rsidRDefault="00711444" w:rsidP="00AA2A4C">
            <w:r w:rsidRPr="004D0DAA">
              <w:rPr>
                <w:b/>
              </w:rPr>
              <w:lastRenderedPageBreak/>
              <w:t>Priority</w:t>
            </w:r>
            <w:r w:rsidRPr="004D0DAA">
              <w:t xml:space="preserve"> (2 bit field)</w:t>
            </w:r>
          </w:p>
          <w:p w14:paraId="3B676C4F" w14:textId="77777777" w:rsidR="00711444" w:rsidRPr="004D0DAA" w:rsidRDefault="00711444" w:rsidP="00AA2A4C">
            <w:pPr>
              <w:rPr>
                <w:rFonts w:hint="eastAsia"/>
                <w:lang w:eastAsia="ko-KR"/>
              </w:rPr>
            </w:pPr>
            <w:r w:rsidRPr="004D0DAA">
              <w:t>This information field indicates the requested Radio Priority. This field is coded as shown in the following table. The 8 bit format has a default Radio Priority of 4.</w:t>
            </w:r>
          </w:p>
          <w:p w14:paraId="09B2E653" w14:textId="77777777" w:rsidR="00711444" w:rsidRPr="004D0DAA" w:rsidRDefault="00711444" w:rsidP="00AA2A4C">
            <w:pPr>
              <w:rPr>
                <w:b/>
              </w:rPr>
            </w:pPr>
            <w:r w:rsidRPr="004D0DAA">
              <w:t>bit</w:t>
            </w:r>
            <w:r w:rsidRPr="004D0DAA">
              <w:br/>
              <w:t>2 1</w:t>
            </w:r>
            <w:r w:rsidRPr="004D0DAA">
              <w:br/>
              <w:t>0 0</w:t>
            </w:r>
            <w:r w:rsidRPr="004D0DAA">
              <w:tab/>
              <w:t>Radio Priority 1 (Highest priority)</w:t>
            </w:r>
            <w:r w:rsidRPr="004D0DAA">
              <w:br/>
              <w:t>0 1</w:t>
            </w:r>
            <w:r w:rsidRPr="004D0DAA">
              <w:tab/>
              <w:t>Radio Priority 2</w:t>
            </w:r>
            <w:r w:rsidRPr="004D0DAA">
              <w:br/>
              <w:t>1 0</w:t>
            </w:r>
            <w:r w:rsidRPr="004D0DAA">
              <w:tab/>
              <w:t>Radio Priority 3</w:t>
            </w:r>
            <w:r w:rsidRPr="004D0DAA">
              <w:br/>
              <w:t>1 1</w:t>
            </w:r>
            <w:r w:rsidRPr="004D0DAA">
              <w:tab/>
              <w:t>Radio Priority 4 (Lower priority)</w:t>
            </w:r>
          </w:p>
        </w:tc>
      </w:tr>
      <w:tr w:rsidR="00711444" w:rsidRPr="004D0DAA" w14:paraId="13424577" w14:textId="77777777" w:rsidTr="00AA2A4C">
        <w:tblPrEx>
          <w:tblCellMar>
            <w:top w:w="0" w:type="dxa"/>
            <w:bottom w:w="0" w:type="dxa"/>
          </w:tblCellMar>
        </w:tblPrEx>
        <w:trPr>
          <w:cantSplit/>
        </w:trPr>
        <w:tc>
          <w:tcPr>
            <w:tcW w:w="9740" w:type="dxa"/>
          </w:tcPr>
          <w:p w14:paraId="7813D24C" w14:textId="77777777" w:rsidR="00711444" w:rsidRPr="004D0DAA" w:rsidRDefault="00711444" w:rsidP="00AA2A4C">
            <w:r w:rsidRPr="004D0DAA">
              <w:rPr>
                <w:b/>
              </w:rPr>
              <w:t>Access Cause</w:t>
            </w:r>
            <w:r w:rsidRPr="004D0DAA">
              <w:t xml:space="preserve"> (2 bit field)</w:t>
            </w:r>
            <w:r w:rsidRPr="004D0DAA">
              <w:br/>
            </w:r>
          </w:p>
          <w:p w14:paraId="2B77A978" w14:textId="77777777" w:rsidR="00711444" w:rsidRPr="004D0DAA" w:rsidRDefault="00711444" w:rsidP="00AA2A4C">
            <w:pPr>
              <w:spacing w:after="0"/>
            </w:pPr>
            <w:r w:rsidRPr="004D0DAA">
              <w:t>This field indicates the type of payload a mobile station has to send as follows:</w:t>
            </w:r>
          </w:p>
          <w:p w14:paraId="28AD1DD0" w14:textId="77777777" w:rsidR="00711444" w:rsidRPr="004D0DAA" w:rsidRDefault="00711444" w:rsidP="00AA2A4C">
            <w:pPr>
              <w:spacing w:after="0"/>
            </w:pPr>
          </w:p>
          <w:p w14:paraId="145D7767" w14:textId="77777777" w:rsidR="00711444" w:rsidRPr="004D0DAA" w:rsidRDefault="00711444" w:rsidP="00AA2A4C">
            <w:pPr>
              <w:spacing w:after="0"/>
            </w:pPr>
            <w:r w:rsidRPr="004D0DAA">
              <w:t>bit</w:t>
            </w:r>
          </w:p>
          <w:p w14:paraId="60BA5ECB" w14:textId="77777777" w:rsidR="00711444" w:rsidRPr="004D0DAA" w:rsidRDefault="00711444" w:rsidP="00AA2A4C">
            <w:r w:rsidRPr="004D0DAA">
              <w:t>2 1</w:t>
            </w:r>
          </w:p>
          <w:p w14:paraId="68D36A4F" w14:textId="77777777" w:rsidR="00711444" w:rsidRPr="004D0DAA" w:rsidRDefault="00711444" w:rsidP="00AA2A4C">
            <w:pPr>
              <w:spacing w:after="0"/>
              <w:rPr>
                <w:bCs/>
              </w:rPr>
            </w:pPr>
            <w:r w:rsidRPr="004D0DAA">
              <w:t>0 0</w:t>
            </w:r>
            <w:r w:rsidRPr="004D0DAA">
              <w:rPr>
                <w:bCs/>
              </w:rPr>
              <w:tab/>
            </w:r>
            <w:r w:rsidRPr="004D0DAA">
              <w:rPr>
                <w:bCs/>
              </w:rPr>
              <w:tab/>
              <w:t>signalling (e.g. page response, cell update, MM signalling, etc)</w:t>
            </w:r>
          </w:p>
          <w:p w14:paraId="11A24D5E" w14:textId="77777777" w:rsidR="00711444" w:rsidRPr="004D0DAA" w:rsidRDefault="00711444" w:rsidP="00AA2A4C">
            <w:pPr>
              <w:spacing w:after="0"/>
              <w:rPr>
                <w:bCs/>
              </w:rPr>
            </w:pPr>
            <w:r w:rsidRPr="004D0DAA">
              <w:t>0 1</w:t>
            </w:r>
            <w:r w:rsidRPr="004D0DAA">
              <w:rPr>
                <w:bCs/>
              </w:rPr>
              <w:tab/>
            </w:r>
            <w:r w:rsidRPr="004D0DAA">
              <w:rPr>
                <w:bCs/>
              </w:rPr>
              <w:tab/>
              <w:t>single block transfer</w:t>
            </w:r>
          </w:p>
          <w:p w14:paraId="1A7EBB82" w14:textId="77777777" w:rsidR="00711444" w:rsidRPr="004D0DAA" w:rsidRDefault="00711444" w:rsidP="00AA2A4C">
            <w:pPr>
              <w:spacing w:after="0"/>
              <w:rPr>
                <w:bCs/>
              </w:rPr>
            </w:pPr>
            <w:r w:rsidRPr="004D0DAA">
              <w:t>1 0</w:t>
            </w:r>
            <w:r w:rsidRPr="004D0DAA">
              <w:rPr>
                <w:bCs/>
              </w:rPr>
              <w:tab/>
            </w:r>
            <w:r w:rsidRPr="004D0DAA">
              <w:rPr>
                <w:bCs/>
              </w:rPr>
              <w:tab/>
              <w:t>User data transfer - requested RLC mode = acknowledged</w:t>
            </w:r>
          </w:p>
          <w:p w14:paraId="0AEC3216" w14:textId="77777777" w:rsidR="00711444" w:rsidRPr="004D0DAA" w:rsidRDefault="00711444" w:rsidP="00AA2A4C">
            <w:pPr>
              <w:spacing w:after="0"/>
              <w:rPr>
                <w:bCs/>
              </w:rPr>
            </w:pPr>
            <w:r w:rsidRPr="004D0DAA">
              <w:t>1 1</w:t>
            </w:r>
            <w:r w:rsidRPr="004D0DAA">
              <w:rPr>
                <w:bCs/>
              </w:rPr>
              <w:tab/>
            </w:r>
            <w:r w:rsidRPr="004D0DAA">
              <w:rPr>
                <w:bCs/>
              </w:rPr>
              <w:tab/>
              <w:t>reserved</w:t>
            </w:r>
          </w:p>
          <w:p w14:paraId="224A30E3" w14:textId="77777777" w:rsidR="00711444" w:rsidRPr="004D0DAA" w:rsidRDefault="00711444" w:rsidP="00AA2A4C">
            <w:pPr>
              <w:rPr>
                <w:b/>
              </w:rPr>
            </w:pPr>
          </w:p>
        </w:tc>
      </w:tr>
      <w:tr w:rsidR="00711444" w:rsidRPr="004D0DAA" w14:paraId="76F1CE3E" w14:textId="77777777" w:rsidTr="00AA2A4C">
        <w:tblPrEx>
          <w:tblCellMar>
            <w:top w:w="0" w:type="dxa"/>
            <w:bottom w:w="0" w:type="dxa"/>
          </w:tblCellMar>
        </w:tblPrEx>
        <w:trPr>
          <w:cantSplit/>
        </w:trPr>
        <w:tc>
          <w:tcPr>
            <w:tcW w:w="9740" w:type="dxa"/>
          </w:tcPr>
          <w:p w14:paraId="706FA744" w14:textId="77777777" w:rsidR="00711444" w:rsidRPr="004D0DAA" w:rsidRDefault="00711444" w:rsidP="00AA2A4C">
            <w:pPr>
              <w:spacing w:after="0"/>
              <w:rPr>
                <w:b/>
              </w:rPr>
            </w:pPr>
            <w:r w:rsidRPr="004D0DAA">
              <w:rPr>
                <w:b/>
              </w:rPr>
              <w:t>PEO Priority (1 bit field)</w:t>
            </w:r>
          </w:p>
          <w:p w14:paraId="0670CF06" w14:textId="77777777" w:rsidR="00711444" w:rsidRPr="004D0DAA" w:rsidRDefault="00711444" w:rsidP="00AA2A4C">
            <w:pPr>
              <w:spacing w:after="0"/>
            </w:pPr>
          </w:p>
          <w:p w14:paraId="30C2BB46" w14:textId="77777777" w:rsidR="00711444" w:rsidRPr="004D0DAA" w:rsidRDefault="00711444" w:rsidP="00AA2A4C">
            <w:r w:rsidRPr="004D0DAA">
              <w:t>This field indicates the priority of the uplink data transfer being requested by the mobile station as follows:</w:t>
            </w:r>
          </w:p>
          <w:p w14:paraId="399738B5" w14:textId="77777777" w:rsidR="00711444" w:rsidRPr="004D0DAA" w:rsidRDefault="00711444" w:rsidP="00AA2A4C">
            <w:pPr>
              <w:spacing w:after="0"/>
              <w:ind w:left="342" w:hanging="342"/>
            </w:pPr>
            <w:r w:rsidRPr="004D0DAA">
              <w:t>0</w:t>
            </w:r>
            <w:r w:rsidRPr="004D0DAA">
              <w:rPr>
                <w:bCs/>
              </w:rPr>
              <w:tab/>
              <w:t>low priority packet transfer</w:t>
            </w:r>
          </w:p>
          <w:p w14:paraId="79674E25" w14:textId="77777777" w:rsidR="00711444" w:rsidRPr="004D0DAA" w:rsidRDefault="00711444" w:rsidP="00AA2A4C">
            <w:pPr>
              <w:spacing w:after="0"/>
              <w:rPr>
                <w:bCs/>
              </w:rPr>
            </w:pPr>
            <w:r w:rsidRPr="004D0DAA">
              <w:t>1</w:t>
            </w:r>
            <w:r w:rsidRPr="004D0DAA">
              <w:rPr>
                <w:bCs/>
              </w:rPr>
              <w:tab/>
              <w:t>high priority packet transfer</w:t>
            </w:r>
          </w:p>
          <w:p w14:paraId="0B2DCBD8" w14:textId="77777777" w:rsidR="00711444" w:rsidRPr="004D0DAA" w:rsidRDefault="00711444" w:rsidP="00AA2A4C">
            <w:pPr>
              <w:spacing w:after="0"/>
              <w:rPr>
                <w:b/>
              </w:rPr>
            </w:pPr>
          </w:p>
        </w:tc>
      </w:tr>
      <w:tr w:rsidR="00711444" w:rsidRPr="004D0DAA" w14:paraId="78D933D6" w14:textId="77777777" w:rsidTr="00AA2A4C">
        <w:tblPrEx>
          <w:tblCellMar>
            <w:top w:w="0" w:type="dxa"/>
            <w:bottom w:w="0" w:type="dxa"/>
          </w:tblCellMar>
        </w:tblPrEx>
        <w:trPr>
          <w:cantSplit/>
        </w:trPr>
        <w:tc>
          <w:tcPr>
            <w:tcW w:w="9740" w:type="dxa"/>
          </w:tcPr>
          <w:p w14:paraId="35822A3E" w14:textId="77777777" w:rsidR="00711444" w:rsidRPr="004D0DAA" w:rsidRDefault="00711444" w:rsidP="00AA2A4C">
            <w:pPr>
              <w:spacing w:after="0"/>
              <w:rPr>
                <w:b/>
              </w:rPr>
            </w:pPr>
            <w:r w:rsidRPr="004D0DAA">
              <w:rPr>
                <w:b/>
              </w:rPr>
              <w:t>EGPRS capability (1 bit field)</w:t>
            </w:r>
          </w:p>
          <w:p w14:paraId="5D9B60F7" w14:textId="77777777" w:rsidR="00711444" w:rsidRPr="004D0DAA" w:rsidRDefault="00711444" w:rsidP="00AA2A4C">
            <w:pPr>
              <w:keepNext/>
              <w:rPr>
                <w:bCs/>
              </w:rPr>
            </w:pPr>
          </w:p>
          <w:p w14:paraId="2CE3D8C5" w14:textId="77777777" w:rsidR="00711444" w:rsidRPr="004D0DAA" w:rsidRDefault="00711444" w:rsidP="00AA2A4C">
            <w:pPr>
              <w:keepNext/>
            </w:pPr>
            <w:r w:rsidRPr="004D0DAA">
              <w:t>This field indicates whether the MS supports GMSK only (EGPRS without 8PSK) or GMSK and 8PSK (EGPRS with 8PSK on uplink and downlink)</w:t>
            </w:r>
          </w:p>
          <w:p w14:paraId="3BFFCCC4" w14:textId="77777777" w:rsidR="00711444" w:rsidRPr="004D0DAA" w:rsidRDefault="00711444" w:rsidP="00AA2A4C">
            <w:pPr>
              <w:keepNext/>
              <w:spacing w:after="0"/>
              <w:rPr>
                <w:bCs/>
              </w:rPr>
            </w:pPr>
            <w:r w:rsidRPr="004D0DAA">
              <w:rPr>
                <w:bCs/>
              </w:rPr>
              <w:t>0</w:t>
            </w:r>
            <w:r w:rsidRPr="004D0DAA">
              <w:rPr>
                <w:bCs/>
              </w:rPr>
              <w:tab/>
            </w:r>
            <w:r w:rsidRPr="004D0DAA">
              <w:t>EGPRS without 8PSK</w:t>
            </w:r>
          </w:p>
          <w:p w14:paraId="5F5F54D1" w14:textId="77777777" w:rsidR="00711444" w:rsidRPr="004D0DAA" w:rsidRDefault="00711444" w:rsidP="00AA2A4C">
            <w:pPr>
              <w:keepNext/>
              <w:spacing w:after="0"/>
              <w:rPr>
                <w:bCs/>
              </w:rPr>
            </w:pPr>
            <w:r w:rsidRPr="004D0DAA">
              <w:rPr>
                <w:bCs/>
              </w:rPr>
              <w:t>1</w:t>
            </w:r>
            <w:r w:rsidRPr="004D0DAA">
              <w:rPr>
                <w:bCs/>
              </w:rPr>
              <w:tab/>
              <w:t>EGPRS with 8PSK (uplink and downlink)</w:t>
            </w:r>
          </w:p>
          <w:p w14:paraId="6745B90E" w14:textId="77777777" w:rsidR="00711444" w:rsidRPr="004D0DAA" w:rsidRDefault="00711444" w:rsidP="00AA2A4C">
            <w:pPr>
              <w:ind w:left="342" w:hanging="342"/>
            </w:pPr>
          </w:p>
        </w:tc>
      </w:tr>
      <w:tr w:rsidR="00711444" w:rsidRPr="004D0DAA" w14:paraId="735DA3A5" w14:textId="77777777" w:rsidTr="00AA2A4C">
        <w:tblPrEx>
          <w:tblCellMar>
            <w:top w:w="0" w:type="dxa"/>
            <w:bottom w:w="0" w:type="dxa"/>
          </w:tblCellMar>
        </w:tblPrEx>
        <w:trPr>
          <w:cantSplit/>
        </w:trPr>
        <w:tc>
          <w:tcPr>
            <w:tcW w:w="9740" w:type="dxa"/>
          </w:tcPr>
          <w:p w14:paraId="3FA68C35" w14:textId="77777777" w:rsidR="00711444" w:rsidRPr="004D0DAA" w:rsidRDefault="00711444" w:rsidP="00AA2A4C">
            <w:r w:rsidRPr="004D0DAA">
              <w:rPr>
                <w:b/>
              </w:rPr>
              <w:t>RandomBits</w:t>
            </w:r>
            <w:r w:rsidRPr="004D0DAA">
              <w:t xml:space="preserve"> (3 bit field or 5 bit field)</w:t>
            </w:r>
            <w:r w:rsidRPr="004D0DAA">
              <w:br/>
              <w:t>For the definition of these three last information fields see Packet Channel Request in sec. 11.2.5.</w:t>
            </w:r>
          </w:p>
        </w:tc>
      </w:tr>
      <w:tr w:rsidR="00711444" w:rsidRPr="004D0DAA" w14:paraId="7C1DAE50" w14:textId="77777777" w:rsidTr="00AA2A4C">
        <w:tblPrEx>
          <w:tblCellMar>
            <w:top w:w="0" w:type="dxa"/>
            <w:bottom w:w="0" w:type="dxa"/>
          </w:tblCellMar>
        </w:tblPrEx>
        <w:trPr>
          <w:cantSplit/>
        </w:trPr>
        <w:tc>
          <w:tcPr>
            <w:tcW w:w="9740" w:type="dxa"/>
          </w:tcPr>
          <w:p w14:paraId="6A5BDB56" w14:textId="77777777" w:rsidR="00711444" w:rsidRPr="004D0DAA" w:rsidRDefault="00711444" w:rsidP="00AA2A4C">
            <w:r w:rsidRPr="004D0DAA">
              <w:rPr>
                <w:b/>
              </w:rPr>
              <w:t>MultislotClassGroup</w:t>
            </w:r>
            <w:r w:rsidRPr="004D0DAA">
              <w:t xml:space="preserve"> (3 bit field)</w:t>
            </w:r>
          </w:p>
          <w:p w14:paraId="60FA6FBF" w14:textId="77777777" w:rsidR="00711444" w:rsidRPr="004D0DAA" w:rsidRDefault="00711444" w:rsidP="00AA2A4C">
            <w:pPr>
              <w:rPr>
                <w:bCs/>
              </w:rPr>
            </w:pPr>
            <w:r w:rsidRPr="004D0DAA">
              <w:rPr>
                <w:bCs/>
              </w:rPr>
              <w:t>This information field indicates the set of the EGPRS multislot classes to which the mobile station belongs. The network shall assume the longest transition times (T</w:t>
            </w:r>
            <w:r w:rsidRPr="004D0DAA">
              <w:rPr>
                <w:bCs/>
                <w:vertAlign w:val="subscript"/>
              </w:rPr>
              <w:t>ta</w:t>
            </w:r>
            <w:r w:rsidRPr="004D0DAA">
              <w:rPr>
                <w:bCs/>
              </w:rPr>
              <w:t>, T</w:t>
            </w:r>
            <w:r w:rsidRPr="004D0DAA">
              <w:rPr>
                <w:bCs/>
                <w:vertAlign w:val="subscript"/>
              </w:rPr>
              <w:t>tb</w:t>
            </w:r>
            <w:r w:rsidRPr="004D0DAA">
              <w:rPr>
                <w:bCs/>
              </w:rPr>
              <w:t>, T</w:t>
            </w:r>
            <w:r w:rsidRPr="004D0DAA">
              <w:rPr>
                <w:bCs/>
                <w:vertAlign w:val="subscript"/>
              </w:rPr>
              <w:t>ra</w:t>
            </w:r>
            <w:r w:rsidRPr="004D0DAA">
              <w:rPr>
                <w:bCs/>
              </w:rPr>
              <w:t>, T</w:t>
            </w:r>
            <w:r w:rsidRPr="004D0DAA">
              <w:rPr>
                <w:bCs/>
                <w:vertAlign w:val="subscript"/>
              </w:rPr>
              <w:t>rb</w:t>
            </w:r>
            <w:r w:rsidRPr="004D0DAA">
              <w:rPr>
                <w:bCs/>
              </w:rPr>
              <w:t>) and the minimum number of RX, TX and SUM slots common to multislot classes in each set for the assignments (see Annex L).</w:t>
            </w:r>
          </w:p>
          <w:p w14:paraId="029DD5BF" w14:textId="77777777" w:rsidR="00711444" w:rsidRPr="004D0DAA" w:rsidRDefault="00711444" w:rsidP="00AA2A4C">
            <w:pPr>
              <w:rPr>
                <w:bCs/>
              </w:rPr>
            </w:pPr>
            <w:r w:rsidRPr="004D0DAA">
              <w:rPr>
                <w:bCs/>
              </w:rPr>
              <w:t>bit</w:t>
            </w:r>
            <w:r w:rsidRPr="004D0DAA">
              <w:rPr>
                <w:bCs/>
              </w:rPr>
              <w:tab/>
            </w:r>
            <w:r w:rsidRPr="004D0DAA">
              <w:rPr>
                <w:bCs/>
              </w:rPr>
              <w:tab/>
            </w:r>
            <w:r w:rsidRPr="004D0DAA">
              <w:rPr>
                <w:bCs/>
              </w:rPr>
              <w:tab/>
              <w:t>multislot classes</w:t>
            </w:r>
            <w:r w:rsidRPr="004D0DAA">
              <w:rPr>
                <w:bCs/>
              </w:rPr>
              <w:br/>
              <w:t>3 2 1</w:t>
            </w:r>
            <w:r w:rsidRPr="004D0DAA">
              <w:rPr>
                <w:bCs/>
              </w:rPr>
              <w:br/>
              <w:t>0 0 0</w:t>
            </w:r>
            <w:r w:rsidRPr="004D0DAA">
              <w:rPr>
                <w:bCs/>
              </w:rPr>
              <w:tab/>
            </w:r>
            <w:r w:rsidRPr="004D0DAA">
              <w:rPr>
                <w:bCs/>
              </w:rPr>
              <w:tab/>
              <w:t>5-7</w:t>
            </w:r>
            <w:r w:rsidRPr="004D0DAA">
              <w:rPr>
                <w:bCs/>
              </w:rPr>
              <w:br/>
              <w:t>0 0 1</w:t>
            </w:r>
            <w:r w:rsidRPr="004D0DAA">
              <w:rPr>
                <w:bCs/>
              </w:rPr>
              <w:tab/>
            </w:r>
            <w:r w:rsidRPr="004D0DAA">
              <w:rPr>
                <w:bCs/>
              </w:rPr>
              <w:tab/>
              <w:t>9-11</w:t>
            </w:r>
            <w:r w:rsidRPr="004D0DAA">
              <w:rPr>
                <w:bCs/>
              </w:rPr>
              <w:br/>
              <w:t>0 1 0</w:t>
            </w:r>
            <w:r w:rsidRPr="004D0DAA">
              <w:rPr>
                <w:bCs/>
              </w:rPr>
              <w:tab/>
            </w:r>
            <w:r w:rsidRPr="004D0DAA">
              <w:rPr>
                <w:bCs/>
              </w:rPr>
              <w:tab/>
              <w:t>31, 36, 41</w:t>
            </w:r>
            <w:r w:rsidRPr="004D0DAA">
              <w:rPr>
                <w:bCs/>
              </w:rPr>
              <w:br/>
              <w:t>0 1 1</w:t>
            </w:r>
            <w:r w:rsidRPr="004D0DAA">
              <w:rPr>
                <w:bCs/>
              </w:rPr>
              <w:tab/>
            </w:r>
            <w:r w:rsidRPr="004D0DAA">
              <w:rPr>
                <w:bCs/>
              </w:rPr>
              <w:tab/>
              <w:t>12, 32, 37, 42</w:t>
            </w:r>
            <w:r w:rsidRPr="004D0DAA">
              <w:rPr>
                <w:bCs/>
              </w:rPr>
              <w:br/>
              <w:t>1 0 0</w:t>
            </w:r>
            <w:r w:rsidRPr="004D0DAA">
              <w:rPr>
                <w:bCs/>
              </w:rPr>
              <w:tab/>
            </w:r>
            <w:r w:rsidRPr="004D0DAA">
              <w:rPr>
                <w:bCs/>
              </w:rPr>
              <w:tab/>
              <w:t xml:space="preserve">33, 34, 43 </w:t>
            </w:r>
            <w:r w:rsidRPr="004D0DAA">
              <w:rPr>
                <w:bCs/>
              </w:rPr>
              <w:br/>
              <w:t>1 0 1</w:t>
            </w:r>
            <w:r w:rsidRPr="004D0DAA">
              <w:rPr>
                <w:bCs/>
              </w:rPr>
              <w:tab/>
            </w:r>
            <w:r w:rsidRPr="004D0DAA">
              <w:rPr>
                <w:bCs/>
              </w:rPr>
              <w:tab/>
              <w:t>38, 39</w:t>
            </w:r>
            <w:r w:rsidRPr="004D0DAA">
              <w:rPr>
                <w:bCs/>
              </w:rPr>
              <w:br/>
              <w:t>1 1 0</w:t>
            </w:r>
            <w:r w:rsidRPr="004D0DAA">
              <w:rPr>
                <w:bCs/>
              </w:rPr>
              <w:tab/>
            </w:r>
            <w:r w:rsidRPr="004D0DAA">
              <w:rPr>
                <w:bCs/>
              </w:rPr>
              <w:tab/>
              <w:t xml:space="preserve">44, 45 </w:t>
            </w:r>
            <w:r w:rsidRPr="004D0DAA">
              <w:rPr>
                <w:bCs/>
              </w:rPr>
              <w:br/>
              <w:t>1 1 1</w:t>
            </w:r>
            <w:r w:rsidRPr="004D0DAA">
              <w:rPr>
                <w:bCs/>
              </w:rPr>
              <w:tab/>
            </w:r>
            <w:r w:rsidRPr="004D0DAA">
              <w:rPr>
                <w:bCs/>
              </w:rPr>
              <w:tab/>
              <w:t>reserved</w:t>
            </w:r>
          </w:p>
        </w:tc>
      </w:tr>
      <w:tr w:rsidR="00711444" w:rsidRPr="004D0DAA" w14:paraId="6EE1A47B" w14:textId="77777777" w:rsidTr="00AA2A4C">
        <w:tblPrEx>
          <w:tblCellMar>
            <w:top w:w="0" w:type="dxa"/>
            <w:bottom w:w="0" w:type="dxa"/>
          </w:tblCellMar>
        </w:tblPrEx>
        <w:trPr>
          <w:cantSplit/>
        </w:trPr>
        <w:tc>
          <w:tcPr>
            <w:tcW w:w="9740" w:type="dxa"/>
          </w:tcPr>
          <w:p w14:paraId="19B54088" w14:textId="77777777" w:rsidR="00711444" w:rsidRPr="004D0DAA" w:rsidRDefault="00711444" w:rsidP="00AA2A4C">
            <w:pPr>
              <w:spacing w:after="0"/>
              <w:rPr>
                <w:b/>
              </w:rPr>
            </w:pPr>
            <w:r w:rsidRPr="004D0DAA">
              <w:rPr>
                <w:b/>
              </w:rPr>
              <w:lastRenderedPageBreak/>
              <w:t xml:space="preserve">Access Discriminator </w:t>
            </w:r>
            <w:r w:rsidRPr="004D0DAA">
              <w:t>(1 bit field)</w:t>
            </w:r>
          </w:p>
          <w:p w14:paraId="59796990" w14:textId="77777777" w:rsidR="00711444" w:rsidRPr="004D0DAA" w:rsidRDefault="00711444" w:rsidP="00AA2A4C">
            <w:r w:rsidRPr="004D0DAA">
              <w:t>This field indicates whether the MS sending an EGPRS MULTILATERATION REQUEST message for performing the radio access part of the MTA procedure using the RLC Data Block method or for sending a Page Response for a positioning event:</w:t>
            </w:r>
          </w:p>
          <w:p w14:paraId="21D39015" w14:textId="77777777" w:rsidR="00711444" w:rsidRPr="004D0DAA" w:rsidRDefault="00711444" w:rsidP="00AA2A4C">
            <w:pPr>
              <w:spacing w:after="0"/>
            </w:pPr>
            <w:r w:rsidRPr="004D0DAA">
              <w:t>bit</w:t>
            </w:r>
          </w:p>
          <w:p w14:paraId="4C4B3624" w14:textId="77777777" w:rsidR="00711444" w:rsidRPr="004D0DAA" w:rsidRDefault="00711444" w:rsidP="00AA2A4C">
            <w:pPr>
              <w:spacing w:after="0"/>
              <w:rPr>
                <w:bCs/>
              </w:rPr>
            </w:pPr>
            <w:r w:rsidRPr="004D0DAA">
              <w:t>0</w:t>
            </w:r>
            <w:r w:rsidRPr="004D0DAA">
              <w:rPr>
                <w:bCs/>
              </w:rPr>
              <w:tab/>
            </w:r>
            <w:r w:rsidRPr="004D0DAA">
              <w:rPr>
                <w:bCs/>
              </w:rPr>
              <w:tab/>
              <w:t xml:space="preserve">MTA procedure using the </w:t>
            </w:r>
            <w:r w:rsidRPr="004D0DAA">
              <w:t>RLC Data Block method</w:t>
            </w:r>
          </w:p>
          <w:p w14:paraId="7C68EBF9" w14:textId="77777777" w:rsidR="00711444" w:rsidRPr="004D0DAA" w:rsidRDefault="00711444" w:rsidP="00AA2A4C">
            <w:pPr>
              <w:spacing w:after="0"/>
              <w:rPr>
                <w:bCs/>
              </w:rPr>
            </w:pPr>
            <w:r w:rsidRPr="004D0DAA">
              <w:t>1</w:t>
            </w:r>
            <w:r w:rsidRPr="004D0DAA">
              <w:rPr>
                <w:bCs/>
              </w:rPr>
              <w:tab/>
            </w:r>
            <w:r w:rsidRPr="004D0DAA">
              <w:rPr>
                <w:bCs/>
              </w:rPr>
              <w:tab/>
              <w:t>Page Response for a positioning event</w:t>
            </w:r>
          </w:p>
          <w:p w14:paraId="6031BB0C" w14:textId="77777777" w:rsidR="00711444" w:rsidRPr="004D0DAA" w:rsidRDefault="00711444" w:rsidP="00AA2A4C">
            <w:pPr>
              <w:spacing w:after="0"/>
              <w:rPr>
                <w:bCs/>
              </w:rPr>
            </w:pPr>
          </w:p>
        </w:tc>
      </w:tr>
      <w:tr w:rsidR="00711444" w:rsidRPr="004D0DAA" w14:paraId="161F1565" w14:textId="77777777" w:rsidTr="00AA2A4C">
        <w:tblPrEx>
          <w:tblCellMar>
            <w:top w:w="0" w:type="dxa"/>
            <w:bottom w:w="0" w:type="dxa"/>
          </w:tblCellMar>
        </w:tblPrEx>
        <w:trPr>
          <w:cantSplit/>
        </w:trPr>
        <w:tc>
          <w:tcPr>
            <w:tcW w:w="9740" w:type="dxa"/>
          </w:tcPr>
          <w:p w14:paraId="616FFCD1" w14:textId="77777777" w:rsidR="00711444" w:rsidRPr="004D0DAA" w:rsidRDefault="00711444" w:rsidP="00AA2A4C">
            <w:pPr>
              <w:spacing w:after="0"/>
              <w:rPr>
                <w:b/>
              </w:rPr>
            </w:pPr>
            <w:r w:rsidRPr="004D0DAA">
              <w:rPr>
                <w:b/>
              </w:rPr>
              <w:t xml:space="preserve">Short ID </w:t>
            </w:r>
            <w:r w:rsidRPr="004D0DAA">
              <w:t>(8 bit field)</w:t>
            </w:r>
          </w:p>
          <w:p w14:paraId="2042BAC4"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This field identifies a 8 bit Short ID value used by a MS performing the radio access part of</w:t>
            </w:r>
            <w:r w:rsidRPr="004D0DAA">
              <w:t xml:space="preserve"> </w:t>
            </w:r>
            <w:r w:rsidRPr="004D0DAA">
              <w:rPr>
                <w:rFonts w:ascii="Times New Roman" w:hAnsi="Times New Roman"/>
                <w:sz w:val="20"/>
              </w:rPr>
              <w:t>the MTA procedure using the Access Burst method (see 3GPP TS 44.018 [11]). The Short ID value used by a MS in a given cell is pre-determined (selected by the SMLC and included as part of the assistance information included in a RRLP message sent to a MS to trigger the Multilateration Timing Advance procedure – see 3GPP TS 44.031). It allows the BSS managing a cell in which it receives an EGPRS MULTILATERATION REQUEST message indicating ‘Access burst method’ to identify the applicable  SCCP connection between the BSS and the serving SMLC (see 3GPP TS 49.031 and 3GPP TS 44.031).</w:t>
            </w:r>
          </w:p>
          <w:p w14:paraId="3B03A6B4" w14:textId="77777777" w:rsidR="00711444" w:rsidRPr="004D0DAA" w:rsidRDefault="00711444" w:rsidP="00AA2A4C">
            <w:pPr>
              <w:pStyle w:val="PL"/>
              <w:rPr>
                <w:rFonts w:ascii="Times New Roman" w:hAnsi="Times New Roman"/>
                <w:b/>
                <w:sz w:val="20"/>
              </w:rPr>
            </w:pPr>
          </w:p>
        </w:tc>
      </w:tr>
      <w:tr w:rsidR="00711444" w:rsidRPr="004D0DAA" w14:paraId="6BB84090" w14:textId="77777777" w:rsidTr="00AA2A4C">
        <w:tblPrEx>
          <w:tblCellMar>
            <w:top w:w="0" w:type="dxa"/>
            <w:bottom w:w="0" w:type="dxa"/>
          </w:tblCellMar>
        </w:tblPrEx>
        <w:trPr>
          <w:cantSplit/>
        </w:trPr>
        <w:tc>
          <w:tcPr>
            <w:tcW w:w="9740" w:type="dxa"/>
          </w:tcPr>
          <w:p w14:paraId="41847A8A" w14:textId="77777777" w:rsidR="00711444" w:rsidRPr="004D0DAA" w:rsidRDefault="00711444" w:rsidP="00AA2A4C">
            <w:pPr>
              <w:spacing w:after="0"/>
            </w:pPr>
            <w:r w:rsidRPr="004D0DAA">
              <w:rPr>
                <w:b/>
              </w:rPr>
              <w:t>Random ID Low</w:t>
            </w:r>
            <w:r w:rsidRPr="004D0DAA">
              <w:t xml:space="preserve"> (4 bit field)</w:t>
            </w:r>
          </w:p>
          <w:p w14:paraId="125DD87A"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This field is sent as part of an EGPRS MULTILATERATION REQUEST message indicating ‘Extended Access Burst Method – part 1’ or ‘Extended Access Burst Method – part 2’. It consists of the 4 least significant bits of the Random ID parameter provided to the MS in the RRLP Multilateration Timing Advance Request message (see 3GPP TS 44.031).</w:t>
            </w:r>
          </w:p>
          <w:p w14:paraId="354679B7" w14:textId="77777777" w:rsidR="00711444" w:rsidRPr="004D0DAA" w:rsidRDefault="00711444" w:rsidP="00AA2A4C">
            <w:pPr>
              <w:pStyle w:val="PL"/>
              <w:rPr>
                <w:rFonts w:ascii="Times New Roman" w:hAnsi="Times New Roman"/>
                <w:sz w:val="20"/>
              </w:rPr>
            </w:pPr>
          </w:p>
        </w:tc>
      </w:tr>
      <w:tr w:rsidR="00711444" w:rsidRPr="004D0DAA" w14:paraId="44D59E9F" w14:textId="77777777" w:rsidTr="00AA2A4C">
        <w:tblPrEx>
          <w:tblCellMar>
            <w:top w:w="0" w:type="dxa"/>
            <w:bottom w:w="0" w:type="dxa"/>
          </w:tblCellMar>
        </w:tblPrEx>
        <w:trPr>
          <w:cantSplit/>
        </w:trPr>
        <w:tc>
          <w:tcPr>
            <w:tcW w:w="9740" w:type="dxa"/>
          </w:tcPr>
          <w:p w14:paraId="1691C169" w14:textId="77777777" w:rsidR="00711444" w:rsidRPr="004D0DAA" w:rsidRDefault="00711444" w:rsidP="00AA2A4C">
            <w:pPr>
              <w:spacing w:after="0"/>
            </w:pPr>
            <w:r w:rsidRPr="004D0DAA">
              <w:rPr>
                <w:b/>
              </w:rPr>
              <w:t>MS Transmission Offset</w:t>
            </w:r>
            <w:r w:rsidRPr="004D0DAA">
              <w:t xml:space="preserve"> (4 bit field)</w:t>
            </w:r>
          </w:p>
          <w:p w14:paraId="70B59E9A" w14:textId="77777777" w:rsidR="00711444" w:rsidRPr="004D0DAA" w:rsidRDefault="00711444" w:rsidP="00AA2A4C">
            <w:pPr>
              <w:spacing w:after="0"/>
            </w:pPr>
            <w:r w:rsidRPr="004D0DAA">
              <w:t>This field is sent as part of an EGPRS MULTILATERATION REQUEST message indicating ‘Extended Access Burst Method – part 1’ or included in a RLC Data Block following the transmission of an EGPRS MULTILATERATION REQUEST message indicating ‘RLC Data Block method’ or ‘Page Response for Positioning Event’. It is coded as described in sub-clause 10.4.33</w:t>
            </w:r>
          </w:p>
          <w:p w14:paraId="02926266" w14:textId="77777777" w:rsidR="00711444" w:rsidRPr="004D0DAA" w:rsidRDefault="00711444" w:rsidP="00AA2A4C">
            <w:pPr>
              <w:spacing w:after="0"/>
            </w:pPr>
          </w:p>
        </w:tc>
      </w:tr>
      <w:tr w:rsidR="00711444" w:rsidRPr="004D0DAA" w14:paraId="2190C404" w14:textId="77777777" w:rsidTr="00AA2A4C">
        <w:tblPrEx>
          <w:tblCellMar>
            <w:top w:w="0" w:type="dxa"/>
            <w:bottom w:w="0" w:type="dxa"/>
          </w:tblCellMar>
        </w:tblPrEx>
        <w:trPr>
          <w:cantSplit/>
        </w:trPr>
        <w:tc>
          <w:tcPr>
            <w:tcW w:w="9740" w:type="dxa"/>
          </w:tcPr>
          <w:p w14:paraId="5233231D" w14:textId="77777777" w:rsidR="00711444" w:rsidRPr="004D0DAA" w:rsidRDefault="00711444" w:rsidP="00AA2A4C">
            <w:pPr>
              <w:spacing w:after="0"/>
            </w:pPr>
            <w:r w:rsidRPr="004D0DAA">
              <w:rPr>
                <w:b/>
              </w:rPr>
              <w:t>MS Sync Accuracy</w:t>
            </w:r>
            <w:r w:rsidRPr="004D0DAA">
              <w:t xml:space="preserve"> (4 bit field)</w:t>
            </w:r>
          </w:p>
          <w:p w14:paraId="0ED6E8DA" w14:textId="77777777" w:rsidR="00711444" w:rsidRPr="004D0DAA" w:rsidRDefault="00711444" w:rsidP="00AA2A4C">
            <w:pPr>
              <w:spacing w:after="0"/>
            </w:pPr>
            <w:r w:rsidRPr="004D0DAA">
              <w:t>This field is sent as part of an EGPRS MULTILATERATION REQUEST message indicating ‘Extended Access Burst Method – part 2’ or included in a RLC Data Block following the transmission of an EGPRS MULTILATERATION REQUEST message indicating ‘RLC Data Block method’ or ‘Page Response for Positioning Event’. It is coded as described in sub-clause 10.4.32</w:t>
            </w:r>
          </w:p>
          <w:p w14:paraId="65AFBA73" w14:textId="77777777" w:rsidR="00711444" w:rsidRPr="004D0DAA" w:rsidRDefault="00711444" w:rsidP="00AA2A4C">
            <w:pPr>
              <w:spacing w:after="0"/>
            </w:pPr>
          </w:p>
        </w:tc>
      </w:tr>
      <w:tr w:rsidR="00711444" w:rsidRPr="004D0DAA" w14:paraId="2FF800F5" w14:textId="77777777" w:rsidTr="00AA2A4C">
        <w:tblPrEx>
          <w:tblCellMar>
            <w:top w:w="0" w:type="dxa"/>
            <w:bottom w:w="0" w:type="dxa"/>
          </w:tblCellMar>
        </w:tblPrEx>
        <w:trPr>
          <w:cantSplit/>
        </w:trPr>
        <w:tc>
          <w:tcPr>
            <w:tcW w:w="9740" w:type="dxa"/>
          </w:tcPr>
          <w:p w14:paraId="49BC990E" w14:textId="77777777" w:rsidR="00711444" w:rsidRPr="004D0DAA" w:rsidRDefault="00711444" w:rsidP="00AA2A4C">
            <w:pPr>
              <w:spacing w:after="0"/>
            </w:pPr>
            <w:r w:rsidRPr="004D0DAA">
              <w:rPr>
                <w:b/>
              </w:rPr>
              <w:t xml:space="preserve">Random ID High </w:t>
            </w:r>
            <w:r w:rsidRPr="004D0DAA">
              <w:t>(12 bit field)</w:t>
            </w:r>
          </w:p>
          <w:p w14:paraId="6348927D"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This field is sent as part of an EGPRS MULTILATERATION REQUEST message indicating ‘Extended Access Burst Method – part 2’. It consists of the 12 most significant bits of the Random ID parameter provided to the MS in the RRLP Multilateration Timing Advance Request message (see 3GPP TS 44.031).</w:t>
            </w:r>
          </w:p>
          <w:p w14:paraId="7228AE88" w14:textId="77777777" w:rsidR="00711444" w:rsidRPr="004D0DAA" w:rsidRDefault="00711444" w:rsidP="00AA2A4C">
            <w:pPr>
              <w:pStyle w:val="PL"/>
              <w:rPr>
                <w:rFonts w:ascii="Times New Roman" w:hAnsi="Times New Roman"/>
                <w:sz w:val="20"/>
              </w:rPr>
            </w:pPr>
          </w:p>
          <w:p w14:paraId="1DBC918B"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The value of the Random ID resulting from combining the Random ID Low and Random ID High fields sent by the MS is is selected from the set of the Random ID values provided by the RRLP Multilateration Timing Advance Request message (see 3GPP TS 44.031). Each Random ID value provided by the RRLP Multilateration Timing Advance Request message can only be used in one cell used during the MTA procedure.</w:t>
            </w:r>
          </w:p>
          <w:p w14:paraId="662837F8" w14:textId="77777777" w:rsidR="00711444" w:rsidRPr="004D0DAA" w:rsidRDefault="00711444" w:rsidP="00AA2A4C">
            <w:pPr>
              <w:pStyle w:val="PL"/>
              <w:rPr>
                <w:rFonts w:ascii="Times New Roman" w:hAnsi="Times New Roman"/>
                <w:sz w:val="20"/>
              </w:rPr>
            </w:pPr>
          </w:p>
        </w:tc>
      </w:tr>
      <w:tr w:rsidR="00711444" w:rsidRPr="004D0DAA" w14:paraId="01B44FC9" w14:textId="77777777" w:rsidTr="00AA2A4C">
        <w:tblPrEx>
          <w:tblCellMar>
            <w:top w:w="0" w:type="dxa"/>
            <w:bottom w:w="0" w:type="dxa"/>
          </w:tblCellMar>
        </w:tblPrEx>
        <w:trPr>
          <w:cantSplit/>
        </w:trPr>
        <w:tc>
          <w:tcPr>
            <w:tcW w:w="9740" w:type="dxa"/>
          </w:tcPr>
          <w:p w14:paraId="58498501" w14:textId="77777777" w:rsidR="00711444" w:rsidRPr="004D0DAA" w:rsidRDefault="00711444" w:rsidP="00AA2A4C">
            <w:pPr>
              <w:pStyle w:val="PL"/>
              <w:rPr>
                <w:rFonts w:ascii="Times New Roman" w:hAnsi="Times New Roman"/>
                <w:b/>
                <w:sz w:val="20"/>
              </w:rPr>
            </w:pPr>
            <w:r w:rsidRPr="004D0DAA">
              <w:rPr>
                <w:rFonts w:ascii="Times New Roman" w:hAnsi="Times New Roman"/>
                <w:b/>
                <w:sz w:val="20"/>
              </w:rPr>
              <w:t xml:space="preserve">Short DSS ID </w:t>
            </w:r>
            <w:r w:rsidRPr="004D0DAA">
              <w:rPr>
                <w:rFonts w:ascii="Times New Roman" w:hAnsi="Times New Roman"/>
                <w:sz w:val="20"/>
              </w:rPr>
              <w:t>(3 bit field)</w:t>
            </w:r>
          </w:p>
          <w:p w14:paraId="17805494"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 xml:space="preserve">This field is sent as part of an EGPRS MULTILATERATION REQUEST message indicating ‘Extended Access Burst Method – part 2’. It consists of the Short BSS ID parameter provided to the MS in the RRLP Multilateration Timing Advance Request message (see 3GPP TS 44.031). </w:t>
            </w:r>
          </w:p>
          <w:p w14:paraId="313963BE" w14:textId="77777777" w:rsidR="00711444" w:rsidRPr="004D0DAA" w:rsidRDefault="00711444" w:rsidP="00AA2A4C">
            <w:pPr>
              <w:pStyle w:val="PL"/>
              <w:rPr>
                <w:rFonts w:ascii="Times New Roman" w:hAnsi="Times New Roman"/>
                <w:sz w:val="20"/>
              </w:rPr>
            </w:pPr>
          </w:p>
        </w:tc>
      </w:tr>
      <w:tr w:rsidR="00711444" w:rsidRPr="004D0DAA" w14:paraId="242723EC" w14:textId="77777777" w:rsidTr="00AA2A4C">
        <w:tblPrEx>
          <w:tblCellMar>
            <w:top w:w="0" w:type="dxa"/>
            <w:bottom w:w="0" w:type="dxa"/>
          </w:tblCellMar>
        </w:tblPrEx>
        <w:trPr>
          <w:cantSplit/>
        </w:trPr>
        <w:tc>
          <w:tcPr>
            <w:tcW w:w="9740" w:type="dxa"/>
          </w:tcPr>
          <w:p w14:paraId="7D658ABD" w14:textId="77777777" w:rsidR="00711444" w:rsidRPr="004D0DAA" w:rsidRDefault="00711444" w:rsidP="00AA2A4C">
            <w:pPr>
              <w:pStyle w:val="PL"/>
              <w:rPr>
                <w:rFonts w:ascii="Times New Roman" w:hAnsi="Times New Roman"/>
                <w:sz w:val="20"/>
              </w:rPr>
            </w:pPr>
            <w:r w:rsidRPr="004D0DAA">
              <w:rPr>
                <w:rFonts w:ascii="Times New Roman" w:hAnsi="Times New Roman"/>
                <w:b/>
                <w:sz w:val="20"/>
              </w:rPr>
              <w:t xml:space="preserve">Final MTA Access </w:t>
            </w:r>
            <w:r w:rsidRPr="004D0DAA">
              <w:rPr>
                <w:rFonts w:ascii="Times New Roman" w:hAnsi="Times New Roman"/>
                <w:sz w:val="20"/>
              </w:rPr>
              <w:t>(1 bit field)</w:t>
            </w:r>
          </w:p>
          <w:p w14:paraId="3B8861C2" w14:textId="77777777" w:rsidR="00711444" w:rsidRPr="004D0DAA" w:rsidRDefault="00711444" w:rsidP="00AA2A4C">
            <w:pPr>
              <w:pStyle w:val="PL"/>
              <w:rPr>
                <w:rFonts w:ascii="Times New Roman" w:hAnsi="Times New Roman"/>
                <w:sz w:val="20"/>
              </w:rPr>
            </w:pPr>
            <w:r w:rsidRPr="004D0DAA">
              <w:rPr>
                <w:rFonts w:ascii="Times New Roman" w:hAnsi="Times New Roman"/>
                <w:sz w:val="20"/>
              </w:rPr>
              <w:t>This field indicates whether or not the current access request is the final access request the MS will make when performing the radio access part of the MTA procedure. It is ignored by the BSS if the Access Discriminator field indicates ‘Page Response for a positioning event’.</w:t>
            </w:r>
          </w:p>
          <w:p w14:paraId="7A1B2C03" w14:textId="77777777" w:rsidR="00711444" w:rsidRPr="004D0DAA" w:rsidRDefault="00711444" w:rsidP="00AA2A4C">
            <w:pPr>
              <w:spacing w:after="0"/>
            </w:pPr>
          </w:p>
          <w:p w14:paraId="7F745570" w14:textId="77777777" w:rsidR="00711444" w:rsidRPr="004D0DAA" w:rsidRDefault="00711444" w:rsidP="00AA2A4C">
            <w:pPr>
              <w:spacing w:after="0"/>
            </w:pPr>
            <w:r w:rsidRPr="004D0DAA">
              <w:t>bit</w:t>
            </w:r>
          </w:p>
          <w:p w14:paraId="2CFEAEB0" w14:textId="77777777" w:rsidR="00711444" w:rsidRPr="004D0DAA" w:rsidRDefault="00711444" w:rsidP="00AA2A4C">
            <w:pPr>
              <w:spacing w:after="0"/>
              <w:rPr>
                <w:bCs/>
              </w:rPr>
            </w:pPr>
            <w:r w:rsidRPr="004D0DAA">
              <w:t>0</w:t>
            </w:r>
            <w:r w:rsidRPr="004D0DAA">
              <w:rPr>
                <w:bCs/>
              </w:rPr>
              <w:tab/>
            </w:r>
            <w:r w:rsidRPr="004D0DAA">
              <w:rPr>
                <w:bCs/>
              </w:rPr>
              <w:tab/>
              <w:t>One or more additional access requests pending for MTA procedure</w:t>
            </w:r>
          </w:p>
          <w:p w14:paraId="4180594C" w14:textId="77777777" w:rsidR="00711444" w:rsidRPr="004D0DAA" w:rsidRDefault="00711444" w:rsidP="00AA2A4C">
            <w:pPr>
              <w:spacing w:after="0"/>
              <w:rPr>
                <w:bCs/>
              </w:rPr>
            </w:pPr>
            <w:r w:rsidRPr="004D0DAA">
              <w:t>1</w:t>
            </w:r>
            <w:r w:rsidRPr="004D0DAA">
              <w:rPr>
                <w:bCs/>
              </w:rPr>
              <w:tab/>
            </w:r>
            <w:r w:rsidRPr="004D0DAA">
              <w:rPr>
                <w:bCs/>
              </w:rPr>
              <w:tab/>
              <w:t>Final access request for MTA procedure</w:t>
            </w:r>
          </w:p>
          <w:p w14:paraId="73EE9DC2" w14:textId="77777777" w:rsidR="00711444" w:rsidRPr="004D0DAA" w:rsidRDefault="00711444" w:rsidP="00AA2A4C">
            <w:pPr>
              <w:pStyle w:val="PL"/>
              <w:rPr>
                <w:rFonts w:ascii="Times New Roman" w:hAnsi="Times New Roman"/>
                <w:sz w:val="20"/>
              </w:rPr>
            </w:pPr>
          </w:p>
        </w:tc>
      </w:tr>
    </w:tbl>
    <w:p w14:paraId="0C99E5BC" w14:textId="77777777" w:rsidR="00711444" w:rsidRPr="004D0DAA" w:rsidRDefault="00711444" w:rsidP="00711444"/>
    <w:p w14:paraId="070F1E57" w14:textId="77777777" w:rsidR="00711444" w:rsidRPr="004D0DAA" w:rsidRDefault="00711444" w:rsidP="00711444">
      <w:pPr>
        <w:pStyle w:val="Heading3"/>
      </w:pPr>
      <w:bookmarkStart w:id="654" w:name="_Toc516669831"/>
      <w:r w:rsidRPr="004D0DAA">
        <w:lastRenderedPageBreak/>
        <w:t>11.2.5b</w:t>
      </w:r>
      <w:r w:rsidRPr="004D0DAA">
        <w:tab/>
        <w:t>Packet DBPSCH Assignment</w:t>
      </w:r>
      <w:bookmarkEnd w:id="654"/>
    </w:p>
    <w:p w14:paraId="6A0B9631" w14:textId="77777777" w:rsidR="00711444" w:rsidRPr="004D0DAA" w:rsidRDefault="00711444" w:rsidP="00711444">
      <w:r w:rsidRPr="004D0DAA">
        <w:t xml:space="preserve">This message is sent on the PCCCH or the PACCH from the network to the mobile station in </w:t>
      </w:r>
      <w:r w:rsidRPr="004D0DAA">
        <w:rPr>
          <w:i/>
        </w:rPr>
        <w:t>Iu mode</w:t>
      </w:r>
      <w:r w:rsidRPr="004D0DAA">
        <w:t xml:space="preserve"> to assign one or more DBPSCH(s) or a SDCCH to the mobile station.</w:t>
      </w:r>
    </w:p>
    <w:p w14:paraId="598DC48B" w14:textId="77777777" w:rsidR="00711444" w:rsidRPr="004D0DAA" w:rsidRDefault="00711444" w:rsidP="00711444">
      <w:pPr>
        <w:pStyle w:val="EX"/>
      </w:pPr>
      <w:r w:rsidRPr="004D0DAA">
        <w:t>Message type:</w:t>
      </w:r>
      <w:r w:rsidRPr="004D0DAA">
        <w:tab/>
        <w:t>PACKET DBPSCH ASSIGNMENT</w:t>
      </w:r>
    </w:p>
    <w:p w14:paraId="2EB9F42B" w14:textId="77777777" w:rsidR="00711444" w:rsidRPr="004D0DAA" w:rsidRDefault="00711444" w:rsidP="00711444">
      <w:pPr>
        <w:pStyle w:val="EX"/>
      </w:pPr>
      <w:r w:rsidRPr="004D0DAA">
        <w:t>Direction:</w:t>
      </w:r>
      <w:r w:rsidRPr="004D0DAA">
        <w:tab/>
        <w:t>network to mobile station</w:t>
      </w:r>
    </w:p>
    <w:p w14:paraId="2ED8F023" w14:textId="77777777" w:rsidR="00711444" w:rsidRPr="004D0DAA" w:rsidRDefault="00711444" w:rsidP="00711444">
      <w:pPr>
        <w:pStyle w:val="EX"/>
      </w:pPr>
      <w:r w:rsidRPr="004D0DAA">
        <w:t>Classification:</w:t>
      </w:r>
      <w:r w:rsidRPr="004D0DAA">
        <w:tab/>
        <w:t>non-distribution message</w:t>
      </w:r>
    </w:p>
    <w:p w14:paraId="53813260" w14:textId="77777777" w:rsidR="00711444" w:rsidRPr="004D0DAA" w:rsidRDefault="00711444" w:rsidP="00711444">
      <w:pPr>
        <w:pStyle w:val="TH"/>
      </w:pPr>
      <w:r w:rsidRPr="004D0DAA">
        <w:t>Table 11.2.5b.1: PACKET DBPSCH ASSIGNMENT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885CEBE" w14:textId="77777777" w:rsidTr="00AA2A4C">
        <w:tblPrEx>
          <w:tblCellMar>
            <w:top w:w="0" w:type="dxa"/>
            <w:bottom w:w="0" w:type="dxa"/>
          </w:tblCellMar>
        </w:tblPrEx>
        <w:trPr>
          <w:cantSplit/>
        </w:trPr>
        <w:tc>
          <w:tcPr>
            <w:tcW w:w="9848" w:type="dxa"/>
          </w:tcPr>
          <w:p w14:paraId="1E76678A" w14:textId="77777777" w:rsidR="00711444" w:rsidRPr="004D0DAA" w:rsidRDefault="00711444" w:rsidP="00AA2A4C">
            <w:pPr>
              <w:pStyle w:val="TAL"/>
              <w:rPr>
                <w:lang w:val="fr-FR" w:eastAsia="en-US"/>
              </w:rPr>
            </w:pPr>
            <w:r w:rsidRPr="004D0DAA">
              <w:rPr>
                <w:lang w:val="fr-FR" w:eastAsia="en-US"/>
              </w:rPr>
              <w:t>&lt; Packet DBPSCH Assignment message content &gt; ::=</w:t>
            </w:r>
          </w:p>
          <w:p w14:paraId="3F6EEABB"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1D2FDA5B" w14:textId="77777777" w:rsidR="00711444" w:rsidRPr="004D0DAA" w:rsidRDefault="00711444" w:rsidP="00AA2A4C">
            <w:pPr>
              <w:pStyle w:val="TAL"/>
              <w:rPr>
                <w:lang w:eastAsia="en-US"/>
              </w:rPr>
            </w:pPr>
            <w:r w:rsidRPr="004D0DAA">
              <w:rPr>
                <w:lang w:val="fr-FR" w:eastAsia="en-US"/>
              </w:rPr>
              <w:tab/>
            </w:r>
            <w:r w:rsidRPr="004D0DAA">
              <w:rPr>
                <w:lang w:eastAsia="en-US"/>
              </w:rPr>
              <w:t>{ 0 | 1 &lt;</w:t>
            </w:r>
            <w:r w:rsidRPr="004D0DAA">
              <w:rPr>
                <w:b/>
                <w:lang w:eastAsia="en-US"/>
              </w:rPr>
              <w:t xml:space="preserve">PERSISTENCE_LEVEL </w:t>
            </w:r>
            <w:r w:rsidRPr="004D0DAA">
              <w:rPr>
                <w:lang w:eastAsia="en-US"/>
              </w:rPr>
              <w:t>: bit (4) &gt; * 4 }</w:t>
            </w:r>
          </w:p>
          <w:p w14:paraId="4FD8A767"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0 &lt; </w:t>
            </w:r>
            <w:r w:rsidRPr="004D0DAA">
              <w:rPr>
                <w:b/>
                <w:lang w:eastAsia="en-US"/>
              </w:rPr>
              <w:t>Global TFI</w:t>
            </w:r>
            <w:r w:rsidRPr="004D0DAA">
              <w:rPr>
                <w:lang w:eastAsia="en-US"/>
              </w:rPr>
              <w:t xml:space="preserve"> : &lt; Global TFI IE &gt; &gt;</w:t>
            </w:r>
          </w:p>
          <w:p w14:paraId="459B0C29"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t xml:space="preserve">&lt; </w:t>
            </w:r>
            <w:r w:rsidRPr="004D0DAA">
              <w:rPr>
                <w:b/>
                <w:lang w:eastAsia="en-US"/>
              </w:rPr>
              <w:t>G-RNTI</w:t>
            </w:r>
            <w:r w:rsidRPr="004D0DAA">
              <w:rPr>
                <w:lang w:eastAsia="en-US"/>
              </w:rPr>
              <w:t xml:space="preserve"> : bit (32) &gt; </w:t>
            </w:r>
          </w:p>
          <w:p w14:paraId="682E5064" w14:textId="77777777" w:rsidR="00711444" w:rsidRPr="004D0DAA" w:rsidRDefault="00711444" w:rsidP="00AA2A4C">
            <w:pPr>
              <w:pStyle w:val="TAL"/>
              <w:rPr>
                <w:lang w:eastAsia="en-US"/>
              </w:rPr>
            </w:pPr>
            <w:r w:rsidRPr="004D0DAA">
              <w:rPr>
                <w:lang w:eastAsia="en-US"/>
              </w:rPr>
              <w:tab/>
            </w:r>
            <w:r w:rsidRPr="004D0DAA">
              <w:rPr>
                <w:lang w:eastAsia="en-US"/>
              </w:rPr>
              <w:tab/>
              <w:t>| 11</w:t>
            </w:r>
            <w:r w:rsidRPr="004D0DAA">
              <w:rPr>
                <w:lang w:eastAsia="en-US"/>
              </w:rPr>
              <w:tab/>
              <w:t xml:space="preserve">&lt; </w:t>
            </w:r>
            <w:r w:rsidRPr="004D0DAA">
              <w:rPr>
                <w:b/>
                <w:lang w:eastAsia="en-US"/>
              </w:rPr>
              <w:t>Packet Request Reference</w:t>
            </w:r>
            <w:r w:rsidRPr="004D0DAA">
              <w:rPr>
                <w:lang w:eastAsia="en-US"/>
              </w:rPr>
              <w:t xml:space="preserve"> : &lt; Packet Request Reference IE &gt;&gt; }</w:t>
            </w:r>
          </w:p>
          <w:p w14:paraId="53CF01D1" w14:textId="77777777" w:rsidR="00711444" w:rsidRPr="004D0DAA" w:rsidRDefault="00711444" w:rsidP="00AA2A4C">
            <w:pPr>
              <w:pStyle w:val="TAL"/>
              <w:rPr>
                <w:i/>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w:t>
            </w:r>
          </w:p>
          <w:p w14:paraId="4785819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CHANNEL_DESCRIPTION</w:t>
            </w:r>
            <w:r w:rsidRPr="004D0DAA">
              <w:rPr>
                <w:lang w:eastAsia="en-US"/>
              </w:rPr>
              <w:t xml:space="preserve"> : &lt; Channel Description struct &gt;&gt;</w:t>
            </w:r>
          </w:p>
          <w:p w14:paraId="67C8A5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TIMING_ADVANCE_VALUE</w:t>
            </w:r>
            <w:r w:rsidRPr="004D0DAA">
              <w:rPr>
                <w:lang w:eastAsia="en-US"/>
              </w:rPr>
              <w:t xml:space="preserve"> : bit (8) &gt; }</w:t>
            </w:r>
          </w:p>
          <w:p w14:paraId="1779ED4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NETWORK_RESPONSE_TIMES</w:t>
            </w:r>
            <w:r w:rsidRPr="004D0DAA">
              <w:rPr>
                <w:lang w:eastAsia="en-US"/>
              </w:rPr>
              <w:t xml:space="preserve"> : &lt; Network Response Times struct &gt;&gt;</w:t>
            </w:r>
          </w:p>
          <w:p w14:paraId="3B8FF3F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1C8F0F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374A6B7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Message escape : 1 bit (*) = &lt;no string&gt; &gt; }</w:t>
            </w:r>
          </w:p>
          <w:p w14:paraId="3D08948F"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0D3808DF" w14:textId="77777777" w:rsidR="00711444" w:rsidRPr="004D0DAA" w:rsidRDefault="00711444" w:rsidP="00AA2A4C">
            <w:pPr>
              <w:pStyle w:val="TAL"/>
              <w:rPr>
                <w:lang w:eastAsia="en-US"/>
              </w:rPr>
            </w:pPr>
            <w:r w:rsidRPr="004D0DAA">
              <w:rPr>
                <w:lang w:eastAsia="en-US"/>
              </w:rPr>
              <w:tab/>
              <w:t>! &lt; Distribution part error : bit (*) = &lt; no string &gt; &gt; ;</w:t>
            </w:r>
          </w:p>
          <w:p w14:paraId="39B8FB19" w14:textId="77777777" w:rsidR="00711444" w:rsidRPr="004D0DAA" w:rsidRDefault="00711444" w:rsidP="00AA2A4C">
            <w:pPr>
              <w:pStyle w:val="TAL"/>
              <w:rPr>
                <w:lang w:eastAsia="en-US"/>
              </w:rPr>
            </w:pPr>
          </w:p>
        </w:tc>
      </w:tr>
      <w:tr w:rsidR="00711444" w:rsidRPr="004D0DAA" w14:paraId="77953D52" w14:textId="77777777" w:rsidTr="00AA2A4C">
        <w:tblPrEx>
          <w:tblCellMar>
            <w:top w:w="0" w:type="dxa"/>
            <w:bottom w:w="0" w:type="dxa"/>
          </w:tblCellMar>
        </w:tblPrEx>
        <w:trPr>
          <w:cantSplit/>
        </w:trPr>
        <w:tc>
          <w:tcPr>
            <w:tcW w:w="9848" w:type="dxa"/>
          </w:tcPr>
          <w:p w14:paraId="10590EA4" w14:textId="77777777" w:rsidR="00711444" w:rsidRPr="004D0DAA" w:rsidRDefault="00711444" w:rsidP="00AA2A4C">
            <w:pPr>
              <w:pStyle w:val="TAL"/>
              <w:rPr>
                <w:lang w:eastAsia="en-US"/>
              </w:rPr>
            </w:pPr>
            <w:r w:rsidRPr="004D0DAA">
              <w:rPr>
                <w:lang w:eastAsia="en-US"/>
              </w:rPr>
              <w:t>&lt; Channel Description struct &gt; ::=</w:t>
            </w:r>
          </w:p>
          <w:p w14:paraId="43936539"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 CHANNEL_TYPE</w:t>
            </w:r>
            <w:r w:rsidRPr="004D0DAA">
              <w:rPr>
                <w:lang w:eastAsia="en-US"/>
              </w:rPr>
              <w:t xml:space="preserve"> : bit (6) &gt;</w:t>
            </w:r>
          </w:p>
          <w:p w14:paraId="089F05A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DOWNLINK_</w:t>
            </w:r>
            <w:r w:rsidRPr="004D0DAA">
              <w:rPr>
                <w:b/>
                <w:lang w:eastAsia="en-US"/>
              </w:rPr>
              <w:t>TIMESLOT_ALLOCATION</w:t>
            </w:r>
            <w:r w:rsidRPr="004D0DAA">
              <w:rPr>
                <w:lang w:eastAsia="en-US"/>
              </w:rPr>
              <w:t xml:space="preserve"> : bit (8) &gt;</w:t>
            </w:r>
          </w:p>
          <w:p w14:paraId="57A908F2" w14:textId="77777777" w:rsidR="00711444" w:rsidRPr="004D0DAA" w:rsidRDefault="00711444" w:rsidP="00AA2A4C">
            <w:pPr>
              <w:pStyle w:val="TAL"/>
              <w:rPr>
                <w:i/>
                <w:iCs/>
                <w:lang w:eastAsia="en-US"/>
              </w:rPr>
            </w:pP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Symmetric uplink and downlink timeslot allocation</w:t>
            </w:r>
          </w:p>
          <w:p w14:paraId="0AC922FB" w14:textId="77777777" w:rsidR="00711444" w:rsidRPr="004D0DAA" w:rsidRDefault="00711444" w:rsidP="00AA2A4C">
            <w:pPr>
              <w:pStyle w:val="TAL"/>
              <w:rPr>
                <w:lang w:eastAsia="en-US"/>
              </w:rPr>
            </w:pPr>
            <w:r w:rsidRPr="004D0DAA">
              <w:rPr>
                <w:lang w:eastAsia="en-US"/>
              </w:rPr>
              <w:tab/>
              <w:t xml:space="preserve">| 1 </w:t>
            </w:r>
            <w:r w:rsidRPr="004D0DAA">
              <w:rPr>
                <w:lang w:eastAsia="en-US"/>
              </w:rPr>
              <w:tab/>
              <w:t xml:space="preserve">&lt; </w:t>
            </w:r>
            <w:r w:rsidRPr="004D0DAA">
              <w:rPr>
                <w:b/>
                <w:bCs/>
                <w:lang w:eastAsia="en-US"/>
              </w:rPr>
              <w:t>UPLINK_TIMESLOT_ALLOCATION</w:t>
            </w:r>
            <w:r w:rsidRPr="004D0DAA">
              <w:rPr>
                <w:lang w:eastAsia="en-US"/>
              </w:rPr>
              <w:t xml:space="preserve"> : bit (8) &gt; } -- </w:t>
            </w:r>
            <w:r w:rsidRPr="004D0DAA">
              <w:rPr>
                <w:i/>
                <w:iCs/>
                <w:lang w:eastAsia="en-US"/>
              </w:rPr>
              <w:t>Asymmetric uplink and downlink timeslot allocation</w:t>
            </w:r>
          </w:p>
          <w:p w14:paraId="614F9C59" w14:textId="77777777" w:rsidR="00711444" w:rsidRPr="004D0DAA" w:rsidRDefault="00711444" w:rsidP="00AA2A4C">
            <w:pPr>
              <w:pStyle w:val="TAL"/>
              <w:rPr>
                <w:lang w:eastAsia="en-US"/>
              </w:rPr>
            </w:pPr>
            <w:r w:rsidRPr="004D0DAA">
              <w:rPr>
                <w:lang w:eastAsia="en-US"/>
              </w:rPr>
              <w:tab/>
              <w:t xml:space="preserve">{ 0 | 1 </w:t>
            </w:r>
            <w:r w:rsidRPr="004D0DAA">
              <w:rPr>
                <w:lang w:eastAsia="en-US"/>
              </w:rPr>
              <w:tab/>
              <w:t xml:space="preserve">&lt; </w:t>
            </w:r>
            <w:r w:rsidRPr="004D0DAA">
              <w:rPr>
                <w:b/>
                <w:bCs/>
                <w:lang w:eastAsia="en-US"/>
              </w:rPr>
              <w:t>USF</w:t>
            </w:r>
            <w:r w:rsidRPr="004D0DAA">
              <w:rPr>
                <w:lang w:eastAsia="en-US"/>
              </w:rPr>
              <w:t xml:space="preserve"> : bit (3) &gt;</w:t>
            </w:r>
          </w:p>
          <w:p w14:paraId="462DDFC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w:t>
            </w:r>
            <w:r w:rsidRPr="004D0DAA">
              <w:rPr>
                <w:b/>
                <w:bCs/>
                <w:lang w:eastAsia="en-US"/>
              </w:rPr>
              <w:t xml:space="preserve"> USF_GRANULARITY</w:t>
            </w:r>
            <w:r w:rsidRPr="004D0DAA">
              <w:rPr>
                <w:lang w:eastAsia="en-US"/>
              </w:rPr>
              <w:t xml:space="preserve"> : bit (1) &gt; }</w:t>
            </w:r>
          </w:p>
          <w:p w14:paraId="68EE4F7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POWER_COMMAND</w:t>
            </w:r>
            <w:r w:rsidRPr="004D0DAA">
              <w:rPr>
                <w:lang w:eastAsia="en-US"/>
              </w:rPr>
              <w:t xml:space="preserve"> : &lt; Power Command struct &gt; &gt;</w:t>
            </w:r>
          </w:p>
          <w:p w14:paraId="196AC22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CHANNEL_MODE</w:t>
            </w:r>
            <w:r w:rsidRPr="004D0DAA">
              <w:rPr>
                <w:lang w:eastAsia="en-US"/>
              </w:rPr>
              <w:t xml:space="preserve"> : bit (8) &gt; }</w:t>
            </w:r>
          </w:p>
          <w:p w14:paraId="2FA7F23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59032455"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MAIO</w:t>
            </w:r>
            <w:r w:rsidRPr="004D0DAA">
              <w:rPr>
                <w:lang w:eastAsia="en-US"/>
              </w:rPr>
              <w:t xml:space="preserve"> : bit (6) &gt;</w:t>
            </w:r>
          </w:p>
          <w:p w14:paraId="6895A53F"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HSN</w:t>
            </w:r>
            <w:r w:rsidRPr="004D0DAA">
              <w:rPr>
                <w:lang w:eastAsia="en-US"/>
              </w:rPr>
              <w:t xml:space="preserve"> : bit (6) &gt;</w:t>
            </w:r>
          </w:p>
          <w:p w14:paraId="4FF14FF5"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ARFCN</w:t>
            </w:r>
            <w:r w:rsidRPr="004D0DAA">
              <w:rPr>
                <w:lang w:eastAsia="en-US"/>
              </w:rPr>
              <w:t xml:space="preserve"> : bit (10) &gt; } ;</w:t>
            </w:r>
          </w:p>
        </w:tc>
      </w:tr>
      <w:tr w:rsidR="00711444" w:rsidRPr="004D0DAA" w14:paraId="0E6BE3B1" w14:textId="77777777" w:rsidTr="00AA2A4C">
        <w:tblPrEx>
          <w:tblCellMar>
            <w:top w:w="0" w:type="dxa"/>
            <w:bottom w:w="0" w:type="dxa"/>
          </w:tblCellMar>
        </w:tblPrEx>
        <w:trPr>
          <w:cantSplit/>
        </w:trPr>
        <w:tc>
          <w:tcPr>
            <w:tcW w:w="9848" w:type="dxa"/>
          </w:tcPr>
          <w:p w14:paraId="335E7265" w14:textId="77777777" w:rsidR="00711444" w:rsidRPr="004D0DAA" w:rsidRDefault="00711444" w:rsidP="00AA2A4C">
            <w:pPr>
              <w:pStyle w:val="TAL"/>
              <w:rPr>
                <w:lang w:eastAsia="en-US"/>
              </w:rPr>
            </w:pPr>
            <w:r w:rsidRPr="004D0DAA">
              <w:rPr>
                <w:lang w:eastAsia="en-US"/>
              </w:rPr>
              <w:t>&lt; Network Response Times struct &gt; ::=</w:t>
            </w:r>
          </w:p>
          <w:p w14:paraId="49574D0E" w14:textId="77777777" w:rsidR="00711444" w:rsidRPr="004D0DAA" w:rsidRDefault="00711444" w:rsidP="00AA2A4C">
            <w:pPr>
              <w:pStyle w:val="TAL"/>
              <w:rPr>
                <w:i/>
                <w:iCs/>
                <w:lang w:eastAsia="en-US"/>
              </w:rPr>
            </w:pPr>
            <w:r w:rsidRPr="004D0DAA">
              <w:rPr>
                <w:lang w:eastAsia="en-US"/>
              </w:rPr>
              <w:tab/>
              <w:t>{ 0</w:t>
            </w:r>
            <w:r w:rsidRPr="004D0DAA">
              <w:rPr>
                <w:lang w:eastAsia="en-US"/>
              </w:rPr>
              <w:tab/>
              <w:t xml:space="preserve">-- </w:t>
            </w:r>
            <w:r w:rsidRPr="004D0DAA">
              <w:rPr>
                <w:i/>
                <w:iCs/>
                <w:lang w:eastAsia="en-US"/>
              </w:rPr>
              <w:t>Network's response times on SDCCH</w:t>
            </w:r>
          </w:p>
          <w:p w14:paraId="3533ED0D"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bCs/>
                <w:lang w:eastAsia="en-US"/>
              </w:rPr>
              <w:t xml:space="preserve">RESPONSE_TIME_SDCCH </w:t>
            </w:r>
            <w:r w:rsidRPr="004D0DAA">
              <w:rPr>
                <w:lang w:eastAsia="en-US"/>
              </w:rPr>
              <w:t xml:space="preserve">: &lt; Response Time SDCCH struct &gt; &gt; </w:t>
            </w:r>
          </w:p>
          <w:p w14:paraId="2419D2D5"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 </w:t>
            </w:r>
            <w:r w:rsidRPr="004D0DAA">
              <w:rPr>
                <w:i/>
                <w:iCs/>
                <w:lang w:eastAsia="en-US"/>
              </w:rPr>
              <w:t>Network's reponse times on the assigned DBPSCH</w:t>
            </w:r>
          </w:p>
          <w:p w14:paraId="0DB9F752"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bCs/>
                <w:lang w:eastAsia="en-US"/>
              </w:rPr>
              <w:t>RESPONSE_TIME_SACCH</w:t>
            </w:r>
            <w:r w:rsidRPr="004D0DAA">
              <w:rPr>
                <w:lang w:eastAsia="en-US"/>
              </w:rPr>
              <w:t xml:space="preserve"> : &lt; Response Time SACCH struct &gt;&gt;</w:t>
            </w:r>
            <w:r w:rsidRPr="004D0DAA">
              <w:rPr>
                <w:lang w:eastAsia="en-US"/>
              </w:rPr>
              <w:tab/>
              <w:t xml:space="preserve">-- </w:t>
            </w:r>
            <w:r w:rsidRPr="004D0DAA">
              <w:rPr>
                <w:i/>
                <w:iCs/>
                <w:lang w:eastAsia="en-US"/>
              </w:rPr>
              <w:t>Network's response time on SACCH</w:t>
            </w:r>
          </w:p>
          <w:p w14:paraId="3251B246" w14:textId="77777777" w:rsidR="00711444" w:rsidRPr="004D0DAA" w:rsidRDefault="00711444" w:rsidP="00AA2A4C">
            <w:pPr>
              <w:pStyle w:val="TAL"/>
              <w:rPr>
                <w:i/>
                <w:iCs/>
                <w:lang w:eastAsia="en-US"/>
              </w:rPr>
            </w:pPr>
            <w:r w:rsidRPr="004D0DAA">
              <w:rPr>
                <w:lang w:eastAsia="en-US"/>
              </w:rPr>
              <w:tab/>
            </w:r>
            <w:r w:rsidRPr="004D0DAA">
              <w:rPr>
                <w:lang w:eastAsia="en-US"/>
              </w:rPr>
              <w:tab/>
              <w:t>{ 0</w:t>
            </w:r>
            <w:r w:rsidRPr="004D0DAA">
              <w:rPr>
                <w:lang w:eastAsia="en-US"/>
              </w:rPr>
              <w:tab/>
              <w:t xml:space="preserve">-- </w:t>
            </w:r>
            <w:r w:rsidRPr="004D0DAA">
              <w:rPr>
                <w:i/>
                <w:iCs/>
                <w:lang w:eastAsia="en-US"/>
              </w:rPr>
              <w:t>Network's response time on FACCH/F</w:t>
            </w:r>
          </w:p>
          <w:p w14:paraId="0330E4BA" w14:textId="77777777" w:rsidR="00711444" w:rsidRPr="004D0DAA" w:rsidRDefault="00711444" w:rsidP="00AA2A4C">
            <w:pPr>
              <w:pStyle w:val="TAL"/>
              <w:rPr>
                <w:i/>
                <w:iCs/>
                <w:lang w:eastAsia="en-US"/>
              </w:rPr>
            </w:pPr>
            <w:r w:rsidRPr="004D0DAA">
              <w:rPr>
                <w:i/>
                <w:iCs/>
                <w:lang w:eastAsia="en-US"/>
              </w:rPr>
              <w:tab/>
            </w:r>
            <w:r w:rsidRPr="004D0DAA">
              <w:rPr>
                <w:i/>
                <w:iCs/>
                <w:lang w:eastAsia="en-US"/>
              </w:rPr>
              <w:tab/>
            </w:r>
            <w:r w:rsidRPr="004D0DAA">
              <w:rPr>
                <w:i/>
                <w:iCs/>
                <w:lang w:eastAsia="en-US"/>
              </w:rPr>
              <w:tab/>
            </w:r>
            <w:r w:rsidRPr="004D0DAA">
              <w:rPr>
                <w:lang w:eastAsia="en-US"/>
              </w:rPr>
              <w:t xml:space="preserve">-- </w:t>
            </w:r>
            <w:r w:rsidRPr="004D0DAA">
              <w:rPr>
                <w:i/>
                <w:iCs/>
                <w:lang w:eastAsia="en-US"/>
              </w:rPr>
              <w:t>i.e. between a request sent on TCH/F or FACCH/F and the corresponding response sent on FACCH/F</w:t>
            </w:r>
          </w:p>
          <w:p w14:paraId="05C3570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RESPONSE_TIME_FACCH_F</w:t>
            </w:r>
            <w:r w:rsidRPr="004D0DAA">
              <w:rPr>
                <w:lang w:eastAsia="en-US"/>
              </w:rPr>
              <w:t xml:space="preserve"> : &lt; Response Time struct &gt;&gt;</w:t>
            </w:r>
          </w:p>
          <w:p w14:paraId="31EDE4B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RESPONSE_TIME_FACCH_H</w:t>
            </w:r>
            <w:r w:rsidRPr="004D0DAA">
              <w:rPr>
                <w:lang w:eastAsia="en-US"/>
              </w:rPr>
              <w:t xml:space="preserve"> : &lt; Response Time struct &gt;&gt;}};</w:t>
            </w:r>
            <w:r w:rsidRPr="004D0DAA">
              <w:rPr>
                <w:lang w:eastAsia="en-US"/>
              </w:rPr>
              <w:tab/>
              <w:t xml:space="preserve">-- </w:t>
            </w:r>
            <w:r w:rsidRPr="004D0DAA">
              <w:rPr>
                <w:i/>
                <w:iCs/>
                <w:lang w:eastAsia="en-US"/>
              </w:rPr>
              <w:t>Network's reponse time on FACCH/H</w:t>
            </w:r>
          </w:p>
        </w:tc>
      </w:tr>
      <w:tr w:rsidR="00711444" w:rsidRPr="004D0DAA" w14:paraId="17FE5CB0" w14:textId="77777777" w:rsidTr="00AA2A4C">
        <w:tblPrEx>
          <w:tblCellMar>
            <w:top w:w="0" w:type="dxa"/>
            <w:bottom w:w="0" w:type="dxa"/>
          </w:tblCellMar>
        </w:tblPrEx>
        <w:trPr>
          <w:cantSplit/>
        </w:trPr>
        <w:tc>
          <w:tcPr>
            <w:tcW w:w="9848" w:type="dxa"/>
          </w:tcPr>
          <w:p w14:paraId="5C0AAFC3" w14:textId="77777777" w:rsidR="00711444" w:rsidRPr="004D0DAA" w:rsidRDefault="00711444" w:rsidP="00AA2A4C">
            <w:pPr>
              <w:pStyle w:val="TAL"/>
              <w:rPr>
                <w:lang w:eastAsia="en-US"/>
              </w:rPr>
            </w:pPr>
            <w:r w:rsidRPr="004D0DAA">
              <w:rPr>
                <w:lang w:eastAsia="en-US"/>
              </w:rPr>
              <w:t>&lt; Response Time SDCCH struct &gt; ::=</w:t>
            </w:r>
          </w:p>
          <w:p w14:paraId="2105C5B7" w14:textId="77777777" w:rsidR="00711444" w:rsidRPr="004D0DAA" w:rsidRDefault="00711444" w:rsidP="00AA2A4C">
            <w:pPr>
              <w:pStyle w:val="TAL"/>
              <w:rPr>
                <w:i/>
                <w:iCs/>
                <w:lang w:eastAsia="en-US"/>
              </w:rPr>
            </w:pPr>
            <w:r w:rsidRPr="004D0DAA">
              <w:rPr>
                <w:lang w:eastAsia="en-US"/>
              </w:rPr>
              <w:tab/>
              <w:t>&lt;</w:t>
            </w:r>
            <w:r w:rsidRPr="004D0DAA">
              <w:rPr>
                <w:b/>
                <w:bCs/>
                <w:lang w:eastAsia="en-US"/>
              </w:rPr>
              <w:t xml:space="preserve"> TRMIN_SDCCH</w:t>
            </w:r>
            <w:r w:rsidRPr="004D0DAA">
              <w:rPr>
                <w:lang w:eastAsia="en-US"/>
              </w:rPr>
              <w:t xml:space="preserve"> : bit (1) &gt;</w:t>
            </w:r>
            <w:r w:rsidRPr="004D0DAA">
              <w:rPr>
                <w:lang w:eastAsia="en-US"/>
              </w:rPr>
              <w:tab/>
            </w:r>
            <w:r w:rsidRPr="004D0DAA">
              <w:rPr>
                <w:lang w:eastAsia="en-US"/>
              </w:rPr>
              <w:tab/>
              <w:t xml:space="preserve">-- </w:t>
            </w:r>
            <w:r w:rsidRPr="004D0DAA">
              <w:rPr>
                <w:i/>
                <w:iCs/>
                <w:lang w:eastAsia="en-US"/>
              </w:rPr>
              <w:t>Network's minimum response time on SDCCH</w:t>
            </w:r>
          </w:p>
          <w:p w14:paraId="757EAEA1" w14:textId="77777777" w:rsidR="00711444" w:rsidRPr="004D0DAA" w:rsidRDefault="00711444" w:rsidP="00AA2A4C">
            <w:pPr>
              <w:pStyle w:val="TAL"/>
              <w:rPr>
                <w:i/>
                <w:iCs/>
                <w:lang w:eastAsia="en-US"/>
              </w:rPr>
            </w:pPr>
            <w:r w:rsidRPr="004D0DAA">
              <w:rPr>
                <w:i/>
                <w:iCs/>
                <w:lang w:eastAsia="en-US"/>
              </w:rPr>
              <w:tab/>
            </w:r>
            <w:r w:rsidRPr="004D0DAA">
              <w:rPr>
                <w:lang w:eastAsia="en-US"/>
              </w:rPr>
              <w:t xml:space="preserve">&lt; </w:t>
            </w:r>
            <w:r w:rsidRPr="004D0DAA">
              <w:rPr>
                <w:b/>
                <w:bCs/>
                <w:lang w:eastAsia="en-US"/>
              </w:rPr>
              <w:t>TRESP_SDCCH</w:t>
            </w:r>
            <w:r w:rsidRPr="004D0DAA">
              <w:rPr>
                <w:lang w:eastAsia="en-US"/>
              </w:rPr>
              <w:t>: bit (1) &gt;;</w:t>
            </w:r>
            <w:r w:rsidRPr="004D0DAA">
              <w:rPr>
                <w:lang w:eastAsia="en-US"/>
              </w:rPr>
              <w:tab/>
            </w:r>
            <w:r w:rsidRPr="004D0DAA">
              <w:rPr>
                <w:lang w:eastAsia="en-US"/>
              </w:rPr>
              <w:tab/>
              <w:t xml:space="preserve">-- </w:t>
            </w:r>
            <w:r w:rsidRPr="004D0DAA">
              <w:rPr>
                <w:i/>
                <w:iCs/>
                <w:lang w:eastAsia="en-US"/>
              </w:rPr>
              <w:t>Network's maximum response time on SDCCH</w:t>
            </w:r>
          </w:p>
        </w:tc>
      </w:tr>
      <w:tr w:rsidR="00711444" w:rsidRPr="004D0DAA" w14:paraId="6809E9EC" w14:textId="77777777" w:rsidTr="00AA2A4C">
        <w:tblPrEx>
          <w:tblCellMar>
            <w:top w:w="0" w:type="dxa"/>
            <w:bottom w:w="0" w:type="dxa"/>
          </w:tblCellMar>
        </w:tblPrEx>
        <w:trPr>
          <w:cantSplit/>
        </w:trPr>
        <w:tc>
          <w:tcPr>
            <w:tcW w:w="9848" w:type="dxa"/>
          </w:tcPr>
          <w:p w14:paraId="14368BB4" w14:textId="77777777" w:rsidR="00711444" w:rsidRPr="004D0DAA" w:rsidRDefault="00711444" w:rsidP="00AA2A4C">
            <w:pPr>
              <w:pStyle w:val="TAL"/>
              <w:rPr>
                <w:lang w:eastAsia="en-US"/>
              </w:rPr>
            </w:pPr>
            <w:r w:rsidRPr="004D0DAA">
              <w:rPr>
                <w:lang w:eastAsia="en-US"/>
              </w:rPr>
              <w:t>&lt; Response Time SACCH struct &gt; ::=</w:t>
            </w:r>
          </w:p>
          <w:p w14:paraId="0B9A41F9" w14:textId="77777777" w:rsidR="00711444" w:rsidRPr="004D0DAA" w:rsidRDefault="00711444" w:rsidP="00AA2A4C">
            <w:pPr>
              <w:pStyle w:val="TAL"/>
              <w:rPr>
                <w:i/>
                <w:iCs/>
                <w:lang w:eastAsia="en-US"/>
              </w:rPr>
            </w:pPr>
            <w:r w:rsidRPr="004D0DAA">
              <w:rPr>
                <w:lang w:eastAsia="en-US"/>
              </w:rPr>
              <w:tab/>
              <w:t>&lt;</w:t>
            </w:r>
            <w:r w:rsidRPr="004D0DAA">
              <w:rPr>
                <w:b/>
                <w:bCs/>
                <w:lang w:eastAsia="en-US"/>
              </w:rPr>
              <w:t xml:space="preserve"> TRMIN_SACCH</w:t>
            </w:r>
            <w:r w:rsidRPr="004D0DAA">
              <w:rPr>
                <w:lang w:eastAsia="en-US"/>
              </w:rPr>
              <w:t xml:space="preserve"> : bit (1) &gt;</w:t>
            </w:r>
            <w:r w:rsidRPr="004D0DAA">
              <w:rPr>
                <w:lang w:eastAsia="en-US"/>
              </w:rPr>
              <w:tab/>
            </w:r>
            <w:r w:rsidRPr="004D0DAA">
              <w:rPr>
                <w:lang w:eastAsia="en-US"/>
              </w:rPr>
              <w:tab/>
              <w:t xml:space="preserve">-- </w:t>
            </w:r>
            <w:r w:rsidRPr="004D0DAA">
              <w:rPr>
                <w:i/>
                <w:iCs/>
                <w:lang w:eastAsia="en-US"/>
              </w:rPr>
              <w:t>Network's minimum response time on SACCH</w:t>
            </w:r>
          </w:p>
          <w:p w14:paraId="37E1AF2C" w14:textId="77777777" w:rsidR="00711444" w:rsidRPr="004D0DAA" w:rsidRDefault="00711444" w:rsidP="00AA2A4C">
            <w:pPr>
              <w:pStyle w:val="TAL"/>
              <w:rPr>
                <w:lang w:eastAsia="en-US"/>
              </w:rPr>
            </w:pPr>
            <w:r w:rsidRPr="004D0DAA">
              <w:rPr>
                <w:i/>
                <w:iCs/>
                <w:lang w:eastAsia="en-US"/>
              </w:rPr>
              <w:tab/>
            </w:r>
            <w:r w:rsidRPr="004D0DAA">
              <w:rPr>
                <w:lang w:eastAsia="en-US"/>
              </w:rPr>
              <w:t xml:space="preserve">&lt; </w:t>
            </w:r>
            <w:r w:rsidRPr="004D0DAA">
              <w:rPr>
                <w:b/>
                <w:bCs/>
                <w:lang w:eastAsia="en-US"/>
              </w:rPr>
              <w:t>TRESP_SACCH</w:t>
            </w:r>
            <w:r w:rsidRPr="004D0DAA">
              <w:rPr>
                <w:lang w:eastAsia="en-US"/>
              </w:rPr>
              <w:t>: bit (1) &gt;;</w:t>
            </w:r>
            <w:r w:rsidRPr="004D0DAA">
              <w:rPr>
                <w:lang w:eastAsia="en-US"/>
              </w:rPr>
              <w:tab/>
            </w:r>
            <w:r w:rsidRPr="004D0DAA">
              <w:rPr>
                <w:lang w:eastAsia="en-US"/>
              </w:rPr>
              <w:tab/>
              <w:t xml:space="preserve">-- </w:t>
            </w:r>
            <w:r w:rsidRPr="004D0DAA">
              <w:rPr>
                <w:i/>
                <w:iCs/>
                <w:lang w:eastAsia="en-US"/>
              </w:rPr>
              <w:t>Network's maximum response time on SACCH</w:t>
            </w:r>
          </w:p>
        </w:tc>
      </w:tr>
      <w:tr w:rsidR="00711444" w:rsidRPr="004D0DAA" w14:paraId="5D326CE0" w14:textId="77777777" w:rsidTr="00AA2A4C">
        <w:tblPrEx>
          <w:tblCellMar>
            <w:top w:w="0" w:type="dxa"/>
            <w:bottom w:w="0" w:type="dxa"/>
          </w:tblCellMar>
        </w:tblPrEx>
        <w:trPr>
          <w:cantSplit/>
        </w:trPr>
        <w:tc>
          <w:tcPr>
            <w:tcW w:w="9848" w:type="dxa"/>
          </w:tcPr>
          <w:p w14:paraId="5F5FF2C0" w14:textId="77777777" w:rsidR="00711444" w:rsidRPr="004D0DAA" w:rsidRDefault="00711444" w:rsidP="00AA2A4C">
            <w:pPr>
              <w:pStyle w:val="TAL"/>
              <w:rPr>
                <w:lang w:eastAsia="en-US"/>
              </w:rPr>
            </w:pPr>
            <w:r w:rsidRPr="004D0DAA">
              <w:rPr>
                <w:lang w:eastAsia="en-US"/>
              </w:rPr>
              <w:t>&lt; Response Time struct &gt; ::=</w:t>
            </w:r>
          </w:p>
          <w:p w14:paraId="7EF09ECA" w14:textId="77777777" w:rsidR="00711444" w:rsidRPr="004D0DAA" w:rsidRDefault="00711444" w:rsidP="00AA2A4C">
            <w:pPr>
              <w:pStyle w:val="TAL"/>
              <w:rPr>
                <w:lang w:eastAsia="en-US"/>
              </w:rPr>
            </w:pPr>
            <w:r w:rsidRPr="004D0DAA">
              <w:rPr>
                <w:lang w:eastAsia="en-US"/>
              </w:rPr>
              <w:tab/>
              <w:t>&lt;</w:t>
            </w:r>
            <w:r w:rsidRPr="004D0DAA">
              <w:rPr>
                <w:b/>
                <w:bCs/>
                <w:lang w:eastAsia="en-US"/>
              </w:rPr>
              <w:t xml:space="preserve"> TRMIN</w:t>
            </w:r>
            <w:r w:rsidRPr="004D0DAA">
              <w:rPr>
                <w:lang w:eastAsia="en-US"/>
              </w:rPr>
              <w:t xml:space="preserve"> : bit (6) &gt;</w:t>
            </w:r>
          </w:p>
          <w:p w14:paraId="7008B2E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TRESP_MAC_DTM</w:t>
            </w:r>
            <w:r w:rsidRPr="004D0DAA">
              <w:rPr>
                <w:lang w:eastAsia="en-US"/>
              </w:rPr>
              <w:t xml:space="preserve"> : bit (7) &gt;</w:t>
            </w:r>
          </w:p>
          <w:p w14:paraId="18C51E91" w14:textId="77777777" w:rsidR="00711444" w:rsidRPr="004D0DAA" w:rsidRDefault="00711444" w:rsidP="00AA2A4C">
            <w:pPr>
              <w:pStyle w:val="TAL"/>
              <w:rPr>
                <w:i/>
                <w:iCs/>
                <w:lang w:eastAsia="en-US"/>
              </w:rPr>
            </w:pPr>
            <w:r w:rsidRPr="004D0DAA">
              <w:rPr>
                <w:lang w:eastAsia="en-US"/>
              </w:rPr>
              <w:tab/>
              <w:t xml:space="preserve">&lt; </w:t>
            </w:r>
            <w:r w:rsidRPr="004D0DAA">
              <w:rPr>
                <w:b/>
                <w:bCs/>
                <w:lang w:eastAsia="en-US"/>
              </w:rPr>
              <w:t>TRESP_MAC_Dedicated</w:t>
            </w:r>
            <w:r w:rsidRPr="004D0DAA">
              <w:rPr>
                <w:lang w:eastAsia="en-US"/>
              </w:rPr>
              <w:t xml:space="preserve"> : bit (7) &gt;;</w:t>
            </w:r>
          </w:p>
        </w:tc>
      </w:tr>
      <w:tr w:rsidR="00711444" w:rsidRPr="004D0DAA" w14:paraId="765B2A20" w14:textId="77777777" w:rsidTr="00AA2A4C">
        <w:tblPrEx>
          <w:tblCellMar>
            <w:top w:w="0" w:type="dxa"/>
            <w:bottom w:w="0" w:type="dxa"/>
          </w:tblCellMar>
        </w:tblPrEx>
        <w:trPr>
          <w:cantSplit/>
        </w:trPr>
        <w:tc>
          <w:tcPr>
            <w:tcW w:w="9848" w:type="dxa"/>
          </w:tcPr>
          <w:p w14:paraId="7287C329" w14:textId="77777777" w:rsidR="00711444" w:rsidRPr="004D0DAA" w:rsidRDefault="00711444" w:rsidP="00AA2A4C">
            <w:pPr>
              <w:pStyle w:val="TAL"/>
              <w:rPr>
                <w:lang w:eastAsia="en-US"/>
              </w:rPr>
            </w:pPr>
            <w:r w:rsidRPr="004D0DAA">
              <w:rPr>
                <w:lang w:eastAsia="en-US"/>
              </w:rPr>
              <w:t>&lt; Power Command struct &gt; ::=</w:t>
            </w:r>
            <w:r w:rsidRPr="004D0DAA">
              <w:rPr>
                <w:lang w:eastAsia="en-US"/>
              </w:rPr>
              <w:tab/>
            </w:r>
            <w:r w:rsidRPr="004D0DAA">
              <w:rPr>
                <w:lang w:eastAsia="en-US"/>
              </w:rPr>
              <w:tab/>
              <w:t xml:space="preserve">-- </w:t>
            </w:r>
            <w:r w:rsidRPr="004D0DAA">
              <w:rPr>
                <w:i/>
                <w:iCs/>
                <w:lang w:eastAsia="en-US"/>
              </w:rPr>
              <w:t>Provides the power level to be used by the mobile station</w:t>
            </w:r>
          </w:p>
          <w:p w14:paraId="5D56EA6A"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Normal power control</w:t>
            </w:r>
          </w:p>
          <w:p w14:paraId="6A6BBB59"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FPC_EPC</w:t>
            </w:r>
            <w:r w:rsidRPr="004D0DAA">
              <w:rPr>
                <w:lang w:eastAsia="en-US"/>
              </w:rPr>
              <w:t xml:space="preserve"> : bit (1) &gt; }</w:t>
            </w:r>
            <w:r w:rsidRPr="004D0DAA">
              <w:rPr>
                <w:lang w:eastAsia="en-US"/>
              </w:rPr>
              <w:tab/>
            </w:r>
            <w:r w:rsidRPr="004D0DAA">
              <w:rPr>
                <w:lang w:eastAsia="en-US"/>
              </w:rPr>
              <w:tab/>
              <w:t>-- Fast or Enhanced Power Control</w:t>
            </w:r>
          </w:p>
          <w:p w14:paraId="41FF332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POWER_LEVEL</w:t>
            </w:r>
            <w:r w:rsidRPr="004D0DAA">
              <w:rPr>
                <w:lang w:eastAsia="en-US"/>
              </w:rPr>
              <w:t xml:space="preserve"> : bit (8) &gt;;</w:t>
            </w:r>
          </w:p>
        </w:tc>
      </w:tr>
    </w:tbl>
    <w:p w14:paraId="226BF33B" w14:textId="77777777" w:rsidR="00711444" w:rsidRPr="004D0DAA" w:rsidRDefault="00711444" w:rsidP="00711444"/>
    <w:p w14:paraId="225EDD9A" w14:textId="77777777" w:rsidR="00711444" w:rsidRPr="004D0DAA" w:rsidRDefault="00711444" w:rsidP="00711444">
      <w:pPr>
        <w:pStyle w:val="TH"/>
      </w:pPr>
      <w:r w:rsidRPr="004D0DAA">
        <w:lastRenderedPageBreak/>
        <w:t>Table 11.2.5b.2: PACKET DBPSCH ASSIGNMENT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FFFE8C3" w14:textId="77777777" w:rsidTr="00AA2A4C">
        <w:tblPrEx>
          <w:tblCellMar>
            <w:top w:w="0" w:type="dxa"/>
            <w:bottom w:w="0" w:type="dxa"/>
          </w:tblCellMar>
        </w:tblPrEx>
        <w:trPr>
          <w:cantSplit/>
        </w:trPr>
        <w:tc>
          <w:tcPr>
            <w:tcW w:w="9848" w:type="dxa"/>
          </w:tcPr>
          <w:p w14:paraId="2C681525"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69D5AA7B" w14:textId="77777777" w:rsidTr="00AA2A4C">
        <w:tblPrEx>
          <w:tblCellMar>
            <w:top w:w="0" w:type="dxa"/>
            <w:bottom w:w="0" w:type="dxa"/>
          </w:tblCellMar>
        </w:tblPrEx>
        <w:trPr>
          <w:cantSplit/>
        </w:trPr>
        <w:tc>
          <w:tcPr>
            <w:tcW w:w="9848" w:type="dxa"/>
          </w:tcPr>
          <w:p w14:paraId="07913CC9" w14:textId="77777777" w:rsidR="00711444" w:rsidRPr="004D0DAA" w:rsidRDefault="00711444" w:rsidP="00AA2A4C">
            <w:pPr>
              <w:rPr>
                <w:b/>
              </w:rPr>
            </w:pPr>
            <w:r w:rsidRPr="004D0DAA">
              <w:rPr>
                <w:b/>
              </w:rPr>
              <w:t xml:space="preserve">PERSISTENCE_LEVEL </w:t>
            </w:r>
            <w:r w:rsidRPr="004D0DAA">
              <w:t>(4 bit field for each Radio Priority 1…4)</w:t>
            </w:r>
            <w:r w:rsidRPr="004D0DAA">
              <w:br/>
              <w:t>This field is defined in sub-clause 12.14, PRACH Control Parameters.</w:t>
            </w:r>
          </w:p>
        </w:tc>
      </w:tr>
      <w:tr w:rsidR="00711444" w:rsidRPr="004D0DAA" w14:paraId="4C54F018" w14:textId="77777777" w:rsidTr="00AA2A4C">
        <w:tblPrEx>
          <w:tblCellMar>
            <w:top w:w="0" w:type="dxa"/>
            <w:bottom w:w="0" w:type="dxa"/>
          </w:tblCellMar>
        </w:tblPrEx>
        <w:trPr>
          <w:cantSplit/>
        </w:trPr>
        <w:tc>
          <w:tcPr>
            <w:tcW w:w="9848" w:type="dxa"/>
          </w:tcPr>
          <w:p w14:paraId="44FA2B1E" w14:textId="77777777" w:rsidR="00711444" w:rsidRPr="004D0DAA" w:rsidRDefault="00711444" w:rsidP="00AA2A4C">
            <w:pPr>
              <w:rPr>
                <w:b/>
              </w:rPr>
            </w:pPr>
            <w:r w:rsidRPr="004D0DAA">
              <w:rPr>
                <w:b/>
              </w:rPr>
              <w:t>Global TFI</w:t>
            </w:r>
            <w:r w:rsidRPr="004D0DAA">
              <w:br/>
              <w:t>This information element contains one of the mobile station's downlink or uplink TFIs. This field is defined in sub-clause 12.10.</w:t>
            </w:r>
          </w:p>
        </w:tc>
      </w:tr>
      <w:tr w:rsidR="00711444" w:rsidRPr="004D0DAA" w14:paraId="1666686C" w14:textId="77777777" w:rsidTr="00AA2A4C">
        <w:tblPrEx>
          <w:tblCellMar>
            <w:top w:w="0" w:type="dxa"/>
            <w:bottom w:w="0" w:type="dxa"/>
          </w:tblCellMar>
        </w:tblPrEx>
        <w:trPr>
          <w:cantSplit/>
        </w:trPr>
        <w:tc>
          <w:tcPr>
            <w:tcW w:w="9848" w:type="dxa"/>
          </w:tcPr>
          <w:p w14:paraId="718BAC85" w14:textId="77777777" w:rsidR="00711444" w:rsidRPr="004D0DAA" w:rsidRDefault="00711444" w:rsidP="00AA2A4C">
            <w:pPr>
              <w:rPr>
                <w:b/>
              </w:rPr>
            </w:pPr>
            <w:r w:rsidRPr="004D0DAA">
              <w:rPr>
                <w:b/>
              </w:rPr>
              <w:t xml:space="preserve">G-RNTI </w:t>
            </w:r>
            <w:r w:rsidRPr="004D0DAA">
              <w:t>(32 bit field)</w:t>
            </w:r>
            <w:r w:rsidRPr="004D0DAA">
              <w:br/>
              <w:t>This field is defined in sub-clause 12.16.</w:t>
            </w:r>
          </w:p>
        </w:tc>
      </w:tr>
      <w:tr w:rsidR="00711444" w:rsidRPr="004D0DAA" w14:paraId="0B6CAB3C" w14:textId="77777777" w:rsidTr="00AA2A4C">
        <w:tblPrEx>
          <w:tblCellMar>
            <w:top w:w="0" w:type="dxa"/>
            <w:bottom w:w="0" w:type="dxa"/>
          </w:tblCellMar>
        </w:tblPrEx>
        <w:trPr>
          <w:cantSplit/>
        </w:trPr>
        <w:tc>
          <w:tcPr>
            <w:tcW w:w="9848" w:type="dxa"/>
          </w:tcPr>
          <w:p w14:paraId="71C0C5AE" w14:textId="77777777" w:rsidR="00711444" w:rsidRPr="004D0DAA" w:rsidRDefault="00711444" w:rsidP="00AA2A4C">
            <w:pPr>
              <w:rPr>
                <w:b/>
              </w:rPr>
            </w:pPr>
            <w:r w:rsidRPr="004D0DAA">
              <w:rPr>
                <w:b/>
              </w:rPr>
              <w:t>Packet_Request_Reference</w:t>
            </w:r>
            <w:r w:rsidRPr="004D0DAA">
              <w:rPr>
                <w:b/>
              </w:rPr>
              <w:br/>
            </w:r>
            <w:r w:rsidRPr="004D0DAA">
              <w:t>This information element is defined in sub-clause 12.11</w:t>
            </w:r>
          </w:p>
        </w:tc>
      </w:tr>
      <w:tr w:rsidR="00711444" w:rsidRPr="004D0DAA" w14:paraId="73CA97E7" w14:textId="77777777" w:rsidTr="00AA2A4C">
        <w:tblPrEx>
          <w:tblCellMar>
            <w:top w:w="0" w:type="dxa"/>
            <w:bottom w:w="0" w:type="dxa"/>
          </w:tblCellMar>
        </w:tblPrEx>
        <w:trPr>
          <w:cantSplit/>
        </w:trPr>
        <w:tc>
          <w:tcPr>
            <w:tcW w:w="9848" w:type="dxa"/>
          </w:tcPr>
          <w:p w14:paraId="62F1DC8F" w14:textId="77777777" w:rsidR="00711444" w:rsidRPr="004D0DAA" w:rsidRDefault="00711444" w:rsidP="00AA2A4C">
            <w:r w:rsidRPr="004D0DAA">
              <w:rPr>
                <w:b/>
              </w:rPr>
              <w:t xml:space="preserve">CHANNEL_TYPE </w:t>
            </w:r>
            <w:r w:rsidRPr="004D0DAA">
              <w:t>(6 bit field)</w:t>
            </w:r>
            <w:r w:rsidRPr="004D0DAA">
              <w:br/>
              <w:t>This field indicates the type of channel allocated to the mobile station on DBPSCH. The T bits indicate the subchannel number coded in binary. See 3GPP TS 45.002.</w:t>
            </w:r>
          </w:p>
          <w:p w14:paraId="73A749E4" w14:textId="77777777" w:rsidR="00711444" w:rsidRPr="004D0DAA" w:rsidRDefault="00711444" w:rsidP="00AA2A4C">
            <w:pPr>
              <w:tabs>
                <w:tab w:val="left" w:pos="1560"/>
              </w:tabs>
              <w:rPr>
                <w:b/>
              </w:rPr>
            </w:pPr>
            <w:r w:rsidRPr="004D0DAA">
              <w:t>bit</w:t>
            </w:r>
            <w:r w:rsidRPr="004D0DAA">
              <w:br/>
              <w:t>6 5 4 3 2 1</w:t>
            </w:r>
            <w:r w:rsidRPr="004D0DAA">
              <w:br/>
              <w:t>0 0 0 0 T T</w:t>
            </w:r>
            <w:r w:rsidRPr="004D0DAA">
              <w:tab/>
              <w:t>SDCCH/4 + SACCH/C4</w:t>
            </w:r>
            <w:r w:rsidRPr="004D0DAA">
              <w:br/>
              <w:t>0 0 1 T T T</w:t>
            </w:r>
            <w:r w:rsidRPr="004D0DAA">
              <w:tab/>
              <w:t>SDCCH/8 + SACCH/C8</w:t>
            </w:r>
            <w:r w:rsidRPr="004D0DAA">
              <w:br/>
              <w:t>0 1 0 0 0 0</w:t>
            </w:r>
            <w:r w:rsidRPr="004D0DAA">
              <w:tab/>
              <w:t>TCH/F + FACCH/F + SACCH/F</w:t>
            </w:r>
            <w:r w:rsidRPr="004D0DAA">
              <w:br/>
              <w:t>0 1 0 0 1 T</w:t>
            </w:r>
            <w:r w:rsidRPr="004D0DAA">
              <w:tab/>
              <w:t>TCH/H + FACCH/H + SACCH/TH</w:t>
            </w:r>
            <w:r w:rsidRPr="004D0DAA">
              <w:br/>
              <w:t xml:space="preserve">0 1 0 1 0 0 </w:t>
            </w:r>
            <w:r w:rsidRPr="004D0DAA">
              <w:tab/>
              <w:t>PDTCH/F + PACCH/F + SACCH/F</w:t>
            </w:r>
            <w:r w:rsidRPr="004D0DAA">
              <w:br/>
              <w:t xml:space="preserve">All other values </w:t>
            </w:r>
            <w:r w:rsidRPr="004D0DAA">
              <w:tab/>
              <w:t>Reserved</w:t>
            </w:r>
          </w:p>
        </w:tc>
      </w:tr>
      <w:tr w:rsidR="00711444" w:rsidRPr="004D0DAA" w14:paraId="318D543A" w14:textId="77777777" w:rsidTr="00AA2A4C">
        <w:tblPrEx>
          <w:tblCellMar>
            <w:top w:w="0" w:type="dxa"/>
            <w:bottom w:w="0" w:type="dxa"/>
          </w:tblCellMar>
        </w:tblPrEx>
        <w:trPr>
          <w:cantSplit/>
        </w:trPr>
        <w:tc>
          <w:tcPr>
            <w:tcW w:w="9848" w:type="dxa"/>
          </w:tcPr>
          <w:p w14:paraId="3E325E4C" w14:textId="77777777" w:rsidR="00711444" w:rsidRPr="004D0DAA" w:rsidRDefault="00711444" w:rsidP="00AA2A4C">
            <w:r w:rsidRPr="004D0DAA">
              <w:rPr>
                <w:b/>
              </w:rPr>
              <w:t xml:space="preserve">DOWNLINK_TIMESLOT_ALLOCATION </w:t>
            </w:r>
            <w:r w:rsidRPr="004D0DAA">
              <w:t>(8 bit field)</w:t>
            </w:r>
            <w:r w:rsidRPr="004D0DAA">
              <w:br/>
              <w:t>This field is coded as the Timeslot Allocation field defined in sub-clause 12.18. The uplink timeslot allocation is identical to the downlink timeslot allocation given in this field in case the UPLINK_TIMESLOT_ALLOCATION field is not included.</w:t>
            </w:r>
          </w:p>
          <w:p w14:paraId="2D585A4F" w14:textId="77777777" w:rsidR="00711444" w:rsidRPr="004D0DAA" w:rsidRDefault="00711444" w:rsidP="00AA2A4C">
            <w:pPr>
              <w:pStyle w:val="NO"/>
              <w:rPr>
                <w:lang w:eastAsia="en-US"/>
              </w:rPr>
            </w:pPr>
            <w:r w:rsidRPr="004D0DAA">
              <w:rPr>
                <w:lang w:eastAsia="en-US"/>
              </w:rPr>
              <w:t>NOTE:</w:t>
            </w:r>
            <w:r w:rsidRPr="004D0DAA">
              <w:rPr>
                <w:lang w:eastAsia="en-US"/>
              </w:rPr>
              <w:tab/>
              <w:t>Multislot allocation is only possible with a CHANNEL_TYPE indicating TCH or PDTCH.</w:t>
            </w:r>
          </w:p>
        </w:tc>
      </w:tr>
      <w:tr w:rsidR="00711444" w:rsidRPr="004D0DAA" w14:paraId="7CBA2190" w14:textId="77777777" w:rsidTr="00AA2A4C">
        <w:tblPrEx>
          <w:tblCellMar>
            <w:top w:w="0" w:type="dxa"/>
            <w:bottom w:w="0" w:type="dxa"/>
          </w:tblCellMar>
        </w:tblPrEx>
        <w:trPr>
          <w:cantSplit/>
        </w:trPr>
        <w:tc>
          <w:tcPr>
            <w:tcW w:w="9848" w:type="dxa"/>
          </w:tcPr>
          <w:p w14:paraId="15E51282" w14:textId="77777777" w:rsidR="00711444" w:rsidRPr="004D0DAA" w:rsidRDefault="00711444" w:rsidP="00AA2A4C">
            <w:r w:rsidRPr="004D0DAA">
              <w:rPr>
                <w:b/>
              </w:rPr>
              <w:t xml:space="preserve">UPLINK_TIMESLOT_ALLOCATION </w:t>
            </w:r>
            <w:r w:rsidRPr="004D0DAA">
              <w:t>(8 bit field)</w:t>
            </w:r>
            <w:r w:rsidRPr="004D0DAA">
              <w:br/>
              <w:t>This field is coded as the Timeslot Allocation field defined in sub-clause 12.18. It is included only in case of asymmetric timeslot allocation between downlink and uplink.</w:t>
            </w:r>
          </w:p>
          <w:p w14:paraId="1003CC1D" w14:textId="77777777" w:rsidR="00711444" w:rsidRPr="004D0DAA" w:rsidRDefault="00711444" w:rsidP="00AA2A4C">
            <w:pPr>
              <w:pStyle w:val="NO"/>
              <w:rPr>
                <w:lang w:eastAsia="en-US"/>
              </w:rPr>
            </w:pPr>
            <w:r w:rsidRPr="004D0DAA">
              <w:rPr>
                <w:lang w:eastAsia="en-US"/>
              </w:rPr>
              <w:t>NOTE:</w:t>
            </w:r>
            <w:r w:rsidRPr="004D0DAA">
              <w:rPr>
                <w:lang w:eastAsia="en-US"/>
              </w:rPr>
              <w:tab/>
              <w:t>Multislot allocation is only possible with a CHANNEL_TYPE indicating TCH or PDTCH.</w:t>
            </w:r>
          </w:p>
        </w:tc>
      </w:tr>
      <w:tr w:rsidR="00711444" w:rsidRPr="004D0DAA" w14:paraId="111D9BA3" w14:textId="77777777" w:rsidTr="00AA2A4C">
        <w:tblPrEx>
          <w:tblCellMar>
            <w:top w:w="0" w:type="dxa"/>
            <w:bottom w:w="0" w:type="dxa"/>
          </w:tblCellMar>
        </w:tblPrEx>
        <w:trPr>
          <w:cantSplit/>
        </w:trPr>
        <w:tc>
          <w:tcPr>
            <w:tcW w:w="9848" w:type="dxa"/>
          </w:tcPr>
          <w:p w14:paraId="0BA697E3" w14:textId="77777777" w:rsidR="00711444" w:rsidRPr="004D0DAA" w:rsidRDefault="00711444" w:rsidP="00AA2A4C">
            <w:pPr>
              <w:rPr>
                <w:bCs/>
              </w:rPr>
            </w:pPr>
            <w:r w:rsidRPr="004D0DAA">
              <w:rPr>
                <w:b/>
              </w:rPr>
              <w:t>CHANNEL_MODE</w:t>
            </w:r>
            <w:r w:rsidRPr="004D0DAA">
              <w:rPr>
                <w:bCs/>
              </w:rPr>
              <w:t xml:space="preserve"> (8 bit field)</w:t>
            </w:r>
            <w:r w:rsidRPr="004D0DAA">
              <w:rPr>
                <w:bCs/>
              </w:rPr>
              <w:br/>
              <w:t>This field is coded as the mode part of the channel mode IE defined in 3GPP TS 44.018. It shall be included only in case a TCH is assigned to the mobile station.</w:t>
            </w:r>
          </w:p>
        </w:tc>
      </w:tr>
      <w:tr w:rsidR="00711444" w:rsidRPr="004D0DAA" w14:paraId="2DC4B9D4" w14:textId="77777777" w:rsidTr="00AA2A4C">
        <w:tblPrEx>
          <w:tblCellMar>
            <w:top w:w="0" w:type="dxa"/>
            <w:bottom w:w="0" w:type="dxa"/>
          </w:tblCellMar>
        </w:tblPrEx>
        <w:trPr>
          <w:cantSplit/>
        </w:trPr>
        <w:tc>
          <w:tcPr>
            <w:tcW w:w="9848" w:type="dxa"/>
          </w:tcPr>
          <w:p w14:paraId="37E86A39" w14:textId="77777777" w:rsidR="00711444" w:rsidRPr="004D0DAA" w:rsidRDefault="00711444" w:rsidP="00AA2A4C">
            <w:r w:rsidRPr="004D0DAA">
              <w:rPr>
                <w:b/>
              </w:rPr>
              <w:t>TSC</w:t>
            </w:r>
            <w:r w:rsidRPr="004D0DAA">
              <w:t xml:space="preserve"> (3 bit field)</w:t>
            </w:r>
            <w:r w:rsidRPr="004D0DAA">
              <w:br/>
              <w:t>This field is the binary representation of the training sequence code, see 3GPP TS 45.002.</w:t>
            </w:r>
          </w:p>
          <w:p w14:paraId="6A3FD469" w14:textId="77777777" w:rsidR="00711444" w:rsidRPr="004D0DAA" w:rsidRDefault="00711444" w:rsidP="00AA2A4C">
            <w:pPr>
              <w:rPr>
                <w:b/>
              </w:rPr>
            </w:pPr>
            <w:r w:rsidRPr="004D0DAA">
              <w:t>Range: 0 to 7.</w:t>
            </w:r>
          </w:p>
        </w:tc>
      </w:tr>
      <w:tr w:rsidR="00711444" w:rsidRPr="004D0DAA" w14:paraId="07B643DA" w14:textId="77777777" w:rsidTr="00AA2A4C">
        <w:tblPrEx>
          <w:tblCellMar>
            <w:top w:w="0" w:type="dxa"/>
            <w:bottom w:w="0" w:type="dxa"/>
          </w:tblCellMar>
        </w:tblPrEx>
        <w:trPr>
          <w:cantSplit/>
        </w:trPr>
        <w:tc>
          <w:tcPr>
            <w:tcW w:w="9848" w:type="dxa"/>
          </w:tcPr>
          <w:p w14:paraId="6F19D341" w14:textId="77777777" w:rsidR="00711444" w:rsidRPr="004D0DAA" w:rsidRDefault="00711444" w:rsidP="00AA2A4C">
            <w:r w:rsidRPr="004D0DAA">
              <w:rPr>
                <w:b/>
              </w:rPr>
              <w:t>MAIO</w:t>
            </w:r>
            <w:r w:rsidRPr="004D0DAA">
              <w:t xml:space="preserve"> (6 bit field)</w:t>
            </w:r>
            <w:r w:rsidRPr="004D0DAA">
              <w:br/>
              <w:t>This field is the binary representation of the mobile allocation index offset (MAIO), see 3GPP TS 45.002.</w:t>
            </w:r>
          </w:p>
          <w:p w14:paraId="4CCA4B44" w14:textId="77777777" w:rsidR="00711444" w:rsidRPr="004D0DAA" w:rsidRDefault="00711444" w:rsidP="00AA2A4C">
            <w:pPr>
              <w:rPr>
                <w:b/>
              </w:rPr>
            </w:pPr>
            <w:r w:rsidRPr="004D0DAA">
              <w:t>Range: 0 to 63.</w:t>
            </w:r>
          </w:p>
        </w:tc>
      </w:tr>
      <w:tr w:rsidR="00711444" w:rsidRPr="004D0DAA" w14:paraId="0D1A73FC" w14:textId="77777777" w:rsidTr="00AA2A4C">
        <w:tblPrEx>
          <w:tblCellMar>
            <w:top w:w="0" w:type="dxa"/>
            <w:bottom w:w="0" w:type="dxa"/>
          </w:tblCellMar>
        </w:tblPrEx>
        <w:trPr>
          <w:cantSplit/>
        </w:trPr>
        <w:tc>
          <w:tcPr>
            <w:tcW w:w="9848" w:type="dxa"/>
          </w:tcPr>
          <w:p w14:paraId="7655B4FE" w14:textId="77777777" w:rsidR="00711444" w:rsidRPr="004D0DAA" w:rsidRDefault="00711444" w:rsidP="00AA2A4C">
            <w:r w:rsidRPr="004D0DAA">
              <w:rPr>
                <w:b/>
              </w:rPr>
              <w:t xml:space="preserve">HSN </w:t>
            </w:r>
            <w:r w:rsidRPr="004D0DAA">
              <w:t>(6 bit field)</w:t>
            </w:r>
            <w:r w:rsidRPr="004D0DAA">
              <w:br/>
              <w:t>This field is the binary representation of the hopping sequence number, see 3GPP TS 45.002.</w:t>
            </w:r>
          </w:p>
          <w:p w14:paraId="510D7A52" w14:textId="77777777" w:rsidR="00711444" w:rsidRPr="004D0DAA" w:rsidRDefault="00711444" w:rsidP="00AA2A4C">
            <w:pPr>
              <w:rPr>
                <w:b/>
              </w:rPr>
            </w:pPr>
            <w:r w:rsidRPr="004D0DAA">
              <w:t>Range: 0 to 63.</w:t>
            </w:r>
          </w:p>
        </w:tc>
      </w:tr>
      <w:tr w:rsidR="00711444" w:rsidRPr="004D0DAA" w14:paraId="7ABB6B48" w14:textId="77777777" w:rsidTr="00AA2A4C">
        <w:tblPrEx>
          <w:tblCellMar>
            <w:top w:w="0" w:type="dxa"/>
            <w:bottom w:w="0" w:type="dxa"/>
          </w:tblCellMar>
        </w:tblPrEx>
        <w:trPr>
          <w:cantSplit/>
        </w:trPr>
        <w:tc>
          <w:tcPr>
            <w:tcW w:w="9848" w:type="dxa"/>
          </w:tcPr>
          <w:p w14:paraId="4AE03601" w14:textId="77777777" w:rsidR="00711444" w:rsidRPr="004D0DAA" w:rsidRDefault="00711444" w:rsidP="00AA2A4C">
            <w:r w:rsidRPr="004D0DAA">
              <w:rPr>
                <w:b/>
              </w:rPr>
              <w:lastRenderedPageBreak/>
              <w:t>ARFCN</w:t>
            </w:r>
            <w:r w:rsidRPr="004D0DAA">
              <w:t xml:space="preserve"> (10 bit field)</w:t>
            </w:r>
            <w:r w:rsidRPr="004D0DAA">
              <w:br/>
              <w:t>This field is the binary representation of the absolute radio frequency channel number (ARFCN) defined in 3GPP TS 45.005.</w:t>
            </w:r>
          </w:p>
          <w:p w14:paraId="1684ABB1" w14:textId="77777777" w:rsidR="00711444" w:rsidRPr="004D0DAA" w:rsidRDefault="00711444" w:rsidP="00AA2A4C">
            <w:pPr>
              <w:rPr>
                <w:b/>
              </w:rPr>
            </w:pPr>
            <w:r w:rsidRPr="004D0DAA">
              <w:t>Range 0 to 1023.</w:t>
            </w:r>
          </w:p>
        </w:tc>
      </w:tr>
      <w:tr w:rsidR="00711444" w:rsidRPr="004D0DAA" w14:paraId="08E15731" w14:textId="77777777" w:rsidTr="00AA2A4C">
        <w:tblPrEx>
          <w:tblCellMar>
            <w:top w:w="0" w:type="dxa"/>
            <w:bottom w:w="0" w:type="dxa"/>
          </w:tblCellMar>
        </w:tblPrEx>
        <w:trPr>
          <w:cantSplit/>
        </w:trPr>
        <w:tc>
          <w:tcPr>
            <w:tcW w:w="9848" w:type="dxa"/>
          </w:tcPr>
          <w:p w14:paraId="030F9C06" w14:textId="77777777" w:rsidR="00711444" w:rsidRPr="004D0DAA" w:rsidRDefault="00711444" w:rsidP="00AA2A4C">
            <w:pPr>
              <w:pStyle w:val="EQ"/>
              <w:keepLines w:val="0"/>
              <w:tabs>
                <w:tab w:val="clear" w:pos="4536"/>
                <w:tab w:val="clear" w:pos="9072"/>
              </w:tabs>
            </w:pPr>
            <w:r w:rsidRPr="004D0DAA">
              <w:rPr>
                <w:b/>
                <w:bCs/>
              </w:rPr>
              <w:t>TIMING_ADVANCE_VALUE</w:t>
            </w:r>
            <w:r w:rsidRPr="004D0DAA">
              <w:t xml:space="preserve"> (8 bit field)</w:t>
            </w:r>
            <w:r w:rsidRPr="004D0DAA">
              <w:br/>
              <w:t>This field is defined in 3GPP TS 44.018.</w:t>
            </w:r>
          </w:p>
        </w:tc>
      </w:tr>
      <w:tr w:rsidR="00711444" w:rsidRPr="004D0DAA" w14:paraId="51AA439D" w14:textId="77777777" w:rsidTr="00AA2A4C">
        <w:tblPrEx>
          <w:tblCellMar>
            <w:top w:w="0" w:type="dxa"/>
            <w:bottom w:w="0" w:type="dxa"/>
          </w:tblCellMar>
        </w:tblPrEx>
        <w:trPr>
          <w:cantSplit/>
        </w:trPr>
        <w:tc>
          <w:tcPr>
            <w:tcW w:w="9848" w:type="dxa"/>
          </w:tcPr>
          <w:p w14:paraId="47DAB171" w14:textId="77777777" w:rsidR="00711444" w:rsidRPr="004D0DAA" w:rsidRDefault="00711444" w:rsidP="00AA2A4C">
            <w:r w:rsidRPr="004D0DAA">
              <w:rPr>
                <w:b/>
              </w:rPr>
              <w:t>TRMIN_SDCCH</w:t>
            </w:r>
            <w:r w:rsidRPr="004D0DAA">
              <w:rPr>
                <w:bCs/>
              </w:rPr>
              <w:t xml:space="preserve"> (1 bit field)</w:t>
            </w:r>
            <w:r w:rsidRPr="004D0DAA">
              <w:rPr>
                <w:bCs/>
              </w:rPr>
              <w:br/>
            </w:r>
            <w:r w:rsidRPr="004D0DAA">
              <w:t>This field indicates the minimum response time of the network on SDCCH, expressed as a number of TDMA frames.</w:t>
            </w:r>
          </w:p>
          <w:p w14:paraId="2BD62731" w14:textId="77777777" w:rsidR="00711444" w:rsidRPr="004D0DAA" w:rsidRDefault="00711444" w:rsidP="00AA2A4C">
            <w:pPr>
              <w:rPr>
                <w:bCs/>
              </w:rPr>
            </w:pPr>
            <w:r w:rsidRPr="004D0DAA">
              <w:t>Bit</w:t>
            </w:r>
            <w:r w:rsidRPr="004D0DAA">
              <w:br/>
              <w:t>1</w:t>
            </w:r>
            <w:r w:rsidRPr="004D0DAA">
              <w:br/>
              <w:t>0</w:t>
            </w:r>
            <w:r w:rsidRPr="004D0DAA">
              <w:tab/>
              <w:t>32</w:t>
            </w:r>
            <w:r w:rsidRPr="004D0DAA">
              <w:br/>
              <w:t>1</w:t>
            </w:r>
            <w:r w:rsidRPr="004D0DAA">
              <w:tab/>
              <w:t>83</w:t>
            </w:r>
          </w:p>
        </w:tc>
      </w:tr>
      <w:tr w:rsidR="00711444" w:rsidRPr="004D0DAA" w14:paraId="447C8714" w14:textId="77777777" w:rsidTr="00AA2A4C">
        <w:tblPrEx>
          <w:tblCellMar>
            <w:top w:w="0" w:type="dxa"/>
            <w:bottom w:w="0" w:type="dxa"/>
          </w:tblCellMar>
        </w:tblPrEx>
        <w:trPr>
          <w:cantSplit/>
        </w:trPr>
        <w:tc>
          <w:tcPr>
            <w:tcW w:w="9848" w:type="dxa"/>
          </w:tcPr>
          <w:p w14:paraId="0BF0BC73" w14:textId="77777777" w:rsidR="00711444" w:rsidRPr="004D0DAA" w:rsidRDefault="00711444" w:rsidP="00AA2A4C">
            <w:pPr>
              <w:rPr>
                <w:bCs/>
              </w:rPr>
            </w:pPr>
            <w:r w:rsidRPr="004D0DAA">
              <w:rPr>
                <w:b/>
              </w:rPr>
              <w:t>TRESP_SDCCH</w:t>
            </w:r>
            <w:r w:rsidRPr="004D0DAA">
              <w:rPr>
                <w:bCs/>
              </w:rPr>
              <w:t xml:space="preserve"> (1 bit field)</w:t>
            </w:r>
            <w:r w:rsidRPr="004D0DAA">
              <w:rPr>
                <w:bCs/>
              </w:rPr>
              <w:br/>
              <w:t>This field indicates the maximum response time of the network on SDCCH, expressed as a number of TDMA frames.</w:t>
            </w:r>
          </w:p>
          <w:p w14:paraId="2D7A3629" w14:textId="77777777" w:rsidR="00711444" w:rsidRPr="004D0DAA" w:rsidRDefault="00711444" w:rsidP="00AA2A4C">
            <w:pPr>
              <w:rPr>
                <w:bCs/>
              </w:rPr>
            </w:pPr>
            <w:r w:rsidRPr="004D0DAA">
              <w:t>Bit</w:t>
            </w:r>
            <w:r w:rsidRPr="004D0DAA">
              <w:br/>
              <w:t>1</w:t>
            </w:r>
            <w:r w:rsidRPr="004D0DAA">
              <w:br/>
              <w:t>0</w:t>
            </w:r>
            <w:r w:rsidRPr="004D0DAA">
              <w:tab/>
              <w:t>134</w:t>
            </w:r>
            <w:r w:rsidRPr="004D0DAA">
              <w:br/>
              <w:t>1</w:t>
            </w:r>
            <w:r w:rsidRPr="004D0DAA">
              <w:tab/>
              <w:t>185</w:t>
            </w:r>
          </w:p>
        </w:tc>
      </w:tr>
      <w:tr w:rsidR="00711444" w:rsidRPr="004D0DAA" w14:paraId="4CDCA0AC" w14:textId="77777777" w:rsidTr="00AA2A4C">
        <w:tblPrEx>
          <w:tblCellMar>
            <w:top w:w="0" w:type="dxa"/>
            <w:bottom w:w="0" w:type="dxa"/>
          </w:tblCellMar>
        </w:tblPrEx>
        <w:trPr>
          <w:cantSplit/>
        </w:trPr>
        <w:tc>
          <w:tcPr>
            <w:tcW w:w="9848" w:type="dxa"/>
          </w:tcPr>
          <w:p w14:paraId="7856EF57" w14:textId="77777777" w:rsidR="00711444" w:rsidRPr="004D0DAA" w:rsidRDefault="00711444" w:rsidP="00AA2A4C">
            <w:r w:rsidRPr="004D0DAA">
              <w:rPr>
                <w:b/>
              </w:rPr>
              <w:t>TRMIN_SACCH</w:t>
            </w:r>
            <w:r w:rsidRPr="004D0DAA">
              <w:rPr>
                <w:bCs/>
              </w:rPr>
              <w:t xml:space="preserve"> (1 bit field)</w:t>
            </w:r>
            <w:r w:rsidRPr="004D0DAA">
              <w:rPr>
                <w:bCs/>
              </w:rPr>
              <w:br/>
            </w:r>
            <w:r w:rsidRPr="004D0DAA">
              <w:t>This field indicates the minimum response time of the network on SACCH, expressed as a number of TDMA frames.</w:t>
            </w:r>
          </w:p>
          <w:p w14:paraId="3A28DE15" w14:textId="77777777" w:rsidR="00711444" w:rsidRPr="004D0DAA" w:rsidRDefault="00711444" w:rsidP="00AA2A4C">
            <w:pPr>
              <w:rPr>
                <w:b/>
              </w:rPr>
            </w:pPr>
            <w:r w:rsidRPr="004D0DAA">
              <w:t>Bit</w:t>
            </w:r>
            <w:r w:rsidRPr="004D0DAA">
              <w:br/>
              <w:t>1</w:t>
            </w:r>
            <w:r w:rsidRPr="004D0DAA">
              <w:br/>
              <w:t>0</w:t>
            </w:r>
            <w:r w:rsidRPr="004D0DAA">
              <w:tab/>
              <w:t>25</w:t>
            </w:r>
            <w:r w:rsidRPr="004D0DAA">
              <w:br/>
              <w:t>1</w:t>
            </w:r>
            <w:r w:rsidRPr="004D0DAA">
              <w:tab/>
              <w:t>129</w:t>
            </w:r>
          </w:p>
        </w:tc>
      </w:tr>
      <w:tr w:rsidR="00711444" w:rsidRPr="004D0DAA" w14:paraId="669629F7" w14:textId="77777777" w:rsidTr="00AA2A4C">
        <w:tblPrEx>
          <w:tblCellMar>
            <w:top w:w="0" w:type="dxa"/>
            <w:bottom w:w="0" w:type="dxa"/>
          </w:tblCellMar>
        </w:tblPrEx>
        <w:trPr>
          <w:cantSplit/>
        </w:trPr>
        <w:tc>
          <w:tcPr>
            <w:tcW w:w="9848" w:type="dxa"/>
          </w:tcPr>
          <w:p w14:paraId="470CC68B" w14:textId="77777777" w:rsidR="00711444" w:rsidRPr="004D0DAA" w:rsidRDefault="00711444" w:rsidP="00AA2A4C">
            <w:pPr>
              <w:rPr>
                <w:bCs/>
              </w:rPr>
            </w:pPr>
            <w:r w:rsidRPr="004D0DAA">
              <w:rPr>
                <w:b/>
              </w:rPr>
              <w:t>TRESP_SACCH</w:t>
            </w:r>
            <w:r w:rsidRPr="004D0DAA">
              <w:rPr>
                <w:bCs/>
              </w:rPr>
              <w:t xml:space="preserve"> (1 bit field)</w:t>
            </w:r>
            <w:r w:rsidRPr="004D0DAA">
              <w:rPr>
                <w:bCs/>
              </w:rPr>
              <w:br/>
              <w:t>This field indicates the maximum response time of the network on SACCH, expressed as a number of TDMA frames.</w:t>
            </w:r>
          </w:p>
          <w:p w14:paraId="50299717" w14:textId="77777777" w:rsidR="00711444" w:rsidRPr="004D0DAA" w:rsidRDefault="00711444" w:rsidP="00AA2A4C">
            <w:pPr>
              <w:rPr>
                <w:b/>
              </w:rPr>
            </w:pPr>
            <w:r w:rsidRPr="004D0DAA">
              <w:t>Bit</w:t>
            </w:r>
            <w:r w:rsidRPr="004D0DAA">
              <w:br/>
              <w:t>1</w:t>
            </w:r>
            <w:r w:rsidRPr="004D0DAA">
              <w:br/>
              <w:t>0</w:t>
            </w:r>
            <w:r w:rsidRPr="004D0DAA">
              <w:tab/>
              <w:t>129</w:t>
            </w:r>
            <w:r w:rsidRPr="004D0DAA">
              <w:br/>
              <w:t>1</w:t>
            </w:r>
            <w:r w:rsidRPr="004D0DAA">
              <w:tab/>
              <w:t>233</w:t>
            </w:r>
          </w:p>
        </w:tc>
      </w:tr>
      <w:tr w:rsidR="00711444" w:rsidRPr="004D0DAA" w14:paraId="45F8A714" w14:textId="77777777" w:rsidTr="00AA2A4C">
        <w:tblPrEx>
          <w:tblCellMar>
            <w:top w:w="0" w:type="dxa"/>
            <w:bottom w:w="0" w:type="dxa"/>
          </w:tblCellMar>
        </w:tblPrEx>
        <w:trPr>
          <w:cantSplit/>
        </w:trPr>
        <w:tc>
          <w:tcPr>
            <w:tcW w:w="9848" w:type="dxa"/>
          </w:tcPr>
          <w:p w14:paraId="29D4D60D" w14:textId="77777777" w:rsidR="00711444" w:rsidRPr="004D0DAA" w:rsidRDefault="00711444" w:rsidP="00AA2A4C">
            <w:r w:rsidRPr="004D0DAA">
              <w:rPr>
                <w:b/>
              </w:rPr>
              <w:t xml:space="preserve">TRMIN </w:t>
            </w:r>
            <w:r w:rsidRPr="004D0DAA">
              <w:t>(6 bit field)</w:t>
            </w:r>
            <w:r w:rsidRPr="004D0DAA">
              <w:br/>
              <w:t>This field indicates the minimum response time of the network, expressed as a number of TDMA frames.</w:t>
            </w:r>
          </w:p>
          <w:p w14:paraId="65248B16" w14:textId="77777777" w:rsidR="00711444" w:rsidRPr="004D0DAA" w:rsidRDefault="00711444" w:rsidP="00AA2A4C">
            <w:pPr>
              <w:tabs>
                <w:tab w:val="left" w:pos="1276"/>
              </w:tabs>
            </w:pPr>
            <w:r w:rsidRPr="004D0DAA">
              <w:t>Bit</w:t>
            </w:r>
            <w:r w:rsidRPr="004D0DAA">
              <w:br/>
              <w:t>6 5 4 3 2 1</w:t>
            </w:r>
            <w:r w:rsidRPr="004D0DAA">
              <w:br/>
              <w:t>0 0 0 0 0 0</w:t>
            </w:r>
            <w:r w:rsidRPr="004D0DAA">
              <w:tab/>
              <w:t>9</w:t>
            </w:r>
            <w:r w:rsidRPr="004D0DAA">
              <w:br/>
              <w:t>0 0 0 0 0 1</w:t>
            </w:r>
            <w:r w:rsidRPr="004D0DAA">
              <w:tab/>
              <w:t>10</w:t>
            </w:r>
            <w:r w:rsidRPr="004D0DAA">
              <w:br/>
              <w:t>…</w:t>
            </w:r>
            <w:r w:rsidRPr="004D0DAA">
              <w:tab/>
              <w:t>…</w:t>
            </w:r>
            <w:r w:rsidRPr="004D0DAA">
              <w:br/>
              <w:t>1 1 1 1 1 1</w:t>
            </w:r>
            <w:r w:rsidRPr="004D0DAA">
              <w:tab/>
              <w:t>72</w:t>
            </w:r>
          </w:p>
        </w:tc>
      </w:tr>
      <w:tr w:rsidR="00711444" w:rsidRPr="004D0DAA" w14:paraId="2F4F41EB" w14:textId="77777777" w:rsidTr="00AA2A4C">
        <w:tblPrEx>
          <w:tblCellMar>
            <w:top w:w="0" w:type="dxa"/>
            <w:bottom w:w="0" w:type="dxa"/>
          </w:tblCellMar>
        </w:tblPrEx>
        <w:trPr>
          <w:cantSplit/>
        </w:trPr>
        <w:tc>
          <w:tcPr>
            <w:tcW w:w="9848" w:type="dxa"/>
          </w:tcPr>
          <w:p w14:paraId="6F2E8D2B" w14:textId="77777777" w:rsidR="00711444" w:rsidRPr="004D0DAA" w:rsidRDefault="00711444" w:rsidP="00AA2A4C">
            <w:pPr>
              <w:rPr>
                <w:bCs/>
              </w:rPr>
            </w:pPr>
            <w:r w:rsidRPr="004D0DAA">
              <w:rPr>
                <w:b/>
              </w:rPr>
              <w:t>TRESP_MAC_DTM</w:t>
            </w:r>
            <w:r w:rsidRPr="004D0DAA">
              <w:rPr>
                <w:bCs/>
              </w:rPr>
              <w:t xml:space="preserve"> (7 bit field)</w:t>
            </w:r>
            <w:r w:rsidRPr="004D0DAA">
              <w:rPr>
                <w:bCs/>
              </w:rPr>
              <w:br/>
            </w:r>
            <w:r w:rsidRPr="004D0DAA">
              <w:rPr>
                <w:b/>
              </w:rPr>
              <w:t>TRESP_MAC_Dedicated</w:t>
            </w:r>
            <w:r w:rsidRPr="004D0DAA">
              <w:rPr>
                <w:bCs/>
              </w:rPr>
              <w:t xml:space="preserve"> (7 bit field)</w:t>
            </w:r>
            <w:r w:rsidRPr="004D0DAA">
              <w:rPr>
                <w:bCs/>
              </w:rPr>
              <w:br/>
              <w:t>These fields indicate for a given MAC state the maximum response time of the network expressed as a number of TDMA frames.</w:t>
            </w:r>
          </w:p>
          <w:p w14:paraId="67EAA1D4" w14:textId="77777777" w:rsidR="00711444" w:rsidRPr="004D0DAA" w:rsidRDefault="00711444" w:rsidP="00AA2A4C">
            <w:pPr>
              <w:tabs>
                <w:tab w:val="left" w:pos="1276"/>
              </w:tabs>
              <w:rPr>
                <w:bCs/>
              </w:rPr>
            </w:pPr>
            <w:r w:rsidRPr="004D0DAA">
              <w:t>Bit</w:t>
            </w:r>
            <w:r w:rsidRPr="004D0DAA">
              <w:br/>
              <w:t>7 6 5 4 3 2 1</w:t>
            </w:r>
            <w:r w:rsidRPr="004D0DAA">
              <w:br/>
              <w:t>0 0 0 0 0 0 0</w:t>
            </w:r>
            <w:r w:rsidRPr="004D0DAA">
              <w:tab/>
              <w:t>14</w:t>
            </w:r>
            <w:r w:rsidRPr="004D0DAA">
              <w:br/>
              <w:t>0 0 0 0 0 0 1</w:t>
            </w:r>
            <w:r w:rsidRPr="004D0DAA">
              <w:tab/>
              <w:t>15</w:t>
            </w:r>
            <w:r w:rsidRPr="004D0DAA">
              <w:br/>
            </w:r>
            <w:r w:rsidRPr="004D0DAA">
              <w:tab/>
            </w:r>
            <w:r w:rsidRPr="004D0DAA">
              <w:tab/>
            </w:r>
            <w:r w:rsidRPr="004D0DAA">
              <w:tab/>
            </w:r>
            <w:r w:rsidRPr="004D0DAA">
              <w:tab/>
              <w:t>…</w:t>
            </w:r>
            <w:r w:rsidRPr="004D0DAA">
              <w:br/>
              <w:t>1 1 1 1 1 1 1</w:t>
            </w:r>
            <w:r w:rsidRPr="004D0DAA">
              <w:tab/>
              <w:t>141</w:t>
            </w:r>
          </w:p>
        </w:tc>
      </w:tr>
      <w:tr w:rsidR="00711444" w:rsidRPr="004D0DAA" w14:paraId="556C05E2" w14:textId="77777777" w:rsidTr="00AA2A4C">
        <w:tblPrEx>
          <w:tblCellMar>
            <w:top w:w="0" w:type="dxa"/>
            <w:bottom w:w="0" w:type="dxa"/>
          </w:tblCellMar>
        </w:tblPrEx>
        <w:trPr>
          <w:cantSplit/>
        </w:trPr>
        <w:tc>
          <w:tcPr>
            <w:tcW w:w="9848" w:type="dxa"/>
          </w:tcPr>
          <w:p w14:paraId="0EA0B089" w14:textId="77777777" w:rsidR="00711444" w:rsidRPr="004D0DAA" w:rsidRDefault="00711444" w:rsidP="00AA2A4C">
            <w:r w:rsidRPr="004D0DAA">
              <w:rPr>
                <w:b/>
              </w:rPr>
              <w:lastRenderedPageBreak/>
              <w:t>FPC_EPC</w:t>
            </w:r>
            <w:r w:rsidRPr="004D0DAA">
              <w:rPr>
                <w:bCs/>
              </w:rPr>
              <w:t xml:space="preserve"> (1 bit field)</w:t>
            </w:r>
            <w:r w:rsidRPr="004D0DAA">
              <w:rPr>
                <w:bCs/>
              </w:rPr>
              <w:br/>
            </w:r>
            <w:r w:rsidRPr="004D0DAA">
              <w:t>This field indicates whether fast power control or enhanced power control (see 3GPP TS 45.008) shall be used. It is coded as follows:</w:t>
            </w:r>
          </w:p>
          <w:p w14:paraId="45A13B48" w14:textId="77777777" w:rsidR="00711444" w:rsidRPr="004D0DAA" w:rsidRDefault="00711444" w:rsidP="00AA2A4C">
            <w:pPr>
              <w:rPr>
                <w:bCs/>
              </w:rPr>
            </w:pPr>
            <w:r w:rsidRPr="004D0DAA">
              <w:t>Bit</w:t>
            </w:r>
            <w:r w:rsidRPr="004D0DAA">
              <w:br/>
              <w:t>1</w:t>
            </w:r>
            <w:r w:rsidRPr="004D0DAA">
              <w:br/>
              <w:t>0</w:t>
            </w:r>
            <w:r w:rsidRPr="004D0DAA">
              <w:tab/>
              <w:t>FPC in use</w:t>
            </w:r>
            <w:r w:rsidRPr="004D0DAA">
              <w:br/>
              <w:t>1</w:t>
            </w:r>
            <w:r w:rsidRPr="004D0DAA">
              <w:tab/>
              <w:t>EPC in use</w:t>
            </w:r>
          </w:p>
        </w:tc>
      </w:tr>
      <w:tr w:rsidR="00711444" w:rsidRPr="004D0DAA" w14:paraId="4B22FF19" w14:textId="77777777" w:rsidTr="00AA2A4C">
        <w:tblPrEx>
          <w:tblCellMar>
            <w:top w:w="0" w:type="dxa"/>
            <w:bottom w:w="0" w:type="dxa"/>
          </w:tblCellMar>
        </w:tblPrEx>
        <w:trPr>
          <w:cantSplit/>
        </w:trPr>
        <w:tc>
          <w:tcPr>
            <w:tcW w:w="9848" w:type="dxa"/>
          </w:tcPr>
          <w:p w14:paraId="2C2A88F1" w14:textId="77777777" w:rsidR="00711444" w:rsidRPr="004D0DAA" w:rsidRDefault="00711444" w:rsidP="00AA2A4C">
            <w:pPr>
              <w:rPr>
                <w:bCs/>
              </w:rPr>
            </w:pPr>
            <w:r w:rsidRPr="004D0DAA">
              <w:rPr>
                <w:b/>
              </w:rPr>
              <w:t xml:space="preserve">POWER_LEVEL </w:t>
            </w:r>
            <w:r w:rsidRPr="004D0DAA">
              <w:rPr>
                <w:bCs/>
              </w:rPr>
              <w:t>(8 bit field)</w:t>
            </w:r>
            <w:r w:rsidRPr="004D0DAA">
              <w:rPr>
                <w:bCs/>
              </w:rPr>
              <w:br/>
              <w:t>This field is coded as the binary representation of the "power control level", see 3GPP TS 45.005. This value shall be used by the mobile station according to 3GPP TS 45.008.</w:t>
            </w:r>
          </w:p>
          <w:p w14:paraId="76D45738" w14:textId="77777777" w:rsidR="00711444" w:rsidRPr="004D0DAA" w:rsidRDefault="00711444" w:rsidP="00AA2A4C">
            <w:pPr>
              <w:rPr>
                <w:bCs/>
              </w:rPr>
            </w:pPr>
            <w:r w:rsidRPr="004D0DAA">
              <w:rPr>
                <w:bCs/>
              </w:rPr>
              <w:t>Range: 0 to 31</w:t>
            </w:r>
          </w:p>
        </w:tc>
      </w:tr>
      <w:tr w:rsidR="00711444" w:rsidRPr="004D0DAA" w14:paraId="7AC9F252" w14:textId="77777777" w:rsidTr="00AA2A4C">
        <w:tblPrEx>
          <w:tblCellMar>
            <w:top w:w="0" w:type="dxa"/>
            <w:bottom w:w="0" w:type="dxa"/>
          </w:tblCellMar>
        </w:tblPrEx>
        <w:trPr>
          <w:cantSplit/>
        </w:trPr>
        <w:tc>
          <w:tcPr>
            <w:tcW w:w="9848" w:type="dxa"/>
          </w:tcPr>
          <w:p w14:paraId="18A13063" w14:textId="77777777" w:rsidR="00711444" w:rsidRPr="004D0DAA" w:rsidRDefault="00711444" w:rsidP="00AA2A4C">
            <w:pPr>
              <w:rPr>
                <w:bCs/>
              </w:rPr>
            </w:pPr>
            <w:r w:rsidRPr="004D0DAA">
              <w:rPr>
                <w:b/>
              </w:rPr>
              <w:t>USF</w:t>
            </w:r>
            <w:r w:rsidRPr="004D0DAA">
              <w:rPr>
                <w:bCs/>
              </w:rPr>
              <w:t xml:space="preserve"> (3 bit field)</w:t>
            </w:r>
            <w:r w:rsidRPr="004D0DAA">
              <w:rPr>
                <w:bCs/>
              </w:rPr>
              <w:br/>
              <w:t>This field indicates the USF value assigned to the MS for all assigned timeslots (range 0 to 7). This field is encoded as a binary representation of the USF value as defined in sub-clause 10.4.1.</w:t>
            </w:r>
          </w:p>
        </w:tc>
      </w:tr>
      <w:tr w:rsidR="00711444" w:rsidRPr="004D0DAA" w14:paraId="31D37F6B" w14:textId="77777777" w:rsidTr="00AA2A4C">
        <w:tblPrEx>
          <w:tblCellMar>
            <w:top w:w="0" w:type="dxa"/>
            <w:bottom w:w="0" w:type="dxa"/>
          </w:tblCellMar>
        </w:tblPrEx>
        <w:trPr>
          <w:cantSplit/>
        </w:trPr>
        <w:tc>
          <w:tcPr>
            <w:tcW w:w="9848" w:type="dxa"/>
          </w:tcPr>
          <w:p w14:paraId="30622203"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on DBPSCH.</w:t>
            </w:r>
          </w:p>
          <w:p w14:paraId="3FBF880F"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bl>
    <w:p w14:paraId="19CBE8CA" w14:textId="77777777" w:rsidR="00711444" w:rsidRPr="004D0DAA" w:rsidRDefault="00711444" w:rsidP="00711444"/>
    <w:p w14:paraId="3EAE5AB6" w14:textId="77777777" w:rsidR="00711444" w:rsidRPr="004D0DAA" w:rsidRDefault="00711444" w:rsidP="00711444">
      <w:pPr>
        <w:pStyle w:val="Heading3"/>
      </w:pPr>
      <w:bookmarkStart w:id="655" w:name="_Toc516669832"/>
      <w:r w:rsidRPr="004D0DAA">
        <w:t>11.2.5c</w:t>
      </w:r>
      <w:r w:rsidRPr="004D0DAA">
        <w:tab/>
        <w:t>MPRACH Packet Channel Request</w:t>
      </w:r>
      <w:bookmarkEnd w:id="655"/>
    </w:p>
    <w:p w14:paraId="41DABCFA" w14:textId="77777777" w:rsidR="00711444" w:rsidRPr="004D0DAA" w:rsidRDefault="00711444" w:rsidP="00711444">
      <w:r w:rsidRPr="004D0DAA">
        <w:t>This message is sent in random mode on the MPRACH using the PRACH uplink block format defined in 3GPP TS 44.004. The order of bit transmission is defined in 3GPP TS 44.004. The numbering, assembling and field mapping conventions defined for RLC/MAC control blocks in</w:t>
      </w:r>
      <w:r w:rsidRPr="004D0DAA">
        <w:rPr>
          <w:i/>
        </w:rPr>
        <w:t xml:space="preserve"> </w:t>
      </w:r>
      <w:r w:rsidRPr="004D0DAA">
        <w:t>sub-clause 10.0b shall apply.</w:t>
      </w:r>
    </w:p>
    <w:p w14:paraId="7F9099E2" w14:textId="77777777" w:rsidR="00711444" w:rsidRPr="004D0DAA" w:rsidRDefault="00711444" w:rsidP="00711444">
      <w:r w:rsidRPr="004D0DAA">
        <w:t>The message is coded as shown in table 11.2.5c.1.</w:t>
      </w:r>
    </w:p>
    <w:p w14:paraId="696C75D9" w14:textId="77777777" w:rsidR="00711444" w:rsidRPr="004D0DAA" w:rsidRDefault="00711444" w:rsidP="00711444">
      <w:pPr>
        <w:pStyle w:val="TH"/>
      </w:pPr>
      <w:r w:rsidRPr="004D0DAA">
        <w:t>Table 11.2.5c.1: MPRACH PACKET CHANNEL REQUEST message 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F137CE9" w14:textId="77777777" w:rsidTr="00AA2A4C">
        <w:tblPrEx>
          <w:tblCellMar>
            <w:top w:w="0" w:type="dxa"/>
            <w:bottom w:w="0" w:type="dxa"/>
          </w:tblCellMar>
        </w:tblPrEx>
        <w:trPr>
          <w:cantSplit/>
        </w:trPr>
        <w:tc>
          <w:tcPr>
            <w:tcW w:w="9848" w:type="dxa"/>
          </w:tcPr>
          <w:p w14:paraId="00F204B1" w14:textId="77777777" w:rsidR="00711444" w:rsidRPr="004D0DAA" w:rsidRDefault="00711444" w:rsidP="00AA2A4C">
            <w:pPr>
              <w:pStyle w:val="TAL"/>
              <w:rPr>
                <w:lang w:eastAsia="en-US"/>
              </w:rPr>
            </w:pPr>
            <w:r w:rsidRPr="004D0DAA">
              <w:rPr>
                <w:lang w:eastAsia="en-US"/>
              </w:rPr>
              <w:t>&lt; MPRACH Packet channel request message content &gt; ::=</w:t>
            </w:r>
          </w:p>
          <w:p w14:paraId="5FAA9B4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Single block MBMS access</w:t>
            </w:r>
            <w:r w:rsidRPr="004D0DAA">
              <w:rPr>
                <w:lang w:eastAsia="en-US"/>
              </w:rPr>
              <w:t>:</w:t>
            </w:r>
            <w:r w:rsidRPr="004D0DAA">
              <w:rPr>
                <w:lang w:eastAsia="en-US"/>
              </w:rPr>
              <w:tab/>
              <w:t>0000</w:t>
            </w:r>
            <w:r w:rsidRPr="004D0DAA">
              <w:rPr>
                <w:lang w:eastAsia="en-US"/>
              </w:rPr>
              <w:tab/>
            </w:r>
            <w:r w:rsidRPr="004D0DAA">
              <w:rPr>
                <w:lang w:eastAsia="en-US"/>
              </w:rPr>
              <w:tab/>
              <w:t xml:space="preserve">&lt; </w:t>
            </w:r>
            <w:r w:rsidRPr="004D0DAA">
              <w:rPr>
                <w:b/>
                <w:lang w:eastAsia="en-US"/>
              </w:rPr>
              <w:t>RandomBits</w:t>
            </w:r>
            <w:r w:rsidRPr="004D0DAA">
              <w:rPr>
                <w:bCs/>
                <w:lang w:eastAsia="en-US"/>
              </w:rPr>
              <w:t>:</w:t>
            </w:r>
            <w:r w:rsidRPr="004D0DAA">
              <w:rPr>
                <w:lang w:eastAsia="en-US"/>
              </w:rPr>
              <w:t xml:space="preserve"> bit (7) &gt; &gt;;</w:t>
            </w:r>
          </w:p>
        </w:tc>
      </w:tr>
    </w:tbl>
    <w:p w14:paraId="19ABC998" w14:textId="77777777" w:rsidR="00711444" w:rsidRPr="004D0DAA" w:rsidRDefault="00711444" w:rsidP="00711444"/>
    <w:p w14:paraId="6E61829D" w14:textId="77777777" w:rsidR="00711444" w:rsidRPr="004D0DAA" w:rsidRDefault="00711444" w:rsidP="00711444">
      <w:pPr>
        <w:pStyle w:val="TH"/>
      </w:pPr>
      <w:r w:rsidRPr="004D0DAA">
        <w:t>Table 11.2.5c.2: MPRACH PACKET CHANNEL REQUEST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8305B72" w14:textId="77777777" w:rsidTr="00AA2A4C">
        <w:tblPrEx>
          <w:tblCellMar>
            <w:top w:w="0" w:type="dxa"/>
            <w:bottom w:w="0" w:type="dxa"/>
          </w:tblCellMar>
        </w:tblPrEx>
        <w:trPr>
          <w:cantSplit/>
        </w:trPr>
        <w:tc>
          <w:tcPr>
            <w:tcW w:w="9848" w:type="dxa"/>
          </w:tcPr>
          <w:p w14:paraId="2DDCBC4B" w14:textId="77777777" w:rsidR="00711444" w:rsidRPr="004D0DAA" w:rsidRDefault="00711444" w:rsidP="00AA2A4C">
            <w:pPr>
              <w:pStyle w:val="TAL"/>
              <w:rPr>
                <w:lang w:eastAsia="en-US"/>
              </w:rPr>
            </w:pPr>
            <w:r w:rsidRPr="004D0DAA">
              <w:rPr>
                <w:b/>
                <w:lang w:eastAsia="en-US"/>
              </w:rPr>
              <w:t>RandomBits</w:t>
            </w:r>
            <w:r w:rsidRPr="004D0DAA">
              <w:rPr>
                <w:lang w:eastAsia="en-US"/>
              </w:rPr>
              <w:t xml:space="preserve"> (7 bit field)</w:t>
            </w:r>
            <w:r w:rsidRPr="004D0DAA">
              <w:rPr>
                <w:lang w:eastAsia="en-US"/>
              </w:rPr>
              <w:br/>
              <w:t>This is an unformatted field.</w:t>
            </w:r>
          </w:p>
        </w:tc>
      </w:tr>
    </w:tbl>
    <w:p w14:paraId="4230E1DB" w14:textId="77777777" w:rsidR="00711444" w:rsidRPr="004D0DAA" w:rsidRDefault="00711444" w:rsidP="00711444"/>
    <w:p w14:paraId="6855664C" w14:textId="77777777" w:rsidR="00711444" w:rsidRPr="004D0DAA" w:rsidRDefault="00711444" w:rsidP="00711444">
      <w:pPr>
        <w:pStyle w:val="Heading3"/>
      </w:pPr>
      <w:bookmarkStart w:id="656" w:name="_Toc516669833"/>
      <w:r w:rsidRPr="004D0DAA">
        <w:t>11.2.6</w:t>
      </w:r>
      <w:r w:rsidRPr="004D0DAA">
        <w:tab/>
        <w:t>Packet Downlink Ack/Nack</w:t>
      </w:r>
      <w:bookmarkEnd w:id="656"/>
    </w:p>
    <w:p w14:paraId="2F426659" w14:textId="77777777" w:rsidR="00711444" w:rsidRPr="004D0DAA" w:rsidRDefault="00711444" w:rsidP="00711444">
      <w:r w:rsidRPr="004D0DAA">
        <w:t>This message is sent on the PACCH from the mobile station to the network to indicate the status of downlink RLC data blocks received and to report the channel quality of the downlink. The mobile station may optionally initiate an uplink TBF.</w:t>
      </w:r>
    </w:p>
    <w:p w14:paraId="215D3E06" w14:textId="77777777" w:rsidR="00711444" w:rsidRPr="004D0DAA" w:rsidRDefault="00711444" w:rsidP="00711444">
      <w:pPr>
        <w:pStyle w:val="EX"/>
      </w:pPr>
      <w:r w:rsidRPr="004D0DAA">
        <w:t>Message type:</w:t>
      </w:r>
      <w:r w:rsidRPr="004D0DAA">
        <w:tab/>
        <w:t>PACKET DOWNLINK ACK/NACK</w:t>
      </w:r>
    </w:p>
    <w:p w14:paraId="11212FEB" w14:textId="77777777" w:rsidR="00711444" w:rsidRPr="004D0DAA" w:rsidRDefault="00711444" w:rsidP="00711444">
      <w:pPr>
        <w:pStyle w:val="EX"/>
      </w:pPr>
      <w:r w:rsidRPr="004D0DAA">
        <w:t>Direction:</w:t>
      </w:r>
      <w:r w:rsidRPr="004D0DAA">
        <w:tab/>
        <w:t>mobile station to network</w:t>
      </w:r>
    </w:p>
    <w:p w14:paraId="413805A4" w14:textId="77777777" w:rsidR="00711444" w:rsidRPr="004D0DAA" w:rsidRDefault="00711444" w:rsidP="00711444">
      <w:pPr>
        <w:pStyle w:val="TH"/>
      </w:pPr>
      <w:r w:rsidRPr="004D0DAA">
        <w:lastRenderedPageBreak/>
        <w:t xml:space="preserve">Table 11.2.6.1: </w:t>
      </w:r>
      <w:r w:rsidRPr="004D0DAA">
        <w:rPr>
          <w:caps/>
        </w:rPr>
        <w:t>Packet Downlink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ED05B07" w14:textId="77777777" w:rsidTr="00AA2A4C">
        <w:tblPrEx>
          <w:tblCellMar>
            <w:top w:w="0" w:type="dxa"/>
            <w:bottom w:w="0" w:type="dxa"/>
          </w:tblCellMar>
        </w:tblPrEx>
        <w:trPr>
          <w:cantSplit/>
        </w:trPr>
        <w:tc>
          <w:tcPr>
            <w:tcW w:w="9848" w:type="dxa"/>
          </w:tcPr>
          <w:p w14:paraId="1D3D320E" w14:textId="77777777" w:rsidR="00711444" w:rsidRPr="004D0DAA" w:rsidRDefault="00711444" w:rsidP="00AA2A4C">
            <w:pPr>
              <w:pStyle w:val="TAL"/>
              <w:rPr>
                <w:lang w:eastAsia="en-US"/>
              </w:rPr>
            </w:pPr>
            <w:r w:rsidRPr="004D0DAA">
              <w:rPr>
                <w:lang w:eastAsia="en-US"/>
              </w:rPr>
              <w:t>&lt; Packet Downlink Ack/Nack message content &gt; ::=</w:t>
            </w:r>
          </w:p>
          <w:p w14:paraId="4FB615E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DOWNLINK_TFI </w:t>
            </w:r>
            <w:r w:rsidRPr="004D0DAA">
              <w:rPr>
                <w:lang w:eastAsia="en-US"/>
              </w:rPr>
              <w:t>: bit (5) &gt;</w:t>
            </w:r>
          </w:p>
          <w:p w14:paraId="17724DE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Ack/Nack Description</w:t>
            </w:r>
            <w:r w:rsidRPr="004D0DAA">
              <w:rPr>
                <w:lang w:eastAsia="en-US"/>
              </w:rPr>
              <w:t xml:space="preserve"> : &lt; Ack/Nack Description IE &gt; &gt;</w:t>
            </w:r>
          </w:p>
          <w:p w14:paraId="17245A3D"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Channel Request Description</w:t>
            </w:r>
            <w:r w:rsidRPr="004D0DAA">
              <w:rPr>
                <w:lang w:val="fr-FR" w:eastAsia="en-US"/>
              </w:rPr>
              <w:t xml:space="preserve"> : &lt; Channel Request Description IE &gt; &gt; }</w:t>
            </w:r>
          </w:p>
          <w:p w14:paraId="68A6812B"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Channel Quality Report</w:t>
            </w:r>
            <w:r w:rsidRPr="004D0DAA">
              <w:rPr>
                <w:lang w:eastAsia="en-US"/>
              </w:rPr>
              <w:t xml:space="preserve"> : &lt; Channel Quality Report struct &gt; &gt;</w:t>
            </w:r>
          </w:p>
          <w:p w14:paraId="56B63280" w14:textId="77777777" w:rsidR="00711444" w:rsidRPr="004D0DAA" w:rsidRDefault="00711444" w:rsidP="00AA2A4C">
            <w:pPr>
              <w:pStyle w:val="TAL"/>
              <w:rPr>
                <w:i/>
                <w:lang w:eastAsia="en-US"/>
              </w:rPr>
            </w:pPr>
            <w:r w:rsidRPr="004D0DAA">
              <w:rPr>
                <w:lang w:eastAsia="en-US"/>
              </w:rPr>
              <w:tab/>
              <w:t xml:space="preserve">{ null | 0 bit** = &lt;no string&gt;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26BC373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contents for Release 1999</w:t>
            </w:r>
          </w:p>
          <w:p w14:paraId="1D9EDCE0"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PFI</w:t>
            </w:r>
            <w:r w:rsidRPr="004D0DAA">
              <w:rPr>
                <w:lang w:eastAsia="en-US"/>
              </w:rPr>
              <w:t xml:space="preserve"> : bit(7) &gt; }</w:t>
            </w:r>
          </w:p>
          <w:p w14:paraId="728C3113" w14:textId="77777777" w:rsidR="00711444" w:rsidRPr="004D0DAA" w:rsidRDefault="00711444" w:rsidP="00AA2A4C">
            <w:pPr>
              <w:pStyle w:val="TAL"/>
              <w:rPr>
                <w:i/>
                <w:lang w:eastAsia="en-US"/>
              </w:rPr>
            </w:pPr>
            <w:r w:rsidRPr="004D0DAA">
              <w:rPr>
                <w:lang w:eastAsia="en-US"/>
              </w:rPr>
              <w:tab/>
            </w:r>
            <w:r w:rsidRPr="004D0DAA">
              <w:rPr>
                <w:lang w:eastAsia="en-US"/>
              </w:rPr>
              <w:tab/>
              <w:t xml:space="preserve">{ null | 0 bit** = &lt; no string &gt; </w:t>
            </w:r>
            <w:r w:rsidRPr="004D0DAA">
              <w:rPr>
                <w:lang w:eastAsia="en-US"/>
              </w:rPr>
              <w:tab/>
              <w:t xml:space="preserve">-- </w:t>
            </w:r>
            <w:r w:rsidRPr="004D0DAA">
              <w:rPr>
                <w:i/>
                <w:lang w:eastAsia="en-US"/>
              </w:rPr>
              <w:t>Receiver backward compatible with earlier version</w:t>
            </w:r>
          </w:p>
          <w:p w14:paraId="07438C7C" w14:textId="77777777" w:rsidR="00711444" w:rsidRPr="004D0DAA" w:rsidRDefault="00711444" w:rsidP="00AA2A4C">
            <w:pPr>
              <w:pStyle w:val="TAL"/>
              <w:rPr>
                <w:lang w:val="fr-FR" w:eastAsia="en-US"/>
              </w:rPr>
            </w:pPr>
            <w:r w:rsidRPr="004D0DAA">
              <w:rPr>
                <w:i/>
                <w:lang w:eastAsia="en-US"/>
              </w:rPr>
              <w:tab/>
            </w:r>
            <w:r w:rsidRPr="004D0DAA">
              <w:rPr>
                <w:i/>
                <w:lang w:eastAsia="en-US"/>
              </w:rPr>
              <w:tab/>
            </w:r>
            <w:r w:rsidRPr="004D0DAA">
              <w:rPr>
                <w:i/>
                <w:lang w:eastAsia="en-US"/>
              </w:rPr>
              <w:tab/>
            </w:r>
            <w:r w:rsidRPr="004D0DAA">
              <w:rPr>
                <w:iCs/>
                <w:lang w:val="fr-FR" w:eastAsia="en-US"/>
              </w:rPr>
              <w:t>| 1</w:t>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r>
            <w:r w:rsidRPr="004D0DAA">
              <w:rPr>
                <w:lang w:val="fr-FR" w:eastAsia="en-US"/>
              </w:rPr>
              <w:t xml:space="preserve">-- </w:t>
            </w:r>
            <w:r w:rsidRPr="004D0DAA">
              <w:rPr>
                <w:i/>
                <w:lang w:val="fr-FR" w:eastAsia="en-US"/>
              </w:rPr>
              <w:t>Additions for REL-5</w:t>
            </w:r>
          </w:p>
          <w:p w14:paraId="457117C9"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xml:space="preserve">{ 0 | 1 &lt; </w:t>
            </w:r>
            <w:r w:rsidRPr="004D0DAA">
              <w:rPr>
                <w:b/>
                <w:bCs/>
                <w:lang w:val="fr-FR" w:eastAsia="en-US"/>
              </w:rPr>
              <w:t>Iu mode Channel Request Description</w:t>
            </w:r>
            <w:r w:rsidRPr="004D0DAA">
              <w:rPr>
                <w:lang w:val="fr-FR" w:eastAsia="en-US"/>
              </w:rPr>
              <w:t xml:space="preserve"> : &lt; Iu mode Channel Request Description IE &gt; &gt; } </w:t>
            </w:r>
          </w:p>
          <w:p w14:paraId="1EAA505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eastAsia="en-US"/>
              </w:rPr>
              <w:t xml:space="preserve">{ 0 | 1 &lt; </w:t>
            </w:r>
            <w:r w:rsidRPr="004D0DAA">
              <w:rPr>
                <w:b/>
                <w:bCs/>
                <w:lang w:eastAsia="en-US"/>
              </w:rPr>
              <w:t>RB Id</w:t>
            </w:r>
            <w:r w:rsidRPr="004D0DAA">
              <w:rPr>
                <w:lang w:eastAsia="en-US"/>
              </w:rPr>
              <w:t xml:space="preserve"> : bit (5) &gt; }</w:t>
            </w:r>
          </w:p>
          <w:p w14:paraId="06D8D6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Timeslot Number</w:t>
            </w:r>
            <w:r w:rsidRPr="004D0DAA">
              <w:rPr>
                <w:lang w:eastAsia="en-US"/>
              </w:rPr>
              <w:t xml:space="preserve"> : bit (3) &gt; }</w:t>
            </w:r>
          </w:p>
          <w:p w14:paraId="47B05FB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 null | 0 bit** = &lt;no string&gt; </w:t>
            </w:r>
            <w:r w:rsidRPr="004D0DAA">
              <w:rPr>
                <w:lang w:eastAsia="en-US"/>
              </w:rPr>
              <w:tab/>
              <w:t xml:space="preserve">-- </w:t>
            </w:r>
            <w:r w:rsidRPr="004D0DAA">
              <w:rPr>
                <w:i/>
                <w:lang w:eastAsia="en-US"/>
              </w:rPr>
              <w:t>Receiver backward compatible with earlier version</w:t>
            </w:r>
          </w:p>
          <w:p w14:paraId="5456055E"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Additional contents for Release 6</w:t>
            </w:r>
          </w:p>
          <w:p w14:paraId="0318BE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0 | 1</w:t>
            </w:r>
            <w:r w:rsidRPr="004D0DAA">
              <w:rPr>
                <w:iCs/>
                <w:lang w:eastAsia="en-US"/>
              </w:rPr>
              <w:tab/>
            </w:r>
            <w:r w:rsidRPr="004D0DAA">
              <w:rPr>
                <w:lang w:eastAsia="en-US"/>
              </w:rPr>
              <w:t xml:space="preserve">&lt; </w:t>
            </w:r>
            <w:r w:rsidRPr="004D0DAA">
              <w:rPr>
                <w:b/>
                <w:bCs/>
                <w:lang w:eastAsia="en-US"/>
              </w:rPr>
              <w:t>Extended</w:t>
            </w:r>
            <w:r w:rsidRPr="004D0DAA">
              <w:rPr>
                <w:lang w:eastAsia="en-US"/>
              </w:rPr>
              <w:t xml:space="preserve"> </w:t>
            </w:r>
            <w:r w:rsidRPr="004D0DAA">
              <w:rPr>
                <w:b/>
                <w:lang w:eastAsia="en-US"/>
              </w:rPr>
              <w:t xml:space="preserve">Channel Request Description </w:t>
            </w:r>
            <w:r w:rsidRPr="004D0DAA">
              <w:rPr>
                <w:lang w:eastAsia="en-US"/>
              </w:rPr>
              <w:t xml:space="preserve">: </w:t>
            </w:r>
            <w:r w:rsidRPr="004D0DAA">
              <w:rPr>
                <w:lang w:eastAsia="en-US"/>
              </w:rPr>
              <w:tab/>
              <w:t xml:space="preserve">&lt; </w:t>
            </w:r>
            <w:r w:rsidRPr="004D0DAA">
              <w:rPr>
                <w:bCs/>
                <w:lang w:eastAsia="en-US"/>
              </w:rPr>
              <w:t>Extended</w:t>
            </w:r>
            <w:r w:rsidRPr="004D0DAA">
              <w:rPr>
                <w:lang w:eastAsia="en-US"/>
              </w:rPr>
              <w:t xml:space="preserve"> Channel Request Description IE &gt; &gt; } }</w:t>
            </w:r>
          </w:p>
          <w:p w14:paraId="6762DF1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null | 0 bit** = &lt;no string&gt; </w:t>
            </w:r>
            <w:r w:rsidRPr="004D0DAA">
              <w:rPr>
                <w:lang w:eastAsia="en-US"/>
              </w:rPr>
              <w:tab/>
              <w:t xml:space="preserve">-- </w:t>
            </w:r>
            <w:r w:rsidRPr="004D0DAA">
              <w:rPr>
                <w:i/>
                <w:lang w:eastAsia="en-US"/>
              </w:rPr>
              <w:t>Receiver backward compatible with earlier version</w:t>
            </w:r>
          </w:p>
          <w:p w14:paraId="5714B17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Additional contents for Release 7</w:t>
            </w:r>
          </w:p>
          <w:p w14:paraId="4FE94A1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 xml:space="preserve">EARLY_TBF_ESTABLISHMENT </w:t>
            </w:r>
            <w:r w:rsidRPr="004D0DAA">
              <w:rPr>
                <w:lang w:eastAsia="en-US"/>
              </w:rPr>
              <w:t xml:space="preserve">: bit (1) &gt; </w:t>
            </w:r>
          </w:p>
          <w:p w14:paraId="43CB6995" w14:textId="77777777" w:rsidR="00711444" w:rsidRPr="004D0DAA" w:rsidRDefault="00711444" w:rsidP="00AA2A4C">
            <w:pPr>
              <w:pStyle w:val="TAL"/>
              <w:rPr>
                <w:lang w:eastAsia="en-US"/>
              </w:rPr>
            </w:pPr>
            <w:r w:rsidRPr="004D0DAA">
              <w:rPr>
                <w:lang w:eastAsia="en-US"/>
              </w:rPr>
              <w:tab/>
              <w:t>&lt; padding bits &gt; } } };</w:t>
            </w:r>
          </w:p>
          <w:p w14:paraId="6D9E592F" w14:textId="77777777" w:rsidR="00711444" w:rsidRPr="004D0DAA" w:rsidRDefault="00711444" w:rsidP="00AA2A4C">
            <w:pPr>
              <w:pStyle w:val="TAL"/>
              <w:rPr>
                <w:lang w:eastAsia="en-US"/>
              </w:rPr>
            </w:pPr>
          </w:p>
        </w:tc>
      </w:tr>
      <w:tr w:rsidR="00711444" w:rsidRPr="004D0DAA" w14:paraId="1791248E" w14:textId="77777777" w:rsidTr="00AA2A4C">
        <w:tblPrEx>
          <w:tblCellMar>
            <w:top w:w="0" w:type="dxa"/>
            <w:bottom w:w="0" w:type="dxa"/>
          </w:tblCellMar>
        </w:tblPrEx>
        <w:trPr>
          <w:cantSplit/>
        </w:trPr>
        <w:tc>
          <w:tcPr>
            <w:tcW w:w="9848" w:type="dxa"/>
          </w:tcPr>
          <w:p w14:paraId="4A411E98" w14:textId="77777777" w:rsidR="00711444" w:rsidRPr="004D0DAA" w:rsidRDefault="00711444" w:rsidP="00AA2A4C">
            <w:pPr>
              <w:pStyle w:val="TAL"/>
              <w:rPr>
                <w:lang w:eastAsia="en-US"/>
              </w:rPr>
            </w:pPr>
            <w:r w:rsidRPr="004D0DAA">
              <w:rPr>
                <w:lang w:eastAsia="en-US"/>
              </w:rPr>
              <w:t>&lt; Channel Quality Report struct &gt; ::=</w:t>
            </w:r>
          </w:p>
          <w:p w14:paraId="3F3F7B3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C_VALUE </w:t>
            </w:r>
            <w:r w:rsidRPr="004D0DAA">
              <w:rPr>
                <w:lang w:eastAsia="en-US"/>
              </w:rPr>
              <w:t>: bit (6) &gt;</w:t>
            </w:r>
          </w:p>
          <w:p w14:paraId="0166F08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RXQUAL</w:t>
            </w:r>
            <w:r w:rsidRPr="004D0DAA">
              <w:rPr>
                <w:lang w:eastAsia="en-US"/>
              </w:rPr>
              <w:t xml:space="preserve"> : bit (3) &gt;</w:t>
            </w:r>
          </w:p>
          <w:p w14:paraId="65274FE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SIGN_VAR</w:t>
            </w:r>
            <w:r w:rsidRPr="004D0DAA">
              <w:rPr>
                <w:lang w:eastAsia="en-US"/>
              </w:rPr>
              <w:t xml:space="preserve"> : bit (6) &gt;</w:t>
            </w:r>
          </w:p>
          <w:p w14:paraId="303216D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I_LEVEL_TN0 </w:t>
            </w:r>
            <w:r w:rsidRPr="004D0DAA">
              <w:rPr>
                <w:lang w:eastAsia="en-US"/>
              </w:rPr>
              <w:t>: bit (4) &gt; }</w:t>
            </w:r>
          </w:p>
          <w:p w14:paraId="0CA3BA1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I_LEVEL_TN1 </w:t>
            </w:r>
            <w:r w:rsidRPr="004D0DAA">
              <w:rPr>
                <w:lang w:eastAsia="en-US"/>
              </w:rPr>
              <w:t>: bit (4) &gt; }</w:t>
            </w:r>
          </w:p>
          <w:p w14:paraId="002782E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I_LEVEL_TN2 </w:t>
            </w:r>
            <w:r w:rsidRPr="004D0DAA">
              <w:rPr>
                <w:lang w:eastAsia="en-US"/>
              </w:rPr>
              <w:t>: bit (4) &gt; }</w:t>
            </w:r>
          </w:p>
          <w:p w14:paraId="06D5199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I_LEVEL_TN3 </w:t>
            </w:r>
            <w:r w:rsidRPr="004D0DAA">
              <w:rPr>
                <w:lang w:eastAsia="en-US"/>
              </w:rPr>
              <w:t>: bit (4) &gt; }</w:t>
            </w:r>
          </w:p>
          <w:p w14:paraId="384317D0"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I_LEVEL_TN4 </w:t>
            </w:r>
            <w:r w:rsidRPr="004D0DAA">
              <w:rPr>
                <w:lang w:eastAsia="en-US"/>
              </w:rPr>
              <w:t>: bit (4) &gt; }</w:t>
            </w:r>
          </w:p>
          <w:p w14:paraId="00F54EA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I_LEVEL_TN5 </w:t>
            </w:r>
            <w:r w:rsidRPr="004D0DAA">
              <w:rPr>
                <w:lang w:eastAsia="en-US"/>
              </w:rPr>
              <w:t>: bit (4) &gt; }</w:t>
            </w:r>
          </w:p>
          <w:p w14:paraId="5DD683B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I_LEVEL_TN6 </w:t>
            </w:r>
            <w:r w:rsidRPr="004D0DAA">
              <w:rPr>
                <w:lang w:eastAsia="en-US"/>
              </w:rPr>
              <w:t>: bit (4) &gt; }</w:t>
            </w:r>
          </w:p>
          <w:p w14:paraId="09885F7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I_LEVEL_TN7 </w:t>
            </w:r>
            <w:r w:rsidRPr="004D0DAA">
              <w:rPr>
                <w:lang w:eastAsia="en-US"/>
              </w:rPr>
              <w:t>: bit (4) &gt; } ;</w:t>
            </w:r>
          </w:p>
          <w:p w14:paraId="4FC36F49" w14:textId="77777777" w:rsidR="00711444" w:rsidRPr="004D0DAA" w:rsidRDefault="00711444" w:rsidP="00AA2A4C">
            <w:pPr>
              <w:pStyle w:val="TAL"/>
              <w:rPr>
                <w:lang w:eastAsia="en-US"/>
              </w:rPr>
            </w:pPr>
          </w:p>
        </w:tc>
      </w:tr>
    </w:tbl>
    <w:p w14:paraId="363417AE" w14:textId="77777777" w:rsidR="00711444" w:rsidRPr="004D0DAA" w:rsidRDefault="00711444" w:rsidP="00711444"/>
    <w:p w14:paraId="077D3B9E" w14:textId="77777777" w:rsidR="00711444" w:rsidRPr="004D0DAA" w:rsidRDefault="00711444" w:rsidP="00711444">
      <w:pPr>
        <w:pStyle w:val="TH"/>
      </w:pPr>
      <w:r w:rsidRPr="004D0DAA">
        <w:t xml:space="preserve">Table 11.2.6.2: </w:t>
      </w:r>
      <w:r w:rsidRPr="004D0DAA">
        <w:rPr>
          <w:caps/>
        </w:rPr>
        <w:t>Packet Downlink Ack/Nack</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CE607E0" w14:textId="77777777" w:rsidTr="00AA2A4C">
        <w:tblPrEx>
          <w:tblCellMar>
            <w:top w:w="0" w:type="dxa"/>
            <w:bottom w:w="0" w:type="dxa"/>
          </w:tblCellMar>
        </w:tblPrEx>
        <w:trPr>
          <w:cantSplit/>
        </w:trPr>
        <w:tc>
          <w:tcPr>
            <w:tcW w:w="9848" w:type="dxa"/>
          </w:tcPr>
          <w:p w14:paraId="6A64C1DC" w14:textId="77777777" w:rsidR="00711444" w:rsidRPr="004D0DAA" w:rsidRDefault="00711444" w:rsidP="00AA2A4C">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 On DBPSCH, this field equals the radio bearer identity of the radio bearer to which this message applies.</w:t>
            </w:r>
          </w:p>
          <w:p w14:paraId="366E0E3B" w14:textId="77777777" w:rsidR="00711444" w:rsidRPr="004D0DAA" w:rsidRDefault="00711444" w:rsidP="00AA2A4C">
            <w:r w:rsidRPr="004D0DAA">
              <w:rPr>
                <w:b/>
              </w:rPr>
              <w:t>Ack/Nack Description</w:t>
            </w:r>
            <w:r w:rsidRPr="004D0DAA">
              <w:rPr>
                <w:b/>
              </w:rPr>
              <w:br/>
            </w:r>
            <w:r w:rsidRPr="004D0DAA">
              <w:t>This information element is defined in</w:t>
            </w:r>
            <w:r w:rsidRPr="004D0DAA">
              <w:rPr>
                <w:i/>
              </w:rPr>
              <w:t xml:space="preserve"> </w:t>
            </w:r>
            <w:r w:rsidRPr="004D0DAA">
              <w:t>sub-clause 12.3.</w:t>
            </w:r>
          </w:p>
          <w:p w14:paraId="3724CA32" w14:textId="77777777" w:rsidR="00711444" w:rsidRPr="004D0DAA" w:rsidRDefault="00711444" w:rsidP="00AA2A4C">
            <w:pPr>
              <w:rPr>
                <w:bCs/>
              </w:rPr>
            </w:pPr>
            <w:r w:rsidRPr="004D0DAA">
              <w:rPr>
                <w:b/>
              </w:rPr>
              <w:t>Channel Request Description</w:t>
            </w:r>
            <w:r w:rsidRPr="004D0DAA">
              <w:br/>
              <w:t>This information element is defined in</w:t>
            </w:r>
            <w:r w:rsidRPr="004D0DAA">
              <w:rPr>
                <w:i/>
              </w:rPr>
              <w:t xml:space="preserve"> </w:t>
            </w:r>
            <w:r w:rsidRPr="004D0DAA">
              <w:t xml:space="preserve">sub-clause 12.7. If a PFI field is included in this message, it relates to the TBF request contained in the </w:t>
            </w:r>
            <w:r w:rsidRPr="004D0DAA">
              <w:rPr>
                <w:bCs/>
                <w:i/>
                <w:iCs/>
              </w:rPr>
              <w:t>Channel Request Description</w:t>
            </w:r>
            <w:r w:rsidRPr="004D0DAA">
              <w:rPr>
                <w:bCs/>
              </w:rPr>
              <w:t xml:space="preserve"> </w:t>
            </w:r>
            <w:r w:rsidRPr="004D0DAA">
              <w:t xml:space="preserve">IE. Neither this IE nor the PFI field shall be included if the </w:t>
            </w:r>
            <w:r w:rsidRPr="004D0DAA">
              <w:rPr>
                <w:i/>
                <w:iCs/>
              </w:rPr>
              <w:t xml:space="preserve">Extended </w:t>
            </w:r>
            <w:r w:rsidRPr="004D0DAA">
              <w:rPr>
                <w:bCs/>
                <w:i/>
                <w:iCs/>
              </w:rPr>
              <w:t>Channel Request Description</w:t>
            </w:r>
            <w:r w:rsidRPr="004D0DAA">
              <w:rPr>
                <w:bCs/>
              </w:rPr>
              <w:t xml:space="preserve"> IE is included.</w:t>
            </w:r>
          </w:p>
          <w:p w14:paraId="196DB50F" w14:textId="77777777" w:rsidR="00711444" w:rsidRPr="004D0DAA" w:rsidRDefault="00711444" w:rsidP="00AA2A4C">
            <w:r w:rsidRPr="004D0DAA">
              <w:rPr>
                <w:b/>
              </w:rPr>
              <w:t>Iu mode Channel Request Description</w:t>
            </w:r>
            <w:r w:rsidRPr="004D0DAA">
              <w:br/>
              <w:t>This information element is defined in</w:t>
            </w:r>
            <w:r w:rsidRPr="004D0DAA">
              <w:rPr>
                <w:i/>
              </w:rPr>
              <w:t xml:space="preserve"> </w:t>
            </w:r>
            <w:r w:rsidRPr="004D0DAA">
              <w:t>sub-clause 12.7a.</w:t>
            </w:r>
          </w:p>
          <w:p w14:paraId="20C7D293" w14:textId="77777777" w:rsidR="00711444" w:rsidRPr="004D0DAA" w:rsidRDefault="00711444" w:rsidP="00AA2A4C">
            <w:pPr>
              <w:rPr>
                <w:b/>
              </w:rPr>
            </w:pPr>
            <w:r w:rsidRPr="004D0DAA">
              <w:rPr>
                <w:b/>
              </w:rPr>
              <w:t>Extended Channel Request Description</w:t>
            </w:r>
            <w:r w:rsidRPr="004D0DAA">
              <w:br/>
              <w:t>This information element is defined in</w:t>
            </w:r>
            <w:r w:rsidRPr="004D0DAA">
              <w:rPr>
                <w:i/>
              </w:rPr>
              <w:t xml:space="preserve"> </w:t>
            </w:r>
            <w:r w:rsidRPr="004D0DAA">
              <w:t xml:space="preserve">sub-clause 12.7b. This IE contains a request for one or more additional uplink TBFs and shall only be included if the mobile station and the network support multiple TBF procedures. If this IE is included, the </w:t>
            </w:r>
            <w:r w:rsidRPr="004D0DAA">
              <w:rPr>
                <w:bCs/>
                <w:i/>
                <w:iCs/>
              </w:rPr>
              <w:t>Channel Request Description</w:t>
            </w:r>
            <w:r w:rsidRPr="004D0DAA">
              <w:rPr>
                <w:bCs/>
              </w:rPr>
              <w:t xml:space="preserve"> IE and PFI field in the message shall be omitted.</w:t>
            </w:r>
          </w:p>
        </w:tc>
      </w:tr>
      <w:tr w:rsidR="00711444" w:rsidRPr="004D0DAA" w14:paraId="2BE80A29" w14:textId="77777777" w:rsidTr="00AA2A4C">
        <w:tblPrEx>
          <w:tblCellMar>
            <w:top w:w="0" w:type="dxa"/>
            <w:bottom w:w="0" w:type="dxa"/>
          </w:tblCellMar>
        </w:tblPrEx>
        <w:trPr>
          <w:cantSplit/>
        </w:trPr>
        <w:tc>
          <w:tcPr>
            <w:tcW w:w="9848" w:type="dxa"/>
          </w:tcPr>
          <w:p w14:paraId="0FC8F83E" w14:textId="77777777" w:rsidR="00711444" w:rsidRPr="004D0DAA" w:rsidRDefault="00711444" w:rsidP="00AA2A4C">
            <w:pPr>
              <w:rPr>
                <w:b/>
              </w:rPr>
            </w:pPr>
            <w:r w:rsidRPr="004D0DAA">
              <w:rPr>
                <w:b/>
              </w:rPr>
              <w:t>C_VALUE</w:t>
            </w:r>
            <w:r w:rsidRPr="004D0DAA">
              <w:t xml:space="preserve"> (6 bit field)</w:t>
            </w:r>
            <w:r w:rsidRPr="004D0DAA">
              <w:br/>
              <w:t>This field is encoded as the binary representation of the C value as specified in 3GPP TS 45.008.</w:t>
            </w:r>
            <w:r w:rsidRPr="004D0DAA">
              <w:br/>
              <w:t>Range 0 to 63</w:t>
            </w:r>
          </w:p>
        </w:tc>
      </w:tr>
      <w:tr w:rsidR="00711444" w:rsidRPr="004D0DAA" w14:paraId="01D67827" w14:textId="77777777" w:rsidTr="00AA2A4C">
        <w:tblPrEx>
          <w:tblCellMar>
            <w:top w:w="0" w:type="dxa"/>
            <w:bottom w:w="0" w:type="dxa"/>
          </w:tblCellMar>
        </w:tblPrEx>
        <w:trPr>
          <w:cantSplit/>
        </w:trPr>
        <w:tc>
          <w:tcPr>
            <w:tcW w:w="9848" w:type="dxa"/>
          </w:tcPr>
          <w:p w14:paraId="7FDAA41A" w14:textId="77777777" w:rsidR="00711444" w:rsidRPr="004D0DAA" w:rsidRDefault="00711444" w:rsidP="00AA2A4C">
            <w:pPr>
              <w:rPr>
                <w:b/>
              </w:rPr>
            </w:pPr>
            <w:r w:rsidRPr="004D0DAA">
              <w:rPr>
                <w:b/>
              </w:rPr>
              <w:lastRenderedPageBreak/>
              <w:t xml:space="preserve">RXQUAL </w:t>
            </w:r>
            <w:r w:rsidRPr="004D0DAA">
              <w:t>(3 bit field)</w:t>
            </w:r>
            <w:r w:rsidRPr="004D0DAA">
              <w:rPr>
                <w:b/>
              </w:rPr>
              <w:br/>
            </w:r>
            <w:r w:rsidRPr="004D0DAA">
              <w:t>This field contains the RXQUAL parameter field calculated by the mobile station (see 3GPP TS 45.008). This field is encoded as defined in 3GPP TS 44.018.</w:t>
            </w:r>
            <w:r w:rsidRPr="004D0DAA">
              <w:br/>
              <w:t>Range 0 to 7</w:t>
            </w:r>
          </w:p>
        </w:tc>
      </w:tr>
      <w:tr w:rsidR="00711444" w:rsidRPr="004D0DAA" w14:paraId="02663846" w14:textId="77777777" w:rsidTr="00AA2A4C">
        <w:tblPrEx>
          <w:tblCellMar>
            <w:top w:w="0" w:type="dxa"/>
            <w:bottom w:w="0" w:type="dxa"/>
          </w:tblCellMar>
        </w:tblPrEx>
        <w:trPr>
          <w:cantSplit/>
        </w:trPr>
        <w:tc>
          <w:tcPr>
            <w:tcW w:w="9848" w:type="dxa"/>
          </w:tcPr>
          <w:p w14:paraId="1BCC29A4" w14:textId="77777777" w:rsidR="00711444" w:rsidRPr="004D0DAA" w:rsidRDefault="00711444" w:rsidP="00AA2A4C">
            <w:pPr>
              <w:rPr>
                <w:b/>
              </w:rPr>
            </w:pPr>
            <w:r w:rsidRPr="004D0DAA">
              <w:rPr>
                <w:b/>
              </w:rPr>
              <w:t>PFI</w:t>
            </w:r>
            <w:r w:rsidRPr="004D0DAA">
              <w:t xml:space="preserve"> (7 bit field)</w:t>
            </w:r>
            <w:r w:rsidRPr="004D0DAA">
              <w:rPr>
                <w:b/>
              </w:rPr>
              <w:br/>
            </w:r>
            <w:r w:rsidRPr="004D0DAA">
              <w:t xml:space="preserve">This field contains the PFI parameter identifying a Packet Flow Context relating to the resource request specified in the </w:t>
            </w:r>
            <w:r w:rsidRPr="004D0DAA">
              <w:rPr>
                <w:i/>
              </w:rPr>
              <w:t xml:space="preserve">Channel Request Description </w:t>
            </w:r>
            <w:r w:rsidRPr="004D0DAA">
              <w:t xml:space="preserve">IE. The PFI parameter is encoded as the contents of the PFI information element as defined in 3GPP TS 44.018. This field may be included if the network supports packet flow context procedures and if a Channel Request Description IE is included in the message. If this field is included but the </w:t>
            </w:r>
            <w:r w:rsidRPr="004D0DAA">
              <w:rPr>
                <w:i/>
              </w:rPr>
              <w:t xml:space="preserve">Channel Request Description </w:t>
            </w:r>
            <w:r w:rsidRPr="004D0DAA">
              <w:t>IE is omitted, this field shall be ignored.</w:t>
            </w:r>
          </w:p>
        </w:tc>
      </w:tr>
      <w:tr w:rsidR="00711444" w:rsidRPr="004D0DAA" w14:paraId="04292C5D" w14:textId="77777777" w:rsidTr="00AA2A4C">
        <w:tblPrEx>
          <w:tblCellMar>
            <w:top w:w="0" w:type="dxa"/>
            <w:bottom w:w="0" w:type="dxa"/>
          </w:tblCellMar>
        </w:tblPrEx>
        <w:trPr>
          <w:cantSplit/>
        </w:trPr>
        <w:tc>
          <w:tcPr>
            <w:tcW w:w="9848" w:type="dxa"/>
          </w:tcPr>
          <w:p w14:paraId="268988AF" w14:textId="77777777" w:rsidR="00711444" w:rsidRPr="004D0DAA" w:rsidRDefault="00711444" w:rsidP="00AA2A4C">
            <w:r w:rsidRPr="004D0DAA">
              <w:rPr>
                <w:b/>
              </w:rPr>
              <w:t xml:space="preserve">SIGN_VAR </w:t>
            </w:r>
            <w:r w:rsidRPr="004D0DAA">
              <w:t>(6 bit field)</w:t>
            </w:r>
            <w:r w:rsidRPr="004D0DAA">
              <w:rPr>
                <w:b/>
              </w:rPr>
              <w:br/>
            </w:r>
            <w:r w:rsidRPr="004D0DAA">
              <w:t>This field contains the signal variance parameter SIGN_VAR calculated by the mobile station (see 3GPP TS 45.008).</w:t>
            </w:r>
          </w:p>
          <w:p w14:paraId="054D5E59" w14:textId="77777777" w:rsidR="00711444" w:rsidRPr="004D0DAA" w:rsidRDefault="00711444" w:rsidP="00AA2A4C">
            <w:pPr>
              <w:tabs>
                <w:tab w:val="left" w:pos="1276"/>
              </w:tabs>
              <w:rPr>
                <w:b/>
              </w:rPr>
            </w:pPr>
            <w:r w:rsidRPr="004D0DAA">
              <w:t>bit</w:t>
            </w:r>
            <w:r w:rsidRPr="004D0DAA">
              <w:br/>
              <w:t>6 5 4 3 2 1</w:t>
            </w:r>
            <w:r w:rsidRPr="004D0DAA">
              <w:br/>
              <w:t>0 0 0 0 0 0</w:t>
            </w:r>
            <w:r w:rsidRPr="004D0DAA">
              <w:tab/>
              <w:t>0dB</w:t>
            </w:r>
            <w:r w:rsidRPr="004D0DAA">
              <w:rPr>
                <w:vertAlign w:val="superscript"/>
              </w:rPr>
              <w:t>2</w:t>
            </w:r>
            <w:r w:rsidRPr="004D0DAA">
              <w:t xml:space="preserve"> to 0.25 dB</w:t>
            </w:r>
            <w:r w:rsidRPr="004D0DAA">
              <w:rPr>
                <w:vertAlign w:val="superscript"/>
              </w:rPr>
              <w:t>2</w:t>
            </w:r>
            <w:r w:rsidRPr="004D0DAA">
              <w:br/>
              <w:t>0 0 0 0 0 1</w:t>
            </w:r>
            <w:r w:rsidRPr="004D0DAA">
              <w:tab/>
              <w:t>&gt;0.25 dB</w:t>
            </w:r>
            <w:r w:rsidRPr="004D0DAA">
              <w:rPr>
                <w:vertAlign w:val="superscript"/>
              </w:rPr>
              <w:t>2</w:t>
            </w:r>
            <w:r w:rsidRPr="004D0DAA">
              <w:t xml:space="preserve"> to 0.50 dB</w:t>
            </w:r>
            <w:r w:rsidRPr="004D0DAA">
              <w:rPr>
                <w:vertAlign w:val="superscript"/>
              </w:rPr>
              <w:t>2</w:t>
            </w:r>
            <w:r w:rsidRPr="004D0DAA">
              <w:br/>
              <w:t>0 0 0 0 1 0</w:t>
            </w:r>
            <w:r w:rsidRPr="004D0DAA">
              <w:tab/>
              <w:t>&gt;0.50 dB</w:t>
            </w:r>
            <w:r w:rsidRPr="004D0DAA">
              <w:rPr>
                <w:vertAlign w:val="superscript"/>
              </w:rPr>
              <w:t>2</w:t>
            </w:r>
            <w:r w:rsidRPr="004D0DAA">
              <w:t xml:space="preserve"> to 0.75 dB</w:t>
            </w:r>
            <w:r w:rsidRPr="004D0DAA">
              <w:rPr>
                <w:vertAlign w:val="superscript"/>
              </w:rPr>
              <w:t>2</w:t>
            </w:r>
            <w:r w:rsidRPr="004D0DAA">
              <w:br/>
              <w:t xml:space="preserve">: : : </w:t>
            </w:r>
            <w:r w:rsidRPr="004D0DAA">
              <w:tab/>
              <w:t>: :</w:t>
            </w:r>
            <w:r w:rsidRPr="004D0DAA">
              <w:br/>
              <w:t>1 1 1 1 1 0</w:t>
            </w:r>
            <w:r w:rsidRPr="004D0DAA">
              <w:tab/>
              <w:t>&gt;15.50 dB</w:t>
            </w:r>
            <w:r w:rsidRPr="004D0DAA">
              <w:rPr>
                <w:vertAlign w:val="superscript"/>
              </w:rPr>
              <w:t>2</w:t>
            </w:r>
            <w:r w:rsidRPr="004D0DAA">
              <w:t xml:space="preserve"> to 15.75 dB</w:t>
            </w:r>
            <w:r w:rsidRPr="004D0DAA">
              <w:rPr>
                <w:vertAlign w:val="superscript"/>
              </w:rPr>
              <w:t>2</w:t>
            </w:r>
            <w:r w:rsidRPr="004D0DAA">
              <w:br/>
              <w:t>1 1 1 1 1 1</w:t>
            </w:r>
            <w:r w:rsidRPr="004D0DAA">
              <w:tab/>
              <w:t>&gt;15.75 dB</w:t>
            </w:r>
            <w:r w:rsidRPr="004D0DAA">
              <w:rPr>
                <w:vertAlign w:val="superscript"/>
              </w:rPr>
              <w:t>2</w:t>
            </w:r>
          </w:p>
        </w:tc>
      </w:tr>
      <w:tr w:rsidR="00711444" w:rsidRPr="004D0DAA" w14:paraId="1C3B7952" w14:textId="77777777" w:rsidTr="00AA2A4C">
        <w:tblPrEx>
          <w:tblCellMar>
            <w:top w:w="0" w:type="dxa"/>
            <w:bottom w:w="0" w:type="dxa"/>
          </w:tblCellMar>
        </w:tblPrEx>
        <w:trPr>
          <w:cantSplit/>
        </w:trPr>
        <w:tc>
          <w:tcPr>
            <w:tcW w:w="9848" w:type="dxa"/>
          </w:tcPr>
          <w:p w14:paraId="3A97AFD2" w14:textId="77777777" w:rsidR="00711444" w:rsidRPr="004D0DAA" w:rsidRDefault="00711444" w:rsidP="00AA2A4C">
            <w:r w:rsidRPr="004D0DAA">
              <w:rPr>
                <w:b/>
              </w:rPr>
              <w:t>I_LEVEL_TN0</w:t>
            </w:r>
            <w:r w:rsidRPr="004D0DAA">
              <w:t xml:space="preserve"> (4 bit field)</w:t>
            </w:r>
            <w:r w:rsidRPr="004D0DAA">
              <w:br/>
            </w:r>
            <w:r w:rsidRPr="004D0DAA">
              <w:rPr>
                <w:b/>
              </w:rPr>
              <w:t>I_LEVEL_TN1</w:t>
            </w:r>
            <w:r w:rsidRPr="004D0DAA">
              <w:t xml:space="preserve"> (4 bit field)</w:t>
            </w:r>
            <w:r w:rsidRPr="004D0DAA">
              <w:br/>
            </w:r>
            <w:r w:rsidRPr="004D0DAA">
              <w:rPr>
                <w:b/>
              </w:rPr>
              <w:t>I_LEVEL_TN2</w:t>
            </w:r>
            <w:r w:rsidRPr="004D0DAA">
              <w:t xml:space="preserve"> (4 bit field)</w:t>
            </w:r>
            <w:r w:rsidRPr="004D0DAA">
              <w:br/>
            </w:r>
            <w:r w:rsidRPr="004D0DAA">
              <w:rPr>
                <w:b/>
              </w:rPr>
              <w:t>I_LEVEL_TN3</w:t>
            </w:r>
            <w:r w:rsidRPr="004D0DAA">
              <w:t xml:space="preserve"> (4 bit field)</w:t>
            </w:r>
            <w:r w:rsidRPr="004D0DAA">
              <w:br/>
            </w:r>
            <w:r w:rsidRPr="004D0DAA">
              <w:rPr>
                <w:b/>
              </w:rPr>
              <w:t>I_LEVEL_TN4</w:t>
            </w:r>
            <w:r w:rsidRPr="004D0DAA">
              <w:t xml:space="preserve"> (4 bit field)</w:t>
            </w:r>
            <w:r w:rsidRPr="004D0DAA">
              <w:br/>
            </w:r>
            <w:r w:rsidRPr="004D0DAA">
              <w:rPr>
                <w:b/>
              </w:rPr>
              <w:t>I_LEVEL_TN5</w:t>
            </w:r>
            <w:r w:rsidRPr="004D0DAA">
              <w:t xml:space="preserve"> (4 bit field)</w:t>
            </w:r>
            <w:r w:rsidRPr="004D0DAA">
              <w:br/>
            </w:r>
            <w:r w:rsidRPr="004D0DAA">
              <w:rPr>
                <w:b/>
              </w:rPr>
              <w:t>I_LEVEL_TN6</w:t>
            </w:r>
            <w:r w:rsidRPr="004D0DAA">
              <w:t xml:space="preserve"> (4 bit field)</w:t>
            </w:r>
            <w:r w:rsidRPr="004D0DAA">
              <w:br/>
            </w:r>
            <w:r w:rsidRPr="004D0DAA">
              <w:rPr>
                <w:b/>
              </w:rPr>
              <w:t>I_LEVEL_TN7</w:t>
            </w:r>
            <w:r w:rsidRPr="004D0DAA">
              <w:t xml:space="preserve"> (4 bit field)</w:t>
            </w:r>
            <w:r w:rsidRPr="004D0DAA">
              <w:br/>
              <w:t>These fields contain the I_LEVEL value measured on timeslots 0 through 7, respectively. The I_LEVEL is defined in 3GPP TS 45.008 and the coding of I_LEVEL is as follows:</w:t>
            </w:r>
          </w:p>
          <w:p w14:paraId="6840E26E" w14:textId="77777777" w:rsidR="00711444" w:rsidRPr="004D0DAA" w:rsidRDefault="00711444" w:rsidP="00AA2A4C">
            <w:pPr>
              <w:tabs>
                <w:tab w:val="left" w:pos="1134"/>
              </w:tabs>
            </w:pPr>
            <w:r w:rsidRPr="004D0DAA">
              <w:t>bit</w:t>
            </w:r>
            <w:r w:rsidRPr="004D0DAA">
              <w:br/>
              <w:t>4 3 2 1</w:t>
            </w:r>
            <w:r w:rsidRPr="004D0DAA">
              <w:br/>
              <w:t>0 0 0 0</w:t>
            </w:r>
            <w:r w:rsidRPr="004D0DAA">
              <w:tab/>
              <w:t>I_LEVEL 0</w:t>
            </w:r>
            <w:r w:rsidRPr="004D0DAA">
              <w:br/>
              <w:t>0 0 0 1</w:t>
            </w:r>
            <w:r w:rsidRPr="004D0DAA">
              <w:tab/>
              <w:t>I_LEVEL 1</w:t>
            </w:r>
            <w:r w:rsidRPr="004D0DAA">
              <w:br/>
              <w:t>. . .</w:t>
            </w:r>
            <w:r w:rsidRPr="004D0DAA">
              <w:br/>
              <w:t>1 1 1 0</w:t>
            </w:r>
            <w:r w:rsidRPr="004D0DAA">
              <w:tab/>
              <w:t>I_LEVEL 14</w:t>
            </w:r>
            <w:r w:rsidRPr="004D0DAA">
              <w:br/>
              <w:t>1 1 1 1</w:t>
            </w:r>
            <w:r w:rsidRPr="004D0DAA">
              <w:tab/>
              <w:t>I_LEVEL 15</w:t>
            </w:r>
          </w:p>
        </w:tc>
      </w:tr>
      <w:tr w:rsidR="00711444" w:rsidRPr="004D0DAA" w14:paraId="01EB35F3" w14:textId="77777777" w:rsidTr="00AA2A4C">
        <w:tblPrEx>
          <w:tblCellMar>
            <w:top w:w="0" w:type="dxa"/>
            <w:bottom w:w="0" w:type="dxa"/>
          </w:tblCellMar>
        </w:tblPrEx>
        <w:trPr>
          <w:cantSplit/>
        </w:trPr>
        <w:tc>
          <w:tcPr>
            <w:tcW w:w="9848" w:type="dxa"/>
          </w:tcPr>
          <w:p w14:paraId="30A9ECB9" w14:textId="77777777" w:rsidR="00711444" w:rsidRPr="004D0DAA" w:rsidRDefault="00711444" w:rsidP="00AA2A4C">
            <w:pPr>
              <w:rPr>
                <w:b/>
              </w:rPr>
            </w:pPr>
            <w:r w:rsidRPr="004D0DAA">
              <w:rPr>
                <w:b/>
              </w:rPr>
              <w:t>RB Id</w:t>
            </w:r>
            <w:r w:rsidRPr="004D0DAA">
              <w:t xml:space="preserve"> (5 bit field)</w:t>
            </w:r>
            <w:r w:rsidRPr="004D0DAA">
              <w:br/>
              <w:t>This field contains the radio bearer identity of the mobile station’s radio bearer for which the downlink data transfer on SFACCH is acknowledged. This field is not included when the PACKET DOWNLINK ACK/NACK messsage is sent on DBPSCH. This field is encoded as a binary number with range 0-31</w:t>
            </w:r>
          </w:p>
        </w:tc>
      </w:tr>
      <w:tr w:rsidR="00711444" w:rsidRPr="004D0DAA" w14:paraId="78C0E7EC" w14:textId="77777777" w:rsidTr="00AA2A4C">
        <w:tblPrEx>
          <w:tblCellMar>
            <w:top w:w="0" w:type="dxa"/>
            <w:bottom w:w="0" w:type="dxa"/>
          </w:tblCellMar>
        </w:tblPrEx>
        <w:trPr>
          <w:cantSplit/>
        </w:trPr>
        <w:tc>
          <w:tcPr>
            <w:tcW w:w="9848" w:type="dxa"/>
          </w:tcPr>
          <w:p w14:paraId="37815C5B" w14:textId="77777777" w:rsidR="00711444" w:rsidRPr="004D0DAA" w:rsidRDefault="00711444" w:rsidP="00AA2A4C">
            <w:pPr>
              <w:rPr>
                <w:bCs/>
              </w:rPr>
            </w:pPr>
            <w:r w:rsidRPr="004D0DAA">
              <w:rPr>
                <w:b/>
              </w:rPr>
              <w:t>Timeslot Number</w:t>
            </w:r>
            <w:r w:rsidRPr="004D0DAA">
              <w:rPr>
                <w:bCs/>
              </w:rPr>
              <w:t xml:space="preserve"> (3 bit field)</w:t>
            </w:r>
            <w:r w:rsidRPr="004D0DAA">
              <w:rPr>
                <w:bCs/>
              </w:rPr>
              <w:br/>
              <w:t xml:space="preserve">It contains the timeslot number of the timeslot on which the corresponding RRBP was received. This field shall be included if and only if </w:t>
            </w:r>
            <w:r w:rsidRPr="004D0DAA">
              <w:t xml:space="preserve">the timeslot number of the PDTCH/SBPSCH on which the PACKET DOWNLINK ACK/NACK message is sent is different from the timeslot number of each of the timeslots assigned to this TBF in the direction of this TBF. </w:t>
            </w:r>
            <w:r w:rsidRPr="004D0DAA">
              <w:rPr>
                <w:bCs/>
              </w:rPr>
              <w:t>This field is encoded as the binary representation of the timeslot number as defined in 3GPP TS 45.002.</w:t>
            </w:r>
          </w:p>
        </w:tc>
      </w:tr>
      <w:tr w:rsidR="00711444" w:rsidRPr="004D0DAA" w14:paraId="11A03AED" w14:textId="77777777" w:rsidTr="00AA2A4C">
        <w:tblPrEx>
          <w:tblCellMar>
            <w:top w:w="0" w:type="dxa"/>
            <w:bottom w:w="0" w:type="dxa"/>
          </w:tblCellMar>
        </w:tblPrEx>
        <w:trPr>
          <w:cantSplit/>
        </w:trPr>
        <w:tc>
          <w:tcPr>
            <w:tcW w:w="9848" w:type="dxa"/>
          </w:tcPr>
          <w:p w14:paraId="1B8E49EA" w14:textId="77777777" w:rsidR="00711444" w:rsidRPr="004D0DAA" w:rsidRDefault="00711444" w:rsidP="00AA2A4C">
            <w:pPr>
              <w:spacing w:after="0"/>
            </w:pPr>
            <w:r w:rsidRPr="004D0DAA">
              <w:rPr>
                <w:b/>
                <w:bCs/>
              </w:rPr>
              <w:t xml:space="preserve">EARLY_TBF_ESTABLISHMENT </w:t>
            </w:r>
            <w:r w:rsidRPr="004D0DAA">
              <w:t>(1 bit field)</w:t>
            </w:r>
          </w:p>
          <w:p w14:paraId="3CB64F2E" w14:textId="77777777" w:rsidR="00711444" w:rsidRPr="004D0DAA" w:rsidRDefault="00711444" w:rsidP="00AA2A4C">
            <w:r w:rsidRPr="004D0DAA">
              <w:t xml:space="preserve">This field indicates whether or not the channel request is meant to request pre-allocatation of an uplink TBF: </w:t>
            </w:r>
          </w:p>
          <w:p w14:paraId="390861E4" w14:textId="77777777" w:rsidR="00711444" w:rsidRPr="004D0DAA" w:rsidRDefault="00711444" w:rsidP="00AA2A4C">
            <w:pPr>
              <w:rPr>
                <w:b/>
              </w:rPr>
            </w:pPr>
            <w:r w:rsidRPr="004D0DAA">
              <w:t>0</w:t>
            </w:r>
            <w:r w:rsidRPr="004D0DAA">
              <w:tab/>
              <w:t xml:space="preserve">The channel request is not meant to pre-allocate an uplink TBF. </w:t>
            </w:r>
            <w:r w:rsidRPr="004D0DAA">
              <w:br/>
              <w:t>1</w:t>
            </w:r>
            <w:r w:rsidRPr="004D0DAA">
              <w:tab/>
              <w:t>The channel request is meant to pre-allocate an uplink TBF.</w:t>
            </w:r>
          </w:p>
        </w:tc>
      </w:tr>
    </w:tbl>
    <w:p w14:paraId="4B015A6F" w14:textId="77777777" w:rsidR="00711444" w:rsidRPr="004D0DAA" w:rsidRDefault="00711444" w:rsidP="00711444"/>
    <w:p w14:paraId="0DF720FB" w14:textId="77777777" w:rsidR="00711444" w:rsidRPr="004D0DAA" w:rsidRDefault="00711444" w:rsidP="00711444">
      <w:pPr>
        <w:pStyle w:val="Heading3"/>
      </w:pPr>
      <w:bookmarkStart w:id="657" w:name="_Toc516669834"/>
      <w:r w:rsidRPr="004D0DAA">
        <w:lastRenderedPageBreak/>
        <w:t>11.2.6a</w:t>
      </w:r>
      <w:r w:rsidRPr="004D0DAA">
        <w:tab/>
        <w:t>EGPRS Packet Downlink Ack/Nack</w:t>
      </w:r>
      <w:bookmarkEnd w:id="657"/>
    </w:p>
    <w:p w14:paraId="5CB8E9B1" w14:textId="77777777" w:rsidR="00711444" w:rsidRPr="004D0DAA" w:rsidRDefault="00711444" w:rsidP="00711444">
      <w:r w:rsidRPr="004D0DAA">
        <w:t>This message is sent on the PACCH from the mobile station to the network to indicate the status of downlink RLC data blocks received and to report the channel quality of the downlink. The mobile station may optionally initiate an uplink TBF or request a temporary suspension of the downlink TBF.</w:t>
      </w:r>
    </w:p>
    <w:p w14:paraId="3CEA0118" w14:textId="77777777" w:rsidR="00711444" w:rsidRPr="004D0DAA" w:rsidRDefault="00711444" w:rsidP="00711444">
      <w:pPr>
        <w:pStyle w:val="EX"/>
      </w:pPr>
      <w:r w:rsidRPr="004D0DAA">
        <w:t>Message type:</w:t>
      </w:r>
      <w:r w:rsidRPr="004D0DAA">
        <w:tab/>
        <w:t>EGPRS Packet Downlink Ack/Nack</w:t>
      </w:r>
    </w:p>
    <w:p w14:paraId="7838CEBB" w14:textId="77777777" w:rsidR="00711444" w:rsidRPr="004D0DAA" w:rsidRDefault="00711444" w:rsidP="00711444">
      <w:pPr>
        <w:pStyle w:val="EX"/>
      </w:pPr>
      <w:r w:rsidRPr="004D0DAA">
        <w:t>Direction:</w:t>
      </w:r>
      <w:r w:rsidRPr="004D0DAA">
        <w:tab/>
        <w:t>mobile station to network</w:t>
      </w:r>
    </w:p>
    <w:p w14:paraId="365FD40B" w14:textId="77777777" w:rsidR="00711444" w:rsidRPr="004D0DAA" w:rsidRDefault="00711444" w:rsidP="00711444">
      <w:pPr>
        <w:pStyle w:val="TH"/>
      </w:pPr>
      <w:r w:rsidRPr="004D0DAA">
        <w:t xml:space="preserve">Table 11.2.6a.1 : EGPRS </w:t>
      </w:r>
      <w:r w:rsidRPr="004D0DAA">
        <w:rPr>
          <w:caps/>
        </w:rPr>
        <w:t>Packet Downlink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A210E70" w14:textId="77777777" w:rsidTr="00AA2A4C">
        <w:tblPrEx>
          <w:tblCellMar>
            <w:top w:w="0" w:type="dxa"/>
            <w:bottom w:w="0" w:type="dxa"/>
          </w:tblCellMar>
        </w:tblPrEx>
        <w:trPr>
          <w:cantSplit/>
        </w:trPr>
        <w:tc>
          <w:tcPr>
            <w:tcW w:w="9848" w:type="dxa"/>
          </w:tcPr>
          <w:p w14:paraId="15568A6F" w14:textId="77777777" w:rsidR="00711444" w:rsidRPr="004D0DAA" w:rsidRDefault="00711444" w:rsidP="00AA2A4C">
            <w:pPr>
              <w:pStyle w:val="TAL"/>
              <w:rPr>
                <w:lang w:eastAsia="en-US"/>
              </w:rPr>
            </w:pPr>
            <w:r w:rsidRPr="004D0DAA">
              <w:rPr>
                <w:lang w:eastAsia="en-US"/>
              </w:rPr>
              <w:t>&lt; EGPRS Packet Downlink Ack/Nack message content &gt; ::=</w:t>
            </w:r>
          </w:p>
          <w:p w14:paraId="34096F0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DOWNLINK_TFI </w:t>
            </w:r>
            <w:r w:rsidRPr="004D0DAA">
              <w:rPr>
                <w:lang w:eastAsia="en-US"/>
              </w:rPr>
              <w:t>: bit (5) &gt;</w:t>
            </w:r>
          </w:p>
          <w:p w14:paraId="68F5744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 OUT OF MEMORY</w:t>
            </w:r>
            <w:r w:rsidRPr="004D0DAA">
              <w:rPr>
                <w:lang w:eastAsia="en-US"/>
              </w:rPr>
              <w:t xml:space="preserve"> : bit(1)&gt;</w:t>
            </w:r>
          </w:p>
          <w:p w14:paraId="2B7A90A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&lt;</w:t>
            </w:r>
            <w:r w:rsidRPr="004D0DAA">
              <w:rPr>
                <w:b/>
                <w:lang w:eastAsia="en-US"/>
              </w:rPr>
              <w:t xml:space="preserve"> EGPRS Channel Quality Report</w:t>
            </w:r>
            <w:r w:rsidRPr="004D0DAA">
              <w:rPr>
                <w:lang w:eastAsia="en-US"/>
              </w:rPr>
              <w:t xml:space="preserve"> : &lt; EGPRS Channel Quality Report IE &gt; &gt;}</w:t>
            </w:r>
          </w:p>
          <w:p w14:paraId="180B12E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Channel Request Description</w:t>
            </w:r>
            <w:r w:rsidRPr="004D0DAA">
              <w:rPr>
                <w:lang w:eastAsia="en-US"/>
              </w:rPr>
              <w:t xml:space="preserve"> : &gt;Channel Request Description IE &gt; &gt;}</w:t>
            </w:r>
          </w:p>
          <w:p w14:paraId="7BE029E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PFI</w:t>
            </w:r>
            <w:r w:rsidRPr="004D0DAA">
              <w:rPr>
                <w:lang w:eastAsia="en-US"/>
              </w:rPr>
              <w:t xml:space="preserve"> : bit(7) &gt; }</w:t>
            </w:r>
          </w:p>
          <w:p w14:paraId="61B3D5BC"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t>&lt; EPD A/N Extension length index : bit (6) &gt;</w:t>
            </w:r>
          </w:p>
          <w:p w14:paraId="4B1B794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bit (expanded_EPDAN_extension_length(val(EPD A/N Extension length index)))</w:t>
            </w:r>
          </w:p>
          <w:p w14:paraId="78081C1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&amp; { &lt; EPD A/N Extension Info &gt; ! { bit** = &lt;no string&gt; }} &gt; }</w:t>
            </w:r>
          </w:p>
          <w:p w14:paraId="6A2A77E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EGPRS</w:t>
            </w:r>
            <w:r w:rsidRPr="004D0DAA">
              <w:rPr>
                <w:lang w:eastAsia="en-US"/>
              </w:rPr>
              <w:t xml:space="preserve"> </w:t>
            </w:r>
            <w:r w:rsidRPr="004D0DAA">
              <w:rPr>
                <w:b/>
                <w:lang w:eastAsia="en-US"/>
              </w:rPr>
              <w:t>Ack/Nack Description</w:t>
            </w:r>
            <w:r w:rsidRPr="004D0DAA">
              <w:rPr>
                <w:lang w:eastAsia="en-US"/>
              </w:rPr>
              <w:t xml:space="preserve"> : &lt; EGPRS Ack/Nack Description IE &gt;&gt;</w:t>
            </w:r>
          </w:p>
          <w:p w14:paraId="7A46686D" w14:textId="77777777" w:rsidR="00711444" w:rsidRPr="004D0DAA" w:rsidRDefault="00711444" w:rsidP="00AA2A4C">
            <w:pPr>
              <w:pStyle w:val="TAL"/>
              <w:rPr>
                <w:lang w:eastAsia="en-US"/>
              </w:rPr>
            </w:pPr>
            <w:r w:rsidRPr="004D0DAA">
              <w:rPr>
                <w:lang w:eastAsia="en-US"/>
              </w:rPr>
              <w:tab/>
            </w:r>
            <w:r w:rsidRPr="004D0DAA">
              <w:rPr>
                <w:lang w:eastAsia="en-US"/>
              </w:rPr>
              <w:tab/>
              <w:t>&lt;padding bits &gt; } ;</w:t>
            </w:r>
          </w:p>
        </w:tc>
      </w:tr>
      <w:tr w:rsidR="00711444" w:rsidRPr="004D0DAA" w14:paraId="4424B915" w14:textId="77777777" w:rsidTr="00AA2A4C">
        <w:tblPrEx>
          <w:tblCellMar>
            <w:top w:w="0" w:type="dxa"/>
            <w:bottom w:w="0" w:type="dxa"/>
          </w:tblCellMar>
        </w:tblPrEx>
        <w:trPr>
          <w:cantSplit/>
        </w:trPr>
        <w:tc>
          <w:tcPr>
            <w:tcW w:w="9848" w:type="dxa"/>
          </w:tcPr>
          <w:p w14:paraId="6133CDCE" w14:textId="77777777" w:rsidR="00711444" w:rsidRPr="004D0DAA" w:rsidRDefault="00711444" w:rsidP="00AA2A4C">
            <w:pPr>
              <w:pStyle w:val="TAL"/>
              <w:rPr>
                <w:lang w:val="fr-FR" w:eastAsia="en-US"/>
              </w:rPr>
            </w:pPr>
            <w:r w:rsidRPr="004D0DAA">
              <w:rPr>
                <w:lang w:val="fr-FR" w:eastAsia="en-US"/>
              </w:rPr>
              <w:t>&lt; EPD A/N Extension Info &gt; ::=</w:t>
            </w:r>
          </w:p>
          <w:p w14:paraId="1B6B4010" w14:textId="77777777" w:rsidR="00711444" w:rsidRPr="004D0DAA" w:rsidRDefault="00711444" w:rsidP="00AA2A4C">
            <w:pPr>
              <w:pStyle w:val="TAL"/>
              <w:rPr>
                <w:lang w:val="fr-FR" w:eastAsia="en-US"/>
              </w:rPr>
            </w:pPr>
            <w:r w:rsidRPr="004D0DAA">
              <w:rPr>
                <w:lang w:val="fr-FR" w:eastAsia="en-US"/>
              </w:rPr>
              <w:tab/>
              <w:t>{ {</w:t>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iCs/>
                <w:lang w:val="fr-FR" w:eastAsia="en-US"/>
              </w:rPr>
              <w:t xml:space="preserve">-- </w:t>
            </w:r>
            <w:r w:rsidRPr="004D0DAA">
              <w:rPr>
                <w:i/>
                <w:iCs/>
                <w:lang w:val="fr-FR" w:eastAsia="en-US"/>
              </w:rPr>
              <w:t>Rel-5 extension</w:t>
            </w:r>
          </w:p>
          <w:p w14:paraId="7C8572B0"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xml:space="preserve">{ 0 | 1 &lt; </w:t>
            </w:r>
            <w:r w:rsidRPr="004D0DAA">
              <w:rPr>
                <w:b/>
                <w:bCs/>
                <w:lang w:val="fr-FR" w:eastAsia="en-US"/>
              </w:rPr>
              <w:t>Iu mode Channel Request Description</w:t>
            </w:r>
            <w:r w:rsidRPr="004D0DAA">
              <w:rPr>
                <w:lang w:val="fr-FR" w:eastAsia="en-US"/>
              </w:rPr>
              <w:t xml:space="preserve"> : &lt; Iu mode Channel Request Description IE &gt; &gt; }</w:t>
            </w:r>
          </w:p>
          <w:p w14:paraId="268DB1B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xml:space="preserve">{ 0 | 1 &lt; </w:t>
            </w:r>
            <w:r w:rsidRPr="004D0DAA">
              <w:rPr>
                <w:b/>
                <w:bCs/>
                <w:lang w:eastAsia="en-US"/>
              </w:rPr>
              <w:t>RB Id</w:t>
            </w:r>
            <w:r w:rsidRPr="004D0DAA">
              <w:rPr>
                <w:lang w:eastAsia="en-US"/>
              </w:rPr>
              <w:t xml:space="preserve"> : bit (5) &gt; }</w:t>
            </w:r>
          </w:p>
          <w:p w14:paraId="24E782FD"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Timeslot Number</w:t>
            </w:r>
            <w:r w:rsidRPr="004D0DAA">
              <w:rPr>
                <w:lang w:eastAsia="en-US"/>
              </w:rPr>
              <w:t xml:space="preserve"> : bit (3) &gt; } }</w:t>
            </w:r>
          </w:p>
          <w:p w14:paraId="6098DEA7" w14:textId="77777777" w:rsidR="00711444" w:rsidRPr="004D0DAA" w:rsidRDefault="00711444" w:rsidP="00AA2A4C">
            <w:pPr>
              <w:pStyle w:val="TAL"/>
              <w:rPr>
                <w:lang w:eastAsia="en-US"/>
              </w:rPr>
            </w:pPr>
            <w:r w:rsidRPr="004D0DAA">
              <w:rPr>
                <w:lang w:eastAsia="en-US"/>
              </w:rPr>
              <w:tab/>
              <w:t xml:space="preserve"> {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Rel-6 extension</w:t>
            </w:r>
          </w:p>
          <w:p w14:paraId="63A2961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Extended</w:t>
            </w:r>
            <w:r w:rsidRPr="004D0DAA">
              <w:rPr>
                <w:lang w:eastAsia="en-US"/>
              </w:rPr>
              <w:t xml:space="preserve"> </w:t>
            </w:r>
            <w:r w:rsidRPr="004D0DAA">
              <w:rPr>
                <w:b/>
                <w:lang w:eastAsia="en-US"/>
              </w:rPr>
              <w:t xml:space="preserve">Channel Request Description </w:t>
            </w:r>
            <w:r w:rsidRPr="004D0DAA">
              <w:rPr>
                <w:lang w:eastAsia="en-US"/>
              </w:rPr>
              <w:t xml:space="preserve">: </w:t>
            </w:r>
            <w:r w:rsidRPr="004D0DAA">
              <w:rPr>
                <w:lang w:eastAsia="en-US"/>
              </w:rPr>
              <w:tab/>
              <w:t xml:space="preserve">&lt; </w:t>
            </w:r>
            <w:r w:rsidRPr="004D0DAA">
              <w:rPr>
                <w:bCs/>
                <w:lang w:eastAsia="en-US"/>
              </w:rPr>
              <w:t>Extended</w:t>
            </w:r>
            <w:r w:rsidRPr="004D0DAA">
              <w:rPr>
                <w:lang w:eastAsia="en-US"/>
              </w:rPr>
              <w:t xml:space="preserve"> Channel Request Description IE &gt; &gt; } }</w:t>
            </w:r>
          </w:p>
          <w:p w14:paraId="6F64DFFF" w14:textId="77777777" w:rsidR="00711444" w:rsidRPr="004D0DAA" w:rsidRDefault="00711444" w:rsidP="00AA2A4C">
            <w:pPr>
              <w:pStyle w:val="TAL"/>
              <w:rPr>
                <w:lang w:eastAsia="en-US"/>
              </w:rPr>
            </w:pPr>
            <w:r w:rsidRPr="004D0DAA">
              <w:rPr>
                <w:lang w:eastAsia="en-US"/>
              </w:rPr>
              <w:tab/>
              <w:t xml:space="preserve"> {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Rel-7 extension</w:t>
            </w:r>
          </w:p>
          <w:p w14:paraId="0BF22C35"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 xml:space="preserve">EARLY_TBF_ESTABLISHMENT </w:t>
            </w:r>
            <w:r w:rsidRPr="004D0DAA">
              <w:rPr>
                <w:lang w:eastAsia="en-US"/>
              </w:rPr>
              <w:t xml:space="preserve">: bit (1) &gt; </w:t>
            </w:r>
          </w:p>
          <w:p w14:paraId="64969663"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Secondary Dual Carrier Channel Report</w:t>
            </w:r>
            <w:r w:rsidRPr="004D0DAA">
              <w:rPr>
                <w:lang w:eastAsia="en-US"/>
              </w:rPr>
              <w:t xml:space="preserve"> : &lt; EGPRS Channel Quality Report IE &gt; } }</w:t>
            </w:r>
          </w:p>
          <w:p w14:paraId="00144975" w14:textId="77777777" w:rsidR="00711444" w:rsidRPr="004D0DAA" w:rsidRDefault="00711444" w:rsidP="00AA2A4C">
            <w:pPr>
              <w:pStyle w:val="TAL"/>
              <w:rPr>
                <w:lang w:eastAsia="en-US"/>
              </w:rPr>
            </w:pPr>
            <w:r w:rsidRPr="004D0DAA">
              <w:rPr>
                <w:lang w:eastAsia="en-US"/>
              </w:rPr>
              <w:tab/>
              <w:t xml:space="preserve">&lt; spare bit &gt;** } // ; </w:t>
            </w:r>
            <w:r w:rsidRPr="004D0DAA">
              <w:rPr>
                <w:lang w:eastAsia="en-US"/>
              </w:rPr>
              <w:tab/>
            </w:r>
            <w:r w:rsidRPr="004D0DAA">
              <w:rPr>
                <w:lang w:eastAsia="en-US"/>
              </w:rPr>
              <w:tab/>
            </w:r>
            <w:r w:rsidRPr="004D0DAA">
              <w:rPr>
                <w:iCs/>
                <w:lang w:eastAsia="en-US"/>
              </w:rPr>
              <w:t xml:space="preserve">-- </w:t>
            </w:r>
            <w:r w:rsidRPr="004D0DAA">
              <w:rPr>
                <w:i/>
                <w:iCs/>
                <w:lang w:eastAsia="en-US"/>
              </w:rPr>
              <w:t>Truncation may occur between released versions of the protocol</w:t>
            </w:r>
          </w:p>
          <w:p w14:paraId="2552B9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The receiver shall assume the value zero of any truncated bits</w:t>
            </w:r>
            <w:r w:rsidRPr="004D0DAA">
              <w:rPr>
                <w:lang w:eastAsia="en-US"/>
              </w:rPr>
              <w:t xml:space="preserve"> </w:t>
            </w:r>
          </w:p>
          <w:p w14:paraId="71AE3B45" w14:textId="77777777" w:rsidR="00711444" w:rsidRPr="004D0DAA" w:rsidRDefault="00711444" w:rsidP="00AA2A4C">
            <w:pPr>
              <w:pStyle w:val="TAL"/>
              <w:rPr>
                <w:lang w:eastAsia="en-US"/>
              </w:rPr>
            </w:pPr>
          </w:p>
        </w:tc>
      </w:tr>
    </w:tbl>
    <w:p w14:paraId="4FDD2D93" w14:textId="77777777" w:rsidR="00711444" w:rsidRPr="004D0DAA" w:rsidRDefault="00711444" w:rsidP="00711444"/>
    <w:p w14:paraId="732A3D29" w14:textId="77777777" w:rsidR="00711444" w:rsidRPr="004D0DAA" w:rsidRDefault="00711444" w:rsidP="00711444">
      <w:pPr>
        <w:pStyle w:val="TH"/>
      </w:pPr>
      <w:r w:rsidRPr="004D0DAA">
        <w:lastRenderedPageBreak/>
        <w:t xml:space="preserve">Table 11.2.6a.1a : expanded_EPDAN_extension_length function </w:t>
      </w: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D428E27" w14:textId="77777777" w:rsidTr="00AA2A4C">
        <w:tblPrEx>
          <w:tblCellMar>
            <w:top w:w="0" w:type="dxa"/>
            <w:bottom w:w="0" w:type="dxa"/>
          </w:tblCellMar>
        </w:tblPrEx>
        <w:trPr>
          <w:cantSplit/>
        </w:trPr>
        <w:tc>
          <w:tcPr>
            <w:tcW w:w="9848" w:type="dxa"/>
          </w:tcPr>
          <w:p w14:paraId="36794927" w14:textId="77777777" w:rsidR="00711444" w:rsidRPr="004D0DAA" w:rsidRDefault="00711444" w:rsidP="00AA2A4C">
            <w:pPr>
              <w:pStyle w:val="PL"/>
            </w:pPr>
            <w:r w:rsidRPr="004D0DAA">
              <w:t>/*</w:t>
            </w:r>
          </w:p>
          <w:p w14:paraId="65F82F5D" w14:textId="77777777" w:rsidR="00711444" w:rsidRPr="004D0DAA" w:rsidRDefault="00711444" w:rsidP="00AA2A4C">
            <w:pPr>
              <w:pStyle w:val="PL"/>
            </w:pPr>
            <w:r w:rsidRPr="004D0DAA">
              <w:t>*</w:t>
            </w:r>
            <w:r w:rsidRPr="004D0DAA">
              <w:tab/>
              <w:t>The expanded_EPDAN_extension_length function returns the actual length of</w:t>
            </w:r>
          </w:p>
          <w:p w14:paraId="7D3DE696" w14:textId="77777777" w:rsidR="00711444" w:rsidRPr="004D0DAA" w:rsidRDefault="00711444" w:rsidP="00AA2A4C">
            <w:pPr>
              <w:pStyle w:val="PL"/>
            </w:pPr>
            <w:r w:rsidRPr="004D0DAA">
              <w:t>*</w:t>
            </w:r>
            <w:r w:rsidRPr="004D0DAA">
              <w:tab/>
              <w:t>the EPD A/N Extension Info IE computed as follows:</w:t>
            </w:r>
          </w:p>
          <w:p w14:paraId="4AC40699" w14:textId="77777777" w:rsidR="00711444" w:rsidRPr="004D0DAA" w:rsidRDefault="00711444" w:rsidP="00AA2A4C">
            <w:pPr>
              <w:pStyle w:val="PL"/>
            </w:pPr>
            <w:r w:rsidRPr="004D0DAA">
              <w:t>*</w:t>
            </w:r>
            <w:r w:rsidRPr="004D0DAA">
              <w:tab/>
              <w:t>-</w:t>
            </w:r>
            <w:r w:rsidRPr="004D0DAA">
              <w:tab/>
              <w:t>if index_value &gt;= 6 or the mobile station is NOT assigned a dual carrier</w:t>
            </w:r>
          </w:p>
          <w:p w14:paraId="5D3DEA08" w14:textId="77777777" w:rsidR="00711444" w:rsidRPr="004D0DAA" w:rsidRDefault="00711444" w:rsidP="00AA2A4C">
            <w:pPr>
              <w:pStyle w:val="PL"/>
            </w:pPr>
            <w:r w:rsidRPr="004D0DAA">
              <w:t>*</w:t>
            </w:r>
            <w:r w:rsidRPr="004D0DAA">
              <w:tab/>
            </w:r>
            <w:r w:rsidRPr="004D0DAA">
              <w:tab/>
              <w:t>configuration, the length is index_value +1 (for sizes ranging from 1 to 64 bits)</w:t>
            </w:r>
          </w:p>
          <w:p w14:paraId="2B481591" w14:textId="77777777" w:rsidR="00711444" w:rsidRPr="004D0DAA" w:rsidRDefault="00711444" w:rsidP="00AA2A4C">
            <w:pPr>
              <w:pStyle w:val="PL"/>
            </w:pPr>
            <w:r w:rsidRPr="004D0DAA">
              <w:t>*</w:t>
            </w:r>
            <w:r w:rsidRPr="004D0DAA">
              <w:tab/>
              <w:t>-</w:t>
            </w:r>
            <w:r w:rsidRPr="004D0DAA">
              <w:tab/>
              <w:t>if index_value &lt; 6 and the mobile station is assigned a dual carrier configuration,</w:t>
            </w:r>
          </w:p>
          <w:p w14:paraId="07701B4B" w14:textId="77777777" w:rsidR="00711444" w:rsidRPr="004D0DAA" w:rsidRDefault="00711444" w:rsidP="00AA2A4C">
            <w:pPr>
              <w:pStyle w:val="PL"/>
            </w:pPr>
            <w:r w:rsidRPr="004D0DAA">
              <w:t>*</w:t>
            </w:r>
            <w:r w:rsidRPr="004D0DAA">
              <w:tab/>
            </w:r>
            <w:r w:rsidRPr="004D0DAA">
              <w:tab/>
              <w:t>the length is index_value +65 (for "expanded" sizes ranging from 65 to 70 bits)</w:t>
            </w:r>
          </w:p>
          <w:p w14:paraId="72D3C7E3" w14:textId="77777777" w:rsidR="00711444" w:rsidRPr="004D0DAA" w:rsidRDefault="00711444" w:rsidP="00AA2A4C">
            <w:pPr>
              <w:pStyle w:val="PL"/>
            </w:pPr>
            <w:r w:rsidRPr="004D0DAA">
              <w:t>*</w:t>
            </w:r>
          </w:p>
          <w:p w14:paraId="41A83FC8" w14:textId="77777777" w:rsidR="00711444" w:rsidRPr="004D0DAA" w:rsidRDefault="00711444" w:rsidP="00AA2A4C">
            <w:pPr>
              <w:pStyle w:val="PL"/>
            </w:pPr>
            <w:r w:rsidRPr="004D0DAA">
              <w:t>*</w:t>
            </w:r>
            <w:r w:rsidRPr="004D0DAA">
              <w:tab/>
              <w:t>The description of the function in ANSI C language is provided herein for illustration.</w:t>
            </w:r>
          </w:p>
          <w:p w14:paraId="6EA3C048" w14:textId="77777777" w:rsidR="00711444" w:rsidRPr="004D0DAA" w:rsidRDefault="00711444" w:rsidP="00AA2A4C">
            <w:pPr>
              <w:pStyle w:val="PL"/>
            </w:pPr>
            <w:r w:rsidRPr="004D0DAA">
              <w:t>*</w:t>
            </w:r>
          </w:p>
          <w:p w14:paraId="1B148830" w14:textId="77777777" w:rsidR="00711444" w:rsidRPr="004D0DAA" w:rsidRDefault="00711444" w:rsidP="00AA2A4C">
            <w:pPr>
              <w:pStyle w:val="PL"/>
            </w:pPr>
            <w:r w:rsidRPr="004D0DAA">
              <w:t>*</w:t>
            </w:r>
            <w:r w:rsidRPr="004D0DAA">
              <w:tab/>
              <w:t>Parameter:</w:t>
            </w:r>
          </w:p>
          <w:p w14:paraId="7DB960FE" w14:textId="77777777" w:rsidR="00711444" w:rsidRPr="004D0DAA" w:rsidRDefault="00711444" w:rsidP="00AA2A4C">
            <w:pPr>
              <w:pStyle w:val="PL"/>
            </w:pPr>
            <w:r w:rsidRPr="004D0DAA">
              <w:t>*</w:t>
            </w:r>
            <w:r w:rsidRPr="004D0DAA">
              <w:tab/>
            </w:r>
            <w:r w:rsidRPr="004D0DAA">
              <w:tab/>
              <w:t>index:</w:t>
            </w:r>
            <w:r w:rsidRPr="004D0DAA">
              <w:tab/>
            </w:r>
            <w:r w:rsidRPr="004D0DAA">
              <w:tab/>
              <w:t>index ranging from 0 to 63 and representative of the actual IE size</w:t>
            </w:r>
          </w:p>
          <w:p w14:paraId="4BCADC05" w14:textId="77777777" w:rsidR="00711444" w:rsidRPr="004D0DAA" w:rsidRDefault="00711444" w:rsidP="00AA2A4C">
            <w:pPr>
              <w:pStyle w:val="PL"/>
            </w:pPr>
            <w:r w:rsidRPr="004D0DAA">
              <w:t>*</w:t>
            </w:r>
          </w:p>
          <w:p w14:paraId="40678D73" w14:textId="77777777" w:rsidR="00711444" w:rsidRPr="004D0DAA" w:rsidRDefault="00711444" w:rsidP="00AA2A4C">
            <w:pPr>
              <w:pStyle w:val="PL"/>
            </w:pPr>
            <w:r w:rsidRPr="004D0DAA">
              <w:t>*</w:t>
            </w:r>
            <w:r w:rsidRPr="004D0DAA">
              <w:tab/>
              <w:t>Returned value:</w:t>
            </w:r>
            <w:r w:rsidRPr="004D0DAA">
              <w:tab/>
              <w:t>actual (expanded) size of the IE</w:t>
            </w:r>
          </w:p>
          <w:p w14:paraId="5FAA4240" w14:textId="77777777" w:rsidR="00711444" w:rsidRPr="004D0DAA" w:rsidRDefault="00711444" w:rsidP="00AA2A4C">
            <w:pPr>
              <w:pStyle w:val="PL"/>
            </w:pPr>
            <w:r w:rsidRPr="004D0DAA">
              <w:t>*</w:t>
            </w:r>
          </w:p>
          <w:p w14:paraId="21BC8A69" w14:textId="77777777" w:rsidR="00711444" w:rsidRPr="004D0DAA" w:rsidRDefault="00711444" w:rsidP="00AA2A4C">
            <w:pPr>
              <w:pStyle w:val="PL"/>
            </w:pPr>
            <w:r w:rsidRPr="004D0DAA">
              <w:t>*/</w:t>
            </w:r>
          </w:p>
          <w:p w14:paraId="5916ACF8" w14:textId="77777777" w:rsidR="00711444" w:rsidRPr="004D0DAA" w:rsidRDefault="00711444" w:rsidP="00AA2A4C">
            <w:pPr>
              <w:pStyle w:val="PL"/>
            </w:pPr>
          </w:p>
          <w:p w14:paraId="55F6833B" w14:textId="77777777" w:rsidR="00711444" w:rsidRPr="004D0DAA" w:rsidRDefault="00711444" w:rsidP="00AA2A4C">
            <w:pPr>
              <w:pStyle w:val="PL"/>
            </w:pPr>
            <w:r w:rsidRPr="004D0DAA">
              <w:t>unsigned char expanded_EPDAN_extension_length (unsigned char index)</w:t>
            </w:r>
          </w:p>
          <w:p w14:paraId="6D153FCE" w14:textId="77777777" w:rsidR="00711444" w:rsidRPr="004D0DAA" w:rsidRDefault="00711444" w:rsidP="00AA2A4C">
            <w:pPr>
              <w:pStyle w:val="PL"/>
            </w:pPr>
            <w:r w:rsidRPr="004D0DAA">
              <w:t>{</w:t>
            </w:r>
          </w:p>
          <w:p w14:paraId="633DA5B7" w14:textId="77777777" w:rsidR="00711444" w:rsidRPr="004D0DAA" w:rsidRDefault="00711444" w:rsidP="00AA2A4C">
            <w:pPr>
              <w:pStyle w:val="PL"/>
            </w:pPr>
          </w:p>
          <w:p w14:paraId="4F0B3C44" w14:textId="77777777" w:rsidR="00711444" w:rsidRPr="004D0DAA" w:rsidRDefault="00711444" w:rsidP="00AA2A4C">
            <w:pPr>
              <w:pStyle w:val="PL"/>
            </w:pPr>
            <w:r w:rsidRPr="004D0DAA">
              <w:t>/*</w:t>
            </w:r>
            <w:r w:rsidRPr="004D0DAA">
              <w:tab/>
              <w:t>Indicates whether the mobile station is assigned a DLDC configuration (1) or not (0) */</w:t>
            </w:r>
          </w:p>
          <w:p w14:paraId="7D13CDEC" w14:textId="77777777" w:rsidR="00711444" w:rsidRPr="004D0DAA" w:rsidRDefault="00711444" w:rsidP="00AA2A4C">
            <w:pPr>
              <w:pStyle w:val="PL"/>
            </w:pPr>
            <w:r w:rsidRPr="004D0DAA">
              <w:tab/>
              <w:t>extern unsigned char DLDC_configuration;</w:t>
            </w:r>
          </w:p>
          <w:p w14:paraId="7BCFD309" w14:textId="77777777" w:rsidR="00711444" w:rsidRPr="004D0DAA" w:rsidRDefault="00711444" w:rsidP="00AA2A4C">
            <w:pPr>
              <w:pStyle w:val="PL"/>
            </w:pPr>
          </w:p>
          <w:p w14:paraId="6EE00DA8" w14:textId="77777777" w:rsidR="00711444" w:rsidRPr="004D0DAA" w:rsidRDefault="00711444" w:rsidP="00AA2A4C">
            <w:pPr>
              <w:pStyle w:val="PL"/>
            </w:pPr>
            <w:r w:rsidRPr="004D0DAA">
              <w:tab/>
              <w:t>unsigned char L;</w:t>
            </w:r>
          </w:p>
          <w:p w14:paraId="2478DCF2" w14:textId="77777777" w:rsidR="00711444" w:rsidRPr="004D0DAA" w:rsidRDefault="00711444" w:rsidP="00AA2A4C">
            <w:pPr>
              <w:pStyle w:val="PL"/>
            </w:pPr>
          </w:p>
          <w:p w14:paraId="4BC0ED94" w14:textId="77777777" w:rsidR="00711444" w:rsidRPr="004D0DAA" w:rsidRDefault="00711444" w:rsidP="00AA2A4C">
            <w:pPr>
              <w:pStyle w:val="PL"/>
            </w:pPr>
            <w:r w:rsidRPr="004D0DAA">
              <w:tab/>
              <w:t>if ((index &gt;= 6) OR (DLDC_configuration == 0))</w:t>
            </w:r>
          </w:p>
          <w:p w14:paraId="43673369" w14:textId="77777777" w:rsidR="00711444" w:rsidRPr="004D0DAA" w:rsidRDefault="00711444" w:rsidP="00AA2A4C">
            <w:pPr>
              <w:pStyle w:val="PL"/>
            </w:pPr>
            <w:r w:rsidRPr="004D0DAA">
              <w:tab/>
            </w:r>
            <w:r w:rsidRPr="004D0DAA">
              <w:tab/>
              <w:t>L = index + 1;</w:t>
            </w:r>
          </w:p>
          <w:p w14:paraId="692C2B84" w14:textId="77777777" w:rsidR="00711444" w:rsidRPr="004D0DAA" w:rsidRDefault="00711444" w:rsidP="00AA2A4C">
            <w:pPr>
              <w:pStyle w:val="PL"/>
            </w:pPr>
            <w:r w:rsidRPr="004D0DAA">
              <w:tab/>
              <w:t>else</w:t>
            </w:r>
          </w:p>
          <w:p w14:paraId="5E8E6821" w14:textId="77777777" w:rsidR="00711444" w:rsidRPr="004D0DAA" w:rsidRDefault="00711444" w:rsidP="00AA2A4C">
            <w:pPr>
              <w:pStyle w:val="PL"/>
            </w:pPr>
            <w:r w:rsidRPr="004D0DAA">
              <w:tab/>
            </w:r>
            <w:r w:rsidRPr="004D0DAA">
              <w:tab/>
              <w:t>L = index + 65;</w:t>
            </w:r>
          </w:p>
          <w:p w14:paraId="183D9986" w14:textId="77777777" w:rsidR="00711444" w:rsidRPr="004D0DAA" w:rsidRDefault="00711444" w:rsidP="00AA2A4C">
            <w:pPr>
              <w:pStyle w:val="PL"/>
            </w:pPr>
          </w:p>
          <w:p w14:paraId="0E3773DD" w14:textId="77777777" w:rsidR="00711444" w:rsidRPr="004D0DAA" w:rsidRDefault="00711444" w:rsidP="00AA2A4C">
            <w:pPr>
              <w:pStyle w:val="PL"/>
            </w:pPr>
            <w:r w:rsidRPr="004D0DAA">
              <w:tab/>
              <w:t>return (L);</w:t>
            </w:r>
          </w:p>
          <w:p w14:paraId="00649206" w14:textId="77777777" w:rsidR="00711444" w:rsidRPr="004D0DAA" w:rsidRDefault="00711444" w:rsidP="00AA2A4C">
            <w:pPr>
              <w:pStyle w:val="PL"/>
            </w:pPr>
            <w:r w:rsidRPr="004D0DAA">
              <w:t>}</w:t>
            </w:r>
          </w:p>
        </w:tc>
      </w:tr>
    </w:tbl>
    <w:p w14:paraId="6D543AD2" w14:textId="77777777" w:rsidR="00711444" w:rsidRPr="004D0DAA" w:rsidRDefault="00711444" w:rsidP="00711444"/>
    <w:p w14:paraId="53616B8C" w14:textId="77777777" w:rsidR="00711444" w:rsidRPr="004D0DAA" w:rsidRDefault="00711444" w:rsidP="00711444">
      <w:pPr>
        <w:pStyle w:val="TH"/>
      </w:pPr>
      <w:r w:rsidRPr="004D0DAA">
        <w:t xml:space="preserve">Table 11.2.6a.2: EGPRS </w:t>
      </w:r>
      <w:r w:rsidRPr="004D0DAA">
        <w:rPr>
          <w:caps/>
        </w:rPr>
        <w:t>Packet Downlink Ack/Nack</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3183AB4" w14:textId="77777777" w:rsidTr="00AA2A4C">
        <w:tblPrEx>
          <w:tblCellMar>
            <w:top w:w="0" w:type="dxa"/>
            <w:bottom w:w="0" w:type="dxa"/>
          </w:tblCellMar>
        </w:tblPrEx>
        <w:trPr>
          <w:cantSplit/>
          <w:trHeight w:val="23"/>
        </w:trPr>
        <w:tc>
          <w:tcPr>
            <w:tcW w:w="9848" w:type="dxa"/>
          </w:tcPr>
          <w:p w14:paraId="5B67AB01"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 On DBPSCH, this field equals the radio bearer identity of the radio bearer to which this message applies.</w:t>
            </w:r>
          </w:p>
        </w:tc>
      </w:tr>
      <w:tr w:rsidR="00711444" w:rsidRPr="004D0DAA" w14:paraId="258C3E94" w14:textId="77777777" w:rsidTr="00AA2A4C">
        <w:tblPrEx>
          <w:tblCellMar>
            <w:top w:w="0" w:type="dxa"/>
            <w:bottom w:w="0" w:type="dxa"/>
          </w:tblCellMar>
        </w:tblPrEx>
        <w:trPr>
          <w:cantSplit/>
          <w:trHeight w:val="23"/>
        </w:trPr>
        <w:tc>
          <w:tcPr>
            <w:tcW w:w="9848" w:type="dxa"/>
          </w:tcPr>
          <w:p w14:paraId="4390D01A" w14:textId="77777777" w:rsidR="00711444" w:rsidRPr="004D0DAA" w:rsidRDefault="00711444" w:rsidP="00AA2A4C">
            <w:pPr>
              <w:rPr>
                <w:b/>
              </w:rPr>
            </w:pPr>
            <w:r w:rsidRPr="004D0DAA">
              <w:rPr>
                <w:b/>
              </w:rPr>
              <w:t xml:space="preserve">EGPRS Ack/Nack Description IE </w:t>
            </w:r>
            <w:r w:rsidRPr="004D0DAA">
              <w:t>(L bit field)</w:t>
            </w:r>
            <w:r w:rsidRPr="004D0DAA">
              <w:rPr>
                <w:b/>
              </w:rPr>
              <w:br/>
            </w:r>
            <w:r w:rsidRPr="004D0DAA">
              <w:t>This information element is defined in</w:t>
            </w:r>
            <w:r w:rsidRPr="004D0DAA">
              <w:rPr>
                <w:i/>
              </w:rPr>
              <w:t xml:space="preserve"> </w:t>
            </w:r>
            <w:r w:rsidRPr="004D0DAA">
              <w:t xml:space="preserve">sub-clause 12.3.1. The number of bits (L) available for Ack/Nack Description information element depends on the inclusion of channel quality reports and channel requests. L shall be set so that the entire EGPRS </w:t>
            </w:r>
            <w:r w:rsidRPr="004D0DAA">
              <w:rPr>
                <w:caps/>
              </w:rPr>
              <w:t>Packet Downlink Ack/Nack</w:t>
            </w:r>
            <w:r w:rsidRPr="004D0DAA">
              <w:t xml:space="preserve"> message evenly fits into an RLC/MAC control block. If a lower L covers the entire receive window, that L shall be used.</w:t>
            </w:r>
          </w:p>
        </w:tc>
      </w:tr>
      <w:tr w:rsidR="00711444" w:rsidRPr="004D0DAA" w14:paraId="158CF2D0" w14:textId="77777777" w:rsidTr="00AA2A4C">
        <w:tblPrEx>
          <w:tblCellMar>
            <w:top w:w="0" w:type="dxa"/>
            <w:bottom w:w="0" w:type="dxa"/>
          </w:tblCellMar>
        </w:tblPrEx>
        <w:trPr>
          <w:cantSplit/>
          <w:trHeight w:val="23"/>
        </w:trPr>
        <w:tc>
          <w:tcPr>
            <w:tcW w:w="9848" w:type="dxa"/>
          </w:tcPr>
          <w:p w14:paraId="10497209" w14:textId="77777777" w:rsidR="00711444" w:rsidRPr="004D0DAA" w:rsidRDefault="00711444" w:rsidP="00AA2A4C">
            <w:r w:rsidRPr="004D0DAA">
              <w:rPr>
                <w:b/>
              </w:rPr>
              <w:t xml:space="preserve">MS OUT OF MEMORY </w:t>
            </w:r>
            <w:r w:rsidRPr="004D0DAA">
              <w:t>(1 bit field)</w:t>
            </w:r>
            <w:r w:rsidRPr="004D0DAA">
              <w:br/>
              <w:t>This field indicates that the MS has no more enough memory to perform Incremental Redundancy.</w:t>
            </w:r>
          </w:p>
          <w:p w14:paraId="6CA87492"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2343E3F1" w14:textId="77777777" w:rsidTr="00AA2A4C">
        <w:tblPrEx>
          <w:tblCellMar>
            <w:top w:w="0" w:type="dxa"/>
            <w:bottom w:w="0" w:type="dxa"/>
          </w:tblCellMar>
        </w:tblPrEx>
        <w:trPr>
          <w:cantSplit/>
          <w:trHeight w:val="23"/>
        </w:trPr>
        <w:tc>
          <w:tcPr>
            <w:tcW w:w="9848" w:type="dxa"/>
          </w:tcPr>
          <w:p w14:paraId="5B4BCD15" w14:textId="77777777" w:rsidR="00711444" w:rsidRPr="004D0DAA" w:rsidRDefault="00711444" w:rsidP="00AA2A4C">
            <w:pPr>
              <w:rPr>
                <w:bCs/>
              </w:rPr>
            </w:pPr>
            <w:r w:rsidRPr="004D0DAA">
              <w:rPr>
                <w:b/>
              </w:rPr>
              <w:lastRenderedPageBreak/>
              <w:t>Channel Request Description IE</w:t>
            </w:r>
            <w:r w:rsidRPr="004D0DAA">
              <w:br/>
              <w:t>This information element is defined in</w:t>
            </w:r>
            <w:r w:rsidRPr="004D0DAA">
              <w:rPr>
                <w:i/>
              </w:rPr>
              <w:t xml:space="preserve"> </w:t>
            </w:r>
            <w:r w:rsidRPr="004D0DAA">
              <w:t xml:space="preserve">sub-clause 12.7. If a PFI field is included in this message, it relates to the TBF request contained in the </w:t>
            </w:r>
            <w:r w:rsidRPr="004D0DAA">
              <w:rPr>
                <w:bCs/>
                <w:i/>
                <w:iCs/>
              </w:rPr>
              <w:t>Channel Request Description</w:t>
            </w:r>
            <w:r w:rsidRPr="004D0DAA">
              <w:rPr>
                <w:bCs/>
              </w:rPr>
              <w:t xml:space="preserve"> </w:t>
            </w:r>
            <w:r w:rsidRPr="004D0DAA">
              <w:t xml:space="preserve">IE. Neither this IE nor the PFI field shall be included if the </w:t>
            </w:r>
            <w:r w:rsidRPr="004D0DAA">
              <w:rPr>
                <w:i/>
                <w:iCs/>
              </w:rPr>
              <w:t xml:space="preserve">Extended </w:t>
            </w:r>
            <w:r w:rsidRPr="004D0DAA">
              <w:rPr>
                <w:bCs/>
                <w:i/>
                <w:iCs/>
              </w:rPr>
              <w:t>Channel Request Description</w:t>
            </w:r>
            <w:r w:rsidRPr="004D0DAA">
              <w:rPr>
                <w:bCs/>
              </w:rPr>
              <w:t xml:space="preserve"> IE is included.</w:t>
            </w:r>
          </w:p>
          <w:p w14:paraId="06078F53" w14:textId="77777777" w:rsidR="00711444" w:rsidRPr="004D0DAA" w:rsidRDefault="00711444" w:rsidP="00AA2A4C">
            <w:r w:rsidRPr="004D0DAA">
              <w:rPr>
                <w:b/>
              </w:rPr>
              <w:t>Iu mode Channel Request Description IE</w:t>
            </w:r>
            <w:r w:rsidRPr="004D0DAA">
              <w:br/>
              <w:t>This information element is defined in</w:t>
            </w:r>
            <w:r w:rsidRPr="004D0DAA">
              <w:rPr>
                <w:i/>
              </w:rPr>
              <w:t xml:space="preserve"> </w:t>
            </w:r>
            <w:r w:rsidRPr="004D0DAA">
              <w:t>sub-clause 12.7a.</w:t>
            </w:r>
          </w:p>
          <w:p w14:paraId="6B121DD2" w14:textId="77777777" w:rsidR="00711444" w:rsidRPr="004D0DAA" w:rsidRDefault="00711444" w:rsidP="00AA2A4C">
            <w:pPr>
              <w:rPr>
                <w:bCs/>
              </w:rPr>
            </w:pPr>
            <w:r w:rsidRPr="004D0DAA">
              <w:rPr>
                <w:b/>
              </w:rPr>
              <w:t>Extended Channel Request Description</w:t>
            </w:r>
            <w:r w:rsidRPr="004D0DAA">
              <w:br/>
              <w:t>This information element is defined in</w:t>
            </w:r>
            <w:r w:rsidRPr="004D0DAA">
              <w:rPr>
                <w:i/>
              </w:rPr>
              <w:t xml:space="preserve"> </w:t>
            </w:r>
            <w:r w:rsidRPr="004D0DAA">
              <w:t xml:space="preserve">sub-clause 12.7b. This IE contains a request for one or more additional uplink TBFs and shall only be included if the mobile station and the network support multiple TBF procedures. If this IE is included, the </w:t>
            </w:r>
            <w:r w:rsidRPr="004D0DAA">
              <w:rPr>
                <w:bCs/>
                <w:i/>
                <w:iCs/>
              </w:rPr>
              <w:t>Channel Request Description</w:t>
            </w:r>
            <w:r w:rsidRPr="004D0DAA">
              <w:rPr>
                <w:bCs/>
              </w:rPr>
              <w:t xml:space="preserve"> IE and PFI field in the message shall be omitted.</w:t>
            </w:r>
          </w:p>
          <w:p w14:paraId="310EE3BF" w14:textId="77777777" w:rsidR="00711444" w:rsidRPr="004D0DAA" w:rsidRDefault="00711444" w:rsidP="00AA2A4C">
            <w:r w:rsidRPr="004D0DAA">
              <w:rPr>
                <w:b/>
              </w:rPr>
              <w:t>EGPRS Channel Quality Report</w:t>
            </w:r>
            <w:r w:rsidRPr="004D0DAA">
              <w:t xml:space="preserve"> </w:t>
            </w:r>
            <w:r w:rsidRPr="004D0DAA">
              <w:rPr>
                <w:b/>
                <w:bCs/>
              </w:rPr>
              <w:t>IE</w:t>
            </w:r>
            <w:r w:rsidRPr="004D0DAA">
              <w:br/>
              <w:t>This information element is defined in sub-clause 12.5.1. For a mobile station with a dual carrier downlink assignment, this IE shall contain measurements corresponding to the downlink carrier which is paired with the uplink carrier on which this message is being sent.</w:t>
            </w:r>
          </w:p>
        </w:tc>
      </w:tr>
      <w:tr w:rsidR="00711444" w:rsidRPr="004D0DAA" w14:paraId="66B12658" w14:textId="77777777" w:rsidTr="00AA2A4C">
        <w:tblPrEx>
          <w:tblCellMar>
            <w:top w:w="0" w:type="dxa"/>
            <w:bottom w:w="0" w:type="dxa"/>
          </w:tblCellMar>
        </w:tblPrEx>
        <w:trPr>
          <w:cantSplit/>
          <w:trHeight w:val="23"/>
        </w:trPr>
        <w:tc>
          <w:tcPr>
            <w:tcW w:w="9848" w:type="dxa"/>
          </w:tcPr>
          <w:p w14:paraId="7E8C47F3" w14:textId="77777777" w:rsidR="00711444" w:rsidRPr="004D0DAA" w:rsidRDefault="00711444" w:rsidP="00AA2A4C">
            <w:r w:rsidRPr="004D0DAA">
              <w:rPr>
                <w:b/>
              </w:rPr>
              <w:t>PFI</w:t>
            </w:r>
            <w:r w:rsidRPr="004D0DAA">
              <w:t xml:space="preserve"> (7 bit field)</w:t>
            </w:r>
            <w:r w:rsidRPr="004D0DAA">
              <w:rPr>
                <w:b/>
              </w:rPr>
              <w:br/>
            </w:r>
            <w:r w:rsidRPr="004D0DAA">
              <w:t>This field contains the PFI parameter identifying a Packet Flow Context relating to the resource request specified in the Channel Request Description IE. The PFI parameter is encoded as the contents of the PFI information element as defined in 3GPP TS 44.018. This field may be included if the network supports packet flow context procedures and if a Channel Request Description IE is included in the message. If this field is included but the Channel Request Description IE is omitted, this field shall be ignored.</w:t>
            </w:r>
          </w:p>
        </w:tc>
      </w:tr>
      <w:tr w:rsidR="00711444" w:rsidRPr="004D0DAA" w14:paraId="15ABAB68" w14:textId="77777777" w:rsidTr="00AA2A4C">
        <w:tblPrEx>
          <w:tblCellMar>
            <w:top w:w="0" w:type="dxa"/>
            <w:bottom w:w="0" w:type="dxa"/>
          </w:tblCellMar>
        </w:tblPrEx>
        <w:trPr>
          <w:cantSplit/>
          <w:trHeight w:val="23"/>
        </w:trPr>
        <w:tc>
          <w:tcPr>
            <w:tcW w:w="9848" w:type="dxa"/>
          </w:tcPr>
          <w:p w14:paraId="3518DB8E" w14:textId="77777777" w:rsidR="00711444" w:rsidRPr="004D0DAA" w:rsidRDefault="00711444" w:rsidP="00AA2A4C">
            <w:pPr>
              <w:rPr>
                <w:b/>
              </w:rPr>
            </w:pPr>
            <w:r w:rsidRPr="004D0DAA">
              <w:rPr>
                <w:b/>
              </w:rPr>
              <w:t>RB Id</w:t>
            </w:r>
            <w:r w:rsidRPr="004D0DAA">
              <w:t xml:space="preserve"> (5 bit field)</w:t>
            </w:r>
            <w:r w:rsidRPr="004D0DAA">
              <w:br/>
              <w:t>This field contains the radio bearer identity of the mobile station's radio bearer for which the downlink data transfer on SFACCH is acknowledged. This field is not included when the EGPRS PACKET DOWNLINK ACK/NACK message is sent on DBPSCH. This field is encoded as a binary number with range 0-31.</w:t>
            </w:r>
          </w:p>
        </w:tc>
      </w:tr>
      <w:tr w:rsidR="00711444" w:rsidRPr="004D0DAA" w14:paraId="00C7D4C9" w14:textId="77777777" w:rsidTr="00AA2A4C">
        <w:tblPrEx>
          <w:tblCellMar>
            <w:top w:w="0" w:type="dxa"/>
            <w:bottom w:w="0" w:type="dxa"/>
          </w:tblCellMar>
        </w:tblPrEx>
        <w:trPr>
          <w:cantSplit/>
        </w:trPr>
        <w:tc>
          <w:tcPr>
            <w:tcW w:w="9848" w:type="dxa"/>
          </w:tcPr>
          <w:p w14:paraId="75DB7FEE" w14:textId="77777777" w:rsidR="00711444" w:rsidRPr="004D0DAA" w:rsidRDefault="00711444" w:rsidP="00AA2A4C">
            <w:pPr>
              <w:rPr>
                <w:b/>
              </w:rPr>
            </w:pPr>
            <w:r w:rsidRPr="004D0DAA">
              <w:rPr>
                <w:b/>
              </w:rPr>
              <w:t>Timeslot Number</w:t>
            </w:r>
            <w:r w:rsidRPr="004D0DAA">
              <w:rPr>
                <w:bCs/>
              </w:rPr>
              <w:t xml:space="preserve"> (3 bit field)</w:t>
            </w:r>
            <w:r w:rsidRPr="004D0DAA">
              <w:rPr>
                <w:bCs/>
              </w:rPr>
              <w:br/>
              <w:t xml:space="preserve">It contains the timeslot number of the timeslot on which the corresponding RRBP was received. This field shall be included if and only if </w:t>
            </w:r>
            <w:r w:rsidRPr="004D0DAA">
              <w:t xml:space="preserve">the timeslot number of the PDTCH/SBPSCH on which the EGPRS PACKET DOWNLINK ACK/NACK message is sent is different from the timeslot number of each of the timeslots assigned to this TBF in the direction of this TBF. </w:t>
            </w:r>
            <w:r w:rsidRPr="004D0DAA">
              <w:rPr>
                <w:bCs/>
              </w:rPr>
              <w:t>This field is encoded as the binary representation of the timeslot number as defined in 3GPP TS 45.002.</w:t>
            </w:r>
          </w:p>
        </w:tc>
      </w:tr>
      <w:tr w:rsidR="00711444" w:rsidRPr="004D0DAA" w14:paraId="1F746519" w14:textId="77777777" w:rsidTr="00AA2A4C">
        <w:tblPrEx>
          <w:tblCellMar>
            <w:top w:w="0" w:type="dxa"/>
            <w:bottom w:w="0" w:type="dxa"/>
          </w:tblCellMar>
        </w:tblPrEx>
        <w:trPr>
          <w:cantSplit/>
        </w:trPr>
        <w:tc>
          <w:tcPr>
            <w:tcW w:w="9848" w:type="dxa"/>
          </w:tcPr>
          <w:p w14:paraId="0D3AD84C" w14:textId="77777777" w:rsidR="00711444" w:rsidRPr="004D0DAA" w:rsidRDefault="00711444" w:rsidP="00AA2A4C">
            <w:pPr>
              <w:spacing w:after="0"/>
            </w:pPr>
            <w:r w:rsidRPr="004D0DAA">
              <w:rPr>
                <w:b/>
                <w:bCs/>
              </w:rPr>
              <w:t xml:space="preserve">EARLY_TBF_ESTABLISHMENT </w:t>
            </w:r>
            <w:r w:rsidRPr="004D0DAA">
              <w:t>(1 bit field)</w:t>
            </w:r>
          </w:p>
          <w:p w14:paraId="258894B5" w14:textId="77777777" w:rsidR="00711444" w:rsidRPr="004D0DAA" w:rsidRDefault="00711444" w:rsidP="00AA2A4C">
            <w:r w:rsidRPr="004D0DAA">
              <w:t xml:space="preserve">This field indicates whether or not the channel request is meant to request pre-allocation of an uplink TBF: </w:t>
            </w:r>
          </w:p>
          <w:p w14:paraId="03BDB278" w14:textId="77777777" w:rsidR="00711444" w:rsidRPr="004D0DAA" w:rsidRDefault="00711444" w:rsidP="00AA2A4C">
            <w:pPr>
              <w:rPr>
                <w:b/>
              </w:rPr>
            </w:pPr>
            <w:r w:rsidRPr="004D0DAA">
              <w:t>0</w:t>
            </w:r>
            <w:r w:rsidRPr="004D0DAA">
              <w:tab/>
              <w:t xml:space="preserve">The channel request is not meant to pre-allocate an uplink TBF. </w:t>
            </w:r>
            <w:r w:rsidRPr="004D0DAA">
              <w:br/>
              <w:t>1</w:t>
            </w:r>
            <w:r w:rsidRPr="004D0DAA">
              <w:tab/>
              <w:t>The channel request is meant to pre-allocate an uplink TBF.</w:t>
            </w:r>
          </w:p>
        </w:tc>
      </w:tr>
      <w:tr w:rsidR="00711444" w:rsidRPr="004D0DAA" w14:paraId="6C375175" w14:textId="77777777" w:rsidTr="00AA2A4C">
        <w:tblPrEx>
          <w:tblCellMar>
            <w:top w:w="0" w:type="dxa"/>
            <w:bottom w:w="0" w:type="dxa"/>
          </w:tblCellMar>
        </w:tblPrEx>
        <w:trPr>
          <w:cantSplit/>
        </w:trPr>
        <w:tc>
          <w:tcPr>
            <w:tcW w:w="9848" w:type="dxa"/>
          </w:tcPr>
          <w:p w14:paraId="4F573474" w14:textId="77777777" w:rsidR="00711444" w:rsidRPr="004D0DAA" w:rsidRDefault="00711444" w:rsidP="00AA2A4C">
            <w:pPr>
              <w:spacing w:after="0"/>
              <w:rPr>
                <w:b/>
                <w:bCs/>
              </w:rPr>
            </w:pPr>
            <w:r w:rsidRPr="004D0DAA">
              <w:rPr>
                <w:b/>
                <w:bCs/>
              </w:rPr>
              <w:t>Secondary Dual Carrier Channel Report</w:t>
            </w:r>
          </w:p>
          <w:p w14:paraId="5F842975" w14:textId="77777777" w:rsidR="00711444" w:rsidRPr="004D0DAA" w:rsidRDefault="00711444" w:rsidP="00AA2A4C">
            <w:pPr>
              <w:spacing w:after="0"/>
            </w:pPr>
            <w:r w:rsidRPr="004D0DAA">
              <w:t>This information element is described in sub-clause 12.5.1. For a mobile station with a dual carrier downlink assignment, this IE shall contain measurements corresponding to the downlink carrier which is not paired with the uplink carrier on which this message is being sent. This IE shall not be included by an MS with a single carrier downlink assignment.</w:t>
            </w:r>
          </w:p>
        </w:tc>
      </w:tr>
    </w:tbl>
    <w:p w14:paraId="213CDB2F" w14:textId="77777777" w:rsidR="00711444" w:rsidRPr="004D0DAA" w:rsidRDefault="00711444" w:rsidP="00711444"/>
    <w:p w14:paraId="36B16048" w14:textId="77777777" w:rsidR="00711444" w:rsidRPr="004D0DAA" w:rsidRDefault="00711444" w:rsidP="00711444">
      <w:pPr>
        <w:pStyle w:val="Heading3"/>
      </w:pPr>
      <w:bookmarkStart w:id="658" w:name="_Toc516669835"/>
      <w:r w:rsidRPr="004D0DAA">
        <w:t>11.2.6b</w:t>
      </w:r>
      <w:r w:rsidRPr="004D0DAA">
        <w:tab/>
        <w:t>Packet DBPSCH Downlink Ack/Nack</w:t>
      </w:r>
      <w:bookmarkEnd w:id="658"/>
    </w:p>
    <w:p w14:paraId="4DC78B90" w14:textId="77777777" w:rsidR="00711444" w:rsidRPr="004D0DAA" w:rsidRDefault="00711444" w:rsidP="00711444">
      <w:r w:rsidRPr="004D0DAA">
        <w:t>This message is sent on FACCH, SACCH or SDCCH from the mobile station to the network to indicate the status of downlink RLC data blocks received.</w:t>
      </w:r>
    </w:p>
    <w:p w14:paraId="7B41F23E" w14:textId="77777777" w:rsidR="00711444" w:rsidRPr="004D0DAA" w:rsidRDefault="00711444" w:rsidP="00711444">
      <w:pPr>
        <w:pStyle w:val="EX"/>
      </w:pPr>
      <w:r w:rsidRPr="004D0DAA">
        <w:t>Message type:</w:t>
      </w:r>
      <w:r w:rsidRPr="004D0DAA">
        <w:tab/>
        <w:t>PACKET DBPSCH DOWNLINK ACK/NACK</w:t>
      </w:r>
    </w:p>
    <w:p w14:paraId="2BF73A0C" w14:textId="77777777" w:rsidR="00711444" w:rsidRPr="004D0DAA" w:rsidRDefault="00711444" w:rsidP="00711444">
      <w:pPr>
        <w:pStyle w:val="EX"/>
      </w:pPr>
      <w:r w:rsidRPr="004D0DAA">
        <w:t>Direction:</w:t>
      </w:r>
      <w:r w:rsidRPr="004D0DAA">
        <w:tab/>
        <w:t>mobile station to network</w:t>
      </w:r>
    </w:p>
    <w:p w14:paraId="467AAC36" w14:textId="77777777" w:rsidR="00711444" w:rsidRPr="004D0DAA" w:rsidRDefault="00711444" w:rsidP="00711444">
      <w:pPr>
        <w:pStyle w:val="TH"/>
      </w:pPr>
      <w:r w:rsidRPr="004D0DAA">
        <w:lastRenderedPageBreak/>
        <w:t xml:space="preserve">Table 11.2.6b.1: </w:t>
      </w:r>
      <w:r w:rsidRPr="004D0DAA">
        <w:rPr>
          <w:caps/>
        </w:rPr>
        <w:t>Packet DBPSCH Downlink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FEC0669" w14:textId="77777777" w:rsidTr="00AA2A4C">
        <w:tblPrEx>
          <w:tblCellMar>
            <w:top w:w="0" w:type="dxa"/>
            <w:bottom w:w="0" w:type="dxa"/>
          </w:tblCellMar>
        </w:tblPrEx>
        <w:trPr>
          <w:cantSplit/>
        </w:trPr>
        <w:tc>
          <w:tcPr>
            <w:tcW w:w="9848" w:type="dxa"/>
          </w:tcPr>
          <w:p w14:paraId="6B2D62E4" w14:textId="77777777" w:rsidR="00711444" w:rsidRPr="004D0DAA" w:rsidRDefault="00711444" w:rsidP="00AA2A4C">
            <w:pPr>
              <w:pStyle w:val="TAL"/>
              <w:rPr>
                <w:lang w:eastAsia="en-US"/>
              </w:rPr>
            </w:pPr>
            <w:r w:rsidRPr="004D0DAA">
              <w:rPr>
                <w:lang w:eastAsia="en-US"/>
              </w:rPr>
              <w:t>&lt; Packet DBPSCH Downlink Ack/Nack message &gt; ::=</w:t>
            </w:r>
          </w:p>
          <w:p w14:paraId="4737A569" w14:textId="77777777" w:rsidR="00711444" w:rsidRPr="004D0DAA" w:rsidRDefault="00711444" w:rsidP="00AA2A4C">
            <w:pPr>
              <w:pStyle w:val="TAL"/>
              <w:rPr>
                <w:b/>
                <w:bCs/>
                <w:lang w:eastAsia="en-US"/>
              </w:rPr>
            </w:pPr>
            <w:r w:rsidRPr="004D0DAA">
              <w:rPr>
                <w:lang w:eastAsia="en-US"/>
              </w:rPr>
              <w:tab/>
              <w:t xml:space="preserve">&lt; </w:t>
            </w:r>
            <w:r w:rsidRPr="004D0DAA">
              <w:rPr>
                <w:b/>
                <w:bCs/>
                <w:lang w:eastAsia="en-US"/>
              </w:rPr>
              <w:t>MESSAGE_TYPE</w:t>
            </w:r>
            <w:r w:rsidRPr="004D0DAA">
              <w:rPr>
                <w:lang w:eastAsia="en-US"/>
              </w:rPr>
              <w:t xml:space="preserve"> : bit (6) == 000010 &gt;</w:t>
            </w:r>
          </w:p>
          <w:p w14:paraId="3CD18C3B"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RB Id</w:t>
            </w:r>
            <w:r w:rsidRPr="004D0DAA">
              <w:rPr>
                <w:b/>
                <w:lang w:eastAsia="en-US"/>
              </w:rPr>
              <w:t xml:space="preserve"> </w:t>
            </w:r>
            <w:r w:rsidRPr="004D0DAA">
              <w:rPr>
                <w:lang w:eastAsia="en-US"/>
              </w:rPr>
              <w:t>: bit (5) &gt;</w:t>
            </w:r>
          </w:p>
          <w:p w14:paraId="4DFD7A2A"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iCs/>
                <w:lang w:eastAsia="en-US"/>
              </w:rPr>
              <w:t xml:space="preserve">-- </w:t>
            </w:r>
            <w:r w:rsidRPr="004D0DAA">
              <w:rPr>
                <w:i/>
                <w:iCs/>
                <w:lang w:eastAsia="en-US"/>
              </w:rPr>
              <w:t>TCH TBF mode</w:t>
            </w:r>
          </w:p>
          <w:p w14:paraId="10448915"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0 </w:t>
            </w:r>
            <w:r w:rsidRPr="004D0DAA">
              <w:rPr>
                <w:i/>
                <w:iCs/>
                <w:lang w:eastAsia="en-US"/>
              </w:rPr>
              <w:t>- All data blocks acknowledged, no retransmission requested</w:t>
            </w:r>
          </w:p>
          <w:p w14:paraId="304BACB8"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(8) &gt;</w:t>
            </w:r>
          </w:p>
          <w:p w14:paraId="622DCA4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(128) &gt; }</w:t>
            </w:r>
          </w:p>
          <w:p w14:paraId="11B547C1"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iCs/>
                <w:lang w:eastAsia="en-US"/>
              </w:rPr>
              <w:t xml:space="preserve">-- </w:t>
            </w:r>
            <w:r w:rsidRPr="004D0DAA">
              <w:rPr>
                <w:i/>
                <w:iCs/>
                <w:lang w:eastAsia="en-US"/>
              </w:rPr>
              <w:t>DCCH TBF mode</w:t>
            </w:r>
          </w:p>
          <w:p w14:paraId="728E81AA"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0 </w:t>
            </w:r>
            <w:r w:rsidRPr="004D0DAA">
              <w:rPr>
                <w:i/>
                <w:iCs/>
                <w:lang w:eastAsia="en-US"/>
              </w:rPr>
              <w:t>- All data blocks acknowledged, no retransmission requested</w:t>
            </w:r>
          </w:p>
          <w:p w14:paraId="60114CB1"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(4) &gt;</w:t>
            </w:r>
          </w:p>
          <w:p w14:paraId="12B81EE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(8) &gt; } }</w:t>
            </w:r>
          </w:p>
          <w:p w14:paraId="3C8686BE" w14:textId="77777777" w:rsidR="00711444" w:rsidRPr="004D0DAA" w:rsidRDefault="00711444" w:rsidP="00AA2A4C">
            <w:pPr>
              <w:pStyle w:val="TAL"/>
              <w:rPr>
                <w:lang w:eastAsia="en-US"/>
              </w:rPr>
            </w:pPr>
            <w:r w:rsidRPr="004D0DAA">
              <w:rPr>
                <w:lang w:eastAsia="en-US"/>
              </w:rPr>
              <w:tab/>
              <w:t>&lt;padding bits &gt; ;</w:t>
            </w:r>
          </w:p>
        </w:tc>
      </w:tr>
    </w:tbl>
    <w:p w14:paraId="6CBEA662" w14:textId="77777777" w:rsidR="00711444" w:rsidRPr="004D0DAA" w:rsidRDefault="00711444" w:rsidP="00711444"/>
    <w:p w14:paraId="6901FF4D" w14:textId="77777777" w:rsidR="00711444" w:rsidRPr="004D0DAA" w:rsidRDefault="00711444" w:rsidP="00711444">
      <w:pPr>
        <w:pStyle w:val="TH"/>
      </w:pPr>
      <w:r w:rsidRPr="004D0DAA">
        <w:t xml:space="preserve">Table 11.2.6b.2: </w:t>
      </w:r>
      <w:r w:rsidRPr="004D0DAA">
        <w:rPr>
          <w:caps/>
        </w:rPr>
        <w:t>Packet DBPSCH Downlink Ack/Nack</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0FB0F4D" w14:textId="77777777" w:rsidTr="00AA2A4C">
        <w:tblPrEx>
          <w:tblCellMar>
            <w:top w:w="0" w:type="dxa"/>
            <w:bottom w:w="0" w:type="dxa"/>
          </w:tblCellMar>
        </w:tblPrEx>
        <w:trPr>
          <w:cantSplit/>
          <w:trHeight w:val="23"/>
        </w:trPr>
        <w:tc>
          <w:tcPr>
            <w:tcW w:w="9848" w:type="dxa"/>
          </w:tcPr>
          <w:p w14:paraId="0CAC1700" w14:textId="77777777" w:rsidR="00711444" w:rsidRPr="004D0DAA" w:rsidRDefault="00711444" w:rsidP="00AA2A4C">
            <w:pPr>
              <w:rPr>
                <w:b/>
              </w:rPr>
            </w:pPr>
            <w:r w:rsidRPr="004D0DAA">
              <w:rPr>
                <w:b/>
              </w:rPr>
              <w:t>RB Id</w:t>
            </w:r>
            <w:r w:rsidRPr="004D0DAA">
              <w:t xml:space="preserve"> (5 bit field)</w:t>
            </w:r>
            <w:r w:rsidRPr="004D0DAA">
              <w:br/>
              <w:t>This field contains the radio bearer identity of the mobile station's radio bearer for which the downlink data transfer is acknowledged. This field is encoded as a binary number with range 0-31.</w:t>
            </w:r>
          </w:p>
        </w:tc>
      </w:tr>
      <w:tr w:rsidR="00711444" w:rsidRPr="004D0DAA" w14:paraId="20AF8976" w14:textId="77777777" w:rsidTr="00AA2A4C">
        <w:tblPrEx>
          <w:tblCellMar>
            <w:top w:w="0" w:type="dxa"/>
            <w:bottom w:w="0" w:type="dxa"/>
          </w:tblCellMar>
        </w:tblPrEx>
        <w:trPr>
          <w:cantSplit/>
          <w:trHeight w:val="23"/>
        </w:trPr>
        <w:tc>
          <w:tcPr>
            <w:tcW w:w="9848" w:type="dxa"/>
          </w:tcPr>
          <w:p w14:paraId="7A86CE91" w14:textId="77777777" w:rsidR="00711444" w:rsidRPr="004D0DAA" w:rsidRDefault="00711444" w:rsidP="00AA2A4C">
            <w:pPr>
              <w:rPr>
                <w:b/>
              </w:rPr>
            </w:pPr>
            <w:r w:rsidRPr="004D0DAA">
              <w:rPr>
                <w:b/>
              </w:rPr>
              <w:t xml:space="preserve">STARTING_SEQUENCE_NUMBER </w:t>
            </w:r>
            <w:r w:rsidRPr="004D0DAA">
              <w:t>(8 or 4 bit field)</w:t>
            </w:r>
            <w:r w:rsidRPr="004D0DAA">
              <w:rPr>
                <w:b/>
              </w:rPr>
              <w:br/>
            </w:r>
            <w:r w:rsidRPr="004D0DAA">
              <w:t>The SSN contains the value of V(R) when this information element was transmitted. This field is encoded as the binary representation of V(R).</w:t>
            </w:r>
            <w:r w:rsidRPr="004D0DAA">
              <w:br/>
              <w:t>Range 0 to 255 (8 bit field)</w:t>
            </w:r>
            <w:r w:rsidRPr="004D0DAA">
              <w:br/>
              <w:t>Range 0 to 15 (4 bit field)</w:t>
            </w:r>
          </w:p>
        </w:tc>
      </w:tr>
      <w:tr w:rsidR="00711444" w:rsidRPr="004D0DAA" w14:paraId="5C61EAF8" w14:textId="77777777" w:rsidTr="00AA2A4C">
        <w:tblPrEx>
          <w:tblCellMar>
            <w:top w:w="0" w:type="dxa"/>
            <w:bottom w:w="0" w:type="dxa"/>
          </w:tblCellMar>
        </w:tblPrEx>
        <w:trPr>
          <w:cantSplit/>
          <w:trHeight w:val="23"/>
        </w:trPr>
        <w:tc>
          <w:tcPr>
            <w:tcW w:w="9848" w:type="dxa"/>
          </w:tcPr>
          <w:p w14:paraId="09394638" w14:textId="77777777" w:rsidR="00711444" w:rsidRPr="004D0DAA" w:rsidRDefault="00711444" w:rsidP="00AA2A4C">
            <w:pPr>
              <w:keepNext/>
              <w:keepLines/>
            </w:pPr>
            <w:r w:rsidRPr="004D0DAA">
              <w:rPr>
                <w:b/>
              </w:rPr>
              <w:t>RECEIVE_BLOCK_BITMAP (RBB)</w:t>
            </w:r>
            <w:r w:rsidRPr="004D0DAA">
              <w:t xml:space="preserve"> (128 or 8 bit field)</w:t>
            </w:r>
            <w:r w:rsidRPr="004D0DAA">
              <w:br/>
              <w:t>The RBB is a bitmap representing Block Sequence Numbers. The bitmap is indexed relative to SSN as follows:</w:t>
            </w:r>
          </w:p>
          <w:p w14:paraId="7547775B" w14:textId="77777777" w:rsidR="00711444" w:rsidRPr="004D0DAA" w:rsidRDefault="00711444" w:rsidP="00AA2A4C">
            <w:pPr>
              <w:pStyle w:val="FP"/>
              <w:tabs>
                <w:tab w:val="left" w:pos="4111"/>
                <w:tab w:val="left" w:pos="6663"/>
              </w:tabs>
              <w:ind w:left="284"/>
            </w:pPr>
            <w:r w:rsidRPr="004D0DAA">
              <w:t>BSN = (SSN - bit_number) modulo 256, for bit_number = 1 to 128 (128 bit field).</w:t>
            </w:r>
          </w:p>
          <w:p w14:paraId="51BAD3EC" w14:textId="77777777" w:rsidR="00711444" w:rsidRPr="004D0DAA" w:rsidRDefault="00711444" w:rsidP="00AA2A4C">
            <w:pPr>
              <w:pStyle w:val="FP"/>
              <w:tabs>
                <w:tab w:val="left" w:pos="4111"/>
                <w:tab w:val="left" w:pos="6663"/>
              </w:tabs>
              <w:ind w:left="284"/>
            </w:pPr>
            <w:r w:rsidRPr="004D0DAA">
              <w:t>BSN = (SSN - bit_number) modulo 16, for bit_number = 1 to 8 (8 bit field).</w:t>
            </w:r>
          </w:p>
          <w:p w14:paraId="0760D3F0" w14:textId="77777777" w:rsidR="00711444" w:rsidRPr="004D0DAA" w:rsidRDefault="00711444" w:rsidP="00AA2A4C">
            <w:pPr>
              <w:pStyle w:val="FP"/>
              <w:tabs>
                <w:tab w:val="left" w:pos="4111"/>
                <w:tab w:val="left" w:pos="6663"/>
              </w:tabs>
              <w:ind w:left="284"/>
            </w:pPr>
          </w:p>
          <w:p w14:paraId="28AF5171" w14:textId="77777777" w:rsidR="00711444" w:rsidRPr="004D0DAA" w:rsidRDefault="00711444" w:rsidP="00AA2A4C">
            <w:pPr>
              <w:keepNext/>
              <w:keepLines/>
            </w:pPr>
            <w:r w:rsidRPr="004D0DAA">
              <w:t>The BSN values represented range:</w:t>
            </w:r>
          </w:p>
          <w:p w14:paraId="68D418D1" w14:textId="77777777" w:rsidR="00711444" w:rsidRPr="004D0DAA" w:rsidRDefault="00711444" w:rsidP="00AA2A4C">
            <w:pPr>
              <w:pStyle w:val="FP"/>
              <w:tabs>
                <w:tab w:val="left" w:pos="4678"/>
                <w:tab w:val="left" w:pos="6663"/>
              </w:tabs>
              <w:ind w:left="284"/>
            </w:pPr>
            <w:r w:rsidRPr="004D0DAA">
              <w:t>from (SSN - 1) mod 256 to (SSN - 128) mod 256 (128 bit field)</w:t>
            </w:r>
          </w:p>
          <w:p w14:paraId="2BC8EFAE" w14:textId="77777777" w:rsidR="00711444" w:rsidRPr="004D0DAA" w:rsidRDefault="00711444" w:rsidP="00AA2A4C">
            <w:pPr>
              <w:pStyle w:val="FP"/>
              <w:tabs>
                <w:tab w:val="left" w:pos="4678"/>
                <w:tab w:val="left" w:pos="6663"/>
              </w:tabs>
              <w:ind w:left="284"/>
            </w:pPr>
            <w:r w:rsidRPr="004D0DAA">
              <w:t>from (SSN - 1) mod 16 to (SSN - 8) mod 16 (8 bit field)</w:t>
            </w:r>
          </w:p>
          <w:p w14:paraId="569FB350" w14:textId="77777777" w:rsidR="00711444" w:rsidRPr="004D0DAA" w:rsidRDefault="00711444" w:rsidP="00AA2A4C">
            <w:pPr>
              <w:pStyle w:val="FP"/>
              <w:tabs>
                <w:tab w:val="left" w:pos="4111"/>
                <w:tab w:val="left" w:pos="6663"/>
              </w:tabs>
              <w:ind w:left="284"/>
            </w:pPr>
          </w:p>
          <w:p w14:paraId="47AEDA61" w14:textId="77777777" w:rsidR="00711444" w:rsidRPr="004D0DAA" w:rsidRDefault="00711444" w:rsidP="00AA2A4C">
            <w:pPr>
              <w:keepNext/>
              <w:keepLines/>
            </w:pPr>
            <w:r w:rsidRPr="004D0DAA">
              <w:t>The value of each bit represents the acknowledgement status of the RLC data block with:</w:t>
            </w:r>
          </w:p>
          <w:p w14:paraId="19FC9EAC" w14:textId="77777777" w:rsidR="00711444" w:rsidRPr="004D0DAA" w:rsidRDefault="00711444" w:rsidP="00AA2A4C">
            <w:pPr>
              <w:pStyle w:val="FP"/>
              <w:tabs>
                <w:tab w:val="left" w:pos="4111"/>
                <w:tab w:val="left" w:pos="6663"/>
              </w:tabs>
              <w:ind w:left="284"/>
            </w:pPr>
            <w:r w:rsidRPr="004D0DAA">
              <w:t>BSN = (SSN - bit_number) mod 256 (128 bit field)</w:t>
            </w:r>
            <w:r w:rsidRPr="004D0DAA">
              <w:br/>
              <w:t>BSN = (SSN - bit_number) mod 16 (8 bit field),</w:t>
            </w:r>
          </w:p>
          <w:p w14:paraId="0B5FE163" w14:textId="77777777" w:rsidR="00711444" w:rsidRPr="004D0DAA" w:rsidRDefault="00711444" w:rsidP="00AA2A4C">
            <w:pPr>
              <w:pStyle w:val="FP"/>
              <w:tabs>
                <w:tab w:val="left" w:pos="4111"/>
                <w:tab w:val="left" w:pos="6663"/>
              </w:tabs>
              <w:ind w:left="284"/>
            </w:pPr>
          </w:p>
          <w:p w14:paraId="78564F94" w14:textId="77777777" w:rsidR="00711444" w:rsidRPr="004D0DAA" w:rsidRDefault="00711444" w:rsidP="00AA2A4C">
            <w:pPr>
              <w:keepNext/>
              <w:keepLines/>
            </w:pPr>
            <w:r w:rsidRPr="004D0DAA">
              <w:t>it is encoded as follows:</w:t>
            </w:r>
          </w:p>
          <w:p w14:paraId="2237DEF2" w14:textId="77777777" w:rsidR="00711444" w:rsidRPr="004D0DAA" w:rsidRDefault="00711444" w:rsidP="00AA2A4C">
            <w:pPr>
              <w:pStyle w:val="FP"/>
              <w:tabs>
                <w:tab w:val="left" w:pos="709"/>
                <w:tab w:val="left" w:pos="4111"/>
                <w:tab w:val="left" w:pos="6663"/>
              </w:tabs>
              <w:ind w:left="284"/>
            </w:pPr>
            <w:r w:rsidRPr="004D0DAA">
              <w:t>0</w:t>
            </w:r>
            <w:r w:rsidRPr="004D0DAA">
              <w:tab/>
              <w:t>Negative acknowledgement</w:t>
            </w:r>
          </w:p>
          <w:p w14:paraId="5470BF42" w14:textId="77777777" w:rsidR="00711444" w:rsidRPr="004D0DAA" w:rsidRDefault="00711444" w:rsidP="00AA2A4C">
            <w:pPr>
              <w:pStyle w:val="FP"/>
              <w:tabs>
                <w:tab w:val="left" w:pos="709"/>
                <w:tab w:val="left" w:pos="4111"/>
                <w:tab w:val="left" w:pos="6663"/>
              </w:tabs>
              <w:ind w:left="284"/>
            </w:pPr>
            <w:r w:rsidRPr="004D0DAA">
              <w:t>1</w:t>
            </w:r>
            <w:r w:rsidRPr="004D0DAA">
              <w:tab/>
              <w:t>Positive acknowledgement</w:t>
            </w:r>
          </w:p>
          <w:p w14:paraId="04661C8C" w14:textId="77777777" w:rsidR="00711444" w:rsidRPr="004D0DAA" w:rsidRDefault="00711444" w:rsidP="00AA2A4C"/>
        </w:tc>
      </w:tr>
    </w:tbl>
    <w:p w14:paraId="33800A34" w14:textId="77777777" w:rsidR="00711444" w:rsidRPr="004D0DAA" w:rsidRDefault="00711444" w:rsidP="00711444"/>
    <w:p w14:paraId="52144C20" w14:textId="77777777" w:rsidR="00711444" w:rsidRPr="004D0DAA" w:rsidRDefault="00711444" w:rsidP="00711444">
      <w:pPr>
        <w:pStyle w:val="Heading3"/>
      </w:pPr>
      <w:bookmarkStart w:id="659" w:name="_Toc516669836"/>
      <w:r w:rsidRPr="004D0DAA">
        <w:t>11.2.6c</w:t>
      </w:r>
      <w:r w:rsidRPr="004D0DAA">
        <w:tab/>
        <w:t>Packet DBPSCH Downlink Ack/Nack Type 2</w:t>
      </w:r>
      <w:bookmarkEnd w:id="659"/>
    </w:p>
    <w:p w14:paraId="6FB93C4B" w14:textId="77777777" w:rsidR="00711444" w:rsidRPr="004D0DAA" w:rsidRDefault="00711444" w:rsidP="00711444">
      <w:r w:rsidRPr="004D0DAA">
        <w:t>This message shall only be used when FLO is used. It is sent on ADCH from the mobile station to the network to indicate the status of downlink RLC data blocks received.</w:t>
      </w:r>
    </w:p>
    <w:p w14:paraId="304AECD4" w14:textId="77777777" w:rsidR="00711444" w:rsidRPr="004D0DAA" w:rsidRDefault="00711444" w:rsidP="00711444">
      <w:pPr>
        <w:pStyle w:val="EX"/>
      </w:pPr>
      <w:r w:rsidRPr="004D0DAA">
        <w:t>Message type:</w:t>
      </w:r>
      <w:r w:rsidRPr="004D0DAA">
        <w:tab/>
        <w:t>PACKET DBPSCH DOWNLINK ACK/NACK TYPE 2</w:t>
      </w:r>
    </w:p>
    <w:p w14:paraId="456C43ED" w14:textId="77777777" w:rsidR="00711444" w:rsidRPr="004D0DAA" w:rsidRDefault="00711444" w:rsidP="00711444">
      <w:pPr>
        <w:pStyle w:val="EX"/>
      </w:pPr>
      <w:r w:rsidRPr="004D0DAA">
        <w:t>Direction:</w:t>
      </w:r>
      <w:r w:rsidRPr="004D0DAA">
        <w:tab/>
        <w:t>mobile station to network</w:t>
      </w:r>
    </w:p>
    <w:p w14:paraId="6576BCCD" w14:textId="77777777" w:rsidR="00711444" w:rsidRPr="004D0DAA" w:rsidRDefault="00711444" w:rsidP="00711444">
      <w:pPr>
        <w:pStyle w:val="TH"/>
      </w:pPr>
      <w:r w:rsidRPr="004D0DAA">
        <w:lastRenderedPageBreak/>
        <w:t xml:space="preserve">Table 11.2.6c.1: </w:t>
      </w:r>
      <w:r w:rsidRPr="004D0DAA">
        <w:rPr>
          <w:caps/>
        </w:rPr>
        <w:t>Packet DBPSCH Downlink Ack/Nack</w:t>
      </w:r>
      <w:r w:rsidRPr="004D0DAA">
        <w:t xml:space="preserve"> TYPE 2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D5D7EF0" w14:textId="77777777" w:rsidTr="00AA2A4C">
        <w:tblPrEx>
          <w:tblCellMar>
            <w:top w:w="0" w:type="dxa"/>
            <w:bottom w:w="0" w:type="dxa"/>
          </w:tblCellMar>
        </w:tblPrEx>
        <w:trPr>
          <w:cantSplit/>
        </w:trPr>
        <w:tc>
          <w:tcPr>
            <w:tcW w:w="9848" w:type="dxa"/>
          </w:tcPr>
          <w:p w14:paraId="1735FF48" w14:textId="77777777" w:rsidR="00711444" w:rsidRPr="004D0DAA" w:rsidRDefault="00711444" w:rsidP="00AA2A4C">
            <w:pPr>
              <w:pStyle w:val="TAL"/>
              <w:rPr>
                <w:lang w:eastAsia="en-US"/>
              </w:rPr>
            </w:pPr>
            <w:r w:rsidRPr="004D0DAA">
              <w:rPr>
                <w:lang w:eastAsia="en-US"/>
              </w:rPr>
              <w:t>&lt; Packet DBPSCH Downlink Ack/Nack Type 2 message &gt; ::=</w:t>
            </w:r>
          </w:p>
          <w:p w14:paraId="0D8F3BD6" w14:textId="77777777" w:rsidR="00711444" w:rsidRPr="004D0DAA" w:rsidRDefault="00711444" w:rsidP="00AA2A4C">
            <w:pPr>
              <w:pStyle w:val="TAL"/>
              <w:rPr>
                <w:b/>
                <w:bCs/>
                <w:i/>
                <w:iCs/>
                <w:lang w:eastAsia="en-US"/>
              </w:rPr>
            </w:pPr>
            <w:r w:rsidRPr="004D0DAA">
              <w:rPr>
                <w:lang w:eastAsia="en-US"/>
              </w:rPr>
              <w:tab/>
              <w:t xml:space="preserve">&lt; </w:t>
            </w:r>
            <w:r w:rsidRPr="004D0DAA">
              <w:rPr>
                <w:b/>
                <w:bCs/>
                <w:lang w:eastAsia="en-US"/>
              </w:rPr>
              <w:t>MESSAGE_TYPE</w:t>
            </w:r>
            <w:r w:rsidRPr="004D0DAA">
              <w:rPr>
                <w:lang w:eastAsia="en-US"/>
              </w:rPr>
              <w:t xml:space="preserve"> : bit (6) == 000010 &gt; </w:t>
            </w:r>
            <w:r w:rsidRPr="004D0DAA">
              <w:rPr>
                <w:lang w:eastAsia="en-US"/>
              </w:rPr>
              <w:tab/>
              <w:t xml:space="preserve">-- </w:t>
            </w:r>
            <w:r w:rsidRPr="004D0DAA">
              <w:rPr>
                <w:i/>
                <w:iCs/>
                <w:lang w:eastAsia="en-US"/>
              </w:rPr>
              <w:t xml:space="preserve">The same message type as for Packet DBPSCH Downlink Ack/Nack is </w:t>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used since these two messages are mutually exclusive</w:t>
            </w:r>
          </w:p>
          <w:p w14:paraId="4AF7299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RB Id</w:t>
            </w:r>
            <w:r w:rsidRPr="004D0DAA">
              <w:rPr>
                <w:b/>
                <w:lang w:eastAsia="en-US"/>
              </w:rPr>
              <w:t xml:space="preserve"> </w:t>
            </w:r>
            <w:r w:rsidRPr="004D0DAA">
              <w:rPr>
                <w:lang w:eastAsia="en-US"/>
              </w:rPr>
              <w:t>: bit (5) &gt;</w:t>
            </w:r>
          </w:p>
          <w:p w14:paraId="0702EC62"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 EGPRS Channel Quality Report</w:t>
            </w:r>
            <w:r w:rsidRPr="004D0DAA">
              <w:rPr>
                <w:lang w:eastAsia="en-US"/>
              </w:rPr>
              <w:t xml:space="preserve"> : &lt; EGPRS Channel Quality Report IE &gt; &gt;</w:t>
            </w:r>
          </w:p>
          <w:p w14:paraId="1633285F"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iCs/>
                <w:lang w:eastAsia="en-US"/>
              </w:rPr>
              <w:t xml:space="preserve">-- </w:t>
            </w:r>
            <w:r w:rsidRPr="004D0DAA">
              <w:rPr>
                <w:i/>
                <w:iCs/>
                <w:lang w:eastAsia="en-US"/>
              </w:rPr>
              <w:t>UDCH TBF mode</w:t>
            </w:r>
          </w:p>
          <w:p w14:paraId="43A083E7"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0 </w:t>
            </w:r>
            <w:r w:rsidRPr="004D0DAA">
              <w:rPr>
                <w:iCs/>
                <w:lang w:eastAsia="en-US"/>
              </w:rPr>
              <w:t xml:space="preserve">-- </w:t>
            </w:r>
            <w:r w:rsidRPr="004D0DAA">
              <w:rPr>
                <w:i/>
                <w:iCs/>
                <w:lang w:eastAsia="en-US"/>
              </w:rPr>
              <w:t>All data blocks acknowledged, no retransmission requested</w:t>
            </w:r>
          </w:p>
          <w:p w14:paraId="7FF10204"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w:t>
            </w:r>
            <w:r w:rsidRPr="004D0DAA">
              <w:rPr>
                <w:b/>
                <w:bCs/>
                <w:lang w:eastAsia="en-US"/>
              </w:rPr>
              <w:t xml:space="preserve"> FLO Ack/Nack Description </w:t>
            </w:r>
            <w:r w:rsidRPr="004D0DAA">
              <w:rPr>
                <w:lang w:eastAsia="en-US"/>
              </w:rPr>
              <w:t>: &lt; FLO Ack/Nack Description IE &gt; &gt; }</w:t>
            </w:r>
          </w:p>
          <w:p w14:paraId="5BE75022"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iCs/>
                <w:lang w:eastAsia="en-US"/>
              </w:rPr>
              <w:t xml:space="preserve">-- </w:t>
            </w:r>
            <w:r w:rsidRPr="004D0DAA">
              <w:rPr>
                <w:i/>
                <w:iCs/>
                <w:lang w:eastAsia="en-US"/>
              </w:rPr>
              <w:t>CDCH TBF mode</w:t>
            </w:r>
          </w:p>
          <w:p w14:paraId="53FA0BC8"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0 </w:t>
            </w:r>
            <w:r w:rsidRPr="004D0DAA">
              <w:rPr>
                <w:iCs/>
                <w:lang w:eastAsia="en-US"/>
              </w:rPr>
              <w:t xml:space="preserve">-- </w:t>
            </w:r>
            <w:r w:rsidRPr="004D0DAA">
              <w:rPr>
                <w:i/>
                <w:iCs/>
                <w:lang w:eastAsia="en-US"/>
              </w:rPr>
              <w:t>All data blocks acknowledged, no retransmission requested</w:t>
            </w:r>
          </w:p>
          <w:p w14:paraId="3AA2D2EB"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(4) &gt;</w:t>
            </w:r>
          </w:p>
          <w:p w14:paraId="138264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(8) &gt; } }</w:t>
            </w:r>
          </w:p>
          <w:p w14:paraId="0C50A884" w14:textId="77777777" w:rsidR="00711444" w:rsidRPr="004D0DAA" w:rsidRDefault="00711444" w:rsidP="00AA2A4C">
            <w:pPr>
              <w:pStyle w:val="TAL"/>
              <w:rPr>
                <w:lang w:eastAsia="en-US"/>
              </w:rPr>
            </w:pPr>
            <w:r w:rsidRPr="004D0DAA">
              <w:rPr>
                <w:lang w:eastAsia="en-US"/>
              </w:rPr>
              <w:tab/>
              <w:t>&lt;padding bits &gt; ;</w:t>
            </w:r>
          </w:p>
        </w:tc>
      </w:tr>
    </w:tbl>
    <w:p w14:paraId="56DB6C64" w14:textId="77777777" w:rsidR="00711444" w:rsidRPr="004D0DAA" w:rsidRDefault="00711444" w:rsidP="00711444"/>
    <w:p w14:paraId="3ADA22CD" w14:textId="77777777" w:rsidR="00711444" w:rsidRPr="004D0DAA" w:rsidRDefault="00711444" w:rsidP="00711444">
      <w:pPr>
        <w:pStyle w:val="TH"/>
      </w:pPr>
      <w:r w:rsidRPr="004D0DAA">
        <w:t xml:space="preserve">Table 11.2.6c.2: </w:t>
      </w:r>
      <w:r w:rsidRPr="004D0DAA">
        <w:rPr>
          <w:caps/>
        </w:rPr>
        <w:t>Packet DBPSCH Downlink Ack/Nack TYPE 2</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09B635E" w14:textId="77777777" w:rsidTr="00AA2A4C">
        <w:tblPrEx>
          <w:tblCellMar>
            <w:top w:w="0" w:type="dxa"/>
            <w:bottom w:w="0" w:type="dxa"/>
          </w:tblCellMar>
        </w:tblPrEx>
        <w:trPr>
          <w:cantSplit/>
          <w:trHeight w:val="23"/>
        </w:trPr>
        <w:tc>
          <w:tcPr>
            <w:tcW w:w="9848" w:type="dxa"/>
          </w:tcPr>
          <w:p w14:paraId="5D75F095" w14:textId="77777777" w:rsidR="00711444" w:rsidRPr="004D0DAA" w:rsidRDefault="00711444" w:rsidP="00AA2A4C">
            <w:pPr>
              <w:rPr>
                <w:b/>
              </w:rPr>
            </w:pPr>
            <w:r w:rsidRPr="004D0DAA">
              <w:rPr>
                <w:b/>
              </w:rPr>
              <w:t>RB Id</w:t>
            </w:r>
            <w:r w:rsidRPr="004D0DAA">
              <w:t xml:space="preserve"> (5 bit field)</w:t>
            </w:r>
            <w:r w:rsidRPr="004D0DAA">
              <w:br/>
              <w:t>This field contains the radio bearer identity of the mobile station's radio bearer for which the downlink data transfer is acknowledged. This field is encoded as a binary number with range 0-31.</w:t>
            </w:r>
          </w:p>
        </w:tc>
      </w:tr>
      <w:tr w:rsidR="00711444" w:rsidRPr="004D0DAA" w14:paraId="0C0734B9" w14:textId="77777777" w:rsidTr="00AA2A4C">
        <w:tblPrEx>
          <w:tblCellMar>
            <w:top w:w="0" w:type="dxa"/>
            <w:bottom w:w="0" w:type="dxa"/>
          </w:tblCellMar>
        </w:tblPrEx>
        <w:trPr>
          <w:cantSplit/>
          <w:trHeight w:val="23"/>
        </w:trPr>
        <w:tc>
          <w:tcPr>
            <w:tcW w:w="9848" w:type="dxa"/>
          </w:tcPr>
          <w:p w14:paraId="343FBB75" w14:textId="77777777" w:rsidR="00711444" w:rsidRPr="004D0DAA" w:rsidRDefault="00711444" w:rsidP="00AA2A4C">
            <w:pPr>
              <w:rPr>
                <w:b/>
              </w:rPr>
            </w:pPr>
            <w:r w:rsidRPr="004D0DAA">
              <w:rPr>
                <w:b/>
              </w:rPr>
              <w:t xml:space="preserve">FLO Ack/Nack Description IE </w:t>
            </w:r>
            <w:r w:rsidRPr="004D0DAA">
              <w:t>(x bit field)</w:t>
            </w:r>
            <w:r w:rsidRPr="004D0DAA">
              <w:rPr>
                <w:b/>
              </w:rPr>
              <w:br/>
            </w:r>
            <w:r w:rsidRPr="004D0DAA">
              <w:t>This information element is defined in</w:t>
            </w:r>
            <w:r w:rsidRPr="004D0DAA">
              <w:rPr>
                <w:i/>
              </w:rPr>
              <w:t xml:space="preserve"> </w:t>
            </w:r>
            <w:r w:rsidRPr="004D0DAA">
              <w:t>sub-clause 12.3.2.</w:t>
            </w:r>
          </w:p>
        </w:tc>
      </w:tr>
      <w:tr w:rsidR="00711444" w:rsidRPr="004D0DAA" w14:paraId="0A3760BD" w14:textId="77777777" w:rsidTr="00AA2A4C">
        <w:tblPrEx>
          <w:tblCellMar>
            <w:top w:w="0" w:type="dxa"/>
            <w:bottom w:w="0" w:type="dxa"/>
          </w:tblCellMar>
        </w:tblPrEx>
        <w:trPr>
          <w:cantSplit/>
          <w:trHeight w:val="23"/>
        </w:trPr>
        <w:tc>
          <w:tcPr>
            <w:tcW w:w="9848" w:type="dxa"/>
          </w:tcPr>
          <w:p w14:paraId="0B7E600C" w14:textId="77777777" w:rsidR="00711444" w:rsidRPr="004D0DAA" w:rsidRDefault="00711444" w:rsidP="00AA2A4C">
            <w:pPr>
              <w:rPr>
                <w:b/>
              </w:rPr>
            </w:pPr>
            <w:r w:rsidRPr="004D0DAA">
              <w:rPr>
                <w:b/>
              </w:rPr>
              <w:t xml:space="preserve">STARTING_SEQUENCE_NUMBER </w:t>
            </w:r>
            <w:r w:rsidRPr="004D0DAA">
              <w:t>(4 bit field)</w:t>
            </w:r>
            <w:r w:rsidRPr="004D0DAA">
              <w:rPr>
                <w:b/>
              </w:rPr>
              <w:br/>
            </w:r>
            <w:r w:rsidRPr="004D0DAA">
              <w:t>The SSN contains the value of V(R) when this information element was transmitted. This field is encoded as the binary representation of V(R).</w:t>
            </w:r>
            <w:r w:rsidRPr="004D0DAA">
              <w:br/>
              <w:t>Range 0 to 15</w:t>
            </w:r>
          </w:p>
        </w:tc>
      </w:tr>
      <w:tr w:rsidR="00711444" w:rsidRPr="004D0DAA" w14:paraId="7A6B7956" w14:textId="77777777" w:rsidTr="00AA2A4C">
        <w:tblPrEx>
          <w:tblCellMar>
            <w:top w:w="0" w:type="dxa"/>
            <w:bottom w:w="0" w:type="dxa"/>
          </w:tblCellMar>
        </w:tblPrEx>
        <w:trPr>
          <w:cantSplit/>
          <w:trHeight w:val="23"/>
        </w:trPr>
        <w:tc>
          <w:tcPr>
            <w:tcW w:w="9848" w:type="dxa"/>
          </w:tcPr>
          <w:p w14:paraId="0986E4DE" w14:textId="77777777" w:rsidR="00711444" w:rsidRPr="004D0DAA" w:rsidRDefault="00711444" w:rsidP="00AA2A4C">
            <w:pPr>
              <w:keepNext/>
              <w:keepLines/>
            </w:pPr>
            <w:r w:rsidRPr="004D0DAA">
              <w:rPr>
                <w:b/>
              </w:rPr>
              <w:t>RECEIVE_BLOCK_BITMAP (RBB)</w:t>
            </w:r>
            <w:r w:rsidRPr="004D0DAA">
              <w:t xml:space="preserve"> (128 or 8 bit field)</w:t>
            </w:r>
            <w:r w:rsidRPr="004D0DAA">
              <w:br/>
              <w:t>The RBB is a bitmap representing Block Sequence Numbers. The bitmap is indexed relative to SSN as follows:</w:t>
            </w:r>
          </w:p>
          <w:p w14:paraId="1706C097" w14:textId="77777777" w:rsidR="00711444" w:rsidRPr="004D0DAA" w:rsidRDefault="00711444" w:rsidP="00AA2A4C">
            <w:pPr>
              <w:pStyle w:val="FP"/>
              <w:tabs>
                <w:tab w:val="left" w:pos="4111"/>
                <w:tab w:val="left" w:pos="6663"/>
              </w:tabs>
              <w:ind w:left="284"/>
            </w:pPr>
            <w:r w:rsidRPr="004D0DAA">
              <w:t>BSN = (SSN - bit_number) modulo 16, for bit_number = 1 to 8 (8 bit field).</w:t>
            </w:r>
          </w:p>
          <w:p w14:paraId="79170D36" w14:textId="77777777" w:rsidR="00711444" w:rsidRPr="004D0DAA" w:rsidRDefault="00711444" w:rsidP="00AA2A4C">
            <w:pPr>
              <w:pStyle w:val="FP"/>
              <w:tabs>
                <w:tab w:val="left" w:pos="4111"/>
                <w:tab w:val="left" w:pos="6663"/>
              </w:tabs>
              <w:ind w:left="284"/>
            </w:pPr>
          </w:p>
          <w:p w14:paraId="0462BED7" w14:textId="77777777" w:rsidR="00711444" w:rsidRPr="004D0DAA" w:rsidRDefault="00711444" w:rsidP="00AA2A4C">
            <w:pPr>
              <w:keepNext/>
              <w:keepLines/>
            </w:pPr>
            <w:r w:rsidRPr="004D0DAA">
              <w:t>The BSN values represented range:</w:t>
            </w:r>
          </w:p>
          <w:p w14:paraId="5B3FF913" w14:textId="77777777" w:rsidR="00711444" w:rsidRPr="004D0DAA" w:rsidRDefault="00711444" w:rsidP="00AA2A4C">
            <w:pPr>
              <w:pStyle w:val="FP"/>
              <w:tabs>
                <w:tab w:val="left" w:pos="4678"/>
                <w:tab w:val="left" w:pos="6663"/>
              </w:tabs>
              <w:ind w:left="284"/>
            </w:pPr>
            <w:r w:rsidRPr="004D0DAA">
              <w:t>from (SSN - 1) mod 16 to (SSN - 8) mod 16 (8 bit field)</w:t>
            </w:r>
          </w:p>
          <w:p w14:paraId="404325DE" w14:textId="77777777" w:rsidR="00711444" w:rsidRPr="004D0DAA" w:rsidRDefault="00711444" w:rsidP="00AA2A4C">
            <w:pPr>
              <w:pStyle w:val="FP"/>
              <w:tabs>
                <w:tab w:val="left" w:pos="4111"/>
                <w:tab w:val="left" w:pos="6663"/>
              </w:tabs>
              <w:ind w:left="284"/>
            </w:pPr>
          </w:p>
          <w:p w14:paraId="6B1098ED" w14:textId="77777777" w:rsidR="00711444" w:rsidRPr="004D0DAA" w:rsidRDefault="00711444" w:rsidP="00AA2A4C">
            <w:pPr>
              <w:keepNext/>
              <w:keepLines/>
            </w:pPr>
            <w:r w:rsidRPr="004D0DAA">
              <w:t>The value of each bit represents the acknowledgement status of the RLC data block with:</w:t>
            </w:r>
          </w:p>
          <w:p w14:paraId="76C7AFC9" w14:textId="77777777" w:rsidR="00711444" w:rsidRPr="004D0DAA" w:rsidRDefault="00711444" w:rsidP="00AA2A4C">
            <w:pPr>
              <w:pStyle w:val="FP"/>
              <w:tabs>
                <w:tab w:val="left" w:pos="4111"/>
                <w:tab w:val="left" w:pos="6663"/>
              </w:tabs>
              <w:ind w:left="284"/>
            </w:pPr>
            <w:r w:rsidRPr="004D0DAA">
              <w:t>BSN = (SSN - bit_number) mod 16 (8 bit field),</w:t>
            </w:r>
          </w:p>
          <w:p w14:paraId="65AF9D3D" w14:textId="77777777" w:rsidR="00711444" w:rsidRPr="004D0DAA" w:rsidRDefault="00711444" w:rsidP="00AA2A4C">
            <w:pPr>
              <w:pStyle w:val="FP"/>
              <w:tabs>
                <w:tab w:val="left" w:pos="4111"/>
                <w:tab w:val="left" w:pos="6663"/>
              </w:tabs>
              <w:ind w:left="284"/>
            </w:pPr>
          </w:p>
          <w:p w14:paraId="1D302AAB" w14:textId="77777777" w:rsidR="00711444" w:rsidRPr="004D0DAA" w:rsidRDefault="00711444" w:rsidP="00AA2A4C">
            <w:pPr>
              <w:keepNext/>
              <w:keepLines/>
            </w:pPr>
            <w:r w:rsidRPr="004D0DAA">
              <w:t>it is encoded as follows:</w:t>
            </w:r>
          </w:p>
          <w:p w14:paraId="5BE19F1D" w14:textId="77777777" w:rsidR="00711444" w:rsidRPr="004D0DAA" w:rsidRDefault="00711444" w:rsidP="00AA2A4C">
            <w:pPr>
              <w:pStyle w:val="FP"/>
              <w:tabs>
                <w:tab w:val="left" w:pos="709"/>
                <w:tab w:val="left" w:pos="4111"/>
                <w:tab w:val="left" w:pos="6663"/>
              </w:tabs>
              <w:ind w:left="284"/>
            </w:pPr>
            <w:r w:rsidRPr="004D0DAA">
              <w:t>0</w:t>
            </w:r>
            <w:r w:rsidRPr="004D0DAA">
              <w:tab/>
              <w:t>Negative acknowledgement</w:t>
            </w:r>
          </w:p>
          <w:p w14:paraId="79A1EFD4" w14:textId="77777777" w:rsidR="00711444" w:rsidRPr="004D0DAA" w:rsidRDefault="00711444" w:rsidP="00AA2A4C">
            <w:pPr>
              <w:pStyle w:val="FP"/>
              <w:tabs>
                <w:tab w:val="left" w:pos="709"/>
                <w:tab w:val="left" w:pos="4111"/>
                <w:tab w:val="left" w:pos="6663"/>
              </w:tabs>
              <w:ind w:left="284"/>
            </w:pPr>
            <w:r w:rsidRPr="004D0DAA">
              <w:t>1</w:t>
            </w:r>
            <w:r w:rsidRPr="004D0DAA">
              <w:tab/>
              <w:t>Positive acknowledgement</w:t>
            </w:r>
          </w:p>
          <w:p w14:paraId="547A7F1E" w14:textId="77777777" w:rsidR="00711444" w:rsidRPr="004D0DAA" w:rsidRDefault="00711444" w:rsidP="00AA2A4C"/>
        </w:tc>
      </w:tr>
    </w:tbl>
    <w:p w14:paraId="081AD779" w14:textId="77777777" w:rsidR="00711444" w:rsidRPr="004D0DAA" w:rsidRDefault="00711444" w:rsidP="00711444"/>
    <w:p w14:paraId="08C900EC" w14:textId="77777777" w:rsidR="00711444" w:rsidRPr="004D0DAA" w:rsidRDefault="00711444" w:rsidP="00711444">
      <w:pPr>
        <w:pStyle w:val="Heading3"/>
      </w:pPr>
      <w:bookmarkStart w:id="660" w:name="_Toc516669837"/>
      <w:r w:rsidRPr="004D0DAA">
        <w:t>11.2.6d</w:t>
      </w:r>
      <w:r w:rsidRPr="004D0DAA">
        <w:tab/>
        <w:t>MBMS Downlink Ack/Nack</w:t>
      </w:r>
      <w:bookmarkEnd w:id="660"/>
    </w:p>
    <w:p w14:paraId="2235078C" w14:textId="77777777" w:rsidR="00711444" w:rsidRPr="004D0DAA" w:rsidRDefault="00711444" w:rsidP="00711444">
      <w:r w:rsidRPr="004D0DAA">
        <w:t>This message is sent on the PACCH from the mobile station to the network to indicate the status of downlink RLC data blocks received, to report neighbouring cell measurements and to notify the network of the release of the MS_ID on the mobile station side.</w:t>
      </w:r>
    </w:p>
    <w:p w14:paraId="676F46F8" w14:textId="77777777" w:rsidR="00711444" w:rsidRPr="004D0DAA" w:rsidRDefault="00711444" w:rsidP="00711444">
      <w:pPr>
        <w:pStyle w:val="EX"/>
      </w:pPr>
      <w:r w:rsidRPr="004D0DAA">
        <w:t>Message type:</w:t>
      </w:r>
      <w:r w:rsidRPr="004D0DAA">
        <w:tab/>
        <w:t>MBMS Downlink Ack/Nack</w:t>
      </w:r>
    </w:p>
    <w:p w14:paraId="33029261" w14:textId="77777777" w:rsidR="00711444" w:rsidRPr="004D0DAA" w:rsidRDefault="00711444" w:rsidP="00711444">
      <w:pPr>
        <w:pStyle w:val="EX"/>
      </w:pPr>
      <w:r w:rsidRPr="004D0DAA">
        <w:t>Direction:</w:t>
      </w:r>
      <w:r w:rsidRPr="004D0DAA">
        <w:tab/>
        <w:t>mobile station to network</w:t>
      </w:r>
    </w:p>
    <w:p w14:paraId="04B65780" w14:textId="77777777" w:rsidR="00711444" w:rsidRPr="004D0DAA" w:rsidRDefault="00711444" w:rsidP="00711444">
      <w:pPr>
        <w:pStyle w:val="TH"/>
      </w:pPr>
      <w:r w:rsidRPr="004D0DAA">
        <w:lastRenderedPageBreak/>
        <w:t xml:space="preserve">Table 11.2.6d.1: </w:t>
      </w:r>
      <w:r w:rsidRPr="004D0DAA">
        <w:rPr>
          <w:caps/>
        </w:rPr>
        <w:t>MBMS Downlink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27E0541" w14:textId="77777777" w:rsidTr="00AA2A4C">
        <w:tblPrEx>
          <w:tblCellMar>
            <w:top w:w="0" w:type="dxa"/>
            <w:bottom w:w="0" w:type="dxa"/>
          </w:tblCellMar>
        </w:tblPrEx>
        <w:trPr>
          <w:cantSplit/>
        </w:trPr>
        <w:tc>
          <w:tcPr>
            <w:tcW w:w="9848" w:type="dxa"/>
          </w:tcPr>
          <w:p w14:paraId="62478F2E" w14:textId="77777777" w:rsidR="00711444" w:rsidRPr="004D0DAA" w:rsidRDefault="00711444" w:rsidP="00AA2A4C">
            <w:pPr>
              <w:pStyle w:val="TAL"/>
              <w:rPr>
                <w:lang w:eastAsia="en-US"/>
              </w:rPr>
            </w:pPr>
            <w:r w:rsidRPr="004D0DAA">
              <w:rPr>
                <w:lang w:eastAsia="en-US"/>
              </w:rPr>
              <w:t>&lt; MBMS Downlink Ack/Nack message content &gt; ::=</w:t>
            </w:r>
          </w:p>
          <w:p w14:paraId="6E4CD51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DOWNLINK_TFI </w:t>
            </w:r>
            <w:r w:rsidRPr="004D0DAA">
              <w:rPr>
                <w:lang w:eastAsia="en-US"/>
              </w:rPr>
              <w:t>: bit (5) &gt;</w:t>
            </w:r>
          </w:p>
          <w:p w14:paraId="1496C29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MBMS Neighbouring Cell Report</w:t>
            </w:r>
            <w:r w:rsidRPr="004D0DAA">
              <w:rPr>
                <w:lang w:eastAsia="en-US"/>
              </w:rPr>
              <w:t xml:space="preserve"> : &lt; MBMS Neighbouring Cell Report struct &gt; &gt; -- </w:t>
            </w:r>
            <w:r w:rsidRPr="004D0DAA">
              <w:rPr>
                <w:i/>
                <w:iCs/>
                <w:lang w:eastAsia="en-US"/>
              </w:rPr>
              <w:t>Neighbouring cell reporting</w:t>
            </w:r>
          </w:p>
          <w:p w14:paraId="76B41DC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MS_ID Release Indication</w:t>
            </w:r>
            <w:r w:rsidRPr="004D0DAA">
              <w:rPr>
                <w:lang w:eastAsia="en-US"/>
              </w:rPr>
              <w:t xml:space="preserve"> : bit (1) &gt;</w:t>
            </w:r>
          </w:p>
          <w:p w14:paraId="76E65B7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Extension Bits</w:t>
            </w:r>
            <w:r w:rsidRPr="004D0DAA">
              <w:rPr>
                <w:lang w:eastAsia="en-US"/>
              </w:rPr>
              <w:t xml:space="preserve"> : Extension Bits IE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sub-clause 12.26</w:t>
            </w:r>
          </w:p>
          <w:p w14:paraId="7E4FC2DD"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xml:space="preserve">&lt; </w:t>
            </w:r>
            <w:r w:rsidRPr="004D0DAA">
              <w:rPr>
                <w:b/>
                <w:bCs/>
                <w:lang w:eastAsia="en-US"/>
              </w:rPr>
              <w:t>Ack/Nack Description</w:t>
            </w:r>
            <w:r w:rsidRPr="004D0DAA">
              <w:rPr>
                <w:lang w:eastAsia="en-US"/>
              </w:rPr>
              <w:t xml:space="preserve"> : &lt; Ack/Nack Description IE &gt; &gt; </w:t>
            </w:r>
            <w:r w:rsidRPr="004D0DAA">
              <w:rPr>
                <w:lang w:eastAsia="en-US"/>
              </w:rPr>
              <w:tab/>
              <w:t xml:space="preserve">-- </w:t>
            </w:r>
            <w:r w:rsidRPr="004D0DAA">
              <w:rPr>
                <w:i/>
                <w:iCs/>
                <w:lang w:eastAsia="en-US"/>
              </w:rPr>
              <w:t>Ack/Nack information</w:t>
            </w:r>
          </w:p>
          <w:p w14:paraId="54F38202"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MS_OUT_OF_MEMORY</w:t>
            </w:r>
            <w:r w:rsidRPr="004D0DAA">
              <w:rPr>
                <w:lang w:eastAsia="en-US"/>
              </w:rPr>
              <w:t xml:space="preserve"> : bit (1) &gt;</w:t>
            </w:r>
            <w:r w:rsidRPr="004D0DAA">
              <w:rPr>
                <w:lang w:eastAsia="en-US"/>
              </w:rPr>
              <w:tab/>
            </w:r>
          </w:p>
          <w:p w14:paraId="1CCF6BF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EGPRS Ack/Nack Description</w:t>
            </w:r>
            <w:r w:rsidRPr="004D0DAA">
              <w:rPr>
                <w:lang w:eastAsia="en-US"/>
              </w:rPr>
              <w:t xml:space="preserve"> : &lt; EGPRS Ack/Nack Description IE &gt; &gt; }</w:t>
            </w:r>
          </w:p>
          <w:p w14:paraId="5C6D58B0" w14:textId="77777777" w:rsidR="00711444" w:rsidRPr="004D0DAA" w:rsidRDefault="00711444" w:rsidP="00AA2A4C">
            <w:pPr>
              <w:pStyle w:val="TAL"/>
              <w:rPr>
                <w:lang w:eastAsia="en-US"/>
              </w:rPr>
            </w:pPr>
            <w:r w:rsidRPr="004D0DAA">
              <w:rPr>
                <w:lang w:eastAsia="en-US"/>
              </w:rPr>
              <w:tab/>
            </w:r>
            <w:r w:rsidRPr="004D0DAA">
              <w:rPr>
                <w:lang w:eastAsia="en-US"/>
              </w:rPr>
              <w:tab/>
              <w:t>&lt;padding bits &gt; ;</w:t>
            </w:r>
          </w:p>
          <w:p w14:paraId="69F04B1A" w14:textId="77777777" w:rsidR="00711444" w:rsidRPr="004D0DAA" w:rsidRDefault="00711444" w:rsidP="00AA2A4C">
            <w:pPr>
              <w:pStyle w:val="TAL"/>
              <w:rPr>
                <w:lang w:eastAsia="en-US"/>
              </w:rPr>
            </w:pPr>
          </w:p>
        </w:tc>
      </w:tr>
      <w:tr w:rsidR="00711444" w:rsidRPr="004D0DAA" w14:paraId="0DCB9C26" w14:textId="77777777" w:rsidTr="00AA2A4C">
        <w:tblPrEx>
          <w:tblCellMar>
            <w:top w:w="0" w:type="dxa"/>
            <w:bottom w:w="0" w:type="dxa"/>
          </w:tblCellMar>
        </w:tblPrEx>
        <w:trPr>
          <w:cantSplit/>
        </w:trPr>
        <w:tc>
          <w:tcPr>
            <w:tcW w:w="9848" w:type="dxa"/>
          </w:tcPr>
          <w:p w14:paraId="779C5C29" w14:textId="77777777" w:rsidR="00711444" w:rsidRPr="004D0DAA" w:rsidRDefault="00711444" w:rsidP="00AA2A4C">
            <w:pPr>
              <w:pStyle w:val="TAL"/>
              <w:rPr>
                <w:lang w:eastAsia="en-US"/>
              </w:rPr>
            </w:pPr>
            <w:r w:rsidRPr="004D0DAA">
              <w:rPr>
                <w:lang w:eastAsia="en-US"/>
              </w:rPr>
              <w:t>&lt; MBMS Neighbouring Cell Report struct &gt; ::=</w:t>
            </w:r>
          </w:p>
          <w:p w14:paraId="44889106"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BA_USED</w:t>
            </w:r>
            <w:r w:rsidRPr="004D0DAA">
              <w:rPr>
                <w:lang w:eastAsia="en-US"/>
              </w:rPr>
              <w:t xml:space="preserve"> : bit (1) &gt;</w:t>
            </w:r>
          </w:p>
          <w:p w14:paraId="46305E08"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PSI3_CHANGE_MARK</w:t>
            </w:r>
            <w:r w:rsidRPr="004D0DAA">
              <w:rPr>
                <w:lang w:eastAsia="en-US"/>
              </w:rPr>
              <w:t xml:space="preserve"> : bit (2) &gt; }</w:t>
            </w:r>
          </w:p>
          <w:p w14:paraId="4894445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Neighbouring Cell Report</w:t>
            </w:r>
            <w:r w:rsidRPr="004D0DAA">
              <w:rPr>
                <w:lang w:eastAsia="en-US"/>
              </w:rPr>
              <w:t xml:space="preserve"> : &lt; Neighbouring Cell Report struct &gt; &gt;;</w:t>
            </w:r>
          </w:p>
          <w:p w14:paraId="7B0F1CAA" w14:textId="77777777" w:rsidR="00711444" w:rsidRPr="004D0DAA" w:rsidRDefault="00711444" w:rsidP="00AA2A4C">
            <w:pPr>
              <w:pStyle w:val="TAL"/>
              <w:rPr>
                <w:lang w:eastAsia="en-US"/>
              </w:rPr>
            </w:pPr>
          </w:p>
        </w:tc>
      </w:tr>
      <w:tr w:rsidR="00711444" w:rsidRPr="004D0DAA" w14:paraId="7B108E26" w14:textId="77777777" w:rsidTr="00AA2A4C">
        <w:tblPrEx>
          <w:tblCellMar>
            <w:top w:w="0" w:type="dxa"/>
            <w:bottom w:w="0" w:type="dxa"/>
          </w:tblCellMar>
        </w:tblPrEx>
        <w:trPr>
          <w:cantSplit/>
        </w:trPr>
        <w:tc>
          <w:tcPr>
            <w:tcW w:w="9848" w:type="dxa"/>
          </w:tcPr>
          <w:p w14:paraId="573210FB" w14:textId="77777777" w:rsidR="00711444" w:rsidRPr="004D0DAA" w:rsidRDefault="00711444" w:rsidP="00AA2A4C">
            <w:pPr>
              <w:pStyle w:val="TAL"/>
              <w:rPr>
                <w:lang w:eastAsia="en-US"/>
              </w:rPr>
            </w:pPr>
            <w:r w:rsidRPr="004D0DAA">
              <w:rPr>
                <w:lang w:eastAsia="en-US"/>
              </w:rPr>
              <w:t>&lt; Neighbouring Cell Report struct &gt; ::=</w:t>
            </w:r>
          </w:p>
          <w:p w14:paraId="36C2495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RXLEV_SERVING_CELL</w:t>
            </w:r>
            <w:r w:rsidRPr="004D0DAA">
              <w:rPr>
                <w:lang w:eastAsia="en-US"/>
              </w:rPr>
              <w:t xml:space="preserve"> : bit (6)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Serving cell Rx level</w:t>
            </w:r>
          </w:p>
          <w:p w14:paraId="56849ED7" w14:textId="77777777" w:rsidR="00711444" w:rsidRPr="004D0DAA" w:rsidRDefault="00711444" w:rsidP="00AA2A4C">
            <w:pPr>
              <w:pStyle w:val="TAL"/>
              <w:rPr>
                <w:i/>
                <w:iCs/>
                <w:lang w:eastAsia="en-US"/>
              </w:rPr>
            </w:pPr>
            <w:r w:rsidRPr="004D0DAA">
              <w:rPr>
                <w:lang w:eastAsia="en-US"/>
              </w:rPr>
              <w:tab/>
              <w:t xml:space="preserve">&lt; </w:t>
            </w:r>
            <w:r w:rsidRPr="004D0DAA">
              <w:rPr>
                <w:b/>
                <w:bCs/>
                <w:lang w:eastAsia="en-US"/>
              </w:rPr>
              <w:t>RESEL_CRITERIA_FULFILLED</w:t>
            </w:r>
            <w:r w:rsidRPr="004D0DAA">
              <w:rPr>
                <w:lang w:eastAsia="en-US"/>
              </w:rPr>
              <w:t xml:space="preserve"> : bit (1)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If re-selection criteria are fulfilled, only the</w:t>
            </w:r>
          </w:p>
          <w:p w14:paraId="38CE9132"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lang w:eastAsia="en-US"/>
              </w:rPr>
              <w:t xml:space="preserve">-- </w:t>
            </w:r>
            <w:r w:rsidRPr="004D0DAA">
              <w:rPr>
                <w:i/>
                <w:iCs/>
                <w:lang w:eastAsia="en-US"/>
              </w:rPr>
              <w:t>corresponding neighbouring cell is reported</w:t>
            </w:r>
          </w:p>
          <w:p w14:paraId="67A5050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NUMBER_OF_NEIGHBOURING_CELL_MEASUREMENTS</w:t>
            </w:r>
            <w:r w:rsidRPr="004D0DAA">
              <w:rPr>
                <w:lang w:eastAsia="en-US"/>
              </w:rPr>
              <w:t xml:space="preserve"> : bit (3) &gt;</w:t>
            </w:r>
          </w:p>
          <w:p w14:paraId="40BDC909"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bCs/>
                <w:lang w:eastAsia="en-US"/>
              </w:rPr>
              <w:t>NCELL_LIST_INDEX_N</w:t>
            </w:r>
            <w:r w:rsidRPr="004D0DAA">
              <w:rPr>
                <w:lang w:eastAsia="en-US"/>
              </w:rPr>
              <w:t xml:space="preserve"> : bit (7)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Neighbouring cells Rx levels</w:t>
            </w:r>
          </w:p>
          <w:p w14:paraId="4BD637A9"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1</w:t>
            </w:r>
            <w:r w:rsidRPr="004D0DAA">
              <w:rPr>
                <w:lang w:eastAsia="en-US"/>
              </w:rPr>
              <w:tab/>
              <w:t xml:space="preserve">&lt; </w:t>
            </w:r>
            <w:r w:rsidRPr="004D0DAA">
              <w:rPr>
                <w:b/>
                <w:bCs/>
                <w:lang w:eastAsia="en-US"/>
              </w:rPr>
              <w:t>BSIC_N</w:t>
            </w:r>
            <w:r w:rsidRPr="004D0DAA">
              <w:rPr>
                <w:lang w:eastAsia="en-US"/>
              </w:rPr>
              <w:t xml:space="preserve"> : bit (6) &gt; }</w:t>
            </w:r>
          </w:p>
          <w:p w14:paraId="74221C9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 xml:space="preserve">RXLEV_N </w:t>
            </w:r>
            <w:r w:rsidRPr="004D0DAA">
              <w:rPr>
                <w:lang w:eastAsia="en-US"/>
              </w:rPr>
              <w:t>: bit (6) &gt;</w:t>
            </w:r>
          </w:p>
          <w:p w14:paraId="5BB0CB8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RESEL_PARAMS_ACQUIRED</w:t>
            </w:r>
            <w:r w:rsidRPr="004D0DAA">
              <w:rPr>
                <w:lang w:eastAsia="en-US"/>
              </w:rPr>
              <w:t xml:space="preserve"> : bit (1) &gt;</w:t>
            </w:r>
          </w:p>
          <w:p w14:paraId="287C5302" w14:textId="77777777" w:rsidR="00711444" w:rsidRPr="004D0DAA" w:rsidRDefault="00711444" w:rsidP="00AA2A4C">
            <w:pPr>
              <w:pStyle w:val="TAL"/>
              <w:rPr>
                <w:i/>
                <w:iCs/>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No ptm parameters acquired for that session</w:t>
            </w:r>
          </w:p>
          <w:p w14:paraId="4489353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that cell</w:t>
            </w:r>
          </w:p>
          <w:p w14:paraId="5ECB4F61"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MBMS_PTM_CHANGE_MARK</w:t>
            </w:r>
            <w:r w:rsidRPr="004D0DAA">
              <w:rPr>
                <w:lang w:eastAsia="en-US"/>
              </w:rPr>
              <w:t xml:space="preserve"> : bit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Ptm parameters acquired for that session in</w:t>
            </w:r>
          </w:p>
          <w:p w14:paraId="38B1124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that cell</w:t>
            </w:r>
          </w:p>
          <w:p w14:paraId="7C163588" w14:textId="77777777" w:rsidR="00711444" w:rsidRPr="004D0DAA" w:rsidRDefault="00711444" w:rsidP="00AA2A4C">
            <w:pPr>
              <w:pStyle w:val="TAL"/>
              <w:rPr>
                <w:lang w:eastAsia="en-US"/>
              </w:rPr>
            </w:pPr>
            <w:r w:rsidRPr="004D0DAA">
              <w:rPr>
                <w:lang w:eastAsia="en-US"/>
              </w:rPr>
              <w:tab/>
              <w:t>} * val (NUMBER_OF_NEIGHBOURING CELL_MEASUREMENTS) ;</w:t>
            </w:r>
          </w:p>
        </w:tc>
      </w:tr>
    </w:tbl>
    <w:p w14:paraId="452A4FCD" w14:textId="77777777" w:rsidR="00711444" w:rsidRPr="004D0DAA" w:rsidRDefault="00711444" w:rsidP="00711444"/>
    <w:p w14:paraId="03443907" w14:textId="77777777" w:rsidR="00711444" w:rsidRPr="004D0DAA" w:rsidRDefault="00711444" w:rsidP="00711444">
      <w:pPr>
        <w:pStyle w:val="TH"/>
      </w:pPr>
      <w:r w:rsidRPr="004D0DAA">
        <w:t xml:space="preserve">Table 11.2.6d.2: </w:t>
      </w:r>
      <w:r w:rsidRPr="004D0DAA">
        <w:rPr>
          <w:caps/>
        </w:rPr>
        <w:t>MBMS Downlink Ack/Nack</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2F329E" w14:textId="77777777" w:rsidTr="00AA2A4C">
        <w:tblPrEx>
          <w:tblCellMar>
            <w:top w:w="0" w:type="dxa"/>
            <w:bottom w:w="0" w:type="dxa"/>
          </w:tblCellMar>
        </w:tblPrEx>
        <w:trPr>
          <w:cantSplit/>
          <w:trHeight w:val="23"/>
        </w:trPr>
        <w:tc>
          <w:tcPr>
            <w:tcW w:w="9848" w:type="dxa"/>
          </w:tcPr>
          <w:p w14:paraId="6B4C74F1" w14:textId="77777777" w:rsidR="00711444" w:rsidRPr="004D0DAA" w:rsidRDefault="00711444" w:rsidP="00AA2A4C">
            <w:pPr>
              <w:rPr>
                <w:b/>
              </w:rPr>
            </w:pPr>
            <w:r w:rsidRPr="004D0DAA">
              <w:rPr>
                <w:b/>
              </w:rPr>
              <w:t>DOWNLINK_TFI</w:t>
            </w:r>
            <w:r w:rsidRPr="004D0DAA">
              <w:t xml:space="preserve"> (5 bit field)</w:t>
            </w:r>
            <w:r w:rsidRPr="004D0DAA">
              <w:br/>
              <w:t>This field contains the TFI identifying the mobile station sending this message (i.e. the concatenation of the MBMS Bearer ID and the MS_ID).</w:t>
            </w:r>
          </w:p>
        </w:tc>
      </w:tr>
      <w:tr w:rsidR="00711444" w:rsidRPr="004D0DAA" w14:paraId="41DE5755" w14:textId="77777777" w:rsidTr="00AA2A4C">
        <w:tblPrEx>
          <w:tblCellMar>
            <w:top w:w="0" w:type="dxa"/>
            <w:bottom w:w="0" w:type="dxa"/>
          </w:tblCellMar>
        </w:tblPrEx>
        <w:trPr>
          <w:cantSplit/>
          <w:trHeight w:val="23"/>
        </w:trPr>
        <w:tc>
          <w:tcPr>
            <w:tcW w:w="9848" w:type="dxa"/>
          </w:tcPr>
          <w:p w14:paraId="00B5CBEB" w14:textId="77777777" w:rsidR="00711444" w:rsidRPr="004D0DAA" w:rsidRDefault="00711444" w:rsidP="00AA2A4C">
            <w:r w:rsidRPr="004D0DAA">
              <w:rPr>
                <w:b/>
              </w:rPr>
              <w:t xml:space="preserve">MS_ID Release Indication </w:t>
            </w:r>
            <w:r w:rsidRPr="004D0DAA">
              <w:t>(1 bit field)</w:t>
            </w:r>
            <w:r w:rsidRPr="004D0DAA">
              <w:br/>
              <w:t>This field is used by the mobile station to notify the network of the release of the MS_ID, for the MBMS radio bearer the message relates to, on the mobile station side.</w:t>
            </w:r>
          </w:p>
          <w:p w14:paraId="595C94DE" w14:textId="77777777" w:rsidR="00711444" w:rsidRPr="004D0DAA" w:rsidRDefault="00711444" w:rsidP="00AA2A4C">
            <w:pPr>
              <w:spacing w:after="0"/>
            </w:pPr>
            <w:r w:rsidRPr="004D0DAA">
              <w:t>0</w:t>
            </w:r>
            <w:r w:rsidRPr="004D0DAA">
              <w:tab/>
              <w:t>The MS_ID is not released on the mobile station side</w:t>
            </w:r>
          </w:p>
          <w:p w14:paraId="4FC7DFB7" w14:textId="77777777" w:rsidR="00711444" w:rsidRPr="004D0DAA" w:rsidRDefault="00711444" w:rsidP="00AA2A4C">
            <w:pPr>
              <w:rPr>
                <w:b/>
              </w:rPr>
            </w:pPr>
            <w:r w:rsidRPr="004D0DAA">
              <w:t>1</w:t>
            </w:r>
            <w:r w:rsidRPr="004D0DAA">
              <w:tab/>
              <w:t>The MS_ID is released on the mobile station side</w:t>
            </w:r>
          </w:p>
        </w:tc>
      </w:tr>
      <w:tr w:rsidR="00711444" w:rsidRPr="004D0DAA" w14:paraId="051B01D1" w14:textId="77777777" w:rsidTr="00AA2A4C">
        <w:tblPrEx>
          <w:tblCellMar>
            <w:top w:w="0" w:type="dxa"/>
            <w:bottom w:w="0" w:type="dxa"/>
          </w:tblCellMar>
        </w:tblPrEx>
        <w:trPr>
          <w:cantSplit/>
          <w:trHeight w:val="23"/>
        </w:trPr>
        <w:tc>
          <w:tcPr>
            <w:tcW w:w="9848" w:type="dxa"/>
          </w:tcPr>
          <w:p w14:paraId="09C92848" w14:textId="77777777" w:rsidR="00711444" w:rsidRPr="004D0DAA" w:rsidRDefault="00711444" w:rsidP="00AA2A4C">
            <w:pPr>
              <w:rPr>
                <w:b/>
              </w:rPr>
            </w:pPr>
            <w:r w:rsidRPr="004D0DAA">
              <w:rPr>
                <w:b/>
              </w:rPr>
              <w:t>Extension Bits</w:t>
            </w:r>
            <w:r w:rsidRPr="004D0DAA">
              <w:rPr>
                <w:b/>
              </w:rPr>
              <w:br/>
            </w:r>
            <w:r w:rsidRPr="004D0DAA">
              <w:t>This information element, if present, shall be skipped over. Any information content shall be ignored by the network. This information element is defined in</w:t>
            </w:r>
            <w:r w:rsidRPr="004D0DAA">
              <w:rPr>
                <w:i/>
              </w:rPr>
              <w:t xml:space="preserve"> </w:t>
            </w:r>
            <w:r w:rsidRPr="004D0DAA">
              <w:t>sub-clause 12.26.</w:t>
            </w:r>
          </w:p>
        </w:tc>
      </w:tr>
      <w:tr w:rsidR="00711444" w:rsidRPr="004D0DAA" w14:paraId="310B7AA6" w14:textId="77777777" w:rsidTr="00AA2A4C">
        <w:tblPrEx>
          <w:tblCellMar>
            <w:top w:w="0" w:type="dxa"/>
            <w:bottom w:w="0" w:type="dxa"/>
          </w:tblCellMar>
        </w:tblPrEx>
        <w:trPr>
          <w:cantSplit/>
          <w:trHeight w:val="23"/>
        </w:trPr>
        <w:tc>
          <w:tcPr>
            <w:tcW w:w="9848" w:type="dxa"/>
          </w:tcPr>
          <w:p w14:paraId="7821501E" w14:textId="77777777" w:rsidR="00711444" w:rsidRPr="004D0DAA" w:rsidRDefault="00711444" w:rsidP="00AA2A4C">
            <w:pPr>
              <w:rPr>
                <w:b/>
              </w:rPr>
            </w:pPr>
            <w:r w:rsidRPr="004D0DAA">
              <w:rPr>
                <w:b/>
              </w:rPr>
              <w:t xml:space="preserve">Ack/Nack Description IE </w:t>
            </w:r>
            <w:r w:rsidRPr="004D0DAA">
              <w:rPr>
                <w:b/>
              </w:rPr>
              <w:br/>
            </w:r>
            <w:r w:rsidRPr="004D0DAA">
              <w:t>This information element is defined in</w:t>
            </w:r>
            <w:r w:rsidRPr="004D0DAA">
              <w:rPr>
                <w:i/>
              </w:rPr>
              <w:t xml:space="preserve"> </w:t>
            </w:r>
            <w:r w:rsidRPr="004D0DAA">
              <w:t>sub-clause 12.3.</w:t>
            </w:r>
          </w:p>
        </w:tc>
      </w:tr>
      <w:tr w:rsidR="00711444" w:rsidRPr="004D0DAA" w14:paraId="55CCA388" w14:textId="77777777" w:rsidTr="00AA2A4C">
        <w:tblPrEx>
          <w:tblCellMar>
            <w:top w:w="0" w:type="dxa"/>
            <w:bottom w:w="0" w:type="dxa"/>
          </w:tblCellMar>
        </w:tblPrEx>
        <w:trPr>
          <w:cantSplit/>
          <w:trHeight w:val="23"/>
        </w:trPr>
        <w:tc>
          <w:tcPr>
            <w:tcW w:w="9848" w:type="dxa"/>
          </w:tcPr>
          <w:p w14:paraId="206CED93" w14:textId="77777777" w:rsidR="00711444" w:rsidRPr="004D0DAA" w:rsidRDefault="00711444" w:rsidP="00AA2A4C">
            <w:r w:rsidRPr="004D0DAA">
              <w:rPr>
                <w:b/>
              </w:rPr>
              <w:t xml:space="preserve">MS OUT OF MEMORY </w:t>
            </w:r>
            <w:r w:rsidRPr="004D0DAA">
              <w:t>(1 bit field)</w:t>
            </w:r>
            <w:r w:rsidRPr="004D0DAA">
              <w:br/>
              <w:t>This field indicates that the MS has no more enough memory to perform Incremental Redundancy.</w:t>
            </w:r>
          </w:p>
          <w:p w14:paraId="0DE2EDE2"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7806DD5A" w14:textId="77777777" w:rsidTr="00AA2A4C">
        <w:tblPrEx>
          <w:tblCellMar>
            <w:top w:w="0" w:type="dxa"/>
            <w:bottom w:w="0" w:type="dxa"/>
          </w:tblCellMar>
        </w:tblPrEx>
        <w:trPr>
          <w:cantSplit/>
          <w:trHeight w:val="23"/>
        </w:trPr>
        <w:tc>
          <w:tcPr>
            <w:tcW w:w="9848" w:type="dxa"/>
          </w:tcPr>
          <w:p w14:paraId="26AA8D99" w14:textId="77777777" w:rsidR="00711444" w:rsidRPr="004D0DAA" w:rsidRDefault="00711444" w:rsidP="00AA2A4C">
            <w:pPr>
              <w:rPr>
                <w:b/>
              </w:rPr>
            </w:pPr>
            <w:r w:rsidRPr="004D0DAA">
              <w:rPr>
                <w:b/>
              </w:rPr>
              <w:t xml:space="preserve">EGPRS Ack/Nack Description IE </w:t>
            </w:r>
            <w:r w:rsidRPr="004D0DAA">
              <w:t>(L bit field)</w:t>
            </w:r>
            <w:r w:rsidRPr="004D0DAA">
              <w:rPr>
                <w:b/>
              </w:rPr>
              <w:br/>
            </w:r>
            <w:r w:rsidRPr="004D0DAA">
              <w:t>This information element is defined in</w:t>
            </w:r>
            <w:r w:rsidRPr="004D0DAA">
              <w:rPr>
                <w:i/>
              </w:rPr>
              <w:t xml:space="preserve"> </w:t>
            </w:r>
            <w:r w:rsidRPr="004D0DAA">
              <w:t>sub-clause 12.3.1. The number of bits (L) available for Ack/Nack Description information element may depend on the number of neighbouring cell measurements included (see sub-clause 9.1.8.2.1). L shall be set so that the entire MBMS</w:t>
            </w:r>
            <w:r w:rsidRPr="004D0DAA">
              <w:rPr>
                <w:caps/>
              </w:rPr>
              <w:t xml:space="preserve"> Downlink Ack/Nack</w:t>
            </w:r>
            <w:r w:rsidRPr="004D0DAA">
              <w:t xml:space="preserve"> message evenly fits into an RLC/MAC control block. If a lower L covers the entire receive window, that L shall be used.</w:t>
            </w:r>
          </w:p>
        </w:tc>
      </w:tr>
      <w:tr w:rsidR="00711444" w:rsidRPr="004D0DAA" w14:paraId="082BBE8F" w14:textId="77777777" w:rsidTr="00AA2A4C">
        <w:tblPrEx>
          <w:tblCellMar>
            <w:top w:w="0" w:type="dxa"/>
            <w:bottom w:w="0" w:type="dxa"/>
          </w:tblCellMar>
        </w:tblPrEx>
        <w:trPr>
          <w:cantSplit/>
          <w:trHeight w:val="23"/>
        </w:trPr>
        <w:tc>
          <w:tcPr>
            <w:tcW w:w="9848" w:type="dxa"/>
          </w:tcPr>
          <w:p w14:paraId="3A66BD6E" w14:textId="77777777" w:rsidR="00711444" w:rsidRPr="004D0DAA" w:rsidRDefault="00711444" w:rsidP="00AA2A4C">
            <w:r w:rsidRPr="004D0DAA">
              <w:rPr>
                <w:b/>
              </w:rPr>
              <w:lastRenderedPageBreak/>
              <w:t xml:space="preserve">BA_USED </w:t>
            </w:r>
            <w:r w:rsidRPr="004D0DAA">
              <w:t>(1 bit field)</w:t>
            </w:r>
            <w:r w:rsidRPr="004D0DAA">
              <w:br/>
            </w:r>
            <w:r w:rsidRPr="004D0DAA">
              <w:rPr>
                <w:b/>
              </w:rPr>
              <w:t xml:space="preserve">PSI3_CHANGE_MARK </w:t>
            </w:r>
            <w:r w:rsidRPr="004D0DAA">
              <w:t>(2 bit field)</w:t>
            </w:r>
            <w:r w:rsidRPr="004D0DAA">
              <w:br/>
              <w:t>These fields shall contain the value of BA_IND and PSI3_CHANGE_MARK respectively in the message defining the used Neighbour Cell List.</w:t>
            </w:r>
          </w:p>
          <w:p w14:paraId="127E08FE" w14:textId="77777777" w:rsidR="00711444" w:rsidRPr="004D0DAA" w:rsidRDefault="00711444" w:rsidP="00AA2A4C">
            <w:pPr>
              <w:rPr>
                <w:b/>
              </w:rPr>
            </w:pPr>
            <w:r w:rsidRPr="004D0DAA">
              <w:t>In case PBCCH exists, PSI3_CHANGE_MARK shall be used.</w:t>
            </w:r>
            <w:r w:rsidRPr="004D0DAA">
              <w:br/>
              <w:t>In case PBCCH does not exist, BA_USED shall be used.</w:t>
            </w:r>
          </w:p>
        </w:tc>
      </w:tr>
      <w:tr w:rsidR="00711444" w:rsidRPr="004D0DAA" w14:paraId="0134F92F" w14:textId="77777777" w:rsidTr="00AA2A4C">
        <w:tblPrEx>
          <w:tblCellMar>
            <w:top w:w="0" w:type="dxa"/>
            <w:bottom w:w="0" w:type="dxa"/>
          </w:tblCellMar>
        </w:tblPrEx>
        <w:trPr>
          <w:cantSplit/>
          <w:trHeight w:val="23"/>
        </w:trPr>
        <w:tc>
          <w:tcPr>
            <w:tcW w:w="9848" w:type="dxa"/>
          </w:tcPr>
          <w:p w14:paraId="113A35F7" w14:textId="77777777" w:rsidR="00711444" w:rsidRPr="004D0DAA" w:rsidRDefault="00711444" w:rsidP="00AA2A4C">
            <w:pPr>
              <w:rPr>
                <w:b/>
              </w:rPr>
            </w:pPr>
            <w:r w:rsidRPr="004D0DAA">
              <w:rPr>
                <w:b/>
              </w:rPr>
              <w:t xml:space="preserve">RXLEV_SERVING_CELL </w:t>
            </w:r>
            <w:r w:rsidRPr="004D0DAA">
              <w:t>(6 bit field)</w:t>
            </w:r>
            <w:r w:rsidRPr="004D0DAA">
              <w:br/>
              <w:t>This field contains the value of the RXLEV parameter for the serving cell calculated by the mobile station (see 3GPP TS 45.008). This field is encoded.as the binary representation of the RXLEV parameter value defined in 3GPP TS 45.008.</w:t>
            </w:r>
            <w:r w:rsidRPr="004D0DAA">
              <w:br/>
              <w:t>Range 0 to 63.</w:t>
            </w:r>
          </w:p>
        </w:tc>
      </w:tr>
      <w:tr w:rsidR="00711444" w:rsidRPr="004D0DAA" w14:paraId="78AE9ABB" w14:textId="77777777" w:rsidTr="00AA2A4C">
        <w:tblPrEx>
          <w:tblCellMar>
            <w:top w:w="0" w:type="dxa"/>
            <w:bottom w:w="0" w:type="dxa"/>
          </w:tblCellMar>
        </w:tblPrEx>
        <w:trPr>
          <w:cantSplit/>
          <w:trHeight w:val="23"/>
        </w:trPr>
        <w:tc>
          <w:tcPr>
            <w:tcW w:w="9848" w:type="dxa"/>
          </w:tcPr>
          <w:p w14:paraId="6848393E" w14:textId="77777777" w:rsidR="00711444" w:rsidRPr="004D0DAA" w:rsidRDefault="00711444" w:rsidP="00AA2A4C">
            <w:pPr>
              <w:rPr>
                <w:b/>
              </w:rPr>
            </w:pPr>
            <w:r w:rsidRPr="004D0DAA">
              <w:rPr>
                <w:b/>
              </w:rPr>
              <w:t>Neighbouring cell reporting</w:t>
            </w:r>
          </w:p>
          <w:p w14:paraId="35C8F011" w14:textId="77777777" w:rsidR="00711444" w:rsidRPr="004D0DAA" w:rsidRDefault="00711444" w:rsidP="00AA2A4C">
            <w:pPr>
              <w:pStyle w:val="EQ"/>
              <w:keepLines w:val="0"/>
              <w:tabs>
                <w:tab w:val="clear" w:pos="4536"/>
                <w:tab w:val="clear" w:pos="9072"/>
              </w:tabs>
              <w:rPr>
                <w:bCs/>
              </w:rPr>
            </w:pPr>
            <w:r w:rsidRPr="004D0DAA">
              <w:rPr>
                <w:bCs/>
              </w:rPr>
              <w:t>The reporting of neighbouring cell measurement results is done in decreasing order of the corresponding cell re-selection ranking, as described in sub-clause 5.6.4. In case cell re-selection criteria are fulfilled, only the measurement results for the corresponding neighbouring cell are included and no other measurement results for any other neighbouring cell are included.</w:t>
            </w:r>
          </w:p>
        </w:tc>
      </w:tr>
      <w:tr w:rsidR="00711444" w:rsidRPr="004D0DAA" w14:paraId="3BDFE653" w14:textId="77777777" w:rsidTr="00AA2A4C">
        <w:tblPrEx>
          <w:tblCellMar>
            <w:top w:w="0" w:type="dxa"/>
            <w:bottom w:w="0" w:type="dxa"/>
          </w:tblCellMar>
        </w:tblPrEx>
        <w:trPr>
          <w:cantSplit/>
          <w:trHeight w:val="23"/>
        </w:trPr>
        <w:tc>
          <w:tcPr>
            <w:tcW w:w="9848" w:type="dxa"/>
          </w:tcPr>
          <w:p w14:paraId="5D7300FA" w14:textId="77777777" w:rsidR="00711444" w:rsidRPr="004D0DAA" w:rsidRDefault="00711444" w:rsidP="00AA2A4C">
            <w:r w:rsidRPr="004D0DAA">
              <w:rPr>
                <w:b/>
              </w:rPr>
              <w:t xml:space="preserve">RESEL_CRITERIA_FULFILLED </w:t>
            </w:r>
            <w:r w:rsidRPr="004D0DAA">
              <w:t>(1 bit field)</w:t>
            </w:r>
            <w:r w:rsidRPr="004D0DAA">
              <w:br/>
              <w:t>This field indicates whether cell re-selection criteria are fulfilled.</w:t>
            </w:r>
          </w:p>
          <w:p w14:paraId="1FF95934" w14:textId="77777777" w:rsidR="00711444" w:rsidRPr="004D0DAA" w:rsidRDefault="00711444" w:rsidP="00AA2A4C">
            <w:pPr>
              <w:rPr>
                <w:b/>
              </w:rPr>
            </w:pPr>
            <w:r w:rsidRPr="004D0DAA">
              <w:rPr>
                <w:u w:val="single"/>
              </w:rPr>
              <w:t>Bit</w:t>
            </w:r>
            <w:r w:rsidRPr="004D0DAA">
              <w:rPr>
                <w:u w:val="single"/>
              </w:rPr>
              <w:br/>
            </w:r>
            <w:r w:rsidRPr="004D0DAA">
              <w:t>0</w:t>
            </w:r>
            <w:r w:rsidRPr="004D0DAA">
              <w:tab/>
              <w:t>Cell re-selection criteria are not fulfilled</w:t>
            </w:r>
            <w:r w:rsidRPr="004D0DAA">
              <w:br/>
              <w:t>1.</w:t>
            </w:r>
            <w:r w:rsidRPr="004D0DAA">
              <w:tab/>
              <w:t>Cell re-selection criteria are fulfilled</w:t>
            </w:r>
          </w:p>
        </w:tc>
      </w:tr>
      <w:tr w:rsidR="00711444" w:rsidRPr="004D0DAA" w14:paraId="3F930FBD" w14:textId="77777777" w:rsidTr="00AA2A4C">
        <w:tblPrEx>
          <w:tblCellMar>
            <w:top w:w="0" w:type="dxa"/>
            <w:bottom w:w="0" w:type="dxa"/>
          </w:tblCellMar>
        </w:tblPrEx>
        <w:trPr>
          <w:cantSplit/>
          <w:trHeight w:val="23"/>
        </w:trPr>
        <w:tc>
          <w:tcPr>
            <w:tcW w:w="9848" w:type="dxa"/>
          </w:tcPr>
          <w:p w14:paraId="1793CE1B" w14:textId="77777777" w:rsidR="00711444" w:rsidRPr="004D0DAA" w:rsidRDefault="00711444" w:rsidP="00AA2A4C">
            <w:pPr>
              <w:rPr>
                <w:bCs/>
              </w:rPr>
            </w:pPr>
            <w:r w:rsidRPr="004D0DAA">
              <w:rPr>
                <w:b/>
              </w:rPr>
              <w:t xml:space="preserve">NUMBER_OF_NEIGHBOURING_CELL_MEASUREMENTS </w:t>
            </w:r>
            <w:r w:rsidRPr="004D0DAA">
              <w:rPr>
                <w:bCs/>
              </w:rPr>
              <w:t>(3 bit field)</w:t>
            </w:r>
            <w:r w:rsidRPr="004D0DAA">
              <w:rPr>
                <w:bCs/>
              </w:rPr>
              <w:br/>
              <w:t>This field is encoded as the binary representation of the amount of neighbouring cells reported.</w:t>
            </w:r>
          </w:p>
          <w:p w14:paraId="1C568E05" w14:textId="77777777" w:rsidR="00711444" w:rsidRPr="004D0DAA" w:rsidRDefault="00711444" w:rsidP="00AA2A4C">
            <w:pPr>
              <w:rPr>
                <w:bCs/>
              </w:rPr>
            </w:pPr>
            <w:r w:rsidRPr="004D0DAA">
              <w:rPr>
                <w:bCs/>
              </w:rPr>
              <w:t>Bit</w:t>
            </w:r>
            <w:r w:rsidRPr="004D0DAA">
              <w:rPr>
                <w:bCs/>
              </w:rPr>
              <w:br/>
            </w:r>
            <w:r w:rsidRPr="004D0DAA">
              <w:rPr>
                <w:bCs/>
                <w:u w:val="single"/>
              </w:rPr>
              <w:t>3 2 1</w:t>
            </w:r>
            <w:r w:rsidRPr="004D0DAA">
              <w:rPr>
                <w:bCs/>
              </w:rPr>
              <w:br/>
              <w:t>0 0 0</w:t>
            </w:r>
            <w:r w:rsidRPr="004D0DAA">
              <w:rPr>
                <w:bCs/>
              </w:rPr>
              <w:tab/>
              <w:t>0</w:t>
            </w:r>
            <w:r w:rsidRPr="004D0DAA">
              <w:rPr>
                <w:bCs/>
              </w:rPr>
              <w:br/>
              <w:t>…</w:t>
            </w:r>
            <w:r w:rsidRPr="004D0DAA">
              <w:rPr>
                <w:bCs/>
              </w:rPr>
              <w:tab/>
            </w:r>
            <w:r w:rsidRPr="004D0DAA">
              <w:rPr>
                <w:bCs/>
              </w:rPr>
              <w:tab/>
              <w:t>…</w:t>
            </w:r>
            <w:r w:rsidRPr="004D0DAA">
              <w:rPr>
                <w:bCs/>
              </w:rPr>
              <w:br/>
              <w:t>1 0 1</w:t>
            </w:r>
            <w:r w:rsidRPr="004D0DAA">
              <w:rPr>
                <w:bCs/>
              </w:rPr>
              <w:tab/>
              <w:t>5</w:t>
            </w:r>
            <w:r w:rsidRPr="004D0DAA">
              <w:rPr>
                <w:bCs/>
              </w:rPr>
              <w:br/>
              <w:t>1 1 x</w:t>
            </w:r>
            <w:r w:rsidRPr="004D0DAA">
              <w:rPr>
                <w:bCs/>
              </w:rPr>
              <w:tab/>
              <w:t>6</w:t>
            </w:r>
          </w:p>
        </w:tc>
      </w:tr>
      <w:tr w:rsidR="00711444" w:rsidRPr="004D0DAA" w14:paraId="3FBFCA5C" w14:textId="77777777" w:rsidTr="00AA2A4C">
        <w:tblPrEx>
          <w:tblCellMar>
            <w:top w:w="0" w:type="dxa"/>
            <w:bottom w:w="0" w:type="dxa"/>
          </w:tblCellMar>
        </w:tblPrEx>
        <w:trPr>
          <w:cantSplit/>
          <w:trHeight w:val="23"/>
        </w:trPr>
        <w:tc>
          <w:tcPr>
            <w:tcW w:w="9848" w:type="dxa"/>
          </w:tcPr>
          <w:p w14:paraId="07CF88CD" w14:textId="77777777" w:rsidR="00711444" w:rsidRPr="004D0DAA" w:rsidRDefault="00711444" w:rsidP="00AA2A4C">
            <w:pPr>
              <w:rPr>
                <w:bCs/>
              </w:rPr>
            </w:pPr>
            <w:r w:rsidRPr="004D0DAA">
              <w:rPr>
                <w:b/>
              </w:rPr>
              <w:t xml:space="preserve">NCELL_LIST_INDEX_N </w:t>
            </w:r>
            <w:r w:rsidRPr="004D0DAA">
              <w:rPr>
                <w:bCs/>
              </w:rPr>
              <w:t>(7 bit field)</w:t>
            </w:r>
            <w:r w:rsidRPr="004D0DAA">
              <w:rPr>
                <w:bCs/>
              </w:rPr>
              <w:br/>
            </w:r>
            <w:r w:rsidRPr="004D0DAA">
              <w:t xml:space="preserve">This field contains the index of the GSM Neighbour Cell list, see sub-clause 5.6.3.2. As an exception, if PBCCH is not present in the cell and the MS has not acquired </w:t>
            </w:r>
            <w:r w:rsidRPr="004D0DAA">
              <w:rPr>
                <w:bCs/>
              </w:rPr>
              <w:t xml:space="preserve">the complete GSM Neighbour Cell list from the BCCH messages, </w:t>
            </w:r>
            <w:r w:rsidRPr="004D0DAA">
              <w:t>this field shall refer to the BA(BCCH) list.</w:t>
            </w:r>
          </w:p>
        </w:tc>
      </w:tr>
      <w:tr w:rsidR="00711444" w:rsidRPr="004D0DAA" w14:paraId="41046BAA" w14:textId="77777777" w:rsidTr="00AA2A4C">
        <w:tblPrEx>
          <w:tblCellMar>
            <w:top w:w="0" w:type="dxa"/>
            <w:bottom w:w="0" w:type="dxa"/>
          </w:tblCellMar>
        </w:tblPrEx>
        <w:trPr>
          <w:cantSplit/>
          <w:trHeight w:val="23"/>
        </w:trPr>
        <w:tc>
          <w:tcPr>
            <w:tcW w:w="9848" w:type="dxa"/>
          </w:tcPr>
          <w:p w14:paraId="3BC2F381" w14:textId="77777777" w:rsidR="00711444" w:rsidRPr="004D0DAA" w:rsidRDefault="00711444" w:rsidP="00AA2A4C">
            <w:pPr>
              <w:rPr>
                <w:bCs/>
              </w:rPr>
            </w:pPr>
            <w:r w:rsidRPr="004D0DAA">
              <w:rPr>
                <w:b/>
              </w:rPr>
              <w:t xml:space="preserve">BSIC_N </w:t>
            </w:r>
            <w:r w:rsidRPr="004D0DAA">
              <w:rPr>
                <w:bCs/>
              </w:rPr>
              <w:t>(6 bit field)</w:t>
            </w:r>
            <w:r w:rsidRPr="004D0DAA">
              <w:rPr>
                <w:bCs/>
              </w:rPr>
              <w:br/>
            </w:r>
            <w:r w:rsidRPr="004D0DAA">
              <w:t>This field indicates the BSIC of the frequency upon which the measurement was made. This field shall be included only for frequencies that refer to the BA(BCCH) list. The field is encoded as the BSIC value defined in 3GPP TS 44.018.</w:t>
            </w:r>
            <w:r w:rsidRPr="004D0DAA">
              <w:br/>
              <w:t>Range 0 to 63</w:t>
            </w:r>
          </w:p>
        </w:tc>
      </w:tr>
      <w:tr w:rsidR="00711444" w:rsidRPr="004D0DAA" w14:paraId="49AB6DDA" w14:textId="77777777" w:rsidTr="00AA2A4C">
        <w:tblPrEx>
          <w:tblCellMar>
            <w:top w:w="0" w:type="dxa"/>
            <w:bottom w:w="0" w:type="dxa"/>
          </w:tblCellMar>
        </w:tblPrEx>
        <w:trPr>
          <w:cantSplit/>
          <w:trHeight w:val="23"/>
        </w:trPr>
        <w:tc>
          <w:tcPr>
            <w:tcW w:w="9848" w:type="dxa"/>
          </w:tcPr>
          <w:p w14:paraId="61A31D64" w14:textId="77777777" w:rsidR="00711444" w:rsidRPr="004D0DAA" w:rsidRDefault="00711444" w:rsidP="00AA2A4C">
            <w:pPr>
              <w:rPr>
                <w:bCs/>
              </w:rPr>
            </w:pPr>
            <w:r w:rsidRPr="004D0DAA">
              <w:rPr>
                <w:b/>
              </w:rPr>
              <w:t xml:space="preserve">RXLEV_N </w:t>
            </w:r>
            <w:r w:rsidRPr="004D0DAA">
              <w:rPr>
                <w:bCs/>
              </w:rPr>
              <w:t>(6 bit field)</w:t>
            </w:r>
            <w:r w:rsidRPr="004D0DAA">
              <w:rPr>
                <w:bCs/>
              </w:rPr>
              <w:br/>
            </w:r>
            <w:r w:rsidRPr="004D0DAA">
              <w:t>This field indicates the measured RXLEV of the frequency upon which the measurement was made (see 3GPP TS 45.008). This field is encoded as the RXLEV value defined in 3GPP TS 44.018.</w:t>
            </w:r>
            <w:r w:rsidRPr="004D0DAA">
              <w:br/>
              <w:t>Range 0 to 63</w:t>
            </w:r>
          </w:p>
        </w:tc>
      </w:tr>
      <w:tr w:rsidR="00711444" w:rsidRPr="004D0DAA" w14:paraId="23BE172F" w14:textId="77777777" w:rsidTr="00AA2A4C">
        <w:tblPrEx>
          <w:tblCellMar>
            <w:top w:w="0" w:type="dxa"/>
            <w:bottom w:w="0" w:type="dxa"/>
          </w:tblCellMar>
        </w:tblPrEx>
        <w:trPr>
          <w:cantSplit/>
          <w:trHeight w:val="23"/>
        </w:trPr>
        <w:tc>
          <w:tcPr>
            <w:tcW w:w="9848" w:type="dxa"/>
          </w:tcPr>
          <w:p w14:paraId="50A22CF2" w14:textId="77777777" w:rsidR="00711444" w:rsidRPr="004D0DAA" w:rsidRDefault="00711444" w:rsidP="00AA2A4C">
            <w:pPr>
              <w:rPr>
                <w:bCs/>
              </w:rPr>
            </w:pPr>
            <w:r w:rsidRPr="004D0DAA">
              <w:rPr>
                <w:b/>
              </w:rPr>
              <w:t xml:space="preserve">RESEL_PARAMS_ACQUIRED </w:t>
            </w:r>
            <w:r w:rsidRPr="004D0DAA">
              <w:rPr>
                <w:bCs/>
              </w:rPr>
              <w:t>(1 bit field)</w:t>
            </w:r>
            <w:r w:rsidRPr="004D0DAA">
              <w:rPr>
                <w:bCs/>
              </w:rPr>
              <w:br/>
              <w:t>This field indicates whether the mobile station has received the re-selection parameters for the reported neighbouring cell.</w:t>
            </w:r>
          </w:p>
          <w:p w14:paraId="78A31734" w14:textId="77777777" w:rsidR="00711444" w:rsidRPr="004D0DAA" w:rsidRDefault="00711444" w:rsidP="00AA2A4C">
            <w:pPr>
              <w:rPr>
                <w:bCs/>
              </w:rPr>
            </w:pPr>
            <w:r w:rsidRPr="004D0DAA">
              <w:rPr>
                <w:bCs/>
              </w:rPr>
              <w:t>Bit</w:t>
            </w:r>
            <w:r w:rsidRPr="004D0DAA">
              <w:rPr>
                <w:bCs/>
              </w:rPr>
              <w:br/>
              <w:t>0</w:t>
            </w:r>
            <w:r w:rsidRPr="004D0DAA">
              <w:rPr>
                <w:bCs/>
              </w:rPr>
              <w:tab/>
              <w:t>No re-selection parameters received for this neighbouring cell</w:t>
            </w:r>
            <w:r w:rsidRPr="004D0DAA">
              <w:rPr>
                <w:bCs/>
              </w:rPr>
              <w:br/>
              <w:t>1</w:t>
            </w:r>
            <w:r w:rsidRPr="004D0DAA">
              <w:rPr>
                <w:bCs/>
              </w:rPr>
              <w:tab/>
              <w:t>Re-selection parameters received for this neighbouring cell</w:t>
            </w:r>
          </w:p>
        </w:tc>
      </w:tr>
      <w:tr w:rsidR="00711444" w:rsidRPr="004D0DAA" w14:paraId="736BDD79" w14:textId="77777777" w:rsidTr="00AA2A4C">
        <w:tblPrEx>
          <w:tblCellMar>
            <w:top w:w="0" w:type="dxa"/>
            <w:bottom w:w="0" w:type="dxa"/>
          </w:tblCellMar>
        </w:tblPrEx>
        <w:trPr>
          <w:cantSplit/>
          <w:trHeight w:val="23"/>
        </w:trPr>
        <w:tc>
          <w:tcPr>
            <w:tcW w:w="9848" w:type="dxa"/>
          </w:tcPr>
          <w:p w14:paraId="4E8C3220" w14:textId="77777777" w:rsidR="00711444" w:rsidRPr="004D0DAA" w:rsidRDefault="00711444" w:rsidP="00AA2A4C">
            <w:pPr>
              <w:rPr>
                <w:bCs/>
              </w:rPr>
            </w:pPr>
            <w:r w:rsidRPr="004D0DAA">
              <w:rPr>
                <w:b/>
              </w:rPr>
              <w:lastRenderedPageBreak/>
              <w:t xml:space="preserve">MBMS_PTM_CHANGE_MARK </w:t>
            </w:r>
            <w:r w:rsidRPr="004D0DAA">
              <w:rPr>
                <w:bCs/>
              </w:rPr>
              <w:t>(2 bit field)</w:t>
            </w:r>
            <w:r w:rsidRPr="004D0DAA">
              <w:rPr>
                <w:bCs/>
              </w:rPr>
              <w:br/>
            </w:r>
            <w:r w:rsidRPr="004D0DAA">
              <w:t>This field shall contain the value of the MBMS_PTM_CHANGE_MARK field in the latest MBMS NEIGHBOURING CELL INFORMATION message received by the mobile station for that MBMS session and that reported neighbouring cell. If no such MBMS_PTM_CHANGE_MARK is available, it shall not be included in the MBMS DOWNLINK ACK/NACK message.</w:t>
            </w:r>
          </w:p>
        </w:tc>
      </w:tr>
    </w:tbl>
    <w:p w14:paraId="0C1C61B9" w14:textId="77777777" w:rsidR="00711444" w:rsidRPr="004D0DAA" w:rsidRDefault="00711444" w:rsidP="00711444"/>
    <w:p w14:paraId="37DDA5F0" w14:textId="77777777" w:rsidR="00711444" w:rsidRPr="004D0DAA" w:rsidRDefault="00711444" w:rsidP="00711444">
      <w:pPr>
        <w:pStyle w:val="Heading3"/>
      </w:pPr>
      <w:bookmarkStart w:id="661" w:name="_Toc516669838"/>
      <w:r w:rsidRPr="004D0DAA">
        <w:t>11.2.6e</w:t>
      </w:r>
      <w:r w:rsidRPr="004D0DAA">
        <w:tab/>
        <w:t>EGPRS Packet Downlink Ack/Nack Type 2</w:t>
      </w:r>
      <w:bookmarkEnd w:id="661"/>
    </w:p>
    <w:p w14:paraId="4D33B6B6" w14:textId="77777777" w:rsidR="00711444" w:rsidRPr="004D0DAA" w:rsidRDefault="00711444" w:rsidP="00711444">
      <w:r w:rsidRPr="004D0DAA">
        <w:t>This message is sent on the PACCH from the mobile station to the network to indicate the status of downlink RLC data blocks received and to report the channel quality of the downlink. The mobile station may optionally initiate an uplink TBF or request a temporary suspension of the downlink TBF.</w:t>
      </w:r>
    </w:p>
    <w:p w14:paraId="53F54BBE" w14:textId="77777777" w:rsidR="00711444" w:rsidRPr="004D0DAA" w:rsidRDefault="00711444" w:rsidP="00711444">
      <w:pPr>
        <w:pStyle w:val="EX"/>
      </w:pPr>
      <w:r w:rsidRPr="004D0DAA">
        <w:t>Message type:</w:t>
      </w:r>
      <w:r w:rsidRPr="004D0DAA">
        <w:tab/>
        <w:t>EGPRS Packet Downlink Ack/Nack Type 2</w:t>
      </w:r>
    </w:p>
    <w:p w14:paraId="046799E2" w14:textId="77777777" w:rsidR="00711444" w:rsidRPr="004D0DAA" w:rsidRDefault="00711444" w:rsidP="00711444">
      <w:pPr>
        <w:pStyle w:val="EX"/>
      </w:pPr>
      <w:r w:rsidRPr="004D0DAA">
        <w:t>Direction:</w:t>
      </w:r>
      <w:r w:rsidRPr="004D0DAA">
        <w:tab/>
        <w:t>mobile station to network</w:t>
      </w:r>
    </w:p>
    <w:p w14:paraId="15872F1F" w14:textId="77777777" w:rsidR="00711444" w:rsidRPr="004D0DAA" w:rsidRDefault="00711444" w:rsidP="00711444">
      <w:pPr>
        <w:pStyle w:val="TH"/>
      </w:pPr>
      <w:r w:rsidRPr="004D0DAA">
        <w:t xml:space="preserve">Table 11.2.6e.1 : EGPRS </w:t>
      </w:r>
      <w:r w:rsidRPr="004D0DAA">
        <w:rPr>
          <w:caps/>
        </w:rPr>
        <w:t>Packet Downlink Ack/Nack</w:t>
      </w:r>
      <w:r w:rsidRPr="004D0DAA">
        <w:t xml:space="preserve"> TYPE 2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3FE1414" w14:textId="77777777" w:rsidTr="00AA2A4C">
        <w:tblPrEx>
          <w:tblCellMar>
            <w:top w:w="0" w:type="dxa"/>
            <w:bottom w:w="0" w:type="dxa"/>
          </w:tblCellMar>
        </w:tblPrEx>
        <w:trPr>
          <w:cantSplit/>
        </w:trPr>
        <w:tc>
          <w:tcPr>
            <w:tcW w:w="9848" w:type="dxa"/>
          </w:tcPr>
          <w:p w14:paraId="7E277EB1" w14:textId="77777777" w:rsidR="00711444" w:rsidRPr="004D0DAA" w:rsidRDefault="00711444" w:rsidP="00AA2A4C">
            <w:pPr>
              <w:pStyle w:val="TAL"/>
              <w:rPr>
                <w:lang w:eastAsia="en-US"/>
              </w:rPr>
            </w:pPr>
            <w:r w:rsidRPr="004D0DAA">
              <w:rPr>
                <w:lang w:eastAsia="en-US"/>
              </w:rPr>
              <w:t>&lt; EGPRS Packet Downlink Ack/Nack Type 2 message content &gt; ::=</w:t>
            </w:r>
          </w:p>
          <w:p w14:paraId="4C34429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DOWNLINK_TFI </w:t>
            </w:r>
            <w:r w:rsidRPr="004D0DAA">
              <w:rPr>
                <w:lang w:eastAsia="en-US"/>
              </w:rPr>
              <w:t>: bit (5) &gt;</w:t>
            </w:r>
          </w:p>
          <w:p w14:paraId="0BEC53AF"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 OUT OF MEMORY</w:t>
            </w:r>
            <w:r w:rsidRPr="004D0DAA">
              <w:rPr>
                <w:lang w:eastAsia="en-US"/>
              </w:rPr>
              <w:t xml:space="preserve"> : bit(1)&gt;</w:t>
            </w:r>
          </w:p>
          <w:p w14:paraId="04532177"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&lt;</w:t>
            </w:r>
            <w:r w:rsidRPr="004D0DAA">
              <w:rPr>
                <w:b/>
                <w:lang w:eastAsia="en-US"/>
              </w:rPr>
              <w:t xml:space="preserve"> EGPRS Channel Quality Report Type 2</w:t>
            </w:r>
            <w:r w:rsidRPr="004D0DAA">
              <w:rPr>
                <w:lang w:eastAsia="en-US"/>
              </w:rPr>
              <w:t xml:space="preserve"> : &lt; EGPRS Channel Quality Report Type 2 IE &gt; &gt;}</w:t>
            </w:r>
          </w:p>
          <w:p w14:paraId="0437914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Channel Request Description</w:t>
            </w:r>
            <w:r w:rsidRPr="004D0DAA">
              <w:rPr>
                <w:lang w:eastAsia="en-US"/>
              </w:rPr>
              <w:t xml:space="preserve"> : &lt; Channel Request Description IE &gt; &gt;}</w:t>
            </w:r>
          </w:p>
          <w:p w14:paraId="62CBEE8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PFI</w:t>
            </w:r>
            <w:r w:rsidRPr="004D0DAA">
              <w:rPr>
                <w:lang w:eastAsia="en-US"/>
              </w:rPr>
              <w:t xml:space="preserve"> : bit(7) &gt; }</w:t>
            </w:r>
          </w:p>
          <w:p w14:paraId="4489DC26"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t>&lt; EPD A/N Type 2 Extension length : bit (8) &gt;</w:t>
            </w:r>
          </w:p>
          <w:p w14:paraId="77CF7F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bit (val(EPD A/N Type 2 Extension length) + 1)</w:t>
            </w:r>
          </w:p>
          <w:p w14:paraId="6E55D9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&amp; { &lt; EPD A/N Type 2 Extension Info &gt; ! { bit** = &lt;no string&gt; }} &gt; }</w:t>
            </w:r>
          </w:p>
          <w:p w14:paraId="6E7DE93C" w14:textId="77777777" w:rsidR="00711444" w:rsidRPr="004D0DAA" w:rsidRDefault="00711444" w:rsidP="00AA2A4C">
            <w:pPr>
              <w:pStyle w:val="TAL"/>
              <w:rPr>
                <w:i/>
                <w:lang w:eastAsia="en-US"/>
              </w:rPr>
            </w:pPr>
          </w:p>
          <w:p w14:paraId="6F699EA7"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Truncation of the EGPRS Ack/Nack Description is allowed if the mobile station is assigned a downlink</w:t>
            </w:r>
          </w:p>
          <w:p w14:paraId="41F8503F"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dual carrier configuration and the available space in the message without EGPRS Ack/Nack Description</w:t>
            </w:r>
            <w:r w:rsidRPr="004D0DAA">
              <w:rPr>
                <w:lang w:eastAsia="en-US"/>
              </w:rPr>
              <w:t xml:space="preserve"> </w:t>
            </w:r>
            <w:r w:rsidRPr="004D0DAA">
              <w:rPr>
                <w:i/>
                <w:lang w:eastAsia="en-US"/>
              </w:rPr>
              <w:t>IE</w:t>
            </w:r>
          </w:p>
          <w:p w14:paraId="6E2B6A29"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does not allow for the inclusion of a valid EGPRS Ack/Nack Description</w:t>
            </w:r>
            <w:r w:rsidRPr="004D0DAA">
              <w:rPr>
                <w:lang w:eastAsia="en-US"/>
              </w:rPr>
              <w:t xml:space="preserve"> </w:t>
            </w:r>
            <w:r w:rsidRPr="004D0DAA">
              <w:rPr>
                <w:i/>
                <w:lang w:eastAsia="en-US"/>
              </w:rPr>
              <w:t>IE, i.e. is less than 16 bits.</w:t>
            </w:r>
          </w:p>
          <w:p w14:paraId="1294889B"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In the same conditions, the receiver shall assume that no EGPRS Ack/Nack description IE is included.</w:t>
            </w:r>
          </w:p>
          <w:p w14:paraId="67495063"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w:t>
            </w:r>
            <w:r w:rsidRPr="004D0DAA">
              <w:rPr>
                <w:b/>
                <w:lang w:eastAsia="en-US"/>
              </w:rPr>
              <w:t>EGPRS</w:t>
            </w:r>
            <w:r w:rsidRPr="004D0DAA">
              <w:rPr>
                <w:lang w:eastAsia="en-US"/>
              </w:rPr>
              <w:t xml:space="preserve"> </w:t>
            </w:r>
            <w:r w:rsidRPr="004D0DAA">
              <w:rPr>
                <w:b/>
                <w:lang w:eastAsia="en-US"/>
              </w:rPr>
              <w:t>Ack/Nack Description</w:t>
            </w:r>
            <w:r w:rsidRPr="004D0DAA">
              <w:rPr>
                <w:lang w:eastAsia="en-US"/>
              </w:rPr>
              <w:t xml:space="preserve"> : &lt; EGPRS Ack/Nack Description IE &gt;&gt; } //</w:t>
            </w:r>
          </w:p>
          <w:p w14:paraId="029DDB02"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Rel-14 extension</w:t>
            </w:r>
          </w:p>
          <w:p w14:paraId="7CE784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t>&lt; MS Transmission Offset</w:t>
            </w:r>
            <w:r w:rsidRPr="004D0DAA">
              <w:rPr>
                <w:b/>
                <w:bCs/>
                <w:lang w:eastAsia="en-US"/>
              </w:rPr>
              <w:t xml:space="preserve"> </w:t>
            </w:r>
            <w:r w:rsidRPr="004D0DAA">
              <w:rPr>
                <w:lang w:eastAsia="en-US"/>
              </w:rPr>
              <w:t>: bit (4) &gt;</w:t>
            </w:r>
          </w:p>
          <w:p w14:paraId="58D561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MS Sync Accuracy : bit (4) &gt; }</w:t>
            </w:r>
          </w:p>
          <w:p w14:paraId="0D1ABB4F"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559082FD" w14:textId="77777777" w:rsidR="00711444" w:rsidRPr="004D0DAA" w:rsidRDefault="00711444" w:rsidP="00AA2A4C">
            <w:pPr>
              <w:pStyle w:val="TAL"/>
              <w:rPr>
                <w:lang w:eastAsia="en-US"/>
              </w:rPr>
            </w:pPr>
            <w:r w:rsidRPr="004D0DAA">
              <w:rPr>
                <w:lang w:eastAsia="en-US"/>
              </w:rPr>
              <w:tab/>
            </w:r>
            <w:r w:rsidRPr="004D0DAA">
              <w:rPr>
                <w:lang w:eastAsia="en-US"/>
              </w:rPr>
              <w:tab/>
              <w:t>&lt;padding bits &gt; } ;</w:t>
            </w:r>
          </w:p>
        </w:tc>
      </w:tr>
      <w:tr w:rsidR="00711444" w:rsidRPr="004D0DAA" w14:paraId="3983A26D" w14:textId="77777777" w:rsidTr="00AA2A4C">
        <w:tblPrEx>
          <w:tblCellMar>
            <w:top w:w="0" w:type="dxa"/>
            <w:bottom w:w="0" w:type="dxa"/>
          </w:tblCellMar>
        </w:tblPrEx>
        <w:trPr>
          <w:cantSplit/>
        </w:trPr>
        <w:tc>
          <w:tcPr>
            <w:tcW w:w="9848" w:type="dxa"/>
          </w:tcPr>
          <w:p w14:paraId="655519E1" w14:textId="77777777" w:rsidR="00711444" w:rsidRPr="004D0DAA" w:rsidRDefault="00711444" w:rsidP="00AA2A4C">
            <w:pPr>
              <w:pStyle w:val="TAL"/>
              <w:rPr>
                <w:lang w:eastAsia="en-US"/>
              </w:rPr>
            </w:pPr>
            <w:r w:rsidRPr="004D0DAA">
              <w:rPr>
                <w:lang w:eastAsia="en-US"/>
              </w:rPr>
              <w:t>&lt; EPD A/N Type 2 Extension Info &gt; ::=</w:t>
            </w:r>
          </w:p>
          <w:p w14:paraId="0CCECC0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Extended</w:t>
            </w:r>
            <w:r w:rsidRPr="004D0DAA">
              <w:rPr>
                <w:lang w:eastAsia="en-US"/>
              </w:rPr>
              <w:t xml:space="preserve"> </w:t>
            </w:r>
            <w:r w:rsidRPr="004D0DAA">
              <w:rPr>
                <w:b/>
                <w:lang w:eastAsia="en-US"/>
              </w:rPr>
              <w:t xml:space="preserve">Channel Request Description </w:t>
            </w:r>
            <w:r w:rsidRPr="004D0DAA">
              <w:rPr>
                <w:lang w:eastAsia="en-US"/>
              </w:rPr>
              <w:t xml:space="preserve">: </w:t>
            </w:r>
            <w:r w:rsidRPr="004D0DAA">
              <w:rPr>
                <w:lang w:eastAsia="en-US"/>
              </w:rPr>
              <w:tab/>
              <w:t xml:space="preserve">&lt; </w:t>
            </w:r>
            <w:r w:rsidRPr="004D0DAA">
              <w:rPr>
                <w:bCs/>
                <w:lang w:eastAsia="en-US"/>
              </w:rPr>
              <w:t>Extended</w:t>
            </w:r>
            <w:r w:rsidRPr="004D0DAA">
              <w:rPr>
                <w:lang w:eastAsia="en-US"/>
              </w:rPr>
              <w:t xml:space="preserve"> Channel Request Description IE &gt; &gt; }</w:t>
            </w:r>
          </w:p>
          <w:p w14:paraId="74768CC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EARLY_TBF_ESTABLISHMENT </w:t>
            </w:r>
            <w:r w:rsidRPr="004D0DAA">
              <w:rPr>
                <w:lang w:eastAsia="en-US"/>
              </w:rPr>
              <w:t xml:space="preserve">: bit (1) &gt; </w:t>
            </w:r>
          </w:p>
          <w:p w14:paraId="03036C6A"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Secondary Dual Carrier Channel Report</w:t>
            </w:r>
            <w:r w:rsidRPr="004D0DAA">
              <w:rPr>
                <w:lang w:eastAsia="en-US"/>
              </w:rPr>
              <w:t xml:space="preserve"> : &lt; EGPRS Channel Quality Report Type 2 IE &gt; } </w:t>
            </w:r>
          </w:p>
          <w:p w14:paraId="3562C1F3" w14:textId="77777777" w:rsidR="00711444" w:rsidRPr="004D0DAA" w:rsidRDefault="00711444" w:rsidP="00AA2A4C">
            <w:pPr>
              <w:pStyle w:val="TAL"/>
              <w:rPr>
                <w:lang w:eastAsia="en-US"/>
              </w:rPr>
            </w:pPr>
            <w:r w:rsidRPr="004D0DAA">
              <w:rPr>
                <w:lang w:eastAsia="en-US"/>
              </w:rPr>
              <w:tab/>
              <w:t xml:space="preserve">&lt; spare bit &gt;** // ; </w:t>
            </w:r>
            <w:r w:rsidRPr="004D0DAA">
              <w:rPr>
                <w:lang w:eastAsia="en-US"/>
              </w:rPr>
              <w:tab/>
            </w:r>
            <w:r w:rsidRPr="004D0DAA">
              <w:rPr>
                <w:lang w:eastAsia="en-US"/>
              </w:rPr>
              <w:tab/>
            </w:r>
            <w:r w:rsidRPr="004D0DAA">
              <w:rPr>
                <w:iCs/>
                <w:lang w:eastAsia="en-US"/>
              </w:rPr>
              <w:t xml:space="preserve">-- </w:t>
            </w:r>
            <w:r w:rsidRPr="004D0DAA">
              <w:rPr>
                <w:i/>
                <w:iCs/>
                <w:lang w:eastAsia="en-US"/>
              </w:rPr>
              <w:t>Truncation may occur between released versions of the protocol</w:t>
            </w:r>
          </w:p>
          <w:p w14:paraId="28B75DE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The receiver shall assume the value zero of any truncated bits</w:t>
            </w:r>
            <w:r w:rsidRPr="004D0DAA">
              <w:rPr>
                <w:lang w:eastAsia="en-US"/>
              </w:rPr>
              <w:t xml:space="preserve"> </w:t>
            </w:r>
          </w:p>
          <w:p w14:paraId="1D9A0A23" w14:textId="77777777" w:rsidR="00711444" w:rsidRPr="004D0DAA" w:rsidRDefault="00711444" w:rsidP="00AA2A4C">
            <w:pPr>
              <w:pStyle w:val="TAL"/>
              <w:rPr>
                <w:lang w:eastAsia="en-US"/>
              </w:rPr>
            </w:pPr>
          </w:p>
        </w:tc>
      </w:tr>
    </w:tbl>
    <w:p w14:paraId="09FB14E8" w14:textId="77777777" w:rsidR="00711444" w:rsidRPr="004D0DAA" w:rsidRDefault="00711444" w:rsidP="00711444"/>
    <w:p w14:paraId="005DAB94" w14:textId="77777777" w:rsidR="00711444" w:rsidRPr="004D0DAA" w:rsidRDefault="00711444" w:rsidP="00711444">
      <w:pPr>
        <w:pStyle w:val="TH"/>
      </w:pPr>
      <w:r w:rsidRPr="004D0DAA">
        <w:t xml:space="preserve">Table 11.2.6e.2: EGPRS </w:t>
      </w:r>
      <w:r w:rsidRPr="004D0DAA">
        <w:rPr>
          <w:caps/>
        </w:rPr>
        <w:t>Packet Downlink Ack/Nack TYPE 2</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75FD9D0" w14:textId="77777777" w:rsidTr="00AA2A4C">
        <w:tblPrEx>
          <w:tblCellMar>
            <w:top w:w="0" w:type="dxa"/>
            <w:bottom w:w="0" w:type="dxa"/>
          </w:tblCellMar>
        </w:tblPrEx>
        <w:trPr>
          <w:cantSplit/>
          <w:trHeight w:val="23"/>
        </w:trPr>
        <w:tc>
          <w:tcPr>
            <w:tcW w:w="9848" w:type="dxa"/>
          </w:tcPr>
          <w:p w14:paraId="248BEF16"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 On DBPSCH, this field equals the radio bearer identity of the radio bearer to which this message applies.</w:t>
            </w:r>
          </w:p>
        </w:tc>
      </w:tr>
      <w:tr w:rsidR="00711444" w:rsidRPr="004D0DAA" w14:paraId="1717D58D" w14:textId="77777777" w:rsidTr="00AA2A4C">
        <w:tblPrEx>
          <w:tblCellMar>
            <w:top w:w="0" w:type="dxa"/>
            <w:bottom w:w="0" w:type="dxa"/>
          </w:tblCellMar>
        </w:tblPrEx>
        <w:trPr>
          <w:cantSplit/>
          <w:trHeight w:val="23"/>
        </w:trPr>
        <w:tc>
          <w:tcPr>
            <w:tcW w:w="9848" w:type="dxa"/>
          </w:tcPr>
          <w:p w14:paraId="2333D8FB" w14:textId="77777777" w:rsidR="00711444" w:rsidRPr="004D0DAA" w:rsidRDefault="00711444" w:rsidP="00AA2A4C">
            <w:pPr>
              <w:rPr>
                <w:b/>
              </w:rPr>
            </w:pPr>
            <w:r w:rsidRPr="004D0DAA">
              <w:rPr>
                <w:b/>
              </w:rPr>
              <w:t xml:space="preserve">EGPRS Ack/Nack Description IE </w:t>
            </w:r>
            <w:r w:rsidRPr="004D0DAA">
              <w:t>(L bit field)</w:t>
            </w:r>
            <w:r w:rsidRPr="004D0DAA">
              <w:rPr>
                <w:b/>
              </w:rPr>
              <w:br/>
            </w:r>
            <w:r w:rsidRPr="004D0DAA">
              <w:t>This information element is defined in</w:t>
            </w:r>
            <w:r w:rsidRPr="004D0DAA">
              <w:rPr>
                <w:i/>
              </w:rPr>
              <w:t xml:space="preserve"> </w:t>
            </w:r>
            <w:r w:rsidRPr="004D0DAA">
              <w:t xml:space="preserve">sub-clause 12.3.1. The number of bits (L) available for Ack/Nack Description information element depends on the inclusion of channel quality reports and channel requests. L shall be set so that the entire EGPRS </w:t>
            </w:r>
            <w:r w:rsidRPr="004D0DAA">
              <w:rPr>
                <w:caps/>
              </w:rPr>
              <w:t>Packet Downlink Ack/Nack</w:t>
            </w:r>
            <w:r w:rsidRPr="004D0DAA">
              <w:t xml:space="preserve"> message evenly fits into an RLC/MAC control block. If a lower L covers the entire receive window, that L shall be used.</w:t>
            </w:r>
          </w:p>
        </w:tc>
      </w:tr>
      <w:tr w:rsidR="00711444" w:rsidRPr="004D0DAA" w14:paraId="64F911C6" w14:textId="77777777" w:rsidTr="00AA2A4C">
        <w:tblPrEx>
          <w:tblCellMar>
            <w:top w:w="0" w:type="dxa"/>
            <w:bottom w:w="0" w:type="dxa"/>
          </w:tblCellMar>
        </w:tblPrEx>
        <w:trPr>
          <w:cantSplit/>
          <w:trHeight w:val="23"/>
        </w:trPr>
        <w:tc>
          <w:tcPr>
            <w:tcW w:w="9848" w:type="dxa"/>
          </w:tcPr>
          <w:p w14:paraId="086836D3" w14:textId="77777777" w:rsidR="00711444" w:rsidRPr="004D0DAA" w:rsidRDefault="00711444" w:rsidP="00AA2A4C">
            <w:r w:rsidRPr="004D0DAA">
              <w:rPr>
                <w:b/>
              </w:rPr>
              <w:lastRenderedPageBreak/>
              <w:t xml:space="preserve">MS OUT OF MEMORY </w:t>
            </w:r>
            <w:r w:rsidRPr="004D0DAA">
              <w:t>(1 bit field)</w:t>
            </w:r>
            <w:r w:rsidRPr="004D0DAA">
              <w:br/>
              <w:t>This field indicates that the MS has no more enough memory to perform Incremental Redundancy.</w:t>
            </w:r>
          </w:p>
          <w:p w14:paraId="210C03C3"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69D7F90A" w14:textId="77777777" w:rsidTr="00AA2A4C">
        <w:tblPrEx>
          <w:tblCellMar>
            <w:top w:w="0" w:type="dxa"/>
            <w:bottom w:w="0" w:type="dxa"/>
          </w:tblCellMar>
        </w:tblPrEx>
        <w:trPr>
          <w:cantSplit/>
          <w:trHeight w:val="23"/>
        </w:trPr>
        <w:tc>
          <w:tcPr>
            <w:tcW w:w="9848" w:type="dxa"/>
          </w:tcPr>
          <w:p w14:paraId="422BD323" w14:textId="77777777" w:rsidR="00711444" w:rsidRPr="004D0DAA" w:rsidRDefault="00711444" w:rsidP="00AA2A4C">
            <w:pPr>
              <w:rPr>
                <w:bCs/>
              </w:rPr>
            </w:pPr>
            <w:r w:rsidRPr="004D0DAA">
              <w:rPr>
                <w:b/>
              </w:rPr>
              <w:t>Channel Request Description IE</w:t>
            </w:r>
            <w:r w:rsidRPr="004D0DAA">
              <w:br/>
              <w:t>This information element is defined in</w:t>
            </w:r>
            <w:r w:rsidRPr="004D0DAA">
              <w:rPr>
                <w:i/>
              </w:rPr>
              <w:t xml:space="preserve"> </w:t>
            </w:r>
            <w:r w:rsidRPr="004D0DAA">
              <w:t xml:space="preserve">sub-clause 12.7. If a PFI field is included in this message, it relates to the TBF request contained in the </w:t>
            </w:r>
            <w:r w:rsidRPr="004D0DAA">
              <w:rPr>
                <w:bCs/>
                <w:i/>
                <w:iCs/>
              </w:rPr>
              <w:t>Channel Request Description</w:t>
            </w:r>
            <w:r w:rsidRPr="004D0DAA">
              <w:rPr>
                <w:bCs/>
              </w:rPr>
              <w:t xml:space="preserve"> </w:t>
            </w:r>
            <w:r w:rsidRPr="004D0DAA">
              <w:t xml:space="preserve">IE. Neither this IE nor the PFI field shall be included if the </w:t>
            </w:r>
            <w:r w:rsidRPr="004D0DAA">
              <w:rPr>
                <w:i/>
                <w:iCs/>
              </w:rPr>
              <w:t xml:space="preserve">Extended </w:t>
            </w:r>
            <w:r w:rsidRPr="004D0DAA">
              <w:rPr>
                <w:bCs/>
                <w:i/>
                <w:iCs/>
              </w:rPr>
              <w:t>Channel Request Description</w:t>
            </w:r>
            <w:r w:rsidRPr="004D0DAA">
              <w:rPr>
                <w:bCs/>
              </w:rPr>
              <w:t xml:space="preserve"> IE is included.</w:t>
            </w:r>
          </w:p>
          <w:p w14:paraId="264FC95F" w14:textId="77777777" w:rsidR="00711444" w:rsidRPr="004D0DAA" w:rsidRDefault="00711444" w:rsidP="00AA2A4C">
            <w:pPr>
              <w:rPr>
                <w:bCs/>
              </w:rPr>
            </w:pPr>
            <w:r w:rsidRPr="004D0DAA">
              <w:rPr>
                <w:b/>
              </w:rPr>
              <w:t>Extended Channel Request Description</w:t>
            </w:r>
            <w:r w:rsidRPr="004D0DAA">
              <w:br/>
              <w:t>This information element is defined in</w:t>
            </w:r>
            <w:r w:rsidRPr="004D0DAA">
              <w:rPr>
                <w:i/>
              </w:rPr>
              <w:t xml:space="preserve"> </w:t>
            </w:r>
            <w:r w:rsidRPr="004D0DAA">
              <w:t xml:space="preserve">sub-clause 12.7b. This IE contains a request for one or more additional uplink TBFs and shall only be included if the mobile station and the network support multiple TBF procedures. If this IE is included, the </w:t>
            </w:r>
            <w:r w:rsidRPr="004D0DAA">
              <w:rPr>
                <w:bCs/>
                <w:i/>
                <w:iCs/>
              </w:rPr>
              <w:t>Channel Request Description</w:t>
            </w:r>
            <w:r w:rsidRPr="004D0DAA">
              <w:rPr>
                <w:bCs/>
              </w:rPr>
              <w:t xml:space="preserve"> IE and PFI field in the message shall be omitted.</w:t>
            </w:r>
          </w:p>
          <w:p w14:paraId="5DED0B51" w14:textId="77777777" w:rsidR="00711444" w:rsidRPr="004D0DAA" w:rsidRDefault="00711444" w:rsidP="00AA2A4C">
            <w:r w:rsidRPr="004D0DAA">
              <w:rPr>
                <w:b/>
              </w:rPr>
              <w:t>EGPRS Channel Quality Report Type 2</w:t>
            </w:r>
            <w:r w:rsidRPr="004D0DAA">
              <w:t xml:space="preserve"> </w:t>
            </w:r>
            <w:r w:rsidRPr="004D0DAA">
              <w:rPr>
                <w:b/>
                <w:bCs/>
              </w:rPr>
              <w:t>IE</w:t>
            </w:r>
            <w:r w:rsidRPr="004D0DAA">
              <w:br/>
              <w:t>This information element is defined in sub-clause 12.5a.1. For a mobile station with a dual carrier downlink assignment, this IE shall contain measurements corresponding to the downlink carrier which is paired with the uplink carrier on which this message is being sent.</w:t>
            </w:r>
          </w:p>
        </w:tc>
      </w:tr>
      <w:tr w:rsidR="00711444" w:rsidRPr="004D0DAA" w14:paraId="6A9008F7" w14:textId="77777777" w:rsidTr="00AA2A4C">
        <w:tblPrEx>
          <w:tblCellMar>
            <w:top w:w="0" w:type="dxa"/>
            <w:bottom w:w="0" w:type="dxa"/>
          </w:tblCellMar>
        </w:tblPrEx>
        <w:trPr>
          <w:cantSplit/>
          <w:trHeight w:val="23"/>
        </w:trPr>
        <w:tc>
          <w:tcPr>
            <w:tcW w:w="9848" w:type="dxa"/>
          </w:tcPr>
          <w:p w14:paraId="1D79F3F0" w14:textId="77777777" w:rsidR="00711444" w:rsidRPr="004D0DAA" w:rsidRDefault="00711444" w:rsidP="00AA2A4C">
            <w:r w:rsidRPr="004D0DAA">
              <w:rPr>
                <w:b/>
              </w:rPr>
              <w:t>PFI</w:t>
            </w:r>
            <w:r w:rsidRPr="004D0DAA">
              <w:t xml:space="preserve"> (7 bit field)</w:t>
            </w:r>
            <w:r w:rsidRPr="004D0DAA">
              <w:rPr>
                <w:b/>
              </w:rPr>
              <w:br/>
            </w:r>
            <w:r w:rsidRPr="004D0DAA">
              <w:t xml:space="preserve">This field contains the PFI parameter identifying a Packet Flow Context relating to the resource request specified in the </w:t>
            </w:r>
            <w:r w:rsidRPr="004D0DAA">
              <w:rPr>
                <w:i/>
              </w:rPr>
              <w:t>Channel Request Description</w:t>
            </w:r>
            <w:r w:rsidRPr="004D0DAA">
              <w:t xml:space="preserve"> IE. The PFI parameter is encoded as the contents of the PFI information element as defined in 3GPP TS 44.018. This field may be included if the network supports packet flow context procedures and if a Channel Request Description IE is included in the message. If this field is included but the </w:t>
            </w:r>
            <w:r w:rsidRPr="004D0DAA">
              <w:rPr>
                <w:i/>
              </w:rPr>
              <w:t xml:space="preserve">Channel Request Description </w:t>
            </w:r>
            <w:r w:rsidRPr="004D0DAA">
              <w:t>IE is omitted, this field shall be ignored.</w:t>
            </w:r>
          </w:p>
        </w:tc>
      </w:tr>
      <w:tr w:rsidR="00711444" w:rsidRPr="004D0DAA" w14:paraId="11B9A43F" w14:textId="77777777" w:rsidTr="00AA2A4C">
        <w:tblPrEx>
          <w:tblCellMar>
            <w:top w:w="0" w:type="dxa"/>
            <w:bottom w:w="0" w:type="dxa"/>
          </w:tblCellMar>
        </w:tblPrEx>
        <w:trPr>
          <w:cantSplit/>
        </w:trPr>
        <w:tc>
          <w:tcPr>
            <w:tcW w:w="9848" w:type="dxa"/>
          </w:tcPr>
          <w:p w14:paraId="32B4D036" w14:textId="77777777" w:rsidR="00711444" w:rsidRPr="004D0DAA" w:rsidRDefault="00711444" w:rsidP="00AA2A4C">
            <w:pPr>
              <w:spacing w:after="0"/>
            </w:pPr>
            <w:r w:rsidRPr="004D0DAA">
              <w:rPr>
                <w:b/>
                <w:bCs/>
              </w:rPr>
              <w:t xml:space="preserve">EARLY_TBF_ESTABLISHMENT </w:t>
            </w:r>
            <w:r w:rsidRPr="004D0DAA">
              <w:t>(1 bit field)</w:t>
            </w:r>
          </w:p>
          <w:p w14:paraId="5DA47158" w14:textId="77777777" w:rsidR="00711444" w:rsidRPr="004D0DAA" w:rsidRDefault="00711444" w:rsidP="00AA2A4C">
            <w:r w:rsidRPr="004D0DAA">
              <w:t xml:space="preserve">This field indicates whether or not the channel request is meant to request pre-allocation of an uplink TBF: </w:t>
            </w:r>
          </w:p>
          <w:p w14:paraId="089D32FC" w14:textId="77777777" w:rsidR="00711444" w:rsidRPr="004D0DAA" w:rsidRDefault="00711444" w:rsidP="00AA2A4C">
            <w:pPr>
              <w:rPr>
                <w:b/>
              </w:rPr>
            </w:pPr>
            <w:r w:rsidRPr="004D0DAA">
              <w:t>0</w:t>
            </w:r>
            <w:r w:rsidRPr="004D0DAA">
              <w:tab/>
              <w:t xml:space="preserve">The channel request is not meant to pre-allocate an uplink TBF. </w:t>
            </w:r>
            <w:r w:rsidRPr="004D0DAA">
              <w:br/>
              <w:t>1</w:t>
            </w:r>
            <w:r w:rsidRPr="004D0DAA">
              <w:tab/>
              <w:t>The channel request is meant to pre-allocate an uplink TBF.</w:t>
            </w:r>
          </w:p>
        </w:tc>
      </w:tr>
      <w:tr w:rsidR="00711444" w:rsidRPr="004D0DAA" w14:paraId="196E5B77" w14:textId="77777777" w:rsidTr="00AA2A4C">
        <w:tblPrEx>
          <w:tblCellMar>
            <w:top w:w="0" w:type="dxa"/>
            <w:bottom w:w="0" w:type="dxa"/>
          </w:tblCellMar>
        </w:tblPrEx>
        <w:trPr>
          <w:cantSplit/>
        </w:trPr>
        <w:tc>
          <w:tcPr>
            <w:tcW w:w="9848" w:type="dxa"/>
          </w:tcPr>
          <w:p w14:paraId="19DECF4B" w14:textId="77777777" w:rsidR="00711444" w:rsidRPr="004D0DAA" w:rsidRDefault="00711444" w:rsidP="00AA2A4C">
            <w:pPr>
              <w:spacing w:after="0"/>
              <w:rPr>
                <w:b/>
                <w:bCs/>
              </w:rPr>
            </w:pPr>
            <w:r w:rsidRPr="004D0DAA">
              <w:rPr>
                <w:b/>
                <w:bCs/>
              </w:rPr>
              <w:t>Secondary Dual Carrier Channel Report</w:t>
            </w:r>
          </w:p>
          <w:p w14:paraId="13C331E3" w14:textId="77777777" w:rsidR="00711444" w:rsidRPr="004D0DAA" w:rsidRDefault="00711444" w:rsidP="00AA2A4C">
            <w:pPr>
              <w:spacing w:after="0"/>
            </w:pPr>
            <w:r w:rsidRPr="004D0DAA">
              <w:t>This information element is described in sub-clause 12.5a.1. For a mobile station with a dual carrier downlink assignment, this IE shall contain measurements corresponding to the downlink carrier which is not paired with the uplink carrier on which this message is being sent. This IE shall not be included by an MS with a single carrier downlink assignment.</w:t>
            </w:r>
          </w:p>
          <w:p w14:paraId="425D8970" w14:textId="77777777" w:rsidR="00711444" w:rsidRPr="004D0DAA" w:rsidRDefault="00711444" w:rsidP="00AA2A4C">
            <w:pPr>
              <w:spacing w:after="0"/>
            </w:pPr>
          </w:p>
        </w:tc>
      </w:tr>
      <w:tr w:rsidR="00711444" w:rsidRPr="004D0DAA" w14:paraId="0056B282" w14:textId="77777777" w:rsidTr="00AA2A4C">
        <w:tblPrEx>
          <w:tblCellMar>
            <w:top w:w="0" w:type="dxa"/>
            <w:bottom w:w="0" w:type="dxa"/>
          </w:tblCellMar>
        </w:tblPrEx>
        <w:trPr>
          <w:cantSplit/>
        </w:trPr>
        <w:tc>
          <w:tcPr>
            <w:tcW w:w="9848" w:type="dxa"/>
          </w:tcPr>
          <w:p w14:paraId="39B7AC89" w14:textId="77777777" w:rsidR="00711444" w:rsidRPr="004D0DAA" w:rsidRDefault="00711444" w:rsidP="00AA2A4C">
            <w:pPr>
              <w:spacing w:after="0"/>
            </w:pPr>
            <w:r w:rsidRPr="004D0DAA">
              <w:rPr>
                <w:b/>
                <w:bCs/>
              </w:rPr>
              <w:t xml:space="preserve">MS Transmission Offset </w:t>
            </w:r>
            <w:r w:rsidRPr="004D0DAA">
              <w:t>(4 bit field)</w:t>
            </w:r>
          </w:p>
          <w:p w14:paraId="5662E879" w14:textId="77777777" w:rsidR="00711444" w:rsidRPr="004D0DAA" w:rsidRDefault="00711444" w:rsidP="00AA2A4C">
            <w:pPr>
              <w:spacing w:after="0"/>
            </w:pPr>
            <w:r w:rsidRPr="004D0DAA">
              <w:t>If a downlink TBF is established using a downlink assignment message indicating “MS Transmission Offset” and “MS Sync Accuracy” parameters are needed then this field is included (8.1.2.2). It is coded as described in sub-clause 10.4.33.</w:t>
            </w:r>
          </w:p>
          <w:p w14:paraId="2B7D4898" w14:textId="77777777" w:rsidR="00711444" w:rsidRPr="004D0DAA" w:rsidRDefault="00711444" w:rsidP="00AA2A4C">
            <w:pPr>
              <w:spacing w:after="0"/>
              <w:rPr>
                <w:b/>
                <w:bCs/>
              </w:rPr>
            </w:pPr>
          </w:p>
        </w:tc>
      </w:tr>
      <w:tr w:rsidR="00711444" w:rsidRPr="004D0DAA" w14:paraId="1A7D7219" w14:textId="77777777" w:rsidTr="00AA2A4C">
        <w:tblPrEx>
          <w:tblCellMar>
            <w:top w:w="0" w:type="dxa"/>
            <w:bottom w:w="0" w:type="dxa"/>
          </w:tblCellMar>
        </w:tblPrEx>
        <w:trPr>
          <w:cantSplit/>
        </w:trPr>
        <w:tc>
          <w:tcPr>
            <w:tcW w:w="9848" w:type="dxa"/>
          </w:tcPr>
          <w:p w14:paraId="190ADD0D" w14:textId="77777777" w:rsidR="00711444" w:rsidRPr="004D0DAA" w:rsidRDefault="00711444" w:rsidP="00AA2A4C">
            <w:pPr>
              <w:spacing w:after="0"/>
            </w:pPr>
            <w:r w:rsidRPr="004D0DAA">
              <w:rPr>
                <w:b/>
                <w:bCs/>
              </w:rPr>
              <w:t xml:space="preserve">MS Sync Accuracy </w:t>
            </w:r>
            <w:r w:rsidRPr="004D0DAA">
              <w:t>(4 bit field)</w:t>
            </w:r>
          </w:p>
          <w:p w14:paraId="50CEFB90" w14:textId="77777777" w:rsidR="00711444" w:rsidRPr="004D0DAA" w:rsidRDefault="00711444" w:rsidP="00AA2A4C">
            <w:pPr>
              <w:spacing w:after="0"/>
            </w:pPr>
            <w:r w:rsidRPr="004D0DAA">
              <w:t>If a downlink TBF is established using a downlink assignment message indicating “MS Transmission Offset” and “MS Sync Accuracy” parameters are needed then this field is included (8.1.2.2). It is coded as described in sub-clause 10.4.32.</w:t>
            </w:r>
          </w:p>
          <w:p w14:paraId="2F95A23B" w14:textId="77777777" w:rsidR="00711444" w:rsidRPr="004D0DAA" w:rsidRDefault="00711444" w:rsidP="00AA2A4C">
            <w:pPr>
              <w:spacing w:after="0"/>
              <w:rPr>
                <w:b/>
                <w:bCs/>
              </w:rPr>
            </w:pPr>
          </w:p>
        </w:tc>
      </w:tr>
    </w:tbl>
    <w:p w14:paraId="598EF98E" w14:textId="77777777" w:rsidR="00711444" w:rsidRPr="004D0DAA" w:rsidRDefault="00711444" w:rsidP="00711444"/>
    <w:p w14:paraId="5D089992" w14:textId="77777777" w:rsidR="00711444" w:rsidRPr="004D0DAA" w:rsidRDefault="00711444" w:rsidP="00711444">
      <w:pPr>
        <w:pStyle w:val="Heading3"/>
      </w:pPr>
      <w:bookmarkStart w:id="662" w:name="_Toc516669839"/>
      <w:r w:rsidRPr="004D0DAA">
        <w:t>11.2.6f</w:t>
      </w:r>
      <w:r w:rsidRPr="004D0DAA">
        <w:tab/>
        <w:t>EGPRS Packet Downlink Ack/Nack Type 3</w:t>
      </w:r>
      <w:bookmarkEnd w:id="662"/>
    </w:p>
    <w:p w14:paraId="2DF85FD7" w14:textId="77777777" w:rsidR="00711444" w:rsidRPr="004D0DAA" w:rsidRDefault="00711444" w:rsidP="00711444">
      <w:r w:rsidRPr="004D0DAA">
        <w:t>This message is sent on the PACCH from the mobile station to the network to indicate the status of downlink RLC data blocks received and to report the channel quality of the downlink.</w:t>
      </w:r>
    </w:p>
    <w:p w14:paraId="2C8180DD" w14:textId="77777777" w:rsidR="00711444" w:rsidRPr="004D0DAA" w:rsidRDefault="00711444" w:rsidP="00711444">
      <w:r w:rsidRPr="004D0DAA">
        <w:t xml:space="preserve">This message shall only be used by the mobile station if indicated as supported by the network according to the value of the </w:t>
      </w:r>
      <w:r w:rsidRPr="004D0DAA">
        <w:rPr>
          <w:i/>
        </w:rPr>
        <w:t xml:space="preserve">EGPRS Packet Downlink Ack/Nack Type 3 Support </w:t>
      </w:r>
      <w:r w:rsidRPr="004D0DAA">
        <w:t>field in assignment messages.</w:t>
      </w:r>
    </w:p>
    <w:p w14:paraId="7F397C3E" w14:textId="77777777" w:rsidR="00711444" w:rsidRPr="004D0DAA" w:rsidRDefault="00711444" w:rsidP="00711444">
      <w:pPr>
        <w:pStyle w:val="EX"/>
      </w:pPr>
      <w:r w:rsidRPr="004D0DAA">
        <w:t>Message type:</w:t>
      </w:r>
      <w:r w:rsidRPr="004D0DAA">
        <w:tab/>
        <w:t>EGPRS Packet Downlink Ack/Nack Type 3</w:t>
      </w:r>
    </w:p>
    <w:p w14:paraId="5B604E2F" w14:textId="77777777" w:rsidR="00711444" w:rsidRPr="004D0DAA" w:rsidRDefault="00711444" w:rsidP="00711444">
      <w:pPr>
        <w:pStyle w:val="EX"/>
      </w:pPr>
      <w:r w:rsidRPr="004D0DAA">
        <w:t>Direction:</w:t>
      </w:r>
      <w:r w:rsidRPr="004D0DAA">
        <w:tab/>
        <w:t>mobile station to network</w:t>
      </w:r>
    </w:p>
    <w:p w14:paraId="18A43E10" w14:textId="77777777" w:rsidR="00711444" w:rsidRPr="004D0DAA" w:rsidRDefault="00711444" w:rsidP="00711444">
      <w:pPr>
        <w:pStyle w:val="TH"/>
      </w:pPr>
      <w:r w:rsidRPr="004D0DAA">
        <w:lastRenderedPageBreak/>
        <w:t xml:space="preserve">Table 11.2.6f.1: EGPRS </w:t>
      </w:r>
      <w:r w:rsidRPr="004D0DAA">
        <w:rPr>
          <w:caps/>
        </w:rPr>
        <w:t>Packet Downlink Ack/Nack</w:t>
      </w:r>
      <w:r w:rsidRPr="004D0DAA">
        <w:t xml:space="preserve"> TYPE 3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8B00497" w14:textId="77777777" w:rsidTr="00AA2A4C">
        <w:tblPrEx>
          <w:tblCellMar>
            <w:top w:w="0" w:type="dxa"/>
            <w:bottom w:w="0" w:type="dxa"/>
          </w:tblCellMar>
        </w:tblPrEx>
        <w:trPr>
          <w:cantSplit/>
        </w:trPr>
        <w:tc>
          <w:tcPr>
            <w:tcW w:w="9848" w:type="dxa"/>
          </w:tcPr>
          <w:p w14:paraId="6FEDAF3F" w14:textId="77777777" w:rsidR="00711444" w:rsidRPr="004D0DAA" w:rsidRDefault="00711444" w:rsidP="00AA2A4C">
            <w:pPr>
              <w:keepNext/>
              <w:keepLines/>
              <w:spacing w:after="0"/>
              <w:rPr>
                <w:rFonts w:ascii="Arial" w:hAnsi="Arial"/>
                <w:sz w:val="18"/>
              </w:rPr>
            </w:pPr>
            <w:r w:rsidRPr="004D0DAA">
              <w:rPr>
                <w:rFonts w:ascii="Arial" w:hAnsi="Arial"/>
                <w:sz w:val="18"/>
              </w:rPr>
              <w:t>&lt; EGPRS Packet Downlink Ack/Nack Type 3 message content &gt; ::=</w:t>
            </w:r>
          </w:p>
          <w:p w14:paraId="0C68F00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b/>
                <w:sz w:val="18"/>
              </w:rPr>
              <w:t xml:space="preserve">DOWNLINK_TFI </w:t>
            </w:r>
            <w:r w:rsidRPr="004D0DAA">
              <w:rPr>
                <w:rFonts w:ascii="Arial" w:hAnsi="Arial"/>
                <w:sz w:val="18"/>
              </w:rPr>
              <w:t>: bit (5) &gt;</w:t>
            </w:r>
          </w:p>
          <w:p w14:paraId="30CC5AC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b/>
                <w:sz w:val="18"/>
              </w:rPr>
              <w:t>MS OUT OF MEMORY</w:t>
            </w:r>
            <w:r w:rsidRPr="004D0DAA">
              <w:rPr>
                <w:rFonts w:ascii="Arial" w:hAnsi="Arial"/>
                <w:sz w:val="18"/>
              </w:rPr>
              <w:t xml:space="preserve"> : bit(1)&gt;</w:t>
            </w:r>
          </w:p>
          <w:p w14:paraId="2AC2C31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&lt;</w:t>
            </w:r>
            <w:r w:rsidRPr="004D0DAA">
              <w:rPr>
                <w:rFonts w:ascii="Arial" w:hAnsi="Arial"/>
                <w:b/>
                <w:sz w:val="18"/>
              </w:rPr>
              <w:t xml:space="preserve"> EGPRS Channel Quality Report</w:t>
            </w:r>
            <w:r w:rsidRPr="004D0DAA">
              <w:rPr>
                <w:rFonts w:ascii="Arial" w:hAnsi="Arial"/>
                <w:sz w:val="18"/>
              </w:rPr>
              <w:t xml:space="preserve"> : &lt; EGPRS Channel Quality Report Type 2 IE &gt; &gt;}</w:t>
            </w:r>
          </w:p>
          <w:p w14:paraId="0CC3BB9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Secondary Dual Carrier Channel Report</w:t>
            </w:r>
            <w:r w:rsidRPr="004D0DAA">
              <w:rPr>
                <w:lang w:eastAsia="en-US"/>
              </w:rPr>
              <w:t xml:space="preserve"> : &lt; EGPRS Channel Quality Report Type 2 IE &gt; &gt;} </w:t>
            </w:r>
          </w:p>
          <w:p w14:paraId="4C00BFC9"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p>
          <w:p w14:paraId="53CA6EB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&lt; Extension Bits : Extension Bits IE &gt; }</w:t>
            </w:r>
            <w:r w:rsidRPr="004D0DAA">
              <w:rPr>
                <w:lang w:eastAsia="en-US"/>
              </w:rPr>
              <w:tab/>
            </w:r>
            <w:r w:rsidRPr="004D0DAA">
              <w:rPr>
                <w:lang w:eastAsia="en-US"/>
              </w:rPr>
              <w:tab/>
            </w:r>
            <w:r w:rsidRPr="004D0DAA">
              <w:rPr>
                <w:lang w:eastAsia="en-US"/>
              </w:rPr>
              <w:tab/>
            </w:r>
            <w:r w:rsidRPr="004D0DAA">
              <w:rPr>
                <w:lang w:eastAsia="en-US"/>
              </w:rPr>
              <w:tab/>
              <w:t>-- sub-clause 12.26</w:t>
            </w:r>
          </w:p>
          <w:p w14:paraId="18073802" w14:textId="77777777" w:rsidR="00711444" w:rsidRPr="004D0DAA" w:rsidRDefault="00711444" w:rsidP="00AA2A4C">
            <w:pPr>
              <w:pStyle w:val="TAL"/>
              <w:rPr>
                <w:i/>
                <w:lang w:eastAsia="en-US"/>
              </w:rPr>
            </w:pPr>
          </w:p>
          <w:p w14:paraId="67FC550E"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Truncation of the EGPRS Ack/Nack Description is allowed</w:t>
            </w:r>
          </w:p>
          <w:p w14:paraId="5657D9FE"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if the available space in the message without EGPRS Ack/Nack Description</w:t>
            </w:r>
            <w:r w:rsidRPr="004D0DAA">
              <w:rPr>
                <w:lang w:eastAsia="en-US"/>
              </w:rPr>
              <w:t xml:space="preserve"> </w:t>
            </w:r>
            <w:r w:rsidRPr="004D0DAA">
              <w:rPr>
                <w:i/>
                <w:lang w:eastAsia="en-US"/>
              </w:rPr>
              <w:t>IE</w:t>
            </w:r>
          </w:p>
          <w:p w14:paraId="0352D24C"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does not allow for the inclusion of a valid EGPRS Ack/Nack Description</w:t>
            </w:r>
            <w:r w:rsidRPr="004D0DAA">
              <w:rPr>
                <w:lang w:eastAsia="en-US"/>
              </w:rPr>
              <w:t xml:space="preserve"> </w:t>
            </w:r>
            <w:r w:rsidRPr="004D0DAA">
              <w:rPr>
                <w:i/>
                <w:lang w:eastAsia="en-US"/>
              </w:rPr>
              <w:t>IE, i.e. is less than 16 bits.</w:t>
            </w:r>
          </w:p>
          <w:p w14:paraId="1B5A6C1A"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t>-- In these conditions, the receiver shall assume that no EGPRS Ack/Nack description IE is included.</w:t>
            </w:r>
          </w:p>
          <w:p w14:paraId="76F1E7A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EGPRS</w:t>
            </w:r>
            <w:r w:rsidRPr="004D0DAA">
              <w:rPr>
                <w:rFonts w:ascii="Arial" w:hAnsi="Arial"/>
                <w:sz w:val="18"/>
              </w:rPr>
              <w:t xml:space="preserve"> </w:t>
            </w:r>
            <w:r w:rsidRPr="004D0DAA">
              <w:rPr>
                <w:rFonts w:ascii="Arial" w:hAnsi="Arial"/>
                <w:b/>
                <w:sz w:val="18"/>
              </w:rPr>
              <w:t>Ack/Nack Description</w:t>
            </w:r>
            <w:r w:rsidRPr="004D0DAA">
              <w:rPr>
                <w:rFonts w:ascii="Arial" w:hAnsi="Arial"/>
                <w:sz w:val="18"/>
              </w:rPr>
              <w:t xml:space="preserve"> : &lt; EGPRS Ack/Nack Description IE &gt;&gt;</w:t>
            </w:r>
          </w:p>
          <w:p w14:paraId="3950EA14" w14:textId="77777777" w:rsidR="00711444" w:rsidRPr="004D0DAA" w:rsidRDefault="00711444" w:rsidP="00AA2A4C">
            <w:pPr>
              <w:keepNext/>
              <w:keepLines/>
              <w:spacing w:after="0"/>
              <w:rPr>
                <w:rFonts w:ascii="Arial" w:hAnsi="Arial" w:cs="Arial"/>
                <w:i/>
                <w:sz w:val="18"/>
                <w:szCs w:val="18"/>
              </w:rPr>
            </w:pPr>
            <w:r w:rsidRPr="004D0DAA">
              <w:rPr>
                <w:rFonts w:ascii="Arial" w:hAnsi="Arial"/>
                <w:sz w:val="18"/>
              </w:rPr>
              <w:tab/>
            </w:r>
            <w:r w:rsidRPr="004D0DAA">
              <w:rPr>
                <w:rFonts w:ascii="Arial" w:hAnsi="Arial"/>
                <w:sz w:val="18"/>
              </w:rPr>
              <w:tab/>
              <w:t>} //</w:t>
            </w:r>
            <w:r w:rsidRPr="004D0DAA">
              <w:rPr>
                <w:rFonts w:ascii="Arial" w:hAnsi="Arial"/>
                <w:sz w:val="18"/>
              </w:rPr>
              <w:tab/>
            </w:r>
            <w:r w:rsidRPr="004D0DAA">
              <w:rPr>
                <w:rFonts w:ascii="Arial" w:hAnsi="Arial" w:cs="Arial"/>
                <w:sz w:val="18"/>
                <w:szCs w:val="18"/>
              </w:rPr>
              <w:tab/>
            </w:r>
            <w:r w:rsidRPr="004D0DAA">
              <w:rPr>
                <w:rFonts w:ascii="Arial" w:hAnsi="Arial" w:cs="Arial"/>
                <w:i/>
                <w:sz w:val="18"/>
                <w:szCs w:val="18"/>
              </w:rPr>
              <w:t xml:space="preserve">-- Truncation allowed (specific conditions apply for the </w:t>
            </w:r>
            <w:r w:rsidRPr="004D0DAA">
              <w:rPr>
                <w:rFonts w:ascii="Arial" w:hAnsi="Arial"/>
                <w:i/>
                <w:sz w:val="18"/>
              </w:rPr>
              <w:t>EGPRS Ack/Nack Description - see above</w:t>
            </w:r>
            <w:r w:rsidRPr="004D0DAA">
              <w:rPr>
                <w:rFonts w:ascii="Arial" w:hAnsi="Arial" w:cs="Arial"/>
                <w:i/>
                <w:sz w:val="18"/>
                <w:szCs w:val="18"/>
              </w:rPr>
              <w:t>)</w:t>
            </w:r>
          </w:p>
          <w:p w14:paraId="7030D735"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Rel-14 extension</w:t>
            </w:r>
          </w:p>
          <w:p w14:paraId="1CBCF33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w:t>
            </w:r>
            <w:r w:rsidRPr="004D0DAA">
              <w:rPr>
                <w:lang w:eastAsia="en-US"/>
              </w:rPr>
              <w:tab/>
            </w:r>
            <w:r w:rsidRPr="004D0DAA">
              <w:rPr>
                <w:lang w:eastAsia="en-US"/>
              </w:rPr>
              <w:tab/>
              <w:t>&lt; MS Transmission Offset</w:t>
            </w:r>
            <w:r w:rsidRPr="004D0DAA">
              <w:rPr>
                <w:b/>
                <w:bCs/>
                <w:lang w:eastAsia="en-US"/>
              </w:rPr>
              <w:t xml:space="preserve"> </w:t>
            </w:r>
            <w:r w:rsidRPr="004D0DAA">
              <w:rPr>
                <w:lang w:eastAsia="en-US"/>
              </w:rPr>
              <w:t>: bit (4) &gt;</w:t>
            </w:r>
          </w:p>
          <w:p w14:paraId="17CB01E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MS Sync Accuracy : bit (4) &gt; }</w:t>
            </w:r>
          </w:p>
          <w:p w14:paraId="62151053"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5D202155" w14:textId="77777777" w:rsidR="00711444" w:rsidRPr="004D0DAA" w:rsidRDefault="00711444" w:rsidP="00AA2A4C">
            <w:pPr>
              <w:pStyle w:val="TAL"/>
              <w:rPr>
                <w:lang w:eastAsia="en-US"/>
              </w:rPr>
            </w:pPr>
            <w:r w:rsidRPr="004D0DAA">
              <w:rPr>
                <w:lang w:eastAsia="en-US"/>
              </w:rPr>
              <w:tab/>
            </w:r>
            <w:r w:rsidRPr="004D0DAA">
              <w:rPr>
                <w:lang w:eastAsia="en-US"/>
              </w:rPr>
              <w:tab/>
              <w:t>&lt;padding bits &gt; } ;</w:t>
            </w:r>
          </w:p>
          <w:p w14:paraId="34ABAA46" w14:textId="77777777" w:rsidR="00711444" w:rsidRPr="004D0DAA" w:rsidRDefault="00711444" w:rsidP="00AA2A4C">
            <w:pPr>
              <w:pStyle w:val="TAL"/>
              <w:rPr>
                <w:lang w:eastAsia="en-US"/>
              </w:rPr>
            </w:pPr>
          </w:p>
        </w:tc>
      </w:tr>
    </w:tbl>
    <w:p w14:paraId="53ACE16E" w14:textId="77777777" w:rsidR="00711444" w:rsidRPr="004D0DAA" w:rsidRDefault="00711444" w:rsidP="00711444"/>
    <w:p w14:paraId="2A512B3A" w14:textId="77777777" w:rsidR="00711444" w:rsidRPr="004D0DAA" w:rsidRDefault="00711444" w:rsidP="00711444">
      <w:pPr>
        <w:pStyle w:val="TH"/>
      </w:pPr>
      <w:r w:rsidRPr="004D0DAA">
        <w:t xml:space="preserve">Table 11.2.6f.2: EGPRS </w:t>
      </w:r>
      <w:r w:rsidRPr="004D0DAA">
        <w:rPr>
          <w:caps/>
        </w:rPr>
        <w:t>Packet Downlink Ack/Nack TYPE 3</w:t>
      </w:r>
      <w:r w:rsidRPr="004D0DAA">
        <w:rPr>
          <w:i/>
        </w:rPr>
        <w:t xml:space="preserve"> </w:t>
      </w:r>
      <w:r w:rsidRPr="004D0DAA">
        <w:t>information element details</w:t>
      </w:r>
    </w:p>
    <w:tbl>
      <w:tblPr>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9848"/>
      </w:tblGrid>
      <w:tr w:rsidR="00711444" w:rsidRPr="004D0DAA" w14:paraId="5FFB812F" w14:textId="77777777" w:rsidTr="00AA2A4C">
        <w:tblPrEx>
          <w:tblCellMar>
            <w:top w:w="0" w:type="dxa"/>
            <w:bottom w:w="0" w:type="dxa"/>
          </w:tblCellMar>
        </w:tblPrEx>
        <w:trPr>
          <w:cantSplit/>
          <w:trHeight w:val="23"/>
        </w:trPr>
        <w:tc>
          <w:tcPr>
            <w:tcW w:w="9848" w:type="dxa"/>
          </w:tcPr>
          <w:p w14:paraId="06F429FD"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 On DBPSCH, this field equals the radio bearer identity of the radio bearer to which this message applies.</w:t>
            </w:r>
          </w:p>
        </w:tc>
      </w:tr>
      <w:tr w:rsidR="00711444" w:rsidRPr="004D0DAA" w14:paraId="1AC81C4B" w14:textId="77777777" w:rsidTr="00AA2A4C">
        <w:tblPrEx>
          <w:tblCellMar>
            <w:top w:w="0" w:type="dxa"/>
            <w:bottom w:w="0" w:type="dxa"/>
          </w:tblCellMar>
        </w:tblPrEx>
        <w:trPr>
          <w:cantSplit/>
          <w:trHeight w:val="23"/>
        </w:trPr>
        <w:tc>
          <w:tcPr>
            <w:tcW w:w="9848" w:type="dxa"/>
          </w:tcPr>
          <w:p w14:paraId="4E97E3B5" w14:textId="77777777" w:rsidR="00711444" w:rsidRPr="004D0DAA" w:rsidRDefault="00711444" w:rsidP="00AA2A4C">
            <w:r w:rsidRPr="004D0DAA">
              <w:rPr>
                <w:b/>
              </w:rPr>
              <w:t xml:space="preserve">MS OUT OF MEMORY </w:t>
            </w:r>
            <w:r w:rsidRPr="004D0DAA">
              <w:t>(1 bit field)</w:t>
            </w:r>
            <w:r w:rsidRPr="004D0DAA">
              <w:br/>
              <w:t>This field indicates that the MS has no more enough memory to perform Incremental Redundancy.</w:t>
            </w:r>
          </w:p>
          <w:p w14:paraId="3407655B"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28DA3028" w14:textId="77777777" w:rsidTr="00AA2A4C">
        <w:tblPrEx>
          <w:tblCellMar>
            <w:top w:w="0" w:type="dxa"/>
            <w:bottom w:w="0" w:type="dxa"/>
          </w:tblCellMar>
        </w:tblPrEx>
        <w:trPr>
          <w:cantSplit/>
          <w:trHeight w:val="23"/>
        </w:trPr>
        <w:tc>
          <w:tcPr>
            <w:tcW w:w="9848" w:type="dxa"/>
          </w:tcPr>
          <w:p w14:paraId="09F2209F" w14:textId="77777777" w:rsidR="00711444" w:rsidRPr="004D0DAA" w:rsidRDefault="00711444" w:rsidP="00AA2A4C">
            <w:r w:rsidRPr="004D0DAA">
              <w:rPr>
                <w:b/>
              </w:rPr>
              <w:t>EGPRS Channel Quality Report</w:t>
            </w:r>
            <w:r w:rsidRPr="004D0DAA">
              <w:br/>
              <w:t>This information element is defined in sub-clause 12.5a.1. For a mobile station with a dual carrier downlink assignment, this IE shall contain measurements corresponding to the downlink carrier which is paired with the uplink carrier on which this message is being sent.</w:t>
            </w:r>
          </w:p>
        </w:tc>
      </w:tr>
      <w:tr w:rsidR="00711444" w:rsidRPr="004D0DAA" w14:paraId="34222E58" w14:textId="77777777" w:rsidTr="00AA2A4C">
        <w:tblPrEx>
          <w:tblCellMar>
            <w:top w:w="0" w:type="dxa"/>
            <w:bottom w:w="0" w:type="dxa"/>
          </w:tblCellMar>
        </w:tblPrEx>
        <w:trPr>
          <w:cantSplit/>
        </w:trPr>
        <w:tc>
          <w:tcPr>
            <w:tcW w:w="9848" w:type="dxa"/>
          </w:tcPr>
          <w:p w14:paraId="55763171" w14:textId="77777777" w:rsidR="00711444" w:rsidRPr="004D0DAA" w:rsidRDefault="00711444" w:rsidP="00AA2A4C">
            <w:pPr>
              <w:spacing w:after="0"/>
              <w:rPr>
                <w:b/>
                <w:bCs/>
              </w:rPr>
            </w:pPr>
            <w:r w:rsidRPr="004D0DAA">
              <w:rPr>
                <w:b/>
                <w:bCs/>
              </w:rPr>
              <w:t>Secondary Dual Carrier Channel Report</w:t>
            </w:r>
          </w:p>
          <w:p w14:paraId="32539DC2" w14:textId="77777777" w:rsidR="00711444" w:rsidRPr="004D0DAA" w:rsidRDefault="00711444" w:rsidP="00AA2A4C">
            <w:pPr>
              <w:spacing w:after="0"/>
            </w:pPr>
            <w:r w:rsidRPr="004D0DAA">
              <w:t>This information element is described in sub-clause 12.5a.1. For a mobile station with a dual carrier downlink assignment, this IE shall contain measurements corresponding to the downlink carrier which is not paired with the uplink carrier on which this message is being sent. This IE shall only be included by an MS in a Downlink Dual Carrier configuration.</w:t>
            </w:r>
          </w:p>
          <w:p w14:paraId="4CD7EFEC" w14:textId="77777777" w:rsidR="00711444" w:rsidRPr="004D0DAA" w:rsidRDefault="00711444" w:rsidP="00AA2A4C">
            <w:pPr>
              <w:spacing w:after="0"/>
            </w:pPr>
          </w:p>
          <w:p w14:paraId="131BFF6A" w14:textId="77777777" w:rsidR="00711444" w:rsidRPr="004D0DAA" w:rsidRDefault="00711444" w:rsidP="00AA2A4C">
            <w:pPr>
              <w:spacing w:after="0"/>
            </w:pPr>
            <w:r w:rsidRPr="004D0DAA">
              <w:rPr>
                <w:b/>
              </w:rPr>
              <w:t xml:space="preserve">EGPRS Ack/Nack Description </w:t>
            </w:r>
            <w:r w:rsidRPr="004D0DAA">
              <w:t>(L bit field)</w:t>
            </w:r>
            <w:r w:rsidRPr="004D0DAA">
              <w:rPr>
                <w:b/>
              </w:rPr>
              <w:br/>
            </w:r>
            <w:r w:rsidRPr="004D0DAA">
              <w:t>This information element is defined in</w:t>
            </w:r>
            <w:r w:rsidRPr="004D0DAA">
              <w:rPr>
                <w:i/>
              </w:rPr>
              <w:t xml:space="preserve"> </w:t>
            </w:r>
            <w:r w:rsidRPr="004D0DAA">
              <w:t xml:space="preserve">sub-clause 12.3.1. The number of bits (L) available for Ack/Nack Description information element depends on the inclusion of channel quality reports and channel requests. L shall be set so that the entire EGPRS </w:t>
            </w:r>
            <w:r w:rsidRPr="004D0DAA">
              <w:rPr>
                <w:caps/>
              </w:rPr>
              <w:t>Packet Downlink Ack/Nack</w:t>
            </w:r>
            <w:r w:rsidRPr="004D0DAA">
              <w:t xml:space="preserve"> message fits into an RLC/MAC control block. If a lower L covers the entire receive window, that L shall be used.</w:t>
            </w:r>
          </w:p>
        </w:tc>
      </w:tr>
      <w:tr w:rsidR="00711444" w:rsidRPr="004D0DAA" w14:paraId="057AC20A" w14:textId="77777777" w:rsidTr="00AA2A4C">
        <w:tblPrEx>
          <w:tblCellMar>
            <w:top w:w="0" w:type="dxa"/>
            <w:bottom w:w="0" w:type="dxa"/>
          </w:tblCellMar>
        </w:tblPrEx>
        <w:trPr>
          <w:cantSplit/>
        </w:trPr>
        <w:tc>
          <w:tcPr>
            <w:tcW w:w="9848" w:type="dxa"/>
          </w:tcPr>
          <w:p w14:paraId="1E58BF96" w14:textId="77777777" w:rsidR="00711444" w:rsidRPr="004D0DAA" w:rsidRDefault="00711444" w:rsidP="00AA2A4C">
            <w:pPr>
              <w:spacing w:after="0"/>
            </w:pPr>
            <w:r w:rsidRPr="004D0DAA">
              <w:rPr>
                <w:b/>
                <w:bCs/>
              </w:rPr>
              <w:t xml:space="preserve">MS Transmission Offset </w:t>
            </w:r>
            <w:r w:rsidRPr="004D0DAA">
              <w:t>(4 bit field)</w:t>
            </w:r>
          </w:p>
          <w:p w14:paraId="4DBA9A42" w14:textId="77777777" w:rsidR="00711444" w:rsidRPr="004D0DAA" w:rsidRDefault="00711444" w:rsidP="00AA2A4C">
            <w:pPr>
              <w:spacing w:after="0"/>
            </w:pPr>
            <w:r w:rsidRPr="004D0DAA">
              <w:t>If a downlink TBF is established using a downlink assignment message indicating “MS Transmission Offset” and “MS Sync Accuracy” parameters are needed then this field is included (see sub-clause 8.1.2.2). It is coded as decribed in sub-clause 10.4.33.</w:t>
            </w:r>
          </w:p>
          <w:p w14:paraId="0ABCBBBC" w14:textId="77777777" w:rsidR="00711444" w:rsidRPr="004D0DAA" w:rsidRDefault="00711444" w:rsidP="00AA2A4C">
            <w:pPr>
              <w:spacing w:after="0"/>
              <w:rPr>
                <w:b/>
                <w:bCs/>
              </w:rPr>
            </w:pPr>
          </w:p>
        </w:tc>
      </w:tr>
      <w:tr w:rsidR="00711444" w:rsidRPr="004D0DAA" w14:paraId="67B9C39D" w14:textId="77777777" w:rsidTr="00AA2A4C">
        <w:tblPrEx>
          <w:tblCellMar>
            <w:top w:w="0" w:type="dxa"/>
            <w:bottom w:w="0" w:type="dxa"/>
          </w:tblCellMar>
        </w:tblPrEx>
        <w:trPr>
          <w:cantSplit/>
        </w:trPr>
        <w:tc>
          <w:tcPr>
            <w:tcW w:w="9848" w:type="dxa"/>
          </w:tcPr>
          <w:p w14:paraId="5172A996" w14:textId="77777777" w:rsidR="00711444" w:rsidRPr="004D0DAA" w:rsidRDefault="00711444" w:rsidP="00AA2A4C">
            <w:pPr>
              <w:spacing w:after="0"/>
            </w:pPr>
            <w:r w:rsidRPr="004D0DAA">
              <w:rPr>
                <w:b/>
                <w:bCs/>
              </w:rPr>
              <w:t xml:space="preserve">MS Sync Accuracy </w:t>
            </w:r>
            <w:r w:rsidRPr="004D0DAA">
              <w:t>(4 bit field)</w:t>
            </w:r>
          </w:p>
          <w:p w14:paraId="36E0C2EC" w14:textId="77777777" w:rsidR="00711444" w:rsidRPr="004D0DAA" w:rsidRDefault="00711444" w:rsidP="00AA2A4C">
            <w:pPr>
              <w:spacing w:after="0"/>
            </w:pPr>
            <w:r w:rsidRPr="004D0DAA">
              <w:t>If a downlink TBF is established using a downlink assignment message indicating “MS Transmission Offset” and “MS Sync Accuracy” parameters are needed then this field is included (see sub-clause 8.1.2.2). It is coded as described in sub-clause 10.4.32.</w:t>
            </w:r>
          </w:p>
          <w:p w14:paraId="67A2B2FF" w14:textId="77777777" w:rsidR="00711444" w:rsidRPr="004D0DAA" w:rsidRDefault="00711444" w:rsidP="00AA2A4C">
            <w:pPr>
              <w:spacing w:after="0"/>
              <w:rPr>
                <w:b/>
                <w:bCs/>
              </w:rPr>
            </w:pPr>
          </w:p>
        </w:tc>
      </w:tr>
    </w:tbl>
    <w:p w14:paraId="5C925C37" w14:textId="77777777" w:rsidR="00711444" w:rsidRPr="004D0DAA" w:rsidRDefault="00711444" w:rsidP="00711444"/>
    <w:p w14:paraId="75E87F52" w14:textId="77777777" w:rsidR="00711444" w:rsidRPr="004D0DAA" w:rsidRDefault="00711444" w:rsidP="00711444">
      <w:pPr>
        <w:pStyle w:val="Heading3"/>
      </w:pPr>
      <w:bookmarkStart w:id="663" w:name="_Toc516669840"/>
      <w:r w:rsidRPr="004D0DAA">
        <w:lastRenderedPageBreak/>
        <w:t>11.2.7</w:t>
      </w:r>
      <w:r w:rsidRPr="004D0DAA">
        <w:tab/>
        <w:t>Packet Downlink Assignment</w:t>
      </w:r>
      <w:bookmarkEnd w:id="663"/>
    </w:p>
    <w:p w14:paraId="736968B8" w14:textId="77777777" w:rsidR="00711444" w:rsidRPr="004D0DAA" w:rsidRDefault="00711444" w:rsidP="00711444">
      <w:r w:rsidRPr="004D0DAA">
        <w:t>This message is sent on the PCCCH or PACCH by the network to the mobile station to assign downlink resources to the mobile station. If the mobile station supports Downlink Dual Carrier or Downlink Multi Carrier, this message may be sent using extended RLC/MAC control message segmentation (see sub-clause 9.1.12a).</w:t>
      </w:r>
    </w:p>
    <w:p w14:paraId="2DE34578" w14:textId="77777777" w:rsidR="00711444" w:rsidRPr="004D0DAA" w:rsidRDefault="00711444" w:rsidP="00711444">
      <w:r w:rsidRPr="004D0DAA">
        <w:t>A mobile allocation or reference frequency list received as part of this assignment message shall be valid until a new assignment is received or each TBF of the MS are terminated.</w:t>
      </w:r>
    </w:p>
    <w:p w14:paraId="02ECD25B" w14:textId="77777777" w:rsidR="00711444" w:rsidRPr="004D0DAA" w:rsidRDefault="00711444" w:rsidP="00711444">
      <w:pPr>
        <w:pStyle w:val="EX"/>
      </w:pPr>
      <w:r w:rsidRPr="004D0DAA">
        <w:t>Message type:</w:t>
      </w:r>
      <w:r w:rsidRPr="004D0DAA">
        <w:tab/>
        <w:t>PACKET DOWNLINK ASSIGNMENT</w:t>
      </w:r>
    </w:p>
    <w:p w14:paraId="524EA4A8" w14:textId="77777777" w:rsidR="00711444" w:rsidRPr="004D0DAA" w:rsidRDefault="00711444" w:rsidP="00711444">
      <w:pPr>
        <w:pStyle w:val="EX"/>
      </w:pPr>
      <w:r w:rsidRPr="004D0DAA">
        <w:t>Direction:</w:t>
      </w:r>
      <w:r w:rsidRPr="004D0DAA">
        <w:tab/>
        <w:t>network to mobile station</w:t>
      </w:r>
    </w:p>
    <w:p w14:paraId="2E0F9255" w14:textId="77777777" w:rsidR="00711444" w:rsidRPr="004D0DAA" w:rsidRDefault="00711444" w:rsidP="00711444">
      <w:pPr>
        <w:pStyle w:val="EX"/>
      </w:pPr>
      <w:r w:rsidRPr="004D0DAA">
        <w:t>Classification:</w:t>
      </w:r>
      <w:r w:rsidRPr="004D0DAA">
        <w:tab/>
        <w:t>non-distribution message</w:t>
      </w:r>
    </w:p>
    <w:p w14:paraId="266D946E" w14:textId="77777777" w:rsidR="00711444" w:rsidRPr="004D0DAA" w:rsidRDefault="00711444" w:rsidP="00711444">
      <w:pPr>
        <w:pStyle w:val="TH"/>
      </w:pPr>
      <w:r w:rsidRPr="004D0DAA">
        <w:lastRenderedPageBreak/>
        <w:t xml:space="preserve">Table 11.2.7.1: </w:t>
      </w:r>
      <w:r w:rsidRPr="004D0DAA">
        <w:rPr>
          <w:caps/>
        </w:rPr>
        <w:t>Packet Downlink ASSIGNMENT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728B0DD" w14:textId="77777777" w:rsidTr="00AA2A4C">
        <w:tblPrEx>
          <w:tblCellMar>
            <w:top w:w="0" w:type="dxa"/>
            <w:bottom w:w="0" w:type="dxa"/>
          </w:tblCellMar>
        </w:tblPrEx>
        <w:trPr>
          <w:cantSplit/>
        </w:trPr>
        <w:tc>
          <w:tcPr>
            <w:tcW w:w="9848" w:type="dxa"/>
          </w:tcPr>
          <w:p w14:paraId="54E419B9" w14:textId="77777777" w:rsidR="00711444" w:rsidRPr="004D0DAA" w:rsidRDefault="00711444" w:rsidP="00AA2A4C">
            <w:pPr>
              <w:pStyle w:val="TAL"/>
              <w:rPr>
                <w:lang w:val="en-US" w:eastAsia="en-US"/>
              </w:rPr>
            </w:pPr>
            <w:r w:rsidRPr="004D0DAA">
              <w:rPr>
                <w:lang w:val="en-US" w:eastAsia="en-US"/>
              </w:rPr>
              <w:t>&lt; Packet Downlink Assignment message content &gt; ::=</w:t>
            </w:r>
          </w:p>
          <w:p w14:paraId="4DBBBF46" w14:textId="77777777" w:rsidR="00711444" w:rsidRPr="004D0DAA" w:rsidRDefault="00711444" w:rsidP="00AA2A4C">
            <w:pPr>
              <w:pStyle w:val="TAL"/>
              <w:rPr>
                <w:lang w:val="fr-FR" w:eastAsia="en-US"/>
              </w:rPr>
            </w:pPr>
            <w:r w:rsidRPr="004D0DAA">
              <w:rPr>
                <w:lang w:val="en-US" w:eastAsia="en-US"/>
              </w:rPr>
              <w:tab/>
            </w:r>
            <w:r w:rsidRPr="004D0DAA">
              <w:rPr>
                <w:lang w:val="fr-FR" w:eastAsia="en-US"/>
              </w:rPr>
              <w:t xml:space="preserve">&lt; </w:t>
            </w:r>
            <w:r w:rsidRPr="004D0DAA">
              <w:rPr>
                <w:b/>
                <w:lang w:val="fr-FR" w:eastAsia="en-US"/>
              </w:rPr>
              <w:t>PAGE_MODE</w:t>
            </w:r>
            <w:r w:rsidRPr="004D0DAA">
              <w:rPr>
                <w:lang w:val="fr-FR" w:eastAsia="en-US"/>
              </w:rPr>
              <w:t xml:space="preserve"> : bit (2) &gt;</w:t>
            </w:r>
          </w:p>
          <w:p w14:paraId="36A5BDF1" w14:textId="77777777" w:rsidR="00711444" w:rsidRPr="004D0DAA" w:rsidRDefault="00711444" w:rsidP="00AA2A4C">
            <w:pPr>
              <w:pStyle w:val="TAL"/>
              <w:rPr>
                <w:lang w:val="fr-FR" w:eastAsia="en-US"/>
              </w:rPr>
            </w:pPr>
            <w:r w:rsidRPr="004D0DAA">
              <w:rPr>
                <w:lang w:val="fr-FR" w:eastAsia="en-US"/>
              </w:rPr>
              <w:tab/>
              <w:t>{ 0 | 1 &lt;</w:t>
            </w:r>
            <w:r w:rsidRPr="004D0DAA">
              <w:rPr>
                <w:b/>
                <w:lang w:val="fr-FR" w:eastAsia="en-US"/>
              </w:rPr>
              <w:t xml:space="preserve">PERSISTENCE_LEVEL </w:t>
            </w:r>
            <w:r w:rsidRPr="004D0DAA">
              <w:rPr>
                <w:lang w:val="fr-FR" w:eastAsia="en-US"/>
              </w:rPr>
              <w:t>: bit (4) &gt; * 4 }</w:t>
            </w:r>
          </w:p>
          <w:p w14:paraId="0F749468" w14:textId="77777777" w:rsidR="00711444" w:rsidRPr="004D0DAA" w:rsidRDefault="00711444" w:rsidP="00AA2A4C">
            <w:pPr>
              <w:pStyle w:val="TAL"/>
              <w:rPr>
                <w:lang w:val="en-US" w:eastAsia="en-US"/>
              </w:rPr>
            </w:pPr>
            <w:r w:rsidRPr="004D0DAA">
              <w:rPr>
                <w:lang w:val="fr-FR" w:eastAsia="en-US"/>
              </w:rPr>
              <w:tab/>
            </w:r>
            <w:r w:rsidRPr="004D0DAA">
              <w:rPr>
                <w:lang w:val="en-US" w:eastAsia="en-US"/>
              </w:rPr>
              <w:t>{</w:t>
            </w:r>
            <w:r w:rsidRPr="004D0DAA">
              <w:rPr>
                <w:lang w:val="en-US" w:eastAsia="en-US"/>
              </w:rPr>
              <w:tab/>
              <w:t>{ 0</w:t>
            </w:r>
            <w:r w:rsidRPr="004D0DAA">
              <w:rPr>
                <w:lang w:val="en-US" w:eastAsia="en-US"/>
              </w:rPr>
              <w:tab/>
              <w:t xml:space="preserve">&lt; </w:t>
            </w:r>
            <w:r w:rsidRPr="004D0DAA">
              <w:rPr>
                <w:b/>
                <w:lang w:val="en-US" w:eastAsia="en-US"/>
              </w:rPr>
              <w:t>Global TFI</w:t>
            </w:r>
            <w:r w:rsidRPr="004D0DAA">
              <w:rPr>
                <w:lang w:val="en-US" w:eastAsia="en-US"/>
              </w:rPr>
              <w:t xml:space="preserve"> : &lt; Global TFI IE &gt; &gt;</w:t>
            </w:r>
          </w:p>
          <w:p w14:paraId="066E02B2" w14:textId="77777777" w:rsidR="00711444" w:rsidRPr="004D0DAA" w:rsidRDefault="00711444" w:rsidP="00AA2A4C">
            <w:pPr>
              <w:pStyle w:val="TAL"/>
              <w:rPr>
                <w:lang w:val="it-IT" w:eastAsia="en-US"/>
              </w:rPr>
            </w:pPr>
            <w:r w:rsidRPr="004D0DAA">
              <w:rPr>
                <w:lang w:val="en-US" w:eastAsia="en-US"/>
              </w:rPr>
              <w:tab/>
            </w:r>
            <w:r w:rsidRPr="004D0DAA">
              <w:rPr>
                <w:lang w:val="en-US" w:eastAsia="en-US"/>
              </w:rPr>
              <w:tab/>
            </w:r>
            <w:r w:rsidRPr="004D0DAA">
              <w:rPr>
                <w:lang w:val="it-IT" w:eastAsia="en-US"/>
              </w:rPr>
              <w:t>| 10</w:t>
            </w:r>
            <w:r w:rsidRPr="004D0DAA">
              <w:rPr>
                <w:lang w:val="it-IT" w:eastAsia="en-US"/>
              </w:rPr>
              <w:tab/>
              <w:t xml:space="preserve">&lt; </w:t>
            </w:r>
            <w:r w:rsidRPr="004D0DAA">
              <w:rPr>
                <w:b/>
                <w:lang w:val="it-IT" w:eastAsia="en-US"/>
              </w:rPr>
              <w:t>TLLI/ G-RNTI</w:t>
            </w:r>
            <w:r w:rsidRPr="004D0DAA">
              <w:rPr>
                <w:lang w:val="it-IT" w:eastAsia="en-US"/>
              </w:rPr>
              <w:t xml:space="preserve"> : bit (32) &gt; }</w:t>
            </w:r>
          </w:p>
          <w:p w14:paraId="456A20E2" w14:textId="77777777" w:rsidR="00711444" w:rsidRPr="004D0DAA" w:rsidRDefault="00711444" w:rsidP="00AA2A4C">
            <w:pPr>
              <w:pStyle w:val="TAL"/>
              <w:rPr>
                <w:lang w:val="it-IT" w:eastAsia="en-US"/>
              </w:rPr>
            </w:pPr>
            <w:r w:rsidRPr="004D0DAA">
              <w:rPr>
                <w:lang w:val="it-IT" w:eastAsia="en-US"/>
              </w:rPr>
              <w:tab/>
            </w:r>
            <w:r w:rsidRPr="004D0DAA">
              <w:rPr>
                <w:lang w:val="it-IT" w:eastAsia="en-US"/>
              </w:rPr>
              <w:tab/>
              <w:t>{ 0</w:t>
            </w:r>
            <w:r w:rsidRPr="004D0DAA">
              <w:rPr>
                <w:lang w:val="it-IT" w:eastAsia="en-US"/>
              </w:rPr>
              <w:tab/>
            </w:r>
            <w:r w:rsidRPr="004D0DAA">
              <w:rPr>
                <w:lang w:val="it-IT" w:eastAsia="en-US"/>
              </w:rPr>
              <w:tab/>
              <w:t xml:space="preserve">-- </w:t>
            </w:r>
            <w:r w:rsidRPr="004D0DAA">
              <w:rPr>
                <w:i/>
                <w:lang w:val="it-IT" w:eastAsia="en-US"/>
              </w:rPr>
              <w:t>Message escape</w:t>
            </w:r>
          </w:p>
          <w:p w14:paraId="137C5D1D" w14:textId="77777777" w:rsidR="00711444" w:rsidRPr="004D0DAA" w:rsidRDefault="00711444" w:rsidP="00AA2A4C">
            <w:pPr>
              <w:pStyle w:val="TAL"/>
              <w:rPr>
                <w:lang w:val="fr-FR" w:eastAsia="en-US"/>
              </w:rPr>
            </w:pPr>
            <w:r w:rsidRPr="004D0DAA">
              <w:rPr>
                <w:lang w:val="it-IT" w:eastAsia="en-US"/>
              </w:rPr>
              <w:tab/>
            </w:r>
            <w:r w:rsidRPr="004D0DAA">
              <w:rPr>
                <w:lang w:val="it-IT" w:eastAsia="en-US"/>
              </w:rPr>
              <w:tab/>
            </w:r>
            <w:r w:rsidRPr="004D0DAA">
              <w:rPr>
                <w:lang w:val="it-IT" w:eastAsia="en-US"/>
              </w:rPr>
              <w:tab/>
            </w:r>
            <w:r w:rsidRPr="004D0DAA">
              <w:rPr>
                <w:lang w:val="fr-FR" w:eastAsia="en-US"/>
              </w:rPr>
              <w:t>{</w:t>
            </w:r>
            <w:r w:rsidRPr="004D0DAA">
              <w:rPr>
                <w:lang w:val="fr-FR" w:eastAsia="en-US"/>
              </w:rPr>
              <w:tab/>
              <w:t xml:space="preserve">&lt; </w:t>
            </w:r>
            <w:r w:rsidRPr="004D0DAA">
              <w:rPr>
                <w:b/>
                <w:lang w:val="fr-FR" w:eastAsia="en-US"/>
              </w:rPr>
              <w:t>MAC_MODE</w:t>
            </w:r>
            <w:r w:rsidRPr="004D0DAA">
              <w:rPr>
                <w:lang w:val="fr-FR" w:eastAsia="en-US"/>
              </w:rPr>
              <w:t xml:space="preserve"> : bit (2) &gt;</w:t>
            </w:r>
          </w:p>
          <w:p w14:paraId="250CE14D"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RLC_MODE</w:t>
            </w:r>
            <w:r w:rsidRPr="004D0DAA">
              <w:rPr>
                <w:lang w:val="fr-FR" w:eastAsia="en-US"/>
              </w:rPr>
              <w:t xml:space="preserve"> : bit (1) &gt;</w:t>
            </w:r>
          </w:p>
          <w:p w14:paraId="7A2C108D"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&lt; </w:t>
            </w:r>
            <w:r w:rsidRPr="004D0DAA">
              <w:rPr>
                <w:b/>
                <w:lang w:eastAsia="en-US"/>
              </w:rPr>
              <w:t>CONTROL_ACK</w:t>
            </w:r>
            <w:r w:rsidRPr="004D0DAA">
              <w:rPr>
                <w:lang w:eastAsia="en-US"/>
              </w:rPr>
              <w:t xml:space="preserve"> : bit (1) &gt;</w:t>
            </w:r>
          </w:p>
          <w:p w14:paraId="0783D94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TIMESLOT_ALLOCATION </w:t>
            </w:r>
            <w:r w:rsidRPr="004D0DAA">
              <w:rPr>
                <w:lang w:eastAsia="en-US"/>
              </w:rPr>
              <w:t>: bit (8) &gt;</w:t>
            </w:r>
          </w:p>
          <w:p w14:paraId="68341D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Packet Timing Advance </w:t>
            </w:r>
            <w:r w:rsidRPr="004D0DAA">
              <w:rPr>
                <w:lang w:eastAsia="en-US"/>
              </w:rPr>
              <w:t>: &lt; Packet Timing Advance IE &gt; &gt;</w:t>
            </w:r>
          </w:p>
          <w:p w14:paraId="326F438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P0</w:t>
            </w:r>
            <w:r w:rsidRPr="004D0DAA">
              <w:rPr>
                <w:lang w:eastAsia="en-US"/>
              </w:rPr>
              <w:t> : bit (4) &gt;</w:t>
            </w:r>
          </w:p>
          <w:p w14:paraId="717EA35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0 </w:t>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224CAF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PR_MODE</w:t>
            </w:r>
            <w:r w:rsidRPr="004D0DAA">
              <w:rPr>
                <w:lang w:eastAsia="en-US"/>
              </w:rPr>
              <w:t> : bit (1) &gt; }</w:t>
            </w:r>
          </w:p>
          <w:p w14:paraId="72E532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5DD17C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DOWNLINK_TFI_ASSIGNMENT</w:t>
            </w:r>
            <w:r w:rsidRPr="004D0DAA">
              <w:rPr>
                <w:lang w:eastAsia="en-US"/>
              </w:rPr>
              <w:t xml:space="preserve"> : bit (5) &gt; }</w:t>
            </w:r>
          </w:p>
          <w:p w14:paraId="48ADB13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Power Control Parameters</w:t>
            </w:r>
            <w:r w:rsidRPr="004D0DAA">
              <w:rPr>
                <w:lang w:eastAsia="en-US"/>
              </w:rPr>
              <w:t xml:space="preserve"> : &lt; Power Control Parameters IE &gt; &gt; }</w:t>
            </w:r>
          </w:p>
          <w:p w14:paraId="4A73942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TBF Starting Time</w:t>
            </w:r>
            <w:r w:rsidRPr="004D0DAA">
              <w:rPr>
                <w:lang w:eastAsia="en-US"/>
              </w:rPr>
              <w:t xml:space="preserve"> : &lt; Starting Frame Number Description IE &gt; &gt; }</w:t>
            </w:r>
          </w:p>
          <w:p w14:paraId="4F07262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604EC64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&lt;no string&gt; </w:t>
            </w:r>
            <w:r w:rsidRPr="004D0DAA">
              <w:rPr>
                <w:lang w:eastAsia="en-US"/>
              </w:rPr>
              <w:tab/>
            </w:r>
            <w:r w:rsidRPr="004D0DAA">
              <w:rPr>
                <w:lang w:eastAsia="en-US"/>
              </w:rPr>
              <w:tab/>
              <w:t xml:space="preserve">-- </w:t>
            </w:r>
            <w:r w:rsidRPr="004D0DAA">
              <w:rPr>
                <w:i/>
                <w:lang w:eastAsia="en-US"/>
              </w:rPr>
              <w:t>Receiver backward compatible with earlier version</w:t>
            </w:r>
          </w:p>
          <w:p w14:paraId="4918BEF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contents for Release 1999</w:t>
            </w:r>
          </w:p>
          <w:p w14:paraId="556421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EGPRS Window Size</w:t>
            </w:r>
            <w:r w:rsidRPr="004D0DAA">
              <w:rPr>
                <w:lang w:eastAsia="en-US"/>
              </w:rPr>
              <w:t xml:space="preserve"> : &lt; EGPRS Window Size IE &gt;&gt; </w:t>
            </w:r>
          </w:p>
          <w:p w14:paraId="7D65A4F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LINK_QUALITY_MEASUREMENT_MODE : bit (2) &gt;</w:t>
            </w:r>
          </w:p>
          <w:p w14:paraId="3F77129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 }</w:t>
            </w:r>
          </w:p>
          <w:p w14:paraId="561109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Packet Extended Timing Advance</w:t>
            </w:r>
            <w:r w:rsidRPr="004D0DAA">
              <w:rPr>
                <w:lang w:eastAsia="en-US"/>
              </w:rPr>
              <w:t xml:space="preserve"> : bit (2)&gt; }</w:t>
            </w:r>
          </w:p>
          <w:p w14:paraId="66B169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COMPACT reduced MA</w:t>
            </w:r>
            <w:r w:rsidRPr="004D0DAA">
              <w:rPr>
                <w:lang w:eastAsia="en-US"/>
              </w:rPr>
              <w:t xml:space="preserve"> : &lt; COMPACT reduced MA IE &gt;&gt; }</w:t>
            </w:r>
          </w:p>
          <w:p w14:paraId="3F2AC73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w:t>
            </w:r>
            <w:r w:rsidRPr="004D0DAA">
              <w:rPr>
                <w:lang w:eastAsia="en-US"/>
              </w:rPr>
              <w:tab/>
              <w:t xml:space="preserve">-- </w:t>
            </w:r>
            <w:r w:rsidRPr="004D0DAA">
              <w:rPr>
                <w:i/>
                <w:lang w:eastAsia="en-US"/>
              </w:rPr>
              <w:t>Receiver backward compatible with earlier version</w:t>
            </w:r>
          </w:p>
        </w:tc>
      </w:tr>
      <w:tr w:rsidR="00711444" w:rsidRPr="004D0DAA" w14:paraId="4269B222" w14:textId="77777777" w:rsidTr="00AA2A4C">
        <w:tblPrEx>
          <w:tblCellMar>
            <w:top w:w="0" w:type="dxa"/>
            <w:bottom w:w="0" w:type="dxa"/>
          </w:tblCellMar>
        </w:tblPrEx>
        <w:trPr>
          <w:cantSplit/>
        </w:trPr>
        <w:tc>
          <w:tcPr>
            <w:tcW w:w="9848" w:type="dxa"/>
          </w:tcPr>
          <w:p w14:paraId="1F15F71D" w14:textId="77777777" w:rsidR="00711444" w:rsidRPr="004D0DAA" w:rsidRDefault="00711444" w:rsidP="00AA2A4C">
            <w:pPr>
              <w:pStyle w:val="TAL"/>
              <w:rPr>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Cs/>
                <w:lang w:eastAsia="en-US"/>
              </w:rPr>
              <w:t>| 1</w:t>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Additions for REL-5</w:t>
            </w:r>
          </w:p>
          <w:p w14:paraId="28B5CB6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0 | 1</w:t>
            </w:r>
            <w:r w:rsidRPr="004D0DAA">
              <w:rPr>
                <w:iCs/>
                <w:lang w:eastAsia="en-US"/>
              </w:rPr>
              <w:tab/>
              <w:t xml:space="preserve">&lt; </w:t>
            </w:r>
            <w:r w:rsidRPr="004D0DAA">
              <w:rPr>
                <w:b/>
                <w:bCs/>
                <w:iCs/>
                <w:lang w:eastAsia="en-US"/>
              </w:rPr>
              <w:t>RB Id</w:t>
            </w:r>
            <w:r w:rsidRPr="004D0DAA">
              <w:rPr>
                <w:iCs/>
                <w:lang w:eastAsia="en-US"/>
              </w:rPr>
              <w:t xml:space="preserve"> : bit (5) &gt; </w:t>
            </w:r>
          </w:p>
          <w:p w14:paraId="614A2821"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 xml:space="preserve">G-RNTI extension </w:t>
            </w:r>
            <w:r w:rsidRPr="004D0DAA">
              <w:rPr>
                <w:iCs/>
                <w:lang w:eastAsia="en-US"/>
              </w:rPr>
              <w:t xml:space="preserve">: bit (4) &gt; } </w:t>
            </w:r>
          </w:p>
          <w:p w14:paraId="74F26CC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Control Timeslot</w:t>
            </w:r>
            <w:r w:rsidRPr="004D0DAA">
              <w:rPr>
                <w:lang w:eastAsia="en-US"/>
              </w:rPr>
              <w:t xml:space="preserve"> : bit (3) &gt; }</w:t>
            </w:r>
          </w:p>
          <w:p w14:paraId="1343F2A0"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lang w:eastAsia="en-US"/>
              </w:rPr>
              <w:t xml:space="preserve">{ 0 | 1 &lt; </w:t>
            </w:r>
            <w:r w:rsidRPr="004D0DAA">
              <w:rPr>
                <w:b/>
                <w:bCs/>
                <w:lang w:eastAsia="en-US"/>
              </w:rPr>
              <w:t>HFN_LSB</w:t>
            </w:r>
            <w:r w:rsidRPr="004D0DAA">
              <w:rPr>
                <w:lang w:eastAsia="en-US"/>
              </w:rPr>
              <w:t xml:space="preserve"> : bit (1) &gt; } }</w:t>
            </w:r>
          </w:p>
          <w:p w14:paraId="30BF9FF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tc>
      </w:tr>
      <w:tr w:rsidR="00711444" w:rsidRPr="004D0DAA" w14:paraId="0379AC1A" w14:textId="77777777" w:rsidTr="00AA2A4C">
        <w:tblPrEx>
          <w:tblCellMar>
            <w:top w:w="0" w:type="dxa"/>
            <w:bottom w:w="0" w:type="dxa"/>
          </w:tblCellMar>
        </w:tblPrEx>
        <w:trPr>
          <w:cantSplit/>
        </w:trPr>
        <w:tc>
          <w:tcPr>
            <w:tcW w:w="9848" w:type="dxa"/>
          </w:tcPr>
          <w:p w14:paraId="6BE39A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xml:space="preserve">-- </w:t>
            </w:r>
            <w:r w:rsidRPr="004D0DAA">
              <w:rPr>
                <w:i/>
                <w:lang w:eastAsia="en-US"/>
              </w:rPr>
              <w:t>Additions for REL-6</w:t>
            </w:r>
          </w:p>
          <w:p w14:paraId="15AC9852"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 bit (7) &gt;</w:t>
            </w:r>
            <w:r w:rsidRPr="004D0DAA">
              <w:rPr>
                <w:lang w:eastAsia="en-US"/>
              </w:rPr>
              <w:t xml:space="preserve"> }</w:t>
            </w:r>
          </w:p>
          <w:p w14:paraId="195C42C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tc>
      </w:tr>
      <w:tr w:rsidR="00711444" w:rsidRPr="004D0DAA" w14:paraId="62908E0E" w14:textId="77777777" w:rsidTr="00AA2A4C">
        <w:tblPrEx>
          <w:tblCellMar>
            <w:top w:w="0" w:type="dxa"/>
            <w:bottom w:w="0" w:type="dxa"/>
          </w:tblCellMar>
        </w:tblPrEx>
        <w:trPr>
          <w:cantSplit/>
        </w:trPr>
        <w:tc>
          <w:tcPr>
            <w:tcW w:w="9848" w:type="dxa"/>
          </w:tcPr>
          <w:p w14:paraId="6DCC079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xml:space="preserve">-- </w:t>
            </w:r>
            <w:r w:rsidRPr="004D0DAA">
              <w:rPr>
                <w:i/>
                <w:lang w:eastAsia="en-US"/>
              </w:rPr>
              <w:t>Additions for REL-7</w:t>
            </w:r>
          </w:p>
          <w:p w14:paraId="474BCA6D"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41A195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6EF640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780697A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w:t>
            </w:r>
          </w:p>
          <w:p w14:paraId="2FF61E3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0FF217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t xml:space="preserve">&lt; </w:t>
            </w:r>
            <w:r w:rsidRPr="004D0DAA">
              <w:rPr>
                <w:b/>
                <w:bCs/>
                <w:lang w:eastAsia="en-US"/>
              </w:rPr>
              <w:t>RLC Entity 2</w:t>
            </w:r>
            <w:r w:rsidRPr="004D0DAA">
              <w:rPr>
                <w:lang w:eastAsia="en-US"/>
              </w:rPr>
              <w:t xml:space="preserve"> : &lt; RLC Entity Struct &gt; &gt;</w:t>
            </w:r>
            <w:r w:rsidRPr="004D0DAA">
              <w:rPr>
                <w:lang w:eastAsia="en-US"/>
              </w:rPr>
              <w:tab/>
              <w:t>--</w:t>
            </w:r>
            <w:r w:rsidRPr="004D0DAA">
              <w:rPr>
                <w:iCs/>
                <w:lang w:eastAsia="en-US"/>
              </w:rPr>
              <w:t xml:space="preserve"> EMST is used</w:t>
            </w:r>
            <w:r w:rsidRPr="004D0DAA">
              <w:rPr>
                <w:lang w:eastAsia="en-US"/>
              </w:rPr>
              <w:t xml:space="preserve"> </w:t>
            </w:r>
          </w:p>
          <w:p w14:paraId="5585C63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0811FE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RLC Entity 3</w:t>
            </w:r>
            <w:r w:rsidRPr="004D0DAA">
              <w:rPr>
                <w:lang w:eastAsia="en-US"/>
              </w:rPr>
              <w:t xml:space="preserve"> : &lt; RLC Entity Struct &gt; &gt; }</w:t>
            </w:r>
          </w:p>
          <w:p w14:paraId="356DA6D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4AA71A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07BC960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Rel-10</w:t>
            </w:r>
          </w:p>
          <w:p w14:paraId="68D5273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 } ** 0</w:t>
            </w:r>
          </w:p>
          <w:p w14:paraId="544D85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 ** 0</w:t>
            </w:r>
          </w:p>
          <w:p w14:paraId="3CF52B8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 ** 0</w:t>
            </w:r>
          </w:p>
          <w:p w14:paraId="249450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68E9081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4EE8607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43CA07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388AE7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43E0786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15783C9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40B9750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Rel-14</w:t>
            </w:r>
          </w:p>
          <w:p w14:paraId="25CA5C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Multilateration Information Request</w:t>
            </w:r>
            <w:r w:rsidRPr="004D0DAA">
              <w:rPr>
                <w:lang w:eastAsia="en-US"/>
              </w:rPr>
              <w:t xml:space="preserve"> : bit (1) &gt; } }</w:t>
            </w:r>
            <w:r w:rsidRPr="004D0DAA">
              <w:rPr>
                <w:lang w:eastAsia="en-US"/>
              </w:rPr>
              <w:tab/>
            </w:r>
          </w:p>
          <w:p w14:paraId="5F48190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padding bits &gt; } } } } } }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truncation at end of message allowed, bits '0' assumed</w:t>
            </w:r>
            <w:r w:rsidRPr="004D0DAA">
              <w:rPr>
                <w:lang w:eastAsia="en-US"/>
              </w:rPr>
              <w:tab/>
            </w:r>
          </w:p>
          <w:p w14:paraId="6BF64A6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648CCFDD" w14:textId="77777777" w:rsidTr="00AA2A4C">
        <w:tblPrEx>
          <w:tblCellMar>
            <w:top w:w="0" w:type="dxa"/>
            <w:bottom w:w="0" w:type="dxa"/>
          </w:tblCellMar>
        </w:tblPrEx>
        <w:trPr>
          <w:cantSplit/>
        </w:trPr>
        <w:tc>
          <w:tcPr>
            <w:tcW w:w="9848" w:type="dxa"/>
          </w:tcPr>
          <w:p w14:paraId="5EA6A40C" w14:textId="77777777" w:rsidR="00711444" w:rsidRPr="004D0DAA" w:rsidRDefault="00711444" w:rsidP="00AA2A4C">
            <w:pPr>
              <w:pStyle w:val="TAL"/>
              <w:rPr>
                <w:lang w:eastAsia="en-US"/>
              </w:rPr>
            </w:pPr>
            <w:r w:rsidRPr="004D0DAA">
              <w:rPr>
                <w:szCs w:val="18"/>
                <w:lang w:eastAsia="en-US"/>
              </w:rPr>
              <w:lastRenderedPageBreak/>
              <w:tab/>
            </w:r>
            <w:r w:rsidRPr="004D0DAA">
              <w:rPr>
                <w:szCs w:val="18"/>
                <w:lang w:eastAsia="en-US"/>
              </w:rPr>
              <w:tab/>
              <w:t xml:space="preserve">| 1 </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rFonts w:cs="Arial"/>
                <w:szCs w:val="18"/>
                <w:lang w:eastAsia="en-US"/>
              </w:rPr>
              <w:t xml:space="preserve">-- </w:t>
            </w:r>
            <w:r w:rsidRPr="004D0DAA">
              <w:rPr>
                <w:rFonts w:cs="Arial"/>
                <w:i/>
                <w:szCs w:val="18"/>
                <w:lang w:eastAsia="en-US"/>
              </w:rPr>
              <w:t xml:space="preserve">message escape for dual carrier, multi carrier, RTTI, </w:t>
            </w:r>
            <w:r w:rsidRPr="004D0DAA">
              <w:rPr>
                <w:i/>
                <w:lang w:eastAsia="en-US"/>
              </w:rPr>
              <w:t xml:space="preserve">BTTI with FANR activated, </w:t>
            </w:r>
            <w:r w:rsidRPr="004D0DAA">
              <w:rPr>
                <w:rFonts w:cs="Arial"/>
                <w:i/>
                <w:szCs w:val="18"/>
                <w:lang w:eastAsia="en-US"/>
              </w:rPr>
              <w:t>EGPRS2</w:t>
            </w:r>
          </w:p>
          <w:p w14:paraId="39F04EF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 00 </w:t>
            </w:r>
            <w:r w:rsidRPr="004D0DAA">
              <w:rPr>
                <w:szCs w:val="18"/>
                <w:lang w:eastAsia="en-US"/>
              </w:rPr>
              <w:tab/>
            </w:r>
            <w:r w:rsidRPr="004D0DAA">
              <w:rPr>
                <w:szCs w:val="18"/>
                <w:lang w:eastAsia="en-US"/>
              </w:rPr>
              <w:tab/>
            </w:r>
            <w:r w:rsidRPr="004D0DAA">
              <w:rPr>
                <w:szCs w:val="18"/>
                <w:lang w:eastAsia="en-US"/>
              </w:rPr>
              <w:tab/>
            </w:r>
            <w:r w:rsidRPr="004D0DAA">
              <w:rPr>
                <w:rFonts w:cs="Arial"/>
                <w:szCs w:val="18"/>
                <w:lang w:eastAsia="en-US"/>
              </w:rPr>
              <w:t xml:space="preserve">-- </w:t>
            </w:r>
            <w:r w:rsidRPr="004D0DAA">
              <w:rPr>
                <w:rFonts w:cs="Arial"/>
                <w:i/>
                <w:szCs w:val="18"/>
                <w:lang w:eastAsia="en-US"/>
              </w:rPr>
              <w:t xml:space="preserve">downlink dual carrier, RTTI, </w:t>
            </w:r>
            <w:r w:rsidRPr="004D0DAA">
              <w:rPr>
                <w:i/>
                <w:lang w:eastAsia="en-US"/>
              </w:rPr>
              <w:t xml:space="preserve">BTTI with FANR activated, </w:t>
            </w:r>
            <w:r w:rsidRPr="004D0DAA">
              <w:rPr>
                <w:rFonts w:cs="Arial"/>
                <w:i/>
                <w:szCs w:val="18"/>
                <w:lang w:eastAsia="en-US"/>
              </w:rPr>
              <w:t>EGPRS2</w:t>
            </w:r>
          </w:p>
          <w:p w14:paraId="5311C46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r w:rsidRPr="004D0DAA">
              <w:rPr>
                <w:szCs w:val="18"/>
                <w:lang w:eastAsia="en-US"/>
              </w:rPr>
              <w:tab/>
              <w:t xml:space="preserve">&lt; </w:t>
            </w:r>
            <w:r w:rsidRPr="004D0DAA">
              <w:rPr>
                <w:b/>
                <w:szCs w:val="18"/>
                <w:lang w:eastAsia="en-US"/>
              </w:rPr>
              <w:t>RLC_MODE</w:t>
            </w:r>
            <w:r w:rsidRPr="004D0DAA">
              <w:rPr>
                <w:szCs w:val="18"/>
                <w:lang w:eastAsia="en-US"/>
              </w:rPr>
              <w:t xml:space="preserve"> : bit (1) &gt;</w:t>
            </w:r>
          </w:p>
          <w:p w14:paraId="6BA779A1"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CONTROL_ACK</w:t>
            </w:r>
            <w:r w:rsidRPr="004D0DAA">
              <w:rPr>
                <w:szCs w:val="18"/>
                <w:lang w:eastAsia="en-US"/>
              </w:rPr>
              <w:t xml:space="preserve"> : bit (1) &gt;</w:t>
            </w:r>
          </w:p>
          <w:p w14:paraId="12F1FEC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 xml:space="preserve">Assignment Info : </w:t>
            </w:r>
            <w:r w:rsidRPr="004D0DAA">
              <w:rPr>
                <w:lang w:eastAsia="en-US"/>
              </w:rPr>
              <w:t>&lt;</w:t>
            </w:r>
            <w:r w:rsidRPr="004D0DAA">
              <w:rPr>
                <w:b/>
                <w:lang w:eastAsia="en-US"/>
              </w:rPr>
              <w:t xml:space="preserve"> </w:t>
            </w:r>
            <w:r w:rsidRPr="004D0DAA">
              <w:rPr>
                <w:lang w:eastAsia="en-US"/>
              </w:rPr>
              <w:t>Assignment Info struct &gt; &gt;</w:t>
            </w:r>
          </w:p>
          <w:p w14:paraId="68C7609E"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BTTI mode</w:t>
            </w:r>
          </w:p>
          <w:p w14:paraId="43D28F2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TIMESLOT_ALLOCATION_C1</w:t>
            </w:r>
            <w:r w:rsidRPr="004D0DAA">
              <w:rPr>
                <w:szCs w:val="18"/>
                <w:lang w:eastAsia="en-US"/>
              </w:rPr>
              <w:t>: bit (8) &gt;</w:t>
            </w:r>
          </w:p>
          <w:p w14:paraId="7FCB7BE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&lt; </w:t>
            </w:r>
            <w:r w:rsidRPr="004D0DAA">
              <w:rPr>
                <w:b/>
                <w:szCs w:val="18"/>
                <w:lang w:eastAsia="en-US"/>
              </w:rPr>
              <w:t>TIMESLOT_ALLOCATION_C2</w:t>
            </w:r>
            <w:r w:rsidRPr="004D0DAA">
              <w:rPr>
                <w:szCs w:val="18"/>
                <w:lang w:eastAsia="en-US"/>
              </w:rPr>
              <w:t>: bit (8) &gt; }</w:t>
            </w:r>
          </w:p>
          <w:p w14:paraId="3C5D1C7E"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RTTI mode</w:t>
            </w:r>
          </w:p>
          <w:p w14:paraId="5B1AE40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Single Carrier Assignment</w:t>
            </w:r>
          </w:p>
          <w:p w14:paraId="31AA49EA"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Default PDCH pair configuration</w:t>
            </w:r>
          </w:p>
          <w:p w14:paraId="6CE2756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Unchanged</w:t>
            </w:r>
          </w:p>
          <w:p w14:paraId="46BE5FEF"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10732F2A" w14:textId="77777777" w:rsidR="00711444" w:rsidRPr="004D0DAA" w:rsidRDefault="00711444" w:rsidP="00AA2A4C">
            <w:pPr>
              <w:pStyle w:val="TAL"/>
              <w:rPr>
                <w:szCs w:val="18"/>
                <w:lang w:eastAsia="en-US"/>
              </w:rPr>
            </w:pPr>
            <w:r w:rsidRPr="004D0DAA">
              <w:rPr>
                <w:i/>
                <w:iCs/>
                <w:szCs w:val="18"/>
                <w:lang w:eastAsia="en-US"/>
              </w:rPr>
              <w:tab/>
            </w:r>
            <w:r w:rsidRPr="004D0DAA">
              <w:rPr>
                <w:i/>
                <w:iCs/>
                <w:szCs w:val="18"/>
                <w:lang w:eastAsia="en-US"/>
              </w:rPr>
              <w:tab/>
            </w:r>
            <w:r w:rsidRPr="004D0DAA">
              <w:rPr>
                <w:i/>
                <w:iCs/>
                <w:szCs w:val="18"/>
                <w:lang w:eastAsia="en-US"/>
              </w:rPr>
              <w:tab/>
            </w:r>
            <w:r w:rsidRPr="004D0DAA">
              <w:rPr>
                <w:i/>
                <w:iCs/>
                <w:szCs w:val="18"/>
                <w:lang w:eastAsia="en-US"/>
              </w:rPr>
              <w:tab/>
            </w:r>
            <w:r w:rsidRPr="004D0DAA">
              <w:rPr>
                <w:i/>
                <w:iCs/>
                <w:szCs w:val="18"/>
                <w:lang w:eastAsia="en-US"/>
              </w:rPr>
              <w:tab/>
            </w:r>
            <w:r w:rsidRPr="004D0DAA">
              <w:rPr>
                <w:i/>
                <w:iCs/>
                <w:szCs w:val="18"/>
                <w:lang w:eastAsia="en-US"/>
              </w:rPr>
              <w:tab/>
            </w:r>
            <w:r w:rsidRPr="004D0DAA">
              <w:rPr>
                <w:i/>
                <w:iCs/>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2DE521D8"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4A502F2A"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012E33FB" w14:textId="77777777" w:rsidR="00711444" w:rsidRPr="004D0DAA" w:rsidRDefault="00711444" w:rsidP="00AA2A4C">
            <w:pPr>
              <w:pStyle w:val="TAL"/>
              <w:rPr>
                <w:szCs w:val="18"/>
                <w:lang w:eastAsia="en-US"/>
              </w:rPr>
            </w:pPr>
            <w:r w:rsidRPr="004D0DAA">
              <w:rPr>
                <w:i/>
                <w:szCs w:val="18"/>
                <w:lang w:eastAsia="en-US"/>
              </w:rPr>
              <w:tab/>
            </w:r>
            <w:r w:rsidRPr="004D0DAA">
              <w:rPr>
                <w:i/>
                <w:szCs w:val="18"/>
                <w:lang w:eastAsia="en-US"/>
              </w:rPr>
              <w:tab/>
            </w:r>
            <w:r w:rsidRPr="004D0DAA">
              <w:rPr>
                <w:i/>
                <w:szCs w:val="18"/>
                <w:lang w:eastAsia="en-US"/>
              </w:rPr>
              <w:tab/>
            </w:r>
            <w:r w:rsidRPr="004D0DAA">
              <w:rPr>
                <w:i/>
                <w:szCs w:val="18"/>
                <w:lang w:eastAsia="en-US"/>
              </w:rPr>
              <w:tab/>
            </w:r>
            <w:r w:rsidRPr="004D0DAA">
              <w:rPr>
                <w:i/>
                <w:szCs w:val="18"/>
                <w:lang w:eastAsia="en-US"/>
              </w:rPr>
              <w:tab/>
            </w:r>
            <w:r w:rsidRPr="004D0DAA">
              <w:rPr>
                <w:i/>
                <w:szCs w:val="18"/>
                <w:lang w:eastAsia="en-US"/>
              </w:rPr>
              <w:tab/>
            </w:r>
            <w:r w:rsidRPr="004D0DAA">
              <w:rPr>
                <w:i/>
                <w:szCs w:val="18"/>
                <w:lang w:eastAsia="en-US"/>
              </w:rPr>
              <w:tab/>
            </w:r>
            <w:r w:rsidRPr="004D0DAA">
              <w:rPr>
                <w:szCs w:val="18"/>
                <w:lang w:eastAsia="en-US"/>
              </w:rPr>
              <w:t>}</w:t>
            </w:r>
          </w:p>
        </w:tc>
      </w:tr>
      <w:tr w:rsidR="00711444" w:rsidRPr="004D0DAA" w14:paraId="3D37D58C" w14:textId="77777777" w:rsidTr="00AA2A4C">
        <w:tblPrEx>
          <w:tblCellMar>
            <w:top w:w="0" w:type="dxa"/>
            <w:bottom w:w="0" w:type="dxa"/>
          </w:tblCellMar>
        </w:tblPrEx>
        <w:trPr>
          <w:cantSplit/>
        </w:trPr>
        <w:tc>
          <w:tcPr>
            <w:tcW w:w="9848" w:type="dxa"/>
          </w:tcPr>
          <w:p w14:paraId="090F4D8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RTTI_DOWNLINK_PDCH_PAIR_ASSIGNMENT_SC </w:t>
            </w:r>
            <w:r w:rsidRPr="004D0DAA">
              <w:rPr>
                <w:szCs w:val="18"/>
                <w:lang w:eastAsia="en-US"/>
              </w:rPr>
              <w:t>: bit (4) &gt;</w:t>
            </w:r>
          </w:p>
          <w:p w14:paraId="2B1DAC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Dual  Carrier Assignment</w:t>
            </w:r>
          </w:p>
          <w:p w14:paraId="2C6BB107"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Default PDCH pair configuration</w:t>
            </w:r>
          </w:p>
          <w:p w14:paraId="3A7329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Unchanged</w:t>
            </w:r>
          </w:p>
          <w:p w14:paraId="6F0E79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Explicit PDCH pair configuration</w:t>
            </w:r>
          </w:p>
          <w:p w14:paraId="194D0F2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 xml:space="preserve">DOWNLINK_PDCH_PAIRS_C1 </w:t>
            </w:r>
            <w:r w:rsidRPr="004D0DAA">
              <w:rPr>
                <w:lang w:eastAsia="en-US"/>
              </w:rPr>
              <w:t>: bit (8) &gt;</w:t>
            </w:r>
          </w:p>
          <w:p w14:paraId="3C4AC21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DOWNLINK_PDCH_PAIRS_C2</w:t>
            </w:r>
            <w:r w:rsidRPr="004D0DAA">
              <w:rPr>
                <w:lang w:eastAsia="en-US"/>
              </w:rPr>
              <w:t xml:space="preserve"> : bit (8) &gt;</w:t>
            </w:r>
          </w:p>
          <w:p w14:paraId="1B053A1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 xml:space="preserve">UPLINK_PDCH_PAIRS_C1 </w:t>
            </w:r>
            <w:r w:rsidRPr="004D0DAA">
              <w:rPr>
                <w:lang w:eastAsia="en-US"/>
              </w:rPr>
              <w:t>: bit (8) &gt;</w:t>
            </w:r>
          </w:p>
          <w:p w14:paraId="329315C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UPLINK_PDCH_PAIRS_C2</w:t>
            </w:r>
            <w:r w:rsidRPr="004D0DAA">
              <w:rPr>
                <w:lang w:eastAsia="en-US"/>
              </w:rPr>
              <w:t xml:space="preserve"> : bit (8) &gt;</w:t>
            </w:r>
          </w:p>
          <w:p w14:paraId="4FB6F8FD"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PDCH pairs configuration error : { 1 1 } bit (*) = &lt; no string &gt; &gt;  </w:t>
            </w:r>
            <w:r w:rsidRPr="004D0DAA">
              <w:rPr>
                <w:lang w:eastAsia="en-US"/>
              </w:rPr>
              <w:tab/>
            </w:r>
            <w:r w:rsidRPr="004D0DAA">
              <w:rPr>
                <w:lang w:eastAsia="en-US"/>
              </w:rPr>
              <w:tab/>
              <w:t xml:space="preserve">-- </w:t>
            </w:r>
            <w:r w:rsidRPr="004D0DAA">
              <w:rPr>
                <w:iCs/>
                <w:lang w:eastAsia="en-US"/>
              </w:rPr>
              <w:t>reserved</w:t>
            </w:r>
          </w:p>
          <w:p w14:paraId="397AD4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382DB3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 xml:space="preserve">RTTI_DOWNLINK_PDCH_PAIR_ASSIGNMENT_DC </w:t>
            </w:r>
            <w:r w:rsidRPr="004D0DAA">
              <w:rPr>
                <w:lang w:eastAsia="en-US"/>
              </w:rPr>
              <w:t>: bit (8) &gt;</w:t>
            </w:r>
          </w:p>
          <w:p w14:paraId="4C4679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46B232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tc>
      </w:tr>
      <w:tr w:rsidR="00711444" w:rsidRPr="004D0DAA" w14:paraId="3B36E717" w14:textId="77777777" w:rsidTr="00AA2A4C">
        <w:tblPrEx>
          <w:tblCellMar>
            <w:top w:w="0" w:type="dxa"/>
            <w:bottom w:w="0" w:type="dxa"/>
          </w:tblCellMar>
        </w:tblPrEx>
        <w:trPr>
          <w:cantSplit/>
        </w:trPr>
        <w:tc>
          <w:tcPr>
            <w:tcW w:w="9848" w:type="dxa"/>
          </w:tcPr>
          <w:p w14:paraId="2208431D"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 xml:space="preserve">Packet Timing Advance </w:t>
            </w:r>
            <w:r w:rsidRPr="004D0DAA">
              <w:rPr>
                <w:szCs w:val="18"/>
                <w:lang w:eastAsia="en-US"/>
              </w:rPr>
              <w:t>: &lt; Packet Timing Advance IE &gt; &gt;</w:t>
            </w:r>
          </w:p>
          <w:p w14:paraId="32036E8D"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00</w:t>
            </w:r>
            <w:r w:rsidRPr="004D0DAA">
              <w:rPr>
                <w:rFonts w:cs="Arial"/>
                <w:lang w:eastAsia="en-US"/>
              </w:rPr>
              <w:tab/>
            </w:r>
            <w:r w:rsidRPr="004D0DAA">
              <w:rPr>
                <w:rFonts w:cs="Arial"/>
                <w:lang w:eastAsia="en-US"/>
              </w:rPr>
              <w:tab/>
              <w:t xml:space="preserve">-- </w:t>
            </w:r>
            <w:r w:rsidRPr="004D0DAA">
              <w:rPr>
                <w:rFonts w:cs="Arial"/>
                <w:i/>
                <w:lang w:eastAsia="en-US"/>
              </w:rPr>
              <w:t>No frequency parameters included</w:t>
            </w:r>
          </w:p>
          <w:p w14:paraId="48B4E7D8"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01</w:t>
            </w:r>
            <w:r w:rsidRPr="004D0DAA">
              <w:rPr>
                <w:rFonts w:cs="Arial"/>
                <w:lang w:eastAsia="en-US"/>
              </w:rPr>
              <w:tab/>
            </w:r>
            <w:r w:rsidRPr="004D0DAA">
              <w:rPr>
                <w:rFonts w:cs="Arial"/>
                <w:lang w:eastAsia="en-US"/>
              </w:rPr>
              <w:tab/>
              <w:t xml:space="preserve">-- </w:t>
            </w:r>
            <w:r w:rsidRPr="004D0DAA">
              <w:rPr>
                <w:rFonts w:cs="Arial"/>
                <w:i/>
                <w:lang w:eastAsia="en-US"/>
              </w:rPr>
              <w:t>Legacy IEs used</w:t>
            </w:r>
          </w:p>
          <w:p w14:paraId="5F2F3464" w14:textId="77777777" w:rsidR="00711444" w:rsidRPr="004D0DAA" w:rsidRDefault="00711444" w:rsidP="00AA2A4C">
            <w:pPr>
              <w:pStyle w:val="TAL"/>
              <w:rPr>
                <w:rFonts w:cs="Arial"/>
                <w:b/>
                <w:bCs/>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xml:space="preserve">{ 0 | 1 &lt; </w:t>
            </w:r>
            <w:r w:rsidRPr="004D0DAA">
              <w:rPr>
                <w:rFonts w:cs="Arial"/>
                <w:b/>
                <w:bCs/>
                <w:lang w:eastAsia="en-US"/>
              </w:rPr>
              <w:t>Frequency Parameters C1 :</w:t>
            </w:r>
            <w:r w:rsidRPr="004D0DAA">
              <w:rPr>
                <w:rFonts w:cs="Arial"/>
                <w:lang w:eastAsia="en-US"/>
              </w:rPr>
              <w:t xml:space="preserve"> &lt; Frequency Parameters IE &gt; &gt; }</w:t>
            </w:r>
          </w:p>
          <w:p w14:paraId="30F9C1E3" w14:textId="77777777" w:rsidR="00711444" w:rsidRPr="004D0DAA" w:rsidRDefault="00711444" w:rsidP="00AA2A4C">
            <w:pPr>
              <w:pStyle w:val="TAL"/>
              <w:rPr>
                <w:rFonts w:cs="Arial"/>
                <w:b/>
                <w:bCs/>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xml:space="preserve">{ 0 | 1 &lt; </w:t>
            </w:r>
            <w:r w:rsidRPr="004D0DAA">
              <w:rPr>
                <w:rFonts w:cs="Arial"/>
                <w:b/>
                <w:bCs/>
                <w:lang w:eastAsia="en-US"/>
              </w:rPr>
              <w:t>Frequency Parameters C2 :</w:t>
            </w:r>
            <w:r w:rsidRPr="004D0DAA">
              <w:rPr>
                <w:rFonts w:cs="Arial"/>
                <w:lang w:eastAsia="en-US"/>
              </w:rPr>
              <w:t xml:space="preserve"> &lt; Frequency Parameters IE &gt; &gt; }</w:t>
            </w:r>
          </w:p>
          <w:p w14:paraId="788FE7F8"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10</w:t>
            </w:r>
            <w:r w:rsidRPr="004D0DAA">
              <w:rPr>
                <w:rFonts w:cs="Arial"/>
                <w:lang w:eastAsia="en-US"/>
              </w:rPr>
              <w:tab/>
            </w:r>
            <w:r w:rsidRPr="004D0DAA">
              <w:rPr>
                <w:rFonts w:cs="Arial"/>
                <w:lang w:eastAsia="en-US"/>
              </w:rPr>
              <w:tab/>
              <w:t xml:space="preserve">-- </w:t>
            </w:r>
            <w:r w:rsidRPr="004D0DAA">
              <w:rPr>
                <w:rFonts w:cs="Arial"/>
                <w:i/>
                <w:lang w:eastAsia="en-US"/>
              </w:rPr>
              <w:t>Optimized Dual Carrier frequency parameters used</w:t>
            </w:r>
            <w:r w:rsidRPr="004D0DAA">
              <w:rPr>
                <w:rFonts w:cs="Arial"/>
                <w:lang w:eastAsia="en-US"/>
              </w:rPr>
              <w:t xml:space="preserve"> </w:t>
            </w:r>
          </w:p>
          <w:p w14:paraId="43C31260"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xml:space="preserve"> &lt; </w:t>
            </w:r>
            <w:r w:rsidRPr="004D0DAA">
              <w:rPr>
                <w:rFonts w:cs="Arial"/>
                <w:b/>
                <w:lang w:eastAsia="en-US"/>
              </w:rPr>
              <w:t>Dual Carrier</w:t>
            </w:r>
            <w:r w:rsidRPr="004D0DAA">
              <w:rPr>
                <w:rFonts w:cs="Arial"/>
                <w:lang w:eastAsia="en-US"/>
              </w:rPr>
              <w:t xml:space="preserve"> </w:t>
            </w:r>
            <w:r w:rsidRPr="004D0DAA">
              <w:rPr>
                <w:rFonts w:cs="Arial"/>
                <w:b/>
                <w:lang w:eastAsia="en-US"/>
              </w:rPr>
              <w:t>Frequency Parameters</w:t>
            </w:r>
            <w:r w:rsidRPr="004D0DAA">
              <w:rPr>
                <w:rFonts w:cs="Arial"/>
                <w:lang w:eastAsia="en-US"/>
              </w:rPr>
              <w:t xml:space="preserve">: &lt; Dual Carrier Frequency Parameters IE &gt; &gt; </w:t>
            </w:r>
          </w:p>
          <w:p w14:paraId="2DA4BB54"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t xml:space="preserve">! &lt; Frequency Parameters error: { 11 } bit(*) = &lt; no string&gt; &gt; } -- </w:t>
            </w:r>
            <w:r w:rsidRPr="004D0DAA">
              <w:rPr>
                <w:rFonts w:cs="Arial"/>
                <w:i/>
                <w:lang w:eastAsia="en-US"/>
              </w:rPr>
              <w:t xml:space="preserve">reserved for future used </w:t>
            </w:r>
          </w:p>
          <w:p w14:paraId="23B33FD0"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P0_C1</w:t>
            </w:r>
            <w:r w:rsidRPr="004D0DAA">
              <w:rPr>
                <w:lang w:val="fr-FR" w:eastAsia="en-US"/>
              </w:rPr>
              <w:t> : bit (4) &gt;</w:t>
            </w:r>
          </w:p>
          <w:p w14:paraId="2EA3CE2E"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PR_MODE_C1</w:t>
            </w:r>
            <w:r w:rsidRPr="004D0DAA">
              <w:rPr>
                <w:lang w:val="fr-FR" w:eastAsia="en-US"/>
              </w:rPr>
              <w:t> : bit (1) &gt;</w:t>
            </w:r>
          </w:p>
          <w:p w14:paraId="5D29765A"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0 | 1</w:t>
            </w:r>
            <w:r w:rsidRPr="004D0DAA">
              <w:rPr>
                <w:lang w:val="fr-FR" w:eastAsia="en-US"/>
              </w:rPr>
              <w:tab/>
              <w:t xml:space="preserve">&lt; </w:t>
            </w:r>
            <w:r w:rsidRPr="004D0DAA">
              <w:rPr>
                <w:b/>
                <w:lang w:val="fr-FR" w:eastAsia="en-US"/>
              </w:rPr>
              <w:t>P0_C2</w:t>
            </w:r>
            <w:r w:rsidRPr="004D0DAA">
              <w:rPr>
                <w:lang w:val="fr-FR" w:eastAsia="en-US"/>
              </w:rPr>
              <w:t> : bit (4) &gt;</w:t>
            </w:r>
          </w:p>
          <w:p w14:paraId="1AAE4B04"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PR_MODE_C2</w:t>
            </w:r>
            <w:r w:rsidRPr="004D0DAA">
              <w:rPr>
                <w:lang w:val="fr-FR" w:eastAsia="en-US"/>
              </w:rPr>
              <w:t> : bit (1) &gt; } }</w:t>
            </w:r>
          </w:p>
          <w:p w14:paraId="2B8096A5"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 0 | 1 &lt; </w:t>
            </w:r>
            <w:r w:rsidRPr="004D0DAA">
              <w:rPr>
                <w:b/>
                <w:lang w:eastAsia="en-US"/>
              </w:rPr>
              <w:t>DOWNLINK_TFI_ASSIGNMENT</w:t>
            </w:r>
            <w:r w:rsidRPr="004D0DAA">
              <w:rPr>
                <w:lang w:eastAsia="en-US"/>
              </w:rPr>
              <w:t xml:space="preserve"> : bit (5) &gt; }</w:t>
            </w:r>
          </w:p>
          <w:p w14:paraId="7F2008A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Power Control Parameters C1</w:t>
            </w:r>
            <w:r w:rsidRPr="004D0DAA">
              <w:rPr>
                <w:lang w:eastAsia="en-US"/>
              </w:rPr>
              <w:t xml:space="preserve"> : &lt; Power Control Parameters IE &gt; &gt; }</w:t>
            </w:r>
          </w:p>
          <w:p w14:paraId="0AF8471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Power Control Parameters C2</w:t>
            </w:r>
            <w:r w:rsidRPr="004D0DAA">
              <w:rPr>
                <w:lang w:eastAsia="en-US"/>
              </w:rPr>
              <w:t xml:space="preserve"> : &lt; Power Control Parameters IE &gt; &gt; }</w:t>
            </w:r>
          </w:p>
          <w:p w14:paraId="71CCB4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EGPRS Window Size</w:t>
            </w:r>
            <w:r w:rsidRPr="004D0DAA">
              <w:rPr>
                <w:lang w:eastAsia="en-US"/>
              </w:rPr>
              <w:t> : &lt; EGPRS Window Size IE &gt;&gt;</w:t>
            </w:r>
          </w:p>
          <w:p w14:paraId="552B9BC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LINK_QUALITY_MEASUREMENT_MODE</w:t>
            </w:r>
            <w:r w:rsidRPr="004D0DAA">
              <w:rPr>
                <w:lang w:eastAsia="en-US"/>
              </w:rPr>
              <w:t> : bit (2) &gt;</w:t>
            </w:r>
          </w:p>
          <w:p w14:paraId="0503A8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 }</w:t>
            </w:r>
          </w:p>
          <w:p w14:paraId="785528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75F885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iCs/>
                <w:lang w:eastAsia="en-US"/>
              </w:rPr>
              <w:t xml:space="preserve">&lt; </w:t>
            </w:r>
            <w:r w:rsidRPr="004D0DAA">
              <w:rPr>
                <w:b/>
                <w:bCs/>
                <w:iCs/>
                <w:lang w:eastAsia="en-US"/>
              </w:rPr>
              <w:t>PFI</w:t>
            </w:r>
            <w:r w:rsidRPr="004D0DAA">
              <w:rPr>
                <w:iCs/>
                <w:lang w:eastAsia="en-US"/>
              </w:rPr>
              <w:t xml:space="preserve"> : bit (7) &gt;</w:t>
            </w:r>
            <w:r w:rsidRPr="004D0DAA">
              <w:rPr>
                <w:lang w:eastAsia="en-US"/>
              </w:rPr>
              <w:t xml:space="preserve"> }</w:t>
            </w:r>
          </w:p>
          <w:p w14:paraId="5A2E92A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NPM Transfer Time </w:t>
            </w:r>
            <w:r w:rsidRPr="004D0DAA">
              <w:rPr>
                <w:lang w:eastAsia="en-US"/>
              </w:rPr>
              <w:t>: bit (5) &gt; }</w:t>
            </w:r>
          </w:p>
          <w:p w14:paraId="47BDBE8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t>-- '</w:t>
            </w:r>
            <w:r w:rsidRPr="004D0DAA">
              <w:rPr>
                <w:i/>
                <w:iCs/>
                <w:lang w:eastAsia="en-US"/>
              </w:rPr>
              <w:t xml:space="preserve">1' indicates  </w:t>
            </w:r>
            <w:r w:rsidRPr="004D0DAA">
              <w:rPr>
                <w:i/>
                <w:lang w:eastAsia="en-US"/>
              </w:rPr>
              <w:t>Fast Ack/Nack Reporting is activated</w:t>
            </w:r>
          </w:p>
          <w:p w14:paraId="554420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EVENT_BASED_FANR</w:t>
            </w:r>
            <w:r w:rsidRPr="004D0DAA">
              <w:rPr>
                <w:lang w:eastAsia="en-US"/>
              </w:rPr>
              <w:t>: bit (1) &gt; }</w:t>
            </w:r>
          </w:p>
          <w:p w14:paraId="31AF3D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2AD7FD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tc>
      </w:tr>
      <w:tr w:rsidR="00711444" w:rsidRPr="004D0DAA" w14:paraId="75FFD704" w14:textId="77777777" w:rsidTr="00AA2A4C">
        <w:tblPrEx>
          <w:tblCellMar>
            <w:top w:w="0" w:type="dxa"/>
            <w:bottom w:w="0" w:type="dxa"/>
          </w:tblCellMar>
        </w:tblPrEx>
        <w:trPr>
          <w:cantSplit/>
        </w:trPr>
        <w:tc>
          <w:tcPr>
            <w:tcW w:w="9848" w:type="dxa"/>
          </w:tcPr>
          <w:p w14:paraId="444C2895"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REL-9</w:t>
            </w:r>
          </w:p>
          <w:p w14:paraId="38BDC40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Indication of Upper Layer PDU Start for RLC UM</w:t>
            </w:r>
            <w:r w:rsidRPr="004D0DAA">
              <w:rPr>
                <w:iCs/>
                <w:lang w:eastAsia="en-US"/>
              </w:rPr>
              <w:t>: bit  &gt;</w:t>
            </w:r>
          </w:p>
          <w:p w14:paraId="631724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09DE48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t xml:space="preserve">&lt; </w:t>
            </w:r>
            <w:r w:rsidRPr="004D0DAA">
              <w:rPr>
                <w:b/>
                <w:bCs/>
                <w:lang w:eastAsia="en-US"/>
              </w:rPr>
              <w:t>RLC Entity 2</w:t>
            </w:r>
            <w:r w:rsidRPr="004D0DAA">
              <w:rPr>
                <w:lang w:eastAsia="en-US"/>
              </w:rPr>
              <w:t xml:space="preserve"> : &lt; RLC Entity Struct &gt; &gt; </w:t>
            </w:r>
            <w:r w:rsidRPr="004D0DAA">
              <w:rPr>
                <w:lang w:eastAsia="en-US"/>
              </w:rPr>
              <w:tab/>
              <w:t>--</w:t>
            </w:r>
            <w:r w:rsidRPr="004D0DAA">
              <w:rPr>
                <w:iCs/>
                <w:lang w:eastAsia="en-US"/>
              </w:rPr>
              <w:t xml:space="preserve"> EMST is used</w:t>
            </w:r>
          </w:p>
          <w:p w14:paraId="2F7E6F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08ACF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RLC Entity 3</w:t>
            </w:r>
            <w:r w:rsidRPr="004D0DAA">
              <w:rPr>
                <w:lang w:eastAsia="en-US"/>
              </w:rPr>
              <w:t xml:space="preserve"> : &lt; RLC Entity Struct &gt; &gt; }</w:t>
            </w:r>
          </w:p>
          <w:p w14:paraId="0848AE0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67486A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MTTI_DOWNLINK_ASSIGNMENT_C1 </w:t>
            </w:r>
            <w:r w:rsidRPr="004D0DAA">
              <w:rPr>
                <w:lang w:eastAsia="en-US"/>
              </w:rPr>
              <w:t>: bit (1) }</w:t>
            </w:r>
          </w:p>
          <w:p w14:paraId="602AA0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MTTI_DOWNLINK_ASSIGNMENT_C2 </w:t>
            </w:r>
            <w:r w:rsidRPr="004D0DAA">
              <w:rPr>
                <w:lang w:eastAsia="en-US"/>
              </w:rPr>
              <w:t>: bit (1) }</w:t>
            </w:r>
          </w:p>
          <w:p w14:paraId="5E54376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5FDD982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Rel-10</w:t>
            </w:r>
          </w:p>
          <w:p w14:paraId="5322B2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 } ** 0</w:t>
            </w:r>
            <w:r w:rsidRPr="004D0DAA">
              <w:rPr>
                <w:lang w:eastAsia="en-US"/>
              </w:rPr>
              <w:tab/>
            </w:r>
          </w:p>
          <w:p w14:paraId="752EBFD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 ** 0</w:t>
            </w:r>
            <w:r w:rsidRPr="004D0DAA">
              <w:rPr>
                <w:lang w:eastAsia="en-US"/>
              </w:rPr>
              <w:tab/>
            </w:r>
          </w:p>
          <w:p w14:paraId="1D827F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 ** 0</w:t>
            </w:r>
          </w:p>
          <w:p w14:paraId="325428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619229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for Rel-11</w:t>
            </w:r>
          </w:p>
          <w:p w14:paraId="3F5D99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w:t>
            </w:r>
          </w:p>
          <w:p w14:paraId="04E1E0A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w:t>
            </w:r>
            <w:r w:rsidRPr="004D0DAA">
              <w:rPr>
                <w:i/>
                <w:lang w:eastAsia="en-US"/>
              </w:rPr>
              <w:t>-- Receiver backward compatible with earlier version</w:t>
            </w:r>
          </w:p>
          <w:p w14:paraId="687453B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for Rel-12</w:t>
            </w:r>
          </w:p>
          <w:p w14:paraId="51BB6B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1E2310F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424E420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4F48A54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30FA0D68" w14:textId="77777777" w:rsidR="00711444" w:rsidRPr="004D0DAA" w:rsidRDefault="00711444" w:rsidP="00AA2A4C">
            <w:pPr>
              <w:keepNext/>
              <w:keepLines/>
              <w:spacing w:after="0"/>
              <w:rPr>
                <w:rFonts w:ascii="Arial" w:hAnsi="Arial"/>
                <w:sz w:val="18"/>
              </w:rPr>
            </w:pP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t>&lt; padding bits &gt; } } } }//</w:t>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t>-- truncation at end of message allowed, bits '0' assumed</w:t>
            </w:r>
          </w:p>
          <w:p w14:paraId="03E11C7C" w14:textId="77777777" w:rsidR="00711444" w:rsidRPr="004D0DAA" w:rsidRDefault="00711444" w:rsidP="00AA2A4C">
            <w:pPr>
              <w:keepNext/>
              <w:keepLines/>
              <w:spacing w:after="0"/>
              <w:rPr>
                <w:rFonts w:ascii="Arial" w:hAnsi="Arial"/>
                <w:sz w:val="18"/>
                <w:szCs w:val="18"/>
              </w:rPr>
            </w:pPr>
            <w:r w:rsidRPr="004D0DAA">
              <w:tab/>
            </w:r>
            <w:r w:rsidRPr="004D0DAA">
              <w:tab/>
            </w:r>
            <w:r w:rsidRPr="004D0DAA">
              <w:tab/>
            </w:r>
            <w:r w:rsidRPr="004D0DAA">
              <w:tab/>
              <w:t xml:space="preserve">! &lt; Non-distribution part error : bit (*) = &lt; no string &gt; &gt; </w:t>
            </w:r>
            <w:r w:rsidRPr="004D0DAA">
              <w:rPr>
                <w:rFonts w:ascii="Arial" w:hAnsi="Arial"/>
                <w:sz w:val="18"/>
                <w:szCs w:val="18"/>
              </w:rPr>
              <w:t>}</w:t>
            </w:r>
          </w:p>
          <w:p w14:paraId="6E0E826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rFonts w:cs="Arial"/>
                <w:i/>
                <w:szCs w:val="18"/>
                <w:lang w:eastAsia="en-US"/>
              </w:rPr>
              <w:t>-- downlink</w:t>
            </w:r>
            <w:r w:rsidRPr="004D0DAA">
              <w:rPr>
                <w:rFonts w:cs="Arial"/>
                <w:szCs w:val="18"/>
                <w:lang w:eastAsia="en-US"/>
              </w:rPr>
              <w:t xml:space="preserve"> </w:t>
            </w:r>
            <w:r w:rsidRPr="004D0DAA">
              <w:rPr>
                <w:i/>
                <w:lang w:eastAsia="en-US"/>
              </w:rPr>
              <w:t xml:space="preserve">multi </w:t>
            </w:r>
            <w:r w:rsidRPr="004D0DAA">
              <w:rPr>
                <w:rFonts w:cs="Arial"/>
                <w:i/>
                <w:szCs w:val="18"/>
                <w:lang w:eastAsia="en-US"/>
              </w:rPr>
              <w:t xml:space="preserve">carrier, RTTI, </w:t>
            </w:r>
            <w:r w:rsidRPr="004D0DAA">
              <w:rPr>
                <w:i/>
                <w:lang w:eastAsia="en-US"/>
              </w:rPr>
              <w:t xml:space="preserve">BTTI with FANR activated, </w:t>
            </w:r>
            <w:r w:rsidRPr="004D0DAA">
              <w:rPr>
                <w:rFonts w:cs="Arial"/>
                <w:i/>
                <w:szCs w:val="18"/>
                <w:lang w:eastAsia="en-US"/>
              </w:rPr>
              <w:t>EGPRS2</w:t>
            </w:r>
          </w:p>
          <w:p w14:paraId="3DACD26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w:t>
            </w:r>
            <w:r w:rsidRPr="004D0DAA">
              <w:rPr>
                <w:szCs w:val="18"/>
                <w:lang w:eastAsia="en-US"/>
              </w:rPr>
              <w:tab/>
              <w:t xml:space="preserve">&lt; </w:t>
            </w:r>
            <w:r w:rsidRPr="004D0DAA">
              <w:rPr>
                <w:b/>
                <w:szCs w:val="18"/>
                <w:lang w:eastAsia="en-US"/>
              </w:rPr>
              <w:t>RLC_MODE</w:t>
            </w:r>
            <w:r w:rsidRPr="004D0DAA">
              <w:rPr>
                <w:szCs w:val="18"/>
                <w:lang w:eastAsia="en-US"/>
              </w:rPr>
              <w:t xml:space="preserve"> : bit (1) &gt;</w:t>
            </w:r>
          </w:p>
          <w:p w14:paraId="2A117DEF" w14:textId="77777777" w:rsidR="00711444" w:rsidRPr="004D0DAA" w:rsidRDefault="00711444" w:rsidP="00AA2A4C">
            <w:pPr>
              <w:pStyle w:val="TAL"/>
              <w:rPr>
                <w:szCs w:val="18"/>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szCs w:val="18"/>
                <w:lang w:eastAsia="en-US"/>
              </w:rPr>
              <w:t xml:space="preserve">&lt; </w:t>
            </w:r>
            <w:r w:rsidRPr="004D0DAA">
              <w:rPr>
                <w:b/>
                <w:szCs w:val="18"/>
                <w:lang w:eastAsia="en-US"/>
              </w:rPr>
              <w:t>CONTROL_ACK</w:t>
            </w:r>
            <w:r w:rsidRPr="004D0DAA">
              <w:rPr>
                <w:szCs w:val="18"/>
                <w:lang w:eastAsia="en-US"/>
              </w:rPr>
              <w:t xml:space="preserve"> : bit (1) &gt;</w:t>
            </w:r>
          </w:p>
          <w:p w14:paraId="7C19079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1 </w:t>
            </w:r>
            <w:r w:rsidRPr="004D0DAA">
              <w:rPr>
                <w:lang w:eastAsia="en-US"/>
              </w:rPr>
              <w:t xml:space="preserve">&lt; </w:t>
            </w:r>
            <w:r w:rsidRPr="004D0DAA">
              <w:rPr>
                <w:b/>
                <w:lang w:eastAsia="en-US"/>
              </w:rPr>
              <w:t xml:space="preserve">UFPS </w:t>
            </w:r>
            <w:r w:rsidRPr="004D0DAA">
              <w:rPr>
                <w:lang w:eastAsia="en-US"/>
              </w:rPr>
              <w:t xml:space="preserve">: &lt; UFPS struct &gt; &gt; } ** 0 </w:t>
            </w:r>
          </w:p>
          <w:p w14:paraId="67456740"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b/>
                <w:szCs w:val="18"/>
                <w:lang w:eastAsia="en-US"/>
              </w:rPr>
              <w:t>DLMC Measurement Type</w:t>
            </w:r>
            <w:r w:rsidRPr="004D0DAA">
              <w:rPr>
                <w:szCs w:val="18"/>
                <w:lang w:eastAsia="en-US"/>
              </w:rPr>
              <w:t xml:space="preserve"> : bit (1)</w:t>
            </w:r>
          </w:p>
          <w:p w14:paraId="6C96E7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LINK_QUALITY_MEASUREMENT_MODE</w:t>
            </w:r>
            <w:r w:rsidRPr="004D0DAA">
              <w:rPr>
                <w:lang w:eastAsia="en-US"/>
              </w:rPr>
              <w:t> : bit (2) &gt;</w:t>
            </w:r>
          </w:p>
          <w:p w14:paraId="7429DD25"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 | 1</w:t>
            </w:r>
            <w:r w:rsidRPr="004D0DAA">
              <w:rPr>
                <w:lang w:val="en-US" w:eastAsia="en-US"/>
              </w:rPr>
              <w:tab/>
            </w:r>
            <w:r w:rsidRPr="004D0DAA">
              <w:rPr>
                <w:lang w:eastAsia="en-US"/>
              </w:rPr>
              <w:t xml:space="preserve">&lt; </w:t>
            </w:r>
            <w:r w:rsidRPr="004D0DAA">
              <w:rPr>
                <w:b/>
                <w:lang w:eastAsia="en-US"/>
              </w:rPr>
              <w:t>Carrier for Interference Measurements</w:t>
            </w:r>
            <w:r w:rsidRPr="004D0DAA">
              <w:rPr>
                <w:lang w:eastAsia="en-US"/>
              </w:rPr>
              <w:t xml:space="preserve"> : bit (4) &gt; }</w:t>
            </w:r>
          </w:p>
          <w:p w14:paraId="0515B9F9"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 xml:space="preserve">Packet Timing Advance </w:t>
            </w:r>
            <w:r w:rsidRPr="004D0DAA">
              <w:rPr>
                <w:szCs w:val="18"/>
                <w:lang w:eastAsia="en-US"/>
              </w:rPr>
              <w:t>: &lt; Packet Timing Advance IE &gt; &gt;</w:t>
            </w:r>
          </w:p>
          <w:p w14:paraId="2D8C3DBB"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Packet Extended Timing Advance</w:t>
            </w:r>
            <w:r w:rsidRPr="004D0DAA">
              <w:rPr>
                <w:lang w:eastAsia="en-US"/>
              </w:rPr>
              <w:t xml:space="preserve"> : bit (2) &gt; }</w:t>
            </w:r>
          </w:p>
          <w:p w14:paraId="7828F237"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ab/>
              <w:t xml:space="preserve">{ 0 | 1 &lt; </w:t>
            </w:r>
            <w:r w:rsidRPr="004D0DAA">
              <w:rPr>
                <w:b/>
                <w:lang w:eastAsia="en-US"/>
              </w:rPr>
              <w:t>PTCCH_CARRIER</w:t>
            </w:r>
            <w:r w:rsidRPr="004D0DAA">
              <w:rPr>
                <w:lang w:eastAsia="en-US"/>
              </w:rPr>
              <w:t xml:space="preserve"> : bit (4) &gt; </w:t>
            </w:r>
            <w:r w:rsidRPr="004D0DAA">
              <w:rPr>
                <w:szCs w:val="18"/>
                <w:lang w:eastAsia="en-US"/>
              </w:rPr>
              <w:t xml:space="preserve">} </w:t>
            </w:r>
          </w:p>
          <w:p w14:paraId="55E12C8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PDAN Coding</w:t>
            </w:r>
            <w:r w:rsidRPr="004D0DAA">
              <w:rPr>
                <w:szCs w:val="18"/>
                <w:lang w:eastAsia="en-US"/>
              </w:rPr>
              <w:t xml:space="preserve"> : bit (1) &gt;</w:t>
            </w:r>
          </w:p>
          <w:p w14:paraId="3A761D52"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Extended SNS</w:t>
            </w:r>
            <w:r w:rsidRPr="004D0DAA">
              <w:rPr>
                <w:szCs w:val="18"/>
                <w:lang w:eastAsia="en-US"/>
              </w:rPr>
              <w:t xml:space="preserve"> : bit (1) &gt;</w:t>
            </w:r>
          </w:p>
          <w:p w14:paraId="604FAA4E"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lang w:val="en-US" w:eastAsia="en-US"/>
              </w:rPr>
              <w:t>{ 0 | 1 &lt;</w:t>
            </w:r>
            <w:r w:rsidRPr="004D0DAA">
              <w:rPr>
                <w:b/>
                <w:lang w:val="en-US" w:eastAsia="en-US"/>
              </w:rPr>
              <w:t xml:space="preserve"> BEP_PERIOD2</w:t>
            </w:r>
            <w:r w:rsidRPr="004D0DAA">
              <w:rPr>
                <w:lang w:val="en-US" w:eastAsia="en-US"/>
              </w:rPr>
              <w:t xml:space="preserve"> : bit(4) &gt; }</w:t>
            </w:r>
          </w:p>
          <w:p w14:paraId="6B45522B" w14:textId="77777777" w:rsidR="00711444" w:rsidRPr="004D0DAA" w:rsidRDefault="00711444" w:rsidP="00AA2A4C">
            <w:pPr>
              <w:pStyle w:val="TAL"/>
              <w:rPr>
                <w:lang w:val="en-US" w:eastAsia="en-US"/>
              </w:rPr>
            </w:pPr>
            <w:r w:rsidRPr="004D0DAA">
              <w:rPr>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lang w:val="en-US" w:eastAsia="en-US"/>
              </w:rPr>
              <w:t>{ 0 | 1</w:t>
            </w:r>
            <w:r w:rsidRPr="004D0DAA">
              <w:rPr>
                <w:lang w:val="en-US" w:eastAsia="en-US"/>
              </w:rPr>
              <w:tab/>
            </w:r>
            <w:r w:rsidRPr="004D0DAA">
              <w:rPr>
                <w:iCs/>
                <w:lang w:val="en-US" w:eastAsia="en-US"/>
              </w:rPr>
              <w:t xml:space="preserve">&lt; </w:t>
            </w:r>
            <w:r w:rsidRPr="004D0DAA">
              <w:rPr>
                <w:b/>
                <w:bCs/>
                <w:iCs/>
                <w:lang w:val="en-US" w:eastAsia="en-US"/>
              </w:rPr>
              <w:t>PFI</w:t>
            </w:r>
            <w:r w:rsidRPr="004D0DAA">
              <w:rPr>
                <w:iCs/>
                <w:lang w:val="en-US" w:eastAsia="en-US"/>
              </w:rPr>
              <w:t xml:space="preserve"> : bit (7) &gt;</w:t>
            </w:r>
            <w:r w:rsidRPr="004D0DAA">
              <w:rPr>
                <w:lang w:val="en-US" w:eastAsia="en-US"/>
              </w:rPr>
              <w:t xml:space="preserve"> }</w:t>
            </w:r>
          </w:p>
          <w:p w14:paraId="5D6E21AC" w14:textId="77777777" w:rsidR="00711444" w:rsidRPr="004D0DAA" w:rsidRDefault="00711444" w:rsidP="00AA2A4C">
            <w:pPr>
              <w:pStyle w:val="TAL"/>
              <w:rPr>
                <w:lang w:eastAsia="en-US"/>
              </w:rPr>
            </w:pPr>
            <w:r w:rsidRPr="004D0DAA">
              <w:rPr>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 xml:space="preserve">NPM Transfer Time </w:t>
            </w:r>
            <w:r w:rsidRPr="004D0DAA">
              <w:rPr>
                <w:lang w:eastAsia="en-US"/>
              </w:rPr>
              <w:t>: bit (5) &gt; }</w:t>
            </w:r>
          </w:p>
          <w:p w14:paraId="650EAC9B"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r>
            <w:r w:rsidRPr="004D0DAA">
              <w:rPr>
                <w:lang w:eastAsia="en-US"/>
              </w:rPr>
              <w:tab/>
              <w:t>-- '</w:t>
            </w:r>
            <w:r w:rsidRPr="004D0DAA">
              <w:rPr>
                <w:i/>
                <w:iCs/>
                <w:lang w:eastAsia="en-US"/>
              </w:rPr>
              <w:t xml:space="preserve">1' indicates  </w:t>
            </w:r>
            <w:r w:rsidRPr="004D0DAA">
              <w:rPr>
                <w:i/>
                <w:lang w:eastAsia="en-US"/>
              </w:rPr>
              <w:t>Fast Ack/Nack Reporting is activated</w:t>
            </w:r>
          </w:p>
          <w:p w14:paraId="7F00B07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EVENT_BASED_FANR</w:t>
            </w:r>
            <w:r w:rsidRPr="004D0DAA">
              <w:rPr>
                <w:lang w:eastAsia="en-US"/>
              </w:rPr>
              <w:t>: bit (1) &gt; }</w:t>
            </w:r>
          </w:p>
          <w:p w14:paraId="587DBBBC"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6A980FA9"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w:t>
            </w:r>
          </w:p>
          <w:p w14:paraId="669DA39A"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w:t>
            </w:r>
          </w:p>
          <w:p w14:paraId="489A49A6" w14:textId="77777777" w:rsidR="00711444" w:rsidRPr="004D0DAA" w:rsidRDefault="00711444" w:rsidP="00AA2A4C">
            <w:pPr>
              <w:keepNext/>
              <w:keepLines/>
              <w:spacing w:after="0"/>
              <w:rPr>
                <w:rFonts w:ascii="Arial" w:hAnsi="Arial"/>
                <w:sz w:val="18"/>
              </w:rPr>
            </w:pPr>
            <w:r w:rsidRPr="004D0DAA">
              <w:rPr>
                <w:rFonts w:ascii="Arial" w:hAnsi="Arial"/>
                <w:sz w:val="18"/>
                <w:szCs w:val="18"/>
              </w:rPr>
              <w:tab/>
            </w:r>
            <w:r w:rsidRPr="004D0DAA">
              <w:rPr>
                <w:szCs w:val="18"/>
              </w:rPr>
              <w:tab/>
            </w:r>
            <w:r w:rsidRPr="004D0DAA">
              <w:rPr>
                <w:szCs w:val="18"/>
              </w:rPr>
              <w:tab/>
            </w:r>
            <w:r w:rsidRPr="004D0DAA">
              <w:rPr>
                <w:szCs w:val="18"/>
              </w:rPr>
              <w:tab/>
            </w:r>
            <w:r w:rsidRPr="004D0DAA">
              <w:rPr>
                <w:szCs w:val="18"/>
              </w:rPr>
              <w:tab/>
            </w:r>
            <w:r w:rsidRPr="004D0DAA">
              <w:rPr>
                <w:rFonts w:ascii="Arial" w:hAnsi="Arial"/>
                <w:sz w:val="18"/>
                <w:szCs w:val="18"/>
              </w:rPr>
              <w:t>&lt; padding bits &gt;  //</w:t>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t>-- truncation at end of message allowed, bits '0' assumed</w:t>
            </w:r>
          </w:p>
          <w:p w14:paraId="62084510" w14:textId="77777777" w:rsidR="00711444" w:rsidRPr="004D0DAA" w:rsidRDefault="00711444" w:rsidP="00AA2A4C">
            <w:pPr>
              <w:keepNext/>
              <w:keepLines/>
              <w:spacing w:after="0"/>
              <w:rPr>
                <w:rFonts w:ascii="Arial" w:hAnsi="Arial"/>
                <w:sz w:val="18"/>
                <w:szCs w:val="18"/>
              </w:rPr>
            </w:pPr>
            <w:r w:rsidRPr="004D0DAA">
              <w:tab/>
            </w:r>
            <w:r w:rsidRPr="004D0DAA">
              <w:rPr>
                <w:szCs w:val="18"/>
              </w:rPr>
              <w:tab/>
            </w:r>
            <w:r w:rsidRPr="004D0DAA">
              <w:rPr>
                <w:szCs w:val="18"/>
              </w:rPr>
              <w:tab/>
            </w:r>
            <w:r w:rsidRPr="004D0DAA">
              <w:rPr>
                <w:szCs w:val="18"/>
              </w:rPr>
              <w:tab/>
            </w:r>
            <w:r w:rsidRPr="004D0DAA">
              <w:rPr>
                <w:szCs w:val="18"/>
              </w:rPr>
              <w:tab/>
            </w:r>
            <w:r w:rsidRPr="004D0DAA">
              <w:rPr>
                <w:rFonts w:ascii="Arial" w:hAnsi="Arial"/>
                <w:sz w:val="18"/>
                <w:szCs w:val="18"/>
              </w:rPr>
              <w:t>! &lt; Non-distribution part error : bit (*) = &lt; no string &gt; &gt;</w:t>
            </w:r>
          </w:p>
          <w:p w14:paraId="724E55E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w:t>
            </w:r>
          </w:p>
          <w:p w14:paraId="42421F4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&lt; Message escape : { 10 | 11 } bit (*) = &lt; no string &gt; &gt; }</w:t>
            </w:r>
          </w:p>
          <w:p w14:paraId="7DB71F57" w14:textId="77777777" w:rsidR="00711444" w:rsidRPr="004D0DAA" w:rsidRDefault="00711444" w:rsidP="00AA2A4C">
            <w:pPr>
              <w:keepNext/>
              <w:keepLines/>
              <w:spacing w:after="0"/>
              <w:rPr>
                <w:rFonts w:ascii="Arial" w:hAnsi="Arial"/>
                <w:sz w:val="16"/>
                <w:szCs w:val="16"/>
              </w:rPr>
            </w:pPr>
            <w:r w:rsidRPr="004D0DAA">
              <w:rPr>
                <w:rFonts w:ascii="Arial" w:hAnsi="Arial"/>
                <w:sz w:val="18"/>
              </w:rPr>
              <w:tab/>
            </w:r>
            <w:r w:rsidRPr="004D0DAA">
              <w:rPr>
                <w:rFonts w:ascii="Arial" w:hAnsi="Arial"/>
                <w:sz w:val="18"/>
              </w:rPr>
              <w:tab/>
              <w:t>}</w:t>
            </w:r>
          </w:p>
          <w:p w14:paraId="753A350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&lt; Address information part error : bit (*) = &lt; no string &gt; &gt; }</w:t>
            </w:r>
          </w:p>
          <w:p w14:paraId="55123C04" w14:textId="77777777" w:rsidR="00711444" w:rsidRPr="004D0DAA" w:rsidRDefault="00711444" w:rsidP="00AA2A4C">
            <w:pPr>
              <w:keepNext/>
              <w:keepLines/>
              <w:spacing w:after="0"/>
              <w:rPr>
                <w:rFonts w:ascii="Arial" w:hAnsi="Arial"/>
                <w:sz w:val="18"/>
              </w:rPr>
            </w:pPr>
            <w:r w:rsidRPr="004D0DAA">
              <w:rPr>
                <w:rFonts w:ascii="Arial" w:hAnsi="Arial"/>
                <w:sz w:val="18"/>
              </w:rPr>
              <w:tab/>
              <w:t>! &lt; Distribution part error : bit (*) = &lt; no string &gt; &gt; ;</w:t>
            </w:r>
          </w:p>
          <w:p w14:paraId="37954EE1" w14:textId="77777777" w:rsidR="00711444" w:rsidRPr="004D0DAA" w:rsidRDefault="00711444" w:rsidP="00AA2A4C">
            <w:pPr>
              <w:pStyle w:val="TAL"/>
              <w:rPr>
                <w:lang w:eastAsia="en-US"/>
              </w:rPr>
            </w:pPr>
          </w:p>
        </w:tc>
      </w:tr>
      <w:tr w:rsidR="00711444" w:rsidRPr="004D0DAA" w14:paraId="753900CA" w14:textId="77777777" w:rsidTr="00AA2A4C">
        <w:tblPrEx>
          <w:tblCellMar>
            <w:top w:w="0" w:type="dxa"/>
            <w:bottom w:w="0" w:type="dxa"/>
          </w:tblCellMar>
        </w:tblPrEx>
        <w:trPr>
          <w:cantSplit/>
        </w:trPr>
        <w:tc>
          <w:tcPr>
            <w:tcW w:w="9848" w:type="dxa"/>
          </w:tcPr>
          <w:p w14:paraId="72E8A704" w14:textId="77777777" w:rsidR="00711444" w:rsidRPr="004D0DAA" w:rsidRDefault="00711444" w:rsidP="00AA2A4C">
            <w:pPr>
              <w:pStyle w:val="TAL"/>
              <w:rPr>
                <w:lang w:eastAsia="en-US"/>
              </w:rPr>
            </w:pPr>
            <w:r w:rsidRPr="004D0DAA">
              <w:rPr>
                <w:lang w:eastAsia="en-US"/>
              </w:rPr>
              <w:t>&lt; Assignment Info struct &gt; ::=</w:t>
            </w:r>
          </w:p>
          <w:p w14:paraId="625C3A5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Assignment Type</w:t>
            </w:r>
            <w:r w:rsidRPr="004D0DAA">
              <w:rPr>
                <w:lang w:eastAsia="en-US"/>
              </w:rPr>
              <w:t xml:space="preserve"> : bit (2) &gt;</w:t>
            </w:r>
          </w:p>
          <w:p w14:paraId="073604A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Carrier ID</w:t>
            </w:r>
            <w:r w:rsidRPr="004D0DAA">
              <w:rPr>
                <w:lang w:eastAsia="en-US"/>
              </w:rPr>
              <w:t xml:space="preserve"> : bit (1) &gt;;</w:t>
            </w:r>
          </w:p>
          <w:p w14:paraId="3E5C47BD" w14:textId="77777777" w:rsidR="00711444" w:rsidRPr="004D0DAA" w:rsidRDefault="00711444" w:rsidP="00AA2A4C">
            <w:pPr>
              <w:pStyle w:val="TAL"/>
              <w:rPr>
                <w:lang w:eastAsia="en-US"/>
              </w:rPr>
            </w:pPr>
          </w:p>
        </w:tc>
      </w:tr>
      <w:tr w:rsidR="00711444" w:rsidRPr="004D0DAA" w14:paraId="2076A373" w14:textId="77777777" w:rsidTr="00AA2A4C">
        <w:tblPrEx>
          <w:tblCellMar>
            <w:top w:w="0" w:type="dxa"/>
            <w:bottom w:w="0" w:type="dxa"/>
          </w:tblCellMar>
        </w:tblPrEx>
        <w:trPr>
          <w:cantSplit/>
        </w:trPr>
        <w:tc>
          <w:tcPr>
            <w:tcW w:w="9848" w:type="dxa"/>
          </w:tcPr>
          <w:p w14:paraId="26E02B23" w14:textId="77777777" w:rsidR="00711444" w:rsidRPr="004D0DAA" w:rsidRDefault="00711444" w:rsidP="00AA2A4C">
            <w:pPr>
              <w:pStyle w:val="TAL"/>
              <w:rPr>
                <w:lang w:eastAsia="en-US"/>
              </w:rPr>
            </w:pPr>
            <w:r w:rsidRPr="004D0DAA">
              <w:rPr>
                <w:lang w:eastAsia="en-US"/>
              </w:rPr>
              <w:t>&lt; RLC Entity Struct &gt; ::=</w:t>
            </w:r>
          </w:p>
          <w:p w14:paraId="00E3AAF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DOWNLINK_TFI_ASSIGNMENT</w:t>
            </w:r>
            <w:r w:rsidRPr="004D0DAA">
              <w:rPr>
                <w:lang w:eastAsia="en-US"/>
              </w:rPr>
              <w:t xml:space="preserve"> : bit (5) &gt;</w:t>
            </w:r>
          </w:p>
          <w:p w14:paraId="3922A9FC"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01E003BD" w14:textId="77777777" w:rsidR="00711444" w:rsidRPr="004D0DAA" w:rsidRDefault="00711444" w:rsidP="00AA2A4C">
            <w:pPr>
              <w:pStyle w:val="TAL"/>
              <w:rPr>
                <w:b/>
                <w:bCs/>
                <w:lang w:eastAsia="en-US"/>
              </w:rPr>
            </w:pPr>
            <w:r w:rsidRPr="004D0DAA">
              <w:rPr>
                <w:b/>
                <w:lang w:eastAsia="en-US"/>
              </w:rPr>
              <w:tab/>
            </w:r>
            <w:r w:rsidRPr="004D0DAA">
              <w:rPr>
                <w:bCs/>
                <w:lang w:eastAsia="en-US"/>
              </w:rPr>
              <w:t xml:space="preserve">{ 0 | 1 &lt; </w:t>
            </w:r>
            <w:r w:rsidRPr="004D0DAA">
              <w:rPr>
                <w:b/>
                <w:lang w:eastAsia="en-US"/>
              </w:rPr>
              <w:t>EGPRS Window Size</w:t>
            </w:r>
            <w:r w:rsidRPr="004D0DAA">
              <w:rPr>
                <w:lang w:eastAsia="en-US"/>
              </w:rPr>
              <w:t xml:space="preserve"> : &lt; EGPRS Window Size IE &gt; &gt; } </w:t>
            </w:r>
          </w:p>
          <w:p w14:paraId="09FC2AC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p w14:paraId="2A01C1DA" w14:textId="77777777" w:rsidR="00711444" w:rsidRPr="004D0DAA" w:rsidRDefault="00711444" w:rsidP="00AA2A4C">
            <w:pPr>
              <w:pStyle w:val="TAL"/>
              <w:rPr>
                <w:lang w:eastAsia="en-US"/>
              </w:rPr>
            </w:pPr>
          </w:p>
        </w:tc>
      </w:tr>
      <w:tr w:rsidR="00711444" w:rsidRPr="004D0DAA" w14:paraId="101D556B" w14:textId="77777777" w:rsidTr="00AA2A4C">
        <w:tblPrEx>
          <w:tblCellMar>
            <w:top w:w="0" w:type="dxa"/>
            <w:bottom w:w="0" w:type="dxa"/>
          </w:tblCellMar>
        </w:tblPrEx>
        <w:trPr>
          <w:cantSplit/>
        </w:trPr>
        <w:tc>
          <w:tcPr>
            <w:tcW w:w="9848" w:type="dxa"/>
          </w:tcPr>
          <w:p w14:paraId="02694684" w14:textId="77777777" w:rsidR="00711444" w:rsidRPr="004D0DAA" w:rsidRDefault="00711444" w:rsidP="00AA2A4C">
            <w:pPr>
              <w:pStyle w:val="TAL"/>
              <w:rPr>
                <w:lang w:eastAsia="en-US"/>
              </w:rPr>
            </w:pPr>
            <w:r w:rsidRPr="004D0DAA">
              <w:rPr>
                <w:lang w:eastAsia="en-US"/>
              </w:rPr>
              <w:t>&lt; Additional PFCs struct &gt; ::=</w:t>
            </w:r>
          </w:p>
          <w:p w14:paraId="1BC2D59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DOWNLINK_TFI_ASSIGNMENT</w:t>
            </w:r>
            <w:r w:rsidRPr="004D0DAA">
              <w:rPr>
                <w:lang w:eastAsia="en-US"/>
              </w:rPr>
              <w:t xml:space="preserve"> : bit (5) &gt;</w:t>
            </w:r>
          </w:p>
          <w:p w14:paraId="1C89A4D8"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6785B92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tc>
      </w:tr>
      <w:tr w:rsidR="00711444" w:rsidRPr="004D0DAA" w14:paraId="2110423F" w14:textId="77777777" w:rsidTr="00AA2A4C">
        <w:tblPrEx>
          <w:tblCellMar>
            <w:top w:w="0" w:type="dxa"/>
            <w:bottom w:w="0" w:type="dxa"/>
          </w:tblCellMar>
        </w:tblPrEx>
        <w:trPr>
          <w:cantSplit/>
        </w:trPr>
        <w:tc>
          <w:tcPr>
            <w:tcW w:w="9848" w:type="dxa"/>
          </w:tcPr>
          <w:p w14:paraId="50629AE0" w14:textId="77777777" w:rsidR="00711444" w:rsidRPr="004D0DAA" w:rsidRDefault="00711444" w:rsidP="00AA2A4C">
            <w:pPr>
              <w:pStyle w:val="TAL"/>
              <w:rPr>
                <w:lang w:eastAsia="en-US"/>
              </w:rPr>
            </w:pPr>
          </w:p>
          <w:p w14:paraId="71DC5545" w14:textId="77777777" w:rsidR="00711444" w:rsidRPr="004D0DAA" w:rsidRDefault="00711444" w:rsidP="00AA2A4C">
            <w:pPr>
              <w:pStyle w:val="TAL"/>
              <w:rPr>
                <w:lang w:eastAsia="en-US"/>
              </w:rPr>
            </w:pPr>
            <w:r w:rsidRPr="004D0DAA">
              <w:rPr>
                <w:lang w:eastAsia="en-US"/>
              </w:rPr>
              <w:t>&lt; UFPS struct &gt; ::=</w:t>
            </w:r>
          </w:p>
          <w:p w14:paraId="2CC0265D"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released</w:t>
            </w:r>
          </w:p>
          <w:p w14:paraId="628C7FA5"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remains unchanged (</w:t>
            </w:r>
            <w:r w:rsidRPr="004D0DAA">
              <w:rPr>
                <w:i/>
                <w:iCs/>
                <w:szCs w:val="18"/>
                <w:lang w:eastAsia="en-US"/>
              </w:rPr>
              <w:t>no information provided)</w:t>
            </w:r>
          </w:p>
          <w:p w14:paraId="4309D02E"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r>
            <w:r w:rsidRPr="004D0DAA">
              <w:rPr>
                <w:lang w:eastAsia="en-US"/>
              </w:rPr>
              <w:tab/>
            </w:r>
            <w:r w:rsidRPr="004D0DAA">
              <w:rPr>
                <w:lang w:eastAsia="en-US"/>
              </w:rPr>
              <w:tab/>
            </w:r>
            <w:r w:rsidRPr="004D0DAA">
              <w:rPr>
                <w:i/>
                <w:szCs w:val="18"/>
                <w:lang w:eastAsia="en-US"/>
              </w:rPr>
              <w:t>-- Existing UFPS changed/new UFPS provided</w:t>
            </w:r>
          </w:p>
          <w:p w14:paraId="6A845C7C" w14:textId="77777777" w:rsidR="00711444" w:rsidRPr="004D0DAA" w:rsidRDefault="00711444" w:rsidP="00AA2A4C">
            <w:pPr>
              <w:pStyle w:val="TAL"/>
              <w:rPr>
                <w:i/>
                <w:szCs w:val="18"/>
                <w:lang w:eastAsia="en-US"/>
              </w:rPr>
            </w:pPr>
            <w:r w:rsidRPr="004D0DAA">
              <w:rPr>
                <w:lang w:eastAsia="en-US"/>
              </w:rPr>
              <w:tab/>
            </w:r>
            <w:r w:rsidRPr="004D0DAA">
              <w:rPr>
                <w:lang w:eastAsia="en-US"/>
              </w:rPr>
              <w:tab/>
            </w:r>
            <w:r w:rsidRPr="004D0DAA">
              <w:rPr>
                <w:lang w:eastAsia="en-US"/>
              </w:rPr>
              <w:tab/>
            </w:r>
            <w:r w:rsidRPr="004D0DAA">
              <w:rPr>
                <w:lang w:eastAsia="en-US"/>
              </w:rPr>
              <w:tab/>
              <w:t>{ 0</w:t>
            </w:r>
            <w:r w:rsidRPr="004D0DAA">
              <w:rPr>
                <w:szCs w:val="18"/>
                <w:lang w:eastAsia="en-US"/>
              </w:rPr>
              <w:tab/>
            </w:r>
            <w:r w:rsidRPr="004D0DAA">
              <w:rPr>
                <w:szCs w:val="18"/>
                <w:lang w:eastAsia="en-US"/>
              </w:rPr>
              <w:tab/>
            </w:r>
            <w:r w:rsidRPr="004D0DAA">
              <w:rPr>
                <w:i/>
                <w:szCs w:val="18"/>
                <w:lang w:eastAsia="en-US"/>
              </w:rPr>
              <w:t>-- Existing DLMC Frequency Parameters unchanged</w:t>
            </w:r>
          </w:p>
          <w:p w14:paraId="72DCF0D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lang w:eastAsia="en-US"/>
              </w:rPr>
              <w:t>| 1</w:t>
            </w:r>
            <w:r w:rsidRPr="004D0DAA">
              <w:rPr>
                <w:rFonts w:cs="Arial"/>
                <w:lang w:eastAsia="en-US"/>
              </w:rPr>
              <w:tab/>
              <w:t xml:space="preserve">&lt; </w:t>
            </w:r>
            <w:r w:rsidRPr="004D0DAA">
              <w:rPr>
                <w:rFonts w:cs="Arial"/>
                <w:b/>
                <w:lang w:eastAsia="en-US"/>
              </w:rPr>
              <w:t>DLMC Frequency Parameters</w:t>
            </w:r>
            <w:r w:rsidRPr="004D0DAA">
              <w:rPr>
                <w:rFonts w:cs="Arial"/>
                <w:lang w:eastAsia="en-US"/>
              </w:rPr>
              <w:t xml:space="preserve"> : &lt; DLMC Frequency Parameters IE &gt; &gt; }</w:t>
            </w:r>
          </w:p>
        </w:tc>
      </w:tr>
      <w:tr w:rsidR="00711444" w:rsidRPr="004D0DAA" w14:paraId="4FB282B0" w14:textId="77777777" w:rsidTr="00AA2A4C">
        <w:tblPrEx>
          <w:tblCellMar>
            <w:top w:w="0" w:type="dxa"/>
            <w:bottom w:w="0" w:type="dxa"/>
          </w:tblCellMar>
        </w:tblPrEx>
        <w:trPr>
          <w:cantSplit/>
        </w:trPr>
        <w:tc>
          <w:tcPr>
            <w:tcW w:w="9848" w:type="dxa"/>
          </w:tcPr>
          <w:p w14:paraId="07CA32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lang w:eastAsia="en-US"/>
              </w:rPr>
              <w:t xml:space="preserve">{ 1 &lt; </w:t>
            </w:r>
            <w:r w:rsidRPr="004D0DAA">
              <w:rPr>
                <w:b/>
                <w:lang w:eastAsia="en-US"/>
              </w:rPr>
              <w:t>CARRIER_SPECIFIC_INFO</w:t>
            </w:r>
            <w:r w:rsidRPr="004D0DAA">
              <w:rPr>
                <w:lang w:eastAsia="en-US"/>
              </w:rPr>
              <w:t xml:space="preserve"> : &lt; Carrier Specific Info struct &gt; &gt; } ** 0</w:t>
            </w:r>
            <w:r w:rsidRPr="004D0DAA">
              <w:rPr>
                <w:lang w:eastAsia="en-US"/>
              </w:rPr>
              <w:tab/>
            </w:r>
          </w:p>
          <w:p w14:paraId="72F28550" w14:textId="77777777" w:rsidR="00711444" w:rsidRPr="004D0DAA" w:rsidRDefault="00711444" w:rsidP="00AA2A4C">
            <w:pPr>
              <w:pStyle w:val="TAL"/>
              <w:rPr>
                <w:i/>
                <w:szCs w:val="18"/>
                <w:lang w:eastAsia="en-US"/>
              </w:rPr>
            </w:pPr>
            <w:r w:rsidRPr="004D0DAA">
              <w:rPr>
                <w:lang w:eastAsia="en-US"/>
              </w:rPr>
              <w:tab/>
            </w:r>
            <w:r w:rsidRPr="004D0DAA">
              <w:rPr>
                <w:lang w:eastAsia="en-US"/>
              </w:rPr>
              <w:tab/>
              <w:t>| 11</w:t>
            </w:r>
            <w:r w:rsidRPr="004D0DAA">
              <w:rPr>
                <w:szCs w:val="18"/>
                <w:lang w:eastAsia="en-US"/>
              </w:rPr>
              <w:tab/>
            </w:r>
            <w:r w:rsidRPr="004D0DAA">
              <w:rPr>
                <w:lang w:eastAsia="en-US"/>
              </w:rPr>
              <w:t>bit (*) = &lt; no string &gt;</w:t>
            </w:r>
            <w:r w:rsidRPr="004D0DAA">
              <w:rPr>
                <w:szCs w:val="18"/>
                <w:lang w:eastAsia="en-US"/>
              </w:rPr>
              <w:tab/>
            </w:r>
            <w:r w:rsidRPr="004D0DAA">
              <w:rPr>
                <w:szCs w:val="18"/>
                <w:lang w:eastAsia="en-US"/>
              </w:rPr>
              <w:tab/>
            </w:r>
            <w:r w:rsidRPr="004D0DAA">
              <w:rPr>
                <w:i/>
                <w:szCs w:val="18"/>
                <w:lang w:eastAsia="en-US"/>
              </w:rPr>
              <w:t>-- Reserved</w:t>
            </w:r>
          </w:p>
          <w:p w14:paraId="5CF14007" w14:textId="77777777" w:rsidR="00711444" w:rsidRPr="004D0DAA" w:rsidRDefault="00711444" w:rsidP="00AA2A4C">
            <w:pPr>
              <w:pStyle w:val="TAL"/>
              <w:rPr>
                <w:lang w:eastAsia="en-US"/>
              </w:rPr>
            </w:pPr>
            <w:r w:rsidRPr="004D0DAA">
              <w:rPr>
                <w:lang w:eastAsia="en-US"/>
              </w:rPr>
              <w:tab/>
              <w:t xml:space="preserve">}; </w:t>
            </w:r>
          </w:p>
          <w:p w14:paraId="2E323106" w14:textId="77777777" w:rsidR="00711444" w:rsidRPr="004D0DAA" w:rsidRDefault="00711444" w:rsidP="00AA2A4C">
            <w:pPr>
              <w:pStyle w:val="TAL"/>
              <w:rPr>
                <w:lang w:eastAsia="en-US"/>
              </w:rPr>
            </w:pPr>
          </w:p>
          <w:p w14:paraId="568F7CE8" w14:textId="77777777" w:rsidR="00711444" w:rsidRPr="004D0DAA" w:rsidRDefault="00711444" w:rsidP="00AA2A4C">
            <w:pPr>
              <w:pStyle w:val="TAL"/>
              <w:rPr>
                <w:lang w:eastAsia="en-US"/>
              </w:rPr>
            </w:pPr>
            <w:r w:rsidRPr="004D0DAA">
              <w:rPr>
                <w:lang w:eastAsia="en-US"/>
              </w:rPr>
              <w:t>&lt; Carrier Specific Info struct &gt; ::=</w:t>
            </w:r>
          </w:p>
          <w:p w14:paraId="59B7C64B"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Existing carrier released</w:t>
            </w:r>
          </w:p>
          <w:p w14:paraId="7A3F084E"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remains unchanged (</w:t>
            </w:r>
            <w:r w:rsidRPr="004D0DAA">
              <w:rPr>
                <w:i/>
                <w:iCs/>
                <w:szCs w:val="18"/>
                <w:lang w:eastAsia="en-US"/>
              </w:rPr>
              <w:t>no information provided)</w:t>
            </w:r>
          </w:p>
          <w:p w14:paraId="5F2E891A"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changed/new carrier provided</w:t>
            </w:r>
          </w:p>
          <w:p w14:paraId="174E92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szCs w:val="18"/>
                <w:lang w:eastAsia="en-US"/>
              </w:rPr>
              <w:t xml:space="preserve"> 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BTTI mode</w:t>
            </w:r>
          </w:p>
          <w:p w14:paraId="3C57DD9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timeslots as the lowest numbered carrier</w:t>
            </w:r>
          </w:p>
          <w:p w14:paraId="11DDE66B"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szCs w:val="18"/>
                <w:lang w:eastAsia="en-US"/>
              </w:rPr>
              <w:t xml:space="preserve">TIMESLOT_ALLOCATION </w:t>
            </w:r>
            <w:r w:rsidRPr="004D0DAA">
              <w:rPr>
                <w:szCs w:val="18"/>
                <w:lang w:eastAsia="en-US"/>
              </w:rPr>
              <w:t xml:space="preserve">: bit (8) &gt; } </w:t>
            </w:r>
          </w:p>
          <w:p w14:paraId="08DD5F8E" w14:textId="77777777" w:rsidR="00711444" w:rsidRPr="004D0DAA" w:rsidRDefault="00711444" w:rsidP="00AA2A4C">
            <w:pPr>
              <w:pStyle w:val="TAL"/>
              <w:rPr>
                <w:szCs w:val="18"/>
                <w:lang w:eastAsia="en-US"/>
              </w:rPr>
            </w:pP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RTTI mode</w:t>
            </w:r>
          </w:p>
          <w:p w14:paraId="2FA78568"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PDCH-pairs as the lowest numbered carrier</w:t>
            </w:r>
          </w:p>
          <w:p w14:paraId="48B5B0C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bCs/>
                <w:szCs w:val="18"/>
                <w:lang w:eastAsia="en-US"/>
              </w:rPr>
              <w:t xml:space="preserve">DOWNLINK_PDCH_PAIRS_DLMC </w:t>
            </w:r>
            <w:r w:rsidRPr="004D0DAA">
              <w:rPr>
                <w:szCs w:val="18"/>
                <w:lang w:eastAsia="en-US"/>
              </w:rPr>
              <w:t>: bit (8) &gt;</w:t>
            </w:r>
          </w:p>
          <w:p w14:paraId="7D4CE0B8"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RTTI_DOWNLINK_PDCH_PAIR_ASSIGNMENT_DLMC </w:t>
            </w:r>
            <w:r w:rsidRPr="004D0DAA">
              <w:rPr>
                <w:szCs w:val="18"/>
                <w:lang w:eastAsia="en-US"/>
              </w:rPr>
              <w:t>: bit (4) &gt; }</w:t>
            </w:r>
          </w:p>
          <w:p w14:paraId="0955E5CA"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w:t>
            </w:r>
          </w:p>
          <w:p w14:paraId="3F5D1C1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MAIO</w:t>
            </w:r>
            <w:r w:rsidRPr="004D0DAA">
              <w:rPr>
                <w:lang w:eastAsia="en-US"/>
              </w:rPr>
              <w:t xml:space="preserve"> : bit (6) &gt; }</w:t>
            </w:r>
          </w:p>
          <w:p w14:paraId="720AC663"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en-US"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P0 and PR_MODE as the lowest numbered carrier</w:t>
            </w:r>
          </w:p>
          <w:p w14:paraId="2269BABA" w14:textId="77777777" w:rsidR="00711444" w:rsidRPr="004D0DAA" w:rsidRDefault="00711444" w:rsidP="00AA2A4C">
            <w:pPr>
              <w:pStyle w:val="TAL"/>
              <w:rPr>
                <w:lang w:val="fr-FR" w:eastAsia="en-US"/>
              </w:rPr>
            </w:pPr>
            <w:r w:rsidRPr="004D0DAA">
              <w:rPr>
                <w:lang w:val="en-US" w:eastAsia="en-US"/>
              </w:rPr>
              <w:t xml:space="preserve">                      </w:t>
            </w:r>
            <w:r w:rsidRPr="004D0DAA">
              <w:rPr>
                <w:lang w:eastAsia="en-US"/>
              </w:rPr>
              <w:tab/>
            </w:r>
            <w:r w:rsidRPr="004D0DAA">
              <w:rPr>
                <w:lang w:eastAsia="en-US"/>
              </w:rPr>
              <w:tab/>
            </w:r>
            <w:r w:rsidRPr="004D0DAA">
              <w:rPr>
                <w:lang w:val="fr-FR" w:eastAsia="en-US"/>
              </w:rPr>
              <w:t>| 1</w:t>
            </w:r>
            <w:r w:rsidRPr="004D0DAA">
              <w:rPr>
                <w:lang w:val="sv-SE" w:eastAsia="en-US"/>
              </w:rPr>
              <w:tab/>
            </w:r>
            <w:r w:rsidRPr="004D0DAA">
              <w:rPr>
                <w:lang w:val="fr-FR" w:eastAsia="en-US"/>
              </w:rPr>
              <w:t xml:space="preserve">&lt; </w:t>
            </w:r>
            <w:r w:rsidRPr="004D0DAA">
              <w:rPr>
                <w:b/>
                <w:lang w:val="fr-FR" w:eastAsia="en-US"/>
              </w:rPr>
              <w:t>P0</w:t>
            </w:r>
            <w:r w:rsidRPr="004D0DAA">
              <w:rPr>
                <w:lang w:val="fr-FR" w:eastAsia="en-US"/>
              </w:rPr>
              <w:t> : bit (4) &gt;</w:t>
            </w:r>
          </w:p>
          <w:p w14:paraId="4D2D47AA"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sv-SE" w:eastAsia="en-US"/>
              </w:rPr>
              <w:tab/>
            </w:r>
            <w:r w:rsidRPr="004D0DAA">
              <w:rPr>
                <w:lang w:val="sv-SE" w:eastAsia="en-US"/>
              </w:rPr>
              <w:tab/>
            </w:r>
            <w:r w:rsidRPr="004D0DAA">
              <w:rPr>
                <w:lang w:val="sv-SE" w:eastAsia="en-US"/>
              </w:rPr>
              <w:tab/>
            </w:r>
            <w:r w:rsidRPr="004D0DAA">
              <w:rPr>
                <w:lang w:val="fr-FR" w:eastAsia="en-US"/>
              </w:rPr>
              <w:t xml:space="preserve">&lt; </w:t>
            </w:r>
            <w:r w:rsidRPr="004D0DAA">
              <w:rPr>
                <w:b/>
                <w:lang w:val="fr-FR" w:eastAsia="en-US"/>
              </w:rPr>
              <w:t>PR_MODE</w:t>
            </w:r>
            <w:r w:rsidRPr="004D0DAA">
              <w:rPr>
                <w:lang w:val="fr-FR" w:eastAsia="en-US"/>
              </w:rPr>
              <w:t> : bit (1) &gt; }</w:t>
            </w:r>
          </w:p>
          <w:p w14:paraId="5D231348" w14:textId="77777777" w:rsidR="00711444" w:rsidRPr="004D0DAA" w:rsidRDefault="00711444" w:rsidP="00AA2A4C">
            <w:pPr>
              <w:pStyle w:val="TAL"/>
              <w:rPr>
                <w:lang w:val="en-US" w:eastAsia="en-US"/>
              </w:rPr>
            </w:pPr>
            <w:r w:rsidRPr="004D0DAA">
              <w:rPr>
                <w:lang w:val="fr-FR"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DOWNLINK_TFI_ASSIGNMENT as the lowest numbered carrier</w:t>
            </w:r>
          </w:p>
          <w:p w14:paraId="25A798C9"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 xml:space="preserve">&lt; </w:t>
            </w:r>
            <w:r w:rsidRPr="004D0DAA">
              <w:rPr>
                <w:b/>
                <w:lang w:eastAsia="en-US"/>
              </w:rPr>
              <w:t>DOWNLINK_TFI_ASSIGNMENT</w:t>
            </w:r>
            <w:r w:rsidRPr="004D0DAA">
              <w:rPr>
                <w:lang w:eastAsia="en-US"/>
              </w:rPr>
              <w:t xml:space="preserve"> : bit (5) &gt; </w:t>
            </w:r>
          </w:p>
          <w:p w14:paraId="299D12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DOWNLINK_eTFI_ASSIGNMENT</w:t>
            </w:r>
            <w:r w:rsidRPr="004D0DAA">
              <w:rPr>
                <w:lang w:eastAsia="en-US"/>
              </w:rPr>
              <w:t xml:space="preserve"> : bit (3) &gt; } }</w:t>
            </w:r>
          </w:p>
          <w:p w14:paraId="09DC0DF9"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Power Control Parameters as the lowest numbered carrier</w:t>
            </w:r>
          </w:p>
          <w:p w14:paraId="5A10CFE3"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&lt;</w:t>
            </w:r>
            <w:r w:rsidRPr="004D0DAA">
              <w:rPr>
                <w:b/>
                <w:lang w:eastAsia="en-US"/>
              </w:rPr>
              <w:t xml:space="preserve"> Power Control Parameters</w:t>
            </w:r>
            <w:r w:rsidRPr="004D0DAA">
              <w:rPr>
                <w:lang w:eastAsia="en-US"/>
              </w:rPr>
              <w:t xml:space="preserve"> : &lt; Power Control Parameters IE &gt; &gt; }</w:t>
            </w:r>
          </w:p>
          <w:p w14:paraId="52042DC7"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0 </w:t>
            </w:r>
            <w:r w:rsidRPr="004D0DAA">
              <w:rPr>
                <w:lang w:eastAsia="en-US"/>
              </w:rPr>
              <w:tab/>
            </w:r>
            <w:r w:rsidRPr="004D0DAA">
              <w:rPr>
                <w:lang w:eastAsia="en-US"/>
              </w:rPr>
              <w:tab/>
              <w:t>--</w:t>
            </w:r>
            <w:r w:rsidRPr="004D0DAA">
              <w:rPr>
                <w:iCs/>
                <w:lang w:eastAsia="en-US"/>
              </w:rPr>
              <w:t xml:space="preserve"> EMST is not used on this carrier</w:t>
            </w:r>
          </w:p>
          <w:p w14:paraId="055CFDD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p>
          <w:p w14:paraId="5B83E791"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RLC Entity 2</w:t>
            </w:r>
            <w:r w:rsidRPr="004D0DAA">
              <w:rPr>
                <w:lang w:eastAsia="en-US"/>
              </w:rPr>
              <w:t xml:space="preserve"> : &lt; RLC Entity Struct &gt; &gt;</w:t>
            </w:r>
          </w:p>
          <w:p w14:paraId="6E578F2C"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w:t>
            </w:r>
          </w:p>
          <w:p w14:paraId="301C8199"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t xml:space="preserve">&lt; </w:t>
            </w:r>
            <w:r w:rsidRPr="004D0DAA">
              <w:rPr>
                <w:b/>
                <w:bCs/>
                <w:lang w:eastAsia="en-US"/>
              </w:rPr>
              <w:t>RLC Entity 3</w:t>
            </w:r>
            <w:r w:rsidRPr="004D0DAA">
              <w:rPr>
                <w:lang w:eastAsia="en-US"/>
              </w:rPr>
              <w:t xml:space="preserve"> : &lt; RLC Entity Struct &gt; &gt; } </w:t>
            </w:r>
          </w:p>
          <w:p w14:paraId="50A492BD"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w:t>
            </w:r>
          </w:p>
          <w:p w14:paraId="549E336D"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5427C37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1482E1DC"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 </w:t>
            </w:r>
          </w:p>
          <w:p w14:paraId="7C1F73C9"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5DA9CF11"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w:t>
            </w:r>
          </w:p>
          <w:p w14:paraId="5679B27D"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15C15428"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w:t>
            </w:r>
          </w:p>
          <w:p w14:paraId="34C647D7"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p>
          <w:p w14:paraId="35BEDD9F"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7648E06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w:t>
            </w:r>
            <w:r w:rsidRPr="004D0DAA">
              <w:rPr>
                <w:iCs/>
                <w:lang w:eastAsia="en-US"/>
              </w:rPr>
              <w:t xml:space="preserve"> </w:t>
            </w:r>
            <w:r w:rsidRPr="004D0DAA">
              <w:rPr>
                <w:b/>
                <w:iCs/>
                <w:lang w:eastAsia="en-US"/>
              </w:rPr>
              <w:t>TSC Set</w:t>
            </w:r>
            <w:r w:rsidRPr="004D0DAA">
              <w:rPr>
                <w:iCs/>
                <w:lang w:eastAsia="en-US"/>
              </w:rPr>
              <w:t xml:space="preserve"> : bit (1) &gt;</w:t>
            </w:r>
          </w:p>
          <w:p w14:paraId="64D669E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10A96E4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SC Set</w:t>
            </w:r>
            <w:r w:rsidRPr="004D0DAA">
              <w:rPr>
                <w:iCs/>
                <w:lang w:eastAsia="en-US"/>
              </w:rPr>
              <w:t xml:space="preserve"> : bit (1) &gt;</w:t>
            </w:r>
          </w:p>
          <w:p w14:paraId="4EF96054"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4FF166FB" w14:textId="77777777" w:rsidR="00711444" w:rsidRPr="004D0DAA" w:rsidRDefault="00711444" w:rsidP="00AA2A4C">
            <w:pPr>
              <w:pStyle w:val="TAL"/>
              <w:rPr>
                <w:lang w:eastAsia="en-US"/>
              </w:rPr>
            </w:pPr>
            <w:r w:rsidRPr="004D0DAA">
              <w:rPr>
                <w:lang w:eastAsia="en-US"/>
              </w:rPr>
              <w:tab/>
            </w:r>
            <w:r w:rsidRPr="004D0DAA">
              <w:rPr>
                <w:lang w:eastAsia="en-US"/>
              </w:rPr>
              <w:tab/>
              <w:t>| 11</w:t>
            </w:r>
            <w:r w:rsidRPr="004D0DAA">
              <w:rPr>
                <w:szCs w:val="18"/>
                <w:lang w:eastAsia="en-US"/>
              </w:rPr>
              <w:tab/>
            </w:r>
            <w:r w:rsidRPr="004D0DAA">
              <w:rPr>
                <w:lang w:eastAsia="en-US"/>
              </w:rPr>
              <w:t>bit (*) = &lt; no string &gt;</w:t>
            </w:r>
            <w:r w:rsidRPr="004D0DAA">
              <w:rPr>
                <w:szCs w:val="18"/>
                <w:lang w:eastAsia="en-US"/>
              </w:rPr>
              <w:tab/>
            </w:r>
            <w:r w:rsidRPr="004D0DAA">
              <w:rPr>
                <w:szCs w:val="18"/>
                <w:lang w:eastAsia="en-US"/>
              </w:rPr>
              <w:tab/>
            </w:r>
            <w:r w:rsidRPr="004D0DAA">
              <w:rPr>
                <w:i/>
                <w:szCs w:val="18"/>
                <w:lang w:eastAsia="en-US"/>
              </w:rPr>
              <w:t>-- Reserved</w:t>
            </w:r>
          </w:p>
          <w:p w14:paraId="7B089DAC" w14:textId="77777777" w:rsidR="00711444" w:rsidRPr="004D0DAA" w:rsidRDefault="00711444" w:rsidP="00AA2A4C">
            <w:pPr>
              <w:pStyle w:val="TAL"/>
              <w:rPr>
                <w:lang w:eastAsia="en-US"/>
              </w:rPr>
            </w:pPr>
            <w:r w:rsidRPr="004D0DAA">
              <w:rPr>
                <w:lang w:eastAsia="en-US"/>
              </w:rPr>
              <w:tab/>
              <w:t>};</w:t>
            </w:r>
          </w:p>
          <w:p w14:paraId="1495BE4E" w14:textId="77777777" w:rsidR="00711444" w:rsidRPr="004D0DAA" w:rsidRDefault="00711444" w:rsidP="00AA2A4C">
            <w:pPr>
              <w:keepNext/>
              <w:keepLines/>
              <w:spacing w:after="0"/>
            </w:pPr>
          </w:p>
        </w:tc>
      </w:tr>
    </w:tbl>
    <w:p w14:paraId="0E4C774D" w14:textId="77777777" w:rsidR="00711444" w:rsidRPr="004D0DAA" w:rsidRDefault="00711444" w:rsidP="00711444"/>
    <w:p w14:paraId="268984E3" w14:textId="77777777" w:rsidR="00711444" w:rsidRPr="004D0DAA" w:rsidRDefault="00711444" w:rsidP="00711444">
      <w:pPr>
        <w:pStyle w:val="TH"/>
      </w:pPr>
      <w:r w:rsidRPr="004D0DAA">
        <w:t xml:space="preserve">Table 11.2.7.2: PACKET </w:t>
      </w:r>
      <w:r w:rsidRPr="004D0DAA">
        <w:rPr>
          <w:caps/>
        </w:rPr>
        <w:t>Downlink ASSIGNMENT</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40" w:firstRow="0" w:lastRow="1" w:firstColumn="0" w:lastColumn="0" w:noHBand="0" w:noVBand="0"/>
      </w:tblPr>
      <w:tblGrid>
        <w:gridCol w:w="9848"/>
        <w:tblGridChange w:id="664">
          <w:tblGrid>
            <w:gridCol w:w="9848"/>
          </w:tblGrid>
        </w:tblGridChange>
      </w:tblGrid>
      <w:tr w:rsidR="00711444" w:rsidRPr="004D0DAA" w14:paraId="3426B005" w14:textId="77777777" w:rsidTr="00AA2A4C">
        <w:tblPrEx>
          <w:tblCellMar>
            <w:top w:w="0" w:type="dxa"/>
            <w:bottom w:w="0" w:type="dxa"/>
          </w:tblCellMar>
        </w:tblPrEx>
        <w:trPr>
          <w:cantSplit/>
        </w:trPr>
        <w:tc>
          <w:tcPr>
            <w:tcW w:w="9848" w:type="dxa"/>
          </w:tcPr>
          <w:p w14:paraId="04BBCFFC"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028E4DF1" w14:textId="77777777" w:rsidTr="00AA2A4C">
        <w:tblPrEx>
          <w:tblCellMar>
            <w:top w:w="0" w:type="dxa"/>
            <w:bottom w:w="0" w:type="dxa"/>
          </w:tblCellMar>
        </w:tblPrEx>
        <w:trPr>
          <w:cantSplit/>
        </w:trPr>
        <w:tc>
          <w:tcPr>
            <w:tcW w:w="9848" w:type="dxa"/>
          </w:tcPr>
          <w:p w14:paraId="4B3B6F81" w14:textId="77777777" w:rsidR="00711444" w:rsidRPr="004D0DAA" w:rsidRDefault="00711444" w:rsidP="00AA2A4C">
            <w:r w:rsidRPr="004D0DAA">
              <w:rPr>
                <w:b/>
              </w:rPr>
              <w:t xml:space="preserve">PERSISTENCE_LEVEL </w:t>
            </w:r>
            <w:r w:rsidRPr="004D0DAA">
              <w:t>(4 bit field for each Radio Priority 1…4)</w:t>
            </w:r>
            <w:r w:rsidRPr="004D0DAA">
              <w:br/>
              <w:t>This field is defined in sub-clause 12.14, PRACH Control Parameters.</w:t>
            </w:r>
          </w:p>
          <w:p w14:paraId="423190D7" w14:textId="77777777" w:rsidR="00711444" w:rsidRPr="004D0DAA" w:rsidRDefault="00711444" w:rsidP="00AA2A4C">
            <w:pPr>
              <w:rPr>
                <w:b/>
              </w:rPr>
            </w:pPr>
            <w:r w:rsidRPr="004D0DAA">
              <w:rPr>
                <w:b/>
              </w:rPr>
              <w:t>Global TFI</w:t>
            </w:r>
            <w:r w:rsidRPr="004D0DAA">
              <w:br/>
              <w:t>This information element contains the TFI of one of the mobile station's downlink TBFs or uplink TBFs. This field is defined in sub-clause 12.10.</w:t>
            </w:r>
          </w:p>
        </w:tc>
      </w:tr>
      <w:tr w:rsidR="00711444" w:rsidRPr="004D0DAA" w14:paraId="400CAD14" w14:textId="77777777" w:rsidTr="00AA2A4C">
        <w:tblPrEx>
          <w:tblCellMar>
            <w:top w:w="0" w:type="dxa"/>
            <w:bottom w:w="0" w:type="dxa"/>
          </w:tblCellMar>
        </w:tblPrEx>
        <w:trPr>
          <w:cantSplit/>
        </w:trPr>
        <w:tc>
          <w:tcPr>
            <w:tcW w:w="9848" w:type="dxa"/>
          </w:tcPr>
          <w:p w14:paraId="2850D51E" w14:textId="77777777" w:rsidR="00711444" w:rsidRPr="004D0DAA" w:rsidRDefault="00711444" w:rsidP="00AA2A4C">
            <w:pPr>
              <w:rPr>
                <w:b/>
              </w:rPr>
            </w:pPr>
            <w:r w:rsidRPr="004D0DAA">
              <w:rPr>
                <w:b/>
              </w:rPr>
              <w:lastRenderedPageBreak/>
              <w:t xml:space="preserve">TLLI/ G-RNTI </w:t>
            </w:r>
            <w:r w:rsidRPr="004D0DAA">
              <w:t>(32 bit field)</w:t>
            </w:r>
            <w:r w:rsidRPr="004D0DAA">
              <w:br/>
              <w:t>This field is defined in sub-clause 12.16.</w:t>
            </w:r>
          </w:p>
        </w:tc>
      </w:tr>
      <w:tr w:rsidR="00711444" w:rsidRPr="004D0DAA" w14:paraId="48560411" w14:textId="77777777" w:rsidTr="00AA2A4C">
        <w:tblPrEx>
          <w:tblCellMar>
            <w:top w:w="0" w:type="dxa"/>
            <w:bottom w:w="0" w:type="dxa"/>
          </w:tblCellMar>
        </w:tblPrEx>
        <w:trPr>
          <w:cantSplit/>
        </w:trPr>
        <w:tc>
          <w:tcPr>
            <w:tcW w:w="9848" w:type="dxa"/>
          </w:tcPr>
          <w:p w14:paraId="4158A631" w14:textId="77777777" w:rsidR="00711444" w:rsidRPr="004D0DAA" w:rsidRDefault="00711444" w:rsidP="00AA2A4C">
            <w:r w:rsidRPr="004D0DAA">
              <w:rPr>
                <w:b/>
              </w:rPr>
              <w:t>MAC_MODE</w:t>
            </w:r>
            <w:r w:rsidRPr="004D0DAA">
              <w:t xml:space="preserve"> (2 bit field)</w:t>
            </w:r>
            <w:r w:rsidRPr="004D0DAA">
              <w:rPr>
                <w:b/>
              </w:rPr>
              <w:br/>
            </w:r>
            <w:r w:rsidRPr="004D0DAA">
              <w:t>This information field was used in an earlier version of the protocol to indicate the medium access method to be used during an uplink TBF. For backward compatibility reasons, if there is an ongoing uplink TBF using the extended dynamic allocation, the network shall set the value of this field to ‘extended dynamic allocation’. Otherwise, the value shall be set to ‘dynamic allocation’. The mobile station shall ignore this field.</w:t>
            </w:r>
          </w:p>
          <w:p w14:paraId="00EC7C0C" w14:textId="77777777" w:rsidR="00711444" w:rsidRPr="004D0DAA" w:rsidRDefault="00711444" w:rsidP="00AA2A4C">
            <w:pPr>
              <w:pStyle w:val="FP"/>
              <w:tabs>
                <w:tab w:val="left" w:pos="1995"/>
              </w:tabs>
              <w:ind w:left="567" w:hanging="567"/>
            </w:pPr>
            <w:r w:rsidRPr="004D0DAA">
              <w:t>bit</w:t>
            </w:r>
          </w:p>
          <w:p w14:paraId="0B5F8E76" w14:textId="77777777" w:rsidR="00711444" w:rsidRPr="004D0DAA" w:rsidRDefault="00711444" w:rsidP="00AA2A4C">
            <w:pPr>
              <w:pStyle w:val="FP"/>
              <w:tabs>
                <w:tab w:val="left" w:pos="1995"/>
              </w:tabs>
              <w:ind w:left="567" w:hanging="567"/>
            </w:pPr>
            <w:r w:rsidRPr="004D0DAA">
              <w:t>2 1</w:t>
            </w:r>
          </w:p>
          <w:p w14:paraId="6BE8FDE3" w14:textId="77777777" w:rsidR="00711444" w:rsidRPr="004D0DAA" w:rsidRDefault="00711444" w:rsidP="00AA2A4C">
            <w:pPr>
              <w:pStyle w:val="FP"/>
              <w:tabs>
                <w:tab w:val="left" w:pos="1995"/>
              </w:tabs>
              <w:ind w:left="567" w:hanging="567"/>
            </w:pPr>
            <w:r w:rsidRPr="004D0DAA">
              <w:t>0 0</w:t>
            </w:r>
            <w:r w:rsidRPr="004D0DAA">
              <w:tab/>
              <w:t>Dynamic Allocation</w:t>
            </w:r>
          </w:p>
          <w:p w14:paraId="6460DB92" w14:textId="77777777" w:rsidR="00711444" w:rsidRPr="004D0DAA" w:rsidRDefault="00711444" w:rsidP="00AA2A4C">
            <w:pPr>
              <w:pStyle w:val="FP"/>
              <w:tabs>
                <w:tab w:val="left" w:pos="1995"/>
              </w:tabs>
              <w:ind w:left="567" w:hanging="567"/>
            </w:pPr>
            <w:r w:rsidRPr="004D0DAA">
              <w:t>0 1</w:t>
            </w:r>
            <w:r w:rsidRPr="004D0DAA">
              <w:tab/>
              <w:t>Extended Dynamic Allocation</w:t>
            </w:r>
          </w:p>
          <w:p w14:paraId="72D45A0F" w14:textId="77777777" w:rsidR="00711444" w:rsidRPr="004D0DAA" w:rsidRDefault="00711444" w:rsidP="00AA2A4C">
            <w:pPr>
              <w:pStyle w:val="FP"/>
              <w:tabs>
                <w:tab w:val="left" w:pos="1995"/>
              </w:tabs>
              <w:ind w:left="567" w:hanging="567"/>
            </w:pPr>
            <w:r w:rsidRPr="004D0DAA">
              <w:t>1 0</w:t>
            </w:r>
            <w:r w:rsidRPr="004D0DAA">
              <w:tab/>
              <w:t>Reserved</w:t>
            </w:r>
            <w:r w:rsidRPr="004D0DAA">
              <w:tab/>
              <w:t>-- The value '10' was allocated in an earlier version of the protocol and shall not be used.</w:t>
            </w:r>
          </w:p>
          <w:p w14:paraId="578FF27A" w14:textId="77777777" w:rsidR="00711444" w:rsidRPr="004D0DAA" w:rsidRDefault="00711444" w:rsidP="00AA2A4C">
            <w:pPr>
              <w:pStyle w:val="FP"/>
              <w:tabs>
                <w:tab w:val="left" w:pos="1995"/>
              </w:tabs>
              <w:ind w:left="567" w:hanging="567"/>
              <w:rPr>
                <w:b/>
              </w:rPr>
            </w:pPr>
            <w:r w:rsidRPr="004D0DAA">
              <w:t>1 1</w:t>
            </w:r>
            <w:r w:rsidRPr="004D0DAA">
              <w:tab/>
              <w:t>Reserved</w:t>
            </w:r>
            <w:r w:rsidRPr="004D0DAA">
              <w:tab/>
              <w:t>-- The value '11' was allocated in an earlier version of the protocol and shall not be used.</w:t>
            </w:r>
          </w:p>
        </w:tc>
      </w:tr>
      <w:tr w:rsidR="00711444" w:rsidRPr="004D0DAA" w14:paraId="27AD3010" w14:textId="77777777" w:rsidTr="00AA2A4C">
        <w:tblPrEx>
          <w:tblCellMar>
            <w:top w:w="0" w:type="dxa"/>
            <w:bottom w:w="0" w:type="dxa"/>
          </w:tblCellMar>
        </w:tblPrEx>
        <w:trPr>
          <w:cantSplit/>
        </w:trPr>
        <w:tc>
          <w:tcPr>
            <w:tcW w:w="9848" w:type="dxa"/>
          </w:tcPr>
          <w:p w14:paraId="26E6E089" w14:textId="77777777" w:rsidR="00711444" w:rsidRPr="004D0DAA" w:rsidRDefault="00711444" w:rsidP="00AA2A4C">
            <w:r w:rsidRPr="004D0DAA">
              <w:rPr>
                <w:b/>
              </w:rPr>
              <w:t xml:space="preserve">RLC_MODE </w:t>
            </w:r>
            <w:r w:rsidRPr="004D0DAA">
              <w:t>(1 bit field)</w:t>
            </w:r>
            <w:r w:rsidRPr="004D0DAA">
              <w:br/>
              <w:t>This field indicates the RLC mode of the requested TBF. If EMST is used, this field indicates the RLC mode of the RLC entity..</w:t>
            </w:r>
          </w:p>
          <w:p w14:paraId="0240B1E1" w14:textId="77777777" w:rsidR="00711444" w:rsidRPr="004D0DAA" w:rsidRDefault="00711444" w:rsidP="00AA2A4C">
            <w:pPr>
              <w:pStyle w:val="FP"/>
              <w:ind w:left="567" w:hanging="567"/>
            </w:pPr>
            <w:r w:rsidRPr="004D0DAA">
              <w:t>0</w:t>
            </w:r>
            <w:r w:rsidRPr="004D0DAA">
              <w:tab/>
              <w:t>RLC acknowledged mode</w:t>
            </w:r>
          </w:p>
          <w:p w14:paraId="06F4AA82" w14:textId="77777777" w:rsidR="00711444" w:rsidRPr="004D0DAA" w:rsidRDefault="00711444" w:rsidP="00AA2A4C">
            <w:pPr>
              <w:pStyle w:val="FP"/>
              <w:ind w:left="567" w:hanging="567"/>
            </w:pPr>
            <w:r w:rsidRPr="004D0DAA">
              <w:t>1</w:t>
            </w:r>
            <w:r w:rsidRPr="004D0DAA">
              <w:tab/>
              <w:t>RLC unacknowledged mode. For the case of an EGPRS TBF an MS that supports RLC non-persistent mode shall respond to this indication of RLC mode as described in the EGPRS Window Size IE (see sub-clause 12.5.2).</w:t>
            </w:r>
          </w:p>
          <w:p w14:paraId="733DDF52" w14:textId="77777777" w:rsidR="00711444" w:rsidRPr="004D0DAA" w:rsidRDefault="00711444" w:rsidP="00AA2A4C">
            <w:pPr>
              <w:pStyle w:val="FP"/>
              <w:ind w:left="567" w:hanging="567"/>
              <w:rPr>
                <w:b/>
              </w:rPr>
            </w:pPr>
          </w:p>
        </w:tc>
      </w:tr>
      <w:tr w:rsidR="00711444" w:rsidRPr="004D0DAA" w14:paraId="5981B673" w14:textId="77777777" w:rsidTr="00AA2A4C">
        <w:tblPrEx>
          <w:tblCellMar>
            <w:top w:w="0" w:type="dxa"/>
            <w:bottom w:w="0" w:type="dxa"/>
          </w:tblCellMar>
        </w:tblPrEx>
        <w:trPr>
          <w:cantSplit/>
        </w:trPr>
        <w:tc>
          <w:tcPr>
            <w:tcW w:w="9848" w:type="dxa"/>
          </w:tcPr>
          <w:p w14:paraId="3A1993EE" w14:textId="77777777" w:rsidR="00711444" w:rsidRPr="004D0DAA" w:rsidRDefault="00711444" w:rsidP="00AA2A4C">
            <w:r w:rsidRPr="004D0DAA">
              <w:rPr>
                <w:b/>
              </w:rPr>
              <w:t xml:space="preserve">CONTROL_ACK </w:t>
            </w:r>
            <w:r w:rsidRPr="004D0DAA">
              <w:t>(1 bit field)</w:t>
            </w:r>
            <w:r w:rsidRPr="004D0DAA">
              <w:br/>
              <w:t xml:space="preserve">In </w:t>
            </w:r>
            <w:r w:rsidRPr="004D0DAA">
              <w:rPr>
                <w:i/>
              </w:rPr>
              <w:t>A/Gb mode</w:t>
            </w:r>
            <w:r w:rsidRPr="004D0DAA">
              <w:t>, this field shall be set to '1' if the network establishes a new downlink TBF for the mobile station whose timer T3192 is running. Otherwise this field shall be set to '0'.</w:t>
            </w:r>
          </w:p>
          <w:p w14:paraId="024CDB32" w14:textId="77777777" w:rsidR="00711444" w:rsidRPr="004D0DAA" w:rsidRDefault="00711444" w:rsidP="00AA2A4C">
            <w:pPr>
              <w:rPr>
                <w:b/>
              </w:rPr>
            </w:pPr>
            <w:r w:rsidRPr="004D0DAA">
              <w:t xml:space="preserve">In </w:t>
            </w:r>
            <w:r w:rsidRPr="004D0DAA">
              <w:rPr>
                <w:i/>
                <w:iCs/>
              </w:rPr>
              <w:t>Iu mode</w:t>
            </w:r>
            <w:r w:rsidRPr="004D0DAA">
              <w:t>, this field shall be set to '1' if the network wishes to instruct the mobile station to release a given TBF for which timer T3192 is running. The TBF to be released is identified by the TFI given in the DOWNLINK_TFI_ASSIGNMENT field and has to be valid on the PACCH on which this message was sent. Otherwise this field shall be set to '0'.</w:t>
            </w:r>
          </w:p>
        </w:tc>
      </w:tr>
      <w:tr w:rsidR="00711444" w:rsidRPr="004D0DAA" w14:paraId="2B14498A" w14:textId="77777777" w:rsidTr="00AA2A4C">
        <w:tblPrEx>
          <w:tblCellMar>
            <w:top w:w="0" w:type="dxa"/>
            <w:bottom w:w="0" w:type="dxa"/>
          </w:tblCellMar>
        </w:tblPrEx>
        <w:trPr>
          <w:cantSplit/>
        </w:trPr>
        <w:tc>
          <w:tcPr>
            <w:tcW w:w="9848" w:type="dxa"/>
          </w:tcPr>
          <w:p w14:paraId="604136D7" w14:textId="77777777" w:rsidR="00711444" w:rsidRPr="004D0DAA" w:rsidRDefault="00711444" w:rsidP="00AA2A4C">
            <w:r w:rsidRPr="004D0DAA">
              <w:rPr>
                <w:b/>
              </w:rPr>
              <w:t>TIMESLOT_ALLOCATION</w:t>
            </w:r>
            <w:r w:rsidRPr="004D0DAA">
              <w:t xml:space="preserve"> (8 bit field)</w:t>
            </w:r>
            <w:r w:rsidRPr="004D0DAA">
              <w:rPr>
                <w:b/>
              </w:rPr>
              <w:br/>
            </w:r>
            <w:r w:rsidRPr="004D0DAA">
              <w:t>This field is defined in sub-clause 12.18.</w:t>
            </w:r>
          </w:p>
          <w:p w14:paraId="40E1B783" w14:textId="77777777" w:rsidR="00711444" w:rsidRPr="004D0DAA" w:rsidRDefault="00711444" w:rsidP="00AA2A4C">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 xml:space="preserve">These information fields indicate the timeslots assigned for use during the TBF. If the Assignment Type field is included and indicates 'Assignment on single carrier only' or 'Modification of existing assignment', then TIMESLOT_ALLOCATION_C1 shall apply to the carrier indicated by the Carrier ID field.  Otherwise, TIMESLOT_ALLOCATION_C1 and TIMESLOT_ALLOCATION_C2 shall apply on carrier 1 and carrier 2 respectively of a dual carrier configuration. These fields are defined in sub-clause 12.18. </w:t>
            </w:r>
          </w:p>
          <w:p w14:paraId="2E49FB87" w14:textId="77777777" w:rsidR="00711444" w:rsidRPr="004D0DAA" w:rsidRDefault="00711444" w:rsidP="00AA2A4C">
            <w:r w:rsidRPr="004D0DAA">
              <w:t>If TIMESLOT_ALLOCATION_C1 is present and TIMESLOT_ALLOCATION_C2 is not present and the Assignment Type field indicates 'Dual Carrier assignment', then the timeslots specified in TIMESLOT_ALLOCATION_C1 apply also to carrier 2.</w:t>
            </w:r>
          </w:p>
          <w:p w14:paraId="674322D6" w14:textId="77777777" w:rsidR="00711444" w:rsidRPr="004D0DAA" w:rsidRDefault="00711444" w:rsidP="00AA2A4C">
            <w:r w:rsidRPr="004D0DAA">
              <w:t>For the case of a downlink carrier assigned for a DLMC configuration the assignment message shall provide the TIMESLOT_ALLOCATION IE for at least the first carrier in the corresponding UFPS. If this IE is absent for any remaining carriers, the TIMESLOT_ALLOCATION IE for the lowest numbered carrier (see sub-clause 8.1.1.1.3)</w:t>
            </w:r>
            <w:r w:rsidRPr="004D0DAA">
              <w:rPr>
                <w:rFonts w:cs="Calibri"/>
                <w:bCs/>
                <w:kern w:val="32"/>
                <w:szCs w:val="18"/>
              </w:rPr>
              <w:t xml:space="preserve"> </w:t>
            </w:r>
            <w:r w:rsidRPr="004D0DAA">
              <w:t>shall apply.</w:t>
            </w:r>
          </w:p>
          <w:p w14:paraId="159C5FCF" w14:textId="77777777" w:rsidR="00711444" w:rsidRPr="004D0DAA" w:rsidRDefault="00711444" w:rsidP="00AA2A4C">
            <w:pPr>
              <w:rPr>
                <w:b/>
              </w:rPr>
            </w:pPr>
            <w:r w:rsidRPr="004D0DAA">
              <w:rPr>
                <w:b/>
              </w:rPr>
              <w:t>Packet Timing Advance</w:t>
            </w:r>
            <w:r w:rsidRPr="004D0DAA">
              <w:br/>
              <w:t>This information element is defined in sub-clause 12.12.</w:t>
            </w:r>
          </w:p>
        </w:tc>
      </w:tr>
      <w:tr w:rsidR="00711444" w:rsidRPr="004D0DAA" w14:paraId="29EE837E" w14:textId="77777777" w:rsidTr="00AA2A4C">
        <w:tblPrEx>
          <w:tblCellMar>
            <w:top w:w="0" w:type="dxa"/>
            <w:bottom w:w="0" w:type="dxa"/>
          </w:tblCellMar>
        </w:tblPrEx>
        <w:trPr>
          <w:cantSplit/>
        </w:trPr>
        <w:tc>
          <w:tcPr>
            <w:tcW w:w="9848" w:type="dxa"/>
          </w:tcPr>
          <w:p w14:paraId="4455F598" w14:textId="77777777" w:rsidR="00711444" w:rsidRPr="004D0DAA" w:rsidRDefault="00711444" w:rsidP="00AA2A4C">
            <w:r w:rsidRPr="004D0DAA">
              <w:rPr>
                <w:b/>
              </w:rPr>
              <w:lastRenderedPageBreak/>
              <w:t>P0, P0_C1, P0_C2</w:t>
            </w:r>
            <w:r w:rsidRPr="004D0DAA">
              <w:t xml:space="preserve"> (4 bit field)</w:t>
            </w:r>
            <w:r w:rsidRPr="004D0DAA">
              <w:br/>
              <w:t>For description and encoding, see the Packet Uplink Assignment message. If the Assignment Type field is included and indicates 'Assignment on single carrier only' or 'Modification of existing assignment', then P0_C1 shall apply to the carrier indicated by the Carrier ID field. Otherwise, P0_C1and P0_C2 shall apply to carrier 1 and carrier 2 respectively. If the P0_C1 IE is present but the P0_C2 IE is absent and the Assignment Type field indicates 'Dual Carrier assignment', then the P0_C1 IE shall apply also to carrier 2.</w:t>
            </w:r>
          </w:p>
          <w:p w14:paraId="30BBA67B" w14:textId="77777777" w:rsidR="00711444" w:rsidRPr="004D0DAA" w:rsidRDefault="00711444" w:rsidP="00AA2A4C">
            <w:r w:rsidRPr="004D0DAA">
              <w:t>For the case of a downlink carrier assigned for a DLMC configuration the assignment message shall provide the P0 IE for at least the first carrier in the corresponding UFPS. If this IE is absent for any remaining carriers, the P0 IE for the lowest numbered carrier (see sub-clause 8.1.1.1.3)</w:t>
            </w:r>
            <w:r w:rsidRPr="004D0DAA">
              <w:rPr>
                <w:rFonts w:cs="Calibri"/>
                <w:bCs/>
                <w:kern w:val="32"/>
                <w:szCs w:val="18"/>
              </w:rPr>
              <w:t xml:space="preserve"> </w:t>
            </w:r>
            <w:r w:rsidRPr="004D0DAA">
              <w:t>shall apply.</w:t>
            </w:r>
          </w:p>
        </w:tc>
      </w:tr>
      <w:tr w:rsidR="00711444" w:rsidRPr="004D0DAA" w14:paraId="1D8061A5" w14:textId="77777777" w:rsidTr="00AA2A4C">
        <w:tblPrEx>
          <w:tblCellMar>
            <w:top w:w="0" w:type="dxa"/>
            <w:bottom w:w="0" w:type="dxa"/>
          </w:tblCellMar>
        </w:tblPrEx>
        <w:trPr>
          <w:cantSplit/>
        </w:trPr>
        <w:tc>
          <w:tcPr>
            <w:tcW w:w="9848" w:type="dxa"/>
          </w:tcPr>
          <w:p w14:paraId="3E374533" w14:textId="77777777" w:rsidR="00711444" w:rsidRPr="004D0DAA" w:rsidRDefault="00711444" w:rsidP="00AA2A4C">
            <w:r w:rsidRPr="004D0DAA">
              <w:rPr>
                <w:b/>
              </w:rPr>
              <w:t>PR_MODE, PR_MODE_C1, PR_MODE_C2</w:t>
            </w:r>
            <w:r w:rsidRPr="004D0DAA">
              <w:t xml:space="preserve"> (1 bit field)</w:t>
            </w:r>
            <w:r w:rsidRPr="004D0DAA">
              <w:br/>
              <w:t>For description and encoding, see the Packet Uplink Assignment message. If the Assignment Type field is included and indicates 'Assignment on single carrier only' or 'Modification of existing assignment', then PR_MODE_C1 shall apply to the carrier specified in the Carrier ID field. Otherwise, PR_MODE_C1 and PR_MODE_C2 shall apply to carrier 1 and carrier 2 respectively. If the Assignment Type field indicates 'Dual Carrier assignment' and the PR_MODE_C1 IE is present but the PR_MODE_C2 IE is absent, then the PR_MODE_C1 IE shall apply also to carrier 2.</w:t>
            </w:r>
          </w:p>
          <w:p w14:paraId="696699DB" w14:textId="77777777" w:rsidR="00711444" w:rsidRPr="004D0DAA" w:rsidRDefault="00711444" w:rsidP="00AA2A4C">
            <w:r w:rsidRPr="004D0DAA">
              <w:t>For the case of a downlink carrier assigned for a DLMC configuration the assignment message shall provide the PR_MODE IE for at least the first carrier in the corresponding UFPS. If this IE is absent for any remaining carriers, the PR_MODE IE for the lowest numbered carrier (see sub-clause 8.1.1.1.3)</w:t>
            </w:r>
            <w:r w:rsidRPr="004D0DAA">
              <w:rPr>
                <w:rFonts w:cs="Calibri"/>
                <w:bCs/>
                <w:kern w:val="32"/>
                <w:szCs w:val="18"/>
              </w:rPr>
              <w:t xml:space="preserve"> </w:t>
            </w:r>
            <w:r w:rsidRPr="004D0DAA">
              <w:t>shall apply.</w:t>
            </w:r>
          </w:p>
          <w:p w14:paraId="202948B8" w14:textId="77777777" w:rsidR="00711444" w:rsidRPr="004D0DAA" w:rsidRDefault="00711444" w:rsidP="00AA2A4C">
            <w:r w:rsidRPr="004D0DAA">
              <w:rPr>
                <w:b/>
              </w:rPr>
              <w:t>Power Control Parameters, Power Control Parameters C1, Power Control Parameters C2</w:t>
            </w:r>
            <w:r w:rsidRPr="004D0DAA">
              <w:br/>
              <w:t xml:space="preserve">These information elements are coded as defined in sub-clause 12.13. </w:t>
            </w:r>
          </w:p>
          <w:p w14:paraId="6AD76C5E" w14:textId="77777777" w:rsidR="00711444" w:rsidRPr="004D0DAA" w:rsidRDefault="00711444" w:rsidP="00AA2A4C">
            <w:r w:rsidRPr="004D0DAA">
              <w:t>If the Assignment Type field is included and indicates 'Assignment on single carrier only' or 'Modification of existing assignment', then the Power Control Parameters C1 IE shall apply to the carrier specified in the Carrier ID field. If, in this case, the Power Control Parameters C1 IE is absent, then the previous parameters for that carrier shall apply.</w:t>
            </w:r>
          </w:p>
          <w:p w14:paraId="656554D2" w14:textId="77777777" w:rsidR="00711444" w:rsidRPr="004D0DAA" w:rsidRDefault="00711444" w:rsidP="00AA2A4C">
            <w:r w:rsidRPr="004D0DAA">
              <w:t>If the Assignment Type field is included and indicates 'Dual Carrier assignment' and the Power Control Parameters C1 IE is present but the Power Control Parameters C2 IE is absent, then the Power Control Parameters C1 IE shall apply also to carrier 2. Otherwise, if either Power Control Parameters C1 IE or Power Control Parameters C2 IE is absent, the previous parameters for the respective carrier(s) shall apply.</w:t>
            </w:r>
          </w:p>
          <w:p w14:paraId="7B73F419" w14:textId="77777777" w:rsidR="00711444" w:rsidRPr="004D0DAA" w:rsidRDefault="00711444" w:rsidP="00AA2A4C">
            <w:r w:rsidRPr="004D0DAA">
              <w:t>For the case of a downlink carrier assigned for a DLMC configuration the assignment message shall provide the Power Control Parameters IE for at least the first carrier in the corresponding UFPS. If this IE is absent for any remaining carriers, the Power Control Parameters IE for the lowest numbered carrier (see sub-clause 8.1.1.1.3)</w:t>
            </w:r>
            <w:r w:rsidRPr="004D0DAA">
              <w:rPr>
                <w:rFonts w:cs="Calibri"/>
                <w:bCs/>
                <w:kern w:val="32"/>
                <w:szCs w:val="18"/>
              </w:rPr>
              <w:t xml:space="preserve"> </w:t>
            </w:r>
            <w:r w:rsidRPr="004D0DAA">
              <w:t>shall apply.</w:t>
            </w:r>
          </w:p>
          <w:p w14:paraId="2A684DEE" w14:textId="77777777" w:rsidR="00711444" w:rsidRPr="004D0DAA" w:rsidRDefault="00711444" w:rsidP="00AA2A4C">
            <w:r w:rsidRPr="004D0DAA">
              <w:rPr>
                <w:b/>
              </w:rPr>
              <w:t>Frequency Parameters</w:t>
            </w:r>
            <w:r w:rsidRPr="004D0DAA">
              <w:br/>
              <w:t>This information element is defined in sub-clause 12.8.</w:t>
            </w:r>
          </w:p>
          <w:p w14:paraId="7E827E32" w14:textId="77777777" w:rsidR="00711444" w:rsidRPr="004D0DAA" w:rsidRDefault="00711444" w:rsidP="00AA2A4C">
            <w:r w:rsidRPr="004D0DAA">
              <w:rPr>
                <w:b/>
              </w:rPr>
              <w:t>Frequency Parameters</w:t>
            </w:r>
            <w:r w:rsidRPr="004D0DAA">
              <w:rPr>
                <w:rFonts w:cs="Arial"/>
                <w:b/>
                <w:bCs/>
              </w:rPr>
              <w:t xml:space="preserve"> C1, Frequency Parameters C2</w:t>
            </w:r>
            <w:r w:rsidRPr="004D0DAA">
              <w:br/>
              <w:t>These information elements are coded as defined in sub-clause 12.8.</w:t>
            </w:r>
          </w:p>
          <w:p w14:paraId="6F304317" w14:textId="77777777" w:rsidR="00711444" w:rsidRPr="004D0DAA" w:rsidRDefault="00711444" w:rsidP="00AA2A4C">
            <w:r w:rsidRPr="004D0DAA">
              <w:t>If the Assignment Type field is included and indicates 'Assignment on single carrier only' or 'Modification of existing assignment', then Frequency Parameters C1 (if present) shall apply to the carrier specified in the Carrier ID field.</w:t>
            </w:r>
          </w:p>
          <w:p w14:paraId="298ABE2C" w14:textId="77777777" w:rsidR="00711444" w:rsidRPr="004D0DAA" w:rsidRDefault="00711444" w:rsidP="00AA2A4C">
            <w:r w:rsidRPr="004D0DAA">
              <w:t xml:space="preserve">If the Assignment Type field is included and indicates 'Dual Carrier assignment', Frequency Parameters C1 and Frequency Parameters C2 (if present) assign frequency parameters for carrier 1 and carrier 2, respectively. </w:t>
            </w:r>
          </w:p>
          <w:p w14:paraId="4AAE585A" w14:textId="77777777" w:rsidR="00711444" w:rsidRPr="004D0DAA" w:rsidRDefault="00711444" w:rsidP="00AA2A4C">
            <w:pPr>
              <w:rPr>
                <w:b/>
              </w:rPr>
            </w:pPr>
            <w:r w:rsidRPr="004D0DAA">
              <w:rPr>
                <w:rFonts w:cs="Arial"/>
                <w:b/>
              </w:rPr>
              <w:t>Dual Carrier</w:t>
            </w:r>
            <w:r w:rsidRPr="004D0DAA">
              <w:rPr>
                <w:rFonts w:cs="Arial"/>
              </w:rPr>
              <w:t xml:space="preserve"> </w:t>
            </w:r>
            <w:r w:rsidRPr="004D0DAA">
              <w:rPr>
                <w:rFonts w:cs="Arial"/>
                <w:b/>
              </w:rPr>
              <w:t>Frequency Parameters</w:t>
            </w:r>
            <w:r w:rsidRPr="004D0DAA">
              <w:rPr>
                <w:rFonts w:cs="Arial"/>
                <w:b/>
              </w:rPr>
              <w:br/>
            </w:r>
            <w:r w:rsidRPr="004D0DAA">
              <w:rPr>
                <w:rFonts w:cs="Arial"/>
                <w:sz w:val="18"/>
                <w:szCs w:val="18"/>
              </w:rPr>
              <w:t>This</w:t>
            </w:r>
            <w:r w:rsidRPr="004D0DAA">
              <w:t xml:space="preserve"> information element is defined in sub-clause 12.8.2.</w:t>
            </w:r>
          </w:p>
        </w:tc>
      </w:tr>
      <w:tr w:rsidR="00711444" w:rsidRPr="004D0DAA" w14:paraId="5D8412A3" w14:textId="77777777" w:rsidTr="00AA2A4C">
        <w:tblPrEx>
          <w:tblCellMar>
            <w:top w:w="0" w:type="dxa"/>
            <w:bottom w:w="0" w:type="dxa"/>
          </w:tblCellMar>
        </w:tblPrEx>
        <w:trPr>
          <w:cantSplit/>
        </w:trPr>
        <w:tc>
          <w:tcPr>
            <w:tcW w:w="9848" w:type="dxa"/>
          </w:tcPr>
          <w:p w14:paraId="612EAE76" w14:textId="77777777" w:rsidR="00711444" w:rsidRPr="004D0DAA" w:rsidRDefault="00711444" w:rsidP="00AA2A4C">
            <w:r w:rsidRPr="004D0DAA">
              <w:rPr>
                <w:b/>
              </w:rPr>
              <w:lastRenderedPageBreak/>
              <w:t xml:space="preserve">DOWNLINK_TFI_ASSIGNMENT </w:t>
            </w:r>
            <w:r w:rsidRPr="004D0DAA">
              <w:t>(5 bit field)</w:t>
            </w:r>
            <w:r w:rsidRPr="004D0DAA">
              <w:br/>
              <w:t>This information element, if present, assigns the TFI to the mobile station to identify the downlink TBF described by this message. TFI is encoded as defined in sub-clause 12.15. If EMST is used, each TFI identifies an RLC entity allocated on the downlink TBF. If EMSR is supported, each TFI identifies a Packet Flow Context supported by a specific RLC entity allocated on the downlink TBF.</w:t>
            </w:r>
          </w:p>
          <w:p w14:paraId="56E7D58F" w14:textId="77777777" w:rsidR="00711444" w:rsidRPr="004D0DAA" w:rsidRDefault="00711444" w:rsidP="00AA2A4C">
            <w:r w:rsidRPr="004D0DAA">
              <w:t>If a DLMC configuration is established, the assignment message shall provide the DOWNLINK_TFI_ASSIGNMENT IE for at least the first carrier in the corresponding UFPS. If this IE is absent for any remaining carriers, the DOWNLINK_TFI_ASSIGNMENT IE for the first carrier in the first UFPS shall apply.</w:t>
            </w:r>
          </w:p>
          <w:p w14:paraId="16F8AFFC" w14:textId="77777777" w:rsidR="00711444" w:rsidRPr="004D0DAA" w:rsidRDefault="00711444" w:rsidP="00AA2A4C">
            <w:pPr>
              <w:rPr>
                <w:b/>
              </w:rPr>
            </w:pPr>
            <w:r w:rsidRPr="004D0DAA">
              <w:rPr>
                <w:b/>
              </w:rPr>
              <w:t>TBF Starting Time</w:t>
            </w:r>
            <w:r w:rsidRPr="004D0DAA">
              <w:br/>
              <w:t>The TBF Starting Time field contains a starting time that indicates the TDMA frame number during which the assigned TBF may start. If no downlink TBF is in progress, the mobile station need not monitor the TFI field of downlink RLC data blocks until the indicated TDMA frame number. After the indicated TDMA frame number, the mobile station shall operate as during a downlink TBF. If a downlink TBF is already in progress, the mobile station shall continue to use the parameters of the existing TBF until the TDMA frame number occurs. When the indicated TDMA frame number occurs, the mobile station shall immediately begin to use the new parameters assigned. This information element is defined in sub-clause 12.21.</w:t>
            </w:r>
          </w:p>
        </w:tc>
      </w:tr>
      <w:tr w:rsidR="00711444" w:rsidRPr="004D0DAA" w14:paraId="60026B02" w14:textId="77777777" w:rsidTr="00AA2A4C">
        <w:tblPrEx>
          <w:tblCellMar>
            <w:top w:w="0" w:type="dxa"/>
            <w:bottom w:w="0" w:type="dxa"/>
          </w:tblCellMar>
        </w:tblPrEx>
        <w:trPr>
          <w:cantSplit/>
        </w:trPr>
        <w:tc>
          <w:tcPr>
            <w:tcW w:w="9848" w:type="dxa"/>
          </w:tcPr>
          <w:p w14:paraId="2ECBEAFB" w14:textId="77777777" w:rsidR="00711444" w:rsidRPr="004D0DAA" w:rsidRDefault="00711444" w:rsidP="00AA2A4C">
            <w:pPr>
              <w:rPr>
                <w:b/>
              </w:rPr>
            </w:pPr>
            <w:r w:rsidRPr="004D0DAA">
              <w:rPr>
                <w:b/>
              </w:rPr>
              <w:t>EGPRS Window Size</w:t>
            </w:r>
            <w:r w:rsidRPr="004D0DAA">
              <w:br/>
              <w:t>This information element is defined in sub-clause 12.5.2.</w:t>
            </w:r>
          </w:p>
        </w:tc>
      </w:tr>
      <w:tr w:rsidR="00711444" w:rsidRPr="004D0DAA" w14:paraId="515FCF7D" w14:textId="77777777" w:rsidTr="00AA2A4C">
        <w:tblPrEx>
          <w:tblCellMar>
            <w:top w:w="0" w:type="dxa"/>
            <w:bottom w:w="0" w:type="dxa"/>
          </w:tblCellMar>
        </w:tblPrEx>
        <w:trPr>
          <w:cantSplit/>
        </w:trPr>
        <w:tc>
          <w:tcPr>
            <w:tcW w:w="9848" w:type="dxa"/>
          </w:tcPr>
          <w:p w14:paraId="57D02509" w14:textId="77777777" w:rsidR="00711444" w:rsidRPr="004D0DAA" w:rsidRDefault="00711444" w:rsidP="00AA2A4C">
            <w:pPr>
              <w:spacing w:after="0"/>
            </w:pPr>
            <w:r w:rsidRPr="004D0DAA">
              <w:rPr>
                <w:b/>
              </w:rPr>
              <w:lastRenderedPageBreak/>
              <w:t>LINK_QUALITY_MEASUREMENT_MODE</w:t>
            </w:r>
            <w:r w:rsidRPr="004D0DAA">
              <w:t xml:space="preserve"> (2 bit field)</w:t>
            </w:r>
          </w:p>
          <w:p w14:paraId="6729A707" w14:textId="77777777" w:rsidR="00711444" w:rsidRPr="004D0DAA" w:rsidRDefault="00711444" w:rsidP="00AA2A4C">
            <w:pPr>
              <w:spacing w:after="0"/>
            </w:pPr>
            <w:r w:rsidRPr="004D0DAA">
              <w:t>This field determines the measurements to be included within the EGPRS Timeslot Link Quality Measurements IE or EGPRS Timeslot Link Quality Measurements Type 2 IE. In case the assignment results in a dual carrier configuration, the value of the LINK_QUALITY_MEASUREMENT_MODE field shall apply to both carriers. In case the assignment results in a DLMC configuration, the value of the LINK_QUALITY_MEASUREMENT_MODE field shall apply to all carriers.</w:t>
            </w:r>
          </w:p>
          <w:p w14:paraId="43F9B2CD" w14:textId="77777777" w:rsidR="00711444" w:rsidRPr="004D0DAA" w:rsidRDefault="00711444" w:rsidP="00AA2A4C">
            <w:pPr>
              <w:spacing w:after="0"/>
            </w:pPr>
          </w:p>
          <w:p w14:paraId="5D4D3498" w14:textId="77777777" w:rsidR="00711444" w:rsidRPr="004D0DAA" w:rsidRDefault="00711444" w:rsidP="00AA2A4C">
            <w:pPr>
              <w:spacing w:after="0"/>
              <w:ind w:left="567" w:hanging="567"/>
            </w:pPr>
            <w:r w:rsidRPr="004D0DAA">
              <w:t>bit</w:t>
            </w:r>
          </w:p>
          <w:p w14:paraId="75E7880D" w14:textId="77777777" w:rsidR="00711444" w:rsidRPr="004D0DAA" w:rsidRDefault="00711444" w:rsidP="00AA2A4C">
            <w:pPr>
              <w:spacing w:after="0"/>
              <w:ind w:left="567" w:hanging="567"/>
            </w:pPr>
            <w:r w:rsidRPr="004D0DAA">
              <w:t>2 1</w:t>
            </w:r>
          </w:p>
          <w:p w14:paraId="4E5B5CF3" w14:textId="77777777" w:rsidR="00711444" w:rsidRPr="004D0DAA" w:rsidRDefault="00711444" w:rsidP="00AA2A4C">
            <w:pPr>
              <w:spacing w:after="0"/>
              <w:ind w:left="567" w:hanging="567"/>
            </w:pPr>
            <w:r w:rsidRPr="004D0DAA">
              <w:t>0 0</w:t>
            </w:r>
            <w:r w:rsidRPr="004D0DAA">
              <w:tab/>
              <w:t xml:space="preserve">The </w:t>
            </w:r>
            <w:r w:rsidRPr="004D0DAA">
              <w:rPr>
                <w:rFonts w:hint="eastAsia"/>
                <w:lang w:eastAsia="ko-KR"/>
              </w:rPr>
              <w:t>mobile station</w:t>
            </w:r>
            <w:r w:rsidRPr="004D0DAA">
              <w:t xml:space="preserve"> shall not report either interference measurements (</w:t>
            </w:r>
            <w:r w:rsidRPr="004D0DAA">
              <w:rPr>
                <w:rFonts w:ascii="Symbol" w:hAnsi="Symbol"/>
              </w:rPr>
              <w:t></w:t>
            </w:r>
            <w:r w:rsidRPr="004D0DAA">
              <w:t xml:space="preserve"> values) or per slot</w:t>
            </w:r>
            <w:r w:rsidRPr="004D0DAA">
              <w:rPr>
                <w:rFonts w:hint="eastAsia"/>
                <w:lang w:eastAsia="zh-CN"/>
              </w:rPr>
              <w:t xml:space="preserve"> </w:t>
            </w:r>
            <w:r w:rsidRPr="004D0DAA">
              <w:rPr>
                <w:lang w:eastAsia="zh-CN"/>
              </w:rPr>
              <w:t>(</w:t>
            </w:r>
            <w:r w:rsidRPr="004D0DAA">
              <w:rPr>
                <w:rFonts w:hint="eastAsia"/>
                <w:lang w:eastAsia="zh-CN"/>
              </w:rPr>
              <w:t>slot pair in RTTI configuration)</w:t>
            </w:r>
            <w:r w:rsidRPr="004D0DAA">
              <w:t xml:space="preserve"> mean BEP measurements.</w:t>
            </w:r>
          </w:p>
          <w:p w14:paraId="2209A46E" w14:textId="77777777" w:rsidR="00711444" w:rsidRPr="004D0DAA" w:rsidRDefault="00711444" w:rsidP="00AA2A4C">
            <w:pPr>
              <w:spacing w:after="0"/>
              <w:ind w:left="567" w:hanging="567"/>
            </w:pPr>
          </w:p>
          <w:p w14:paraId="66F5D4BE" w14:textId="77777777" w:rsidR="00711444" w:rsidRPr="004D0DAA" w:rsidRDefault="00711444" w:rsidP="00AA2A4C">
            <w:pPr>
              <w:spacing w:after="0"/>
              <w:ind w:left="567" w:hanging="567"/>
            </w:pPr>
            <w:r w:rsidRPr="004D0DAA">
              <w:t>0 1</w:t>
            </w:r>
            <w:r w:rsidRPr="004D0DAA">
              <w:tab/>
              <w:t xml:space="preserve">The </w:t>
            </w:r>
            <w:r w:rsidRPr="004D0DAA">
              <w:rPr>
                <w:rFonts w:hint="eastAsia"/>
                <w:lang w:eastAsia="ko-KR"/>
              </w:rPr>
              <w:t>mobile station</w:t>
            </w:r>
            <w:r w:rsidRPr="004D0DAA">
              <w:t xml:space="preserve"> shall report available interference measurements (</w:t>
            </w:r>
            <w:r w:rsidRPr="004D0DAA">
              <w:rPr>
                <w:rFonts w:ascii="Symbol" w:hAnsi="Symbol"/>
              </w:rPr>
              <w:t></w:t>
            </w:r>
            <w:r w:rsidRPr="004D0DAA">
              <w:t xml:space="preserve"> values) for timeslots 0 through 7. The </w:t>
            </w:r>
            <w:r w:rsidRPr="004D0DAA">
              <w:rPr>
                <w:rFonts w:ascii="Symbol" w:hAnsi="Symbol"/>
              </w:rPr>
              <w:t></w:t>
            </w:r>
            <w:r w:rsidRPr="004D0DAA">
              <w:t xml:space="preserve"> value is defined in 3GPP TS 45.008. No per slot</w:t>
            </w:r>
            <w:r w:rsidRPr="004D0DAA">
              <w:rPr>
                <w:rFonts w:hint="eastAsia"/>
                <w:lang w:eastAsia="zh-CN"/>
              </w:rPr>
              <w:t xml:space="preserve"> </w:t>
            </w:r>
            <w:r w:rsidRPr="004D0DAA">
              <w:rPr>
                <w:lang w:eastAsia="zh-CN"/>
              </w:rPr>
              <w:t>(</w:t>
            </w:r>
            <w:r w:rsidRPr="004D0DAA">
              <w:rPr>
                <w:rFonts w:hint="eastAsia"/>
                <w:lang w:eastAsia="zh-CN"/>
              </w:rPr>
              <w:t>slot pair in RTTI configuration)</w:t>
            </w:r>
            <w:r w:rsidRPr="004D0DAA">
              <w:t xml:space="preserve"> mean BEP measurements shall be reported.</w:t>
            </w:r>
          </w:p>
          <w:p w14:paraId="7FEF737B" w14:textId="77777777" w:rsidR="00711444" w:rsidRPr="004D0DAA" w:rsidRDefault="00711444" w:rsidP="00AA2A4C">
            <w:pPr>
              <w:spacing w:after="0"/>
              <w:ind w:left="567" w:hanging="567"/>
            </w:pPr>
          </w:p>
          <w:p w14:paraId="202E3C8F" w14:textId="77777777" w:rsidR="00711444" w:rsidRPr="004D0DAA" w:rsidRDefault="00711444" w:rsidP="00AA2A4C">
            <w:pPr>
              <w:spacing w:after="0"/>
              <w:ind w:left="540"/>
            </w:pPr>
            <w:r w:rsidRPr="004D0DAA">
              <w:t>For a mobile station in a DLMC configuration, available interference measurements shall be reported for timeslots 0 through 7 for the carrier indicated by the assignment message or the lowest numbered downlink carrier if carrier information for interference measurements is not provided by the assignment message (see sub-clause 12.66 for additional reporting rules).</w:t>
            </w:r>
          </w:p>
          <w:p w14:paraId="28D5EBA1" w14:textId="77777777" w:rsidR="00711444" w:rsidRPr="004D0DAA" w:rsidRDefault="00711444" w:rsidP="00AA2A4C">
            <w:pPr>
              <w:spacing w:after="0"/>
              <w:ind w:left="567" w:hanging="567"/>
            </w:pPr>
          </w:p>
          <w:p w14:paraId="31BD4360" w14:textId="77777777" w:rsidR="00711444" w:rsidRPr="004D0DAA" w:rsidRDefault="00711444" w:rsidP="00AA2A4C">
            <w:pPr>
              <w:spacing w:after="0"/>
              <w:ind w:left="567" w:hanging="567"/>
            </w:pPr>
            <w:r w:rsidRPr="004D0DAA">
              <w:t>1 0</w:t>
            </w:r>
            <w:r w:rsidRPr="004D0DAA">
              <w:tab/>
              <w:t xml:space="preserve">The </w:t>
            </w:r>
            <w:r w:rsidRPr="004D0DAA">
              <w:rPr>
                <w:rFonts w:hint="eastAsia"/>
                <w:lang w:eastAsia="ko-KR"/>
              </w:rPr>
              <w:t>mobile station</w:t>
            </w:r>
            <w:r w:rsidRPr="004D0DAA">
              <w:t xml:space="preserve"> shall report </w:t>
            </w:r>
            <w:r w:rsidRPr="004D0DAA">
              <w:rPr>
                <w:rFonts w:hint="eastAsia"/>
                <w:lang w:eastAsia="ko-KR"/>
              </w:rPr>
              <w:t xml:space="preserve">the </w:t>
            </w:r>
            <w:r w:rsidRPr="004D0DAA">
              <w:t>mean BEP on each assigned time slot</w:t>
            </w:r>
            <w:r w:rsidRPr="004D0DAA">
              <w:rPr>
                <w:rFonts w:hint="eastAsia"/>
                <w:lang w:eastAsia="zh-CN"/>
              </w:rPr>
              <w:t xml:space="preserve"> </w:t>
            </w:r>
            <w:r w:rsidRPr="004D0DAA">
              <w:rPr>
                <w:lang w:eastAsia="zh-CN"/>
              </w:rPr>
              <w:t>(</w:t>
            </w:r>
            <w:r w:rsidRPr="004D0DAA">
              <w:rPr>
                <w:rFonts w:hint="eastAsia"/>
                <w:lang w:eastAsia="zh-CN"/>
              </w:rPr>
              <w:t>slot pair in RTTI configuration)</w:t>
            </w:r>
            <w:r w:rsidRPr="004D0DAA">
              <w:rPr>
                <w:lang w:eastAsia="zh-CN"/>
              </w:rPr>
              <w:t xml:space="preserve"> as specified in 3GPP TS 45.008</w:t>
            </w:r>
            <w:r w:rsidRPr="004D0DAA">
              <w:t>. No interference measurements (</w:t>
            </w:r>
            <w:r w:rsidRPr="004D0DAA">
              <w:rPr>
                <w:rFonts w:ascii="Symbol" w:hAnsi="Symbol"/>
              </w:rPr>
              <w:t></w:t>
            </w:r>
            <w:r w:rsidRPr="004D0DAA">
              <w:t xml:space="preserve"> values) shall be reported. For a mobile station in a DLMC configuration where measurement information is to be reported on a per carrier basis (see sub-clause 11.2.7), the mean BEP (</w:t>
            </w:r>
            <w:r w:rsidRPr="004D0DAA">
              <w:rPr>
                <w:lang w:eastAsia="zh-CN"/>
              </w:rPr>
              <w:t xml:space="preserve">as specified in 3GPP TS 45.008) shall only be reported </w:t>
            </w:r>
            <w:r w:rsidRPr="004D0DAA">
              <w:t xml:space="preserve">for the assigned timeslots on the carrier on which it was polled (see sub-clause 12.66). A mobile station in a DLMC configuration where measurement information is to be reported on a per UFPS basis (see sub-clause 9.1.8.2.1) shall treat this code point as the ‘00’ code point. </w:t>
            </w:r>
          </w:p>
          <w:p w14:paraId="44CE8314" w14:textId="77777777" w:rsidR="00711444" w:rsidRPr="004D0DAA" w:rsidRDefault="00711444" w:rsidP="00AA2A4C">
            <w:pPr>
              <w:spacing w:after="0"/>
              <w:ind w:left="567" w:hanging="567"/>
            </w:pPr>
          </w:p>
          <w:p w14:paraId="418781DD" w14:textId="77777777" w:rsidR="00711444" w:rsidRPr="004D0DAA" w:rsidRDefault="00711444" w:rsidP="00AA2A4C">
            <w:pPr>
              <w:spacing w:after="0"/>
              <w:ind w:left="567" w:hanging="567"/>
            </w:pPr>
            <w:r w:rsidRPr="004D0DAA">
              <w:t>1 1</w:t>
            </w:r>
            <w:r w:rsidRPr="004D0DAA">
              <w:tab/>
              <w:t xml:space="preserve">The </w:t>
            </w:r>
            <w:r w:rsidRPr="004D0DAA">
              <w:rPr>
                <w:rFonts w:hint="eastAsia"/>
                <w:lang w:eastAsia="ko-KR"/>
              </w:rPr>
              <w:t>mobile station</w:t>
            </w:r>
            <w:r w:rsidRPr="004D0DAA">
              <w:t xml:space="preserve"> shall report </w:t>
            </w:r>
            <w:r w:rsidRPr="004D0DAA">
              <w:rPr>
                <w:rFonts w:hint="eastAsia"/>
                <w:lang w:eastAsia="ko-KR"/>
              </w:rPr>
              <w:t xml:space="preserve">the </w:t>
            </w:r>
            <w:r w:rsidRPr="004D0DAA">
              <w:t xml:space="preserve">mean BEP on each assigned time slot </w:t>
            </w:r>
            <w:r w:rsidRPr="004D0DAA">
              <w:rPr>
                <w:lang w:eastAsia="zh-CN"/>
              </w:rPr>
              <w:t>(</w:t>
            </w:r>
            <w:r w:rsidRPr="004D0DAA">
              <w:rPr>
                <w:rFonts w:hint="eastAsia"/>
                <w:lang w:eastAsia="zh-CN"/>
              </w:rPr>
              <w:t>slot pair in RTTI configuration)</w:t>
            </w:r>
            <w:r w:rsidRPr="004D0DAA">
              <w:rPr>
                <w:lang w:eastAsia="zh-CN"/>
              </w:rPr>
              <w:t xml:space="preserve"> as specified in 3GPP TS 45.008</w:t>
            </w:r>
            <w:r w:rsidRPr="004D0DAA">
              <w:t xml:space="preserve">. In addition to mean BEP, the </w:t>
            </w:r>
            <w:r w:rsidRPr="004D0DAA">
              <w:rPr>
                <w:rFonts w:hint="eastAsia"/>
                <w:lang w:eastAsia="ko-KR"/>
              </w:rPr>
              <w:t>mobile station</w:t>
            </w:r>
            <w:r w:rsidRPr="004D0DAA">
              <w:t xml:space="preserve"> shall report interference measurements (</w:t>
            </w:r>
            <w:r w:rsidRPr="004D0DAA">
              <w:rPr>
                <w:rFonts w:ascii="Symbol" w:hAnsi="Symbol"/>
              </w:rPr>
              <w:t></w:t>
            </w:r>
            <w:r w:rsidRPr="004D0DAA">
              <w:t xml:space="preserve"> values) for no more than four time slots for a given carrier within a single reporting message instance. If the MS has interference measurements for more than four timeslots to report for a given carrier, the selection of timeslots for which interference measurements are included in each message instance is implementation specific, subject to the requirement that a measurement for each time slot on each carrier, unless not available (see 3GPP TS 45.008), is included in at least every other report. </w:t>
            </w:r>
          </w:p>
          <w:p w14:paraId="068DCED6" w14:textId="77777777" w:rsidR="00711444" w:rsidRPr="004D0DAA" w:rsidRDefault="00711444" w:rsidP="00AA2A4C">
            <w:pPr>
              <w:spacing w:after="0"/>
              <w:ind w:left="567" w:hanging="567"/>
            </w:pPr>
          </w:p>
          <w:p w14:paraId="0944892A" w14:textId="77777777" w:rsidR="00711444" w:rsidRPr="004D0DAA" w:rsidRDefault="00711444" w:rsidP="00AA2A4C">
            <w:pPr>
              <w:spacing w:after="0"/>
              <w:ind w:left="540"/>
            </w:pPr>
            <w:r w:rsidRPr="004D0DAA">
              <w:t xml:space="preserve">For a mobile station in a DLMC configuration, available interference measurements shall be reported for timeslots 0 through 7 for the carrier indicated by the assignment message or the lowest numbered downlink carrier if carrier information for interference measurements is not provided by the assignment message (see sub-clause 12.66 for additional reporting rules). If measurement information is to be reported on a per carrier basis (see sub-clause 11.2.7), the mean BEP (as specified in 3GPP TS 45.008) </w:t>
            </w:r>
            <w:r w:rsidRPr="004D0DAA">
              <w:rPr>
                <w:lang w:eastAsia="zh-CN"/>
              </w:rPr>
              <w:t xml:space="preserve">shall only be reported </w:t>
            </w:r>
            <w:r w:rsidRPr="004D0DAA">
              <w:t>for the assigned timeslots on the carrier on which it was polled (see sub-clause 12.66). A mobile station in a DLMC configuration where measurement information is to be reported on a per UFPS basis (see sub-clause 9.1.8.2.1) shall treat this code point as the ‘01’ code point.</w:t>
            </w:r>
          </w:p>
          <w:p w14:paraId="254EC42F" w14:textId="77777777" w:rsidR="00711444" w:rsidRPr="004D0DAA" w:rsidRDefault="00711444" w:rsidP="00AA2A4C">
            <w:pPr>
              <w:spacing w:after="0"/>
              <w:ind w:left="567" w:hanging="567"/>
            </w:pPr>
          </w:p>
          <w:p w14:paraId="59C91431" w14:textId="77777777" w:rsidR="00711444" w:rsidRPr="004D0DAA" w:rsidRDefault="00711444" w:rsidP="00AA2A4C">
            <w:pPr>
              <w:spacing w:after="0"/>
              <w:ind w:left="567" w:hanging="567"/>
            </w:pPr>
            <w:r w:rsidRPr="004D0DAA">
              <w:tab/>
              <w:t>In addition, for a mobile station assigned a Downlink Dual Carrier configuration, if not all the required interference measurements can be included within a reporting message instance after all the required per slot mean BEP values for both carriers have been included, the mobile station shall include as many interference measurements (if any) as can fit in this message instance. The selection of timeslots for which interference measurements are included in each message instance is implementation specific. See sub-clause 9.1.8.2.1 for how a mobile station in a DLMC configuration can report information for more than one UFPS/carrier.</w:t>
            </w:r>
          </w:p>
          <w:p w14:paraId="121882D5" w14:textId="77777777" w:rsidR="00711444" w:rsidRPr="004D0DAA" w:rsidRDefault="00711444" w:rsidP="00AA2A4C">
            <w:pPr>
              <w:spacing w:after="0"/>
              <w:ind w:left="567" w:hanging="567"/>
            </w:pPr>
          </w:p>
        </w:tc>
      </w:tr>
      <w:tr w:rsidR="00711444" w:rsidRPr="004D0DAA" w14:paraId="742B4D5D" w14:textId="77777777" w:rsidTr="00AA2A4C">
        <w:tblPrEx>
          <w:tblCellMar>
            <w:top w:w="0" w:type="dxa"/>
            <w:bottom w:w="0" w:type="dxa"/>
          </w:tblCellMar>
        </w:tblPrEx>
        <w:trPr>
          <w:cantSplit/>
        </w:trPr>
        <w:tc>
          <w:tcPr>
            <w:tcW w:w="9848" w:type="dxa"/>
          </w:tcPr>
          <w:p w14:paraId="63A7CB65" w14:textId="77777777" w:rsidR="00711444" w:rsidRPr="004D0DAA" w:rsidRDefault="00711444" w:rsidP="00AA2A4C">
            <w:r w:rsidRPr="004D0DAA">
              <w:rPr>
                <w:b/>
              </w:rPr>
              <w:t>Packet Extended Timing Advance</w:t>
            </w:r>
            <w:r w:rsidRPr="004D0DAA">
              <w:t xml:space="preserve"> (2 bit field)</w:t>
            </w:r>
            <w:r w:rsidRPr="004D0DAA">
              <w:rPr>
                <w:b/>
              </w:rPr>
              <w:t xml:space="preserve"> </w:t>
            </w:r>
            <w:r w:rsidRPr="004D0DAA">
              <w:rPr>
                <w:b/>
              </w:rPr>
              <w:br/>
            </w:r>
            <w:r w:rsidRPr="004D0DAA">
              <w:t>This field is defined in sub-clause 12.12b.</w:t>
            </w:r>
          </w:p>
          <w:p w14:paraId="3732CB7E" w14:textId="77777777" w:rsidR="00711444" w:rsidRPr="004D0DAA" w:rsidRDefault="00711444" w:rsidP="00AA2A4C">
            <w:pPr>
              <w:spacing w:after="0"/>
              <w:rPr>
                <w:b/>
              </w:rPr>
            </w:pPr>
            <w:r w:rsidRPr="004D0DAA">
              <w:rPr>
                <w:b/>
              </w:rPr>
              <w:t>COMPACT reduced MA</w:t>
            </w:r>
          </w:p>
          <w:p w14:paraId="32B56688" w14:textId="77777777" w:rsidR="00711444" w:rsidRPr="004D0DAA" w:rsidRDefault="00711444" w:rsidP="00AA2A4C">
            <w:pPr>
              <w:rPr>
                <w:b/>
              </w:rPr>
            </w:pPr>
            <w:r w:rsidRPr="004D0DAA">
              <w:t>This information element is defined in sub-clause 12.29.</w:t>
            </w:r>
          </w:p>
        </w:tc>
      </w:tr>
      <w:tr w:rsidR="00711444" w:rsidRPr="004D0DAA" w14:paraId="7493FCDA" w14:textId="77777777" w:rsidTr="00AA2A4C">
        <w:tblPrEx>
          <w:tblCellMar>
            <w:top w:w="0" w:type="dxa"/>
            <w:bottom w:w="0" w:type="dxa"/>
          </w:tblCellMar>
        </w:tblPrEx>
        <w:trPr>
          <w:cantSplit/>
        </w:trPr>
        <w:tc>
          <w:tcPr>
            <w:tcW w:w="9848" w:type="dxa"/>
          </w:tcPr>
          <w:p w14:paraId="3C43E072" w14:textId="77777777" w:rsidR="00711444" w:rsidRPr="004D0DAA" w:rsidRDefault="00711444" w:rsidP="00AA2A4C">
            <w:pPr>
              <w:spacing w:after="0"/>
            </w:pPr>
            <w:r w:rsidRPr="004D0DAA">
              <w:rPr>
                <w:b/>
              </w:rPr>
              <w:lastRenderedPageBreak/>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13065267" w14:textId="77777777" w:rsidR="00711444" w:rsidRPr="004D0DAA" w:rsidRDefault="00711444" w:rsidP="00AA2A4C">
            <w:r w:rsidRPr="004D0DAA">
              <w:t>Range: 0 to 15</w:t>
            </w:r>
          </w:p>
        </w:tc>
      </w:tr>
      <w:tr w:rsidR="00711444" w:rsidRPr="004D0DAA" w14:paraId="69645F35" w14:textId="77777777" w:rsidTr="00AA2A4C">
        <w:tblPrEx>
          <w:tblCellMar>
            <w:top w:w="0" w:type="dxa"/>
            <w:bottom w:w="0" w:type="dxa"/>
          </w:tblCellMar>
        </w:tblPrEx>
        <w:trPr>
          <w:cantSplit/>
        </w:trPr>
        <w:tc>
          <w:tcPr>
            <w:tcW w:w="9848" w:type="dxa"/>
          </w:tcPr>
          <w:p w14:paraId="6C582351" w14:textId="77777777" w:rsidR="00711444" w:rsidRPr="004D0DAA" w:rsidRDefault="00711444" w:rsidP="00AA2A4C">
            <w:r w:rsidRPr="004D0DAA">
              <w:rPr>
                <w:b/>
                <w:bCs/>
                <w:iCs/>
              </w:rPr>
              <w:t>RB Id</w:t>
            </w:r>
            <w:r w:rsidRPr="004D0DAA">
              <w:rPr>
                <w:iCs/>
              </w:rPr>
              <w:t xml:space="preserve"> </w:t>
            </w:r>
            <w:r w:rsidRPr="004D0DAA">
              <w:t>(5 bit field)</w:t>
            </w:r>
          </w:p>
          <w:p w14:paraId="0C4FB877" w14:textId="77777777" w:rsidR="00711444" w:rsidRPr="004D0DAA" w:rsidRDefault="00711444" w:rsidP="00AA2A4C">
            <w:pPr>
              <w:spacing w:after="0"/>
              <w:rPr>
                <w:b/>
              </w:rPr>
            </w:pPr>
            <w:r w:rsidRPr="004D0DAA">
              <w:t>This field is included in Iu mode when a TBF is assigned. It contains the radio bearer identifier for the radio bearer using the assigned TBF.</w:t>
            </w:r>
          </w:p>
        </w:tc>
      </w:tr>
      <w:tr w:rsidR="00711444" w:rsidRPr="004D0DAA" w14:paraId="3FE94315" w14:textId="77777777" w:rsidTr="00AA2A4C">
        <w:tblPrEx>
          <w:tblCellMar>
            <w:top w:w="0" w:type="dxa"/>
            <w:bottom w:w="0" w:type="dxa"/>
          </w:tblCellMar>
        </w:tblPrEx>
        <w:trPr>
          <w:cantSplit/>
        </w:trPr>
        <w:tc>
          <w:tcPr>
            <w:tcW w:w="9848" w:type="dxa"/>
          </w:tcPr>
          <w:p w14:paraId="4AA55403" w14:textId="77777777" w:rsidR="00711444" w:rsidRPr="004D0DAA" w:rsidRDefault="00711444" w:rsidP="00AA2A4C">
            <w:pPr>
              <w:spacing w:after="60"/>
            </w:pPr>
            <w:r w:rsidRPr="004D0DAA">
              <w:rPr>
                <w:b/>
                <w:bCs/>
              </w:rPr>
              <w:t xml:space="preserve">G-RNTI extension </w:t>
            </w:r>
            <w:r w:rsidRPr="004D0DAA">
              <w:t>(4 bit field)</w:t>
            </w:r>
          </w:p>
          <w:p w14:paraId="4394D62D" w14:textId="77777777" w:rsidR="00711444" w:rsidRPr="004D0DAA" w:rsidRDefault="00711444" w:rsidP="00AA2A4C">
            <w:pPr>
              <w:spacing w:after="0"/>
              <w:rPr>
                <w:b/>
              </w:rPr>
            </w:pPr>
            <w:r w:rsidRPr="004D0DAA">
              <w:t>This field contains the extra 4 bits of the G-RNTI not included in the TLLI / G-RNTI field which are necessary to provide a unique identifier for contention resolution in Iu-mode.</w:t>
            </w:r>
          </w:p>
        </w:tc>
      </w:tr>
      <w:tr w:rsidR="00711444" w:rsidRPr="004D0DAA" w14:paraId="619D86FB" w14:textId="77777777" w:rsidTr="00AA2A4C">
        <w:tblPrEx>
          <w:tblCellMar>
            <w:top w:w="0" w:type="dxa"/>
            <w:bottom w:w="0" w:type="dxa"/>
          </w:tblCellMar>
        </w:tblPrEx>
        <w:trPr>
          <w:cantSplit/>
        </w:trPr>
        <w:tc>
          <w:tcPr>
            <w:tcW w:w="9848" w:type="dxa"/>
          </w:tcPr>
          <w:p w14:paraId="72BF4216" w14:textId="77777777" w:rsidR="00711444" w:rsidRPr="004D0DAA" w:rsidRDefault="00711444" w:rsidP="00AA2A4C">
            <w:pPr>
              <w:spacing w:after="0"/>
              <w:rPr>
                <w:bCs/>
              </w:rPr>
            </w:pPr>
            <w:r w:rsidRPr="004D0DAA">
              <w:rPr>
                <w:b/>
              </w:rPr>
              <w:t xml:space="preserve">Uplink Control Timeslot </w:t>
            </w:r>
            <w:r w:rsidRPr="004D0DAA">
              <w:rPr>
                <w:bCs/>
              </w:rPr>
              <w:t>(3 bit field)</w:t>
            </w:r>
          </w:p>
          <w:p w14:paraId="2E572E72" w14:textId="77777777" w:rsidR="00711444" w:rsidRPr="004D0DAA" w:rsidRDefault="00711444" w:rsidP="00AA2A4C">
            <w:pPr>
              <w:rPr>
                <w:b/>
                <w:bCs/>
                <w:iCs/>
              </w:rPr>
            </w:pPr>
            <w:r w:rsidRPr="004D0DAA">
              <w:rPr>
                <w:bCs/>
              </w:rPr>
              <w:t>This field contains the timeslot number of the timeslot where the PACCH for the MS is located. It is encoded as the binary representation of the timeslot number as defined in 3GPP TS 45.002.</w:t>
            </w:r>
          </w:p>
        </w:tc>
      </w:tr>
      <w:tr w:rsidR="00711444" w:rsidRPr="004D0DAA" w14:paraId="7380AC06" w14:textId="77777777" w:rsidTr="00AA2A4C">
        <w:tblPrEx>
          <w:tblCellMar>
            <w:top w:w="0" w:type="dxa"/>
            <w:bottom w:w="0" w:type="dxa"/>
          </w:tblCellMar>
        </w:tblPrEx>
        <w:trPr>
          <w:cantSplit/>
        </w:trPr>
        <w:tc>
          <w:tcPr>
            <w:tcW w:w="9848" w:type="dxa"/>
          </w:tcPr>
          <w:p w14:paraId="73503488" w14:textId="77777777" w:rsidR="00711444" w:rsidRPr="004D0DAA" w:rsidRDefault="00711444" w:rsidP="00AA2A4C">
            <w:pPr>
              <w:spacing w:after="0"/>
              <w:rPr>
                <w:bCs/>
              </w:rPr>
            </w:pPr>
            <w:r w:rsidRPr="004D0DAA">
              <w:rPr>
                <w:b/>
              </w:rPr>
              <w:t>HFN_LSB</w:t>
            </w:r>
            <w:r w:rsidRPr="004D0DAA">
              <w:rPr>
                <w:bCs/>
              </w:rPr>
              <w:t xml:space="preserve"> (1 bit field)</w:t>
            </w:r>
          </w:p>
          <w:p w14:paraId="66FC2E14" w14:textId="77777777" w:rsidR="00711444" w:rsidRPr="004D0DAA" w:rsidRDefault="00711444" w:rsidP="00AA2A4C">
            <w:r w:rsidRPr="004D0DAA">
              <w:t xml:space="preserve">This field contains the least significant bit of the downlink HFN of the radio bearer for which the TBF is assigned. It is used in </w:t>
            </w:r>
            <w:r w:rsidRPr="004D0DAA">
              <w:rPr>
                <w:i/>
                <w:iCs/>
              </w:rPr>
              <w:t>Iu mode</w:t>
            </w:r>
            <w:r w:rsidRPr="004D0DAA">
              <w:t xml:space="preserve"> only.</w:t>
            </w:r>
          </w:p>
        </w:tc>
      </w:tr>
      <w:tr w:rsidR="00711444" w:rsidRPr="004D0DAA" w14:paraId="1D41BD2E" w14:textId="77777777" w:rsidTr="00AA2A4C">
        <w:tblPrEx>
          <w:tblCellMar>
            <w:top w:w="0" w:type="dxa"/>
            <w:bottom w:w="0" w:type="dxa"/>
          </w:tblCellMar>
        </w:tblPrEx>
        <w:trPr>
          <w:cantSplit/>
        </w:trPr>
        <w:tc>
          <w:tcPr>
            <w:tcW w:w="9848" w:type="dxa"/>
          </w:tcPr>
          <w:p w14:paraId="2A545E90" w14:textId="77777777" w:rsidR="00711444" w:rsidRPr="004D0DAA" w:rsidRDefault="00711444" w:rsidP="00AA2A4C">
            <w:pPr>
              <w:spacing w:after="0"/>
              <w:rPr>
                <w:b/>
              </w:rPr>
            </w:pPr>
            <w:r w:rsidRPr="004D0DAA">
              <w:rPr>
                <w:b/>
              </w:rPr>
              <w:t xml:space="preserve">PFI </w:t>
            </w:r>
            <w:r w:rsidRPr="004D0DAA">
              <w:rPr>
                <w:bCs/>
              </w:rPr>
              <w:t>(7 bit field)</w:t>
            </w:r>
          </w:p>
          <w:p w14:paraId="01BC81E0" w14:textId="77777777" w:rsidR="00711444" w:rsidRPr="004D0DAA" w:rsidRDefault="00711444" w:rsidP="00AA2A4C">
            <w:pPr>
              <w:pStyle w:val="Index1"/>
              <w:keepLines w:val="0"/>
            </w:pPr>
            <w:r w:rsidRPr="004D0DAA">
              <w:t>This field contains the PFI parameter identifying the Packet Flow Context related to the TBF identified in the DOWNLINK_TFI_ASSIGMENT field. The PFI parameter is encoded as the contents of the PFI information element defined in 3GPP TS 44.018. If EMST is used, this field contains the PFI parameter identifying the Packet Flow Context related to the RLC entity. If EMSR is supported, this field contains the PFI parameter identifying a Packet Flow Context supported by a specific RLC entity.</w:t>
            </w:r>
          </w:p>
          <w:p w14:paraId="37CF0D65" w14:textId="77777777" w:rsidR="00711444" w:rsidRPr="004D0DAA" w:rsidRDefault="00711444" w:rsidP="00AA2A4C">
            <w:pPr>
              <w:pStyle w:val="Index1"/>
              <w:keepLines w:val="0"/>
              <w:rPr>
                <w:bCs/>
              </w:rPr>
            </w:pPr>
          </w:p>
        </w:tc>
      </w:tr>
      <w:tr w:rsidR="00711444" w:rsidRPr="004D0DAA" w14:paraId="4C38F886" w14:textId="77777777" w:rsidTr="00AA2A4C">
        <w:tblPrEx>
          <w:tblCellMar>
            <w:top w:w="0" w:type="dxa"/>
            <w:bottom w:w="0" w:type="dxa"/>
          </w:tblCellMar>
        </w:tblPrEx>
        <w:trPr>
          <w:cantSplit/>
        </w:trPr>
        <w:tc>
          <w:tcPr>
            <w:tcW w:w="9848" w:type="dxa"/>
          </w:tcPr>
          <w:p w14:paraId="7E033DE3"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5D6A25CC" w14:textId="77777777" w:rsidR="00711444" w:rsidRPr="004D0DAA" w:rsidRDefault="00711444" w:rsidP="00AA2A4C">
            <w:pPr>
              <w:spacing w:after="0"/>
            </w:pPr>
            <w:r w:rsidRPr="004D0DAA">
              <w:t>This field contains the NPM Transfer Time limitation for TBF or RLC entity assigned to operate in RLC non-persistent mode. If EMSR is supported this field contains the NPM Transfer Time limitation for a specific Packet Flow Context configured to use RLC non-persistent mode.</w:t>
            </w:r>
          </w:p>
        </w:tc>
      </w:tr>
      <w:tr w:rsidR="00711444" w:rsidRPr="004D0DAA" w14:paraId="1FA847BC" w14:textId="77777777" w:rsidTr="00AA2A4C">
        <w:tblPrEx>
          <w:tblCellMar>
            <w:top w:w="0" w:type="dxa"/>
            <w:bottom w:w="0" w:type="dxa"/>
          </w:tblCellMar>
        </w:tblPrEx>
        <w:trPr>
          <w:cantSplit/>
        </w:trPr>
        <w:tc>
          <w:tcPr>
            <w:tcW w:w="9848" w:type="dxa"/>
          </w:tcPr>
          <w:p w14:paraId="40A2F85C" w14:textId="77777777" w:rsidR="00711444" w:rsidRPr="004D0DAA" w:rsidRDefault="00711444" w:rsidP="00AA2A4C">
            <w:r w:rsidRPr="004D0DAA">
              <w:rPr>
                <w:b/>
              </w:rPr>
              <w:t>Assignment Type</w:t>
            </w:r>
            <w:r w:rsidRPr="004D0DAA">
              <w:t xml:space="preserve"> (2 bit field)</w:t>
            </w:r>
          </w:p>
          <w:p w14:paraId="471EA66E" w14:textId="77777777" w:rsidR="00711444" w:rsidRPr="004D0DAA" w:rsidRDefault="00711444" w:rsidP="00AA2A4C">
            <w:r w:rsidRPr="004D0DAA">
              <w:t>This indicates the type of assignment:</w:t>
            </w:r>
          </w:p>
          <w:p w14:paraId="7DE3AEF6" w14:textId="77777777" w:rsidR="00711444" w:rsidRPr="004D0DAA" w:rsidRDefault="00711444" w:rsidP="00AA2A4C">
            <w:pPr>
              <w:pStyle w:val="FP"/>
            </w:pPr>
            <w:r w:rsidRPr="004D0DAA">
              <w:t>bit</w:t>
            </w:r>
          </w:p>
          <w:p w14:paraId="22BC0DE1" w14:textId="77777777" w:rsidR="00711444" w:rsidRPr="004D0DAA" w:rsidRDefault="00711444" w:rsidP="00AA2A4C">
            <w:pPr>
              <w:pStyle w:val="FP"/>
            </w:pPr>
            <w:r w:rsidRPr="004D0DAA">
              <w:t xml:space="preserve">2 1 </w:t>
            </w:r>
          </w:p>
          <w:p w14:paraId="236D239E" w14:textId="77777777" w:rsidR="00711444" w:rsidRPr="004D0DAA" w:rsidRDefault="00711444" w:rsidP="00AA2A4C">
            <w:pPr>
              <w:pStyle w:val="FP"/>
            </w:pPr>
            <w:r w:rsidRPr="004D0DAA">
              <w:t xml:space="preserve">0 0 </w:t>
            </w:r>
            <w:r w:rsidRPr="004D0DAA">
              <w:tab/>
            </w:r>
            <w:r w:rsidRPr="004D0DAA">
              <w:tab/>
              <w:t>Assignment on single carrier only</w:t>
            </w:r>
          </w:p>
          <w:p w14:paraId="2CFC24B0" w14:textId="77777777" w:rsidR="00711444" w:rsidRPr="004D0DAA" w:rsidRDefault="00711444" w:rsidP="00AA2A4C">
            <w:pPr>
              <w:pStyle w:val="FP"/>
            </w:pPr>
            <w:r w:rsidRPr="004D0DAA">
              <w:t xml:space="preserve">0 1 </w:t>
            </w:r>
            <w:r w:rsidRPr="004D0DAA">
              <w:tab/>
            </w:r>
            <w:r w:rsidRPr="004D0DAA">
              <w:tab/>
              <w:t>Modification of existing assignment</w:t>
            </w:r>
          </w:p>
          <w:p w14:paraId="601847EE" w14:textId="77777777" w:rsidR="00711444" w:rsidRPr="004D0DAA" w:rsidRDefault="00711444" w:rsidP="00AA2A4C">
            <w:pPr>
              <w:pStyle w:val="FP"/>
            </w:pPr>
            <w:r w:rsidRPr="004D0DAA">
              <w:t xml:space="preserve">1 0 </w:t>
            </w:r>
            <w:r w:rsidRPr="004D0DAA">
              <w:tab/>
            </w:r>
            <w:r w:rsidRPr="004D0DAA">
              <w:tab/>
              <w:t>Dual Carrier assignment</w:t>
            </w:r>
          </w:p>
          <w:p w14:paraId="1E8C670E" w14:textId="77777777" w:rsidR="00711444" w:rsidRPr="004D0DAA" w:rsidRDefault="00711444" w:rsidP="00AA2A4C">
            <w:pPr>
              <w:pStyle w:val="FP"/>
            </w:pPr>
            <w:r w:rsidRPr="004D0DAA">
              <w:t xml:space="preserve">1 1 </w:t>
            </w:r>
            <w:r w:rsidRPr="004D0DAA">
              <w:tab/>
            </w:r>
            <w:r w:rsidRPr="004D0DAA">
              <w:tab/>
              <w:t>Reserved for future use</w:t>
            </w:r>
          </w:p>
          <w:p w14:paraId="0B5A45A7" w14:textId="77777777" w:rsidR="00711444" w:rsidRPr="004D0DAA" w:rsidRDefault="00711444" w:rsidP="00AA2A4C">
            <w:pPr>
              <w:pStyle w:val="FP"/>
            </w:pPr>
          </w:p>
          <w:p w14:paraId="212EC8AC" w14:textId="77777777" w:rsidR="00711444" w:rsidRPr="004D0DAA" w:rsidRDefault="00711444" w:rsidP="00AA2A4C">
            <w:r w:rsidRPr="004D0DAA">
              <w:t>If the Assignment Type indicates an Assignment on a single carrier only the resources specified in this message are assigned for this TBF on the carrier identified by the Carrier ID field. If the assignment is sent to a mobile station that does not currently have a dual carrier configuration, the Carrier ID field shall indicate Carrier 1 and all resources specified in the message shall relate to Carrier 1.</w:t>
            </w:r>
          </w:p>
          <w:p w14:paraId="1AD54062" w14:textId="77777777" w:rsidR="00711444" w:rsidRPr="004D0DAA" w:rsidRDefault="00711444" w:rsidP="00AA2A4C">
            <w:r w:rsidRPr="004D0DAA">
              <w:t>If the Assignment Type indicates Modification of an existing assignment resources specified in this message replace any existing allocation for this TBF on the carrier indicated by the Carrier ID field. If this type of assignment is used to place a mobile station which currently has resources assigned on only one carrier in a dual carrier configuration the Carrier ID shall indicate Carrier 2.</w:t>
            </w:r>
          </w:p>
          <w:p w14:paraId="0213B789" w14:textId="77777777" w:rsidR="00711444" w:rsidRPr="004D0DAA" w:rsidRDefault="00711444" w:rsidP="00AA2A4C">
            <w:pPr>
              <w:rPr>
                <w:rFonts w:eastAsia="MS Mincho"/>
                <w:lang w:eastAsia="ja-JP"/>
              </w:rPr>
            </w:pPr>
            <w:r w:rsidRPr="004D0DAA">
              <w:t xml:space="preserve">If the Assignment Type indicates </w:t>
            </w:r>
            <w:r w:rsidRPr="004D0DAA">
              <w:rPr>
                <w:rFonts w:eastAsia="MS Mincho"/>
                <w:lang w:eastAsia="ja-JP"/>
              </w:rPr>
              <w:t>a Dual Carrier assignment the Carrier ID field shall be ignored by the mobile station.</w:t>
            </w:r>
          </w:p>
          <w:p w14:paraId="4974C4A2" w14:textId="77777777" w:rsidR="00711444" w:rsidRPr="004D0DAA" w:rsidRDefault="00711444" w:rsidP="00AA2A4C">
            <w:pPr>
              <w:rPr>
                <w:iCs/>
              </w:rPr>
            </w:pPr>
            <w:r w:rsidRPr="004D0DAA">
              <w:rPr>
                <w:rFonts w:eastAsia="MS Mincho"/>
                <w:lang w:eastAsia="ja-JP"/>
              </w:rPr>
              <w:t>The meaning of the different types of assignment is specified in sub-clause 8.1.1.1.3.</w:t>
            </w:r>
          </w:p>
        </w:tc>
      </w:tr>
      <w:tr w:rsidR="00711444" w:rsidRPr="004D0DAA" w14:paraId="1462F46A" w14:textId="77777777" w:rsidTr="00AA2A4C">
        <w:tblPrEx>
          <w:tblCellMar>
            <w:top w:w="0" w:type="dxa"/>
            <w:bottom w:w="0" w:type="dxa"/>
          </w:tblCellMar>
        </w:tblPrEx>
        <w:trPr>
          <w:cantSplit/>
        </w:trPr>
        <w:tc>
          <w:tcPr>
            <w:tcW w:w="9848" w:type="dxa"/>
          </w:tcPr>
          <w:p w14:paraId="15D4A95A" w14:textId="77777777" w:rsidR="00711444" w:rsidRPr="004D0DAA" w:rsidRDefault="00711444" w:rsidP="00AA2A4C">
            <w:pPr>
              <w:spacing w:after="240"/>
            </w:pPr>
            <w:r w:rsidRPr="004D0DAA">
              <w:rPr>
                <w:b/>
              </w:rPr>
              <w:t>Carrier ID</w:t>
            </w:r>
            <w:r w:rsidRPr="004D0DAA">
              <w:t xml:space="preserve"> (1 bit field)</w:t>
            </w:r>
            <w:r w:rsidRPr="004D0DAA">
              <w:br/>
              <w:t>This identifies the carrier to which the description refers.</w:t>
            </w:r>
          </w:p>
          <w:p w14:paraId="1A71A210" w14:textId="77777777" w:rsidR="00711444" w:rsidRPr="004D0DAA" w:rsidRDefault="00711444" w:rsidP="00AA2A4C">
            <w:pPr>
              <w:spacing w:after="0"/>
            </w:pPr>
            <w:r w:rsidRPr="004D0DAA">
              <w:t>0</w:t>
            </w:r>
            <w:r w:rsidRPr="004D0DAA">
              <w:tab/>
              <w:t>Carrier 1</w:t>
            </w:r>
            <w:r w:rsidRPr="004D0DAA">
              <w:br/>
              <w:t>1</w:t>
            </w:r>
            <w:r w:rsidRPr="004D0DAA">
              <w:tab/>
              <w:t>Carrier 2</w:t>
            </w:r>
          </w:p>
        </w:tc>
      </w:tr>
      <w:tr w:rsidR="00711444" w:rsidRPr="004D0DAA" w14:paraId="76AC52A5" w14:textId="77777777" w:rsidTr="00AA2A4C">
        <w:tblPrEx>
          <w:tblCellMar>
            <w:top w:w="0" w:type="dxa"/>
            <w:bottom w:w="0" w:type="dxa"/>
          </w:tblCellMar>
        </w:tblPrEx>
        <w:trPr>
          <w:cantSplit/>
        </w:trPr>
        <w:tc>
          <w:tcPr>
            <w:tcW w:w="9848" w:type="dxa"/>
          </w:tcPr>
          <w:p w14:paraId="33474D9E" w14:textId="77777777" w:rsidR="00711444" w:rsidRPr="004D0DAA" w:rsidRDefault="00711444" w:rsidP="00AA2A4C">
            <w:pPr>
              <w:spacing w:after="0"/>
            </w:pPr>
            <w:r w:rsidRPr="004D0DAA">
              <w:rPr>
                <w:b/>
              </w:rPr>
              <w:lastRenderedPageBreak/>
              <w:t>EVENT_BASED_FANR</w:t>
            </w:r>
            <w:r w:rsidRPr="004D0DAA">
              <w:t xml:space="preserve"> (1 bit field)</w:t>
            </w:r>
          </w:p>
          <w:p w14:paraId="51796856" w14:textId="77777777" w:rsidR="00711444" w:rsidRPr="004D0DAA" w:rsidRDefault="00711444" w:rsidP="00AA2A4C">
            <w:pPr>
              <w:spacing w:after="240"/>
            </w:pPr>
            <w:r w:rsidRPr="004D0DAA">
              <w:t xml:space="preserve">This field indicates whether the event-based FANR </w:t>
            </w:r>
            <w:r w:rsidRPr="004D0DAA">
              <w:rPr>
                <w:rFonts w:hint="eastAsia"/>
                <w:lang w:eastAsia="ko-KR"/>
              </w:rPr>
              <w:t>shall be used for the assigned TBF</w:t>
            </w:r>
            <w:r w:rsidRPr="004D0DAA">
              <w:t>. This field shall be included if the assignment is for a RTTI or MTTI configuration.</w:t>
            </w:r>
          </w:p>
          <w:p w14:paraId="39A47F16" w14:textId="77777777" w:rsidR="00711444" w:rsidRPr="004D0DAA" w:rsidRDefault="00711444" w:rsidP="00AA2A4C">
            <w:pPr>
              <w:spacing w:after="0"/>
            </w:pPr>
            <w:r w:rsidRPr="004D0DAA">
              <w:t>0</w:t>
            </w:r>
            <w:r w:rsidRPr="004D0DAA">
              <w:tab/>
              <w:t>The MS shall not use event-based FANR</w:t>
            </w:r>
            <w:r w:rsidRPr="004D0DAA">
              <w:br/>
              <w:t>1</w:t>
            </w:r>
            <w:r w:rsidRPr="004D0DAA">
              <w:tab/>
              <w:t>The MS shall use event-based FANR</w:t>
            </w:r>
          </w:p>
        </w:tc>
      </w:tr>
      <w:tr w:rsidR="00711444" w:rsidRPr="004D0DAA" w14:paraId="2D8EB3F2" w14:textId="77777777" w:rsidTr="00AA2A4C">
        <w:tblPrEx>
          <w:tblCellMar>
            <w:top w:w="0" w:type="dxa"/>
            <w:bottom w:w="0" w:type="dxa"/>
          </w:tblCellMar>
        </w:tblPrEx>
        <w:trPr>
          <w:cantSplit/>
        </w:trPr>
        <w:tc>
          <w:tcPr>
            <w:tcW w:w="9848" w:type="dxa"/>
          </w:tcPr>
          <w:p w14:paraId="4BEB741C" w14:textId="77777777" w:rsidR="00711444" w:rsidRPr="004D0DAA" w:rsidRDefault="00711444" w:rsidP="00AA2A4C">
            <w:pPr>
              <w:spacing w:after="0"/>
              <w:rPr>
                <w:b/>
                <w:bCs/>
                <w:szCs w:val="18"/>
              </w:rPr>
            </w:pPr>
            <w:r w:rsidRPr="004D0DAA">
              <w:rPr>
                <w:b/>
                <w:bCs/>
                <w:szCs w:val="18"/>
              </w:rPr>
              <w:t>DOWNLINK_PDCH_PAIRS_C1</w:t>
            </w:r>
          </w:p>
          <w:p w14:paraId="22D22CDE" w14:textId="77777777" w:rsidR="00711444" w:rsidRPr="004D0DAA" w:rsidRDefault="00711444" w:rsidP="00AA2A4C">
            <w:pPr>
              <w:spacing w:after="0"/>
              <w:rPr>
                <w:b/>
                <w:bCs/>
                <w:szCs w:val="18"/>
              </w:rPr>
            </w:pPr>
            <w:r w:rsidRPr="004D0DAA">
              <w:rPr>
                <w:b/>
                <w:bCs/>
                <w:szCs w:val="18"/>
              </w:rPr>
              <w:t>DOWNLINK_PDCH_PAIRS_C2</w:t>
            </w:r>
          </w:p>
          <w:p w14:paraId="740FFA31" w14:textId="77777777" w:rsidR="00711444" w:rsidRPr="004D0DAA" w:rsidRDefault="00711444" w:rsidP="00AA2A4C">
            <w:pPr>
              <w:spacing w:after="0"/>
              <w:rPr>
                <w:b/>
                <w:bCs/>
                <w:szCs w:val="18"/>
              </w:rPr>
            </w:pPr>
            <w:r w:rsidRPr="004D0DAA">
              <w:rPr>
                <w:b/>
                <w:bCs/>
                <w:szCs w:val="18"/>
              </w:rPr>
              <w:t>UPLINK_PDCH_PAIRS_C1</w:t>
            </w:r>
          </w:p>
          <w:p w14:paraId="23FE16D3" w14:textId="77777777" w:rsidR="00711444" w:rsidRPr="004D0DAA" w:rsidRDefault="00711444" w:rsidP="00AA2A4C">
            <w:pPr>
              <w:spacing w:after="0"/>
              <w:rPr>
                <w:b/>
                <w:bCs/>
                <w:szCs w:val="18"/>
              </w:rPr>
            </w:pPr>
            <w:r w:rsidRPr="004D0DAA">
              <w:rPr>
                <w:b/>
                <w:bCs/>
                <w:szCs w:val="18"/>
              </w:rPr>
              <w:t>UPLINK_PDCH_PAIRS_C2</w:t>
            </w:r>
          </w:p>
          <w:p w14:paraId="65BE5B37" w14:textId="77777777" w:rsidR="00711444" w:rsidRPr="004D0DAA" w:rsidRDefault="00711444" w:rsidP="00AA2A4C">
            <w:pPr>
              <w:spacing w:after="0"/>
              <w:rPr>
                <w:b/>
                <w:bCs/>
                <w:szCs w:val="18"/>
              </w:rPr>
            </w:pPr>
            <w:r w:rsidRPr="004D0DAA">
              <w:rPr>
                <w:b/>
                <w:bCs/>
                <w:szCs w:val="18"/>
              </w:rPr>
              <w:t>RTTI_DOWNLINK_PDCH_PAIR_ASSIGNMENT_SC</w:t>
            </w:r>
          </w:p>
          <w:p w14:paraId="52BE4085" w14:textId="77777777" w:rsidR="00711444" w:rsidRPr="004D0DAA" w:rsidRDefault="00711444" w:rsidP="00AA2A4C">
            <w:pPr>
              <w:spacing w:after="0"/>
              <w:rPr>
                <w:b/>
                <w:bCs/>
                <w:szCs w:val="18"/>
              </w:rPr>
            </w:pPr>
            <w:r w:rsidRPr="004D0DAA">
              <w:rPr>
                <w:b/>
                <w:bCs/>
                <w:szCs w:val="18"/>
              </w:rPr>
              <w:t>RTTI_DOWNLINK_PDCH_PAIR_ASSIGNMENT_DC</w:t>
            </w:r>
          </w:p>
          <w:p w14:paraId="67BE0B9A" w14:textId="77777777" w:rsidR="00711444" w:rsidRPr="004D0DAA" w:rsidRDefault="00711444" w:rsidP="00AA2A4C">
            <w:pPr>
              <w:spacing w:after="0"/>
              <w:rPr>
                <w:b/>
                <w:bCs/>
              </w:rPr>
            </w:pPr>
            <w:r w:rsidRPr="004D0DAA">
              <w:rPr>
                <w:b/>
                <w:bCs/>
              </w:rPr>
              <w:t>DOWNLINK_PDCH_PAIRS_DLMC</w:t>
            </w:r>
          </w:p>
          <w:p w14:paraId="00CFF242" w14:textId="77777777" w:rsidR="00711444" w:rsidRPr="004D0DAA" w:rsidRDefault="00711444" w:rsidP="00AA2A4C">
            <w:pPr>
              <w:spacing w:after="0"/>
              <w:rPr>
                <w:b/>
                <w:bCs/>
              </w:rPr>
            </w:pPr>
            <w:r w:rsidRPr="004D0DAA">
              <w:rPr>
                <w:b/>
                <w:bCs/>
              </w:rPr>
              <w:t>UPLINK_PDCH_PAIRS_DLMC</w:t>
            </w:r>
          </w:p>
          <w:p w14:paraId="448D8340" w14:textId="77777777" w:rsidR="00711444" w:rsidRPr="004D0DAA" w:rsidRDefault="00711444" w:rsidP="00AA2A4C">
            <w:pPr>
              <w:spacing w:after="0"/>
              <w:rPr>
                <w:b/>
                <w:bCs/>
                <w:szCs w:val="18"/>
              </w:rPr>
            </w:pPr>
            <w:r w:rsidRPr="004D0DAA">
              <w:rPr>
                <w:b/>
                <w:bCs/>
              </w:rPr>
              <w:t>RTTI_DOWNLINK_PDCH_PAIR_ASSIGNMENT_DLMC</w:t>
            </w:r>
          </w:p>
          <w:p w14:paraId="03F10DB7" w14:textId="77777777" w:rsidR="00711444" w:rsidRPr="004D0DAA" w:rsidRDefault="00711444" w:rsidP="00AA2A4C">
            <w:pPr>
              <w:spacing w:after="0"/>
              <w:rPr>
                <w:szCs w:val="18"/>
              </w:rPr>
            </w:pPr>
          </w:p>
          <w:p w14:paraId="51A7CDCB" w14:textId="77777777" w:rsidR="00711444" w:rsidRPr="004D0DAA" w:rsidRDefault="00711444" w:rsidP="00AA2A4C">
            <w:pPr>
              <w:spacing w:after="0"/>
              <w:rPr>
                <w:b/>
              </w:rPr>
            </w:pPr>
            <w:r w:rsidRPr="004D0DAA">
              <w:rPr>
                <w:szCs w:val="18"/>
              </w:rPr>
              <w:t>These fields are defined in sub-clause 11.2.31</w:t>
            </w:r>
          </w:p>
        </w:tc>
      </w:tr>
      <w:tr w:rsidR="00711444" w:rsidRPr="004D0DAA" w14:paraId="0829A7BE" w14:textId="77777777" w:rsidTr="00AA2A4C">
        <w:tblPrEx>
          <w:tblCellMar>
            <w:top w:w="0" w:type="dxa"/>
            <w:bottom w:w="0" w:type="dxa"/>
          </w:tblCellMar>
        </w:tblPrEx>
        <w:trPr>
          <w:cantSplit/>
        </w:trPr>
        <w:tc>
          <w:tcPr>
            <w:tcW w:w="9848" w:type="dxa"/>
          </w:tcPr>
          <w:p w14:paraId="569A2487" w14:textId="77777777" w:rsidR="00711444" w:rsidRPr="004D0DAA" w:rsidRDefault="00711444" w:rsidP="00AA2A4C">
            <w:pPr>
              <w:spacing w:after="0"/>
            </w:pPr>
            <w:r w:rsidRPr="004D0DAA">
              <w:rPr>
                <w:b/>
              </w:rPr>
              <w:t xml:space="preserve">Downlink EGPRS Level </w:t>
            </w:r>
            <w:r w:rsidRPr="004D0DAA">
              <w:t>(2 bit field)</w:t>
            </w:r>
          </w:p>
          <w:p w14:paraId="7278322C" w14:textId="77777777" w:rsidR="00711444" w:rsidRPr="004D0DAA" w:rsidRDefault="00711444" w:rsidP="00AA2A4C">
            <w:pPr>
              <w:spacing w:after="0"/>
              <w:rPr>
                <w:b/>
              </w:rPr>
            </w:pPr>
            <w:r w:rsidRPr="004D0DAA">
              <w:t>This information element specifies the group of modulation and coding schemes applicable to the TBF. This information element is defined in sub-clause 12.10f.</w:t>
            </w:r>
          </w:p>
        </w:tc>
      </w:tr>
      <w:tr w:rsidR="00711444" w:rsidRPr="004D0DAA" w14:paraId="585CCF09"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4114CAE9"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55B930E6" w14:textId="77777777" w:rsidR="00711444" w:rsidRPr="004D0DAA" w:rsidRDefault="00711444" w:rsidP="00AA2A4C">
            <w:pPr>
              <w:spacing w:after="0"/>
            </w:pPr>
            <w:r w:rsidRPr="004D0DAA">
              <w:t>This field indicates whether "Indication of Upper Layer PDU Start for RLC UM" as described in sub-clause 10.4.14a is used for the assigned TBF.  It is applicable only when the assigned TBF is operating in RLC unacknowledged mode.</w:t>
            </w:r>
          </w:p>
          <w:p w14:paraId="3C95C2BE" w14:textId="77777777" w:rsidR="00711444" w:rsidRPr="004D0DAA" w:rsidRDefault="00711444" w:rsidP="00AA2A4C">
            <w:pPr>
              <w:spacing w:after="0"/>
              <w:rPr>
                <w:b/>
              </w:rPr>
            </w:pPr>
            <w:r w:rsidRPr="004D0DAA">
              <w:t>0</w:t>
            </w:r>
            <w:r w:rsidRPr="004D0DAA">
              <w:tab/>
              <w:t>"Indication of Upper Layer PDU Start for RLC UM" is not used for the assigned TBF.</w:t>
            </w:r>
            <w:r w:rsidRPr="004D0DAA">
              <w:br/>
              <w:t>1</w:t>
            </w:r>
            <w:r w:rsidRPr="004D0DAA">
              <w:tab/>
              <w:t>"Indication of Upper Layer PDU Start for RLC UM" is used for the assigned TBF.</w:t>
            </w:r>
          </w:p>
        </w:tc>
      </w:tr>
      <w:tr w:rsidR="00711444" w:rsidRPr="004D0DAA" w14:paraId="1CE29F91"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7B7F6834" w14:textId="77777777" w:rsidR="00711444" w:rsidRPr="004D0DAA" w:rsidRDefault="00711444" w:rsidP="00AA2A4C">
            <w:pPr>
              <w:spacing w:after="0"/>
            </w:pPr>
            <w:r w:rsidRPr="004D0DAA">
              <w:rPr>
                <w:b/>
              </w:rPr>
              <w:t>MTTI_DOWNLINK_ASSIGNMENT_C1</w:t>
            </w:r>
            <w:r w:rsidRPr="004D0DAA">
              <w:t xml:space="preserve"> (1 bit field)</w:t>
            </w:r>
          </w:p>
          <w:p w14:paraId="61CD8E39" w14:textId="77777777" w:rsidR="00711444" w:rsidRPr="004D0DAA" w:rsidRDefault="00711444" w:rsidP="00AA2A4C">
            <w:pPr>
              <w:spacing w:after="0"/>
            </w:pPr>
            <w:r w:rsidRPr="004D0DAA">
              <w:rPr>
                <w:b/>
              </w:rPr>
              <w:t xml:space="preserve">MTTI_DOWNLINK_ASSIGNMENT_C2 </w:t>
            </w:r>
            <w:r w:rsidRPr="004D0DAA">
              <w:t>(1 bit field)</w:t>
            </w:r>
          </w:p>
          <w:p w14:paraId="25D5F9F3" w14:textId="77777777" w:rsidR="00711444" w:rsidRPr="004D0DAA" w:rsidRDefault="00711444" w:rsidP="00AA2A4C">
            <w:pPr>
              <w:spacing w:after="0"/>
              <w:rPr>
                <w:b/>
              </w:rPr>
            </w:pPr>
            <w:r w:rsidRPr="004D0DAA">
              <w:t>If either of these fields is present, it indicates that the assigned downlink TBF operates in an MTTI configuration. If present, a PDCH is assigned on the respective carrier in addition to any assigned PDCH-pairs. If set to '1' (respectively '0'), the assigned PDCH uses the timeslot immediately adjacent to and lower than (respectively higher than) the lower (respectively higher) timeslot used by the lowest numbered (respectively highest numbered) PDCH-pair assigned on that carrier. If no PDCH-pairs are assigned on one carrier, then the assigned PDCH for that carrier is on the same timeslot as the assigned PDCH on the other carrier, regardless of the value of the field.</w:t>
            </w:r>
          </w:p>
        </w:tc>
      </w:tr>
      <w:tr w:rsidR="00711444" w:rsidRPr="004D0DAA" w14:paraId="10C84817"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3D1051AC" w14:textId="77777777" w:rsidR="00711444" w:rsidRPr="004D0DAA" w:rsidRDefault="00711444" w:rsidP="00AA2A4C">
            <w:pPr>
              <w:spacing w:after="0"/>
              <w:rPr>
                <w:b/>
                <w:bCs/>
              </w:rPr>
            </w:pPr>
            <w:r w:rsidRPr="004D0DAA">
              <w:rPr>
                <w:b/>
                <w:bCs/>
              </w:rPr>
              <w:t>EMSR Additional PFCs 1</w:t>
            </w:r>
          </w:p>
          <w:p w14:paraId="3619FEB7" w14:textId="77777777" w:rsidR="00711444" w:rsidRPr="004D0DAA" w:rsidRDefault="00711444" w:rsidP="00AA2A4C">
            <w:pPr>
              <w:spacing w:after="0"/>
              <w:rPr>
                <w:b/>
                <w:bCs/>
              </w:rPr>
            </w:pPr>
            <w:r w:rsidRPr="004D0DAA">
              <w:rPr>
                <w:b/>
                <w:bCs/>
              </w:rPr>
              <w:t>EMSR Additional PFCs 2</w:t>
            </w:r>
          </w:p>
          <w:p w14:paraId="1E4D740C" w14:textId="77777777" w:rsidR="00711444" w:rsidRPr="004D0DAA" w:rsidRDefault="00711444" w:rsidP="00AA2A4C">
            <w:pPr>
              <w:spacing w:after="0"/>
              <w:rPr>
                <w:b/>
                <w:bCs/>
              </w:rPr>
            </w:pPr>
            <w:r w:rsidRPr="004D0DAA">
              <w:rPr>
                <w:b/>
                <w:bCs/>
              </w:rPr>
              <w:t>EMSR Additional PFCs 3</w:t>
            </w:r>
          </w:p>
          <w:p w14:paraId="1C69A15D" w14:textId="77777777" w:rsidR="00711444" w:rsidRPr="004D0DAA" w:rsidRDefault="00711444" w:rsidP="00AA2A4C">
            <w:pPr>
              <w:spacing w:after="120"/>
            </w:pPr>
            <w:r w:rsidRPr="004D0DAA">
              <w:t>If EMSR is supported one or more of these information elements may be included for allocating multiple PFCs to their corresponding RLC entity:</w:t>
            </w:r>
          </w:p>
          <w:p w14:paraId="1B603EAF" w14:textId="77777777" w:rsidR="00711444" w:rsidRPr="004D0DAA" w:rsidRDefault="00711444" w:rsidP="00AA2A4C">
            <w:pPr>
              <w:pStyle w:val="B1"/>
              <w:rPr>
                <w:lang w:eastAsia="en-US"/>
              </w:rPr>
            </w:pPr>
            <w:r w:rsidRPr="004D0DAA">
              <w:rPr>
                <w:lang w:eastAsia="en-US"/>
              </w:rPr>
              <w:t>-</w:t>
            </w:r>
            <w:r w:rsidRPr="004D0DAA">
              <w:rPr>
                <w:lang w:eastAsia="en-US"/>
              </w:rPr>
              <w:tab/>
              <w:t xml:space="preserve">if EMST is not used, </w:t>
            </w:r>
            <w:r w:rsidRPr="004D0DAA">
              <w:rPr>
                <w:b/>
                <w:lang w:eastAsia="en-US"/>
              </w:rPr>
              <w:t xml:space="preserve">EMSR Additional PFCs 1 </w:t>
            </w:r>
            <w:r w:rsidRPr="004D0DAA">
              <w:rPr>
                <w:lang w:eastAsia="en-US"/>
              </w:rPr>
              <w:t xml:space="preserve">corresponds to the single RLC entity of the TBF; </w:t>
            </w:r>
            <w:r w:rsidRPr="004D0DAA">
              <w:rPr>
                <w:b/>
                <w:lang w:eastAsia="en-US"/>
              </w:rPr>
              <w:t xml:space="preserve">EMSR Additional PFCs 2 </w:t>
            </w:r>
            <w:r w:rsidRPr="004D0DAA">
              <w:rPr>
                <w:lang w:eastAsia="en-US"/>
              </w:rPr>
              <w:t xml:space="preserve">and </w:t>
            </w:r>
            <w:r w:rsidRPr="004D0DAA">
              <w:rPr>
                <w:b/>
                <w:lang w:eastAsia="en-US"/>
              </w:rPr>
              <w:t>EMSR Additional PFCs 3</w:t>
            </w:r>
            <w:r w:rsidRPr="004D0DAA">
              <w:rPr>
                <w:lang w:eastAsia="en-US"/>
              </w:rPr>
              <w:t>, if present, shall be ignored.</w:t>
            </w:r>
          </w:p>
          <w:p w14:paraId="56518781" w14:textId="77777777" w:rsidR="00711444" w:rsidRPr="004D0DAA" w:rsidRDefault="00711444" w:rsidP="00AA2A4C">
            <w:pPr>
              <w:pStyle w:val="B1"/>
              <w:rPr>
                <w:b/>
                <w:lang w:eastAsia="en-US"/>
              </w:rPr>
            </w:pPr>
            <w:r w:rsidRPr="004D0DAA">
              <w:rPr>
                <w:lang w:eastAsia="en-US"/>
              </w:rPr>
              <w:t>-</w:t>
            </w:r>
            <w:r w:rsidRPr="004D0DAA">
              <w:rPr>
                <w:lang w:eastAsia="en-US"/>
              </w:rPr>
              <w:tab/>
              <w:t xml:space="preserve">if EMST is used, </w:t>
            </w:r>
            <w:r w:rsidRPr="004D0DAA">
              <w:rPr>
                <w:b/>
                <w:lang w:eastAsia="en-US"/>
              </w:rPr>
              <w:t>EMSR Additional PFCs 1</w:t>
            </w:r>
            <w:r w:rsidRPr="004D0DAA">
              <w:rPr>
                <w:lang w:eastAsia="en-US"/>
              </w:rPr>
              <w:t xml:space="preserve">, </w:t>
            </w:r>
            <w:r w:rsidRPr="004D0DAA">
              <w:rPr>
                <w:b/>
                <w:lang w:eastAsia="en-US"/>
              </w:rPr>
              <w:t xml:space="preserve">EMSR Additional PFCs 2 </w:t>
            </w:r>
            <w:r w:rsidRPr="004D0DAA">
              <w:rPr>
                <w:lang w:eastAsia="en-US"/>
              </w:rPr>
              <w:t xml:space="preserve">and </w:t>
            </w:r>
            <w:r w:rsidRPr="004D0DAA">
              <w:rPr>
                <w:b/>
                <w:lang w:eastAsia="en-US"/>
              </w:rPr>
              <w:t xml:space="preserve">EMSR Additional PFCs 3 </w:t>
            </w:r>
            <w:r w:rsidRPr="004D0DAA">
              <w:rPr>
                <w:lang w:eastAsia="en-US"/>
              </w:rPr>
              <w:t xml:space="preserve">correspond to the first, the second and the third RLC entity, respectively, assigned to the TBF. </w:t>
            </w:r>
            <w:r w:rsidRPr="004D0DAA">
              <w:rPr>
                <w:b/>
                <w:lang w:eastAsia="en-US"/>
              </w:rPr>
              <w:t xml:space="preserve">EMSR Additional PFCs 2 </w:t>
            </w:r>
            <w:r w:rsidRPr="004D0DAA">
              <w:rPr>
                <w:lang w:eastAsia="en-US"/>
              </w:rPr>
              <w:t xml:space="preserve">corresponds to the RLC entity assigned using the </w:t>
            </w:r>
            <w:r w:rsidRPr="004D0DAA">
              <w:rPr>
                <w:b/>
                <w:lang w:eastAsia="en-US"/>
              </w:rPr>
              <w:t>RLC Entity 2</w:t>
            </w:r>
            <w:r w:rsidRPr="004D0DAA">
              <w:rPr>
                <w:lang w:eastAsia="en-US"/>
              </w:rPr>
              <w:t xml:space="preserve"> IE and </w:t>
            </w:r>
            <w:r w:rsidRPr="004D0DAA">
              <w:rPr>
                <w:b/>
                <w:lang w:eastAsia="en-US"/>
              </w:rPr>
              <w:t xml:space="preserve">EMSR Additional PFCs 3 </w:t>
            </w:r>
            <w:r w:rsidRPr="004D0DAA">
              <w:rPr>
                <w:lang w:eastAsia="en-US"/>
              </w:rPr>
              <w:t xml:space="preserve">correspond to the RLC entity assigned using the </w:t>
            </w:r>
            <w:r w:rsidRPr="004D0DAA">
              <w:rPr>
                <w:b/>
                <w:lang w:eastAsia="en-US"/>
              </w:rPr>
              <w:t>RLC Entity 3</w:t>
            </w:r>
            <w:r w:rsidRPr="004D0DAA">
              <w:rPr>
                <w:lang w:eastAsia="en-US"/>
              </w:rPr>
              <w:t xml:space="preserve"> IE if these RLC entities have been assigned; </w:t>
            </w:r>
            <w:r w:rsidRPr="004D0DAA">
              <w:rPr>
                <w:b/>
                <w:lang w:eastAsia="en-US"/>
              </w:rPr>
              <w:t>EMSR Additional PFCs 2</w:t>
            </w:r>
            <w:r w:rsidRPr="004D0DAA">
              <w:rPr>
                <w:lang w:eastAsia="en-US"/>
              </w:rPr>
              <w:t xml:space="preserve">¸ respectively </w:t>
            </w:r>
            <w:r w:rsidRPr="004D0DAA">
              <w:rPr>
                <w:b/>
                <w:lang w:eastAsia="en-US"/>
              </w:rPr>
              <w:t>EMSR Additional PFCs 3</w:t>
            </w:r>
            <w:r w:rsidRPr="004D0DAA">
              <w:rPr>
                <w:lang w:eastAsia="en-US"/>
              </w:rPr>
              <w:t>, if present, shall be ignored if the corresponding RLC entity has not been assigned.</w:t>
            </w:r>
          </w:p>
        </w:tc>
      </w:tr>
      <w:tr w:rsidR="00711444" w:rsidRPr="004D0DAA" w14:paraId="3BA358AF"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6E82673B"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1BBF2A36" w14:textId="77777777" w:rsidR="00711444" w:rsidRPr="004D0DAA" w:rsidRDefault="00711444" w:rsidP="00AA2A4C">
            <w:pPr>
              <w:spacing w:after="0"/>
            </w:pPr>
            <w:r w:rsidRPr="004D0DAA">
              <w:t>This field indicates whether or not the network supports the EGPRS PACKET DOWNLINK ACK/NACK TYPE 3 message (see sub-clause 11.2.6f):</w:t>
            </w:r>
          </w:p>
          <w:p w14:paraId="0FC32320" w14:textId="77777777" w:rsidR="00711444" w:rsidRPr="004D0DAA" w:rsidRDefault="00711444" w:rsidP="00AA2A4C">
            <w:pPr>
              <w:spacing w:after="0"/>
            </w:pPr>
            <w:r w:rsidRPr="004D0DAA">
              <w:t>0</w:t>
            </w:r>
            <w:r w:rsidRPr="004D0DAA">
              <w:tab/>
              <w:t>The network does not support the EGPRS PACKET DOWNLINK ACK/NACK TYPE 3 message.</w:t>
            </w:r>
            <w:r w:rsidRPr="004D0DAA">
              <w:br/>
              <w:t>1</w:t>
            </w:r>
            <w:r w:rsidRPr="004D0DAA">
              <w:tab/>
              <w:t>The network supports the EGPRS PACKET DOWNLINK ACK/NACK TYPE 3 message.</w:t>
            </w:r>
          </w:p>
          <w:p w14:paraId="4C273D5E" w14:textId="77777777" w:rsidR="00711444" w:rsidRPr="004D0DAA" w:rsidRDefault="00711444" w:rsidP="00AA2A4C">
            <w:pPr>
              <w:spacing w:after="0"/>
              <w:rPr>
                <w:b/>
                <w:bCs/>
              </w:rPr>
            </w:pPr>
            <w:r w:rsidRPr="004D0DAA">
              <w:t>If this field is not present, the value '0' (EGPRS PACKET DOWNLINK ACK/NACK TYPE 3 message not supported) shall be assumed by the mobile station.</w:t>
            </w:r>
          </w:p>
          <w:p w14:paraId="186A2893" w14:textId="77777777" w:rsidR="00711444" w:rsidRPr="004D0DAA" w:rsidRDefault="00711444" w:rsidP="00AA2A4C">
            <w:pPr>
              <w:spacing w:after="0"/>
              <w:rPr>
                <w:b/>
                <w:bCs/>
              </w:rPr>
            </w:pPr>
          </w:p>
        </w:tc>
      </w:tr>
      <w:tr w:rsidR="00711444" w:rsidRPr="004D0DAA" w14:paraId="189C8CFC"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048DFDC8" w14:textId="77777777" w:rsidR="00711444" w:rsidRPr="004D0DAA" w:rsidRDefault="00711444" w:rsidP="00AA2A4C">
            <w:pPr>
              <w:spacing w:after="0"/>
              <w:rPr>
                <w:b/>
              </w:rPr>
            </w:pPr>
            <w:r w:rsidRPr="004D0DAA">
              <w:rPr>
                <w:b/>
              </w:rPr>
              <w:lastRenderedPageBreak/>
              <w:t>UFPS</w:t>
            </w:r>
          </w:p>
          <w:p w14:paraId="564D8AB7" w14:textId="77777777" w:rsidR="00711444" w:rsidRPr="004D0DAA" w:rsidRDefault="00711444" w:rsidP="00AA2A4C">
            <w:pPr>
              <w:spacing w:after="0"/>
              <w:rPr>
                <w:b/>
              </w:rPr>
            </w:pPr>
            <w:r w:rsidRPr="004D0DAA">
              <w:t>This information element is used to identify the set of resources corresponding to each UFPS within the set of UFPS assigned for a DLMC configuration. Each UFPS in the set of UFPS is numbered according to the scheme described in sub-clause 8.1.1.1.3.</w:t>
            </w:r>
            <w:r w:rsidRPr="004D0DAA">
              <w:rPr>
                <w:b/>
              </w:rPr>
              <w:t xml:space="preserve"> </w:t>
            </w:r>
            <w:r w:rsidRPr="004D0DAA">
              <w:t>The assignment message allows for releasing an existing UFPS, keeping an existing UFPS unchanged, modifying an existing UFPS or adding a new UFPS.</w:t>
            </w:r>
            <w:r w:rsidRPr="004D0DAA">
              <w:rPr>
                <w:b/>
              </w:rPr>
              <w:t xml:space="preserve"> </w:t>
            </w:r>
          </w:p>
          <w:p w14:paraId="77CF7CFF" w14:textId="77777777" w:rsidR="00711444" w:rsidRPr="004D0DAA" w:rsidRDefault="00711444" w:rsidP="00AA2A4C">
            <w:pPr>
              <w:spacing w:after="0"/>
              <w:rPr>
                <w:b/>
              </w:rPr>
            </w:pPr>
          </w:p>
          <w:p w14:paraId="6DFB3FC4" w14:textId="77777777" w:rsidR="00711444" w:rsidRPr="004D0DAA" w:rsidRDefault="00711444" w:rsidP="00AA2A4C">
            <w:pPr>
              <w:spacing w:after="0"/>
              <w:rPr>
                <w:b/>
              </w:rPr>
            </w:pPr>
            <w:r w:rsidRPr="004D0DAA">
              <w:t>For the case where a UFPS is defined by a MA the first frequency indicated for the UFPS (i.e. by the CARRIER_SPECIFIC_INFO IE) is that corresponding to highest numbered element of the MA_BITMAP for which a ‘1’ is indicated, the second frequency indicated is that corresponding to 2</w:t>
            </w:r>
            <w:r w:rsidRPr="004D0DAA">
              <w:rPr>
                <w:vertAlign w:val="superscript"/>
              </w:rPr>
              <w:t>nd</w:t>
            </w:r>
            <w:r w:rsidRPr="004D0DAA">
              <w:t xml:space="preserve"> highest numbered element of the MA_BITMAP for which a ‘1’ is indicated, and so on where the last frequency indicated is that corresponding to lowest numbered element of the MA_BITMAP for which a ‘1’ is indicated.  See sub-clause 12.10a for a description of the MA_BITMAP field.</w:t>
            </w:r>
          </w:p>
          <w:p w14:paraId="5ACA293A" w14:textId="77777777" w:rsidR="00711444" w:rsidRPr="004D0DAA" w:rsidRDefault="00711444" w:rsidP="00AA2A4C">
            <w:pPr>
              <w:spacing w:after="0"/>
              <w:rPr>
                <w:b/>
                <w:szCs w:val="18"/>
              </w:rPr>
            </w:pPr>
          </w:p>
        </w:tc>
      </w:tr>
      <w:tr w:rsidR="00711444" w:rsidRPr="004D0DAA" w14:paraId="2E961880"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48D95D23" w14:textId="77777777" w:rsidR="00711444" w:rsidRPr="004D0DAA" w:rsidRDefault="00711444" w:rsidP="00AA2A4C">
            <w:pPr>
              <w:spacing w:after="0"/>
              <w:rPr>
                <w:b/>
                <w:szCs w:val="18"/>
              </w:rPr>
            </w:pPr>
            <w:r w:rsidRPr="004D0DAA">
              <w:rPr>
                <w:b/>
                <w:szCs w:val="18"/>
              </w:rPr>
              <w:t>DLMC Measurement Type</w:t>
            </w:r>
          </w:p>
          <w:p w14:paraId="55D6ED64" w14:textId="77777777" w:rsidR="00711444" w:rsidRPr="004D0DAA" w:rsidRDefault="00711444" w:rsidP="00AA2A4C">
            <w:pPr>
              <w:spacing w:after="0"/>
            </w:pPr>
            <w:r w:rsidRPr="004D0DAA">
              <w:t>This field indicates the type of measurement reporting to be used by a mobile station in a DLMC configuration.</w:t>
            </w:r>
          </w:p>
          <w:p w14:paraId="315E01D3" w14:textId="77777777" w:rsidR="00711444" w:rsidRPr="004D0DAA" w:rsidRDefault="00711444" w:rsidP="00AA2A4C">
            <w:pPr>
              <w:pStyle w:val="FP"/>
            </w:pPr>
          </w:p>
          <w:p w14:paraId="7E78D616" w14:textId="77777777" w:rsidR="00714E95" w:rsidRPr="004D0DAA" w:rsidRDefault="00711444" w:rsidP="00714E95">
            <w:pPr>
              <w:pStyle w:val="FP"/>
            </w:pPr>
            <w:r w:rsidRPr="004D0DAA">
              <w:t>bit</w:t>
            </w:r>
          </w:p>
          <w:p w14:paraId="7CBA1368" w14:textId="77777777" w:rsidR="00711444" w:rsidRPr="004D0DAA" w:rsidRDefault="00714E95" w:rsidP="00714E95">
            <w:pPr>
              <w:pStyle w:val="FP"/>
              <w:ind w:left="284" w:hanging="284"/>
            </w:pPr>
            <w:r w:rsidRPr="004D0DAA">
              <w:t>0</w:t>
            </w:r>
            <w:r w:rsidRPr="004D0DAA">
              <w:tab/>
            </w:r>
            <w:r w:rsidR="00711444" w:rsidRPr="004D0DAA">
              <w:t xml:space="preserve">BEP Link Quality is reported on a per UFPS basis using a representative value averaged over all carriers in the reported UFPS (see 3GPP TS 45.008 [15]). </w:t>
            </w:r>
          </w:p>
          <w:p w14:paraId="09878215" w14:textId="77777777" w:rsidR="00711444" w:rsidRPr="004D0DAA" w:rsidRDefault="00714E95" w:rsidP="00714E95">
            <w:pPr>
              <w:pStyle w:val="TAL"/>
              <w:ind w:left="270" w:hanging="270"/>
              <w:rPr>
                <w:lang w:eastAsia="en-US"/>
              </w:rPr>
            </w:pPr>
            <w:r w:rsidRPr="004D0DAA">
              <w:rPr>
                <w:lang w:eastAsia="en-US"/>
              </w:rPr>
              <w:t>1</w:t>
            </w:r>
            <w:r w:rsidRPr="004D0DAA">
              <w:rPr>
                <w:lang w:eastAsia="en-US"/>
              </w:rPr>
              <w:tab/>
            </w:r>
            <w:r w:rsidR="00711444" w:rsidRPr="004D0DAA">
              <w:rPr>
                <w:lang w:eastAsia="en-US"/>
              </w:rPr>
              <w:t>BEP Link Quality is reported on a per carrier basis.</w:t>
            </w:r>
          </w:p>
        </w:tc>
      </w:tr>
      <w:tr w:rsidR="00711444" w:rsidRPr="004D0DAA" w14:paraId="6E9D0795"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4F36BB2B" w14:textId="77777777" w:rsidR="00711444" w:rsidRPr="004D0DAA" w:rsidRDefault="00711444" w:rsidP="00AA2A4C">
            <w:pPr>
              <w:spacing w:after="0"/>
            </w:pPr>
            <w:r w:rsidRPr="004D0DAA">
              <w:rPr>
                <w:b/>
              </w:rPr>
              <w:t>Carrier for Interference Measurements (4 bit field)</w:t>
            </w:r>
          </w:p>
          <w:p w14:paraId="01B74434" w14:textId="77777777" w:rsidR="00711444" w:rsidRPr="004D0DAA" w:rsidRDefault="00711444" w:rsidP="00AA2A4C">
            <w:pPr>
              <w:spacing w:after="0"/>
              <w:rPr>
                <w:rFonts w:cs="Calibri"/>
                <w:bCs/>
                <w:kern w:val="32"/>
                <w:szCs w:val="18"/>
              </w:rPr>
            </w:pPr>
            <w:r w:rsidRPr="004D0DAA">
              <w:t xml:space="preserve">This field indicates </w:t>
            </w:r>
            <w:r w:rsidRPr="004D0DAA">
              <w:rPr>
                <w:rFonts w:cs="Calibri"/>
                <w:bCs/>
                <w:kern w:val="32"/>
                <w:szCs w:val="18"/>
              </w:rPr>
              <w:t xml:space="preserve">the carrier to be used for making interference measurements.  If the </w:t>
            </w:r>
            <w:r w:rsidRPr="004D0DAA">
              <w:rPr>
                <w:b/>
              </w:rPr>
              <w:t>LINK_QUALITY_MEASUREMENT_MODE</w:t>
            </w:r>
            <w:r w:rsidRPr="004D0DAA">
              <w:t xml:space="preserve"> field indicates interference measurements are requested and this field is absent </w:t>
            </w:r>
            <w:r w:rsidRPr="004D0DAA">
              <w:rPr>
                <w:rFonts w:cs="Calibri"/>
                <w:bCs/>
                <w:kern w:val="32"/>
                <w:szCs w:val="18"/>
              </w:rPr>
              <w:t xml:space="preserve">the MS shall make interference measurements using the lowest numbered carrier </w:t>
            </w:r>
            <w:r w:rsidRPr="004D0DAA">
              <w:t>(see sub-clause 8.1.1.1.3)</w:t>
            </w:r>
            <w:r w:rsidRPr="004D0DAA">
              <w:rPr>
                <w:rFonts w:cs="Calibri"/>
                <w:bCs/>
                <w:kern w:val="32"/>
                <w:szCs w:val="18"/>
              </w:rPr>
              <w:t xml:space="preserve">. </w:t>
            </w:r>
          </w:p>
          <w:p w14:paraId="6EC041B9" w14:textId="77777777" w:rsidR="00711444" w:rsidRPr="004D0DAA" w:rsidRDefault="00711444" w:rsidP="00AA2A4C">
            <w:pPr>
              <w:spacing w:after="0"/>
              <w:rPr>
                <w:b/>
              </w:rPr>
            </w:pPr>
          </w:p>
          <w:p w14:paraId="60A6574F" w14:textId="77777777" w:rsidR="00711444" w:rsidRPr="004D0DAA" w:rsidRDefault="00711444" w:rsidP="00AA2A4C">
            <w:pPr>
              <w:pStyle w:val="FP"/>
              <w:tabs>
                <w:tab w:val="left" w:pos="1995"/>
              </w:tabs>
              <w:ind w:left="567" w:hanging="567"/>
            </w:pPr>
            <w:r w:rsidRPr="004D0DAA">
              <w:t>bit</w:t>
            </w:r>
          </w:p>
          <w:p w14:paraId="68706144" w14:textId="77777777" w:rsidR="00711444" w:rsidRPr="004D0DAA" w:rsidRDefault="00711444" w:rsidP="00AA2A4C">
            <w:pPr>
              <w:pStyle w:val="FP"/>
              <w:tabs>
                <w:tab w:val="left" w:pos="1995"/>
              </w:tabs>
              <w:ind w:left="567" w:hanging="567"/>
            </w:pPr>
            <w:r w:rsidRPr="004D0DAA">
              <w:t>4 3 2 1</w:t>
            </w:r>
          </w:p>
          <w:p w14:paraId="3A50594D" w14:textId="77777777" w:rsidR="00711444" w:rsidRPr="004D0DAA" w:rsidRDefault="00711444" w:rsidP="00AA2A4C">
            <w:pPr>
              <w:pStyle w:val="FP"/>
              <w:tabs>
                <w:tab w:val="left" w:pos="1995"/>
              </w:tabs>
              <w:ind w:left="567" w:hanging="567"/>
            </w:pPr>
            <w:r w:rsidRPr="004D0DAA">
              <w:t>0 0 0 0</w:t>
            </w:r>
            <w:r w:rsidRPr="004D0DAA">
              <w:tab/>
            </w:r>
            <w:r w:rsidRPr="004D0DAA">
              <w:tab/>
              <w:t>Use the 1</w:t>
            </w:r>
            <w:r w:rsidRPr="004D0DAA">
              <w:rPr>
                <w:vertAlign w:val="superscript"/>
              </w:rPr>
              <w:t>st</w:t>
            </w:r>
            <w:r w:rsidRPr="004D0DAA">
              <w:t xml:space="preserve"> carrier</w:t>
            </w:r>
          </w:p>
          <w:p w14:paraId="377EB285" w14:textId="77777777" w:rsidR="00711444" w:rsidRPr="004D0DAA" w:rsidRDefault="00711444" w:rsidP="00AA2A4C">
            <w:pPr>
              <w:pStyle w:val="FP"/>
              <w:tabs>
                <w:tab w:val="left" w:pos="1995"/>
              </w:tabs>
              <w:ind w:left="567" w:hanging="567"/>
            </w:pPr>
            <w:r w:rsidRPr="004D0DAA">
              <w:t>0 0 0 1</w:t>
            </w:r>
            <w:r w:rsidRPr="004D0DAA">
              <w:tab/>
            </w:r>
            <w:r w:rsidRPr="004D0DAA">
              <w:tab/>
              <w:t>Use the 2</w:t>
            </w:r>
            <w:r w:rsidRPr="004D0DAA">
              <w:rPr>
                <w:vertAlign w:val="superscript"/>
              </w:rPr>
              <w:t>nd</w:t>
            </w:r>
            <w:r w:rsidRPr="004D0DAA">
              <w:t xml:space="preserve"> carrier</w:t>
            </w:r>
          </w:p>
          <w:p w14:paraId="1293601A" w14:textId="77777777" w:rsidR="00711444" w:rsidRPr="004D0DAA" w:rsidRDefault="00711444" w:rsidP="00AA2A4C">
            <w:pPr>
              <w:pStyle w:val="FP"/>
              <w:tabs>
                <w:tab w:val="left" w:pos="1995"/>
              </w:tabs>
              <w:ind w:left="567" w:hanging="567"/>
            </w:pPr>
            <w:r w:rsidRPr="004D0DAA">
              <w:t xml:space="preserve">0 0 1 0 </w:t>
            </w:r>
            <w:r w:rsidRPr="004D0DAA">
              <w:tab/>
              <w:t>Use the 3</w:t>
            </w:r>
            <w:r w:rsidRPr="004D0DAA">
              <w:rPr>
                <w:vertAlign w:val="superscript"/>
              </w:rPr>
              <w:t>rd</w:t>
            </w:r>
            <w:r w:rsidRPr="004D0DAA">
              <w:t xml:space="preserve"> carrier</w:t>
            </w:r>
          </w:p>
          <w:p w14:paraId="3ADA795F" w14:textId="77777777" w:rsidR="00711444" w:rsidRPr="004D0DAA" w:rsidRDefault="00711444" w:rsidP="00AA2A4C">
            <w:pPr>
              <w:spacing w:after="0"/>
            </w:pPr>
            <w:r w:rsidRPr="004D0DAA">
              <w:t>…</w:t>
            </w:r>
          </w:p>
          <w:p w14:paraId="6A6F06A1" w14:textId="77777777" w:rsidR="00711444" w:rsidRPr="004D0DAA" w:rsidRDefault="00711444" w:rsidP="00AA2A4C">
            <w:pPr>
              <w:pStyle w:val="FP"/>
              <w:tabs>
                <w:tab w:val="left" w:pos="1995"/>
              </w:tabs>
              <w:ind w:left="567" w:hanging="567"/>
            </w:pPr>
            <w:r w:rsidRPr="004D0DAA">
              <w:t xml:space="preserve">1 1 1 0 </w:t>
            </w:r>
            <w:r w:rsidRPr="004D0DAA">
              <w:tab/>
              <w:t>Use the 15</w:t>
            </w:r>
            <w:r w:rsidRPr="004D0DAA">
              <w:rPr>
                <w:vertAlign w:val="superscript"/>
              </w:rPr>
              <w:t>th</w:t>
            </w:r>
            <w:r w:rsidRPr="004D0DAA">
              <w:t xml:space="preserve"> carrier</w:t>
            </w:r>
          </w:p>
          <w:p w14:paraId="405E3584" w14:textId="77777777" w:rsidR="00711444" w:rsidRPr="004D0DAA" w:rsidRDefault="00711444" w:rsidP="00AA2A4C">
            <w:pPr>
              <w:pStyle w:val="FP"/>
              <w:tabs>
                <w:tab w:val="left" w:pos="1995"/>
              </w:tabs>
              <w:ind w:left="567" w:hanging="567"/>
            </w:pPr>
            <w:r w:rsidRPr="004D0DAA">
              <w:t xml:space="preserve">1 1 1 1 </w:t>
            </w:r>
            <w:r w:rsidRPr="004D0DAA">
              <w:tab/>
              <w:t>Use the 16</w:t>
            </w:r>
            <w:r w:rsidRPr="004D0DAA">
              <w:rPr>
                <w:vertAlign w:val="superscript"/>
              </w:rPr>
              <w:t>th</w:t>
            </w:r>
            <w:r w:rsidRPr="004D0DAA">
              <w:t xml:space="preserve"> carrier</w:t>
            </w:r>
          </w:p>
          <w:p w14:paraId="7937D96C" w14:textId="77777777" w:rsidR="00711444" w:rsidRPr="004D0DAA" w:rsidRDefault="00711444" w:rsidP="00AA2A4C">
            <w:pPr>
              <w:spacing w:after="0"/>
              <w:rPr>
                <w:b/>
              </w:rPr>
            </w:pPr>
          </w:p>
        </w:tc>
      </w:tr>
      <w:tr w:rsidR="00711444" w:rsidRPr="004D0DAA" w14:paraId="0BD44412"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1938C901" w14:textId="77777777" w:rsidR="00711444" w:rsidRPr="004D0DAA" w:rsidRDefault="00711444" w:rsidP="00AA2A4C">
            <w:pPr>
              <w:spacing w:after="0"/>
              <w:rPr>
                <w:b/>
              </w:rPr>
            </w:pPr>
            <w:r w:rsidRPr="004D0DAA">
              <w:rPr>
                <w:b/>
              </w:rPr>
              <w:t>CARRIER_SPECIFIC_INFO</w:t>
            </w:r>
          </w:p>
          <w:p w14:paraId="3283F82A" w14:textId="77777777" w:rsidR="00711444" w:rsidRPr="004D0DAA" w:rsidRDefault="00711444" w:rsidP="00AA2A4C">
            <w:r w:rsidRPr="004D0DAA">
              <w:t xml:space="preserve">This information element is used to describe the downlink carriers corresponding to a given UFPS applicable to the downlink TBF assigned for a DLMC configuration (see sub-clause 8.1.1.1.3 for the numbering of downlink carriers in a DLMC configuration). </w:t>
            </w:r>
          </w:p>
        </w:tc>
      </w:tr>
      <w:tr w:rsidR="00711444" w:rsidRPr="004D0DAA" w14:paraId="72CF7255"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69440DB9" w14:textId="77777777" w:rsidR="00711444" w:rsidRPr="004D0DAA" w:rsidRDefault="00711444" w:rsidP="00AA2A4C">
            <w:r w:rsidRPr="004D0DAA">
              <w:rPr>
                <w:b/>
              </w:rPr>
              <w:t>DLMC Frequency Parameters</w:t>
            </w:r>
            <w:r w:rsidRPr="004D0DAA">
              <w:br/>
              <w:t>This information element provides frequency parameters for a UFPS and is described in sub-clause 12.8.4. For the case where a UFPS is defined by an MA this information element indicates the corresponding mobile allocation and TSC applicable to all carriers in that UFPS.</w:t>
            </w:r>
          </w:p>
        </w:tc>
      </w:tr>
      <w:tr w:rsidR="00711444" w:rsidRPr="004D0DAA" w14:paraId="1D3D7C80"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1B6217F3" w14:textId="77777777" w:rsidR="00711444" w:rsidRPr="004D0DAA" w:rsidRDefault="00711444" w:rsidP="00AA2A4C">
            <w:pPr>
              <w:rPr>
                <w:b/>
              </w:rPr>
            </w:pPr>
            <w:r w:rsidRPr="004D0DAA">
              <w:rPr>
                <w:b/>
              </w:rPr>
              <w:t>MAIO</w:t>
            </w:r>
            <w:r w:rsidRPr="004D0DAA">
              <w:t xml:space="preserve"> (6 bit field)</w:t>
            </w:r>
            <w:r w:rsidRPr="004D0DAA">
              <w:br/>
              <w:t>This field is the binary representation of the mobile allocation index offset (MAIO), see 3GPP TS 45.002. Range 0 to 63.</w:t>
            </w:r>
          </w:p>
        </w:tc>
      </w:tr>
      <w:tr w:rsidR="00711444" w:rsidRPr="004D0DAA" w14:paraId="13FE87F2"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5ADE0F51" w14:textId="77777777" w:rsidR="00711444" w:rsidRPr="004D0DAA" w:rsidRDefault="00711444" w:rsidP="00AA2A4C">
            <w:pPr>
              <w:rPr>
                <w:b/>
              </w:rPr>
            </w:pPr>
            <w:r w:rsidRPr="004D0DAA">
              <w:rPr>
                <w:b/>
              </w:rPr>
              <w:t xml:space="preserve">PTCCH_CARRIER </w:t>
            </w:r>
            <w:r w:rsidRPr="004D0DAA">
              <w:t xml:space="preserve"> (4 bit field)</w:t>
            </w:r>
            <w:r w:rsidRPr="004D0DAA">
              <w:br/>
              <w:t>This field is included if the continuous timing advance procedure is used and identifies the carrier that serves as the PTCCH carrier.</w:t>
            </w:r>
          </w:p>
        </w:tc>
      </w:tr>
      <w:tr w:rsidR="00711444" w:rsidRPr="004D0DAA" w14:paraId="2ACE6A65" w14:textId="77777777" w:rsidTr="00AA2A4C">
        <w:tblPrEx>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26B20983" w14:textId="77777777" w:rsidR="00711444" w:rsidRPr="004D0DAA" w:rsidRDefault="00711444" w:rsidP="00AA2A4C">
            <w:r w:rsidRPr="004D0DAA">
              <w:rPr>
                <w:b/>
              </w:rPr>
              <w:t>PDAN Coding</w:t>
            </w:r>
            <w:r w:rsidRPr="004D0DAA">
              <w:t xml:space="preserve"> (1 bit field)</w:t>
            </w:r>
            <w:r w:rsidRPr="004D0DAA">
              <w:rPr>
                <w:b/>
              </w:rPr>
              <w:br/>
            </w:r>
            <w:r w:rsidRPr="004D0DAA">
              <w:t>This information field indicates the channel coding rate to be used when a mobile station in a DLMC configuration sends a Packet Downlink Ack/Nack message and is coded as follows:</w:t>
            </w:r>
          </w:p>
          <w:p w14:paraId="17239BB8" w14:textId="77777777" w:rsidR="00711444" w:rsidRPr="004D0DAA" w:rsidRDefault="00711444" w:rsidP="00AA2A4C">
            <w:pPr>
              <w:pStyle w:val="B1"/>
              <w:tabs>
                <w:tab w:val="left" w:pos="1995"/>
              </w:tabs>
              <w:ind w:left="567" w:hanging="567"/>
              <w:rPr>
                <w:lang w:eastAsia="en-US"/>
              </w:rPr>
            </w:pPr>
            <w:r w:rsidRPr="004D0DAA">
              <w:rPr>
                <w:lang w:eastAsia="en-US"/>
              </w:rPr>
              <w:t>0</w:t>
            </w:r>
            <w:r w:rsidRPr="004D0DAA">
              <w:rPr>
                <w:lang w:eastAsia="en-US"/>
              </w:rPr>
              <w:tab/>
              <w:t>CS-1 channel coding is used</w:t>
            </w:r>
          </w:p>
          <w:p w14:paraId="4C198D01" w14:textId="77777777" w:rsidR="00711444" w:rsidRPr="004D0DAA" w:rsidRDefault="00711444" w:rsidP="00AA2A4C">
            <w:pPr>
              <w:pStyle w:val="B1"/>
              <w:tabs>
                <w:tab w:val="left" w:pos="1995"/>
              </w:tabs>
              <w:ind w:left="567" w:hanging="567"/>
              <w:rPr>
                <w:lang w:eastAsia="en-US"/>
              </w:rPr>
            </w:pPr>
            <w:r w:rsidRPr="004D0DAA">
              <w:rPr>
                <w:lang w:eastAsia="en-US"/>
              </w:rPr>
              <w:t>1</w:t>
            </w:r>
            <w:r w:rsidRPr="004D0DAA">
              <w:rPr>
                <w:lang w:eastAsia="en-US"/>
              </w:rPr>
              <w:tab/>
              <w:t>CS-3 channel coding is used</w:t>
            </w:r>
          </w:p>
          <w:p w14:paraId="0B432AD2" w14:textId="77777777" w:rsidR="00711444" w:rsidRPr="004D0DAA" w:rsidRDefault="00711444" w:rsidP="00AA2A4C">
            <w:pPr>
              <w:pStyle w:val="B1"/>
              <w:tabs>
                <w:tab w:val="left" w:pos="1995"/>
              </w:tabs>
              <w:ind w:left="567" w:hanging="567"/>
              <w:rPr>
                <w:lang w:eastAsia="en-US"/>
              </w:rPr>
            </w:pPr>
          </w:p>
        </w:tc>
      </w:tr>
      <w:tr w:rsidR="00711444" w:rsidRPr="004D0DAA" w14:paraId="0A2BAC31" w14:textId="77777777" w:rsidTr="00AA2A4C">
        <w:tblPrEx>
          <w:tblCellMar>
            <w:top w:w="0" w:type="dxa"/>
            <w:bottom w:w="0" w:type="dxa"/>
          </w:tblCellMar>
        </w:tblPrEx>
        <w:trPr>
          <w:cantSplit/>
          <w:trHeight w:val="2800"/>
        </w:trPr>
        <w:tc>
          <w:tcPr>
            <w:tcW w:w="9848" w:type="dxa"/>
            <w:tcBorders>
              <w:top w:val="single" w:sz="4" w:space="0" w:color="auto"/>
              <w:left w:val="single" w:sz="4" w:space="0" w:color="auto"/>
              <w:right w:val="single" w:sz="4" w:space="0" w:color="auto"/>
            </w:tcBorders>
          </w:tcPr>
          <w:p w14:paraId="4BD46FB2" w14:textId="77777777" w:rsidR="00711444" w:rsidRPr="004D0DAA" w:rsidRDefault="00711444" w:rsidP="00AA2A4C">
            <w:pPr>
              <w:spacing w:after="0"/>
            </w:pPr>
            <w:r w:rsidRPr="004D0DAA">
              <w:rPr>
                <w:b/>
              </w:rPr>
              <w:lastRenderedPageBreak/>
              <w:t xml:space="preserve">DOWNLINK_eTFI_ASSIGNMENT </w:t>
            </w:r>
            <w:r w:rsidRPr="004D0DAA">
              <w:t>(3 bit field)</w:t>
            </w:r>
            <w:r w:rsidRPr="004D0DAA">
              <w:br/>
              <w:t>This field, if present, assigns an extended TFI (eTFI) used by a mobile station in a DLMC configuration that along with the TFI uniquely identifies a downlink Temporary Block Flow (TBF) on a given carrier (see sub-clause 5.13). This information element is encoded as defined in sub-clause 12.67. When this field is present, the assignment message shall provide it for at least the first carrier in the corresponding UFPS. If this field is absent for any remaining carriers, the DOWNLINK_eTFI_ASSIGNMENT IE for the lowest numbered carrier (see sub-clause 8.1.1.1.3)</w:t>
            </w:r>
            <w:r w:rsidRPr="004D0DAA">
              <w:rPr>
                <w:rFonts w:cs="Calibri"/>
                <w:bCs/>
                <w:kern w:val="32"/>
                <w:szCs w:val="18"/>
              </w:rPr>
              <w:t xml:space="preserve"> </w:t>
            </w:r>
            <w:r w:rsidRPr="004D0DAA">
              <w:t>shall apply</w:t>
            </w:r>
          </w:p>
          <w:p w14:paraId="2FCDD2B0" w14:textId="77777777" w:rsidR="00711444" w:rsidRPr="004D0DAA" w:rsidRDefault="00711444" w:rsidP="00AA2A4C">
            <w:pPr>
              <w:spacing w:after="0"/>
            </w:pPr>
          </w:p>
          <w:p w14:paraId="0618674F" w14:textId="77777777" w:rsidR="00711444" w:rsidRPr="004D0DAA" w:rsidRDefault="00711444" w:rsidP="00AA2A4C">
            <w:pPr>
              <w:spacing w:after="0"/>
            </w:pPr>
            <w:r w:rsidRPr="004D0DAA">
              <w:rPr>
                <w:b/>
              </w:rPr>
              <w:t>Extended SNS</w:t>
            </w:r>
            <w:r w:rsidRPr="004D0DAA">
              <w:t xml:space="preserve"> (1 bit field)</w:t>
            </w:r>
          </w:p>
          <w:p w14:paraId="713FEC1B" w14:textId="77777777" w:rsidR="00711444" w:rsidRPr="004D0DAA" w:rsidRDefault="00711444" w:rsidP="00AA2A4C">
            <w:pPr>
              <w:spacing w:after="0"/>
            </w:pPr>
            <w:r w:rsidRPr="004D0DAA">
              <w:t>This field indicates whether or not the Extended Sequence Number Space of 8192 shall be used in a DLMC configuration. A mobile station shall ignore this field if the maximum number of downlink timeslots it supports in a DLMC configuration is 20 or less.</w:t>
            </w:r>
          </w:p>
          <w:p w14:paraId="3C51C0AB" w14:textId="77777777" w:rsidR="00711444" w:rsidRPr="004D0DAA" w:rsidRDefault="00711444" w:rsidP="00AA2A4C">
            <w:pPr>
              <w:pStyle w:val="FP"/>
              <w:tabs>
                <w:tab w:val="left" w:pos="1995"/>
              </w:tabs>
              <w:ind w:left="567" w:hanging="567"/>
            </w:pPr>
          </w:p>
          <w:p w14:paraId="27593983" w14:textId="77777777" w:rsidR="00711444" w:rsidRPr="004D0DAA" w:rsidRDefault="00711444" w:rsidP="00AA2A4C">
            <w:pPr>
              <w:pStyle w:val="FP"/>
              <w:tabs>
                <w:tab w:val="left" w:pos="1995"/>
              </w:tabs>
              <w:ind w:left="567" w:hanging="567"/>
            </w:pPr>
            <w:r w:rsidRPr="004D0DAA">
              <w:t>0</w:t>
            </w:r>
            <w:r w:rsidRPr="004D0DAA">
              <w:tab/>
              <w:t>Extended SNS is disabled</w:t>
            </w:r>
          </w:p>
          <w:p w14:paraId="250024D1" w14:textId="77777777" w:rsidR="00711444" w:rsidRPr="004D0DAA" w:rsidRDefault="00711444" w:rsidP="00AA2A4C">
            <w:pPr>
              <w:pStyle w:val="FP"/>
              <w:tabs>
                <w:tab w:val="left" w:pos="1995"/>
              </w:tabs>
              <w:ind w:left="567" w:hanging="567"/>
            </w:pPr>
            <w:r w:rsidRPr="004D0DAA">
              <w:t>1</w:t>
            </w:r>
            <w:r w:rsidRPr="004D0DAA">
              <w:tab/>
              <w:t>Extended SNS is enabled</w:t>
            </w:r>
          </w:p>
          <w:p w14:paraId="119131AE" w14:textId="77777777" w:rsidR="00711444" w:rsidRPr="004D0DAA" w:rsidRDefault="00711444" w:rsidP="00AA2A4C">
            <w:pPr>
              <w:spacing w:after="0"/>
            </w:pPr>
          </w:p>
        </w:tc>
      </w:tr>
      <w:tr w:rsidR="00711444" w:rsidRPr="004D0DAA" w14:paraId="67CE63FA" w14:textId="77777777" w:rsidTr="00AA2A4C">
        <w:tblPrEx>
          <w:tblCellMar>
            <w:top w:w="0" w:type="dxa"/>
            <w:bottom w:w="0" w:type="dxa"/>
          </w:tblCellMar>
        </w:tblPrEx>
        <w:trPr>
          <w:cantSplit/>
          <w:trHeight w:val="2800"/>
        </w:trPr>
        <w:tc>
          <w:tcPr>
            <w:tcW w:w="9848" w:type="dxa"/>
            <w:tcBorders>
              <w:top w:val="single" w:sz="4" w:space="0" w:color="auto"/>
              <w:left w:val="single" w:sz="4" w:space="0" w:color="auto"/>
              <w:right w:val="single" w:sz="4" w:space="0" w:color="auto"/>
            </w:tcBorders>
          </w:tcPr>
          <w:p w14:paraId="48798E52" w14:textId="77777777" w:rsidR="00711444" w:rsidRPr="004D0DAA" w:rsidRDefault="00711444" w:rsidP="00AA2A4C">
            <w:pPr>
              <w:spacing w:after="0"/>
            </w:pPr>
            <w:r w:rsidRPr="004D0DAA">
              <w:rPr>
                <w:b/>
              </w:rPr>
              <w:t>Primary TSC Set</w:t>
            </w:r>
            <w:r w:rsidRPr="004D0DAA">
              <w:t xml:space="preserve"> (1 bit field)</w:t>
            </w:r>
          </w:p>
          <w:p w14:paraId="7A55B44E" w14:textId="77777777" w:rsidR="00711444" w:rsidRPr="004D0DAA" w:rsidRDefault="00711444" w:rsidP="00AA2A4C">
            <w:r w:rsidRPr="004D0DAA">
              <w:t xml:space="preserve">If a mobile station supports the extended TSC sets (see 3GPP TS 45.002 [32]) then it shall use this field to identify the TSC set associated with the TSC value provided by the </w:t>
            </w:r>
            <w:r w:rsidRPr="004D0DAA">
              <w:rPr>
                <w:i/>
              </w:rPr>
              <w:t xml:space="preserve">Frequency Parameters </w:t>
            </w:r>
            <w:r w:rsidRPr="004D0DAA">
              <w:t xml:space="preserve">IE, </w:t>
            </w:r>
            <w:r w:rsidRPr="004D0DAA">
              <w:rPr>
                <w:i/>
              </w:rPr>
              <w:t>Dual Carrier</w:t>
            </w:r>
            <w:r w:rsidRPr="004D0DAA">
              <w:t xml:space="preserve"> </w:t>
            </w:r>
            <w:r w:rsidRPr="004D0DAA">
              <w:rPr>
                <w:i/>
              </w:rPr>
              <w:t xml:space="preserve">Frequency Parameters </w:t>
            </w:r>
            <w:r w:rsidRPr="004D0DAA">
              <w:t xml:space="preserve">IE or </w:t>
            </w:r>
            <w:r w:rsidRPr="004D0DAA">
              <w:rPr>
                <w:rFonts w:cs="Arial"/>
                <w:i/>
              </w:rPr>
              <w:t>DLMC Frequency Parameters</w:t>
            </w:r>
            <w:r w:rsidRPr="004D0DAA">
              <w:rPr>
                <w:rFonts w:cs="Arial"/>
              </w:rPr>
              <w:t xml:space="preserve"> IE for use on the assigned downlink PS resources</w:t>
            </w:r>
            <w:r w:rsidRPr="004D0DAA">
              <w:t xml:space="preserve">.  </w:t>
            </w:r>
          </w:p>
          <w:p w14:paraId="44F31058" w14:textId="77777777" w:rsidR="00711444" w:rsidRPr="004D0DAA" w:rsidRDefault="00711444" w:rsidP="00AA2A4C">
            <w:pPr>
              <w:spacing w:after="0"/>
            </w:pPr>
            <w:r w:rsidRPr="004D0DAA">
              <w:rPr>
                <w:b/>
              </w:rPr>
              <w:t>Secondary DL TSC Set</w:t>
            </w:r>
            <w:r w:rsidRPr="004D0DAA">
              <w:t xml:space="preserve"> (1 bit field)</w:t>
            </w:r>
          </w:p>
          <w:p w14:paraId="3BC6CB1F" w14:textId="77777777" w:rsidR="00711444" w:rsidRPr="004D0DAA" w:rsidRDefault="00711444" w:rsidP="00AA2A4C">
            <w:r w:rsidRPr="004D0DAA">
              <w:t xml:space="preserve">If a mobile station supports the extended TSC sets (see 3GPP TS 45.002 [32]) then it shall use this field to identify the TSC set associated with the </w:t>
            </w:r>
            <w:r w:rsidRPr="004D0DAA">
              <w:rPr>
                <w:i/>
              </w:rPr>
              <w:t xml:space="preserve">Secondary DL TSC Value </w:t>
            </w:r>
            <w:r w:rsidRPr="004D0DAA">
              <w:t xml:space="preserve">field. </w:t>
            </w:r>
          </w:p>
          <w:p w14:paraId="546B4538" w14:textId="77777777" w:rsidR="00711444" w:rsidRPr="004D0DAA" w:rsidRDefault="00711444" w:rsidP="00AA2A4C">
            <w:r w:rsidRPr="004D0DAA">
              <w:t>The Primary TSC Set and Secondary DL TSC Set fields are coded as follows:</w:t>
            </w:r>
          </w:p>
          <w:p w14:paraId="324B50D5" w14:textId="77777777" w:rsidR="00711444" w:rsidRPr="004D0DAA" w:rsidRDefault="00711444" w:rsidP="00AA2A4C">
            <w:pPr>
              <w:spacing w:before="60" w:after="0"/>
            </w:pPr>
            <w:r w:rsidRPr="004D0DAA">
              <w:t>0  TSC set 1</w:t>
            </w:r>
          </w:p>
          <w:p w14:paraId="0E68CCE7" w14:textId="77777777" w:rsidR="00711444" w:rsidRPr="004D0DAA" w:rsidRDefault="00711444" w:rsidP="00AA2A4C">
            <w:pPr>
              <w:spacing w:before="60" w:after="0"/>
              <w:ind w:left="270" w:hanging="270"/>
            </w:pPr>
            <w:r w:rsidRPr="004D0DAA">
              <w:t xml:space="preserve">1   Indicates TSC set 2 for 8PSK, 16QAM and 32QAM modulation. For GMSK modulation it indicates TSC set 3 (which is identical to TSC set 3 used for the CS domain). </w:t>
            </w:r>
          </w:p>
          <w:p w14:paraId="6589855E" w14:textId="77777777" w:rsidR="00711444" w:rsidRPr="004D0DAA" w:rsidRDefault="00711444" w:rsidP="00AA2A4C">
            <w:pPr>
              <w:spacing w:before="60" w:after="0"/>
              <w:rPr>
                <w:b/>
              </w:rPr>
            </w:pPr>
          </w:p>
        </w:tc>
      </w:tr>
      <w:tr w:rsidR="00711444" w:rsidRPr="004D0DAA" w14:paraId="70B7773B" w14:textId="77777777" w:rsidTr="00AA2A4C">
        <w:tblPrEx>
          <w:tblCellMar>
            <w:top w:w="0" w:type="dxa"/>
            <w:bottom w:w="0" w:type="dxa"/>
          </w:tblCellMar>
        </w:tblPrEx>
        <w:trPr>
          <w:cantSplit/>
          <w:trHeight w:val="1214"/>
        </w:trPr>
        <w:tc>
          <w:tcPr>
            <w:tcW w:w="9848" w:type="dxa"/>
            <w:tcBorders>
              <w:top w:val="single" w:sz="4" w:space="0" w:color="auto"/>
              <w:left w:val="single" w:sz="4" w:space="0" w:color="auto"/>
              <w:right w:val="single" w:sz="4" w:space="0" w:color="auto"/>
            </w:tcBorders>
          </w:tcPr>
          <w:p w14:paraId="73DE5F2F" w14:textId="77777777" w:rsidR="00711444" w:rsidRPr="004D0DAA" w:rsidRDefault="00711444" w:rsidP="00AA2A4C">
            <w:pPr>
              <w:spacing w:after="0"/>
              <w:rPr>
                <w:b/>
              </w:rPr>
            </w:pPr>
            <w:r w:rsidRPr="004D0DAA">
              <w:rPr>
                <w:b/>
              </w:rPr>
              <w:t xml:space="preserve">Secondary DL TSC Value </w:t>
            </w:r>
            <w:r w:rsidRPr="004D0DAA">
              <w:t>(3 bit field)</w:t>
            </w:r>
          </w:p>
          <w:p w14:paraId="34F68776" w14:textId="77777777" w:rsidR="00711444" w:rsidRPr="004D0DAA" w:rsidRDefault="00711444" w:rsidP="00AA2A4C">
            <w:pPr>
              <w:spacing w:after="0"/>
            </w:pPr>
            <w:r w:rsidRPr="004D0DAA">
              <w:t>If a mobile station supports the extended TSC sets (see 3GPP TS 45.002 [32]) then it shall use this field to identify the secondary TSC value to be used on the assigned downlink PS resources. It is coded as the binary representation of the Training Sequence code as defined in 3GPP TS 45.002. Range: 0 to 7.</w:t>
            </w:r>
          </w:p>
        </w:tc>
      </w:tr>
      <w:tr w:rsidR="00711444" w:rsidRPr="004D0DAA" w14:paraId="3C9BFD5D" w14:textId="77777777" w:rsidTr="00AA2A4C">
        <w:tblPrEx>
          <w:tblCellMar>
            <w:top w:w="0" w:type="dxa"/>
            <w:bottom w:w="0" w:type="dxa"/>
          </w:tblCellMar>
        </w:tblPrEx>
        <w:trPr>
          <w:cantSplit/>
          <w:trHeight w:val="1214"/>
        </w:trPr>
        <w:tc>
          <w:tcPr>
            <w:tcW w:w="9848" w:type="dxa"/>
            <w:tcBorders>
              <w:top w:val="single" w:sz="4" w:space="0" w:color="auto"/>
              <w:left w:val="single" w:sz="4" w:space="0" w:color="auto"/>
              <w:right w:val="single" w:sz="4" w:space="0" w:color="auto"/>
            </w:tcBorders>
          </w:tcPr>
          <w:p w14:paraId="49660992" w14:textId="77777777" w:rsidR="00711444" w:rsidRPr="004D0DAA" w:rsidRDefault="00711444" w:rsidP="00AA2A4C">
            <w:pPr>
              <w:spacing w:after="0"/>
            </w:pPr>
            <w:r w:rsidRPr="004D0DAA">
              <w:rPr>
                <w:b/>
              </w:rPr>
              <w:t>Multilateration Information Request</w:t>
            </w:r>
            <w:r w:rsidRPr="004D0DAA">
              <w:t xml:space="preserve"> (1 bit field)</w:t>
            </w:r>
          </w:p>
          <w:p w14:paraId="6A89F8AF" w14:textId="77777777" w:rsidR="00711444" w:rsidRPr="004D0DAA" w:rsidRDefault="00711444" w:rsidP="00AA2A4C">
            <w:pPr>
              <w:pStyle w:val="TAL"/>
              <w:rPr>
                <w:rFonts w:ascii="Times New Roman" w:hAnsi="Times New Roman"/>
                <w:sz w:val="20"/>
                <w:lang w:eastAsia="en-US"/>
              </w:rPr>
            </w:pPr>
            <w:r w:rsidRPr="004D0DAA">
              <w:rPr>
                <w:rFonts w:ascii="Times New Roman" w:hAnsi="Times New Roman"/>
                <w:sz w:val="20"/>
                <w:lang w:eastAsia="en-US"/>
              </w:rPr>
              <w:t xml:space="preserve">This field indicates whether or not a MS is to include “MS Transmission Offset” and “MS Sync Accuracy” parameters when sending an EGPRS Packet Downlink Ack/Nack Type 2 message (see sub-clause11.2.6e) or an EGPRS Packet Downlink Ack/Nack Type 3 message (see sub-clause 11.2.6f) during a downlink TBF. </w:t>
            </w:r>
            <w:r w:rsidRPr="004D0DAA">
              <w:rPr>
                <w:rFonts w:ascii="Times New Roman" w:hAnsi="Times New Roman"/>
                <w:sz w:val="20"/>
                <w:lang w:eastAsia="en-US"/>
              </w:rPr>
              <w:tab/>
              <w:t>This field can be included when establishing a downlink TBF to deliver a downlink LLC PDU for which the corresponding DL-UNITDATA PDU indicates timing advance information is needed (see 3GPP TS 48.018).  This field is coded as follows:</w:t>
            </w:r>
          </w:p>
          <w:p w14:paraId="4A1638D3" w14:textId="77777777" w:rsidR="00711444" w:rsidRPr="004D0DAA" w:rsidRDefault="00711444" w:rsidP="00AA2A4C">
            <w:pPr>
              <w:pStyle w:val="TAL"/>
              <w:rPr>
                <w:rFonts w:ascii="Times New Roman" w:hAnsi="Times New Roman"/>
                <w:sz w:val="20"/>
                <w:lang w:eastAsia="en-US"/>
              </w:rPr>
            </w:pPr>
          </w:p>
          <w:p w14:paraId="518EDC08" w14:textId="77777777" w:rsidR="00711444" w:rsidRPr="004D0DAA" w:rsidRDefault="00711444" w:rsidP="00AA2A4C">
            <w:pPr>
              <w:spacing w:before="60" w:after="0"/>
            </w:pPr>
            <w:r w:rsidRPr="004D0DAA">
              <w:t>0   Do not include “MS Transmission Offset” and “MS Sync Accuracy” parameters</w:t>
            </w:r>
          </w:p>
          <w:p w14:paraId="709BEF87" w14:textId="77777777" w:rsidR="00711444" w:rsidRPr="004D0DAA" w:rsidRDefault="00711444" w:rsidP="00AA2A4C">
            <w:pPr>
              <w:spacing w:before="60" w:after="0"/>
            </w:pPr>
            <w:r w:rsidRPr="004D0DAA">
              <w:t>1   Include “MS Transmission Offset” and “MS Sync Accuracy” parameters</w:t>
            </w:r>
          </w:p>
          <w:p w14:paraId="2940F8F8" w14:textId="77777777" w:rsidR="00711444" w:rsidRPr="004D0DAA" w:rsidRDefault="00711444" w:rsidP="00AA2A4C">
            <w:pPr>
              <w:spacing w:after="0"/>
              <w:rPr>
                <w:b/>
              </w:rPr>
            </w:pPr>
          </w:p>
        </w:tc>
      </w:tr>
    </w:tbl>
    <w:p w14:paraId="4753A643" w14:textId="77777777" w:rsidR="00711444" w:rsidRPr="004D0DAA" w:rsidRDefault="00711444" w:rsidP="00711444"/>
    <w:p w14:paraId="6F1E2B22" w14:textId="77777777" w:rsidR="00711444" w:rsidRPr="004D0DAA" w:rsidRDefault="00711444" w:rsidP="00711444">
      <w:pPr>
        <w:pStyle w:val="Heading4"/>
      </w:pPr>
      <w:bookmarkStart w:id="665" w:name="_Toc516669841"/>
      <w:r w:rsidRPr="004D0DAA">
        <w:t>11.2.7.1</w:t>
      </w:r>
      <w:r w:rsidRPr="004D0DAA">
        <w:tab/>
        <w:t>Special requirements in dual transfer mode for downlink TBF</w:t>
      </w:r>
      <w:bookmarkEnd w:id="665"/>
    </w:p>
    <w:p w14:paraId="7369AC89" w14:textId="77777777" w:rsidR="00711444" w:rsidRPr="004D0DAA" w:rsidRDefault="00711444" w:rsidP="00711444">
      <w:r w:rsidRPr="004D0DAA">
        <w:t>Special requirements apply when a downlink TBF is assigned to a mobile station in dual transfer mode or a mobile station about to enter dual transfer mode.</w:t>
      </w:r>
    </w:p>
    <w:p w14:paraId="380D0745" w14:textId="77777777" w:rsidR="00711444" w:rsidRPr="004D0DAA" w:rsidRDefault="00711444" w:rsidP="00711444">
      <w:r w:rsidRPr="004D0DAA">
        <w:t>If the mobile station has an RR connection to the network on a half-rate TCH, the network may assign a downlink TBF using the other sub-channel of the same timeslot for a half-rate PDCH (see 3GPP TS 45.002). In this case, the downlink assignment message shall be encoded with a timeslot allocation including the timeslot number for the half-rate TCH and the half-rate PDCH and only that timeslot number. The mobile station shall interpret this allocation as an allocation of a half-rate PDCH.</w:t>
      </w:r>
    </w:p>
    <w:p w14:paraId="66DCB383" w14:textId="77777777" w:rsidR="00711444" w:rsidRPr="004D0DAA" w:rsidRDefault="00711444" w:rsidP="00711444">
      <w:pPr>
        <w:pStyle w:val="Heading3"/>
      </w:pPr>
      <w:bookmarkStart w:id="666" w:name="_Toc516669842"/>
      <w:r w:rsidRPr="004D0DAA">
        <w:lastRenderedPageBreak/>
        <w:t>11.2.7a</w:t>
      </w:r>
      <w:r w:rsidRPr="004D0DAA">
        <w:tab/>
        <w:t>Multiple TBF Downlink Assignment</w:t>
      </w:r>
      <w:bookmarkEnd w:id="666"/>
    </w:p>
    <w:p w14:paraId="3BDF9370" w14:textId="77777777" w:rsidR="00711444" w:rsidRPr="004D0DAA" w:rsidRDefault="00711444" w:rsidP="00711444">
      <w:r w:rsidRPr="004D0DAA">
        <w:t>This message is sent on the PACCH by the network to the mobile station to assign multiple downlink resources to the mobile station. If the mobile station supports Downlink Dual Carrier, this message may be sent using extended RLC/MAC control message segmentation (see sub-clause 9.1.12a).</w:t>
      </w:r>
    </w:p>
    <w:p w14:paraId="0B280A48" w14:textId="77777777" w:rsidR="00711444" w:rsidRPr="004D0DAA" w:rsidRDefault="00711444" w:rsidP="00711444">
      <w:r w:rsidRPr="004D0DAA">
        <w:t>A mobile allocation or reference frequency list received as part of this assignment message shall be valid until a new assignment is received or until all of the TBFs belonging to the MS are terminated.</w:t>
      </w:r>
    </w:p>
    <w:p w14:paraId="1A1F106D" w14:textId="77777777" w:rsidR="00711444" w:rsidRPr="004D0DAA" w:rsidRDefault="00711444" w:rsidP="00711444">
      <w:pPr>
        <w:pStyle w:val="EX"/>
      </w:pPr>
      <w:r w:rsidRPr="004D0DAA">
        <w:t>Message type:</w:t>
      </w:r>
      <w:r w:rsidRPr="004D0DAA">
        <w:tab/>
        <w:t>MULTIPLE TBF DOWNLINK ASSIGNMENT</w:t>
      </w:r>
    </w:p>
    <w:p w14:paraId="34C5D5C7" w14:textId="77777777" w:rsidR="00711444" w:rsidRPr="004D0DAA" w:rsidRDefault="00711444" w:rsidP="00711444">
      <w:pPr>
        <w:pStyle w:val="EX"/>
      </w:pPr>
      <w:r w:rsidRPr="004D0DAA">
        <w:t>Direction:</w:t>
      </w:r>
      <w:r w:rsidRPr="004D0DAA">
        <w:tab/>
        <w:t>network to mobile station</w:t>
      </w:r>
    </w:p>
    <w:p w14:paraId="24A70544" w14:textId="77777777" w:rsidR="00711444" w:rsidRPr="004D0DAA" w:rsidRDefault="00711444" w:rsidP="00711444">
      <w:pPr>
        <w:pStyle w:val="EX"/>
      </w:pPr>
      <w:r w:rsidRPr="004D0DAA">
        <w:t>Classification:</w:t>
      </w:r>
      <w:r w:rsidRPr="004D0DAA">
        <w:tab/>
        <w:t>non-distribution message</w:t>
      </w:r>
    </w:p>
    <w:p w14:paraId="3681D09B" w14:textId="77777777" w:rsidR="00711444" w:rsidRPr="004D0DAA" w:rsidRDefault="00711444" w:rsidP="00711444">
      <w:pPr>
        <w:pStyle w:val="TH"/>
      </w:pPr>
      <w:r w:rsidRPr="004D0DAA">
        <w:lastRenderedPageBreak/>
        <w:t xml:space="preserve">Table 11.2.7a.1: </w:t>
      </w:r>
      <w:r w:rsidRPr="004D0DAA">
        <w:rPr>
          <w:caps/>
        </w:rPr>
        <w:t>MULTIPLE TBF Downlink ASSIGNMENT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246B224" w14:textId="77777777" w:rsidTr="00AA2A4C">
        <w:tblPrEx>
          <w:tblCellMar>
            <w:top w:w="0" w:type="dxa"/>
            <w:bottom w:w="0" w:type="dxa"/>
          </w:tblCellMar>
        </w:tblPrEx>
        <w:trPr>
          <w:cantSplit/>
        </w:trPr>
        <w:tc>
          <w:tcPr>
            <w:tcW w:w="9848" w:type="dxa"/>
          </w:tcPr>
          <w:p w14:paraId="2D2C880D" w14:textId="77777777" w:rsidR="00711444" w:rsidRPr="004D0DAA" w:rsidRDefault="00711444" w:rsidP="00AA2A4C">
            <w:pPr>
              <w:pStyle w:val="TAL"/>
              <w:rPr>
                <w:lang w:val="fr-FR" w:eastAsia="en-US"/>
              </w:rPr>
            </w:pPr>
            <w:r w:rsidRPr="004D0DAA">
              <w:rPr>
                <w:lang w:val="fr-FR" w:eastAsia="en-US"/>
              </w:rPr>
              <w:t>&lt; Multiple TBF Downlink Assignment message content &gt; ::=</w:t>
            </w:r>
          </w:p>
          <w:p w14:paraId="206C27F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70465FB5" w14:textId="77777777" w:rsidR="00711444" w:rsidRPr="004D0DAA" w:rsidRDefault="00711444" w:rsidP="00AA2A4C">
            <w:pPr>
              <w:pStyle w:val="TAL"/>
              <w:rPr>
                <w:lang w:val="fr-FR" w:eastAsia="en-US"/>
              </w:rPr>
            </w:pPr>
            <w:r w:rsidRPr="004D0DAA">
              <w:rPr>
                <w:lang w:val="fr-FR" w:eastAsia="en-US"/>
              </w:rPr>
              <w:tab/>
              <w:t>{ 0 | 1 &lt;</w:t>
            </w:r>
            <w:r w:rsidRPr="004D0DAA">
              <w:rPr>
                <w:b/>
                <w:lang w:val="fr-FR" w:eastAsia="en-US"/>
              </w:rPr>
              <w:t xml:space="preserve">PERSISTENCE_LEVEL </w:t>
            </w:r>
            <w:r w:rsidRPr="004D0DAA">
              <w:rPr>
                <w:lang w:val="fr-FR" w:eastAsia="en-US"/>
              </w:rPr>
              <w:t>: bit (4) &gt; * 4 }</w:t>
            </w:r>
          </w:p>
          <w:p w14:paraId="56D2A44E"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69F6206C"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10</w:t>
            </w:r>
            <w:r w:rsidRPr="004D0DAA">
              <w:rPr>
                <w:lang w:val="fr-FR" w:eastAsia="en-US"/>
              </w:rPr>
              <w:tab/>
              <w:t xml:space="preserve">{ &lt; </w:t>
            </w:r>
            <w:r w:rsidRPr="004D0DAA">
              <w:rPr>
                <w:b/>
                <w:lang w:val="fr-FR" w:eastAsia="en-US"/>
              </w:rPr>
              <w:t xml:space="preserve">TLLI </w:t>
            </w:r>
            <w:r w:rsidRPr="004D0DAA">
              <w:rPr>
                <w:b/>
                <w:bCs/>
                <w:lang w:val="fr-FR" w:eastAsia="en-US"/>
              </w:rPr>
              <w:t>/ G-RNTI</w:t>
            </w:r>
            <w:r w:rsidRPr="004D0DAA">
              <w:rPr>
                <w:lang w:val="fr-FR" w:eastAsia="en-US"/>
              </w:rPr>
              <w:t xml:space="preserve"> : &lt;TLLI / G-RNTI IE &gt; &gt; </w:t>
            </w:r>
            <w:r w:rsidRPr="004D0DAA">
              <w:rPr>
                <w:iCs/>
                <w:lang w:val="fr-FR" w:eastAsia="en-US"/>
              </w:rPr>
              <w:t xml:space="preserve">&lt; </w:t>
            </w:r>
            <w:r w:rsidRPr="004D0DAA">
              <w:rPr>
                <w:b/>
                <w:bCs/>
                <w:iCs/>
                <w:lang w:val="fr-FR" w:eastAsia="en-US"/>
              </w:rPr>
              <w:t xml:space="preserve">G-RNTI extension </w:t>
            </w:r>
            <w:r w:rsidRPr="004D0DAA">
              <w:rPr>
                <w:iCs/>
                <w:lang w:val="fr-FR" w:eastAsia="en-US"/>
              </w:rPr>
              <w:t>: bit (4) &gt; }</w:t>
            </w:r>
            <w:r w:rsidRPr="004D0DAA">
              <w:rPr>
                <w:lang w:val="fr-FR" w:eastAsia="en-US"/>
              </w:rPr>
              <w:t xml:space="preserve"> }</w:t>
            </w:r>
          </w:p>
        </w:tc>
      </w:tr>
      <w:tr w:rsidR="00711444" w:rsidRPr="004D0DAA" w14:paraId="2FDB8DF9" w14:textId="77777777" w:rsidTr="00AA2A4C">
        <w:tblPrEx>
          <w:tblCellMar>
            <w:top w:w="0" w:type="dxa"/>
            <w:bottom w:w="0" w:type="dxa"/>
          </w:tblCellMar>
        </w:tblPrEx>
        <w:trPr>
          <w:cantSplit/>
        </w:trPr>
        <w:tc>
          <w:tcPr>
            <w:tcW w:w="9848" w:type="dxa"/>
          </w:tcPr>
          <w:p w14:paraId="0D2CDFEE"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0</w:t>
            </w:r>
            <w:r w:rsidRPr="004D0DAA">
              <w:rPr>
                <w:lang w:eastAsia="en-US"/>
              </w:rPr>
              <w:tab/>
            </w:r>
            <w:r w:rsidRPr="004D0DAA">
              <w:rPr>
                <w:lang w:eastAsia="en-US"/>
              </w:rPr>
              <w:tab/>
              <w:t xml:space="preserve">-- </w:t>
            </w:r>
            <w:r w:rsidRPr="004D0DAA">
              <w:rPr>
                <w:i/>
                <w:lang w:eastAsia="en-US"/>
              </w:rPr>
              <w:t>Message escape</w:t>
            </w:r>
          </w:p>
          <w:p w14:paraId="0D9760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 xml:space="preserve">Packet Timing Advance </w:t>
            </w:r>
            <w:r w:rsidRPr="004D0DAA">
              <w:rPr>
                <w:lang w:eastAsia="en-US"/>
              </w:rPr>
              <w:t>: &lt; Packet Timing Advance IE &gt; &gt;</w:t>
            </w:r>
          </w:p>
          <w:p w14:paraId="03604983"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lang w:val="fr-FR" w:eastAsia="en-US"/>
              </w:rPr>
              <w:t>P0</w:t>
            </w:r>
            <w:r w:rsidRPr="004D0DAA">
              <w:rPr>
                <w:lang w:val="fr-FR" w:eastAsia="en-US"/>
              </w:rPr>
              <w:t xml:space="preserve"> : bit (4) &gt; </w:t>
            </w:r>
          </w:p>
          <w:p w14:paraId="1FF0C7DC"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PR_MODE</w:t>
            </w:r>
            <w:r w:rsidRPr="004D0DAA">
              <w:rPr>
                <w:lang w:val="fr-FR" w:eastAsia="en-US"/>
              </w:rPr>
              <w:t> : bit (1) &gt; }</w:t>
            </w:r>
          </w:p>
          <w:p w14:paraId="73300F45"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w:t>
            </w: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15C6CD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Power Control Parameters</w:t>
            </w:r>
            <w:r w:rsidRPr="004D0DAA">
              <w:rPr>
                <w:lang w:eastAsia="en-US"/>
              </w:rPr>
              <w:t xml:space="preserve"> : &lt; Power Control Parameters IE &gt; &gt; }</w:t>
            </w:r>
          </w:p>
          <w:p w14:paraId="06D1A4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TBF Starting Time</w:t>
            </w:r>
            <w:r w:rsidRPr="004D0DAA">
              <w:rPr>
                <w:lang w:eastAsia="en-US"/>
              </w:rPr>
              <w:t xml:space="preserve"> : &lt; Starting Frame Number Description IE &gt; &gt; }</w:t>
            </w:r>
          </w:p>
          <w:p w14:paraId="33AC7EA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 0 | 1 &lt; </w:t>
            </w:r>
            <w:r w:rsidRPr="004D0DAA">
              <w:rPr>
                <w:b/>
                <w:lang w:eastAsia="en-US"/>
              </w:rPr>
              <w:t>EGPRS Window Size</w:t>
            </w:r>
            <w:r w:rsidRPr="004D0DAA">
              <w:rPr>
                <w:lang w:eastAsia="en-US"/>
              </w:rPr>
              <w:t> : &lt; EGPRS Window Size IE &gt; &gt; }</w:t>
            </w:r>
          </w:p>
          <w:p w14:paraId="7B83A44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04415EC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w:t>
            </w:r>
          </w:p>
          <w:p w14:paraId="5ADDDA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Packet Extended Timing Advance</w:t>
            </w:r>
            <w:r w:rsidRPr="004D0DAA">
              <w:rPr>
                <w:lang w:eastAsia="en-US"/>
              </w:rPr>
              <w:t xml:space="preserve"> : bit (2) &gt; }</w:t>
            </w:r>
          </w:p>
          <w:p w14:paraId="0C09A60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Control Timeslot</w:t>
            </w:r>
            <w:r w:rsidRPr="004D0DAA">
              <w:rPr>
                <w:lang w:eastAsia="en-US"/>
              </w:rPr>
              <w:t xml:space="preserve"> : bit (3) &gt; }</w:t>
            </w:r>
          </w:p>
          <w:p w14:paraId="69344FC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Multiple Downlink TBF Assignment</w:t>
            </w:r>
            <w:r w:rsidRPr="004D0DAA">
              <w:rPr>
                <w:lang w:eastAsia="en-US"/>
              </w:rPr>
              <w:t xml:space="preserve"> : &lt; Multiple Downlink TBF Assignment struct &gt; &gt; } ** 0</w:t>
            </w:r>
          </w:p>
          <w:p w14:paraId="16E4BC2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6013664E"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xml:space="preserve">-- </w:t>
            </w:r>
            <w:r w:rsidRPr="004D0DAA">
              <w:rPr>
                <w:i/>
                <w:lang w:eastAsia="en-US"/>
              </w:rPr>
              <w:t>Additions for REL-7</w:t>
            </w:r>
          </w:p>
          <w:p w14:paraId="6348B06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 0 | 1&lt; </w:t>
            </w:r>
            <w:r w:rsidRPr="004D0DAA">
              <w:rPr>
                <w:b/>
                <w:lang w:eastAsia="en-US"/>
              </w:rPr>
              <w:t xml:space="preserve">NPM Transfer Time </w:t>
            </w:r>
            <w:r w:rsidRPr="004D0DAA">
              <w:rPr>
                <w:lang w:eastAsia="en-US"/>
              </w:rPr>
              <w:t>: bit (5) &gt; } ** 0</w:t>
            </w:r>
          </w:p>
          <w:p w14:paraId="76A33E3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 }}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6F97DBE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2FAB5156" w14:textId="77777777" w:rsidTr="00AA2A4C">
        <w:tblPrEx>
          <w:tblCellMar>
            <w:top w:w="0" w:type="dxa"/>
            <w:bottom w:w="0" w:type="dxa"/>
          </w:tblCellMar>
        </w:tblPrEx>
        <w:trPr>
          <w:cantSplit/>
        </w:trPr>
        <w:tc>
          <w:tcPr>
            <w:tcW w:w="9848" w:type="dxa"/>
          </w:tcPr>
          <w:p w14:paraId="14E262B3"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t>| 1</w:t>
            </w:r>
            <w:r w:rsidRPr="004D0DAA">
              <w:rPr>
                <w:lang w:eastAsia="en-US"/>
              </w:rPr>
              <w:tab/>
            </w:r>
            <w:r w:rsidRPr="004D0DAA">
              <w:rPr>
                <w:lang w:eastAsia="en-US"/>
              </w:rPr>
              <w:tab/>
              <w:t xml:space="preserve">-- </w:t>
            </w:r>
            <w:r w:rsidRPr="004D0DAA">
              <w:rPr>
                <w:i/>
                <w:lang w:eastAsia="en-US"/>
              </w:rPr>
              <w:t>Message escape for dual carrier, RTTI, BTTI with FANR activated, EGPRS2</w:t>
            </w:r>
          </w:p>
          <w:p w14:paraId="4BF12D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00 {</w:t>
            </w:r>
            <w:r w:rsidRPr="004D0DAA">
              <w:rPr>
                <w:lang w:eastAsia="en-US"/>
              </w:rPr>
              <w:tab/>
              <w:t xml:space="preserve">&lt; </w:t>
            </w:r>
            <w:r w:rsidRPr="004D0DAA">
              <w:rPr>
                <w:b/>
                <w:lang w:eastAsia="en-US"/>
              </w:rPr>
              <w:t>Packet Timing Advance</w:t>
            </w:r>
            <w:r w:rsidRPr="004D0DAA">
              <w:rPr>
                <w:lang w:eastAsia="en-US"/>
              </w:rPr>
              <w:t xml:space="preserve"> : &lt; Packet Timing Advance IE &gt; &gt;</w:t>
            </w:r>
          </w:p>
          <w:p w14:paraId="7E64506B"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 xml:space="preserve">Assignment Info : </w:t>
            </w:r>
            <w:r w:rsidRPr="004D0DAA">
              <w:rPr>
                <w:lang w:eastAsia="en-US"/>
              </w:rPr>
              <w:t>&lt;</w:t>
            </w:r>
            <w:r w:rsidRPr="004D0DAA">
              <w:rPr>
                <w:b/>
                <w:lang w:eastAsia="en-US"/>
              </w:rPr>
              <w:t xml:space="preserve"> </w:t>
            </w:r>
            <w:r w:rsidRPr="004D0DAA">
              <w:rPr>
                <w:lang w:eastAsia="en-US"/>
              </w:rPr>
              <w:t>Assignment Info struct &gt; &gt;</w:t>
            </w:r>
          </w:p>
          <w:p w14:paraId="696E0A76" w14:textId="77777777" w:rsidR="00711444" w:rsidRPr="004D0DAA" w:rsidRDefault="00711444" w:rsidP="00AA2A4C">
            <w:pPr>
              <w:pStyle w:val="TAL"/>
              <w:rPr>
                <w:szCs w:val="18"/>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val="fr-FR" w:eastAsia="en-US"/>
              </w:rPr>
              <w:t>{ 0 | 1</w:t>
            </w:r>
            <w:r w:rsidRPr="004D0DAA">
              <w:rPr>
                <w:szCs w:val="18"/>
                <w:lang w:val="fr-FR" w:eastAsia="en-US"/>
              </w:rPr>
              <w:tab/>
              <w:t xml:space="preserve">&lt; </w:t>
            </w:r>
            <w:r w:rsidRPr="004D0DAA">
              <w:rPr>
                <w:b/>
                <w:szCs w:val="18"/>
                <w:lang w:val="fr-FR" w:eastAsia="en-US"/>
              </w:rPr>
              <w:t>P0_C1</w:t>
            </w:r>
            <w:r w:rsidRPr="004D0DAA">
              <w:rPr>
                <w:szCs w:val="18"/>
                <w:lang w:val="fr-FR" w:eastAsia="en-US"/>
              </w:rPr>
              <w:t> : bit (4) &gt;</w:t>
            </w:r>
          </w:p>
          <w:p w14:paraId="3D9438CB" w14:textId="77777777" w:rsidR="00711444" w:rsidRPr="004D0DAA" w:rsidRDefault="00711444" w:rsidP="00AA2A4C">
            <w:pPr>
              <w:pStyle w:val="TAL"/>
              <w:rPr>
                <w:szCs w:val="18"/>
                <w:lang w:val="fr-FR" w:eastAsia="en-US"/>
              </w:rPr>
            </w:pP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t xml:space="preserve">&lt; </w:t>
            </w:r>
            <w:r w:rsidRPr="004D0DAA">
              <w:rPr>
                <w:b/>
                <w:szCs w:val="18"/>
                <w:lang w:val="fr-FR" w:eastAsia="en-US"/>
              </w:rPr>
              <w:t>PR_MODE_C1</w:t>
            </w:r>
            <w:r w:rsidRPr="004D0DAA">
              <w:rPr>
                <w:szCs w:val="18"/>
                <w:lang w:val="fr-FR" w:eastAsia="en-US"/>
              </w:rPr>
              <w:t> : bit (1) &gt;</w:t>
            </w:r>
          </w:p>
          <w:p w14:paraId="7A539B1C" w14:textId="77777777" w:rsidR="00711444" w:rsidRPr="004D0DAA" w:rsidRDefault="00711444" w:rsidP="00AA2A4C">
            <w:pPr>
              <w:pStyle w:val="TAL"/>
              <w:rPr>
                <w:szCs w:val="18"/>
                <w:lang w:val="fr-FR" w:eastAsia="en-US"/>
              </w:rPr>
            </w:pP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t>{ 0 | 1</w:t>
            </w:r>
            <w:r w:rsidRPr="004D0DAA">
              <w:rPr>
                <w:szCs w:val="18"/>
                <w:lang w:val="fr-FR" w:eastAsia="en-US"/>
              </w:rPr>
              <w:tab/>
              <w:t xml:space="preserve">&lt; </w:t>
            </w:r>
            <w:r w:rsidRPr="004D0DAA">
              <w:rPr>
                <w:b/>
                <w:szCs w:val="18"/>
                <w:lang w:val="fr-FR" w:eastAsia="en-US"/>
              </w:rPr>
              <w:t>P0_C2</w:t>
            </w:r>
            <w:r w:rsidRPr="004D0DAA">
              <w:rPr>
                <w:szCs w:val="18"/>
                <w:lang w:val="fr-FR" w:eastAsia="en-US"/>
              </w:rPr>
              <w:t> : bit (4) &gt;</w:t>
            </w:r>
          </w:p>
          <w:p w14:paraId="7472796E" w14:textId="77777777" w:rsidR="00711444" w:rsidRPr="004D0DAA" w:rsidRDefault="00711444" w:rsidP="00AA2A4C">
            <w:pPr>
              <w:pStyle w:val="TAL"/>
              <w:rPr>
                <w:szCs w:val="18"/>
                <w:lang w:val="fr-FR" w:eastAsia="en-US"/>
              </w:rPr>
            </w:pP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r>
            <w:r w:rsidRPr="004D0DAA">
              <w:rPr>
                <w:szCs w:val="18"/>
                <w:lang w:val="fr-FR" w:eastAsia="en-US"/>
              </w:rPr>
              <w:tab/>
              <w:t xml:space="preserve">&lt; </w:t>
            </w:r>
            <w:r w:rsidRPr="004D0DAA">
              <w:rPr>
                <w:b/>
                <w:szCs w:val="18"/>
                <w:lang w:val="fr-FR" w:eastAsia="en-US"/>
              </w:rPr>
              <w:t>PR_MODE_C2</w:t>
            </w:r>
            <w:r w:rsidRPr="004D0DAA">
              <w:rPr>
                <w:szCs w:val="18"/>
                <w:lang w:val="fr-FR" w:eastAsia="en-US"/>
              </w:rPr>
              <w:t> : bit (1) &gt; } }</w:t>
            </w:r>
          </w:p>
          <w:p w14:paraId="66A95F54"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w:t>
            </w:r>
            <w:r w:rsidRPr="004D0DAA">
              <w:rPr>
                <w:lang w:eastAsia="en-US"/>
              </w:rPr>
              <w:tab/>
              <w:t>{ 00</w:t>
            </w:r>
            <w:r w:rsidRPr="004D0DAA">
              <w:rPr>
                <w:lang w:eastAsia="en-US"/>
              </w:rPr>
              <w:tab/>
            </w:r>
            <w:r w:rsidRPr="004D0DAA">
              <w:rPr>
                <w:lang w:eastAsia="en-US"/>
              </w:rPr>
              <w:tab/>
              <w:t>-- No frequency parameters included</w:t>
            </w:r>
          </w:p>
          <w:p w14:paraId="0ABB08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01</w:t>
            </w:r>
            <w:r w:rsidRPr="004D0DAA">
              <w:rPr>
                <w:lang w:eastAsia="en-US"/>
              </w:rPr>
              <w:tab/>
            </w:r>
            <w:r w:rsidRPr="004D0DAA">
              <w:rPr>
                <w:lang w:eastAsia="en-US"/>
              </w:rPr>
              <w:tab/>
              <w:t>-- Legacy IEs used</w:t>
            </w:r>
          </w:p>
          <w:p w14:paraId="444CD6BE"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Frequency Parameters C1 :</w:t>
            </w:r>
            <w:r w:rsidRPr="004D0DAA">
              <w:rPr>
                <w:lang w:eastAsia="en-US"/>
              </w:rPr>
              <w:t xml:space="preserve"> &lt; Frequency Parameters IE &gt; &gt; }</w:t>
            </w:r>
          </w:p>
          <w:p w14:paraId="52D71B0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Frequency Parameters C2 :</w:t>
            </w:r>
            <w:r w:rsidRPr="004D0DAA">
              <w:rPr>
                <w:lang w:eastAsia="en-US"/>
              </w:rPr>
              <w:t xml:space="preserve"> &lt; Frequency Parameters IE &gt; &gt; }</w:t>
            </w:r>
          </w:p>
          <w:p w14:paraId="2135AE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r>
            <w:r w:rsidRPr="004D0DAA">
              <w:rPr>
                <w:lang w:eastAsia="en-US"/>
              </w:rPr>
              <w:tab/>
              <w:t xml:space="preserve">-- Optimized Dual Carrier frequency parameters used </w:t>
            </w:r>
          </w:p>
          <w:p w14:paraId="236F348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w:t>
            </w:r>
            <w:r w:rsidRPr="004D0DAA">
              <w:rPr>
                <w:b/>
                <w:lang w:eastAsia="en-US"/>
              </w:rPr>
              <w:t>Dual Carrier</w:t>
            </w:r>
            <w:r w:rsidRPr="004D0DAA">
              <w:rPr>
                <w:lang w:eastAsia="en-US"/>
              </w:rPr>
              <w:t xml:space="preserve"> </w:t>
            </w:r>
            <w:r w:rsidRPr="004D0DAA">
              <w:rPr>
                <w:b/>
                <w:lang w:eastAsia="en-US"/>
              </w:rPr>
              <w:t>Frequency Parameters</w:t>
            </w:r>
            <w:r w:rsidRPr="004D0DAA">
              <w:rPr>
                <w:lang w:eastAsia="en-US"/>
              </w:rPr>
              <w:t xml:space="preserve">: &lt; Dual Carrier Frequency Parameters IE &gt; &gt; </w:t>
            </w:r>
          </w:p>
          <w:p w14:paraId="7C3ED3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Frequency Parameters error: { 11 } bit(*) = &lt; no string&gt; &gt; } -- reserved for future use</w:t>
            </w:r>
          </w:p>
          <w:p w14:paraId="1144684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 | 1 &lt;</w:t>
            </w:r>
            <w:r w:rsidRPr="004D0DAA">
              <w:rPr>
                <w:b/>
                <w:szCs w:val="18"/>
                <w:lang w:eastAsia="en-US"/>
              </w:rPr>
              <w:t xml:space="preserve"> Power Control Parameters C1</w:t>
            </w:r>
            <w:r w:rsidRPr="004D0DAA">
              <w:rPr>
                <w:szCs w:val="18"/>
                <w:lang w:eastAsia="en-US"/>
              </w:rPr>
              <w:t xml:space="preserve"> : &lt; Power Control Parameters IE &gt; &gt; }</w:t>
            </w:r>
          </w:p>
          <w:p w14:paraId="086268F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 | 1 &lt;</w:t>
            </w:r>
            <w:r w:rsidRPr="004D0DAA">
              <w:rPr>
                <w:b/>
                <w:szCs w:val="18"/>
                <w:lang w:eastAsia="en-US"/>
              </w:rPr>
              <w:t xml:space="preserve"> Power Control Parameters C2</w:t>
            </w:r>
            <w:r w:rsidRPr="004D0DAA">
              <w:rPr>
                <w:szCs w:val="18"/>
                <w:lang w:eastAsia="en-US"/>
              </w:rPr>
              <w:t xml:space="preserve"> : &lt; Power Control Parameters IE &gt; &gt; }</w:t>
            </w:r>
          </w:p>
          <w:p w14:paraId="426132B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 0 | 1 &lt; </w:t>
            </w:r>
            <w:r w:rsidRPr="004D0DAA">
              <w:rPr>
                <w:b/>
                <w:lang w:eastAsia="en-US"/>
              </w:rPr>
              <w:t>EGPRS Window Size</w:t>
            </w:r>
            <w:r w:rsidRPr="004D0DAA">
              <w:rPr>
                <w:lang w:eastAsia="en-US"/>
              </w:rPr>
              <w:t> : &lt; EGPRS Window Size IE &gt; &gt; }</w:t>
            </w:r>
          </w:p>
          <w:p w14:paraId="25E309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12023C2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w:t>
            </w:r>
          </w:p>
          <w:p w14:paraId="7AC9409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15C0883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1636CD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4F7FE6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rFonts w:hint="eastAsia"/>
                <w:lang w:eastAsia="zh-CN"/>
              </w:rPr>
              <w:t xml:space="preserve"> | 1</w:t>
            </w:r>
            <w:r w:rsidRPr="004D0DAA">
              <w:rPr>
                <w:lang w:eastAsia="en-US"/>
              </w:rPr>
              <w:t xml:space="preserve">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BTTI mode</w:t>
            </w:r>
          </w:p>
          <w:p w14:paraId="78B9210B" w14:textId="77777777" w:rsidR="00711444" w:rsidRPr="004D0DAA" w:rsidRDefault="00711444" w:rsidP="00AA2A4C">
            <w:pPr>
              <w:pStyle w:val="TAL"/>
              <w:rPr>
                <w:rFonts w:hint="eastAsia"/>
                <w:lang w:eastAsia="ko-KR"/>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FANR</w:t>
            </w:r>
            <w:r w:rsidRPr="004D0DAA">
              <w:rPr>
                <w:lang w:eastAsia="en-US"/>
              </w:rPr>
              <w:t>: bit (1) &gt;</w:t>
            </w:r>
          </w:p>
          <w:p w14:paraId="71359D9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BTTI Multiple Downlink Assignment</w:t>
            </w:r>
            <w:r w:rsidRPr="004D0DAA">
              <w:rPr>
                <w:lang w:eastAsia="en-US"/>
              </w:rPr>
              <w:t xml:space="preserve"> : </w:t>
            </w:r>
          </w:p>
          <w:p w14:paraId="30EB16E6"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BTTI Multiple Downlink</w:t>
            </w:r>
            <w:r w:rsidRPr="004D0DAA">
              <w:rPr>
                <w:b/>
                <w:bCs/>
                <w:lang w:eastAsia="en-US"/>
              </w:rPr>
              <w:t xml:space="preserve"> </w:t>
            </w:r>
            <w:r w:rsidRPr="004D0DAA">
              <w:rPr>
                <w:lang w:eastAsia="en-US"/>
              </w:rPr>
              <w:t>Assignment struct &gt; &gt; } ** 0</w:t>
            </w:r>
            <w:r w:rsidRPr="004D0DAA">
              <w:rPr>
                <w:rFonts w:hint="eastAsia"/>
                <w:lang w:eastAsia="zh-CN"/>
              </w:rPr>
              <w:t xml:space="preserve"> </w:t>
            </w:r>
          </w:p>
          <w:p w14:paraId="45DA5131"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rFonts w:hint="eastAsia"/>
                <w:lang w:eastAsia="zh-CN"/>
              </w:rPr>
              <w:t>}</w:t>
            </w:r>
          </w:p>
          <w:p w14:paraId="6369A4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hint="eastAsia"/>
                <w:lang w:eastAsia="zh-CN"/>
              </w:rPr>
              <w:t xml:space="preserve">{ 0 </w:t>
            </w:r>
            <w:r w:rsidRPr="004D0DAA">
              <w:rPr>
                <w:lang w:eastAsia="en-US"/>
              </w:rPr>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RTTI mode</w:t>
            </w:r>
          </w:p>
          <w:p w14:paraId="66CF618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Single Carrier Assignment</w:t>
            </w:r>
          </w:p>
          <w:p w14:paraId="3CDE3571"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Cs/>
                <w:szCs w:val="18"/>
                <w:lang w:eastAsia="en-US"/>
              </w:rPr>
              <w:t>Default PDCH-pair configuration</w:t>
            </w:r>
          </w:p>
          <w:p w14:paraId="33B4F40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Unchanged</w:t>
            </w:r>
          </w:p>
          <w:p w14:paraId="4001E743" w14:textId="77777777" w:rsidR="00711444" w:rsidRPr="004D0DAA" w:rsidRDefault="00711444" w:rsidP="00AA2A4C">
            <w:pPr>
              <w:pStyle w:val="TAL"/>
              <w:rPr>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Cs/>
                <w:szCs w:val="18"/>
                <w:lang w:eastAsia="en-US"/>
              </w:rPr>
              <w:t>Explicit PDCH pair configuration</w:t>
            </w:r>
          </w:p>
          <w:p w14:paraId="2411DCD1" w14:textId="77777777" w:rsidR="00711444" w:rsidRPr="004D0DAA" w:rsidRDefault="00711444" w:rsidP="00AA2A4C">
            <w:pPr>
              <w:pStyle w:val="TAL"/>
              <w:rPr>
                <w:szCs w:val="18"/>
                <w:lang w:eastAsia="en-US"/>
              </w:rPr>
            </w:pPr>
            <w:r w:rsidRPr="004D0DAA">
              <w:rPr>
                <w:iCs/>
                <w:szCs w:val="18"/>
                <w:lang w:eastAsia="en-US"/>
              </w:rPr>
              <w:tab/>
            </w:r>
            <w:r w:rsidRPr="004D0DAA">
              <w:rPr>
                <w:iCs/>
                <w:szCs w:val="18"/>
                <w:lang w:eastAsia="en-US"/>
              </w:rPr>
              <w:tab/>
            </w:r>
            <w:r w:rsidRPr="004D0DAA">
              <w:rPr>
                <w:iCs/>
                <w:szCs w:val="18"/>
                <w:lang w:eastAsia="en-US"/>
              </w:rPr>
              <w:tab/>
            </w:r>
            <w:r w:rsidRPr="004D0DAA">
              <w:rPr>
                <w:iCs/>
                <w:szCs w:val="18"/>
                <w:lang w:eastAsia="en-US"/>
              </w:rPr>
              <w:tab/>
            </w:r>
            <w:r w:rsidRPr="004D0DAA">
              <w:rPr>
                <w:iCs/>
                <w:szCs w:val="18"/>
                <w:lang w:eastAsia="en-US"/>
              </w:rPr>
              <w:tab/>
            </w:r>
            <w:r w:rsidRPr="004D0DAA">
              <w:rPr>
                <w:iCs/>
                <w:szCs w:val="18"/>
                <w:lang w:eastAsia="en-US"/>
              </w:rPr>
              <w:tab/>
            </w:r>
            <w:r w:rsidRPr="004D0DAA">
              <w:rPr>
                <w:iCs/>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5C5111D8"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2D267618" w14:textId="77777777" w:rsidR="00711444" w:rsidRPr="004D0DAA" w:rsidRDefault="00711444" w:rsidP="00AA2A4C">
            <w:pPr>
              <w:pStyle w:val="TAL"/>
              <w:rPr>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Cs/>
                <w:szCs w:val="18"/>
                <w:lang w:eastAsia="en-US"/>
              </w:rPr>
              <w:t>reserved</w:t>
            </w:r>
          </w:p>
          <w:p w14:paraId="378D3C6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4053126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RTTI Multiple Downlink Assignment SC</w:t>
            </w:r>
            <w:r w:rsidRPr="004D0DAA">
              <w:rPr>
                <w:lang w:eastAsia="en-US"/>
              </w:rPr>
              <w:t xml:space="preserve"> : </w:t>
            </w:r>
          </w:p>
          <w:p w14:paraId="4DF61B9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RTTI Multiple Downlink Assignment SC struct &gt; &gt; } ** 0</w:t>
            </w:r>
          </w:p>
          <w:p w14:paraId="758C3FD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Dual  Carrier Assignment</w:t>
            </w:r>
          </w:p>
          <w:p w14:paraId="207A4E30" w14:textId="77777777" w:rsidR="00711444" w:rsidRPr="004D0DAA" w:rsidRDefault="00711444" w:rsidP="00AA2A4C">
            <w:pPr>
              <w:pStyle w:val="TAL"/>
              <w:rPr>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Cs/>
                <w:szCs w:val="18"/>
                <w:lang w:eastAsia="en-US"/>
              </w:rPr>
              <w:t>Default PDCH pair configuration</w:t>
            </w:r>
          </w:p>
          <w:p w14:paraId="0F163FB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Unchanged</w:t>
            </w:r>
          </w:p>
          <w:p w14:paraId="6396EC6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Cs/>
                <w:szCs w:val="18"/>
                <w:lang w:eastAsia="en-US"/>
              </w:rPr>
              <w:t>Explicit PDCH pair configuration</w:t>
            </w:r>
          </w:p>
          <w:p w14:paraId="2FF8099B"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59953F2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4DA4655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36D111A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0D9EF2FC" w14:textId="77777777" w:rsidR="00711444" w:rsidRPr="004D0DAA" w:rsidRDefault="00711444" w:rsidP="00AA2A4C">
            <w:pPr>
              <w:pStyle w:val="TAL"/>
              <w:rPr>
                <w:iCs/>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Cs/>
                <w:szCs w:val="18"/>
                <w:lang w:eastAsia="en-US"/>
              </w:rPr>
              <w:t>reserved</w:t>
            </w:r>
          </w:p>
          <w:p w14:paraId="25DC73A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154EB4A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RTTI Multiple Downlink Assignment DC</w:t>
            </w:r>
            <w:r w:rsidRPr="004D0DAA">
              <w:rPr>
                <w:lang w:eastAsia="en-US"/>
              </w:rPr>
              <w:t xml:space="preserve"> : </w:t>
            </w:r>
          </w:p>
          <w:p w14:paraId="0775275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RTTI Multiple Downlink Assignment DC struct &gt; &gt; } ** 0</w:t>
            </w:r>
          </w:p>
          <w:p w14:paraId="3473D335"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5A7A697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252D434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547A48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72342E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56F25CD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 } ** 0</w:t>
            </w:r>
          </w:p>
          <w:p w14:paraId="2AE126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 }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truncation at end of message allowed, bits '0' assumed</w:t>
            </w:r>
          </w:p>
          <w:p w14:paraId="1AA15A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3B26433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Message escape : { 01 | 10 | 11 } bit (*) = &lt; no string &gt;&gt; } }</w:t>
            </w:r>
          </w:p>
          <w:p w14:paraId="45ED8AC5"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4F16FB9" w14:textId="77777777" w:rsidR="00711444" w:rsidRPr="004D0DAA" w:rsidRDefault="00711444" w:rsidP="00AA2A4C">
            <w:pPr>
              <w:pStyle w:val="TAL"/>
              <w:rPr>
                <w:lang w:eastAsia="en-US"/>
              </w:rPr>
            </w:pPr>
            <w:r w:rsidRPr="004D0DAA">
              <w:rPr>
                <w:lang w:eastAsia="en-US"/>
              </w:rPr>
              <w:tab/>
              <w:t>! &lt; Distribution part error : bit (*) = &lt; no string &gt; &gt; ;</w:t>
            </w:r>
          </w:p>
          <w:p w14:paraId="7D57E2F8" w14:textId="77777777" w:rsidR="00711444" w:rsidRPr="004D0DAA" w:rsidRDefault="00711444" w:rsidP="00AA2A4C">
            <w:pPr>
              <w:pStyle w:val="TAL"/>
              <w:rPr>
                <w:lang w:eastAsia="en-US"/>
              </w:rPr>
            </w:pPr>
          </w:p>
        </w:tc>
      </w:tr>
      <w:tr w:rsidR="00711444" w:rsidRPr="004D0DAA" w14:paraId="38DC5074" w14:textId="77777777" w:rsidTr="00AA2A4C">
        <w:tblPrEx>
          <w:tblCellMar>
            <w:top w:w="0" w:type="dxa"/>
            <w:bottom w:w="0" w:type="dxa"/>
          </w:tblCellMar>
        </w:tblPrEx>
        <w:trPr>
          <w:cantSplit/>
        </w:trPr>
        <w:tc>
          <w:tcPr>
            <w:tcW w:w="9848" w:type="dxa"/>
          </w:tcPr>
          <w:p w14:paraId="5A5C12DA" w14:textId="77777777" w:rsidR="00711444" w:rsidRPr="004D0DAA" w:rsidRDefault="00711444" w:rsidP="00AA2A4C">
            <w:pPr>
              <w:pStyle w:val="TAL"/>
              <w:rPr>
                <w:lang w:eastAsia="en-US"/>
              </w:rPr>
            </w:pPr>
            <w:r w:rsidRPr="004D0DAA">
              <w:rPr>
                <w:lang w:eastAsia="en-US"/>
              </w:rPr>
              <w:t>&lt; Multiple Downlink TBF Assignment struct &gt; ::=</w:t>
            </w:r>
          </w:p>
          <w:p w14:paraId="194C21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TIMESLOT_ALLOCATION </w:t>
            </w:r>
            <w:r w:rsidRPr="004D0DAA">
              <w:rPr>
                <w:lang w:eastAsia="en-US"/>
              </w:rPr>
              <w:t>: bit (8) &gt;</w:t>
            </w:r>
          </w:p>
          <w:p w14:paraId="18A9DE42" w14:textId="77777777" w:rsidR="00711444" w:rsidRPr="004D0DAA" w:rsidRDefault="00711444" w:rsidP="00AA2A4C">
            <w:pPr>
              <w:pStyle w:val="TAL"/>
              <w:rPr>
                <w:lang w:eastAsia="en-US"/>
              </w:rPr>
            </w:pPr>
            <w:r w:rsidRPr="004D0DAA">
              <w:rPr>
                <w:lang w:eastAsia="en-US"/>
              </w:rPr>
              <w:tab/>
              <w:t>{ 1 &lt; Downlink TBF assignment : &lt; Downlink TBF assignment struct &gt; &gt; } ** 0 ;</w:t>
            </w:r>
          </w:p>
          <w:p w14:paraId="47C05727" w14:textId="77777777" w:rsidR="00711444" w:rsidRPr="004D0DAA" w:rsidRDefault="00711444" w:rsidP="00AA2A4C">
            <w:pPr>
              <w:pStyle w:val="TAL"/>
              <w:rPr>
                <w:lang w:eastAsia="en-US"/>
              </w:rPr>
            </w:pPr>
          </w:p>
        </w:tc>
      </w:tr>
      <w:tr w:rsidR="00711444" w:rsidRPr="004D0DAA" w14:paraId="613F6EA3" w14:textId="77777777" w:rsidTr="00AA2A4C">
        <w:tblPrEx>
          <w:tblCellMar>
            <w:top w:w="0" w:type="dxa"/>
            <w:bottom w:w="0" w:type="dxa"/>
          </w:tblCellMar>
        </w:tblPrEx>
        <w:trPr>
          <w:cantSplit/>
        </w:trPr>
        <w:tc>
          <w:tcPr>
            <w:tcW w:w="9848" w:type="dxa"/>
          </w:tcPr>
          <w:p w14:paraId="77075172" w14:textId="77777777" w:rsidR="00711444" w:rsidRPr="004D0DAA" w:rsidRDefault="00711444" w:rsidP="00AA2A4C">
            <w:pPr>
              <w:pStyle w:val="TAL"/>
              <w:rPr>
                <w:lang w:eastAsia="en-US"/>
              </w:rPr>
            </w:pPr>
            <w:r w:rsidRPr="004D0DAA">
              <w:rPr>
                <w:lang w:eastAsia="en-US"/>
              </w:rPr>
              <w:lastRenderedPageBreak/>
              <w:t>&lt; BTTI Multiple Downlink</w:t>
            </w:r>
            <w:r w:rsidRPr="004D0DAA">
              <w:rPr>
                <w:b/>
                <w:bCs/>
                <w:lang w:eastAsia="en-US"/>
              </w:rPr>
              <w:t xml:space="preserve"> </w:t>
            </w:r>
            <w:r w:rsidRPr="004D0DAA">
              <w:rPr>
                <w:lang w:eastAsia="en-US"/>
              </w:rPr>
              <w:t>Assignment struct &gt; ::=</w:t>
            </w:r>
          </w:p>
          <w:p w14:paraId="6ECC846A" w14:textId="77777777" w:rsidR="00711444" w:rsidRPr="004D0DAA" w:rsidRDefault="00711444" w:rsidP="00AA2A4C">
            <w:pPr>
              <w:pStyle w:val="TAL"/>
              <w:rPr>
                <w:lang w:eastAsia="zh-CN"/>
              </w:rPr>
            </w:pPr>
            <w:r w:rsidRPr="004D0DAA">
              <w:rPr>
                <w:lang w:eastAsia="en-US"/>
              </w:rPr>
              <w:tab/>
              <w:t xml:space="preserve">{ 0 | 1 &lt; </w:t>
            </w:r>
            <w:r w:rsidRPr="004D0DAA">
              <w:rPr>
                <w:b/>
                <w:lang w:eastAsia="en-US"/>
              </w:rPr>
              <w:t xml:space="preserve">TIMESLOT_ALLOCATION_C1 </w:t>
            </w:r>
            <w:r w:rsidRPr="004D0DAA">
              <w:rPr>
                <w:lang w:eastAsia="en-US"/>
              </w:rPr>
              <w:t>: bit (8) &gt; }</w:t>
            </w:r>
          </w:p>
          <w:p w14:paraId="3700B60B"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TIMESLOT_ALLOCATION_C2 </w:t>
            </w:r>
            <w:r w:rsidRPr="004D0DAA">
              <w:rPr>
                <w:lang w:eastAsia="en-US"/>
              </w:rPr>
              <w:t>: bit (8) &gt; }</w:t>
            </w:r>
          </w:p>
          <w:p w14:paraId="31548E40" w14:textId="77777777" w:rsidR="00711444" w:rsidRPr="004D0DAA" w:rsidRDefault="00711444" w:rsidP="00AA2A4C">
            <w:pPr>
              <w:pStyle w:val="TAL"/>
              <w:rPr>
                <w:lang w:eastAsia="en-US"/>
              </w:rPr>
            </w:pPr>
            <w:r w:rsidRPr="004D0DAA">
              <w:rPr>
                <w:lang w:eastAsia="en-US"/>
              </w:rPr>
              <w:tab/>
              <w:t>{ 1 &lt; Downlink TBF assignment : &lt; Downlink TBF assignment 2 struct &gt; &gt; } ** 0 ;</w:t>
            </w:r>
          </w:p>
          <w:p w14:paraId="13E20751" w14:textId="77777777" w:rsidR="00711444" w:rsidRPr="004D0DAA" w:rsidRDefault="00711444" w:rsidP="00AA2A4C">
            <w:pPr>
              <w:pStyle w:val="TAL"/>
              <w:rPr>
                <w:lang w:eastAsia="en-US"/>
              </w:rPr>
            </w:pPr>
          </w:p>
        </w:tc>
      </w:tr>
      <w:tr w:rsidR="00711444" w:rsidRPr="004D0DAA" w14:paraId="36D9AA08" w14:textId="77777777" w:rsidTr="00AA2A4C">
        <w:tblPrEx>
          <w:tblCellMar>
            <w:top w:w="0" w:type="dxa"/>
            <w:bottom w:w="0" w:type="dxa"/>
          </w:tblCellMar>
        </w:tblPrEx>
        <w:trPr>
          <w:cantSplit/>
        </w:trPr>
        <w:tc>
          <w:tcPr>
            <w:tcW w:w="9848" w:type="dxa"/>
          </w:tcPr>
          <w:p w14:paraId="5984569A" w14:textId="77777777" w:rsidR="00711444" w:rsidRPr="004D0DAA" w:rsidRDefault="00711444" w:rsidP="00AA2A4C">
            <w:pPr>
              <w:pStyle w:val="TAL"/>
              <w:rPr>
                <w:lang w:eastAsia="en-US"/>
              </w:rPr>
            </w:pPr>
            <w:r w:rsidRPr="004D0DAA">
              <w:rPr>
                <w:lang w:eastAsia="en-US"/>
              </w:rPr>
              <w:t>&lt; RTTI Multiple Downlink Assignment SC struct &gt; ::=</w:t>
            </w:r>
          </w:p>
          <w:p w14:paraId="44FB47A8"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RTTI_DOWNLINK_PDCH_PAIR_ASSIGNMENT_SC </w:t>
            </w:r>
            <w:r w:rsidRPr="004D0DAA">
              <w:rPr>
                <w:szCs w:val="18"/>
                <w:lang w:eastAsia="en-US"/>
              </w:rPr>
              <w:t>: bit (4) &gt;</w:t>
            </w:r>
          </w:p>
          <w:p w14:paraId="76F8DF94" w14:textId="77777777" w:rsidR="00711444" w:rsidRPr="004D0DAA" w:rsidRDefault="00711444" w:rsidP="00AA2A4C">
            <w:pPr>
              <w:pStyle w:val="TAL"/>
              <w:rPr>
                <w:lang w:eastAsia="en-US"/>
              </w:rPr>
            </w:pPr>
            <w:r w:rsidRPr="004D0DAA">
              <w:rPr>
                <w:lang w:eastAsia="en-US"/>
              </w:rPr>
              <w:tab/>
              <w:t>{ 1 &lt; Downlink TBF assignment : &lt; Downlink TBF assignment 2 struct &gt; &gt; } ** 0 ;</w:t>
            </w:r>
          </w:p>
          <w:p w14:paraId="44A63204" w14:textId="77777777" w:rsidR="00711444" w:rsidRPr="004D0DAA" w:rsidRDefault="00711444" w:rsidP="00AA2A4C">
            <w:pPr>
              <w:pStyle w:val="TAL"/>
              <w:rPr>
                <w:lang w:eastAsia="en-US"/>
              </w:rPr>
            </w:pPr>
            <w:r w:rsidRPr="004D0DAA">
              <w:rPr>
                <w:lang w:eastAsia="en-US"/>
              </w:rPr>
              <w:tab/>
            </w:r>
          </w:p>
        </w:tc>
      </w:tr>
      <w:tr w:rsidR="00711444" w:rsidRPr="004D0DAA" w14:paraId="7C381588" w14:textId="77777777" w:rsidTr="00AA2A4C">
        <w:tblPrEx>
          <w:tblCellMar>
            <w:top w:w="0" w:type="dxa"/>
            <w:bottom w:w="0" w:type="dxa"/>
          </w:tblCellMar>
        </w:tblPrEx>
        <w:trPr>
          <w:cantSplit/>
        </w:trPr>
        <w:tc>
          <w:tcPr>
            <w:tcW w:w="9848" w:type="dxa"/>
          </w:tcPr>
          <w:p w14:paraId="575CC1EE" w14:textId="77777777" w:rsidR="00711444" w:rsidRPr="004D0DAA" w:rsidRDefault="00711444" w:rsidP="00AA2A4C">
            <w:pPr>
              <w:pStyle w:val="TAL"/>
              <w:rPr>
                <w:lang w:eastAsia="en-US"/>
              </w:rPr>
            </w:pPr>
            <w:r w:rsidRPr="004D0DAA">
              <w:rPr>
                <w:lang w:eastAsia="en-US"/>
              </w:rPr>
              <w:t>&lt; RTTI Multiple Downlink Assignment DC struct &gt; ::=</w:t>
            </w:r>
          </w:p>
          <w:p w14:paraId="1C88BD2D"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RTTI_DOWNLINK_PDCH_PAIR_ASSIGNMENT_DC </w:t>
            </w:r>
            <w:r w:rsidRPr="004D0DAA">
              <w:rPr>
                <w:szCs w:val="18"/>
                <w:lang w:eastAsia="en-US"/>
              </w:rPr>
              <w:t>: bit (8) &gt;</w:t>
            </w:r>
          </w:p>
          <w:p w14:paraId="44CE2889" w14:textId="77777777" w:rsidR="00711444" w:rsidRPr="004D0DAA" w:rsidRDefault="00711444" w:rsidP="00AA2A4C">
            <w:pPr>
              <w:pStyle w:val="TAL"/>
              <w:rPr>
                <w:lang w:eastAsia="en-US"/>
              </w:rPr>
            </w:pPr>
            <w:r w:rsidRPr="004D0DAA">
              <w:rPr>
                <w:lang w:eastAsia="en-US"/>
              </w:rPr>
              <w:tab/>
              <w:t>{ 1 &lt; Downlink TBF assignment : &lt; Downlink TBF assignment 2 struct &gt; &gt; } ** 0 ;</w:t>
            </w:r>
          </w:p>
          <w:p w14:paraId="33F5EAA9" w14:textId="77777777" w:rsidR="00711444" w:rsidRPr="004D0DAA" w:rsidRDefault="00711444" w:rsidP="00AA2A4C">
            <w:pPr>
              <w:pStyle w:val="TAL"/>
              <w:rPr>
                <w:lang w:eastAsia="en-US"/>
              </w:rPr>
            </w:pPr>
            <w:r w:rsidRPr="004D0DAA">
              <w:rPr>
                <w:lang w:eastAsia="en-US"/>
              </w:rPr>
              <w:tab/>
            </w:r>
          </w:p>
        </w:tc>
      </w:tr>
      <w:tr w:rsidR="00711444" w:rsidRPr="004D0DAA" w14:paraId="6E3689DC" w14:textId="77777777" w:rsidTr="00AA2A4C">
        <w:tblPrEx>
          <w:tblCellMar>
            <w:top w:w="0" w:type="dxa"/>
            <w:bottom w:w="0" w:type="dxa"/>
          </w:tblCellMar>
        </w:tblPrEx>
        <w:trPr>
          <w:cantSplit/>
        </w:trPr>
        <w:tc>
          <w:tcPr>
            <w:tcW w:w="9848" w:type="dxa"/>
          </w:tcPr>
          <w:p w14:paraId="0E9EEED5" w14:textId="77777777" w:rsidR="00711444" w:rsidRPr="004D0DAA" w:rsidRDefault="00711444" w:rsidP="00AA2A4C">
            <w:pPr>
              <w:pStyle w:val="TAL"/>
              <w:rPr>
                <w:lang w:eastAsia="en-US"/>
              </w:rPr>
            </w:pPr>
            <w:r w:rsidRPr="004D0DAA">
              <w:rPr>
                <w:lang w:eastAsia="en-US"/>
              </w:rPr>
              <w:t>&lt; Downlink TBF assignment struct &gt; :: =</w:t>
            </w:r>
          </w:p>
          <w:p w14:paraId="023D0E91" w14:textId="77777777" w:rsidR="00711444" w:rsidRPr="004D0DAA" w:rsidRDefault="00711444" w:rsidP="00AA2A4C">
            <w:pPr>
              <w:pStyle w:val="TAL"/>
              <w:rPr>
                <w:lang w:eastAsia="en-US"/>
              </w:rPr>
            </w:pPr>
            <w:r w:rsidRPr="004D0DAA">
              <w:rPr>
                <w:lang w:eastAsia="en-US"/>
              </w:rPr>
              <w:tab/>
              <w:t xml:space="preserve">{ 0 &lt; </w:t>
            </w:r>
            <w:r w:rsidRPr="004D0DAA">
              <w:rPr>
                <w:b/>
                <w:bCs/>
                <w:lang w:eastAsia="en-US"/>
              </w:rPr>
              <w:t>RB Id</w:t>
            </w:r>
            <w:r w:rsidRPr="004D0DAA">
              <w:rPr>
                <w:lang w:eastAsia="en-US"/>
              </w:rPr>
              <w:t xml:space="preserve"> : bit (5) &gt;</w:t>
            </w:r>
          </w:p>
          <w:p w14:paraId="7B647217" w14:textId="77777777" w:rsidR="00711444" w:rsidRPr="004D0DAA" w:rsidRDefault="00711444" w:rsidP="00AA2A4C">
            <w:pPr>
              <w:pStyle w:val="TAL"/>
              <w:rPr>
                <w:lang w:val="fr-FR" w:eastAsia="en-US"/>
              </w:rPr>
            </w:pPr>
            <w:r w:rsidRPr="004D0DAA">
              <w:rPr>
                <w:lang w:eastAsia="en-US"/>
              </w:rPr>
              <w:tab/>
              <w:t xml:space="preserve"> </w:t>
            </w:r>
            <w:r w:rsidRPr="004D0DAA">
              <w:rPr>
                <w:lang w:val="fr-FR" w:eastAsia="en-US"/>
              </w:rPr>
              <w:t xml:space="preserve">| 1 &lt; </w:t>
            </w:r>
            <w:r w:rsidRPr="004D0DAA">
              <w:rPr>
                <w:b/>
                <w:bCs/>
                <w:lang w:val="fr-FR" w:eastAsia="en-US"/>
              </w:rPr>
              <w:t>PFI</w:t>
            </w:r>
            <w:r w:rsidRPr="004D0DAA">
              <w:rPr>
                <w:lang w:val="fr-FR" w:eastAsia="en-US"/>
              </w:rPr>
              <w:t xml:space="preserve"> : bit (7) &gt;</w:t>
            </w:r>
            <w:r w:rsidRPr="004D0DAA">
              <w:rPr>
                <w:lang w:val="fr-FR" w:eastAsia="en-US"/>
              </w:rPr>
              <w:tab/>
            </w:r>
          </w:p>
          <w:p w14:paraId="5779DD0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792081D8"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TFI Assignment</w:t>
            </w:r>
            <w:r w:rsidRPr="004D0DAA">
              <w:rPr>
                <w:lang w:eastAsia="en-US"/>
              </w:rPr>
              <w:t xml:space="preserve"> : bit (5) &gt;</w:t>
            </w:r>
          </w:p>
          <w:p w14:paraId="6F223FC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0FF62032"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EGPRS Window Size</w:t>
            </w:r>
            <w:r w:rsidRPr="004D0DAA">
              <w:rPr>
                <w:lang w:eastAsia="en-US"/>
              </w:rPr>
              <w:t> : &lt; EGPRS Window Size IE &gt; &gt; }</w:t>
            </w:r>
          </w:p>
          <w:p w14:paraId="703DE2B9"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HFN_LSB</w:t>
            </w:r>
            <w:r w:rsidRPr="004D0DAA">
              <w:rPr>
                <w:lang w:eastAsia="en-US"/>
              </w:rPr>
              <w:t xml:space="preserve"> : bit (1) &gt; } ; </w:t>
            </w:r>
            <w:r w:rsidRPr="004D0DAA">
              <w:rPr>
                <w:lang w:eastAsia="en-US"/>
              </w:rPr>
              <w:tab/>
            </w:r>
            <w:r w:rsidRPr="004D0DAA">
              <w:rPr>
                <w:lang w:eastAsia="en-US"/>
              </w:rPr>
              <w:tab/>
            </w:r>
            <w:r w:rsidRPr="004D0DAA">
              <w:rPr>
                <w:lang w:eastAsia="en-US"/>
              </w:rPr>
              <w:tab/>
              <w:t xml:space="preserve">-- </w:t>
            </w:r>
            <w:r w:rsidRPr="004D0DAA">
              <w:rPr>
                <w:i/>
                <w:lang w:eastAsia="en-US"/>
              </w:rPr>
              <w:t>HFN_LSB field used in Iu mode only</w:t>
            </w:r>
          </w:p>
          <w:p w14:paraId="112FB4C4" w14:textId="77777777" w:rsidR="00711444" w:rsidRPr="004D0DAA" w:rsidRDefault="00711444" w:rsidP="00AA2A4C">
            <w:pPr>
              <w:pStyle w:val="TAL"/>
              <w:rPr>
                <w:lang w:eastAsia="en-US"/>
              </w:rPr>
            </w:pPr>
          </w:p>
        </w:tc>
      </w:tr>
      <w:tr w:rsidR="00711444" w:rsidRPr="004D0DAA" w14:paraId="0103EF60" w14:textId="77777777" w:rsidTr="00AA2A4C">
        <w:tblPrEx>
          <w:tblCellMar>
            <w:top w:w="0" w:type="dxa"/>
            <w:bottom w:w="0" w:type="dxa"/>
          </w:tblCellMar>
        </w:tblPrEx>
        <w:trPr>
          <w:cantSplit/>
        </w:trPr>
        <w:tc>
          <w:tcPr>
            <w:tcW w:w="9848" w:type="dxa"/>
          </w:tcPr>
          <w:p w14:paraId="3D53A1C7" w14:textId="77777777" w:rsidR="00711444" w:rsidRPr="004D0DAA" w:rsidRDefault="00711444" w:rsidP="00AA2A4C">
            <w:pPr>
              <w:pStyle w:val="TAL"/>
              <w:rPr>
                <w:lang w:eastAsia="en-US"/>
              </w:rPr>
            </w:pPr>
            <w:r w:rsidRPr="004D0DAA">
              <w:rPr>
                <w:lang w:eastAsia="en-US"/>
              </w:rPr>
              <w:t>&lt; Downlink TBF assignment 2 struct &gt; :: =</w:t>
            </w:r>
          </w:p>
          <w:p w14:paraId="4C7215A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r w:rsidRPr="004D0DAA">
              <w:rPr>
                <w:lang w:eastAsia="en-US"/>
              </w:rPr>
              <w:tab/>
            </w:r>
          </w:p>
          <w:p w14:paraId="4FB570A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w:t>
            </w:r>
          </w:p>
          <w:p w14:paraId="7EAF66FE"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2A0F248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21F9D585"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08810DC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EVENT_BASED_FANR</w:t>
            </w:r>
            <w:r w:rsidRPr="004D0DAA">
              <w:rPr>
                <w:lang w:eastAsia="en-US"/>
              </w:rPr>
              <w:t xml:space="preserve">: bit (1) &gt; </w:t>
            </w:r>
          </w:p>
          <w:p w14:paraId="59FB846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Downlink EGPRS Window Size</w:t>
            </w:r>
            <w:r w:rsidRPr="004D0DAA">
              <w:rPr>
                <w:lang w:eastAsia="en-US"/>
              </w:rPr>
              <w:t> : &lt; EGPRS Window Size IE &gt; &gt; } ;</w:t>
            </w:r>
          </w:p>
          <w:p w14:paraId="21136B31" w14:textId="77777777" w:rsidR="00711444" w:rsidRPr="004D0DAA" w:rsidRDefault="00711444" w:rsidP="00AA2A4C">
            <w:pPr>
              <w:pStyle w:val="TAL"/>
              <w:rPr>
                <w:lang w:eastAsia="en-US"/>
              </w:rPr>
            </w:pPr>
          </w:p>
        </w:tc>
      </w:tr>
      <w:tr w:rsidR="00711444" w:rsidRPr="004D0DAA" w14:paraId="609B94F0" w14:textId="77777777" w:rsidTr="00AA2A4C">
        <w:tblPrEx>
          <w:tblCellMar>
            <w:top w:w="0" w:type="dxa"/>
            <w:bottom w:w="0" w:type="dxa"/>
          </w:tblCellMar>
        </w:tblPrEx>
        <w:trPr>
          <w:cantSplit/>
        </w:trPr>
        <w:tc>
          <w:tcPr>
            <w:tcW w:w="9848" w:type="dxa"/>
          </w:tcPr>
          <w:p w14:paraId="0F02EEAD" w14:textId="77777777" w:rsidR="00711444" w:rsidRPr="004D0DAA" w:rsidRDefault="00711444" w:rsidP="00AA2A4C">
            <w:pPr>
              <w:pStyle w:val="TAL"/>
              <w:rPr>
                <w:lang w:eastAsia="en-US"/>
              </w:rPr>
            </w:pPr>
            <w:r w:rsidRPr="004D0DAA">
              <w:rPr>
                <w:lang w:eastAsia="en-US"/>
              </w:rPr>
              <w:t>&lt; Assignment Info struct &gt; :: =</w:t>
            </w:r>
          </w:p>
          <w:p w14:paraId="7E8B0A2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Assignment Type</w:t>
            </w:r>
            <w:r w:rsidRPr="004D0DAA">
              <w:rPr>
                <w:lang w:eastAsia="en-US"/>
              </w:rPr>
              <w:t xml:space="preserve"> : bit (2) &gt;</w:t>
            </w:r>
          </w:p>
          <w:p w14:paraId="3712A04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Carrier ID</w:t>
            </w:r>
            <w:r w:rsidRPr="004D0DAA">
              <w:rPr>
                <w:lang w:eastAsia="en-US"/>
              </w:rPr>
              <w:t xml:space="preserve"> : bit (1) &gt; ;</w:t>
            </w:r>
          </w:p>
        </w:tc>
      </w:tr>
    </w:tbl>
    <w:p w14:paraId="4BADB086" w14:textId="77777777" w:rsidR="00711444" w:rsidRPr="004D0DAA" w:rsidRDefault="00711444" w:rsidP="00711444"/>
    <w:p w14:paraId="6159EFC0" w14:textId="77777777" w:rsidR="00711444" w:rsidRPr="004D0DAA" w:rsidRDefault="00711444" w:rsidP="00711444">
      <w:pPr>
        <w:pStyle w:val="TH"/>
      </w:pPr>
      <w:r w:rsidRPr="004D0DAA">
        <w:t xml:space="preserve">Table 11.2.7a.2: MULTIPLE TBF </w:t>
      </w:r>
      <w:r w:rsidRPr="004D0DAA">
        <w:rPr>
          <w:caps/>
        </w:rPr>
        <w:t>Downlink ASSIGNMENT</w:t>
      </w:r>
      <w:r w:rsidRPr="004D0DAA">
        <w:t xml:space="preserve">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502A9727" w14:textId="77777777" w:rsidTr="00AA2A4C">
        <w:tblPrEx>
          <w:tblCellMar>
            <w:top w:w="0" w:type="dxa"/>
            <w:bottom w:w="0" w:type="dxa"/>
          </w:tblCellMar>
        </w:tblPrEx>
        <w:trPr>
          <w:cantSplit/>
          <w:trHeight w:val="113"/>
        </w:trPr>
        <w:tc>
          <w:tcPr>
            <w:tcW w:w="9848" w:type="dxa"/>
            <w:shd w:val="clear" w:color="auto" w:fill="auto"/>
          </w:tcPr>
          <w:p w14:paraId="524F883E"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42DBFB26" w14:textId="77777777" w:rsidTr="00AA2A4C">
        <w:tblPrEx>
          <w:tblCellMar>
            <w:top w:w="0" w:type="dxa"/>
            <w:bottom w:w="0" w:type="dxa"/>
          </w:tblCellMar>
        </w:tblPrEx>
        <w:trPr>
          <w:cantSplit/>
          <w:trHeight w:val="113"/>
        </w:trPr>
        <w:tc>
          <w:tcPr>
            <w:tcW w:w="9848" w:type="dxa"/>
            <w:shd w:val="clear" w:color="auto" w:fill="auto"/>
          </w:tcPr>
          <w:p w14:paraId="0CF58AD6" w14:textId="77777777" w:rsidR="00711444" w:rsidRPr="004D0DAA" w:rsidRDefault="00711444" w:rsidP="00AA2A4C">
            <w:pPr>
              <w:rPr>
                <w:b/>
              </w:rPr>
            </w:pPr>
            <w:r w:rsidRPr="004D0DAA">
              <w:rPr>
                <w:b/>
              </w:rPr>
              <w:t xml:space="preserve">PERSISTENCE_LEVEL </w:t>
            </w:r>
            <w:r w:rsidRPr="004D0DAA">
              <w:t>(4 bit field for each Radio Priority 1…4)</w:t>
            </w:r>
            <w:r w:rsidRPr="004D0DAA">
              <w:br/>
              <w:t>This field is defined in sub-clause 12.14, PRACH Control Parameters.</w:t>
            </w:r>
          </w:p>
        </w:tc>
      </w:tr>
      <w:tr w:rsidR="00711444" w:rsidRPr="004D0DAA" w14:paraId="5E2376C2" w14:textId="77777777" w:rsidTr="00AA2A4C">
        <w:tblPrEx>
          <w:tblCellMar>
            <w:top w:w="0" w:type="dxa"/>
            <w:bottom w:w="0" w:type="dxa"/>
          </w:tblCellMar>
        </w:tblPrEx>
        <w:trPr>
          <w:cantSplit/>
          <w:trHeight w:val="113"/>
        </w:trPr>
        <w:tc>
          <w:tcPr>
            <w:tcW w:w="9848" w:type="dxa"/>
            <w:shd w:val="clear" w:color="auto" w:fill="auto"/>
          </w:tcPr>
          <w:p w14:paraId="0C3EBE9E" w14:textId="77777777" w:rsidR="00711444" w:rsidRPr="004D0DAA" w:rsidRDefault="00711444" w:rsidP="00AA2A4C">
            <w:pPr>
              <w:rPr>
                <w:b/>
              </w:rPr>
            </w:pPr>
            <w:r w:rsidRPr="004D0DAA">
              <w:rPr>
                <w:b/>
              </w:rPr>
              <w:t>Global TFI</w:t>
            </w:r>
            <w:r w:rsidRPr="004D0DAA">
              <w:br/>
              <w:t>This information element identifies one of the mobile station’s downlink or uplink TFIs. This field is defined in sub-clause 12.10.</w:t>
            </w:r>
          </w:p>
        </w:tc>
      </w:tr>
      <w:tr w:rsidR="00711444" w:rsidRPr="004D0DAA" w14:paraId="56036392" w14:textId="77777777" w:rsidTr="00AA2A4C">
        <w:tblPrEx>
          <w:tblCellMar>
            <w:top w:w="0" w:type="dxa"/>
            <w:bottom w:w="0" w:type="dxa"/>
          </w:tblCellMar>
        </w:tblPrEx>
        <w:trPr>
          <w:cantSplit/>
          <w:trHeight w:val="113"/>
        </w:trPr>
        <w:tc>
          <w:tcPr>
            <w:tcW w:w="9848" w:type="dxa"/>
            <w:shd w:val="clear" w:color="auto" w:fill="auto"/>
          </w:tcPr>
          <w:p w14:paraId="118FD5A2" w14:textId="77777777" w:rsidR="00711444" w:rsidRPr="004D0DAA" w:rsidRDefault="00711444" w:rsidP="00AA2A4C">
            <w:pPr>
              <w:rPr>
                <w:b/>
              </w:rPr>
            </w:pPr>
            <w:r w:rsidRPr="004D0DAA">
              <w:rPr>
                <w:b/>
              </w:rPr>
              <w:t>TLLI / G-RNTI</w:t>
            </w:r>
            <w:r w:rsidRPr="004D0DAA">
              <w:br/>
              <w:t>This information element is defined in sub-clause 12.16.</w:t>
            </w:r>
          </w:p>
        </w:tc>
      </w:tr>
      <w:tr w:rsidR="00711444" w:rsidRPr="004D0DAA" w14:paraId="449E1A8C" w14:textId="77777777" w:rsidTr="00AA2A4C">
        <w:tblPrEx>
          <w:tblCellMar>
            <w:top w:w="0" w:type="dxa"/>
            <w:bottom w:w="0" w:type="dxa"/>
          </w:tblCellMar>
        </w:tblPrEx>
        <w:trPr>
          <w:cantSplit/>
          <w:trHeight w:val="113"/>
        </w:trPr>
        <w:tc>
          <w:tcPr>
            <w:tcW w:w="9848" w:type="dxa"/>
            <w:shd w:val="clear" w:color="auto" w:fill="auto"/>
          </w:tcPr>
          <w:p w14:paraId="5B0FA8F6" w14:textId="77777777" w:rsidR="00711444" w:rsidRPr="004D0DAA" w:rsidRDefault="00711444" w:rsidP="00AA2A4C">
            <w:pPr>
              <w:spacing w:after="60"/>
            </w:pPr>
            <w:r w:rsidRPr="004D0DAA">
              <w:rPr>
                <w:b/>
                <w:bCs/>
              </w:rPr>
              <w:t xml:space="preserve">G-RNTI extension </w:t>
            </w:r>
            <w:r w:rsidRPr="004D0DAA">
              <w:t>(4 bit field)</w:t>
            </w:r>
          </w:p>
          <w:p w14:paraId="02D1C5CE" w14:textId="77777777" w:rsidR="00711444" w:rsidRPr="004D0DAA" w:rsidRDefault="00711444" w:rsidP="00AA2A4C">
            <w:pPr>
              <w:rPr>
                <w:b/>
                <w:bCs/>
              </w:rPr>
            </w:pPr>
            <w:r w:rsidRPr="004D0DAA">
              <w:t>This field contains the extra 4 bits of the G-RNTI not included in the TLLI / G-RNTI field which are necessary to provide a unique identifier for contention resolution in Iu-mode.</w:t>
            </w:r>
          </w:p>
        </w:tc>
      </w:tr>
      <w:tr w:rsidR="00711444" w:rsidRPr="004D0DAA" w14:paraId="7892087B" w14:textId="77777777" w:rsidTr="00AA2A4C">
        <w:tblPrEx>
          <w:tblCellMar>
            <w:top w:w="0" w:type="dxa"/>
            <w:bottom w:w="0" w:type="dxa"/>
          </w:tblCellMar>
        </w:tblPrEx>
        <w:trPr>
          <w:cantSplit/>
          <w:trHeight w:val="113"/>
        </w:trPr>
        <w:tc>
          <w:tcPr>
            <w:tcW w:w="9848" w:type="dxa"/>
            <w:shd w:val="clear" w:color="auto" w:fill="auto"/>
          </w:tcPr>
          <w:p w14:paraId="006D34DF" w14:textId="77777777" w:rsidR="00711444" w:rsidRPr="004D0DAA" w:rsidRDefault="00711444" w:rsidP="00AA2A4C">
            <w:pPr>
              <w:rPr>
                <w:b/>
              </w:rPr>
            </w:pPr>
            <w:r w:rsidRPr="004D0DAA">
              <w:rPr>
                <w:b/>
              </w:rPr>
              <w:t xml:space="preserve">CONTROL_ACK </w:t>
            </w:r>
            <w:r w:rsidRPr="004D0DAA">
              <w:t>(1 bit field)</w:t>
            </w:r>
            <w:r w:rsidRPr="004D0DAA">
              <w:br/>
              <w:t xml:space="preserve">This field shall be set to "1" if the network wishes to instruct the mobile station to release the given TBFs for which timer T3192 is running. The TBFs to be released are identified by the TFIs given in the </w:t>
            </w:r>
            <w:r w:rsidRPr="004D0DAA">
              <w:rPr>
                <w:bCs/>
              </w:rPr>
              <w:t>TFI Assignment</w:t>
            </w:r>
            <w:r w:rsidRPr="004D0DAA">
              <w:t xml:space="preserve"> field and have to be valid on the PACCH on which this message was sent. Otherwise this field shall be set to "0".</w:t>
            </w:r>
          </w:p>
        </w:tc>
      </w:tr>
      <w:tr w:rsidR="00711444" w:rsidRPr="004D0DAA" w14:paraId="0E92ECD0" w14:textId="77777777" w:rsidTr="00AA2A4C">
        <w:tblPrEx>
          <w:tblCellMar>
            <w:top w:w="0" w:type="dxa"/>
            <w:bottom w:w="0" w:type="dxa"/>
          </w:tblCellMar>
        </w:tblPrEx>
        <w:trPr>
          <w:cantSplit/>
          <w:trHeight w:val="113"/>
        </w:trPr>
        <w:tc>
          <w:tcPr>
            <w:tcW w:w="9848" w:type="dxa"/>
            <w:shd w:val="clear" w:color="auto" w:fill="auto"/>
          </w:tcPr>
          <w:p w14:paraId="155C3CBD" w14:textId="77777777" w:rsidR="00711444" w:rsidRPr="004D0DAA" w:rsidRDefault="00711444" w:rsidP="00AA2A4C">
            <w:pPr>
              <w:rPr>
                <w:b/>
              </w:rPr>
            </w:pPr>
            <w:r w:rsidRPr="004D0DAA">
              <w:rPr>
                <w:b/>
              </w:rPr>
              <w:t>TIMESLOT_ALLOCATION, TIMESLOT_ALLOCATION_C1,</w:t>
            </w:r>
            <w:r w:rsidRPr="004D0DAA">
              <w:t xml:space="preserve"> </w:t>
            </w:r>
            <w:r w:rsidRPr="004D0DAA">
              <w:rPr>
                <w:b/>
              </w:rPr>
              <w:t>TIMESLOT_ALLOCATION_C2</w:t>
            </w:r>
            <w:r w:rsidRPr="004D0DAA">
              <w:t xml:space="preserve"> (8 bit field)</w:t>
            </w:r>
            <w:r w:rsidRPr="004D0DAA">
              <w:rPr>
                <w:b/>
              </w:rPr>
              <w:br/>
            </w:r>
            <w:r w:rsidRPr="004D0DAA">
              <w:t xml:space="preserve">These fields describe the timeslot(s) on which all TBFs described in this message are assigned resources. </w:t>
            </w:r>
          </w:p>
        </w:tc>
      </w:tr>
      <w:tr w:rsidR="00711444" w:rsidRPr="004D0DAA" w14:paraId="402F3678" w14:textId="77777777" w:rsidTr="00AA2A4C">
        <w:tblPrEx>
          <w:tblCellMar>
            <w:top w:w="0" w:type="dxa"/>
            <w:bottom w:w="0" w:type="dxa"/>
          </w:tblCellMar>
        </w:tblPrEx>
        <w:trPr>
          <w:cantSplit/>
          <w:trHeight w:val="113"/>
        </w:trPr>
        <w:tc>
          <w:tcPr>
            <w:tcW w:w="9848" w:type="dxa"/>
            <w:shd w:val="clear" w:color="auto" w:fill="auto"/>
          </w:tcPr>
          <w:p w14:paraId="3593AC59" w14:textId="77777777" w:rsidR="00711444" w:rsidRPr="004D0DAA" w:rsidRDefault="00711444" w:rsidP="00AA2A4C">
            <w:pPr>
              <w:spacing w:after="0"/>
              <w:rPr>
                <w:bCs/>
              </w:rPr>
            </w:pPr>
            <w:r w:rsidRPr="004D0DAA">
              <w:rPr>
                <w:b/>
              </w:rPr>
              <w:lastRenderedPageBreak/>
              <w:t xml:space="preserve">Uplink Control Timeslot, Uplink Control Timeslot C1, Uplink Control Timeslot C2 </w:t>
            </w:r>
            <w:r w:rsidRPr="004D0DAA">
              <w:rPr>
                <w:bCs/>
              </w:rPr>
              <w:t>(3 bit field)</w:t>
            </w:r>
          </w:p>
          <w:p w14:paraId="7D47A26D" w14:textId="77777777" w:rsidR="00711444" w:rsidRPr="004D0DAA" w:rsidRDefault="00711444" w:rsidP="00AA2A4C">
            <w:pPr>
              <w:spacing w:after="0"/>
              <w:rPr>
                <w:b/>
              </w:rPr>
            </w:pPr>
            <w:r w:rsidRPr="004D0DAA">
              <w:t xml:space="preserve">In case of a BTTI configuration, </w:t>
            </w:r>
            <w:r w:rsidRPr="004D0DAA">
              <w:rPr>
                <w:bCs/>
              </w:rPr>
              <w:t xml:space="preserve">these fields contain the timeslot number of the timeslot where the PACCH/U for the MS is located. </w:t>
            </w:r>
            <w:r w:rsidRPr="004D0DAA">
              <w:t xml:space="preserve">In case of an RTTI configuration, </w:t>
            </w:r>
            <w:r w:rsidRPr="004D0DAA">
              <w:rPr>
                <w:bCs/>
              </w:rPr>
              <w:t xml:space="preserve">these fields contain the timeslot number of the timeslot </w:t>
            </w:r>
            <w:r w:rsidRPr="004D0DAA">
              <w:t xml:space="preserve">belonging to the uplink PDCH pair </w:t>
            </w:r>
            <w:r w:rsidRPr="004D0DAA">
              <w:rPr>
                <w:bCs/>
              </w:rPr>
              <w:t>where the PACCH/U for the MS is located. These fields are encoded as the binary representation of the timeslot number as defined in 3GPP TS 45.002.</w:t>
            </w:r>
          </w:p>
        </w:tc>
      </w:tr>
      <w:tr w:rsidR="00711444" w:rsidRPr="004D0DAA" w14:paraId="12993E1A" w14:textId="77777777" w:rsidTr="00AA2A4C">
        <w:tblPrEx>
          <w:tblCellMar>
            <w:top w:w="0" w:type="dxa"/>
            <w:bottom w:w="0" w:type="dxa"/>
          </w:tblCellMar>
        </w:tblPrEx>
        <w:trPr>
          <w:cantSplit/>
          <w:trHeight w:val="113"/>
        </w:trPr>
        <w:tc>
          <w:tcPr>
            <w:tcW w:w="9848" w:type="dxa"/>
            <w:shd w:val="clear" w:color="auto" w:fill="auto"/>
          </w:tcPr>
          <w:p w14:paraId="6E4971A2" w14:textId="77777777" w:rsidR="00711444" w:rsidRPr="004D0DAA" w:rsidRDefault="00711444" w:rsidP="00AA2A4C">
            <w:pPr>
              <w:rPr>
                <w:b/>
              </w:rPr>
            </w:pPr>
            <w:r w:rsidRPr="004D0DAA">
              <w:rPr>
                <w:b/>
              </w:rPr>
              <w:t>Packet Timing Advance</w:t>
            </w:r>
            <w:r w:rsidRPr="004D0DAA">
              <w:br/>
              <w:t>This information element is defined in sub-clause 12.12.</w:t>
            </w:r>
          </w:p>
        </w:tc>
      </w:tr>
      <w:tr w:rsidR="00711444" w:rsidRPr="004D0DAA" w14:paraId="69266FA4" w14:textId="77777777" w:rsidTr="00AA2A4C">
        <w:tblPrEx>
          <w:tblCellMar>
            <w:top w:w="0" w:type="dxa"/>
            <w:bottom w:w="0" w:type="dxa"/>
          </w:tblCellMar>
        </w:tblPrEx>
        <w:trPr>
          <w:cantSplit/>
          <w:trHeight w:val="113"/>
        </w:trPr>
        <w:tc>
          <w:tcPr>
            <w:tcW w:w="9848" w:type="dxa"/>
            <w:shd w:val="clear" w:color="auto" w:fill="auto"/>
          </w:tcPr>
          <w:p w14:paraId="1BF034CD" w14:textId="77777777" w:rsidR="00711444" w:rsidRPr="004D0DAA" w:rsidRDefault="00711444" w:rsidP="00AA2A4C">
            <w:pPr>
              <w:rPr>
                <w:b/>
              </w:rPr>
            </w:pPr>
            <w:r w:rsidRPr="004D0DAA">
              <w:rPr>
                <w:b/>
              </w:rPr>
              <w:t>P0, P0_C1, P0_C2</w:t>
            </w:r>
            <w:r w:rsidRPr="004D0DAA">
              <w:t xml:space="preserve"> (4 bit field)</w:t>
            </w:r>
            <w:r w:rsidRPr="004D0DAA">
              <w:br/>
              <w:t xml:space="preserve">For description and encoding, see the Packet Uplink Assignment message. </w:t>
            </w:r>
          </w:p>
        </w:tc>
      </w:tr>
      <w:tr w:rsidR="00711444" w:rsidRPr="004D0DAA" w14:paraId="4995B16B" w14:textId="77777777" w:rsidTr="00AA2A4C">
        <w:tblPrEx>
          <w:tblCellMar>
            <w:top w:w="0" w:type="dxa"/>
            <w:bottom w:w="0" w:type="dxa"/>
          </w:tblCellMar>
        </w:tblPrEx>
        <w:trPr>
          <w:cantSplit/>
          <w:trHeight w:val="113"/>
        </w:trPr>
        <w:tc>
          <w:tcPr>
            <w:tcW w:w="9848" w:type="dxa"/>
            <w:shd w:val="clear" w:color="auto" w:fill="auto"/>
          </w:tcPr>
          <w:p w14:paraId="0295D840" w14:textId="77777777" w:rsidR="00711444" w:rsidRPr="004D0DAA" w:rsidRDefault="00711444" w:rsidP="00AA2A4C">
            <w:pPr>
              <w:rPr>
                <w:b/>
              </w:rPr>
            </w:pPr>
            <w:r w:rsidRPr="004D0DAA">
              <w:rPr>
                <w:b/>
              </w:rPr>
              <w:t>PR_MODE, PR_MODE_C1, PR_MODE_C2</w:t>
            </w:r>
            <w:r w:rsidRPr="004D0DAA">
              <w:t xml:space="preserve"> (1 bit field)</w:t>
            </w:r>
            <w:r w:rsidRPr="004D0DAA">
              <w:br/>
              <w:t xml:space="preserve">For description and encoding, see the Packet Uplink Assignment message. </w:t>
            </w:r>
          </w:p>
        </w:tc>
      </w:tr>
      <w:tr w:rsidR="00711444" w:rsidRPr="004D0DAA" w14:paraId="166A4D2D" w14:textId="77777777" w:rsidTr="00AA2A4C">
        <w:tblPrEx>
          <w:tblCellMar>
            <w:top w:w="0" w:type="dxa"/>
            <w:bottom w:w="0" w:type="dxa"/>
          </w:tblCellMar>
        </w:tblPrEx>
        <w:trPr>
          <w:cantSplit/>
          <w:trHeight w:val="113"/>
        </w:trPr>
        <w:tc>
          <w:tcPr>
            <w:tcW w:w="9848" w:type="dxa"/>
            <w:shd w:val="clear" w:color="auto" w:fill="auto"/>
          </w:tcPr>
          <w:p w14:paraId="0EC4291F" w14:textId="77777777" w:rsidR="00711444" w:rsidRPr="004D0DAA" w:rsidRDefault="00711444" w:rsidP="00AA2A4C">
            <w:pPr>
              <w:rPr>
                <w:b/>
              </w:rPr>
            </w:pPr>
            <w:r w:rsidRPr="004D0DAA">
              <w:rPr>
                <w:b/>
              </w:rPr>
              <w:t>Power Control Parameters, Power Control Parameters C1, Power Control Parameters C2</w:t>
            </w:r>
            <w:r w:rsidRPr="004D0DAA">
              <w:br/>
              <w:t>This information element is defined in sub-clause 12.13.</w:t>
            </w:r>
          </w:p>
        </w:tc>
      </w:tr>
      <w:tr w:rsidR="00711444" w:rsidRPr="004D0DAA" w14:paraId="4F750F03" w14:textId="77777777" w:rsidTr="00AA2A4C">
        <w:tblPrEx>
          <w:tblCellMar>
            <w:top w:w="0" w:type="dxa"/>
            <w:bottom w:w="0" w:type="dxa"/>
          </w:tblCellMar>
        </w:tblPrEx>
        <w:trPr>
          <w:cantSplit/>
          <w:trHeight w:val="113"/>
        </w:trPr>
        <w:tc>
          <w:tcPr>
            <w:tcW w:w="9848" w:type="dxa"/>
            <w:shd w:val="clear" w:color="auto" w:fill="auto"/>
          </w:tcPr>
          <w:p w14:paraId="071F72B2" w14:textId="77777777" w:rsidR="00711444" w:rsidRPr="004D0DAA" w:rsidRDefault="00711444" w:rsidP="00AA2A4C">
            <w:r w:rsidRPr="004D0DAA">
              <w:rPr>
                <w:b/>
              </w:rPr>
              <w:t>Frequency Parameters</w:t>
            </w:r>
            <w:r w:rsidRPr="004D0DAA">
              <w:br/>
              <w:t>This information element is defined in sub-clause 12.8.</w:t>
            </w:r>
          </w:p>
          <w:p w14:paraId="5C7FC4BE" w14:textId="77777777" w:rsidR="00711444" w:rsidRPr="004D0DAA" w:rsidRDefault="00711444" w:rsidP="00AA2A4C">
            <w:r w:rsidRPr="004D0DAA">
              <w:rPr>
                <w:b/>
              </w:rPr>
              <w:t>Frequency Parameters C1, Frequency Parameters C2</w:t>
            </w:r>
            <w:r w:rsidRPr="004D0DAA">
              <w:br/>
              <w:t>The usage of these parameters is specified in sub-clause 11.2.7.  These information elements are coded as defined in sub-clause 12.8.</w:t>
            </w:r>
          </w:p>
          <w:p w14:paraId="2CABA210" w14:textId="77777777" w:rsidR="00711444" w:rsidRPr="004D0DAA" w:rsidRDefault="00711444" w:rsidP="00AA2A4C">
            <w:pPr>
              <w:rPr>
                <w:b/>
              </w:rPr>
            </w:pPr>
            <w:r w:rsidRPr="004D0DAA">
              <w:rPr>
                <w:rFonts w:cs="Arial"/>
                <w:b/>
              </w:rPr>
              <w:t>Dual Carrier</w:t>
            </w:r>
            <w:r w:rsidRPr="004D0DAA">
              <w:rPr>
                <w:rFonts w:cs="Arial"/>
              </w:rPr>
              <w:t xml:space="preserve"> </w:t>
            </w:r>
            <w:r w:rsidRPr="004D0DAA">
              <w:rPr>
                <w:rFonts w:cs="Arial"/>
                <w:b/>
              </w:rPr>
              <w:t>Frequency Parameters</w:t>
            </w:r>
            <w:r w:rsidRPr="004D0DAA">
              <w:rPr>
                <w:rFonts w:cs="Arial"/>
                <w:b/>
              </w:rPr>
              <w:br/>
            </w:r>
            <w:r w:rsidRPr="004D0DAA">
              <w:rPr>
                <w:rFonts w:cs="Arial"/>
                <w:sz w:val="18"/>
                <w:szCs w:val="18"/>
              </w:rPr>
              <w:t>This</w:t>
            </w:r>
            <w:r w:rsidRPr="004D0DAA">
              <w:t xml:space="preserve"> information element is defined in sub-clause 12.8.2</w:t>
            </w:r>
          </w:p>
        </w:tc>
      </w:tr>
      <w:tr w:rsidR="00711444" w:rsidRPr="004D0DAA" w14:paraId="68403F85" w14:textId="77777777" w:rsidTr="00AA2A4C">
        <w:tblPrEx>
          <w:tblCellMar>
            <w:top w:w="0" w:type="dxa"/>
            <w:bottom w:w="0" w:type="dxa"/>
          </w:tblCellMar>
        </w:tblPrEx>
        <w:trPr>
          <w:cantSplit/>
          <w:trHeight w:val="113"/>
        </w:trPr>
        <w:tc>
          <w:tcPr>
            <w:tcW w:w="9848" w:type="dxa"/>
            <w:shd w:val="clear" w:color="auto" w:fill="auto"/>
          </w:tcPr>
          <w:p w14:paraId="58CDBFB4" w14:textId="77777777" w:rsidR="00711444" w:rsidRPr="004D0DAA" w:rsidRDefault="00711444" w:rsidP="00AA2A4C">
            <w:pPr>
              <w:rPr>
                <w:b/>
              </w:rPr>
            </w:pPr>
            <w:r w:rsidRPr="004D0DAA">
              <w:rPr>
                <w:b/>
              </w:rPr>
              <w:t xml:space="preserve">TFI Assignment </w:t>
            </w:r>
            <w:r w:rsidRPr="004D0DAA">
              <w:t>(5 bit field)</w:t>
            </w:r>
            <w:r w:rsidRPr="004D0DAA">
              <w:br/>
              <w:t>This information element assigns one (or more) TFI(s) to each TBF assigned to the mobile station in this message. This field is repeated for each TBF that is assigned in this message. TFI is encoded as defined in sub-clause 12.15.</w:t>
            </w:r>
            <w:r w:rsidRPr="004D0DAA">
              <w:rPr>
                <w:bCs/>
              </w:rPr>
              <w:t xml:space="preserve"> </w:t>
            </w:r>
          </w:p>
        </w:tc>
      </w:tr>
      <w:tr w:rsidR="00711444" w:rsidRPr="004D0DAA" w14:paraId="1F68FAA5" w14:textId="77777777" w:rsidTr="00AA2A4C">
        <w:tblPrEx>
          <w:tblCellMar>
            <w:top w:w="0" w:type="dxa"/>
            <w:bottom w:w="0" w:type="dxa"/>
          </w:tblCellMar>
        </w:tblPrEx>
        <w:trPr>
          <w:cantSplit/>
          <w:trHeight w:val="113"/>
        </w:trPr>
        <w:tc>
          <w:tcPr>
            <w:tcW w:w="9848" w:type="dxa"/>
            <w:shd w:val="clear" w:color="auto" w:fill="auto"/>
          </w:tcPr>
          <w:p w14:paraId="03D1B713" w14:textId="77777777" w:rsidR="00711444" w:rsidRPr="004D0DAA" w:rsidRDefault="00711444" w:rsidP="00AA2A4C">
            <w:pPr>
              <w:rPr>
                <w:b/>
              </w:rPr>
            </w:pPr>
            <w:r w:rsidRPr="004D0DAA">
              <w:rPr>
                <w:b/>
              </w:rPr>
              <w:t>TBF Starting Time</w:t>
            </w:r>
            <w:r w:rsidRPr="004D0DAA">
              <w:br/>
              <w:t>The TBF Starting Time field contains a starting time that indicates the TDMA frame number during which the assigned TBFs may start. If no downlink TBF is in progress, the mobile station need not monitor the TFI field of downlink RLC data blocks until the indicated TDMA frame number. After the indicated TDMA frame number, the mobile station shall operate as during a downlink TBF. If a downlink TBF is already in progress, the mobile station shall continue to use the parameters of the existing TBF until the TDMA frame number occurs. When the indicated TDMA frame number occurs, the mobile station shall immediately begin to use the new parameters assigned. This information element is defined in sub-clause 12.21.</w:t>
            </w:r>
          </w:p>
        </w:tc>
      </w:tr>
      <w:tr w:rsidR="00711444" w:rsidRPr="004D0DAA" w14:paraId="355AA39F" w14:textId="77777777" w:rsidTr="00AA2A4C">
        <w:tblPrEx>
          <w:tblCellMar>
            <w:top w:w="0" w:type="dxa"/>
            <w:bottom w:w="0" w:type="dxa"/>
          </w:tblCellMar>
        </w:tblPrEx>
        <w:trPr>
          <w:cantSplit/>
          <w:trHeight w:val="113"/>
        </w:trPr>
        <w:tc>
          <w:tcPr>
            <w:tcW w:w="9848" w:type="dxa"/>
            <w:shd w:val="clear" w:color="auto" w:fill="auto"/>
          </w:tcPr>
          <w:p w14:paraId="19643BE6" w14:textId="77777777" w:rsidR="00711444" w:rsidRPr="004D0DAA" w:rsidRDefault="00711444" w:rsidP="00AA2A4C">
            <w:pPr>
              <w:rPr>
                <w:b/>
              </w:rPr>
            </w:pPr>
            <w:r w:rsidRPr="004D0DAA">
              <w:rPr>
                <w:b/>
              </w:rPr>
              <w:t>EGPRS Window Size</w:t>
            </w:r>
            <w:r w:rsidRPr="004D0DAA">
              <w:br/>
              <w:t>This information element is defined in sub-clause 12.5.2.</w:t>
            </w:r>
          </w:p>
        </w:tc>
      </w:tr>
      <w:tr w:rsidR="00711444" w:rsidRPr="004D0DAA" w14:paraId="78B3D654" w14:textId="77777777" w:rsidTr="00AA2A4C">
        <w:tblPrEx>
          <w:tblCellMar>
            <w:top w:w="0" w:type="dxa"/>
            <w:bottom w:w="0" w:type="dxa"/>
          </w:tblCellMar>
        </w:tblPrEx>
        <w:trPr>
          <w:cantSplit/>
          <w:trHeight w:val="113"/>
        </w:trPr>
        <w:tc>
          <w:tcPr>
            <w:tcW w:w="9848" w:type="dxa"/>
            <w:shd w:val="clear" w:color="auto" w:fill="auto"/>
          </w:tcPr>
          <w:p w14:paraId="7143E606" w14:textId="77777777" w:rsidR="00711444" w:rsidRPr="004D0DAA" w:rsidRDefault="00711444" w:rsidP="00AA2A4C">
            <w:pPr>
              <w:spacing w:after="0"/>
            </w:pPr>
            <w:r w:rsidRPr="004D0DAA">
              <w:rPr>
                <w:b/>
              </w:rPr>
              <w:t>LINK_QUALITY_MEASUREMENT_MODE</w:t>
            </w:r>
            <w:r w:rsidRPr="004D0DAA">
              <w:t xml:space="preserve"> (2 bit field)</w:t>
            </w:r>
          </w:p>
          <w:p w14:paraId="54DC5729" w14:textId="77777777" w:rsidR="00711444" w:rsidRPr="004D0DAA" w:rsidRDefault="00711444" w:rsidP="00AA2A4C">
            <w:pPr>
              <w:spacing w:after="0"/>
              <w:ind w:left="426" w:hanging="426"/>
            </w:pPr>
            <w:r w:rsidRPr="004D0DAA">
              <w:t>This field is defined in sub-clause 11.2.7</w:t>
            </w:r>
          </w:p>
          <w:p w14:paraId="240897CA" w14:textId="77777777" w:rsidR="00711444" w:rsidRPr="004D0DAA" w:rsidRDefault="00711444" w:rsidP="00AA2A4C">
            <w:pPr>
              <w:spacing w:after="0"/>
              <w:ind w:left="1136" w:hanging="1136"/>
              <w:rPr>
                <w:b/>
              </w:rPr>
            </w:pPr>
          </w:p>
        </w:tc>
      </w:tr>
      <w:tr w:rsidR="00711444" w:rsidRPr="004D0DAA" w14:paraId="72A6F712" w14:textId="77777777" w:rsidTr="00AA2A4C">
        <w:tblPrEx>
          <w:tblCellMar>
            <w:top w:w="0" w:type="dxa"/>
            <w:bottom w:w="0" w:type="dxa"/>
          </w:tblCellMar>
        </w:tblPrEx>
        <w:trPr>
          <w:cantSplit/>
          <w:trHeight w:val="113"/>
        </w:trPr>
        <w:tc>
          <w:tcPr>
            <w:tcW w:w="9848" w:type="dxa"/>
            <w:shd w:val="clear" w:color="auto" w:fill="auto"/>
          </w:tcPr>
          <w:p w14:paraId="26324C54" w14:textId="77777777" w:rsidR="00711444" w:rsidRPr="004D0DAA" w:rsidRDefault="00711444" w:rsidP="00AA2A4C">
            <w:pPr>
              <w:rPr>
                <w:b/>
              </w:rPr>
            </w:pPr>
            <w:r w:rsidRPr="004D0DAA">
              <w:rPr>
                <w:b/>
              </w:rPr>
              <w:t>Packet Extended Timing Advance</w:t>
            </w:r>
            <w:r w:rsidRPr="004D0DAA">
              <w:t xml:space="preserve"> (2 bit field)</w:t>
            </w:r>
            <w:r w:rsidRPr="004D0DAA">
              <w:rPr>
                <w:b/>
              </w:rPr>
              <w:t xml:space="preserve"> </w:t>
            </w:r>
            <w:r w:rsidRPr="004D0DAA">
              <w:rPr>
                <w:b/>
              </w:rPr>
              <w:br/>
            </w:r>
            <w:r w:rsidRPr="004D0DAA">
              <w:t>This field is defined in sub-clause 12.12b.</w:t>
            </w:r>
          </w:p>
        </w:tc>
      </w:tr>
      <w:tr w:rsidR="00711444" w:rsidRPr="004D0DAA" w14:paraId="5F755788" w14:textId="77777777" w:rsidTr="00AA2A4C">
        <w:tblPrEx>
          <w:tblCellMar>
            <w:top w:w="0" w:type="dxa"/>
            <w:bottom w:w="0" w:type="dxa"/>
          </w:tblCellMar>
        </w:tblPrEx>
        <w:trPr>
          <w:cantSplit/>
          <w:trHeight w:val="113"/>
        </w:trPr>
        <w:tc>
          <w:tcPr>
            <w:tcW w:w="9848" w:type="dxa"/>
            <w:shd w:val="clear" w:color="auto" w:fill="auto"/>
          </w:tcPr>
          <w:p w14:paraId="0A617576" w14:textId="77777777" w:rsidR="00711444" w:rsidRPr="004D0DAA" w:rsidRDefault="00711444" w:rsidP="00AA2A4C">
            <w:pPr>
              <w:spacing w:after="0"/>
            </w:pPr>
            <w:r w:rsidRPr="004D0DAA">
              <w:rPr>
                <w:b/>
              </w:rPr>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57E3F686" w14:textId="77777777" w:rsidR="00711444" w:rsidRPr="004D0DAA" w:rsidRDefault="00711444" w:rsidP="00AA2A4C">
            <w:r w:rsidRPr="004D0DAA">
              <w:t>Range: 0 to 15</w:t>
            </w:r>
          </w:p>
        </w:tc>
      </w:tr>
      <w:tr w:rsidR="00711444" w:rsidRPr="004D0DAA" w14:paraId="5A5CF585" w14:textId="77777777" w:rsidTr="00AA2A4C">
        <w:tblPrEx>
          <w:tblCellMar>
            <w:top w:w="0" w:type="dxa"/>
            <w:bottom w:w="0" w:type="dxa"/>
          </w:tblCellMar>
        </w:tblPrEx>
        <w:trPr>
          <w:cantSplit/>
          <w:trHeight w:val="113"/>
        </w:trPr>
        <w:tc>
          <w:tcPr>
            <w:tcW w:w="9848" w:type="dxa"/>
            <w:shd w:val="clear" w:color="auto" w:fill="auto"/>
          </w:tcPr>
          <w:p w14:paraId="33ABE8FA" w14:textId="77777777" w:rsidR="00711444" w:rsidRPr="004D0DAA" w:rsidRDefault="00711444" w:rsidP="00AA2A4C">
            <w:pPr>
              <w:spacing w:after="0"/>
              <w:rPr>
                <w:bCs/>
              </w:rPr>
            </w:pPr>
            <w:r w:rsidRPr="004D0DAA">
              <w:rPr>
                <w:b/>
              </w:rPr>
              <w:t>RB Id</w:t>
            </w:r>
            <w:r w:rsidRPr="004D0DAA">
              <w:rPr>
                <w:bCs/>
              </w:rPr>
              <w:t xml:space="preserve"> (5 bit field)</w:t>
            </w:r>
          </w:p>
          <w:p w14:paraId="6515A03A" w14:textId="77777777" w:rsidR="00711444" w:rsidRPr="004D0DAA" w:rsidRDefault="00711444" w:rsidP="00AA2A4C">
            <w:pPr>
              <w:spacing w:after="0"/>
              <w:rPr>
                <w:bCs/>
              </w:rPr>
            </w:pPr>
            <w:r w:rsidRPr="004D0DAA">
              <w:rPr>
                <w:bCs/>
              </w:rPr>
              <w:t>This field contains the radio bearer identifier for the radio bearer using the assigned TBF. This provides the mapping of TFI to RB Id which is necessary to uniquely identify Iu-mode data flows.</w:t>
            </w:r>
          </w:p>
          <w:p w14:paraId="09B0B002" w14:textId="77777777" w:rsidR="00711444" w:rsidRPr="004D0DAA" w:rsidRDefault="00711444" w:rsidP="00AA2A4C">
            <w:pPr>
              <w:spacing w:after="0"/>
              <w:rPr>
                <w:b/>
              </w:rPr>
            </w:pPr>
          </w:p>
        </w:tc>
      </w:tr>
      <w:tr w:rsidR="00711444" w:rsidRPr="004D0DAA" w14:paraId="21F5105A" w14:textId="77777777" w:rsidTr="00AA2A4C">
        <w:tblPrEx>
          <w:tblCellMar>
            <w:top w:w="0" w:type="dxa"/>
            <w:bottom w:w="0" w:type="dxa"/>
          </w:tblCellMar>
        </w:tblPrEx>
        <w:trPr>
          <w:cantSplit/>
          <w:trHeight w:val="113"/>
        </w:trPr>
        <w:tc>
          <w:tcPr>
            <w:tcW w:w="9848" w:type="dxa"/>
            <w:shd w:val="clear" w:color="auto" w:fill="auto"/>
          </w:tcPr>
          <w:p w14:paraId="3B43E362" w14:textId="77777777" w:rsidR="00711444" w:rsidRPr="004D0DAA" w:rsidRDefault="00711444" w:rsidP="00AA2A4C">
            <w:pPr>
              <w:spacing w:after="0"/>
              <w:rPr>
                <w:b/>
              </w:rPr>
            </w:pPr>
            <w:r w:rsidRPr="004D0DAA">
              <w:rPr>
                <w:b/>
              </w:rPr>
              <w:t xml:space="preserve">PFI </w:t>
            </w:r>
            <w:r w:rsidRPr="004D0DAA">
              <w:rPr>
                <w:bCs/>
              </w:rPr>
              <w:t>(7 bit field)</w:t>
            </w:r>
          </w:p>
          <w:p w14:paraId="3676E7F1" w14:textId="77777777" w:rsidR="00711444" w:rsidRPr="004D0DAA" w:rsidRDefault="00711444" w:rsidP="00AA2A4C">
            <w:pPr>
              <w:pStyle w:val="Index1"/>
              <w:keepLines w:val="0"/>
            </w:pPr>
            <w:r w:rsidRPr="004D0DAA">
              <w:t>This field contains the PFI parameter identifying a Packet Flow Context. The PFI parameter is encoded as the contents of the PFI information element as defined in 3GPP TS 44.018.</w:t>
            </w:r>
          </w:p>
          <w:p w14:paraId="0AACCB04" w14:textId="77777777" w:rsidR="00711444" w:rsidRPr="004D0DAA" w:rsidRDefault="00711444" w:rsidP="00AA2A4C">
            <w:pPr>
              <w:spacing w:after="0"/>
              <w:rPr>
                <w:b/>
              </w:rPr>
            </w:pPr>
          </w:p>
        </w:tc>
      </w:tr>
      <w:tr w:rsidR="00711444" w:rsidRPr="004D0DAA" w14:paraId="3D0170C6" w14:textId="77777777" w:rsidTr="00AA2A4C">
        <w:tblPrEx>
          <w:tblCellMar>
            <w:top w:w="0" w:type="dxa"/>
            <w:bottom w:w="0" w:type="dxa"/>
          </w:tblCellMar>
        </w:tblPrEx>
        <w:trPr>
          <w:cantSplit/>
          <w:trHeight w:val="113"/>
        </w:trPr>
        <w:tc>
          <w:tcPr>
            <w:tcW w:w="9848" w:type="dxa"/>
            <w:shd w:val="clear" w:color="auto" w:fill="auto"/>
          </w:tcPr>
          <w:p w14:paraId="51811380" w14:textId="77777777" w:rsidR="00711444" w:rsidRPr="004D0DAA" w:rsidRDefault="00711444" w:rsidP="00AA2A4C">
            <w:r w:rsidRPr="004D0DAA">
              <w:rPr>
                <w:b/>
              </w:rPr>
              <w:lastRenderedPageBreak/>
              <w:t xml:space="preserve">RLC_MODE </w:t>
            </w:r>
            <w:r w:rsidRPr="004D0DAA">
              <w:t>(1 bit field)</w:t>
            </w:r>
            <w:r w:rsidRPr="004D0DAA">
              <w:br/>
              <w:t>This field indicates the RLC mode of the assigned TBF.</w:t>
            </w:r>
          </w:p>
          <w:p w14:paraId="5FD6084A" w14:textId="77777777" w:rsidR="00711444" w:rsidRPr="004D0DAA" w:rsidRDefault="00711444" w:rsidP="00AA2A4C">
            <w:pPr>
              <w:spacing w:after="0"/>
            </w:pPr>
            <w:r w:rsidRPr="004D0DAA">
              <w:t>0</w:t>
            </w:r>
            <w:r w:rsidRPr="004D0DAA">
              <w:tab/>
              <w:t>RLC acknowledged mode</w:t>
            </w:r>
          </w:p>
          <w:p w14:paraId="3108E337" w14:textId="77777777" w:rsidR="00711444" w:rsidRPr="004D0DAA" w:rsidRDefault="00711444" w:rsidP="00AA2A4C">
            <w:pPr>
              <w:rPr>
                <w:b/>
              </w:rPr>
            </w:pPr>
            <w:r w:rsidRPr="004D0DAA">
              <w:t>1</w:t>
            </w:r>
            <w:r w:rsidRPr="004D0DAA">
              <w:tab/>
              <w:t>RLC unacknowledged mode. For the case of an EGPRS TBF an MS that supports RLC non-persistent mode shall respond to this indication of RLC mode as described in the EGPRS Window Size IE (see sub-clause 12.5.2).</w:t>
            </w:r>
          </w:p>
        </w:tc>
      </w:tr>
      <w:tr w:rsidR="00711444" w:rsidRPr="004D0DAA" w14:paraId="23557465" w14:textId="77777777" w:rsidTr="00AA2A4C">
        <w:tblPrEx>
          <w:tblCellMar>
            <w:top w:w="0" w:type="dxa"/>
            <w:bottom w:w="0" w:type="dxa"/>
          </w:tblCellMar>
        </w:tblPrEx>
        <w:trPr>
          <w:cantSplit/>
          <w:trHeight w:val="113"/>
        </w:trPr>
        <w:tc>
          <w:tcPr>
            <w:tcW w:w="9848" w:type="dxa"/>
            <w:shd w:val="clear" w:color="auto" w:fill="auto"/>
          </w:tcPr>
          <w:p w14:paraId="7B5033D1" w14:textId="77777777" w:rsidR="00711444" w:rsidRPr="004D0DAA" w:rsidRDefault="00711444" w:rsidP="00AA2A4C">
            <w:pPr>
              <w:spacing w:after="0"/>
              <w:rPr>
                <w:bCs/>
              </w:rPr>
            </w:pPr>
            <w:r w:rsidRPr="004D0DAA">
              <w:rPr>
                <w:b/>
              </w:rPr>
              <w:t>HFN_LSB</w:t>
            </w:r>
            <w:r w:rsidRPr="004D0DAA">
              <w:rPr>
                <w:bCs/>
              </w:rPr>
              <w:t xml:space="preserve"> (1 bit field) (</w:t>
            </w:r>
            <w:r w:rsidRPr="004D0DAA">
              <w:rPr>
                <w:bCs/>
                <w:i/>
              </w:rPr>
              <w:t>Iu mode</w:t>
            </w:r>
            <w:r w:rsidRPr="004D0DAA">
              <w:rPr>
                <w:bCs/>
              </w:rPr>
              <w:t xml:space="preserve"> only)</w:t>
            </w:r>
          </w:p>
          <w:p w14:paraId="4EE0DB9A" w14:textId="77777777" w:rsidR="00711444" w:rsidRPr="004D0DAA" w:rsidRDefault="00711444" w:rsidP="00AA2A4C">
            <w:pPr>
              <w:rPr>
                <w:b/>
              </w:rPr>
            </w:pPr>
            <w:r w:rsidRPr="004D0DAA">
              <w:t>This field contains the least significant bit of the downlink HFN of the radio bearer for which the TBF is assigned.</w:t>
            </w:r>
          </w:p>
        </w:tc>
      </w:tr>
      <w:tr w:rsidR="00711444" w:rsidRPr="004D0DAA" w14:paraId="0804D192" w14:textId="77777777" w:rsidTr="00AA2A4C">
        <w:tblPrEx>
          <w:tblCellMar>
            <w:top w:w="0" w:type="dxa"/>
            <w:bottom w:w="0" w:type="dxa"/>
          </w:tblCellMar>
        </w:tblPrEx>
        <w:trPr>
          <w:cantSplit/>
          <w:trHeight w:val="113"/>
        </w:trPr>
        <w:tc>
          <w:tcPr>
            <w:tcW w:w="9848" w:type="dxa"/>
            <w:shd w:val="clear" w:color="auto" w:fill="auto"/>
          </w:tcPr>
          <w:p w14:paraId="205F0B2E"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793C97EF" w14:textId="77777777" w:rsidR="00711444" w:rsidRPr="004D0DAA" w:rsidRDefault="00711444" w:rsidP="00AA2A4C">
            <w:pPr>
              <w:spacing w:after="0"/>
            </w:pPr>
            <w:r w:rsidRPr="004D0DAA">
              <w:t xml:space="preserve">This field contains the NPM Transfer Time limitation in case of RLC non-persistent mode </w:t>
            </w:r>
          </w:p>
          <w:p w14:paraId="249D9CD1" w14:textId="77777777" w:rsidR="00711444" w:rsidRPr="004D0DAA" w:rsidRDefault="00711444" w:rsidP="00AA2A4C">
            <w:pPr>
              <w:spacing w:after="0"/>
            </w:pPr>
          </w:p>
          <w:p w14:paraId="4D95D478" w14:textId="77777777" w:rsidR="00711444" w:rsidRPr="004D0DAA" w:rsidRDefault="00711444" w:rsidP="00AA2A4C">
            <w:pPr>
              <w:spacing w:after="0"/>
            </w:pPr>
            <w:r w:rsidRPr="004D0DAA">
              <w:t>The list of NPM Transfer Time IEs in the Rel-7 additions is ordered as described by the loops in the earlier releases part. </w:t>
            </w:r>
          </w:p>
        </w:tc>
      </w:tr>
      <w:tr w:rsidR="00711444" w:rsidRPr="004D0DAA" w14:paraId="352D2593" w14:textId="77777777" w:rsidTr="00AA2A4C">
        <w:tblPrEx>
          <w:tblCellMar>
            <w:top w:w="0" w:type="dxa"/>
            <w:bottom w:w="0" w:type="dxa"/>
          </w:tblCellMar>
        </w:tblPrEx>
        <w:trPr>
          <w:cantSplit/>
          <w:trHeight w:val="113"/>
        </w:trPr>
        <w:tc>
          <w:tcPr>
            <w:tcW w:w="9848" w:type="dxa"/>
            <w:shd w:val="clear" w:color="auto" w:fill="auto"/>
          </w:tcPr>
          <w:p w14:paraId="3BE87693" w14:textId="77777777" w:rsidR="00711444" w:rsidRPr="004D0DAA" w:rsidRDefault="00711444" w:rsidP="00AA2A4C">
            <w:r w:rsidRPr="004D0DAA">
              <w:rPr>
                <w:b/>
              </w:rPr>
              <w:t>Assignment Type</w:t>
            </w:r>
            <w:r w:rsidRPr="004D0DAA">
              <w:t xml:space="preserve"> (2 bit field)</w:t>
            </w:r>
          </w:p>
          <w:p w14:paraId="6019C981" w14:textId="77777777" w:rsidR="00711444" w:rsidRPr="004D0DAA" w:rsidRDefault="00711444" w:rsidP="00AA2A4C">
            <w:pPr>
              <w:spacing w:after="0"/>
              <w:rPr>
                <w:rFonts w:eastAsia="MS Mincho"/>
                <w:lang w:eastAsia="ja-JP"/>
              </w:rPr>
            </w:pPr>
            <w:r w:rsidRPr="004D0DAA">
              <w:t>This field is defined in sub-clause 11.2.7.</w:t>
            </w:r>
          </w:p>
          <w:p w14:paraId="58544D7A" w14:textId="77777777" w:rsidR="00711444" w:rsidRPr="004D0DAA" w:rsidRDefault="00711444" w:rsidP="00AA2A4C">
            <w:pPr>
              <w:spacing w:after="0"/>
              <w:rPr>
                <w:b/>
                <w:iCs/>
              </w:rPr>
            </w:pPr>
          </w:p>
        </w:tc>
      </w:tr>
      <w:tr w:rsidR="00711444" w:rsidRPr="004D0DAA" w14:paraId="36815796" w14:textId="77777777" w:rsidTr="00AA2A4C">
        <w:tblPrEx>
          <w:tblCellMar>
            <w:top w:w="0" w:type="dxa"/>
            <w:bottom w:w="0" w:type="dxa"/>
          </w:tblCellMar>
        </w:tblPrEx>
        <w:trPr>
          <w:cantSplit/>
          <w:trHeight w:val="113"/>
        </w:trPr>
        <w:tc>
          <w:tcPr>
            <w:tcW w:w="9848" w:type="dxa"/>
            <w:shd w:val="clear" w:color="auto" w:fill="auto"/>
          </w:tcPr>
          <w:p w14:paraId="20075398" w14:textId="77777777" w:rsidR="00711444" w:rsidRPr="004D0DAA" w:rsidRDefault="00711444" w:rsidP="00AA2A4C">
            <w:pPr>
              <w:spacing w:after="240"/>
            </w:pPr>
            <w:r w:rsidRPr="004D0DAA">
              <w:rPr>
                <w:b/>
              </w:rPr>
              <w:t>Carrier ID</w:t>
            </w:r>
            <w:r w:rsidRPr="004D0DAA">
              <w:t xml:space="preserve"> (1 bit field)</w:t>
            </w:r>
            <w:r w:rsidRPr="004D0DAA">
              <w:br/>
              <w:t>This identifies the carrier to which the description refers.</w:t>
            </w:r>
          </w:p>
          <w:p w14:paraId="541EA3DE" w14:textId="77777777" w:rsidR="00711444" w:rsidRPr="004D0DAA" w:rsidRDefault="00711444" w:rsidP="00AA2A4C">
            <w:pPr>
              <w:spacing w:after="0"/>
              <w:rPr>
                <w:b/>
                <w:iCs/>
              </w:rPr>
            </w:pPr>
            <w:r w:rsidRPr="004D0DAA">
              <w:t>0</w:t>
            </w:r>
            <w:r w:rsidRPr="004D0DAA">
              <w:tab/>
              <w:t>Carrier 1</w:t>
            </w:r>
            <w:r w:rsidRPr="004D0DAA">
              <w:br/>
              <w:t>1</w:t>
            </w:r>
            <w:r w:rsidRPr="004D0DAA">
              <w:tab/>
              <w:t>Carrier 2</w:t>
            </w:r>
          </w:p>
        </w:tc>
      </w:tr>
      <w:tr w:rsidR="00711444" w:rsidRPr="004D0DAA" w14:paraId="101FF5C8"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left w:val="single" w:sz="4" w:space="0" w:color="auto"/>
              <w:right w:val="single" w:sz="4" w:space="0" w:color="auto"/>
            </w:tcBorders>
          </w:tcPr>
          <w:p w14:paraId="1B09EA77" w14:textId="77777777" w:rsidR="00711444" w:rsidRPr="004D0DAA" w:rsidRDefault="00711444" w:rsidP="00AA2A4C">
            <w:pPr>
              <w:spacing w:after="0"/>
            </w:pPr>
            <w:r w:rsidRPr="004D0DAA">
              <w:rPr>
                <w:b/>
              </w:rPr>
              <w:t>EVENT_BASED_FANR</w:t>
            </w:r>
            <w:r w:rsidRPr="004D0DAA">
              <w:t xml:space="preserve"> (1 bit field)</w:t>
            </w:r>
          </w:p>
          <w:p w14:paraId="667489F4" w14:textId="77777777" w:rsidR="00711444" w:rsidRPr="004D0DAA" w:rsidRDefault="00711444" w:rsidP="00AA2A4C">
            <w:pPr>
              <w:spacing w:after="240"/>
            </w:pPr>
            <w:r w:rsidRPr="004D0DAA">
              <w:t>This field indicates whether the event-based FANR shall be used for the assigned TBF:</w:t>
            </w:r>
          </w:p>
          <w:p w14:paraId="1FDD54B9" w14:textId="77777777" w:rsidR="00711444" w:rsidRPr="004D0DAA" w:rsidRDefault="00711444" w:rsidP="00AA2A4C">
            <w:pPr>
              <w:spacing w:after="0"/>
            </w:pPr>
            <w:r w:rsidRPr="004D0DAA">
              <w:t>0</w:t>
            </w:r>
            <w:r w:rsidRPr="004D0DAA">
              <w:tab/>
              <w:t>The MS shall not use event-based FANR</w:t>
            </w:r>
            <w:r w:rsidRPr="004D0DAA">
              <w:br/>
              <w:t>1</w:t>
            </w:r>
            <w:r w:rsidRPr="004D0DAA">
              <w:tab/>
              <w:t>The MS shall use event-based FANR</w:t>
            </w:r>
          </w:p>
          <w:p w14:paraId="0907F316" w14:textId="77777777" w:rsidR="00711444" w:rsidRPr="004D0DAA" w:rsidRDefault="00711444" w:rsidP="00AA2A4C">
            <w:pPr>
              <w:spacing w:after="0"/>
            </w:pPr>
          </w:p>
          <w:p w14:paraId="1105371C" w14:textId="77777777" w:rsidR="00711444" w:rsidRPr="004D0DAA" w:rsidRDefault="00711444" w:rsidP="00AA2A4C">
            <w:pPr>
              <w:spacing w:after="0"/>
            </w:pPr>
            <w:r w:rsidRPr="004D0DAA">
              <w:t xml:space="preserve">This field shall be ignored </w:t>
            </w:r>
            <w:r w:rsidRPr="004D0DAA">
              <w:rPr>
                <w:lang w:eastAsia="ko-KR"/>
              </w:rPr>
              <w:t xml:space="preserve">if FANR is </w:t>
            </w:r>
            <w:r w:rsidRPr="004D0DAA">
              <w:rPr>
                <w:rFonts w:hint="eastAsia"/>
                <w:lang w:eastAsia="ko-KR"/>
              </w:rPr>
              <w:t>not</w:t>
            </w:r>
            <w:r w:rsidRPr="004D0DAA">
              <w:rPr>
                <w:lang w:eastAsia="ko-KR"/>
              </w:rPr>
              <w:t xml:space="preserve"> activated</w:t>
            </w:r>
            <w:r w:rsidRPr="004D0DAA">
              <w:rPr>
                <w:rFonts w:hint="eastAsia"/>
                <w:lang w:eastAsia="ko-KR"/>
              </w:rPr>
              <w:t xml:space="preserve">. </w:t>
            </w:r>
            <w:r w:rsidRPr="004D0DAA">
              <w:t>The list of EVENT_BASED_FANR IEs in the Rel-7 additions is ordered as described by the loops in the earlier releases part.</w:t>
            </w:r>
          </w:p>
        </w:tc>
      </w:tr>
      <w:tr w:rsidR="00711444" w:rsidRPr="004D0DAA" w14:paraId="14D2D3CD"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left w:val="single" w:sz="4" w:space="0" w:color="auto"/>
              <w:right w:val="single" w:sz="4" w:space="0" w:color="auto"/>
            </w:tcBorders>
          </w:tcPr>
          <w:p w14:paraId="3524AD82" w14:textId="77777777" w:rsidR="00711444" w:rsidRPr="004D0DAA" w:rsidRDefault="00711444" w:rsidP="00AA2A4C">
            <w:pPr>
              <w:spacing w:after="0"/>
              <w:rPr>
                <w:b/>
                <w:bCs/>
                <w:szCs w:val="18"/>
              </w:rPr>
            </w:pPr>
            <w:r w:rsidRPr="004D0DAA">
              <w:rPr>
                <w:b/>
                <w:bCs/>
                <w:szCs w:val="18"/>
              </w:rPr>
              <w:t>DOWNLINK_PDCH_PAIRS_C1</w:t>
            </w:r>
          </w:p>
          <w:p w14:paraId="5B212260" w14:textId="77777777" w:rsidR="00711444" w:rsidRPr="004D0DAA" w:rsidRDefault="00711444" w:rsidP="00AA2A4C">
            <w:pPr>
              <w:spacing w:after="0"/>
              <w:rPr>
                <w:b/>
                <w:bCs/>
                <w:szCs w:val="18"/>
              </w:rPr>
            </w:pPr>
            <w:r w:rsidRPr="004D0DAA">
              <w:rPr>
                <w:b/>
                <w:bCs/>
                <w:szCs w:val="18"/>
              </w:rPr>
              <w:t>DOWNLINK_PDCH_PAIRS_C2</w:t>
            </w:r>
          </w:p>
          <w:p w14:paraId="2130A806" w14:textId="77777777" w:rsidR="00711444" w:rsidRPr="004D0DAA" w:rsidRDefault="00711444" w:rsidP="00AA2A4C">
            <w:pPr>
              <w:spacing w:after="0"/>
              <w:rPr>
                <w:b/>
                <w:bCs/>
                <w:szCs w:val="18"/>
              </w:rPr>
            </w:pPr>
            <w:r w:rsidRPr="004D0DAA">
              <w:rPr>
                <w:b/>
                <w:bCs/>
                <w:szCs w:val="18"/>
              </w:rPr>
              <w:t>UPLINK_PDCH_PAIRS_C1</w:t>
            </w:r>
          </w:p>
          <w:p w14:paraId="62AABE47" w14:textId="77777777" w:rsidR="00711444" w:rsidRPr="004D0DAA" w:rsidRDefault="00711444" w:rsidP="00AA2A4C">
            <w:pPr>
              <w:spacing w:after="0"/>
              <w:rPr>
                <w:b/>
                <w:bCs/>
                <w:szCs w:val="18"/>
              </w:rPr>
            </w:pPr>
            <w:r w:rsidRPr="004D0DAA">
              <w:rPr>
                <w:b/>
                <w:bCs/>
                <w:szCs w:val="18"/>
              </w:rPr>
              <w:t>UPLINK_PDCH_PAIRS_C2</w:t>
            </w:r>
          </w:p>
          <w:p w14:paraId="4B528A4D" w14:textId="77777777" w:rsidR="00711444" w:rsidRPr="004D0DAA" w:rsidRDefault="00711444" w:rsidP="00AA2A4C">
            <w:pPr>
              <w:spacing w:after="0"/>
              <w:rPr>
                <w:b/>
                <w:bCs/>
                <w:szCs w:val="18"/>
              </w:rPr>
            </w:pPr>
            <w:r w:rsidRPr="004D0DAA">
              <w:rPr>
                <w:b/>
                <w:bCs/>
                <w:szCs w:val="18"/>
              </w:rPr>
              <w:t>RTTI_DOWNLINK_PDCH_PAIR_ASSIGNMENT_SC</w:t>
            </w:r>
          </w:p>
          <w:p w14:paraId="38908404" w14:textId="77777777" w:rsidR="00711444" w:rsidRPr="004D0DAA" w:rsidRDefault="00711444" w:rsidP="00AA2A4C">
            <w:pPr>
              <w:spacing w:after="0"/>
              <w:rPr>
                <w:b/>
                <w:bCs/>
                <w:szCs w:val="18"/>
              </w:rPr>
            </w:pPr>
            <w:r w:rsidRPr="004D0DAA">
              <w:rPr>
                <w:b/>
                <w:bCs/>
                <w:szCs w:val="18"/>
              </w:rPr>
              <w:t>RTTI_DOWNLINK_PDCH_PAIR_ASSIGNMENT_DC</w:t>
            </w:r>
          </w:p>
          <w:p w14:paraId="1B255157" w14:textId="77777777" w:rsidR="00711444" w:rsidRPr="004D0DAA" w:rsidRDefault="00711444" w:rsidP="00AA2A4C">
            <w:pPr>
              <w:spacing w:after="0"/>
              <w:rPr>
                <w:szCs w:val="18"/>
              </w:rPr>
            </w:pPr>
          </w:p>
          <w:p w14:paraId="01AE3FD1" w14:textId="77777777" w:rsidR="00711444" w:rsidRPr="004D0DAA" w:rsidRDefault="00711444" w:rsidP="00AA2A4C">
            <w:pPr>
              <w:spacing w:after="0"/>
              <w:rPr>
                <w:b/>
              </w:rPr>
            </w:pPr>
            <w:r w:rsidRPr="004D0DAA">
              <w:rPr>
                <w:szCs w:val="18"/>
              </w:rPr>
              <w:t>These fields are defined in sub-clause 11.2.31</w:t>
            </w:r>
          </w:p>
        </w:tc>
      </w:tr>
      <w:tr w:rsidR="00711444" w:rsidRPr="004D0DAA" w14:paraId="413B793B"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77140CA7" w14:textId="77777777" w:rsidR="00711444" w:rsidRPr="004D0DAA" w:rsidRDefault="00711444" w:rsidP="00AA2A4C">
            <w:pPr>
              <w:spacing w:after="0"/>
              <w:rPr>
                <w:b/>
              </w:rPr>
            </w:pPr>
            <w:r w:rsidRPr="004D0DAA">
              <w:rPr>
                <w:b/>
              </w:rPr>
              <w:t xml:space="preserve">FANR </w:t>
            </w:r>
            <w:r w:rsidRPr="004D0DAA">
              <w:t>(1 bit field)</w:t>
            </w:r>
          </w:p>
          <w:p w14:paraId="573667D1" w14:textId="77777777" w:rsidR="00711444" w:rsidRPr="004D0DAA" w:rsidRDefault="00711444" w:rsidP="00AA2A4C">
            <w:r w:rsidRPr="004D0DAA">
              <w:t xml:space="preserve">This field indicates whether </w:t>
            </w:r>
            <w:r w:rsidRPr="004D0DAA">
              <w:rPr>
                <w:lang w:eastAsia="ko-KR"/>
              </w:rPr>
              <w:t>FANR is activated.</w:t>
            </w:r>
          </w:p>
          <w:p w14:paraId="5D398E39" w14:textId="77777777" w:rsidR="00711444" w:rsidRPr="004D0DAA" w:rsidRDefault="00711444" w:rsidP="00AA2A4C">
            <w:pPr>
              <w:pStyle w:val="FP"/>
            </w:pPr>
            <w:r w:rsidRPr="004D0DAA">
              <w:t>0</w:t>
            </w:r>
            <w:r w:rsidRPr="004D0DAA">
              <w:tab/>
              <w:t>FANR is not activated for the assigned TBFs</w:t>
            </w:r>
            <w:r w:rsidRPr="004D0DAA">
              <w:br/>
              <w:t>1</w:t>
            </w:r>
            <w:r w:rsidRPr="004D0DAA">
              <w:tab/>
              <w:t>FANR is activated for the assigned TBFs</w:t>
            </w:r>
          </w:p>
          <w:p w14:paraId="0411FD9F" w14:textId="77777777" w:rsidR="00711444" w:rsidRPr="004D0DAA" w:rsidRDefault="00711444" w:rsidP="00AA2A4C">
            <w:pPr>
              <w:spacing w:after="0"/>
              <w:rPr>
                <w:b/>
              </w:rPr>
            </w:pPr>
          </w:p>
        </w:tc>
      </w:tr>
      <w:tr w:rsidR="00711444" w:rsidRPr="004D0DAA" w14:paraId="7612AD1F"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21A69651" w14:textId="77777777" w:rsidR="00711444" w:rsidRPr="004D0DAA" w:rsidRDefault="00711444" w:rsidP="00AA2A4C">
            <w:pPr>
              <w:spacing w:after="0"/>
            </w:pPr>
            <w:r w:rsidRPr="004D0DAA">
              <w:rPr>
                <w:b/>
              </w:rPr>
              <w:t xml:space="preserve">Downlink EGPRS Level </w:t>
            </w:r>
            <w:r w:rsidRPr="004D0DAA">
              <w:t>(2 bit field)</w:t>
            </w:r>
          </w:p>
          <w:p w14:paraId="0EE158A7" w14:textId="77777777" w:rsidR="00711444" w:rsidRPr="004D0DAA" w:rsidRDefault="00711444" w:rsidP="00AA2A4C">
            <w:pPr>
              <w:spacing w:after="0"/>
              <w:rPr>
                <w:b/>
              </w:rPr>
            </w:pPr>
            <w:r w:rsidRPr="004D0DAA">
              <w:t>This field specifies the group of modulation and coding schemes applicable to the TBFs. This information element is defined in sub-clause 12.10f.</w:t>
            </w:r>
          </w:p>
        </w:tc>
      </w:tr>
      <w:tr w:rsidR="00711444" w:rsidRPr="004D0DAA" w14:paraId="722CDACD"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left w:val="single" w:sz="4" w:space="0" w:color="auto"/>
              <w:bottom w:val="single" w:sz="4" w:space="0" w:color="auto"/>
              <w:right w:val="single" w:sz="4" w:space="0" w:color="auto"/>
            </w:tcBorders>
          </w:tcPr>
          <w:p w14:paraId="45886FC7"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1E350654" w14:textId="77777777" w:rsidR="00711444" w:rsidRPr="004D0DAA" w:rsidRDefault="00711444" w:rsidP="00AA2A4C">
            <w:pPr>
              <w:spacing w:after="0"/>
            </w:pPr>
            <w:r w:rsidRPr="004D0DAA">
              <w:t>This field is defined in section 11.2.7.</w:t>
            </w:r>
          </w:p>
          <w:p w14:paraId="7340809B" w14:textId="77777777" w:rsidR="00711444" w:rsidRPr="004D0DAA" w:rsidRDefault="00711444" w:rsidP="00AA2A4C">
            <w:pPr>
              <w:spacing w:after="0"/>
            </w:pPr>
          </w:p>
          <w:p w14:paraId="0C92AE14" w14:textId="77777777" w:rsidR="00711444" w:rsidRPr="004D0DAA" w:rsidRDefault="00711444" w:rsidP="00AA2A4C">
            <w:pPr>
              <w:spacing w:after="0"/>
              <w:rPr>
                <w:b/>
              </w:rPr>
            </w:pPr>
            <w:r w:rsidRPr="004D0DAA">
              <w:t>The list of Indication of Upper Layer PDU Start for RLC UM IEs in the Rel-9 additions is ordered as described by the loops in the earlier releases part.</w:t>
            </w:r>
          </w:p>
        </w:tc>
      </w:tr>
    </w:tbl>
    <w:p w14:paraId="3DD2EAC0" w14:textId="77777777" w:rsidR="00711444" w:rsidRPr="004D0DAA" w:rsidRDefault="00711444" w:rsidP="00711444"/>
    <w:p w14:paraId="5F84A063" w14:textId="77777777" w:rsidR="00711444" w:rsidRPr="004D0DAA" w:rsidRDefault="00711444" w:rsidP="00711444">
      <w:pPr>
        <w:pStyle w:val="Heading3"/>
      </w:pPr>
      <w:bookmarkStart w:id="667" w:name="_Toc516669843"/>
      <w:r w:rsidRPr="004D0DAA">
        <w:t>11.2.8</w:t>
      </w:r>
      <w:r w:rsidRPr="004D0DAA">
        <w:tab/>
        <w:t>Packet Downlink Dummy Control Block</w:t>
      </w:r>
      <w:bookmarkEnd w:id="667"/>
    </w:p>
    <w:p w14:paraId="7E09F198" w14:textId="77777777" w:rsidR="00711444" w:rsidRPr="004D0DAA" w:rsidRDefault="00711444" w:rsidP="00711444">
      <w:r w:rsidRPr="004D0DAA">
        <w:t xml:space="preserve">This message is sent on the PCCCH or PACCH by the network to the mobile station as a fill message with either of the optional parameters PAGE_MODE and PERSISTENCE_LEVEL or with no content. In </w:t>
      </w:r>
      <w:r w:rsidRPr="004D0DAA">
        <w:rPr>
          <w:i/>
          <w:iCs/>
        </w:rPr>
        <w:t>Iu mode</w:t>
      </w:r>
      <w:r w:rsidRPr="004D0DAA">
        <w:t>, it is also sent on FACCH, SACCH and SDCCH.</w:t>
      </w:r>
    </w:p>
    <w:p w14:paraId="5E86492E" w14:textId="77777777" w:rsidR="00711444" w:rsidRPr="004D0DAA" w:rsidRDefault="00711444" w:rsidP="00711444">
      <w:pPr>
        <w:pStyle w:val="EX"/>
      </w:pPr>
      <w:r w:rsidRPr="004D0DAA">
        <w:lastRenderedPageBreak/>
        <w:t>Message type:</w:t>
      </w:r>
      <w:r w:rsidRPr="004D0DAA">
        <w:tab/>
        <w:t>PACKET DOWNLINK DUMMY CONTROL BLOCK</w:t>
      </w:r>
    </w:p>
    <w:p w14:paraId="60B25861" w14:textId="77777777" w:rsidR="00711444" w:rsidRPr="004D0DAA" w:rsidRDefault="00711444" w:rsidP="00711444">
      <w:pPr>
        <w:pStyle w:val="EX"/>
      </w:pPr>
      <w:r w:rsidRPr="004D0DAA">
        <w:t>Direction:</w:t>
      </w:r>
      <w:r w:rsidRPr="004D0DAA">
        <w:tab/>
        <w:t>network to mobile station</w:t>
      </w:r>
    </w:p>
    <w:p w14:paraId="34F565F1" w14:textId="77777777" w:rsidR="00711444" w:rsidRPr="004D0DAA" w:rsidRDefault="00711444" w:rsidP="00711444">
      <w:pPr>
        <w:pStyle w:val="EX"/>
      </w:pPr>
      <w:r w:rsidRPr="004D0DAA">
        <w:t>Classification:</w:t>
      </w:r>
      <w:r w:rsidRPr="004D0DAA">
        <w:tab/>
        <w:t>distribution message</w:t>
      </w:r>
    </w:p>
    <w:p w14:paraId="4554AD2F" w14:textId="77777777" w:rsidR="00711444" w:rsidRPr="004D0DAA" w:rsidRDefault="00711444" w:rsidP="00711444">
      <w:pPr>
        <w:pStyle w:val="TH"/>
      </w:pPr>
      <w:r w:rsidRPr="004D0DAA">
        <w:t xml:space="preserve">Table 11.2.8.1: </w:t>
      </w:r>
      <w:r w:rsidRPr="004D0DAA">
        <w:rPr>
          <w:caps/>
        </w:rPr>
        <w:t>Packet DOWNLINK DUMMY CONTROL BLOCK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B0CC3E6" w14:textId="77777777" w:rsidTr="00AA2A4C">
        <w:tblPrEx>
          <w:tblCellMar>
            <w:top w:w="0" w:type="dxa"/>
            <w:bottom w:w="0" w:type="dxa"/>
          </w:tblCellMar>
        </w:tblPrEx>
        <w:trPr>
          <w:cantSplit/>
        </w:trPr>
        <w:tc>
          <w:tcPr>
            <w:tcW w:w="9848" w:type="dxa"/>
          </w:tcPr>
          <w:p w14:paraId="5C84CDB9" w14:textId="77777777" w:rsidR="00711444" w:rsidRPr="004D0DAA" w:rsidRDefault="00711444" w:rsidP="00AA2A4C">
            <w:pPr>
              <w:pStyle w:val="TAL"/>
              <w:rPr>
                <w:lang w:eastAsia="en-US"/>
              </w:rPr>
            </w:pPr>
            <w:r w:rsidRPr="004D0DAA">
              <w:rPr>
                <w:lang w:eastAsia="en-US"/>
              </w:rPr>
              <w:t>&lt; Packet Downlink Dummy Control Block message content &gt; ::=</w:t>
            </w:r>
          </w:p>
          <w:p w14:paraId="6DD51064"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PAGE_MODE</w:t>
            </w:r>
            <w:r w:rsidRPr="004D0DAA">
              <w:rPr>
                <w:lang w:val="fr-FR" w:eastAsia="en-US"/>
              </w:rPr>
              <w:t xml:space="preserve"> : bit (2) &gt;</w:t>
            </w:r>
          </w:p>
          <w:p w14:paraId="21E2B288" w14:textId="77777777" w:rsidR="00711444" w:rsidRPr="004D0DAA" w:rsidRDefault="00711444" w:rsidP="00AA2A4C">
            <w:pPr>
              <w:pStyle w:val="TAL"/>
              <w:rPr>
                <w:lang w:val="fr-FR" w:eastAsia="en-US"/>
              </w:rPr>
            </w:pPr>
            <w:r w:rsidRPr="004D0DAA">
              <w:rPr>
                <w:lang w:val="fr-FR" w:eastAsia="en-US"/>
              </w:rPr>
              <w:tab/>
              <w:t>{ 0 | 1 &lt;</w:t>
            </w:r>
            <w:r w:rsidRPr="004D0DAA">
              <w:rPr>
                <w:b/>
                <w:lang w:val="fr-FR" w:eastAsia="en-US"/>
              </w:rPr>
              <w:t xml:space="preserve">PERSISTENCE_LEVEL </w:t>
            </w:r>
            <w:r w:rsidRPr="004D0DAA">
              <w:rPr>
                <w:lang w:val="fr-FR" w:eastAsia="en-US"/>
              </w:rPr>
              <w:t>: bit (4) &gt; * 4 }</w:t>
            </w:r>
          </w:p>
          <w:p w14:paraId="10E7DBF5" w14:textId="77777777" w:rsidR="00711444" w:rsidRPr="004D0DAA" w:rsidRDefault="00711444" w:rsidP="00AA2A4C">
            <w:pPr>
              <w:pStyle w:val="TAL"/>
              <w:rPr>
                <w:lang w:eastAsia="en-US"/>
              </w:rPr>
            </w:pPr>
            <w:r w:rsidRPr="004D0DAA">
              <w:rPr>
                <w:lang w:val="fr-FR" w:eastAsia="en-US"/>
              </w:rPr>
              <w:tab/>
            </w:r>
            <w:r w:rsidRPr="004D0DAA">
              <w:rPr>
                <w:lang w:eastAsia="en-US"/>
              </w:rPr>
              <w:t>&lt; padding bits &gt;</w:t>
            </w:r>
          </w:p>
          <w:p w14:paraId="29EE0399"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23C414B1" w14:textId="77777777" w:rsidR="00711444" w:rsidRPr="004D0DAA" w:rsidRDefault="00711444" w:rsidP="00711444"/>
    <w:p w14:paraId="345A7E61" w14:textId="77777777" w:rsidR="00711444" w:rsidRPr="004D0DAA" w:rsidRDefault="00711444" w:rsidP="00711444">
      <w:pPr>
        <w:pStyle w:val="TH"/>
      </w:pPr>
      <w:r w:rsidRPr="004D0DAA">
        <w:t xml:space="preserve">Table 11.2.8.2: </w:t>
      </w:r>
      <w:r w:rsidRPr="004D0DAA">
        <w:rPr>
          <w:caps/>
        </w:rPr>
        <w:t>Packet DOWNLINK DUMMY CONTROL BLOCK</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79CAA1C" w14:textId="77777777" w:rsidTr="00AA2A4C">
        <w:tblPrEx>
          <w:tblCellMar>
            <w:top w:w="0" w:type="dxa"/>
            <w:bottom w:w="0" w:type="dxa"/>
          </w:tblCellMar>
        </w:tblPrEx>
        <w:tc>
          <w:tcPr>
            <w:tcW w:w="9848" w:type="dxa"/>
          </w:tcPr>
          <w:p w14:paraId="0EAF0BEF"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6C69883E" w14:textId="77777777" w:rsidR="00711444" w:rsidRPr="004D0DAA" w:rsidRDefault="00711444" w:rsidP="00AA2A4C">
            <w:r w:rsidRPr="004D0DAA">
              <w:rPr>
                <w:b/>
              </w:rPr>
              <w:t xml:space="preserve">PERSISTENCE_LEVEL </w:t>
            </w:r>
            <w:r w:rsidRPr="004D0DAA">
              <w:t>(4 bit field for each Radio Priority 1…4)</w:t>
            </w:r>
            <w:r w:rsidRPr="004D0DAA">
              <w:br/>
              <w:t>This field is defined in sub-clause 12.14, PRACH Control Parameters.</w:t>
            </w:r>
          </w:p>
        </w:tc>
      </w:tr>
    </w:tbl>
    <w:p w14:paraId="4036CA1D" w14:textId="77777777" w:rsidR="00711444" w:rsidRPr="004D0DAA" w:rsidRDefault="00711444" w:rsidP="00711444"/>
    <w:p w14:paraId="10F4A17D" w14:textId="77777777" w:rsidR="00711444" w:rsidRPr="004D0DAA" w:rsidRDefault="00711444" w:rsidP="00711444">
      <w:pPr>
        <w:pStyle w:val="Heading3"/>
      </w:pPr>
      <w:bookmarkStart w:id="668" w:name="_Toc516669844"/>
      <w:r w:rsidRPr="004D0DAA">
        <w:t>11.2.8b</w:t>
      </w:r>
      <w:r w:rsidRPr="004D0DAA">
        <w:tab/>
        <w:t>Packet Uplink Dummy Control Block</w:t>
      </w:r>
      <w:bookmarkEnd w:id="668"/>
    </w:p>
    <w:p w14:paraId="13E401EB" w14:textId="77777777" w:rsidR="00711444" w:rsidRPr="004D0DAA" w:rsidRDefault="00711444" w:rsidP="00711444">
      <w:r w:rsidRPr="004D0DAA">
        <w:t xml:space="preserve">This message is sent on the PACCH from the mobile station to the network when the mobile station has no other block to transmit. In </w:t>
      </w:r>
      <w:r w:rsidRPr="004D0DAA">
        <w:rPr>
          <w:i/>
          <w:iCs/>
        </w:rPr>
        <w:t>Iu mode</w:t>
      </w:r>
      <w:r w:rsidRPr="004D0DAA">
        <w:t>, it is also sent on FACCH, SACCH and SDCCH.</w:t>
      </w:r>
    </w:p>
    <w:p w14:paraId="2D2A4F1E" w14:textId="77777777" w:rsidR="00711444" w:rsidRPr="004D0DAA" w:rsidRDefault="00711444" w:rsidP="00711444">
      <w:pPr>
        <w:pStyle w:val="EX"/>
      </w:pPr>
      <w:r w:rsidRPr="004D0DAA">
        <w:t>Message type:</w:t>
      </w:r>
      <w:r w:rsidRPr="004D0DAA">
        <w:tab/>
        <w:t>PACKET UPLINK DUMMY CONTROL BLOCK</w:t>
      </w:r>
    </w:p>
    <w:p w14:paraId="4B29F4F5" w14:textId="77777777" w:rsidR="00711444" w:rsidRPr="004D0DAA" w:rsidRDefault="00711444" w:rsidP="00711444">
      <w:pPr>
        <w:pStyle w:val="EX"/>
      </w:pPr>
      <w:r w:rsidRPr="004D0DAA">
        <w:t>Direction:</w:t>
      </w:r>
      <w:r w:rsidRPr="004D0DAA">
        <w:tab/>
        <w:t>mobile station to network</w:t>
      </w:r>
    </w:p>
    <w:p w14:paraId="23A74AA6" w14:textId="77777777" w:rsidR="00711444" w:rsidRPr="004D0DAA" w:rsidRDefault="00711444" w:rsidP="00711444">
      <w:pPr>
        <w:pStyle w:val="TH"/>
      </w:pPr>
      <w:r w:rsidRPr="004D0DAA">
        <w:t xml:space="preserve">Table 11.2.8b.1: </w:t>
      </w:r>
      <w:r w:rsidRPr="004D0DAA">
        <w:rPr>
          <w:caps/>
        </w:rPr>
        <w:t>Packet UPLINK DUMMY CONTROL BLOCK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EE51E48" w14:textId="77777777" w:rsidTr="00AA2A4C">
        <w:tblPrEx>
          <w:tblCellMar>
            <w:top w:w="0" w:type="dxa"/>
            <w:bottom w:w="0" w:type="dxa"/>
          </w:tblCellMar>
        </w:tblPrEx>
        <w:trPr>
          <w:cantSplit/>
        </w:trPr>
        <w:tc>
          <w:tcPr>
            <w:tcW w:w="9848" w:type="dxa"/>
          </w:tcPr>
          <w:p w14:paraId="63E78E81" w14:textId="77777777" w:rsidR="00711444" w:rsidRPr="004D0DAA" w:rsidRDefault="00711444" w:rsidP="00AA2A4C">
            <w:pPr>
              <w:pStyle w:val="TAL"/>
              <w:rPr>
                <w:lang w:eastAsia="en-US"/>
              </w:rPr>
            </w:pPr>
            <w:r w:rsidRPr="004D0DAA">
              <w:rPr>
                <w:lang w:eastAsia="en-US"/>
              </w:rPr>
              <w:t>&lt; Packet Uplink Dummy Control Block message content &gt; ::=</w:t>
            </w:r>
          </w:p>
          <w:p w14:paraId="4552E0A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w:t>
            </w:r>
            <w:r w:rsidRPr="004D0DAA">
              <w:rPr>
                <w:lang w:eastAsia="en-US"/>
              </w:rPr>
              <w:t xml:space="preserve"> </w:t>
            </w:r>
            <w:r w:rsidRPr="004D0DAA">
              <w:rPr>
                <w:b/>
                <w:bCs/>
                <w:lang w:eastAsia="en-US"/>
              </w:rPr>
              <w:t xml:space="preserve">/ G-RNTI </w:t>
            </w:r>
            <w:r w:rsidRPr="004D0DAA">
              <w:rPr>
                <w:lang w:eastAsia="en-US"/>
              </w:rPr>
              <w:t>: bit (32) &gt;</w:t>
            </w:r>
          </w:p>
          <w:p w14:paraId="17812ED4" w14:textId="77777777" w:rsidR="00711444" w:rsidRPr="004D0DAA" w:rsidRDefault="00711444" w:rsidP="00AA2A4C">
            <w:pPr>
              <w:pStyle w:val="TAL"/>
              <w:rPr>
                <w:i/>
                <w:iCs/>
                <w:lang w:eastAsia="en-US"/>
              </w:rPr>
            </w:pPr>
            <w:r w:rsidRPr="004D0DAA">
              <w:rPr>
                <w:lang w:eastAsia="en-US"/>
              </w:rPr>
              <w:tab/>
              <w:t>{ null | 0</w:t>
            </w:r>
            <w:r w:rsidRPr="004D0DAA">
              <w:rPr>
                <w:lang w:eastAsia="en-US"/>
              </w:rPr>
              <w:tab/>
              <w:t>bit ** = &lt; no string &gt;</w:t>
            </w:r>
            <w:r w:rsidRPr="004D0DAA">
              <w:rPr>
                <w:lang w:eastAsia="en-US"/>
              </w:rPr>
              <w:tab/>
              <w:t xml:space="preserve">-- </w:t>
            </w:r>
            <w:r w:rsidRPr="004D0DAA">
              <w:rPr>
                <w:i/>
                <w:iCs/>
                <w:lang w:eastAsia="en-US"/>
              </w:rPr>
              <w:t>Receiver compatible with earlier release</w:t>
            </w:r>
          </w:p>
          <w:p w14:paraId="51EE2B6B"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39048EC0" w14:textId="77777777" w:rsidR="00711444" w:rsidRPr="004D0DAA" w:rsidRDefault="00711444" w:rsidP="00AA2A4C">
            <w:pPr>
              <w:pStyle w:val="TAL"/>
              <w:rPr>
                <w:lang w:eastAsia="en-US"/>
              </w:rPr>
            </w:pPr>
            <w:r w:rsidRPr="004D0DAA">
              <w:rPr>
                <w:lang w:eastAsia="en-US"/>
              </w:rPr>
              <w:tab/>
              <w:t>&lt; padding bits &gt; } ;</w:t>
            </w:r>
          </w:p>
        </w:tc>
      </w:tr>
    </w:tbl>
    <w:p w14:paraId="36C7BBC0" w14:textId="77777777" w:rsidR="00711444" w:rsidRPr="004D0DAA" w:rsidRDefault="00711444" w:rsidP="00711444"/>
    <w:p w14:paraId="277A7783" w14:textId="77777777" w:rsidR="00711444" w:rsidRPr="004D0DAA" w:rsidRDefault="00711444" w:rsidP="00711444">
      <w:pPr>
        <w:pStyle w:val="TH"/>
      </w:pPr>
      <w:r w:rsidRPr="004D0DAA">
        <w:t xml:space="preserve">Table 11.2.8b.2: </w:t>
      </w:r>
      <w:r w:rsidRPr="004D0DAA">
        <w:rPr>
          <w:caps/>
        </w:rPr>
        <w:t>Packet UPLINK DUMMY CONTROL BLOCK</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945961B" w14:textId="77777777" w:rsidTr="00AA2A4C">
        <w:tblPrEx>
          <w:tblCellMar>
            <w:top w:w="0" w:type="dxa"/>
            <w:bottom w:w="0" w:type="dxa"/>
          </w:tblCellMar>
        </w:tblPrEx>
        <w:trPr>
          <w:cantSplit/>
        </w:trPr>
        <w:tc>
          <w:tcPr>
            <w:tcW w:w="9848" w:type="dxa"/>
          </w:tcPr>
          <w:p w14:paraId="2047B05D" w14:textId="77777777" w:rsidR="00711444" w:rsidRPr="004D0DAA" w:rsidRDefault="00711444" w:rsidP="00AA2A4C">
            <w:r w:rsidRPr="004D0DAA">
              <w:rPr>
                <w:b/>
              </w:rPr>
              <w:t>TLLI / G-RNTI</w:t>
            </w:r>
            <w:r w:rsidRPr="004D0DAA">
              <w:t xml:space="preserve"> (32 bit field)</w:t>
            </w:r>
            <w:r w:rsidRPr="004D0DAA">
              <w:br/>
              <w:t>This field contains the TLLI / G-RNTI of the mobile station. This field is encoded as defined in sub-clause 12.16.</w:t>
            </w:r>
          </w:p>
        </w:tc>
      </w:tr>
      <w:tr w:rsidR="00711444" w:rsidRPr="004D0DAA" w14:paraId="11225BB1" w14:textId="77777777" w:rsidTr="00AA2A4C">
        <w:tblPrEx>
          <w:tblCellMar>
            <w:top w:w="0" w:type="dxa"/>
            <w:bottom w:w="0" w:type="dxa"/>
          </w:tblCellMar>
        </w:tblPrEx>
        <w:trPr>
          <w:cantSplit/>
        </w:trPr>
        <w:tc>
          <w:tcPr>
            <w:tcW w:w="9848" w:type="dxa"/>
            <w:tcBorders>
              <w:top w:val="nil"/>
            </w:tcBorders>
          </w:tcPr>
          <w:p w14:paraId="7D9C7E18" w14:textId="77777777" w:rsidR="00711444" w:rsidRPr="004D0DAA" w:rsidRDefault="00711444" w:rsidP="00AA2A4C">
            <w:pPr>
              <w:spacing w:after="60"/>
            </w:pPr>
            <w:r w:rsidRPr="004D0DAA">
              <w:rPr>
                <w:b/>
                <w:bCs/>
              </w:rPr>
              <w:t xml:space="preserve">G-RNTI extension </w:t>
            </w:r>
            <w:r w:rsidRPr="004D0DAA">
              <w:t>(4 bit field)</w:t>
            </w:r>
          </w:p>
          <w:p w14:paraId="779E5B52" w14:textId="77777777" w:rsidR="00711444" w:rsidRPr="004D0DAA" w:rsidRDefault="00711444" w:rsidP="00AA2A4C">
            <w:pPr>
              <w:rPr>
                <w:b/>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bl>
    <w:p w14:paraId="6E24555D" w14:textId="77777777" w:rsidR="00711444" w:rsidRPr="004D0DAA" w:rsidRDefault="00711444" w:rsidP="00711444"/>
    <w:p w14:paraId="02EBB63E" w14:textId="77777777" w:rsidR="00711444" w:rsidRPr="004D0DAA" w:rsidRDefault="00711444" w:rsidP="00711444">
      <w:pPr>
        <w:pStyle w:val="Heading3"/>
      </w:pPr>
      <w:bookmarkStart w:id="669" w:name="_Toc516669845"/>
      <w:r w:rsidRPr="004D0DAA">
        <w:t>11.2.9</w:t>
      </w:r>
      <w:r w:rsidRPr="004D0DAA">
        <w:tab/>
        <w:t>Packet Measurement Report</w:t>
      </w:r>
      <w:bookmarkEnd w:id="669"/>
    </w:p>
    <w:p w14:paraId="27BB19E7" w14:textId="77777777" w:rsidR="00711444" w:rsidRPr="004D0DAA" w:rsidRDefault="00711444" w:rsidP="00711444">
      <w:r w:rsidRPr="004D0DAA">
        <w:t>This message is sent on the PACCH from the mobile station to the network to report measurement results. The message contains measurement results from the Network Control measurements. For a (3G) multi-RAT mobile station, report on 3G cells may be included. For a (E-UTRAN) multi-RAT mobile station, report on E-UTRAN cells may be included.</w:t>
      </w:r>
    </w:p>
    <w:p w14:paraId="4FDD814B" w14:textId="77777777" w:rsidR="00711444" w:rsidRPr="004D0DAA" w:rsidRDefault="00711444" w:rsidP="00711444">
      <w:pPr>
        <w:pStyle w:val="EX"/>
      </w:pPr>
      <w:r w:rsidRPr="004D0DAA">
        <w:t>Message type:</w:t>
      </w:r>
      <w:r w:rsidRPr="004D0DAA">
        <w:tab/>
        <w:t>PACKET MEASUREMENT REPORT</w:t>
      </w:r>
    </w:p>
    <w:p w14:paraId="7FB60AEF" w14:textId="77777777" w:rsidR="00711444" w:rsidRPr="004D0DAA" w:rsidRDefault="00711444" w:rsidP="00711444">
      <w:pPr>
        <w:pStyle w:val="EX"/>
      </w:pPr>
      <w:r w:rsidRPr="004D0DAA">
        <w:t>Direction:</w:t>
      </w:r>
      <w:r w:rsidRPr="004D0DAA">
        <w:tab/>
        <w:t>mobile station to network</w:t>
      </w:r>
    </w:p>
    <w:p w14:paraId="05CE7A39" w14:textId="77777777" w:rsidR="00711444" w:rsidRPr="004D0DAA" w:rsidRDefault="00711444" w:rsidP="00711444">
      <w:pPr>
        <w:pStyle w:val="TH"/>
      </w:pPr>
      <w:r w:rsidRPr="004D0DAA">
        <w:lastRenderedPageBreak/>
        <w:t>Table 11.2.9.1: PACKET MEASUREMENT REPORT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3653050" w14:textId="77777777" w:rsidTr="00AA2A4C">
        <w:tblPrEx>
          <w:tblCellMar>
            <w:top w:w="0" w:type="dxa"/>
            <w:bottom w:w="0" w:type="dxa"/>
          </w:tblCellMar>
        </w:tblPrEx>
        <w:trPr>
          <w:cantSplit/>
        </w:trPr>
        <w:tc>
          <w:tcPr>
            <w:tcW w:w="9848" w:type="dxa"/>
          </w:tcPr>
          <w:p w14:paraId="5D3398DF" w14:textId="77777777" w:rsidR="00711444" w:rsidRPr="004D0DAA" w:rsidRDefault="00711444" w:rsidP="00AA2A4C">
            <w:pPr>
              <w:pStyle w:val="TAL"/>
              <w:rPr>
                <w:lang w:eastAsia="en-US"/>
              </w:rPr>
            </w:pPr>
            <w:r w:rsidRPr="004D0DAA">
              <w:rPr>
                <w:lang w:eastAsia="en-US"/>
              </w:rPr>
              <w:t>&lt; Packet Measurement Report message content &gt; ::=</w:t>
            </w:r>
          </w:p>
          <w:p w14:paraId="1F7C9DB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 / G-RNTI</w:t>
            </w:r>
            <w:r w:rsidRPr="004D0DAA">
              <w:rPr>
                <w:lang w:eastAsia="en-US"/>
              </w:rPr>
              <w:t xml:space="preserve"> : bit (32) &gt;</w:t>
            </w:r>
          </w:p>
          <w:p w14:paraId="0ABC701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PSI5_CHANGE_MARK</w:t>
            </w:r>
            <w:r w:rsidRPr="004D0DAA">
              <w:rPr>
                <w:lang w:eastAsia="en-US"/>
              </w:rPr>
              <w:t xml:space="preserve"> : bit (2) &gt; }</w:t>
            </w:r>
          </w:p>
          <w:p w14:paraId="7A251C09"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NC Measurement Report</w:t>
            </w:r>
            <w:r w:rsidRPr="004D0DAA">
              <w:rPr>
                <w:lang w:eastAsia="en-US"/>
              </w:rPr>
              <w:t xml:space="preserve"> : &lt; NC Measurement Report struct &gt; &gt;</w:t>
            </w:r>
          </w:p>
          <w:p w14:paraId="7CB184DE" w14:textId="77777777" w:rsidR="00711444" w:rsidRPr="004D0DAA" w:rsidRDefault="00711444" w:rsidP="00AA2A4C">
            <w:pPr>
              <w:pStyle w:val="TAL"/>
              <w:rPr>
                <w:lang w:eastAsia="en-US"/>
              </w:rPr>
            </w:pPr>
            <w:r w:rsidRPr="004D0DAA">
              <w:rPr>
                <w:lang w:eastAsia="en-US"/>
              </w:rPr>
              <w:tab/>
            </w:r>
            <w:r w:rsidRPr="004D0DAA">
              <w:rPr>
                <w:lang w:eastAsia="en-US"/>
              </w:rPr>
              <w:tab/>
              <w:t>{ 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414345BD" w14:textId="77777777" w:rsidR="00711444" w:rsidRPr="004D0DAA" w:rsidRDefault="00711444" w:rsidP="00AA2A4C">
            <w:pPr>
              <w:pStyle w:val="TAL"/>
              <w:rPr>
                <w:lang w:eastAsia="en-US"/>
              </w:rPr>
            </w:pP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99 :</w:t>
            </w:r>
          </w:p>
          <w:p w14:paraId="4CD73EB3"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t xml:space="preserve">{ 0 &lt; </w:t>
            </w:r>
            <w:r w:rsidRPr="004D0DAA">
              <w:rPr>
                <w:b/>
                <w:lang w:eastAsia="en-US"/>
              </w:rPr>
              <w:t>BA_USED</w:t>
            </w:r>
            <w:r w:rsidRPr="004D0DAA">
              <w:rPr>
                <w:lang w:eastAsia="en-US"/>
              </w:rPr>
              <w:t xml:space="preserve"> : bit &gt; &lt; </w:t>
            </w:r>
            <w:r w:rsidRPr="004D0DAA">
              <w:rPr>
                <w:b/>
                <w:lang w:eastAsia="en-US"/>
              </w:rPr>
              <w:t>3G_BA_USED</w:t>
            </w:r>
            <w:r w:rsidRPr="004D0DAA">
              <w:rPr>
                <w:lang w:eastAsia="en-US"/>
              </w:rPr>
              <w:t xml:space="preserve"> : bit &gt; | 1 &lt; </w:t>
            </w:r>
            <w:r w:rsidRPr="004D0DAA">
              <w:rPr>
                <w:b/>
                <w:lang w:eastAsia="en-US"/>
              </w:rPr>
              <w:t>PSI3_CHANGE_MARK</w:t>
            </w:r>
            <w:r w:rsidRPr="004D0DAA">
              <w:rPr>
                <w:lang w:eastAsia="en-US"/>
              </w:rPr>
              <w:t xml:space="preserve"> : bit(2) &gt; }</w:t>
            </w:r>
          </w:p>
          <w:p w14:paraId="788D27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PMO_USED</w:t>
            </w:r>
            <w:r w:rsidRPr="004D0DAA">
              <w:rPr>
                <w:lang w:eastAsia="en-US"/>
              </w:rPr>
              <w:t xml:space="preserve"> : bit &gt; }</w:t>
            </w:r>
          </w:p>
          <w:p w14:paraId="5A21F4A0"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3G Measurement Report</w:t>
            </w:r>
            <w:r w:rsidRPr="004D0DAA">
              <w:rPr>
                <w:lang w:eastAsia="en-US"/>
              </w:rPr>
              <w:t xml:space="preserve"> : &lt; 3G Measurement Report struct &gt; &gt; }</w:t>
            </w:r>
          </w:p>
          <w:p w14:paraId="63B2726B" w14:textId="77777777" w:rsidR="00711444" w:rsidRPr="004D0DAA" w:rsidRDefault="00711444" w:rsidP="00AA2A4C">
            <w:pPr>
              <w:pStyle w:val="TAL"/>
              <w:rPr>
                <w:i/>
                <w:iCs/>
                <w:lang w:eastAsia="en-US"/>
              </w:rPr>
            </w:pP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4FDC59F9"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t xml:space="preserve">{ 0 | 1 &lt; </w:t>
            </w:r>
            <w:r w:rsidRPr="004D0DAA">
              <w:rPr>
                <w:b/>
                <w:bCs/>
                <w:lang w:eastAsia="en-US"/>
              </w:rPr>
              <w:t xml:space="preserve">G-RNTI extension </w:t>
            </w:r>
            <w:r w:rsidRPr="004D0DAA">
              <w:rPr>
                <w:lang w:eastAsia="en-US"/>
              </w:rPr>
              <w:t>: bit (4) &gt; }</w:t>
            </w:r>
          </w:p>
          <w:p w14:paraId="53747CE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36E85C6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Rel-8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E-UTRAN Measurement Report</w:t>
            </w:r>
            <w:r w:rsidRPr="004D0DAA">
              <w:rPr>
                <w:lang w:eastAsia="en-US"/>
              </w:rPr>
              <w:t xml:space="preserve"> : &lt; E-UTRAN Measurement Report struct &gt; &gt; }</w:t>
            </w:r>
          </w:p>
          <w:p w14:paraId="0B2E5F0C"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0D01119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Rel-9 :</w:t>
            </w:r>
          </w:p>
          <w:p w14:paraId="7D0CE3E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UTRAN</w:t>
            </w:r>
            <w:r w:rsidRPr="004D0DAA">
              <w:rPr>
                <w:lang w:eastAsia="en-US"/>
              </w:rPr>
              <w:t xml:space="preserve"> </w:t>
            </w:r>
            <w:r w:rsidRPr="004D0DAA">
              <w:rPr>
                <w:b/>
                <w:lang w:eastAsia="en-US"/>
              </w:rPr>
              <w:t xml:space="preserve">CSG Measurement Report </w:t>
            </w:r>
            <w:r w:rsidRPr="004D0DAA">
              <w:rPr>
                <w:lang w:eastAsia="en-US"/>
              </w:rPr>
              <w:t>: &lt; UTRAN CSG Measurement Report IE &gt; &gt; }</w:t>
            </w:r>
          </w:p>
          <w:p w14:paraId="729141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E-UTRAN</w:t>
            </w:r>
            <w:r w:rsidRPr="004D0DAA">
              <w:rPr>
                <w:lang w:eastAsia="en-US"/>
              </w:rPr>
              <w:t xml:space="preserve"> </w:t>
            </w:r>
            <w:r w:rsidRPr="004D0DAA">
              <w:rPr>
                <w:b/>
                <w:lang w:eastAsia="en-US"/>
              </w:rPr>
              <w:t xml:space="preserve">CSG Measurement Report </w:t>
            </w:r>
            <w:r w:rsidRPr="004D0DAA">
              <w:rPr>
                <w:lang w:eastAsia="en-US"/>
              </w:rPr>
              <w:t>: &lt; E-UTRAN CSG Measurement Report IE &gt; &gt; }</w:t>
            </w:r>
          </w:p>
          <w:p w14:paraId="498531E0"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15D734EC"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Rel-11 :</w:t>
            </w:r>
          </w:p>
          <w:p w14:paraId="7C15ED5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SI23_BA_USED</w:t>
            </w:r>
            <w:r w:rsidRPr="004D0DAA">
              <w:rPr>
                <w:lang w:eastAsia="en-US"/>
              </w:rPr>
              <w:t xml:space="preserve"> : bit &gt;</w:t>
            </w:r>
          </w:p>
          <w:p w14:paraId="703F17D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 } } } } };</w:t>
            </w:r>
          </w:p>
          <w:p w14:paraId="3F8383D4" w14:textId="77777777" w:rsidR="00711444" w:rsidRPr="004D0DAA" w:rsidRDefault="00711444" w:rsidP="00AA2A4C">
            <w:pPr>
              <w:pStyle w:val="TAL"/>
              <w:rPr>
                <w:lang w:eastAsia="en-US"/>
              </w:rPr>
            </w:pPr>
          </w:p>
        </w:tc>
      </w:tr>
      <w:tr w:rsidR="00711444" w:rsidRPr="004D0DAA" w14:paraId="2B9F0884" w14:textId="77777777" w:rsidTr="00AA2A4C">
        <w:tblPrEx>
          <w:tblCellMar>
            <w:top w:w="0" w:type="dxa"/>
            <w:bottom w:w="0" w:type="dxa"/>
          </w:tblCellMar>
        </w:tblPrEx>
        <w:trPr>
          <w:cantSplit/>
        </w:trPr>
        <w:tc>
          <w:tcPr>
            <w:tcW w:w="9848" w:type="dxa"/>
          </w:tcPr>
          <w:p w14:paraId="4BFB2DCD" w14:textId="77777777" w:rsidR="00711444" w:rsidRPr="004D0DAA" w:rsidRDefault="00711444" w:rsidP="00AA2A4C">
            <w:pPr>
              <w:pStyle w:val="TAL"/>
              <w:rPr>
                <w:lang w:eastAsia="en-US"/>
              </w:rPr>
            </w:pPr>
            <w:r w:rsidRPr="004D0DAA">
              <w:rPr>
                <w:lang w:eastAsia="en-US"/>
              </w:rPr>
              <w:t>&lt; NC Measurement Report struct &gt; ::=</w:t>
            </w:r>
          </w:p>
          <w:p w14:paraId="7E18E8E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NC_MODE</w:t>
            </w:r>
            <w:r w:rsidRPr="004D0DAA">
              <w:rPr>
                <w:lang w:eastAsia="en-US"/>
              </w:rPr>
              <w:t xml:space="preserve"> : bit (1) &gt;</w:t>
            </w:r>
          </w:p>
          <w:p w14:paraId="1CAC31E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RXLEV_SERVING_CELL</w:t>
            </w:r>
            <w:r w:rsidRPr="004D0DAA">
              <w:rPr>
                <w:lang w:eastAsia="en-US"/>
              </w:rPr>
              <w:t xml:space="preserve"> : bit (6) &gt;</w:t>
            </w:r>
          </w:p>
          <w:p w14:paraId="15022257" w14:textId="77777777" w:rsidR="00711444" w:rsidRPr="004D0DAA" w:rsidRDefault="00711444" w:rsidP="00AA2A4C">
            <w:pPr>
              <w:pStyle w:val="TAL"/>
              <w:rPr>
                <w:lang w:eastAsia="en-US"/>
              </w:rPr>
            </w:pPr>
            <w:r w:rsidRPr="004D0DAA">
              <w:rPr>
                <w:lang w:eastAsia="en-US"/>
              </w:rPr>
              <w:tab/>
              <w:t xml:space="preserve">0 </w:t>
            </w:r>
            <w:r w:rsidRPr="004D0DAA">
              <w:rPr>
                <w:lang w:eastAsia="en-US"/>
              </w:rPr>
              <w:tab/>
            </w:r>
            <w:r w:rsidRPr="004D0DAA">
              <w:rPr>
                <w:lang w:eastAsia="en-US"/>
              </w:rPr>
              <w:tab/>
            </w:r>
            <w:r w:rsidRPr="004D0DAA">
              <w:rPr>
                <w:lang w:eastAsia="en-US"/>
              </w:rPr>
              <w:tab/>
              <w:t>-- The value '1' was allocated in an earlier version of the protocol and shall not be used.</w:t>
            </w:r>
          </w:p>
          <w:p w14:paraId="0DEC0D6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NUMBER_OF_NC_MEASUREMENTS</w:t>
            </w:r>
            <w:r w:rsidRPr="004D0DAA">
              <w:rPr>
                <w:lang w:eastAsia="en-US"/>
              </w:rPr>
              <w:t xml:space="preserve"> : bit (3) &gt;</w:t>
            </w:r>
          </w:p>
          <w:p w14:paraId="33CB82FC"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FREQUENCY_N</w:t>
            </w:r>
            <w:r w:rsidRPr="004D0DAA">
              <w:rPr>
                <w:lang w:eastAsia="en-US"/>
              </w:rPr>
              <w:t xml:space="preserve"> : bit (6) &gt;</w:t>
            </w:r>
          </w:p>
          <w:p w14:paraId="216CD178"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BSIC_N</w:t>
            </w:r>
            <w:r w:rsidRPr="004D0DAA">
              <w:rPr>
                <w:lang w:eastAsia="en-US"/>
              </w:rPr>
              <w:t xml:space="preserve"> : bit (6) &gt; }</w:t>
            </w:r>
          </w:p>
          <w:p w14:paraId="66ACACD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RXLEV_N</w:t>
            </w:r>
            <w:r w:rsidRPr="004D0DAA">
              <w:rPr>
                <w:lang w:eastAsia="en-US"/>
              </w:rPr>
              <w:t xml:space="preserve"> : bit (6) &gt; } * (val(NUMBER_OF_NC_MEASUREMENTS)) ;</w:t>
            </w:r>
          </w:p>
          <w:p w14:paraId="0970133F" w14:textId="77777777" w:rsidR="00711444" w:rsidRPr="004D0DAA" w:rsidRDefault="00711444" w:rsidP="00AA2A4C">
            <w:pPr>
              <w:pStyle w:val="TAL"/>
              <w:rPr>
                <w:lang w:eastAsia="en-US"/>
              </w:rPr>
            </w:pPr>
          </w:p>
        </w:tc>
      </w:tr>
      <w:tr w:rsidR="00711444" w:rsidRPr="004D0DAA" w14:paraId="4260023D" w14:textId="77777777" w:rsidTr="00AA2A4C">
        <w:tblPrEx>
          <w:tblCellMar>
            <w:top w:w="0" w:type="dxa"/>
            <w:bottom w:w="0" w:type="dxa"/>
          </w:tblCellMar>
        </w:tblPrEx>
        <w:trPr>
          <w:cantSplit/>
        </w:trPr>
        <w:tc>
          <w:tcPr>
            <w:tcW w:w="9848" w:type="dxa"/>
          </w:tcPr>
          <w:p w14:paraId="0F168560" w14:textId="77777777" w:rsidR="00711444" w:rsidRPr="004D0DAA" w:rsidRDefault="00711444" w:rsidP="00AA2A4C">
            <w:pPr>
              <w:pStyle w:val="TAL"/>
              <w:rPr>
                <w:lang w:eastAsia="en-US"/>
              </w:rPr>
            </w:pPr>
            <w:r w:rsidRPr="004D0DAA">
              <w:rPr>
                <w:lang w:eastAsia="en-US"/>
              </w:rPr>
              <w:t>&lt; 3G Measurement Report struct &gt; ::=</w:t>
            </w:r>
          </w:p>
          <w:p w14:paraId="6E076A0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N_3G</w:t>
            </w:r>
            <w:r w:rsidRPr="004D0DAA">
              <w:rPr>
                <w:lang w:eastAsia="en-US"/>
              </w:rPr>
              <w:t>: bit (3) &gt;</w:t>
            </w:r>
          </w:p>
          <w:p w14:paraId="2D7C34B7"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3G_CELL_LIST_INDEX</w:t>
            </w:r>
            <w:r w:rsidRPr="004D0DAA">
              <w:rPr>
                <w:lang w:eastAsia="en-US"/>
              </w:rPr>
              <w:t xml:space="preserve"> : bit (7) &gt;</w:t>
            </w:r>
          </w:p>
          <w:p w14:paraId="10FF08C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 (val(N_3G + 1 )) ;</w:t>
            </w:r>
          </w:p>
          <w:p w14:paraId="22FF9767" w14:textId="77777777" w:rsidR="00711444" w:rsidRPr="004D0DAA" w:rsidRDefault="00711444" w:rsidP="00AA2A4C">
            <w:pPr>
              <w:pStyle w:val="TAL"/>
              <w:rPr>
                <w:lang w:eastAsia="en-US"/>
              </w:rPr>
            </w:pPr>
          </w:p>
        </w:tc>
      </w:tr>
      <w:tr w:rsidR="00711444" w:rsidRPr="004D0DAA" w14:paraId="77B1FCB2" w14:textId="77777777" w:rsidTr="00AA2A4C">
        <w:tblPrEx>
          <w:tblCellMar>
            <w:top w:w="0" w:type="dxa"/>
            <w:bottom w:w="0" w:type="dxa"/>
          </w:tblCellMar>
        </w:tblPrEx>
        <w:trPr>
          <w:cantSplit/>
        </w:trPr>
        <w:tc>
          <w:tcPr>
            <w:tcW w:w="9848" w:type="dxa"/>
            <w:tcBorders>
              <w:left w:val="single" w:sz="4" w:space="0" w:color="auto"/>
              <w:bottom w:val="single" w:sz="4" w:space="0" w:color="auto"/>
              <w:right w:val="single" w:sz="4" w:space="0" w:color="auto"/>
            </w:tcBorders>
          </w:tcPr>
          <w:p w14:paraId="7842C45C" w14:textId="77777777" w:rsidR="00711444" w:rsidRPr="004D0DAA" w:rsidRDefault="00711444" w:rsidP="00AA2A4C">
            <w:pPr>
              <w:pStyle w:val="TAL"/>
              <w:rPr>
                <w:lang w:eastAsia="en-US"/>
              </w:rPr>
            </w:pPr>
            <w:r w:rsidRPr="004D0DAA">
              <w:rPr>
                <w:lang w:eastAsia="en-US"/>
              </w:rPr>
              <w:t>&lt; E-UTRAN Measurement Report struct &gt; ::=</w:t>
            </w:r>
          </w:p>
          <w:p w14:paraId="3473F456" w14:textId="77777777" w:rsidR="00711444" w:rsidRPr="004D0DAA" w:rsidRDefault="00711444" w:rsidP="00AA2A4C">
            <w:pPr>
              <w:pStyle w:val="TAL"/>
              <w:rPr>
                <w:lang w:eastAsia="en-US"/>
              </w:rPr>
            </w:pPr>
            <w:r w:rsidRPr="004D0DAA">
              <w:rPr>
                <w:lang w:eastAsia="en-US"/>
              </w:rPr>
              <w:tab/>
            </w:r>
          </w:p>
          <w:p w14:paraId="5F7144E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N_E-UTRAN</w:t>
            </w:r>
            <w:r w:rsidRPr="004D0DAA">
              <w:rPr>
                <w:lang w:eastAsia="en-US"/>
              </w:rPr>
              <w:t>: bit (2) &gt;</w:t>
            </w:r>
          </w:p>
          <w:p w14:paraId="176D64EE"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E-UTRAN_FREQUENCY_INDEX</w:t>
            </w:r>
            <w:r w:rsidRPr="004D0DAA">
              <w:rPr>
                <w:lang w:eastAsia="en-US"/>
              </w:rPr>
              <w:t xml:space="preserve"> : bit (3) &gt;</w:t>
            </w:r>
          </w:p>
          <w:p w14:paraId="5AC5C07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CELL IDENTITY</w:t>
            </w:r>
            <w:r w:rsidRPr="004D0DAA">
              <w:rPr>
                <w:lang w:eastAsia="en-US"/>
              </w:rPr>
              <w:t xml:space="preserve"> : bit (9) &gt;</w:t>
            </w:r>
          </w:p>
          <w:p w14:paraId="6F75BCC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 (val(N_E-UTRAN + 1 )) ;</w:t>
            </w:r>
          </w:p>
          <w:p w14:paraId="12D7B11A" w14:textId="77777777" w:rsidR="00711444" w:rsidRPr="004D0DAA" w:rsidRDefault="00711444" w:rsidP="00AA2A4C">
            <w:pPr>
              <w:pStyle w:val="TAL"/>
              <w:rPr>
                <w:lang w:eastAsia="en-US"/>
              </w:rPr>
            </w:pPr>
          </w:p>
        </w:tc>
      </w:tr>
    </w:tbl>
    <w:p w14:paraId="02383918" w14:textId="77777777" w:rsidR="00711444" w:rsidRPr="004D0DAA" w:rsidRDefault="00711444" w:rsidP="00711444"/>
    <w:p w14:paraId="41F30E15" w14:textId="77777777" w:rsidR="00711444" w:rsidRPr="004D0DAA" w:rsidRDefault="00711444" w:rsidP="00711444">
      <w:pPr>
        <w:pStyle w:val="TH"/>
      </w:pPr>
      <w:r w:rsidRPr="004D0DAA">
        <w:t>Table 11.2.9.2: PACKET MEASUREMENT REPORT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B1FA353" w14:textId="77777777" w:rsidTr="00AA2A4C">
        <w:tblPrEx>
          <w:tblCellMar>
            <w:top w:w="0" w:type="dxa"/>
            <w:bottom w:w="0" w:type="dxa"/>
          </w:tblCellMar>
        </w:tblPrEx>
        <w:trPr>
          <w:cantSplit/>
        </w:trPr>
        <w:tc>
          <w:tcPr>
            <w:tcW w:w="9848" w:type="dxa"/>
          </w:tcPr>
          <w:p w14:paraId="24701699" w14:textId="77777777" w:rsidR="00711444" w:rsidRPr="004D0DAA" w:rsidRDefault="00711444" w:rsidP="00AA2A4C">
            <w:pPr>
              <w:rPr>
                <w:b/>
              </w:rPr>
            </w:pPr>
            <w:r w:rsidRPr="004D0DAA">
              <w:rPr>
                <w:b/>
              </w:rPr>
              <w:t>TLLI / G-RNTI</w:t>
            </w:r>
            <w:r w:rsidRPr="004D0DAA">
              <w:t xml:space="preserve"> (32 bit field)</w:t>
            </w:r>
            <w:r w:rsidRPr="004D0DAA">
              <w:br/>
              <w:t>This field contains the TLLI / G-RNTI of the mobile station. This field is encoded as defined in sub-clause 12.16.</w:t>
            </w:r>
          </w:p>
        </w:tc>
      </w:tr>
      <w:tr w:rsidR="00711444" w:rsidRPr="004D0DAA" w14:paraId="5EF5167E" w14:textId="77777777" w:rsidTr="00AA2A4C">
        <w:tblPrEx>
          <w:tblCellMar>
            <w:top w:w="0" w:type="dxa"/>
            <w:bottom w:w="0" w:type="dxa"/>
          </w:tblCellMar>
        </w:tblPrEx>
        <w:trPr>
          <w:cantSplit/>
        </w:trPr>
        <w:tc>
          <w:tcPr>
            <w:tcW w:w="9848" w:type="dxa"/>
          </w:tcPr>
          <w:p w14:paraId="07C9ACC1" w14:textId="77777777" w:rsidR="00711444" w:rsidRPr="004D0DAA" w:rsidRDefault="00711444" w:rsidP="00AA2A4C">
            <w:pPr>
              <w:rPr>
                <w:b/>
              </w:rPr>
            </w:pPr>
            <w:r w:rsidRPr="004D0DAA">
              <w:rPr>
                <w:b/>
              </w:rPr>
              <w:t>PSI5_CHANGE_MARK</w:t>
            </w:r>
            <w:r w:rsidRPr="004D0DAA">
              <w:t xml:space="preserve"> (2 bit field)</w:t>
            </w:r>
            <w:r w:rsidRPr="004D0DAA">
              <w:br/>
              <w:t>This field shall contain the value of the PSI5_CHANGE_MARK in the PSI5 message containing the list of frequencies to measure. If the measurement order has been initiated by a PACKET MEASUREMENT ORDER message, the PSI5_CHANGE_MARK parameter shall be omitted from the message.</w:t>
            </w:r>
          </w:p>
        </w:tc>
      </w:tr>
      <w:tr w:rsidR="00711444" w:rsidRPr="004D0DAA" w14:paraId="683340C1" w14:textId="77777777" w:rsidTr="00AA2A4C">
        <w:tblPrEx>
          <w:tblCellMar>
            <w:top w:w="0" w:type="dxa"/>
            <w:bottom w:w="0" w:type="dxa"/>
          </w:tblCellMar>
        </w:tblPrEx>
        <w:trPr>
          <w:cantSplit/>
        </w:trPr>
        <w:tc>
          <w:tcPr>
            <w:tcW w:w="9848" w:type="dxa"/>
          </w:tcPr>
          <w:p w14:paraId="7B6CCA51" w14:textId="77777777" w:rsidR="00711444" w:rsidRPr="004D0DAA" w:rsidRDefault="00711444" w:rsidP="00AA2A4C">
            <w:r w:rsidRPr="004D0DAA">
              <w:rPr>
                <w:b/>
              </w:rPr>
              <w:lastRenderedPageBreak/>
              <w:t xml:space="preserve">BA_USED </w:t>
            </w:r>
            <w:r w:rsidRPr="004D0DAA">
              <w:t xml:space="preserve">(1 bit field) </w:t>
            </w:r>
            <w:r w:rsidRPr="004D0DAA">
              <w:br/>
            </w:r>
            <w:r w:rsidRPr="004D0DAA">
              <w:rPr>
                <w:b/>
              </w:rPr>
              <w:t xml:space="preserve">3G_BA_USED </w:t>
            </w:r>
            <w:r w:rsidRPr="004D0DAA">
              <w:t>(1 bit field)</w:t>
            </w:r>
            <w:r w:rsidRPr="004D0DAA">
              <w:rPr>
                <w:b/>
              </w:rPr>
              <w:t xml:space="preserve"> </w:t>
            </w:r>
            <w:r w:rsidRPr="004D0DAA">
              <w:rPr>
                <w:b/>
              </w:rPr>
              <w:br/>
              <w:t xml:space="preserve">PSI3_CHANGE_MARK </w:t>
            </w:r>
            <w:r w:rsidRPr="004D0DAA">
              <w:t xml:space="preserve">(2 bit field) </w:t>
            </w:r>
          </w:p>
          <w:p w14:paraId="179A90DF" w14:textId="77777777" w:rsidR="00711444" w:rsidRPr="004D0DAA" w:rsidRDefault="00711444" w:rsidP="00AA2A4C">
            <w:r w:rsidRPr="004D0DAA">
              <w:t>In case of NC measurement report, these fields shall be included and contain the value of the BA_IND, 3G_BA_IND and PSI3_CHANGE_MARK respectively in the messages defining the used Neighbour Cell list and E-UTRAN Neighbour Cell list.</w:t>
            </w:r>
          </w:p>
          <w:p w14:paraId="1FB46FD7" w14:textId="77777777" w:rsidR="00711444" w:rsidRPr="004D0DAA" w:rsidRDefault="00711444" w:rsidP="00AA2A4C">
            <w:pPr>
              <w:rPr>
                <w:b/>
              </w:rPr>
            </w:pPr>
            <w:r w:rsidRPr="004D0DAA">
              <w:t>In case PBCCH exists, PSI3_CHANGE_MARK shall be used.</w:t>
            </w:r>
            <w:r w:rsidRPr="004D0DAA">
              <w:br/>
              <w:t>In case PBCCH does not exist, BA_USED and 3G_BA_USED shall be used.</w:t>
            </w:r>
          </w:p>
        </w:tc>
      </w:tr>
      <w:tr w:rsidR="00711444" w:rsidRPr="004D0DAA" w14:paraId="1369AFB2" w14:textId="77777777" w:rsidTr="00AA2A4C">
        <w:tblPrEx>
          <w:tblCellMar>
            <w:top w:w="0" w:type="dxa"/>
            <w:bottom w:w="0" w:type="dxa"/>
          </w:tblCellMar>
        </w:tblPrEx>
        <w:trPr>
          <w:cantSplit/>
        </w:trPr>
        <w:tc>
          <w:tcPr>
            <w:tcW w:w="9848" w:type="dxa"/>
          </w:tcPr>
          <w:p w14:paraId="1148080E" w14:textId="77777777" w:rsidR="00711444" w:rsidRPr="004D0DAA" w:rsidRDefault="00711444" w:rsidP="00AA2A4C">
            <w:pPr>
              <w:rPr>
                <w:b/>
              </w:rPr>
            </w:pPr>
            <w:r w:rsidRPr="004D0DAA">
              <w:rPr>
                <w:b/>
              </w:rPr>
              <w:t>PMO_USED</w:t>
            </w:r>
            <w:r w:rsidRPr="004D0DAA">
              <w:t xml:space="preserve"> (1 bit field)</w:t>
            </w:r>
            <w:r w:rsidRPr="004D0DAA">
              <w:br/>
              <w:t>This parameter shall contain the value of the PMO_IND in the PACKET CELL CHANGE ORDER or PACKET MEASUREMENT ORDER messages that has modified the used Neighbour Cell list. If no such message has been received, PMO_USED shall be set to zero.</w:t>
            </w:r>
          </w:p>
        </w:tc>
      </w:tr>
      <w:tr w:rsidR="00711444" w:rsidRPr="004D0DAA" w14:paraId="089DE53D" w14:textId="77777777" w:rsidTr="00AA2A4C">
        <w:tblPrEx>
          <w:tblCellMar>
            <w:top w:w="0" w:type="dxa"/>
            <w:bottom w:w="0" w:type="dxa"/>
          </w:tblCellMar>
        </w:tblPrEx>
        <w:trPr>
          <w:cantSplit/>
        </w:trPr>
        <w:tc>
          <w:tcPr>
            <w:tcW w:w="9848" w:type="dxa"/>
          </w:tcPr>
          <w:p w14:paraId="5885F264" w14:textId="77777777" w:rsidR="00711444" w:rsidRPr="004D0DAA" w:rsidRDefault="00711444" w:rsidP="00AA2A4C">
            <w:r w:rsidRPr="004D0DAA">
              <w:rPr>
                <w:b/>
              </w:rPr>
              <w:t>NC_MODE</w:t>
            </w:r>
            <w:r w:rsidRPr="004D0DAA">
              <w:t xml:space="preserve"> (1 bit field)</w:t>
            </w:r>
            <w:r w:rsidRPr="004D0DAA">
              <w:br/>
              <w:t>This field indicates if the mobile station was in mode NC1 or NC2 when sending the measurement report.</w:t>
            </w:r>
          </w:p>
          <w:p w14:paraId="25B0BF0C" w14:textId="77777777" w:rsidR="00711444" w:rsidRPr="004D0DAA" w:rsidRDefault="00711444" w:rsidP="00AA2A4C">
            <w:pPr>
              <w:rPr>
                <w:b/>
                <w:lang w:val="fr-FR"/>
              </w:rPr>
            </w:pPr>
            <w:r w:rsidRPr="004D0DAA">
              <w:rPr>
                <w:lang w:val="fr-FR"/>
              </w:rPr>
              <w:t>0</w:t>
            </w:r>
            <w:r w:rsidRPr="004D0DAA">
              <w:rPr>
                <w:lang w:val="fr-FR"/>
              </w:rPr>
              <w:tab/>
              <w:t>Mobile station in mode NC1</w:t>
            </w:r>
            <w:r w:rsidRPr="004D0DAA">
              <w:rPr>
                <w:lang w:val="fr-FR"/>
              </w:rPr>
              <w:br/>
              <w:t>1</w:t>
            </w:r>
            <w:r w:rsidRPr="004D0DAA">
              <w:rPr>
                <w:lang w:val="fr-FR"/>
              </w:rPr>
              <w:tab/>
              <w:t>Mobile station in mode NC2</w:t>
            </w:r>
          </w:p>
        </w:tc>
      </w:tr>
      <w:tr w:rsidR="00711444" w:rsidRPr="004D0DAA" w14:paraId="5EBAE166" w14:textId="77777777" w:rsidTr="00AA2A4C">
        <w:tblPrEx>
          <w:tblCellMar>
            <w:top w:w="0" w:type="dxa"/>
            <w:bottom w:w="0" w:type="dxa"/>
          </w:tblCellMar>
        </w:tblPrEx>
        <w:trPr>
          <w:cantSplit/>
        </w:trPr>
        <w:tc>
          <w:tcPr>
            <w:tcW w:w="9848" w:type="dxa"/>
          </w:tcPr>
          <w:p w14:paraId="2C6FF947" w14:textId="77777777" w:rsidR="00711444" w:rsidRPr="004D0DAA" w:rsidRDefault="00711444" w:rsidP="00AA2A4C">
            <w:pPr>
              <w:rPr>
                <w:b/>
              </w:rPr>
            </w:pPr>
            <w:r w:rsidRPr="004D0DAA">
              <w:rPr>
                <w:b/>
              </w:rPr>
              <w:t>RXLEV_SERVING_CELL</w:t>
            </w:r>
            <w:r w:rsidRPr="004D0DAA">
              <w:t xml:space="preserve"> (6 bit field)</w:t>
            </w:r>
            <w:r w:rsidRPr="004D0DAA">
              <w:br/>
              <w:t>This field contains the value of the RXLEV parameter for the serving cell calculated by the mobile station (see 3GPP TS 45.008). This field is encoded as the binary representation of the RXLEV parameter value defined in 3GPP TS 45.008.</w:t>
            </w:r>
            <w:r w:rsidRPr="004D0DAA">
              <w:br/>
              <w:t>Range 0 to 63</w:t>
            </w:r>
          </w:p>
        </w:tc>
      </w:tr>
      <w:tr w:rsidR="00711444" w:rsidRPr="004D0DAA" w14:paraId="2310B662" w14:textId="77777777" w:rsidTr="00AA2A4C">
        <w:tblPrEx>
          <w:tblCellMar>
            <w:top w:w="0" w:type="dxa"/>
            <w:bottom w:w="0" w:type="dxa"/>
          </w:tblCellMar>
        </w:tblPrEx>
        <w:trPr>
          <w:cantSplit/>
        </w:trPr>
        <w:tc>
          <w:tcPr>
            <w:tcW w:w="9848" w:type="dxa"/>
          </w:tcPr>
          <w:p w14:paraId="4265E045" w14:textId="77777777" w:rsidR="00711444" w:rsidRPr="004D0DAA" w:rsidRDefault="00711444" w:rsidP="00AA2A4C">
            <w:r w:rsidRPr="004D0DAA">
              <w:rPr>
                <w:b/>
              </w:rPr>
              <w:t>FREQUENCY_N</w:t>
            </w:r>
            <w:r w:rsidRPr="004D0DAA">
              <w:t xml:space="preserve"> (6 bit field)</w:t>
            </w:r>
            <w:r w:rsidRPr="004D0DAA">
              <w:br/>
              <w:t xml:space="preserve">This field indicates the frequency/cell upon which the measurement was made. The field is an index into the resulting Frequency/Cell List for NCmeasurements. </w:t>
            </w:r>
          </w:p>
          <w:p w14:paraId="59598537" w14:textId="77777777" w:rsidR="00711444" w:rsidRPr="004D0DAA" w:rsidRDefault="00711444" w:rsidP="00AA2A4C">
            <w:pPr>
              <w:rPr>
                <w:b/>
              </w:rPr>
            </w:pPr>
            <w:r w:rsidRPr="004D0DAA">
              <w:rPr>
                <w:b/>
              </w:rPr>
              <w:t xml:space="preserve">NC Measurements </w:t>
            </w:r>
          </w:p>
          <w:p w14:paraId="5A587A20" w14:textId="77777777" w:rsidR="00711444" w:rsidRPr="004D0DAA" w:rsidRDefault="00711444" w:rsidP="00AA2A4C">
            <w:pPr>
              <w:keepLines/>
            </w:pPr>
            <w:r w:rsidRPr="004D0DAA">
              <w:t>If PBCCH is allocated in the cell, the resulting frequency/cell list for NC Measurements is the GSM Neighbour Cell list defined in sub-clause 5.6.3.2.</w:t>
            </w:r>
          </w:p>
          <w:p w14:paraId="0F521417" w14:textId="77777777" w:rsidR="00711444" w:rsidRPr="004D0DAA" w:rsidRDefault="00711444" w:rsidP="00AA2A4C">
            <w:pPr>
              <w:keepLines/>
            </w:pPr>
            <w:r w:rsidRPr="004D0DAA">
              <w:t xml:space="preserve">If PBCCH is not allocated in the cell, the resulting frequency/cell list for NC Measurements is </w:t>
            </w:r>
          </w:p>
          <w:p w14:paraId="5AD97080" w14:textId="77777777" w:rsidR="00711444" w:rsidRPr="004D0DAA" w:rsidRDefault="00711444" w:rsidP="00AA2A4C">
            <w:pPr>
              <w:pStyle w:val="B1"/>
              <w:rPr>
                <w:lang w:eastAsia="en-US"/>
              </w:rPr>
            </w:pPr>
            <w:r w:rsidRPr="004D0DAA">
              <w:rPr>
                <w:lang w:eastAsia="en-US"/>
              </w:rPr>
              <w:t>-</w:t>
            </w:r>
            <w:r w:rsidRPr="004D0DAA">
              <w:rPr>
                <w:lang w:eastAsia="en-US"/>
              </w:rPr>
              <w:tab/>
              <w:t>The BA(GPRS) (defined in sub-clause 5.6.3.2) before the MS has acquired the complete GSM Neighbour Cell list from the BCCH messages. In this case, the MS shall not include R99 extension ('Additions in release 99') in the PACKET MEASUREMENT REPORT message.</w:t>
            </w:r>
          </w:p>
          <w:p w14:paraId="62BDB68A" w14:textId="77777777" w:rsidR="00711444" w:rsidRPr="004D0DAA" w:rsidRDefault="00711444" w:rsidP="00AA2A4C">
            <w:pPr>
              <w:pStyle w:val="B1"/>
              <w:rPr>
                <w:b/>
                <w:lang w:eastAsia="en-US"/>
              </w:rPr>
            </w:pPr>
            <w:r w:rsidRPr="004D0DAA">
              <w:rPr>
                <w:lang w:eastAsia="en-US"/>
              </w:rPr>
              <w:t>-</w:t>
            </w:r>
            <w:r w:rsidRPr="004D0DAA">
              <w:rPr>
                <w:lang w:eastAsia="en-US"/>
              </w:rPr>
              <w:tab/>
              <w:t>The GSM Neighbour Cell list (defined in sub-clause 5.6.3.2) after the MS has acquired the complete GSM Neighbour Cell list from the BCCH messages. When the mobile station has acquired the GSM Neighbour Cell list, the mobile station shall include in the measurement reports only cells present in that list.</w:t>
            </w:r>
          </w:p>
        </w:tc>
      </w:tr>
      <w:tr w:rsidR="00711444" w:rsidRPr="004D0DAA" w14:paraId="3073486F" w14:textId="77777777" w:rsidTr="00AA2A4C">
        <w:tblPrEx>
          <w:tblCellMar>
            <w:top w:w="0" w:type="dxa"/>
            <w:bottom w:w="0" w:type="dxa"/>
          </w:tblCellMar>
        </w:tblPrEx>
        <w:trPr>
          <w:cantSplit/>
        </w:trPr>
        <w:tc>
          <w:tcPr>
            <w:tcW w:w="9848" w:type="dxa"/>
          </w:tcPr>
          <w:p w14:paraId="533196CE" w14:textId="77777777" w:rsidR="00711444" w:rsidRPr="004D0DAA" w:rsidRDefault="00711444" w:rsidP="00AA2A4C">
            <w:pPr>
              <w:rPr>
                <w:b/>
              </w:rPr>
            </w:pPr>
            <w:r w:rsidRPr="004D0DAA">
              <w:rPr>
                <w:b/>
              </w:rPr>
              <w:t>BSIC_N</w:t>
            </w:r>
            <w:r w:rsidRPr="004D0DAA">
              <w:t xml:space="preserve"> (6 bit field)</w:t>
            </w:r>
            <w:r w:rsidRPr="004D0DAA">
              <w:br/>
              <w:t>This field indicates the BSIC of the frequency upon which the measurement was made. This field shall be included only for frequencies that refer to the BA(BCCH) list. The field is encoded as the BSIC value defined in 3GPP TS 44.018.</w:t>
            </w:r>
            <w:r w:rsidRPr="004D0DAA">
              <w:br/>
              <w:t>Range 0 to 63</w:t>
            </w:r>
          </w:p>
        </w:tc>
      </w:tr>
      <w:tr w:rsidR="00711444" w:rsidRPr="004D0DAA" w14:paraId="32EB3BCB" w14:textId="77777777" w:rsidTr="00AA2A4C">
        <w:tblPrEx>
          <w:tblCellMar>
            <w:top w:w="0" w:type="dxa"/>
            <w:bottom w:w="0" w:type="dxa"/>
          </w:tblCellMar>
        </w:tblPrEx>
        <w:trPr>
          <w:cantSplit/>
        </w:trPr>
        <w:tc>
          <w:tcPr>
            <w:tcW w:w="9848" w:type="dxa"/>
          </w:tcPr>
          <w:p w14:paraId="51AE9DDE" w14:textId="77777777" w:rsidR="00711444" w:rsidRPr="004D0DAA" w:rsidRDefault="00711444" w:rsidP="00AA2A4C">
            <w:pPr>
              <w:rPr>
                <w:b/>
              </w:rPr>
            </w:pPr>
            <w:r w:rsidRPr="004D0DAA">
              <w:rPr>
                <w:b/>
              </w:rPr>
              <w:t>RXLEV_N</w:t>
            </w:r>
            <w:r w:rsidRPr="004D0DAA">
              <w:t xml:space="preserve"> (6 bit field)</w:t>
            </w:r>
            <w:r w:rsidRPr="004D0DAA">
              <w:br/>
              <w:t>This field indicates the measured RXLEV of the frequency upon which the measurement was made (see 3GPP TS 45.008). This field is encoded as the RXLEV value defined in 3GPP TS 44.018.</w:t>
            </w:r>
            <w:r w:rsidRPr="004D0DAA">
              <w:br/>
              <w:t>Range 0 to 63</w:t>
            </w:r>
          </w:p>
        </w:tc>
      </w:tr>
      <w:tr w:rsidR="00711444" w:rsidRPr="004D0DAA" w14:paraId="3996D3BF" w14:textId="77777777" w:rsidTr="00AA2A4C">
        <w:tblPrEx>
          <w:tblCellMar>
            <w:top w:w="0" w:type="dxa"/>
            <w:bottom w:w="0" w:type="dxa"/>
          </w:tblCellMar>
        </w:tblPrEx>
        <w:trPr>
          <w:cantSplit/>
        </w:trPr>
        <w:tc>
          <w:tcPr>
            <w:tcW w:w="9848" w:type="dxa"/>
          </w:tcPr>
          <w:p w14:paraId="0561B50A" w14:textId="77777777" w:rsidR="00711444" w:rsidRPr="004D0DAA" w:rsidRDefault="00711444" w:rsidP="00AA2A4C">
            <w:r w:rsidRPr="004D0DAA">
              <w:rPr>
                <w:b/>
              </w:rPr>
              <w:lastRenderedPageBreak/>
              <w:t>3G Measurements</w:t>
            </w:r>
            <w:r w:rsidRPr="004D0DAA">
              <w:rPr>
                <w:b/>
              </w:rPr>
              <w:br/>
            </w:r>
            <w:r w:rsidRPr="004D0DAA">
              <w:t>Measurement reporting for 3G Cells is defined in 3GPP TS 45.008.</w:t>
            </w:r>
          </w:p>
          <w:p w14:paraId="106AEF64" w14:textId="77777777" w:rsidR="00711444" w:rsidRPr="004D0DAA" w:rsidRDefault="00711444" w:rsidP="00AA2A4C">
            <w:r w:rsidRPr="004D0DAA">
              <w:rPr>
                <w:b/>
              </w:rPr>
              <w:t xml:space="preserve">3G_CELL_LIST_INDEX </w:t>
            </w:r>
            <w:r w:rsidRPr="004D0DAA">
              <w:t>(7 bit field)</w:t>
            </w:r>
            <w:r w:rsidRPr="004D0DAA">
              <w:br/>
              <w:t>This is the index of the i'th reported 3G neighbour cell in the 3G Neighbour Cell List. See sub-clause 5.6.3.1.</w:t>
            </w:r>
          </w:p>
          <w:p w14:paraId="716E8FFD" w14:textId="77777777" w:rsidR="00711444" w:rsidRPr="004D0DAA" w:rsidRDefault="00711444" w:rsidP="00AA2A4C">
            <w:r w:rsidRPr="004D0DAA">
              <w:rPr>
                <w:b/>
              </w:rPr>
              <w:t>REPORTING_QUANTITY</w:t>
            </w:r>
            <w:r w:rsidRPr="004D0DAA">
              <w:t xml:space="preserve"> (6 bit field)</w:t>
            </w:r>
            <w:r w:rsidRPr="004D0DAA">
              <w:br/>
              <w:t>This is the reporting quantity for the i'th reported 3G cell. The quantities are defined in 3GPP TS 45.008 for the respective Radio Access Technology.</w:t>
            </w:r>
          </w:p>
        </w:tc>
      </w:tr>
      <w:tr w:rsidR="00711444" w:rsidRPr="004D0DAA" w14:paraId="2E0EDF9A" w14:textId="77777777" w:rsidTr="00AA2A4C">
        <w:tblPrEx>
          <w:tblCellMar>
            <w:top w:w="0" w:type="dxa"/>
            <w:bottom w:w="0" w:type="dxa"/>
          </w:tblCellMar>
        </w:tblPrEx>
        <w:trPr>
          <w:cantSplit/>
        </w:trPr>
        <w:tc>
          <w:tcPr>
            <w:tcW w:w="9848" w:type="dxa"/>
          </w:tcPr>
          <w:p w14:paraId="6A462385" w14:textId="77777777" w:rsidR="00711444" w:rsidRPr="004D0DAA" w:rsidRDefault="00711444" w:rsidP="00AA2A4C">
            <w:pPr>
              <w:spacing w:after="60"/>
            </w:pPr>
            <w:r w:rsidRPr="004D0DAA">
              <w:rPr>
                <w:b/>
                <w:bCs/>
              </w:rPr>
              <w:t xml:space="preserve">G-RNTI extension </w:t>
            </w:r>
            <w:r w:rsidRPr="004D0DAA">
              <w:t>(4 bit field)</w:t>
            </w:r>
          </w:p>
          <w:p w14:paraId="1FCD9D0E" w14:textId="77777777" w:rsidR="00711444" w:rsidRPr="004D0DAA" w:rsidRDefault="00711444" w:rsidP="00AA2A4C">
            <w:pPr>
              <w:rPr>
                <w:b/>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r w:rsidR="00711444" w:rsidRPr="004D0DAA" w14:paraId="035470C9" w14:textId="77777777" w:rsidTr="00AA2A4C">
        <w:tblPrEx>
          <w:tblCellMar>
            <w:top w:w="0" w:type="dxa"/>
            <w:bottom w:w="0" w:type="dxa"/>
          </w:tblCellMar>
        </w:tblPrEx>
        <w:trPr>
          <w:cantSplit/>
        </w:trPr>
        <w:tc>
          <w:tcPr>
            <w:tcW w:w="9848" w:type="dxa"/>
          </w:tcPr>
          <w:p w14:paraId="0BA4F5A8" w14:textId="77777777" w:rsidR="00711444" w:rsidRPr="004D0DAA" w:rsidRDefault="00711444" w:rsidP="00AA2A4C">
            <w:r w:rsidRPr="004D0DAA">
              <w:rPr>
                <w:b/>
                <w:bCs/>
              </w:rPr>
              <w:t>E-UTRAN Measurements</w:t>
            </w:r>
            <w:r w:rsidRPr="004D0DAA">
              <w:rPr>
                <w:b/>
                <w:bCs/>
              </w:rPr>
              <w:br/>
            </w:r>
            <w:r w:rsidRPr="004D0DAA">
              <w:t xml:space="preserve">Measurement reporting for E-UTRAN Cells is defined in 3GPP TS 45.008. </w:t>
            </w:r>
          </w:p>
          <w:p w14:paraId="5270F849" w14:textId="77777777" w:rsidR="00711444" w:rsidRPr="004D0DAA" w:rsidRDefault="00711444" w:rsidP="00AA2A4C">
            <w:r w:rsidRPr="004D0DAA">
              <w:rPr>
                <w:b/>
              </w:rPr>
              <w:t>E-UTRAN_FREQUENCY_INDEX</w:t>
            </w:r>
            <w:r w:rsidRPr="004D0DAA">
              <w:t xml:space="preserve"> (3 bit field)</w:t>
            </w:r>
            <w:r w:rsidRPr="004D0DAA">
              <w:br/>
              <w:t>This field contains the index into the frequencies specified as part of the E-UTRAN Neighbour Cell list. This field is described in sub</w:t>
            </w:r>
            <w:r w:rsidRPr="004D0DAA">
              <w:rPr>
                <w:rFonts w:hint="eastAsia"/>
                <w:lang w:eastAsia="zh-CN"/>
              </w:rPr>
              <w:t>-</w:t>
            </w:r>
            <w:r w:rsidRPr="004D0DAA">
              <w:t>clause 12.53.</w:t>
            </w:r>
          </w:p>
          <w:p w14:paraId="52F1E295" w14:textId="77777777" w:rsidR="00711444" w:rsidRPr="004D0DAA" w:rsidRDefault="00711444" w:rsidP="00AA2A4C">
            <w:r w:rsidRPr="004D0DAA">
              <w:rPr>
                <w:b/>
              </w:rPr>
              <w:t>CELL_IDENTITY</w:t>
            </w:r>
            <w:r w:rsidRPr="004D0DAA">
              <w:t xml:space="preserve"> (9 bit field)</w:t>
            </w:r>
            <w:r w:rsidRPr="004D0DAA">
              <w:br/>
              <w:t>This field contains the physical layer cell identity (as defined in 3GPP</w:t>
            </w:r>
            <w:r w:rsidRPr="004D0DAA">
              <w:rPr>
                <w:lang w:eastAsia="zh-CN"/>
              </w:rPr>
              <w:t> </w:t>
            </w:r>
            <w:r w:rsidRPr="004D0DAA">
              <w:t>TS</w:t>
            </w:r>
            <w:r w:rsidRPr="004D0DAA">
              <w:rPr>
                <w:lang w:eastAsia="zh-CN"/>
              </w:rPr>
              <w:t> </w:t>
            </w:r>
            <w:r w:rsidRPr="004D0DAA">
              <w:t>36</w:t>
            </w:r>
            <w:r w:rsidRPr="004D0DAA">
              <w:rPr>
                <w:lang w:eastAsia="zh-CN"/>
              </w:rPr>
              <w:t>.</w:t>
            </w:r>
            <w:r w:rsidRPr="004D0DAA">
              <w:t>211) of the cell being reported.</w:t>
            </w:r>
          </w:p>
          <w:p w14:paraId="248E54B5" w14:textId="77777777" w:rsidR="00711444" w:rsidRPr="004D0DAA" w:rsidRDefault="00711444" w:rsidP="00AA2A4C">
            <w:pPr>
              <w:spacing w:after="60"/>
              <w:rPr>
                <w:b/>
                <w:bCs/>
              </w:rPr>
            </w:pPr>
            <w:r w:rsidRPr="004D0DAA">
              <w:rPr>
                <w:b/>
              </w:rPr>
              <w:t>REPORTING_QUANTITY</w:t>
            </w:r>
            <w:r w:rsidRPr="004D0DAA">
              <w:t xml:space="preserve"> (6 bit field)</w:t>
            </w:r>
            <w:r w:rsidRPr="004D0DAA">
              <w:br/>
              <w:t>This is the reporting quantity for E-UTRAN cell identified by the E-UTRAN frequency and physical layer cell identity. The quantities are defined in 3GPP TS 45.008 for the respective Radio Access Technology.</w:t>
            </w:r>
          </w:p>
        </w:tc>
      </w:tr>
      <w:tr w:rsidR="00711444" w:rsidRPr="004D0DAA" w14:paraId="5743A5EA" w14:textId="77777777" w:rsidTr="00AA2A4C">
        <w:tblPrEx>
          <w:tblCellMar>
            <w:top w:w="0" w:type="dxa"/>
            <w:bottom w:w="0" w:type="dxa"/>
          </w:tblCellMar>
        </w:tblPrEx>
        <w:trPr>
          <w:cantSplit/>
        </w:trPr>
        <w:tc>
          <w:tcPr>
            <w:tcW w:w="9848" w:type="dxa"/>
          </w:tcPr>
          <w:p w14:paraId="59777801" w14:textId="77777777" w:rsidR="00711444" w:rsidRPr="004D0DAA" w:rsidRDefault="00711444" w:rsidP="00AA2A4C">
            <w:pPr>
              <w:rPr>
                <w:b/>
                <w:bCs/>
              </w:rPr>
            </w:pPr>
            <w:r w:rsidRPr="004D0DAA">
              <w:rPr>
                <w:b/>
                <w:bCs/>
              </w:rPr>
              <w:t>UTRAN CSG Measurement Report</w:t>
            </w:r>
            <w:r w:rsidRPr="004D0DAA">
              <w:rPr>
                <w:b/>
                <w:bCs/>
              </w:rPr>
              <w:br/>
            </w:r>
            <w:r w:rsidRPr="004D0DAA">
              <w:t xml:space="preserve">Measurement reporting for UTRAN CSG cells is defined in 3GPP TS 45.008. This information element contains the measurement results and routing parameters for one UTRAN CSG </w:t>
            </w:r>
            <w:r w:rsidRPr="004D0DAA">
              <w:rPr>
                <w:bCs/>
              </w:rPr>
              <w:t xml:space="preserve">or hybrid </w:t>
            </w:r>
            <w:r w:rsidRPr="004D0DAA">
              <w:t>cell. It is defined in</w:t>
            </w:r>
            <w:r w:rsidRPr="004D0DAA">
              <w:rPr>
                <w:i/>
              </w:rPr>
              <w:t xml:space="preserve"> </w:t>
            </w:r>
            <w:r w:rsidRPr="004D0DAA">
              <w:t>sub-clause 12.61.</w:t>
            </w:r>
          </w:p>
        </w:tc>
      </w:tr>
      <w:tr w:rsidR="00711444" w:rsidRPr="004D0DAA" w14:paraId="2BD99BFE" w14:textId="77777777" w:rsidTr="00AA2A4C">
        <w:tblPrEx>
          <w:tblCellMar>
            <w:top w:w="0" w:type="dxa"/>
            <w:bottom w:w="0" w:type="dxa"/>
          </w:tblCellMar>
        </w:tblPrEx>
        <w:trPr>
          <w:cantSplit/>
        </w:trPr>
        <w:tc>
          <w:tcPr>
            <w:tcW w:w="9848" w:type="dxa"/>
          </w:tcPr>
          <w:p w14:paraId="5940F3E6" w14:textId="77777777" w:rsidR="00711444" w:rsidRPr="004D0DAA" w:rsidRDefault="00711444" w:rsidP="00AA2A4C">
            <w:r w:rsidRPr="004D0DAA">
              <w:rPr>
                <w:b/>
                <w:bCs/>
              </w:rPr>
              <w:t>E-UTRAN CSG Measurement Report</w:t>
            </w:r>
            <w:r w:rsidRPr="004D0DAA">
              <w:rPr>
                <w:b/>
                <w:bCs/>
              </w:rPr>
              <w:br/>
            </w:r>
            <w:r w:rsidRPr="004D0DAA">
              <w:t>Measurement reporting for E</w:t>
            </w:r>
            <w:r w:rsidRPr="004D0DAA">
              <w:rPr>
                <w:b/>
              </w:rPr>
              <w:t>-</w:t>
            </w:r>
            <w:r w:rsidRPr="004D0DAA">
              <w:t xml:space="preserve">UTRAN CSG cells is defined in 3GPP TS 45.008. This information element contains the measurement results and routing parameters for one E-UTRAN CSG </w:t>
            </w:r>
            <w:r w:rsidRPr="004D0DAA">
              <w:rPr>
                <w:bCs/>
              </w:rPr>
              <w:t xml:space="preserve">or hybrid </w:t>
            </w:r>
            <w:r w:rsidRPr="004D0DAA">
              <w:t>cell. It is defined in</w:t>
            </w:r>
            <w:r w:rsidRPr="004D0DAA">
              <w:rPr>
                <w:i/>
              </w:rPr>
              <w:t xml:space="preserve"> </w:t>
            </w:r>
            <w:r w:rsidRPr="004D0DAA">
              <w:t>sub-clause 12.60.</w:t>
            </w:r>
          </w:p>
        </w:tc>
      </w:tr>
      <w:tr w:rsidR="00711444" w:rsidRPr="004D0DAA" w14:paraId="260A274F" w14:textId="77777777" w:rsidTr="00AA2A4C">
        <w:tblPrEx>
          <w:tblCellMar>
            <w:top w:w="0" w:type="dxa"/>
            <w:bottom w:w="0" w:type="dxa"/>
          </w:tblCellMar>
        </w:tblPrEx>
        <w:trPr>
          <w:cantSplit/>
        </w:trPr>
        <w:tc>
          <w:tcPr>
            <w:tcW w:w="9848" w:type="dxa"/>
          </w:tcPr>
          <w:p w14:paraId="56422628" w14:textId="77777777" w:rsidR="00711444" w:rsidRPr="004D0DAA" w:rsidRDefault="00711444" w:rsidP="00AA2A4C">
            <w:r w:rsidRPr="004D0DAA">
              <w:rPr>
                <w:b/>
              </w:rPr>
              <w:t xml:space="preserve">SI23_BA_USED </w:t>
            </w:r>
            <w:r w:rsidRPr="004D0DAA">
              <w:t>(1 bit field)</w:t>
            </w:r>
            <w:r w:rsidRPr="004D0DAA">
              <w:rPr>
                <w:b/>
              </w:rPr>
              <w:t xml:space="preserve"> </w:t>
            </w:r>
          </w:p>
          <w:p w14:paraId="42BE9FED" w14:textId="77777777" w:rsidR="00711444" w:rsidRPr="004D0DAA" w:rsidRDefault="00711444" w:rsidP="00AA2A4C">
            <w:pPr>
              <w:rPr>
                <w:b/>
                <w:bCs/>
              </w:rPr>
            </w:pPr>
            <w:r w:rsidRPr="004D0DAA">
              <w:t>In case of NC measurement report, this field contains the value of the SI 23_BA_IND field in the SYSTEM INFORMATION TYPE 23 message defining the E-UTRAN Neighbour Cell list used. In the case SYSTEM INFORMATION TYPE 23 message is not broadcast in the cell or if the mobile station does not support network sharing this field shall be set to 0. Range 0 to 1.</w:t>
            </w:r>
          </w:p>
        </w:tc>
      </w:tr>
    </w:tbl>
    <w:p w14:paraId="6E92BDDD" w14:textId="77777777" w:rsidR="00711444" w:rsidRPr="004D0DAA" w:rsidRDefault="00711444" w:rsidP="00711444"/>
    <w:p w14:paraId="0E8AC205" w14:textId="77777777" w:rsidR="00711444" w:rsidRPr="004D0DAA" w:rsidRDefault="00711444" w:rsidP="00711444">
      <w:pPr>
        <w:pStyle w:val="Heading3"/>
      </w:pPr>
      <w:bookmarkStart w:id="670" w:name="_Toc516669846"/>
      <w:r w:rsidRPr="004D0DAA">
        <w:t>11.2.9b</w:t>
      </w:r>
      <w:r w:rsidRPr="004D0DAA">
        <w:tab/>
        <w:t>Packet Measurement Order</w:t>
      </w:r>
      <w:bookmarkEnd w:id="670"/>
    </w:p>
    <w:p w14:paraId="7C4201AB" w14:textId="77777777" w:rsidR="00711444" w:rsidRPr="004D0DAA" w:rsidRDefault="00711444" w:rsidP="00711444">
      <w:r w:rsidRPr="004D0DAA">
        <w:t>This message is sent on the PCCCH or PACCH by the network to a mobile station giving information for NC and EXT measurement reporting and network controlled cell reselection. If not all information fits into one message, the remaining information will be sent in other instances of the Packet Measurement Order message.</w:t>
      </w:r>
    </w:p>
    <w:p w14:paraId="0B4704BF" w14:textId="77777777" w:rsidR="00711444" w:rsidRPr="004D0DAA" w:rsidRDefault="00711444" w:rsidP="00711444">
      <w:pPr>
        <w:pStyle w:val="EX"/>
      </w:pPr>
      <w:r w:rsidRPr="004D0DAA">
        <w:t>Message type:</w:t>
      </w:r>
      <w:r w:rsidRPr="004D0DAA">
        <w:tab/>
        <w:t>PACKET MEASUREMENT ORDER</w:t>
      </w:r>
    </w:p>
    <w:p w14:paraId="3E8DBE2C" w14:textId="77777777" w:rsidR="00711444" w:rsidRPr="004D0DAA" w:rsidRDefault="00711444" w:rsidP="00711444">
      <w:pPr>
        <w:pStyle w:val="EX"/>
      </w:pPr>
      <w:r w:rsidRPr="004D0DAA">
        <w:t>Direction:</w:t>
      </w:r>
      <w:r w:rsidRPr="004D0DAA">
        <w:tab/>
        <w:t>network to mobile station</w:t>
      </w:r>
    </w:p>
    <w:p w14:paraId="5EC56CF5" w14:textId="77777777" w:rsidR="00711444" w:rsidRPr="004D0DAA" w:rsidRDefault="00711444" w:rsidP="00711444">
      <w:pPr>
        <w:pStyle w:val="EX"/>
      </w:pPr>
      <w:r w:rsidRPr="004D0DAA">
        <w:t>Classification:</w:t>
      </w:r>
      <w:r w:rsidRPr="004D0DAA">
        <w:tab/>
        <w:t>non-distribution message</w:t>
      </w:r>
    </w:p>
    <w:p w14:paraId="56F1DE13" w14:textId="77777777" w:rsidR="00711444" w:rsidRPr="004D0DAA" w:rsidRDefault="00711444" w:rsidP="00711444">
      <w:pPr>
        <w:pStyle w:val="TH"/>
      </w:pPr>
      <w:r w:rsidRPr="004D0DAA">
        <w:lastRenderedPageBreak/>
        <w:t>Table 11.2.9b.1: Packet Measurement Order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C5A122D" w14:textId="77777777" w:rsidTr="00AA2A4C">
        <w:tblPrEx>
          <w:tblCellMar>
            <w:top w:w="0" w:type="dxa"/>
            <w:bottom w:w="0" w:type="dxa"/>
          </w:tblCellMar>
        </w:tblPrEx>
        <w:trPr>
          <w:cantSplit/>
        </w:trPr>
        <w:tc>
          <w:tcPr>
            <w:tcW w:w="9848" w:type="dxa"/>
          </w:tcPr>
          <w:p w14:paraId="17E16E66" w14:textId="77777777" w:rsidR="00711444" w:rsidRPr="004D0DAA" w:rsidRDefault="00711444" w:rsidP="00AA2A4C">
            <w:pPr>
              <w:pStyle w:val="TAL"/>
              <w:rPr>
                <w:lang w:eastAsia="en-US"/>
              </w:rPr>
            </w:pPr>
            <w:r w:rsidRPr="004D0DAA">
              <w:rPr>
                <w:lang w:eastAsia="en-US"/>
              </w:rPr>
              <w:t>&lt; Packet Measurement Order message content &gt; ::=</w:t>
            </w:r>
          </w:p>
          <w:p w14:paraId="3E54FD52"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PAGE_MODE </w:t>
            </w:r>
            <w:r w:rsidRPr="004D0DAA">
              <w:rPr>
                <w:lang w:val="fr-FR" w:eastAsia="en-US"/>
              </w:rPr>
              <w:t>: bit (2) &gt;</w:t>
            </w:r>
          </w:p>
          <w:p w14:paraId="5D870A74"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20A8F1EA"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10</w:t>
            </w:r>
            <w:r w:rsidRPr="004D0DAA">
              <w:rPr>
                <w:lang w:eastAsia="en-US"/>
              </w:rPr>
              <w:tab/>
              <w:t xml:space="preserve">&lt; </w:t>
            </w:r>
            <w:r w:rsidRPr="004D0DAA">
              <w:rPr>
                <w:b/>
                <w:lang w:eastAsia="en-US"/>
              </w:rPr>
              <w:t>TLLI / G-RNTI</w:t>
            </w:r>
            <w:r w:rsidRPr="004D0DAA">
              <w:rPr>
                <w:lang w:eastAsia="en-US"/>
              </w:rPr>
              <w:t xml:space="preserve"> : bit (32) &gt; }</w:t>
            </w:r>
          </w:p>
          <w:p w14:paraId="0C555575"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w:t>
            </w:r>
            <w:r w:rsidRPr="004D0DAA">
              <w:rPr>
                <w:b/>
                <w:lang w:eastAsia="en-US"/>
              </w:rPr>
              <w:t>PMO_INDEX</w:t>
            </w:r>
            <w:r w:rsidRPr="004D0DAA">
              <w:rPr>
                <w:lang w:eastAsia="en-US"/>
              </w:rPr>
              <w:t xml:space="preserve"> : bit (3) &gt;</w:t>
            </w:r>
          </w:p>
          <w:p w14:paraId="40BC2CD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PMO_COUNT</w:t>
            </w:r>
            <w:r w:rsidRPr="004D0DAA">
              <w:rPr>
                <w:lang w:eastAsia="en-US"/>
              </w:rPr>
              <w:t xml:space="preserve"> : bit (3) &gt;</w:t>
            </w:r>
          </w:p>
          <w:p w14:paraId="0E11FF71"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NC Measurement Parameters</w:t>
            </w:r>
            <w:r w:rsidRPr="004D0DAA">
              <w:rPr>
                <w:lang w:eastAsia="en-US"/>
              </w:rPr>
              <w:t xml:space="preserve"> : &lt; NC Measurement Parameters struct &gt; &gt; }</w:t>
            </w:r>
          </w:p>
          <w:p w14:paraId="63814DC4" w14:textId="77777777" w:rsidR="00711444" w:rsidRPr="004D0DAA" w:rsidRDefault="00711444" w:rsidP="00AA2A4C">
            <w:pPr>
              <w:pStyle w:val="TAL"/>
              <w:rPr>
                <w:lang w:eastAsia="en-US"/>
              </w:rPr>
            </w:pPr>
            <w:r w:rsidRPr="004D0DAA">
              <w:rPr>
                <w:lang w:eastAsia="en-US"/>
              </w:rPr>
              <w:tab/>
            </w:r>
            <w:r w:rsidRPr="004D0DAA">
              <w:rPr>
                <w:lang w:eastAsia="en-US"/>
              </w:rPr>
              <w:tab/>
              <w:t xml:space="preserve">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The value '1' was allocated in an earlier version of the protocol and shall not be used. </w:t>
            </w:r>
          </w:p>
          <w:p w14:paraId="72914F7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null </w:t>
            </w:r>
            <w:r w:rsidRPr="004D0DAA">
              <w:rPr>
                <w:lang w:eastAsia="en-US"/>
              </w:rPr>
              <w:tab/>
              <w:t xml:space="preserve">| 0 bit** = &lt; no string &gt;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4BA34E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98 :</w:t>
            </w:r>
          </w:p>
          <w:p w14:paraId="5314859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LSA Parameters</w:t>
            </w:r>
            <w:r w:rsidRPr="004D0DAA">
              <w:rPr>
                <w:lang w:eastAsia="en-US"/>
              </w:rPr>
              <w:t xml:space="preserve"> : &lt; LSA Parameters IE &gt;&gt; }</w:t>
            </w:r>
          </w:p>
          <w:p w14:paraId="5556CD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7E11A09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i/>
                <w:lang w:eastAsia="en-US"/>
              </w:rPr>
              <w:tab/>
            </w:r>
            <w:r w:rsidRPr="004D0DAA">
              <w:rPr>
                <w:i/>
                <w:lang w:eastAsia="en-US"/>
              </w:rPr>
              <w:tab/>
            </w:r>
            <w:r w:rsidRPr="004D0DAA">
              <w:rPr>
                <w:lang w:eastAsia="en-US"/>
              </w:rPr>
              <w:tab/>
            </w:r>
            <w:r w:rsidRPr="004D0DAA">
              <w:rPr>
                <w:lang w:eastAsia="en-US"/>
              </w:rPr>
              <w:tab/>
              <w:t xml:space="preserve">-- </w:t>
            </w:r>
            <w:r w:rsidRPr="004D0DAA">
              <w:rPr>
                <w:i/>
                <w:lang w:eastAsia="en-US"/>
              </w:rPr>
              <w:t>Additions in release 99 :</w:t>
            </w:r>
          </w:p>
          <w:p w14:paraId="054A63A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t xml:space="preserve">| 1 &lt; </w:t>
            </w:r>
            <w:r w:rsidRPr="004D0DAA">
              <w:rPr>
                <w:b/>
                <w:lang w:eastAsia="en-US"/>
              </w:rPr>
              <w:t>ENH Measurement Parameters</w:t>
            </w:r>
            <w:r w:rsidRPr="004D0DAA">
              <w:rPr>
                <w:lang w:eastAsia="en-US"/>
              </w:rPr>
              <w:t xml:space="preserve"> : &lt; ENH Measurement Parameters struct &gt;&gt; }</w:t>
            </w:r>
          </w:p>
          <w:p w14:paraId="11DCAF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 bit** = &lt; no string &gt;</w:t>
            </w:r>
            <w:r w:rsidRPr="004D0DAA">
              <w:rPr>
                <w:lang w:eastAsia="en-US"/>
              </w:rPr>
              <w:tab/>
            </w:r>
            <w:r w:rsidRPr="004D0DAA">
              <w:rPr>
                <w:lang w:eastAsia="en-US"/>
              </w:rPr>
              <w:tab/>
              <w:t xml:space="preserve">-- </w:t>
            </w:r>
            <w:r w:rsidRPr="004D0DAA">
              <w:rPr>
                <w:i/>
                <w:lang w:eastAsia="en-US"/>
              </w:rPr>
              <w:t>Receiver compatible with earlier release</w:t>
            </w:r>
          </w:p>
          <w:p w14:paraId="5A4166F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Rel-4 :</w:t>
            </w:r>
          </w:p>
          <w:p w14:paraId="1A190C0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CCN_ACTIVE</w:t>
            </w:r>
            <w:r w:rsidRPr="004D0DAA">
              <w:rPr>
                <w:lang w:eastAsia="en-US"/>
              </w:rPr>
              <w:t xml:space="preserve"> : bit &gt;</w:t>
            </w:r>
          </w:p>
          <w:p w14:paraId="4DEFDFCE"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lang w:val="fr-FR" w:eastAsia="en-US"/>
              </w:rPr>
              <w:t>CCN Support Description</w:t>
            </w:r>
            <w:r w:rsidRPr="004D0DAA">
              <w:rPr>
                <w:lang w:val="fr-FR" w:eastAsia="en-US"/>
              </w:rPr>
              <w:t xml:space="preserve"> : &lt; CCN Support Description struct &gt;&gt; }</w:t>
            </w:r>
          </w:p>
          <w:p w14:paraId="0669CB90" w14:textId="77777777" w:rsidR="00711444" w:rsidRPr="004D0DAA" w:rsidRDefault="00711444" w:rsidP="00AA2A4C">
            <w:pPr>
              <w:pStyle w:val="TAL"/>
              <w:rPr>
                <w:i/>
                <w:iCs/>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null</w:t>
            </w:r>
            <w:r w:rsidRPr="004D0DAA">
              <w:rPr>
                <w:lang w:eastAsia="en-US"/>
              </w:rPr>
              <w:tab/>
              <w:t>| 0</w:t>
            </w:r>
            <w:r w:rsidRPr="004D0DAA">
              <w:rPr>
                <w:lang w:eastAsia="en-US"/>
              </w:rPr>
              <w:tab/>
              <w:t>bit ** = &lt; no string &gt;</w:t>
            </w:r>
            <w:r w:rsidRPr="004D0DAA">
              <w:rPr>
                <w:lang w:eastAsia="en-US"/>
              </w:rPr>
              <w:tab/>
              <w:t xml:space="preserve">-- </w:t>
            </w:r>
            <w:r w:rsidRPr="004D0DAA">
              <w:rPr>
                <w:i/>
                <w:iCs/>
                <w:lang w:eastAsia="en-US"/>
              </w:rPr>
              <w:t>Receiver compatible with earlier release</w:t>
            </w:r>
          </w:p>
          <w:p w14:paraId="23B3121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0 | 1</w:t>
            </w:r>
            <w:r w:rsidRPr="004D0DAA">
              <w:rPr>
                <w:iCs/>
                <w:lang w:eastAsia="en-US"/>
              </w:rPr>
              <w:tab/>
              <w:t xml:space="preserve">&lt; </w:t>
            </w:r>
            <w:r w:rsidRPr="004D0DAA">
              <w:rPr>
                <w:b/>
                <w:bCs/>
                <w:iCs/>
                <w:lang w:eastAsia="en-US"/>
              </w:rPr>
              <w:t xml:space="preserve">G-RNTI extension </w:t>
            </w:r>
            <w:r w:rsidRPr="004D0DAA">
              <w:rPr>
                <w:iCs/>
                <w:lang w:eastAsia="en-US"/>
              </w:rPr>
              <w:t>: bit (4) &gt; }</w:t>
            </w:r>
          </w:p>
          <w:p w14:paraId="27CA518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Iu Mode Neighbour Cell Parameters</w:t>
            </w:r>
            <w:r w:rsidRPr="004D0DAA">
              <w:rPr>
                <w:lang w:eastAsia="en-US"/>
              </w:rPr>
              <w:t xml:space="preserve"> : </w:t>
            </w:r>
          </w:p>
          <w:p w14:paraId="17A678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 &lt; Iu Mode Neighbour Cell params struct &gt;</w:t>
            </w:r>
            <w:r w:rsidRPr="004D0DAA">
              <w:rPr>
                <w:bCs/>
                <w:lang w:eastAsia="en-US"/>
              </w:rPr>
              <w:t xml:space="preserve"> </w:t>
            </w:r>
            <w:r w:rsidRPr="004D0DAA">
              <w:rPr>
                <w:lang w:eastAsia="en-US"/>
              </w:rPr>
              <w:t>} ** 0 &gt; }</w:t>
            </w:r>
          </w:p>
          <w:p w14:paraId="687B7C2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Supplementary information for dual </w:t>
            </w:r>
            <w:r w:rsidRPr="004D0DAA">
              <w:rPr>
                <w:i/>
                <w:iCs/>
                <w:lang w:eastAsia="en-US"/>
              </w:rPr>
              <w:t>Iu mode</w:t>
            </w:r>
            <w:r w:rsidRPr="004D0DAA">
              <w:rPr>
                <w:lang w:eastAsia="en-US"/>
              </w:rPr>
              <w:t xml:space="preserve"> and </w:t>
            </w:r>
            <w:r w:rsidRPr="004D0DAA">
              <w:rPr>
                <w:i/>
                <w:iCs/>
                <w:lang w:eastAsia="en-US"/>
              </w:rPr>
              <w:t>A/Gb mode</w:t>
            </w:r>
            <w:r w:rsidRPr="004D0DAA">
              <w:rPr>
                <w:lang w:eastAsia="en-US"/>
              </w:rPr>
              <w:t xml:space="preserve"> capable cells</w:t>
            </w:r>
          </w:p>
          <w:p w14:paraId="6457285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NC Iu MODE ONLY CAPABLE CELL LIST </w:t>
            </w:r>
            <w:r w:rsidRPr="004D0DAA">
              <w:rPr>
                <w:lang w:eastAsia="en-US"/>
              </w:rPr>
              <w:t>: NC Iu Mode Only Cell List struct &gt; }</w:t>
            </w:r>
          </w:p>
          <w:p w14:paraId="7EB30C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GPRS 3G Additional Measurement Parameters Description 2 </w:t>
            </w:r>
            <w:r w:rsidRPr="004D0DAA">
              <w:rPr>
                <w:lang w:eastAsia="en-US"/>
              </w:rPr>
              <w:t xml:space="preserve">: </w:t>
            </w:r>
          </w:p>
          <w:p w14:paraId="360229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GPRS 3G Additional Measurement Parameters Description 2 struct &gt;&gt; }</w:t>
            </w:r>
          </w:p>
          <w:p w14:paraId="0BF7115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 bit** = &lt; no string &gt;</w:t>
            </w:r>
            <w:r w:rsidRPr="004D0DAA">
              <w:rPr>
                <w:lang w:eastAsia="en-US"/>
              </w:rPr>
              <w:tab/>
            </w:r>
            <w:r w:rsidRPr="004D0DAA">
              <w:rPr>
                <w:lang w:eastAsia="en-US"/>
              </w:rPr>
              <w:tab/>
              <w:t xml:space="preserve">-- </w:t>
            </w:r>
            <w:r w:rsidRPr="004D0DAA">
              <w:rPr>
                <w:i/>
                <w:lang w:eastAsia="en-US"/>
              </w:rPr>
              <w:t>Receiver compatible with earlier release</w:t>
            </w:r>
          </w:p>
          <w:p w14:paraId="206204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Rel-6 :</w:t>
            </w:r>
          </w:p>
          <w:p w14:paraId="6B64311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3G</w:t>
            </w:r>
            <w:r w:rsidRPr="004D0DAA">
              <w:rPr>
                <w:lang w:eastAsia="en-US"/>
              </w:rPr>
              <w:t>_</w:t>
            </w:r>
            <w:r w:rsidRPr="004D0DAA">
              <w:rPr>
                <w:b/>
                <w:lang w:eastAsia="en-US"/>
              </w:rPr>
              <w:t>CCN_ACTIVE</w:t>
            </w:r>
            <w:r w:rsidRPr="004D0DAA">
              <w:rPr>
                <w:lang w:eastAsia="en-US"/>
              </w:rPr>
              <w:t xml:space="preserve"> : bit &gt;</w:t>
            </w:r>
          </w:p>
          <w:p w14:paraId="7DBC519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3C93E37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Rel-7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1089B6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bCs/>
                <w:lang w:eastAsia="en-US"/>
              </w:rPr>
              <w:t>700</w:t>
            </w:r>
            <w:r w:rsidRPr="004D0DAA">
              <w:rPr>
                <w:b/>
                <w:lang w:eastAsia="en-US"/>
              </w:rPr>
              <w:t>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700</w:t>
            </w:r>
            <w:r w:rsidRPr="004D0DAA">
              <w:rPr>
                <w:b/>
                <w:lang w:eastAsia="en-US"/>
              </w:rPr>
              <w:t xml:space="preserve">_REPORTING_THRESHOLD </w:t>
            </w:r>
            <w:r w:rsidRPr="004D0DAA">
              <w:rPr>
                <w:lang w:eastAsia="en-US"/>
              </w:rPr>
              <w:t>: bit (3) &gt; }</w:t>
            </w:r>
          </w:p>
          <w:p w14:paraId="0E399222"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zh-CN"/>
              </w:rPr>
              <w:t>8</w:t>
            </w:r>
            <w:r w:rsidRPr="004D0DAA">
              <w:rPr>
                <w:b/>
                <w:lang w:eastAsia="en-US"/>
              </w:rPr>
              <w:t>10_REPORTING_OFFSET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zh-CN"/>
              </w:rPr>
              <w:t>8</w:t>
            </w:r>
            <w:r w:rsidRPr="004D0DAA">
              <w:rPr>
                <w:b/>
                <w:lang w:eastAsia="en-US"/>
              </w:rPr>
              <w:t xml:space="preserve">10_REPORTING_THRESHOLD </w:t>
            </w:r>
            <w:r w:rsidRPr="004D0DAA">
              <w:rPr>
                <w:lang w:eastAsia="en-US"/>
              </w:rPr>
              <w:t>: bit (3) &gt; }</w:t>
            </w:r>
          </w:p>
          <w:p w14:paraId="51A7E543"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xml:space="preserve">| 0 bit** = </w:t>
            </w:r>
            <w:r w:rsidRPr="004D0DAA">
              <w:rPr>
                <w:lang w:eastAsia="en-US"/>
              </w:rPr>
              <w:tab/>
              <w:t>&lt; no string &gt;</w:t>
            </w:r>
            <w:r w:rsidRPr="004D0DAA">
              <w:rPr>
                <w:lang w:eastAsia="en-US"/>
              </w:rPr>
              <w:tab/>
            </w:r>
            <w:r w:rsidRPr="004D0DAA">
              <w:rPr>
                <w:i/>
                <w:lang w:eastAsia="en-US"/>
              </w:rPr>
              <w:t>-- Receiver compatible with earlier release</w:t>
            </w:r>
          </w:p>
          <w:p w14:paraId="31131D0C"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in Rel-8</w:t>
            </w:r>
          </w:p>
          <w:p w14:paraId="454E29CE"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3G_BA_IND</w:t>
            </w:r>
            <w:r w:rsidRPr="004D0DAA">
              <w:rPr>
                <w:lang w:eastAsia="en-US"/>
              </w:rPr>
              <w:t xml:space="preserve"> : bit &gt; &lt; </w:t>
            </w:r>
            <w:r w:rsidRPr="004D0DAA">
              <w:rPr>
                <w:b/>
                <w:lang w:eastAsia="en-US"/>
              </w:rPr>
              <w:t>PMO_IND</w:t>
            </w:r>
            <w:r w:rsidRPr="004D0DAA">
              <w:rPr>
                <w:lang w:eastAsia="en-US"/>
              </w:rPr>
              <w:t xml:space="preserve"> : bit &gt; }</w:t>
            </w:r>
          </w:p>
          <w:p w14:paraId="62A6928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Priority and E-UTRAN Parameters Description</w:t>
            </w:r>
            <w:r w:rsidRPr="004D0DAA">
              <w:rPr>
                <w:lang w:eastAsia="en-US"/>
              </w:rPr>
              <w:t xml:space="preserve"> : </w:t>
            </w:r>
          </w:p>
          <w:p w14:paraId="2B4F7AC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Priority and E-UTRAN Parameters Description struct &gt;&gt; }</w:t>
            </w:r>
          </w:p>
          <w:p w14:paraId="23267100"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lang w:eastAsia="en-US"/>
              </w:rPr>
              <w:t>{ 0 | 1</w:t>
            </w:r>
            <w:r w:rsidRPr="004D0DAA">
              <w:rPr>
                <w:lang w:eastAsia="en-US"/>
              </w:rPr>
              <w:tab/>
              <w:t xml:space="preserve">&lt; </w:t>
            </w:r>
            <w:r w:rsidRPr="004D0DAA">
              <w:rPr>
                <w:rFonts w:hint="eastAsia"/>
                <w:b/>
                <w:lang w:eastAsia="zh-CN"/>
              </w:rPr>
              <w:t>Individual Priorities</w:t>
            </w:r>
            <w:r w:rsidRPr="004D0DAA">
              <w:rPr>
                <w:lang w:eastAsia="en-US"/>
              </w:rPr>
              <w:t xml:space="preserve"> : &lt; </w:t>
            </w:r>
            <w:r w:rsidRPr="004D0DAA">
              <w:rPr>
                <w:rFonts w:hint="eastAsia"/>
                <w:lang w:eastAsia="zh-CN"/>
              </w:rPr>
              <w:t>Individual Pr</w:t>
            </w:r>
            <w:r w:rsidRPr="004D0DAA">
              <w:rPr>
                <w:lang w:eastAsia="zh-CN"/>
              </w:rPr>
              <w:t>i</w:t>
            </w:r>
            <w:r w:rsidRPr="004D0DAA">
              <w:rPr>
                <w:rFonts w:hint="eastAsia"/>
                <w:lang w:eastAsia="zh-CN"/>
              </w:rPr>
              <w:t>o</w:t>
            </w:r>
            <w:r w:rsidRPr="004D0DAA">
              <w:rPr>
                <w:lang w:eastAsia="zh-CN"/>
              </w:rPr>
              <w:t>r</w:t>
            </w:r>
            <w:r w:rsidRPr="004D0DAA">
              <w:rPr>
                <w:rFonts w:hint="eastAsia"/>
                <w:lang w:eastAsia="zh-CN"/>
              </w:rPr>
              <w:t>ities</w:t>
            </w:r>
            <w:r w:rsidRPr="004D0DAA">
              <w:rPr>
                <w:lang w:eastAsia="en-US"/>
              </w:rPr>
              <w:t xml:space="preserve"> IE &gt;&gt; </w:t>
            </w:r>
            <w:r w:rsidRPr="004D0DAA">
              <w:rPr>
                <w:rFonts w:hint="eastAsia"/>
                <w:lang w:eastAsia="zh-CN"/>
              </w:rPr>
              <w:t>}</w:t>
            </w:r>
          </w:p>
          <w:p w14:paraId="14C9C9C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3G CSG Description :</w:t>
            </w:r>
            <w:r w:rsidRPr="004D0DAA">
              <w:rPr>
                <w:lang w:eastAsia="en-US"/>
              </w:rPr>
              <w:t xml:space="preserve"> &lt; 3G CSG Description IE &gt;&gt; }</w:t>
            </w:r>
          </w:p>
          <w:p w14:paraId="1C4E49F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E-UTRAN CSG Description :</w:t>
            </w:r>
            <w:r w:rsidRPr="004D0DAA">
              <w:rPr>
                <w:lang w:eastAsia="en-US"/>
              </w:rPr>
              <w:t xml:space="preserve"> &lt; E-UTRAN CSG Description IE &gt;&gt; }</w:t>
            </w:r>
          </w:p>
          <w:p w14:paraId="0278091C"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hint="eastAsia"/>
                <w:lang w:eastAsia="zh-CN"/>
              </w:rPr>
              <w:t>{ 0 | 1</w:t>
            </w:r>
            <w:r w:rsidRPr="004D0DAA">
              <w:rPr>
                <w:lang w:eastAsia="zh-CN"/>
              </w:rPr>
              <w:tab/>
            </w:r>
            <w:r w:rsidRPr="004D0DAA">
              <w:rPr>
                <w:rFonts w:hint="eastAsia"/>
                <w:lang w:eastAsia="zh-CN"/>
              </w:rPr>
              <w:t xml:space="preserve">&lt; </w:t>
            </w:r>
            <w:r w:rsidRPr="004D0DAA">
              <w:rPr>
                <w:rFonts w:hint="eastAsia"/>
                <w:b/>
                <w:lang w:eastAsia="zh-CN"/>
              </w:rPr>
              <w:t>Measurement Control Parameters Description</w:t>
            </w:r>
            <w:r w:rsidRPr="004D0DAA">
              <w:rPr>
                <w:rFonts w:hint="eastAsia"/>
                <w:lang w:eastAsia="zh-CN"/>
              </w:rPr>
              <w:t xml:space="preserve"> :</w:t>
            </w:r>
          </w:p>
          <w:p w14:paraId="52022720" w14:textId="77777777" w:rsidR="00711444" w:rsidRPr="004D0DAA" w:rsidRDefault="00711444" w:rsidP="00AA2A4C">
            <w:pPr>
              <w:pStyle w:val="TAL"/>
              <w:rPr>
                <w:rFonts w:hint="eastAsia"/>
                <w:lang w:eastAsia="zh-CN"/>
              </w:rPr>
            </w:pP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t>&lt; Measurement Control Parameters Description IE &gt;&gt; }</w:t>
            </w:r>
          </w:p>
          <w:p w14:paraId="37A3DA0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xml:space="preserve">| 0 bit** = </w:t>
            </w:r>
            <w:r w:rsidRPr="004D0DAA">
              <w:rPr>
                <w:lang w:eastAsia="en-US"/>
              </w:rPr>
              <w:tab/>
              <w:t>&lt; no string &gt;</w:t>
            </w:r>
            <w:r w:rsidRPr="004D0DAA">
              <w:rPr>
                <w:lang w:eastAsia="en-US"/>
              </w:rPr>
              <w:tab/>
            </w:r>
            <w:r w:rsidRPr="004D0DAA">
              <w:rPr>
                <w:i/>
                <w:lang w:eastAsia="en-US"/>
              </w:rPr>
              <w:t>-- Receiver compatible with earlier release</w:t>
            </w:r>
          </w:p>
          <w:p w14:paraId="23F13D5B"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in Rel-9</w:t>
            </w:r>
          </w:p>
          <w:p w14:paraId="78CB7F9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Enhanced Cell Reselection Parameters Description</w:t>
            </w:r>
            <w:r w:rsidRPr="004D0DAA">
              <w:rPr>
                <w:lang w:eastAsia="en-US"/>
              </w:rPr>
              <w:t xml:space="preserve"> :</w:t>
            </w:r>
          </w:p>
          <w:p w14:paraId="31EB5C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Enhanced Cell Reselection Parameters IE &gt;&gt; }</w:t>
            </w:r>
          </w:p>
          <w:p w14:paraId="2D413E68" w14:textId="77777777" w:rsidR="00711444" w:rsidRPr="004D0DAA" w:rsidRDefault="00711444" w:rsidP="00AA2A4C">
            <w:pPr>
              <w:pStyle w:val="TAL"/>
              <w:rPr>
                <w:rFonts w:hint="eastAsia"/>
                <w:lang w:eastAsia="zh-CN"/>
              </w:rPr>
            </w:pPr>
            <w:r w:rsidRPr="004D0DAA">
              <w:rPr>
                <w:i/>
                <w:lang w:eastAsia="zh-CN"/>
              </w:rPr>
              <w:tab/>
            </w:r>
            <w:r w:rsidRPr="004D0DAA">
              <w:rPr>
                <w:rFonts w:hint="eastAsia"/>
                <w:i/>
                <w:lang w:eastAsia="zh-CN"/>
              </w:rPr>
              <w:tab/>
            </w:r>
            <w:r w:rsidRPr="004D0DAA">
              <w:rPr>
                <w:i/>
                <w:lang w:eastAsia="zh-CN"/>
              </w:rPr>
              <w:tab/>
            </w:r>
            <w:r w:rsidRPr="004D0DAA">
              <w:rPr>
                <w:rFonts w:hint="eastAsia"/>
                <w:i/>
                <w:lang w:eastAsia="zh-CN"/>
              </w:rPr>
              <w:tab/>
            </w:r>
            <w:r w:rsidRPr="004D0DAA">
              <w:rPr>
                <w:i/>
                <w:lang w:eastAsia="zh-CN"/>
              </w:rPr>
              <w:tab/>
            </w:r>
            <w:r w:rsidRPr="004D0DAA">
              <w:rPr>
                <w:rFonts w:hint="eastAsia"/>
                <w:i/>
                <w:lang w:eastAsia="zh-CN"/>
              </w:rPr>
              <w:tab/>
            </w:r>
            <w:r w:rsidRPr="004D0DAA">
              <w:rPr>
                <w:i/>
                <w:lang w:eastAsia="zh-CN"/>
              </w:rPr>
              <w:tab/>
            </w:r>
            <w:r w:rsidRPr="004D0DAA">
              <w:rPr>
                <w:rFonts w:hint="eastAsia"/>
                <w:i/>
                <w:lang w:eastAsia="zh-CN"/>
              </w:rPr>
              <w:tab/>
            </w:r>
            <w:r w:rsidRPr="004D0DAA">
              <w:rPr>
                <w:i/>
                <w:lang w:eastAsia="zh-CN"/>
              </w:rPr>
              <w:tab/>
            </w:r>
            <w:r w:rsidRPr="004D0DAA">
              <w:rPr>
                <w:i/>
                <w:lang w:eastAsia="zh-CN"/>
              </w:rPr>
              <w:tab/>
            </w:r>
            <w:r w:rsidRPr="004D0DAA">
              <w:rPr>
                <w:rFonts w:hint="eastAsia"/>
                <w:i/>
                <w:lang w:eastAsia="zh-CN"/>
              </w:rPr>
              <w:tab/>
            </w:r>
            <w:r w:rsidRPr="004D0DAA">
              <w:rPr>
                <w:rFonts w:hint="eastAsia"/>
                <w:lang w:eastAsia="zh-CN"/>
              </w:rPr>
              <w:t>{ 0 | 1</w:t>
            </w:r>
            <w:r w:rsidRPr="004D0DAA">
              <w:rPr>
                <w:lang w:eastAsia="zh-CN"/>
              </w:rPr>
              <w:tab/>
            </w:r>
            <w:r w:rsidRPr="004D0DAA">
              <w:rPr>
                <w:lang w:eastAsia="en-US"/>
              </w:rPr>
              <w:t xml:space="preserve">&lt; </w:t>
            </w:r>
            <w:r w:rsidRPr="004D0DAA">
              <w:rPr>
                <w:b/>
                <w:lang w:eastAsia="en-US"/>
              </w:rPr>
              <w:t>CSG</w:t>
            </w:r>
            <w:r w:rsidRPr="004D0DAA">
              <w:rPr>
                <w:rFonts w:hint="eastAsia"/>
                <w:b/>
                <w:lang w:eastAsia="zh-CN"/>
              </w:rPr>
              <w:t xml:space="preserve"> </w:t>
            </w:r>
            <w:r w:rsidRPr="004D0DAA">
              <w:rPr>
                <w:b/>
                <w:lang w:eastAsia="en-US"/>
              </w:rPr>
              <w:t xml:space="preserve">Cells Reporting Description </w:t>
            </w:r>
            <w:r w:rsidRPr="004D0DAA">
              <w:rPr>
                <w:lang w:eastAsia="en-US"/>
              </w:rPr>
              <w:t xml:space="preserve">: </w:t>
            </w:r>
          </w:p>
          <w:p w14:paraId="3B03F15A" w14:textId="77777777" w:rsidR="00711444" w:rsidRPr="004D0DAA" w:rsidRDefault="00711444" w:rsidP="00AA2A4C">
            <w:pPr>
              <w:pStyle w:val="TAL"/>
              <w:rPr>
                <w:b/>
                <w:lang w:eastAsia="en-US"/>
              </w:rPr>
            </w:pP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rFonts w:hint="eastAsia"/>
                <w:lang w:eastAsia="zh-CN"/>
              </w:rPr>
              <w:tab/>
            </w:r>
            <w:r w:rsidRPr="004D0DAA">
              <w:rPr>
                <w:rFonts w:hint="eastAsia"/>
                <w:lang w:eastAsia="zh-CN"/>
              </w:rPr>
              <w:tab/>
            </w:r>
            <w:r w:rsidRPr="004D0DAA">
              <w:rPr>
                <w:lang w:eastAsia="en-US"/>
              </w:rPr>
              <w:t>&lt; CSG</w:t>
            </w:r>
            <w:r w:rsidRPr="004D0DAA">
              <w:rPr>
                <w:rFonts w:hint="eastAsia"/>
                <w:lang w:eastAsia="zh-CN"/>
              </w:rPr>
              <w:t xml:space="preserve"> </w:t>
            </w:r>
            <w:r w:rsidRPr="004D0DAA">
              <w:rPr>
                <w:lang w:eastAsia="zh-CN"/>
              </w:rPr>
              <w:t xml:space="preserve">Cells Reporting </w:t>
            </w:r>
            <w:r w:rsidRPr="004D0DAA">
              <w:rPr>
                <w:lang w:eastAsia="en-US"/>
              </w:rPr>
              <w:t>Description struct &gt;&gt; }</w:t>
            </w:r>
          </w:p>
          <w:p w14:paraId="214ECDCF" w14:textId="77777777" w:rsidR="00711444" w:rsidRPr="004D0DAA" w:rsidRDefault="00711444" w:rsidP="00AA2A4C">
            <w:pPr>
              <w:keepNext/>
              <w:keepLines/>
              <w:spacing w:after="0"/>
              <w:rPr>
                <w:rFonts w:ascii="Arial" w:hAnsi="Arial"/>
                <w:i/>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zh-CN"/>
              </w:rPr>
              <w:tab/>
            </w:r>
            <w:r w:rsidRPr="004D0DAA">
              <w:rPr>
                <w:rFonts w:ascii="Arial" w:hAnsi="Arial"/>
                <w:sz w:val="18"/>
                <w:lang w:eastAsia="en-GB"/>
              </w:rPr>
              <w:t>{ null</w:t>
            </w:r>
            <w:r w:rsidRPr="004D0DAA">
              <w:rPr>
                <w:rFonts w:ascii="Arial" w:hAnsi="Arial"/>
                <w:sz w:val="18"/>
                <w:lang w:eastAsia="en-GB"/>
              </w:rPr>
              <w:tab/>
              <w:t xml:space="preserve">| 0 bit** = </w:t>
            </w:r>
            <w:r w:rsidRPr="004D0DAA">
              <w:rPr>
                <w:rFonts w:ascii="Arial" w:hAnsi="Arial"/>
                <w:sz w:val="18"/>
                <w:lang w:eastAsia="en-GB"/>
              </w:rPr>
              <w:tab/>
              <w:t>&lt; no string &gt;</w:t>
            </w:r>
            <w:r w:rsidRPr="004D0DAA">
              <w:rPr>
                <w:rFonts w:ascii="Arial" w:hAnsi="Arial"/>
                <w:sz w:val="18"/>
                <w:lang w:eastAsia="en-GB"/>
              </w:rPr>
              <w:tab/>
            </w:r>
            <w:r w:rsidRPr="004D0DAA">
              <w:rPr>
                <w:rFonts w:ascii="Arial" w:hAnsi="Arial"/>
                <w:i/>
                <w:sz w:val="18"/>
                <w:lang w:eastAsia="en-GB"/>
              </w:rPr>
              <w:t>-- Receiver compatible with earlier release</w:t>
            </w:r>
          </w:p>
          <w:p w14:paraId="673A35F2" w14:textId="77777777" w:rsidR="00711444" w:rsidRPr="004D0DAA" w:rsidRDefault="00711444" w:rsidP="00AA2A4C">
            <w:pPr>
              <w:keepNext/>
              <w:keepLines/>
              <w:spacing w:after="0"/>
              <w:rPr>
                <w:rFonts w:ascii="Arial" w:hAnsi="Arial"/>
                <w:i/>
                <w:sz w:val="18"/>
                <w:lang w:eastAsia="en-GB"/>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zh-CN"/>
              </w:rPr>
              <w:tab/>
            </w:r>
            <w:r w:rsidRPr="004D0DAA">
              <w:rPr>
                <w:rFonts w:ascii="Arial" w:hAnsi="Arial"/>
                <w:sz w:val="18"/>
                <w:lang w:eastAsia="en-GB"/>
              </w:rPr>
              <w:t xml:space="preserve">| 1 </w:t>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i/>
                <w:sz w:val="18"/>
                <w:lang w:eastAsia="en-GB"/>
              </w:rPr>
              <w:t>-- Additions in Rel-11</w:t>
            </w:r>
          </w:p>
          <w:p w14:paraId="3F346426"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en-GB"/>
              </w:rPr>
              <w:t>{ 0 | 1</w:t>
            </w:r>
            <w:r w:rsidRPr="004D0DAA">
              <w:rPr>
                <w:rFonts w:ascii="Arial" w:hAnsi="Arial"/>
                <w:sz w:val="18"/>
                <w:lang w:eastAsia="en-GB"/>
              </w:rPr>
              <w:tab/>
              <w:t xml:space="preserve">&lt; </w:t>
            </w:r>
            <w:r w:rsidRPr="004D0DAA">
              <w:rPr>
                <w:rFonts w:ascii="Arial" w:hAnsi="Arial"/>
                <w:b/>
                <w:sz w:val="18"/>
                <w:lang w:eastAsia="zh-CN"/>
              </w:rPr>
              <w:t>E-UTRAN</w:t>
            </w:r>
            <w:r w:rsidRPr="004D0DAA">
              <w:rPr>
                <w:rFonts w:ascii="Arial" w:hAnsi="Arial" w:hint="eastAsia"/>
                <w:b/>
                <w:sz w:val="18"/>
                <w:lang w:eastAsia="zh-CN"/>
              </w:rPr>
              <w:t xml:space="preserve"> </w:t>
            </w:r>
            <w:r w:rsidRPr="004D0DAA">
              <w:rPr>
                <w:rFonts w:ascii="Arial" w:hAnsi="Arial"/>
                <w:b/>
                <w:sz w:val="18"/>
                <w:lang w:eastAsia="zh-CN"/>
              </w:rPr>
              <w:t>IP</w:t>
            </w:r>
            <w:r w:rsidRPr="004D0DAA">
              <w:rPr>
                <w:rFonts w:ascii="Arial" w:hAnsi="Arial" w:hint="eastAsia"/>
                <w:b/>
                <w:sz w:val="18"/>
                <w:lang w:eastAsia="zh-CN"/>
              </w:rPr>
              <w:t>P</w:t>
            </w:r>
            <w:r w:rsidRPr="004D0DAA">
              <w:rPr>
                <w:rFonts w:ascii="Arial" w:hAnsi="Arial"/>
                <w:b/>
                <w:sz w:val="18"/>
                <w:lang w:eastAsia="zh-CN"/>
              </w:rPr>
              <w:t xml:space="preserve"> </w:t>
            </w:r>
            <w:r w:rsidRPr="004D0DAA">
              <w:rPr>
                <w:rFonts w:ascii="Arial" w:hAnsi="Arial"/>
                <w:b/>
                <w:sz w:val="18"/>
                <w:lang w:eastAsia="en-GB"/>
              </w:rPr>
              <w:t>with extended EARFCNs</w:t>
            </w:r>
            <w:r w:rsidRPr="004D0DAA">
              <w:rPr>
                <w:rFonts w:ascii="Arial" w:hAnsi="Arial"/>
                <w:sz w:val="18"/>
                <w:lang w:eastAsia="en-GB"/>
              </w:rPr>
              <w:t xml:space="preserve">: </w:t>
            </w:r>
          </w:p>
          <w:p w14:paraId="57F2DA79" w14:textId="77777777" w:rsidR="00711444" w:rsidRPr="004D0DAA" w:rsidRDefault="00711444" w:rsidP="00AA2A4C">
            <w:pPr>
              <w:keepNext/>
              <w:keepLines/>
              <w:spacing w:after="0"/>
              <w:rPr>
                <w:rFonts w:ascii="Arial" w:hAnsi="Arial"/>
                <w:sz w:val="18"/>
                <w:lang w:eastAsia="zh-CN"/>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en-GB"/>
              </w:rPr>
              <w:tab/>
              <w:t xml:space="preserve">&lt; E-UTRAN </w:t>
            </w:r>
            <w:r w:rsidRPr="004D0DAA">
              <w:rPr>
                <w:rFonts w:ascii="Arial" w:hAnsi="Arial" w:hint="eastAsia"/>
                <w:sz w:val="18"/>
                <w:lang w:eastAsia="zh-CN"/>
              </w:rPr>
              <w:t>IP</w:t>
            </w:r>
            <w:r w:rsidRPr="004D0DAA">
              <w:rPr>
                <w:rFonts w:ascii="Arial" w:hAnsi="Arial"/>
                <w:sz w:val="18"/>
                <w:lang w:eastAsia="zh-CN"/>
              </w:rPr>
              <w:t>P</w:t>
            </w:r>
            <w:r w:rsidRPr="004D0DAA">
              <w:rPr>
                <w:rFonts w:ascii="Arial" w:hAnsi="Arial"/>
                <w:sz w:val="18"/>
                <w:lang w:eastAsia="en-GB"/>
              </w:rPr>
              <w:t xml:space="preserve"> with extended EARFCNs IE&gt;&gt; </w:t>
            </w:r>
            <w:r w:rsidRPr="004D0DAA">
              <w:rPr>
                <w:rFonts w:ascii="Arial" w:hAnsi="Arial" w:hint="eastAsia"/>
                <w:sz w:val="18"/>
                <w:lang w:eastAsia="zh-CN"/>
              </w:rPr>
              <w:t>}</w:t>
            </w:r>
          </w:p>
          <w:p w14:paraId="1AB4378A"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en-GB"/>
              </w:rPr>
              <w:t>{ 0 | 1</w:t>
            </w:r>
            <w:r w:rsidRPr="004D0DAA">
              <w:rPr>
                <w:rFonts w:ascii="Arial" w:hAnsi="Arial"/>
                <w:sz w:val="18"/>
                <w:lang w:eastAsia="en-GB"/>
              </w:rPr>
              <w:tab/>
              <w:t xml:space="preserve">&lt; </w:t>
            </w:r>
            <w:r w:rsidRPr="004D0DAA">
              <w:rPr>
                <w:rFonts w:ascii="Arial" w:hAnsi="Arial"/>
                <w:b/>
                <w:sz w:val="18"/>
                <w:lang w:eastAsia="zh-CN"/>
              </w:rPr>
              <w:t>E-UTRAN NC</w:t>
            </w:r>
            <w:r w:rsidRPr="004D0DAA">
              <w:rPr>
                <w:rFonts w:ascii="Arial" w:hAnsi="Arial"/>
                <w:sz w:val="18"/>
                <w:lang w:eastAsia="en-GB"/>
              </w:rPr>
              <w:t xml:space="preserve"> </w:t>
            </w:r>
            <w:r w:rsidRPr="004D0DAA">
              <w:rPr>
                <w:rFonts w:ascii="Arial" w:hAnsi="Arial"/>
                <w:b/>
                <w:sz w:val="18"/>
                <w:lang w:eastAsia="en-GB"/>
              </w:rPr>
              <w:t>with extended EARFCNs</w:t>
            </w:r>
            <w:r w:rsidRPr="004D0DAA">
              <w:rPr>
                <w:rFonts w:ascii="Arial" w:hAnsi="Arial"/>
                <w:sz w:val="18"/>
                <w:lang w:eastAsia="en-GB"/>
              </w:rPr>
              <w:t xml:space="preserve">: </w:t>
            </w:r>
          </w:p>
          <w:p w14:paraId="0EC36BF9" w14:textId="77777777" w:rsidR="00711444" w:rsidRPr="004D0DAA" w:rsidRDefault="00711444" w:rsidP="00AA2A4C">
            <w:pPr>
              <w:keepNext/>
              <w:keepLines/>
              <w:spacing w:after="0"/>
              <w:rPr>
                <w:rFonts w:ascii="Arial" w:hAnsi="Arial"/>
                <w:sz w:val="18"/>
                <w:lang w:eastAsia="zh-CN"/>
              </w:rPr>
            </w:pP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en-GB"/>
              </w:rPr>
              <w:tab/>
            </w:r>
            <w:r w:rsidRPr="004D0DAA">
              <w:rPr>
                <w:rFonts w:ascii="Arial" w:hAnsi="Arial"/>
                <w:sz w:val="18"/>
                <w:lang w:eastAsia="zh-CN"/>
              </w:rPr>
              <w:tab/>
            </w:r>
            <w:r w:rsidRPr="004D0DAA">
              <w:rPr>
                <w:rFonts w:ascii="Arial" w:hAnsi="Arial"/>
                <w:sz w:val="18"/>
                <w:lang w:eastAsia="zh-CN"/>
              </w:rPr>
              <w:tab/>
            </w:r>
            <w:r w:rsidRPr="004D0DAA">
              <w:rPr>
                <w:rFonts w:ascii="Arial" w:hAnsi="Arial"/>
                <w:sz w:val="18"/>
                <w:lang w:eastAsia="en-GB"/>
              </w:rPr>
              <w:tab/>
              <w:t xml:space="preserve">&lt; </w:t>
            </w:r>
            <w:r w:rsidRPr="004D0DAA">
              <w:rPr>
                <w:rFonts w:ascii="Arial" w:hAnsi="Arial"/>
                <w:sz w:val="18"/>
                <w:lang w:eastAsia="zh-CN"/>
              </w:rPr>
              <w:t>E-UTRAN NC</w:t>
            </w:r>
            <w:r w:rsidRPr="004D0DAA">
              <w:rPr>
                <w:rFonts w:ascii="Arial" w:hAnsi="Arial"/>
                <w:sz w:val="18"/>
                <w:lang w:eastAsia="en-GB"/>
              </w:rPr>
              <w:t xml:space="preserve"> with extended EARFCNs IE&gt;&gt; </w:t>
            </w:r>
            <w:r w:rsidRPr="004D0DAA">
              <w:rPr>
                <w:rFonts w:ascii="Arial" w:hAnsi="Arial" w:hint="eastAsia"/>
                <w:sz w:val="18"/>
                <w:lang w:eastAsia="zh-CN"/>
              </w:rPr>
              <w:t>}</w:t>
            </w:r>
          </w:p>
          <w:p w14:paraId="7A11E3D4" w14:textId="77777777" w:rsidR="00711444" w:rsidRPr="004D0DAA" w:rsidRDefault="00711444" w:rsidP="00AA2A4C">
            <w:pPr>
              <w:keepNext/>
              <w:keepLines/>
              <w:spacing w:after="0"/>
              <w:rPr>
                <w:rFonts w:ascii="Arial" w:hAnsi="Arial"/>
                <w:b/>
                <w:sz w:val="18"/>
                <w:lang w:eastAsia="en-GB"/>
              </w:rPr>
            </w:pPr>
          </w:p>
          <w:p w14:paraId="1B5E3AF2" w14:textId="77777777" w:rsidR="00711444" w:rsidRPr="004D0DAA" w:rsidRDefault="00711444" w:rsidP="00AA2A4C">
            <w:pPr>
              <w:pStyle w:val="TAL"/>
              <w:rPr>
                <w:lang w:eastAsia="en-US"/>
              </w:rPr>
            </w:pP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r>
            <w:r w:rsidRPr="004D0DAA">
              <w:rPr>
                <w:lang w:eastAsia="en-GB"/>
              </w:rPr>
              <w:tab/>
              <w:t>&lt; padding bits &gt; } } } } } } } } }</w:t>
            </w:r>
          </w:p>
          <w:p w14:paraId="0908245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1867E472"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64B3A907" w14:textId="77777777" w:rsidR="00711444" w:rsidRPr="004D0DAA" w:rsidRDefault="00711444" w:rsidP="00AA2A4C">
            <w:pPr>
              <w:pStyle w:val="TAL"/>
              <w:rPr>
                <w:lang w:eastAsia="en-US"/>
              </w:rPr>
            </w:pPr>
            <w:r w:rsidRPr="004D0DAA">
              <w:rPr>
                <w:lang w:eastAsia="en-US"/>
              </w:rPr>
              <w:tab/>
              <w:t>! &lt; Distribution part error : bit (*) = &lt; no string &gt; &gt; ;</w:t>
            </w:r>
          </w:p>
          <w:p w14:paraId="5B68538C" w14:textId="77777777" w:rsidR="00711444" w:rsidRPr="004D0DAA" w:rsidRDefault="00711444" w:rsidP="00AA2A4C">
            <w:pPr>
              <w:pStyle w:val="TAL"/>
              <w:rPr>
                <w:lang w:eastAsia="en-US"/>
              </w:rPr>
            </w:pPr>
          </w:p>
        </w:tc>
      </w:tr>
      <w:tr w:rsidR="00711444" w:rsidRPr="004D0DAA" w14:paraId="1A197136" w14:textId="77777777" w:rsidTr="00AA2A4C">
        <w:tblPrEx>
          <w:tblCellMar>
            <w:top w:w="0" w:type="dxa"/>
            <w:bottom w:w="0" w:type="dxa"/>
          </w:tblCellMar>
        </w:tblPrEx>
        <w:trPr>
          <w:cantSplit/>
        </w:trPr>
        <w:tc>
          <w:tcPr>
            <w:tcW w:w="9848" w:type="dxa"/>
          </w:tcPr>
          <w:p w14:paraId="36782CE7" w14:textId="77777777" w:rsidR="00711444" w:rsidRPr="004D0DAA" w:rsidRDefault="00711444" w:rsidP="00AA2A4C">
            <w:pPr>
              <w:pStyle w:val="TAL"/>
              <w:rPr>
                <w:lang w:eastAsia="en-US"/>
              </w:rPr>
            </w:pPr>
            <w:r w:rsidRPr="004D0DAA">
              <w:rPr>
                <w:lang w:eastAsia="en-US"/>
              </w:rPr>
              <w:lastRenderedPageBreak/>
              <w:t>&lt; NC Measurement Parameters struct &gt; ::=</w:t>
            </w:r>
          </w:p>
          <w:p w14:paraId="3B5F6A9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NETWORK_CONTROL_ORDER </w:t>
            </w:r>
            <w:r w:rsidRPr="004D0DAA">
              <w:rPr>
                <w:lang w:eastAsia="en-US"/>
              </w:rPr>
              <w:t>: bit (2) &gt;</w:t>
            </w:r>
          </w:p>
          <w:p w14:paraId="5689FAE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NC_ NON_DRX_PERIOD </w:t>
            </w:r>
            <w:r w:rsidRPr="004D0DAA">
              <w:rPr>
                <w:lang w:eastAsia="en-US"/>
              </w:rPr>
              <w:t>: bit (3) &gt;</w:t>
            </w:r>
          </w:p>
          <w:p w14:paraId="066C338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NC_REPORTING_PERIOD_I </w:t>
            </w:r>
            <w:r w:rsidRPr="004D0DAA">
              <w:rPr>
                <w:lang w:eastAsia="en-US"/>
              </w:rPr>
              <w:t>: bit (3) &gt;</w:t>
            </w:r>
          </w:p>
          <w:p w14:paraId="0001D5A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NC_REPORTING_PERIOD_T </w:t>
            </w:r>
            <w:r w:rsidRPr="004D0DAA">
              <w:rPr>
                <w:lang w:eastAsia="en-US"/>
              </w:rPr>
              <w:t>: bit (3) &gt; }</w:t>
            </w:r>
          </w:p>
          <w:p w14:paraId="616E3B1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NC_FREQUENCY_LIST</w:t>
            </w:r>
            <w:r w:rsidRPr="004D0DAA">
              <w:rPr>
                <w:lang w:eastAsia="en-US"/>
              </w:rPr>
              <w:t xml:space="preserve"> : &lt; NC Frequency list struct &gt; &gt; } ;</w:t>
            </w:r>
          </w:p>
          <w:p w14:paraId="5CDCB505" w14:textId="77777777" w:rsidR="00711444" w:rsidRPr="004D0DAA" w:rsidRDefault="00711444" w:rsidP="00AA2A4C">
            <w:pPr>
              <w:pStyle w:val="TAL"/>
              <w:rPr>
                <w:lang w:eastAsia="en-US"/>
              </w:rPr>
            </w:pPr>
          </w:p>
        </w:tc>
      </w:tr>
      <w:tr w:rsidR="00711444" w:rsidRPr="004D0DAA" w14:paraId="02A35126" w14:textId="77777777" w:rsidTr="00AA2A4C">
        <w:tblPrEx>
          <w:tblCellMar>
            <w:top w:w="0" w:type="dxa"/>
            <w:bottom w:w="0" w:type="dxa"/>
          </w:tblCellMar>
        </w:tblPrEx>
        <w:trPr>
          <w:cantSplit/>
        </w:trPr>
        <w:tc>
          <w:tcPr>
            <w:tcW w:w="9848" w:type="dxa"/>
          </w:tcPr>
          <w:p w14:paraId="5D18E9C6" w14:textId="77777777" w:rsidR="00711444" w:rsidRPr="004D0DAA" w:rsidRDefault="00711444" w:rsidP="00AA2A4C">
            <w:pPr>
              <w:pStyle w:val="TAL"/>
              <w:rPr>
                <w:lang w:eastAsia="en-US"/>
              </w:rPr>
            </w:pPr>
            <w:r w:rsidRPr="004D0DAA">
              <w:rPr>
                <w:lang w:eastAsia="en-US"/>
              </w:rPr>
              <w:t>&lt; NC Frequency list struct &gt; ::=</w:t>
            </w:r>
          </w:p>
          <w:p w14:paraId="1FCD43D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 &lt; </w:t>
            </w:r>
            <w:r w:rsidRPr="004D0DAA">
              <w:rPr>
                <w:b/>
                <w:lang w:eastAsia="en-US"/>
              </w:rPr>
              <w:t>NR_OF_REMOVED_FREQ</w:t>
            </w:r>
            <w:r w:rsidRPr="004D0DAA">
              <w:rPr>
                <w:lang w:eastAsia="en-US"/>
              </w:rPr>
              <w:t xml:space="preserve"> : bit (5) &gt;</w:t>
            </w:r>
          </w:p>
          <w:p w14:paraId="20B18DE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w:t>
            </w:r>
            <w:r w:rsidRPr="004D0DAA">
              <w:rPr>
                <w:b/>
                <w:lang w:eastAsia="en-US"/>
              </w:rPr>
              <w:t>REMOVED_FREQ_INDEX</w:t>
            </w:r>
            <w:r w:rsidRPr="004D0DAA">
              <w:rPr>
                <w:lang w:eastAsia="en-US"/>
              </w:rPr>
              <w:t xml:space="preserve"> : bit (6) &gt; } * (1 + val(NR_OF_REMOVED_FREQ)) } }</w:t>
            </w:r>
          </w:p>
          <w:p w14:paraId="569E23EC"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List of added Frequency struct</w:t>
            </w:r>
            <w:r w:rsidRPr="004D0DAA">
              <w:rPr>
                <w:lang w:eastAsia="en-US"/>
              </w:rPr>
              <w:t xml:space="preserve"> : &lt; Add Frequency list struct &gt; &gt;} ** 0;</w:t>
            </w:r>
          </w:p>
          <w:p w14:paraId="0BD4ED61" w14:textId="77777777" w:rsidR="00711444" w:rsidRPr="004D0DAA" w:rsidRDefault="00711444" w:rsidP="00AA2A4C">
            <w:pPr>
              <w:pStyle w:val="TAL"/>
              <w:rPr>
                <w:lang w:eastAsia="en-US"/>
              </w:rPr>
            </w:pPr>
          </w:p>
        </w:tc>
      </w:tr>
      <w:tr w:rsidR="00711444" w:rsidRPr="004D0DAA" w14:paraId="60060F88" w14:textId="77777777" w:rsidTr="00AA2A4C">
        <w:tblPrEx>
          <w:tblCellMar>
            <w:top w:w="0" w:type="dxa"/>
            <w:bottom w:w="0" w:type="dxa"/>
          </w:tblCellMar>
        </w:tblPrEx>
        <w:trPr>
          <w:cantSplit/>
        </w:trPr>
        <w:tc>
          <w:tcPr>
            <w:tcW w:w="9848" w:type="dxa"/>
          </w:tcPr>
          <w:p w14:paraId="4E6CC70A" w14:textId="77777777" w:rsidR="00711444" w:rsidRPr="004D0DAA" w:rsidRDefault="00711444" w:rsidP="00AA2A4C">
            <w:pPr>
              <w:pStyle w:val="TAL"/>
              <w:rPr>
                <w:lang w:eastAsia="en-US"/>
              </w:rPr>
            </w:pPr>
            <w:r w:rsidRPr="004D0DAA">
              <w:rPr>
                <w:lang w:eastAsia="en-US"/>
              </w:rPr>
              <w:t>&lt; Add Frequency list struct &gt; ::=</w:t>
            </w:r>
          </w:p>
          <w:p w14:paraId="3E1CB93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START_FREQUENCY </w:t>
            </w:r>
            <w:r w:rsidRPr="004D0DAA">
              <w:rPr>
                <w:lang w:eastAsia="en-US"/>
              </w:rPr>
              <w:t>: bit (10) &gt;</w:t>
            </w:r>
          </w:p>
          <w:p w14:paraId="6EFADAC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28A910E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&lt; Cell Selection struct &gt; &gt; }</w:t>
            </w:r>
          </w:p>
          <w:p w14:paraId="78F9BEA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NR_OF_FREQUENCIES </w:t>
            </w:r>
            <w:r w:rsidRPr="004D0DAA">
              <w:rPr>
                <w:lang w:eastAsia="en-US"/>
              </w:rPr>
              <w:t>: bit (5) &gt;</w:t>
            </w:r>
          </w:p>
          <w:p w14:paraId="20135BD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FREQ_DIFF_LENGTH </w:t>
            </w:r>
            <w:r w:rsidRPr="004D0DAA">
              <w:rPr>
                <w:lang w:eastAsia="en-US"/>
              </w:rPr>
              <w:t>: bit (3) &gt;</w:t>
            </w:r>
          </w:p>
          <w:p w14:paraId="21B62A48"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 xml:space="preserve">FREQUENCY_DIFF </w:t>
            </w:r>
            <w:r w:rsidRPr="004D0DAA">
              <w:rPr>
                <w:lang w:eastAsia="en-US"/>
              </w:rPr>
              <w:t>: bit (1+val(FREQ_DIFF_LENGTH)) &gt;</w:t>
            </w:r>
          </w:p>
          <w:p w14:paraId="6480DF5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3F0464D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&lt; Cell Selection struct &gt; &gt; } } * (val(NR_OF_FREQUENCIES));</w:t>
            </w:r>
          </w:p>
          <w:p w14:paraId="269C94D2" w14:textId="77777777" w:rsidR="00711444" w:rsidRPr="004D0DAA" w:rsidRDefault="00711444" w:rsidP="00AA2A4C">
            <w:pPr>
              <w:pStyle w:val="TAL"/>
              <w:rPr>
                <w:lang w:eastAsia="en-US"/>
              </w:rPr>
            </w:pPr>
          </w:p>
        </w:tc>
      </w:tr>
      <w:tr w:rsidR="00711444" w:rsidRPr="004D0DAA" w14:paraId="0518F38C" w14:textId="77777777" w:rsidTr="00AA2A4C">
        <w:tblPrEx>
          <w:tblCellMar>
            <w:top w:w="0" w:type="dxa"/>
            <w:bottom w:w="0" w:type="dxa"/>
          </w:tblCellMar>
        </w:tblPrEx>
        <w:trPr>
          <w:cantSplit/>
        </w:trPr>
        <w:tc>
          <w:tcPr>
            <w:tcW w:w="9848" w:type="dxa"/>
          </w:tcPr>
          <w:p w14:paraId="638ECD0A" w14:textId="77777777" w:rsidR="00711444" w:rsidRPr="004D0DAA" w:rsidRDefault="00711444" w:rsidP="00AA2A4C">
            <w:pPr>
              <w:pStyle w:val="TAL"/>
              <w:rPr>
                <w:lang w:eastAsia="en-US"/>
              </w:rPr>
            </w:pPr>
            <w:r w:rsidRPr="004D0DAA">
              <w:rPr>
                <w:lang w:eastAsia="en-US"/>
              </w:rPr>
              <w:t>&lt; Cell Selection struct &gt; ::=</w:t>
            </w:r>
          </w:p>
          <w:p w14:paraId="785CE36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CELL_BAR_ACCESS_2</w:t>
            </w:r>
            <w:r w:rsidRPr="004D0DAA">
              <w:rPr>
                <w:lang w:eastAsia="en-US"/>
              </w:rPr>
              <w:t> : bit (1) &gt;</w:t>
            </w:r>
          </w:p>
          <w:p w14:paraId="1E8CE06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1D899E2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SAME_RA_AS_SERVING_CELL </w:t>
            </w:r>
            <w:r w:rsidRPr="004D0DAA">
              <w:rPr>
                <w:lang w:eastAsia="en-US"/>
              </w:rPr>
              <w:t>: bit (1) &gt;</w:t>
            </w:r>
          </w:p>
          <w:p w14:paraId="4385ADC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GPRS_RXLEV_ACCESS_MIN </w:t>
            </w:r>
            <w:r w:rsidRPr="004D0DAA">
              <w:rPr>
                <w:lang w:eastAsia="en-US"/>
              </w:rPr>
              <w:t>: bit (6) &gt;</w:t>
            </w:r>
          </w:p>
          <w:p w14:paraId="7A68F3D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GPRS_MS_TXPWR_MAX_CCH </w:t>
            </w:r>
            <w:r w:rsidRPr="004D0DAA">
              <w:rPr>
                <w:lang w:eastAsia="en-US"/>
              </w:rPr>
              <w:t>: bit (5) &gt; }</w:t>
            </w:r>
          </w:p>
          <w:p w14:paraId="2760BBE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GPRS_TEMPORARY_OFFSET </w:t>
            </w:r>
            <w:r w:rsidRPr="004D0DAA">
              <w:rPr>
                <w:lang w:eastAsia="en-US"/>
              </w:rPr>
              <w:t>: bit (3) &gt;</w:t>
            </w:r>
          </w:p>
          <w:p w14:paraId="451488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GPRS_PENALTY_TIME </w:t>
            </w:r>
            <w:r w:rsidRPr="004D0DAA">
              <w:rPr>
                <w:lang w:eastAsia="en-US"/>
              </w:rPr>
              <w:t>: bit (5) &gt; }</w:t>
            </w:r>
          </w:p>
          <w:p w14:paraId="3FD770F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GPRS_RESELECT_OFFSET </w:t>
            </w:r>
            <w:r w:rsidRPr="004D0DAA">
              <w:rPr>
                <w:lang w:eastAsia="en-US"/>
              </w:rPr>
              <w:t>: bit (5) &gt; }</w:t>
            </w:r>
          </w:p>
          <w:p w14:paraId="471518D5"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HCS params </w:t>
            </w:r>
            <w:r w:rsidRPr="004D0DAA">
              <w:rPr>
                <w:lang w:eastAsia="en-US"/>
              </w:rPr>
              <w:t>: &lt; HCS struct &gt; &gt; }</w:t>
            </w:r>
          </w:p>
          <w:p w14:paraId="0F667534"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 xml:space="preserve">SI13_PBCCH_LOCATION </w:t>
            </w:r>
            <w:r w:rsidRPr="004D0DAA">
              <w:rPr>
                <w:lang w:val="fr-FR" w:eastAsia="en-US"/>
              </w:rPr>
              <w:t>: &lt; SI13_PBCCH_LOCATION struct &gt; &gt; } ;</w:t>
            </w:r>
          </w:p>
          <w:p w14:paraId="68AB0CDA" w14:textId="77777777" w:rsidR="00711444" w:rsidRPr="004D0DAA" w:rsidRDefault="00711444" w:rsidP="00AA2A4C">
            <w:pPr>
              <w:pStyle w:val="TAL"/>
              <w:rPr>
                <w:lang w:val="fr-FR" w:eastAsia="en-US"/>
              </w:rPr>
            </w:pPr>
          </w:p>
        </w:tc>
      </w:tr>
      <w:tr w:rsidR="00711444" w:rsidRPr="004D0DAA" w14:paraId="38D07804" w14:textId="77777777" w:rsidTr="00AA2A4C">
        <w:tblPrEx>
          <w:tblCellMar>
            <w:top w:w="0" w:type="dxa"/>
            <w:bottom w:w="0" w:type="dxa"/>
          </w:tblCellMar>
        </w:tblPrEx>
        <w:trPr>
          <w:cantSplit/>
        </w:trPr>
        <w:tc>
          <w:tcPr>
            <w:tcW w:w="9848" w:type="dxa"/>
          </w:tcPr>
          <w:p w14:paraId="2943E800" w14:textId="77777777" w:rsidR="00711444" w:rsidRPr="004D0DAA" w:rsidRDefault="00711444" w:rsidP="00AA2A4C">
            <w:pPr>
              <w:pStyle w:val="TAL"/>
              <w:rPr>
                <w:lang w:val="fr-FR" w:eastAsia="en-US"/>
              </w:rPr>
            </w:pPr>
            <w:r w:rsidRPr="004D0DAA">
              <w:rPr>
                <w:lang w:val="fr-FR" w:eastAsia="en-US"/>
              </w:rPr>
              <w:t>&lt; SI13_PBCCH_LOCATION struct &gt; ::=</w:t>
            </w:r>
          </w:p>
          <w:p w14:paraId="2D280CEF" w14:textId="77777777" w:rsidR="00711444" w:rsidRPr="004D0DAA" w:rsidRDefault="00711444" w:rsidP="00AA2A4C">
            <w:pPr>
              <w:pStyle w:val="TAL"/>
              <w:rPr>
                <w:lang w:val="fr-FR" w:eastAsia="en-US"/>
              </w:rPr>
            </w:pPr>
            <w:r w:rsidRPr="004D0DAA">
              <w:rPr>
                <w:lang w:val="fr-FR" w:eastAsia="en-US"/>
              </w:rPr>
              <w:tab/>
              <w:t>{ 0</w:t>
            </w:r>
            <w:r w:rsidRPr="004D0DAA">
              <w:rPr>
                <w:lang w:val="fr-FR" w:eastAsia="en-US"/>
              </w:rPr>
              <w:tab/>
              <w:t xml:space="preserve">&lt; </w:t>
            </w:r>
            <w:r w:rsidRPr="004D0DAA">
              <w:rPr>
                <w:b/>
                <w:lang w:val="fr-FR" w:eastAsia="en-US"/>
              </w:rPr>
              <w:t>SI13_LOCATION</w:t>
            </w:r>
            <w:r w:rsidRPr="004D0DAA">
              <w:rPr>
                <w:lang w:val="fr-FR" w:eastAsia="en-US"/>
              </w:rPr>
              <w:t xml:space="preserve"> : bit (1) &gt;</w:t>
            </w:r>
          </w:p>
          <w:p w14:paraId="74850ADB" w14:textId="77777777" w:rsidR="00711444" w:rsidRPr="004D0DAA" w:rsidRDefault="00711444" w:rsidP="00AA2A4C">
            <w:pPr>
              <w:pStyle w:val="TAL"/>
              <w:rPr>
                <w:lang w:eastAsia="en-US"/>
              </w:rPr>
            </w:pPr>
            <w:r w:rsidRPr="004D0DAA">
              <w:rPr>
                <w:lang w:val="fr-FR" w:eastAsia="en-US"/>
              </w:rPr>
              <w:tab/>
            </w:r>
            <w:r w:rsidRPr="004D0DAA">
              <w:rPr>
                <w:lang w:eastAsia="en-US"/>
              </w:rPr>
              <w:t>| 1</w:t>
            </w:r>
            <w:r w:rsidRPr="004D0DAA">
              <w:rPr>
                <w:lang w:eastAsia="en-US"/>
              </w:rPr>
              <w:tab/>
              <w:t xml:space="preserve">&lt; </w:t>
            </w:r>
            <w:r w:rsidRPr="004D0DAA">
              <w:rPr>
                <w:b/>
                <w:lang w:eastAsia="en-US"/>
              </w:rPr>
              <w:t>PBCCH_LOCATION</w:t>
            </w:r>
            <w:r w:rsidRPr="004D0DAA">
              <w:rPr>
                <w:lang w:eastAsia="en-US"/>
              </w:rPr>
              <w:t xml:space="preserve"> : bit (2) &gt;</w:t>
            </w:r>
          </w:p>
          <w:p w14:paraId="2EFE723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PSI1_REPEAT_PERIOD</w:t>
            </w:r>
            <w:r w:rsidRPr="004D0DAA">
              <w:rPr>
                <w:lang w:eastAsia="en-US"/>
              </w:rPr>
              <w:t xml:space="preserve"> : bit (4) &gt; } ;</w:t>
            </w:r>
          </w:p>
          <w:p w14:paraId="726F7460" w14:textId="77777777" w:rsidR="00711444" w:rsidRPr="004D0DAA" w:rsidRDefault="00711444" w:rsidP="00AA2A4C">
            <w:pPr>
              <w:pStyle w:val="TAL"/>
              <w:rPr>
                <w:lang w:eastAsia="en-US"/>
              </w:rPr>
            </w:pPr>
          </w:p>
        </w:tc>
      </w:tr>
      <w:tr w:rsidR="00711444" w:rsidRPr="004D0DAA" w14:paraId="322DB8EF" w14:textId="77777777" w:rsidTr="00AA2A4C">
        <w:tblPrEx>
          <w:tblCellMar>
            <w:top w:w="0" w:type="dxa"/>
            <w:bottom w:w="0" w:type="dxa"/>
          </w:tblCellMar>
        </w:tblPrEx>
        <w:trPr>
          <w:cantSplit/>
        </w:trPr>
        <w:tc>
          <w:tcPr>
            <w:tcW w:w="9848" w:type="dxa"/>
          </w:tcPr>
          <w:p w14:paraId="30991615" w14:textId="77777777" w:rsidR="00711444" w:rsidRPr="004D0DAA" w:rsidRDefault="00711444" w:rsidP="00AA2A4C">
            <w:pPr>
              <w:pStyle w:val="TAL"/>
              <w:rPr>
                <w:lang w:eastAsia="en-US"/>
              </w:rPr>
            </w:pPr>
            <w:r w:rsidRPr="004D0DAA">
              <w:rPr>
                <w:lang w:eastAsia="en-US"/>
              </w:rPr>
              <w:t>&lt; HCS struct &gt; ::=</w:t>
            </w:r>
          </w:p>
          <w:p w14:paraId="7BF0FB4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PRIORITY_CLASS </w:t>
            </w:r>
            <w:r w:rsidRPr="004D0DAA">
              <w:rPr>
                <w:lang w:eastAsia="en-US"/>
              </w:rPr>
              <w:t>: bit (3) &gt;</w:t>
            </w:r>
          </w:p>
          <w:p w14:paraId="66E55A0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HCS_THR </w:t>
            </w:r>
            <w:r w:rsidRPr="004D0DAA">
              <w:rPr>
                <w:lang w:eastAsia="en-US"/>
              </w:rPr>
              <w:t>: bit (5) &gt; ;</w:t>
            </w:r>
          </w:p>
          <w:p w14:paraId="07BB2958" w14:textId="77777777" w:rsidR="00711444" w:rsidRPr="004D0DAA" w:rsidRDefault="00711444" w:rsidP="00AA2A4C">
            <w:pPr>
              <w:pStyle w:val="TAL"/>
              <w:rPr>
                <w:lang w:eastAsia="en-US"/>
              </w:rPr>
            </w:pPr>
          </w:p>
        </w:tc>
      </w:tr>
      <w:tr w:rsidR="00711444" w:rsidRPr="004D0DAA" w14:paraId="7D8DA126" w14:textId="77777777" w:rsidTr="00AA2A4C">
        <w:tblPrEx>
          <w:tblCellMar>
            <w:top w:w="0" w:type="dxa"/>
            <w:bottom w:w="0" w:type="dxa"/>
          </w:tblCellMar>
        </w:tblPrEx>
        <w:trPr>
          <w:cantSplit/>
        </w:trPr>
        <w:tc>
          <w:tcPr>
            <w:tcW w:w="9848" w:type="dxa"/>
          </w:tcPr>
          <w:p w14:paraId="1F1C89DC" w14:textId="77777777" w:rsidR="00711444" w:rsidRPr="004D0DAA" w:rsidRDefault="00711444" w:rsidP="00AA2A4C">
            <w:pPr>
              <w:pStyle w:val="TAL"/>
              <w:rPr>
                <w:lang w:eastAsia="en-US"/>
              </w:rPr>
            </w:pPr>
            <w:r w:rsidRPr="004D0DAA">
              <w:rPr>
                <w:lang w:eastAsia="en-US"/>
              </w:rPr>
              <w:t xml:space="preserve">&lt; ENH Measurement parameters struct &gt; ::= </w:t>
            </w:r>
          </w:p>
          <w:p w14:paraId="24E17904"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BA_IND</w:t>
            </w:r>
            <w:r w:rsidRPr="004D0DAA">
              <w:rPr>
                <w:lang w:eastAsia="en-US"/>
              </w:rPr>
              <w:t xml:space="preserve"> : bit &gt; &lt; </w:t>
            </w:r>
            <w:r w:rsidRPr="004D0DAA">
              <w:rPr>
                <w:b/>
                <w:lang w:eastAsia="en-US"/>
              </w:rPr>
              <w:t>3G_BA_IND</w:t>
            </w:r>
            <w:r w:rsidRPr="004D0DAA">
              <w:rPr>
                <w:lang w:eastAsia="en-US"/>
              </w:rPr>
              <w:t xml:space="preserve"> : bit &gt; | 1 &lt; </w:t>
            </w:r>
            <w:r w:rsidRPr="004D0DAA">
              <w:rPr>
                <w:b/>
                <w:lang w:eastAsia="en-US"/>
              </w:rPr>
              <w:t>PSI3_CHANGE_MARK</w:t>
            </w:r>
            <w:r w:rsidRPr="004D0DAA">
              <w:rPr>
                <w:lang w:eastAsia="en-US"/>
              </w:rPr>
              <w:t xml:space="preserve"> : bit(2) &gt; }</w:t>
            </w:r>
          </w:p>
          <w:p w14:paraId="78EC5BD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PMO_IND</w:t>
            </w:r>
            <w:r w:rsidRPr="004D0DAA">
              <w:rPr>
                <w:lang w:eastAsia="en-US"/>
              </w:rPr>
              <w:t xml:space="preserve"> : bit &gt;</w:t>
            </w:r>
            <w:r w:rsidRPr="004D0DAA">
              <w:rPr>
                <w:lang w:eastAsia="en-US"/>
              </w:rPr>
              <w:br/>
            </w:r>
            <w:r w:rsidRPr="004D0DAA">
              <w:rPr>
                <w:lang w:eastAsia="en-US"/>
              </w:rPr>
              <w:tab/>
              <w:t xml:space="preserve">&lt; </w:t>
            </w:r>
            <w:r w:rsidRPr="004D0DAA">
              <w:rPr>
                <w:b/>
                <w:lang w:eastAsia="en-US"/>
              </w:rPr>
              <w:t>REPORT_TYPE</w:t>
            </w:r>
            <w:r w:rsidRPr="004D0DAA">
              <w:rPr>
                <w:lang w:eastAsia="en-US"/>
              </w:rPr>
              <w:t xml:space="preserve"> : bit &gt;</w:t>
            </w:r>
          </w:p>
          <w:p w14:paraId="1E8CAC6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REPORTING_RATE</w:t>
            </w:r>
            <w:r w:rsidRPr="004D0DAA">
              <w:rPr>
                <w:lang w:eastAsia="en-US"/>
              </w:rPr>
              <w:t> : bit &gt;</w:t>
            </w:r>
            <w:r w:rsidRPr="004D0DAA">
              <w:rPr>
                <w:lang w:eastAsia="en-US"/>
              </w:rPr>
              <w:br/>
            </w:r>
            <w:r w:rsidRPr="004D0DAA">
              <w:rPr>
                <w:lang w:eastAsia="en-US"/>
              </w:rPr>
              <w:tab/>
              <w:t xml:space="preserve">&lt; </w:t>
            </w:r>
            <w:r w:rsidRPr="004D0DAA">
              <w:rPr>
                <w:b/>
                <w:lang w:eastAsia="en-US"/>
              </w:rPr>
              <w:t>INVALID_BSIC_REPORTING</w:t>
            </w:r>
            <w:r w:rsidRPr="004D0DAA">
              <w:rPr>
                <w:lang w:eastAsia="en-US"/>
              </w:rPr>
              <w:t xml:space="preserve"> : bit &gt;</w:t>
            </w:r>
            <w:r w:rsidRPr="004D0DAA">
              <w:rPr>
                <w:lang w:eastAsia="en-US"/>
              </w:rPr>
              <w:br/>
            </w:r>
            <w:r w:rsidRPr="004D0DAA">
              <w:rPr>
                <w:lang w:eastAsia="en-US"/>
              </w:rPr>
              <w:tab/>
              <w:t>{ 0 | 1</w:t>
            </w:r>
            <w:r w:rsidRPr="004D0DAA">
              <w:rPr>
                <w:lang w:eastAsia="en-US"/>
              </w:rPr>
              <w:tab/>
              <w:t xml:space="preserve">&lt; </w:t>
            </w:r>
            <w:r w:rsidRPr="004D0DAA">
              <w:rPr>
                <w:b/>
                <w:lang w:eastAsia="en-US"/>
              </w:rPr>
              <w:t>3G Neighbour Cell Description</w:t>
            </w:r>
            <w:r w:rsidRPr="004D0DAA">
              <w:rPr>
                <w:lang w:eastAsia="en-US"/>
              </w:rPr>
              <w:t xml:space="preserve"> : &lt; 3G Neighbour Cell Description struct &gt;&gt; }</w:t>
            </w:r>
          </w:p>
          <w:p w14:paraId="15BE24E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REP PRIORITY Description</w:t>
            </w:r>
            <w:r w:rsidRPr="004D0DAA">
              <w:rPr>
                <w:lang w:eastAsia="en-US"/>
              </w:rPr>
              <w:t xml:space="preserve"> : &lt;GPRS REP PRIORITY Description struct &gt;&gt; }</w:t>
            </w:r>
          </w:p>
          <w:p w14:paraId="3A9ADB6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MEASUREMENT Parameters Description</w:t>
            </w:r>
            <w:r w:rsidRPr="004D0DAA">
              <w:rPr>
                <w:lang w:eastAsia="en-US"/>
              </w:rPr>
              <w:t xml:space="preserve"> : </w:t>
            </w:r>
          </w:p>
          <w:p w14:paraId="61DFF9A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GPRS MEASUREMENT PARAMETERS Description struct &gt;&gt; }</w:t>
            </w:r>
          </w:p>
          <w:p w14:paraId="687A33F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3G MEASUREMENT Parameters Description</w:t>
            </w:r>
            <w:r w:rsidRPr="004D0DAA">
              <w:rPr>
                <w:lang w:eastAsia="en-US"/>
              </w:rPr>
              <w:t xml:space="preserve"> : </w:t>
            </w:r>
          </w:p>
          <w:p w14:paraId="33288D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GPRS 3G MEASUREMENT PARAMETERS BIS Description struct &gt;&gt; } ;</w:t>
            </w:r>
          </w:p>
          <w:p w14:paraId="35D9BF53" w14:textId="77777777" w:rsidR="00711444" w:rsidRPr="004D0DAA" w:rsidRDefault="00711444" w:rsidP="00AA2A4C">
            <w:pPr>
              <w:pStyle w:val="TAL"/>
              <w:rPr>
                <w:lang w:eastAsia="en-US"/>
              </w:rPr>
            </w:pPr>
          </w:p>
        </w:tc>
      </w:tr>
      <w:tr w:rsidR="00711444" w:rsidRPr="004D0DAA" w14:paraId="7913CFE9" w14:textId="77777777" w:rsidTr="00AA2A4C">
        <w:tblPrEx>
          <w:tblCellMar>
            <w:top w:w="0" w:type="dxa"/>
            <w:bottom w:w="0" w:type="dxa"/>
          </w:tblCellMar>
        </w:tblPrEx>
        <w:trPr>
          <w:cantSplit/>
        </w:trPr>
        <w:tc>
          <w:tcPr>
            <w:tcW w:w="9848" w:type="dxa"/>
          </w:tcPr>
          <w:p w14:paraId="3D6C3261" w14:textId="77777777" w:rsidR="00711444" w:rsidRPr="004D0DAA" w:rsidRDefault="00711444" w:rsidP="00AA2A4C">
            <w:pPr>
              <w:pStyle w:val="TAL"/>
              <w:rPr>
                <w:lang w:eastAsia="en-US"/>
              </w:rPr>
            </w:pPr>
            <w:r w:rsidRPr="004D0DAA">
              <w:rPr>
                <w:lang w:eastAsia="en-US"/>
              </w:rPr>
              <w:t>&lt; 3G Neighbour Cell Description struct &gt; ::=</w:t>
            </w:r>
          </w:p>
          <w:p w14:paraId="7AD58B93"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 &lt; </w:t>
            </w:r>
            <w:r w:rsidRPr="004D0DAA">
              <w:rPr>
                <w:b/>
                <w:lang w:eastAsia="en-US"/>
              </w:rPr>
              <w:t>Index_Start_3G</w:t>
            </w:r>
            <w:r w:rsidRPr="004D0DAA">
              <w:rPr>
                <w:lang w:eastAsia="en-US"/>
              </w:rPr>
              <w:t xml:space="preserve"> : bit (7)&gt; }</w:t>
            </w:r>
            <w:r w:rsidRPr="004D0DAA">
              <w:rPr>
                <w:lang w:eastAsia="en-US"/>
              </w:rPr>
              <w:br/>
            </w:r>
            <w:r w:rsidRPr="004D0DAA">
              <w:rPr>
                <w:lang w:eastAsia="en-US"/>
              </w:rPr>
              <w:tab/>
            </w:r>
            <w:r w:rsidRPr="004D0DAA">
              <w:rPr>
                <w:lang w:eastAsia="en-US"/>
              </w:rPr>
              <w:sym w:font="Symbol" w:char="F07B"/>
            </w:r>
            <w:r w:rsidRPr="004D0DAA">
              <w:rPr>
                <w:lang w:eastAsia="en-US"/>
              </w:rPr>
              <w:t xml:space="preserve"> 0 | 1 &lt; </w:t>
            </w:r>
            <w:r w:rsidRPr="004D0DAA">
              <w:rPr>
                <w:b/>
                <w:lang w:eastAsia="en-US"/>
              </w:rPr>
              <w:t>Absolute_Index_Start_EMR</w:t>
            </w:r>
            <w:r w:rsidRPr="004D0DAA">
              <w:rPr>
                <w:lang w:eastAsia="en-US"/>
              </w:rPr>
              <w:t xml:space="preserve"> : bit (7)&gt; }</w:t>
            </w:r>
            <w:r w:rsidRPr="004D0DAA">
              <w:rPr>
                <w:lang w:eastAsia="en-US"/>
              </w:rPr>
              <w:br/>
            </w:r>
            <w:r w:rsidRPr="004D0DAA">
              <w:rPr>
                <w:lang w:eastAsia="en-US"/>
              </w:rPr>
              <w:tab/>
              <w:t xml:space="preserve">{ 0 | 1 &lt; </w:t>
            </w:r>
            <w:r w:rsidRPr="004D0DAA">
              <w:rPr>
                <w:b/>
                <w:lang w:eastAsia="en-US"/>
              </w:rPr>
              <w:t>UTRAN FDD Description</w:t>
            </w:r>
            <w:r w:rsidRPr="004D0DAA">
              <w:rPr>
                <w:lang w:eastAsia="en-US"/>
              </w:rPr>
              <w:t xml:space="preserve"> : &lt; UTRAN FDD Description struct &gt; }</w:t>
            </w:r>
            <w:r w:rsidRPr="004D0DAA">
              <w:rPr>
                <w:lang w:eastAsia="en-US"/>
              </w:rPr>
              <w:br/>
            </w:r>
            <w:r w:rsidRPr="004D0DAA">
              <w:rPr>
                <w:lang w:eastAsia="en-US"/>
              </w:rPr>
              <w:tab/>
              <w:t xml:space="preserve">{ 0 | 1 &lt; </w:t>
            </w:r>
            <w:r w:rsidRPr="004D0DAA">
              <w:rPr>
                <w:b/>
                <w:lang w:eastAsia="en-US"/>
              </w:rPr>
              <w:t>UTRAN TDD Description</w:t>
            </w:r>
            <w:r w:rsidRPr="004D0DAA">
              <w:rPr>
                <w:lang w:eastAsia="en-US"/>
              </w:rPr>
              <w:t xml:space="preserve"> : &lt; UTRAN TDD Description struct &gt; }</w:t>
            </w:r>
            <w:r w:rsidRPr="004D0DAA">
              <w:rPr>
                <w:lang w:eastAsia="en-US"/>
              </w:rPr>
              <w:br/>
            </w:r>
            <w:r w:rsidRPr="004D0DAA">
              <w:rPr>
                <w:lang w:eastAsia="en-US"/>
              </w:rPr>
              <w:tab/>
              <w:t xml:space="preserve">{ 0 | 1 &lt; </w:t>
            </w:r>
            <w:r w:rsidRPr="004D0DAA">
              <w:rPr>
                <w:b/>
                <w:lang w:eastAsia="en-US"/>
              </w:rPr>
              <w:t>CDMA2000 Description</w:t>
            </w:r>
            <w:r w:rsidRPr="004D0DAA">
              <w:rPr>
                <w:lang w:eastAsia="en-US"/>
              </w:rPr>
              <w:t xml:space="preserve"> : &lt; CDMA2000 Description struct &gt; }</w:t>
            </w:r>
            <w:r w:rsidRPr="004D0DAA">
              <w:rPr>
                <w:lang w:eastAsia="en-US"/>
              </w:rPr>
              <w:br/>
            </w:r>
            <w:r w:rsidRPr="004D0DAA">
              <w:rPr>
                <w:lang w:eastAsia="en-US"/>
              </w:rPr>
              <w:tab/>
              <w:t xml:space="preserve">{ 0 | 1 &lt; </w:t>
            </w:r>
            <w:r w:rsidRPr="004D0DAA">
              <w:rPr>
                <w:b/>
                <w:lang w:eastAsia="en-US"/>
              </w:rPr>
              <w:t>REMOVED_3GCELL_Description</w:t>
            </w:r>
            <w:r w:rsidRPr="004D0DAA">
              <w:rPr>
                <w:lang w:eastAsia="en-US"/>
              </w:rPr>
              <w:t xml:space="preserve"> : &lt; REMOVED_3GCELL_Description struct &gt;&gt; } ;</w:t>
            </w:r>
          </w:p>
          <w:p w14:paraId="6D588C86" w14:textId="77777777" w:rsidR="00711444" w:rsidRPr="004D0DAA" w:rsidRDefault="00711444" w:rsidP="00AA2A4C">
            <w:pPr>
              <w:pStyle w:val="TAL"/>
              <w:rPr>
                <w:lang w:eastAsia="en-US"/>
              </w:rPr>
            </w:pPr>
          </w:p>
        </w:tc>
      </w:tr>
      <w:tr w:rsidR="00711444" w:rsidRPr="004D0DAA" w14:paraId="3ABC4491" w14:textId="77777777" w:rsidTr="00AA2A4C">
        <w:tblPrEx>
          <w:tblCellMar>
            <w:top w:w="0" w:type="dxa"/>
            <w:bottom w:w="0" w:type="dxa"/>
          </w:tblCellMar>
        </w:tblPrEx>
        <w:trPr>
          <w:cantSplit/>
        </w:trPr>
        <w:tc>
          <w:tcPr>
            <w:tcW w:w="9848" w:type="dxa"/>
          </w:tcPr>
          <w:p w14:paraId="081C18C1" w14:textId="77777777" w:rsidR="00711444" w:rsidRPr="004D0DAA" w:rsidRDefault="00711444" w:rsidP="00AA2A4C">
            <w:pPr>
              <w:pStyle w:val="TAL"/>
              <w:rPr>
                <w:lang w:eastAsia="en-US"/>
              </w:rPr>
            </w:pPr>
            <w:r w:rsidRPr="004D0DAA">
              <w:rPr>
                <w:lang w:eastAsia="en-US"/>
              </w:rPr>
              <w:lastRenderedPageBreak/>
              <w:t>&lt; REMOVED_3GCELL_Description struct &gt; ::=</w:t>
            </w:r>
          </w:p>
          <w:p w14:paraId="38EE686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N1</w:t>
            </w:r>
            <w:r w:rsidRPr="004D0DAA">
              <w:rPr>
                <w:lang w:eastAsia="en-US"/>
              </w:rPr>
              <w:t xml:space="preserve"> : bit (2) &gt;</w:t>
            </w:r>
          </w:p>
          <w:p w14:paraId="2D26F08F"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N2</w:t>
            </w:r>
            <w:r w:rsidRPr="004D0DAA">
              <w:rPr>
                <w:lang w:eastAsia="en-US"/>
              </w:rPr>
              <w:t xml:space="preserve"> : bit (5) &gt;</w:t>
            </w:r>
          </w:p>
          <w:p w14:paraId="49E774F1"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REMOVED_3GCELL_INDEX</w:t>
            </w:r>
            <w:r w:rsidRPr="004D0DAA">
              <w:rPr>
                <w:lang w:eastAsia="en-US"/>
              </w:rPr>
              <w:t xml:space="preserve"> : bit (7) &gt;</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3G_CELL_DIFF_LENGTH</w:t>
            </w:r>
            <w:r w:rsidRPr="004D0DAA">
              <w:rPr>
                <w:lang w:eastAsia="en-US"/>
              </w:rPr>
              <w:t xml:space="preserve"> : bit (3) &gt;</w:t>
            </w:r>
          </w:p>
          <w:p w14:paraId="4F7E16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3GCELL_DIFF</w:t>
            </w:r>
            <w:r w:rsidRPr="004D0DAA">
              <w:rPr>
                <w:lang w:eastAsia="en-US"/>
              </w:rPr>
              <w:t xml:space="preserve"> : bit (val(3G_CELL_DIFF_LENGTH)) &gt;</w:t>
            </w:r>
          </w:p>
          <w:p w14:paraId="334404A2" w14:textId="77777777" w:rsidR="00711444" w:rsidRPr="004D0DAA" w:rsidRDefault="00711444" w:rsidP="00AA2A4C">
            <w:pPr>
              <w:pStyle w:val="TAL"/>
              <w:rPr>
                <w:lang w:eastAsia="en-US"/>
              </w:rPr>
            </w:pPr>
            <w:r w:rsidRPr="004D0DAA">
              <w:rPr>
                <w:lang w:eastAsia="en-US"/>
              </w:rPr>
              <w:tab/>
            </w:r>
            <w:r w:rsidRPr="004D0DAA">
              <w:rPr>
                <w:lang w:eastAsia="en-US"/>
              </w:rPr>
              <w:tab/>
              <w:t>} * (1+val(N2))</w:t>
            </w:r>
          </w:p>
          <w:p w14:paraId="53727AD7" w14:textId="77777777" w:rsidR="00711444" w:rsidRPr="004D0DAA" w:rsidRDefault="00711444" w:rsidP="00AA2A4C">
            <w:pPr>
              <w:pStyle w:val="TAL"/>
              <w:rPr>
                <w:lang w:eastAsia="en-US"/>
              </w:rPr>
            </w:pPr>
            <w:r w:rsidRPr="004D0DAA">
              <w:rPr>
                <w:lang w:eastAsia="en-US"/>
              </w:rPr>
              <w:tab/>
              <w:t>} * (1+val(N1)) ;</w:t>
            </w:r>
          </w:p>
          <w:p w14:paraId="69DF6896" w14:textId="77777777" w:rsidR="00711444" w:rsidRPr="004D0DAA" w:rsidRDefault="00711444" w:rsidP="00AA2A4C">
            <w:pPr>
              <w:pStyle w:val="TAL"/>
              <w:rPr>
                <w:lang w:eastAsia="en-US"/>
              </w:rPr>
            </w:pPr>
          </w:p>
        </w:tc>
      </w:tr>
      <w:tr w:rsidR="00711444" w:rsidRPr="004D0DAA" w14:paraId="57D16851" w14:textId="77777777" w:rsidTr="00AA2A4C">
        <w:tblPrEx>
          <w:tblCellMar>
            <w:top w:w="0" w:type="dxa"/>
            <w:bottom w:w="0" w:type="dxa"/>
          </w:tblCellMar>
        </w:tblPrEx>
        <w:trPr>
          <w:cantSplit/>
        </w:trPr>
        <w:tc>
          <w:tcPr>
            <w:tcW w:w="9848" w:type="dxa"/>
          </w:tcPr>
          <w:p w14:paraId="639F551A" w14:textId="77777777" w:rsidR="00711444" w:rsidRPr="004D0DAA" w:rsidRDefault="00711444" w:rsidP="00AA2A4C">
            <w:pPr>
              <w:pStyle w:val="TAL"/>
              <w:rPr>
                <w:lang w:eastAsia="en-US"/>
              </w:rPr>
            </w:pPr>
            <w:r w:rsidRPr="004D0DAA">
              <w:rPr>
                <w:lang w:eastAsia="en-US"/>
              </w:rPr>
              <w:t>&lt; UTRAN FDD Description struct &gt; ::=</w:t>
            </w:r>
          </w:p>
          <w:p w14:paraId="7290ABE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Bandwidth_FDD </w:t>
            </w:r>
            <w:r w:rsidRPr="004D0DAA">
              <w:rPr>
                <w:lang w:eastAsia="en-US"/>
              </w:rPr>
              <w:t>: bit (3) &gt; }</w:t>
            </w:r>
            <w:r w:rsidRPr="004D0DAA">
              <w:rPr>
                <w:lang w:eastAsia="en-US"/>
              </w:rPr>
              <w:br/>
            </w:r>
            <w:r w:rsidRPr="004D0DAA">
              <w:rPr>
                <w:lang w:eastAsia="en-US"/>
              </w:rPr>
              <w:tab/>
              <w:t xml:space="preserve">{ 1 &lt; </w:t>
            </w:r>
            <w:r w:rsidRPr="004D0DAA">
              <w:rPr>
                <w:b/>
                <w:lang w:eastAsia="en-US"/>
              </w:rPr>
              <w:t>Repeated UTRAN FDD Neighbour Cells</w:t>
            </w:r>
            <w:r w:rsidRPr="004D0DAA">
              <w:rPr>
                <w:lang w:eastAsia="en-US"/>
              </w:rPr>
              <w:t xml:space="preserve"> : Repeated UTRAN FDD Neighbour Cells struct &gt;&gt; } ** 0 ;</w:t>
            </w:r>
          </w:p>
          <w:p w14:paraId="331F6E26" w14:textId="77777777" w:rsidR="00711444" w:rsidRPr="004D0DAA" w:rsidRDefault="00711444" w:rsidP="00AA2A4C">
            <w:pPr>
              <w:pStyle w:val="TAL"/>
              <w:rPr>
                <w:lang w:eastAsia="en-US"/>
              </w:rPr>
            </w:pPr>
          </w:p>
        </w:tc>
      </w:tr>
      <w:tr w:rsidR="00711444" w:rsidRPr="004D0DAA" w14:paraId="71A7D074" w14:textId="77777777" w:rsidTr="00AA2A4C">
        <w:tblPrEx>
          <w:tblCellMar>
            <w:top w:w="0" w:type="dxa"/>
            <w:bottom w:w="0" w:type="dxa"/>
          </w:tblCellMar>
        </w:tblPrEx>
        <w:trPr>
          <w:cantSplit/>
        </w:trPr>
        <w:tc>
          <w:tcPr>
            <w:tcW w:w="9848" w:type="dxa"/>
          </w:tcPr>
          <w:p w14:paraId="179BD454" w14:textId="77777777" w:rsidR="00711444" w:rsidRPr="004D0DAA" w:rsidRDefault="00711444" w:rsidP="00AA2A4C">
            <w:pPr>
              <w:pStyle w:val="TAL"/>
              <w:rPr>
                <w:lang w:eastAsia="en-US"/>
              </w:rPr>
            </w:pPr>
            <w:r w:rsidRPr="004D0DAA">
              <w:rPr>
                <w:lang w:eastAsia="en-US"/>
              </w:rPr>
              <w:t>&lt; Repeated UTRAN FDD Neighbour Cells struct &gt; ::=</w:t>
            </w:r>
            <w:r w:rsidRPr="004D0DAA">
              <w:rPr>
                <w:lang w:eastAsia="en-US"/>
              </w:rPr>
              <w:br/>
            </w:r>
            <w:r w:rsidRPr="004D0DAA">
              <w:rPr>
                <w:lang w:eastAsia="en-US"/>
              </w:rPr>
              <w:tab/>
              <w:t xml:space="preserve">0 &lt; </w:t>
            </w:r>
            <w:r w:rsidRPr="004D0DAA">
              <w:rPr>
                <w:b/>
                <w:lang w:eastAsia="en-US"/>
              </w:rPr>
              <w:t xml:space="preserve">FDD-ARFCN </w:t>
            </w:r>
            <w:r w:rsidRPr="004D0DAA">
              <w:rPr>
                <w:lang w:eastAsia="en-US"/>
              </w:rPr>
              <w:t>: bit (14) &gt;</w:t>
            </w:r>
            <w:r w:rsidRPr="004D0DAA">
              <w:rPr>
                <w:lang w:eastAsia="en-US"/>
              </w:rPr>
              <w:tab/>
            </w:r>
            <w:r w:rsidRPr="004D0DAA">
              <w:rPr>
                <w:lang w:eastAsia="en-US"/>
              </w:rPr>
              <w:tab/>
              <w:t xml:space="preserve">-- </w:t>
            </w:r>
            <w:r w:rsidRPr="004D0DAA">
              <w:rPr>
                <w:i/>
                <w:lang w:eastAsia="en-US"/>
              </w:rPr>
              <w:t xml:space="preserve">The value ‘1’ was used in an earlier </w:t>
            </w:r>
          </w:p>
          <w:p w14:paraId="502D59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version of the protocol and shall not be used.</w:t>
            </w:r>
            <w:r w:rsidRPr="004D0DAA">
              <w:rPr>
                <w:lang w:eastAsia="en-US"/>
              </w:rPr>
              <w:br/>
            </w:r>
            <w:r w:rsidRPr="004D0DAA">
              <w:rPr>
                <w:lang w:eastAsia="en-US"/>
              </w:rPr>
              <w:tab/>
              <w:t xml:space="preserve">&lt; </w:t>
            </w:r>
            <w:r w:rsidRPr="004D0DAA">
              <w:rPr>
                <w:b/>
                <w:lang w:eastAsia="en-US"/>
              </w:rPr>
              <w:t xml:space="preserve">FDD_Indic0 : bit </w:t>
            </w:r>
            <w:r w:rsidRPr="004D0DAA">
              <w:rPr>
                <w:lang w:eastAsia="en-US"/>
              </w:rPr>
              <w:t>&gt;</w:t>
            </w:r>
            <w:r w:rsidRPr="004D0DAA">
              <w:rPr>
                <w:lang w:eastAsia="en-US"/>
              </w:rPr>
              <w:br/>
            </w:r>
            <w:r w:rsidRPr="004D0DAA">
              <w:rPr>
                <w:lang w:eastAsia="en-US"/>
              </w:rPr>
              <w:tab/>
              <w:t xml:space="preserve">&lt; </w:t>
            </w:r>
            <w:r w:rsidRPr="004D0DAA">
              <w:rPr>
                <w:b/>
                <w:lang w:eastAsia="en-US"/>
              </w:rPr>
              <w:t>NR_OF_FDD_CELLS</w:t>
            </w:r>
            <w:r w:rsidRPr="004D0DAA">
              <w:rPr>
                <w:lang w:eastAsia="en-US"/>
              </w:rPr>
              <w:t> : bit (5) &gt;</w:t>
            </w:r>
            <w:r w:rsidRPr="004D0DAA">
              <w:rPr>
                <w:lang w:eastAsia="en-US"/>
              </w:rPr>
              <w:br/>
            </w:r>
            <w:r w:rsidRPr="004D0DAA">
              <w:rPr>
                <w:lang w:eastAsia="en-US"/>
              </w:rPr>
              <w:tab/>
              <w:t xml:space="preserve">&lt; </w:t>
            </w:r>
            <w:r w:rsidRPr="004D0DAA">
              <w:rPr>
                <w:b/>
                <w:lang w:eastAsia="en-US"/>
              </w:rPr>
              <w:t>FDD_CELL_INFORMATION Field </w:t>
            </w:r>
            <w:r w:rsidRPr="004D0DAA">
              <w:rPr>
                <w:lang w:eastAsia="en-US"/>
              </w:rPr>
              <w:t xml:space="preserve">: bit(p(NR_OF_FDD_CELLS)) &gt; ; </w:t>
            </w:r>
          </w:p>
          <w:p w14:paraId="76CAC74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p(x) defined in table 11.2.9b.2.a/3GPP TS 44.060</w:t>
            </w:r>
          </w:p>
          <w:p w14:paraId="5C4C2EAF" w14:textId="77777777" w:rsidR="00711444" w:rsidRPr="004D0DAA" w:rsidRDefault="00711444" w:rsidP="00AA2A4C">
            <w:pPr>
              <w:pStyle w:val="TAL"/>
              <w:rPr>
                <w:lang w:eastAsia="en-US"/>
              </w:rPr>
            </w:pPr>
          </w:p>
        </w:tc>
      </w:tr>
      <w:tr w:rsidR="00711444" w:rsidRPr="004D0DAA" w14:paraId="2DA878ED" w14:textId="77777777" w:rsidTr="00AA2A4C">
        <w:tblPrEx>
          <w:tblCellMar>
            <w:top w:w="0" w:type="dxa"/>
            <w:bottom w:w="0" w:type="dxa"/>
          </w:tblCellMar>
        </w:tblPrEx>
        <w:trPr>
          <w:cantSplit/>
        </w:trPr>
        <w:tc>
          <w:tcPr>
            <w:tcW w:w="9848" w:type="dxa"/>
          </w:tcPr>
          <w:p w14:paraId="4DF4ED06" w14:textId="77777777" w:rsidR="00711444" w:rsidRPr="004D0DAA" w:rsidRDefault="00711444" w:rsidP="00AA2A4C">
            <w:pPr>
              <w:pStyle w:val="TAL"/>
              <w:rPr>
                <w:lang w:eastAsia="en-US"/>
              </w:rPr>
            </w:pPr>
            <w:r w:rsidRPr="004D0DAA">
              <w:rPr>
                <w:lang w:eastAsia="en-US"/>
              </w:rPr>
              <w:t>&lt; UTRAN TDD Description struct &gt; ::=</w:t>
            </w:r>
          </w:p>
          <w:p w14:paraId="4835D4D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Bandwidth_TDD </w:t>
            </w:r>
            <w:r w:rsidRPr="004D0DAA">
              <w:rPr>
                <w:lang w:eastAsia="en-US"/>
              </w:rPr>
              <w:t>: bit (3) &gt; }</w:t>
            </w:r>
            <w:r w:rsidRPr="004D0DAA">
              <w:rPr>
                <w:lang w:eastAsia="en-US"/>
              </w:rPr>
              <w:br/>
            </w:r>
            <w:r w:rsidRPr="004D0DAA">
              <w:rPr>
                <w:lang w:eastAsia="en-US"/>
              </w:rPr>
              <w:tab/>
              <w:t xml:space="preserve">{ 1 &lt; </w:t>
            </w:r>
            <w:r w:rsidRPr="004D0DAA">
              <w:rPr>
                <w:b/>
                <w:lang w:eastAsia="en-US"/>
              </w:rPr>
              <w:t>Repeated UTRAN TDD Neighbour Cells</w:t>
            </w:r>
            <w:r w:rsidRPr="004D0DAA">
              <w:rPr>
                <w:lang w:eastAsia="en-US"/>
              </w:rPr>
              <w:t xml:space="preserve"> : &lt; Repeated UTRAN TDD Neighbour Cells struct &gt;&gt; } ** 0 ;</w:t>
            </w:r>
          </w:p>
          <w:p w14:paraId="54326DBB" w14:textId="77777777" w:rsidR="00711444" w:rsidRPr="004D0DAA" w:rsidRDefault="00711444" w:rsidP="00AA2A4C">
            <w:pPr>
              <w:pStyle w:val="TAL"/>
              <w:rPr>
                <w:lang w:eastAsia="en-US"/>
              </w:rPr>
            </w:pPr>
          </w:p>
        </w:tc>
      </w:tr>
      <w:tr w:rsidR="00711444" w:rsidRPr="004D0DAA" w14:paraId="4865B21F" w14:textId="77777777" w:rsidTr="00AA2A4C">
        <w:tblPrEx>
          <w:tblCellMar>
            <w:top w:w="0" w:type="dxa"/>
            <w:bottom w:w="0" w:type="dxa"/>
          </w:tblCellMar>
        </w:tblPrEx>
        <w:trPr>
          <w:cantSplit/>
        </w:trPr>
        <w:tc>
          <w:tcPr>
            <w:tcW w:w="9848" w:type="dxa"/>
          </w:tcPr>
          <w:p w14:paraId="3333D558" w14:textId="77777777" w:rsidR="00711444" w:rsidRPr="004D0DAA" w:rsidRDefault="00711444" w:rsidP="00AA2A4C">
            <w:pPr>
              <w:pStyle w:val="TAL"/>
              <w:rPr>
                <w:lang w:eastAsia="en-US"/>
              </w:rPr>
            </w:pPr>
            <w:r w:rsidRPr="004D0DAA">
              <w:rPr>
                <w:lang w:eastAsia="en-US"/>
              </w:rPr>
              <w:t>&lt; Repeated UTRAN TDD Neighbour Cells struct &gt; ::=</w:t>
            </w:r>
            <w:r w:rsidRPr="004D0DAA">
              <w:rPr>
                <w:lang w:eastAsia="en-US"/>
              </w:rPr>
              <w:br/>
            </w:r>
            <w:r w:rsidRPr="004D0DAA">
              <w:rPr>
                <w:lang w:eastAsia="en-US"/>
              </w:rPr>
              <w:tab/>
              <w:t xml:space="preserve">&lt; </w:t>
            </w:r>
            <w:r w:rsidRPr="004D0DAA">
              <w:rPr>
                <w:b/>
                <w:lang w:eastAsia="en-US"/>
              </w:rPr>
              <w:t xml:space="preserve">TDD_Indic0 </w:t>
            </w:r>
            <w:r w:rsidRPr="004D0DAA">
              <w:rPr>
                <w:lang w:eastAsia="en-US"/>
              </w:rPr>
              <w:t>: bit &gt;</w:t>
            </w:r>
            <w:r w:rsidRPr="004D0DAA">
              <w:rPr>
                <w:lang w:eastAsia="en-US"/>
              </w:rPr>
              <w:br/>
            </w:r>
            <w:r w:rsidRPr="004D0DAA">
              <w:rPr>
                <w:lang w:eastAsia="en-US"/>
              </w:rPr>
              <w:tab/>
              <w:t xml:space="preserve">0 &lt; </w:t>
            </w:r>
            <w:r w:rsidRPr="004D0DAA">
              <w:rPr>
                <w:b/>
                <w:lang w:eastAsia="en-US"/>
              </w:rPr>
              <w:t xml:space="preserve">TDD-ARFCN </w:t>
            </w:r>
            <w:r w:rsidRPr="004D0DAA">
              <w:rPr>
                <w:lang w:eastAsia="en-US"/>
              </w:rPr>
              <w:t>: bit (14) &gt;</w:t>
            </w:r>
            <w:r w:rsidRPr="004D0DAA">
              <w:rPr>
                <w:lang w:eastAsia="en-US"/>
              </w:rPr>
              <w:tab/>
            </w:r>
            <w:r w:rsidRPr="004D0DAA">
              <w:rPr>
                <w:lang w:eastAsia="en-US"/>
              </w:rPr>
              <w:tab/>
              <w:t xml:space="preserve">-- </w:t>
            </w:r>
            <w:r w:rsidRPr="004D0DAA">
              <w:rPr>
                <w:i/>
                <w:lang w:eastAsia="en-US"/>
              </w:rPr>
              <w:t>The value ‘1’ was used in an earlier</w:t>
            </w:r>
          </w:p>
          <w:p w14:paraId="668C62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version of the protocol and shall not be used.</w:t>
            </w:r>
            <w:r w:rsidRPr="004D0DAA">
              <w:rPr>
                <w:lang w:eastAsia="en-US"/>
              </w:rPr>
              <w:br/>
            </w:r>
            <w:r w:rsidRPr="004D0DAA">
              <w:rPr>
                <w:lang w:eastAsia="en-US"/>
              </w:rPr>
              <w:tab/>
              <w:t xml:space="preserve">&lt; </w:t>
            </w:r>
            <w:r w:rsidRPr="004D0DAA">
              <w:rPr>
                <w:b/>
                <w:lang w:eastAsia="en-US"/>
              </w:rPr>
              <w:t>NR_OF_TDD_CELLS</w:t>
            </w:r>
            <w:r w:rsidRPr="004D0DAA">
              <w:rPr>
                <w:lang w:eastAsia="en-US"/>
              </w:rPr>
              <w:t> : bit (5) &gt;</w:t>
            </w:r>
            <w:r w:rsidRPr="004D0DAA">
              <w:rPr>
                <w:lang w:eastAsia="en-US"/>
              </w:rPr>
              <w:br/>
            </w:r>
            <w:r w:rsidRPr="004D0DAA">
              <w:rPr>
                <w:lang w:eastAsia="en-US"/>
              </w:rPr>
              <w:tab/>
              <w:t xml:space="preserve">&lt; </w:t>
            </w:r>
            <w:r w:rsidRPr="004D0DAA">
              <w:rPr>
                <w:b/>
                <w:lang w:eastAsia="en-US"/>
              </w:rPr>
              <w:t xml:space="preserve">TDD_CELL_INFORMATION Field </w:t>
            </w:r>
            <w:r w:rsidRPr="004D0DAA">
              <w:rPr>
                <w:lang w:eastAsia="en-US"/>
              </w:rPr>
              <w:t xml:space="preserve">: bit(q(NR_OF_TDD_CELLS)) &gt; ; </w:t>
            </w:r>
          </w:p>
          <w:p w14:paraId="329CE7E0"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q(x) defined in table 11.2.9b.2.b/3GPP TS 44.060</w:t>
            </w:r>
          </w:p>
          <w:p w14:paraId="48784116" w14:textId="77777777" w:rsidR="00711444" w:rsidRPr="004D0DAA" w:rsidRDefault="00711444" w:rsidP="00AA2A4C">
            <w:pPr>
              <w:pStyle w:val="TAL"/>
              <w:rPr>
                <w:lang w:eastAsia="en-US"/>
              </w:rPr>
            </w:pPr>
          </w:p>
        </w:tc>
      </w:tr>
      <w:tr w:rsidR="00711444" w:rsidRPr="004D0DAA" w14:paraId="561B073E" w14:textId="77777777" w:rsidTr="00AA2A4C">
        <w:tblPrEx>
          <w:tblCellMar>
            <w:top w:w="0" w:type="dxa"/>
            <w:bottom w:w="0" w:type="dxa"/>
          </w:tblCellMar>
        </w:tblPrEx>
        <w:trPr>
          <w:cantSplit/>
        </w:trPr>
        <w:tc>
          <w:tcPr>
            <w:tcW w:w="9848" w:type="dxa"/>
          </w:tcPr>
          <w:p w14:paraId="006F33E5" w14:textId="77777777" w:rsidR="00711444" w:rsidRPr="004D0DAA" w:rsidRDefault="00711444" w:rsidP="00AA2A4C">
            <w:pPr>
              <w:pStyle w:val="TAL"/>
              <w:rPr>
                <w:lang w:eastAsia="en-US"/>
              </w:rPr>
            </w:pPr>
            <w:r w:rsidRPr="004D0DAA">
              <w:rPr>
                <w:lang w:eastAsia="en-US"/>
              </w:rPr>
              <w:t>&lt; CDMA 2000 Description struct &gt; ::=</w:t>
            </w:r>
            <w:r w:rsidRPr="004D0DAA">
              <w:rPr>
                <w:lang w:eastAsia="en-US"/>
              </w:rPr>
              <w:br/>
            </w:r>
            <w:r w:rsidRPr="004D0DAA">
              <w:rPr>
                <w:lang w:eastAsia="en-US"/>
              </w:rPr>
              <w:tab/>
            </w:r>
            <w:r w:rsidRPr="004D0DAA">
              <w:rPr>
                <w:lang w:eastAsia="en-US"/>
              </w:rPr>
              <w:tab/>
              <w:t xml:space="preserve">&lt; </w:t>
            </w:r>
            <w:r w:rsidRPr="004D0DAA">
              <w:rPr>
                <w:b/>
                <w:lang w:eastAsia="en-US"/>
              </w:rPr>
              <w:t>cdma2000 frequency band</w:t>
            </w:r>
            <w:r w:rsidRPr="004D0DAA">
              <w:rPr>
                <w:lang w:eastAsia="en-US"/>
              </w:rPr>
              <w:t xml:space="preserve"> : bit (5) &gt;</w:t>
            </w:r>
          </w:p>
          <w:p w14:paraId="4526897F"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cdma2000 frequency</w:t>
            </w:r>
            <w:r w:rsidRPr="004D0DAA">
              <w:rPr>
                <w:lang w:eastAsia="en-US"/>
              </w:rPr>
              <w:t xml:space="preserve"> : bit (11) &gt;</w:t>
            </w:r>
          </w:p>
          <w:p w14:paraId="7275948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number_cdma2000_cells</w:t>
            </w:r>
            <w:r w:rsidRPr="004D0DAA">
              <w:rPr>
                <w:lang w:eastAsia="en-US"/>
              </w:rPr>
              <w:t xml:space="preserve"> : bit (5) &gt;</w:t>
            </w:r>
          </w:p>
          <w:p w14:paraId="23D081C6"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w:t>
            </w:r>
            <w:r w:rsidRPr="004D0DAA">
              <w:rPr>
                <w:b/>
                <w:lang w:eastAsia="en-US"/>
              </w:rPr>
              <w:t>Pilot PN offset</w:t>
            </w:r>
            <w:r w:rsidRPr="004D0DAA">
              <w:rPr>
                <w:lang w:eastAsia="en-US"/>
              </w:rPr>
              <w:t xml:space="preserve"> : bit (9) &gt;</w:t>
            </w:r>
          </w:p>
          <w:p w14:paraId="110F445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 </w:t>
            </w:r>
            <w:r w:rsidRPr="004D0DAA">
              <w:rPr>
                <w:i/>
                <w:lang w:eastAsia="en-US"/>
              </w:rPr>
              <w:t>this information is enough for 1X Common Pilot</w:t>
            </w:r>
          </w:p>
          <w:p w14:paraId="11BDE5BF" w14:textId="77777777" w:rsidR="00711444" w:rsidRPr="004D0DAA" w:rsidRDefault="00711444" w:rsidP="00AA2A4C">
            <w:pPr>
              <w:pStyle w:val="TAL"/>
              <w:rPr>
                <w:lang w:eastAsia="en-US"/>
              </w:rPr>
            </w:pPr>
            <w:r w:rsidRPr="004D0DAA">
              <w:rPr>
                <w:lang w:eastAsia="en-US"/>
              </w:rPr>
              <w:tab/>
            </w:r>
            <w:r w:rsidRPr="004D0DAA">
              <w:rPr>
                <w:lang w:eastAsia="en-US"/>
              </w:rPr>
              <w:tab/>
              <w:t>{0 | 1{ 000 { &lt;</w:t>
            </w:r>
            <w:r w:rsidRPr="004D0DAA">
              <w:rPr>
                <w:b/>
                <w:lang w:eastAsia="en-US"/>
              </w:rPr>
              <w:t>TD_MODE</w:t>
            </w:r>
            <w:r w:rsidRPr="004D0DAA">
              <w:rPr>
                <w:lang w:eastAsia="en-US"/>
              </w:rPr>
              <w:t xml:space="preserve"> : bit (2) &gt; &lt;</w:t>
            </w:r>
            <w:r w:rsidRPr="004D0DAA">
              <w:rPr>
                <w:b/>
                <w:lang w:eastAsia="en-US"/>
              </w:rPr>
              <w:t>TD_POWER_LEVEL</w:t>
            </w:r>
            <w:r w:rsidRPr="004D0DAA">
              <w:rPr>
                <w:lang w:eastAsia="en-US"/>
              </w:rPr>
              <w:t xml:space="preserve"> : bit (3) &gt;}</w:t>
            </w:r>
          </w:p>
          <w:p w14:paraId="3D239AF1"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 </w:t>
            </w:r>
            <w:r w:rsidRPr="004D0DAA">
              <w:rPr>
                <w:i/>
                <w:lang w:eastAsia="en-US"/>
              </w:rPr>
              <w:t>additional information for 1X Common Pilot with Transmit Diversity</w:t>
            </w:r>
          </w:p>
          <w:p w14:paraId="19FBDF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001 { &lt; </w:t>
            </w:r>
            <w:r w:rsidRPr="004D0DAA">
              <w:rPr>
                <w:b/>
                <w:lang w:eastAsia="en-US"/>
              </w:rPr>
              <w:t>QOF</w:t>
            </w:r>
            <w:r w:rsidRPr="004D0DAA">
              <w:rPr>
                <w:lang w:eastAsia="en-US"/>
              </w:rPr>
              <w:t xml:space="preserve"> : bit (2) &gt; &lt;</w:t>
            </w:r>
            <w:r w:rsidRPr="004D0DAA">
              <w:rPr>
                <w:b/>
                <w:lang w:eastAsia="en-US"/>
              </w:rPr>
              <w:t>WALSH_LEN_A</w:t>
            </w:r>
            <w:r w:rsidRPr="004D0DAA">
              <w:rPr>
                <w:lang w:eastAsia="en-US"/>
              </w:rPr>
              <w:t xml:space="preserve"> : bit (3) &gt; </w:t>
            </w:r>
          </w:p>
          <w:p w14:paraId="6EABA4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AUX_PILOT_WALSH : bit(val(WALSH_LEN_A)+6)&gt;}</w:t>
            </w:r>
          </w:p>
          <w:p w14:paraId="49DAF55E"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information for 1X Auxiliary Pilot</w:t>
            </w:r>
          </w:p>
          <w:p w14:paraId="7003FEC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010 { &lt; </w:t>
            </w:r>
            <w:r w:rsidRPr="004D0DAA">
              <w:rPr>
                <w:b/>
                <w:lang w:eastAsia="en-US"/>
              </w:rPr>
              <w:t>QOF</w:t>
            </w:r>
            <w:r w:rsidRPr="004D0DAA">
              <w:rPr>
                <w:lang w:eastAsia="en-US"/>
              </w:rPr>
              <w:t xml:space="preserve"> : bit (2) &gt; &lt;</w:t>
            </w:r>
            <w:r w:rsidRPr="004D0DAA">
              <w:rPr>
                <w:b/>
                <w:lang w:eastAsia="en-US"/>
              </w:rPr>
              <w:t>WALSH_LEN_B</w:t>
            </w:r>
            <w:r w:rsidRPr="004D0DAA">
              <w:rPr>
                <w:lang w:eastAsia="en-US"/>
              </w:rPr>
              <w:t xml:space="preserve"> : bit (3) &gt; </w:t>
            </w:r>
          </w:p>
          <w:p w14:paraId="6451D3C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AUX_TD_WALSH</w:t>
            </w:r>
            <w:r w:rsidRPr="004D0DAA">
              <w:rPr>
                <w:lang w:eastAsia="en-US"/>
              </w:rPr>
              <w:t xml:space="preserve"> : bit(val(WALSH_LEN_B)+6)&gt;</w:t>
            </w:r>
          </w:p>
          <w:p w14:paraId="3236A88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AUX_TD_POWER_LEVEL</w:t>
            </w:r>
            <w:r w:rsidRPr="004D0DAA">
              <w:rPr>
                <w:lang w:eastAsia="en-US"/>
              </w:rPr>
              <w:t xml:space="preserve"> : bit (2) &gt; &lt;</w:t>
            </w:r>
            <w:r w:rsidRPr="004D0DAA">
              <w:rPr>
                <w:b/>
                <w:lang w:eastAsia="en-US"/>
              </w:rPr>
              <w:t>TD_MODE</w:t>
            </w:r>
            <w:r w:rsidRPr="004D0DAA">
              <w:rPr>
                <w:lang w:eastAsia="en-US"/>
              </w:rPr>
              <w:t xml:space="preserve"> : bit (2) &gt;}</w:t>
            </w:r>
          </w:p>
          <w:p w14:paraId="75ECFD9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information for 1X Auxiliary Pilot with Transmit Diversity</w:t>
            </w:r>
          </w:p>
          <w:p w14:paraId="1FC977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011 { &lt; </w:t>
            </w:r>
            <w:r w:rsidRPr="004D0DAA">
              <w:rPr>
                <w:b/>
                <w:lang w:eastAsia="en-US"/>
              </w:rPr>
              <w:t>SR3_PRIM_PILOT</w:t>
            </w:r>
            <w:r w:rsidRPr="004D0DAA">
              <w:rPr>
                <w:lang w:eastAsia="en-US"/>
              </w:rPr>
              <w:t xml:space="preserve"> : bit (2) &gt; &lt;</w:t>
            </w:r>
            <w:r w:rsidRPr="004D0DAA">
              <w:rPr>
                <w:b/>
                <w:lang w:eastAsia="en-US"/>
              </w:rPr>
              <w:t>SR3_PILOT_POWER1</w:t>
            </w:r>
            <w:r w:rsidRPr="004D0DAA">
              <w:rPr>
                <w:lang w:eastAsia="en-US"/>
              </w:rPr>
              <w:t xml:space="preserve"> : bit (3) &gt;</w:t>
            </w:r>
          </w:p>
          <w:p w14:paraId="0F0A927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SR3_PILOT_POWER2</w:t>
            </w:r>
            <w:r w:rsidRPr="004D0DAA">
              <w:rPr>
                <w:lang w:eastAsia="en-US"/>
              </w:rPr>
              <w:t xml:space="preserve"> : bit (3) &gt;}</w:t>
            </w:r>
          </w:p>
          <w:p w14:paraId="23A2CB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information for 3X Common Pilot</w:t>
            </w:r>
          </w:p>
          <w:p w14:paraId="37783E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110 { &lt; </w:t>
            </w:r>
            <w:r w:rsidRPr="004D0DAA">
              <w:rPr>
                <w:b/>
                <w:lang w:eastAsia="en-US"/>
              </w:rPr>
              <w:t>SR3_PRIM_PILOT</w:t>
            </w:r>
            <w:r w:rsidRPr="004D0DAA">
              <w:rPr>
                <w:lang w:eastAsia="en-US"/>
              </w:rPr>
              <w:t xml:space="preserve"> : bit (2) &gt; &lt;</w:t>
            </w:r>
            <w:r w:rsidRPr="004D0DAA">
              <w:rPr>
                <w:b/>
                <w:lang w:eastAsia="en-US"/>
              </w:rPr>
              <w:t>SR3_PILOT_POWER1</w:t>
            </w:r>
            <w:r w:rsidRPr="004D0DAA">
              <w:rPr>
                <w:lang w:eastAsia="en-US"/>
              </w:rPr>
              <w:t xml:space="preserve"> : bit (3) &gt;</w:t>
            </w:r>
          </w:p>
          <w:p w14:paraId="1B0AC6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SR3_PILOT_POWER2</w:t>
            </w:r>
            <w:r w:rsidRPr="004D0DAA">
              <w:rPr>
                <w:lang w:eastAsia="en-US"/>
              </w:rPr>
              <w:t xml:space="preserve"> : bit (3) &gt; &lt;</w:t>
            </w:r>
            <w:r w:rsidRPr="004D0DAA">
              <w:rPr>
                <w:b/>
                <w:lang w:eastAsia="en-US"/>
              </w:rPr>
              <w:t>QOF</w:t>
            </w:r>
            <w:r w:rsidRPr="004D0DAA">
              <w:rPr>
                <w:lang w:eastAsia="en-US"/>
              </w:rPr>
              <w:t xml:space="preserve"> : bit (2) &gt;</w:t>
            </w:r>
          </w:p>
          <w:p w14:paraId="077B60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WALSH_LEN_C</w:t>
            </w:r>
            <w:r w:rsidRPr="004D0DAA">
              <w:rPr>
                <w:lang w:eastAsia="en-US"/>
              </w:rPr>
              <w:t xml:space="preserve"> : bit (3) &gt; </w:t>
            </w:r>
          </w:p>
          <w:p w14:paraId="234151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AUX_WALSH_LEN</w:t>
            </w:r>
            <w:r w:rsidRPr="004D0DAA">
              <w:rPr>
                <w:lang w:eastAsia="en-US"/>
              </w:rPr>
              <w:t xml:space="preserve"> : bit(val(WALSH_LEN_C)+6)&gt;</w:t>
            </w:r>
          </w:p>
          <w:p w14:paraId="1BD66A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QOF1</w:t>
            </w:r>
            <w:r w:rsidRPr="004D0DAA">
              <w:rPr>
                <w:lang w:eastAsia="en-US"/>
              </w:rPr>
              <w:t xml:space="preserve"> : bit (2) &gt; &lt; </w:t>
            </w:r>
            <w:r w:rsidRPr="004D0DAA">
              <w:rPr>
                <w:b/>
                <w:lang w:eastAsia="en-US"/>
              </w:rPr>
              <w:t>WALSH_LENGTH1</w:t>
            </w:r>
            <w:r w:rsidRPr="004D0DAA">
              <w:rPr>
                <w:lang w:eastAsia="en-US"/>
              </w:rPr>
              <w:t xml:space="preserve"> : bit (3) &gt; </w:t>
            </w:r>
          </w:p>
          <w:p w14:paraId="0BBCB1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AUX_PILOT_WALSH1</w:t>
            </w:r>
            <w:r w:rsidRPr="004D0DAA">
              <w:rPr>
                <w:lang w:eastAsia="en-US"/>
              </w:rPr>
              <w:t xml:space="preserve"> : bit(val(WALSH_LENGTH1)+6)&gt;}</w:t>
            </w:r>
          </w:p>
          <w:p w14:paraId="60FA40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QOF2</w:t>
            </w:r>
            <w:r w:rsidRPr="004D0DAA">
              <w:rPr>
                <w:lang w:eastAsia="en-US"/>
              </w:rPr>
              <w:t xml:space="preserve"> : bit (2) &gt; &lt;</w:t>
            </w:r>
            <w:r w:rsidRPr="004D0DAA">
              <w:rPr>
                <w:b/>
                <w:lang w:eastAsia="en-US"/>
              </w:rPr>
              <w:t>WALSH_LENGTH2</w:t>
            </w:r>
            <w:r w:rsidRPr="004D0DAA">
              <w:rPr>
                <w:lang w:eastAsia="en-US"/>
              </w:rPr>
              <w:t xml:space="preserve"> : bit (3) &gt;</w:t>
            </w:r>
          </w:p>
          <w:p w14:paraId="7B92D0F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w:t>
            </w:r>
            <w:r w:rsidRPr="004D0DAA">
              <w:rPr>
                <w:b/>
                <w:lang w:eastAsia="en-US"/>
              </w:rPr>
              <w:t>AUX_PILOT_WALSH2</w:t>
            </w:r>
            <w:r w:rsidRPr="004D0DAA">
              <w:rPr>
                <w:lang w:eastAsia="en-US"/>
              </w:rPr>
              <w:t xml:space="preserve"> : bit(val(WALSH_LENGTH2)+6)&gt;}}</w:t>
            </w:r>
          </w:p>
          <w:p w14:paraId="4A67EEB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information for 3X Auxiliary Pilot</w:t>
            </w:r>
          </w:p>
          <w:p w14:paraId="103EEC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p w14:paraId="591059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6354F6E9" w14:textId="77777777" w:rsidR="00711444" w:rsidRPr="004D0DAA" w:rsidRDefault="00711444" w:rsidP="00AA2A4C">
            <w:pPr>
              <w:pStyle w:val="TAL"/>
              <w:rPr>
                <w:lang w:eastAsia="en-US"/>
              </w:rPr>
            </w:pPr>
            <w:r w:rsidRPr="004D0DAA">
              <w:rPr>
                <w:lang w:eastAsia="en-US"/>
              </w:rPr>
              <w:tab/>
            </w:r>
            <w:r w:rsidRPr="004D0DAA">
              <w:rPr>
                <w:lang w:eastAsia="en-US"/>
              </w:rPr>
              <w:tab/>
              <w:t>} * val(number_cdma2000_cells) ;</w:t>
            </w:r>
          </w:p>
          <w:p w14:paraId="4D91313E" w14:textId="77777777" w:rsidR="00711444" w:rsidRPr="004D0DAA" w:rsidRDefault="00711444" w:rsidP="00AA2A4C">
            <w:pPr>
              <w:pStyle w:val="TAL"/>
              <w:rPr>
                <w:lang w:eastAsia="en-US"/>
              </w:rPr>
            </w:pPr>
          </w:p>
        </w:tc>
      </w:tr>
      <w:tr w:rsidR="00711444" w:rsidRPr="004D0DAA" w14:paraId="1C681BCA" w14:textId="77777777" w:rsidTr="00AA2A4C">
        <w:tblPrEx>
          <w:tblCellMar>
            <w:top w:w="0" w:type="dxa"/>
            <w:bottom w:w="0" w:type="dxa"/>
          </w:tblCellMar>
        </w:tblPrEx>
        <w:trPr>
          <w:cantSplit/>
        </w:trPr>
        <w:tc>
          <w:tcPr>
            <w:tcW w:w="9848" w:type="dxa"/>
          </w:tcPr>
          <w:p w14:paraId="65F1A8B1" w14:textId="77777777" w:rsidR="00711444" w:rsidRPr="004D0DAA" w:rsidRDefault="00711444" w:rsidP="00AA2A4C">
            <w:pPr>
              <w:pStyle w:val="TAL"/>
              <w:rPr>
                <w:lang w:eastAsia="en-US"/>
              </w:rPr>
            </w:pPr>
            <w:r w:rsidRPr="004D0DAA">
              <w:rPr>
                <w:lang w:eastAsia="en-US"/>
              </w:rPr>
              <w:t>&lt; GPRS REP PRIORITY Description struct &gt; ::=</w:t>
            </w:r>
          </w:p>
          <w:p w14:paraId="02E17FF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Number_Cells</w:t>
            </w:r>
            <w:r w:rsidRPr="004D0DAA">
              <w:rPr>
                <w:lang w:eastAsia="en-US"/>
              </w:rPr>
              <w:t> : bit(7) &gt;</w:t>
            </w:r>
          </w:p>
          <w:p w14:paraId="1FF715A0"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 xml:space="preserve">REP_PRIORITY </w:t>
            </w:r>
            <w:r w:rsidRPr="004D0DAA">
              <w:rPr>
                <w:lang w:eastAsia="en-US"/>
              </w:rPr>
              <w:t>: bit &gt;} * (val(Number_Cells)) ;</w:t>
            </w:r>
          </w:p>
          <w:p w14:paraId="65056E5F" w14:textId="77777777" w:rsidR="00711444" w:rsidRPr="004D0DAA" w:rsidRDefault="00711444" w:rsidP="00AA2A4C">
            <w:pPr>
              <w:pStyle w:val="TAL"/>
              <w:rPr>
                <w:lang w:eastAsia="en-US"/>
              </w:rPr>
            </w:pPr>
          </w:p>
        </w:tc>
      </w:tr>
      <w:tr w:rsidR="00711444" w:rsidRPr="004D0DAA" w14:paraId="61F16360" w14:textId="77777777" w:rsidTr="00AA2A4C">
        <w:tblPrEx>
          <w:tblCellMar>
            <w:top w:w="0" w:type="dxa"/>
            <w:bottom w:w="0" w:type="dxa"/>
          </w:tblCellMar>
        </w:tblPrEx>
        <w:trPr>
          <w:cantSplit/>
        </w:trPr>
        <w:tc>
          <w:tcPr>
            <w:tcW w:w="9848" w:type="dxa"/>
          </w:tcPr>
          <w:p w14:paraId="60FECFB9" w14:textId="77777777" w:rsidR="00711444" w:rsidRPr="004D0DAA" w:rsidRDefault="00711444" w:rsidP="00AA2A4C">
            <w:pPr>
              <w:pStyle w:val="TAL"/>
              <w:rPr>
                <w:lang w:eastAsia="en-US"/>
              </w:rPr>
            </w:pPr>
            <w:r w:rsidRPr="004D0DAA">
              <w:rPr>
                <w:lang w:eastAsia="en-US"/>
              </w:rPr>
              <w:lastRenderedPageBreak/>
              <w:t>&lt;</w:t>
            </w:r>
            <w:r w:rsidRPr="004D0DAA">
              <w:rPr>
                <w:b/>
                <w:lang w:eastAsia="en-US"/>
              </w:rPr>
              <w:t xml:space="preserve"> </w:t>
            </w:r>
            <w:r w:rsidRPr="004D0DAA">
              <w:rPr>
                <w:lang w:eastAsia="en-US"/>
              </w:rPr>
              <w:t>GPRS MEASUREMENT PARAMETERS Description struct</w:t>
            </w:r>
            <w:r w:rsidRPr="004D0DAA">
              <w:rPr>
                <w:b/>
                <w:lang w:eastAsia="en-US"/>
              </w:rPr>
              <w:t xml:space="preserve"> </w:t>
            </w:r>
            <w:r w:rsidRPr="004D0DAA">
              <w:rPr>
                <w:lang w:eastAsia="en-US"/>
              </w:rPr>
              <w:t>&gt; ::=</w:t>
            </w:r>
          </w:p>
          <w:p w14:paraId="2A73E704"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MULTIBAND_REPORTING</w:t>
            </w:r>
            <w:r w:rsidRPr="004D0DAA">
              <w:rPr>
                <w:lang w:eastAsia="en-US"/>
              </w:rPr>
              <w:t xml:space="preserve"> : bit (2) &gt; }</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SERVING_BAND_REPORTING</w:t>
            </w:r>
            <w:r w:rsidRPr="004D0DAA">
              <w:rPr>
                <w:lang w:eastAsia="en-US"/>
              </w:rPr>
              <w:t xml:space="preserve"> : bit (2) &gt; }</w:t>
            </w:r>
            <w:r w:rsidRPr="004D0DAA">
              <w:rPr>
                <w:lang w:eastAsia="en-US"/>
              </w:rPr>
              <w:br/>
            </w:r>
            <w:r w:rsidRPr="004D0DAA">
              <w:rPr>
                <w:lang w:eastAsia="en-US"/>
              </w:rPr>
              <w:tab/>
              <w:t xml:space="preserve">&lt; </w:t>
            </w:r>
            <w:r w:rsidRPr="004D0DAA">
              <w:rPr>
                <w:b/>
                <w:lang w:eastAsia="en-US"/>
              </w:rPr>
              <w:t>SCALE_ORD</w:t>
            </w:r>
            <w:r w:rsidRPr="004D0DAA">
              <w:rPr>
                <w:lang w:eastAsia="en-US"/>
              </w:rPr>
              <w:t xml:space="preserve"> : bit(2) &gt;</w:t>
            </w:r>
            <w:r w:rsidRPr="004D0DAA">
              <w:rPr>
                <w:lang w:eastAsia="en-US"/>
              </w:rPr>
              <w:br/>
            </w:r>
          </w:p>
          <w:p w14:paraId="3B725321"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900_REPORTING_OFFSET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900_REPORTING_THRESHOLD</w:t>
            </w:r>
            <w:r w:rsidRPr="004D0DAA">
              <w:rPr>
                <w:lang w:eastAsia="en-US"/>
              </w:rPr>
              <w:t xml:space="preserve"> : bit (3) &gt; }</w:t>
            </w:r>
            <w:r w:rsidRPr="004D0DAA">
              <w:rPr>
                <w:lang w:eastAsia="en-US"/>
              </w:rPr>
              <w:br/>
            </w:r>
          </w:p>
          <w:p w14:paraId="2BEBE830"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1800_REPORTING_OFFSET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1800_REPORTING_THRESHOLD</w:t>
            </w:r>
            <w:r w:rsidRPr="004D0DAA">
              <w:rPr>
                <w:lang w:eastAsia="en-US"/>
              </w:rPr>
              <w:t xml:space="preserve"> : bit (3) &gt; }</w:t>
            </w:r>
            <w:r w:rsidRPr="004D0DAA">
              <w:rPr>
                <w:lang w:eastAsia="en-US"/>
              </w:rPr>
              <w:br/>
            </w:r>
          </w:p>
          <w:p w14:paraId="1437530E"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400_REPORTING_OFFSET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400_REPORTING_THRESHOLD</w:t>
            </w:r>
            <w:r w:rsidRPr="004D0DAA">
              <w:rPr>
                <w:lang w:eastAsia="en-US"/>
              </w:rPr>
              <w:t xml:space="preserve"> : bit (3) &gt; }</w:t>
            </w:r>
            <w:r w:rsidRPr="004D0DAA">
              <w:rPr>
                <w:lang w:eastAsia="en-US"/>
              </w:rPr>
              <w:br/>
            </w:r>
          </w:p>
          <w:p w14:paraId="2979FCDB"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1900_REPORTING_OFFSET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1900_REPORTING_THRESHOLD</w:t>
            </w:r>
            <w:r w:rsidRPr="004D0DAA">
              <w:rPr>
                <w:lang w:eastAsia="en-US"/>
              </w:rPr>
              <w:t xml:space="preserve"> : bit (3) &gt; }</w:t>
            </w:r>
            <w:r w:rsidRPr="004D0DAA">
              <w:rPr>
                <w:lang w:eastAsia="en-US"/>
              </w:rPr>
              <w:br/>
            </w:r>
          </w:p>
          <w:p w14:paraId="47E61CF3"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850_REPORTING_OFFSET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850_REPORTING_THRESHOLD</w:t>
            </w:r>
            <w:r w:rsidRPr="004D0DAA">
              <w:rPr>
                <w:lang w:eastAsia="en-US"/>
              </w:rPr>
              <w:t xml:space="preserve"> : bit (3) &gt; } ;</w:t>
            </w:r>
            <w:r w:rsidRPr="004D0DAA">
              <w:rPr>
                <w:lang w:eastAsia="en-US"/>
              </w:rPr>
              <w:br/>
            </w:r>
          </w:p>
        </w:tc>
      </w:tr>
      <w:tr w:rsidR="00711444" w:rsidRPr="004D0DAA" w14:paraId="38D577B0" w14:textId="77777777" w:rsidTr="00AA2A4C">
        <w:tblPrEx>
          <w:tblCellMar>
            <w:top w:w="0" w:type="dxa"/>
            <w:bottom w:w="0" w:type="dxa"/>
          </w:tblCellMar>
        </w:tblPrEx>
        <w:trPr>
          <w:cantSplit/>
        </w:trPr>
        <w:tc>
          <w:tcPr>
            <w:tcW w:w="9848" w:type="dxa"/>
          </w:tcPr>
          <w:p w14:paraId="047E568F" w14:textId="77777777" w:rsidR="00711444" w:rsidRPr="004D0DAA" w:rsidRDefault="00711444" w:rsidP="00AA2A4C">
            <w:pPr>
              <w:pStyle w:val="TAL"/>
              <w:rPr>
                <w:lang w:eastAsia="en-US"/>
              </w:rPr>
            </w:pPr>
            <w:r w:rsidRPr="004D0DAA">
              <w:rPr>
                <w:lang w:eastAsia="en-US"/>
              </w:rPr>
              <w:t>&lt;</w:t>
            </w:r>
            <w:r w:rsidRPr="004D0DAA">
              <w:rPr>
                <w:b/>
                <w:lang w:eastAsia="en-US"/>
              </w:rPr>
              <w:t xml:space="preserve"> </w:t>
            </w:r>
            <w:r w:rsidRPr="004D0DAA">
              <w:rPr>
                <w:lang w:eastAsia="en-US"/>
              </w:rPr>
              <w:t>GPRS 3G MEASUREMENT PARAMETERS BIS Description struct</w:t>
            </w:r>
            <w:r w:rsidRPr="004D0DAA">
              <w:rPr>
                <w:b/>
                <w:lang w:eastAsia="en-US"/>
              </w:rPr>
              <w:t xml:space="preserve"> </w:t>
            </w:r>
            <w:r w:rsidRPr="004D0DAA">
              <w:rPr>
                <w:lang w:eastAsia="en-US"/>
              </w:rPr>
              <w:t>&gt; ::=</w:t>
            </w:r>
          </w:p>
          <w:p w14:paraId="7DCB69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Qsearch_P :</w:t>
            </w:r>
            <w:r w:rsidRPr="004D0DAA">
              <w:rPr>
                <w:lang w:eastAsia="en-US"/>
              </w:rPr>
              <w:t xml:space="preserve"> bit (4) &gt; </w:t>
            </w:r>
            <w:r w:rsidRPr="004D0DAA">
              <w:rPr>
                <w:lang w:eastAsia="en-US"/>
              </w:rPr>
              <w:br/>
            </w:r>
            <w:r w:rsidRPr="004D0DAA">
              <w:rPr>
                <w:lang w:eastAsia="en-US"/>
              </w:rPr>
              <w:tab/>
              <w:t>{ 1 ! &lt; Ignore : bit = &lt; no string &gt;&gt; }</w:t>
            </w:r>
            <w:r w:rsidRPr="004D0DAA">
              <w:rPr>
                <w:lang w:eastAsia="en-US"/>
              </w:rPr>
              <w:tab/>
            </w:r>
            <w:r w:rsidRPr="004D0DAA">
              <w:rPr>
                <w:lang w:eastAsia="en-US"/>
              </w:rPr>
              <w:tab/>
            </w:r>
            <w:r w:rsidRPr="004D0DAA">
              <w:rPr>
                <w:lang w:eastAsia="en-US"/>
              </w:rPr>
              <w:tab/>
              <w:t>-- this bit shall be ignored by the receiver</w:t>
            </w:r>
          </w:p>
          <w:p w14:paraId="7F8899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for backward compatibility with earlier releases</w:t>
            </w:r>
            <w:r w:rsidRPr="004D0DAA">
              <w:rPr>
                <w:sz w:val="16"/>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FDD_REP_QUANT</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lang w:eastAsia="en-US"/>
              </w:rPr>
              <w:t xml:space="preserve">-- </w:t>
            </w:r>
            <w:r w:rsidRPr="004D0DAA">
              <w:rPr>
                <w:i/>
                <w:lang w:eastAsia="en-US"/>
              </w:rPr>
              <w:t>FDD Parameters</w:t>
            </w:r>
          </w:p>
          <w:p w14:paraId="367DE49D" w14:textId="77777777" w:rsidR="00711444" w:rsidRPr="004D0DAA" w:rsidRDefault="00711444" w:rsidP="00AA2A4C">
            <w:pPr>
              <w:pStyle w:val="TAL"/>
              <w:rPr>
                <w:sz w:val="16"/>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FDD_MULTIRAT_REPORTING</w:t>
            </w:r>
            <w:r w:rsidRPr="004D0DAA">
              <w:rPr>
                <w:lang w:eastAsia="en-US"/>
              </w:rPr>
              <w:t xml:space="preserve"> : bit (2) &gt; }</w:t>
            </w:r>
          </w:p>
          <w:p w14:paraId="16B81A81" w14:textId="77777777" w:rsidR="00711444" w:rsidRPr="004D0DAA" w:rsidRDefault="00711444" w:rsidP="00AA2A4C">
            <w:pPr>
              <w:pStyle w:val="TAL"/>
              <w:rPr>
                <w:lang w:eastAsia="en-US"/>
              </w:rPr>
            </w:pPr>
            <w:r w:rsidRPr="004D0DAA">
              <w:rPr>
                <w:lang w:eastAsia="en-US"/>
              </w:rPr>
              <w:tab/>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FDD_REPORTING_OFFSET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FDD_REPORTING_THRESHOLD </w:t>
            </w:r>
            <w:r w:rsidRPr="004D0DAA">
              <w:rPr>
                <w:lang w:eastAsia="en-US"/>
              </w:rPr>
              <w:t>: bit (3) &gt; }</w:t>
            </w:r>
            <w:r w:rsidRPr="004D0DAA">
              <w:rPr>
                <w:lang w:eastAsia="en-US"/>
              </w:rPr>
              <w:br/>
            </w:r>
          </w:p>
          <w:p w14:paraId="2FDD7492"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TDD_MULTIRAT_REPORTING</w:t>
            </w:r>
            <w:r w:rsidRPr="004D0DAA">
              <w:rPr>
                <w:lang w:eastAsia="en-US"/>
              </w:rPr>
              <w:t xml:space="preserve"> : bit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lang w:eastAsia="en-US"/>
              </w:rPr>
              <w:t xml:space="preserve">-- </w:t>
            </w:r>
            <w:r w:rsidRPr="004D0DAA">
              <w:rPr>
                <w:i/>
                <w:lang w:eastAsia="en-US"/>
              </w:rPr>
              <w:t>TDD Parameters</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TDD_REPORTING_THRESHOLD </w:t>
            </w:r>
            <w:r w:rsidRPr="004D0DAA">
              <w:rPr>
                <w:lang w:eastAsia="en-US"/>
              </w:rPr>
              <w:t>: bit (3) &gt; }</w:t>
            </w:r>
            <w:r w:rsidRPr="004D0DAA">
              <w:rPr>
                <w:lang w:eastAsia="en-US"/>
              </w:rPr>
              <w:br/>
            </w:r>
          </w:p>
          <w:p w14:paraId="5DCDD73C" w14:textId="77777777" w:rsidR="00711444" w:rsidRPr="004D0DAA" w:rsidRDefault="00711444" w:rsidP="00AA2A4C">
            <w:pPr>
              <w:pStyle w:val="TAL"/>
              <w:rPr>
                <w:i/>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CDMA2000_MULTIRAT_REPORTING</w:t>
            </w:r>
            <w:r w:rsidRPr="004D0DAA">
              <w:rPr>
                <w:lang w:eastAsia="en-US"/>
              </w:rPr>
              <w:t xml:space="preserve"> : bit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lang w:eastAsia="en-US"/>
              </w:rPr>
              <w:t xml:space="preserve">-- </w:t>
            </w:r>
            <w:r w:rsidRPr="004D0DAA">
              <w:rPr>
                <w:i/>
                <w:lang w:eastAsia="en-US"/>
              </w:rPr>
              <w:t>CDMA2000 Parameters</w:t>
            </w:r>
          </w:p>
          <w:p w14:paraId="3CC6FC9A"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CDMA2000_REPORTING_OFFSET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CDMA2000_REPORTING_THRESHOLD </w:t>
            </w:r>
            <w:r w:rsidRPr="004D0DAA">
              <w:rPr>
                <w:lang w:eastAsia="en-US"/>
              </w:rPr>
              <w:t>: bit (3) &gt; } ;</w:t>
            </w:r>
            <w:r w:rsidRPr="004D0DAA">
              <w:rPr>
                <w:lang w:eastAsia="en-US"/>
              </w:rPr>
              <w:br/>
            </w:r>
          </w:p>
        </w:tc>
      </w:tr>
      <w:tr w:rsidR="00711444" w:rsidRPr="004D0DAA" w14:paraId="4A9DFBC0" w14:textId="77777777" w:rsidTr="00AA2A4C">
        <w:tblPrEx>
          <w:tblCellMar>
            <w:top w:w="0" w:type="dxa"/>
            <w:bottom w:w="0" w:type="dxa"/>
          </w:tblCellMar>
        </w:tblPrEx>
        <w:trPr>
          <w:cantSplit/>
        </w:trPr>
        <w:tc>
          <w:tcPr>
            <w:tcW w:w="9848" w:type="dxa"/>
          </w:tcPr>
          <w:p w14:paraId="705D694F"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t xml:space="preserve">&lt; </w:t>
            </w:r>
            <w:r w:rsidRPr="004D0DAA">
              <w:rPr>
                <w:b/>
                <w:lang w:eastAsia="en-US"/>
              </w:rPr>
              <w:t>Number_Cells</w:t>
            </w:r>
            <w:r w:rsidRPr="004D0DAA">
              <w:rPr>
                <w:lang w:eastAsia="en-US"/>
              </w:rPr>
              <w:t xml:space="preserve"> : bit (7) &gt;</w:t>
            </w:r>
            <w:r w:rsidRPr="004D0DAA">
              <w:rPr>
                <w:lang w:eastAsia="en-US"/>
              </w:rPr>
              <w:br/>
              <w:t xml:space="preserve">{ </w:t>
            </w:r>
            <w:r w:rsidRPr="004D0DAA">
              <w:rPr>
                <w:b/>
                <w:lang w:eastAsia="en-US"/>
              </w:rPr>
              <w:t>CCN_SUPPORTED</w:t>
            </w:r>
            <w:r w:rsidRPr="004D0DAA">
              <w:rPr>
                <w:lang w:eastAsia="en-US"/>
              </w:rPr>
              <w:t xml:space="preserve"> : bit } * (val(Number_Cells)) ;</w:t>
            </w:r>
          </w:p>
        </w:tc>
      </w:tr>
      <w:tr w:rsidR="00711444" w:rsidRPr="004D0DAA" w14:paraId="172C1468" w14:textId="77777777" w:rsidTr="00AA2A4C">
        <w:tblPrEx>
          <w:tblCellMar>
            <w:top w:w="0" w:type="dxa"/>
            <w:bottom w:w="0" w:type="dxa"/>
          </w:tblCellMar>
        </w:tblPrEx>
        <w:trPr>
          <w:cantSplit/>
        </w:trPr>
        <w:tc>
          <w:tcPr>
            <w:tcW w:w="9848" w:type="dxa"/>
          </w:tcPr>
          <w:p w14:paraId="29CFDEED" w14:textId="77777777" w:rsidR="00711444" w:rsidRPr="004D0DAA" w:rsidRDefault="00711444" w:rsidP="00AA2A4C">
            <w:pPr>
              <w:pStyle w:val="TAL"/>
              <w:rPr>
                <w:lang w:eastAsia="en-US"/>
              </w:rPr>
            </w:pPr>
            <w:r w:rsidRPr="004D0DAA">
              <w:rPr>
                <w:lang w:eastAsia="en-US"/>
              </w:rPr>
              <w:t>&lt; Iu Mode Neighbour Cell Params struct &gt; ::=</w:t>
            </w:r>
          </w:p>
          <w:p w14:paraId="26A7EC5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&lt; Iu Mode Cell Selection struct &gt; &gt; }</w:t>
            </w:r>
          </w:p>
          <w:p w14:paraId="132268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NR_OF_FREQUENCIES </w:t>
            </w:r>
            <w:r w:rsidRPr="004D0DAA">
              <w:rPr>
                <w:lang w:eastAsia="en-US"/>
              </w:rPr>
              <w:t>: bit (5) &gt;</w:t>
            </w:r>
          </w:p>
          <w:p w14:paraId="2A1388C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xml:space="preserve">: </w:t>
            </w:r>
          </w:p>
          <w:p w14:paraId="4A721F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Iu Mode Cell Selection struct &gt; &gt; } * (val(NR_OF_FREQUENCIES)) ;</w:t>
            </w:r>
          </w:p>
        </w:tc>
      </w:tr>
      <w:tr w:rsidR="00711444" w:rsidRPr="004D0DAA" w14:paraId="7528FC0B" w14:textId="77777777" w:rsidTr="00AA2A4C">
        <w:tblPrEx>
          <w:tblCellMar>
            <w:top w:w="0" w:type="dxa"/>
            <w:bottom w:w="0" w:type="dxa"/>
          </w:tblCellMar>
        </w:tblPrEx>
        <w:trPr>
          <w:cantSplit/>
        </w:trPr>
        <w:tc>
          <w:tcPr>
            <w:tcW w:w="9848" w:type="dxa"/>
          </w:tcPr>
          <w:p w14:paraId="111786AB" w14:textId="77777777" w:rsidR="00711444" w:rsidRPr="004D0DAA" w:rsidRDefault="00711444" w:rsidP="00AA2A4C">
            <w:pPr>
              <w:pStyle w:val="TAL"/>
              <w:rPr>
                <w:lang w:eastAsia="en-US"/>
              </w:rPr>
            </w:pPr>
            <w:r w:rsidRPr="004D0DAA">
              <w:rPr>
                <w:lang w:eastAsia="en-US"/>
              </w:rPr>
              <w:t>&lt; Iu Mode Cell Selection struct &gt; ::=</w:t>
            </w:r>
          </w:p>
          <w:p w14:paraId="4E95FA0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BAR QUALIFY 3</w:t>
            </w:r>
            <w:r w:rsidRPr="004D0DAA">
              <w:rPr>
                <w:bCs/>
                <w:lang w:eastAsia="en-US"/>
              </w:rPr>
              <w:t xml:space="preserve"> </w:t>
            </w:r>
            <w:r w:rsidRPr="004D0DAA">
              <w:rPr>
                <w:lang w:eastAsia="en-US"/>
              </w:rPr>
              <w:t>: bit (2) &gt;</w:t>
            </w:r>
            <w:r w:rsidRPr="004D0DAA">
              <w:rPr>
                <w:lang w:eastAsia="en-US"/>
              </w:rPr>
              <w:tab/>
            </w:r>
          </w:p>
          <w:p w14:paraId="6AA5C950"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SI13Alt PBCCH Location</w:t>
            </w:r>
            <w:r w:rsidRPr="004D0DAA">
              <w:rPr>
                <w:lang w:val="fr-FR" w:eastAsia="en-US"/>
              </w:rPr>
              <w:t>: &lt; SI13 PBCCH Location struct &gt; &gt; } ;</w:t>
            </w:r>
          </w:p>
        </w:tc>
      </w:tr>
      <w:tr w:rsidR="00711444" w:rsidRPr="004D0DAA" w14:paraId="261045F9" w14:textId="77777777" w:rsidTr="00AA2A4C">
        <w:tblPrEx>
          <w:tblCellMar>
            <w:top w:w="0" w:type="dxa"/>
            <w:bottom w:w="0" w:type="dxa"/>
          </w:tblCellMar>
        </w:tblPrEx>
        <w:trPr>
          <w:cantSplit/>
        </w:trPr>
        <w:tc>
          <w:tcPr>
            <w:tcW w:w="9848" w:type="dxa"/>
          </w:tcPr>
          <w:p w14:paraId="405A271C" w14:textId="77777777" w:rsidR="00711444" w:rsidRPr="004D0DAA" w:rsidRDefault="00711444" w:rsidP="00AA2A4C">
            <w:pPr>
              <w:pStyle w:val="TAL"/>
              <w:rPr>
                <w:lang w:eastAsia="en-US"/>
              </w:rPr>
            </w:pPr>
            <w:r w:rsidRPr="004D0DAA">
              <w:rPr>
                <w:lang w:eastAsia="en-US"/>
              </w:rPr>
              <w:t>&lt; NC Iu Mode Only Cell List struct &gt; ::=</w:t>
            </w:r>
          </w:p>
          <w:p w14:paraId="5D9B336A"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List of added cells</w:t>
            </w:r>
            <w:r w:rsidRPr="004D0DAA">
              <w:rPr>
                <w:lang w:eastAsia="en-US"/>
              </w:rPr>
              <w:t xml:space="preserve"> : &lt; Add Iu Mode Only Cell List struct &gt; &gt;} ** 0;</w:t>
            </w:r>
          </w:p>
        </w:tc>
      </w:tr>
      <w:tr w:rsidR="00711444" w:rsidRPr="004D0DAA" w14:paraId="22F4F8A1" w14:textId="77777777" w:rsidTr="00AA2A4C">
        <w:tblPrEx>
          <w:tblCellMar>
            <w:top w:w="0" w:type="dxa"/>
            <w:bottom w:w="0" w:type="dxa"/>
          </w:tblCellMar>
        </w:tblPrEx>
        <w:trPr>
          <w:cantSplit/>
        </w:trPr>
        <w:tc>
          <w:tcPr>
            <w:tcW w:w="9848" w:type="dxa"/>
          </w:tcPr>
          <w:p w14:paraId="59591A7A" w14:textId="77777777" w:rsidR="00711444" w:rsidRPr="004D0DAA" w:rsidRDefault="00711444" w:rsidP="00AA2A4C">
            <w:pPr>
              <w:pStyle w:val="TAL"/>
              <w:rPr>
                <w:lang w:eastAsia="en-US"/>
              </w:rPr>
            </w:pPr>
            <w:r w:rsidRPr="004D0DAA">
              <w:rPr>
                <w:lang w:eastAsia="en-US"/>
              </w:rPr>
              <w:t>&lt; Add Iu Mode Only Cell List struct &gt; ::=</w:t>
            </w:r>
          </w:p>
          <w:p w14:paraId="4A599CE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START_FREQUENCY </w:t>
            </w:r>
            <w:r w:rsidRPr="004D0DAA">
              <w:rPr>
                <w:lang w:eastAsia="en-US"/>
              </w:rPr>
              <w:t>: bit (10) &gt;</w:t>
            </w:r>
          </w:p>
          <w:p w14:paraId="6AE60B6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16518B47"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Cell selection params</w:t>
            </w:r>
            <w:r w:rsidRPr="004D0DAA">
              <w:rPr>
                <w:lang w:eastAsia="en-US"/>
              </w:rPr>
              <w:t xml:space="preserve"> : &lt; Iu Mode Only Cell Selection struct &gt; &gt; }</w:t>
            </w:r>
          </w:p>
          <w:p w14:paraId="5158D04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NR_OF_FREQUENCIES </w:t>
            </w:r>
            <w:r w:rsidRPr="004D0DAA">
              <w:rPr>
                <w:lang w:eastAsia="en-US"/>
              </w:rPr>
              <w:t>: bit (5) &gt;</w:t>
            </w:r>
          </w:p>
          <w:p w14:paraId="573AF11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FREQ_DIFF_LENGTH </w:t>
            </w:r>
            <w:r w:rsidRPr="004D0DAA">
              <w:rPr>
                <w:lang w:eastAsia="en-US"/>
              </w:rPr>
              <w:t>: bit (3) &gt;</w:t>
            </w:r>
          </w:p>
          <w:p w14:paraId="0B3FA2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w:t>
            </w:r>
            <w:r w:rsidRPr="004D0DAA">
              <w:rPr>
                <w:b/>
                <w:lang w:eastAsia="en-US"/>
              </w:rPr>
              <w:t xml:space="preserve">FREQUENCY_DIFF </w:t>
            </w:r>
            <w:r w:rsidRPr="004D0DAA">
              <w:rPr>
                <w:lang w:eastAsia="en-US"/>
              </w:rPr>
              <w:t>: bit (val(FREQ_DIFF_LENGTH)) &gt;</w:t>
            </w:r>
          </w:p>
          <w:p w14:paraId="235542B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BSIC </w:t>
            </w:r>
            <w:r w:rsidRPr="004D0DAA">
              <w:rPr>
                <w:lang w:eastAsia="en-US"/>
              </w:rPr>
              <w:t>: bit (6) &gt;</w:t>
            </w:r>
          </w:p>
          <w:p w14:paraId="18EDB28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Cell selection params</w:t>
            </w:r>
            <w:r w:rsidRPr="004D0DAA">
              <w:rPr>
                <w:lang w:eastAsia="en-US"/>
              </w:rPr>
              <w:t xml:space="preserve"> : </w:t>
            </w:r>
          </w:p>
          <w:p w14:paraId="71E6165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Iu Mode Only Cell Selection struct &gt; &gt; } } * (val(NR_OF_FREQUENCIES)) ;</w:t>
            </w:r>
          </w:p>
        </w:tc>
      </w:tr>
      <w:tr w:rsidR="00711444" w:rsidRPr="004D0DAA" w14:paraId="299C9C01" w14:textId="77777777" w:rsidTr="00AA2A4C">
        <w:tblPrEx>
          <w:tblCellMar>
            <w:top w:w="0" w:type="dxa"/>
            <w:bottom w:w="0" w:type="dxa"/>
          </w:tblCellMar>
        </w:tblPrEx>
        <w:trPr>
          <w:cantSplit/>
        </w:trPr>
        <w:tc>
          <w:tcPr>
            <w:tcW w:w="9848" w:type="dxa"/>
          </w:tcPr>
          <w:p w14:paraId="2AF3024B" w14:textId="77777777" w:rsidR="00711444" w:rsidRPr="004D0DAA" w:rsidRDefault="00711444" w:rsidP="00AA2A4C">
            <w:pPr>
              <w:pStyle w:val="TAL"/>
              <w:rPr>
                <w:lang w:eastAsia="en-US"/>
              </w:rPr>
            </w:pPr>
            <w:r w:rsidRPr="004D0DAA">
              <w:rPr>
                <w:lang w:eastAsia="en-US"/>
              </w:rPr>
              <w:lastRenderedPageBreak/>
              <w:t>&lt; Iu Mode Only Cell Selection struct &gt; ::=</w:t>
            </w:r>
          </w:p>
          <w:p w14:paraId="47ABCDD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CELL BAR QUALIFY 3</w:t>
            </w:r>
            <w:r w:rsidRPr="004D0DAA">
              <w:rPr>
                <w:lang w:eastAsia="en-US"/>
              </w:rPr>
              <w:t xml:space="preserve"> : bit (2) &gt;</w:t>
            </w:r>
          </w:p>
          <w:p w14:paraId="2505703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5CAF2BD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GPRS_RXLEV_ACCESS_MIN</w:t>
            </w:r>
            <w:r w:rsidRPr="004D0DAA">
              <w:rPr>
                <w:lang w:eastAsia="en-US"/>
              </w:rPr>
              <w:t xml:space="preserve"> : bit (6) &gt;</w:t>
            </w:r>
          </w:p>
          <w:p w14:paraId="473208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GPRS_MS_TXPWR_MAX_CCH</w:t>
            </w:r>
            <w:r w:rsidRPr="004D0DAA">
              <w:rPr>
                <w:lang w:eastAsia="en-US"/>
              </w:rPr>
              <w:t xml:space="preserve"> : bit (5) &gt; }</w:t>
            </w:r>
          </w:p>
          <w:p w14:paraId="6575AEC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GPRS_TEMPORARY_OFFSET</w:t>
            </w:r>
            <w:r w:rsidRPr="004D0DAA">
              <w:rPr>
                <w:lang w:eastAsia="en-US"/>
              </w:rPr>
              <w:t xml:space="preserve"> : bit (3) &gt;</w:t>
            </w:r>
          </w:p>
          <w:p w14:paraId="6EBF716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GPRS_PENALTY_TIME</w:t>
            </w:r>
            <w:r w:rsidRPr="004D0DAA">
              <w:rPr>
                <w:lang w:eastAsia="en-US"/>
              </w:rPr>
              <w:t xml:space="preserve"> : bit (5) &gt; }</w:t>
            </w:r>
          </w:p>
          <w:p w14:paraId="416E0CC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GPRS_RESELECT_OFFSET</w:t>
            </w:r>
            <w:r w:rsidRPr="004D0DAA">
              <w:rPr>
                <w:lang w:eastAsia="en-US"/>
              </w:rPr>
              <w:t xml:space="preserve"> : bit (5) &gt; }</w:t>
            </w:r>
          </w:p>
          <w:p w14:paraId="35EC12A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HCS params</w:t>
            </w:r>
            <w:r w:rsidRPr="004D0DAA">
              <w:rPr>
                <w:lang w:eastAsia="en-US"/>
              </w:rPr>
              <w:t xml:space="preserve"> : &lt; HCS struct &gt; &gt; }</w:t>
            </w:r>
          </w:p>
          <w:p w14:paraId="3C94F9B2"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SI13Alt_PBCCH_LOCATION</w:t>
            </w:r>
            <w:r w:rsidRPr="004D0DAA">
              <w:rPr>
                <w:lang w:val="fr-FR" w:eastAsia="en-US"/>
              </w:rPr>
              <w:t xml:space="preserve"> : &lt; SI13_PBCCH_LOCATION struct &gt; &gt; } ;</w:t>
            </w:r>
          </w:p>
          <w:p w14:paraId="3A3BF7C2" w14:textId="77777777" w:rsidR="00711444" w:rsidRPr="004D0DAA" w:rsidRDefault="00711444" w:rsidP="00AA2A4C">
            <w:pPr>
              <w:pStyle w:val="TAL"/>
              <w:rPr>
                <w:lang w:val="fr-FR" w:eastAsia="en-US"/>
              </w:rPr>
            </w:pPr>
          </w:p>
        </w:tc>
      </w:tr>
      <w:tr w:rsidR="00711444" w:rsidRPr="004D0DAA" w14:paraId="625135D9" w14:textId="77777777" w:rsidTr="00AA2A4C">
        <w:tblPrEx>
          <w:tblCellMar>
            <w:top w:w="0" w:type="dxa"/>
            <w:bottom w:w="0" w:type="dxa"/>
          </w:tblCellMar>
        </w:tblPrEx>
        <w:trPr>
          <w:cantSplit/>
        </w:trPr>
        <w:tc>
          <w:tcPr>
            <w:tcW w:w="9848" w:type="dxa"/>
          </w:tcPr>
          <w:p w14:paraId="7819939F" w14:textId="77777777" w:rsidR="00711444" w:rsidRPr="004D0DAA" w:rsidRDefault="00711444" w:rsidP="00AA2A4C">
            <w:pPr>
              <w:pStyle w:val="TAL"/>
              <w:rPr>
                <w:lang w:eastAsia="en-US"/>
              </w:rPr>
            </w:pPr>
            <w:r w:rsidRPr="004D0DAA">
              <w:rPr>
                <w:lang w:eastAsia="en-US"/>
              </w:rPr>
              <w:t xml:space="preserve">&lt; GPRS 3G Additional Measurement Parameters Description 2 struct &gt; ::= </w:t>
            </w:r>
          </w:p>
          <w:p w14:paraId="084142FC"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 xml:space="preserve">FDD_REPORTING_THRESHOLD_2 </w:t>
            </w:r>
            <w:r w:rsidRPr="004D0DAA">
              <w:rPr>
                <w:lang w:eastAsia="en-US"/>
              </w:rPr>
              <w:t>: bit (6)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Parameters</w:t>
            </w:r>
          </w:p>
          <w:p w14:paraId="4AB379B7" w14:textId="77777777" w:rsidR="00711444" w:rsidRPr="004D0DAA" w:rsidRDefault="00711444" w:rsidP="00AA2A4C">
            <w:pPr>
              <w:pStyle w:val="TAL"/>
              <w:rPr>
                <w:lang w:eastAsia="en-US"/>
              </w:rPr>
            </w:pPr>
          </w:p>
        </w:tc>
      </w:tr>
      <w:tr w:rsidR="00711444" w:rsidRPr="004D0DAA" w14:paraId="56A3A80D" w14:textId="77777777" w:rsidTr="00AA2A4C">
        <w:tblPrEx>
          <w:tblCellMar>
            <w:top w:w="0" w:type="dxa"/>
            <w:bottom w:w="0" w:type="dxa"/>
          </w:tblCellMar>
        </w:tblPrEx>
        <w:trPr>
          <w:cantSplit/>
        </w:trPr>
        <w:tc>
          <w:tcPr>
            <w:tcW w:w="9848" w:type="dxa"/>
            <w:tcBorders>
              <w:left w:val="single" w:sz="4" w:space="0" w:color="auto"/>
              <w:bottom w:val="nil"/>
              <w:right w:val="single" w:sz="4" w:space="0" w:color="auto"/>
            </w:tcBorders>
          </w:tcPr>
          <w:p w14:paraId="608BB3E6" w14:textId="77777777" w:rsidR="00711444" w:rsidRPr="004D0DAA" w:rsidRDefault="00711444" w:rsidP="00AA2A4C">
            <w:pPr>
              <w:pStyle w:val="TAL"/>
              <w:rPr>
                <w:lang w:eastAsia="en-US"/>
              </w:rPr>
            </w:pPr>
            <w:r w:rsidRPr="004D0DAA">
              <w:rPr>
                <w:lang w:eastAsia="en-US"/>
              </w:rPr>
              <w:t>&lt; Priority and E-UTRAN Parameters Description struct &gt; ::=</w:t>
            </w:r>
          </w:p>
          <w:p w14:paraId="6A81783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Serving Cell Priority Parameters</w:t>
            </w:r>
            <w:r w:rsidRPr="004D0DAA">
              <w:rPr>
                <w:b/>
                <w:lang w:eastAsia="zh-CN"/>
              </w:rPr>
              <w:t xml:space="preserve"> Description</w:t>
            </w:r>
            <w:r w:rsidRPr="004D0DAA">
              <w:rPr>
                <w:lang w:eastAsia="en-US"/>
              </w:rPr>
              <w:t xml:space="preserve"> : &lt; GSM Priority Parameters IE &gt;&gt; }</w:t>
            </w:r>
          </w:p>
          <w:p w14:paraId="03EE956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3G Priority Parameters Description</w:t>
            </w:r>
            <w:r w:rsidRPr="004D0DAA">
              <w:rPr>
                <w:lang w:eastAsia="en-US"/>
              </w:rPr>
              <w:t xml:space="preserve"> : &lt; 3G Priority Parameters IE &gt;&gt; }</w:t>
            </w:r>
          </w:p>
          <w:p w14:paraId="72E650B4" w14:textId="77777777" w:rsidR="00711444" w:rsidRPr="004D0DAA" w:rsidRDefault="00711444" w:rsidP="00AA2A4C">
            <w:pPr>
              <w:pStyle w:val="TAL"/>
              <w:rPr>
                <w:iCs/>
                <w:lang w:eastAsia="en-US"/>
              </w:rPr>
            </w:pPr>
            <w:r w:rsidRPr="004D0DAA">
              <w:rPr>
                <w:lang w:eastAsia="en-US"/>
              </w:rPr>
              <w:tab/>
              <w:t>{ 0 | 1</w:t>
            </w:r>
            <w:r w:rsidRPr="004D0DAA">
              <w:rPr>
                <w:lang w:eastAsia="en-US"/>
              </w:rPr>
              <w:tab/>
              <w:t xml:space="preserve">&lt; </w:t>
            </w:r>
            <w:r w:rsidRPr="004D0DAA">
              <w:rPr>
                <w:b/>
                <w:lang w:eastAsia="en-US"/>
              </w:rPr>
              <w:t>E-UTRAN</w:t>
            </w:r>
            <w:r w:rsidRPr="004D0DAA">
              <w:rPr>
                <w:lang w:eastAsia="en-US"/>
              </w:rPr>
              <w:t xml:space="preserve"> </w:t>
            </w:r>
            <w:r w:rsidRPr="004D0DAA">
              <w:rPr>
                <w:b/>
                <w:lang w:eastAsia="en-US"/>
              </w:rPr>
              <w:t xml:space="preserve">Parameters Description </w:t>
            </w:r>
            <w:r w:rsidRPr="004D0DAA">
              <w:rPr>
                <w:lang w:eastAsia="en-US"/>
              </w:rPr>
              <w:t>: &lt; E-UTRAN Parameters IE &gt;&gt; } ;</w:t>
            </w:r>
          </w:p>
          <w:p w14:paraId="08B303C1" w14:textId="77777777" w:rsidR="00711444" w:rsidRPr="004D0DAA" w:rsidRDefault="00711444" w:rsidP="00AA2A4C">
            <w:pPr>
              <w:pStyle w:val="TAL"/>
              <w:rPr>
                <w:lang w:eastAsia="en-US"/>
              </w:rPr>
            </w:pPr>
          </w:p>
        </w:tc>
      </w:tr>
      <w:tr w:rsidR="00711444" w:rsidRPr="004D0DAA" w14:paraId="61262EF3" w14:textId="77777777" w:rsidTr="00AA2A4C">
        <w:tblPrEx>
          <w:tblCellMar>
            <w:top w:w="0" w:type="dxa"/>
            <w:bottom w:w="0" w:type="dxa"/>
          </w:tblCellMar>
        </w:tblPrEx>
        <w:trPr>
          <w:cantSplit/>
        </w:trPr>
        <w:tc>
          <w:tcPr>
            <w:tcW w:w="9848" w:type="dxa"/>
            <w:tcBorders>
              <w:left w:val="single" w:sz="4" w:space="0" w:color="auto"/>
              <w:right w:val="single" w:sz="4" w:space="0" w:color="auto"/>
            </w:tcBorders>
          </w:tcPr>
          <w:p w14:paraId="5F72E99D" w14:textId="77777777" w:rsidR="00711444" w:rsidRPr="004D0DAA" w:rsidRDefault="00711444" w:rsidP="00AA2A4C">
            <w:pPr>
              <w:pStyle w:val="TAL"/>
              <w:rPr>
                <w:rFonts w:hint="eastAsia"/>
                <w:lang w:eastAsia="en-US"/>
              </w:rPr>
            </w:pPr>
            <w:r w:rsidRPr="004D0DAA">
              <w:rPr>
                <w:lang w:eastAsia="en-US"/>
              </w:rPr>
              <w:t>&lt; CSG</w:t>
            </w:r>
            <w:r w:rsidRPr="004D0DAA">
              <w:rPr>
                <w:rFonts w:hint="eastAsia"/>
                <w:lang w:eastAsia="en-US"/>
              </w:rPr>
              <w:t xml:space="preserve"> </w:t>
            </w:r>
            <w:r w:rsidRPr="004D0DAA">
              <w:rPr>
                <w:lang w:eastAsia="en-US"/>
              </w:rPr>
              <w:t>Cells Reporting Description struct &gt; ::=</w:t>
            </w:r>
          </w:p>
          <w:p w14:paraId="567925A5" w14:textId="77777777" w:rsidR="00711444" w:rsidRPr="004D0DAA" w:rsidRDefault="00711444" w:rsidP="00AA2A4C">
            <w:pPr>
              <w:pStyle w:val="TAL"/>
              <w:rPr>
                <w:rFonts w:hint="eastAsia"/>
                <w:lang w:eastAsia="en-US"/>
              </w:rPr>
            </w:pPr>
            <w:r w:rsidRPr="004D0DAA">
              <w:rPr>
                <w:lang w:eastAsia="en-US"/>
              </w:rPr>
              <w:tab/>
              <w:t xml:space="preserve">{ 0 | 1 </w:t>
            </w:r>
            <w:r w:rsidRPr="004D0DAA">
              <w:rPr>
                <w:rFonts w:hint="eastAsia"/>
                <w:lang w:eastAsia="en-US"/>
              </w:rPr>
              <w:t xml:space="preserve">&lt; </w:t>
            </w:r>
            <w:r w:rsidRPr="004D0DAA">
              <w:rPr>
                <w:rFonts w:hint="eastAsia"/>
                <w:b/>
                <w:lang w:eastAsia="en-US"/>
              </w:rPr>
              <w:t xml:space="preserve">UTRAN </w:t>
            </w:r>
            <w:r w:rsidRPr="004D0DAA">
              <w:rPr>
                <w:b/>
                <w:lang w:eastAsia="en-US"/>
              </w:rPr>
              <w:t>CSG</w:t>
            </w:r>
            <w:r w:rsidRPr="004D0DAA">
              <w:rPr>
                <w:rFonts w:hint="eastAsia"/>
                <w:b/>
                <w:lang w:eastAsia="en-US"/>
              </w:rPr>
              <w:t xml:space="preserve"> </w:t>
            </w:r>
            <w:r w:rsidRPr="004D0DAA">
              <w:rPr>
                <w:b/>
                <w:lang w:eastAsia="en-US"/>
              </w:rPr>
              <w:t xml:space="preserve">Cells Reporting Description </w:t>
            </w:r>
            <w:r w:rsidRPr="004D0DAA">
              <w:rPr>
                <w:rFonts w:hint="eastAsia"/>
                <w:lang w:eastAsia="en-US"/>
              </w:rPr>
              <w:t>: &lt;</w:t>
            </w:r>
            <w:r w:rsidRPr="004D0DAA">
              <w:rPr>
                <w:lang w:eastAsia="en-US"/>
              </w:rPr>
              <w:t xml:space="preserve"> </w:t>
            </w:r>
            <w:r w:rsidRPr="004D0DAA">
              <w:rPr>
                <w:rFonts w:hint="eastAsia"/>
                <w:lang w:eastAsia="en-US"/>
              </w:rPr>
              <w:t xml:space="preserve">UTRAN </w:t>
            </w:r>
            <w:r w:rsidRPr="004D0DAA">
              <w:rPr>
                <w:lang w:eastAsia="en-US"/>
              </w:rPr>
              <w:t>CSG</w:t>
            </w:r>
            <w:r w:rsidRPr="004D0DAA">
              <w:rPr>
                <w:rFonts w:hint="eastAsia"/>
                <w:lang w:eastAsia="en-US"/>
              </w:rPr>
              <w:t xml:space="preserve"> </w:t>
            </w:r>
            <w:r w:rsidRPr="004D0DAA">
              <w:rPr>
                <w:lang w:eastAsia="en-US"/>
              </w:rPr>
              <w:t>Cells Reporting Description struct</w:t>
            </w:r>
            <w:r w:rsidRPr="004D0DAA">
              <w:rPr>
                <w:rFonts w:hint="eastAsia"/>
                <w:lang w:eastAsia="en-US"/>
              </w:rPr>
              <w:t xml:space="preserve"> &gt;&gt;</w:t>
            </w:r>
            <w:r w:rsidRPr="004D0DAA">
              <w:rPr>
                <w:lang w:eastAsia="en-US"/>
              </w:rPr>
              <w:t xml:space="preserve"> }</w:t>
            </w:r>
          </w:p>
          <w:p w14:paraId="00A5FD38" w14:textId="77777777" w:rsidR="00711444" w:rsidRPr="004D0DAA" w:rsidRDefault="00711444" w:rsidP="00AA2A4C">
            <w:pPr>
              <w:pStyle w:val="TAL"/>
              <w:rPr>
                <w:rFonts w:hint="eastAsia"/>
                <w:lang w:eastAsia="en-US"/>
              </w:rPr>
            </w:pPr>
            <w:r w:rsidRPr="004D0DAA">
              <w:rPr>
                <w:lang w:eastAsia="en-US"/>
              </w:rPr>
              <w:tab/>
              <w:t xml:space="preserve">{ 0 | 1 </w:t>
            </w:r>
            <w:r w:rsidRPr="004D0DAA">
              <w:rPr>
                <w:rFonts w:hint="eastAsia"/>
                <w:lang w:eastAsia="en-US"/>
              </w:rPr>
              <w:t>&lt;</w:t>
            </w:r>
            <w:r w:rsidRPr="004D0DAA">
              <w:rPr>
                <w:lang w:eastAsia="en-US"/>
              </w:rPr>
              <w:t xml:space="preserve"> </w:t>
            </w:r>
            <w:r w:rsidRPr="004D0DAA">
              <w:rPr>
                <w:rFonts w:hint="eastAsia"/>
                <w:b/>
                <w:lang w:eastAsia="en-US"/>
              </w:rPr>
              <w:t xml:space="preserve">E-UTRAN </w:t>
            </w:r>
            <w:r w:rsidRPr="004D0DAA">
              <w:rPr>
                <w:b/>
                <w:lang w:eastAsia="en-US"/>
              </w:rPr>
              <w:t>CSG</w:t>
            </w:r>
            <w:r w:rsidRPr="004D0DAA">
              <w:rPr>
                <w:rFonts w:hint="eastAsia"/>
                <w:b/>
                <w:lang w:eastAsia="en-US"/>
              </w:rPr>
              <w:t xml:space="preserve"> </w:t>
            </w:r>
            <w:r w:rsidRPr="004D0DAA">
              <w:rPr>
                <w:b/>
                <w:lang w:eastAsia="en-US"/>
              </w:rPr>
              <w:t xml:space="preserve">Cells Reporting Description </w:t>
            </w:r>
            <w:r w:rsidRPr="004D0DAA">
              <w:rPr>
                <w:rFonts w:hint="eastAsia"/>
                <w:lang w:eastAsia="en-US"/>
              </w:rPr>
              <w:t xml:space="preserve">: &lt;E-UTRAN </w:t>
            </w:r>
            <w:r w:rsidRPr="004D0DAA">
              <w:rPr>
                <w:lang w:eastAsia="en-US"/>
              </w:rPr>
              <w:t>CSG</w:t>
            </w:r>
            <w:r w:rsidRPr="004D0DAA">
              <w:rPr>
                <w:rFonts w:hint="eastAsia"/>
                <w:lang w:eastAsia="en-US"/>
              </w:rPr>
              <w:t xml:space="preserve"> </w:t>
            </w:r>
            <w:r w:rsidRPr="004D0DAA">
              <w:rPr>
                <w:lang w:eastAsia="en-US"/>
              </w:rPr>
              <w:t>Cells Reporting Description struct</w:t>
            </w:r>
            <w:r w:rsidRPr="004D0DAA">
              <w:rPr>
                <w:rFonts w:hint="eastAsia"/>
                <w:lang w:eastAsia="en-US"/>
              </w:rPr>
              <w:t xml:space="preserve"> &gt;&gt;</w:t>
            </w:r>
            <w:r w:rsidRPr="004D0DAA">
              <w:rPr>
                <w:lang w:eastAsia="en-US"/>
              </w:rPr>
              <w:t xml:space="preserve"> } </w:t>
            </w:r>
            <w:r w:rsidRPr="004D0DAA">
              <w:rPr>
                <w:rFonts w:hint="eastAsia"/>
                <w:lang w:eastAsia="en-US"/>
              </w:rPr>
              <w:t>;</w:t>
            </w:r>
          </w:p>
          <w:p w14:paraId="7AEFEB63" w14:textId="77777777" w:rsidR="00711444" w:rsidRPr="004D0DAA" w:rsidRDefault="00711444" w:rsidP="00AA2A4C">
            <w:pPr>
              <w:pStyle w:val="TAL"/>
              <w:rPr>
                <w:lang w:eastAsia="en-US"/>
              </w:rPr>
            </w:pPr>
          </w:p>
        </w:tc>
      </w:tr>
      <w:tr w:rsidR="00711444" w:rsidRPr="004D0DAA" w14:paraId="3CE21C38" w14:textId="77777777" w:rsidTr="00AA2A4C">
        <w:tblPrEx>
          <w:tblCellMar>
            <w:top w:w="0" w:type="dxa"/>
            <w:bottom w:w="0" w:type="dxa"/>
          </w:tblCellMar>
        </w:tblPrEx>
        <w:trPr>
          <w:cantSplit/>
        </w:trPr>
        <w:tc>
          <w:tcPr>
            <w:tcW w:w="9848" w:type="dxa"/>
            <w:tcBorders>
              <w:left w:val="single" w:sz="4" w:space="0" w:color="auto"/>
              <w:bottom w:val="nil"/>
              <w:right w:val="single" w:sz="4" w:space="0" w:color="auto"/>
            </w:tcBorders>
          </w:tcPr>
          <w:p w14:paraId="10E3FA92" w14:textId="77777777" w:rsidR="00711444" w:rsidRPr="004D0DAA" w:rsidRDefault="00711444" w:rsidP="00AA2A4C">
            <w:pPr>
              <w:pStyle w:val="TAL"/>
              <w:rPr>
                <w:rFonts w:hint="eastAsia"/>
                <w:lang w:eastAsia="en-US"/>
              </w:rPr>
            </w:pPr>
            <w:r w:rsidRPr="004D0DAA">
              <w:rPr>
                <w:rFonts w:hint="eastAsia"/>
                <w:lang w:eastAsia="en-US"/>
              </w:rPr>
              <w:t>&lt;</w:t>
            </w:r>
            <w:r w:rsidRPr="004D0DAA">
              <w:rPr>
                <w:lang w:eastAsia="en-US"/>
              </w:rPr>
              <w:t xml:space="preserve"> </w:t>
            </w:r>
            <w:r w:rsidRPr="004D0DAA">
              <w:rPr>
                <w:rFonts w:hint="eastAsia"/>
                <w:lang w:eastAsia="en-US"/>
              </w:rPr>
              <w:t xml:space="preserve">UTRAN </w:t>
            </w:r>
            <w:r w:rsidRPr="004D0DAA">
              <w:rPr>
                <w:lang w:eastAsia="en-US"/>
              </w:rPr>
              <w:t>CSG</w:t>
            </w:r>
            <w:r w:rsidRPr="004D0DAA">
              <w:rPr>
                <w:rFonts w:hint="eastAsia"/>
                <w:lang w:eastAsia="en-US"/>
              </w:rPr>
              <w:t xml:space="preserve"> </w:t>
            </w:r>
            <w:r w:rsidRPr="004D0DAA">
              <w:rPr>
                <w:lang w:eastAsia="en-US"/>
              </w:rPr>
              <w:t>Cells Reporting Description struct</w:t>
            </w:r>
            <w:r w:rsidRPr="004D0DAA">
              <w:rPr>
                <w:rFonts w:hint="eastAsia"/>
                <w:lang w:eastAsia="en-US"/>
              </w:rPr>
              <w:t xml:space="preserve"> &gt;</w:t>
            </w:r>
            <w:r w:rsidRPr="004D0DAA">
              <w:rPr>
                <w:lang w:eastAsia="en-US"/>
              </w:rPr>
              <w:t xml:space="preserve"> ::=</w:t>
            </w:r>
          </w:p>
          <w:p w14:paraId="151061CC" w14:textId="77777777" w:rsidR="00711444" w:rsidRPr="004D0DAA" w:rsidRDefault="00711444" w:rsidP="00AA2A4C">
            <w:pPr>
              <w:pStyle w:val="TAL"/>
              <w:rPr>
                <w:lang w:eastAsia="en-US"/>
              </w:rPr>
            </w:pPr>
            <w:r w:rsidRPr="004D0DAA">
              <w:rPr>
                <w:lang w:eastAsia="en-US"/>
              </w:rPr>
              <w:tab/>
            </w:r>
            <w:r w:rsidRPr="004D0DAA">
              <w:rPr>
                <w:rFonts w:hint="eastAsia"/>
                <w:lang w:eastAsia="en-US"/>
              </w:rPr>
              <w:t xml:space="preserve">{ </w:t>
            </w:r>
            <w:r w:rsidRPr="004D0DAA">
              <w:rPr>
                <w:lang w:eastAsia="en-US"/>
              </w:rPr>
              <w:t>0 | 1</w:t>
            </w:r>
            <w:r w:rsidRPr="004D0DAA">
              <w:rPr>
                <w:lang w:eastAsia="en-US"/>
              </w:rPr>
              <w:tab/>
            </w:r>
            <w:r w:rsidRPr="004D0DAA">
              <w:rPr>
                <w:rFonts w:hint="eastAsia"/>
                <w:lang w:eastAsia="en-US"/>
              </w:rPr>
              <w:t xml:space="preserve">&lt; </w:t>
            </w:r>
            <w:r w:rsidRPr="004D0DAA">
              <w:rPr>
                <w:rFonts w:hint="eastAsia"/>
                <w:b/>
                <w:lang w:eastAsia="en-US"/>
              </w:rPr>
              <w:t>UTRAN_CSG_FDD_REPORTING_THRESHOLD</w:t>
            </w:r>
            <w:r w:rsidRPr="004D0DAA">
              <w:rPr>
                <w:rFonts w:hint="eastAsia"/>
                <w:lang w:eastAsia="en-US"/>
              </w:rPr>
              <w:t xml:space="preserve"> : bit (3) &gt;</w:t>
            </w:r>
            <w:r w:rsidRPr="004D0DAA">
              <w:rPr>
                <w:lang w:eastAsia="en-US"/>
              </w:rPr>
              <w:t xml:space="preserve"> </w:t>
            </w:r>
          </w:p>
          <w:p w14:paraId="30848FC6" w14:textId="77777777" w:rsidR="00711444" w:rsidRPr="004D0DAA" w:rsidRDefault="00711444" w:rsidP="00AA2A4C">
            <w:pPr>
              <w:pStyle w:val="TAL"/>
              <w:rPr>
                <w:rFonts w:hint="eastAsia"/>
                <w:lang w:eastAsia="en-US"/>
              </w:rPr>
            </w:pPr>
            <w:r w:rsidRPr="004D0DAA">
              <w:rPr>
                <w:rFonts w:hint="eastAsia"/>
                <w:bCs/>
                <w:lang w:eastAsia="zh-CN"/>
              </w:rPr>
              <w:tab/>
            </w:r>
            <w:r w:rsidRPr="004D0DAA">
              <w:rPr>
                <w:bCs/>
                <w:lang w:eastAsia="zh-CN"/>
              </w:rPr>
              <w:tab/>
            </w:r>
            <w:r w:rsidRPr="004D0DAA">
              <w:rPr>
                <w:bCs/>
                <w:lang w:eastAsia="zh-CN"/>
              </w:rPr>
              <w:tab/>
            </w:r>
            <w:r w:rsidRPr="004D0DAA">
              <w:rPr>
                <w:rFonts w:hint="eastAsia"/>
                <w:lang w:eastAsia="zh-CN"/>
              </w:rPr>
              <w:t xml:space="preserve">&lt; </w:t>
            </w:r>
            <w:r w:rsidRPr="004D0DAA">
              <w:rPr>
                <w:rFonts w:hint="eastAsia"/>
                <w:b/>
                <w:lang w:eastAsia="zh-CN"/>
              </w:rPr>
              <w:t>UTRAN_CSG_FDD_REPORTING_THRESHOLD_2</w:t>
            </w:r>
            <w:r w:rsidRPr="004D0DAA">
              <w:rPr>
                <w:rFonts w:hint="eastAsia"/>
                <w:bCs/>
                <w:lang w:eastAsia="zh-CN"/>
              </w:rPr>
              <w:t xml:space="preserve"> : bit (6) &gt;</w:t>
            </w:r>
            <w:r w:rsidRPr="004D0DAA">
              <w:rPr>
                <w:bCs/>
                <w:lang w:eastAsia="zh-CN"/>
              </w:rPr>
              <w:t xml:space="preserve"> </w:t>
            </w:r>
            <w:r w:rsidRPr="004D0DAA">
              <w:rPr>
                <w:rFonts w:hint="eastAsia"/>
                <w:lang w:eastAsia="en-US"/>
              </w:rPr>
              <w:t>}</w:t>
            </w:r>
          </w:p>
          <w:p w14:paraId="688C6F67" w14:textId="77777777" w:rsidR="00711444" w:rsidRPr="004D0DAA" w:rsidRDefault="00711444" w:rsidP="00AA2A4C">
            <w:pPr>
              <w:pStyle w:val="TAL"/>
              <w:rPr>
                <w:rFonts w:hint="eastAsia"/>
                <w:lang w:eastAsia="en-US"/>
              </w:rPr>
            </w:pPr>
            <w:r w:rsidRPr="004D0DAA">
              <w:rPr>
                <w:lang w:eastAsia="en-US"/>
              </w:rPr>
              <w:tab/>
            </w:r>
            <w:r w:rsidRPr="004D0DAA">
              <w:rPr>
                <w:rFonts w:hint="eastAsia"/>
                <w:lang w:eastAsia="en-US"/>
              </w:rPr>
              <w:t xml:space="preserve">{ </w:t>
            </w:r>
            <w:r w:rsidRPr="004D0DAA">
              <w:rPr>
                <w:lang w:eastAsia="en-US"/>
              </w:rPr>
              <w:t>0 | 1</w:t>
            </w:r>
            <w:r w:rsidRPr="004D0DAA">
              <w:rPr>
                <w:lang w:eastAsia="en-US"/>
              </w:rPr>
              <w:tab/>
            </w:r>
            <w:r w:rsidRPr="004D0DAA">
              <w:rPr>
                <w:rFonts w:hint="eastAsia"/>
                <w:lang w:eastAsia="en-US"/>
              </w:rPr>
              <w:t xml:space="preserve">&lt; </w:t>
            </w:r>
            <w:r w:rsidRPr="004D0DAA">
              <w:rPr>
                <w:rFonts w:hint="eastAsia"/>
                <w:b/>
                <w:lang w:eastAsia="en-US"/>
              </w:rPr>
              <w:t>UTRAN_CSG_TDD_REPORTING_THRESHOLD</w:t>
            </w:r>
            <w:r w:rsidRPr="004D0DAA">
              <w:rPr>
                <w:rFonts w:hint="eastAsia"/>
                <w:lang w:eastAsia="en-US"/>
              </w:rPr>
              <w:t xml:space="preserve"> : bit (3) &gt;</w:t>
            </w:r>
            <w:r w:rsidRPr="004D0DAA">
              <w:rPr>
                <w:lang w:eastAsia="en-US"/>
              </w:rPr>
              <w:t xml:space="preserve"> </w:t>
            </w:r>
            <w:r w:rsidRPr="004D0DAA">
              <w:rPr>
                <w:rFonts w:hint="eastAsia"/>
                <w:lang w:eastAsia="en-US"/>
              </w:rPr>
              <w:t>}</w:t>
            </w:r>
            <w:r w:rsidRPr="004D0DAA">
              <w:rPr>
                <w:lang w:eastAsia="en-US"/>
              </w:rPr>
              <w:t xml:space="preserve"> </w:t>
            </w:r>
            <w:r w:rsidRPr="004D0DAA">
              <w:rPr>
                <w:rFonts w:hint="eastAsia"/>
                <w:lang w:eastAsia="en-US"/>
              </w:rPr>
              <w:t>;</w:t>
            </w:r>
          </w:p>
          <w:p w14:paraId="6E9A9F67" w14:textId="77777777" w:rsidR="00711444" w:rsidRPr="004D0DAA" w:rsidRDefault="00711444" w:rsidP="00AA2A4C">
            <w:pPr>
              <w:pStyle w:val="TAL"/>
              <w:rPr>
                <w:lang w:eastAsia="en-US"/>
              </w:rPr>
            </w:pPr>
          </w:p>
        </w:tc>
      </w:tr>
      <w:tr w:rsidR="00711444" w:rsidRPr="004D0DAA" w14:paraId="414E6D71" w14:textId="77777777" w:rsidTr="00AA2A4C">
        <w:tblPrEx>
          <w:tblCellMar>
            <w:top w:w="0" w:type="dxa"/>
            <w:bottom w:w="0" w:type="dxa"/>
          </w:tblCellMar>
        </w:tblPrEx>
        <w:trPr>
          <w:cantSplit/>
        </w:trPr>
        <w:tc>
          <w:tcPr>
            <w:tcW w:w="9848" w:type="dxa"/>
            <w:tcBorders>
              <w:top w:val="nil"/>
              <w:left w:val="single" w:sz="4" w:space="0" w:color="auto"/>
              <w:bottom w:val="single" w:sz="4" w:space="0" w:color="auto"/>
              <w:right w:val="single" w:sz="4" w:space="0" w:color="auto"/>
            </w:tcBorders>
          </w:tcPr>
          <w:p w14:paraId="4961561A" w14:textId="77777777" w:rsidR="00711444" w:rsidRPr="004D0DAA" w:rsidRDefault="00711444" w:rsidP="00AA2A4C">
            <w:pPr>
              <w:pStyle w:val="TAL"/>
              <w:rPr>
                <w:rFonts w:hint="eastAsia"/>
                <w:lang w:eastAsia="en-US"/>
              </w:rPr>
            </w:pPr>
            <w:r w:rsidRPr="004D0DAA">
              <w:rPr>
                <w:rFonts w:hint="eastAsia"/>
                <w:lang w:eastAsia="en-US"/>
              </w:rPr>
              <w:t>&lt;</w:t>
            </w:r>
            <w:r w:rsidRPr="004D0DAA">
              <w:rPr>
                <w:lang w:eastAsia="en-US"/>
              </w:rPr>
              <w:t xml:space="preserve"> </w:t>
            </w:r>
            <w:r w:rsidRPr="004D0DAA">
              <w:rPr>
                <w:rFonts w:hint="eastAsia"/>
                <w:lang w:eastAsia="en-US"/>
              </w:rPr>
              <w:t xml:space="preserve">E-UTRAN </w:t>
            </w:r>
            <w:r w:rsidRPr="004D0DAA">
              <w:rPr>
                <w:lang w:eastAsia="en-US"/>
              </w:rPr>
              <w:t>CSG</w:t>
            </w:r>
            <w:r w:rsidRPr="004D0DAA">
              <w:rPr>
                <w:rFonts w:hint="eastAsia"/>
                <w:lang w:eastAsia="en-US"/>
              </w:rPr>
              <w:t xml:space="preserve"> </w:t>
            </w:r>
            <w:r w:rsidRPr="004D0DAA">
              <w:rPr>
                <w:lang w:eastAsia="en-US"/>
              </w:rPr>
              <w:t>Cells Reporting Description struct</w:t>
            </w:r>
            <w:r w:rsidRPr="004D0DAA">
              <w:rPr>
                <w:rFonts w:hint="eastAsia"/>
                <w:lang w:eastAsia="en-US"/>
              </w:rPr>
              <w:t xml:space="preserve"> &gt;</w:t>
            </w:r>
            <w:r w:rsidRPr="004D0DAA">
              <w:rPr>
                <w:lang w:eastAsia="en-US"/>
              </w:rPr>
              <w:t xml:space="preserve"> ::=</w:t>
            </w:r>
          </w:p>
          <w:p w14:paraId="36310168" w14:textId="77777777" w:rsidR="00711444" w:rsidRPr="004D0DAA" w:rsidRDefault="00711444" w:rsidP="00AA2A4C">
            <w:pPr>
              <w:pStyle w:val="TAL"/>
              <w:rPr>
                <w:lang w:eastAsia="en-US"/>
              </w:rPr>
            </w:pPr>
            <w:r w:rsidRPr="004D0DAA">
              <w:rPr>
                <w:lang w:eastAsia="en-US"/>
              </w:rPr>
              <w:tab/>
            </w:r>
            <w:r w:rsidRPr="004D0DAA">
              <w:rPr>
                <w:rFonts w:hint="eastAsia"/>
                <w:lang w:eastAsia="en-US"/>
              </w:rPr>
              <w:t xml:space="preserve">{ </w:t>
            </w:r>
            <w:r w:rsidRPr="004D0DAA">
              <w:rPr>
                <w:lang w:eastAsia="en-US"/>
              </w:rPr>
              <w:t>0 | 1</w:t>
            </w:r>
            <w:r w:rsidRPr="004D0DAA">
              <w:rPr>
                <w:lang w:eastAsia="en-US"/>
              </w:rPr>
              <w:tab/>
            </w:r>
            <w:r w:rsidRPr="004D0DAA">
              <w:rPr>
                <w:rFonts w:hint="eastAsia"/>
                <w:lang w:eastAsia="en-US"/>
              </w:rPr>
              <w:t xml:space="preserve">&lt; </w:t>
            </w:r>
            <w:r w:rsidRPr="004D0DAA">
              <w:rPr>
                <w:rFonts w:hint="eastAsia"/>
                <w:b/>
                <w:lang w:eastAsia="en-US"/>
              </w:rPr>
              <w:t>E-UTRAN_CSG_FDD_REPORTING_THRESHOLD</w:t>
            </w:r>
            <w:r w:rsidRPr="004D0DAA">
              <w:rPr>
                <w:rFonts w:hint="eastAsia"/>
                <w:lang w:eastAsia="en-US"/>
              </w:rPr>
              <w:t xml:space="preserve"> : bit (3) &gt;</w:t>
            </w:r>
            <w:r w:rsidRPr="004D0DAA">
              <w:rPr>
                <w:lang w:eastAsia="en-US"/>
              </w:rPr>
              <w:t xml:space="preserve"> </w:t>
            </w:r>
          </w:p>
          <w:p w14:paraId="110FC415" w14:textId="77777777" w:rsidR="00711444" w:rsidRPr="004D0DAA" w:rsidRDefault="00711444" w:rsidP="00AA2A4C">
            <w:pPr>
              <w:pStyle w:val="TAL"/>
              <w:rPr>
                <w:rFonts w:hint="eastAsia"/>
                <w:lang w:eastAsia="en-US"/>
              </w:rPr>
            </w:pPr>
            <w:r w:rsidRPr="004D0DAA">
              <w:rPr>
                <w:rFonts w:hint="eastAsia"/>
                <w:bCs/>
                <w:lang w:eastAsia="zh-CN"/>
              </w:rPr>
              <w:tab/>
            </w:r>
            <w:r w:rsidRPr="004D0DAA">
              <w:rPr>
                <w:bCs/>
                <w:lang w:eastAsia="zh-CN"/>
              </w:rPr>
              <w:tab/>
            </w:r>
            <w:r w:rsidRPr="004D0DAA">
              <w:rPr>
                <w:bCs/>
                <w:lang w:eastAsia="zh-CN"/>
              </w:rPr>
              <w:tab/>
            </w:r>
            <w:r w:rsidRPr="004D0DAA">
              <w:rPr>
                <w:rFonts w:hint="eastAsia"/>
                <w:lang w:eastAsia="zh-CN"/>
              </w:rPr>
              <w:t xml:space="preserve">&lt; </w:t>
            </w:r>
            <w:r w:rsidRPr="004D0DAA">
              <w:rPr>
                <w:b/>
                <w:lang w:eastAsia="zh-CN"/>
              </w:rPr>
              <w:t>E-</w:t>
            </w:r>
            <w:r w:rsidRPr="004D0DAA">
              <w:rPr>
                <w:rFonts w:hint="eastAsia"/>
                <w:b/>
                <w:lang w:eastAsia="zh-CN"/>
              </w:rPr>
              <w:t>UTRAN_CSG_FDD_REPORTING_THRESHOLD_2</w:t>
            </w:r>
            <w:r w:rsidRPr="004D0DAA">
              <w:rPr>
                <w:rFonts w:hint="eastAsia"/>
                <w:bCs/>
                <w:lang w:eastAsia="zh-CN"/>
              </w:rPr>
              <w:t xml:space="preserve"> : bit (6) &gt;</w:t>
            </w:r>
            <w:r w:rsidRPr="004D0DAA">
              <w:rPr>
                <w:bCs/>
                <w:lang w:eastAsia="zh-CN"/>
              </w:rPr>
              <w:t xml:space="preserve"> </w:t>
            </w:r>
            <w:r w:rsidRPr="004D0DAA">
              <w:rPr>
                <w:rFonts w:hint="eastAsia"/>
                <w:lang w:eastAsia="en-US"/>
              </w:rPr>
              <w:t>}</w:t>
            </w:r>
          </w:p>
          <w:p w14:paraId="24E2102E" w14:textId="77777777" w:rsidR="00711444" w:rsidRPr="004D0DAA" w:rsidRDefault="00711444" w:rsidP="00AA2A4C">
            <w:pPr>
              <w:pStyle w:val="TAL"/>
              <w:rPr>
                <w:lang w:eastAsia="en-US"/>
              </w:rPr>
            </w:pPr>
            <w:r w:rsidRPr="004D0DAA">
              <w:rPr>
                <w:lang w:eastAsia="en-US"/>
              </w:rPr>
              <w:tab/>
            </w:r>
            <w:r w:rsidRPr="004D0DAA">
              <w:rPr>
                <w:rFonts w:hint="eastAsia"/>
                <w:lang w:eastAsia="en-US"/>
              </w:rPr>
              <w:t xml:space="preserve">{ </w:t>
            </w:r>
            <w:r w:rsidRPr="004D0DAA">
              <w:rPr>
                <w:lang w:eastAsia="en-US"/>
              </w:rPr>
              <w:t>0 | 1</w:t>
            </w:r>
            <w:r w:rsidRPr="004D0DAA">
              <w:rPr>
                <w:lang w:eastAsia="en-US"/>
              </w:rPr>
              <w:tab/>
            </w:r>
            <w:r w:rsidRPr="004D0DAA">
              <w:rPr>
                <w:rFonts w:hint="eastAsia"/>
                <w:lang w:eastAsia="en-US"/>
              </w:rPr>
              <w:t xml:space="preserve">&lt; </w:t>
            </w:r>
            <w:r w:rsidRPr="004D0DAA">
              <w:rPr>
                <w:rFonts w:hint="eastAsia"/>
                <w:b/>
                <w:lang w:eastAsia="en-US"/>
              </w:rPr>
              <w:t>E-UTRAN_CSG_TDD_REPORTING_THRESHOLD</w:t>
            </w:r>
            <w:r w:rsidRPr="004D0DAA">
              <w:rPr>
                <w:rFonts w:hint="eastAsia"/>
                <w:lang w:eastAsia="en-US"/>
              </w:rPr>
              <w:t xml:space="preserve"> : bit (3) &gt;</w:t>
            </w:r>
            <w:r w:rsidRPr="004D0DAA">
              <w:rPr>
                <w:lang w:eastAsia="en-US"/>
              </w:rPr>
              <w:t xml:space="preserve"> </w:t>
            </w:r>
          </w:p>
          <w:p w14:paraId="0F93712E" w14:textId="77777777" w:rsidR="00711444" w:rsidRPr="004D0DAA" w:rsidRDefault="00711444" w:rsidP="00AA2A4C">
            <w:pPr>
              <w:pStyle w:val="TAL"/>
              <w:rPr>
                <w:rFonts w:hint="eastAsia"/>
                <w:lang w:eastAsia="en-US"/>
              </w:rPr>
            </w:pPr>
            <w:r w:rsidRPr="004D0DAA">
              <w:rPr>
                <w:rFonts w:hint="eastAsia"/>
                <w:bCs/>
                <w:lang w:eastAsia="zh-CN"/>
              </w:rPr>
              <w:tab/>
            </w:r>
            <w:r w:rsidRPr="004D0DAA">
              <w:rPr>
                <w:bCs/>
                <w:lang w:eastAsia="zh-CN"/>
              </w:rPr>
              <w:tab/>
            </w:r>
            <w:r w:rsidRPr="004D0DAA">
              <w:rPr>
                <w:bCs/>
                <w:lang w:eastAsia="zh-CN"/>
              </w:rPr>
              <w:tab/>
            </w:r>
            <w:r w:rsidRPr="004D0DAA">
              <w:rPr>
                <w:rFonts w:hint="eastAsia"/>
                <w:lang w:eastAsia="zh-CN"/>
              </w:rPr>
              <w:t xml:space="preserve">&lt; </w:t>
            </w:r>
            <w:r w:rsidRPr="004D0DAA">
              <w:rPr>
                <w:b/>
                <w:lang w:eastAsia="zh-CN"/>
              </w:rPr>
              <w:t>E-</w:t>
            </w:r>
            <w:r w:rsidRPr="004D0DAA">
              <w:rPr>
                <w:rFonts w:hint="eastAsia"/>
                <w:b/>
                <w:lang w:eastAsia="zh-CN"/>
              </w:rPr>
              <w:t>UTRAN_CSG_</w:t>
            </w:r>
            <w:r w:rsidRPr="004D0DAA">
              <w:rPr>
                <w:b/>
                <w:lang w:eastAsia="zh-CN"/>
              </w:rPr>
              <w:t>T</w:t>
            </w:r>
            <w:r w:rsidRPr="004D0DAA">
              <w:rPr>
                <w:rFonts w:hint="eastAsia"/>
                <w:b/>
                <w:lang w:eastAsia="zh-CN"/>
              </w:rPr>
              <w:t>DD_REPORTING_THRESHOLD_2</w:t>
            </w:r>
            <w:r w:rsidRPr="004D0DAA">
              <w:rPr>
                <w:rFonts w:hint="eastAsia"/>
                <w:bCs/>
                <w:lang w:eastAsia="zh-CN"/>
              </w:rPr>
              <w:t xml:space="preserve"> : bit (6) &gt;</w:t>
            </w:r>
            <w:r w:rsidRPr="004D0DAA">
              <w:rPr>
                <w:bCs/>
                <w:lang w:eastAsia="zh-CN"/>
              </w:rPr>
              <w:t xml:space="preserve"> </w:t>
            </w:r>
            <w:r w:rsidRPr="004D0DAA">
              <w:rPr>
                <w:rFonts w:hint="eastAsia"/>
                <w:lang w:eastAsia="en-US"/>
              </w:rPr>
              <w:t>}</w:t>
            </w:r>
            <w:r w:rsidRPr="004D0DAA">
              <w:rPr>
                <w:lang w:eastAsia="en-US"/>
              </w:rPr>
              <w:t xml:space="preserve"> </w:t>
            </w:r>
            <w:r w:rsidRPr="004D0DAA">
              <w:rPr>
                <w:rFonts w:hint="eastAsia"/>
                <w:lang w:eastAsia="en-US"/>
              </w:rPr>
              <w:t>;</w:t>
            </w:r>
          </w:p>
          <w:p w14:paraId="2669BB98" w14:textId="77777777" w:rsidR="00711444" w:rsidRPr="004D0DAA" w:rsidRDefault="00711444" w:rsidP="00AA2A4C">
            <w:pPr>
              <w:pStyle w:val="TAL"/>
              <w:rPr>
                <w:lang w:eastAsia="en-US"/>
              </w:rPr>
            </w:pPr>
          </w:p>
        </w:tc>
      </w:tr>
    </w:tbl>
    <w:p w14:paraId="78C95CDE" w14:textId="77777777" w:rsidR="00711444" w:rsidRPr="004D0DAA" w:rsidRDefault="00711444" w:rsidP="00711444"/>
    <w:p w14:paraId="5FFCA22A" w14:textId="77777777" w:rsidR="00711444" w:rsidRPr="004D0DAA" w:rsidRDefault="00711444" w:rsidP="00711444">
      <w:pPr>
        <w:pStyle w:val="TH"/>
      </w:pPr>
      <w:r w:rsidRPr="004D0DAA">
        <w:t>Table 11.2.9b.2 : Packet Measurement Order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gridCol w:w="7"/>
      </w:tblGrid>
      <w:tr w:rsidR="00711444" w:rsidRPr="004D0DAA" w14:paraId="1B93FF41" w14:textId="77777777" w:rsidTr="00AA2A4C">
        <w:tblPrEx>
          <w:tblCellMar>
            <w:top w:w="0" w:type="dxa"/>
            <w:bottom w:w="0" w:type="dxa"/>
          </w:tblCellMar>
        </w:tblPrEx>
        <w:trPr>
          <w:gridAfter w:val="1"/>
          <w:wAfter w:w="7" w:type="dxa"/>
          <w:cantSplit/>
        </w:trPr>
        <w:tc>
          <w:tcPr>
            <w:tcW w:w="9848" w:type="dxa"/>
          </w:tcPr>
          <w:p w14:paraId="79E60649" w14:textId="77777777" w:rsidR="00711444" w:rsidRPr="004D0DAA" w:rsidRDefault="00711444" w:rsidP="00AA2A4C">
            <w:r w:rsidRPr="004D0DAA">
              <w:t>The Packet Measurement Order message contains measurement parameters either for Network Control measurements If parameters for the NC measurements are not included, a previous Packet Measurement Order message belonging to the same set of messages shall still be valid.</w:t>
            </w:r>
          </w:p>
          <w:p w14:paraId="088C2758" w14:textId="77777777" w:rsidR="00711444" w:rsidRPr="004D0DAA" w:rsidRDefault="00711444" w:rsidP="00AA2A4C">
            <w:r w:rsidRPr="004D0DAA">
              <w:t xml:space="preserve">The 'NC measurement parameters struct' contains the Network Control Order, the NC parameters and an NC Frequency List struct. If the value of the Network Control Order or any of the NC parameters differs between instances of the message, the value of the parameter in the instance with the highest PMO_INDEX shall be valid and all others shall be ignored. </w:t>
            </w:r>
          </w:p>
          <w:p w14:paraId="03CE0229" w14:textId="77777777" w:rsidR="00711444" w:rsidRPr="004D0DAA" w:rsidRDefault="00711444" w:rsidP="00AA2A4C">
            <w:r w:rsidRPr="004D0DAA">
              <w:t>If included the NC Frequency List struct is a deviation list which contains removed or added frequencies to the BA(GPRS) list (see 3GPP TS 45.008). The building of the resulting GSM Neighbour Cell list is defined in sub-clause 5.6.3.2.</w:t>
            </w:r>
          </w:p>
          <w:p w14:paraId="1135924C" w14:textId="77777777" w:rsidR="00711444" w:rsidRPr="004D0DAA" w:rsidRDefault="00711444" w:rsidP="00AA2A4C">
            <w:r w:rsidRPr="004D0DAA">
              <w:t>The 'LSA parameters IE' contains a list of LSA_ID(s) corresponding to the entries in the 'Add Frequency list struct'. Some entries in 'LSA parameters IE' may be empty. The entries in the two structures are listed in the same order and the number of entries (nr_of_frequencies) should be the same. In case there are too few entries in the 'LSA parameters IE', empty entries shall be added at the end. In case there are too many entries in the 'LSA parameters IE', the last shall be discarded. The 'LSA parameters IE' is defined in sub-clause 12.28.</w:t>
            </w:r>
          </w:p>
          <w:p w14:paraId="4F3A3850" w14:textId="77777777" w:rsidR="00711444" w:rsidRPr="004D0DAA" w:rsidRDefault="00711444" w:rsidP="00AA2A4C">
            <w:r w:rsidRPr="004D0DAA">
              <w:t>The 'ENH Measurement parameters structure' contains information for performing enhanced measurements and reporting the measurement with the PACKET MEASUREMENT REPORT or PACKET ENHANCED MEASUREMENT REPORT message. For a 3G multi-RAT mobile station it may also include information for reporting on 3G Cells.</w:t>
            </w:r>
          </w:p>
          <w:p w14:paraId="078F3294" w14:textId="77777777" w:rsidR="00711444" w:rsidRPr="004D0DAA" w:rsidRDefault="00711444" w:rsidP="00AA2A4C">
            <w:r w:rsidRPr="004D0DAA">
              <w:rPr>
                <w:b/>
              </w:rPr>
              <w:t>PAGE_MODE</w:t>
            </w:r>
            <w:r w:rsidRPr="004D0DAA">
              <w:t xml:space="preserve"> (2 bit field)</w:t>
            </w:r>
            <w:r w:rsidRPr="004D0DAA">
              <w:br/>
              <w:t>This field is defined in sub-clause 12.20.</w:t>
            </w:r>
          </w:p>
        </w:tc>
      </w:tr>
      <w:tr w:rsidR="00711444" w:rsidRPr="004D0DAA" w14:paraId="2541C35F" w14:textId="77777777" w:rsidTr="00AA2A4C">
        <w:tblPrEx>
          <w:tblCellMar>
            <w:top w:w="0" w:type="dxa"/>
            <w:bottom w:w="0" w:type="dxa"/>
          </w:tblCellMar>
        </w:tblPrEx>
        <w:trPr>
          <w:gridAfter w:val="1"/>
          <w:wAfter w:w="7" w:type="dxa"/>
          <w:cantSplit/>
        </w:trPr>
        <w:tc>
          <w:tcPr>
            <w:tcW w:w="9848" w:type="dxa"/>
          </w:tcPr>
          <w:p w14:paraId="17B42FE4" w14:textId="77777777" w:rsidR="00711444" w:rsidRPr="004D0DAA" w:rsidRDefault="00711444" w:rsidP="00AA2A4C">
            <w:r w:rsidRPr="004D0DAA">
              <w:rPr>
                <w:b/>
              </w:rPr>
              <w:lastRenderedPageBreak/>
              <w:t>PMO_INDEX</w:t>
            </w:r>
            <w:r w:rsidRPr="004D0DAA">
              <w:t xml:space="preserve"> (3 bit field) and </w:t>
            </w:r>
            <w:r w:rsidRPr="004D0DAA">
              <w:rPr>
                <w:b/>
              </w:rPr>
              <w:t>PMO_COUNT</w:t>
            </w:r>
            <w:r w:rsidRPr="004D0DAA">
              <w:t xml:space="preserve"> (3 bit field)</w:t>
            </w:r>
            <w:r w:rsidRPr="004D0DAA">
              <w:br/>
              <w:t>The purpose of the PMO_INDEX field and the PMO_COUNT field is to indicate the number of individual messages within the sequence of Packet Measurement Order messages and to assign an index to identify each one of them. The PMO_INDEX field is binary coded, range: 0 to 7, and provides an index to identify the individual Packet Measurement Order message. The PMO_COUNT field is binary coded, range: 0 to 7, and provides the PMO_INDEX value for the last (highest indexed) message in the sequence of Packet Measurement Order messages. A measurement order shall not be effected by the mobile station until all instances of a Packet Measurement Order message is received.</w:t>
            </w:r>
          </w:p>
          <w:p w14:paraId="769DF80B" w14:textId="77777777" w:rsidR="00711444" w:rsidRPr="004D0DAA" w:rsidRDefault="00711444" w:rsidP="00AA2A4C">
            <w:r w:rsidRPr="004D0DAA">
              <w:rPr>
                <w:b/>
              </w:rPr>
              <w:t>Global TFI</w:t>
            </w:r>
            <w:r w:rsidRPr="004D0DAA">
              <w:br/>
              <w:t>If present, this information element indicates the mobile station to which this message is addressed. This field is defined in sub-clause 12.10.</w:t>
            </w:r>
          </w:p>
        </w:tc>
      </w:tr>
      <w:tr w:rsidR="00711444" w:rsidRPr="004D0DAA" w14:paraId="602086C3" w14:textId="77777777" w:rsidTr="00AA2A4C">
        <w:tblPrEx>
          <w:tblCellMar>
            <w:top w:w="0" w:type="dxa"/>
            <w:bottom w:w="0" w:type="dxa"/>
          </w:tblCellMar>
        </w:tblPrEx>
        <w:trPr>
          <w:gridAfter w:val="1"/>
          <w:wAfter w:w="7" w:type="dxa"/>
          <w:cantSplit/>
        </w:trPr>
        <w:tc>
          <w:tcPr>
            <w:tcW w:w="9848" w:type="dxa"/>
          </w:tcPr>
          <w:p w14:paraId="66F0D346" w14:textId="77777777" w:rsidR="00711444" w:rsidRPr="004D0DAA" w:rsidRDefault="00711444" w:rsidP="00AA2A4C">
            <w:r w:rsidRPr="004D0DAA">
              <w:rPr>
                <w:b/>
              </w:rPr>
              <w:t>TLLI / G-RNTI</w:t>
            </w:r>
            <w:r w:rsidRPr="004D0DAA">
              <w:t xml:space="preserve"> (32 bit field)</w:t>
            </w:r>
            <w:r w:rsidRPr="004D0DAA">
              <w:br/>
              <w:t>If present, this field indicates the mobile station to which this message is addressed. This field is defined in sub-clause 12.16.</w:t>
            </w:r>
          </w:p>
          <w:p w14:paraId="3FE6145F" w14:textId="77777777" w:rsidR="00711444" w:rsidRPr="004D0DAA" w:rsidRDefault="00711444" w:rsidP="00AA2A4C">
            <w:r w:rsidRPr="004D0DAA">
              <w:rPr>
                <w:b/>
              </w:rPr>
              <w:t xml:space="preserve">CCN_ACTIVE </w:t>
            </w:r>
            <w:r w:rsidRPr="004D0DAA">
              <w:t>(1 bit field)</w:t>
            </w:r>
            <w:r w:rsidRPr="004D0DAA">
              <w:br/>
              <w:t>This field indicates whether CCN is enabled in the serving cell for the mobile station when reselecting to a GSM cell. It is coded as follows:</w:t>
            </w:r>
            <w:r w:rsidRPr="004D0DAA">
              <w:br/>
              <w:t>0</w:t>
            </w:r>
            <w:r w:rsidRPr="004D0DAA">
              <w:tab/>
              <w:t xml:space="preserve">The broadcast CCN_ACTIVE parameter shall apply if available. Otherwise CCN is disabled in the cell for the mobile station when reselecting to a GSM cell. </w:t>
            </w:r>
            <w:r w:rsidRPr="004D0DAA">
              <w:br/>
              <w:t>1</w:t>
            </w:r>
            <w:r w:rsidRPr="004D0DAA">
              <w:tab/>
              <w:t>CCN is enabled in the cell for the mobile station when reselecting to a GSM cell.</w:t>
            </w:r>
          </w:p>
          <w:p w14:paraId="78A86895" w14:textId="77777777" w:rsidR="00711444" w:rsidRPr="004D0DAA" w:rsidRDefault="00711444" w:rsidP="00AA2A4C">
            <w:r w:rsidRPr="004D0DAA">
              <w:t>The NC Measurement Parameters gives the parameters for the serving cell and may contain frequency list deviations (add/delete) to the BA(GPRS) either on PBCCH or on BCCH.</w:t>
            </w:r>
          </w:p>
          <w:p w14:paraId="6FC127CB" w14:textId="77777777" w:rsidR="00711444" w:rsidRPr="004D0DAA" w:rsidRDefault="00711444" w:rsidP="00AA2A4C">
            <w:r w:rsidRPr="004D0DAA">
              <w:t xml:space="preserve">The </w:t>
            </w:r>
            <w:r w:rsidRPr="004D0DAA">
              <w:rPr>
                <w:b/>
              </w:rPr>
              <w:t>NC_Measurement_Parameters struct</w:t>
            </w:r>
            <w:r w:rsidRPr="004D0DAA">
              <w:t xml:space="preserve"> contains the NETWORK_CONTROL_ORDER and the optional parameters NC_NON_DRX_PERIOD, NC_REPORTING_PERIOD_I, NC_REPORTING_PERIOD_T and the NC_FREQUENCY LIST.</w:t>
            </w:r>
          </w:p>
        </w:tc>
      </w:tr>
      <w:tr w:rsidR="00711444" w:rsidRPr="004D0DAA" w14:paraId="20E9C471" w14:textId="77777777" w:rsidTr="00AA2A4C">
        <w:tblPrEx>
          <w:tblCellMar>
            <w:top w:w="0" w:type="dxa"/>
            <w:bottom w:w="0" w:type="dxa"/>
          </w:tblCellMar>
        </w:tblPrEx>
        <w:trPr>
          <w:gridAfter w:val="1"/>
          <w:wAfter w:w="7" w:type="dxa"/>
          <w:cantSplit/>
        </w:trPr>
        <w:tc>
          <w:tcPr>
            <w:tcW w:w="9848" w:type="dxa"/>
          </w:tcPr>
          <w:p w14:paraId="5ADED5F5" w14:textId="77777777" w:rsidR="00711444" w:rsidRPr="004D0DAA" w:rsidRDefault="00711444" w:rsidP="00AA2A4C">
            <w:r w:rsidRPr="004D0DAA">
              <w:rPr>
                <w:b/>
              </w:rPr>
              <w:t>NETWORK_CONTROL_ORDER</w:t>
            </w:r>
            <w:r w:rsidRPr="004D0DAA">
              <w:t xml:space="preserve"> (2 bit field)</w:t>
            </w:r>
            <w:r w:rsidRPr="004D0DAA">
              <w:br/>
              <w:t>The NETWORK_CONTROL_ORDER field is coded according to the following table (for definition of NCx see 3GPP TS 45.008):</w:t>
            </w:r>
          </w:p>
          <w:p w14:paraId="31C30028" w14:textId="77777777" w:rsidR="00711444" w:rsidRPr="004D0DAA" w:rsidRDefault="00711444" w:rsidP="00AA2A4C">
            <w:pPr>
              <w:tabs>
                <w:tab w:val="left" w:pos="567"/>
              </w:tabs>
            </w:pPr>
            <w:r w:rsidRPr="004D0DAA">
              <w:t>Bit</w:t>
            </w:r>
            <w:r w:rsidRPr="004D0DAA">
              <w:br/>
              <w:t>2 1</w:t>
            </w:r>
            <w:r w:rsidRPr="004D0DAA">
              <w:br/>
              <w:t>0 0</w:t>
            </w:r>
            <w:r w:rsidRPr="004D0DAA">
              <w:tab/>
              <w:t xml:space="preserve">NC0 </w:t>
            </w:r>
            <w:r w:rsidRPr="004D0DAA">
              <w:br/>
              <w:t>0 1</w:t>
            </w:r>
            <w:r w:rsidRPr="004D0DAA">
              <w:tab/>
              <w:t xml:space="preserve">NC1 </w:t>
            </w:r>
            <w:r w:rsidRPr="004D0DAA">
              <w:br/>
              <w:t>1 0</w:t>
            </w:r>
            <w:r w:rsidRPr="004D0DAA">
              <w:tab/>
              <w:t xml:space="preserve">NC2 </w:t>
            </w:r>
            <w:r w:rsidRPr="004D0DAA">
              <w:br/>
              <w:t>1 1</w:t>
            </w:r>
            <w:r w:rsidRPr="004D0DAA">
              <w:tab/>
              <w:t>RESET</w:t>
            </w:r>
          </w:p>
        </w:tc>
      </w:tr>
      <w:tr w:rsidR="00711444" w:rsidRPr="004D0DAA" w14:paraId="06E48B8D" w14:textId="77777777" w:rsidTr="00AA2A4C">
        <w:tblPrEx>
          <w:tblCellMar>
            <w:top w:w="0" w:type="dxa"/>
            <w:bottom w:w="0" w:type="dxa"/>
          </w:tblCellMar>
        </w:tblPrEx>
        <w:trPr>
          <w:gridAfter w:val="1"/>
          <w:wAfter w:w="7" w:type="dxa"/>
          <w:cantSplit/>
        </w:trPr>
        <w:tc>
          <w:tcPr>
            <w:tcW w:w="9848" w:type="dxa"/>
          </w:tcPr>
          <w:p w14:paraId="4321E896" w14:textId="77777777" w:rsidR="00711444" w:rsidRPr="004D0DAA" w:rsidRDefault="00711444" w:rsidP="00AA2A4C">
            <w:r w:rsidRPr="004D0DAA">
              <w:rPr>
                <w:b/>
              </w:rPr>
              <w:t>NC_NON_DRX_PERIOD</w:t>
            </w:r>
            <w:r w:rsidRPr="004D0DAA">
              <w:t xml:space="preserve"> (3 bit field)</w:t>
            </w:r>
            <w:r w:rsidRPr="004D0DAA">
              <w:br/>
            </w:r>
            <w:r w:rsidRPr="004D0DAA">
              <w:rPr>
                <w:b/>
              </w:rPr>
              <w:t>NC_REPORTING_PERIOD_I</w:t>
            </w:r>
            <w:r w:rsidRPr="004D0DAA">
              <w:t xml:space="preserve"> (3 bit field)</w:t>
            </w:r>
            <w:r w:rsidRPr="004D0DAA">
              <w:br/>
            </w:r>
            <w:r w:rsidRPr="004D0DAA">
              <w:rPr>
                <w:b/>
              </w:rPr>
              <w:t>NC_REPORTING_PERIOD_T</w:t>
            </w:r>
            <w:r w:rsidRPr="004D0DAA">
              <w:t xml:space="preserve"> (3 bit field)</w:t>
            </w:r>
            <w:r w:rsidRPr="004D0DAA">
              <w:br/>
              <w:t>For detailed element definitions, see the PSI5 message.</w:t>
            </w:r>
          </w:p>
        </w:tc>
      </w:tr>
      <w:tr w:rsidR="00711444" w:rsidRPr="004D0DAA" w14:paraId="558C651A" w14:textId="77777777" w:rsidTr="00AA2A4C">
        <w:tblPrEx>
          <w:tblCellMar>
            <w:top w:w="0" w:type="dxa"/>
            <w:bottom w:w="0" w:type="dxa"/>
          </w:tblCellMar>
        </w:tblPrEx>
        <w:trPr>
          <w:gridAfter w:val="1"/>
          <w:wAfter w:w="7" w:type="dxa"/>
          <w:cantSplit/>
        </w:trPr>
        <w:tc>
          <w:tcPr>
            <w:tcW w:w="9848" w:type="dxa"/>
          </w:tcPr>
          <w:p w14:paraId="08CA5786" w14:textId="77777777" w:rsidR="00711444" w:rsidRPr="004D0DAA" w:rsidRDefault="00711444" w:rsidP="00AA2A4C">
            <w:r w:rsidRPr="004D0DAA">
              <w:rPr>
                <w:b/>
              </w:rPr>
              <w:t>NR_OF_REMOVED_FREQ</w:t>
            </w:r>
            <w:r w:rsidRPr="004D0DAA">
              <w:t xml:space="preserve"> (5 bit field)</w:t>
            </w:r>
            <w:r w:rsidRPr="004D0DAA">
              <w:br/>
              <w:t xml:space="preserve">1+val(NR_OF_REMOVED_FREQ) indicates the number of frequencies in the BA-list which shall not be used for NC-measurements and gives the number of instances of the parameter REMOVED_FREQ_INDEX. </w:t>
            </w:r>
            <w:r w:rsidRPr="004D0DAA">
              <w:br/>
              <w:t>Range of NR_OF_REMOVED_FREQ: 0 to 31.</w:t>
            </w:r>
          </w:p>
        </w:tc>
      </w:tr>
      <w:tr w:rsidR="00711444" w:rsidRPr="004D0DAA" w14:paraId="1F1A90A8" w14:textId="77777777" w:rsidTr="00AA2A4C">
        <w:tblPrEx>
          <w:tblCellMar>
            <w:top w:w="0" w:type="dxa"/>
            <w:bottom w:w="0" w:type="dxa"/>
          </w:tblCellMar>
        </w:tblPrEx>
        <w:trPr>
          <w:gridAfter w:val="1"/>
          <w:wAfter w:w="7" w:type="dxa"/>
          <w:cantSplit/>
        </w:trPr>
        <w:tc>
          <w:tcPr>
            <w:tcW w:w="9848" w:type="dxa"/>
          </w:tcPr>
          <w:p w14:paraId="060F83D8" w14:textId="77777777" w:rsidR="00711444" w:rsidRPr="004D0DAA" w:rsidRDefault="00711444" w:rsidP="00AA2A4C">
            <w:r w:rsidRPr="004D0DAA">
              <w:rPr>
                <w:b/>
              </w:rPr>
              <w:t>REMOVED_FREQ_INDEX</w:t>
            </w:r>
            <w:r w:rsidRPr="004D0DAA">
              <w:t xml:space="preserve"> (6 bit field)</w:t>
            </w:r>
            <w:r w:rsidRPr="004D0DAA">
              <w:br/>
              <w:t xml:space="preserve">This field indicates the index to the frequency to be removed in the BA(GPRS) sent on PBCCH or on BCCH, see sub-clause 5.6.3.2. </w:t>
            </w:r>
            <w:r w:rsidRPr="004D0DAA">
              <w:br/>
              <w:t>Range: 0 to 63.</w:t>
            </w:r>
          </w:p>
          <w:p w14:paraId="1C41B071" w14:textId="77777777" w:rsidR="00711444" w:rsidRPr="004D0DAA" w:rsidRDefault="00711444" w:rsidP="00AA2A4C">
            <w:r w:rsidRPr="004D0DAA">
              <w:t>Add Frequency list struct contains the frequency list for NC measurements.</w:t>
            </w:r>
          </w:p>
        </w:tc>
      </w:tr>
      <w:tr w:rsidR="00711444" w:rsidRPr="004D0DAA" w14:paraId="10B7EC9B" w14:textId="77777777" w:rsidTr="00AA2A4C">
        <w:tblPrEx>
          <w:tblCellMar>
            <w:top w:w="0" w:type="dxa"/>
            <w:bottom w:w="0" w:type="dxa"/>
          </w:tblCellMar>
        </w:tblPrEx>
        <w:trPr>
          <w:gridAfter w:val="1"/>
          <w:wAfter w:w="7" w:type="dxa"/>
          <w:cantSplit/>
        </w:trPr>
        <w:tc>
          <w:tcPr>
            <w:tcW w:w="9848" w:type="dxa"/>
          </w:tcPr>
          <w:p w14:paraId="592C39F2" w14:textId="77777777" w:rsidR="00711444" w:rsidRPr="004D0DAA" w:rsidRDefault="00711444" w:rsidP="00AA2A4C">
            <w:r w:rsidRPr="004D0DAA">
              <w:rPr>
                <w:b/>
              </w:rPr>
              <w:t>START_FREQUENCY</w:t>
            </w:r>
            <w:r w:rsidRPr="004D0DAA">
              <w:t xml:space="preserve"> (10 bit field)</w:t>
            </w:r>
            <w:r w:rsidRPr="004D0DAA">
              <w:br/>
            </w:r>
            <w:r w:rsidRPr="004D0DAA">
              <w:rPr>
                <w:b/>
              </w:rPr>
              <w:t>FREQ_DIFF_LENGTH</w:t>
            </w:r>
            <w:r w:rsidRPr="004D0DAA">
              <w:t xml:space="preserve"> (3 bit field)</w:t>
            </w:r>
            <w:r w:rsidRPr="004D0DAA">
              <w:br/>
            </w:r>
            <w:r w:rsidRPr="004D0DAA">
              <w:rPr>
                <w:b/>
              </w:rPr>
              <w:t>FREQUENCY_DIFF</w:t>
            </w:r>
            <w:r w:rsidRPr="004D0DAA">
              <w:t xml:space="preserve"> (1+val(FREQ_DIFF_LENGTH) bit field)</w:t>
            </w:r>
            <w:r w:rsidRPr="004D0DAA">
              <w:br/>
              <w:t>For detailed element definition of these parameters, see the PSI5 message.</w:t>
            </w:r>
          </w:p>
        </w:tc>
      </w:tr>
      <w:tr w:rsidR="00711444" w:rsidRPr="004D0DAA" w14:paraId="4CA537B0" w14:textId="77777777" w:rsidTr="00AA2A4C">
        <w:tblPrEx>
          <w:tblCellMar>
            <w:top w:w="0" w:type="dxa"/>
            <w:bottom w:w="0" w:type="dxa"/>
          </w:tblCellMar>
        </w:tblPrEx>
        <w:trPr>
          <w:gridAfter w:val="1"/>
          <w:wAfter w:w="7" w:type="dxa"/>
          <w:cantSplit/>
        </w:trPr>
        <w:tc>
          <w:tcPr>
            <w:tcW w:w="9848" w:type="dxa"/>
          </w:tcPr>
          <w:p w14:paraId="7AFCBB2A" w14:textId="77777777" w:rsidR="00711444" w:rsidRPr="004D0DAA" w:rsidRDefault="00711444" w:rsidP="00AA2A4C">
            <w:r w:rsidRPr="004D0DAA">
              <w:rPr>
                <w:b/>
              </w:rPr>
              <w:lastRenderedPageBreak/>
              <w:t>BSIC</w:t>
            </w:r>
            <w:r w:rsidRPr="004D0DAA">
              <w:t xml:space="preserve"> (6 bit field)</w:t>
            </w:r>
            <w:r w:rsidRPr="004D0DAA">
              <w:br/>
              <w:t>This field is encoded as the 'Base Station Identity Code' defined in 3GPP TS 23.003.</w:t>
            </w:r>
            <w:r w:rsidRPr="004D0DAA">
              <w:br/>
              <w:t>Range 0 to 63</w:t>
            </w:r>
          </w:p>
        </w:tc>
      </w:tr>
      <w:tr w:rsidR="00711444" w:rsidRPr="004D0DAA" w14:paraId="7A76077B" w14:textId="77777777" w:rsidTr="00AA2A4C">
        <w:tblPrEx>
          <w:tblCellMar>
            <w:top w:w="0" w:type="dxa"/>
            <w:bottom w:w="0" w:type="dxa"/>
          </w:tblCellMar>
        </w:tblPrEx>
        <w:trPr>
          <w:gridAfter w:val="1"/>
          <w:wAfter w:w="7" w:type="dxa"/>
          <w:cantSplit/>
        </w:trPr>
        <w:tc>
          <w:tcPr>
            <w:tcW w:w="9848" w:type="dxa"/>
          </w:tcPr>
          <w:p w14:paraId="79563779" w14:textId="77777777" w:rsidR="00711444" w:rsidRPr="004D0DAA" w:rsidRDefault="00711444" w:rsidP="00AA2A4C">
            <w:r w:rsidRPr="004D0DAA">
              <w:t xml:space="preserve">The </w:t>
            </w:r>
            <w:r w:rsidRPr="004D0DAA">
              <w:rPr>
                <w:b/>
              </w:rPr>
              <w:t>Cell selection params</w:t>
            </w:r>
            <w:r w:rsidRPr="004D0DAA">
              <w:t xml:space="preserve"> in the Add Frequency list struct shall be present for the first neighbour cell added by the message. For description of the cell selection parameters see Table: </w:t>
            </w:r>
            <w:r w:rsidRPr="004D0DAA">
              <w:rPr>
                <w:i/>
              </w:rPr>
              <w:t>PSI3 information element details</w:t>
            </w:r>
          </w:p>
          <w:p w14:paraId="7B9B034E" w14:textId="77777777" w:rsidR="00711444" w:rsidRPr="004D0DAA" w:rsidRDefault="00711444" w:rsidP="00AA2A4C">
            <w:pPr>
              <w:tabs>
                <w:tab w:val="left" w:pos="284"/>
                <w:tab w:val="left" w:pos="426"/>
                <w:tab w:val="left" w:pos="3544"/>
              </w:tabs>
            </w:pPr>
            <w:r w:rsidRPr="004D0DAA">
              <w:t>As an abnormal case, if the</w:t>
            </w:r>
            <w:r w:rsidRPr="004D0DAA">
              <w:rPr>
                <w:b/>
              </w:rPr>
              <w:t xml:space="preserve"> Cell selection params</w:t>
            </w:r>
            <w:r w:rsidRPr="004D0DAA">
              <w:t xml:space="preserve"> is missed for the first neighbour cell added by the message then the same parameters as the serving cell shall be applied as default value:</w:t>
            </w:r>
          </w:p>
          <w:p w14:paraId="04DACC56" w14:textId="77777777" w:rsidR="00711444" w:rsidRPr="004D0DAA" w:rsidRDefault="00711444" w:rsidP="00AA2A4C">
            <w:pPr>
              <w:tabs>
                <w:tab w:val="left" w:pos="284"/>
                <w:tab w:val="left" w:pos="3402"/>
              </w:tabs>
            </w:pPr>
            <w:r w:rsidRPr="004D0DAA">
              <w:t xml:space="preserve">If </w:t>
            </w:r>
            <w:r w:rsidRPr="004D0DAA">
              <w:rPr>
                <w:lang w:eastAsia="ko-KR"/>
              </w:rPr>
              <w:t>PBCCH</w:t>
            </w:r>
            <w:r w:rsidRPr="004D0DAA">
              <w:t xml:space="preserve"> is present in the serving cell then :</w:t>
            </w:r>
          </w:p>
          <w:p w14:paraId="58DDC29A" w14:textId="77777777" w:rsidR="00711444" w:rsidRPr="004D0DAA" w:rsidRDefault="00711444" w:rsidP="00AA2A4C">
            <w:pPr>
              <w:tabs>
                <w:tab w:val="left" w:pos="3969"/>
              </w:tabs>
              <w:ind w:left="284"/>
              <w:rPr>
                <w:i/>
              </w:rPr>
            </w:pPr>
            <w:r w:rsidRPr="004D0DAA">
              <w:t>CELL_BAR_ACCESS_2 :</w:t>
            </w:r>
            <w:r w:rsidRPr="004D0DAA">
              <w:tab/>
              <w:t>Serving cell CELL_BAR_ACCESS_2 </w:t>
            </w:r>
            <w:r w:rsidRPr="004D0DAA">
              <w:br/>
              <w:t>EXC_ACC :</w:t>
            </w:r>
            <w:r w:rsidRPr="004D0DAA">
              <w:tab/>
              <w:t>Serving cell EXC_ACC</w:t>
            </w:r>
            <w:r w:rsidRPr="004D0DAA">
              <w:br/>
              <w:t>SAME_RA_AS_SERVING_CELL :</w:t>
            </w:r>
            <w:r w:rsidRPr="004D0DAA">
              <w:tab/>
            </w:r>
            <w:r w:rsidRPr="004D0DAA">
              <w:rPr>
                <w:i/>
              </w:rPr>
              <w:t>The cell is in the same Routeing Area as the serving cell</w:t>
            </w:r>
            <w:r w:rsidRPr="004D0DAA">
              <w:br/>
              <w:t xml:space="preserve">GPRS_RXLEV_ACCESS_MIN : </w:t>
            </w:r>
            <w:r w:rsidRPr="004D0DAA">
              <w:tab/>
              <w:t>Serving cell GPRS_RXLEV_ACCESS_MIN</w:t>
            </w:r>
            <w:r w:rsidRPr="004D0DAA">
              <w:br/>
              <w:t>GPRS_MS_TXPWR_MAX_CCH :</w:t>
            </w:r>
            <w:r w:rsidRPr="004D0DAA">
              <w:tab/>
              <w:t>Serving cell GPRS_MS_TXPWR_MAX_CCH</w:t>
            </w:r>
            <w:r w:rsidRPr="004D0DAA">
              <w:br/>
              <w:t>GPRS_TEMPORARY_OFFSET :</w:t>
            </w:r>
            <w:r w:rsidRPr="004D0DAA">
              <w:tab/>
            </w:r>
            <w:r w:rsidRPr="004D0DAA">
              <w:rPr>
                <w:lang w:eastAsia="ko-KR"/>
              </w:rPr>
              <w:t>0 dB</w:t>
            </w:r>
            <w:r w:rsidRPr="004D0DAA">
              <w:br/>
              <w:t>GPRS_PENALTY_TIME :</w:t>
            </w:r>
            <w:r w:rsidRPr="004D0DAA">
              <w:tab/>
            </w:r>
            <w:r w:rsidRPr="004D0DAA">
              <w:tab/>
            </w:r>
            <w:r w:rsidRPr="004D0DAA">
              <w:rPr>
                <w:i/>
                <w:lang w:eastAsia="ko-KR"/>
              </w:rPr>
              <w:t>Undefined</w:t>
            </w:r>
            <w:r w:rsidRPr="004D0DAA">
              <w:br/>
              <w:t>GPRS_RESELECT_OFFSET :</w:t>
            </w:r>
            <w:r w:rsidRPr="004D0DAA">
              <w:tab/>
              <w:t>0 dB</w:t>
            </w:r>
            <w:r w:rsidRPr="004D0DAA">
              <w:br/>
              <w:t>HCS_THR :</w:t>
            </w:r>
            <w:r w:rsidRPr="004D0DAA">
              <w:tab/>
            </w:r>
            <w:r w:rsidRPr="004D0DAA">
              <w:tab/>
              <w:t>Serving cell HCS_THR</w:t>
            </w:r>
            <w:r w:rsidRPr="004D0DAA">
              <w:br/>
              <w:t>PRIORITY_CLASS :</w:t>
            </w:r>
            <w:r w:rsidRPr="004D0DAA">
              <w:tab/>
            </w:r>
            <w:r w:rsidRPr="004D0DAA">
              <w:tab/>
              <w:t>Serving cell PRIORITY_CLASS</w:t>
            </w:r>
            <w:r w:rsidRPr="004D0DAA">
              <w:br/>
              <w:t>SI13_PBCCH_LOCATION :</w:t>
            </w:r>
            <w:r w:rsidRPr="004D0DAA">
              <w:tab/>
            </w:r>
            <w:r w:rsidRPr="004D0DAA">
              <w:rPr>
                <w:i/>
              </w:rPr>
              <w:t>Undefined.</w:t>
            </w:r>
          </w:p>
          <w:p w14:paraId="4E7F7319" w14:textId="77777777" w:rsidR="00711444" w:rsidRPr="004D0DAA" w:rsidRDefault="00711444" w:rsidP="00AA2A4C">
            <w:pPr>
              <w:tabs>
                <w:tab w:val="left" w:pos="284"/>
                <w:tab w:val="left" w:pos="3402"/>
              </w:tabs>
            </w:pPr>
            <w:r w:rsidRPr="004D0DAA">
              <w:t xml:space="preserve">If </w:t>
            </w:r>
            <w:r w:rsidRPr="004D0DAA">
              <w:rPr>
                <w:lang w:eastAsia="ko-KR"/>
              </w:rPr>
              <w:t>PBCCH</w:t>
            </w:r>
            <w:r w:rsidRPr="004D0DAA">
              <w:t xml:space="preserve"> is not present in the serving cell then :</w:t>
            </w:r>
          </w:p>
          <w:p w14:paraId="0A6F682B" w14:textId="77777777" w:rsidR="00711444" w:rsidRPr="004D0DAA" w:rsidRDefault="00711444" w:rsidP="00AA2A4C">
            <w:pPr>
              <w:tabs>
                <w:tab w:val="left" w:pos="3969"/>
              </w:tabs>
              <w:ind w:left="284"/>
            </w:pPr>
            <w:r w:rsidRPr="004D0DAA">
              <w:t>CELL_BAR_ACCESS_2 :</w:t>
            </w:r>
            <w:r w:rsidRPr="004D0DAA">
              <w:tab/>
              <w:t>Serving cell CELL_BAR_ACCESS </w:t>
            </w:r>
            <w:r w:rsidRPr="004D0DAA">
              <w:br/>
              <w:t>EXC_ACC :</w:t>
            </w:r>
            <w:r w:rsidRPr="004D0DAA">
              <w:tab/>
              <w:t>Serving cell cell exclusive access support capability</w:t>
            </w:r>
            <w:r w:rsidRPr="004D0DAA">
              <w:br/>
              <w:t>SAME_RA_AS_SERVING_CELL :</w:t>
            </w:r>
            <w:r w:rsidRPr="004D0DAA">
              <w:tab/>
            </w:r>
            <w:r w:rsidRPr="004D0DAA">
              <w:rPr>
                <w:i/>
              </w:rPr>
              <w:t>The cell is in the same Routeing Area as the serving cell</w:t>
            </w:r>
            <w:r w:rsidRPr="004D0DAA">
              <w:br/>
              <w:t>The other parameters default values take the same values as if the structure is present and optional fields are omitted (see below).</w:t>
            </w:r>
          </w:p>
          <w:p w14:paraId="6EFBE42E" w14:textId="77777777" w:rsidR="00711444" w:rsidRPr="004D0DAA" w:rsidRDefault="00711444" w:rsidP="00AA2A4C">
            <w:r w:rsidRPr="004D0DAA">
              <w:t>In case the cell selection params is given</w:t>
            </w:r>
            <w:r w:rsidRPr="004D0DAA">
              <w:rPr>
                <w:lang w:eastAsia="ko-KR"/>
              </w:rPr>
              <w:t xml:space="preserve"> and if PBCCH is not present in the serving cell</w:t>
            </w:r>
            <w:r w:rsidRPr="004D0DAA">
              <w:t>, optional parameters which are not present shall be affected with the following default values :</w:t>
            </w:r>
          </w:p>
          <w:p w14:paraId="506D9925" w14:textId="77777777" w:rsidR="00711444" w:rsidRPr="004D0DAA" w:rsidRDefault="00711444" w:rsidP="00AA2A4C">
            <w:pPr>
              <w:tabs>
                <w:tab w:val="left" w:pos="3969"/>
              </w:tabs>
              <w:ind w:left="284"/>
              <w:rPr>
                <w:lang w:eastAsia="ko-KR"/>
              </w:rPr>
            </w:pPr>
            <w:r w:rsidRPr="004D0DAA">
              <w:t xml:space="preserve">GPRS_RXLEV_ACCESS_MIN : </w:t>
            </w:r>
            <w:r w:rsidRPr="004D0DAA">
              <w:tab/>
              <w:t>Serving cell RXLEV_ACCESS_MIN</w:t>
            </w:r>
            <w:r w:rsidRPr="004D0DAA">
              <w:br/>
              <w:t>GPRS_MS_TXPWR_MAX_CCH :</w:t>
            </w:r>
            <w:r w:rsidRPr="004D0DAA">
              <w:tab/>
              <w:t>Serving cell MS_TXPWR_MAX_CCH</w:t>
            </w:r>
            <w:r w:rsidRPr="004D0DAA">
              <w:br/>
              <w:t>GPRS_TEMPORARY_OFFSET :</w:t>
            </w:r>
            <w:r w:rsidRPr="004D0DAA">
              <w:tab/>
            </w:r>
            <w:r w:rsidRPr="004D0DAA">
              <w:rPr>
                <w:lang w:eastAsia="ko-KR"/>
              </w:rPr>
              <w:t>0 dB</w:t>
            </w:r>
            <w:r w:rsidRPr="004D0DAA">
              <w:br/>
              <w:t>GPRS_PENALTY_TIME :</w:t>
            </w:r>
            <w:r w:rsidRPr="004D0DAA">
              <w:tab/>
            </w:r>
            <w:r w:rsidRPr="004D0DAA">
              <w:rPr>
                <w:i/>
                <w:lang w:eastAsia="ko-KR"/>
              </w:rPr>
              <w:t>Undefined</w:t>
            </w:r>
            <w:r w:rsidRPr="004D0DAA">
              <w:br/>
              <w:t>GPRS_RESELECT_OFFSET :</w:t>
            </w:r>
            <w:r w:rsidRPr="004D0DAA">
              <w:tab/>
              <w:t>0 dB</w:t>
            </w:r>
            <w:r w:rsidRPr="004D0DAA">
              <w:br/>
              <w:t>HCS_THR :</w:t>
            </w:r>
            <w:r w:rsidRPr="004D0DAA">
              <w:tab/>
            </w:r>
            <w:r w:rsidRPr="004D0DAA">
              <w:tab/>
              <w:t xml:space="preserve">infinity </w:t>
            </w:r>
            <w:r w:rsidRPr="004D0DAA">
              <w:br/>
              <w:t>PRIORITY_CLASS :</w:t>
            </w:r>
            <w:r w:rsidRPr="004D0DAA">
              <w:tab/>
            </w:r>
            <w:r w:rsidRPr="004D0DAA">
              <w:tab/>
              <w:t>undefined</w:t>
            </w:r>
            <w:r w:rsidRPr="004D0DAA">
              <w:br/>
              <w:t>SI13_PBCCH_LOCATION :</w:t>
            </w:r>
            <w:r w:rsidRPr="004D0DAA">
              <w:tab/>
            </w:r>
            <w:r w:rsidRPr="004D0DAA">
              <w:tab/>
              <w:t>undefined</w:t>
            </w:r>
          </w:p>
          <w:p w14:paraId="1798F197" w14:textId="77777777" w:rsidR="00711444" w:rsidRPr="004D0DAA" w:rsidRDefault="00711444" w:rsidP="00AA2A4C">
            <w:pPr>
              <w:rPr>
                <w:lang w:eastAsia="ko-KR"/>
              </w:rPr>
            </w:pPr>
            <w:r w:rsidRPr="004D0DAA">
              <w:rPr>
                <w:lang w:eastAsia="ko-KR"/>
              </w:rPr>
              <w:t>In case the cell selection params is given and if PBCCH is present in the serving cell, optional parameters which are not present shall be affected with the following default values :</w:t>
            </w:r>
          </w:p>
          <w:p w14:paraId="6178FCD4" w14:textId="77777777" w:rsidR="00711444" w:rsidRPr="004D0DAA" w:rsidRDefault="00711444" w:rsidP="00AA2A4C">
            <w:pPr>
              <w:tabs>
                <w:tab w:val="left" w:pos="3969"/>
              </w:tabs>
              <w:ind w:left="284"/>
              <w:rPr>
                <w:lang w:eastAsia="ko-KR"/>
              </w:rPr>
            </w:pPr>
            <w:r w:rsidRPr="004D0DAA">
              <w:t xml:space="preserve">GPRS_RXLEV_ACCESS_MIN : </w:t>
            </w:r>
            <w:r w:rsidRPr="004D0DAA">
              <w:tab/>
              <w:t>Serving cell GPRS_RXLEV_ACCESS_MIN</w:t>
            </w:r>
            <w:r w:rsidRPr="004D0DAA">
              <w:br/>
              <w:t>GPRS_MS_TXPWR_MAX_CCH :</w:t>
            </w:r>
            <w:r w:rsidRPr="004D0DAA">
              <w:tab/>
              <w:t>Serving cell GPRS_MS_TXPWR_MAX_CCH</w:t>
            </w:r>
            <w:r w:rsidRPr="004D0DAA">
              <w:br/>
              <w:t>GPRS_TEMPORARY_OFFSET :</w:t>
            </w:r>
            <w:r w:rsidRPr="004D0DAA">
              <w:tab/>
            </w:r>
            <w:r w:rsidRPr="004D0DAA">
              <w:rPr>
                <w:lang w:eastAsia="ko-KR"/>
              </w:rPr>
              <w:t>0 dB</w:t>
            </w:r>
            <w:r w:rsidRPr="004D0DAA">
              <w:br/>
              <w:t>GPRS_PENALTY_TIME :</w:t>
            </w:r>
            <w:r w:rsidRPr="004D0DAA">
              <w:tab/>
            </w:r>
            <w:r w:rsidRPr="004D0DAA">
              <w:tab/>
            </w:r>
            <w:r w:rsidRPr="004D0DAA">
              <w:rPr>
                <w:i/>
                <w:lang w:eastAsia="ko-KR"/>
              </w:rPr>
              <w:t>Undefined</w:t>
            </w:r>
            <w:r w:rsidRPr="004D0DAA">
              <w:br/>
              <w:t>GPRS_RESELECT_OFFSET :</w:t>
            </w:r>
            <w:r w:rsidRPr="004D0DAA">
              <w:tab/>
              <w:t>0 dB</w:t>
            </w:r>
            <w:r w:rsidRPr="004D0DAA">
              <w:br/>
              <w:t>HCS_THR :</w:t>
            </w:r>
            <w:r w:rsidRPr="004D0DAA">
              <w:tab/>
            </w:r>
            <w:r w:rsidRPr="004D0DAA">
              <w:tab/>
              <w:t>Serving cell HCS_THR</w:t>
            </w:r>
            <w:r w:rsidRPr="004D0DAA">
              <w:br/>
              <w:t>PRIORITY_CLASS :</w:t>
            </w:r>
            <w:r w:rsidRPr="004D0DAA">
              <w:tab/>
            </w:r>
            <w:r w:rsidRPr="004D0DAA">
              <w:tab/>
              <w:t>Serving cell PRIORITY_CLASS</w:t>
            </w:r>
            <w:r w:rsidRPr="004D0DAA">
              <w:br/>
              <w:t>SI13_PBCCH_LOCATION :</w:t>
            </w:r>
            <w:r w:rsidRPr="004D0DAA">
              <w:tab/>
            </w:r>
            <w:r w:rsidRPr="004D0DAA">
              <w:rPr>
                <w:i/>
              </w:rPr>
              <w:t>Undefined.</w:t>
            </w:r>
          </w:p>
          <w:p w14:paraId="79883C16" w14:textId="77777777" w:rsidR="00711444" w:rsidRPr="004D0DAA" w:rsidRDefault="00711444" w:rsidP="00AA2A4C">
            <w:r w:rsidRPr="004D0DAA">
              <w:t>The following neighbour cells defined in the message use the parameter values of the previous neighbour cell as their default values.</w:t>
            </w:r>
          </w:p>
        </w:tc>
      </w:tr>
      <w:tr w:rsidR="00711444" w:rsidRPr="004D0DAA" w14:paraId="15E4FC20" w14:textId="77777777" w:rsidTr="00AA2A4C">
        <w:tblPrEx>
          <w:tblCellMar>
            <w:top w:w="0" w:type="dxa"/>
            <w:bottom w:w="0" w:type="dxa"/>
          </w:tblCellMar>
        </w:tblPrEx>
        <w:trPr>
          <w:gridAfter w:val="1"/>
          <w:wAfter w:w="7" w:type="dxa"/>
          <w:cantSplit/>
        </w:trPr>
        <w:tc>
          <w:tcPr>
            <w:tcW w:w="9848" w:type="dxa"/>
          </w:tcPr>
          <w:p w14:paraId="1D0A04AE" w14:textId="77777777" w:rsidR="00711444" w:rsidRPr="004D0DAA" w:rsidRDefault="00711444" w:rsidP="00AA2A4C">
            <w:pPr>
              <w:rPr>
                <w:b/>
                <w:i/>
              </w:rPr>
            </w:pPr>
            <w:r w:rsidRPr="004D0DAA">
              <w:rPr>
                <w:b/>
                <w:i/>
              </w:rPr>
              <w:lastRenderedPageBreak/>
              <w:t>ENH Measurement Parameters:</w:t>
            </w:r>
          </w:p>
          <w:p w14:paraId="24623897" w14:textId="77777777" w:rsidR="00711444" w:rsidRPr="004D0DAA" w:rsidRDefault="00711444" w:rsidP="00AA2A4C">
            <w:r w:rsidRPr="004D0DAA">
              <w:rPr>
                <w:b/>
              </w:rPr>
              <w:t>BA_IND</w:t>
            </w:r>
            <w:r w:rsidRPr="004D0DAA">
              <w:t xml:space="preserve"> (1 bit field) </w:t>
            </w:r>
            <w:r w:rsidRPr="004D0DAA">
              <w:br/>
            </w:r>
            <w:r w:rsidRPr="004D0DAA">
              <w:rPr>
                <w:b/>
              </w:rPr>
              <w:t>3G_BA_IND</w:t>
            </w:r>
            <w:r w:rsidRPr="004D0DAA">
              <w:t xml:space="preserve"> (1 bit field) </w:t>
            </w:r>
            <w:r w:rsidRPr="004D0DAA">
              <w:br/>
            </w:r>
            <w:r w:rsidRPr="004D0DAA">
              <w:rPr>
                <w:b/>
              </w:rPr>
              <w:t>PSI3_CHANGE_MARK</w:t>
            </w:r>
            <w:r w:rsidRPr="004D0DAA">
              <w:t xml:space="preserve"> (2 bit field) </w:t>
            </w:r>
          </w:p>
          <w:p w14:paraId="6721C73A" w14:textId="77777777" w:rsidR="00711444" w:rsidRPr="004D0DAA" w:rsidRDefault="00711444" w:rsidP="00AA2A4C">
            <w:r w:rsidRPr="004D0DAA">
              <w:t xml:space="preserve">These parameters are needed to allow the mobile station to associate the removed/added cells or frequencies to the correct Neighbour Cell list. The values of this parameters are reflected in the PACKET ENHANCED MEASUREMENT REPORT message and in the PACKET MEASUREMENT REPORT message. </w:t>
            </w:r>
          </w:p>
        </w:tc>
      </w:tr>
      <w:tr w:rsidR="00711444" w:rsidRPr="004D0DAA" w14:paraId="4E8B7A0E" w14:textId="77777777" w:rsidTr="00AA2A4C">
        <w:tblPrEx>
          <w:tblCellMar>
            <w:top w:w="0" w:type="dxa"/>
            <w:bottom w:w="0" w:type="dxa"/>
          </w:tblCellMar>
        </w:tblPrEx>
        <w:trPr>
          <w:gridAfter w:val="1"/>
          <w:wAfter w:w="7" w:type="dxa"/>
          <w:cantSplit/>
        </w:trPr>
        <w:tc>
          <w:tcPr>
            <w:tcW w:w="9848" w:type="dxa"/>
          </w:tcPr>
          <w:p w14:paraId="0CA91B5D" w14:textId="77777777" w:rsidR="00711444" w:rsidRPr="004D0DAA" w:rsidRDefault="00711444" w:rsidP="00AA2A4C">
            <w:pPr>
              <w:rPr>
                <w:b/>
              </w:rPr>
            </w:pPr>
            <w:r w:rsidRPr="004D0DAA">
              <w:rPr>
                <w:b/>
              </w:rPr>
              <w:t>PMO_IND</w:t>
            </w:r>
            <w:r w:rsidRPr="004D0DAA">
              <w:t xml:space="preserve"> (1 bit field) </w:t>
            </w:r>
            <w:r w:rsidRPr="004D0DAA">
              <w:br/>
              <w:t>This parameter is needed to allow the network to discriminate measurements results related to Neighbour Cell list modified by different Packet Cell Change Order or Packet Measurement Order messages sent to the MS. The value of this parameter is reflected in the PACKET ENHANCED MEASUREMENT REPORT message and in the PACKET MEASUREMENT REPORT message.</w:t>
            </w:r>
          </w:p>
        </w:tc>
      </w:tr>
      <w:tr w:rsidR="00711444" w:rsidRPr="004D0DAA" w14:paraId="7F5253EB" w14:textId="77777777" w:rsidTr="00AA2A4C">
        <w:tblPrEx>
          <w:tblCellMar>
            <w:top w:w="0" w:type="dxa"/>
            <w:bottom w:w="0" w:type="dxa"/>
          </w:tblCellMar>
        </w:tblPrEx>
        <w:trPr>
          <w:gridAfter w:val="1"/>
          <w:wAfter w:w="7" w:type="dxa"/>
          <w:cantSplit/>
        </w:trPr>
        <w:tc>
          <w:tcPr>
            <w:tcW w:w="9848" w:type="dxa"/>
          </w:tcPr>
          <w:p w14:paraId="57D63890" w14:textId="77777777" w:rsidR="00711444" w:rsidRPr="004D0DAA" w:rsidRDefault="00711444" w:rsidP="00AA2A4C">
            <w:r w:rsidRPr="004D0DAA">
              <w:rPr>
                <w:b/>
              </w:rPr>
              <w:t>REPORT_TYPE</w:t>
            </w:r>
            <w:r w:rsidRPr="004D0DAA">
              <w:t xml:space="preserve"> (1 bit)</w:t>
            </w:r>
            <w:r w:rsidRPr="004D0DAA">
              <w:br/>
              <w:t>This parameter is used to indicate to the mobile station to use the PACKET MEASUREMENT REPORT or PACKET ENHANCED MEASUREMENT REPORT messages for (NC) reporting:</w:t>
            </w:r>
          </w:p>
          <w:p w14:paraId="5044BF1C" w14:textId="77777777" w:rsidR="00711444" w:rsidRPr="004D0DAA" w:rsidRDefault="00711444" w:rsidP="00AA2A4C">
            <w:pPr>
              <w:pStyle w:val="FP"/>
              <w:ind w:left="426" w:hanging="426"/>
            </w:pPr>
            <w:r w:rsidRPr="004D0DAA">
              <w:t>If the cell has a PBCCH allocated:</w:t>
            </w:r>
          </w:p>
          <w:p w14:paraId="786463FE" w14:textId="77777777" w:rsidR="00711444" w:rsidRPr="004D0DAA" w:rsidRDefault="00711444" w:rsidP="00AA2A4C">
            <w:pPr>
              <w:pStyle w:val="FP"/>
              <w:ind w:left="426" w:hanging="426"/>
            </w:pPr>
            <w:r w:rsidRPr="004D0DAA">
              <w:rPr>
                <w:b/>
              </w:rPr>
              <w:t>Bit</w:t>
            </w:r>
          </w:p>
          <w:p w14:paraId="3E5D0AC6" w14:textId="77777777" w:rsidR="00711444" w:rsidRPr="004D0DAA" w:rsidRDefault="00711444" w:rsidP="00AA2A4C">
            <w:pPr>
              <w:pStyle w:val="FP"/>
              <w:ind w:left="426" w:hanging="426"/>
            </w:pPr>
            <w:r w:rsidRPr="004D0DAA">
              <w:rPr>
                <w:b/>
              </w:rPr>
              <w:t>0</w:t>
            </w:r>
            <w:r w:rsidRPr="004D0DAA">
              <w:tab/>
              <w:t>The mobile station shall use the PACKET ENHANCED MEASUREMENT REPORT message for (NC) reporting</w:t>
            </w:r>
          </w:p>
          <w:p w14:paraId="12731F61" w14:textId="77777777" w:rsidR="00711444" w:rsidRPr="004D0DAA" w:rsidRDefault="00711444" w:rsidP="00AA2A4C">
            <w:pPr>
              <w:pStyle w:val="FP"/>
              <w:ind w:left="426" w:hanging="426"/>
            </w:pPr>
            <w:r w:rsidRPr="004D0DAA">
              <w:rPr>
                <w:b/>
              </w:rPr>
              <w:t>1</w:t>
            </w:r>
            <w:r w:rsidRPr="004D0DAA">
              <w:tab/>
              <w:t>The mobile station shall use the PACKET MEASUREMENT REPORT message for (NC) reporting</w:t>
            </w:r>
          </w:p>
          <w:p w14:paraId="658790B9" w14:textId="77777777" w:rsidR="00711444" w:rsidRPr="004D0DAA" w:rsidRDefault="00711444" w:rsidP="00AA2A4C">
            <w:pPr>
              <w:pStyle w:val="FP"/>
              <w:ind w:left="426" w:hanging="426"/>
            </w:pPr>
          </w:p>
          <w:p w14:paraId="1CC7E3CC" w14:textId="77777777" w:rsidR="00711444" w:rsidRPr="004D0DAA" w:rsidRDefault="00711444" w:rsidP="00AA2A4C">
            <w:pPr>
              <w:pStyle w:val="FP"/>
              <w:ind w:left="426" w:hanging="426"/>
            </w:pPr>
            <w:r w:rsidRPr="004D0DAA">
              <w:t>If the cell has no PBCCH allocated:</w:t>
            </w:r>
          </w:p>
          <w:p w14:paraId="3B7AD3BD" w14:textId="77777777" w:rsidR="00711444" w:rsidRPr="004D0DAA" w:rsidRDefault="00711444" w:rsidP="00AA2A4C">
            <w:pPr>
              <w:pStyle w:val="FP"/>
              <w:ind w:left="426" w:hanging="426"/>
              <w:rPr>
                <w:b/>
                <w:bCs/>
              </w:rPr>
            </w:pPr>
            <w:r w:rsidRPr="004D0DAA">
              <w:rPr>
                <w:b/>
                <w:bCs/>
              </w:rPr>
              <w:t>Bit</w:t>
            </w:r>
          </w:p>
          <w:p w14:paraId="7219D033" w14:textId="77777777" w:rsidR="00711444" w:rsidRPr="004D0DAA" w:rsidRDefault="00711444" w:rsidP="00AA2A4C">
            <w:pPr>
              <w:pStyle w:val="FP"/>
              <w:ind w:left="426" w:hanging="426"/>
            </w:pPr>
            <w:r w:rsidRPr="004D0DAA">
              <w:rPr>
                <w:b/>
                <w:bCs/>
              </w:rPr>
              <w:t>0</w:t>
            </w:r>
            <w:r w:rsidRPr="004D0DAA">
              <w:tab/>
              <w:t>The mobile station shall use the PACKET ENHANCED MEASUREMENT REPORT message for (NC) reporting if at least one BSIC is allocated to each BA(GPRS) frequency. Otherwise, the PACKET MEASUREMENT REPORT shall be used.</w:t>
            </w:r>
          </w:p>
          <w:p w14:paraId="63552CDC" w14:textId="77777777" w:rsidR="00711444" w:rsidRPr="004D0DAA" w:rsidRDefault="00711444" w:rsidP="00AA2A4C">
            <w:pPr>
              <w:pStyle w:val="FP"/>
              <w:ind w:left="426" w:hanging="426"/>
            </w:pPr>
            <w:r w:rsidRPr="004D0DAA">
              <w:rPr>
                <w:b/>
                <w:bCs/>
              </w:rPr>
              <w:t>1</w:t>
            </w:r>
            <w:r w:rsidRPr="004D0DAA">
              <w:tab/>
              <w:t>The mobile station shall use the PACKET MEASUREMENT REPORT message for (NC) reporting</w:t>
            </w:r>
          </w:p>
          <w:p w14:paraId="55A6E955" w14:textId="77777777" w:rsidR="00711444" w:rsidRPr="004D0DAA" w:rsidRDefault="00711444" w:rsidP="00AA2A4C">
            <w:pPr>
              <w:pStyle w:val="FP"/>
            </w:pPr>
          </w:p>
        </w:tc>
      </w:tr>
      <w:tr w:rsidR="00711444" w:rsidRPr="004D0DAA" w14:paraId="4C9BE31A" w14:textId="77777777" w:rsidTr="00AA2A4C">
        <w:tblPrEx>
          <w:tblCellMar>
            <w:top w:w="0" w:type="dxa"/>
            <w:bottom w:w="0" w:type="dxa"/>
          </w:tblCellMar>
        </w:tblPrEx>
        <w:trPr>
          <w:gridAfter w:val="1"/>
          <w:wAfter w:w="7" w:type="dxa"/>
          <w:cantSplit/>
        </w:trPr>
        <w:tc>
          <w:tcPr>
            <w:tcW w:w="9848" w:type="dxa"/>
          </w:tcPr>
          <w:p w14:paraId="146A49BF" w14:textId="77777777" w:rsidR="00711444" w:rsidRPr="004D0DAA" w:rsidRDefault="00711444" w:rsidP="00AA2A4C">
            <w:r w:rsidRPr="004D0DAA">
              <w:rPr>
                <w:b/>
              </w:rPr>
              <w:t>REPORTING_RATE</w:t>
            </w:r>
            <w:r w:rsidRPr="004D0DAA">
              <w:t xml:space="preserve"> (1 bit)</w:t>
            </w:r>
            <w:r w:rsidRPr="004D0DAA">
              <w:br/>
              <w:t>This parameter is used for measurements, see 3GPP TS 45.008.</w:t>
            </w:r>
            <w:r w:rsidRPr="004D0DAA">
              <w:br/>
            </w:r>
            <w:r w:rsidRPr="004D0DAA">
              <w:rPr>
                <w:b/>
              </w:rPr>
              <w:t>bit</w:t>
            </w:r>
            <w:r w:rsidRPr="004D0DAA">
              <w:br/>
              <w:t>0</w:t>
            </w:r>
            <w:r w:rsidRPr="004D0DAA">
              <w:tab/>
              <w:t>Normal rate reporting</w:t>
            </w:r>
            <w:r w:rsidRPr="004D0DAA">
              <w:br/>
              <w:t>1</w:t>
            </w:r>
            <w:r w:rsidRPr="004D0DAA">
              <w:tab/>
              <w:t>Reduced reporting rate allowed</w:t>
            </w:r>
          </w:p>
        </w:tc>
      </w:tr>
      <w:tr w:rsidR="00711444" w:rsidRPr="004D0DAA" w14:paraId="26684400" w14:textId="77777777" w:rsidTr="00AA2A4C">
        <w:tblPrEx>
          <w:tblCellMar>
            <w:top w:w="0" w:type="dxa"/>
            <w:bottom w:w="0" w:type="dxa"/>
          </w:tblCellMar>
        </w:tblPrEx>
        <w:trPr>
          <w:gridAfter w:val="1"/>
          <w:wAfter w:w="7" w:type="dxa"/>
          <w:cantSplit/>
        </w:trPr>
        <w:tc>
          <w:tcPr>
            <w:tcW w:w="9848" w:type="dxa"/>
          </w:tcPr>
          <w:p w14:paraId="13643790" w14:textId="77777777" w:rsidR="00711444" w:rsidRPr="004D0DAA" w:rsidRDefault="00711444" w:rsidP="00AA2A4C">
            <w:r w:rsidRPr="004D0DAA">
              <w:rPr>
                <w:b/>
              </w:rPr>
              <w:t>INVALID_BSIC_REPORTING</w:t>
            </w:r>
            <w:r w:rsidRPr="004D0DAA">
              <w:t xml:space="preserve"> (1 bit)</w:t>
            </w:r>
            <w:r w:rsidRPr="004D0DAA">
              <w:br/>
              <w:t>This field specifies if cells with invalid BSIC and allowed NCC part of BSIC are allowed to be reported or not, see 3GPP TS 45.008.</w:t>
            </w:r>
          </w:p>
          <w:p w14:paraId="06B43DFF" w14:textId="77777777" w:rsidR="00711444" w:rsidRPr="004D0DAA" w:rsidRDefault="00711444" w:rsidP="00AA2A4C">
            <w:pPr>
              <w:pStyle w:val="FP"/>
              <w:ind w:left="426" w:hanging="426"/>
            </w:pPr>
            <w:r w:rsidRPr="004D0DAA">
              <w:t>bit</w:t>
            </w:r>
          </w:p>
          <w:p w14:paraId="4BBB1955" w14:textId="77777777" w:rsidR="00711444" w:rsidRPr="004D0DAA" w:rsidRDefault="00711444" w:rsidP="00AA2A4C">
            <w:pPr>
              <w:pStyle w:val="FP"/>
              <w:ind w:left="426" w:hanging="426"/>
            </w:pPr>
            <w:r w:rsidRPr="004D0DAA">
              <w:t>0</w:t>
            </w:r>
            <w:r w:rsidRPr="004D0DAA">
              <w:tab/>
              <w:t>Report on cells with invalid BSIC and allowed NCC part of BSIC is not allowed.</w:t>
            </w:r>
          </w:p>
          <w:p w14:paraId="63C7A679" w14:textId="77777777" w:rsidR="00711444" w:rsidRPr="004D0DAA" w:rsidRDefault="00711444" w:rsidP="00AA2A4C">
            <w:pPr>
              <w:pStyle w:val="FP"/>
              <w:ind w:left="426" w:hanging="426"/>
            </w:pPr>
            <w:r w:rsidRPr="004D0DAA">
              <w:t>1</w:t>
            </w:r>
            <w:r w:rsidRPr="004D0DAA">
              <w:tab/>
              <w:t>Report on cells with invalid BSIC and allowed NCC part of BSIC is allowed. In this case NCC_PERMITTED is required in PSI5.</w:t>
            </w:r>
          </w:p>
          <w:p w14:paraId="7D4A4C91" w14:textId="77777777" w:rsidR="00711444" w:rsidRPr="004D0DAA" w:rsidRDefault="00711444" w:rsidP="00AA2A4C">
            <w:pPr>
              <w:pStyle w:val="FP"/>
              <w:ind w:left="426" w:hanging="426"/>
            </w:pPr>
          </w:p>
        </w:tc>
      </w:tr>
      <w:tr w:rsidR="00711444" w:rsidRPr="004D0DAA" w14:paraId="2F7683F5" w14:textId="77777777" w:rsidTr="00AA2A4C">
        <w:tblPrEx>
          <w:tblCellMar>
            <w:top w:w="0" w:type="dxa"/>
            <w:bottom w:w="0" w:type="dxa"/>
          </w:tblCellMar>
        </w:tblPrEx>
        <w:trPr>
          <w:gridAfter w:val="1"/>
          <w:wAfter w:w="7" w:type="dxa"/>
          <w:cantSplit/>
        </w:trPr>
        <w:tc>
          <w:tcPr>
            <w:tcW w:w="9848" w:type="dxa"/>
          </w:tcPr>
          <w:p w14:paraId="09056814" w14:textId="77777777" w:rsidR="00711444" w:rsidRPr="004D0DAA" w:rsidRDefault="00711444" w:rsidP="00AA2A4C">
            <w:pPr>
              <w:rPr>
                <w:b/>
                <w:i/>
                <w:sz w:val="22"/>
              </w:rPr>
            </w:pPr>
            <w:r w:rsidRPr="004D0DAA">
              <w:rPr>
                <w:b/>
                <w:i/>
                <w:sz w:val="22"/>
              </w:rPr>
              <w:t>3G Neighbour Cell Description:</w:t>
            </w:r>
            <w:r w:rsidRPr="004D0DAA">
              <w:rPr>
                <w:b/>
                <w:i/>
                <w:sz w:val="22"/>
              </w:rPr>
              <w:br/>
            </w:r>
            <w:r w:rsidRPr="004D0DAA">
              <w:t>The building of the 3G Neighbour Cell list and the ordering of indices within each Radio Access Technology is described in sub-clause 5.6.3.1.</w:t>
            </w:r>
          </w:p>
        </w:tc>
      </w:tr>
      <w:tr w:rsidR="00711444" w:rsidRPr="004D0DAA" w14:paraId="5810129B" w14:textId="77777777" w:rsidTr="00AA2A4C">
        <w:tblPrEx>
          <w:tblCellMar>
            <w:top w:w="0" w:type="dxa"/>
            <w:bottom w:w="0" w:type="dxa"/>
          </w:tblCellMar>
        </w:tblPrEx>
        <w:trPr>
          <w:gridAfter w:val="1"/>
          <w:wAfter w:w="7" w:type="dxa"/>
          <w:cantSplit/>
        </w:trPr>
        <w:tc>
          <w:tcPr>
            <w:tcW w:w="9848" w:type="dxa"/>
          </w:tcPr>
          <w:p w14:paraId="70B12CC9" w14:textId="77777777" w:rsidR="00711444" w:rsidRPr="004D0DAA" w:rsidRDefault="00711444" w:rsidP="00AA2A4C">
            <w:pPr>
              <w:rPr>
                <w:b/>
                <w:i/>
                <w:sz w:val="22"/>
              </w:rPr>
            </w:pPr>
            <w:r w:rsidRPr="004D0DAA">
              <w:rPr>
                <w:b/>
              </w:rPr>
              <w:t>Index_Start_3G</w:t>
            </w:r>
            <w:r w:rsidRPr="004D0DAA">
              <w:t xml:space="preserve"> (7 bit)</w:t>
            </w:r>
            <w:r w:rsidRPr="004D0DAA">
              <w:br/>
              <w:t>This optional information element indicates the value of the first index to use to build this instance of the 3G Neighbour Cell list. When missing, the value 0 is assumed. See sub-clause 5.6.3.1.</w:t>
            </w:r>
          </w:p>
        </w:tc>
      </w:tr>
      <w:tr w:rsidR="00711444" w:rsidRPr="004D0DAA" w14:paraId="4475448C" w14:textId="77777777" w:rsidTr="00AA2A4C">
        <w:tblPrEx>
          <w:tblCellMar>
            <w:top w:w="0" w:type="dxa"/>
            <w:bottom w:w="0" w:type="dxa"/>
          </w:tblCellMar>
        </w:tblPrEx>
        <w:trPr>
          <w:gridAfter w:val="1"/>
          <w:wAfter w:w="7" w:type="dxa"/>
          <w:cantSplit/>
        </w:trPr>
        <w:tc>
          <w:tcPr>
            <w:tcW w:w="9848" w:type="dxa"/>
          </w:tcPr>
          <w:p w14:paraId="7BA69A3F" w14:textId="77777777" w:rsidR="00711444" w:rsidRPr="004D0DAA" w:rsidRDefault="00711444" w:rsidP="00AA2A4C">
            <w:r w:rsidRPr="004D0DAA">
              <w:rPr>
                <w:b/>
              </w:rPr>
              <w:lastRenderedPageBreak/>
              <w:t>Absolute_Index_Start_EMR</w:t>
            </w:r>
            <w:r w:rsidRPr="004D0DAA">
              <w:t xml:space="preserve"> (7 bit)</w:t>
            </w:r>
            <w:r w:rsidRPr="004D0DAA">
              <w:br/>
              <w:t>This parameter indicates the value to be added to the indices of the 3G Neighbour Cell list for reporting 3G Cells with the PACKET ENHANCED MEASUREMENT REPORT message (see sub-clause 5.6.3.3). If present, it overrides the parameter value of the reference 3G Neighbour Cell list. If different values are received for this parameter in different instances of this message, the instance with the highest index shall be used.</w:t>
            </w:r>
          </w:p>
          <w:p w14:paraId="41787034" w14:textId="77777777" w:rsidR="00711444" w:rsidRPr="004D0DAA" w:rsidRDefault="00711444" w:rsidP="00AA2A4C">
            <w:pPr>
              <w:pStyle w:val="NO"/>
              <w:rPr>
                <w:lang w:eastAsia="en-US"/>
              </w:rPr>
            </w:pPr>
            <w:r w:rsidRPr="004D0DAA">
              <w:rPr>
                <w:lang w:eastAsia="en-US"/>
              </w:rPr>
              <w:t>NOTE:</w:t>
            </w:r>
            <w:r w:rsidRPr="004D0DAA">
              <w:rPr>
                <w:lang w:eastAsia="en-US"/>
              </w:rPr>
              <w:tab/>
              <w:t>This parameter is not used for reporting 3G Cells with the PACKET MEASUREMENT REPORT message, see sub-clause 11.2.9.</w:t>
            </w:r>
          </w:p>
        </w:tc>
      </w:tr>
      <w:tr w:rsidR="00711444" w:rsidRPr="004D0DAA" w14:paraId="1E6000AA" w14:textId="77777777" w:rsidTr="00AA2A4C">
        <w:tblPrEx>
          <w:tblCellMar>
            <w:top w:w="0" w:type="dxa"/>
            <w:bottom w:w="0" w:type="dxa"/>
          </w:tblCellMar>
        </w:tblPrEx>
        <w:trPr>
          <w:gridAfter w:val="1"/>
          <w:wAfter w:w="7" w:type="dxa"/>
          <w:cantSplit/>
        </w:trPr>
        <w:tc>
          <w:tcPr>
            <w:tcW w:w="9848" w:type="dxa"/>
          </w:tcPr>
          <w:p w14:paraId="61D3778A" w14:textId="77777777" w:rsidR="00711444" w:rsidRPr="004D0DAA" w:rsidRDefault="00711444" w:rsidP="00AA2A4C">
            <w:pPr>
              <w:rPr>
                <w:b/>
                <w:i/>
              </w:rPr>
            </w:pPr>
            <w:r w:rsidRPr="004D0DAA">
              <w:rPr>
                <w:b/>
                <w:i/>
              </w:rPr>
              <w:t>UTRAN FDD Description:</w:t>
            </w:r>
          </w:p>
          <w:p w14:paraId="089DCA52" w14:textId="77777777" w:rsidR="00711444" w:rsidRPr="004D0DAA" w:rsidRDefault="00711444" w:rsidP="00AA2A4C">
            <w:r w:rsidRPr="004D0DAA">
              <w:rPr>
                <w:b/>
              </w:rPr>
              <w:t xml:space="preserve">Bandwidth_FDD </w:t>
            </w:r>
            <w:r w:rsidRPr="004D0DAA">
              <w:t>(3 bit field)</w:t>
            </w:r>
            <w:r w:rsidRPr="004D0DAA">
              <w:br/>
              <w:t>This information element will be used for future releases of the protocol. When missing, this indicates the present FDD bandwidth. When present, this shall not be considered as an error; indices of the 3G Neighbour Cell list shall be incremented accordingly.</w:t>
            </w:r>
          </w:p>
          <w:p w14:paraId="28674F75" w14:textId="77777777" w:rsidR="00711444" w:rsidRPr="004D0DAA" w:rsidRDefault="00711444" w:rsidP="00AA2A4C">
            <w:r w:rsidRPr="004D0DAA">
              <w:rPr>
                <w:b/>
              </w:rPr>
              <w:t>FDD_ARFCN</w:t>
            </w:r>
            <w:r w:rsidRPr="004D0DAA">
              <w:t xml:space="preserve"> (14 bit field)</w:t>
            </w:r>
            <w:r w:rsidRPr="004D0DAA">
              <w:br/>
              <w:t>This information element is defined as the UARFCN in 3GPP TS 25.101. Any non-supported frequency shall not be considered as an error; indices of the 3G Neighbour Cell list shall be incremented accordingly.</w:t>
            </w:r>
          </w:p>
        </w:tc>
      </w:tr>
      <w:tr w:rsidR="00711444" w:rsidRPr="004D0DAA" w14:paraId="06F3F1B4" w14:textId="77777777" w:rsidTr="00AA2A4C">
        <w:tblPrEx>
          <w:tblCellMar>
            <w:top w:w="0" w:type="dxa"/>
            <w:bottom w:w="0" w:type="dxa"/>
          </w:tblCellMar>
        </w:tblPrEx>
        <w:trPr>
          <w:gridAfter w:val="1"/>
          <w:wAfter w:w="7" w:type="dxa"/>
          <w:cantSplit/>
        </w:trPr>
        <w:tc>
          <w:tcPr>
            <w:tcW w:w="9848" w:type="dxa"/>
          </w:tcPr>
          <w:p w14:paraId="64064655" w14:textId="77777777" w:rsidR="00711444" w:rsidRPr="004D0DAA" w:rsidRDefault="00711444" w:rsidP="00AA2A4C">
            <w:r w:rsidRPr="004D0DAA">
              <w:rPr>
                <w:b/>
                <w:sz w:val="18"/>
              </w:rPr>
              <w:t>FDD_</w:t>
            </w:r>
            <w:r w:rsidRPr="004D0DAA">
              <w:rPr>
                <w:b/>
              </w:rPr>
              <w:t>Indic0</w:t>
            </w:r>
            <w:r w:rsidRPr="004D0DAA">
              <w:t>, information 0 indicator (1 bit):</w:t>
            </w:r>
            <w:r w:rsidRPr="004D0DAA">
              <w:br/>
              <w:t>This field indicates if the Scrambling Code/Diversity parameter value '0000000000' is a member of the set.</w:t>
            </w:r>
          </w:p>
          <w:p w14:paraId="5FC51D25" w14:textId="77777777" w:rsidR="00711444" w:rsidRPr="004D0DAA" w:rsidRDefault="00711444" w:rsidP="00AA2A4C">
            <w:r w:rsidRPr="004D0DAA">
              <w:t>Bit</w:t>
            </w:r>
            <w:r w:rsidRPr="004D0DAA">
              <w:br/>
              <w:t>0</w:t>
            </w:r>
            <w:r w:rsidRPr="004D0DAA">
              <w:tab/>
              <w:t>parameter value '0000000000' is not a member of the set</w:t>
            </w:r>
            <w:r w:rsidRPr="004D0DAA">
              <w:br/>
              <w:t>1</w:t>
            </w:r>
            <w:r w:rsidRPr="004D0DAA">
              <w:tab/>
              <w:t>parameter value '0000000000' is a member of the set</w:t>
            </w:r>
          </w:p>
          <w:p w14:paraId="27FBEE5B" w14:textId="77777777" w:rsidR="00711444" w:rsidRPr="004D0DAA" w:rsidRDefault="00711444" w:rsidP="00AA2A4C">
            <w:pPr>
              <w:pStyle w:val="NO"/>
              <w:rPr>
                <w:lang w:eastAsia="en-US"/>
              </w:rPr>
            </w:pPr>
            <w:r w:rsidRPr="004D0DAA">
              <w:rPr>
                <w:lang w:eastAsia="en-US"/>
              </w:rPr>
              <w:t>NOTE:</w:t>
            </w:r>
            <w:r w:rsidRPr="004D0DAA">
              <w:rPr>
                <w:lang w:eastAsia="en-US"/>
              </w:rPr>
              <w:tab/>
              <w:t>This bit FDD_Indic0 is equivalent to the bit F0 bit in the frequency list information element (see 3GPP TS 44.018).</w:t>
            </w:r>
          </w:p>
        </w:tc>
      </w:tr>
      <w:tr w:rsidR="00711444" w:rsidRPr="004D0DAA" w14:paraId="38E57336" w14:textId="77777777" w:rsidTr="00AA2A4C">
        <w:tblPrEx>
          <w:tblCellMar>
            <w:top w:w="0" w:type="dxa"/>
            <w:bottom w:w="0" w:type="dxa"/>
          </w:tblCellMar>
        </w:tblPrEx>
        <w:trPr>
          <w:gridAfter w:val="1"/>
          <w:wAfter w:w="7" w:type="dxa"/>
          <w:cantSplit/>
        </w:trPr>
        <w:tc>
          <w:tcPr>
            <w:tcW w:w="9848" w:type="dxa"/>
          </w:tcPr>
          <w:p w14:paraId="578C354B" w14:textId="77777777" w:rsidR="00711444" w:rsidRPr="004D0DAA" w:rsidRDefault="00711444" w:rsidP="00AA2A4C">
            <w:r w:rsidRPr="004D0DAA">
              <w:rPr>
                <w:b/>
              </w:rPr>
              <w:t xml:space="preserve">NR_OF_FDD_CELLS </w:t>
            </w:r>
            <w:r w:rsidRPr="004D0DAA">
              <w:t>(5 bit field)</w:t>
            </w:r>
            <w:r w:rsidRPr="004D0DAA">
              <w:br/>
              <w:t>This field defines the number of FDD_CELL_INFORMATION parameters.</w:t>
            </w:r>
          </w:p>
        </w:tc>
      </w:tr>
      <w:tr w:rsidR="00711444" w:rsidRPr="004D0DAA" w14:paraId="28B3B5B0" w14:textId="77777777" w:rsidTr="00AA2A4C">
        <w:tblPrEx>
          <w:tblCellMar>
            <w:top w:w="0" w:type="dxa"/>
            <w:bottom w:w="0" w:type="dxa"/>
          </w:tblCellMar>
        </w:tblPrEx>
        <w:trPr>
          <w:gridAfter w:val="1"/>
          <w:wAfter w:w="7" w:type="dxa"/>
          <w:cantSplit/>
        </w:trPr>
        <w:tc>
          <w:tcPr>
            <w:tcW w:w="9848" w:type="dxa"/>
          </w:tcPr>
          <w:p w14:paraId="5581A6D9" w14:textId="77777777" w:rsidR="00711444" w:rsidRPr="004D0DAA" w:rsidRDefault="00711444" w:rsidP="00AA2A4C">
            <w:r w:rsidRPr="004D0DAA">
              <w:rPr>
                <w:b/>
              </w:rPr>
              <w:t>FDD_CELL_INFORMATION Field </w:t>
            </w:r>
            <w:r w:rsidRPr="004D0DAA">
              <w:t>(p bit field)</w:t>
            </w:r>
            <w:r w:rsidRPr="004D0DAA">
              <w:br/>
              <w:t>This field allows to compute a set of 10-bit-long FDD_CELL_INFORMATION</w:t>
            </w:r>
            <w:r w:rsidRPr="004D0DAA">
              <w:rPr>
                <w:b/>
              </w:rPr>
              <w:t xml:space="preserve"> </w:t>
            </w:r>
            <w:r w:rsidRPr="004D0DAA">
              <w:t xml:space="preserve">parameters, re-using the </w:t>
            </w:r>
            <w:r w:rsidRPr="004D0DAA">
              <w:rPr>
                <w:i/>
              </w:rPr>
              <w:t>Range 1024 format</w:t>
            </w:r>
            <w:r w:rsidRPr="004D0DAA">
              <w:t xml:space="preserve"> compression algorithm, see 3GPP TS 44.018 Annex J: 'Algorithm to encode frequency list information'</w:t>
            </w:r>
            <w:r w:rsidRPr="004D0DAA">
              <w:rPr>
                <w:i/>
              </w:rPr>
              <w:t xml:space="preserve">. </w:t>
            </w:r>
            <w:r w:rsidRPr="004D0DAA">
              <w:t>The formulas for decoding are given in 3GPP TS 44.018: 'Range 1024 format'. The consecutive parameters of this field are concatenated, starting with w1, and then w2, w3…</w:t>
            </w:r>
          </w:p>
          <w:p w14:paraId="69EAB091" w14:textId="77777777" w:rsidR="00711444" w:rsidRPr="004D0DAA" w:rsidRDefault="00711444" w:rsidP="00AA2A4C">
            <w:r w:rsidRPr="004D0DAA">
              <w:t>The total number of bits p of this field depends on the value of the parameter NR_OF_FDD_CELLS = n, as follows:</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80"/>
              <w:gridCol w:w="680"/>
              <w:gridCol w:w="680"/>
              <w:gridCol w:w="680"/>
              <w:gridCol w:w="680"/>
              <w:gridCol w:w="680"/>
              <w:gridCol w:w="680"/>
            </w:tblGrid>
            <w:tr w:rsidR="00711444" w:rsidRPr="004D0DAA" w14:paraId="14E8C131" w14:textId="77777777" w:rsidTr="00AA2A4C">
              <w:tblPrEx>
                <w:tblCellMar>
                  <w:top w:w="0" w:type="dxa"/>
                  <w:bottom w:w="0" w:type="dxa"/>
                </w:tblCellMar>
              </w:tblPrEx>
              <w:tc>
                <w:tcPr>
                  <w:tcW w:w="680" w:type="dxa"/>
                </w:tcPr>
                <w:p w14:paraId="6B848D6E" w14:textId="77777777" w:rsidR="00711444" w:rsidRPr="004D0DAA" w:rsidRDefault="00711444" w:rsidP="00AA2A4C">
                  <w:pPr>
                    <w:pStyle w:val="TAH"/>
                    <w:rPr>
                      <w:lang w:eastAsia="en-US"/>
                    </w:rPr>
                  </w:pPr>
                  <w:r w:rsidRPr="004D0DAA">
                    <w:rPr>
                      <w:lang w:eastAsia="en-US"/>
                    </w:rPr>
                    <w:t>n</w:t>
                  </w:r>
                </w:p>
              </w:tc>
              <w:tc>
                <w:tcPr>
                  <w:tcW w:w="680" w:type="dxa"/>
                </w:tcPr>
                <w:p w14:paraId="57329E3C" w14:textId="77777777" w:rsidR="00711444" w:rsidRPr="004D0DAA" w:rsidRDefault="00711444" w:rsidP="00AA2A4C">
                  <w:pPr>
                    <w:pStyle w:val="TAH"/>
                    <w:rPr>
                      <w:lang w:eastAsia="en-US"/>
                    </w:rPr>
                  </w:pPr>
                  <w:r w:rsidRPr="004D0DAA">
                    <w:rPr>
                      <w:lang w:eastAsia="en-US"/>
                    </w:rPr>
                    <w:t>p</w:t>
                  </w:r>
                </w:p>
              </w:tc>
              <w:tc>
                <w:tcPr>
                  <w:tcW w:w="680" w:type="dxa"/>
                </w:tcPr>
                <w:p w14:paraId="4BED4594" w14:textId="77777777" w:rsidR="00711444" w:rsidRPr="004D0DAA" w:rsidRDefault="00711444" w:rsidP="00AA2A4C">
                  <w:pPr>
                    <w:pStyle w:val="TAH"/>
                    <w:rPr>
                      <w:lang w:eastAsia="en-US"/>
                    </w:rPr>
                  </w:pPr>
                  <w:r w:rsidRPr="004D0DAA">
                    <w:rPr>
                      <w:lang w:eastAsia="en-US"/>
                    </w:rPr>
                    <w:t>n</w:t>
                  </w:r>
                </w:p>
              </w:tc>
              <w:tc>
                <w:tcPr>
                  <w:tcW w:w="680" w:type="dxa"/>
                </w:tcPr>
                <w:p w14:paraId="68931A2D" w14:textId="77777777" w:rsidR="00711444" w:rsidRPr="004D0DAA" w:rsidRDefault="00711444" w:rsidP="00AA2A4C">
                  <w:pPr>
                    <w:pStyle w:val="TAH"/>
                    <w:rPr>
                      <w:lang w:eastAsia="en-US"/>
                    </w:rPr>
                  </w:pPr>
                  <w:r w:rsidRPr="004D0DAA">
                    <w:rPr>
                      <w:lang w:eastAsia="en-US"/>
                    </w:rPr>
                    <w:t>p</w:t>
                  </w:r>
                </w:p>
              </w:tc>
              <w:tc>
                <w:tcPr>
                  <w:tcW w:w="680" w:type="dxa"/>
                </w:tcPr>
                <w:p w14:paraId="6E602143" w14:textId="77777777" w:rsidR="00711444" w:rsidRPr="004D0DAA" w:rsidRDefault="00711444" w:rsidP="00AA2A4C">
                  <w:pPr>
                    <w:pStyle w:val="TAH"/>
                    <w:rPr>
                      <w:lang w:eastAsia="en-US"/>
                    </w:rPr>
                  </w:pPr>
                  <w:r w:rsidRPr="004D0DAA">
                    <w:rPr>
                      <w:lang w:eastAsia="en-US"/>
                    </w:rPr>
                    <w:t>n</w:t>
                  </w:r>
                </w:p>
              </w:tc>
              <w:tc>
                <w:tcPr>
                  <w:tcW w:w="680" w:type="dxa"/>
                </w:tcPr>
                <w:p w14:paraId="78E8FD46" w14:textId="77777777" w:rsidR="00711444" w:rsidRPr="004D0DAA" w:rsidRDefault="00711444" w:rsidP="00AA2A4C">
                  <w:pPr>
                    <w:pStyle w:val="TAH"/>
                    <w:rPr>
                      <w:lang w:eastAsia="en-US"/>
                    </w:rPr>
                  </w:pPr>
                  <w:r w:rsidRPr="004D0DAA">
                    <w:rPr>
                      <w:lang w:eastAsia="en-US"/>
                    </w:rPr>
                    <w:t>p</w:t>
                  </w:r>
                </w:p>
              </w:tc>
              <w:tc>
                <w:tcPr>
                  <w:tcW w:w="680" w:type="dxa"/>
                </w:tcPr>
                <w:p w14:paraId="1D49630A" w14:textId="77777777" w:rsidR="00711444" w:rsidRPr="004D0DAA" w:rsidRDefault="00711444" w:rsidP="00AA2A4C">
                  <w:pPr>
                    <w:pStyle w:val="TAH"/>
                    <w:rPr>
                      <w:lang w:eastAsia="en-US"/>
                    </w:rPr>
                  </w:pPr>
                  <w:r w:rsidRPr="004D0DAA">
                    <w:rPr>
                      <w:lang w:eastAsia="en-US"/>
                    </w:rPr>
                    <w:t>n</w:t>
                  </w:r>
                </w:p>
              </w:tc>
              <w:tc>
                <w:tcPr>
                  <w:tcW w:w="680" w:type="dxa"/>
                </w:tcPr>
                <w:p w14:paraId="23692CCF" w14:textId="77777777" w:rsidR="00711444" w:rsidRPr="004D0DAA" w:rsidRDefault="00711444" w:rsidP="00AA2A4C">
                  <w:pPr>
                    <w:pStyle w:val="TAH"/>
                    <w:rPr>
                      <w:lang w:eastAsia="en-US"/>
                    </w:rPr>
                  </w:pPr>
                  <w:r w:rsidRPr="004D0DAA">
                    <w:rPr>
                      <w:lang w:eastAsia="en-US"/>
                    </w:rPr>
                    <w:t>p</w:t>
                  </w:r>
                </w:p>
              </w:tc>
            </w:tr>
            <w:tr w:rsidR="00711444" w:rsidRPr="004D0DAA" w14:paraId="3D96A88B" w14:textId="77777777" w:rsidTr="00AA2A4C">
              <w:tblPrEx>
                <w:tblCellMar>
                  <w:top w:w="0" w:type="dxa"/>
                  <w:bottom w:w="0" w:type="dxa"/>
                </w:tblCellMar>
              </w:tblPrEx>
              <w:tc>
                <w:tcPr>
                  <w:tcW w:w="680" w:type="dxa"/>
                </w:tcPr>
                <w:p w14:paraId="40482CEC" w14:textId="77777777" w:rsidR="00711444" w:rsidRPr="004D0DAA" w:rsidRDefault="00711444" w:rsidP="00AA2A4C">
                  <w:pPr>
                    <w:pStyle w:val="TAC"/>
                    <w:rPr>
                      <w:lang w:eastAsia="en-US"/>
                    </w:rPr>
                  </w:pPr>
                  <w:r w:rsidRPr="004D0DAA">
                    <w:rPr>
                      <w:lang w:eastAsia="en-US"/>
                    </w:rPr>
                    <w:t>0</w:t>
                  </w:r>
                </w:p>
              </w:tc>
              <w:tc>
                <w:tcPr>
                  <w:tcW w:w="680" w:type="dxa"/>
                </w:tcPr>
                <w:p w14:paraId="2BF03573" w14:textId="77777777" w:rsidR="00711444" w:rsidRPr="004D0DAA" w:rsidRDefault="00711444" w:rsidP="00AA2A4C">
                  <w:pPr>
                    <w:pStyle w:val="TAC"/>
                    <w:rPr>
                      <w:lang w:eastAsia="en-US"/>
                    </w:rPr>
                  </w:pPr>
                  <w:r w:rsidRPr="004D0DAA">
                    <w:rPr>
                      <w:lang w:eastAsia="en-US"/>
                    </w:rPr>
                    <w:t>0</w:t>
                  </w:r>
                </w:p>
              </w:tc>
              <w:tc>
                <w:tcPr>
                  <w:tcW w:w="680" w:type="dxa"/>
                </w:tcPr>
                <w:p w14:paraId="393F3CD7" w14:textId="77777777" w:rsidR="00711444" w:rsidRPr="004D0DAA" w:rsidRDefault="00711444" w:rsidP="00AA2A4C">
                  <w:pPr>
                    <w:pStyle w:val="TAC"/>
                    <w:rPr>
                      <w:lang w:eastAsia="en-US"/>
                    </w:rPr>
                  </w:pPr>
                  <w:r w:rsidRPr="004D0DAA">
                    <w:rPr>
                      <w:lang w:eastAsia="en-US"/>
                    </w:rPr>
                    <w:t>5</w:t>
                  </w:r>
                </w:p>
              </w:tc>
              <w:tc>
                <w:tcPr>
                  <w:tcW w:w="680" w:type="dxa"/>
                </w:tcPr>
                <w:p w14:paraId="4A0DE98F" w14:textId="77777777" w:rsidR="00711444" w:rsidRPr="004D0DAA" w:rsidRDefault="00711444" w:rsidP="00AA2A4C">
                  <w:pPr>
                    <w:pStyle w:val="TAC"/>
                    <w:rPr>
                      <w:lang w:eastAsia="en-US"/>
                    </w:rPr>
                  </w:pPr>
                  <w:r w:rsidRPr="004D0DAA">
                    <w:rPr>
                      <w:lang w:eastAsia="en-US"/>
                    </w:rPr>
                    <w:t>44</w:t>
                  </w:r>
                </w:p>
              </w:tc>
              <w:tc>
                <w:tcPr>
                  <w:tcW w:w="680" w:type="dxa"/>
                </w:tcPr>
                <w:p w14:paraId="12C5EA8B" w14:textId="77777777" w:rsidR="00711444" w:rsidRPr="004D0DAA" w:rsidRDefault="00711444" w:rsidP="00AA2A4C">
                  <w:pPr>
                    <w:pStyle w:val="TAC"/>
                    <w:rPr>
                      <w:lang w:eastAsia="en-US"/>
                    </w:rPr>
                  </w:pPr>
                  <w:r w:rsidRPr="004D0DAA">
                    <w:rPr>
                      <w:lang w:eastAsia="en-US"/>
                    </w:rPr>
                    <w:t>10</w:t>
                  </w:r>
                </w:p>
              </w:tc>
              <w:tc>
                <w:tcPr>
                  <w:tcW w:w="680" w:type="dxa"/>
                </w:tcPr>
                <w:p w14:paraId="4DC396EF" w14:textId="77777777" w:rsidR="00711444" w:rsidRPr="004D0DAA" w:rsidRDefault="00711444" w:rsidP="00AA2A4C">
                  <w:pPr>
                    <w:pStyle w:val="TAC"/>
                    <w:rPr>
                      <w:lang w:eastAsia="en-US"/>
                    </w:rPr>
                  </w:pPr>
                  <w:r w:rsidRPr="004D0DAA">
                    <w:rPr>
                      <w:lang w:eastAsia="en-US"/>
                    </w:rPr>
                    <w:t>81</w:t>
                  </w:r>
                </w:p>
              </w:tc>
              <w:tc>
                <w:tcPr>
                  <w:tcW w:w="680" w:type="dxa"/>
                </w:tcPr>
                <w:p w14:paraId="638230C1" w14:textId="77777777" w:rsidR="00711444" w:rsidRPr="004D0DAA" w:rsidRDefault="00711444" w:rsidP="00AA2A4C">
                  <w:pPr>
                    <w:pStyle w:val="TAC"/>
                    <w:rPr>
                      <w:lang w:eastAsia="en-US"/>
                    </w:rPr>
                  </w:pPr>
                  <w:r w:rsidRPr="004D0DAA">
                    <w:rPr>
                      <w:lang w:eastAsia="en-US"/>
                    </w:rPr>
                    <w:t>15</w:t>
                  </w:r>
                </w:p>
              </w:tc>
              <w:tc>
                <w:tcPr>
                  <w:tcW w:w="680" w:type="dxa"/>
                </w:tcPr>
                <w:p w14:paraId="14954577" w14:textId="77777777" w:rsidR="00711444" w:rsidRPr="004D0DAA" w:rsidRDefault="00711444" w:rsidP="00AA2A4C">
                  <w:pPr>
                    <w:pStyle w:val="TAC"/>
                    <w:rPr>
                      <w:lang w:eastAsia="en-US"/>
                    </w:rPr>
                  </w:pPr>
                  <w:r w:rsidRPr="004D0DAA">
                    <w:rPr>
                      <w:lang w:eastAsia="en-US"/>
                    </w:rPr>
                    <w:t>116</w:t>
                  </w:r>
                </w:p>
              </w:tc>
            </w:tr>
            <w:tr w:rsidR="00711444" w:rsidRPr="004D0DAA" w14:paraId="1E12D78F" w14:textId="77777777" w:rsidTr="00AA2A4C">
              <w:tblPrEx>
                <w:tblCellMar>
                  <w:top w:w="0" w:type="dxa"/>
                  <w:bottom w:w="0" w:type="dxa"/>
                </w:tblCellMar>
              </w:tblPrEx>
              <w:tc>
                <w:tcPr>
                  <w:tcW w:w="680" w:type="dxa"/>
                </w:tcPr>
                <w:p w14:paraId="57CCACD1" w14:textId="77777777" w:rsidR="00711444" w:rsidRPr="004D0DAA" w:rsidRDefault="00711444" w:rsidP="00AA2A4C">
                  <w:pPr>
                    <w:pStyle w:val="TAC"/>
                    <w:rPr>
                      <w:lang w:eastAsia="en-US"/>
                    </w:rPr>
                  </w:pPr>
                  <w:r w:rsidRPr="004D0DAA">
                    <w:rPr>
                      <w:lang w:eastAsia="en-US"/>
                    </w:rPr>
                    <w:t>1</w:t>
                  </w:r>
                </w:p>
              </w:tc>
              <w:tc>
                <w:tcPr>
                  <w:tcW w:w="680" w:type="dxa"/>
                </w:tcPr>
                <w:p w14:paraId="620EC356" w14:textId="77777777" w:rsidR="00711444" w:rsidRPr="004D0DAA" w:rsidRDefault="00711444" w:rsidP="00AA2A4C">
                  <w:pPr>
                    <w:pStyle w:val="TAC"/>
                    <w:rPr>
                      <w:lang w:eastAsia="en-US"/>
                    </w:rPr>
                  </w:pPr>
                  <w:r w:rsidRPr="004D0DAA">
                    <w:rPr>
                      <w:lang w:eastAsia="en-US"/>
                    </w:rPr>
                    <w:t>10</w:t>
                  </w:r>
                </w:p>
              </w:tc>
              <w:tc>
                <w:tcPr>
                  <w:tcW w:w="680" w:type="dxa"/>
                </w:tcPr>
                <w:p w14:paraId="6B68AC48" w14:textId="77777777" w:rsidR="00711444" w:rsidRPr="004D0DAA" w:rsidRDefault="00711444" w:rsidP="00AA2A4C">
                  <w:pPr>
                    <w:pStyle w:val="TAC"/>
                    <w:rPr>
                      <w:lang w:eastAsia="en-US"/>
                    </w:rPr>
                  </w:pPr>
                  <w:r w:rsidRPr="004D0DAA">
                    <w:rPr>
                      <w:lang w:eastAsia="en-US"/>
                    </w:rPr>
                    <w:t>6</w:t>
                  </w:r>
                </w:p>
              </w:tc>
              <w:tc>
                <w:tcPr>
                  <w:tcW w:w="680" w:type="dxa"/>
                </w:tcPr>
                <w:p w14:paraId="29A63188" w14:textId="77777777" w:rsidR="00711444" w:rsidRPr="004D0DAA" w:rsidRDefault="00711444" w:rsidP="00AA2A4C">
                  <w:pPr>
                    <w:pStyle w:val="TAC"/>
                    <w:rPr>
                      <w:lang w:eastAsia="en-US"/>
                    </w:rPr>
                  </w:pPr>
                  <w:r w:rsidRPr="004D0DAA">
                    <w:rPr>
                      <w:lang w:eastAsia="en-US"/>
                    </w:rPr>
                    <w:t>52</w:t>
                  </w:r>
                </w:p>
              </w:tc>
              <w:tc>
                <w:tcPr>
                  <w:tcW w:w="680" w:type="dxa"/>
                </w:tcPr>
                <w:p w14:paraId="67C6ED1E" w14:textId="77777777" w:rsidR="00711444" w:rsidRPr="004D0DAA" w:rsidRDefault="00711444" w:rsidP="00AA2A4C">
                  <w:pPr>
                    <w:pStyle w:val="TAC"/>
                    <w:rPr>
                      <w:lang w:eastAsia="en-US"/>
                    </w:rPr>
                  </w:pPr>
                  <w:r w:rsidRPr="004D0DAA">
                    <w:rPr>
                      <w:lang w:eastAsia="en-US"/>
                    </w:rPr>
                    <w:t>11</w:t>
                  </w:r>
                </w:p>
              </w:tc>
              <w:tc>
                <w:tcPr>
                  <w:tcW w:w="680" w:type="dxa"/>
                </w:tcPr>
                <w:p w14:paraId="55839960" w14:textId="77777777" w:rsidR="00711444" w:rsidRPr="004D0DAA" w:rsidRDefault="00711444" w:rsidP="00AA2A4C">
                  <w:pPr>
                    <w:pStyle w:val="TAC"/>
                    <w:rPr>
                      <w:lang w:eastAsia="en-US"/>
                    </w:rPr>
                  </w:pPr>
                  <w:r w:rsidRPr="004D0DAA">
                    <w:rPr>
                      <w:lang w:eastAsia="en-US"/>
                    </w:rPr>
                    <w:t>88</w:t>
                  </w:r>
                </w:p>
              </w:tc>
              <w:tc>
                <w:tcPr>
                  <w:tcW w:w="680" w:type="dxa"/>
                </w:tcPr>
                <w:p w14:paraId="349FCCEB" w14:textId="77777777" w:rsidR="00711444" w:rsidRPr="004D0DAA" w:rsidRDefault="00711444" w:rsidP="00AA2A4C">
                  <w:pPr>
                    <w:pStyle w:val="TAC"/>
                    <w:rPr>
                      <w:lang w:eastAsia="en-US"/>
                    </w:rPr>
                  </w:pPr>
                  <w:r w:rsidRPr="004D0DAA">
                    <w:rPr>
                      <w:lang w:eastAsia="en-US"/>
                    </w:rPr>
                    <w:t>16</w:t>
                  </w:r>
                </w:p>
              </w:tc>
              <w:tc>
                <w:tcPr>
                  <w:tcW w:w="680" w:type="dxa"/>
                </w:tcPr>
                <w:p w14:paraId="7185336D" w14:textId="77777777" w:rsidR="00711444" w:rsidRPr="004D0DAA" w:rsidRDefault="00711444" w:rsidP="00AA2A4C">
                  <w:pPr>
                    <w:pStyle w:val="TAC"/>
                    <w:rPr>
                      <w:lang w:eastAsia="en-US"/>
                    </w:rPr>
                  </w:pPr>
                  <w:r w:rsidRPr="004D0DAA">
                    <w:rPr>
                      <w:lang w:eastAsia="en-US"/>
                    </w:rPr>
                    <w:t>122</w:t>
                  </w:r>
                </w:p>
              </w:tc>
            </w:tr>
            <w:tr w:rsidR="00711444" w:rsidRPr="004D0DAA" w14:paraId="5EA61C33" w14:textId="77777777" w:rsidTr="00AA2A4C">
              <w:tblPrEx>
                <w:tblCellMar>
                  <w:top w:w="0" w:type="dxa"/>
                  <w:bottom w:w="0" w:type="dxa"/>
                </w:tblCellMar>
              </w:tblPrEx>
              <w:tc>
                <w:tcPr>
                  <w:tcW w:w="680" w:type="dxa"/>
                </w:tcPr>
                <w:p w14:paraId="53E43F45" w14:textId="77777777" w:rsidR="00711444" w:rsidRPr="004D0DAA" w:rsidRDefault="00711444" w:rsidP="00AA2A4C">
                  <w:pPr>
                    <w:pStyle w:val="TAC"/>
                    <w:rPr>
                      <w:lang w:eastAsia="en-US"/>
                    </w:rPr>
                  </w:pPr>
                  <w:r w:rsidRPr="004D0DAA">
                    <w:rPr>
                      <w:lang w:eastAsia="en-US"/>
                    </w:rPr>
                    <w:t>2</w:t>
                  </w:r>
                </w:p>
              </w:tc>
              <w:tc>
                <w:tcPr>
                  <w:tcW w:w="680" w:type="dxa"/>
                </w:tcPr>
                <w:p w14:paraId="765C2E5A" w14:textId="77777777" w:rsidR="00711444" w:rsidRPr="004D0DAA" w:rsidRDefault="00711444" w:rsidP="00AA2A4C">
                  <w:pPr>
                    <w:pStyle w:val="TAC"/>
                    <w:rPr>
                      <w:lang w:eastAsia="en-US"/>
                    </w:rPr>
                  </w:pPr>
                  <w:r w:rsidRPr="004D0DAA">
                    <w:rPr>
                      <w:lang w:eastAsia="en-US"/>
                    </w:rPr>
                    <w:t>19</w:t>
                  </w:r>
                </w:p>
              </w:tc>
              <w:tc>
                <w:tcPr>
                  <w:tcW w:w="680" w:type="dxa"/>
                </w:tcPr>
                <w:p w14:paraId="496B2F4D" w14:textId="77777777" w:rsidR="00711444" w:rsidRPr="004D0DAA" w:rsidRDefault="00711444" w:rsidP="00AA2A4C">
                  <w:pPr>
                    <w:pStyle w:val="TAC"/>
                    <w:rPr>
                      <w:lang w:eastAsia="en-US"/>
                    </w:rPr>
                  </w:pPr>
                  <w:r w:rsidRPr="004D0DAA">
                    <w:rPr>
                      <w:lang w:eastAsia="en-US"/>
                    </w:rPr>
                    <w:t>7</w:t>
                  </w:r>
                </w:p>
              </w:tc>
              <w:tc>
                <w:tcPr>
                  <w:tcW w:w="680" w:type="dxa"/>
                </w:tcPr>
                <w:p w14:paraId="30027983" w14:textId="77777777" w:rsidR="00711444" w:rsidRPr="004D0DAA" w:rsidRDefault="00711444" w:rsidP="00AA2A4C">
                  <w:pPr>
                    <w:pStyle w:val="TAC"/>
                    <w:rPr>
                      <w:lang w:eastAsia="en-US"/>
                    </w:rPr>
                  </w:pPr>
                  <w:r w:rsidRPr="004D0DAA">
                    <w:rPr>
                      <w:lang w:eastAsia="en-US"/>
                    </w:rPr>
                    <w:t>60</w:t>
                  </w:r>
                </w:p>
              </w:tc>
              <w:tc>
                <w:tcPr>
                  <w:tcW w:w="680" w:type="dxa"/>
                </w:tcPr>
                <w:p w14:paraId="69FC5694" w14:textId="77777777" w:rsidR="00711444" w:rsidRPr="004D0DAA" w:rsidRDefault="00711444" w:rsidP="00AA2A4C">
                  <w:pPr>
                    <w:pStyle w:val="TAC"/>
                    <w:rPr>
                      <w:lang w:eastAsia="en-US"/>
                    </w:rPr>
                  </w:pPr>
                  <w:r w:rsidRPr="004D0DAA">
                    <w:rPr>
                      <w:lang w:eastAsia="en-US"/>
                    </w:rPr>
                    <w:t>12</w:t>
                  </w:r>
                </w:p>
              </w:tc>
              <w:tc>
                <w:tcPr>
                  <w:tcW w:w="680" w:type="dxa"/>
                </w:tcPr>
                <w:p w14:paraId="10924A41" w14:textId="77777777" w:rsidR="00711444" w:rsidRPr="004D0DAA" w:rsidRDefault="00711444" w:rsidP="00AA2A4C">
                  <w:pPr>
                    <w:pStyle w:val="TAC"/>
                    <w:rPr>
                      <w:lang w:eastAsia="en-US"/>
                    </w:rPr>
                  </w:pPr>
                  <w:r w:rsidRPr="004D0DAA">
                    <w:rPr>
                      <w:lang w:eastAsia="en-US"/>
                    </w:rPr>
                    <w:t>95</w:t>
                  </w:r>
                </w:p>
              </w:tc>
              <w:tc>
                <w:tcPr>
                  <w:tcW w:w="680" w:type="dxa"/>
                </w:tcPr>
                <w:p w14:paraId="573754F6" w14:textId="77777777" w:rsidR="00711444" w:rsidRPr="004D0DAA" w:rsidRDefault="00711444" w:rsidP="00AA2A4C">
                  <w:pPr>
                    <w:pStyle w:val="TAC"/>
                    <w:rPr>
                      <w:lang w:eastAsia="en-US"/>
                    </w:rPr>
                  </w:pPr>
                  <w:r w:rsidRPr="004D0DAA">
                    <w:rPr>
                      <w:lang w:eastAsia="en-US"/>
                    </w:rPr>
                    <w:t>17-31</w:t>
                  </w:r>
                </w:p>
              </w:tc>
              <w:tc>
                <w:tcPr>
                  <w:tcW w:w="680" w:type="dxa"/>
                </w:tcPr>
                <w:p w14:paraId="00C347CC" w14:textId="77777777" w:rsidR="00711444" w:rsidRPr="004D0DAA" w:rsidRDefault="00711444" w:rsidP="00AA2A4C">
                  <w:pPr>
                    <w:pStyle w:val="TAC"/>
                    <w:rPr>
                      <w:lang w:eastAsia="en-US"/>
                    </w:rPr>
                  </w:pPr>
                  <w:r w:rsidRPr="004D0DAA">
                    <w:rPr>
                      <w:lang w:eastAsia="en-US"/>
                    </w:rPr>
                    <w:t>0</w:t>
                  </w:r>
                </w:p>
              </w:tc>
            </w:tr>
            <w:tr w:rsidR="00711444" w:rsidRPr="004D0DAA" w14:paraId="1E72A4D8" w14:textId="77777777" w:rsidTr="00AA2A4C">
              <w:tblPrEx>
                <w:tblCellMar>
                  <w:top w:w="0" w:type="dxa"/>
                  <w:bottom w:w="0" w:type="dxa"/>
                </w:tblCellMar>
              </w:tblPrEx>
              <w:tc>
                <w:tcPr>
                  <w:tcW w:w="680" w:type="dxa"/>
                </w:tcPr>
                <w:p w14:paraId="2594A81F" w14:textId="77777777" w:rsidR="00711444" w:rsidRPr="004D0DAA" w:rsidRDefault="00711444" w:rsidP="00AA2A4C">
                  <w:pPr>
                    <w:pStyle w:val="TAC"/>
                    <w:rPr>
                      <w:lang w:eastAsia="en-US"/>
                    </w:rPr>
                  </w:pPr>
                  <w:r w:rsidRPr="004D0DAA">
                    <w:rPr>
                      <w:lang w:eastAsia="en-US"/>
                    </w:rPr>
                    <w:t>3</w:t>
                  </w:r>
                </w:p>
              </w:tc>
              <w:tc>
                <w:tcPr>
                  <w:tcW w:w="680" w:type="dxa"/>
                </w:tcPr>
                <w:p w14:paraId="5302792A" w14:textId="77777777" w:rsidR="00711444" w:rsidRPr="004D0DAA" w:rsidRDefault="00711444" w:rsidP="00AA2A4C">
                  <w:pPr>
                    <w:pStyle w:val="TAC"/>
                    <w:rPr>
                      <w:lang w:eastAsia="en-US"/>
                    </w:rPr>
                  </w:pPr>
                  <w:r w:rsidRPr="004D0DAA">
                    <w:rPr>
                      <w:lang w:eastAsia="en-US"/>
                    </w:rPr>
                    <w:t>28</w:t>
                  </w:r>
                </w:p>
              </w:tc>
              <w:tc>
                <w:tcPr>
                  <w:tcW w:w="680" w:type="dxa"/>
                </w:tcPr>
                <w:p w14:paraId="20EF1A2D" w14:textId="77777777" w:rsidR="00711444" w:rsidRPr="004D0DAA" w:rsidRDefault="00711444" w:rsidP="00AA2A4C">
                  <w:pPr>
                    <w:pStyle w:val="TAC"/>
                    <w:rPr>
                      <w:lang w:eastAsia="en-US"/>
                    </w:rPr>
                  </w:pPr>
                  <w:r w:rsidRPr="004D0DAA">
                    <w:rPr>
                      <w:lang w:eastAsia="en-US"/>
                    </w:rPr>
                    <w:t>8</w:t>
                  </w:r>
                </w:p>
              </w:tc>
              <w:tc>
                <w:tcPr>
                  <w:tcW w:w="680" w:type="dxa"/>
                </w:tcPr>
                <w:p w14:paraId="0FCBE2A1" w14:textId="77777777" w:rsidR="00711444" w:rsidRPr="004D0DAA" w:rsidRDefault="00711444" w:rsidP="00AA2A4C">
                  <w:pPr>
                    <w:pStyle w:val="TAC"/>
                    <w:rPr>
                      <w:lang w:eastAsia="en-US"/>
                    </w:rPr>
                  </w:pPr>
                  <w:r w:rsidRPr="004D0DAA">
                    <w:rPr>
                      <w:lang w:eastAsia="en-US"/>
                    </w:rPr>
                    <w:t>67</w:t>
                  </w:r>
                </w:p>
              </w:tc>
              <w:tc>
                <w:tcPr>
                  <w:tcW w:w="680" w:type="dxa"/>
                </w:tcPr>
                <w:p w14:paraId="1BC1E965" w14:textId="77777777" w:rsidR="00711444" w:rsidRPr="004D0DAA" w:rsidRDefault="00711444" w:rsidP="00AA2A4C">
                  <w:pPr>
                    <w:pStyle w:val="TAC"/>
                    <w:rPr>
                      <w:lang w:eastAsia="en-US"/>
                    </w:rPr>
                  </w:pPr>
                  <w:r w:rsidRPr="004D0DAA">
                    <w:rPr>
                      <w:lang w:eastAsia="en-US"/>
                    </w:rPr>
                    <w:t>13</w:t>
                  </w:r>
                </w:p>
              </w:tc>
              <w:tc>
                <w:tcPr>
                  <w:tcW w:w="680" w:type="dxa"/>
                </w:tcPr>
                <w:p w14:paraId="7923964A" w14:textId="77777777" w:rsidR="00711444" w:rsidRPr="004D0DAA" w:rsidRDefault="00711444" w:rsidP="00AA2A4C">
                  <w:pPr>
                    <w:pStyle w:val="TAC"/>
                    <w:rPr>
                      <w:lang w:eastAsia="en-US"/>
                    </w:rPr>
                  </w:pPr>
                  <w:r w:rsidRPr="004D0DAA">
                    <w:rPr>
                      <w:lang w:eastAsia="en-US"/>
                    </w:rPr>
                    <w:t>102</w:t>
                  </w:r>
                </w:p>
              </w:tc>
              <w:tc>
                <w:tcPr>
                  <w:tcW w:w="680" w:type="dxa"/>
                </w:tcPr>
                <w:p w14:paraId="6549837A" w14:textId="77777777" w:rsidR="00711444" w:rsidRPr="004D0DAA" w:rsidRDefault="00711444" w:rsidP="00AA2A4C"/>
              </w:tc>
              <w:tc>
                <w:tcPr>
                  <w:tcW w:w="680" w:type="dxa"/>
                </w:tcPr>
                <w:p w14:paraId="5045BD0E" w14:textId="77777777" w:rsidR="00711444" w:rsidRPr="004D0DAA" w:rsidRDefault="00711444" w:rsidP="00AA2A4C">
                  <w:pPr>
                    <w:pStyle w:val="TAC"/>
                    <w:rPr>
                      <w:lang w:eastAsia="en-US"/>
                    </w:rPr>
                  </w:pPr>
                </w:p>
              </w:tc>
            </w:tr>
            <w:tr w:rsidR="00711444" w:rsidRPr="004D0DAA" w14:paraId="2DC43BF9" w14:textId="77777777" w:rsidTr="00AA2A4C">
              <w:tblPrEx>
                <w:tblCellMar>
                  <w:top w:w="0" w:type="dxa"/>
                  <w:bottom w:w="0" w:type="dxa"/>
                </w:tblCellMar>
              </w:tblPrEx>
              <w:tc>
                <w:tcPr>
                  <w:tcW w:w="680" w:type="dxa"/>
                </w:tcPr>
                <w:p w14:paraId="2F2AB562" w14:textId="77777777" w:rsidR="00711444" w:rsidRPr="004D0DAA" w:rsidRDefault="00711444" w:rsidP="00AA2A4C">
                  <w:pPr>
                    <w:pStyle w:val="TAC"/>
                    <w:rPr>
                      <w:lang w:eastAsia="en-US"/>
                    </w:rPr>
                  </w:pPr>
                  <w:r w:rsidRPr="004D0DAA">
                    <w:rPr>
                      <w:lang w:eastAsia="en-US"/>
                    </w:rPr>
                    <w:t>4</w:t>
                  </w:r>
                </w:p>
              </w:tc>
              <w:tc>
                <w:tcPr>
                  <w:tcW w:w="680" w:type="dxa"/>
                </w:tcPr>
                <w:p w14:paraId="147D2BF3" w14:textId="77777777" w:rsidR="00711444" w:rsidRPr="004D0DAA" w:rsidRDefault="00711444" w:rsidP="00AA2A4C">
                  <w:pPr>
                    <w:pStyle w:val="TAC"/>
                    <w:rPr>
                      <w:lang w:eastAsia="en-US"/>
                    </w:rPr>
                  </w:pPr>
                  <w:r w:rsidRPr="004D0DAA">
                    <w:rPr>
                      <w:lang w:eastAsia="en-US"/>
                    </w:rPr>
                    <w:t>36</w:t>
                  </w:r>
                </w:p>
              </w:tc>
              <w:tc>
                <w:tcPr>
                  <w:tcW w:w="680" w:type="dxa"/>
                </w:tcPr>
                <w:p w14:paraId="210BB75C" w14:textId="77777777" w:rsidR="00711444" w:rsidRPr="004D0DAA" w:rsidRDefault="00711444" w:rsidP="00AA2A4C">
                  <w:pPr>
                    <w:pStyle w:val="TAC"/>
                    <w:rPr>
                      <w:lang w:eastAsia="en-US"/>
                    </w:rPr>
                  </w:pPr>
                  <w:r w:rsidRPr="004D0DAA">
                    <w:rPr>
                      <w:lang w:eastAsia="en-US"/>
                    </w:rPr>
                    <w:t>9</w:t>
                  </w:r>
                </w:p>
              </w:tc>
              <w:tc>
                <w:tcPr>
                  <w:tcW w:w="680" w:type="dxa"/>
                </w:tcPr>
                <w:p w14:paraId="59861318" w14:textId="77777777" w:rsidR="00711444" w:rsidRPr="004D0DAA" w:rsidRDefault="00711444" w:rsidP="00AA2A4C">
                  <w:pPr>
                    <w:pStyle w:val="TAC"/>
                    <w:rPr>
                      <w:lang w:eastAsia="en-US"/>
                    </w:rPr>
                  </w:pPr>
                  <w:r w:rsidRPr="004D0DAA">
                    <w:rPr>
                      <w:lang w:eastAsia="en-US"/>
                    </w:rPr>
                    <w:t>74</w:t>
                  </w:r>
                </w:p>
              </w:tc>
              <w:tc>
                <w:tcPr>
                  <w:tcW w:w="680" w:type="dxa"/>
                </w:tcPr>
                <w:p w14:paraId="07977549" w14:textId="77777777" w:rsidR="00711444" w:rsidRPr="004D0DAA" w:rsidRDefault="00711444" w:rsidP="00AA2A4C">
                  <w:pPr>
                    <w:pStyle w:val="TAC"/>
                    <w:rPr>
                      <w:lang w:eastAsia="en-US"/>
                    </w:rPr>
                  </w:pPr>
                  <w:r w:rsidRPr="004D0DAA">
                    <w:rPr>
                      <w:lang w:eastAsia="en-US"/>
                    </w:rPr>
                    <w:t>14</w:t>
                  </w:r>
                </w:p>
              </w:tc>
              <w:tc>
                <w:tcPr>
                  <w:tcW w:w="680" w:type="dxa"/>
                </w:tcPr>
                <w:p w14:paraId="587B24C5" w14:textId="77777777" w:rsidR="00711444" w:rsidRPr="004D0DAA" w:rsidRDefault="00711444" w:rsidP="00AA2A4C">
                  <w:pPr>
                    <w:pStyle w:val="TAC"/>
                    <w:rPr>
                      <w:lang w:eastAsia="en-US"/>
                    </w:rPr>
                  </w:pPr>
                  <w:r w:rsidRPr="004D0DAA">
                    <w:rPr>
                      <w:lang w:eastAsia="en-US"/>
                    </w:rPr>
                    <w:t>109</w:t>
                  </w:r>
                </w:p>
              </w:tc>
              <w:tc>
                <w:tcPr>
                  <w:tcW w:w="680" w:type="dxa"/>
                </w:tcPr>
                <w:p w14:paraId="073E7CB3" w14:textId="77777777" w:rsidR="00711444" w:rsidRPr="004D0DAA" w:rsidRDefault="00711444" w:rsidP="00AA2A4C"/>
              </w:tc>
              <w:tc>
                <w:tcPr>
                  <w:tcW w:w="680" w:type="dxa"/>
                </w:tcPr>
                <w:p w14:paraId="03429E6C" w14:textId="77777777" w:rsidR="00711444" w:rsidRPr="004D0DAA" w:rsidRDefault="00711444" w:rsidP="00AA2A4C">
                  <w:pPr>
                    <w:pStyle w:val="TAC"/>
                    <w:rPr>
                      <w:lang w:eastAsia="en-US"/>
                    </w:rPr>
                  </w:pPr>
                </w:p>
              </w:tc>
            </w:tr>
          </w:tbl>
          <w:p w14:paraId="5C3D95C6"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s>
            </w:pPr>
          </w:p>
          <w:p w14:paraId="41A7C75D"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s>
              <w:rPr>
                <w:i/>
              </w:rPr>
            </w:pPr>
            <w:r w:rsidRPr="004D0DAA">
              <w:rPr>
                <w:i/>
              </w:rPr>
              <w:tab/>
              <w:t xml:space="preserve">Table </w:t>
            </w:r>
            <w:r w:rsidRPr="004D0DAA">
              <w:t>11.2.9b.2.a</w:t>
            </w:r>
          </w:p>
          <w:p w14:paraId="5C980CFB"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s>
              <w:rPr>
                <w:i/>
              </w:rPr>
            </w:pPr>
          </w:p>
          <w:p w14:paraId="5036DCFD" w14:textId="77777777" w:rsidR="00711444" w:rsidRPr="004D0DAA" w:rsidRDefault="00711444" w:rsidP="00AA2A4C">
            <w:r w:rsidRPr="004D0DAA">
              <w:t xml:space="preserve">If n=0 and </w:t>
            </w:r>
            <w:r w:rsidRPr="004D0DAA">
              <w:rPr>
                <w:sz w:val="18"/>
              </w:rPr>
              <w:t>FDD_</w:t>
            </w:r>
            <w:r w:rsidRPr="004D0DAA">
              <w:t>Indic0 = 0, this indicates the 3G Neighbour Cell list index for report on RSSI, see 3GPP TS 45.008.</w:t>
            </w:r>
          </w:p>
          <w:p w14:paraId="63C8ADA6" w14:textId="77777777" w:rsidR="00711444" w:rsidRPr="004D0DAA" w:rsidRDefault="00711444" w:rsidP="00AA2A4C">
            <w:r w:rsidRPr="004D0DAA">
              <w:t>If n is equal or greater than 17, this shall not be considered as an error; the corresponding index in the 3G Neighbour Cell list shall be incremented by one.</w:t>
            </w:r>
            <w:r w:rsidRPr="004D0DAA">
              <w:rPr>
                <w:rFonts w:hint="eastAsia"/>
                <w:lang w:eastAsia="zh-CN"/>
              </w:rPr>
              <w:t xml:space="preserve"> The </w:t>
            </w:r>
            <w:r w:rsidRPr="004D0DAA">
              <w:rPr>
                <w:lang w:eastAsia="zh-CN"/>
              </w:rPr>
              <w:t>entry created in the 3G Neighbour Cell list does not contain valid information</w:t>
            </w:r>
            <w:r w:rsidRPr="004D0DAA">
              <w:rPr>
                <w:rFonts w:hint="eastAsia"/>
                <w:lang w:eastAsia="zh-CN"/>
              </w:rPr>
              <w:t>.</w:t>
            </w:r>
          </w:p>
          <w:p w14:paraId="24BAAE0C" w14:textId="77777777" w:rsidR="00711444" w:rsidRPr="004D0DAA" w:rsidRDefault="00711444" w:rsidP="00AA2A4C">
            <w:r w:rsidRPr="004D0DAA">
              <w:t>For each (10-bit-long) decoded parameter, bits 1-9 are the Scrambling Code and bit 10 is the Diversity bit.</w:t>
            </w:r>
          </w:p>
        </w:tc>
      </w:tr>
      <w:tr w:rsidR="00711444" w:rsidRPr="004D0DAA" w14:paraId="6888585F" w14:textId="77777777" w:rsidTr="00AA2A4C">
        <w:tblPrEx>
          <w:tblCellMar>
            <w:top w:w="0" w:type="dxa"/>
            <w:bottom w:w="0" w:type="dxa"/>
          </w:tblCellMar>
        </w:tblPrEx>
        <w:trPr>
          <w:gridAfter w:val="1"/>
          <w:wAfter w:w="7" w:type="dxa"/>
          <w:cantSplit/>
        </w:trPr>
        <w:tc>
          <w:tcPr>
            <w:tcW w:w="9848" w:type="dxa"/>
          </w:tcPr>
          <w:p w14:paraId="114DE4AD" w14:textId="77777777" w:rsidR="00711444" w:rsidRPr="004D0DAA" w:rsidRDefault="00711444" w:rsidP="00AA2A4C">
            <w:r w:rsidRPr="004D0DAA">
              <w:rPr>
                <w:b/>
              </w:rPr>
              <w:t>Scrambling Code</w:t>
            </w:r>
            <w:r w:rsidRPr="004D0DAA">
              <w:t xml:space="preserve"> (9 bit field)</w:t>
            </w:r>
          </w:p>
          <w:p w14:paraId="744A7C1D" w14:textId="77777777" w:rsidR="00711444" w:rsidRPr="004D0DAA" w:rsidRDefault="00711444" w:rsidP="00AA2A4C">
            <w:pPr>
              <w:rPr>
                <w:b/>
                <w:i/>
              </w:rPr>
            </w:pPr>
            <w:r w:rsidRPr="004D0DAA">
              <w:t>This parameter indicates the Primary Scrambling Code as defined in 3GPP TS 25.213.</w:t>
            </w:r>
          </w:p>
        </w:tc>
      </w:tr>
      <w:tr w:rsidR="00711444" w:rsidRPr="004D0DAA" w14:paraId="47446885" w14:textId="77777777" w:rsidTr="00AA2A4C">
        <w:tblPrEx>
          <w:tblCellMar>
            <w:top w:w="0" w:type="dxa"/>
            <w:bottom w:w="0" w:type="dxa"/>
          </w:tblCellMar>
        </w:tblPrEx>
        <w:trPr>
          <w:gridAfter w:val="1"/>
          <w:wAfter w:w="7" w:type="dxa"/>
          <w:cantSplit/>
        </w:trPr>
        <w:tc>
          <w:tcPr>
            <w:tcW w:w="9848" w:type="dxa"/>
          </w:tcPr>
          <w:p w14:paraId="51B32DD2" w14:textId="77777777" w:rsidR="00711444" w:rsidRPr="004D0DAA" w:rsidRDefault="00711444" w:rsidP="00AA2A4C">
            <w:r w:rsidRPr="004D0DAA">
              <w:rPr>
                <w:b/>
              </w:rPr>
              <w:lastRenderedPageBreak/>
              <w:t>Diversity</w:t>
            </w:r>
            <w:r w:rsidRPr="004D0DAA">
              <w:t xml:space="preserve"> (1 bit field)</w:t>
            </w:r>
          </w:p>
          <w:p w14:paraId="61F1AE0C" w14:textId="77777777" w:rsidR="00711444" w:rsidRPr="004D0DAA" w:rsidRDefault="00711444" w:rsidP="00AA2A4C">
            <w:r w:rsidRPr="004D0DAA">
              <w:t>This parameter indicates if diversity is applied for the cell:</w:t>
            </w:r>
          </w:p>
          <w:p w14:paraId="0FAEFD9F" w14:textId="77777777" w:rsidR="00711444" w:rsidRPr="004D0DAA" w:rsidRDefault="00711444" w:rsidP="00AA2A4C">
            <w:pPr>
              <w:rPr>
                <w:b/>
                <w:i/>
              </w:rPr>
            </w:pPr>
            <w:r w:rsidRPr="004D0DAA">
              <w:t>Bit</w:t>
            </w:r>
            <w:r w:rsidRPr="004D0DAA">
              <w:br/>
              <w:t>0</w:t>
            </w:r>
            <w:r w:rsidRPr="004D0DAA">
              <w:tab/>
              <w:t>Diversity is not applied for this cell</w:t>
            </w:r>
            <w:r w:rsidRPr="004D0DAA">
              <w:br/>
              <w:t>1</w:t>
            </w:r>
            <w:r w:rsidRPr="004D0DAA">
              <w:tab/>
              <w:t>Diversity is applied for this cell</w:t>
            </w:r>
            <w:r w:rsidRPr="004D0DAA">
              <w:rPr>
                <w:i/>
              </w:rPr>
              <w:t>.</w:t>
            </w:r>
          </w:p>
        </w:tc>
      </w:tr>
      <w:tr w:rsidR="00711444" w:rsidRPr="004D0DAA" w14:paraId="0BC5D47F" w14:textId="77777777" w:rsidTr="00AA2A4C">
        <w:tblPrEx>
          <w:tblCellMar>
            <w:top w:w="0" w:type="dxa"/>
            <w:bottom w:w="0" w:type="dxa"/>
          </w:tblCellMar>
        </w:tblPrEx>
        <w:trPr>
          <w:gridAfter w:val="1"/>
          <w:wAfter w:w="7" w:type="dxa"/>
          <w:cantSplit/>
        </w:trPr>
        <w:tc>
          <w:tcPr>
            <w:tcW w:w="9848" w:type="dxa"/>
          </w:tcPr>
          <w:p w14:paraId="266A9328" w14:textId="77777777" w:rsidR="00711444" w:rsidRPr="004D0DAA" w:rsidRDefault="00711444" w:rsidP="00AA2A4C">
            <w:pPr>
              <w:rPr>
                <w:b/>
                <w:i/>
              </w:rPr>
            </w:pPr>
            <w:r w:rsidRPr="004D0DAA">
              <w:rPr>
                <w:b/>
                <w:i/>
              </w:rPr>
              <w:t>UTRAN TDD Description:</w:t>
            </w:r>
          </w:p>
          <w:p w14:paraId="619C1B07" w14:textId="77777777" w:rsidR="00711444" w:rsidRPr="004D0DAA" w:rsidRDefault="00711444" w:rsidP="00AA2A4C">
            <w:r w:rsidRPr="004D0DAA">
              <w:rPr>
                <w:b/>
              </w:rPr>
              <w:t xml:space="preserve">Bandwidth_TDD </w:t>
            </w:r>
            <w:r w:rsidRPr="004D0DAA">
              <w:t>(3bit field)</w:t>
            </w:r>
            <w:r w:rsidRPr="004D0DAA">
              <w:br/>
              <w:t>This optional information element refers to 3GPP TS 25.331.</w:t>
            </w:r>
          </w:p>
          <w:p w14:paraId="3CC5CFE8" w14:textId="77777777" w:rsidR="00711444" w:rsidRPr="004D0DAA" w:rsidRDefault="00711444" w:rsidP="00AA2A4C">
            <w:pPr>
              <w:rPr>
                <w:b/>
                <w:i/>
              </w:rPr>
            </w:pPr>
            <w:r w:rsidRPr="004D0DAA">
              <w:t>Bit</w:t>
            </w:r>
            <w:r w:rsidRPr="004D0DAA">
              <w:br/>
              <w:t>321</w:t>
            </w:r>
            <w:r w:rsidRPr="004D0DAA">
              <w:br/>
              <w:t>000</w:t>
            </w:r>
            <w:r w:rsidRPr="004D0DAA">
              <w:tab/>
              <w:t>3,84 Mcps</w:t>
            </w:r>
            <w:r w:rsidRPr="004D0DAA">
              <w:br/>
              <w:t>001</w:t>
            </w:r>
            <w:r w:rsidRPr="004D0DAA">
              <w:tab/>
              <w:t>1,28 Mcps</w:t>
            </w:r>
            <w:r w:rsidRPr="004D0DAA">
              <w:br/>
              <w:t>All other values shall not be interpreted as an error; indices of the 3G Neighbour Cell list shall be incremented accordingly (but no reporting can be performed). When missing, this indicates 3,84 Mcps.</w:t>
            </w:r>
          </w:p>
        </w:tc>
      </w:tr>
      <w:tr w:rsidR="00711444" w:rsidRPr="004D0DAA" w14:paraId="230B3E4C" w14:textId="77777777" w:rsidTr="00AA2A4C">
        <w:tblPrEx>
          <w:tblCellMar>
            <w:top w:w="0" w:type="dxa"/>
            <w:bottom w:w="0" w:type="dxa"/>
          </w:tblCellMar>
        </w:tblPrEx>
        <w:trPr>
          <w:gridAfter w:val="1"/>
          <w:wAfter w:w="7" w:type="dxa"/>
          <w:cantSplit/>
        </w:trPr>
        <w:tc>
          <w:tcPr>
            <w:tcW w:w="9848" w:type="dxa"/>
          </w:tcPr>
          <w:p w14:paraId="3F75BE1D" w14:textId="77777777" w:rsidR="00711444" w:rsidRPr="004D0DAA" w:rsidRDefault="00711444" w:rsidP="00AA2A4C">
            <w:pPr>
              <w:rPr>
                <w:b/>
                <w:i/>
              </w:rPr>
            </w:pPr>
            <w:r w:rsidRPr="004D0DAA">
              <w:rPr>
                <w:b/>
              </w:rPr>
              <w:t>TDD_ARFCN</w:t>
            </w:r>
            <w:r w:rsidRPr="004D0DAA">
              <w:t xml:space="preserve"> (14 bit field)</w:t>
            </w:r>
            <w:r w:rsidRPr="004D0DAA">
              <w:br/>
              <w:t>This optional information element is defined as the UARFCN in 3GPP TS 25.102. Any non supported frequency shall not be considered as an error; indices of the 3G Neighbour Cell list shall be incremented accordingly.</w:t>
            </w:r>
          </w:p>
        </w:tc>
      </w:tr>
      <w:tr w:rsidR="00711444" w:rsidRPr="004D0DAA" w14:paraId="451D157F" w14:textId="77777777" w:rsidTr="00AA2A4C">
        <w:tblPrEx>
          <w:tblCellMar>
            <w:top w:w="0" w:type="dxa"/>
            <w:bottom w:w="0" w:type="dxa"/>
          </w:tblCellMar>
        </w:tblPrEx>
        <w:trPr>
          <w:gridAfter w:val="1"/>
          <w:wAfter w:w="7" w:type="dxa"/>
          <w:cantSplit/>
        </w:trPr>
        <w:tc>
          <w:tcPr>
            <w:tcW w:w="9848" w:type="dxa"/>
          </w:tcPr>
          <w:p w14:paraId="0161A256" w14:textId="77777777" w:rsidR="00711444" w:rsidRPr="004D0DAA" w:rsidRDefault="00711444" w:rsidP="00AA2A4C">
            <w:r w:rsidRPr="004D0DAA">
              <w:rPr>
                <w:b/>
                <w:sz w:val="18"/>
              </w:rPr>
              <w:t>TDD_</w:t>
            </w:r>
            <w:r w:rsidRPr="004D0DAA">
              <w:rPr>
                <w:b/>
              </w:rPr>
              <w:t>Indic0</w:t>
            </w:r>
            <w:r w:rsidRPr="004D0DAA">
              <w:t>, information 0 indicator (1 bit):</w:t>
            </w:r>
            <w:r w:rsidRPr="004D0DAA">
              <w:br/>
              <w:t>This field indicates if the Cell_Parameter/Sync_Case/Diversity parameter value '0000000000' is a member of the set.</w:t>
            </w:r>
          </w:p>
          <w:p w14:paraId="199D5D9D" w14:textId="77777777" w:rsidR="00711444" w:rsidRPr="004D0DAA" w:rsidRDefault="00711444" w:rsidP="00AA2A4C">
            <w:pPr>
              <w:rPr>
                <w:b/>
              </w:rPr>
            </w:pPr>
            <w:r w:rsidRPr="004D0DAA">
              <w:t>Bit</w:t>
            </w:r>
            <w:r w:rsidRPr="004D0DAA">
              <w:br/>
              <w:t>0</w:t>
            </w:r>
            <w:r w:rsidRPr="004D0DAA">
              <w:tab/>
              <w:t>parameter value '0000000000' is not a member of the set</w:t>
            </w:r>
            <w:r w:rsidRPr="004D0DAA">
              <w:br/>
              <w:t>1</w:t>
            </w:r>
            <w:r w:rsidRPr="004D0DAA">
              <w:tab/>
              <w:t>parameter value '0000000000' is a member of the set</w:t>
            </w:r>
          </w:p>
        </w:tc>
      </w:tr>
      <w:tr w:rsidR="00711444" w:rsidRPr="004D0DAA" w14:paraId="16AD879A" w14:textId="77777777" w:rsidTr="00AA2A4C">
        <w:tblPrEx>
          <w:tblCellMar>
            <w:top w:w="0" w:type="dxa"/>
            <w:bottom w:w="0" w:type="dxa"/>
          </w:tblCellMar>
        </w:tblPrEx>
        <w:trPr>
          <w:gridAfter w:val="1"/>
          <w:wAfter w:w="7" w:type="dxa"/>
          <w:cantSplit/>
        </w:trPr>
        <w:tc>
          <w:tcPr>
            <w:tcW w:w="9848" w:type="dxa"/>
          </w:tcPr>
          <w:p w14:paraId="07CE76BB" w14:textId="77777777" w:rsidR="00711444" w:rsidRPr="004D0DAA" w:rsidRDefault="00711444" w:rsidP="00AA2A4C">
            <w:r w:rsidRPr="004D0DAA">
              <w:rPr>
                <w:b/>
              </w:rPr>
              <w:t xml:space="preserve">NR_OF_TDD_CELLS </w:t>
            </w:r>
            <w:r w:rsidRPr="004D0DAA">
              <w:t>(5 bit field)</w:t>
            </w:r>
            <w:r w:rsidRPr="004D0DAA">
              <w:br/>
              <w:t>This field defines the decimal value of the number of TDD_CELL_INFORMATION parameters.</w:t>
            </w:r>
          </w:p>
        </w:tc>
      </w:tr>
      <w:tr w:rsidR="00711444" w:rsidRPr="004D0DAA" w14:paraId="784A089F" w14:textId="77777777" w:rsidTr="00AA2A4C">
        <w:tblPrEx>
          <w:tblCellMar>
            <w:top w:w="0" w:type="dxa"/>
            <w:bottom w:w="0" w:type="dxa"/>
          </w:tblCellMar>
        </w:tblPrEx>
        <w:trPr>
          <w:gridAfter w:val="1"/>
          <w:wAfter w:w="7" w:type="dxa"/>
          <w:cantSplit/>
        </w:trPr>
        <w:tc>
          <w:tcPr>
            <w:tcW w:w="9848" w:type="dxa"/>
          </w:tcPr>
          <w:p w14:paraId="1A37E41B" w14:textId="77777777" w:rsidR="00711444" w:rsidRPr="004D0DAA" w:rsidRDefault="00711444" w:rsidP="00AA2A4C">
            <w:r w:rsidRPr="004D0DAA">
              <w:rPr>
                <w:b/>
              </w:rPr>
              <w:t>TDD_CELL_INFORMATION Field </w:t>
            </w:r>
            <w:r w:rsidRPr="004D0DAA">
              <w:t>(q bit field)</w:t>
            </w:r>
            <w:r w:rsidRPr="004D0DAA">
              <w:br/>
              <w:t>This field allows to compute a set of 9-bit-long TDD_CELL_INFORMATION</w:t>
            </w:r>
            <w:r w:rsidRPr="004D0DAA">
              <w:rPr>
                <w:b/>
              </w:rPr>
              <w:t xml:space="preserve"> </w:t>
            </w:r>
            <w:r w:rsidRPr="004D0DAA">
              <w:t xml:space="preserve">parameters, re-using the </w:t>
            </w:r>
            <w:r w:rsidRPr="004D0DAA">
              <w:rPr>
                <w:i/>
              </w:rPr>
              <w:t>Range 512</w:t>
            </w:r>
            <w:r w:rsidRPr="004D0DAA">
              <w:rPr>
                <w:i/>
              </w:rPr>
              <w:br/>
              <w:t>format</w:t>
            </w:r>
            <w:r w:rsidRPr="004D0DAA">
              <w:t xml:space="preserve"> compression algorithm, see 3GPP TS 44.018 Annex J: 'Algorithm to encode frequency list information'</w:t>
            </w:r>
            <w:r w:rsidRPr="004D0DAA">
              <w:rPr>
                <w:i/>
              </w:rPr>
              <w:t xml:space="preserve">. </w:t>
            </w:r>
            <w:r w:rsidRPr="004D0DAA">
              <w:t xml:space="preserve">The formulas for decoding are given in 3GPP TS 44.018 sub-clause 10.5.2.13.4: 'Range 512 format', with w0=0. The consecutive parameters of this field are concatenated, starting with w1, and then w2, w3… </w:t>
            </w:r>
          </w:p>
          <w:p w14:paraId="6D36AC62" w14:textId="77777777" w:rsidR="00711444" w:rsidRPr="004D0DAA" w:rsidRDefault="00711444" w:rsidP="00AA2A4C">
            <w:r w:rsidRPr="004D0DAA">
              <w:t>The total number of bits q of this field depends on the value of the parameter NR_OF_TDD_CELLS = m, as follows:</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80"/>
              <w:gridCol w:w="680"/>
              <w:gridCol w:w="680"/>
              <w:gridCol w:w="680"/>
              <w:gridCol w:w="680"/>
              <w:gridCol w:w="680"/>
              <w:gridCol w:w="680"/>
              <w:gridCol w:w="680"/>
              <w:gridCol w:w="680"/>
            </w:tblGrid>
            <w:tr w:rsidR="00711444" w:rsidRPr="004D0DAA" w14:paraId="0CDA7F21" w14:textId="77777777" w:rsidTr="00AA2A4C">
              <w:tblPrEx>
                <w:tblCellMar>
                  <w:top w:w="0" w:type="dxa"/>
                  <w:bottom w:w="0" w:type="dxa"/>
                </w:tblCellMar>
              </w:tblPrEx>
              <w:tc>
                <w:tcPr>
                  <w:tcW w:w="680" w:type="dxa"/>
                </w:tcPr>
                <w:p w14:paraId="65801DDE" w14:textId="77777777" w:rsidR="00711444" w:rsidRPr="004D0DAA" w:rsidRDefault="00711444" w:rsidP="00AA2A4C">
                  <w:pPr>
                    <w:pStyle w:val="TAH"/>
                    <w:rPr>
                      <w:lang w:val="fr-FR" w:eastAsia="en-US"/>
                    </w:rPr>
                  </w:pPr>
                  <w:r w:rsidRPr="004D0DAA">
                    <w:rPr>
                      <w:lang w:val="fr-FR" w:eastAsia="en-US"/>
                    </w:rPr>
                    <w:t>m</w:t>
                  </w:r>
                </w:p>
              </w:tc>
              <w:tc>
                <w:tcPr>
                  <w:tcW w:w="680" w:type="dxa"/>
                </w:tcPr>
                <w:p w14:paraId="7F06A7A2" w14:textId="77777777" w:rsidR="00711444" w:rsidRPr="004D0DAA" w:rsidRDefault="00711444" w:rsidP="00AA2A4C">
                  <w:pPr>
                    <w:pStyle w:val="TAH"/>
                    <w:rPr>
                      <w:lang w:val="fr-FR" w:eastAsia="en-US"/>
                    </w:rPr>
                  </w:pPr>
                  <w:r w:rsidRPr="004D0DAA">
                    <w:rPr>
                      <w:lang w:val="fr-FR" w:eastAsia="en-US"/>
                    </w:rPr>
                    <w:t>q</w:t>
                  </w:r>
                </w:p>
              </w:tc>
              <w:tc>
                <w:tcPr>
                  <w:tcW w:w="680" w:type="dxa"/>
                </w:tcPr>
                <w:p w14:paraId="3D59F7D3" w14:textId="77777777" w:rsidR="00711444" w:rsidRPr="004D0DAA" w:rsidRDefault="00711444" w:rsidP="00AA2A4C">
                  <w:pPr>
                    <w:pStyle w:val="TAH"/>
                    <w:rPr>
                      <w:lang w:val="fr-FR" w:eastAsia="en-US"/>
                    </w:rPr>
                  </w:pPr>
                  <w:r w:rsidRPr="004D0DAA">
                    <w:rPr>
                      <w:lang w:val="fr-FR" w:eastAsia="en-US"/>
                    </w:rPr>
                    <w:t>m</w:t>
                  </w:r>
                </w:p>
              </w:tc>
              <w:tc>
                <w:tcPr>
                  <w:tcW w:w="680" w:type="dxa"/>
                </w:tcPr>
                <w:p w14:paraId="3F852ACD" w14:textId="77777777" w:rsidR="00711444" w:rsidRPr="004D0DAA" w:rsidRDefault="00711444" w:rsidP="00AA2A4C">
                  <w:pPr>
                    <w:pStyle w:val="TAH"/>
                    <w:rPr>
                      <w:lang w:val="fr-FR" w:eastAsia="en-US"/>
                    </w:rPr>
                  </w:pPr>
                  <w:r w:rsidRPr="004D0DAA">
                    <w:rPr>
                      <w:lang w:val="fr-FR" w:eastAsia="en-US"/>
                    </w:rPr>
                    <w:t>q</w:t>
                  </w:r>
                </w:p>
              </w:tc>
              <w:tc>
                <w:tcPr>
                  <w:tcW w:w="680" w:type="dxa"/>
                </w:tcPr>
                <w:p w14:paraId="72C7C972" w14:textId="77777777" w:rsidR="00711444" w:rsidRPr="004D0DAA" w:rsidRDefault="00711444" w:rsidP="00AA2A4C">
                  <w:pPr>
                    <w:pStyle w:val="TAH"/>
                    <w:rPr>
                      <w:lang w:val="fr-FR" w:eastAsia="en-US"/>
                    </w:rPr>
                  </w:pPr>
                  <w:r w:rsidRPr="004D0DAA">
                    <w:rPr>
                      <w:lang w:val="fr-FR" w:eastAsia="en-US"/>
                    </w:rPr>
                    <w:t>m</w:t>
                  </w:r>
                </w:p>
              </w:tc>
              <w:tc>
                <w:tcPr>
                  <w:tcW w:w="680" w:type="dxa"/>
                </w:tcPr>
                <w:p w14:paraId="7588057C" w14:textId="77777777" w:rsidR="00711444" w:rsidRPr="004D0DAA" w:rsidRDefault="00711444" w:rsidP="00AA2A4C">
                  <w:pPr>
                    <w:pStyle w:val="TAH"/>
                    <w:rPr>
                      <w:lang w:val="fr-FR" w:eastAsia="en-US"/>
                    </w:rPr>
                  </w:pPr>
                  <w:r w:rsidRPr="004D0DAA">
                    <w:rPr>
                      <w:lang w:val="fr-FR" w:eastAsia="en-US"/>
                    </w:rPr>
                    <w:t>q</w:t>
                  </w:r>
                </w:p>
              </w:tc>
              <w:tc>
                <w:tcPr>
                  <w:tcW w:w="680" w:type="dxa"/>
                </w:tcPr>
                <w:p w14:paraId="7E47559D" w14:textId="77777777" w:rsidR="00711444" w:rsidRPr="004D0DAA" w:rsidRDefault="00711444" w:rsidP="00AA2A4C">
                  <w:pPr>
                    <w:pStyle w:val="TAH"/>
                    <w:rPr>
                      <w:lang w:val="fr-FR" w:eastAsia="en-US"/>
                    </w:rPr>
                  </w:pPr>
                  <w:r w:rsidRPr="004D0DAA">
                    <w:rPr>
                      <w:lang w:val="fr-FR" w:eastAsia="en-US"/>
                    </w:rPr>
                    <w:t>m</w:t>
                  </w:r>
                </w:p>
              </w:tc>
              <w:tc>
                <w:tcPr>
                  <w:tcW w:w="680" w:type="dxa"/>
                </w:tcPr>
                <w:p w14:paraId="11AC53B6" w14:textId="77777777" w:rsidR="00711444" w:rsidRPr="004D0DAA" w:rsidRDefault="00711444" w:rsidP="00AA2A4C">
                  <w:pPr>
                    <w:pStyle w:val="TAH"/>
                    <w:rPr>
                      <w:lang w:val="fr-FR" w:eastAsia="en-US"/>
                    </w:rPr>
                  </w:pPr>
                  <w:r w:rsidRPr="004D0DAA">
                    <w:rPr>
                      <w:lang w:val="fr-FR" w:eastAsia="en-US"/>
                    </w:rPr>
                    <w:t>q</w:t>
                  </w:r>
                </w:p>
              </w:tc>
              <w:tc>
                <w:tcPr>
                  <w:tcW w:w="680" w:type="dxa"/>
                </w:tcPr>
                <w:p w14:paraId="1B142158" w14:textId="77777777" w:rsidR="00711444" w:rsidRPr="004D0DAA" w:rsidRDefault="00711444" w:rsidP="00AA2A4C">
                  <w:pPr>
                    <w:pStyle w:val="TAH"/>
                    <w:rPr>
                      <w:lang w:val="fr-FR" w:eastAsia="en-US"/>
                    </w:rPr>
                  </w:pPr>
                  <w:r w:rsidRPr="004D0DAA">
                    <w:rPr>
                      <w:lang w:val="fr-FR" w:eastAsia="en-US"/>
                    </w:rPr>
                    <w:t>m</w:t>
                  </w:r>
                </w:p>
              </w:tc>
              <w:tc>
                <w:tcPr>
                  <w:tcW w:w="680" w:type="dxa"/>
                </w:tcPr>
                <w:p w14:paraId="6E4FF798" w14:textId="77777777" w:rsidR="00711444" w:rsidRPr="004D0DAA" w:rsidRDefault="00711444" w:rsidP="00AA2A4C">
                  <w:pPr>
                    <w:pStyle w:val="TAH"/>
                    <w:rPr>
                      <w:lang w:val="fr-FR" w:eastAsia="en-US"/>
                    </w:rPr>
                  </w:pPr>
                  <w:r w:rsidRPr="004D0DAA">
                    <w:rPr>
                      <w:lang w:val="fr-FR" w:eastAsia="en-US"/>
                    </w:rPr>
                    <w:t>q</w:t>
                  </w:r>
                </w:p>
              </w:tc>
            </w:tr>
            <w:tr w:rsidR="00711444" w:rsidRPr="004D0DAA" w14:paraId="52CD5001" w14:textId="77777777" w:rsidTr="00AA2A4C">
              <w:tblPrEx>
                <w:tblCellMar>
                  <w:top w:w="0" w:type="dxa"/>
                  <w:bottom w:w="0" w:type="dxa"/>
                </w:tblCellMar>
              </w:tblPrEx>
              <w:tc>
                <w:tcPr>
                  <w:tcW w:w="680" w:type="dxa"/>
                </w:tcPr>
                <w:p w14:paraId="354BC0AC" w14:textId="77777777" w:rsidR="00711444" w:rsidRPr="004D0DAA" w:rsidRDefault="00711444" w:rsidP="00AA2A4C">
                  <w:pPr>
                    <w:pStyle w:val="TAC"/>
                    <w:rPr>
                      <w:lang w:val="fr-FR" w:eastAsia="en-US"/>
                    </w:rPr>
                  </w:pPr>
                  <w:r w:rsidRPr="004D0DAA">
                    <w:rPr>
                      <w:lang w:val="fr-FR" w:eastAsia="en-US"/>
                    </w:rPr>
                    <w:t>0</w:t>
                  </w:r>
                </w:p>
              </w:tc>
              <w:tc>
                <w:tcPr>
                  <w:tcW w:w="680" w:type="dxa"/>
                </w:tcPr>
                <w:p w14:paraId="362B5C5A" w14:textId="77777777" w:rsidR="00711444" w:rsidRPr="004D0DAA" w:rsidRDefault="00711444" w:rsidP="00AA2A4C">
                  <w:pPr>
                    <w:pStyle w:val="TAC"/>
                    <w:rPr>
                      <w:lang w:val="fr-FR" w:eastAsia="en-US"/>
                    </w:rPr>
                  </w:pPr>
                  <w:r w:rsidRPr="004D0DAA">
                    <w:rPr>
                      <w:lang w:val="fr-FR" w:eastAsia="en-US"/>
                    </w:rPr>
                    <w:t>0</w:t>
                  </w:r>
                </w:p>
              </w:tc>
              <w:tc>
                <w:tcPr>
                  <w:tcW w:w="680" w:type="dxa"/>
                </w:tcPr>
                <w:p w14:paraId="3882C8AE" w14:textId="77777777" w:rsidR="00711444" w:rsidRPr="004D0DAA" w:rsidRDefault="00711444" w:rsidP="00AA2A4C">
                  <w:pPr>
                    <w:pStyle w:val="TAC"/>
                    <w:rPr>
                      <w:lang w:val="fr-FR" w:eastAsia="en-US"/>
                    </w:rPr>
                  </w:pPr>
                  <w:r w:rsidRPr="004D0DAA">
                    <w:rPr>
                      <w:lang w:val="fr-FR" w:eastAsia="en-US"/>
                    </w:rPr>
                    <w:t>5</w:t>
                  </w:r>
                </w:p>
              </w:tc>
              <w:tc>
                <w:tcPr>
                  <w:tcW w:w="680" w:type="dxa"/>
                </w:tcPr>
                <w:p w14:paraId="0C5988D7" w14:textId="77777777" w:rsidR="00711444" w:rsidRPr="004D0DAA" w:rsidRDefault="00711444" w:rsidP="00AA2A4C">
                  <w:pPr>
                    <w:pStyle w:val="TAC"/>
                    <w:rPr>
                      <w:lang w:val="fr-FR" w:eastAsia="en-US"/>
                    </w:rPr>
                  </w:pPr>
                  <w:r w:rsidRPr="004D0DAA">
                    <w:rPr>
                      <w:lang w:val="fr-FR" w:eastAsia="en-US"/>
                    </w:rPr>
                    <w:t>39</w:t>
                  </w:r>
                </w:p>
              </w:tc>
              <w:tc>
                <w:tcPr>
                  <w:tcW w:w="680" w:type="dxa"/>
                </w:tcPr>
                <w:p w14:paraId="61E35A79" w14:textId="77777777" w:rsidR="00711444" w:rsidRPr="004D0DAA" w:rsidRDefault="00711444" w:rsidP="00AA2A4C">
                  <w:pPr>
                    <w:pStyle w:val="TAC"/>
                    <w:rPr>
                      <w:lang w:val="fr-FR" w:eastAsia="en-US"/>
                    </w:rPr>
                  </w:pPr>
                  <w:r w:rsidRPr="004D0DAA">
                    <w:rPr>
                      <w:lang w:val="fr-FR" w:eastAsia="en-US"/>
                    </w:rPr>
                    <w:t>10</w:t>
                  </w:r>
                </w:p>
              </w:tc>
              <w:tc>
                <w:tcPr>
                  <w:tcW w:w="680" w:type="dxa"/>
                </w:tcPr>
                <w:p w14:paraId="6A12C0E7" w14:textId="77777777" w:rsidR="00711444" w:rsidRPr="004D0DAA" w:rsidRDefault="00711444" w:rsidP="00AA2A4C">
                  <w:pPr>
                    <w:pStyle w:val="TAC"/>
                    <w:rPr>
                      <w:lang w:val="fr-FR" w:eastAsia="en-US"/>
                    </w:rPr>
                  </w:pPr>
                  <w:r w:rsidRPr="004D0DAA">
                    <w:rPr>
                      <w:lang w:val="fr-FR" w:eastAsia="en-US"/>
                    </w:rPr>
                    <w:t>71</w:t>
                  </w:r>
                </w:p>
              </w:tc>
              <w:tc>
                <w:tcPr>
                  <w:tcW w:w="680" w:type="dxa"/>
                </w:tcPr>
                <w:p w14:paraId="6C7F3BCD" w14:textId="77777777" w:rsidR="00711444" w:rsidRPr="004D0DAA" w:rsidRDefault="00711444" w:rsidP="00AA2A4C">
                  <w:pPr>
                    <w:pStyle w:val="TAC"/>
                    <w:rPr>
                      <w:lang w:val="fr-FR" w:eastAsia="en-US"/>
                    </w:rPr>
                  </w:pPr>
                  <w:r w:rsidRPr="004D0DAA">
                    <w:rPr>
                      <w:lang w:val="fr-FR" w:eastAsia="en-US"/>
                    </w:rPr>
                    <w:t>15</w:t>
                  </w:r>
                </w:p>
              </w:tc>
              <w:tc>
                <w:tcPr>
                  <w:tcW w:w="680" w:type="dxa"/>
                </w:tcPr>
                <w:p w14:paraId="6826182A" w14:textId="77777777" w:rsidR="00711444" w:rsidRPr="004D0DAA" w:rsidRDefault="00711444" w:rsidP="00AA2A4C">
                  <w:pPr>
                    <w:pStyle w:val="TAC"/>
                    <w:rPr>
                      <w:lang w:val="fr-FR" w:eastAsia="en-US"/>
                    </w:rPr>
                  </w:pPr>
                  <w:r w:rsidRPr="004D0DAA">
                    <w:rPr>
                      <w:lang w:val="fr-FR" w:eastAsia="en-US"/>
                    </w:rPr>
                    <w:t>101</w:t>
                  </w:r>
                </w:p>
              </w:tc>
              <w:tc>
                <w:tcPr>
                  <w:tcW w:w="680" w:type="dxa"/>
                </w:tcPr>
                <w:p w14:paraId="1879E44B" w14:textId="77777777" w:rsidR="00711444" w:rsidRPr="004D0DAA" w:rsidRDefault="00711444" w:rsidP="00AA2A4C">
                  <w:pPr>
                    <w:pStyle w:val="TAC"/>
                    <w:rPr>
                      <w:lang w:val="fr-FR" w:eastAsia="en-US"/>
                    </w:rPr>
                  </w:pPr>
                  <w:r w:rsidRPr="004D0DAA">
                    <w:rPr>
                      <w:lang w:val="fr-FR" w:eastAsia="en-US"/>
                    </w:rPr>
                    <w:t>20</w:t>
                  </w:r>
                </w:p>
              </w:tc>
              <w:tc>
                <w:tcPr>
                  <w:tcW w:w="680" w:type="dxa"/>
                </w:tcPr>
                <w:p w14:paraId="1737CD57" w14:textId="77777777" w:rsidR="00711444" w:rsidRPr="004D0DAA" w:rsidRDefault="00711444" w:rsidP="00AA2A4C">
                  <w:pPr>
                    <w:pStyle w:val="TAC"/>
                    <w:rPr>
                      <w:lang w:val="fr-FR" w:eastAsia="en-US"/>
                    </w:rPr>
                  </w:pPr>
                  <w:r w:rsidRPr="004D0DAA">
                    <w:rPr>
                      <w:lang w:val="fr-FR" w:eastAsia="en-US"/>
                    </w:rPr>
                    <w:t>126</w:t>
                  </w:r>
                </w:p>
              </w:tc>
            </w:tr>
            <w:tr w:rsidR="00711444" w:rsidRPr="004D0DAA" w14:paraId="5AD64B3C" w14:textId="77777777" w:rsidTr="00AA2A4C">
              <w:tblPrEx>
                <w:tblCellMar>
                  <w:top w:w="0" w:type="dxa"/>
                  <w:bottom w:w="0" w:type="dxa"/>
                </w:tblCellMar>
              </w:tblPrEx>
              <w:tc>
                <w:tcPr>
                  <w:tcW w:w="680" w:type="dxa"/>
                </w:tcPr>
                <w:p w14:paraId="2983288E" w14:textId="77777777" w:rsidR="00711444" w:rsidRPr="004D0DAA" w:rsidRDefault="00711444" w:rsidP="00AA2A4C">
                  <w:pPr>
                    <w:pStyle w:val="TAC"/>
                    <w:rPr>
                      <w:lang w:val="fr-FR" w:eastAsia="en-US"/>
                    </w:rPr>
                  </w:pPr>
                  <w:r w:rsidRPr="004D0DAA">
                    <w:rPr>
                      <w:lang w:val="fr-FR" w:eastAsia="en-US"/>
                    </w:rPr>
                    <w:t>1</w:t>
                  </w:r>
                </w:p>
              </w:tc>
              <w:tc>
                <w:tcPr>
                  <w:tcW w:w="680" w:type="dxa"/>
                </w:tcPr>
                <w:p w14:paraId="27B7A289" w14:textId="77777777" w:rsidR="00711444" w:rsidRPr="004D0DAA" w:rsidRDefault="00711444" w:rsidP="00AA2A4C">
                  <w:pPr>
                    <w:pStyle w:val="TAC"/>
                    <w:rPr>
                      <w:lang w:val="fr-FR" w:eastAsia="en-US"/>
                    </w:rPr>
                  </w:pPr>
                  <w:r w:rsidRPr="004D0DAA">
                    <w:rPr>
                      <w:lang w:val="fr-FR" w:eastAsia="en-US"/>
                    </w:rPr>
                    <w:t>9</w:t>
                  </w:r>
                </w:p>
              </w:tc>
              <w:tc>
                <w:tcPr>
                  <w:tcW w:w="680" w:type="dxa"/>
                </w:tcPr>
                <w:p w14:paraId="4AE3182B" w14:textId="77777777" w:rsidR="00711444" w:rsidRPr="004D0DAA" w:rsidRDefault="00711444" w:rsidP="00AA2A4C">
                  <w:pPr>
                    <w:pStyle w:val="TAC"/>
                    <w:rPr>
                      <w:lang w:val="fr-FR" w:eastAsia="en-US"/>
                    </w:rPr>
                  </w:pPr>
                  <w:r w:rsidRPr="004D0DAA">
                    <w:rPr>
                      <w:lang w:val="fr-FR" w:eastAsia="en-US"/>
                    </w:rPr>
                    <w:t>6</w:t>
                  </w:r>
                </w:p>
              </w:tc>
              <w:tc>
                <w:tcPr>
                  <w:tcW w:w="680" w:type="dxa"/>
                </w:tcPr>
                <w:p w14:paraId="0522FE85" w14:textId="77777777" w:rsidR="00711444" w:rsidRPr="004D0DAA" w:rsidRDefault="00711444" w:rsidP="00AA2A4C">
                  <w:pPr>
                    <w:pStyle w:val="TAC"/>
                    <w:rPr>
                      <w:lang w:val="fr-FR" w:eastAsia="en-US"/>
                    </w:rPr>
                  </w:pPr>
                  <w:r w:rsidRPr="004D0DAA">
                    <w:rPr>
                      <w:lang w:val="fr-FR" w:eastAsia="en-US"/>
                    </w:rPr>
                    <w:t>46</w:t>
                  </w:r>
                </w:p>
              </w:tc>
              <w:tc>
                <w:tcPr>
                  <w:tcW w:w="680" w:type="dxa"/>
                </w:tcPr>
                <w:p w14:paraId="2A8AE013" w14:textId="77777777" w:rsidR="00711444" w:rsidRPr="004D0DAA" w:rsidRDefault="00711444" w:rsidP="00AA2A4C">
                  <w:pPr>
                    <w:pStyle w:val="TAC"/>
                    <w:rPr>
                      <w:lang w:val="fr-FR" w:eastAsia="en-US"/>
                    </w:rPr>
                  </w:pPr>
                  <w:r w:rsidRPr="004D0DAA">
                    <w:rPr>
                      <w:lang w:val="fr-FR" w:eastAsia="en-US"/>
                    </w:rPr>
                    <w:t>11</w:t>
                  </w:r>
                </w:p>
              </w:tc>
              <w:tc>
                <w:tcPr>
                  <w:tcW w:w="680" w:type="dxa"/>
                </w:tcPr>
                <w:p w14:paraId="2CC315BD" w14:textId="77777777" w:rsidR="00711444" w:rsidRPr="004D0DAA" w:rsidRDefault="00711444" w:rsidP="00AA2A4C">
                  <w:pPr>
                    <w:pStyle w:val="TAC"/>
                    <w:rPr>
                      <w:lang w:val="fr-FR" w:eastAsia="en-US"/>
                    </w:rPr>
                  </w:pPr>
                  <w:r w:rsidRPr="004D0DAA">
                    <w:rPr>
                      <w:lang w:val="fr-FR" w:eastAsia="en-US"/>
                    </w:rPr>
                    <w:t>77</w:t>
                  </w:r>
                </w:p>
              </w:tc>
              <w:tc>
                <w:tcPr>
                  <w:tcW w:w="680" w:type="dxa"/>
                </w:tcPr>
                <w:p w14:paraId="5325CF85" w14:textId="77777777" w:rsidR="00711444" w:rsidRPr="004D0DAA" w:rsidRDefault="00711444" w:rsidP="00AA2A4C">
                  <w:pPr>
                    <w:pStyle w:val="TAC"/>
                    <w:rPr>
                      <w:lang w:val="fr-FR" w:eastAsia="en-US"/>
                    </w:rPr>
                  </w:pPr>
                  <w:r w:rsidRPr="004D0DAA">
                    <w:rPr>
                      <w:lang w:val="fr-FR" w:eastAsia="en-US"/>
                    </w:rPr>
                    <w:t>16</w:t>
                  </w:r>
                </w:p>
              </w:tc>
              <w:tc>
                <w:tcPr>
                  <w:tcW w:w="680" w:type="dxa"/>
                </w:tcPr>
                <w:p w14:paraId="6C9715AD" w14:textId="77777777" w:rsidR="00711444" w:rsidRPr="004D0DAA" w:rsidRDefault="00711444" w:rsidP="00AA2A4C">
                  <w:pPr>
                    <w:pStyle w:val="TAC"/>
                    <w:rPr>
                      <w:lang w:val="fr-FR" w:eastAsia="en-US"/>
                    </w:rPr>
                  </w:pPr>
                  <w:r w:rsidRPr="004D0DAA">
                    <w:rPr>
                      <w:lang w:val="fr-FR" w:eastAsia="en-US"/>
                    </w:rPr>
                    <w:t>106</w:t>
                  </w:r>
                </w:p>
              </w:tc>
              <w:tc>
                <w:tcPr>
                  <w:tcW w:w="680" w:type="dxa"/>
                </w:tcPr>
                <w:p w14:paraId="7B27916B" w14:textId="77777777" w:rsidR="00711444" w:rsidRPr="004D0DAA" w:rsidRDefault="00711444" w:rsidP="00AA2A4C">
                  <w:pPr>
                    <w:pStyle w:val="TAC"/>
                    <w:rPr>
                      <w:lang w:val="fr-FR" w:eastAsia="en-US"/>
                    </w:rPr>
                  </w:pPr>
                  <w:r w:rsidRPr="004D0DAA">
                    <w:rPr>
                      <w:lang w:val="fr-FR" w:eastAsia="en-US"/>
                    </w:rPr>
                    <w:t>21-31</w:t>
                  </w:r>
                </w:p>
              </w:tc>
              <w:tc>
                <w:tcPr>
                  <w:tcW w:w="680" w:type="dxa"/>
                </w:tcPr>
                <w:p w14:paraId="3802B493" w14:textId="77777777" w:rsidR="00711444" w:rsidRPr="004D0DAA" w:rsidRDefault="00711444" w:rsidP="00AA2A4C">
                  <w:pPr>
                    <w:pStyle w:val="TAC"/>
                    <w:rPr>
                      <w:lang w:val="fr-FR" w:eastAsia="en-US"/>
                    </w:rPr>
                  </w:pPr>
                  <w:r w:rsidRPr="004D0DAA">
                    <w:rPr>
                      <w:lang w:val="fr-FR" w:eastAsia="en-US"/>
                    </w:rPr>
                    <w:t>0</w:t>
                  </w:r>
                </w:p>
              </w:tc>
            </w:tr>
            <w:tr w:rsidR="00711444" w:rsidRPr="004D0DAA" w14:paraId="6FE26295" w14:textId="77777777" w:rsidTr="00AA2A4C">
              <w:tblPrEx>
                <w:tblCellMar>
                  <w:top w:w="0" w:type="dxa"/>
                  <w:bottom w:w="0" w:type="dxa"/>
                </w:tblCellMar>
              </w:tblPrEx>
              <w:tc>
                <w:tcPr>
                  <w:tcW w:w="680" w:type="dxa"/>
                </w:tcPr>
                <w:p w14:paraId="6A1122D9" w14:textId="77777777" w:rsidR="00711444" w:rsidRPr="004D0DAA" w:rsidRDefault="00711444" w:rsidP="00AA2A4C">
                  <w:pPr>
                    <w:pStyle w:val="TAC"/>
                    <w:rPr>
                      <w:lang w:val="fr-FR" w:eastAsia="en-US"/>
                    </w:rPr>
                  </w:pPr>
                  <w:r w:rsidRPr="004D0DAA">
                    <w:rPr>
                      <w:lang w:val="fr-FR" w:eastAsia="en-US"/>
                    </w:rPr>
                    <w:t>2</w:t>
                  </w:r>
                </w:p>
              </w:tc>
              <w:tc>
                <w:tcPr>
                  <w:tcW w:w="680" w:type="dxa"/>
                </w:tcPr>
                <w:p w14:paraId="2E72C7CF" w14:textId="77777777" w:rsidR="00711444" w:rsidRPr="004D0DAA" w:rsidRDefault="00711444" w:rsidP="00AA2A4C">
                  <w:pPr>
                    <w:pStyle w:val="TAC"/>
                    <w:rPr>
                      <w:lang w:val="fr-FR" w:eastAsia="en-US"/>
                    </w:rPr>
                  </w:pPr>
                  <w:r w:rsidRPr="004D0DAA">
                    <w:rPr>
                      <w:lang w:val="fr-FR" w:eastAsia="en-US"/>
                    </w:rPr>
                    <w:t>17</w:t>
                  </w:r>
                </w:p>
              </w:tc>
              <w:tc>
                <w:tcPr>
                  <w:tcW w:w="680" w:type="dxa"/>
                </w:tcPr>
                <w:p w14:paraId="04681609" w14:textId="77777777" w:rsidR="00711444" w:rsidRPr="004D0DAA" w:rsidRDefault="00711444" w:rsidP="00AA2A4C">
                  <w:pPr>
                    <w:pStyle w:val="TAC"/>
                    <w:rPr>
                      <w:lang w:val="fr-FR" w:eastAsia="en-US"/>
                    </w:rPr>
                  </w:pPr>
                  <w:r w:rsidRPr="004D0DAA">
                    <w:rPr>
                      <w:lang w:val="fr-FR" w:eastAsia="en-US"/>
                    </w:rPr>
                    <w:t>7</w:t>
                  </w:r>
                </w:p>
              </w:tc>
              <w:tc>
                <w:tcPr>
                  <w:tcW w:w="680" w:type="dxa"/>
                </w:tcPr>
                <w:p w14:paraId="282215D6" w14:textId="77777777" w:rsidR="00711444" w:rsidRPr="004D0DAA" w:rsidRDefault="00711444" w:rsidP="00AA2A4C">
                  <w:pPr>
                    <w:pStyle w:val="TAC"/>
                    <w:rPr>
                      <w:lang w:val="fr-FR" w:eastAsia="en-US"/>
                    </w:rPr>
                  </w:pPr>
                  <w:r w:rsidRPr="004D0DAA">
                    <w:rPr>
                      <w:lang w:val="fr-FR" w:eastAsia="en-US"/>
                    </w:rPr>
                    <w:t>53</w:t>
                  </w:r>
                </w:p>
              </w:tc>
              <w:tc>
                <w:tcPr>
                  <w:tcW w:w="680" w:type="dxa"/>
                </w:tcPr>
                <w:p w14:paraId="3EAC7FEB" w14:textId="77777777" w:rsidR="00711444" w:rsidRPr="004D0DAA" w:rsidRDefault="00711444" w:rsidP="00AA2A4C">
                  <w:pPr>
                    <w:pStyle w:val="TAC"/>
                    <w:rPr>
                      <w:lang w:val="fr-FR" w:eastAsia="en-US"/>
                    </w:rPr>
                  </w:pPr>
                  <w:r w:rsidRPr="004D0DAA">
                    <w:rPr>
                      <w:lang w:val="fr-FR" w:eastAsia="en-US"/>
                    </w:rPr>
                    <w:t>12</w:t>
                  </w:r>
                </w:p>
              </w:tc>
              <w:tc>
                <w:tcPr>
                  <w:tcW w:w="680" w:type="dxa"/>
                </w:tcPr>
                <w:p w14:paraId="7AB437A7" w14:textId="77777777" w:rsidR="00711444" w:rsidRPr="004D0DAA" w:rsidRDefault="00711444" w:rsidP="00AA2A4C">
                  <w:pPr>
                    <w:pStyle w:val="TAC"/>
                    <w:rPr>
                      <w:lang w:val="fr-FR" w:eastAsia="en-US"/>
                    </w:rPr>
                  </w:pPr>
                  <w:r w:rsidRPr="004D0DAA">
                    <w:rPr>
                      <w:lang w:val="fr-FR" w:eastAsia="en-US"/>
                    </w:rPr>
                    <w:t>83</w:t>
                  </w:r>
                </w:p>
              </w:tc>
              <w:tc>
                <w:tcPr>
                  <w:tcW w:w="680" w:type="dxa"/>
                </w:tcPr>
                <w:p w14:paraId="6EC80756" w14:textId="77777777" w:rsidR="00711444" w:rsidRPr="004D0DAA" w:rsidRDefault="00711444" w:rsidP="00AA2A4C">
                  <w:pPr>
                    <w:pStyle w:val="TAC"/>
                    <w:rPr>
                      <w:lang w:val="fr-FR" w:eastAsia="en-US"/>
                    </w:rPr>
                  </w:pPr>
                  <w:r w:rsidRPr="004D0DAA">
                    <w:rPr>
                      <w:lang w:val="fr-FR" w:eastAsia="en-US"/>
                    </w:rPr>
                    <w:t>17</w:t>
                  </w:r>
                </w:p>
              </w:tc>
              <w:tc>
                <w:tcPr>
                  <w:tcW w:w="680" w:type="dxa"/>
                </w:tcPr>
                <w:p w14:paraId="0ACE703F" w14:textId="77777777" w:rsidR="00711444" w:rsidRPr="004D0DAA" w:rsidRDefault="00711444" w:rsidP="00AA2A4C">
                  <w:pPr>
                    <w:pStyle w:val="TAC"/>
                    <w:rPr>
                      <w:lang w:val="fr-FR" w:eastAsia="en-US"/>
                    </w:rPr>
                  </w:pPr>
                  <w:r w:rsidRPr="004D0DAA">
                    <w:rPr>
                      <w:lang w:val="fr-FR" w:eastAsia="en-US"/>
                    </w:rPr>
                    <w:t>111</w:t>
                  </w:r>
                </w:p>
              </w:tc>
              <w:tc>
                <w:tcPr>
                  <w:tcW w:w="680" w:type="dxa"/>
                </w:tcPr>
                <w:p w14:paraId="2CB4DA0F" w14:textId="77777777" w:rsidR="00711444" w:rsidRPr="004D0DAA" w:rsidRDefault="00711444" w:rsidP="00AA2A4C">
                  <w:pPr>
                    <w:rPr>
                      <w:lang w:val="fr-FR"/>
                    </w:rPr>
                  </w:pPr>
                </w:p>
              </w:tc>
              <w:tc>
                <w:tcPr>
                  <w:tcW w:w="680" w:type="dxa"/>
                </w:tcPr>
                <w:p w14:paraId="311E3BA1" w14:textId="77777777" w:rsidR="00711444" w:rsidRPr="004D0DAA" w:rsidRDefault="00711444" w:rsidP="00AA2A4C">
                  <w:pPr>
                    <w:pStyle w:val="TAC"/>
                    <w:rPr>
                      <w:lang w:val="fr-FR" w:eastAsia="en-US"/>
                    </w:rPr>
                  </w:pPr>
                </w:p>
              </w:tc>
            </w:tr>
            <w:tr w:rsidR="00711444" w:rsidRPr="004D0DAA" w14:paraId="2473B4BE" w14:textId="77777777" w:rsidTr="00AA2A4C">
              <w:tblPrEx>
                <w:tblCellMar>
                  <w:top w:w="0" w:type="dxa"/>
                  <w:bottom w:w="0" w:type="dxa"/>
                </w:tblCellMar>
              </w:tblPrEx>
              <w:tc>
                <w:tcPr>
                  <w:tcW w:w="680" w:type="dxa"/>
                </w:tcPr>
                <w:p w14:paraId="5AECD8D3" w14:textId="77777777" w:rsidR="00711444" w:rsidRPr="004D0DAA" w:rsidRDefault="00711444" w:rsidP="00AA2A4C">
                  <w:pPr>
                    <w:pStyle w:val="TAC"/>
                    <w:rPr>
                      <w:lang w:val="fr-FR" w:eastAsia="en-US"/>
                    </w:rPr>
                  </w:pPr>
                  <w:r w:rsidRPr="004D0DAA">
                    <w:rPr>
                      <w:lang w:val="fr-FR" w:eastAsia="en-US"/>
                    </w:rPr>
                    <w:t>3</w:t>
                  </w:r>
                </w:p>
              </w:tc>
              <w:tc>
                <w:tcPr>
                  <w:tcW w:w="680" w:type="dxa"/>
                </w:tcPr>
                <w:p w14:paraId="4B4709AB" w14:textId="77777777" w:rsidR="00711444" w:rsidRPr="004D0DAA" w:rsidRDefault="00711444" w:rsidP="00AA2A4C">
                  <w:pPr>
                    <w:pStyle w:val="TAC"/>
                    <w:rPr>
                      <w:lang w:val="fr-FR" w:eastAsia="en-US"/>
                    </w:rPr>
                  </w:pPr>
                  <w:r w:rsidRPr="004D0DAA">
                    <w:rPr>
                      <w:lang w:val="fr-FR" w:eastAsia="en-US"/>
                    </w:rPr>
                    <w:t>25</w:t>
                  </w:r>
                </w:p>
              </w:tc>
              <w:tc>
                <w:tcPr>
                  <w:tcW w:w="680" w:type="dxa"/>
                </w:tcPr>
                <w:p w14:paraId="7F4AB7FD" w14:textId="77777777" w:rsidR="00711444" w:rsidRPr="004D0DAA" w:rsidRDefault="00711444" w:rsidP="00AA2A4C">
                  <w:pPr>
                    <w:pStyle w:val="TAC"/>
                    <w:rPr>
                      <w:lang w:val="fr-FR" w:eastAsia="en-US"/>
                    </w:rPr>
                  </w:pPr>
                  <w:r w:rsidRPr="004D0DAA">
                    <w:rPr>
                      <w:lang w:val="fr-FR" w:eastAsia="en-US"/>
                    </w:rPr>
                    <w:t>8</w:t>
                  </w:r>
                </w:p>
              </w:tc>
              <w:tc>
                <w:tcPr>
                  <w:tcW w:w="680" w:type="dxa"/>
                </w:tcPr>
                <w:p w14:paraId="70816110" w14:textId="77777777" w:rsidR="00711444" w:rsidRPr="004D0DAA" w:rsidRDefault="00711444" w:rsidP="00AA2A4C">
                  <w:pPr>
                    <w:pStyle w:val="TAC"/>
                    <w:rPr>
                      <w:lang w:val="fr-FR" w:eastAsia="en-US"/>
                    </w:rPr>
                  </w:pPr>
                  <w:r w:rsidRPr="004D0DAA">
                    <w:rPr>
                      <w:lang w:val="fr-FR" w:eastAsia="en-US"/>
                    </w:rPr>
                    <w:t>59</w:t>
                  </w:r>
                </w:p>
              </w:tc>
              <w:tc>
                <w:tcPr>
                  <w:tcW w:w="680" w:type="dxa"/>
                </w:tcPr>
                <w:p w14:paraId="2E75A244" w14:textId="77777777" w:rsidR="00711444" w:rsidRPr="004D0DAA" w:rsidRDefault="00711444" w:rsidP="00AA2A4C">
                  <w:pPr>
                    <w:pStyle w:val="TAC"/>
                    <w:rPr>
                      <w:lang w:val="fr-FR" w:eastAsia="en-US"/>
                    </w:rPr>
                  </w:pPr>
                  <w:r w:rsidRPr="004D0DAA">
                    <w:rPr>
                      <w:lang w:val="fr-FR" w:eastAsia="en-US"/>
                    </w:rPr>
                    <w:t>13</w:t>
                  </w:r>
                </w:p>
              </w:tc>
              <w:tc>
                <w:tcPr>
                  <w:tcW w:w="680" w:type="dxa"/>
                </w:tcPr>
                <w:p w14:paraId="71DEE37E" w14:textId="77777777" w:rsidR="00711444" w:rsidRPr="004D0DAA" w:rsidRDefault="00711444" w:rsidP="00AA2A4C">
                  <w:pPr>
                    <w:pStyle w:val="TAC"/>
                    <w:rPr>
                      <w:lang w:val="fr-FR" w:eastAsia="en-US"/>
                    </w:rPr>
                  </w:pPr>
                  <w:r w:rsidRPr="004D0DAA">
                    <w:rPr>
                      <w:lang w:val="fr-FR" w:eastAsia="en-US"/>
                    </w:rPr>
                    <w:t>89</w:t>
                  </w:r>
                </w:p>
              </w:tc>
              <w:tc>
                <w:tcPr>
                  <w:tcW w:w="680" w:type="dxa"/>
                </w:tcPr>
                <w:p w14:paraId="0ECA3BFB" w14:textId="77777777" w:rsidR="00711444" w:rsidRPr="004D0DAA" w:rsidRDefault="00711444" w:rsidP="00AA2A4C">
                  <w:pPr>
                    <w:pStyle w:val="TAC"/>
                    <w:rPr>
                      <w:lang w:val="fr-FR" w:eastAsia="en-US"/>
                    </w:rPr>
                  </w:pPr>
                  <w:r w:rsidRPr="004D0DAA">
                    <w:rPr>
                      <w:lang w:val="fr-FR" w:eastAsia="en-US"/>
                    </w:rPr>
                    <w:t>18</w:t>
                  </w:r>
                </w:p>
              </w:tc>
              <w:tc>
                <w:tcPr>
                  <w:tcW w:w="680" w:type="dxa"/>
                </w:tcPr>
                <w:p w14:paraId="7F6BD28A" w14:textId="77777777" w:rsidR="00711444" w:rsidRPr="004D0DAA" w:rsidRDefault="00711444" w:rsidP="00AA2A4C">
                  <w:pPr>
                    <w:pStyle w:val="TAC"/>
                    <w:rPr>
                      <w:lang w:val="fr-FR" w:eastAsia="en-US"/>
                    </w:rPr>
                  </w:pPr>
                  <w:r w:rsidRPr="004D0DAA">
                    <w:rPr>
                      <w:lang w:val="fr-FR" w:eastAsia="en-US"/>
                    </w:rPr>
                    <w:t>116</w:t>
                  </w:r>
                </w:p>
              </w:tc>
              <w:tc>
                <w:tcPr>
                  <w:tcW w:w="680" w:type="dxa"/>
                </w:tcPr>
                <w:p w14:paraId="6678E779" w14:textId="77777777" w:rsidR="00711444" w:rsidRPr="004D0DAA" w:rsidRDefault="00711444" w:rsidP="00AA2A4C">
                  <w:pPr>
                    <w:rPr>
                      <w:lang w:val="fr-FR"/>
                    </w:rPr>
                  </w:pPr>
                </w:p>
              </w:tc>
              <w:tc>
                <w:tcPr>
                  <w:tcW w:w="680" w:type="dxa"/>
                </w:tcPr>
                <w:p w14:paraId="47550A29" w14:textId="77777777" w:rsidR="00711444" w:rsidRPr="004D0DAA" w:rsidRDefault="00711444" w:rsidP="00AA2A4C">
                  <w:pPr>
                    <w:pStyle w:val="TAC"/>
                    <w:rPr>
                      <w:lang w:val="fr-FR" w:eastAsia="en-US"/>
                    </w:rPr>
                  </w:pPr>
                </w:p>
              </w:tc>
            </w:tr>
            <w:tr w:rsidR="00711444" w:rsidRPr="004D0DAA" w14:paraId="6FF73EE5" w14:textId="77777777" w:rsidTr="00AA2A4C">
              <w:tblPrEx>
                <w:tblCellMar>
                  <w:top w:w="0" w:type="dxa"/>
                  <w:bottom w:w="0" w:type="dxa"/>
                </w:tblCellMar>
              </w:tblPrEx>
              <w:tc>
                <w:tcPr>
                  <w:tcW w:w="680" w:type="dxa"/>
                </w:tcPr>
                <w:p w14:paraId="05E99B71" w14:textId="77777777" w:rsidR="00711444" w:rsidRPr="004D0DAA" w:rsidRDefault="00711444" w:rsidP="00AA2A4C">
                  <w:pPr>
                    <w:pStyle w:val="TAC"/>
                    <w:rPr>
                      <w:lang w:val="fr-FR" w:eastAsia="en-US"/>
                    </w:rPr>
                  </w:pPr>
                  <w:r w:rsidRPr="004D0DAA">
                    <w:rPr>
                      <w:lang w:val="fr-FR" w:eastAsia="en-US"/>
                    </w:rPr>
                    <w:t>4</w:t>
                  </w:r>
                </w:p>
              </w:tc>
              <w:tc>
                <w:tcPr>
                  <w:tcW w:w="680" w:type="dxa"/>
                </w:tcPr>
                <w:p w14:paraId="6DFCFD4A" w14:textId="77777777" w:rsidR="00711444" w:rsidRPr="004D0DAA" w:rsidRDefault="00711444" w:rsidP="00AA2A4C">
                  <w:pPr>
                    <w:pStyle w:val="TAC"/>
                    <w:rPr>
                      <w:lang w:val="fr-FR" w:eastAsia="en-US"/>
                    </w:rPr>
                  </w:pPr>
                  <w:r w:rsidRPr="004D0DAA">
                    <w:rPr>
                      <w:lang w:val="fr-FR" w:eastAsia="en-US"/>
                    </w:rPr>
                    <w:t>32</w:t>
                  </w:r>
                </w:p>
              </w:tc>
              <w:tc>
                <w:tcPr>
                  <w:tcW w:w="680" w:type="dxa"/>
                </w:tcPr>
                <w:p w14:paraId="1D8DE56A" w14:textId="77777777" w:rsidR="00711444" w:rsidRPr="004D0DAA" w:rsidRDefault="00711444" w:rsidP="00AA2A4C">
                  <w:pPr>
                    <w:pStyle w:val="TAC"/>
                    <w:rPr>
                      <w:lang w:val="fr-FR" w:eastAsia="en-US"/>
                    </w:rPr>
                  </w:pPr>
                  <w:r w:rsidRPr="004D0DAA">
                    <w:rPr>
                      <w:lang w:val="fr-FR" w:eastAsia="en-US"/>
                    </w:rPr>
                    <w:t>9</w:t>
                  </w:r>
                </w:p>
              </w:tc>
              <w:tc>
                <w:tcPr>
                  <w:tcW w:w="680" w:type="dxa"/>
                </w:tcPr>
                <w:p w14:paraId="67A6CBC7" w14:textId="77777777" w:rsidR="00711444" w:rsidRPr="004D0DAA" w:rsidRDefault="00711444" w:rsidP="00AA2A4C">
                  <w:pPr>
                    <w:pStyle w:val="TAC"/>
                    <w:rPr>
                      <w:lang w:val="fr-FR" w:eastAsia="en-US"/>
                    </w:rPr>
                  </w:pPr>
                  <w:r w:rsidRPr="004D0DAA">
                    <w:rPr>
                      <w:lang w:val="fr-FR" w:eastAsia="en-US"/>
                    </w:rPr>
                    <w:t>65</w:t>
                  </w:r>
                </w:p>
              </w:tc>
              <w:tc>
                <w:tcPr>
                  <w:tcW w:w="680" w:type="dxa"/>
                </w:tcPr>
                <w:p w14:paraId="04E47AF2" w14:textId="77777777" w:rsidR="00711444" w:rsidRPr="004D0DAA" w:rsidRDefault="00711444" w:rsidP="00AA2A4C">
                  <w:pPr>
                    <w:pStyle w:val="TAC"/>
                    <w:rPr>
                      <w:lang w:val="fr-FR" w:eastAsia="en-US"/>
                    </w:rPr>
                  </w:pPr>
                  <w:r w:rsidRPr="004D0DAA">
                    <w:rPr>
                      <w:lang w:val="fr-FR" w:eastAsia="en-US"/>
                    </w:rPr>
                    <w:t>14</w:t>
                  </w:r>
                </w:p>
              </w:tc>
              <w:tc>
                <w:tcPr>
                  <w:tcW w:w="680" w:type="dxa"/>
                </w:tcPr>
                <w:p w14:paraId="4C4D4DBC" w14:textId="77777777" w:rsidR="00711444" w:rsidRPr="004D0DAA" w:rsidRDefault="00711444" w:rsidP="00AA2A4C">
                  <w:pPr>
                    <w:pStyle w:val="TAC"/>
                    <w:rPr>
                      <w:lang w:val="fr-FR" w:eastAsia="en-US"/>
                    </w:rPr>
                  </w:pPr>
                  <w:r w:rsidRPr="004D0DAA">
                    <w:rPr>
                      <w:lang w:val="fr-FR" w:eastAsia="en-US"/>
                    </w:rPr>
                    <w:t>95</w:t>
                  </w:r>
                </w:p>
              </w:tc>
              <w:tc>
                <w:tcPr>
                  <w:tcW w:w="680" w:type="dxa"/>
                </w:tcPr>
                <w:p w14:paraId="4CAC0B80" w14:textId="77777777" w:rsidR="00711444" w:rsidRPr="004D0DAA" w:rsidRDefault="00711444" w:rsidP="00AA2A4C">
                  <w:pPr>
                    <w:pStyle w:val="TAC"/>
                    <w:rPr>
                      <w:lang w:val="fr-FR" w:eastAsia="en-US"/>
                    </w:rPr>
                  </w:pPr>
                  <w:r w:rsidRPr="004D0DAA">
                    <w:rPr>
                      <w:lang w:val="fr-FR" w:eastAsia="en-US"/>
                    </w:rPr>
                    <w:t>19</w:t>
                  </w:r>
                </w:p>
              </w:tc>
              <w:tc>
                <w:tcPr>
                  <w:tcW w:w="680" w:type="dxa"/>
                </w:tcPr>
                <w:p w14:paraId="7F41FE0B" w14:textId="77777777" w:rsidR="00711444" w:rsidRPr="004D0DAA" w:rsidRDefault="00711444" w:rsidP="00AA2A4C">
                  <w:pPr>
                    <w:pStyle w:val="TAC"/>
                    <w:rPr>
                      <w:lang w:val="fr-FR" w:eastAsia="en-US"/>
                    </w:rPr>
                  </w:pPr>
                  <w:r w:rsidRPr="004D0DAA">
                    <w:rPr>
                      <w:lang w:val="fr-FR" w:eastAsia="en-US"/>
                    </w:rPr>
                    <w:t>121</w:t>
                  </w:r>
                </w:p>
              </w:tc>
              <w:tc>
                <w:tcPr>
                  <w:tcW w:w="680" w:type="dxa"/>
                </w:tcPr>
                <w:p w14:paraId="21BBF651" w14:textId="77777777" w:rsidR="00711444" w:rsidRPr="004D0DAA" w:rsidRDefault="00711444" w:rsidP="00AA2A4C">
                  <w:pPr>
                    <w:rPr>
                      <w:lang w:val="fr-FR"/>
                    </w:rPr>
                  </w:pPr>
                </w:p>
              </w:tc>
              <w:tc>
                <w:tcPr>
                  <w:tcW w:w="680" w:type="dxa"/>
                </w:tcPr>
                <w:p w14:paraId="42E540E4" w14:textId="77777777" w:rsidR="00711444" w:rsidRPr="004D0DAA" w:rsidRDefault="00711444" w:rsidP="00AA2A4C">
                  <w:pPr>
                    <w:pStyle w:val="TAC"/>
                    <w:rPr>
                      <w:lang w:val="fr-FR" w:eastAsia="en-US"/>
                    </w:rPr>
                  </w:pPr>
                </w:p>
              </w:tc>
            </w:tr>
          </w:tbl>
          <w:p w14:paraId="7B34CFBF"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 w:val="left" w:pos="5103"/>
                <w:tab w:val="left" w:pos="5670"/>
              </w:tabs>
              <w:rPr>
                <w:lang w:val="fr-FR"/>
              </w:rPr>
            </w:pPr>
          </w:p>
          <w:p w14:paraId="3412DCA1"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 w:val="left" w:pos="5103"/>
                <w:tab w:val="left" w:pos="5670"/>
              </w:tabs>
              <w:rPr>
                <w:i/>
                <w:lang w:val="fr-FR"/>
              </w:rPr>
            </w:pPr>
            <w:r w:rsidRPr="004D0DAA">
              <w:rPr>
                <w:i/>
                <w:lang w:val="fr-FR"/>
              </w:rPr>
              <w:tab/>
              <w:t xml:space="preserve">Table </w:t>
            </w:r>
            <w:r w:rsidRPr="004D0DAA">
              <w:rPr>
                <w:lang w:val="fr-FR"/>
              </w:rPr>
              <w:t>11.2.9b.2.b</w:t>
            </w:r>
            <w:r w:rsidRPr="004D0DAA">
              <w:rPr>
                <w:i/>
                <w:lang w:val="fr-FR"/>
              </w:rPr>
              <w:t>.</w:t>
            </w:r>
          </w:p>
          <w:p w14:paraId="52A6EB46" w14:textId="77777777" w:rsidR="00711444" w:rsidRPr="004D0DAA" w:rsidRDefault="00711444" w:rsidP="00AA2A4C">
            <w:pPr>
              <w:pStyle w:val="FP"/>
              <w:tabs>
                <w:tab w:val="left" w:pos="567"/>
                <w:tab w:val="left" w:pos="1134"/>
                <w:tab w:val="left" w:pos="1701"/>
                <w:tab w:val="left" w:pos="2268"/>
                <w:tab w:val="left" w:pos="2835"/>
                <w:tab w:val="left" w:pos="3402"/>
                <w:tab w:val="left" w:pos="3969"/>
                <w:tab w:val="left" w:pos="4536"/>
                <w:tab w:val="left" w:pos="5103"/>
                <w:tab w:val="left" w:pos="5670"/>
              </w:tabs>
              <w:rPr>
                <w:i/>
                <w:lang w:val="fr-FR"/>
              </w:rPr>
            </w:pPr>
          </w:p>
          <w:p w14:paraId="689CADA6" w14:textId="77777777" w:rsidR="00711444" w:rsidRPr="004D0DAA" w:rsidRDefault="00711444" w:rsidP="00AA2A4C">
            <w:pPr>
              <w:rPr>
                <w:lang w:eastAsia="zh-CN"/>
              </w:rPr>
            </w:pPr>
            <w:r w:rsidRPr="004D0DAA">
              <w:t xml:space="preserve">If m=0 and </w:t>
            </w:r>
            <w:r w:rsidRPr="004D0DAA">
              <w:rPr>
                <w:sz w:val="18"/>
              </w:rPr>
              <w:t>TDD_</w:t>
            </w:r>
            <w:r w:rsidRPr="004D0DAA">
              <w:t>Indic0=0, or m is equal or greater than 21, this shall not be considered as an error; the corresponding index in the 3G Neighbour Cell list shall be incremented by one.</w:t>
            </w:r>
            <w:r w:rsidRPr="004D0DAA">
              <w:rPr>
                <w:rFonts w:hint="eastAsia"/>
                <w:lang w:eastAsia="zh-CN"/>
              </w:rPr>
              <w:t xml:space="preserve"> The </w:t>
            </w:r>
            <w:r w:rsidRPr="004D0DAA">
              <w:rPr>
                <w:lang w:eastAsia="zh-CN"/>
              </w:rPr>
              <w:t>entry created in the 3G Neighbour Cell list does not contain valid information</w:t>
            </w:r>
            <w:r w:rsidRPr="004D0DAA">
              <w:rPr>
                <w:rFonts w:hint="eastAsia"/>
                <w:lang w:eastAsia="zh-CN"/>
              </w:rPr>
              <w:t>.</w:t>
            </w:r>
          </w:p>
          <w:p w14:paraId="5DBEB59C" w14:textId="77777777" w:rsidR="00711444" w:rsidRPr="004D0DAA" w:rsidRDefault="00711444" w:rsidP="00AA2A4C">
            <w:r w:rsidRPr="004D0DAA">
              <w:t>For each (9-bit-long) decoded parameter, bits 1-7 are the Cell Parameter, bit 8 is the Sync Case TSTD and bit 9 is the Diversity TDD bit.</w:t>
            </w:r>
          </w:p>
        </w:tc>
      </w:tr>
      <w:tr w:rsidR="00711444" w:rsidRPr="004D0DAA" w14:paraId="7E7A20AB" w14:textId="77777777" w:rsidTr="00AA2A4C">
        <w:tblPrEx>
          <w:tblCellMar>
            <w:top w:w="0" w:type="dxa"/>
            <w:bottom w:w="0" w:type="dxa"/>
          </w:tblCellMar>
        </w:tblPrEx>
        <w:trPr>
          <w:gridAfter w:val="1"/>
          <w:wAfter w:w="7" w:type="dxa"/>
          <w:cantSplit/>
        </w:trPr>
        <w:tc>
          <w:tcPr>
            <w:tcW w:w="9848" w:type="dxa"/>
          </w:tcPr>
          <w:p w14:paraId="4B39ABA1" w14:textId="77777777" w:rsidR="00711444" w:rsidRPr="004D0DAA" w:rsidRDefault="00711444" w:rsidP="00AA2A4C">
            <w:pPr>
              <w:rPr>
                <w:b/>
                <w:i/>
              </w:rPr>
            </w:pPr>
            <w:r w:rsidRPr="004D0DAA">
              <w:rPr>
                <w:b/>
              </w:rPr>
              <w:t>Cell Parameter</w:t>
            </w:r>
            <w:r w:rsidRPr="004D0DAA">
              <w:t xml:space="preserve"> (7 bit field)</w:t>
            </w:r>
            <w:r w:rsidRPr="004D0DAA">
              <w:br/>
              <w:t>This parameter is defined in 3GPP TS 25.223.</w:t>
            </w:r>
          </w:p>
        </w:tc>
      </w:tr>
      <w:tr w:rsidR="00711444" w:rsidRPr="004D0DAA" w14:paraId="70E95095" w14:textId="77777777" w:rsidTr="00AA2A4C">
        <w:tblPrEx>
          <w:tblCellMar>
            <w:top w:w="0" w:type="dxa"/>
            <w:bottom w:w="0" w:type="dxa"/>
          </w:tblCellMar>
        </w:tblPrEx>
        <w:trPr>
          <w:gridAfter w:val="1"/>
          <w:wAfter w:w="7" w:type="dxa"/>
          <w:cantSplit/>
        </w:trPr>
        <w:tc>
          <w:tcPr>
            <w:tcW w:w="9848" w:type="dxa"/>
          </w:tcPr>
          <w:p w14:paraId="2E443084" w14:textId="77777777" w:rsidR="00711444" w:rsidRPr="004D0DAA" w:rsidRDefault="00711444" w:rsidP="00AA2A4C">
            <w:pPr>
              <w:rPr>
                <w:lang w:eastAsia="zh-CN"/>
              </w:rPr>
            </w:pPr>
            <w:r w:rsidRPr="004D0DAA">
              <w:rPr>
                <w:b/>
              </w:rPr>
              <w:lastRenderedPageBreak/>
              <w:t>Sync Case</w:t>
            </w:r>
            <w:r w:rsidRPr="004D0DAA">
              <w:rPr>
                <w:b/>
                <w:lang w:eastAsia="zh-CN"/>
              </w:rPr>
              <w:t xml:space="preserve"> TSTD</w:t>
            </w:r>
            <w:r w:rsidRPr="004D0DAA">
              <w:t xml:space="preserve"> (1 bit field)</w:t>
            </w:r>
            <w:r w:rsidRPr="004D0DAA">
              <w:br/>
            </w:r>
            <w:r w:rsidRPr="004D0DAA">
              <w:rPr>
                <w:lang w:eastAsia="zh-CN"/>
              </w:rPr>
              <w:t>For 3.84 Mcps TDD,</w:t>
            </w:r>
            <w:r w:rsidRPr="004D0DAA">
              <w:t xml:space="preserve"> </w:t>
            </w:r>
            <w:r w:rsidRPr="004D0DAA">
              <w:rPr>
                <w:lang w:eastAsia="zh-CN"/>
              </w:rPr>
              <w:t>t</w:t>
            </w:r>
            <w:r w:rsidRPr="004D0DAA">
              <w:t>his parameter is defined in 3GPP TS 25.223.</w:t>
            </w:r>
            <w:r w:rsidRPr="004D0DAA">
              <w:br/>
              <w:t>Bit</w:t>
            </w:r>
            <w:r w:rsidRPr="004D0DAA">
              <w:br/>
              <w:t>0</w:t>
            </w:r>
            <w:r w:rsidRPr="004D0DAA">
              <w:tab/>
              <w:t>Sync Case 1</w:t>
            </w:r>
            <w:r w:rsidRPr="004D0DAA">
              <w:br/>
              <w:t>1</w:t>
            </w:r>
            <w:r w:rsidRPr="004D0DAA">
              <w:tab/>
              <w:t>Sync Case 2</w:t>
            </w:r>
          </w:p>
          <w:p w14:paraId="0905FD1E" w14:textId="77777777" w:rsidR="00711444" w:rsidRPr="004D0DAA" w:rsidRDefault="00711444" w:rsidP="00AA2A4C">
            <w:pPr>
              <w:keepLines/>
              <w:spacing w:after="0"/>
              <w:rPr>
                <w:lang w:eastAsia="zh-CN"/>
              </w:rPr>
            </w:pPr>
            <w:r w:rsidRPr="004D0DAA">
              <w:rPr>
                <w:lang w:eastAsia="zh-CN"/>
              </w:rPr>
              <w:t>For 1.28 Mcps TDD, this parameter indicates if TSTD (see 3GPP TS 25.224) is applied for the cell:</w:t>
            </w:r>
          </w:p>
          <w:p w14:paraId="45CC0E1D" w14:textId="77777777" w:rsidR="00711444" w:rsidRPr="004D0DAA" w:rsidRDefault="00711444" w:rsidP="00AA2A4C">
            <w:pPr>
              <w:keepLines/>
              <w:spacing w:after="0"/>
              <w:rPr>
                <w:lang w:eastAsia="zh-CN"/>
              </w:rPr>
            </w:pPr>
            <w:r w:rsidRPr="004D0DAA">
              <w:rPr>
                <w:lang w:eastAsia="zh-CN"/>
              </w:rPr>
              <w:t>Bit</w:t>
            </w:r>
          </w:p>
          <w:p w14:paraId="40463A70" w14:textId="77777777" w:rsidR="00711444" w:rsidRPr="004D0DAA" w:rsidRDefault="00711444" w:rsidP="00AA2A4C">
            <w:pPr>
              <w:keepLines/>
              <w:spacing w:after="0"/>
              <w:rPr>
                <w:lang w:eastAsia="zh-CN"/>
              </w:rPr>
            </w:pPr>
            <w:r w:rsidRPr="004D0DAA">
              <w:rPr>
                <w:lang w:eastAsia="zh-CN"/>
              </w:rPr>
              <w:t>0 TSTD is not applied for this cell</w:t>
            </w:r>
          </w:p>
          <w:p w14:paraId="613CB49A" w14:textId="77777777" w:rsidR="00711444" w:rsidRPr="004D0DAA" w:rsidRDefault="00711444" w:rsidP="00AA2A4C">
            <w:pPr>
              <w:rPr>
                <w:b/>
                <w:i/>
              </w:rPr>
            </w:pPr>
            <w:r w:rsidRPr="004D0DAA">
              <w:rPr>
                <w:lang w:eastAsia="zh-CN"/>
              </w:rPr>
              <w:t>1 TSTD is applied for this cell.</w:t>
            </w:r>
          </w:p>
        </w:tc>
      </w:tr>
      <w:tr w:rsidR="00711444" w:rsidRPr="004D0DAA" w14:paraId="4BF78A97" w14:textId="77777777" w:rsidTr="00AA2A4C">
        <w:tblPrEx>
          <w:tblCellMar>
            <w:top w:w="0" w:type="dxa"/>
            <w:bottom w:w="0" w:type="dxa"/>
          </w:tblCellMar>
        </w:tblPrEx>
        <w:trPr>
          <w:gridAfter w:val="1"/>
          <w:wAfter w:w="7" w:type="dxa"/>
          <w:cantSplit/>
        </w:trPr>
        <w:tc>
          <w:tcPr>
            <w:tcW w:w="9848" w:type="dxa"/>
          </w:tcPr>
          <w:p w14:paraId="41C55FC3" w14:textId="77777777" w:rsidR="00711444" w:rsidRPr="004D0DAA" w:rsidRDefault="00711444" w:rsidP="00AA2A4C">
            <w:pPr>
              <w:rPr>
                <w:b/>
                <w:i/>
              </w:rPr>
            </w:pPr>
            <w:r w:rsidRPr="004D0DAA">
              <w:rPr>
                <w:b/>
              </w:rPr>
              <w:t>Diversity</w:t>
            </w:r>
            <w:r w:rsidRPr="004D0DAA">
              <w:rPr>
                <w:b/>
                <w:lang w:eastAsia="zh-CN"/>
              </w:rPr>
              <w:t xml:space="preserve"> TDD</w:t>
            </w:r>
            <w:r w:rsidRPr="004D0DAA">
              <w:t xml:space="preserve"> (1 bit field)</w:t>
            </w:r>
            <w:r w:rsidRPr="004D0DAA">
              <w:br/>
              <w:t xml:space="preserve">This parameter indicates if </w:t>
            </w:r>
            <w:r w:rsidRPr="004D0DAA">
              <w:rPr>
                <w:lang w:eastAsia="zh-CN"/>
              </w:rPr>
              <w:t>SCTD (see 3GPP TS 25.224)</w:t>
            </w:r>
            <w:r w:rsidRPr="004D0DAA">
              <w:t xml:space="preserve"> is applied for the cell:</w:t>
            </w:r>
            <w:r w:rsidRPr="004D0DAA">
              <w:br/>
              <w:t>Bit</w:t>
            </w:r>
            <w:r w:rsidRPr="004D0DAA">
              <w:br/>
              <w:t>0</w:t>
            </w:r>
            <w:r w:rsidRPr="004D0DAA">
              <w:tab/>
            </w:r>
            <w:r w:rsidRPr="004D0DAA">
              <w:rPr>
                <w:lang w:eastAsia="zh-CN"/>
              </w:rPr>
              <w:t>SCTD</w:t>
            </w:r>
            <w:r w:rsidRPr="004D0DAA">
              <w:t xml:space="preserve"> is not applied for this cell</w:t>
            </w:r>
            <w:r w:rsidRPr="004D0DAA">
              <w:br/>
              <w:t>1</w:t>
            </w:r>
            <w:r w:rsidRPr="004D0DAA">
              <w:tab/>
            </w:r>
            <w:r w:rsidRPr="004D0DAA">
              <w:rPr>
                <w:lang w:eastAsia="zh-CN"/>
              </w:rPr>
              <w:t>SCTD</w:t>
            </w:r>
            <w:r w:rsidRPr="004D0DAA">
              <w:t xml:space="preserve"> is applied for this cell.</w:t>
            </w:r>
          </w:p>
        </w:tc>
      </w:tr>
      <w:tr w:rsidR="00711444" w:rsidRPr="004D0DAA" w14:paraId="4A74E103" w14:textId="77777777" w:rsidTr="00AA2A4C">
        <w:tblPrEx>
          <w:tblCellMar>
            <w:top w:w="0" w:type="dxa"/>
            <w:bottom w:w="0" w:type="dxa"/>
          </w:tblCellMar>
        </w:tblPrEx>
        <w:trPr>
          <w:gridAfter w:val="1"/>
          <w:wAfter w:w="7" w:type="dxa"/>
          <w:cantSplit/>
        </w:trPr>
        <w:tc>
          <w:tcPr>
            <w:tcW w:w="9848" w:type="dxa"/>
          </w:tcPr>
          <w:p w14:paraId="728C9905" w14:textId="77777777" w:rsidR="00711444" w:rsidRPr="004D0DAA" w:rsidRDefault="00711444" w:rsidP="00AA2A4C">
            <w:pPr>
              <w:rPr>
                <w:b/>
                <w:i/>
              </w:rPr>
            </w:pPr>
            <w:r w:rsidRPr="004D0DAA">
              <w:rPr>
                <w:b/>
                <w:i/>
              </w:rPr>
              <w:t>CDMA 2000 Description:</w:t>
            </w:r>
          </w:p>
          <w:p w14:paraId="16D750AD" w14:textId="77777777" w:rsidR="00711444" w:rsidRPr="004D0DAA" w:rsidRDefault="00711444" w:rsidP="00AA2A4C">
            <w:r w:rsidRPr="004D0DAA">
              <w:rPr>
                <w:b/>
              </w:rPr>
              <w:t>cdma2000 frequency band</w:t>
            </w:r>
            <w:r w:rsidRPr="004D0DAA">
              <w:t xml:space="preserve"> (5 bit field)</w:t>
            </w:r>
            <w:r w:rsidRPr="004D0DAA">
              <w:br/>
              <w:t>A binary representation of cdma2000 BAND_CLASS, as defined in TIA/EIA-IS-2000-5-A. The mobile station shall ignore all the information relative to a cdma2000 frequency band that it can not support.</w:t>
            </w:r>
            <w:r w:rsidRPr="004D0DAA">
              <w:rPr>
                <w:b/>
              </w:rPr>
              <w:t xml:space="preserve"> </w:t>
            </w:r>
          </w:p>
          <w:p w14:paraId="5D3EBA10" w14:textId="77777777" w:rsidR="00711444" w:rsidRPr="004D0DAA" w:rsidRDefault="00711444" w:rsidP="00AA2A4C">
            <w:pPr>
              <w:rPr>
                <w:b/>
                <w:i/>
              </w:rPr>
            </w:pPr>
            <w:r w:rsidRPr="004D0DAA">
              <w:rPr>
                <w:b/>
              </w:rPr>
              <w:t xml:space="preserve">cdma2000 frequency </w:t>
            </w:r>
            <w:r w:rsidRPr="004D0DAA">
              <w:t>(11 bit field)</w:t>
            </w:r>
            <w:r w:rsidRPr="004D0DAA">
              <w:br/>
              <w:t>A binary representation of</w:t>
            </w:r>
            <w:r w:rsidRPr="004D0DAA">
              <w:rPr>
                <w:b/>
              </w:rPr>
              <w:t xml:space="preserve"> </w:t>
            </w:r>
            <w:r w:rsidRPr="004D0DAA">
              <w:t>cdma2000 CDMA_FREQ, as defined in TIA/EIA-IS-2000-5-A. The mobile station shall ignore all the information relative to a cdma2000 frequency that it can not support.</w:t>
            </w:r>
          </w:p>
        </w:tc>
      </w:tr>
      <w:tr w:rsidR="00711444" w:rsidRPr="004D0DAA" w14:paraId="07513F96" w14:textId="77777777" w:rsidTr="00AA2A4C">
        <w:tblPrEx>
          <w:tblCellMar>
            <w:top w:w="0" w:type="dxa"/>
            <w:bottom w:w="0" w:type="dxa"/>
          </w:tblCellMar>
        </w:tblPrEx>
        <w:trPr>
          <w:gridAfter w:val="1"/>
          <w:wAfter w:w="7" w:type="dxa"/>
          <w:cantSplit/>
        </w:trPr>
        <w:tc>
          <w:tcPr>
            <w:tcW w:w="9848" w:type="dxa"/>
          </w:tcPr>
          <w:p w14:paraId="00E90AD5" w14:textId="77777777" w:rsidR="00711444" w:rsidRPr="004D0DAA" w:rsidRDefault="00711444" w:rsidP="00AA2A4C">
            <w:pPr>
              <w:rPr>
                <w:b/>
                <w:i/>
              </w:rPr>
            </w:pPr>
            <w:r w:rsidRPr="004D0DAA">
              <w:rPr>
                <w:b/>
              </w:rPr>
              <w:t>number_cdma2000_cells</w:t>
            </w:r>
            <w:r w:rsidRPr="004D0DAA">
              <w:t xml:space="preserve"> (5 bit field)</w:t>
            </w:r>
            <w:r w:rsidRPr="004D0DAA">
              <w:br/>
              <w:t>This field indicates the number of CDMA 2000 neighbour cells.</w:t>
            </w:r>
          </w:p>
        </w:tc>
      </w:tr>
      <w:tr w:rsidR="00711444" w:rsidRPr="004D0DAA" w14:paraId="693A2B2E" w14:textId="77777777" w:rsidTr="00AA2A4C">
        <w:tblPrEx>
          <w:tblCellMar>
            <w:top w:w="0" w:type="dxa"/>
            <w:bottom w:w="0" w:type="dxa"/>
          </w:tblCellMar>
        </w:tblPrEx>
        <w:trPr>
          <w:gridAfter w:val="1"/>
          <w:wAfter w:w="7" w:type="dxa"/>
          <w:cantSplit/>
        </w:trPr>
        <w:tc>
          <w:tcPr>
            <w:tcW w:w="9848" w:type="dxa"/>
          </w:tcPr>
          <w:p w14:paraId="5301056E" w14:textId="77777777" w:rsidR="00711444" w:rsidRPr="004D0DAA" w:rsidRDefault="00711444" w:rsidP="00AA2A4C">
            <w:r w:rsidRPr="004D0DAA">
              <w:rPr>
                <w:b/>
              </w:rPr>
              <w:t xml:space="preserve">Pilot PN offset </w:t>
            </w:r>
            <w:r w:rsidRPr="004D0DAA">
              <w:t>(9 bit field)</w:t>
            </w:r>
            <w:r w:rsidRPr="004D0DAA">
              <w:br/>
              <w:t>A binary representation of the PN offset of the Pilot PN sequence (in units of 64 cdma2000 1x-chips), PILOT_PN, as defined in TIA/EIA-IS-2000-5-A.</w:t>
            </w:r>
          </w:p>
        </w:tc>
      </w:tr>
      <w:tr w:rsidR="00711444" w:rsidRPr="004D0DAA" w14:paraId="0A2B1F81" w14:textId="77777777" w:rsidTr="00AA2A4C">
        <w:tblPrEx>
          <w:tblCellMar>
            <w:top w:w="0" w:type="dxa"/>
            <w:bottom w:w="0" w:type="dxa"/>
          </w:tblCellMar>
        </w:tblPrEx>
        <w:trPr>
          <w:gridAfter w:val="1"/>
          <w:wAfter w:w="7" w:type="dxa"/>
          <w:cantSplit/>
        </w:trPr>
        <w:tc>
          <w:tcPr>
            <w:tcW w:w="9848" w:type="dxa"/>
          </w:tcPr>
          <w:p w14:paraId="7797808A" w14:textId="77777777" w:rsidR="00711444" w:rsidRPr="004D0DAA" w:rsidRDefault="00711444" w:rsidP="00AA2A4C">
            <w:pPr>
              <w:rPr>
                <w:b/>
              </w:rPr>
            </w:pPr>
            <w:r w:rsidRPr="004D0DAA">
              <w:rPr>
                <w:b/>
              </w:rPr>
              <w:t xml:space="preserve">TD_MODE </w:t>
            </w:r>
            <w:r w:rsidRPr="004D0DAA">
              <w:t>(2 bit field)</w:t>
            </w:r>
            <w:r w:rsidRPr="004D0DAA">
              <w:br/>
              <w:t>An indication of transmit diversity mode is specified in TIA/EIA-IS-2000-5-A. The mobile station shall ignore TD_MODE if it does not support 1X Common Pilot with Transmit Diversity.</w:t>
            </w:r>
          </w:p>
        </w:tc>
      </w:tr>
      <w:tr w:rsidR="00711444" w:rsidRPr="004D0DAA" w14:paraId="28A865EB" w14:textId="77777777" w:rsidTr="00AA2A4C">
        <w:tblPrEx>
          <w:tblCellMar>
            <w:top w:w="0" w:type="dxa"/>
            <w:bottom w:w="0" w:type="dxa"/>
          </w:tblCellMar>
        </w:tblPrEx>
        <w:trPr>
          <w:gridAfter w:val="1"/>
          <w:wAfter w:w="7" w:type="dxa"/>
          <w:cantSplit/>
        </w:trPr>
        <w:tc>
          <w:tcPr>
            <w:tcW w:w="9848" w:type="dxa"/>
          </w:tcPr>
          <w:p w14:paraId="33644499" w14:textId="77777777" w:rsidR="00711444" w:rsidRPr="004D0DAA" w:rsidRDefault="00711444" w:rsidP="00AA2A4C">
            <w:pPr>
              <w:rPr>
                <w:b/>
              </w:rPr>
            </w:pPr>
            <w:r w:rsidRPr="004D0DAA">
              <w:rPr>
                <w:b/>
              </w:rPr>
              <w:t xml:space="preserve">TD_POWER_LEVEL </w:t>
            </w:r>
            <w:r w:rsidRPr="004D0DAA">
              <w:t>(3 bit field)</w:t>
            </w:r>
            <w:r w:rsidRPr="004D0DAA">
              <w:br/>
              <w:t>Power level of the Transmit Diversity Pilot relative to that of the Forward Pilot Channel as specified in TIA/EIA/IS-2000-5-A. The mobile station shall ignore TD_POWER_LEVEL if it does not support 1X Common Pilot with Transmit Diversity.</w:t>
            </w:r>
          </w:p>
        </w:tc>
      </w:tr>
      <w:tr w:rsidR="00711444" w:rsidRPr="004D0DAA" w14:paraId="35DF7A0D" w14:textId="77777777" w:rsidTr="00AA2A4C">
        <w:tblPrEx>
          <w:tblCellMar>
            <w:top w:w="0" w:type="dxa"/>
            <w:bottom w:w="0" w:type="dxa"/>
          </w:tblCellMar>
        </w:tblPrEx>
        <w:trPr>
          <w:gridAfter w:val="1"/>
          <w:wAfter w:w="7" w:type="dxa"/>
          <w:cantSplit/>
        </w:trPr>
        <w:tc>
          <w:tcPr>
            <w:tcW w:w="9848" w:type="dxa"/>
          </w:tcPr>
          <w:p w14:paraId="5F5AB505" w14:textId="77777777" w:rsidR="00711444" w:rsidRPr="004D0DAA" w:rsidRDefault="00711444" w:rsidP="00AA2A4C">
            <w:pPr>
              <w:rPr>
                <w:b/>
              </w:rPr>
            </w:pPr>
            <w:r w:rsidRPr="004D0DAA">
              <w:rPr>
                <w:b/>
              </w:rPr>
              <w:t xml:space="preserve">QOF </w:t>
            </w:r>
            <w:r w:rsidRPr="004D0DAA">
              <w:t>(2 bit field)</w:t>
            </w:r>
            <w:r w:rsidRPr="004D0DAA">
              <w:br/>
              <w:t>Quasi-orthogonal function index is defined in TIA/EIA/IS-2000-5-A. The mobile station shall ignore QOF if it does not support the quasi-orthogonal function.</w:t>
            </w:r>
          </w:p>
        </w:tc>
      </w:tr>
      <w:tr w:rsidR="00711444" w:rsidRPr="004D0DAA" w14:paraId="70B812F7" w14:textId="77777777" w:rsidTr="00AA2A4C">
        <w:tblPrEx>
          <w:tblCellMar>
            <w:top w:w="0" w:type="dxa"/>
            <w:bottom w:w="0" w:type="dxa"/>
          </w:tblCellMar>
        </w:tblPrEx>
        <w:trPr>
          <w:gridAfter w:val="1"/>
          <w:wAfter w:w="7" w:type="dxa"/>
          <w:cantSplit/>
        </w:trPr>
        <w:tc>
          <w:tcPr>
            <w:tcW w:w="9848" w:type="dxa"/>
          </w:tcPr>
          <w:p w14:paraId="595A1A84" w14:textId="77777777" w:rsidR="00711444" w:rsidRPr="004D0DAA" w:rsidRDefault="00711444" w:rsidP="00AA2A4C">
            <w:r w:rsidRPr="004D0DAA">
              <w:rPr>
                <w:b/>
              </w:rPr>
              <w:t>WALSH_LEN_A, WALSH_LEN_B</w:t>
            </w:r>
            <w:r w:rsidRPr="004D0DAA">
              <w:t xml:space="preserve"> and </w:t>
            </w:r>
            <w:r w:rsidRPr="004D0DAA">
              <w:rPr>
                <w:b/>
              </w:rPr>
              <w:t xml:space="preserve">WALSH_LEN_C </w:t>
            </w:r>
            <w:r w:rsidRPr="004D0DAA">
              <w:t>(3 bit field each)</w:t>
            </w:r>
            <w:r w:rsidRPr="004D0DAA">
              <w:br/>
              <w:t>A three bit field to indicate the length of the Walsh code for the pilot that is used in as the Auxiliary Pilot, and specified as WALSH_LEN in TIA/EIA/IS-2000-5-A. The mobile station shall ignore WALSH_LEN if it does not support 1X Auxiliary Pilot.</w:t>
            </w:r>
          </w:p>
        </w:tc>
      </w:tr>
      <w:tr w:rsidR="00711444" w:rsidRPr="004D0DAA" w14:paraId="42D04D43" w14:textId="77777777" w:rsidTr="00AA2A4C">
        <w:tblPrEx>
          <w:tblCellMar>
            <w:top w:w="0" w:type="dxa"/>
            <w:bottom w:w="0" w:type="dxa"/>
          </w:tblCellMar>
        </w:tblPrEx>
        <w:trPr>
          <w:gridAfter w:val="1"/>
          <w:wAfter w:w="7" w:type="dxa"/>
          <w:cantSplit/>
        </w:trPr>
        <w:tc>
          <w:tcPr>
            <w:tcW w:w="9848" w:type="dxa"/>
          </w:tcPr>
          <w:p w14:paraId="60BC85D7" w14:textId="77777777" w:rsidR="00711444" w:rsidRPr="004D0DAA" w:rsidRDefault="00711444" w:rsidP="00AA2A4C">
            <w:r w:rsidRPr="004D0DAA">
              <w:rPr>
                <w:b/>
              </w:rPr>
              <w:lastRenderedPageBreak/>
              <w:t xml:space="preserve">AUX_PILOT_WALSH </w:t>
            </w:r>
            <w:r w:rsidRPr="004D0DAA">
              <w:t>(var.Length field)</w:t>
            </w:r>
            <w:r w:rsidRPr="004D0DAA">
              <w:br/>
              <w:t>Indicates the walsh code corresponding to the Auxiliary Pilot, as specified in TIA/EIA/IS-2000-5-A. The mobile station shall ignore AUX_PILOT_WALSH if it does not support 1X Auxiliary Pilot.</w:t>
            </w:r>
          </w:p>
          <w:p w14:paraId="3B67698A" w14:textId="77777777" w:rsidR="00711444" w:rsidRPr="004D0DAA" w:rsidRDefault="00711444" w:rsidP="00AA2A4C">
            <w:r w:rsidRPr="004D0DAA">
              <w:rPr>
                <w:b/>
              </w:rPr>
              <w:t xml:space="preserve">AUX_TD_WALSH </w:t>
            </w:r>
            <w:r w:rsidRPr="004D0DAA">
              <w:t>(var.Length field)</w:t>
            </w:r>
            <w:r w:rsidRPr="004D0DAA">
              <w:br/>
              <w:t>Indicates the walsh code corresponding to the Auxiliary Transmit Diversity Pilot, as specified in TIA/EIA/IS-2000-5-A. The mobile station shall ignore AUX_TD_WALSH if it does not support 1X Auxiliary Pilot with Transmit Diversity.</w:t>
            </w:r>
          </w:p>
          <w:p w14:paraId="0948A435" w14:textId="77777777" w:rsidR="00711444" w:rsidRPr="004D0DAA" w:rsidRDefault="00711444" w:rsidP="00AA2A4C">
            <w:r w:rsidRPr="004D0DAA">
              <w:rPr>
                <w:b/>
              </w:rPr>
              <w:t>AUX_TD_POWER_LEVEL</w:t>
            </w:r>
            <w:r w:rsidRPr="004D0DAA">
              <w:t xml:space="preserve"> (2 bit field)</w:t>
            </w:r>
            <w:r w:rsidRPr="004D0DAA">
              <w:br/>
              <w:t>Power level of the Auxiliary Transmit Diversity Pilot relative to that of the Forward Pilot Channel as specified in TIA/EIA/IS-2000-5-A. The mobile station shall ignore AUX_TD_POWER_LEVEL if it does not support 1X Auxiliry Pilot with Transmit Diversity.</w:t>
            </w:r>
          </w:p>
        </w:tc>
      </w:tr>
      <w:tr w:rsidR="00711444" w:rsidRPr="004D0DAA" w14:paraId="082C5F79" w14:textId="77777777" w:rsidTr="00AA2A4C">
        <w:tblPrEx>
          <w:tblCellMar>
            <w:top w:w="0" w:type="dxa"/>
            <w:bottom w:w="0" w:type="dxa"/>
          </w:tblCellMar>
        </w:tblPrEx>
        <w:trPr>
          <w:gridAfter w:val="1"/>
          <w:wAfter w:w="7" w:type="dxa"/>
          <w:cantSplit/>
        </w:trPr>
        <w:tc>
          <w:tcPr>
            <w:tcW w:w="9848" w:type="dxa"/>
          </w:tcPr>
          <w:p w14:paraId="4C30CC2B" w14:textId="77777777" w:rsidR="00711444" w:rsidRPr="004D0DAA" w:rsidRDefault="00711444" w:rsidP="00AA2A4C">
            <w:r w:rsidRPr="004D0DAA">
              <w:rPr>
                <w:b/>
              </w:rPr>
              <w:t>SR3_PRIM_PILOT</w:t>
            </w:r>
            <w:r w:rsidRPr="004D0DAA">
              <w:t xml:space="preserve"> (3 bit field)</w:t>
            </w:r>
            <w:r w:rsidRPr="004D0DAA">
              <w:br/>
              <w:t>Position of the primary SR3 pilot as specified in TIA/EIA/IS-2000-5-A. The mobile station shall ignore SR3_PRIM_PILOT if it does not support 3X Common Pilot.</w:t>
            </w:r>
          </w:p>
          <w:p w14:paraId="07157CBE" w14:textId="77777777" w:rsidR="00711444" w:rsidRPr="004D0DAA" w:rsidRDefault="00711444" w:rsidP="00AA2A4C">
            <w:r w:rsidRPr="004D0DAA">
              <w:rPr>
                <w:b/>
              </w:rPr>
              <w:t>SR3_PILOT_POWER1</w:t>
            </w:r>
            <w:r w:rsidRPr="004D0DAA">
              <w:t xml:space="preserve"> (3 bit field), relative power level between the primary SR3 pilot and the pilot on the lower frequency of the two remaining SR3 frequencies, as specified in TIA/EIA/IS-2000-5-A. The mobile station shall ignore SR3_PILOT_POWER1 if it does not support 3X Common Pilot.</w:t>
            </w:r>
          </w:p>
          <w:p w14:paraId="5E5F46CF" w14:textId="77777777" w:rsidR="00711444" w:rsidRPr="004D0DAA" w:rsidRDefault="00711444" w:rsidP="00AA2A4C">
            <w:r w:rsidRPr="004D0DAA">
              <w:rPr>
                <w:b/>
              </w:rPr>
              <w:t>SR3_PILOT_POWER2</w:t>
            </w:r>
            <w:r w:rsidRPr="004D0DAA">
              <w:t xml:space="preserve"> (3 bit field), relative power level between the primary SR3 pilot and the pilot on the higher frequency of the two remaining SR3 frequencies, as specified in TIA/EIA/IS-2000-5-A. The mobile station shall ignore SR3_PILOT_POWER2 if it does not support 3X Common Pilot.</w:t>
            </w:r>
          </w:p>
        </w:tc>
      </w:tr>
      <w:tr w:rsidR="00711444" w:rsidRPr="004D0DAA" w14:paraId="3DCD9EAD" w14:textId="77777777" w:rsidTr="00AA2A4C">
        <w:tblPrEx>
          <w:tblCellMar>
            <w:top w:w="0" w:type="dxa"/>
            <w:bottom w:w="0" w:type="dxa"/>
          </w:tblCellMar>
        </w:tblPrEx>
        <w:trPr>
          <w:gridAfter w:val="1"/>
          <w:wAfter w:w="7" w:type="dxa"/>
          <w:cantSplit/>
        </w:trPr>
        <w:tc>
          <w:tcPr>
            <w:tcW w:w="9848" w:type="dxa"/>
          </w:tcPr>
          <w:p w14:paraId="29576A7E" w14:textId="77777777" w:rsidR="00711444" w:rsidRPr="004D0DAA" w:rsidRDefault="00711444" w:rsidP="00AA2A4C">
            <w:r w:rsidRPr="004D0DAA">
              <w:rPr>
                <w:b/>
              </w:rPr>
              <w:t>QOF1</w:t>
            </w:r>
            <w:r w:rsidRPr="004D0DAA">
              <w:t xml:space="preserve"> (2 bit field)</w:t>
            </w:r>
            <w:r w:rsidRPr="004D0DAA">
              <w:rPr>
                <w:b/>
              </w:rPr>
              <w:t>, WALSH_LEN1</w:t>
            </w:r>
            <w:r w:rsidRPr="004D0DAA">
              <w:t xml:space="preserve"> (3 bit field) and </w:t>
            </w:r>
            <w:r w:rsidRPr="004D0DAA">
              <w:rPr>
                <w:b/>
              </w:rPr>
              <w:t>AUX_PILOT_WALSH1</w:t>
            </w:r>
            <w:r w:rsidRPr="004D0DAA">
              <w:t xml:space="preserve"> (var. Length field)</w:t>
            </w:r>
            <w:r w:rsidRPr="004D0DAA">
              <w:br/>
              <w:t>The corresponding quantities for pilot on the lower frequency of the two remaining SR3 frequencies, as specified in TIA/EIA/IS-2000-5-A. The mobile station shall ignore QOF1, WALSH_LEN1 and AUX_PILOT_WALSH1 if it does not support 3X Auxiliary Pilot.</w:t>
            </w:r>
          </w:p>
          <w:p w14:paraId="199D2CD5" w14:textId="77777777" w:rsidR="00711444" w:rsidRPr="004D0DAA" w:rsidRDefault="00711444" w:rsidP="00AA2A4C">
            <w:r w:rsidRPr="004D0DAA">
              <w:rPr>
                <w:b/>
              </w:rPr>
              <w:t>QOF2</w:t>
            </w:r>
            <w:r w:rsidRPr="004D0DAA">
              <w:t xml:space="preserve"> (2 bit field), </w:t>
            </w:r>
            <w:r w:rsidRPr="004D0DAA">
              <w:rPr>
                <w:b/>
              </w:rPr>
              <w:t>WALSH_LENGTH2</w:t>
            </w:r>
            <w:r w:rsidRPr="004D0DAA">
              <w:t xml:space="preserve"> (3 bit field)</w:t>
            </w:r>
            <w:r w:rsidRPr="004D0DAA">
              <w:rPr>
                <w:b/>
              </w:rPr>
              <w:t xml:space="preserve"> </w:t>
            </w:r>
            <w:r w:rsidRPr="004D0DAA">
              <w:t xml:space="preserve">and </w:t>
            </w:r>
            <w:r w:rsidRPr="004D0DAA">
              <w:rPr>
                <w:b/>
              </w:rPr>
              <w:t>AUX_PILOT_WALSH2</w:t>
            </w:r>
            <w:r w:rsidRPr="004D0DAA">
              <w:t xml:space="preserve"> (var Length field)</w:t>
            </w:r>
            <w:r w:rsidRPr="004D0DAA">
              <w:br/>
              <w:t>The corresponding quantities for pilot on the higher frequency of the two remaining SR3 frequencies, as specified in TIA/EIA/IS-2000-5-A. The mobile station shall ignore QOF2, WALSH_LEN2 and AUX_PILOT_WALSH2 if it does not support 3X Auxiliary Pilot.</w:t>
            </w:r>
          </w:p>
        </w:tc>
      </w:tr>
      <w:tr w:rsidR="00711444" w:rsidRPr="004D0DAA" w14:paraId="5AA959D9" w14:textId="77777777" w:rsidTr="00AA2A4C">
        <w:tblPrEx>
          <w:tblCellMar>
            <w:top w:w="0" w:type="dxa"/>
            <w:bottom w:w="0" w:type="dxa"/>
          </w:tblCellMar>
        </w:tblPrEx>
        <w:trPr>
          <w:gridAfter w:val="1"/>
          <w:wAfter w:w="7" w:type="dxa"/>
          <w:cantSplit/>
        </w:trPr>
        <w:tc>
          <w:tcPr>
            <w:tcW w:w="9848" w:type="dxa"/>
          </w:tcPr>
          <w:p w14:paraId="144D2EA3" w14:textId="77777777" w:rsidR="00711444" w:rsidRPr="004D0DAA" w:rsidRDefault="00711444" w:rsidP="00AA2A4C">
            <w:r w:rsidRPr="004D0DAA">
              <w:rPr>
                <w:b/>
                <w:i/>
              </w:rPr>
              <w:t>REMOVED_3GCELL_Description</w:t>
            </w:r>
            <w:r w:rsidRPr="004D0DAA">
              <w:rPr>
                <w:i/>
              </w:rPr>
              <w:br/>
            </w:r>
            <w:r w:rsidRPr="004D0DAA">
              <w:t>This struct contains a list of cells to be removed from the 3G Neighbour Cell list for measurements (see sub-clause 5.6.3.1). The cells are identified by their index. The struct consists of N1 sublists, each comprising the following three parameters:</w:t>
            </w:r>
          </w:p>
          <w:p w14:paraId="7002EA3F" w14:textId="77777777" w:rsidR="00711444" w:rsidRPr="004D0DAA" w:rsidRDefault="00711444" w:rsidP="00AA2A4C">
            <w:pPr>
              <w:rPr>
                <w:b/>
              </w:rPr>
            </w:pPr>
            <w:r w:rsidRPr="004D0DAA">
              <w:rPr>
                <w:b/>
              </w:rPr>
              <w:t>REMOVED_3GCELL_INDEX</w:t>
            </w:r>
            <w:r w:rsidRPr="004D0DAA">
              <w:t xml:space="preserve"> (7 bit field)</w:t>
            </w:r>
            <w:r w:rsidRPr="004D0DAA">
              <w:br/>
              <w:t xml:space="preserve">This field indicates the index of the first cell in the sublist. </w:t>
            </w:r>
          </w:p>
          <w:p w14:paraId="3AE15438" w14:textId="77777777" w:rsidR="00711444" w:rsidRPr="004D0DAA" w:rsidRDefault="00711444" w:rsidP="00AA2A4C">
            <w:r w:rsidRPr="004D0DAA">
              <w:rPr>
                <w:b/>
              </w:rPr>
              <w:t xml:space="preserve">3G_CELL_DIFF_LENGTH </w:t>
            </w:r>
            <w:r w:rsidRPr="004D0DAA">
              <w:t>(3 bit field)</w:t>
            </w:r>
            <w:r w:rsidRPr="004D0DAA">
              <w:br/>
              <w:t>This field indicates the number of bits used for the 3GCELL_DIFF field in the current sublist.</w:t>
            </w:r>
          </w:p>
          <w:p w14:paraId="7168C062" w14:textId="77777777" w:rsidR="00711444" w:rsidRPr="004D0DAA" w:rsidRDefault="00711444" w:rsidP="00AA2A4C">
            <w:r w:rsidRPr="004D0DAA">
              <w:rPr>
                <w:b/>
              </w:rPr>
              <w:t xml:space="preserve">3GCELL_DIFF </w:t>
            </w:r>
            <w:r w:rsidRPr="004D0DAA">
              <w:t>(variable size)</w:t>
            </w:r>
            <w:r w:rsidRPr="004D0DAA">
              <w:br/>
              <w:t>This field indicates the difference in index to the next cell in the sublist.</w:t>
            </w:r>
          </w:p>
        </w:tc>
      </w:tr>
      <w:tr w:rsidR="00711444" w:rsidRPr="004D0DAA" w14:paraId="5FD462FE" w14:textId="77777777" w:rsidTr="00AA2A4C">
        <w:tblPrEx>
          <w:tblCellMar>
            <w:top w:w="0" w:type="dxa"/>
            <w:bottom w:w="0" w:type="dxa"/>
          </w:tblCellMar>
        </w:tblPrEx>
        <w:trPr>
          <w:gridAfter w:val="1"/>
          <w:wAfter w:w="7" w:type="dxa"/>
          <w:cantSplit/>
        </w:trPr>
        <w:tc>
          <w:tcPr>
            <w:tcW w:w="9848" w:type="dxa"/>
          </w:tcPr>
          <w:p w14:paraId="2DE8C98D" w14:textId="77777777" w:rsidR="00711444" w:rsidRPr="004D0DAA" w:rsidRDefault="00711444" w:rsidP="00AA2A4C">
            <w:pPr>
              <w:rPr>
                <w:b/>
                <w:i/>
              </w:rPr>
            </w:pPr>
            <w:r w:rsidRPr="004D0DAA">
              <w:rPr>
                <w:b/>
                <w:i/>
              </w:rPr>
              <w:t>GPRS REP PRIORITY Description</w:t>
            </w:r>
          </w:p>
          <w:p w14:paraId="5688F964" w14:textId="77777777" w:rsidR="00711444" w:rsidRPr="004D0DAA" w:rsidRDefault="00711444" w:rsidP="00AA2A4C">
            <w:r w:rsidRPr="004D0DAA">
              <w:rPr>
                <w:b/>
              </w:rPr>
              <w:t>REP_PRIORITY bit:</w:t>
            </w:r>
            <w:r w:rsidRPr="004D0DAA">
              <w:br/>
            </w:r>
            <w:r w:rsidRPr="004D0DAA">
              <w:rPr>
                <w:b/>
              </w:rPr>
              <w:t>0</w:t>
            </w:r>
            <w:r w:rsidRPr="004D0DAA">
              <w:rPr>
                <w:b/>
              </w:rPr>
              <w:tab/>
            </w:r>
            <w:r w:rsidRPr="004D0DAA">
              <w:t>Normal reporting priority</w:t>
            </w:r>
            <w:r w:rsidRPr="004D0DAA">
              <w:br/>
            </w:r>
            <w:r w:rsidRPr="004D0DAA">
              <w:rPr>
                <w:b/>
              </w:rPr>
              <w:t>1</w:t>
            </w:r>
            <w:r w:rsidRPr="004D0DAA">
              <w:rPr>
                <w:b/>
              </w:rPr>
              <w:tab/>
            </w:r>
            <w:r w:rsidRPr="004D0DAA">
              <w:t>High reporting priority</w:t>
            </w:r>
            <w:r w:rsidRPr="004D0DAA">
              <w:br/>
              <w:t>The use of these bits is defined in sub-clause 5.6.3.5 and 3GPP TS 45.008.</w:t>
            </w:r>
          </w:p>
        </w:tc>
      </w:tr>
      <w:tr w:rsidR="00711444" w:rsidRPr="004D0DAA" w14:paraId="05926105" w14:textId="77777777" w:rsidTr="00AA2A4C">
        <w:tblPrEx>
          <w:tblCellMar>
            <w:top w:w="0" w:type="dxa"/>
            <w:bottom w:w="0" w:type="dxa"/>
          </w:tblCellMar>
        </w:tblPrEx>
        <w:trPr>
          <w:gridAfter w:val="1"/>
          <w:wAfter w:w="7" w:type="dxa"/>
          <w:cantSplit/>
        </w:trPr>
        <w:tc>
          <w:tcPr>
            <w:tcW w:w="9848" w:type="dxa"/>
          </w:tcPr>
          <w:p w14:paraId="71E6992A" w14:textId="77777777" w:rsidR="00711444" w:rsidRPr="004D0DAA" w:rsidRDefault="00711444" w:rsidP="00AA2A4C">
            <w:r w:rsidRPr="004D0DAA">
              <w:rPr>
                <w:b/>
                <w:i/>
              </w:rPr>
              <w:lastRenderedPageBreak/>
              <w:t>GPRS MEASUREMENT PARAMETERS Description</w:t>
            </w:r>
            <w:r w:rsidRPr="004D0DAA">
              <w:rPr>
                <w:b/>
              </w:rPr>
              <w:br/>
            </w:r>
            <w:r w:rsidRPr="004D0DAA">
              <w:t>The fields of this Description are used for measurements, as defined in 3GPP TS 45.008.</w:t>
            </w:r>
            <w:r w:rsidRPr="004D0DAA">
              <w:br/>
              <w:t xml:space="preserve">Any parameter present overwrites any old data held by the mobile station for this parameter. </w:t>
            </w:r>
          </w:p>
          <w:p w14:paraId="368ED9DE" w14:textId="77777777" w:rsidR="00711444" w:rsidRPr="004D0DAA" w:rsidRDefault="00711444" w:rsidP="00AA2A4C">
            <w:r w:rsidRPr="004D0DAA">
              <w:rPr>
                <w:b/>
              </w:rPr>
              <w:t xml:space="preserve">GPRS 3G </w:t>
            </w:r>
            <w:r w:rsidRPr="004D0DAA">
              <w:rPr>
                <w:b/>
                <w:i/>
              </w:rPr>
              <w:t>MEASUREMENT PARAMETERS Description</w:t>
            </w:r>
            <w:r w:rsidRPr="004D0DAA">
              <w:rPr>
                <w:b/>
              </w:rPr>
              <w:br/>
            </w:r>
            <w:r w:rsidRPr="004D0DAA">
              <w:t>The fields of this Description are used for measurements, as defined in 3GPP TS 45.008.</w:t>
            </w:r>
            <w:r w:rsidRPr="004D0DAA">
              <w:br/>
              <w:t xml:space="preserve">Any parameter present overwrites any old data held by the mobile station for this parameter. </w:t>
            </w:r>
          </w:p>
          <w:p w14:paraId="2148EBFF" w14:textId="77777777" w:rsidR="00711444" w:rsidRPr="004D0DAA" w:rsidRDefault="00711444" w:rsidP="00AA2A4C">
            <w:r w:rsidRPr="004D0DAA">
              <w:rPr>
                <w:b/>
                <w:i/>
              </w:rPr>
              <w:t>G</w:t>
            </w:r>
            <w:r w:rsidRPr="004D0DAA">
              <w:rPr>
                <w:b/>
                <w:bCs/>
                <w:i/>
                <w:iCs/>
              </w:rPr>
              <w:t xml:space="preserve">PRS 3G Additional Measurement Parameters Description 2 </w:t>
            </w:r>
            <w:r w:rsidRPr="004D0DAA">
              <w:rPr>
                <w:b/>
                <w:bCs/>
                <w:i/>
                <w:iCs/>
              </w:rPr>
              <w:br/>
            </w:r>
            <w:r w:rsidRPr="004D0DAA">
              <w:t>The fields of this Description are used for measurements, as defined in 3GPP TS 45.008.</w:t>
            </w:r>
            <w:r w:rsidRPr="004D0DAA">
              <w:br/>
              <w:t>Any parameter present overwrites any old data held by the mobile station for this parameter.</w:t>
            </w:r>
          </w:p>
        </w:tc>
      </w:tr>
      <w:tr w:rsidR="00711444" w:rsidRPr="004D0DAA" w14:paraId="762641D9" w14:textId="77777777" w:rsidTr="00AA2A4C">
        <w:tblPrEx>
          <w:tblCellMar>
            <w:top w:w="0" w:type="dxa"/>
            <w:bottom w:w="0" w:type="dxa"/>
          </w:tblCellMar>
        </w:tblPrEx>
        <w:trPr>
          <w:gridAfter w:val="1"/>
          <w:wAfter w:w="7" w:type="dxa"/>
          <w:cantSplit/>
        </w:trPr>
        <w:tc>
          <w:tcPr>
            <w:tcW w:w="9848" w:type="dxa"/>
          </w:tcPr>
          <w:p w14:paraId="5BA0A5F3" w14:textId="77777777" w:rsidR="00711444" w:rsidRPr="004D0DAA" w:rsidRDefault="00711444" w:rsidP="00AA2A4C">
            <w:pPr>
              <w:rPr>
                <w:b/>
              </w:rPr>
            </w:pPr>
            <w:r w:rsidRPr="004D0DAA">
              <w:rPr>
                <w:b/>
                <w:i/>
              </w:rPr>
              <w:t>CCN Support Description</w:t>
            </w:r>
            <w:r w:rsidRPr="004D0DAA">
              <w:rPr>
                <w:b/>
              </w:rPr>
              <w:t xml:space="preserve"> </w:t>
            </w:r>
          </w:p>
          <w:p w14:paraId="3D0B50C4" w14:textId="77777777" w:rsidR="00711444" w:rsidRPr="004D0DAA" w:rsidRDefault="00711444" w:rsidP="00AA2A4C">
            <w:pPr>
              <w:rPr>
                <w:b/>
                <w:i/>
              </w:rPr>
            </w:pPr>
            <w:r w:rsidRPr="004D0DAA">
              <w:rPr>
                <w:b/>
              </w:rPr>
              <w:t>CCN_SUPPORTED</w:t>
            </w:r>
            <w:r w:rsidRPr="004D0DAA">
              <w:t xml:space="preserve"> (1 bit field) </w:t>
            </w:r>
            <w:r w:rsidRPr="004D0DAA">
              <w:br/>
              <w:t>This parameter is used for determining whether the mobile station shall enter CCN mode when re-selecting a cell and CCN is enabled. The use of these bits is described in sub-clause 8.8.2a ("CCN support description"):</w:t>
            </w:r>
            <w:r w:rsidRPr="004D0DAA">
              <w:br/>
              <w:t>Bit</w:t>
            </w:r>
            <w:r w:rsidRPr="004D0DAA">
              <w:br/>
            </w:r>
            <w:r w:rsidRPr="004D0DAA">
              <w:rPr>
                <w:b/>
              </w:rPr>
              <w:t>0</w:t>
            </w:r>
            <w:r w:rsidRPr="004D0DAA">
              <w:tab/>
              <w:t>CCN is enabled towards the corresponding cell</w:t>
            </w:r>
            <w:r w:rsidRPr="004D0DAA">
              <w:br/>
            </w:r>
            <w:r w:rsidRPr="004D0DAA">
              <w:rPr>
                <w:b/>
              </w:rPr>
              <w:t>1</w:t>
            </w:r>
            <w:r w:rsidRPr="004D0DAA">
              <w:tab/>
              <w:t>CCN is disabled towards the corresponding cell</w:t>
            </w:r>
          </w:p>
        </w:tc>
      </w:tr>
      <w:tr w:rsidR="00711444" w:rsidRPr="004D0DAA" w14:paraId="0975ED18" w14:textId="77777777" w:rsidTr="00AA2A4C">
        <w:tblPrEx>
          <w:tblCellMar>
            <w:top w:w="0" w:type="dxa"/>
            <w:bottom w:w="0" w:type="dxa"/>
          </w:tblCellMar>
        </w:tblPrEx>
        <w:trPr>
          <w:gridAfter w:val="1"/>
          <w:wAfter w:w="7" w:type="dxa"/>
          <w:cantSplit/>
        </w:trPr>
        <w:tc>
          <w:tcPr>
            <w:tcW w:w="9848" w:type="dxa"/>
          </w:tcPr>
          <w:p w14:paraId="34B90916" w14:textId="77777777" w:rsidR="00711444" w:rsidRPr="004D0DAA" w:rsidRDefault="00711444" w:rsidP="00AA2A4C">
            <w:pPr>
              <w:spacing w:after="60"/>
            </w:pPr>
            <w:r w:rsidRPr="004D0DAA">
              <w:rPr>
                <w:b/>
                <w:bCs/>
              </w:rPr>
              <w:t xml:space="preserve">G-RNTI extension </w:t>
            </w:r>
            <w:r w:rsidRPr="004D0DAA">
              <w:t>(4 bit field)</w:t>
            </w:r>
          </w:p>
          <w:p w14:paraId="399E5028" w14:textId="77777777" w:rsidR="00711444" w:rsidRPr="004D0DAA" w:rsidRDefault="00711444" w:rsidP="00AA2A4C">
            <w:pPr>
              <w:rPr>
                <w:b/>
                <w:i/>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r w:rsidR="00711444" w:rsidRPr="004D0DAA" w14:paraId="6D19BA3A" w14:textId="77777777" w:rsidTr="00AA2A4C">
        <w:tblPrEx>
          <w:tblCellMar>
            <w:top w:w="0" w:type="dxa"/>
            <w:bottom w:w="0" w:type="dxa"/>
          </w:tblCellMar>
        </w:tblPrEx>
        <w:trPr>
          <w:gridAfter w:val="1"/>
          <w:wAfter w:w="7" w:type="dxa"/>
          <w:cantSplit/>
        </w:trPr>
        <w:tc>
          <w:tcPr>
            <w:tcW w:w="9848" w:type="dxa"/>
          </w:tcPr>
          <w:p w14:paraId="0C156E0A" w14:textId="77777777" w:rsidR="00711444" w:rsidRPr="004D0DAA" w:rsidRDefault="00711444" w:rsidP="00AA2A4C">
            <w:pPr>
              <w:rPr>
                <w:i/>
              </w:rPr>
            </w:pPr>
            <w:r w:rsidRPr="004D0DAA">
              <w:rPr>
                <w:b/>
                <w:bCs/>
                <w:i/>
                <w:iCs/>
              </w:rPr>
              <w:t>Iu Mode Neighbour Cell Parameters</w:t>
            </w:r>
          </w:p>
          <w:p w14:paraId="2D2B3194" w14:textId="77777777" w:rsidR="00711444" w:rsidRPr="004D0DAA" w:rsidRDefault="00711444" w:rsidP="00AA2A4C">
            <w:pPr>
              <w:spacing w:after="60"/>
              <w:rPr>
                <w:b/>
                <w:bCs/>
              </w:rPr>
            </w:pPr>
            <w:r w:rsidRPr="004D0DAA">
              <w:t xml:space="preserve">The </w:t>
            </w:r>
            <w:r w:rsidRPr="004D0DAA">
              <w:rPr>
                <w:i/>
                <w:iCs/>
              </w:rPr>
              <w:t>Iu mode Neighbour Cell Parameters</w:t>
            </w:r>
            <w:r w:rsidRPr="004D0DAA">
              <w:t xml:space="preserve"> shall only be included when the </w:t>
            </w:r>
            <w:r w:rsidRPr="004D0DAA">
              <w:rPr>
                <w:i/>
                <w:iCs/>
              </w:rPr>
              <w:t>List of added Frequency struct</w:t>
            </w:r>
            <w:r w:rsidRPr="004D0DAA">
              <w:t xml:space="preserve"> is present.</w:t>
            </w:r>
          </w:p>
        </w:tc>
      </w:tr>
      <w:tr w:rsidR="00711444" w:rsidRPr="004D0DAA" w14:paraId="1C9FF2FF" w14:textId="77777777" w:rsidTr="00AA2A4C">
        <w:tblPrEx>
          <w:tblCellMar>
            <w:top w:w="0" w:type="dxa"/>
            <w:bottom w:w="0" w:type="dxa"/>
          </w:tblCellMar>
        </w:tblPrEx>
        <w:trPr>
          <w:gridAfter w:val="1"/>
          <w:wAfter w:w="7" w:type="dxa"/>
          <w:cantSplit/>
        </w:trPr>
        <w:tc>
          <w:tcPr>
            <w:tcW w:w="9848" w:type="dxa"/>
          </w:tcPr>
          <w:p w14:paraId="0F0A3D82" w14:textId="77777777" w:rsidR="00711444" w:rsidRPr="004D0DAA" w:rsidRDefault="00711444" w:rsidP="00AA2A4C">
            <w:pPr>
              <w:rPr>
                <w:i/>
                <w:iCs/>
              </w:rPr>
            </w:pPr>
            <w:r w:rsidRPr="004D0DAA">
              <w:rPr>
                <w:b/>
                <w:bCs/>
                <w:i/>
                <w:iCs/>
              </w:rPr>
              <w:t>Iu Mode Neighbour Cell Params Struct</w:t>
            </w:r>
          </w:p>
          <w:p w14:paraId="16E65036" w14:textId="77777777" w:rsidR="00711444" w:rsidRPr="004D0DAA" w:rsidRDefault="00711444" w:rsidP="00AA2A4C">
            <w:pPr>
              <w:spacing w:after="60"/>
              <w:rPr>
                <w:b/>
                <w:bCs/>
              </w:rPr>
            </w:pPr>
            <w:r w:rsidRPr="004D0DAA">
              <w:t xml:space="preserve">This struct presents supplementary information for </w:t>
            </w:r>
            <w:r w:rsidRPr="004D0DAA">
              <w:rPr>
                <w:i/>
                <w:iCs/>
              </w:rPr>
              <w:t>Iu mode</w:t>
            </w:r>
            <w:r w:rsidRPr="004D0DAA">
              <w:t xml:space="preserve"> capable cells. The struct assigns </w:t>
            </w:r>
            <w:r w:rsidRPr="004D0DAA">
              <w:rPr>
                <w:i/>
                <w:iCs/>
              </w:rPr>
              <w:t>Iu mode</w:t>
            </w:r>
            <w:r w:rsidRPr="004D0DAA">
              <w:t xml:space="preserve"> parameter values to the neighbouring cells defined by the message. The </w:t>
            </w:r>
            <w:r w:rsidRPr="004D0DAA">
              <w:rPr>
                <w:i/>
                <w:iCs/>
              </w:rPr>
              <w:t>Iu mode Neighbour Cell params struct</w:t>
            </w:r>
            <w:r w:rsidRPr="004D0DAA">
              <w:t xml:space="preserve"> values are assigned to the neighbouring cells in the same order they appear in the </w:t>
            </w:r>
            <w:r w:rsidRPr="004D0DAA">
              <w:rPr>
                <w:i/>
                <w:iCs/>
              </w:rPr>
              <w:t>List of added Frequency struct</w:t>
            </w:r>
            <w:r w:rsidRPr="004D0DAA">
              <w:t>.</w:t>
            </w:r>
          </w:p>
        </w:tc>
      </w:tr>
      <w:tr w:rsidR="00711444" w:rsidRPr="004D0DAA" w14:paraId="195733C1" w14:textId="77777777" w:rsidTr="00AA2A4C">
        <w:tblPrEx>
          <w:tblCellMar>
            <w:top w:w="0" w:type="dxa"/>
            <w:bottom w:w="0" w:type="dxa"/>
          </w:tblCellMar>
        </w:tblPrEx>
        <w:trPr>
          <w:gridAfter w:val="1"/>
          <w:wAfter w:w="7" w:type="dxa"/>
          <w:cantSplit/>
        </w:trPr>
        <w:tc>
          <w:tcPr>
            <w:tcW w:w="9848" w:type="dxa"/>
          </w:tcPr>
          <w:p w14:paraId="3F39F023" w14:textId="77777777" w:rsidR="00711444" w:rsidRPr="004D0DAA" w:rsidRDefault="00711444" w:rsidP="00AA2A4C">
            <w:pPr>
              <w:spacing w:after="60"/>
              <w:rPr>
                <w:b/>
                <w:bCs/>
                <w:i/>
                <w:iCs/>
              </w:rPr>
            </w:pPr>
            <w:r w:rsidRPr="004D0DAA">
              <w:rPr>
                <w:b/>
                <w:bCs/>
                <w:i/>
                <w:iCs/>
              </w:rPr>
              <w:t>NC Iu Mode Only Capable Cell List Parameters</w:t>
            </w:r>
          </w:p>
          <w:p w14:paraId="2CBE3DD7" w14:textId="77777777" w:rsidR="00711444" w:rsidRPr="004D0DAA" w:rsidRDefault="00711444" w:rsidP="00AA2A4C">
            <w:pPr>
              <w:spacing w:after="60"/>
              <w:rPr>
                <w:b/>
                <w:bCs/>
              </w:rPr>
            </w:pPr>
            <w:r w:rsidRPr="004D0DAA">
              <w:t>These parameters are used to add Iu mode only capable cells to BA(GPRS) list.</w:t>
            </w:r>
          </w:p>
        </w:tc>
      </w:tr>
      <w:tr w:rsidR="00711444" w:rsidRPr="004D0DAA" w14:paraId="2BC65EDD" w14:textId="77777777" w:rsidTr="00AA2A4C">
        <w:tblPrEx>
          <w:tblCellMar>
            <w:top w:w="0" w:type="dxa"/>
            <w:bottom w:w="0" w:type="dxa"/>
          </w:tblCellMar>
        </w:tblPrEx>
        <w:trPr>
          <w:gridAfter w:val="1"/>
          <w:wAfter w:w="7" w:type="dxa"/>
          <w:cantSplit/>
        </w:trPr>
        <w:tc>
          <w:tcPr>
            <w:tcW w:w="9848" w:type="dxa"/>
          </w:tcPr>
          <w:p w14:paraId="41693400" w14:textId="77777777" w:rsidR="00711444" w:rsidRPr="004D0DAA" w:rsidRDefault="00711444" w:rsidP="00AA2A4C">
            <w:pPr>
              <w:rPr>
                <w:bCs/>
              </w:rPr>
            </w:pPr>
            <w:r w:rsidRPr="004D0DAA">
              <w:rPr>
                <w:b/>
                <w:bCs/>
              </w:rPr>
              <w:t>CELL BAR QUALIFY 3</w:t>
            </w:r>
            <w:r w:rsidRPr="004D0DAA">
              <w:t xml:space="preserve"> </w:t>
            </w:r>
            <w:r w:rsidRPr="004D0DAA">
              <w:rPr>
                <w:bCs/>
              </w:rPr>
              <w:t>(2 bit field)</w:t>
            </w:r>
          </w:p>
          <w:p w14:paraId="7BFCC960" w14:textId="77777777" w:rsidR="00711444" w:rsidRPr="004D0DAA" w:rsidRDefault="00711444" w:rsidP="00AA2A4C">
            <w:pPr>
              <w:spacing w:after="60"/>
              <w:rPr>
                <w:b/>
                <w:bCs/>
              </w:rPr>
            </w:pPr>
            <w:r w:rsidRPr="004D0DAA">
              <w:t>This information element is defined in 3GPP TS 44.018.</w:t>
            </w:r>
          </w:p>
        </w:tc>
      </w:tr>
      <w:tr w:rsidR="00711444" w:rsidRPr="004D0DAA" w14:paraId="6E6D9861" w14:textId="77777777" w:rsidTr="00AA2A4C">
        <w:tblPrEx>
          <w:tblCellMar>
            <w:top w:w="0" w:type="dxa"/>
            <w:bottom w:w="0" w:type="dxa"/>
          </w:tblCellMar>
        </w:tblPrEx>
        <w:trPr>
          <w:gridAfter w:val="1"/>
          <w:wAfter w:w="7" w:type="dxa"/>
          <w:cantSplit/>
        </w:trPr>
        <w:tc>
          <w:tcPr>
            <w:tcW w:w="9848" w:type="dxa"/>
          </w:tcPr>
          <w:p w14:paraId="743208D7" w14:textId="77777777" w:rsidR="00711444" w:rsidRPr="004D0DAA" w:rsidRDefault="00711444" w:rsidP="00AA2A4C">
            <w:pPr>
              <w:spacing w:after="60"/>
            </w:pPr>
            <w:r w:rsidRPr="004D0DAA">
              <w:rPr>
                <w:b/>
              </w:rPr>
              <w:t xml:space="preserve">3G_CCN_ACTIVE </w:t>
            </w:r>
            <w:r w:rsidRPr="004D0DAA">
              <w:t>(1 bit field)</w:t>
            </w:r>
            <w:r w:rsidRPr="004D0DAA">
              <w:br/>
              <w:t>This field indicates whether CCN is enabled towards 3G neighbouring cells. It is coded as follows:</w:t>
            </w:r>
          </w:p>
          <w:p w14:paraId="3E8A2807" w14:textId="77777777" w:rsidR="00711444" w:rsidRPr="004D0DAA" w:rsidRDefault="00711444" w:rsidP="00AA2A4C">
            <w:pPr>
              <w:spacing w:after="60"/>
              <w:ind w:left="567" w:hanging="567"/>
            </w:pPr>
            <w:r w:rsidRPr="004D0DAA">
              <w:t>0</w:t>
            </w:r>
            <w:r w:rsidRPr="004D0DAA">
              <w:tab/>
              <w:t>The broadcast 3G_CCN_ACTIVE parameter shall apply if available. Otherwise, CCN towards 3G cells is disabled in the cell.</w:t>
            </w:r>
          </w:p>
          <w:p w14:paraId="552E5B33" w14:textId="77777777" w:rsidR="00711444" w:rsidRPr="004D0DAA" w:rsidRDefault="00711444" w:rsidP="00AA2A4C">
            <w:pPr>
              <w:spacing w:after="60"/>
              <w:ind w:left="567" w:hanging="567"/>
              <w:rPr>
                <w:b/>
              </w:rPr>
            </w:pPr>
            <w:r w:rsidRPr="004D0DAA">
              <w:t>1</w:t>
            </w:r>
            <w:r w:rsidRPr="004D0DAA">
              <w:tab/>
              <w:t>CCN towards 3G cells is enabled in the cell.</w:t>
            </w:r>
          </w:p>
        </w:tc>
      </w:tr>
      <w:tr w:rsidR="00711444" w:rsidRPr="004D0DAA" w14:paraId="0CC7BFAF" w14:textId="77777777" w:rsidTr="00AA2A4C">
        <w:tblPrEx>
          <w:tblCellMar>
            <w:top w:w="0" w:type="dxa"/>
            <w:bottom w:w="0" w:type="dxa"/>
          </w:tblCellMar>
        </w:tblPrEx>
        <w:trPr>
          <w:gridAfter w:val="1"/>
          <w:wAfter w:w="7" w:type="dxa"/>
          <w:cantSplit/>
        </w:trPr>
        <w:tc>
          <w:tcPr>
            <w:tcW w:w="9848" w:type="dxa"/>
          </w:tcPr>
          <w:p w14:paraId="7D7BADCE" w14:textId="77777777" w:rsidR="00711444" w:rsidRPr="004D0DAA" w:rsidRDefault="00711444" w:rsidP="00AA2A4C">
            <w:pPr>
              <w:spacing w:after="60"/>
              <w:rPr>
                <w:b/>
              </w:rPr>
            </w:pPr>
            <w:r w:rsidRPr="004D0DAA">
              <w:rPr>
                <w:b/>
                <w:lang w:eastAsia="zh-CN"/>
              </w:rPr>
              <w:t>700</w:t>
            </w:r>
            <w:r w:rsidRPr="004D0DAA">
              <w:rPr>
                <w:b/>
              </w:rPr>
              <w:t>_REPORTING_OFFSET</w:t>
            </w:r>
            <w:r w:rsidRPr="004D0DAA">
              <w:t xml:space="preserve"> (3 bit field)</w:t>
            </w:r>
            <w:r w:rsidRPr="004D0DAA">
              <w:br/>
            </w:r>
            <w:r w:rsidRPr="004D0DAA">
              <w:rPr>
                <w:b/>
                <w:lang w:eastAsia="zh-CN"/>
              </w:rPr>
              <w:t>700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r w:rsidRPr="004D0DAA">
              <w:br/>
              <w:t>Any parameter present overwrites any old data held by the mobile station for these parameters.</w:t>
            </w:r>
          </w:p>
        </w:tc>
      </w:tr>
      <w:tr w:rsidR="00711444" w:rsidRPr="004D0DAA" w14:paraId="430A7F72" w14:textId="77777777" w:rsidTr="00AA2A4C">
        <w:tblPrEx>
          <w:tblCellMar>
            <w:top w:w="0" w:type="dxa"/>
            <w:bottom w:w="0" w:type="dxa"/>
          </w:tblCellMar>
        </w:tblPrEx>
        <w:trPr>
          <w:gridAfter w:val="1"/>
          <w:wAfter w:w="7" w:type="dxa"/>
          <w:cantSplit/>
        </w:trPr>
        <w:tc>
          <w:tcPr>
            <w:tcW w:w="9848" w:type="dxa"/>
          </w:tcPr>
          <w:p w14:paraId="66115C30" w14:textId="77777777" w:rsidR="00711444" w:rsidRPr="004D0DAA" w:rsidRDefault="00711444" w:rsidP="00AA2A4C">
            <w:pPr>
              <w:spacing w:after="60"/>
              <w:rPr>
                <w:b/>
              </w:rPr>
            </w:pPr>
            <w:r w:rsidRPr="004D0DAA">
              <w:rPr>
                <w:b/>
                <w:lang w:eastAsia="zh-CN"/>
              </w:rPr>
              <w:t>810</w:t>
            </w:r>
            <w:r w:rsidRPr="004D0DAA">
              <w:rPr>
                <w:b/>
              </w:rPr>
              <w:t>_REPORTING_OFFSET</w:t>
            </w:r>
            <w:r w:rsidRPr="004D0DAA">
              <w:t xml:space="preserve"> (3 bit field)</w:t>
            </w:r>
            <w:r w:rsidRPr="004D0DAA">
              <w:br/>
            </w:r>
            <w:r w:rsidRPr="004D0DAA">
              <w:rPr>
                <w:b/>
                <w:lang w:eastAsia="zh-CN"/>
              </w:rPr>
              <w:t>810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r w:rsidRPr="004D0DAA">
              <w:br/>
              <w:t>Any parameter present overwrites any old data held by the mobile station for these parameters.</w:t>
            </w:r>
          </w:p>
        </w:tc>
      </w:tr>
      <w:tr w:rsidR="00711444" w:rsidRPr="004D0DAA" w14:paraId="5D942E16" w14:textId="77777777" w:rsidTr="00AA2A4C">
        <w:tblPrEx>
          <w:tblCellMar>
            <w:top w:w="0" w:type="dxa"/>
            <w:bottom w:w="0" w:type="dxa"/>
          </w:tblCellMar>
        </w:tblPrEx>
        <w:trPr>
          <w:gridAfter w:val="1"/>
          <w:wAfter w:w="7" w:type="dxa"/>
          <w:cantSplit/>
        </w:trPr>
        <w:tc>
          <w:tcPr>
            <w:tcW w:w="9848" w:type="dxa"/>
          </w:tcPr>
          <w:p w14:paraId="04C8025F" w14:textId="77777777" w:rsidR="00711444" w:rsidRPr="004D0DAA" w:rsidRDefault="00711444" w:rsidP="00AA2A4C">
            <w:r w:rsidRPr="004D0DAA">
              <w:rPr>
                <w:b/>
              </w:rPr>
              <w:t>3G_BA_IND</w:t>
            </w:r>
            <w:r w:rsidRPr="004D0DAA">
              <w:t xml:space="preserve"> (1 bit field)</w:t>
            </w:r>
            <w:r w:rsidRPr="004D0DAA">
              <w:br/>
            </w:r>
            <w:r w:rsidRPr="004D0DAA">
              <w:rPr>
                <w:b/>
              </w:rPr>
              <w:t>PMO_IND</w:t>
            </w:r>
            <w:r w:rsidRPr="004D0DAA">
              <w:t xml:space="preserve"> (1 bit field) </w:t>
            </w:r>
            <w:r w:rsidRPr="004D0DAA">
              <w:br/>
              <w:t xml:space="preserve">These parameters are described in the </w:t>
            </w:r>
            <w:r w:rsidRPr="004D0DAA">
              <w:rPr>
                <w:i/>
              </w:rPr>
              <w:t>ENH Measurement Parameters</w:t>
            </w:r>
            <w:r w:rsidRPr="004D0DAA">
              <w:t xml:space="preserve"> information element.</w:t>
            </w:r>
          </w:p>
          <w:p w14:paraId="080FB4B5" w14:textId="77777777" w:rsidR="00711444" w:rsidRPr="004D0DAA" w:rsidRDefault="00711444" w:rsidP="00AA2A4C">
            <w:r w:rsidRPr="004D0DAA">
              <w:t xml:space="preserve">If either of these parameters are included also in the </w:t>
            </w:r>
            <w:r w:rsidRPr="004D0DAA">
              <w:rPr>
                <w:i/>
              </w:rPr>
              <w:t>ENH Measurement Parameters</w:t>
            </w:r>
            <w:r w:rsidRPr="004D0DAA">
              <w:t xml:space="preserve"> information element, the values provided by the </w:t>
            </w:r>
            <w:r w:rsidRPr="004D0DAA">
              <w:rPr>
                <w:i/>
              </w:rPr>
              <w:t>ENH Measurement Parameters</w:t>
            </w:r>
            <w:r w:rsidRPr="004D0DAA">
              <w:t xml:space="preserve"> information element shall be used.</w:t>
            </w:r>
          </w:p>
        </w:tc>
      </w:tr>
      <w:tr w:rsidR="00711444" w:rsidRPr="004D0DAA" w14:paraId="2C7B2F04" w14:textId="77777777" w:rsidTr="00AA2A4C">
        <w:tblPrEx>
          <w:tblCellMar>
            <w:top w:w="0" w:type="dxa"/>
            <w:bottom w:w="0" w:type="dxa"/>
          </w:tblCellMar>
        </w:tblPrEx>
        <w:trPr>
          <w:gridAfter w:val="1"/>
          <w:wAfter w:w="7" w:type="dxa"/>
          <w:cantSplit/>
        </w:trPr>
        <w:tc>
          <w:tcPr>
            <w:tcW w:w="9848" w:type="dxa"/>
          </w:tcPr>
          <w:p w14:paraId="18B8F3E3" w14:textId="77777777" w:rsidR="00711444" w:rsidRPr="004D0DAA" w:rsidRDefault="00711444" w:rsidP="00AA2A4C">
            <w:pPr>
              <w:spacing w:after="60"/>
              <w:rPr>
                <w:lang w:eastAsia="zh-CN"/>
              </w:rPr>
            </w:pPr>
            <w:r w:rsidRPr="004D0DAA">
              <w:rPr>
                <w:b/>
                <w:lang w:eastAsia="zh-CN"/>
              </w:rPr>
              <w:lastRenderedPageBreak/>
              <w:t>Serving Cell Priority Parameters Description</w:t>
            </w:r>
            <w:r w:rsidRPr="004D0DAA">
              <w:rPr>
                <w:lang w:eastAsia="zh-CN"/>
              </w:rPr>
              <w:br/>
              <w:t xml:space="preserve">These fields are used for the </w:t>
            </w:r>
            <w:r w:rsidRPr="004D0DAA">
              <w:t>inter-RAT cell re-selection algorithm based on priority</w:t>
            </w:r>
            <w:r w:rsidRPr="004D0DAA">
              <w:rPr>
                <w:lang w:eastAsia="zh-CN"/>
              </w:rPr>
              <w:t>, as defined in 3GPP TS 45.008.</w:t>
            </w:r>
            <w:r w:rsidRPr="004D0DAA">
              <w:rPr>
                <w:lang w:eastAsia="zh-CN"/>
              </w:rPr>
              <w:br/>
              <w:t>Any parameter present overwrites any old data held by the mobile station for these parameters.</w:t>
            </w:r>
          </w:p>
          <w:p w14:paraId="0A71028A" w14:textId="77777777" w:rsidR="00711444" w:rsidRPr="004D0DAA" w:rsidRDefault="00711444" w:rsidP="00AA2A4C">
            <w:pPr>
              <w:spacing w:after="60"/>
              <w:rPr>
                <w:b/>
                <w:lang w:eastAsia="zh-CN"/>
              </w:rPr>
            </w:pPr>
            <w:r w:rsidRPr="004D0DAA">
              <w:t>This information element is defined in</w:t>
            </w:r>
            <w:r w:rsidRPr="004D0DAA">
              <w:rPr>
                <w:i/>
              </w:rPr>
              <w:t xml:space="preserve"> </w:t>
            </w:r>
            <w:r w:rsidRPr="004D0DAA">
              <w:t>sub-clause 12.</w:t>
            </w:r>
            <w:r w:rsidRPr="004D0DAA">
              <w:rPr>
                <w:lang w:eastAsia="zh-CN"/>
              </w:rPr>
              <w:t>51</w:t>
            </w:r>
            <w:r w:rsidRPr="004D0DAA">
              <w:t>.</w:t>
            </w:r>
          </w:p>
        </w:tc>
      </w:tr>
      <w:tr w:rsidR="00711444" w:rsidRPr="004D0DAA" w14:paraId="0F2B81A1" w14:textId="77777777" w:rsidTr="00AA2A4C">
        <w:tblPrEx>
          <w:tblCellMar>
            <w:top w:w="0" w:type="dxa"/>
            <w:bottom w:w="0" w:type="dxa"/>
          </w:tblCellMar>
        </w:tblPrEx>
        <w:trPr>
          <w:gridAfter w:val="1"/>
          <w:wAfter w:w="7" w:type="dxa"/>
          <w:cantSplit/>
        </w:trPr>
        <w:tc>
          <w:tcPr>
            <w:tcW w:w="9848" w:type="dxa"/>
          </w:tcPr>
          <w:p w14:paraId="0CC77FDA" w14:textId="77777777" w:rsidR="00711444" w:rsidRPr="004D0DAA" w:rsidRDefault="00711444" w:rsidP="00AA2A4C">
            <w:pPr>
              <w:spacing w:after="60"/>
              <w:rPr>
                <w:b/>
                <w:lang w:eastAsia="zh-CN"/>
              </w:rPr>
            </w:pPr>
            <w:r w:rsidRPr="004D0DAA">
              <w:rPr>
                <w:b/>
                <w:lang w:eastAsia="zh-CN"/>
              </w:rPr>
              <w:t>3G Priority Parameters Description</w:t>
            </w:r>
          </w:p>
          <w:p w14:paraId="5C80880A" w14:textId="77777777" w:rsidR="00711444" w:rsidRPr="004D0DAA" w:rsidRDefault="00711444" w:rsidP="00AA2A4C">
            <w:pPr>
              <w:spacing w:after="60"/>
              <w:rPr>
                <w:lang w:eastAsia="zh-CN"/>
              </w:rPr>
            </w:pPr>
            <w:r w:rsidRPr="004D0DAA">
              <w:t>This information element is defined in</w:t>
            </w:r>
            <w:r w:rsidRPr="004D0DAA">
              <w:rPr>
                <w:i/>
              </w:rPr>
              <w:t xml:space="preserve"> </w:t>
            </w:r>
            <w:r w:rsidRPr="004D0DAA">
              <w:t>sub-clause 12.52.</w:t>
            </w:r>
          </w:p>
          <w:p w14:paraId="49EFCA2A" w14:textId="77777777" w:rsidR="00711444" w:rsidRPr="004D0DAA" w:rsidRDefault="00711444" w:rsidP="00AA2A4C">
            <w:pPr>
              <w:spacing w:after="60"/>
              <w:rPr>
                <w:b/>
                <w:lang w:eastAsia="zh-CN"/>
              </w:rPr>
            </w:pPr>
            <w:r w:rsidRPr="004D0DAA">
              <w:rPr>
                <w:lang w:eastAsia="zh-CN"/>
              </w:rPr>
              <w:t>Any parameter present overwrites any old data held by the mobile station for these parameters.</w:t>
            </w:r>
          </w:p>
        </w:tc>
      </w:tr>
      <w:tr w:rsidR="00711444" w:rsidRPr="004D0DAA" w14:paraId="386A884A" w14:textId="77777777" w:rsidTr="00AA2A4C">
        <w:tblPrEx>
          <w:tblCellMar>
            <w:top w:w="0" w:type="dxa"/>
            <w:bottom w:w="0" w:type="dxa"/>
          </w:tblCellMar>
        </w:tblPrEx>
        <w:trPr>
          <w:gridAfter w:val="1"/>
          <w:wAfter w:w="7" w:type="dxa"/>
          <w:cantSplit/>
        </w:trPr>
        <w:tc>
          <w:tcPr>
            <w:tcW w:w="9848" w:type="dxa"/>
          </w:tcPr>
          <w:p w14:paraId="1318C533" w14:textId="77777777" w:rsidR="00711444" w:rsidRPr="004D0DAA" w:rsidRDefault="00711444" w:rsidP="00AA2A4C">
            <w:pPr>
              <w:spacing w:after="60"/>
              <w:rPr>
                <w:b/>
                <w:lang w:eastAsia="zh-CN"/>
              </w:rPr>
            </w:pPr>
            <w:r w:rsidRPr="004D0DAA">
              <w:rPr>
                <w:b/>
                <w:lang w:eastAsia="zh-CN"/>
              </w:rPr>
              <w:t>E-UTRAN Parameters Description</w:t>
            </w:r>
          </w:p>
          <w:p w14:paraId="3851E27C" w14:textId="77777777" w:rsidR="00711444" w:rsidRPr="004D0DAA" w:rsidRDefault="00711444" w:rsidP="00AA2A4C">
            <w:pPr>
              <w:spacing w:after="60"/>
              <w:rPr>
                <w:lang w:eastAsia="zh-CN"/>
              </w:rPr>
            </w:pPr>
            <w:r w:rsidRPr="004D0DAA">
              <w:t>This information element is defined in</w:t>
            </w:r>
            <w:r w:rsidRPr="004D0DAA">
              <w:rPr>
                <w:i/>
              </w:rPr>
              <w:t xml:space="preserve"> </w:t>
            </w:r>
            <w:r w:rsidRPr="004D0DAA">
              <w:t>sub-clause 12.53.</w:t>
            </w:r>
            <w:r w:rsidRPr="004D0DAA">
              <w:rPr>
                <w:lang w:eastAsia="en-GB"/>
              </w:rPr>
              <w:t xml:space="preserve"> If the conditions for sending the </w:t>
            </w:r>
            <w:r w:rsidRPr="004D0DAA">
              <w:rPr>
                <w:i/>
                <w:lang w:eastAsia="en-GB"/>
              </w:rPr>
              <w:t>E-UTRAN NC with extended EARFCNs</w:t>
            </w:r>
            <w:r w:rsidRPr="004D0DAA">
              <w:rPr>
                <w:lang w:eastAsia="en-GB"/>
              </w:rPr>
              <w:t xml:space="preserve"> information element are met (see definition of </w:t>
            </w:r>
            <w:r w:rsidRPr="004D0DAA">
              <w:rPr>
                <w:i/>
                <w:lang w:eastAsia="en-GB"/>
              </w:rPr>
              <w:t>E-UTRAN NC with extended EARFCNs</w:t>
            </w:r>
            <w:r w:rsidRPr="004D0DAA">
              <w:rPr>
                <w:lang w:eastAsia="en-GB"/>
              </w:rPr>
              <w:t xml:space="preserve"> IE below) then the </w:t>
            </w:r>
            <w:r w:rsidRPr="004D0DAA">
              <w:rPr>
                <w:i/>
                <w:lang w:eastAsia="en-GB"/>
              </w:rPr>
              <w:t>Repeated E-UTRAN Neighbour Cells</w:t>
            </w:r>
            <w:r w:rsidRPr="004D0DAA">
              <w:rPr>
                <w:lang w:eastAsia="en-GB"/>
              </w:rPr>
              <w:t xml:space="preserve"> IE shall not be provided within the </w:t>
            </w:r>
            <w:r w:rsidRPr="004D0DAA">
              <w:rPr>
                <w:i/>
                <w:lang w:eastAsia="en-GB"/>
              </w:rPr>
              <w:t xml:space="preserve">E-UTRAN Parameters Description </w:t>
            </w:r>
            <w:r w:rsidRPr="004D0DAA">
              <w:rPr>
                <w:lang w:eastAsia="en-GB"/>
              </w:rPr>
              <w:t>information element.</w:t>
            </w:r>
          </w:p>
        </w:tc>
      </w:tr>
      <w:tr w:rsidR="00711444" w:rsidRPr="004D0DAA" w14:paraId="66B34EFA" w14:textId="77777777" w:rsidTr="00AA2A4C">
        <w:tblPrEx>
          <w:tblCellMar>
            <w:top w:w="0" w:type="dxa"/>
            <w:bottom w:w="0" w:type="dxa"/>
          </w:tblCellMar>
        </w:tblPrEx>
        <w:trPr>
          <w:gridAfter w:val="1"/>
          <w:wAfter w:w="7" w:type="dxa"/>
          <w:cantSplit/>
        </w:trPr>
        <w:tc>
          <w:tcPr>
            <w:tcW w:w="9848" w:type="dxa"/>
          </w:tcPr>
          <w:p w14:paraId="69FB3F2B" w14:textId="77777777" w:rsidR="00711444" w:rsidRPr="004D0DAA" w:rsidRDefault="00711444" w:rsidP="00AA2A4C">
            <w:pPr>
              <w:spacing w:after="60"/>
              <w:rPr>
                <w:b/>
                <w:lang w:eastAsia="zh-CN"/>
              </w:rPr>
            </w:pPr>
            <w:r w:rsidRPr="004D0DAA">
              <w:rPr>
                <w:rFonts w:hint="eastAsia"/>
                <w:b/>
                <w:lang w:eastAsia="zh-CN"/>
              </w:rPr>
              <w:t>Individual Priorities</w:t>
            </w:r>
            <w:r w:rsidRPr="004D0DAA">
              <w:rPr>
                <w:b/>
                <w:lang w:eastAsia="zh-CN"/>
              </w:rPr>
              <w:br/>
            </w:r>
            <w:r w:rsidRPr="004D0DAA">
              <w:t>This information element is defined in</w:t>
            </w:r>
            <w:r w:rsidRPr="004D0DAA">
              <w:rPr>
                <w:i/>
              </w:rPr>
              <w:t xml:space="preserve"> </w:t>
            </w:r>
            <w:r w:rsidRPr="004D0DAA">
              <w:t>sub-clause 12.</w:t>
            </w:r>
            <w:r w:rsidRPr="004D0DAA">
              <w:rPr>
                <w:rFonts w:hint="eastAsia"/>
                <w:lang w:eastAsia="zh-CN"/>
              </w:rPr>
              <w:t>50</w:t>
            </w:r>
            <w:r w:rsidRPr="004D0DAA">
              <w:t>.</w:t>
            </w:r>
            <w:r w:rsidRPr="004D0DAA">
              <w:rPr>
                <w:lang w:eastAsia="en-GB"/>
              </w:rPr>
              <w:t xml:space="preserve"> If the conditions for sending the </w:t>
            </w:r>
            <w:r w:rsidRPr="004D0DAA">
              <w:rPr>
                <w:i/>
                <w:lang w:eastAsia="en-GB"/>
              </w:rPr>
              <w:t>E-UTRAN IPP with extended EARFCNs</w:t>
            </w:r>
            <w:r w:rsidRPr="004D0DAA">
              <w:rPr>
                <w:lang w:eastAsia="en-GB"/>
              </w:rPr>
              <w:t xml:space="preserve"> information element are met (see definition of </w:t>
            </w:r>
            <w:r w:rsidRPr="004D0DAA">
              <w:rPr>
                <w:i/>
                <w:lang w:eastAsia="en-GB"/>
              </w:rPr>
              <w:t>E-UTRAN IPP with extended EARFCNs</w:t>
            </w:r>
            <w:r w:rsidRPr="004D0DAA">
              <w:rPr>
                <w:lang w:eastAsia="en-GB"/>
              </w:rPr>
              <w:t xml:space="preserve"> IE below) then the </w:t>
            </w:r>
            <w:r w:rsidRPr="004D0DAA">
              <w:rPr>
                <w:i/>
                <w:lang w:eastAsia="en-GB"/>
              </w:rPr>
              <w:t>E-UTRAN Individual Priority Parameters Description</w:t>
            </w:r>
            <w:r w:rsidRPr="004D0DAA">
              <w:rPr>
                <w:lang w:eastAsia="en-GB"/>
              </w:rPr>
              <w:t xml:space="preserve"> IE shall not be provided within the </w:t>
            </w:r>
            <w:r w:rsidRPr="004D0DAA">
              <w:rPr>
                <w:i/>
                <w:lang w:eastAsia="en-GB"/>
              </w:rPr>
              <w:t>Individual Priorities</w:t>
            </w:r>
            <w:r w:rsidRPr="004D0DAA">
              <w:rPr>
                <w:lang w:eastAsia="en-GB"/>
              </w:rPr>
              <w:t xml:space="preserve"> information element.</w:t>
            </w:r>
          </w:p>
        </w:tc>
      </w:tr>
      <w:tr w:rsidR="00711444" w:rsidRPr="004D0DAA" w14:paraId="3E9B4BE8" w14:textId="77777777" w:rsidTr="00AA2A4C">
        <w:tblPrEx>
          <w:jc w:val="center"/>
          <w:tblCellMar>
            <w:top w:w="0" w:type="dxa"/>
            <w:bottom w:w="0" w:type="dxa"/>
          </w:tblCellMar>
        </w:tblPrEx>
        <w:trPr>
          <w:cantSplit/>
          <w:jc w:val="center"/>
        </w:trPr>
        <w:tc>
          <w:tcPr>
            <w:tcW w:w="9855" w:type="dxa"/>
            <w:gridSpan w:val="2"/>
          </w:tcPr>
          <w:p w14:paraId="07E9BE6A" w14:textId="77777777" w:rsidR="00711444" w:rsidRPr="004D0DAA" w:rsidRDefault="00711444" w:rsidP="00AA2A4C">
            <w:pPr>
              <w:rPr>
                <w:rFonts w:hint="eastAsia"/>
                <w:b/>
                <w:bCs/>
              </w:rPr>
            </w:pPr>
            <w:r w:rsidRPr="004D0DAA">
              <w:rPr>
                <w:b/>
                <w:bCs/>
              </w:rPr>
              <w:t xml:space="preserve">3G CSG Description </w:t>
            </w:r>
          </w:p>
          <w:p w14:paraId="2D3AAA12" w14:textId="77777777" w:rsidR="00711444" w:rsidRPr="004D0DAA" w:rsidRDefault="00711444" w:rsidP="00AA2A4C">
            <w:pPr>
              <w:rPr>
                <w:bCs/>
              </w:rPr>
            </w:pPr>
            <w:r w:rsidRPr="004D0DAA">
              <w:rPr>
                <w:bCs/>
              </w:rPr>
              <w:t xml:space="preserve">This information element contains the description of the </w:t>
            </w:r>
            <w:r w:rsidRPr="004D0DAA">
              <w:rPr>
                <w:rFonts w:hint="eastAsia"/>
                <w:bCs/>
              </w:rPr>
              <w:t>3G CSG</w:t>
            </w:r>
            <w:r w:rsidRPr="004D0DAA">
              <w:rPr>
                <w:bCs/>
              </w:rPr>
              <w:t xml:space="preserve"> cell</w:t>
            </w:r>
            <w:r w:rsidRPr="004D0DAA">
              <w:rPr>
                <w:rFonts w:hint="eastAsia"/>
                <w:bCs/>
              </w:rPr>
              <w:t>s</w:t>
            </w:r>
            <w:r w:rsidRPr="004D0DAA">
              <w:rPr>
                <w:bCs/>
              </w:rPr>
              <w:t>. This information element is defined in sub-clause 12.</w:t>
            </w:r>
            <w:r w:rsidRPr="004D0DAA">
              <w:rPr>
                <w:rFonts w:hint="eastAsia"/>
                <w:bCs/>
              </w:rPr>
              <w:t>54</w:t>
            </w:r>
            <w:r w:rsidRPr="004D0DAA">
              <w:rPr>
                <w:bCs/>
              </w:rPr>
              <w:t xml:space="preserve">. </w:t>
            </w:r>
          </w:p>
        </w:tc>
      </w:tr>
      <w:tr w:rsidR="00711444" w:rsidRPr="004D0DAA" w14:paraId="1D8E34CE" w14:textId="77777777" w:rsidTr="00AA2A4C">
        <w:tblPrEx>
          <w:jc w:val="center"/>
          <w:tblCellMar>
            <w:top w:w="0" w:type="dxa"/>
            <w:bottom w:w="0" w:type="dxa"/>
          </w:tblCellMar>
        </w:tblPrEx>
        <w:trPr>
          <w:cantSplit/>
          <w:jc w:val="center"/>
        </w:trPr>
        <w:tc>
          <w:tcPr>
            <w:tcW w:w="9855" w:type="dxa"/>
            <w:gridSpan w:val="2"/>
          </w:tcPr>
          <w:p w14:paraId="66BBD52D" w14:textId="77777777" w:rsidR="00711444" w:rsidRPr="004D0DAA" w:rsidRDefault="00711444" w:rsidP="00AA2A4C">
            <w:pPr>
              <w:rPr>
                <w:rFonts w:hint="eastAsia"/>
                <w:b/>
                <w:bCs/>
              </w:rPr>
            </w:pPr>
            <w:r w:rsidRPr="004D0DAA">
              <w:rPr>
                <w:b/>
                <w:bCs/>
              </w:rPr>
              <w:t>E-UTRAN CSG Description</w:t>
            </w:r>
          </w:p>
          <w:p w14:paraId="4EEE0DA4" w14:textId="77777777" w:rsidR="00711444" w:rsidRPr="004D0DAA" w:rsidRDefault="00711444" w:rsidP="00AA2A4C">
            <w:pPr>
              <w:rPr>
                <w:bCs/>
              </w:rPr>
            </w:pPr>
            <w:r w:rsidRPr="004D0DAA">
              <w:rPr>
                <w:bCs/>
              </w:rPr>
              <w:t xml:space="preserve">This information element contains the description of the </w:t>
            </w:r>
            <w:r w:rsidRPr="004D0DAA">
              <w:rPr>
                <w:rFonts w:hint="eastAsia"/>
                <w:bCs/>
              </w:rPr>
              <w:t>E-UTRAN CSG</w:t>
            </w:r>
            <w:r w:rsidRPr="004D0DAA">
              <w:rPr>
                <w:bCs/>
              </w:rPr>
              <w:t xml:space="preserve"> cell</w:t>
            </w:r>
            <w:r w:rsidRPr="004D0DAA">
              <w:rPr>
                <w:rFonts w:hint="eastAsia"/>
                <w:bCs/>
              </w:rPr>
              <w:t>s</w:t>
            </w:r>
            <w:r w:rsidRPr="004D0DAA">
              <w:rPr>
                <w:bCs/>
              </w:rPr>
              <w:t>. This information element is defined in sub-clause 12.</w:t>
            </w:r>
            <w:r w:rsidRPr="004D0DAA">
              <w:rPr>
                <w:rFonts w:hint="eastAsia"/>
                <w:bCs/>
              </w:rPr>
              <w:t>55</w:t>
            </w:r>
            <w:r w:rsidRPr="004D0DAA">
              <w:rPr>
                <w:bCs/>
              </w:rPr>
              <w:t>.</w:t>
            </w:r>
          </w:p>
        </w:tc>
      </w:tr>
      <w:tr w:rsidR="00711444" w:rsidRPr="004D0DAA" w14:paraId="1F64BAB3" w14:textId="77777777" w:rsidTr="00AA2A4C">
        <w:tblPrEx>
          <w:jc w:val="center"/>
          <w:tblCellMar>
            <w:top w:w="0" w:type="dxa"/>
            <w:bottom w:w="0" w:type="dxa"/>
          </w:tblCellMar>
        </w:tblPrEx>
        <w:trPr>
          <w:cantSplit/>
          <w:jc w:val="center"/>
        </w:trPr>
        <w:tc>
          <w:tcPr>
            <w:tcW w:w="9855" w:type="dxa"/>
            <w:gridSpan w:val="2"/>
          </w:tcPr>
          <w:p w14:paraId="738C8FB6" w14:textId="77777777" w:rsidR="00711444" w:rsidRPr="004D0DAA" w:rsidRDefault="00711444" w:rsidP="00AA2A4C">
            <w:pPr>
              <w:rPr>
                <w:rFonts w:hint="eastAsia"/>
                <w:b/>
                <w:bCs/>
              </w:rPr>
            </w:pPr>
            <w:r w:rsidRPr="004D0DAA">
              <w:rPr>
                <w:rFonts w:hint="eastAsia"/>
                <w:b/>
                <w:bCs/>
              </w:rPr>
              <w:t xml:space="preserve">Measurement </w:t>
            </w:r>
            <w:r w:rsidRPr="004D0DAA">
              <w:rPr>
                <w:rFonts w:hint="eastAsia"/>
                <w:b/>
                <w:bCs/>
                <w:lang w:eastAsia="zh-CN"/>
              </w:rPr>
              <w:t xml:space="preserve">Control </w:t>
            </w:r>
            <w:r w:rsidRPr="004D0DAA">
              <w:rPr>
                <w:rFonts w:hint="eastAsia"/>
                <w:b/>
                <w:bCs/>
              </w:rPr>
              <w:t>Parameters Des</w:t>
            </w:r>
            <w:r w:rsidRPr="004D0DAA">
              <w:rPr>
                <w:rFonts w:hint="eastAsia"/>
                <w:b/>
                <w:bCs/>
                <w:lang w:eastAsia="zh-CN"/>
              </w:rPr>
              <w:t>c</w:t>
            </w:r>
            <w:r w:rsidRPr="004D0DAA">
              <w:rPr>
                <w:rFonts w:hint="eastAsia"/>
                <w:b/>
                <w:bCs/>
              </w:rPr>
              <w:t>ription</w:t>
            </w:r>
          </w:p>
          <w:p w14:paraId="727220E4" w14:textId="77777777" w:rsidR="00711444" w:rsidRPr="004D0DAA" w:rsidRDefault="00711444" w:rsidP="00AA2A4C">
            <w:pPr>
              <w:rPr>
                <w:b/>
                <w:bCs/>
              </w:rPr>
            </w:pPr>
            <w:r w:rsidRPr="004D0DAA">
              <w:rPr>
                <w:bCs/>
              </w:rPr>
              <w:t xml:space="preserve">This information element contains the </w:t>
            </w:r>
            <w:r w:rsidRPr="004D0DAA">
              <w:rPr>
                <w:rFonts w:hint="eastAsia"/>
                <w:bCs/>
                <w:lang w:eastAsia="zh-CN"/>
              </w:rPr>
              <w:t>Measurement control parameters per frequency</w:t>
            </w:r>
            <w:r w:rsidRPr="004D0DAA">
              <w:rPr>
                <w:bCs/>
              </w:rPr>
              <w:t xml:space="preserve"> </w:t>
            </w:r>
            <w:r w:rsidRPr="004D0DAA">
              <w:rPr>
                <w:rFonts w:hint="eastAsia"/>
                <w:bCs/>
                <w:lang w:eastAsia="zh-CN"/>
              </w:rPr>
              <w:t xml:space="preserve">for UTRAN and </w:t>
            </w:r>
            <w:r w:rsidRPr="004D0DAA">
              <w:rPr>
                <w:rFonts w:hint="eastAsia"/>
                <w:bCs/>
              </w:rPr>
              <w:t>E-UTRAN</w:t>
            </w:r>
            <w:r w:rsidRPr="004D0DAA">
              <w:rPr>
                <w:bCs/>
              </w:rPr>
              <w:t>. This information element is defined in sub-clause 12.</w:t>
            </w:r>
            <w:r w:rsidRPr="004D0DAA">
              <w:rPr>
                <w:rFonts w:hint="eastAsia"/>
                <w:bCs/>
              </w:rPr>
              <w:t>5</w:t>
            </w:r>
            <w:r w:rsidRPr="004D0DAA">
              <w:rPr>
                <w:rFonts w:hint="eastAsia"/>
                <w:bCs/>
                <w:lang w:eastAsia="zh-CN"/>
              </w:rPr>
              <w:t>6</w:t>
            </w:r>
            <w:r w:rsidRPr="004D0DAA">
              <w:rPr>
                <w:bCs/>
              </w:rPr>
              <w:t>.</w:t>
            </w:r>
          </w:p>
        </w:tc>
      </w:tr>
      <w:tr w:rsidR="00711444" w:rsidRPr="004D0DAA" w14:paraId="52A331FD" w14:textId="77777777" w:rsidTr="00AA2A4C">
        <w:tblPrEx>
          <w:tblCellMar>
            <w:top w:w="0" w:type="dxa"/>
            <w:bottom w:w="0" w:type="dxa"/>
          </w:tblCellMar>
        </w:tblPrEx>
        <w:trPr>
          <w:gridAfter w:val="1"/>
          <w:wAfter w:w="7" w:type="dxa"/>
          <w:cantSplit/>
        </w:trPr>
        <w:tc>
          <w:tcPr>
            <w:tcW w:w="9848" w:type="dxa"/>
          </w:tcPr>
          <w:p w14:paraId="765B1FD8" w14:textId="77777777" w:rsidR="00711444" w:rsidRPr="004D0DAA" w:rsidRDefault="00711444" w:rsidP="00AA2A4C">
            <w:pPr>
              <w:spacing w:after="60"/>
              <w:rPr>
                <w:rFonts w:hint="eastAsia"/>
                <w:b/>
                <w:bCs/>
              </w:rPr>
            </w:pPr>
            <w:r w:rsidRPr="004D0DAA">
              <w:rPr>
                <w:b/>
                <w:bCs/>
              </w:rPr>
              <w:t>Enhanced Cell Reselection Parameters Description</w:t>
            </w:r>
          </w:p>
          <w:p w14:paraId="20E191DD" w14:textId="77777777" w:rsidR="00711444" w:rsidRPr="004D0DAA" w:rsidRDefault="00711444" w:rsidP="00AA2A4C">
            <w:pPr>
              <w:spacing w:after="60"/>
              <w:rPr>
                <w:bCs/>
              </w:rPr>
            </w:pPr>
            <w:r w:rsidRPr="004D0DAA">
              <w:rPr>
                <w:bCs/>
              </w:rPr>
              <w:t>This information element contains parameters for enhanced cell reselection procedures towards E-UTRAN cells, see 3GPP TS 45.008.</w:t>
            </w:r>
          </w:p>
          <w:p w14:paraId="08A59073" w14:textId="77777777" w:rsidR="00711444" w:rsidRPr="004D0DAA" w:rsidRDefault="00711444" w:rsidP="00AA2A4C">
            <w:pPr>
              <w:spacing w:after="60"/>
              <w:rPr>
                <w:b/>
                <w:bCs/>
              </w:rPr>
            </w:pPr>
            <w:r w:rsidRPr="004D0DAA">
              <w:rPr>
                <w:bCs/>
              </w:rPr>
              <w:t>This information element is defined in sub-clause 12.59.</w:t>
            </w:r>
          </w:p>
        </w:tc>
      </w:tr>
      <w:tr w:rsidR="00711444" w:rsidRPr="004D0DAA" w14:paraId="6397CBFA" w14:textId="77777777" w:rsidTr="00AA2A4C">
        <w:tblPrEx>
          <w:jc w:val="center"/>
          <w:tblCellMar>
            <w:top w:w="0" w:type="dxa"/>
            <w:bottom w:w="0" w:type="dxa"/>
          </w:tblCellMar>
        </w:tblPrEx>
        <w:trPr>
          <w:cantSplit/>
          <w:jc w:val="center"/>
        </w:trPr>
        <w:tc>
          <w:tcPr>
            <w:tcW w:w="9855" w:type="dxa"/>
            <w:gridSpan w:val="2"/>
          </w:tcPr>
          <w:p w14:paraId="59C1A92D" w14:textId="77777777" w:rsidR="00711444" w:rsidRPr="004D0DAA" w:rsidRDefault="00711444" w:rsidP="00AA2A4C">
            <w:pPr>
              <w:rPr>
                <w:rFonts w:hint="eastAsia"/>
                <w:b/>
                <w:bCs/>
              </w:rPr>
            </w:pPr>
            <w:r w:rsidRPr="004D0DAA">
              <w:rPr>
                <w:b/>
                <w:bCs/>
              </w:rPr>
              <w:t>CSG</w:t>
            </w:r>
            <w:r w:rsidRPr="004D0DAA">
              <w:rPr>
                <w:rFonts w:hint="eastAsia"/>
                <w:b/>
                <w:bCs/>
              </w:rPr>
              <w:t xml:space="preserve"> </w:t>
            </w:r>
            <w:r w:rsidRPr="004D0DAA">
              <w:rPr>
                <w:b/>
                <w:bCs/>
              </w:rPr>
              <w:t>Cells Reporting Description</w:t>
            </w:r>
          </w:p>
          <w:p w14:paraId="7583FD42" w14:textId="77777777" w:rsidR="00711444" w:rsidRPr="004D0DAA" w:rsidRDefault="00711444" w:rsidP="00AA2A4C">
            <w:pPr>
              <w:rPr>
                <w:rFonts w:hint="eastAsia"/>
                <w:b/>
                <w:bCs/>
              </w:rPr>
            </w:pPr>
            <w:r w:rsidRPr="004D0DAA">
              <w:rPr>
                <w:bCs/>
              </w:rPr>
              <w:t xml:space="preserve">The fields of this structure are used </w:t>
            </w:r>
            <w:r w:rsidRPr="004D0DAA">
              <w:rPr>
                <w:rFonts w:hint="eastAsia"/>
                <w:bCs/>
              </w:rPr>
              <w:t xml:space="preserve">to signal the related parameters </w:t>
            </w:r>
            <w:r w:rsidRPr="004D0DAA">
              <w:rPr>
                <w:bCs/>
              </w:rPr>
              <w:t xml:space="preserve">for </w:t>
            </w:r>
            <w:r w:rsidRPr="004D0DAA">
              <w:rPr>
                <w:rFonts w:hint="eastAsia"/>
                <w:bCs/>
              </w:rPr>
              <w:t>measurement and reporting for CSG cells in packet transfer mode</w:t>
            </w:r>
            <w:r w:rsidRPr="004D0DAA">
              <w:rPr>
                <w:bCs/>
              </w:rPr>
              <w:t xml:space="preserve"> as defined in 3GPP TS 45.008.</w:t>
            </w:r>
            <w:r w:rsidRPr="004D0DAA">
              <w:rPr>
                <w:rFonts w:hint="eastAsia"/>
                <w:bCs/>
              </w:rPr>
              <w:t xml:space="preserve"> </w:t>
            </w:r>
            <w:r w:rsidRPr="004D0DAA">
              <w:rPr>
                <w:bCs/>
              </w:rPr>
              <w:t>If this structure is not present, t</w:t>
            </w:r>
            <w:r w:rsidRPr="004D0DAA">
              <w:rPr>
                <w:rFonts w:hint="eastAsia"/>
                <w:bCs/>
              </w:rPr>
              <w:t xml:space="preserve">he MS shall </w:t>
            </w:r>
            <w:r w:rsidRPr="004D0DAA">
              <w:rPr>
                <w:bCs/>
              </w:rPr>
              <w:t xml:space="preserve">revert to the corresponding parameters for </w:t>
            </w:r>
            <w:r w:rsidRPr="004D0DAA">
              <w:rPr>
                <w:rFonts w:hint="eastAsia"/>
                <w:bCs/>
              </w:rPr>
              <w:t>this structure</w:t>
            </w:r>
            <w:r w:rsidRPr="004D0DAA">
              <w:rPr>
                <w:bCs/>
              </w:rPr>
              <w:t xml:space="preserve"> as indicated by</w:t>
            </w:r>
            <w:r w:rsidRPr="004D0DAA">
              <w:rPr>
                <w:rFonts w:hint="eastAsia"/>
                <w:bCs/>
              </w:rPr>
              <w:t xml:space="preserve"> </w:t>
            </w:r>
            <w:r w:rsidRPr="004D0DAA">
              <w:rPr>
                <w:bCs/>
              </w:rPr>
              <w:t>the last received SI2quater message</w:t>
            </w:r>
            <w:r w:rsidRPr="004D0DAA">
              <w:rPr>
                <w:rFonts w:hint="eastAsia"/>
                <w:bCs/>
              </w:rPr>
              <w:t xml:space="preserve">. </w:t>
            </w:r>
          </w:p>
        </w:tc>
      </w:tr>
      <w:tr w:rsidR="00711444" w:rsidRPr="004D0DAA" w14:paraId="5EDB9425" w14:textId="77777777" w:rsidTr="00AA2A4C">
        <w:tblPrEx>
          <w:jc w:val="center"/>
          <w:tblCellMar>
            <w:top w:w="0" w:type="dxa"/>
            <w:bottom w:w="0" w:type="dxa"/>
          </w:tblCellMar>
        </w:tblPrEx>
        <w:trPr>
          <w:cantSplit/>
          <w:jc w:val="center"/>
        </w:trPr>
        <w:tc>
          <w:tcPr>
            <w:tcW w:w="9855" w:type="dxa"/>
            <w:gridSpan w:val="2"/>
          </w:tcPr>
          <w:p w14:paraId="51793187" w14:textId="77777777" w:rsidR="00711444" w:rsidRPr="004D0DAA" w:rsidRDefault="00711444" w:rsidP="00AA2A4C">
            <w:pPr>
              <w:rPr>
                <w:b/>
                <w:bCs/>
              </w:rPr>
            </w:pPr>
            <w:r w:rsidRPr="004D0DAA">
              <w:rPr>
                <w:rFonts w:hint="eastAsia"/>
                <w:b/>
                <w:bCs/>
              </w:rPr>
              <w:t xml:space="preserve">UTRAN </w:t>
            </w:r>
            <w:r w:rsidRPr="004D0DAA">
              <w:rPr>
                <w:b/>
                <w:bCs/>
              </w:rPr>
              <w:t>CSG</w:t>
            </w:r>
            <w:r w:rsidRPr="004D0DAA">
              <w:rPr>
                <w:rFonts w:hint="eastAsia"/>
                <w:b/>
                <w:bCs/>
              </w:rPr>
              <w:t xml:space="preserve"> </w:t>
            </w:r>
            <w:r w:rsidRPr="004D0DAA">
              <w:rPr>
                <w:b/>
                <w:bCs/>
              </w:rPr>
              <w:t>Cells Reporting Description</w:t>
            </w:r>
          </w:p>
          <w:p w14:paraId="316DDD9D" w14:textId="77777777" w:rsidR="00711444" w:rsidRPr="004D0DAA" w:rsidRDefault="00711444" w:rsidP="00AA2A4C">
            <w:pPr>
              <w:rPr>
                <w:b/>
                <w:bCs/>
              </w:rPr>
            </w:pPr>
            <w:r w:rsidRPr="004D0DAA">
              <w:rPr>
                <w:rFonts w:hint="eastAsia"/>
                <w:b/>
                <w:bCs/>
              </w:rPr>
              <w:t xml:space="preserve">UTRAN_CSG_FDD_REPORTING_THRESHOLD </w:t>
            </w:r>
            <w:r w:rsidRPr="004D0DAA">
              <w:rPr>
                <w:rFonts w:hint="eastAsia"/>
                <w:bCs/>
              </w:rPr>
              <w:t>(3 bit field)</w:t>
            </w:r>
            <w:r w:rsidRPr="004D0DAA">
              <w:rPr>
                <w:b/>
                <w:bCs/>
              </w:rPr>
              <w:br/>
            </w:r>
            <w:r w:rsidRPr="004D0DAA">
              <w:rPr>
                <w:rFonts w:hint="eastAsia"/>
                <w:b/>
                <w:bCs/>
              </w:rPr>
              <w:t>UTRAN_CSG_FDD_REPORTING_THRESHOLD</w:t>
            </w:r>
            <w:r w:rsidRPr="004D0DAA">
              <w:rPr>
                <w:b/>
                <w:bCs/>
              </w:rPr>
              <w:t>_2</w:t>
            </w:r>
            <w:r w:rsidRPr="004D0DAA">
              <w:rPr>
                <w:rFonts w:hint="eastAsia"/>
                <w:b/>
                <w:bCs/>
              </w:rPr>
              <w:t xml:space="preserve"> </w:t>
            </w:r>
            <w:r w:rsidRPr="004D0DAA">
              <w:rPr>
                <w:rFonts w:hint="eastAsia"/>
                <w:bCs/>
              </w:rPr>
              <w:t>(</w:t>
            </w:r>
            <w:r w:rsidRPr="004D0DAA">
              <w:rPr>
                <w:bCs/>
              </w:rPr>
              <w:t>6</w:t>
            </w:r>
            <w:r w:rsidRPr="004D0DAA">
              <w:rPr>
                <w:rFonts w:hint="eastAsia"/>
                <w:bCs/>
              </w:rPr>
              <w:t xml:space="preserve"> bit field)</w:t>
            </w:r>
            <w:r w:rsidRPr="004D0DAA">
              <w:rPr>
                <w:b/>
                <w:bCs/>
              </w:rPr>
              <w:br/>
            </w:r>
            <w:r w:rsidRPr="004D0DAA">
              <w:rPr>
                <w:rFonts w:hint="eastAsia"/>
                <w:b/>
                <w:bCs/>
              </w:rPr>
              <w:t xml:space="preserve">UTRAN_CSG_TDD_REPORTING_THRESHOLD </w:t>
            </w:r>
            <w:r w:rsidRPr="004D0DAA">
              <w:rPr>
                <w:rFonts w:hint="eastAsia"/>
                <w:bCs/>
              </w:rPr>
              <w:t>(3 bit field)</w:t>
            </w:r>
            <w:r w:rsidRPr="004D0DAA">
              <w:rPr>
                <w:b/>
                <w:bCs/>
              </w:rPr>
              <w:br/>
            </w:r>
            <w:r w:rsidRPr="004D0DAA">
              <w:rPr>
                <w:rFonts w:hint="eastAsia"/>
                <w:bCs/>
              </w:rPr>
              <w:t xml:space="preserve">These fields are used to control the reporting for CSG cells as specified in </w:t>
            </w:r>
            <w:r w:rsidRPr="004D0DAA">
              <w:rPr>
                <w:bCs/>
              </w:rPr>
              <w:t xml:space="preserve">3GPP TS 45.008. If this IE is received containing none of the above fields for a given mode (FDD or TDD), the MS shall use the values of these fields from the </w:t>
            </w:r>
            <w:r w:rsidRPr="004D0DAA">
              <w:rPr>
                <w:bCs/>
                <w:i/>
              </w:rPr>
              <w:t>UTRAN CSG Cells Reporting Description</w:t>
            </w:r>
            <w:r w:rsidRPr="004D0DAA">
              <w:rPr>
                <w:bCs/>
              </w:rPr>
              <w:t xml:space="preserve"> IE in the last received SI2quater within the serving cell. If no values have been received by the MS within the serving cell, the default values specified in 3GPP TS 45.008 shall apply.</w:t>
            </w:r>
          </w:p>
        </w:tc>
      </w:tr>
      <w:tr w:rsidR="00711444" w:rsidRPr="004D0DAA" w14:paraId="145BB22D" w14:textId="77777777" w:rsidTr="00AA2A4C">
        <w:tblPrEx>
          <w:jc w:val="center"/>
          <w:tblCellMar>
            <w:top w:w="0" w:type="dxa"/>
            <w:bottom w:w="0" w:type="dxa"/>
          </w:tblCellMar>
        </w:tblPrEx>
        <w:trPr>
          <w:cantSplit/>
          <w:jc w:val="center"/>
        </w:trPr>
        <w:tc>
          <w:tcPr>
            <w:tcW w:w="9855" w:type="dxa"/>
            <w:gridSpan w:val="2"/>
          </w:tcPr>
          <w:p w14:paraId="28CF2D8E" w14:textId="77777777" w:rsidR="00711444" w:rsidRPr="004D0DAA" w:rsidRDefault="00711444" w:rsidP="00AA2A4C">
            <w:pPr>
              <w:rPr>
                <w:rFonts w:hint="eastAsia"/>
                <w:b/>
                <w:bCs/>
              </w:rPr>
            </w:pPr>
            <w:r w:rsidRPr="004D0DAA">
              <w:rPr>
                <w:rFonts w:hint="eastAsia"/>
                <w:b/>
                <w:bCs/>
              </w:rPr>
              <w:lastRenderedPageBreak/>
              <w:t xml:space="preserve">E-UTRAN </w:t>
            </w:r>
            <w:r w:rsidRPr="004D0DAA">
              <w:rPr>
                <w:b/>
                <w:bCs/>
              </w:rPr>
              <w:t>CSG</w:t>
            </w:r>
            <w:r w:rsidRPr="004D0DAA">
              <w:rPr>
                <w:rFonts w:hint="eastAsia"/>
                <w:b/>
                <w:bCs/>
              </w:rPr>
              <w:t xml:space="preserve"> </w:t>
            </w:r>
            <w:r w:rsidRPr="004D0DAA">
              <w:rPr>
                <w:b/>
                <w:bCs/>
              </w:rPr>
              <w:t>Cells Reporting Description</w:t>
            </w:r>
          </w:p>
          <w:p w14:paraId="2F135975" w14:textId="77777777" w:rsidR="00711444" w:rsidRPr="004D0DAA" w:rsidRDefault="00711444" w:rsidP="00AA2A4C">
            <w:pPr>
              <w:rPr>
                <w:rFonts w:hint="eastAsia"/>
                <w:b/>
                <w:bCs/>
              </w:rPr>
            </w:pPr>
            <w:r w:rsidRPr="004D0DAA">
              <w:rPr>
                <w:rFonts w:hint="eastAsia"/>
                <w:b/>
                <w:bCs/>
              </w:rPr>
              <w:t xml:space="preserve">E-UTRAN_CSG_FDD_REPORTING_THRESHOLD </w:t>
            </w:r>
            <w:r w:rsidRPr="004D0DAA">
              <w:rPr>
                <w:rFonts w:hint="eastAsia"/>
                <w:bCs/>
              </w:rPr>
              <w:t>(3 bit field)</w:t>
            </w:r>
            <w:r w:rsidRPr="004D0DAA">
              <w:rPr>
                <w:b/>
                <w:bCs/>
              </w:rPr>
              <w:br/>
            </w:r>
            <w:r w:rsidRPr="004D0DAA">
              <w:rPr>
                <w:rFonts w:hint="eastAsia"/>
                <w:b/>
                <w:bCs/>
              </w:rPr>
              <w:t>E-UTRAN_CSG_FDD_REPORTING_THRESHOLD</w:t>
            </w:r>
            <w:r w:rsidRPr="004D0DAA">
              <w:rPr>
                <w:b/>
                <w:bCs/>
              </w:rPr>
              <w:t>_2</w:t>
            </w:r>
            <w:r w:rsidRPr="004D0DAA">
              <w:rPr>
                <w:rFonts w:hint="eastAsia"/>
                <w:b/>
                <w:bCs/>
              </w:rPr>
              <w:t xml:space="preserve"> </w:t>
            </w:r>
            <w:r w:rsidRPr="004D0DAA">
              <w:rPr>
                <w:rFonts w:hint="eastAsia"/>
                <w:bCs/>
              </w:rPr>
              <w:t>(</w:t>
            </w:r>
            <w:r w:rsidRPr="004D0DAA">
              <w:rPr>
                <w:bCs/>
              </w:rPr>
              <w:t>6</w:t>
            </w:r>
            <w:r w:rsidRPr="004D0DAA">
              <w:rPr>
                <w:rFonts w:hint="eastAsia"/>
                <w:bCs/>
              </w:rPr>
              <w:t xml:space="preserve"> bit field)</w:t>
            </w:r>
            <w:r w:rsidRPr="004D0DAA">
              <w:rPr>
                <w:b/>
                <w:bCs/>
              </w:rPr>
              <w:br/>
            </w:r>
            <w:r w:rsidRPr="004D0DAA">
              <w:rPr>
                <w:rFonts w:hint="eastAsia"/>
                <w:b/>
                <w:bCs/>
              </w:rPr>
              <w:t xml:space="preserve">E-UTRAN_CSG_TDD_REPORTING_THRESHOLD </w:t>
            </w:r>
            <w:r w:rsidRPr="004D0DAA">
              <w:rPr>
                <w:rFonts w:hint="eastAsia"/>
                <w:bCs/>
              </w:rPr>
              <w:t>(3 bit field)</w:t>
            </w:r>
            <w:r w:rsidRPr="004D0DAA">
              <w:rPr>
                <w:b/>
                <w:bCs/>
              </w:rPr>
              <w:br/>
            </w:r>
            <w:r w:rsidRPr="004D0DAA">
              <w:rPr>
                <w:rFonts w:hint="eastAsia"/>
                <w:b/>
                <w:bCs/>
              </w:rPr>
              <w:t>E-UTRAN_CSG_</w:t>
            </w:r>
            <w:r w:rsidRPr="004D0DAA">
              <w:rPr>
                <w:b/>
                <w:bCs/>
              </w:rPr>
              <w:t>T</w:t>
            </w:r>
            <w:r w:rsidRPr="004D0DAA">
              <w:rPr>
                <w:rFonts w:hint="eastAsia"/>
                <w:b/>
                <w:bCs/>
              </w:rPr>
              <w:t>DD_REPORTING_THRESHOLD</w:t>
            </w:r>
            <w:r w:rsidRPr="004D0DAA">
              <w:rPr>
                <w:b/>
                <w:bCs/>
              </w:rPr>
              <w:t>_2</w:t>
            </w:r>
            <w:r w:rsidRPr="004D0DAA">
              <w:rPr>
                <w:rFonts w:hint="eastAsia"/>
                <w:b/>
                <w:bCs/>
              </w:rPr>
              <w:t xml:space="preserve"> </w:t>
            </w:r>
            <w:r w:rsidRPr="004D0DAA">
              <w:rPr>
                <w:rFonts w:hint="eastAsia"/>
                <w:bCs/>
              </w:rPr>
              <w:t>(</w:t>
            </w:r>
            <w:r w:rsidRPr="004D0DAA">
              <w:rPr>
                <w:bCs/>
              </w:rPr>
              <w:t>6</w:t>
            </w:r>
            <w:r w:rsidRPr="004D0DAA">
              <w:rPr>
                <w:rFonts w:hint="eastAsia"/>
                <w:bCs/>
              </w:rPr>
              <w:t xml:space="preserve"> bit field)</w:t>
            </w:r>
            <w:r w:rsidRPr="004D0DAA">
              <w:rPr>
                <w:b/>
                <w:bCs/>
              </w:rPr>
              <w:br/>
            </w:r>
            <w:r w:rsidRPr="004D0DAA">
              <w:rPr>
                <w:rFonts w:hint="eastAsia"/>
                <w:bCs/>
              </w:rPr>
              <w:t xml:space="preserve">These fields are used to control </w:t>
            </w:r>
            <w:r w:rsidRPr="004D0DAA">
              <w:rPr>
                <w:bCs/>
              </w:rPr>
              <w:t>the</w:t>
            </w:r>
            <w:r w:rsidRPr="004D0DAA">
              <w:rPr>
                <w:rFonts w:hint="eastAsia"/>
                <w:bCs/>
              </w:rPr>
              <w:t xml:space="preserve"> reporting for CSG cells as specified in </w:t>
            </w:r>
            <w:r w:rsidRPr="004D0DAA">
              <w:rPr>
                <w:bCs/>
              </w:rPr>
              <w:t xml:space="preserve">3GPP TS 45.008. If this IE is received containing none of the above fields for a given mode (FDD or TDD), the MS shall use the values of these fields from the </w:t>
            </w:r>
            <w:r w:rsidRPr="004D0DAA">
              <w:rPr>
                <w:bCs/>
                <w:i/>
              </w:rPr>
              <w:t>E-UTRAN CSG Cells Reporting Description</w:t>
            </w:r>
            <w:r w:rsidRPr="004D0DAA">
              <w:rPr>
                <w:bCs/>
              </w:rPr>
              <w:t xml:space="preserve"> IE in the last received SI2quater within the serving cell. If no values have been received by the MS within the serving cell, the default values specified in 3GPP TS 45.008 shall apply.</w:t>
            </w:r>
          </w:p>
        </w:tc>
      </w:tr>
      <w:tr w:rsidR="00711444" w:rsidRPr="004D0DAA" w14:paraId="51E0EE83" w14:textId="77777777" w:rsidTr="00AA2A4C">
        <w:tblPrEx>
          <w:jc w:val="center"/>
          <w:tblCellMar>
            <w:top w:w="0" w:type="dxa"/>
            <w:bottom w:w="0" w:type="dxa"/>
          </w:tblCellMar>
        </w:tblPrEx>
        <w:trPr>
          <w:cantSplit/>
          <w:jc w:val="center"/>
        </w:trPr>
        <w:tc>
          <w:tcPr>
            <w:tcW w:w="9855" w:type="dxa"/>
            <w:gridSpan w:val="2"/>
          </w:tcPr>
          <w:p w14:paraId="1CCF2591" w14:textId="77777777" w:rsidR="00711444" w:rsidRPr="004D0DAA" w:rsidRDefault="00711444" w:rsidP="00AA2A4C">
            <w:pPr>
              <w:rPr>
                <w:rFonts w:hint="eastAsia"/>
                <w:b/>
                <w:bCs/>
                <w:lang w:eastAsia="en-GB"/>
              </w:rPr>
            </w:pPr>
            <w:r w:rsidRPr="004D0DAA">
              <w:rPr>
                <w:b/>
                <w:lang w:eastAsia="zh-CN"/>
              </w:rPr>
              <w:t xml:space="preserve">E-UTRAN </w:t>
            </w:r>
            <w:r w:rsidRPr="004D0DAA">
              <w:rPr>
                <w:rFonts w:hint="eastAsia"/>
                <w:b/>
                <w:lang w:eastAsia="zh-CN"/>
              </w:rPr>
              <w:t>IP</w:t>
            </w:r>
            <w:r w:rsidRPr="004D0DAA">
              <w:rPr>
                <w:b/>
                <w:lang w:eastAsia="zh-CN"/>
              </w:rPr>
              <w:t>P with extended EARFCNs</w:t>
            </w:r>
            <w:r w:rsidRPr="004D0DAA">
              <w:rPr>
                <w:b/>
                <w:lang w:eastAsia="zh-CN"/>
              </w:rPr>
              <w:br/>
            </w:r>
            <w:r w:rsidRPr="004D0DAA">
              <w:rPr>
                <w:lang w:eastAsia="en-GB"/>
              </w:rPr>
              <w:t>This information element is defined in</w:t>
            </w:r>
            <w:r w:rsidRPr="004D0DAA">
              <w:rPr>
                <w:i/>
                <w:lang w:eastAsia="en-GB"/>
              </w:rPr>
              <w:t xml:space="preserve"> </w:t>
            </w:r>
            <w:r w:rsidRPr="004D0DAA">
              <w:rPr>
                <w:lang w:eastAsia="en-GB"/>
              </w:rPr>
              <w:t>sub-clause 12.</w:t>
            </w:r>
            <w:r w:rsidRPr="004D0DAA">
              <w:rPr>
                <w:lang w:eastAsia="zh-CN"/>
              </w:rPr>
              <w:t xml:space="preserve">69. </w:t>
            </w:r>
            <w:r w:rsidRPr="004D0DAA">
              <w:rPr>
                <w:lang w:eastAsia="en-GB"/>
              </w:rPr>
              <w:t xml:space="preserve">It shall be included if E-UTRAN individual priorities are provided and both the network and the mobile station support extended EARFCNs (see 3GPP TS 24.008); in such a case the </w:t>
            </w:r>
            <w:r w:rsidRPr="004D0DAA">
              <w:rPr>
                <w:i/>
                <w:lang w:eastAsia="en-GB"/>
              </w:rPr>
              <w:t>E-UTRAN Individual Priority Parameters Description</w:t>
            </w:r>
            <w:r w:rsidRPr="004D0DAA">
              <w:rPr>
                <w:lang w:eastAsia="en-GB"/>
              </w:rPr>
              <w:t xml:space="preserve"> IE shall not be provided within the </w:t>
            </w:r>
            <w:r w:rsidRPr="004D0DAA">
              <w:rPr>
                <w:i/>
                <w:lang w:eastAsia="en-GB"/>
              </w:rPr>
              <w:t xml:space="preserve">Individual Priorities </w:t>
            </w:r>
            <w:r w:rsidRPr="004D0DAA">
              <w:rPr>
                <w:lang w:eastAsia="en-GB"/>
              </w:rPr>
              <w:t xml:space="preserve">IE (see definition of </w:t>
            </w:r>
            <w:r w:rsidRPr="004D0DAA">
              <w:rPr>
                <w:i/>
                <w:lang w:eastAsia="en-GB"/>
              </w:rPr>
              <w:t xml:space="preserve">Individual Priorities </w:t>
            </w:r>
            <w:r w:rsidRPr="004D0DAA">
              <w:rPr>
                <w:lang w:eastAsia="en-GB"/>
              </w:rPr>
              <w:t>IE above).</w:t>
            </w:r>
          </w:p>
        </w:tc>
      </w:tr>
      <w:tr w:rsidR="00711444" w:rsidRPr="004D0DAA" w14:paraId="032948EF" w14:textId="77777777" w:rsidTr="00AA2A4C">
        <w:tblPrEx>
          <w:jc w:val="center"/>
          <w:tblCellMar>
            <w:top w:w="0" w:type="dxa"/>
            <w:bottom w:w="0" w:type="dxa"/>
          </w:tblCellMar>
        </w:tblPrEx>
        <w:trPr>
          <w:cantSplit/>
          <w:jc w:val="center"/>
        </w:trPr>
        <w:tc>
          <w:tcPr>
            <w:tcW w:w="9855" w:type="dxa"/>
            <w:gridSpan w:val="2"/>
          </w:tcPr>
          <w:p w14:paraId="3D2AF254" w14:textId="77777777" w:rsidR="00711444" w:rsidRPr="004D0DAA" w:rsidRDefault="00711444" w:rsidP="00AA2A4C">
            <w:pPr>
              <w:spacing w:after="60"/>
              <w:rPr>
                <w:b/>
                <w:lang w:eastAsia="zh-CN"/>
              </w:rPr>
            </w:pPr>
            <w:r w:rsidRPr="004D0DAA">
              <w:rPr>
                <w:b/>
                <w:lang w:eastAsia="zh-CN"/>
              </w:rPr>
              <w:t>E-UTRAN NC with extended EARFCNs</w:t>
            </w:r>
          </w:p>
          <w:p w14:paraId="339F5915" w14:textId="77777777" w:rsidR="00711444" w:rsidRPr="004D0DAA" w:rsidRDefault="00711444" w:rsidP="00AA2A4C">
            <w:pPr>
              <w:rPr>
                <w:rFonts w:hint="eastAsia"/>
                <w:b/>
                <w:bCs/>
                <w:lang w:eastAsia="en-GB"/>
              </w:rPr>
            </w:pPr>
            <w:r w:rsidRPr="004D0DAA">
              <w:rPr>
                <w:lang w:eastAsia="en-GB"/>
              </w:rPr>
              <w:t>This information element is defined in</w:t>
            </w:r>
            <w:r w:rsidRPr="004D0DAA">
              <w:rPr>
                <w:i/>
                <w:lang w:eastAsia="en-GB"/>
              </w:rPr>
              <w:t xml:space="preserve"> </w:t>
            </w:r>
            <w:r w:rsidRPr="004D0DAA">
              <w:rPr>
                <w:lang w:eastAsia="en-GB"/>
              </w:rPr>
              <w:t xml:space="preserve">sub-clause 12.70. It shall be included if both the network and the mobile station support extended EARFCNs (see 3GPP TS 24.008); in such a case the </w:t>
            </w:r>
            <w:r w:rsidRPr="004D0DAA">
              <w:rPr>
                <w:i/>
                <w:lang w:eastAsia="en-GB"/>
              </w:rPr>
              <w:t>Repeated E-UTRAN Neighbour Cells</w:t>
            </w:r>
            <w:r w:rsidRPr="004D0DAA">
              <w:rPr>
                <w:lang w:eastAsia="en-GB"/>
              </w:rPr>
              <w:t xml:space="preserve"> IE shall not be provided within the </w:t>
            </w:r>
            <w:r w:rsidRPr="004D0DAA">
              <w:rPr>
                <w:i/>
                <w:lang w:eastAsia="en-GB"/>
              </w:rPr>
              <w:t>E-UTRAN Parameters Description</w:t>
            </w:r>
            <w:r w:rsidRPr="004D0DAA">
              <w:rPr>
                <w:lang w:eastAsia="en-GB"/>
              </w:rPr>
              <w:t xml:space="preserve"> IE (see definition of </w:t>
            </w:r>
            <w:r w:rsidRPr="004D0DAA">
              <w:rPr>
                <w:i/>
                <w:lang w:eastAsia="en-GB"/>
              </w:rPr>
              <w:t>E-UTRAN Parameters Description</w:t>
            </w:r>
            <w:r w:rsidRPr="004D0DAA">
              <w:rPr>
                <w:lang w:eastAsia="en-GB"/>
              </w:rPr>
              <w:t xml:space="preserve"> IE above).</w:t>
            </w:r>
          </w:p>
        </w:tc>
      </w:tr>
    </w:tbl>
    <w:p w14:paraId="61DFA52E" w14:textId="77777777" w:rsidR="00711444" w:rsidRPr="004D0DAA" w:rsidRDefault="00711444" w:rsidP="00711444"/>
    <w:p w14:paraId="5BD0C3EE" w14:textId="77777777" w:rsidR="00711444" w:rsidRPr="004D0DAA" w:rsidRDefault="00711444" w:rsidP="00711444">
      <w:pPr>
        <w:pStyle w:val="Heading4"/>
      </w:pPr>
      <w:bookmarkStart w:id="671" w:name="_Toc516669847"/>
      <w:r w:rsidRPr="004D0DAA">
        <w:t>11.2.9b.1</w:t>
      </w:r>
      <w:r w:rsidRPr="004D0DAA">
        <w:tab/>
        <w:t>GPRS REP PRIORITY description</w:t>
      </w:r>
      <w:bookmarkEnd w:id="671"/>
    </w:p>
    <w:p w14:paraId="72F979B8" w14:textId="77777777" w:rsidR="00711444" w:rsidRPr="004D0DAA" w:rsidRDefault="00711444" w:rsidP="00711444">
      <w:r w:rsidRPr="004D0DAA">
        <w:t>A GPRS REP PRIORITY description construction shall be included in one and only one instance of the PACKET MEASUREMENT ORDER message within the consistent set of PACKET MEASUREMENT ORDER messages.</w:t>
      </w:r>
    </w:p>
    <w:p w14:paraId="67BF7623" w14:textId="77777777" w:rsidR="00711444" w:rsidRPr="004D0DAA" w:rsidRDefault="00711444" w:rsidP="00711444">
      <w:pPr>
        <w:pStyle w:val="Heading3"/>
      </w:pPr>
      <w:bookmarkStart w:id="672" w:name="_Toc516669848"/>
      <w:r w:rsidRPr="004D0DAA">
        <w:t>11.2.9c</w:t>
      </w:r>
      <w:r w:rsidRPr="004D0DAA">
        <w:tab/>
        <w:t>Packet Mobile TBF Status</w:t>
      </w:r>
      <w:bookmarkEnd w:id="672"/>
    </w:p>
    <w:p w14:paraId="372404F1" w14:textId="77777777" w:rsidR="00711444" w:rsidRPr="004D0DAA" w:rsidRDefault="00711444" w:rsidP="00711444">
      <w:r w:rsidRPr="004D0DAA">
        <w:t>This message is sent from the mobile station to the network on the uplink PACCH to indicate erroneous messages have been received relating to either a downlink or an uplink TBF.</w:t>
      </w:r>
    </w:p>
    <w:p w14:paraId="7BDE5E6D" w14:textId="77777777" w:rsidR="00711444" w:rsidRPr="004D0DAA" w:rsidRDefault="00711444" w:rsidP="00711444">
      <w:pPr>
        <w:pStyle w:val="EX"/>
      </w:pPr>
      <w:r w:rsidRPr="004D0DAA">
        <w:t>Message type:</w:t>
      </w:r>
      <w:r w:rsidRPr="004D0DAA">
        <w:tab/>
        <w:t>PACKET MOBILE TBF STATUS</w:t>
      </w:r>
    </w:p>
    <w:p w14:paraId="1CD96360" w14:textId="77777777" w:rsidR="00711444" w:rsidRPr="004D0DAA" w:rsidRDefault="00711444" w:rsidP="00711444">
      <w:pPr>
        <w:pStyle w:val="EX"/>
      </w:pPr>
      <w:r w:rsidRPr="004D0DAA">
        <w:t>Direction:</w:t>
      </w:r>
      <w:r w:rsidRPr="004D0DAA">
        <w:tab/>
        <w:t>mobile station to network</w:t>
      </w:r>
    </w:p>
    <w:p w14:paraId="5AC62361" w14:textId="77777777" w:rsidR="00711444" w:rsidRPr="004D0DAA" w:rsidRDefault="00711444" w:rsidP="00711444">
      <w:pPr>
        <w:pStyle w:val="TH"/>
      </w:pPr>
      <w:r w:rsidRPr="004D0DAA">
        <w:t>Table 11.2.9c.1: Packet MOBILE TBF STATUS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A2BD6A" w14:textId="77777777" w:rsidTr="00AA2A4C">
        <w:tblPrEx>
          <w:tblCellMar>
            <w:top w:w="0" w:type="dxa"/>
            <w:bottom w:w="0" w:type="dxa"/>
          </w:tblCellMar>
        </w:tblPrEx>
        <w:trPr>
          <w:cantSplit/>
        </w:trPr>
        <w:tc>
          <w:tcPr>
            <w:tcW w:w="9848" w:type="dxa"/>
          </w:tcPr>
          <w:p w14:paraId="7E482158" w14:textId="77777777" w:rsidR="00711444" w:rsidRPr="004D0DAA" w:rsidRDefault="00711444" w:rsidP="00AA2A4C">
            <w:pPr>
              <w:pStyle w:val="TAL"/>
              <w:rPr>
                <w:lang w:eastAsia="en-US"/>
              </w:rPr>
            </w:pPr>
            <w:r w:rsidRPr="004D0DAA">
              <w:rPr>
                <w:lang w:eastAsia="en-US"/>
              </w:rPr>
              <w:t>&lt; Packet Mobile TBF Status message content &gt; ::=</w:t>
            </w:r>
          </w:p>
          <w:p w14:paraId="303416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GLOBAL TFI</w:t>
            </w:r>
            <w:r w:rsidRPr="004D0DAA">
              <w:rPr>
                <w:lang w:eastAsia="en-US"/>
              </w:rPr>
              <w:t xml:space="preserve"> : &lt; Global TFI IE &gt; &gt;</w:t>
            </w:r>
          </w:p>
          <w:p w14:paraId="594BEA0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TBF_CAUSE</w:t>
            </w:r>
            <w:r w:rsidRPr="004D0DAA">
              <w:rPr>
                <w:lang w:eastAsia="en-US"/>
              </w:rPr>
              <w:t xml:space="preserve"> : bit (3) &gt;</w:t>
            </w:r>
          </w:p>
          <w:p w14:paraId="505EA18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STATUS_MESSAGE_TYPE</w:t>
            </w:r>
            <w:r w:rsidRPr="004D0DAA">
              <w:rPr>
                <w:lang w:eastAsia="en-US"/>
              </w:rPr>
              <w:t xml:space="preserve"> : bit (6) &gt; }</w:t>
            </w:r>
          </w:p>
          <w:p w14:paraId="5967A9B5" w14:textId="77777777" w:rsidR="00711444" w:rsidRPr="004D0DAA" w:rsidRDefault="00711444" w:rsidP="00AA2A4C">
            <w:pPr>
              <w:pStyle w:val="TAL"/>
              <w:rPr>
                <w:i/>
                <w:iCs/>
                <w:lang w:eastAsia="en-US"/>
              </w:rPr>
            </w:pPr>
            <w:r w:rsidRPr="004D0DAA">
              <w:rPr>
                <w:lang w:eastAsia="en-US"/>
              </w:rPr>
              <w:tab/>
              <w:t>{ null | 0</w:t>
            </w:r>
            <w:r w:rsidRPr="004D0DAA">
              <w:rPr>
                <w:lang w:eastAsia="en-US"/>
              </w:rPr>
              <w:tab/>
              <w:t>bit ** = &lt; no string &gt;</w:t>
            </w:r>
            <w:r w:rsidRPr="004D0DAA">
              <w:rPr>
                <w:lang w:eastAsia="en-US"/>
              </w:rPr>
              <w:tab/>
            </w:r>
            <w:r w:rsidRPr="004D0DAA">
              <w:rPr>
                <w:i/>
                <w:lang w:eastAsia="en-US"/>
              </w:rPr>
              <w:t>-- Receiver compatible with earlier release</w:t>
            </w:r>
          </w:p>
          <w:p w14:paraId="78E673A5"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Rel-12</w:t>
            </w:r>
          </w:p>
          <w:p w14:paraId="3BEF7A8D"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iCs/>
                <w:lang w:eastAsia="en-US"/>
              </w:rPr>
              <w:t xml:space="preserve">{ 0 | 1 </w:t>
            </w:r>
            <w:r w:rsidRPr="004D0DAA">
              <w:rPr>
                <w:lang w:eastAsia="en-US"/>
              </w:rPr>
              <w:t xml:space="preserve">&lt; </w:t>
            </w:r>
            <w:r w:rsidRPr="004D0DAA">
              <w:rPr>
                <w:b/>
                <w:lang w:eastAsia="en-US"/>
              </w:rPr>
              <w:t xml:space="preserve">Downlink_eTFI </w:t>
            </w:r>
            <w:r w:rsidRPr="004D0DAA">
              <w:rPr>
                <w:lang w:eastAsia="en-US"/>
              </w:rPr>
              <w:t>: bit (3) &gt; }</w:t>
            </w:r>
          </w:p>
          <w:p w14:paraId="6D3D4591" w14:textId="77777777" w:rsidR="00711444" w:rsidRPr="004D0DAA" w:rsidRDefault="00711444" w:rsidP="00AA2A4C">
            <w:pPr>
              <w:pStyle w:val="TAL"/>
              <w:rPr>
                <w:lang w:eastAsia="en-US"/>
              </w:rPr>
            </w:pPr>
            <w:r w:rsidRPr="004D0DAA">
              <w:rPr>
                <w:lang w:eastAsia="en-US"/>
              </w:rPr>
              <w:tab/>
              <w:t>&lt; padding bits &gt; } ;</w:t>
            </w:r>
          </w:p>
        </w:tc>
      </w:tr>
    </w:tbl>
    <w:p w14:paraId="18498186" w14:textId="77777777" w:rsidR="00711444" w:rsidRPr="004D0DAA" w:rsidRDefault="00711444" w:rsidP="00711444"/>
    <w:p w14:paraId="56FAA860" w14:textId="77777777" w:rsidR="00711444" w:rsidRPr="004D0DAA" w:rsidRDefault="00711444" w:rsidP="00711444">
      <w:pPr>
        <w:pStyle w:val="TH"/>
      </w:pPr>
      <w:r w:rsidRPr="004D0DAA">
        <w:t>Table 11.2.9c.2: Packet MOBILE TBF STATUS information element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33A8A94" w14:textId="77777777" w:rsidTr="00AA2A4C">
        <w:tblPrEx>
          <w:tblCellMar>
            <w:top w:w="0" w:type="dxa"/>
            <w:bottom w:w="0" w:type="dxa"/>
          </w:tblCellMar>
        </w:tblPrEx>
        <w:trPr>
          <w:cantSplit/>
        </w:trPr>
        <w:tc>
          <w:tcPr>
            <w:tcW w:w="9848" w:type="dxa"/>
          </w:tcPr>
          <w:p w14:paraId="691A5BA4" w14:textId="77777777" w:rsidR="00711444" w:rsidRPr="004D0DAA" w:rsidRDefault="00711444" w:rsidP="00AA2A4C">
            <w:pPr>
              <w:rPr>
                <w:b/>
              </w:rPr>
            </w:pPr>
            <w:r w:rsidRPr="004D0DAA">
              <w:rPr>
                <w:b/>
              </w:rPr>
              <w:t>Global TFI IE</w:t>
            </w:r>
            <w:r w:rsidRPr="004D0DAA">
              <w:br/>
              <w:t>This information element contains the TFI of the mobile station's downlink TBF or uplink TBF. This field is defined in sub-clause 12.10.</w:t>
            </w:r>
          </w:p>
        </w:tc>
      </w:tr>
      <w:tr w:rsidR="00711444" w:rsidRPr="004D0DAA" w14:paraId="070D7804" w14:textId="77777777" w:rsidTr="00AA2A4C">
        <w:tblPrEx>
          <w:tblCellMar>
            <w:top w:w="0" w:type="dxa"/>
            <w:bottom w:w="0" w:type="dxa"/>
          </w:tblCellMar>
        </w:tblPrEx>
        <w:trPr>
          <w:cantSplit/>
        </w:trPr>
        <w:tc>
          <w:tcPr>
            <w:tcW w:w="9848" w:type="dxa"/>
          </w:tcPr>
          <w:p w14:paraId="67E32E19" w14:textId="77777777" w:rsidR="00711444" w:rsidRPr="004D0DAA" w:rsidRDefault="00711444" w:rsidP="00AA2A4C">
            <w:r w:rsidRPr="004D0DAA">
              <w:rPr>
                <w:b/>
              </w:rPr>
              <w:lastRenderedPageBreak/>
              <w:t>TBF_CAUSE</w:t>
            </w:r>
            <w:r w:rsidRPr="004D0DAA">
              <w:t xml:space="preserve"> (3 bit field)</w:t>
            </w:r>
            <w:r w:rsidRPr="004D0DAA">
              <w:br/>
              <w:t>The TBF_CAUSE field indicates the error cause value of the current TBF. This field is encoded according to the following table:</w:t>
            </w:r>
          </w:p>
          <w:p w14:paraId="116C6939" w14:textId="77777777" w:rsidR="00711444" w:rsidRPr="004D0DAA" w:rsidRDefault="00711444" w:rsidP="00AA2A4C">
            <w:pPr>
              <w:tabs>
                <w:tab w:val="left" w:pos="851"/>
              </w:tabs>
              <w:rPr>
                <w:b/>
              </w:rPr>
            </w:pPr>
            <w:r w:rsidRPr="004D0DAA">
              <w:t>Bit</w:t>
            </w:r>
            <w:r w:rsidRPr="004D0DAA">
              <w:br/>
              <w:t>3 2 1</w:t>
            </w:r>
            <w:r w:rsidRPr="004D0DAA">
              <w:br/>
              <w:t>0 0 0</w:t>
            </w:r>
            <w:r w:rsidRPr="004D0DAA">
              <w:tab/>
              <w:t xml:space="preserve">Normal event; </w:t>
            </w:r>
            <w:r w:rsidRPr="004D0DAA">
              <w:br/>
              <w:t>0 0 1</w:t>
            </w:r>
            <w:r w:rsidRPr="004D0DAA">
              <w:tab/>
              <w:t xml:space="preserve">Status, unspecified; </w:t>
            </w:r>
            <w:r w:rsidRPr="004D0DAA">
              <w:br/>
              <w:t>0 1 0</w:t>
            </w:r>
            <w:r w:rsidRPr="004D0DAA">
              <w:tab/>
              <w:t xml:space="preserve">Syntactically incorrect message, non-distribution part error; </w:t>
            </w:r>
            <w:r w:rsidRPr="004D0DAA">
              <w:br/>
              <w:t>0 1 1</w:t>
            </w:r>
            <w:r w:rsidRPr="004D0DAA">
              <w:tab/>
              <w:t xml:space="preserve">Syntactically incorrect message, message escape; </w:t>
            </w:r>
            <w:r w:rsidRPr="004D0DAA">
              <w:br/>
              <w:t>1 0 0</w:t>
            </w:r>
            <w:r w:rsidRPr="004D0DAA">
              <w:tab/>
              <w:t>Message not compatible with current protocol state.</w:t>
            </w:r>
            <w:r w:rsidRPr="004D0DAA">
              <w:br/>
              <w:t>All other values are reserved and may be interpreted "Status, unspecified".</w:t>
            </w:r>
          </w:p>
        </w:tc>
      </w:tr>
      <w:tr w:rsidR="00711444" w:rsidRPr="004D0DAA" w14:paraId="6D191D61" w14:textId="77777777" w:rsidTr="00AA2A4C">
        <w:tblPrEx>
          <w:tblCellMar>
            <w:top w:w="0" w:type="dxa"/>
            <w:bottom w:w="0" w:type="dxa"/>
          </w:tblCellMar>
        </w:tblPrEx>
        <w:trPr>
          <w:cantSplit/>
        </w:trPr>
        <w:tc>
          <w:tcPr>
            <w:tcW w:w="9848" w:type="dxa"/>
          </w:tcPr>
          <w:p w14:paraId="2AC1EFCC" w14:textId="77777777" w:rsidR="00711444" w:rsidRPr="004D0DAA" w:rsidRDefault="00711444" w:rsidP="00AA2A4C">
            <w:r w:rsidRPr="004D0DAA">
              <w:rPr>
                <w:b/>
              </w:rPr>
              <w:t>STATUS_MESSAGE_TYPE</w:t>
            </w:r>
            <w:r w:rsidRPr="004D0DAA">
              <w:t xml:space="preserve"> (6 bit field)</w:t>
            </w:r>
            <w:r w:rsidRPr="004D0DAA">
              <w:br/>
              <w:t>The STATUS_MESSAGE_TYPE field, if present, is the binary representation of the message type of the downlink RLC/MAC control message that caused the status condition. Message type values are defined in sub-clause 11.2.0.1.</w:t>
            </w:r>
          </w:p>
        </w:tc>
      </w:tr>
      <w:tr w:rsidR="00711444" w:rsidRPr="004D0DAA" w14:paraId="5D3411CC" w14:textId="77777777" w:rsidTr="00AA2A4C">
        <w:tblPrEx>
          <w:tblCellMar>
            <w:top w:w="0" w:type="dxa"/>
            <w:bottom w:w="0" w:type="dxa"/>
          </w:tblCellMar>
        </w:tblPrEx>
        <w:trPr>
          <w:cantSplit/>
        </w:trPr>
        <w:tc>
          <w:tcPr>
            <w:tcW w:w="9848" w:type="dxa"/>
          </w:tcPr>
          <w:p w14:paraId="7788FBE2" w14:textId="77777777" w:rsidR="00711444" w:rsidRPr="004D0DAA" w:rsidRDefault="00711444" w:rsidP="00AA2A4C">
            <w:pPr>
              <w:rPr>
                <w:b/>
              </w:rPr>
            </w:pPr>
            <w:r w:rsidRPr="004D0DAA">
              <w:rPr>
                <w:b/>
              </w:rPr>
              <w:t xml:space="preserve">DOWNLINK_eTFI </w:t>
            </w:r>
            <w:r w:rsidRPr="004D0DAA">
              <w:t>(3 bit field)</w:t>
            </w:r>
            <w:r w:rsidRPr="004D0DAA">
              <w:br/>
              <w:t>See sub-clause 11.2.48</w:t>
            </w:r>
          </w:p>
        </w:tc>
      </w:tr>
    </w:tbl>
    <w:p w14:paraId="319BB353" w14:textId="77777777" w:rsidR="00711444" w:rsidRPr="004D0DAA" w:rsidRDefault="00711444" w:rsidP="00711444"/>
    <w:p w14:paraId="3D3B466D" w14:textId="77777777" w:rsidR="00711444" w:rsidRPr="004D0DAA" w:rsidRDefault="00711444" w:rsidP="00711444">
      <w:pPr>
        <w:pStyle w:val="Heading3"/>
      </w:pPr>
      <w:bookmarkStart w:id="673" w:name="_Toc516669849"/>
      <w:r w:rsidRPr="004D0DAA">
        <w:t>11.2.9d</w:t>
      </w:r>
      <w:r w:rsidRPr="004D0DAA">
        <w:tab/>
        <w:t>Packet Enhanced Measurement Report</w:t>
      </w:r>
      <w:bookmarkEnd w:id="673"/>
    </w:p>
    <w:p w14:paraId="2609A42F" w14:textId="77777777" w:rsidR="00711444" w:rsidRPr="004D0DAA" w:rsidRDefault="00711444" w:rsidP="00711444">
      <w:r w:rsidRPr="004D0DAA">
        <w:t>This message is sent either on the PACCH if in packet transfer mode or on an assigned block on a PDTCH, from the mobile station to the network to report enhanced measurement results. The message contains measurement results from the Network Control measurements.</w:t>
      </w:r>
    </w:p>
    <w:p w14:paraId="5AEC57B8" w14:textId="77777777" w:rsidR="00711444" w:rsidRPr="004D0DAA" w:rsidRDefault="00711444" w:rsidP="00711444">
      <w:pPr>
        <w:pStyle w:val="EX"/>
      </w:pPr>
      <w:r w:rsidRPr="004D0DAA">
        <w:t>Message type:</w:t>
      </w:r>
      <w:r w:rsidRPr="004D0DAA">
        <w:tab/>
        <w:t>PACKET ENHANCED MEASUREMENT REPORT</w:t>
      </w:r>
    </w:p>
    <w:p w14:paraId="37EE13F9" w14:textId="77777777" w:rsidR="00711444" w:rsidRPr="004D0DAA" w:rsidRDefault="00711444" w:rsidP="00711444">
      <w:pPr>
        <w:pStyle w:val="EX"/>
      </w:pPr>
      <w:r w:rsidRPr="004D0DAA">
        <w:t>Direction:</w:t>
      </w:r>
      <w:r w:rsidRPr="004D0DAA">
        <w:tab/>
        <w:t>mobile station to network</w:t>
      </w:r>
    </w:p>
    <w:p w14:paraId="43810109" w14:textId="77777777" w:rsidR="00711444" w:rsidRPr="004D0DAA" w:rsidRDefault="00711444" w:rsidP="00711444">
      <w:pPr>
        <w:pStyle w:val="TH"/>
      </w:pPr>
      <w:r w:rsidRPr="004D0DAA">
        <w:lastRenderedPageBreak/>
        <w:t>Table 11.2.9d.1: PACKET ENHANCED MEASUREMENT REPORT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A59B997" w14:textId="77777777" w:rsidTr="00AA2A4C">
        <w:tblPrEx>
          <w:tblCellMar>
            <w:top w:w="0" w:type="dxa"/>
            <w:bottom w:w="0" w:type="dxa"/>
          </w:tblCellMar>
        </w:tblPrEx>
        <w:trPr>
          <w:cantSplit/>
        </w:trPr>
        <w:tc>
          <w:tcPr>
            <w:tcW w:w="9848" w:type="dxa"/>
          </w:tcPr>
          <w:p w14:paraId="47119E58" w14:textId="77777777" w:rsidR="00711444" w:rsidRPr="004D0DAA" w:rsidRDefault="00711444" w:rsidP="00AA2A4C">
            <w:pPr>
              <w:pStyle w:val="TAL"/>
              <w:rPr>
                <w:lang w:eastAsia="en-US"/>
              </w:rPr>
            </w:pPr>
            <w:r w:rsidRPr="004D0DAA">
              <w:rPr>
                <w:lang w:eastAsia="en-US"/>
              </w:rPr>
              <w:t>&lt; PACKET ENHANCED MEASUREMENT REPORT message content &gt; ::=</w:t>
            </w:r>
          </w:p>
          <w:p w14:paraId="09F47B4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 / G-RNTI</w:t>
            </w:r>
            <w:r w:rsidRPr="004D0DAA">
              <w:rPr>
                <w:lang w:eastAsia="en-US"/>
              </w:rPr>
              <w:t xml:space="preserve"> : bit (32) &gt;</w:t>
            </w:r>
          </w:p>
          <w:p w14:paraId="0329F617"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NC Measurement Report</w:t>
            </w:r>
            <w:r w:rsidRPr="004D0DAA">
              <w:rPr>
                <w:lang w:eastAsia="en-US"/>
              </w:rPr>
              <w:t xml:space="preserve"> : &lt; NC Measurement Report struct &gt; &gt; }</w:t>
            </w:r>
          </w:p>
          <w:p w14:paraId="7BD272AB" w14:textId="77777777" w:rsidR="00711444" w:rsidRPr="004D0DAA" w:rsidRDefault="00711444" w:rsidP="00AA2A4C">
            <w:pPr>
              <w:pStyle w:val="TAL"/>
              <w:rPr>
                <w:i/>
                <w:iCs/>
                <w:lang w:eastAsia="en-US"/>
              </w:rPr>
            </w:pPr>
            <w:r w:rsidRPr="004D0DAA">
              <w:rPr>
                <w:lang w:eastAsia="en-US"/>
              </w:rPr>
              <w:tab/>
              <w:t>{ null | 0</w:t>
            </w:r>
            <w:r w:rsidRPr="004D0DAA">
              <w:rPr>
                <w:lang w:eastAsia="en-US"/>
              </w:rPr>
              <w:tab/>
              <w:t>bit ** = &lt; no string &gt;</w:t>
            </w:r>
            <w:r w:rsidRPr="004D0DAA">
              <w:rPr>
                <w:lang w:eastAsia="en-US"/>
              </w:rPr>
              <w:tab/>
              <w:t xml:space="preserve">-- </w:t>
            </w:r>
            <w:r w:rsidRPr="004D0DAA">
              <w:rPr>
                <w:i/>
                <w:iCs/>
                <w:lang w:eastAsia="en-US"/>
              </w:rPr>
              <w:t>Receiver compatible with earlier release</w:t>
            </w:r>
          </w:p>
          <w:p w14:paraId="538611AB"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5960AE27" w14:textId="77777777" w:rsidR="00711444" w:rsidRPr="004D0DAA" w:rsidRDefault="00711444" w:rsidP="00AA2A4C">
            <w:pPr>
              <w:pStyle w:val="TAL"/>
              <w:rPr>
                <w:i/>
                <w:iCs/>
                <w:lang w:eastAsia="en-US"/>
              </w:rPr>
            </w:pPr>
            <w:r w:rsidRPr="004D0DAA">
              <w:rPr>
                <w:iCs/>
                <w:lang w:eastAsia="en-US"/>
              </w:rPr>
              <w:tab/>
            </w:r>
            <w:r w:rsidRPr="004D0DAA">
              <w:rPr>
                <w:iCs/>
                <w:lang w:eastAsia="en-US"/>
              </w:rPr>
              <w:tab/>
            </w:r>
            <w:r w:rsidRPr="004D0DAA">
              <w:rPr>
                <w:lang w:eastAsia="en-US"/>
              </w:rPr>
              <w:t>{ null | 0</w:t>
            </w:r>
            <w:r w:rsidRPr="004D0DAA">
              <w:rPr>
                <w:lang w:eastAsia="en-US"/>
              </w:rPr>
              <w:tab/>
              <w:t>bit ** = &lt; no string &gt;</w:t>
            </w:r>
            <w:r w:rsidRPr="004D0DAA">
              <w:rPr>
                <w:lang w:eastAsia="en-US"/>
              </w:rPr>
              <w:tab/>
              <w:t xml:space="preserve">-- </w:t>
            </w:r>
            <w:r w:rsidRPr="004D0DAA">
              <w:rPr>
                <w:i/>
                <w:iCs/>
                <w:lang w:eastAsia="en-US"/>
              </w:rPr>
              <w:t>Receiver compatible with earlier release</w:t>
            </w:r>
          </w:p>
          <w:p w14:paraId="6D05F09F"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Rel-8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BITMAP_LENGTH</w:t>
            </w:r>
            <w:r w:rsidRPr="004D0DAA">
              <w:rPr>
                <w:lang w:eastAsia="en-US"/>
              </w:rPr>
              <w:t xml:space="preserve"> : bit(7) &gt;</w:t>
            </w:r>
          </w:p>
          <w:p w14:paraId="17ECF78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REPORTING_QUANTITY</w:t>
            </w:r>
            <w:r w:rsidRPr="004D0DAA">
              <w:rPr>
                <w:lang w:eastAsia="en-US"/>
              </w:rPr>
              <w:t xml:space="preserve"> : bit (6) &gt; } * (val(BITMAP_LENGTH + 1 ) ) </w:t>
            </w:r>
          </w:p>
          <w:p w14:paraId="78E0C1F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E-UTRAN Measurement Report</w:t>
            </w:r>
            <w:r w:rsidRPr="004D0DAA">
              <w:rPr>
                <w:lang w:eastAsia="en-US"/>
              </w:rPr>
              <w:t xml:space="preserve"> : &lt; E-UTRAN Measurement Report struct &gt; &gt; }</w:t>
            </w:r>
          </w:p>
          <w:p w14:paraId="617D3AD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1C46AFA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Rel-9 :</w:t>
            </w:r>
          </w:p>
          <w:p w14:paraId="5ECD95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UTRAN</w:t>
            </w:r>
            <w:r w:rsidRPr="004D0DAA">
              <w:rPr>
                <w:lang w:eastAsia="en-US"/>
              </w:rPr>
              <w:t xml:space="preserve"> </w:t>
            </w:r>
            <w:r w:rsidRPr="004D0DAA">
              <w:rPr>
                <w:b/>
                <w:lang w:eastAsia="en-US"/>
              </w:rPr>
              <w:t xml:space="preserve">CSG Measurement Report </w:t>
            </w:r>
            <w:r w:rsidRPr="004D0DAA">
              <w:rPr>
                <w:lang w:eastAsia="en-US"/>
              </w:rPr>
              <w:t>: &lt; UTRAN CSG Measurement Report IE &gt; &gt; }</w:t>
            </w:r>
          </w:p>
          <w:p w14:paraId="0FE5799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E-UTRAN</w:t>
            </w:r>
            <w:r w:rsidRPr="004D0DAA">
              <w:rPr>
                <w:lang w:eastAsia="en-US"/>
              </w:rPr>
              <w:t xml:space="preserve"> </w:t>
            </w:r>
            <w:r w:rsidRPr="004D0DAA">
              <w:rPr>
                <w:b/>
                <w:lang w:eastAsia="en-US"/>
              </w:rPr>
              <w:t xml:space="preserve">CSG Measurement Report </w:t>
            </w:r>
            <w:r w:rsidRPr="004D0DAA">
              <w:rPr>
                <w:lang w:eastAsia="en-US"/>
              </w:rPr>
              <w:t>: &lt; E-UTRAN CSG Measurement Report IE &gt; &gt; }</w:t>
            </w:r>
          </w:p>
          <w:p w14:paraId="7175C4A1"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lang w:eastAsia="en-US"/>
              </w:rPr>
              <w:t>Receiver compatible with earlier release</w:t>
            </w:r>
          </w:p>
          <w:p w14:paraId="4E05589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Rel-11 :</w:t>
            </w:r>
          </w:p>
          <w:p w14:paraId="3E24555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SI23_BA_USED</w:t>
            </w:r>
            <w:r w:rsidRPr="004D0DAA">
              <w:rPr>
                <w:lang w:eastAsia="en-US"/>
              </w:rPr>
              <w:t xml:space="preserve"> : bit &gt;</w:t>
            </w:r>
          </w:p>
          <w:p w14:paraId="12EA1B09" w14:textId="77777777" w:rsidR="00711444" w:rsidRPr="004D0DAA" w:rsidRDefault="00711444" w:rsidP="00AA2A4C">
            <w:pPr>
              <w:pStyle w:val="TAL"/>
              <w:rPr>
                <w:lang w:eastAsia="en-US"/>
              </w:rPr>
            </w:pPr>
            <w:r w:rsidRPr="004D0DAA">
              <w:rPr>
                <w:lang w:eastAsia="en-US"/>
              </w:rPr>
              <w:tab/>
            </w:r>
            <w:r w:rsidRPr="004D0DAA">
              <w:rPr>
                <w:lang w:eastAsia="en-US"/>
              </w:rPr>
              <w:tab/>
              <w:t>&lt; padding bits &gt; } } } } ;</w:t>
            </w:r>
          </w:p>
          <w:p w14:paraId="3A1BDF7E" w14:textId="77777777" w:rsidR="00711444" w:rsidRPr="004D0DAA" w:rsidRDefault="00711444" w:rsidP="00AA2A4C">
            <w:pPr>
              <w:pStyle w:val="TAL"/>
              <w:rPr>
                <w:lang w:eastAsia="en-US"/>
              </w:rPr>
            </w:pPr>
          </w:p>
        </w:tc>
      </w:tr>
      <w:tr w:rsidR="00711444" w:rsidRPr="004D0DAA" w14:paraId="44DF551F" w14:textId="77777777" w:rsidTr="00AA2A4C">
        <w:tblPrEx>
          <w:tblCellMar>
            <w:top w:w="0" w:type="dxa"/>
            <w:bottom w:w="0" w:type="dxa"/>
          </w:tblCellMar>
        </w:tblPrEx>
        <w:trPr>
          <w:cantSplit/>
        </w:trPr>
        <w:tc>
          <w:tcPr>
            <w:tcW w:w="9848" w:type="dxa"/>
          </w:tcPr>
          <w:p w14:paraId="3F31C75F" w14:textId="77777777" w:rsidR="00711444" w:rsidRPr="004D0DAA" w:rsidRDefault="00711444" w:rsidP="00AA2A4C">
            <w:pPr>
              <w:pStyle w:val="TAL"/>
              <w:rPr>
                <w:lang w:eastAsia="en-US"/>
              </w:rPr>
            </w:pPr>
            <w:r w:rsidRPr="004D0DAA">
              <w:rPr>
                <w:lang w:eastAsia="en-US"/>
              </w:rPr>
              <w:t>&lt; NC Measurement Report struct &gt; ::=</w:t>
            </w:r>
          </w:p>
          <w:p w14:paraId="73BA6877" w14:textId="77777777" w:rsidR="00711444" w:rsidRPr="004D0DAA" w:rsidRDefault="00711444" w:rsidP="00AA2A4C">
            <w:pPr>
              <w:pStyle w:val="TAL"/>
              <w:rPr>
                <w:lang w:eastAsia="en-US"/>
              </w:rPr>
            </w:pPr>
            <w:r w:rsidRPr="004D0DAA">
              <w:rPr>
                <w:lang w:eastAsia="en-US"/>
              </w:rPr>
              <w:t xml:space="preserve">&lt; </w:t>
            </w:r>
            <w:r w:rsidRPr="004D0DAA">
              <w:rPr>
                <w:b/>
                <w:lang w:eastAsia="en-US"/>
              </w:rPr>
              <w:t>NC_MODE</w:t>
            </w:r>
            <w:r w:rsidRPr="004D0DAA">
              <w:rPr>
                <w:lang w:eastAsia="en-US"/>
              </w:rPr>
              <w:t xml:space="preserve"> : bit (1) &gt;</w:t>
            </w:r>
            <w:r w:rsidRPr="004D0DAA">
              <w:rPr>
                <w:lang w:eastAsia="en-US"/>
              </w:rPr>
              <w:br/>
              <w:t xml:space="preserve">{ 0 &lt; </w:t>
            </w:r>
            <w:r w:rsidRPr="004D0DAA">
              <w:rPr>
                <w:b/>
                <w:lang w:eastAsia="en-US"/>
              </w:rPr>
              <w:t>BA_USED</w:t>
            </w:r>
            <w:r w:rsidRPr="004D0DAA">
              <w:rPr>
                <w:lang w:eastAsia="en-US"/>
              </w:rPr>
              <w:t xml:space="preserve"> : bit &gt; &lt; </w:t>
            </w:r>
            <w:r w:rsidRPr="004D0DAA">
              <w:rPr>
                <w:b/>
                <w:lang w:eastAsia="en-US"/>
              </w:rPr>
              <w:t>3G_BA_USED</w:t>
            </w:r>
            <w:r w:rsidRPr="004D0DAA">
              <w:rPr>
                <w:lang w:eastAsia="en-US"/>
              </w:rPr>
              <w:t xml:space="preserve"> : bit &gt; </w:t>
            </w:r>
          </w:p>
          <w:p w14:paraId="51469F15" w14:textId="77777777" w:rsidR="00711444" w:rsidRPr="004D0DAA" w:rsidRDefault="00711444" w:rsidP="00AA2A4C">
            <w:pPr>
              <w:pStyle w:val="TAL"/>
              <w:rPr>
                <w:lang w:eastAsia="en-US"/>
              </w:rPr>
            </w:pPr>
            <w:r w:rsidRPr="004D0DAA">
              <w:rPr>
                <w:lang w:eastAsia="en-US"/>
              </w:rPr>
              <w:t xml:space="preserve">| 1 &lt; </w:t>
            </w:r>
            <w:r w:rsidRPr="004D0DAA">
              <w:rPr>
                <w:b/>
                <w:lang w:eastAsia="en-US"/>
              </w:rPr>
              <w:t>PSI3_CHANGE_MARK</w:t>
            </w:r>
            <w:r w:rsidRPr="004D0DAA">
              <w:rPr>
                <w:lang w:eastAsia="en-US"/>
              </w:rPr>
              <w:t xml:space="preserve"> : bit(2) &gt; }</w:t>
            </w:r>
            <w:r w:rsidRPr="004D0DAA">
              <w:rPr>
                <w:lang w:eastAsia="en-US"/>
              </w:rPr>
              <w:br/>
              <w:t xml:space="preserve">&lt; </w:t>
            </w:r>
            <w:r w:rsidRPr="004D0DAA">
              <w:rPr>
                <w:b/>
                <w:lang w:eastAsia="en-US"/>
              </w:rPr>
              <w:t>PMO_USED</w:t>
            </w:r>
            <w:r w:rsidRPr="004D0DAA">
              <w:rPr>
                <w:lang w:eastAsia="en-US"/>
              </w:rPr>
              <w:t xml:space="preserve"> : bit &gt; </w:t>
            </w:r>
            <w:r w:rsidRPr="004D0DAA">
              <w:rPr>
                <w:lang w:eastAsia="en-US"/>
              </w:rPr>
              <w:br/>
              <w:t xml:space="preserve">&lt; </w:t>
            </w:r>
            <w:r w:rsidRPr="004D0DAA">
              <w:rPr>
                <w:b/>
                <w:lang w:eastAsia="en-US"/>
              </w:rPr>
              <w:t>BSIC_Seen</w:t>
            </w:r>
            <w:r w:rsidRPr="004D0DAA">
              <w:rPr>
                <w:lang w:eastAsia="en-US"/>
              </w:rPr>
              <w:t> : bit &gt;</w:t>
            </w:r>
            <w:r w:rsidRPr="004D0DAA">
              <w:rPr>
                <w:lang w:eastAsia="en-US"/>
              </w:rPr>
              <w:br/>
              <w:t xml:space="preserve">&lt; </w:t>
            </w:r>
            <w:r w:rsidRPr="004D0DAA">
              <w:rPr>
                <w:b/>
                <w:lang w:eastAsia="en-US"/>
              </w:rPr>
              <w:t>SCALE</w:t>
            </w:r>
            <w:r w:rsidRPr="004D0DAA">
              <w:rPr>
                <w:lang w:eastAsia="en-US"/>
              </w:rPr>
              <w:t xml:space="preserve"> : bit &gt;</w:t>
            </w:r>
            <w:r w:rsidRPr="004D0DAA">
              <w:rPr>
                <w:lang w:eastAsia="en-US"/>
              </w:rPr>
              <w:br/>
              <w:t xml:space="preserve">{ 0 | 1 &lt; </w:t>
            </w:r>
            <w:r w:rsidRPr="004D0DAA">
              <w:rPr>
                <w:b/>
                <w:lang w:eastAsia="en-US"/>
              </w:rPr>
              <w:t>Serving cell data</w:t>
            </w:r>
            <w:r w:rsidRPr="004D0DAA">
              <w:rPr>
                <w:lang w:eastAsia="en-US"/>
              </w:rPr>
              <w:t xml:space="preserve"> : &lt; Serving cell data struct &gt;&gt; }</w:t>
            </w:r>
          </w:p>
          <w:p w14:paraId="1D51BA3A" w14:textId="77777777" w:rsidR="00711444" w:rsidRPr="004D0DAA" w:rsidRDefault="00711444" w:rsidP="00AA2A4C">
            <w:pPr>
              <w:pStyle w:val="TAL"/>
              <w:rPr>
                <w:lang w:eastAsia="en-US"/>
              </w:rPr>
            </w:pPr>
            <w:r w:rsidRPr="004D0DAA">
              <w:rPr>
                <w:lang w:eastAsia="en-US"/>
              </w:rPr>
              <w:t xml:space="preserve">{ 1 &lt; </w:t>
            </w:r>
            <w:r w:rsidRPr="004D0DAA">
              <w:rPr>
                <w:b/>
                <w:lang w:eastAsia="en-US"/>
              </w:rPr>
              <w:t>Repeated Invalid_BSIC_Information</w:t>
            </w:r>
            <w:r w:rsidRPr="004D0DAA">
              <w:rPr>
                <w:lang w:eastAsia="en-US"/>
              </w:rPr>
              <w:t xml:space="preserve"> : &lt; Repeated Invalid_BSIC_Information struct &gt;&gt; } ** 0</w:t>
            </w:r>
            <w:r w:rsidRPr="004D0DAA">
              <w:rPr>
                <w:lang w:eastAsia="en-US"/>
              </w:rPr>
              <w:br/>
              <w:t xml:space="preserve">{ 0 | 1 { 0 | 1 &lt; </w:t>
            </w:r>
            <w:r w:rsidRPr="004D0DAA">
              <w:rPr>
                <w:b/>
                <w:lang w:eastAsia="en-US"/>
              </w:rPr>
              <w:t>REPORTING_QUANTITY</w:t>
            </w:r>
            <w:r w:rsidRPr="004D0DAA">
              <w:rPr>
                <w:lang w:eastAsia="en-US"/>
              </w:rPr>
              <w:t> : bit (6) &gt; } ** }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bitmap type reporting</w:t>
            </w:r>
          </w:p>
          <w:p w14:paraId="6362157D" w14:textId="77777777" w:rsidR="00711444" w:rsidRPr="004D0DAA" w:rsidRDefault="00711444" w:rsidP="00AA2A4C">
            <w:pPr>
              <w:pStyle w:val="TAL"/>
              <w:rPr>
                <w:lang w:eastAsia="en-US"/>
              </w:rPr>
            </w:pPr>
          </w:p>
        </w:tc>
      </w:tr>
      <w:tr w:rsidR="00711444" w:rsidRPr="004D0DAA" w14:paraId="3C3DF4F9" w14:textId="77777777" w:rsidTr="00AA2A4C">
        <w:tblPrEx>
          <w:tblCellMar>
            <w:top w:w="0" w:type="dxa"/>
            <w:bottom w:w="0" w:type="dxa"/>
          </w:tblCellMar>
        </w:tblPrEx>
        <w:trPr>
          <w:cantSplit/>
        </w:trPr>
        <w:tc>
          <w:tcPr>
            <w:tcW w:w="9848" w:type="dxa"/>
          </w:tcPr>
          <w:p w14:paraId="46D151A4" w14:textId="77777777" w:rsidR="00711444" w:rsidRPr="004D0DAA" w:rsidRDefault="00711444" w:rsidP="00AA2A4C">
            <w:pPr>
              <w:pStyle w:val="TAL"/>
              <w:rPr>
                <w:lang w:eastAsia="en-US"/>
              </w:rPr>
            </w:pPr>
            <w:r w:rsidRPr="004D0DAA">
              <w:rPr>
                <w:lang w:eastAsia="en-US"/>
              </w:rPr>
              <w:t>&lt; Serving cell data struct &gt; ::=</w:t>
            </w:r>
          </w:p>
          <w:p w14:paraId="6735D013" w14:textId="77777777" w:rsidR="00711444" w:rsidRPr="004D0DAA" w:rsidRDefault="00711444" w:rsidP="00AA2A4C">
            <w:pPr>
              <w:pStyle w:val="TAL"/>
              <w:rPr>
                <w:lang w:eastAsia="en-US"/>
              </w:rPr>
            </w:pPr>
            <w:r w:rsidRPr="004D0DAA">
              <w:rPr>
                <w:lang w:eastAsia="en-US"/>
              </w:rPr>
              <w:t xml:space="preserve">&lt; </w:t>
            </w:r>
            <w:r w:rsidRPr="004D0DAA">
              <w:rPr>
                <w:b/>
                <w:lang w:eastAsia="en-US"/>
              </w:rPr>
              <w:t>RXLEV_SERVING_CELL</w:t>
            </w:r>
            <w:r w:rsidRPr="004D0DAA">
              <w:rPr>
                <w:lang w:eastAsia="en-US"/>
              </w:rPr>
              <w:t xml:space="preserve"> : bit (6) &gt;</w:t>
            </w:r>
          </w:p>
          <w:p w14:paraId="167C5E65" w14:textId="77777777" w:rsidR="00711444" w:rsidRPr="004D0DAA" w:rsidRDefault="00711444" w:rsidP="00AA2A4C">
            <w:pPr>
              <w:pStyle w:val="TAL"/>
              <w:rPr>
                <w:lang w:eastAsia="en-US"/>
              </w:rPr>
            </w:pPr>
            <w:r w:rsidRPr="004D0DAA">
              <w:rPr>
                <w:lang w:eastAsia="en-US"/>
              </w:rPr>
              <w:t>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r w:rsidRPr="004D0DAA">
              <w:rPr>
                <w:lang w:eastAsia="en-US"/>
              </w:rPr>
              <w:br/>
            </w:r>
          </w:p>
        </w:tc>
      </w:tr>
      <w:tr w:rsidR="00711444" w:rsidRPr="004D0DAA" w14:paraId="0F37ACFA" w14:textId="77777777" w:rsidTr="00AA2A4C">
        <w:tblPrEx>
          <w:tblCellMar>
            <w:top w:w="0" w:type="dxa"/>
            <w:bottom w:w="0" w:type="dxa"/>
          </w:tblCellMar>
        </w:tblPrEx>
        <w:trPr>
          <w:cantSplit/>
        </w:trPr>
        <w:tc>
          <w:tcPr>
            <w:tcW w:w="9848" w:type="dxa"/>
          </w:tcPr>
          <w:p w14:paraId="2FEBDBB6" w14:textId="77777777" w:rsidR="00711444" w:rsidRPr="004D0DAA" w:rsidRDefault="00711444" w:rsidP="00AA2A4C">
            <w:pPr>
              <w:pStyle w:val="TAL"/>
              <w:rPr>
                <w:lang w:eastAsia="en-US"/>
              </w:rPr>
            </w:pPr>
            <w:r w:rsidRPr="004D0DAA">
              <w:rPr>
                <w:lang w:eastAsia="en-US"/>
              </w:rPr>
              <w:t>&lt; Repeated Invalid_BSIC_Information struct &gt; ::=</w:t>
            </w:r>
            <w:r w:rsidRPr="004D0DAA">
              <w:rPr>
                <w:lang w:eastAsia="en-US"/>
              </w:rPr>
              <w:br/>
              <w:t xml:space="preserve">&lt; </w:t>
            </w:r>
            <w:r w:rsidRPr="004D0DAA">
              <w:rPr>
                <w:b/>
                <w:lang w:eastAsia="en-US"/>
              </w:rPr>
              <w:t>BCCH-FREQ-NCELL</w:t>
            </w:r>
            <w:r w:rsidRPr="004D0DAA">
              <w:rPr>
                <w:lang w:eastAsia="en-US"/>
              </w:rPr>
              <w:t xml:space="preserve"> : bit (5) &gt;</w:t>
            </w:r>
            <w:r w:rsidRPr="004D0DAA">
              <w:rPr>
                <w:lang w:eastAsia="en-US"/>
              </w:rPr>
              <w:br/>
              <w:t xml:space="preserve">&lt; </w:t>
            </w:r>
            <w:r w:rsidRPr="004D0DAA">
              <w:rPr>
                <w:b/>
                <w:lang w:eastAsia="en-US"/>
              </w:rPr>
              <w:t>BSIC</w:t>
            </w:r>
            <w:r w:rsidRPr="004D0DAA">
              <w:rPr>
                <w:lang w:eastAsia="en-US"/>
              </w:rPr>
              <w:t> : bit (6) &gt;</w:t>
            </w:r>
            <w:r w:rsidRPr="004D0DAA">
              <w:rPr>
                <w:lang w:eastAsia="en-US"/>
              </w:rPr>
              <w:br/>
              <w:t xml:space="preserve">&lt; </w:t>
            </w:r>
            <w:r w:rsidRPr="004D0DAA">
              <w:rPr>
                <w:b/>
                <w:lang w:eastAsia="en-US"/>
              </w:rPr>
              <w:t>RXLEV-NCELL</w:t>
            </w:r>
            <w:r w:rsidRPr="004D0DAA">
              <w:rPr>
                <w:lang w:eastAsia="en-US"/>
              </w:rPr>
              <w:t> : bit (6) &gt; ;</w:t>
            </w:r>
          </w:p>
          <w:p w14:paraId="06589423" w14:textId="77777777" w:rsidR="00711444" w:rsidRPr="004D0DAA" w:rsidRDefault="00711444" w:rsidP="00AA2A4C">
            <w:pPr>
              <w:pStyle w:val="TAL"/>
              <w:rPr>
                <w:lang w:eastAsia="en-US"/>
              </w:rPr>
            </w:pPr>
          </w:p>
        </w:tc>
      </w:tr>
      <w:tr w:rsidR="00711444" w:rsidRPr="004D0DAA" w14:paraId="2BB328E3" w14:textId="77777777" w:rsidTr="00AA2A4C">
        <w:tblPrEx>
          <w:tblCellMar>
            <w:top w:w="0" w:type="dxa"/>
            <w:bottom w:w="0" w:type="dxa"/>
          </w:tblCellMar>
        </w:tblPrEx>
        <w:trPr>
          <w:cantSplit/>
        </w:trPr>
        <w:tc>
          <w:tcPr>
            <w:tcW w:w="9848" w:type="dxa"/>
          </w:tcPr>
          <w:p w14:paraId="65F3B761" w14:textId="77777777" w:rsidR="00711444" w:rsidRPr="004D0DAA" w:rsidRDefault="00711444" w:rsidP="00AA2A4C">
            <w:pPr>
              <w:pStyle w:val="TAL"/>
              <w:rPr>
                <w:lang w:eastAsia="en-US"/>
              </w:rPr>
            </w:pPr>
            <w:r w:rsidRPr="004D0DAA">
              <w:rPr>
                <w:lang w:eastAsia="en-US"/>
              </w:rPr>
              <w:t>&lt; E-UTRAN Measurement Report struct &gt; ::=</w:t>
            </w:r>
          </w:p>
          <w:p w14:paraId="51CEE5CB" w14:textId="77777777" w:rsidR="00711444" w:rsidRPr="004D0DAA" w:rsidRDefault="00711444" w:rsidP="00AA2A4C">
            <w:pPr>
              <w:pStyle w:val="TAL"/>
              <w:rPr>
                <w:lang w:eastAsia="en-US"/>
              </w:rPr>
            </w:pPr>
            <w:r w:rsidRPr="004D0DAA">
              <w:rPr>
                <w:lang w:eastAsia="en-US"/>
              </w:rPr>
              <w:tab/>
            </w:r>
          </w:p>
          <w:p w14:paraId="0952899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N_E-UTRAN</w:t>
            </w:r>
            <w:r w:rsidRPr="004D0DAA">
              <w:rPr>
                <w:lang w:eastAsia="en-US"/>
              </w:rPr>
              <w:t>: bit (2) &gt;</w:t>
            </w:r>
          </w:p>
          <w:p w14:paraId="3E764951"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E-UTRAN_FREQUENCY_INDEX</w:t>
            </w:r>
            <w:r w:rsidRPr="004D0DAA">
              <w:rPr>
                <w:lang w:eastAsia="en-US"/>
              </w:rPr>
              <w:t xml:space="preserve"> : bit (3) &gt;</w:t>
            </w:r>
          </w:p>
          <w:p w14:paraId="5AE776E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CELL IDENTITY</w:t>
            </w:r>
            <w:r w:rsidRPr="004D0DAA">
              <w:rPr>
                <w:lang w:eastAsia="en-US"/>
              </w:rPr>
              <w:t xml:space="preserve"> : bit (9) &gt;</w:t>
            </w:r>
          </w:p>
          <w:p w14:paraId="7CC8500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REPORTING_QUANTITY</w:t>
            </w:r>
            <w:r w:rsidRPr="004D0DAA">
              <w:rPr>
                <w:lang w:eastAsia="en-US"/>
              </w:rPr>
              <w:t xml:space="preserve"> : bit (6) &gt; } * (val(N_E-UTRAN + 1 )) ;</w:t>
            </w:r>
          </w:p>
        </w:tc>
      </w:tr>
    </w:tbl>
    <w:p w14:paraId="13344830" w14:textId="77777777" w:rsidR="00711444" w:rsidRPr="004D0DAA" w:rsidRDefault="00711444" w:rsidP="00711444"/>
    <w:p w14:paraId="57C203FF" w14:textId="77777777" w:rsidR="00711444" w:rsidRPr="004D0DAA" w:rsidRDefault="00711444" w:rsidP="00711444">
      <w:pPr>
        <w:pStyle w:val="TH"/>
      </w:pPr>
      <w:r w:rsidRPr="004D0DAA">
        <w:t>Table 11.2.9d.2: PACKET ENHANCED MEASUREMENT REPORT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294399C" w14:textId="77777777" w:rsidTr="00AA2A4C">
        <w:tblPrEx>
          <w:tblCellMar>
            <w:top w:w="0" w:type="dxa"/>
            <w:bottom w:w="0" w:type="dxa"/>
          </w:tblCellMar>
        </w:tblPrEx>
        <w:trPr>
          <w:cantSplit/>
        </w:trPr>
        <w:tc>
          <w:tcPr>
            <w:tcW w:w="9848" w:type="dxa"/>
          </w:tcPr>
          <w:p w14:paraId="49202E12" w14:textId="77777777" w:rsidR="00711444" w:rsidRPr="004D0DAA" w:rsidRDefault="00711444" w:rsidP="00AA2A4C">
            <w:pPr>
              <w:rPr>
                <w:b/>
              </w:rPr>
            </w:pPr>
            <w:r w:rsidRPr="004D0DAA">
              <w:rPr>
                <w:b/>
              </w:rPr>
              <w:t>TLLI / G-RNTI</w:t>
            </w:r>
            <w:r w:rsidRPr="004D0DAA">
              <w:t xml:space="preserve"> (32 bit field)</w:t>
            </w:r>
            <w:r w:rsidRPr="004D0DAA">
              <w:br/>
              <w:t>This field contains the TLLI / G-RNTI of the mobile station. This field is encoded as defined in sub-clause 12.16.</w:t>
            </w:r>
          </w:p>
        </w:tc>
      </w:tr>
      <w:tr w:rsidR="00711444" w:rsidRPr="004D0DAA" w14:paraId="270387A5" w14:textId="77777777" w:rsidTr="00AA2A4C">
        <w:tblPrEx>
          <w:tblCellMar>
            <w:top w:w="0" w:type="dxa"/>
            <w:bottom w:w="0" w:type="dxa"/>
          </w:tblCellMar>
        </w:tblPrEx>
        <w:trPr>
          <w:cantSplit/>
        </w:trPr>
        <w:tc>
          <w:tcPr>
            <w:tcW w:w="9848" w:type="dxa"/>
          </w:tcPr>
          <w:p w14:paraId="3B73040B" w14:textId="77777777" w:rsidR="00711444" w:rsidRPr="004D0DAA" w:rsidRDefault="00711444" w:rsidP="00AA2A4C">
            <w:r w:rsidRPr="004D0DAA">
              <w:rPr>
                <w:b/>
              </w:rPr>
              <w:t>NC_MODE</w:t>
            </w:r>
            <w:r w:rsidRPr="004D0DAA">
              <w:t xml:space="preserve"> (1 bit field)</w:t>
            </w:r>
            <w:r w:rsidRPr="004D0DAA">
              <w:br/>
              <w:t>This field indicates if the mobile station was in mode NC1 or NC2 when sending the measurement report.</w:t>
            </w:r>
          </w:p>
          <w:p w14:paraId="466EE2E7" w14:textId="77777777" w:rsidR="00711444" w:rsidRPr="004D0DAA" w:rsidRDefault="00711444" w:rsidP="00AA2A4C">
            <w:pPr>
              <w:rPr>
                <w:b/>
                <w:lang w:val="fr-FR"/>
              </w:rPr>
            </w:pPr>
            <w:r w:rsidRPr="004D0DAA">
              <w:rPr>
                <w:lang w:val="fr-FR"/>
              </w:rPr>
              <w:t>0</w:t>
            </w:r>
            <w:r w:rsidRPr="004D0DAA">
              <w:rPr>
                <w:lang w:val="fr-FR"/>
              </w:rPr>
              <w:tab/>
              <w:t>Mobile station in mode NC1</w:t>
            </w:r>
            <w:r w:rsidRPr="004D0DAA">
              <w:rPr>
                <w:lang w:val="fr-FR"/>
              </w:rPr>
              <w:br/>
              <w:t>1</w:t>
            </w:r>
            <w:r w:rsidRPr="004D0DAA">
              <w:rPr>
                <w:lang w:val="fr-FR"/>
              </w:rPr>
              <w:tab/>
              <w:t>Mobile station in mode NC2</w:t>
            </w:r>
          </w:p>
        </w:tc>
      </w:tr>
      <w:tr w:rsidR="00711444" w:rsidRPr="004D0DAA" w14:paraId="3451C958" w14:textId="77777777" w:rsidTr="00AA2A4C">
        <w:tblPrEx>
          <w:tblCellMar>
            <w:top w:w="0" w:type="dxa"/>
            <w:bottom w:w="0" w:type="dxa"/>
          </w:tblCellMar>
        </w:tblPrEx>
        <w:trPr>
          <w:cantSplit/>
        </w:trPr>
        <w:tc>
          <w:tcPr>
            <w:tcW w:w="9848" w:type="dxa"/>
          </w:tcPr>
          <w:p w14:paraId="4D77829B" w14:textId="77777777" w:rsidR="00711444" w:rsidRPr="004D0DAA" w:rsidRDefault="00711444" w:rsidP="00AA2A4C">
            <w:r w:rsidRPr="004D0DAA">
              <w:rPr>
                <w:b/>
              </w:rPr>
              <w:lastRenderedPageBreak/>
              <w:t>BA_USED</w:t>
            </w:r>
            <w:r w:rsidRPr="004D0DAA">
              <w:t xml:space="preserve"> (1 bit field),</w:t>
            </w:r>
            <w:r w:rsidRPr="004D0DAA">
              <w:br/>
            </w:r>
            <w:r w:rsidRPr="004D0DAA">
              <w:rPr>
                <w:b/>
              </w:rPr>
              <w:t xml:space="preserve">3G_BA_USED </w:t>
            </w:r>
            <w:r w:rsidRPr="004D0DAA">
              <w:t>(1 bit field)</w:t>
            </w:r>
            <w:r w:rsidRPr="004D0DAA">
              <w:rPr>
                <w:b/>
              </w:rPr>
              <w:t xml:space="preserve"> </w:t>
            </w:r>
            <w:r w:rsidRPr="004D0DAA">
              <w:rPr>
                <w:b/>
              </w:rPr>
              <w:br/>
              <w:t xml:space="preserve">PSI3_CHANGE_MARK </w:t>
            </w:r>
            <w:r w:rsidRPr="004D0DAA">
              <w:t xml:space="preserve">(2 bit field) </w:t>
            </w:r>
          </w:p>
          <w:p w14:paraId="7CDA60F4" w14:textId="77777777" w:rsidR="00711444" w:rsidRPr="004D0DAA" w:rsidRDefault="00711444" w:rsidP="00AA2A4C">
            <w:r w:rsidRPr="004D0DAA">
              <w:t>These fields shall contain the value of the BA_IND, 3G_BA_IND and PSI3_CHANGE_MARK respectively in the messages defining the used Neighbour Cell list or E-UTRAN Neighbour Cell list.</w:t>
            </w:r>
          </w:p>
          <w:p w14:paraId="60C65904" w14:textId="77777777" w:rsidR="00711444" w:rsidRPr="004D0DAA" w:rsidRDefault="00711444" w:rsidP="00AA2A4C">
            <w:pPr>
              <w:rPr>
                <w:b/>
              </w:rPr>
            </w:pPr>
            <w:r w:rsidRPr="004D0DAA">
              <w:t>In case PBCCH exists, PSI3_CHANGE_MARK shall be used.</w:t>
            </w:r>
            <w:r w:rsidRPr="004D0DAA">
              <w:br/>
              <w:t>In case PBCCH does not exist, BA_USED and 3G_BA_USED shall be used.</w:t>
            </w:r>
          </w:p>
        </w:tc>
      </w:tr>
      <w:tr w:rsidR="00711444" w:rsidRPr="004D0DAA" w14:paraId="39B8F93B" w14:textId="77777777" w:rsidTr="00AA2A4C">
        <w:tblPrEx>
          <w:tblCellMar>
            <w:top w:w="0" w:type="dxa"/>
            <w:bottom w:w="0" w:type="dxa"/>
          </w:tblCellMar>
        </w:tblPrEx>
        <w:trPr>
          <w:cantSplit/>
        </w:trPr>
        <w:tc>
          <w:tcPr>
            <w:tcW w:w="9848" w:type="dxa"/>
          </w:tcPr>
          <w:p w14:paraId="40A5F51C" w14:textId="77777777" w:rsidR="00711444" w:rsidRPr="004D0DAA" w:rsidRDefault="00711444" w:rsidP="00AA2A4C">
            <w:pPr>
              <w:rPr>
                <w:b/>
              </w:rPr>
            </w:pPr>
            <w:r w:rsidRPr="004D0DAA">
              <w:rPr>
                <w:b/>
              </w:rPr>
              <w:t>PMO_USED</w:t>
            </w:r>
            <w:r w:rsidRPr="004D0DAA">
              <w:t xml:space="preserve"> (1 bit field)</w:t>
            </w:r>
            <w:r w:rsidRPr="004D0DAA">
              <w:br/>
              <w:t>This parameter shall contain the value of the PMO_IND in the PACKET CELL CHANGE ORDER or PACKET MEASUREMENT ORDER messages that has modified the used Neighbour Cell list. If no such message has been received, PMO_USED shall be set to zero.</w:t>
            </w:r>
          </w:p>
        </w:tc>
      </w:tr>
      <w:tr w:rsidR="00711444" w:rsidRPr="004D0DAA" w14:paraId="7FBB1F20" w14:textId="77777777" w:rsidTr="00AA2A4C">
        <w:tblPrEx>
          <w:tblCellMar>
            <w:top w:w="0" w:type="dxa"/>
            <w:bottom w:w="0" w:type="dxa"/>
          </w:tblCellMar>
        </w:tblPrEx>
        <w:trPr>
          <w:cantSplit/>
        </w:trPr>
        <w:tc>
          <w:tcPr>
            <w:tcW w:w="9848" w:type="dxa"/>
          </w:tcPr>
          <w:p w14:paraId="083E1FE8" w14:textId="77777777" w:rsidR="00711444" w:rsidRPr="004D0DAA" w:rsidRDefault="00711444" w:rsidP="00AA2A4C">
            <w:r w:rsidRPr="004D0DAA">
              <w:rPr>
                <w:b/>
              </w:rPr>
              <w:t>BSIC_Seen</w:t>
            </w:r>
            <w:r w:rsidRPr="004D0DAA">
              <w:t xml:space="preserve"> (1 bit field)</w:t>
            </w:r>
            <w:r w:rsidRPr="004D0DAA">
              <w:br/>
              <w:t>This parameters indicates if a GSM cell with invalid BSIC and allowed NCC part BSIC is one of the six strongest, see 3GPP TS 45.008.</w:t>
            </w:r>
          </w:p>
          <w:p w14:paraId="525AC818" w14:textId="77777777" w:rsidR="00711444" w:rsidRPr="004D0DAA" w:rsidRDefault="00711444" w:rsidP="00AA2A4C">
            <w:pPr>
              <w:rPr>
                <w:b/>
              </w:rPr>
            </w:pPr>
            <w:r w:rsidRPr="004D0DAA">
              <w:rPr>
                <w:b/>
              </w:rPr>
              <w:t>Bit</w:t>
            </w:r>
            <w:r w:rsidRPr="004D0DAA">
              <w:br/>
            </w:r>
            <w:r w:rsidRPr="004D0DAA">
              <w:rPr>
                <w:b/>
              </w:rPr>
              <w:t>0</w:t>
            </w:r>
            <w:r w:rsidRPr="004D0DAA">
              <w:rPr>
                <w:b/>
              </w:rPr>
              <w:tab/>
            </w:r>
            <w:r w:rsidRPr="004D0DAA">
              <w:t xml:space="preserve">No cell with invalid BSIC and allowed NCC part of BSIC is seen </w:t>
            </w:r>
            <w:r w:rsidRPr="004D0DAA">
              <w:br/>
            </w:r>
            <w:r w:rsidRPr="004D0DAA">
              <w:rPr>
                <w:b/>
              </w:rPr>
              <w:t>1</w:t>
            </w:r>
            <w:r w:rsidRPr="004D0DAA">
              <w:rPr>
                <w:b/>
              </w:rPr>
              <w:tab/>
            </w:r>
            <w:r w:rsidRPr="004D0DAA">
              <w:t>One cell or more with invalid BSIC and allowed NCC part of BSIC is seen</w:t>
            </w:r>
          </w:p>
        </w:tc>
      </w:tr>
      <w:tr w:rsidR="00711444" w:rsidRPr="004D0DAA" w14:paraId="24D0358F" w14:textId="77777777" w:rsidTr="00AA2A4C">
        <w:tblPrEx>
          <w:tblCellMar>
            <w:top w:w="0" w:type="dxa"/>
            <w:bottom w:w="0" w:type="dxa"/>
          </w:tblCellMar>
        </w:tblPrEx>
        <w:trPr>
          <w:cantSplit/>
        </w:trPr>
        <w:tc>
          <w:tcPr>
            <w:tcW w:w="9848" w:type="dxa"/>
          </w:tcPr>
          <w:p w14:paraId="48A609BB" w14:textId="77777777" w:rsidR="00711444" w:rsidRPr="004D0DAA" w:rsidRDefault="00711444" w:rsidP="00AA2A4C">
            <w:pPr>
              <w:rPr>
                <w:b/>
              </w:rPr>
            </w:pPr>
            <w:r w:rsidRPr="004D0DAA">
              <w:rPr>
                <w:b/>
              </w:rPr>
              <w:t xml:space="preserve">SCALE </w:t>
            </w:r>
            <w:r w:rsidRPr="004D0DAA">
              <w:t>(1 bit field)</w:t>
            </w:r>
            <w:r w:rsidRPr="004D0DAA">
              <w:br/>
              <w:t>The value of this field is defined in 3GPP TS 45.008.</w:t>
            </w:r>
          </w:p>
        </w:tc>
      </w:tr>
      <w:tr w:rsidR="00711444" w:rsidRPr="004D0DAA" w14:paraId="458A7100" w14:textId="77777777" w:rsidTr="00AA2A4C">
        <w:tblPrEx>
          <w:tblCellMar>
            <w:top w:w="0" w:type="dxa"/>
            <w:bottom w:w="0" w:type="dxa"/>
          </w:tblCellMar>
        </w:tblPrEx>
        <w:trPr>
          <w:cantSplit/>
        </w:trPr>
        <w:tc>
          <w:tcPr>
            <w:tcW w:w="9848" w:type="dxa"/>
          </w:tcPr>
          <w:p w14:paraId="62A374A1" w14:textId="77777777" w:rsidR="00711444" w:rsidRPr="004D0DAA" w:rsidRDefault="00711444" w:rsidP="00AA2A4C">
            <w:pPr>
              <w:rPr>
                <w:b/>
              </w:rPr>
            </w:pPr>
            <w:r w:rsidRPr="004D0DAA">
              <w:rPr>
                <w:b/>
              </w:rPr>
              <w:t>Serving cell reporting</w:t>
            </w:r>
          </w:p>
          <w:p w14:paraId="33BE41D8" w14:textId="77777777" w:rsidR="00711444" w:rsidRPr="004D0DAA" w:rsidRDefault="00711444" w:rsidP="00AA2A4C">
            <w:r w:rsidRPr="004D0DAA">
              <w:t>If the structure "serving cell data" is missing, this indicates that no valid measurement exist for the serving cell.</w:t>
            </w:r>
          </w:p>
          <w:p w14:paraId="24F0D0E4" w14:textId="77777777" w:rsidR="00711444" w:rsidRPr="004D0DAA" w:rsidRDefault="00711444" w:rsidP="00AA2A4C">
            <w:pPr>
              <w:rPr>
                <w:b/>
              </w:rPr>
            </w:pPr>
            <w:r w:rsidRPr="004D0DAA">
              <w:rPr>
                <w:b/>
              </w:rPr>
              <w:t>RXLEV_SERVING_CELL</w:t>
            </w:r>
            <w:r w:rsidRPr="004D0DAA">
              <w:t xml:space="preserve"> (6 bit field)</w:t>
            </w:r>
            <w:r w:rsidRPr="004D0DAA">
              <w:br/>
              <w:t>This field contains the value of the RXLEV parameter for the serving cell calculated by the mobile station (see 3GPP TS 45.008). This field is encoded as the binary representation of the RXLEV parameter value defined in 3GPP TS 45.008.</w:t>
            </w:r>
            <w:r w:rsidRPr="004D0DAA">
              <w:br/>
              <w:t>Range 0 to 63</w:t>
            </w:r>
          </w:p>
        </w:tc>
      </w:tr>
      <w:tr w:rsidR="00711444" w:rsidRPr="004D0DAA" w14:paraId="787244EF" w14:textId="77777777" w:rsidTr="00AA2A4C">
        <w:tblPrEx>
          <w:tblCellMar>
            <w:top w:w="0" w:type="dxa"/>
            <w:bottom w:w="0" w:type="dxa"/>
          </w:tblCellMar>
        </w:tblPrEx>
        <w:trPr>
          <w:cantSplit/>
        </w:trPr>
        <w:tc>
          <w:tcPr>
            <w:tcW w:w="9848" w:type="dxa"/>
          </w:tcPr>
          <w:p w14:paraId="6B1DF35A" w14:textId="77777777" w:rsidR="00711444" w:rsidRPr="004D0DAA" w:rsidRDefault="00711444" w:rsidP="00AA2A4C">
            <w:pPr>
              <w:rPr>
                <w:b/>
              </w:rPr>
            </w:pPr>
            <w:r w:rsidRPr="004D0DAA">
              <w:rPr>
                <w:b/>
              </w:rPr>
              <w:t>Neighbour cell reporting</w:t>
            </w:r>
          </w:p>
          <w:p w14:paraId="770DA22D" w14:textId="77777777" w:rsidR="00711444" w:rsidRPr="004D0DAA" w:rsidRDefault="00711444" w:rsidP="00AA2A4C">
            <w:r w:rsidRPr="004D0DAA">
              <w:rPr>
                <w:b/>
                <w:i/>
              </w:rPr>
              <w:t>Repeated Invalid BSIC</w:t>
            </w:r>
            <w:r w:rsidRPr="004D0DAA">
              <w:br/>
              <w:t>This structure contains the report of cells with invalid BSIC.</w:t>
            </w:r>
            <w:r w:rsidRPr="004D0DAA">
              <w:br/>
            </w:r>
            <w:r w:rsidRPr="004D0DAA">
              <w:rPr>
                <w:b/>
              </w:rPr>
              <w:t>BCCH-FREQ-NCELL</w:t>
            </w:r>
            <w:r w:rsidRPr="004D0DAA">
              <w:t xml:space="preserve"> (5 bits). This field represents the index of the BA(GPRS), see 3GPP TS 44.018.</w:t>
            </w:r>
            <w:r w:rsidRPr="004D0DAA">
              <w:br/>
            </w:r>
            <w:r w:rsidRPr="004D0DAA">
              <w:rPr>
                <w:b/>
              </w:rPr>
              <w:t>BSIC</w:t>
            </w:r>
            <w:r w:rsidRPr="004D0DAA">
              <w:t> (6 bits). Base station identity code of the corresponding index in the BA(GPRS).</w:t>
            </w:r>
            <w:r w:rsidRPr="004D0DAA">
              <w:br/>
            </w:r>
            <w:r w:rsidRPr="004D0DAA">
              <w:rPr>
                <w:b/>
              </w:rPr>
              <w:t>RXLEV</w:t>
            </w:r>
            <w:r w:rsidRPr="004D0DAA">
              <w:t xml:space="preserve"> (6 bits). GSM reporting quantity, see 3GPP TS 45.008.</w:t>
            </w:r>
          </w:p>
          <w:p w14:paraId="61139A7F" w14:textId="77777777" w:rsidR="00711444" w:rsidRPr="004D0DAA" w:rsidRDefault="00711444" w:rsidP="00AA2A4C">
            <w:r w:rsidRPr="004D0DAA">
              <w:rPr>
                <w:b/>
                <w:i/>
              </w:rPr>
              <w:t>Bitmap type reporting:</w:t>
            </w:r>
            <w:r w:rsidRPr="004D0DAA">
              <w:rPr>
                <w:b/>
                <w:i/>
              </w:rPr>
              <w:br/>
            </w:r>
            <w:r w:rsidRPr="004D0DAA">
              <w:t xml:space="preserve">This structure contains the report of cells with valid BSIC. </w:t>
            </w:r>
            <w:r w:rsidRPr="004D0DAA">
              <w:br/>
              <w:t>Each bit of the bitmap points to the corresponding index of the Neighbour Cell list defined in sub-clause 5.6.3.3 ("Deriving the Neighbour Cell list from the GSM Neighbour Cell list and the 3G Neighbour Cell list").</w:t>
            </w:r>
          </w:p>
          <w:p w14:paraId="481AE79B" w14:textId="77777777" w:rsidR="00711444" w:rsidRPr="004D0DAA" w:rsidRDefault="00711444" w:rsidP="00AA2A4C">
            <w:r w:rsidRPr="004D0DAA">
              <w:t>If this structure is present and more bits than needed are available at the end of the message, the MS shall set the value of the redundant bitmap positions to '0'.</w:t>
            </w:r>
          </w:p>
          <w:p w14:paraId="4B340D9C" w14:textId="77777777" w:rsidR="00711444" w:rsidRPr="004D0DAA" w:rsidRDefault="00711444" w:rsidP="00AA2A4C">
            <w:r w:rsidRPr="004D0DAA">
              <w:t>At least 96 neighour cell entries shall be encoded in the bitmap.</w:t>
            </w:r>
          </w:p>
          <w:p w14:paraId="26FAED85" w14:textId="77777777" w:rsidR="00711444" w:rsidRPr="004D0DAA" w:rsidRDefault="00711444" w:rsidP="00AA2A4C">
            <w:r w:rsidRPr="004D0DAA">
              <w:t>If this structure is present, some remaining bits indicating no report at the end of the message may be omitted if these bits do not fit into the message. This shall not lead to an error in the receiver of that message.</w:t>
            </w:r>
          </w:p>
          <w:p w14:paraId="0376C49D" w14:textId="77777777" w:rsidR="00711444" w:rsidRPr="004D0DAA" w:rsidRDefault="00711444" w:rsidP="00AA2A4C">
            <w:r w:rsidRPr="004D0DAA">
              <w:t>If E-UTRAN neighbour cells are to be reported, then this structure shall be omitted and replaced by the bitmap reporting structure in the release-8 extension of this message.</w:t>
            </w:r>
          </w:p>
          <w:p w14:paraId="7E615E79" w14:textId="77777777" w:rsidR="00711444" w:rsidRPr="004D0DAA" w:rsidRDefault="00711444" w:rsidP="00AA2A4C">
            <w:r w:rsidRPr="004D0DAA">
              <w:rPr>
                <w:b/>
              </w:rPr>
              <w:t>REPORTING_QUANTITY</w:t>
            </w:r>
            <w:r w:rsidRPr="004D0DAA">
              <w:t xml:space="preserve"> (6 bits):</w:t>
            </w:r>
            <w:r w:rsidRPr="004D0DAA">
              <w:br/>
              <w:t>Measurement quantities are defined in 3GPP TS 45.008.</w:t>
            </w:r>
          </w:p>
        </w:tc>
      </w:tr>
      <w:tr w:rsidR="00711444" w:rsidRPr="004D0DAA" w14:paraId="50C5138D" w14:textId="77777777" w:rsidTr="00AA2A4C">
        <w:tblPrEx>
          <w:tblCellMar>
            <w:top w:w="0" w:type="dxa"/>
            <w:bottom w:w="0" w:type="dxa"/>
          </w:tblCellMar>
        </w:tblPrEx>
        <w:trPr>
          <w:cantSplit/>
        </w:trPr>
        <w:tc>
          <w:tcPr>
            <w:tcW w:w="9848" w:type="dxa"/>
          </w:tcPr>
          <w:p w14:paraId="52CB8420" w14:textId="77777777" w:rsidR="00711444" w:rsidRPr="004D0DAA" w:rsidRDefault="00711444" w:rsidP="00AA2A4C">
            <w:pPr>
              <w:spacing w:after="60"/>
            </w:pPr>
            <w:r w:rsidRPr="004D0DAA">
              <w:rPr>
                <w:b/>
                <w:bCs/>
              </w:rPr>
              <w:lastRenderedPageBreak/>
              <w:t xml:space="preserve">G-RNTI extension </w:t>
            </w:r>
            <w:r w:rsidRPr="004D0DAA">
              <w:t>(4 bit field)</w:t>
            </w:r>
          </w:p>
          <w:p w14:paraId="6498B0D7" w14:textId="77777777" w:rsidR="00711444" w:rsidRPr="004D0DAA" w:rsidRDefault="00711444" w:rsidP="00AA2A4C">
            <w:pPr>
              <w:rPr>
                <w:b/>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r w:rsidR="00711444" w:rsidRPr="004D0DAA" w14:paraId="776B3D2C" w14:textId="77777777" w:rsidTr="00AA2A4C">
        <w:tblPrEx>
          <w:tblCellMar>
            <w:top w:w="0" w:type="dxa"/>
            <w:bottom w:w="0" w:type="dxa"/>
          </w:tblCellMar>
        </w:tblPrEx>
        <w:trPr>
          <w:cantSplit/>
        </w:trPr>
        <w:tc>
          <w:tcPr>
            <w:tcW w:w="9848" w:type="dxa"/>
          </w:tcPr>
          <w:p w14:paraId="338BF432" w14:textId="77777777" w:rsidR="00711444" w:rsidRPr="004D0DAA" w:rsidRDefault="00711444" w:rsidP="00AA2A4C">
            <w:pPr>
              <w:rPr>
                <w:b/>
              </w:rPr>
            </w:pPr>
            <w:r w:rsidRPr="004D0DAA">
              <w:rPr>
                <w:b/>
              </w:rPr>
              <w:t>E-UTRAN Neighbour cell reporting</w:t>
            </w:r>
          </w:p>
          <w:p w14:paraId="1B23F231" w14:textId="77777777" w:rsidR="00711444" w:rsidRPr="004D0DAA" w:rsidRDefault="00711444" w:rsidP="00AA2A4C">
            <w:pPr>
              <w:spacing w:after="60"/>
            </w:pPr>
            <w:r w:rsidRPr="004D0DAA">
              <w:rPr>
                <w:b/>
              </w:rPr>
              <w:t>BITMAP_LENGTH</w:t>
            </w:r>
            <w:r w:rsidRPr="004D0DAA">
              <w:t xml:space="preserve"> (7 bit field)</w:t>
            </w:r>
          </w:p>
          <w:p w14:paraId="4D0EF4FA" w14:textId="77777777" w:rsidR="00711444" w:rsidRPr="004D0DAA" w:rsidRDefault="00711444" w:rsidP="00AA2A4C">
            <w:r w:rsidRPr="004D0DAA">
              <w:t>1+val(BITMAP_LENGTH) indicates the number of entries in the reporting bitmap.</w:t>
            </w:r>
          </w:p>
          <w:p w14:paraId="51D8F6FB" w14:textId="77777777" w:rsidR="00711444" w:rsidRPr="004D0DAA" w:rsidRDefault="00711444" w:rsidP="00AA2A4C">
            <w:r w:rsidRPr="004D0DAA">
              <w:rPr>
                <w:b/>
                <w:i/>
              </w:rPr>
              <w:t>Bitmap type reporting:</w:t>
            </w:r>
            <w:r w:rsidRPr="004D0DAA">
              <w:rPr>
                <w:b/>
                <w:i/>
              </w:rPr>
              <w:br/>
            </w:r>
            <w:r w:rsidRPr="004D0DAA">
              <w:t xml:space="preserve">This structure contains the report of cells with valid BSIC. </w:t>
            </w:r>
            <w:r w:rsidRPr="004D0DAA">
              <w:br/>
              <w:t>Each bit of the bitmap points to the corresponding index of the Neighbour Cell list defined in sub-clause 5.6.3.3 ("Deriving the Neighbour Cell list from the GSM Neighbour Cell list and the 3G Neighbour Cell list").</w:t>
            </w:r>
          </w:p>
          <w:p w14:paraId="0B87E510" w14:textId="77777777" w:rsidR="00711444" w:rsidRPr="004D0DAA" w:rsidRDefault="00711444" w:rsidP="00AA2A4C">
            <w:pPr>
              <w:rPr>
                <w:b/>
              </w:rPr>
            </w:pPr>
            <w:r w:rsidRPr="004D0DAA">
              <w:rPr>
                <w:b/>
              </w:rPr>
              <w:t>REPORTING_QUANTITY</w:t>
            </w:r>
            <w:r w:rsidRPr="004D0DAA">
              <w:t xml:space="preserve"> (6 bits):</w:t>
            </w:r>
            <w:r w:rsidRPr="004D0DAA">
              <w:br/>
              <w:t>Measurement quantities are defined in 3GPP TS 45.008.</w:t>
            </w:r>
          </w:p>
        </w:tc>
      </w:tr>
      <w:tr w:rsidR="00711444" w:rsidRPr="004D0DAA" w14:paraId="4BFE202F" w14:textId="77777777" w:rsidTr="00AA2A4C">
        <w:tblPrEx>
          <w:tblCellMar>
            <w:top w:w="0" w:type="dxa"/>
            <w:bottom w:w="0" w:type="dxa"/>
          </w:tblCellMar>
        </w:tblPrEx>
        <w:trPr>
          <w:cantSplit/>
        </w:trPr>
        <w:tc>
          <w:tcPr>
            <w:tcW w:w="9848" w:type="dxa"/>
          </w:tcPr>
          <w:p w14:paraId="6816C12F" w14:textId="77777777" w:rsidR="00711444" w:rsidRPr="004D0DAA" w:rsidRDefault="00711444" w:rsidP="00AA2A4C">
            <w:pPr>
              <w:rPr>
                <w:b/>
              </w:rPr>
            </w:pPr>
            <w:r w:rsidRPr="004D0DAA">
              <w:rPr>
                <w:b/>
              </w:rPr>
              <w:t>E-UTRAN Measurement Report</w:t>
            </w:r>
            <w:r w:rsidRPr="004D0DAA">
              <w:rPr>
                <w:b/>
              </w:rPr>
              <w:br/>
            </w:r>
            <w:r w:rsidRPr="004D0DAA">
              <w:t>This information element contains the measurement reports for one or more E-UTRAN neighbour cell. This field is defined in sub-clause 11.2.9.</w:t>
            </w:r>
          </w:p>
        </w:tc>
      </w:tr>
      <w:tr w:rsidR="00711444" w:rsidRPr="004D0DAA" w14:paraId="0E62EB6F" w14:textId="77777777" w:rsidTr="00AA2A4C">
        <w:tblPrEx>
          <w:tblCellMar>
            <w:top w:w="0" w:type="dxa"/>
            <w:bottom w:w="0" w:type="dxa"/>
          </w:tblCellMar>
        </w:tblPrEx>
        <w:trPr>
          <w:cantSplit/>
        </w:trPr>
        <w:tc>
          <w:tcPr>
            <w:tcW w:w="9848" w:type="dxa"/>
          </w:tcPr>
          <w:p w14:paraId="6F258B6E" w14:textId="77777777" w:rsidR="00711444" w:rsidRPr="004D0DAA" w:rsidRDefault="00711444" w:rsidP="00AA2A4C">
            <w:pPr>
              <w:rPr>
                <w:b/>
              </w:rPr>
            </w:pPr>
            <w:r w:rsidRPr="004D0DAA">
              <w:rPr>
                <w:b/>
              </w:rPr>
              <w:t>UTRAN CSG Measurement Report</w:t>
            </w:r>
            <w:r w:rsidRPr="004D0DAA">
              <w:rPr>
                <w:b/>
              </w:rPr>
              <w:br/>
            </w:r>
            <w:r w:rsidRPr="004D0DAA">
              <w:t xml:space="preserve">Measurement reporting for UTRAN CSG cells is defined in 3GPP TS 45.008. This information element contains the measurement results and routing parameters for one UTRAN CSG </w:t>
            </w:r>
            <w:r w:rsidRPr="004D0DAA">
              <w:rPr>
                <w:bCs/>
              </w:rPr>
              <w:t xml:space="preserve">or hybrid </w:t>
            </w:r>
            <w:r w:rsidRPr="004D0DAA">
              <w:t>cell. It is defined in sub-clause 12.61.</w:t>
            </w:r>
          </w:p>
        </w:tc>
      </w:tr>
      <w:tr w:rsidR="00711444" w:rsidRPr="004D0DAA" w14:paraId="758FC5AE" w14:textId="77777777" w:rsidTr="00AA2A4C">
        <w:tblPrEx>
          <w:tblCellMar>
            <w:top w:w="0" w:type="dxa"/>
            <w:bottom w:w="0" w:type="dxa"/>
          </w:tblCellMar>
        </w:tblPrEx>
        <w:trPr>
          <w:cantSplit/>
        </w:trPr>
        <w:tc>
          <w:tcPr>
            <w:tcW w:w="9848" w:type="dxa"/>
          </w:tcPr>
          <w:p w14:paraId="03EEA72B" w14:textId="77777777" w:rsidR="00711444" w:rsidRPr="004D0DAA" w:rsidRDefault="00711444" w:rsidP="00AA2A4C">
            <w:pPr>
              <w:rPr>
                <w:b/>
              </w:rPr>
            </w:pPr>
            <w:r w:rsidRPr="004D0DAA">
              <w:rPr>
                <w:b/>
              </w:rPr>
              <w:t>E-UTRAN CSG Measurement Report</w:t>
            </w:r>
            <w:r w:rsidRPr="004D0DAA">
              <w:rPr>
                <w:b/>
              </w:rPr>
              <w:br/>
            </w:r>
            <w:r w:rsidRPr="004D0DAA">
              <w:t xml:space="preserve">Measurement reporting for E-UTRAN CSG cells is defined in 3GPP TS 45.008. This information element contains the measurement results and routing parameters for one E-UTRAN CSG </w:t>
            </w:r>
            <w:r w:rsidRPr="004D0DAA">
              <w:rPr>
                <w:bCs/>
              </w:rPr>
              <w:t xml:space="preserve">or hybrid </w:t>
            </w:r>
            <w:r w:rsidRPr="004D0DAA">
              <w:t>cell. It is defined in sub-clause 12.60.</w:t>
            </w:r>
          </w:p>
        </w:tc>
      </w:tr>
      <w:tr w:rsidR="00711444" w:rsidRPr="004D0DAA" w14:paraId="62BE27C6" w14:textId="77777777" w:rsidTr="00AA2A4C">
        <w:tblPrEx>
          <w:tblCellMar>
            <w:top w:w="0" w:type="dxa"/>
            <w:bottom w:w="0" w:type="dxa"/>
          </w:tblCellMar>
        </w:tblPrEx>
        <w:trPr>
          <w:cantSplit/>
        </w:trPr>
        <w:tc>
          <w:tcPr>
            <w:tcW w:w="9848" w:type="dxa"/>
          </w:tcPr>
          <w:p w14:paraId="279F92BB" w14:textId="77777777" w:rsidR="00711444" w:rsidRPr="004D0DAA" w:rsidRDefault="00711444" w:rsidP="00AA2A4C">
            <w:r w:rsidRPr="004D0DAA">
              <w:rPr>
                <w:b/>
              </w:rPr>
              <w:t xml:space="preserve">SI23_BA_USED </w:t>
            </w:r>
            <w:r w:rsidRPr="004D0DAA">
              <w:t>(1 bit field)</w:t>
            </w:r>
            <w:r w:rsidRPr="004D0DAA">
              <w:rPr>
                <w:b/>
              </w:rPr>
              <w:t xml:space="preserve"> </w:t>
            </w:r>
          </w:p>
          <w:p w14:paraId="2FCCE6C7" w14:textId="77777777" w:rsidR="00711444" w:rsidRPr="004D0DAA" w:rsidRDefault="00711444" w:rsidP="00AA2A4C">
            <w:r w:rsidRPr="004D0DAA">
              <w:t>This field contains the value of the SI 23_BA_IND field in the SYSTEM INFORMATION TYPE 23 message defining the  E-UTRAN Neighbour Cell list</w:t>
            </w:r>
            <w:r w:rsidRPr="004D0DAA">
              <w:rPr>
                <w:rFonts w:hint="eastAsia"/>
                <w:lang w:eastAsia="zh-CN"/>
              </w:rPr>
              <w:t xml:space="preserve"> used</w:t>
            </w:r>
            <w:r w:rsidRPr="004D0DAA">
              <w:t>. In the case SYSTEM INFORMATION TYPE 23 message is not broadcast in the cell or if the mobile station does not support network sharing this field shall be set to 0. Range 0 to 1.</w:t>
            </w:r>
          </w:p>
        </w:tc>
      </w:tr>
    </w:tbl>
    <w:p w14:paraId="3408BBB6" w14:textId="77777777" w:rsidR="00711444" w:rsidRPr="004D0DAA" w:rsidRDefault="00711444" w:rsidP="00711444"/>
    <w:p w14:paraId="4E15F45B" w14:textId="77777777" w:rsidR="00711444" w:rsidRPr="004D0DAA" w:rsidRDefault="00711444" w:rsidP="00711444">
      <w:pPr>
        <w:pStyle w:val="Heading3"/>
      </w:pPr>
      <w:bookmarkStart w:id="674" w:name="_Toc516669850"/>
      <w:r w:rsidRPr="004D0DAA">
        <w:t>11.2.9e</w:t>
      </w:r>
      <w:r w:rsidRPr="004D0DAA">
        <w:tab/>
        <w:t>Packet Neighbour Cell Data</w:t>
      </w:r>
      <w:bookmarkEnd w:id="674"/>
    </w:p>
    <w:p w14:paraId="3B4C2C96" w14:textId="77777777" w:rsidR="00711444" w:rsidRPr="004D0DAA" w:rsidRDefault="00711444" w:rsidP="00711444">
      <w:r w:rsidRPr="004D0DAA">
        <w:t>This optional message is sent by the network on the PACCH to provide system information required for initial access in a neighbouring cell. This message shall not be segmented across more than one RLC/MAC control block. If not all information fits into one instance of the PACKET NEIGHBOUR CELL DATA message, the message can be repeated.</w:t>
      </w:r>
    </w:p>
    <w:p w14:paraId="7457550C" w14:textId="77777777" w:rsidR="00711444" w:rsidRPr="004D0DAA" w:rsidRDefault="00711444" w:rsidP="00711444">
      <w:pPr>
        <w:pStyle w:val="EX"/>
      </w:pPr>
      <w:r w:rsidRPr="004D0DAA">
        <w:t>Message type:</w:t>
      </w:r>
      <w:r w:rsidRPr="004D0DAA">
        <w:tab/>
        <w:t>PACKET NEIGHBOUR CELL DATA</w:t>
      </w:r>
    </w:p>
    <w:p w14:paraId="5566B667" w14:textId="77777777" w:rsidR="00711444" w:rsidRPr="004D0DAA" w:rsidRDefault="00711444" w:rsidP="00711444">
      <w:pPr>
        <w:pStyle w:val="EX"/>
      </w:pPr>
      <w:r w:rsidRPr="004D0DAA">
        <w:t>Direction:</w:t>
      </w:r>
      <w:r w:rsidRPr="004D0DAA">
        <w:tab/>
        <w:t>network to mobile station</w:t>
      </w:r>
    </w:p>
    <w:p w14:paraId="60706FCC" w14:textId="77777777" w:rsidR="00711444" w:rsidRPr="004D0DAA" w:rsidRDefault="00711444" w:rsidP="00711444">
      <w:pPr>
        <w:pStyle w:val="EX"/>
      </w:pPr>
      <w:r w:rsidRPr="004D0DAA">
        <w:t>Classification:</w:t>
      </w:r>
      <w:r w:rsidRPr="004D0DAA">
        <w:tab/>
        <w:t>non distribution message</w:t>
      </w:r>
    </w:p>
    <w:p w14:paraId="547DD1E8" w14:textId="77777777" w:rsidR="00711444" w:rsidRPr="004D0DAA" w:rsidRDefault="00711444" w:rsidP="00711444">
      <w:pPr>
        <w:pStyle w:val="TH"/>
      </w:pPr>
      <w:r w:rsidRPr="004D0DAA">
        <w:lastRenderedPageBreak/>
        <w:t>Table 11.2.9e.1: Packet Neighbour Cell Data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FC55D5B" w14:textId="77777777" w:rsidTr="00AA2A4C">
        <w:tblPrEx>
          <w:tblCellMar>
            <w:top w:w="0" w:type="dxa"/>
            <w:bottom w:w="0" w:type="dxa"/>
          </w:tblCellMar>
        </w:tblPrEx>
        <w:trPr>
          <w:cantSplit/>
        </w:trPr>
        <w:tc>
          <w:tcPr>
            <w:tcW w:w="9848" w:type="dxa"/>
          </w:tcPr>
          <w:p w14:paraId="79EA813A" w14:textId="77777777" w:rsidR="00711444" w:rsidRPr="004D0DAA" w:rsidRDefault="00711444" w:rsidP="00AA2A4C">
            <w:pPr>
              <w:pStyle w:val="TAL"/>
              <w:rPr>
                <w:lang w:eastAsia="en-US"/>
              </w:rPr>
            </w:pPr>
            <w:r w:rsidRPr="004D0DAA">
              <w:rPr>
                <w:lang w:eastAsia="en-US"/>
              </w:rPr>
              <w:t>&lt; Packet Neighbour Cell Data message content &gt; ::=</w:t>
            </w:r>
          </w:p>
          <w:p w14:paraId="346C8701"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PAGE_MODE </w:t>
            </w:r>
            <w:r w:rsidRPr="004D0DAA">
              <w:rPr>
                <w:lang w:val="fr-FR" w:eastAsia="en-US"/>
              </w:rPr>
              <w:t>: bit (2) &gt;</w:t>
            </w:r>
          </w:p>
          <w:p w14:paraId="428411CC" w14:textId="77777777" w:rsidR="00711444" w:rsidRPr="004D0DAA" w:rsidRDefault="00711444" w:rsidP="00AA2A4C">
            <w:pPr>
              <w:pStyle w:val="TAL"/>
              <w:rPr>
                <w:lang w:val="fr-FR" w:eastAsia="en-US"/>
              </w:rPr>
            </w:pPr>
            <w:r w:rsidRPr="004D0DAA">
              <w:rPr>
                <w:lang w:val="fr-FR" w:eastAsia="en-US"/>
              </w:rPr>
              <w:tab/>
              <w:t xml:space="preserve">{ 0 </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5FAB902E" w14:textId="77777777" w:rsidR="00711444" w:rsidRPr="004D0DAA" w:rsidRDefault="00711444" w:rsidP="00AA2A4C">
            <w:pPr>
              <w:pStyle w:val="TAL"/>
              <w:rPr>
                <w:lang w:val="fr-FR" w:eastAsia="en-US"/>
              </w:rPr>
            </w:pPr>
          </w:p>
          <w:p w14:paraId="53C72314"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w:t>
            </w:r>
            <w:r w:rsidRPr="004D0DAA">
              <w:rPr>
                <w:lang w:eastAsia="en-US"/>
              </w:rPr>
              <w:tab/>
              <w:t xml:space="preserve">&lt; </w:t>
            </w:r>
            <w:r w:rsidRPr="004D0DAA">
              <w:rPr>
                <w:b/>
                <w:lang w:eastAsia="en-US"/>
              </w:rPr>
              <w:t>CONTAINER_ID</w:t>
            </w:r>
            <w:r w:rsidRPr="004D0DAA">
              <w:rPr>
                <w:lang w:eastAsia="en-US"/>
              </w:rPr>
              <w:t xml:space="preserve"> : bit (2) &gt;</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spare </w:t>
            </w:r>
            <w:r w:rsidRPr="004D0DAA">
              <w:rPr>
                <w:lang w:eastAsia="en-US"/>
              </w:rPr>
              <w:t>: bit (1)</w:t>
            </w:r>
          </w:p>
          <w:p w14:paraId="1999A5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CONTAINER_INDEX</w:t>
            </w:r>
            <w:r w:rsidRPr="004D0DAA">
              <w:rPr>
                <w:lang w:eastAsia="en-US"/>
              </w:rPr>
              <w:t xml:space="preserve"> : bit (5) &gt;</w:t>
            </w:r>
          </w:p>
          <w:p w14:paraId="366D68A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ARFCN</w:t>
            </w:r>
            <w:r w:rsidRPr="004D0DAA">
              <w:rPr>
                <w:lang w:eastAsia="en-US"/>
              </w:rPr>
              <w:t xml:space="preserve"> : bit (10) &gt;</w:t>
            </w:r>
          </w:p>
          <w:p w14:paraId="1E5383E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BSIC</w:t>
            </w:r>
            <w:r w:rsidRPr="004D0DAA">
              <w:rPr>
                <w:lang w:eastAsia="en-US"/>
              </w:rPr>
              <w:t xml:space="preserve"> : bit (6) &gt; }</w:t>
            </w:r>
          </w:p>
          <w:p w14:paraId="04F86DE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w:t>
            </w:r>
            <w:r w:rsidRPr="004D0DAA">
              <w:rPr>
                <w:lang w:eastAsia="en-US"/>
              </w:rPr>
              <w:t xml:space="preserve"> : &lt; Container repetition struct &gt; &gt;</w:t>
            </w:r>
          </w:p>
          <w:p w14:paraId="499D95E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3D8CAE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5908F6E7"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7F4D7B4" w14:textId="77777777" w:rsidR="00711444" w:rsidRPr="004D0DAA" w:rsidRDefault="00711444" w:rsidP="00AA2A4C">
            <w:pPr>
              <w:pStyle w:val="TAL"/>
              <w:rPr>
                <w:lang w:eastAsia="en-US"/>
              </w:rPr>
            </w:pPr>
            <w:r w:rsidRPr="004D0DAA">
              <w:rPr>
                <w:lang w:eastAsia="en-US"/>
              </w:rPr>
              <w:tab/>
              <w:t>! &lt; Distribution part error : bit (*) = &lt; no string &gt; &gt; ;</w:t>
            </w:r>
          </w:p>
          <w:p w14:paraId="170401CA" w14:textId="77777777" w:rsidR="00711444" w:rsidRPr="004D0DAA" w:rsidRDefault="00711444" w:rsidP="00AA2A4C">
            <w:pPr>
              <w:pStyle w:val="TAL"/>
              <w:rPr>
                <w:lang w:eastAsia="en-US"/>
              </w:rPr>
            </w:pPr>
          </w:p>
        </w:tc>
      </w:tr>
      <w:tr w:rsidR="00711444" w:rsidRPr="004D0DAA" w14:paraId="37573E74" w14:textId="77777777" w:rsidTr="00AA2A4C">
        <w:tblPrEx>
          <w:tblCellMar>
            <w:top w:w="0" w:type="dxa"/>
            <w:bottom w:w="0" w:type="dxa"/>
          </w:tblCellMar>
        </w:tblPrEx>
        <w:trPr>
          <w:cantSplit/>
        </w:trPr>
        <w:tc>
          <w:tcPr>
            <w:tcW w:w="9848" w:type="dxa"/>
          </w:tcPr>
          <w:p w14:paraId="219B1DAA" w14:textId="77777777" w:rsidR="00711444" w:rsidRPr="004D0DAA" w:rsidRDefault="00711444" w:rsidP="00AA2A4C">
            <w:pPr>
              <w:pStyle w:val="TAL"/>
              <w:rPr>
                <w:lang w:eastAsia="en-US"/>
              </w:rPr>
            </w:pPr>
            <w:r w:rsidRPr="004D0DAA">
              <w:rPr>
                <w:lang w:eastAsia="en-US"/>
              </w:rPr>
              <w:t>&lt; Container repetition struct &gt; ::=</w:t>
            </w:r>
          </w:p>
          <w:p w14:paraId="56CDBFAC" w14:textId="77777777" w:rsidR="00711444" w:rsidRPr="004D0DAA" w:rsidRDefault="00711444" w:rsidP="00AA2A4C">
            <w:pPr>
              <w:pStyle w:val="TAL"/>
              <w:rPr>
                <w:lang w:eastAsia="en-US"/>
              </w:rPr>
            </w:pPr>
            <w:r w:rsidRPr="004D0DAA">
              <w:rPr>
                <w:lang w:eastAsia="en-US"/>
              </w:rPr>
              <w:tab/>
              <w:t>{</w:t>
            </w:r>
          </w:p>
          <w:p w14:paraId="2E3F1D2D"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PD</w:t>
            </w:r>
            <w:r w:rsidRPr="004D0DAA">
              <w:rPr>
                <w:lang w:eastAsia="en-US"/>
              </w:rPr>
              <w:t xml:space="preserve"> : bit (3) &gt;</w:t>
            </w:r>
          </w:p>
          <w:p w14:paraId="464F0C3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CD_LENGTH </w:t>
            </w:r>
            <w:r w:rsidRPr="004D0DAA">
              <w:rPr>
                <w:lang w:eastAsia="en-US"/>
              </w:rPr>
              <w:t>: { bit (5) exclude 00000 exclude 11111 } &gt;</w:t>
            </w:r>
          </w:p>
          <w:p w14:paraId="6194245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CONTAINER_DATA</w:t>
            </w:r>
            <w:r w:rsidRPr="004D0DAA">
              <w:rPr>
                <w:lang w:eastAsia="en-US"/>
              </w:rPr>
              <w:t xml:space="preserve"> : octet (val(CD_LENGTH)) &gt;</w:t>
            </w:r>
            <w:r w:rsidRPr="004D0DAA">
              <w:rPr>
                <w:lang w:eastAsia="en-US"/>
              </w:rPr>
              <w:tab/>
              <w:t xml:space="preserve">-- </w:t>
            </w:r>
            <w:r w:rsidRPr="004D0DAA">
              <w:rPr>
                <w:i/>
                <w:lang w:eastAsia="en-US"/>
              </w:rPr>
              <w:t>Final container segment. Next container follows.</w:t>
            </w:r>
          </w:p>
          <w:p w14:paraId="0B423A2E" w14:textId="77777777" w:rsidR="00711444" w:rsidRPr="004D0DAA" w:rsidRDefault="00711444" w:rsidP="00AA2A4C">
            <w:pPr>
              <w:pStyle w:val="TAL"/>
              <w:rPr>
                <w:lang w:eastAsia="en-US"/>
              </w:rPr>
            </w:pPr>
          </w:p>
          <w:p w14:paraId="06BEA8C4"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PD</w:t>
            </w:r>
            <w:r w:rsidRPr="004D0DAA">
              <w:rPr>
                <w:lang w:eastAsia="en-US"/>
              </w:rPr>
              <w:t xml:space="preserve"> : bit (3) &gt;</w:t>
            </w:r>
          </w:p>
          <w:p w14:paraId="5B5D279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CD_LENGTH</w:t>
            </w:r>
            <w:r w:rsidRPr="004D0DAA">
              <w:rPr>
                <w:rFonts w:ascii="Arial" w:hAnsi="Arial"/>
                <w:sz w:val="18"/>
              </w:rPr>
              <w:t xml:space="preserve"> : { bit (5) == 11111 } &gt;</w:t>
            </w:r>
          </w:p>
          <w:p w14:paraId="1FC3C0A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CONTAINER_DATA</w:t>
            </w:r>
            <w:r w:rsidRPr="004D0DAA">
              <w:rPr>
                <w:lang w:eastAsia="en-US"/>
              </w:rPr>
              <w:t xml:space="preserve"> : octet ** &gt; } **</w:t>
            </w:r>
            <w:r w:rsidRPr="004D0DAA">
              <w:rPr>
                <w:lang w:eastAsia="en-US"/>
              </w:rPr>
              <w:tab/>
            </w:r>
            <w:r w:rsidRPr="004D0DAA">
              <w:rPr>
                <w:lang w:eastAsia="en-US"/>
              </w:rPr>
              <w:tab/>
            </w:r>
            <w:r w:rsidRPr="004D0DAA">
              <w:rPr>
                <w:lang w:eastAsia="en-US"/>
              </w:rPr>
              <w:tab/>
              <w:t xml:space="preserve">-- </w:t>
            </w:r>
            <w:r w:rsidRPr="004D0DAA">
              <w:rPr>
                <w:i/>
                <w:lang w:eastAsia="en-US"/>
              </w:rPr>
              <w:t>Container continued in next message.</w:t>
            </w:r>
          </w:p>
          <w:p w14:paraId="33C21AB0" w14:textId="77777777" w:rsidR="00711444" w:rsidRPr="004D0DAA" w:rsidRDefault="00711444" w:rsidP="00AA2A4C">
            <w:pPr>
              <w:pStyle w:val="TAL"/>
              <w:rPr>
                <w:lang w:eastAsia="en-US"/>
              </w:rPr>
            </w:pPr>
          </w:p>
          <w:p w14:paraId="388693E0"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&lt; spare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Repetition of the container repetition struct continues until:</w:t>
            </w:r>
          </w:p>
          <w:p w14:paraId="1DE3CC39" w14:textId="77777777" w:rsidR="00711444" w:rsidRPr="004D0DAA" w:rsidRDefault="00711444" w:rsidP="00AA2A4C">
            <w:pPr>
              <w:keepNext/>
              <w:keepLines/>
              <w:spacing w:after="0"/>
              <w:rPr>
                <w:rFonts w:ascii="Arial" w:hAnsi="Arial"/>
                <w:sz w:val="18"/>
              </w:rPr>
            </w:pPr>
            <w:r w:rsidRPr="004D0DAA">
              <w:tab/>
            </w:r>
            <w:r w:rsidRPr="004D0DAA">
              <w:tab/>
            </w:r>
            <w:r w:rsidRPr="004D0DAA">
              <w:tab/>
              <w:t xml:space="preserve">&lt; </w:t>
            </w:r>
            <w:r w:rsidRPr="004D0DAA">
              <w:rPr>
                <w:b/>
              </w:rPr>
              <w:t>CD_LENGTH</w:t>
            </w:r>
            <w:r w:rsidRPr="004D0DAA">
              <w:t xml:space="preserve"> : { bit (5) == 00000 } &gt; }</w:t>
            </w:r>
            <w:r w:rsidRPr="004D0DAA">
              <w:tab/>
            </w:r>
            <w:r w:rsidRPr="004D0DAA">
              <w:tab/>
            </w:r>
            <w:r w:rsidRPr="004D0DAA">
              <w:tab/>
              <w:t xml:space="preserve">-- </w:t>
            </w:r>
            <w:r w:rsidRPr="004D0DAA">
              <w:rPr>
                <w:i/>
              </w:rPr>
              <w:t>A) val(CD_LENGTH) = 0 or</w:t>
            </w:r>
          </w:p>
          <w:p w14:paraId="471E6400" w14:textId="77777777" w:rsidR="00711444" w:rsidRPr="004D0DAA" w:rsidRDefault="00711444" w:rsidP="00AA2A4C">
            <w:pPr>
              <w:pStyle w:val="TAL"/>
              <w:rPr>
                <w:i/>
                <w:lang w:eastAsia="en-US"/>
              </w:rPr>
            </w:pPr>
            <w:r w:rsidRPr="004D0DAA">
              <w:rPr>
                <w:lang w:eastAsia="en-US"/>
              </w:rPr>
              <w:tab/>
              <w: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B) end of PNCD message.</w:t>
            </w:r>
          </w:p>
          <w:p w14:paraId="73EF1DCD" w14:textId="77777777" w:rsidR="00711444" w:rsidRPr="004D0DAA" w:rsidRDefault="00711444" w:rsidP="00AA2A4C">
            <w:pPr>
              <w:pStyle w:val="TAL"/>
              <w:rPr>
                <w:lang w:eastAsia="en-US"/>
              </w:rPr>
            </w:pPr>
          </w:p>
        </w:tc>
      </w:tr>
    </w:tbl>
    <w:p w14:paraId="2903C115" w14:textId="77777777" w:rsidR="00711444" w:rsidRPr="004D0DAA" w:rsidRDefault="00711444" w:rsidP="00711444"/>
    <w:p w14:paraId="10130D69" w14:textId="77777777" w:rsidR="00711444" w:rsidRPr="004D0DAA" w:rsidRDefault="00711444" w:rsidP="00711444">
      <w:pPr>
        <w:pStyle w:val="TH"/>
      </w:pPr>
      <w:r w:rsidRPr="004D0DAA">
        <w:t>Table 11.2.9e.2: Packet Neighbour Cell Data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4C79131" w14:textId="77777777" w:rsidTr="00AA2A4C">
        <w:tblPrEx>
          <w:tblCellMar>
            <w:top w:w="0" w:type="dxa"/>
            <w:bottom w:w="0" w:type="dxa"/>
          </w:tblCellMar>
        </w:tblPrEx>
        <w:trPr>
          <w:cantSplit/>
        </w:trPr>
        <w:tc>
          <w:tcPr>
            <w:tcW w:w="9848" w:type="dxa"/>
          </w:tcPr>
          <w:p w14:paraId="45F63343" w14:textId="77777777" w:rsidR="00711444" w:rsidRPr="004D0DAA" w:rsidRDefault="00711444" w:rsidP="00AA2A4C">
            <w:r w:rsidRPr="004D0DAA">
              <w:t>The Packet Neighbour Cell Data message consists of up to 32 instances and contains neighbour cell system information messages from either the BCCH or from the PBCCH or from both. Each container repetition struct contains information from one or more SI/PSI message. One SI/PSI message can be distributed over more than one instance.</w:t>
            </w:r>
          </w:p>
          <w:p w14:paraId="11195B13" w14:textId="77777777" w:rsidR="00711444" w:rsidRPr="004D0DAA" w:rsidRDefault="00711444" w:rsidP="00AA2A4C">
            <w:r w:rsidRPr="004D0DAA">
              <w:t>A container may have the cell identity represented by the ARFCN and BSIC included.</w:t>
            </w:r>
          </w:p>
        </w:tc>
      </w:tr>
      <w:tr w:rsidR="00711444" w:rsidRPr="004D0DAA" w14:paraId="0BDF70EC" w14:textId="77777777" w:rsidTr="00AA2A4C">
        <w:tblPrEx>
          <w:tblCellMar>
            <w:top w:w="0" w:type="dxa"/>
            <w:bottom w:w="0" w:type="dxa"/>
          </w:tblCellMar>
        </w:tblPrEx>
        <w:trPr>
          <w:cantSplit/>
        </w:trPr>
        <w:tc>
          <w:tcPr>
            <w:tcW w:w="9848" w:type="dxa"/>
          </w:tcPr>
          <w:p w14:paraId="4719BB80" w14:textId="77777777" w:rsidR="00711444" w:rsidRPr="004D0DAA" w:rsidRDefault="00711444" w:rsidP="00AA2A4C">
            <w:r w:rsidRPr="004D0DAA">
              <w:rPr>
                <w:b/>
              </w:rPr>
              <w:t>PAGE_MODE</w:t>
            </w:r>
            <w:r w:rsidRPr="004D0DAA">
              <w:t xml:space="preserve"> (2 bit field)</w:t>
            </w:r>
            <w:r w:rsidRPr="004D0DAA">
              <w:br/>
              <w:t>This field is defined in sub-clause 12.20 and gives the PAGE_MODE parameter valid in the serving cell.</w:t>
            </w:r>
          </w:p>
          <w:p w14:paraId="413AE7E7" w14:textId="77777777" w:rsidR="00711444" w:rsidRPr="004D0DAA" w:rsidRDefault="00711444" w:rsidP="00AA2A4C">
            <w:pPr>
              <w:rPr>
                <w:b/>
              </w:rPr>
            </w:pPr>
            <w:r w:rsidRPr="004D0DAA">
              <w:rPr>
                <w:b/>
              </w:rPr>
              <w:t>Global TFI</w:t>
            </w:r>
            <w:r w:rsidRPr="004D0DAA">
              <w:br/>
              <w:t>This information element contains the TFI of the mobile station's downlink TBF or uplink TBF. This field is defined in sub-clause 12.10.</w:t>
            </w:r>
          </w:p>
        </w:tc>
      </w:tr>
      <w:tr w:rsidR="00711444" w:rsidRPr="004D0DAA" w14:paraId="03EEEFB7" w14:textId="77777777" w:rsidTr="00AA2A4C">
        <w:tblPrEx>
          <w:tblCellMar>
            <w:top w:w="0" w:type="dxa"/>
            <w:bottom w:w="0" w:type="dxa"/>
          </w:tblCellMar>
        </w:tblPrEx>
        <w:trPr>
          <w:cantSplit/>
        </w:trPr>
        <w:tc>
          <w:tcPr>
            <w:tcW w:w="9848" w:type="dxa"/>
          </w:tcPr>
          <w:p w14:paraId="15FBC5B5" w14:textId="77777777" w:rsidR="00711444" w:rsidRPr="004D0DAA" w:rsidRDefault="00711444" w:rsidP="00AA2A4C">
            <w:r w:rsidRPr="004D0DAA">
              <w:rPr>
                <w:b/>
              </w:rPr>
              <w:t>CONTAINER_ID</w:t>
            </w:r>
            <w:r w:rsidRPr="004D0DAA">
              <w:t xml:space="preserve"> (2 bit field)</w:t>
            </w:r>
            <w:r w:rsidRPr="004D0DAA">
              <w:br/>
              <w:t>This field contains the Container identity and shall have the same value in all instances to form a complete set of neighbour cell system information for a certain cell.</w:t>
            </w:r>
            <w:r w:rsidRPr="004D0DAA">
              <w:br/>
              <w:t>Value range: 0-3.</w:t>
            </w:r>
          </w:p>
          <w:p w14:paraId="76DC7E87" w14:textId="77777777" w:rsidR="00711444" w:rsidRPr="004D0DAA" w:rsidRDefault="00711444" w:rsidP="00AA2A4C">
            <w:pPr>
              <w:rPr>
                <w:b/>
              </w:rPr>
            </w:pPr>
            <w:r w:rsidRPr="004D0DAA">
              <w:rPr>
                <w:b/>
              </w:rPr>
              <w:t xml:space="preserve">Spare </w:t>
            </w:r>
            <w:r w:rsidRPr="004D0DAA">
              <w:t>(1 bit field)</w:t>
            </w:r>
            <w:r w:rsidRPr="004D0DAA">
              <w:br/>
              <w:t>This bit is reserved for future use.</w:t>
            </w:r>
          </w:p>
        </w:tc>
      </w:tr>
      <w:tr w:rsidR="00711444" w:rsidRPr="004D0DAA" w14:paraId="3D0F1FCB" w14:textId="77777777" w:rsidTr="00AA2A4C">
        <w:tblPrEx>
          <w:tblCellMar>
            <w:top w:w="0" w:type="dxa"/>
            <w:bottom w:w="0" w:type="dxa"/>
          </w:tblCellMar>
        </w:tblPrEx>
        <w:trPr>
          <w:cantSplit/>
        </w:trPr>
        <w:tc>
          <w:tcPr>
            <w:tcW w:w="9848" w:type="dxa"/>
          </w:tcPr>
          <w:p w14:paraId="006EFDE6" w14:textId="77777777" w:rsidR="00711444" w:rsidRPr="004D0DAA" w:rsidRDefault="00711444" w:rsidP="00AA2A4C">
            <w:pPr>
              <w:rPr>
                <w:b/>
              </w:rPr>
            </w:pPr>
            <w:r w:rsidRPr="004D0DAA">
              <w:rPr>
                <w:b/>
              </w:rPr>
              <w:t>CONTAINER_INDEX</w:t>
            </w:r>
            <w:r w:rsidRPr="004D0DAA">
              <w:t xml:space="preserve"> (5 bit field)</w:t>
            </w:r>
            <w:r w:rsidRPr="004D0DAA">
              <w:br/>
              <w:t>This field contains the message index within a complete set of</w:t>
            </w:r>
            <w:r w:rsidRPr="004D0DAA">
              <w:rPr>
                <w:bCs/>
              </w:rPr>
              <w:t xml:space="preserve"> </w:t>
            </w:r>
            <w:r w:rsidRPr="004D0DAA">
              <w:t>neighbour cell system information for a certain cell</w:t>
            </w:r>
            <w:r w:rsidRPr="004D0DAA">
              <w:br/>
              <w:t>Value range: 0-31.</w:t>
            </w:r>
          </w:p>
        </w:tc>
      </w:tr>
      <w:tr w:rsidR="00711444" w:rsidRPr="004D0DAA" w14:paraId="7BCA57BE" w14:textId="77777777" w:rsidTr="00AA2A4C">
        <w:tblPrEx>
          <w:tblCellMar>
            <w:top w:w="0" w:type="dxa"/>
            <w:bottom w:w="0" w:type="dxa"/>
          </w:tblCellMar>
        </w:tblPrEx>
        <w:trPr>
          <w:cantSplit/>
        </w:trPr>
        <w:tc>
          <w:tcPr>
            <w:tcW w:w="9848" w:type="dxa"/>
          </w:tcPr>
          <w:p w14:paraId="08439447" w14:textId="77777777" w:rsidR="00711444" w:rsidRPr="004D0DAA" w:rsidRDefault="00711444" w:rsidP="00AA2A4C">
            <w:r w:rsidRPr="004D0DAA">
              <w:rPr>
                <w:b/>
              </w:rPr>
              <w:lastRenderedPageBreak/>
              <w:t>ARFCN and BSIC</w:t>
            </w:r>
            <w:r w:rsidRPr="004D0DAA">
              <w:br/>
              <w:t>ARFCN and BSIC is optional, but if included their value shall be same in all instances forming a complete set. If not the same, the mobile station shall act as described in sub-clause 8.8.1.</w:t>
            </w:r>
          </w:p>
          <w:p w14:paraId="239C2B75" w14:textId="77777777" w:rsidR="00711444" w:rsidRPr="004D0DAA" w:rsidRDefault="00711444" w:rsidP="00AA2A4C">
            <w:r w:rsidRPr="004D0DAA">
              <w:rPr>
                <w:b/>
              </w:rPr>
              <w:t>ARFCN</w:t>
            </w:r>
            <w:r w:rsidRPr="004D0DAA">
              <w:t xml:space="preserve"> (10 bit field)</w:t>
            </w:r>
            <w:r w:rsidRPr="004D0DAA">
              <w:br/>
              <w:t>This field indicates the ARFCN of the BCCH of the neighbour cell for which the information contained in this message is valid for. This field is encoded as the ARFCN defined in 3GPP TS 44.018.</w:t>
            </w:r>
            <w:r w:rsidRPr="004D0DAA">
              <w:br/>
              <w:t>Range 0 to 1023</w:t>
            </w:r>
          </w:p>
          <w:p w14:paraId="393BDBCE" w14:textId="77777777" w:rsidR="00711444" w:rsidRPr="004D0DAA" w:rsidRDefault="00711444" w:rsidP="00AA2A4C">
            <w:r w:rsidRPr="004D0DAA">
              <w:rPr>
                <w:b/>
              </w:rPr>
              <w:t>BSIC</w:t>
            </w:r>
            <w:r w:rsidRPr="004D0DAA">
              <w:t xml:space="preserve"> (6 bit field)</w:t>
            </w:r>
            <w:r w:rsidRPr="004D0DAA">
              <w:br/>
              <w:t xml:space="preserve">This field indicates the BSIC of the neighbour cell for which the information contained in this message is valid. </w:t>
            </w:r>
          </w:p>
          <w:p w14:paraId="486C3F6F" w14:textId="77777777" w:rsidR="00711444" w:rsidRPr="004D0DAA" w:rsidRDefault="00711444" w:rsidP="00AA2A4C">
            <w:pPr>
              <w:rPr>
                <w:b/>
              </w:rPr>
            </w:pPr>
            <w:r w:rsidRPr="004D0DAA">
              <w:t>This field is encoded as the BSIC value defined in 3GPP TS 44.018.</w:t>
            </w:r>
            <w:r w:rsidRPr="004D0DAA">
              <w:br/>
              <w:t>Range 0 to 63</w:t>
            </w:r>
          </w:p>
        </w:tc>
      </w:tr>
      <w:tr w:rsidR="00711444" w:rsidRPr="004D0DAA" w14:paraId="1D1653C1" w14:textId="77777777" w:rsidTr="00AA2A4C">
        <w:tblPrEx>
          <w:tblCellMar>
            <w:top w:w="0" w:type="dxa"/>
            <w:bottom w:w="0" w:type="dxa"/>
          </w:tblCellMar>
        </w:tblPrEx>
        <w:trPr>
          <w:cantSplit/>
        </w:trPr>
        <w:tc>
          <w:tcPr>
            <w:tcW w:w="9848" w:type="dxa"/>
          </w:tcPr>
          <w:p w14:paraId="1C950CBC" w14:textId="77777777" w:rsidR="00711444" w:rsidRPr="004D0DAA" w:rsidRDefault="00711444" w:rsidP="00AA2A4C">
            <w:pPr>
              <w:tabs>
                <w:tab w:val="left" w:pos="851"/>
              </w:tabs>
            </w:pPr>
            <w:r w:rsidRPr="004D0DAA">
              <w:rPr>
                <w:b/>
              </w:rPr>
              <w:t>PD</w:t>
            </w:r>
            <w:r w:rsidRPr="004D0DAA">
              <w:t xml:space="preserve"> (3 bit field)</w:t>
            </w:r>
            <w:r w:rsidRPr="004D0DAA">
              <w:br/>
              <w:t xml:space="preserve">This field contains a protocol discriminator and indicates the origin of the contained message. </w:t>
            </w:r>
            <w:r w:rsidRPr="004D0DAA">
              <w:br/>
              <w:t>bit</w:t>
            </w:r>
            <w:r w:rsidRPr="004D0DAA">
              <w:br/>
              <w:t>2 1</w:t>
            </w:r>
            <w:r w:rsidRPr="004D0DAA">
              <w:br/>
              <w:t>0 0 0</w:t>
            </w:r>
            <w:r w:rsidRPr="004D0DAA">
              <w:tab/>
              <w:t>BCCH (LAPDm);</w:t>
            </w:r>
            <w:r w:rsidRPr="004D0DAA">
              <w:br/>
              <w:t>0 0 1</w:t>
            </w:r>
            <w:r w:rsidRPr="004D0DAA">
              <w:tab/>
              <w:t>PBCCH (RLC/MAC);</w:t>
            </w:r>
            <w:r w:rsidRPr="004D0DAA">
              <w:br/>
              <w:t>0 1 0</w:t>
            </w:r>
            <w:r w:rsidRPr="004D0DAA">
              <w:tab/>
              <w:t>Reserved; If received the contents of the container shall be discarded.</w:t>
            </w:r>
            <w:r w:rsidRPr="004D0DAA">
              <w:br/>
              <w:t>……</w:t>
            </w:r>
            <w:r w:rsidRPr="004D0DAA">
              <w:br/>
              <w:t>1 1 1</w:t>
            </w:r>
            <w:r w:rsidRPr="004D0DAA">
              <w:tab/>
              <w:t>Reserved;. If received the contents of the container shall be discarded.</w:t>
            </w:r>
          </w:p>
        </w:tc>
      </w:tr>
      <w:tr w:rsidR="00711444" w:rsidRPr="004D0DAA" w14:paraId="24A7E2E7" w14:textId="77777777" w:rsidTr="00AA2A4C">
        <w:tblPrEx>
          <w:tblCellMar>
            <w:top w:w="0" w:type="dxa"/>
            <w:bottom w:w="0" w:type="dxa"/>
          </w:tblCellMar>
        </w:tblPrEx>
        <w:trPr>
          <w:cantSplit/>
        </w:trPr>
        <w:tc>
          <w:tcPr>
            <w:tcW w:w="9848" w:type="dxa"/>
          </w:tcPr>
          <w:p w14:paraId="7C97C337" w14:textId="77777777" w:rsidR="00711444" w:rsidRPr="004D0DAA" w:rsidRDefault="00711444" w:rsidP="00AA2A4C">
            <w:r w:rsidRPr="004D0DAA">
              <w:rPr>
                <w:b/>
              </w:rPr>
              <w:t>CD_LENGTH</w:t>
            </w:r>
            <w:r w:rsidRPr="004D0DAA">
              <w:t xml:space="preserve"> (5 bit field)</w:t>
            </w:r>
            <w:r w:rsidRPr="004D0DAA">
              <w:br/>
              <w:t xml:space="preserve">This field indicates the number of CONTAINER DATA octets that forms a specific SI/PSI message and is coded as shown below. </w:t>
            </w:r>
          </w:p>
          <w:p w14:paraId="65290658" w14:textId="77777777" w:rsidR="00711444" w:rsidRPr="004D0DAA" w:rsidRDefault="00711444" w:rsidP="00AA2A4C">
            <w:pPr>
              <w:pStyle w:val="FP"/>
              <w:ind w:left="1276" w:hanging="1276"/>
            </w:pPr>
            <w:r w:rsidRPr="004D0DAA">
              <w:t>bit</w:t>
            </w:r>
          </w:p>
          <w:p w14:paraId="71E5576D" w14:textId="77777777" w:rsidR="00711444" w:rsidRPr="004D0DAA" w:rsidRDefault="00711444" w:rsidP="00AA2A4C">
            <w:pPr>
              <w:pStyle w:val="FP"/>
              <w:ind w:left="1276" w:hanging="1276"/>
            </w:pPr>
            <w:r w:rsidRPr="004D0DAA">
              <w:t>5 4 3 2 1</w:t>
            </w:r>
          </w:p>
          <w:p w14:paraId="0657DB4D" w14:textId="77777777" w:rsidR="00711444" w:rsidRPr="004D0DAA" w:rsidRDefault="00711444" w:rsidP="00AA2A4C">
            <w:pPr>
              <w:pStyle w:val="FP"/>
              <w:ind w:left="1276" w:hanging="1276"/>
            </w:pPr>
            <w:r w:rsidRPr="004D0DAA">
              <w:t>0 0 0 0 0</w:t>
            </w:r>
            <w:r w:rsidRPr="004D0DAA">
              <w:tab/>
              <w:t>No CONTAINER DATA follows; Spare padding is used to fill the rest of the message;</w:t>
            </w:r>
          </w:p>
          <w:p w14:paraId="7384BF42" w14:textId="77777777" w:rsidR="00711444" w:rsidRPr="004D0DAA" w:rsidRDefault="00711444" w:rsidP="00AA2A4C">
            <w:pPr>
              <w:pStyle w:val="FP"/>
              <w:ind w:left="1276" w:hanging="1276"/>
            </w:pPr>
            <w:r w:rsidRPr="004D0DAA">
              <w:t>0 0 0 0 1</w:t>
            </w:r>
            <w:r w:rsidRPr="004D0DAA">
              <w:tab/>
              <w:t>CONTAINER DATA length = 1 octet;</w:t>
            </w:r>
          </w:p>
          <w:p w14:paraId="46AA4036" w14:textId="77777777" w:rsidR="00711444" w:rsidRPr="004D0DAA" w:rsidRDefault="00711444" w:rsidP="00AA2A4C">
            <w:pPr>
              <w:pStyle w:val="FP"/>
              <w:ind w:left="1276" w:hanging="1276"/>
            </w:pPr>
            <w:r w:rsidRPr="004D0DAA">
              <w:t>….</w:t>
            </w:r>
          </w:p>
          <w:p w14:paraId="0C6E2D90" w14:textId="77777777" w:rsidR="00711444" w:rsidRPr="004D0DAA" w:rsidRDefault="00711444" w:rsidP="00AA2A4C">
            <w:pPr>
              <w:pStyle w:val="FP"/>
              <w:ind w:left="1276" w:hanging="1276"/>
            </w:pPr>
            <w:r w:rsidRPr="004D0DAA">
              <w:t>1 0 0 1 0</w:t>
            </w:r>
            <w:r w:rsidRPr="004D0DAA">
              <w:tab/>
              <w:t>CONTAINER DATA length = 18 octets;</w:t>
            </w:r>
          </w:p>
          <w:p w14:paraId="79D6ADE6" w14:textId="77777777" w:rsidR="00711444" w:rsidRPr="004D0DAA" w:rsidRDefault="00711444" w:rsidP="00AA2A4C">
            <w:pPr>
              <w:pStyle w:val="FP"/>
              <w:ind w:left="1276" w:hanging="1276"/>
            </w:pPr>
            <w:r w:rsidRPr="004D0DAA">
              <w:t>1 1 1 1 1</w:t>
            </w:r>
            <w:r w:rsidRPr="004D0DAA">
              <w:tab/>
              <w:t>The remaining portion of the Packet Neighbour Cell Data message is used by the associated CONTAINER DATA. The message continues in a subsequent instance of the Packet Neighbour Cell Data message, in the next CONTAINER DATA with the same Protocol Discriminator value as the current one.</w:t>
            </w:r>
          </w:p>
          <w:p w14:paraId="3BDA406C" w14:textId="77777777" w:rsidR="00711444" w:rsidRPr="004D0DAA" w:rsidRDefault="00711444" w:rsidP="00AA2A4C">
            <w:pPr>
              <w:pStyle w:val="FP"/>
              <w:ind w:left="1276" w:hanging="1276"/>
            </w:pPr>
          </w:p>
          <w:p w14:paraId="3EE6506B" w14:textId="77777777" w:rsidR="00711444" w:rsidRPr="004D0DAA" w:rsidRDefault="00711444" w:rsidP="00AA2A4C">
            <w:r w:rsidRPr="004D0DAA">
              <w:t>All other values reserved. If a reserved value is received the contents of the container shall be discarded.</w:t>
            </w:r>
          </w:p>
        </w:tc>
      </w:tr>
      <w:tr w:rsidR="00711444" w:rsidRPr="004D0DAA" w14:paraId="24802A3D" w14:textId="77777777" w:rsidTr="00AA2A4C">
        <w:tblPrEx>
          <w:tblCellMar>
            <w:top w:w="0" w:type="dxa"/>
            <w:bottom w:w="0" w:type="dxa"/>
          </w:tblCellMar>
        </w:tblPrEx>
        <w:trPr>
          <w:cantSplit/>
        </w:trPr>
        <w:tc>
          <w:tcPr>
            <w:tcW w:w="9848" w:type="dxa"/>
          </w:tcPr>
          <w:p w14:paraId="57B87D13" w14:textId="77777777" w:rsidR="00711444" w:rsidRPr="004D0DAA" w:rsidRDefault="00711444" w:rsidP="00AA2A4C">
            <w:r w:rsidRPr="004D0DAA">
              <w:rPr>
                <w:b/>
              </w:rPr>
              <w:t>CONTAINER_DATA</w:t>
            </w:r>
            <w:r w:rsidRPr="004D0DAA">
              <w:t>(n*8 bits)</w:t>
            </w:r>
            <w:r w:rsidRPr="004D0DAA">
              <w:br/>
              <w:t>The concatenation of one or several CONTAINER_DATA octets forms the actual contents, specific to the SI/PSI messages.</w:t>
            </w:r>
          </w:p>
          <w:p w14:paraId="5BA334D7" w14:textId="77777777" w:rsidR="00711444" w:rsidRPr="004D0DAA" w:rsidRDefault="00711444" w:rsidP="00AA2A4C">
            <w:r w:rsidRPr="004D0DAA">
              <w:t xml:space="preserve">If the contained system information messages are copied from the BCCH the information contained in the Packet Neighbour Cell Data message shall exclude the following information elements from the beginning of the messages: L2 Pseudo Length; RR management Protocol Discriminator and Skip Indicator. </w:t>
            </w:r>
          </w:p>
          <w:p w14:paraId="1F2F0E60" w14:textId="77777777" w:rsidR="00711444" w:rsidRPr="004D0DAA" w:rsidRDefault="00711444" w:rsidP="00AA2A4C">
            <w:r w:rsidRPr="004D0DAA">
              <w:t>If the contained system information messages are copied from the PBCCH the information contained in the Packet Neighbour Cell Data message shall include the complete PSI message.</w:t>
            </w:r>
          </w:p>
          <w:p w14:paraId="6B472C6C" w14:textId="77777777" w:rsidR="00711444" w:rsidRPr="004D0DAA" w:rsidRDefault="00711444" w:rsidP="00AA2A4C">
            <w:r w:rsidRPr="004D0DAA">
              <w:t>Extra octets of</w:t>
            </w:r>
            <w:r w:rsidRPr="004D0DAA">
              <w:rPr>
                <w:bCs/>
              </w:rPr>
              <w:t xml:space="preserve"> </w:t>
            </w:r>
            <w:r w:rsidRPr="004D0DAA">
              <w:t>padding bits at the end of the SI/PSI messages may be excluded.</w:t>
            </w:r>
          </w:p>
        </w:tc>
      </w:tr>
    </w:tbl>
    <w:p w14:paraId="63E13B80" w14:textId="77777777" w:rsidR="00711444" w:rsidRPr="004D0DAA" w:rsidRDefault="00711444" w:rsidP="00711444"/>
    <w:p w14:paraId="52B4996E" w14:textId="77777777" w:rsidR="00711444" w:rsidRPr="004D0DAA" w:rsidRDefault="00711444" w:rsidP="00711444">
      <w:pPr>
        <w:pStyle w:val="Heading3"/>
      </w:pPr>
      <w:bookmarkStart w:id="675" w:name="_Toc516669851"/>
      <w:r w:rsidRPr="004D0DAA">
        <w:t>11.2.10</w:t>
      </w:r>
      <w:r w:rsidRPr="004D0DAA">
        <w:tab/>
        <w:t>Packet Paging Request</w:t>
      </w:r>
      <w:bookmarkEnd w:id="675"/>
    </w:p>
    <w:p w14:paraId="756EFB6E" w14:textId="77777777" w:rsidR="00711444" w:rsidRPr="004D0DAA" w:rsidRDefault="00711444" w:rsidP="00711444">
      <w:r w:rsidRPr="004D0DAA">
        <w:t xml:space="preserve">This message is sent on the PCCCH by the network to trigger channel access by up to four mobile stations, for either TBF or RR connection establishment. It may also be sent on PACCH to a mobile station in packet transfer mode to indicate page request for RR connection establishment. The mobile stations are identified by either IMSI, TMSI, P-TMSI or G-RNTI. Depending on the method used to identify the mobile station, 1 - 4 mobile stations can be addressed </w:t>
      </w:r>
      <w:r w:rsidRPr="004D0DAA">
        <w:lastRenderedPageBreak/>
        <w:t>in the message. The PACKET PAGING REQUEST message may also be used to send MBMS (pre-)notifications. Special requirements for the transmission of this message on PACCH applies, see 3GPP TS 45.002. The PACKET PAGING REQUEST message may also be used to broadcast an ETWS Primary Notification message on the PCCCH. If not all information fits into one instance of the PACKET PAGING REQUEST message, the PACKET PAGING REQUEST message can be repeated.</w:t>
      </w:r>
    </w:p>
    <w:p w14:paraId="3DB0AF6F" w14:textId="77777777" w:rsidR="00711444" w:rsidRPr="004D0DAA" w:rsidRDefault="00711444" w:rsidP="00711444">
      <w:r w:rsidRPr="004D0DAA">
        <w:t>Message type:</w:t>
      </w:r>
      <w:r w:rsidRPr="004D0DAA">
        <w:tab/>
        <w:t>PACKET PAGING REQUEST</w:t>
      </w:r>
    </w:p>
    <w:p w14:paraId="3E47148F" w14:textId="77777777" w:rsidR="00711444" w:rsidRPr="004D0DAA" w:rsidRDefault="00711444" w:rsidP="00711444">
      <w:pPr>
        <w:pStyle w:val="EX"/>
      </w:pPr>
      <w:r w:rsidRPr="004D0DAA">
        <w:t>Direction:</w:t>
      </w:r>
      <w:r w:rsidRPr="004D0DAA">
        <w:tab/>
        <w:t>network to mobile station</w:t>
      </w:r>
    </w:p>
    <w:p w14:paraId="47EC869E" w14:textId="77777777" w:rsidR="00711444" w:rsidRPr="004D0DAA" w:rsidRDefault="00711444" w:rsidP="00711444">
      <w:pPr>
        <w:pStyle w:val="EX"/>
      </w:pPr>
      <w:r w:rsidRPr="004D0DAA">
        <w:t>Classification:</w:t>
      </w:r>
      <w:r w:rsidRPr="004D0DAA">
        <w:tab/>
        <w:t>distribution message</w:t>
      </w:r>
    </w:p>
    <w:p w14:paraId="57F53EFA" w14:textId="77777777" w:rsidR="00711444" w:rsidRPr="004D0DAA" w:rsidRDefault="00711444" w:rsidP="00711444">
      <w:pPr>
        <w:pStyle w:val="TH"/>
      </w:pPr>
      <w:r w:rsidRPr="004D0DAA">
        <w:lastRenderedPageBreak/>
        <w:t>Table 11.2.10.1: PACKET PAGING REQUEST message content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87BD947" w14:textId="77777777" w:rsidTr="00AA2A4C">
        <w:tblPrEx>
          <w:tblCellMar>
            <w:top w:w="0" w:type="dxa"/>
            <w:bottom w:w="0" w:type="dxa"/>
          </w:tblCellMar>
        </w:tblPrEx>
        <w:trPr>
          <w:cantSplit/>
        </w:trPr>
        <w:tc>
          <w:tcPr>
            <w:tcW w:w="9848" w:type="dxa"/>
          </w:tcPr>
          <w:p w14:paraId="767DE604" w14:textId="77777777" w:rsidR="00711444" w:rsidRPr="004D0DAA" w:rsidRDefault="00711444" w:rsidP="00AA2A4C">
            <w:pPr>
              <w:pStyle w:val="TAL"/>
              <w:rPr>
                <w:lang w:val="fr-FR" w:eastAsia="en-US"/>
              </w:rPr>
            </w:pPr>
            <w:r w:rsidRPr="004D0DAA">
              <w:rPr>
                <w:lang w:val="fr-FR" w:eastAsia="en-US"/>
              </w:rPr>
              <w:t>&lt; Packet Paging Request message content &gt; ::=</w:t>
            </w:r>
          </w:p>
          <w:p w14:paraId="56EE288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0996A83B"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 xml:space="preserve">PERSISTENCE_LEVEL </w:t>
            </w:r>
            <w:r w:rsidRPr="004D0DAA">
              <w:rPr>
                <w:lang w:eastAsia="en-US"/>
              </w:rPr>
              <w:t>: bit (4) &gt;* 4}</w:t>
            </w:r>
          </w:p>
          <w:p w14:paraId="73C08E5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NLN(PPCH) </w:t>
            </w:r>
            <w:r w:rsidRPr="004D0DAA">
              <w:rPr>
                <w:lang w:eastAsia="en-US"/>
              </w:rPr>
              <w:t>: bit (2) &gt;</w:t>
            </w:r>
            <w:r w:rsidRPr="004D0DAA">
              <w:rPr>
                <w:vertAlign w:val="superscript"/>
                <w:lang w:eastAsia="en-US"/>
              </w:rPr>
              <w:t xml:space="preserve"> </w:t>
            </w:r>
            <w:r w:rsidRPr="004D0DAA">
              <w:rPr>
                <w:lang w:eastAsia="en-US"/>
              </w:rPr>
              <w:t>}</w:t>
            </w:r>
          </w:p>
          <w:p w14:paraId="3D216E35"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1 &lt; </w:t>
            </w:r>
            <w:r w:rsidRPr="004D0DAA">
              <w:rPr>
                <w:b/>
                <w:lang w:eastAsia="en-US"/>
              </w:rPr>
              <w:t>Repeated Page info</w:t>
            </w:r>
            <w:r w:rsidRPr="004D0DAA">
              <w:rPr>
                <w:lang w:eastAsia="en-US"/>
              </w:rPr>
              <w:t xml:space="preserve"> : &lt; Repeated Page info struct &gt; &gt; } ** 0</w:t>
            </w:r>
          </w:p>
          <w:p w14:paraId="468DAF8F" w14:textId="77777777" w:rsidR="00711444" w:rsidRPr="004D0DAA" w:rsidRDefault="00711444" w:rsidP="00AA2A4C">
            <w:pPr>
              <w:pStyle w:val="TAL"/>
              <w:rPr>
                <w:lang w:eastAsia="en-US"/>
              </w:rPr>
            </w:pPr>
            <w:r w:rsidRPr="004D0DAA">
              <w:rPr>
                <w:lang w:eastAsia="en-US"/>
              </w:rPr>
              <w:tab/>
            </w:r>
            <w:r w:rsidRPr="004D0DAA">
              <w:rPr>
                <w:lang w:eastAsia="en-US"/>
              </w:rPr>
              <w:tab/>
              <w:t>{ null</w:t>
            </w:r>
            <w:r w:rsidRPr="004D0DAA">
              <w:rPr>
                <w:lang w:eastAsia="en-US"/>
              </w:rPr>
              <w:tab/>
            </w:r>
          </w:p>
          <w:p w14:paraId="4494E5A7"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1F3B164E" w14:textId="77777777" w:rsidR="00711444" w:rsidRPr="004D0DAA" w:rsidRDefault="00711444" w:rsidP="00AA2A4C">
            <w:pPr>
              <w:pStyle w:val="TAL"/>
              <w:rPr>
                <w:i/>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REL-5 additions:</w:t>
            </w:r>
          </w:p>
          <w:p w14:paraId="38D3719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Repeated Iu Page info</w:t>
            </w:r>
            <w:r w:rsidRPr="004D0DAA">
              <w:rPr>
                <w:lang w:eastAsia="en-US"/>
              </w:rPr>
              <w:t xml:space="preserve"> : &lt; Repeated Iu Page info struct &gt; &gt; } ** 0</w:t>
            </w:r>
          </w:p>
          <w:p w14:paraId="22BABEF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null</w:t>
            </w:r>
            <w:r w:rsidRPr="004D0DAA">
              <w:rPr>
                <w:lang w:eastAsia="en-US"/>
              </w:rPr>
              <w:tab/>
              <w:t>| 0</w:t>
            </w:r>
            <w:r w:rsidRPr="004D0DAA">
              <w:rPr>
                <w:lang w:eastAsia="en-US"/>
              </w:rPr>
              <w:tab/>
              <w:t>bit** = &lt; no string &gt;</w:t>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Receiver compatible with earlier release</w:t>
            </w:r>
          </w:p>
          <w:p w14:paraId="713C301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REL-6 additions:</w:t>
            </w:r>
          </w:p>
          <w:p w14:paraId="2D0EBF73"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 MBMS Information &gt; }</w:t>
            </w:r>
          </w:p>
          <w:p w14:paraId="29D35C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 NLN status(PPCH) : bit (1) &gt; }</w:t>
            </w:r>
          </w:p>
          <w:p w14:paraId="2C8E47B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w:t>
            </w:r>
            <w:r w:rsidRPr="004D0DAA">
              <w:rPr>
                <w:lang w:eastAsia="en-US"/>
              </w:rPr>
              <w:tab/>
              <w:t>bit** = &lt; no string &gt;</w:t>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Receiver compatible with earlier release</w:t>
            </w:r>
          </w:p>
          <w:p w14:paraId="6961600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REL-8 additions:</w:t>
            </w:r>
          </w:p>
          <w:p w14:paraId="57AE3A72"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 ETWS Primary Notification : &lt; ETWS Primary Notification struct &gt; &gt; }</w:t>
            </w:r>
          </w:p>
          <w:p w14:paraId="520506F2" w14:textId="77777777" w:rsidR="00711444" w:rsidRPr="004D0DAA" w:rsidRDefault="00711444" w:rsidP="00AA2A4C">
            <w:pPr>
              <w:pStyle w:val="TAL"/>
              <w:rPr>
                <w:lang w:eastAsia="en-US"/>
              </w:rPr>
            </w:pPr>
            <w:r w:rsidRPr="004D0DAA">
              <w:rPr>
                <w:lang w:eastAsia="en-US"/>
              </w:rPr>
              <w:tab/>
            </w:r>
            <w:r w:rsidRPr="004D0DAA">
              <w:rPr>
                <w:lang w:eastAsia="en-US"/>
              </w:rPr>
              <w:tab/>
              <w:t>&lt; padding bits &gt; } } } }//</w:t>
            </w:r>
            <w:r w:rsidRPr="004D0DAA">
              <w:rPr>
                <w:lang w:eastAsia="en-US"/>
              </w:rPr>
              <w:tab/>
            </w:r>
            <w:r w:rsidRPr="004D0DAA">
              <w:rPr>
                <w:lang w:eastAsia="en-US"/>
              </w:rPr>
              <w:tab/>
              <w:t xml:space="preserve">-- </w:t>
            </w:r>
            <w:r w:rsidRPr="004D0DAA">
              <w:rPr>
                <w:i/>
                <w:lang w:eastAsia="en-US"/>
              </w:rPr>
              <w:t>truncation at end of message allowed, bits '0' assumed</w:t>
            </w:r>
          </w:p>
          <w:p w14:paraId="25E86275" w14:textId="77777777" w:rsidR="00711444" w:rsidRPr="004D0DAA" w:rsidRDefault="00711444" w:rsidP="00AA2A4C">
            <w:pPr>
              <w:pStyle w:val="TAL"/>
              <w:rPr>
                <w:lang w:eastAsia="en-US"/>
              </w:rPr>
            </w:pPr>
            <w:r w:rsidRPr="004D0DAA">
              <w:rPr>
                <w:lang w:eastAsia="en-US"/>
              </w:rPr>
              <w:tab/>
              <w:t>! &lt; Distribution part error : bit (*) = &lt; no string &gt; &gt; ;</w:t>
            </w:r>
          </w:p>
          <w:p w14:paraId="5F15F599" w14:textId="77777777" w:rsidR="00711444" w:rsidRPr="004D0DAA" w:rsidRDefault="00711444" w:rsidP="00AA2A4C">
            <w:pPr>
              <w:pStyle w:val="TAL"/>
              <w:rPr>
                <w:lang w:eastAsia="en-US"/>
              </w:rPr>
            </w:pPr>
          </w:p>
        </w:tc>
      </w:tr>
      <w:tr w:rsidR="00711444" w:rsidRPr="004D0DAA" w14:paraId="010E68AD" w14:textId="77777777" w:rsidTr="00AA2A4C">
        <w:tblPrEx>
          <w:tblCellMar>
            <w:top w:w="0" w:type="dxa"/>
            <w:bottom w:w="0" w:type="dxa"/>
          </w:tblCellMar>
        </w:tblPrEx>
        <w:trPr>
          <w:cantSplit/>
        </w:trPr>
        <w:tc>
          <w:tcPr>
            <w:tcW w:w="9848" w:type="dxa"/>
          </w:tcPr>
          <w:p w14:paraId="724B6BCE" w14:textId="77777777" w:rsidR="00711444" w:rsidRPr="004D0DAA" w:rsidRDefault="00711444" w:rsidP="00AA2A4C">
            <w:pPr>
              <w:pStyle w:val="TAL"/>
              <w:rPr>
                <w:lang w:eastAsia="en-US"/>
              </w:rPr>
            </w:pPr>
            <w:r w:rsidRPr="004D0DAA">
              <w:rPr>
                <w:lang w:eastAsia="en-US"/>
              </w:rPr>
              <w:t>&lt; Repeated Page info struct &gt; ::=</w:t>
            </w:r>
          </w:p>
          <w:p w14:paraId="5273B712"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Page request for TBF establishment</w:t>
            </w:r>
          </w:p>
          <w:p w14:paraId="3C43037B"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xml:space="preserve">&lt; </w:t>
            </w:r>
            <w:r w:rsidRPr="004D0DAA">
              <w:rPr>
                <w:b/>
                <w:lang w:eastAsia="en-US"/>
              </w:rPr>
              <w:t xml:space="preserve">PTMSI </w:t>
            </w:r>
            <w:r w:rsidRPr="004D0DAA">
              <w:rPr>
                <w:lang w:eastAsia="en-US"/>
              </w:rPr>
              <w:t>: bit (32) &gt;</w:t>
            </w:r>
          </w:p>
          <w:p w14:paraId="71E96CA2"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Length of Mobile Identity contents</w:t>
            </w:r>
            <w:r w:rsidRPr="004D0DAA">
              <w:rPr>
                <w:lang w:eastAsia="en-US"/>
              </w:rPr>
              <w:t xml:space="preserve"> : bit (4) &gt;</w:t>
            </w:r>
          </w:p>
          <w:p w14:paraId="22F972B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Mobile Identity</w:t>
            </w:r>
            <w:r w:rsidRPr="004D0DAA">
              <w:rPr>
                <w:lang w:eastAsia="en-US"/>
              </w:rPr>
              <w:t xml:space="preserve"> : octet (val (Length of Mobile Identity contents)) &gt; }</w:t>
            </w:r>
          </w:p>
          <w:p w14:paraId="56B2DE06"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Page request for RR conn. establishment</w:t>
            </w:r>
          </w:p>
          <w:p w14:paraId="26FC7C93"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xml:space="preserve">&lt; </w:t>
            </w:r>
            <w:r w:rsidRPr="004D0DAA">
              <w:rPr>
                <w:b/>
                <w:lang w:eastAsia="en-US"/>
              </w:rPr>
              <w:t xml:space="preserve">TMSI </w:t>
            </w:r>
            <w:r w:rsidRPr="004D0DAA">
              <w:rPr>
                <w:lang w:eastAsia="en-US"/>
              </w:rPr>
              <w:t>: bit (32) &gt;</w:t>
            </w:r>
          </w:p>
          <w:p w14:paraId="3F43D890"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Length of Mobile Identity contents</w:t>
            </w:r>
            <w:r w:rsidRPr="004D0DAA">
              <w:rPr>
                <w:lang w:eastAsia="en-US"/>
              </w:rPr>
              <w:t xml:space="preserve"> : bit (4) &gt;</w:t>
            </w:r>
          </w:p>
          <w:p w14:paraId="28D7D8E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Mobile Identity </w:t>
            </w:r>
            <w:r w:rsidRPr="004D0DAA">
              <w:rPr>
                <w:lang w:eastAsia="en-US"/>
              </w:rPr>
              <w:t>: octet (val (Length of Mobile Identity contents)) &gt; }</w:t>
            </w:r>
          </w:p>
          <w:p w14:paraId="7BA86EB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CHANNEL_NEEDED</w:t>
            </w:r>
            <w:r w:rsidRPr="004D0DAA">
              <w:rPr>
                <w:lang w:eastAsia="en-US"/>
              </w:rPr>
              <w:t xml:space="preserve"> : bit (2) &gt;</w:t>
            </w:r>
          </w:p>
          <w:p w14:paraId="07ACD5D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eMLPP_PRIORITY</w:t>
            </w:r>
            <w:r w:rsidRPr="004D0DAA">
              <w:rPr>
                <w:lang w:eastAsia="en-US"/>
              </w:rPr>
              <w:t xml:space="preserve"> : bit (3) &gt; } }</w:t>
            </w:r>
          </w:p>
          <w:p w14:paraId="0C94BE7A" w14:textId="77777777" w:rsidR="00711444" w:rsidRPr="004D0DAA" w:rsidRDefault="00711444" w:rsidP="00AA2A4C">
            <w:pPr>
              <w:pStyle w:val="TAL"/>
              <w:rPr>
                <w:lang w:eastAsia="en-US"/>
              </w:rPr>
            </w:pPr>
            <w:r w:rsidRPr="004D0DAA">
              <w:rPr>
                <w:lang w:eastAsia="en-US"/>
              </w:rPr>
              <w:tab/>
              <w:t>! &lt; Ignore : bit (*) = &lt;no string&gt; &gt; ;</w:t>
            </w:r>
          </w:p>
          <w:p w14:paraId="415BFD3A" w14:textId="77777777" w:rsidR="00711444" w:rsidRPr="004D0DAA" w:rsidRDefault="00711444" w:rsidP="00AA2A4C">
            <w:pPr>
              <w:pStyle w:val="TAL"/>
              <w:rPr>
                <w:lang w:eastAsia="en-US"/>
              </w:rPr>
            </w:pPr>
          </w:p>
        </w:tc>
      </w:tr>
      <w:tr w:rsidR="00711444" w:rsidRPr="004D0DAA" w14:paraId="091775DA" w14:textId="77777777" w:rsidTr="00AA2A4C">
        <w:tblPrEx>
          <w:tblCellMar>
            <w:top w:w="0" w:type="dxa"/>
            <w:bottom w:w="0" w:type="dxa"/>
          </w:tblCellMar>
        </w:tblPrEx>
        <w:trPr>
          <w:cantSplit/>
        </w:trPr>
        <w:tc>
          <w:tcPr>
            <w:tcW w:w="9848" w:type="dxa"/>
          </w:tcPr>
          <w:p w14:paraId="20D256B8" w14:textId="77777777" w:rsidR="00711444" w:rsidRPr="004D0DAA" w:rsidRDefault="00711444" w:rsidP="00AA2A4C">
            <w:pPr>
              <w:pStyle w:val="TAL"/>
              <w:rPr>
                <w:lang w:eastAsia="en-US"/>
              </w:rPr>
            </w:pPr>
            <w:r w:rsidRPr="004D0DAA">
              <w:rPr>
                <w:lang w:eastAsia="en-US"/>
              </w:rPr>
              <w:t>&lt; Repeated Iu Page info struct &gt; ::=</w:t>
            </w:r>
          </w:p>
          <w:p w14:paraId="40558838" w14:textId="77777777" w:rsidR="00711444" w:rsidRPr="004D0DAA" w:rsidRDefault="00711444" w:rsidP="00AA2A4C">
            <w:pPr>
              <w:pStyle w:val="TAL"/>
              <w:rPr>
                <w:lang w:eastAsia="en-US"/>
              </w:rPr>
            </w:pPr>
            <w:r w:rsidRPr="004D0DAA">
              <w:rPr>
                <w:lang w:eastAsia="en-US"/>
              </w:rPr>
              <w:tab/>
              <w:t>{</w:t>
            </w:r>
          </w:p>
          <w:p w14:paraId="2C57943D"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xml:space="preserve">&lt; </w:t>
            </w:r>
            <w:r w:rsidRPr="004D0DAA">
              <w:rPr>
                <w:b/>
                <w:lang w:eastAsia="en-US"/>
              </w:rPr>
              <w:t>G-RNTI</w:t>
            </w:r>
            <w:r w:rsidRPr="004D0DAA">
              <w:rPr>
                <w:lang w:eastAsia="en-US"/>
              </w:rPr>
              <w:t xml:space="preserve">: bit(32) &gt; </w:t>
            </w:r>
            <w:r w:rsidRPr="004D0DAA">
              <w:rPr>
                <w:lang w:eastAsia="en-US"/>
              </w:rPr>
              <w:tab/>
            </w:r>
            <w:r w:rsidRPr="004D0DAA">
              <w:rPr>
                <w:lang w:eastAsia="en-US"/>
              </w:rPr>
              <w:tab/>
              <w:t xml:space="preserve">-- </w:t>
            </w:r>
            <w:r w:rsidRPr="004D0DAA">
              <w:rPr>
                <w:i/>
                <w:lang w:eastAsia="en-US"/>
              </w:rPr>
              <w:t>used for a CN page to an MS in RRC connected mode, or a GERAN initiated page</w:t>
            </w:r>
            <w:r w:rsidRPr="004D0DAA">
              <w:rPr>
                <w:lang w:eastAsia="en-US"/>
              </w:rPr>
              <w:tab/>
            </w:r>
            <w:r w:rsidRPr="004D0DAA">
              <w:rPr>
                <w:lang w:eastAsia="en-US"/>
              </w:rPr>
              <w:tab/>
            </w:r>
            <w:r w:rsidRPr="004D0DAA">
              <w:rPr>
                <w:lang w:eastAsia="en-US"/>
              </w:rPr>
              <w:tab/>
              <w:t xml:space="preserve">{ 0 | 1 &lt; </w:t>
            </w:r>
            <w:r w:rsidRPr="004D0DAA">
              <w:rPr>
                <w:b/>
                <w:bCs/>
                <w:lang w:eastAsia="en-US"/>
              </w:rPr>
              <w:t xml:space="preserve">Page info struct </w:t>
            </w:r>
            <w:r w:rsidRPr="004D0DAA">
              <w:rPr>
                <w:lang w:eastAsia="en-US"/>
              </w:rPr>
              <w:t xml:space="preserve">: &lt; Page info struct &gt; &gt; } </w:t>
            </w:r>
            <w:r w:rsidRPr="004D0DAA">
              <w:rPr>
                <w:lang w:eastAsia="en-US"/>
              </w:rPr>
              <w:tab/>
              <w:t xml:space="preserve">-- </w:t>
            </w:r>
            <w:r w:rsidRPr="004D0DAA">
              <w:rPr>
                <w:i/>
                <w:lang w:eastAsia="en-US"/>
              </w:rPr>
              <w:t>only included for a CN page</w:t>
            </w:r>
          </w:p>
          <w:p w14:paraId="36DEB9AF" w14:textId="77777777" w:rsidR="00711444" w:rsidRPr="004D0DAA" w:rsidRDefault="00711444" w:rsidP="00AA2A4C">
            <w:pPr>
              <w:pStyle w:val="TAL"/>
              <w:rPr>
                <w:lang w:eastAsia="en-US"/>
              </w:rPr>
            </w:pPr>
            <w:r w:rsidRPr="004D0DAA">
              <w:rPr>
                <w:lang w:eastAsia="en-US"/>
              </w:rPr>
              <w:tab/>
            </w:r>
            <w:r w:rsidRPr="004D0DAA">
              <w:rPr>
                <w:lang w:eastAsia="en-US"/>
              </w:rPr>
              <w:tab/>
              <w:t>| 1</w:t>
            </w:r>
          </w:p>
          <w:p w14:paraId="19863A0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00 </w:t>
            </w:r>
            <w:r w:rsidRPr="004D0DAA">
              <w:rPr>
                <w:lang w:eastAsia="en-US"/>
              </w:rPr>
              <w:tab/>
              <w:t xml:space="preserve">&lt; </w:t>
            </w:r>
            <w:r w:rsidRPr="004D0DAA">
              <w:rPr>
                <w:b/>
                <w:lang w:eastAsia="en-US"/>
              </w:rPr>
              <w:t xml:space="preserve">TMSI </w:t>
            </w:r>
            <w:r w:rsidRPr="004D0DAA">
              <w:rPr>
                <w:lang w:eastAsia="en-US"/>
              </w:rPr>
              <w:t>: bit (32) &gt;</w:t>
            </w:r>
          </w:p>
          <w:p w14:paraId="4D6CF50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01</w:t>
            </w:r>
            <w:r w:rsidRPr="004D0DAA">
              <w:rPr>
                <w:lang w:eastAsia="en-US"/>
              </w:rPr>
              <w:tab/>
              <w:t xml:space="preserve">&lt; </w:t>
            </w:r>
            <w:r w:rsidRPr="004D0DAA">
              <w:rPr>
                <w:b/>
                <w:bCs/>
                <w:lang w:eastAsia="en-US"/>
              </w:rPr>
              <w:t>P</w:t>
            </w:r>
            <w:r w:rsidRPr="004D0DAA">
              <w:rPr>
                <w:b/>
                <w:lang w:eastAsia="en-US"/>
              </w:rPr>
              <w:t xml:space="preserve">TMSI </w:t>
            </w:r>
            <w:r w:rsidRPr="004D0DAA">
              <w:rPr>
                <w:lang w:eastAsia="en-US"/>
              </w:rPr>
              <w:t>: bit (32) &gt;</w:t>
            </w:r>
          </w:p>
          <w:p w14:paraId="68003F1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11</w:t>
            </w:r>
            <w:r w:rsidRPr="004D0DAA">
              <w:rPr>
                <w:lang w:eastAsia="en-US"/>
              </w:rPr>
              <w:tab/>
              <w:t>{</w:t>
            </w:r>
            <w:r w:rsidRPr="004D0DAA">
              <w:rPr>
                <w:lang w:eastAsia="en-US"/>
              </w:rPr>
              <w:tab/>
              <w:t xml:space="preserve">&lt; </w:t>
            </w:r>
            <w:r w:rsidRPr="004D0DAA">
              <w:rPr>
                <w:b/>
                <w:lang w:eastAsia="en-US"/>
              </w:rPr>
              <w:t>Length of Mobile Identity contents</w:t>
            </w:r>
            <w:r w:rsidRPr="004D0DAA">
              <w:rPr>
                <w:lang w:eastAsia="en-US"/>
              </w:rPr>
              <w:t xml:space="preserve"> : bit (4) &gt;</w:t>
            </w:r>
          </w:p>
          <w:p w14:paraId="6C814EB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Mobile Identity</w:t>
            </w:r>
            <w:r w:rsidRPr="004D0DAA">
              <w:rPr>
                <w:lang w:eastAsia="en-US"/>
              </w:rPr>
              <w:t xml:space="preserve"> : octet (val (Length of Mobile Identity contents)) &gt; }</w:t>
            </w:r>
          </w:p>
          <w:p w14:paraId="37B68C6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Page info struct </w:t>
            </w:r>
            <w:r w:rsidRPr="004D0DAA">
              <w:rPr>
                <w:lang w:eastAsia="en-US"/>
              </w:rPr>
              <w:t>: &lt; Page info struct &gt; &gt; }</w:t>
            </w:r>
          </w:p>
          <w:p w14:paraId="7134A92C"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eMLPP_PRIORITY</w:t>
            </w:r>
            <w:r w:rsidRPr="004D0DAA">
              <w:rPr>
                <w:lang w:eastAsia="en-US"/>
              </w:rPr>
              <w:t xml:space="preserve"> : bit (3) &gt; } }</w:t>
            </w:r>
          </w:p>
          <w:p w14:paraId="0C4AFCD1" w14:textId="77777777" w:rsidR="00711444" w:rsidRPr="004D0DAA" w:rsidRDefault="00711444" w:rsidP="00AA2A4C">
            <w:pPr>
              <w:pStyle w:val="TAL"/>
              <w:rPr>
                <w:lang w:eastAsia="en-US"/>
              </w:rPr>
            </w:pPr>
            <w:r w:rsidRPr="004D0DAA">
              <w:rPr>
                <w:lang w:eastAsia="en-US"/>
              </w:rPr>
              <w:tab/>
              <w:t>! &lt; Ignore : bit (*) = &lt;no string&gt; &gt; ;</w:t>
            </w:r>
          </w:p>
          <w:p w14:paraId="33D18CE8" w14:textId="77777777" w:rsidR="00711444" w:rsidRPr="004D0DAA" w:rsidRDefault="00711444" w:rsidP="00AA2A4C">
            <w:pPr>
              <w:pStyle w:val="TAL"/>
              <w:rPr>
                <w:lang w:eastAsia="en-US"/>
              </w:rPr>
            </w:pPr>
          </w:p>
        </w:tc>
      </w:tr>
      <w:tr w:rsidR="00711444" w:rsidRPr="004D0DAA" w14:paraId="779628AB" w14:textId="77777777" w:rsidTr="00AA2A4C">
        <w:tblPrEx>
          <w:tblCellMar>
            <w:top w:w="0" w:type="dxa"/>
            <w:bottom w:w="0" w:type="dxa"/>
          </w:tblCellMar>
        </w:tblPrEx>
        <w:trPr>
          <w:cantSplit/>
        </w:trPr>
        <w:tc>
          <w:tcPr>
            <w:tcW w:w="9848" w:type="dxa"/>
          </w:tcPr>
          <w:p w14:paraId="6410F04E" w14:textId="77777777" w:rsidR="00711444" w:rsidRPr="004D0DAA" w:rsidRDefault="00711444" w:rsidP="00AA2A4C">
            <w:pPr>
              <w:pStyle w:val="TAL"/>
              <w:rPr>
                <w:lang w:eastAsia="en-US"/>
              </w:rPr>
            </w:pPr>
            <w:r w:rsidRPr="004D0DAA">
              <w:rPr>
                <w:lang w:eastAsia="en-US"/>
              </w:rPr>
              <w:t>&lt; MBMS Information &gt; ::=</w:t>
            </w:r>
          </w:p>
          <w:p w14:paraId="78DFBE71" w14:textId="77777777" w:rsidR="00711444" w:rsidRPr="004D0DAA" w:rsidRDefault="00711444" w:rsidP="00AA2A4C">
            <w:pPr>
              <w:pStyle w:val="TAL"/>
              <w:rPr>
                <w:lang w:eastAsia="en-US"/>
              </w:rPr>
            </w:pPr>
            <w:r w:rsidRPr="004D0DAA">
              <w:rPr>
                <w:lang w:eastAsia="en-US"/>
              </w:rPr>
              <w:tab/>
              <w:t>{</w:t>
            </w:r>
          </w:p>
          <w:p w14:paraId="3A99FAA6"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w:t>
            </w:r>
            <w:r w:rsidRPr="004D0DAA">
              <w:rPr>
                <w:i/>
                <w:iCs/>
                <w:lang w:eastAsia="en-US"/>
              </w:rPr>
              <w:t>Pre-notifications</w:t>
            </w:r>
          </w:p>
          <w:p w14:paraId="4031870D" w14:textId="77777777" w:rsidR="00711444" w:rsidRPr="004D0DAA" w:rsidRDefault="00711444" w:rsidP="00AA2A4C">
            <w:pPr>
              <w:pStyle w:val="TAL"/>
              <w:rPr>
                <w:b/>
                <w:bCs/>
                <w:lang w:eastAsia="en-US"/>
              </w:rPr>
            </w:pPr>
            <w:r w:rsidRPr="004D0DAA">
              <w:rPr>
                <w:lang w:eastAsia="en-US"/>
              </w:rPr>
              <w:tab/>
            </w:r>
            <w:r w:rsidRPr="004D0DAA">
              <w:rPr>
                <w:lang w:eastAsia="en-US"/>
              </w:rPr>
              <w:tab/>
              <w:t xml:space="preserve">&lt; </w:t>
            </w:r>
            <w:r w:rsidRPr="004D0DAA">
              <w:rPr>
                <w:b/>
                <w:bCs/>
                <w:lang w:eastAsia="en-US"/>
              </w:rPr>
              <w:t xml:space="preserve">MBMS Sessions List </w:t>
            </w:r>
            <w:r w:rsidRPr="004D0DAA">
              <w:rPr>
                <w:lang w:eastAsia="en-US"/>
              </w:rPr>
              <w:t>: &lt; MBMS Sessions List IE &gt; &gt;</w:t>
            </w:r>
          </w:p>
          <w:p w14:paraId="4716C1E8" w14:textId="77777777" w:rsidR="00711444" w:rsidRPr="004D0DAA" w:rsidRDefault="00711444" w:rsidP="00AA2A4C">
            <w:pPr>
              <w:pStyle w:val="TAL"/>
              <w:rPr>
                <w:lang w:eastAsia="en-US"/>
              </w:rPr>
            </w:pPr>
          </w:p>
          <w:p w14:paraId="4F19C65C"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w:t>
            </w:r>
            <w:r w:rsidRPr="004D0DAA">
              <w:rPr>
                <w:i/>
                <w:iCs/>
                <w:lang w:eastAsia="en-US"/>
              </w:rPr>
              <w:t>Notifications: listed per MBMS Channel Parameters</w:t>
            </w:r>
          </w:p>
          <w:p w14:paraId="2ADB9289"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MBMS Channel Parameters</w:t>
            </w:r>
            <w:r w:rsidRPr="004D0DAA">
              <w:rPr>
                <w:lang w:eastAsia="en-US"/>
              </w:rPr>
              <w:t xml:space="preserve"> : &lt; MBMS Channel Parameters IE &gt; &gt;</w:t>
            </w:r>
          </w:p>
          <w:p w14:paraId="449166D0"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MBMS Sessions List </w:t>
            </w:r>
            <w:r w:rsidRPr="004D0DAA">
              <w:rPr>
                <w:lang w:eastAsia="en-US"/>
              </w:rPr>
              <w:t>: &lt; MBMS Sessions List IE &gt; &gt; } ** 0 } }</w:t>
            </w:r>
          </w:p>
          <w:p w14:paraId="192219A0" w14:textId="77777777" w:rsidR="00711444" w:rsidRPr="004D0DAA" w:rsidRDefault="00711444" w:rsidP="00AA2A4C">
            <w:pPr>
              <w:pStyle w:val="TAL"/>
              <w:rPr>
                <w:lang w:eastAsia="en-US"/>
              </w:rPr>
            </w:pPr>
            <w:r w:rsidRPr="004D0DAA">
              <w:rPr>
                <w:lang w:eastAsia="en-US"/>
              </w:rPr>
              <w:tab/>
              <w:t>! &lt; Ignore : bit (*) = &lt;no string&gt; &gt; ;</w:t>
            </w:r>
          </w:p>
          <w:p w14:paraId="4C3DBD5B" w14:textId="77777777" w:rsidR="00711444" w:rsidRPr="004D0DAA" w:rsidRDefault="00711444" w:rsidP="00AA2A4C">
            <w:pPr>
              <w:pStyle w:val="TAL"/>
              <w:rPr>
                <w:lang w:eastAsia="en-US"/>
              </w:rPr>
            </w:pPr>
          </w:p>
        </w:tc>
      </w:tr>
      <w:tr w:rsidR="00711444" w:rsidRPr="004D0DAA" w14:paraId="216918AA" w14:textId="77777777" w:rsidTr="00AA2A4C">
        <w:tblPrEx>
          <w:tblCellMar>
            <w:top w:w="0" w:type="dxa"/>
            <w:bottom w:w="0" w:type="dxa"/>
          </w:tblCellMar>
        </w:tblPrEx>
        <w:trPr>
          <w:cantSplit/>
        </w:trPr>
        <w:tc>
          <w:tcPr>
            <w:tcW w:w="9848" w:type="dxa"/>
          </w:tcPr>
          <w:p w14:paraId="56A31571" w14:textId="77777777" w:rsidR="00711444" w:rsidRPr="004D0DAA" w:rsidRDefault="00711444" w:rsidP="00AA2A4C">
            <w:pPr>
              <w:pStyle w:val="TAL"/>
              <w:rPr>
                <w:lang w:eastAsia="en-US"/>
              </w:rPr>
            </w:pPr>
            <w:r w:rsidRPr="004D0DAA">
              <w:rPr>
                <w:lang w:eastAsia="en-US"/>
              </w:rPr>
              <w:t>&lt; Page info struct &gt; :: =</w:t>
            </w:r>
          </w:p>
          <w:p w14:paraId="497A6A7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PAGING CAUSE</w:t>
            </w:r>
            <w:r w:rsidRPr="004D0DAA">
              <w:rPr>
                <w:lang w:eastAsia="en-US"/>
              </w:rPr>
              <w:t xml:space="preserve"> : bit (3) &gt; </w:t>
            </w:r>
          </w:p>
          <w:p w14:paraId="7854207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CN DOMAIN IDENTITY</w:t>
            </w:r>
            <w:r w:rsidRPr="004D0DAA">
              <w:rPr>
                <w:lang w:eastAsia="en-US"/>
              </w:rPr>
              <w:t xml:space="preserve"> : bit (2)</w:t>
            </w:r>
            <w:r w:rsidRPr="004D0DAA">
              <w:rPr>
                <w:b/>
                <w:lang w:eastAsia="en-US"/>
              </w:rPr>
              <w:t xml:space="preserve"> </w:t>
            </w:r>
            <w:r w:rsidRPr="004D0DAA">
              <w:rPr>
                <w:lang w:eastAsia="en-US"/>
              </w:rPr>
              <w:t>&gt;</w:t>
            </w:r>
          </w:p>
          <w:p w14:paraId="4E6E5404" w14:textId="77777777" w:rsidR="00711444" w:rsidRPr="004D0DAA" w:rsidRDefault="00711444" w:rsidP="00AA2A4C">
            <w:pPr>
              <w:pStyle w:val="TAL"/>
              <w:rPr>
                <w:i/>
                <w:iCs/>
                <w:lang w:eastAsia="en-US"/>
              </w:rPr>
            </w:pPr>
            <w:r w:rsidRPr="004D0DAA">
              <w:rPr>
                <w:lang w:eastAsia="en-US"/>
              </w:rPr>
              <w:tab/>
              <w:t xml:space="preserve">{ 0 | 1 &lt; </w:t>
            </w:r>
            <w:r w:rsidRPr="004D0DAA">
              <w:rPr>
                <w:b/>
                <w:bCs/>
                <w:lang w:eastAsia="en-US"/>
              </w:rPr>
              <w:t xml:space="preserve">Paging Record Type Identifier </w:t>
            </w:r>
            <w:r w:rsidRPr="004D0DAA">
              <w:rPr>
                <w:lang w:eastAsia="en-US"/>
              </w:rPr>
              <w:t xml:space="preserve">: bit (2) &gt; }; -- </w:t>
            </w:r>
            <w:r w:rsidRPr="004D0DAA">
              <w:rPr>
                <w:i/>
                <w:iCs/>
                <w:lang w:eastAsia="en-US"/>
              </w:rPr>
              <w:t>This field Is only included if the MS is paged using a G-RNTI</w:t>
            </w:r>
          </w:p>
          <w:p w14:paraId="7999EEBF" w14:textId="77777777" w:rsidR="00711444" w:rsidRPr="004D0DAA" w:rsidRDefault="00711444" w:rsidP="00AA2A4C">
            <w:pPr>
              <w:pStyle w:val="TAL"/>
              <w:rPr>
                <w:iCs/>
                <w:lang w:eastAsia="en-US"/>
              </w:rPr>
            </w:pPr>
          </w:p>
        </w:tc>
      </w:tr>
      <w:tr w:rsidR="00711444" w:rsidRPr="004D0DAA" w14:paraId="5A1CBC05" w14:textId="77777777" w:rsidTr="00AA2A4C">
        <w:tblPrEx>
          <w:tblCellMar>
            <w:top w:w="0" w:type="dxa"/>
            <w:bottom w:w="0" w:type="dxa"/>
          </w:tblCellMar>
        </w:tblPrEx>
        <w:trPr>
          <w:cantSplit/>
        </w:trPr>
        <w:tc>
          <w:tcPr>
            <w:tcW w:w="9848" w:type="dxa"/>
            <w:tcBorders>
              <w:left w:val="single" w:sz="4" w:space="0" w:color="auto"/>
              <w:bottom w:val="single" w:sz="4" w:space="0" w:color="auto"/>
              <w:right w:val="single" w:sz="4" w:space="0" w:color="auto"/>
            </w:tcBorders>
          </w:tcPr>
          <w:p w14:paraId="57E3EE39" w14:textId="77777777" w:rsidR="00711444" w:rsidRPr="004D0DAA" w:rsidRDefault="00711444" w:rsidP="00AA2A4C">
            <w:pPr>
              <w:pStyle w:val="TAL"/>
              <w:rPr>
                <w:lang w:eastAsia="en-US"/>
              </w:rPr>
            </w:pPr>
            <w:r w:rsidRPr="004D0DAA">
              <w:rPr>
                <w:lang w:eastAsia="en-US"/>
              </w:rPr>
              <w:lastRenderedPageBreak/>
              <w:t>&lt; ETWS Primary Notification struct &gt; ::=</w:t>
            </w:r>
            <w:r w:rsidRPr="004D0DAA">
              <w:rPr>
                <w:lang w:eastAsia="en-US"/>
              </w:rPr>
              <w:tab/>
            </w:r>
          </w:p>
          <w:p w14:paraId="5E36F0F3" w14:textId="77777777" w:rsidR="00711444" w:rsidRPr="004D0DAA" w:rsidRDefault="00711444" w:rsidP="00AA2A4C">
            <w:pPr>
              <w:pStyle w:val="TAL"/>
              <w:rPr>
                <w:i/>
                <w:lang w:eastAsia="en-US"/>
              </w:rPr>
            </w:pPr>
            <w:r w:rsidRPr="004D0DAA">
              <w:rPr>
                <w:lang w:eastAsia="en-US"/>
              </w:rPr>
              <w:tab/>
              <w:t xml:space="preserve">{0 </w:t>
            </w:r>
            <w:r w:rsidRPr="004D0DAA">
              <w:rPr>
                <w:lang w:eastAsia="en-US"/>
              </w:rPr>
              <w:tab/>
            </w:r>
            <w:r w:rsidRPr="004D0DAA">
              <w:rPr>
                <w:lang w:eastAsia="en-US"/>
              </w:rPr>
              <w:tab/>
              <w:t xml:space="preserve">-- </w:t>
            </w:r>
            <w:r w:rsidRPr="004D0DAA">
              <w:rPr>
                <w:i/>
                <w:lang w:eastAsia="en-US"/>
              </w:rPr>
              <w:t>First segment of ETWS Primary Notification, number of segments included</w:t>
            </w:r>
          </w:p>
          <w:p w14:paraId="7CC677DC"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Total No Of Segments For ETWS Primary Notification</w:t>
            </w:r>
            <w:r w:rsidRPr="004D0DAA">
              <w:rPr>
                <w:lang w:eastAsia="en-US"/>
              </w:rPr>
              <w:t xml:space="preserve"> : bit (4) &gt;</w:t>
            </w:r>
          </w:p>
          <w:p w14:paraId="64F12E1A"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t xml:space="preserve">-- </w:t>
            </w:r>
            <w:r w:rsidRPr="004D0DAA">
              <w:rPr>
                <w:i/>
                <w:lang w:eastAsia="en-US"/>
              </w:rPr>
              <w:t>Not first segment, segment number included</w:t>
            </w:r>
          </w:p>
          <w:p w14:paraId="13828CF7" w14:textId="77777777" w:rsidR="00711444" w:rsidRPr="004D0DAA" w:rsidRDefault="00711444" w:rsidP="00AA2A4C">
            <w:pPr>
              <w:pStyle w:val="TAL"/>
              <w:rPr>
                <w:lang w:eastAsia="en-US"/>
              </w:rPr>
            </w:pPr>
            <w:r w:rsidRPr="004D0DAA">
              <w:rPr>
                <w:lang w:eastAsia="en-US"/>
              </w:rPr>
              <w:tab/>
            </w:r>
            <w:r w:rsidRPr="004D0DAA">
              <w:rPr>
                <w:lang w:eastAsia="en-US"/>
              </w:rPr>
              <w:tab/>
              <w:t>&lt;</w:t>
            </w:r>
            <w:r w:rsidRPr="004D0DAA">
              <w:rPr>
                <w:b/>
                <w:lang w:eastAsia="en-US"/>
              </w:rPr>
              <w:t xml:space="preserve"> Segment Number</w:t>
            </w:r>
            <w:r w:rsidRPr="004D0DAA">
              <w:rPr>
                <w:lang w:eastAsia="en-US"/>
              </w:rPr>
              <w:t xml:space="preserve"> : bit (4) &gt;</w:t>
            </w:r>
          </w:p>
          <w:p w14:paraId="12669A54" w14:textId="77777777" w:rsidR="00711444" w:rsidRPr="004D0DAA" w:rsidRDefault="00711444" w:rsidP="00AA2A4C">
            <w:pPr>
              <w:pStyle w:val="TAL"/>
              <w:rPr>
                <w:lang w:eastAsia="en-US"/>
              </w:rPr>
            </w:pPr>
            <w:r w:rsidRPr="004D0DAA">
              <w:rPr>
                <w:lang w:eastAsia="en-US"/>
              </w:rPr>
              <w:tab/>
              <w:t>}</w:t>
            </w:r>
          </w:p>
          <w:p w14:paraId="053B3DA5"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 PNI</w:t>
            </w:r>
            <w:r w:rsidRPr="004D0DAA">
              <w:rPr>
                <w:lang w:eastAsia="en-US"/>
              </w:rPr>
              <w:t>: bit (1) &gt;</w:t>
            </w:r>
            <w:r w:rsidRPr="004D0DAA">
              <w:rPr>
                <w:lang w:eastAsia="en-US"/>
              </w:rPr>
              <w:tab/>
            </w:r>
            <w:r w:rsidRPr="004D0DAA">
              <w:rPr>
                <w:lang w:eastAsia="en-US"/>
              </w:rPr>
              <w:tab/>
              <w:t xml:space="preserve">-- </w:t>
            </w:r>
            <w:r w:rsidRPr="004D0DAA">
              <w:rPr>
                <w:i/>
                <w:lang w:eastAsia="en-US"/>
              </w:rPr>
              <w:t>identifier for segments belonging to one and the same ETWS Primary Notification message</w:t>
            </w:r>
          </w:p>
          <w:p w14:paraId="4CB88E1A"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 Length Of Segment</w:t>
            </w:r>
            <w:r w:rsidRPr="004D0DAA">
              <w:rPr>
                <w:lang w:eastAsia="en-US"/>
              </w:rPr>
              <w:t xml:space="preserve"> : bit (7) &gt;</w:t>
            </w:r>
            <w:r w:rsidRPr="004D0DAA">
              <w:rPr>
                <w:lang w:eastAsia="en-US"/>
              </w:rPr>
              <w:tab/>
              <w:t>--</w:t>
            </w:r>
            <w:r w:rsidRPr="004D0DAA">
              <w:rPr>
                <w:i/>
                <w:lang w:eastAsia="en-US"/>
              </w:rPr>
              <w:t xml:space="preserve"> length of segment in bits</w:t>
            </w:r>
          </w:p>
          <w:p w14:paraId="5F3046E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ETWS Primary Notification Data</w:t>
            </w:r>
            <w:r w:rsidRPr="004D0DAA">
              <w:rPr>
                <w:lang w:eastAsia="en-US"/>
              </w:rPr>
              <w:t xml:space="preserve"> : bit (val(Length of segment)) &gt;;</w:t>
            </w:r>
          </w:p>
        </w:tc>
      </w:tr>
    </w:tbl>
    <w:p w14:paraId="1B65FD2F" w14:textId="77777777" w:rsidR="00711444" w:rsidRPr="004D0DAA" w:rsidRDefault="00711444" w:rsidP="00711444"/>
    <w:p w14:paraId="32AEC719" w14:textId="77777777" w:rsidR="00711444" w:rsidRPr="004D0DAA" w:rsidRDefault="00711444" w:rsidP="00711444">
      <w:pPr>
        <w:pStyle w:val="TH"/>
      </w:pPr>
      <w:r w:rsidRPr="004D0DAA">
        <w:t>Table 11.2.10.2: PACKET PAGING REQUEST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FA8578D" w14:textId="77777777" w:rsidTr="00AA2A4C">
        <w:tblPrEx>
          <w:tblCellMar>
            <w:top w:w="0" w:type="dxa"/>
            <w:bottom w:w="0" w:type="dxa"/>
          </w:tblCellMar>
        </w:tblPrEx>
        <w:trPr>
          <w:cantSplit/>
        </w:trPr>
        <w:tc>
          <w:tcPr>
            <w:tcW w:w="9848" w:type="dxa"/>
          </w:tcPr>
          <w:p w14:paraId="7618C772"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1CFCC1E7" w14:textId="77777777" w:rsidTr="00AA2A4C">
        <w:tblPrEx>
          <w:tblCellMar>
            <w:top w:w="0" w:type="dxa"/>
            <w:bottom w:w="0" w:type="dxa"/>
          </w:tblCellMar>
        </w:tblPrEx>
        <w:trPr>
          <w:cantSplit/>
        </w:trPr>
        <w:tc>
          <w:tcPr>
            <w:tcW w:w="9848" w:type="dxa"/>
          </w:tcPr>
          <w:p w14:paraId="68338EDE" w14:textId="77777777" w:rsidR="00711444" w:rsidRPr="004D0DAA" w:rsidRDefault="00711444" w:rsidP="00AA2A4C">
            <w:pPr>
              <w:rPr>
                <w:b/>
              </w:rPr>
            </w:pPr>
            <w:r w:rsidRPr="004D0DAA">
              <w:rPr>
                <w:b/>
              </w:rPr>
              <w:t xml:space="preserve">PERSISTENCE_LEVEL </w:t>
            </w:r>
            <w:r w:rsidRPr="004D0DAA">
              <w:t>(4 bit field for each Radio Priority 1...4)</w:t>
            </w:r>
            <w:r w:rsidRPr="004D0DAA">
              <w:br/>
              <w:t>This field is defined in sub-clause 12.14, PRACH Control Parameters.</w:t>
            </w:r>
          </w:p>
        </w:tc>
      </w:tr>
      <w:tr w:rsidR="00711444" w:rsidRPr="004D0DAA" w14:paraId="1FD88ACD" w14:textId="77777777" w:rsidTr="00AA2A4C">
        <w:tblPrEx>
          <w:tblCellMar>
            <w:top w:w="0" w:type="dxa"/>
            <w:bottom w:w="0" w:type="dxa"/>
          </w:tblCellMar>
        </w:tblPrEx>
        <w:trPr>
          <w:cantSplit/>
        </w:trPr>
        <w:tc>
          <w:tcPr>
            <w:tcW w:w="9848" w:type="dxa"/>
          </w:tcPr>
          <w:p w14:paraId="27A779EF" w14:textId="77777777" w:rsidR="00711444" w:rsidRPr="004D0DAA" w:rsidRDefault="00711444" w:rsidP="00AA2A4C">
            <w:r w:rsidRPr="004D0DAA">
              <w:rPr>
                <w:b/>
              </w:rPr>
              <w:t xml:space="preserve">NLN(PPCH) </w:t>
            </w:r>
            <w:r w:rsidRPr="004D0DAA">
              <w:t>(2 bit field)</w:t>
            </w:r>
            <w:r w:rsidRPr="004D0DAA">
              <w:br/>
              <w:t xml:space="preserve">Notification List Number - This field may only be present if the message contains at least one page request for an RR connection establishment. The presence of the </w:t>
            </w:r>
            <w:r w:rsidRPr="004D0DAA">
              <w:rPr>
                <w:i/>
              </w:rPr>
              <w:t>NLN(PPCH)</w:t>
            </w:r>
            <w:r w:rsidRPr="004D0DAA">
              <w:t xml:space="preserve"> field indicates that if an NCH is present, reduced NCH monitoring can be used, and gives the NLN(PPCH) value, to be used as specified in 3GPP TS 44.018.The field is coded as defined in the P1 Rest Octets information element in 3GPP TS 44.018.</w:t>
            </w:r>
          </w:p>
          <w:p w14:paraId="5EFD9672" w14:textId="77777777" w:rsidR="00711444" w:rsidRPr="004D0DAA" w:rsidRDefault="00711444" w:rsidP="00AA2A4C">
            <w:pPr>
              <w:spacing w:after="0"/>
            </w:pPr>
            <w:r w:rsidRPr="004D0DAA">
              <w:rPr>
                <w:b/>
              </w:rPr>
              <w:t xml:space="preserve">NLN status(PPCH) </w:t>
            </w:r>
            <w:r w:rsidRPr="004D0DAA">
              <w:rPr>
                <w:bCs/>
              </w:rPr>
              <w:tab/>
              <w:t>(1 bit field)</w:t>
            </w:r>
          </w:p>
          <w:p w14:paraId="41817E56" w14:textId="77777777" w:rsidR="00711444" w:rsidRPr="004D0DAA" w:rsidRDefault="00711444" w:rsidP="00AA2A4C">
            <w:pPr>
              <w:rPr>
                <w:b/>
              </w:rPr>
            </w:pPr>
            <w:r w:rsidRPr="004D0DAA">
              <w:t>Notification List Number status - This field may only be present if the message contains at least one page request for an RR connection establishment.The NLN status indicates the status of the content of the NOTIFICATION/NCH messages for a particular NLN value. A change of the NLN status field indicates a change of information on the NCH which is not related to new calls, as specified in 3GPP TS 44.018. The field is coded as defined in the P1 Rest Octets information element in 3GPP TS 44.018.</w:t>
            </w:r>
          </w:p>
        </w:tc>
      </w:tr>
      <w:tr w:rsidR="00711444" w:rsidRPr="004D0DAA" w14:paraId="677BA6F5" w14:textId="77777777" w:rsidTr="00AA2A4C">
        <w:tblPrEx>
          <w:tblCellMar>
            <w:top w:w="0" w:type="dxa"/>
            <w:bottom w:w="0" w:type="dxa"/>
          </w:tblCellMar>
        </w:tblPrEx>
        <w:trPr>
          <w:cantSplit/>
        </w:trPr>
        <w:tc>
          <w:tcPr>
            <w:tcW w:w="9848" w:type="dxa"/>
          </w:tcPr>
          <w:p w14:paraId="5151A0FB" w14:textId="77777777" w:rsidR="00711444" w:rsidRPr="004D0DAA" w:rsidRDefault="00711444" w:rsidP="00AA2A4C">
            <w:r w:rsidRPr="004D0DAA">
              <w:rPr>
                <w:b/>
              </w:rPr>
              <w:t>Repeated Page info struct</w:t>
            </w:r>
            <w:r w:rsidRPr="004D0DAA">
              <w:rPr>
                <w:b/>
              </w:rPr>
              <w:br/>
            </w:r>
            <w:r w:rsidRPr="004D0DAA">
              <w:t>The Repeated Page info struct is repeated as many times as required to fulfil the number of wanted paged mobiles. If the Paging Request Message is used with only P-TMSIs or TMSIs, the field can be repeated up to four times within one message. If the Paging Request Message is used with only IMSIs, the field can be repeated up to two times within one message.</w:t>
            </w:r>
          </w:p>
          <w:p w14:paraId="4399941A" w14:textId="77777777" w:rsidR="00711444" w:rsidRPr="004D0DAA" w:rsidRDefault="00711444" w:rsidP="00AA2A4C">
            <w:r w:rsidRPr="004D0DAA">
              <w:t>The first bit in the Repeated Page info field indicates if this is a page request for TBF connection establishment or for RR connection establishment.</w:t>
            </w:r>
          </w:p>
          <w:p w14:paraId="75D377E4" w14:textId="77777777" w:rsidR="00711444" w:rsidRPr="004D0DAA" w:rsidRDefault="00711444" w:rsidP="00AA2A4C">
            <w:r w:rsidRPr="004D0DAA">
              <w:t>A page request for TBF connection establishment can either be addressed with P-TMSI or IMSI.</w:t>
            </w:r>
          </w:p>
          <w:p w14:paraId="4CAB6CD9" w14:textId="77777777" w:rsidR="00711444" w:rsidRPr="004D0DAA" w:rsidRDefault="00711444" w:rsidP="00AA2A4C">
            <w:pPr>
              <w:rPr>
                <w:b/>
              </w:rPr>
            </w:pPr>
            <w:r w:rsidRPr="004D0DAA">
              <w:t>A page request for RR connection establishment contains a Channel Needed and optionally a Priority parameter and can either be addressed with TMSI or IMSI.</w:t>
            </w:r>
          </w:p>
        </w:tc>
      </w:tr>
      <w:tr w:rsidR="00711444" w:rsidRPr="004D0DAA" w14:paraId="3E81CFFD" w14:textId="77777777" w:rsidTr="00AA2A4C">
        <w:tblPrEx>
          <w:tblCellMar>
            <w:top w:w="0" w:type="dxa"/>
            <w:bottom w:w="0" w:type="dxa"/>
          </w:tblCellMar>
        </w:tblPrEx>
        <w:trPr>
          <w:cantSplit/>
        </w:trPr>
        <w:tc>
          <w:tcPr>
            <w:tcW w:w="9848" w:type="dxa"/>
          </w:tcPr>
          <w:p w14:paraId="0DC0F4F3" w14:textId="77777777" w:rsidR="00711444" w:rsidRPr="004D0DAA" w:rsidRDefault="00711444" w:rsidP="00AA2A4C">
            <w:pPr>
              <w:rPr>
                <w:b/>
              </w:rPr>
            </w:pPr>
            <w:r w:rsidRPr="004D0DAA">
              <w:rPr>
                <w:b/>
              </w:rPr>
              <w:t xml:space="preserve">PTMSI </w:t>
            </w:r>
            <w:r w:rsidRPr="004D0DAA">
              <w:t>(32 bit field)</w:t>
            </w:r>
            <w:r w:rsidRPr="004D0DAA">
              <w:br/>
              <w:t>The Packet Temporary Mobile Station Identity (PTMSI) is defined in 3GPP TS 23.003. This field is encoded as a binary number.</w:t>
            </w:r>
            <w:r w:rsidRPr="004D0DAA">
              <w:br/>
              <w:t>Range 0 to 4294967295</w:t>
            </w:r>
          </w:p>
        </w:tc>
      </w:tr>
      <w:tr w:rsidR="00711444" w:rsidRPr="004D0DAA" w14:paraId="1ECB52E6" w14:textId="77777777" w:rsidTr="00AA2A4C">
        <w:tblPrEx>
          <w:tblCellMar>
            <w:top w:w="0" w:type="dxa"/>
            <w:bottom w:w="0" w:type="dxa"/>
          </w:tblCellMar>
        </w:tblPrEx>
        <w:trPr>
          <w:cantSplit/>
        </w:trPr>
        <w:tc>
          <w:tcPr>
            <w:tcW w:w="9848" w:type="dxa"/>
          </w:tcPr>
          <w:p w14:paraId="15150237" w14:textId="77777777" w:rsidR="00711444" w:rsidRPr="004D0DAA" w:rsidRDefault="00711444" w:rsidP="00AA2A4C">
            <w:r w:rsidRPr="004D0DAA">
              <w:rPr>
                <w:b/>
              </w:rPr>
              <w:t xml:space="preserve">Mobile Identity </w:t>
            </w:r>
            <w:r w:rsidRPr="004D0DAA">
              <w:t>(variable length octet string)</w:t>
            </w:r>
            <w:r w:rsidRPr="004D0DAA">
              <w:br/>
              <w:t xml:space="preserve">This octet string is the representation of the </w:t>
            </w:r>
            <w:r w:rsidRPr="004D0DAA">
              <w:rPr>
                <w:i/>
              </w:rPr>
              <w:t>Mobile Identity</w:t>
            </w:r>
            <w:r w:rsidRPr="004D0DAA">
              <w:t xml:space="preserve">. It shall provide the international mobile subscriber identity, IMSI. The encoding of this octet string is the </w:t>
            </w:r>
            <w:r w:rsidRPr="004D0DAA">
              <w:rPr>
                <w:i/>
              </w:rPr>
              <w:t>value part</w:t>
            </w:r>
            <w:r w:rsidRPr="004D0DAA">
              <w:t xml:space="preserve"> (starting with octet 3) of the type 4 information element </w:t>
            </w:r>
            <w:r w:rsidRPr="004D0DAA">
              <w:rPr>
                <w:i/>
              </w:rPr>
              <w:t>Mobile Identity</w:t>
            </w:r>
            <w:r w:rsidRPr="004D0DAA">
              <w:t xml:space="preserve"> defined in 3GPP TS 44.018.</w:t>
            </w:r>
          </w:p>
          <w:p w14:paraId="6202C1A2" w14:textId="77777777" w:rsidR="00711444" w:rsidRPr="004D0DAA" w:rsidRDefault="00711444" w:rsidP="00AA2A4C">
            <w:pPr>
              <w:rPr>
                <w:b/>
              </w:rPr>
            </w:pPr>
            <w:r w:rsidRPr="004D0DAA">
              <w:t>Any value other than IMSI for the type of identity in this octet string is spare. Such mobile identity shall be disregarded by the receiver but any further occurrence of the Repeated Page Info struct in the message shall be analysed.</w:t>
            </w:r>
          </w:p>
        </w:tc>
      </w:tr>
      <w:tr w:rsidR="00711444" w:rsidRPr="004D0DAA" w14:paraId="73D9B8E7" w14:textId="77777777" w:rsidTr="00AA2A4C">
        <w:tblPrEx>
          <w:tblCellMar>
            <w:top w:w="0" w:type="dxa"/>
            <w:bottom w:w="0" w:type="dxa"/>
          </w:tblCellMar>
        </w:tblPrEx>
        <w:trPr>
          <w:cantSplit/>
        </w:trPr>
        <w:tc>
          <w:tcPr>
            <w:tcW w:w="9848" w:type="dxa"/>
          </w:tcPr>
          <w:p w14:paraId="7937FC5F" w14:textId="77777777" w:rsidR="00711444" w:rsidRPr="004D0DAA" w:rsidRDefault="00711444" w:rsidP="00AA2A4C">
            <w:pPr>
              <w:rPr>
                <w:b/>
              </w:rPr>
            </w:pPr>
            <w:r w:rsidRPr="004D0DAA">
              <w:rPr>
                <w:b/>
              </w:rPr>
              <w:t xml:space="preserve">TMSI </w:t>
            </w:r>
            <w:r w:rsidRPr="004D0DAA">
              <w:t>(32 bit field)</w:t>
            </w:r>
            <w:r w:rsidRPr="004D0DAA">
              <w:br/>
              <w:t>TMSI is a unique Temporary Mobile Subscriber Identity. TMSI is associated with the mobile subscriber and defined in 3GPP TS 23.003. This field is coded as a binary number.</w:t>
            </w:r>
            <w:r w:rsidRPr="004D0DAA">
              <w:br/>
              <w:t>Range 0 to 4294967295</w:t>
            </w:r>
          </w:p>
        </w:tc>
      </w:tr>
      <w:tr w:rsidR="00711444" w:rsidRPr="004D0DAA" w14:paraId="092EE444" w14:textId="77777777" w:rsidTr="00AA2A4C">
        <w:tblPrEx>
          <w:tblCellMar>
            <w:top w:w="0" w:type="dxa"/>
            <w:bottom w:w="0" w:type="dxa"/>
          </w:tblCellMar>
        </w:tblPrEx>
        <w:trPr>
          <w:cantSplit/>
        </w:trPr>
        <w:tc>
          <w:tcPr>
            <w:tcW w:w="9848" w:type="dxa"/>
          </w:tcPr>
          <w:p w14:paraId="02976172" w14:textId="77777777" w:rsidR="00711444" w:rsidRPr="004D0DAA" w:rsidRDefault="00711444" w:rsidP="00AA2A4C">
            <w:r w:rsidRPr="004D0DAA">
              <w:rPr>
                <w:b/>
              </w:rPr>
              <w:lastRenderedPageBreak/>
              <w:t>CHANNEL_NEEDED</w:t>
            </w:r>
            <w:r w:rsidRPr="004D0DAA">
              <w:t xml:space="preserve"> (2 bit field)</w:t>
            </w:r>
            <w:r w:rsidRPr="004D0DAA">
              <w:br/>
              <w:t>The channel needed field indicates which type of channel is needed for the mobile station for the transaction linked to the paging procedure. The field is coded according to following table:</w:t>
            </w:r>
          </w:p>
          <w:p w14:paraId="0481F8B5" w14:textId="77777777" w:rsidR="00711444" w:rsidRPr="004D0DAA" w:rsidRDefault="00711444" w:rsidP="00AA2A4C">
            <w:pPr>
              <w:tabs>
                <w:tab w:val="left" w:pos="567"/>
              </w:tabs>
              <w:rPr>
                <w:b/>
              </w:rPr>
            </w:pPr>
            <w:r w:rsidRPr="004D0DAA">
              <w:t>bit</w:t>
            </w:r>
            <w:r w:rsidRPr="004D0DAA">
              <w:br/>
              <w:t>2 1</w:t>
            </w:r>
            <w:r w:rsidRPr="004D0DAA">
              <w:br/>
              <w:t>0 0</w:t>
            </w:r>
            <w:r w:rsidRPr="004D0DAA">
              <w:tab/>
              <w:t>Any channel</w:t>
            </w:r>
            <w:r w:rsidRPr="004D0DAA">
              <w:br/>
              <w:t>0 1</w:t>
            </w:r>
            <w:r w:rsidRPr="004D0DAA">
              <w:tab/>
              <w:t>SDCCH</w:t>
            </w:r>
            <w:r w:rsidRPr="004D0DAA">
              <w:br/>
              <w:t>1 0</w:t>
            </w:r>
            <w:r w:rsidRPr="004D0DAA">
              <w:tab/>
              <w:t>TCH/F (Full rate)</w:t>
            </w:r>
            <w:r w:rsidRPr="004D0DAA">
              <w:br/>
              <w:t>1 1</w:t>
            </w:r>
            <w:r w:rsidRPr="004D0DAA">
              <w:tab/>
              <w:t>TCH/H or TCH/F (Dual rate)</w:t>
            </w:r>
          </w:p>
        </w:tc>
      </w:tr>
      <w:tr w:rsidR="00711444" w:rsidRPr="004D0DAA" w14:paraId="4B3871AE" w14:textId="77777777" w:rsidTr="00AA2A4C">
        <w:tblPrEx>
          <w:tblCellMar>
            <w:top w:w="0" w:type="dxa"/>
            <w:bottom w:w="0" w:type="dxa"/>
          </w:tblCellMar>
        </w:tblPrEx>
        <w:trPr>
          <w:cantSplit/>
        </w:trPr>
        <w:tc>
          <w:tcPr>
            <w:tcW w:w="9848" w:type="dxa"/>
          </w:tcPr>
          <w:p w14:paraId="66F7CB20" w14:textId="77777777" w:rsidR="00711444" w:rsidRPr="004D0DAA" w:rsidRDefault="00711444" w:rsidP="00AA2A4C">
            <w:r w:rsidRPr="004D0DAA">
              <w:rPr>
                <w:b/>
              </w:rPr>
              <w:t>eMLPP_PRIORITY</w:t>
            </w:r>
            <w:r w:rsidRPr="004D0DAA">
              <w:t xml:space="preserve"> (3 bit field)</w:t>
            </w:r>
            <w:r w:rsidRPr="004D0DAA">
              <w:br/>
              <w:t>The optional eMLPP_PRIORITY field relates to Mobile Station Identity i(i = 1, 2, 3, 4) and may only be present when the page relates to a paging request to trigger RR/RRC connection establishment. The eMLPP_PRIORITY field is coded as the Priority field defined in the P1 Rest Octets information element in 3GPP TS 44.018.</w:t>
            </w:r>
          </w:p>
        </w:tc>
      </w:tr>
      <w:tr w:rsidR="00711444" w:rsidRPr="004D0DAA" w14:paraId="0C82CEB9" w14:textId="77777777" w:rsidTr="00AA2A4C">
        <w:tblPrEx>
          <w:tblCellMar>
            <w:top w:w="0" w:type="dxa"/>
            <w:bottom w:w="0" w:type="dxa"/>
          </w:tblCellMar>
        </w:tblPrEx>
        <w:trPr>
          <w:cantSplit/>
        </w:trPr>
        <w:tc>
          <w:tcPr>
            <w:tcW w:w="9848" w:type="dxa"/>
          </w:tcPr>
          <w:p w14:paraId="4F6DF81A" w14:textId="77777777" w:rsidR="00711444" w:rsidRPr="004D0DAA" w:rsidRDefault="00711444" w:rsidP="00AA2A4C">
            <w:r w:rsidRPr="004D0DAA">
              <w:rPr>
                <w:b/>
                <w:bCs/>
              </w:rPr>
              <w:t xml:space="preserve">Repeated MBMS Notification info struct </w:t>
            </w:r>
            <w:r w:rsidRPr="004D0DAA">
              <w:rPr>
                <w:b/>
                <w:bCs/>
              </w:rPr>
              <w:br/>
            </w:r>
            <w:r w:rsidRPr="004D0DAA">
              <w:t>The</w:t>
            </w:r>
            <w:r w:rsidRPr="004D0DAA">
              <w:rPr>
                <w:b/>
                <w:bCs/>
              </w:rPr>
              <w:t xml:space="preserve"> </w:t>
            </w:r>
            <w:r w:rsidRPr="004D0DAA">
              <w:t xml:space="preserve">Repeated MBMS Notification info struct is repeated as many times as required to fulfil the number of wanted paged Temporary Mobile Groups. </w:t>
            </w:r>
          </w:p>
          <w:p w14:paraId="48D3D9C2" w14:textId="77777777" w:rsidR="00711444" w:rsidRPr="004D0DAA" w:rsidRDefault="00711444" w:rsidP="00AA2A4C">
            <w:r w:rsidRPr="004D0DAA">
              <w:t>The MBMS session identity is optional and shall be included whenever being made available in the MBMS-SESSION-START-REQUEST PDU or in the MBMS-SESSION-UPDATE-REQUEST PDU received from the SGSN.</w:t>
            </w:r>
          </w:p>
          <w:p w14:paraId="0255B8ED" w14:textId="77777777" w:rsidR="00711444" w:rsidRPr="004D0DAA" w:rsidRDefault="00711444" w:rsidP="00AA2A4C">
            <w:r w:rsidRPr="004D0DAA">
              <w:t>If no counting should take place then a MBMS p-t-m channel description may be included.</w:t>
            </w:r>
          </w:p>
          <w:p w14:paraId="2DA42095" w14:textId="77777777" w:rsidR="00711444" w:rsidRPr="004D0DAA" w:rsidRDefault="00711444" w:rsidP="00AA2A4C">
            <w:r w:rsidRPr="004D0DAA">
              <w:t>If counting is requested then a MPRACH description may be included.</w:t>
            </w:r>
          </w:p>
        </w:tc>
      </w:tr>
      <w:tr w:rsidR="00711444" w:rsidRPr="004D0DAA" w14:paraId="10D2F7CD" w14:textId="77777777" w:rsidTr="00AA2A4C">
        <w:tblPrEx>
          <w:tblCellMar>
            <w:top w:w="0" w:type="dxa"/>
            <w:bottom w:w="0" w:type="dxa"/>
          </w:tblCellMar>
        </w:tblPrEx>
        <w:trPr>
          <w:cantSplit/>
        </w:trPr>
        <w:tc>
          <w:tcPr>
            <w:tcW w:w="9848" w:type="dxa"/>
          </w:tcPr>
          <w:p w14:paraId="11414A7A" w14:textId="77777777" w:rsidR="00711444" w:rsidRPr="004D0DAA" w:rsidRDefault="00711444" w:rsidP="00AA2A4C">
            <w:pPr>
              <w:rPr>
                <w:b/>
              </w:rPr>
            </w:pPr>
            <w:r w:rsidRPr="004D0DAA">
              <w:rPr>
                <w:b/>
              </w:rPr>
              <w:t>MBMS Sessions List</w:t>
            </w:r>
            <w:r w:rsidRPr="004D0DAA">
              <w:br/>
              <w:t>This information element contains a list of MBMS sessions identified by their TMGI and if available MBMS Session Identity. This information element is defined in sub-clause 12.39.</w:t>
            </w:r>
          </w:p>
        </w:tc>
      </w:tr>
      <w:tr w:rsidR="00711444" w:rsidRPr="004D0DAA" w14:paraId="29C9D61C" w14:textId="77777777" w:rsidTr="00AA2A4C">
        <w:tblPrEx>
          <w:tblCellMar>
            <w:top w:w="0" w:type="dxa"/>
            <w:bottom w:w="0" w:type="dxa"/>
          </w:tblCellMar>
        </w:tblPrEx>
        <w:trPr>
          <w:cantSplit/>
        </w:trPr>
        <w:tc>
          <w:tcPr>
            <w:tcW w:w="9848" w:type="dxa"/>
          </w:tcPr>
          <w:p w14:paraId="08791FE9" w14:textId="77777777" w:rsidR="00711444" w:rsidRPr="004D0DAA" w:rsidRDefault="00711444" w:rsidP="00AA2A4C">
            <w:pPr>
              <w:rPr>
                <w:b/>
                <w:bCs/>
              </w:rPr>
            </w:pPr>
            <w:r w:rsidRPr="004D0DAA">
              <w:rPr>
                <w:b/>
                <w:bCs/>
              </w:rPr>
              <w:t>MBMS Channel Parameters</w:t>
            </w:r>
            <w:r w:rsidRPr="004D0DAA">
              <w:rPr>
                <w:b/>
                <w:bCs/>
              </w:rPr>
              <w:br/>
            </w:r>
            <w:r w:rsidRPr="004D0DAA">
              <w:t>This information element contains the MBMS channel parameters of one or more MBMS sessions. This information element is defined in sub-clause 12.36.</w:t>
            </w:r>
          </w:p>
        </w:tc>
      </w:tr>
      <w:tr w:rsidR="00711444" w:rsidRPr="004D0DAA" w14:paraId="6F3C6349" w14:textId="77777777" w:rsidTr="00AA2A4C">
        <w:tblPrEx>
          <w:tblCellMar>
            <w:top w:w="0" w:type="dxa"/>
            <w:bottom w:w="0" w:type="dxa"/>
          </w:tblCellMar>
        </w:tblPrEx>
        <w:trPr>
          <w:cantSplit/>
        </w:trPr>
        <w:tc>
          <w:tcPr>
            <w:tcW w:w="9848" w:type="dxa"/>
          </w:tcPr>
          <w:p w14:paraId="3F27A6F2" w14:textId="77777777" w:rsidR="00711444" w:rsidRPr="004D0DAA" w:rsidRDefault="00711444" w:rsidP="00AA2A4C">
            <w:pPr>
              <w:rPr>
                <w:b/>
              </w:rPr>
            </w:pPr>
            <w:r w:rsidRPr="004D0DAA">
              <w:rPr>
                <w:b/>
                <w:bCs/>
              </w:rPr>
              <w:t>Page info struct</w:t>
            </w:r>
            <w:r w:rsidRPr="004D0DAA">
              <w:br/>
              <w:t xml:space="preserve">This struct contains all information to be passed between RLC/MAC and RRC in the MS. </w:t>
            </w:r>
          </w:p>
        </w:tc>
      </w:tr>
      <w:tr w:rsidR="00711444" w:rsidRPr="004D0DAA" w14:paraId="44BCE6D7" w14:textId="77777777" w:rsidTr="00AA2A4C">
        <w:tblPrEx>
          <w:tblCellMar>
            <w:top w:w="0" w:type="dxa"/>
            <w:bottom w:w="0" w:type="dxa"/>
          </w:tblCellMar>
        </w:tblPrEx>
        <w:trPr>
          <w:cantSplit/>
        </w:trPr>
        <w:tc>
          <w:tcPr>
            <w:tcW w:w="9848" w:type="dxa"/>
          </w:tcPr>
          <w:p w14:paraId="7AB9CB65" w14:textId="77777777" w:rsidR="00711444" w:rsidRPr="004D0DAA" w:rsidRDefault="00711444" w:rsidP="00AA2A4C">
            <w:pPr>
              <w:rPr>
                <w:b/>
              </w:rPr>
            </w:pPr>
            <w:r w:rsidRPr="004D0DAA">
              <w:rPr>
                <w:b/>
              </w:rPr>
              <w:t>Repeated Iu_Page info struct</w:t>
            </w:r>
            <w:r w:rsidRPr="004D0DAA">
              <w:br/>
              <w:t>The Repeated Iu_Page info struct is repeated as many times as required to fulfil the number of wanted paged mobiles. If the PACKET PAGING REQUEST message is used with only P-TMSIs, TMSIs or G-RNTIs, the field can be repeated up to four times within one message. If the Paging Request Message is used with only IMSIs, the field can be repeated up to two times within one message.</w:t>
            </w:r>
          </w:p>
        </w:tc>
      </w:tr>
      <w:tr w:rsidR="00711444" w:rsidRPr="004D0DAA" w14:paraId="31ED2755" w14:textId="77777777" w:rsidTr="00AA2A4C">
        <w:tblPrEx>
          <w:tblCellMar>
            <w:top w:w="0" w:type="dxa"/>
            <w:bottom w:w="0" w:type="dxa"/>
          </w:tblCellMar>
        </w:tblPrEx>
        <w:trPr>
          <w:cantSplit/>
        </w:trPr>
        <w:tc>
          <w:tcPr>
            <w:tcW w:w="9848" w:type="dxa"/>
          </w:tcPr>
          <w:p w14:paraId="1DF09768" w14:textId="77777777" w:rsidR="00711444" w:rsidRPr="004D0DAA" w:rsidRDefault="00711444" w:rsidP="00AA2A4C">
            <w:pPr>
              <w:rPr>
                <w:b/>
              </w:rPr>
            </w:pPr>
            <w:r w:rsidRPr="004D0DAA">
              <w:rPr>
                <w:b/>
              </w:rPr>
              <w:t xml:space="preserve">G-RNTI </w:t>
            </w:r>
            <w:r w:rsidRPr="004D0DAA">
              <w:t xml:space="preserve">(32 bits) </w:t>
            </w:r>
            <w:r w:rsidRPr="004D0DAA">
              <w:br/>
              <w:t>The G-RNTI field identifies the MS within GERAN when an RRC connection exists between this MS and GERAN.</w:t>
            </w:r>
          </w:p>
        </w:tc>
      </w:tr>
      <w:tr w:rsidR="00711444" w:rsidRPr="004D0DAA" w14:paraId="15C1595B" w14:textId="77777777" w:rsidTr="00AA2A4C">
        <w:tblPrEx>
          <w:tblCellMar>
            <w:top w:w="0" w:type="dxa"/>
            <w:bottom w:w="0" w:type="dxa"/>
          </w:tblCellMar>
        </w:tblPrEx>
        <w:trPr>
          <w:cantSplit/>
        </w:trPr>
        <w:tc>
          <w:tcPr>
            <w:tcW w:w="9848" w:type="dxa"/>
          </w:tcPr>
          <w:p w14:paraId="720AA458" w14:textId="77777777" w:rsidR="00711444" w:rsidRPr="004D0DAA" w:rsidRDefault="00711444" w:rsidP="00AA2A4C">
            <w:r w:rsidRPr="004D0DAA">
              <w:rPr>
                <w:b/>
              </w:rPr>
              <w:t xml:space="preserve">PAGING RECORD TYPE IDENTIFIER </w:t>
            </w:r>
            <w:r w:rsidRPr="004D0DAA">
              <w:t>(2 bits field)</w:t>
            </w:r>
            <w:r w:rsidRPr="004D0DAA">
              <w:br/>
              <w:t>The Paging Record Type Identifier field indicates the type of identity used in the core network page. This field shall be included in the message if the MS is identified in the page with a G-RNTI</w:t>
            </w:r>
          </w:p>
          <w:p w14:paraId="1D4FB437" w14:textId="77777777" w:rsidR="00711444" w:rsidRPr="004D0DAA" w:rsidRDefault="00711444" w:rsidP="00AA2A4C">
            <w:pPr>
              <w:rPr>
                <w:b/>
              </w:rPr>
            </w:pPr>
            <w:r w:rsidRPr="004D0DAA">
              <w:t>bit</w:t>
            </w:r>
            <w:r w:rsidRPr="004D0DAA">
              <w:br/>
              <w:t>2 1</w:t>
            </w:r>
            <w:r w:rsidRPr="004D0DAA">
              <w:br/>
              <w:t>0 0</w:t>
            </w:r>
            <w:r w:rsidRPr="004D0DAA">
              <w:tab/>
            </w:r>
            <w:r w:rsidRPr="004D0DAA">
              <w:tab/>
            </w:r>
            <w:r w:rsidRPr="004D0DAA">
              <w:rPr>
                <w:lang w:eastAsia="ja-JP"/>
              </w:rPr>
              <w:t>IMSI (GSM-MAP)</w:t>
            </w:r>
            <w:r w:rsidRPr="004D0DAA">
              <w:br/>
              <w:t>0 1</w:t>
            </w:r>
            <w:r w:rsidRPr="004D0DAA">
              <w:tab/>
            </w:r>
            <w:r w:rsidRPr="004D0DAA">
              <w:tab/>
            </w:r>
            <w:r w:rsidRPr="004D0DAA">
              <w:rPr>
                <w:lang w:eastAsia="ja-JP"/>
              </w:rPr>
              <w:t>TMSI (GSM-MAP) / P-TMSI</w:t>
            </w:r>
            <w:r w:rsidRPr="004D0DAA">
              <w:br/>
              <w:t>1 0</w:t>
            </w:r>
            <w:r w:rsidRPr="004D0DAA">
              <w:tab/>
            </w:r>
            <w:r w:rsidRPr="004D0DAA">
              <w:tab/>
            </w:r>
            <w:r w:rsidRPr="004D0DAA">
              <w:rPr>
                <w:lang w:eastAsia="ja-JP"/>
              </w:rPr>
              <w:t>IMSI (DS-41)</w:t>
            </w:r>
            <w:r w:rsidRPr="004D0DAA">
              <w:br/>
              <w:t>1 1</w:t>
            </w:r>
            <w:r w:rsidRPr="004D0DAA">
              <w:tab/>
            </w:r>
            <w:r w:rsidRPr="004D0DAA">
              <w:tab/>
            </w:r>
            <w:r w:rsidRPr="004D0DAA">
              <w:rPr>
                <w:lang w:eastAsia="ja-JP"/>
              </w:rPr>
              <w:t>TMSI (DS-41)</w:t>
            </w:r>
          </w:p>
        </w:tc>
      </w:tr>
      <w:tr w:rsidR="00711444" w:rsidRPr="004D0DAA" w14:paraId="1FF5906B" w14:textId="77777777" w:rsidTr="00AA2A4C">
        <w:tblPrEx>
          <w:tblCellMar>
            <w:top w:w="0" w:type="dxa"/>
            <w:bottom w:w="0" w:type="dxa"/>
          </w:tblCellMar>
        </w:tblPrEx>
        <w:trPr>
          <w:cantSplit/>
        </w:trPr>
        <w:tc>
          <w:tcPr>
            <w:tcW w:w="9848" w:type="dxa"/>
          </w:tcPr>
          <w:p w14:paraId="358DB474" w14:textId="77777777" w:rsidR="00711444" w:rsidRPr="004D0DAA" w:rsidRDefault="00711444" w:rsidP="00AA2A4C">
            <w:r w:rsidRPr="004D0DAA">
              <w:rPr>
                <w:b/>
              </w:rPr>
              <w:lastRenderedPageBreak/>
              <w:t xml:space="preserve">CN DOMAIN IDENTITY </w:t>
            </w:r>
            <w:r w:rsidRPr="004D0DAA">
              <w:t xml:space="preserve">(2 bit field) </w:t>
            </w:r>
            <w:r w:rsidRPr="004D0DAA">
              <w:br/>
              <w:t>The CN Domain Identity field indicates the domain of the core network from which the MS is paged.</w:t>
            </w:r>
          </w:p>
          <w:p w14:paraId="1850890E" w14:textId="77777777" w:rsidR="00711444" w:rsidRPr="004D0DAA" w:rsidRDefault="00711444" w:rsidP="00AA2A4C">
            <w:pPr>
              <w:pStyle w:val="FP"/>
              <w:ind w:left="709" w:hanging="709"/>
            </w:pPr>
            <w:r w:rsidRPr="004D0DAA">
              <w:t>Bit</w:t>
            </w:r>
          </w:p>
          <w:p w14:paraId="64A6996D" w14:textId="77777777" w:rsidR="00711444" w:rsidRPr="004D0DAA" w:rsidRDefault="00711444" w:rsidP="00AA2A4C">
            <w:pPr>
              <w:pStyle w:val="FP"/>
              <w:ind w:left="709" w:hanging="709"/>
            </w:pPr>
            <w:r w:rsidRPr="004D0DAA">
              <w:t>2 1</w:t>
            </w:r>
          </w:p>
          <w:p w14:paraId="6658E567" w14:textId="77777777" w:rsidR="00711444" w:rsidRPr="004D0DAA" w:rsidRDefault="00711444" w:rsidP="00AA2A4C">
            <w:pPr>
              <w:pStyle w:val="FP"/>
              <w:ind w:left="709" w:hanging="709"/>
            </w:pPr>
            <w:r w:rsidRPr="004D0DAA">
              <w:t>0 0</w:t>
            </w:r>
            <w:r w:rsidRPr="004D0DAA">
              <w:tab/>
            </w:r>
            <w:r w:rsidRPr="004D0DAA">
              <w:tab/>
              <w:t>CS domain</w:t>
            </w:r>
          </w:p>
          <w:p w14:paraId="7B659574" w14:textId="77777777" w:rsidR="00711444" w:rsidRPr="004D0DAA" w:rsidRDefault="00711444" w:rsidP="00AA2A4C">
            <w:pPr>
              <w:pStyle w:val="FP"/>
              <w:ind w:left="709" w:hanging="709"/>
            </w:pPr>
            <w:r w:rsidRPr="004D0DAA">
              <w:t>0 1</w:t>
            </w:r>
            <w:r w:rsidRPr="004D0DAA">
              <w:tab/>
            </w:r>
            <w:r w:rsidRPr="004D0DAA">
              <w:tab/>
              <w:t>PS domain</w:t>
            </w:r>
          </w:p>
          <w:p w14:paraId="032378B5" w14:textId="77777777" w:rsidR="00711444" w:rsidRPr="004D0DAA" w:rsidRDefault="00711444" w:rsidP="00AA2A4C">
            <w:pPr>
              <w:pStyle w:val="FP"/>
              <w:ind w:left="709" w:hanging="709"/>
            </w:pPr>
            <w:r w:rsidRPr="004D0DAA">
              <w:t>1 0</w:t>
            </w:r>
            <w:r w:rsidRPr="004D0DAA">
              <w:tab/>
            </w:r>
            <w:r w:rsidRPr="004D0DAA">
              <w:tab/>
              <w:t>Either</w:t>
            </w:r>
          </w:p>
          <w:p w14:paraId="02DA6B15" w14:textId="77777777" w:rsidR="00711444" w:rsidRPr="004D0DAA" w:rsidRDefault="00711444" w:rsidP="00AA2A4C">
            <w:pPr>
              <w:pStyle w:val="FP"/>
              <w:ind w:left="709" w:hanging="709"/>
            </w:pPr>
            <w:r w:rsidRPr="004D0DAA">
              <w:t>1 1</w:t>
            </w:r>
            <w:r w:rsidRPr="004D0DAA">
              <w:tab/>
            </w:r>
            <w:r w:rsidRPr="004D0DAA">
              <w:tab/>
              <w:t>Reserved</w:t>
            </w:r>
          </w:p>
          <w:p w14:paraId="104AC85F" w14:textId="77777777" w:rsidR="00711444" w:rsidRPr="004D0DAA" w:rsidRDefault="00711444" w:rsidP="00AA2A4C">
            <w:pPr>
              <w:pStyle w:val="FP"/>
              <w:rPr>
                <w:b/>
              </w:rPr>
            </w:pPr>
          </w:p>
        </w:tc>
      </w:tr>
      <w:tr w:rsidR="00711444" w:rsidRPr="004D0DAA" w14:paraId="47D120B3" w14:textId="77777777" w:rsidTr="00AA2A4C">
        <w:tblPrEx>
          <w:tblCellMar>
            <w:top w:w="0" w:type="dxa"/>
            <w:bottom w:w="0" w:type="dxa"/>
          </w:tblCellMar>
        </w:tblPrEx>
        <w:trPr>
          <w:cantSplit/>
        </w:trPr>
        <w:tc>
          <w:tcPr>
            <w:tcW w:w="9848" w:type="dxa"/>
          </w:tcPr>
          <w:p w14:paraId="2AB215A9" w14:textId="77777777" w:rsidR="00711444" w:rsidRPr="004D0DAA" w:rsidRDefault="00711444" w:rsidP="00AA2A4C">
            <w:r w:rsidRPr="004D0DAA">
              <w:rPr>
                <w:b/>
              </w:rPr>
              <w:t xml:space="preserve">PAGING CAUSE </w:t>
            </w:r>
            <w:r w:rsidRPr="004D0DAA">
              <w:t>(3 bits field)</w:t>
            </w:r>
            <w:r w:rsidRPr="004D0DAA">
              <w:br/>
              <w:t>The Paging Cause field indicates the cause for paging.</w:t>
            </w:r>
          </w:p>
          <w:p w14:paraId="0CF5ABEB" w14:textId="77777777" w:rsidR="00711444" w:rsidRPr="004D0DAA" w:rsidRDefault="00711444" w:rsidP="00AA2A4C">
            <w:pPr>
              <w:tabs>
                <w:tab w:val="left" w:pos="993"/>
              </w:tabs>
              <w:rPr>
                <w:b/>
              </w:rPr>
            </w:pPr>
            <w:r w:rsidRPr="004D0DAA">
              <w:t>bit</w:t>
            </w:r>
            <w:r w:rsidRPr="004D0DAA">
              <w:br/>
              <w:t>3 2 1</w:t>
            </w:r>
            <w:r w:rsidRPr="004D0DAA">
              <w:br/>
              <w:t>0 0 0</w:t>
            </w:r>
            <w:r w:rsidRPr="004D0DAA">
              <w:tab/>
            </w:r>
            <w:r w:rsidRPr="004D0DAA">
              <w:rPr>
                <w:snapToGrid w:val="0"/>
              </w:rPr>
              <w:t>Terminating Conversational Call</w:t>
            </w:r>
            <w:r w:rsidRPr="004D0DAA">
              <w:br/>
              <w:t>0 0 1</w:t>
            </w:r>
            <w:r w:rsidRPr="004D0DAA">
              <w:tab/>
            </w:r>
            <w:r w:rsidRPr="004D0DAA">
              <w:rPr>
                <w:snapToGrid w:val="0"/>
              </w:rPr>
              <w:t>Terminating Streaming Call</w:t>
            </w:r>
            <w:r w:rsidRPr="004D0DAA">
              <w:br/>
              <w:t>0 1 0</w:t>
            </w:r>
            <w:r w:rsidRPr="004D0DAA">
              <w:tab/>
            </w:r>
            <w:r w:rsidRPr="004D0DAA">
              <w:rPr>
                <w:snapToGrid w:val="0"/>
              </w:rPr>
              <w:t>Terminating Interactive Call</w:t>
            </w:r>
            <w:r w:rsidRPr="004D0DAA">
              <w:br/>
              <w:t>0 1 1</w:t>
            </w:r>
            <w:r w:rsidRPr="004D0DAA">
              <w:tab/>
            </w:r>
            <w:r w:rsidRPr="004D0DAA">
              <w:rPr>
                <w:snapToGrid w:val="0"/>
              </w:rPr>
              <w:t>Terminating Background Call</w:t>
            </w:r>
            <w:r w:rsidRPr="004D0DAA">
              <w:br/>
              <w:t>1 0 0</w:t>
            </w:r>
            <w:r w:rsidRPr="004D0DAA">
              <w:tab/>
            </w:r>
            <w:r w:rsidRPr="004D0DAA">
              <w:rPr>
                <w:snapToGrid w:val="0"/>
              </w:rPr>
              <w:t>Terminating High Priority Signalling</w:t>
            </w:r>
            <w:r w:rsidRPr="004D0DAA">
              <w:br/>
              <w:t>1 0 1</w:t>
            </w:r>
            <w:r w:rsidRPr="004D0DAA">
              <w:tab/>
            </w:r>
            <w:r w:rsidRPr="004D0DAA">
              <w:rPr>
                <w:snapToGrid w:val="0"/>
              </w:rPr>
              <w:t>Terminating Low Priority Signalling</w:t>
            </w:r>
            <w:r w:rsidRPr="004D0DAA">
              <w:br/>
              <w:t>1 1 0</w:t>
            </w:r>
            <w:r w:rsidRPr="004D0DAA">
              <w:tab/>
            </w:r>
            <w:r w:rsidRPr="004D0DAA">
              <w:rPr>
                <w:snapToGrid w:val="0"/>
              </w:rPr>
              <w:t>Terminating - cause unknown</w:t>
            </w:r>
            <w:r w:rsidRPr="004D0DAA">
              <w:br/>
              <w:t>1 1 1</w:t>
            </w:r>
            <w:r w:rsidRPr="004D0DAA">
              <w:tab/>
              <w:t>Reserved</w:t>
            </w:r>
          </w:p>
        </w:tc>
      </w:tr>
      <w:tr w:rsidR="00711444" w:rsidRPr="004D0DAA" w14:paraId="69BE5AB6" w14:textId="77777777" w:rsidTr="00AA2A4C">
        <w:tblPrEx>
          <w:tblCellMar>
            <w:top w:w="0" w:type="dxa"/>
            <w:bottom w:w="0" w:type="dxa"/>
          </w:tblCellMar>
        </w:tblPrEx>
        <w:trPr>
          <w:cantSplit/>
        </w:trPr>
        <w:tc>
          <w:tcPr>
            <w:tcW w:w="9848" w:type="dxa"/>
          </w:tcPr>
          <w:p w14:paraId="3CE0540F" w14:textId="77777777" w:rsidR="00711444" w:rsidRPr="004D0DAA" w:rsidRDefault="00711444" w:rsidP="00AA2A4C">
            <w:r w:rsidRPr="004D0DAA">
              <w:rPr>
                <w:b/>
              </w:rPr>
              <w:t>Total No Of Segments For ETWS Primary Notification</w:t>
            </w:r>
            <w:r w:rsidRPr="004D0DAA">
              <w:t xml:space="preserve"> (4 bits)</w:t>
            </w:r>
            <w:r w:rsidRPr="004D0DAA">
              <w:br/>
              <w:t>This field contains the number of segments for the ETWS Primary Notification message.</w:t>
            </w:r>
          </w:p>
          <w:p w14:paraId="0505A5E9" w14:textId="77777777" w:rsidR="00711444" w:rsidRPr="004D0DAA" w:rsidRDefault="00711444" w:rsidP="00AA2A4C">
            <w:pPr>
              <w:pStyle w:val="PL"/>
            </w:pPr>
            <w:r w:rsidRPr="004D0DAA">
              <w:t>Bits</w:t>
            </w:r>
          </w:p>
          <w:p w14:paraId="44BA82AF" w14:textId="77777777" w:rsidR="00711444" w:rsidRPr="004D0DAA" w:rsidRDefault="00711444" w:rsidP="00AA2A4C">
            <w:pPr>
              <w:pStyle w:val="PL"/>
            </w:pPr>
            <w:r w:rsidRPr="004D0DAA">
              <w:t>4 3 2 1</w:t>
            </w:r>
          </w:p>
          <w:p w14:paraId="42343F67" w14:textId="77777777" w:rsidR="00711444" w:rsidRPr="004D0DAA" w:rsidRDefault="00711444" w:rsidP="00AA2A4C">
            <w:pPr>
              <w:pStyle w:val="PL"/>
            </w:pPr>
            <w:r w:rsidRPr="004D0DAA">
              <w:t>0 0 0 0</w:t>
            </w:r>
            <w:r w:rsidRPr="004D0DAA">
              <w:tab/>
            </w:r>
            <w:r w:rsidRPr="004D0DAA">
              <w:tab/>
              <w:t>reserved</w:t>
            </w:r>
          </w:p>
          <w:p w14:paraId="6971255D" w14:textId="77777777" w:rsidR="00711444" w:rsidRPr="004D0DAA" w:rsidRDefault="00711444" w:rsidP="00AA2A4C">
            <w:pPr>
              <w:pStyle w:val="PL"/>
            </w:pPr>
            <w:r w:rsidRPr="004D0DAA">
              <w:t>0 0 0 1</w:t>
            </w:r>
            <w:r w:rsidRPr="004D0DAA">
              <w:tab/>
            </w:r>
            <w:r w:rsidRPr="004D0DAA">
              <w:tab/>
              <w:t>one segment</w:t>
            </w:r>
          </w:p>
          <w:p w14:paraId="34B33D8C" w14:textId="77777777" w:rsidR="00711444" w:rsidRPr="004D0DAA" w:rsidRDefault="00711444" w:rsidP="00AA2A4C">
            <w:pPr>
              <w:pStyle w:val="PL"/>
            </w:pPr>
            <w:r w:rsidRPr="004D0DAA">
              <w:t>0 0 1 0</w:t>
            </w:r>
            <w:r w:rsidRPr="004D0DAA">
              <w:tab/>
            </w:r>
            <w:r w:rsidRPr="004D0DAA">
              <w:tab/>
              <w:t>two segments</w:t>
            </w:r>
          </w:p>
          <w:p w14:paraId="5B4CF8C0" w14:textId="77777777" w:rsidR="00711444" w:rsidRPr="004D0DAA" w:rsidRDefault="00711444" w:rsidP="00AA2A4C">
            <w:pPr>
              <w:pStyle w:val="PL"/>
            </w:pPr>
            <w:r w:rsidRPr="004D0DAA">
              <w:t>. . .</w:t>
            </w:r>
          </w:p>
          <w:p w14:paraId="32EFD63C" w14:textId="77777777" w:rsidR="00711444" w:rsidRPr="004D0DAA" w:rsidRDefault="00711444" w:rsidP="00AA2A4C">
            <w:pPr>
              <w:pStyle w:val="PL"/>
            </w:pPr>
            <w:r w:rsidRPr="004D0DAA">
              <w:t>0 0 1 0</w:t>
            </w:r>
            <w:r w:rsidRPr="004D0DAA">
              <w:tab/>
            </w:r>
            <w:r w:rsidRPr="004D0DAA">
              <w:tab/>
              <w:t>fifteen segments</w:t>
            </w:r>
          </w:p>
          <w:p w14:paraId="35FA98A2" w14:textId="77777777" w:rsidR="00711444" w:rsidRPr="004D0DAA" w:rsidRDefault="00711444" w:rsidP="00AA2A4C"/>
        </w:tc>
      </w:tr>
      <w:tr w:rsidR="00711444" w:rsidRPr="004D0DAA" w14:paraId="7F780B7F" w14:textId="77777777" w:rsidTr="00AA2A4C">
        <w:tblPrEx>
          <w:tblCellMar>
            <w:top w:w="0" w:type="dxa"/>
            <w:bottom w:w="0" w:type="dxa"/>
          </w:tblCellMar>
        </w:tblPrEx>
        <w:trPr>
          <w:cantSplit/>
        </w:trPr>
        <w:tc>
          <w:tcPr>
            <w:tcW w:w="9848" w:type="dxa"/>
          </w:tcPr>
          <w:p w14:paraId="46AAEC7B" w14:textId="77777777" w:rsidR="00711444" w:rsidRPr="004D0DAA" w:rsidRDefault="00711444" w:rsidP="00AA2A4C">
            <w:r w:rsidRPr="004D0DAA">
              <w:rPr>
                <w:b/>
              </w:rPr>
              <w:t>Segment Number</w:t>
            </w:r>
            <w:r w:rsidRPr="004D0DAA">
              <w:t xml:space="preserve"> (4 bits)</w:t>
            </w:r>
            <w:r w:rsidRPr="004D0DAA">
              <w:br/>
              <w:t>This field contains the Segment Number of the ETWS Primary Notification message.</w:t>
            </w:r>
          </w:p>
          <w:p w14:paraId="263F07E5" w14:textId="77777777" w:rsidR="00711444" w:rsidRPr="004D0DAA" w:rsidRDefault="00711444" w:rsidP="00AA2A4C">
            <w:pPr>
              <w:pStyle w:val="PL"/>
            </w:pPr>
            <w:r w:rsidRPr="004D0DAA">
              <w:t>Bits</w:t>
            </w:r>
          </w:p>
          <w:p w14:paraId="5B1EB488" w14:textId="77777777" w:rsidR="00711444" w:rsidRPr="004D0DAA" w:rsidRDefault="00711444" w:rsidP="00AA2A4C">
            <w:pPr>
              <w:pStyle w:val="PL"/>
            </w:pPr>
            <w:r w:rsidRPr="004D0DAA">
              <w:t>4 3 2 1</w:t>
            </w:r>
          </w:p>
          <w:p w14:paraId="4400A52A" w14:textId="77777777" w:rsidR="00711444" w:rsidRPr="004D0DAA" w:rsidRDefault="00711444" w:rsidP="00AA2A4C">
            <w:pPr>
              <w:pStyle w:val="PL"/>
            </w:pPr>
            <w:r w:rsidRPr="004D0DAA">
              <w:t>0 0 0 0</w:t>
            </w:r>
            <w:r w:rsidRPr="004D0DAA">
              <w:tab/>
            </w:r>
            <w:r w:rsidRPr="004D0DAA">
              <w:tab/>
              <w:t>reserved</w:t>
            </w:r>
          </w:p>
          <w:p w14:paraId="67CD1B57" w14:textId="77777777" w:rsidR="00711444" w:rsidRPr="004D0DAA" w:rsidRDefault="00711444" w:rsidP="00AA2A4C">
            <w:pPr>
              <w:pStyle w:val="PL"/>
            </w:pPr>
            <w:r w:rsidRPr="004D0DAA">
              <w:t>0 0 0 1</w:t>
            </w:r>
            <w:r w:rsidRPr="004D0DAA">
              <w:tab/>
            </w:r>
            <w:r w:rsidRPr="004D0DAA">
              <w:tab/>
              <w:t>reserved</w:t>
            </w:r>
          </w:p>
          <w:p w14:paraId="429EC5B4" w14:textId="77777777" w:rsidR="00711444" w:rsidRPr="004D0DAA" w:rsidRDefault="00711444" w:rsidP="00AA2A4C">
            <w:pPr>
              <w:pStyle w:val="PL"/>
            </w:pPr>
            <w:r w:rsidRPr="004D0DAA">
              <w:t>0 0 1 0</w:t>
            </w:r>
            <w:r w:rsidRPr="004D0DAA">
              <w:tab/>
            </w:r>
            <w:r w:rsidRPr="004D0DAA">
              <w:tab/>
              <w:t xml:space="preserve">second segment </w:t>
            </w:r>
          </w:p>
          <w:p w14:paraId="60134FD9" w14:textId="77777777" w:rsidR="00711444" w:rsidRPr="004D0DAA" w:rsidRDefault="00711444" w:rsidP="00AA2A4C">
            <w:pPr>
              <w:pStyle w:val="PL"/>
            </w:pPr>
            <w:r w:rsidRPr="004D0DAA">
              <w:t>0 0 1 1</w:t>
            </w:r>
            <w:r w:rsidRPr="004D0DAA">
              <w:tab/>
            </w:r>
            <w:r w:rsidRPr="004D0DAA">
              <w:tab/>
              <w:t>third segment</w:t>
            </w:r>
          </w:p>
          <w:p w14:paraId="5FEB2048" w14:textId="77777777" w:rsidR="00711444" w:rsidRPr="004D0DAA" w:rsidRDefault="00711444" w:rsidP="00AA2A4C">
            <w:pPr>
              <w:pStyle w:val="PL"/>
            </w:pPr>
            <w:r w:rsidRPr="004D0DAA">
              <w:t>. . .</w:t>
            </w:r>
          </w:p>
          <w:p w14:paraId="5A424BF0" w14:textId="77777777" w:rsidR="00711444" w:rsidRPr="004D0DAA" w:rsidRDefault="00711444" w:rsidP="00AA2A4C">
            <w:pPr>
              <w:pStyle w:val="PL"/>
            </w:pPr>
            <w:r w:rsidRPr="004D0DAA">
              <w:t>0 0 1 1</w:t>
            </w:r>
            <w:r w:rsidRPr="004D0DAA">
              <w:tab/>
            </w:r>
            <w:r w:rsidRPr="004D0DAA">
              <w:tab/>
              <w:t>fifteenth segment</w:t>
            </w:r>
          </w:p>
          <w:p w14:paraId="3C68119A" w14:textId="77777777" w:rsidR="00711444" w:rsidRPr="004D0DAA" w:rsidRDefault="00711444" w:rsidP="00AA2A4C"/>
        </w:tc>
      </w:tr>
      <w:tr w:rsidR="00711444" w:rsidRPr="004D0DAA" w14:paraId="1FC29826" w14:textId="77777777" w:rsidTr="00AA2A4C">
        <w:tblPrEx>
          <w:tblCellMar>
            <w:top w:w="0" w:type="dxa"/>
            <w:bottom w:w="0" w:type="dxa"/>
          </w:tblCellMar>
        </w:tblPrEx>
        <w:trPr>
          <w:cantSplit/>
        </w:trPr>
        <w:tc>
          <w:tcPr>
            <w:tcW w:w="9848" w:type="dxa"/>
          </w:tcPr>
          <w:p w14:paraId="3B5DFD13" w14:textId="77777777" w:rsidR="00711444" w:rsidRPr="004D0DAA" w:rsidRDefault="00711444" w:rsidP="00AA2A4C">
            <w:r w:rsidRPr="004D0DAA">
              <w:rPr>
                <w:b/>
              </w:rPr>
              <w:t>PNI, Primary Notification Identifier</w:t>
            </w:r>
            <w:r w:rsidRPr="004D0DAA">
              <w:t xml:space="preserve"> (1 bit)</w:t>
            </w:r>
            <w:r w:rsidRPr="004D0DAA">
              <w:br/>
              <w:t>This field is used as an identifier to determine the set of segments belonging to a certain ETWS Primary Notification message. This information element will have the same value (0 or 1) for all segments belonging to the same ETWS Primary Notification message.</w:t>
            </w:r>
          </w:p>
        </w:tc>
      </w:tr>
      <w:tr w:rsidR="00711444" w:rsidRPr="004D0DAA" w14:paraId="2E2A404E" w14:textId="77777777" w:rsidTr="00AA2A4C">
        <w:tblPrEx>
          <w:tblCellMar>
            <w:top w:w="0" w:type="dxa"/>
            <w:bottom w:w="0" w:type="dxa"/>
          </w:tblCellMar>
        </w:tblPrEx>
        <w:trPr>
          <w:cantSplit/>
        </w:trPr>
        <w:tc>
          <w:tcPr>
            <w:tcW w:w="9848" w:type="dxa"/>
          </w:tcPr>
          <w:p w14:paraId="07539FE8" w14:textId="77777777" w:rsidR="00711444" w:rsidRPr="004D0DAA" w:rsidRDefault="00711444" w:rsidP="00AA2A4C">
            <w:r w:rsidRPr="004D0DAA">
              <w:rPr>
                <w:b/>
              </w:rPr>
              <w:t>Length Of Segment</w:t>
            </w:r>
            <w:r w:rsidRPr="004D0DAA">
              <w:t xml:space="preserve"> (7 bits)</w:t>
            </w:r>
            <w:r w:rsidRPr="004D0DAA">
              <w:br/>
              <w:t>This field indicates the length of a segment in number of bits.</w:t>
            </w:r>
          </w:p>
        </w:tc>
      </w:tr>
      <w:tr w:rsidR="00711444" w:rsidRPr="004D0DAA" w14:paraId="4376851A" w14:textId="77777777" w:rsidTr="00AA2A4C">
        <w:tblPrEx>
          <w:tblCellMar>
            <w:top w:w="0" w:type="dxa"/>
            <w:bottom w:w="0" w:type="dxa"/>
          </w:tblCellMar>
        </w:tblPrEx>
        <w:trPr>
          <w:cantSplit/>
        </w:trPr>
        <w:tc>
          <w:tcPr>
            <w:tcW w:w="9848" w:type="dxa"/>
          </w:tcPr>
          <w:p w14:paraId="25F1AC95" w14:textId="77777777" w:rsidR="00711444" w:rsidRPr="004D0DAA" w:rsidRDefault="00711444" w:rsidP="00AA2A4C">
            <w:r w:rsidRPr="004D0DAA">
              <w:rPr>
                <w:b/>
              </w:rPr>
              <w:t>ETWS Primary Notification Data</w:t>
            </w:r>
            <w:r w:rsidRPr="004D0DAA">
              <w:t xml:space="preserve"> (n*8 bits)</w:t>
            </w:r>
            <w:r w:rsidRPr="004D0DAA">
              <w:br/>
              <w:t>The ETWS Primary Notification data is coded as specified in 3GPP TS 23.041.</w:t>
            </w:r>
          </w:p>
        </w:tc>
      </w:tr>
    </w:tbl>
    <w:p w14:paraId="34DD2065" w14:textId="77777777" w:rsidR="00711444" w:rsidRPr="004D0DAA" w:rsidRDefault="00711444" w:rsidP="00711444"/>
    <w:p w14:paraId="22309663" w14:textId="77777777" w:rsidR="00711444" w:rsidRPr="004D0DAA" w:rsidRDefault="00711444" w:rsidP="00711444">
      <w:pPr>
        <w:pStyle w:val="Heading3"/>
      </w:pPr>
      <w:bookmarkStart w:id="676" w:name="_Toc516669852"/>
      <w:r w:rsidRPr="004D0DAA">
        <w:t>11.2.11</w:t>
      </w:r>
      <w:r w:rsidRPr="004D0DAA">
        <w:tab/>
        <w:t>Packet PDCH Release</w:t>
      </w:r>
      <w:bookmarkEnd w:id="676"/>
    </w:p>
    <w:p w14:paraId="3D0629AF" w14:textId="77777777" w:rsidR="00711444" w:rsidRPr="004D0DAA" w:rsidRDefault="00711444" w:rsidP="00711444">
      <w:r w:rsidRPr="004D0DAA">
        <w:t>This message is sent on PACCH by the network to notify all mobile stations listening to that PDCH that one or more PDCHs will be immediately released and become unavailable for packet data traffic.</w:t>
      </w:r>
    </w:p>
    <w:p w14:paraId="3079F09F" w14:textId="77777777" w:rsidR="00711444" w:rsidRPr="004D0DAA" w:rsidRDefault="00711444" w:rsidP="00711444">
      <w:pPr>
        <w:pStyle w:val="EX"/>
      </w:pPr>
      <w:r w:rsidRPr="004D0DAA">
        <w:lastRenderedPageBreak/>
        <w:t>Message type:</w:t>
      </w:r>
      <w:r w:rsidRPr="004D0DAA">
        <w:tab/>
        <w:t>PACKET PDCH RELEASE</w:t>
      </w:r>
    </w:p>
    <w:p w14:paraId="5110D9A1" w14:textId="77777777" w:rsidR="00711444" w:rsidRPr="004D0DAA" w:rsidRDefault="00711444" w:rsidP="00711444">
      <w:pPr>
        <w:pStyle w:val="EX"/>
      </w:pPr>
      <w:r w:rsidRPr="004D0DAA">
        <w:t>Direction:</w:t>
      </w:r>
      <w:r w:rsidRPr="004D0DAA">
        <w:tab/>
        <w:t>network to mobile station</w:t>
      </w:r>
    </w:p>
    <w:p w14:paraId="0E79D57A" w14:textId="77777777" w:rsidR="00711444" w:rsidRPr="004D0DAA" w:rsidRDefault="00711444" w:rsidP="00711444">
      <w:pPr>
        <w:pStyle w:val="EX"/>
      </w:pPr>
      <w:r w:rsidRPr="004D0DAA">
        <w:t>Classification:</w:t>
      </w:r>
      <w:r w:rsidRPr="004D0DAA">
        <w:tab/>
        <w:t>distribution message</w:t>
      </w:r>
    </w:p>
    <w:p w14:paraId="72FF5094" w14:textId="77777777" w:rsidR="00711444" w:rsidRPr="004D0DAA" w:rsidRDefault="00711444" w:rsidP="00711444">
      <w:pPr>
        <w:pStyle w:val="TH"/>
      </w:pPr>
      <w:r w:rsidRPr="004D0DAA">
        <w:t xml:space="preserve">Table 11.2.11.1: </w:t>
      </w:r>
      <w:r w:rsidRPr="004D0DAA">
        <w:rPr>
          <w:caps/>
        </w:rPr>
        <w:t>Packet PDCH RELEASE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08F565C" w14:textId="77777777" w:rsidTr="00AA2A4C">
        <w:tblPrEx>
          <w:tblCellMar>
            <w:top w:w="0" w:type="dxa"/>
            <w:bottom w:w="0" w:type="dxa"/>
          </w:tblCellMar>
        </w:tblPrEx>
        <w:trPr>
          <w:cantSplit/>
        </w:trPr>
        <w:tc>
          <w:tcPr>
            <w:tcW w:w="9848" w:type="dxa"/>
          </w:tcPr>
          <w:p w14:paraId="47C344DC" w14:textId="77777777" w:rsidR="00711444" w:rsidRPr="004D0DAA" w:rsidRDefault="00711444" w:rsidP="00AA2A4C">
            <w:pPr>
              <w:pStyle w:val="TAL"/>
              <w:rPr>
                <w:lang w:eastAsia="en-US"/>
              </w:rPr>
            </w:pPr>
            <w:r w:rsidRPr="004D0DAA">
              <w:rPr>
                <w:lang w:eastAsia="en-US"/>
              </w:rPr>
              <w:t>&lt; Packet PDCH Release message content &gt; ::=</w:t>
            </w:r>
          </w:p>
          <w:p w14:paraId="293598F2"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PAGE_MODE </w:t>
            </w:r>
            <w:r w:rsidRPr="004D0DAA">
              <w:rPr>
                <w:lang w:val="fr-FR" w:eastAsia="en-US"/>
              </w:rPr>
              <w:t>: bit (2) &gt;</w:t>
            </w:r>
          </w:p>
          <w:p w14:paraId="08393A68" w14:textId="77777777" w:rsidR="00711444" w:rsidRPr="004D0DAA" w:rsidRDefault="00711444" w:rsidP="00AA2A4C">
            <w:pPr>
              <w:pStyle w:val="TAL"/>
              <w:rPr>
                <w:lang w:val="fr-FR" w:eastAsia="en-US"/>
              </w:rPr>
            </w:pPr>
            <w:r w:rsidRPr="004D0DAA">
              <w:rPr>
                <w:lang w:val="fr-FR" w:eastAsia="en-US"/>
              </w:rPr>
              <w:tab/>
              <w:t xml:space="preserve">{ 1 &lt; </w:t>
            </w:r>
            <w:r w:rsidRPr="004D0DAA">
              <w:rPr>
                <w:b/>
                <w:lang w:val="fr-FR" w:eastAsia="en-US"/>
              </w:rPr>
              <w:t xml:space="preserve">TIMESLOTS_AVAILABLE </w:t>
            </w:r>
            <w:r w:rsidRPr="004D0DAA">
              <w:rPr>
                <w:lang w:val="fr-FR" w:eastAsia="en-US"/>
              </w:rPr>
              <w:t>: bit (8) &gt; }</w:t>
            </w:r>
          </w:p>
          <w:p w14:paraId="16826DFE" w14:textId="77777777" w:rsidR="00711444" w:rsidRPr="004D0DAA" w:rsidRDefault="00711444" w:rsidP="00AA2A4C">
            <w:pPr>
              <w:pStyle w:val="TAL"/>
              <w:rPr>
                <w:lang w:eastAsia="en-US"/>
              </w:rPr>
            </w:pPr>
            <w:r w:rsidRPr="004D0DAA">
              <w:rPr>
                <w:lang w:val="fr-FR" w:eastAsia="en-US"/>
              </w:rPr>
              <w:tab/>
            </w:r>
            <w:r w:rsidRPr="004D0DAA">
              <w:rPr>
                <w:lang w:eastAsia="en-US"/>
              </w:rPr>
              <w:t>&lt; padding bits &gt;</w:t>
            </w:r>
          </w:p>
          <w:p w14:paraId="24C26452"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25F0E695" w14:textId="77777777" w:rsidR="00711444" w:rsidRPr="004D0DAA" w:rsidRDefault="00711444" w:rsidP="00711444"/>
    <w:p w14:paraId="25CAAFD5" w14:textId="77777777" w:rsidR="00711444" w:rsidRPr="004D0DAA" w:rsidRDefault="00711444" w:rsidP="00711444">
      <w:pPr>
        <w:pStyle w:val="TH"/>
      </w:pPr>
      <w:r w:rsidRPr="004D0DAA">
        <w:t xml:space="preserve">Table 11.2.11.2: </w:t>
      </w:r>
      <w:r w:rsidRPr="004D0DAA">
        <w:rPr>
          <w:caps/>
        </w:rPr>
        <w:t xml:space="preserve">Packet PDCH RELEASE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5B32256" w14:textId="77777777" w:rsidTr="00AA2A4C">
        <w:tblPrEx>
          <w:tblCellMar>
            <w:top w:w="0" w:type="dxa"/>
            <w:bottom w:w="0" w:type="dxa"/>
          </w:tblCellMar>
        </w:tblPrEx>
        <w:tc>
          <w:tcPr>
            <w:tcW w:w="9848" w:type="dxa"/>
          </w:tcPr>
          <w:p w14:paraId="6BC83FB7"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7C41384D" w14:textId="77777777" w:rsidR="00711444" w:rsidRPr="004D0DAA" w:rsidRDefault="00711444" w:rsidP="00AA2A4C">
            <w:r w:rsidRPr="004D0DAA">
              <w:rPr>
                <w:b/>
              </w:rPr>
              <w:t>TIMESLOTS_AVAILABLE</w:t>
            </w:r>
            <w:r w:rsidRPr="004D0DAA">
              <w:t xml:space="preserve"> (8 bit field)</w:t>
            </w:r>
            <w:r w:rsidRPr="004D0DAA">
              <w:br/>
              <w:t>This information field indicates the timeslots assigned for GPRS use on the current MAIO or ARFCN. Bit 8 indicates the status of timeslot 0, bit 7 indicates the status of timeslot 1, etc.</w:t>
            </w:r>
          </w:p>
          <w:p w14:paraId="6D19E6AB" w14:textId="77777777" w:rsidR="00711444" w:rsidRPr="004D0DAA" w:rsidRDefault="00711444" w:rsidP="00AA2A4C">
            <w:r w:rsidRPr="004D0DAA">
              <w:t>0</w:t>
            </w:r>
            <w:r w:rsidRPr="004D0DAA">
              <w:tab/>
              <w:t>Timeslot is not assigned</w:t>
            </w:r>
            <w:r w:rsidRPr="004D0DAA">
              <w:br/>
              <w:t>1</w:t>
            </w:r>
            <w:r w:rsidRPr="004D0DAA">
              <w:tab/>
              <w:t>Timeslot is assigned</w:t>
            </w:r>
          </w:p>
        </w:tc>
      </w:tr>
    </w:tbl>
    <w:p w14:paraId="14390C98" w14:textId="77777777" w:rsidR="00711444" w:rsidRPr="004D0DAA" w:rsidRDefault="00711444" w:rsidP="00711444"/>
    <w:p w14:paraId="6BA4E467" w14:textId="77777777" w:rsidR="00711444" w:rsidRPr="004D0DAA" w:rsidRDefault="00711444" w:rsidP="00711444">
      <w:pPr>
        <w:pStyle w:val="NO"/>
      </w:pPr>
      <w:r w:rsidRPr="004D0DAA">
        <w:t>NOTE:</w:t>
      </w:r>
      <w:r w:rsidRPr="004D0DAA">
        <w:tab/>
        <w:t>If the bit preceding the parameter TIMESLOTS_AVAILABLE is received = 0 a distribution part error should be generated by the mobile station. To allow compatibility with early GPRS mobile stations in Release 97 such mobile stations may interpret this message, if received with the bit preceding the parameter TIMESLOTS_AVAILABLE equal to 0, as a command to release the timeslot on which the message was received.</w:t>
      </w:r>
    </w:p>
    <w:p w14:paraId="2FDB44AC" w14:textId="77777777" w:rsidR="00711444" w:rsidRPr="004D0DAA" w:rsidRDefault="00711444" w:rsidP="00711444">
      <w:pPr>
        <w:pStyle w:val="Heading3"/>
      </w:pPr>
      <w:bookmarkStart w:id="677" w:name="_Toc516669853"/>
      <w:r w:rsidRPr="004D0DAA">
        <w:t>11.2.12</w:t>
      </w:r>
      <w:r w:rsidRPr="004D0DAA">
        <w:tab/>
        <w:t>Packet Polling Request</w:t>
      </w:r>
      <w:bookmarkEnd w:id="677"/>
    </w:p>
    <w:p w14:paraId="09E63AB4" w14:textId="77777777" w:rsidR="00711444" w:rsidRPr="004D0DAA" w:rsidRDefault="00711444" w:rsidP="00711444">
      <w:r w:rsidRPr="004D0DAA">
        <w:t>This message is sent on the PCCCH or PACCH by the network to the mobile station to solicit a PACKET CONTROL ACKNOWLEDGEMENT message from the mobile station.</w:t>
      </w:r>
    </w:p>
    <w:p w14:paraId="6066B20D" w14:textId="77777777" w:rsidR="00711444" w:rsidRPr="004D0DAA" w:rsidRDefault="00711444" w:rsidP="00711444">
      <w:pPr>
        <w:pStyle w:val="EX"/>
      </w:pPr>
      <w:r w:rsidRPr="004D0DAA">
        <w:t>Message type:</w:t>
      </w:r>
      <w:r w:rsidRPr="004D0DAA">
        <w:tab/>
        <w:t>PACKET POLLING REQUEST</w:t>
      </w:r>
    </w:p>
    <w:p w14:paraId="5EC9926F" w14:textId="77777777" w:rsidR="00711444" w:rsidRPr="004D0DAA" w:rsidRDefault="00711444" w:rsidP="00711444">
      <w:pPr>
        <w:pStyle w:val="EX"/>
      </w:pPr>
      <w:r w:rsidRPr="004D0DAA">
        <w:t>Direction:</w:t>
      </w:r>
      <w:r w:rsidRPr="004D0DAA">
        <w:tab/>
        <w:t>network to mobile station</w:t>
      </w:r>
    </w:p>
    <w:p w14:paraId="760393DF" w14:textId="77777777" w:rsidR="00711444" w:rsidRPr="004D0DAA" w:rsidRDefault="00711444" w:rsidP="00711444">
      <w:pPr>
        <w:pStyle w:val="EX"/>
      </w:pPr>
      <w:r w:rsidRPr="004D0DAA">
        <w:t>Classification:</w:t>
      </w:r>
      <w:r w:rsidRPr="004D0DAA">
        <w:tab/>
        <w:t>non-distribution message</w:t>
      </w:r>
    </w:p>
    <w:p w14:paraId="024CD344" w14:textId="77777777" w:rsidR="00711444" w:rsidRPr="004D0DAA" w:rsidRDefault="00711444" w:rsidP="00711444">
      <w:pPr>
        <w:pStyle w:val="TH"/>
      </w:pPr>
      <w:r w:rsidRPr="004D0DAA">
        <w:t xml:space="preserve">Table 11.2.12.1: </w:t>
      </w:r>
      <w:r w:rsidRPr="004D0DAA">
        <w:rPr>
          <w:caps/>
        </w:rPr>
        <w:t>Packet POLLING</w:t>
      </w:r>
      <w:r w:rsidRPr="004D0DAA">
        <w:t xml:space="preserve"> REQUEST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A6704F2" w14:textId="77777777" w:rsidTr="00AA2A4C">
        <w:tblPrEx>
          <w:tblCellMar>
            <w:top w:w="0" w:type="dxa"/>
            <w:bottom w:w="0" w:type="dxa"/>
          </w:tblCellMar>
        </w:tblPrEx>
        <w:trPr>
          <w:cantSplit/>
        </w:trPr>
        <w:tc>
          <w:tcPr>
            <w:tcW w:w="9848" w:type="dxa"/>
          </w:tcPr>
          <w:p w14:paraId="585197EA" w14:textId="77777777" w:rsidR="00711444" w:rsidRPr="004D0DAA" w:rsidRDefault="00711444" w:rsidP="00AA2A4C">
            <w:pPr>
              <w:pStyle w:val="TAL"/>
              <w:rPr>
                <w:lang w:eastAsia="en-US"/>
              </w:rPr>
            </w:pPr>
            <w:r w:rsidRPr="004D0DAA">
              <w:rPr>
                <w:lang w:eastAsia="en-US"/>
              </w:rPr>
              <w:t>&lt; Packet Polling Request message content &gt; ::=</w:t>
            </w:r>
          </w:p>
          <w:p w14:paraId="4D3DDF6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59B03268" w14:textId="77777777" w:rsidR="00711444" w:rsidRPr="004D0DAA" w:rsidRDefault="00711444" w:rsidP="00AA2A4C">
            <w:pPr>
              <w:pStyle w:val="TAL"/>
              <w:rPr>
                <w:lang w:eastAsia="en-US"/>
              </w:rPr>
            </w:pPr>
            <w:r w:rsidRPr="004D0DAA">
              <w:rPr>
                <w:lang w:eastAsia="en-US"/>
              </w:rPr>
              <w:tab/>
              <w:t>{</w:t>
            </w:r>
            <w:r w:rsidRPr="004D0DAA">
              <w:rPr>
                <w:lang w:eastAsia="en-US"/>
              </w:rPr>
              <w:tab/>
              <w:t>{ 0</w:t>
            </w:r>
            <w:r w:rsidRPr="004D0DAA">
              <w:rPr>
                <w:lang w:eastAsia="en-US"/>
              </w:rPr>
              <w:tab/>
              <w:t xml:space="preserve">&lt; </w:t>
            </w:r>
            <w:r w:rsidRPr="004D0DAA">
              <w:rPr>
                <w:b/>
                <w:lang w:eastAsia="en-US"/>
              </w:rPr>
              <w:t>Global TFI</w:t>
            </w:r>
            <w:r w:rsidRPr="004D0DAA">
              <w:rPr>
                <w:lang w:eastAsia="en-US"/>
              </w:rPr>
              <w:t xml:space="preserve"> : &lt; Global TFI IE &gt; &gt;</w:t>
            </w:r>
          </w:p>
          <w:p w14:paraId="578A9E44"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t xml:space="preserve">&lt; </w:t>
            </w:r>
            <w:r w:rsidRPr="004D0DAA">
              <w:rPr>
                <w:b/>
                <w:lang w:eastAsia="en-US"/>
              </w:rPr>
              <w:t>TLLI / G-RNTI</w:t>
            </w:r>
            <w:r w:rsidRPr="004D0DAA">
              <w:rPr>
                <w:lang w:eastAsia="en-US"/>
              </w:rPr>
              <w:t xml:space="preserve"> : bit (32) &gt;</w:t>
            </w:r>
          </w:p>
          <w:p w14:paraId="7BE67269" w14:textId="77777777" w:rsidR="00711444" w:rsidRPr="004D0DAA" w:rsidRDefault="00711444" w:rsidP="00AA2A4C">
            <w:pPr>
              <w:pStyle w:val="TAL"/>
              <w:rPr>
                <w:lang w:eastAsia="en-US"/>
              </w:rPr>
            </w:pPr>
            <w:r w:rsidRPr="004D0DAA">
              <w:rPr>
                <w:lang w:eastAsia="en-US"/>
              </w:rPr>
              <w:tab/>
            </w:r>
            <w:r w:rsidRPr="004D0DAA">
              <w:rPr>
                <w:lang w:eastAsia="en-US"/>
              </w:rPr>
              <w:tab/>
              <w:t>| 110</w:t>
            </w:r>
            <w:r w:rsidRPr="004D0DAA">
              <w:rPr>
                <w:lang w:eastAsia="en-US"/>
              </w:rPr>
              <w:tab/>
              <w:t xml:space="preserve">&lt; </w:t>
            </w:r>
            <w:r w:rsidRPr="004D0DAA">
              <w:rPr>
                <w:b/>
                <w:lang w:eastAsia="en-US"/>
              </w:rPr>
              <w:t>TQI</w:t>
            </w:r>
            <w:r w:rsidRPr="004D0DAA">
              <w:rPr>
                <w:lang w:eastAsia="en-US"/>
              </w:rPr>
              <w:t> : bit (16) &gt; }</w:t>
            </w:r>
          </w:p>
          <w:p w14:paraId="52C032EF"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w:t>
            </w:r>
            <w:r w:rsidRPr="004D0DAA">
              <w:rPr>
                <w:b/>
                <w:lang w:eastAsia="en-US"/>
              </w:rPr>
              <w:t>TYPE_OF_ACK</w:t>
            </w:r>
            <w:r w:rsidRPr="004D0DAA">
              <w:rPr>
                <w:lang w:eastAsia="en-US"/>
              </w:rPr>
              <w:t xml:space="preserve"> : bit (1) &gt;</w:t>
            </w:r>
          </w:p>
          <w:p w14:paraId="326EE05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t xml:space="preserve">-- </w:t>
            </w:r>
            <w:r w:rsidRPr="004D0DAA">
              <w:rPr>
                <w:i/>
                <w:iCs/>
                <w:lang w:eastAsia="en-US"/>
              </w:rPr>
              <w:t>Receiver compatible with earlier release</w:t>
            </w:r>
          </w:p>
          <w:p w14:paraId="62A1BB4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Rel-5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71998F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 }</w:t>
            </w:r>
          </w:p>
          <w:p w14:paraId="2B1B128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48A3910D"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60073CB"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7D35755A" w14:textId="77777777" w:rsidR="00711444" w:rsidRPr="004D0DAA" w:rsidRDefault="00711444" w:rsidP="00711444"/>
    <w:p w14:paraId="06E3FBCE" w14:textId="77777777" w:rsidR="00711444" w:rsidRPr="004D0DAA" w:rsidRDefault="00711444" w:rsidP="00711444">
      <w:pPr>
        <w:pStyle w:val="TH"/>
      </w:pPr>
      <w:r w:rsidRPr="004D0DAA">
        <w:lastRenderedPageBreak/>
        <w:t xml:space="preserve">Table 11.2.12.2: </w:t>
      </w:r>
      <w:r w:rsidRPr="004D0DAA">
        <w:rPr>
          <w:caps/>
        </w:rPr>
        <w:t>Packet POLLING</w:t>
      </w:r>
      <w:r w:rsidRPr="004D0DAA">
        <w:t xml:space="preserve"> REQUEST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E32FF64" w14:textId="77777777" w:rsidTr="00AA2A4C">
        <w:tblPrEx>
          <w:tblCellMar>
            <w:top w:w="0" w:type="dxa"/>
            <w:bottom w:w="0" w:type="dxa"/>
          </w:tblCellMar>
        </w:tblPrEx>
        <w:trPr>
          <w:cantSplit/>
        </w:trPr>
        <w:tc>
          <w:tcPr>
            <w:tcW w:w="9848" w:type="dxa"/>
          </w:tcPr>
          <w:p w14:paraId="733FB5EB"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0518A32A" w14:textId="77777777" w:rsidTr="00AA2A4C">
        <w:tblPrEx>
          <w:tblCellMar>
            <w:top w:w="0" w:type="dxa"/>
            <w:bottom w:w="0" w:type="dxa"/>
          </w:tblCellMar>
        </w:tblPrEx>
        <w:trPr>
          <w:cantSplit/>
        </w:trPr>
        <w:tc>
          <w:tcPr>
            <w:tcW w:w="9848" w:type="dxa"/>
          </w:tcPr>
          <w:p w14:paraId="357C8575" w14:textId="77777777" w:rsidR="00711444" w:rsidRPr="004D0DAA" w:rsidRDefault="00711444" w:rsidP="00AA2A4C">
            <w:pPr>
              <w:rPr>
                <w:b/>
              </w:rPr>
            </w:pPr>
            <w:r w:rsidRPr="004D0DAA">
              <w:rPr>
                <w:b/>
              </w:rPr>
              <w:t>TQI</w:t>
            </w:r>
            <w:r w:rsidRPr="004D0DAA">
              <w:t xml:space="preserve"> (16 bit field)</w:t>
            </w:r>
            <w:r w:rsidRPr="004D0DAA">
              <w:br/>
              <w:t>This field is defined in sub-clause 12.17.</w:t>
            </w:r>
          </w:p>
        </w:tc>
      </w:tr>
      <w:tr w:rsidR="00711444" w:rsidRPr="004D0DAA" w14:paraId="0DDFFC96" w14:textId="77777777" w:rsidTr="00AA2A4C">
        <w:tblPrEx>
          <w:tblCellMar>
            <w:top w:w="0" w:type="dxa"/>
            <w:bottom w:w="0" w:type="dxa"/>
          </w:tblCellMar>
        </w:tblPrEx>
        <w:trPr>
          <w:cantSplit/>
        </w:trPr>
        <w:tc>
          <w:tcPr>
            <w:tcW w:w="9848" w:type="dxa"/>
          </w:tcPr>
          <w:p w14:paraId="1D382494" w14:textId="77777777" w:rsidR="00711444" w:rsidRPr="004D0DAA" w:rsidRDefault="00711444" w:rsidP="00AA2A4C">
            <w:pPr>
              <w:rPr>
                <w:b/>
              </w:rPr>
            </w:pPr>
            <w:r w:rsidRPr="004D0DAA">
              <w:rPr>
                <w:b/>
              </w:rPr>
              <w:t>TLLI / G-RNTI</w:t>
            </w:r>
            <w:r w:rsidRPr="004D0DAA">
              <w:t xml:space="preserve"> (32 bit field)</w:t>
            </w:r>
            <w:r w:rsidRPr="004D0DAA">
              <w:br/>
              <w:t>This field is defined in sub-clause 12.16.</w:t>
            </w:r>
          </w:p>
        </w:tc>
      </w:tr>
      <w:tr w:rsidR="00711444" w:rsidRPr="004D0DAA" w14:paraId="78F169D6" w14:textId="77777777" w:rsidTr="00AA2A4C">
        <w:tblPrEx>
          <w:tblCellMar>
            <w:top w:w="0" w:type="dxa"/>
            <w:bottom w:w="0" w:type="dxa"/>
          </w:tblCellMar>
        </w:tblPrEx>
        <w:trPr>
          <w:cantSplit/>
        </w:trPr>
        <w:tc>
          <w:tcPr>
            <w:tcW w:w="9848" w:type="dxa"/>
          </w:tcPr>
          <w:p w14:paraId="64E9D085" w14:textId="77777777" w:rsidR="00711444" w:rsidRPr="004D0DAA" w:rsidRDefault="00711444" w:rsidP="00AA2A4C">
            <w:pPr>
              <w:rPr>
                <w:b/>
              </w:rPr>
            </w:pPr>
            <w:r w:rsidRPr="004D0DAA">
              <w:rPr>
                <w:b/>
              </w:rPr>
              <w:t>Global TFI</w:t>
            </w:r>
            <w:r w:rsidRPr="004D0DAA">
              <w:br/>
              <w:t>This information element contains the TFI of the mobile station's downlink TBF or uplink TBF. This field is defined in sub-clause 12.10.</w:t>
            </w:r>
          </w:p>
        </w:tc>
      </w:tr>
      <w:tr w:rsidR="00711444" w:rsidRPr="004D0DAA" w14:paraId="531AE3FA" w14:textId="77777777" w:rsidTr="00AA2A4C">
        <w:tblPrEx>
          <w:tblCellMar>
            <w:top w:w="0" w:type="dxa"/>
            <w:bottom w:w="0" w:type="dxa"/>
          </w:tblCellMar>
        </w:tblPrEx>
        <w:trPr>
          <w:cantSplit/>
        </w:trPr>
        <w:tc>
          <w:tcPr>
            <w:tcW w:w="9848" w:type="dxa"/>
          </w:tcPr>
          <w:p w14:paraId="607629AE" w14:textId="77777777" w:rsidR="00711444" w:rsidRPr="004D0DAA" w:rsidRDefault="00711444" w:rsidP="00AA2A4C">
            <w:r w:rsidRPr="004D0DAA">
              <w:rPr>
                <w:b/>
              </w:rPr>
              <w:t>TYPE_OF_ACK</w:t>
            </w:r>
            <w:r w:rsidRPr="004D0DAA">
              <w:br/>
              <w:t>This field indicates the format of the PACKET CONTROL ACKNOWLEDGEMENT message requested from the mobile station by the PACKET POLLING REQUEST message.</w:t>
            </w:r>
          </w:p>
          <w:p w14:paraId="3029EAA1" w14:textId="77777777" w:rsidR="00711444" w:rsidRPr="004D0DAA" w:rsidRDefault="00711444" w:rsidP="00AA2A4C">
            <w:r w:rsidRPr="004D0DAA">
              <w:t>0</w:t>
            </w:r>
            <w:r w:rsidRPr="004D0DAA">
              <w:tab/>
              <w:t>PACKET CONTROL ACKNOWLEDGEMENT message format shall be sent as four access bursts</w:t>
            </w:r>
            <w:r w:rsidRPr="004D0DAA">
              <w:br/>
              <w:t>1</w:t>
            </w:r>
            <w:r w:rsidRPr="004D0DAA">
              <w:tab/>
              <w:t>PACKET CONTROL ACKNOWLEDGEMENT message format shall be an RLC/MAC control block</w:t>
            </w:r>
          </w:p>
        </w:tc>
      </w:tr>
      <w:tr w:rsidR="00711444" w:rsidRPr="004D0DAA" w14:paraId="442FF757" w14:textId="77777777" w:rsidTr="00AA2A4C">
        <w:tblPrEx>
          <w:tblCellMar>
            <w:top w:w="0" w:type="dxa"/>
            <w:bottom w:w="0" w:type="dxa"/>
          </w:tblCellMar>
        </w:tblPrEx>
        <w:trPr>
          <w:cantSplit/>
        </w:trPr>
        <w:tc>
          <w:tcPr>
            <w:tcW w:w="9848" w:type="dxa"/>
          </w:tcPr>
          <w:p w14:paraId="49A8BE38" w14:textId="77777777" w:rsidR="00711444" w:rsidRPr="004D0DAA" w:rsidRDefault="00711444" w:rsidP="00AA2A4C">
            <w:pPr>
              <w:spacing w:after="60"/>
            </w:pPr>
            <w:r w:rsidRPr="004D0DAA">
              <w:rPr>
                <w:b/>
                <w:bCs/>
              </w:rPr>
              <w:t xml:space="preserve">G-RNTI extension </w:t>
            </w:r>
            <w:r w:rsidRPr="004D0DAA">
              <w:t>(4 bit field)</w:t>
            </w:r>
          </w:p>
          <w:p w14:paraId="6996405C" w14:textId="77777777" w:rsidR="00711444" w:rsidRPr="004D0DAA" w:rsidRDefault="00711444" w:rsidP="00AA2A4C">
            <w:pPr>
              <w:rPr>
                <w:b/>
              </w:rPr>
            </w:pPr>
            <w:r w:rsidRPr="004D0DAA">
              <w:t xml:space="preserve">This field contains the extra 4 bits of the G-RNTI not included in the TLLI / G-RNTI field which are necessary to provide a unique identifier in </w:t>
            </w:r>
            <w:r w:rsidRPr="004D0DAA">
              <w:rPr>
                <w:i/>
                <w:iCs/>
              </w:rPr>
              <w:t>Iu mode</w:t>
            </w:r>
            <w:r w:rsidRPr="004D0DAA">
              <w:t>.</w:t>
            </w:r>
          </w:p>
        </w:tc>
      </w:tr>
    </w:tbl>
    <w:p w14:paraId="7F30B059" w14:textId="77777777" w:rsidR="00711444" w:rsidRPr="004D0DAA" w:rsidRDefault="00711444" w:rsidP="00711444"/>
    <w:p w14:paraId="09EA4E2E" w14:textId="77777777" w:rsidR="00711444" w:rsidRPr="004D0DAA" w:rsidRDefault="00711444" w:rsidP="00711444">
      <w:pPr>
        <w:pStyle w:val="Heading3"/>
      </w:pPr>
      <w:bookmarkStart w:id="678" w:name="_Toc516669854"/>
      <w:r w:rsidRPr="004D0DAA">
        <w:t>11.2.13</w:t>
      </w:r>
      <w:r w:rsidRPr="004D0DAA">
        <w:tab/>
        <w:t>Packet Power Control/Timing Advance</w:t>
      </w:r>
      <w:bookmarkEnd w:id="678"/>
    </w:p>
    <w:p w14:paraId="7CC5FA52" w14:textId="77777777" w:rsidR="00711444" w:rsidRPr="004D0DAA" w:rsidRDefault="00711444" w:rsidP="00711444">
      <w:r w:rsidRPr="004D0DAA">
        <w:t>This message is sent on PACCH by the network to the mobile station in order to update the mobile station timing advance or power control parameters.</w:t>
      </w:r>
    </w:p>
    <w:p w14:paraId="52212428" w14:textId="77777777" w:rsidR="00711444" w:rsidRPr="004D0DAA" w:rsidRDefault="00711444" w:rsidP="00711444">
      <w:pPr>
        <w:pStyle w:val="EX"/>
      </w:pPr>
      <w:r w:rsidRPr="004D0DAA">
        <w:t>Message type:</w:t>
      </w:r>
      <w:r w:rsidRPr="004D0DAA">
        <w:tab/>
        <w:t>PACKET POWER CONTROL/TIMING ADVANCE</w:t>
      </w:r>
    </w:p>
    <w:p w14:paraId="5C7502D9" w14:textId="77777777" w:rsidR="00711444" w:rsidRPr="004D0DAA" w:rsidRDefault="00711444" w:rsidP="00711444">
      <w:pPr>
        <w:pStyle w:val="EX"/>
      </w:pPr>
      <w:r w:rsidRPr="004D0DAA">
        <w:t>Direction:</w:t>
      </w:r>
      <w:r w:rsidRPr="004D0DAA">
        <w:tab/>
        <w:t>network to mobile station</w:t>
      </w:r>
    </w:p>
    <w:p w14:paraId="0FFB2364" w14:textId="77777777" w:rsidR="00711444" w:rsidRPr="004D0DAA" w:rsidRDefault="00711444" w:rsidP="00711444">
      <w:pPr>
        <w:pStyle w:val="EX"/>
      </w:pPr>
      <w:r w:rsidRPr="004D0DAA">
        <w:t>Classification:</w:t>
      </w:r>
      <w:r w:rsidRPr="004D0DAA">
        <w:tab/>
        <w:t>non-distribution message</w:t>
      </w:r>
    </w:p>
    <w:p w14:paraId="30895DAA" w14:textId="77777777" w:rsidR="00711444" w:rsidRPr="004D0DAA" w:rsidRDefault="00711444" w:rsidP="00711444">
      <w:pPr>
        <w:pStyle w:val="TH"/>
      </w:pPr>
      <w:r w:rsidRPr="004D0DAA">
        <w:lastRenderedPageBreak/>
        <w:t xml:space="preserve">Table 11.2.13.1: </w:t>
      </w:r>
      <w:r w:rsidRPr="004D0DAA">
        <w:rPr>
          <w:caps/>
        </w:rPr>
        <w:t>Packet POwer CONTROL/TIMING ADVANCE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AE2264C" w14:textId="77777777" w:rsidTr="00AA2A4C">
        <w:tblPrEx>
          <w:tblCellMar>
            <w:top w:w="0" w:type="dxa"/>
            <w:bottom w:w="0" w:type="dxa"/>
          </w:tblCellMar>
        </w:tblPrEx>
        <w:trPr>
          <w:cantSplit/>
        </w:trPr>
        <w:tc>
          <w:tcPr>
            <w:tcW w:w="9848" w:type="dxa"/>
          </w:tcPr>
          <w:p w14:paraId="20DB0E4A" w14:textId="77777777" w:rsidR="00711444" w:rsidRPr="004D0DAA" w:rsidRDefault="00711444" w:rsidP="00AA2A4C">
            <w:pPr>
              <w:pStyle w:val="TAL"/>
              <w:rPr>
                <w:lang w:eastAsia="en-US"/>
              </w:rPr>
            </w:pPr>
            <w:r w:rsidRPr="004D0DAA">
              <w:rPr>
                <w:lang w:eastAsia="en-US"/>
              </w:rPr>
              <w:t>&lt; Packet Power Control/Timing Advance message content &gt; ::=</w:t>
            </w:r>
          </w:p>
          <w:p w14:paraId="0EBFE3F5"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PAGE_MODE</w:t>
            </w:r>
            <w:r w:rsidRPr="004D0DAA">
              <w:rPr>
                <w:lang w:val="fr-FR" w:eastAsia="en-US"/>
              </w:rPr>
              <w:t xml:space="preserve"> : bit (2) &gt;</w:t>
            </w:r>
          </w:p>
          <w:p w14:paraId="7298F4E2"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70F77BDB"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w:t>
            </w:r>
            <w:r w:rsidRPr="004D0DAA">
              <w:rPr>
                <w:lang w:eastAsia="en-US"/>
              </w:rPr>
              <w:tab/>
              <w:t>0</w:t>
            </w:r>
            <w:r w:rsidRPr="004D0DAA">
              <w:rPr>
                <w:lang w:eastAsia="en-US"/>
              </w:rPr>
              <w:tab/>
            </w:r>
            <w:r w:rsidRPr="004D0DAA">
              <w:rPr>
                <w:lang w:eastAsia="en-US"/>
              </w:rPr>
              <w:tab/>
              <w:t xml:space="preserve">-- </w:t>
            </w:r>
            <w:r w:rsidRPr="004D0DAA">
              <w:rPr>
                <w:i/>
                <w:lang w:eastAsia="en-US"/>
              </w:rPr>
              <w:t>Message escape</w:t>
            </w:r>
          </w:p>
          <w:p w14:paraId="6157873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 0 | 1 &lt; </w:t>
            </w:r>
            <w:r w:rsidRPr="004D0DAA">
              <w:rPr>
                <w:b/>
                <w:lang w:eastAsia="en-US"/>
              </w:rPr>
              <w:t>Global Power Control Parameters</w:t>
            </w:r>
            <w:r w:rsidRPr="004D0DAA">
              <w:rPr>
                <w:lang w:eastAsia="en-US"/>
              </w:rPr>
              <w:t xml:space="preserve"> : &lt; Global Power Control Parameters IE &gt;&gt; }</w:t>
            </w:r>
          </w:p>
          <w:p w14:paraId="75EABF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49C00F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Power Control Parameters</w:t>
            </w:r>
            <w:r w:rsidRPr="004D0DAA">
              <w:rPr>
                <w:lang w:eastAsia="en-US"/>
              </w:rPr>
              <w:t xml:space="preserve"> : &lt; Power Control Parameters IE &gt; &gt;</w:t>
            </w:r>
          </w:p>
          <w:p w14:paraId="681D72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 0 &lt; </w:t>
            </w:r>
            <w:r w:rsidRPr="004D0DAA">
              <w:rPr>
                <w:b/>
                <w:lang w:eastAsia="en-US"/>
              </w:rPr>
              <w:t>Global Packet Timing Advance</w:t>
            </w:r>
            <w:r w:rsidRPr="004D0DAA">
              <w:rPr>
                <w:lang w:eastAsia="en-US"/>
              </w:rPr>
              <w:t xml:space="preserve"> : &lt; Global Packet Timing Advance IE &gt; &gt;</w:t>
            </w:r>
          </w:p>
          <w:p w14:paraId="4CC78C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lang w:eastAsia="en-US"/>
              </w:rPr>
              <w:t>Power Control Parameters</w:t>
            </w:r>
            <w:r w:rsidRPr="004D0DAA">
              <w:rPr>
                <w:lang w:eastAsia="en-US"/>
              </w:rPr>
              <w:t xml:space="preserve"> : &lt; Power Control parameters IE &gt; &gt; } }</w:t>
            </w:r>
          </w:p>
          <w:p w14:paraId="1E72AED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null</w:t>
            </w:r>
            <w:r w:rsidRPr="004D0DAA">
              <w:rPr>
                <w:lang w:eastAsia="en-US"/>
              </w:rPr>
              <w:tab/>
              <w:t>| 0</w:t>
            </w:r>
            <w:r w:rsidRPr="004D0DAA">
              <w:rPr>
                <w:b/>
                <w:lang w:eastAsia="en-US"/>
              </w:rPr>
              <w:t xml:space="preserve"> </w:t>
            </w:r>
            <w:r w:rsidRPr="004D0DAA">
              <w:rPr>
                <w:lang w:eastAsia="en-US"/>
              </w:rPr>
              <w:t>bit** = &lt; no string &gt;</w:t>
            </w:r>
            <w:r w:rsidRPr="004D0DAA">
              <w:rPr>
                <w:lang w:eastAsia="en-US"/>
              </w:rPr>
              <w:tab/>
              <w:t>-- Receiver backward compatible with earlier version</w:t>
            </w:r>
          </w:p>
          <w:p w14:paraId="30AADB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R99</w:t>
            </w:r>
          </w:p>
          <w:p w14:paraId="25B2C1F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b/>
                <w:lang w:eastAsia="en-US"/>
              </w:rPr>
              <w:t xml:space="preserve"> </w:t>
            </w:r>
            <w:r w:rsidRPr="004D0DAA">
              <w:rPr>
                <w:lang w:eastAsia="en-US"/>
              </w:rPr>
              <w:t xml:space="preserve">&lt; </w:t>
            </w:r>
            <w:r w:rsidRPr="004D0DAA">
              <w:rPr>
                <w:b/>
                <w:lang w:eastAsia="en-US"/>
              </w:rPr>
              <w:t>Packet Extended Timing Advance</w:t>
            </w:r>
            <w:r w:rsidRPr="004D0DAA">
              <w:rPr>
                <w:lang w:eastAsia="en-US"/>
              </w:rPr>
              <w:t xml:space="preserve"> : bit (2)&gt; }</w:t>
            </w:r>
          </w:p>
          <w:p w14:paraId="55C7269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b/>
                <w:lang w:eastAsia="en-US"/>
              </w:rPr>
              <w:t xml:space="preserve"> </w:t>
            </w:r>
            <w:r w:rsidRPr="004D0DAA">
              <w:rPr>
                <w:lang w:eastAsia="en-US"/>
              </w:rPr>
              <w:t>bit** = &lt; no string &gt;</w:t>
            </w:r>
            <w:r w:rsidRPr="004D0DAA">
              <w:rPr>
                <w:lang w:eastAsia="en-US"/>
              </w:rPr>
              <w:tab/>
              <w:t>-- Receiver backward compatible with earlier version</w:t>
            </w:r>
          </w:p>
          <w:p w14:paraId="5420929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REL-7</w:t>
            </w:r>
          </w:p>
          <w:p w14:paraId="00A3E6D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&lt; </w:t>
            </w:r>
            <w:r w:rsidRPr="004D0DAA">
              <w:rPr>
                <w:b/>
                <w:lang w:eastAsia="en-US"/>
              </w:rPr>
              <w:t xml:space="preserve">Carrier Identification </w:t>
            </w:r>
            <w:r w:rsidRPr="004D0DAA">
              <w:rPr>
                <w:lang w:eastAsia="en-US"/>
              </w:rPr>
              <w:t>: bit (2) &gt; }</w:t>
            </w:r>
          </w:p>
          <w:p w14:paraId="2ADAE2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w:t>
            </w:r>
            <w:r w:rsidRPr="004D0DAA">
              <w:rPr>
                <w:b/>
                <w:lang w:eastAsia="en-US"/>
              </w:rPr>
              <w:t xml:space="preserve"> </w:t>
            </w:r>
            <w:r w:rsidRPr="004D0DAA">
              <w:rPr>
                <w:lang w:eastAsia="en-US"/>
              </w:rPr>
              <w:t>bit** = &lt; no string &gt;</w:t>
            </w:r>
            <w:r w:rsidRPr="004D0DAA">
              <w:rPr>
                <w:lang w:eastAsia="en-US"/>
              </w:rPr>
              <w:tab/>
              <w:t>-- Receiver backward compatible with earlier version</w:t>
            </w:r>
          </w:p>
          <w:p w14:paraId="2A3C9F0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t>-- Additions for REL-12</w:t>
            </w:r>
          </w:p>
          <w:p w14:paraId="72ACD35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&lt; </w:t>
            </w:r>
            <w:r w:rsidRPr="004D0DAA">
              <w:rPr>
                <w:b/>
                <w:lang w:eastAsia="en-US"/>
              </w:rPr>
              <w:t>Carrier Count</w:t>
            </w:r>
            <w:r w:rsidRPr="004D0DAA">
              <w:rPr>
                <w:lang w:eastAsia="en-US"/>
              </w:rPr>
              <w:t xml:space="preserve"> : bit (4) &gt;</w:t>
            </w:r>
          </w:p>
          <w:p w14:paraId="6B34E7B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DLMC Carrier Bitmap </w:t>
            </w:r>
            <w:r w:rsidRPr="004D0DAA">
              <w:rPr>
                <w:lang w:eastAsia="en-US"/>
              </w:rPr>
              <w:t>: bit (val(</w:t>
            </w:r>
            <w:r w:rsidRPr="004D0DAA">
              <w:rPr>
                <w:b/>
                <w:lang w:eastAsia="en-US"/>
              </w:rPr>
              <w:t>Carrier Count</w:t>
            </w:r>
            <w:r w:rsidRPr="004D0DAA">
              <w:rPr>
                <w:lang w:eastAsia="en-US"/>
              </w:rPr>
              <w:t>) + 1) }</w:t>
            </w:r>
          </w:p>
          <w:p w14:paraId="67A9582D" w14:textId="77777777" w:rsidR="00711444" w:rsidRPr="004D0DAA" w:rsidRDefault="00711444" w:rsidP="00AA2A4C">
            <w:pPr>
              <w:pStyle w:val="TAL"/>
              <w:rPr>
                <w:lang w:eastAsia="en-US"/>
              </w:rPr>
            </w:pPr>
            <w:r w:rsidRPr="004D0DAA">
              <w:rPr>
                <w:lang w:eastAsia="en-US"/>
              </w:rPr>
              <w:tab/>
              <w:t>&lt; padding bits &gt; } } }</w:t>
            </w:r>
          </w:p>
          <w:p w14:paraId="66A89F5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6DF4F8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Message escape : 1 bit (*) = &lt;no string&gt; &gt; }</w:t>
            </w:r>
          </w:p>
          <w:p w14:paraId="6A00C079"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39E4D592"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70E3E66E" w14:textId="77777777" w:rsidR="00711444" w:rsidRPr="004D0DAA" w:rsidRDefault="00711444" w:rsidP="00711444"/>
    <w:p w14:paraId="720C0C55" w14:textId="77777777" w:rsidR="00711444" w:rsidRPr="004D0DAA" w:rsidRDefault="00711444" w:rsidP="00711444">
      <w:pPr>
        <w:pStyle w:val="TH"/>
      </w:pPr>
      <w:r w:rsidRPr="004D0DAA">
        <w:t xml:space="preserve">Table 11.2.13.2: </w:t>
      </w:r>
      <w:r w:rsidRPr="004D0DAA">
        <w:rPr>
          <w:caps/>
        </w:rPr>
        <w:t>Packet POwer CONTROL/TIMING ADVANCE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F0EC232" w14:textId="77777777" w:rsidTr="00AA2A4C">
        <w:tblPrEx>
          <w:tblCellMar>
            <w:top w:w="0" w:type="dxa"/>
            <w:bottom w:w="0" w:type="dxa"/>
          </w:tblCellMar>
        </w:tblPrEx>
        <w:trPr>
          <w:cantSplit/>
        </w:trPr>
        <w:tc>
          <w:tcPr>
            <w:tcW w:w="9848" w:type="dxa"/>
          </w:tcPr>
          <w:p w14:paraId="53421B2E" w14:textId="77777777" w:rsidR="00711444" w:rsidRPr="004D0DAA" w:rsidRDefault="00711444" w:rsidP="00AA2A4C">
            <w:r w:rsidRPr="004D0DAA">
              <w:rPr>
                <w:b/>
              </w:rPr>
              <w:t>Global Power Control Parameters IE</w:t>
            </w:r>
            <w:r w:rsidRPr="004D0DAA">
              <w:br/>
              <w:t>This information field is defined in sub-clause 12.9.</w:t>
            </w:r>
          </w:p>
          <w:p w14:paraId="2A1988C2" w14:textId="77777777" w:rsidR="00711444" w:rsidRPr="004D0DAA" w:rsidRDefault="00711444" w:rsidP="00AA2A4C">
            <w:r w:rsidRPr="004D0DAA">
              <w:rPr>
                <w:b/>
              </w:rPr>
              <w:t>Global_Packet Timing Advance IE</w:t>
            </w:r>
            <w:r w:rsidRPr="004D0DAA">
              <w:rPr>
                <w:b/>
              </w:rPr>
              <w:br/>
            </w:r>
            <w:r w:rsidRPr="004D0DAA">
              <w:t>This information field is defined in sub-clause 12.12a.</w:t>
            </w:r>
          </w:p>
          <w:p w14:paraId="30A0342C" w14:textId="77777777" w:rsidR="00711444" w:rsidRPr="004D0DAA" w:rsidRDefault="00711444" w:rsidP="00AA2A4C">
            <w:r w:rsidRPr="004D0DAA">
              <w:rPr>
                <w:b/>
              </w:rPr>
              <w:t>Power Control Parameters IE</w:t>
            </w:r>
            <w:r w:rsidRPr="004D0DAA">
              <w:rPr>
                <w:b/>
              </w:rPr>
              <w:br/>
            </w:r>
            <w:r w:rsidRPr="004D0DAA">
              <w:t>This information element contains</w:t>
            </w:r>
            <w:r w:rsidRPr="004D0DAA">
              <w:rPr>
                <w:lang w:eastAsia="ko-KR"/>
              </w:rPr>
              <w:t xml:space="preserve"> the power control</w:t>
            </w:r>
            <w:r w:rsidRPr="004D0DAA">
              <w:t xml:space="preserve"> </w:t>
            </w:r>
            <w:r w:rsidRPr="004D0DAA">
              <w:rPr>
                <w:lang w:eastAsia="ko-KR"/>
              </w:rPr>
              <w:t>parameters the mobile station shall use to determine its TX power level.</w:t>
            </w:r>
            <w:r w:rsidRPr="004D0DAA">
              <w:t xml:space="preserve"> If this information element </w:t>
            </w:r>
            <w:r w:rsidRPr="004D0DAA">
              <w:rPr>
                <w:lang w:eastAsia="ko-KR"/>
              </w:rPr>
              <w:t>does not include the updated power control parameters</w:t>
            </w:r>
            <w:r w:rsidRPr="004D0DAA">
              <w:t xml:space="preserve"> for </w:t>
            </w:r>
            <w:r w:rsidRPr="004D0DAA">
              <w:rPr>
                <w:lang w:eastAsia="ko-KR"/>
              </w:rPr>
              <w:t xml:space="preserve">some of </w:t>
            </w:r>
            <w:r w:rsidRPr="004D0DAA">
              <w:t xml:space="preserve">currently assigned timeslots, the MS shall continue to use the </w:t>
            </w:r>
            <w:r w:rsidRPr="004D0DAA">
              <w:rPr>
                <w:lang w:eastAsia="ko-KR"/>
              </w:rPr>
              <w:t>current</w:t>
            </w:r>
            <w:r w:rsidRPr="004D0DAA">
              <w:t xml:space="preserve"> power control parameters for </w:t>
            </w:r>
            <w:r w:rsidRPr="004D0DAA">
              <w:rPr>
                <w:lang w:eastAsia="ko-KR"/>
              </w:rPr>
              <w:t>these</w:t>
            </w:r>
            <w:r w:rsidRPr="004D0DAA">
              <w:t xml:space="preserve"> timeslots.</w:t>
            </w:r>
            <w:r w:rsidRPr="004D0DAA">
              <w:rPr>
                <w:lang w:eastAsia="ko-KR"/>
              </w:rPr>
              <w:t xml:space="preserve"> </w:t>
            </w:r>
            <w:r w:rsidRPr="004D0DAA">
              <w:t>This information field is defined in sub-clause 12.13.</w:t>
            </w:r>
          </w:p>
          <w:p w14:paraId="0CFE5095" w14:textId="77777777" w:rsidR="00711444" w:rsidRPr="004D0DAA" w:rsidRDefault="00711444" w:rsidP="00AA2A4C">
            <w:r w:rsidRPr="004D0DAA">
              <w:rPr>
                <w:b/>
              </w:rPr>
              <w:t>Global TFI IE</w:t>
            </w:r>
            <w:r w:rsidRPr="004D0DAA">
              <w:rPr>
                <w:b/>
              </w:rPr>
              <w:br/>
            </w:r>
            <w:r w:rsidRPr="004D0DAA">
              <w:t>This information element contains the TFI of the mobile station's downlink TBF or uplink TBF. This field is defined in sub-clause 12.10.</w:t>
            </w:r>
          </w:p>
          <w:p w14:paraId="13661A61" w14:textId="77777777" w:rsidR="00711444" w:rsidRPr="004D0DAA" w:rsidRDefault="00711444" w:rsidP="00AA2A4C">
            <w:r w:rsidRPr="004D0DAA">
              <w:rPr>
                <w:b/>
              </w:rPr>
              <w:t xml:space="preserve">Packet Extended Timing Advance </w:t>
            </w:r>
            <w:r w:rsidRPr="004D0DAA">
              <w:t xml:space="preserve">(2 bit field) </w:t>
            </w:r>
            <w:r w:rsidRPr="004D0DAA">
              <w:rPr>
                <w:b/>
              </w:rPr>
              <w:br/>
            </w:r>
            <w:r w:rsidRPr="004D0DAA">
              <w:t>This field is defined in sub-clause 12.12b.</w:t>
            </w:r>
          </w:p>
        </w:tc>
      </w:tr>
      <w:tr w:rsidR="00711444" w:rsidRPr="004D0DAA" w14:paraId="174F0E7F"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Pr>
          <w:p w14:paraId="043CD288" w14:textId="77777777" w:rsidR="00711444" w:rsidRPr="004D0DAA" w:rsidRDefault="00711444" w:rsidP="00AA2A4C">
            <w:pPr>
              <w:spacing w:after="0"/>
              <w:rPr>
                <w:b/>
                <w:iCs/>
              </w:rPr>
            </w:pPr>
            <w:r w:rsidRPr="004D0DAA">
              <w:rPr>
                <w:b/>
                <w:iCs/>
              </w:rPr>
              <w:t xml:space="preserve">Carrier Identification </w:t>
            </w:r>
            <w:r w:rsidRPr="004D0DAA">
              <w:rPr>
                <w:iCs/>
              </w:rPr>
              <w:t>(2 bit field)</w:t>
            </w:r>
          </w:p>
          <w:p w14:paraId="2C656122" w14:textId="77777777" w:rsidR="00711444" w:rsidRPr="004D0DAA" w:rsidRDefault="00711444" w:rsidP="00AA2A4C">
            <w:pPr>
              <w:spacing w:after="0"/>
              <w:rPr>
                <w:bCs/>
                <w:iCs/>
              </w:rPr>
            </w:pPr>
            <w:r w:rsidRPr="004D0DAA">
              <w:rPr>
                <w:bCs/>
                <w:iCs/>
              </w:rPr>
              <w:t>This field identifies the carrier to which the Power Control Parameters refers.</w:t>
            </w:r>
          </w:p>
          <w:p w14:paraId="484C11E5" w14:textId="77777777" w:rsidR="00711444" w:rsidRPr="004D0DAA" w:rsidRDefault="00711444" w:rsidP="00AA2A4C">
            <w:pPr>
              <w:spacing w:after="0"/>
              <w:rPr>
                <w:bCs/>
                <w:iCs/>
              </w:rPr>
            </w:pPr>
          </w:p>
          <w:p w14:paraId="29574F0A" w14:textId="77777777" w:rsidR="00711444" w:rsidRPr="004D0DAA" w:rsidRDefault="00711444" w:rsidP="00AA2A4C">
            <w:pPr>
              <w:spacing w:after="0"/>
            </w:pPr>
            <w:r w:rsidRPr="004D0DAA">
              <w:t>bit</w:t>
            </w:r>
          </w:p>
          <w:p w14:paraId="15800C1A" w14:textId="77777777" w:rsidR="00711444" w:rsidRPr="004D0DAA" w:rsidRDefault="00711444" w:rsidP="00AA2A4C">
            <w:pPr>
              <w:spacing w:after="0"/>
            </w:pPr>
            <w:r w:rsidRPr="004D0DAA">
              <w:rPr>
                <w:bCs/>
                <w:iCs/>
              </w:rPr>
              <w:t>0 0</w:t>
            </w:r>
            <w:r w:rsidRPr="004D0DAA">
              <w:tab/>
            </w:r>
            <w:r w:rsidRPr="004D0DAA">
              <w:tab/>
              <w:t>Power Control Parameters applies to both carriers</w:t>
            </w:r>
          </w:p>
          <w:p w14:paraId="6C5CF046" w14:textId="77777777" w:rsidR="00711444" w:rsidRPr="004D0DAA" w:rsidRDefault="00711444" w:rsidP="00AA2A4C">
            <w:pPr>
              <w:spacing w:after="0"/>
            </w:pPr>
            <w:r w:rsidRPr="004D0DAA">
              <w:t>0 1</w:t>
            </w:r>
            <w:r w:rsidRPr="004D0DAA">
              <w:tab/>
            </w:r>
            <w:r w:rsidRPr="004D0DAA">
              <w:tab/>
              <w:t>Power Control Parameters applies to carrier 1</w:t>
            </w:r>
          </w:p>
          <w:p w14:paraId="447A9B6D" w14:textId="77777777" w:rsidR="00711444" w:rsidRPr="004D0DAA" w:rsidRDefault="00711444" w:rsidP="00AA2A4C">
            <w:pPr>
              <w:spacing w:after="0"/>
            </w:pPr>
            <w:r w:rsidRPr="004D0DAA">
              <w:t xml:space="preserve">1 0 </w:t>
            </w:r>
            <w:r w:rsidRPr="004D0DAA">
              <w:tab/>
              <w:t>Power Control Parameters applies to carrier 2</w:t>
            </w:r>
          </w:p>
          <w:p w14:paraId="2EA970F3" w14:textId="77777777" w:rsidR="00711444" w:rsidRPr="004D0DAA" w:rsidRDefault="00711444" w:rsidP="00AA2A4C">
            <w:pPr>
              <w:spacing w:after="0"/>
            </w:pPr>
            <w:r w:rsidRPr="004D0DAA">
              <w:t xml:space="preserve">1 1 </w:t>
            </w:r>
            <w:r w:rsidRPr="004D0DAA">
              <w:tab/>
              <w:t>Reserved for future use</w:t>
            </w:r>
          </w:p>
          <w:p w14:paraId="355EF7A4" w14:textId="77777777" w:rsidR="00711444" w:rsidRPr="004D0DAA" w:rsidRDefault="00711444" w:rsidP="00AA2A4C">
            <w:pPr>
              <w:spacing w:after="0"/>
              <w:rPr>
                <w:b/>
                <w:iCs/>
              </w:rPr>
            </w:pPr>
          </w:p>
        </w:tc>
      </w:tr>
      <w:tr w:rsidR="00711444" w:rsidRPr="004D0DAA" w14:paraId="2CF040B8"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Pr>
          <w:p w14:paraId="4EEBCF4A" w14:textId="77777777" w:rsidR="00711444" w:rsidRPr="004D0DAA" w:rsidRDefault="00711444" w:rsidP="00AA2A4C">
            <w:pPr>
              <w:spacing w:after="0"/>
              <w:rPr>
                <w:b/>
              </w:rPr>
            </w:pPr>
            <w:r w:rsidRPr="004D0DAA">
              <w:rPr>
                <w:b/>
              </w:rPr>
              <w:lastRenderedPageBreak/>
              <w:t xml:space="preserve">DLMC Carrier Bitmap </w:t>
            </w:r>
            <w:r w:rsidRPr="004D0DAA">
              <w:rPr>
                <w:iCs/>
              </w:rPr>
              <w:t>(1 - 16 bit field)</w:t>
            </w:r>
          </w:p>
          <w:p w14:paraId="477C29B7" w14:textId="77777777" w:rsidR="00711444" w:rsidRPr="004D0DAA" w:rsidRDefault="00711444" w:rsidP="00AA2A4C">
            <w:pPr>
              <w:spacing w:after="0"/>
              <w:rPr>
                <w:bCs/>
                <w:iCs/>
              </w:rPr>
            </w:pPr>
            <w:r w:rsidRPr="004D0DAA">
              <w:rPr>
                <w:bCs/>
                <w:iCs/>
              </w:rPr>
              <w:t>This field identifies the carrier(s) to which the Power Control Parameters are applicable for a DLMC configuration. In the absence of this field the MS shall assume the Power Control Parameters applies to all downlink carriers assigned for the DLMC configuration.</w:t>
            </w:r>
          </w:p>
          <w:p w14:paraId="01593789" w14:textId="77777777" w:rsidR="00711444" w:rsidRPr="004D0DAA" w:rsidRDefault="00711444" w:rsidP="00AA2A4C">
            <w:pPr>
              <w:spacing w:before="240"/>
            </w:pPr>
            <w:r w:rsidRPr="004D0DAA">
              <w:t>The most significant bit of this bitmap (bit N) refers to the lowest number carrier in the DLMC configuration and the least significant bit of this bitmap (bit 1) refers to the highest number carrier in the DLMC configuration. Each bit position in this bitmap is coded as follows:</w:t>
            </w:r>
          </w:p>
          <w:p w14:paraId="56B44561" w14:textId="77777777" w:rsidR="00711444" w:rsidRPr="004D0DAA" w:rsidRDefault="00711444" w:rsidP="00AA2A4C">
            <w:pPr>
              <w:spacing w:after="0"/>
              <w:rPr>
                <w:bCs/>
                <w:iCs/>
              </w:rPr>
            </w:pPr>
            <w:r w:rsidRPr="004D0DAA">
              <w:t>0</w:t>
            </w:r>
            <w:r w:rsidRPr="004D0DAA">
              <w:tab/>
              <w:t>The Power Control Parameters are not applicable</w:t>
            </w:r>
            <w:r w:rsidRPr="004D0DAA">
              <w:br/>
              <w:t>1</w:t>
            </w:r>
            <w:r w:rsidRPr="004D0DAA">
              <w:tab/>
              <w:t>The Power Control Parameters are applicable</w:t>
            </w:r>
          </w:p>
          <w:p w14:paraId="5CD6866F" w14:textId="77777777" w:rsidR="00711444" w:rsidRPr="004D0DAA" w:rsidRDefault="00711444" w:rsidP="00AA2A4C">
            <w:pPr>
              <w:spacing w:after="0"/>
              <w:rPr>
                <w:b/>
                <w:iCs/>
              </w:rPr>
            </w:pPr>
          </w:p>
        </w:tc>
      </w:tr>
    </w:tbl>
    <w:p w14:paraId="17EF9801" w14:textId="77777777" w:rsidR="00711444" w:rsidRPr="004D0DAA" w:rsidRDefault="00711444" w:rsidP="00711444"/>
    <w:p w14:paraId="5DA72AF0" w14:textId="77777777" w:rsidR="00711444" w:rsidRPr="004D0DAA" w:rsidRDefault="00711444" w:rsidP="00711444">
      <w:pPr>
        <w:pStyle w:val="Heading3"/>
      </w:pPr>
      <w:bookmarkStart w:id="679" w:name="_Toc516669855"/>
      <w:r w:rsidRPr="004D0DAA">
        <w:t>11.2.14</w:t>
      </w:r>
      <w:r w:rsidRPr="004D0DAA">
        <w:tab/>
        <w:t>Packet PRACH Parameters</w:t>
      </w:r>
      <w:bookmarkEnd w:id="679"/>
    </w:p>
    <w:p w14:paraId="71272B73" w14:textId="77777777" w:rsidR="00711444" w:rsidRPr="004D0DAA" w:rsidRDefault="00711444" w:rsidP="00711444">
      <w:r w:rsidRPr="004D0DAA">
        <w:t>This message is sent on the PCCCH by the network to all mobile stations within the cell to update the PRACH parameters in between Packet System Information messages containing PRACH parameters.</w:t>
      </w:r>
    </w:p>
    <w:p w14:paraId="06BADB0F" w14:textId="77777777" w:rsidR="00711444" w:rsidRPr="004D0DAA" w:rsidRDefault="00711444" w:rsidP="00711444">
      <w:pPr>
        <w:pStyle w:val="EX"/>
      </w:pPr>
      <w:r w:rsidRPr="004D0DAA">
        <w:t>Message type:</w:t>
      </w:r>
      <w:r w:rsidRPr="004D0DAA">
        <w:tab/>
        <w:t>PACKET PRACH PARAMETERS</w:t>
      </w:r>
    </w:p>
    <w:p w14:paraId="497280BA" w14:textId="77777777" w:rsidR="00711444" w:rsidRPr="004D0DAA" w:rsidRDefault="00711444" w:rsidP="00711444">
      <w:pPr>
        <w:pStyle w:val="EX"/>
      </w:pPr>
      <w:r w:rsidRPr="004D0DAA">
        <w:t>Direction:</w:t>
      </w:r>
      <w:r w:rsidRPr="004D0DAA">
        <w:tab/>
        <w:t>network to mobile station</w:t>
      </w:r>
    </w:p>
    <w:p w14:paraId="48C134D7" w14:textId="77777777" w:rsidR="00711444" w:rsidRPr="004D0DAA" w:rsidRDefault="00711444" w:rsidP="00711444">
      <w:pPr>
        <w:pStyle w:val="EX"/>
      </w:pPr>
      <w:r w:rsidRPr="004D0DAA">
        <w:t>Classification:</w:t>
      </w:r>
      <w:r w:rsidRPr="004D0DAA">
        <w:tab/>
        <w:t>distribution message</w:t>
      </w:r>
    </w:p>
    <w:p w14:paraId="3714EAB5" w14:textId="77777777" w:rsidR="00711444" w:rsidRPr="004D0DAA" w:rsidRDefault="00711444" w:rsidP="00711444">
      <w:pPr>
        <w:pStyle w:val="TH"/>
      </w:pPr>
      <w:r w:rsidRPr="004D0DAA">
        <w:t xml:space="preserve">Table 11.2.14.1: </w:t>
      </w:r>
      <w:r w:rsidRPr="004D0DAA">
        <w:rPr>
          <w:caps/>
        </w:rPr>
        <w:t>Packet PRACH PARAMETERS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54515B6" w14:textId="77777777" w:rsidTr="00AA2A4C">
        <w:tblPrEx>
          <w:tblCellMar>
            <w:top w:w="0" w:type="dxa"/>
            <w:bottom w:w="0" w:type="dxa"/>
          </w:tblCellMar>
        </w:tblPrEx>
        <w:trPr>
          <w:cantSplit/>
        </w:trPr>
        <w:tc>
          <w:tcPr>
            <w:tcW w:w="9848" w:type="dxa"/>
          </w:tcPr>
          <w:p w14:paraId="387CE9FC" w14:textId="77777777" w:rsidR="00711444" w:rsidRPr="004D0DAA" w:rsidRDefault="00711444" w:rsidP="00AA2A4C">
            <w:pPr>
              <w:pStyle w:val="TAL"/>
              <w:rPr>
                <w:lang w:eastAsia="en-US"/>
              </w:rPr>
            </w:pPr>
            <w:r w:rsidRPr="004D0DAA">
              <w:rPr>
                <w:lang w:eastAsia="en-US"/>
              </w:rPr>
              <w:t>&lt; Packet PRACH Parameters message content &gt; ::=</w:t>
            </w:r>
          </w:p>
          <w:p w14:paraId="2B29464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697A1AE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PRACH Control Parameters</w:t>
            </w:r>
            <w:r w:rsidRPr="004D0DAA">
              <w:rPr>
                <w:lang w:eastAsia="en-US"/>
              </w:rPr>
              <w:t xml:space="preserve"> : &lt; PRACH Control Parameters IE &gt; &gt;</w:t>
            </w:r>
          </w:p>
          <w:p w14:paraId="0C6745EC" w14:textId="77777777" w:rsidR="00711444" w:rsidRPr="004D0DAA" w:rsidRDefault="00711444" w:rsidP="00AA2A4C">
            <w:pPr>
              <w:pStyle w:val="TAL"/>
              <w:rPr>
                <w:lang w:eastAsia="en-US"/>
              </w:rPr>
            </w:pPr>
            <w:r w:rsidRPr="004D0DAA">
              <w:rPr>
                <w:lang w:eastAsia="en-US"/>
              </w:rPr>
              <w:tab/>
              <w:t>&lt; padding bits &gt;</w:t>
            </w:r>
          </w:p>
          <w:p w14:paraId="70F22A13"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165EB5DF" w14:textId="77777777" w:rsidR="00711444" w:rsidRPr="004D0DAA" w:rsidRDefault="00711444" w:rsidP="00711444"/>
    <w:p w14:paraId="4A73DBD1" w14:textId="77777777" w:rsidR="00711444" w:rsidRPr="004D0DAA" w:rsidRDefault="00711444" w:rsidP="00711444">
      <w:pPr>
        <w:pStyle w:val="TH"/>
      </w:pPr>
      <w:r w:rsidRPr="004D0DAA">
        <w:t xml:space="preserve">Table 11.2.14.2: PACKET </w:t>
      </w:r>
      <w:r w:rsidRPr="004D0DAA">
        <w:rPr>
          <w:caps/>
        </w:rPr>
        <w:t>PRACH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F75E71B" w14:textId="77777777" w:rsidTr="00AA2A4C">
        <w:tblPrEx>
          <w:tblCellMar>
            <w:top w:w="0" w:type="dxa"/>
            <w:bottom w:w="0" w:type="dxa"/>
          </w:tblCellMar>
        </w:tblPrEx>
        <w:tc>
          <w:tcPr>
            <w:tcW w:w="9848" w:type="dxa"/>
          </w:tcPr>
          <w:p w14:paraId="59C4B66B"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6A970A60" w14:textId="77777777" w:rsidR="00711444" w:rsidRPr="004D0DAA" w:rsidRDefault="00711444" w:rsidP="00AA2A4C">
            <w:r w:rsidRPr="004D0DAA">
              <w:rPr>
                <w:b/>
              </w:rPr>
              <w:t>PRACH Control Parameters</w:t>
            </w:r>
            <w:r w:rsidRPr="004D0DAA">
              <w:br/>
              <w:t>This information element is defined in sub-clause 12.14.</w:t>
            </w:r>
          </w:p>
        </w:tc>
      </w:tr>
    </w:tbl>
    <w:p w14:paraId="292FD5AB" w14:textId="77777777" w:rsidR="00711444" w:rsidRPr="004D0DAA" w:rsidRDefault="00711444" w:rsidP="00711444"/>
    <w:p w14:paraId="2B24D950" w14:textId="77777777" w:rsidR="00711444" w:rsidRPr="004D0DAA" w:rsidRDefault="00711444" w:rsidP="00711444">
      <w:pPr>
        <w:pStyle w:val="Heading3"/>
      </w:pPr>
      <w:bookmarkStart w:id="680" w:name="_Toc516669856"/>
      <w:r w:rsidRPr="004D0DAA">
        <w:t>11.2.15</w:t>
      </w:r>
      <w:r w:rsidRPr="004D0DAA">
        <w:tab/>
        <w:t>Packet Queuing Notification</w:t>
      </w:r>
      <w:bookmarkEnd w:id="680"/>
    </w:p>
    <w:p w14:paraId="3FB1A3E2" w14:textId="77777777" w:rsidR="00711444" w:rsidRPr="004D0DAA" w:rsidRDefault="00711444" w:rsidP="00711444">
      <w:r w:rsidRPr="004D0DAA">
        <w:t>This message is sent on the PCCCH by the network to the mobile station to notify the mobile station that it is being placed in queue. The message allocates a Temporary Queuing Identity to the mobile station.</w:t>
      </w:r>
    </w:p>
    <w:p w14:paraId="1CE8FC6E" w14:textId="77777777" w:rsidR="00711444" w:rsidRPr="004D0DAA" w:rsidRDefault="00711444" w:rsidP="00711444">
      <w:pPr>
        <w:pStyle w:val="EX"/>
      </w:pPr>
      <w:r w:rsidRPr="004D0DAA">
        <w:t>Message type:</w:t>
      </w:r>
      <w:r w:rsidRPr="004D0DAA">
        <w:tab/>
        <w:t>PACKET QUEUING NOTIFICATION</w:t>
      </w:r>
    </w:p>
    <w:p w14:paraId="3128CDF2" w14:textId="77777777" w:rsidR="00711444" w:rsidRPr="004D0DAA" w:rsidRDefault="00711444" w:rsidP="00711444">
      <w:pPr>
        <w:pStyle w:val="EX"/>
      </w:pPr>
      <w:r w:rsidRPr="004D0DAA">
        <w:t>Direction:</w:t>
      </w:r>
      <w:r w:rsidRPr="004D0DAA">
        <w:tab/>
        <w:t>network to mobile station</w:t>
      </w:r>
    </w:p>
    <w:p w14:paraId="0571896B" w14:textId="77777777" w:rsidR="00711444" w:rsidRPr="004D0DAA" w:rsidRDefault="00711444" w:rsidP="00711444">
      <w:pPr>
        <w:pStyle w:val="EX"/>
      </w:pPr>
      <w:r w:rsidRPr="004D0DAA">
        <w:t>Classification:</w:t>
      </w:r>
      <w:r w:rsidRPr="004D0DAA">
        <w:tab/>
        <w:t>non-distribution message</w:t>
      </w:r>
    </w:p>
    <w:p w14:paraId="6FB192CD" w14:textId="77777777" w:rsidR="00711444" w:rsidRPr="004D0DAA" w:rsidRDefault="00711444" w:rsidP="00711444">
      <w:pPr>
        <w:pStyle w:val="TH"/>
      </w:pPr>
      <w:r w:rsidRPr="004D0DAA">
        <w:lastRenderedPageBreak/>
        <w:t xml:space="preserve">Table 11.2.15.1: </w:t>
      </w:r>
      <w:r w:rsidRPr="004D0DAA">
        <w:rPr>
          <w:caps/>
        </w:rPr>
        <w:t>Packet QUEUING NOTIFICATION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3EAD410" w14:textId="77777777" w:rsidTr="00AA2A4C">
        <w:tblPrEx>
          <w:tblCellMar>
            <w:top w:w="0" w:type="dxa"/>
            <w:bottom w:w="0" w:type="dxa"/>
          </w:tblCellMar>
        </w:tblPrEx>
        <w:trPr>
          <w:cantSplit/>
        </w:trPr>
        <w:tc>
          <w:tcPr>
            <w:tcW w:w="9848" w:type="dxa"/>
          </w:tcPr>
          <w:p w14:paraId="0A59C6E0" w14:textId="77777777" w:rsidR="00711444" w:rsidRPr="004D0DAA" w:rsidRDefault="00711444" w:rsidP="00AA2A4C">
            <w:pPr>
              <w:pStyle w:val="TAL"/>
              <w:rPr>
                <w:lang w:val="fr-FR" w:eastAsia="en-US"/>
              </w:rPr>
            </w:pPr>
            <w:r w:rsidRPr="004D0DAA">
              <w:rPr>
                <w:lang w:val="fr-FR" w:eastAsia="en-US"/>
              </w:rPr>
              <w:t>&lt; Packet Queueing Notification message content &gt; ::=</w:t>
            </w:r>
          </w:p>
          <w:p w14:paraId="312F315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7A852973"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 xml:space="preserve">111 &lt; </w:t>
            </w:r>
            <w:r w:rsidRPr="004D0DAA">
              <w:rPr>
                <w:b/>
                <w:lang w:eastAsia="en-US"/>
              </w:rPr>
              <w:t>Packet Request Reference</w:t>
            </w:r>
            <w:r w:rsidRPr="004D0DAA">
              <w:rPr>
                <w:lang w:eastAsia="en-US"/>
              </w:rPr>
              <w:t xml:space="preserve"> : &lt; Packet Request Reference IE &gt; &gt;</w:t>
            </w:r>
          </w:p>
          <w:p w14:paraId="61942639"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 xml:space="preserve">TQI </w:t>
            </w:r>
            <w:r w:rsidRPr="004D0DAA">
              <w:rPr>
                <w:lang w:eastAsia="en-US"/>
              </w:rPr>
              <w:t>: bit (16) &gt;</w:t>
            </w:r>
          </w:p>
          <w:p w14:paraId="0B8B45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7904952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3FDB5096"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5BAF6CB9"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12D6685F" w14:textId="77777777" w:rsidR="00711444" w:rsidRPr="004D0DAA" w:rsidRDefault="00711444" w:rsidP="00711444"/>
    <w:p w14:paraId="466EB00C" w14:textId="77777777" w:rsidR="00711444" w:rsidRPr="004D0DAA" w:rsidRDefault="00711444" w:rsidP="00711444">
      <w:pPr>
        <w:pStyle w:val="TH"/>
      </w:pPr>
      <w:r w:rsidRPr="004D0DAA">
        <w:t xml:space="preserve">Table 11.2.15.2: </w:t>
      </w:r>
      <w:r w:rsidRPr="004D0DAA">
        <w:rPr>
          <w:caps/>
        </w:rPr>
        <w:t>Packet QUEUING NOTIFICATION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4462249" w14:textId="77777777" w:rsidTr="00AA2A4C">
        <w:tblPrEx>
          <w:tblCellMar>
            <w:top w:w="0" w:type="dxa"/>
            <w:bottom w:w="0" w:type="dxa"/>
          </w:tblCellMar>
        </w:tblPrEx>
        <w:tc>
          <w:tcPr>
            <w:tcW w:w="9848" w:type="dxa"/>
          </w:tcPr>
          <w:p w14:paraId="1F64844B"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6E33F31B" w14:textId="77777777" w:rsidR="00711444" w:rsidRPr="004D0DAA" w:rsidRDefault="00711444" w:rsidP="00AA2A4C">
            <w:r w:rsidRPr="004D0DAA">
              <w:rPr>
                <w:b/>
              </w:rPr>
              <w:t>Packet Request Reference</w:t>
            </w:r>
            <w:r w:rsidRPr="004D0DAA">
              <w:rPr>
                <w:b/>
              </w:rPr>
              <w:br/>
            </w:r>
            <w:r w:rsidRPr="004D0DAA">
              <w:t>This information element is defined in sub-clause 12.11.</w:t>
            </w:r>
          </w:p>
          <w:p w14:paraId="5A02460C" w14:textId="77777777" w:rsidR="00711444" w:rsidRPr="004D0DAA" w:rsidRDefault="00711444" w:rsidP="00AA2A4C">
            <w:r w:rsidRPr="004D0DAA">
              <w:rPr>
                <w:b/>
              </w:rPr>
              <w:t xml:space="preserve">TQI </w:t>
            </w:r>
            <w:r w:rsidRPr="004D0DAA">
              <w:t>(16 bit field)</w:t>
            </w:r>
            <w:r w:rsidRPr="004D0DAA">
              <w:rPr>
                <w:b/>
              </w:rPr>
              <w:br/>
            </w:r>
            <w:r w:rsidRPr="004D0DAA">
              <w:t>This information field is defined in sub-clause 12.17.</w:t>
            </w:r>
          </w:p>
        </w:tc>
      </w:tr>
    </w:tbl>
    <w:p w14:paraId="319E21E3" w14:textId="77777777" w:rsidR="00711444" w:rsidRPr="004D0DAA" w:rsidRDefault="00711444" w:rsidP="00711444"/>
    <w:p w14:paraId="1A86D35D" w14:textId="77777777" w:rsidR="00711444" w:rsidRPr="004D0DAA" w:rsidRDefault="00711444" w:rsidP="00711444">
      <w:pPr>
        <w:pStyle w:val="Heading3"/>
      </w:pPr>
      <w:bookmarkStart w:id="681" w:name="_Toc516669857"/>
      <w:r w:rsidRPr="004D0DAA">
        <w:t>11.2.16</w:t>
      </w:r>
      <w:r w:rsidRPr="004D0DAA">
        <w:tab/>
        <w:t>Packet Resource Request</w:t>
      </w:r>
      <w:bookmarkEnd w:id="681"/>
    </w:p>
    <w:p w14:paraId="41675EB7" w14:textId="77777777" w:rsidR="00711444" w:rsidRPr="004D0DAA" w:rsidRDefault="00711444" w:rsidP="00711444">
      <w:r w:rsidRPr="004D0DAA">
        <w:t>This message is sent on the PACCH by the mobile station to the network to request a change in the uplink resources assigned.</w:t>
      </w:r>
    </w:p>
    <w:p w14:paraId="35A97AB5" w14:textId="77777777" w:rsidR="00711444" w:rsidRPr="004D0DAA" w:rsidRDefault="00711444" w:rsidP="00711444">
      <w:pPr>
        <w:pStyle w:val="EX"/>
      </w:pPr>
      <w:r w:rsidRPr="004D0DAA">
        <w:t>Message type:</w:t>
      </w:r>
      <w:r w:rsidRPr="004D0DAA">
        <w:tab/>
        <w:t>PACKET RESOURCE REQUEST</w:t>
      </w:r>
    </w:p>
    <w:p w14:paraId="41D53EA1" w14:textId="77777777" w:rsidR="00711444" w:rsidRPr="004D0DAA" w:rsidRDefault="00711444" w:rsidP="00711444">
      <w:pPr>
        <w:pStyle w:val="EX"/>
      </w:pPr>
      <w:r w:rsidRPr="004D0DAA">
        <w:t>Direction:</w:t>
      </w:r>
      <w:r w:rsidRPr="004D0DAA">
        <w:tab/>
        <w:t>mobile station to network</w:t>
      </w:r>
    </w:p>
    <w:p w14:paraId="2CD08E44" w14:textId="77777777" w:rsidR="00711444" w:rsidRPr="004D0DAA" w:rsidRDefault="00711444" w:rsidP="00711444">
      <w:pPr>
        <w:pStyle w:val="TH"/>
      </w:pPr>
      <w:r w:rsidRPr="004D0DAA">
        <w:lastRenderedPageBreak/>
        <w:t xml:space="preserve">Table 11.2.16.1: </w:t>
      </w:r>
      <w:r w:rsidRPr="004D0DAA">
        <w:rPr>
          <w:caps/>
        </w:rPr>
        <w:t>Packet RESOURCE REQUEST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475D0D4" w14:textId="77777777" w:rsidTr="00AA2A4C">
        <w:tblPrEx>
          <w:tblCellMar>
            <w:top w:w="0" w:type="dxa"/>
            <w:bottom w:w="0" w:type="dxa"/>
          </w:tblCellMar>
        </w:tblPrEx>
        <w:trPr>
          <w:cantSplit/>
        </w:trPr>
        <w:tc>
          <w:tcPr>
            <w:tcW w:w="9848" w:type="dxa"/>
          </w:tcPr>
          <w:p w14:paraId="57EE9022" w14:textId="77777777" w:rsidR="00711444" w:rsidRPr="004D0DAA" w:rsidRDefault="00711444" w:rsidP="00AA2A4C">
            <w:pPr>
              <w:pStyle w:val="TAL"/>
              <w:rPr>
                <w:lang w:eastAsia="en-US"/>
              </w:rPr>
            </w:pPr>
            <w:r w:rsidRPr="004D0DAA">
              <w:rPr>
                <w:lang w:eastAsia="en-US"/>
              </w:rPr>
              <w:t>&lt; Packet Resource Request message content &gt; ::=</w:t>
            </w:r>
          </w:p>
          <w:p w14:paraId="761C427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ACCESS_TYPE</w:t>
            </w:r>
            <w:r w:rsidRPr="004D0DAA">
              <w:rPr>
                <w:lang w:eastAsia="en-US"/>
              </w:rPr>
              <w:t xml:space="preserve"> : bit (2) &gt; }</w:t>
            </w:r>
          </w:p>
          <w:p w14:paraId="352FA2F5"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t xml:space="preserve">&lt; </w:t>
            </w:r>
            <w:r w:rsidRPr="004D0DAA">
              <w:rPr>
                <w:b/>
                <w:lang w:eastAsia="en-US"/>
              </w:rPr>
              <w:t xml:space="preserve">Global TFI </w:t>
            </w:r>
            <w:r w:rsidRPr="004D0DAA">
              <w:rPr>
                <w:lang w:eastAsia="en-US"/>
              </w:rPr>
              <w:t>: &lt; Global TFI IE &gt; &gt;</w:t>
            </w:r>
          </w:p>
          <w:p w14:paraId="7F8B5A0E"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TLLI / G-RNTI</w:t>
            </w:r>
            <w:r w:rsidRPr="004D0DAA">
              <w:rPr>
                <w:lang w:eastAsia="en-US"/>
              </w:rPr>
              <w:t xml:space="preserve"> : &lt; TLLI / G-RNTI IE &gt; &gt; }</w:t>
            </w:r>
          </w:p>
          <w:p w14:paraId="200ACF1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MS Radio Access Capability 2</w:t>
            </w:r>
            <w:r w:rsidRPr="004D0DAA">
              <w:rPr>
                <w:lang w:eastAsia="en-US"/>
              </w:rPr>
              <w:t xml:space="preserve"> : &lt; MS Radio Access Capability 2 IE &gt; &gt; }</w:t>
            </w:r>
          </w:p>
          <w:p w14:paraId="59B8411C"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Channel Request Description </w:t>
            </w:r>
            <w:r w:rsidRPr="004D0DAA">
              <w:rPr>
                <w:lang w:val="fr-FR" w:eastAsia="en-US"/>
              </w:rPr>
              <w:t>: &lt; Channel Request Description IE &gt; &gt;</w:t>
            </w:r>
          </w:p>
          <w:p w14:paraId="0CA6A425"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CHANGE_MARK</w:t>
            </w:r>
            <w:r w:rsidRPr="004D0DAA">
              <w:rPr>
                <w:lang w:eastAsia="en-US"/>
              </w:rPr>
              <w:t xml:space="preserve"> : bit (2) &gt; }</w:t>
            </w:r>
          </w:p>
          <w:p w14:paraId="6FF3D22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C_VALUE </w:t>
            </w:r>
            <w:r w:rsidRPr="004D0DAA">
              <w:rPr>
                <w:lang w:eastAsia="en-US"/>
              </w:rPr>
              <w:t>: bit (6) &gt;</w:t>
            </w:r>
          </w:p>
          <w:p w14:paraId="77D2945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SIGN_VAR</w:t>
            </w:r>
            <w:r w:rsidRPr="004D0DAA">
              <w:rPr>
                <w:lang w:eastAsia="en-US"/>
              </w:rPr>
              <w:t xml:space="preserve"> : bit (6) &gt; }</w:t>
            </w:r>
          </w:p>
          <w:p w14:paraId="6491837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I_LEVEL_TN0 </w:t>
            </w:r>
            <w:r w:rsidRPr="004D0DAA">
              <w:rPr>
                <w:lang w:eastAsia="en-US"/>
              </w:rPr>
              <w:t>: bit (4) &gt; }</w:t>
            </w:r>
          </w:p>
          <w:p w14:paraId="3D6DD03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I_LEVEL_TN1 </w:t>
            </w:r>
            <w:r w:rsidRPr="004D0DAA">
              <w:rPr>
                <w:lang w:eastAsia="en-US"/>
              </w:rPr>
              <w:t>: bit (4) &gt; }</w:t>
            </w:r>
          </w:p>
          <w:p w14:paraId="38DA83B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I_LEVEL_TN2 </w:t>
            </w:r>
            <w:r w:rsidRPr="004D0DAA">
              <w:rPr>
                <w:lang w:eastAsia="en-US"/>
              </w:rPr>
              <w:t>: bit (4) &gt; }</w:t>
            </w:r>
          </w:p>
          <w:p w14:paraId="31FC996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I_LEVEL_TN3 </w:t>
            </w:r>
            <w:r w:rsidRPr="004D0DAA">
              <w:rPr>
                <w:lang w:eastAsia="en-US"/>
              </w:rPr>
              <w:t>: bit (4) &gt; }</w:t>
            </w:r>
          </w:p>
          <w:p w14:paraId="42955FD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I_LEVEL_TN4 </w:t>
            </w:r>
            <w:r w:rsidRPr="004D0DAA">
              <w:rPr>
                <w:lang w:eastAsia="en-US"/>
              </w:rPr>
              <w:t>: bit (4) &gt; }</w:t>
            </w:r>
          </w:p>
          <w:p w14:paraId="778B15D1"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I_LEVEL_TN5 </w:t>
            </w:r>
            <w:r w:rsidRPr="004D0DAA">
              <w:rPr>
                <w:lang w:eastAsia="en-US"/>
              </w:rPr>
              <w:t>: bit (4) &gt; }</w:t>
            </w:r>
          </w:p>
          <w:p w14:paraId="2DD0FB2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I_LEVEL_TN6 </w:t>
            </w:r>
            <w:r w:rsidRPr="004D0DAA">
              <w:rPr>
                <w:lang w:eastAsia="en-US"/>
              </w:rPr>
              <w:t>: bit (4) &gt; }</w:t>
            </w:r>
          </w:p>
          <w:p w14:paraId="453F9CF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I_LEVEL_TN7 </w:t>
            </w:r>
            <w:r w:rsidRPr="004D0DAA">
              <w:rPr>
                <w:lang w:eastAsia="en-US"/>
              </w:rPr>
              <w:t>: bit (4) &gt; }</w:t>
            </w:r>
          </w:p>
        </w:tc>
      </w:tr>
      <w:tr w:rsidR="00711444" w:rsidRPr="004D0DAA" w14:paraId="691030E6" w14:textId="77777777" w:rsidTr="00AA2A4C">
        <w:tblPrEx>
          <w:tblCellMar>
            <w:top w:w="0" w:type="dxa"/>
            <w:bottom w:w="0" w:type="dxa"/>
          </w:tblCellMar>
        </w:tblPrEx>
        <w:trPr>
          <w:cantSplit/>
        </w:trPr>
        <w:tc>
          <w:tcPr>
            <w:tcW w:w="9848" w:type="dxa"/>
          </w:tcPr>
          <w:p w14:paraId="26D91CB9" w14:textId="77777777" w:rsidR="00711444" w:rsidRPr="004D0DAA" w:rsidRDefault="00711444" w:rsidP="00AA2A4C">
            <w:pPr>
              <w:pStyle w:val="TAL"/>
              <w:rPr>
                <w:lang w:eastAsia="en-US"/>
              </w:rPr>
            </w:pPr>
            <w:r w:rsidRPr="004D0DAA">
              <w:rPr>
                <w:lang w:eastAsia="en-US"/>
              </w:rPr>
              <w:tab/>
              <w:t>{</w:t>
            </w:r>
            <w:r w:rsidRPr="004D0DAA">
              <w:rPr>
                <w:lang w:eastAsia="en-US"/>
              </w:rPr>
              <w:tab/>
              <w:t>null | 0 bit** = &lt;no string&gt;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722FB88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Additional contents for Release 1999</w:t>
            </w:r>
          </w:p>
          <w:p w14:paraId="2BC6EC4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EGPRS BEP</w:t>
            </w:r>
            <w:r w:rsidRPr="004D0DAA">
              <w:rPr>
                <w:lang w:eastAsia="en-US"/>
              </w:rPr>
              <w:t xml:space="preserve"> </w:t>
            </w:r>
            <w:r w:rsidRPr="004D0DAA">
              <w:rPr>
                <w:b/>
                <w:lang w:eastAsia="en-US"/>
              </w:rPr>
              <w:t>Link Quality Measurements</w:t>
            </w:r>
            <w:r w:rsidRPr="004D0DAA">
              <w:rPr>
                <w:lang w:eastAsia="en-US"/>
              </w:rPr>
              <w:t xml:space="preserve"> : </w:t>
            </w:r>
          </w:p>
          <w:p w14:paraId="09636CE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EGPRS BEP Link Quality Measurements IE &gt;&gt; }</w:t>
            </w:r>
          </w:p>
          <w:p w14:paraId="4654F51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b/>
                <w:lang w:eastAsia="en-US"/>
              </w:rPr>
              <w:tab/>
            </w:r>
            <w:r w:rsidRPr="004D0DAA">
              <w:rPr>
                <w:lang w:eastAsia="en-US"/>
              </w:rPr>
              <w:t xml:space="preserve">&lt; </w:t>
            </w:r>
            <w:r w:rsidRPr="004D0DAA">
              <w:rPr>
                <w:b/>
                <w:lang w:eastAsia="en-US"/>
              </w:rPr>
              <w:t>EGPRS</w:t>
            </w:r>
            <w:r w:rsidRPr="004D0DAA">
              <w:rPr>
                <w:lang w:eastAsia="en-US"/>
              </w:rPr>
              <w:t xml:space="preserve"> </w:t>
            </w:r>
            <w:r w:rsidRPr="004D0DAA">
              <w:rPr>
                <w:b/>
                <w:lang w:eastAsia="en-US"/>
              </w:rPr>
              <w:t>Timeslot Link Quality Measurements</w:t>
            </w:r>
            <w:r w:rsidRPr="004D0DAA">
              <w:rPr>
                <w:lang w:eastAsia="en-US"/>
              </w:rPr>
              <w:t xml:space="preserve"> : </w:t>
            </w:r>
          </w:p>
          <w:p w14:paraId="444A544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EGPRS Timeslot Link Quality Measurements IE &gt;&gt;}</w:t>
            </w:r>
          </w:p>
          <w:p w14:paraId="7290367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PFI</w:t>
            </w:r>
            <w:r w:rsidRPr="004D0DAA">
              <w:rPr>
                <w:lang w:eastAsia="en-US"/>
              </w:rPr>
              <w:t>: bit(7) &gt; }</w:t>
            </w:r>
          </w:p>
          <w:p w14:paraId="2185FA5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ADDITIONAL MS RAC INFORMATION AVAILABLE</w:t>
            </w:r>
            <w:r w:rsidRPr="004D0DAA">
              <w:rPr>
                <w:lang w:eastAsia="en-US"/>
              </w:rPr>
              <w:t xml:space="preserve"> : bit (1) &gt;</w:t>
            </w:r>
          </w:p>
          <w:p w14:paraId="2BE20C1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RETRANSMISSION OF PRR</w:t>
            </w:r>
            <w:r w:rsidRPr="004D0DAA">
              <w:rPr>
                <w:lang w:eastAsia="en-US"/>
              </w:rPr>
              <w:t xml:space="preserve"> : bit (1) &gt;</w:t>
            </w:r>
          </w:p>
          <w:p w14:paraId="19F59296"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 bit** = &lt; no string &gt;</w:t>
            </w:r>
            <w:r w:rsidRPr="004D0DAA">
              <w:rPr>
                <w:lang w:eastAsia="en-US"/>
              </w:rPr>
              <w:tab/>
            </w:r>
            <w:r w:rsidRPr="004D0DAA">
              <w:rPr>
                <w:lang w:eastAsia="en-US"/>
              </w:rPr>
              <w:tab/>
              <w:t>-- Receiver backward compatible with earlier version</w:t>
            </w:r>
          </w:p>
          <w:p w14:paraId="7D0556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Rel-5</w:t>
            </w:r>
          </w:p>
          <w:p w14:paraId="50E701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0 | 1</w:t>
            </w:r>
            <w:r w:rsidRPr="004D0DAA">
              <w:rPr>
                <w:lang w:eastAsia="en-US"/>
              </w:rPr>
              <w:tab/>
            </w:r>
            <w:r w:rsidRPr="004D0DAA">
              <w:rPr>
                <w:iCs/>
                <w:lang w:eastAsia="en-US"/>
              </w:rPr>
              <w:t xml:space="preserve">&lt; </w:t>
            </w:r>
            <w:r w:rsidRPr="004D0DAA">
              <w:rPr>
                <w:b/>
                <w:bCs/>
                <w:iCs/>
                <w:lang w:eastAsia="en-US"/>
              </w:rPr>
              <w:t xml:space="preserve">G-RNTI extension </w:t>
            </w:r>
            <w:r w:rsidRPr="004D0DAA">
              <w:rPr>
                <w:iCs/>
                <w:lang w:eastAsia="en-US"/>
              </w:rPr>
              <w:t>: bit (4) &gt; }</w:t>
            </w:r>
          </w:p>
          <w:p w14:paraId="4926D554"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&lt; </w:t>
            </w:r>
            <w:r w:rsidRPr="004D0DAA">
              <w:rPr>
                <w:b/>
                <w:bCs/>
                <w:lang w:val="fr-FR" w:eastAsia="en-US"/>
              </w:rPr>
              <w:t>Iu mode Channel Request Description</w:t>
            </w:r>
            <w:r w:rsidRPr="004D0DAA">
              <w:rPr>
                <w:lang w:val="fr-FR" w:eastAsia="en-US"/>
              </w:rPr>
              <w:t xml:space="preserve"> : &lt; Iu mode Channel Request Description IE &gt; &gt; } </w:t>
            </w:r>
          </w:p>
          <w:p w14:paraId="71D2C763"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eastAsia="en-US"/>
              </w:rPr>
              <w:t xml:space="preserve">{ 0 | 1 &lt; </w:t>
            </w:r>
            <w:r w:rsidRPr="004D0DAA">
              <w:rPr>
                <w:b/>
                <w:bCs/>
                <w:lang w:eastAsia="en-US"/>
              </w:rPr>
              <w:t>HFN_LSB</w:t>
            </w:r>
            <w:r w:rsidRPr="004D0DAA">
              <w:rPr>
                <w:lang w:eastAsia="en-US"/>
              </w:rPr>
              <w:t xml:space="preserve"> : bit (1) &gt; } </w:t>
            </w:r>
          </w:p>
          <w:p w14:paraId="3E3812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null | 0 bit** = &lt;no string&gt; </w:t>
            </w:r>
            <w:r w:rsidRPr="004D0DAA">
              <w:rPr>
                <w:lang w:eastAsia="en-US"/>
              </w:rPr>
              <w:tab/>
              <w:t>-- Receiver backward compatible with earlier version</w:t>
            </w:r>
          </w:p>
          <w:p w14:paraId="083B18F2"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Additional contents for Release 6</w:t>
            </w:r>
          </w:p>
          <w:p w14:paraId="5E389F47"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t>{ 0 | 1</w:t>
            </w:r>
            <w:r w:rsidRPr="004D0DAA">
              <w:rPr>
                <w:iCs/>
                <w:lang w:eastAsia="en-US"/>
              </w:rPr>
              <w:tab/>
            </w:r>
            <w:r w:rsidRPr="004D0DAA">
              <w:rPr>
                <w:lang w:eastAsia="en-US"/>
              </w:rPr>
              <w:t xml:space="preserve">&lt; </w:t>
            </w:r>
            <w:r w:rsidRPr="004D0DAA">
              <w:rPr>
                <w:b/>
                <w:bCs/>
                <w:lang w:eastAsia="en-US"/>
              </w:rPr>
              <w:t>Extended</w:t>
            </w:r>
            <w:r w:rsidRPr="004D0DAA">
              <w:rPr>
                <w:lang w:eastAsia="en-US"/>
              </w:rPr>
              <w:t xml:space="preserve"> </w:t>
            </w:r>
            <w:r w:rsidRPr="004D0DAA">
              <w:rPr>
                <w:b/>
                <w:lang w:eastAsia="en-US"/>
              </w:rPr>
              <w:t xml:space="preserve">Channel Request Description </w:t>
            </w:r>
            <w:r w:rsidRPr="004D0DAA">
              <w:rPr>
                <w:lang w:eastAsia="en-US"/>
              </w:rPr>
              <w:t xml:space="preserve">: </w:t>
            </w:r>
          </w:p>
          <w:p w14:paraId="3D435CC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Cs/>
                <w:lang w:eastAsia="en-US"/>
              </w:rPr>
              <w:t>Extended</w:t>
            </w:r>
            <w:r w:rsidRPr="004D0DAA">
              <w:rPr>
                <w:lang w:eastAsia="en-US"/>
              </w:rPr>
              <w:t xml:space="preserve"> Channel Request Description IE &gt; &gt; }</w:t>
            </w:r>
          </w:p>
          <w:p w14:paraId="5C4C27E5"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w:t>
            </w:r>
            <w:r w:rsidRPr="004D0DAA">
              <w:rPr>
                <w:lang w:eastAsia="en-US"/>
              </w:rPr>
              <w:tab/>
              <w:t xml:space="preserve">null | 0 bit** = &lt;no string&gt; </w:t>
            </w:r>
            <w:r w:rsidRPr="004D0DAA">
              <w:rPr>
                <w:lang w:eastAsia="en-US"/>
              </w:rPr>
              <w:tab/>
              <w:t>-- Receiver backward compatible with earlier version</w:t>
            </w:r>
          </w:p>
          <w:p w14:paraId="70A36CF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Additional contents for Release 7</w:t>
            </w:r>
          </w:p>
          <w:p w14:paraId="4897DB01" w14:textId="77777777" w:rsidR="00711444" w:rsidRPr="004D0DAA" w:rsidRDefault="00711444" w:rsidP="00AA2A4C">
            <w:pPr>
              <w:pStyle w:val="TAL"/>
              <w:rPr>
                <w:rFonts w:hint="eastAsia"/>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t xml:space="preserve">&lt; </w:t>
            </w:r>
            <w:r w:rsidRPr="004D0DAA">
              <w:rPr>
                <w:b/>
                <w:bCs/>
                <w:lang w:eastAsia="en-US"/>
              </w:rPr>
              <w:t xml:space="preserve">EARLY_TBF_ESTABLISHMENT </w:t>
            </w:r>
            <w:r w:rsidRPr="004D0DAA">
              <w:rPr>
                <w:lang w:eastAsia="en-US"/>
              </w:rPr>
              <w:t xml:space="preserve">: bit (1) &gt; </w:t>
            </w:r>
          </w:p>
          <w:p w14:paraId="04B993B4" w14:textId="77777777" w:rsidR="00711444" w:rsidRPr="004D0DAA" w:rsidRDefault="00711444" w:rsidP="00AA2A4C">
            <w:pPr>
              <w:pStyle w:val="TAL"/>
              <w:rPr>
                <w:rFonts w:hint="eastAsia"/>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rFonts w:hint="eastAsia"/>
                <w:lang w:eastAsia="ko-KR"/>
              </w:rPr>
              <w:t>{</w:t>
            </w:r>
            <w:r w:rsidRPr="004D0DAA">
              <w:rPr>
                <w:lang w:eastAsia="ko-KR"/>
              </w:rPr>
              <w:t xml:space="preserve"> </w:t>
            </w:r>
            <w:r w:rsidRPr="004D0DAA">
              <w:rPr>
                <w:rFonts w:hint="eastAsia"/>
                <w:lang w:eastAsia="ko-KR"/>
              </w:rPr>
              <w:t>0 | 1</w:t>
            </w:r>
            <w:r w:rsidRPr="004D0DAA">
              <w:rPr>
                <w:lang w:eastAsia="en-US"/>
              </w:rPr>
              <w:tab/>
              <w:t xml:space="preserve">&lt; </w:t>
            </w:r>
            <w:r w:rsidRPr="004D0DAA">
              <w:rPr>
                <w:b/>
                <w:lang w:eastAsia="en-US"/>
              </w:rPr>
              <w:t>EGPRS BEP Link Quality Measurements Type 2</w:t>
            </w:r>
            <w:r w:rsidRPr="004D0DAA">
              <w:rPr>
                <w:lang w:eastAsia="en-US"/>
              </w:rPr>
              <w:t xml:space="preserve"> : </w:t>
            </w:r>
          </w:p>
          <w:p w14:paraId="5E6407CD" w14:textId="77777777" w:rsidR="00711444" w:rsidRPr="004D0DAA" w:rsidRDefault="00711444" w:rsidP="00AA2A4C">
            <w:pPr>
              <w:pStyle w:val="TAL"/>
              <w:rPr>
                <w:rFonts w:hint="eastAsia"/>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lang w:eastAsia="ko-KR"/>
              </w:rPr>
              <w:tab/>
            </w:r>
            <w:r w:rsidRPr="004D0DAA">
              <w:rPr>
                <w:lang w:eastAsia="ko-KR"/>
              </w:rPr>
              <w:tab/>
            </w:r>
            <w:r w:rsidRPr="004D0DAA">
              <w:rPr>
                <w:lang w:eastAsia="en-US"/>
              </w:rPr>
              <w:t xml:space="preserve">&lt; EGPRS BEP Link Quality Measurements Type 2 IE &gt; &gt; </w:t>
            </w:r>
            <w:r w:rsidRPr="004D0DAA">
              <w:rPr>
                <w:rFonts w:hint="eastAsia"/>
                <w:lang w:eastAsia="ko-KR"/>
              </w:rPr>
              <w:t>}</w:t>
            </w:r>
          </w:p>
          <w:p w14:paraId="3E8C3224" w14:textId="77777777" w:rsidR="00711444" w:rsidRPr="004D0DAA" w:rsidRDefault="00711444" w:rsidP="00AA2A4C">
            <w:pPr>
              <w:pStyle w:val="TAL"/>
              <w:rPr>
                <w:rFonts w:hint="eastAsia"/>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rFonts w:hint="eastAsia"/>
                <w:lang w:eastAsia="ko-KR"/>
              </w:rPr>
              <w:t>{</w:t>
            </w:r>
            <w:r w:rsidRPr="004D0DAA">
              <w:rPr>
                <w:lang w:eastAsia="ko-KR"/>
              </w:rPr>
              <w:t xml:space="preserve"> </w:t>
            </w:r>
            <w:r w:rsidRPr="004D0DAA">
              <w:rPr>
                <w:rFonts w:hint="eastAsia"/>
                <w:lang w:eastAsia="ko-KR"/>
              </w:rPr>
              <w:t>0 | 1</w:t>
            </w:r>
            <w:r w:rsidRPr="004D0DAA">
              <w:rPr>
                <w:lang w:eastAsia="en-US"/>
              </w:rPr>
              <w:tab/>
              <w:t xml:space="preserve">&lt; </w:t>
            </w:r>
            <w:r w:rsidRPr="004D0DAA">
              <w:rPr>
                <w:b/>
                <w:lang w:eastAsia="en-US"/>
              </w:rPr>
              <w:t>EGPRS Timeslot Link Quality Measurements Type 2</w:t>
            </w:r>
            <w:r w:rsidRPr="004D0DAA">
              <w:rPr>
                <w:lang w:eastAsia="en-US"/>
              </w:rPr>
              <w:t xml:space="preserve"> : </w:t>
            </w:r>
          </w:p>
          <w:p w14:paraId="236C73C9" w14:textId="77777777" w:rsidR="00711444" w:rsidRPr="004D0DAA" w:rsidRDefault="00711444" w:rsidP="00AA2A4C">
            <w:pPr>
              <w:pStyle w:val="TAL"/>
              <w:rPr>
                <w:rFonts w:hint="eastAsia"/>
                <w:b/>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lang w:eastAsia="ko-KR"/>
              </w:rPr>
              <w:tab/>
            </w:r>
            <w:r w:rsidRPr="004D0DAA">
              <w:rPr>
                <w:lang w:eastAsia="ko-KR"/>
              </w:rPr>
              <w:tab/>
            </w:r>
            <w:r w:rsidRPr="004D0DAA">
              <w:rPr>
                <w:lang w:eastAsia="en-US"/>
              </w:rPr>
              <w:t xml:space="preserve">&lt;EGPRS Timeslot Link Quality Measurements Type 2 IE &gt; &gt; </w:t>
            </w:r>
            <w:r w:rsidRPr="004D0DAA">
              <w:rPr>
                <w:rFonts w:hint="eastAsia"/>
                <w:lang w:eastAsia="ko-KR"/>
              </w:rPr>
              <w:t>}</w:t>
            </w:r>
          </w:p>
          <w:p w14:paraId="12A29E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xml:space="preserve">null | 0 bit** = &lt;no string&gt; </w:t>
            </w:r>
            <w:r w:rsidRPr="004D0DAA">
              <w:rPr>
                <w:lang w:eastAsia="en-US"/>
              </w:rPr>
              <w:tab/>
              <w:t>-- Receiver backward compatible with earlier version</w:t>
            </w:r>
          </w:p>
          <w:p w14:paraId="039F668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Additional contents for Release 10</w:t>
            </w:r>
          </w:p>
          <w:p w14:paraId="152D4D98" w14:textId="77777777" w:rsidR="00711444" w:rsidRPr="004D0DAA" w:rsidRDefault="00711444" w:rsidP="00AA2A4C">
            <w:pPr>
              <w:pStyle w:val="TAL"/>
              <w:rPr>
                <w:rFonts w:hint="eastAsia"/>
                <w:lang w:eastAsia="ko-KR"/>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ab/>
            </w:r>
            <w:r w:rsidRPr="004D0DAA">
              <w:rPr>
                <w:lang w:eastAsia="en-US"/>
              </w:rPr>
              <w:tab/>
              <w:t xml:space="preserve">&lt; </w:t>
            </w:r>
            <w:r w:rsidRPr="004D0DAA">
              <w:rPr>
                <w:b/>
                <w:bCs/>
                <w:lang w:eastAsia="en-US"/>
              </w:rPr>
              <w:t xml:space="preserve">Low Access Priority Signalling </w:t>
            </w:r>
            <w:r w:rsidRPr="004D0DAA">
              <w:rPr>
                <w:lang w:eastAsia="en-US"/>
              </w:rPr>
              <w:t>: bit (1) &gt;</w:t>
            </w:r>
          </w:p>
          <w:p w14:paraId="06068010" w14:textId="77777777" w:rsidR="00711444" w:rsidRPr="004D0DAA" w:rsidRDefault="00711444" w:rsidP="00AA2A4C">
            <w:pPr>
              <w:pStyle w:val="TAL"/>
              <w:rPr>
                <w:i/>
                <w:iCs/>
                <w:lang w:eastAsia="en-US"/>
              </w:rPr>
            </w:pPr>
            <w:r w:rsidRPr="004D0DAA">
              <w:rPr>
                <w:lang w:eastAsia="en-US"/>
              </w:rPr>
              <w:tab/>
            </w:r>
            <w:r w:rsidRPr="004D0DAA">
              <w:rPr>
                <w:iCs/>
                <w:lang w:eastAsia="en-US"/>
              </w:rPr>
              <w:tab/>
            </w:r>
            <w:r w:rsidRPr="004D0DAA">
              <w:rPr>
                <w:i/>
                <w:iCs/>
                <w:lang w:eastAsia="en-US"/>
              </w:rPr>
              <w:tab/>
            </w:r>
            <w:r w:rsidRPr="004D0DAA">
              <w:rPr>
                <w:lang w:eastAsia="en-US"/>
              </w:rPr>
              <w:tab/>
            </w:r>
            <w:r w:rsidRPr="004D0DAA">
              <w:rPr>
                <w:lang w:eastAsia="en-US"/>
              </w:rPr>
              <w:tab/>
            </w:r>
            <w:r w:rsidRPr="004D0DAA">
              <w:rPr>
                <w:lang w:eastAsia="en-US"/>
              </w:rPr>
              <w:tab/>
              <w:t>{ null | 0</w:t>
            </w:r>
            <w:r w:rsidRPr="004D0DAA">
              <w:rPr>
                <w:lang w:eastAsia="en-US"/>
              </w:rPr>
              <w:tab/>
              <w:t>bit ** = &lt; no string &gt;</w:t>
            </w:r>
            <w:r w:rsidRPr="004D0DAA">
              <w:rPr>
                <w:lang w:eastAsia="en-US"/>
              </w:rPr>
              <w:tab/>
            </w:r>
            <w:r w:rsidRPr="004D0DAA">
              <w:rPr>
                <w:i/>
                <w:lang w:eastAsia="en-US"/>
              </w:rPr>
              <w:t>-- Receiver compatible with earlier release</w:t>
            </w:r>
          </w:p>
          <w:p w14:paraId="426B8FFF"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i/>
                <w:iCs/>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Rel-12</w:t>
            </w:r>
          </w:p>
          <w:p w14:paraId="33800D98" w14:textId="77777777" w:rsidR="00711444" w:rsidRPr="004D0DAA" w:rsidRDefault="00711444" w:rsidP="00AA2A4C">
            <w:pPr>
              <w:pStyle w:val="TAL"/>
              <w:rPr>
                <w:rFonts w:hint="eastAsia"/>
                <w:lang w:eastAsia="en-US"/>
              </w:rPr>
            </w:pP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w:t>
            </w:r>
            <w:r w:rsidRPr="004D0DAA">
              <w:rPr>
                <w:lang w:eastAsia="en-US"/>
              </w:rPr>
              <w:t xml:space="preserve">&lt; </w:t>
            </w:r>
            <w:r w:rsidRPr="004D0DAA">
              <w:rPr>
                <w:b/>
                <w:lang w:eastAsia="en-US"/>
              </w:rPr>
              <w:t xml:space="preserve">Downlink_eTFI </w:t>
            </w:r>
            <w:r w:rsidRPr="004D0DAA">
              <w:rPr>
                <w:lang w:eastAsia="en-US"/>
              </w:rPr>
              <w:t>: bit (3) &gt; }</w:t>
            </w:r>
          </w:p>
          <w:p w14:paraId="52963F8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 } };</w:t>
            </w:r>
          </w:p>
        </w:tc>
      </w:tr>
    </w:tbl>
    <w:p w14:paraId="2D30E85C" w14:textId="77777777" w:rsidR="00711444" w:rsidRPr="004D0DAA" w:rsidRDefault="00711444" w:rsidP="00711444"/>
    <w:p w14:paraId="484ECE1D" w14:textId="77777777" w:rsidR="00711444" w:rsidRPr="004D0DAA" w:rsidRDefault="00711444" w:rsidP="00711444">
      <w:pPr>
        <w:pStyle w:val="TH"/>
      </w:pPr>
      <w:r w:rsidRPr="004D0DAA">
        <w:t xml:space="preserve">Table 11.2.16.2: </w:t>
      </w:r>
      <w:r w:rsidRPr="004D0DAA">
        <w:rPr>
          <w:caps/>
        </w:rPr>
        <w:t>Packet RESOURCE REQUEST</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479D403" w14:textId="77777777" w:rsidTr="00AA2A4C">
        <w:tblPrEx>
          <w:tblCellMar>
            <w:top w:w="0" w:type="dxa"/>
            <w:bottom w:w="0" w:type="dxa"/>
          </w:tblCellMar>
        </w:tblPrEx>
        <w:trPr>
          <w:cantSplit/>
        </w:trPr>
        <w:tc>
          <w:tcPr>
            <w:tcW w:w="9848" w:type="dxa"/>
          </w:tcPr>
          <w:p w14:paraId="12460D53" w14:textId="77777777" w:rsidR="00711444" w:rsidRPr="004D0DAA" w:rsidRDefault="00711444" w:rsidP="00AA2A4C">
            <w:pPr>
              <w:rPr>
                <w:b/>
              </w:rPr>
            </w:pPr>
            <w:r w:rsidRPr="004D0DAA">
              <w:rPr>
                <w:b/>
              </w:rPr>
              <w:t>Global TFI</w:t>
            </w:r>
            <w:r w:rsidRPr="004D0DAA">
              <w:br/>
              <w:t>This information element contains (one of) the TFI of the mobile station's uplink TBF, if available, or (one of) the TFI of the mobile station's downlink TBF. If no TFI is available, this field is omitted. This field is defined in sub-clause 12.10.</w:t>
            </w:r>
          </w:p>
        </w:tc>
      </w:tr>
      <w:tr w:rsidR="00711444" w:rsidRPr="004D0DAA" w14:paraId="2A574B94" w14:textId="77777777" w:rsidTr="00AA2A4C">
        <w:tblPrEx>
          <w:tblCellMar>
            <w:top w:w="0" w:type="dxa"/>
            <w:bottom w:w="0" w:type="dxa"/>
          </w:tblCellMar>
        </w:tblPrEx>
        <w:trPr>
          <w:cantSplit/>
        </w:trPr>
        <w:tc>
          <w:tcPr>
            <w:tcW w:w="9848" w:type="dxa"/>
          </w:tcPr>
          <w:p w14:paraId="70C74D08" w14:textId="77777777" w:rsidR="00711444" w:rsidRPr="004D0DAA" w:rsidRDefault="00711444" w:rsidP="00AA2A4C">
            <w:r w:rsidRPr="004D0DAA">
              <w:rPr>
                <w:b/>
              </w:rPr>
              <w:lastRenderedPageBreak/>
              <w:t>ACCESS_TYPE</w:t>
            </w:r>
            <w:r w:rsidRPr="004D0DAA">
              <w:t xml:space="preserve"> (2 bit field)</w:t>
            </w:r>
            <w:r w:rsidRPr="004D0DAA">
              <w:rPr>
                <w:b/>
              </w:rPr>
              <w:br/>
            </w:r>
            <w:r w:rsidRPr="004D0DAA">
              <w:t>This field indicates the reason for requesting the access. It shall be included only in response to a single block or Multi block assignment.</w:t>
            </w:r>
          </w:p>
          <w:p w14:paraId="28E312DC" w14:textId="77777777" w:rsidR="00711444" w:rsidRPr="004D0DAA" w:rsidRDefault="00711444" w:rsidP="00AA2A4C">
            <w:pPr>
              <w:tabs>
                <w:tab w:val="left" w:pos="567"/>
              </w:tabs>
              <w:rPr>
                <w:b/>
              </w:rPr>
            </w:pPr>
            <w:r w:rsidRPr="004D0DAA">
              <w:t>bit</w:t>
            </w:r>
            <w:r w:rsidRPr="004D0DAA">
              <w:br/>
              <w:t>2 1</w:t>
            </w:r>
            <w:r w:rsidRPr="004D0DAA">
              <w:br/>
              <w:t>0 0</w:t>
            </w:r>
            <w:r w:rsidRPr="004D0DAA">
              <w:tab/>
              <w:t>Two Phase Access Request</w:t>
            </w:r>
            <w:r w:rsidRPr="004D0DAA">
              <w:br/>
              <w:t>0 1</w:t>
            </w:r>
            <w:r w:rsidRPr="004D0DAA">
              <w:tab/>
              <w:t>Page Response</w:t>
            </w:r>
            <w:r w:rsidRPr="004D0DAA">
              <w:br/>
              <w:t>1 0</w:t>
            </w:r>
            <w:r w:rsidRPr="004D0DAA">
              <w:tab/>
              <w:t>Cell Update</w:t>
            </w:r>
            <w:r w:rsidRPr="004D0DAA">
              <w:br/>
              <w:t>1 1</w:t>
            </w:r>
            <w:r w:rsidRPr="004D0DAA">
              <w:tab/>
              <w:t>Mobility Management procedure</w:t>
            </w:r>
          </w:p>
        </w:tc>
      </w:tr>
      <w:tr w:rsidR="00711444" w:rsidRPr="004D0DAA" w14:paraId="4D3E3798" w14:textId="77777777" w:rsidTr="00AA2A4C">
        <w:tblPrEx>
          <w:tblCellMar>
            <w:top w:w="0" w:type="dxa"/>
            <w:bottom w:w="0" w:type="dxa"/>
          </w:tblCellMar>
        </w:tblPrEx>
        <w:trPr>
          <w:cantSplit/>
        </w:trPr>
        <w:tc>
          <w:tcPr>
            <w:tcW w:w="9848" w:type="dxa"/>
          </w:tcPr>
          <w:p w14:paraId="71FB3571" w14:textId="77777777" w:rsidR="00711444" w:rsidRPr="004D0DAA" w:rsidRDefault="00711444" w:rsidP="00AA2A4C">
            <w:pPr>
              <w:rPr>
                <w:b/>
              </w:rPr>
            </w:pPr>
            <w:r w:rsidRPr="004D0DAA">
              <w:rPr>
                <w:b/>
              </w:rPr>
              <w:t>TLLI / G-RNTI</w:t>
            </w:r>
            <w:r w:rsidRPr="004D0DAA">
              <w:br/>
              <w:t>This information element is defined in sub-clause 12.16.</w:t>
            </w:r>
          </w:p>
        </w:tc>
      </w:tr>
      <w:tr w:rsidR="00711444" w:rsidRPr="004D0DAA" w14:paraId="61BED610" w14:textId="77777777" w:rsidTr="00AA2A4C">
        <w:tblPrEx>
          <w:tblCellMar>
            <w:top w:w="0" w:type="dxa"/>
            <w:bottom w:w="0" w:type="dxa"/>
          </w:tblCellMar>
        </w:tblPrEx>
        <w:trPr>
          <w:cantSplit/>
        </w:trPr>
        <w:tc>
          <w:tcPr>
            <w:tcW w:w="9848" w:type="dxa"/>
          </w:tcPr>
          <w:p w14:paraId="66E7B2AF" w14:textId="77777777" w:rsidR="00711444" w:rsidRPr="004D0DAA" w:rsidRDefault="00711444" w:rsidP="00AA2A4C">
            <w:pPr>
              <w:rPr>
                <w:b/>
              </w:rPr>
            </w:pPr>
            <w:r w:rsidRPr="004D0DAA">
              <w:rPr>
                <w:b/>
              </w:rPr>
              <w:t>MS Radio Access Capability 2</w:t>
            </w:r>
            <w:r w:rsidRPr="004D0DAA">
              <w:rPr>
                <w:b/>
              </w:rPr>
              <w:br/>
            </w:r>
            <w:r w:rsidRPr="004D0DAA">
              <w:t xml:space="preserve">This information element is defined in sub-clause 12.30. This information element is sent only during two phase access and shall not be include by MS operating in </w:t>
            </w:r>
            <w:r w:rsidRPr="004D0DAA">
              <w:rPr>
                <w:i/>
              </w:rPr>
              <w:t>Iu mode</w:t>
            </w:r>
            <w:r w:rsidRPr="004D0DAA">
              <w:t>. Additionally, this information element shall be sent in one phase EGPRS TBF establishment procedure if ordered by the network.</w:t>
            </w:r>
          </w:p>
        </w:tc>
      </w:tr>
      <w:tr w:rsidR="00711444" w:rsidRPr="004D0DAA" w14:paraId="1652D189" w14:textId="77777777" w:rsidTr="00AA2A4C">
        <w:tblPrEx>
          <w:tblCellMar>
            <w:top w:w="0" w:type="dxa"/>
            <w:bottom w:w="0" w:type="dxa"/>
          </w:tblCellMar>
        </w:tblPrEx>
        <w:trPr>
          <w:cantSplit/>
        </w:trPr>
        <w:tc>
          <w:tcPr>
            <w:tcW w:w="9848" w:type="dxa"/>
          </w:tcPr>
          <w:p w14:paraId="712712A1" w14:textId="77777777" w:rsidR="00711444" w:rsidRPr="004D0DAA" w:rsidRDefault="00711444" w:rsidP="00AA2A4C">
            <w:pPr>
              <w:rPr>
                <w:bCs/>
              </w:rPr>
            </w:pPr>
            <w:r w:rsidRPr="004D0DAA">
              <w:rPr>
                <w:b/>
              </w:rPr>
              <w:t>Channel Request Description</w:t>
            </w:r>
            <w:r w:rsidRPr="004D0DAA">
              <w:br/>
              <w:t xml:space="preserve">This information element is defined in sub-clause 12.7. If a PFI field is included in this message, it relates to the TBF request contained in the </w:t>
            </w:r>
            <w:r w:rsidRPr="004D0DAA">
              <w:rPr>
                <w:bCs/>
                <w:i/>
                <w:iCs/>
              </w:rPr>
              <w:t>Channel Request Description</w:t>
            </w:r>
            <w:r w:rsidRPr="004D0DAA">
              <w:rPr>
                <w:bCs/>
              </w:rPr>
              <w:t xml:space="preserve"> </w:t>
            </w:r>
            <w:r w:rsidRPr="004D0DAA">
              <w:t xml:space="preserve">IE. If the </w:t>
            </w:r>
            <w:r w:rsidRPr="004D0DAA">
              <w:rPr>
                <w:i/>
                <w:iCs/>
              </w:rPr>
              <w:t xml:space="preserve">Extended </w:t>
            </w:r>
            <w:r w:rsidRPr="004D0DAA">
              <w:rPr>
                <w:bCs/>
                <w:i/>
                <w:iCs/>
              </w:rPr>
              <w:t>Channel Request Description</w:t>
            </w:r>
            <w:r w:rsidRPr="004D0DAA">
              <w:rPr>
                <w:bCs/>
              </w:rPr>
              <w:t xml:space="preserve"> IE is included</w:t>
            </w:r>
            <w:r w:rsidRPr="004D0DAA">
              <w:t xml:space="preserve"> in this message, the value of this IE (and the PFI field) shall be ignored</w:t>
            </w:r>
            <w:r w:rsidRPr="004D0DAA">
              <w:rPr>
                <w:bCs/>
              </w:rPr>
              <w:t xml:space="preserve">. When a </w:t>
            </w:r>
            <w:r w:rsidRPr="004D0DAA">
              <w:rPr>
                <w:bCs/>
                <w:caps/>
              </w:rPr>
              <w:t>Packet Resource Request</w:t>
            </w:r>
            <w:r w:rsidRPr="004D0DAA">
              <w:rPr>
                <w:bCs/>
              </w:rPr>
              <w:t xml:space="preserve"> message is sent in response to an </w:t>
            </w:r>
            <w:r w:rsidRPr="004D0DAA">
              <w:t xml:space="preserve">Access Technologies Request received by the MS </w:t>
            </w:r>
            <w:r w:rsidRPr="004D0DAA">
              <w:rPr>
                <w:bCs/>
              </w:rPr>
              <w:t>during a one phase access this IE shall be ignored.</w:t>
            </w:r>
          </w:p>
          <w:p w14:paraId="03029D22" w14:textId="77777777" w:rsidR="00711444" w:rsidRPr="004D0DAA" w:rsidRDefault="00711444" w:rsidP="00AA2A4C">
            <w:pPr>
              <w:rPr>
                <w:b/>
              </w:rPr>
            </w:pPr>
            <w:r w:rsidRPr="004D0DAA">
              <w:rPr>
                <w:b/>
              </w:rPr>
              <w:t>Extended Channel Request Description</w:t>
            </w:r>
            <w:r w:rsidRPr="004D0DAA">
              <w:br/>
              <w:t>This information element is defined in</w:t>
            </w:r>
            <w:r w:rsidRPr="004D0DAA">
              <w:rPr>
                <w:i/>
              </w:rPr>
              <w:t xml:space="preserve"> </w:t>
            </w:r>
            <w:r w:rsidRPr="004D0DAA">
              <w:t xml:space="preserve">sub-clause 12.7b. This IE contains a request for one or more additional uplink TBFs and shall only be included if the mobile station and the network support multiple TBF procedures. If this IE is included, the </w:t>
            </w:r>
            <w:r w:rsidRPr="004D0DAA">
              <w:rPr>
                <w:bCs/>
                <w:i/>
                <w:iCs/>
              </w:rPr>
              <w:t>Channel Request Description</w:t>
            </w:r>
            <w:r w:rsidRPr="004D0DAA">
              <w:rPr>
                <w:bCs/>
              </w:rPr>
              <w:t xml:space="preserve"> IE and PFI field in the message shall be ignored.</w:t>
            </w:r>
          </w:p>
        </w:tc>
      </w:tr>
      <w:tr w:rsidR="00711444" w:rsidRPr="004D0DAA" w14:paraId="7E100F23" w14:textId="77777777" w:rsidTr="00AA2A4C">
        <w:tblPrEx>
          <w:tblCellMar>
            <w:top w:w="0" w:type="dxa"/>
            <w:bottom w:w="0" w:type="dxa"/>
          </w:tblCellMar>
        </w:tblPrEx>
        <w:trPr>
          <w:cantSplit/>
        </w:trPr>
        <w:tc>
          <w:tcPr>
            <w:tcW w:w="9848" w:type="dxa"/>
          </w:tcPr>
          <w:p w14:paraId="023D2062" w14:textId="77777777" w:rsidR="00711444" w:rsidRPr="004D0DAA" w:rsidRDefault="00711444" w:rsidP="00AA2A4C">
            <w:pPr>
              <w:rPr>
                <w:b/>
              </w:rPr>
            </w:pPr>
            <w:r w:rsidRPr="004D0DAA">
              <w:rPr>
                <w:b/>
              </w:rPr>
              <w:t>CHANGE_MARK</w:t>
            </w:r>
            <w:r w:rsidRPr="004D0DAA">
              <w:t xml:space="preserve"> (2 bit field)</w:t>
            </w:r>
            <w:r w:rsidRPr="004D0DAA">
              <w:br/>
              <w:t>This field contains the PSI2_CHANGE_MARK value stored by the mobile station's</w:t>
            </w:r>
            <w:r w:rsidRPr="004D0DAA">
              <w:rPr>
                <w:b/>
              </w:rPr>
              <w:t xml:space="preserve"> </w:t>
            </w:r>
            <w:r w:rsidRPr="004D0DAA">
              <w:t xml:space="preserve">if PBCCH is present in the current cell. If PBCCH is not present in the current cell, this field contains the SI13_CHANGE_MARK value stored by the mobile station. If the mobile station does not have a valid PSI2 or SI13 </w:t>
            </w:r>
            <w:r w:rsidRPr="004D0DAA">
              <w:rPr>
                <w:i/>
              </w:rPr>
              <w:t>change mark</w:t>
            </w:r>
            <w:r w:rsidRPr="004D0DAA">
              <w:t xml:space="preserve"> for the current cell, the mobile station shall omit this field. The coding of this field is network dependent.</w:t>
            </w:r>
          </w:p>
        </w:tc>
      </w:tr>
      <w:tr w:rsidR="00711444" w:rsidRPr="004D0DAA" w14:paraId="2CE16AFA" w14:textId="77777777" w:rsidTr="00AA2A4C">
        <w:tblPrEx>
          <w:tblCellMar>
            <w:top w:w="0" w:type="dxa"/>
            <w:bottom w:w="0" w:type="dxa"/>
          </w:tblCellMar>
        </w:tblPrEx>
        <w:trPr>
          <w:cantSplit/>
        </w:trPr>
        <w:tc>
          <w:tcPr>
            <w:tcW w:w="9848" w:type="dxa"/>
          </w:tcPr>
          <w:p w14:paraId="4921B31E" w14:textId="77777777" w:rsidR="00711444" w:rsidRPr="004D0DAA" w:rsidRDefault="00711444" w:rsidP="00AA2A4C">
            <w:pPr>
              <w:rPr>
                <w:b/>
              </w:rPr>
            </w:pPr>
            <w:r w:rsidRPr="004D0DAA">
              <w:rPr>
                <w:b/>
              </w:rPr>
              <w:t>C_VALUE</w:t>
            </w:r>
            <w:r w:rsidRPr="004D0DAA">
              <w:t xml:space="preserve"> (6 bit field)</w:t>
            </w:r>
            <w:r w:rsidRPr="004D0DAA">
              <w:br/>
              <w:t>This field is encoded as the binary representation of the C</w:t>
            </w:r>
            <w:r w:rsidRPr="004D0DAA">
              <w:rPr>
                <w:b/>
              </w:rPr>
              <w:t xml:space="preserve"> </w:t>
            </w:r>
            <w:r w:rsidRPr="004D0DAA">
              <w:t>value as specified in 3GPP TS 45.008.</w:t>
            </w:r>
            <w:r w:rsidRPr="004D0DAA">
              <w:br/>
              <w:t>Range 0 to 63</w:t>
            </w:r>
          </w:p>
        </w:tc>
      </w:tr>
      <w:tr w:rsidR="00711444" w:rsidRPr="004D0DAA" w14:paraId="7CDDC0B4" w14:textId="77777777" w:rsidTr="00AA2A4C">
        <w:tblPrEx>
          <w:tblCellMar>
            <w:top w:w="0" w:type="dxa"/>
            <w:bottom w:w="0" w:type="dxa"/>
          </w:tblCellMar>
        </w:tblPrEx>
        <w:trPr>
          <w:cantSplit/>
        </w:trPr>
        <w:tc>
          <w:tcPr>
            <w:tcW w:w="9848" w:type="dxa"/>
          </w:tcPr>
          <w:p w14:paraId="5ED1D3EE" w14:textId="77777777" w:rsidR="00711444" w:rsidRPr="004D0DAA" w:rsidRDefault="00711444" w:rsidP="00AA2A4C">
            <w:r w:rsidRPr="004D0DAA">
              <w:rPr>
                <w:b/>
              </w:rPr>
              <w:t xml:space="preserve">SIGN_VAR </w:t>
            </w:r>
            <w:r w:rsidRPr="004D0DAA">
              <w:t>(6 bits)</w:t>
            </w:r>
            <w:r w:rsidRPr="004D0DAA">
              <w:rPr>
                <w:b/>
              </w:rPr>
              <w:br/>
            </w:r>
            <w:r w:rsidRPr="004D0DAA">
              <w:t>This field contains the signal variance parameter SIGN_VAR calculated by the mobile station (see 3GPP TS 45.008). This field is not present for TBF establishment using two phase access or for a TBF in EGPRS mode.</w:t>
            </w:r>
          </w:p>
          <w:p w14:paraId="32BC4CDE" w14:textId="77777777" w:rsidR="00711444" w:rsidRPr="004D0DAA" w:rsidRDefault="00711444" w:rsidP="00AA2A4C">
            <w:pPr>
              <w:rPr>
                <w:b/>
              </w:rPr>
            </w:pPr>
            <w:r w:rsidRPr="004D0DAA">
              <w:t>bit</w:t>
            </w:r>
            <w:r w:rsidRPr="004D0DAA">
              <w:br/>
              <w:t>6 5 4 3 2 1</w:t>
            </w:r>
            <w:r w:rsidRPr="004D0DAA">
              <w:br/>
              <w:t>0 0 0 0 0 0</w:t>
            </w:r>
            <w:r w:rsidRPr="004D0DAA">
              <w:tab/>
            </w:r>
            <w:r w:rsidRPr="004D0DAA">
              <w:tab/>
              <w:t>0dB</w:t>
            </w:r>
            <w:r w:rsidRPr="004D0DAA">
              <w:rPr>
                <w:vertAlign w:val="superscript"/>
              </w:rPr>
              <w:t>2</w:t>
            </w:r>
            <w:r w:rsidRPr="004D0DAA">
              <w:t xml:space="preserve"> to 0.25 dB</w:t>
            </w:r>
            <w:r w:rsidRPr="004D0DAA">
              <w:rPr>
                <w:vertAlign w:val="superscript"/>
              </w:rPr>
              <w:t>2</w:t>
            </w:r>
            <w:r w:rsidRPr="004D0DAA">
              <w:br/>
              <w:t>0 0 0 0 0 1</w:t>
            </w:r>
            <w:r w:rsidRPr="004D0DAA">
              <w:tab/>
            </w:r>
            <w:r w:rsidRPr="004D0DAA">
              <w:tab/>
              <w:t>&gt;0.25 dB</w:t>
            </w:r>
            <w:r w:rsidRPr="004D0DAA">
              <w:rPr>
                <w:vertAlign w:val="superscript"/>
              </w:rPr>
              <w:t>2</w:t>
            </w:r>
            <w:r w:rsidRPr="004D0DAA">
              <w:t xml:space="preserve"> to 0.50 dB</w:t>
            </w:r>
            <w:r w:rsidRPr="004D0DAA">
              <w:rPr>
                <w:vertAlign w:val="superscript"/>
              </w:rPr>
              <w:t>2</w:t>
            </w:r>
            <w:r w:rsidRPr="004D0DAA">
              <w:br/>
              <w:t>0 0 0 0 1 0</w:t>
            </w:r>
            <w:r w:rsidRPr="004D0DAA">
              <w:tab/>
            </w:r>
            <w:r w:rsidRPr="004D0DAA">
              <w:tab/>
              <w:t>&gt;0.50 dB</w:t>
            </w:r>
            <w:r w:rsidRPr="004D0DAA">
              <w:rPr>
                <w:vertAlign w:val="superscript"/>
              </w:rPr>
              <w:t>2</w:t>
            </w:r>
            <w:r w:rsidRPr="004D0DAA">
              <w:t xml:space="preserve"> to 0.75 dB</w:t>
            </w:r>
            <w:r w:rsidRPr="004D0DAA">
              <w:rPr>
                <w:vertAlign w:val="superscript"/>
              </w:rPr>
              <w:t>2</w:t>
            </w:r>
            <w:r w:rsidRPr="004D0DAA">
              <w:br/>
              <w:t>:</w:t>
            </w:r>
            <w:r w:rsidRPr="004D0DAA">
              <w:rPr>
                <w:b/>
              </w:rPr>
              <w:t xml:space="preserve"> </w:t>
            </w:r>
            <w:r w:rsidRPr="004D0DAA">
              <w:t>:</w:t>
            </w:r>
            <w:r w:rsidRPr="004D0DAA">
              <w:rPr>
                <w:b/>
              </w:rPr>
              <w:t xml:space="preserve"> </w:t>
            </w:r>
            <w:r w:rsidRPr="004D0DAA">
              <w:t xml:space="preserve">: </w:t>
            </w:r>
            <w:r w:rsidRPr="004D0DAA">
              <w:br/>
              <w:t>1 1 1 1 1 0</w:t>
            </w:r>
            <w:r w:rsidRPr="004D0DAA">
              <w:tab/>
            </w:r>
            <w:r w:rsidRPr="004D0DAA">
              <w:tab/>
              <w:t>&gt;15.50 dB</w:t>
            </w:r>
            <w:r w:rsidRPr="004D0DAA">
              <w:rPr>
                <w:vertAlign w:val="superscript"/>
              </w:rPr>
              <w:t>2</w:t>
            </w:r>
            <w:r w:rsidRPr="004D0DAA">
              <w:t xml:space="preserve"> to 15.75 dB</w:t>
            </w:r>
            <w:r w:rsidRPr="004D0DAA">
              <w:rPr>
                <w:vertAlign w:val="superscript"/>
              </w:rPr>
              <w:t>2</w:t>
            </w:r>
            <w:r w:rsidRPr="004D0DAA">
              <w:br/>
              <w:t>1 1 1 1 1 1</w:t>
            </w:r>
            <w:r w:rsidRPr="004D0DAA">
              <w:tab/>
            </w:r>
            <w:r w:rsidRPr="004D0DAA">
              <w:tab/>
              <w:t>&gt;15.75 dB</w:t>
            </w:r>
            <w:r w:rsidRPr="004D0DAA">
              <w:rPr>
                <w:vertAlign w:val="superscript"/>
              </w:rPr>
              <w:t>2</w:t>
            </w:r>
          </w:p>
        </w:tc>
      </w:tr>
      <w:tr w:rsidR="00711444" w:rsidRPr="004D0DAA" w14:paraId="67B19704" w14:textId="77777777" w:rsidTr="00AA2A4C">
        <w:tblPrEx>
          <w:tblCellMar>
            <w:top w:w="0" w:type="dxa"/>
            <w:bottom w:w="0" w:type="dxa"/>
          </w:tblCellMar>
        </w:tblPrEx>
        <w:trPr>
          <w:cantSplit/>
        </w:trPr>
        <w:tc>
          <w:tcPr>
            <w:tcW w:w="9848" w:type="dxa"/>
          </w:tcPr>
          <w:p w14:paraId="6236B459" w14:textId="77777777" w:rsidR="00711444" w:rsidRPr="004D0DAA" w:rsidRDefault="00711444" w:rsidP="00AA2A4C">
            <w:pPr>
              <w:rPr>
                <w:b/>
              </w:rPr>
            </w:pPr>
            <w:r w:rsidRPr="004D0DAA">
              <w:rPr>
                <w:b/>
              </w:rPr>
              <w:lastRenderedPageBreak/>
              <w:t>I_LEVEL_TN0</w:t>
            </w:r>
            <w:r w:rsidRPr="004D0DAA">
              <w:t xml:space="preserve"> (4 bit field)</w:t>
            </w:r>
            <w:r w:rsidRPr="004D0DAA">
              <w:br/>
            </w:r>
            <w:r w:rsidRPr="004D0DAA">
              <w:rPr>
                <w:b/>
              </w:rPr>
              <w:t>I_LEVEL_TN1</w:t>
            </w:r>
            <w:r w:rsidRPr="004D0DAA">
              <w:t xml:space="preserve"> (4 bit field)</w:t>
            </w:r>
            <w:r w:rsidRPr="004D0DAA">
              <w:br/>
            </w:r>
            <w:r w:rsidRPr="004D0DAA">
              <w:rPr>
                <w:b/>
              </w:rPr>
              <w:t>I_LEVEL_TN2</w:t>
            </w:r>
            <w:r w:rsidRPr="004D0DAA">
              <w:t xml:space="preserve"> (4 bit field)</w:t>
            </w:r>
            <w:r w:rsidRPr="004D0DAA">
              <w:br/>
            </w:r>
            <w:r w:rsidRPr="004D0DAA">
              <w:rPr>
                <w:b/>
              </w:rPr>
              <w:t>I_LEVEL_TN3</w:t>
            </w:r>
            <w:r w:rsidRPr="004D0DAA">
              <w:t xml:space="preserve"> (4 bit field)</w:t>
            </w:r>
            <w:r w:rsidRPr="004D0DAA">
              <w:br/>
            </w:r>
            <w:r w:rsidRPr="004D0DAA">
              <w:rPr>
                <w:b/>
              </w:rPr>
              <w:t>I_LEVEL_TN4</w:t>
            </w:r>
            <w:r w:rsidRPr="004D0DAA">
              <w:t xml:space="preserve"> (4 bit field)</w:t>
            </w:r>
            <w:r w:rsidRPr="004D0DAA">
              <w:br/>
            </w:r>
            <w:r w:rsidRPr="004D0DAA">
              <w:rPr>
                <w:b/>
              </w:rPr>
              <w:t>I_LEVEL_TN5</w:t>
            </w:r>
            <w:r w:rsidRPr="004D0DAA">
              <w:t xml:space="preserve"> (4 bit field)</w:t>
            </w:r>
            <w:r w:rsidRPr="004D0DAA">
              <w:br/>
            </w:r>
            <w:r w:rsidRPr="004D0DAA">
              <w:rPr>
                <w:b/>
              </w:rPr>
              <w:t>I_LEVEL_TN6</w:t>
            </w:r>
            <w:r w:rsidRPr="004D0DAA">
              <w:t xml:space="preserve"> (4 bit field)</w:t>
            </w:r>
            <w:r w:rsidRPr="004D0DAA">
              <w:br/>
            </w:r>
            <w:r w:rsidRPr="004D0DAA">
              <w:rPr>
                <w:b/>
              </w:rPr>
              <w:t>I_LEVEL_TN7</w:t>
            </w:r>
            <w:r w:rsidRPr="004D0DAA">
              <w:t xml:space="preserve"> (4 bit field)</w:t>
            </w:r>
            <w:r w:rsidRPr="004D0DAA">
              <w:br/>
              <w:t>For element definition see sub-clause 11.2.6 - Packet Downlink Ack/Nack. These fields shall not be present if they are included in the EGPRS Timeslot Link Quality Measurements IE.</w:t>
            </w:r>
          </w:p>
        </w:tc>
      </w:tr>
      <w:tr w:rsidR="00711444" w:rsidRPr="004D0DAA" w14:paraId="21EE1745" w14:textId="77777777" w:rsidTr="00AA2A4C">
        <w:tblPrEx>
          <w:tblCellMar>
            <w:top w:w="0" w:type="dxa"/>
            <w:bottom w:w="0" w:type="dxa"/>
          </w:tblCellMar>
        </w:tblPrEx>
        <w:trPr>
          <w:cantSplit/>
        </w:trPr>
        <w:tc>
          <w:tcPr>
            <w:tcW w:w="9848" w:type="dxa"/>
          </w:tcPr>
          <w:p w14:paraId="22FB68BE" w14:textId="77777777" w:rsidR="00711444" w:rsidRPr="004D0DAA" w:rsidRDefault="00711444" w:rsidP="00AA2A4C">
            <w:pPr>
              <w:rPr>
                <w:b/>
              </w:rPr>
            </w:pPr>
            <w:r w:rsidRPr="004D0DAA">
              <w:rPr>
                <w:b/>
              </w:rPr>
              <w:t>EGPRS BEP Link Quality Measurements</w:t>
            </w:r>
            <w:r w:rsidRPr="004D0DAA">
              <w:rPr>
                <w:b/>
              </w:rPr>
              <w:br/>
            </w:r>
            <w:r w:rsidRPr="004D0DAA">
              <w:t xml:space="preserve">This information element is defined in sub-clause 12.5.3. </w:t>
            </w:r>
            <w:r w:rsidRPr="004D0DAA">
              <w:rPr>
                <w:rFonts w:hint="eastAsia"/>
                <w:lang w:eastAsia="ko-KR"/>
              </w:rPr>
              <w:t>This IE</w:t>
            </w:r>
            <w:r w:rsidRPr="004D0DAA">
              <w:t xml:space="preserve"> </w:t>
            </w:r>
            <w:r w:rsidRPr="004D0DAA">
              <w:rPr>
                <w:rFonts w:hint="eastAsia"/>
                <w:lang w:eastAsia="ko-KR"/>
              </w:rPr>
              <w:t>is</w:t>
            </w:r>
            <w:r w:rsidRPr="004D0DAA">
              <w:t xml:space="preserve"> transferred if </w:t>
            </w:r>
            <w:r w:rsidRPr="004D0DAA">
              <w:rPr>
                <w:rFonts w:hint="eastAsia"/>
                <w:lang w:eastAsia="ko-KR"/>
              </w:rPr>
              <w:t>it</w:t>
            </w:r>
            <w:r w:rsidRPr="004D0DAA">
              <w:t xml:space="preserve"> is available and if </w:t>
            </w:r>
            <w:r w:rsidRPr="004D0DAA">
              <w:rPr>
                <w:rFonts w:hint="eastAsia"/>
                <w:lang w:eastAsia="ko-KR"/>
              </w:rPr>
              <w:t>it</w:t>
            </w:r>
            <w:r w:rsidRPr="004D0DAA">
              <w:t xml:space="preserve"> would not cause the message to expand beyond one RLC/MAC control block and if the PACKET RESOURCE REQUEST is sent during on-going concurrent EGPRS TBF.</w:t>
            </w:r>
          </w:p>
        </w:tc>
      </w:tr>
      <w:tr w:rsidR="00711444" w:rsidRPr="004D0DAA" w14:paraId="724BF2A4" w14:textId="77777777" w:rsidTr="00AA2A4C">
        <w:tblPrEx>
          <w:tblCellMar>
            <w:top w:w="0" w:type="dxa"/>
            <w:bottom w:w="0" w:type="dxa"/>
          </w:tblCellMar>
        </w:tblPrEx>
        <w:trPr>
          <w:cantSplit/>
        </w:trPr>
        <w:tc>
          <w:tcPr>
            <w:tcW w:w="9848" w:type="dxa"/>
          </w:tcPr>
          <w:p w14:paraId="45FF682A" w14:textId="77777777" w:rsidR="00711444" w:rsidRPr="004D0DAA" w:rsidRDefault="00711444" w:rsidP="00AA2A4C">
            <w:pPr>
              <w:rPr>
                <w:b/>
              </w:rPr>
            </w:pPr>
            <w:r w:rsidRPr="004D0DAA">
              <w:rPr>
                <w:b/>
              </w:rPr>
              <w:t>EGPRS Timeslot Link Quality Measurements</w:t>
            </w:r>
            <w:r w:rsidRPr="004D0DAA">
              <w:rPr>
                <w:b/>
              </w:rPr>
              <w:br/>
            </w:r>
            <w:r w:rsidRPr="004D0DAA">
              <w:t xml:space="preserve">This information element is defined in sub-clause 12.5.4. </w:t>
            </w:r>
            <w:r w:rsidRPr="004D0DAA">
              <w:rPr>
                <w:rFonts w:hint="eastAsia"/>
                <w:lang w:eastAsia="ko-KR"/>
              </w:rPr>
              <w:t>This IE is</w:t>
            </w:r>
            <w:r w:rsidRPr="004D0DAA">
              <w:t xml:space="preserve"> transferred if </w:t>
            </w:r>
            <w:r w:rsidRPr="004D0DAA">
              <w:rPr>
                <w:rFonts w:hint="eastAsia"/>
                <w:lang w:eastAsia="ko-KR"/>
              </w:rPr>
              <w:t>it</w:t>
            </w:r>
            <w:r w:rsidRPr="004D0DAA">
              <w:t xml:space="preserve"> is available and if </w:t>
            </w:r>
            <w:r w:rsidRPr="004D0DAA">
              <w:rPr>
                <w:rFonts w:hint="eastAsia"/>
                <w:lang w:eastAsia="ko-KR"/>
              </w:rPr>
              <w:t>it</w:t>
            </w:r>
            <w:r w:rsidRPr="004D0DAA">
              <w:t xml:space="preserve"> would not cause the message to expand beyond one RLC/MAC control block and if the PACKET RESOURCE REQUEST is sent during on-going concurrent EGPRS TBF.</w:t>
            </w:r>
          </w:p>
        </w:tc>
      </w:tr>
      <w:tr w:rsidR="00711444" w:rsidRPr="004D0DAA" w14:paraId="647EC669" w14:textId="77777777" w:rsidTr="00AA2A4C">
        <w:tblPrEx>
          <w:tblCellMar>
            <w:top w:w="0" w:type="dxa"/>
            <w:bottom w:w="0" w:type="dxa"/>
          </w:tblCellMar>
        </w:tblPrEx>
        <w:trPr>
          <w:cantSplit/>
        </w:trPr>
        <w:tc>
          <w:tcPr>
            <w:tcW w:w="9848" w:type="dxa"/>
          </w:tcPr>
          <w:p w14:paraId="66A8602F" w14:textId="77777777" w:rsidR="00711444" w:rsidRPr="004D0DAA" w:rsidRDefault="00711444" w:rsidP="00AA2A4C">
            <w:pPr>
              <w:rPr>
                <w:b/>
              </w:rPr>
            </w:pPr>
            <w:r w:rsidRPr="004D0DAA">
              <w:rPr>
                <w:b/>
              </w:rPr>
              <w:t>PFI</w:t>
            </w:r>
            <w:r w:rsidRPr="004D0DAA">
              <w:t xml:space="preserve"> (7 bit field)</w:t>
            </w:r>
            <w:r w:rsidRPr="004D0DAA">
              <w:rPr>
                <w:b/>
              </w:rPr>
              <w:br/>
            </w:r>
            <w:r w:rsidRPr="004D0DAA">
              <w:t xml:space="preserve">This field contains the PFI parameter identifying a Packet Flow Context relating to the resource request specified in the </w:t>
            </w:r>
            <w:r w:rsidRPr="004D0DAA">
              <w:rPr>
                <w:i/>
              </w:rPr>
              <w:t>Channel Request Description</w:t>
            </w:r>
            <w:r w:rsidRPr="004D0DAA">
              <w:t xml:space="preserve"> IE. The PFI parameter is encoded as the contents of the PFI information element as defined in 3GPP TS 44.018. This field may be included if the network supports packet flow context procedures. If the </w:t>
            </w:r>
            <w:r w:rsidRPr="004D0DAA">
              <w:rPr>
                <w:i/>
                <w:iCs/>
              </w:rPr>
              <w:t xml:space="preserve">Extended </w:t>
            </w:r>
            <w:r w:rsidRPr="004D0DAA">
              <w:rPr>
                <w:bCs/>
                <w:i/>
                <w:iCs/>
              </w:rPr>
              <w:t>Channel Request Description</w:t>
            </w:r>
            <w:r w:rsidRPr="004D0DAA">
              <w:rPr>
                <w:bCs/>
              </w:rPr>
              <w:t xml:space="preserve"> IE is included</w:t>
            </w:r>
            <w:r w:rsidRPr="004D0DAA">
              <w:t xml:space="preserve"> in this message, the value of this field (and the </w:t>
            </w:r>
            <w:r w:rsidRPr="004D0DAA">
              <w:rPr>
                <w:bCs/>
                <w:i/>
                <w:iCs/>
              </w:rPr>
              <w:t>Channel Request Description</w:t>
            </w:r>
            <w:r w:rsidRPr="004D0DAA">
              <w:rPr>
                <w:bCs/>
              </w:rPr>
              <w:t xml:space="preserve"> IE</w:t>
            </w:r>
            <w:r w:rsidRPr="004D0DAA">
              <w:t>) shall be ignored</w:t>
            </w:r>
            <w:r w:rsidRPr="004D0DAA">
              <w:rPr>
                <w:bCs/>
              </w:rPr>
              <w:t>.</w:t>
            </w:r>
          </w:p>
        </w:tc>
      </w:tr>
      <w:tr w:rsidR="00711444" w:rsidRPr="004D0DAA" w14:paraId="6ED43069" w14:textId="77777777" w:rsidTr="00AA2A4C">
        <w:tblPrEx>
          <w:tblCellMar>
            <w:top w:w="0" w:type="dxa"/>
            <w:bottom w:w="0" w:type="dxa"/>
          </w:tblCellMar>
        </w:tblPrEx>
        <w:trPr>
          <w:cantSplit/>
        </w:trPr>
        <w:tc>
          <w:tcPr>
            <w:tcW w:w="9848" w:type="dxa"/>
          </w:tcPr>
          <w:p w14:paraId="6E8E9417" w14:textId="77777777" w:rsidR="00711444" w:rsidRPr="004D0DAA" w:rsidRDefault="00711444" w:rsidP="00AA2A4C">
            <w:pPr>
              <w:rPr>
                <w:b/>
              </w:rPr>
            </w:pPr>
            <w:r w:rsidRPr="004D0DAA">
              <w:rPr>
                <w:b/>
              </w:rPr>
              <w:t>ADDITIONAL MS RAC INFORMATION AVAILABLE (1 bit field)</w:t>
            </w:r>
            <w:r w:rsidRPr="004D0DAA">
              <w:rPr>
                <w:b/>
              </w:rPr>
              <w:br/>
            </w:r>
            <w:r w:rsidRPr="004D0DAA">
              <w:t>0</w:t>
            </w:r>
            <w:r w:rsidRPr="004D0DAA">
              <w:tab/>
              <w:t>indicates that the MS will not send more information about its radio access capabilities than included in this message</w:t>
            </w:r>
            <w:r w:rsidRPr="004D0DAA">
              <w:br/>
              <w:t>1</w:t>
            </w:r>
            <w:r w:rsidRPr="004D0DAA">
              <w:tab/>
              <w:t xml:space="preserve">indicates that the MS will provide more information about its radio access capabilities by sending an ADDITIONAL MS RADIO ACCESS CAPABILITIES message, either in the next radio block allocated to the mobile station on the assigned PDCH, or upon a further request from the network if the mobile station was allocated only one radio block. This value shall not be used by MS operating in </w:t>
            </w:r>
            <w:r w:rsidRPr="004D0DAA">
              <w:rPr>
                <w:i/>
              </w:rPr>
              <w:t>Iu mode</w:t>
            </w:r>
            <w:r w:rsidRPr="004D0DAA">
              <w:t>.</w:t>
            </w:r>
          </w:p>
        </w:tc>
      </w:tr>
      <w:tr w:rsidR="00711444" w:rsidRPr="004D0DAA" w14:paraId="56A69D87" w14:textId="77777777" w:rsidTr="00AA2A4C">
        <w:tblPrEx>
          <w:tblCellMar>
            <w:top w:w="0" w:type="dxa"/>
            <w:bottom w:w="0" w:type="dxa"/>
          </w:tblCellMar>
        </w:tblPrEx>
        <w:trPr>
          <w:cantSplit/>
        </w:trPr>
        <w:tc>
          <w:tcPr>
            <w:tcW w:w="9848" w:type="dxa"/>
          </w:tcPr>
          <w:p w14:paraId="5D52284D" w14:textId="77777777" w:rsidR="00711444" w:rsidRPr="004D0DAA" w:rsidRDefault="00711444" w:rsidP="00AA2A4C">
            <w:r w:rsidRPr="004D0DAA">
              <w:rPr>
                <w:b/>
              </w:rPr>
              <w:t>RETRANSMISSION OF PRR (1 bit field)</w:t>
            </w:r>
            <w:r w:rsidRPr="004D0DAA">
              <w:rPr>
                <w:b/>
              </w:rPr>
              <w:br/>
            </w:r>
            <w:r w:rsidRPr="004D0DAA">
              <w:t>This field indicates whether the corresponding PACKET RESOURCE REQUEST message is a retransmission. In case the PACKET RESOURCE REQUEST message is a retransmission, the message content (except this field and the address information) shall be identical to the PACKET RESOURCE REQUEST message previously sent (see sub-clause 7.1.2.2.1a).</w:t>
            </w:r>
          </w:p>
          <w:p w14:paraId="33E0EB10" w14:textId="77777777" w:rsidR="00711444" w:rsidRPr="004D0DAA" w:rsidRDefault="00711444" w:rsidP="00AA2A4C">
            <w:r w:rsidRPr="004D0DAA">
              <w:t>0</w:t>
            </w:r>
            <w:r w:rsidRPr="004D0DAA">
              <w:tab/>
              <w:t>indicates that this message is an initial  PACKET RESOURCE REQUEST message</w:t>
            </w:r>
            <w:r w:rsidRPr="004D0DAA">
              <w:br/>
              <w:t>1</w:t>
            </w:r>
            <w:r w:rsidRPr="004D0DAA">
              <w:tab/>
              <w:t>indicates that this message is a retransmitted PACKET RESOURCE REQUEST message;  in this case the corresponding PACKET RESOURCE REQUEST message shall not be interpreted as a request for resource reassignment.</w:t>
            </w:r>
          </w:p>
        </w:tc>
      </w:tr>
      <w:tr w:rsidR="00711444" w:rsidRPr="004D0DAA" w14:paraId="198D19D3" w14:textId="77777777" w:rsidTr="00AA2A4C">
        <w:tblPrEx>
          <w:tblCellMar>
            <w:top w:w="0" w:type="dxa"/>
            <w:bottom w:w="0" w:type="dxa"/>
          </w:tblCellMar>
        </w:tblPrEx>
        <w:trPr>
          <w:cantSplit/>
        </w:trPr>
        <w:tc>
          <w:tcPr>
            <w:tcW w:w="9848" w:type="dxa"/>
          </w:tcPr>
          <w:p w14:paraId="50F62047" w14:textId="77777777" w:rsidR="00711444" w:rsidRPr="004D0DAA" w:rsidRDefault="00711444" w:rsidP="00AA2A4C">
            <w:r w:rsidRPr="004D0DAA">
              <w:rPr>
                <w:b/>
                <w:bCs/>
              </w:rPr>
              <w:t xml:space="preserve">G-RNTI extension </w:t>
            </w:r>
            <w:r w:rsidRPr="004D0DAA">
              <w:t>(4 bit field)</w:t>
            </w:r>
          </w:p>
          <w:p w14:paraId="0D4134A3" w14:textId="77777777" w:rsidR="00711444" w:rsidRPr="004D0DAA" w:rsidRDefault="00711444" w:rsidP="00AA2A4C">
            <w:pPr>
              <w:rPr>
                <w:b/>
              </w:rPr>
            </w:pPr>
            <w:r w:rsidRPr="004D0DAA">
              <w:t>This field contains the extra 4 bits of the G-RNTI not included in the TLLI / G-RNTI field which are necessary to provide a unique identifier for contention resolution in Iu-mode.</w:t>
            </w:r>
          </w:p>
        </w:tc>
      </w:tr>
      <w:tr w:rsidR="00711444" w:rsidRPr="004D0DAA" w14:paraId="4D8BF43D" w14:textId="77777777" w:rsidTr="00AA2A4C">
        <w:tblPrEx>
          <w:tblCellMar>
            <w:top w:w="0" w:type="dxa"/>
            <w:bottom w:w="0" w:type="dxa"/>
          </w:tblCellMar>
        </w:tblPrEx>
        <w:trPr>
          <w:cantSplit/>
        </w:trPr>
        <w:tc>
          <w:tcPr>
            <w:tcW w:w="9848" w:type="dxa"/>
          </w:tcPr>
          <w:p w14:paraId="55246780" w14:textId="77777777" w:rsidR="00711444" w:rsidRPr="004D0DAA" w:rsidRDefault="00711444" w:rsidP="00AA2A4C">
            <w:pPr>
              <w:spacing w:after="0"/>
              <w:rPr>
                <w:bCs/>
              </w:rPr>
            </w:pPr>
            <w:r w:rsidRPr="004D0DAA">
              <w:rPr>
                <w:b/>
              </w:rPr>
              <w:t>HFN_LSB</w:t>
            </w:r>
            <w:r w:rsidRPr="004D0DAA">
              <w:rPr>
                <w:bCs/>
              </w:rPr>
              <w:t xml:space="preserve"> (1 bit field)</w:t>
            </w:r>
          </w:p>
          <w:p w14:paraId="70A38E03" w14:textId="77777777" w:rsidR="00711444" w:rsidRPr="004D0DAA" w:rsidRDefault="00711444" w:rsidP="00AA2A4C">
            <w:pPr>
              <w:rPr>
                <w:b/>
                <w:bCs/>
              </w:rPr>
            </w:pPr>
            <w:r w:rsidRPr="004D0DAA">
              <w:t>This field contains the least significant bit of the uplink HFN of the radio bearer for which the TBF is requested.</w:t>
            </w:r>
          </w:p>
        </w:tc>
      </w:tr>
      <w:tr w:rsidR="00711444" w:rsidRPr="004D0DAA" w14:paraId="5E514BB8" w14:textId="77777777" w:rsidTr="00AA2A4C">
        <w:tblPrEx>
          <w:tblCellMar>
            <w:top w:w="0" w:type="dxa"/>
            <w:bottom w:w="0" w:type="dxa"/>
          </w:tblCellMar>
        </w:tblPrEx>
        <w:trPr>
          <w:cantSplit/>
        </w:trPr>
        <w:tc>
          <w:tcPr>
            <w:tcW w:w="9848" w:type="dxa"/>
          </w:tcPr>
          <w:p w14:paraId="0D259869" w14:textId="77777777" w:rsidR="00711444" w:rsidRPr="004D0DAA" w:rsidRDefault="00711444" w:rsidP="00AA2A4C">
            <w:pPr>
              <w:spacing w:after="0"/>
            </w:pPr>
            <w:r w:rsidRPr="004D0DAA">
              <w:rPr>
                <w:b/>
                <w:bCs/>
              </w:rPr>
              <w:t xml:space="preserve">EARLY_TBF_ESTABLISHMENT </w:t>
            </w:r>
            <w:r w:rsidRPr="004D0DAA">
              <w:t>(1 bit field)</w:t>
            </w:r>
          </w:p>
          <w:p w14:paraId="7654BC39" w14:textId="77777777" w:rsidR="00711444" w:rsidRPr="004D0DAA" w:rsidRDefault="00711444" w:rsidP="00AA2A4C">
            <w:r w:rsidRPr="004D0DAA">
              <w:t xml:space="preserve">This field indicates whether or not the packet resource request is meant to request pre-allocation of an uplink TBF: </w:t>
            </w:r>
          </w:p>
          <w:p w14:paraId="2BC5CCDF" w14:textId="77777777" w:rsidR="00711444" w:rsidRPr="004D0DAA" w:rsidRDefault="00711444" w:rsidP="00AA2A4C">
            <w:pPr>
              <w:spacing w:after="0"/>
              <w:rPr>
                <w:b/>
              </w:rPr>
            </w:pPr>
            <w:r w:rsidRPr="004D0DAA">
              <w:t>0</w:t>
            </w:r>
            <w:r w:rsidRPr="004D0DAA">
              <w:tab/>
              <w:t xml:space="preserve">The packet resource request is not meant to pre-allocate an uplink TBF. </w:t>
            </w:r>
            <w:r w:rsidRPr="004D0DAA">
              <w:br/>
              <w:t>1</w:t>
            </w:r>
            <w:r w:rsidRPr="004D0DAA">
              <w:tab/>
              <w:t>The packet resource request is meant to pre-allocate an uplink TBF.</w:t>
            </w:r>
          </w:p>
        </w:tc>
      </w:tr>
      <w:tr w:rsidR="00711444" w:rsidRPr="004D0DAA" w14:paraId="034FE4E0" w14:textId="77777777" w:rsidTr="00AA2A4C">
        <w:tblPrEx>
          <w:tblCellMar>
            <w:top w:w="0" w:type="dxa"/>
            <w:bottom w:w="0" w:type="dxa"/>
          </w:tblCellMar>
        </w:tblPrEx>
        <w:trPr>
          <w:cantSplit/>
        </w:trPr>
        <w:tc>
          <w:tcPr>
            <w:tcW w:w="9848" w:type="dxa"/>
          </w:tcPr>
          <w:p w14:paraId="6FD2C156" w14:textId="77777777" w:rsidR="00711444" w:rsidRPr="004D0DAA" w:rsidRDefault="00711444" w:rsidP="00AA2A4C">
            <w:pPr>
              <w:spacing w:after="0"/>
              <w:rPr>
                <w:b/>
                <w:bCs/>
              </w:rPr>
            </w:pPr>
            <w:r w:rsidRPr="004D0DAA">
              <w:rPr>
                <w:b/>
              </w:rPr>
              <w:t xml:space="preserve">EGPRS BEP Link Quality Measurements </w:t>
            </w:r>
            <w:r w:rsidRPr="004D0DAA">
              <w:rPr>
                <w:rFonts w:hint="eastAsia"/>
                <w:b/>
                <w:lang w:eastAsia="ko-KR"/>
              </w:rPr>
              <w:t>Type 2</w:t>
            </w:r>
            <w:r w:rsidRPr="004D0DAA">
              <w:rPr>
                <w:b/>
              </w:rPr>
              <w:br/>
            </w:r>
            <w:r w:rsidRPr="004D0DAA">
              <w:t>This information element is defined in sub-clause 12.5</w:t>
            </w:r>
            <w:r w:rsidRPr="004D0DAA">
              <w:rPr>
                <w:rFonts w:hint="eastAsia"/>
                <w:lang w:eastAsia="ko-KR"/>
              </w:rPr>
              <w:t>a</w:t>
            </w:r>
            <w:r w:rsidRPr="004D0DAA">
              <w:t>.</w:t>
            </w:r>
            <w:r w:rsidRPr="004D0DAA">
              <w:rPr>
                <w:rFonts w:hint="eastAsia"/>
                <w:lang w:eastAsia="ko-KR"/>
              </w:rPr>
              <w:t>2</w:t>
            </w:r>
            <w:r w:rsidRPr="004D0DAA">
              <w:t xml:space="preserve">. </w:t>
            </w:r>
            <w:r w:rsidRPr="004D0DAA">
              <w:rPr>
                <w:rFonts w:hint="eastAsia"/>
                <w:lang w:eastAsia="ko-KR"/>
              </w:rPr>
              <w:t>This IE is</w:t>
            </w:r>
            <w:r w:rsidRPr="004D0DAA">
              <w:t xml:space="preserve"> transferred if </w:t>
            </w:r>
            <w:r w:rsidRPr="004D0DAA">
              <w:rPr>
                <w:rFonts w:hint="eastAsia"/>
                <w:lang w:eastAsia="ko-KR"/>
              </w:rPr>
              <w:t>it</w:t>
            </w:r>
            <w:r w:rsidRPr="004D0DAA">
              <w:t xml:space="preserve"> is available and if </w:t>
            </w:r>
            <w:r w:rsidRPr="004D0DAA">
              <w:rPr>
                <w:rFonts w:hint="eastAsia"/>
                <w:lang w:eastAsia="ko-KR"/>
              </w:rPr>
              <w:t>it</w:t>
            </w:r>
            <w:r w:rsidRPr="004D0DAA">
              <w:t xml:space="preserve"> would not cause the message to expand beyond one RLC/MAC control block and if the PACKET RESOURCE REQUEST is sent during on-going </w:t>
            </w:r>
            <w:r w:rsidRPr="004D0DAA">
              <w:rPr>
                <w:rFonts w:hint="eastAsia"/>
                <w:lang w:eastAsia="ko-KR"/>
              </w:rPr>
              <w:t xml:space="preserve">concurrent </w:t>
            </w:r>
            <w:r w:rsidRPr="004D0DAA">
              <w:t>EGPRS</w:t>
            </w:r>
            <w:r w:rsidRPr="004D0DAA">
              <w:rPr>
                <w:rFonts w:hint="eastAsia"/>
                <w:lang w:eastAsia="ko-KR"/>
              </w:rPr>
              <w:t>2</w:t>
            </w:r>
            <w:r w:rsidRPr="004D0DAA">
              <w:t xml:space="preserve"> TBF.</w:t>
            </w:r>
          </w:p>
        </w:tc>
      </w:tr>
      <w:tr w:rsidR="00711444" w:rsidRPr="004D0DAA" w14:paraId="09D1B87F" w14:textId="77777777" w:rsidTr="00AA2A4C">
        <w:tblPrEx>
          <w:tblCellMar>
            <w:top w:w="0" w:type="dxa"/>
            <w:bottom w:w="0" w:type="dxa"/>
          </w:tblCellMar>
        </w:tblPrEx>
        <w:trPr>
          <w:cantSplit/>
        </w:trPr>
        <w:tc>
          <w:tcPr>
            <w:tcW w:w="9848" w:type="dxa"/>
          </w:tcPr>
          <w:p w14:paraId="2B0C16C1" w14:textId="77777777" w:rsidR="00711444" w:rsidRPr="004D0DAA" w:rsidRDefault="00711444" w:rsidP="00AA2A4C">
            <w:pPr>
              <w:spacing w:after="0"/>
              <w:rPr>
                <w:rFonts w:hint="eastAsia"/>
                <w:b/>
                <w:lang w:eastAsia="ko-KR"/>
              </w:rPr>
            </w:pPr>
            <w:r w:rsidRPr="004D0DAA">
              <w:rPr>
                <w:b/>
              </w:rPr>
              <w:lastRenderedPageBreak/>
              <w:t>EGPRS Timeslot Link Quality Measurements</w:t>
            </w:r>
            <w:r w:rsidRPr="004D0DAA">
              <w:rPr>
                <w:rFonts w:hint="eastAsia"/>
                <w:b/>
                <w:lang w:eastAsia="ko-KR"/>
              </w:rPr>
              <w:t xml:space="preserve"> Type 2</w:t>
            </w:r>
            <w:r w:rsidRPr="004D0DAA">
              <w:rPr>
                <w:b/>
              </w:rPr>
              <w:br/>
            </w:r>
            <w:r w:rsidRPr="004D0DAA">
              <w:t>This information element is defined in sub-clause 12.5</w:t>
            </w:r>
            <w:r w:rsidRPr="004D0DAA">
              <w:rPr>
                <w:rFonts w:hint="eastAsia"/>
                <w:lang w:eastAsia="ko-KR"/>
              </w:rPr>
              <w:t>a</w:t>
            </w:r>
            <w:r w:rsidRPr="004D0DAA">
              <w:t>.</w:t>
            </w:r>
            <w:r w:rsidRPr="004D0DAA">
              <w:rPr>
                <w:rFonts w:hint="eastAsia"/>
                <w:lang w:eastAsia="ko-KR"/>
              </w:rPr>
              <w:t>3</w:t>
            </w:r>
            <w:r w:rsidRPr="004D0DAA">
              <w:t xml:space="preserve">. </w:t>
            </w:r>
            <w:r w:rsidRPr="004D0DAA">
              <w:rPr>
                <w:rFonts w:hint="eastAsia"/>
                <w:lang w:eastAsia="ko-KR"/>
              </w:rPr>
              <w:t>This IE is</w:t>
            </w:r>
            <w:r w:rsidRPr="004D0DAA">
              <w:t xml:space="preserve"> transferred if </w:t>
            </w:r>
            <w:r w:rsidRPr="004D0DAA">
              <w:rPr>
                <w:rFonts w:hint="eastAsia"/>
                <w:lang w:eastAsia="ko-KR"/>
              </w:rPr>
              <w:t>it</w:t>
            </w:r>
            <w:r w:rsidRPr="004D0DAA">
              <w:t xml:space="preserve"> is available and if </w:t>
            </w:r>
            <w:r w:rsidRPr="004D0DAA">
              <w:rPr>
                <w:rFonts w:hint="eastAsia"/>
                <w:lang w:eastAsia="ko-KR"/>
              </w:rPr>
              <w:t>it</w:t>
            </w:r>
            <w:r w:rsidRPr="004D0DAA">
              <w:t xml:space="preserve"> would not cause the message to expand beyond one RLC/MAC control block and if the PACKET RESOURCE REQUEST is sent during on-going concurrent EGPRS</w:t>
            </w:r>
            <w:r w:rsidRPr="004D0DAA">
              <w:rPr>
                <w:rFonts w:hint="eastAsia"/>
                <w:lang w:eastAsia="ko-KR"/>
              </w:rPr>
              <w:t>2</w:t>
            </w:r>
            <w:r w:rsidRPr="004D0DAA">
              <w:t xml:space="preserve"> TBF.</w:t>
            </w:r>
          </w:p>
        </w:tc>
      </w:tr>
      <w:tr w:rsidR="00711444" w:rsidRPr="004D0DAA" w14:paraId="6E11A37F" w14:textId="77777777" w:rsidTr="00AA2A4C">
        <w:tblPrEx>
          <w:tblCellMar>
            <w:top w:w="0" w:type="dxa"/>
            <w:bottom w:w="0" w:type="dxa"/>
          </w:tblCellMar>
        </w:tblPrEx>
        <w:trPr>
          <w:cantSplit/>
        </w:trPr>
        <w:tc>
          <w:tcPr>
            <w:tcW w:w="9848" w:type="dxa"/>
          </w:tcPr>
          <w:p w14:paraId="4D9F841A" w14:textId="77777777" w:rsidR="00711444" w:rsidRPr="004D0DAA" w:rsidRDefault="00711444" w:rsidP="00AA2A4C">
            <w:pPr>
              <w:spacing w:after="0"/>
              <w:rPr>
                <w:b/>
              </w:rPr>
            </w:pPr>
            <w:r w:rsidRPr="004D0DAA">
              <w:rPr>
                <w:b/>
              </w:rPr>
              <w:t>Low Access Priority Signalling</w:t>
            </w:r>
          </w:p>
          <w:p w14:paraId="7B9BBA79" w14:textId="77777777" w:rsidR="00711444" w:rsidRPr="004D0DAA" w:rsidRDefault="00711444" w:rsidP="00AA2A4C">
            <w:r w:rsidRPr="004D0DAA">
              <w:t xml:space="preserve">This field allows a mobile station to indicate whether it is requesting a packet access for the purpose of </w:t>
            </w:r>
            <w:r w:rsidRPr="004D0DAA">
              <w:rPr>
                <w:i/>
              </w:rPr>
              <w:t>NAS signalling low priority</w:t>
            </w:r>
            <w:r w:rsidRPr="004D0DAA">
              <w:t xml:space="preserve"> (see sub-clause 7.1.3.1).</w:t>
            </w:r>
          </w:p>
          <w:p w14:paraId="204DBCC7" w14:textId="77777777" w:rsidR="00711444" w:rsidRPr="004D0DAA" w:rsidRDefault="00711444" w:rsidP="00AA2A4C">
            <w:pPr>
              <w:spacing w:after="0"/>
            </w:pPr>
            <w:r w:rsidRPr="004D0DAA">
              <w:t>0</w:t>
            </w:r>
            <w:r w:rsidRPr="004D0DAA">
              <w:tab/>
              <w:t xml:space="preserve">Indicates the PACKET RESOURCE REQUEST message is sent for requesting a packet access for a different purpose than </w:t>
            </w:r>
            <w:r w:rsidRPr="004D0DAA">
              <w:rPr>
                <w:i/>
              </w:rPr>
              <w:t>NAS signalling low priority</w:t>
            </w:r>
          </w:p>
          <w:p w14:paraId="614FEBD8" w14:textId="77777777" w:rsidR="00711444" w:rsidRPr="004D0DAA" w:rsidRDefault="00711444" w:rsidP="00AA2A4C">
            <w:pPr>
              <w:spacing w:after="0"/>
            </w:pPr>
            <w:r w:rsidRPr="004D0DAA">
              <w:t>1</w:t>
            </w:r>
            <w:r w:rsidRPr="004D0DAA">
              <w:tab/>
              <w:t xml:space="preserve">Indicates the PACKET RESOURCE REQUEST message is sent for requesting a packet access for the purpose of </w:t>
            </w:r>
            <w:r w:rsidRPr="004D0DAA">
              <w:rPr>
                <w:i/>
              </w:rPr>
              <w:t>NAS signalling low priority</w:t>
            </w:r>
            <w:r w:rsidRPr="004D0DAA">
              <w:t xml:space="preserve"> </w:t>
            </w:r>
          </w:p>
          <w:p w14:paraId="5217973B" w14:textId="77777777" w:rsidR="00711444" w:rsidRPr="004D0DAA" w:rsidRDefault="00711444" w:rsidP="00AA2A4C">
            <w:pPr>
              <w:spacing w:after="0"/>
              <w:rPr>
                <w:b/>
              </w:rPr>
            </w:pPr>
          </w:p>
        </w:tc>
      </w:tr>
      <w:tr w:rsidR="00711444" w:rsidRPr="004D0DAA" w14:paraId="1636C7D4" w14:textId="77777777" w:rsidTr="00AA2A4C">
        <w:tblPrEx>
          <w:tblCellMar>
            <w:top w:w="0" w:type="dxa"/>
            <w:bottom w:w="0" w:type="dxa"/>
          </w:tblCellMar>
        </w:tblPrEx>
        <w:trPr>
          <w:cantSplit/>
        </w:trPr>
        <w:tc>
          <w:tcPr>
            <w:tcW w:w="9848" w:type="dxa"/>
          </w:tcPr>
          <w:p w14:paraId="35BA4303" w14:textId="77777777" w:rsidR="00711444" w:rsidRPr="004D0DAA" w:rsidRDefault="00711444" w:rsidP="00AA2A4C">
            <w:pPr>
              <w:spacing w:after="0"/>
            </w:pPr>
            <w:r w:rsidRPr="004D0DAA">
              <w:rPr>
                <w:b/>
              </w:rPr>
              <w:t xml:space="preserve">DOWNLINK_eTFI </w:t>
            </w:r>
            <w:r w:rsidRPr="004D0DAA">
              <w:t>(3 bit field)</w:t>
            </w:r>
            <w:r w:rsidRPr="004D0DAA">
              <w:br/>
              <w:t>See sub-clause 11.2.48</w:t>
            </w:r>
          </w:p>
          <w:p w14:paraId="45A997F1" w14:textId="77777777" w:rsidR="00711444" w:rsidRPr="004D0DAA" w:rsidRDefault="00711444" w:rsidP="00AA2A4C">
            <w:pPr>
              <w:spacing w:after="0"/>
              <w:rPr>
                <w:b/>
              </w:rPr>
            </w:pPr>
          </w:p>
        </w:tc>
      </w:tr>
    </w:tbl>
    <w:p w14:paraId="4E9CCA3C" w14:textId="77777777" w:rsidR="00711444" w:rsidRPr="004D0DAA" w:rsidRDefault="00711444" w:rsidP="00711444"/>
    <w:p w14:paraId="70073ECE" w14:textId="77777777" w:rsidR="00711444" w:rsidRPr="004D0DAA" w:rsidRDefault="00711444" w:rsidP="00711444">
      <w:pPr>
        <w:pStyle w:val="Heading3"/>
      </w:pPr>
      <w:bookmarkStart w:id="682" w:name="_Toc516669858"/>
      <w:r w:rsidRPr="004D0DAA">
        <w:t>11.2.17</w:t>
      </w:r>
      <w:r w:rsidRPr="004D0DAA">
        <w:tab/>
        <w:t>Packet PSI Status</w:t>
      </w:r>
      <w:bookmarkEnd w:id="682"/>
    </w:p>
    <w:p w14:paraId="61014AF6" w14:textId="77777777" w:rsidR="00711444" w:rsidRPr="004D0DAA" w:rsidRDefault="00711444" w:rsidP="00711444">
      <w:r w:rsidRPr="004D0DAA">
        <w:t>This message is sent on the PACCH from the mobile station to the network to indicate which PSI messages the mobile station has received.</w:t>
      </w:r>
    </w:p>
    <w:p w14:paraId="09A5AF63" w14:textId="77777777" w:rsidR="00711444" w:rsidRPr="004D0DAA" w:rsidRDefault="00711444" w:rsidP="00711444">
      <w:pPr>
        <w:pStyle w:val="EX"/>
      </w:pPr>
      <w:r w:rsidRPr="004D0DAA">
        <w:t>Message type:</w:t>
      </w:r>
      <w:r w:rsidRPr="004D0DAA">
        <w:tab/>
        <w:t>PACKET PSI STATUS</w:t>
      </w:r>
    </w:p>
    <w:p w14:paraId="344631A5" w14:textId="77777777" w:rsidR="00711444" w:rsidRPr="004D0DAA" w:rsidRDefault="00711444" w:rsidP="00711444">
      <w:pPr>
        <w:pStyle w:val="EX"/>
      </w:pPr>
      <w:r w:rsidRPr="004D0DAA">
        <w:t>Direction:</w:t>
      </w:r>
      <w:r w:rsidRPr="004D0DAA">
        <w:tab/>
        <w:t>mobile station to network</w:t>
      </w:r>
    </w:p>
    <w:p w14:paraId="03EB6821" w14:textId="77777777" w:rsidR="00711444" w:rsidRPr="004D0DAA" w:rsidRDefault="00711444" w:rsidP="00711444">
      <w:pPr>
        <w:pStyle w:val="TH"/>
      </w:pPr>
      <w:r w:rsidRPr="004D0DAA">
        <w:t xml:space="preserve">Table 11.2.17.1: </w:t>
      </w:r>
      <w:r w:rsidRPr="004D0DAA">
        <w:rPr>
          <w:caps/>
        </w:rPr>
        <w:t>Packet PSI STATUS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58B1B61" w14:textId="77777777" w:rsidTr="00AA2A4C">
        <w:tblPrEx>
          <w:tblCellMar>
            <w:top w:w="0" w:type="dxa"/>
            <w:bottom w:w="0" w:type="dxa"/>
          </w:tblCellMar>
        </w:tblPrEx>
        <w:trPr>
          <w:cantSplit/>
        </w:trPr>
        <w:tc>
          <w:tcPr>
            <w:tcW w:w="9848" w:type="dxa"/>
          </w:tcPr>
          <w:p w14:paraId="79065DA7" w14:textId="77777777" w:rsidR="00711444" w:rsidRPr="004D0DAA" w:rsidRDefault="00711444" w:rsidP="00AA2A4C">
            <w:pPr>
              <w:pStyle w:val="TAL"/>
              <w:rPr>
                <w:lang w:eastAsia="en-US"/>
              </w:rPr>
            </w:pPr>
            <w:r w:rsidRPr="004D0DAA">
              <w:rPr>
                <w:lang w:eastAsia="en-US"/>
              </w:rPr>
              <w:t>&lt; Packet PSI Status message content &gt; ::=</w:t>
            </w:r>
          </w:p>
          <w:p w14:paraId="0443BB3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GLOBAL_TFI </w:t>
            </w:r>
            <w:r w:rsidRPr="004D0DAA">
              <w:rPr>
                <w:lang w:eastAsia="en-US"/>
              </w:rPr>
              <w:t>: &lt; Global TFI IE &gt; &gt;</w:t>
            </w:r>
          </w:p>
          <w:p w14:paraId="3571137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PBCCH_CHANGE_MARK</w:t>
            </w:r>
            <w:r w:rsidRPr="004D0DAA">
              <w:rPr>
                <w:lang w:eastAsia="en-US"/>
              </w:rPr>
              <w:t xml:space="preserve"> : bit (3) &gt;</w:t>
            </w:r>
          </w:p>
          <w:p w14:paraId="4E041C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 PSI Message List</w:t>
            </w:r>
            <w:r w:rsidRPr="004D0DAA">
              <w:rPr>
                <w:lang w:eastAsia="en-US"/>
              </w:rPr>
              <w:t xml:space="preserve"> : &lt; PSI Message List struct &gt; &gt;</w:t>
            </w:r>
          </w:p>
          <w:p w14:paraId="0EB374E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 Unknown PSI Message List</w:t>
            </w:r>
            <w:r w:rsidRPr="004D0DAA">
              <w:rPr>
                <w:lang w:eastAsia="en-US"/>
              </w:rPr>
              <w:t xml:space="preserve"> : &lt; Unknown PSI Message List struct &gt; &gt;</w:t>
            </w:r>
          </w:p>
          <w:p w14:paraId="1597DB1F" w14:textId="77777777" w:rsidR="00711444" w:rsidRPr="004D0DAA" w:rsidRDefault="00711444" w:rsidP="00AA2A4C">
            <w:pPr>
              <w:pStyle w:val="TAL"/>
              <w:rPr>
                <w:lang w:eastAsia="en-US"/>
              </w:rPr>
            </w:pPr>
          </w:p>
          <w:p w14:paraId="7DBDDFA4" w14:textId="77777777" w:rsidR="00711444" w:rsidRPr="004D0DAA" w:rsidRDefault="00711444" w:rsidP="00AA2A4C">
            <w:pPr>
              <w:pStyle w:val="TAL"/>
              <w:rPr>
                <w:lang w:eastAsia="en-US"/>
              </w:rPr>
            </w:pPr>
            <w:r w:rsidRPr="004D0DAA">
              <w:rPr>
                <w:lang w:eastAsia="en-US"/>
              </w:rPr>
              <w:tab/>
              <w:t>{ null | 0</w:t>
            </w:r>
            <w:r w:rsidRPr="004D0DAA">
              <w:rPr>
                <w:b/>
                <w:lang w:eastAsia="en-US"/>
              </w:rPr>
              <w:t xml:space="preserve"> </w:t>
            </w:r>
            <w:r w:rsidRPr="004D0DAA">
              <w:rPr>
                <w:lang w:eastAsia="en-US"/>
              </w:rPr>
              <w:t>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78399D4C"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REL-6 :</w:t>
            </w:r>
          </w:p>
          <w:p w14:paraId="55545D3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 xml:space="preserve">PS_REL_REQ </w:t>
            </w:r>
            <w:r w:rsidRPr="004D0DAA">
              <w:rPr>
                <w:lang w:eastAsia="en-US"/>
              </w:rPr>
              <w:t>: bit &gt;</w:t>
            </w:r>
          </w:p>
          <w:p w14:paraId="20895436" w14:textId="77777777" w:rsidR="00711444" w:rsidRPr="004D0DAA" w:rsidRDefault="00711444" w:rsidP="00AA2A4C">
            <w:pPr>
              <w:pStyle w:val="TAL"/>
              <w:rPr>
                <w:lang w:eastAsia="en-US"/>
              </w:rPr>
            </w:pPr>
            <w:r w:rsidRPr="004D0DAA">
              <w:rPr>
                <w:lang w:eastAsia="en-US"/>
              </w:rPr>
              <w:tab/>
            </w:r>
            <w:r w:rsidRPr="004D0DAA">
              <w:rPr>
                <w:lang w:eastAsia="en-US"/>
              </w:rPr>
              <w:tab/>
              <w:t>&lt; padding bits &gt; } ;</w:t>
            </w:r>
          </w:p>
          <w:p w14:paraId="4F7062CC" w14:textId="77777777" w:rsidR="00711444" w:rsidRPr="004D0DAA" w:rsidRDefault="00711444" w:rsidP="00AA2A4C">
            <w:pPr>
              <w:pStyle w:val="TAL"/>
              <w:rPr>
                <w:lang w:eastAsia="en-US"/>
              </w:rPr>
            </w:pPr>
          </w:p>
        </w:tc>
      </w:tr>
      <w:tr w:rsidR="00711444" w:rsidRPr="004D0DAA" w14:paraId="0DC2446E" w14:textId="77777777" w:rsidTr="00AA2A4C">
        <w:tblPrEx>
          <w:tblCellMar>
            <w:top w:w="0" w:type="dxa"/>
            <w:bottom w:w="0" w:type="dxa"/>
          </w:tblCellMar>
        </w:tblPrEx>
        <w:trPr>
          <w:cantSplit/>
        </w:trPr>
        <w:tc>
          <w:tcPr>
            <w:tcW w:w="9848" w:type="dxa"/>
          </w:tcPr>
          <w:p w14:paraId="64A627F6" w14:textId="77777777" w:rsidR="00711444" w:rsidRPr="004D0DAA" w:rsidRDefault="00711444" w:rsidP="00AA2A4C">
            <w:pPr>
              <w:pStyle w:val="TAL"/>
              <w:rPr>
                <w:lang w:eastAsia="en-US"/>
              </w:rPr>
            </w:pPr>
            <w:r w:rsidRPr="004D0DAA">
              <w:rPr>
                <w:lang w:eastAsia="en-US"/>
              </w:rPr>
              <w:t>&lt; PSI Message List struct &gt; ::=</w:t>
            </w:r>
          </w:p>
          <w:p w14:paraId="5557EC65"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MESSAGE_TYPE</w:t>
            </w:r>
            <w:r w:rsidRPr="004D0DAA">
              <w:rPr>
                <w:lang w:eastAsia="en-US"/>
              </w:rPr>
              <w:t xml:space="preserve"> : bit (6) &gt;</w:t>
            </w:r>
          </w:p>
          <w:p w14:paraId="2914CB5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PSIX_CHANGE_MARK</w:t>
            </w:r>
            <w:r w:rsidRPr="004D0DAA">
              <w:rPr>
                <w:lang w:eastAsia="en-US"/>
              </w:rPr>
              <w:t> : bit (2) &gt;</w:t>
            </w:r>
          </w:p>
          <w:p w14:paraId="1DC98A9F"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PSIX_COUNT</w:t>
            </w:r>
            <w:r w:rsidRPr="004D0DAA">
              <w:rPr>
                <w:lang w:eastAsia="en-US"/>
              </w:rPr>
              <w:t> : bit (4) &gt;</w:t>
            </w:r>
          </w:p>
          <w:p w14:paraId="57D7AA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Instance bitmap </w:t>
            </w:r>
            <w:r w:rsidRPr="004D0DAA">
              <w:rPr>
                <w:lang w:eastAsia="en-US"/>
              </w:rPr>
              <w:t>: bit (val(PSIX_COUNT) + 1) &gt; } } ** 0</w:t>
            </w:r>
          </w:p>
          <w:p w14:paraId="07A9B92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ADDITIONAL_MSG_TYPE</w:t>
            </w:r>
            <w:r w:rsidRPr="004D0DAA">
              <w:rPr>
                <w:lang w:eastAsia="en-US"/>
              </w:rPr>
              <w:t> : bit &gt; ;</w:t>
            </w:r>
          </w:p>
          <w:p w14:paraId="1530D75A" w14:textId="77777777" w:rsidR="00711444" w:rsidRPr="004D0DAA" w:rsidRDefault="00711444" w:rsidP="00AA2A4C">
            <w:pPr>
              <w:pStyle w:val="TAL"/>
              <w:rPr>
                <w:lang w:eastAsia="en-US"/>
              </w:rPr>
            </w:pPr>
          </w:p>
        </w:tc>
      </w:tr>
      <w:tr w:rsidR="00711444" w:rsidRPr="004D0DAA" w14:paraId="07AAC10E" w14:textId="77777777" w:rsidTr="00AA2A4C">
        <w:tblPrEx>
          <w:tblCellMar>
            <w:top w:w="0" w:type="dxa"/>
            <w:bottom w:w="0" w:type="dxa"/>
          </w:tblCellMar>
        </w:tblPrEx>
        <w:trPr>
          <w:cantSplit/>
        </w:trPr>
        <w:tc>
          <w:tcPr>
            <w:tcW w:w="9848" w:type="dxa"/>
          </w:tcPr>
          <w:p w14:paraId="70C7F44B" w14:textId="77777777" w:rsidR="00711444" w:rsidRPr="004D0DAA" w:rsidRDefault="00711444" w:rsidP="00AA2A4C">
            <w:pPr>
              <w:pStyle w:val="TAL"/>
              <w:rPr>
                <w:lang w:eastAsia="en-US"/>
              </w:rPr>
            </w:pPr>
            <w:r w:rsidRPr="004D0DAA">
              <w:rPr>
                <w:lang w:eastAsia="en-US"/>
              </w:rPr>
              <w:t>&lt; Unknown PSI Message List struct &gt; ::=</w:t>
            </w:r>
          </w:p>
          <w:p w14:paraId="41F3D443"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 xml:space="preserve">MESSAGE_TYPE </w:t>
            </w:r>
            <w:r w:rsidRPr="004D0DAA">
              <w:rPr>
                <w:lang w:eastAsia="en-US"/>
              </w:rPr>
              <w:t>: bit (6) &gt; } ** 0</w:t>
            </w:r>
          </w:p>
          <w:p w14:paraId="4222E14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ADDITIONAL_MSG_TYPE</w:t>
            </w:r>
            <w:r w:rsidRPr="004D0DAA">
              <w:rPr>
                <w:lang w:eastAsia="en-US"/>
              </w:rPr>
              <w:t> : bit &gt; ;</w:t>
            </w:r>
          </w:p>
          <w:p w14:paraId="4F298A48" w14:textId="77777777" w:rsidR="00711444" w:rsidRPr="004D0DAA" w:rsidRDefault="00711444" w:rsidP="00AA2A4C">
            <w:pPr>
              <w:pStyle w:val="TAL"/>
              <w:rPr>
                <w:lang w:eastAsia="en-US"/>
              </w:rPr>
            </w:pPr>
          </w:p>
        </w:tc>
      </w:tr>
    </w:tbl>
    <w:p w14:paraId="3CBCE1D8" w14:textId="77777777" w:rsidR="00711444" w:rsidRPr="004D0DAA" w:rsidRDefault="00711444" w:rsidP="00711444"/>
    <w:p w14:paraId="3530F84E" w14:textId="77777777" w:rsidR="00711444" w:rsidRPr="004D0DAA" w:rsidRDefault="00711444" w:rsidP="00711444">
      <w:pPr>
        <w:pStyle w:val="TH"/>
      </w:pPr>
      <w:r w:rsidRPr="004D0DAA">
        <w:t xml:space="preserve">Table 11.2.17.2: </w:t>
      </w:r>
      <w:r w:rsidRPr="004D0DAA">
        <w:rPr>
          <w:caps/>
        </w:rPr>
        <w:t>Packet PSI Status</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A520688" w14:textId="77777777" w:rsidTr="00AA2A4C">
        <w:tblPrEx>
          <w:tblCellMar>
            <w:top w:w="0" w:type="dxa"/>
            <w:bottom w:w="0" w:type="dxa"/>
          </w:tblCellMar>
        </w:tblPrEx>
        <w:trPr>
          <w:cantSplit/>
        </w:trPr>
        <w:tc>
          <w:tcPr>
            <w:tcW w:w="9848" w:type="dxa"/>
          </w:tcPr>
          <w:p w14:paraId="32B2A433" w14:textId="77777777" w:rsidR="00711444" w:rsidRPr="004D0DAA" w:rsidRDefault="00711444" w:rsidP="00AA2A4C">
            <w:pPr>
              <w:rPr>
                <w:b/>
              </w:rPr>
            </w:pPr>
            <w:r w:rsidRPr="004D0DAA">
              <w:rPr>
                <w:b/>
              </w:rPr>
              <w:t>Global TFI</w:t>
            </w:r>
            <w:r w:rsidRPr="004D0DAA">
              <w:t xml:space="preserve"> (information element)</w:t>
            </w:r>
            <w:r w:rsidRPr="004D0DAA">
              <w:br/>
              <w:t>This information element contains the TFI of the mobile station's uplink or downlink TBF.. The coding of this information element is defined in sub-clause 12.10.</w:t>
            </w:r>
          </w:p>
        </w:tc>
      </w:tr>
      <w:tr w:rsidR="00711444" w:rsidRPr="004D0DAA" w14:paraId="028103F5" w14:textId="77777777" w:rsidTr="00AA2A4C">
        <w:tblPrEx>
          <w:tblCellMar>
            <w:top w:w="0" w:type="dxa"/>
            <w:bottom w:w="0" w:type="dxa"/>
          </w:tblCellMar>
        </w:tblPrEx>
        <w:trPr>
          <w:cantSplit/>
        </w:trPr>
        <w:tc>
          <w:tcPr>
            <w:tcW w:w="9848" w:type="dxa"/>
          </w:tcPr>
          <w:p w14:paraId="07D14642" w14:textId="77777777" w:rsidR="00711444" w:rsidRPr="004D0DAA" w:rsidRDefault="00711444" w:rsidP="00AA2A4C">
            <w:pPr>
              <w:rPr>
                <w:b/>
              </w:rPr>
            </w:pPr>
            <w:r w:rsidRPr="004D0DAA">
              <w:rPr>
                <w:b/>
              </w:rPr>
              <w:t>PBCCH_CHANGE_MARK</w:t>
            </w:r>
            <w:r w:rsidRPr="004D0DAA">
              <w:t xml:space="preserve"> (3 bit field)</w:t>
            </w:r>
            <w:r w:rsidRPr="004D0DAA">
              <w:br/>
              <w:t>This field is the binary representation of the last PBCCH_CHANGE_MARK received in the PSI1 message on PBCCH.</w:t>
            </w:r>
          </w:p>
        </w:tc>
      </w:tr>
      <w:tr w:rsidR="00711444" w:rsidRPr="004D0DAA" w14:paraId="5C3D1351" w14:textId="77777777" w:rsidTr="00AA2A4C">
        <w:tblPrEx>
          <w:tblCellMar>
            <w:top w:w="0" w:type="dxa"/>
            <w:bottom w:w="0" w:type="dxa"/>
          </w:tblCellMar>
        </w:tblPrEx>
        <w:trPr>
          <w:cantSplit/>
        </w:trPr>
        <w:tc>
          <w:tcPr>
            <w:tcW w:w="9848" w:type="dxa"/>
          </w:tcPr>
          <w:p w14:paraId="2A818767" w14:textId="77777777" w:rsidR="00711444" w:rsidRPr="004D0DAA" w:rsidRDefault="00711444" w:rsidP="00AA2A4C">
            <w:r w:rsidRPr="004D0DAA">
              <w:rPr>
                <w:b/>
              </w:rPr>
              <w:lastRenderedPageBreak/>
              <w:t>Received PSI Message List</w:t>
            </w:r>
            <w:r w:rsidRPr="004D0DAA">
              <w:t xml:space="preserve"> (construction)</w:t>
            </w:r>
            <w:r w:rsidRPr="004D0DAA">
              <w:br/>
              <w:t>This construction contains a list of supported PSI messages (see sub-clause 5.5.1.4.3). The sender of this message may indicate as many messages in this list as can be fit into the message. Messages are listed by message type in descending order of priority. If there are more PSI messages than can be indicated in this list, the presence of additional message type(s) shall be indicated at the end of the list.</w:t>
            </w:r>
          </w:p>
          <w:p w14:paraId="46343324" w14:textId="77777777" w:rsidR="00711444" w:rsidRPr="004D0DAA" w:rsidRDefault="00711444" w:rsidP="00AA2A4C">
            <w:r w:rsidRPr="004D0DAA">
              <w:t>If the sender of this message has received a PSI message which is part of a consistent set of PSI messages (see 5.5.2.1.4), the Instance Bitmap may indicate which instances of this message type that have been received.</w:t>
            </w:r>
          </w:p>
          <w:p w14:paraId="5B9AC9D0" w14:textId="77777777" w:rsidR="00711444" w:rsidRPr="004D0DAA" w:rsidRDefault="00711444" w:rsidP="00AA2A4C">
            <w:pPr>
              <w:rPr>
                <w:b/>
              </w:rPr>
            </w:pPr>
            <w:r w:rsidRPr="004D0DAA">
              <w:t>Under certain circumstances, see sub-clause 5.5.1.4.3, the sender of this message may use this construction to indicate the message type of a PSI message that has not been received. In that case, the corresponding Instance Bitmap field shall be included. The PSIX_CHANGE_MARK field, PSIX_COUNT field and the one element of the Instance Bitmap field shall all be set to the value '0'.</w:t>
            </w:r>
          </w:p>
        </w:tc>
      </w:tr>
      <w:tr w:rsidR="00711444" w:rsidRPr="004D0DAA" w14:paraId="5B03FBBC" w14:textId="77777777" w:rsidTr="00AA2A4C">
        <w:tblPrEx>
          <w:tblCellMar>
            <w:top w:w="0" w:type="dxa"/>
            <w:bottom w:w="0" w:type="dxa"/>
          </w:tblCellMar>
        </w:tblPrEx>
        <w:trPr>
          <w:cantSplit/>
        </w:trPr>
        <w:tc>
          <w:tcPr>
            <w:tcW w:w="9848" w:type="dxa"/>
          </w:tcPr>
          <w:p w14:paraId="2E1AF3B4" w14:textId="77777777" w:rsidR="00711444" w:rsidRPr="004D0DAA" w:rsidRDefault="00711444" w:rsidP="00AA2A4C">
            <w:pPr>
              <w:rPr>
                <w:b/>
              </w:rPr>
            </w:pPr>
            <w:r w:rsidRPr="004D0DAA">
              <w:rPr>
                <w:b/>
              </w:rPr>
              <w:t>Received Unknown PSI Message List</w:t>
            </w:r>
            <w:r w:rsidRPr="004D0DAA">
              <w:t xml:space="preserve"> (construction)</w:t>
            </w:r>
            <w:r w:rsidRPr="004D0DAA">
              <w:br/>
              <w:t>This construction contains a list of message types that are received on PBCCH, which are either unknown or not recognized as supported PSI message types. The sender of this message may indicate as many messages in this list as can be fit into the message following the Received PSI Message List. Messages are listed by message type in the inverse order of reception, starting with the most recently received message type. If there are more messages than can be indicated in this list, the presence of additional message type(s) shall be indicated at the end of the list.</w:t>
            </w:r>
          </w:p>
        </w:tc>
      </w:tr>
      <w:tr w:rsidR="00711444" w:rsidRPr="004D0DAA" w14:paraId="3A7D5AB3" w14:textId="77777777" w:rsidTr="00AA2A4C">
        <w:tblPrEx>
          <w:tblCellMar>
            <w:top w:w="0" w:type="dxa"/>
            <w:bottom w:w="0" w:type="dxa"/>
          </w:tblCellMar>
        </w:tblPrEx>
        <w:trPr>
          <w:cantSplit/>
        </w:trPr>
        <w:tc>
          <w:tcPr>
            <w:tcW w:w="9848" w:type="dxa"/>
          </w:tcPr>
          <w:p w14:paraId="42DD2FBE" w14:textId="77777777" w:rsidR="00711444" w:rsidRPr="004D0DAA" w:rsidRDefault="00711444" w:rsidP="00AA2A4C">
            <w:pPr>
              <w:rPr>
                <w:b/>
              </w:rPr>
            </w:pPr>
            <w:r w:rsidRPr="004D0DAA">
              <w:rPr>
                <w:b/>
              </w:rPr>
              <w:t>MESSAGE_TYPE</w:t>
            </w:r>
            <w:r w:rsidRPr="004D0DAA">
              <w:t xml:space="preserve"> (6 bit field)</w:t>
            </w:r>
            <w:r w:rsidRPr="004D0DAA">
              <w:br/>
              <w:t>This field is the binary representation of the message type (see sub-clause 11.2.0.1).</w:t>
            </w:r>
          </w:p>
        </w:tc>
      </w:tr>
      <w:tr w:rsidR="00711444" w:rsidRPr="004D0DAA" w14:paraId="78650EAE" w14:textId="77777777" w:rsidTr="00AA2A4C">
        <w:tblPrEx>
          <w:tblCellMar>
            <w:top w:w="0" w:type="dxa"/>
            <w:bottom w:w="0" w:type="dxa"/>
          </w:tblCellMar>
        </w:tblPrEx>
        <w:trPr>
          <w:cantSplit/>
        </w:trPr>
        <w:tc>
          <w:tcPr>
            <w:tcW w:w="9848" w:type="dxa"/>
          </w:tcPr>
          <w:p w14:paraId="760D5439" w14:textId="77777777" w:rsidR="00711444" w:rsidRPr="004D0DAA" w:rsidRDefault="00711444" w:rsidP="00AA2A4C">
            <w:pPr>
              <w:rPr>
                <w:b/>
              </w:rPr>
            </w:pPr>
            <w:r w:rsidRPr="004D0DAA">
              <w:rPr>
                <w:b/>
              </w:rPr>
              <w:t>PSIX_CHANGE_MARK</w:t>
            </w:r>
            <w:r w:rsidRPr="004D0DAA">
              <w:t xml:space="preserve"> (2 bit field)</w:t>
            </w:r>
            <w:r w:rsidRPr="004D0DAA">
              <w:br/>
              <w:t xml:space="preserve">This field is the binary representation of the PSI </w:t>
            </w:r>
            <w:r w:rsidRPr="004D0DAA">
              <w:rPr>
                <w:i/>
              </w:rPr>
              <w:t>change mark</w:t>
            </w:r>
            <w:r w:rsidRPr="004D0DAA">
              <w:t xml:space="preserve"> parameter received for a certain PSI message type. </w:t>
            </w:r>
            <w:r w:rsidRPr="004D0DAA">
              <w:br/>
              <w:t>Range: 0 to 3.</w:t>
            </w:r>
          </w:p>
        </w:tc>
      </w:tr>
      <w:tr w:rsidR="00711444" w:rsidRPr="004D0DAA" w14:paraId="5B330938" w14:textId="77777777" w:rsidTr="00AA2A4C">
        <w:tblPrEx>
          <w:tblCellMar>
            <w:top w:w="0" w:type="dxa"/>
            <w:bottom w:w="0" w:type="dxa"/>
          </w:tblCellMar>
        </w:tblPrEx>
        <w:trPr>
          <w:cantSplit/>
        </w:trPr>
        <w:tc>
          <w:tcPr>
            <w:tcW w:w="9848" w:type="dxa"/>
          </w:tcPr>
          <w:p w14:paraId="57F132B4" w14:textId="77777777" w:rsidR="00711444" w:rsidRPr="004D0DAA" w:rsidRDefault="00711444" w:rsidP="00AA2A4C">
            <w:pPr>
              <w:rPr>
                <w:b/>
              </w:rPr>
            </w:pPr>
            <w:r w:rsidRPr="004D0DAA">
              <w:rPr>
                <w:b/>
              </w:rPr>
              <w:t>PSIX_COUNT</w:t>
            </w:r>
            <w:r w:rsidRPr="004D0DAA">
              <w:t xml:space="preserve"> (4 bit field)</w:t>
            </w:r>
            <w:r w:rsidRPr="004D0DAA">
              <w:br/>
              <w:t xml:space="preserve">This field is the binary representation of the PSI </w:t>
            </w:r>
            <w:r w:rsidRPr="004D0DAA">
              <w:rPr>
                <w:i/>
              </w:rPr>
              <w:t>count</w:t>
            </w:r>
            <w:r w:rsidRPr="004D0DAA">
              <w:t xml:space="preserve"> parameter received for a certain PSI message type. This field indicates the length of the corresponding </w:t>
            </w:r>
            <w:r w:rsidRPr="004D0DAA">
              <w:rPr>
                <w:i/>
              </w:rPr>
              <w:t>Instance bitmap</w:t>
            </w:r>
            <w:r w:rsidRPr="004D0DAA">
              <w:t xml:space="preserve"> field and shall be provided only if the corresponding </w:t>
            </w:r>
            <w:r w:rsidRPr="004D0DAA">
              <w:rPr>
                <w:i/>
              </w:rPr>
              <w:t>Instance bitmap</w:t>
            </w:r>
            <w:r w:rsidRPr="004D0DAA">
              <w:t xml:space="preserve"> field is provided in the message.</w:t>
            </w:r>
            <w:r w:rsidRPr="004D0DAA">
              <w:br/>
              <w:t>Range: 0 to 7 or 0 to 15, depending on message type.</w:t>
            </w:r>
          </w:p>
        </w:tc>
      </w:tr>
      <w:tr w:rsidR="00711444" w:rsidRPr="004D0DAA" w14:paraId="0A3E63E9" w14:textId="77777777" w:rsidTr="00AA2A4C">
        <w:tblPrEx>
          <w:tblCellMar>
            <w:top w:w="0" w:type="dxa"/>
            <w:bottom w:w="0" w:type="dxa"/>
          </w:tblCellMar>
        </w:tblPrEx>
        <w:trPr>
          <w:cantSplit/>
        </w:trPr>
        <w:tc>
          <w:tcPr>
            <w:tcW w:w="9848" w:type="dxa"/>
          </w:tcPr>
          <w:p w14:paraId="4FF57D6A" w14:textId="77777777" w:rsidR="00711444" w:rsidRPr="004D0DAA" w:rsidRDefault="00711444" w:rsidP="00AA2A4C">
            <w:r w:rsidRPr="004D0DAA">
              <w:rPr>
                <w:b/>
              </w:rPr>
              <w:t>Instance bitmap</w:t>
            </w:r>
            <w:r w:rsidRPr="004D0DAA">
              <w:t xml:space="preserve"> (1 - 16 bit field)</w:t>
            </w:r>
            <w:r w:rsidRPr="004D0DAA">
              <w:br/>
              <w:t>This field is a bitmap indicating which instances of a certain message type that are received within a consistent set of PSI messages. This field shall be included when a sub-set of these messages has been received. This field shall not be included when the complete set of these messages has been received.</w:t>
            </w:r>
          </w:p>
          <w:p w14:paraId="17D91DB5" w14:textId="77777777" w:rsidR="00711444" w:rsidRPr="004D0DAA" w:rsidRDefault="00711444" w:rsidP="00AA2A4C">
            <w:r w:rsidRPr="004D0DAA">
              <w:t xml:space="preserve">The most significant bit of this bitmap (bit N) refers to the message instance with the PSI </w:t>
            </w:r>
            <w:r w:rsidRPr="004D0DAA">
              <w:rPr>
                <w:i/>
              </w:rPr>
              <w:t>index</w:t>
            </w:r>
            <w:r w:rsidRPr="004D0DAA">
              <w:t xml:space="preserve"> parameter = N-1, where N is the number of instances of the particular message type (PSI </w:t>
            </w:r>
            <w:r w:rsidRPr="004D0DAA">
              <w:rPr>
                <w:i/>
              </w:rPr>
              <w:t>count</w:t>
            </w:r>
            <w:r w:rsidRPr="004D0DAA">
              <w:t xml:space="preserve"> + 1). The least significant bit of this bitmap (bit 1) refers to the message instance with the PSI </w:t>
            </w:r>
            <w:r w:rsidRPr="004D0DAA">
              <w:rPr>
                <w:i/>
              </w:rPr>
              <w:t>index</w:t>
            </w:r>
            <w:r w:rsidRPr="004D0DAA">
              <w:t xml:space="preserve"> parameter = 0. Each bit position is coded:</w:t>
            </w:r>
          </w:p>
          <w:p w14:paraId="7F556631" w14:textId="77777777" w:rsidR="00711444" w:rsidRPr="004D0DAA" w:rsidRDefault="00711444" w:rsidP="00AA2A4C">
            <w:pPr>
              <w:rPr>
                <w:b/>
              </w:rPr>
            </w:pPr>
            <w:r w:rsidRPr="004D0DAA">
              <w:t>0</w:t>
            </w:r>
            <w:r w:rsidRPr="004D0DAA">
              <w:tab/>
              <w:t>Message instance is not received;</w:t>
            </w:r>
            <w:r w:rsidRPr="004D0DAA">
              <w:br/>
              <w:t>1</w:t>
            </w:r>
            <w:r w:rsidRPr="004D0DAA">
              <w:tab/>
              <w:t>Message instance is received.</w:t>
            </w:r>
          </w:p>
        </w:tc>
      </w:tr>
      <w:tr w:rsidR="00711444" w:rsidRPr="004D0DAA" w14:paraId="022FAB98" w14:textId="77777777" w:rsidTr="00AA2A4C">
        <w:tblPrEx>
          <w:tblCellMar>
            <w:top w:w="0" w:type="dxa"/>
            <w:bottom w:w="0" w:type="dxa"/>
          </w:tblCellMar>
        </w:tblPrEx>
        <w:trPr>
          <w:cantSplit/>
        </w:trPr>
        <w:tc>
          <w:tcPr>
            <w:tcW w:w="9848" w:type="dxa"/>
          </w:tcPr>
          <w:p w14:paraId="168B89BC" w14:textId="77777777" w:rsidR="00711444" w:rsidRPr="004D0DAA" w:rsidRDefault="00711444" w:rsidP="00AA2A4C">
            <w:r w:rsidRPr="004D0DAA">
              <w:rPr>
                <w:b/>
              </w:rPr>
              <w:t>ADDITIONAL_MSG_TYPE</w:t>
            </w:r>
            <w:r w:rsidRPr="004D0DAA">
              <w:t xml:space="preserve"> (1 bit field)</w:t>
            </w:r>
            <w:r w:rsidRPr="004D0DAA">
              <w:br/>
              <w:t>0</w:t>
            </w:r>
            <w:r w:rsidRPr="004D0DAA">
              <w:tab/>
              <w:t>No additional message type is present.</w:t>
            </w:r>
            <w:r w:rsidRPr="004D0DAA">
              <w:br/>
              <w:t>1</w:t>
            </w:r>
            <w:r w:rsidRPr="004D0DAA">
              <w:tab/>
              <w:t>Additional message type(s) are available, but this information does not fit into the message.</w:t>
            </w:r>
          </w:p>
        </w:tc>
      </w:tr>
      <w:tr w:rsidR="00711444" w:rsidRPr="004D0DAA" w14:paraId="5D28BCFF" w14:textId="77777777" w:rsidTr="00AA2A4C">
        <w:tblPrEx>
          <w:tblCellMar>
            <w:top w:w="0" w:type="dxa"/>
            <w:bottom w:w="0" w:type="dxa"/>
          </w:tblCellMar>
        </w:tblPrEx>
        <w:trPr>
          <w:cantSplit/>
        </w:trPr>
        <w:tc>
          <w:tcPr>
            <w:tcW w:w="9848" w:type="dxa"/>
          </w:tcPr>
          <w:p w14:paraId="79D6A5D4" w14:textId="77777777" w:rsidR="00711444" w:rsidRPr="004D0DAA" w:rsidRDefault="00711444" w:rsidP="00AA2A4C">
            <w:r w:rsidRPr="004D0DAA">
              <w:rPr>
                <w:b/>
                <w:bCs/>
              </w:rPr>
              <w:t>PS_REL_REQ</w:t>
            </w:r>
            <w:r w:rsidRPr="004D0DAA">
              <w:t xml:space="preserve"> (1 bit field)</w:t>
            </w:r>
            <w:r w:rsidRPr="004D0DAA">
              <w:br/>
              <w:t>This field indicates whether the mobile station requests the release of the RR connection and packet resources. This field may only be set to "1" in certain cases, see 3GPP TS 44.018. This field shall always be present in the message when the enhanced DTM CS release procedure is ongoing.</w:t>
            </w:r>
          </w:p>
          <w:p w14:paraId="3AA4BE63" w14:textId="77777777" w:rsidR="00711444" w:rsidRPr="004D0DAA" w:rsidRDefault="00711444" w:rsidP="00AA2A4C">
            <w:pPr>
              <w:rPr>
                <w:b/>
              </w:rPr>
            </w:pPr>
            <w:r w:rsidRPr="004D0DAA">
              <w:rPr>
                <w:bCs/>
              </w:rPr>
              <w:t>0</w:t>
            </w:r>
            <w:r w:rsidRPr="004D0DAA">
              <w:rPr>
                <w:bCs/>
              </w:rPr>
              <w:tab/>
              <w:t xml:space="preserve">The mobile station does not request the release of the RR connection and packet resources. </w:t>
            </w:r>
            <w:r w:rsidRPr="004D0DAA">
              <w:rPr>
                <w:bCs/>
              </w:rPr>
              <w:br/>
              <w:t>1</w:t>
            </w:r>
            <w:r w:rsidRPr="004D0DAA">
              <w:rPr>
                <w:bCs/>
              </w:rPr>
              <w:tab/>
              <w:t>The mobile station requests the release of the RR connection and packet resources.</w:t>
            </w:r>
          </w:p>
        </w:tc>
      </w:tr>
    </w:tbl>
    <w:p w14:paraId="7EE76517" w14:textId="77777777" w:rsidR="00711444" w:rsidRPr="004D0DAA" w:rsidRDefault="00711444" w:rsidP="00711444"/>
    <w:p w14:paraId="0E1E1720" w14:textId="77777777" w:rsidR="00711444" w:rsidRPr="004D0DAA" w:rsidRDefault="00711444" w:rsidP="00711444">
      <w:pPr>
        <w:pStyle w:val="Heading3"/>
      </w:pPr>
      <w:bookmarkStart w:id="683" w:name="_Toc516669859"/>
      <w:r w:rsidRPr="004D0DAA">
        <w:t>11.2.17a</w:t>
      </w:r>
      <w:r w:rsidRPr="004D0DAA">
        <w:tab/>
        <w:t>Packet Serving Cell Data</w:t>
      </w:r>
      <w:bookmarkEnd w:id="683"/>
    </w:p>
    <w:p w14:paraId="3369CC2A" w14:textId="77777777" w:rsidR="00711444" w:rsidRPr="004D0DAA" w:rsidRDefault="00711444" w:rsidP="00711444">
      <w:r w:rsidRPr="004D0DAA">
        <w:t xml:space="preserve">This optional message is sent by the network on the PACCH to provide system information broadcast on the BCCH (respectively PBCCH to a mobile station. For example, several instances of this message may be sent by the network in </w:t>
      </w:r>
      <w:r w:rsidRPr="004D0DAA">
        <w:lastRenderedPageBreak/>
        <w:t>a cell supporting PACKET SI STATUS (respectively PACKET PSI STATUS) following the request for acquisition of system information by a mobile station. This message shall not be segmented across more than one RLC/MAC control block. If not all information fits into one instance of the PACKET SERVING CELL DATA message, the message can be repeated.</w:t>
      </w:r>
    </w:p>
    <w:p w14:paraId="7CCA412B" w14:textId="77777777" w:rsidR="00711444" w:rsidRPr="004D0DAA" w:rsidRDefault="00711444" w:rsidP="00711444">
      <w:pPr>
        <w:pStyle w:val="EX"/>
      </w:pPr>
      <w:r w:rsidRPr="004D0DAA">
        <w:t>Message type:</w:t>
      </w:r>
      <w:r w:rsidRPr="004D0DAA">
        <w:tab/>
        <w:t>PACKET SERVING CELL DATA</w:t>
      </w:r>
    </w:p>
    <w:p w14:paraId="76330D9F" w14:textId="77777777" w:rsidR="00711444" w:rsidRPr="004D0DAA" w:rsidRDefault="00711444" w:rsidP="00711444">
      <w:pPr>
        <w:pStyle w:val="EX"/>
      </w:pPr>
      <w:r w:rsidRPr="004D0DAA">
        <w:t>Direction:</w:t>
      </w:r>
      <w:r w:rsidRPr="004D0DAA">
        <w:tab/>
        <w:t>network to mobile station</w:t>
      </w:r>
    </w:p>
    <w:p w14:paraId="1F9E8878" w14:textId="77777777" w:rsidR="00711444" w:rsidRPr="004D0DAA" w:rsidRDefault="00711444" w:rsidP="00711444">
      <w:pPr>
        <w:pStyle w:val="EX"/>
      </w:pPr>
      <w:r w:rsidRPr="004D0DAA">
        <w:t>Classification:</w:t>
      </w:r>
      <w:r w:rsidRPr="004D0DAA">
        <w:tab/>
        <w:t>non-distribution message</w:t>
      </w:r>
    </w:p>
    <w:p w14:paraId="1FE6393D" w14:textId="77777777" w:rsidR="00711444" w:rsidRPr="004D0DAA" w:rsidRDefault="00711444" w:rsidP="00711444">
      <w:pPr>
        <w:pStyle w:val="TH"/>
      </w:pPr>
      <w:r w:rsidRPr="004D0DAA">
        <w:t>Table 11.2.17a.1: Packet Serving Cell Data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2E28BC5" w14:textId="77777777" w:rsidTr="00AA2A4C">
        <w:tblPrEx>
          <w:tblCellMar>
            <w:top w:w="0" w:type="dxa"/>
            <w:bottom w:w="0" w:type="dxa"/>
          </w:tblCellMar>
        </w:tblPrEx>
        <w:trPr>
          <w:cantSplit/>
        </w:trPr>
        <w:tc>
          <w:tcPr>
            <w:tcW w:w="9848" w:type="dxa"/>
          </w:tcPr>
          <w:p w14:paraId="5E2EA43D" w14:textId="77777777" w:rsidR="00711444" w:rsidRPr="004D0DAA" w:rsidRDefault="00711444" w:rsidP="00AA2A4C">
            <w:pPr>
              <w:pStyle w:val="TAL"/>
              <w:rPr>
                <w:lang w:eastAsia="en-US"/>
              </w:rPr>
            </w:pPr>
            <w:r w:rsidRPr="004D0DAA">
              <w:rPr>
                <w:lang w:eastAsia="en-US"/>
              </w:rPr>
              <w:t>&lt; Packet Serving Cell Data message content &gt; ::=</w:t>
            </w:r>
          </w:p>
          <w:p w14:paraId="3E5F9226"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PAGE_MODE </w:t>
            </w:r>
            <w:r w:rsidRPr="004D0DAA">
              <w:rPr>
                <w:lang w:val="fr-FR" w:eastAsia="en-US"/>
              </w:rPr>
              <w:t>: bit (2) &gt;</w:t>
            </w:r>
          </w:p>
          <w:p w14:paraId="73769B69" w14:textId="77777777" w:rsidR="00711444" w:rsidRPr="004D0DAA" w:rsidRDefault="00711444" w:rsidP="00AA2A4C">
            <w:pPr>
              <w:pStyle w:val="TAL"/>
              <w:rPr>
                <w:lang w:val="fr-FR" w:eastAsia="en-US"/>
              </w:rPr>
            </w:pPr>
            <w:r w:rsidRPr="004D0DAA">
              <w:rPr>
                <w:lang w:val="fr-FR" w:eastAsia="en-US"/>
              </w:rPr>
              <w:tab/>
              <w:t>{ 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w:t>
            </w:r>
          </w:p>
          <w:p w14:paraId="283502A8"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w:t>
            </w:r>
            <w:r w:rsidRPr="004D0DAA">
              <w:rPr>
                <w:lang w:eastAsia="en-US"/>
              </w:rPr>
              <w:tab/>
              <w:t xml:space="preserve">&lt; </w:t>
            </w:r>
            <w:r w:rsidRPr="004D0DAA">
              <w:rPr>
                <w:b/>
                <w:lang w:eastAsia="en-US"/>
              </w:rPr>
              <w:t>spare</w:t>
            </w:r>
            <w:r w:rsidRPr="004D0DAA">
              <w:rPr>
                <w:lang w:eastAsia="en-US"/>
              </w:rPr>
              <w:t xml:space="preserve"> : bit (4) &gt;</w:t>
            </w:r>
          </w:p>
          <w:p w14:paraId="14B3B61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CONTAINER_INDEX</w:t>
            </w:r>
            <w:r w:rsidRPr="004D0DAA">
              <w:rPr>
                <w:lang w:eastAsia="en-US"/>
              </w:rPr>
              <w:t xml:space="preserve"> : bit (5) &gt;</w:t>
            </w:r>
          </w:p>
          <w:p w14:paraId="4D5D0F4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w:t>
            </w:r>
            <w:r w:rsidRPr="004D0DAA">
              <w:rPr>
                <w:lang w:eastAsia="en-US"/>
              </w:rPr>
              <w:t xml:space="preserve"> : &lt; Container repetition struct &gt; &gt;</w:t>
            </w:r>
          </w:p>
          <w:p w14:paraId="06210E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3D3E1AC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129558A0"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0675A4EE" w14:textId="77777777" w:rsidR="00711444" w:rsidRPr="004D0DAA" w:rsidRDefault="00711444" w:rsidP="00AA2A4C">
            <w:pPr>
              <w:pStyle w:val="TAL"/>
              <w:rPr>
                <w:lang w:eastAsia="en-US"/>
              </w:rPr>
            </w:pPr>
            <w:r w:rsidRPr="004D0DAA">
              <w:rPr>
                <w:lang w:eastAsia="en-US"/>
              </w:rPr>
              <w:tab/>
              <w:t>! &lt; Distribution part error : bit (*) = &lt; no string &gt; &gt; ;</w:t>
            </w:r>
          </w:p>
          <w:p w14:paraId="6A44F7C7" w14:textId="77777777" w:rsidR="00711444" w:rsidRPr="004D0DAA" w:rsidRDefault="00711444" w:rsidP="00AA2A4C">
            <w:pPr>
              <w:pStyle w:val="TAL"/>
              <w:rPr>
                <w:lang w:eastAsia="en-US"/>
              </w:rPr>
            </w:pPr>
          </w:p>
        </w:tc>
      </w:tr>
      <w:tr w:rsidR="00711444" w:rsidRPr="004D0DAA" w14:paraId="4B9F306A" w14:textId="77777777" w:rsidTr="00AA2A4C">
        <w:tblPrEx>
          <w:tblCellMar>
            <w:top w:w="0" w:type="dxa"/>
            <w:bottom w:w="0" w:type="dxa"/>
          </w:tblCellMar>
        </w:tblPrEx>
        <w:trPr>
          <w:cantSplit/>
        </w:trPr>
        <w:tc>
          <w:tcPr>
            <w:tcW w:w="9848" w:type="dxa"/>
          </w:tcPr>
          <w:p w14:paraId="7818F5C8" w14:textId="77777777" w:rsidR="00711444" w:rsidRPr="004D0DAA" w:rsidRDefault="00711444" w:rsidP="00AA2A4C">
            <w:pPr>
              <w:pStyle w:val="TAL"/>
              <w:rPr>
                <w:lang w:eastAsia="en-US"/>
              </w:rPr>
            </w:pPr>
            <w:r w:rsidRPr="004D0DAA">
              <w:rPr>
                <w:lang w:eastAsia="en-US"/>
              </w:rPr>
              <w:t>&lt; Container repetition struct &gt; ::=</w:t>
            </w:r>
          </w:p>
          <w:p w14:paraId="7099E52D" w14:textId="77777777" w:rsidR="00711444" w:rsidRPr="004D0DAA" w:rsidRDefault="00711444" w:rsidP="00AA2A4C">
            <w:pPr>
              <w:pStyle w:val="TAL"/>
              <w:rPr>
                <w:lang w:eastAsia="en-US"/>
              </w:rPr>
            </w:pPr>
            <w:r w:rsidRPr="004D0DAA">
              <w:rPr>
                <w:lang w:eastAsia="en-US"/>
              </w:rPr>
              <w:tab/>
              <w:t>{</w:t>
            </w:r>
          </w:p>
          <w:p w14:paraId="5AF9E25C"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PD</w:t>
            </w:r>
            <w:r w:rsidRPr="004D0DAA">
              <w:rPr>
                <w:lang w:eastAsia="en-US"/>
              </w:rPr>
              <w:t xml:space="preserve"> : bit (3) &gt;</w:t>
            </w:r>
          </w:p>
          <w:p w14:paraId="3F6DDCB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CD_LENGTH </w:t>
            </w:r>
            <w:r w:rsidRPr="004D0DAA">
              <w:rPr>
                <w:lang w:eastAsia="en-US"/>
              </w:rPr>
              <w:t>: { bit (5) exclude 00000 exclude 11111 } &gt;</w:t>
            </w:r>
          </w:p>
          <w:p w14:paraId="74B9CEB1"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CONTAINER_DATA</w:t>
            </w:r>
            <w:r w:rsidRPr="004D0DAA">
              <w:rPr>
                <w:lang w:eastAsia="en-US"/>
              </w:rPr>
              <w:t xml:space="preserve"> : octet (val(CD_LENGTH)) &gt;</w:t>
            </w:r>
            <w:r w:rsidRPr="004D0DAA">
              <w:rPr>
                <w:lang w:eastAsia="en-US"/>
              </w:rPr>
              <w:tab/>
              <w:t xml:space="preserve">-- </w:t>
            </w:r>
            <w:r w:rsidRPr="004D0DAA">
              <w:rPr>
                <w:i/>
                <w:lang w:eastAsia="en-US"/>
              </w:rPr>
              <w:t>Final container segment. Next container follows.</w:t>
            </w:r>
          </w:p>
          <w:p w14:paraId="173B5790" w14:textId="77777777" w:rsidR="00711444" w:rsidRPr="004D0DAA" w:rsidRDefault="00711444" w:rsidP="00AA2A4C">
            <w:pPr>
              <w:pStyle w:val="TAL"/>
              <w:rPr>
                <w:lang w:eastAsia="en-US"/>
              </w:rPr>
            </w:pPr>
          </w:p>
          <w:p w14:paraId="5A9ADB25"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PD</w:t>
            </w:r>
            <w:r w:rsidRPr="004D0DAA">
              <w:rPr>
                <w:lang w:eastAsia="en-US"/>
              </w:rPr>
              <w:t xml:space="preserve"> : bit (3) &gt;</w:t>
            </w:r>
          </w:p>
          <w:p w14:paraId="01D5FE4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CD_LENGTH</w:t>
            </w:r>
            <w:r w:rsidRPr="004D0DAA">
              <w:rPr>
                <w:rFonts w:ascii="Arial" w:hAnsi="Arial"/>
                <w:sz w:val="18"/>
              </w:rPr>
              <w:t xml:space="preserve"> : { bit (5) == 11111 } &gt;</w:t>
            </w:r>
          </w:p>
          <w:p w14:paraId="09878EA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CONTAINER_DATA</w:t>
            </w:r>
            <w:r w:rsidRPr="004D0DAA">
              <w:rPr>
                <w:lang w:eastAsia="en-US"/>
              </w:rPr>
              <w:t xml:space="preserve"> : octet ** &gt; } **</w:t>
            </w:r>
            <w:r w:rsidRPr="004D0DAA">
              <w:rPr>
                <w:lang w:eastAsia="en-US"/>
              </w:rPr>
              <w:tab/>
            </w:r>
            <w:r w:rsidRPr="004D0DAA">
              <w:rPr>
                <w:lang w:eastAsia="en-US"/>
              </w:rPr>
              <w:tab/>
            </w:r>
            <w:r w:rsidRPr="004D0DAA">
              <w:rPr>
                <w:lang w:eastAsia="en-US"/>
              </w:rPr>
              <w:tab/>
              <w:t xml:space="preserve">-- </w:t>
            </w:r>
            <w:r w:rsidRPr="004D0DAA">
              <w:rPr>
                <w:i/>
                <w:lang w:eastAsia="en-US"/>
              </w:rPr>
              <w:t>Container continued in next message.</w:t>
            </w:r>
          </w:p>
          <w:p w14:paraId="307784DE" w14:textId="77777777" w:rsidR="00711444" w:rsidRPr="004D0DAA" w:rsidRDefault="00711444" w:rsidP="00AA2A4C">
            <w:pPr>
              <w:pStyle w:val="TAL"/>
              <w:rPr>
                <w:lang w:eastAsia="en-US"/>
              </w:rPr>
            </w:pPr>
          </w:p>
          <w:p w14:paraId="743102F7"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&lt; spare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Repetition continues until:</w:t>
            </w:r>
          </w:p>
          <w:p w14:paraId="174BB5E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CD_LENGTH</w:t>
            </w:r>
            <w:r w:rsidRPr="004D0DAA">
              <w:rPr>
                <w:rFonts w:ascii="Arial" w:hAnsi="Arial"/>
                <w:sz w:val="18"/>
              </w:rPr>
              <w:t xml:space="preserve"> : { bit (5) == 00000 } &gt;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 val(CD_LENGTH) = 0 or</w:t>
            </w:r>
          </w:p>
          <w:p w14:paraId="4E8D496F" w14:textId="77777777" w:rsidR="00711444" w:rsidRPr="004D0DAA" w:rsidRDefault="00711444" w:rsidP="00AA2A4C">
            <w:pPr>
              <w:pStyle w:val="TAL"/>
              <w:rPr>
                <w:i/>
                <w:lang w:eastAsia="en-US"/>
              </w:rPr>
            </w:pPr>
            <w:r w:rsidRPr="004D0DAA">
              <w:rPr>
                <w:lang w:eastAsia="en-US"/>
              </w:rPr>
              <w:tab/>
              <w: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B) end of PSCD message.</w:t>
            </w:r>
          </w:p>
          <w:p w14:paraId="1D471938" w14:textId="77777777" w:rsidR="00711444" w:rsidRPr="004D0DAA" w:rsidRDefault="00711444" w:rsidP="00AA2A4C">
            <w:pPr>
              <w:pStyle w:val="TAL"/>
              <w:rPr>
                <w:lang w:eastAsia="en-US"/>
              </w:rPr>
            </w:pPr>
          </w:p>
        </w:tc>
      </w:tr>
    </w:tbl>
    <w:p w14:paraId="35113FC1" w14:textId="77777777" w:rsidR="00711444" w:rsidRPr="004D0DAA" w:rsidRDefault="00711444" w:rsidP="00711444"/>
    <w:p w14:paraId="71C7A281" w14:textId="77777777" w:rsidR="00711444" w:rsidRPr="004D0DAA" w:rsidRDefault="00711444" w:rsidP="00711444">
      <w:pPr>
        <w:pStyle w:val="TH"/>
      </w:pPr>
      <w:r w:rsidRPr="004D0DAA">
        <w:t>Table 11.2.17a.2: Packet Serving Cell Data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08B36EE" w14:textId="77777777" w:rsidTr="00AA2A4C">
        <w:tblPrEx>
          <w:tblCellMar>
            <w:top w:w="0" w:type="dxa"/>
            <w:bottom w:w="0" w:type="dxa"/>
          </w:tblCellMar>
        </w:tblPrEx>
        <w:trPr>
          <w:cantSplit/>
        </w:trPr>
        <w:tc>
          <w:tcPr>
            <w:tcW w:w="9848" w:type="dxa"/>
          </w:tcPr>
          <w:p w14:paraId="12B23570" w14:textId="77777777" w:rsidR="00711444" w:rsidRPr="004D0DAA" w:rsidRDefault="00711444" w:rsidP="00AA2A4C">
            <w:r w:rsidRPr="004D0DAA">
              <w:t>The Packet Serving Cell Data message consists of up to 32 instances and contains serving cell system information messages from the BCCH or from the PBCCH or from both. Each container repetition struct contains information from one or more SI/PSI message. One SI/PSI message can be distributed over more than one instance.</w:t>
            </w:r>
          </w:p>
          <w:p w14:paraId="59B8C5DB" w14:textId="77777777" w:rsidR="00711444" w:rsidRPr="004D0DAA" w:rsidRDefault="00711444" w:rsidP="00AA2A4C">
            <w:r w:rsidRPr="004D0DAA">
              <w:t>A container can only refer to the serving cell.</w:t>
            </w:r>
          </w:p>
        </w:tc>
      </w:tr>
      <w:tr w:rsidR="00711444" w:rsidRPr="004D0DAA" w14:paraId="5F643ACA" w14:textId="77777777" w:rsidTr="00AA2A4C">
        <w:tblPrEx>
          <w:tblCellMar>
            <w:top w:w="0" w:type="dxa"/>
            <w:bottom w:w="0" w:type="dxa"/>
          </w:tblCellMar>
        </w:tblPrEx>
        <w:trPr>
          <w:cantSplit/>
        </w:trPr>
        <w:tc>
          <w:tcPr>
            <w:tcW w:w="9848" w:type="dxa"/>
          </w:tcPr>
          <w:p w14:paraId="17C7102C"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4AC414F1" w14:textId="77777777" w:rsidR="00711444" w:rsidRPr="004D0DAA" w:rsidRDefault="00711444" w:rsidP="00AA2A4C">
            <w:r w:rsidRPr="004D0DAA">
              <w:rPr>
                <w:b/>
              </w:rPr>
              <w:t>Global TFI</w:t>
            </w:r>
            <w:r w:rsidRPr="004D0DAA">
              <w:br/>
              <w:t>This information element contains the TFI of the mobile station's downlink TBF or uplink TBF. This field is defined in sub-clause 12.10.</w:t>
            </w:r>
          </w:p>
        </w:tc>
      </w:tr>
      <w:tr w:rsidR="00711444" w:rsidRPr="004D0DAA" w14:paraId="0A9202EF" w14:textId="77777777" w:rsidTr="00AA2A4C">
        <w:tblPrEx>
          <w:tblCellMar>
            <w:top w:w="0" w:type="dxa"/>
            <w:bottom w:w="0" w:type="dxa"/>
          </w:tblCellMar>
        </w:tblPrEx>
        <w:trPr>
          <w:cantSplit/>
        </w:trPr>
        <w:tc>
          <w:tcPr>
            <w:tcW w:w="9848" w:type="dxa"/>
          </w:tcPr>
          <w:p w14:paraId="23303E09" w14:textId="77777777" w:rsidR="00711444" w:rsidRPr="004D0DAA" w:rsidRDefault="00711444" w:rsidP="00AA2A4C">
            <w:r w:rsidRPr="004D0DAA">
              <w:rPr>
                <w:b/>
              </w:rPr>
              <w:t>PD</w:t>
            </w:r>
            <w:r w:rsidRPr="004D0DAA">
              <w:t xml:space="preserve"> (3 bit field)</w:t>
            </w:r>
            <w:r w:rsidRPr="004D0DAA">
              <w:br/>
              <w:t xml:space="preserve">This field contains a protocol discriminator and indicates the origin of the contained message. </w:t>
            </w:r>
          </w:p>
          <w:p w14:paraId="0CC8B345" w14:textId="77777777" w:rsidR="00711444" w:rsidRPr="004D0DAA" w:rsidRDefault="00711444" w:rsidP="00AA2A4C">
            <w:pPr>
              <w:tabs>
                <w:tab w:val="left" w:pos="851"/>
              </w:tabs>
              <w:rPr>
                <w:b/>
              </w:rPr>
            </w:pPr>
            <w:r w:rsidRPr="004D0DAA">
              <w:t>Bit</w:t>
            </w:r>
            <w:r w:rsidRPr="004D0DAA">
              <w:br/>
              <w:t>2 1</w:t>
            </w:r>
            <w:r w:rsidRPr="004D0DAA">
              <w:br/>
              <w:t>0 0 0</w:t>
            </w:r>
            <w:r w:rsidRPr="004D0DAA">
              <w:tab/>
              <w:t>BCCH (LAPDm);</w:t>
            </w:r>
            <w:r w:rsidRPr="004D0DAA">
              <w:br/>
              <w:t>0 0 1</w:t>
            </w:r>
            <w:r w:rsidRPr="004D0DAA">
              <w:tab/>
              <w:t>PBCCH (RLC/MAC);</w:t>
            </w:r>
            <w:r w:rsidRPr="004D0DAA">
              <w:br/>
              <w:t>0 1 0</w:t>
            </w:r>
            <w:r w:rsidRPr="004D0DAA">
              <w:tab/>
              <w:t>Reserved; If received the contents of the container shall be discarded.</w:t>
            </w:r>
            <w:r w:rsidRPr="004D0DAA">
              <w:br/>
              <w:t>……</w:t>
            </w:r>
            <w:r w:rsidRPr="004D0DAA">
              <w:br/>
              <w:t>1 1 1</w:t>
            </w:r>
            <w:r w:rsidRPr="004D0DAA">
              <w:tab/>
              <w:t>Reserved; If received the contents of the container shall be discarded.</w:t>
            </w:r>
          </w:p>
        </w:tc>
      </w:tr>
      <w:tr w:rsidR="00711444" w:rsidRPr="004D0DAA" w14:paraId="22246349" w14:textId="77777777" w:rsidTr="00AA2A4C">
        <w:tblPrEx>
          <w:tblCellMar>
            <w:top w:w="0" w:type="dxa"/>
            <w:bottom w:w="0" w:type="dxa"/>
          </w:tblCellMar>
        </w:tblPrEx>
        <w:trPr>
          <w:cantSplit/>
        </w:trPr>
        <w:tc>
          <w:tcPr>
            <w:tcW w:w="9848" w:type="dxa"/>
          </w:tcPr>
          <w:p w14:paraId="1E874C64" w14:textId="77777777" w:rsidR="00711444" w:rsidRPr="004D0DAA" w:rsidRDefault="00711444" w:rsidP="00AA2A4C">
            <w:r w:rsidRPr="004D0DAA">
              <w:rPr>
                <w:b/>
              </w:rPr>
              <w:lastRenderedPageBreak/>
              <w:t>CD_LENGTH</w:t>
            </w:r>
            <w:r w:rsidRPr="004D0DAA">
              <w:t xml:space="preserve"> (5 bit field)</w:t>
            </w:r>
            <w:r w:rsidRPr="004D0DAA">
              <w:br/>
              <w:t xml:space="preserve">This field indicates the number of CONTAINER DATA octets that forms a specific SI/PSI message and is coded as shown below. </w:t>
            </w:r>
          </w:p>
          <w:p w14:paraId="478A4955" w14:textId="77777777" w:rsidR="00711444" w:rsidRPr="004D0DAA" w:rsidRDefault="00711444" w:rsidP="00AA2A4C">
            <w:pPr>
              <w:pStyle w:val="FP"/>
              <w:ind w:left="993" w:hanging="993"/>
            </w:pPr>
            <w:r w:rsidRPr="004D0DAA">
              <w:t>Bit</w:t>
            </w:r>
          </w:p>
          <w:p w14:paraId="1F2C13C7" w14:textId="77777777" w:rsidR="00711444" w:rsidRPr="004D0DAA" w:rsidRDefault="00711444" w:rsidP="00AA2A4C">
            <w:pPr>
              <w:pStyle w:val="FP"/>
              <w:ind w:left="993" w:hanging="993"/>
            </w:pPr>
            <w:r w:rsidRPr="004D0DAA">
              <w:t>5 4 3 2 1</w:t>
            </w:r>
          </w:p>
          <w:p w14:paraId="78FF8139" w14:textId="77777777" w:rsidR="00711444" w:rsidRPr="004D0DAA" w:rsidRDefault="00711444" w:rsidP="00AA2A4C">
            <w:pPr>
              <w:pStyle w:val="FP"/>
              <w:ind w:left="993" w:hanging="993"/>
            </w:pPr>
            <w:r w:rsidRPr="004D0DAA">
              <w:t>0 0 0 0 0</w:t>
            </w:r>
            <w:r w:rsidRPr="004D0DAA">
              <w:tab/>
              <w:t>No CONTAINER DATA follows; Spare padding is used to fill the rest of the message;</w:t>
            </w:r>
          </w:p>
          <w:p w14:paraId="7D0D4FEE" w14:textId="77777777" w:rsidR="00711444" w:rsidRPr="004D0DAA" w:rsidRDefault="00711444" w:rsidP="00AA2A4C">
            <w:pPr>
              <w:pStyle w:val="FP"/>
              <w:ind w:left="993" w:hanging="993"/>
            </w:pPr>
            <w:r w:rsidRPr="004D0DAA">
              <w:t>0 0 0 0 1</w:t>
            </w:r>
            <w:r w:rsidRPr="004D0DAA">
              <w:tab/>
              <w:t>CONTAINER DATA length = 1 octet;</w:t>
            </w:r>
          </w:p>
          <w:p w14:paraId="02C050C8" w14:textId="77777777" w:rsidR="00711444" w:rsidRPr="004D0DAA" w:rsidRDefault="00711444" w:rsidP="00AA2A4C">
            <w:pPr>
              <w:pStyle w:val="FP"/>
              <w:ind w:left="993" w:hanging="993"/>
            </w:pPr>
            <w:r w:rsidRPr="004D0DAA">
              <w:t>….</w:t>
            </w:r>
          </w:p>
          <w:p w14:paraId="26E7AAC0" w14:textId="77777777" w:rsidR="00711444" w:rsidRPr="004D0DAA" w:rsidRDefault="00711444" w:rsidP="00AA2A4C">
            <w:pPr>
              <w:pStyle w:val="FP"/>
              <w:ind w:left="993" w:hanging="993"/>
            </w:pPr>
            <w:r w:rsidRPr="004D0DAA">
              <w:t>1 0 0 1 0</w:t>
            </w:r>
            <w:r w:rsidRPr="004D0DAA">
              <w:tab/>
              <w:t>CONTAINER DATA length = 18 octets;</w:t>
            </w:r>
          </w:p>
          <w:p w14:paraId="208E5408" w14:textId="77777777" w:rsidR="00711444" w:rsidRPr="004D0DAA" w:rsidRDefault="00711444" w:rsidP="00AA2A4C">
            <w:pPr>
              <w:pStyle w:val="FP"/>
              <w:ind w:left="993" w:hanging="993"/>
            </w:pPr>
            <w:r w:rsidRPr="004D0DAA">
              <w:t>1 1 1 1 1</w:t>
            </w:r>
            <w:r w:rsidRPr="004D0DAA">
              <w:tab/>
              <w:t>The remaining portion of the Packet Serving Cell Data message is used by the associated CONTAINER DATA. The message continues in a subsequent instance of the Packet Serving Cell Data message, in the next CONTAINER DATA with the same Protocol Discriminator value as the current one.</w:t>
            </w:r>
          </w:p>
          <w:p w14:paraId="0F3A7DF1" w14:textId="77777777" w:rsidR="00711444" w:rsidRPr="004D0DAA" w:rsidRDefault="00711444" w:rsidP="00AA2A4C">
            <w:pPr>
              <w:pStyle w:val="FP"/>
              <w:ind w:left="993" w:hanging="993"/>
            </w:pPr>
            <w:r w:rsidRPr="004D0DAA">
              <w:t>All other values reserved. If a reserved value is received the contents of the container shall be discarded.</w:t>
            </w:r>
          </w:p>
          <w:p w14:paraId="51FE4185" w14:textId="77777777" w:rsidR="00711444" w:rsidRPr="004D0DAA" w:rsidRDefault="00711444" w:rsidP="00AA2A4C"/>
        </w:tc>
      </w:tr>
      <w:tr w:rsidR="00711444" w:rsidRPr="004D0DAA" w14:paraId="0A8D5240" w14:textId="77777777" w:rsidTr="00AA2A4C">
        <w:tblPrEx>
          <w:tblCellMar>
            <w:top w:w="0" w:type="dxa"/>
            <w:bottom w:w="0" w:type="dxa"/>
          </w:tblCellMar>
        </w:tblPrEx>
        <w:trPr>
          <w:cantSplit/>
        </w:trPr>
        <w:tc>
          <w:tcPr>
            <w:tcW w:w="9848" w:type="dxa"/>
          </w:tcPr>
          <w:p w14:paraId="6901A46F" w14:textId="77777777" w:rsidR="00711444" w:rsidRPr="004D0DAA" w:rsidRDefault="00711444" w:rsidP="00AA2A4C">
            <w:r w:rsidRPr="004D0DAA">
              <w:rPr>
                <w:b/>
              </w:rPr>
              <w:t>CONTAINER_DATA</w:t>
            </w:r>
            <w:r w:rsidRPr="004D0DAA">
              <w:t>(n*8 bits)</w:t>
            </w:r>
          </w:p>
          <w:p w14:paraId="7F0E2A03" w14:textId="77777777" w:rsidR="00711444" w:rsidRPr="004D0DAA" w:rsidRDefault="00711444" w:rsidP="00AA2A4C">
            <w:r w:rsidRPr="004D0DAA">
              <w:t>The concatenation of one or several CONTAINER_DATA octets forms the actual contents, specific to the SI/PSI messages.</w:t>
            </w:r>
          </w:p>
          <w:p w14:paraId="5D6EA050" w14:textId="77777777" w:rsidR="00711444" w:rsidRPr="004D0DAA" w:rsidRDefault="00711444" w:rsidP="00AA2A4C">
            <w:r w:rsidRPr="004D0DAA">
              <w:t xml:space="preserve">If the contained system information messages are copied from the BCCH the information contained in the Packet Serving Cell Data message shall exclude the following information elements from the beginning of the messages: L2 Pseudo Length; RR management Protocol Discriminator and Skip Indicator. </w:t>
            </w:r>
            <w:r w:rsidRPr="004D0DAA">
              <w:br/>
              <w:t>If the contained system information messages are copied from the PBCCH the information contained in the Packet Serving Cell Data message shall include the complete PSI message.</w:t>
            </w:r>
          </w:p>
          <w:p w14:paraId="7808F433" w14:textId="77777777" w:rsidR="00711444" w:rsidRPr="004D0DAA" w:rsidRDefault="00711444" w:rsidP="00AA2A4C">
            <w:r w:rsidRPr="004D0DAA">
              <w:t>Extra octets of padding bits at the end of the SI/PSI messages may be excluded.</w:t>
            </w:r>
          </w:p>
        </w:tc>
      </w:tr>
    </w:tbl>
    <w:p w14:paraId="6A990F54" w14:textId="77777777" w:rsidR="00711444" w:rsidRPr="004D0DAA" w:rsidRDefault="00711444" w:rsidP="00711444"/>
    <w:p w14:paraId="0CEDFE8F" w14:textId="77777777" w:rsidR="00711444" w:rsidRPr="004D0DAA" w:rsidRDefault="00711444" w:rsidP="00711444">
      <w:pPr>
        <w:pStyle w:val="Heading3"/>
      </w:pPr>
      <w:bookmarkStart w:id="684" w:name="_Toc516669860"/>
      <w:r w:rsidRPr="004D0DAA">
        <w:t>11.2.17b</w:t>
      </w:r>
      <w:r w:rsidRPr="004D0DAA">
        <w:tab/>
        <w:t>Packet SI Status</w:t>
      </w:r>
      <w:bookmarkEnd w:id="684"/>
    </w:p>
    <w:p w14:paraId="214B5CCA" w14:textId="77777777" w:rsidR="00711444" w:rsidRPr="004D0DAA" w:rsidRDefault="00711444" w:rsidP="00711444">
      <w:r w:rsidRPr="004D0DAA">
        <w:t>This message is sent on the PACCH from the mobile station to the network to indicate which SI messages the mobile station has received.</w:t>
      </w:r>
    </w:p>
    <w:p w14:paraId="633364A2" w14:textId="77777777" w:rsidR="00711444" w:rsidRPr="004D0DAA" w:rsidRDefault="00711444" w:rsidP="00711444">
      <w:pPr>
        <w:pStyle w:val="EX"/>
      </w:pPr>
      <w:r w:rsidRPr="004D0DAA">
        <w:t>Message type:</w:t>
      </w:r>
      <w:r w:rsidRPr="004D0DAA">
        <w:tab/>
        <w:t>PACKET SI STATUS</w:t>
      </w:r>
    </w:p>
    <w:p w14:paraId="45A87DFB" w14:textId="77777777" w:rsidR="00711444" w:rsidRPr="004D0DAA" w:rsidRDefault="00711444" w:rsidP="00711444">
      <w:pPr>
        <w:pStyle w:val="EX"/>
      </w:pPr>
      <w:r w:rsidRPr="004D0DAA">
        <w:t>Direction:</w:t>
      </w:r>
      <w:r w:rsidRPr="004D0DAA">
        <w:tab/>
        <w:t>mobile station to network</w:t>
      </w:r>
    </w:p>
    <w:p w14:paraId="6BF5EBEF" w14:textId="77777777" w:rsidR="00711444" w:rsidRPr="004D0DAA" w:rsidRDefault="00711444" w:rsidP="00711444">
      <w:pPr>
        <w:pStyle w:val="TH"/>
      </w:pPr>
      <w:r w:rsidRPr="004D0DAA">
        <w:lastRenderedPageBreak/>
        <w:t xml:space="preserve">Table 11.2.17b.1: </w:t>
      </w:r>
      <w:r w:rsidRPr="004D0DAA">
        <w:rPr>
          <w:caps/>
        </w:rPr>
        <w:t>Packet SI STATUS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9A8C242" w14:textId="77777777" w:rsidTr="00AA2A4C">
        <w:tblPrEx>
          <w:tblCellMar>
            <w:top w:w="0" w:type="dxa"/>
            <w:bottom w:w="0" w:type="dxa"/>
          </w:tblCellMar>
        </w:tblPrEx>
        <w:trPr>
          <w:cantSplit/>
        </w:trPr>
        <w:tc>
          <w:tcPr>
            <w:tcW w:w="9848" w:type="dxa"/>
          </w:tcPr>
          <w:p w14:paraId="5469234A" w14:textId="77777777" w:rsidR="00711444" w:rsidRPr="004D0DAA" w:rsidRDefault="00711444" w:rsidP="00AA2A4C">
            <w:pPr>
              <w:pStyle w:val="TAL"/>
              <w:rPr>
                <w:lang w:val="fr-FR" w:eastAsia="en-US"/>
              </w:rPr>
            </w:pPr>
            <w:r w:rsidRPr="004D0DAA">
              <w:rPr>
                <w:lang w:val="fr-FR" w:eastAsia="en-US"/>
              </w:rPr>
              <w:t>&lt; Packet SI Status message content &gt; ::=</w:t>
            </w:r>
          </w:p>
          <w:p w14:paraId="607BA446"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GLOBAL_TFI </w:t>
            </w:r>
            <w:r w:rsidRPr="004D0DAA">
              <w:rPr>
                <w:lang w:eastAsia="en-US"/>
              </w:rPr>
              <w:t>: &lt; Global TFI IE &gt; &gt;</w:t>
            </w:r>
          </w:p>
          <w:p w14:paraId="0259FBD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BCCH_CHANGE_MARK</w:t>
            </w:r>
            <w:r w:rsidRPr="004D0DAA">
              <w:rPr>
                <w:lang w:eastAsia="en-US"/>
              </w:rPr>
              <w:t xml:space="preserve"> : bit (3) &gt;</w:t>
            </w:r>
          </w:p>
          <w:p w14:paraId="511ECB2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 SI Message List</w:t>
            </w:r>
            <w:r w:rsidRPr="004D0DAA">
              <w:rPr>
                <w:lang w:eastAsia="en-US"/>
              </w:rPr>
              <w:t xml:space="preserve"> : &lt; SI Message List struct &gt; &gt;</w:t>
            </w:r>
          </w:p>
          <w:p w14:paraId="2564A0E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 Unknown SI Message List</w:t>
            </w:r>
            <w:r w:rsidRPr="004D0DAA">
              <w:rPr>
                <w:lang w:eastAsia="en-US"/>
              </w:rPr>
              <w:t xml:space="preserve"> : &lt; Unknown SI Message List struct &gt; &gt;</w:t>
            </w:r>
          </w:p>
          <w:p w14:paraId="207D0FC4" w14:textId="77777777" w:rsidR="00711444" w:rsidRPr="004D0DAA" w:rsidRDefault="00711444" w:rsidP="00AA2A4C">
            <w:pPr>
              <w:pStyle w:val="TAL"/>
              <w:rPr>
                <w:lang w:eastAsia="en-US"/>
              </w:rPr>
            </w:pPr>
          </w:p>
          <w:p w14:paraId="78D289DF" w14:textId="77777777" w:rsidR="00711444" w:rsidRPr="004D0DAA" w:rsidRDefault="00711444" w:rsidP="00AA2A4C">
            <w:pPr>
              <w:pStyle w:val="TAL"/>
              <w:rPr>
                <w:lang w:eastAsia="en-US"/>
              </w:rPr>
            </w:pPr>
            <w:r w:rsidRPr="004D0DAA">
              <w:rPr>
                <w:lang w:eastAsia="en-US"/>
              </w:rPr>
              <w:tab/>
              <w:t>{ null | 0</w:t>
            </w:r>
            <w:r w:rsidRPr="004D0DAA">
              <w:rPr>
                <w:b/>
                <w:lang w:eastAsia="en-US"/>
              </w:rPr>
              <w:t xml:space="preserve"> </w:t>
            </w:r>
            <w:r w:rsidRPr="004D0DAA">
              <w:rPr>
                <w:lang w:eastAsia="en-US"/>
              </w:rPr>
              <w:t>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40002EA4"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REL-6 :</w:t>
            </w:r>
          </w:p>
          <w:p w14:paraId="620A228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PSCSI_SUPPORT</w:t>
            </w:r>
            <w:r w:rsidRPr="004D0DAA">
              <w:rPr>
                <w:lang w:eastAsia="en-US"/>
              </w:rPr>
              <w:t xml:space="preserve"> : bit &gt;</w:t>
            </w:r>
          </w:p>
          <w:p w14:paraId="39DB131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 xml:space="preserve">PS_REL_REQ </w:t>
            </w:r>
            <w:r w:rsidRPr="004D0DAA">
              <w:rPr>
                <w:lang w:eastAsia="en-US"/>
              </w:rPr>
              <w:t>: bit &gt;</w:t>
            </w:r>
          </w:p>
          <w:p w14:paraId="24786433" w14:textId="77777777" w:rsidR="00711444" w:rsidRPr="004D0DAA" w:rsidRDefault="00711444" w:rsidP="00AA2A4C">
            <w:pPr>
              <w:pStyle w:val="TAL"/>
              <w:rPr>
                <w:lang w:eastAsia="en-US"/>
              </w:rPr>
            </w:pPr>
            <w:r w:rsidRPr="004D0DAA">
              <w:rPr>
                <w:lang w:eastAsia="en-US"/>
              </w:rPr>
              <w:tab/>
            </w:r>
            <w:r w:rsidRPr="004D0DAA">
              <w:rPr>
                <w:lang w:eastAsia="en-US"/>
              </w:rPr>
              <w:tab/>
              <w:t>&lt; padding bits &gt; } ;</w:t>
            </w:r>
          </w:p>
        </w:tc>
      </w:tr>
      <w:tr w:rsidR="00711444" w:rsidRPr="004D0DAA" w14:paraId="7992B6ED" w14:textId="77777777" w:rsidTr="00AA2A4C">
        <w:tblPrEx>
          <w:tblCellMar>
            <w:top w:w="0" w:type="dxa"/>
            <w:bottom w:w="0" w:type="dxa"/>
          </w:tblCellMar>
        </w:tblPrEx>
        <w:trPr>
          <w:cantSplit/>
        </w:trPr>
        <w:tc>
          <w:tcPr>
            <w:tcW w:w="9848" w:type="dxa"/>
          </w:tcPr>
          <w:p w14:paraId="1A312DA1" w14:textId="77777777" w:rsidR="00711444" w:rsidRPr="004D0DAA" w:rsidRDefault="00711444" w:rsidP="00AA2A4C">
            <w:pPr>
              <w:pStyle w:val="TAL"/>
              <w:rPr>
                <w:lang w:val="fr-FR" w:eastAsia="en-US"/>
              </w:rPr>
            </w:pPr>
            <w:r w:rsidRPr="004D0DAA">
              <w:rPr>
                <w:lang w:val="fr-FR" w:eastAsia="en-US"/>
              </w:rPr>
              <w:t>&lt; SI Message List struct &gt; ::=</w:t>
            </w:r>
          </w:p>
          <w:p w14:paraId="6BB0302F" w14:textId="77777777" w:rsidR="00711444" w:rsidRPr="004D0DAA" w:rsidRDefault="00711444" w:rsidP="00AA2A4C">
            <w:pPr>
              <w:pStyle w:val="TAL"/>
              <w:rPr>
                <w:lang w:val="fr-FR" w:eastAsia="en-US"/>
              </w:rPr>
            </w:pPr>
            <w:r w:rsidRPr="004D0DAA">
              <w:rPr>
                <w:lang w:val="fr-FR" w:eastAsia="en-US"/>
              </w:rPr>
              <w:tab/>
              <w:t>{ 1</w:t>
            </w:r>
            <w:r w:rsidRPr="004D0DAA">
              <w:rPr>
                <w:lang w:val="fr-FR" w:eastAsia="en-US"/>
              </w:rPr>
              <w:tab/>
              <w:t xml:space="preserve">&lt; </w:t>
            </w:r>
            <w:r w:rsidRPr="004D0DAA">
              <w:rPr>
                <w:b/>
                <w:lang w:val="fr-FR" w:eastAsia="en-US"/>
              </w:rPr>
              <w:t>SI_MESSAGE_TYPE</w:t>
            </w:r>
            <w:r w:rsidRPr="004D0DAA">
              <w:rPr>
                <w:lang w:val="fr-FR" w:eastAsia="en-US"/>
              </w:rPr>
              <w:t xml:space="preserve"> : bit (8) &gt;</w:t>
            </w:r>
          </w:p>
          <w:p w14:paraId="61356BD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w:t>
            </w:r>
            <w:r w:rsidRPr="004D0DAA">
              <w:rPr>
                <w:lang w:eastAsia="en-US"/>
              </w:rPr>
              <w:tab/>
              <w:t xml:space="preserve">&lt; </w:t>
            </w:r>
            <w:r w:rsidRPr="004D0DAA">
              <w:rPr>
                <w:b/>
                <w:lang w:eastAsia="en-US"/>
              </w:rPr>
              <w:t xml:space="preserve">MESS_REC </w:t>
            </w:r>
            <w:r w:rsidRPr="004D0DAA">
              <w:rPr>
                <w:lang w:eastAsia="en-US"/>
              </w:rPr>
              <w:t>: bit (2) == 00 &gt; &lt; null &gt;</w:t>
            </w:r>
            <w:r w:rsidRPr="004D0DAA">
              <w:rPr>
                <w:lang w:eastAsia="en-US"/>
              </w:rPr>
              <w:tab/>
              <w:t>-- Message type supported but not received</w:t>
            </w:r>
          </w:p>
          <w:p w14:paraId="5976FF2E"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 xml:space="preserve">MESS_REC </w:t>
            </w:r>
            <w:r w:rsidRPr="004D0DAA">
              <w:rPr>
                <w:lang w:eastAsia="en-US"/>
              </w:rPr>
              <w:t>: bit (2) == 01 &gt; &lt; null &gt;</w:t>
            </w:r>
            <w:r w:rsidRPr="004D0DAA">
              <w:rPr>
                <w:lang w:eastAsia="en-US"/>
              </w:rPr>
              <w:tab/>
              <w:t>-- Message type supported and received, single instance</w:t>
            </w:r>
          </w:p>
          <w:p w14:paraId="45286D04"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 xml:space="preserve">MESS_REC </w:t>
            </w:r>
            <w:r w:rsidRPr="004D0DAA">
              <w:rPr>
                <w:lang w:eastAsia="en-US"/>
              </w:rPr>
              <w:t>: bit (2) == 10 &gt;</w:t>
            </w:r>
            <w:r w:rsidRPr="004D0DAA">
              <w:rPr>
                <w:lang w:eastAsia="en-US"/>
              </w:rPr>
              <w:tab/>
            </w:r>
            <w:r w:rsidRPr="004D0DAA">
              <w:rPr>
                <w:lang w:eastAsia="en-US"/>
              </w:rPr>
              <w:tab/>
            </w:r>
            <w:r w:rsidRPr="004D0DAA">
              <w:rPr>
                <w:lang w:eastAsia="en-US"/>
              </w:rPr>
              <w:tab/>
              <w:t>-- Message type supported and partially received, multiple instances</w:t>
            </w:r>
          </w:p>
          <w:p w14:paraId="3AEAFC1C" w14:textId="77777777" w:rsidR="00711444" w:rsidRPr="004D0DAA" w:rsidRDefault="00711444" w:rsidP="00AA2A4C">
            <w:pPr>
              <w:keepNext/>
              <w:keepLines/>
              <w:spacing w:after="0"/>
              <w:rPr>
                <w:rFonts w:ascii="Arial" w:hAnsi="Arial" w:hint="eastAsia"/>
                <w:sz w:val="18"/>
                <w:lang w:eastAsia="zh-CN"/>
              </w:rPr>
            </w:pPr>
            <w:r w:rsidRPr="004D0DAA">
              <w:tab/>
            </w:r>
            <w:r w:rsidRPr="004D0DAA">
              <w:tab/>
            </w:r>
            <w:r w:rsidRPr="004D0DAA">
              <w:tab/>
            </w:r>
            <w:r w:rsidRPr="004D0DAA">
              <w:tab/>
              <w:t xml:space="preserve">&lt; </w:t>
            </w:r>
            <w:r w:rsidRPr="004D0DAA">
              <w:rPr>
                <w:b/>
              </w:rPr>
              <w:t>SIX_CHANGE_MARK</w:t>
            </w:r>
            <w:r w:rsidRPr="004D0DAA">
              <w:t> : bit (3) &gt;</w:t>
            </w:r>
          </w:p>
          <w:p w14:paraId="63D686DA" w14:textId="77777777" w:rsidR="00711444" w:rsidRPr="004D0DAA" w:rsidRDefault="00711444" w:rsidP="00AA2A4C">
            <w:pPr>
              <w:pStyle w:val="TAL"/>
              <w:rPr>
                <w:lang w:eastAsia="en-US"/>
              </w:rPr>
            </w:pPr>
            <w:r w:rsidRPr="004D0DAA">
              <w:rPr>
                <w:rFonts w:hint="eastAsia"/>
                <w:lang w:eastAsia="zh-CN"/>
              </w:rPr>
              <w:tab/>
            </w:r>
            <w:r w:rsidRPr="004D0DAA">
              <w:rPr>
                <w:lang w:eastAsia="zh-CN"/>
              </w:rPr>
              <w:tab/>
            </w:r>
            <w:r w:rsidRPr="004D0DAA">
              <w:rPr>
                <w:rFonts w:hint="eastAsia"/>
                <w:lang w:eastAsia="zh-CN"/>
              </w:rPr>
              <w:tab/>
            </w:r>
            <w:r w:rsidRPr="004D0DAA">
              <w:rPr>
                <w:lang w:eastAsia="zh-CN"/>
              </w:rPr>
              <w:tab/>
            </w:r>
            <w:r w:rsidRPr="004D0DAA">
              <w:rPr>
                <w:lang w:eastAsia="en-US"/>
              </w:rPr>
              <w:t xml:space="preserve">&lt; </w:t>
            </w:r>
            <w:r w:rsidRPr="004D0DAA">
              <w:rPr>
                <w:b/>
                <w:lang w:eastAsia="en-US"/>
              </w:rPr>
              <w:t>SIX_COUNT</w:t>
            </w:r>
            <w:r w:rsidRPr="004D0DAA">
              <w:rPr>
                <w:lang w:eastAsia="en-US"/>
              </w:rPr>
              <w:t> : bit (4) &gt;</w:t>
            </w:r>
          </w:p>
          <w:p w14:paraId="38003A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Instance bitmap </w:t>
            </w:r>
            <w:r w:rsidRPr="004D0DAA">
              <w:rPr>
                <w:lang w:eastAsia="en-US"/>
              </w:rPr>
              <w:t>: bit (val(SIX_COUNT) + 1) &gt;</w:t>
            </w:r>
          </w:p>
          <w:p w14:paraId="7BCC6544"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 xml:space="preserve">MESS_REC </w:t>
            </w:r>
            <w:r w:rsidRPr="004D0DAA">
              <w:rPr>
                <w:lang w:eastAsia="en-US"/>
              </w:rPr>
              <w:t>: bit (2) == 11 &gt;</w:t>
            </w:r>
            <w:r w:rsidRPr="004D0DAA">
              <w:rPr>
                <w:lang w:eastAsia="en-US"/>
              </w:rPr>
              <w:tab/>
            </w:r>
            <w:r w:rsidRPr="004D0DAA">
              <w:rPr>
                <w:lang w:eastAsia="en-US"/>
              </w:rPr>
              <w:tab/>
            </w:r>
            <w:r w:rsidRPr="004D0DAA">
              <w:rPr>
                <w:lang w:eastAsia="en-US"/>
              </w:rPr>
              <w:tab/>
              <w:t xml:space="preserve">-- Message type supported and completely received, multiple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instances</w:t>
            </w:r>
          </w:p>
          <w:p w14:paraId="6B55CD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SIX_CHANGE_MARK</w:t>
            </w:r>
            <w:r w:rsidRPr="004D0DAA">
              <w:rPr>
                <w:lang w:eastAsia="en-US"/>
              </w:rPr>
              <w:t> : bit (3) &gt; }</w:t>
            </w:r>
          </w:p>
          <w:p w14:paraId="55AEF6B9" w14:textId="77777777" w:rsidR="00711444" w:rsidRPr="004D0DAA" w:rsidRDefault="00711444" w:rsidP="00AA2A4C">
            <w:pPr>
              <w:pStyle w:val="TAL"/>
              <w:rPr>
                <w:lang w:eastAsia="en-US"/>
              </w:rPr>
            </w:pPr>
            <w:r w:rsidRPr="004D0DAA">
              <w:rPr>
                <w:lang w:eastAsia="en-US"/>
              </w:rPr>
              <w:tab/>
              <w:t>} ** 0</w:t>
            </w:r>
          </w:p>
          <w:p w14:paraId="343BEA2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ADDITIONAL_MSG_TYPE</w:t>
            </w:r>
            <w:r w:rsidRPr="004D0DAA">
              <w:rPr>
                <w:lang w:eastAsia="en-US"/>
              </w:rPr>
              <w:t> : bit &gt; ;</w:t>
            </w:r>
            <w:r w:rsidRPr="004D0DAA">
              <w:rPr>
                <w:lang w:eastAsia="en-US"/>
              </w:rPr>
              <w:tab/>
            </w:r>
          </w:p>
        </w:tc>
      </w:tr>
      <w:tr w:rsidR="00711444" w:rsidRPr="004D0DAA" w14:paraId="098D4B9E" w14:textId="77777777" w:rsidTr="00AA2A4C">
        <w:tblPrEx>
          <w:tblCellMar>
            <w:top w:w="0" w:type="dxa"/>
            <w:bottom w:w="0" w:type="dxa"/>
          </w:tblCellMar>
        </w:tblPrEx>
        <w:trPr>
          <w:cantSplit/>
        </w:trPr>
        <w:tc>
          <w:tcPr>
            <w:tcW w:w="9848" w:type="dxa"/>
          </w:tcPr>
          <w:p w14:paraId="0C809D5C" w14:textId="77777777" w:rsidR="00711444" w:rsidRPr="004D0DAA" w:rsidRDefault="00711444" w:rsidP="00AA2A4C">
            <w:pPr>
              <w:pStyle w:val="TAL"/>
              <w:rPr>
                <w:lang w:eastAsia="en-US"/>
              </w:rPr>
            </w:pPr>
            <w:r w:rsidRPr="004D0DAA">
              <w:rPr>
                <w:lang w:eastAsia="en-US"/>
              </w:rPr>
              <w:t>&lt; Unknown SI Message List struct &gt; ::=</w:t>
            </w:r>
          </w:p>
          <w:p w14:paraId="3D217E41"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 xml:space="preserve">SI_MESSAGE_TYPE </w:t>
            </w:r>
            <w:r w:rsidRPr="004D0DAA">
              <w:rPr>
                <w:lang w:eastAsia="en-US"/>
              </w:rPr>
              <w:t>: bit (8) &gt; } ** 0</w:t>
            </w:r>
          </w:p>
          <w:p w14:paraId="48F5676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ADDITIONAL_MSG_TYPE</w:t>
            </w:r>
            <w:r w:rsidRPr="004D0DAA">
              <w:rPr>
                <w:lang w:eastAsia="en-US"/>
              </w:rPr>
              <w:t> : bit &gt; ;</w:t>
            </w:r>
          </w:p>
        </w:tc>
      </w:tr>
    </w:tbl>
    <w:p w14:paraId="0C9A946A" w14:textId="77777777" w:rsidR="00711444" w:rsidRPr="004D0DAA" w:rsidRDefault="00711444" w:rsidP="00711444"/>
    <w:p w14:paraId="213C59D6" w14:textId="77777777" w:rsidR="00711444" w:rsidRPr="004D0DAA" w:rsidRDefault="00711444" w:rsidP="00711444">
      <w:pPr>
        <w:pStyle w:val="TH"/>
      </w:pPr>
      <w:r w:rsidRPr="004D0DAA">
        <w:t xml:space="preserve">Table 11.2.17b.2: </w:t>
      </w:r>
      <w:r w:rsidRPr="004D0DAA">
        <w:rPr>
          <w:caps/>
        </w:rPr>
        <w:t>Packet SI Status</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F1D6BF4" w14:textId="77777777" w:rsidTr="00AA2A4C">
        <w:tblPrEx>
          <w:tblCellMar>
            <w:top w:w="0" w:type="dxa"/>
            <w:bottom w:w="0" w:type="dxa"/>
          </w:tblCellMar>
        </w:tblPrEx>
        <w:trPr>
          <w:cantSplit/>
        </w:trPr>
        <w:tc>
          <w:tcPr>
            <w:tcW w:w="9848" w:type="dxa"/>
          </w:tcPr>
          <w:p w14:paraId="234F2A7B" w14:textId="77777777" w:rsidR="00711444" w:rsidRPr="004D0DAA" w:rsidRDefault="00711444" w:rsidP="00AA2A4C">
            <w:pPr>
              <w:rPr>
                <w:b/>
              </w:rPr>
            </w:pPr>
            <w:r w:rsidRPr="004D0DAA">
              <w:rPr>
                <w:b/>
              </w:rPr>
              <w:t>Global TFI</w:t>
            </w:r>
            <w:r w:rsidRPr="004D0DAA">
              <w:t xml:space="preserve"> (information element)</w:t>
            </w:r>
            <w:r w:rsidRPr="004D0DAA">
              <w:br/>
              <w:t>This information element contains the TFI of the mobile station's uplink or downlink TBF. The coding of this information element is defined in sub-clause 12.10.</w:t>
            </w:r>
          </w:p>
        </w:tc>
      </w:tr>
      <w:tr w:rsidR="00711444" w:rsidRPr="004D0DAA" w14:paraId="5B0C7AB1" w14:textId="77777777" w:rsidTr="00AA2A4C">
        <w:tblPrEx>
          <w:tblCellMar>
            <w:top w:w="0" w:type="dxa"/>
            <w:bottom w:w="0" w:type="dxa"/>
          </w:tblCellMar>
        </w:tblPrEx>
        <w:trPr>
          <w:cantSplit/>
        </w:trPr>
        <w:tc>
          <w:tcPr>
            <w:tcW w:w="9848" w:type="dxa"/>
          </w:tcPr>
          <w:p w14:paraId="16C33D1F" w14:textId="77777777" w:rsidR="00711444" w:rsidRPr="004D0DAA" w:rsidRDefault="00711444" w:rsidP="00AA2A4C">
            <w:pPr>
              <w:rPr>
                <w:b/>
              </w:rPr>
            </w:pPr>
            <w:r w:rsidRPr="004D0DAA">
              <w:rPr>
                <w:b/>
              </w:rPr>
              <w:t>BCCH_CHANGE_MARK</w:t>
            </w:r>
            <w:r w:rsidRPr="004D0DAA">
              <w:t xml:space="preserve"> (3 bit field)</w:t>
            </w:r>
            <w:r w:rsidRPr="004D0DAA">
              <w:br/>
              <w:t>This field is the binary representation of the last BCCH_CHANGE_MARK received in the SI13 message on BCCH or PACCH.</w:t>
            </w:r>
          </w:p>
        </w:tc>
      </w:tr>
      <w:tr w:rsidR="00711444" w:rsidRPr="004D0DAA" w14:paraId="7788F93A" w14:textId="77777777" w:rsidTr="00AA2A4C">
        <w:tblPrEx>
          <w:tblCellMar>
            <w:top w:w="0" w:type="dxa"/>
            <w:bottom w:w="0" w:type="dxa"/>
          </w:tblCellMar>
        </w:tblPrEx>
        <w:trPr>
          <w:cantSplit/>
        </w:trPr>
        <w:tc>
          <w:tcPr>
            <w:tcW w:w="9848" w:type="dxa"/>
          </w:tcPr>
          <w:p w14:paraId="08CBCD7E" w14:textId="77777777" w:rsidR="00711444" w:rsidRPr="004D0DAA" w:rsidRDefault="00711444" w:rsidP="00AA2A4C">
            <w:r w:rsidRPr="004D0DAA">
              <w:rPr>
                <w:b/>
              </w:rPr>
              <w:t>Received SI Message List</w:t>
            </w:r>
            <w:r w:rsidRPr="004D0DAA">
              <w:t xml:space="preserve"> (construction)</w:t>
            </w:r>
            <w:r w:rsidRPr="004D0DAA">
              <w:br/>
              <w:t>This construction contains a list of supported</w:t>
            </w:r>
            <w:r w:rsidRPr="004D0DAA">
              <w:rPr>
                <w:i/>
              </w:rPr>
              <w:t xml:space="preserve"> </w:t>
            </w:r>
            <w:r w:rsidRPr="004D0DAA">
              <w:t>SI messages (see sub-clause 5.5.1.4.3). The sender of this message may indicate as many messages in this list as can be fit into the message. Messages are listed by message type in descending order of priority. If there are more SI messages than can be indicated in this list, the presence of additional message type(s) shall be indicated at the end of the list.</w:t>
            </w:r>
          </w:p>
          <w:p w14:paraId="0D97118D" w14:textId="77777777" w:rsidR="00711444" w:rsidRPr="004D0DAA" w:rsidRDefault="00711444" w:rsidP="00AA2A4C">
            <w:pPr>
              <w:rPr>
                <w:b/>
              </w:rPr>
            </w:pPr>
            <w:r w:rsidRPr="004D0DAA">
              <w:t>If the sender of this message has received an SI message which is part of a consistent set of SI messages (see sub-clause 5.5.2.1.4), the Instance Bitmap may indicate which instances of this message type that have been received.</w:t>
            </w:r>
          </w:p>
        </w:tc>
      </w:tr>
      <w:tr w:rsidR="00711444" w:rsidRPr="004D0DAA" w14:paraId="6D204BD8" w14:textId="77777777" w:rsidTr="00AA2A4C">
        <w:tblPrEx>
          <w:tblCellMar>
            <w:top w:w="0" w:type="dxa"/>
            <w:bottom w:w="0" w:type="dxa"/>
          </w:tblCellMar>
        </w:tblPrEx>
        <w:trPr>
          <w:cantSplit/>
        </w:trPr>
        <w:tc>
          <w:tcPr>
            <w:tcW w:w="9848" w:type="dxa"/>
          </w:tcPr>
          <w:p w14:paraId="5CCE3050" w14:textId="77777777" w:rsidR="00711444" w:rsidRPr="004D0DAA" w:rsidRDefault="00711444" w:rsidP="00AA2A4C">
            <w:pPr>
              <w:rPr>
                <w:b/>
              </w:rPr>
            </w:pPr>
            <w:r w:rsidRPr="004D0DAA">
              <w:rPr>
                <w:b/>
              </w:rPr>
              <w:t>Received Unknown SI Message List</w:t>
            </w:r>
            <w:r w:rsidRPr="004D0DAA">
              <w:t xml:space="preserve"> (construction)</w:t>
            </w:r>
            <w:r w:rsidRPr="004D0DAA">
              <w:br/>
              <w:t>This construction contains a list of message types that are received on BCCH, which are either unknown or not recognised as</w:t>
            </w:r>
            <w:r w:rsidRPr="004D0DAA">
              <w:rPr>
                <w:i/>
              </w:rPr>
              <w:t xml:space="preserve"> </w:t>
            </w:r>
            <w:r w:rsidRPr="004D0DAA">
              <w:t>supported SI message types. The sender of this message may indicate as many messages in this list as can be fit into the message following the Received SI Message List. Messages are listed by message type in the inverse order of reception, starting with the most recently received message type. If there are more messages than can be indicated in this list, the presence of additional message type(s) shall be indicated at the end of the list.</w:t>
            </w:r>
          </w:p>
        </w:tc>
      </w:tr>
      <w:tr w:rsidR="00711444" w:rsidRPr="004D0DAA" w14:paraId="30051008" w14:textId="77777777" w:rsidTr="00AA2A4C">
        <w:tblPrEx>
          <w:tblCellMar>
            <w:top w:w="0" w:type="dxa"/>
            <w:bottom w:w="0" w:type="dxa"/>
          </w:tblCellMar>
        </w:tblPrEx>
        <w:trPr>
          <w:cantSplit/>
        </w:trPr>
        <w:tc>
          <w:tcPr>
            <w:tcW w:w="9848" w:type="dxa"/>
          </w:tcPr>
          <w:p w14:paraId="0B0A950F" w14:textId="77777777" w:rsidR="00711444" w:rsidRPr="004D0DAA" w:rsidRDefault="00711444" w:rsidP="00AA2A4C">
            <w:pPr>
              <w:rPr>
                <w:b/>
              </w:rPr>
            </w:pPr>
            <w:r w:rsidRPr="004D0DAA">
              <w:rPr>
                <w:b/>
              </w:rPr>
              <w:t>SI_MESSAGE_TYPE</w:t>
            </w:r>
            <w:r w:rsidRPr="004D0DAA">
              <w:t xml:space="preserve"> (8 bit field)</w:t>
            </w:r>
            <w:r w:rsidRPr="004D0DAA">
              <w:br/>
              <w:t>This field is the binary representation of the message type of the indicated SI message</w:t>
            </w:r>
            <w:r w:rsidRPr="004D0DAA">
              <w:rPr>
                <w:i/>
              </w:rPr>
              <w:t xml:space="preserve"> </w:t>
            </w:r>
            <w:r w:rsidRPr="004D0DAA">
              <w:t xml:space="preserve">(see 3GPP TS 24.007 and 3GPP TS 44.018). </w:t>
            </w:r>
          </w:p>
        </w:tc>
      </w:tr>
      <w:tr w:rsidR="00711444" w:rsidRPr="004D0DAA" w14:paraId="6DB73EAD" w14:textId="77777777" w:rsidTr="00AA2A4C">
        <w:tblPrEx>
          <w:tblCellMar>
            <w:top w:w="0" w:type="dxa"/>
            <w:bottom w:w="0" w:type="dxa"/>
          </w:tblCellMar>
        </w:tblPrEx>
        <w:trPr>
          <w:cantSplit/>
        </w:trPr>
        <w:tc>
          <w:tcPr>
            <w:tcW w:w="9848" w:type="dxa"/>
          </w:tcPr>
          <w:p w14:paraId="4D44C37E" w14:textId="77777777" w:rsidR="00711444" w:rsidRPr="004D0DAA" w:rsidRDefault="00711444" w:rsidP="00AA2A4C">
            <w:r w:rsidRPr="004D0DAA">
              <w:rPr>
                <w:b/>
              </w:rPr>
              <w:lastRenderedPageBreak/>
              <w:t>MESS_REC</w:t>
            </w:r>
            <w:r w:rsidRPr="004D0DAA">
              <w:t xml:space="preserve"> (2 bit field)</w:t>
            </w:r>
            <w:r w:rsidRPr="004D0DAA">
              <w:br/>
              <w:t>This field indicates for each message type that is supported by the mobile station whether one or more instances of the message have been received. The field is coded:</w:t>
            </w:r>
          </w:p>
          <w:p w14:paraId="620CA8A4" w14:textId="77777777" w:rsidR="00711444" w:rsidRPr="004D0DAA" w:rsidRDefault="00711444" w:rsidP="00AA2A4C">
            <w:pPr>
              <w:pStyle w:val="FP"/>
              <w:ind w:left="709" w:hanging="709"/>
            </w:pPr>
            <w:r w:rsidRPr="004D0DAA">
              <w:t>Bit</w:t>
            </w:r>
          </w:p>
          <w:p w14:paraId="1AAE7CB0" w14:textId="77777777" w:rsidR="00711444" w:rsidRPr="004D0DAA" w:rsidRDefault="00711444" w:rsidP="00AA2A4C">
            <w:pPr>
              <w:pStyle w:val="FP"/>
              <w:ind w:left="709" w:hanging="709"/>
            </w:pPr>
            <w:r w:rsidRPr="004D0DAA">
              <w:t>2 1</w:t>
            </w:r>
          </w:p>
          <w:p w14:paraId="32F22F00" w14:textId="77777777" w:rsidR="00711444" w:rsidRPr="004D0DAA" w:rsidRDefault="00711444" w:rsidP="00AA2A4C">
            <w:pPr>
              <w:pStyle w:val="FP"/>
              <w:ind w:left="709" w:hanging="709"/>
            </w:pPr>
            <w:r w:rsidRPr="004D0DAA">
              <w:t>0 0</w:t>
            </w:r>
            <w:r w:rsidRPr="004D0DAA">
              <w:tab/>
              <w:t>The message type is supported but not received;</w:t>
            </w:r>
          </w:p>
          <w:p w14:paraId="1001DC48" w14:textId="77777777" w:rsidR="00711444" w:rsidRPr="004D0DAA" w:rsidRDefault="00711444" w:rsidP="00AA2A4C">
            <w:pPr>
              <w:pStyle w:val="FP"/>
              <w:ind w:left="709" w:hanging="709"/>
            </w:pPr>
            <w:r w:rsidRPr="004D0DAA">
              <w:t>0 1</w:t>
            </w:r>
            <w:r w:rsidRPr="004D0DAA">
              <w:tab/>
              <w:t>The message type is supported and received; this type of SI message does not exist in multiple instances;</w:t>
            </w:r>
          </w:p>
          <w:p w14:paraId="326C825C" w14:textId="77777777" w:rsidR="00711444" w:rsidRPr="004D0DAA" w:rsidRDefault="00711444" w:rsidP="00AA2A4C">
            <w:pPr>
              <w:pStyle w:val="FP"/>
              <w:ind w:left="709" w:hanging="709"/>
            </w:pPr>
            <w:r w:rsidRPr="004D0DAA">
              <w:t>1 0</w:t>
            </w:r>
            <w:r w:rsidRPr="004D0DAA">
              <w:tab/>
              <w:t>The message type is supported and instances of the message with the indicated change mark are partially received;</w:t>
            </w:r>
          </w:p>
          <w:p w14:paraId="07D1D2DA" w14:textId="77777777" w:rsidR="00711444" w:rsidRPr="004D0DAA" w:rsidRDefault="00711444" w:rsidP="00AA2A4C">
            <w:pPr>
              <w:pStyle w:val="FP"/>
              <w:ind w:left="709" w:hanging="709"/>
            </w:pPr>
            <w:r w:rsidRPr="004D0DAA">
              <w:t>1 1</w:t>
            </w:r>
            <w:r w:rsidRPr="004D0DAA">
              <w:tab/>
              <w:t>The message type is supported and all instances of the message are received with the indicated change mark.</w:t>
            </w:r>
          </w:p>
          <w:p w14:paraId="179296FE" w14:textId="77777777" w:rsidR="00711444" w:rsidRPr="004D0DAA" w:rsidRDefault="00711444" w:rsidP="00AA2A4C">
            <w:pPr>
              <w:pStyle w:val="FP"/>
              <w:rPr>
                <w:b/>
              </w:rPr>
            </w:pPr>
          </w:p>
        </w:tc>
      </w:tr>
      <w:tr w:rsidR="00711444" w:rsidRPr="004D0DAA" w14:paraId="4A266337" w14:textId="77777777" w:rsidTr="00AA2A4C">
        <w:tblPrEx>
          <w:tblCellMar>
            <w:top w:w="0" w:type="dxa"/>
            <w:bottom w:w="0" w:type="dxa"/>
          </w:tblCellMar>
        </w:tblPrEx>
        <w:trPr>
          <w:cantSplit/>
        </w:trPr>
        <w:tc>
          <w:tcPr>
            <w:tcW w:w="9848" w:type="dxa"/>
          </w:tcPr>
          <w:p w14:paraId="29EC59BA" w14:textId="77777777" w:rsidR="00711444" w:rsidRPr="004D0DAA" w:rsidRDefault="00711444" w:rsidP="00AA2A4C">
            <w:r w:rsidRPr="004D0DAA">
              <w:rPr>
                <w:b/>
              </w:rPr>
              <w:t>SIX_CHANGE_MARK</w:t>
            </w:r>
            <w:r w:rsidRPr="004D0DAA">
              <w:t xml:space="preserve"> (3 bit field)</w:t>
            </w:r>
            <w:r w:rsidRPr="004D0DAA">
              <w:rPr>
                <w:i/>
              </w:rPr>
              <w:t xml:space="preserve"> </w:t>
            </w:r>
            <w:r w:rsidRPr="004D0DAA">
              <w:rPr>
                <w:i/>
              </w:rPr>
              <w:br/>
            </w:r>
            <w:r w:rsidRPr="004D0DAA">
              <w:t xml:space="preserve">This field is the binary representation of the SI change mark parameter received for a certain SI message type, except for the SI2ter, the SI2quater and the SI15 message types. For the SI2ter, SI2n,, SI18, SI19 and SI20 messages, the range is: 0 to 3. For the SI2quater and SI15 messages, the range is: 0 to 7. </w:t>
            </w:r>
          </w:p>
          <w:p w14:paraId="6B3AF72E" w14:textId="77777777" w:rsidR="00711444" w:rsidRPr="004D0DAA" w:rsidRDefault="00711444" w:rsidP="00AA2A4C">
            <w:r w:rsidRPr="004D0DAA">
              <w:t>For the SI2ter message type, the three bits are used according to the following principles:</w:t>
            </w:r>
          </w:p>
          <w:p w14:paraId="50298BE8" w14:textId="77777777" w:rsidR="00711444" w:rsidRPr="004D0DAA" w:rsidRDefault="00711444" w:rsidP="00AA2A4C">
            <w:pPr>
              <w:tabs>
                <w:tab w:val="left" w:pos="851"/>
              </w:tabs>
              <w:rPr>
                <w:lang w:val="fr-FR"/>
              </w:rPr>
            </w:pPr>
            <w:r w:rsidRPr="004D0DAA">
              <w:rPr>
                <w:lang w:val="fr-FR"/>
              </w:rPr>
              <w:t xml:space="preserve">SI2ter </w:t>
            </w:r>
            <w:r w:rsidRPr="004D0DAA">
              <w:rPr>
                <w:lang w:val="fr-FR"/>
              </w:rPr>
              <w:br/>
              <w:t>Bit</w:t>
            </w:r>
            <w:r w:rsidRPr="004D0DAA">
              <w:rPr>
                <w:lang w:val="fr-FR"/>
              </w:rPr>
              <w:br/>
              <w:t>3 2 1</w:t>
            </w:r>
            <w:r w:rsidRPr="004D0DAA">
              <w:rPr>
                <w:lang w:val="fr-FR"/>
              </w:rPr>
              <w:br/>
              <w:t>0 - X</w:t>
            </w:r>
            <w:r w:rsidRPr="004D0DAA">
              <w:rPr>
                <w:lang w:val="fr-FR"/>
              </w:rPr>
              <w:tab/>
              <w:t xml:space="preserve">Bit 1: SI2ter_3G_CHANGE_MARK </w:t>
            </w:r>
            <w:r w:rsidRPr="004D0DAA">
              <w:rPr>
                <w:lang w:val="fr-FR"/>
              </w:rPr>
              <w:br/>
              <w:t>0 X -</w:t>
            </w:r>
            <w:r w:rsidRPr="004D0DAA">
              <w:rPr>
                <w:lang w:val="fr-FR"/>
              </w:rPr>
              <w:tab/>
              <w:t xml:space="preserve">Bit 2: SI2ter_MP_CHANGE_MARK. </w:t>
            </w:r>
          </w:p>
          <w:p w14:paraId="64E92835" w14:textId="77777777" w:rsidR="00711444" w:rsidRPr="004D0DAA" w:rsidRDefault="00711444" w:rsidP="00AA2A4C">
            <w:r w:rsidRPr="004D0DAA">
              <w:t>For the SI2quater message type, the mobile station shall include the latest received values of the BA_IND, 3G_BA_IND and MP_CHANGE_MARK fields. The field is coded as follows:</w:t>
            </w:r>
          </w:p>
          <w:p w14:paraId="5FB86CCB" w14:textId="77777777" w:rsidR="00711444" w:rsidRPr="004D0DAA" w:rsidRDefault="00711444" w:rsidP="00AA2A4C">
            <w:pPr>
              <w:tabs>
                <w:tab w:val="left" w:pos="851"/>
              </w:tabs>
            </w:pPr>
            <w:r w:rsidRPr="004D0DAA">
              <w:t>Bit</w:t>
            </w:r>
            <w:r w:rsidRPr="004D0DAA">
              <w:br/>
              <w:t>3 2 1</w:t>
            </w:r>
            <w:r w:rsidRPr="004D0DAA">
              <w:br/>
              <w:t>- - X</w:t>
            </w:r>
            <w:r w:rsidRPr="004D0DAA">
              <w:tab/>
              <w:t>Bit 1: MP_CHANGE_MARK</w:t>
            </w:r>
            <w:r w:rsidRPr="004D0DAA">
              <w:br/>
              <w:t>- X -</w:t>
            </w:r>
            <w:r w:rsidRPr="004D0DAA">
              <w:tab/>
              <w:t>Bit 2: 3G_BA_IND</w:t>
            </w:r>
            <w:r w:rsidRPr="004D0DAA">
              <w:br/>
              <w:t>X - -</w:t>
            </w:r>
            <w:r w:rsidRPr="004D0DAA">
              <w:tab/>
              <w:t xml:space="preserve">Bit 3: BA_IND </w:t>
            </w:r>
          </w:p>
          <w:p w14:paraId="41328508" w14:textId="77777777" w:rsidR="00711444" w:rsidRPr="004D0DAA" w:rsidRDefault="00711444" w:rsidP="00AA2A4C">
            <w:pPr>
              <w:tabs>
                <w:tab w:val="left" w:pos="851"/>
              </w:tabs>
              <w:rPr>
                <w:b/>
              </w:rPr>
            </w:pPr>
            <w:r w:rsidRPr="004D0DAA">
              <w:t>For the SI15 message type, the mobile station shall include the three least significant bits of the DM_CHANGE_MARK parameter (i.e., DM_CHANGE_MARK modulo 8).</w:t>
            </w:r>
          </w:p>
        </w:tc>
      </w:tr>
      <w:tr w:rsidR="00711444" w:rsidRPr="004D0DAA" w14:paraId="1591B86D" w14:textId="77777777" w:rsidTr="00AA2A4C">
        <w:tblPrEx>
          <w:tblCellMar>
            <w:top w:w="0" w:type="dxa"/>
            <w:bottom w:w="0" w:type="dxa"/>
          </w:tblCellMar>
        </w:tblPrEx>
        <w:trPr>
          <w:cantSplit/>
        </w:trPr>
        <w:tc>
          <w:tcPr>
            <w:tcW w:w="9848" w:type="dxa"/>
          </w:tcPr>
          <w:p w14:paraId="3DB9109E" w14:textId="77777777" w:rsidR="00711444" w:rsidRPr="004D0DAA" w:rsidRDefault="00711444" w:rsidP="00AA2A4C">
            <w:r w:rsidRPr="004D0DAA">
              <w:rPr>
                <w:b/>
              </w:rPr>
              <w:t>SIX_COUNT</w:t>
            </w:r>
            <w:r w:rsidRPr="004D0DAA">
              <w:t xml:space="preserve"> (4 bit field)</w:t>
            </w:r>
            <w:r w:rsidRPr="004D0DAA">
              <w:br/>
              <w:t xml:space="preserve">This field is the binary representation of the SI </w:t>
            </w:r>
            <w:r w:rsidRPr="004D0DAA">
              <w:rPr>
                <w:i/>
              </w:rPr>
              <w:t>count</w:t>
            </w:r>
            <w:r w:rsidRPr="004D0DAA">
              <w:t xml:space="preserve"> parameter received for a certain SI message type. This field indicates the length of the corresponding </w:t>
            </w:r>
            <w:r w:rsidRPr="004D0DAA">
              <w:rPr>
                <w:i/>
              </w:rPr>
              <w:t>Instance bitmap</w:t>
            </w:r>
            <w:r w:rsidRPr="004D0DAA">
              <w:t xml:space="preserve"> field and shall be provided only if the corresponding </w:t>
            </w:r>
            <w:r w:rsidRPr="004D0DAA">
              <w:rPr>
                <w:i/>
              </w:rPr>
              <w:t>Instance bitmap</w:t>
            </w:r>
            <w:r w:rsidRPr="004D0DAA">
              <w:t xml:space="preserve"> field is provided in the message.</w:t>
            </w:r>
          </w:p>
          <w:p w14:paraId="7FBF5CDB" w14:textId="77777777" w:rsidR="00711444" w:rsidRPr="004D0DAA" w:rsidRDefault="00711444" w:rsidP="00AA2A4C">
            <w:r w:rsidRPr="004D0DAA">
              <w:t>For</w:t>
            </w:r>
            <w:r w:rsidRPr="004D0DAA">
              <w:rPr>
                <w:i/>
              </w:rPr>
              <w:t xml:space="preserve"> </w:t>
            </w:r>
            <w:r w:rsidRPr="004D0DAA">
              <w:t>SI18, SI19 and SI20 messages, this field shall be set to 7 if present.</w:t>
            </w:r>
          </w:p>
          <w:p w14:paraId="6B5A2721" w14:textId="77777777" w:rsidR="00711444" w:rsidRPr="004D0DAA" w:rsidRDefault="00711444" w:rsidP="00AA2A4C">
            <w:r w:rsidRPr="004D0DAA">
              <w:t>For the SI15 message the range is 0 to 3.</w:t>
            </w:r>
          </w:p>
          <w:p w14:paraId="7C9C1AA4" w14:textId="77777777" w:rsidR="00711444" w:rsidRPr="004D0DAA" w:rsidRDefault="00711444" w:rsidP="00AA2A4C">
            <w:r w:rsidRPr="004D0DAA">
              <w:t>For the SI2ter message the range is 0 to 7.</w:t>
            </w:r>
          </w:p>
          <w:p w14:paraId="0BB6F6F3" w14:textId="77777777" w:rsidR="00711444" w:rsidRPr="004D0DAA" w:rsidRDefault="00711444" w:rsidP="00AA2A4C">
            <w:r w:rsidRPr="004D0DAA">
              <w:t xml:space="preserve">For the SI2quater message the range is 0 to 15. </w:t>
            </w:r>
          </w:p>
          <w:p w14:paraId="052C7503" w14:textId="77777777" w:rsidR="00711444" w:rsidRPr="004D0DAA" w:rsidRDefault="00711444" w:rsidP="00AA2A4C">
            <w:pPr>
              <w:rPr>
                <w:b/>
              </w:rPr>
            </w:pPr>
            <w:r w:rsidRPr="004D0DAA">
              <w:t>For the SI2n message the range is 0 to 15.</w:t>
            </w:r>
          </w:p>
        </w:tc>
      </w:tr>
      <w:tr w:rsidR="00711444" w:rsidRPr="004D0DAA" w14:paraId="7CA6BD19" w14:textId="77777777" w:rsidTr="00AA2A4C">
        <w:tblPrEx>
          <w:tblCellMar>
            <w:top w:w="0" w:type="dxa"/>
            <w:bottom w:w="0" w:type="dxa"/>
          </w:tblCellMar>
        </w:tblPrEx>
        <w:trPr>
          <w:cantSplit/>
        </w:trPr>
        <w:tc>
          <w:tcPr>
            <w:tcW w:w="9848" w:type="dxa"/>
          </w:tcPr>
          <w:p w14:paraId="125CFA41" w14:textId="77777777" w:rsidR="00711444" w:rsidRPr="004D0DAA" w:rsidRDefault="00711444" w:rsidP="00AA2A4C">
            <w:r w:rsidRPr="004D0DAA">
              <w:rPr>
                <w:b/>
              </w:rPr>
              <w:t>Instance bitmap</w:t>
            </w:r>
            <w:r w:rsidRPr="004D0DAA">
              <w:t xml:space="preserve"> (1 - 16 bit field)</w:t>
            </w:r>
            <w:r w:rsidRPr="004D0DAA">
              <w:br/>
              <w:t>This field is a bitmap indicating which instances of a certain message type that are received within a consistent set of SI messages. This field shall be included when a sub-set of these messages has been received. This field shall not be included when the complete set of these messages has been received.</w:t>
            </w:r>
          </w:p>
          <w:p w14:paraId="13F93C20" w14:textId="77777777" w:rsidR="00711444" w:rsidRPr="004D0DAA" w:rsidRDefault="00711444" w:rsidP="00AA2A4C">
            <w:r w:rsidRPr="004D0DAA">
              <w:t xml:space="preserve">The most significant bit of this bitmap (bit N) refers to the message instance with the SIX </w:t>
            </w:r>
            <w:r w:rsidRPr="004D0DAA">
              <w:rPr>
                <w:i/>
              </w:rPr>
              <w:t>index</w:t>
            </w:r>
            <w:r w:rsidRPr="004D0DAA">
              <w:t xml:space="preserve"> parameter = N-1, where N is the number of instances of the particular message type (SIX </w:t>
            </w:r>
            <w:r w:rsidRPr="004D0DAA">
              <w:rPr>
                <w:i/>
              </w:rPr>
              <w:t>count</w:t>
            </w:r>
            <w:r w:rsidRPr="004D0DAA">
              <w:t xml:space="preserve"> + 1). The least significant bit of this bitmap (bit 1) refers to the message instance with the SI </w:t>
            </w:r>
            <w:r w:rsidRPr="004D0DAA">
              <w:rPr>
                <w:i/>
              </w:rPr>
              <w:t>index</w:t>
            </w:r>
            <w:r w:rsidRPr="004D0DAA">
              <w:t xml:space="preserve"> parameter = 0. Each bit position is coded:</w:t>
            </w:r>
          </w:p>
          <w:p w14:paraId="5B84470E" w14:textId="77777777" w:rsidR="00711444" w:rsidRPr="004D0DAA" w:rsidRDefault="00711444" w:rsidP="00AA2A4C">
            <w:pPr>
              <w:rPr>
                <w:b/>
              </w:rPr>
            </w:pPr>
            <w:r w:rsidRPr="004D0DAA">
              <w:t>0</w:t>
            </w:r>
            <w:r w:rsidRPr="004D0DAA">
              <w:tab/>
              <w:t>Message instance is not received;</w:t>
            </w:r>
            <w:r w:rsidRPr="004D0DAA">
              <w:br/>
              <w:t>1</w:t>
            </w:r>
            <w:r w:rsidRPr="004D0DAA">
              <w:tab/>
              <w:t>Message instance is received.</w:t>
            </w:r>
          </w:p>
        </w:tc>
      </w:tr>
      <w:tr w:rsidR="00711444" w:rsidRPr="004D0DAA" w14:paraId="66C4183B" w14:textId="77777777" w:rsidTr="00AA2A4C">
        <w:tblPrEx>
          <w:tblCellMar>
            <w:top w:w="0" w:type="dxa"/>
            <w:bottom w:w="0" w:type="dxa"/>
          </w:tblCellMar>
        </w:tblPrEx>
        <w:trPr>
          <w:cantSplit/>
        </w:trPr>
        <w:tc>
          <w:tcPr>
            <w:tcW w:w="9848" w:type="dxa"/>
          </w:tcPr>
          <w:p w14:paraId="23B16032" w14:textId="77777777" w:rsidR="00711444" w:rsidRPr="004D0DAA" w:rsidRDefault="00711444" w:rsidP="00AA2A4C">
            <w:r w:rsidRPr="004D0DAA">
              <w:rPr>
                <w:b/>
              </w:rPr>
              <w:lastRenderedPageBreak/>
              <w:t>ADDITIONAL_MSG_TYPE</w:t>
            </w:r>
            <w:r w:rsidRPr="004D0DAA">
              <w:t xml:space="preserve"> (1 bit field)</w:t>
            </w:r>
            <w:r w:rsidRPr="004D0DAA">
              <w:br/>
              <w:t>0</w:t>
            </w:r>
            <w:r w:rsidRPr="004D0DAA">
              <w:tab/>
              <w:t>No additional message type is present.</w:t>
            </w:r>
            <w:r w:rsidRPr="004D0DAA">
              <w:br/>
              <w:t>1</w:t>
            </w:r>
            <w:r w:rsidRPr="004D0DAA">
              <w:tab/>
              <w:t>Additional message type(s) are available, but this information does not fit in to the message.</w:t>
            </w:r>
          </w:p>
        </w:tc>
      </w:tr>
      <w:tr w:rsidR="00711444" w:rsidRPr="004D0DAA" w14:paraId="1749BA10" w14:textId="77777777" w:rsidTr="00AA2A4C">
        <w:tblPrEx>
          <w:tblCellMar>
            <w:top w:w="0" w:type="dxa"/>
            <w:bottom w:w="0" w:type="dxa"/>
          </w:tblCellMar>
        </w:tblPrEx>
        <w:trPr>
          <w:cantSplit/>
        </w:trPr>
        <w:tc>
          <w:tcPr>
            <w:tcW w:w="9848" w:type="dxa"/>
          </w:tcPr>
          <w:p w14:paraId="0BE286DF" w14:textId="77777777" w:rsidR="00711444" w:rsidRPr="004D0DAA" w:rsidRDefault="00711444" w:rsidP="00AA2A4C">
            <w:pPr>
              <w:rPr>
                <w:bCs/>
              </w:rPr>
            </w:pPr>
            <w:r w:rsidRPr="004D0DAA">
              <w:rPr>
                <w:b/>
              </w:rPr>
              <w:t>PSCSI_SUPPORT</w:t>
            </w:r>
            <w:r w:rsidRPr="004D0DAA">
              <w:rPr>
                <w:bCs/>
              </w:rPr>
              <w:t xml:space="preserve"> (1 bit field)</w:t>
            </w:r>
          </w:p>
          <w:p w14:paraId="0C5CE105" w14:textId="77777777" w:rsidR="00711444" w:rsidRPr="004D0DAA" w:rsidRDefault="00711444" w:rsidP="00AA2A4C">
            <w:pPr>
              <w:rPr>
                <w:bCs/>
              </w:rPr>
            </w:pPr>
            <w:r w:rsidRPr="004D0DAA">
              <w:rPr>
                <w:bCs/>
              </w:rPr>
              <w:t>0</w:t>
            </w:r>
            <w:r w:rsidRPr="004D0DAA">
              <w:rPr>
                <w:bCs/>
              </w:rPr>
              <w:tab/>
              <w:t>PACKET SERVING CELL SI message not supported</w:t>
            </w:r>
            <w:r w:rsidRPr="004D0DAA">
              <w:rPr>
                <w:bCs/>
              </w:rPr>
              <w:br/>
              <w:t>1</w:t>
            </w:r>
            <w:r w:rsidRPr="004D0DAA">
              <w:rPr>
                <w:bCs/>
              </w:rPr>
              <w:tab/>
              <w:t>PACKET SERVING CELL SI message supported</w:t>
            </w:r>
          </w:p>
          <w:p w14:paraId="623145A5" w14:textId="77777777" w:rsidR="00711444" w:rsidRPr="004D0DAA" w:rsidRDefault="00711444" w:rsidP="00AA2A4C">
            <w:pPr>
              <w:rPr>
                <w:bCs/>
              </w:rPr>
            </w:pPr>
            <w:r w:rsidRPr="004D0DAA">
              <w:rPr>
                <w:bCs/>
              </w:rPr>
              <w:t>The MS shall set the PSCSI_SUPPORT bit to "1" in this revision of the specification. This field shall always be present in the PACKET SI STATUS message. If not present, '0' shall be assumed by the receiver</w:t>
            </w:r>
          </w:p>
        </w:tc>
      </w:tr>
      <w:tr w:rsidR="00711444" w:rsidRPr="004D0DAA" w14:paraId="2CDAAD19" w14:textId="77777777" w:rsidTr="00AA2A4C">
        <w:tblPrEx>
          <w:tblCellMar>
            <w:top w:w="0" w:type="dxa"/>
            <w:bottom w:w="0" w:type="dxa"/>
          </w:tblCellMar>
        </w:tblPrEx>
        <w:trPr>
          <w:cantSplit/>
        </w:trPr>
        <w:tc>
          <w:tcPr>
            <w:tcW w:w="9848" w:type="dxa"/>
          </w:tcPr>
          <w:p w14:paraId="0273B99B" w14:textId="77777777" w:rsidR="00711444" w:rsidRPr="004D0DAA" w:rsidRDefault="00711444" w:rsidP="00AA2A4C">
            <w:r w:rsidRPr="004D0DAA">
              <w:rPr>
                <w:b/>
                <w:bCs/>
              </w:rPr>
              <w:t>PS_REL_REQ</w:t>
            </w:r>
            <w:r w:rsidRPr="004D0DAA">
              <w:t xml:space="preserve"> (1 bit field)</w:t>
            </w:r>
            <w:r w:rsidRPr="004D0DAA">
              <w:br/>
              <w:t>This field indicates whether the mobile station requests the release of the RR connection and packet resources. This field may only be set to "1" in certain cases, see 3GPP TS 44.018. This field shall always be present in the message when the enhanced DTM CS release procedure is ongoing.</w:t>
            </w:r>
          </w:p>
          <w:p w14:paraId="2CA40EDB" w14:textId="77777777" w:rsidR="00711444" w:rsidRPr="004D0DAA" w:rsidRDefault="00711444" w:rsidP="00AA2A4C">
            <w:pPr>
              <w:rPr>
                <w:b/>
              </w:rPr>
            </w:pPr>
            <w:r w:rsidRPr="004D0DAA">
              <w:rPr>
                <w:bCs/>
              </w:rPr>
              <w:t>0</w:t>
            </w:r>
            <w:r w:rsidRPr="004D0DAA">
              <w:rPr>
                <w:bCs/>
              </w:rPr>
              <w:tab/>
              <w:t xml:space="preserve">The mobile station does not request the release of the RR connection and packet resources. </w:t>
            </w:r>
            <w:r w:rsidRPr="004D0DAA">
              <w:rPr>
                <w:bCs/>
              </w:rPr>
              <w:br/>
              <w:t>1</w:t>
            </w:r>
            <w:r w:rsidRPr="004D0DAA">
              <w:rPr>
                <w:bCs/>
              </w:rPr>
              <w:tab/>
              <w:t>The mobile station requests the release of the RR connection and packet resources.</w:t>
            </w:r>
          </w:p>
        </w:tc>
      </w:tr>
    </w:tbl>
    <w:p w14:paraId="5C2F51C7" w14:textId="77777777" w:rsidR="00711444" w:rsidRPr="004D0DAA" w:rsidRDefault="00711444" w:rsidP="00711444"/>
    <w:p w14:paraId="1E6113E4" w14:textId="77777777" w:rsidR="00711444" w:rsidRPr="004D0DAA" w:rsidRDefault="00711444" w:rsidP="00711444">
      <w:pPr>
        <w:pStyle w:val="Heading3"/>
      </w:pPr>
      <w:bookmarkStart w:id="685" w:name="_Toc516669861"/>
      <w:r w:rsidRPr="004D0DAA">
        <w:t>11.2.17c</w:t>
      </w:r>
      <w:r w:rsidRPr="004D0DAA">
        <w:tab/>
        <w:t>Packet Serving Cell SI</w:t>
      </w:r>
      <w:bookmarkEnd w:id="685"/>
    </w:p>
    <w:p w14:paraId="0D44C814" w14:textId="77777777" w:rsidR="00711444" w:rsidRPr="004D0DAA" w:rsidRDefault="00711444" w:rsidP="00711444">
      <w:r w:rsidRPr="004D0DAA">
        <w:t xml:space="preserve">This optional message is sent by the network on the PACCH to provide a SYSTEM INFORMATION message broadcast on the BCCH. For example, several instances of this message may be sent by the network in a cell supporting PACKET SI STATUS following the request for acquisition of system information by a mobile station. This message shall not be segmented across more than one RLC/MAC control block. </w:t>
      </w:r>
    </w:p>
    <w:p w14:paraId="22BC6E3A" w14:textId="77777777" w:rsidR="00711444" w:rsidRPr="004D0DAA" w:rsidRDefault="00711444" w:rsidP="00711444">
      <w:pPr>
        <w:pStyle w:val="EX"/>
      </w:pPr>
      <w:r w:rsidRPr="004D0DAA">
        <w:t>Message type:</w:t>
      </w:r>
      <w:r w:rsidRPr="004D0DAA">
        <w:tab/>
        <w:t>PACKET SERVING CELL SI</w:t>
      </w:r>
    </w:p>
    <w:p w14:paraId="31DD5B12" w14:textId="77777777" w:rsidR="00711444" w:rsidRPr="004D0DAA" w:rsidRDefault="00711444" w:rsidP="00711444">
      <w:pPr>
        <w:pStyle w:val="EX"/>
      </w:pPr>
      <w:r w:rsidRPr="004D0DAA">
        <w:t>Direction:</w:t>
      </w:r>
      <w:r w:rsidRPr="004D0DAA">
        <w:tab/>
        <w:t>network to mobile station</w:t>
      </w:r>
    </w:p>
    <w:p w14:paraId="13FB9DA1" w14:textId="77777777" w:rsidR="00711444" w:rsidRPr="004D0DAA" w:rsidRDefault="00711444" w:rsidP="00711444">
      <w:pPr>
        <w:pStyle w:val="EX"/>
      </w:pPr>
      <w:r w:rsidRPr="004D0DAA">
        <w:t>Classification:</w:t>
      </w:r>
      <w:r w:rsidRPr="004D0DAA">
        <w:tab/>
        <w:t>distribution message</w:t>
      </w:r>
    </w:p>
    <w:p w14:paraId="36DAE608" w14:textId="77777777" w:rsidR="00711444" w:rsidRPr="004D0DAA" w:rsidRDefault="00711444" w:rsidP="00711444">
      <w:pPr>
        <w:pStyle w:val="TH"/>
      </w:pPr>
      <w:r w:rsidRPr="004D0DAA">
        <w:t>Table 11.2.17c.1: Packet Serving Cell SI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7DD1F0F" w14:textId="77777777" w:rsidTr="00AA2A4C">
        <w:tblPrEx>
          <w:tblCellMar>
            <w:top w:w="0" w:type="dxa"/>
            <w:bottom w:w="0" w:type="dxa"/>
          </w:tblCellMar>
        </w:tblPrEx>
        <w:trPr>
          <w:cantSplit/>
        </w:trPr>
        <w:tc>
          <w:tcPr>
            <w:tcW w:w="9848" w:type="dxa"/>
          </w:tcPr>
          <w:p w14:paraId="06B791C2" w14:textId="77777777" w:rsidR="00711444" w:rsidRPr="004D0DAA" w:rsidRDefault="00711444" w:rsidP="00AA2A4C">
            <w:pPr>
              <w:pStyle w:val="TAL"/>
              <w:rPr>
                <w:lang w:val="fr-FR" w:eastAsia="en-US"/>
              </w:rPr>
            </w:pPr>
            <w:r w:rsidRPr="004D0DAA">
              <w:rPr>
                <w:lang w:val="fr-FR" w:eastAsia="en-US"/>
              </w:rPr>
              <w:t>&lt; Packet Serving Cell SI message content &gt; ::=</w:t>
            </w:r>
          </w:p>
          <w:p w14:paraId="4B5F7294"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27BB6CF6"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CONTAINER_DATA</w:t>
            </w:r>
            <w:r w:rsidRPr="004D0DAA">
              <w:rPr>
                <w:lang w:eastAsia="en-US"/>
              </w:rPr>
              <w:t> : octet ** &gt;</w:t>
            </w:r>
          </w:p>
          <w:p w14:paraId="5C4FE0FF" w14:textId="77777777" w:rsidR="00711444" w:rsidRPr="004D0DAA" w:rsidRDefault="00711444" w:rsidP="00AA2A4C">
            <w:pPr>
              <w:pStyle w:val="TAL"/>
              <w:rPr>
                <w:lang w:eastAsia="en-US"/>
              </w:rPr>
            </w:pPr>
            <w:r w:rsidRPr="004D0DAA">
              <w:rPr>
                <w:lang w:eastAsia="en-US"/>
              </w:rPr>
              <w:tab/>
              <w:t>&lt; padding bits &gt;z</w:t>
            </w:r>
          </w:p>
          <w:p w14:paraId="7F778959"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68FD4283" w14:textId="77777777" w:rsidR="00711444" w:rsidRPr="004D0DAA" w:rsidRDefault="00711444" w:rsidP="00711444"/>
    <w:p w14:paraId="56ED810B" w14:textId="77777777" w:rsidR="00711444" w:rsidRPr="004D0DAA" w:rsidRDefault="00711444" w:rsidP="00711444">
      <w:pPr>
        <w:pStyle w:val="TH"/>
      </w:pPr>
      <w:r w:rsidRPr="004D0DAA">
        <w:t>Table 11.2.17c.2: Packet Serving Cell SI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DAC134B" w14:textId="77777777" w:rsidTr="00AA2A4C">
        <w:tblPrEx>
          <w:tblCellMar>
            <w:top w:w="0" w:type="dxa"/>
            <w:bottom w:w="0" w:type="dxa"/>
          </w:tblCellMar>
        </w:tblPrEx>
        <w:trPr>
          <w:cantSplit/>
        </w:trPr>
        <w:tc>
          <w:tcPr>
            <w:tcW w:w="9848" w:type="dxa"/>
          </w:tcPr>
          <w:p w14:paraId="707C5A96" w14:textId="77777777" w:rsidR="00711444" w:rsidRPr="004D0DAA" w:rsidRDefault="00711444" w:rsidP="00AA2A4C">
            <w:r w:rsidRPr="004D0DAA">
              <w:t>The Packet Serving Cell SI message contains a serving cell SYSTEM INFORMATION message from the BCCH.</w:t>
            </w:r>
          </w:p>
        </w:tc>
      </w:tr>
      <w:tr w:rsidR="00711444" w:rsidRPr="004D0DAA" w14:paraId="5A92D5C5" w14:textId="77777777" w:rsidTr="00AA2A4C">
        <w:tblPrEx>
          <w:tblCellMar>
            <w:top w:w="0" w:type="dxa"/>
            <w:bottom w:w="0" w:type="dxa"/>
          </w:tblCellMar>
        </w:tblPrEx>
        <w:trPr>
          <w:cantSplit/>
        </w:trPr>
        <w:tc>
          <w:tcPr>
            <w:tcW w:w="9848" w:type="dxa"/>
          </w:tcPr>
          <w:p w14:paraId="7D6D062D" w14:textId="77777777" w:rsidR="00711444" w:rsidRPr="004D0DAA" w:rsidRDefault="00711444" w:rsidP="00AA2A4C">
            <w:r w:rsidRPr="004D0DAA">
              <w:rPr>
                <w:b/>
              </w:rPr>
              <w:t>PAGE_MODE</w:t>
            </w:r>
            <w:r w:rsidRPr="004D0DAA">
              <w:t xml:space="preserve"> (2 bit field)</w:t>
            </w:r>
            <w:r w:rsidRPr="004D0DAA">
              <w:br/>
              <w:t>This field is defined in sub-clause 12.20.</w:t>
            </w:r>
          </w:p>
        </w:tc>
      </w:tr>
      <w:tr w:rsidR="00711444" w:rsidRPr="004D0DAA" w14:paraId="63E0B8D6" w14:textId="77777777" w:rsidTr="00AA2A4C">
        <w:tblPrEx>
          <w:tblCellMar>
            <w:top w:w="0" w:type="dxa"/>
            <w:bottom w:w="0" w:type="dxa"/>
          </w:tblCellMar>
        </w:tblPrEx>
        <w:trPr>
          <w:cantSplit/>
        </w:trPr>
        <w:tc>
          <w:tcPr>
            <w:tcW w:w="9848" w:type="dxa"/>
          </w:tcPr>
          <w:p w14:paraId="4E1FD649" w14:textId="77777777" w:rsidR="00711444" w:rsidRPr="004D0DAA" w:rsidRDefault="00711444" w:rsidP="00AA2A4C">
            <w:r w:rsidRPr="004D0DAA">
              <w:rPr>
                <w:b/>
              </w:rPr>
              <w:t>CONTAINER_DATA</w:t>
            </w:r>
            <w:r w:rsidRPr="004D0DAA">
              <w:t>(n*8 bits)</w:t>
            </w:r>
          </w:p>
          <w:p w14:paraId="366C81B1" w14:textId="77777777" w:rsidR="00711444" w:rsidRPr="004D0DAA" w:rsidRDefault="00711444" w:rsidP="00AA2A4C">
            <w:r w:rsidRPr="004D0DAA">
              <w:t xml:space="preserve">The CONTAINER_DATA octets forms the actual SI message content. The information contained in the Packet Serving Cell SI message shall exclude the following information elements from the beginning of the SI message: L2 Pseudo Length; RR management Protocol Discriminator and Skip Indicator. </w:t>
            </w:r>
          </w:p>
          <w:p w14:paraId="7BB82E9A" w14:textId="77777777" w:rsidR="00711444" w:rsidRPr="004D0DAA" w:rsidRDefault="00711444" w:rsidP="00AA2A4C">
            <w:r w:rsidRPr="004D0DAA">
              <w:t>Extra octets of padding bits at the end of the SI message may be excluded.</w:t>
            </w:r>
          </w:p>
        </w:tc>
      </w:tr>
    </w:tbl>
    <w:p w14:paraId="3F1FE35A" w14:textId="77777777" w:rsidR="00711444" w:rsidRPr="004D0DAA" w:rsidRDefault="00711444" w:rsidP="00711444"/>
    <w:p w14:paraId="4561C5F7" w14:textId="77777777" w:rsidR="00711444" w:rsidRPr="004D0DAA" w:rsidRDefault="00711444" w:rsidP="00711444">
      <w:pPr>
        <w:pStyle w:val="Heading3"/>
      </w:pPr>
      <w:bookmarkStart w:id="686" w:name="_Toc516669862"/>
      <w:r w:rsidRPr="004D0DAA">
        <w:lastRenderedPageBreak/>
        <w:t>11.2.18</w:t>
      </w:r>
      <w:r w:rsidRPr="004D0DAA">
        <w:tab/>
        <w:t>Packet System Information Type 1</w:t>
      </w:r>
      <w:bookmarkEnd w:id="686"/>
    </w:p>
    <w:p w14:paraId="52F47F81" w14:textId="77777777" w:rsidR="00711444" w:rsidRPr="004D0DAA" w:rsidRDefault="00711444" w:rsidP="00711444">
      <w:r w:rsidRPr="004D0DAA">
        <w:t>This message is sent by the network on the PBCCH or PACCH giving information for Cell selection, for control of the PRACH, for description of the control channel(s) and global power control parameters. This message shall not be segmented across more than one RLC/MAC control block by using the procedures specified in sub-clause 9.1.12a. Special requirements for the transmission of this message apply on the PBCCH, see 3GPP TS 45.002.</w:t>
      </w:r>
    </w:p>
    <w:p w14:paraId="08CC4B7D" w14:textId="77777777" w:rsidR="00711444" w:rsidRPr="004D0DAA" w:rsidRDefault="00711444" w:rsidP="00711444">
      <w:pPr>
        <w:pStyle w:val="EX"/>
      </w:pPr>
      <w:r w:rsidRPr="004D0DAA">
        <w:t>Message type:</w:t>
      </w:r>
      <w:r w:rsidRPr="004D0DAA">
        <w:tab/>
        <w:t>PACKET SYSTEM INFORMATION TYPE 1</w:t>
      </w:r>
    </w:p>
    <w:p w14:paraId="2078A2CC" w14:textId="77777777" w:rsidR="00711444" w:rsidRPr="004D0DAA" w:rsidRDefault="00711444" w:rsidP="00711444">
      <w:pPr>
        <w:pStyle w:val="EX"/>
      </w:pPr>
      <w:r w:rsidRPr="004D0DAA">
        <w:t>Direction:</w:t>
      </w:r>
      <w:r w:rsidRPr="004D0DAA">
        <w:tab/>
        <w:t>network to mobile station</w:t>
      </w:r>
    </w:p>
    <w:p w14:paraId="4F0A4247" w14:textId="77777777" w:rsidR="00711444" w:rsidRPr="004D0DAA" w:rsidRDefault="00711444" w:rsidP="00711444">
      <w:pPr>
        <w:pStyle w:val="EX"/>
      </w:pPr>
      <w:r w:rsidRPr="004D0DAA">
        <w:t>Classification:</w:t>
      </w:r>
      <w:r w:rsidRPr="004D0DAA">
        <w:tab/>
        <w:t>distribution message</w:t>
      </w:r>
    </w:p>
    <w:p w14:paraId="579D7349" w14:textId="77777777" w:rsidR="00711444" w:rsidRPr="004D0DAA" w:rsidRDefault="00711444" w:rsidP="00711444">
      <w:pPr>
        <w:pStyle w:val="TH"/>
      </w:pPr>
      <w:r w:rsidRPr="004D0DAA">
        <w:t>Table 11.2.18.1: PSI1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26CEFDA" w14:textId="77777777" w:rsidTr="00AA2A4C">
        <w:tblPrEx>
          <w:tblCellMar>
            <w:top w:w="0" w:type="dxa"/>
            <w:bottom w:w="0" w:type="dxa"/>
          </w:tblCellMar>
        </w:tblPrEx>
        <w:trPr>
          <w:cantSplit/>
        </w:trPr>
        <w:tc>
          <w:tcPr>
            <w:tcW w:w="9848" w:type="dxa"/>
          </w:tcPr>
          <w:p w14:paraId="4E5C9B06" w14:textId="77777777" w:rsidR="00711444" w:rsidRPr="004D0DAA" w:rsidRDefault="00711444" w:rsidP="00AA2A4C">
            <w:pPr>
              <w:pStyle w:val="TAL"/>
              <w:rPr>
                <w:lang w:val="fr-FR" w:eastAsia="en-US"/>
              </w:rPr>
            </w:pPr>
            <w:r w:rsidRPr="004D0DAA">
              <w:rPr>
                <w:lang w:val="fr-FR" w:eastAsia="en-US"/>
              </w:rPr>
              <w:t>&lt; PSI1 message content &gt; ::=</w:t>
            </w:r>
          </w:p>
          <w:p w14:paraId="51B41769"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04F2F602"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PBCCH_CHANGE_MARK</w:t>
            </w:r>
            <w:r w:rsidRPr="004D0DAA">
              <w:rPr>
                <w:lang w:eastAsia="en-US"/>
              </w:rPr>
              <w:t xml:space="preserve"> : bit (3) &gt;</w:t>
            </w:r>
          </w:p>
          <w:p w14:paraId="77D45C8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PSI_CHANGE_FIELD</w:t>
            </w:r>
            <w:r w:rsidRPr="004D0DAA">
              <w:rPr>
                <w:lang w:eastAsia="en-US"/>
              </w:rPr>
              <w:t xml:space="preserve"> : bit (4) &gt;</w:t>
            </w:r>
          </w:p>
          <w:p w14:paraId="28EF856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PSI1_REPEAT_PERIOD</w:t>
            </w:r>
            <w:r w:rsidRPr="004D0DAA">
              <w:rPr>
                <w:lang w:eastAsia="en-US"/>
              </w:rPr>
              <w:t xml:space="preserve"> : bit (4) &gt;</w:t>
            </w:r>
          </w:p>
          <w:p w14:paraId="07DDCE1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PSI_COUNT_LR</w:t>
            </w:r>
            <w:r w:rsidRPr="004D0DAA">
              <w:rPr>
                <w:lang w:eastAsia="en-US"/>
              </w:rPr>
              <w:t xml:space="preserve"> : bit (6) &gt;</w:t>
            </w:r>
          </w:p>
          <w:p w14:paraId="6338CE27"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PSI_COUNT_HR</w:t>
            </w:r>
            <w:r w:rsidRPr="004D0DAA">
              <w:rPr>
                <w:lang w:eastAsia="en-US"/>
              </w:rPr>
              <w:t xml:space="preserve"> : bit (4) &gt; }</w:t>
            </w:r>
          </w:p>
          <w:p w14:paraId="1549A10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MEASUREMENT_ORDER</w:t>
            </w:r>
            <w:r w:rsidRPr="004D0DAA">
              <w:rPr>
                <w:lang w:eastAsia="en-US"/>
              </w:rPr>
              <w:t>: bit (1) &gt;</w:t>
            </w:r>
          </w:p>
          <w:p w14:paraId="44B39B3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 Cell Options</w:t>
            </w:r>
            <w:r w:rsidRPr="004D0DAA">
              <w:rPr>
                <w:lang w:eastAsia="en-US"/>
              </w:rPr>
              <w:t xml:space="preserve"> : &lt; GPRS Cell Options IE &gt; &gt;</w:t>
            </w:r>
          </w:p>
          <w:p w14:paraId="3955F7E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PRACH Control Parameters </w:t>
            </w:r>
            <w:r w:rsidRPr="004D0DAA">
              <w:rPr>
                <w:lang w:eastAsia="en-US"/>
              </w:rPr>
              <w:t>: &lt; PRACH Control Parameters IE &gt; &gt;</w:t>
            </w:r>
          </w:p>
          <w:p w14:paraId="3215175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PCCCH Organization Parameters </w:t>
            </w:r>
            <w:r w:rsidRPr="004D0DAA">
              <w:rPr>
                <w:lang w:eastAsia="en-US"/>
              </w:rPr>
              <w:t>: &lt; PCCCH Organization Parameters IE &gt; &gt;</w:t>
            </w:r>
          </w:p>
          <w:p w14:paraId="6E2E239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Global Power Control Parameters </w:t>
            </w:r>
            <w:r w:rsidRPr="004D0DAA">
              <w:rPr>
                <w:lang w:eastAsia="en-US"/>
              </w:rPr>
              <w:t>: &lt; Global Power Control Parameters IE &gt; &gt;</w:t>
            </w:r>
          </w:p>
          <w:p w14:paraId="7B17A19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PSI_STATUS_IND</w:t>
            </w:r>
            <w:r w:rsidRPr="004D0DAA">
              <w:rPr>
                <w:lang w:eastAsia="en-US"/>
              </w:rPr>
              <w:t xml:space="preserve"> : bit &gt;</w:t>
            </w:r>
          </w:p>
          <w:p w14:paraId="549FA407" w14:textId="77777777" w:rsidR="00711444" w:rsidRPr="004D0DAA" w:rsidRDefault="00711444" w:rsidP="00AA2A4C">
            <w:pPr>
              <w:pStyle w:val="TAL"/>
              <w:rPr>
                <w:lang w:eastAsia="en-US"/>
              </w:rPr>
            </w:pPr>
            <w:r w:rsidRPr="004D0DAA">
              <w:rPr>
                <w:lang w:eastAsia="en-US"/>
              </w:rPr>
              <w:tab/>
              <w:t>{</w:t>
            </w:r>
            <w:r w:rsidRPr="004D0DAA">
              <w:rPr>
                <w:lang w:eastAsia="en-US"/>
              </w:rPr>
              <w:tab/>
              <w:t>null | 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release</w:t>
            </w:r>
          </w:p>
          <w:p w14:paraId="0B648FF7"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99 :</w:t>
            </w:r>
          </w:p>
          <w:p w14:paraId="2BF3AE0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MSCR</w:t>
            </w:r>
            <w:r w:rsidRPr="004D0DAA">
              <w:rPr>
                <w:lang w:eastAsia="en-US"/>
              </w:rPr>
              <w:t> : bit &gt;</w:t>
            </w:r>
          </w:p>
          <w:p w14:paraId="3E681E55"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SGSNR</w:t>
            </w:r>
            <w:r w:rsidRPr="004D0DAA">
              <w:rPr>
                <w:lang w:eastAsia="en-US"/>
              </w:rPr>
              <w:t> : bit &gt;</w:t>
            </w:r>
          </w:p>
          <w:p w14:paraId="3B6069E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BAND_INDICATOR</w:t>
            </w:r>
            <w:r w:rsidRPr="004D0DAA">
              <w:rPr>
                <w:lang w:eastAsia="en-US"/>
              </w:rPr>
              <w:t xml:space="preserve"> : bit &gt;</w:t>
            </w:r>
          </w:p>
          <w:p w14:paraId="7CCBF0F9"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w:t>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release</w:t>
            </w:r>
          </w:p>
          <w:p w14:paraId="36E87EC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Rel-6 :</w:t>
            </w:r>
          </w:p>
          <w:p w14:paraId="1054C874"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LB_MS_TXPWR_MAX_CCH</w:t>
            </w:r>
            <w:r w:rsidRPr="004D0DAA">
              <w:rPr>
                <w:lang w:eastAsia="en-US"/>
              </w:rPr>
              <w:t xml:space="preserve"> : bit (5) &gt; }</w:t>
            </w:r>
          </w:p>
          <w:p w14:paraId="1F9ABF0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padding bits &gt; } } </w:t>
            </w:r>
          </w:p>
          <w:p w14:paraId="0E9FC59E"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483A538A" w14:textId="77777777" w:rsidR="00711444" w:rsidRPr="004D0DAA" w:rsidRDefault="00711444" w:rsidP="00711444"/>
    <w:p w14:paraId="00A3AAB5" w14:textId="77777777" w:rsidR="00711444" w:rsidRPr="004D0DAA" w:rsidRDefault="00711444" w:rsidP="00711444">
      <w:pPr>
        <w:pStyle w:val="TH"/>
      </w:pPr>
      <w:r w:rsidRPr="004D0DAA">
        <w:t>Table 11.2.18.2: PSI1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9A02F9D" w14:textId="77777777" w:rsidTr="00AA2A4C">
        <w:tblPrEx>
          <w:tblCellMar>
            <w:top w:w="0" w:type="dxa"/>
            <w:bottom w:w="0" w:type="dxa"/>
          </w:tblCellMar>
        </w:tblPrEx>
        <w:trPr>
          <w:cantSplit/>
        </w:trPr>
        <w:tc>
          <w:tcPr>
            <w:tcW w:w="9848" w:type="dxa"/>
          </w:tcPr>
          <w:p w14:paraId="21D87F81" w14:textId="77777777" w:rsidR="00711444" w:rsidRPr="004D0DAA" w:rsidRDefault="00711444" w:rsidP="00AA2A4C">
            <w:pPr>
              <w:keepLines/>
              <w:rPr>
                <w:b/>
              </w:rPr>
            </w:pPr>
            <w:r w:rsidRPr="004D0DAA">
              <w:rPr>
                <w:b/>
              </w:rPr>
              <w:t>GPRS Cell Options</w:t>
            </w:r>
            <w:r w:rsidRPr="004D0DAA">
              <w:br/>
              <w:t>This information element is defined in sub-clause 12.24</w:t>
            </w:r>
          </w:p>
        </w:tc>
      </w:tr>
      <w:tr w:rsidR="00711444" w:rsidRPr="004D0DAA" w14:paraId="3CE59F19" w14:textId="77777777" w:rsidTr="00AA2A4C">
        <w:tblPrEx>
          <w:tblCellMar>
            <w:top w:w="0" w:type="dxa"/>
            <w:bottom w:w="0" w:type="dxa"/>
          </w:tblCellMar>
        </w:tblPrEx>
        <w:trPr>
          <w:cantSplit/>
        </w:trPr>
        <w:tc>
          <w:tcPr>
            <w:tcW w:w="9848" w:type="dxa"/>
          </w:tcPr>
          <w:p w14:paraId="614F5E68" w14:textId="77777777" w:rsidR="00711444" w:rsidRPr="004D0DAA" w:rsidRDefault="00711444" w:rsidP="00AA2A4C">
            <w:pPr>
              <w:keepLines/>
              <w:rPr>
                <w:b/>
              </w:rPr>
            </w:pPr>
            <w:r w:rsidRPr="004D0DAA">
              <w:rPr>
                <w:b/>
              </w:rPr>
              <w:t>Global Power Control Parameters</w:t>
            </w:r>
            <w:r w:rsidRPr="004D0DAA">
              <w:rPr>
                <w:b/>
              </w:rPr>
              <w:br/>
            </w:r>
            <w:r w:rsidRPr="004D0DAA">
              <w:t>This information element is defined in sub-clause 12.9.</w:t>
            </w:r>
          </w:p>
        </w:tc>
      </w:tr>
      <w:tr w:rsidR="00711444" w:rsidRPr="004D0DAA" w14:paraId="5FF84CF2" w14:textId="77777777" w:rsidTr="00AA2A4C">
        <w:tblPrEx>
          <w:tblCellMar>
            <w:top w:w="0" w:type="dxa"/>
            <w:bottom w:w="0" w:type="dxa"/>
          </w:tblCellMar>
        </w:tblPrEx>
        <w:trPr>
          <w:cantSplit/>
        </w:trPr>
        <w:tc>
          <w:tcPr>
            <w:tcW w:w="9848" w:type="dxa"/>
          </w:tcPr>
          <w:p w14:paraId="50156609" w14:textId="77777777" w:rsidR="00711444" w:rsidRPr="004D0DAA" w:rsidRDefault="00711444" w:rsidP="00AA2A4C">
            <w:pPr>
              <w:keepLines/>
              <w:rPr>
                <w:b/>
              </w:rPr>
            </w:pPr>
            <w:r w:rsidRPr="004D0DAA">
              <w:rPr>
                <w:b/>
              </w:rPr>
              <w:t xml:space="preserve">MEASUREMENT ORDER </w:t>
            </w:r>
            <w:r w:rsidRPr="004D0DAA">
              <w:t>(1 bit field)</w:t>
            </w:r>
            <w:r w:rsidRPr="004D0DAA">
              <w:br/>
              <w:t>The MEASUREMENT ORDER field indicates if set = 0 that the mobile station is in control of the cell re-selection in both packet idle mode and packet transfer mode and that the mobile station shall not send any measurement reports to the network (= NC0 in 3GPP TS 45.008). It also indicates that the Optional PSI5 message is not broadcast.</w:t>
            </w:r>
            <w:r w:rsidRPr="004D0DAA">
              <w:br/>
              <w:t>If set = 1 the mobile station shall send measurement reports for cell re-selection to the network. Further cell re-selection and measurement details are included in the PSI5 message.</w:t>
            </w:r>
          </w:p>
        </w:tc>
      </w:tr>
      <w:tr w:rsidR="00711444" w:rsidRPr="004D0DAA" w14:paraId="272AB296" w14:textId="77777777" w:rsidTr="00AA2A4C">
        <w:tblPrEx>
          <w:tblCellMar>
            <w:top w:w="0" w:type="dxa"/>
            <w:bottom w:w="0" w:type="dxa"/>
          </w:tblCellMar>
        </w:tblPrEx>
        <w:trPr>
          <w:cantSplit/>
        </w:trPr>
        <w:tc>
          <w:tcPr>
            <w:tcW w:w="9848" w:type="dxa"/>
          </w:tcPr>
          <w:p w14:paraId="53ACCC69" w14:textId="77777777" w:rsidR="00711444" w:rsidRPr="004D0DAA" w:rsidRDefault="00711444" w:rsidP="00AA2A4C">
            <w:pPr>
              <w:keepLines/>
              <w:rPr>
                <w:b/>
              </w:rPr>
            </w:pPr>
            <w:r w:rsidRPr="004D0DAA">
              <w:rPr>
                <w:b/>
              </w:rPr>
              <w:t>PAGE_MODE</w:t>
            </w:r>
            <w:r w:rsidRPr="004D0DAA">
              <w:t xml:space="preserve"> (2 bit field)</w:t>
            </w:r>
            <w:r w:rsidRPr="004D0DAA">
              <w:br/>
              <w:t>This field describes which type of page mode used, i.e. either normal paging, extended paging, paging reorganization or same as before from the previous page mode. The mobile station shall ignore this field if the message is received on the PACCH. Coding of this field is defined in 3GPP TS 44.018.</w:t>
            </w:r>
          </w:p>
        </w:tc>
      </w:tr>
      <w:tr w:rsidR="00711444" w:rsidRPr="004D0DAA" w14:paraId="44F8A6DC" w14:textId="77777777" w:rsidTr="00AA2A4C">
        <w:tblPrEx>
          <w:tblCellMar>
            <w:top w:w="0" w:type="dxa"/>
            <w:bottom w:w="0" w:type="dxa"/>
          </w:tblCellMar>
        </w:tblPrEx>
        <w:trPr>
          <w:cantSplit/>
        </w:trPr>
        <w:tc>
          <w:tcPr>
            <w:tcW w:w="9848" w:type="dxa"/>
          </w:tcPr>
          <w:p w14:paraId="2C11E130" w14:textId="77777777" w:rsidR="00711444" w:rsidRPr="004D0DAA" w:rsidRDefault="00711444" w:rsidP="00AA2A4C">
            <w:pPr>
              <w:keepLines/>
              <w:rPr>
                <w:b/>
              </w:rPr>
            </w:pPr>
            <w:r w:rsidRPr="004D0DAA">
              <w:rPr>
                <w:b/>
              </w:rPr>
              <w:t>PBCCH_CHANGE_MARK</w:t>
            </w:r>
            <w:r w:rsidRPr="004D0DAA">
              <w:t xml:space="preserve"> (3 bit field)</w:t>
            </w:r>
            <w:r w:rsidRPr="004D0DAA">
              <w:br/>
              <w:t>The PBCCH_CHANGE_MARK field is a 3 bit counter incremented with one each time information has been changed in one or more of the broadcast PSI2-PSIn messages on PBCCH (n&gt;2).</w:t>
            </w:r>
          </w:p>
        </w:tc>
      </w:tr>
      <w:tr w:rsidR="00711444" w:rsidRPr="004D0DAA" w14:paraId="29961AA5" w14:textId="77777777" w:rsidTr="00AA2A4C">
        <w:tblPrEx>
          <w:tblCellMar>
            <w:top w:w="0" w:type="dxa"/>
            <w:bottom w:w="0" w:type="dxa"/>
          </w:tblCellMar>
        </w:tblPrEx>
        <w:trPr>
          <w:cantSplit/>
        </w:trPr>
        <w:tc>
          <w:tcPr>
            <w:tcW w:w="9848" w:type="dxa"/>
          </w:tcPr>
          <w:p w14:paraId="12261726" w14:textId="77777777" w:rsidR="00711444" w:rsidRPr="004D0DAA" w:rsidRDefault="00711444" w:rsidP="00AA2A4C">
            <w:pPr>
              <w:keepLines/>
            </w:pPr>
            <w:r w:rsidRPr="004D0DAA">
              <w:rPr>
                <w:b/>
              </w:rPr>
              <w:lastRenderedPageBreak/>
              <w:t>PSI_CHANGE_FIELD</w:t>
            </w:r>
            <w:r w:rsidRPr="004D0DAA">
              <w:t xml:space="preserve"> (4 bit field)</w:t>
            </w:r>
            <w:r w:rsidRPr="004D0DAA">
              <w:br/>
              <w:t>The PSI_CHANGE_FIELD is a 4 bit value reflecting which PSI message or group of instantiated PSI message was most recent updated when the PBCCH_CHANGE_MARK was last incremented. If more than one PSI message or group of instantiated PSI message were changed at the same time, the PSI_CHANGE_FIELD indicates unspecified updates. Range 0 to 15.</w:t>
            </w:r>
          </w:p>
          <w:p w14:paraId="5A52BC62" w14:textId="77777777" w:rsidR="00711444" w:rsidRPr="004D0DAA" w:rsidRDefault="00711444" w:rsidP="00AA2A4C">
            <w:pPr>
              <w:tabs>
                <w:tab w:val="left" w:pos="851"/>
              </w:tabs>
              <w:spacing w:after="0"/>
            </w:pPr>
            <w:r w:rsidRPr="004D0DAA">
              <w:t>Bit</w:t>
            </w:r>
          </w:p>
          <w:p w14:paraId="3311E28E" w14:textId="77777777" w:rsidR="00711444" w:rsidRPr="004D0DAA" w:rsidRDefault="00711444" w:rsidP="00AA2A4C">
            <w:pPr>
              <w:tabs>
                <w:tab w:val="left" w:pos="851"/>
              </w:tabs>
              <w:spacing w:after="0"/>
            </w:pPr>
            <w:r w:rsidRPr="004D0DAA">
              <w:t>4 3 2 1</w:t>
            </w:r>
          </w:p>
          <w:p w14:paraId="502D2B17" w14:textId="77777777" w:rsidR="00711444" w:rsidRPr="004D0DAA" w:rsidRDefault="00711444" w:rsidP="00AA2A4C">
            <w:pPr>
              <w:tabs>
                <w:tab w:val="left" w:pos="851"/>
              </w:tabs>
              <w:spacing w:after="0"/>
            </w:pPr>
            <w:r w:rsidRPr="004D0DAA">
              <w:t>0 0 0 0</w:t>
            </w:r>
            <w:r w:rsidRPr="004D0DAA">
              <w:tab/>
              <w:t>Update of unspecified PSI message(s);</w:t>
            </w:r>
          </w:p>
          <w:p w14:paraId="6FDAF276" w14:textId="77777777" w:rsidR="00711444" w:rsidRPr="004D0DAA" w:rsidRDefault="00711444" w:rsidP="00AA2A4C">
            <w:pPr>
              <w:tabs>
                <w:tab w:val="left" w:pos="851"/>
              </w:tabs>
              <w:spacing w:after="0"/>
            </w:pPr>
            <w:r w:rsidRPr="004D0DAA">
              <w:t>0 0 0 1</w:t>
            </w:r>
            <w:r w:rsidRPr="004D0DAA">
              <w:tab/>
              <w:t>Unknown</w:t>
            </w:r>
          </w:p>
          <w:p w14:paraId="3D94824B" w14:textId="77777777" w:rsidR="00711444" w:rsidRPr="004D0DAA" w:rsidRDefault="00711444" w:rsidP="00AA2A4C">
            <w:pPr>
              <w:tabs>
                <w:tab w:val="left" w:pos="851"/>
              </w:tabs>
              <w:spacing w:after="0"/>
            </w:pPr>
            <w:r w:rsidRPr="004D0DAA">
              <w:t>0 0 1 0</w:t>
            </w:r>
            <w:r w:rsidRPr="004D0DAA">
              <w:tab/>
              <w:t>PSI2 updated</w:t>
            </w:r>
          </w:p>
          <w:p w14:paraId="0557409B" w14:textId="77777777" w:rsidR="00711444" w:rsidRPr="004D0DAA" w:rsidRDefault="00711444" w:rsidP="00AA2A4C">
            <w:pPr>
              <w:tabs>
                <w:tab w:val="left" w:pos="851"/>
              </w:tabs>
              <w:spacing w:after="0"/>
            </w:pPr>
            <w:r w:rsidRPr="004D0DAA">
              <w:t>0 0 1 1</w:t>
            </w:r>
            <w:r w:rsidRPr="004D0DAA">
              <w:tab/>
              <w:t>PSI3/PSI3bis/PSI3ter/PSI3quater updated</w:t>
            </w:r>
          </w:p>
          <w:p w14:paraId="7F56271D" w14:textId="77777777" w:rsidR="00711444" w:rsidRPr="004D0DAA" w:rsidRDefault="00711444" w:rsidP="00AA2A4C">
            <w:pPr>
              <w:tabs>
                <w:tab w:val="left" w:pos="851"/>
              </w:tabs>
              <w:spacing w:after="0"/>
              <w:rPr>
                <w:i/>
                <w:iCs/>
              </w:rPr>
            </w:pPr>
            <w:r w:rsidRPr="004D0DAA">
              <w:t>0 1 0 0</w:t>
            </w:r>
            <w:r w:rsidRPr="004D0DAA">
              <w:tab/>
              <w:t>Unknown</w:t>
            </w:r>
            <w:r w:rsidRPr="004D0DAA">
              <w:tab/>
            </w:r>
            <w:r w:rsidRPr="004D0DAA">
              <w:tab/>
            </w:r>
            <w:r w:rsidRPr="004D0DAA">
              <w:tab/>
            </w:r>
            <w:r w:rsidRPr="004D0DAA">
              <w:tab/>
              <w:t xml:space="preserve">-- </w:t>
            </w:r>
            <w:r w:rsidRPr="004D0DAA">
              <w:rPr>
                <w:i/>
                <w:iCs/>
              </w:rPr>
              <w:t>This value was allocated in an earlier version of the protocol and shall not be used</w:t>
            </w:r>
          </w:p>
          <w:p w14:paraId="27277534" w14:textId="77777777" w:rsidR="00711444" w:rsidRPr="004D0DAA" w:rsidRDefault="00711444" w:rsidP="00AA2A4C">
            <w:pPr>
              <w:tabs>
                <w:tab w:val="left" w:pos="851"/>
              </w:tabs>
              <w:spacing w:after="0"/>
            </w:pPr>
            <w:r w:rsidRPr="004D0DAA">
              <w:t>0 1 0 1</w:t>
            </w:r>
            <w:r w:rsidRPr="004D0DAA">
              <w:tab/>
              <w:t>PSI5 updated</w:t>
            </w:r>
          </w:p>
          <w:p w14:paraId="2FC8147F" w14:textId="77777777" w:rsidR="00711444" w:rsidRPr="004D0DAA" w:rsidRDefault="00711444" w:rsidP="00AA2A4C">
            <w:pPr>
              <w:tabs>
                <w:tab w:val="left" w:pos="851"/>
              </w:tabs>
              <w:spacing w:after="0"/>
            </w:pPr>
            <w:r w:rsidRPr="004D0DAA">
              <w:t>0 1 1 0</w:t>
            </w:r>
            <w:r w:rsidRPr="004D0DAA">
              <w:tab/>
              <w:t>PSI6 updated</w:t>
            </w:r>
          </w:p>
          <w:p w14:paraId="29C7265A" w14:textId="77777777" w:rsidR="00711444" w:rsidRPr="004D0DAA" w:rsidRDefault="00711444" w:rsidP="00AA2A4C">
            <w:pPr>
              <w:tabs>
                <w:tab w:val="left" w:pos="851"/>
              </w:tabs>
              <w:spacing w:after="0"/>
            </w:pPr>
            <w:r w:rsidRPr="004D0DAA">
              <w:t>0 1 1 1</w:t>
            </w:r>
            <w:r w:rsidRPr="004D0DAA">
              <w:tab/>
              <w:t>PSI7 updated</w:t>
            </w:r>
          </w:p>
          <w:p w14:paraId="581718D8" w14:textId="77777777" w:rsidR="00711444" w:rsidRPr="004D0DAA" w:rsidRDefault="00711444" w:rsidP="00AA2A4C">
            <w:pPr>
              <w:tabs>
                <w:tab w:val="left" w:pos="851"/>
              </w:tabs>
              <w:spacing w:after="0"/>
            </w:pPr>
            <w:r w:rsidRPr="004D0DAA">
              <w:t>1 0 0 0</w:t>
            </w:r>
            <w:r w:rsidRPr="004D0DAA">
              <w:tab/>
              <w:t>PSI8 updated</w:t>
            </w:r>
          </w:p>
          <w:p w14:paraId="0921019F" w14:textId="77777777" w:rsidR="00711444" w:rsidRPr="004D0DAA" w:rsidRDefault="00711444" w:rsidP="00AA2A4C">
            <w:pPr>
              <w:tabs>
                <w:tab w:val="left" w:pos="851"/>
              </w:tabs>
              <w:spacing w:after="0"/>
            </w:pPr>
            <w:r w:rsidRPr="004D0DAA">
              <w:t>All other values shall be interpreted as 'Update of unknown SI message type'.</w:t>
            </w:r>
          </w:p>
          <w:p w14:paraId="5247DA7F" w14:textId="77777777" w:rsidR="00711444" w:rsidRPr="004D0DAA" w:rsidRDefault="00711444" w:rsidP="00AA2A4C">
            <w:pPr>
              <w:tabs>
                <w:tab w:val="left" w:pos="851"/>
              </w:tabs>
              <w:spacing w:after="0"/>
              <w:rPr>
                <w:b/>
              </w:rPr>
            </w:pPr>
          </w:p>
        </w:tc>
      </w:tr>
      <w:tr w:rsidR="00711444" w:rsidRPr="004D0DAA" w14:paraId="3A4CD1AE" w14:textId="77777777" w:rsidTr="00AA2A4C">
        <w:tblPrEx>
          <w:tblCellMar>
            <w:top w:w="0" w:type="dxa"/>
            <w:bottom w:w="0" w:type="dxa"/>
          </w:tblCellMar>
        </w:tblPrEx>
        <w:trPr>
          <w:cantSplit/>
        </w:trPr>
        <w:tc>
          <w:tcPr>
            <w:tcW w:w="9848" w:type="dxa"/>
          </w:tcPr>
          <w:p w14:paraId="7E8903FB" w14:textId="77777777" w:rsidR="00711444" w:rsidRPr="004D0DAA" w:rsidRDefault="00711444" w:rsidP="00AA2A4C">
            <w:r w:rsidRPr="004D0DAA">
              <w:rPr>
                <w:b/>
                <w:bCs/>
              </w:rPr>
              <w:t>PSI1_REPEAT_PERIOD</w:t>
            </w:r>
            <w:r w:rsidRPr="004D0DAA">
              <w:t xml:space="preserve"> (4 bit field)</w:t>
            </w:r>
            <w:r w:rsidRPr="004D0DAA">
              <w:br/>
              <w:t>This field is the binary representation of the PSI1_REPEAT_PERIOD parameter value minus one, see 3GPP TS 45.002. The field is coded according to the following table:</w:t>
            </w:r>
          </w:p>
          <w:p w14:paraId="696A9E6E" w14:textId="77777777" w:rsidR="00711444" w:rsidRPr="004D0DAA" w:rsidRDefault="00711444" w:rsidP="00AA2A4C">
            <w:pPr>
              <w:keepLines/>
              <w:tabs>
                <w:tab w:val="left" w:pos="851"/>
              </w:tabs>
              <w:rPr>
                <w:b/>
              </w:rPr>
            </w:pPr>
            <w:r w:rsidRPr="004D0DAA">
              <w:t>Bit</w:t>
            </w:r>
            <w:r w:rsidRPr="004D0DAA">
              <w:br/>
              <w:t>4 3 2 1</w:t>
            </w:r>
            <w:r w:rsidRPr="004D0DAA">
              <w:br/>
              <w:t>0 0 0 0</w:t>
            </w:r>
            <w:r w:rsidRPr="004D0DAA">
              <w:tab/>
              <w:t>PSI1_REPEAT_PERIOD = 1</w:t>
            </w:r>
            <w:r w:rsidRPr="004D0DAA">
              <w:br/>
              <w:t>0 0 0 1</w:t>
            </w:r>
            <w:r w:rsidRPr="004D0DAA">
              <w:tab/>
              <w:t>PSI1_REPEAT_PERIOD = 2</w:t>
            </w:r>
            <w:r w:rsidRPr="004D0DAA">
              <w:br/>
              <w:t>. . .</w:t>
            </w:r>
            <w:r w:rsidRPr="004D0DAA">
              <w:br/>
              <w:t>1 1 1 1</w:t>
            </w:r>
            <w:r w:rsidRPr="004D0DAA">
              <w:tab/>
              <w:t>PSI1_REPEAT_PERIOD = 16</w:t>
            </w:r>
          </w:p>
        </w:tc>
      </w:tr>
      <w:tr w:rsidR="00711444" w:rsidRPr="004D0DAA" w14:paraId="156789D1" w14:textId="77777777" w:rsidTr="00AA2A4C">
        <w:tblPrEx>
          <w:tblCellMar>
            <w:top w:w="0" w:type="dxa"/>
            <w:bottom w:w="0" w:type="dxa"/>
          </w:tblCellMar>
        </w:tblPrEx>
        <w:trPr>
          <w:cantSplit/>
        </w:trPr>
        <w:tc>
          <w:tcPr>
            <w:tcW w:w="9848" w:type="dxa"/>
          </w:tcPr>
          <w:p w14:paraId="3014D362" w14:textId="77777777" w:rsidR="00711444" w:rsidRPr="004D0DAA" w:rsidRDefault="00711444" w:rsidP="00AA2A4C">
            <w:r w:rsidRPr="004D0DAA">
              <w:rPr>
                <w:b/>
                <w:bCs/>
              </w:rPr>
              <w:t>PSI_COUNT_LR</w:t>
            </w:r>
            <w:r w:rsidRPr="004D0DAA">
              <w:t xml:space="preserve"> (6 bit field)</w:t>
            </w:r>
            <w:r w:rsidRPr="004D0DAA">
              <w:br/>
              <w:t>This field is the binary representation of the PSI_COUNT_LR parameter, see 3GPP TS 45.002. The field is coded according to the following table:</w:t>
            </w:r>
          </w:p>
          <w:p w14:paraId="29FE21E8" w14:textId="77777777" w:rsidR="00711444" w:rsidRPr="004D0DAA" w:rsidRDefault="00711444" w:rsidP="00AA2A4C">
            <w:pPr>
              <w:keepLines/>
              <w:rPr>
                <w:b/>
              </w:rPr>
            </w:pPr>
            <w:r w:rsidRPr="004D0DAA">
              <w:t>Bit</w:t>
            </w:r>
            <w:r w:rsidRPr="004D0DAA">
              <w:br/>
              <w:t>6 5 4 3 2 1</w:t>
            </w:r>
            <w:r w:rsidRPr="004D0DAA">
              <w:br/>
              <w:t>0 0 0 0 0 0</w:t>
            </w:r>
            <w:r w:rsidRPr="004D0DAA">
              <w:tab/>
            </w:r>
            <w:r w:rsidRPr="004D0DAA">
              <w:tab/>
              <w:t>PSI_COUNT_LR = 0</w:t>
            </w:r>
            <w:r w:rsidRPr="004D0DAA">
              <w:br/>
              <w:t>0 0 0 0 0 1</w:t>
            </w:r>
            <w:r w:rsidRPr="004D0DAA">
              <w:tab/>
            </w:r>
            <w:r w:rsidRPr="004D0DAA">
              <w:tab/>
              <w:t>PSI_COUNT_LR = 1</w:t>
            </w:r>
            <w:r w:rsidRPr="004D0DAA">
              <w:br/>
              <w:t>. . .</w:t>
            </w:r>
            <w:r w:rsidRPr="004D0DAA">
              <w:br/>
              <w:t>1 1 1 1 1 1</w:t>
            </w:r>
            <w:r w:rsidRPr="004D0DAA">
              <w:tab/>
            </w:r>
            <w:r w:rsidRPr="004D0DAA">
              <w:tab/>
              <w:t>PSI_COUNT_LR = 63</w:t>
            </w:r>
          </w:p>
        </w:tc>
      </w:tr>
      <w:tr w:rsidR="00711444" w:rsidRPr="004D0DAA" w14:paraId="07141C5F" w14:textId="77777777" w:rsidTr="00AA2A4C">
        <w:tblPrEx>
          <w:tblCellMar>
            <w:top w:w="0" w:type="dxa"/>
            <w:bottom w:w="0" w:type="dxa"/>
          </w:tblCellMar>
        </w:tblPrEx>
        <w:trPr>
          <w:cantSplit/>
        </w:trPr>
        <w:tc>
          <w:tcPr>
            <w:tcW w:w="9848" w:type="dxa"/>
          </w:tcPr>
          <w:p w14:paraId="401EC3CF" w14:textId="77777777" w:rsidR="00711444" w:rsidRPr="004D0DAA" w:rsidRDefault="00711444" w:rsidP="00AA2A4C">
            <w:r w:rsidRPr="004D0DAA">
              <w:rPr>
                <w:b/>
                <w:bCs/>
              </w:rPr>
              <w:t>PSI_COUNT_HR</w:t>
            </w:r>
            <w:r w:rsidRPr="004D0DAA">
              <w:t xml:space="preserve"> (4 bit field)</w:t>
            </w:r>
            <w:r w:rsidRPr="004D0DAA">
              <w:br/>
              <w:t>This field is the binary representation of the PSI_COUNT_HR parameter value minus one, see 3GPP TS 45.002. If PSI_COUNT_HR is not included in PSI1 message, the default value PSI_COUNT_HR = 0 applies. The field is coded according to the following table:</w:t>
            </w:r>
          </w:p>
          <w:p w14:paraId="774AAE78" w14:textId="77777777" w:rsidR="00711444" w:rsidRPr="004D0DAA" w:rsidRDefault="00711444" w:rsidP="00AA2A4C">
            <w:pPr>
              <w:keepLines/>
              <w:tabs>
                <w:tab w:val="left" w:pos="851"/>
              </w:tabs>
              <w:rPr>
                <w:b/>
              </w:rPr>
            </w:pPr>
            <w:r w:rsidRPr="004D0DAA">
              <w:t>Bit</w:t>
            </w:r>
            <w:r w:rsidRPr="004D0DAA">
              <w:br/>
              <w:t>4 3 2 1</w:t>
            </w:r>
            <w:r w:rsidRPr="004D0DAA">
              <w:br/>
              <w:t>0 0 0 0</w:t>
            </w:r>
            <w:r w:rsidRPr="004D0DAA">
              <w:tab/>
              <w:t>PSI_COUNT_HR = 1</w:t>
            </w:r>
            <w:r w:rsidRPr="004D0DAA">
              <w:br/>
              <w:t>0 0 0 1</w:t>
            </w:r>
            <w:r w:rsidRPr="004D0DAA">
              <w:tab/>
              <w:t>PSI_COUNT_HR = 2</w:t>
            </w:r>
            <w:r w:rsidRPr="004D0DAA">
              <w:br/>
              <w:t>. . .</w:t>
            </w:r>
            <w:r w:rsidRPr="004D0DAA">
              <w:br/>
              <w:t>1 1 1 1</w:t>
            </w:r>
            <w:r w:rsidRPr="004D0DAA">
              <w:tab/>
              <w:t>PSI_COUNT_HR = 16</w:t>
            </w:r>
          </w:p>
        </w:tc>
      </w:tr>
      <w:tr w:rsidR="00711444" w:rsidRPr="004D0DAA" w14:paraId="3DFFD530" w14:textId="77777777" w:rsidTr="00AA2A4C">
        <w:tblPrEx>
          <w:tblCellMar>
            <w:top w:w="0" w:type="dxa"/>
            <w:bottom w:w="0" w:type="dxa"/>
          </w:tblCellMar>
        </w:tblPrEx>
        <w:trPr>
          <w:cantSplit/>
        </w:trPr>
        <w:tc>
          <w:tcPr>
            <w:tcW w:w="9848" w:type="dxa"/>
          </w:tcPr>
          <w:p w14:paraId="299115D8" w14:textId="77777777" w:rsidR="00711444" w:rsidRPr="004D0DAA" w:rsidRDefault="00711444" w:rsidP="00AA2A4C">
            <w:pPr>
              <w:keepLines/>
              <w:rPr>
                <w:b/>
              </w:rPr>
            </w:pPr>
            <w:r w:rsidRPr="004D0DAA">
              <w:rPr>
                <w:b/>
              </w:rPr>
              <w:t>PCCCH Organization Parameters</w:t>
            </w:r>
            <w:r w:rsidRPr="004D0DAA">
              <w:br/>
              <w:t>This information element is defined in sub-clause 12.25</w:t>
            </w:r>
          </w:p>
        </w:tc>
      </w:tr>
      <w:tr w:rsidR="00711444" w:rsidRPr="004D0DAA" w14:paraId="62F5BEEA" w14:textId="77777777" w:rsidTr="00AA2A4C">
        <w:tblPrEx>
          <w:tblCellMar>
            <w:top w:w="0" w:type="dxa"/>
            <w:bottom w:w="0" w:type="dxa"/>
          </w:tblCellMar>
        </w:tblPrEx>
        <w:trPr>
          <w:cantSplit/>
        </w:trPr>
        <w:tc>
          <w:tcPr>
            <w:tcW w:w="9848" w:type="dxa"/>
          </w:tcPr>
          <w:p w14:paraId="1AA2647D" w14:textId="77777777" w:rsidR="00711444" w:rsidRPr="004D0DAA" w:rsidRDefault="00711444" w:rsidP="00AA2A4C">
            <w:pPr>
              <w:keepLines/>
              <w:rPr>
                <w:b/>
              </w:rPr>
            </w:pPr>
            <w:r w:rsidRPr="004D0DAA">
              <w:rPr>
                <w:b/>
              </w:rPr>
              <w:t>PRACH Control Parameters</w:t>
            </w:r>
            <w:r w:rsidRPr="004D0DAA">
              <w:br/>
              <w:t>This information element is defined in sub-clause 12.14.</w:t>
            </w:r>
          </w:p>
        </w:tc>
      </w:tr>
      <w:tr w:rsidR="00711444" w:rsidRPr="004D0DAA" w14:paraId="7B753BE5" w14:textId="77777777" w:rsidTr="00AA2A4C">
        <w:tblPrEx>
          <w:tblCellMar>
            <w:top w:w="0" w:type="dxa"/>
            <w:bottom w:w="0" w:type="dxa"/>
          </w:tblCellMar>
        </w:tblPrEx>
        <w:trPr>
          <w:cantSplit/>
        </w:trPr>
        <w:tc>
          <w:tcPr>
            <w:tcW w:w="9848" w:type="dxa"/>
          </w:tcPr>
          <w:p w14:paraId="08A9F6FF" w14:textId="77777777" w:rsidR="00711444" w:rsidRPr="004D0DAA" w:rsidRDefault="00711444" w:rsidP="00AA2A4C">
            <w:pPr>
              <w:keepLines/>
              <w:rPr>
                <w:b/>
              </w:rPr>
            </w:pPr>
            <w:r w:rsidRPr="004D0DAA">
              <w:rPr>
                <w:b/>
              </w:rPr>
              <w:t>PSI_STATUS_IND</w:t>
            </w:r>
            <w:r w:rsidRPr="004D0DAA">
              <w:t xml:space="preserve"> (1 bit field):</w:t>
            </w:r>
            <w:r w:rsidRPr="004D0DAA">
              <w:br/>
              <w:t>0</w:t>
            </w:r>
            <w:r w:rsidRPr="004D0DAA">
              <w:tab/>
              <w:t>The network does not support the PACKET PSI STATUS message;</w:t>
            </w:r>
            <w:r w:rsidRPr="004D0DAA">
              <w:br/>
              <w:t>1</w:t>
            </w:r>
            <w:r w:rsidRPr="004D0DAA">
              <w:tab/>
              <w:t>The network supports the PACKET PSI STATUS message.</w:t>
            </w:r>
          </w:p>
        </w:tc>
      </w:tr>
      <w:tr w:rsidR="00711444" w:rsidRPr="004D0DAA" w14:paraId="02F5288B" w14:textId="77777777" w:rsidTr="00AA2A4C">
        <w:tblPrEx>
          <w:tblCellMar>
            <w:top w:w="0" w:type="dxa"/>
            <w:bottom w:w="0" w:type="dxa"/>
          </w:tblCellMar>
        </w:tblPrEx>
        <w:trPr>
          <w:cantSplit/>
        </w:trPr>
        <w:tc>
          <w:tcPr>
            <w:tcW w:w="9848" w:type="dxa"/>
          </w:tcPr>
          <w:p w14:paraId="5B87C749" w14:textId="77777777" w:rsidR="00711444" w:rsidRPr="004D0DAA" w:rsidRDefault="00711444" w:rsidP="00AA2A4C">
            <w:pPr>
              <w:keepLines/>
              <w:rPr>
                <w:b/>
              </w:rPr>
            </w:pPr>
            <w:r w:rsidRPr="004D0DAA">
              <w:rPr>
                <w:b/>
              </w:rPr>
              <w:lastRenderedPageBreak/>
              <w:t>MSCR</w:t>
            </w:r>
            <w:r w:rsidRPr="004D0DAA">
              <w:t>, MSC Release (1 bit field):</w:t>
            </w:r>
            <w:r w:rsidRPr="004D0DAA">
              <w:br/>
              <w:t>0</w:t>
            </w:r>
            <w:r w:rsidRPr="004D0DAA">
              <w:tab/>
              <w:t>The MSC is Release '98 or older</w:t>
            </w:r>
            <w:r w:rsidRPr="004D0DAA">
              <w:br/>
              <w:t>1</w:t>
            </w:r>
            <w:r w:rsidRPr="004D0DAA">
              <w:tab/>
              <w:t>The MSC is Release '99 onwards</w:t>
            </w:r>
          </w:p>
        </w:tc>
      </w:tr>
      <w:tr w:rsidR="00711444" w:rsidRPr="004D0DAA" w14:paraId="1B15221F" w14:textId="77777777" w:rsidTr="00AA2A4C">
        <w:tblPrEx>
          <w:tblCellMar>
            <w:top w:w="0" w:type="dxa"/>
            <w:bottom w:w="0" w:type="dxa"/>
          </w:tblCellMar>
        </w:tblPrEx>
        <w:trPr>
          <w:cantSplit/>
        </w:trPr>
        <w:tc>
          <w:tcPr>
            <w:tcW w:w="9848" w:type="dxa"/>
          </w:tcPr>
          <w:p w14:paraId="12211AFD" w14:textId="77777777" w:rsidR="00711444" w:rsidRPr="004D0DAA" w:rsidRDefault="00711444" w:rsidP="00AA2A4C">
            <w:pPr>
              <w:keepLines/>
            </w:pPr>
            <w:r w:rsidRPr="004D0DAA">
              <w:rPr>
                <w:b/>
              </w:rPr>
              <w:t>SGSNR</w:t>
            </w:r>
            <w:r w:rsidRPr="004D0DAA">
              <w:t>, SGSN Release (1 bit field)</w:t>
            </w:r>
            <w:r w:rsidRPr="004D0DAA">
              <w:br/>
              <w:t>0</w:t>
            </w:r>
            <w:r w:rsidRPr="004D0DAA">
              <w:tab/>
              <w:t>The SGSN is Release '98 or older</w:t>
            </w:r>
            <w:r w:rsidRPr="004D0DAA">
              <w:br/>
              <w:t>1</w:t>
            </w:r>
            <w:r w:rsidRPr="004D0DAA">
              <w:tab/>
              <w:t>The SGSN is Release '99 onwards</w:t>
            </w:r>
          </w:p>
        </w:tc>
      </w:tr>
      <w:tr w:rsidR="00711444" w:rsidRPr="004D0DAA" w14:paraId="43CC9991" w14:textId="77777777" w:rsidTr="00AA2A4C">
        <w:tblPrEx>
          <w:tblCellMar>
            <w:top w:w="0" w:type="dxa"/>
            <w:bottom w:w="0" w:type="dxa"/>
          </w:tblCellMar>
        </w:tblPrEx>
        <w:trPr>
          <w:cantSplit/>
        </w:trPr>
        <w:tc>
          <w:tcPr>
            <w:tcW w:w="9848" w:type="dxa"/>
          </w:tcPr>
          <w:p w14:paraId="14CAD150" w14:textId="77777777" w:rsidR="00711444" w:rsidRPr="004D0DAA" w:rsidRDefault="00711444" w:rsidP="00AA2A4C">
            <w:pPr>
              <w:keepLines/>
            </w:pPr>
            <w:r w:rsidRPr="004D0DAA">
              <w:rPr>
                <w:b/>
              </w:rPr>
              <w:t>BAND_INDICATOR</w:t>
            </w:r>
            <w:r w:rsidRPr="004D0DAA">
              <w:t xml:space="preserve"> (1 bit field) </w:t>
            </w:r>
            <w:r w:rsidRPr="004D0DAA">
              <w:br/>
              <w:t>See 3GPP TS 45.005 for definition of this field, which is coded as follows:</w:t>
            </w:r>
            <w:r w:rsidRPr="004D0DAA">
              <w:br/>
              <w:t>0</w:t>
            </w:r>
            <w:r w:rsidRPr="004D0DAA">
              <w:tab/>
              <w:t>ARFCN indicates 1800 band</w:t>
            </w:r>
            <w:r w:rsidRPr="004D0DAA">
              <w:br/>
              <w:t>1</w:t>
            </w:r>
            <w:r w:rsidRPr="004D0DAA">
              <w:tab/>
              <w:t>ARFCN indicates 1900 band</w:t>
            </w:r>
          </w:p>
        </w:tc>
      </w:tr>
      <w:tr w:rsidR="00711444" w:rsidRPr="004D0DAA" w14:paraId="2631848D" w14:textId="77777777" w:rsidTr="00AA2A4C">
        <w:tblPrEx>
          <w:tblCellMar>
            <w:top w:w="0" w:type="dxa"/>
            <w:bottom w:w="0" w:type="dxa"/>
          </w:tblCellMar>
        </w:tblPrEx>
        <w:trPr>
          <w:cantSplit/>
        </w:trPr>
        <w:tc>
          <w:tcPr>
            <w:tcW w:w="9848" w:type="dxa"/>
          </w:tcPr>
          <w:p w14:paraId="1B2C2FA9" w14:textId="77777777" w:rsidR="00711444" w:rsidRPr="004D0DAA" w:rsidRDefault="00711444" w:rsidP="00AA2A4C">
            <w:r w:rsidRPr="004D0DAA">
              <w:rPr>
                <w:b/>
                <w:bCs/>
              </w:rPr>
              <w:t>LB_MS_TXPWR_MAX_CCH</w:t>
            </w:r>
            <w:r w:rsidRPr="004D0DAA">
              <w:t xml:space="preserve"> (5 bit field)</w:t>
            </w:r>
          </w:p>
          <w:p w14:paraId="092D3406" w14:textId="77777777" w:rsidR="00711444" w:rsidRPr="004D0DAA" w:rsidRDefault="00711444" w:rsidP="00AA2A4C">
            <w:pPr>
              <w:keepLines/>
              <w:rPr>
                <w:b/>
              </w:rPr>
            </w:pPr>
            <w:r w:rsidRPr="004D0DAA">
              <w:t>The LB_MS_TXPWR_MAX_CCH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bl>
    <w:p w14:paraId="54B6DBCE" w14:textId="77777777" w:rsidR="00711444" w:rsidRPr="004D0DAA" w:rsidRDefault="00711444" w:rsidP="00711444"/>
    <w:p w14:paraId="061B4BBA" w14:textId="77777777" w:rsidR="00711444" w:rsidRPr="004D0DAA" w:rsidRDefault="00711444" w:rsidP="00711444">
      <w:pPr>
        <w:pStyle w:val="NO"/>
      </w:pPr>
      <w:r w:rsidRPr="004D0DAA">
        <w:t>NOTE 1:</w:t>
      </w:r>
      <w:r w:rsidRPr="004D0DAA">
        <w:tab/>
        <w:t>The MSC Release bit indicates the version of the MSC specific protocols and is not applicable to access stratum protocols.</w:t>
      </w:r>
    </w:p>
    <w:p w14:paraId="6034C289" w14:textId="77777777" w:rsidR="00711444" w:rsidRPr="004D0DAA" w:rsidRDefault="00711444" w:rsidP="00711444">
      <w:pPr>
        <w:pStyle w:val="NO"/>
      </w:pPr>
      <w:r w:rsidRPr="004D0DAA">
        <w:t>NOTE 2:</w:t>
      </w:r>
      <w:r w:rsidRPr="004D0DAA">
        <w:tab/>
        <w:t>The SGSN Release bit indicates the version of the SGSN specific protocols and is not applicable to access stratum protocols.</w:t>
      </w:r>
    </w:p>
    <w:p w14:paraId="6317E2CD" w14:textId="77777777" w:rsidR="00711444" w:rsidRPr="004D0DAA" w:rsidRDefault="00711444" w:rsidP="00711444">
      <w:pPr>
        <w:pStyle w:val="Heading3"/>
      </w:pPr>
      <w:bookmarkStart w:id="687" w:name="_Toc516669863"/>
      <w:r w:rsidRPr="004D0DAA">
        <w:t>11.2.19</w:t>
      </w:r>
      <w:r w:rsidRPr="004D0DAA">
        <w:tab/>
        <w:t>Packet System Information Type 2</w:t>
      </w:r>
      <w:bookmarkEnd w:id="687"/>
    </w:p>
    <w:p w14:paraId="2664B4EE" w14:textId="77777777" w:rsidR="00711444" w:rsidRPr="004D0DAA" w:rsidRDefault="00711444" w:rsidP="00711444">
      <w:r w:rsidRPr="004D0DAA">
        <w:t>This message is sent by the network on PBCCH and PACCH giving information of reference frequency lists, cell allocation, GPRS mobile allocations and PCCCH descriptions being used in the cell. Special requirements for the transmission of this message apply on PBCCH, see 3GPP TS 45.002.</w:t>
      </w:r>
    </w:p>
    <w:p w14:paraId="007DDBDE" w14:textId="77777777" w:rsidR="00711444" w:rsidRPr="004D0DAA" w:rsidRDefault="00711444" w:rsidP="00711444">
      <w:r w:rsidRPr="004D0DAA">
        <w:t>PSI2 also contains Non-GPRS cell options applicable for non-packet access.</w:t>
      </w:r>
    </w:p>
    <w:p w14:paraId="7768791C" w14:textId="77777777" w:rsidR="00711444" w:rsidRPr="004D0DAA" w:rsidRDefault="00711444" w:rsidP="00711444">
      <w:r w:rsidRPr="004D0DAA">
        <w:t>This message shall not be segmented across more than one RLC/MAC control block by using the procedures specified in sub-clause 9.1.12a. A consistent set of this message type is required to completely decode the information (see sub-clause 5.5.2.1.4).</w:t>
      </w:r>
    </w:p>
    <w:p w14:paraId="7DFB207A" w14:textId="77777777" w:rsidR="00711444" w:rsidRPr="004D0DAA" w:rsidRDefault="00711444" w:rsidP="00711444">
      <w:pPr>
        <w:pStyle w:val="EX"/>
      </w:pPr>
      <w:r w:rsidRPr="004D0DAA">
        <w:t>Message type:</w:t>
      </w:r>
      <w:r w:rsidRPr="004D0DAA">
        <w:tab/>
        <w:t>PACKET SYSTEM INFORMATION TYPE 2</w:t>
      </w:r>
    </w:p>
    <w:p w14:paraId="2619F710" w14:textId="77777777" w:rsidR="00711444" w:rsidRPr="004D0DAA" w:rsidRDefault="00711444" w:rsidP="00711444">
      <w:pPr>
        <w:pStyle w:val="EX"/>
      </w:pPr>
      <w:r w:rsidRPr="004D0DAA">
        <w:t>Direction:</w:t>
      </w:r>
      <w:r w:rsidRPr="004D0DAA">
        <w:tab/>
        <w:t>network to mobile station</w:t>
      </w:r>
    </w:p>
    <w:p w14:paraId="4D27D556" w14:textId="77777777" w:rsidR="00711444" w:rsidRPr="004D0DAA" w:rsidRDefault="00711444" w:rsidP="00711444">
      <w:pPr>
        <w:pStyle w:val="EX"/>
      </w:pPr>
      <w:r w:rsidRPr="004D0DAA">
        <w:t>Classification:</w:t>
      </w:r>
      <w:r w:rsidRPr="004D0DAA">
        <w:tab/>
        <w:t>distribution message</w:t>
      </w:r>
    </w:p>
    <w:p w14:paraId="0C302ABF" w14:textId="77777777" w:rsidR="00711444" w:rsidRPr="004D0DAA" w:rsidRDefault="00711444" w:rsidP="00711444">
      <w:pPr>
        <w:pStyle w:val="TH"/>
      </w:pPr>
      <w:r w:rsidRPr="004D0DAA">
        <w:lastRenderedPageBreak/>
        <w:t>Table 11.2.19.1: PSI2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D8C18BB" w14:textId="77777777" w:rsidTr="00AA2A4C">
        <w:tblPrEx>
          <w:tblCellMar>
            <w:top w:w="0" w:type="dxa"/>
            <w:bottom w:w="0" w:type="dxa"/>
          </w:tblCellMar>
        </w:tblPrEx>
        <w:trPr>
          <w:cantSplit/>
        </w:trPr>
        <w:tc>
          <w:tcPr>
            <w:tcW w:w="9848" w:type="dxa"/>
          </w:tcPr>
          <w:p w14:paraId="2EE4A772" w14:textId="77777777" w:rsidR="00711444" w:rsidRPr="004D0DAA" w:rsidRDefault="00711444" w:rsidP="00AA2A4C">
            <w:pPr>
              <w:pStyle w:val="TAL"/>
              <w:rPr>
                <w:lang w:val="fr-FR" w:eastAsia="en-US"/>
              </w:rPr>
            </w:pPr>
            <w:r w:rsidRPr="004D0DAA">
              <w:rPr>
                <w:lang w:val="fr-FR" w:eastAsia="en-US"/>
              </w:rPr>
              <w:t>&lt; PSI2 message content &gt; ::=</w:t>
            </w:r>
          </w:p>
          <w:p w14:paraId="14F893E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1F4E2C48"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PSI2_CHANGE_MARK</w:t>
            </w:r>
            <w:r w:rsidRPr="004D0DAA">
              <w:rPr>
                <w:lang w:val="fr-FR" w:eastAsia="en-US"/>
              </w:rPr>
              <w:t xml:space="preserve"> : bit (2) &gt;</w:t>
            </w:r>
          </w:p>
          <w:p w14:paraId="15057E35"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PSI2_INDEX</w:t>
            </w:r>
            <w:r w:rsidRPr="004D0DAA">
              <w:rPr>
                <w:lang w:val="fr-FR" w:eastAsia="en-US"/>
              </w:rPr>
              <w:t xml:space="preserve"> : bit (3) &gt;</w:t>
            </w:r>
          </w:p>
          <w:p w14:paraId="0EC765A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PSI2_COUNT</w:t>
            </w:r>
            <w:r w:rsidRPr="004D0DAA">
              <w:rPr>
                <w:lang w:val="fr-FR" w:eastAsia="en-US"/>
              </w:rPr>
              <w:t xml:space="preserve"> : bit (3) &gt;</w:t>
            </w:r>
          </w:p>
          <w:p w14:paraId="1292E267"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xml:space="preserve">{ 0 | 1 &lt; </w:t>
            </w:r>
            <w:r w:rsidRPr="004D0DAA">
              <w:rPr>
                <w:b/>
                <w:lang w:val="fr-FR" w:eastAsia="en-US"/>
              </w:rPr>
              <w:t xml:space="preserve">Cell Identification </w:t>
            </w:r>
            <w:r w:rsidRPr="004D0DAA">
              <w:rPr>
                <w:lang w:val="fr-FR" w:eastAsia="en-US"/>
              </w:rPr>
              <w:t>: &lt; Cell Identification IE &gt; &gt; }</w:t>
            </w:r>
          </w:p>
          <w:p w14:paraId="2804482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xml:space="preserve">{ 0 | 1 &lt; </w:t>
            </w:r>
            <w:r w:rsidRPr="004D0DAA">
              <w:rPr>
                <w:b/>
                <w:lang w:val="fr-FR" w:eastAsia="en-US"/>
              </w:rPr>
              <w:t xml:space="preserve">Non GPRS Cell Options </w:t>
            </w:r>
            <w:r w:rsidRPr="004D0DAA">
              <w:rPr>
                <w:lang w:val="fr-FR" w:eastAsia="en-US"/>
              </w:rPr>
              <w:t>: &lt; Non GPRS Cell Options IE &gt; &gt; }</w:t>
            </w:r>
          </w:p>
          <w:p w14:paraId="47501B7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xml:space="preserve">&lt; </w:t>
            </w:r>
            <w:r w:rsidRPr="004D0DAA">
              <w:rPr>
                <w:b/>
                <w:lang w:eastAsia="en-US"/>
              </w:rPr>
              <w:t>Reference Frequency Lists</w:t>
            </w:r>
            <w:r w:rsidRPr="004D0DAA">
              <w:rPr>
                <w:lang w:eastAsia="en-US"/>
              </w:rPr>
              <w:t xml:space="preserve"> : &lt; Reference Frequency Lists struct &gt; &gt;</w:t>
            </w:r>
          </w:p>
          <w:p w14:paraId="673A794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Cell Allocation</w:t>
            </w:r>
            <w:r w:rsidRPr="004D0DAA">
              <w:rPr>
                <w:lang w:eastAsia="en-US"/>
              </w:rPr>
              <w:t xml:space="preserve"> : &lt; Cell Allocation Lists struct &gt; &gt;</w:t>
            </w:r>
          </w:p>
          <w:p w14:paraId="494B527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GPRS Mobile Allocations</w:t>
            </w:r>
            <w:r w:rsidRPr="004D0DAA">
              <w:rPr>
                <w:lang w:eastAsia="en-US"/>
              </w:rPr>
              <w:t xml:space="preserve"> : &lt; GPRS Mobile Allocations Lists struct &gt; &gt;</w:t>
            </w:r>
          </w:p>
          <w:p w14:paraId="69A85A0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PCCCH Description</w:t>
            </w:r>
            <w:r w:rsidRPr="004D0DAA">
              <w:rPr>
                <w:lang w:eastAsia="en-US"/>
              </w:rPr>
              <w:t xml:space="preserve"> : &lt; PCCCH Description Lists struct &gt; &gt;</w:t>
            </w:r>
          </w:p>
          <w:p w14:paraId="7A91B4F9"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 bit** = &lt; no string &gt;</w:t>
            </w:r>
          </w:p>
          <w:p w14:paraId="42D8A1C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1999 additions:</w:t>
            </w:r>
          </w:p>
          <w:p w14:paraId="0BC329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COMPACT Control Information</w:t>
            </w:r>
            <w:r w:rsidRPr="004D0DAA">
              <w:rPr>
                <w:lang w:eastAsia="en-US"/>
              </w:rPr>
              <w:t> : &lt; COMPACT Control Info struct &gt; &gt; }</w:t>
            </w:r>
          </w:p>
          <w:p w14:paraId="5924CDF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Additional PSI Messages</w:t>
            </w:r>
            <w:r w:rsidRPr="004D0DAA">
              <w:rPr>
                <w:lang w:eastAsia="en-US"/>
              </w:rPr>
              <w:t xml:space="preserve"> : &lt; Additional PSI Messages struct &gt; &gt; }</w:t>
            </w:r>
          </w:p>
          <w:p w14:paraId="73FF41B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 } } //</w:t>
            </w:r>
            <w:r w:rsidRPr="004D0DAA">
              <w:rPr>
                <w:lang w:eastAsia="en-US"/>
              </w:rPr>
              <w:tab/>
              <w:t xml:space="preserve">-- </w:t>
            </w:r>
            <w:r w:rsidRPr="004D0DAA">
              <w:rPr>
                <w:i/>
                <w:lang w:eastAsia="en-US"/>
              </w:rPr>
              <w:t>truncation at end of message allowed, bits '0' assumed</w:t>
            </w:r>
          </w:p>
          <w:p w14:paraId="22881AE3" w14:textId="77777777" w:rsidR="00711444" w:rsidRPr="004D0DAA" w:rsidRDefault="00711444" w:rsidP="00AA2A4C">
            <w:pPr>
              <w:pStyle w:val="TAL"/>
              <w:rPr>
                <w:lang w:eastAsia="en-US"/>
              </w:rPr>
            </w:pPr>
            <w:r w:rsidRPr="004D0DAA">
              <w:rPr>
                <w:lang w:eastAsia="en-US"/>
              </w:rPr>
              <w:tab/>
              <w:t>! &lt; Distribution part error : bit (*) = &lt; no string &gt; &gt; ;</w:t>
            </w:r>
          </w:p>
          <w:p w14:paraId="5A7C4C68" w14:textId="77777777" w:rsidR="00711444" w:rsidRPr="004D0DAA" w:rsidRDefault="00711444" w:rsidP="00AA2A4C">
            <w:pPr>
              <w:pStyle w:val="TAL"/>
              <w:rPr>
                <w:lang w:eastAsia="en-US"/>
              </w:rPr>
            </w:pPr>
          </w:p>
        </w:tc>
      </w:tr>
      <w:tr w:rsidR="00711444" w:rsidRPr="004D0DAA" w14:paraId="6CA0AAE5" w14:textId="77777777" w:rsidTr="00AA2A4C">
        <w:tblPrEx>
          <w:tblCellMar>
            <w:top w:w="0" w:type="dxa"/>
            <w:bottom w:w="0" w:type="dxa"/>
          </w:tblCellMar>
        </w:tblPrEx>
        <w:trPr>
          <w:cantSplit/>
        </w:trPr>
        <w:tc>
          <w:tcPr>
            <w:tcW w:w="9848" w:type="dxa"/>
          </w:tcPr>
          <w:p w14:paraId="329DADCD" w14:textId="77777777" w:rsidR="00711444" w:rsidRPr="004D0DAA" w:rsidRDefault="00711444" w:rsidP="00AA2A4C">
            <w:pPr>
              <w:pStyle w:val="TAL"/>
              <w:rPr>
                <w:lang w:eastAsia="en-US"/>
              </w:rPr>
            </w:pPr>
            <w:r w:rsidRPr="004D0DAA">
              <w:rPr>
                <w:lang w:eastAsia="en-US"/>
              </w:rPr>
              <w:t>&lt; Reference Frequency Lists struct &gt; ::= { 1 &lt; Reference Frequency struct &gt; } ** 0;</w:t>
            </w:r>
          </w:p>
          <w:p w14:paraId="662172A7" w14:textId="77777777" w:rsidR="00711444" w:rsidRPr="004D0DAA" w:rsidRDefault="00711444" w:rsidP="00AA2A4C">
            <w:pPr>
              <w:pStyle w:val="TAL"/>
              <w:rPr>
                <w:lang w:eastAsia="en-US"/>
              </w:rPr>
            </w:pPr>
            <w:r w:rsidRPr="004D0DAA">
              <w:rPr>
                <w:lang w:eastAsia="en-US"/>
              </w:rPr>
              <w:t>&lt; Reference Frequency struct &gt;::=</w:t>
            </w:r>
          </w:p>
          <w:p w14:paraId="2C38611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RFL_NUMBER</w:t>
            </w:r>
            <w:r w:rsidRPr="004D0DAA">
              <w:rPr>
                <w:lang w:eastAsia="en-US"/>
              </w:rPr>
              <w:t xml:space="preserve"> : bit (4) &gt;</w:t>
            </w:r>
          </w:p>
          <w:p w14:paraId="09F067F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Length of RFL contents</w:t>
            </w:r>
            <w:r w:rsidRPr="004D0DAA">
              <w:rPr>
                <w:lang w:eastAsia="en-US"/>
              </w:rPr>
              <w:t xml:space="preserve"> : bit (4) &gt;</w:t>
            </w:r>
          </w:p>
          <w:p w14:paraId="66D1880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RFL contents</w:t>
            </w:r>
            <w:r w:rsidRPr="004D0DAA">
              <w:rPr>
                <w:lang w:eastAsia="en-US"/>
              </w:rPr>
              <w:t xml:space="preserve"> : octet (val(Length of RFL contents) + 3) &gt; ; </w:t>
            </w:r>
          </w:p>
          <w:p w14:paraId="0F5C8D2D" w14:textId="77777777" w:rsidR="00711444" w:rsidRPr="004D0DAA" w:rsidRDefault="00711444" w:rsidP="00AA2A4C">
            <w:pPr>
              <w:pStyle w:val="TAL"/>
              <w:rPr>
                <w:lang w:eastAsia="en-US"/>
              </w:rPr>
            </w:pPr>
          </w:p>
        </w:tc>
      </w:tr>
      <w:tr w:rsidR="00711444" w:rsidRPr="004D0DAA" w14:paraId="53F00B58" w14:textId="77777777" w:rsidTr="00AA2A4C">
        <w:tblPrEx>
          <w:tblCellMar>
            <w:top w:w="0" w:type="dxa"/>
            <w:bottom w:w="0" w:type="dxa"/>
          </w:tblCellMar>
        </w:tblPrEx>
        <w:trPr>
          <w:cantSplit/>
        </w:trPr>
        <w:tc>
          <w:tcPr>
            <w:tcW w:w="9848" w:type="dxa"/>
          </w:tcPr>
          <w:p w14:paraId="6AC91231" w14:textId="77777777" w:rsidR="00711444" w:rsidRPr="004D0DAA" w:rsidRDefault="00711444" w:rsidP="00AA2A4C">
            <w:pPr>
              <w:pStyle w:val="TAL"/>
              <w:rPr>
                <w:lang w:eastAsia="en-US"/>
              </w:rPr>
            </w:pPr>
            <w:r w:rsidRPr="004D0DAA">
              <w:rPr>
                <w:lang w:eastAsia="en-US"/>
              </w:rPr>
              <w:t>&lt; Cell Allocation Lists struct &gt; ::= { 1 &lt; Cell Allocation struct &gt; } ** 0 ;</w:t>
            </w:r>
          </w:p>
          <w:p w14:paraId="3ECBDD82" w14:textId="77777777" w:rsidR="00711444" w:rsidRPr="004D0DAA" w:rsidRDefault="00711444" w:rsidP="00AA2A4C">
            <w:pPr>
              <w:pStyle w:val="TAL"/>
              <w:rPr>
                <w:lang w:eastAsia="en-US"/>
              </w:rPr>
            </w:pPr>
            <w:r w:rsidRPr="004D0DAA">
              <w:rPr>
                <w:lang w:eastAsia="en-US"/>
              </w:rPr>
              <w:t>&lt; Cell Allocation struct &gt; ::=</w:t>
            </w:r>
          </w:p>
          <w:p w14:paraId="2DFD99D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RFL_NUMBER</w:t>
            </w:r>
            <w:r w:rsidRPr="004D0DAA">
              <w:rPr>
                <w:lang w:eastAsia="en-US"/>
              </w:rPr>
              <w:t xml:space="preserve"> : bit (4) &gt; ;</w:t>
            </w:r>
          </w:p>
          <w:p w14:paraId="7504CB16" w14:textId="77777777" w:rsidR="00711444" w:rsidRPr="004D0DAA" w:rsidRDefault="00711444" w:rsidP="00AA2A4C">
            <w:pPr>
              <w:pStyle w:val="TAL"/>
              <w:rPr>
                <w:lang w:eastAsia="en-US"/>
              </w:rPr>
            </w:pPr>
          </w:p>
        </w:tc>
      </w:tr>
      <w:tr w:rsidR="00711444" w:rsidRPr="004D0DAA" w14:paraId="4EE6836B" w14:textId="77777777" w:rsidTr="00AA2A4C">
        <w:tblPrEx>
          <w:tblCellMar>
            <w:top w:w="0" w:type="dxa"/>
            <w:bottom w:w="0" w:type="dxa"/>
          </w:tblCellMar>
        </w:tblPrEx>
        <w:trPr>
          <w:cantSplit/>
        </w:trPr>
        <w:tc>
          <w:tcPr>
            <w:tcW w:w="9848" w:type="dxa"/>
          </w:tcPr>
          <w:p w14:paraId="3AF00EA7" w14:textId="77777777" w:rsidR="00711444" w:rsidRPr="004D0DAA" w:rsidRDefault="00711444" w:rsidP="00AA2A4C">
            <w:pPr>
              <w:pStyle w:val="TAL"/>
              <w:rPr>
                <w:lang w:eastAsia="en-US"/>
              </w:rPr>
            </w:pPr>
            <w:r w:rsidRPr="004D0DAA">
              <w:rPr>
                <w:lang w:eastAsia="en-US"/>
              </w:rPr>
              <w:t>&lt; GPRS Mobile Allocations Lists struct &gt; ::= { 1 &lt; GPRS Mobile Allocations struct &gt; } ** 0 ;</w:t>
            </w:r>
          </w:p>
          <w:p w14:paraId="266EF4C9" w14:textId="77777777" w:rsidR="00711444" w:rsidRPr="004D0DAA" w:rsidRDefault="00711444" w:rsidP="00AA2A4C">
            <w:pPr>
              <w:pStyle w:val="TAL"/>
              <w:rPr>
                <w:lang w:eastAsia="en-US"/>
              </w:rPr>
            </w:pPr>
            <w:r w:rsidRPr="004D0DAA">
              <w:rPr>
                <w:lang w:eastAsia="en-US"/>
              </w:rPr>
              <w:t>&lt; GPRS Mobile Allocations struct &gt; ::=</w:t>
            </w:r>
          </w:p>
          <w:p w14:paraId="09B18DE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MA_NUMBER</w:t>
            </w:r>
            <w:r w:rsidRPr="004D0DAA">
              <w:rPr>
                <w:lang w:eastAsia="en-US"/>
              </w:rPr>
              <w:t xml:space="preserve"> : bit (4) &gt;</w:t>
            </w:r>
          </w:p>
          <w:p w14:paraId="7B9C8F7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 Mobile Allocation</w:t>
            </w:r>
            <w:r w:rsidRPr="004D0DAA">
              <w:rPr>
                <w:lang w:eastAsia="en-US"/>
              </w:rPr>
              <w:t xml:space="preserve"> : &lt; GPRS Mobile Allocation IE &gt; &gt; ;</w:t>
            </w:r>
          </w:p>
          <w:p w14:paraId="4038677A" w14:textId="77777777" w:rsidR="00711444" w:rsidRPr="004D0DAA" w:rsidRDefault="00711444" w:rsidP="00AA2A4C">
            <w:pPr>
              <w:pStyle w:val="TAL"/>
              <w:rPr>
                <w:lang w:eastAsia="en-US"/>
              </w:rPr>
            </w:pPr>
          </w:p>
        </w:tc>
      </w:tr>
      <w:tr w:rsidR="00711444" w:rsidRPr="004D0DAA" w14:paraId="0956809D" w14:textId="77777777" w:rsidTr="00AA2A4C">
        <w:tblPrEx>
          <w:tblCellMar>
            <w:top w:w="0" w:type="dxa"/>
            <w:bottom w:w="0" w:type="dxa"/>
          </w:tblCellMar>
        </w:tblPrEx>
        <w:trPr>
          <w:cantSplit/>
        </w:trPr>
        <w:tc>
          <w:tcPr>
            <w:tcW w:w="9848" w:type="dxa"/>
          </w:tcPr>
          <w:p w14:paraId="7C4C8060" w14:textId="77777777" w:rsidR="00711444" w:rsidRPr="004D0DAA" w:rsidRDefault="00711444" w:rsidP="00AA2A4C">
            <w:pPr>
              <w:pStyle w:val="TAL"/>
              <w:rPr>
                <w:lang w:eastAsia="en-US"/>
              </w:rPr>
            </w:pPr>
            <w:r w:rsidRPr="004D0DAA">
              <w:rPr>
                <w:lang w:eastAsia="en-US"/>
              </w:rPr>
              <w:t>&lt; PCCCH Description Lists struct &gt; ::= { 1 &lt; PCCCH Description struct &gt; } ** 0 ;</w:t>
            </w:r>
          </w:p>
          <w:p w14:paraId="1DE5E148" w14:textId="77777777" w:rsidR="00711444" w:rsidRPr="004D0DAA" w:rsidRDefault="00711444" w:rsidP="00AA2A4C">
            <w:pPr>
              <w:pStyle w:val="TAL"/>
              <w:rPr>
                <w:lang w:eastAsia="en-US"/>
              </w:rPr>
            </w:pPr>
            <w:r w:rsidRPr="004D0DAA">
              <w:rPr>
                <w:lang w:eastAsia="en-US"/>
              </w:rPr>
              <w:t>&lt; PCCCH Description struct &gt; ::=</w:t>
            </w:r>
          </w:p>
          <w:p w14:paraId="17004B1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014E8E13"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Non-hopping PCCCH carriers</w:t>
            </w:r>
            <w:r w:rsidRPr="004D0DAA">
              <w:rPr>
                <w:lang w:eastAsia="en-US"/>
              </w:rPr>
              <w:t xml:space="preserve"> : &lt; Non-Hopping PCCCH Carriers Lists struct &gt; &gt;</w:t>
            </w:r>
          </w:p>
          <w:p w14:paraId="3DAD3004"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MA_NUMBER</w:t>
            </w:r>
            <w:r w:rsidRPr="004D0DAA">
              <w:rPr>
                <w:lang w:eastAsia="en-US"/>
              </w:rPr>
              <w:t xml:space="preserve"> : bit (4) &gt;</w:t>
            </w:r>
          </w:p>
          <w:p w14:paraId="3817DD6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Hopping PCCCH carriers</w:t>
            </w:r>
            <w:r w:rsidRPr="004D0DAA">
              <w:rPr>
                <w:lang w:eastAsia="en-US"/>
              </w:rPr>
              <w:t xml:space="preserve"> : &lt; Hopping PCCCH Carriers Lists struct &gt; &gt; } ;</w:t>
            </w:r>
          </w:p>
          <w:p w14:paraId="06947B9A" w14:textId="77777777" w:rsidR="00711444" w:rsidRPr="004D0DAA" w:rsidRDefault="00711444" w:rsidP="00AA2A4C">
            <w:pPr>
              <w:pStyle w:val="TAL"/>
              <w:rPr>
                <w:lang w:eastAsia="en-US"/>
              </w:rPr>
            </w:pPr>
          </w:p>
        </w:tc>
      </w:tr>
      <w:tr w:rsidR="00711444" w:rsidRPr="004D0DAA" w14:paraId="4EA14DAB" w14:textId="77777777" w:rsidTr="00AA2A4C">
        <w:tblPrEx>
          <w:tblCellMar>
            <w:top w:w="0" w:type="dxa"/>
            <w:bottom w:w="0" w:type="dxa"/>
          </w:tblCellMar>
        </w:tblPrEx>
        <w:trPr>
          <w:cantSplit/>
        </w:trPr>
        <w:tc>
          <w:tcPr>
            <w:tcW w:w="9848" w:type="dxa"/>
          </w:tcPr>
          <w:p w14:paraId="5690CD51" w14:textId="77777777" w:rsidR="00711444" w:rsidRPr="004D0DAA" w:rsidRDefault="00711444" w:rsidP="00AA2A4C">
            <w:pPr>
              <w:pStyle w:val="TAL"/>
              <w:rPr>
                <w:lang w:eastAsia="en-US"/>
              </w:rPr>
            </w:pPr>
            <w:r w:rsidRPr="004D0DAA">
              <w:rPr>
                <w:lang w:eastAsia="en-US"/>
              </w:rPr>
              <w:t>&lt; Non-hopping PCCCH Carriers Lists struct &gt; ::= { 1 &lt; Non-Hopping PCCCH Carriers struct &gt; } ** 0 ;</w:t>
            </w:r>
          </w:p>
          <w:p w14:paraId="0C2184CE" w14:textId="77777777" w:rsidR="00711444" w:rsidRPr="004D0DAA" w:rsidRDefault="00711444" w:rsidP="00AA2A4C">
            <w:pPr>
              <w:pStyle w:val="TAL"/>
              <w:rPr>
                <w:lang w:eastAsia="en-US"/>
              </w:rPr>
            </w:pPr>
            <w:r w:rsidRPr="004D0DAA">
              <w:rPr>
                <w:lang w:eastAsia="en-US"/>
              </w:rPr>
              <w:t>&lt; Non-Hopping PCCCH Carriers struct &gt; ::=</w:t>
            </w:r>
          </w:p>
          <w:p w14:paraId="7CF0874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w:t>
            </w:r>
            <w:r w:rsidRPr="004D0DAA">
              <w:rPr>
                <w:lang w:eastAsia="en-US"/>
              </w:rPr>
              <w:t xml:space="preserve"> : bit (10) &gt;</w:t>
            </w:r>
          </w:p>
          <w:p w14:paraId="3282DB0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TIMESLOT_ALLOCATION</w:t>
            </w:r>
            <w:r w:rsidRPr="004D0DAA">
              <w:rPr>
                <w:lang w:eastAsia="en-US"/>
              </w:rPr>
              <w:t xml:space="preserve"> : bit (8) &gt; ;</w:t>
            </w:r>
          </w:p>
          <w:p w14:paraId="611A7257" w14:textId="77777777" w:rsidR="00711444" w:rsidRPr="004D0DAA" w:rsidRDefault="00711444" w:rsidP="00AA2A4C">
            <w:pPr>
              <w:pStyle w:val="TAL"/>
              <w:rPr>
                <w:lang w:eastAsia="en-US"/>
              </w:rPr>
            </w:pPr>
          </w:p>
        </w:tc>
      </w:tr>
      <w:tr w:rsidR="00711444" w:rsidRPr="004D0DAA" w14:paraId="5C3EE2BB" w14:textId="77777777" w:rsidTr="00AA2A4C">
        <w:tblPrEx>
          <w:tblCellMar>
            <w:top w:w="0" w:type="dxa"/>
            <w:bottom w:w="0" w:type="dxa"/>
          </w:tblCellMar>
        </w:tblPrEx>
        <w:trPr>
          <w:cantSplit/>
        </w:trPr>
        <w:tc>
          <w:tcPr>
            <w:tcW w:w="9848" w:type="dxa"/>
          </w:tcPr>
          <w:p w14:paraId="1D2D7FB3" w14:textId="77777777" w:rsidR="00711444" w:rsidRPr="004D0DAA" w:rsidRDefault="00711444" w:rsidP="00AA2A4C">
            <w:pPr>
              <w:pStyle w:val="TAL"/>
              <w:rPr>
                <w:lang w:eastAsia="en-US"/>
              </w:rPr>
            </w:pPr>
            <w:r w:rsidRPr="004D0DAA">
              <w:rPr>
                <w:lang w:eastAsia="en-US"/>
              </w:rPr>
              <w:t>&lt; Hopping PCCCH Carriers Lists struct &gt; ::= { 1&lt; Hopping PCCCH Carriers struct &gt; } ** 0 ;</w:t>
            </w:r>
          </w:p>
          <w:p w14:paraId="7588C30D" w14:textId="77777777" w:rsidR="00711444" w:rsidRPr="004D0DAA" w:rsidRDefault="00711444" w:rsidP="00AA2A4C">
            <w:pPr>
              <w:pStyle w:val="TAL"/>
              <w:rPr>
                <w:lang w:eastAsia="en-US"/>
              </w:rPr>
            </w:pPr>
            <w:r w:rsidRPr="004D0DAA">
              <w:rPr>
                <w:lang w:eastAsia="en-US"/>
              </w:rPr>
              <w:t>&lt; Hopping PCCCH Carriers struct &gt; ::=</w:t>
            </w:r>
          </w:p>
          <w:p w14:paraId="1AAFBF7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MAIO</w:t>
            </w:r>
            <w:r w:rsidRPr="004D0DAA">
              <w:rPr>
                <w:lang w:eastAsia="en-US"/>
              </w:rPr>
              <w:t xml:space="preserve"> : bit (6) &gt;</w:t>
            </w:r>
          </w:p>
          <w:p w14:paraId="634FECF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TIMESLOT_ALLOCATION</w:t>
            </w:r>
            <w:r w:rsidRPr="004D0DAA">
              <w:rPr>
                <w:lang w:eastAsia="en-US"/>
              </w:rPr>
              <w:t xml:space="preserve"> : bit (8) &gt; ;</w:t>
            </w:r>
          </w:p>
          <w:p w14:paraId="0C420823" w14:textId="77777777" w:rsidR="00711444" w:rsidRPr="004D0DAA" w:rsidRDefault="00711444" w:rsidP="00AA2A4C">
            <w:pPr>
              <w:pStyle w:val="TAL"/>
              <w:rPr>
                <w:lang w:eastAsia="en-US"/>
              </w:rPr>
            </w:pPr>
          </w:p>
        </w:tc>
      </w:tr>
      <w:tr w:rsidR="00711444" w:rsidRPr="004D0DAA" w14:paraId="793D08D7" w14:textId="77777777" w:rsidTr="00AA2A4C">
        <w:tblPrEx>
          <w:tblCellMar>
            <w:top w:w="0" w:type="dxa"/>
            <w:bottom w:w="0" w:type="dxa"/>
          </w:tblCellMar>
        </w:tblPrEx>
        <w:trPr>
          <w:cantSplit/>
        </w:trPr>
        <w:tc>
          <w:tcPr>
            <w:tcW w:w="9848" w:type="dxa"/>
          </w:tcPr>
          <w:p w14:paraId="738D0CBA" w14:textId="77777777" w:rsidR="00711444" w:rsidRPr="004D0DAA" w:rsidRDefault="00711444" w:rsidP="00AA2A4C">
            <w:pPr>
              <w:pStyle w:val="TAL"/>
              <w:rPr>
                <w:lang w:eastAsia="en-US"/>
              </w:rPr>
            </w:pPr>
            <w:r w:rsidRPr="004D0DAA">
              <w:rPr>
                <w:lang w:eastAsia="en-US"/>
              </w:rPr>
              <w:t>&lt; COMPACT Control Info struct &gt; ::=</w:t>
            </w:r>
          </w:p>
          <w:p w14:paraId="052E31E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Large Cell Operation</w:t>
            </w:r>
            <w:r w:rsidRPr="004D0DAA">
              <w:rPr>
                <w:lang w:eastAsia="en-US"/>
              </w:rPr>
              <w:t> : bit (1) &gt;</w:t>
            </w:r>
          </w:p>
          <w:p w14:paraId="583C7DB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Number of Idle Blocks </w:t>
            </w:r>
            <w:r w:rsidRPr="004D0DAA">
              <w:rPr>
                <w:lang w:eastAsia="en-US"/>
              </w:rPr>
              <w:t>: &lt; Number of Idle Blocks struct &gt; &gt; }</w:t>
            </w:r>
          </w:p>
          <w:p w14:paraId="23B0EFA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N_CCCH_NH</w:t>
            </w:r>
            <w:r w:rsidRPr="004D0DAA">
              <w:rPr>
                <w:lang w:eastAsia="en-US"/>
              </w:rPr>
              <w:t xml:space="preserve"> : bit (4) &gt; } ;</w:t>
            </w:r>
          </w:p>
          <w:p w14:paraId="55E62598" w14:textId="77777777" w:rsidR="00711444" w:rsidRPr="004D0DAA" w:rsidRDefault="00711444" w:rsidP="00AA2A4C">
            <w:pPr>
              <w:pStyle w:val="TAL"/>
              <w:rPr>
                <w:lang w:eastAsia="en-US"/>
              </w:rPr>
            </w:pPr>
          </w:p>
        </w:tc>
      </w:tr>
      <w:tr w:rsidR="00711444" w:rsidRPr="004D0DAA" w14:paraId="3929E0E4" w14:textId="77777777" w:rsidTr="00AA2A4C">
        <w:tblPrEx>
          <w:tblCellMar>
            <w:top w:w="0" w:type="dxa"/>
            <w:bottom w:w="0" w:type="dxa"/>
          </w:tblCellMar>
        </w:tblPrEx>
        <w:trPr>
          <w:cantSplit/>
        </w:trPr>
        <w:tc>
          <w:tcPr>
            <w:tcW w:w="9848" w:type="dxa"/>
          </w:tcPr>
          <w:p w14:paraId="35890B07" w14:textId="77777777" w:rsidR="00711444" w:rsidRPr="004D0DAA" w:rsidRDefault="00711444" w:rsidP="00AA2A4C">
            <w:pPr>
              <w:pStyle w:val="TAL"/>
              <w:rPr>
                <w:lang w:eastAsia="en-US"/>
              </w:rPr>
            </w:pPr>
            <w:r w:rsidRPr="004D0DAA">
              <w:rPr>
                <w:lang w:eastAsia="en-US"/>
              </w:rPr>
              <w:t>&lt;Number of Idle Blocks struct &gt; ::=</w:t>
            </w:r>
          </w:p>
          <w:p w14:paraId="6578ED2C" w14:textId="77777777" w:rsidR="00711444" w:rsidRPr="004D0DAA" w:rsidRDefault="00711444" w:rsidP="00AA2A4C">
            <w:pPr>
              <w:pStyle w:val="TAL"/>
              <w:rPr>
                <w:lang w:eastAsia="en-US"/>
              </w:rPr>
            </w:pPr>
            <w:r w:rsidRPr="004D0DAA">
              <w:rPr>
                <w:lang w:eastAsia="en-US"/>
              </w:rPr>
              <w:t xml:space="preserve">{ 0 | 1 { &lt; </w:t>
            </w:r>
            <w:r w:rsidRPr="004D0DAA">
              <w:rPr>
                <w:b/>
                <w:lang w:eastAsia="en-US"/>
              </w:rPr>
              <w:t>NIB_CCCH_0</w:t>
            </w:r>
            <w:r w:rsidRPr="004D0DAA">
              <w:rPr>
                <w:lang w:eastAsia="en-US"/>
              </w:rPr>
              <w:t> : bit (4) &gt; } }</w:t>
            </w:r>
          </w:p>
          <w:p w14:paraId="6B2FA4D2" w14:textId="77777777" w:rsidR="00711444" w:rsidRPr="004D0DAA" w:rsidRDefault="00711444" w:rsidP="00AA2A4C">
            <w:pPr>
              <w:pStyle w:val="TAL"/>
              <w:rPr>
                <w:lang w:eastAsia="en-US"/>
              </w:rPr>
            </w:pPr>
            <w:r w:rsidRPr="004D0DAA">
              <w:rPr>
                <w:lang w:eastAsia="en-US"/>
              </w:rPr>
              <w:t xml:space="preserve">{ 0 | 1 { &lt; </w:t>
            </w:r>
            <w:r w:rsidRPr="004D0DAA">
              <w:rPr>
                <w:b/>
                <w:lang w:eastAsia="en-US"/>
              </w:rPr>
              <w:t>NIB_CCCH_1</w:t>
            </w:r>
            <w:r w:rsidRPr="004D0DAA">
              <w:rPr>
                <w:lang w:eastAsia="en-US"/>
              </w:rPr>
              <w:t> : bit (4) &gt; } }</w:t>
            </w:r>
          </w:p>
          <w:p w14:paraId="1DD30573" w14:textId="77777777" w:rsidR="00711444" w:rsidRPr="004D0DAA" w:rsidRDefault="00711444" w:rsidP="00AA2A4C">
            <w:pPr>
              <w:pStyle w:val="TAL"/>
              <w:rPr>
                <w:lang w:eastAsia="en-US"/>
              </w:rPr>
            </w:pPr>
            <w:r w:rsidRPr="004D0DAA">
              <w:rPr>
                <w:lang w:eastAsia="en-US"/>
              </w:rPr>
              <w:t xml:space="preserve">{ 0 | 1 { &lt; </w:t>
            </w:r>
            <w:r w:rsidRPr="004D0DAA">
              <w:rPr>
                <w:b/>
                <w:lang w:eastAsia="en-US"/>
              </w:rPr>
              <w:t>NIB_CCCH_2</w:t>
            </w:r>
            <w:r w:rsidRPr="004D0DAA">
              <w:rPr>
                <w:lang w:eastAsia="en-US"/>
              </w:rPr>
              <w:t> : bit (4) &gt; } }</w:t>
            </w:r>
          </w:p>
          <w:p w14:paraId="4384DBAD" w14:textId="77777777" w:rsidR="00711444" w:rsidRPr="004D0DAA" w:rsidRDefault="00711444" w:rsidP="00AA2A4C">
            <w:pPr>
              <w:pStyle w:val="TAL"/>
              <w:rPr>
                <w:lang w:eastAsia="en-US"/>
              </w:rPr>
            </w:pPr>
            <w:r w:rsidRPr="004D0DAA">
              <w:rPr>
                <w:lang w:eastAsia="en-US"/>
              </w:rPr>
              <w:t xml:space="preserve">{ 0 | 1 { &lt; </w:t>
            </w:r>
            <w:r w:rsidRPr="004D0DAA">
              <w:rPr>
                <w:b/>
                <w:lang w:eastAsia="en-US"/>
              </w:rPr>
              <w:t>NIB_CCCH_3</w:t>
            </w:r>
            <w:r w:rsidRPr="004D0DAA">
              <w:rPr>
                <w:lang w:eastAsia="en-US"/>
              </w:rPr>
              <w:t> : bit (4) &gt; } } ;</w:t>
            </w:r>
          </w:p>
          <w:p w14:paraId="5AEC5FF3" w14:textId="77777777" w:rsidR="00711444" w:rsidRPr="004D0DAA" w:rsidRDefault="00711444" w:rsidP="00AA2A4C">
            <w:pPr>
              <w:pStyle w:val="TAL"/>
              <w:rPr>
                <w:lang w:eastAsia="en-US"/>
              </w:rPr>
            </w:pPr>
          </w:p>
        </w:tc>
      </w:tr>
      <w:tr w:rsidR="00711444" w:rsidRPr="004D0DAA" w14:paraId="71280F4E" w14:textId="77777777" w:rsidTr="00AA2A4C">
        <w:tblPrEx>
          <w:tblCellMar>
            <w:top w:w="0" w:type="dxa"/>
            <w:bottom w:w="0" w:type="dxa"/>
          </w:tblCellMar>
        </w:tblPrEx>
        <w:trPr>
          <w:cantSplit/>
        </w:trPr>
        <w:tc>
          <w:tcPr>
            <w:tcW w:w="9848" w:type="dxa"/>
          </w:tcPr>
          <w:p w14:paraId="16A56F16" w14:textId="77777777" w:rsidR="00711444" w:rsidRPr="004D0DAA" w:rsidRDefault="00711444" w:rsidP="00AA2A4C">
            <w:pPr>
              <w:pStyle w:val="TAL"/>
              <w:rPr>
                <w:lang w:eastAsia="en-US"/>
              </w:rPr>
            </w:pPr>
            <w:r w:rsidRPr="004D0DAA">
              <w:rPr>
                <w:lang w:eastAsia="en-US"/>
              </w:rPr>
              <w:lastRenderedPageBreak/>
              <w:t>&lt; Additional PSI Messages struct &gt; ::=</w:t>
            </w:r>
          </w:p>
          <w:p w14:paraId="63A353D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NON_GSM_INFORMATION</w:t>
            </w:r>
            <w:r w:rsidRPr="004D0DAA">
              <w:rPr>
                <w:lang w:eastAsia="en-US"/>
              </w:rPr>
              <w:t xml:space="preserve"> : bit(2) &gt; </w:t>
            </w:r>
          </w:p>
          <w:p w14:paraId="0BD354F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PSI8_BROADCAST</w:t>
            </w:r>
            <w:r w:rsidRPr="004D0DAA">
              <w:rPr>
                <w:lang w:eastAsia="en-US"/>
              </w:rPr>
              <w:t xml:space="preserve"> : bit (1) &gt;</w:t>
            </w:r>
            <w:r w:rsidRPr="004D0DAA">
              <w:rPr>
                <w:lang w:eastAsia="en-US"/>
              </w:rPr>
              <w:br/>
            </w:r>
            <w:r w:rsidRPr="004D0DAA">
              <w:rPr>
                <w:lang w:eastAsia="en-US"/>
              </w:rPr>
              <w:tab/>
              <w:t xml:space="preserve">&lt; </w:t>
            </w:r>
            <w:r w:rsidRPr="004D0DAA">
              <w:rPr>
                <w:b/>
                <w:lang w:eastAsia="en-US"/>
              </w:rPr>
              <w:t>PSI3ter_BROADCAST</w:t>
            </w:r>
            <w:r w:rsidRPr="004D0DAA">
              <w:rPr>
                <w:lang w:eastAsia="en-US"/>
              </w:rPr>
              <w:t xml:space="preserve"> : bit (1) &gt; </w:t>
            </w:r>
          </w:p>
          <w:p w14:paraId="456E572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PSI3quater_BROADCAST</w:t>
            </w:r>
            <w:r w:rsidRPr="004D0DAA">
              <w:rPr>
                <w:lang w:eastAsia="en-US"/>
              </w:rPr>
              <w:t xml:space="preserve"> : bit (1) &gt; ;</w:t>
            </w:r>
          </w:p>
          <w:p w14:paraId="35113B98" w14:textId="77777777" w:rsidR="00711444" w:rsidRPr="004D0DAA" w:rsidRDefault="00711444" w:rsidP="00AA2A4C">
            <w:pPr>
              <w:pStyle w:val="TAL"/>
              <w:rPr>
                <w:lang w:eastAsia="en-US"/>
              </w:rPr>
            </w:pPr>
          </w:p>
        </w:tc>
      </w:tr>
    </w:tbl>
    <w:p w14:paraId="28E0226B" w14:textId="77777777" w:rsidR="00711444" w:rsidRPr="004D0DAA" w:rsidRDefault="00711444" w:rsidP="00711444"/>
    <w:p w14:paraId="399518BF" w14:textId="77777777" w:rsidR="00711444" w:rsidRPr="004D0DAA" w:rsidRDefault="00711444" w:rsidP="00711444">
      <w:pPr>
        <w:pStyle w:val="TH"/>
      </w:pPr>
      <w:r w:rsidRPr="004D0DAA">
        <w:t>Table 11.2.19.2: PSI2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F970A41" w14:textId="77777777" w:rsidTr="00AA2A4C">
        <w:tblPrEx>
          <w:tblCellMar>
            <w:top w:w="0" w:type="dxa"/>
            <w:bottom w:w="0" w:type="dxa"/>
          </w:tblCellMar>
        </w:tblPrEx>
        <w:trPr>
          <w:cantSplit/>
        </w:trPr>
        <w:tc>
          <w:tcPr>
            <w:tcW w:w="9848" w:type="dxa"/>
          </w:tcPr>
          <w:p w14:paraId="27E321DE" w14:textId="77777777" w:rsidR="00711444" w:rsidRPr="004D0DAA" w:rsidRDefault="00711444" w:rsidP="00AA2A4C">
            <w:pPr>
              <w:rPr>
                <w:b/>
              </w:rPr>
            </w:pPr>
            <w:r w:rsidRPr="004D0DAA">
              <w:rPr>
                <w:b/>
              </w:rPr>
              <w:t>PAGE_MODE</w:t>
            </w:r>
            <w:r w:rsidRPr="004D0DAA">
              <w:t xml:space="preserve"> (2 bit field)</w:t>
            </w:r>
            <w:r w:rsidRPr="004D0DAA">
              <w:br/>
              <w:t>This field describes which type of page mode used, i.e. either normal paging, extended paging, paging reorganization or same as before from the previous page mode. The mobile station shall ignore this field if the message is received on the PACCH. Coding of this field is defined in 3GPP TS 44.018</w:t>
            </w:r>
          </w:p>
        </w:tc>
      </w:tr>
      <w:tr w:rsidR="00711444" w:rsidRPr="004D0DAA" w14:paraId="42C4482A" w14:textId="77777777" w:rsidTr="00AA2A4C">
        <w:tblPrEx>
          <w:tblCellMar>
            <w:top w:w="0" w:type="dxa"/>
            <w:bottom w:w="0" w:type="dxa"/>
          </w:tblCellMar>
        </w:tblPrEx>
        <w:trPr>
          <w:cantSplit/>
        </w:trPr>
        <w:tc>
          <w:tcPr>
            <w:tcW w:w="9848" w:type="dxa"/>
          </w:tcPr>
          <w:p w14:paraId="707139D3" w14:textId="77777777" w:rsidR="00711444" w:rsidRPr="004D0DAA" w:rsidRDefault="00711444" w:rsidP="00AA2A4C">
            <w:pPr>
              <w:rPr>
                <w:b/>
              </w:rPr>
            </w:pPr>
            <w:r w:rsidRPr="004D0DAA">
              <w:rPr>
                <w:b/>
              </w:rPr>
              <w:t>PSI2_CHANGE_MARK</w:t>
            </w:r>
            <w:r w:rsidRPr="004D0DAA">
              <w:t xml:space="preserve"> (2 bit field)</w:t>
            </w:r>
            <w:r w:rsidRPr="004D0DAA">
              <w:br/>
              <w:t xml:space="preserve">This field is the binary representation of the PSI </w:t>
            </w:r>
            <w:r w:rsidRPr="004D0DAA">
              <w:rPr>
                <w:i/>
              </w:rPr>
              <w:t>change mark</w:t>
            </w:r>
            <w:r w:rsidRPr="004D0DAA">
              <w:t xml:space="preserve"> parameter identifying a consistent set of PSI2 messages. Range: 0 to 3.</w:t>
            </w:r>
          </w:p>
        </w:tc>
      </w:tr>
      <w:tr w:rsidR="00711444" w:rsidRPr="004D0DAA" w14:paraId="58626BC0" w14:textId="77777777" w:rsidTr="00AA2A4C">
        <w:tblPrEx>
          <w:tblCellMar>
            <w:top w:w="0" w:type="dxa"/>
            <w:bottom w:w="0" w:type="dxa"/>
          </w:tblCellMar>
        </w:tblPrEx>
        <w:trPr>
          <w:cantSplit/>
        </w:trPr>
        <w:tc>
          <w:tcPr>
            <w:tcW w:w="9848" w:type="dxa"/>
          </w:tcPr>
          <w:p w14:paraId="7F115E7A" w14:textId="77777777" w:rsidR="00711444" w:rsidRPr="004D0DAA" w:rsidRDefault="00711444" w:rsidP="00AA2A4C">
            <w:pPr>
              <w:rPr>
                <w:b/>
              </w:rPr>
            </w:pPr>
            <w:r w:rsidRPr="004D0DAA">
              <w:rPr>
                <w:b/>
              </w:rPr>
              <w:t>PSI2_INDEX</w:t>
            </w:r>
            <w:r w:rsidRPr="004D0DAA">
              <w:t xml:space="preserve"> (3 bit field) and </w:t>
            </w:r>
            <w:r w:rsidRPr="004D0DAA">
              <w:rPr>
                <w:b/>
              </w:rPr>
              <w:t>PSI2_COUNT</w:t>
            </w:r>
            <w:r w:rsidRPr="004D0DAA">
              <w:t xml:space="preserve"> (3 bit field)</w:t>
            </w:r>
            <w:r w:rsidRPr="004D0DAA">
              <w:br/>
              <w:t xml:space="preserve">These fields are the binary representation of the PSI </w:t>
            </w:r>
            <w:r w:rsidRPr="004D0DAA">
              <w:rPr>
                <w:i/>
              </w:rPr>
              <w:t>index</w:t>
            </w:r>
            <w:r w:rsidRPr="004D0DAA">
              <w:t xml:space="preserve"> and PSI </w:t>
            </w:r>
            <w:r w:rsidRPr="004D0DAA">
              <w:rPr>
                <w:i/>
              </w:rPr>
              <w:t>count</w:t>
            </w:r>
            <w:r w:rsidRPr="004D0DAA">
              <w:t xml:space="preserve"> parameters associated with the PSI2 message.</w:t>
            </w:r>
          </w:p>
        </w:tc>
      </w:tr>
      <w:tr w:rsidR="00711444" w:rsidRPr="004D0DAA" w14:paraId="0A88B3E0" w14:textId="77777777" w:rsidTr="00AA2A4C">
        <w:tblPrEx>
          <w:tblCellMar>
            <w:top w:w="0" w:type="dxa"/>
            <w:bottom w:w="0" w:type="dxa"/>
          </w:tblCellMar>
        </w:tblPrEx>
        <w:trPr>
          <w:cantSplit/>
        </w:trPr>
        <w:tc>
          <w:tcPr>
            <w:tcW w:w="9848" w:type="dxa"/>
          </w:tcPr>
          <w:p w14:paraId="52CC8149" w14:textId="77777777" w:rsidR="00711444" w:rsidRPr="004D0DAA" w:rsidRDefault="00711444" w:rsidP="00AA2A4C">
            <w:pPr>
              <w:rPr>
                <w:b/>
              </w:rPr>
            </w:pPr>
            <w:r w:rsidRPr="004D0DAA">
              <w:rPr>
                <w:b/>
              </w:rPr>
              <w:t>Cell Identification</w:t>
            </w:r>
            <w:r w:rsidRPr="004D0DAA">
              <w:br/>
              <w:t>This information element is defined in sub-clause 12.23. This field shall be present in at least one instance of PSI2 and may appear only once in a complete set of PSI2 messages.</w:t>
            </w:r>
          </w:p>
        </w:tc>
      </w:tr>
      <w:tr w:rsidR="00711444" w:rsidRPr="004D0DAA" w14:paraId="1841F3DA" w14:textId="77777777" w:rsidTr="00AA2A4C">
        <w:tblPrEx>
          <w:tblCellMar>
            <w:top w:w="0" w:type="dxa"/>
            <w:bottom w:w="0" w:type="dxa"/>
          </w:tblCellMar>
        </w:tblPrEx>
        <w:trPr>
          <w:cantSplit/>
        </w:trPr>
        <w:tc>
          <w:tcPr>
            <w:tcW w:w="9848" w:type="dxa"/>
          </w:tcPr>
          <w:p w14:paraId="3969507F" w14:textId="77777777" w:rsidR="00711444" w:rsidRPr="004D0DAA" w:rsidRDefault="00711444" w:rsidP="00AA2A4C">
            <w:pPr>
              <w:rPr>
                <w:b/>
              </w:rPr>
            </w:pPr>
            <w:r w:rsidRPr="004D0DAA">
              <w:rPr>
                <w:b/>
              </w:rPr>
              <w:t>Non GPRS Cell Options</w:t>
            </w:r>
            <w:r w:rsidRPr="004D0DAA">
              <w:br/>
              <w:t>This field is defined in sub-clause 12.27.</w:t>
            </w:r>
            <w:r w:rsidRPr="004D0DAA">
              <w:br/>
              <w:t>This field shall be present in at least one instance of PSI2.</w:t>
            </w:r>
          </w:p>
        </w:tc>
      </w:tr>
      <w:tr w:rsidR="00711444" w:rsidRPr="004D0DAA" w14:paraId="41A7736E" w14:textId="77777777" w:rsidTr="00AA2A4C">
        <w:tblPrEx>
          <w:tblCellMar>
            <w:top w:w="0" w:type="dxa"/>
            <w:bottom w:w="0" w:type="dxa"/>
          </w:tblCellMar>
        </w:tblPrEx>
        <w:trPr>
          <w:cantSplit/>
        </w:trPr>
        <w:tc>
          <w:tcPr>
            <w:tcW w:w="9848" w:type="dxa"/>
          </w:tcPr>
          <w:p w14:paraId="3534B243" w14:textId="77777777" w:rsidR="00711444" w:rsidRPr="004D0DAA" w:rsidRDefault="00711444" w:rsidP="00AA2A4C">
            <w:pPr>
              <w:rPr>
                <w:b/>
              </w:rPr>
            </w:pPr>
            <w:r w:rsidRPr="004D0DAA">
              <w:rPr>
                <w:b/>
              </w:rPr>
              <w:t>Reference Frequency Lists</w:t>
            </w:r>
            <w:r w:rsidRPr="004D0DAA">
              <w:t xml:space="preserve"> (construction)</w:t>
            </w:r>
            <w:r w:rsidRPr="004D0DAA">
              <w:br/>
              <w:t>This construction is the representation of the reference frequency lists provided in an instance of the PSI2 message. An RFL_NUMBER field preceding each reference frequency list (RFL) identifies the RFL.</w:t>
            </w:r>
          </w:p>
        </w:tc>
      </w:tr>
      <w:tr w:rsidR="00711444" w:rsidRPr="004D0DAA" w14:paraId="487B7A06" w14:textId="77777777" w:rsidTr="00AA2A4C">
        <w:tblPrEx>
          <w:tblCellMar>
            <w:top w:w="0" w:type="dxa"/>
            <w:bottom w:w="0" w:type="dxa"/>
          </w:tblCellMar>
        </w:tblPrEx>
        <w:trPr>
          <w:cantSplit/>
        </w:trPr>
        <w:tc>
          <w:tcPr>
            <w:tcW w:w="9848" w:type="dxa"/>
          </w:tcPr>
          <w:p w14:paraId="50041A8D" w14:textId="77777777" w:rsidR="00711444" w:rsidRPr="004D0DAA" w:rsidRDefault="00711444" w:rsidP="00AA2A4C">
            <w:pPr>
              <w:rPr>
                <w:b/>
              </w:rPr>
            </w:pPr>
            <w:r w:rsidRPr="004D0DAA">
              <w:rPr>
                <w:b/>
              </w:rPr>
              <w:t>Cell Allocations</w:t>
            </w:r>
            <w:r w:rsidRPr="004D0DAA">
              <w:t xml:space="preserve"> (construction)</w:t>
            </w:r>
            <w:r w:rsidRPr="004D0DAA">
              <w:br/>
              <w:t>This construction is a representation of the cell allocation (CA) defined for the cell. The set of radio frequency channels contained in the referenced RFLs in this construction defines the cell allocation.</w:t>
            </w:r>
          </w:p>
        </w:tc>
      </w:tr>
      <w:tr w:rsidR="00711444" w:rsidRPr="004D0DAA" w14:paraId="12C78D86" w14:textId="77777777" w:rsidTr="00AA2A4C">
        <w:tblPrEx>
          <w:tblCellMar>
            <w:top w:w="0" w:type="dxa"/>
            <w:bottom w:w="0" w:type="dxa"/>
          </w:tblCellMar>
        </w:tblPrEx>
        <w:trPr>
          <w:cantSplit/>
        </w:trPr>
        <w:tc>
          <w:tcPr>
            <w:tcW w:w="9848" w:type="dxa"/>
          </w:tcPr>
          <w:p w14:paraId="44051A1C" w14:textId="77777777" w:rsidR="00711444" w:rsidRPr="004D0DAA" w:rsidRDefault="00711444" w:rsidP="00AA2A4C">
            <w:pPr>
              <w:rPr>
                <w:b/>
              </w:rPr>
            </w:pPr>
            <w:r w:rsidRPr="004D0DAA">
              <w:rPr>
                <w:b/>
              </w:rPr>
              <w:t>GPRS Mobile Allocations</w:t>
            </w:r>
            <w:r w:rsidRPr="004D0DAA">
              <w:t xml:space="preserve"> (construction)</w:t>
            </w:r>
            <w:r w:rsidRPr="004D0DAA">
              <w:br/>
              <w:t>This construction is the representation of the GPRS mobile allocations provided in an instance of the PSI2 message. An MA_NUMBER field preceding each GPRS mobile allocation identifies the GPRS mobile allocation. The receiver shall disregard a GPRS mobile allocation provided in this message that is identified by MA_NUMBER = 14 or 15.</w:t>
            </w:r>
          </w:p>
        </w:tc>
      </w:tr>
      <w:tr w:rsidR="00711444" w:rsidRPr="004D0DAA" w14:paraId="1ED38988" w14:textId="77777777" w:rsidTr="00AA2A4C">
        <w:tblPrEx>
          <w:tblCellMar>
            <w:top w:w="0" w:type="dxa"/>
            <w:bottom w:w="0" w:type="dxa"/>
          </w:tblCellMar>
        </w:tblPrEx>
        <w:trPr>
          <w:cantSplit/>
        </w:trPr>
        <w:tc>
          <w:tcPr>
            <w:tcW w:w="9848" w:type="dxa"/>
          </w:tcPr>
          <w:p w14:paraId="0C8D0FFF" w14:textId="77777777" w:rsidR="00711444" w:rsidRPr="004D0DAA" w:rsidRDefault="00711444" w:rsidP="00AA2A4C">
            <w:r w:rsidRPr="004D0DAA">
              <w:rPr>
                <w:b/>
              </w:rPr>
              <w:t>PCCCH Description</w:t>
            </w:r>
            <w:r w:rsidRPr="004D0DAA">
              <w:t xml:space="preserve"> (construction)</w:t>
            </w:r>
            <w:r w:rsidRPr="004D0DAA">
              <w:br/>
              <w:t>This construction is a representation of the timeslots carrying PCCCH in the cell and their frequency configurations. The training sequence code (TSC) preceding each list of PCCCH carriers in the PCCCH description shall be used for the timeslots selected for PCCCH on those PCCCH carriers. The TSC that is used for the timeslot also carrying PBCCH shall equal the TSC used for the PBCCH in the cell.</w:t>
            </w:r>
          </w:p>
          <w:p w14:paraId="1AAB5399" w14:textId="77777777" w:rsidR="00711444" w:rsidRPr="004D0DAA" w:rsidRDefault="00711444" w:rsidP="00AA2A4C">
            <w:r w:rsidRPr="004D0DAA">
              <w:t>The number of timeslots carrying PCCCH in the cell is denoted KC. This is also the implicit value of the parameter BS_PCC_CHANS, see 3GPP TS 45.002. The range for KC is 1 to 16 if PBCCH (and PCCCH) is present in the cell. (KC = 0 if PBCCH is not present in the cell.)</w:t>
            </w:r>
          </w:p>
          <w:p w14:paraId="39B2E3A2" w14:textId="77777777" w:rsidR="00711444" w:rsidRPr="004D0DAA" w:rsidRDefault="00711444" w:rsidP="00AA2A4C">
            <w:pPr>
              <w:rPr>
                <w:b/>
              </w:rPr>
            </w:pPr>
            <w:r w:rsidRPr="004D0DAA">
              <w:t>The mapping of the PCCCH_GROUPs (numbered from 0 to KC-1) starts with the lowest numbered PCCCH_GROUP, which is mapped on the lowest numbered timeslot carrying PCCCH on the first (non-hopping or hopping) PCCCH carrier appearing in this construction. The next higher numbered PCCCH_GROUP is mapped on the next (if any) higher numbered timeslot carrying PCCCH on the same carrier, and so on. When all timeslots carrying PCCCH on the first carrier have been used, the next higher numbered PCCCH_GROUP is mapped on the lowest numbered timeslot carrying PCCCH on the next PCCCH carrier appearing in this construction, and so on. The highest numbered PCCCH_GROUP is mapped on the highest numbered timeslot carrying PCCCH on the last PCCCH carrier appearing in this construction.</w:t>
            </w:r>
          </w:p>
        </w:tc>
      </w:tr>
      <w:tr w:rsidR="00711444" w:rsidRPr="004D0DAA" w14:paraId="79072682" w14:textId="77777777" w:rsidTr="00AA2A4C">
        <w:tblPrEx>
          <w:tblCellMar>
            <w:top w:w="0" w:type="dxa"/>
            <w:bottom w:w="0" w:type="dxa"/>
          </w:tblCellMar>
        </w:tblPrEx>
        <w:trPr>
          <w:cantSplit/>
        </w:trPr>
        <w:tc>
          <w:tcPr>
            <w:tcW w:w="9848" w:type="dxa"/>
          </w:tcPr>
          <w:p w14:paraId="344FEB6B" w14:textId="77777777" w:rsidR="00711444" w:rsidRPr="004D0DAA" w:rsidRDefault="00711444" w:rsidP="00AA2A4C">
            <w:pPr>
              <w:rPr>
                <w:b/>
              </w:rPr>
            </w:pPr>
            <w:r w:rsidRPr="004D0DAA">
              <w:rPr>
                <w:b/>
              </w:rPr>
              <w:lastRenderedPageBreak/>
              <w:t>RFL_NUMBER</w:t>
            </w:r>
            <w:r w:rsidRPr="004D0DAA">
              <w:t xml:space="preserve"> (4 bit field)</w:t>
            </w:r>
            <w:r w:rsidRPr="004D0DAA">
              <w:br/>
              <w:t>This field is the binary identification of an RFL provided in this message or the binary reference to such.</w:t>
            </w:r>
            <w:r w:rsidRPr="004D0DAA">
              <w:br/>
              <w:t>Range: 0 to 15.</w:t>
            </w:r>
          </w:p>
        </w:tc>
      </w:tr>
      <w:tr w:rsidR="00711444" w:rsidRPr="004D0DAA" w14:paraId="6EFC5C89" w14:textId="77777777" w:rsidTr="00AA2A4C">
        <w:tblPrEx>
          <w:tblCellMar>
            <w:top w:w="0" w:type="dxa"/>
            <w:bottom w:w="0" w:type="dxa"/>
          </w:tblCellMar>
        </w:tblPrEx>
        <w:trPr>
          <w:cantSplit/>
        </w:trPr>
        <w:tc>
          <w:tcPr>
            <w:tcW w:w="9848" w:type="dxa"/>
          </w:tcPr>
          <w:p w14:paraId="225D43BD" w14:textId="77777777" w:rsidR="00711444" w:rsidRPr="004D0DAA" w:rsidRDefault="00711444" w:rsidP="00AA2A4C">
            <w:r w:rsidRPr="004D0DAA">
              <w:rPr>
                <w:b/>
              </w:rPr>
              <w:t>RFL contents</w:t>
            </w:r>
            <w:r w:rsidRPr="004D0DAA">
              <w:t xml:space="preserve"> (variable length octet string)</w:t>
            </w:r>
            <w:r w:rsidRPr="004D0DAA">
              <w:br/>
              <w:t xml:space="preserve">This variable length octet string is the representation of a set of radio frequency channels defining an RFL provided in the PSI2 message. The encoding of the octet string is defined by the </w:t>
            </w:r>
            <w:r w:rsidRPr="004D0DAA">
              <w:rPr>
                <w:i/>
              </w:rPr>
              <w:t>value part</w:t>
            </w:r>
            <w:r w:rsidRPr="004D0DAA">
              <w:t xml:space="preserve"> of the type 4 information element </w:t>
            </w:r>
            <w:r w:rsidRPr="004D0DAA">
              <w:rPr>
                <w:i/>
              </w:rPr>
              <w:t>Frequency List</w:t>
            </w:r>
            <w:r w:rsidRPr="004D0DAA">
              <w:t>,</w:t>
            </w:r>
            <w:r w:rsidRPr="004D0DAA">
              <w:rPr>
                <w:i/>
              </w:rPr>
              <w:t xml:space="preserve"> </w:t>
            </w:r>
            <w:r w:rsidRPr="004D0DAA">
              <w:t xml:space="preserve">defined in 3GPP TS 44.018. The allowed formats of the </w:t>
            </w:r>
            <w:r w:rsidRPr="004D0DAA">
              <w:rPr>
                <w:i/>
              </w:rPr>
              <w:t>Frequency List</w:t>
            </w:r>
            <w:r w:rsidRPr="004D0DAA">
              <w:t xml:space="preserve"> information element are the </w:t>
            </w:r>
            <w:r w:rsidRPr="004D0DAA">
              <w:rPr>
                <w:i/>
              </w:rPr>
              <w:t>bit map 0</w:t>
            </w:r>
            <w:r w:rsidRPr="004D0DAA">
              <w:t xml:space="preserve">, </w:t>
            </w:r>
            <w:r w:rsidRPr="004D0DAA">
              <w:rPr>
                <w:i/>
              </w:rPr>
              <w:t>1024 range</w:t>
            </w:r>
            <w:r w:rsidRPr="004D0DAA">
              <w:t xml:space="preserve">, </w:t>
            </w:r>
            <w:r w:rsidRPr="004D0DAA">
              <w:rPr>
                <w:i/>
              </w:rPr>
              <w:t>512 range</w:t>
            </w:r>
            <w:r w:rsidRPr="004D0DAA">
              <w:t xml:space="preserve">, </w:t>
            </w:r>
            <w:r w:rsidRPr="004D0DAA">
              <w:rPr>
                <w:i/>
              </w:rPr>
              <w:t>256 range</w:t>
            </w:r>
            <w:r w:rsidRPr="004D0DAA">
              <w:t xml:space="preserve">, </w:t>
            </w:r>
            <w:r w:rsidRPr="004D0DAA">
              <w:rPr>
                <w:i/>
              </w:rPr>
              <w:t>128 range</w:t>
            </w:r>
            <w:r w:rsidRPr="004D0DAA">
              <w:t xml:space="preserve"> and </w:t>
            </w:r>
            <w:r w:rsidRPr="004D0DAA">
              <w:rPr>
                <w:i/>
              </w:rPr>
              <w:t>variable bit map</w:t>
            </w:r>
            <w:r w:rsidRPr="004D0DAA">
              <w:t xml:space="preserve"> formats.</w:t>
            </w:r>
          </w:p>
        </w:tc>
      </w:tr>
      <w:tr w:rsidR="00711444" w:rsidRPr="004D0DAA" w14:paraId="04A63562" w14:textId="77777777" w:rsidTr="00AA2A4C">
        <w:tblPrEx>
          <w:tblCellMar>
            <w:top w:w="0" w:type="dxa"/>
            <w:bottom w:w="0" w:type="dxa"/>
          </w:tblCellMar>
        </w:tblPrEx>
        <w:trPr>
          <w:cantSplit/>
        </w:trPr>
        <w:tc>
          <w:tcPr>
            <w:tcW w:w="9848" w:type="dxa"/>
          </w:tcPr>
          <w:p w14:paraId="6276DA6B" w14:textId="77777777" w:rsidR="00711444" w:rsidRPr="004D0DAA" w:rsidRDefault="00711444" w:rsidP="00AA2A4C">
            <w:pPr>
              <w:rPr>
                <w:b/>
              </w:rPr>
            </w:pPr>
            <w:r w:rsidRPr="004D0DAA">
              <w:rPr>
                <w:b/>
              </w:rPr>
              <w:t>MA_NUMBER</w:t>
            </w:r>
            <w:r w:rsidRPr="004D0DAA">
              <w:t xml:space="preserve"> (4 bit field)</w:t>
            </w:r>
            <w:r w:rsidRPr="004D0DAA">
              <w:br/>
              <w:t>This field is the binary identification of a GPRS Mobile Allocation provided in this message or the binary reference to such.</w:t>
            </w:r>
            <w:r w:rsidRPr="004D0DAA">
              <w:br/>
              <w:t>Range: 0 to 13. (MA_NUMBER = 14 and 15 shall not be used in this message.)</w:t>
            </w:r>
          </w:p>
        </w:tc>
      </w:tr>
      <w:tr w:rsidR="00711444" w:rsidRPr="004D0DAA" w14:paraId="6B3B8619" w14:textId="77777777" w:rsidTr="00AA2A4C">
        <w:tblPrEx>
          <w:tblCellMar>
            <w:top w:w="0" w:type="dxa"/>
            <w:bottom w:w="0" w:type="dxa"/>
          </w:tblCellMar>
        </w:tblPrEx>
        <w:trPr>
          <w:cantSplit/>
        </w:trPr>
        <w:tc>
          <w:tcPr>
            <w:tcW w:w="9848" w:type="dxa"/>
          </w:tcPr>
          <w:p w14:paraId="775AA366" w14:textId="77777777" w:rsidR="00711444" w:rsidRPr="004D0DAA" w:rsidRDefault="00711444" w:rsidP="00AA2A4C">
            <w:pPr>
              <w:rPr>
                <w:b/>
              </w:rPr>
            </w:pPr>
            <w:r w:rsidRPr="004D0DAA">
              <w:rPr>
                <w:b/>
              </w:rPr>
              <w:t>GPRS Mobile Allocation</w:t>
            </w:r>
            <w:r w:rsidRPr="004D0DAA">
              <w:t xml:space="preserve"> (information element)</w:t>
            </w:r>
            <w:r w:rsidRPr="004D0DAA">
              <w:br/>
              <w:t xml:space="preserve">The </w:t>
            </w:r>
            <w:r w:rsidRPr="004D0DAA">
              <w:rPr>
                <w:i/>
              </w:rPr>
              <w:t>GPRS Mobile Allocation</w:t>
            </w:r>
            <w:r w:rsidRPr="004D0DAA">
              <w:t xml:space="preserve"> information element is defined in sub-clause 12.10a.</w:t>
            </w:r>
          </w:p>
        </w:tc>
      </w:tr>
      <w:tr w:rsidR="00711444" w:rsidRPr="004D0DAA" w14:paraId="09F21E1D" w14:textId="77777777" w:rsidTr="00AA2A4C">
        <w:tblPrEx>
          <w:tblCellMar>
            <w:top w:w="0" w:type="dxa"/>
            <w:bottom w:w="0" w:type="dxa"/>
          </w:tblCellMar>
        </w:tblPrEx>
        <w:trPr>
          <w:cantSplit/>
        </w:trPr>
        <w:tc>
          <w:tcPr>
            <w:tcW w:w="9848" w:type="dxa"/>
          </w:tcPr>
          <w:p w14:paraId="65946BA2" w14:textId="77777777" w:rsidR="00711444" w:rsidRPr="004D0DAA" w:rsidRDefault="00711444" w:rsidP="00AA2A4C">
            <w:pPr>
              <w:rPr>
                <w:b/>
              </w:rPr>
            </w:pPr>
            <w:r w:rsidRPr="004D0DAA">
              <w:rPr>
                <w:b/>
              </w:rPr>
              <w:t xml:space="preserve">TSC </w:t>
            </w:r>
            <w:r w:rsidRPr="004D0DAA">
              <w:t>(3 bit field)</w:t>
            </w:r>
            <w:r w:rsidRPr="004D0DAA">
              <w:br/>
              <w:t>This field is the binary representation of the training sequence code, see 3GPP TS 45.002.</w:t>
            </w:r>
            <w:r w:rsidRPr="004D0DAA">
              <w:br/>
              <w:t>Range: 0 to 7.</w:t>
            </w:r>
          </w:p>
        </w:tc>
      </w:tr>
      <w:tr w:rsidR="00711444" w:rsidRPr="004D0DAA" w14:paraId="6C56EB74" w14:textId="77777777" w:rsidTr="00AA2A4C">
        <w:tblPrEx>
          <w:tblCellMar>
            <w:top w:w="0" w:type="dxa"/>
            <w:bottom w:w="0" w:type="dxa"/>
          </w:tblCellMar>
        </w:tblPrEx>
        <w:trPr>
          <w:cantSplit/>
        </w:trPr>
        <w:tc>
          <w:tcPr>
            <w:tcW w:w="9848" w:type="dxa"/>
          </w:tcPr>
          <w:p w14:paraId="287A0678" w14:textId="77777777" w:rsidR="00711444" w:rsidRPr="004D0DAA" w:rsidRDefault="00711444" w:rsidP="00AA2A4C">
            <w:pPr>
              <w:rPr>
                <w:b/>
              </w:rPr>
            </w:pPr>
            <w:r w:rsidRPr="004D0DAA">
              <w:rPr>
                <w:b/>
              </w:rPr>
              <w:t>ARFCN</w:t>
            </w:r>
            <w:r w:rsidRPr="004D0DAA">
              <w:t xml:space="preserve"> (10 bit field)</w:t>
            </w:r>
            <w:r w:rsidRPr="004D0DAA">
              <w:br/>
              <w:t>This field is the binary representation of the absolute radio frequency channel number (ARFCN) defined in 3GPP 45.005.</w:t>
            </w:r>
            <w:r w:rsidRPr="004D0DAA">
              <w:br/>
              <w:t>Range 0 to 1023.</w:t>
            </w:r>
          </w:p>
        </w:tc>
      </w:tr>
      <w:tr w:rsidR="00711444" w:rsidRPr="004D0DAA" w14:paraId="067BD52B" w14:textId="77777777" w:rsidTr="00AA2A4C">
        <w:tblPrEx>
          <w:tblCellMar>
            <w:top w:w="0" w:type="dxa"/>
            <w:bottom w:w="0" w:type="dxa"/>
          </w:tblCellMar>
        </w:tblPrEx>
        <w:trPr>
          <w:cantSplit/>
        </w:trPr>
        <w:tc>
          <w:tcPr>
            <w:tcW w:w="9848" w:type="dxa"/>
          </w:tcPr>
          <w:p w14:paraId="5D93B461" w14:textId="77777777" w:rsidR="00711444" w:rsidRPr="004D0DAA" w:rsidRDefault="00711444" w:rsidP="00AA2A4C">
            <w:pPr>
              <w:rPr>
                <w:b/>
              </w:rPr>
            </w:pPr>
            <w:r w:rsidRPr="004D0DAA">
              <w:rPr>
                <w:b/>
              </w:rPr>
              <w:t>MAIO</w:t>
            </w:r>
            <w:r w:rsidRPr="004D0DAA">
              <w:t xml:space="preserve"> (6 bit field)</w:t>
            </w:r>
            <w:r w:rsidRPr="004D0DAA">
              <w:br/>
              <w:t>This field is the binary representation of the mobile allocation index offset (MAIO), see 3GPP TS 45.002.</w:t>
            </w:r>
            <w:r w:rsidRPr="004D0DAA">
              <w:br/>
              <w:t>Range: 0 to 63.</w:t>
            </w:r>
          </w:p>
        </w:tc>
      </w:tr>
      <w:tr w:rsidR="00711444" w:rsidRPr="004D0DAA" w14:paraId="369F6306" w14:textId="77777777" w:rsidTr="00AA2A4C">
        <w:tblPrEx>
          <w:tblCellMar>
            <w:top w:w="0" w:type="dxa"/>
            <w:bottom w:w="0" w:type="dxa"/>
          </w:tblCellMar>
        </w:tblPrEx>
        <w:trPr>
          <w:cantSplit/>
        </w:trPr>
        <w:tc>
          <w:tcPr>
            <w:tcW w:w="9848" w:type="dxa"/>
          </w:tcPr>
          <w:p w14:paraId="57AD83A0" w14:textId="77777777" w:rsidR="00711444" w:rsidRPr="004D0DAA" w:rsidRDefault="00711444" w:rsidP="00AA2A4C">
            <w:pPr>
              <w:rPr>
                <w:b/>
              </w:rPr>
            </w:pPr>
            <w:r w:rsidRPr="004D0DAA">
              <w:rPr>
                <w:b/>
              </w:rPr>
              <w:t xml:space="preserve"> TIMESLOT_ALLOCATION</w:t>
            </w:r>
            <w:r w:rsidRPr="004D0DAA">
              <w:t xml:space="preserve"> (8 bit field)</w:t>
            </w:r>
            <w:r w:rsidRPr="004D0DAA">
              <w:br/>
              <w:t>This field indicates which timeslot are assigned as PCCCH. This field is coded as</w:t>
            </w:r>
            <w:r w:rsidRPr="004D0DAA">
              <w:rPr>
                <w:b/>
                <w:bCs/>
              </w:rPr>
              <w:t xml:space="preserve"> </w:t>
            </w:r>
            <w:r w:rsidRPr="004D0DAA">
              <w:t>defined in sub-clause 12.18. . Note that for a CPCCCH this information shall be ignored by the MS, the CPCCCH is rotating between odd timeslots and not allocated to a specific timeslot, see 3GPP TS 45.002.</w:t>
            </w:r>
          </w:p>
        </w:tc>
      </w:tr>
      <w:tr w:rsidR="00711444" w:rsidRPr="004D0DAA" w14:paraId="52D714EE" w14:textId="77777777" w:rsidTr="00AA2A4C">
        <w:tblPrEx>
          <w:tblCellMar>
            <w:top w:w="0" w:type="dxa"/>
            <w:bottom w:w="0" w:type="dxa"/>
          </w:tblCellMar>
        </w:tblPrEx>
        <w:trPr>
          <w:cantSplit/>
        </w:trPr>
        <w:tc>
          <w:tcPr>
            <w:tcW w:w="9848" w:type="dxa"/>
          </w:tcPr>
          <w:p w14:paraId="1BA6A51D" w14:textId="77777777" w:rsidR="00711444" w:rsidRPr="004D0DAA" w:rsidRDefault="00711444" w:rsidP="00AA2A4C">
            <w:r w:rsidRPr="004D0DAA">
              <w:rPr>
                <w:b/>
              </w:rPr>
              <w:t>Large Cell Operation</w:t>
            </w:r>
            <w:r w:rsidRPr="004D0DAA">
              <w:t xml:space="preserve"> (LARGE_CELL_OP) </w:t>
            </w:r>
            <w:r w:rsidRPr="004D0DAA">
              <w:br/>
              <w:t>If this bit is set to one, the cell is in large cell operation mode (see 3GPP TS 45.002).</w:t>
            </w:r>
          </w:p>
          <w:p w14:paraId="63190B65" w14:textId="77777777" w:rsidR="00711444" w:rsidRPr="004D0DAA" w:rsidRDefault="00711444" w:rsidP="00AA2A4C">
            <w:pPr>
              <w:rPr>
                <w:b/>
              </w:rPr>
            </w:pPr>
            <w:r w:rsidRPr="004D0DAA">
              <w:t>0</w:t>
            </w:r>
            <w:r w:rsidRPr="004D0DAA">
              <w:tab/>
              <w:t>This cell is a nominal size cell</w:t>
            </w:r>
            <w:r w:rsidRPr="004D0DAA">
              <w:br/>
              <w:t>1</w:t>
            </w:r>
            <w:r w:rsidRPr="004D0DAA">
              <w:tab/>
              <w:t>This cell is a large cell</w:t>
            </w:r>
          </w:p>
        </w:tc>
      </w:tr>
      <w:tr w:rsidR="00711444" w:rsidRPr="004D0DAA" w14:paraId="7209AB96" w14:textId="77777777" w:rsidTr="00AA2A4C">
        <w:tblPrEx>
          <w:tblCellMar>
            <w:top w:w="0" w:type="dxa"/>
            <w:bottom w:w="0" w:type="dxa"/>
          </w:tblCellMar>
        </w:tblPrEx>
        <w:trPr>
          <w:cantSplit/>
        </w:trPr>
        <w:tc>
          <w:tcPr>
            <w:tcW w:w="9848" w:type="dxa"/>
          </w:tcPr>
          <w:p w14:paraId="204AD63D" w14:textId="77777777" w:rsidR="00711444" w:rsidRPr="004D0DAA" w:rsidRDefault="00711444" w:rsidP="00AA2A4C">
            <w:pPr>
              <w:rPr>
                <w:b/>
              </w:rPr>
            </w:pPr>
            <w:r w:rsidRPr="004D0DAA">
              <w:rPr>
                <w:b/>
              </w:rPr>
              <w:t>NIB_CCCH_0</w:t>
            </w:r>
            <w:r w:rsidRPr="004D0DAA">
              <w:t xml:space="preserve"> (4 bit field)</w:t>
            </w:r>
            <w:r w:rsidRPr="004D0DAA">
              <w:br/>
              <w:t>This field is the binary representation of the number of radio blocks that shall remain idle in time group 0 for blocks associated with CPBCCH and CPCCCH (see 3GPP TS 45.002). If this information element is not present the value 0 shall be used. Note that this information element shall not be present for the serving cell time group (e.g. if the serving cell time group is time group zero, this information element is not present, but if the serving cell time group is time group one this information element is present).</w:t>
            </w:r>
          </w:p>
        </w:tc>
      </w:tr>
      <w:tr w:rsidR="00711444" w:rsidRPr="004D0DAA" w14:paraId="7D0892E4" w14:textId="77777777" w:rsidTr="00AA2A4C">
        <w:tblPrEx>
          <w:tblCellMar>
            <w:top w:w="0" w:type="dxa"/>
            <w:bottom w:w="0" w:type="dxa"/>
          </w:tblCellMar>
        </w:tblPrEx>
        <w:trPr>
          <w:cantSplit/>
        </w:trPr>
        <w:tc>
          <w:tcPr>
            <w:tcW w:w="9848" w:type="dxa"/>
          </w:tcPr>
          <w:p w14:paraId="780899FE" w14:textId="77777777" w:rsidR="00711444" w:rsidRPr="004D0DAA" w:rsidRDefault="00711444" w:rsidP="00AA2A4C">
            <w:pPr>
              <w:rPr>
                <w:b/>
              </w:rPr>
            </w:pPr>
            <w:r w:rsidRPr="004D0DAA">
              <w:rPr>
                <w:b/>
              </w:rPr>
              <w:t>NIB_CCCH_1, NIB_CCCH_2, NIB_CCCH_3</w:t>
            </w:r>
            <w:r w:rsidRPr="004D0DAA">
              <w:br/>
              <w:t>Defined exactly as NIB_CCCH_0, except applied to time group 1, 2, and 3 respectively.</w:t>
            </w:r>
          </w:p>
        </w:tc>
      </w:tr>
      <w:tr w:rsidR="00711444" w:rsidRPr="004D0DAA" w14:paraId="679BD6B9" w14:textId="77777777" w:rsidTr="00AA2A4C">
        <w:tblPrEx>
          <w:tblCellMar>
            <w:top w:w="0" w:type="dxa"/>
            <w:bottom w:w="0" w:type="dxa"/>
          </w:tblCellMar>
        </w:tblPrEx>
        <w:trPr>
          <w:cantSplit/>
        </w:trPr>
        <w:tc>
          <w:tcPr>
            <w:tcW w:w="9848" w:type="dxa"/>
          </w:tcPr>
          <w:p w14:paraId="4CF82B24" w14:textId="77777777" w:rsidR="00711444" w:rsidRPr="004D0DAA" w:rsidRDefault="00711444" w:rsidP="00AA2A4C">
            <w:pPr>
              <w:rPr>
                <w:b/>
              </w:rPr>
            </w:pPr>
            <w:r w:rsidRPr="004D0DAA">
              <w:rPr>
                <w:b/>
              </w:rPr>
              <w:t>N_CCCH_NH</w:t>
            </w:r>
            <w:r w:rsidRPr="004D0DAA">
              <w:t xml:space="preserve"> (4 bit field)</w:t>
            </w:r>
            <w:r w:rsidRPr="004D0DAA">
              <w:br/>
              <w:t>This field is the binary representation of the amount of non-hopping blocks on control channels (see 3GPP TS 45.002).</w:t>
            </w:r>
            <w:r w:rsidRPr="004D0DAA">
              <w:br/>
              <w:t>Range 1 to 11.</w:t>
            </w:r>
          </w:p>
        </w:tc>
      </w:tr>
      <w:tr w:rsidR="00711444" w:rsidRPr="004D0DAA" w14:paraId="10F993E3" w14:textId="77777777" w:rsidTr="00AA2A4C">
        <w:tblPrEx>
          <w:tblCellMar>
            <w:top w:w="0" w:type="dxa"/>
            <w:bottom w:w="0" w:type="dxa"/>
          </w:tblCellMar>
        </w:tblPrEx>
        <w:trPr>
          <w:cantSplit/>
        </w:trPr>
        <w:tc>
          <w:tcPr>
            <w:tcW w:w="9848" w:type="dxa"/>
          </w:tcPr>
          <w:p w14:paraId="60895E75" w14:textId="77777777" w:rsidR="00711444" w:rsidRPr="004D0DAA" w:rsidRDefault="00711444" w:rsidP="00AA2A4C">
            <w:pPr>
              <w:rPr>
                <w:b/>
              </w:rPr>
            </w:pPr>
            <w:r w:rsidRPr="004D0DAA">
              <w:rPr>
                <w:b/>
              </w:rPr>
              <w:t xml:space="preserve">Additional PSI messages struct </w:t>
            </w:r>
            <w:r w:rsidRPr="004D0DAA">
              <w:br/>
              <w:t>If any of</w:t>
            </w:r>
            <w:r w:rsidRPr="004D0DAA">
              <w:rPr>
                <w:b/>
              </w:rPr>
              <w:t xml:space="preserve"> </w:t>
            </w:r>
            <w:r w:rsidRPr="004D0DAA">
              <w:t>the PSI messages named in this structure are broadcast in the cell, this field shall be present in at least one instance of PSI2 and may appear only once in a complete set of PSI2 messages.</w:t>
            </w:r>
          </w:p>
        </w:tc>
      </w:tr>
      <w:tr w:rsidR="00711444" w:rsidRPr="004D0DAA" w14:paraId="1A01E48C" w14:textId="77777777" w:rsidTr="00AA2A4C">
        <w:tblPrEx>
          <w:tblCellMar>
            <w:top w:w="0" w:type="dxa"/>
            <w:bottom w:w="0" w:type="dxa"/>
          </w:tblCellMar>
        </w:tblPrEx>
        <w:trPr>
          <w:cantSplit/>
        </w:trPr>
        <w:tc>
          <w:tcPr>
            <w:tcW w:w="9848" w:type="dxa"/>
          </w:tcPr>
          <w:p w14:paraId="51AB15B9" w14:textId="77777777" w:rsidR="00711444" w:rsidRPr="004D0DAA" w:rsidRDefault="00711444" w:rsidP="00AA2A4C">
            <w:r w:rsidRPr="004D0DAA">
              <w:rPr>
                <w:b/>
              </w:rPr>
              <w:lastRenderedPageBreak/>
              <w:t>NON_GSM_INFORMATION</w:t>
            </w:r>
            <w:r w:rsidRPr="004D0DAA">
              <w:t xml:space="preserve"> (2 bit field) </w:t>
            </w:r>
            <w:r w:rsidRPr="004D0DAA">
              <w:br/>
              <w:t>This field indicates whether non-GSM information is broadcast on the cell and specifies the messages that are used for this purpose. If this field indicates that both PSI6 and PSI7 are broadcast on the cell, these messages shall be broadcast within different repetition rate groups (see 3GPP TS 45.002).</w:t>
            </w:r>
          </w:p>
          <w:p w14:paraId="2B6D4522" w14:textId="77777777" w:rsidR="00711444" w:rsidRPr="004D0DAA" w:rsidRDefault="00711444" w:rsidP="00AA2A4C">
            <w:pPr>
              <w:tabs>
                <w:tab w:val="left" w:pos="567"/>
              </w:tabs>
              <w:rPr>
                <w:b/>
              </w:rPr>
            </w:pPr>
            <w:r w:rsidRPr="004D0DAA">
              <w:t>Bit</w:t>
            </w:r>
            <w:r w:rsidRPr="004D0DAA">
              <w:br/>
              <w:t>2 1</w:t>
            </w:r>
            <w:r w:rsidRPr="004D0DAA">
              <w:br/>
              <w:t>0 0</w:t>
            </w:r>
            <w:r w:rsidRPr="004D0DAA">
              <w:tab/>
              <w:t xml:space="preserve">non-GSM information is not broadcast on the cell </w:t>
            </w:r>
            <w:r w:rsidRPr="004D0DAA">
              <w:br/>
              <w:t>0 1</w:t>
            </w:r>
            <w:r w:rsidRPr="004D0DAA">
              <w:tab/>
              <w:t>non-GSM information is broadcast on the cell in PSI6 message</w:t>
            </w:r>
            <w:r w:rsidRPr="004D0DAA">
              <w:br/>
              <w:t>1 0</w:t>
            </w:r>
            <w:r w:rsidRPr="004D0DAA">
              <w:tab/>
              <w:t>non-GSM information is broadcast on the cell in PSI7 message</w:t>
            </w:r>
            <w:r w:rsidRPr="004D0DAA">
              <w:br/>
              <w:t>1 1</w:t>
            </w:r>
            <w:r w:rsidRPr="004D0DAA">
              <w:tab/>
              <w:t>non-GSM information is broadcast on the cell in PSI6 and PSI7 messages</w:t>
            </w:r>
          </w:p>
        </w:tc>
      </w:tr>
      <w:tr w:rsidR="00711444" w:rsidRPr="004D0DAA" w14:paraId="65D40E10" w14:textId="77777777" w:rsidTr="00AA2A4C">
        <w:tblPrEx>
          <w:tblCellMar>
            <w:top w:w="0" w:type="dxa"/>
            <w:bottom w:w="0" w:type="dxa"/>
          </w:tblCellMar>
        </w:tblPrEx>
        <w:trPr>
          <w:cantSplit/>
        </w:trPr>
        <w:tc>
          <w:tcPr>
            <w:tcW w:w="9848" w:type="dxa"/>
          </w:tcPr>
          <w:p w14:paraId="55A9955E" w14:textId="77777777" w:rsidR="00711444" w:rsidRPr="004D0DAA" w:rsidRDefault="00711444" w:rsidP="00AA2A4C">
            <w:pPr>
              <w:rPr>
                <w:b/>
              </w:rPr>
            </w:pPr>
            <w:r w:rsidRPr="004D0DAA">
              <w:rPr>
                <w:b/>
              </w:rPr>
              <w:t xml:space="preserve">PSI8_BROADCAST </w:t>
            </w:r>
            <w:r w:rsidRPr="004D0DAA">
              <w:t>(1 bit field)</w:t>
            </w:r>
            <w:r w:rsidRPr="004D0DAA">
              <w:br/>
              <w:t>0</w:t>
            </w:r>
            <w:r w:rsidRPr="004D0DAA">
              <w:tab/>
              <w:t>PSI8 is not broadcast on the cell</w:t>
            </w:r>
            <w:r w:rsidRPr="004D0DAA">
              <w:br/>
              <w:t>1</w:t>
            </w:r>
            <w:r w:rsidRPr="004D0DAA">
              <w:tab/>
              <w:t>PSI8 is broadcast on the cell</w:t>
            </w:r>
          </w:p>
        </w:tc>
      </w:tr>
      <w:tr w:rsidR="00711444" w:rsidRPr="004D0DAA" w14:paraId="2AE98AC9" w14:textId="77777777" w:rsidTr="00AA2A4C">
        <w:tblPrEx>
          <w:tblCellMar>
            <w:top w:w="0" w:type="dxa"/>
            <w:bottom w:w="0" w:type="dxa"/>
          </w:tblCellMar>
        </w:tblPrEx>
        <w:trPr>
          <w:cantSplit/>
        </w:trPr>
        <w:tc>
          <w:tcPr>
            <w:tcW w:w="9848" w:type="dxa"/>
          </w:tcPr>
          <w:p w14:paraId="132C70A1" w14:textId="77777777" w:rsidR="00711444" w:rsidRPr="004D0DAA" w:rsidRDefault="00711444" w:rsidP="00AA2A4C">
            <w:r w:rsidRPr="004D0DAA">
              <w:rPr>
                <w:b/>
              </w:rPr>
              <w:t xml:space="preserve">PSI3ter_BROADCAST </w:t>
            </w:r>
            <w:r w:rsidRPr="004D0DAA">
              <w:t>(1 bit field)</w:t>
            </w:r>
            <w:r w:rsidRPr="004D0DAA">
              <w:br/>
              <w:t>0</w:t>
            </w:r>
            <w:r w:rsidRPr="004D0DAA">
              <w:tab/>
              <w:t>PSI3ter is not broadcast on the cell</w:t>
            </w:r>
            <w:r w:rsidRPr="004D0DAA">
              <w:br/>
              <w:t>1</w:t>
            </w:r>
            <w:r w:rsidRPr="004D0DAA">
              <w:tab/>
              <w:t>PSI3ter is broadcast on the cell</w:t>
            </w:r>
          </w:p>
        </w:tc>
      </w:tr>
      <w:tr w:rsidR="00711444" w:rsidRPr="004D0DAA" w14:paraId="68EB28DB" w14:textId="77777777" w:rsidTr="00AA2A4C">
        <w:tblPrEx>
          <w:tblCellMar>
            <w:top w:w="0" w:type="dxa"/>
            <w:bottom w:w="0" w:type="dxa"/>
          </w:tblCellMar>
        </w:tblPrEx>
        <w:trPr>
          <w:cantSplit/>
        </w:trPr>
        <w:tc>
          <w:tcPr>
            <w:tcW w:w="9848" w:type="dxa"/>
          </w:tcPr>
          <w:p w14:paraId="5C7E00A2" w14:textId="77777777" w:rsidR="00711444" w:rsidRPr="004D0DAA" w:rsidRDefault="00711444" w:rsidP="00AA2A4C">
            <w:pPr>
              <w:rPr>
                <w:b/>
              </w:rPr>
            </w:pPr>
            <w:r w:rsidRPr="004D0DAA">
              <w:rPr>
                <w:b/>
              </w:rPr>
              <w:t xml:space="preserve">PSI3quater_BROADCAST </w:t>
            </w:r>
            <w:r w:rsidRPr="004D0DAA">
              <w:t>(1 bit field)</w:t>
            </w:r>
            <w:r w:rsidRPr="004D0DAA">
              <w:br/>
              <w:t>0</w:t>
            </w:r>
            <w:r w:rsidRPr="004D0DAA">
              <w:tab/>
              <w:t>PSI3quater is not broadcast on the cell</w:t>
            </w:r>
            <w:r w:rsidRPr="004D0DAA">
              <w:br/>
              <w:t>1</w:t>
            </w:r>
            <w:r w:rsidRPr="004D0DAA">
              <w:tab/>
              <w:t>PSI3quaer is broadcast on the cell</w:t>
            </w:r>
          </w:p>
        </w:tc>
      </w:tr>
    </w:tbl>
    <w:p w14:paraId="208B49E1" w14:textId="77777777" w:rsidR="00711444" w:rsidRPr="004D0DAA" w:rsidRDefault="00711444" w:rsidP="00711444"/>
    <w:p w14:paraId="1A9DFAEE" w14:textId="77777777" w:rsidR="00711444" w:rsidRPr="004D0DAA" w:rsidRDefault="00711444" w:rsidP="00711444">
      <w:pPr>
        <w:pStyle w:val="Heading4"/>
      </w:pPr>
      <w:bookmarkStart w:id="688" w:name="_Toc516669864"/>
      <w:r w:rsidRPr="004D0DAA">
        <w:t>11.2.19.1</w:t>
      </w:r>
      <w:r w:rsidRPr="004D0DAA">
        <w:tab/>
        <w:t>Reference Frequency Lists in PSI2</w:t>
      </w:r>
      <w:bookmarkEnd w:id="688"/>
    </w:p>
    <w:p w14:paraId="39B04D29" w14:textId="77777777" w:rsidR="00711444" w:rsidRPr="004D0DAA" w:rsidRDefault="00711444" w:rsidP="00711444">
      <w:r w:rsidRPr="004D0DAA">
        <w:t>A Reference Frequency Lists construction may be included in each instance of the PSI2 message. The presence of reference frequency lists (RFLs) is optional. RFLs shall be provided as required for the decoding of GPRS mobile allocations and cell allocation.</w:t>
      </w:r>
    </w:p>
    <w:p w14:paraId="3B8CE96C" w14:textId="77777777" w:rsidR="00711444" w:rsidRPr="004D0DAA" w:rsidRDefault="00711444" w:rsidP="00711444">
      <w:pPr>
        <w:pStyle w:val="Heading4"/>
      </w:pPr>
      <w:bookmarkStart w:id="689" w:name="_Toc516669865"/>
      <w:r w:rsidRPr="004D0DAA">
        <w:t>11.2.19.2</w:t>
      </w:r>
      <w:r w:rsidRPr="004D0DAA">
        <w:tab/>
        <w:t>Cell Allocation in PSI2</w:t>
      </w:r>
      <w:bookmarkEnd w:id="689"/>
    </w:p>
    <w:p w14:paraId="27E3B1AC" w14:textId="77777777" w:rsidR="00711444" w:rsidRPr="004D0DAA" w:rsidRDefault="00711444" w:rsidP="00711444">
      <w:r w:rsidRPr="004D0DAA">
        <w:t>A Cell Allocation construction shall not be included in more than one instance of the PSI2 message within the consistent set of PSI2 messages. The presence of a Cell Allocation construction is optional. It shall be provided as required for the decoding of GPRS mobile allocations and for the support of GPRS mobile stations which may access the network in dedicated, group receive and group transmit modes, see 3GPP TS 44.018.</w:t>
      </w:r>
    </w:p>
    <w:p w14:paraId="6523DA5D" w14:textId="77777777" w:rsidR="00711444" w:rsidRPr="004D0DAA" w:rsidRDefault="00711444" w:rsidP="00711444">
      <w:pPr>
        <w:pStyle w:val="Heading4"/>
      </w:pPr>
      <w:bookmarkStart w:id="690" w:name="_Toc516669866"/>
      <w:r w:rsidRPr="004D0DAA">
        <w:t>11.2.19.3</w:t>
      </w:r>
      <w:r w:rsidRPr="004D0DAA">
        <w:tab/>
        <w:t>GPRS Mobile Allocation in PSI2</w:t>
      </w:r>
      <w:bookmarkEnd w:id="690"/>
    </w:p>
    <w:p w14:paraId="2B7D1B8C" w14:textId="77777777" w:rsidR="00711444" w:rsidRPr="004D0DAA" w:rsidRDefault="00711444" w:rsidP="00711444">
      <w:r w:rsidRPr="004D0DAA">
        <w:t>A GPRS Mobile Allocations construction may be included in each instance of the PSI2 message. The presence of GPRS mobile allocations is optional. The GPRS mobile allocations shall be provided as required for determining the frequency configuration of PDCHs.</w:t>
      </w:r>
    </w:p>
    <w:p w14:paraId="799683B3" w14:textId="77777777" w:rsidR="00711444" w:rsidRPr="004D0DAA" w:rsidRDefault="00711444" w:rsidP="00711444">
      <w:pPr>
        <w:pStyle w:val="Heading4"/>
      </w:pPr>
      <w:bookmarkStart w:id="691" w:name="_Toc516669867"/>
      <w:r w:rsidRPr="004D0DAA">
        <w:t>11.2.19.4</w:t>
      </w:r>
      <w:r w:rsidRPr="004D0DAA">
        <w:tab/>
        <w:t>PCCCH Description</w:t>
      </w:r>
      <w:bookmarkEnd w:id="691"/>
    </w:p>
    <w:p w14:paraId="1E4772EC" w14:textId="77777777" w:rsidR="00711444" w:rsidRPr="004D0DAA" w:rsidRDefault="00711444" w:rsidP="00711444">
      <w:r w:rsidRPr="004D0DAA">
        <w:t>A PCCCH Description construction shall be included in one and only one instance of the PSI2 message within the consistent set of PSI2 messages.</w:t>
      </w:r>
    </w:p>
    <w:p w14:paraId="36109C2E" w14:textId="77777777" w:rsidR="00711444" w:rsidRPr="004D0DAA" w:rsidRDefault="00711444" w:rsidP="00711444">
      <w:pPr>
        <w:pStyle w:val="Heading4"/>
      </w:pPr>
      <w:bookmarkStart w:id="692" w:name="_Toc516669868"/>
      <w:r w:rsidRPr="004D0DAA">
        <w:t>11.2.19.5</w:t>
      </w:r>
      <w:r w:rsidRPr="004D0DAA">
        <w:tab/>
        <w:t>Abnormal cases</w:t>
      </w:r>
      <w:bookmarkEnd w:id="692"/>
    </w:p>
    <w:p w14:paraId="36445F63" w14:textId="77777777" w:rsidR="00711444" w:rsidRPr="004D0DAA" w:rsidRDefault="00711444" w:rsidP="00711444">
      <w:r w:rsidRPr="004D0DAA">
        <w:t>If the receiver detects any violation against the rules for the appearance of the different constructions defined for this message within the consistent set of this message type, it may regard the contents of these messages as invalid.</w:t>
      </w:r>
    </w:p>
    <w:p w14:paraId="780C2829" w14:textId="77777777" w:rsidR="00711444" w:rsidRPr="004D0DAA" w:rsidRDefault="00711444" w:rsidP="00711444">
      <w:pPr>
        <w:pStyle w:val="Heading3"/>
      </w:pPr>
      <w:bookmarkStart w:id="693" w:name="_Toc516669869"/>
      <w:r w:rsidRPr="004D0DAA">
        <w:t>11.2.20</w:t>
      </w:r>
      <w:r w:rsidRPr="004D0DAA">
        <w:tab/>
        <w:t>Packet System Information Type 3</w:t>
      </w:r>
      <w:bookmarkEnd w:id="693"/>
    </w:p>
    <w:p w14:paraId="056DACE0" w14:textId="77777777" w:rsidR="00711444" w:rsidRPr="004D0DAA" w:rsidRDefault="00711444" w:rsidP="00711444">
      <w:r w:rsidRPr="004D0DAA">
        <w:t>This message is sent by the network on the PBCCH or PACCH giving information of the BCCH allocation (BA(GPRS)) in the neighbour cells and cell selection parameters for serving cell and non-serving cells. This message shall not be segmented across more than one RLC/MAC control block by using the procedures specified in sub-clause 9.1.12a. Special requirements for the transmission of this message apply on the PBCCH, see 3GPP TS 45.002.</w:t>
      </w:r>
    </w:p>
    <w:p w14:paraId="5B8DCA24" w14:textId="77777777" w:rsidR="00711444" w:rsidRPr="004D0DAA" w:rsidRDefault="00711444" w:rsidP="00711444">
      <w:pPr>
        <w:pStyle w:val="EX"/>
      </w:pPr>
      <w:r w:rsidRPr="004D0DAA">
        <w:lastRenderedPageBreak/>
        <w:t>Message type:</w:t>
      </w:r>
      <w:r w:rsidRPr="004D0DAA">
        <w:tab/>
        <w:t>PACKET SYSTEM INFORMATION TYPE 3</w:t>
      </w:r>
    </w:p>
    <w:p w14:paraId="6990ACD4" w14:textId="77777777" w:rsidR="00711444" w:rsidRPr="004D0DAA" w:rsidRDefault="00711444" w:rsidP="00711444">
      <w:pPr>
        <w:pStyle w:val="EX"/>
      </w:pPr>
      <w:r w:rsidRPr="004D0DAA">
        <w:t>Direction:</w:t>
      </w:r>
      <w:r w:rsidRPr="004D0DAA">
        <w:tab/>
        <w:t>network to mobile station</w:t>
      </w:r>
    </w:p>
    <w:p w14:paraId="6E43347A" w14:textId="77777777" w:rsidR="00711444" w:rsidRPr="004D0DAA" w:rsidRDefault="00711444" w:rsidP="00711444">
      <w:pPr>
        <w:pStyle w:val="EX"/>
      </w:pPr>
      <w:r w:rsidRPr="004D0DAA">
        <w:t>Classification:</w:t>
      </w:r>
      <w:r w:rsidRPr="004D0DAA">
        <w:tab/>
        <w:t>distribution message</w:t>
      </w:r>
    </w:p>
    <w:p w14:paraId="23412901" w14:textId="77777777" w:rsidR="00711444" w:rsidRPr="004D0DAA" w:rsidRDefault="00711444" w:rsidP="00711444">
      <w:pPr>
        <w:pStyle w:val="TH"/>
      </w:pPr>
      <w:r w:rsidRPr="004D0DAA">
        <w:lastRenderedPageBreak/>
        <w:t>Table 11.2.20.1: PSI3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EAA255A" w14:textId="77777777" w:rsidTr="00AA2A4C">
        <w:tblPrEx>
          <w:tblCellMar>
            <w:top w:w="0" w:type="dxa"/>
            <w:bottom w:w="0" w:type="dxa"/>
          </w:tblCellMar>
        </w:tblPrEx>
        <w:trPr>
          <w:cantSplit/>
        </w:trPr>
        <w:tc>
          <w:tcPr>
            <w:tcW w:w="9848" w:type="dxa"/>
          </w:tcPr>
          <w:p w14:paraId="15CEC86F" w14:textId="77777777" w:rsidR="00711444" w:rsidRPr="004D0DAA" w:rsidRDefault="00711444" w:rsidP="00AA2A4C">
            <w:pPr>
              <w:pStyle w:val="TAL"/>
              <w:rPr>
                <w:lang w:val="fr-FR" w:eastAsia="en-US"/>
              </w:rPr>
            </w:pPr>
            <w:r w:rsidRPr="004D0DAA">
              <w:rPr>
                <w:lang w:val="fr-FR" w:eastAsia="en-US"/>
              </w:rPr>
              <w:t>&lt; PSI3 message content &gt; ::=</w:t>
            </w:r>
          </w:p>
          <w:p w14:paraId="38EBFF39"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50AB10B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PSI3_CHANGE_MARK </w:t>
            </w:r>
            <w:r w:rsidRPr="004D0DAA">
              <w:rPr>
                <w:lang w:eastAsia="en-US"/>
              </w:rPr>
              <w:t>: bit (2) &gt;</w:t>
            </w:r>
          </w:p>
          <w:p w14:paraId="4DAC07C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PSI3_BIS_COUNT </w:t>
            </w:r>
            <w:r w:rsidRPr="004D0DAA">
              <w:rPr>
                <w:lang w:eastAsia="en-US"/>
              </w:rPr>
              <w:t>: bit (4) &gt;</w:t>
            </w:r>
          </w:p>
          <w:p w14:paraId="5BB24C7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Serving Cell parameters </w:t>
            </w:r>
            <w:r w:rsidRPr="004D0DAA">
              <w:rPr>
                <w:lang w:eastAsia="en-US"/>
              </w:rPr>
              <w:t>: &lt; Serving Cell params struct &gt; &gt;</w:t>
            </w:r>
          </w:p>
          <w:p w14:paraId="622BFA1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General Cell Selection parameter </w:t>
            </w:r>
            <w:r w:rsidRPr="004D0DAA">
              <w:rPr>
                <w:lang w:eastAsia="en-US"/>
              </w:rPr>
              <w:t>: &lt; Gen Cell Sel struct &gt; &gt;</w:t>
            </w:r>
          </w:p>
          <w:p w14:paraId="4C256F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Neighbour Cell parameters </w:t>
            </w:r>
            <w:r w:rsidRPr="004D0DAA">
              <w:rPr>
                <w:lang w:eastAsia="en-US"/>
              </w:rPr>
              <w:t>: { 1 &lt; Neighbour Cell params struct &gt;</w:t>
            </w:r>
            <w:r w:rsidRPr="004D0DAA">
              <w:rPr>
                <w:b/>
                <w:lang w:eastAsia="en-US"/>
              </w:rPr>
              <w:t xml:space="preserve"> </w:t>
            </w:r>
            <w:r w:rsidRPr="004D0DAA">
              <w:rPr>
                <w:lang w:eastAsia="en-US"/>
              </w:rPr>
              <w:t>} ** 0 &gt;</w:t>
            </w:r>
          </w:p>
          <w:p w14:paraId="5320A433" w14:textId="77777777" w:rsidR="00711444" w:rsidRPr="004D0DAA" w:rsidRDefault="00711444" w:rsidP="00AA2A4C">
            <w:pPr>
              <w:pStyle w:val="TAL"/>
              <w:rPr>
                <w:lang w:eastAsia="en-US"/>
              </w:rPr>
            </w:pPr>
            <w:r w:rsidRPr="004D0DAA">
              <w:rPr>
                <w:lang w:eastAsia="en-US"/>
              </w:rPr>
              <w:tab/>
              <w:t>{</w:t>
            </w:r>
            <w:r w:rsidRPr="004D0DAA">
              <w:rPr>
                <w:lang w:eastAsia="en-US"/>
              </w:rPr>
              <w:tab/>
              <w:t>null | 0</w:t>
            </w:r>
            <w:r w:rsidRPr="004D0DAA">
              <w:rPr>
                <w:lang w:eastAsia="en-US"/>
              </w:rPr>
              <w:tab/>
              <w:t>bit** = &lt; no string &gt;</w:t>
            </w:r>
          </w:p>
          <w:p w14:paraId="264817C3"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1998 additions:</w:t>
            </w:r>
          </w:p>
          <w:p w14:paraId="36C4688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Serving Cell</w:t>
            </w:r>
            <w:r w:rsidRPr="004D0DAA">
              <w:rPr>
                <w:lang w:eastAsia="en-US"/>
              </w:rPr>
              <w:t xml:space="preserve"> </w:t>
            </w:r>
            <w:r w:rsidRPr="004D0DAA">
              <w:rPr>
                <w:b/>
                <w:lang w:eastAsia="en-US"/>
              </w:rPr>
              <w:t>LSA ID information</w:t>
            </w:r>
            <w:r w:rsidRPr="004D0DAA">
              <w:rPr>
                <w:lang w:eastAsia="en-US"/>
              </w:rPr>
              <w:t> : &lt; LSA ID information struct &gt; &gt;</w:t>
            </w:r>
          </w:p>
          <w:p w14:paraId="27EA26CF"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LSA Parameters</w:t>
            </w:r>
            <w:r w:rsidRPr="004D0DAA">
              <w:rPr>
                <w:lang w:eastAsia="en-US"/>
              </w:rPr>
              <w:t xml:space="preserve"> :&lt; LSA Parameters IE &gt;&gt; }</w:t>
            </w:r>
          </w:p>
          <w:p w14:paraId="5CDF9609"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w:t>
            </w:r>
            <w:r w:rsidRPr="004D0DAA">
              <w:rPr>
                <w:lang w:eastAsia="en-US"/>
              </w:rPr>
              <w:tab/>
              <w:t>bit** = &lt; no string &gt;</w:t>
            </w:r>
          </w:p>
          <w:p w14:paraId="088BB20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lang w:eastAsia="en-US"/>
              </w:rPr>
              <w:t xml:space="preserve">-- </w:t>
            </w:r>
            <w:r w:rsidRPr="004D0DAA">
              <w:rPr>
                <w:i/>
                <w:lang w:eastAsia="en-US"/>
              </w:rPr>
              <w:t>Release 1999 additions:</w:t>
            </w:r>
          </w:p>
          <w:p w14:paraId="7238CF4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0 0</w:t>
            </w:r>
            <w:r w:rsidRPr="004D0DAA">
              <w:rPr>
                <w:lang w:eastAsia="en-US"/>
              </w:rPr>
              <w:tab/>
            </w:r>
            <w:r w:rsidRPr="004D0DAA">
              <w:rPr>
                <w:lang w:eastAsia="en-US"/>
              </w:rPr>
              <w:tab/>
            </w:r>
            <w:r w:rsidRPr="004D0DAA">
              <w:rPr>
                <w:lang w:eastAsia="en-US"/>
              </w:rPr>
              <w:tab/>
              <w:t xml:space="preserve">-- </w:t>
            </w:r>
            <w:r w:rsidRPr="004D0DAA">
              <w:rPr>
                <w:i/>
                <w:lang w:eastAsia="en-US"/>
              </w:rPr>
              <w:t>The values '01', '10' and '11' were allocated in an earlier version of the protocol</w:t>
            </w:r>
          </w:p>
          <w:p w14:paraId="08753E8D"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and shall not be used.</w:t>
            </w:r>
          </w:p>
          <w:p w14:paraId="14ED53A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COMPACT Information</w:t>
            </w:r>
            <w:r w:rsidRPr="004D0DAA">
              <w:rPr>
                <w:lang w:eastAsia="en-US"/>
              </w:rPr>
              <w:t xml:space="preserve"> : &lt; COMPACT Information struct &gt; &gt; }</w:t>
            </w:r>
          </w:p>
          <w:p w14:paraId="6FAF22D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0</w:t>
            </w:r>
            <w:r w:rsidRPr="004D0DAA">
              <w:rPr>
                <w:lang w:eastAsia="en-US"/>
              </w:rPr>
              <w:tab/>
            </w:r>
            <w:r w:rsidRPr="004D0DAA">
              <w:rPr>
                <w:iCs/>
                <w:lang w:eastAsia="en-US"/>
              </w:rPr>
              <w:t xml:space="preserve">-- </w:t>
            </w:r>
            <w:r w:rsidRPr="004D0DAA">
              <w:rPr>
                <w:i/>
                <w:iCs/>
                <w:lang w:eastAsia="en-US"/>
              </w:rPr>
              <w:t xml:space="preserve">The value </w:t>
            </w:r>
            <w:r w:rsidRPr="004D0DAA">
              <w:rPr>
                <w:i/>
                <w:lang w:eastAsia="en-US"/>
              </w:rPr>
              <w:t>'</w:t>
            </w:r>
            <w:r w:rsidRPr="004D0DAA">
              <w:rPr>
                <w:i/>
                <w:iCs/>
                <w:lang w:eastAsia="en-US"/>
              </w:rPr>
              <w:t>1</w:t>
            </w:r>
            <w:r w:rsidRPr="004D0DAA">
              <w:rPr>
                <w:i/>
                <w:lang w:eastAsia="en-US"/>
              </w:rPr>
              <w:t>'</w:t>
            </w:r>
            <w:r w:rsidRPr="004D0DAA">
              <w:rPr>
                <w:i/>
                <w:iCs/>
                <w:lang w:eastAsia="en-US"/>
              </w:rPr>
              <w:t xml:space="preserve"> was used in an earlier version of the protocol and shall not be used.</w:t>
            </w:r>
          </w:p>
          <w:p w14:paraId="2CD908B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null | 0</w:t>
            </w:r>
            <w:r w:rsidRPr="004D0DAA">
              <w:rPr>
                <w:lang w:eastAsia="en-US"/>
              </w:rPr>
              <w:tab/>
              <w:t>bit** = &lt; no string &gt;</w:t>
            </w:r>
          </w:p>
          <w:p w14:paraId="1D2F66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Rel-4 additions:</w:t>
            </w:r>
          </w:p>
          <w:p w14:paraId="3E6D2B05"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lang w:val="fr-FR" w:eastAsia="en-US"/>
              </w:rPr>
              <w:t>CCN Support Description</w:t>
            </w:r>
            <w:r w:rsidRPr="004D0DAA">
              <w:rPr>
                <w:lang w:val="fr-FR" w:eastAsia="en-US"/>
              </w:rPr>
              <w:t xml:space="preserve"> : &lt; CCN Support Description struct &gt;&gt; }</w:t>
            </w:r>
          </w:p>
          <w:p w14:paraId="7D183967"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w:t>
            </w:r>
            <w:r w:rsidRPr="004D0DAA">
              <w:rPr>
                <w:lang w:eastAsia="en-US"/>
              </w:rPr>
              <w:tab/>
              <w:t>null | 0</w:t>
            </w:r>
            <w:r w:rsidRPr="004D0DAA">
              <w:rPr>
                <w:lang w:eastAsia="en-US"/>
              </w:rPr>
              <w:tab/>
              <w:t>bit** = &lt; no string &gt;</w:t>
            </w:r>
          </w:p>
          <w:p w14:paraId="255F156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Rel-5 additions:</w:t>
            </w:r>
          </w:p>
          <w:p w14:paraId="4BC533B0"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CELL BAR QUALIFY 3</w:t>
            </w:r>
            <w:r w:rsidRPr="004D0DAA">
              <w:rPr>
                <w:lang w:eastAsia="en-US"/>
              </w:rPr>
              <w:t xml:space="preserve"> : bit (2) &gt;</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Serving cell barring status.</w:t>
            </w:r>
          </w:p>
          <w:p w14:paraId="675CB8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Iu Mode Neighbour Cell Parameters</w:t>
            </w:r>
            <w:r w:rsidRPr="004D0DAA">
              <w:rPr>
                <w:lang w:eastAsia="en-US"/>
              </w:rPr>
              <w:t xml:space="preserve"> : { 1 &lt; Iu Mode Neighbour Cell params struct &gt;</w:t>
            </w:r>
            <w:r w:rsidRPr="004D0DAA">
              <w:rPr>
                <w:bCs/>
                <w:lang w:eastAsia="en-US"/>
              </w:rPr>
              <w:t xml:space="preserve"> </w:t>
            </w:r>
            <w:r w:rsidRPr="004D0DAA">
              <w:rPr>
                <w:lang w:eastAsia="en-US"/>
              </w:rPr>
              <w:t>} ** 0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xml:space="preserve">--Supplementary information for dual </w:t>
            </w:r>
            <w:r w:rsidRPr="004D0DAA">
              <w:rPr>
                <w:i/>
                <w:iCs/>
                <w:lang w:eastAsia="en-US"/>
              </w:rPr>
              <w:t>Iu mode</w:t>
            </w:r>
            <w:r w:rsidRPr="004D0DAA">
              <w:rPr>
                <w:i/>
                <w:lang w:eastAsia="en-US"/>
              </w:rPr>
              <w:t xml:space="preserve"> and </w:t>
            </w:r>
            <w:r w:rsidRPr="004D0DAA">
              <w:rPr>
                <w:i/>
                <w:iCs/>
                <w:lang w:eastAsia="en-US"/>
              </w:rPr>
              <w:t>A/Gb mode</w:t>
            </w:r>
            <w:r w:rsidRPr="004D0DAA">
              <w:rPr>
                <w:i/>
                <w:lang w:eastAsia="en-US"/>
              </w:rPr>
              <w:t xml:space="preserve"> capable cells</w:t>
            </w:r>
          </w:p>
          <w:p w14:paraId="6B2E918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Iu mode Only Neighbour Cell Parameters</w:t>
            </w:r>
            <w:r w:rsidRPr="004D0DAA">
              <w:rPr>
                <w:lang w:eastAsia="en-US"/>
              </w:rPr>
              <w:t xml:space="preserve"> : </w:t>
            </w:r>
          </w:p>
          <w:p w14:paraId="7492659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 &lt; Iu mode Only Neighbour Cell params struct &gt; } ** 0 &gt;</w:t>
            </w:r>
          </w:p>
          <w:p w14:paraId="2F50923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w:t>
            </w:r>
          </w:p>
          <w:p w14:paraId="41056C7E" w14:textId="77777777" w:rsidR="00711444" w:rsidRPr="004D0DAA" w:rsidRDefault="00711444" w:rsidP="00AA2A4C">
            <w:pPr>
              <w:pStyle w:val="TAL"/>
              <w:rPr>
                <w:lang w:eastAsia="en-US"/>
              </w:rPr>
            </w:pPr>
            <w:r w:rsidRPr="004D0DAA">
              <w:rPr>
                <w:lang w:eastAsia="en-US"/>
              </w:rPr>
              <w:tab/>
              <w:t>! &lt; Distribution part error : bit (*) = &lt; no string &gt; &gt; ;</w:t>
            </w:r>
          </w:p>
          <w:p w14:paraId="081FFFEF" w14:textId="77777777" w:rsidR="00711444" w:rsidRPr="004D0DAA" w:rsidRDefault="00711444" w:rsidP="00AA2A4C">
            <w:pPr>
              <w:pStyle w:val="TAL"/>
              <w:rPr>
                <w:lang w:eastAsia="en-US"/>
              </w:rPr>
            </w:pPr>
          </w:p>
        </w:tc>
      </w:tr>
      <w:tr w:rsidR="00711444" w:rsidRPr="004D0DAA" w14:paraId="432EA1E6" w14:textId="77777777" w:rsidTr="00AA2A4C">
        <w:tblPrEx>
          <w:tblCellMar>
            <w:top w:w="0" w:type="dxa"/>
            <w:bottom w:w="0" w:type="dxa"/>
          </w:tblCellMar>
        </w:tblPrEx>
        <w:trPr>
          <w:cantSplit/>
        </w:trPr>
        <w:tc>
          <w:tcPr>
            <w:tcW w:w="9848" w:type="dxa"/>
          </w:tcPr>
          <w:p w14:paraId="7067CA01" w14:textId="77777777" w:rsidR="00711444" w:rsidRPr="004D0DAA" w:rsidRDefault="00711444" w:rsidP="00AA2A4C">
            <w:pPr>
              <w:pStyle w:val="TAL"/>
              <w:rPr>
                <w:lang w:eastAsia="en-US"/>
              </w:rPr>
            </w:pPr>
            <w:r w:rsidRPr="004D0DAA">
              <w:rPr>
                <w:lang w:eastAsia="en-US"/>
              </w:rPr>
              <w:t>&lt; Serving Cell params struct &gt; ::=</w:t>
            </w:r>
          </w:p>
          <w:p w14:paraId="58BD802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CELL_BAR_ACCESS_2 </w:t>
            </w:r>
            <w:r w:rsidRPr="004D0DAA">
              <w:rPr>
                <w:lang w:eastAsia="en-US"/>
              </w:rPr>
              <w:t>: bit &gt;</w:t>
            </w:r>
          </w:p>
          <w:p w14:paraId="78EB02E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6ADB5FD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GPRS_RXLEV_ACCESS_MIN </w:t>
            </w:r>
            <w:r w:rsidRPr="004D0DAA">
              <w:rPr>
                <w:lang w:eastAsia="en-US"/>
              </w:rPr>
              <w:t>: bit (6) &gt;</w:t>
            </w:r>
          </w:p>
          <w:p w14:paraId="7CF881C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GPRS_MS_TXPWR_MAX_CCH </w:t>
            </w:r>
            <w:r w:rsidRPr="004D0DAA">
              <w:rPr>
                <w:lang w:eastAsia="en-US"/>
              </w:rPr>
              <w:t>: bit (5) &gt;</w:t>
            </w:r>
          </w:p>
          <w:p w14:paraId="6496FAC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HCS Serving Cell parameters </w:t>
            </w:r>
            <w:r w:rsidRPr="004D0DAA">
              <w:rPr>
                <w:lang w:eastAsia="en-US"/>
              </w:rPr>
              <w:t xml:space="preserve">: &lt; HCS struct &gt; &gt; } </w:t>
            </w:r>
          </w:p>
          <w:p w14:paraId="0F1F24D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MULTIBAND_REPORTING </w:t>
            </w:r>
            <w:r w:rsidRPr="004D0DAA">
              <w:rPr>
                <w:lang w:eastAsia="en-US"/>
              </w:rPr>
              <w:t>: bit (2) &gt;;</w:t>
            </w:r>
          </w:p>
          <w:p w14:paraId="38D44A2E" w14:textId="77777777" w:rsidR="00711444" w:rsidRPr="004D0DAA" w:rsidRDefault="00711444" w:rsidP="00AA2A4C">
            <w:pPr>
              <w:pStyle w:val="TAL"/>
              <w:rPr>
                <w:lang w:eastAsia="en-US"/>
              </w:rPr>
            </w:pPr>
          </w:p>
        </w:tc>
      </w:tr>
      <w:tr w:rsidR="00711444" w:rsidRPr="004D0DAA" w14:paraId="3FBB41BF" w14:textId="77777777" w:rsidTr="00AA2A4C">
        <w:tblPrEx>
          <w:tblCellMar>
            <w:top w:w="0" w:type="dxa"/>
            <w:bottom w:w="0" w:type="dxa"/>
          </w:tblCellMar>
        </w:tblPrEx>
        <w:trPr>
          <w:cantSplit/>
        </w:trPr>
        <w:tc>
          <w:tcPr>
            <w:tcW w:w="9848" w:type="dxa"/>
          </w:tcPr>
          <w:p w14:paraId="6F05D090" w14:textId="77777777" w:rsidR="00711444" w:rsidRPr="004D0DAA" w:rsidRDefault="00711444" w:rsidP="00AA2A4C">
            <w:pPr>
              <w:pStyle w:val="TAL"/>
              <w:rPr>
                <w:lang w:eastAsia="en-US"/>
              </w:rPr>
            </w:pPr>
            <w:r w:rsidRPr="004D0DAA">
              <w:rPr>
                <w:lang w:eastAsia="en-US"/>
              </w:rPr>
              <w:t>&lt; HCS struct &gt; ::=</w:t>
            </w:r>
          </w:p>
          <w:p w14:paraId="4D1F269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PRIORITY_CLASS </w:t>
            </w:r>
            <w:r w:rsidRPr="004D0DAA">
              <w:rPr>
                <w:lang w:eastAsia="en-US"/>
              </w:rPr>
              <w:t>: bit (3) &gt;</w:t>
            </w:r>
          </w:p>
          <w:p w14:paraId="3F192A1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HCS_THR </w:t>
            </w:r>
            <w:r w:rsidRPr="004D0DAA">
              <w:rPr>
                <w:lang w:eastAsia="en-US"/>
              </w:rPr>
              <w:t>: bit (5) &gt; ;</w:t>
            </w:r>
          </w:p>
          <w:p w14:paraId="43702153" w14:textId="77777777" w:rsidR="00711444" w:rsidRPr="004D0DAA" w:rsidRDefault="00711444" w:rsidP="00AA2A4C">
            <w:pPr>
              <w:pStyle w:val="TAL"/>
              <w:rPr>
                <w:lang w:eastAsia="en-US"/>
              </w:rPr>
            </w:pPr>
          </w:p>
        </w:tc>
      </w:tr>
      <w:tr w:rsidR="00711444" w:rsidRPr="004D0DAA" w14:paraId="0A06E56D" w14:textId="77777777" w:rsidTr="00AA2A4C">
        <w:tblPrEx>
          <w:tblCellMar>
            <w:top w:w="0" w:type="dxa"/>
            <w:bottom w:w="0" w:type="dxa"/>
          </w:tblCellMar>
        </w:tblPrEx>
        <w:trPr>
          <w:cantSplit/>
        </w:trPr>
        <w:tc>
          <w:tcPr>
            <w:tcW w:w="9848" w:type="dxa"/>
          </w:tcPr>
          <w:p w14:paraId="0DD61900" w14:textId="77777777" w:rsidR="00711444" w:rsidRPr="004D0DAA" w:rsidRDefault="00711444" w:rsidP="00AA2A4C">
            <w:pPr>
              <w:pStyle w:val="TAL"/>
              <w:rPr>
                <w:lang w:eastAsia="en-US"/>
              </w:rPr>
            </w:pPr>
            <w:r w:rsidRPr="004D0DAA">
              <w:rPr>
                <w:lang w:eastAsia="en-US"/>
              </w:rPr>
              <w:t>&lt; Gen Cell Sel struct &gt; ::=</w:t>
            </w:r>
          </w:p>
          <w:p w14:paraId="6989DBF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GPRS_CELL_RESELECT_HYSTERESIS </w:t>
            </w:r>
            <w:r w:rsidRPr="004D0DAA">
              <w:rPr>
                <w:lang w:eastAsia="en-US"/>
              </w:rPr>
              <w:t>: bit (3) &gt;</w:t>
            </w:r>
          </w:p>
          <w:p w14:paraId="68C8205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C31_HYST</w:t>
            </w:r>
            <w:r w:rsidRPr="004D0DAA">
              <w:rPr>
                <w:lang w:eastAsia="en-US"/>
              </w:rPr>
              <w:t xml:space="preserve"> : bit (1) &gt;</w:t>
            </w:r>
          </w:p>
          <w:p w14:paraId="608E923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C32_QUAL</w:t>
            </w:r>
            <w:r w:rsidRPr="004D0DAA">
              <w:rPr>
                <w:lang w:eastAsia="en-US"/>
              </w:rPr>
              <w:t>: bit (1) &gt;</w:t>
            </w:r>
          </w:p>
          <w:p w14:paraId="588CEAB3" w14:textId="77777777" w:rsidR="00711444" w:rsidRPr="004D0DAA" w:rsidRDefault="00711444" w:rsidP="00AA2A4C">
            <w:pPr>
              <w:pStyle w:val="TAL"/>
              <w:rPr>
                <w:lang w:eastAsia="en-US"/>
              </w:rPr>
            </w:pPr>
            <w:r w:rsidRPr="004D0DAA">
              <w:rPr>
                <w:lang w:eastAsia="en-US"/>
              </w:rPr>
              <w:tab/>
              <w:t>1</w:t>
            </w:r>
            <w:r w:rsidRPr="004D0DAA">
              <w:rPr>
                <w:lang w:eastAsia="en-US"/>
              </w:rPr>
              <w:tab/>
            </w:r>
            <w:r w:rsidRPr="004D0DAA">
              <w:rPr>
                <w:iCs/>
                <w:lang w:eastAsia="en-US"/>
              </w:rPr>
              <w:t xml:space="preserve">-- </w:t>
            </w:r>
            <w:r w:rsidRPr="004D0DAA">
              <w:rPr>
                <w:i/>
                <w:iCs/>
                <w:lang w:eastAsia="en-US"/>
              </w:rPr>
              <w:t xml:space="preserve">The value </w:t>
            </w:r>
            <w:r w:rsidRPr="004D0DAA">
              <w:rPr>
                <w:i/>
                <w:lang w:eastAsia="en-US"/>
              </w:rPr>
              <w:t>'</w:t>
            </w:r>
            <w:r w:rsidRPr="004D0DAA">
              <w:rPr>
                <w:i/>
                <w:iCs/>
                <w:lang w:eastAsia="en-US"/>
              </w:rPr>
              <w:t>0</w:t>
            </w:r>
            <w:r w:rsidRPr="004D0DAA">
              <w:rPr>
                <w:i/>
                <w:lang w:eastAsia="en-US"/>
              </w:rPr>
              <w:t>'</w:t>
            </w:r>
            <w:r w:rsidRPr="004D0DAA">
              <w:rPr>
                <w:i/>
                <w:iCs/>
                <w:lang w:eastAsia="en-US"/>
              </w:rPr>
              <w:t xml:space="preserve"> was used in an earlier version of the protocol and shall not be used.</w:t>
            </w:r>
          </w:p>
          <w:p w14:paraId="3114CC3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T_RESEL</w:t>
            </w:r>
            <w:r w:rsidRPr="004D0DAA">
              <w:rPr>
                <w:lang w:eastAsia="en-US"/>
              </w:rPr>
              <w:t xml:space="preserve"> : bit (3) &gt; }</w:t>
            </w:r>
          </w:p>
          <w:p w14:paraId="05EC19A1"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RA_RESELECT_HYSTERESIS</w:t>
            </w:r>
            <w:r w:rsidRPr="004D0DAA">
              <w:rPr>
                <w:lang w:eastAsia="en-US"/>
              </w:rPr>
              <w:t xml:space="preserve"> : bit (3) &gt; } ;</w:t>
            </w:r>
          </w:p>
          <w:p w14:paraId="4D9FE451" w14:textId="77777777" w:rsidR="00711444" w:rsidRPr="004D0DAA" w:rsidRDefault="00711444" w:rsidP="00AA2A4C">
            <w:pPr>
              <w:pStyle w:val="TAL"/>
              <w:rPr>
                <w:lang w:eastAsia="en-US"/>
              </w:rPr>
            </w:pPr>
          </w:p>
        </w:tc>
      </w:tr>
      <w:tr w:rsidR="00711444" w:rsidRPr="004D0DAA" w14:paraId="62979EA2" w14:textId="77777777" w:rsidTr="00AA2A4C">
        <w:tblPrEx>
          <w:tblCellMar>
            <w:top w:w="0" w:type="dxa"/>
            <w:bottom w:w="0" w:type="dxa"/>
          </w:tblCellMar>
        </w:tblPrEx>
        <w:trPr>
          <w:cantSplit/>
        </w:trPr>
        <w:tc>
          <w:tcPr>
            <w:tcW w:w="9848" w:type="dxa"/>
          </w:tcPr>
          <w:p w14:paraId="459C2C96" w14:textId="77777777" w:rsidR="00711444" w:rsidRPr="004D0DAA" w:rsidRDefault="00711444" w:rsidP="00AA2A4C">
            <w:pPr>
              <w:pStyle w:val="TAL"/>
              <w:rPr>
                <w:lang w:eastAsia="en-US"/>
              </w:rPr>
            </w:pPr>
            <w:r w:rsidRPr="004D0DAA">
              <w:rPr>
                <w:lang w:eastAsia="en-US"/>
              </w:rPr>
              <w:t>&lt; Neighbour Cell params struct &gt; ::=</w:t>
            </w:r>
          </w:p>
          <w:p w14:paraId="136753D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START_FREQUENCY </w:t>
            </w:r>
            <w:r w:rsidRPr="004D0DAA">
              <w:rPr>
                <w:lang w:eastAsia="en-US"/>
              </w:rPr>
              <w:t>: bit (10) &gt;</w:t>
            </w:r>
          </w:p>
          <w:p w14:paraId="7E08B87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Cell selection params </w:t>
            </w:r>
            <w:r w:rsidRPr="004D0DAA">
              <w:rPr>
                <w:lang w:eastAsia="en-US"/>
              </w:rPr>
              <w:t>: &lt; Cell Selection struct &gt; &gt;</w:t>
            </w:r>
          </w:p>
          <w:p w14:paraId="2F99D17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NR_OF_REMAINING_CELLS </w:t>
            </w:r>
            <w:r w:rsidRPr="004D0DAA">
              <w:rPr>
                <w:lang w:eastAsia="en-US"/>
              </w:rPr>
              <w:t>: bit (4) &gt;</w:t>
            </w:r>
          </w:p>
          <w:p w14:paraId="3B05EEC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FREQ_DIFF_LENGTH </w:t>
            </w:r>
            <w:r w:rsidRPr="004D0DAA">
              <w:rPr>
                <w:lang w:eastAsia="en-US"/>
              </w:rPr>
              <w:t>: bit (3) &gt;</w:t>
            </w:r>
          </w:p>
          <w:p w14:paraId="6DA6A16F"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 xml:space="preserve">FREQUENCY_DIFF </w:t>
            </w:r>
            <w:r w:rsidRPr="004D0DAA">
              <w:rPr>
                <w:lang w:eastAsia="en-US"/>
              </w:rPr>
              <w:t>: bit (1 + val(FREQ_DIFF_LENGTH)) &gt;</w:t>
            </w:r>
          </w:p>
          <w:p w14:paraId="2C8C084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Cell Selection Params </w:t>
            </w:r>
            <w:r w:rsidRPr="004D0DAA">
              <w:rPr>
                <w:lang w:eastAsia="en-US"/>
              </w:rPr>
              <w:t>: &lt;Cell Selection struct &gt;&gt; } * (val(NR_OF_REMAINING_CELLS)) ;</w:t>
            </w:r>
          </w:p>
          <w:p w14:paraId="132737E2" w14:textId="77777777" w:rsidR="00711444" w:rsidRPr="004D0DAA" w:rsidRDefault="00711444" w:rsidP="00AA2A4C">
            <w:pPr>
              <w:pStyle w:val="TAL"/>
              <w:rPr>
                <w:lang w:eastAsia="en-US"/>
              </w:rPr>
            </w:pPr>
          </w:p>
        </w:tc>
      </w:tr>
      <w:tr w:rsidR="00711444" w:rsidRPr="004D0DAA" w14:paraId="193A9F6A" w14:textId="77777777" w:rsidTr="00AA2A4C">
        <w:tblPrEx>
          <w:tblCellMar>
            <w:top w:w="0" w:type="dxa"/>
            <w:bottom w:w="0" w:type="dxa"/>
          </w:tblCellMar>
        </w:tblPrEx>
        <w:trPr>
          <w:cantSplit/>
        </w:trPr>
        <w:tc>
          <w:tcPr>
            <w:tcW w:w="9848" w:type="dxa"/>
          </w:tcPr>
          <w:p w14:paraId="6DAD9C44" w14:textId="77777777" w:rsidR="00711444" w:rsidRPr="004D0DAA" w:rsidRDefault="00711444" w:rsidP="00AA2A4C">
            <w:pPr>
              <w:pStyle w:val="TAL"/>
              <w:rPr>
                <w:lang w:eastAsia="en-US"/>
              </w:rPr>
            </w:pPr>
            <w:r w:rsidRPr="004D0DAA">
              <w:rPr>
                <w:lang w:eastAsia="en-US"/>
              </w:rPr>
              <w:lastRenderedPageBreak/>
              <w:t>&lt; Cell Selection struct &gt; ::=</w:t>
            </w:r>
          </w:p>
          <w:p w14:paraId="3850E0B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11CA1B8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CELL_BAR_ACCESS_2 </w:t>
            </w:r>
            <w:r w:rsidRPr="004D0DAA">
              <w:rPr>
                <w:lang w:eastAsia="en-US"/>
              </w:rPr>
              <w:t>: bit &gt;</w:t>
            </w:r>
          </w:p>
          <w:p w14:paraId="118E1F3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144F9A4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SAME_RA_AS_SERVING_CELL </w:t>
            </w:r>
            <w:r w:rsidRPr="004D0DAA">
              <w:rPr>
                <w:lang w:eastAsia="en-US"/>
              </w:rPr>
              <w:t>: bit (1) &gt;</w:t>
            </w:r>
          </w:p>
          <w:p w14:paraId="4CDD885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GPRS_RXLEV_ACCESS_MIN </w:t>
            </w:r>
            <w:r w:rsidRPr="004D0DAA">
              <w:rPr>
                <w:lang w:eastAsia="en-US"/>
              </w:rPr>
              <w:t>: bit (6) &gt;</w:t>
            </w:r>
          </w:p>
          <w:p w14:paraId="69C3DAC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GPRS_MS_TXPWR_MAX_CCH </w:t>
            </w:r>
            <w:r w:rsidRPr="004D0DAA">
              <w:rPr>
                <w:lang w:eastAsia="en-US"/>
              </w:rPr>
              <w:t>: bit (5) &gt; }</w:t>
            </w:r>
          </w:p>
          <w:p w14:paraId="19ABE89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GPRS_TEMPORARY_OFFSET </w:t>
            </w:r>
            <w:r w:rsidRPr="004D0DAA">
              <w:rPr>
                <w:lang w:eastAsia="en-US"/>
              </w:rPr>
              <w:t>: bit (3) &gt;</w:t>
            </w:r>
          </w:p>
          <w:p w14:paraId="7306D7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GPRS_PENALTY_TIME </w:t>
            </w:r>
            <w:r w:rsidRPr="004D0DAA">
              <w:rPr>
                <w:lang w:eastAsia="en-US"/>
              </w:rPr>
              <w:t>: bit (5) &gt; }</w:t>
            </w:r>
          </w:p>
          <w:p w14:paraId="689293D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GPRS_RESELECT_OFFSET </w:t>
            </w:r>
            <w:r w:rsidRPr="004D0DAA">
              <w:rPr>
                <w:lang w:eastAsia="en-US"/>
              </w:rPr>
              <w:t>: bit (5) &gt; }</w:t>
            </w:r>
          </w:p>
          <w:p w14:paraId="5A3F79C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HCS params </w:t>
            </w:r>
            <w:r w:rsidRPr="004D0DAA">
              <w:rPr>
                <w:lang w:eastAsia="en-US"/>
              </w:rPr>
              <w:t>: &lt; HCS struct &gt; &gt; }</w:t>
            </w:r>
          </w:p>
          <w:p w14:paraId="50307242"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 xml:space="preserve">SI13 PBCCH Location </w:t>
            </w:r>
            <w:r w:rsidRPr="004D0DAA">
              <w:rPr>
                <w:lang w:val="fr-FR" w:eastAsia="en-US"/>
              </w:rPr>
              <w:t>: &lt; SI13 PBCCH Location struct &gt; &gt; } ;</w:t>
            </w:r>
          </w:p>
          <w:p w14:paraId="6D9C1E13" w14:textId="77777777" w:rsidR="00711444" w:rsidRPr="004D0DAA" w:rsidRDefault="00711444" w:rsidP="00AA2A4C">
            <w:pPr>
              <w:pStyle w:val="TAL"/>
              <w:rPr>
                <w:lang w:val="fr-FR" w:eastAsia="en-US"/>
              </w:rPr>
            </w:pPr>
          </w:p>
        </w:tc>
      </w:tr>
      <w:tr w:rsidR="00711444" w:rsidRPr="004D0DAA" w14:paraId="522BC0F4" w14:textId="77777777" w:rsidTr="00AA2A4C">
        <w:tblPrEx>
          <w:tblCellMar>
            <w:top w:w="0" w:type="dxa"/>
            <w:bottom w:w="0" w:type="dxa"/>
          </w:tblCellMar>
        </w:tblPrEx>
        <w:trPr>
          <w:cantSplit/>
        </w:trPr>
        <w:tc>
          <w:tcPr>
            <w:tcW w:w="9848" w:type="dxa"/>
          </w:tcPr>
          <w:p w14:paraId="7902572F" w14:textId="77777777" w:rsidR="00711444" w:rsidRPr="004D0DAA" w:rsidRDefault="00711444" w:rsidP="00AA2A4C">
            <w:pPr>
              <w:pStyle w:val="TAL"/>
              <w:rPr>
                <w:lang w:val="fr-FR" w:eastAsia="en-US"/>
              </w:rPr>
            </w:pPr>
            <w:r w:rsidRPr="004D0DAA">
              <w:rPr>
                <w:lang w:val="fr-FR" w:eastAsia="en-US"/>
              </w:rPr>
              <w:t>&lt; SI13 PBCCH Location struct &gt; ::=</w:t>
            </w:r>
          </w:p>
          <w:p w14:paraId="69D79052"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0</w:t>
            </w:r>
            <w:r w:rsidRPr="004D0DAA">
              <w:rPr>
                <w:lang w:val="fr-FR" w:eastAsia="en-US"/>
              </w:rPr>
              <w:tab/>
              <w:t xml:space="preserve">&lt; </w:t>
            </w:r>
            <w:r w:rsidRPr="004D0DAA">
              <w:rPr>
                <w:b/>
                <w:lang w:val="fr-FR" w:eastAsia="en-US"/>
              </w:rPr>
              <w:t>SI13_LOCATION</w:t>
            </w:r>
            <w:r w:rsidRPr="004D0DAA">
              <w:rPr>
                <w:lang w:val="fr-FR" w:eastAsia="en-US"/>
              </w:rPr>
              <w:t xml:space="preserve"> : bit (1) &gt;</w:t>
            </w:r>
          </w:p>
          <w:p w14:paraId="0DC88983"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1</w:t>
            </w:r>
            <w:r w:rsidRPr="004D0DAA">
              <w:rPr>
                <w:lang w:eastAsia="en-US"/>
              </w:rPr>
              <w:tab/>
              <w:t xml:space="preserve">&lt; </w:t>
            </w:r>
            <w:r w:rsidRPr="004D0DAA">
              <w:rPr>
                <w:b/>
                <w:lang w:eastAsia="en-US"/>
              </w:rPr>
              <w:t>PBCCH_LOCATION</w:t>
            </w:r>
            <w:r w:rsidRPr="004D0DAA">
              <w:rPr>
                <w:lang w:eastAsia="en-US"/>
              </w:rPr>
              <w:t xml:space="preserve"> : bit (2) &gt;</w:t>
            </w:r>
          </w:p>
          <w:p w14:paraId="615013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PSI1_REPEAT_PERIOD</w:t>
            </w:r>
            <w:r w:rsidRPr="004D0DAA">
              <w:rPr>
                <w:lang w:eastAsia="en-US"/>
              </w:rPr>
              <w:t xml:space="preserve"> : bit (4) &gt; } ;</w:t>
            </w:r>
          </w:p>
          <w:p w14:paraId="5804FB5B" w14:textId="77777777" w:rsidR="00711444" w:rsidRPr="004D0DAA" w:rsidRDefault="00711444" w:rsidP="00AA2A4C">
            <w:pPr>
              <w:pStyle w:val="TAL"/>
              <w:rPr>
                <w:lang w:eastAsia="en-US"/>
              </w:rPr>
            </w:pPr>
          </w:p>
        </w:tc>
      </w:tr>
      <w:tr w:rsidR="00711444" w:rsidRPr="004D0DAA" w14:paraId="1327456E" w14:textId="77777777" w:rsidTr="00AA2A4C">
        <w:tblPrEx>
          <w:tblCellMar>
            <w:top w:w="0" w:type="dxa"/>
            <w:bottom w:w="0" w:type="dxa"/>
          </w:tblCellMar>
        </w:tblPrEx>
        <w:trPr>
          <w:cantSplit/>
        </w:trPr>
        <w:tc>
          <w:tcPr>
            <w:tcW w:w="9848" w:type="dxa"/>
          </w:tcPr>
          <w:p w14:paraId="739623E2" w14:textId="77777777" w:rsidR="00711444" w:rsidRPr="004D0DAA" w:rsidRDefault="00711444" w:rsidP="00AA2A4C">
            <w:pPr>
              <w:pStyle w:val="TAL"/>
              <w:rPr>
                <w:lang w:eastAsia="en-US"/>
              </w:rPr>
            </w:pPr>
            <w:r w:rsidRPr="004D0DAA">
              <w:rPr>
                <w:lang w:eastAsia="en-US"/>
              </w:rPr>
              <w:t>&lt; LSA ID information struct &gt; ::=</w:t>
            </w:r>
          </w:p>
          <w:p w14:paraId="61EB8DBC" w14:textId="77777777" w:rsidR="00711444" w:rsidRPr="004D0DAA" w:rsidRDefault="00711444" w:rsidP="00AA2A4C">
            <w:pPr>
              <w:pStyle w:val="TAL"/>
              <w:rPr>
                <w:lang w:eastAsia="en-US"/>
              </w:rPr>
            </w:pPr>
            <w:r w:rsidRPr="004D0DAA">
              <w:rPr>
                <w:lang w:eastAsia="en-US"/>
              </w:rPr>
              <w:tab/>
              <w:t>{ 1 {</w:t>
            </w:r>
            <w:r w:rsidRPr="004D0DAA">
              <w:rPr>
                <w:lang w:eastAsia="en-US"/>
              </w:rPr>
              <w:tab/>
              <w:t>0</w:t>
            </w:r>
            <w:r w:rsidRPr="004D0DAA">
              <w:rPr>
                <w:lang w:eastAsia="en-US"/>
              </w:rPr>
              <w:tab/>
              <w:t xml:space="preserve">&lt; </w:t>
            </w:r>
            <w:r w:rsidRPr="004D0DAA">
              <w:rPr>
                <w:b/>
                <w:lang w:eastAsia="en-US"/>
              </w:rPr>
              <w:t>LSA_ID</w:t>
            </w:r>
            <w:r w:rsidRPr="004D0DAA">
              <w:rPr>
                <w:lang w:eastAsia="en-US"/>
              </w:rPr>
              <w:t xml:space="preserve"> : bit (24) &gt;</w:t>
            </w:r>
          </w:p>
          <w:p w14:paraId="24A950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lang w:eastAsia="en-US"/>
              </w:rPr>
              <w:t>ShortLSA_ID</w:t>
            </w:r>
            <w:r w:rsidRPr="004D0DAA">
              <w:rPr>
                <w:lang w:eastAsia="en-US"/>
              </w:rPr>
              <w:t> : bit (10) &gt; } } ** 0 ;</w:t>
            </w:r>
          </w:p>
          <w:p w14:paraId="0E7755E7" w14:textId="77777777" w:rsidR="00711444" w:rsidRPr="004D0DAA" w:rsidRDefault="00711444" w:rsidP="00AA2A4C">
            <w:pPr>
              <w:pStyle w:val="TAL"/>
              <w:rPr>
                <w:lang w:eastAsia="en-US"/>
              </w:rPr>
            </w:pPr>
          </w:p>
        </w:tc>
      </w:tr>
      <w:tr w:rsidR="00711444" w:rsidRPr="004D0DAA" w14:paraId="1CC42ABF" w14:textId="77777777" w:rsidTr="00AA2A4C">
        <w:tblPrEx>
          <w:tblCellMar>
            <w:top w:w="0" w:type="dxa"/>
            <w:bottom w:w="0" w:type="dxa"/>
          </w:tblCellMar>
        </w:tblPrEx>
        <w:trPr>
          <w:cantSplit/>
        </w:trPr>
        <w:tc>
          <w:tcPr>
            <w:tcW w:w="9848" w:type="dxa"/>
          </w:tcPr>
          <w:p w14:paraId="649F3D83" w14:textId="77777777" w:rsidR="00711444" w:rsidRPr="004D0DAA" w:rsidRDefault="00711444" w:rsidP="00AA2A4C">
            <w:pPr>
              <w:pStyle w:val="TAL"/>
              <w:rPr>
                <w:lang w:eastAsia="en-US"/>
              </w:rPr>
            </w:pPr>
            <w:r w:rsidRPr="004D0DAA">
              <w:rPr>
                <w:lang w:eastAsia="en-US"/>
              </w:rPr>
              <w:t>&lt; COMPACT Information struct &gt; : :=</w:t>
            </w:r>
          </w:p>
          <w:p w14:paraId="4C07BF6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Identification</w:t>
            </w:r>
            <w:r w:rsidRPr="004D0DAA">
              <w:rPr>
                <w:lang w:eastAsia="en-US"/>
              </w:rPr>
              <w:t xml:space="preserve"> : Cell identification IE&gt;</w:t>
            </w:r>
          </w:p>
          <w:p w14:paraId="6046B313" w14:textId="77777777" w:rsidR="00711444" w:rsidRPr="004D0DAA" w:rsidRDefault="00711444" w:rsidP="00AA2A4C">
            <w:pPr>
              <w:pStyle w:val="TAL"/>
              <w:rPr>
                <w:lang w:eastAsia="en-US"/>
              </w:rPr>
            </w:pPr>
            <w:r w:rsidRPr="004D0DAA">
              <w:rPr>
                <w:lang w:eastAsia="en-US"/>
              </w:rPr>
              <w:tab/>
              <w:t>{ 1 &lt; COMPACT Neighbour Cell params struct &gt; } ** 0 ;</w:t>
            </w:r>
          </w:p>
          <w:p w14:paraId="1350C5E2" w14:textId="77777777" w:rsidR="00711444" w:rsidRPr="004D0DAA" w:rsidRDefault="00711444" w:rsidP="00AA2A4C">
            <w:pPr>
              <w:pStyle w:val="TAL"/>
              <w:rPr>
                <w:lang w:eastAsia="en-US"/>
              </w:rPr>
            </w:pPr>
          </w:p>
        </w:tc>
      </w:tr>
      <w:tr w:rsidR="00711444" w:rsidRPr="004D0DAA" w14:paraId="613D7B9D" w14:textId="77777777" w:rsidTr="00AA2A4C">
        <w:tblPrEx>
          <w:tblCellMar>
            <w:top w:w="0" w:type="dxa"/>
            <w:bottom w:w="0" w:type="dxa"/>
          </w:tblCellMar>
        </w:tblPrEx>
        <w:trPr>
          <w:cantSplit/>
        </w:trPr>
        <w:tc>
          <w:tcPr>
            <w:tcW w:w="9848" w:type="dxa"/>
          </w:tcPr>
          <w:p w14:paraId="2CA8AB58" w14:textId="77777777" w:rsidR="00711444" w:rsidRPr="004D0DAA" w:rsidRDefault="00711444" w:rsidP="00AA2A4C">
            <w:pPr>
              <w:pStyle w:val="TAL"/>
              <w:rPr>
                <w:lang w:eastAsia="en-US"/>
              </w:rPr>
            </w:pPr>
            <w:r w:rsidRPr="004D0DAA">
              <w:rPr>
                <w:lang w:eastAsia="en-US"/>
              </w:rPr>
              <w:t>&lt; COMPACT Neighbour Cell params struct &gt; ::=</w:t>
            </w:r>
          </w:p>
          <w:p w14:paraId="5DC20D2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START_FREQUENCY</w:t>
            </w:r>
            <w:r w:rsidRPr="004D0DAA">
              <w:rPr>
                <w:lang w:eastAsia="en-US"/>
              </w:rPr>
              <w:t xml:space="preserve"> : bit (10) &gt;</w:t>
            </w:r>
          </w:p>
          <w:p w14:paraId="787FAE9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COMPACT Cell selection params</w:t>
            </w:r>
            <w:r w:rsidRPr="004D0DAA">
              <w:rPr>
                <w:lang w:eastAsia="en-US"/>
              </w:rPr>
              <w:t xml:space="preserve"> : &lt; COMPACT Cell Selection struct &gt; &gt;</w:t>
            </w:r>
          </w:p>
          <w:p w14:paraId="5559C8B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707724D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FREQ_DIFF_LENGTH</w:t>
            </w:r>
            <w:r w:rsidRPr="004D0DAA">
              <w:rPr>
                <w:lang w:eastAsia="en-US"/>
              </w:rPr>
              <w:t xml:space="preserve"> : bit (3) &gt;</w:t>
            </w:r>
          </w:p>
          <w:p w14:paraId="25CC7989"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FREQUENCY_DIFF</w:t>
            </w:r>
            <w:r w:rsidRPr="004D0DAA">
              <w:rPr>
                <w:lang w:eastAsia="en-US"/>
              </w:rPr>
              <w:t xml:space="preserve"> : bit (1 + val(FREQ_DIFF_LENGTH)) &gt;</w:t>
            </w:r>
          </w:p>
          <w:p w14:paraId="305F505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COMPACT Cell selection params</w:t>
            </w:r>
            <w:r w:rsidRPr="004D0DAA">
              <w:rPr>
                <w:lang w:eastAsia="en-US"/>
              </w:rPr>
              <w:t xml:space="preserve"> : </w:t>
            </w:r>
          </w:p>
          <w:p w14:paraId="5398FB3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COMPACT Cell Selection struct &gt; &gt; } * (val(NR_OF_REMAINING_CELLS));</w:t>
            </w:r>
          </w:p>
          <w:p w14:paraId="2EE9FA8B" w14:textId="77777777" w:rsidR="00711444" w:rsidRPr="004D0DAA" w:rsidRDefault="00711444" w:rsidP="00AA2A4C">
            <w:pPr>
              <w:pStyle w:val="TAL"/>
              <w:rPr>
                <w:lang w:eastAsia="en-US"/>
              </w:rPr>
            </w:pPr>
          </w:p>
        </w:tc>
      </w:tr>
      <w:tr w:rsidR="00711444" w:rsidRPr="004D0DAA" w14:paraId="07AE57FE" w14:textId="77777777" w:rsidTr="00AA2A4C">
        <w:tblPrEx>
          <w:tblCellMar>
            <w:top w:w="0" w:type="dxa"/>
            <w:bottom w:w="0" w:type="dxa"/>
          </w:tblCellMar>
        </w:tblPrEx>
        <w:trPr>
          <w:cantSplit/>
        </w:trPr>
        <w:tc>
          <w:tcPr>
            <w:tcW w:w="9848" w:type="dxa"/>
          </w:tcPr>
          <w:p w14:paraId="0EBC1D11" w14:textId="77777777" w:rsidR="00711444" w:rsidRPr="004D0DAA" w:rsidRDefault="00711444" w:rsidP="00AA2A4C">
            <w:pPr>
              <w:pStyle w:val="TAL"/>
              <w:rPr>
                <w:lang w:eastAsia="en-US"/>
              </w:rPr>
            </w:pPr>
            <w:r w:rsidRPr="004D0DAA">
              <w:rPr>
                <w:lang w:eastAsia="en-US"/>
              </w:rPr>
              <w:t>&lt; COMPACT Cell Selection struct &gt; ::=</w:t>
            </w:r>
          </w:p>
          <w:p w14:paraId="61B3BF4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BSIC</w:t>
            </w:r>
            <w:r w:rsidRPr="004D0DAA">
              <w:rPr>
                <w:lang w:eastAsia="en-US"/>
              </w:rPr>
              <w:t xml:space="preserve"> : bit (6) &gt;</w:t>
            </w:r>
          </w:p>
          <w:p w14:paraId="47BE30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CELL_BAR_ACCESS_2 </w:t>
            </w:r>
            <w:r w:rsidRPr="004D0DAA">
              <w:rPr>
                <w:lang w:eastAsia="en-US"/>
              </w:rPr>
              <w:t>: bit &gt;</w:t>
            </w:r>
          </w:p>
          <w:p w14:paraId="6657AEA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4CD4758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0DAD26E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GPRS_RXLEV_ACCESS_MIN</w:t>
            </w:r>
            <w:r w:rsidRPr="004D0DAA">
              <w:rPr>
                <w:lang w:eastAsia="en-US"/>
              </w:rPr>
              <w:t xml:space="preserve"> : bit (6) &gt;</w:t>
            </w:r>
          </w:p>
          <w:p w14:paraId="46BAB04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GPRS_MS_TXPWR_MAX_CCH</w:t>
            </w:r>
            <w:r w:rsidRPr="004D0DAA">
              <w:rPr>
                <w:lang w:eastAsia="en-US"/>
              </w:rPr>
              <w:t xml:space="preserve"> : bit (5) &gt; }</w:t>
            </w:r>
          </w:p>
          <w:p w14:paraId="030A7D4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GPRS_TEMPORARY_OFFSET</w:t>
            </w:r>
            <w:r w:rsidRPr="004D0DAA">
              <w:rPr>
                <w:lang w:eastAsia="en-US"/>
              </w:rPr>
              <w:t xml:space="preserve"> : bit (3) &gt;</w:t>
            </w:r>
          </w:p>
          <w:p w14:paraId="4473BCB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GPRS_PENALTY_TIME</w:t>
            </w:r>
            <w:r w:rsidRPr="004D0DAA">
              <w:rPr>
                <w:lang w:eastAsia="en-US"/>
              </w:rPr>
              <w:t xml:space="preserve"> : bit (5) &gt; }</w:t>
            </w:r>
          </w:p>
          <w:p w14:paraId="271BA8B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GPRS_RESELECT_OFFSET</w:t>
            </w:r>
            <w:r w:rsidRPr="004D0DAA">
              <w:rPr>
                <w:lang w:eastAsia="en-US"/>
              </w:rPr>
              <w:t xml:space="preserve"> : bit (5) &gt; }</w:t>
            </w:r>
          </w:p>
          <w:p w14:paraId="6B24B5C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HCS params</w:t>
            </w:r>
            <w:r w:rsidRPr="004D0DAA">
              <w:rPr>
                <w:lang w:eastAsia="en-US"/>
              </w:rPr>
              <w:t xml:space="preserve"> : &lt; HCS struct &gt; &gt; }</w:t>
            </w:r>
          </w:p>
          <w:p w14:paraId="7A5F1ED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TIME_GROUP</w:t>
            </w:r>
            <w:r w:rsidRPr="004D0DAA">
              <w:rPr>
                <w:lang w:eastAsia="en-US"/>
              </w:rPr>
              <w:t xml:space="preserve"> : bit (2) &gt; }</w:t>
            </w:r>
          </w:p>
          <w:p w14:paraId="2E2FD05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GUAR_CONSTANT_PWR_BLKS</w:t>
            </w:r>
            <w:r w:rsidRPr="004D0DAA">
              <w:rPr>
                <w:lang w:eastAsia="en-US"/>
              </w:rPr>
              <w:t xml:space="preserve"> : bit (2) &gt;} ;</w:t>
            </w:r>
          </w:p>
          <w:p w14:paraId="7B585B2A" w14:textId="77777777" w:rsidR="00711444" w:rsidRPr="004D0DAA" w:rsidRDefault="00711444" w:rsidP="00AA2A4C">
            <w:pPr>
              <w:pStyle w:val="TAL"/>
              <w:rPr>
                <w:lang w:eastAsia="en-US"/>
              </w:rPr>
            </w:pPr>
          </w:p>
        </w:tc>
      </w:tr>
      <w:tr w:rsidR="00711444" w:rsidRPr="004D0DAA" w14:paraId="2B7ECAE0" w14:textId="77777777" w:rsidTr="00AA2A4C">
        <w:tblPrEx>
          <w:tblCellMar>
            <w:top w:w="0" w:type="dxa"/>
            <w:bottom w:w="0" w:type="dxa"/>
          </w:tblCellMar>
        </w:tblPrEx>
        <w:trPr>
          <w:cantSplit/>
        </w:trPr>
        <w:tc>
          <w:tcPr>
            <w:tcW w:w="9848" w:type="dxa"/>
          </w:tcPr>
          <w:p w14:paraId="467256F5"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t xml:space="preserve">&lt; </w:t>
            </w:r>
            <w:r w:rsidRPr="004D0DAA">
              <w:rPr>
                <w:b/>
                <w:lang w:eastAsia="en-US"/>
              </w:rPr>
              <w:t>Number_Cells</w:t>
            </w:r>
            <w:r w:rsidRPr="004D0DAA">
              <w:rPr>
                <w:lang w:eastAsia="en-US"/>
              </w:rPr>
              <w:t xml:space="preserve"> : bit (7) &gt;</w:t>
            </w:r>
            <w:r w:rsidRPr="004D0DAA">
              <w:rPr>
                <w:lang w:eastAsia="en-US"/>
              </w:rPr>
              <w:br/>
              <w:t xml:space="preserve">{ </w:t>
            </w:r>
            <w:r w:rsidRPr="004D0DAA">
              <w:rPr>
                <w:b/>
                <w:lang w:eastAsia="en-US"/>
              </w:rPr>
              <w:t>CCN_SUPPORTED</w:t>
            </w:r>
            <w:r w:rsidRPr="004D0DAA">
              <w:rPr>
                <w:lang w:eastAsia="en-US"/>
              </w:rPr>
              <w:t xml:space="preserve"> : bit } * (val(Number_Cells)) ;</w:t>
            </w:r>
          </w:p>
        </w:tc>
      </w:tr>
      <w:tr w:rsidR="00711444" w:rsidRPr="004D0DAA" w14:paraId="334C38EF" w14:textId="77777777" w:rsidTr="00AA2A4C">
        <w:tblPrEx>
          <w:tblCellMar>
            <w:top w:w="0" w:type="dxa"/>
            <w:bottom w:w="0" w:type="dxa"/>
          </w:tblCellMar>
        </w:tblPrEx>
        <w:trPr>
          <w:cantSplit/>
        </w:trPr>
        <w:tc>
          <w:tcPr>
            <w:tcW w:w="9848" w:type="dxa"/>
          </w:tcPr>
          <w:p w14:paraId="3A39ACFF" w14:textId="77777777" w:rsidR="00711444" w:rsidRPr="004D0DAA" w:rsidRDefault="00711444" w:rsidP="00AA2A4C">
            <w:pPr>
              <w:pStyle w:val="TAL"/>
              <w:rPr>
                <w:lang w:eastAsia="en-US"/>
              </w:rPr>
            </w:pPr>
            <w:r w:rsidRPr="004D0DAA">
              <w:rPr>
                <w:lang w:eastAsia="en-US"/>
              </w:rPr>
              <w:t>&lt; Iu Mode Neighbour Cell Params struct &gt; ::=</w:t>
            </w:r>
          </w:p>
          <w:p w14:paraId="51AE804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2E7B6B1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xml:space="preserve">: </w:t>
            </w:r>
          </w:p>
          <w:p w14:paraId="4FC77E7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&lt;Iu Mode Cell Selection struct &gt;&gt; } * (val(NR_OF_REMAINING_CELLS));</w:t>
            </w:r>
          </w:p>
        </w:tc>
      </w:tr>
      <w:tr w:rsidR="00711444" w:rsidRPr="004D0DAA" w14:paraId="66A03EF2" w14:textId="77777777" w:rsidTr="00AA2A4C">
        <w:tblPrEx>
          <w:tblCellMar>
            <w:top w:w="0" w:type="dxa"/>
            <w:bottom w:w="0" w:type="dxa"/>
          </w:tblCellMar>
        </w:tblPrEx>
        <w:trPr>
          <w:cantSplit/>
        </w:trPr>
        <w:tc>
          <w:tcPr>
            <w:tcW w:w="9848" w:type="dxa"/>
          </w:tcPr>
          <w:p w14:paraId="0E30F328" w14:textId="77777777" w:rsidR="00711444" w:rsidRPr="004D0DAA" w:rsidRDefault="00711444" w:rsidP="00AA2A4C">
            <w:pPr>
              <w:pStyle w:val="TAL"/>
              <w:rPr>
                <w:lang w:eastAsia="en-US"/>
              </w:rPr>
            </w:pPr>
            <w:r w:rsidRPr="004D0DAA">
              <w:rPr>
                <w:lang w:eastAsia="en-US"/>
              </w:rPr>
              <w:t>&lt; Iu Mode Cell Selection struct &gt; ::=</w:t>
            </w:r>
          </w:p>
          <w:p w14:paraId="06ED003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BAR QUALIFY 3</w:t>
            </w:r>
            <w:r w:rsidRPr="004D0DAA">
              <w:rPr>
                <w:bCs/>
                <w:lang w:eastAsia="en-US"/>
              </w:rPr>
              <w:t xml:space="preserve"> </w:t>
            </w:r>
            <w:r w:rsidRPr="004D0DAA">
              <w:rPr>
                <w:lang w:eastAsia="en-US"/>
              </w:rPr>
              <w:t>: bit (2) &gt;</w:t>
            </w:r>
            <w:r w:rsidRPr="004D0DAA">
              <w:rPr>
                <w:lang w:eastAsia="en-US"/>
              </w:rPr>
              <w:tab/>
            </w:r>
          </w:p>
          <w:p w14:paraId="4D2D86FC"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SI13Alt PBCCH Location</w:t>
            </w:r>
            <w:r w:rsidRPr="004D0DAA">
              <w:rPr>
                <w:lang w:val="fr-FR" w:eastAsia="en-US"/>
              </w:rPr>
              <w:t>: &lt; SI13 PBCCH Location struct &gt; &gt; };</w:t>
            </w:r>
          </w:p>
        </w:tc>
      </w:tr>
      <w:tr w:rsidR="00711444" w:rsidRPr="004D0DAA" w14:paraId="32412085" w14:textId="77777777" w:rsidTr="00AA2A4C">
        <w:tblPrEx>
          <w:tblCellMar>
            <w:top w:w="0" w:type="dxa"/>
            <w:bottom w:w="0" w:type="dxa"/>
          </w:tblCellMar>
        </w:tblPrEx>
        <w:trPr>
          <w:cantSplit/>
        </w:trPr>
        <w:tc>
          <w:tcPr>
            <w:tcW w:w="9848" w:type="dxa"/>
          </w:tcPr>
          <w:p w14:paraId="2C9BBC1B" w14:textId="77777777" w:rsidR="00711444" w:rsidRPr="004D0DAA" w:rsidRDefault="00711444" w:rsidP="00AA2A4C">
            <w:pPr>
              <w:pStyle w:val="TAL"/>
              <w:rPr>
                <w:lang w:eastAsia="en-US"/>
              </w:rPr>
            </w:pPr>
            <w:r w:rsidRPr="004D0DAA">
              <w:rPr>
                <w:lang w:eastAsia="en-US"/>
              </w:rPr>
              <w:t>&lt; Iu mode Only Neighbour Cell params struct &gt; ::=</w:t>
            </w:r>
          </w:p>
          <w:p w14:paraId="6D8C2AC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START_FREQUENCY</w:t>
            </w:r>
            <w:r w:rsidRPr="004D0DAA">
              <w:rPr>
                <w:lang w:eastAsia="en-US"/>
              </w:rPr>
              <w:t xml:space="preserve"> : bit (10) &gt;</w:t>
            </w:r>
          </w:p>
          <w:p w14:paraId="35510AE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Iu mode Only Cell selection params</w:t>
            </w:r>
            <w:r w:rsidRPr="004D0DAA">
              <w:rPr>
                <w:lang w:eastAsia="en-US"/>
              </w:rPr>
              <w:t xml:space="preserve"> : &lt; Iu mode Only Cell Selection struct &gt; &gt;</w:t>
            </w:r>
          </w:p>
          <w:p w14:paraId="011B086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051ED0E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FREQ_DIFF_LENGTH</w:t>
            </w:r>
            <w:r w:rsidRPr="004D0DAA">
              <w:rPr>
                <w:lang w:eastAsia="en-US"/>
              </w:rPr>
              <w:t xml:space="preserve"> : bit (3) &gt;</w:t>
            </w:r>
          </w:p>
          <w:p w14:paraId="0A420F0F"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FREQUENCY_DIFF</w:t>
            </w:r>
            <w:r w:rsidRPr="004D0DAA">
              <w:rPr>
                <w:lang w:eastAsia="en-US"/>
              </w:rPr>
              <w:t xml:space="preserve"> : bit (1 + val(FREQ_DIFF_LENGTH)) &gt;</w:t>
            </w:r>
          </w:p>
          <w:p w14:paraId="2348743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Iu mode Only Cell selection params</w:t>
            </w:r>
            <w:r w:rsidRPr="004D0DAA">
              <w:rPr>
                <w:lang w:eastAsia="en-US"/>
              </w:rPr>
              <w:t xml:space="preserve"> : </w:t>
            </w:r>
          </w:p>
          <w:p w14:paraId="2D9E70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Iu mode Only Cell Selection struct &gt; &gt;} * (val(NR_OF_REMAINING_CELLS));</w:t>
            </w:r>
          </w:p>
        </w:tc>
      </w:tr>
      <w:tr w:rsidR="00711444" w:rsidRPr="004D0DAA" w14:paraId="477C9D31" w14:textId="77777777" w:rsidTr="00AA2A4C">
        <w:tblPrEx>
          <w:tblCellMar>
            <w:top w:w="0" w:type="dxa"/>
            <w:bottom w:w="0" w:type="dxa"/>
          </w:tblCellMar>
        </w:tblPrEx>
        <w:trPr>
          <w:cantSplit/>
        </w:trPr>
        <w:tc>
          <w:tcPr>
            <w:tcW w:w="9848" w:type="dxa"/>
          </w:tcPr>
          <w:p w14:paraId="0789696F" w14:textId="77777777" w:rsidR="00711444" w:rsidRPr="004D0DAA" w:rsidRDefault="00711444" w:rsidP="00AA2A4C">
            <w:pPr>
              <w:pStyle w:val="TAL"/>
              <w:rPr>
                <w:lang w:eastAsia="en-US"/>
              </w:rPr>
            </w:pPr>
            <w:r w:rsidRPr="004D0DAA">
              <w:rPr>
                <w:lang w:eastAsia="en-US"/>
              </w:rPr>
              <w:lastRenderedPageBreak/>
              <w:t>&lt; Iu Mode Only Cell Selection struct &gt; ::=</w:t>
            </w:r>
          </w:p>
          <w:p w14:paraId="3D9E760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BSIC</w:t>
            </w:r>
            <w:r w:rsidRPr="004D0DAA">
              <w:rPr>
                <w:lang w:eastAsia="en-US"/>
              </w:rPr>
              <w:t xml:space="preserve"> : bit (6) &gt;</w:t>
            </w:r>
          </w:p>
          <w:p w14:paraId="0321E46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CELL BAR QUALIFY 3</w:t>
            </w:r>
            <w:r w:rsidRPr="004D0DAA">
              <w:rPr>
                <w:lang w:eastAsia="en-US"/>
              </w:rPr>
              <w:t xml:space="preserve"> : bit (2) &gt;</w:t>
            </w:r>
          </w:p>
          <w:p w14:paraId="4644D7D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5A18BCA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GPRS_RXLEV_ACCESS_MIN</w:t>
            </w:r>
            <w:r w:rsidRPr="004D0DAA">
              <w:rPr>
                <w:lang w:eastAsia="en-US"/>
              </w:rPr>
              <w:t xml:space="preserve"> : bit (6) &gt;</w:t>
            </w:r>
          </w:p>
          <w:p w14:paraId="02094A7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GPRS_MS_TXPWR_MAX_CCH</w:t>
            </w:r>
            <w:r w:rsidRPr="004D0DAA">
              <w:rPr>
                <w:lang w:eastAsia="en-US"/>
              </w:rPr>
              <w:t xml:space="preserve"> : bit (5) &gt; }</w:t>
            </w:r>
          </w:p>
          <w:p w14:paraId="3979EF1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GPRS_TEMPORARY_OFFSET</w:t>
            </w:r>
            <w:r w:rsidRPr="004D0DAA">
              <w:rPr>
                <w:lang w:eastAsia="en-US"/>
              </w:rPr>
              <w:t xml:space="preserve"> : bit (3) &gt;</w:t>
            </w:r>
          </w:p>
          <w:p w14:paraId="15D588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GPRS_PENALTY_TIME</w:t>
            </w:r>
            <w:r w:rsidRPr="004D0DAA">
              <w:rPr>
                <w:lang w:eastAsia="en-US"/>
              </w:rPr>
              <w:t xml:space="preserve"> : bit (5) }</w:t>
            </w:r>
          </w:p>
          <w:p w14:paraId="3BEE8D65"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GPRS_RESELECT_OFFSET</w:t>
            </w:r>
            <w:r w:rsidRPr="004D0DAA">
              <w:rPr>
                <w:lang w:eastAsia="en-US"/>
              </w:rPr>
              <w:t xml:space="preserve"> : bit (5) &gt; }</w:t>
            </w:r>
          </w:p>
          <w:p w14:paraId="49B342DE"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HCS params</w:t>
            </w:r>
            <w:r w:rsidRPr="004D0DAA">
              <w:rPr>
                <w:lang w:eastAsia="en-US"/>
              </w:rPr>
              <w:t xml:space="preserve"> : &lt; HCS struct &gt; &gt; }</w:t>
            </w:r>
          </w:p>
          <w:p w14:paraId="7D191D0E"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SI13Alt PBCCH Location</w:t>
            </w:r>
            <w:r w:rsidRPr="004D0DAA">
              <w:rPr>
                <w:lang w:val="fr-FR" w:eastAsia="en-US"/>
              </w:rPr>
              <w:t xml:space="preserve"> : &lt; SI13 PBCCH Location struct &gt; &gt;};</w:t>
            </w:r>
          </w:p>
        </w:tc>
      </w:tr>
    </w:tbl>
    <w:p w14:paraId="12A74B6D" w14:textId="77777777" w:rsidR="00711444" w:rsidRPr="004D0DAA" w:rsidRDefault="00711444" w:rsidP="00711444">
      <w:pPr>
        <w:rPr>
          <w:lang w:val="fr-FR"/>
        </w:rPr>
      </w:pPr>
    </w:p>
    <w:p w14:paraId="37055A48" w14:textId="77777777" w:rsidR="00711444" w:rsidRPr="004D0DAA" w:rsidRDefault="00711444" w:rsidP="00711444">
      <w:pPr>
        <w:pStyle w:val="TH"/>
      </w:pPr>
      <w:r w:rsidRPr="004D0DAA">
        <w:t>Table 11.2.20.2: PSI3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133AE39" w14:textId="77777777" w:rsidTr="00AA2A4C">
        <w:tblPrEx>
          <w:tblCellMar>
            <w:top w:w="0" w:type="dxa"/>
            <w:bottom w:w="0" w:type="dxa"/>
          </w:tblCellMar>
        </w:tblPrEx>
        <w:trPr>
          <w:cantSplit/>
        </w:trPr>
        <w:tc>
          <w:tcPr>
            <w:tcW w:w="9848" w:type="dxa"/>
          </w:tcPr>
          <w:p w14:paraId="63655325" w14:textId="77777777" w:rsidR="00711444" w:rsidRPr="004D0DAA" w:rsidRDefault="00711444" w:rsidP="00AA2A4C">
            <w:pPr>
              <w:rPr>
                <w:b/>
              </w:rPr>
            </w:pPr>
            <w:r w:rsidRPr="004D0DAA">
              <w:rPr>
                <w:b/>
              </w:rPr>
              <w:t>PAGE_MODE</w:t>
            </w:r>
            <w:r w:rsidRPr="004D0DAA">
              <w:t xml:space="preserve"> (2 bit field)</w:t>
            </w:r>
            <w:r w:rsidRPr="004D0DAA">
              <w:br/>
              <w:t>This field describes which type of page mode used, i.e. either normal paging, extended paging, paging reorganization or same as before from the previous page mode. The mobile station shall ignore this field if the message is received on the PACCH. Coding of this field is defined in 3GPP TS 44.018</w:t>
            </w:r>
          </w:p>
        </w:tc>
      </w:tr>
      <w:tr w:rsidR="00711444" w:rsidRPr="004D0DAA" w14:paraId="4A3039E0" w14:textId="77777777" w:rsidTr="00AA2A4C">
        <w:tblPrEx>
          <w:tblCellMar>
            <w:top w:w="0" w:type="dxa"/>
            <w:bottom w:w="0" w:type="dxa"/>
          </w:tblCellMar>
        </w:tblPrEx>
        <w:trPr>
          <w:cantSplit/>
        </w:trPr>
        <w:tc>
          <w:tcPr>
            <w:tcW w:w="9848" w:type="dxa"/>
          </w:tcPr>
          <w:p w14:paraId="76AF9D3E" w14:textId="77777777" w:rsidR="00711444" w:rsidRPr="004D0DAA" w:rsidRDefault="00711444" w:rsidP="00AA2A4C">
            <w:pPr>
              <w:rPr>
                <w:b/>
              </w:rPr>
            </w:pPr>
            <w:r w:rsidRPr="004D0DAA">
              <w:rPr>
                <w:b/>
              </w:rPr>
              <w:t>PSI3_CHANGE_MARK</w:t>
            </w:r>
            <w:r w:rsidRPr="004D0DAA">
              <w:t xml:space="preserve"> (2 bit field)</w:t>
            </w:r>
            <w:r w:rsidRPr="004D0DAA">
              <w:br/>
              <w:t>The PSI3 change mark field is changed each time information has been updated in any of the PSI3, PSI3 bis, PSI3 ter or PSI3 quater messages. A new value indicates that the mobile station shall re-read the information from the PSI3 and all PSI3 bis, PSI3 ter and PSI3 quater messages. The coding of this field is network dependent.</w:t>
            </w:r>
            <w:r w:rsidRPr="004D0DAA">
              <w:br/>
              <w:t>Range: 0-3.</w:t>
            </w:r>
          </w:p>
        </w:tc>
      </w:tr>
      <w:tr w:rsidR="00711444" w:rsidRPr="004D0DAA" w14:paraId="407DA760" w14:textId="77777777" w:rsidTr="00AA2A4C">
        <w:tblPrEx>
          <w:tblCellMar>
            <w:top w:w="0" w:type="dxa"/>
            <w:bottom w:w="0" w:type="dxa"/>
          </w:tblCellMar>
        </w:tblPrEx>
        <w:trPr>
          <w:cantSplit/>
        </w:trPr>
        <w:tc>
          <w:tcPr>
            <w:tcW w:w="9848" w:type="dxa"/>
          </w:tcPr>
          <w:p w14:paraId="37292503" w14:textId="77777777" w:rsidR="00711444" w:rsidRPr="004D0DAA" w:rsidRDefault="00711444" w:rsidP="00AA2A4C">
            <w:pPr>
              <w:rPr>
                <w:b/>
              </w:rPr>
            </w:pPr>
            <w:r w:rsidRPr="004D0DAA">
              <w:rPr>
                <w:b/>
              </w:rPr>
              <w:t>PSI3_BIS_COUNT</w:t>
            </w:r>
            <w:r w:rsidRPr="004D0DAA">
              <w:t xml:space="preserve"> (4 bit field)</w:t>
            </w:r>
            <w:r w:rsidRPr="004D0DAA">
              <w:br/>
              <w:t>This field is coded as the binary representation of the PSI3 bis index (in the PSI3 bis message) for the last (highest indexed) individual PSI3 bis message.</w:t>
            </w:r>
            <w:r w:rsidRPr="004D0DAA">
              <w:br/>
              <w:t>Range: 0-15.</w:t>
            </w:r>
          </w:p>
        </w:tc>
      </w:tr>
      <w:tr w:rsidR="00711444" w:rsidRPr="004D0DAA" w14:paraId="1809E603" w14:textId="77777777" w:rsidTr="00AA2A4C">
        <w:tblPrEx>
          <w:tblCellMar>
            <w:top w:w="0" w:type="dxa"/>
            <w:bottom w:w="0" w:type="dxa"/>
          </w:tblCellMar>
        </w:tblPrEx>
        <w:trPr>
          <w:cantSplit/>
        </w:trPr>
        <w:tc>
          <w:tcPr>
            <w:tcW w:w="9848" w:type="dxa"/>
          </w:tcPr>
          <w:p w14:paraId="2F8AEC10" w14:textId="77777777" w:rsidR="00711444" w:rsidRPr="004D0DAA" w:rsidRDefault="00711444" w:rsidP="00AA2A4C">
            <w:r w:rsidRPr="004D0DAA">
              <w:rPr>
                <w:i/>
              </w:rPr>
              <w:t>Serving Cell Parameters:</w:t>
            </w:r>
          </w:p>
          <w:p w14:paraId="7F8EE1A6" w14:textId="77777777" w:rsidR="00711444" w:rsidRPr="004D0DAA" w:rsidRDefault="00711444" w:rsidP="00AA2A4C">
            <w:r w:rsidRPr="004D0DAA">
              <w:rPr>
                <w:b/>
              </w:rPr>
              <w:t xml:space="preserve">CELL_BAR_ACCESS_2 </w:t>
            </w:r>
            <w:r w:rsidRPr="004D0DAA">
              <w:t>(1 bit field)</w:t>
            </w:r>
            <w:r w:rsidRPr="004D0DAA">
              <w:br/>
              <w:t>This field combines the CELL_BAR_ACCESS and CELL_BAR_QUALIFY parameters and indicates the status for cell reselection, see 3GPP TS 45.008:</w:t>
            </w:r>
          </w:p>
          <w:p w14:paraId="27739438" w14:textId="77777777" w:rsidR="00711444" w:rsidRPr="004D0DAA" w:rsidRDefault="00711444" w:rsidP="00AA2A4C">
            <w:pPr>
              <w:rPr>
                <w:i/>
              </w:rPr>
            </w:pPr>
            <w:r w:rsidRPr="004D0DAA">
              <w:t>0</w:t>
            </w:r>
            <w:r w:rsidRPr="004D0DAA">
              <w:tab/>
              <w:t xml:space="preserve">Status for cell reselection is set to </w:t>
            </w:r>
            <w:r w:rsidRPr="004D0DAA">
              <w:rPr>
                <w:i/>
              </w:rPr>
              <w:t>normal</w:t>
            </w:r>
            <w:r w:rsidRPr="004D0DAA">
              <w:t>;</w:t>
            </w:r>
            <w:r w:rsidRPr="004D0DAA">
              <w:br/>
              <w:t>1</w:t>
            </w:r>
            <w:r w:rsidRPr="004D0DAA">
              <w:tab/>
              <w:t xml:space="preserve">Status for cell reselection is set to </w:t>
            </w:r>
            <w:r w:rsidRPr="004D0DAA">
              <w:rPr>
                <w:i/>
              </w:rPr>
              <w:t>barred</w:t>
            </w:r>
            <w:r w:rsidRPr="004D0DAA">
              <w:t>.</w:t>
            </w:r>
          </w:p>
        </w:tc>
      </w:tr>
      <w:tr w:rsidR="00711444" w:rsidRPr="004D0DAA" w14:paraId="48BB3247" w14:textId="77777777" w:rsidTr="00AA2A4C">
        <w:tblPrEx>
          <w:tblCellMar>
            <w:top w:w="0" w:type="dxa"/>
            <w:bottom w:w="0" w:type="dxa"/>
          </w:tblCellMar>
        </w:tblPrEx>
        <w:trPr>
          <w:cantSplit/>
        </w:trPr>
        <w:tc>
          <w:tcPr>
            <w:tcW w:w="9848" w:type="dxa"/>
          </w:tcPr>
          <w:p w14:paraId="4EC9C75F" w14:textId="77777777" w:rsidR="00711444" w:rsidRPr="004D0DAA" w:rsidRDefault="00711444" w:rsidP="00AA2A4C">
            <w:r w:rsidRPr="004D0DAA">
              <w:rPr>
                <w:b/>
              </w:rPr>
              <w:t>EXC_ACC</w:t>
            </w:r>
            <w:r w:rsidRPr="004D0DAA">
              <w:t xml:space="preserve"> (1 bit field)</w:t>
            </w:r>
            <w:r w:rsidRPr="004D0DAA">
              <w:br/>
              <w:t>EXC_ACC is used by the network to prevent</w:t>
            </w:r>
            <w:r w:rsidRPr="004D0DAA">
              <w:rPr>
                <w:b/>
              </w:rPr>
              <w:t xml:space="preserve"> </w:t>
            </w:r>
            <w:r w:rsidRPr="004D0DAA">
              <w:t xml:space="preserve">mobiles without exclusive access rights from camping on the cell. The usage of EXC_ ACC is described in 3GPP TS 43.022. The coding of EXC_ ACC is as follows: </w:t>
            </w:r>
          </w:p>
          <w:p w14:paraId="2DF26FE3" w14:textId="77777777" w:rsidR="00711444" w:rsidRPr="004D0DAA" w:rsidRDefault="00711444" w:rsidP="00AA2A4C">
            <w:pPr>
              <w:rPr>
                <w:i/>
              </w:rPr>
            </w:pPr>
            <w:r w:rsidRPr="004D0DAA">
              <w:t>0</w:t>
            </w:r>
            <w:r w:rsidRPr="004D0DAA">
              <w:tab/>
              <w:t xml:space="preserve">The cell is not used for SoLSA exclusive access. </w:t>
            </w:r>
            <w:r w:rsidRPr="004D0DAA">
              <w:br/>
              <w:t>1</w:t>
            </w:r>
            <w:r w:rsidRPr="004D0DAA">
              <w:tab/>
              <w:t>The cell is used for SoLSA exclusive access.</w:t>
            </w:r>
          </w:p>
        </w:tc>
      </w:tr>
      <w:tr w:rsidR="00711444" w:rsidRPr="004D0DAA" w14:paraId="0CFA39B3" w14:textId="77777777" w:rsidTr="00AA2A4C">
        <w:tblPrEx>
          <w:tblCellMar>
            <w:top w:w="0" w:type="dxa"/>
            <w:bottom w:w="0" w:type="dxa"/>
          </w:tblCellMar>
        </w:tblPrEx>
        <w:trPr>
          <w:cantSplit/>
        </w:trPr>
        <w:tc>
          <w:tcPr>
            <w:tcW w:w="9848" w:type="dxa"/>
          </w:tcPr>
          <w:p w14:paraId="5084AD53" w14:textId="77777777" w:rsidR="00711444" w:rsidRPr="004D0DAA" w:rsidRDefault="00711444" w:rsidP="00AA2A4C">
            <w:pPr>
              <w:rPr>
                <w:b/>
              </w:rPr>
            </w:pPr>
            <w:r w:rsidRPr="004D0DAA">
              <w:rPr>
                <w:b/>
              </w:rPr>
              <w:t>GPRS_RXLEV_ACCESS_MIN</w:t>
            </w:r>
            <w:r w:rsidRPr="004D0DAA">
              <w:t xml:space="preserve"> (6 bit field)</w:t>
            </w:r>
            <w:r w:rsidRPr="004D0DAA">
              <w:br/>
              <w:t>The GPRS_RXLEV_ACCESS_MIN field is coded as the binary representation of the 'RXLEV_ACCESS_MIN' defined in 3GPP TS 45.008. It is the minimum received level at the mobile station required for access to the system.</w:t>
            </w:r>
          </w:p>
        </w:tc>
      </w:tr>
      <w:tr w:rsidR="00711444" w:rsidRPr="004D0DAA" w14:paraId="48E8E12D" w14:textId="77777777" w:rsidTr="00AA2A4C">
        <w:tblPrEx>
          <w:tblCellMar>
            <w:top w:w="0" w:type="dxa"/>
            <w:bottom w:w="0" w:type="dxa"/>
          </w:tblCellMar>
        </w:tblPrEx>
        <w:trPr>
          <w:cantSplit/>
        </w:trPr>
        <w:tc>
          <w:tcPr>
            <w:tcW w:w="9848" w:type="dxa"/>
          </w:tcPr>
          <w:p w14:paraId="768434C2" w14:textId="77777777" w:rsidR="00711444" w:rsidRPr="004D0DAA" w:rsidRDefault="00711444" w:rsidP="00AA2A4C">
            <w:pPr>
              <w:rPr>
                <w:b/>
              </w:rPr>
            </w:pPr>
            <w:r w:rsidRPr="004D0DAA">
              <w:rPr>
                <w:b/>
              </w:rPr>
              <w:t>GPRS_MS_TXPWR_MAX_CCH</w:t>
            </w:r>
            <w:r w:rsidRPr="004D0DAA">
              <w:t xml:space="preserve"> (5 bit field)</w:t>
            </w:r>
            <w:r w:rsidRPr="004D0DAA">
              <w:br/>
              <w:t>The GPRS_MS_TXPWR_MAX_CCH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0A4E12CF" w14:textId="77777777" w:rsidTr="00AA2A4C">
        <w:tblPrEx>
          <w:tblCellMar>
            <w:top w:w="0" w:type="dxa"/>
            <w:bottom w:w="0" w:type="dxa"/>
          </w:tblCellMar>
        </w:tblPrEx>
        <w:trPr>
          <w:cantSplit/>
        </w:trPr>
        <w:tc>
          <w:tcPr>
            <w:tcW w:w="9848" w:type="dxa"/>
          </w:tcPr>
          <w:p w14:paraId="29134800" w14:textId="77777777" w:rsidR="00711444" w:rsidRPr="004D0DAA" w:rsidRDefault="00711444" w:rsidP="00AA2A4C">
            <w:pPr>
              <w:rPr>
                <w:i/>
              </w:rPr>
            </w:pPr>
            <w:r w:rsidRPr="004D0DAA">
              <w:rPr>
                <w:i/>
              </w:rPr>
              <w:t>HCS struct</w:t>
            </w:r>
          </w:p>
          <w:p w14:paraId="63BDFADE" w14:textId="77777777" w:rsidR="00711444" w:rsidRPr="004D0DAA" w:rsidRDefault="00711444" w:rsidP="00AA2A4C">
            <w:pPr>
              <w:rPr>
                <w:i/>
              </w:rPr>
            </w:pPr>
            <w:r w:rsidRPr="004D0DAA">
              <w:t>If the HCS struct is omitted for the serving cell, HCS is not used and the HCS parameters for the other cells shall be neglected i.e the HCS signal strength threshold shall be set to infinity for all cells. Otherwise PRIORITY_CLASS and HCS_THR are defined. The use of the HCS parameters is defined in 3GPP TS 45.008.</w:t>
            </w:r>
          </w:p>
        </w:tc>
      </w:tr>
      <w:tr w:rsidR="00711444" w:rsidRPr="004D0DAA" w14:paraId="672312FB" w14:textId="77777777" w:rsidTr="00AA2A4C">
        <w:tblPrEx>
          <w:tblCellMar>
            <w:top w:w="0" w:type="dxa"/>
            <w:bottom w:w="0" w:type="dxa"/>
          </w:tblCellMar>
        </w:tblPrEx>
        <w:trPr>
          <w:cantSplit/>
        </w:trPr>
        <w:tc>
          <w:tcPr>
            <w:tcW w:w="9848" w:type="dxa"/>
          </w:tcPr>
          <w:p w14:paraId="703441D9" w14:textId="77777777" w:rsidR="00711444" w:rsidRPr="004D0DAA" w:rsidRDefault="00711444" w:rsidP="00AA2A4C">
            <w:r w:rsidRPr="004D0DAA">
              <w:rPr>
                <w:b/>
              </w:rPr>
              <w:lastRenderedPageBreak/>
              <w:t>PRIORITY_CLASS</w:t>
            </w:r>
            <w:r w:rsidRPr="004D0DAA">
              <w:t xml:space="preserve"> (3 bit field)</w:t>
            </w:r>
            <w:r w:rsidRPr="004D0DAA">
              <w:br/>
              <w:t>The PRIORITY_CLASS field contains the binary representation of the HCS priority for the cell.</w:t>
            </w:r>
          </w:p>
          <w:p w14:paraId="1FCF19F2" w14:textId="77777777" w:rsidR="00711444" w:rsidRPr="004D0DAA" w:rsidRDefault="00711444" w:rsidP="00AA2A4C">
            <w:pPr>
              <w:tabs>
                <w:tab w:val="left" w:pos="851"/>
              </w:tabs>
              <w:rPr>
                <w:i/>
              </w:rPr>
            </w:pPr>
            <w:r w:rsidRPr="004D0DAA">
              <w:t>Bit</w:t>
            </w:r>
            <w:r w:rsidRPr="004D0DAA">
              <w:br/>
              <w:t>3 2 1</w:t>
            </w:r>
            <w:r w:rsidRPr="004D0DAA">
              <w:br/>
              <w:t>0 0 0</w:t>
            </w:r>
            <w:r w:rsidRPr="004D0DAA">
              <w:tab/>
              <w:t>Lowest Priority</w:t>
            </w:r>
            <w:r w:rsidRPr="004D0DAA">
              <w:br/>
              <w:t>......</w:t>
            </w:r>
            <w:r w:rsidRPr="004D0DAA">
              <w:br/>
              <w:t>1 1 1</w:t>
            </w:r>
            <w:r w:rsidRPr="004D0DAA">
              <w:tab/>
              <w:t>Highest Priority</w:t>
            </w:r>
          </w:p>
        </w:tc>
      </w:tr>
      <w:tr w:rsidR="00711444" w:rsidRPr="004D0DAA" w14:paraId="44322B66" w14:textId="77777777" w:rsidTr="00AA2A4C">
        <w:tblPrEx>
          <w:tblCellMar>
            <w:top w:w="0" w:type="dxa"/>
            <w:bottom w:w="0" w:type="dxa"/>
          </w:tblCellMar>
        </w:tblPrEx>
        <w:trPr>
          <w:cantSplit/>
        </w:trPr>
        <w:tc>
          <w:tcPr>
            <w:tcW w:w="9848" w:type="dxa"/>
          </w:tcPr>
          <w:p w14:paraId="479C1E9F" w14:textId="77777777" w:rsidR="00711444" w:rsidRPr="004D0DAA" w:rsidRDefault="00711444" w:rsidP="00AA2A4C">
            <w:r w:rsidRPr="004D0DAA">
              <w:rPr>
                <w:b/>
              </w:rPr>
              <w:t>HCS_THR</w:t>
            </w:r>
            <w:r w:rsidRPr="004D0DAA">
              <w:t xml:space="preserve"> (5 bit field)</w:t>
            </w:r>
            <w:r w:rsidRPr="004D0DAA">
              <w:br/>
              <w:t>The HCS_THR is the HCS signal strength threshold</w:t>
            </w:r>
          </w:p>
          <w:p w14:paraId="4B4F81C4" w14:textId="77777777" w:rsidR="00711444" w:rsidRPr="004D0DAA" w:rsidRDefault="00711444" w:rsidP="00AA2A4C">
            <w:pPr>
              <w:tabs>
                <w:tab w:val="left" w:pos="1134"/>
              </w:tabs>
              <w:rPr>
                <w:i/>
              </w:rPr>
            </w:pPr>
            <w:r w:rsidRPr="004D0DAA">
              <w:t>Bit</w:t>
            </w:r>
            <w:r w:rsidRPr="004D0DAA">
              <w:br/>
              <w:t>5 4 3 2 1</w:t>
            </w:r>
            <w:r w:rsidRPr="004D0DAA">
              <w:br/>
              <w:t>0 0 0 0 0</w:t>
            </w:r>
            <w:r w:rsidRPr="004D0DAA">
              <w:tab/>
              <w:t>-110 dBm</w:t>
            </w:r>
            <w:r w:rsidRPr="004D0DAA">
              <w:br/>
              <w:t>0 0 0 0 1</w:t>
            </w:r>
            <w:r w:rsidRPr="004D0DAA">
              <w:tab/>
              <w:t>-108 dBm</w:t>
            </w:r>
            <w:r w:rsidRPr="004D0DAA">
              <w:br/>
              <w:t>...</w:t>
            </w:r>
            <w:r w:rsidRPr="004D0DAA">
              <w:tab/>
              <w:t>...</w:t>
            </w:r>
            <w:r w:rsidRPr="004D0DAA">
              <w:rPr>
                <w:lang w:eastAsia="ko-KR"/>
              </w:rPr>
              <w:br/>
              <w:t>1 1 1 1 0 -50 dBm</w:t>
            </w:r>
            <w:r w:rsidRPr="004D0DAA">
              <w:br/>
              <w:t>1 1 1 1 1</w:t>
            </w:r>
            <w:r w:rsidRPr="004D0DAA">
              <w:tab/>
            </w:r>
            <w:r w:rsidRPr="004D0DAA">
              <w:rPr>
                <w:lang w:eastAsia="ko-KR"/>
              </w:rPr>
              <w:t>infinity</w:t>
            </w:r>
          </w:p>
        </w:tc>
      </w:tr>
      <w:tr w:rsidR="00711444" w:rsidRPr="004D0DAA" w14:paraId="4906DD59" w14:textId="77777777" w:rsidTr="00AA2A4C">
        <w:tblPrEx>
          <w:tblCellMar>
            <w:top w:w="0" w:type="dxa"/>
            <w:bottom w:w="0" w:type="dxa"/>
          </w:tblCellMar>
        </w:tblPrEx>
        <w:trPr>
          <w:cantSplit/>
        </w:trPr>
        <w:tc>
          <w:tcPr>
            <w:tcW w:w="9848" w:type="dxa"/>
          </w:tcPr>
          <w:p w14:paraId="53B7B0CF" w14:textId="77777777" w:rsidR="00711444" w:rsidRPr="004D0DAA" w:rsidRDefault="00711444" w:rsidP="00AA2A4C">
            <w:pPr>
              <w:rPr>
                <w:b/>
              </w:rPr>
            </w:pPr>
            <w:r w:rsidRPr="004D0DAA">
              <w:rPr>
                <w:b/>
              </w:rPr>
              <w:t xml:space="preserve">MULTIBAND_REPORTING </w:t>
            </w:r>
            <w:r w:rsidRPr="004D0DAA">
              <w:t xml:space="preserve">(2 bit field) </w:t>
            </w:r>
            <w:r w:rsidRPr="004D0DAA">
              <w:br/>
              <w:t>Binary encoding of multiband reporting parameter as specified in 3GPP TS 45.008</w:t>
            </w:r>
            <w:r w:rsidRPr="004D0DAA">
              <w:br/>
              <w:t>Range 0-3.</w:t>
            </w:r>
          </w:p>
        </w:tc>
      </w:tr>
      <w:tr w:rsidR="00711444" w:rsidRPr="004D0DAA" w14:paraId="44710B57" w14:textId="77777777" w:rsidTr="00AA2A4C">
        <w:tblPrEx>
          <w:tblCellMar>
            <w:top w:w="0" w:type="dxa"/>
            <w:bottom w:w="0" w:type="dxa"/>
          </w:tblCellMar>
        </w:tblPrEx>
        <w:trPr>
          <w:cantSplit/>
        </w:trPr>
        <w:tc>
          <w:tcPr>
            <w:tcW w:w="9848" w:type="dxa"/>
          </w:tcPr>
          <w:p w14:paraId="27668B9B" w14:textId="77777777" w:rsidR="00711444" w:rsidRPr="004D0DAA" w:rsidRDefault="00711444" w:rsidP="00AA2A4C">
            <w:r w:rsidRPr="004D0DAA">
              <w:rPr>
                <w:i/>
              </w:rPr>
              <w:t>General Cell Selection Parameters</w:t>
            </w:r>
          </w:p>
          <w:p w14:paraId="24067ED8" w14:textId="77777777" w:rsidR="00711444" w:rsidRPr="004D0DAA" w:rsidRDefault="00711444" w:rsidP="00AA2A4C">
            <w:r w:rsidRPr="004D0DAA">
              <w:rPr>
                <w:b/>
              </w:rPr>
              <w:t>GPRS_CELL_RESELECT_HYSTERESIS</w:t>
            </w:r>
            <w:r w:rsidRPr="004D0DAA">
              <w:t xml:space="preserve"> (3 bit field)</w:t>
            </w:r>
            <w:r w:rsidRPr="004D0DAA">
              <w:br/>
              <w:t xml:space="preserve">The GPRS_CELL_RESELECT_HYSTERESIS field indicates the Additional Hysteresis which applies in Ready state in </w:t>
            </w:r>
            <w:r w:rsidRPr="004D0DAA">
              <w:rPr>
                <w:i/>
                <w:iCs/>
              </w:rPr>
              <w:t>A/Gb mode</w:t>
            </w:r>
            <w:r w:rsidRPr="004D0DAA">
              <w:t xml:space="preserve"> and RRC-Cell_Shared state in </w:t>
            </w:r>
            <w:r w:rsidRPr="004D0DAA">
              <w:rPr>
                <w:i/>
                <w:iCs/>
              </w:rPr>
              <w:t>Iu mode</w:t>
            </w:r>
            <w:r w:rsidRPr="004D0DAA">
              <w:t xml:space="preserve"> for cells in same RA. This field is encoded according to the following table:</w:t>
            </w:r>
          </w:p>
          <w:p w14:paraId="283CED87" w14:textId="77777777" w:rsidR="00711444" w:rsidRPr="004D0DAA" w:rsidRDefault="00711444" w:rsidP="00AA2A4C">
            <w:pPr>
              <w:tabs>
                <w:tab w:val="left" w:pos="851"/>
              </w:tabs>
              <w:rPr>
                <w:i/>
              </w:rPr>
            </w:pPr>
            <w:r w:rsidRPr="004D0DAA">
              <w:t>Bit</w:t>
            </w:r>
            <w:r w:rsidRPr="004D0DAA">
              <w:br/>
              <w:t>3 2 1</w:t>
            </w:r>
            <w:r w:rsidRPr="004D0DAA">
              <w:br/>
              <w:t>0 0 0</w:t>
            </w:r>
            <w:r w:rsidRPr="004D0DAA">
              <w:tab/>
              <w:t>0 dB</w:t>
            </w:r>
            <w:r w:rsidRPr="004D0DAA">
              <w:br/>
              <w:t>0 0 1</w:t>
            </w:r>
            <w:r w:rsidRPr="004D0DAA">
              <w:tab/>
              <w:t>2 dB</w:t>
            </w:r>
            <w:r w:rsidRPr="004D0DAA">
              <w:br/>
              <w:t>0 1 0</w:t>
            </w:r>
            <w:r w:rsidRPr="004D0DAA">
              <w:tab/>
              <w:t>4 dB</w:t>
            </w:r>
            <w:r w:rsidRPr="004D0DAA">
              <w:br/>
              <w:t>0 1 1</w:t>
            </w:r>
            <w:r w:rsidRPr="004D0DAA">
              <w:tab/>
              <w:t>6 dB</w:t>
            </w:r>
            <w:r w:rsidRPr="004D0DAA">
              <w:br/>
              <w:t>1 0 0</w:t>
            </w:r>
            <w:r w:rsidRPr="004D0DAA">
              <w:tab/>
              <w:t>8 dB</w:t>
            </w:r>
            <w:r w:rsidRPr="004D0DAA">
              <w:br/>
              <w:t>1 0 1</w:t>
            </w:r>
            <w:r w:rsidRPr="004D0DAA">
              <w:tab/>
              <w:t>10 dB</w:t>
            </w:r>
            <w:r w:rsidRPr="004D0DAA">
              <w:br/>
              <w:t>1 1 0</w:t>
            </w:r>
            <w:r w:rsidRPr="004D0DAA">
              <w:tab/>
              <w:t>12 dB</w:t>
            </w:r>
            <w:r w:rsidRPr="004D0DAA">
              <w:br/>
              <w:t>1 1 1</w:t>
            </w:r>
            <w:r w:rsidRPr="004D0DAA">
              <w:tab/>
              <w:t>14 dB</w:t>
            </w:r>
          </w:p>
        </w:tc>
      </w:tr>
      <w:tr w:rsidR="00711444" w:rsidRPr="004D0DAA" w14:paraId="1115438B" w14:textId="77777777" w:rsidTr="00AA2A4C">
        <w:tblPrEx>
          <w:tblCellMar>
            <w:top w:w="0" w:type="dxa"/>
            <w:bottom w:w="0" w:type="dxa"/>
          </w:tblCellMar>
        </w:tblPrEx>
        <w:trPr>
          <w:cantSplit/>
        </w:trPr>
        <w:tc>
          <w:tcPr>
            <w:tcW w:w="9848" w:type="dxa"/>
          </w:tcPr>
          <w:p w14:paraId="3FCCE465" w14:textId="77777777" w:rsidR="00711444" w:rsidRPr="004D0DAA" w:rsidRDefault="00711444" w:rsidP="00AA2A4C">
            <w:r w:rsidRPr="004D0DAA">
              <w:rPr>
                <w:b/>
              </w:rPr>
              <w:t>C31_HYST</w:t>
            </w:r>
            <w:r w:rsidRPr="004D0DAA">
              <w:t xml:space="preserve"> (1 bit field)</w:t>
            </w:r>
            <w:r w:rsidRPr="004D0DAA">
              <w:br/>
              <w:t>The C31_HYST field indicates if set to 1 that the GPRS_CELL_RESELECT_HYSTERESIS shall be applied to the C31 criterion.</w:t>
            </w:r>
          </w:p>
          <w:p w14:paraId="3262BDB9" w14:textId="77777777" w:rsidR="00711444" w:rsidRPr="004D0DAA" w:rsidRDefault="00711444" w:rsidP="00AA2A4C">
            <w:pPr>
              <w:rPr>
                <w:i/>
              </w:rPr>
            </w:pPr>
            <w:r w:rsidRPr="004D0DAA">
              <w:rPr>
                <w:b/>
              </w:rPr>
              <w:t>C32_QUAL</w:t>
            </w:r>
            <w:r w:rsidRPr="004D0DAA">
              <w:t xml:space="preserve"> (1 bit field)</w:t>
            </w:r>
            <w:r w:rsidRPr="004D0DAA">
              <w:br/>
              <w:t>C32_QUAL is a flag indicating an exception rule for GPRS_RESELECT_OFFSET according to 3GPP TS 45.008.</w:t>
            </w:r>
          </w:p>
        </w:tc>
      </w:tr>
      <w:tr w:rsidR="00711444" w:rsidRPr="004D0DAA" w14:paraId="1A341C30" w14:textId="77777777" w:rsidTr="00AA2A4C">
        <w:tblPrEx>
          <w:tblCellMar>
            <w:top w:w="0" w:type="dxa"/>
            <w:bottom w:w="0" w:type="dxa"/>
          </w:tblCellMar>
        </w:tblPrEx>
        <w:trPr>
          <w:cantSplit/>
        </w:trPr>
        <w:tc>
          <w:tcPr>
            <w:tcW w:w="9848" w:type="dxa"/>
          </w:tcPr>
          <w:p w14:paraId="77CCDD18" w14:textId="77777777" w:rsidR="00711444" w:rsidRPr="004D0DAA" w:rsidRDefault="00711444" w:rsidP="00AA2A4C">
            <w:r w:rsidRPr="004D0DAA">
              <w:rPr>
                <w:b/>
              </w:rPr>
              <w:lastRenderedPageBreak/>
              <w:t>T_RESEL</w:t>
            </w:r>
            <w:r w:rsidRPr="004D0DAA">
              <w:t xml:space="preserve"> (3 bit field)</w:t>
            </w:r>
            <w:r w:rsidRPr="004D0DAA">
              <w:br/>
              <w:t>If the mobile station has performed an abnormal release with cell reselection (see sub-clause 9.4.2) from this cell, the mobile station is not allowed to reselect this cell for T_RESEL seconds if another cell is available. The default value of T_RESEL is 5 s. If the field is omitted from the message, the default value shall be used by the mobile station.</w:t>
            </w:r>
          </w:p>
          <w:p w14:paraId="094AEB5E" w14:textId="77777777" w:rsidR="00711444" w:rsidRPr="004D0DAA" w:rsidRDefault="00711444" w:rsidP="00AA2A4C">
            <w:pPr>
              <w:tabs>
                <w:tab w:val="left" w:pos="851"/>
              </w:tabs>
              <w:rPr>
                <w:i/>
              </w:rPr>
            </w:pPr>
            <w:r w:rsidRPr="004D0DAA">
              <w:t>Bit</w:t>
            </w:r>
            <w:r w:rsidRPr="004D0DAA">
              <w:br/>
              <w:t>3 2 1</w:t>
            </w:r>
            <w:r w:rsidRPr="004D0DAA">
              <w:br/>
              <w:t>0 0 0</w:t>
            </w:r>
            <w:r w:rsidRPr="004D0DAA">
              <w:tab/>
              <w:t>5 s</w:t>
            </w:r>
            <w:r w:rsidRPr="004D0DAA">
              <w:br/>
              <w:t>0 0 1</w:t>
            </w:r>
            <w:r w:rsidRPr="004D0DAA">
              <w:tab/>
              <w:t>10 s</w:t>
            </w:r>
            <w:r w:rsidRPr="004D0DAA">
              <w:br/>
              <w:t>0 1 0</w:t>
            </w:r>
            <w:r w:rsidRPr="004D0DAA">
              <w:tab/>
              <w:t>15 s</w:t>
            </w:r>
            <w:r w:rsidRPr="004D0DAA">
              <w:br/>
              <w:t>0 1 1</w:t>
            </w:r>
            <w:r w:rsidRPr="004D0DAA">
              <w:tab/>
              <w:t>20 s</w:t>
            </w:r>
            <w:r w:rsidRPr="004D0DAA">
              <w:br/>
              <w:t>1 0 0</w:t>
            </w:r>
            <w:r w:rsidRPr="004D0DAA">
              <w:tab/>
              <w:t>30 s</w:t>
            </w:r>
            <w:r w:rsidRPr="004D0DAA">
              <w:br/>
              <w:t>1 0 1</w:t>
            </w:r>
            <w:r w:rsidRPr="004D0DAA">
              <w:tab/>
              <w:t>60 s</w:t>
            </w:r>
            <w:r w:rsidRPr="004D0DAA">
              <w:br/>
              <w:t>1 1 0</w:t>
            </w:r>
            <w:r w:rsidRPr="004D0DAA">
              <w:tab/>
              <w:t>120 s</w:t>
            </w:r>
            <w:r w:rsidRPr="004D0DAA">
              <w:br/>
              <w:t>1 1 1</w:t>
            </w:r>
            <w:r w:rsidRPr="004D0DAA">
              <w:tab/>
              <w:t>300 s</w:t>
            </w:r>
          </w:p>
        </w:tc>
      </w:tr>
      <w:tr w:rsidR="00711444" w:rsidRPr="004D0DAA" w14:paraId="71530510" w14:textId="77777777" w:rsidTr="00AA2A4C">
        <w:tblPrEx>
          <w:tblCellMar>
            <w:top w:w="0" w:type="dxa"/>
            <w:bottom w:w="0" w:type="dxa"/>
          </w:tblCellMar>
        </w:tblPrEx>
        <w:trPr>
          <w:cantSplit/>
        </w:trPr>
        <w:tc>
          <w:tcPr>
            <w:tcW w:w="9848" w:type="dxa"/>
          </w:tcPr>
          <w:p w14:paraId="5C2A2943" w14:textId="77777777" w:rsidR="00711444" w:rsidRPr="004D0DAA" w:rsidRDefault="00711444" w:rsidP="00AA2A4C">
            <w:r w:rsidRPr="004D0DAA">
              <w:rPr>
                <w:b/>
              </w:rPr>
              <w:t>RA_RESELECT_HYSTERESIS</w:t>
            </w:r>
            <w:r w:rsidRPr="004D0DAA">
              <w:t xml:space="preserve"> (3 bit field)</w:t>
            </w:r>
            <w:r w:rsidRPr="004D0DAA">
              <w:br/>
              <w:t xml:space="preserve">The RA_RESELECT_HYSTERESIS field indicates in both STANDBY and READY state in </w:t>
            </w:r>
            <w:r w:rsidRPr="004D0DAA">
              <w:rPr>
                <w:i/>
                <w:iCs/>
              </w:rPr>
              <w:t>A/Gb mode</w:t>
            </w:r>
            <w:r w:rsidRPr="004D0DAA">
              <w:t xml:space="preserve"> and RRC-Idle and RRC-Connected mode in </w:t>
            </w:r>
            <w:r w:rsidRPr="004D0DAA">
              <w:rPr>
                <w:i/>
                <w:iCs/>
              </w:rPr>
              <w:t>Iu mode</w:t>
            </w:r>
            <w:r w:rsidRPr="004D0DAA">
              <w:t xml:space="preserve"> the additional hysteresis which applies when selecting a cell in a new Routing Area. If this field is not present, the default value is GPRS_CELL_RESELECT_HYSTERESIS. This field is encoded according to the following table:</w:t>
            </w:r>
          </w:p>
          <w:p w14:paraId="587DE8A6" w14:textId="77777777" w:rsidR="00711444" w:rsidRPr="004D0DAA" w:rsidRDefault="00711444" w:rsidP="00AA2A4C">
            <w:pPr>
              <w:tabs>
                <w:tab w:val="left" w:pos="851"/>
              </w:tabs>
              <w:rPr>
                <w:b/>
              </w:rPr>
            </w:pPr>
            <w:r w:rsidRPr="004D0DAA">
              <w:t>Bit</w:t>
            </w:r>
            <w:r w:rsidRPr="004D0DAA">
              <w:br/>
              <w:t>3 2 1</w:t>
            </w:r>
            <w:r w:rsidRPr="004D0DAA">
              <w:br/>
              <w:t>0 0 0</w:t>
            </w:r>
            <w:r w:rsidRPr="004D0DAA">
              <w:tab/>
              <w:t>0 dB</w:t>
            </w:r>
            <w:r w:rsidRPr="004D0DAA">
              <w:br/>
              <w:t>0 0 1</w:t>
            </w:r>
            <w:r w:rsidRPr="004D0DAA">
              <w:tab/>
              <w:t>2 dB</w:t>
            </w:r>
            <w:r w:rsidRPr="004D0DAA">
              <w:br/>
              <w:t>0 1 0</w:t>
            </w:r>
            <w:r w:rsidRPr="004D0DAA">
              <w:tab/>
              <w:t>4 dB</w:t>
            </w:r>
            <w:r w:rsidRPr="004D0DAA">
              <w:br/>
              <w:t>0 1 1</w:t>
            </w:r>
            <w:r w:rsidRPr="004D0DAA">
              <w:tab/>
              <w:t>6 dB</w:t>
            </w:r>
            <w:r w:rsidRPr="004D0DAA">
              <w:br/>
              <w:t>1 0 0</w:t>
            </w:r>
            <w:r w:rsidRPr="004D0DAA">
              <w:tab/>
              <w:t>8 dB</w:t>
            </w:r>
            <w:r w:rsidRPr="004D0DAA">
              <w:br/>
              <w:t>1 0 1</w:t>
            </w:r>
            <w:r w:rsidRPr="004D0DAA">
              <w:tab/>
              <w:t>10 dB</w:t>
            </w:r>
            <w:r w:rsidRPr="004D0DAA">
              <w:br/>
              <w:t>1 1 0</w:t>
            </w:r>
            <w:r w:rsidRPr="004D0DAA">
              <w:tab/>
              <w:t>12 dB</w:t>
            </w:r>
            <w:r w:rsidRPr="004D0DAA">
              <w:br/>
              <w:t>1 1 1</w:t>
            </w:r>
            <w:r w:rsidRPr="004D0DAA">
              <w:tab/>
              <w:t>14 dB</w:t>
            </w:r>
          </w:p>
        </w:tc>
      </w:tr>
      <w:tr w:rsidR="00711444" w:rsidRPr="004D0DAA" w14:paraId="21CE9ED1" w14:textId="77777777" w:rsidTr="00AA2A4C">
        <w:tblPrEx>
          <w:tblCellMar>
            <w:top w:w="0" w:type="dxa"/>
            <w:bottom w:w="0" w:type="dxa"/>
          </w:tblCellMar>
        </w:tblPrEx>
        <w:trPr>
          <w:cantSplit/>
        </w:trPr>
        <w:tc>
          <w:tcPr>
            <w:tcW w:w="9848" w:type="dxa"/>
          </w:tcPr>
          <w:p w14:paraId="18F63212" w14:textId="77777777" w:rsidR="00711444" w:rsidRPr="004D0DAA" w:rsidRDefault="00711444" w:rsidP="00AA2A4C">
            <w:pPr>
              <w:rPr>
                <w:i/>
              </w:rPr>
            </w:pPr>
            <w:r w:rsidRPr="004D0DAA">
              <w:rPr>
                <w:i/>
              </w:rPr>
              <w:t>Neighbour Cell Parameters</w:t>
            </w:r>
          </w:p>
          <w:p w14:paraId="37EBAEBC" w14:textId="77777777" w:rsidR="00711444" w:rsidRPr="004D0DAA" w:rsidRDefault="00711444" w:rsidP="00AA2A4C">
            <w:r w:rsidRPr="004D0DAA">
              <w:t>The Neighbour cell parameters areused to specify neighbour cells (BA(GPRS)) and their corresponding cell selection parameters. The Neighbour cell parameters are specified in PSI3 and in at least one instance of PSI3bis. If one instance of PSI3bis is not sufficient to specify the cell selection parameters of all neighbour cells, the remaining neighbour cells are specified in consecutive instances of PSI3bis. If all information fits within the PSI3 message, one instance of PSI3bis without any neighbour cell parameters is broadcast.</w:t>
            </w:r>
          </w:p>
          <w:p w14:paraId="679B4619" w14:textId="77777777" w:rsidR="00711444" w:rsidRPr="004D0DAA" w:rsidRDefault="00711444" w:rsidP="00AA2A4C">
            <w:pPr>
              <w:pStyle w:val="NO"/>
              <w:rPr>
                <w:snapToGrid w:val="0"/>
                <w:lang w:eastAsia="en-US"/>
              </w:rPr>
            </w:pPr>
            <w:r w:rsidRPr="004D0DAA">
              <w:rPr>
                <w:snapToGrid w:val="0"/>
                <w:lang w:eastAsia="en-US"/>
              </w:rPr>
              <w:t>NOTE:</w:t>
            </w:r>
            <w:r w:rsidRPr="004D0DAA">
              <w:rPr>
                <w:snapToGrid w:val="0"/>
                <w:lang w:eastAsia="en-US"/>
              </w:rPr>
              <w:tab/>
              <w:t>For efficient coding, cells with common cell selection parameters may be grouped together.</w:t>
            </w:r>
          </w:p>
          <w:p w14:paraId="4ADD2B30" w14:textId="77777777" w:rsidR="00711444" w:rsidRPr="004D0DAA" w:rsidRDefault="00711444" w:rsidP="00AA2A4C">
            <w:pPr>
              <w:rPr>
                <w:i/>
              </w:rPr>
            </w:pPr>
            <w:r w:rsidRPr="004D0DAA">
              <w:t>Building of BA(GPRS) is defined in sub-clause 5.6.3.2.</w:t>
            </w:r>
          </w:p>
        </w:tc>
      </w:tr>
      <w:tr w:rsidR="00711444" w:rsidRPr="004D0DAA" w14:paraId="7AB26058" w14:textId="77777777" w:rsidTr="00AA2A4C">
        <w:tblPrEx>
          <w:tblCellMar>
            <w:top w:w="0" w:type="dxa"/>
            <w:bottom w:w="0" w:type="dxa"/>
          </w:tblCellMar>
        </w:tblPrEx>
        <w:trPr>
          <w:cantSplit/>
        </w:trPr>
        <w:tc>
          <w:tcPr>
            <w:tcW w:w="9848" w:type="dxa"/>
          </w:tcPr>
          <w:p w14:paraId="0EAF6B41" w14:textId="77777777" w:rsidR="00711444" w:rsidRPr="004D0DAA" w:rsidRDefault="00711444" w:rsidP="00AA2A4C">
            <w:pPr>
              <w:rPr>
                <w:i/>
              </w:rPr>
            </w:pPr>
            <w:r w:rsidRPr="004D0DAA">
              <w:rPr>
                <w:b/>
              </w:rPr>
              <w:t>START_FREQUENCY</w:t>
            </w:r>
            <w:r w:rsidRPr="004D0DAA">
              <w:t xml:space="preserve"> (10 bit field)</w:t>
            </w:r>
            <w:r w:rsidRPr="004D0DAA">
              <w:br/>
              <w:t xml:space="preserve">The START_FREQUENCY defines the ARFCN for the first carrier in the list (ARFCN(0)). </w:t>
            </w:r>
            <w:r w:rsidRPr="004D0DAA">
              <w:rPr>
                <w:b/>
              </w:rPr>
              <w:t>FREQ_DIFF_LENGTH</w:t>
            </w:r>
            <w:r w:rsidRPr="004D0DAA">
              <w:t xml:space="preserve"> (3 bit field)</w:t>
            </w:r>
            <w:r w:rsidRPr="004D0DAA">
              <w:br/>
              <w:t>This field is required to calculate the number of bits to be used for the FREQUENCY_DIFF field in the current frequency group.</w:t>
            </w:r>
          </w:p>
        </w:tc>
      </w:tr>
      <w:tr w:rsidR="00711444" w:rsidRPr="004D0DAA" w14:paraId="6CE29FEB" w14:textId="77777777" w:rsidTr="00AA2A4C">
        <w:tblPrEx>
          <w:tblCellMar>
            <w:top w:w="0" w:type="dxa"/>
            <w:bottom w:w="0" w:type="dxa"/>
          </w:tblCellMar>
        </w:tblPrEx>
        <w:trPr>
          <w:cantSplit/>
        </w:trPr>
        <w:tc>
          <w:tcPr>
            <w:tcW w:w="9848" w:type="dxa"/>
          </w:tcPr>
          <w:p w14:paraId="282717F7" w14:textId="77777777" w:rsidR="00711444" w:rsidRPr="004D0DAA" w:rsidRDefault="00711444" w:rsidP="00AA2A4C">
            <w:r w:rsidRPr="004D0DAA">
              <w:rPr>
                <w:b/>
              </w:rPr>
              <w:t>FREQUENCY_DIFF</w:t>
            </w:r>
            <w:r w:rsidRPr="004D0DAA">
              <w:t xml:space="preserve"> (1+val(FREQ_DIFF_LENGTH) bit field)</w:t>
            </w:r>
            <w:r w:rsidRPr="004D0DAA">
              <w:br/>
              <w:t>Each FREQUENCY_DIFF parameter field specifies the difference in frequency to the next carrier to be defined. The FREQUENCY_DIFF parameter encodes a non negative integer in binary format (W).</w:t>
            </w:r>
          </w:p>
          <w:p w14:paraId="7ECF2C47" w14:textId="77777777" w:rsidR="00711444" w:rsidRPr="004D0DAA" w:rsidRDefault="00711444" w:rsidP="00AA2A4C">
            <w:pPr>
              <w:rPr>
                <w:b/>
              </w:rPr>
            </w:pPr>
            <w:r w:rsidRPr="004D0DAA">
              <w:t>Each frequency following the start frequency (ARFCN(0)) and belonging to the Frequency List struct is then calculated by the formula ARFCN(n) = (ARFCN(n-1) + W(n) ) modulus 1024, n=1, . . ., val(NR_OF_REMAINING_CELLS.</w:t>
            </w:r>
          </w:p>
        </w:tc>
      </w:tr>
      <w:tr w:rsidR="00711444" w:rsidRPr="004D0DAA" w14:paraId="0956B9D0" w14:textId="77777777" w:rsidTr="00AA2A4C">
        <w:tblPrEx>
          <w:tblCellMar>
            <w:top w:w="0" w:type="dxa"/>
            <w:bottom w:w="0" w:type="dxa"/>
          </w:tblCellMar>
        </w:tblPrEx>
        <w:trPr>
          <w:cantSplit/>
        </w:trPr>
        <w:tc>
          <w:tcPr>
            <w:tcW w:w="9848" w:type="dxa"/>
          </w:tcPr>
          <w:p w14:paraId="4D1DEB96" w14:textId="77777777" w:rsidR="00711444" w:rsidRPr="004D0DAA" w:rsidRDefault="00711444" w:rsidP="00AA2A4C">
            <w:r w:rsidRPr="004D0DAA">
              <w:rPr>
                <w:b/>
              </w:rPr>
              <w:lastRenderedPageBreak/>
              <w:t>General rules for handling neighbour cell parameter default values</w:t>
            </w:r>
          </w:p>
          <w:p w14:paraId="0FE3C504" w14:textId="77777777" w:rsidR="00711444" w:rsidRPr="004D0DAA" w:rsidRDefault="00711444" w:rsidP="00AA2A4C">
            <w:r w:rsidRPr="004D0DAA">
              <w:t>The first neighbour cell defined in PSI3 uses as its default parameter values the parameter values defined for the serving cell. If a parameter is omitted for the serving cell then the specified default value shall be used. The following neighbour cells use the parameter values of the previous neighbour cell as their default values.</w:t>
            </w:r>
          </w:p>
          <w:p w14:paraId="3009F708" w14:textId="77777777" w:rsidR="00711444" w:rsidRPr="004D0DAA" w:rsidRDefault="00711444" w:rsidP="00AA2A4C">
            <w:pPr>
              <w:rPr>
                <w:b/>
              </w:rPr>
            </w:pPr>
            <w:r w:rsidRPr="004D0DAA">
              <w:rPr>
                <w:b/>
              </w:rPr>
              <w:t>Cell Selection params</w:t>
            </w:r>
            <w:r w:rsidRPr="004D0DAA">
              <w:br/>
              <w:t xml:space="preserve">The first field of the Cell Selection struct, </w:t>
            </w:r>
            <w:r w:rsidRPr="004D0DAA">
              <w:rPr>
                <w:i/>
              </w:rPr>
              <w:t>BSIC</w:t>
            </w:r>
            <w:r w:rsidRPr="004D0DAA">
              <w:t>, defines the BSIC of the cell and then comes the fields CELL_BAR_ACCESS_2, ECX_ACC and SAME_RA_AS_SERVING_CELL. Then follows none, some, or all of the fields GPRS_RXLEV_ACCESS_MIN, GPRS_MS_TXPWR_MAX_CCH, GPRS_TEMPORARY_OFFSET, GPRS_PENALTY_TIME, GPRS_RESELECT_OFFSET , HCS params, SI13_PBCCH_LOCATION, PCCH_TYPE and PSI1_REPEAT_PERIOD. If fields are omitted, the values for these parameters are the same as for the preceding cell unless otherwise specified for the parameter.</w:t>
            </w:r>
          </w:p>
        </w:tc>
      </w:tr>
      <w:tr w:rsidR="00711444" w:rsidRPr="004D0DAA" w14:paraId="5FC7752C" w14:textId="77777777" w:rsidTr="00AA2A4C">
        <w:tblPrEx>
          <w:tblCellMar>
            <w:top w:w="0" w:type="dxa"/>
            <w:bottom w:w="0" w:type="dxa"/>
          </w:tblCellMar>
        </w:tblPrEx>
        <w:trPr>
          <w:cantSplit/>
        </w:trPr>
        <w:tc>
          <w:tcPr>
            <w:tcW w:w="9848" w:type="dxa"/>
          </w:tcPr>
          <w:p w14:paraId="5F23141D" w14:textId="77777777" w:rsidR="00711444" w:rsidRPr="004D0DAA" w:rsidRDefault="00711444" w:rsidP="00AA2A4C">
            <w:pPr>
              <w:rPr>
                <w:b/>
              </w:rPr>
            </w:pPr>
            <w:r w:rsidRPr="004D0DAA">
              <w:rPr>
                <w:b/>
              </w:rPr>
              <w:t>BSIC</w:t>
            </w:r>
            <w:r w:rsidRPr="004D0DAA">
              <w:t xml:space="preserve"> (6 bit field)</w:t>
            </w:r>
            <w:r w:rsidRPr="004D0DAA">
              <w:br/>
              <w:t>The BSIC field is coded as the 'Base Station Identity Code' defined in 3GPP TS 23.003. One BSIC for each carrier in BA(GPRS) is defined.</w:t>
            </w:r>
          </w:p>
        </w:tc>
      </w:tr>
      <w:tr w:rsidR="00711444" w:rsidRPr="004D0DAA" w14:paraId="190EC000" w14:textId="77777777" w:rsidTr="00AA2A4C">
        <w:tblPrEx>
          <w:tblCellMar>
            <w:top w:w="0" w:type="dxa"/>
            <w:bottom w:w="0" w:type="dxa"/>
          </w:tblCellMar>
        </w:tblPrEx>
        <w:trPr>
          <w:cantSplit/>
        </w:trPr>
        <w:tc>
          <w:tcPr>
            <w:tcW w:w="9848" w:type="dxa"/>
          </w:tcPr>
          <w:p w14:paraId="01E7149F" w14:textId="77777777" w:rsidR="00711444" w:rsidRPr="004D0DAA" w:rsidRDefault="00711444" w:rsidP="00AA2A4C">
            <w:pPr>
              <w:rPr>
                <w:b/>
              </w:rPr>
            </w:pPr>
            <w:r w:rsidRPr="004D0DAA">
              <w:rPr>
                <w:b/>
              </w:rPr>
              <w:t xml:space="preserve">CELL_BAR_ACCESS_2 </w:t>
            </w:r>
            <w:r w:rsidRPr="004D0DAA">
              <w:t>(1 bit field)</w:t>
            </w:r>
            <w:r w:rsidRPr="004D0DAA">
              <w:br/>
            </w:r>
            <w:r w:rsidRPr="004D0DAA">
              <w:rPr>
                <w:b/>
              </w:rPr>
              <w:t xml:space="preserve">EXC_ACC </w:t>
            </w:r>
            <w:r w:rsidRPr="004D0DAA">
              <w:t>(1 bit field)</w:t>
            </w:r>
            <w:r w:rsidRPr="004D0DAA">
              <w:br/>
              <w:t>For definition see Serving Cell parameters</w:t>
            </w:r>
          </w:p>
        </w:tc>
      </w:tr>
      <w:tr w:rsidR="00711444" w:rsidRPr="004D0DAA" w14:paraId="24BF342D" w14:textId="77777777" w:rsidTr="00AA2A4C">
        <w:tblPrEx>
          <w:tblCellMar>
            <w:top w:w="0" w:type="dxa"/>
            <w:bottom w:w="0" w:type="dxa"/>
          </w:tblCellMar>
        </w:tblPrEx>
        <w:trPr>
          <w:cantSplit/>
        </w:trPr>
        <w:tc>
          <w:tcPr>
            <w:tcW w:w="9848" w:type="dxa"/>
          </w:tcPr>
          <w:p w14:paraId="65E8883B" w14:textId="77777777" w:rsidR="00711444" w:rsidRPr="004D0DAA" w:rsidRDefault="00711444" w:rsidP="00AA2A4C">
            <w:pPr>
              <w:rPr>
                <w:b/>
              </w:rPr>
            </w:pPr>
            <w:r w:rsidRPr="004D0DAA">
              <w:rPr>
                <w:b/>
              </w:rPr>
              <w:t xml:space="preserve">SAME_RA_AS_SERVING_CELL </w:t>
            </w:r>
            <w:r w:rsidRPr="004D0DAA">
              <w:t>(1 bit field)</w:t>
            </w:r>
            <w:r w:rsidRPr="004D0DAA">
              <w:br/>
              <w:t>The same RA as serving cell field contains one bit, set to</w:t>
            </w:r>
            <w:r w:rsidRPr="004D0DAA">
              <w:br/>
              <w:t>0</w:t>
            </w:r>
            <w:r w:rsidRPr="004D0DAA">
              <w:tab/>
              <w:t>if the cell is in a Routeing Area different from the serving cell, or</w:t>
            </w:r>
            <w:r w:rsidRPr="004D0DAA">
              <w:br/>
              <w:t>1</w:t>
            </w:r>
            <w:r w:rsidRPr="004D0DAA">
              <w:tab/>
              <w:t>if the cell is in the same Routeing Area as the serving cell.</w:t>
            </w:r>
          </w:p>
        </w:tc>
      </w:tr>
      <w:tr w:rsidR="00711444" w:rsidRPr="004D0DAA" w14:paraId="165DE2C3" w14:textId="77777777" w:rsidTr="00AA2A4C">
        <w:tblPrEx>
          <w:tblCellMar>
            <w:top w:w="0" w:type="dxa"/>
            <w:bottom w:w="0" w:type="dxa"/>
          </w:tblCellMar>
        </w:tblPrEx>
        <w:trPr>
          <w:cantSplit/>
        </w:trPr>
        <w:tc>
          <w:tcPr>
            <w:tcW w:w="9848" w:type="dxa"/>
          </w:tcPr>
          <w:p w14:paraId="564155AC" w14:textId="77777777" w:rsidR="00711444" w:rsidRPr="004D0DAA" w:rsidRDefault="00711444" w:rsidP="00AA2A4C">
            <w:r w:rsidRPr="004D0DAA">
              <w:rPr>
                <w:b/>
              </w:rPr>
              <w:t>GPRS_TEMPORARY_OFFSET</w:t>
            </w:r>
            <w:r w:rsidRPr="004D0DAA">
              <w:t xml:space="preserve"> (3 bit field)</w:t>
            </w:r>
            <w:r w:rsidRPr="004D0DAA">
              <w:br/>
              <w:t>The GPRS_TEMPORARY_OFFSET field indicates the negative offset to C32 that the mobile station shall use for duration of GPRS_PENALTY_TIME. It is used by the mobile station as part of its calculation of C32 for the cell reselection process. Default value is 0 dB. If the field is omitted for the first neighbour cell, the default value shall be used by the mobile station.</w:t>
            </w:r>
          </w:p>
          <w:p w14:paraId="23809196" w14:textId="77777777" w:rsidR="00711444" w:rsidRPr="004D0DAA" w:rsidRDefault="00711444" w:rsidP="00AA2A4C">
            <w:pPr>
              <w:tabs>
                <w:tab w:val="left" w:pos="851"/>
              </w:tabs>
              <w:rPr>
                <w:b/>
              </w:rPr>
            </w:pPr>
            <w:r w:rsidRPr="004D0DAA">
              <w:t>Bit</w:t>
            </w:r>
            <w:r w:rsidRPr="004D0DAA">
              <w:br/>
              <w:t>3 2 1</w:t>
            </w:r>
            <w:r w:rsidRPr="004D0DAA">
              <w:br/>
              <w:t>0 0 0</w:t>
            </w:r>
            <w:r w:rsidRPr="004D0DAA">
              <w:tab/>
              <w:t>0 dB</w:t>
            </w:r>
            <w:r w:rsidRPr="004D0DAA">
              <w:br/>
              <w:t>0 0 1</w:t>
            </w:r>
            <w:r w:rsidRPr="004D0DAA">
              <w:tab/>
              <w:t>10 dB</w:t>
            </w:r>
            <w:r w:rsidRPr="004D0DAA">
              <w:br/>
              <w:t>0 1 0</w:t>
            </w:r>
            <w:r w:rsidRPr="004D0DAA">
              <w:tab/>
              <w:t>20 dB</w:t>
            </w:r>
            <w:r w:rsidRPr="004D0DAA">
              <w:br/>
              <w:t>0 1 1</w:t>
            </w:r>
            <w:r w:rsidRPr="004D0DAA">
              <w:tab/>
              <w:t>30 dB</w:t>
            </w:r>
            <w:r w:rsidRPr="004D0DAA">
              <w:br/>
              <w:t>1 0 0</w:t>
            </w:r>
            <w:r w:rsidRPr="004D0DAA">
              <w:tab/>
              <w:t>40 dB</w:t>
            </w:r>
            <w:r w:rsidRPr="004D0DAA">
              <w:br/>
              <w:t>1 0 1</w:t>
            </w:r>
            <w:r w:rsidRPr="004D0DAA">
              <w:tab/>
              <w:t>50 dB</w:t>
            </w:r>
            <w:r w:rsidRPr="004D0DAA">
              <w:br/>
              <w:t>1 1 0</w:t>
            </w:r>
            <w:r w:rsidRPr="004D0DAA">
              <w:tab/>
              <w:t>60 dB</w:t>
            </w:r>
            <w:r w:rsidRPr="004D0DAA">
              <w:br/>
              <w:t>1 1 1</w:t>
            </w:r>
            <w:r w:rsidRPr="004D0DAA">
              <w:tab/>
              <w:t>infinity</w:t>
            </w:r>
          </w:p>
        </w:tc>
      </w:tr>
      <w:tr w:rsidR="00711444" w:rsidRPr="004D0DAA" w14:paraId="0A7CD789" w14:textId="77777777" w:rsidTr="00AA2A4C">
        <w:tblPrEx>
          <w:tblCellMar>
            <w:top w:w="0" w:type="dxa"/>
            <w:bottom w:w="0" w:type="dxa"/>
          </w:tblCellMar>
        </w:tblPrEx>
        <w:trPr>
          <w:cantSplit/>
        </w:trPr>
        <w:tc>
          <w:tcPr>
            <w:tcW w:w="9848" w:type="dxa"/>
          </w:tcPr>
          <w:p w14:paraId="2AD12051" w14:textId="77777777" w:rsidR="00711444" w:rsidRPr="004D0DAA" w:rsidRDefault="00711444" w:rsidP="00AA2A4C">
            <w:r w:rsidRPr="004D0DAA">
              <w:rPr>
                <w:b/>
              </w:rPr>
              <w:t>GPRS_PENALTY_TIME</w:t>
            </w:r>
            <w:r w:rsidRPr="004D0DAA">
              <w:t xml:space="preserve"> (5 bit field)</w:t>
            </w:r>
            <w:r w:rsidRPr="004D0DAA">
              <w:br/>
              <w:t xml:space="preserve">The GPRS_PENALTY_TIME defines the length of time for which GPRS_TEMPORARY_OFFSET is active. </w:t>
            </w:r>
          </w:p>
          <w:p w14:paraId="33D19639" w14:textId="77777777" w:rsidR="00711444" w:rsidRPr="004D0DAA" w:rsidRDefault="00711444" w:rsidP="00AA2A4C">
            <w:pPr>
              <w:tabs>
                <w:tab w:val="left" w:pos="1134"/>
              </w:tabs>
              <w:rPr>
                <w:b/>
              </w:rPr>
            </w:pPr>
            <w:r w:rsidRPr="004D0DAA">
              <w:t>Bit</w:t>
            </w:r>
            <w:r w:rsidRPr="004D0DAA">
              <w:br/>
              <w:t>5 4 3 2 1</w:t>
            </w:r>
            <w:r w:rsidRPr="004D0DAA">
              <w:br/>
              <w:t>0 0 0 0 0</w:t>
            </w:r>
            <w:r w:rsidRPr="004D0DAA">
              <w:tab/>
              <w:t>10 s</w:t>
            </w:r>
            <w:r w:rsidRPr="004D0DAA">
              <w:br/>
              <w:t>0 0 0 0 1</w:t>
            </w:r>
            <w:r w:rsidRPr="004D0DAA">
              <w:tab/>
              <w:t>20 s</w:t>
            </w:r>
            <w:r w:rsidRPr="004D0DAA">
              <w:br/>
              <w:t>. . .</w:t>
            </w:r>
            <w:r w:rsidRPr="004D0DAA">
              <w:br/>
              <w:t>1 1 1 1 1</w:t>
            </w:r>
            <w:r w:rsidRPr="004D0DAA">
              <w:tab/>
              <w:t>320 s</w:t>
            </w:r>
          </w:p>
        </w:tc>
      </w:tr>
      <w:tr w:rsidR="00711444" w:rsidRPr="004D0DAA" w14:paraId="002CFAAF" w14:textId="77777777" w:rsidTr="00AA2A4C">
        <w:tblPrEx>
          <w:tblCellMar>
            <w:top w:w="0" w:type="dxa"/>
            <w:bottom w:w="0" w:type="dxa"/>
          </w:tblCellMar>
        </w:tblPrEx>
        <w:trPr>
          <w:cantSplit/>
        </w:trPr>
        <w:tc>
          <w:tcPr>
            <w:tcW w:w="9848" w:type="dxa"/>
          </w:tcPr>
          <w:p w14:paraId="7265598A" w14:textId="77777777" w:rsidR="00711444" w:rsidRPr="004D0DAA" w:rsidRDefault="00711444" w:rsidP="00AA2A4C">
            <w:r w:rsidRPr="004D0DAA">
              <w:rPr>
                <w:b/>
              </w:rPr>
              <w:lastRenderedPageBreak/>
              <w:t xml:space="preserve">GPRS_RESELECT_OFFSET </w:t>
            </w:r>
            <w:r w:rsidRPr="004D0DAA">
              <w:t>(5 bit field)</w:t>
            </w:r>
            <w:r w:rsidRPr="004D0DAA">
              <w:br/>
              <w:t>GPRS_RESELECT_OFFSET is used by the mobile station to apply a positive or negative offset and a hysteresis to the GPRS cell reselection criterion. Default value is 0 dB. If the field is omitted from the message, the default value shall be used by the mobile station.</w:t>
            </w:r>
          </w:p>
          <w:p w14:paraId="3528FADF" w14:textId="77777777" w:rsidR="00711444" w:rsidRPr="004D0DAA" w:rsidRDefault="00711444" w:rsidP="00AA2A4C">
            <w:pPr>
              <w:tabs>
                <w:tab w:val="left" w:pos="1134"/>
              </w:tabs>
              <w:rPr>
                <w:b/>
              </w:rPr>
            </w:pPr>
            <w:r w:rsidRPr="004D0DAA">
              <w:t>Bit</w:t>
            </w:r>
            <w:r w:rsidRPr="004D0DAA">
              <w:br/>
              <w:t>5 4 3 2 1</w:t>
            </w:r>
            <w:r w:rsidRPr="004D0DAA">
              <w:br/>
              <w:t>0 0 0 0 0</w:t>
            </w:r>
            <w:r w:rsidRPr="004D0DAA">
              <w:tab/>
              <w:t>-52 dB</w:t>
            </w:r>
            <w:r w:rsidRPr="004D0DAA">
              <w:br/>
              <w:t>0 0 0 0 1</w:t>
            </w:r>
            <w:r w:rsidRPr="004D0DAA">
              <w:tab/>
              <w:t>-48 dB</w:t>
            </w:r>
            <w:r w:rsidRPr="004D0DAA">
              <w:br/>
              <w:t>...</w:t>
            </w:r>
            <w:r w:rsidRPr="004D0DAA">
              <w:br/>
              <w:t>0 1 0 1 0</w:t>
            </w:r>
            <w:r w:rsidRPr="004D0DAA">
              <w:tab/>
              <w:t>-12 dB</w:t>
            </w:r>
            <w:r w:rsidRPr="004D0DAA">
              <w:br/>
              <w:t>0 1 0 1 1</w:t>
            </w:r>
            <w:r w:rsidRPr="004D0DAA">
              <w:tab/>
              <w:t>-10 dB</w:t>
            </w:r>
            <w:r w:rsidRPr="004D0DAA">
              <w:br/>
              <w:t>...</w:t>
            </w:r>
            <w:r w:rsidRPr="004D0DAA">
              <w:br/>
              <w:t>1 0 1 1 0</w:t>
            </w:r>
            <w:r w:rsidRPr="004D0DAA">
              <w:tab/>
              <w:t>+12 dB</w:t>
            </w:r>
            <w:r w:rsidRPr="004D0DAA">
              <w:br/>
              <w:t>1 0 1 1 1</w:t>
            </w:r>
            <w:r w:rsidRPr="004D0DAA">
              <w:tab/>
              <w:t>+16 dB</w:t>
            </w:r>
            <w:r w:rsidRPr="004D0DAA">
              <w:br/>
              <w:t>...</w:t>
            </w:r>
            <w:r w:rsidRPr="004D0DAA">
              <w:br/>
              <w:t>1 1 1 1 1</w:t>
            </w:r>
            <w:r w:rsidRPr="004D0DAA">
              <w:tab/>
              <w:t>+48 dB</w:t>
            </w:r>
          </w:p>
        </w:tc>
      </w:tr>
      <w:tr w:rsidR="00711444" w:rsidRPr="004D0DAA" w14:paraId="584BDF0C" w14:textId="77777777" w:rsidTr="00AA2A4C">
        <w:tblPrEx>
          <w:tblCellMar>
            <w:top w:w="0" w:type="dxa"/>
            <w:bottom w:w="0" w:type="dxa"/>
          </w:tblCellMar>
        </w:tblPrEx>
        <w:trPr>
          <w:cantSplit/>
        </w:trPr>
        <w:tc>
          <w:tcPr>
            <w:tcW w:w="9848" w:type="dxa"/>
          </w:tcPr>
          <w:p w14:paraId="5899AB7E" w14:textId="77777777" w:rsidR="00711444" w:rsidRPr="004D0DAA" w:rsidRDefault="00711444" w:rsidP="00AA2A4C">
            <w:pPr>
              <w:rPr>
                <w:i/>
              </w:rPr>
            </w:pPr>
            <w:r w:rsidRPr="004D0DAA">
              <w:rPr>
                <w:b/>
              </w:rPr>
              <w:t>SI13_PBCCH_LOCATION construction</w:t>
            </w:r>
          </w:p>
          <w:p w14:paraId="1A54E927" w14:textId="77777777" w:rsidR="00711444" w:rsidRPr="004D0DAA" w:rsidRDefault="00711444" w:rsidP="00AA2A4C">
            <w:r w:rsidRPr="004D0DAA">
              <w:t>The optional SI13_PBCCH_LOCATION struct may either indicate the position of the SI13 message or a PBCCH position. If not included, SI3 and SI4 in the neighbour cell indicates if the neighbour cell supports GPRS.</w:t>
            </w:r>
          </w:p>
          <w:p w14:paraId="46814001" w14:textId="77777777" w:rsidR="00711444" w:rsidRPr="004D0DAA" w:rsidRDefault="00711444" w:rsidP="00AA2A4C">
            <w:r w:rsidRPr="004D0DAA">
              <w:rPr>
                <w:b/>
              </w:rPr>
              <w:t>SI13_LOCATION</w:t>
            </w:r>
            <w:r w:rsidRPr="004D0DAA">
              <w:t xml:space="preserve"> (1 bit field)</w:t>
            </w:r>
            <w:r w:rsidRPr="004D0DAA">
              <w:br/>
              <w:t>The SI13_LOCATION field, if present, indicates the logical channel where the SYSTEM INFORMATION TYPE 13 is broadcast (see 3GPP TS 45.002).</w:t>
            </w:r>
          </w:p>
          <w:p w14:paraId="67814119" w14:textId="77777777" w:rsidR="00711444" w:rsidRPr="004D0DAA" w:rsidRDefault="00711444" w:rsidP="00AA2A4C">
            <w:r w:rsidRPr="004D0DAA">
              <w:t>0</w:t>
            </w:r>
            <w:r w:rsidRPr="004D0DAA">
              <w:tab/>
              <w:t xml:space="preserve">SYSTEM INFORMATION TYPE 13 message is sent on BCCH norm </w:t>
            </w:r>
            <w:r w:rsidRPr="004D0DAA">
              <w:br/>
              <w:t>1</w:t>
            </w:r>
            <w:r w:rsidRPr="004D0DAA">
              <w:tab/>
              <w:t>SYSTEM INFORMATION TYPE 13 message is sent on BCCH ext</w:t>
            </w:r>
          </w:p>
          <w:p w14:paraId="64AB5B02" w14:textId="77777777" w:rsidR="00711444" w:rsidRPr="004D0DAA" w:rsidRDefault="00711444" w:rsidP="00AA2A4C">
            <w:r w:rsidRPr="004D0DAA">
              <w:rPr>
                <w:b/>
              </w:rPr>
              <w:t>PBCCH_LOCATION</w:t>
            </w:r>
            <w:r w:rsidRPr="004D0DAA">
              <w:t xml:space="preserve"> (2 bit field)</w:t>
            </w:r>
            <w:r w:rsidRPr="004D0DAA">
              <w:br/>
              <w:t>The PBCCH_LOCATION field, if present, indicates the location of the PBCCH on the BCCH carrier (see 3GPP TS 45.002). If the PBCCH location for a neighbour cell is given using this field, the TSC shall equal the BCC determined by the BSIC of that cell.</w:t>
            </w:r>
          </w:p>
          <w:p w14:paraId="1CCF5064" w14:textId="77777777" w:rsidR="00711444" w:rsidRPr="004D0DAA" w:rsidRDefault="00711444" w:rsidP="00AA2A4C">
            <w:pPr>
              <w:tabs>
                <w:tab w:val="left" w:pos="709"/>
              </w:tabs>
              <w:rPr>
                <w:b/>
              </w:rPr>
            </w:pPr>
            <w:r w:rsidRPr="004D0DAA">
              <w:t>bit</w:t>
            </w:r>
            <w:r w:rsidRPr="004D0DAA">
              <w:br/>
              <w:t>2 1</w:t>
            </w:r>
            <w:r w:rsidRPr="004D0DAA">
              <w:br/>
              <w:t>0 0</w:t>
            </w:r>
            <w:r w:rsidRPr="004D0DAA">
              <w:tab/>
              <w:t>PBCCH on TN 1 of BCCH carrier</w:t>
            </w:r>
            <w:r w:rsidRPr="004D0DAA">
              <w:br/>
              <w:t>0 1</w:t>
            </w:r>
            <w:r w:rsidRPr="004D0DAA">
              <w:tab/>
              <w:t>PBCCH on TN 2 of BCCH carrier</w:t>
            </w:r>
            <w:r w:rsidRPr="004D0DAA">
              <w:br/>
              <w:t>1 0</w:t>
            </w:r>
            <w:r w:rsidRPr="004D0DAA">
              <w:tab/>
              <w:t>PBCCH on TN 3 of BCCH carrier</w:t>
            </w:r>
            <w:r w:rsidRPr="004D0DAA">
              <w:br/>
              <w:t>1 1</w:t>
            </w:r>
            <w:r w:rsidRPr="004D0DAA">
              <w:tab/>
              <w:t>PBCCH on TN 4 of BCCH carrier</w:t>
            </w:r>
          </w:p>
        </w:tc>
      </w:tr>
      <w:tr w:rsidR="00711444" w:rsidRPr="004D0DAA" w14:paraId="5B998F53" w14:textId="77777777" w:rsidTr="00AA2A4C">
        <w:tblPrEx>
          <w:tblCellMar>
            <w:top w:w="0" w:type="dxa"/>
            <w:bottom w:w="0" w:type="dxa"/>
          </w:tblCellMar>
        </w:tblPrEx>
        <w:trPr>
          <w:cantSplit/>
        </w:trPr>
        <w:tc>
          <w:tcPr>
            <w:tcW w:w="9848" w:type="dxa"/>
          </w:tcPr>
          <w:p w14:paraId="71B8BD94" w14:textId="77777777" w:rsidR="00711444" w:rsidRPr="004D0DAA" w:rsidRDefault="00711444" w:rsidP="00AA2A4C">
            <w:r w:rsidRPr="004D0DAA">
              <w:rPr>
                <w:b/>
              </w:rPr>
              <w:t xml:space="preserve">PSI1_REPEAT_PERIOD </w:t>
            </w:r>
            <w:r w:rsidRPr="004D0DAA">
              <w:t>(4 bit field)</w:t>
            </w:r>
            <w:r w:rsidRPr="004D0DAA">
              <w:br/>
              <w:t>The PSI1_REPEAT_PERIOD field indicates the PSI repeat period. The field is coded according to the following table:</w:t>
            </w:r>
          </w:p>
          <w:p w14:paraId="574DB805" w14:textId="77777777" w:rsidR="00711444" w:rsidRPr="004D0DAA" w:rsidRDefault="00711444" w:rsidP="00AA2A4C">
            <w:pPr>
              <w:tabs>
                <w:tab w:val="left" w:pos="851"/>
              </w:tabs>
              <w:rPr>
                <w:b/>
              </w:rPr>
            </w:pPr>
            <w:r w:rsidRPr="004D0DAA">
              <w:t>bit</w:t>
            </w:r>
            <w:r w:rsidRPr="004D0DAA">
              <w:br/>
              <w:t>4 3 2 1</w:t>
            </w:r>
            <w:r w:rsidRPr="004D0DAA">
              <w:br/>
              <w:t>0 0 0 0</w:t>
            </w:r>
            <w:r w:rsidRPr="004D0DAA">
              <w:tab/>
              <w:t xml:space="preserve">PSI1 repeat period = 1 </w:t>
            </w:r>
            <w:r w:rsidRPr="004D0DAA">
              <w:br/>
              <w:t>0 0 0 1</w:t>
            </w:r>
            <w:r w:rsidRPr="004D0DAA">
              <w:tab/>
              <w:t>PSI1 repeat period = 2</w:t>
            </w:r>
            <w:r w:rsidRPr="004D0DAA">
              <w:br/>
              <w:t>...</w:t>
            </w:r>
            <w:r w:rsidRPr="004D0DAA">
              <w:br/>
              <w:t>1 1 1 1</w:t>
            </w:r>
            <w:r w:rsidRPr="004D0DAA">
              <w:tab/>
              <w:t>PSI1 repeat period = 16</w:t>
            </w:r>
          </w:p>
        </w:tc>
      </w:tr>
      <w:tr w:rsidR="00711444" w:rsidRPr="004D0DAA" w14:paraId="2F21D6FA" w14:textId="77777777" w:rsidTr="00AA2A4C">
        <w:tblPrEx>
          <w:tblCellMar>
            <w:top w:w="0" w:type="dxa"/>
            <w:bottom w:w="0" w:type="dxa"/>
          </w:tblCellMar>
        </w:tblPrEx>
        <w:trPr>
          <w:cantSplit/>
        </w:trPr>
        <w:tc>
          <w:tcPr>
            <w:tcW w:w="9848" w:type="dxa"/>
          </w:tcPr>
          <w:p w14:paraId="2D1C587E" w14:textId="77777777" w:rsidR="00711444" w:rsidRPr="004D0DAA" w:rsidRDefault="00711444" w:rsidP="00AA2A4C">
            <w:r w:rsidRPr="004D0DAA">
              <w:rPr>
                <w:b/>
              </w:rPr>
              <w:lastRenderedPageBreak/>
              <w:t>LSA Parameters</w:t>
            </w:r>
            <w:r w:rsidRPr="004D0DAA">
              <w:t xml:space="preserve"> </w:t>
            </w:r>
            <w:r w:rsidRPr="004D0DAA">
              <w:rPr>
                <w:b/>
              </w:rPr>
              <w:t>IE</w:t>
            </w:r>
            <w:r w:rsidRPr="004D0DAA">
              <w:rPr>
                <w:b/>
              </w:rPr>
              <w:br/>
            </w:r>
            <w:r w:rsidRPr="004D0DAA">
              <w:t>The LSA Parameters IE contains a list of LSA_ID(s) corresponding to the entries in the Neighbour Cell Parameters. Some entries in LSA parameters may be empty. The entries in the LSA Parameters IE are listed in the same order as in the Neighbour Cell Parameters and the number of entries (nr_of_frequencies_or_cells) should be the same. In case there are too few entries in the LSA Parameters IE, empty entries shall be added at the end. In case there are too many entries in the LSA parameters, the last shall be discarded. The 'LSA parameters IE' is defined in sub-clause 12.28.</w:t>
            </w:r>
          </w:p>
          <w:p w14:paraId="337B9E7C" w14:textId="77777777" w:rsidR="00711444" w:rsidRPr="004D0DAA" w:rsidRDefault="00711444" w:rsidP="00AA2A4C">
            <w:r w:rsidRPr="004D0DAA">
              <w:rPr>
                <w:b/>
              </w:rPr>
              <w:t>LSA_ID</w:t>
            </w:r>
            <w:r w:rsidRPr="004D0DAA">
              <w:t xml:space="preserve"> (24 bit field)</w:t>
            </w:r>
            <w:r w:rsidRPr="004D0DAA">
              <w:br/>
              <w:t>The purpose of the LSA_ID field is to identify a LSA. The LSA ID value field is coded as specified in 3GPP TS 23.003.</w:t>
            </w:r>
          </w:p>
          <w:p w14:paraId="287BC42E" w14:textId="77777777" w:rsidR="00711444" w:rsidRPr="004D0DAA" w:rsidRDefault="00711444" w:rsidP="00AA2A4C">
            <w:pPr>
              <w:rPr>
                <w:b/>
              </w:rPr>
            </w:pPr>
            <w:r w:rsidRPr="004D0DAA">
              <w:rPr>
                <w:b/>
              </w:rPr>
              <w:t>Short LSA_ID</w:t>
            </w:r>
            <w:r w:rsidRPr="004D0DAA">
              <w:t xml:space="preserve"> (10 bit field)</w:t>
            </w:r>
            <w:r w:rsidRPr="004D0DAA">
              <w:br/>
              <w:t>The purpose of the Short LSA_ID field is to identify a LSA. The LSA ID defined by the Short LSA_ID is a LSA_ID as specified in 3GPP TS 23.003 with bit 0 set to "0" bit 1 to 10 set to the value of the Short LSA_ID field (LSB in bit 1, MSB in bit 10) and bit 11 to 23 set to "0".</w:t>
            </w:r>
          </w:p>
        </w:tc>
      </w:tr>
      <w:tr w:rsidR="00711444" w:rsidRPr="004D0DAA" w14:paraId="0FD8D5BD" w14:textId="77777777" w:rsidTr="00AA2A4C">
        <w:tblPrEx>
          <w:tblCellMar>
            <w:top w:w="0" w:type="dxa"/>
            <w:bottom w:w="0" w:type="dxa"/>
          </w:tblCellMar>
        </w:tblPrEx>
        <w:trPr>
          <w:cantSplit/>
        </w:trPr>
        <w:tc>
          <w:tcPr>
            <w:tcW w:w="9848" w:type="dxa"/>
          </w:tcPr>
          <w:p w14:paraId="40410C7D" w14:textId="77777777" w:rsidR="00711444" w:rsidRPr="004D0DAA" w:rsidRDefault="00711444" w:rsidP="00AA2A4C">
            <w:r w:rsidRPr="004D0DAA">
              <w:rPr>
                <w:b/>
              </w:rPr>
              <w:t>TIME_GROUP</w:t>
            </w:r>
            <w:r w:rsidRPr="004D0DAA">
              <w:t xml:space="preserve"> (2 bit field)</w:t>
            </w:r>
            <w:r w:rsidRPr="004D0DAA">
              <w:br/>
              <w:t>The TIME_GROUP defines which time group (see 3GPP TS 45.002) the cell belongs to</w:t>
            </w:r>
          </w:p>
          <w:p w14:paraId="1A88DED2" w14:textId="77777777" w:rsidR="00711444" w:rsidRPr="004D0DAA" w:rsidRDefault="00711444" w:rsidP="00AA2A4C">
            <w:pPr>
              <w:tabs>
                <w:tab w:val="left" w:pos="851"/>
              </w:tabs>
              <w:rPr>
                <w:b/>
              </w:rPr>
            </w:pPr>
            <w:r w:rsidRPr="004D0DAA">
              <w:t>bit</w:t>
            </w:r>
            <w:r w:rsidRPr="004D0DAA">
              <w:br/>
              <w:t>2 1</w:t>
            </w:r>
            <w:r w:rsidRPr="004D0DAA">
              <w:br/>
              <w:t>0 0</w:t>
            </w:r>
            <w:r w:rsidRPr="004D0DAA">
              <w:tab/>
              <w:t>Time Group 0</w:t>
            </w:r>
            <w:r w:rsidRPr="004D0DAA">
              <w:br/>
              <w:t>0 1</w:t>
            </w:r>
            <w:r w:rsidRPr="004D0DAA">
              <w:tab/>
              <w:t>Time Group 1</w:t>
            </w:r>
            <w:r w:rsidRPr="004D0DAA">
              <w:br/>
              <w:t>1 0</w:t>
            </w:r>
            <w:r w:rsidRPr="004D0DAA">
              <w:tab/>
              <w:t>Time Group 2</w:t>
            </w:r>
            <w:r w:rsidRPr="004D0DAA">
              <w:br/>
              <w:t>1 1</w:t>
            </w:r>
            <w:r w:rsidRPr="004D0DAA">
              <w:tab/>
              <w:t>Time Group 3</w:t>
            </w:r>
          </w:p>
        </w:tc>
      </w:tr>
      <w:tr w:rsidR="00711444" w:rsidRPr="004D0DAA" w14:paraId="4CA30F2D" w14:textId="77777777" w:rsidTr="00AA2A4C">
        <w:tblPrEx>
          <w:tblCellMar>
            <w:top w:w="0" w:type="dxa"/>
            <w:bottom w:w="0" w:type="dxa"/>
          </w:tblCellMar>
        </w:tblPrEx>
        <w:trPr>
          <w:cantSplit/>
        </w:trPr>
        <w:tc>
          <w:tcPr>
            <w:tcW w:w="9848" w:type="dxa"/>
          </w:tcPr>
          <w:p w14:paraId="0C8C7706" w14:textId="77777777" w:rsidR="00711444" w:rsidRPr="004D0DAA" w:rsidRDefault="00711444" w:rsidP="00AA2A4C">
            <w:r w:rsidRPr="004D0DAA">
              <w:rPr>
                <w:b/>
              </w:rPr>
              <w:t>GUAR_CONSTANT_PWR_BLKS</w:t>
            </w:r>
            <w:r w:rsidRPr="004D0DAA">
              <w:t xml:space="preserve"> (2 bit field)</w:t>
            </w:r>
            <w:r w:rsidRPr="004D0DAA">
              <w:br/>
              <w:t>This field indicates the guaranteed number of constant power blocks in the neighbour cell. These are the blocks that the MS can use to perform neighbour cell measurements (see 3GPP TS 45.008). Note that there may be more CPBCCH blocks or allowed paging blocks in the neighbour cell than what is indicated in this field, but never less.</w:t>
            </w:r>
          </w:p>
          <w:p w14:paraId="03BEDFF9" w14:textId="77777777" w:rsidR="00711444" w:rsidRPr="004D0DAA" w:rsidRDefault="00711444" w:rsidP="00AA2A4C">
            <w:pPr>
              <w:tabs>
                <w:tab w:val="left" w:pos="851"/>
              </w:tabs>
              <w:rPr>
                <w:b/>
              </w:rPr>
            </w:pPr>
            <w:r w:rsidRPr="004D0DAA">
              <w:t>bit</w:t>
            </w:r>
            <w:r w:rsidRPr="004D0DAA">
              <w:br/>
              <w:t>2 1</w:t>
            </w:r>
            <w:r w:rsidRPr="004D0DAA">
              <w:tab/>
              <w:t xml:space="preserve">Blocks at constant power </w:t>
            </w:r>
            <w:r w:rsidRPr="004D0DAA">
              <w:br/>
              <w:t>0 0</w:t>
            </w:r>
            <w:r w:rsidRPr="004D0DAA">
              <w:tab/>
              <w:t>4</w:t>
            </w:r>
            <w:r w:rsidRPr="004D0DAA">
              <w:br/>
              <w:t>0 1</w:t>
            </w:r>
            <w:r w:rsidRPr="004D0DAA">
              <w:tab/>
              <w:t>5</w:t>
            </w:r>
            <w:r w:rsidRPr="004D0DAA">
              <w:br/>
              <w:t>1 0</w:t>
            </w:r>
            <w:r w:rsidRPr="004D0DAA">
              <w:tab/>
              <w:t>6</w:t>
            </w:r>
            <w:r w:rsidRPr="004D0DAA">
              <w:br/>
              <w:t>1 1</w:t>
            </w:r>
            <w:r w:rsidRPr="004D0DAA">
              <w:tab/>
              <w:t>12 (i.e. BS_PAG_BLKS_RES = 0 in that cell)</w:t>
            </w:r>
          </w:p>
        </w:tc>
      </w:tr>
      <w:tr w:rsidR="00711444" w:rsidRPr="004D0DAA" w14:paraId="1785F180" w14:textId="77777777" w:rsidTr="00AA2A4C">
        <w:tblPrEx>
          <w:tblCellMar>
            <w:top w:w="0" w:type="dxa"/>
            <w:bottom w:w="0" w:type="dxa"/>
          </w:tblCellMar>
        </w:tblPrEx>
        <w:trPr>
          <w:cantSplit/>
        </w:trPr>
        <w:tc>
          <w:tcPr>
            <w:tcW w:w="9848" w:type="dxa"/>
          </w:tcPr>
          <w:p w14:paraId="268A0246" w14:textId="77777777" w:rsidR="00711444" w:rsidRPr="004D0DAA" w:rsidRDefault="00711444" w:rsidP="00AA2A4C">
            <w:r w:rsidRPr="004D0DAA">
              <w:rPr>
                <w:b/>
              </w:rPr>
              <w:t>Cell Identification</w:t>
            </w:r>
            <w:r w:rsidRPr="004D0DAA">
              <w:br/>
              <w:t>This information element is defined in sub-clause 12.23.</w:t>
            </w:r>
          </w:p>
        </w:tc>
      </w:tr>
      <w:tr w:rsidR="00711444" w:rsidRPr="004D0DAA" w14:paraId="0AC3A3FA" w14:textId="77777777" w:rsidTr="00AA2A4C">
        <w:tblPrEx>
          <w:tblCellMar>
            <w:top w:w="0" w:type="dxa"/>
            <w:bottom w:w="0" w:type="dxa"/>
          </w:tblCellMar>
        </w:tblPrEx>
        <w:trPr>
          <w:cantSplit/>
        </w:trPr>
        <w:tc>
          <w:tcPr>
            <w:tcW w:w="9848" w:type="dxa"/>
          </w:tcPr>
          <w:p w14:paraId="088E8C93" w14:textId="77777777" w:rsidR="00711444" w:rsidRPr="004D0DAA" w:rsidRDefault="00711444" w:rsidP="00AA2A4C">
            <w:r w:rsidRPr="004D0DAA">
              <w:rPr>
                <w:b/>
                <w:i/>
              </w:rPr>
              <w:t>CCN Support Description</w:t>
            </w:r>
            <w:r w:rsidRPr="004D0DAA">
              <w:rPr>
                <w:b/>
              </w:rPr>
              <w:t xml:space="preserve"> </w:t>
            </w:r>
            <w:r w:rsidRPr="004D0DAA">
              <w:br/>
            </w:r>
            <w:r w:rsidRPr="004D0DAA">
              <w:br/>
            </w:r>
            <w:r w:rsidRPr="004D0DAA">
              <w:rPr>
                <w:b/>
              </w:rPr>
              <w:t>CCN_SUPPORTED</w:t>
            </w:r>
            <w:r w:rsidRPr="004D0DAA">
              <w:t xml:space="preserve"> (1 bit field) </w:t>
            </w:r>
            <w:r w:rsidRPr="004D0DAA">
              <w:br/>
              <w:t>This parameter is used for determining whether the mobile station shall enter CCN mode when re-selecting a cell and CCN is enabled. The use of these bits is described in sub-clause 8.8.2a ("CCN support description"):</w:t>
            </w:r>
          </w:p>
          <w:p w14:paraId="5FB3AB68" w14:textId="77777777" w:rsidR="00711444" w:rsidRPr="004D0DAA" w:rsidRDefault="00711444" w:rsidP="00AA2A4C">
            <w:pPr>
              <w:rPr>
                <w:b/>
              </w:rPr>
            </w:pPr>
            <w:r w:rsidRPr="004D0DAA">
              <w:t>Bit</w:t>
            </w:r>
            <w:r w:rsidRPr="004D0DAA">
              <w:br/>
            </w:r>
            <w:r w:rsidRPr="004D0DAA">
              <w:rPr>
                <w:b/>
              </w:rPr>
              <w:t>0</w:t>
            </w:r>
            <w:r w:rsidRPr="004D0DAA">
              <w:tab/>
              <w:t>CCN is enabled towards the corresponding cell</w:t>
            </w:r>
            <w:r w:rsidRPr="004D0DAA">
              <w:br/>
            </w:r>
            <w:r w:rsidRPr="004D0DAA">
              <w:rPr>
                <w:b/>
              </w:rPr>
              <w:t>1</w:t>
            </w:r>
            <w:r w:rsidRPr="004D0DAA">
              <w:tab/>
              <w:t>CCN is disabled towards the corresponding cell</w:t>
            </w:r>
          </w:p>
        </w:tc>
      </w:tr>
      <w:tr w:rsidR="00711444" w:rsidRPr="004D0DAA" w14:paraId="006D8680" w14:textId="77777777" w:rsidTr="00AA2A4C">
        <w:tblPrEx>
          <w:tblCellMar>
            <w:top w:w="0" w:type="dxa"/>
            <w:bottom w:w="0" w:type="dxa"/>
          </w:tblCellMar>
        </w:tblPrEx>
        <w:trPr>
          <w:cantSplit/>
        </w:trPr>
        <w:tc>
          <w:tcPr>
            <w:tcW w:w="9848" w:type="dxa"/>
          </w:tcPr>
          <w:p w14:paraId="0E767694" w14:textId="77777777" w:rsidR="00711444" w:rsidRPr="004D0DAA" w:rsidRDefault="00711444" w:rsidP="00AA2A4C">
            <w:pPr>
              <w:rPr>
                <w:bCs/>
              </w:rPr>
            </w:pPr>
            <w:r w:rsidRPr="004D0DAA">
              <w:rPr>
                <w:b/>
                <w:bCs/>
              </w:rPr>
              <w:t>CELL BAR QUALIFY 3</w:t>
            </w:r>
            <w:r w:rsidRPr="004D0DAA">
              <w:t xml:space="preserve"> </w:t>
            </w:r>
            <w:r w:rsidRPr="004D0DAA">
              <w:rPr>
                <w:bCs/>
              </w:rPr>
              <w:t>(2 bit field)</w:t>
            </w:r>
          </w:p>
          <w:p w14:paraId="71AFCD8D" w14:textId="77777777" w:rsidR="00711444" w:rsidRPr="004D0DAA" w:rsidRDefault="00711444" w:rsidP="00AA2A4C">
            <w:pPr>
              <w:rPr>
                <w:b/>
                <w:i/>
              </w:rPr>
            </w:pPr>
            <w:r w:rsidRPr="004D0DAA">
              <w:t>This information element is defined in 3GPP TS 44.018.</w:t>
            </w:r>
          </w:p>
        </w:tc>
      </w:tr>
      <w:tr w:rsidR="00711444" w:rsidRPr="004D0DAA" w14:paraId="480647BB" w14:textId="77777777" w:rsidTr="00AA2A4C">
        <w:tblPrEx>
          <w:tblCellMar>
            <w:top w:w="0" w:type="dxa"/>
            <w:bottom w:w="0" w:type="dxa"/>
          </w:tblCellMar>
        </w:tblPrEx>
        <w:trPr>
          <w:cantSplit/>
        </w:trPr>
        <w:tc>
          <w:tcPr>
            <w:tcW w:w="9848" w:type="dxa"/>
          </w:tcPr>
          <w:p w14:paraId="04CD7BC0" w14:textId="77777777" w:rsidR="00711444" w:rsidRPr="004D0DAA" w:rsidRDefault="00711444" w:rsidP="00AA2A4C">
            <w:pPr>
              <w:rPr>
                <w:i/>
              </w:rPr>
            </w:pPr>
            <w:r w:rsidRPr="004D0DAA">
              <w:rPr>
                <w:i/>
              </w:rPr>
              <w:lastRenderedPageBreak/>
              <w:t>Iu mode Neighbour Cell Parameters</w:t>
            </w:r>
          </w:p>
          <w:p w14:paraId="5A111E69" w14:textId="77777777" w:rsidR="00711444" w:rsidRPr="004D0DAA" w:rsidRDefault="00711444" w:rsidP="00AA2A4C">
            <w:r w:rsidRPr="004D0DAA">
              <w:t xml:space="preserve">The </w:t>
            </w:r>
            <w:r w:rsidRPr="004D0DAA">
              <w:rPr>
                <w:i/>
                <w:iCs/>
              </w:rPr>
              <w:t>Iu mode Neighbour Cell Parameters</w:t>
            </w:r>
            <w:r w:rsidRPr="004D0DAA">
              <w:t xml:space="preserve"> are used to specify </w:t>
            </w:r>
            <w:r w:rsidRPr="004D0DAA">
              <w:rPr>
                <w:i/>
                <w:iCs/>
              </w:rPr>
              <w:t>Iu mode</w:t>
            </w:r>
            <w:r w:rsidRPr="004D0DAA">
              <w:t xml:space="preserve"> (and </w:t>
            </w:r>
            <w:r w:rsidRPr="004D0DAA">
              <w:rPr>
                <w:i/>
                <w:iCs/>
              </w:rPr>
              <w:t>A/Gb mode</w:t>
            </w:r>
            <w:r w:rsidRPr="004D0DAA">
              <w:t xml:space="preserve">) capable neighbouring cells (BA(GPRS)) and their corresponding cell selection parameters. The </w:t>
            </w:r>
            <w:r w:rsidRPr="004D0DAA">
              <w:rPr>
                <w:i/>
                <w:iCs/>
              </w:rPr>
              <w:t>Iu mode Neighbour Cell Parameters</w:t>
            </w:r>
            <w:r w:rsidRPr="004D0DAA">
              <w:t xml:space="preserve"> are specified in PSI3 and in at least one instance of PSI3bis. If one instance of PSI3bis is not sufficient to specify the cell selection parameters of all </w:t>
            </w:r>
            <w:r w:rsidRPr="004D0DAA">
              <w:rPr>
                <w:i/>
                <w:iCs/>
              </w:rPr>
              <w:t xml:space="preserve">Iu mode </w:t>
            </w:r>
            <w:r w:rsidRPr="004D0DAA">
              <w:t xml:space="preserve">capable neighbouring cells, the remaining </w:t>
            </w:r>
            <w:r w:rsidRPr="004D0DAA">
              <w:rPr>
                <w:i/>
                <w:iCs/>
              </w:rPr>
              <w:t xml:space="preserve">Iu mode </w:t>
            </w:r>
            <w:r w:rsidRPr="004D0DAA">
              <w:t xml:space="preserve">capable neighbouring cells are specified in consecutive instances of PSI3bis. If all information fits within the PSI3 message, one instance of PSI3bis without any </w:t>
            </w:r>
            <w:r w:rsidRPr="004D0DAA">
              <w:rPr>
                <w:i/>
                <w:iCs/>
              </w:rPr>
              <w:t xml:space="preserve">Iu mode Neighbour Cell Parameters </w:t>
            </w:r>
            <w:r w:rsidRPr="004D0DAA">
              <w:t>is broadcast.</w:t>
            </w:r>
          </w:p>
          <w:p w14:paraId="5DC8872E" w14:textId="77777777" w:rsidR="00711444" w:rsidRPr="004D0DAA" w:rsidRDefault="00711444" w:rsidP="00AA2A4C">
            <w:pPr>
              <w:pStyle w:val="NO"/>
              <w:rPr>
                <w:snapToGrid w:val="0"/>
                <w:lang w:eastAsia="en-US"/>
              </w:rPr>
            </w:pPr>
            <w:r w:rsidRPr="004D0DAA">
              <w:rPr>
                <w:snapToGrid w:val="0"/>
                <w:lang w:eastAsia="en-US"/>
              </w:rPr>
              <w:t>NOTE:</w:t>
            </w:r>
            <w:r w:rsidRPr="004D0DAA">
              <w:rPr>
                <w:snapToGrid w:val="0"/>
                <w:lang w:eastAsia="en-US"/>
              </w:rPr>
              <w:tab/>
              <w:t>For efficient coding, cells with common cell selection parameters may be grouped together.</w:t>
            </w:r>
          </w:p>
          <w:p w14:paraId="70F6D2EA" w14:textId="77777777" w:rsidR="00711444" w:rsidRPr="004D0DAA" w:rsidRDefault="00711444" w:rsidP="00AA2A4C">
            <w:pPr>
              <w:rPr>
                <w:b/>
                <w:iCs/>
              </w:rPr>
            </w:pPr>
            <w:r w:rsidRPr="004D0DAA">
              <w:t>Building of BA(GPRS) is defined in sub-clause 5.6.3.2.</w:t>
            </w:r>
          </w:p>
        </w:tc>
      </w:tr>
      <w:tr w:rsidR="00711444" w:rsidRPr="004D0DAA" w14:paraId="7FD628D3" w14:textId="77777777" w:rsidTr="00AA2A4C">
        <w:tblPrEx>
          <w:tblCellMar>
            <w:top w:w="0" w:type="dxa"/>
            <w:bottom w:w="0" w:type="dxa"/>
          </w:tblCellMar>
        </w:tblPrEx>
        <w:trPr>
          <w:cantSplit/>
        </w:trPr>
        <w:tc>
          <w:tcPr>
            <w:tcW w:w="9848" w:type="dxa"/>
          </w:tcPr>
          <w:p w14:paraId="33FA99FD" w14:textId="77777777" w:rsidR="00711444" w:rsidRPr="004D0DAA" w:rsidRDefault="00711444" w:rsidP="00AA2A4C">
            <w:pPr>
              <w:rPr>
                <w:i/>
              </w:rPr>
            </w:pPr>
            <w:r w:rsidRPr="004D0DAA">
              <w:rPr>
                <w:i/>
              </w:rPr>
              <w:t>Iu mode Only Neighbour Cell Parameters</w:t>
            </w:r>
          </w:p>
          <w:p w14:paraId="2FF25C92" w14:textId="77777777" w:rsidR="00711444" w:rsidRPr="004D0DAA" w:rsidRDefault="00711444" w:rsidP="00AA2A4C">
            <w:pPr>
              <w:rPr>
                <w:b/>
                <w:iCs/>
              </w:rPr>
            </w:pPr>
            <w:r w:rsidRPr="004D0DAA">
              <w:t xml:space="preserve">The </w:t>
            </w:r>
            <w:r w:rsidRPr="004D0DAA">
              <w:rPr>
                <w:i/>
              </w:rPr>
              <w:t xml:space="preserve">Iu mode Only Neighbour Cell Parameters </w:t>
            </w:r>
            <w:r w:rsidRPr="004D0DAA">
              <w:t xml:space="preserve">are used to specify </w:t>
            </w:r>
            <w:r w:rsidRPr="004D0DAA">
              <w:rPr>
                <w:i/>
              </w:rPr>
              <w:t xml:space="preserve">Iu mode </w:t>
            </w:r>
            <w:r w:rsidRPr="004D0DAA">
              <w:t xml:space="preserve">only capable neighbouring cells and their corresponding cell selection parameters. The </w:t>
            </w:r>
            <w:r w:rsidRPr="004D0DAA">
              <w:rPr>
                <w:i/>
              </w:rPr>
              <w:t>Iu mode Only Neighbour Cell Parameters</w:t>
            </w:r>
            <w:r w:rsidRPr="004D0DAA">
              <w:t xml:space="preserve"> are specified in PSI3 and in at least one instance of PSI3bis. If one instance of PSI3bis is not sufficient to specify the cell selection parameters of all </w:t>
            </w:r>
            <w:r w:rsidRPr="004D0DAA">
              <w:rPr>
                <w:i/>
              </w:rPr>
              <w:t>Iu mode</w:t>
            </w:r>
            <w:r w:rsidRPr="004D0DAA">
              <w:t xml:space="preserve"> only capable neighbouring cells, the remaining </w:t>
            </w:r>
            <w:r w:rsidRPr="004D0DAA">
              <w:rPr>
                <w:i/>
              </w:rPr>
              <w:t>Iu mode</w:t>
            </w:r>
            <w:r w:rsidRPr="004D0DAA">
              <w:t xml:space="preserve"> only capable neighbouring cells are specified in consecutive instances of PSI3bis. If all information fits within the PSI3 message, one instance of PSI3bis without any </w:t>
            </w:r>
            <w:r w:rsidRPr="004D0DAA">
              <w:rPr>
                <w:i/>
              </w:rPr>
              <w:t xml:space="preserve">Iu mode Only Neighbour Cell Parameters </w:t>
            </w:r>
            <w:r w:rsidRPr="004D0DAA">
              <w:t>is broadcast.</w:t>
            </w:r>
          </w:p>
        </w:tc>
      </w:tr>
      <w:tr w:rsidR="00711444" w:rsidRPr="004D0DAA" w14:paraId="10EEEB45" w14:textId="77777777" w:rsidTr="00AA2A4C">
        <w:tblPrEx>
          <w:tblCellMar>
            <w:top w:w="0" w:type="dxa"/>
            <w:bottom w:w="0" w:type="dxa"/>
          </w:tblCellMar>
        </w:tblPrEx>
        <w:trPr>
          <w:cantSplit/>
        </w:trPr>
        <w:tc>
          <w:tcPr>
            <w:tcW w:w="9848" w:type="dxa"/>
          </w:tcPr>
          <w:p w14:paraId="55E9140C" w14:textId="77777777" w:rsidR="00711444" w:rsidRPr="004D0DAA" w:rsidRDefault="00711444" w:rsidP="00AA2A4C">
            <w:pPr>
              <w:rPr>
                <w:i/>
                <w:iCs/>
              </w:rPr>
            </w:pPr>
            <w:r w:rsidRPr="004D0DAA">
              <w:rPr>
                <w:i/>
                <w:iCs/>
              </w:rPr>
              <w:t>Iu mode Neighbour Cell params struct</w:t>
            </w:r>
          </w:p>
          <w:p w14:paraId="69B2F1B0" w14:textId="77777777" w:rsidR="00711444" w:rsidRPr="004D0DAA" w:rsidRDefault="00711444" w:rsidP="00AA2A4C">
            <w:pPr>
              <w:rPr>
                <w:b/>
                <w:iCs/>
              </w:rPr>
            </w:pPr>
            <w:r w:rsidRPr="004D0DAA">
              <w:rPr>
                <w:bCs/>
              </w:rPr>
              <w:t xml:space="preserve">This struct presents supplementary information for </w:t>
            </w:r>
            <w:r w:rsidRPr="004D0DAA">
              <w:rPr>
                <w:bCs/>
                <w:i/>
                <w:iCs/>
              </w:rPr>
              <w:t>Iu mode</w:t>
            </w:r>
            <w:r w:rsidRPr="004D0DAA">
              <w:rPr>
                <w:bCs/>
              </w:rPr>
              <w:t xml:space="preserve"> capable cells. </w:t>
            </w:r>
            <w:r w:rsidRPr="004D0DAA">
              <w:t xml:space="preserve">The struct may be included in this message and assigns </w:t>
            </w:r>
            <w:r w:rsidRPr="004D0DAA">
              <w:rPr>
                <w:i/>
                <w:iCs/>
              </w:rPr>
              <w:t>Iu mode</w:t>
            </w:r>
            <w:r w:rsidRPr="004D0DAA">
              <w:t xml:space="preserve"> parameter values to the neighbouring cells defined by the message. </w:t>
            </w:r>
            <w:r w:rsidRPr="004D0DAA">
              <w:rPr>
                <w:i/>
                <w:iCs/>
              </w:rPr>
              <w:t xml:space="preserve">Iu mode </w:t>
            </w:r>
            <w:r w:rsidRPr="004D0DAA">
              <w:t xml:space="preserve">capable neighbouring cells are defined by the </w:t>
            </w:r>
            <w:r w:rsidRPr="004D0DAA">
              <w:rPr>
                <w:i/>
              </w:rPr>
              <w:t>Neighbour Cell Parameter IE.</w:t>
            </w:r>
            <w:r w:rsidRPr="004D0DAA">
              <w:t xml:space="preserve"> The </w:t>
            </w:r>
            <w:r w:rsidRPr="004D0DAA">
              <w:rPr>
                <w:i/>
                <w:iCs/>
              </w:rPr>
              <w:t>Iu mode Neighbour Cell params struct</w:t>
            </w:r>
            <w:r w:rsidRPr="004D0DAA">
              <w:t xml:space="preserve"> values are assigned to the neighbouring cells in the same order they appear in the PSI3 and PSI3bis messages.</w:t>
            </w:r>
          </w:p>
        </w:tc>
      </w:tr>
    </w:tbl>
    <w:p w14:paraId="38C472FC" w14:textId="77777777" w:rsidR="00711444" w:rsidRPr="004D0DAA" w:rsidRDefault="00711444" w:rsidP="00711444"/>
    <w:p w14:paraId="637BFADF" w14:textId="77777777" w:rsidR="00711444" w:rsidRPr="004D0DAA" w:rsidRDefault="00711444" w:rsidP="00711444">
      <w:pPr>
        <w:pStyle w:val="Heading3"/>
      </w:pPr>
      <w:bookmarkStart w:id="694" w:name="_Toc516669870"/>
      <w:r w:rsidRPr="004D0DAA">
        <w:t>11.2.21</w:t>
      </w:r>
      <w:r w:rsidRPr="004D0DAA">
        <w:tab/>
        <w:t>Packet System Information Type 3 bis</w:t>
      </w:r>
      <w:bookmarkEnd w:id="694"/>
    </w:p>
    <w:p w14:paraId="2654283C" w14:textId="77777777" w:rsidR="00711444" w:rsidRPr="004D0DAA" w:rsidRDefault="00711444" w:rsidP="00711444">
      <w:r w:rsidRPr="004D0DAA">
        <w:t>This message is sent by the network on the PBCCH and PACCH giving information of the BCCH allocation in the neighbour cells and cell selection parameters for non-serving cells. This message shall not be segmented across more than one RLC/MAC control block by using the procedures specified in sub-clause 9.1.12a. If not all information fits into one instance of the PSI3bis message, the PSI3bis message can be repeated. Special requirements for the transmission of this message apply on PBCCH, see 3GPP TS 45.002.</w:t>
      </w:r>
    </w:p>
    <w:p w14:paraId="05985CDE" w14:textId="77777777" w:rsidR="00711444" w:rsidRPr="004D0DAA" w:rsidRDefault="00711444" w:rsidP="00711444">
      <w:pPr>
        <w:pStyle w:val="EX"/>
      </w:pPr>
      <w:r w:rsidRPr="004D0DAA">
        <w:t>Message type:</w:t>
      </w:r>
      <w:r w:rsidRPr="004D0DAA">
        <w:tab/>
        <w:t>PACKET SYSTEM INFORMATION TYPE 3 BIS</w:t>
      </w:r>
    </w:p>
    <w:p w14:paraId="412F66AC" w14:textId="77777777" w:rsidR="00711444" w:rsidRPr="004D0DAA" w:rsidRDefault="00711444" w:rsidP="00711444">
      <w:pPr>
        <w:pStyle w:val="EX"/>
      </w:pPr>
      <w:r w:rsidRPr="004D0DAA">
        <w:t>Direction:</w:t>
      </w:r>
      <w:r w:rsidRPr="004D0DAA">
        <w:tab/>
        <w:t>network to mobile station</w:t>
      </w:r>
    </w:p>
    <w:p w14:paraId="5282ACE6" w14:textId="77777777" w:rsidR="00711444" w:rsidRPr="004D0DAA" w:rsidRDefault="00711444" w:rsidP="00711444">
      <w:pPr>
        <w:pStyle w:val="EX"/>
      </w:pPr>
      <w:r w:rsidRPr="004D0DAA">
        <w:t>Classification:</w:t>
      </w:r>
      <w:r w:rsidRPr="004D0DAA">
        <w:tab/>
        <w:t>distribution message</w:t>
      </w:r>
    </w:p>
    <w:p w14:paraId="7A2FDA47" w14:textId="77777777" w:rsidR="00711444" w:rsidRPr="004D0DAA" w:rsidRDefault="00711444" w:rsidP="00711444">
      <w:pPr>
        <w:pStyle w:val="TH"/>
      </w:pPr>
      <w:r w:rsidRPr="004D0DAA">
        <w:lastRenderedPageBreak/>
        <w:t>Table 11.2.21.1: PSI3 bis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6FA3110" w14:textId="77777777" w:rsidTr="00AA2A4C">
        <w:tblPrEx>
          <w:tblCellMar>
            <w:top w:w="0" w:type="dxa"/>
            <w:bottom w:w="0" w:type="dxa"/>
          </w:tblCellMar>
        </w:tblPrEx>
        <w:trPr>
          <w:cantSplit/>
        </w:trPr>
        <w:tc>
          <w:tcPr>
            <w:tcW w:w="9848" w:type="dxa"/>
          </w:tcPr>
          <w:p w14:paraId="18D5D71F" w14:textId="77777777" w:rsidR="00711444" w:rsidRPr="004D0DAA" w:rsidRDefault="00711444" w:rsidP="00AA2A4C">
            <w:pPr>
              <w:pStyle w:val="TAL"/>
              <w:rPr>
                <w:lang w:val="fr-FR" w:eastAsia="en-US"/>
              </w:rPr>
            </w:pPr>
            <w:r w:rsidRPr="004D0DAA">
              <w:rPr>
                <w:lang w:val="fr-FR" w:eastAsia="en-US"/>
              </w:rPr>
              <w:t>&lt; PSI3 bis message content &gt; ::=</w:t>
            </w:r>
          </w:p>
          <w:p w14:paraId="5EAA8784"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4F1DC93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PSI3_CHANGE_MARK </w:t>
            </w:r>
            <w:r w:rsidRPr="004D0DAA">
              <w:rPr>
                <w:lang w:eastAsia="en-US"/>
              </w:rPr>
              <w:t>: bit (2) &gt;</w:t>
            </w:r>
          </w:p>
          <w:p w14:paraId="44BC286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PSI3_BIS_INDEX </w:t>
            </w:r>
            <w:r w:rsidRPr="004D0DAA">
              <w:rPr>
                <w:lang w:eastAsia="en-US"/>
              </w:rPr>
              <w:t>: bit (4) &gt;</w:t>
            </w:r>
          </w:p>
          <w:p w14:paraId="0166DBD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PSI3_BIS_COUNT </w:t>
            </w:r>
            <w:r w:rsidRPr="004D0DAA">
              <w:rPr>
                <w:lang w:eastAsia="en-US"/>
              </w:rPr>
              <w:t>: bit (4) &gt;</w:t>
            </w:r>
          </w:p>
          <w:p w14:paraId="620BF069"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Neighbour cell parameters</w:t>
            </w:r>
            <w:r w:rsidRPr="004D0DAA">
              <w:rPr>
                <w:lang w:eastAsia="en-US"/>
              </w:rPr>
              <w:t xml:space="preserve"> : { 1 &lt; Neighbour cell params struct &gt; } ** 0 &gt;</w:t>
            </w:r>
          </w:p>
          <w:p w14:paraId="7F12E64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Neighbour Cell parameters 2 </w:t>
            </w:r>
            <w:r w:rsidRPr="004D0DAA">
              <w:rPr>
                <w:lang w:eastAsia="en-US"/>
              </w:rPr>
              <w:t>: { 1 &lt; Neighbour Cell params 2 struct &gt; } ** 0 &gt;</w:t>
            </w:r>
          </w:p>
          <w:p w14:paraId="131919F2"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w:t>
            </w:r>
            <w:r w:rsidRPr="004D0DAA">
              <w:rPr>
                <w:lang w:eastAsia="en-US"/>
              </w:rPr>
              <w:tab/>
              <w:t>bit** = &lt; no string &gt;</w:t>
            </w:r>
          </w:p>
          <w:p w14:paraId="45051EF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1998 additions:</w:t>
            </w:r>
          </w:p>
          <w:p w14:paraId="708209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LSA Parameters</w:t>
            </w:r>
            <w:r w:rsidRPr="004D0DAA">
              <w:rPr>
                <w:lang w:eastAsia="en-US"/>
              </w:rPr>
              <w:t xml:space="preserve"> : &lt; LSA Parameters IE &gt;&gt; }</w:t>
            </w:r>
          </w:p>
          <w:p w14:paraId="47C3B04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null | 0</w:t>
            </w:r>
            <w:r w:rsidRPr="004D0DAA">
              <w:rPr>
                <w:lang w:eastAsia="en-US"/>
              </w:rPr>
              <w:tab/>
              <w:t>bit** = &lt; no string &gt;</w:t>
            </w:r>
          </w:p>
          <w:p w14:paraId="394E4BE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1999 additions:</w:t>
            </w:r>
          </w:p>
          <w:p w14:paraId="0BC32BB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COMPACT Neighbour Cell Parameters</w:t>
            </w:r>
            <w:r w:rsidRPr="004D0DAA">
              <w:rPr>
                <w:lang w:eastAsia="en-US"/>
              </w:rPr>
              <w:t xml:space="preserve"> : { 1 &lt; COMPACT Neighbour Cell params 2 struct &gt; } ** 0 &gt;</w:t>
            </w:r>
          </w:p>
          <w:p w14:paraId="59711845"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 xml:space="preserve">The value </w:t>
            </w:r>
            <w:r w:rsidRPr="004D0DAA">
              <w:rPr>
                <w:i/>
                <w:lang w:eastAsia="en-US"/>
              </w:rPr>
              <w:t>'</w:t>
            </w:r>
            <w:r w:rsidRPr="004D0DAA">
              <w:rPr>
                <w:i/>
                <w:iCs/>
                <w:lang w:eastAsia="en-US"/>
              </w:rPr>
              <w:t>1</w:t>
            </w:r>
            <w:r w:rsidRPr="004D0DAA">
              <w:rPr>
                <w:i/>
                <w:lang w:eastAsia="en-US"/>
              </w:rPr>
              <w:t>'</w:t>
            </w:r>
            <w:r w:rsidRPr="004D0DAA">
              <w:rPr>
                <w:i/>
                <w:iCs/>
                <w:lang w:eastAsia="en-US"/>
              </w:rPr>
              <w:t xml:space="preserve"> was used in an earlier version of the protocol and shall not be used.</w:t>
            </w:r>
          </w:p>
          <w:p w14:paraId="62BCF4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w:t>
            </w:r>
            <w:r w:rsidRPr="004D0DAA">
              <w:rPr>
                <w:lang w:eastAsia="en-US"/>
              </w:rPr>
              <w:tab/>
              <w:t>bit** = &lt; no string &gt;</w:t>
            </w:r>
          </w:p>
          <w:p w14:paraId="05FD69E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Rel-4 additions:</w:t>
            </w:r>
          </w:p>
          <w:p w14:paraId="65D4D015"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lang w:val="fr-FR" w:eastAsia="en-US"/>
              </w:rPr>
              <w:t>CCN Support Description</w:t>
            </w:r>
            <w:r w:rsidRPr="004D0DAA">
              <w:rPr>
                <w:lang w:val="fr-FR" w:eastAsia="en-US"/>
              </w:rPr>
              <w:t xml:space="preserve"> : &lt; CCN Support Description struct &gt;&gt; }</w:t>
            </w:r>
          </w:p>
          <w:p w14:paraId="303F9790"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w:t>
            </w:r>
            <w:r w:rsidRPr="004D0DAA">
              <w:rPr>
                <w:lang w:eastAsia="en-US"/>
              </w:rPr>
              <w:tab/>
              <w:t>null | 0</w:t>
            </w:r>
            <w:r w:rsidRPr="004D0DAA">
              <w:rPr>
                <w:lang w:eastAsia="en-US"/>
              </w:rPr>
              <w:tab/>
              <w:t>bit** = &lt; no string &gt;</w:t>
            </w:r>
          </w:p>
          <w:p w14:paraId="12A6324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Rel-5 additions:</w:t>
            </w:r>
          </w:p>
          <w:p w14:paraId="0CE4764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Iu Mode Neighbour Cell Parameters</w:t>
            </w:r>
            <w:r w:rsidRPr="004D0DAA">
              <w:rPr>
                <w:lang w:eastAsia="en-US"/>
              </w:rPr>
              <w:t xml:space="preserve"> : { 1 &lt; Iu Mode Neighbour Cell params struct &gt;</w:t>
            </w:r>
            <w:r w:rsidRPr="004D0DAA">
              <w:rPr>
                <w:bCs/>
                <w:lang w:eastAsia="en-US"/>
              </w:rPr>
              <w:t xml:space="preserve"> </w:t>
            </w:r>
            <w:r w:rsidRPr="004D0DAA">
              <w:rPr>
                <w:lang w:eastAsia="en-US"/>
              </w:rPr>
              <w:t>} ** 0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xml:space="preserve">--Supplementary information for dual </w:t>
            </w:r>
            <w:r w:rsidRPr="004D0DAA">
              <w:rPr>
                <w:i/>
                <w:iCs/>
                <w:lang w:eastAsia="en-US"/>
              </w:rPr>
              <w:t>Iu mode</w:t>
            </w:r>
            <w:r w:rsidRPr="004D0DAA">
              <w:rPr>
                <w:i/>
                <w:lang w:eastAsia="en-US"/>
              </w:rPr>
              <w:t xml:space="preserve"> and </w:t>
            </w:r>
            <w:r w:rsidRPr="004D0DAA">
              <w:rPr>
                <w:i/>
                <w:iCs/>
                <w:lang w:eastAsia="en-US"/>
              </w:rPr>
              <w:t>A/Gb mode</w:t>
            </w:r>
            <w:r w:rsidRPr="004D0DAA">
              <w:rPr>
                <w:i/>
                <w:lang w:eastAsia="en-US"/>
              </w:rPr>
              <w:t xml:space="preserve"> capable cells</w:t>
            </w:r>
          </w:p>
          <w:p w14:paraId="339A9E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Iu mode Only Neighbour Cell Parameters</w:t>
            </w:r>
            <w:r w:rsidRPr="004D0DAA">
              <w:rPr>
                <w:lang w:eastAsia="en-US"/>
              </w:rPr>
              <w:t xml:space="preserve"> : </w:t>
            </w:r>
          </w:p>
          <w:p w14:paraId="4DCC938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 &lt; Iu mode Only Neighbour Cell params struct &gt; } ** 0 &gt;</w:t>
            </w:r>
          </w:p>
          <w:p w14:paraId="3C4420F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 }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1CB29BA6" w14:textId="77777777" w:rsidR="00711444" w:rsidRPr="004D0DAA" w:rsidRDefault="00711444" w:rsidP="00AA2A4C">
            <w:pPr>
              <w:pStyle w:val="TAL"/>
              <w:rPr>
                <w:lang w:eastAsia="en-US"/>
              </w:rPr>
            </w:pPr>
            <w:r w:rsidRPr="004D0DAA">
              <w:rPr>
                <w:lang w:eastAsia="en-US"/>
              </w:rPr>
              <w:tab/>
              <w:t>! &lt; Distribution part error : bit (*) = &lt; no string &gt; &gt; ;</w:t>
            </w:r>
          </w:p>
          <w:p w14:paraId="0B09EDF3" w14:textId="77777777" w:rsidR="00711444" w:rsidRPr="004D0DAA" w:rsidRDefault="00711444" w:rsidP="00AA2A4C">
            <w:pPr>
              <w:pStyle w:val="TAL"/>
              <w:rPr>
                <w:lang w:eastAsia="en-US"/>
              </w:rPr>
            </w:pPr>
          </w:p>
        </w:tc>
      </w:tr>
      <w:tr w:rsidR="00711444" w:rsidRPr="004D0DAA" w14:paraId="3C3BAC06" w14:textId="77777777" w:rsidTr="00AA2A4C">
        <w:tblPrEx>
          <w:tblCellMar>
            <w:top w:w="0" w:type="dxa"/>
            <w:bottom w:w="0" w:type="dxa"/>
          </w:tblCellMar>
        </w:tblPrEx>
        <w:trPr>
          <w:cantSplit/>
        </w:trPr>
        <w:tc>
          <w:tcPr>
            <w:tcW w:w="9848" w:type="dxa"/>
          </w:tcPr>
          <w:p w14:paraId="1738E59E" w14:textId="77777777" w:rsidR="00711444" w:rsidRPr="004D0DAA" w:rsidRDefault="00711444" w:rsidP="00AA2A4C">
            <w:pPr>
              <w:pStyle w:val="TAL"/>
              <w:rPr>
                <w:lang w:eastAsia="en-US"/>
              </w:rPr>
            </w:pPr>
            <w:r w:rsidRPr="004D0DAA">
              <w:rPr>
                <w:lang w:eastAsia="en-US"/>
              </w:rPr>
              <w:t>&lt; Neighbour cell params struct &gt; ::=</w:t>
            </w:r>
          </w:p>
          <w:p w14:paraId="7CCD97B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START_FREQUENCY</w:t>
            </w:r>
            <w:r w:rsidRPr="004D0DAA">
              <w:rPr>
                <w:lang w:eastAsia="en-US"/>
              </w:rPr>
              <w:t xml:space="preserve"> : bit (10) &gt;</w:t>
            </w:r>
          </w:p>
          <w:p w14:paraId="764245F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selection params</w:t>
            </w:r>
            <w:r w:rsidRPr="004D0DAA">
              <w:rPr>
                <w:lang w:eastAsia="en-US"/>
              </w:rPr>
              <w:t xml:space="preserve"> : &lt; Cell Selection struct &gt; &gt;</w:t>
            </w:r>
          </w:p>
          <w:p w14:paraId="6782B93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1D0884D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FREQ_DIFF_LENGTH</w:t>
            </w:r>
            <w:r w:rsidRPr="004D0DAA">
              <w:rPr>
                <w:lang w:eastAsia="en-US"/>
              </w:rPr>
              <w:t xml:space="preserve"> : bit (3) &gt;</w:t>
            </w:r>
          </w:p>
          <w:p w14:paraId="6ADE0539"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 xml:space="preserve">FREQUENCY_DIFF </w:t>
            </w:r>
            <w:r w:rsidRPr="004D0DAA">
              <w:rPr>
                <w:lang w:eastAsia="en-US"/>
              </w:rPr>
              <w:t>: bit (1 + val(FREQ_DIFF_LENGTH)) &gt;</w:t>
            </w:r>
          </w:p>
          <w:p w14:paraId="627B4DF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Cell selection params</w:t>
            </w:r>
            <w:r w:rsidRPr="004D0DAA">
              <w:rPr>
                <w:lang w:eastAsia="en-US"/>
              </w:rPr>
              <w:t xml:space="preserve"> : &lt; Cell Selection struct &gt; &gt; } * (val(NR_OF_REMAINING_CELLS)) ;</w:t>
            </w:r>
          </w:p>
          <w:p w14:paraId="2F6B2372" w14:textId="77777777" w:rsidR="00711444" w:rsidRPr="004D0DAA" w:rsidRDefault="00711444" w:rsidP="00AA2A4C">
            <w:pPr>
              <w:pStyle w:val="TAL"/>
              <w:rPr>
                <w:lang w:eastAsia="en-US"/>
              </w:rPr>
            </w:pPr>
          </w:p>
        </w:tc>
      </w:tr>
      <w:tr w:rsidR="00711444" w:rsidRPr="004D0DAA" w14:paraId="72EFE092" w14:textId="77777777" w:rsidTr="00AA2A4C">
        <w:tblPrEx>
          <w:tblCellMar>
            <w:top w:w="0" w:type="dxa"/>
            <w:bottom w:w="0" w:type="dxa"/>
          </w:tblCellMar>
        </w:tblPrEx>
        <w:trPr>
          <w:cantSplit/>
        </w:trPr>
        <w:tc>
          <w:tcPr>
            <w:tcW w:w="9848" w:type="dxa"/>
          </w:tcPr>
          <w:p w14:paraId="58433353" w14:textId="77777777" w:rsidR="00711444" w:rsidRPr="004D0DAA" w:rsidRDefault="00711444" w:rsidP="00AA2A4C">
            <w:pPr>
              <w:pStyle w:val="TAL"/>
              <w:rPr>
                <w:lang w:eastAsia="en-US"/>
              </w:rPr>
            </w:pPr>
            <w:r w:rsidRPr="004D0DAA">
              <w:rPr>
                <w:lang w:eastAsia="en-US"/>
              </w:rPr>
              <w:t>&lt; Cell Selection struct &gt; ::=</w:t>
            </w:r>
          </w:p>
          <w:p w14:paraId="2514EC7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BSIC </w:t>
            </w:r>
            <w:r w:rsidRPr="004D0DAA">
              <w:rPr>
                <w:lang w:eastAsia="en-US"/>
              </w:rPr>
              <w:t>: bit (6) &gt;</w:t>
            </w:r>
          </w:p>
          <w:p w14:paraId="2EC1627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CELL_BAR_ACCESS_2 </w:t>
            </w:r>
            <w:r w:rsidRPr="004D0DAA">
              <w:rPr>
                <w:lang w:eastAsia="en-US"/>
              </w:rPr>
              <w:t>: bit &gt;</w:t>
            </w:r>
          </w:p>
          <w:p w14:paraId="4BEBF82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369CBAF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SAME_RA_AS_SERVING_CELL </w:t>
            </w:r>
            <w:r w:rsidRPr="004D0DAA">
              <w:rPr>
                <w:lang w:eastAsia="en-US"/>
              </w:rPr>
              <w:t>: bit (1) &gt;</w:t>
            </w:r>
          </w:p>
          <w:p w14:paraId="35BDE07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GPRS_RXLEV_ACCESS_MIN </w:t>
            </w:r>
            <w:r w:rsidRPr="004D0DAA">
              <w:rPr>
                <w:lang w:eastAsia="en-US"/>
              </w:rPr>
              <w:t>: bit (6) &gt;</w:t>
            </w:r>
          </w:p>
          <w:p w14:paraId="5059E2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GPRS_MS_TXPWR_MAX_CCH </w:t>
            </w:r>
            <w:r w:rsidRPr="004D0DAA">
              <w:rPr>
                <w:lang w:eastAsia="en-US"/>
              </w:rPr>
              <w:t>: bit (5) &gt; }</w:t>
            </w:r>
          </w:p>
          <w:p w14:paraId="235F49B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GPRS_TEMPORARY_OFFSET </w:t>
            </w:r>
            <w:r w:rsidRPr="004D0DAA">
              <w:rPr>
                <w:lang w:eastAsia="en-US"/>
              </w:rPr>
              <w:t>: bit (3) &gt;</w:t>
            </w:r>
          </w:p>
          <w:p w14:paraId="199C9B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GPRS_PENALTY_TIME </w:t>
            </w:r>
            <w:r w:rsidRPr="004D0DAA">
              <w:rPr>
                <w:lang w:eastAsia="en-US"/>
              </w:rPr>
              <w:t>: bit (5) &gt; }</w:t>
            </w:r>
          </w:p>
          <w:p w14:paraId="27F3F3F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GPRS_RESELECT_OFFSET </w:t>
            </w:r>
            <w:r w:rsidRPr="004D0DAA">
              <w:rPr>
                <w:lang w:eastAsia="en-US"/>
              </w:rPr>
              <w:t>: bit (5) &gt; }</w:t>
            </w:r>
          </w:p>
          <w:p w14:paraId="54E3532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HCS params </w:t>
            </w:r>
            <w:r w:rsidRPr="004D0DAA">
              <w:rPr>
                <w:lang w:eastAsia="en-US"/>
              </w:rPr>
              <w:t>: &lt; HCS struct &gt; &gt; }</w:t>
            </w:r>
          </w:p>
          <w:p w14:paraId="2FFAB646"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 xml:space="preserve">SI13_PBCCH_LOCATION </w:t>
            </w:r>
            <w:r w:rsidRPr="004D0DAA">
              <w:rPr>
                <w:lang w:val="fr-FR" w:eastAsia="en-US"/>
              </w:rPr>
              <w:t>: &lt; SI13_PBCCH_LOCATION struct &gt; &gt; } ;</w:t>
            </w:r>
          </w:p>
          <w:p w14:paraId="402F5580" w14:textId="77777777" w:rsidR="00711444" w:rsidRPr="004D0DAA" w:rsidRDefault="00711444" w:rsidP="00AA2A4C">
            <w:pPr>
              <w:pStyle w:val="TAL"/>
              <w:rPr>
                <w:lang w:val="fr-FR" w:eastAsia="en-US"/>
              </w:rPr>
            </w:pPr>
          </w:p>
        </w:tc>
      </w:tr>
      <w:tr w:rsidR="00711444" w:rsidRPr="004D0DAA" w14:paraId="2A7BD73E" w14:textId="77777777" w:rsidTr="00AA2A4C">
        <w:tblPrEx>
          <w:tblCellMar>
            <w:top w:w="0" w:type="dxa"/>
            <w:bottom w:w="0" w:type="dxa"/>
          </w:tblCellMar>
        </w:tblPrEx>
        <w:trPr>
          <w:cantSplit/>
        </w:trPr>
        <w:tc>
          <w:tcPr>
            <w:tcW w:w="9848" w:type="dxa"/>
          </w:tcPr>
          <w:p w14:paraId="77872F68" w14:textId="77777777" w:rsidR="00711444" w:rsidRPr="004D0DAA" w:rsidRDefault="00711444" w:rsidP="00AA2A4C">
            <w:pPr>
              <w:pStyle w:val="TAL"/>
              <w:rPr>
                <w:lang w:val="fr-FR" w:eastAsia="en-US"/>
              </w:rPr>
            </w:pPr>
            <w:r w:rsidRPr="004D0DAA">
              <w:rPr>
                <w:lang w:val="fr-FR" w:eastAsia="en-US"/>
              </w:rPr>
              <w:t>&lt; SI13_PBCCH_LOCATION struct &gt; ::=</w:t>
            </w:r>
          </w:p>
          <w:p w14:paraId="1832980D"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0</w:t>
            </w:r>
            <w:r w:rsidRPr="004D0DAA">
              <w:rPr>
                <w:lang w:val="fr-FR" w:eastAsia="en-US"/>
              </w:rPr>
              <w:tab/>
              <w:t xml:space="preserve">&lt; </w:t>
            </w:r>
            <w:r w:rsidRPr="004D0DAA">
              <w:rPr>
                <w:b/>
                <w:lang w:val="fr-FR" w:eastAsia="en-US"/>
              </w:rPr>
              <w:t>SI13_LOCATION</w:t>
            </w:r>
            <w:r w:rsidRPr="004D0DAA">
              <w:rPr>
                <w:lang w:val="fr-FR" w:eastAsia="en-US"/>
              </w:rPr>
              <w:t xml:space="preserve"> : bit (1) &gt;</w:t>
            </w:r>
          </w:p>
          <w:p w14:paraId="67FFFA85"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1</w:t>
            </w:r>
            <w:r w:rsidRPr="004D0DAA">
              <w:rPr>
                <w:lang w:eastAsia="en-US"/>
              </w:rPr>
              <w:tab/>
              <w:t xml:space="preserve">&lt; </w:t>
            </w:r>
            <w:r w:rsidRPr="004D0DAA">
              <w:rPr>
                <w:b/>
                <w:lang w:eastAsia="en-US"/>
              </w:rPr>
              <w:t>PBCCH_LOCATION</w:t>
            </w:r>
            <w:r w:rsidRPr="004D0DAA">
              <w:rPr>
                <w:lang w:eastAsia="en-US"/>
              </w:rPr>
              <w:t xml:space="preserve"> : bit (2) &gt;</w:t>
            </w:r>
          </w:p>
          <w:p w14:paraId="623AAB5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PSI1_REPEAT_PERIOD</w:t>
            </w:r>
            <w:r w:rsidRPr="004D0DAA">
              <w:rPr>
                <w:lang w:eastAsia="en-US"/>
              </w:rPr>
              <w:t xml:space="preserve"> : bit (4) &gt; } ;</w:t>
            </w:r>
          </w:p>
          <w:p w14:paraId="7FCB0495" w14:textId="77777777" w:rsidR="00711444" w:rsidRPr="004D0DAA" w:rsidRDefault="00711444" w:rsidP="00AA2A4C">
            <w:pPr>
              <w:pStyle w:val="TAL"/>
              <w:rPr>
                <w:lang w:eastAsia="en-US"/>
              </w:rPr>
            </w:pPr>
          </w:p>
        </w:tc>
      </w:tr>
      <w:tr w:rsidR="00711444" w:rsidRPr="004D0DAA" w14:paraId="09283C79" w14:textId="77777777" w:rsidTr="00AA2A4C">
        <w:tblPrEx>
          <w:tblCellMar>
            <w:top w:w="0" w:type="dxa"/>
            <w:bottom w:w="0" w:type="dxa"/>
          </w:tblCellMar>
        </w:tblPrEx>
        <w:trPr>
          <w:cantSplit/>
        </w:trPr>
        <w:tc>
          <w:tcPr>
            <w:tcW w:w="9848" w:type="dxa"/>
          </w:tcPr>
          <w:p w14:paraId="6BFD3CF6" w14:textId="77777777" w:rsidR="00711444" w:rsidRPr="004D0DAA" w:rsidRDefault="00711444" w:rsidP="00AA2A4C">
            <w:pPr>
              <w:pStyle w:val="TAL"/>
              <w:rPr>
                <w:lang w:eastAsia="en-US"/>
              </w:rPr>
            </w:pPr>
            <w:r w:rsidRPr="004D0DAA">
              <w:rPr>
                <w:lang w:eastAsia="en-US"/>
              </w:rPr>
              <w:t>&lt; HCS struct &gt; ::=</w:t>
            </w:r>
          </w:p>
          <w:p w14:paraId="6D18A89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PRIORITY_CLASS </w:t>
            </w:r>
            <w:r w:rsidRPr="004D0DAA">
              <w:rPr>
                <w:lang w:eastAsia="en-US"/>
              </w:rPr>
              <w:t>: bit (3) &gt;</w:t>
            </w:r>
          </w:p>
          <w:p w14:paraId="6608B98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HCS_THR </w:t>
            </w:r>
            <w:r w:rsidRPr="004D0DAA">
              <w:rPr>
                <w:lang w:eastAsia="en-US"/>
              </w:rPr>
              <w:t>: bit (5) &gt; ;</w:t>
            </w:r>
          </w:p>
          <w:p w14:paraId="77C2D9BE" w14:textId="77777777" w:rsidR="00711444" w:rsidRPr="004D0DAA" w:rsidRDefault="00711444" w:rsidP="00AA2A4C">
            <w:pPr>
              <w:pStyle w:val="TAL"/>
              <w:rPr>
                <w:lang w:eastAsia="en-US"/>
              </w:rPr>
            </w:pPr>
          </w:p>
        </w:tc>
      </w:tr>
      <w:tr w:rsidR="00711444" w:rsidRPr="004D0DAA" w14:paraId="23549DE9" w14:textId="77777777" w:rsidTr="00AA2A4C">
        <w:tblPrEx>
          <w:tblCellMar>
            <w:top w:w="0" w:type="dxa"/>
            <w:bottom w:w="0" w:type="dxa"/>
          </w:tblCellMar>
        </w:tblPrEx>
        <w:trPr>
          <w:cantSplit/>
        </w:trPr>
        <w:tc>
          <w:tcPr>
            <w:tcW w:w="9848" w:type="dxa"/>
          </w:tcPr>
          <w:p w14:paraId="67A4978A" w14:textId="77777777" w:rsidR="00711444" w:rsidRPr="004D0DAA" w:rsidRDefault="00711444" w:rsidP="00AA2A4C">
            <w:pPr>
              <w:pStyle w:val="TAL"/>
              <w:rPr>
                <w:lang w:eastAsia="en-US"/>
              </w:rPr>
            </w:pPr>
            <w:r w:rsidRPr="004D0DAA">
              <w:rPr>
                <w:lang w:eastAsia="en-US"/>
              </w:rPr>
              <w:t>&lt; Neighbour Cell params 2 struct &gt; ::=</w:t>
            </w:r>
          </w:p>
          <w:p w14:paraId="30568211" w14:textId="77777777" w:rsidR="00711444" w:rsidRPr="004D0DAA" w:rsidRDefault="00711444" w:rsidP="00AA2A4C">
            <w:pPr>
              <w:pStyle w:val="TAL"/>
              <w:rPr>
                <w:lang w:eastAsia="en-US"/>
              </w:rPr>
            </w:pPr>
            <w:r w:rsidRPr="004D0DAA">
              <w:rPr>
                <w:lang w:eastAsia="en-US"/>
              </w:rPr>
              <w:tab/>
              <w:t>{</w:t>
            </w:r>
            <w:r w:rsidRPr="004D0DAA">
              <w:rPr>
                <w:lang w:eastAsia="en-US"/>
              </w:rPr>
              <w:tab/>
              <w:t>00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w:t>
            </w:r>
          </w:p>
          <w:p w14:paraId="01C8A67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 NCP2 Repeat struct &gt;</w:t>
            </w:r>
          </w:p>
          <w:p w14:paraId="09A6C00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CELL_PARAMS_POINTER</w:t>
            </w:r>
            <w:r w:rsidRPr="004D0DAA">
              <w:rPr>
                <w:lang w:eastAsia="en-US"/>
              </w:rPr>
              <w:t xml:space="preserve"> : bit (2) &gt; } ** 0</w:t>
            </w:r>
            <w:r w:rsidRPr="004D0DAA">
              <w:rPr>
                <w:lang w:eastAsia="en-US"/>
              </w:rPr>
              <w:tab/>
            </w:r>
            <w:r w:rsidRPr="004D0DAA">
              <w:rPr>
                <w:lang w:eastAsia="en-US"/>
              </w:rPr>
              <w:tab/>
            </w:r>
            <w:r w:rsidRPr="004D0DAA">
              <w:rPr>
                <w:lang w:eastAsia="en-US"/>
              </w:rPr>
              <w:tab/>
            </w:r>
            <w:r w:rsidRPr="004D0DAA">
              <w:rPr>
                <w:i/>
                <w:lang w:eastAsia="en-US"/>
              </w:rPr>
              <w:t>--Up to four pointers to the 'Neigbour parameter set</w:t>
            </w:r>
          </w:p>
          <w:p w14:paraId="5D20B69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Neighbour parameter set</w:t>
            </w:r>
            <w:r w:rsidRPr="004D0DAA">
              <w:rPr>
                <w:lang w:eastAsia="en-US"/>
              </w:rPr>
              <w:t xml:space="preserve"> : &lt; Neighbour parameter set struct &gt; &gt; * (1 + max(val(CELL_PARAMS_POINTER)))</w:t>
            </w:r>
          </w:p>
          <w:p w14:paraId="4B0A841C" w14:textId="77777777" w:rsidR="00711444" w:rsidRPr="004D0DAA" w:rsidRDefault="00711444" w:rsidP="00AA2A4C">
            <w:pPr>
              <w:pStyle w:val="TAL"/>
              <w:rPr>
                <w:lang w:eastAsia="en-US"/>
              </w:rPr>
            </w:pPr>
            <w:r w:rsidRPr="004D0DAA">
              <w:rPr>
                <w:lang w:eastAsia="en-US"/>
              </w:rPr>
              <w:tab/>
              <w:t>!</w:t>
            </w:r>
            <w:r w:rsidRPr="004D0DAA">
              <w:rPr>
                <w:lang w:eastAsia="en-US"/>
              </w:rPr>
              <w:tab/>
              <w:t>&lt; Message escape: { 01 | 10 | 11 } bit** = &lt; no string &gt;&gt; } ;</w:t>
            </w:r>
            <w:r w:rsidRPr="004D0DAA">
              <w:rPr>
                <w:lang w:eastAsia="en-US"/>
              </w:rPr>
              <w:tab/>
            </w:r>
            <w:r w:rsidRPr="004D0DAA">
              <w:rPr>
                <w:lang w:eastAsia="en-US"/>
              </w:rPr>
              <w:tab/>
              <w:t xml:space="preserve">-- </w:t>
            </w:r>
            <w:r w:rsidRPr="004D0DAA">
              <w:rPr>
                <w:i/>
                <w:lang w:eastAsia="en-US"/>
              </w:rPr>
              <w:t>Reserved for future use</w:t>
            </w:r>
          </w:p>
          <w:p w14:paraId="6D7B03FB" w14:textId="77777777" w:rsidR="00711444" w:rsidRPr="004D0DAA" w:rsidRDefault="00711444" w:rsidP="00AA2A4C">
            <w:pPr>
              <w:pStyle w:val="TAL"/>
              <w:rPr>
                <w:lang w:eastAsia="en-US"/>
              </w:rPr>
            </w:pPr>
          </w:p>
        </w:tc>
      </w:tr>
      <w:tr w:rsidR="00711444" w:rsidRPr="004D0DAA" w14:paraId="23107A7E" w14:textId="77777777" w:rsidTr="00AA2A4C">
        <w:tblPrEx>
          <w:tblCellMar>
            <w:top w:w="0" w:type="dxa"/>
            <w:bottom w:w="0" w:type="dxa"/>
          </w:tblCellMar>
        </w:tblPrEx>
        <w:trPr>
          <w:cantSplit/>
        </w:trPr>
        <w:tc>
          <w:tcPr>
            <w:tcW w:w="9848" w:type="dxa"/>
          </w:tcPr>
          <w:p w14:paraId="003AB283" w14:textId="77777777" w:rsidR="00711444" w:rsidRPr="004D0DAA" w:rsidRDefault="00711444" w:rsidP="00AA2A4C">
            <w:pPr>
              <w:pStyle w:val="TAL"/>
              <w:rPr>
                <w:lang w:eastAsia="en-US"/>
              </w:rPr>
            </w:pPr>
            <w:r w:rsidRPr="004D0DAA">
              <w:rPr>
                <w:lang w:eastAsia="en-US"/>
              </w:rPr>
              <w:lastRenderedPageBreak/>
              <w:t>&lt; NCP2 Repeat struct &gt; ::=</w:t>
            </w:r>
          </w:p>
          <w:p w14:paraId="66DF0E46" w14:textId="77777777" w:rsidR="00711444" w:rsidRPr="004D0DAA" w:rsidRDefault="00711444" w:rsidP="00AA2A4C">
            <w:pPr>
              <w:pStyle w:val="TAL"/>
              <w:rPr>
                <w:lang w:eastAsia="en-US"/>
              </w:rPr>
            </w:pPr>
          </w:p>
          <w:p w14:paraId="16338699" w14:textId="77777777" w:rsidR="00711444" w:rsidRPr="004D0DAA" w:rsidRDefault="00711444" w:rsidP="00AA2A4C">
            <w:pPr>
              <w:pStyle w:val="TAL"/>
              <w:rPr>
                <w:i/>
                <w:lang w:eastAsia="en-US"/>
              </w:rPr>
            </w:pPr>
            <w:r w:rsidRPr="004D0DAA">
              <w:rPr>
                <w:lang w:eastAsia="en-US"/>
              </w:rPr>
              <w:tab/>
              <w:t>{ 1</w:t>
            </w:r>
            <w:r w:rsidRPr="004D0DAA">
              <w:rPr>
                <w:lang w:eastAsia="en-US"/>
              </w:rPr>
              <w:tab/>
              <w:t xml:space="preserve">&lt; </w:t>
            </w:r>
            <w:r w:rsidRPr="004D0DAA">
              <w:rPr>
                <w:b/>
                <w:lang w:eastAsia="en-US"/>
              </w:rPr>
              <w:t>START_FREQUENCY</w:t>
            </w:r>
            <w:r w:rsidRPr="004D0DAA">
              <w:rPr>
                <w:lang w:eastAsia="en-US"/>
              </w:rPr>
              <w:t xml:space="preserve"> : bit (10) &gt;</w:t>
            </w:r>
            <w:r w:rsidRPr="004D0DAA">
              <w:rPr>
                <w:lang w:eastAsia="en-US"/>
              </w:rPr>
              <w:tab/>
            </w:r>
            <w:r w:rsidRPr="004D0DAA">
              <w:rPr>
                <w:lang w:eastAsia="en-US"/>
              </w:rPr>
              <w:tab/>
            </w:r>
            <w:r w:rsidRPr="004D0DAA">
              <w:rPr>
                <w:lang w:eastAsia="en-US"/>
              </w:rPr>
              <w:tab/>
              <w:t xml:space="preserve">-- </w:t>
            </w:r>
            <w:r w:rsidRPr="004D0DAA">
              <w:rPr>
                <w:i/>
                <w:lang w:eastAsia="en-US"/>
              </w:rPr>
              <w:t>Multiple START FREQ/FREQ DIFF sets may be defined</w:t>
            </w:r>
          </w:p>
          <w:p w14:paraId="51BF6469" w14:textId="77777777" w:rsidR="00711444" w:rsidRPr="004D0DAA" w:rsidRDefault="00711444" w:rsidP="00AA2A4C">
            <w:pPr>
              <w:pStyle w:val="TAL"/>
              <w:rPr>
                <w:lang w:eastAsia="en-US"/>
              </w:rPr>
            </w:pPr>
            <w:r w:rsidRPr="004D0DAA">
              <w:rPr>
                <w:lang w:eastAsia="en-US"/>
              </w:rPr>
              <w:tab/>
            </w:r>
            <w:r w:rsidRPr="004D0DAA">
              <w:rPr>
                <w:lang w:eastAsia="en-US"/>
              </w:rPr>
              <w:tab/>
              <w:t>&lt; NCP2 Property struct &gt;</w:t>
            </w:r>
          </w:p>
          <w:p w14:paraId="367BFF44"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NR_OF_REMAINING_CELLS</w:t>
            </w:r>
            <w:r w:rsidRPr="004D0DAA">
              <w:rPr>
                <w:lang w:eastAsia="en-US"/>
              </w:rPr>
              <w:t xml:space="preserve"> : { bit (4) - 0000 } &gt;</w:t>
            </w:r>
          </w:p>
          <w:p w14:paraId="4DFC95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FREQ_DIFF_LENGTH</w:t>
            </w:r>
            <w:r w:rsidRPr="004D0DAA">
              <w:rPr>
                <w:lang w:eastAsia="en-US"/>
              </w:rPr>
              <w:t xml:space="preserve"> : bit (3) &gt;</w:t>
            </w:r>
          </w:p>
          <w:p w14:paraId="6DFFC8A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FREQUENCY_DIFF</w:t>
            </w:r>
            <w:r w:rsidRPr="004D0DAA">
              <w:rPr>
                <w:lang w:eastAsia="en-US"/>
              </w:rPr>
              <w:t xml:space="preserve"> : bit (1 + val(FREQ_DIFF_LENGTH)) &gt;</w:t>
            </w:r>
          </w:p>
          <w:p w14:paraId="08C2A7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NCP2 Property struct &gt; } * (val(NR_OF_REMAINING_CELLS))</w:t>
            </w:r>
          </w:p>
          <w:p w14:paraId="2E91A63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NCP2 Repeat struct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Repeated recursively</w:t>
            </w:r>
          </w:p>
          <w:p w14:paraId="24A2DCBC" w14:textId="77777777" w:rsidR="00711444" w:rsidRPr="004D0DAA" w:rsidRDefault="00711444" w:rsidP="00AA2A4C">
            <w:pPr>
              <w:pStyle w:val="TAL"/>
              <w:rPr>
                <w:lang w:eastAsia="en-US"/>
              </w:rPr>
            </w:pPr>
            <w:r w:rsidRPr="004D0DAA">
              <w:rPr>
                <w:lang w:eastAsia="en-US"/>
              </w:rPr>
              <w:tab/>
            </w:r>
            <w:r w:rsidRPr="004D0DAA">
              <w:rPr>
                <w:lang w:eastAsia="en-US"/>
              </w:rPr>
              <w:tab/>
              <w:t>| 0000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Break recursion (NR_OF_REMAINING_CELLS == 0)</w:t>
            </w:r>
          </w:p>
          <w:p w14:paraId="16FACDB9" w14:textId="77777777" w:rsidR="00711444" w:rsidRPr="004D0DAA" w:rsidRDefault="00711444" w:rsidP="00AA2A4C">
            <w:pPr>
              <w:pStyle w:val="TAL"/>
              <w:rPr>
                <w:lang w:eastAsia="en-US"/>
              </w:rPr>
            </w:pPr>
            <w:r w:rsidRPr="004D0DAA">
              <w:rPr>
                <w:lang w:eastAsia="en-US"/>
              </w:rPr>
              <w:tab/>
              <w:t>| 0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End recursion (no more START_FREQUENCY)</w:t>
            </w:r>
          </w:p>
          <w:p w14:paraId="2EB2F93E" w14:textId="77777777" w:rsidR="00711444" w:rsidRPr="004D0DAA" w:rsidRDefault="00711444" w:rsidP="00AA2A4C">
            <w:pPr>
              <w:pStyle w:val="TAL"/>
              <w:rPr>
                <w:lang w:eastAsia="en-US"/>
              </w:rPr>
            </w:pPr>
          </w:p>
        </w:tc>
      </w:tr>
      <w:tr w:rsidR="00711444" w:rsidRPr="004D0DAA" w14:paraId="48FC3290" w14:textId="77777777" w:rsidTr="00AA2A4C">
        <w:tblPrEx>
          <w:tblCellMar>
            <w:top w:w="0" w:type="dxa"/>
            <w:bottom w:w="0" w:type="dxa"/>
          </w:tblCellMar>
        </w:tblPrEx>
        <w:trPr>
          <w:cantSplit/>
        </w:trPr>
        <w:tc>
          <w:tcPr>
            <w:tcW w:w="9848" w:type="dxa"/>
          </w:tcPr>
          <w:p w14:paraId="4A380BBD" w14:textId="77777777" w:rsidR="00711444" w:rsidRPr="004D0DAA" w:rsidRDefault="00711444" w:rsidP="00AA2A4C">
            <w:pPr>
              <w:pStyle w:val="TAL"/>
              <w:rPr>
                <w:lang w:eastAsia="en-US"/>
              </w:rPr>
            </w:pPr>
            <w:r w:rsidRPr="004D0DAA">
              <w:rPr>
                <w:lang w:eastAsia="en-US"/>
              </w:rPr>
              <w:t>&lt; NCP2 Property struct &gt; ::=</w:t>
            </w:r>
          </w:p>
          <w:p w14:paraId="632734F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7226CEE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CELL_BAR_ACCESS_2</w:t>
            </w:r>
            <w:r w:rsidRPr="004D0DAA">
              <w:rPr>
                <w:lang w:eastAsia="en-US"/>
              </w:rPr>
              <w:t xml:space="preserve"> : bit &gt;</w:t>
            </w:r>
          </w:p>
          <w:p w14:paraId="55DB529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BCC</w:t>
            </w:r>
            <w:r w:rsidRPr="004D0DAA">
              <w:rPr>
                <w:lang w:eastAsia="en-US"/>
              </w:rPr>
              <w:t xml:space="preserve"> : bit (3) &gt; ;</w:t>
            </w:r>
          </w:p>
          <w:p w14:paraId="59FC8EB9" w14:textId="77777777" w:rsidR="00711444" w:rsidRPr="004D0DAA" w:rsidRDefault="00711444" w:rsidP="00AA2A4C">
            <w:pPr>
              <w:pStyle w:val="TAL"/>
              <w:rPr>
                <w:lang w:eastAsia="en-US"/>
              </w:rPr>
            </w:pPr>
          </w:p>
        </w:tc>
      </w:tr>
      <w:tr w:rsidR="00711444" w:rsidRPr="004D0DAA" w14:paraId="0D9C1A01" w14:textId="77777777" w:rsidTr="00AA2A4C">
        <w:tblPrEx>
          <w:tblCellMar>
            <w:top w:w="0" w:type="dxa"/>
            <w:bottom w:w="0" w:type="dxa"/>
          </w:tblCellMar>
        </w:tblPrEx>
        <w:trPr>
          <w:cantSplit/>
        </w:trPr>
        <w:tc>
          <w:tcPr>
            <w:tcW w:w="9848" w:type="dxa"/>
          </w:tcPr>
          <w:p w14:paraId="0E2C929C" w14:textId="77777777" w:rsidR="00711444" w:rsidRPr="004D0DAA" w:rsidRDefault="00711444" w:rsidP="00AA2A4C">
            <w:pPr>
              <w:pStyle w:val="TAL"/>
              <w:rPr>
                <w:lang w:eastAsia="en-US"/>
              </w:rPr>
            </w:pPr>
            <w:r w:rsidRPr="004D0DAA">
              <w:rPr>
                <w:lang w:eastAsia="en-US"/>
              </w:rPr>
              <w:t>&lt; Neighbour parameter set struct &gt; ::=</w:t>
            </w:r>
            <w:r w:rsidRPr="004D0DAA">
              <w:rPr>
                <w:i/>
                <w:lang w:eastAsia="en-US"/>
              </w:rPr>
              <w:t>.</w:t>
            </w:r>
          </w:p>
          <w:p w14:paraId="5F012B69" w14:textId="77777777" w:rsidR="00711444" w:rsidRPr="004D0DAA" w:rsidRDefault="00711444" w:rsidP="00AA2A4C">
            <w:pPr>
              <w:pStyle w:val="TAL"/>
              <w:rPr>
                <w:lang w:eastAsia="en-US"/>
              </w:rPr>
            </w:pPr>
            <w:r w:rsidRPr="004D0DAA">
              <w:rPr>
                <w:lang w:eastAsia="en-US"/>
              </w:rPr>
              <w:tab/>
              <w:t>{ 0 | 1 &lt;</w:t>
            </w:r>
            <w:r w:rsidRPr="004D0DAA">
              <w:rPr>
                <w:b/>
                <w:lang w:eastAsia="en-US"/>
              </w:rPr>
              <w:t xml:space="preserve"> NCC </w:t>
            </w:r>
            <w:r w:rsidRPr="004D0DAA">
              <w:rPr>
                <w:lang w:eastAsia="en-US"/>
              </w:rPr>
              <w:t>: bit (3) &gt; }</w:t>
            </w:r>
          </w:p>
          <w:p w14:paraId="4AEB329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EXC_ACC</w:t>
            </w:r>
            <w:r w:rsidRPr="004D0DAA">
              <w:rPr>
                <w:lang w:eastAsia="en-US"/>
              </w:rPr>
              <w:t xml:space="preserve"> : bit &gt;</w:t>
            </w:r>
          </w:p>
          <w:p w14:paraId="3C007D5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GPRS_RXLEV_ACCESS_MIN</w:t>
            </w:r>
            <w:r w:rsidRPr="004D0DAA">
              <w:rPr>
                <w:lang w:eastAsia="en-US"/>
              </w:rPr>
              <w:t xml:space="preserve"> : bit (6) &gt; }</w:t>
            </w:r>
          </w:p>
          <w:p w14:paraId="79D5F63B"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GPRS_MS_TXPWR_MAX_CCH</w:t>
            </w:r>
            <w:r w:rsidRPr="004D0DAA">
              <w:rPr>
                <w:lang w:eastAsia="en-US"/>
              </w:rPr>
              <w:t xml:space="preserve"> : bit (5) &gt; }</w:t>
            </w:r>
          </w:p>
          <w:p w14:paraId="20541E0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PRIORITY_CLASS</w:t>
            </w:r>
            <w:r w:rsidRPr="004D0DAA">
              <w:rPr>
                <w:lang w:eastAsia="en-US"/>
              </w:rPr>
              <w:t xml:space="preserve"> : bit (3) &gt; }</w:t>
            </w:r>
          </w:p>
          <w:p w14:paraId="561108A0"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HCS_THR</w:t>
            </w:r>
            <w:r w:rsidRPr="004D0DAA">
              <w:rPr>
                <w:lang w:eastAsia="en-US"/>
              </w:rPr>
              <w:t xml:space="preserve"> : bit (5) &gt;}</w:t>
            </w:r>
          </w:p>
          <w:p w14:paraId="6684B54B"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 xml:space="preserve">SI13_PBCCH_LOCATION </w:t>
            </w:r>
            <w:r w:rsidRPr="004D0DAA">
              <w:rPr>
                <w:lang w:val="fr-FR" w:eastAsia="en-US"/>
              </w:rPr>
              <w:t>: &lt; SI13_PBCCH_LOCATION struct &gt; &gt; }</w:t>
            </w:r>
          </w:p>
          <w:p w14:paraId="0C2BEFEA"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GPRS_TEMPORARY_OFFSET</w:t>
            </w:r>
            <w:r w:rsidRPr="004D0DAA">
              <w:rPr>
                <w:lang w:eastAsia="en-US"/>
              </w:rPr>
              <w:t xml:space="preserve"> : bit (3) &gt;</w:t>
            </w:r>
          </w:p>
          <w:p w14:paraId="0C9FAC8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GPRS_PENALTY_TIME</w:t>
            </w:r>
            <w:r w:rsidRPr="004D0DAA">
              <w:rPr>
                <w:lang w:eastAsia="en-US"/>
              </w:rPr>
              <w:t xml:space="preserve"> : bit (5) &gt;</w:t>
            </w:r>
          </w:p>
          <w:p w14:paraId="64AAFD6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GPRS_RESELECT_OFFSET</w:t>
            </w:r>
            <w:r w:rsidRPr="004D0DAA">
              <w:rPr>
                <w:lang w:eastAsia="en-US"/>
              </w:rPr>
              <w:t xml:space="preserve"> : bit (5) &gt; ;</w:t>
            </w:r>
          </w:p>
          <w:p w14:paraId="0EC74483" w14:textId="77777777" w:rsidR="00711444" w:rsidRPr="004D0DAA" w:rsidRDefault="00711444" w:rsidP="00AA2A4C">
            <w:pPr>
              <w:pStyle w:val="TAL"/>
              <w:rPr>
                <w:lang w:eastAsia="en-US"/>
              </w:rPr>
            </w:pPr>
          </w:p>
        </w:tc>
      </w:tr>
      <w:tr w:rsidR="00711444" w:rsidRPr="004D0DAA" w14:paraId="5CC18E4B" w14:textId="77777777" w:rsidTr="00AA2A4C">
        <w:tblPrEx>
          <w:tblCellMar>
            <w:top w:w="0" w:type="dxa"/>
            <w:bottom w:w="0" w:type="dxa"/>
          </w:tblCellMar>
        </w:tblPrEx>
        <w:trPr>
          <w:cantSplit/>
        </w:trPr>
        <w:tc>
          <w:tcPr>
            <w:tcW w:w="9848" w:type="dxa"/>
          </w:tcPr>
          <w:p w14:paraId="389E459F" w14:textId="77777777" w:rsidR="00711444" w:rsidRPr="004D0DAA" w:rsidRDefault="00711444" w:rsidP="00AA2A4C">
            <w:pPr>
              <w:pStyle w:val="TAL"/>
              <w:rPr>
                <w:lang w:eastAsia="en-US"/>
              </w:rPr>
            </w:pPr>
            <w:r w:rsidRPr="004D0DAA">
              <w:rPr>
                <w:lang w:eastAsia="en-US"/>
              </w:rPr>
              <w:t>&lt; COMPACT Neighbour Cell params 2 struct &gt; ::=</w:t>
            </w:r>
          </w:p>
          <w:p w14:paraId="2AE1B383" w14:textId="77777777" w:rsidR="00711444" w:rsidRPr="004D0DAA" w:rsidRDefault="00711444" w:rsidP="00AA2A4C">
            <w:pPr>
              <w:pStyle w:val="TAL"/>
              <w:rPr>
                <w:lang w:eastAsia="en-US"/>
              </w:rPr>
            </w:pPr>
            <w:r w:rsidRPr="004D0DAA">
              <w:rPr>
                <w:lang w:eastAsia="en-US"/>
              </w:rPr>
              <w:tab/>
              <w:t>{ 00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w:t>
            </w:r>
          </w:p>
          <w:p w14:paraId="2FB07EC2"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&lt; COMPACT NCP2 Repeat struct &gt;</w:t>
            </w:r>
          </w:p>
          <w:p w14:paraId="20FBADF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CELL_PARAMS_POINTER</w:t>
            </w:r>
            <w:r w:rsidRPr="004D0DAA">
              <w:rPr>
                <w:lang w:eastAsia="en-US"/>
              </w:rPr>
              <w:t xml:space="preserve"> : bit (2) &gt; } ** 0</w:t>
            </w:r>
            <w:r w:rsidRPr="004D0DAA">
              <w:rPr>
                <w:lang w:eastAsia="en-US"/>
              </w:rPr>
              <w:tab/>
            </w:r>
            <w:r w:rsidRPr="004D0DAA">
              <w:rPr>
                <w:lang w:eastAsia="en-US"/>
              </w:rPr>
              <w:tab/>
              <w:t xml:space="preserve">-- </w:t>
            </w:r>
            <w:r w:rsidRPr="004D0DAA">
              <w:rPr>
                <w:i/>
                <w:lang w:eastAsia="en-US"/>
              </w:rPr>
              <w:t xml:space="preserve">Up to four pointers to the 'C Neighbour parameter set' </w:t>
            </w:r>
          </w:p>
          <w:p w14:paraId="724DE69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COMPACT Neighbour parameter set</w:t>
            </w:r>
            <w:r w:rsidRPr="004D0DAA">
              <w:rPr>
                <w:lang w:eastAsia="en-US"/>
              </w:rPr>
              <w:t xml:space="preserve"> : </w:t>
            </w:r>
            <w:r w:rsidRPr="004D0DAA">
              <w:rPr>
                <w:lang w:eastAsia="en-US"/>
              </w:rPr>
              <w:br/>
            </w:r>
            <w:r w:rsidRPr="004D0DAA">
              <w:rPr>
                <w:lang w:eastAsia="en-US"/>
              </w:rPr>
              <w:tab/>
            </w:r>
            <w:r w:rsidRPr="004D0DAA">
              <w:rPr>
                <w:lang w:eastAsia="en-US"/>
              </w:rPr>
              <w:tab/>
            </w:r>
            <w:r w:rsidRPr="004D0DAA">
              <w:rPr>
                <w:lang w:eastAsia="en-US"/>
              </w:rPr>
              <w:tab/>
              <w:t>&lt;COMPACT Neighbour parameter set struct &gt; &gt; * (1+ max(val(CELL_PARAMS_POINTER)))</w:t>
            </w:r>
          </w:p>
          <w:p w14:paraId="31945DD0" w14:textId="77777777" w:rsidR="00711444" w:rsidRPr="004D0DAA" w:rsidRDefault="00711444" w:rsidP="00AA2A4C">
            <w:pPr>
              <w:pStyle w:val="TAL"/>
              <w:rPr>
                <w:lang w:eastAsia="en-US"/>
              </w:rPr>
            </w:pPr>
            <w:r w:rsidRPr="004D0DAA">
              <w:rPr>
                <w:lang w:eastAsia="en-US"/>
              </w:rPr>
              <w:tab/>
              <w:t>!</w:t>
            </w:r>
            <w:r w:rsidRPr="004D0DAA">
              <w:rPr>
                <w:lang w:eastAsia="en-US"/>
              </w:rPr>
              <w:tab/>
              <w:t>&lt; Message escape: { 01 | 10 | 11 } bit** = &lt; no string &gt;&gt; } ;</w:t>
            </w:r>
            <w:r w:rsidRPr="004D0DAA">
              <w:rPr>
                <w:lang w:eastAsia="en-US"/>
              </w:rPr>
              <w:tab/>
            </w:r>
            <w:r w:rsidRPr="004D0DAA">
              <w:rPr>
                <w:lang w:eastAsia="en-US"/>
              </w:rPr>
              <w:tab/>
              <w:t xml:space="preserve">-- </w:t>
            </w:r>
            <w:r w:rsidRPr="004D0DAA">
              <w:rPr>
                <w:i/>
                <w:lang w:eastAsia="en-US"/>
              </w:rPr>
              <w:t>Reserved for future use</w:t>
            </w:r>
          </w:p>
          <w:p w14:paraId="23DFD380" w14:textId="77777777" w:rsidR="00711444" w:rsidRPr="004D0DAA" w:rsidRDefault="00711444" w:rsidP="00AA2A4C">
            <w:pPr>
              <w:pStyle w:val="TAL"/>
              <w:rPr>
                <w:lang w:eastAsia="en-US"/>
              </w:rPr>
            </w:pPr>
          </w:p>
        </w:tc>
      </w:tr>
      <w:tr w:rsidR="00711444" w:rsidRPr="004D0DAA" w14:paraId="4A609DF1" w14:textId="77777777" w:rsidTr="00AA2A4C">
        <w:tblPrEx>
          <w:tblCellMar>
            <w:top w:w="0" w:type="dxa"/>
            <w:bottom w:w="0" w:type="dxa"/>
          </w:tblCellMar>
        </w:tblPrEx>
        <w:trPr>
          <w:cantSplit/>
        </w:trPr>
        <w:tc>
          <w:tcPr>
            <w:tcW w:w="9848" w:type="dxa"/>
          </w:tcPr>
          <w:p w14:paraId="087CC750" w14:textId="77777777" w:rsidR="00711444" w:rsidRPr="004D0DAA" w:rsidRDefault="00711444" w:rsidP="00AA2A4C">
            <w:pPr>
              <w:pStyle w:val="TAL"/>
              <w:rPr>
                <w:lang w:eastAsia="en-US"/>
              </w:rPr>
            </w:pPr>
            <w:r w:rsidRPr="004D0DAA">
              <w:rPr>
                <w:lang w:eastAsia="en-US"/>
              </w:rPr>
              <w:t>&lt; COMPACT NCP2 Repeat struct &gt; ::=</w:t>
            </w:r>
          </w:p>
          <w:p w14:paraId="35F70967" w14:textId="77777777" w:rsidR="00711444" w:rsidRPr="004D0DAA" w:rsidRDefault="00711444" w:rsidP="00AA2A4C">
            <w:pPr>
              <w:pStyle w:val="TAL"/>
              <w:rPr>
                <w:i/>
                <w:lang w:eastAsia="en-US"/>
              </w:rPr>
            </w:pPr>
            <w:r w:rsidRPr="004D0DAA">
              <w:rPr>
                <w:lang w:eastAsia="en-US"/>
              </w:rPr>
              <w:tab/>
              <w:t>{ 1</w:t>
            </w:r>
            <w:r w:rsidRPr="004D0DAA">
              <w:rPr>
                <w:lang w:eastAsia="en-US"/>
              </w:rPr>
              <w:tab/>
              <w:t xml:space="preserve">&lt; </w:t>
            </w:r>
            <w:r w:rsidRPr="004D0DAA">
              <w:rPr>
                <w:b/>
                <w:lang w:eastAsia="en-US"/>
              </w:rPr>
              <w:t>START_FREQUENCY</w:t>
            </w:r>
            <w:r w:rsidRPr="004D0DAA">
              <w:rPr>
                <w:lang w:eastAsia="en-US"/>
              </w:rPr>
              <w:t xml:space="preserve"> : bit (10) &gt;</w:t>
            </w:r>
            <w:r w:rsidRPr="004D0DAA">
              <w:rPr>
                <w:lang w:eastAsia="en-US"/>
              </w:rPr>
              <w:tab/>
            </w:r>
            <w:r w:rsidRPr="004D0DAA">
              <w:rPr>
                <w:lang w:eastAsia="en-US"/>
              </w:rPr>
              <w:tab/>
            </w:r>
            <w:r w:rsidRPr="004D0DAA">
              <w:rPr>
                <w:lang w:eastAsia="en-US"/>
              </w:rPr>
              <w:tab/>
              <w:t xml:space="preserve">-- </w:t>
            </w:r>
            <w:r w:rsidRPr="004D0DAA">
              <w:rPr>
                <w:i/>
                <w:lang w:eastAsia="en-US"/>
              </w:rPr>
              <w:t>Multiple START FREQ/FREQ DIFF sets may be defined</w:t>
            </w:r>
          </w:p>
          <w:p w14:paraId="613076E1" w14:textId="77777777" w:rsidR="00711444" w:rsidRPr="004D0DAA" w:rsidRDefault="00711444" w:rsidP="00AA2A4C">
            <w:pPr>
              <w:pStyle w:val="TAL"/>
              <w:rPr>
                <w:lang w:eastAsia="en-US"/>
              </w:rPr>
            </w:pPr>
            <w:r w:rsidRPr="004D0DAA">
              <w:rPr>
                <w:lang w:eastAsia="en-US"/>
              </w:rPr>
              <w:tab/>
            </w:r>
            <w:r w:rsidRPr="004D0DAA">
              <w:rPr>
                <w:lang w:eastAsia="en-US"/>
              </w:rPr>
              <w:tab/>
              <w:t>&lt; COMPACT NCP2 Property struct &gt;</w:t>
            </w:r>
          </w:p>
          <w:p w14:paraId="1B4D7400"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NR_OF_REMAINING_CELLS</w:t>
            </w:r>
            <w:r w:rsidRPr="004D0DAA">
              <w:rPr>
                <w:lang w:eastAsia="en-US"/>
              </w:rPr>
              <w:t xml:space="preserve"> : { bit (4) - 0000 } &gt;</w:t>
            </w:r>
          </w:p>
          <w:p w14:paraId="0567EA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FREQ_DIFF_LENGTH</w:t>
            </w:r>
            <w:r w:rsidRPr="004D0DAA">
              <w:rPr>
                <w:lang w:eastAsia="en-US"/>
              </w:rPr>
              <w:t xml:space="preserve"> : bit (3) &gt;</w:t>
            </w:r>
          </w:p>
          <w:p w14:paraId="7EA7D39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FREQUENCY_DIFF</w:t>
            </w:r>
            <w:r w:rsidRPr="004D0DAA">
              <w:rPr>
                <w:lang w:eastAsia="en-US"/>
              </w:rPr>
              <w:t xml:space="preserve"> : bit (1 + val(FREQ_DIFF_LENGTH)) &gt;</w:t>
            </w:r>
          </w:p>
          <w:p w14:paraId="076E85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COMPACT NCP2 Property struct &gt; } * (val(NR_OF_REMAINING_CELLS))</w:t>
            </w:r>
          </w:p>
          <w:p w14:paraId="360295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COMPACT NCP2 Repeat struct &gt;</w:t>
            </w:r>
            <w:r w:rsidRPr="004D0DAA">
              <w:rPr>
                <w:lang w:eastAsia="en-US"/>
              </w:rPr>
              <w:tab/>
            </w:r>
            <w:r w:rsidRPr="004D0DAA">
              <w:rPr>
                <w:lang w:eastAsia="en-US"/>
              </w:rPr>
              <w:tab/>
              <w:t xml:space="preserve">-- </w:t>
            </w:r>
            <w:r w:rsidRPr="004D0DAA">
              <w:rPr>
                <w:i/>
                <w:lang w:eastAsia="en-US"/>
              </w:rPr>
              <w:t>Repeated recursively</w:t>
            </w:r>
          </w:p>
          <w:p w14:paraId="1C293C60" w14:textId="77777777" w:rsidR="00711444" w:rsidRPr="004D0DAA" w:rsidRDefault="00711444" w:rsidP="00AA2A4C">
            <w:pPr>
              <w:pStyle w:val="TAL"/>
              <w:rPr>
                <w:lang w:eastAsia="en-US"/>
              </w:rPr>
            </w:pPr>
            <w:r w:rsidRPr="004D0DAA">
              <w:rPr>
                <w:lang w:eastAsia="en-US"/>
              </w:rPr>
              <w:tab/>
            </w:r>
            <w:r w:rsidRPr="004D0DAA">
              <w:rPr>
                <w:lang w:eastAsia="en-US"/>
              </w:rPr>
              <w:tab/>
              <w:t>| 0000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Break recursion (NR_OF_REMAINING_CELLS == 0)</w:t>
            </w:r>
          </w:p>
          <w:p w14:paraId="74FDE0B3" w14:textId="77777777" w:rsidR="00711444" w:rsidRPr="004D0DAA" w:rsidRDefault="00711444" w:rsidP="00AA2A4C">
            <w:pPr>
              <w:pStyle w:val="TAL"/>
              <w:rPr>
                <w:lang w:eastAsia="en-US"/>
              </w:rPr>
            </w:pPr>
            <w:r w:rsidRPr="004D0DAA">
              <w:rPr>
                <w:lang w:eastAsia="en-US"/>
              </w:rPr>
              <w:tab/>
              <w:t>| 0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End recursion (no more START_FREQUENCY)</w:t>
            </w:r>
          </w:p>
          <w:p w14:paraId="4AA22B36" w14:textId="77777777" w:rsidR="00711444" w:rsidRPr="004D0DAA" w:rsidRDefault="00711444" w:rsidP="00AA2A4C">
            <w:pPr>
              <w:pStyle w:val="TAL"/>
              <w:rPr>
                <w:lang w:eastAsia="en-US"/>
              </w:rPr>
            </w:pPr>
          </w:p>
        </w:tc>
      </w:tr>
      <w:tr w:rsidR="00711444" w:rsidRPr="004D0DAA" w14:paraId="05968F89" w14:textId="77777777" w:rsidTr="00AA2A4C">
        <w:tblPrEx>
          <w:tblCellMar>
            <w:top w:w="0" w:type="dxa"/>
            <w:bottom w:w="0" w:type="dxa"/>
          </w:tblCellMar>
        </w:tblPrEx>
        <w:trPr>
          <w:cantSplit/>
        </w:trPr>
        <w:tc>
          <w:tcPr>
            <w:tcW w:w="9848" w:type="dxa"/>
          </w:tcPr>
          <w:p w14:paraId="779812E5" w14:textId="77777777" w:rsidR="00711444" w:rsidRPr="004D0DAA" w:rsidRDefault="00711444" w:rsidP="00AA2A4C">
            <w:pPr>
              <w:pStyle w:val="TAL"/>
              <w:rPr>
                <w:lang w:eastAsia="en-US"/>
              </w:rPr>
            </w:pPr>
            <w:r w:rsidRPr="004D0DAA">
              <w:rPr>
                <w:lang w:eastAsia="en-US"/>
              </w:rPr>
              <w:t>&lt; COMPACT NCP2 Property struct &gt; ::=</w:t>
            </w:r>
          </w:p>
          <w:p w14:paraId="2019CE0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1902DA7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CELL_BAR_ACCESS_2</w:t>
            </w:r>
            <w:r w:rsidRPr="004D0DAA">
              <w:rPr>
                <w:lang w:eastAsia="en-US"/>
              </w:rPr>
              <w:t xml:space="preserve"> : bit &gt;</w:t>
            </w:r>
          </w:p>
          <w:p w14:paraId="1D839F8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BCC</w:t>
            </w:r>
            <w:r w:rsidRPr="004D0DAA">
              <w:rPr>
                <w:lang w:eastAsia="en-US"/>
              </w:rPr>
              <w:t xml:space="preserve"> : bit (3) &gt; </w:t>
            </w:r>
          </w:p>
          <w:p w14:paraId="5D8B125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TIME_GROUP</w:t>
            </w:r>
            <w:r w:rsidRPr="004D0DAA">
              <w:rPr>
                <w:lang w:eastAsia="en-US"/>
              </w:rPr>
              <w:t xml:space="preserve"> : bit (2) &gt; };</w:t>
            </w:r>
          </w:p>
          <w:p w14:paraId="3B4C9FAD" w14:textId="77777777" w:rsidR="00711444" w:rsidRPr="004D0DAA" w:rsidRDefault="00711444" w:rsidP="00AA2A4C">
            <w:pPr>
              <w:pStyle w:val="TAL"/>
              <w:rPr>
                <w:lang w:eastAsia="en-US"/>
              </w:rPr>
            </w:pPr>
          </w:p>
        </w:tc>
      </w:tr>
      <w:tr w:rsidR="00711444" w:rsidRPr="004D0DAA" w14:paraId="2E451921" w14:textId="77777777" w:rsidTr="00AA2A4C">
        <w:tblPrEx>
          <w:tblCellMar>
            <w:top w:w="0" w:type="dxa"/>
            <w:bottom w:w="0" w:type="dxa"/>
          </w:tblCellMar>
        </w:tblPrEx>
        <w:trPr>
          <w:cantSplit/>
        </w:trPr>
        <w:tc>
          <w:tcPr>
            <w:tcW w:w="9848" w:type="dxa"/>
          </w:tcPr>
          <w:p w14:paraId="7C0D2C85" w14:textId="77777777" w:rsidR="00711444" w:rsidRPr="004D0DAA" w:rsidRDefault="00711444" w:rsidP="00AA2A4C">
            <w:pPr>
              <w:pStyle w:val="TAL"/>
              <w:rPr>
                <w:lang w:eastAsia="en-US"/>
              </w:rPr>
            </w:pPr>
            <w:r w:rsidRPr="004D0DAA">
              <w:rPr>
                <w:lang w:eastAsia="en-US"/>
              </w:rPr>
              <w:t>&lt; COMPACT Neighbour parameter set struct &gt; ::=</w:t>
            </w:r>
          </w:p>
          <w:p w14:paraId="2071DB89" w14:textId="77777777" w:rsidR="00711444" w:rsidRPr="004D0DAA" w:rsidRDefault="00711444" w:rsidP="00AA2A4C">
            <w:pPr>
              <w:pStyle w:val="TAL"/>
              <w:rPr>
                <w:lang w:eastAsia="en-US"/>
              </w:rPr>
            </w:pPr>
            <w:r w:rsidRPr="004D0DAA">
              <w:rPr>
                <w:lang w:eastAsia="en-US"/>
              </w:rPr>
              <w:tab/>
              <w:t>{ 0 | 1 &lt;</w:t>
            </w:r>
            <w:r w:rsidRPr="004D0DAA">
              <w:rPr>
                <w:b/>
                <w:lang w:eastAsia="en-US"/>
              </w:rPr>
              <w:t xml:space="preserve"> NCC </w:t>
            </w:r>
            <w:r w:rsidRPr="004D0DAA">
              <w:rPr>
                <w:lang w:eastAsia="en-US"/>
              </w:rPr>
              <w:t>: bit (3) &gt; }</w:t>
            </w:r>
          </w:p>
          <w:p w14:paraId="4AFFDBEE" w14:textId="77777777" w:rsidR="00711444" w:rsidRPr="004D0DAA" w:rsidRDefault="00711444" w:rsidP="00AA2A4C">
            <w:pPr>
              <w:pStyle w:val="TAL"/>
              <w:rPr>
                <w:b/>
                <w:lang w:eastAsia="en-US"/>
              </w:rPr>
            </w:pPr>
            <w:r w:rsidRPr="004D0DAA">
              <w:rPr>
                <w:lang w:eastAsia="en-US"/>
              </w:rPr>
              <w:tab/>
            </w:r>
            <w:r w:rsidRPr="004D0DAA">
              <w:rPr>
                <w:b/>
                <w:lang w:eastAsia="en-US"/>
              </w:rPr>
              <w:t>&lt; EXC_ACC : bit &gt;</w:t>
            </w:r>
          </w:p>
          <w:p w14:paraId="54A5060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GPRS_RXLEV_ACCESS_MIN</w:t>
            </w:r>
            <w:r w:rsidRPr="004D0DAA">
              <w:rPr>
                <w:lang w:eastAsia="en-US"/>
              </w:rPr>
              <w:t xml:space="preserve"> : bit (6) &gt; }</w:t>
            </w:r>
          </w:p>
          <w:p w14:paraId="59E5798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GPRS_MS_TXPWR_MAX_CCH</w:t>
            </w:r>
            <w:r w:rsidRPr="004D0DAA">
              <w:rPr>
                <w:lang w:eastAsia="en-US"/>
              </w:rPr>
              <w:t xml:space="preserve"> : bit (5) &gt; }</w:t>
            </w:r>
          </w:p>
          <w:p w14:paraId="537456A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GPRS_PRIORITY_CLASS</w:t>
            </w:r>
            <w:r w:rsidRPr="004D0DAA">
              <w:rPr>
                <w:lang w:eastAsia="en-US"/>
              </w:rPr>
              <w:t xml:space="preserve"> : bit (3) &gt; }</w:t>
            </w:r>
          </w:p>
          <w:p w14:paraId="312E5037"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GPRS_HCS_THR</w:t>
            </w:r>
            <w:r w:rsidRPr="004D0DAA">
              <w:rPr>
                <w:lang w:eastAsia="en-US"/>
              </w:rPr>
              <w:t xml:space="preserve"> : bit (5) &gt; }</w:t>
            </w:r>
          </w:p>
          <w:p w14:paraId="58C8233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GPRS_TEMPORARY_OFFSET</w:t>
            </w:r>
            <w:r w:rsidRPr="004D0DAA">
              <w:rPr>
                <w:lang w:eastAsia="en-US"/>
              </w:rPr>
              <w:t xml:space="preserve"> : bit (3) &gt;</w:t>
            </w:r>
          </w:p>
          <w:p w14:paraId="10FD1CD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GPRS_PENALTY_TIME</w:t>
            </w:r>
            <w:r w:rsidRPr="004D0DAA">
              <w:rPr>
                <w:lang w:eastAsia="en-US"/>
              </w:rPr>
              <w:t xml:space="preserve"> : bit (5) &gt;</w:t>
            </w:r>
          </w:p>
          <w:p w14:paraId="59489F6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GPRS_RESELECT_OFFSET</w:t>
            </w:r>
            <w:r w:rsidRPr="004D0DAA">
              <w:rPr>
                <w:lang w:eastAsia="en-US"/>
              </w:rPr>
              <w:t xml:space="preserve"> : bit (5) &gt;</w:t>
            </w:r>
          </w:p>
          <w:p w14:paraId="5218F65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GUAR_CONSTANT_PWR_BLKS</w:t>
            </w:r>
            <w:r w:rsidRPr="004D0DAA">
              <w:rPr>
                <w:lang w:eastAsia="en-US"/>
              </w:rPr>
              <w:t xml:space="preserve"> : bit (2) &gt; } ;</w:t>
            </w:r>
          </w:p>
          <w:p w14:paraId="22AEFDA3" w14:textId="77777777" w:rsidR="00711444" w:rsidRPr="004D0DAA" w:rsidRDefault="00711444" w:rsidP="00AA2A4C">
            <w:pPr>
              <w:pStyle w:val="TAL"/>
              <w:rPr>
                <w:lang w:eastAsia="en-US"/>
              </w:rPr>
            </w:pPr>
          </w:p>
        </w:tc>
      </w:tr>
      <w:tr w:rsidR="00711444" w:rsidRPr="004D0DAA" w14:paraId="1D643DD4" w14:textId="77777777" w:rsidTr="00AA2A4C">
        <w:tblPrEx>
          <w:tblCellMar>
            <w:top w:w="0" w:type="dxa"/>
            <w:bottom w:w="0" w:type="dxa"/>
          </w:tblCellMar>
        </w:tblPrEx>
        <w:trPr>
          <w:cantSplit/>
        </w:trPr>
        <w:tc>
          <w:tcPr>
            <w:tcW w:w="9848" w:type="dxa"/>
          </w:tcPr>
          <w:p w14:paraId="2BE1C255" w14:textId="77777777" w:rsidR="00711444" w:rsidRPr="004D0DAA" w:rsidRDefault="00711444" w:rsidP="00AA2A4C">
            <w:pPr>
              <w:pStyle w:val="TAL"/>
              <w:rPr>
                <w:lang w:eastAsia="en-US"/>
              </w:rPr>
            </w:pPr>
            <w:r w:rsidRPr="004D0DAA">
              <w:rPr>
                <w:lang w:eastAsia="en-US"/>
              </w:rPr>
              <w:lastRenderedPageBreak/>
              <w:t>&lt; CCN Support Description struct &gt; ::=</w:t>
            </w:r>
            <w:r w:rsidRPr="004D0DAA">
              <w:rPr>
                <w:lang w:eastAsia="en-US"/>
              </w:rPr>
              <w:br/>
              <w:t xml:space="preserve">&lt; </w:t>
            </w:r>
            <w:r w:rsidRPr="004D0DAA">
              <w:rPr>
                <w:b/>
                <w:lang w:eastAsia="en-US"/>
              </w:rPr>
              <w:t>Number_Cells</w:t>
            </w:r>
            <w:r w:rsidRPr="004D0DAA">
              <w:rPr>
                <w:lang w:eastAsia="en-US"/>
              </w:rPr>
              <w:t xml:space="preserve"> : bit (7) &gt;</w:t>
            </w:r>
            <w:r w:rsidRPr="004D0DAA">
              <w:rPr>
                <w:lang w:eastAsia="en-US"/>
              </w:rPr>
              <w:br/>
              <w:t xml:space="preserve">{ </w:t>
            </w:r>
            <w:r w:rsidRPr="004D0DAA">
              <w:rPr>
                <w:b/>
                <w:lang w:eastAsia="en-US"/>
              </w:rPr>
              <w:t>CCN_SUPPORTED</w:t>
            </w:r>
            <w:r w:rsidRPr="004D0DAA">
              <w:rPr>
                <w:lang w:eastAsia="en-US"/>
              </w:rPr>
              <w:t xml:space="preserve"> : bit } * (val(Number_Cells)) ;</w:t>
            </w:r>
          </w:p>
          <w:p w14:paraId="0EE90B54" w14:textId="77777777" w:rsidR="00711444" w:rsidRPr="004D0DAA" w:rsidRDefault="00711444" w:rsidP="00AA2A4C">
            <w:pPr>
              <w:pStyle w:val="TAL"/>
              <w:rPr>
                <w:lang w:eastAsia="en-US"/>
              </w:rPr>
            </w:pPr>
          </w:p>
        </w:tc>
      </w:tr>
      <w:tr w:rsidR="00711444" w:rsidRPr="004D0DAA" w14:paraId="2FED1F18" w14:textId="77777777" w:rsidTr="00AA2A4C">
        <w:tblPrEx>
          <w:tblCellMar>
            <w:top w:w="0" w:type="dxa"/>
            <w:bottom w:w="0" w:type="dxa"/>
          </w:tblCellMar>
        </w:tblPrEx>
        <w:trPr>
          <w:cantSplit/>
        </w:trPr>
        <w:tc>
          <w:tcPr>
            <w:tcW w:w="9848" w:type="dxa"/>
          </w:tcPr>
          <w:p w14:paraId="29A4BD37" w14:textId="77777777" w:rsidR="00711444" w:rsidRPr="004D0DAA" w:rsidRDefault="00711444" w:rsidP="00AA2A4C">
            <w:pPr>
              <w:pStyle w:val="TAL"/>
              <w:rPr>
                <w:lang w:eastAsia="en-US"/>
              </w:rPr>
            </w:pPr>
            <w:r w:rsidRPr="004D0DAA">
              <w:rPr>
                <w:lang w:eastAsia="en-US"/>
              </w:rPr>
              <w:t>&lt; Iu mode neighbour cell params struct &gt; ::=</w:t>
            </w:r>
          </w:p>
          <w:p w14:paraId="2FFBC09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68186A5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Iu</w:t>
            </w:r>
            <w:r w:rsidRPr="004D0DAA">
              <w:rPr>
                <w:lang w:eastAsia="en-US"/>
              </w:rPr>
              <w:t xml:space="preserve"> </w:t>
            </w:r>
            <w:r w:rsidRPr="004D0DAA">
              <w:rPr>
                <w:b/>
                <w:bCs/>
                <w:lang w:eastAsia="en-US"/>
              </w:rPr>
              <w:t xml:space="preserve">Mode </w:t>
            </w:r>
            <w:r w:rsidRPr="004D0DAA">
              <w:rPr>
                <w:b/>
                <w:lang w:eastAsia="en-US"/>
              </w:rPr>
              <w:t xml:space="preserve">Cell Selection Params </w:t>
            </w:r>
            <w:r w:rsidRPr="004D0DAA">
              <w:rPr>
                <w:lang w:eastAsia="en-US"/>
              </w:rPr>
              <w:t>: &lt;Iu Mode Cell Selection struct &gt;&gt; } * (val(NR_OF_REMAINING_CELLS));</w:t>
            </w:r>
          </w:p>
          <w:p w14:paraId="0BB4BE17" w14:textId="77777777" w:rsidR="00711444" w:rsidRPr="004D0DAA" w:rsidRDefault="00711444" w:rsidP="00AA2A4C">
            <w:pPr>
              <w:pStyle w:val="TAL"/>
              <w:rPr>
                <w:lang w:eastAsia="en-US"/>
              </w:rPr>
            </w:pPr>
          </w:p>
        </w:tc>
      </w:tr>
      <w:tr w:rsidR="00711444" w:rsidRPr="004D0DAA" w14:paraId="33FB872D" w14:textId="77777777" w:rsidTr="00AA2A4C">
        <w:tblPrEx>
          <w:tblCellMar>
            <w:top w:w="0" w:type="dxa"/>
            <w:bottom w:w="0" w:type="dxa"/>
          </w:tblCellMar>
        </w:tblPrEx>
        <w:trPr>
          <w:cantSplit/>
        </w:trPr>
        <w:tc>
          <w:tcPr>
            <w:tcW w:w="9848" w:type="dxa"/>
          </w:tcPr>
          <w:p w14:paraId="36CEB209" w14:textId="77777777" w:rsidR="00711444" w:rsidRPr="004D0DAA" w:rsidRDefault="00711444" w:rsidP="00AA2A4C">
            <w:pPr>
              <w:pStyle w:val="TAL"/>
              <w:rPr>
                <w:lang w:eastAsia="en-US"/>
              </w:rPr>
            </w:pPr>
            <w:r w:rsidRPr="004D0DAA">
              <w:rPr>
                <w:lang w:eastAsia="en-US"/>
              </w:rPr>
              <w:t>&lt; Iu Mode Cell Selection struct &gt; ::=</w:t>
            </w:r>
          </w:p>
          <w:p w14:paraId="3290E6B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BAR QUALIFY 3</w:t>
            </w:r>
            <w:r w:rsidRPr="004D0DAA">
              <w:rPr>
                <w:bCs/>
                <w:lang w:eastAsia="en-US"/>
              </w:rPr>
              <w:t xml:space="preserve"> </w:t>
            </w:r>
            <w:r w:rsidRPr="004D0DAA">
              <w:rPr>
                <w:lang w:eastAsia="en-US"/>
              </w:rPr>
              <w:t>: bit (2) &gt;</w:t>
            </w:r>
            <w:r w:rsidRPr="004D0DAA">
              <w:rPr>
                <w:lang w:eastAsia="en-US"/>
              </w:rPr>
              <w:tab/>
            </w:r>
          </w:p>
          <w:p w14:paraId="7BEF3C49"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SI13Alt PBCCH Location</w:t>
            </w:r>
            <w:r w:rsidRPr="004D0DAA">
              <w:rPr>
                <w:lang w:val="fr-FR" w:eastAsia="en-US"/>
              </w:rPr>
              <w:t>: &lt; SI13 PBCCH Location struct &gt; &gt; };</w:t>
            </w:r>
          </w:p>
          <w:p w14:paraId="23E8C5DD" w14:textId="77777777" w:rsidR="00711444" w:rsidRPr="004D0DAA" w:rsidRDefault="00711444" w:rsidP="00AA2A4C">
            <w:pPr>
              <w:pStyle w:val="TAL"/>
              <w:rPr>
                <w:lang w:val="fr-FR" w:eastAsia="en-US"/>
              </w:rPr>
            </w:pPr>
          </w:p>
        </w:tc>
      </w:tr>
      <w:tr w:rsidR="00711444" w:rsidRPr="004D0DAA" w14:paraId="41C0DECD" w14:textId="77777777" w:rsidTr="00AA2A4C">
        <w:tblPrEx>
          <w:tblCellMar>
            <w:top w:w="0" w:type="dxa"/>
            <w:bottom w:w="0" w:type="dxa"/>
          </w:tblCellMar>
        </w:tblPrEx>
        <w:trPr>
          <w:cantSplit/>
        </w:trPr>
        <w:tc>
          <w:tcPr>
            <w:tcW w:w="9848" w:type="dxa"/>
          </w:tcPr>
          <w:p w14:paraId="537DA5A9" w14:textId="77777777" w:rsidR="00711444" w:rsidRPr="004D0DAA" w:rsidRDefault="00711444" w:rsidP="00AA2A4C">
            <w:pPr>
              <w:pStyle w:val="TAL"/>
              <w:rPr>
                <w:lang w:eastAsia="en-US"/>
              </w:rPr>
            </w:pPr>
            <w:r w:rsidRPr="004D0DAA">
              <w:rPr>
                <w:lang w:eastAsia="en-US"/>
              </w:rPr>
              <w:t>&lt; Iu mode Only Neighbour Cell params struct &gt; ::=</w:t>
            </w:r>
          </w:p>
          <w:p w14:paraId="164915D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START_FREQUENCY</w:t>
            </w:r>
            <w:r w:rsidRPr="004D0DAA">
              <w:rPr>
                <w:lang w:eastAsia="en-US"/>
              </w:rPr>
              <w:t xml:space="preserve"> : bit (10) &gt;</w:t>
            </w:r>
          </w:p>
          <w:p w14:paraId="0CD7C3F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Iu mode Only Cell selection params</w:t>
            </w:r>
            <w:r w:rsidRPr="004D0DAA">
              <w:rPr>
                <w:lang w:eastAsia="en-US"/>
              </w:rPr>
              <w:t xml:space="preserve"> : &lt; Iu mode Only Cell Selection struct &gt; &gt;</w:t>
            </w:r>
          </w:p>
          <w:p w14:paraId="4C85423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NR_OF_REMAINING_CELLS</w:t>
            </w:r>
            <w:r w:rsidRPr="004D0DAA">
              <w:rPr>
                <w:lang w:eastAsia="en-US"/>
              </w:rPr>
              <w:t xml:space="preserve"> : bit (4) &gt;</w:t>
            </w:r>
          </w:p>
          <w:p w14:paraId="2F4A9C1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FREQ_DIFF_LENGTH</w:t>
            </w:r>
            <w:r w:rsidRPr="004D0DAA">
              <w:rPr>
                <w:lang w:eastAsia="en-US"/>
              </w:rPr>
              <w:t xml:space="preserve"> : bit (3) &gt;</w:t>
            </w:r>
          </w:p>
          <w:p w14:paraId="5C51E85A"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FREQUENCY_DIFF</w:t>
            </w:r>
            <w:r w:rsidRPr="004D0DAA">
              <w:rPr>
                <w:lang w:eastAsia="en-US"/>
              </w:rPr>
              <w:t xml:space="preserve"> : bit (1 + val(FREQ_DIFF_LENGTH)) &gt;</w:t>
            </w:r>
          </w:p>
          <w:p w14:paraId="4D4BBD0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Iu mode Only Cell Selection params</w:t>
            </w:r>
            <w:r w:rsidRPr="004D0DAA">
              <w:rPr>
                <w:lang w:eastAsia="en-US"/>
              </w:rPr>
              <w:t xml:space="preserve"> : </w:t>
            </w:r>
          </w:p>
          <w:p w14:paraId="6D9FAAC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Iu mode Only Cell Selection struct &gt; &gt; } * (val(NR_OF_REMAINING_CELLS));</w:t>
            </w:r>
          </w:p>
          <w:p w14:paraId="216884F1" w14:textId="77777777" w:rsidR="00711444" w:rsidRPr="004D0DAA" w:rsidRDefault="00711444" w:rsidP="00AA2A4C">
            <w:pPr>
              <w:pStyle w:val="TAL"/>
              <w:rPr>
                <w:lang w:eastAsia="en-US"/>
              </w:rPr>
            </w:pPr>
          </w:p>
        </w:tc>
      </w:tr>
      <w:tr w:rsidR="00711444" w:rsidRPr="004D0DAA" w14:paraId="4131343D" w14:textId="77777777" w:rsidTr="00AA2A4C">
        <w:tblPrEx>
          <w:tblCellMar>
            <w:top w:w="0" w:type="dxa"/>
            <w:bottom w:w="0" w:type="dxa"/>
          </w:tblCellMar>
        </w:tblPrEx>
        <w:trPr>
          <w:cantSplit/>
        </w:trPr>
        <w:tc>
          <w:tcPr>
            <w:tcW w:w="9848" w:type="dxa"/>
          </w:tcPr>
          <w:p w14:paraId="1F3042BB" w14:textId="77777777" w:rsidR="00711444" w:rsidRPr="004D0DAA" w:rsidRDefault="00711444" w:rsidP="00AA2A4C">
            <w:pPr>
              <w:pStyle w:val="TAL"/>
              <w:rPr>
                <w:lang w:eastAsia="en-US"/>
              </w:rPr>
            </w:pPr>
            <w:r w:rsidRPr="004D0DAA">
              <w:rPr>
                <w:lang w:eastAsia="en-US"/>
              </w:rPr>
              <w:t>&lt; Iu Mode Only Cell Selection struct &gt; ::=</w:t>
            </w:r>
          </w:p>
          <w:p w14:paraId="197CB4C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BSIC</w:t>
            </w:r>
            <w:r w:rsidRPr="004D0DAA">
              <w:rPr>
                <w:lang w:eastAsia="en-US"/>
              </w:rPr>
              <w:t xml:space="preserve"> : bit (6) &gt;</w:t>
            </w:r>
          </w:p>
          <w:p w14:paraId="602F527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CELL BAR QUALIFY 3</w:t>
            </w:r>
            <w:r w:rsidRPr="004D0DAA">
              <w:rPr>
                <w:lang w:eastAsia="en-US"/>
              </w:rPr>
              <w:t xml:space="preserve"> : bit (2) &gt;</w:t>
            </w:r>
          </w:p>
          <w:p w14:paraId="127C615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SAME_RA_AS_SERVING_CELL</w:t>
            </w:r>
            <w:r w:rsidRPr="004D0DAA">
              <w:rPr>
                <w:lang w:eastAsia="en-US"/>
              </w:rPr>
              <w:t xml:space="preserve"> : bit (1) &gt;</w:t>
            </w:r>
          </w:p>
          <w:p w14:paraId="48AF684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GPRS_RXLEV_ACCESS_MIN</w:t>
            </w:r>
            <w:r w:rsidRPr="004D0DAA">
              <w:rPr>
                <w:lang w:eastAsia="en-US"/>
              </w:rPr>
              <w:t xml:space="preserve"> : bit (6) &gt;</w:t>
            </w:r>
          </w:p>
          <w:p w14:paraId="0C412B1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GPRS_MS_TXPWR_MAX_CCH</w:t>
            </w:r>
            <w:r w:rsidRPr="004D0DAA">
              <w:rPr>
                <w:lang w:eastAsia="en-US"/>
              </w:rPr>
              <w:t xml:space="preserve"> : bit (5) &gt; }</w:t>
            </w:r>
          </w:p>
          <w:p w14:paraId="3B1DDD8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GPRS_TEMPORARY_OFFSET</w:t>
            </w:r>
            <w:r w:rsidRPr="004D0DAA">
              <w:rPr>
                <w:lang w:eastAsia="en-US"/>
              </w:rPr>
              <w:t xml:space="preserve"> : bit (3) &gt;</w:t>
            </w:r>
          </w:p>
          <w:p w14:paraId="03C8604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GPRS_PENALTY_TIME</w:t>
            </w:r>
            <w:r w:rsidRPr="004D0DAA">
              <w:rPr>
                <w:lang w:eastAsia="en-US"/>
              </w:rPr>
              <w:t xml:space="preserve"> : bit (5) }</w:t>
            </w:r>
          </w:p>
          <w:p w14:paraId="392274A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GPRS_RESELECT_OFFSET</w:t>
            </w:r>
            <w:r w:rsidRPr="004D0DAA">
              <w:rPr>
                <w:lang w:eastAsia="en-US"/>
              </w:rPr>
              <w:t xml:space="preserve"> : bit (5) &gt; }</w:t>
            </w:r>
          </w:p>
          <w:p w14:paraId="79E159D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HCS params</w:t>
            </w:r>
            <w:r w:rsidRPr="004D0DAA">
              <w:rPr>
                <w:lang w:eastAsia="en-US"/>
              </w:rPr>
              <w:t xml:space="preserve"> : &lt; HCS struct &gt; &gt; }</w:t>
            </w:r>
          </w:p>
          <w:p w14:paraId="553FA780"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SI13Alt PBCCH Location</w:t>
            </w:r>
            <w:r w:rsidRPr="004D0DAA">
              <w:rPr>
                <w:lang w:val="fr-FR" w:eastAsia="en-US"/>
              </w:rPr>
              <w:t xml:space="preserve"> : &lt; SI13 PBCCH Location struct &gt; &gt;};</w:t>
            </w:r>
          </w:p>
          <w:p w14:paraId="0609CE04" w14:textId="77777777" w:rsidR="00711444" w:rsidRPr="004D0DAA" w:rsidRDefault="00711444" w:rsidP="00AA2A4C">
            <w:pPr>
              <w:pStyle w:val="TAL"/>
              <w:rPr>
                <w:lang w:val="fr-FR" w:eastAsia="en-US"/>
              </w:rPr>
            </w:pPr>
          </w:p>
        </w:tc>
      </w:tr>
    </w:tbl>
    <w:p w14:paraId="17ADD843" w14:textId="77777777" w:rsidR="00711444" w:rsidRPr="004D0DAA" w:rsidRDefault="00711444" w:rsidP="00711444">
      <w:pPr>
        <w:rPr>
          <w:lang w:val="fr-FR"/>
        </w:rPr>
      </w:pPr>
    </w:p>
    <w:p w14:paraId="034E3C7D" w14:textId="77777777" w:rsidR="00711444" w:rsidRPr="004D0DAA" w:rsidRDefault="00711444" w:rsidP="00711444">
      <w:pPr>
        <w:pStyle w:val="TH"/>
      </w:pPr>
      <w:r w:rsidRPr="004D0DAA">
        <w:t>Table 11.2.21.2: PSI3 bis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DCC65DB" w14:textId="77777777" w:rsidTr="00AA2A4C">
        <w:tblPrEx>
          <w:tblCellMar>
            <w:top w:w="0" w:type="dxa"/>
            <w:bottom w:w="0" w:type="dxa"/>
          </w:tblCellMar>
        </w:tblPrEx>
        <w:trPr>
          <w:cantSplit/>
        </w:trPr>
        <w:tc>
          <w:tcPr>
            <w:tcW w:w="9848" w:type="dxa"/>
          </w:tcPr>
          <w:p w14:paraId="6B733916" w14:textId="77777777" w:rsidR="00711444" w:rsidRPr="004D0DAA" w:rsidRDefault="00711444" w:rsidP="00AA2A4C">
            <w:r w:rsidRPr="004D0DAA">
              <w:rPr>
                <w:b/>
              </w:rPr>
              <w:t>PAGE_MODE</w:t>
            </w:r>
            <w:r w:rsidRPr="004D0DAA">
              <w:t xml:space="preserve"> (2 bit field)</w:t>
            </w:r>
            <w:r w:rsidRPr="004D0DAA">
              <w:br/>
              <w:t>See description under PSI3.</w:t>
            </w:r>
          </w:p>
          <w:p w14:paraId="3E61EB3E" w14:textId="77777777" w:rsidR="00711444" w:rsidRPr="004D0DAA" w:rsidRDefault="00711444" w:rsidP="00AA2A4C">
            <w:r w:rsidRPr="004D0DAA">
              <w:rPr>
                <w:b/>
              </w:rPr>
              <w:t xml:space="preserve">PSI3_CHANGE_MARK </w:t>
            </w:r>
            <w:r w:rsidRPr="004D0DAA">
              <w:t>(2 bit field)</w:t>
            </w:r>
            <w:r w:rsidRPr="004D0DAA">
              <w:br/>
              <w:t>See description under PSI3.</w:t>
            </w:r>
          </w:p>
          <w:p w14:paraId="4D8A89CE" w14:textId="77777777" w:rsidR="00711444" w:rsidRPr="004D0DAA" w:rsidRDefault="00711444" w:rsidP="00AA2A4C">
            <w:r w:rsidRPr="004D0DAA">
              <w:rPr>
                <w:b/>
              </w:rPr>
              <w:t xml:space="preserve">PSI3_BIS_INDEX </w:t>
            </w:r>
            <w:r w:rsidRPr="004D0DAA">
              <w:t>(4 bit field)</w:t>
            </w:r>
            <w:r w:rsidRPr="004D0DAA">
              <w:br/>
              <w:t>The PSI3_BIS_INDEX field is used to distinguish individual PSI3 bis messages containing information about different neighbour cells. The field can take the binary representation of the values 0 to n, where n is the index of the last PSI3 bis message. (PSI3 bis count).</w:t>
            </w:r>
          </w:p>
          <w:p w14:paraId="56D58D55" w14:textId="77777777" w:rsidR="00711444" w:rsidRPr="004D0DAA" w:rsidRDefault="00711444" w:rsidP="00AA2A4C">
            <w:pPr>
              <w:spacing w:after="0"/>
            </w:pPr>
            <w:r w:rsidRPr="004D0DAA">
              <w:rPr>
                <w:b/>
              </w:rPr>
              <w:t xml:space="preserve">PSI3_BIS_COUNT </w:t>
            </w:r>
            <w:r w:rsidRPr="004D0DAA">
              <w:t>(4 bit field)</w:t>
            </w:r>
          </w:p>
          <w:p w14:paraId="599BEC7D" w14:textId="77777777" w:rsidR="00711444" w:rsidRPr="004D0DAA" w:rsidRDefault="00711444" w:rsidP="00AA2A4C">
            <w:pPr>
              <w:rPr>
                <w:b/>
              </w:rPr>
            </w:pPr>
            <w:r w:rsidRPr="004D0DAA">
              <w:t>See description under PSI3.</w:t>
            </w:r>
          </w:p>
        </w:tc>
      </w:tr>
      <w:tr w:rsidR="00711444" w:rsidRPr="004D0DAA" w14:paraId="2E880CAD" w14:textId="77777777" w:rsidTr="00AA2A4C">
        <w:tblPrEx>
          <w:tblCellMar>
            <w:top w:w="0" w:type="dxa"/>
            <w:bottom w:w="0" w:type="dxa"/>
          </w:tblCellMar>
        </w:tblPrEx>
        <w:trPr>
          <w:cantSplit/>
        </w:trPr>
        <w:tc>
          <w:tcPr>
            <w:tcW w:w="9848" w:type="dxa"/>
          </w:tcPr>
          <w:p w14:paraId="356C525C" w14:textId="77777777" w:rsidR="00711444" w:rsidRPr="004D0DAA" w:rsidRDefault="00711444" w:rsidP="00AA2A4C">
            <w:r w:rsidRPr="004D0DAA">
              <w:rPr>
                <w:b/>
              </w:rPr>
              <w:t>General rules for handling neighbour cell parameter default values</w:t>
            </w:r>
          </w:p>
          <w:p w14:paraId="17A0580F" w14:textId="77777777" w:rsidR="00711444" w:rsidRPr="004D0DAA" w:rsidRDefault="00711444" w:rsidP="00AA2A4C">
            <w:r w:rsidRPr="004D0DAA">
              <w:t xml:space="preserve">The first neighbour cell defined in the first PSI3bis instance uses as its default parameter values the parameter values defined for the last neighbour cell in PSI3. </w:t>
            </w:r>
            <w:r w:rsidRPr="004D0DAA">
              <w:br/>
              <w:t xml:space="preserve">The following neighbour cells in PSI3bis use the parameter values of the previous neighbour cell as their default values. </w:t>
            </w:r>
          </w:p>
          <w:p w14:paraId="7D5EF99C" w14:textId="77777777" w:rsidR="00711444" w:rsidRPr="004D0DAA" w:rsidRDefault="00711444" w:rsidP="00AA2A4C">
            <w:r w:rsidRPr="004D0DAA">
              <w:t>This principle of referring to the previous cell applies independently of the coding used in PSI3bis (Neighbour cell parameters, Neighbour cell parameters 2 and COMPACT Neighbour Cell Parameters).</w:t>
            </w:r>
          </w:p>
          <w:p w14:paraId="3F9ABE6C" w14:textId="77777777" w:rsidR="00711444" w:rsidRPr="004D0DAA" w:rsidRDefault="00711444" w:rsidP="00AA2A4C">
            <w:pPr>
              <w:rPr>
                <w:b/>
              </w:rPr>
            </w:pPr>
            <w:r w:rsidRPr="004D0DAA">
              <w:t>This principle also applies when going from PSI3bis instance i over to PSI3bis instance i+1.</w:t>
            </w:r>
          </w:p>
        </w:tc>
      </w:tr>
      <w:tr w:rsidR="00711444" w:rsidRPr="004D0DAA" w14:paraId="71BB587B" w14:textId="77777777" w:rsidTr="00AA2A4C">
        <w:tblPrEx>
          <w:tblCellMar>
            <w:top w:w="0" w:type="dxa"/>
            <w:bottom w:w="0" w:type="dxa"/>
          </w:tblCellMar>
        </w:tblPrEx>
        <w:trPr>
          <w:cantSplit/>
        </w:trPr>
        <w:tc>
          <w:tcPr>
            <w:tcW w:w="9848" w:type="dxa"/>
          </w:tcPr>
          <w:p w14:paraId="345B21B7" w14:textId="77777777" w:rsidR="00711444" w:rsidRPr="004D0DAA" w:rsidRDefault="00711444" w:rsidP="00AA2A4C">
            <w:r w:rsidRPr="004D0DAA">
              <w:rPr>
                <w:b/>
                <w:i/>
              </w:rPr>
              <w:lastRenderedPageBreak/>
              <w:t>Neighbour cell params struct</w:t>
            </w:r>
            <w:r w:rsidRPr="004D0DAA">
              <w:t xml:space="preserve"> </w:t>
            </w:r>
            <w:r w:rsidRPr="004D0DAA">
              <w:br/>
              <w:t>The coding of the Neighbour cell parameters is described under PSI3.</w:t>
            </w:r>
          </w:p>
          <w:p w14:paraId="27292D4B" w14:textId="77777777" w:rsidR="00711444" w:rsidRPr="004D0DAA" w:rsidRDefault="00711444" w:rsidP="00AA2A4C">
            <w:pPr>
              <w:rPr>
                <w:b/>
              </w:rPr>
            </w:pPr>
            <w:r w:rsidRPr="004D0DAA">
              <w:rPr>
                <w:b/>
                <w:i/>
              </w:rPr>
              <w:t>Neighbour cell params 2 struct</w:t>
            </w:r>
            <w:r w:rsidRPr="004D0DAA">
              <w:br/>
              <w:t>This coding may be used if the number of neighbour cells is high and many cells share common parameter values. The structure contains pointers to the list of sets of actual parameters. The coding of actual parameters that are contained in or referenced by the Neighbour Cell params 2 struct is described in PSI3.</w:t>
            </w:r>
          </w:p>
        </w:tc>
      </w:tr>
      <w:tr w:rsidR="00711444" w:rsidRPr="004D0DAA" w14:paraId="009EDE0D" w14:textId="77777777" w:rsidTr="00AA2A4C">
        <w:tblPrEx>
          <w:tblCellMar>
            <w:top w:w="0" w:type="dxa"/>
            <w:bottom w:w="0" w:type="dxa"/>
          </w:tblCellMar>
        </w:tblPrEx>
        <w:trPr>
          <w:cantSplit/>
        </w:trPr>
        <w:tc>
          <w:tcPr>
            <w:tcW w:w="9848" w:type="dxa"/>
          </w:tcPr>
          <w:p w14:paraId="3B3E5667" w14:textId="77777777" w:rsidR="00711444" w:rsidRPr="004D0DAA" w:rsidRDefault="00711444" w:rsidP="00AA2A4C">
            <w:r w:rsidRPr="004D0DAA">
              <w:rPr>
                <w:b/>
                <w:i/>
              </w:rPr>
              <w:t>COMPACT Neighbour Cell params struct</w:t>
            </w:r>
            <w:r w:rsidRPr="004D0DAA">
              <w:br/>
              <w:t>The coding of the Neighbour cell parameters is the same as the coding of the Neighbour cell params struct 2, except the two additional parameters, TIME_GROUP and GUAR_CONSTANT_PWR_BLKS. The coding of actual parameters that are contained in or referenced by the COMPACT Neighbour Cell params struct is described in PSI3.</w:t>
            </w:r>
          </w:p>
          <w:p w14:paraId="618580A9" w14:textId="77777777" w:rsidR="00711444" w:rsidRPr="004D0DAA" w:rsidRDefault="00711444" w:rsidP="00AA2A4C">
            <w:r w:rsidRPr="004D0DAA">
              <w:t>The following parameters (CELL_PARAMS_POINTER, BCC and NCC) are not defined in PSI3:</w:t>
            </w:r>
          </w:p>
          <w:p w14:paraId="59A5CC07" w14:textId="77777777" w:rsidR="00711444" w:rsidRPr="004D0DAA" w:rsidRDefault="00711444" w:rsidP="00AA2A4C">
            <w:r w:rsidRPr="004D0DAA">
              <w:rPr>
                <w:b/>
              </w:rPr>
              <w:t xml:space="preserve">CELL_PARAMS_POINTER </w:t>
            </w:r>
            <w:r w:rsidRPr="004D0DAA">
              <w:t>(2 bit field)</w:t>
            </w:r>
            <w:r w:rsidRPr="004D0DAA">
              <w:br/>
              <w:t>Pointer to the parameter set valid for a certain cell group (up to four).</w:t>
            </w:r>
          </w:p>
          <w:p w14:paraId="48911351" w14:textId="77777777" w:rsidR="00711444" w:rsidRPr="004D0DAA" w:rsidRDefault="00711444" w:rsidP="00AA2A4C">
            <w:pPr>
              <w:rPr>
                <w:b/>
              </w:rPr>
            </w:pPr>
            <w:r w:rsidRPr="004D0DAA">
              <w:rPr>
                <w:b/>
              </w:rPr>
              <w:t>BCC</w:t>
            </w:r>
            <w:r w:rsidRPr="004D0DAA">
              <w:t xml:space="preserve"> (3 bit field)</w:t>
            </w:r>
            <w:r w:rsidRPr="004D0DAA">
              <w:br/>
              <w:t>BTS Colour Code.</w:t>
            </w:r>
          </w:p>
        </w:tc>
      </w:tr>
      <w:tr w:rsidR="00711444" w:rsidRPr="004D0DAA" w14:paraId="75F5FECD" w14:textId="77777777" w:rsidTr="00AA2A4C">
        <w:tblPrEx>
          <w:tblCellMar>
            <w:top w:w="0" w:type="dxa"/>
            <w:bottom w:w="0" w:type="dxa"/>
          </w:tblCellMar>
        </w:tblPrEx>
        <w:trPr>
          <w:cantSplit/>
        </w:trPr>
        <w:tc>
          <w:tcPr>
            <w:tcW w:w="9848" w:type="dxa"/>
          </w:tcPr>
          <w:p w14:paraId="69B9411B" w14:textId="77777777" w:rsidR="00711444" w:rsidRPr="004D0DAA" w:rsidRDefault="00711444" w:rsidP="00AA2A4C">
            <w:r w:rsidRPr="004D0DAA">
              <w:rPr>
                <w:b/>
                <w:i/>
              </w:rPr>
              <w:t>Neighbour parameter set struct and COMPACT Neighbour parameter set struct</w:t>
            </w:r>
            <w:r w:rsidRPr="004D0DAA">
              <w:rPr>
                <w:i/>
              </w:rPr>
              <w:br/>
            </w:r>
            <w:r w:rsidRPr="004D0DAA">
              <w:t>The actual parameter values for the Neighbour Cell params 2 struct and the COMPACT Neighbour Cell params struct are given is these structures. Default values for absent parameters are defined according to the general rule given above, except:</w:t>
            </w:r>
          </w:p>
          <w:p w14:paraId="0303A558" w14:textId="77777777" w:rsidR="00711444" w:rsidRPr="004D0DAA" w:rsidRDefault="00711444" w:rsidP="00AA2A4C">
            <w:r w:rsidRPr="004D0DAA">
              <w:rPr>
                <w:b/>
              </w:rPr>
              <w:t>NCC</w:t>
            </w:r>
            <w:r w:rsidRPr="004D0DAA">
              <w:t xml:space="preserve"> : bit (3). Network Colour Code. The default value is given by the serving cell. </w:t>
            </w:r>
          </w:p>
          <w:p w14:paraId="3DEADB90" w14:textId="77777777" w:rsidR="00711444" w:rsidRPr="004D0DAA" w:rsidRDefault="00711444" w:rsidP="00AA2A4C">
            <w:pPr>
              <w:rPr>
                <w:b/>
              </w:rPr>
            </w:pPr>
            <w:r w:rsidRPr="004D0DAA">
              <w:rPr>
                <w:b/>
              </w:rPr>
              <w:t>LSA Parameters IE</w:t>
            </w:r>
            <w:r w:rsidRPr="004D0DAA">
              <w:rPr>
                <w:b/>
              </w:rPr>
              <w:br/>
            </w:r>
            <w:r w:rsidRPr="004D0DAA">
              <w:t xml:space="preserve">The LSA Parameters IE is described under PSI3 and in sub-clause 12.28. </w:t>
            </w:r>
          </w:p>
        </w:tc>
      </w:tr>
      <w:tr w:rsidR="00711444" w:rsidRPr="004D0DAA" w14:paraId="53E96633" w14:textId="77777777" w:rsidTr="00AA2A4C">
        <w:tblPrEx>
          <w:tblCellMar>
            <w:top w:w="0" w:type="dxa"/>
            <w:bottom w:w="0" w:type="dxa"/>
          </w:tblCellMar>
        </w:tblPrEx>
        <w:trPr>
          <w:cantSplit/>
        </w:trPr>
        <w:tc>
          <w:tcPr>
            <w:tcW w:w="9848" w:type="dxa"/>
          </w:tcPr>
          <w:p w14:paraId="793CE6FF" w14:textId="77777777" w:rsidR="00711444" w:rsidRPr="004D0DAA" w:rsidRDefault="00711444" w:rsidP="00AA2A4C">
            <w:pPr>
              <w:rPr>
                <w:b/>
              </w:rPr>
            </w:pPr>
            <w:r w:rsidRPr="004D0DAA">
              <w:rPr>
                <w:b/>
                <w:i/>
              </w:rPr>
              <w:t>CCN Support Description</w:t>
            </w:r>
            <w:r w:rsidRPr="004D0DAA">
              <w:rPr>
                <w:b/>
              </w:rPr>
              <w:t xml:space="preserve"> </w:t>
            </w:r>
          </w:p>
          <w:p w14:paraId="3076AD76" w14:textId="77777777" w:rsidR="00711444" w:rsidRPr="004D0DAA" w:rsidRDefault="00711444" w:rsidP="00AA2A4C">
            <w:pPr>
              <w:rPr>
                <w:b/>
              </w:rPr>
            </w:pPr>
            <w:r w:rsidRPr="004D0DAA">
              <w:rPr>
                <w:b/>
              </w:rPr>
              <w:t>CCN_SUPPORTED</w:t>
            </w:r>
            <w:r w:rsidRPr="004D0DAA">
              <w:t xml:space="preserve"> (1 bit field) </w:t>
            </w:r>
            <w:r w:rsidRPr="004D0DAA">
              <w:br/>
              <w:t>This parameter is used for determining whether the mobile station shall enter CCN mode when re-selecting a cell and CCN is enabled. The use of these bits is described in sub-clause 8.8.2a:</w:t>
            </w:r>
            <w:r w:rsidRPr="004D0DAA">
              <w:br/>
              <w:t>Bit</w:t>
            </w:r>
            <w:r w:rsidRPr="004D0DAA">
              <w:br/>
            </w:r>
            <w:r w:rsidRPr="004D0DAA">
              <w:rPr>
                <w:b/>
              </w:rPr>
              <w:t>0</w:t>
            </w:r>
            <w:r w:rsidRPr="004D0DAA">
              <w:tab/>
              <w:t>CCN is enabled towards the corresponding cell</w:t>
            </w:r>
            <w:r w:rsidRPr="004D0DAA">
              <w:br/>
            </w:r>
            <w:r w:rsidRPr="004D0DAA">
              <w:rPr>
                <w:b/>
              </w:rPr>
              <w:t>1</w:t>
            </w:r>
            <w:r w:rsidRPr="004D0DAA">
              <w:tab/>
              <w:t>CCN is disabled towards the corresponding cell</w:t>
            </w:r>
          </w:p>
        </w:tc>
      </w:tr>
      <w:tr w:rsidR="00711444" w:rsidRPr="004D0DAA" w14:paraId="1823584E" w14:textId="77777777" w:rsidTr="00AA2A4C">
        <w:tblPrEx>
          <w:tblCellMar>
            <w:top w:w="0" w:type="dxa"/>
            <w:bottom w:w="0" w:type="dxa"/>
          </w:tblCellMar>
        </w:tblPrEx>
        <w:trPr>
          <w:cantSplit/>
        </w:trPr>
        <w:tc>
          <w:tcPr>
            <w:tcW w:w="9848" w:type="dxa"/>
          </w:tcPr>
          <w:p w14:paraId="3C02A6AB" w14:textId="77777777" w:rsidR="00711444" w:rsidRPr="004D0DAA" w:rsidRDefault="00711444" w:rsidP="00AA2A4C">
            <w:pPr>
              <w:rPr>
                <w:bCs/>
              </w:rPr>
            </w:pPr>
            <w:r w:rsidRPr="004D0DAA">
              <w:rPr>
                <w:b/>
                <w:bCs/>
              </w:rPr>
              <w:t>CELL BAR QUALIFY 3</w:t>
            </w:r>
            <w:r w:rsidRPr="004D0DAA">
              <w:t xml:space="preserve"> </w:t>
            </w:r>
            <w:r w:rsidRPr="004D0DAA">
              <w:rPr>
                <w:bCs/>
              </w:rPr>
              <w:t>(2 bit field)</w:t>
            </w:r>
          </w:p>
          <w:p w14:paraId="4CC0B66D" w14:textId="77777777" w:rsidR="00711444" w:rsidRPr="004D0DAA" w:rsidRDefault="00711444" w:rsidP="00AA2A4C">
            <w:pPr>
              <w:rPr>
                <w:b/>
                <w:iCs/>
              </w:rPr>
            </w:pPr>
            <w:r w:rsidRPr="004D0DAA">
              <w:t>This information element is defined in 3GPP TS 44.018.</w:t>
            </w:r>
          </w:p>
        </w:tc>
      </w:tr>
      <w:tr w:rsidR="00711444" w:rsidRPr="004D0DAA" w14:paraId="54E6AC30" w14:textId="77777777" w:rsidTr="00AA2A4C">
        <w:tblPrEx>
          <w:tblCellMar>
            <w:top w:w="0" w:type="dxa"/>
            <w:bottom w:w="0" w:type="dxa"/>
          </w:tblCellMar>
        </w:tblPrEx>
        <w:trPr>
          <w:cantSplit/>
        </w:trPr>
        <w:tc>
          <w:tcPr>
            <w:tcW w:w="9848" w:type="dxa"/>
          </w:tcPr>
          <w:p w14:paraId="1EFF609C" w14:textId="77777777" w:rsidR="00711444" w:rsidRPr="004D0DAA" w:rsidRDefault="00711444" w:rsidP="00AA2A4C">
            <w:pPr>
              <w:rPr>
                <w:i/>
                <w:iCs/>
              </w:rPr>
            </w:pPr>
            <w:r w:rsidRPr="004D0DAA">
              <w:rPr>
                <w:i/>
                <w:iCs/>
              </w:rPr>
              <w:t>Iu mode Neighbour Cell params struct</w:t>
            </w:r>
          </w:p>
          <w:p w14:paraId="462A03F5" w14:textId="77777777" w:rsidR="00711444" w:rsidRPr="004D0DAA" w:rsidRDefault="00711444" w:rsidP="00AA2A4C">
            <w:pPr>
              <w:rPr>
                <w:b/>
                <w:iCs/>
              </w:rPr>
            </w:pPr>
            <w:r w:rsidRPr="004D0DAA">
              <w:rPr>
                <w:bCs/>
              </w:rPr>
              <w:t xml:space="preserve">This struct presents supplementary information for </w:t>
            </w:r>
            <w:r w:rsidRPr="004D0DAA">
              <w:rPr>
                <w:bCs/>
                <w:i/>
                <w:iCs/>
              </w:rPr>
              <w:t>Iu mode</w:t>
            </w:r>
            <w:r w:rsidRPr="004D0DAA">
              <w:rPr>
                <w:bCs/>
              </w:rPr>
              <w:t xml:space="preserve"> capable cells. </w:t>
            </w:r>
            <w:r w:rsidRPr="004D0DAA">
              <w:t xml:space="preserve">The struct may be included in this message and assigns </w:t>
            </w:r>
            <w:r w:rsidRPr="004D0DAA">
              <w:rPr>
                <w:i/>
                <w:iCs/>
              </w:rPr>
              <w:t>Iu mode</w:t>
            </w:r>
            <w:r w:rsidRPr="004D0DAA">
              <w:t xml:space="preserve"> parameter values to the neighbouring cells defined by the message. </w:t>
            </w:r>
            <w:r w:rsidRPr="004D0DAA">
              <w:rPr>
                <w:i/>
                <w:iCs/>
              </w:rPr>
              <w:t xml:space="preserve">Iu mode </w:t>
            </w:r>
            <w:r w:rsidRPr="004D0DAA">
              <w:t xml:space="preserve">capable neighbouring cells may be defined by the </w:t>
            </w:r>
            <w:r w:rsidRPr="004D0DAA">
              <w:rPr>
                <w:i/>
              </w:rPr>
              <w:t>Neighbour Cell parameters</w:t>
            </w:r>
            <w:r w:rsidRPr="004D0DAA">
              <w:t xml:space="preserve"> and the </w:t>
            </w:r>
            <w:r w:rsidRPr="004D0DAA">
              <w:rPr>
                <w:i/>
              </w:rPr>
              <w:t xml:space="preserve">Neighbour Cell parameters 2 </w:t>
            </w:r>
            <w:r w:rsidRPr="004D0DAA">
              <w:t>IEs</w:t>
            </w:r>
            <w:r w:rsidRPr="004D0DAA">
              <w:rPr>
                <w:i/>
              </w:rPr>
              <w:t>.</w:t>
            </w:r>
            <w:r w:rsidRPr="004D0DAA">
              <w:t xml:space="preserve"> The </w:t>
            </w:r>
            <w:r w:rsidRPr="004D0DAA">
              <w:rPr>
                <w:i/>
                <w:iCs/>
              </w:rPr>
              <w:t>Iu mode Neighbour Cell params struct</w:t>
            </w:r>
            <w:r w:rsidRPr="004D0DAA">
              <w:t xml:space="preserve"> values are assigned to the neighbouring cells in the same order they appear in the PSI3 and PSI3bis messages.</w:t>
            </w:r>
          </w:p>
        </w:tc>
      </w:tr>
    </w:tbl>
    <w:p w14:paraId="306893A4" w14:textId="77777777" w:rsidR="00711444" w:rsidRPr="004D0DAA" w:rsidRDefault="00711444" w:rsidP="00711444"/>
    <w:p w14:paraId="36F4CB20" w14:textId="77777777" w:rsidR="00711444" w:rsidRPr="004D0DAA" w:rsidRDefault="00711444" w:rsidP="00711444">
      <w:pPr>
        <w:pStyle w:val="Heading3"/>
      </w:pPr>
      <w:bookmarkStart w:id="695" w:name="_Toc516669871"/>
      <w:r w:rsidRPr="004D0DAA">
        <w:t>11.2.21a</w:t>
      </w:r>
      <w:r w:rsidRPr="004D0DAA">
        <w:tab/>
        <w:t>Packet System Information Type 3 ter</w:t>
      </w:r>
      <w:bookmarkEnd w:id="695"/>
    </w:p>
    <w:p w14:paraId="68216E94" w14:textId="77777777" w:rsidR="00711444" w:rsidRPr="004D0DAA" w:rsidRDefault="00711444" w:rsidP="00711444">
      <w:r w:rsidRPr="004D0DAA">
        <w:t>This message is sent by the network on the PBCCH or PACCH giving information on additional measurement and reporting parameters. This message shall not be segmented across more than one RLC/MAC control block by using the procedures specified in sub-clause 9.1.12a. If not all information fits into one instance of the PSI3ter message, the PSI3ter message can be repeated. Special requirements for the transmission of this message apply on PBCCH, see 3GPP TS 45.002.</w:t>
      </w:r>
    </w:p>
    <w:p w14:paraId="659C0971" w14:textId="77777777" w:rsidR="00711444" w:rsidRPr="004D0DAA" w:rsidRDefault="00711444" w:rsidP="00711444">
      <w:pPr>
        <w:pStyle w:val="EX"/>
      </w:pPr>
      <w:r w:rsidRPr="004D0DAA">
        <w:t>Message type:</w:t>
      </w:r>
      <w:r w:rsidRPr="004D0DAA">
        <w:tab/>
        <w:t>PACKET SYSTEM INFORMATION TYPE 3 TER</w:t>
      </w:r>
    </w:p>
    <w:p w14:paraId="2E23208C" w14:textId="77777777" w:rsidR="00711444" w:rsidRPr="004D0DAA" w:rsidRDefault="00711444" w:rsidP="00711444">
      <w:pPr>
        <w:pStyle w:val="EX"/>
      </w:pPr>
      <w:r w:rsidRPr="004D0DAA">
        <w:t>Direction:</w:t>
      </w:r>
      <w:r w:rsidRPr="004D0DAA">
        <w:tab/>
        <w:t>network to mobile station</w:t>
      </w:r>
    </w:p>
    <w:p w14:paraId="14A4754D" w14:textId="77777777" w:rsidR="00711444" w:rsidRPr="004D0DAA" w:rsidRDefault="00711444" w:rsidP="00711444">
      <w:pPr>
        <w:pStyle w:val="EX"/>
        <w:rPr>
          <w:lang w:val="fr-FR"/>
        </w:rPr>
      </w:pPr>
      <w:r w:rsidRPr="004D0DAA">
        <w:rPr>
          <w:lang w:val="fr-FR"/>
        </w:rPr>
        <w:lastRenderedPageBreak/>
        <w:t>Classification:</w:t>
      </w:r>
      <w:r w:rsidRPr="004D0DAA">
        <w:rPr>
          <w:lang w:val="fr-FR"/>
        </w:rPr>
        <w:tab/>
        <w:t>distribution message</w:t>
      </w:r>
    </w:p>
    <w:p w14:paraId="0434C7AB" w14:textId="77777777" w:rsidR="00711444" w:rsidRPr="004D0DAA" w:rsidRDefault="00711444" w:rsidP="00711444">
      <w:pPr>
        <w:pStyle w:val="TH"/>
        <w:rPr>
          <w:lang w:val="fr-FR"/>
        </w:rPr>
      </w:pPr>
      <w:r w:rsidRPr="004D0DAA">
        <w:rPr>
          <w:lang w:val="fr-FR"/>
        </w:rPr>
        <w:t>Table 11.2.21a.1: PSI3 ter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5C364DF" w14:textId="77777777" w:rsidTr="00AA2A4C">
        <w:tblPrEx>
          <w:tblCellMar>
            <w:top w:w="0" w:type="dxa"/>
            <w:bottom w:w="0" w:type="dxa"/>
          </w:tblCellMar>
        </w:tblPrEx>
        <w:trPr>
          <w:cantSplit/>
        </w:trPr>
        <w:tc>
          <w:tcPr>
            <w:tcW w:w="9848" w:type="dxa"/>
          </w:tcPr>
          <w:p w14:paraId="77DCA38A" w14:textId="77777777" w:rsidR="00711444" w:rsidRPr="004D0DAA" w:rsidRDefault="00711444" w:rsidP="00AA2A4C">
            <w:pPr>
              <w:pStyle w:val="TAL"/>
              <w:rPr>
                <w:lang w:val="fr-FR" w:eastAsia="en-US"/>
              </w:rPr>
            </w:pPr>
            <w:r w:rsidRPr="004D0DAA">
              <w:rPr>
                <w:lang w:val="fr-FR" w:eastAsia="en-US"/>
              </w:rPr>
              <w:t>&lt; PSI3 ter message content &gt; ::=</w:t>
            </w:r>
          </w:p>
          <w:p w14:paraId="667ADCB7"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127254CA"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PSI3_CHANGE_MARK </w:t>
            </w:r>
            <w:r w:rsidRPr="004D0DAA">
              <w:rPr>
                <w:lang w:eastAsia="en-US"/>
              </w:rPr>
              <w:t>: bit (2) &gt;</w:t>
            </w:r>
          </w:p>
          <w:p w14:paraId="472B89F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PSI3_TER_INDEX </w:t>
            </w:r>
            <w:r w:rsidRPr="004D0DAA">
              <w:rPr>
                <w:lang w:eastAsia="en-US"/>
              </w:rPr>
              <w:t>: bit (4) &gt;</w:t>
            </w:r>
          </w:p>
          <w:p w14:paraId="6C58DEF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PSI3_TER_COUNT </w:t>
            </w:r>
            <w:r w:rsidRPr="004D0DAA">
              <w:rPr>
                <w:lang w:eastAsia="en-US"/>
              </w:rPr>
              <w:t>: bit (4) &gt;</w:t>
            </w:r>
          </w:p>
          <w:p w14:paraId="286E647A"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0 | 1 &lt; </w:t>
            </w:r>
            <w:r w:rsidRPr="004D0DAA">
              <w:rPr>
                <w:b/>
                <w:lang w:eastAsia="en-US"/>
              </w:rPr>
              <w:t>Real Time Difference Description</w:t>
            </w:r>
            <w:r w:rsidRPr="004D0DAA">
              <w:rPr>
                <w:lang w:eastAsia="en-US"/>
              </w:rPr>
              <w:t xml:space="preserve"> : &lt; Real Time Difference Description struct &gt;&gt; }</w:t>
            </w:r>
          </w:p>
          <w:p w14:paraId="2E115F62" w14:textId="77777777" w:rsidR="00711444" w:rsidRPr="004D0DAA" w:rsidRDefault="00711444" w:rsidP="00AA2A4C">
            <w:pPr>
              <w:pStyle w:val="TAL"/>
              <w:rPr>
                <w:b/>
                <w:lang w:eastAsia="en-US"/>
              </w:rPr>
            </w:pPr>
            <w:r w:rsidRPr="004D0DAA">
              <w:rPr>
                <w:lang w:eastAsia="en-US"/>
              </w:rPr>
              <w:tab/>
            </w:r>
            <w:r w:rsidRPr="004D0DAA">
              <w:rPr>
                <w:lang w:eastAsia="en-US"/>
              </w:rPr>
              <w:tab/>
              <w:t xml:space="preserve">{ 0 | 1 &lt; </w:t>
            </w:r>
            <w:r w:rsidRPr="004D0DAA">
              <w:rPr>
                <w:b/>
                <w:lang w:eastAsia="en-US"/>
              </w:rPr>
              <w:t>GPRS REP_PRIORITY Description</w:t>
            </w:r>
            <w:r w:rsidRPr="004D0DAA">
              <w:rPr>
                <w:lang w:eastAsia="en-US"/>
              </w:rPr>
              <w:t xml:space="preserve"> : &lt; GPRS</w:t>
            </w:r>
            <w:r w:rsidRPr="004D0DAA">
              <w:rPr>
                <w:b/>
                <w:lang w:eastAsia="en-US"/>
              </w:rPr>
              <w:t xml:space="preserve"> </w:t>
            </w:r>
            <w:r w:rsidRPr="004D0DAA">
              <w:rPr>
                <w:lang w:eastAsia="en-US"/>
              </w:rPr>
              <w:t>REP PRIORITY Description struct &gt;&gt; }</w:t>
            </w:r>
          </w:p>
          <w:p w14:paraId="6B84FBE1" w14:textId="77777777" w:rsidR="00711444" w:rsidRPr="004D0DAA" w:rsidRDefault="00711444" w:rsidP="00AA2A4C">
            <w:pPr>
              <w:pStyle w:val="TAL"/>
              <w:rPr>
                <w:lang w:eastAsia="en-US"/>
              </w:rPr>
            </w:pPr>
            <w:r w:rsidRPr="004D0DAA">
              <w:rPr>
                <w:lang w:eastAsia="en-US"/>
              </w:rPr>
              <w:tab/>
            </w:r>
            <w:r w:rsidRPr="004D0DAA">
              <w:rPr>
                <w:lang w:eastAsia="en-US"/>
              </w:rPr>
              <w:tab/>
              <w:t>&lt; padding bits &gt; }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67BFD94D" w14:textId="77777777" w:rsidR="00711444" w:rsidRPr="004D0DAA" w:rsidRDefault="00711444" w:rsidP="00AA2A4C">
            <w:pPr>
              <w:pStyle w:val="TAL"/>
              <w:rPr>
                <w:lang w:eastAsia="en-US"/>
              </w:rPr>
            </w:pPr>
            <w:r w:rsidRPr="004D0DAA">
              <w:rPr>
                <w:lang w:eastAsia="en-US"/>
              </w:rPr>
              <w:tab/>
              <w:t>! &lt; Distribution part error : bit (*) = &lt; no string &gt; &gt; ;</w:t>
            </w:r>
          </w:p>
          <w:p w14:paraId="460054D6" w14:textId="77777777" w:rsidR="00711444" w:rsidRPr="004D0DAA" w:rsidRDefault="00711444" w:rsidP="00AA2A4C">
            <w:pPr>
              <w:pStyle w:val="TAL"/>
              <w:rPr>
                <w:lang w:eastAsia="en-US"/>
              </w:rPr>
            </w:pPr>
          </w:p>
        </w:tc>
      </w:tr>
      <w:tr w:rsidR="00711444" w:rsidRPr="004D0DAA" w14:paraId="792C1071" w14:textId="77777777" w:rsidTr="00AA2A4C">
        <w:tblPrEx>
          <w:tblCellMar>
            <w:top w:w="0" w:type="dxa"/>
            <w:bottom w:w="0" w:type="dxa"/>
          </w:tblCellMar>
        </w:tblPrEx>
        <w:trPr>
          <w:cantSplit/>
        </w:trPr>
        <w:tc>
          <w:tcPr>
            <w:tcW w:w="9848" w:type="dxa"/>
          </w:tcPr>
          <w:p w14:paraId="04016B4C" w14:textId="77777777" w:rsidR="00711444" w:rsidRPr="004D0DAA" w:rsidRDefault="00711444" w:rsidP="00AA2A4C">
            <w:pPr>
              <w:pStyle w:val="TAL"/>
              <w:rPr>
                <w:lang w:eastAsia="en-US"/>
              </w:rPr>
            </w:pPr>
            <w:r w:rsidRPr="004D0DAA">
              <w:rPr>
                <w:lang w:eastAsia="en-US"/>
              </w:rPr>
              <w:t>&lt; Real Time Difference Description struct &gt; ::=</w:t>
            </w:r>
          </w:p>
          <w:p w14:paraId="457E037F" w14:textId="77777777" w:rsidR="00711444" w:rsidRPr="004D0DAA" w:rsidRDefault="00711444" w:rsidP="00AA2A4C">
            <w:pPr>
              <w:pStyle w:val="TAL"/>
              <w:rPr>
                <w:lang w:eastAsia="en-US"/>
              </w:rPr>
            </w:pPr>
            <w:r w:rsidRPr="004D0DAA">
              <w:rPr>
                <w:lang w:eastAsia="en-US"/>
              </w:rPr>
              <w:tab/>
              <w:t>{ 0 | 1</w:t>
            </w:r>
            <w:r w:rsidRPr="004D0DAA">
              <w:rPr>
                <w:lang w:eastAsia="en-US"/>
              </w:rPr>
              <w:tab/>
              <w:t>{ 0 | 1</w:t>
            </w:r>
            <w:r w:rsidRPr="004D0DAA">
              <w:rPr>
                <w:lang w:eastAsia="en-US"/>
              </w:rPr>
              <w:tab/>
              <w:t xml:space="preserve">&lt; </w:t>
            </w:r>
            <w:r w:rsidRPr="004D0DAA">
              <w:rPr>
                <w:b/>
                <w:lang w:eastAsia="en-US"/>
              </w:rPr>
              <w:t>Cell_Index_Start_RTD</w:t>
            </w:r>
            <w:r w:rsidRPr="004D0DAA">
              <w:rPr>
                <w:lang w:eastAsia="en-US"/>
              </w:rPr>
              <w:t xml:space="preserve"> : bit (7) &gt; }</w:t>
            </w:r>
            <w:r w:rsidRPr="004D0DAA">
              <w:rPr>
                <w:lang w:eastAsia="en-US"/>
              </w:rPr>
              <w:tab/>
              <w:t xml:space="preserve">-- </w:t>
            </w:r>
            <w:r w:rsidRPr="004D0DAA">
              <w:rPr>
                <w:i/>
                <w:lang w:eastAsia="en-US"/>
              </w:rPr>
              <w:t>default value=0</w:t>
            </w:r>
          </w:p>
          <w:p w14:paraId="0E59048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RTD Struct</w:t>
            </w:r>
            <w:r w:rsidRPr="004D0DAA">
              <w:rPr>
                <w:lang w:eastAsia="en-US"/>
              </w:rPr>
              <w:t xml:space="preserve"> : &lt; RTD6 Struct &gt;&gt;</w:t>
            </w:r>
          </w:p>
          <w:p w14:paraId="080F0C9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&lt; </w:t>
            </w:r>
            <w:r w:rsidRPr="004D0DAA">
              <w:rPr>
                <w:b/>
                <w:lang w:eastAsia="en-US"/>
              </w:rPr>
              <w:t>RTD Struct</w:t>
            </w:r>
            <w:r w:rsidRPr="004D0DAA">
              <w:rPr>
                <w:lang w:eastAsia="en-US"/>
              </w:rPr>
              <w:t xml:space="preserve"> : &lt; RTD6 Struct &gt;&gt; } **1 }</w:t>
            </w:r>
            <w:r w:rsidRPr="004D0DAA">
              <w:rPr>
                <w:lang w:eastAsia="en-US"/>
              </w:rPr>
              <w:tab/>
              <w:t xml:space="preserve">-- </w:t>
            </w:r>
            <w:r w:rsidRPr="004D0DAA">
              <w:rPr>
                <w:i/>
                <w:lang w:eastAsia="en-US"/>
              </w:rPr>
              <w:t>'0' : increment by 1 the index of the GSM Neighbour Cell list</w:t>
            </w:r>
          </w:p>
          <w:p w14:paraId="44624E53" w14:textId="77777777" w:rsidR="00711444" w:rsidRPr="004D0DAA" w:rsidRDefault="00711444" w:rsidP="00AA2A4C">
            <w:pPr>
              <w:pStyle w:val="TAL"/>
              <w:rPr>
                <w:i/>
                <w:lang w:eastAsia="en-US"/>
              </w:rPr>
            </w:pPr>
            <w:r w:rsidRPr="004D0DAA">
              <w:rPr>
                <w:lang w:eastAsia="en-US"/>
              </w:rPr>
              <w:tab/>
              <w:t>{ 0 | 1</w:t>
            </w:r>
            <w:r w:rsidRPr="004D0DAA">
              <w:rPr>
                <w:lang w:eastAsia="en-US"/>
              </w:rPr>
              <w:tab/>
              <w:t>{ 0 | 1</w:t>
            </w:r>
            <w:r w:rsidRPr="004D0DAA">
              <w:rPr>
                <w:lang w:eastAsia="en-US"/>
              </w:rPr>
              <w:tab/>
              <w:t xml:space="preserve">&lt; </w:t>
            </w:r>
            <w:r w:rsidRPr="004D0DAA">
              <w:rPr>
                <w:b/>
                <w:lang w:eastAsia="en-US"/>
              </w:rPr>
              <w:t>Cell_Index_Start_RTD</w:t>
            </w:r>
            <w:r w:rsidRPr="004D0DAA">
              <w:rPr>
                <w:lang w:eastAsia="en-US"/>
              </w:rPr>
              <w:t xml:space="preserve"> : bit (7) &gt; }</w:t>
            </w:r>
            <w:r w:rsidRPr="004D0DAA">
              <w:rPr>
                <w:lang w:eastAsia="en-US"/>
              </w:rPr>
              <w:tab/>
              <w:t xml:space="preserve">-- </w:t>
            </w:r>
            <w:r w:rsidRPr="004D0DAA">
              <w:rPr>
                <w:i/>
                <w:lang w:eastAsia="en-US"/>
              </w:rPr>
              <w:t>default value=0</w:t>
            </w:r>
          </w:p>
          <w:p w14:paraId="0A63A7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RTD Struct</w:t>
            </w:r>
            <w:r w:rsidRPr="004D0DAA">
              <w:rPr>
                <w:lang w:eastAsia="en-US"/>
              </w:rPr>
              <w:t xml:space="preserve"> : &lt; RTD12 Struct &gt;&gt;</w:t>
            </w:r>
          </w:p>
          <w:p w14:paraId="2C25B7A0"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 0 &lt; </w:t>
            </w:r>
            <w:r w:rsidRPr="004D0DAA">
              <w:rPr>
                <w:b/>
                <w:lang w:eastAsia="en-US"/>
              </w:rPr>
              <w:t>RTD Struct</w:t>
            </w:r>
            <w:r w:rsidRPr="004D0DAA">
              <w:rPr>
                <w:lang w:eastAsia="en-US"/>
              </w:rPr>
              <w:t xml:space="preserve"> : &lt; RTD12 Struct &gt;&gt; } **1 };</w:t>
            </w:r>
            <w:r w:rsidRPr="004D0DAA">
              <w:rPr>
                <w:lang w:eastAsia="en-US"/>
              </w:rPr>
              <w:tab/>
              <w:t xml:space="preserve">-- </w:t>
            </w:r>
            <w:r w:rsidRPr="004D0DAA">
              <w:rPr>
                <w:i/>
                <w:lang w:eastAsia="en-US"/>
              </w:rPr>
              <w:t>'0' : increment by 1 the index of the GSM Neighbour Cell list</w:t>
            </w:r>
          </w:p>
          <w:p w14:paraId="3E024C0B" w14:textId="77777777" w:rsidR="00711444" w:rsidRPr="004D0DAA" w:rsidRDefault="00711444" w:rsidP="00AA2A4C">
            <w:pPr>
              <w:pStyle w:val="TAL"/>
              <w:rPr>
                <w:lang w:eastAsia="en-US"/>
              </w:rPr>
            </w:pPr>
          </w:p>
        </w:tc>
      </w:tr>
      <w:tr w:rsidR="00711444" w:rsidRPr="004D0DAA" w14:paraId="561455E5" w14:textId="77777777" w:rsidTr="00AA2A4C">
        <w:tblPrEx>
          <w:tblCellMar>
            <w:top w:w="0" w:type="dxa"/>
            <w:bottom w:w="0" w:type="dxa"/>
          </w:tblCellMar>
        </w:tblPrEx>
        <w:trPr>
          <w:cantSplit/>
        </w:trPr>
        <w:tc>
          <w:tcPr>
            <w:tcW w:w="9848" w:type="dxa"/>
          </w:tcPr>
          <w:p w14:paraId="2A7FC613" w14:textId="77777777" w:rsidR="00711444" w:rsidRPr="004D0DAA" w:rsidRDefault="00711444" w:rsidP="00AA2A4C">
            <w:pPr>
              <w:pStyle w:val="TAL"/>
              <w:rPr>
                <w:lang w:eastAsia="en-US"/>
              </w:rPr>
            </w:pPr>
            <w:r w:rsidRPr="004D0DAA">
              <w:rPr>
                <w:lang w:eastAsia="en-US"/>
              </w:rPr>
              <w:t>&lt; RTD6 Struct &gt; ::=</w:t>
            </w:r>
          </w:p>
          <w:p w14:paraId="02DE86A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RTD</w:t>
            </w:r>
            <w:r w:rsidRPr="004D0DAA">
              <w:rPr>
                <w:lang w:eastAsia="en-US"/>
              </w:rPr>
              <w:t xml:space="preserve"> : bit (6)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--'0' means no RTD for this cell</w:t>
            </w:r>
          </w:p>
          <w:p w14:paraId="2DE117B4" w14:textId="77777777" w:rsidR="00711444" w:rsidRPr="004D0DAA" w:rsidRDefault="00711444" w:rsidP="00AA2A4C">
            <w:pPr>
              <w:pStyle w:val="TAL"/>
              <w:rPr>
                <w:lang w:eastAsia="en-US"/>
              </w:rPr>
            </w:pPr>
          </w:p>
          <w:p w14:paraId="2F57161B" w14:textId="77777777" w:rsidR="00711444" w:rsidRPr="004D0DAA" w:rsidRDefault="00711444" w:rsidP="00AA2A4C">
            <w:pPr>
              <w:pStyle w:val="TAL"/>
              <w:rPr>
                <w:lang w:eastAsia="en-US"/>
              </w:rPr>
            </w:pPr>
            <w:r w:rsidRPr="004D0DAA">
              <w:rPr>
                <w:lang w:eastAsia="en-US"/>
              </w:rPr>
              <w:t>&lt; RTD12 Struct &gt; ::=</w:t>
            </w:r>
          </w:p>
          <w:p w14:paraId="3AF7DFC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RTD</w:t>
            </w:r>
            <w:r w:rsidRPr="004D0DAA">
              <w:rPr>
                <w:lang w:eastAsia="en-US"/>
              </w:rPr>
              <w:t xml:space="preserve"> : bit (12)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ab/>
            </w:r>
            <w:r w:rsidRPr="004D0DAA">
              <w:rPr>
                <w:lang w:eastAsia="en-US"/>
              </w:rPr>
              <w:t xml:space="preserve">-- </w:t>
            </w:r>
            <w:r w:rsidRPr="004D0DAA">
              <w:rPr>
                <w:i/>
                <w:lang w:eastAsia="en-US"/>
              </w:rPr>
              <w:t>'0' means no RTD for this cell</w:t>
            </w:r>
          </w:p>
          <w:p w14:paraId="524FAFB3" w14:textId="77777777" w:rsidR="00711444" w:rsidRPr="004D0DAA" w:rsidRDefault="00711444" w:rsidP="00AA2A4C">
            <w:pPr>
              <w:pStyle w:val="TAL"/>
              <w:rPr>
                <w:lang w:eastAsia="en-US"/>
              </w:rPr>
            </w:pPr>
          </w:p>
        </w:tc>
      </w:tr>
      <w:tr w:rsidR="00711444" w:rsidRPr="004D0DAA" w14:paraId="59570268" w14:textId="77777777" w:rsidTr="00AA2A4C">
        <w:tblPrEx>
          <w:tblCellMar>
            <w:top w:w="0" w:type="dxa"/>
            <w:bottom w:w="0" w:type="dxa"/>
          </w:tblCellMar>
        </w:tblPrEx>
        <w:trPr>
          <w:cantSplit/>
        </w:trPr>
        <w:tc>
          <w:tcPr>
            <w:tcW w:w="9848" w:type="dxa"/>
          </w:tcPr>
          <w:p w14:paraId="6530134C" w14:textId="77777777" w:rsidR="00711444" w:rsidRPr="004D0DAA" w:rsidRDefault="00711444" w:rsidP="00AA2A4C">
            <w:pPr>
              <w:pStyle w:val="TAL"/>
              <w:rPr>
                <w:lang w:eastAsia="en-US"/>
              </w:rPr>
            </w:pPr>
            <w:r w:rsidRPr="004D0DAA">
              <w:rPr>
                <w:lang w:eastAsia="en-US"/>
              </w:rPr>
              <w:t>&lt; GPRS REP PRIORITY Description struct &gt; ::=</w:t>
            </w:r>
          </w:p>
          <w:p w14:paraId="0061340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Number_Cells</w:t>
            </w:r>
            <w:r w:rsidRPr="004D0DAA">
              <w:rPr>
                <w:lang w:eastAsia="en-US"/>
              </w:rPr>
              <w:t> : bit(7) &gt; </w:t>
            </w:r>
          </w:p>
          <w:p w14:paraId="2C16068D"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 xml:space="preserve">REP_PRIORITY </w:t>
            </w:r>
            <w:r w:rsidRPr="004D0DAA">
              <w:rPr>
                <w:lang w:eastAsia="en-US"/>
              </w:rPr>
              <w:t>:</w:t>
            </w:r>
            <w:r w:rsidRPr="004D0DAA">
              <w:rPr>
                <w:b/>
                <w:lang w:eastAsia="en-US"/>
              </w:rPr>
              <w:t xml:space="preserve"> </w:t>
            </w:r>
            <w:r w:rsidRPr="004D0DAA">
              <w:rPr>
                <w:lang w:eastAsia="en-US"/>
              </w:rPr>
              <w:t>bit &gt;</w:t>
            </w:r>
            <w:r w:rsidRPr="004D0DAA">
              <w:rPr>
                <w:b/>
                <w:lang w:eastAsia="en-US"/>
              </w:rPr>
              <w:t xml:space="preserve"> </w:t>
            </w:r>
            <w:r w:rsidRPr="004D0DAA">
              <w:rPr>
                <w:lang w:eastAsia="en-US"/>
              </w:rPr>
              <w:t>} * (val(Number_Cells)) ;</w:t>
            </w:r>
          </w:p>
          <w:p w14:paraId="64061B6D" w14:textId="77777777" w:rsidR="00711444" w:rsidRPr="004D0DAA" w:rsidRDefault="00711444" w:rsidP="00AA2A4C">
            <w:pPr>
              <w:pStyle w:val="TAL"/>
              <w:rPr>
                <w:lang w:eastAsia="en-US"/>
              </w:rPr>
            </w:pPr>
          </w:p>
        </w:tc>
      </w:tr>
    </w:tbl>
    <w:p w14:paraId="7A043980" w14:textId="77777777" w:rsidR="00711444" w:rsidRPr="004D0DAA" w:rsidRDefault="00711444" w:rsidP="00711444"/>
    <w:p w14:paraId="0F1EEF05" w14:textId="77777777" w:rsidR="00711444" w:rsidRPr="004D0DAA" w:rsidRDefault="00711444" w:rsidP="00711444">
      <w:pPr>
        <w:pStyle w:val="TH"/>
      </w:pPr>
      <w:r w:rsidRPr="004D0DAA">
        <w:t>Table 11.2.21a.2: PSI3 ter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62149DB" w14:textId="77777777" w:rsidTr="00AA2A4C">
        <w:tblPrEx>
          <w:tblCellMar>
            <w:top w:w="0" w:type="dxa"/>
            <w:bottom w:w="0" w:type="dxa"/>
          </w:tblCellMar>
        </w:tblPrEx>
        <w:trPr>
          <w:cantSplit/>
        </w:trPr>
        <w:tc>
          <w:tcPr>
            <w:tcW w:w="9848" w:type="dxa"/>
          </w:tcPr>
          <w:p w14:paraId="30C44EAF" w14:textId="77777777" w:rsidR="00711444" w:rsidRPr="004D0DAA" w:rsidRDefault="00711444" w:rsidP="00AA2A4C">
            <w:r w:rsidRPr="004D0DAA">
              <w:rPr>
                <w:b/>
              </w:rPr>
              <w:t>PAGE_MODE</w:t>
            </w:r>
            <w:r w:rsidRPr="004D0DAA">
              <w:t xml:space="preserve"> (2 bit field)</w:t>
            </w:r>
            <w:r w:rsidRPr="004D0DAA">
              <w:br/>
              <w:t>See description under PSI3.</w:t>
            </w:r>
          </w:p>
          <w:p w14:paraId="760B6E6E" w14:textId="77777777" w:rsidR="00711444" w:rsidRPr="004D0DAA" w:rsidRDefault="00711444" w:rsidP="00AA2A4C">
            <w:r w:rsidRPr="004D0DAA">
              <w:rPr>
                <w:b/>
              </w:rPr>
              <w:t xml:space="preserve">PSI3_CHANGE_MARK </w:t>
            </w:r>
            <w:r w:rsidRPr="004D0DAA">
              <w:t>(2 bit field)</w:t>
            </w:r>
            <w:r w:rsidRPr="004D0DAA">
              <w:br/>
              <w:t>See description under PSI3.</w:t>
            </w:r>
          </w:p>
          <w:p w14:paraId="2F987084" w14:textId="77777777" w:rsidR="00711444" w:rsidRPr="004D0DAA" w:rsidRDefault="00711444" w:rsidP="00AA2A4C">
            <w:pPr>
              <w:rPr>
                <w:b/>
              </w:rPr>
            </w:pPr>
            <w:r w:rsidRPr="004D0DAA">
              <w:rPr>
                <w:b/>
              </w:rPr>
              <w:t xml:space="preserve">PSI3_TER_INDEX </w:t>
            </w:r>
            <w:r w:rsidRPr="004D0DAA">
              <w:t>(4 bit field)</w:t>
            </w:r>
            <w:r w:rsidRPr="004D0DAA">
              <w:br/>
              <w:t>The PSI3_TER_INDEX field is used to distinguish individual PSI3 bis messages containing information about different neighbour cells. The field can take the binary representation of the values 0 to n, where n is the index of the last PSI3 ter message. (PSI3 ter count).</w:t>
            </w:r>
          </w:p>
        </w:tc>
      </w:tr>
      <w:tr w:rsidR="00711444" w:rsidRPr="004D0DAA" w14:paraId="13ADCBDA" w14:textId="77777777" w:rsidTr="00AA2A4C">
        <w:tblPrEx>
          <w:tblCellMar>
            <w:top w:w="0" w:type="dxa"/>
            <w:bottom w:w="0" w:type="dxa"/>
          </w:tblCellMar>
        </w:tblPrEx>
        <w:trPr>
          <w:cantSplit/>
        </w:trPr>
        <w:tc>
          <w:tcPr>
            <w:tcW w:w="9848" w:type="dxa"/>
          </w:tcPr>
          <w:p w14:paraId="461AF820" w14:textId="77777777" w:rsidR="00711444" w:rsidRPr="004D0DAA" w:rsidRDefault="00711444" w:rsidP="00AA2A4C">
            <w:r w:rsidRPr="004D0DAA">
              <w:rPr>
                <w:b/>
              </w:rPr>
              <w:t>PSI3_TER_COUNT</w:t>
            </w:r>
            <w:r w:rsidRPr="004D0DAA">
              <w:t xml:space="preserve"> (4 bit field)</w:t>
            </w:r>
            <w:r w:rsidRPr="004D0DAA">
              <w:br/>
              <w:t>This field is coded as the binary representation of the PSI3 ter index (in the PSI3 ter message) for the last (highest indexed) individual PSI3 ter message.</w:t>
            </w:r>
            <w:r w:rsidRPr="004D0DAA">
              <w:br/>
              <w:t>Range: 0-15.</w:t>
            </w:r>
          </w:p>
        </w:tc>
      </w:tr>
      <w:tr w:rsidR="00711444" w:rsidRPr="004D0DAA" w14:paraId="236864B3" w14:textId="77777777" w:rsidTr="00AA2A4C">
        <w:tblPrEx>
          <w:tblCellMar>
            <w:top w:w="0" w:type="dxa"/>
            <w:bottom w:w="0" w:type="dxa"/>
          </w:tblCellMar>
        </w:tblPrEx>
        <w:trPr>
          <w:cantSplit/>
        </w:trPr>
        <w:tc>
          <w:tcPr>
            <w:tcW w:w="9848" w:type="dxa"/>
          </w:tcPr>
          <w:p w14:paraId="0D723713" w14:textId="77777777" w:rsidR="00711444" w:rsidRPr="004D0DAA" w:rsidRDefault="00711444" w:rsidP="00AA2A4C">
            <w:pPr>
              <w:rPr>
                <w:b/>
                <w:i/>
              </w:rPr>
            </w:pPr>
            <w:r w:rsidRPr="004D0DAA">
              <w:rPr>
                <w:b/>
                <w:i/>
              </w:rPr>
              <w:t>Real Time Difference Description</w:t>
            </w:r>
          </w:p>
          <w:p w14:paraId="71B79550" w14:textId="77777777" w:rsidR="00711444" w:rsidRPr="004D0DAA" w:rsidRDefault="00711444" w:rsidP="00AA2A4C">
            <w:r w:rsidRPr="004D0DAA">
              <w:rPr>
                <w:b/>
              </w:rPr>
              <w:t>Cell_Index_Start_RTD</w:t>
            </w:r>
            <w:r w:rsidRPr="004D0DAA">
              <w:t xml:space="preserve"> (7 bit field)</w:t>
            </w:r>
            <w:r w:rsidRPr="004D0DAA">
              <w:br/>
              <w:t>This field indicates the GSM Neighbour Cell list index for the first RTD parameter. When missing, the value '0' is assumed.</w:t>
            </w:r>
          </w:p>
          <w:p w14:paraId="2AE80DDB" w14:textId="77777777" w:rsidR="00711444" w:rsidRPr="004D0DAA" w:rsidRDefault="00711444" w:rsidP="00AA2A4C">
            <w:r w:rsidRPr="004D0DAA">
              <w:rPr>
                <w:b/>
              </w:rPr>
              <w:t>RTD</w:t>
            </w:r>
            <w:r w:rsidRPr="004D0DAA">
              <w:t xml:space="preserve"> (6 or 12 bit field) is defined in 3GPP TS 45.008.</w:t>
            </w:r>
            <w:r w:rsidRPr="004D0DAA">
              <w:br/>
              <w:t>The use of these parameters is defined in sub-clause 5.6.3.4.</w:t>
            </w:r>
          </w:p>
        </w:tc>
      </w:tr>
      <w:tr w:rsidR="00711444" w:rsidRPr="004D0DAA" w14:paraId="73398D51" w14:textId="77777777" w:rsidTr="00AA2A4C">
        <w:tblPrEx>
          <w:tblCellMar>
            <w:top w:w="0" w:type="dxa"/>
            <w:bottom w:w="0" w:type="dxa"/>
          </w:tblCellMar>
        </w:tblPrEx>
        <w:trPr>
          <w:cantSplit/>
        </w:trPr>
        <w:tc>
          <w:tcPr>
            <w:tcW w:w="9848" w:type="dxa"/>
          </w:tcPr>
          <w:p w14:paraId="76EBEE35" w14:textId="77777777" w:rsidR="00711444" w:rsidRPr="004D0DAA" w:rsidRDefault="00711444" w:rsidP="00AA2A4C">
            <w:pPr>
              <w:rPr>
                <w:b/>
                <w:i/>
              </w:rPr>
            </w:pPr>
            <w:r w:rsidRPr="004D0DAA">
              <w:rPr>
                <w:b/>
                <w:i/>
              </w:rPr>
              <w:lastRenderedPageBreak/>
              <w:t xml:space="preserve">GPRS REP PRIORITY Description </w:t>
            </w:r>
          </w:p>
          <w:p w14:paraId="541E5686" w14:textId="77777777" w:rsidR="00711444" w:rsidRPr="004D0DAA" w:rsidRDefault="00711444" w:rsidP="00AA2A4C">
            <w:pPr>
              <w:rPr>
                <w:b/>
              </w:rPr>
            </w:pPr>
            <w:r w:rsidRPr="004D0DAA">
              <w:rPr>
                <w:b/>
              </w:rPr>
              <w:t>REP_PRIORITY</w:t>
            </w:r>
            <w:r w:rsidRPr="004D0DAA">
              <w:t xml:space="preserve"> bit:</w:t>
            </w:r>
            <w:r w:rsidRPr="004D0DAA">
              <w:rPr>
                <w:b/>
              </w:rPr>
              <w:br/>
            </w:r>
            <w:r w:rsidRPr="004D0DAA">
              <w:t>0</w:t>
            </w:r>
            <w:r w:rsidRPr="004D0DAA">
              <w:tab/>
              <w:t>Normal reporting priority</w:t>
            </w:r>
            <w:r w:rsidRPr="004D0DAA">
              <w:br/>
              <w:t>1</w:t>
            </w:r>
            <w:r w:rsidRPr="004D0DAA">
              <w:tab/>
              <w:t>High reporting priority</w:t>
            </w:r>
          </w:p>
          <w:p w14:paraId="2AEA227B" w14:textId="77777777" w:rsidR="00711444" w:rsidRPr="004D0DAA" w:rsidRDefault="00711444" w:rsidP="00AA2A4C">
            <w:pPr>
              <w:rPr>
                <w:b/>
                <w:i/>
              </w:rPr>
            </w:pPr>
            <w:r w:rsidRPr="004D0DAA">
              <w:t>The use of these bits is defined in sub-clause 5.6.3.5.</w:t>
            </w:r>
          </w:p>
        </w:tc>
      </w:tr>
    </w:tbl>
    <w:p w14:paraId="01EF44F4" w14:textId="77777777" w:rsidR="00711444" w:rsidRPr="004D0DAA" w:rsidRDefault="00711444" w:rsidP="00711444"/>
    <w:p w14:paraId="5335071A" w14:textId="77777777" w:rsidR="00711444" w:rsidRPr="004D0DAA" w:rsidRDefault="00711444" w:rsidP="00711444">
      <w:pPr>
        <w:pStyle w:val="Heading4"/>
      </w:pPr>
      <w:bookmarkStart w:id="696" w:name="_Toc516669872"/>
      <w:r w:rsidRPr="004D0DAA">
        <w:t>11.2.21a.1</w:t>
      </w:r>
      <w:r w:rsidRPr="004D0DAA">
        <w:tab/>
        <w:t>GPRS REP PRIORITY description</w:t>
      </w:r>
      <w:bookmarkEnd w:id="696"/>
    </w:p>
    <w:p w14:paraId="345E4EB5" w14:textId="77777777" w:rsidR="00711444" w:rsidRPr="004D0DAA" w:rsidRDefault="00711444" w:rsidP="00711444">
      <w:r w:rsidRPr="004D0DAA">
        <w:t>A GPRS REP PRIORITY description construction shall be included in one and only one instance of the PACKET SYSTEM INFORMATION TYPE 3 TER message within the consistent set of PACKET SYSTEM INFORMATION TYPE 3 TER messages.</w:t>
      </w:r>
    </w:p>
    <w:p w14:paraId="20FE5391" w14:textId="77777777" w:rsidR="00711444" w:rsidRPr="004D0DAA" w:rsidRDefault="00711444" w:rsidP="00711444">
      <w:pPr>
        <w:pStyle w:val="Heading3"/>
      </w:pPr>
      <w:bookmarkStart w:id="697" w:name="_Toc516669873"/>
      <w:r w:rsidRPr="004D0DAA">
        <w:t>11.2.21b</w:t>
      </w:r>
      <w:r w:rsidRPr="004D0DAA">
        <w:tab/>
        <w:t>Packet System Information Type 3 quater</w:t>
      </w:r>
      <w:bookmarkEnd w:id="697"/>
    </w:p>
    <w:p w14:paraId="57D8A509" w14:textId="77777777" w:rsidR="00711444" w:rsidRPr="004D0DAA" w:rsidRDefault="00711444" w:rsidP="00711444">
      <w:r w:rsidRPr="004D0DAA">
        <w:t>This message is sent by the network on the PBCCH or PACCH giving information on 3G Neighbour Cells and additional measurement and reporting parameters. This message shall not be segmented across more than one RLC/MAC control block by using the procedures specified in sub-clause 9.1.12a. If not all information fits into one instance of the PSI3quater message, the PSI3quater message can be repeated. Special requirements for the transmission of this message apply on PBCCH, see 3GPP TS 45.002.</w:t>
      </w:r>
    </w:p>
    <w:p w14:paraId="2D402F6D" w14:textId="77777777" w:rsidR="00711444" w:rsidRPr="004D0DAA" w:rsidRDefault="00711444" w:rsidP="00711444">
      <w:pPr>
        <w:pStyle w:val="EX"/>
      </w:pPr>
      <w:r w:rsidRPr="004D0DAA">
        <w:t>Message type:</w:t>
      </w:r>
      <w:r w:rsidRPr="004D0DAA">
        <w:tab/>
        <w:t>PACKET SYSTEM INFORMATION TYPE 3 QUATER</w:t>
      </w:r>
    </w:p>
    <w:p w14:paraId="12682452" w14:textId="77777777" w:rsidR="00711444" w:rsidRPr="004D0DAA" w:rsidRDefault="00711444" w:rsidP="00711444">
      <w:pPr>
        <w:pStyle w:val="EX"/>
      </w:pPr>
      <w:r w:rsidRPr="004D0DAA">
        <w:t>Direction:</w:t>
      </w:r>
      <w:r w:rsidRPr="004D0DAA">
        <w:tab/>
        <w:t>network to mobile station</w:t>
      </w:r>
    </w:p>
    <w:p w14:paraId="40460859" w14:textId="77777777" w:rsidR="00711444" w:rsidRPr="004D0DAA" w:rsidRDefault="00711444" w:rsidP="00711444">
      <w:pPr>
        <w:pStyle w:val="EX"/>
        <w:rPr>
          <w:lang w:val="fr-FR"/>
        </w:rPr>
      </w:pPr>
      <w:r w:rsidRPr="004D0DAA">
        <w:rPr>
          <w:lang w:val="fr-FR"/>
        </w:rPr>
        <w:t>Classification:</w:t>
      </w:r>
      <w:r w:rsidRPr="004D0DAA">
        <w:rPr>
          <w:lang w:val="fr-FR"/>
        </w:rPr>
        <w:tab/>
        <w:t>distribution message</w:t>
      </w:r>
    </w:p>
    <w:p w14:paraId="59BB1EC3" w14:textId="77777777" w:rsidR="00711444" w:rsidRPr="004D0DAA" w:rsidRDefault="00711444" w:rsidP="00711444">
      <w:pPr>
        <w:pStyle w:val="TH"/>
        <w:rPr>
          <w:lang w:val="fr-FR"/>
        </w:rPr>
      </w:pPr>
      <w:r w:rsidRPr="004D0DAA">
        <w:rPr>
          <w:lang w:val="fr-FR"/>
        </w:rPr>
        <w:lastRenderedPageBreak/>
        <w:t>Table 11.2.21b.1: PSI3 quater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A7B8573" w14:textId="77777777" w:rsidTr="00AA2A4C">
        <w:tblPrEx>
          <w:tblCellMar>
            <w:top w:w="0" w:type="dxa"/>
            <w:bottom w:w="0" w:type="dxa"/>
          </w:tblCellMar>
        </w:tblPrEx>
        <w:trPr>
          <w:cantSplit/>
        </w:trPr>
        <w:tc>
          <w:tcPr>
            <w:tcW w:w="9848" w:type="dxa"/>
          </w:tcPr>
          <w:p w14:paraId="7A981646" w14:textId="77777777" w:rsidR="00711444" w:rsidRPr="004D0DAA" w:rsidRDefault="00711444" w:rsidP="00AA2A4C">
            <w:pPr>
              <w:pStyle w:val="TAL"/>
              <w:rPr>
                <w:lang w:val="fr-FR" w:eastAsia="en-US"/>
              </w:rPr>
            </w:pPr>
            <w:r w:rsidRPr="004D0DAA">
              <w:rPr>
                <w:lang w:val="fr-FR" w:eastAsia="en-US"/>
              </w:rPr>
              <w:t>&lt; PSI3 quater message content &gt; ::=</w:t>
            </w:r>
          </w:p>
          <w:p w14:paraId="379B69CD"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6036A66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PSI3_CHANGE_MARK </w:t>
            </w:r>
            <w:r w:rsidRPr="004D0DAA">
              <w:rPr>
                <w:lang w:eastAsia="en-US"/>
              </w:rPr>
              <w:t>: bit (2) &gt;</w:t>
            </w:r>
          </w:p>
          <w:p w14:paraId="2B99A6F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PSI3_QUATER_INDEX </w:t>
            </w:r>
            <w:r w:rsidRPr="004D0DAA">
              <w:rPr>
                <w:lang w:eastAsia="en-US"/>
              </w:rPr>
              <w:t>: bit (4) &gt;</w:t>
            </w:r>
          </w:p>
          <w:p w14:paraId="40A70F6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PSI3_QUATER_COUNT </w:t>
            </w:r>
            <w:r w:rsidRPr="004D0DAA">
              <w:rPr>
                <w:lang w:eastAsia="en-US"/>
              </w:rPr>
              <w:t>: bit (4) &gt;</w:t>
            </w:r>
          </w:p>
          <w:p w14:paraId="64068256" w14:textId="77777777" w:rsidR="00711444" w:rsidRPr="004D0DAA" w:rsidRDefault="00711444" w:rsidP="00AA2A4C">
            <w:pPr>
              <w:pStyle w:val="TAL"/>
              <w:rPr>
                <w:b/>
                <w:lang w:eastAsia="en-US"/>
              </w:rPr>
            </w:pPr>
            <w:r w:rsidRPr="004D0DAA">
              <w:rPr>
                <w:lang w:eastAsia="en-US"/>
              </w:rPr>
              <w:tab/>
              <w:t>{</w:t>
            </w:r>
            <w:r w:rsidRPr="004D0DAA">
              <w:rPr>
                <w:lang w:eastAsia="en-US"/>
              </w:rPr>
              <w:tab/>
              <w:t>{ 0 | 1</w:t>
            </w:r>
            <w:r w:rsidRPr="004D0DAA">
              <w:rPr>
                <w:lang w:eastAsia="en-US"/>
              </w:rPr>
              <w:tab/>
              <w:t xml:space="preserve">&lt; </w:t>
            </w:r>
            <w:r w:rsidRPr="004D0DAA">
              <w:rPr>
                <w:b/>
                <w:lang w:eastAsia="en-US"/>
              </w:rPr>
              <w:t>GPRS REP_PRIORITY Description</w:t>
            </w:r>
            <w:r w:rsidRPr="004D0DAA">
              <w:rPr>
                <w:lang w:eastAsia="en-US"/>
              </w:rPr>
              <w:t xml:space="preserve"> : &lt; GPRS</w:t>
            </w:r>
            <w:r w:rsidRPr="004D0DAA">
              <w:rPr>
                <w:b/>
                <w:lang w:eastAsia="en-US"/>
              </w:rPr>
              <w:t xml:space="preserve"> </w:t>
            </w:r>
            <w:r w:rsidRPr="004D0DAA">
              <w:rPr>
                <w:lang w:eastAsia="en-US"/>
              </w:rPr>
              <w:t>REP PRIORITY Description struct &gt;&gt; }</w:t>
            </w:r>
            <w:r w:rsidRPr="004D0DAA">
              <w:rPr>
                <w:lang w:eastAsia="en-US"/>
              </w:rPr>
              <w:br/>
            </w:r>
            <w:r w:rsidRPr="004D0DAA">
              <w:rPr>
                <w:lang w:eastAsia="en-US"/>
              </w:rPr>
              <w:tab/>
            </w:r>
            <w:r w:rsidRPr="004D0DAA">
              <w:rPr>
                <w:lang w:eastAsia="en-US"/>
              </w:rPr>
              <w:tab/>
              <w:t>{ 0 | 1</w:t>
            </w:r>
            <w:r w:rsidRPr="004D0DAA">
              <w:rPr>
                <w:lang w:eastAsia="en-US"/>
              </w:rPr>
              <w:tab/>
              <w:t xml:space="preserve">&lt; </w:t>
            </w:r>
            <w:r w:rsidRPr="004D0DAA">
              <w:rPr>
                <w:b/>
                <w:lang w:eastAsia="en-US"/>
              </w:rPr>
              <w:t>3G Neighbour Cells Description</w:t>
            </w:r>
            <w:r w:rsidRPr="004D0DAA">
              <w:rPr>
                <w:lang w:eastAsia="en-US"/>
              </w:rPr>
              <w:t xml:space="preserve"> : &lt; 3G Neighbour Cells Description struct &gt;&gt; }</w:t>
            </w:r>
            <w:r w:rsidRPr="004D0DAA">
              <w:rPr>
                <w:lang w:eastAsia="en-US"/>
              </w:rPr>
              <w:br/>
            </w:r>
            <w:r w:rsidRPr="004D0DAA">
              <w:rPr>
                <w:lang w:eastAsia="en-US"/>
              </w:rPr>
              <w:tab/>
            </w:r>
            <w:r w:rsidRPr="004D0DAA">
              <w:rPr>
                <w:lang w:eastAsia="en-US"/>
              </w:rPr>
              <w:tab/>
              <w:t>{ 0 | 1</w:t>
            </w:r>
            <w:r w:rsidRPr="004D0DAA">
              <w:rPr>
                <w:lang w:eastAsia="en-US"/>
              </w:rPr>
              <w:tab/>
              <w:t xml:space="preserve">&lt; </w:t>
            </w:r>
            <w:r w:rsidRPr="004D0DAA">
              <w:rPr>
                <w:b/>
                <w:lang w:eastAsia="en-US"/>
              </w:rPr>
              <w:t>3G MEASUREMENT Parameters Description</w:t>
            </w:r>
            <w:r w:rsidRPr="004D0DAA">
              <w:rPr>
                <w:lang w:eastAsia="en-US"/>
              </w:rPr>
              <w:t xml:space="preserve">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&lt; 3G MEASUREMENT PARAMETERS Description struct &gt;&gt; }</w:t>
            </w:r>
          </w:p>
          <w:p w14:paraId="68C3059D"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3G Initial Dedicated Mode Reporting Description </w:t>
            </w:r>
            <w:r w:rsidRPr="004D0DAA">
              <w:rPr>
                <w:lang w:eastAsia="en-US"/>
              </w:rPr>
              <w:t xml:space="preserve">: </w:t>
            </w:r>
          </w:p>
          <w:p w14:paraId="1CBB593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3G Initial Dedicated Mode Reporting Description struct &gt;&gt; }</w:t>
            </w:r>
          </w:p>
          <w:p w14:paraId="5A5A4C26" w14:textId="77777777" w:rsidR="00711444" w:rsidRPr="004D0DAA" w:rsidRDefault="00711444" w:rsidP="00AA2A4C">
            <w:pPr>
              <w:pStyle w:val="TAL"/>
              <w:rPr>
                <w:i/>
                <w:lang w:eastAsia="en-US"/>
              </w:rPr>
            </w:pPr>
            <w:r w:rsidRPr="004D0DAA">
              <w:rPr>
                <w:lang w:eastAsia="en-US"/>
              </w:rPr>
              <w:tab/>
            </w:r>
            <w:r w:rsidRPr="004D0DAA">
              <w:rPr>
                <w:lang w:eastAsia="en-US"/>
              </w:rPr>
              <w:tab/>
              <w:t>{</w:t>
            </w:r>
            <w:r w:rsidRPr="004D0DAA">
              <w:rPr>
                <w:lang w:eastAsia="en-US"/>
              </w:rPr>
              <w:tab/>
              <w:t>null | 0 bit** &lt; no string&gt;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55283E59"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5:</w:t>
            </w:r>
          </w:p>
          <w:p w14:paraId="03ECAF6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GPRS 3G Additional Measurement Parameters Description </w:t>
            </w:r>
            <w:r w:rsidRPr="004D0DAA">
              <w:rPr>
                <w:lang w:eastAsia="en-US"/>
              </w:rPr>
              <w:t xml:space="preserve">: </w:t>
            </w:r>
          </w:p>
          <w:p w14:paraId="2A12D3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GPRS 3G Additional Measurement Parameters Description struct &gt;&gt; }</w:t>
            </w:r>
          </w:p>
          <w:p w14:paraId="2F40D74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GPRS 3G Additional Measurement Parameters Description 2</w:t>
            </w:r>
            <w:r w:rsidRPr="004D0DAA">
              <w:rPr>
                <w:lang w:eastAsia="en-US"/>
              </w:rPr>
              <w:t xml:space="preserve">: </w:t>
            </w:r>
          </w:p>
          <w:p w14:paraId="658EF83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GPRS 3G Additional Measurement </w:t>
            </w:r>
            <w:r w:rsidRPr="004D0DAA">
              <w:rPr>
                <w:lang w:eastAsia="en-US"/>
              </w:rPr>
              <w:tab/>
            </w:r>
            <w:r w:rsidRPr="004D0DAA">
              <w:rPr>
                <w:lang w:eastAsia="en-US"/>
              </w:rPr>
              <w:tab/>
              <w:t>Parameters Description 2 struct &gt;&gt; }</w:t>
            </w:r>
          </w:p>
          <w:p w14:paraId="38D5056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w:t>
            </w:r>
            <w:r w:rsidRPr="004D0DAA">
              <w:rPr>
                <w:lang w:eastAsia="en-US"/>
              </w:rPr>
              <w:tab/>
              <w:t>null | 0</w:t>
            </w:r>
            <w:r w:rsidRPr="004D0DAA">
              <w:rPr>
                <w:lang w:eastAsia="en-US"/>
              </w:rPr>
              <w:tab/>
              <w:t>bit** = &lt; no string &gt;</w:t>
            </w:r>
            <w:r w:rsidRPr="004D0DAA">
              <w:rPr>
                <w:lang w:eastAsia="en-US"/>
              </w:rPr>
              <w:tab/>
            </w:r>
            <w:r w:rsidRPr="004D0DAA">
              <w:rPr>
                <w:lang w:eastAsia="en-US"/>
              </w:rPr>
              <w:tab/>
            </w:r>
            <w:r w:rsidRPr="004D0DAA">
              <w:rPr>
                <w:lang w:eastAsia="en-US"/>
              </w:rPr>
              <w:tab/>
            </w:r>
            <w:r w:rsidRPr="004D0DAA">
              <w:rPr>
                <w:lang w:eastAsia="en-US"/>
              </w:rPr>
              <w:tab/>
              <w:t>--</w:t>
            </w:r>
            <w:r w:rsidRPr="004D0DAA">
              <w:rPr>
                <w:i/>
                <w:lang w:eastAsia="en-US"/>
              </w:rPr>
              <w:t>Receiver compatible with earlier release</w:t>
            </w:r>
          </w:p>
          <w:p w14:paraId="5F3D662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i/>
                <w:lang w:eastAsia="en-US"/>
              </w:rPr>
              <w:t>Additions in Release 6:</w:t>
            </w:r>
          </w:p>
          <w:p w14:paraId="518504A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3G_CCN_ACTIVE</w:t>
            </w:r>
            <w:r w:rsidRPr="004D0DAA">
              <w:rPr>
                <w:lang w:eastAsia="en-US"/>
              </w:rPr>
              <w:t xml:space="preserve"> : bit &gt; </w:t>
            </w:r>
          </w:p>
          <w:p w14:paraId="770FE7EF" w14:textId="77777777" w:rsidR="00711444" w:rsidRPr="004D0DAA" w:rsidRDefault="00711444" w:rsidP="00AA2A4C">
            <w:pPr>
              <w:pStyle w:val="TAL"/>
              <w:rPr>
                <w:lang w:eastAsia="en-US"/>
              </w:rPr>
            </w:pPr>
            <w:r w:rsidRPr="004D0DAA">
              <w:rPr>
                <w:lang w:eastAsia="en-US"/>
              </w:rPr>
              <w:tab/>
            </w:r>
            <w:r w:rsidRPr="004D0DAA">
              <w:rPr>
                <w:lang w:eastAsia="en-US"/>
              </w:rPr>
              <w:tab/>
              <w:t>&lt; padding bits &gt; }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r w:rsidRPr="004D0DAA">
              <w:rPr>
                <w:lang w:eastAsia="en-US"/>
              </w:rPr>
              <w:tab/>
              <w:t xml:space="preserve"> ! &lt; Distribution part error : bit (*) = &lt; no string &gt; &gt; ;</w:t>
            </w:r>
          </w:p>
          <w:p w14:paraId="3841AC4B" w14:textId="77777777" w:rsidR="00711444" w:rsidRPr="004D0DAA" w:rsidRDefault="00711444" w:rsidP="00AA2A4C">
            <w:pPr>
              <w:pStyle w:val="TAL"/>
              <w:rPr>
                <w:lang w:eastAsia="en-US"/>
              </w:rPr>
            </w:pPr>
          </w:p>
        </w:tc>
      </w:tr>
      <w:tr w:rsidR="00711444" w:rsidRPr="004D0DAA" w14:paraId="164E214B" w14:textId="77777777" w:rsidTr="00AA2A4C">
        <w:tblPrEx>
          <w:tblCellMar>
            <w:top w:w="0" w:type="dxa"/>
            <w:bottom w:w="0" w:type="dxa"/>
          </w:tblCellMar>
        </w:tblPrEx>
        <w:trPr>
          <w:cantSplit/>
        </w:trPr>
        <w:tc>
          <w:tcPr>
            <w:tcW w:w="9848" w:type="dxa"/>
          </w:tcPr>
          <w:p w14:paraId="7FBB5C33" w14:textId="77777777" w:rsidR="00711444" w:rsidRPr="004D0DAA" w:rsidRDefault="00711444" w:rsidP="00AA2A4C">
            <w:pPr>
              <w:pStyle w:val="TAL"/>
              <w:rPr>
                <w:lang w:eastAsia="en-US"/>
              </w:rPr>
            </w:pPr>
            <w:r w:rsidRPr="004D0DAA">
              <w:rPr>
                <w:lang w:eastAsia="en-US"/>
              </w:rPr>
              <w:t>&lt; GPRS REP PRIORITY Description struct &gt; ::=</w:t>
            </w:r>
          </w:p>
          <w:p w14:paraId="51CCFF0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Number_Cells</w:t>
            </w:r>
            <w:r w:rsidRPr="004D0DAA">
              <w:rPr>
                <w:lang w:eastAsia="en-US"/>
              </w:rPr>
              <w:t> : bit(7) &gt; </w:t>
            </w:r>
          </w:p>
          <w:p w14:paraId="40614634"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 xml:space="preserve">REP_PRIORITY </w:t>
            </w:r>
            <w:r w:rsidRPr="004D0DAA">
              <w:rPr>
                <w:lang w:eastAsia="en-US"/>
              </w:rPr>
              <w:t>:</w:t>
            </w:r>
            <w:r w:rsidRPr="004D0DAA">
              <w:rPr>
                <w:b/>
                <w:lang w:eastAsia="en-US"/>
              </w:rPr>
              <w:t xml:space="preserve"> </w:t>
            </w:r>
            <w:r w:rsidRPr="004D0DAA">
              <w:rPr>
                <w:lang w:eastAsia="en-US"/>
              </w:rPr>
              <w:t>bit &gt;</w:t>
            </w:r>
            <w:r w:rsidRPr="004D0DAA">
              <w:rPr>
                <w:b/>
                <w:lang w:eastAsia="en-US"/>
              </w:rPr>
              <w:t xml:space="preserve"> </w:t>
            </w:r>
            <w:r w:rsidRPr="004D0DAA">
              <w:rPr>
                <w:lang w:eastAsia="en-US"/>
              </w:rPr>
              <w:t>} * (val(Number_Cells)) ;</w:t>
            </w:r>
          </w:p>
          <w:p w14:paraId="6ECF005F" w14:textId="77777777" w:rsidR="00711444" w:rsidRPr="004D0DAA" w:rsidRDefault="00711444" w:rsidP="00AA2A4C">
            <w:pPr>
              <w:pStyle w:val="TAL"/>
              <w:rPr>
                <w:lang w:eastAsia="en-US"/>
              </w:rPr>
            </w:pPr>
          </w:p>
        </w:tc>
      </w:tr>
      <w:tr w:rsidR="00711444" w:rsidRPr="004D0DAA" w14:paraId="7459E83F" w14:textId="77777777" w:rsidTr="00AA2A4C">
        <w:tblPrEx>
          <w:tblCellMar>
            <w:top w:w="0" w:type="dxa"/>
            <w:bottom w:w="0" w:type="dxa"/>
          </w:tblCellMar>
        </w:tblPrEx>
        <w:trPr>
          <w:cantSplit/>
        </w:trPr>
        <w:tc>
          <w:tcPr>
            <w:tcW w:w="9848" w:type="dxa"/>
          </w:tcPr>
          <w:p w14:paraId="4E5FF98F" w14:textId="77777777" w:rsidR="00711444" w:rsidRPr="004D0DAA" w:rsidRDefault="00711444" w:rsidP="00AA2A4C">
            <w:pPr>
              <w:pStyle w:val="TAL"/>
              <w:rPr>
                <w:lang w:eastAsia="en-US"/>
              </w:rPr>
            </w:pPr>
            <w:r w:rsidRPr="004D0DAA">
              <w:rPr>
                <w:lang w:eastAsia="en-US"/>
              </w:rPr>
              <w:t xml:space="preserve">&lt; 3G Neighbour Cell Description struct &gt; ::= </w:t>
            </w:r>
          </w:p>
          <w:p w14:paraId="52F5CF72"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Index_Start_3G</w:t>
            </w:r>
            <w:r w:rsidRPr="004D0DAA">
              <w:rPr>
                <w:lang w:eastAsia="en-US"/>
              </w:rPr>
              <w:t xml:space="preserve"> : bit (7) &gt; }</w:t>
            </w:r>
            <w:r w:rsidRPr="004D0DAA">
              <w:rPr>
                <w:lang w:eastAsia="en-US"/>
              </w:rPr>
              <w:br/>
            </w:r>
            <w:r w:rsidRPr="004D0DAA">
              <w:rPr>
                <w:lang w:eastAsia="en-US"/>
              </w:rPr>
              <w:tab/>
              <w:t xml:space="preserve">{ 0 | 1 &lt; </w:t>
            </w:r>
            <w:r w:rsidRPr="004D0DAA">
              <w:rPr>
                <w:b/>
                <w:lang w:eastAsia="en-US"/>
              </w:rPr>
              <w:t>Absolute_Index_Start_EMR</w:t>
            </w:r>
            <w:r w:rsidRPr="004D0DAA">
              <w:rPr>
                <w:lang w:eastAsia="en-US"/>
              </w:rPr>
              <w:t xml:space="preserve"> : bit (7) &gt; }</w:t>
            </w:r>
            <w:r w:rsidRPr="004D0DAA">
              <w:rPr>
                <w:lang w:eastAsia="en-US"/>
              </w:rPr>
              <w:br/>
            </w:r>
            <w:r w:rsidRPr="004D0DAA">
              <w:rPr>
                <w:lang w:eastAsia="en-US"/>
              </w:rPr>
              <w:tab/>
              <w:t xml:space="preserve">{ 0 | 1 &lt; </w:t>
            </w:r>
            <w:r w:rsidRPr="004D0DAA">
              <w:rPr>
                <w:b/>
                <w:lang w:eastAsia="en-US"/>
              </w:rPr>
              <w:t>UTRAN FDD Description</w:t>
            </w:r>
            <w:r w:rsidRPr="004D0DAA">
              <w:rPr>
                <w:lang w:eastAsia="en-US"/>
              </w:rPr>
              <w:t xml:space="preserve"> : &lt; UTRAN FDD Description struct &gt;&gt; }</w:t>
            </w:r>
            <w:r w:rsidRPr="004D0DAA">
              <w:rPr>
                <w:lang w:eastAsia="en-US"/>
              </w:rPr>
              <w:br/>
            </w:r>
            <w:r w:rsidRPr="004D0DAA">
              <w:rPr>
                <w:lang w:eastAsia="en-US"/>
              </w:rPr>
              <w:tab/>
              <w:t xml:space="preserve">{ 0 | 1 &lt; </w:t>
            </w:r>
            <w:r w:rsidRPr="004D0DAA">
              <w:rPr>
                <w:b/>
                <w:lang w:eastAsia="en-US"/>
              </w:rPr>
              <w:t>UTRAN TDD Description</w:t>
            </w:r>
            <w:r w:rsidRPr="004D0DAA">
              <w:rPr>
                <w:lang w:eastAsia="en-US"/>
              </w:rPr>
              <w:t xml:space="preserve"> : &lt; UTRAN TDD Description struct &gt;&gt; } ;</w:t>
            </w:r>
          </w:p>
          <w:p w14:paraId="3B2422DA" w14:textId="77777777" w:rsidR="00711444" w:rsidRPr="004D0DAA" w:rsidRDefault="00711444" w:rsidP="00AA2A4C">
            <w:pPr>
              <w:pStyle w:val="TAL"/>
              <w:rPr>
                <w:lang w:eastAsia="en-US"/>
              </w:rPr>
            </w:pPr>
          </w:p>
        </w:tc>
      </w:tr>
      <w:tr w:rsidR="00711444" w:rsidRPr="004D0DAA" w14:paraId="219DE853" w14:textId="77777777" w:rsidTr="00AA2A4C">
        <w:tblPrEx>
          <w:tblCellMar>
            <w:top w:w="0" w:type="dxa"/>
            <w:bottom w:w="0" w:type="dxa"/>
          </w:tblCellMar>
        </w:tblPrEx>
        <w:trPr>
          <w:cantSplit/>
        </w:trPr>
        <w:tc>
          <w:tcPr>
            <w:tcW w:w="9848" w:type="dxa"/>
          </w:tcPr>
          <w:p w14:paraId="382FBE09" w14:textId="77777777" w:rsidR="00711444" w:rsidRPr="004D0DAA" w:rsidRDefault="00711444" w:rsidP="00AA2A4C">
            <w:pPr>
              <w:pStyle w:val="TAL"/>
              <w:rPr>
                <w:lang w:eastAsia="en-US"/>
              </w:rPr>
            </w:pPr>
            <w:r w:rsidRPr="004D0DAA">
              <w:rPr>
                <w:lang w:eastAsia="en-US"/>
              </w:rPr>
              <w:t>&lt; UTRAN FDD Description struct &gt; ::=</w:t>
            </w:r>
          </w:p>
          <w:p w14:paraId="1A9A3092"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Bandwidth_FDD </w:t>
            </w:r>
            <w:r w:rsidRPr="004D0DAA">
              <w:rPr>
                <w:lang w:eastAsia="en-US"/>
              </w:rPr>
              <w:t>: bit (3) &gt; }</w:t>
            </w:r>
            <w:r w:rsidRPr="004D0DAA">
              <w:rPr>
                <w:lang w:eastAsia="en-US"/>
              </w:rPr>
              <w:br/>
            </w:r>
            <w:r w:rsidRPr="004D0DAA">
              <w:rPr>
                <w:lang w:eastAsia="en-US"/>
              </w:rPr>
              <w:tab/>
              <w:t xml:space="preserve">{ 1 &lt; </w:t>
            </w:r>
            <w:r w:rsidRPr="004D0DAA">
              <w:rPr>
                <w:b/>
                <w:lang w:eastAsia="en-US"/>
              </w:rPr>
              <w:t>Repeated UTRAN FDD Neighbour Cells</w:t>
            </w:r>
            <w:r w:rsidRPr="004D0DAA">
              <w:rPr>
                <w:lang w:eastAsia="en-US"/>
              </w:rPr>
              <w:t xml:space="preserve"> : &lt; Repeated UTRAN FDD Neighbour Cells struct &gt;&gt; } ** 0 ;</w:t>
            </w:r>
          </w:p>
          <w:p w14:paraId="28460797" w14:textId="77777777" w:rsidR="00711444" w:rsidRPr="004D0DAA" w:rsidRDefault="00711444" w:rsidP="00AA2A4C">
            <w:pPr>
              <w:pStyle w:val="TAL"/>
              <w:rPr>
                <w:lang w:eastAsia="en-US"/>
              </w:rPr>
            </w:pPr>
          </w:p>
        </w:tc>
      </w:tr>
      <w:tr w:rsidR="00711444" w:rsidRPr="004D0DAA" w14:paraId="3D3B7F8B" w14:textId="77777777" w:rsidTr="00AA2A4C">
        <w:tblPrEx>
          <w:tblCellMar>
            <w:top w:w="0" w:type="dxa"/>
            <w:bottom w:w="0" w:type="dxa"/>
          </w:tblCellMar>
        </w:tblPrEx>
        <w:trPr>
          <w:cantSplit/>
        </w:trPr>
        <w:tc>
          <w:tcPr>
            <w:tcW w:w="9848" w:type="dxa"/>
          </w:tcPr>
          <w:p w14:paraId="41E68208" w14:textId="77777777" w:rsidR="00711444" w:rsidRPr="004D0DAA" w:rsidRDefault="00711444" w:rsidP="00AA2A4C">
            <w:pPr>
              <w:pStyle w:val="TAL"/>
              <w:rPr>
                <w:lang w:eastAsia="en-US"/>
              </w:rPr>
            </w:pPr>
            <w:r w:rsidRPr="004D0DAA">
              <w:rPr>
                <w:lang w:eastAsia="en-US"/>
              </w:rPr>
              <w:t>&lt; Repeated UTRAN FDD Neighbour Cells struct &gt; ::=</w:t>
            </w:r>
            <w:r w:rsidRPr="004D0DAA">
              <w:rPr>
                <w:lang w:eastAsia="en-US"/>
              </w:rPr>
              <w:br/>
            </w:r>
            <w:r w:rsidRPr="004D0DAA">
              <w:rPr>
                <w:lang w:eastAsia="en-US"/>
              </w:rPr>
              <w:tab/>
              <w:t xml:space="preserve">0 &lt; </w:t>
            </w:r>
            <w:r w:rsidRPr="004D0DAA">
              <w:rPr>
                <w:b/>
                <w:lang w:eastAsia="en-US"/>
              </w:rPr>
              <w:t xml:space="preserve">FDD-ARFCN </w:t>
            </w:r>
            <w:r w:rsidRPr="004D0DAA">
              <w:rPr>
                <w:lang w:eastAsia="en-US"/>
              </w:rPr>
              <w:t>: bit (14) &gt;</w:t>
            </w:r>
            <w:r w:rsidRPr="004D0DAA">
              <w:rPr>
                <w:lang w:eastAsia="en-US"/>
              </w:rPr>
              <w:tab/>
            </w:r>
            <w:r w:rsidRPr="004D0DAA">
              <w:rPr>
                <w:lang w:eastAsia="en-US"/>
              </w:rPr>
              <w:tab/>
              <w:t xml:space="preserve">-- </w:t>
            </w:r>
            <w:r w:rsidRPr="004D0DAA">
              <w:rPr>
                <w:i/>
                <w:lang w:eastAsia="en-US"/>
              </w:rPr>
              <w:t xml:space="preserve">The value ‘1’ was used in an earlier </w:t>
            </w:r>
          </w:p>
          <w:p w14:paraId="43174A7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version of the protocol and shall not be used.</w:t>
            </w:r>
            <w:r w:rsidRPr="004D0DAA">
              <w:rPr>
                <w:i/>
                <w:lang w:eastAsia="en-US"/>
              </w:rPr>
              <w:br/>
            </w:r>
            <w:r w:rsidRPr="004D0DAA">
              <w:rPr>
                <w:lang w:eastAsia="en-US"/>
              </w:rPr>
              <w:tab/>
              <w:t xml:space="preserve">&lt; </w:t>
            </w:r>
            <w:r w:rsidRPr="004D0DAA">
              <w:rPr>
                <w:b/>
                <w:lang w:eastAsia="en-US"/>
              </w:rPr>
              <w:t>FDD_Indic0</w:t>
            </w:r>
            <w:r w:rsidRPr="004D0DAA">
              <w:rPr>
                <w:lang w:eastAsia="en-US"/>
              </w:rPr>
              <w:t xml:space="preserve"> : bit &gt;</w:t>
            </w:r>
            <w:r w:rsidRPr="004D0DAA">
              <w:rPr>
                <w:lang w:eastAsia="en-US"/>
              </w:rPr>
              <w:br/>
            </w:r>
            <w:r w:rsidRPr="004D0DAA">
              <w:rPr>
                <w:lang w:eastAsia="en-US"/>
              </w:rPr>
              <w:tab/>
              <w:t xml:space="preserve">&lt; </w:t>
            </w:r>
            <w:r w:rsidRPr="004D0DAA">
              <w:rPr>
                <w:b/>
                <w:lang w:eastAsia="en-US"/>
              </w:rPr>
              <w:t>NR_OF_FDD_CELLS</w:t>
            </w:r>
            <w:r w:rsidRPr="004D0DAA">
              <w:rPr>
                <w:lang w:eastAsia="en-US"/>
              </w:rPr>
              <w:t> : bit (5) &gt;</w:t>
            </w:r>
            <w:r w:rsidRPr="004D0DAA">
              <w:rPr>
                <w:lang w:eastAsia="en-US"/>
              </w:rPr>
              <w:br/>
            </w:r>
            <w:r w:rsidRPr="004D0DAA">
              <w:rPr>
                <w:lang w:eastAsia="en-US"/>
              </w:rPr>
              <w:tab/>
              <w:t xml:space="preserve">&lt; </w:t>
            </w:r>
            <w:r w:rsidRPr="004D0DAA">
              <w:rPr>
                <w:b/>
                <w:lang w:eastAsia="en-US"/>
              </w:rPr>
              <w:t>FDD _CELL_INFORMATION Field </w:t>
            </w:r>
            <w:r w:rsidRPr="004D0DAA">
              <w:rPr>
                <w:lang w:eastAsia="en-US"/>
              </w:rPr>
              <w:t xml:space="preserve">: bit(p(NR_OF_FDD_CELLS)) &gt; ; </w:t>
            </w:r>
          </w:p>
          <w:p w14:paraId="6F91989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p(x) defined in table 11.2.9b.2.a/3GPP TS 44.060</w:t>
            </w:r>
          </w:p>
          <w:p w14:paraId="3F97CA5F" w14:textId="77777777" w:rsidR="00711444" w:rsidRPr="004D0DAA" w:rsidRDefault="00711444" w:rsidP="00AA2A4C">
            <w:pPr>
              <w:pStyle w:val="TAL"/>
              <w:rPr>
                <w:lang w:eastAsia="en-US"/>
              </w:rPr>
            </w:pPr>
          </w:p>
        </w:tc>
      </w:tr>
      <w:tr w:rsidR="00711444" w:rsidRPr="004D0DAA" w14:paraId="2528F8D3" w14:textId="77777777" w:rsidTr="00AA2A4C">
        <w:tblPrEx>
          <w:tblCellMar>
            <w:top w:w="0" w:type="dxa"/>
            <w:bottom w:w="0" w:type="dxa"/>
          </w:tblCellMar>
        </w:tblPrEx>
        <w:trPr>
          <w:cantSplit/>
        </w:trPr>
        <w:tc>
          <w:tcPr>
            <w:tcW w:w="9848" w:type="dxa"/>
          </w:tcPr>
          <w:p w14:paraId="2E98D9F4" w14:textId="77777777" w:rsidR="00711444" w:rsidRPr="004D0DAA" w:rsidRDefault="00711444" w:rsidP="00AA2A4C">
            <w:pPr>
              <w:pStyle w:val="TAL"/>
              <w:rPr>
                <w:lang w:eastAsia="en-US"/>
              </w:rPr>
            </w:pPr>
            <w:r w:rsidRPr="004D0DAA">
              <w:rPr>
                <w:lang w:eastAsia="en-US"/>
              </w:rPr>
              <w:t>&lt; UTRAN TDD Description struct &gt; ::=</w:t>
            </w:r>
            <w:r w:rsidRPr="004D0DAA">
              <w:rPr>
                <w:lang w:eastAsia="en-US"/>
              </w:rPr>
              <w:br/>
            </w:r>
            <w:r w:rsidRPr="004D0DAA">
              <w:rPr>
                <w:lang w:eastAsia="en-US"/>
              </w:rPr>
              <w:tab/>
              <w:t xml:space="preserve">{ 0 | 1 &lt; </w:t>
            </w:r>
            <w:r w:rsidRPr="004D0DAA">
              <w:rPr>
                <w:b/>
                <w:lang w:eastAsia="en-US"/>
              </w:rPr>
              <w:t xml:space="preserve">Bandwidth_TDD </w:t>
            </w:r>
            <w:r w:rsidRPr="004D0DAA">
              <w:rPr>
                <w:lang w:eastAsia="en-US"/>
              </w:rPr>
              <w:t>: bit (3) &gt; }</w:t>
            </w:r>
            <w:r w:rsidRPr="004D0DAA">
              <w:rPr>
                <w:lang w:eastAsia="en-US"/>
              </w:rPr>
              <w:br/>
            </w:r>
            <w:r w:rsidRPr="004D0DAA">
              <w:rPr>
                <w:lang w:eastAsia="en-US"/>
              </w:rPr>
              <w:tab/>
              <w:t xml:space="preserve">{ 1 &lt; </w:t>
            </w:r>
            <w:r w:rsidRPr="004D0DAA">
              <w:rPr>
                <w:b/>
                <w:lang w:eastAsia="en-US"/>
              </w:rPr>
              <w:t>Repeated UTRAN TDD Neighbour Cells</w:t>
            </w:r>
            <w:r w:rsidRPr="004D0DAA">
              <w:rPr>
                <w:lang w:eastAsia="en-US"/>
              </w:rPr>
              <w:t xml:space="preserve"> : &lt; Repeated UTRAN TDD Neighbour Cells struct &gt;&gt; } ** 0 ;</w:t>
            </w:r>
          </w:p>
          <w:p w14:paraId="38EE330B" w14:textId="77777777" w:rsidR="00711444" w:rsidRPr="004D0DAA" w:rsidRDefault="00711444" w:rsidP="00AA2A4C">
            <w:pPr>
              <w:pStyle w:val="TAL"/>
              <w:rPr>
                <w:lang w:eastAsia="en-US"/>
              </w:rPr>
            </w:pPr>
          </w:p>
        </w:tc>
      </w:tr>
      <w:tr w:rsidR="00711444" w:rsidRPr="004D0DAA" w14:paraId="7E1D919D" w14:textId="77777777" w:rsidTr="00AA2A4C">
        <w:tblPrEx>
          <w:tblCellMar>
            <w:top w:w="0" w:type="dxa"/>
            <w:bottom w:w="0" w:type="dxa"/>
          </w:tblCellMar>
        </w:tblPrEx>
        <w:trPr>
          <w:cantSplit/>
        </w:trPr>
        <w:tc>
          <w:tcPr>
            <w:tcW w:w="9848" w:type="dxa"/>
          </w:tcPr>
          <w:p w14:paraId="2FDE8999" w14:textId="77777777" w:rsidR="00711444" w:rsidRPr="004D0DAA" w:rsidRDefault="00711444" w:rsidP="00AA2A4C">
            <w:pPr>
              <w:pStyle w:val="TAL"/>
              <w:rPr>
                <w:lang w:eastAsia="en-US"/>
              </w:rPr>
            </w:pPr>
            <w:r w:rsidRPr="004D0DAA">
              <w:rPr>
                <w:lang w:eastAsia="en-US"/>
              </w:rPr>
              <w:t>&lt; Repeated UTRAN TDD Neighbour Cells struct &gt; ::=</w:t>
            </w:r>
            <w:r w:rsidRPr="004D0DAA">
              <w:rPr>
                <w:lang w:eastAsia="en-US"/>
              </w:rPr>
              <w:br/>
            </w:r>
            <w:r w:rsidRPr="004D0DAA">
              <w:rPr>
                <w:lang w:eastAsia="en-US"/>
              </w:rPr>
              <w:tab/>
              <w:t xml:space="preserve">0 &lt; </w:t>
            </w:r>
            <w:r w:rsidRPr="004D0DAA">
              <w:rPr>
                <w:b/>
                <w:lang w:eastAsia="en-US"/>
              </w:rPr>
              <w:t xml:space="preserve">TDD-ARFCN </w:t>
            </w:r>
            <w:r w:rsidRPr="004D0DAA">
              <w:rPr>
                <w:lang w:eastAsia="en-US"/>
              </w:rPr>
              <w:t>: bit (14) &gt;</w:t>
            </w:r>
            <w:r w:rsidRPr="004D0DAA">
              <w:rPr>
                <w:lang w:eastAsia="en-US"/>
              </w:rPr>
              <w:tab/>
            </w:r>
            <w:r w:rsidRPr="004D0DAA">
              <w:rPr>
                <w:lang w:eastAsia="en-US"/>
              </w:rPr>
              <w:tab/>
              <w:t xml:space="preserve">-- </w:t>
            </w:r>
            <w:r w:rsidRPr="004D0DAA">
              <w:rPr>
                <w:i/>
                <w:lang w:eastAsia="en-US"/>
              </w:rPr>
              <w:t>The value ‘1’ was used in an earlier</w:t>
            </w:r>
          </w:p>
          <w:p w14:paraId="07518F5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version of the protocol and shall not be used.</w:t>
            </w:r>
            <w:r w:rsidRPr="004D0DAA">
              <w:rPr>
                <w:lang w:eastAsia="en-US"/>
              </w:rPr>
              <w:br/>
            </w:r>
            <w:r w:rsidRPr="004D0DAA">
              <w:rPr>
                <w:lang w:eastAsia="en-US"/>
              </w:rPr>
              <w:tab/>
              <w:t xml:space="preserve">&lt; </w:t>
            </w:r>
            <w:r w:rsidRPr="004D0DAA">
              <w:rPr>
                <w:b/>
                <w:lang w:eastAsia="en-US"/>
              </w:rPr>
              <w:t>TDD_Indic0</w:t>
            </w:r>
            <w:r w:rsidRPr="004D0DAA">
              <w:rPr>
                <w:lang w:eastAsia="en-US"/>
              </w:rPr>
              <w:t xml:space="preserve"> : bit &gt;</w:t>
            </w:r>
            <w:r w:rsidRPr="004D0DAA">
              <w:rPr>
                <w:lang w:eastAsia="en-US"/>
              </w:rPr>
              <w:br/>
            </w:r>
            <w:r w:rsidRPr="004D0DAA">
              <w:rPr>
                <w:lang w:eastAsia="en-US"/>
              </w:rPr>
              <w:tab/>
              <w:t xml:space="preserve">&lt; </w:t>
            </w:r>
            <w:r w:rsidRPr="004D0DAA">
              <w:rPr>
                <w:b/>
                <w:lang w:eastAsia="en-US"/>
              </w:rPr>
              <w:t>NR_OF_TDD_CELLS</w:t>
            </w:r>
            <w:r w:rsidRPr="004D0DAA">
              <w:rPr>
                <w:lang w:eastAsia="en-US"/>
              </w:rPr>
              <w:t> : bit (5) &gt;</w:t>
            </w:r>
            <w:r w:rsidRPr="004D0DAA">
              <w:rPr>
                <w:lang w:eastAsia="en-US"/>
              </w:rPr>
              <w:br/>
            </w:r>
            <w:r w:rsidRPr="004D0DAA">
              <w:rPr>
                <w:lang w:eastAsia="en-US"/>
              </w:rPr>
              <w:tab/>
              <w:t xml:space="preserve">&lt; </w:t>
            </w:r>
            <w:r w:rsidRPr="004D0DAA">
              <w:rPr>
                <w:b/>
                <w:lang w:eastAsia="en-US"/>
              </w:rPr>
              <w:t xml:space="preserve">TDD_CELL_INFORMATION Field </w:t>
            </w:r>
            <w:r w:rsidRPr="004D0DAA">
              <w:rPr>
                <w:lang w:eastAsia="en-US"/>
              </w:rPr>
              <w:t xml:space="preserve">: bit(q(NR_OF_TDD_CELLS)) &gt; ; </w:t>
            </w:r>
          </w:p>
          <w:p w14:paraId="5EF4F7DC"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q(x) defined in table 11.2.9b.2.b/3GPP TS 44.060</w:t>
            </w:r>
          </w:p>
          <w:p w14:paraId="76D5AB67" w14:textId="77777777" w:rsidR="00711444" w:rsidRPr="004D0DAA" w:rsidRDefault="00711444" w:rsidP="00AA2A4C">
            <w:pPr>
              <w:pStyle w:val="TAL"/>
              <w:rPr>
                <w:lang w:eastAsia="en-US"/>
              </w:rPr>
            </w:pPr>
          </w:p>
        </w:tc>
      </w:tr>
      <w:tr w:rsidR="00711444" w:rsidRPr="004D0DAA" w14:paraId="1C66A575" w14:textId="77777777" w:rsidTr="00AA2A4C">
        <w:tblPrEx>
          <w:tblCellMar>
            <w:top w:w="0" w:type="dxa"/>
            <w:bottom w:w="0" w:type="dxa"/>
          </w:tblCellMar>
        </w:tblPrEx>
        <w:trPr>
          <w:cantSplit/>
        </w:trPr>
        <w:tc>
          <w:tcPr>
            <w:tcW w:w="9848" w:type="dxa"/>
          </w:tcPr>
          <w:p w14:paraId="4F683656" w14:textId="77777777" w:rsidR="00711444" w:rsidRPr="004D0DAA" w:rsidRDefault="00711444" w:rsidP="00AA2A4C">
            <w:pPr>
              <w:pStyle w:val="TAL"/>
              <w:rPr>
                <w:lang w:eastAsia="en-US"/>
              </w:rPr>
            </w:pPr>
            <w:r w:rsidRPr="004D0DAA">
              <w:rPr>
                <w:lang w:eastAsia="en-US"/>
              </w:rPr>
              <w:t>&lt; 3G MEASUREMENT PARAMETERS Description struct &gt; ::=</w:t>
            </w:r>
          </w:p>
          <w:p w14:paraId="6BF9564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Qsearch_P :</w:t>
            </w:r>
            <w:r w:rsidRPr="004D0DAA">
              <w:rPr>
                <w:lang w:eastAsia="en-US"/>
              </w:rPr>
              <w:t xml:space="preserve"> bit (4) &gt; </w:t>
            </w:r>
          </w:p>
          <w:p w14:paraId="57700E94" w14:textId="77777777" w:rsidR="00711444" w:rsidRPr="004D0DAA" w:rsidRDefault="00711444" w:rsidP="00AA2A4C">
            <w:pPr>
              <w:pStyle w:val="TAL"/>
              <w:rPr>
                <w:lang w:eastAsia="en-US"/>
              </w:rPr>
            </w:pPr>
            <w:r w:rsidRPr="004D0DAA">
              <w:rPr>
                <w:lang w:eastAsia="en-US"/>
              </w:rPr>
              <w:tab/>
              <w:t>{ 1 ! &lt; Ignore : bit = &lt; no string &gt;&gt; }</w:t>
            </w:r>
            <w:r w:rsidRPr="004D0DAA">
              <w:rPr>
                <w:lang w:eastAsia="en-US"/>
              </w:rPr>
              <w:tab/>
            </w:r>
            <w:r w:rsidRPr="004D0DAA">
              <w:rPr>
                <w:lang w:eastAsia="en-US"/>
              </w:rPr>
              <w:tab/>
            </w:r>
            <w:r w:rsidRPr="004D0DAA">
              <w:rPr>
                <w:lang w:eastAsia="en-US"/>
              </w:rPr>
              <w:tab/>
              <w:t>-- this bit shall be ignored by the receiver</w:t>
            </w:r>
          </w:p>
          <w:p w14:paraId="00EC18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for backward compatibility with earlier releases</w:t>
            </w:r>
          </w:p>
          <w:p w14:paraId="7C751DC5"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FDD_GPRS_Qoffset</w:t>
            </w:r>
            <w:r w:rsidRPr="004D0DAA">
              <w:rPr>
                <w:lang w:eastAsia="en-US"/>
              </w:rPr>
              <w:t xml:space="preserve"> : bit (4)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information</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FDD_Qmin</w:t>
            </w:r>
            <w:r w:rsidRPr="004D0DAA">
              <w:rPr>
                <w:lang w:eastAsia="en-US"/>
              </w:rPr>
              <w:t xml:space="preserve"> : bit (3) &gt; }</w:t>
            </w:r>
          </w:p>
          <w:p w14:paraId="34041A03" w14:textId="77777777" w:rsidR="00711444" w:rsidRPr="004D0DAA" w:rsidRDefault="00711444" w:rsidP="00AA2A4C">
            <w:pPr>
              <w:pStyle w:val="TAL"/>
              <w:rPr>
                <w:lang w:eastAsia="en-US"/>
              </w:rPr>
            </w:pP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TDD_GPRS_Qoffset</w:t>
            </w:r>
            <w:r w:rsidRPr="004D0DAA">
              <w:rPr>
                <w:lang w:eastAsia="en-US"/>
              </w:rPr>
              <w:t xml:space="preserve"> : bit (4)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TDD information</w:t>
            </w:r>
            <w:r w:rsidRPr="004D0DAA">
              <w:rPr>
                <w:lang w:eastAsia="en-US"/>
              </w:rPr>
              <w:br/>
            </w:r>
          </w:p>
        </w:tc>
      </w:tr>
      <w:tr w:rsidR="00711444" w:rsidRPr="004D0DAA" w14:paraId="28A4A327" w14:textId="77777777" w:rsidTr="00AA2A4C">
        <w:tblPrEx>
          <w:tblCellMar>
            <w:top w:w="0" w:type="dxa"/>
            <w:bottom w:w="0" w:type="dxa"/>
          </w:tblCellMar>
        </w:tblPrEx>
        <w:trPr>
          <w:cantSplit/>
        </w:trPr>
        <w:tc>
          <w:tcPr>
            <w:tcW w:w="9848" w:type="dxa"/>
          </w:tcPr>
          <w:p w14:paraId="28E62E1B" w14:textId="77777777" w:rsidR="00711444" w:rsidRPr="004D0DAA" w:rsidRDefault="00711444" w:rsidP="00AA2A4C">
            <w:pPr>
              <w:pStyle w:val="TAL"/>
              <w:rPr>
                <w:lang w:eastAsia="en-US"/>
              </w:rPr>
            </w:pPr>
            <w:r w:rsidRPr="004D0DAA">
              <w:rPr>
                <w:lang w:eastAsia="en-US"/>
              </w:rPr>
              <w:lastRenderedPageBreak/>
              <w:t>&lt; 3G Initial Dedicated Mode Reporting Description struct &gt; ::=</w:t>
            </w:r>
          </w:p>
          <w:p w14:paraId="218388E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3G_BA_IND </w:t>
            </w:r>
            <w:r w:rsidRPr="004D0DAA">
              <w:rPr>
                <w:lang w:eastAsia="en-US"/>
              </w:rPr>
              <w:t>: bit &gt;</w:t>
            </w:r>
          </w:p>
          <w:p w14:paraId="4E28614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Qsearch_I :</w:t>
            </w:r>
            <w:r w:rsidRPr="004D0DAA">
              <w:rPr>
                <w:lang w:eastAsia="en-US"/>
              </w:rPr>
              <w:t xml:space="preserve"> bit (4) &gt; </w:t>
            </w:r>
            <w:r w:rsidRPr="004D0DAA">
              <w:rPr>
                <w:lang w:eastAsia="en-US"/>
              </w:rPr>
              <w:br/>
            </w:r>
            <w:r w:rsidRPr="004D0DAA">
              <w:rPr>
                <w:lang w:eastAsia="en-US"/>
              </w:rPr>
              <w:tab/>
              <w:t xml:space="preserve">&lt; </w:t>
            </w:r>
            <w:r w:rsidRPr="004D0DAA">
              <w:rPr>
                <w:b/>
                <w:lang w:eastAsia="en-US"/>
              </w:rPr>
              <w:t>Qsearch_C_Initial :</w:t>
            </w:r>
            <w:r w:rsidRPr="004D0DAA">
              <w:rPr>
                <w:lang w:eastAsia="en-US"/>
              </w:rPr>
              <w:t xml:space="preserve"> bit (1) &gt;</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FDD_Qoffset</w:t>
            </w:r>
            <w:r w:rsidRPr="004D0DAA">
              <w:rPr>
                <w:lang w:eastAsia="en-US"/>
              </w:rPr>
              <w:t xml:space="preserve"> : bit (4)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information</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FDD_REP_QUANT</w:t>
            </w:r>
            <w:r w:rsidRPr="004D0DAA">
              <w:rPr>
                <w:lang w:eastAsia="en-US"/>
              </w:rPr>
              <w:t xml:space="preserve"> : bit (1) &gt;</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FDD_MULTIRAT_REPORTING</w:t>
            </w:r>
            <w:r w:rsidRPr="004D0DAA">
              <w:rPr>
                <w:lang w:eastAsia="en-US"/>
              </w:rPr>
              <w:t xml:space="preserve"> : bit (2) &gt; }</w:t>
            </w:r>
            <w:r w:rsidRPr="004D0DAA">
              <w:rPr>
                <w:lang w:eastAsia="en-US"/>
              </w:rPr>
              <w:br/>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en-US"/>
              </w:rPr>
              <w:t>TDD_Qoffset</w:t>
            </w:r>
            <w:r w:rsidRPr="004D0DAA">
              <w:rPr>
                <w:lang w:eastAsia="en-US"/>
              </w:rPr>
              <w:t xml:space="preserve"> : bit (4)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TDD information</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TDD_MULTIRAT_REPORTING</w:t>
            </w:r>
            <w:r w:rsidRPr="004D0DAA">
              <w:rPr>
                <w:lang w:eastAsia="en-US"/>
              </w:rPr>
              <w:t xml:space="preserve"> : bit (2) &gt; } ;</w:t>
            </w:r>
          </w:p>
          <w:p w14:paraId="7E29E78A" w14:textId="77777777" w:rsidR="00711444" w:rsidRPr="004D0DAA" w:rsidRDefault="00711444" w:rsidP="00AA2A4C">
            <w:pPr>
              <w:pStyle w:val="TAL"/>
              <w:rPr>
                <w:lang w:eastAsia="en-US"/>
              </w:rPr>
            </w:pPr>
          </w:p>
        </w:tc>
      </w:tr>
      <w:tr w:rsidR="00711444" w:rsidRPr="004D0DAA" w14:paraId="0662FD1B" w14:textId="77777777" w:rsidTr="00AA2A4C">
        <w:tblPrEx>
          <w:tblCellMar>
            <w:top w:w="0" w:type="dxa"/>
            <w:bottom w:w="0" w:type="dxa"/>
          </w:tblCellMar>
        </w:tblPrEx>
        <w:trPr>
          <w:cantSplit/>
        </w:trPr>
        <w:tc>
          <w:tcPr>
            <w:tcW w:w="9848" w:type="dxa"/>
          </w:tcPr>
          <w:p w14:paraId="4F13D91F" w14:textId="77777777" w:rsidR="00711444" w:rsidRPr="004D0DAA" w:rsidRDefault="00711444" w:rsidP="00AA2A4C">
            <w:pPr>
              <w:pStyle w:val="TAL"/>
              <w:rPr>
                <w:lang w:eastAsia="en-US"/>
              </w:rPr>
            </w:pPr>
            <w:r w:rsidRPr="004D0DAA">
              <w:rPr>
                <w:lang w:eastAsia="en-US"/>
              </w:rPr>
              <w:t>&lt; GPRS 3G Additional Measurement Parameters Description struct &gt; ::=</w:t>
            </w:r>
          </w:p>
          <w:p w14:paraId="477D5ED1" w14:textId="77777777" w:rsidR="00711444" w:rsidRPr="004D0DAA" w:rsidRDefault="00711444" w:rsidP="00AA2A4C">
            <w:pPr>
              <w:pStyle w:val="TAL"/>
              <w:rPr>
                <w:lang w:eastAsia="en-US"/>
              </w:rPr>
            </w:pPr>
            <w:r w:rsidRPr="004D0DAA">
              <w:rPr>
                <w:lang w:eastAsia="en-US"/>
              </w:rPr>
              <w:tab/>
              <w:t>&lt;</w:t>
            </w:r>
            <w:r w:rsidRPr="004D0DAA">
              <w:rPr>
                <w:b/>
                <w:bCs/>
                <w:lang w:eastAsia="en-US"/>
              </w:rPr>
              <w:t xml:space="preserve"> FDD_Qmin_Offset </w:t>
            </w:r>
            <w:r w:rsidRPr="004D0DAA">
              <w:rPr>
                <w:lang w:eastAsia="en-US"/>
              </w:rPr>
              <w:t>: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information</w:t>
            </w:r>
            <w:r w:rsidRPr="004D0DAA">
              <w:rPr>
                <w:lang w:eastAsia="en-US"/>
              </w:rPr>
              <w:t xml:space="preserve"> </w:t>
            </w:r>
          </w:p>
          <w:p w14:paraId="2FAB48A0" w14:textId="77777777" w:rsidR="00711444" w:rsidRPr="004D0DAA" w:rsidRDefault="00711444" w:rsidP="00AA2A4C">
            <w:pPr>
              <w:pStyle w:val="TAL"/>
              <w:rPr>
                <w:lang w:eastAsia="en-US"/>
              </w:rPr>
            </w:pPr>
            <w:r w:rsidRPr="004D0DAA">
              <w:rPr>
                <w:lang w:eastAsia="en-US"/>
              </w:rPr>
              <w:tab/>
              <w:t>&lt;</w:t>
            </w:r>
            <w:r w:rsidRPr="004D0DAA">
              <w:rPr>
                <w:b/>
                <w:bCs/>
                <w:lang w:eastAsia="en-US"/>
              </w:rPr>
              <w:t xml:space="preserve"> FDD_RSCPmin </w:t>
            </w:r>
            <w:r w:rsidRPr="004D0DAA">
              <w:rPr>
                <w:lang w:eastAsia="en-US"/>
              </w:rPr>
              <w:t>: bit (4) &gt; ;</w:t>
            </w:r>
          </w:p>
          <w:p w14:paraId="590DEDA7" w14:textId="77777777" w:rsidR="00711444" w:rsidRPr="004D0DAA" w:rsidRDefault="00711444" w:rsidP="00AA2A4C">
            <w:pPr>
              <w:pStyle w:val="TAL"/>
              <w:rPr>
                <w:lang w:eastAsia="en-US"/>
              </w:rPr>
            </w:pPr>
          </w:p>
        </w:tc>
      </w:tr>
      <w:tr w:rsidR="00711444" w:rsidRPr="004D0DAA" w14:paraId="08EDB18C" w14:textId="77777777" w:rsidTr="00AA2A4C">
        <w:tblPrEx>
          <w:tblCellMar>
            <w:top w:w="0" w:type="dxa"/>
            <w:bottom w:w="0" w:type="dxa"/>
          </w:tblCellMar>
        </w:tblPrEx>
        <w:trPr>
          <w:cantSplit/>
        </w:trPr>
        <w:tc>
          <w:tcPr>
            <w:tcW w:w="9848" w:type="dxa"/>
          </w:tcPr>
          <w:p w14:paraId="1E94BBB1" w14:textId="77777777" w:rsidR="00711444" w:rsidRPr="004D0DAA" w:rsidRDefault="00711444" w:rsidP="00AA2A4C">
            <w:pPr>
              <w:pStyle w:val="TAL"/>
              <w:rPr>
                <w:lang w:eastAsia="en-US"/>
              </w:rPr>
            </w:pPr>
            <w:r w:rsidRPr="004D0DAA">
              <w:rPr>
                <w:lang w:eastAsia="en-US"/>
              </w:rPr>
              <w:t>&lt; GPRS 3G Additional Measurement Parameters Description 2 struct &gt; ::=</w:t>
            </w:r>
          </w:p>
          <w:p w14:paraId="4AF148B2" w14:textId="77777777" w:rsidR="00711444" w:rsidRPr="004D0DAA" w:rsidRDefault="00711444" w:rsidP="00AA2A4C">
            <w:pPr>
              <w:pStyle w:val="TAL"/>
              <w:rPr>
                <w:lang w:eastAsia="en-US"/>
              </w:rPr>
            </w:pPr>
            <w:r w:rsidRPr="004D0DAA">
              <w:rPr>
                <w:lang w:eastAsia="en-US"/>
              </w:rPr>
              <w:tab/>
            </w:r>
            <w:r w:rsidRPr="004D0DAA">
              <w:rPr>
                <w:lang w:eastAsia="en-US"/>
              </w:rPr>
              <w:tab/>
              <w:t>{ 0 | 1 &lt;</w:t>
            </w:r>
            <w:r w:rsidRPr="004D0DAA">
              <w:rPr>
                <w:b/>
                <w:bCs/>
                <w:lang w:eastAsia="en-US"/>
              </w:rPr>
              <w:t xml:space="preserve"> FDD_REPORTING_THRESHOLD_2 </w:t>
            </w:r>
            <w:r w:rsidRPr="004D0DAA">
              <w:rPr>
                <w:lang w:eastAsia="en-US"/>
              </w:rPr>
              <w:t>: bit (6) &gt; }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information</w:t>
            </w:r>
          </w:p>
          <w:p w14:paraId="257EB4E0" w14:textId="77777777" w:rsidR="00711444" w:rsidRPr="004D0DAA" w:rsidRDefault="00711444" w:rsidP="00AA2A4C">
            <w:pPr>
              <w:pStyle w:val="TAL"/>
              <w:rPr>
                <w:lang w:eastAsia="en-US"/>
              </w:rPr>
            </w:pPr>
          </w:p>
        </w:tc>
      </w:tr>
    </w:tbl>
    <w:p w14:paraId="21C0F5DE" w14:textId="77777777" w:rsidR="00711444" w:rsidRPr="004D0DAA" w:rsidRDefault="00711444" w:rsidP="00711444"/>
    <w:p w14:paraId="02A50D5C" w14:textId="77777777" w:rsidR="00711444" w:rsidRPr="004D0DAA" w:rsidRDefault="00711444" w:rsidP="00711444">
      <w:pPr>
        <w:pStyle w:val="TH"/>
      </w:pPr>
      <w:r w:rsidRPr="004D0DAA">
        <w:t>Table 11.2.21b.2: PSI3 quater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26C757C" w14:textId="77777777" w:rsidTr="00AA2A4C">
        <w:tblPrEx>
          <w:tblCellMar>
            <w:top w:w="0" w:type="dxa"/>
            <w:bottom w:w="0" w:type="dxa"/>
          </w:tblCellMar>
        </w:tblPrEx>
        <w:trPr>
          <w:cantSplit/>
        </w:trPr>
        <w:tc>
          <w:tcPr>
            <w:tcW w:w="9848" w:type="dxa"/>
          </w:tcPr>
          <w:p w14:paraId="10FE2F62" w14:textId="77777777" w:rsidR="00711444" w:rsidRPr="004D0DAA" w:rsidRDefault="00711444" w:rsidP="00AA2A4C">
            <w:pPr>
              <w:rPr>
                <w:b/>
              </w:rPr>
            </w:pPr>
            <w:r w:rsidRPr="004D0DAA">
              <w:rPr>
                <w:b/>
              </w:rPr>
              <w:t>PAGE_MODE</w:t>
            </w:r>
            <w:r w:rsidRPr="004D0DAA">
              <w:t xml:space="preserve"> (2 bit field)</w:t>
            </w:r>
            <w:r w:rsidRPr="004D0DAA">
              <w:br/>
              <w:t>See description under PSI3.</w:t>
            </w:r>
          </w:p>
        </w:tc>
      </w:tr>
      <w:tr w:rsidR="00711444" w:rsidRPr="004D0DAA" w14:paraId="5E552FC0" w14:textId="77777777" w:rsidTr="00AA2A4C">
        <w:tblPrEx>
          <w:tblCellMar>
            <w:top w:w="0" w:type="dxa"/>
            <w:bottom w:w="0" w:type="dxa"/>
          </w:tblCellMar>
        </w:tblPrEx>
        <w:trPr>
          <w:cantSplit/>
        </w:trPr>
        <w:tc>
          <w:tcPr>
            <w:tcW w:w="9848" w:type="dxa"/>
          </w:tcPr>
          <w:p w14:paraId="15E3C6FA" w14:textId="77777777" w:rsidR="00711444" w:rsidRPr="004D0DAA" w:rsidRDefault="00711444" w:rsidP="00AA2A4C">
            <w:r w:rsidRPr="004D0DAA">
              <w:rPr>
                <w:b/>
              </w:rPr>
              <w:t xml:space="preserve">PSI3_CHANGE_MARK </w:t>
            </w:r>
            <w:r w:rsidRPr="004D0DAA">
              <w:t>(2 bit field)</w:t>
            </w:r>
            <w:r w:rsidRPr="004D0DAA">
              <w:br/>
              <w:t>See description under PSI3.</w:t>
            </w:r>
          </w:p>
        </w:tc>
      </w:tr>
      <w:tr w:rsidR="00711444" w:rsidRPr="004D0DAA" w14:paraId="2DD2AC9F" w14:textId="77777777" w:rsidTr="00AA2A4C">
        <w:tblPrEx>
          <w:tblCellMar>
            <w:top w:w="0" w:type="dxa"/>
            <w:bottom w:w="0" w:type="dxa"/>
          </w:tblCellMar>
        </w:tblPrEx>
        <w:trPr>
          <w:cantSplit/>
        </w:trPr>
        <w:tc>
          <w:tcPr>
            <w:tcW w:w="9848" w:type="dxa"/>
          </w:tcPr>
          <w:p w14:paraId="0515BBCF" w14:textId="77777777" w:rsidR="00711444" w:rsidRPr="004D0DAA" w:rsidRDefault="00711444" w:rsidP="00AA2A4C">
            <w:r w:rsidRPr="004D0DAA">
              <w:rPr>
                <w:b/>
              </w:rPr>
              <w:t xml:space="preserve">PSI3_QUATER_INDEX </w:t>
            </w:r>
            <w:r w:rsidRPr="004D0DAA">
              <w:t>(4 bit field)</w:t>
            </w:r>
            <w:r w:rsidRPr="004D0DAA">
              <w:br/>
              <w:t>The PSI3_QUATER_INDEX field is used to distinguish individual PSI3 quater messages containing information about different neighbour cells. The field can take the binary representation of the values 0 to n, where n is the index of the last PSI3 quater message. (PSI3 quater count).</w:t>
            </w:r>
          </w:p>
        </w:tc>
      </w:tr>
      <w:tr w:rsidR="00711444" w:rsidRPr="004D0DAA" w14:paraId="3F3F397D" w14:textId="77777777" w:rsidTr="00AA2A4C">
        <w:tblPrEx>
          <w:tblCellMar>
            <w:top w:w="0" w:type="dxa"/>
            <w:bottom w:w="0" w:type="dxa"/>
          </w:tblCellMar>
        </w:tblPrEx>
        <w:trPr>
          <w:cantSplit/>
        </w:trPr>
        <w:tc>
          <w:tcPr>
            <w:tcW w:w="9848" w:type="dxa"/>
          </w:tcPr>
          <w:p w14:paraId="063520FD" w14:textId="77777777" w:rsidR="00711444" w:rsidRPr="004D0DAA" w:rsidRDefault="00711444" w:rsidP="00AA2A4C">
            <w:r w:rsidRPr="004D0DAA">
              <w:rPr>
                <w:b/>
              </w:rPr>
              <w:t>PSI3_QUATER_COUNT</w:t>
            </w:r>
            <w:r w:rsidRPr="004D0DAA">
              <w:t xml:space="preserve"> (4 bit field)</w:t>
            </w:r>
            <w:r w:rsidRPr="004D0DAA">
              <w:br/>
              <w:t>This field is coded as the binary representation of the PSI3 quater index (in the PSI3 quater message) for the last (highest indexed) individual PSI3 quater message.</w:t>
            </w:r>
            <w:r w:rsidRPr="004D0DAA">
              <w:br/>
              <w:t>Range: 0-15.</w:t>
            </w:r>
          </w:p>
        </w:tc>
      </w:tr>
      <w:tr w:rsidR="00711444" w:rsidRPr="004D0DAA" w14:paraId="01DF6236" w14:textId="77777777" w:rsidTr="00AA2A4C">
        <w:tblPrEx>
          <w:tblCellMar>
            <w:top w:w="0" w:type="dxa"/>
            <w:bottom w:w="0" w:type="dxa"/>
          </w:tblCellMar>
        </w:tblPrEx>
        <w:trPr>
          <w:cantSplit/>
        </w:trPr>
        <w:tc>
          <w:tcPr>
            <w:tcW w:w="9848" w:type="dxa"/>
          </w:tcPr>
          <w:p w14:paraId="778D575C" w14:textId="77777777" w:rsidR="00711444" w:rsidRPr="004D0DAA" w:rsidRDefault="00711444" w:rsidP="00AA2A4C">
            <w:pPr>
              <w:rPr>
                <w:b/>
                <w:i/>
              </w:rPr>
            </w:pPr>
            <w:r w:rsidRPr="004D0DAA">
              <w:rPr>
                <w:b/>
                <w:i/>
              </w:rPr>
              <w:t xml:space="preserve">GPRS REP PRIORITY Description </w:t>
            </w:r>
          </w:p>
          <w:p w14:paraId="045D544B" w14:textId="77777777" w:rsidR="00711444" w:rsidRPr="004D0DAA" w:rsidRDefault="00711444" w:rsidP="00AA2A4C">
            <w:pPr>
              <w:rPr>
                <w:b/>
              </w:rPr>
            </w:pPr>
            <w:r w:rsidRPr="004D0DAA">
              <w:rPr>
                <w:b/>
              </w:rPr>
              <w:t>REP_PRIORITY</w:t>
            </w:r>
            <w:r w:rsidRPr="004D0DAA">
              <w:t xml:space="preserve"> bit:</w:t>
            </w:r>
            <w:r w:rsidRPr="004D0DAA">
              <w:rPr>
                <w:b/>
              </w:rPr>
              <w:br/>
            </w:r>
            <w:r w:rsidRPr="004D0DAA">
              <w:t>0</w:t>
            </w:r>
            <w:r w:rsidRPr="004D0DAA">
              <w:tab/>
              <w:t>Normal reporting priority</w:t>
            </w:r>
            <w:r w:rsidRPr="004D0DAA">
              <w:br/>
              <w:t>1</w:t>
            </w:r>
            <w:r w:rsidRPr="004D0DAA">
              <w:tab/>
              <w:t>High reporting priority</w:t>
            </w:r>
          </w:p>
          <w:p w14:paraId="0B777C11" w14:textId="77777777" w:rsidR="00711444" w:rsidRPr="004D0DAA" w:rsidRDefault="00711444" w:rsidP="00AA2A4C">
            <w:pPr>
              <w:rPr>
                <w:b/>
                <w:i/>
              </w:rPr>
            </w:pPr>
            <w:r w:rsidRPr="004D0DAA">
              <w:t>The use of these bits is defined in sub-clause 5.6.3.5 ("GPRS Report Priority Description").</w:t>
            </w:r>
          </w:p>
        </w:tc>
      </w:tr>
      <w:tr w:rsidR="00711444" w:rsidRPr="004D0DAA" w14:paraId="070A0DB8" w14:textId="77777777" w:rsidTr="00AA2A4C">
        <w:tblPrEx>
          <w:tblCellMar>
            <w:top w:w="0" w:type="dxa"/>
            <w:bottom w:w="0" w:type="dxa"/>
          </w:tblCellMar>
        </w:tblPrEx>
        <w:trPr>
          <w:cantSplit/>
        </w:trPr>
        <w:tc>
          <w:tcPr>
            <w:tcW w:w="9848" w:type="dxa"/>
          </w:tcPr>
          <w:p w14:paraId="71C75069" w14:textId="77777777" w:rsidR="00711444" w:rsidRPr="004D0DAA" w:rsidRDefault="00711444" w:rsidP="00AA2A4C">
            <w:r w:rsidRPr="004D0DAA">
              <w:rPr>
                <w:b/>
                <w:i/>
              </w:rPr>
              <w:lastRenderedPageBreak/>
              <w:t>3G Neighbour Cell Description</w:t>
            </w:r>
          </w:p>
          <w:p w14:paraId="0664BF17" w14:textId="77777777" w:rsidR="00711444" w:rsidRPr="004D0DAA" w:rsidRDefault="00711444" w:rsidP="00AA2A4C">
            <w:r w:rsidRPr="004D0DAA">
              <w:t>The building of the 3G Neighbour Cell list and the ordering of indices within each Radio Access Technology is described in sub-clause 5.6.3.1.</w:t>
            </w:r>
          </w:p>
          <w:p w14:paraId="620391F9" w14:textId="77777777" w:rsidR="00711444" w:rsidRPr="004D0DAA" w:rsidRDefault="00711444" w:rsidP="00AA2A4C">
            <w:r w:rsidRPr="004D0DAA">
              <w:rPr>
                <w:b/>
              </w:rPr>
              <w:t>Index_Start_3G</w:t>
            </w:r>
            <w:r w:rsidRPr="004D0DAA">
              <w:t xml:space="preserve"> (7 bit)</w:t>
            </w:r>
          </w:p>
          <w:p w14:paraId="3E03D546" w14:textId="77777777" w:rsidR="00711444" w:rsidRPr="004D0DAA" w:rsidRDefault="00711444" w:rsidP="00AA2A4C">
            <w:r w:rsidRPr="004D0DAA">
              <w:t>This optional information element indicates the value of the first index to use to build this instance of the 3G Neighbour Cell list. When missing, the value 0 is assumed. See sub-clause 5.6.3.1.</w:t>
            </w:r>
          </w:p>
          <w:p w14:paraId="3419B3C6" w14:textId="77777777" w:rsidR="00711444" w:rsidRPr="004D0DAA" w:rsidRDefault="00711444" w:rsidP="00AA2A4C">
            <w:r w:rsidRPr="004D0DAA">
              <w:rPr>
                <w:b/>
              </w:rPr>
              <w:t>Absolute_Index_Start_EMR</w:t>
            </w:r>
            <w:r w:rsidRPr="004D0DAA">
              <w:t xml:space="preserve"> (7 bit)</w:t>
            </w:r>
          </w:p>
          <w:p w14:paraId="5912887F" w14:textId="77777777" w:rsidR="00711444" w:rsidRPr="004D0DAA" w:rsidRDefault="00711444" w:rsidP="00AA2A4C">
            <w:r w:rsidRPr="004D0DAA">
              <w:t>This parameter indicates the value to be added to the indexes of the 3G Neighbour Cell list for reporting 3G Cells with the PACKET ENHANCED MEASUREMENT REPORT message (see sub-clause 5.6.3.3). If different values are received for this parameter in different instances of this message, the instance with the highest index shall be used. If this parameter is absent in all instances of the message, the value "0" shall be used.</w:t>
            </w:r>
          </w:p>
          <w:p w14:paraId="370B5A9C" w14:textId="77777777" w:rsidR="00711444" w:rsidRPr="004D0DAA" w:rsidRDefault="00711444" w:rsidP="00AA2A4C">
            <w:pPr>
              <w:pStyle w:val="NO"/>
              <w:rPr>
                <w:lang w:eastAsia="en-US"/>
              </w:rPr>
            </w:pPr>
            <w:r w:rsidRPr="004D0DAA">
              <w:rPr>
                <w:lang w:eastAsia="en-US"/>
              </w:rPr>
              <w:t>NOTE:</w:t>
            </w:r>
            <w:r w:rsidRPr="004D0DAA">
              <w:rPr>
                <w:lang w:eastAsia="en-US"/>
              </w:rPr>
              <w:tab/>
              <w:t>This parameter is not used for reporting 3G Cells with the PACKET MEASUREMENT REPORT message, see sub-clause 11.2.9.</w:t>
            </w:r>
          </w:p>
          <w:p w14:paraId="499FF0C8" w14:textId="77777777" w:rsidR="00711444" w:rsidRPr="004D0DAA" w:rsidRDefault="00711444" w:rsidP="00AA2A4C">
            <w:r w:rsidRPr="004D0DAA">
              <w:rPr>
                <w:b/>
              </w:rPr>
              <w:t>UTRAN FDD Description:</w:t>
            </w:r>
            <w:r w:rsidRPr="004D0DAA">
              <w:rPr>
                <w:b/>
              </w:rPr>
              <w:br/>
            </w:r>
            <w:r w:rsidRPr="004D0DAA">
              <w:t xml:space="preserve">For detailed element definitions see the Packet Measurement Order message with the following exception for the </w:t>
            </w:r>
            <w:r w:rsidRPr="004D0DAA">
              <w:rPr>
                <w:sz w:val="18"/>
              </w:rPr>
              <w:t>FDD_CELL_INFORMATION</w:t>
            </w:r>
            <w:r w:rsidRPr="004D0DAA">
              <w:t xml:space="preserve"> Field:</w:t>
            </w:r>
          </w:p>
          <w:p w14:paraId="17E507E5" w14:textId="77777777" w:rsidR="00711444" w:rsidRPr="004D0DAA" w:rsidRDefault="00711444" w:rsidP="00AA2A4C">
            <w:r w:rsidRPr="004D0DAA">
              <w:rPr>
                <w:b/>
                <w:sz w:val="18"/>
              </w:rPr>
              <w:t>FDD_CELL_INFORMATION F</w:t>
            </w:r>
            <w:r w:rsidRPr="004D0DAA">
              <w:rPr>
                <w:b/>
              </w:rPr>
              <w:t>ield </w:t>
            </w:r>
            <w:r w:rsidRPr="004D0DAA">
              <w:t>(p bit field)</w:t>
            </w:r>
            <w:r w:rsidRPr="004D0DAA">
              <w:br/>
            </w:r>
            <w:r w:rsidRPr="004D0DAA">
              <w:rPr>
                <w:sz w:val="8"/>
              </w:rPr>
              <w:br/>
            </w:r>
            <w:r w:rsidRPr="004D0DAA">
              <w:t xml:space="preserve">If parameter </w:t>
            </w:r>
            <w:r w:rsidRPr="004D0DAA">
              <w:rPr>
                <w:i/>
              </w:rPr>
              <w:t>n</w:t>
            </w:r>
            <w:r w:rsidRPr="004D0DAA">
              <w:t xml:space="preserve"> in table 11.2.9b.2.a is equal to 31, this indicates that the corresponding UARFCN shall be included in the GPRS 3G Cell Reselection list (see sub-clause 5.6.3.7); no index shall be allocated in the 3G Neighbour Cell list.</w:t>
            </w:r>
          </w:p>
          <w:p w14:paraId="486C8A7F" w14:textId="77777777" w:rsidR="00711444" w:rsidRPr="004D0DAA" w:rsidRDefault="00711444" w:rsidP="00AA2A4C">
            <w:pPr>
              <w:rPr>
                <w:b/>
              </w:rPr>
            </w:pPr>
            <w:r w:rsidRPr="004D0DAA">
              <w:rPr>
                <w:b/>
              </w:rPr>
              <w:t>UTRAN TDD Description:</w:t>
            </w:r>
            <w:r w:rsidRPr="004D0DAA">
              <w:rPr>
                <w:b/>
              </w:rPr>
              <w:br/>
            </w:r>
            <w:r w:rsidRPr="004D0DAA">
              <w:t xml:space="preserve">For detailed element definitions see the Packet Measurement Order message with the following exception for the </w:t>
            </w:r>
            <w:r w:rsidRPr="004D0DAA">
              <w:rPr>
                <w:sz w:val="18"/>
              </w:rPr>
              <w:t>TDD_CELL_INFORMATION</w:t>
            </w:r>
            <w:r w:rsidRPr="004D0DAA">
              <w:t xml:space="preserve"> Field:</w:t>
            </w:r>
            <w:r w:rsidRPr="004D0DAA">
              <w:br/>
            </w:r>
            <w:r w:rsidRPr="004D0DAA">
              <w:br/>
            </w:r>
            <w:r w:rsidRPr="004D0DAA">
              <w:rPr>
                <w:b/>
                <w:sz w:val="18"/>
              </w:rPr>
              <w:t>TDD_CELL_INFORMATION F</w:t>
            </w:r>
            <w:r w:rsidRPr="004D0DAA">
              <w:rPr>
                <w:b/>
              </w:rPr>
              <w:t>ield </w:t>
            </w:r>
            <w:r w:rsidRPr="004D0DAA">
              <w:t>(q bit field)</w:t>
            </w:r>
            <w:r w:rsidRPr="004D0DAA">
              <w:br/>
            </w:r>
            <w:r w:rsidRPr="004D0DAA">
              <w:rPr>
                <w:sz w:val="8"/>
              </w:rPr>
              <w:br/>
            </w:r>
            <w:r w:rsidRPr="004D0DAA">
              <w:t xml:space="preserve">If parameter </w:t>
            </w:r>
            <w:r w:rsidRPr="004D0DAA">
              <w:rPr>
                <w:i/>
              </w:rPr>
              <w:t>m</w:t>
            </w:r>
            <w:r w:rsidRPr="004D0DAA">
              <w:t xml:space="preserve"> in table 11.2.9b.2.b is equal to 31, this indicates that the corresponding UARFCN shall be included in the GPRS 3G Cell Reselection list (see sub-clause 5.6.3.7); no index shall be allocated in the 3G Neighbour Cell list.</w:t>
            </w:r>
          </w:p>
        </w:tc>
      </w:tr>
      <w:tr w:rsidR="00711444" w:rsidRPr="004D0DAA" w14:paraId="1AE903F4" w14:textId="77777777" w:rsidTr="00AA2A4C">
        <w:tblPrEx>
          <w:tblCellMar>
            <w:top w:w="0" w:type="dxa"/>
            <w:bottom w:w="0" w:type="dxa"/>
          </w:tblCellMar>
        </w:tblPrEx>
        <w:trPr>
          <w:cantSplit/>
        </w:trPr>
        <w:tc>
          <w:tcPr>
            <w:tcW w:w="9848" w:type="dxa"/>
          </w:tcPr>
          <w:p w14:paraId="27BD0EAE" w14:textId="77777777" w:rsidR="00711444" w:rsidRPr="004D0DAA" w:rsidRDefault="00711444" w:rsidP="00AA2A4C">
            <w:pPr>
              <w:rPr>
                <w:b/>
                <w:i/>
              </w:rPr>
            </w:pPr>
            <w:r w:rsidRPr="004D0DAA">
              <w:rPr>
                <w:b/>
                <w:i/>
              </w:rPr>
              <w:t>3G MEASUREMENT PARAMETERS Description</w:t>
            </w:r>
            <w:r w:rsidRPr="004D0DAA">
              <w:rPr>
                <w:b/>
                <w:i/>
              </w:rPr>
              <w:br/>
            </w:r>
            <w:r w:rsidRPr="004D0DAA">
              <w:t>The fields of this Description are used for measurements as defined in 3GPP TS 45.008.</w:t>
            </w:r>
          </w:p>
        </w:tc>
      </w:tr>
      <w:tr w:rsidR="00711444" w:rsidRPr="004D0DAA" w14:paraId="59153692" w14:textId="77777777" w:rsidTr="00AA2A4C">
        <w:tblPrEx>
          <w:tblCellMar>
            <w:top w:w="0" w:type="dxa"/>
            <w:bottom w:w="0" w:type="dxa"/>
          </w:tblCellMar>
        </w:tblPrEx>
        <w:trPr>
          <w:cantSplit/>
        </w:trPr>
        <w:tc>
          <w:tcPr>
            <w:tcW w:w="9848" w:type="dxa"/>
          </w:tcPr>
          <w:p w14:paraId="784959D7" w14:textId="77777777" w:rsidR="00711444" w:rsidRPr="004D0DAA" w:rsidRDefault="00711444" w:rsidP="00AA2A4C">
            <w:pPr>
              <w:rPr>
                <w:b/>
                <w:i/>
              </w:rPr>
            </w:pPr>
            <w:r w:rsidRPr="004D0DAA">
              <w:rPr>
                <w:b/>
                <w:i/>
              </w:rPr>
              <w:t>3G Initial Dedicated Mode Reporting Description</w:t>
            </w:r>
          </w:p>
          <w:p w14:paraId="310881C5" w14:textId="77777777" w:rsidR="00711444" w:rsidRPr="004D0DAA" w:rsidRDefault="00711444" w:rsidP="00AA2A4C">
            <w:r w:rsidRPr="004D0DAA">
              <w:t>These parameters shall only be used in initial 3G neighbour cell reporting in dedicated mode.</w:t>
            </w:r>
          </w:p>
          <w:p w14:paraId="2E67355D" w14:textId="77777777" w:rsidR="00711444" w:rsidRPr="004D0DAA" w:rsidRDefault="00711444" w:rsidP="00AA2A4C">
            <w:pPr>
              <w:rPr>
                <w:b/>
              </w:rPr>
            </w:pPr>
            <w:r w:rsidRPr="004D0DAA">
              <w:rPr>
                <w:b/>
              </w:rPr>
              <w:t>3G_BA_IND (1 bit field)</w:t>
            </w:r>
          </w:p>
          <w:p w14:paraId="4876FF9C" w14:textId="77777777" w:rsidR="00711444" w:rsidRPr="004D0DAA" w:rsidRDefault="00711444" w:rsidP="00AA2A4C">
            <w:r w:rsidRPr="004D0DAA">
              <w:t>The 3G_BA_IND is needed to identify set of 3G Neighbour Cell information used for reporting in dedicated mode. The value received is reflected in the MEASUREMENT REPORT and ENHANCED MEASUREMENT REPORT messages, see 3GPP TS 44.018 'Parameters for Measurements and Reporting'.</w:t>
            </w:r>
          </w:p>
          <w:p w14:paraId="1838E0CF" w14:textId="77777777" w:rsidR="00711444" w:rsidRPr="004D0DAA" w:rsidRDefault="00711444" w:rsidP="00AA2A4C">
            <w:pPr>
              <w:rPr>
                <w:b/>
                <w:i/>
              </w:rPr>
            </w:pPr>
            <w:r w:rsidRPr="004D0DAA">
              <w:t>The other fields of this Description are used for measurements as defined in 3GPP TS 45.008.</w:t>
            </w:r>
          </w:p>
        </w:tc>
      </w:tr>
      <w:tr w:rsidR="00711444" w:rsidRPr="004D0DAA" w14:paraId="046EB016" w14:textId="77777777" w:rsidTr="00AA2A4C">
        <w:tblPrEx>
          <w:tblCellMar>
            <w:top w:w="0" w:type="dxa"/>
            <w:bottom w:w="0" w:type="dxa"/>
          </w:tblCellMar>
        </w:tblPrEx>
        <w:trPr>
          <w:cantSplit/>
        </w:trPr>
        <w:tc>
          <w:tcPr>
            <w:tcW w:w="9848" w:type="dxa"/>
          </w:tcPr>
          <w:p w14:paraId="1DDB62EC" w14:textId="77777777" w:rsidR="00711444" w:rsidRPr="004D0DAA" w:rsidRDefault="00711444" w:rsidP="00AA2A4C">
            <w:pPr>
              <w:rPr>
                <w:b/>
                <w:i/>
              </w:rPr>
            </w:pPr>
            <w:r w:rsidRPr="004D0DAA">
              <w:rPr>
                <w:b/>
                <w:i/>
              </w:rPr>
              <w:t>GPRS 3G Additional Measurement Parameters Description</w:t>
            </w:r>
            <w:r w:rsidRPr="004D0DAA">
              <w:rPr>
                <w:b/>
                <w:i/>
              </w:rPr>
              <w:br/>
            </w:r>
            <w:r w:rsidRPr="004D0DAA">
              <w:t>The fields of this Description are used for measurements as defined in 3GPP TS 45.008.</w:t>
            </w:r>
            <w:r w:rsidRPr="004D0DAA">
              <w:br/>
              <w:t xml:space="preserve">If the </w:t>
            </w:r>
            <w:r w:rsidRPr="004D0DAA">
              <w:rPr>
                <w:i/>
                <w:iCs/>
              </w:rPr>
              <w:t>GPRS 3G A</w:t>
            </w:r>
            <w:r w:rsidRPr="004D0DAA">
              <w:rPr>
                <w:i/>
              </w:rPr>
              <w:t>dditional MeasurementParameters Description</w:t>
            </w:r>
            <w:r w:rsidRPr="004D0DAA">
              <w:t xml:space="preserve"> is included in more than one instance of the PSI3quater message, </w:t>
            </w:r>
            <w:r w:rsidRPr="004D0DAA">
              <w:rPr>
                <w:i/>
              </w:rPr>
              <w:t xml:space="preserve">the </w:t>
            </w:r>
            <w:r w:rsidRPr="004D0DAA">
              <w:rPr>
                <w:i/>
                <w:iCs/>
              </w:rPr>
              <w:t>GPRS 3G A</w:t>
            </w:r>
            <w:r w:rsidRPr="004D0DAA">
              <w:rPr>
                <w:i/>
              </w:rPr>
              <w:t xml:space="preserve">dditional MeasurementParameters Description </w:t>
            </w:r>
            <w:r w:rsidRPr="004D0DAA">
              <w:t>of the instance with the highest PSI3quater_INDEX shall be used.</w:t>
            </w:r>
          </w:p>
        </w:tc>
      </w:tr>
      <w:tr w:rsidR="00711444" w:rsidRPr="004D0DAA" w14:paraId="5DFB20D5" w14:textId="77777777" w:rsidTr="00AA2A4C">
        <w:tblPrEx>
          <w:tblCellMar>
            <w:top w:w="0" w:type="dxa"/>
            <w:bottom w:w="0" w:type="dxa"/>
          </w:tblCellMar>
        </w:tblPrEx>
        <w:trPr>
          <w:cantSplit/>
        </w:trPr>
        <w:tc>
          <w:tcPr>
            <w:tcW w:w="9848" w:type="dxa"/>
          </w:tcPr>
          <w:p w14:paraId="2565DFE3" w14:textId="77777777" w:rsidR="00711444" w:rsidRPr="004D0DAA" w:rsidRDefault="00711444" w:rsidP="00AA2A4C">
            <w:r w:rsidRPr="004D0DAA">
              <w:rPr>
                <w:b/>
              </w:rPr>
              <w:t xml:space="preserve">3G_CCN_ACTIVE </w:t>
            </w:r>
            <w:r w:rsidRPr="004D0DAA">
              <w:t>(1 bit field)</w:t>
            </w:r>
            <w:r w:rsidRPr="004D0DAA">
              <w:br/>
              <w:t>This field indicates whether CCN is enabled towards 3G neighbouring cells. It is coded as follows:</w:t>
            </w:r>
          </w:p>
          <w:p w14:paraId="504ABB2A" w14:textId="77777777" w:rsidR="00711444" w:rsidRPr="004D0DAA" w:rsidRDefault="00711444" w:rsidP="00AA2A4C">
            <w:pPr>
              <w:rPr>
                <w:b/>
                <w:i/>
              </w:rPr>
            </w:pPr>
            <w:r w:rsidRPr="004D0DAA">
              <w:t>0</w:t>
            </w:r>
            <w:r w:rsidRPr="004D0DAA">
              <w:tab/>
              <w:t xml:space="preserve">CCN towards 3G cells is disabled in the cell. </w:t>
            </w:r>
            <w:r w:rsidRPr="004D0DAA">
              <w:br/>
              <w:t>1</w:t>
            </w:r>
            <w:r w:rsidRPr="004D0DAA">
              <w:tab/>
              <w:t>CCN towards 3G cells is enabled in the cell.</w:t>
            </w:r>
          </w:p>
        </w:tc>
      </w:tr>
      <w:tr w:rsidR="00711444" w:rsidRPr="004D0DAA" w14:paraId="34371AEB" w14:textId="77777777" w:rsidTr="00AA2A4C">
        <w:tblPrEx>
          <w:tblCellMar>
            <w:top w:w="0" w:type="dxa"/>
            <w:bottom w:w="0" w:type="dxa"/>
          </w:tblCellMar>
        </w:tblPrEx>
        <w:trPr>
          <w:cantSplit/>
        </w:trPr>
        <w:tc>
          <w:tcPr>
            <w:tcW w:w="9848" w:type="dxa"/>
          </w:tcPr>
          <w:p w14:paraId="06277EC6" w14:textId="77777777" w:rsidR="00711444" w:rsidRPr="004D0DAA" w:rsidRDefault="00711444" w:rsidP="00AA2A4C">
            <w:pPr>
              <w:rPr>
                <w:b/>
              </w:rPr>
            </w:pPr>
            <w:r w:rsidRPr="004D0DAA">
              <w:rPr>
                <w:b/>
                <w:bCs/>
                <w:i/>
                <w:iCs/>
              </w:rPr>
              <w:lastRenderedPageBreak/>
              <w:t>GPRS 3G Additional Measurement Parameters Description 2</w:t>
            </w:r>
            <w:r w:rsidRPr="004D0DAA">
              <w:rPr>
                <w:b/>
                <w:bCs/>
                <w:i/>
                <w:iCs/>
              </w:rPr>
              <w:br/>
            </w:r>
            <w:r w:rsidRPr="004D0DAA">
              <w:t>The fields of this Description are used for measurements as defined in 3GPP TS 45.008.</w:t>
            </w:r>
            <w:r w:rsidRPr="004D0DAA">
              <w:br/>
              <w:t xml:space="preserve">If the </w:t>
            </w:r>
            <w:r w:rsidRPr="004D0DAA">
              <w:rPr>
                <w:i/>
                <w:iCs/>
              </w:rPr>
              <w:t>GPRS 3G Additional Measurement Parameters Description</w:t>
            </w:r>
            <w:r w:rsidRPr="004D0DAA">
              <w:t xml:space="preserve"> 2 is included in more than one instance of the PSI3quater message, </w:t>
            </w:r>
            <w:r w:rsidRPr="004D0DAA">
              <w:rPr>
                <w:i/>
                <w:iCs/>
              </w:rPr>
              <w:t xml:space="preserve">the GPRS 3G Additional Measurement Parameters Description 2 </w:t>
            </w:r>
            <w:r w:rsidRPr="004D0DAA">
              <w:t>of the instance with the highest PSI3quater_INDEX shall be used.</w:t>
            </w:r>
          </w:p>
        </w:tc>
      </w:tr>
    </w:tbl>
    <w:p w14:paraId="41106A8F" w14:textId="77777777" w:rsidR="00711444" w:rsidRPr="004D0DAA" w:rsidRDefault="00711444" w:rsidP="00711444"/>
    <w:p w14:paraId="2DD4CAD7" w14:textId="77777777" w:rsidR="00711444" w:rsidRPr="004D0DAA" w:rsidRDefault="00711444" w:rsidP="00711444">
      <w:pPr>
        <w:pStyle w:val="Heading4"/>
      </w:pPr>
      <w:bookmarkStart w:id="698" w:name="_Toc516669874"/>
      <w:r w:rsidRPr="004D0DAA">
        <w:t>11.2.21b.1</w:t>
      </w:r>
      <w:r w:rsidRPr="004D0DAA">
        <w:tab/>
        <w:t>GPRS REP PRIORITY description</w:t>
      </w:r>
      <w:bookmarkEnd w:id="698"/>
    </w:p>
    <w:p w14:paraId="57765A3E" w14:textId="77777777" w:rsidR="00711444" w:rsidRPr="004D0DAA" w:rsidRDefault="00711444" w:rsidP="00711444">
      <w:r w:rsidRPr="004D0DAA">
        <w:t>A GPRS REP PRIORITY description construction shall be included in one and only one instance of the PACKET SYSTEM INFORMATION TYPE 3 QUATER message within the consistent set of PACKET SYSTEM INFORMATION TYPE 3 QUATER messages.</w:t>
      </w:r>
    </w:p>
    <w:p w14:paraId="7270E8F1" w14:textId="77777777" w:rsidR="00711444" w:rsidRPr="004D0DAA" w:rsidRDefault="00711444" w:rsidP="00711444">
      <w:pPr>
        <w:pStyle w:val="Heading3"/>
      </w:pPr>
      <w:bookmarkStart w:id="699" w:name="_Toc516669875"/>
      <w:r w:rsidRPr="004D0DAA">
        <w:t>11.2.22</w:t>
      </w:r>
      <w:r w:rsidRPr="004D0DAA">
        <w:tab/>
        <w:t>(void)</w:t>
      </w:r>
      <w:bookmarkEnd w:id="699"/>
    </w:p>
    <w:p w14:paraId="70A55F62" w14:textId="77777777" w:rsidR="00711444" w:rsidRPr="004D0DAA" w:rsidRDefault="00711444" w:rsidP="00711444">
      <w:pPr>
        <w:pStyle w:val="Heading3"/>
      </w:pPr>
      <w:bookmarkStart w:id="700" w:name="_Toc516669876"/>
      <w:r w:rsidRPr="004D0DAA">
        <w:t>11.2.23</w:t>
      </w:r>
      <w:r w:rsidRPr="004D0DAA">
        <w:tab/>
        <w:t>Packet System Information Type 5</w:t>
      </w:r>
      <w:bookmarkEnd w:id="700"/>
    </w:p>
    <w:p w14:paraId="134919EE" w14:textId="77777777" w:rsidR="00711444" w:rsidRPr="004D0DAA" w:rsidRDefault="00711444" w:rsidP="00711444">
      <w:r w:rsidRPr="004D0DAA">
        <w:t>This optional message is sent by the network on the PBCCH giving information for measurement reporting and network controlled cell reselection. This message shall not be segmented across more than one RLC/MAC control block by using the procedures specified in sub-clause 9.1.12a. If not all information fits into one message, the remaining information will be sent in other instances of the PSI5 message. The message is sent on PBCCH only if so indicated in PSI1.</w:t>
      </w:r>
    </w:p>
    <w:p w14:paraId="76748584" w14:textId="77777777" w:rsidR="00711444" w:rsidRPr="004D0DAA" w:rsidRDefault="00711444" w:rsidP="00711444">
      <w:pPr>
        <w:pStyle w:val="EX"/>
      </w:pPr>
      <w:r w:rsidRPr="004D0DAA">
        <w:t>Message type:</w:t>
      </w:r>
      <w:r w:rsidRPr="004D0DAA">
        <w:tab/>
        <w:t>PACKET SYSTEM INFORMATION TYPE 5</w:t>
      </w:r>
    </w:p>
    <w:p w14:paraId="6F3312C9" w14:textId="77777777" w:rsidR="00711444" w:rsidRPr="004D0DAA" w:rsidRDefault="00711444" w:rsidP="00711444">
      <w:pPr>
        <w:pStyle w:val="EX"/>
      </w:pPr>
      <w:r w:rsidRPr="004D0DAA">
        <w:t>Direction:</w:t>
      </w:r>
      <w:r w:rsidRPr="004D0DAA">
        <w:tab/>
        <w:t>network to mobile station</w:t>
      </w:r>
    </w:p>
    <w:p w14:paraId="15649059" w14:textId="77777777" w:rsidR="00711444" w:rsidRPr="004D0DAA" w:rsidRDefault="00711444" w:rsidP="00711444">
      <w:pPr>
        <w:pStyle w:val="EX"/>
      </w:pPr>
      <w:r w:rsidRPr="004D0DAA">
        <w:t>Classification:</w:t>
      </w:r>
      <w:r w:rsidRPr="004D0DAA">
        <w:tab/>
        <w:t>distribution message</w:t>
      </w:r>
    </w:p>
    <w:p w14:paraId="4E026C64" w14:textId="77777777" w:rsidR="00711444" w:rsidRPr="004D0DAA" w:rsidRDefault="00711444" w:rsidP="00711444">
      <w:pPr>
        <w:pStyle w:val="TH"/>
      </w:pPr>
      <w:r w:rsidRPr="004D0DAA">
        <w:lastRenderedPageBreak/>
        <w:t>Table 11.2.23.1: PSI5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0768357" w14:textId="77777777" w:rsidTr="00AA2A4C">
        <w:tblPrEx>
          <w:tblCellMar>
            <w:top w:w="0" w:type="dxa"/>
            <w:bottom w:w="0" w:type="dxa"/>
          </w:tblCellMar>
        </w:tblPrEx>
        <w:trPr>
          <w:cantSplit/>
        </w:trPr>
        <w:tc>
          <w:tcPr>
            <w:tcW w:w="9848" w:type="dxa"/>
          </w:tcPr>
          <w:p w14:paraId="4E050BCC" w14:textId="77777777" w:rsidR="00711444" w:rsidRPr="004D0DAA" w:rsidRDefault="00711444" w:rsidP="00AA2A4C">
            <w:pPr>
              <w:pStyle w:val="TAL"/>
              <w:rPr>
                <w:lang w:val="fr-FR" w:eastAsia="en-US"/>
              </w:rPr>
            </w:pPr>
            <w:r w:rsidRPr="004D0DAA">
              <w:rPr>
                <w:lang w:val="fr-FR" w:eastAsia="en-US"/>
              </w:rPr>
              <w:t>&lt; PSI5 message content &gt; ::=</w:t>
            </w:r>
          </w:p>
          <w:p w14:paraId="32A27849"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1DED66EE"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PSI5_CHANGE_MARK </w:t>
            </w:r>
            <w:r w:rsidRPr="004D0DAA">
              <w:rPr>
                <w:lang w:eastAsia="en-US"/>
              </w:rPr>
              <w:t>: bit (2) &gt;</w:t>
            </w:r>
          </w:p>
          <w:p w14:paraId="37928D3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PSI5_INDEX </w:t>
            </w:r>
            <w:r w:rsidRPr="004D0DAA">
              <w:rPr>
                <w:lang w:eastAsia="en-US"/>
              </w:rPr>
              <w:t>: bit (3) &gt;</w:t>
            </w:r>
          </w:p>
          <w:p w14:paraId="0C3FEE7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PSI5_COUNT </w:t>
            </w:r>
            <w:r w:rsidRPr="004D0DAA">
              <w:rPr>
                <w:lang w:eastAsia="en-US"/>
              </w:rPr>
              <w:t>: bit (3) &gt;</w:t>
            </w:r>
          </w:p>
          <w:p w14:paraId="0BAB23C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NC Measurement Parameters</w:t>
            </w:r>
            <w:r w:rsidRPr="004D0DAA">
              <w:rPr>
                <w:lang w:eastAsia="en-US"/>
              </w:rPr>
              <w:t xml:space="preserve"> : &lt; NC Measurement Parameters struct &gt; &gt; }</w:t>
            </w:r>
          </w:p>
          <w:p w14:paraId="3F87F151" w14:textId="77777777" w:rsidR="00711444" w:rsidRPr="004D0DAA" w:rsidRDefault="00711444" w:rsidP="00AA2A4C">
            <w:pPr>
              <w:pStyle w:val="TAL"/>
              <w:rPr>
                <w:lang w:eastAsia="en-US"/>
              </w:rPr>
            </w:pPr>
            <w:r w:rsidRPr="004D0DAA">
              <w:rPr>
                <w:lang w:eastAsia="en-US"/>
              </w:rPr>
              <w:tab/>
              <w:t xml:space="preserve">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The value '1' was allocated in an earlier version of the protocol and shall not be used. </w:t>
            </w:r>
          </w:p>
          <w:p w14:paraId="5D418578" w14:textId="77777777" w:rsidR="00711444" w:rsidRPr="004D0DAA" w:rsidRDefault="00711444" w:rsidP="00AA2A4C">
            <w:pPr>
              <w:pStyle w:val="TAL"/>
              <w:rPr>
                <w:i/>
                <w:lang w:eastAsia="en-US"/>
              </w:rPr>
            </w:pPr>
            <w:r w:rsidRPr="004D0DAA">
              <w:rPr>
                <w:lang w:eastAsia="en-US"/>
              </w:rPr>
              <w:tab/>
              <w:t>{</w:t>
            </w:r>
            <w:r w:rsidRPr="004D0DAA">
              <w:rPr>
                <w:lang w:eastAsia="en-US"/>
              </w:rPr>
              <w:tab/>
              <w:t>null | 0 bit** = &lt;no string&gt;</w:t>
            </w:r>
            <w:r w:rsidRPr="004D0DAA">
              <w:rPr>
                <w:lang w:eastAsia="en-US"/>
              </w:rPr>
              <w:tab/>
            </w:r>
            <w:r w:rsidRPr="004D0DAA">
              <w:rPr>
                <w:lang w:eastAsia="en-US"/>
              </w:rPr>
              <w:tab/>
              <w:t xml:space="preserve">-- </w:t>
            </w:r>
            <w:r w:rsidRPr="004D0DAA">
              <w:rPr>
                <w:i/>
                <w:lang w:eastAsia="en-US"/>
              </w:rPr>
              <w:t>Receiver backward compatible with earlier release</w:t>
            </w:r>
          </w:p>
          <w:p w14:paraId="35AA2CA7"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Additional contents for R99</w:t>
            </w:r>
            <w:r w:rsidRPr="004D0DAA">
              <w:rPr>
                <w:lang w:eastAsia="en-US"/>
              </w:rPr>
              <w:br/>
            </w:r>
            <w:r w:rsidRPr="004D0DAA">
              <w:rPr>
                <w:lang w:eastAsia="en-US"/>
              </w:rPr>
              <w:tab/>
            </w:r>
            <w:r w:rsidRPr="004D0DAA">
              <w:rPr>
                <w:lang w:eastAsia="en-US"/>
              </w:rPr>
              <w:tab/>
              <w:t>{ 0 | 1</w:t>
            </w:r>
            <w:r w:rsidRPr="004D0DAA">
              <w:rPr>
                <w:lang w:eastAsia="en-US"/>
              </w:rPr>
              <w:tab/>
              <w:t xml:space="preserve">&lt; </w:t>
            </w:r>
            <w:r w:rsidRPr="004D0DAA">
              <w:rPr>
                <w:b/>
                <w:lang w:eastAsia="en-US"/>
              </w:rPr>
              <w:t>ENH Reporting Parameters</w:t>
            </w:r>
            <w:r w:rsidRPr="004D0DAA">
              <w:rPr>
                <w:lang w:eastAsia="en-US"/>
              </w:rPr>
              <w:t xml:space="preserve"> : &lt; ENH Reporting Parameters struct &gt;&gt; }</w:t>
            </w:r>
            <w:r w:rsidRPr="004D0DAA">
              <w:rPr>
                <w:lang w:eastAsia="en-US"/>
              </w:rPr>
              <w:br/>
            </w:r>
            <w:r w:rsidRPr="004D0DAA">
              <w:rPr>
                <w:lang w:eastAsia="en-US"/>
              </w:rPr>
              <w:tab/>
            </w:r>
            <w:r w:rsidRPr="004D0DAA">
              <w:rPr>
                <w:lang w:eastAsia="en-US"/>
              </w:rPr>
              <w:tab/>
              <w:t>{</w:t>
            </w:r>
            <w:r w:rsidRPr="004D0DAA">
              <w:rPr>
                <w:lang w:eastAsia="en-US"/>
              </w:rPr>
              <w:tab/>
              <w:t>null | 0 bit** = &lt;no string&gt;</w:t>
            </w:r>
            <w:r w:rsidRPr="004D0DAA">
              <w:rPr>
                <w:lang w:eastAsia="en-US"/>
              </w:rPr>
              <w:tab/>
            </w:r>
            <w:r w:rsidRPr="004D0DAA">
              <w:rPr>
                <w:lang w:eastAsia="en-US"/>
              </w:rPr>
              <w:tab/>
            </w:r>
            <w:r w:rsidRPr="004D0DAA">
              <w:rPr>
                <w:iCs/>
                <w:lang w:eastAsia="en-US"/>
              </w:rPr>
              <w:t xml:space="preserve">-- </w:t>
            </w:r>
            <w:r w:rsidRPr="004D0DAA">
              <w:rPr>
                <w:i/>
                <w:iCs/>
                <w:lang w:eastAsia="en-US"/>
              </w:rPr>
              <w:t>Receiver compatible with earlier release</w:t>
            </w:r>
          </w:p>
          <w:p w14:paraId="5C7FD74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Additions in Rel-5:</w:t>
            </w:r>
          </w:p>
          <w:p w14:paraId="2F7201F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GPRS 3G Additional Measurement Parameters Description 2 </w:t>
            </w:r>
            <w:r w:rsidRPr="004D0DAA">
              <w:rPr>
                <w:lang w:eastAsia="en-US"/>
              </w:rPr>
              <w:t xml:space="preserve">: </w:t>
            </w:r>
          </w:p>
          <w:p w14:paraId="43C1B49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GPRS 3G Additional Measurement Parameters Description 2 struct &gt;&gt; }</w:t>
            </w:r>
            <w:r w:rsidRPr="004D0DAA">
              <w:rPr>
                <w:lang w:eastAsia="en-US"/>
              </w:rPr>
              <w:br/>
            </w:r>
            <w:r w:rsidRPr="004D0DAA">
              <w:rPr>
                <w:lang w:eastAsia="en-US"/>
              </w:rPr>
              <w:tab/>
            </w:r>
            <w:r w:rsidRPr="004D0DAA">
              <w:rPr>
                <w:lang w:eastAsia="en-US"/>
              </w:rPr>
              <w:tab/>
            </w:r>
            <w:r w:rsidRPr="004D0DAA">
              <w:rPr>
                <w:lang w:eastAsia="en-US"/>
              </w:rPr>
              <w:tab/>
              <w:t>{</w:t>
            </w:r>
            <w:r w:rsidRPr="004D0DAA">
              <w:rPr>
                <w:lang w:eastAsia="en-US"/>
              </w:rPr>
              <w:tab/>
              <w:t>null | 0</w:t>
            </w:r>
            <w:r w:rsidRPr="004D0DAA">
              <w:rPr>
                <w:lang w:eastAsia="en-US"/>
              </w:rPr>
              <w:tab/>
              <w:t>bit **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793A2BF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in Rel-7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47B4BF0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zh-CN"/>
              </w:rPr>
              <w:t>700</w:t>
            </w:r>
            <w:r w:rsidRPr="004D0DAA">
              <w:rPr>
                <w:b/>
                <w:lang w:eastAsia="en-US"/>
              </w:rPr>
              <w:t>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zh-CN"/>
              </w:rPr>
              <w:t>700</w:t>
            </w:r>
            <w:r w:rsidRPr="004D0DAA">
              <w:rPr>
                <w:b/>
                <w:lang w:eastAsia="en-US"/>
              </w:rPr>
              <w:t xml:space="preserve">_REPORTING_THRESHOLD </w:t>
            </w:r>
            <w:r w:rsidRPr="004D0DAA">
              <w:rPr>
                <w:lang w:eastAsia="en-US"/>
              </w:rPr>
              <w:t>: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sym w:font="Symbol" w:char="F07B"/>
            </w:r>
            <w:r w:rsidRPr="004D0DAA">
              <w:rPr>
                <w:lang w:eastAsia="en-US"/>
              </w:rPr>
              <w:t xml:space="preserve"> 0 | 1</w:t>
            </w:r>
            <w:r w:rsidRPr="004D0DAA">
              <w:rPr>
                <w:lang w:eastAsia="en-US"/>
              </w:rPr>
              <w:tab/>
              <w:t xml:space="preserve">&lt; </w:t>
            </w:r>
            <w:r w:rsidRPr="004D0DAA">
              <w:rPr>
                <w:b/>
                <w:lang w:eastAsia="zh-CN"/>
              </w:rPr>
              <w:t>810</w:t>
            </w:r>
            <w:r w:rsidRPr="004D0DAA">
              <w:rPr>
                <w:b/>
                <w:lang w:eastAsia="en-US"/>
              </w:rPr>
              <w:t>_REPORTING_OFFSET</w:t>
            </w:r>
            <w:r w:rsidRPr="004D0DAA">
              <w:rPr>
                <w:lang w:eastAsia="en-US"/>
              </w:rPr>
              <w:t xml:space="preserve"> :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zh-CN"/>
              </w:rPr>
              <w:t>810</w:t>
            </w:r>
            <w:r w:rsidRPr="004D0DAA">
              <w:rPr>
                <w:b/>
                <w:lang w:eastAsia="en-US"/>
              </w:rPr>
              <w:t xml:space="preserve">_REPORTING_THRESHOLD </w:t>
            </w:r>
            <w:r w:rsidRPr="004D0DAA">
              <w:rPr>
                <w:lang w:eastAsia="en-US"/>
              </w:rPr>
              <w:t>: bit (3) &gt;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&lt; padding bits &gt; } } } }</w:t>
            </w:r>
          </w:p>
          <w:p w14:paraId="7C1045FA" w14:textId="77777777" w:rsidR="00711444" w:rsidRPr="004D0DAA" w:rsidRDefault="00711444" w:rsidP="00AA2A4C">
            <w:pPr>
              <w:pStyle w:val="TAL"/>
              <w:rPr>
                <w:lang w:eastAsia="en-US"/>
              </w:rPr>
            </w:pPr>
            <w:r w:rsidRPr="004D0DAA">
              <w:rPr>
                <w:lang w:eastAsia="en-US"/>
              </w:rPr>
              <w:tab/>
              <w:t>! &lt; Distribution part error : bit (*) = &lt; no string &gt; &gt; ;</w:t>
            </w:r>
          </w:p>
          <w:p w14:paraId="17598601" w14:textId="77777777" w:rsidR="00711444" w:rsidRPr="004D0DAA" w:rsidRDefault="00711444" w:rsidP="00AA2A4C">
            <w:pPr>
              <w:pStyle w:val="TAL"/>
              <w:rPr>
                <w:lang w:eastAsia="en-US"/>
              </w:rPr>
            </w:pPr>
          </w:p>
        </w:tc>
      </w:tr>
      <w:tr w:rsidR="00711444" w:rsidRPr="004D0DAA" w14:paraId="1A6823A9" w14:textId="77777777" w:rsidTr="00AA2A4C">
        <w:tblPrEx>
          <w:tblCellMar>
            <w:top w:w="0" w:type="dxa"/>
            <w:bottom w:w="0" w:type="dxa"/>
          </w:tblCellMar>
        </w:tblPrEx>
        <w:trPr>
          <w:cantSplit/>
        </w:trPr>
        <w:tc>
          <w:tcPr>
            <w:tcW w:w="9848" w:type="dxa"/>
          </w:tcPr>
          <w:p w14:paraId="3D999C8A" w14:textId="77777777" w:rsidR="00711444" w:rsidRPr="004D0DAA" w:rsidRDefault="00711444" w:rsidP="00AA2A4C">
            <w:pPr>
              <w:pStyle w:val="TAL"/>
              <w:rPr>
                <w:lang w:eastAsia="en-US"/>
              </w:rPr>
            </w:pPr>
            <w:r w:rsidRPr="004D0DAA">
              <w:rPr>
                <w:lang w:eastAsia="en-US"/>
              </w:rPr>
              <w:t>&lt; NC Measurement Parameters struct &gt; ::=</w:t>
            </w:r>
          </w:p>
          <w:p w14:paraId="49171E3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NETWORK_CONTROL_ORDER </w:t>
            </w:r>
            <w:r w:rsidRPr="004D0DAA">
              <w:rPr>
                <w:lang w:eastAsia="en-US"/>
              </w:rPr>
              <w:t>: bit (2) &gt;</w:t>
            </w:r>
          </w:p>
          <w:p w14:paraId="16F00EA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NC_ NON_DRX_PERIOD </w:t>
            </w:r>
            <w:r w:rsidRPr="004D0DAA">
              <w:rPr>
                <w:lang w:eastAsia="en-US"/>
              </w:rPr>
              <w:t>: bit (3) &gt;</w:t>
            </w:r>
          </w:p>
          <w:p w14:paraId="126E3C1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NC_REPORTING_PERIOD_I </w:t>
            </w:r>
            <w:r w:rsidRPr="004D0DAA">
              <w:rPr>
                <w:lang w:eastAsia="en-US"/>
              </w:rPr>
              <w:t>: bit (3) &gt;</w:t>
            </w:r>
          </w:p>
          <w:p w14:paraId="2A03ECA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NC_REPORTING_PERIOD_T </w:t>
            </w:r>
            <w:r w:rsidRPr="004D0DAA">
              <w:rPr>
                <w:lang w:eastAsia="en-US"/>
              </w:rPr>
              <w:t>: bit (3) &gt; } ;</w:t>
            </w:r>
          </w:p>
          <w:p w14:paraId="739AF2F9" w14:textId="77777777" w:rsidR="00711444" w:rsidRPr="004D0DAA" w:rsidRDefault="00711444" w:rsidP="00AA2A4C">
            <w:pPr>
              <w:pStyle w:val="TAL"/>
              <w:rPr>
                <w:lang w:eastAsia="en-US"/>
              </w:rPr>
            </w:pPr>
          </w:p>
        </w:tc>
      </w:tr>
      <w:tr w:rsidR="00711444" w:rsidRPr="004D0DAA" w14:paraId="301C7229" w14:textId="77777777" w:rsidTr="00AA2A4C">
        <w:tblPrEx>
          <w:tblCellMar>
            <w:top w:w="0" w:type="dxa"/>
            <w:bottom w:w="0" w:type="dxa"/>
          </w:tblCellMar>
        </w:tblPrEx>
        <w:trPr>
          <w:cantSplit/>
        </w:trPr>
        <w:tc>
          <w:tcPr>
            <w:tcW w:w="9848" w:type="dxa"/>
          </w:tcPr>
          <w:p w14:paraId="282CBEC5" w14:textId="77777777" w:rsidR="00711444" w:rsidRPr="004D0DAA" w:rsidRDefault="00711444" w:rsidP="00AA2A4C">
            <w:pPr>
              <w:pStyle w:val="TAL"/>
              <w:rPr>
                <w:lang w:eastAsia="en-US"/>
              </w:rPr>
            </w:pPr>
            <w:r w:rsidRPr="004D0DAA">
              <w:rPr>
                <w:lang w:eastAsia="en-US"/>
              </w:rPr>
              <w:t>&lt; ENH Reporting parameters struct &gt; ::=</w:t>
            </w:r>
          </w:p>
          <w:p w14:paraId="579F642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Report_Type</w:t>
            </w:r>
            <w:r w:rsidRPr="004D0DAA">
              <w:rPr>
                <w:lang w:eastAsia="en-US"/>
              </w:rPr>
              <w:t xml:space="preserve"> : bit &gt;</w:t>
            </w:r>
            <w:r w:rsidRPr="004D0DAA">
              <w:rPr>
                <w:lang w:eastAsia="en-US"/>
              </w:rPr>
              <w:br/>
            </w:r>
            <w:r w:rsidRPr="004D0DAA">
              <w:rPr>
                <w:lang w:eastAsia="en-US"/>
              </w:rPr>
              <w:tab/>
              <w:t xml:space="preserve">&lt; </w:t>
            </w:r>
            <w:r w:rsidRPr="004D0DAA">
              <w:rPr>
                <w:b/>
                <w:lang w:eastAsia="en-US"/>
              </w:rPr>
              <w:t>REPORTING_RATE</w:t>
            </w:r>
            <w:r w:rsidRPr="004D0DAA">
              <w:rPr>
                <w:lang w:eastAsia="en-US"/>
              </w:rPr>
              <w:t> : bit &gt;</w:t>
            </w:r>
          </w:p>
          <w:p w14:paraId="18D13AA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INVALID_BSIC_REPORTING</w:t>
            </w:r>
            <w:r w:rsidRPr="004D0DAA">
              <w:rPr>
                <w:lang w:eastAsia="en-US"/>
              </w:rPr>
              <w:t xml:space="preserve"> : bit &gt;</w:t>
            </w:r>
          </w:p>
          <w:p w14:paraId="2DC3EB6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NCC_PERMITTED</w:t>
            </w:r>
            <w:r w:rsidRPr="004D0DAA">
              <w:rPr>
                <w:lang w:eastAsia="en-US"/>
              </w:rPr>
              <w:t xml:space="preserve"> : bit (8) &gt; } </w:t>
            </w:r>
          </w:p>
          <w:p w14:paraId="502A232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MEASUREMENT Parameters Description</w:t>
            </w:r>
            <w:r w:rsidRPr="004D0DAA">
              <w:rPr>
                <w:lang w:eastAsia="en-US"/>
              </w:rPr>
              <w:t xml:space="preserve"> : </w:t>
            </w:r>
          </w:p>
          <w:p w14:paraId="7B94A35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GPRS MEASUREMENT Parameters Description struct &gt;&gt; }</w:t>
            </w:r>
          </w:p>
          <w:p w14:paraId="104AC4E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3G MEASUREMENT Parameters Description</w:t>
            </w:r>
            <w:r w:rsidRPr="004D0DAA">
              <w:rPr>
                <w:lang w:eastAsia="en-US"/>
              </w:rPr>
              <w:t xml:space="preserve"> : </w:t>
            </w:r>
          </w:p>
          <w:p w14:paraId="1F6FAC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GPRS 3G MEASUREMENT Parameters Description struct &gt;&gt; } ;</w:t>
            </w:r>
          </w:p>
          <w:p w14:paraId="1A46FB1E" w14:textId="77777777" w:rsidR="00711444" w:rsidRPr="004D0DAA" w:rsidRDefault="00711444" w:rsidP="00AA2A4C">
            <w:pPr>
              <w:pStyle w:val="TAL"/>
              <w:rPr>
                <w:lang w:eastAsia="en-US"/>
              </w:rPr>
            </w:pPr>
          </w:p>
        </w:tc>
      </w:tr>
      <w:tr w:rsidR="00711444" w:rsidRPr="004D0DAA" w14:paraId="43F83886" w14:textId="77777777" w:rsidTr="00AA2A4C">
        <w:tblPrEx>
          <w:tblCellMar>
            <w:top w:w="0" w:type="dxa"/>
            <w:bottom w:w="0" w:type="dxa"/>
          </w:tblCellMar>
        </w:tblPrEx>
        <w:trPr>
          <w:cantSplit/>
        </w:trPr>
        <w:tc>
          <w:tcPr>
            <w:tcW w:w="9848" w:type="dxa"/>
          </w:tcPr>
          <w:p w14:paraId="4E545494" w14:textId="77777777" w:rsidR="00711444" w:rsidRPr="004D0DAA" w:rsidRDefault="00711444" w:rsidP="00AA2A4C">
            <w:pPr>
              <w:pStyle w:val="TAL"/>
              <w:rPr>
                <w:lang w:eastAsia="en-US"/>
              </w:rPr>
            </w:pPr>
            <w:r w:rsidRPr="004D0DAA">
              <w:rPr>
                <w:lang w:eastAsia="en-US"/>
              </w:rPr>
              <w:t>&lt; GPRS MEASUREMENT PARAMETERS Description struct &gt; ::=</w:t>
            </w:r>
          </w:p>
          <w:p w14:paraId="143D88C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MULTIBAND_REPORTING</w:t>
            </w:r>
            <w:r w:rsidRPr="004D0DAA">
              <w:rPr>
                <w:lang w:eastAsia="en-US"/>
              </w:rPr>
              <w:t xml:space="preserve"> : bit (2) &gt; }</w:t>
            </w:r>
            <w:r w:rsidRPr="004D0DAA">
              <w:rPr>
                <w:lang w:eastAsia="en-US"/>
              </w:rPr>
              <w:br/>
            </w:r>
            <w:r w:rsidRPr="004D0DAA">
              <w:rPr>
                <w:lang w:eastAsia="en-US"/>
              </w:rPr>
              <w:tab/>
              <w:t xml:space="preserve">{ 0 | 1 &lt; </w:t>
            </w:r>
            <w:r w:rsidRPr="004D0DAA">
              <w:rPr>
                <w:b/>
                <w:lang w:eastAsia="en-US"/>
              </w:rPr>
              <w:t>SERVING_BAND_REPORTING</w:t>
            </w:r>
            <w:r w:rsidRPr="004D0DAA">
              <w:rPr>
                <w:lang w:eastAsia="en-US"/>
              </w:rPr>
              <w:t xml:space="preserve"> : bit (2) &gt; }</w:t>
            </w:r>
            <w:r w:rsidRPr="004D0DAA">
              <w:rPr>
                <w:lang w:eastAsia="en-US"/>
              </w:rPr>
              <w:br/>
            </w:r>
            <w:r w:rsidRPr="004D0DAA">
              <w:rPr>
                <w:lang w:eastAsia="en-US"/>
              </w:rPr>
              <w:tab/>
              <w:t xml:space="preserve">{ 0 | 1 &lt; </w:t>
            </w:r>
            <w:r w:rsidRPr="004D0DAA">
              <w:rPr>
                <w:b/>
                <w:lang w:eastAsia="en-US"/>
              </w:rPr>
              <w:t xml:space="preserve">SCALE_ORD </w:t>
            </w:r>
            <w:r w:rsidRPr="004D0DAA">
              <w:rPr>
                <w:lang w:eastAsia="en-US"/>
              </w:rPr>
              <w:t>: bit (2) &gt; }</w:t>
            </w:r>
            <w:r w:rsidRPr="004D0DAA">
              <w:rPr>
                <w:lang w:eastAsia="en-US"/>
              </w:rPr>
              <w:br/>
            </w:r>
          </w:p>
          <w:p w14:paraId="17B44FE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900_REPORTING_OFFSET </w:t>
            </w:r>
            <w:r w:rsidRPr="004D0DAA">
              <w:rPr>
                <w:lang w:eastAsia="en-US"/>
              </w:rPr>
              <w:t xml:space="preserve">: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900_REPORTING_THRESHOLD </w:t>
            </w:r>
            <w:r w:rsidRPr="004D0DAA">
              <w:rPr>
                <w:lang w:eastAsia="en-US"/>
              </w:rPr>
              <w:t>: bit (3) &gt; }</w:t>
            </w:r>
            <w:r w:rsidRPr="004D0DAA">
              <w:rPr>
                <w:lang w:eastAsia="en-US"/>
              </w:rPr>
              <w:br/>
            </w:r>
          </w:p>
          <w:p w14:paraId="7B69E0B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1800_REPORTING_OFFSET</w:t>
            </w:r>
            <w:r w:rsidRPr="004D0DAA">
              <w:rPr>
                <w:lang w:eastAsia="en-US"/>
              </w:rPr>
              <w:t xml:space="preserve"> : bit (3) &gt; </w:t>
            </w:r>
          </w:p>
          <w:p w14:paraId="27DF25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1800_REPORTING_THRESHOLD</w:t>
            </w:r>
            <w:r w:rsidRPr="004D0DAA">
              <w:rPr>
                <w:lang w:eastAsia="en-US"/>
              </w:rPr>
              <w:t xml:space="preserve"> : bit (3) &gt; }</w:t>
            </w:r>
          </w:p>
          <w:p w14:paraId="36BEAD5F" w14:textId="77777777" w:rsidR="00711444" w:rsidRPr="004D0DAA" w:rsidRDefault="00711444" w:rsidP="00AA2A4C">
            <w:pPr>
              <w:pStyle w:val="TAL"/>
              <w:rPr>
                <w:lang w:eastAsia="en-US"/>
              </w:rPr>
            </w:pPr>
          </w:p>
          <w:p w14:paraId="4C0DD8C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400_REPORTING_OFFSET</w:t>
            </w:r>
            <w:r w:rsidRPr="004D0DAA">
              <w:rPr>
                <w:lang w:eastAsia="en-US"/>
              </w:rPr>
              <w:t xml:space="preserve"> : bit (3) &gt; </w:t>
            </w:r>
          </w:p>
          <w:p w14:paraId="4A42E8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400_REPORTING_THRESHOLD</w:t>
            </w:r>
            <w:r w:rsidRPr="004D0DAA">
              <w:rPr>
                <w:lang w:eastAsia="en-US"/>
              </w:rPr>
              <w:t xml:space="preserve"> : bit (3) &gt; }</w:t>
            </w:r>
          </w:p>
          <w:p w14:paraId="03D66B74" w14:textId="77777777" w:rsidR="00711444" w:rsidRPr="004D0DAA" w:rsidRDefault="00711444" w:rsidP="00AA2A4C">
            <w:pPr>
              <w:pStyle w:val="TAL"/>
              <w:rPr>
                <w:lang w:eastAsia="en-US"/>
              </w:rPr>
            </w:pPr>
          </w:p>
          <w:p w14:paraId="53E4EB5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1900_REPORTING_OFFSET</w:t>
            </w:r>
            <w:r w:rsidRPr="004D0DAA">
              <w:rPr>
                <w:lang w:eastAsia="en-US"/>
              </w:rPr>
              <w:t xml:space="preserve"> : bit (3) &gt; </w:t>
            </w:r>
          </w:p>
          <w:p w14:paraId="1024B31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w:t>
            </w:r>
            <w:r w:rsidRPr="004D0DAA">
              <w:rPr>
                <w:b/>
                <w:lang w:eastAsia="en-US"/>
              </w:rPr>
              <w:t xml:space="preserve"> 1900_REPORTING_THRESHOLD</w:t>
            </w:r>
            <w:r w:rsidRPr="004D0DAA">
              <w:rPr>
                <w:lang w:eastAsia="en-US"/>
              </w:rPr>
              <w:t xml:space="preserve"> : bit (3) &gt; }</w:t>
            </w:r>
          </w:p>
          <w:p w14:paraId="6AF7F87C" w14:textId="77777777" w:rsidR="00711444" w:rsidRPr="004D0DAA" w:rsidRDefault="00711444" w:rsidP="00AA2A4C">
            <w:pPr>
              <w:pStyle w:val="TAL"/>
              <w:rPr>
                <w:lang w:eastAsia="en-US"/>
              </w:rPr>
            </w:pPr>
          </w:p>
          <w:p w14:paraId="4604998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850_REPORTING_OFFSET</w:t>
            </w:r>
            <w:r w:rsidRPr="004D0DAA">
              <w:rPr>
                <w:lang w:eastAsia="en-US"/>
              </w:rPr>
              <w:t xml:space="preserve"> : bit (3) &gt; </w:t>
            </w:r>
          </w:p>
          <w:p w14:paraId="398343E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850_REPORTING_THRESHOLD</w:t>
            </w:r>
            <w:r w:rsidRPr="004D0DAA">
              <w:rPr>
                <w:lang w:eastAsia="en-US"/>
              </w:rPr>
              <w:t xml:space="preserve"> : bit (3) &gt; } ;</w:t>
            </w:r>
          </w:p>
          <w:p w14:paraId="7BD20AE0" w14:textId="77777777" w:rsidR="00711444" w:rsidRPr="004D0DAA" w:rsidRDefault="00711444" w:rsidP="00AA2A4C">
            <w:pPr>
              <w:pStyle w:val="TAL"/>
              <w:rPr>
                <w:b/>
                <w:lang w:eastAsia="en-US"/>
              </w:rPr>
            </w:pPr>
          </w:p>
        </w:tc>
      </w:tr>
      <w:tr w:rsidR="00711444" w:rsidRPr="004D0DAA" w14:paraId="639A7C36" w14:textId="77777777" w:rsidTr="00AA2A4C">
        <w:tblPrEx>
          <w:tblCellMar>
            <w:top w:w="0" w:type="dxa"/>
            <w:bottom w:w="0" w:type="dxa"/>
          </w:tblCellMar>
        </w:tblPrEx>
        <w:trPr>
          <w:cantSplit/>
        </w:trPr>
        <w:tc>
          <w:tcPr>
            <w:tcW w:w="9848" w:type="dxa"/>
          </w:tcPr>
          <w:p w14:paraId="249D3DFB" w14:textId="77777777" w:rsidR="00711444" w:rsidRPr="004D0DAA" w:rsidRDefault="00711444" w:rsidP="00AA2A4C">
            <w:pPr>
              <w:pStyle w:val="TAL"/>
              <w:rPr>
                <w:lang w:eastAsia="en-US"/>
              </w:rPr>
            </w:pPr>
            <w:r w:rsidRPr="004D0DAA">
              <w:rPr>
                <w:lang w:eastAsia="en-US"/>
              </w:rPr>
              <w:lastRenderedPageBreak/>
              <w:t>&lt; GPRS 3G MEASUREMENT PARAMETERS Description struct &gt; ::=</w:t>
            </w:r>
          </w:p>
          <w:p w14:paraId="3F5F7CB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FDD_REP_QUANT</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Parameters</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FDD_MULTIRAT_REPORTING</w:t>
            </w:r>
            <w:r w:rsidRPr="004D0DAA">
              <w:rPr>
                <w:lang w:eastAsia="en-US"/>
              </w:rPr>
              <w:t xml:space="preserve"> : bit (2) &gt; } </w:t>
            </w:r>
            <w:r w:rsidRPr="004D0DAA">
              <w:rPr>
                <w:lang w:eastAsia="en-US"/>
              </w:rPr>
              <w:br/>
            </w:r>
            <w:r w:rsidRPr="004D0DAA">
              <w:rPr>
                <w:lang w:eastAsia="en-US"/>
              </w:rPr>
              <w:tab/>
              <w:t>{ 0 | 1</w:t>
            </w:r>
            <w:r w:rsidRPr="004D0DAA">
              <w:rPr>
                <w:lang w:eastAsia="en-US"/>
              </w:rPr>
              <w:tab/>
              <w:t xml:space="preserve">&lt; </w:t>
            </w:r>
            <w:r w:rsidRPr="004D0DAA">
              <w:rPr>
                <w:b/>
                <w:lang w:eastAsia="en-US"/>
              </w:rPr>
              <w:t xml:space="preserve">FDD_REPORTING_OFFSET </w:t>
            </w:r>
            <w:r w:rsidRPr="004D0DAA">
              <w:rPr>
                <w:lang w:eastAsia="en-US"/>
              </w:rPr>
              <w:t xml:space="preserve">: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FDD_REPORTING_THRESHOLD </w:t>
            </w:r>
            <w:r w:rsidRPr="004D0DAA">
              <w:rPr>
                <w:lang w:eastAsia="en-US"/>
              </w:rPr>
              <w:t>: bit (3) &gt; }</w:t>
            </w:r>
            <w:r w:rsidRPr="004D0DAA">
              <w:rPr>
                <w:lang w:eastAsia="en-US"/>
              </w:rPr>
              <w:br/>
            </w:r>
          </w:p>
          <w:p w14:paraId="4D40F4C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TDD_MULTIRAT_REPORTING</w:t>
            </w:r>
            <w:r w:rsidRPr="004D0DAA">
              <w:rPr>
                <w:lang w:eastAsia="en-US"/>
              </w:rPr>
              <w:t xml:space="preserve"> : bit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TDD Parameters</w:t>
            </w:r>
            <w:r w:rsidRPr="004D0DAA">
              <w:rPr>
                <w:lang w:eastAsia="en-US"/>
              </w:rPr>
              <w:br/>
            </w:r>
            <w:r w:rsidRPr="004D0DAA">
              <w:rPr>
                <w:lang w:eastAsia="en-US"/>
              </w:rPr>
              <w:tab/>
              <w:t>{ 0 | 1</w:t>
            </w:r>
            <w:r w:rsidRPr="004D0DAA">
              <w:rPr>
                <w:lang w:eastAsia="en-US"/>
              </w:rPr>
              <w:tab/>
              <w:t xml:space="preserve">&lt; </w:t>
            </w:r>
            <w:r w:rsidRPr="004D0DAA">
              <w:rPr>
                <w:b/>
                <w:lang w:eastAsia="en-US"/>
              </w:rPr>
              <w:t xml:space="preserve">TDD_REPORTING_OFFSET </w:t>
            </w:r>
            <w:r w:rsidRPr="004D0DAA">
              <w:rPr>
                <w:lang w:eastAsia="en-US"/>
              </w:rPr>
              <w:t xml:space="preserve">: bit (3) &gt; </w:t>
            </w:r>
            <w:r w:rsidRPr="004D0DAA">
              <w:rPr>
                <w:lang w:eastAsia="en-US"/>
              </w:rPr>
              <w:br/>
            </w:r>
            <w:r w:rsidRPr="004D0DAA">
              <w:rPr>
                <w:lang w:eastAsia="en-US"/>
              </w:rPr>
              <w:tab/>
            </w:r>
            <w:r w:rsidRPr="004D0DAA">
              <w:rPr>
                <w:lang w:eastAsia="en-US"/>
              </w:rPr>
              <w:tab/>
            </w:r>
            <w:r w:rsidRPr="004D0DAA">
              <w:rPr>
                <w:lang w:eastAsia="en-US"/>
              </w:rPr>
              <w:tab/>
              <w:t xml:space="preserve">&lt; </w:t>
            </w:r>
            <w:r w:rsidRPr="004D0DAA">
              <w:rPr>
                <w:b/>
                <w:lang w:eastAsia="en-US"/>
              </w:rPr>
              <w:t xml:space="preserve">TDD_REPORTING_THRESHOLD </w:t>
            </w:r>
            <w:r w:rsidRPr="004D0DAA">
              <w:rPr>
                <w:lang w:eastAsia="en-US"/>
              </w:rPr>
              <w:t>: bit (3) &gt; } ;</w:t>
            </w:r>
          </w:p>
          <w:p w14:paraId="4FFACD15" w14:textId="77777777" w:rsidR="00711444" w:rsidRPr="004D0DAA" w:rsidRDefault="00711444" w:rsidP="00AA2A4C">
            <w:pPr>
              <w:pStyle w:val="TAL"/>
              <w:rPr>
                <w:b/>
                <w:lang w:eastAsia="en-US"/>
              </w:rPr>
            </w:pPr>
          </w:p>
        </w:tc>
      </w:tr>
      <w:tr w:rsidR="00711444" w:rsidRPr="004D0DAA" w14:paraId="6E53011D" w14:textId="77777777" w:rsidTr="00AA2A4C">
        <w:tblPrEx>
          <w:tblCellMar>
            <w:top w:w="0" w:type="dxa"/>
            <w:bottom w:w="0" w:type="dxa"/>
          </w:tblCellMar>
        </w:tblPrEx>
        <w:trPr>
          <w:cantSplit/>
        </w:trPr>
        <w:tc>
          <w:tcPr>
            <w:tcW w:w="9848" w:type="dxa"/>
          </w:tcPr>
          <w:p w14:paraId="389C1ECD" w14:textId="77777777" w:rsidR="00711444" w:rsidRPr="004D0DAA" w:rsidRDefault="00711444" w:rsidP="00AA2A4C">
            <w:pPr>
              <w:pStyle w:val="TAL"/>
              <w:rPr>
                <w:lang w:eastAsia="en-US"/>
              </w:rPr>
            </w:pPr>
            <w:r w:rsidRPr="004D0DAA">
              <w:rPr>
                <w:lang w:eastAsia="en-US"/>
              </w:rPr>
              <w:t xml:space="preserve">&lt; GPRS 3G Additional Measurement Parameters 2 struct &gt; ::= </w:t>
            </w:r>
          </w:p>
          <w:p w14:paraId="585669A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 xml:space="preserve">FDD_REPORTING_THRESHOLD_2 </w:t>
            </w:r>
            <w:r w:rsidRPr="004D0DAA">
              <w:rPr>
                <w:lang w:eastAsia="en-US"/>
              </w:rPr>
              <w:t>: bit (6)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FDD Parameters</w:t>
            </w:r>
          </w:p>
          <w:p w14:paraId="061F0016" w14:textId="77777777" w:rsidR="00711444" w:rsidRPr="004D0DAA" w:rsidRDefault="00711444" w:rsidP="00AA2A4C">
            <w:pPr>
              <w:pStyle w:val="TAL"/>
              <w:rPr>
                <w:lang w:eastAsia="en-US"/>
              </w:rPr>
            </w:pPr>
          </w:p>
        </w:tc>
      </w:tr>
    </w:tbl>
    <w:p w14:paraId="015EAD6D" w14:textId="77777777" w:rsidR="00711444" w:rsidRPr="004D0DAA" w:rsidRDefault="00711444" w:rsidP="00711444"/>
    <w:p w14:paraId="282FD3B0" w14:textId="77777777" w:rsidR="00711444" w:rsidRPr="004D0DAA" w:rsidRDefault="00711444" w:rsidP="00711444">
      <w:pPr>
        <w:pStyle w:val="TH"/>
      </w:pPr>
      <w:r w:rsidRPr="004D0DAA">
        <w:t>Table 11.2.23.2: PSI5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3B2B54A" w14:textId="77777777" w:rsidTr="00AA2A4C">
        <w:tblPrEx>
          <w:tblCellMar>
            <w:top w:w="0" w:type="dxa"/>
            <w:bottom w:w="0" w:type="dxa"/>
          </w:tblCellMar>
        </w:tblPrEx>
        <w:trPr>
          <w:cantSplit/>
        </w:trPr>
        <w:tc>
          <w:tcPr>
            <w:tcW w:w="9848" w:type="dxa"/>
          </w:tcPr>
          <w:p w14:paraId="4DD8DD68" w14:textId="77777777" w:rsidR="00711444" w:rsidRPr="004D0DAA" w:rsidRDefault="00711444" w:rsidP="00AA2A4C">
            <w:r w:rsidRPr="004D0DAA">
              <w:t>The optional PSI5 message contains broadcast measurement parameters for Network Control (NC) measurements containing the NC Measurement Parameters. The NC Measurement parameters struct shall only exist in one instance of the PSI5 message. If the NC Measurement parameters struct is included in more than one instance, the value of the struct in the instance with the highest index shall be valid and all others shall be ignored.</w:t>
            </w:r>
          </w:p>
        </w:tc>
      </w:tr>
      <w:tr w:rsidR="00711444" w:rsidRPr="004D0DAA" w14:paraId="6DD9EC83" w14:textId="77777777" w:rsidTr="00AA2A4C">
        <w:tblPrEx>
          <w:tblCellMar>
            <w:top w:w="0" w:type="dxa"/>
            <w:bottom w:w="0" w:type="dxa"/>
          </w:tblCellMar>
        </w:tblPrEx>
        <w:trPr>
          <w:cantSplit/>
        </w:trPr>
        <w:tc>
          <w:tcPr>
            <w:tcW w:w="9848" w:type="dxa"/>
          </w:tcPr>
          <w:p w14:paraId="49E1933A" w14:textId="77777777" w:rsidR="00711444" w:rsidRPr="004D0DAA" w:rsidRDefault="00711444" w:rsidP="00AA2A4C">
            <w:r w:rsidRPr="004D0DAA">
              <w:rPr>
                <w:b/>
              </w:rPr>
              <w:t>PAGE_MODE</w:t>
            </w:r>
            <w:r w:rsidRPr="004D0DAA">
              <w:t xml:space="preserve"> (2 bit field)</w:t>
            </w:r>
            <w:r w:rsidRPr="004D0DAA">
              <w:br/>
              <w:t>This field is defined in sub-clause 12.20.</w:t>
            </w:r>
          </w:p>
        </w:tc>
      </w:tr>
      <w:tr w:rsidR="00711444" w:rsidRPr="004D0DAA" w14:paraId="22072E4C" w14:textId="77777777" w:rsidTr="00AA2A4C">
        <w:tblPrEx>
          <w:tblCellMar>
            <w:top w:w="0" w:type="dxa"/>
            <w:bottom w:w="0" w:type="dxa"/>
          </w:tblCellMar>
        </w:tblPrEx>
        <w:trPr>
          <w:cantSplit/>
        </w:trPr>
        <w:tc>
          <w:tcPr>
            <w:tcW w:w="9848" w:type="dxa"/>
          </w:tcPr>
          <w:p w14:paraId="5C5352A0" w14:textId="77777777" w:rsidR="00711444" w:rsidRPr="004D0DAA" w:rsidRDefault="00711444" w:rsidP="00AA2A4C">
            <w:r w:rsidRPr="004D0DAA">
              <w:rPr>
                <w:b/>
              </w:rPr>
              <w:t>PSI5_CHANGE_MARK</w:t>
            </w:r>
            <w:r w:rsidRPr="004D0DAA">
              <w:t xml:space="preserve"> (2 bit field)</w:t>
            </w:r>
            <w:r w:rsidRPr="004D0DAA">
              <w:br/>
              <w:t>The PSI5_CHANGE_MARK field is changed each time information has been updated in any of the individual instances of the PSI5 message. A new value indicates that the mobile station shall re-read the information from all PSI5 messages. Range: 0 to 3. The coding of this field is network dependent.</w:t>
            </w:r>
          </w:p>
          <w:p w14:paraId="0395B9D7" w14:textId="77777777" w:rsidR="00711444" w:rsidRPr="004D0DAA" w:rsidRDefault="00711444" w:rsidP="00AA2A4C">
            <w:r w:rsidRPr="004D0DAA">
              <w:rPr>
                <w:b/>
              </w:rPr>
              <w:t>PSI5_INDEX</w:t>
            </w:r>
            <w:r w:rsidRPr="004D0DAA">
              <w:t xml:space="preserve"> (3 bit field) and </w:t>
            </w:r>
            <w:r w:rsidRPr="004D0DAA">
              <w:rPr>
                <w:b/>
              </w:rPr>
              <w:t>PSI5_COUNT</w:t>
            </w:r>
            <w:r w:rsidRPr="004D0DAA">
              <w:t xml:space="preserve"> (3 bit field)</w:t>
            </w:r>
            <w:r w:rsidRPr="004D0DAA">
              <w:br/>
              <w:t>The purpose of the PSI5_INDEX field and the PSI5_COUNT field is to indicate the number of individual messages within the sequence of PSI5 messages and to assign an index to identify each one of them. The PSI5_INDEX field is binary coded, range: 0 to 7, and provides an index to identify the individual PSI5 message. The PSI5_COUNT field is binary coded, range: 0 to 7, and provides the PSI5_INDEX value for the last (highest indexed) message in the sequence of PSI5 messages.</w:t>
            </w:r>
          </w:p>
        </w:tc>
      </w:tr>
      <w:tr w:rsidR="00711444" w:rsidRPr="004D0DAA" w14:paraId="585BCFDE" w14:textId="77777777" w:rsidTr="00AA2A4C">
        <w:tblPrEx>
          <w:tblCellMar>
            <w:top w:w="0" w:type="dxa"/>
            <w:bottom w:w="0" w:type="dxa"/>
          </w:tblCellMar>
        </w:tblPrEx>
        <w:trPr>
          <w:cantSplit/>
        </w:trPr>
        <w:tc>
          <w:tcPr>
            <w:tcW w:w="9848" w:type="dxa"/>
          </w:tcPr>
          <w:p w14:paraId="0887CE23" w14:textId="77777777" w:rsidR="00711444" w:rsidRPr="004D0DAA" w:rsidRDefault="00711444" w:rsidP="00AA2A4C">
            <w:pPr>
              <w:keepLines/>
            </w:pPr>
            <w:r w:rsidRPr="004D0DAA">
              <w:rPr>
                <w:b/>
              </w:rPr>
              <w:t>NETWORK_CONTROL_ORDER</w:t>
            </w:r>
            <w:r w:rsidRPr="004D0DAA">
              <w:t xml:space="preserve"> (2 bit field)</w:t>
            </w:r>
            <w:r w:rsidRPr="004D0DAA">
              <w:br/>
              <w:t>The NETWORK_CONTROL_ORDER field is coded according to the following table (for definition of NCx see 3GPP TS 45.008):</w:t>
            </w:r>
          </w:p>
          <w:p w14:paraId="5CFBD4DA" w14:textId="77777777" w:rsidR="00711444" w:rsidRPr="004D0DAA" w:rsidRDefault="00711444" w:rsidP="00AA2A4C">
            <w:pPr>
              <w:keepLines/>
              <w:tabs>
                <w:tab w:val="left" w:pos="851"/>
              </w:tabs>
            </w:pPr>
            <w:r w:rsidRPr="004D0DAA">
              <w:t>bit</w:t>
            </w:r>
            <w:r w:rsidRPr="004D0DAA">
              <w:br/>
              <w:t>2 1</w:t>
            </w:r>
            <w:r w:rsidRPr="004D0DAA">
              <w:br/>
              <w:t>0 0</w:t>
            </w:r>
            <w:r w:rsidRPr="004D0DAA">
              <w:tab/>
              <w:t xml:space="preserve">NC0 </w:t>
            </w:r>
            <w:r w:rsidRPr="004D0DAA">
              <w:br/>
              <w:t>0 1</w:t>
            </w:r>
            <w:r w:rsidRPr="004D0DAA">
              <w:tab/>
              <w:t xml:space="preserve">NC1 </w:t>
            </w:r>
            <w:r w:rsidRPr="004D0DAA">
              <w:br/>
              <w:t>1 0</w:t>
            </w:r>
            <w:r w:rsidRPr="004D0DAA">
              <w:tab/>
              <w:t xml:space="preserve">NC2 </w:t>
            </w:r>
            <w:r w:rsidRPr="004D0DAA">
              <w:br/>
              <w:t>1 1</w:t>
            </w:r>
            <w:r w:rsidRPr="004D0DAA">
              <w:tab/>
              <w:t>Reserved</w:t>
            </w:r>
          </w:p>
          <w:p w14:paraId="44219B9E" w14:textId="77777777" w:rsidR="00711444" w:rsidRPr="004D0DAA" w:rsidRDefault="00711444" w:rsidP="00AA2A4C">
            <w:r w:rsidRPr="004D0DAA">
              <w:t>If the NETWORK_CONTROL_ORDER parameter = NC0, then the other parameters in the NC Measurement parameters struct may be omitted. If the NETWORK_CONTROL_ORDER parameter indicates NC1 or NC2 and the other parameters are omitted, the default value for these parameters shall be assumed.</w:t>
            </w:r>
          </w:p>
        </w:tc>
      </w:tr>
      <w:tr w:rsidR="00711444" w:rsidRPr="004D0DAA" w14:paraId="2748718F" w14:textId="77777777" w:rsidTr="00AA2A4C">
        <w:tblPrEx>
          <w:tblCellMar>
            <w:top w:w="0" w:type="dxa"/>
            <w:bottom w:w="0" w:type="dxa"/>
          </w:tblCellMar>
        </w:tblPrEx>
        <w:trPr>
          <w:cantSplit/>
        </w:trPr>
        <w:tc>
          <w:tcPr>
            <w:tcW w:w="9848" w:type="dxa"/>
          </w:tcPr>
          <w:p w14:paraId="55425ED3" w14:textId="77777777" w:rsidR="00711444" w:rsidRPr="004D0DAA" w:rsidRDefault="00711444" w:rsidP="00AA2A4C">
            <w:pPr>
              <w:keepLines/>
            </w:pPr>
            <w:r w:rsidRPr="004D0DAA">
              <w:rPr>
                <w:b/>
              </w:rPr>
              <w:lastRenderedPageBreak/>
              <w:t>NC_NON_DRX_PERIOD</w:t>
            </w:r>
            <w:r w:rsidRPr="004D0DAA">
              <w:t xml:space="preserve"> (3 bit field)</w:t>
            </w:r>
            <w:r w:rsidRPr="004D0DAA">
              <w:br/>
              <w:t>This field indicates the minimum time the mobile station shall stay in non-DRX mode after an NC-measurement report has been sent. The field is coded according to the following table:</w:t>
            </w:r>
          </w:p>
          <w:p w14:paraId="6E3CA30F" w14:textId="77777777" w:rsidR="00711444" w:rsidRPr="004D0DAA" w:rsidRDefault="00711444" w:rsidP="00AA2A4C">
            <w:pPr>
              <w:tabs>
                <w:tab w:val="left" w:pos="1134"/>
              </w:tabs>
            </w:pPr>
            <w:r w:rsidRPr="004D0DAA">
              <w:t>bit</w:t>
            </w:r>
            <w:r w:rsidRPr="004D0DAA">
              <w:br/>
              <w:t>3 2 1</w:t>
            </w:r>
            <w:r w:rsidRPr="004D0DAA">
              <w:br/>
              <w:t>0 0 0</w:t>
            </w:r>
            <w:r w:rsidRPr="004D0DAA">
              <w:tab/>
              <w:t xml:space="preserve">No non-DRX mode after a measurement report has been sent. </w:t>
            </w:r>
            <w:r w:rsidRPr="004D0DAA">
              <w:br/>
              <w:t>0 0 1</w:t>
            </w:r>
            <w:r w:rsidRPr="004D0DAA">
              <w:tab/>
              <w:t xml:space="preserve">0,24 s </w:t>
            </w:r>
            <w:r w:rsidRPr="004D0DAA">
              <w:br/>
              <w:t>0 1 0</w:t>
            </w:r>
            <w:r w:rsidRPr="004D0DAA">
              <w:tab/>
              <w:t xml:space="preserve">0,48 s </w:t>
            </w:r>
            <w:r w:rsidRPr="004D0DAA">
              <w:rPr>
                <w:i/>
              </w:rPr>
              <w:t>(default value)</w:t>
            </w:r>
            <w:r w:rsidRPr="004D0DAA">
              <w:br/>
              <w:t>0 1 1</w:t>
            </w:r>
            <w:r w:rsidRPr="004D0DAA">
              <w:tab/>
              <w:t xml:space="preserve">0,72 s </w:t>
            </w:r>
            <w:r w:rsidRPr="004D0DAA">
              <w:br/>
              <w:t>1 0 0</w:t>
            </w:r>
            <w:r w:rsidRPr="004D0DAA">
              <w:tab/>
              <w:t xml:space="preserve">0,96 s </w:t>
            </w:r>
            <w:r w:rsidRPr="004D0DAA">
              <w:br/>
              <w:t>1 0 1</w:t>
            </w:r>
            <w:r w:rsidRPr="004D0DAA">
              <w:tab/>
              <w:t>1,20 s</w:t>
            </w:r>
            <w:r w:rsidRPr="004D0DAA">
              <w:br/>
              <w:t>1 1 0</w:t>
            </w:r>
            <w:r w:rsidRPr="004D0DAA">
              <w:tab/>
              <w:t xml:space="preserve">1,44 s </w:t>
            </w:r>
            <w:r w:rsidRPr="004D0DAA">
              <w:br/>
              <w:t>1 1 1</w:t>
            </w:r>
            <w:r w:rsidRPr="004D0DAA">
              <w:tab/>
              <w:t>1,92 s</w:t>
            </w:r>
          </w:p>
        </w:tc>
      </w:tr>
      <w:tr w:rsidR="00711444" w:rsidRPr="004D0DAA" w14:paraId="64F020F6" w14:textId="77777777" w:rsidTr="00AA2A4C">
        <w:tblPrEx>
          <w:tblCellMar>
            <w:top w:w="0" w:type="dxa"/>
            <w:bottom w:w="0" w:type="dxa"/>
          </w:tblCellMar>
        </w:tblPrEx>
        <w:trPr>
          <w:cantSplit/>
        </w:trPr>
        <w:tc>
          <w:tcPr>
            <w:tcW w:w="9848" w:type="dxa"/>
          </w:tcPr>
          <w:p w14:paraId="21393F36" w14:textId="77777777" w:rsidR="00711444" w:rsidRPr="004D0DAA" w:rsidRDefault="00711444" w:rsidP="00AA2A4C">
            <w:pPr>
              <w:keepLines/>
            </w:pPr>
            <w:r w:rsidRPr="004D0DAA">
              <w:rPr>
                <w:b/>
              </w:rPr>
              <w:t>NC_REPORTING_PERIOD_I</w:t>
            </w:r>
            <w:r w:rsidRPr="004D0DAA">
              <w:t xml:space="preserve"> (3 bit field)</w:t>
            </w:r>
            <w:r w:rsidRPr="004D0DAA">
              <w:br/>
            </w:r>
            <w:r w:rsidRPr="004D0DAA">
              <w:rPr>
                <w:b/>
              </w:rPr>
              <w:t>NC_REPORTING_PERIOD_T</w:t>
            </w:r>
            <w:r w:rsidRPr="004D0DAA">
              <w:t xml:space="preserve"> (3 bit field)</w:t>
            </w:r>
            <w:r w:rsidRPr="004D0DAA">
              <w:br/>
              <w:t>These fields indicate the time period for cell reselection measurement reporting for packet idle mode (I) and packet transfer mode (T), respectively. The field is coded according to the following table:</w:t>
            </w:r>
          </w:p>
          <w:p w14:paraId="2C3AC04D" w14:textId="77777777" w:rsidR="00711444" w:rsidRPr="004D0DAA" w:rsidRDefault="00711444" w:rsidP="00AA2A4C">
            <w:pPr>
              <w:tabs>
                <w:tab w:val="left" w:pos="851"/>
              </w:tabs>
            </w:pPr>
            <w:r w:rsidRPr="004D0DAA">
              <w:t>bit</w:t>
            </w:r>
            <w:r w:rsidRPr="004D0DAA">
              <w:br/>
              <w:t>3 2 1</w:t>
            </w:r>
            <w:r w:rsidRPr="004D0DAA">
              <w:br/>
              <w:t>0 0 0</w:t>
            </w:r>
            <w:r w:rsidRPr="004D0DAA">
              <w:tab/>
              <w:t xml:space="preserve">0,48 s </w:t>
            </w:r>
            <w:r w:rsidRPr="004D0DAA">
              <w:br/>
              <w:t>0 0 1</w:t>
            </w:r>
            <w:r w:rsidRPr="004D0DAA">
              <w:tab/>
              <w:t xml:space="preserve">0,96 s </w:t>
            </w:r>
            <w:r w:rsidRPr="004D0DAA">
              <w:br/>
              <w:t>0 1 0</w:t>
            </w:r>
            <w:r w:rsidRPr="004D0DAA">
              <w:tab/>
              <w:t xml:space="preserve">1,92 s </w:t>
            </w:r>
            <w:r w:rsidRPr="004D0DAA">
              <w:br/>
              <w:t>0 1 1</w:t>
            </w:r>
            <w:r w:rsidRPr="004D0DAA">
              <w:tab/>
              <w:t xml:space="preserve">3,84 s </w:t>
            </w:r>
            <w:r w:rsidRPr="004D0DAA">
              <w:rPr>
                <w:i/>
              </w:rPr>
              <w:t>(default value for NC_REPORTING_PERIOD_T)</w:t>
            </w:r>
            <w:r w:rsidRPr="004D0DAA">
              <w:br/>
              <w:t>1 0 0</w:t>
            </w:r>
            <w:r w:rsidRPr="004D0DAA">
              <w:tab/>
              <w:t xml:space="preserve">7,68 s </w:t>
            </w:r>
            <w:r w:rsidRPr="004D0DAA">
              <w:br/>
              <w:t>1 0 1</w:t>
            </w:r>
            <w:r w:rsidRPr="004D0DAA">
              <w:tab/>
              <w:t xml:space="preserve">15,36 s </w:t>
            </w:r>
            <w:r w:rsidRPr="004D0DAA">
              <w:br/>
              <w:t>1 1 0</w:t>
            </w:r>
            <w:r w:rsidRPr="004D0DAA">
              <w:tab/>
              <w:t xml:space="preserve">30,72 s </w:t>
            </w:r>
            <w:r w:rsidRPr="004D0DAA">
              <w:br/>
              <w:t>1 1 1</w:t>
            </w:r>
            <w:r w:rsidRPr="004D0DAA">
              <w:tab/>
              <w:t xml:space="preserve">61,44 s </w:t>
            </w:r>
            <w:r w:rsidRPr="004D0DAA">
              <w:rPr>
                <w:i/>
              </w:rPr>
              <w:t>(default value for NC_REPORTING_PERIOD_I)</w:t>
            </w:r>
          </w:p>
        </w:tc>
      </w:tr>
      <w:tr w:rsidR="00711444" w:rsidRPr="004D0DAA" w14:paraId="4A8D8357" w14:textId="77777777" w:rsidTr="00AA2A4C">
        <w:tblPrEx>
          <w:tblCellMar>
            <w:top w:w="0" w:type="dxa"/>
            <w:bottom w:w="0" w:type="dxa"/>
          </w:tblCellMar>
        </w:tblPrEx>
        <w:trPr>
          <w:cantSplit/>
        </w:trPr>
        <w:tc>
          <w:tcPr>
            <w:tcW w:w="9848" w:type="dxa"/>
          </w:tcPr>
          <w:p w14:paraId="6B2D7925" w14:textId="77777777" w:rsidR="00711444" w:rsidRPr="004D0DAA" w:rsidRDefault="00711444" w:rsidP="00AA2A4C">
            <w:r w:rsidRPr="004D0DAA">
              <w:rPr>
                <w:b/>
              </w:rPr>
              <w:t>NCC_PERMITTED</w:t>
            </w:r>
            <w:r w:rsidRPr="004D0DAA">
              <w:t xml:space="preserve"> (8 bit field) </w:t>
            </w:r>
            <w:r w:rsidRPr="004D0DAA">
              <w:br/>
              <w:t>This field is a bitmap of NCCs for which the mobile station is permitted to report measurement; this bitmap relates to NCC part of BSIC (see coding field in 3GPP TS 44.018).</w:t>
            </w:r>
          </w:p>
        </w:tc>
      </w:tr>
      <w:tr w:rsidR="00711444" w:rsidRPr="004D0DAA" w14:paraId="3DA751E4" w14:textId="77777777" w:rsidTr="00AA2A4C">
        <w:tblPrEx>
          <w:tblCellMar>
            <w:top w:w="0" w:type="dxa"/>
            <w:bottom w:w="0" w:type="dxa"/>
          </w:tblCellMar>
        </w:tblPrEx>
        <w:trPr>
          <w:cantSplit/>
        </w:trPr>
        <w:tc>
          <w:tcPr>
            <w:tcW w:w="9848" w:type="dxa"/>
          </w:tcPr>
          <w:p w14:paraId="31F48709" w14:textId="77777777" w:rsidR="00711444" w:rsidRPr="004D0DAA" w:rsidRDefault="00711444" w:rsidP="00AA2A4C">
            <w:pPr>
              <w:rPr>
                <w:b/>
                <w:i/>
              </w:rPr>
            </w:pPr>
            <w:r w:rsidRPr="004D0DAA">
              <w:rPr>
                <w:b/>
                <w:i/>
              </w:rPr>
              <w:t>ENH Reporting Parameters (Enhanced Measurement reporting parameters)</w:t>
            </w:r>
          </w:p>
          <w:p w14:paraId="0CED235D" w14:textId="77777777" w:rsidR="00711444" w:rsidRPr="004D0DAA" w:rsidRDefault="00711444" w:rsidP="00AA2A4C">
            <w:r w:rsidRPr="004D0DAA">
              <w:rPr>
                <w:b/>
              </w:rPr>
              <w:t xml:space="preserve">Report_Type </w:t>
            </w:r>
            <w:r w:rsidRPr="004D0DAA">
              <w:t>(1bit)</w:t>
            </w:r>
            <w:r w:rsidRPr="004D0DAA">
              <w:br/>
              <w:t>This parameter is used to indicate to the mobile station to use the PACKET ENHANCED MEASUREMENT REPORT message or the PACKET MEASUREMENT REPORT message for (NC) reporting:</w:t>
            </w:r>
          </w:p>
          <w:p w14:paraId="00725804" w14:textId="77777777" w:rsidR="00711444" w:rsidRPr="004D0DAA" w:rsidRDefault="00711444" w:rsidP="00AA2A4C">
            <w:r w:rsidRPr="004D0DAA">
              <w:t>Bit</w:t>
            </w:r>
            <w:r w:rsidRPr="004D0DAA">
              <w:br/>
              <w:t>0</w:t>
            </w:r>
            <w:r w:rsidRPr="004D0DAA">
              <w:tab/>
              <w:t>The MS shall use the PACKET ENHANCED MEASUREMENT REPORT message for (NC) reporting</w:t>
            </w:r>
            <w:r w:rsidRPr="004D0DAA">
              <w:br/>
              <w:t>1</w:t>
            </w:r>
            <w:r w:rsidRPr="004D0DAA">
              <w:tab/>
              <w:t>The MS shall use the PACKET MEASUREMENT REPORT message for (NC) reporting.</w:t>
            </w:r>
          </w:p>
        </w:tc>
      </w:tr>
      <w:tr w:rsidR="00711444" w:rsidRPr="004D0DAA" w14:paraId="6CBF838A" w14:textId="77777777" w:rsidTr="00AA2A4C">
        <w:tblPrEx>
          <w:tblCellMar>
            <w:top w:w="0" w:type="dxa"/>
            <w:bottom w:w="0" w:type="dxa"/>
          </w:tblCellMar>
        </w:tblPrEx>
        <w:trPr>
          <w:cantSplit/>
        </w:trPr>
        <w:tc>
          <w:tcPr>
            <w:tcW w:w="9848" w:type="dxa"/>
          </w:tcPr>
          <w:p w14:paraId="56FD79C2" w14:textId="77777777" w:rsidR="00711444" w:rsidRPr="004D0DAA" w:rsidRDefault="00711444" w:rsidP="00AA2A4C">
            <w:r w:rsidRPr="004D0DAA">
              <w:rPr>
                <w:b/>
              </w:rPr>
              <w:t xml:space="preserve">REPORTING_RATE </w:t>
            </w:r>
            <w:r w:rsidRPr="004D0DAA">
              <w:t>(1 bit)</w:t>
            </w:r>
            <w:r w:rsidRPr="004D0DAA">
              <w:br/>
              <w:t>This parameter is used for measurements, see 3GPP TS 45.008.</w:t>
            </w:r>
          </w:p>
          <w:p w14:paraId="5534FC4A" w14:textId="77777777" w:rsidR="00711444" w:rsidRPr="004D0DAA" w:rsidRDefault="00711444" w:rsidP="00AA2A4C">
            <w:r w:rsidRPr="004D0DAA">
              <w:rPr>
                <w:b/>
              </w:rPr>
              <w:t>Bit</w:t>
            </w:r>
            <w:r w:rsidRPr="004D0DAA">
              <w:rPr>
                <w:b/>
              </w:rPr>
              <w:br/>
            </w:r>
            <w:r w:rsidRPr="004D0DAA">
              <w:t>0</w:t>
            </w:r>
            <w:r w:rsidRPr="004D0DAA">
              <w:tab/>
              <w:t>normal rate reporting</w:t>
            </w:r>
            <w:r w:rsidRPr="004D0DAA">
              <w:br/>
              <w:t>1</w:t>
            </w:r>
            <w:r w:rsidRPr="004D0DAA">
              <w:tab/>
              <w:t>Reduced reporting rate allowed.</w:t>
            </w:r>
          </w:p>
        </w:tc>
      </w:tr>
      <w:tr w:rsidR="00711444" w:rsidRPr="004D0DAA" w14:paraId="33F99589" w14:textId="77777777" w:rsidTr="00AA2A4C">
        <w:tblPrEx>
          <w:tblCellMar>
            <w:top w:w="0" w:type="dxa"/>
            <w:bottom w:w="0" w:type="dxa"/>
          </w:tblCellMar>
        </w:tblPrEx>
        <w:trPr>
          <w:cantSplit/>
        </w:trPr>
        <w:tc>
          <w:tcPr>
            <w:tcW w:w="9848" w:type="dxa"/>
          </w:tcPr>
          <w:p w14:paraId="0A262B1D" w14:textId="77777777" w:rsidR="00711444" w:rsidRPr="004D0DAA" w:rsidRDefault="00711444" w:rsidP="00AA2A4C">
            <w:r w:rsidRPr="004D0DAA">
              <w:rPr>
                <w:b/>
              </w:rPr>
              <w:t xml:space="preserve">INVALID_BSIC_REPORTING </w:t>
            </w:r>
            <w:r w:rsidRPr="004D0DAA">
              <w:t>(1 bit)</w:t>
            </w:r>
            <w:r w:rsidRPr="004D0DAA">
              <w:br/>
              <w:t>This field specifies if cells with invalid BSIC and allowed NCC part of BSIC are allowed to be reported or not, see 3GPP TS 45.008.</w:t>
            </w:r>
          </w:p>
          <w:p w14:paraId="7550B340" w14:textId="77777777" w:rsidR="00711444" w:rsidRPr="004D0DAA" w:rsidRDefault="00711444" w:rsidP="00AA2A4C">
            <w:r w:rsidRPr="004D0DAA">
              <w:t>Bit</w:t>
            </w:r>
            <w:r w:rsidRPr="004D0DAA">
              <w:br/>
              <w:t>0</w:t>
            </w:r>
            <w:r w:rsidRPr="004D0DAA">
              <w:tab/>
              <w:t>Report on cells with invalid BSIC and allowed NCC part of BSIC is not allowed.</w:t>
            </w:r>
            <w:r w:rsidRPr="004D0DAA">
              <w:br/>
              <w:t>1</w:t>
            </w:r>
            <w:r w:rsidRPr="004D0DAA">
              <w:tab/>
              <w:t>Report on cells with invalid BSIC and allowed NCC part of BSIC is allowed. In this case NCC_PERMITTED is required.</w:t>
            </w:r>
          </w:p>
        </w:tc>
      </w:tr>
      <w:tr w:rsidR="00711444" w:rsidRPr="004D0DAA" w14:paraId="289E60F7" w14:textId="77777777" w:rsidTr="00AA2A4C">
        <w:tblPrEx>
          <w:tblCellMar>
            <w:top w:w="0" w:type="dxa"/>
            <w:bottom w:w="0" w:type="dxa"/>
          </w:tblCellMar>
        </w:tblPrEx>
        <w:trPr>
          <w:cantSplit/>
        </w:trPr>
        <w:tc>
          <w:tcPr>
            <w:tcW w:w="9848" w:type="dxa"/>
          </w:tcPr>
          <w:p w14:paraId="08EA8935" w14:textId="77777777" w:rsidR="00711444" w:rsidRPr="004D0DAA" w:rsidRDefault="00711444" w:rsidP="00AA2A4C">
            <w:r w:rsidRPr="004D0DAA">
              <w:rPr>
                <w:b/>
                <w:i/>
              </w:rPr>
              <w:t>GPRS MEASUREMENT PARAMETERS Description</w:t>
            </w:r>
            <w:r w:rsidRPr="004D0DAA">
              <w:rPr>
                <w:b/>
                <w:i/>
              </w:rPr>
              <w:br/>
            </w:r>
            <w:r w:rsidRPr="004D0DAA">
              <w:t>The fields of this Description are used for measurements as defined in 3GPP TS 45.008.</w:t>
            </w:r>
          </w:p>
        </w:tc>
      </w:tr>
      <w:tr w:rsidR="00711444" w:rsidRPr="004D0DAA" w14:paraId="519B3A7D" w14:textId="77777777" w:rsidTr="00AA2A4C">
        <w:tblPrEx>
          <w:tblCellMar>
            <w:top w:w="0" w:type="dxa"/>
            <w:bottom w:w="0" w:type="dxa"/>
          </w:tblCellMar>
        </w:tblPrEx>
        <w:trPr>
          <w:cantSplit/>
        </w:trPr>
        <w:tc>
          <w:tcPr>
            <w:tcW w:w="9848" w:type="dxa"/>
          </w:tcPr>
          <w:p w14:paraId="5EFAABBC" w14:textId="77777777" w:rsidR="00711444" w:rsidRPr="004D0DAA" w:rsidRDefault="00711444" w:rsidP="00AA2A4C">
            <w:r w:rsidRPr="004D0DAA">
              <w:rPr>
                <w:b/>
                <w:i/>
              </w:rPr>
              <w:lastRenderedPageBreak/>
              <w:t>GPRS 3G MEASUREMENT PARAMETERS Description</w:t>
            </w:r>
            <w:r w:rsidRPr="004D0DAA">
              <w:rPr>
                <w:b/>
                <w:i/>
              </w:rPr>
              <w:br/>
            </w:r>
            <w:r w:rsidRPr="004D0DAA">
              <w:t>The fields of this Description are used for measurements as defined in 3GPP TS 45.008.</w:t>
            </w:r>
          </w:p>
        </w:tc>
      </w:tr>
      <w:tr w:rsidR="00711444" w:rsidRPr="004D0DAA" w14:paraId="1B906F32" w14:textId="77777777" w:rsidTr="00AA2A4C">
        <w:tblPrEx>
          <w:tblCellMar>
            <w:top w:w="0" w:type="dxa"/>
            <w:bottom w:w="0" w:type="dxa"/>
          </w:tblCellMar>
        </w:tblPrEx>
        <w:trPr>
          <w:cantSplit/>
        </w:trPr>
        <w:tc>
          <w:tcPr>
            <w:tcW w:w="9848" w:type="dxa"/>
          </w:tcPr>
          <w:p w14:paraId="4B1FBC87" w14:textId="77777777" w:rsidR="00711444" w:rsidRPr="004D0DAA" w:rsidRDefault="00711444" w:rsidP="00AA2A4C">
            <w:pPr>
              <w:rPr>
                <w:b/>
                <w:i/>
              </w:rPr>
            </w:pPr>
            <w:r w:rsidRPr="004D0DAA">
              <w:rPr>
                <w:b/>
                <w:bCs/>
                <w:i/>
                <w:iCs/>
              </w:rPr>
              <w:t xml:space="preserve">GPRS 3G Additional Measurement Parameters 2 Description </w:t>
            </w:r>
            <w:r w:rsidRPr="004D0DAA">
              <w:rPr>
                <w:b/>
                <w:bCs/>
                <w:i/>
                <w:iCs/>
              </w:rPr>
              <w:br/>
            </w:r>
            <w:r w:rsidRPr="004D0DAA">
              <w:t>The fields of this Description are used for measurements, as defined in 3GPP TS 45.008.</w:t>
            </w:r>
          </w:p>
        </w:tc>
      </w:tr>
      <w:tr w:rsidR="00711444" w:rsidRPr="004D0DAA" w14:paraId="0ADE7970" w14:textId="77777777" w:rsidTr="00AA2A4C">
        <w:tblPrEx>
          <w:tblCellMar>
            <w:top w:w="0" w:type="dxa"/>
            <w:bottom w:w="0" w:type="dxa"/>
          </w:tblCellMar>
        </w:tblPrEx>
        <w:trPr>
          <w:cantSplit/>
        </w:trPr>
        <w:tc>
          <w:tcPr>
            <w:tcW w:w="9848" w:type="dxa"/>
          </w:tcPr>
          <w:p w14:paraId="0F069713" w14:textId="77777777" w:rsidR="00711444" w:rsidRPr="004D0DAA" w:rsidRDefault="00711444" w:rsidP="00AA2A4C">
            <w:pPr>
              <w:rPr>
                <w:b/>
                <w:bCs/>
                <w:i/>
                <w:iCs/>
              </w:rPr>
            </w:pPr>
            <w:r w:rsidRPr="004D0DAA">
              <w:rPr>
                <w:b/>
                <w:lang w:eastAsia="zh-CN"/>
              </w:rPr>
              <w:t>700</w:t>
            </w:r>
            <w:r w:rsidRPr="004D0DAA">
              <w:rPr>
                <w:b/>
              </w:rPr>
              <w:t>_REPORTING_OFFSET</w:t>
            </w:r>
            <w:r w:rsidRPr="004D0DAA">
              <w:t xml:space="preserve"> (3 bit field)</w:t>
            </w:r>
            <w:r w:rsidRPr="004D0DAA">
              <w:br/>
            </w:r>
            <w:r w:rsidRPr="004D0DAA">
              <w:rPr>
                <w:b/>
                <w:lang w:eastAsia="zh-CN"/>
              </w:rPr>
              <w:t>700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p>
        </w:tc>
      </w:tr>
      <w:tr w:rsidR="00711444" w:rsidRPr="004D0DAA" w14:paraId="676F04AF" w14:textId="77777777" w:rsidTr="00AA2A4C">
        <w:tblPrEx>
          <w:tblCellMar>
            <w:top w:w="0" w:type="dxa"/>
            <w:bottom w:w="0" w:type="dxa"/>
          </w:tblCellMar>
        </w:tblPrEx>
        <w:trPr>
          <w:cantSplit/>
        </w:trPr>
        <w:tc>
          <w:tcPr>
            <w:tcW w:w="9848" w:type="dxa"/>
          </w:tcPr>
          <w:p w14:paraId="13E586BF" w14:textId="77777777" w:rsidR="00711444" w:rsidRPr="004D0DAA" w:rsidRDefault="00711444" w:rsidP="00AA2A4C">
            <w:pPr>
              <w:rPr>
                <w:b/>
                <w:bCs/>
                <w:i/>
                <w:iCs/>
              </w:rPr>
            </w:pPr>
            <w:r w:rsidRPr="004D0DAA">
              <w:rPr>
                <w:b/>
                <w:lang w:eastAsia="zh-CN"/>
              </w:rPr>
              <w:t>810</w:t>
            </w:r>
            <w:r w:rsidRPr="004D0DAA">
              <w:rPr>
                <w:b/>
              </w:rPr>
              <w:t>_REPORTING_OFFSET</w:t>
            </w:r>
            <w:r w:rsidRPr="004D0DAA">
              <w:t xml:space="preserve"> (3 bit field)</w:t>
            </w:r>
            <w:r w:rsidRPr="004D0DAA">
              <w:br/>
            </w:r>
            <w:r w:rsidRPr="004D0DAA">
              <w:rPr>
                <w:b/>
                <w:lang w:eastAsia="zh-CN"/>
              </w:rPr>
              <w:t>810</w:t>
            </w:r>
            <w:r w:rsidRPr="004D0DAA">
              <w:rPr>
                <w:b/>
              </w:rPr>
              <w:t>_REPORTING_THRESHOLD</w:t>
            </w:r>
            <w:r w:rsidRPr="004D0DAA">
              <w:rPr>
                <w:b/>
                <w:bCs/>
              </w:rPr>
              <w:t xml:space="preserve"> </w:t>
            </w:r>
            <w:r w:rsidRPr="004D0DAA">
              <w:t>(3 bit field)</w:t>
            </w:r>
            <w:r w:rsidRPr="004D0DAA">
              <w:rPr>
                <w:b/>
              </w:rPr>
              <w:br/>
            </w:r>
            <w:r w:rsidRPr="004D0DAA">
              <w:t>These fields are used for measurements, as defined in 3GPP TS 45.008.</w:t>
            </w:r>
          </w:p>
        </w:tc>
      </w:tr>
    </w:tbl>
    <w:p w14:paraId="2913895D" w14:textId="77777777" w:rsidR="00711444" w:rsidRPr="004D0DAA" w:rsidRDefault="00711444" w:rsidP="00711444"/>
    <w:p w14:paraId="6D897BD1" w14:textId="77777777" w:rsidR="00711444" w:rsidRPr="004D0DAA" w:rsidRDefault="00711444" w:rsidP="00711444">
      <w:pPr>
        <w:pStyle w:val="Heading3"/>
      </w:pPr>
      <w:bookmarkStart w:id="701" w:name="_Toc516669877"/>
      <w:r w:rsidRPr="004D0DAA">
        <w:t>11.2.23a</w:t>
      </w:r>
      <w:r w:rsidRPr="004D0DAA">
        <w:tab/>
        <w:t>Packet System Information Type 6</w:t>
      </w:r>
      <w:bookmarkEnd w:id="701"/>
    </w:p>
    <w:p w14:paraId="4E5FE242" w14:textId="77777777" w:rsidR="00711444" w:rsidRPr="004D0DAA" w:rsidRDefault="00711444" w:rsidP="00711444">
      <w:r w:rsidRPr="004D0DAA">
        <w:t>This optional message is sent by the network on the PBCCH or PACCH to provide broadcast information required by non-GSM networks. This message shall not be segmented across more than one RLC/MAC control block by using the procedures specified in sub-clause 9.1.12a. If not all information fits into one instance of the PSI6 message, the PSI6 message can be repeated.. Special requirements for the transmission of this message apply on PBCCH, see 3GPP TS 45.002.</w:t>
      </w:r>
    </w:p>
    <w:p w14:paraId="4F77D604" w14:textId="77777777" w:rsidR="00711444" w:rsidRPr="004D0DAA" w:rsidRDefault="00711444" w:rsidP="00711444">
      <w:pPr>
        <w:pStyle w:val="EX"/>
      </w:pPr>
      <w:r w:rsidRPr="004D0DAA">
        <w:t>Message type:</w:t>
      </w:r>
      <w:r w:rsidRPr="004D0DAA">
        <w:tab/>
        <w:t>PACKET SYSTEM INFORMATION TYPE 6</w:t>
      </w:r>
    </w:p>
    <w:p w14:paraId="435A41B4" w14:textId="77777777" w:rsidR="00711444" w:rsidRPr="004D0DAA" w:rsidRDefault="00711444" w:rsidP="00711444">
      <w:pPr>
        <w:pStyle w:val="EX"/>
      </w:pPr>
      <w:r w:rsidRPr="004D0DAA">
        <w:t>Direction:</w:t>
      </w:r>
      <w:r w:rsidRPr="004D0DAA">
        <w:tab/>
        <w:t>network to mobile station</w:t>
      </w:r>
    </w:p>
    <w:p w14:paraId="78975F98" w14:textId="77777777" w:rsidR="00711444" w:rsidRPr="004D0DAA" w:rsidRDefault="00711444" w:rsidP="00711444">
      <w:pPr>
        <w:pStyle w:val="EX"/>
      </w:pPr>
      <w:r w:rsidRPr="004D0DAA">
        <w:t>Classification:</w:t>
      </w:r>
      <w:r w:rsidRPr="004D0DAA">
        <w:tab/>
        <w:t>distribution message</w:t>
      </w:r>
    </w:p>
    <w:p w14:paraId="623B35D0" w14:textId="77777777" w:rsidR="00711444" w:rsidRPr="004D0DAA" w:rsidRDefault="00711444" w:rsidP="00711444">
      <w:pPr>
        <w:pStyle w:val="TH"/>
      </w:pPr>
      <w:r w:rsidRPr="004D0DAA">
        <w:t>Table</w:t>
      </w:r>
      <w:r w:rsidRPr="004D0DAA">
        <w:rPr>
          <w:rFonts w:ascii="Times New Roman" w:hAnsi="Times New Roman"/>
          <w:b w:val="0"/>
        </w:rPr>
        <w:t xml:space="preserve"> </w:t>
      </w:r>
      <w:r w:rsidRPr="004D0DAA">
        <w:t>11.2.23a.1: PSI6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3420065" w14:textId="77777777" w:rsidTr="00AA2A4C">
        <w:tblPrEx>
          <w:tblCellMar>
            <w:top w:w="0" w:type="dxa"/>
            <w:bottom w:w="0" w:type="dxa"/>
          </w:tblCellMar>
        </w:tblPrEx>
        <w:trPr>
          <w:cantSplit/>
        </w:trPr>
        <w:tc>
          <w:tcPr>
            <w:tcW w:w="9848" w:type="dxa"/>
          </w:tcPr>
          <w:p w14:paraId="148C6679" w14:textId="77777777" w:rsidR="00711444" w:rsidRPr="004D0DAA" w:rsidRDefault="00711444" w:rsidP="00AA2A4C">
            <w:pPr>
              <w:pStyle w:val="TAL"/>
              <w:rPr>
                <w:lang w:val="fr-FR" w:eastAsia="en-US"/>
              </w:rPr>
            </w:pPr>
            <w:r w:rsidRPr="004D0DAA">
              <w:rPr>
                <w:lang w:val="fr-FR" w:eastAsia="en-US"/>
              </w:rPr>
              <w:t>&lt; PSI6 message content &gt; ::=</w:t>
            </w:r>
          </w:p>
          <w:p w14:paraId="6943F7BC"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6F83E7F2"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PSI6_CHANGE_MARK</w:t>
            </w:r>
            <w:r w:rsidRPr="004D0DAA">
              <w:rPr>
                <w:lang w:eastAsia="en-US"/>
              </w:rPr>
              <w:t xml:space="preserve"> : bit (2) &gt;</w:t>
            </w:r>
          </w:p>
          <w:p w14:paraId="32662A6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PSI6_INDEX </w:t>
            </w:r>
            <w:r w:rsidRPr="004D0DAA">
              <w:rPr>
                <w:lang w:eastAsia="en-US"/>
              </w:rPr>
              <w:t>: bit (3) &gt;</w:t>
            </w:r>
          </w:p>
          <w:p w14:paraId="14754BB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PSI6_COUNT </w:t>
            </w:r>
            <w:r w:rsidRPr="004D0DAA">
              <w:rPr>
                <w:lang w:eastAsia="en-US"/>
              </w:rPr>
              <w:t>: bit (3) &gt;</w:t>
            </w:r>
          </w:p>
          <w:p w14:paraId="72E6A250" w14:textId="77777777" w:rsidR="00711444" w:rsidRPr="004D0DAA" w:rsidRDefault="00711444" w:rsidP="00AA2A4C">
            <w:pPr>
              <w:pStyle w:val="TAL"/>
              <w:rPr>
                <w:lang w:eastAsia="en-US"/>
              </w:rPr>
            </w:pPr>
            <w:r w:rsidRPr="004D0DAA">
              <w:rPr>
                <w:lang w:eastAsia="en-US"/>
              </w:rPr>
              <w:tab/>
              <w:t>{</w:t>
            </w:r>
            <w:r w:rsidRPr="004D0DAA">
              <w:rPr>
                <w:lang w:eastAsia="en-US"/>
              </w:rPr>
              <w:tab/>
              <w:t>{</w:t>
            </w:r>
            <w:r w:rsidRPr="004D0DAA">
              <w:rPr>
                <w:lang w:eastAsia="en-US"/>
              </w:rPr>
              <w:tab/>
              <w:t xml:space="preserve">&lt; </w:t>
            </w:r>
            <w:r w:rsidRPr="004D0DAA">
              <w:rPr>
                <w:b/>
                <w:lang w:eastAsia="en-US"/>
              </w:rPr>
              <w:t>NonGSM Message</w:t>
            </w:r>
            <w:r w:rsidRPr="004D0DAA">
              <w:rPr>
                <w:lang w:eastAsia="en-US"/>
              </w:rPr>
              <w:t xml:space="preserve"> : &lt; Non-GSM Message struct &gt; &gt; **</w:t>
            </w:r>
          </w:p>
          <w:p w14:paraId="14EDDA6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Non-GSM Message struct is repeated until:</w:t>
            </w:r>
          </w:p>
          <w:p w14:paraId="03E0D80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&lt; spare bit &gt; * 3</w:t>
            </w:r>
            <w:r w:rsidRPr="004D0DAA">
              <w:rPr>
                <w:lang w:eastAsia="en-US"/>
              </w:rPr>
              <w:tab/>
            </w:r>
            <w:r w:rsidRPr="004D0DAA">
              <w:rPr>
                <w:lang w:eastAsia="en-US"/>
              </w:rPr>
              <w:tab/>
              <w:t>00000 }</w:t>
            </w:r>
            <w:r w:rsidRPr="004D0DAA">
              <w:rPr>
                <w:lang w:eastAsia="en-US"/>
              </w:rPr>
              <w:tab/>
            </w:r>
            <w:r w:rsidRPr="004D0DAA">
              <w:rPr>
                <w:lang w:eastAsia="en-US"/>
              </w:rPr>
              <w:tab/>
            </w:r>
            <w:r w:rsidRPr="004D0DAA">
              <w:rPr>
                <w:lang w:eastAsia="en-US"/>
              </w:rPr>
              <w:tab/>
              <w:t>--</w:t>
            </w:r>
            <w:r w:rsidRPr="004D0DAA">
              <w:rPr>
                <w:i/>
                <w:lang w:eastAsia="en-US"/>
              </w:rPr>
              <w:tab/>
              <w:t>A) val(NR_OF_CONTAINER_OCTETS) = 0</w:t>
            </w:r>
            <w:r w:rsidRPr="004D0DAA">
              <w:rPr>
                <w:lang w:eastAsia="en-US"/>
              </w:rPr>
              <w:t>, or</w:t>
            </w:r>
          </w:p>
          <w:p w14:paraId="63CC048B"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&lt; padding bits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w:t>
            </w:r>
            <w:r w:rsidRPr="004D0DAA">
              <w:rPr>
                <w:i/>
                <w:lang w:eastAsia="en-US"/>
              </w:rPr>
              <w:tab/>
              <w:t>B) the PSI message is fully used</w:t>
            </w:r>
          </w:p>
          <w:p w14:paraId="24D72256" w14:textId="77777777" w:rsidR="00711444" w:rsidRPr="004D0DAA" w:rsidRDefault="00711444" w:rsidP="00AA2A4C">
            <w:pPr>
              <w:pStyle w:val="TAL"/>
              <w:rPr>
                <w:lang w:eastAsia="en-US"/>
              </w:rPr>
            </w:pPr>
            <w:r w:rsidRPr="004D0DAA">
              <w:rPr>
                <w:lang w:eastAsia="en-US"/>
              </w:rPr>
              <w:tab/>
              <w:t>! &lt; Distribution part error : bit (*) = &lt; no string &gt; &gt; ;</w:t>
            </w:r>
          </w:p>
          <w:p w14:paraId="6C4D0EE9" w14:textId="77777777" w:rsidR="00711444" w:rsidRPr="004D0DAA" w:rsidRDefault="00711444" w:rsidP="00AA2A4C">
            <w:pPr>
              <w:pStyle w:val="TAL"/>
              <w:rPr>
                <w:lang w:eastAsia="en-US"/>
              </w:rPr>
            </w:pPr>
          </w:p>
        </w:tc>
      </w:tr>
      <w:tr w:rsidR="00711444" w:rsidRPr="004D0DAA" w14:paraId="409C2F7E" w14:textId="77777777" w:rsidTr="00AA2A4C">
        <w:tblPrEx>
          <w:tblCellMar>
            <w:top w:w="0" w:type="dxa"/>
            <w:bottom w:w="0" w:type="dxa"/>
          </w:tblCellMar>
        </w:tblPrEx>
        <w:trPr>
          <w:cantSplit/>
        </w:trPr>
        <w:tc>
          <w:tcPr>
            <w:tcW w:w="9848" w:type="dxa"/>
          </w:tcPr>
          <w:p w14:paraId="7616175A" w14:textId="77777777" w:rsidR="00711444" w:rsidRPr="004D0DAA" w:rsidRDefault="00711444" w:rsidP="00AA2A4C">
            <w:pPr>
              <w:pStyle w:val="TAL"/>
              <w:rPr>
                <w:lang w:eastAsia="en-US"/>
              </w:rPr>
            </w:pPr>
            <w:r w:rsidRPr="004D0DAA">
              <w:rPr>
                <w:lang w:eastAsia="en-US"/>
              </w:rPr>
              <w:t xml:space="preserve">&lt; NonGSM Message struct &gt; ::= </w:t>
            </w:r>
          </w:p>
          <w:p w14:paraId="488AD0C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NonGSM Protocol Discriminator </w:t>
            </w:r>
            <w:r w:rsidRPr="004D0DAA">
              <w:rPr>
                <w:lang w:eastAsia="en-US"/>
              </w:rPr>
              <w:t>: bit(3) &gt;</w:t>
            </w:r>
          </w:p>
          <w:p w14:paraId="1078508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NR_OF_CONTAINER_OCTETS</w:t>
            </w:r>
            <w:r w:rsidRPr="004D0DAA">
              <w:rPr>
                <w:lang w:eastAsia="en-US"/>
              </w:rPr>
              <w:t xml:space="preserve"> : bit(5) exclude 00000 } &gt;</w:t>
            </w:r>
          </w:p>
          <w:p w14:paraId="72B592D8"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CONTAINER</w:t>
            </w:r>
            <w:r w:rsidRPr="004D0DAA">
              <w:rPr>
                <w:lang w:eastAsia="en-US"/>
              </w:rPr>
              <w:t xml:space="preserve"> : bit(8) &gt; } * (val(NR_OF_CONTAINER_OCTETS)) ;</w:t>
            </w:r>
          </w:p>
          <w:p w14:paraId="3ACF5FD5" w14:textId="77777777" w:rsidR="00711444" w:rsidRPr="004D0DAA" w:rsidRDefault="00711444" w:rsidP="00AA2A4C">
            <w:pPr>
              <w:pStyle w:val="TAL"/>
              <w:rPr>
                <w:lang w:eastAsia="en-US"/>
              </w:rPr>
            </w:pPr>
          </w:p>
        </w:tc>
      </w:tr>
    </w:tbl>
    <w:p w14:paraId="42D6C8B1" w14:textId="77777777" w:rsidR="00711444" w:rsidRPr="004D0DAA" w:rsidRDefault="00711444" w:rsidP="00711444"/>
    <w:p w14:paraId="44DE18EC" w14:textId="77777777" w:rsidR="00711444" w:rsidRPr="004D0DAA" w:rsidRDefault="00711444" w:rsidP="00711444">
      <w:pPr>
        <w:pStyle w:val="TH"/>
      </w:pPr>
      <w:r w:rsidRPr="004D0DAA">
        <w:t>Table</w:t>
      </w:r>
      <w:r w:rsidRPr="004D0DAA">
        <w:rPr>
          <w:rFonts w:ascii="Times" w:hAnsi="Times"/>
          <w:b w:val="0"/>
        </w:rPr>
        <w:t xml:space="preserve"> </w:t>
      </w:r>
      <w:r w:rsidRPr="004D0DAA">
        <w:t>11.2.23a.2: PSI6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A42CA7" w14:textId="77777777" w:rsidTr="00AA2A4C">
        <w:tblPrEx>
          <w:tblCellMar>
            <w:top w:w="0" w:type="dxa"/>
            <w:bottom w:w="0" w:type="dxa"/>
          </w:tblCellMar>
        </w:tblPrEx>
        <w:trPr>
          <w:cantSplit/>
        </w:trPr>
        <w:tc>
          <w:tcPr>
            <w:tcW w:w="9848" w:type="dxa"/>
          </w:tcPr>
          <w:p w14:paraId="176F01C9" w14:textId="77777777" w:rsidR="00711444" w:rsidRPr="004D0DAA" w:rsidRDefault="00711444" w:rsidP="00AA2A4C">
            <w:pPr>
              <w:keepLines/>
              <w:rPr>
                <w:b/>
              </w:rPr>
            </w:pPr>
            <w:r w:rsidRPr="004D0DAA">
              <w:rPr>
                <w:b/>
              </w:rPr>
              <w:t>PAGE_MODE</w:t>
            </w:r>
            <w:r w:rsidRPr="004D0DAA">
              <w:t xml:space="preserve"> (2 bit field)</w:t>
            </w:r>
            <w:r w:rsidRPr="004D0DAA">
              <w:br/>
              <w:t>This field is defined in sub-clause 12.20.</w:t>
            </w:r>
          </w:p>
        </w:tc>
      </w:tr>
      <w:tr w:rsidR="00711444" w:rsidRPr="004D0DAA" w14:paraId="68FE164E" w14:textId="77777777" w:rsidTr="00AA2A4C">
        <w:tblPrEx>
          <w:tblCellMar>
            <w:top w:w="0" w:type="dxa"/>
            <w:bottom w:w="0" w:type="dxa"/>
          </w:tblCellMar>
        </w:tblPrEx>
        <w:trPr>
          <w:cantSplit/>
        </w:trPr>
        <w:tc>
          <w:tcPr>
            <w:tcW w:w="9848" w:type="dxa"/>
          </w:tcPr>
          <w:p w14:paraId="6D51B1B8" w14:textId="77777777" w:rsidR="00711444" w:rsidRPr="004D0DAA" w:rsidRDefault="00711444" w:rsidP="00AA2A4C">
            <w:pPr>
              <w:keepLines/>
            </w:pPr>
            <w:r w:rsidRPr="004D0DAA">
              <w:rPr>
                <w:b/>
              </w:rPr>
              <w:t>PSI6_CHANGE_MARK</w:t>
            </w:r>
            <w:r w:rsidRPr="004D0DAA">
              <w:t xml:space="preserve"> (2 bit field)</w:t>
            </w:r>
          </w:p>
          <w:p w14:paraId="721BE2BE" w14:textId="77777777" w:rsidR="00711444" w:rsidRPr="004D0DAA" w:rsidRDefault="00711444" w:rsidP="00AA2A4C">
            <w:pPr>
              <w:keepLines/>
            </w:pPr>
            <w:r w:rsidRPr="004D0DAA">
              <w:t>The PSI6 change mark field is changed each time information has been updated in any of the PSI6 messages. A new value indicates that the mobile station shall re-read the information from the PSI6 message. The coding of this field is network dependent.</w:t>
            </w:r>
          </w:p>
          <w:p w14:paraId="32D67974" w14:textId="77777777" w:rsidR="00711444" w:rsidRPr="004D0DAA" w:rsidRDefault="00711444" w:rsidP="00AA2A4C">
            <w:pPr>
              <w:keepLines/>
              <w:rPr>
                <w:b/>
              </w:rPr>
            </w:pPr>
            <w:r w:rsidRPr="004D0DAA">
              <w:t>Range: 0-3.</w:t>
            </w:r>
          </w:p>
        </w:tc>
      </w:tr>
      <w:tr w:rsidR="00711444" w:rsidRPr="004D0DAA" w14:paraId="07EC0FE0" w14:textId="77777777" w:rsidTr="00AA2A4C">
        <w:tblPrEx>
          <w:tblCellMar>
            <w:top w:w="0" w:type="dxa"/>
            <w:bottom w:w="0" w:type="dxa"/>
          </w:tblCellMar>
        </w:tblPrEx>
        <w:trPr>
          <w:cantSplit/>
        </w:trPr>
        <w:tc>
          <w:tcPr>
            <w:tcW w:w="9848" w:type="dxa"/>
          </w:tcPr>
          <w:p w14:paraId="76AA8CE4" w14:textId="77777777" w:rsidR="00711444" w:rsidRPr="004D0DAA" w:rsidRDefault="00711444" w:rsidP="00AA2A4C">
            <w:pPr>
              <w:keepLines/>
              <w:rPr>
                <w:b/>
              </w:rPr>
            </w:pPr>
            <w:r w:rsidRPr="004D0DAA">
              <w:rPr>
                <w:b/>
              </w:rPr>
              <w:lastRenderedPageBreak/>
              <w:t>PSI6_INDEX</w:t>
            </w:r>
            <w:r w:rsidRPr="004D0DAA">
              <w:t xml:space="preserve"> (3 bit field) and </w:t>
            </w:r>
            <w:r w:rsidRPr="004D0DAA">
              <w:rPr>
                <w:b/>
              </w:rPr>
              <w:t>PSI6_COUNT</w:t>
            </w:r>
            <w:r w:rsidRPr="004D0DAA">
              <w:t xml:space="preserve"> (3 bit field)</w:t>
            </w:r>
            <w:r w:rsidRPr="004D0DAA">
              <w:br/>
              <w:t>The purpose of the PSI6_INDEX field and the PSI6_COUNT field is to indicate the number of individual messages within the sequence of PSI6 messages and to assign an index to identify each one of them. The PSI6_INDEX field is binary coded, range: 0 to 7, and provides an index to identify the individual PSI6 message. The PSI6_COUNT field is binary coded, range: 0 to 7, and provides the PSI6_INDEX value for the last (highest indexed) message in the sequence of PSI6 messages.</w:t>
            </w:r>
          </w:p>
        </w:tc>
      </w:tr>
      <w:tr w:rsidR="00711444" w:rsidRPr="004D0DAA" w14:paraId="3D3C05BE" w14:textId="77777777" w:rsidTr="00AA2A4C">
        <w:tblPrEx>
          <w:tblCellMar>
            <w:top w:w="0" w:type="dxa"/>
            <w:bottom w:w="0" w:type="dxa"/>
          </w:tblCellMar>
        </w:tblPrEx>
        <w:trPr>
          <w:cantSplit/>
        </w:trPr>
        <w:tc>
          <w:tcPr>
            <w:tcW w:w="9848" w:type="dxa"/>
          </w:tcPr>
          <w:p w14:paraId="0629C065" w14:textId="77777777" w:rsidR="00711444" w:rsidRPr="004D0DAA" w:rsidRDefault="00711444" w:rsidP="00AA2A4C">
            <w:pPr>
              <w:keepLines/>
            </w:pPr>
            <w:r w:rsidRPr="004D0DAA">
              <w:rPr>
                <w:b/>
              </w:rPr>
              <w:t xml:space="preserve">NonGSM Protocol Discriminator </w:t>
            </w:r>
            <w:r w:rsidRPr="004D0DAA">
              <w:t>(3 bit field)</w:t>
            </w:r>
            <w:r w:rsidRPr="004D0DAA">
              <w:rPr>
                <w:b/>
              </w:rPr>
              <w:br/>
            </w:r>
            <w:r w:rsidRPr="004D0DAA">
              <w:t>This information element is used to identify the non-GSM network for which a PSI6 message is transmitted and is coded as shown below.</w:t>
            </w:r>
          </w:p>
          <w:p w14:paraId="0AC6A921" w14:textId="77777777" w:rsidR="00711444" w:rsidRPr="004D0DAA" w:rsidRDefault="00711444" w:rsidP="00AA2A4C">
            <w:pPr>
              <w:keepLines/>
            </w:pPr>
            <w:r w:rsidRPr="004D0DAA">
              <w:t>Bit</w:t>
            </w:r>
            <w:r w:rsidRPr="004D0DAA">
              <w:br/>
              <w:t>3 2 1</w:t>
            </w:r>
          </w:p>
          <w:p w14:paraId="02530094" w14:textId="77777777" w:rsidR="00711444" w:rsidRPr="004D0DAA" w:rsidRDefault="00711444" w:rsidP="00AA2A4C">
            <w:pPr>
              <w:keepLines/>
            </w:pPr>
            <w:r w:rsidRPr="004D0DAA">
              <w:t>0 0 1</w:t>
            </w:r>
            <w:r w:rsidRPr="004D0DAA">
              <w:tab/>
              <w:t>TIA/EIA-136</w:t>
            </w:r>
          </w:p>
          <w:p w14:paraId="4549D9F9" w14:textId="77777777" w:rsidR="00711444" w:rsidRPr="004D0DAA" w:rsidRDefault="00711444" w:rsidP="00AA2A4C">
            <w:pPr>
              <w:keepLines/>
              <w:rPr>
                <w:b/>
              </w:rPr>
            </w:pPr>
            <w:r w:rsidRPr="004D0DAA">
              <w:t>All other values are reserved</w:t>
            </w:r>
          </w:p>
        </w:tc>
      </w:tr>
      <w:tr w:rsidR="00711444" w:rsidRPr="004D0DAA" w14:paraId="028A417E" w14:textId="77777777" w:rsidTr="00AA2A4C">
        <w:tblPrEx>
          <w:tblCellMar>
            <w:top w:w="0" w:type="dxa"/>
            <w:bottom w:w="0" w:type="dxa"/>
          </w:tblCellMar>
        </w:tblPrEx>
        <w:trPr>
          <w:cantSplit/>
        </w:trPr>
        <w:tc>
          <w:tcPr>
            <w:tcW w:w="9848" w:type="dxa"/>
          </w:tcPr>
          <w:p w14:paraId="42B5242A" w14:textId="77777777" w:rsidR="00711444" w:rsidRPr="004D0DAA" w:rsidRDefault="00711444" w:rsidP="00AA2A4C">
            <w:pPr>
              <w:keepLines/>
            </w:pPr>
            <w:r w:rsidRPr="004D0DAA">
              <w:rPr>
                <w:b/>
              </w:rPr>
              <w:t>NR_OF_CONTAINER_OCTETS (5 bit field)</w:t>
            </w:r>
            <w:r w:rsidRPr="004D0DAA">
              <w:rPr>
                <w:b/>
              </w:rPr>
              <w:br/>
            </w:r>
            <w:r w:rsidRPr="004D0DAA">
              <w:t>This field indicates the number of CONTAINER octets that forms a specific non-GSM message and is coded as shown below.</w:t>
            </w:r>
          </w:p>
          <w:p w14:paraId="3A392671" w14:textId="77777777" w:rsidR="00711444" w:rsidRPr="004D0DAA" w:rsidRDefault="00711444" w:rsidP="00AA2A4C">
            <w:pPr>
              <w:keepLines/>
              <w:tabs>
                <w:tab w:val="left" w:pos="1134"/>
              </w:tabs>
              <w:spacing w:after="0"/>
              <w:ind w:left="1134" w:hanging="1134"/>
            </w:pPr>
            <w:r w:rsidRPr="004D0DAA">
              <w:t>Bit</w:t>
            </w:r>
          </w:p>
          <w:p w14:paraId="3D8485F5" w14:textId="77777777" w:rsidR="00711444" w:rsidRPr="004D0DAA" w:rsidRDefault="00711444" w:rsidP="00AA2A4C">
            <w:pPr>
              <w:keepLines/>
              <w:tabs>
                <w:tab w:val="left" w:pos="1134"/>
              </w:tabs>
              <w:spacing w:after="0"/>
              <w:ind w:left="1134" w:hanging="1134"/>
            </w:pPr>
            <w:r w:rsidRPr="004D0DAA">
              <w:t>5 4 3 2 1</w:t>
            </w:r>
          </w:p>
          <w:p w14:paraId="2013D7BB" w14:textId="77777777" w:rsidR="00711444" w:rsidRPr="004D0DAA" w:rsidRDefault="00711444" w:rsidP="00AA2A4C">
            <w:pPr>
              <w:keepLines/>
              <w:tabs>
                <w:tab w:val="left" w:pos="1134"/>
              </w:tabs>
              <w:spacing w:after="0"/>
              <w:ind w:left="1134" w:hanging="1134"/>
            </w:pPr>
            <w:r w:rsidRPr="004D0DAA">
              <w:t>0 0 0 0 1</w:t>
            </w:r>
            <w:r w:rsidRPr="004D0DAA">
              <w:tab/>
            </w:r>
            <w:r w:rsidRPr="004D0DAA">
              <w:rPr>
                <w:b/>
              </w:rPr>
              <w:t>CONTAINER</w:t>
            </w:r>
            <w:r w:rsidRPr="004D0DAA">
              <w:t xml:space="preserve"> length is 1 octet</w:t>
            </w:r>
          </w:p>
          <w:p w14:paraId="3447DE9A" w14:textId="77777777" w:rsidR="00711444" w:rsidRPr="004D0DAA" w:rsidRDefault="00711444" w:rsidP="00AA2A4C">
            <w:pPr>
              <w:keepLines/>
              <w:tabs>
                <w:tab w:val="left" w:pos="1134"/>
              </w:tabs>
              <w:spacing w:after="0"/>
              <w:ind w:left="1134" w:hanging="1134"/>
            </w:pPr>
            <w:r w:rsidRPr="004D0DAA">
              <w:t>0 0 0 1 0</w:t>
            </w:r>
            <w:r w:rsidRPr="004D0DAA">
              <w:tab/>
            </w:r>
            <w:r w:rsidRPr="004D0DAA">
              <w:rPr>
                <w:b/>
              </w:rPr>
              <w:t>CONTAINER</w:t>
            </w:r>
            <w:r w:rsidRPr="004D0DAA">
              <w:t xml:space="preserve"> length is 2 octets</w:t>
            </w:r>
          </w:p>
          <w:p w14:paraId="4433803A" w14:textId="77777777" w:rsidR="00711444" w:rsidRPr="004D0DAA" w:rsidRDefault="00711444" w:rsidP="00AA2A4C">
            <w:pPr>
              <w:keepLines/>
              <w:tabs>
                <w:tab w:val="left" w:pos="1134"/>
              </w:tabs>
              <w:spacing w:after="0"/>
              <w:ind w:left="1134" w:hanging="1134"/>
            </w:pPr>
            <w:r w:rsidRPr="004D0DAA">
              <w:t>…. through …</w:t>
            </w:r>
          </w:p>
          <w:p w14:paraId="06CB1973" w14:textId="77777777" w:rsidR="00711444" w:rsidRPr="004D0DAA" w:rsidRDefault="00711444" w:rsidP="00AA2A4C">
            <w:pPr>
              <w:keepLines/>
              <w:tabs>
                <w:tab w:val="left" w:pos="1134"/>
              </w:tabs>
              <w:spacing w:after="0"/>
              <w:ind w:left="1134" w:hanging="1134"/>
            </w:pPr>
            <w:r w:rsidRPr="004D0DAA">
              <w:t>1 0 0 1 1</w:t>
            </w:r>
            <w:r w:rsidRPr="004D0DAA">
              <w:tab/>
            </w:r>
            <w:r w:rsidRPr="004D0DAA">
              <w:rPr>
                <w:b/>
              </w:rPr>
              <w:t>CONTAINER</w:t>
            </w:r>
            <w:r w:rsidRPr="004D0DAA">
              <w:t xml:space="preserve"> length is 19 octets</w:t>
            </w:r>
          </w:p>
          <w:p w14:paraId="389C053A" w14:textId="77777777" w:rsidR="00711444" w:rsidRPr="004D0DAA" w:rsidRDefault="00711444" w:rsidP="00AA2A4C">
            <w:pPr>
              <w:keepLines/>
              <w:tabs>
                <w:tab w:val="left" w:pos="1134"/>
              </w:tabs>
              <w:spacing w:after="0"/>
              <w:ind w:left="1134" w:hanging="1134"/>
            </w:pPr>
            <w:r w:rsidRPr="004D0DAA">
              <w:t>1 1 1 1 1</w:t>
            </w:r>
            <w:r w:rsidRPr="004D0DAA">
              <w:tab/>
              <w:t xml:space="preserve">The remaining portion of the PSI message is used by the associated </w:t>
            </w:r>
            <w:r w:rsidRPr="004D0DAA">
              <w:rPr>
                <w:b/>
              </w:rPr>
              <w:t>CONTAINER</w:t>
            </w:r>
            <w:r w:rsidRPr="004D0DAA">
              <w:t xml:space="preserve">. The Non-GSM message continues in a subsequent instance of the PSI message, in the next </w:t>
            </w:r>
            <w:r w:rsidRPr="004D0DAA">
              <w:rPr>
                <w:b/>
              </w:rPr>
              <w:t>CONTAINER</w:t>
            </w:r>
            <w:r w:rsidRPr="004D0DAA">
              <w:t xml:space="preserve"> with the same </w:t>
            </w:r>
            <w:r w:rsidRPr="004D0DAA">
              <w:rPr>
                <w:b/>
              </w:rPr>
              <w:t>Non-GSM Protocol Discriminator</w:t>
            </w:r>
            <w:r w:rsidRPr="004D0DAA">
              <w:t xml:space="preserve"> value as the current one.</w:t>
            </w:r>
          </w:p>
          <w:p w14:paraId="5481619A" w14:textId="77777777" w:rsidR="00711444" w:rsidRPr="004D0DAA" w:rsidRDefault="00711444" w:rsidP="00AA2A4C">
            <w:pPr>
              <w:keepLines/>
              <w:ind w:left="1134" w:hanging="1134"/>
              <w:rPr>
                <w:b/>
              </w:rPr>
            </w:pPr>
            <w:r w:rsidRPr="004D0DAA">
              <w:t>All other values are reserved.</w:t>
            </w:r>
          </w:p>
        </w:tc>
      </w:tr>
      <w:tr w:rsidR="00711444" w:rsidRPr="004D0DAA" w14:paraId="6B4B1DF5" w14:textId="77777777" w:rsidTr="00AA2A4C">
        <w:tblPrEx>
          <w:tblCellMar>
            <w:top w:w="0" w:type="dxa"/>
            <w:bottom w:w="0" w:type="dxa"/>
          </w:tblCellMar>
        </w:tblPrEx>
        <w:trPr>
          <w:cantSplit/>
        </w:trPr>
        <w:tc>
          <w:tcPr>
            <w:tcW w:w="9848" w:type="dxa"/>
          </w:tcPr>
          <w:p w14:paraId="0CFF2B82" w14:textId="77777777" w:rsidR="00711444" w:rsidRPr="004D0DAA" w:rsidRDefault="00711444" w:rsidP="00AA2A4C">
            <w:pPr>
              <w:keepLines/>
              <w:spacing w:after="0"/>
            </w:pPr>
            <w:r w:rsidRPr="004D0DAA">
              <w:rPr>
                <w:b/>
              </w:rPr>
              <w:t xml:space="preserve">CONTAINER </w:t>
            </w:r>
            <w:r w:rsidRPr="004D0DAA">
              <w:t>(8 bits)</w:t>
            </w:r>
          </w:p>
          <w:p w14:paraId="3434DE91" w14:textId="77777777" w:rsidR="00711444" w:rsidRPr="004D0DAA" w:rsidRDefault="00711444" w:rsidP="00AA2A4C">
            <w:pPr>
              <w:keepLines/>
            </w:pPr>
            <w:r w:rsidRPr="004D0DAA">
              <w:t>The concatenation of one or several CONTAINER octets forms the actual contents, specific to the non-GSM network soliciting the transmission of a PSI6 message.</w:t>
            </w:r>
          </w:p>
        </w:tc>
      </w:tr>
    </w:tbl>
    <w:p w14:paraId="3BC920ED" w14:textId="77777777" w:rsidR="00711444" w:rsidRPr="004D0DAA" w:rsidRDefault="00711444" w:rsidP="00711444"/>
    <w:p w14:paraId="2E00E8F5" w14:textId="77777777" w:rsidR="00711444" w:rsidRPr="004D0DAA" w:rsidRDefault="00711444" w:rsidP="00711444">
      <w:pPr>
        <w:pStyle w:val="Heading3"/>
      </w:pPr>
      <w:bookmarkStart w:id="702" w:name="_Toc516669878"/>
      <w:r w:rsidRPr="004D0DAA">
        <w:t>11.2.23b</w:t>
      </w:r>
      <w:r w:rsidRPr="004D0DAA">
        <w:tab/>
        <w:t>Packet System Information Type 7</w:t>
      </w:r>
      <w:bookmarkEnd w:id="702"/>
    </w:p>
    <w:p w14:paraId="73F5D611" w14:textId="77777777" w:rsidR="00711444" w:rsidRPr="004D0DAA" w:rsidRDefault="00711444" w:rsidP="00711444">
      <w:r w:rsidRPr="004D0DAA">
        <w:t>This optional message is sent by the network on the PBCCH or PACCH to provide broadcast information required by non-GSM networks. This message shall not be segmented across more than one RLC/MAC control block by using the procedures specified in sub-clause 9.1.12a. If not all information fits into one instance of the PSI7 message, the PSI7 message can be repeated.. Special requirements for the transmission of this message apply on PBCCH, see 3GPP TS 45.002.</w:t>
      </w:r>
    </w:p>
    <w:p w14:paraId="39224CED" w14:textId="77777777" w:rsidR="00711444" w:rsidRPr="004D0DAA" w:rsidRDefault="00711444" w:rsidP="00711444">
      <w:pPr>
        <w:pStyle w:val="EX"/>
      </w:pPr>
      <w:r w:rsidRPr="004D0DAA">
        <w:t>Message type:</w:t>
      </w:r>
      <w:r w:rsidRPr="004D0DAA">
        <w:tab/>
        <w:t>PACKET SYSTEM INFORMATION TYPE 7</w:t>
      </w:r>
    </w:p>
    <w:p w14:paraId="73EDF896" w14:textId="77777777" w:rsidR="00711444" w:rsidRPr="004D0DAA" w:rsidRDefault="00711444" w:rsidP="00711444">
      <w:pPr>
        <w:pStyle w:val="EX"/>
      </w:pPr>
      <w:r w:rsidRPr="004D0DAA">
        <w:t>Direction:</w:t>
      </w:r>
      <w:r w:rsidRPr="004D0DAA">
        <w:tab/>
        <w:t>network to mobile station</w:t>
      </w:r>
    </w:p>
    <w:p w14:paraId="0B668031" w14:textId="77777777" w:rsidR="00711444" w:rsidRPr="004D0DAA" w:rsidRDefault="00711444" w:rsidP="00711444">
      <w:pPr>
        <w:pStyle w:val="EX"/>
      </w:pPr>
      <w:r w:rsidRPr="004D0DAA">
        <w:t>Classification:</w:t>
      </w:r>
      <w:r w:rsidRPr="004D0DAA">
        <w:tab/>
        <w:t>distribution message</w:t>
      </w:r>
    </w:p>
    <w:p w14:paraId="76508847" w14:textId="77777777" w:rsidR="00711444" w:rsidRPr="004D0DAA" w:rsidRDefault="00711444" w:rsidP="00711444">
      <w:r w:rsidRPr="004D0DAA">
        <w:t>The PSI7 information elements are equal to the PSI6 elements defined in sub-clause 11.2.23a.</w:t>
      </w:r>
    </w:p>
    <w:p w14:paraId="0A88F9A4" w14:textId="77777777" w:rsidR="00711444" w:rsidRPr="004D0DAA" w:rsidRDefault="00711444" w:rsidP="00711444">
      <w:pPr>
        <w:pStyle w:val="Heading3"/>
      </w:pPr>
      <w:bookmarkStart w:id="703" w:name="_Toc516669879"/>
      <w:r w:rsidRPr="004D0DAA">
        <w:t>11.2.24</w:t>
      </w:r>
      <w:r w:rsidRPr="004D0DAA">
        <w:tab/>
        <w:t>Packet System Information Type 8</w:t>
      </w:r>
      <w:bookmarkEnd w:id="703"/>
    </w:p>
    <w:p w14:paraId="43DDC725" w14:textId="77777777" w:rsidR="00711444" w:rsidRPr="004D0DAA" w:rsidRDefault="00711444" w:rsidP="00711444">
      <w:pPr>
        <w:keepNext/>
      </w:pPr>
      <w:r w:rsidRPr="004D0DAA">
        <w:t>This message is optionally sent by the network on the PBCCH and PACCH giving information about Cell Broadcast Channel configuration and Dynamic ARFCN Mapping. This message shall not be segmented across more than one RLC/MAC control block by using the procedures specified in sub-clause 9.1.12a. Special requirements for the transmission of this message apply on PBCCH, see 3GPP TS 45.002.</w:t>
      </w:r>
    </w:p>
    <w:p w14:paraId="2E2DA39E" w14:textId="77777777" w:rsidR="00711444" w:rsidRPr="004D0DAA" w:rsidRDefault="00711444" w:rsidP="00711444">
      <w:pPr>
        <w:pStyle w:val="EX"/>
      </w:pPr>
      <w:r w:rsidRPr="004D0DAA">
        <w:t>Message type:</w:t>
      </w:r>
      <w:r w:rsidRPr="004D0DAA">
        <w:tab/>
        <w:t>PACKET SYSTEM INFORMATION TYPE 8</w:t>
      </w:r>
    </w:p>
    <w:p w14:paraId="27EAC1B0" w14:textId="77777777" w:rsidR="00711444" w:rsidRPr="004D0DAA" w:rsidRDefault="00711444" w:rsidP="00711444">
      <w:pPr>
        <w:pStyle w:val="EX"/>
      </w:pPr>
      <w:r w:rsidRPr="004D0DAA">
        <w:lastRenderedPageBreak/>
        <w:t>Direction:</w:t>
      </w:r>
      <w:r w:rsidRPr="004D0DAA">
        <w:tab/>
        <w:t>network to mobile station</w:t>
      </w:r>
    </w:p>
    <w:p w14:paraId="741535E1" w14:textId="77777777" w:rsidR="00711444" w:rsidRPr="004D0DAA" w:rsidRDefault="00711444" w:rsidP="00711444">
      <w:pPr>
        <w:pStyle w:val="EX"/>
      </w:pPr>
      <w:r w:rsidRPr="004D0DAA">
        <w:t>Classification:</w:t>
      </w:r>
      <w:r w:rsidRPr="004D0DAA">
        <w:tab/>
        <w:t>distribution message</w:t>
      </w:r>
    </w:p>
    <w:p w14:paraId="6CC0FABD" w14:textId="77777777" w:rsidR="00711444" w:rsidRPr="004D0DAA" w:rsidRDefault="00711444" w:rsidP="00711444">
      <w:pPr>
        <w:pStyle w:val="TH"/>
      </w:pPr>
      <w:r w:rsidRPr="004D0DAA">
        <w:t>Table 11.2.24.1: PSI8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9938FC4" w14:textId="77777777" w:rsidTr="00AA2A4C">
        <w:tblPrEx>
          <w:tblCellMar>
            <w:top w:w="0" w:type="dxa"/>
            <w:bottom w:w="0" w:type="dxa"/>
          </w:tblCellMar>
        </w:tblPrEx>
        <w:trPr>
          <w:cantSplit/>
        </w:trPr>
        <w:tc>
          <w:tcPr>
            <w:tcW w:w="9848" w:type="dxa"/>
          </w:tcPr>
          <w:p w14:paraId="42600432" w14:textId="77777777" w:rsidR="00711444" w:rsidRPr="004D0DAA" w:rsidRDefault="00711444" w:rsidP="00AA2A4C">
            <w:pPr>
              <w:pStyle w:val="TAL"/>
              <w:rPr>
                <w:lang w:val="fr-FR" w:eastAsia="en-US"/>
              </w:rPr>
            </w:pPr>
            <w:r w:rsidRPr="004D0DAA">
              <w:rPr>
                <w:lang w:val="fr-FR" w:eastAsia="en-US"/>
              </w:rPr>
              <w:t>&lt; PSI8 message content &gt; ::=</w:t>
            </w:r>
          </w:p>
          <w:p w14:paraId="788DBC6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70822EEF"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PSI8_CHANGE_MARK</w:t>
            </w:r>
            <w:r w:rsidRPr="004D0DAA">
              <w:rPr>
                <w:lang w:eastAsia="en-US"/>
              </w:rPr>
              <w:t xml:space="preserve"> : bit (2) &gt;</w:t>
            </w:r>
          </w:p>
          <w:p w14:paraId="4D4F6D8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PSI8_INDEX</w:t>
            </w:r>
            <w:r w:rsidRPr="004D0DAA">
              <w:rPr>
                <w:lang w:eastAsia="en-US"/>
              </w:rPr>
              <w:t xml:space="preserve"> : bit (3) &gt;</w:t>
            </w:r>
          </w:p>
          <w:p w14:paraId="7B2A954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PSI8_COUNT</w:t>
            </w:r>
            <w:r w:rsidRPr="004D0DAA">
              <w:rPr>
                <w:lang w:eastAsia="en-US"/>
              </w:rPr>
              <w:t xml:space="preserve"> : bit (3) &gt;</w:t>
            </w:r>
          </w:p>
          <w:p w14:paraId="2BACF96B"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CBCH Channel Description</w:t>
            </w:r>
            <w:r w:rsidRPr="004D0DAA">
              <w:rPr>
                <w:lang w:eastAsia="en-US"/>
              </w:rPr>
              <w:t xml:space="preserve"> : &lt; CBCH Channel Description struct &gt; &gt; }</w:t>
            </w:r>
          </w:p>
          <w:p w14:paraId="25E93BD7" w14:textId="77777777" w:rsidR="00711444" w:rsidRPr="004D0DAA" w:rsidRDefault="00711444" w:rsidP="00AA2A4C">
            <w:pPr>
              <w:pStyle w:val="TAL"/>
              <w:rPr>
                <w:lang w:eastAsia="en-US"/>
              </w:rPr>
            </w:pPr>
            <w:r w:rsidRPr="004D0DAA">
              <w:rPr>
                <w:lang w:eastAsia="en-US"/>
              </w:rPr>
              <w:tab/>
              <w:t xml:space="preserve">{ </w:t>
            </w:r>
            <w:r w:rsidRPr="004D0DAA">
              <w:rPr>
                <w:lang w:eastAsia="en-US"/>
              </w:rPr>
              <w:tab/>
              <w:t>null | 0</w:t>
            </w:r>
            <w:r w:rsidRPr="004D0DAA">
              <w:rPr>
                <w:lang w:eastAsia="en-US"/>
              </w:rPr>
              <w:tab/>
              <w:t>bit** = &lt; no string &gt;</w:t>
            </w:r>
          </w:p>
          <w:p w14:paraId="7FA962E5" w14:textId="77777777" w:rsidR="00711444" w:rsidRPr="004D0DAA" w:rsidRDefault="00711444" w:rsidP="00AA2A4C">
            <w:pPr>
              <w:pStyle w:val="TAL"/>
              <w:rPr>
                <w:snapToGrid w:val="0"/>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Release 4 additions:</w:t>
            </w:r>
          </w:p>
          <w:p w14:paraId="2043E973" w14:textId="77777777" w:rsidR="00711444" w:rsidRPr="004D0DAA" w:rsidRDefault="00711444" w:rsidP="00AA2A4C">
            <w:pPr>
              <w:pStyle w:val="TAL"/>
              <w:rPr>
                <w:lang w:eastAsia="en-US"/>
              </w:rPr>
            </w:pPr>
            <w:r w:rsidRPr="004D0DAA">
              <w:rPr>
                <w:snapToGrid w:val="0"/>
                <w:lang w:eastAsia="en-US"/>
              </w:rPr>
              <w:tab/>
            </w:r>
            <w:r w:rsidRPr="004D0DAA">
              <w:rPr>
                <w:snapToGrid w:val="0"/>
                <w:lang w:eastAsia="en-US"/>
              </w:rPr>
              <w:tab/>
            </w:r>
            <w:r w:rsidRPr="004D0DAA">
              <w:rPr>
                <w:snapToGrid w:val="0"/>
                <w:lang w:eastAsia="en-US"/>
              </w:rPr>
              <w:tab/>
              <w:t xml:space="preserve">{ 0 | 1 &lt; </w:t>
            </w:r>
            <w:r w:rsidRPr="004D0DAA">
              <w:rPr>
                <w:b/>
                <w:snapToGrid w:val="0"/>
                <w:lang w:eastAsia="en-US"/>
              </w:rPr>
              <w:t xml:space="preserve">Dynamic ARFCN Mapping Description </w:t>
            </w:r>
            <w:r w:rsidRPr="004D0DAA">
              <w:rPr>
                <w:snapToGrid w:val="0"/>
                <w:lang w:eastAsia="en-US"/>
              </w:rPr>
              <w:t>: &lt; Dynamic ARFCN Mapping Description struct &gt; &gt; }</w:t>
            </w:r>
          </w:p>
          <w:p w14:paraId="685F96CC" w14:textId="77777777" w:rsidR="00711444" w:rsidRPr="004D0DAA" w:rsidRDefault="00711444" w:rsidP="00AA2A4C">
            <w:pPr>
              <w:pStyle w:val="TAL"/>
              <w:rPr>
                <w:lang w:eastAsia="en-US"/>
              </w:rPr>
            </w:pPr>
            <w:r w:rsidRPr="004D0DAA">
              <w:rPr>
                <w:lang w:eastAsia="en-US"/>
              </w:rPr>
              <w:tab/>
            </w:r>
            <w:r w:rsidRPr="004D0DAA">
              <w:rPr>
                <w:lang w:eastAsia="en-US"/>
              </w:rPr>
              <w:tab/>
              <w:t>&lt; padding bits &gt; }</w:t>
            </w:r>
          </w:p>
          <w:p w14:paraId="36290EE4" w14:textId="77777777" w:rsidR="00711444" w:rsidRPr="004D0DAA" w:rsidRDefault="00711444" w:rsidP="00AA2A4C">
            <w:pPr>
              <w:pStyle w:val="TAL"/>
              <w:rPr>
                <w:lang w:eastAsia="en-US"/>
              </w:rPr>
            </w:pPr>
            <w:r w:rsidRPr="004D0DAA">
              <w:rPr>
                <w:lang w:eastAsia="en-US"/>
              </w:rPr>
              <w:tab/>
              <w:t>! &lt; Distribution part error : bit (*) = &lt; no string &gt; &gt; ;</w:t>
            </w:r>
          </w:p>
          <w:p w14:paraId="602D0131" w14:textId="77777777" w:rsidR="00711444" w:rsidRPr="004D0DAA" w:rsidRDefault="00711444" w:rsidP="00AA2A4C">
            <w:pPr>
              <w:pStyle w:val="TAL"/>
              <w:rPr>
                <w:lang w:eastAsia="en-US"/>
              </w:rPr>
            </w:pPr>
          </w:p>
        </w:tc>
      </w:tr>
      <w:tr w:rsidR="00711444" w:rsidRPr="004D0DAA" w14:paraId="308C7894" w14:textId="77777777" w:rsidTr="00AA2A4C">
        <w:tblPrEx>
          <w:tblCellMar>
            <w:top w:w="0" w:type="dxa"/>
            <w:bottom w:w="0" w:type="dxa"/>
          </w:tblCellMar>
        </w:tblPrEx>
        <w:trPr>
          <w:cantSplit/>
        </w:trPr>
        <w:tc>
          <w:tcPr>
            <w:tcW w:w="9848" w:type="dxa"/>
          </w:tcPr>
          <w:p w14:paraId="6CFF194F" w14:textId="77777777" w:rsidR="00711444" w:rsidRPr="004D0DAA" w:rsidRDefault="00711444" w:rsidP="00AA2A4C">
            <w:pPr>
              <w:pStyle w:val="TAL"/>
              <w:rPr>
                <w:lang w:eastAsia="en-US"/>
              </w:rPr>
            </w:pPr>
            <w:r w:rsidRPr="004D0DAA">
              <w:rPr>
                <w:lang w:eastAsia="en-US"/>
              </w:rPr>
              <w:t>&lt; CBCH Channel Description struct &gt; ::=</w:t>
            </w:r>
          </w:p>
          <w:p w14:paraId="117AD40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Channel type and TDMA offset</w:t>
            </w:r>
            <w:r w:rsidRPr="004D0DAA">
              <w:rPr>
                <w:lang w:eastAsia="en-US"/>
              </w:rPr>
              <w:t> : bit (5) &gt;</w:t>
            </w:r>
          </w:p>
          <w:p w14:paraId="3023D7D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TN</w:t>
            </w:r>
            <w:r w:rsidRPr="004D0DAA">
              <w:rPr>
                <w:lang w:eastAsia="en-US"/>
              </w:rPr>
              <w:t xml:space="preserve"> : bit (3) &gt;</w:t>
            </w:r>
          </w:p>
          <w:p w14:paraId="6A1C5D1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p w14:paraId="5D2D5E6E" w14:textId="77777777" w:rsidR="00711444" w:rsidRPr="004D0DAA" w:rsidRDefault="00711444" w:rsidP="00AA2A4C">
            <w:pPr>
              <w:pStyle w:val="TAL"/>
              <w:rPr>
                <w:lang w:eastAsia="en-US"/>
              </w:rPr>
            </w:pPr>
          </w:p>
        </w:tc>
      </w:tr>
      <w:tr w:rsidR="00711444" w:rsidRPr="004D0DAA" w14:paraId="037DE0D1" w14:textId="77777777" w:rsidTr="00AA2A4C">
        <w:tblPrEx>
          <w:tblCellMar>
            <w:top w:w="0" w:type="dxa"/>
            <w:bottom w:w="0" w:type="dxa"/>
          </w:tblCellMar>
        </w:tblPrEx>
        <w:trPr>
          <w:cantSplit/>
        </w:trPr>
        <w:tc>
          <w:tcPr>
            <w:tcW w:w="9848" w:type="dxa"/>
          </w:tcPr>
          <w:p w14:paraId="17FA9EB5" w14:textId="77777777" w:rsidR="00711444" w:rsidRPr="004D0DAA" w:rsidRDefault="00711444" w:rsidP="00AA2A4C">
            <w:pPr>
              <w:pStyle w:val="TAL"/>
              <w:rPr>
                <w:snapToGrid w:val="0"/>
                <w:lang w:eastAsia="en-US"/>
              </w:rPr>
            </w:pPr>
            <w:r w:rsidRPr="004D0DAA">
              <w:rPr>
                <w:snapToGrid w:val="0"/>
                <w:lang w:eastAsia="en-US"/>
              </w:rPr>
              <w:t>&lt; Dynamic ARFCN Mapping Description struct &gt; ::=</w:t>
            </w:r>
          </w:p>
          <w:p w14:paraId="04A75089" w14:textId="77777777" w:rsidR="00711444" w:rsidRPr="004D0DAA" w:rsidRDefault="00711444" w:rsidP="00AA2A4C">
            <w:pPr>
              <w:pStyle w:val="TAL"/>
              <w:rPr>
                <w:snapToGrid w:val="0"/>
                <w:lang w:eastAsia="en-US"/>
              </w:rPr>
            </w:pPr>
            <w:r w:rsidRPr="004D0DAA">
              <w:rPr>
                <w:snapToGrid w:val="0"/>
                <w:lang w:eastAsia="en-US"/>
              </w:rPr>
              <w:tab/>
              <w:t xml:space="preserve">{ 0 | 1 </w:t>
            </w:r>
            <w:r w:rsidRPr="004D0DAA">
              <w:rPr>
                <w:lang w:eastAsia="en-US"/>
              </w:rPr>
              <w:t xml:space="preserve">&lt; </w:t>
            </w:r>
            <w:r w:rsidRPr="004D0DAA">
              <w:rPr>
                <w:b/>
                <w:lang w:eastAsia="en-US"/>
              </w:rPr>
              <w:t>DM_CHANGE_MARK</w:t>
            </w:r>
            <w:r w:rsidRPr="004D0DAA">
              <w:rPr>
                <w:lang w:eastAsia="en-US"/>
              </w:rPr>
              <w:t xml:space="preserve"> : bit (4) &gt; }</w:t>
            </w:r>
          </w:p>
          <w:p w14:paraId="21C955E3" w14:textId="77777777" w:rsidR="00711444" w:rsidRPr="004D0DAA" w:rsidRDefault="00711444" w:rsidP="00AA2A4C">
            <w:pPr>
              <w:pStyle w:val="TAL"/>
              <w:rPr>
                <w:snapToGrid w:val="0"/>
                <w:lang w:eastAsia="en-US"/>
              </w:rPr>
            </w:pPr>
            <w:r w:rsidRPr="004D0DAA">
              <w:rPr>
                <w:snapToGrid w:val="0"/>
                <w:lang w:eastAsia="en-US"/>
              </w:rPr>
              <w:tab/>
              <w:t>{ 1 &lt; DYNAMIC ARFCN MAPPING &gt; } ** 0 ;</w:t>
            </w:r>
          </w:p>
          <w:p w14:paraId="43F0AF32" w14:textId="77777777" w:rsidR="00711444" w:rsidRPr="004D0DAA" w:rsidRDefault="00711444" w:rsidP="00AA2A4C">
            <w:pPr>
              <w:pStyle w:val="TAL"/>
              <w:rPr>
                <w:lang w:eastAsia="en-US"/>
              </w:rPr>
            </w:pPr>
          </w:p>
        </w:tc>
      </w:tr>
      <w:tr w:rsidR="00711444" w:rsidRPr="004D0DAA" w14:paraId="47F5E5F2" w14:textId="77777777" w:rsidTr="00AA2A4C">
        <w:tblPrEx>
          <w:tblCellMar>
            <w:top w:w="0" w:type="dxa"/>
            <w:bottom w:w="0" w:type="dxa"/>
          </w:tblCellMar>
        </w:tblPrEx>
        <w:trPr>
          <w:cantSplit/>
        </w:trPr>
        <w:tc>
          <w:tcPr>
            <w:tcW w:w="9848" w:type="dxa"/>
          </w:tcPr>
          <w:p w14:paraId="0F2668A0" w14:textId="77777777" w:rsidR="00711444" w:rsidRPr="004D0DAA" w:rsidRDefault="00711444" w:rsidP="00AA2A4C">
            <w:pPr>
              <w:pStyle w:val="TAL"/>
              <w:rPr>
                <w:lang w:eastAsia="en-US"/>
              </w:rPr>
            </w:pPr>
            <w:r w:rsidRPr="004D0DAA">
              <w:rPr>
                <w:lang w:eastAsia="en-US"/>
              </w:rPr>
              <w:t>&lt; DYNAMIC ARFCN MAPPING &gt;::=</w:t>
            </w:r>
          </w:p>
          <w:p w14:paraId="4F888C8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GSM_Band</w:t>
            </w:r>
            <w:r w:rsidRPr="004D0DAA">
              <w:rPr>
                <w:lang w:eastAsia="en-US"/>
              </w:rPr>
              <w:t xml:space="preserve"> : bit (4) &gt;</w:t>
            </w:r>
          </w:p>
          <w:p w14:paraId="4483FF0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ARFCN_FIRST </w:t>
            </w:r>
            <w:r w:rsidRPr="004D0DAA">
              <w:rPr>
                <w:lang w:eastAsia="en-US"/>
              </w:rPr>
              <w:t>: bit (10)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 Dynamic ARFCN mapping parameters</w:t>
            </w:r>
          </w:p>
          <w:p w14:paraId="16DC275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BAND_OFFSET</w:t>
            </w:r>
            <w:r w:rsidRPr="004D0DAA">
              <w:rPr>
                <w:lang w:eastAsia="en-US"/>
              </w:rPr>
              <w:t>: bit (10) &gt;</w:t>
            </w:r>
          </w:p>
          <w:p w14:paraId="16DDB5A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ARFCN_RANGE </w:t>
            </w:r>
            <w:r w:rsidRPr="004D0DAA">
              <w:rPr>
                <w:lang w:eastAsia="en-US"/>
              </w:rPr>
              <w:t>: bit (7) &gt; ;</w:t>
            </w:r>
          </w:p>
          <w:p w14:paraId="528EB656" w14:textId="77777777" w:rsidR="00711444" w:rsidRPr="004D0DAA" w:rsidRDefault="00711444" w:rsidP="00AA2A4C">
            <w:pPr>
              <w:pStyle w:val="TAL"/>
              <w:rPr>
                <w:snapToGrid w:val="0"/>
                <w:lang w:eastAsia="en-US"/>
              </w:rPr>
            </w:pPr>
          </w:p>
        </w:tc>
      </w:tr>
    </w:tbl>
    <w:p w14:paraId="3F83538D" w14:textId="77777777" w:rsidR="00711444" w:rsidRPr="004D0DAA" w:rsidRDefault="00711444" w:rsidP="00711444"/>
    <w:p w14:paraId="2C290B83" w14:textId="77777777" w:rsidR="00711444" w:rsidRPr="004D0DAA" w:rsidRDefault="00711444" w:rsidP="00711444">
      <w:pPr>
        <w:pStyle w:val="TH"/>
      </w:pPr>
      <w:r w:rsidRPr="004D0DAA">
        <w:t>Table</w:t>
      </w:r>
      <w:r w:rsidRPr="004D0DAA">
        <w:rPr>
          <w:rFonts w:ascii="Times" w:hAnsi="Times"/>
          <w:b w:val="0"/>
        </w:rPr>
        <w:t xml:space="preserve"> </w:t>
      </w:r>
      <w:r w:rsidRPr="004D0DAA">
        <w:t>11.2.24.2: PSI8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98053C5" w14:textId="77777777" w:rsidTr="00AA2A4C">
        <w:tblPrEx>
          <w:tblCellMar>
            <w:top w:w="0" w:type="dxa"/>
            <w:bottom w:w="0" w:type="dxa"/>
          </w:tblCellMar>
        </w:tblPrEx>
        <w:trPr>
          <w:cantSplit/>
        </w:trPr>
        <w:tc>
          <w:tcPr>
            <w:tcW w:w="9848" w:type="dxa"/>
          </w:tcPr>
          <w:p w14:paraId="3DAB5869" w14:textId="77777777" w:rsidR="00711444" w:rsidRPr="004D0DAA" w:rsidRDefault="00711444" w:rsidP="00AA2A4C">
            <w:r w:rsidRPr="004D0DAA">
              <w:rPr>
                <w:b/>
              </w:rPr>
              <w:t>PAGE_MODE</w:t>
            </w:r>
            <w:r w:rsidRPr="004D0DAA">
              <w:t xml:space="preserve"> (2 bit field)</w:t>
            </w:r>
            <w:r w:rsidRPr="004D0DAA">
              <w:br/>
              <w:t>This field is defined in sub-clause 12.20.</w:t>
            </w:r>
          </w:p>
          <w:p w14:paraId="716B9A58" w14:textId="77777777" w:rsidR="00711444" w:rsidRPr="004D0DAA" w:rsidRDefault="00711444" w:rsidP="00AA2A4C">
            <w:r w:rsidRPr="004D0DAA">
              <w:rPr>
                <w:b/>
              </w:rPr>
              <w:t>PSI8_INDEX</w:t>
            </w:r>
            <w:r w:rsidRPr="004D0DAA">
              <w:t xml:space="preserve"> (3 bit field) and </w:t>
            </w:r>
            <w:r w:rsidRPr="004D0DAA">
              <w:rPr>
                <w:b/>
              </w:rPr>
              <w:t>PSI8_COUNT</w:t>
            </w:r>
            <w:r w:rsidRPr="004D0DAA">
              <w:t xml:space="preserve"> (3 bit field)</w:t>
            </w:r>
            <w:r w:rsidRPr="004D0DAA">
              <w:br/>
              <w:t xml:space="preserve">These fields are the binary representation of the PSI </w:t>
            </w:r>
            <w:r w:rsidRPr="004D0DAA">
              <w:rPr>
                <w:i/>
              </w:rPr>
              <w:t>index</w:t>
            </w:r>
            <w:r w:rsidRPr="004D0DAA">
              <w:t xml:space="preserve"> and PSI </w:t>
            </w:r>
            <w:r w:rsidRPr="004D0DAA">
              <w:rPr>
                <w:i/>
              </w:rPr>
              <w:t>count</w:t>
            </w:r>
            <w:r w:rsidRPr="004D0DAA">
              <w:t xml:space="preserve"> parameters associated with the PSI8 messages.</w:t>
            </w:r>
          </w:p>
          <w:p w14:paraId="480D18E1" w14:textId="77777777" w:rsidR="00711444" w:rsidRPr="004D0DAA" w:rsidRDefault="00711444" w:rsidP="00AA2A4C">
            <w:pPr>
              <w:rPr>
                <w:b/>
              </w:rPr>
            </w:pPr>
            <w:r w:rsidRPr="004D0DAA">
              <w:rPr>
                <w:b/>
              </w:rPr>
              <w:t>PSI8_CHANGE_MARK</w:t>
            </w:r>
            <w:r w:rsidRPr="004D0DAA">
              <w:t xml:space="preserve"> (2 bit field)</w:t>
            </w:r>
            <w:r w:rsidRPr="004D0DAA">
              <w:br/>
              <w:t>The PSI8 change mark field is changed each time information has been updated in the PSI8 message. A new value indicates that the mobile station shall re-read the information from the PSI8 message. The coding of this field is network dependent. Range: 0-3.</w:t>
            </w:r>
          </w:p>
        </w:tc>
      </w:tr>
      <w:tr w:rsidR="00711444" w:rsidRPr="004D0DAA" w14:paraId="5C144E4B" w14:textId="77777777" w:rsidTr="00AA2A4C">
        <w:tblPrEx>
          <w:tblCellMar>
            <w:top w:w="0" w:type="dxa"/>
            <w:bottom w:w="0" w:type="dxa"/>
          </w:tblCellMar>
        </w:tblPrEx>
        <w:trPr>
          <w:cantSplit/>
        </w:trPr>
        <w:tc>
          <w:tcPr>
            <w:tcW w:w="9848" w:type="dxa"/>
          </w:tcPr>
          <w:p w14:paraId="0B1A72DA" w14:textId="77777777" w:rsidR="00711444" w:rsidRPr="004D0DAA" w:rsidRDefault="00711444" w:rsidP="00AA2A4C">
            <w:r w:rsidRPr="004D0DAA">
              <w:rPr>
                <w:b/>
              </w:rPr>
              <w:t>CBCH Channel Description struct</w:t>
            </w:r>
            <w:r w:rsidRPr="004D0DAA">
              <w:rPr>
                <w:b/>
              </w:rPr>
              <w:br/>
            </w:r>
            <w:r w:rsidRPr="004D0DAA">
              <w:t>The CBCH Channel Description provides the description for the CBCH. If the CBCH Channel Description is not available (either as it is not included in any instance of PSI8 or as no PSI8 is broadcast at all), the mobile station can assume that SMSCB is not active in the cell. If available, the CBCH Channel Description construction shall be included in one and only one instance of the PSI8 message within the consistent set of PSI8 messages</w:t>
            </w:r>
          </w:p>
          <w:p w14:paraId="10B4D736" w14:textId="77777777" w:rsidR="00711444" w:rsidRPr="004D0DAA" w:rsidRDefault="00711444" w:rsidP="00AA2A4C">
            <w:r w:rsidRPr="004D0DAA">
              <w:rPr>
                <w:b/>
              </w:rPr>
              <w:t>Channel type and TDMA offset</w:t>
            </w:r>
            <w:r w:rsidRPr="004D0DAA">
              <w:t xml:space="preserve"> (5 bit field)</w:t>
            </w:r>
            <w:r w:rsidRPr="004D0DAA">
              <w:br/>
              <w:t>For encoding and description see 3GPP TS 44.018 .</w:t>
            </w:r>
          </w:p>
          <w:p w14:paraId="04B0E712" w14:textId="77777777" w:rsidR="00711444" w:rsidRPr="004D0DAA" w:rsidRDefault="00711444" w:rsidP="00AA2A4C">
            <w:r w:rsidRPr="004D0DAA">
              <w:rPr>
                <w:b/>
              </w:rPr>
              <w:t>TN,</w:t>
            </w:r>
            <w:r w:rsidRPr="004D0DAA">
              <w:t xml:space="preserve"> Timeslot number(3 bit field)</w:t>
            </w:r>
            <w:r w:rsidRPr="004D0DAA">
              <w:br/>
              <w:t xml:space="preserve">The TN field is coded as the binary representation of the timeslot number as defined in 3GPP TS 45.002. </w:t>
            </w:r>
          </w:p>
          <w:p w14:paraId="119D56B6" w14:textId="77777777" w:rsidR="00711444" w:rsidRPr="004D0DAA" w:rsidRDefault="00711444" w:rsidP="00AA2A4C">
            <w:r w:rsidRPr="004D0DAA">
              <w:rPr>
                <w:b/>
              </w:rPr>
              <w:t>Frequency Parameters</w:t>
            </w:r>
            <w:r w:rsidRPr="004D0DAA">
              <w:br/>
              <w:t>This information element is defined in sub-clause 12.8.</w:t>
            </w:r>
          </w:p>
        </w:tc>
      </w:tr>
      <w:tr w:rsidR="00711444" w:rsidRPr="004D0DAA" w14:paraId="479BFF02" w14:textId="77777777" w:rsidTr="00AA2A4C">
        <w:tblPrEx>
          <w:tblCellMar>
            <w:top w:w="0" w:type="dxa"/>
            <w:bottom w:w="0" w:type="dxa"/>
          </w:tblCellMar>
        </w:tblPrEx>
        <w:trPr>
          <w:cantSplit/>
        </w:trPr>
        <w:tc>
          <w:tcPr>
            <w:tcW w:w="9848" w:type="dxa"/>
          </w:tcPr>
          <w:p w14:paraId="120C8CB5" w14:textId="77777777" w:rsidR="00711444" w:rsidRPr="004D0DAA" w:rsidRDefault="00711444" w:rsidP="00AA2A4C">
            <w:r w:rsidRPr="004D0DAA">
              <w:rPr>
                <w:b/>
              </w:rPr>
              <w:lastRenderedPageBreak/>
              <w:t xml:space="preserve">DM_CHANGE_MARK </w:t>
            </w:r>
            <w:r w:rsidRPr="004D0DAA">
              <w:t>(4 bit field), Dynamic ARFCN Mapping Change Mark.</w:t>
            </w:r>
          </w:p>
          <w:p w14:paraId="067EC018" w14:textId="77777777" w:rsidR="00711444" w:rsidRPr="004D0DAA" w:rsidRDefault="00711444" w:rsidP="00AA2A4C">
            <w:pPr>
              <w:rPr>
                <w:b/>
              </w:rPr>
            </w:pPr>
            <w:r w:rsidRPr="004D0DAA">
              <w:t xml:space="preserve">This parameter is used to indicate to the MS a change of information concerning Dynamic ARFCN Mapping. This field shall be present in only one instance of </w:t>
            </w:r>
            <w:r w:rsidRPr="004D0DAA">
              <w:rPr>
                <w:snapToGrid w:val="0"/>
              </w:rPr>
              <w:t>Dynamic ARFCN Mapping Description struct in a consistent set of PSI8 messages.</w:t>
            </w:r>
          </w:p>
        </w:tc>
      </w:tr>
      <w:tr w:rsidR="00711444" w:rsidRPr="004D0DAA" w14:paraId="204E5094" w14:textId="77777777" w:rsidTr="00AA2A4C">
        <w:tblPrEx>
          <w:tblCellMar>
            <w:top w:w="0" w:type="dxa"/>
            <w:bottom w:w="0" w:type="dxa"/>
          </w:tblCellMar>
        </w:tblPrEx>
        <w:trPr>
          <w:cantSplit/>
        </w:trPr>
        <w:tc>
          <w:tcPr>
            <w:tcW w:w="9848" w:type="dxa"/>
          </w:tcPr>
          <w:p w14:paraId="4692C299" w14:textId="77777777" w:rsidR="00711444" w:rsidRPr="004D0DAA" w:rsidRDefault="00711444" w:rsidP="00AA2A4C">
            <w:r w:rsidRPr="004D0DAA">
              <w:t>Dynamic ARFCN Mapping parameters description:</w:t>
            </w:r>
          </w:p>
          <w:p w14:paraId="07403D61" w14:textId="77777777" w:rsidR="00711444" w:rsidRPr="004D0DAA" w:rsidRDefault="00711444" w:rsidP="00AA2A4C">
            <w:r w:rsidRPr="004D0DAA">
              <w:t>These parameters allow to allocate ARFCN values and then dynamically map to physical frequencies, see 3GPP TS 45.005. The parameters of this description are defined in 3GPP TS 44.018.</w:t>
            </w:r>
          </w:p>
          <w:p w14:paraId="467F64E4" w14:textId="77777777" w:rsidR="00711444" w:rsidRPr="004D0DAA" w:rsidRDefault="00711444" w:rsidP="00AA2A4C">
            <w:r w:rsidRPr="004D0DAA">
              <w:t>If the mobile station receives more than 8 DYNAMIC_ARFCN_MAPPING structures, it shall store at least the 8 first structures in the order of occurrence, starting with the PSI8 instance with the lowest index number.</w:t>
            </w:r>
          </w:p>
        </w:tc>
      </w:tr>
    </w:tbl>
    <w:p w14:paraId="7775F7C2" w14:textId="77777777" w:rsidR="00711444" w:rsidRPr="004D0DAA" w:rsidRDefault="00711444" w:rsidP="00711444"/>
    <w:p w14:paraId="03AEBDF3" w14:textId="77777777" w:rsidR="00711444" w:rsidRPr="004D0DAA" w:rsidRDefault="00711444" w:rsidP="00711444">
      <w:pPr>
        <w:pStyle w:val="Heading3"/>
      </w:pPr>
      <w:bookmarkStart w:id="704" w:name="_Toc516669880"/>
      <w:r w:rsidRPr="004D0DAA">
        <w:t>11.2.25</w:t>
      </w:r>
      <w:r w:rsidRPr="004D0DAA">
        <w:tab/>
        <w:t>Packet System Information 13</w:t>
      </w:r>
      <w:bookmarkEnd w:id="704"/>
    </w:p>
    <w:p w14:paraId="61B9B91D" w14:textId="77777777" w:rsidR="00711444" w:rsidRPr="004D0DAA" w:rsidRDefault="00711444" w:rsidP="00711444">
      <w:r w:rsidRPr="004D0DAA">
        <w:t>This message may be broadcast by the network on the PACCH or on the PCCCH (see sub-clause 5.5.2.1). The message provides the mobile station with GPRS cell specific access-related information. The information in this message shall be the same as provided in the SI13 message on BCCH, see 3GPP TS 44.018. This message shall not be segmented across more than one RLC/MAC control block by using the procedures specified in sub-clause 9.1.12a.</w:t>
      </w:r>
    </w:p>
    <w:p w14:paraId="2CFF8353" w14:textId="77777777" w:rsidR="00711444" w:rsidRPr="004D0DAA" w:rsidRDefault="00711444" w:rsidP="00711444">
      <w:pPr>
        <w:pStyle w:val="EX"/>
      </w:pPr>
      <w:r w:rsidRPr="004D0DAA">
        <w:t>Message type:</w:t>
      </w:r>
      <w:r w:rsidRPr="004D0DAA">
        <w:tab/>
        <w:t>PACKET SYSTEM INFORMATION TYPE 13</w:t>
      </w:r>
    </w:p>
    <w:p w14:paraId="615DCF4E" w14:textId="77777777" w:rsidR="00711444" w:rsidRPr="004D0DAA" w:rsidRDefault="00711444" w:rsidP="00711444">
      <w:pPr>
        <w:pStyle w:val="EX"/>
      </w:pPr>
      <w:r w:rsidRPr="004D0DAA">
        <w:t>Direction:</w:t>
      </w:r>
      <w:r w:rsidRPr="004D0DAA">
        <w:tab/>
        <w:t>network to mobile station</w:t>
      </w:r>
    </w:p>
    <w:p w14:paraId="66E6E077" w14:textId="77777777" w:rsidR="00711444" w:rsidRPr="004D0DAA" w:rsidRDefault="00711444" w:rsidP="00711444">
      <w:pPr>
        <w:pStyle w:val="EX"/>
      </w:pPr>
      <w:r w:rsidRPr="004D0DAA">
        <w:t>Classification:</w:t>
      </w:r>
      <w:r w:rsidRPr="004D0DAA">
        <w:tab/>
        <w:t>distribution message</w:t>
      </w:r>
    </w:p>
    <w:p w14:paraId="423E1C1B" w14:textId="77777777" w:rsidR="00711444" w:rsidRPr="004D0DAA" w:rsidRDefault="00711444" w:rsidP="00711444">
      <w:pPr>
        <w:pStyle w:val="TH"/>
      </w:pPr>
      <w:r w:rsidRPr="004D0DAA">
        <w:lastRenderedPageBreak/>
        <w:t>Table 11.2.25.1: PSI13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2F120CF" w14:textId="77777777" w:rsidTr="00AA2A4C">
        <w:tblPrEx>
          <w:tblCellMar>
            <w:top w:w="0" w:type="dxa"/>
            <w:bottom w:w="0" w:type="dxa"/>
          </w:tblCellMar>
        </w:tblPrEx>
        <w:trPr>
          <w:cantSplit/>
        </w:trPr>
        <w:tc>
          <w:tcPr>
            <w:tcW w:w="9848" w:type="dxa"/>
          </w:tcPr>
          <w:p w14:paraId="63C920B5" w14:textId="77777777" w:rsidR="00711444" w:rsidRPr="004D0DAA" w:rsidRDefault="00711444" w:rsidP="00AA2A4C">
            <w:pPr>
              <w:pStyle w:val="TAL"/>
              <w:rPr>
                <w:lang w:val="fr-FR" w:eastAsia="en-US"/>
              </w:rPr>
            </w:pPr>
            <w:r w:rsidRPr="004D0DAA">
              <w:rPr>
                <w:lang w:val="fr-FR" w:eastAsia="en-US"/>
              </w:rPr>
              <w:t>&lt; PSI13 message content &gt; ::=</w:t>
            </w:r>
          </w:p>
          <w:p w14:paraId="35F8A4FC"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1EDE1A3C"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BCCH_CHANGE_MARK</w:t>
            </w:r>
            <w:r w:rsidRPr="004D0DAA">
              <w:rPr>
                <w:lang w:eastAsia="en-US"/>
              </w:rPr>
              <w:t xml:space="preserve"> : bit (3) &gt;</w:t>
            </w:r>
          </w:p>
          <w:p w14:paraId="49A13C9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SI_CHANGE_FIELD </w:t>
            </w:r>
            <w:r w:rsidRPr="004D0DAA">
              <w:rPr>
                <w:lang w:eastAsia="en-US"/>
              </w:rPr>
              <w:t>: bit (4) &gt;</w:t>
            </w:r>
          </w:p>
          <w:p w14:paraId="499E9A64"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 xml:space="preserve">SI13_CHANGE_MARK </w:t>
            </w:r>
            <w:r w:rsidRPr="004D0DAA">
              <w:rPr>
                <w:lang w:val="fr-FR" w:eastAsia="en-US"/>
              </w:rPr>
              <w:t>: bit (2) &gt;</w:t>
            </w:r>
          </w:p>
          <w:p w14:paraId="6495BBE1"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GPRS Mobile Allocation</w:t>
            </w:r>
            <w:r w:rsidRPr="004D0DAA">
              <w:rPr>
                <w:lang w:val="fr-FR" w:eastAsia="en-US"/>
              </w:rPr>
              <w:t xml:space="preserve"> : &lt; GPRS Mobile Allocation IE &gt; &gt; }</w:t>
            </w:r>
          </w:p>
          <w:p w14:paraId="5F558080"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PBCCH not present in cell (This shall always be indicated. See sub-clause 1.6):</w:t>
            </w:r>
          </w:p>
          <w:p w14:paraId="6E2F9F9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RAC</w:t>
            </w:r>
            <w:r w:rsidRPr="004D0DAA">
              <w:rPr>
                <w:lang w:eastAsia="en-US"/>
              </w:rPr>
              <w:t xml:space="preserve"> : bit (8) &gt;</w:t>
            </w:r>
          </w:p>
          <w:p w14:paraId="34095B3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SPGC_CCCH_SUP</w:t>
            </w:r>
            <w:r w:rsidRPr="004D0DAA">
              <w:rPr>
                <w:lang w:eastAsia="en-US"/>
              </w:rPr>
              <w:t xml:space="preserve"> : bit &gt;</w:t>
            </w:r>
          </w:p>
          <w:p w14:paraId="65FC0E4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PRIORITY_ACCESS_THR</w:t>
            </w:r>
            <w:r w:rsidRPr="004D0DAA">
              <w:rPr>
                <w:lang w:eastAsia="en-US"/>
              </w:rPr>
              <w:t xml:space="preserve"> : bit (3) &gt;</w:t>
            </w:r>
          </w:p>
          <w:p w14:paraId="11BCFC2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NETWORK_CONTROL_ORDER</w:t>
            </w:r>
            <w:r w:rsidRPr="004D0DAA">
              <w:rPr>
                <w:lang w:eastAsia="en-US"/>
              </w:rPr>
              <w:t xml:space="preserve"> : bit (2) &gt;</w:t>
            </w:r>
          </w:p>
          <w:p w14:paraId="1A226B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 Cell Options </w:t>
            </w:r>
            <w:r w:rsidRPr="004D0DAA">
              <w:rPr>
                <w:lang w:eastAsia="en-US"/>
              </w:rPr>
              <w:t>: &lt; GPRS Cell Options IE &gt; &gt;</w:t>
            </w:r>
          </w:p>
          <w:p w14:paraId="3574168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GPRS Power Control Parameters </w:t>
            </w:r>
            <w:r w:rsidRPr="004D0DAA">
              <w:rPr>
                <w:lang w:eastAsia="en-US"/>
              </w:rPr>
              <w:t>: &lt; GPRS Power Control Parameters IE &gt; &gt;</w:t>
            </w:r>
          </w:p>
          <w:p w14:paraId="4191B8A0" w14:textId="77777777" w:rsidR="00711444" w:rsidRPr="004D0DAA" w:rsidRDefault="00711444" w:rsidP="00AA2A4C">
            <w:pPr>
              <w:pStyle w:val="TAL"/>
              <w:rPr>
                <w:i/>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PBCCH present in cell (This shall never be indicated. See sub-clause 1.6):</w:t>
            </w:r>
          </w:p>
          <w:p w14:paraId="0E649B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PSI1_REPEAT_PERIOD </w:t>
            </w:r>
            <w:r w:rsidRPr="004D0DAA">
              <w:rPr>
                <w:lang w:eastAsia="en-US"/>
              </w:rPr>
              <w:t>: bit (4) &gt;</w:t>
            </w:r>
          </w:p>
          <w:p w14:paraId="44B6307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PBCCH Description </w:t>
            </w:r>
            <w:r w:rsidRPr="004D0DAA">
              <w:rPr>
                <w:lang w:eastAsia="en-US"/>
              </w:rPr>
              <w:t>: &lt; PBCCH Description struct &gt; &gt; }</w:t>
            </w:r>
          </w:p>
          <w:p w14:paraId="1C6E2A89" w14:textId="77777777" w:rsidR="00711444" w:rsidRPr="004D0DAA" w:rsidRDefault="00711444" w:rsidP="00AA2A4C">
            <w:pPr>
              <w:pStyle w:val="TAL"/>
              <w:rPr>
                <w:lang w:eastAsia="en-US"/>
              </w:rPr>
            </w:pP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ealier release</w:t>
            </w:r>
          </w:p>
          <w:p w14:paraId="4962936C"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99 :</w:t>
            </w:r>
          </w:p>
          <w:p w14:paraId="65BE854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SGSNR</w:t>
            </w:r>
            <w:r w:rsidRPr="004D0DAA">
              <w:rPr>
                <w:lang w:eastAsia="en-US"/>
              </w:rPr>
              <w:t> : bit &gt;</w:t>
            </w:r>
          </w:p>
          <w:p w14:paraId="590BD5F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361CA1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release R4 :</w:t>
            </w:r>
          </w:p>
          <w:p w14:paraId="0379ED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SI_STATUS_IND</w:t>
            </w:r>
            <w:r w:rsidRPr="004D0DAA">
              <w:rPr>
                <w:lang w:eastAsia="en-US"/>
              </w:rPr>
              <w:t> : bit &gt;</w:t>
            </w:r>
            <w:r w:rsidRPr="004D0DAA">
              <w:rPr>
                <w:lang w:eastAsia="en-US"/>
              </w:rPr>
              <w:tab/>
            </w:r>
            <w:r w:rsidRPr="004D0DAA">
              <w:rPr>
                <w:lang w:eastAsia="en-US"/>
              </w:rPr>
              <w:tab/>
            </w:r>
          </w:p>
          <w:p w14:paraId="779388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71EDA1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Rel-6:</w:t>
            </w:r>
          </w:p>
          <w:p w14:paraId="444AD5E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lang w:eastAsia="en-US"/>
              </w:rPr>
              <w:tab/>
            </w:r>
            <w:r w:rsidRPr="004D0DAA">
              <w:rPr>
                <w:lang w:eastAsia="en-US"/>
              </w:rPr>
              <w:tab/>
            </w:r>
            <w:r w:rsidRPr="004D0DAA">
              <w:rPr>
                <w:lang w:eastAsia="en-US"/>
              </w:rPr>
              <w:tab/>
              <w:t>{ 0</w:t>
            </w:r>
            <w:r w:rsidRPr="004D0DAA">
              <w:rPr>
                <w:lang w:eastAsia="en-US"/>
              </w:rPr>
              <w:tab/>
              <w:t>| 1</w:t>
            </w:r>
            <w:r w:rsidRPr="004D0DAA">
              <w:rPr>
                <w:lang w:eastAsia="en-US"/>
              </w:rPr>
              <w:tab/>
              <w:t xml:space="preserve">&lt; </w:t>
            </w:r>
            <w:r w:rsidRPr="004D0DAA">
              <w:rPr>
                <w:b/>
                <w:lang w:eastAsia="en-US"/>
              </w:rPr>
              <w:t>LB_MS_TXPWR_MAX_CCH</w:t>
            </w:r>
            <w:r w:rsidRPr="004D0DAA">
              <w:rPr>
                <w:lang w:eastAsia="en-US"/>
              </w:rPr>
              <w:t xml:space="preserve"> : bit (5) &gt; }</w:t>
            </w:r>
          </w:p>
          <w:p w14:paraId="05FC452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SI2n_SUPPORT</w:t>
            </w:r>
            <w:r w:rsidRPr="004D0DAA">
              <w:rPr>
                <w:lang w:eastAsia="en-US"/>
              </w:rPr>
              <w:t>: bit (2) &gt;</w:t>
            </w:r>
            <w:r w:rsidRPr="004D0DAA">
              <w:rPr>
                <w:lang w:eastAsia="en-US"/>
              </w:rPr>
              <w:tab/>
            </w:r>
            <w:r w:rsidRPr="004D0DAA">
              <w:rPr>
                <w:lang w:eastAsia="en-US"/>
              </w:rPr>
              <w:tab/>
            </w:r>
          </w:p>
          <w:p w14:paraId="39F59AE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 bit** = &lt; no string &gt;</w:t>
            </w:r>
            <w:r w:rsidRPr="004D0DAA">
              <w:rPr>
                <w:lang w:eastAsia="en-US"/>
              </w:rPr>
              <w:tab/>
            </w:r>
            <w:r w:rsidRPr="004D0DAA">
              <w:rPr>
                <w:lang w:eastAsia="en-US"/>
              </w:rPr>
              <w:tab/>
            </w:r>
            <w:r w:rsidRPr="004D0DAA">
              <w:rPr>
                <w:lang w:eastAsia="en-US"/>
              </w:rPr>
              <w:tab/>
              <w:t xml:space="preserve">-- </w:t>
            </w:r>
            <w:r w:rsidRPr="004D0DAA">
              <w:rPr>
                <w:i/>
                <w:lang w:eastAsia="en-US"/>
              </w:rPr>
              <w:t>Receiver compatible with earlier release</w:t>
            </w:r>
          </w:p>
          <w:p w14:paraId="1E451A9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in Rel-11:</w:t>
            </w:r>
          </w:p>
          <w:p w14:paraId="5C19D7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SI_CHANGE_ALT</w:t>
            </w:r>
            <w:r w:rsidRPr="004D0DAA">
              <w:rPr>
                <w:lang w:eastAsia="en-US"/>
              </w:rPr>
              <w:t xml:space="preserve"> : bit &gt;</w:t>
            </w:r>
            <w:r w:rsidRPr="004D0DAA">
              <w:rPr>
                <w:lang w:eastAsia="en-US"/>
              </w:rPr>
              <w:tab/>
            </w:r>
            <w:r w:rsidRPr="004D0DAA">
              <w:rPr>
                <w:lang w:eastAsia="en-US"/>
              </w:rPr>
              <w:tab/>
            </w:r>
          </w:p>
          <w:p w14:paraId="667DFE2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w:t>
            </w:r>
          </w:p>
          <w:p w14:paraId="0A8C3AEC" w14:textId="77777777" w:rsidR="00711444" w:rsidRPr="004D0DAA" w:rsidRDefault="00711444" w:rsidP="00AA2A4C">
            <w:pPr>
              <w:pStyle w:val="TAL"/>
              <w:rPr>
                <w:lang w:eastAsia="en-US"/>
              </w:rPr>
            </w:pPr>
            <w:r w:rsidRPr="004D0DAA">
              <w:rPr>
                <w:lang w:eastAsia="en-US"/>
              </w:rPr>
              <w:tab/>
              <w:t>! &lt; Distribution part error : bit (*) = &lt; no string &gt; &gt; ;</w:t>
            </w:r>
          </w:p>
          <w:p w14:paraId="40BD22E9" w14:textId="77777777" w:rsidR="00711444" w:rsidRPr="004D0DAA" w:rsidRDefault="00711444" w:rsidP="00AA2A4C">
            <w:pPr>
              <w:pStyle w:val="TAL"/>
              <w:rPr>
                <w:lang w:eastAsia="en-US"/>
              </w:rPr>
            </w:pPr>
          </w:p>
        </w:tc>
      </w:tr>
      <w:tr w:rsidR="00711444" w:rsidRPr="004D0DAA" w14:paraId="79C36423" w14:textId="77777777" w:rsidTr="00AA2A4C">
        <w:tblPrEx>
          <w:tblCellMar>
            <w:top w:w="0" w:type="dxa"/>
            <w:bottom w:w="0" w:type="dxa"/>
          </w:tblCellMar>
        </w:tblPrEx>
        <w:trPr>
          <w:cantSplit/>
        </w:trPr>
        <w:tc>
          <w:tcPr>
            <w:tcW w:w="9848" w:type="dxa"/>
          </w:tcPr>
          <w:p w14:paraId="678468B5" w14:textId="77777777" w:rsidR="00711444" w:rsidRPr="004D0DAA" w:rsidRDefault="00711444" w:rsidP="00AA2A4C">
            <w:pPr>
              <w:pStyle w:val="TAL"/>
              <w:rPr>
                <w:lang w:eastAsia="en-US"/>
              </w:rPr>
            </w:pPr>
            <w:r w:rsidRPr="004D0DAA">
              <w:rPr>
                <w:lang w:eastAsia="en-US"/>
              </w:rPr>
              <w:t>&lt; PBCCH Description struct &gt; ::=</w:t>
            </w:r>
          </w:p>
          <w:p w14:paraId="5DB1DAD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Pb</w:t>
            </w:r>
            <w:r w:rsidRPr="004D0DAA">
              <w:rPr>
                <w:lang w:eastAsia="en-US"/>
              </w:rPr>
              <w:t xml:space="preserve"> : bit (4) &gt;</w:t>
            </w:r>
          </w:p>
          <w:p w14:paraId="0B256A5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356C2A5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TN</w:t>
            </w:r>
            <w:r w:rsidRPr="004D0DAA">
              <w:rPr>
                <w:lang w:eastAsia="en-US"/>
              </w:rPr>
              <w:t xml:space="preserve"> : bit (3) &gt;</w:t>
            </w:r>
          </w:p>
          <w:p w14:paraId="11A257E8"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default to BCCH carrier</w:t>
            </w:r>
          </w:p>
          <w:p w14:paraId="1C130725"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t xml:space="preserve">&lt; </w:t>
            </w:r>
            <w:r w:rsidRPr="004D0DAA">
              <w:rPr>
                <w:b/>
                <w:lang w:eastAsia="en-US"/>
              </w:rPr>
              <w:t>ARFCN</w:t>
            </w:r>
            <w:r w:rsidRPr="004D0DAA">
              <w:rPr>
                <w:lang w:eastAsia="en-US"/>
              </w:rPr>
              <w:t xml:space="preserve"> : bit (10) &gt;</w:t>
            </w:r>
          </w:p>
          <w:p w14:paraId="2105E232" w14:textId="77777777" w:rsidR="00711444" w:rsidRPr="004D0DAA" w:rsidRDefault="00711444" w:rsidP="00AA2A4C">
            <w:pPr>
              <w:pStyle w:val="TAL"/>
              <w:rPr>
                <w:lang w:eastAsia="en-US"/>
              </w:rPr>
            </w:pPr>
            <w:r w:rsidRPr="004D0DAA">
              <w:rPr>
                <w:lang w:eastAsia="en-US"/>
              </w:rPr>
              <w:tab/>
            </w:r>
            <w:r w:rsidRPr="004D0DAA">
              <w:rPr>
                <w:lang w:eastAsia="en-US"/>
              </w:rPr>
              <w:tab/>
              <w:t>| 11</w:t>
            </w:r>
            <w:r w:rsidRPr="004D0DAA">
              <w:rPr>
                <w:lang w:eastAsia="en-US"/>
              </w:rPr>
              <w:tab/>
              <w:t xml:space="preserve">&lt; </w:t>
            </w:r>
            <w:r w:rsidRPr="004D0DAA">
              <w:rPr>
                <w:b/>
                <w:lang w:eastAsia="en-US"/>
              </w:rPr>
              <w:t>MAIO</w:t>
            </w:r>
            <w:r w:rsidRPr="004D0DAA">
              <w:rPr>
                <w:lang w:eastAsia="en-US"/>
              </w:rPr>
              <w:t xml:space="preserve"> : bit (6) &gt; } ;</w:t>
            </w:r>
          </w:p>
        </w:tc>
      </w:tr>
    </w:tbl>
    <w:p w14:paraId="57E599F6" w14:textId="77777777" w:rsidR="00711444" w:rsidRPr="004D0DAA" w:rsidRDefault="00711444" w:rsidP="00711444"/>
    <w:p w14:paraId="1E5046F7" w14:textId="77777777" w:rsidR="00711444" w:rsidRPr="004D0DAA" w:rsidRDefault="00711444" w:rsidP="00711444">
      <w:pPr>
        <w:pStyle w:val="TH"/>
      </w:pPr>
      <w:r w:rsidRPr="004D0DAA">
        <w:t>Table 11.2.25.2: PSI13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86D8F24" w14:textId="77777777" w:rsidTr="00AA2A4C">
        <w:tblPrEx>
          <w:tblCellMar>
            <w:top w:w="0" w:type="dxa"/>
            <w:bottom w:w="0" w:type="dxa"/>
          </w:tblCellMar>
        </w:tblPrEx>
        <w:trPr>
          <w:cantSplit/>
        </w:trPr>
        <w:tc>
          <w:tcPr>
            <w:tcW w:w="9848" w:type="dxa"/>
          </w:tcPr>
          <w:p w14:paraId="08BF27FB" w14:textId="77777777" w:rsidR="00711444" w:rsidRPr="004D0DAA" w:rsidRDefault="00711444" w:rsidP="00AA2A4C">
            <w:pPr>
              <w:rPr>
                <w:b/>
              </w:rPr>
            </w:pPr>
            <w:r w:rsidRPr="004D0DAA">
              <w:rPr>
                <w:b/>
              </w:rPr>
              <w:t>PAGE_MODE</w:t>
            </w:r>
            <w:r w:rsidRPr="004D0DAA">
              <w:t xml:space="preserve"> (2 bit field)</w:t>
            </w:r>
            <w:r w:rsidRPr="004D0DAA">
              <w:br/>
              <w:t>This field describes which type of page mode used, i.e. either normal paging, extended paging, paging reorganization or same as before from the previous page mode. The mobile station shall ignore this field if the message is received on the PACCH. Coding of this field is defined in 3GPP TS 44.018.</w:t>
            </w:r>
          </w:p>
        </w:tc>
      </w:tr>
      <w:tr w:rsidR="00711444" w:rsidRPr="004D0DAA" w14:paraId="77B0F522" w14:textId="77777777" w:rsidTr="00AA2A4C">
        <w:tblPrEx>
          <w:tblCellMar>
            <w:top w:w="0" w:type="dxa"/>
            <w:bottom w:w="0" w:type="dxa"/>
          </w:tblCellMar>
        </w:tblPrEx>
        <w:trPr>
          <w:cantSplit/>
        </w:trPr>
        <w:tc>
          <w:tcPr>
            <w:tcW w:w="9848" w:type="dxa"/>
          </w:tcPr>
          <w:p w14:paraId="0E193272" w14:textId="77777777" w:rsidR="00711444" w:rsidRPr="004D0DAA" w:rsidRDefault="00711444" w:rsidP="00AA2A4C">
            <w:pPr>
              <w:rPr>
                <w:b/>
              </w:rPr>
            </w:pPr>
            <w:r w:rsidRPr="004D0DAA">
              <w:rPr>
                <w:b/>
              </w:rPr>
              <w:t>BCCH_CHANGE_MARK</w:t>
            </w:r>
            <w:r w:rsidRPr="004D0DAA">
              <w:t xml:space="preserve"> (3 bit field)</w:t>
            </w:r>
            <w:r w:rsidRPr="004D0DAA">
              <w:br/>
              <w:t>This field indicates the status of the information on BCCH. The value of this field shall be changed each time the information on BCCH, except for the contents of the SI-13 message, is changed.</w:t>
            </w:r>
          </w:p>
        </w:tc>
      </w:tr>
      <w:tr w:rsidR="00711444" w:rsidRPr="004D0DAA" w14:paraId="2F418023" w14:textId="77777777" w:rsidTr="00AA2A4C">
        <w:tblPrEx>
          <w:tblCellMar>
            <w:top w:w="0" w:type="dxa"/>
            <w:bottom w:w="0" w:type="dxa"/>
          </w:tblCellMar>
        </w:tblPrEx>
        <w:trPr>
          <w:cantSplit/>
        </w:trPr>
        <w:tc>
          <w:tcPr>
            <w:tcW w:w="9848" w:type="dxa"/>
          </w:tcPr>
          <w:p w14:paraId="5AB9229E" w14:textId="77777777" w:rsidR="00711444" w:rsidRPr="004D0DAA" w:rsidRDefault="00711444" w:rsidP="00AA2A4C">
            <w:r w:rsidRPr="004D0DAA">
              <w:rPr>
                <w:b/>
              </w:rPr>
              <w:lastRenderedPageBreak/>
              <w:t>SI_CHANGE_FIELD</w:t>
            </w:r>
            <w:r w:rsidRPr="004D0DAA">
              <w:t xml:space="preserve"> (4 bit field)</w:t>
            </w:r>
            <w:r w:rsidRPr="004D0DAA">
              <w:br/>
              <w:t>This field is the binary representation of which information was changed at the last indication in BCCH_CHANGE_MARK. Range 0 to 15:</w:t>
            </w:r>
          </w:p>
          <w:p w14:paraId="0B71FE9D" w14:textId="77777777" w:rsidR="00711444" w:rsidRPr="004D0DAA" w:rsidRDefault="00711444" w:rsidP="00AA2A4C">
            <w:pPr>
              <w:tabs>
                <w:tab w:val="left" w:pos="851"/>
              </w:tabs>
              <w:rPr>
                <w:b/>
              </w:rPr>
            </w:pPr>
            <w:r w:rsidRPr="004D0DAA">
              <w:t>bit</w:t>
            </w:r>
            <w:r w:rsidRPr="004D0DAA">
              <w:br/>
              <w:t>4 3 2 1</w:t>
            </w:r>
            <w:r w:rsidRPr="004D0DAA">
              <w:br/>
              <w:t>0 0 0 0</w:t>
            </w:r>
            <w:r w:rsidRPr="004D0DAA">
              <w:tab/>
              <w:t xml:space="preserve">Update of </w:t>
            </w:r>
            <w:r w:rsidRPr="004D0DAA">
              <w:rPr>
                <w:i/>
              </w:rPr>
              <w:t>unspecified</w:t>
            </w:r>
            <w:r w:rsidRPr="004D0DAA">
              <w:t xml:space="preserve"> SI message or SI messages;</w:t>
            </w:r>
            <w:r w:rsidRPr="004D0DAA">
              <w:br/>
              <w:t>0 0 0 1</w:t>
            </w:r>
            <w:r w:rsidRPr="004D0DAA">
              <w:tab/>
              <w:t>Update of SI1 message;</w:t>
            </w:r>
            <w:r w:rsidRPr="004D0DAA">
              <w:br/>
              <w:t>0 0 1 0</w:t>
            </w:r>
            <w:r w:rsidRPr="004D0DAA">
              <w:tab/>
              <w:t>Update of SI2, SI2 bis or SI2 ter message or any instance of SI2quater messages;</w:t>
            </w:r>
            <w:r w:rsidRPr="004D0DAA">
              <w:br/>
              <w:t>0 0 1 1</w:t>
            </w:r>
            <w:r w:rsidRPr="004D0DAA">
              <w:tab/>
              <w:t>Update of SI3, SI4, SI7, SI8, SI16 or SI17 message;</w:t>
            </w:r>
            <w:r w:rsidRPr="004D0DAA">
              <w:br/>
              <w:t>0 1 0 0</w:t>
            </w:r>
            <w:r w:rsidRPr="004D0DAA">
              <w:tab/>
              <w:t>Update of SI9 message;</w:t>
            </w:r>
            <w:r w:rsidRPr="004D0DAA">
              <w:br/>
              <w:t>0 1 0 1</w:t>
            </w:r>
            <w:r w:rsidRPr="004D0DAA">
              <w:tab/>
              <w:t>Update of SI18 or SI20 message;</w:t>
            </w:r>
            <w:r w:rsidRPr="004D0DAA">
              <w:br/>
              <w:t>0 1 1 0</w:t>
            </w:r>
            <w:r w:rsidRPr="004D0DAA">
              <w:tab/>
              <w:t>Update of SI19 message;0 1 1 1</w:t>
            </w:r>
            <w:r w:rsidRPr="004D0DAA">
              <w:tab/>
              <w:t>Update of SI15 message;</w:t>
            </w:r>
            <w:r w:rsidRPr="004D0DAA">
              <w:br/>
              <w:t>1 0 0 0</w:t>
            </w:r>
            <w:r w:rsidRPr="004D0DAA">
              <w:tab/>
              <w:t>Update of SI2n message;</w:t>
            </w:r>
            <w:r w:rsidRPr="004D0DAA">
              <w:br/>
              <w:t>1 0 0 1</w:t>
            </w:r>
            <w:r w:rsidRPr="004D0DAA">
              <w:tab/>
              <w:t>Update of SI22 or SI23 message;</w:t>
            </w:r>
            <w:r w:rsidRPr="004D0DAA">
              <w:br/>
              <w:t>All other values shall be interpreted as 'update of unknown SI message type'.</w:t>
            </w:r>
          </w:p>
        </w:tc>
      </w:tr>
      <w:tr w:rsidR="00711444" w:rsidRPr="004D0DAA" w14:paraId="15801947" w14:textId="77777777" w:rsidTr="00AA2A4C">
        <w:tblPrEx>
          <w:tblCellMar>
            <w:top w:w="0" w:type="dxa"/>
            <w:bottom w:w="0" w:type="dxa"/>
          </w:tblCellMar>
        </w:tblPrEx>
        <w:trPr>
          <w:cantSplit/>
        </w:trPr>
        <w:tc>
          <w:tcPr>
            <w:tcW w:w="9848" w:type="dxa"/>
          </w:tcPr>
          <w:p w14:paraId="7EDD93E8" w14:textId="77777777" w:rsidR="00711444" w:rsidRPr="004D0DAA" w:rsidRDefault="00711444" w:rsidP="00AA2A4C">
            <w:pPr>
              <w:rPr>
                <w:b/>
              </w:rPr>
            </w:pPr>
            <w:r w:rsidRPr="004D0DAA">
              <w:rPr>
                <w:b/>
              </w:rPr>
              <w:t>SI13_CHANGE_MARK</w:t>
            </w:r>
            <w:r w:rsidRPr="004D0DAA">
              <w:t xml:space="preserve"> (2 bit field)</w:t>
            </w:r>
            <w:r w:rsidRPr="004D0DAA">
              <w:br/>
              <w:t>This field is the binary representation of the SI change mark identifying the GPRS Mobile Allocation provided in SI13 and PSI13 messages.</w:t>
            </w:r>
            <w:r w:rsidRPr="004D0DAA">
              <w:br/>
              <w:t>Range: 0 to 3.</w:t>
            </w:r>
          </w:p>
        </w:tc>
      </w:tr>
      <w:tr w:rsidR="00711444" w:rsidRPr="004D0DAA" w14:paraId="083EB9CE" w14:textId="77777777" w:rsidTr="00AA2A4C">
        <w:tblPrEx>
          <w:tblCellMar>
            <w:top w:w="0" w:type="dxa"/>
            <w:bottom w:w="0" w:type="dxa"/>
          </w:tblCellMar>
        </w:tblPrEx>
        <w:trPr>
          <w:cantSplit/>
        </w:trPr>
        <w:tc>
          <w:tcPr>
            <w:tcW w:w="9848" w:type="dxa"/>
          </w:tcPr>
          <w:p w14:paraId="6E568524" w14:textId="77777777" w:rsidR="00711444" w:rsidRPr="004D0DAA" w:rsidRDefault="00711444" w:rsidP="00AA2A4C">
            <w:pPr>
              <w:rPr>
                <w:b/>
              </w:rPr>
            </w:pPr>
            <w:r w:rsidRPr="004D0DAA">
              <w:rPr>
                <w:b/>
              </w:rPr>
              <w:t>GPRS Mobile Allocation</w:t>
            </w:r>
            <w:r w:rsidRPr="004D0DAA">
              <w:t xml:space="preserve"> (information element)</w:t>
            </w:r>
            <w:r w:rsidRPr="004D0DAA">
              <w:rPr>
                <w:b/>
              </w:rPr>
              <w:br/>
            </w:r>
            <w:r w:rsidRPr="004D0DAA">
              <w:t>This information element is the representation of the GPRS mobile allocation provided in SI13 and PSI13 messages. It is identified by MA_NUMBER = 14 when referenced from a packet assignment message. When used in SI13 or PSI13 message, this information element shall refer to the cell allocation defined for the cell in SI1 or PSI2.</w:t>
            </w:r>
          </w:p>
        </w:tc>
      </w:tr>
      <w:tr w:rsidR="00711444" w:rsidRPr="004D0DAA" w14:paraId="42500402" w14:textId="77777777" w:rsidTr="00AA2A4C">
        <w:tblPrEx>
          <w:tblCellMar>
            <w:top w:w="0" w:type="dxa"/>
            <w:bottom w:w="0" w:type="dxa"/>
          </w:tblCellMar>
        </w:tblPrEx>
        <w:trPr>
          <w:cantSplit/>
        </w:trPr>
        <w:tc>
          <w:tcPr>
            <w:tcW w:w="9848" w:type="dxa"/>
          </w:tcPr>
          <w:p w14:paraId="696AD3E6" w14:textId="77777777" w:rsidR="00711444" w:rsidRPr="004D0DAA" w:rsidRDefault="00711444" w:rsidP="00AA2A4C">
            <w:pPr>
              <w:rPr>
                <w:b/>
              </w:rPr>
            </w:pPr>
            <w:r w:rsidRPr="004D0DAA">
              <w:rPr>
                <w:b/>
              </w:rPr>
              <w:t>RAC</w:t>
            </w:r>
            <w:r w:rsidRPr="004D0DAA">
              <w:t xml:space="preserve"> (8 bit field)</w:t>
            </w:r>
            <w:r w:rsidRPr="004D0DAA">
              <w:br/>
              <w:t>This field is the binary representation of the Routing Area Code, see 3GPP TS 23.003.</w:t>
            </w:r>
          </w:p>
        </w:tc>
      </w:tr>
      <w:tr w:rsidR="00711444" w:rsidRPr="004D0DAA" w14:paraId="123F8D01" w14:textId="77777777" w:rsidTr="00AA2A4C">
        <w:tblPrEx>
          <w:tblCellMar>
            <w:top w:w="0" w:type="dxa"/>
            <w:bottom w:w="0" w:type="dxa"/>
          </w:tblCellMar>
        </w:tblPrEx>
        <w:trPr>
          <w:cantSplit/>
        </w:trPr>
        <w:tc>
          <w:tcPr>
            <w:tcW w:w="9848" w:type="dxa"/>
          </w:tcPr>
          <w:p w14:paraId="12B69852" w14:textId="77777777" w:rsidR="00711444" w:rsidRPr="004D0DAA" w:rsidRDefault="00711444" w:rsidP="00AA2A4C">
            <w:r w:rsidRPr="004D0DAA">
              <w:rPr>
                <w:b/>
              </w:rPr>
              <w:t>SPGC_CCCH_SUP</w:t>
            </w:r>
            <w:r w:rsidRPr="004D0DAA">
              <w:t xml:space="preserve"> (bit field)</w:t>
            </w:r>
            <w:r w:rsidRPr="004D0DAA">
              <w:br/>
              <w:t>This field indicates the support of the parameter SPLIT_PG_CYCLE on CCCH from the network side:</w:t>
            </w:r>
          </w:p>
          <w:p w14:paraId="01FE423B" w14:textId="77777777" w:rsidR="00711444" w:rsidRPr="004D0DAA" w:rsidRDefault="00711444" w:rsidP="00AA2A4C">
            <w:pPr>
              <w:rPr>
                <w:b/>
              </w:rPr>
            </w:pPr>
            <w:r w:rsidRPr="004D0DAA">
              <w:t>0</w:t>
            </w:r>
            <w:r w:rsidRPr="004D0DAA">
              <w:tab/>
              <w:t>SPLIT_PG_CYCLE is not supported on CCCH in this cell;</w:t>
            </w:r>
            <w:r w:rsidRPr="004D0DAA">
              <w:br/>
              <w:t>1</w:t>
            </w:r>
            <w:r w:rsidRPr="004D0DAA">
              <w:tab/>
              <w:t>SPLIT_PG_CYCLE is supported on CCCH in this cell.</w:t>
            </w:r>
          </w:p>
        </w:tc>
      </w:tr>
      <w:tr w:rsidR="00711444" w:rsidRPr="004D0DAA" w14:paraId="30F02A59" w14:textId="77777777" w:rsidTr="00AA2A4C">
        <w:tblPrEx>
          <w:tblCellMar>
            <w:top w:w="0" w:type="dxa"/>
            <w:bottom w:w="0" w:type="dxa"/>
          </w:tblCellMar>
        </w:tblPrEx>
        <w:trPr>
          <w:cantSplit/>
        </w:trPr>
        <w:tc>
          <w:tcPr>
            <w:tcW w:w="9848" w:type="dxa"/>
          </w:tcPr>
          <w:p w14:paraId="2B11225A" w14:textId="77777777" w:rsidR="00711444" w:rsidRPr="004D0DAA" w:rsidRDefault="00711444" w:rsidP="00AA2A4C">
            <w:r w:rsidRPr="004D0DAA">
              <w:t xml:space="preserve">The </w:t>
            </w:r>
            <w:r w:rsidRPr="004D0DAA">
              <w:rPr>
                <w:b/>
              </w:rPr>
              <w:t>PRIORITY_ACCESS_THR</w:t>
            </w:r>
            <w:r w:rsidRPr="004D0DAA">
              <w:t xml:space="preserve"> field (3 bit) is the binary representation of the parameter PRIORITY_ACCESS_THR:</w:t>
            </w:r>
          </w:p>
          <w:p w14:paraId="4B5FB002" w14:textId="77777777" w:rsidR="00711444" w:rsidRPr="004D0DAA" w:rsidRDefault="00711444" w:rsidP="00AA2A4C">
            <w:pPr>
              <w:tabs>
                <w:tab w:val="left" w:pos="851"/>
              </w:tabs>
              <w:rPr>
                <w:b/>
              </w:rPr>
            </w:pPr>
            <w:r w:rsidRPr="004D0DAA">
              <w:t>bit</w:t>
            </w:r>
            <w:r w:rsidRPr="004D0DAA">
              <w:br/>
              <w:t>3 2 1</w:t>
            </w:r>
            <w:r w:rsidRPr="004D0DAA">
              <w:br/>
              <w:t>0 0 0</w:t>
            </w:r>
            <w:r w:rsidRPr="004D0DAA">
              <w:tab/>
              <w:t>packet access is not allowed in the cell;</w:t>
            </w:r>
            <w:r w:rsidRPr="004D0DAA">
              <w:br/>
              <w:t>0 0 1</w:t>
            </w:r>
            <w:r w:rsidRPr="004D0DAA">
              <w:tab/>
              <w:t>spare, shall be interpreted as '000' (packet access not allowed);</w:t>
            </w:r>
            <w:r w:rsidRPr="004D0DAA">
              <w:br/>
              <w:t>0 1 0</w:t>
            </w:r>
            <w:r w:rsidRPr="004D0DAA">
              <w:tab/>
              <w:t>spare, shall be interpreted as '000' (packet access not allowed);</w:t>
            </w:r>
            <w:r w:rsidRPr="004D0DAA">
              <w:br/>
              <w:t>0 1 1</w:t>
            </w:r>
            <w:r w:rsidRPr="004D0DAA">
              <w:tab/>
              <w:t>packet access is allowed for priority level 1;</w:t>
            </w:r>
            <w:r w:rsidRPr="004D0DAA">
              <w:br/>
              <w:t>1 0 0</w:t>
            </w:r>
            <w:r w:rsidRPr="004D0DAA">
              <w:tab/>
              <w:t>packet access is allowed for priority level 1 to 2;</w:t>
            </w:r>
            <w:r w:rsidRPr="004D0DAA">
              <w:br/>
              <w:t>1 0 1</w:t>
            </w:r>
            <w:r w:rsidRPr="004D0DAA">
              <w:tab/>
              <w:t>packet access is allowed for priority level 1 to 3;</w:t>
            </w:r>
            <w:r w:rsidRPr="004D0DAA">
              <w:br/>
              <w:t>1 1 0</w:t>
            </w:r>
            <w:r w:rsidRPr="004D0DAA">
              <w:tab/>
              <w:t>packet access is allowed for priority level 1 to 4;</w:t>
            </w:r>
            <w:r w:rsidRPr="004D0DAA">
              <w:br/>
              <w:t>1 1 1</w:t>
            </w:r>
            <w:r w:rsidRPr="004D0DAA">
              <w:tab/>
              <w:t>spare, shall be interpreted as '110' (packet access allowed).</w:t>
            </w:r>
          </w:p>
        </w:tc>
      </w:tr>
      <w:tr w:rsidR="00711444" w:rsidRPr="004D0DAA" w14:paraId="28B4A9F7" w14:textId="77777777" w:rsidTr="00AA2A4C">
        <w:tblPrEx>
          <w:tblCellMar>
            <w:top w:w="0" w:type="dxa"/>
            <w:bottom w:w="0" w:type="dxa"/>
          </w:tblCellMar>
        </w:tblPrEx>
        <w:trPr>
          <w:cantSplit/>
        </w:trPr>
        <w:tc>
          <w:tcPr>
            <w:tcW w:w="9848" w:type="dxa"/>
          </w:tcPr>
          <w:p w14:paraId="08956836" w14:textId="77777777" w:rsidR="00711444" w:rsidRPr="004D0DAA" w:rsidRDefault="00711444" w:rsidP="00AA2A4C">
            <w:r w:rsidRPr="004D0DAA">
              <w:t xml:space="preserve">The </w:t>
            </w:r>
            <w:r w:rsidRPr="004D0DAA">
              <w:rPr>
                <w:b/>
              </w:rPr>
              <w:t>NETWORK_CONTROL_ORDER</w:t>
            </w:r>
            <w:r w:rsidRPr="004D0DAA">
              <w:t xml:space="preserve"> field (2 bit) is the binary representation of the parameter NETWORK_CONTROL_ORDER, see 3GPP TS 45.008:</w:t>
            </w:r>
          </w:p>
          <w:p w14:paraId="66CB84DB" w14:textId="77777777" w:rsidR="00711444" w:rsidRPr="004D0DAA" w:rsidRDefault="00711444" w:rsidP="00AA2A4C">
            <w:pPr>
              <w:tabs>
                <w:tab w:val="left" w:pos="567"/>
              </w:tabs>
              <w:rPr>
                <w:b/>
              </w:rPr>
            </w:pPr>
            <w:r w:rsidRPr="004D0DAA">
              <w:t>bit</w:t>
            </w:r>
            <w:r w:rsidRPr="004D0DAA">
              <w:br/>
              <w:t>2 1</w:t>
            </w:r>
            <w:r w:rsidRPr="004D0DAA">
              <w:br/>
              <w:t>0 0</w:t>
            </w:r>
            <w:r w:rsidRPr="004D0DAA">
              <w:tab/>
              <w:t>NC0:</w:t>
            </w:r>
            <w:r w:rsidRPr="004D0DAA">
              <w:tab/>
              <w:t>MS controlled cell re-selection, no measurement reporting.</w:t>
            </w:r>
            <w:r w:rsidRPr="004D0DAA">
              <w:br/>
              <w:t>0 1</w:t>
            </w:r>
            <w:r w:rsidRPr="004D0DAA">
              <w:tab/>
              <w:t>NC1:</w:t>
            </w:r>
            <w:r w:rsidRPr="004D0DAA">
              <w:tab/>
              <w:t>MS controlled cell re-selection, MS sends measurement reports.</w:t>
            </w:r>
            <w:r w:rsidRPr="004D0DAA">
              <w:br/>
              <w:t>1 0</w:t>
            </w:r>
            <w:r w:rsidRPr="004D0DAA">
              <w:tab/>
              <w:t>NC2:</w:t>
            </w:r>
            <w:r w:rsidRPr="004D0DAA">
              <w:tab/>
              <w:t>Network controlled cell re-selection, MS sends measurement reports.</w:t>
            </w:r>
            <w:r w:rsidRPr="004D0DAA">
              <w:br/>
              <w:t>1 1</w:t>
            </w:r>
            <w:r w:rsidRPr="004D0DAA">
              <w:tab/>
              <w:t>Reserved for future use, interpreted as NC0 by mobile station.</w:t>
            </w:r>
          </w:p>
        </w:tc>
      </w:tr>
      <w:tr w:rsidR="00711444" w:rsidRPr="004D0DAA" w14:paraId="4D36548B" w14:textId="77777777" w:rsidTr="00AA2A4C">
        <w:tblPrEx>
          <w:tblCellMar>
            <w:top w:w="0" w:type="dxa"/>
            <w:bottom w:w="0" w:type="dxa"/>
          </w:tblCellMar>
        </w:tblPrEx>
        <w:trPr>
          <w:cantSplit/>
        </w:trPr>
        <w:tc>
          <w:tcPr>
            <w:tcW w:w="9848" w:type="dxa"/>
          </w:tcPr>
          <w:p w14:paraId="35E92B7E" w14:textId="77777777" w:rsidR="00711444" w:rsidRPr="004D0DAA" w:rsidRDefault="00711444" w:rsidP="00AA2A4C">
            <w:pPr>
              <w:rPr>
                <w:b/>
              </w:rPr>
            </w:pPr>
            <w:r w:rsidRPr="004D0DAA">
              <w:rPr>
                <w:b/>
              </w:rPr>
              <w:t>GPRS Cell Options</w:t>
            </w:r>
            <w:r w:rsidRPr="004D0DAA">
              <w:t xml:space="preserve"> (information element)</w:t>
            </w:r>
            <w:r w:rsidRPr="004D0DAA">
              <w:br/>
              <w:t xml:space="preserve">The </w:t>
            </w:r>
            <w:r w:rsidRPr="004D0DAA">
              <w:rPr>
                <w:i/>
              </w:rPr>
              <w:t>GPRS Cell Option</w:t>
            </w:r>
            <w:r w:rsidRPr="004D0DAA">
              <w:t xml:space="preserve"> information element is defined in sub-clause 12.24.</w:t>
            </w:r>
          </w:p>
        </w:tc>
      </w:tr>
      <w:tr w:rsidR="00711444" w:rsidRPr="004D0DAA" w14:paraId="4F49483E" w14:textId="77777777" w:rsidTr="00AA2A4C">
        <w:tblPrEx>
          <w:tblCellMar>
            <w:top w:w="0" w:type="dxa"/>
            <w:bottom w:w="0" w:type="dxa"/>
          </w:tblCellMar>
        </w:tblPrEx>
        <w:trPr>
          <w:cantSplit/>
        </w:trPr>
        <w:tc>
          <w:tcPr>
            <w:tcW w:w="9848" w:type="dxa"/>
          </w:tcPr>
          <w:p w14:paraId="3856352F" w14:textId="77777777" w:rsidR="00711444" w:rsidRPr="004D0DAA" w:rsidRDefault="00711444" w:rsidP="00AA2A4C">
            <w:r w:rsidRPr="004D0DAA">
              <w:rPr>
                <w:b/>
              </w:rPr>
              <w:lastRenderedPageBreak/>
              <w:t xml:space="preserve">PSI1_REPEAT_PERIOD </w:t>
            </w:r>
            <w:r w:rsidRPr="004D0DAA">
              <w:t xml:space="preserve">(4 bit field) </w:t>
            </w:r>
            <w:r w:rsidRPr="004D0DAA">
              <w:br/>
              <w:t>This field is the representation of the PSI1 repeat period. The field is coded according to the following table:</w:t>
            </w:r>
          </w:p>
          <w:p w14:paraId="5E431A00" w14:textId="77777777" w:rsidR="00711444" w:rsidRPr="004D0DAA" w:rsidRDefault="00711444" w:rsidP="00AA2A4C">
            <w:pPr>
              <w:tabs>
                <w:tab w:val="left" w:pos="993"/>
              </w:tabs>
              <w:rPr>
                <w:b/>
              </w:rPr>
            </w:pPr>
            <w:r w:rsidRPr="004D0DAA">
              <w:t>bit</w:t>
            </w:r>
            <w:r w:rsidRPr="004D0DAA">
              <w:br/>
              <w:t>4 3 2 1</w:t>
            </w:r>
            <w:r w:rsidRPr="004D0DAA">
              <w:br/>
              <w:t>0 0 0 0</w:t>
            </w:r>
            <w:r w:rsidRPr="004D0DAA">
              <w:tab/>
              <w:t>PSI1 repeat period = 1 multiframe</w:t>
            </w:r>
            <w:r w:rsidRPr="004D0DAA">
              <w:br/>
              <w:t>0 0 0 1</w:t>
            </w:r>
            <w:r w:rsidRPr="004D0DAA">
              <w:tab/>
              <w:t>PSI1 repeat period = 2 multiframes</w:t>
            </w:r>
            <w:r w:rsidRPr="004D0DAA">
              <w:br/>
              <w:t>:</w:t>
            </w:r>
            <w:r w:rsidRPr="004D0DAA">
              <w:br/>
              <w:t>1 1 1 1</w:t>
            </w:r>
            <w:r w:rsidRPr="004D0DAA">
              <w:tab/>
              <w:t>PSI1 repeat period = 16 multiframes</w:t>
            </w:r>
          </w:p>
        </w:tc>
      </w:tr>
      <w:tr w:rsidR="00711444" w:rsidRPr="004D0DAA" w14:paraId="4E93F8EE" w14:textId="77777777" w:rsidTr="00AA2A4C">
        <w:tblPrEx>
          <w:tblCellMar>
            <w:top w:w="0" w:type="dxa"/>
            <w:bottom w:w="0" w:type="dxa"/>
          </w:tblCellMar>
        </w:tblPrEx>
        <w:trPr>
          <w:cantSplit/>
        </w:trPr>
        <w:tc>
          <w:tcPr>
            <w:tcW w:w="9848" w:type="dxa"/>
          </w:tcPr>
          <w:p w14:paraId="49654EFC" w14:textId="77777777" w:rsidR="00711444" w:rsidRPr="004D0DAA" w:rsidRDefault="00711444" w:rsidP="00AA2A4C">
            <w:r w:rsidRPr="004D0DAA">
              <w:rPr>
                <w:b/>
              </w:rPr>
              <w:t>GPRS Power Control Parameters</w:t>
            </w:r>
            <w:r w:rsidRPr="004D0DAA">
              <w:rPr>
                <w:bCs/>
              </w:rPr>
              <w:t xml:space="preserve"> </w:t>
            </w:r>
            <w:r w:rsidRPr="004D0DAA">
              <w:t>(information element)</w:t>
            </w:r>
            <w:r w:rsidRPr="004D0DAA">
              <w:rPr>
                <w:b/>
              </w:rPr>
              <w:br/>
            </w:r>
            <w:r w:rsidRPr="004D0DAA">
              <w:t xml:space="preserve">The </w:t>
            </w:r>
            <w:r w:rsidRPr="004D0DAA">
              <w:rPr>
                <w:bCs/>
                <w:i/>
                <w:iCs/>
              </w:rPr>
              <w:t>GPRS Power Control Parameters</w:t>
            </w:r>
            <w:r w:rsidRPr="004D0DAA">
              <w:t xml:space="preserve"> information element is defined in sub-clause 12.09a.</w:t>
            </w:r>
          </w:p>
        </w:tc>
      </w:tr>
      <w:tr w:rsidR="00711444" w:rsidRPr="004D0DAA" w14:paraId="28E65884" w14:textId="77777777" w:rsidTr="00AA2A4C">
        <w:tblPrEx>
          <w:tblCellMar>
            <w:top w:w="0" w:type="dxa"/>
            <w:bottom w:w="0" w:type="dxa"/>
          </w:tblCellMar>
        </w:tblPrEx>
        <w:trPr>
          <w:cantSplit/>
        </w:trPr>
        <w:tc>
          <w:tcPr>
            <w:tcW w:w="9848" w:type="dxa"/>
          </w:tcPr>
          <w:p w14:paraId="1DC1A512" w14:textId="77777777" w:rsidR="00711444" w:rsidRPr="004D0DAA" w:rsidRDefault="00711444" w:rsidP="00AA2A4C">
            <w:pPr>
              <w:rPr>
                <w:b/>
              </w:rPr>
            </w:pPr>
            <w:r w:rsidRPr="004D0DAA">
              <w:rPr>
                <w:b/>
                <w:i/>
              </w:rPr>
              <w:t>PBCCH Description struct</w:t>
            </w:r>
            <w:r w:rsidRPr="004D0DAA">
              <w:br/>
              <w:t>The PBCCH description struct provides the channel description for the PBCCH. The frequency description for the PBCCH may be specified by an ARFCN (non-hopping radio frequency channel) or a MAIO (hopping radio frequency channel) field. In case of a hopping radio frequency channel, the PBCCH shall use the GPRS mobile allocation specified in this message. If none of the ARFCN or MAIO fields are present, the PBCCH shall use the BCCH carrier.</w:t>
            </w:r>
          </w:p>
        </w:tc>
      </w:tr>
      <w:tr w:rsidR="00711444" w:rsidRPr="004D0DAA" w14:paraId="1E6918D5" w14:textId="77777777" w:rsidTr="00AA2A4C">
        <w:tblPrEx>
          <w:tblCellMar>
            <w:top w:w="0" w:type="dxa"/>
            <w:bottom w:w="0" w:type="dxa"/>
          </w:tblCellMar>
        </w:tblPrEx>
        <w:trPr>
          <w:cantSplit/>
        </w:trPr>
        <w:tc>
          <w:tcPr>
            <w:tcW w:w="9848" w:type="dxa"/>
          </w:tcPr>
          <w:p w14:paraId="27DE838A" w14:textId="77777777" w:rsidR="00711444" w:rsidRPr="004D0DAA" w:rsidRDefault="00711444" w:rsidP="00AA2A4C">
            <w:r w:rsidRPr="004D0DAA">
              <w:rPr>
                <w:b/>
              </w:rPr>
              <w:t>Pb</w:t>
            </w:r>
            <w:r w:rsidRPr="004D0DAA">
              <w:t xml:space="preserve"> (4 bit field)</w:t>
            </w:r>
            <w:r w:rsidRPr="004D0DAA">
              <w:br/>
              <w:t>For encoding and description see the Global Power Control Parameters IE.</w:t>
            </w:r>
          </w:p>
        </w:tc>
      </w:tr>
      <w:tr w:rsidR="00711444" w:rsidRPr="004D0DAA" w14:paraId="7874C857" w14:textId="77777777" w:rsidTr="00AA2A4C">
        <w:tblPrEx>
          <w:tblCellMar>
            <w:top w:w="0" w:type="dxa"/>
            <w:bottom w:w="0" w:type="dxa"/>
          </w:tblCellMar>
        </w:tblPrEx>
        <w:trPr>
          <w:cantSplit/>
        </w:trPr>
        <w:tc>
          <w:tcPr>
            <w:tcW w:w="9848" w:type="dxa"/>
          </w:tcPr>
          <w:p w14:paraId="40EA52BC" w14:textId="77777777" w:rsidR="00711444" w:rsidRPr="004D0DAA" w:rsidRDefault="00711444" w:rsidP="00AA2A4C">
            <w:r w:rsidRPr="004D0DAA">
              <w:rPr>
                <w:b/>
              </w:rPr>
              <w:t>TSC</w:t>
            </w:r>
            <w:r w:rsidRPr="004D0DAA">
              <w:t xml:space="preserve"> (3 bit field)</w:t>
            </w:r>
            <w:r w:rsidRPr="004D0DAA">
              <w:br/>
              <w:t>This field is the binary representation of the training sequence code used for PBCCH.</w:t>
            </w:r>
            <w:r w:rsidRPr="004D0DAA">
              <w:br/>
              <w:t>Range: 0 to 7.</w:t>
            </w:r>
          </w:p>
        </w:tc>
      </w:tr>
      <w:tr w:rsidR="00711444" w:rsidRPr="004D0DAA" w14:paraId="53B7CAE0" w14:textId="77777777" w:rsidTr="00AA2A4C">
        <w:tblPrEx>
          <w:tblCellMar>
            <w:top w:w="0" w:type="dxa"/>
            <w:bottom w:w="0" w:type="dxa"/>
          </w:tblCellMar>
        </w:tblPrEx>
        <w:trPr>
          <w:cantSplit/>
        </w:trPr>
        <w:tc>
          <w:tcPr>
            <w:tcW w:w="9848" w:type="dxa"/>
          </w:tcPr>
          <w:p w14:paraId="3336ADD6" w14:textId="77777777" w:rsidR="00711444" w:rsidRPr="004D0DAA" w:rsidRDefault="00711444" w:rsidP="00AA2A4C">
            <w:r w:rsidRPr="004D0DAA">
              <w:rPr>
                <w:b/>
              </w:rPr>
              <w:t>TN</w:t>
            </w:r>
            <w:r w:rsidRPr="004D0DAA">
              <w:t xml:space="preserve"> (3 bit field)</w:t>
            </w:r>
            <w:r w:rsidRPr="004D0DAA">
              <w:br/>
              <w:t>This field is the binary representation of the timeslot number for the PBCCH.</w:t>
            </w:r>
            <w:r w:rsidRPr="004D0DAA">
              <w:br/>
              <w:t>Range: 0 to 7.</w:t>
            </w:r>
          </w:p>
        </w:tc>
      </w:tr>
      <w:tr w:rsidR="00711444" w:rsidRPr="004D0DAA" w14:paraId="0085A5AF" w14:textId="77777777" w:rsidTr="00AA2A4C">
        <w:tblPrEx>
          <w:tblCellMar>
            <w:top w:w="0" w:type="dxa"/>
            <w:bottom w:w="0" w:type="dxa"/>
          </w:tblCellMar>
        </w:tblPrEx>
        <w:trPr>
          <w:cantSplit/>
        </w:trPr>
        <w:tc>
          <w:tcPr>
            <w:tcW w:w="9848" w:type="dxa"/>
          </w:tcPr>
          <w:p w14:paraId="4CEECEF0" w14:textId="77777777" w:rsidR="00711444" w:rsidRPr="004D0DAA" w:rsidRDefault="00711444" w:rsidP="00AA2A4C">
            <w:r w:rsidRPr="004D0DAA">
              <w:rPr>
                <w:b/>
              </w:rPr>
              <w:t>ARFCN</w:t>
            </w:r>
            <w:r w:rsidRPr="004D0DAA">
              <w:t xml:space="preserve"> (10 bit field)</w:t>
            </w:r>
            <w:r w:rsidRPr="004D0DAA">
              <w:br/>
              <w:t>This field is the binary representation of the absolute RF channel number.</w:t>
            </w:r>
            <w:r w:rsidRPr="004D0DAA">
              <w:br/>
              <w:t>Range: 0 to 1023.</w:t>
            </w:r>
          </w:p>
        </w:tc>
      </w:tr>
      <w:tr w:rsidR="00711444" w:rsidRPr="004D0DAA" w14:paraId="6B5A6A56" w14:textId="77777777" w:rsidTr="00AA2A4C">
        <w:tblPrEx>
          <w:tblCellMar>
            <w:top w:w="0" w:type="dxa"/>
            <w:bottom w:w="0" w:type="dxa"/>
          </w:tblCellMar>
        </w:tblPrEx>
        <w:trPr>
          <w:cantSplit/>
        </w:trPr>
        <w:tc>
          <w:tcPr>
            <w:tcW w:w="9848" w:type="dxa"/>
          </w:tcPr>
          <w:p w14:paraId="2231CB8B" w14:textId="77777777" w:rsidR="00711444" w:rsidRPr="004D0DAA" w:rsidRDefault="00711444" w:rsidP="00AA2A4C">
            <w:r w:rsidRPr="004D0DAA">
              <w:rPr>
                <w:b/>
              </w:rPr>
              <w:t>MAIO</w:t>
            </w:r>
            <w:r w:rsidRPr="004D0DAA">
              <w:t xml:space="preserve"> (6 bit field)</w:t>
            </w:r>
            <w:r w:rsidRPr="004D0DAA">
              <w:br/>
              <w:t>This field is the binary representation of the mobile allocation index offset.</w:t>
            </w:r>
            <w:r w:rsidRPr="004D0DAA">
              <w:br/>
              <w:t>Range: 0 to 63.</w:t>
            </w:r>
          </w:p>
        </w:tc>
      </w:tr>
      <w:tr w:rsidR="00711444" w:rsidRPr="004D0DAA" w14:paraId="6A6F93F4" w14:textId="77777777" w:rsidTr="00AA2A4C">
        <w:tblPrEx>
          <w:tblCellMar>
            <w:top w:w="0" w:type="dxa"/>
            <w:bottom w:w="0" w:type="dxa"/>
          </w:tblCellMar>
        </w:tblPrEx>
        <w:trPr>
          <w:cantSplit/>
        </w:trPr>
        <w:tc>
          <w:tcPr>
            <w:tcW w:w="9848" w:type="dxa"/>
          </w:tcPr>
          <w:p w14:paraId="06AE5E98" w14:textId="77777777" w:rsidR="00711444" w:rsidRPr="004D0DAA" w:rsidRDefault="00711444" w:rsidP="00AA2A4C">
            <w:pPr>
              <w:rPr>
                <w:b/>
              </w:rPr>
            </w:pPr>
            <w:r w:rsidRPr="004D0DAA">
              <w:rPr>
                <w:b/>
              </w:rPr>
              <w:t>SGSNR</w:t>
            </w:r>
            <w:r w:rsidRPr="004D0DAA">
              <w:t xml:space="preserve"> (bit field)</w:t>
            </w:r>
            <w:r w:rsidRPr="004D0DAA">
              <w:br/>
              <w:t>This field indicates the Release of the SGSN:</w:t>
            </w:r>
            <w:r w:rsidRPr="004D0DAA">
              <w:br/>
              <w:t>0</w:t>
            </w:r>
            <w:r w:rsidRPr="004D0DAA">
              <w:tab/>
              <w:t>SGSN is Release '98 or older</w:t>
            </w:r>
            <w:r w:rsidRPr="004D0DAA">
              <w:br/>
              <w:t>1</w:t>
            </w:r>
            <w:r w:rsidRPr="004D0DAA">
              <w:tab/>
              <w:t xml:space="preserve">SGSN is Release '99 onwards. </w:t>
            </w:r>
          </w:p>
        </w:tc>
      </w:tr>
      <w:tr w:rsidR="00711444" w:rsidRPr="004D0DAA" w14:paraId="7528D137" w14:textId="77777777" w:rsidTr="00AA2A4C">
        <w:tblPrEx>
          <w:tblCellMar>
            <w:top w:w="0" w:type="dxa"/>
            <w:bottom w:w="0" w:type="dxa"/>
          </w:tblCellMar>
        </w:tblPrEx>
        <w:trPr>
          <w:cantSplit/>
        </w:trPr>
        <w:tc>
          <w:tcPr>
            <w:tcW w:w="9848" w:type="dxa"/>
          </w:tcPr>
          <w:p w14:paraId="558BF452" w14:textId="77777777" w:rsidR="00711444" w:rsidRPr="004D0DAA" w:rsidRDefault="00711444" w:rsidP="00AA2A4C">
            <w:pPr>
              <w:rPr>
                <w:b/>
              </w:rPr>
            </w:pPr>
            <w:r w:rsidRPr="004D0DAA">
              <w:rPr>
                <w:b/>
              </w:rPr>
              <w:t>SI_STATUS_IND</w:t>
            </w:r>
            <w:r w:rsidRPr="004D0DAA">
              <w:t xml:space="preserve"> (1 bit field):</w:t>
            </w:r>
            <w:r w:rsidRPr="004D0DAA">
              <w:br/>
              <w:t>0</w:t>
            </w:r>
            <w:r w:rsidRPr="004D0DAA">
              <w:tab/>
              <w:t>The network does not support the PACKET SI STATUS message;</w:t>
            </w:r>
            <w:r w:rsidRPr="004D0DAA">
              <w:br/>
              <w:t>1</w:t>
            </w:r>
            <w:r w:rsidRPr="004D0DAA">
              <w:tab/>
              <w:t>The network supports the PACKET SI STATUS message.</w:t>
            </w:r>
          </w:p>
        </w:tc>
      </w:tr>
      <w:tr w:rsidR="00711444" w:rsidRPr="004D0DAA" w14:paraId="37CFC371" w14:textId="77777777" w:rsidTr="00AA2A4C">
        <w:tblPrEx>
          <w:tblCellMar>
            <w:top w:w="0" w:type="dxa"/>
            <w:bottom w:w="0" w:type="dxa"/>
          </w:tblCellMar>
        </w:tblPrEx>
        <w:trPr>
          <w:cantSplit/>
        </w:trPr>
        <w:tc>
          <w:tcPr>
            <w:tcW w:w="9848" w:type="dxa"/>
          </w:tcPr>
          <w:p w14:paraId="39EF2C9B" w14:textId="77777777" w:rsidR="00711444" w:rsidRPr="004D0DAA" w:rsidRDefault="00711444" w:rsidP="00AA2A4C">
            <w:r w:rsidRPr="004D0DAA">
              <w:rPr>
                <w:b/>
                <w:bCs/>
              </w:rPr>
              <w:t>LB_MS_TXPWR_MAX_CCH</w:t>
            </w:r>
            <w:r w:rsidRPr="004D0DAA">
              <w:t xml:space="preserve"> (5 bit field)</w:t>
            </w:r>
          </w:p>
          <w:p w14:paraId="278F1971" w14:textId="77777777" w:rsidR="00711444" w:rsidRPr="004D0DAA" w:rsidRDefault="00711444" w:rsidP="00AA2A4C">
            <w:pPr>
              <w:rPr>
                <w:b/>
              </w:rPr>
            </w:pPr>
            <w:r w:rsidRPr="004D0DAA">
              <w:t>The LB_MS_TXPWR_MAX_CCH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10DF157D" w14:textId="77777777" w:rsidTr="00AA2A4C">
        <w:tblPrEx>
          <w:tblCellMar>
            <w:top w:w="0" w:type="dxa"/>
            <w:bottom w:w="0" w:type="dxa"/>
          </w:tblCellMar>
        </w:tblPrEx>
        <w:trPr>
          <w:cantSplit/>
        </w:trPr>
        <w:tc>
          <w:tcPr>
            <w:tcW w:w="9848" w:type="dxa"/>
          </w:tcPr>
          <w:p w14:paraId="38899327" w14:textId="77777777" w:rsidR="00711444" w:rsidRPr="004D0DAA" w:rsidRDefault="00711444" w:rsidP="00AA2A4C">
            <w:pPr>
              <w:rPr>
                <w:b/>
              </w:rPr>
            </w:pPr>
            <w:r w:rsidRPr="004D0DAA">
              <w:rPr>
                <w:b/>
              </w:rPr>
              <w:t xml:space="preserve">SI2n_SUPPORT </w:t>
            </w:r>
            <w:r w:rsidRPr="004D0DAA">
              <w:rPr>
                <w:bCs/>
              </w:rPr>
              <w:t>(2 bit field)</w:t>
            </w:r>
            <w:r w:rsidRPr="004D0DAA">
              <w:rPr>
                <w:bCs/>
              </w:rPr>
              <w:br/>
              <w:t>This field indicates the support of SI2n in the network, see 3GPP TS 44.018.</w:t>
            </w:r>
          </w:p>
        </w:tc>
      </w:tr>
      <w:tr w:rsidR="00711444" w:rsidRPr="004D0DAA" w14:paraId="0FB58F1D" w14:textId="77777777" w:rsidTr="00AA2A4C">
        <w:tblPrEx>
          <w:tblCellMar>
            <w:top w:w="0" w:type="dxa"/>
            <w:bottom w:w="0" w:type="dxa"/>
          </w:tblCellMar>
        </w:tblPrEx>
        <w:trPr>
          <w:cantSplit/>
        </w:trPr>
        <w:tc>
          <w:tcPr>
            <w:tcW w:w="9848" w:type="dxa"/>
          </w:tcPr>
          <w:p w14:paraId="5948197A" w14:textId="77777777" w:rsidR="00711444" w:rsidRPr="004D0DAA" w:rsidRDefault="00711444" w:rsidP="00AA2A4C">
            <w:r w:rsidRPr="004D0DAA">
              <w:rPr>
                <w:b/>
              </w:rPr>
              <w:t>SI_CHANGE_ALT</w:t>
            </w:r>
            <w:r w:rsidRPr="004D0DAA">
              <w:t xml:space="preserve"> (1 bit field) </w:t>
            </w:r>
            <w:r w:rsidRPr="004D0DAA">
              <w:br/>
              <w:t>This field indicates how a mobile station supporting network sharing shall take into account a change of system information signalled by a SI_CHANGE_FIELD value '0010':</w:t>
            </w:r>
          </w:p>
          <w:p w14:paraId="3E063895" w14:textId="77777777" w:rsidR="00711444" w:rsidRPr="004D0DAA" w:rsidRDefault="00711444" w:rsidP="00AA2A4C">
            <w:pPr>
              <w:rPr>
                <w:b/>
              </w:rPr>
            </w:pPr>
            <w:r w:rsidRPr="004D0DAA">
              <w:t>0</w:t>
            </w:r>
            <w:r w:rsidRPr="004D0DAA">
              <w:tab/>
              <w:t>A mobile station supporting network sharing should not attempt to re-read the SI2quater message;</w:t>
            </w:r>
            <w:r w:rsidRPr="004D0DAA">
              <w:br/>
              <w:t>1</w:t>
            </w:r>
            <w:r w:rsidRPr="004D0DAA">
              <w:tab/>
              <w:t>A mobile station supporting network sharing shall fully take into account a change of system information signalled by the SI_CHANGE_FIELD value '0010', SI2quater included.</w:t>
            </w:r>
          </w:p>
        </w:tc>
      </w:tr>
    </w:tbl>
    <w:p w14:paraId="433FFCFD" w14:textId="77777777" w:rsidR="00711444" w:rsidRPr="004D0DAA" w:rsidRDefault="00711444" w:rsidP="00711444"/>
    <w:p w14:paraId="08D94B42" w14:textId="77777777" w:rsidR="00711444" w:rsidRPr="004D0DAA" w:rsidRDefault="00711444" w:rsidP="00711444">
      <w:pPr>
        <w:pStyle w:val="Heading3"/>
      </w:pPr>
      <w:bookmarkStart w:id="705" w:name="_Toc516669881"/>
      <w:r w:rsidRPr="004D0DAA">
        <w:t>11.2.25a</w:t>
      </w:r>
      <w:r w:rsidRPr="004D0DAA">
        <w:tab/>
        <w:t>Packet System Information 14</w:t>
      </w:r>
      <w:bookmarkEnd w:id="705"/>
    </w:p>
    <w:p w14:paraId="1328D22F" w14:textId="77777777" w:rsidR="00711444" w:rsidRPr="004D0DAA" w:rsidRDefault="00711444" w:rsidP="00711444">
      <w:r w:rsidRPr="004D0DAA">
        <w:t>This message may be sent by the network on the PACCH. The message may provide a mobile station in dual transfer mode or the in Network Assisted Cell Change procedure with GPRS access-related information. The information may be used as a substitute for the SI13 (and in some cases, the SI1) message on BCCH after the release of an RR connection, see 3GPP TS 44.018. This message may also be used during dual transfer mode to inform the mobile station about possible changes in the SI or PSI messages. This message may also be used in the network assisted cell change procedure when the target cell has PBCCH present.</w:t>
      </w:r>
    </w:p>
    <w:p w14:paraId="20141930" w14:textId="77777777" w:rsidR="00711444" w:rsidRPr="004D0DAA" w:rsidRDefault="00711444" w:rsidP="00711444">
      <w:pPr>
        <w:pStyle w:val="EX"/>
      </w:pPr>
      <w:r w:rsidRPr="004D0DAA">
        <w:t>Message type:</w:t>
      </w:r>
      <w:r w:rsidRPr="004D0DAA">
        <w:tab/>
        <w:t>PACKET SYSTEM INFORMATION TYPE 14</w:t>
      </w:r>
    </w:p>
    <w:p w14:paraId="3E16FE2F" w14:textId="77777777" w:rsidR="00711444" w:rsidRPr="004D0DAA" w:rsidRDefault="00711444" w:rsidP="00711444">
      <w:pPr>
        <w:pStyle w:val="EX"/>
      </w:pPr>
      <w:r w:rsidRPr="004D0DAA">
        <w:t>Direction:</w:t>
      </w:r>
      <w:r w:rsidRPr="004D0DAA">
        <w:tab/>
        <w:t>network to mobile station</w:t>
      </w:r>
    </w:p>
    <w:p w14:paraId="13223050" w14:textId="77777777" w:rsidR="00711444" w:rsidRPr="004D0DAA" w:rsidRDefault="00711444" w:rsidP="00711444">
      <w:pPr>
        <w:pStyle w:val="EX"/>
      </w:pPr>
      <w:r w:rsidRPr="004D0DAA">
        <w:t>Classification:</w:t>
      </w:r>
      <w:r w:rsidRPr="004D0DAA">
        <w:tab/>
        <w:t>distribution message</w:t>
      </w:r>
    </w:p>
    <w:p w14:paraId="21A41B5F" w14:textId="77777777" w:rsidR="00711444" w:rsidRPr="004D0DAA" w:rsidRDefault="00711444" w:rsidP="00711444">
      <w:pPr>
        <w:pStyle w:val="TH"/>
      </w:pPr>
      <w:r w:rsidRPr="004D0DAA">
        <w:t>Table 11.2.25a.1: PSI14 information elements</w:t>
      </w:r>
    </w:p>
    <w:tbl>
      <w:tblPr>
        <w:tblW w:w="0" w:type="auto"/>
        <w:tblBorders>
          <w:top w:val="single" w:sz="6" w:space="0" w:color="auto"/>
          <w:left w:val="single" w:sz="6" w:space="0" w:color="auto"/>
          <w:bottom w:val="single" w:sz="6" w:space="0" w:color="auto"/>
          <w:right w:val="single" w:sz="6" w:space="0" w:color="auto"/>
          <w:insideH w:val="single" w:sz="6" w:space="0" w:color="C0C0C0"/>
        </w:tblBorders>
        <w:tblLayout w:type="fixed"/>
        <w:tblLook w:val="0000" w:firstRow="0" w:lastRow="0" w:firstColumn="0" w:lastColumn="0" w:noHBand="0" w:noVBand="0"/>
      </w:tblPr>
      <w:tblGrid>
        <w:gridCol w:w="9747"/>
      </w:tblGrid>
      <w:tr w:rsidR="00711444" w:rsidRPr="004D0DAA" w14:paraId="6BC42242" w14:textId="77777777" w:rsidTr="00AA2A4C">
        <w:tblPrEx>
          <w:tblCellMar>
            <w:top w:w="0" w:type="dxa"/>
            <w:bottom w:w="0" w:type="dxa"/>
          </w:tblCellMar>
        </w:tblPrEx>
        <w:trPr>
          <w:cantSplit/>
        </w:trPr>
        <w:tc>
          <w:tcPr>
            <w:tcW w:w="9747" w:type="dxa"/>
          </w:tcPr>
          <w:p w14:paraId="2FBAC8BB" w14:textId="77777777" w:rsidR="00711444" w:rsidRPr="004D0DAA" w:rsidRDefault="00711444" w:rsidP="00AA2A4C">
            <w:pPr>
              <w:pStyle w:val="TAL"/>
              <w:rPr>
                <w:lang w:val="fr-FR" w:eastAsia="en-US"/>
              </w:rPr>
            </w:pPr>
            <w:r w:rsidRPr="004D0DAA">
              <w:rPr>
                <w:lang w:val="fr-FR" w:eastAsia="en-US"/>
              </w:rPr>
              <w:t>&lt; PSI14 message content &gt; ::=</w:t>
            </w:r>
          </w:p>
          <w:p w14:paraId="2BB370C5"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1DFA104F"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0</w:t>
            </w:r>
            <w:r w:rsidRPr="004D0DAA">
              <w:rPr>
                <w:lang w:eastAsia="en-US"/>
              </w:rPr>
              <w:tab/>
              <w:t xml:space="preserve">&lt; </w:t>
            </w:r>
            <w:r w:rsidRPr="004D0DAA">
              <w:rPr>
                <w:b/>
                <w:lang w:eastAsia="en-US"/>
              </w:rPr>
              <w:t>CCCH Access Information</w:t>
            </w:r>
            <w:r w:rsidRPr="004D0DAA">
              <w:rPr>
                <w:lang w:eastAsia="en-US"/>
              </w:rPr>
              <w:t xml:space="preserve"> : &lt; CCCH Access Information struct &gt;&gt;   </w:t>
            </w:r>
            <w:r w:rsidRPr="004D0DAA">
              <w:rPr>
                <w:i/>
                <w:lang w:eastAsia="en-US"/>
              </w:rPr>
              <w:t>-- This information shall always be included. See sub-clause 1.6.</w:t>
            </w:r>
          </w:p>
          <w:p w14:paraId="1D5058E7" w14:textId="77777777" w:rsidR="00711444" w:rsidRPr="004D0DAA" w:rsidRDefault="00711444" w:rsidP="00AA2A4C">
            <w:pPr>
              <w:pStyle w:val="TAL"/>
              <w:rPr>
                <w:lang w:eastAsia="en-US"/>
              </w:rPr>
            </w:pPr>
          </w:p>
          <w:p w14:paraId="2E6F6438"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PBCCH Description</w:t>
            </w:r>
            <w:r w:rsidRPr="004D0DAA">
              <w:rPr>
                <w:lang w:eastAsia="en-US"/>
              </w:rPr>
              <w:t xml:space="preserve"> : &lt; PBCCH Description struct 2 &gt;&gt;  </w:t>
            </w:r>
            <w:r w:rsidRPr="004D0DAA">
              <w:rPr>
                <w:i/>
                <w:lang w:eastAsia="en-US"/>
              </w:rPr>
              <w:t xml:space="preserve">   -- This information shall never be included. See sub-clause 1.6.</w:t>
            </w:r>
          </w:p>
          <w:p w14:paraId="02648B12" w14:textId="77777777" w:rsidR="00711444" w:rsidRPr="004D0DAA" w:rsidRDefault="00711444" w:rsidP="00AA2A4C">
            <w:pPr>
              <w:pStyle w:val="TAL"/>
              <w:rPr>
                <w:lang w:eastAsia="en-US"/>
              </w:rPr>
            </w:pPr>
            <w:r w:rsidRPr="004D0DAA">
              <w:rPr>
                <w:lang w:eastAsia="en-US"/>
              </w:rPr>
              <w:tab/>
            </w:r>
            <w:r w:rsidRPr="004D0DAA">
              <w:rPr>
                <w:lang w:eastAsia="en-US"/>
              </w:rPr>
              <w:tab/>
              <w:t>&lt; padding bits &gt; }</w:t>
            </w:r>
          </w:p>
          <w:p w14:paraId="6637D308" w14:textId="77777777" w:rsidR="00711444" w:rsidRPr="004D0DAA" w:rsidRDefault="00711444" w:rsidP="00AA2A4C">
            <w:pPr>
              <w:pStyle w:val="TAL"/>
              <w:rPr>
                <w:lang w:eastAsia="en-US"/>
              </w:rPr>
            </w:pPr>
            <w:r w:rsidRPr="004D0DAA">
              <w:rPr>
                <w:lang w:eastAsia="en-US"/>
              </w:rPr>
              <w:tab/>
              <w:t xml:space="preserve"> ! &lt; Distribution part error : bit (*) = &lt; no string &gt;&gt; ;</w:t>
            </w:r>
          </w:p>
          <w:p w14:paraId="06A7BB2B" w14:textId="77777777" w:rsidR="00711444" w:rsidRPr="004D0DAA" w:rsidRDefault="00711444" w:rsidP="00AA2A4C">
            <w:pPr>
              <w:pStyle w:val="TAL"/>
              <w:rPr>
                <w:lang w:eastAsia="en-US"/>
              </w:rPr>
            </w:pPr>
          </w:p>
        </w:tc>
      </w:tr>
      <w:tr w:rsidR="00711444" w:rsidRPr="004D0DAA" w14:paraId="6DCA1BC3" w14:textId="77777777" w:rsidTr="00AA2A4C">
        <w:tblPrEx>
          <w:tblCellMar>
            <w:top w:w="0" w:type="dxa"/>
            <w:bottom w:w="0" w:type="dxa"/>
          </w:tblCellMar>
        </w:tblPrEx>
        <w:trPr>
          <w:cantSplit/>
        </w:trPr>
        <w:tc>
          <w:tcPr>
            <w:tcW w:w="9747" w:type="dxa"/>
          </w:tcPr>
          <w:p w14:paraId="5E631C4F" w14:textId="77777777" w:rsidR="00711444" w:rsidRPr="004D0DAA" w:rsidRDefault="00711444" w:rsidP="00AA2A4C">
            <w:pPr>
              <w:pStyle w:val="TAL"/>
              <w:rPr>
                <w:lang w:eastAsia="en-US"/>
              </w:rPr>
            </w:pPr>
            <w:r w:rsidRPr="004D0DAA">
              <w:rPr>
                <w:lang w:eastAsia="en-US"/>
              </w:rPr>
              <w:t xml:space="preserve">&lt; CCCH Access Information struct &gt; ::= </w:t>
            </w:r>
          </w:p>
          <w:p w14:paraId="1B41F6E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BCCH_CHANGE_MARK</w:t>
            </w:r>
            <w:r w:rsidRPr="004D0DAA">
              <w:rPr>
                <w:lang w:eastAsia="en-US"/>
              </w:rPr>
              <w:t> : bit (3) &gt;</w:t>
            </w:r>
          </w:p>
          <w:p w14:paraId="4CAA3E48"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SI13_CHANGE_MARK</w:t>
            </w:r>
            <w:r w:rsidRPr="004D0DAA">
              <w:rPr>
                <w:lang w:val="fr-FR" w:eastAsia="en-US"/>
              </w:rPr>
              <w:t> : bit (2) &gt;</w:t>
            </w:r>
          </w:p>
          <w:p w14:paraId="3A2430BD"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SI13 Mobile Allocation</w:t>
            </w:r>
            <w:r w:rsidRPr="004D0DAA">
              <w:rPr>
                <w:lang w:val="fr-FR" w:eastAsia="en-US"/>
              </w:rPr>
              <w:t> : &lt; GPRS Mobile Allocation IE &gt;&gt; }</w:t>
            </w:r>
          </w:p>
          <w:p w14:paraId="196EA1AC"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SPGC_CCCH_SUP</w:t>
            </w:r>
            <w:r w:rsidRPr="004D0DAA">
              <w:rPr>
                <w:lang w:eastAsia="en-US"/>
              </w:rPr>
              <w:t> : bit &gt;</w:t>
            </w:r>
          </w:p>
          <w:p w14:paraId="443D034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PRIORITY_ACCESS_THR</w:t>
            </w:r>
            <w:r w:rsidRPr="004D0DAA">
              <w:rPr>
                <w:lang w:eastAsia="en-US"/>
              </w:rPr>
              <w:t> : bit (3) &gt;</w:t>
            </w:r>
          </w:p>
          <w:p w14:paraId="73B277D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NETWORK_CONTROL_ORDER</w:t>
            </w:r>
            <w:r w:rsidRPr="004D0DAA">
              <w:rPr>
                <w:lang w:eastAsia="en-US"/>
              </w:rPr>
              <w:t> : bit (2) &gt;</w:t>
            </w:r>
          </w:p>
          <w:p w14:paraId="20ABE81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GPRS Cell Options </w:t>
            </w:r>
            <w:r w:rsidRPr="004D0DAA">
              <w:rPr>
                <w:lang w:eastAsia="en-US"/>
              </w:rPr>
              <w:t>: &lt; GPRS Cell Options IE &gt;&gt;</w:t>
            </w:r>
          </w:p>
          <w:p w14:paraId="7DF39FB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GPRS Power Control Parameters </w:t>
            </w:r>
            <w:r w:rsidRPr="004D0DAA">
              <w:rPr>
                <w:lang w:eastAsia="en-US"/>
              </w:rPr>
              <w:t>: &lt; GPRS Power Control Parameters struct &gt;&gt;</w:t>
            </w:r>
          </w:p>
          <w:p w14:paraId="0643BFE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SGSNR</w:t>
            </w:r>
            <w:r w:rsidRPr="004D0DAA">
              <w:rPr>
                <w:lang w:eastAsia="en-US"/>
              </w:rPr>
              <w:t> : bit &gt;</w:t>
            </w:r>
          </w:p>
          <w:p w14:paraId="7026854B" w14:textId="77777777" w:rsidR="00711444" w:rsidRPr="004D0DAA" w:rsidRDefault="00711444" w:rsidP="00AA2A4C">
            <w:pPr>
              <w:pStyle w:val="TAL"/>
              <w:rPr>
                <w:i/>
                <w:lang w:eastAsia="en-US"/>
              </w:rPr>
            </w:pPr>
            <w:r w:rsidRPr="004D0DAA">
              <w:rPr>
                <w:lang w:eastAsia="en-US"/>
              </w:rPr>
              <w:tab/>
              <w:t>{</w:t>
            </w:r>
            <w:r w:rsidRPr="004D0DAA">
              <w:rPr>
                <w:lang w:eastAsia="en-US"/>
              </w:rPr>
              <w:tab/>
              <w:t>null | 0</w:t>
            </w:r>
            <w:r w:rsidRPr="004D0DAA">
              <w:rPr>
                <w:lang w:eastAsia="en-US"/>
              </w:rPr>
              <w:tab/>
              <w:t>bit **</w:t>
            </w:r>
            <w:r w:rsidRPr="004D0DAA">
              <w:rPr>
                <w:lang w:eastAsia="en-US"/>
              </w:rPr>
              <w:tab/>
              <w:t>= &lt; no string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10D46FCE" w14:textId="77777777" w:rsidR="00711444" w:rsidRPr="004D0DAA" w:rsidRDefault="00711444" w:rsidP="00AA2A4C">
            <w:pPr>
              <w:pStyle w:val="TAL"/>
              <w:rPr>
                <w:lang w:eastAsia="en-US"/>
              </w:rPr>
            </w:pPr>
            <w:r w:rsidRPr="004D0DAA">
              <w:rPr>
                <w:lang w:eastAsia="en-US"/>
              </w:rPr>
              <w:tab/>
              <w:t xml:space="preserve"> </w:t>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Dual Transfer Mode</w:t>
            </w:r>
          </w:p>
          <w:p w14:paraId="40D1F87E" w14:textId="77777777" w:rsidR="00711444" w:rsidRPr="004D0DAA" w:rsidRDefault="00711444" w:rsidP="00AA2A4C">
            <w:pPr>
              <w:pStyle w:val="TAL"/>
              <w:rPr>
                <w:i/>
                <w:iCs/>
                <w:lang w:eastAsia="en-US"/>
              </w:rPr>
            </w:pP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compatible with earlier version</w:t>
            </w:r>
          </w:p>
          <w:p w14:paraId="5236DEA0"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lang w:eastAsia="en-US"/>
              </w:rPr>
              <w:t>&lt;</w:t>
            </w:r>
            <w:r w:rsidRPr="004D0DAA">
              <w:rPr>
                <w:b/>
                <w:bCs/>
                <w:lang w:eastAsia="en-US"/>
              </w:rPr>
              <w:t xml:space="preserve"> RAC </w:t>
            </w:r>
            <w:r w:rsidRPr="004D0DAA">
              <w:rPr>
                <w:lang w:eastAsia="en-US"/>
              </w:rPr>
              <w:t>: bit (8) &gt;</w:t>
            </w:r>
            <w:r w:rsidRPr="004D0DAA">
              <w:rPr>
                <w:lang w:eastAsia="en-US"/>
              </w:rPr>
              <w:br/>
            </w:r>
            <w:r w:rsidRPr="004D0DAA">
              <w:rPr>
                <w:lang w:eastAsia="en-US"/>
              </w:rPr>
              <w:tab/>
            </w:r>
            <w:r w:rsidRPr="004D0DAA">
              <w:rPr>
                <w:lang w:eastAsia="en-US"/>
              </w:rPr>
              <w:tab/>
              <w:t xml:space="preserve">&lt; </w:t>
            </w:r>
            <w:r w:rsidRPr="004D0DAA">
              <w:rPr>
                <w:b/>
                <w:bCs/>
                <w:lang w:eastAsia="en-US"/>
              </w:rPr>
              <w:t>SI_STATUS_IND</w:t>
            </w:r>
            <w:r w:rsidRPr="004D0DAA">
              <w:rPr>
                <w:lang w:eastAsia="en-US"/>
              </w:rPr>
              <w:t xml:space="preserve"> : bit &gt;</w:t>
            </w:r>
          </w:p>
          <w:p w14:paraId="1E078CB3"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null | 0</w:t>
            </w:r>
            <w:r w:rsidRPr="004D0DAA">
              <w:rPr>
                <w:lang w:eastAsia="en-US"/>
              </w:rPr>
              <w:tab/>
              <w:t>bit **</w:t>
            </w:r>
            <w:r w:rsidRPr="004D0DAA">
              <w:rPr>
                <w:lang w:eastAsia="en-US"/>
              </w:rPr>
              <w:tab/>
              <w:t>= &lt; no string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Receiver backward compatible with earlier version</w:t>
            </w:r>
          </w:p>
          <w:p w14:paraId="22AD6A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Additions for Rel-6</w:t>
            </w:r>
            <w:r w:rsidRPr="004D0DAA">
              <w:rPr>
                <w:lang w:eastAsia="en-US"/>
              </w:rPr>
              <w:t xml:space="preserve"> </w:t>
            </w:r>
          </w:p>
          <w:p w14:paraId="71CB1378"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r>
            <w:r w:rsidRPr="004D0DAA">
              <w:rPr>
                <w:lang w:eastAsia="en-US"/>
              </w:rPr>
              <w:tab/>
              <w:t>{ 0</w:t>
            </w:r>
            <w:r w:rsidRPr="004D0DAA">
              <w:rPr>
                <w:lang w:eastAsia="en-US"/>
              </w:rPr>
              <w:tab/>
              <w:t>| 1</w:t>
            </w:r>
            <w:r w:rsidRPr="004D0DAA">
              <w:rPr>
                <w:lang w:eastAsia="en-US"/>
              </w:rPr>
              <w:tab/>
              <w:t xml:space="preserve">&lt; </w:t>
            </w:r>
            <w:r w:rsidRPr="004D0DAA">
              <w:rPr>
                <w:b/>
                <w:lang w:eastAsia="en-US"/>
              </w:rPr>
              <w:t>LB_MS_TXPWR_MAX_CCH</w:t>
            </w:r>
            <w:r w:rsidRPr="004D0DAA">
              <w:rPr>
                <w:lang w:eastAsia="en-US"/>
              </w:rPr>
              <w:t xml:space="preserve"> : bit (5) &gt; } </w:t>
            </w:r>
          </w:p>
          <w:p w14:paraId="16B6E8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bCs/>
                <w:iCs/>
                <w:lang w:eastAsia="en-US"/>
              </w:rPr>
              <w:t xml:space="preserve">SI2n_SUPPORT </w:t>
            </w:r>
            <w:r w:rsidRPr="004D0DAA">
              <w:rPr>
                <w:iCs/>
                <w:lang w:eastAsia="en-US"/>
              </w:rPr>
              <w:t xml:space="preserve">: bit (2) &gt; </w:t>
            </w:r>
            <w:r w:rsidRPr="004D0DAA">
              <w:rPr>
                <w:iCs/>
                <w:lang w:eastAsia="en-US"/>
              </w:rPr>
              <w:br/>
            </w:r>
            <w:r w:rsidRPr="004D0DAA">
              <w:rPr>
                <w:iCs/>
                <w:lang w:eastAsia="en-US"/>
              </w:rPr>
              <w:tab/>
            </w:r>
            <w:r w:rsidRPr="004D0DAA">
              <w:rPr>
                <w:iCs/>
                <w:lang w:eastAsia="en-US"/>
              </w:rPr>
              <w:tab/>
              <w:t>}</w:t>
            </w:r>
          </w:p>
          <w:p w14:paraId="01F394C1" w14:textId="77777777" w:rsidR="00711444" w:rsidRPr="004D0DAA" w:rsidRDefault="00711444" w:rsidP="00AA2A4C">
            <w:pPr>
              <w:pStyle w:val="TAL"/>
              <w:rPr>
                <w:i/>
                <w:iCs/>
                <w:lang w:eastAsia="en-US"/>
              </w:rPr>
            </w:pPr>
            <w:r w:rsidRPr="004D0DAA">
              <w:rPr>
                <w:lang w:eastAsia="en-US"/>
              </w:rPr>
              <w:tab/>
              <w:t>} ;</w:t>
            </w:r>
          </w:p>
          <w:p w14:paraId="789E5905" w14:textId="77777777" w:rsidR="00711444" w:rsidRPr="004D0DAA" w:rsidRDefault="00711444" w:rsidP="00AA2A4C">
            <w:pPr>
              <w:pStyle w:val="TAL"/>
              <w:rPr>
                <w:lang w:eastAsia="en-US"/>
              </w:rPr>
            </w:pPr>
          </w:p>
        </w:tc>
      </w:tr>
      <w:tr w:rsidR="00711444" w:rsidRPr="004D0DAA" w14:paraId="5D8C1059" w14:textId="77777777" w:rsidTr="00AA2A4C">
        <w:tblPrEx>
          <w:tblCellMar>
            <w:top w:w="0" w:type="dxa"/>
            <w:bottom w:w="0" w:type="dxa"/>
          </w:tblCellMar>
        </w:tblPrEx>
        <w:trPr>
          <w:cantSplit/>
        </w:trPr>
        <w:tc>
          <w:tcPr>
            <w:tcW w:w="9747" w:type="dxa"/>
          </w:tcPr>
          <w:p w14:paraId="7D97FDD9" w14:textId="77777777" w:rsidR="00711444" w:rsidRPr="004D0DAA" w:rsidRDefault="00711444" w:rsidP="00AA2A4C">
            <w:pPr>
              <w:pStyle w:val="TAL"/>
              <w:rPr>
                <w:lang w:eastAsia="en-US"/>
              </w:rPr>
            </w:pPr>
            <w:r w:rsidRPr="004D0DAA">
              <w:rPr>
                <w:lang w:eastAsia="en-US"/>
              </w:rPr>
              <w:t>&lt; PBCCH Description struct 2 &gt; ::=</w:t>
            </w:r>
          </w:p>
          <w:p w14:paraId="4AF2715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PSI1_REPEAT_PERIOD</w:t>
            </w:r>
            <w:r w:rsidRPr="004D0DAA">
              <w:rPr>
                <w:lang w:eastAsia="en-US"/>
              </w:rPr>
              <w:t> : bit (4) &gt;</w:t>
            </w:r>
          </w:p>
          <w:p w14:paraId="51F29B5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Pb</w:t>
            </w:r>
            <w:r w:rsidRPr="004D0DAA">
              <w:rPr>
                <w:lang w:eastAsia="en-US"/>
              </w:rPr>
              <w:t> : bit (4) &gt;</w:t>
            </w:r>
          </w:p>
          <w:p w14:paraId="633DAA0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TN</w:t>
            </w:r>
            <w:r w:rsidRPr="004D0DAA">
              <w:rPr>
                <w:lang w:eastAsia="en-US"/>
              </w:rPr>
              <w:t> : bit (3) &gt;</w:t>
            </w:r>
          </w:p>
          <w:p w14:paraId="4FAF9C9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PBCCH Frequency Description</w:t>
            </w:r>
            <w:r w:rsidRPr="004D0DAA">
              <w:rPr>
                <w:lang w:eastAsia="en-US"/>
              </w:rPr>
              <w:t> : &lt; Frequency Parameters IE &gt;&gt;</w:t>
            </w:r>
          </w:p>
          <w:p w14:paraId="1F17177D" w14:textId="77777777" w:rsidR="00711444" w:rsidRPr="004D0DAA" w:rsidRDefault="00711444" w:rsidP="00AA2A4C">
            <w:pPr>
              <w:pStyle w:val="TAL"/>
              <w:rPr>
                <w:i/>
                <w:lang w:eastAsia="en-US"/>
              </w:rPr>
            </w:pPr>
            <w:r w:rsidRPr="004D0DAA">
              <w:rPr>
                <w:lang w:eastAsia="en-US"/>
              </w:rPr>
              <w:tab/>
              <w:t>{ null | 0</w:t>
            </w:r>
            <w:r w:rsidRPr="004D0DAA">
              <w:rPr>
                <w:lang w:eastAsia="en-US"/>
              </w:rPr>
              <w:tab/>
              <w:t>bit **</w:t>
            </w:r>
            <w:r w:rsidRPr="004D0DAA">
              <w:rPr>
                <w:lang w:eastAsia="en-US"/>
              </w:rPr>
              <w:tab/>
              <w:t>= &lt; no string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Receiver backward compatible with earlier version</w:t>
            </w:r>
          </w:p>
          <w:p w14:paraId="53ECC697" w14:textId="77777777" w:rsidR="00711444" w:rsidRPr="004D0DAA" w:rsidRDefault="00711444" w:rsidP="00AA2A4C">
            <w:pPr>
              <w:pStyle w:val="TAL"/>
              <w:rPr>
                <w:lang w:eastAsia="en-US"/>
              </w:rPr>
            </w:pPr>
            <w:r w:rsidRPr="004D0DAA">
              <w:rPr>
                <w:lang w:eastAsia="en-US"/>
              </w:rPr>
              <w:tab/>
              <w:t xml:space="preserve">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Dual Transfer Mode</w:t>
            </w:r>
          </w:p>
          <w:p w14:paraId="3D8B60D4"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compatible with earlier version</w:t>
            </w:r>
          </w:p>
          <w:p w14:paraId="270E73EB"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lang w:eastAsia="en-US"/>
              </w:rPr>
              <w:t>&lt;</w:t>
            </w:r>
            <w:r w:rsidRPr="004D0DAA">
              <w:rPr>
                <w:b/>
                <w:lang w:eastAsia="en-US"/>
              </w:rPr>
              <w:t xml:space="preserve"> PSI_CHANGED_IND </w:t>
            </w:r>
            <w:r w:rsidRPr="004D0DAA">
              <w:rPr>
                <w:lang w:eastAsia="en-US"/>
              </w:rPr>
              <w:t>: bit &gt;</w:t>
            </w:r>
          </w:p>
          <w:p w14:paraId="7081BC1C" w14:textId="77777777" w:rsidR="00711444" w:rsidRPr="004D0DAA" w:rsidRDefault="00711444" w:rsidP="00AA2A4C">
            <w:pPr>
              <w:pStyle w:val="TAL"/>
              <w:rPr>
                <w:i/>
                <w:iCs/>
                <w:lang w:eastAsia="en-US"/>
              </w:rPr>
            </w:pPr>
            <w:r w:rsidRPr="004D0DAA">
              <w:rPr>
                <w:lang w:eastAsia="en-US"/>
              </w:rPr>
              <w:tab/>
              <w:t>} ;</w:t>
            </w:r>
          </w:p>
          <w:p w14:paraId="3C1A71C9" w14:textId="77777777" w:rsidR="00711444" w:rsidRPr="004D0DAA" w:rsidRDefault="00711444" w:rsidP="00AA2A4C">
            <w:pPr>
              <w:pStyle w:val="TAL"/>
              <w:rPr>
                <w:lang w:eastAsia="en-US"/>
              </w:rPr>
            </w:pPr>
          </w:p>
        </w:tc>
      </w:tr>
    </w:tbl>
    <w:p w14:paraId="615C087D" w14:textId="77777777" w:rsidR="00711444" w:rsidRPr="004D0DAA" w:rsidRDefault="00711444" w:rsidP="00711444"/>
    <w:p w14:paraId="22BE7B4E" w14:textId="77777777" w:rsidR="00711444" w:rsidRPr="004D0DAA" w:rsidRDefault="00711444" w:rsidP="00711444">
      <w:pPr>
        <w:pStyle w:val="TH"/>
      </w:pPr>
      <w:r w:rsidRPr="004D0DAA">
        <w:lastRenderedPageBreak/>
        <w:t>Table 11.2.25a.2: PSI14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11444" w:rsidRPr="004D0DAA" w14:paraId="3F7662F8" w14:textId="77777777" w:rsidTr="00AA2A4C">
        <w:tblPrEx>
          <w:tblCellMar>
            <w:top w:w="0" w:type="dxa"/>
            <w:bottom w:w="0" w:type="dxa"/>
          </w:tblCellMar>
        </w:tblPrEx>
        <w:trPr>
          <w:cantSplit/>
        </w:trPr>
        <w:tc>
          <w:tcPr>
            <w:tcW w:w="9747" w:type="dxa"/>
          </w:tcPr>
          <w:p w14:paraId="008D154A" w14:textId="77777777" w:rsidR="00711444" w:rsidRPr="004D0DAA" w:rsidRDefault="00711444" w:rsidP="00AA2A4C">
            <w:r w:rsidRPr="004D0DAA">
              <w:rPr>
                <w:b/>
              </w:rPr>
              <w:t>PAGE_MODE</w:t>
            </w:r>
            <w:r w:rsidRPr="004D0DAA">
              <w:t xml:space="preserve"> (2 bit field)</w:t>
            </w:r>
            <w:r w:rsidRPr="004D0DAA">
              <w:br/>
              <w:t xml:space="preserve">This field is defined in sub-clause 12.20. </w:t>
            </w:r>
          </w:p>
        </w:tc>
      </w:tr>
      <w:tr w:rsidR="00711444" w:rsidRPr="004D0DAA" w14:paraId="3DE77BD2" w14:textId="77777777" w:rsidTr="00AA2A4C">
        <w:tblPrEx>
          <w:tblCellMar>
            <w:top w:w="0" w:type="dxa"/>
            <w:bottom w:w="0" w:type="dxa"/>
          </w:tblCellMar>
        </w:tblPrEx>
        <w:trPr>
          <w:cantSplit/>
        </w:trPr>
        <w:tc>
          <w:tcPr>
            <w:tcW w:w="9747" w:type="dxa"/>
          </w:tcPr>
          <w:p w14:paraId="3BBF8894" w14:textId="77777777" w:rsidR="00711444" w:rsidRPr="004D0DAA" w:rsidRDefault="00711444" w:rsidP="00AA2A4C">
            <w:pPr>
              <w:rPr>
                <w:b/>
              </w:rPr>
            </w:pPr>
            <w:r w:rsidRPr="004D0DAA">
              <w:rPr>
                <w:b/>
              </w:rPr>
              <w:t>BCCH_CHANGE_MARK</w:t>
            </w:r>
            <w:r w:rsidRPr="004D0DAA">
              <w:t xml:space="preserve"> (3 bit field)</w:t>
            </w:r>
            <w:r w:rsidRPr="004D0DAA">
              <w:br/>
              <w:t>This field indicates the status of the information on BCCH. The value of this field shall be changed each time the information on BCCH, except for the contents of the SI13 message, is changed, see sub-clause 5.5.2.1.4.</w:t>
            </w:r>
          </w:p>
        </w:tc>
      </w:tr>
      <w:tr w:rsidR="00711444" w:rsidRPr="004D0DAA" w14:paraId="506B08C0" w14:textId="77777777" w:rsidTr="00AA2A4C">
        <w:tblPrEx>
          <w:tblCellMar>
            <w:top w:w="0" w:type="dxa"/>
            <w:bottom w:w="0" w:type="dxa"/>
          </w:tblCellMar>
        </w:tblPrEx>
        <w:trPr>
          <w:cantSplit/>
        </w:trPr>
        <w:tc>
          <w:tcPr>
            <w:tcW w:w="9747" w:type="dxa"/>
          </w:tcPr>
          <w:p w14:paraId="7485E9E6" w14:textId="77777777" w:rsidR="00711444" w:rsidRPr="004D0DAA" w:rsidRDefault="00711444" w:rsidP="00AA2A4C">
            <w:pPr>
              <w:rPr>
                <w:b/>
              </w:rPr>
            </w:pPr>
            <w:r w:rsidRPr="004D0DAA">
              <w:rPr>
                <w:b/>
              </w:rPr>
              <w:t>SI13_CHANGE_MARK</w:t>
            </w:r>
            <w:r w:rsidRPr="004D0DAA">
              <w:t xml:space="preserve"> (2 bit field)</w:t>
            </w:r>
            <w:r w:rsidRPr="004D0DAA">
              <w:br/>
              <w:t>This field is the binary representation of the SI change mark identifying the GPRS Mobile Allocation provided in SI13 and PSI13 messages. Range: 0 to 3.</w:t>
            </w:r>
          </w:p>
        </w:tc>
      </w:tr>
      <w:tr w:rsidR="00711444" w:rsidRPr="004D0DAA" w14:paraId="4976EA63" w14:textId="77777777" w:rsidTr="00AA2A4C">
        <w:tblPrEx>
          <w:tblCellMar>
            <w:top w:w="0" w:type="dxa"/>
            <w:bottom w:w="0" w:type="dxa"/>
          </w:tblCellMar>
        </w:tblPrEx>
        <w:trPr>
          <w:cantSplit/>
        </w:trPr>
        <w:tc>
          <w:tcPr>
            <w:tcW w:w="9747" w:type="dxa"/>
          </w:tcPr>
          <w:p w14:paraId="353B92AE" w14:textId="77777777" w:rsidR="00711444" w:rsidRPr="004D0DAA" w:rsidRDefault="00711444" w:rsidP="00AA2A4C">
            <w:pPr>
              <w:rPr>
                <w:b/>
              </w:rPr>
            </w:pPr>
            <w:r w:rsidRPr="004D0DAA">
              <w:rPr>
                <w:b/>
              </w:rPr>
              <w:t>SI13 Mobile Allocation</w:t>
            </w:r>
            <w:r w:rsidRPr="004D0DAA">
              <w:rPr>
                <w:b/>
              </w:rPr>
              <w:br/>
            </w:r>
            <w:r w:rsidRPr="004D0DAA">
              <w:t xml:space="preserve">This field is encoded using the </w:t>
            </w:r>
            <w:r w:rsidRPr="004D0DAA">
              <w:rPr>
                <w:i/>
              </w:rPr>
              <w:t>GPRS Mobile Allocation</w:t>
            </w:r>
            <w:r w:rsidRPr="004D0DAA">
              <w:t xml:space="preserve"> information element defined in sub-clause 12.10a. This information shall be identical with the GPRS mobile allocation provided in SI13 and PSI13 messages. </w:t>
            </w:r>
          </w:p>
        </w:tc>
      </w:tr>
      <w:tr w:rsidR="00711444" w:rsidRPr="004D0DAA" w14:paraId="1FD83790" w14:textId="77777777" w:rsidTr="00AA2A4C">
        <w:tblPrEx>
          <w:tblCellMar>
            <w:top w:w="0" w:type="dxa"/>
            <w:bottom w:w="0" w:type="dxa"/>
          </w:tblCellMar>
        </w:tblPrEx>
        <w:trPr>
          <w:cantSplit/>
        </w:trPr>
        <w:tc>
          <w:tcPr>
            <w:tcW w:w="9747" w:type="dxa"/>
          </w:tcPr>
          <w:p w14:paraId="720AB53F" w14:textId="77777777" w:rsidR="00711444" w:rsidRPr="004D0DAA" w:rsidRDefault="00711444" w:rsidP="00AA2A4C">
            <w:pPr>
              <w:rPr>
                <w:b/>
              </w:rPr>
            </w:pPr>
            <w:r w:rsidRPr="004D0DAA">
              <w:rPr>
                <w:b/>
              </w:rPr>
              <w:t>SPGC_CCCH_SUP</w:t>
            </w:r>
            <w:r w:rsidRPr="004D0DAA">
              <w:t xml:space="preserve"> (1 bit field)</w:t>
            </w:r>
            <w:r w:rsidRPr="004D0DAA">
              <w:br/>
              <w:t>This field is defined in the SI13 message, see 3GPP TS 44.018.</w:t>
            </w:r>
          </w:p>
        </w:tc>
      </w:tr>
      <w:tr w:rsidR="00711444" w:rsidRPr="004D0DAA" w14:paraId="37CC0DF4" w14:textId="77777777" w:rsidTr="00AA2A4C">
        <w:tblPrEx>
          <w:tblCellMar>
            <w:top w:w="0" w:type="dxa"/>
            <w:bottom w:w="0" w:type="dxa"/>
          </w:tblCellMar>
        </w:tblPrEx>
        <w:trPr>
          <w:cantSplit/>
        </w:trPr>
        <w:tc>
          <w:tcPr>
            <w:tcW w:w="9747" w:type="dxa"/>
          </w:tcPr>
          <w:p w14:paraId="44D84496" w14:textId="77777777" w:rsidR="00711444" w:rsidRPr="004D0DAA" w:rsidRDefault="00711444" w:rsidP="00AA2A4C">
            <w:r w:rsidRPr="004D0DAA">
              <w:rPr>
                <w:b/>
              </w:rPr>
              <w:t>PRIORITY_ACCESS_THR</w:t>
            </w:r>
            <w:r w:rsidRPr="004D0DAA">
              <w:t xml:space="preserve"> (3 bit field)</w:t>
            </w:r>
            <w:r w:rsidRPr="004D0DAA">
              <w:br/>
              <w:t>This field is defined in the SI13 message, see 3GPP TS 44.018.</w:t>
            </w:r>
          </w:p>
        </w:tc>
      </w:tr>
      <w:tr w:rsidR="00711444" w:rsidRPr="004D0DAA" w14:paraId="7639DE69" w14:textId="77777777" w:rsidTr="00AA2A4C">
        <w:tblPrEx>
          <w:tblCellMar>
            <w:top w:w="0" w:type="dxa"/>
            <w:bottom w:w="0" w:type="dxa"/>
          </w:tblCellMar>
        </w:tblPrEx>
        <w:trPr>
          <w:cantSplit/>
        </w:trPr>
        <w:tc>
          <w:tcPr>
            <w:tcW w:w="9747" w:type="dxa"/>
          </w:tcPr>
          <w:p w14:paraId="2A400CDA" w14:textId="77777777" w:rsidR="00711444" w:rsidRPr="004D0DAA" w:rsidRDefault="00711444" w:rsidP="00AA2A4C">
            <w:pPr>
              <w:rPr>
                <w:b/>
              </w:rPr>
            </w:pPr>
            <w:r w:rsidRPr="004D0DAA">
              <w:rPr>
                <w:b/>
              </w:rPr>
              <w:t>NETWORK_CONTROL_ORDER</w:t>
            </w:r>
            <w:r w:rsidRPr="004D0DAA">
              <w:t xml:space="preserve"> (2 bit field)</w:t>
            </w:r>
            <w:r w:rsidRPr="004D0DAA">
              <w:br/>
              <w:t>This field is defined in the SI13 message, see 3GPP TS 44.018.</w:t>
            </w:r>
          </w:p>
        </w:tc>
      </w:tr>
      <w:tr w:rsidR="00711444" w:rsidRPr="004D0DAA" w14:paraId="638067D7" w14:textId="77777777" w:rsidTr="00AA2A4C">
        <w:tblPrEx>
          <w:tblCellMar>
            <w:top w:w="0" w:type="dxa"/>
            <w:bottom w:w="0" w:type="dxa"/>
          </w:tblCellMar>
        </w:tblPrEx>
        <w:trPr>
          <w:cantSplit/>
        </w:trPr>
        <w:tc>
          <w:tcPr>
            <w:tcW w:w="9747" w:type="dxa"/>
          </w:tcPr>
          <w:p w14:paraId="25164C78" w14:textId="77777777" w:rsidR="00711444" w:rsidRPr="004D0DAA" w:rsidRDefault="00711444" w:rsidP="00AA2A4C">
            <w:pPr>
              <w:rPr>
                <w:b/>
              </w:rPr>
            </w:pPr>
            <w:r w:rsidRPr="004D0DAA">
              <w:rPr>
                <w:b/>
              </w:rPr>
              <w:t>GPRS Cell Options</w:t>
            </w:r>
            <w:r w:rsidRPr="004D0DAA">
              <w:t xml:space="preserve"> (information element)</w:t>
            </w:r>
            <w:r w:rsidRPr="004D0DAA">
              <w:br/>
              <w:t xml:space="preserve">The </w:t>
            </w:r>
            <w:r w:rsidRPr="004D0DAA">
              <w:rPr>
                <w:i/>
              </w:rPr>
              <w:t>GPRS Cell Option</w:t>
            </w:r>
            <w:r w:rsidRPr="004D0DAA">
              <w:t xml:space="preserve"> information element is defined in sub-clause 12.24.</w:t>
            </w:r>
          </w:p>
        </w:tc>
      </w:tr>
      <w:tr w:rsidR="00711444" w:rsidRPr="004D0DAA" w14:paraId="73089E05" w14:textId="77777777" w:rsidTr="00AA2A4C">
        <w:tblPrEx>
          <w:tblCellMar>
            <w:top w:w="0" w:type="dxa"/>
            <w:bottom w:w="0" w:type="dxa"/>
          </w:tblCellMar>
        </w:tblPrEx>
        <w:trPr>
          <w:cantSplit/>
        </w:trPr>
        <w:tc>
          <w:tcPr>
            <w:tcW w:w="9747" w:type="dxa"/>
          </w:tcPr>
          <w:p w14:paraId="501C918D" w14:textId="77777777" w:rsidR="00711444" w:rsidRPr="004D0DAA" w:rsidRDefault="00711444" w:rsidP="00AA2A4C">
            <w:pPr>
              <w:rPr>
                <w:b/>
              </w:rPr>
            </w:pPr>
            <w:r w:rsidRPr="004D0DAA">
              <w:rPr>
                <w:b/>
              </w:rPr>
              <w:t>SGSNR</w:t>
            </w:r>
            <w:r w:rsidRPr="004D0DAA">
              <w:t xml:space="preserve"> (1 bit field)</w:t>
            </w:r>
            <w:r w:rsidRPr="004D0DAA">
              <w:br/>
              <w:t>This field is defined in the SI13 message, see 3GPP TS 44.018.</w:t>
            </w:r>
          </w:p>
        </w:tc>
      </w:tr>
      <w:tr w:rsidR="00711444" w:rsidRPr="004D0DAA" w14:paraId="06C8E417" w14:textId="77777777" w:rsidTr="00AA2A4C">
        <w:tblPrEx>
          <w:tblCellMar>
            <w:top w:w="0" w:type="dxa"/>
            <w:bottom w:w="0" w:type="dxa"/>
          </w:tblCellMar>
        </w:tblPrEx>
        <w:trPr>
          <w:cantSplit/>
        </w:trPr>
        <w:tc>
          <w:tcPr>
            <w:tcW w:w="9747" w:type="dxa"/>
          </w:tcPr>
          <w:p w14:paraId="2CA310D1" w14:textId="77777777" w:rsidR="00711444" w:rsidRPr="004D0DAA" w:rsidRDefault="00711444" w:rsidP="00AA2A4C">
            <w:pPr>
              <w:rPr>
                <w:b/>
              </w:rPr>
            </w:pPr>
            <w:r w:rsidRPr="004D0DAA">
              <w:rPr>
                <w:b/>
              </w:rPr>
              <w:t>GPRS Power Control Parameters</w:t>
            </w:r>
            <w:r w:rsidRPr="004D0DAA">
              <w:rPr>
                <w:bCs/>
              </w:rPr>
              <w:t xml:space="preserve"> </w:t>
            </w:r>
            <w:r w:rsidRPr="004D0DAA">
              <w:t>(information element)</w:t>
            </w:r>
            <w:r w:rsidRPr="004D0DAA">
              <w:rPr>
                <w:b/>
              </w:rPr>
              <w:br/>
            </w:r>
            <w:r w:rsidRPr="004D0DAA">
              <w:t xml:space="preserve">The </w:t>
            </w:r>
            <w:r w:rsidRPr="004D0DAA">
              <w:rPr>
                <w:bCs/>
                <w:i/>
                <w:iCs/>
              </w:rPr>
              <w:t>GPRS Power Control Parameters</w:t>
            </w:r>
            <w:r w:rsidRPr="004D0DAA">
              <w:t xml:space="preserve"> information element is defined in sub-clause 12.9a.</w:t>
            </w:r>
          </w:p>
        </w:tc>
      </w:tr>
      <w:tr w:rsidR="00711444" w:rsidRPr="004D0DAA" w14:paraId="17D33851" w14:textId="77777777" w:rsidTr="00AA2A4C">
        <w:tblPrEx>
          <w:tblCellMar>
            <w:top w:w="0" w:type="dxa"/>
            <w:bottom w:w="0" w:type="dxa"/>
          </w:tblCellMar>
        </w:tblPrEx>
        <w:trPr>
          <w:cantSplit/>
        </w:trPr>
        <w:tc>
          <w:tcPr>
            <w:tcW w:w="9747" w:type="dxa"/>
          </w:tcPr>
          <w:p w14:paraId="63E308BD" w14:textId="77777777" w:rsidR="00711444" w:rsidRPr="004D0DAA" w:rsidRDefault="00711444" w:rsidP="00AA2A4C">
            <w:pPr>
              <w:rPr>
                <w:b/>
              </w:rPr>
            </w:pPr>
            <w:r w:rsidRPr="004D0DAA">
              <w:rPr>
                <w:b/>
              </w:rPr>
              <w:t xml:space="preserve">PSI1_REPEAT_PERIOD </w:t>
            </w:r>
            <w:r w:rsidRPr="004D0DAA">
              <w:t xml:space="preserve">(4 bit field) </w:t>
            </w:r>
            <w:r w:rsidRPr="004D0DAA">
              <w:br/>
              <w:t>This field is the binary representation, range 0 to 15, of the PSI1 repeat period. The coding of this field is identical to the coding of the PSI1_REPEAT_PERIOD field in the PSI1 message.</w:t>
            </w:r>
          </w:p>
        </w:tc>
      </w:tr>
      <w:tr w:rsidR="00711444" w:rsidRPr="004D0DAA" w14:paraId="13ABDD1D" w14:textId="77777777" w:rsidTr="00AA2A4C">
        <w:tblPrEx>
          <w:tblCellMar>
            <w:top w:w="0" w:type="dxa"/>
            <w:bottom w:w="0" w:type="dxa"/>
          </w:tblCellMar>
        </w:tblPrEx>
        <w:trPr>
          <w:cantSplit/>
        </w:trPr>
        <w:tc>
          <w:tcPr>
            <w:tcW w:w="9747" w:type="dxa"/>
          </w:tcPr>
          <w:p w14:paraId="1D24465B" w14:textId="77777777" w:rsidR="00711444" w:rsidRPr="004D0DAA" w:rsidRDefault="00711444" w:rsidP="00AA2A4C">
            <w:pPr>
              <w:rPr>
                <w:b/>
              </w:rPr>
            </w:pPr>
            <w:r w:rsidRPr="004D0DAA">
              <w:rPr>
                <w:b/>
              </w:rPr>
              <w:t>Pb</w:t>
            </w:r>
            <w:r w:rsidRPr="004D0DAA">
              <w:t xml:space="preserve"> (4 bit field)</w:t>
            </w:r>
            <w:r w:rsidRPr="004D0DAA">
              <w:br/>
              <w:t>This is the binary representation, range 0 to 15, of the power reduction value used by the BTS on PBCCH blocks</w:t>
            </w:r>
            <w:r w:rsidRPr="004D0DAA">
              <w:rPr>
                <w:lang w:eastAsia="ko-KR"/>
              </w:rPr>
              <w:t xml:space="preserve"> and PCCCH blocks</w:t>
            </w:r>
            <w:r w:rsidRPr="004D0DAA">
              <w:t>, relative to the output power on BCCH, see 3GPP TS 45.008.</w:t>
            </w:r>
          </w:p>
        </w:tc>
      </w:tr>
      <w:tr w:rsidR="00711444" w:rsidRPr="004D0DAA" w14:paraId="3139AD94" w14:textId="77777777" w:rsidTr="00AA2A4C">
        <w:tblPrEx>
          <w:tblCellMar>
            <w:top w:w="0" w:type="dxa"/>
            <w:bottom w:w="0" w:type="dxa"/>
          </w:tblCellMar>
        </w:tblPrEx>
        <w:trPr>
          <w:cantSplit/>
        </w:trPr>
        <w:tc>
          <w:tcPr>
            <w:tcW w:w="9747" w:type="dxa"/>
          </w:tcPr>
          <w:p w14:paraId="434E6306" w14:textId="77777777" w:rsidR="00711444" w:rsidRPr="004D0DAA" w:rsidRDefault="00711444" w:rsidP="00AA2A4C">
            <w:pPr>
              <w:rPr>
                <w:b/>
              </w:rPr>
            </w:pPr>
            <w:r w:rsidRPr="004D0DAA">
              <w:rPr>
                <w:b/>
              </w:rPr>
              <w:t>TN</w:t>
            </w:r>
            <w:r w:rsidRPr="004D0DAA">
              <w:t xml:space="preserve"> (3 bit field)</w:t>
            </w:r>
            <w:r w:rsidRPr="004D0DAA">
              <w:br/>
              <w:t>This is the binary representation, range 0 to 7, of the timeslot number for the PBCCH, see 3GPP TS 45.002.</w:t>
            </w:r>
          </w:p>
        </w:tc>
      </w:tr>
      <w:tr w:rsidR="00711444" w:rsidRPr="004D0DAA" w14:paraId="7756D293" w14:textId="77777777" w:rsidTr="00AA2A4C">
        <w:tblPrEx>
          <w:tblCellMar>
            <w:top w:w="0" w:type="dxa"/>
            <w:bottom w:w="0" w:type="dxa"/>
          </w:tblCellMar>
        </w:tblPrEx>
        <w:trPr>
          <w:cantSplit/>
        </w:trPr>
        <w:tc>
          <w:tcPr>
            <w:tcW w:w="9747" w:type="dxa"/>
          </w:tcPr>
          <w:p w14:paraId="0CC4DCC9" w14:textId="77777777" w:rsidR="00711444" w:rsidRPr="004D0DAA" w:rsidRDefault="00711444" w:rsidP="00AA2A4C">
            <w:pPr>
              <w:rPr>
                <w:b/>
              </w:rPr>
            </w:pPr>
            <w:r w:rsidRPr="004D0DAA">
              <w:rPr>
                <w:b/>
              </w:rPr>
              <w:t>PBCCH Frequency Description</w:t>
            </w:r>
            <w:r w:rsidRPr="004D0DAA">
              <w:rPr>
                <w:b/>
              </w:rPr>
              <w:br/>
            </w:r>
            <w:r w:rsidRPr="004D0DAA">
              <w:t xml:space="preserve">The PBCCH frequency description is encoded using the </w:t>
            </w:r>
            <w:r w:rsidRPr="004D0DAA">
              <w:rPr>
                <w:i/>
              </w:rPr>
              <w:t>Frequency Parameters</w:t>
            </w:r>
            <w:r w:rsidRPr="004D0DAA">
              <w:t xml:space="preserve"> information element defined in sub-clause 12.8. When used in this message, the </w:t>
            </w:r>
            <w:r w:rsidRPr="004D0DAA">
              <w:rPr>
                <w:i/>
              </w:rPr>
              <w:t>Frequency Parameters</w:t>
            </w:r>
            <w:r w:rsidRPr="004D0DAA">
              <w:t xml:space="preserve"> information element shall define a non-hopping radio frequency channel or use the </w:t>
            </w:r>
            <w:r w:rsidRPr="004D0DAA">
              <w:rPr>
                <w:i/>
              </w:rPr>
              <w:t>direct encoding 2</w:t>
            </w:r>
            <w:r w:rsidRPr="004D0DAA">
              <w:t xml:space="preserve"> to define a hopping radio frequency channel. </w:t>
            </w:r>
          </w:p>
        </w:tc>
      </w:tr>
      <w:tr w:rsidR="00711444" w:rsidRPr="004D0DAA" w14:paraId="210BBC70" w14:textId="77777777" w:rsidTr="00AA2A4C">
        <w:tblPrEx>
          <w:tblCellMar>
            <w:top w:w="0" w:type="dxa"/>
            <w:bottom w:w="0" w:type="dxa"/>
          </w:tblCellMar>
        </w:tblPrEx>
        <w:trPr>
          <w:cantSplit/>
        </w:trPr>
        <w:tc>
          <w:tcPr>
            <w:tcW w:w="9747" w:type="dxa"/>
          </w:tcPr>
          <w:p w14:paraId="58D93D26" w14:textId="77777777" w:rsidR="00711444" w:rsidRPr="004D0DAA" w:rsidRDefault="00711444" w:rsidP="00AA2A4C">
            <w:pPr>
              <w:rPr>
                <w:b/>
              </w:rPr>
            </w:pPr>
            <w:r w:rsidRPr="004D0DAA">
              <w:rPr>
                <w:b/>
              </w:rPr>
              <w:t xml:space="preserve">RAC </w:t>
            </w:r>
            <w:r w:rsidRPr="004D0DAA">
              <w:rPr>
                <w:bCs/>
              </w:rPr>
              <w:t>(8 bit field)</w:t>
            </w:r>
            <w:r w:rsidRPr="004D0DAA">
              <w:rPr>
                <w:bCs/>
              </w:rPr>
              <w:br/>
              <w:t>This field is the binary representation of the Routing Area Code, see 3GPP TS 23.003.</w:t>
            </w:r>
          </w:p>
        </w:tc>
      </w:tr>
      <w:tr w:rsidR="00711444" w:rsidRPr="004D0DAA" w14:paraId="3919380E" w14:textId="77777777" w:rsidTr="00AA2A4C">
        <w:tblPrEx>
          <w:tblCellMar>
            <w:top w:w="0" w:type="dxa"/>
            <w:bottom w:w="0" w:type="dxa"/>
          </w:tblCellMar>
        </w:tblPrEx>
        <w:trPr>
          <w:cantSplit/>
        </w:trPr>
        <w:tc>
          <w:tcPr>
            <w:tcW w:w="9747" w:type="dxa"/>
          </w:tcPr>
          <w:p w14:paraId="5A48E229" w14:textId="77777777" w:rsidR="00711444" w:rsidRPr="004D0DAA" w:rsidRDefault="00711444" w:rsidP="00AA2A4C">
            <w:pPr>
              <w:rPr>
                <w:b/>
              </w:rPr>
            </w:pPr>
            <w:r w:rsidRPr="004D0DAA">
              <w:rPr>
                <w:b/>
              </w:rPr>
              <w:t xml:space="preserve">PSI_CHANGED_IND </w:t>
            </w:r>
            <w:r w:rsidRPr="004D0DAA">
              <w:rPr>
                <w:bCs/>
              </w:rPr>
              <w:t>(1 bit field)</w:t>
            </w:r>
            <w:r w:rsidRPr="004D0DAA">
              <w:rPr>
                <w:bCs/>
              </w:rPr>
              <w:br/>
              <w:t>This field indicates whether the contents of any PSI message have been changed, see sub-clause 5.5.2.1.3.</w:t>
            </w:r>
            <w:r w:rsidRPr="004D0DAA">
              <w:rPr>
                <w:bCs/>
              </w:rPr>
              <w:br/>
              <w:t>If not included in the message, the value "0" shall be assumed.</w:t>
            </w:r>
          </w:p>
        </w:tc>
      </w:tr>
      <w:tr w:rsidR="00711444" w:rsidRPr="004D0DAA" w14:paraId="6108AAC7" w14:textId="77777777" w:rsidTr="00AA2A4C">
        <w:tblPrEx>
          <w:tblCellMar>
            <w:top w:w="0" w:type="dxa"/>
            <w:bottom w:w="0" w:type="dxa"/>
          </w:tblCellMar>
        </w:tblPrEx>
        <w:trPr>
          <w:cantSplit/>
        </w:trPr>
        <w:tc>
          <w:tcPr>
            <w:tcW w:w="9747" w:type="dxa"/>
          </w:tcPr>
          <w:p w14:paraId="17883FEA" w14:textId="77777777" w:rsidR="00711444" w:rsidRPr="004D0DAA" w:rsidRDefault="00711444" w:rsidP="00AA2A4C">
            <w:pPr>
              <w:rPr>
                <w:b/>
              </w:rPr>
            </w:pPr>
            <w:r w:rsidRPr="004D0DAA">
              <w:rPr>
                <w:b/>
              </w:rPr>
              <w:t>SI_STATUS_IND</w:t>
            </w:r>
            <w:r w:rsidRPr="004D0DAA">
              <w:t xml:space="preserve"> (1 bit field)</w:t>
            </w:r>
            <w:r w:rsidRPr="004D0DAA">
              <w:br/>
              <w:t>0</w:t>
            </w:r>
            <w:r w:rsidRPr="004D0DAA">
              <w:tab/>
              <w:t>The network does not support the PACKET SI STATUS message;</w:t>
            </w:r>
            <w:r w:rsidRPr="004D0DAA">
              <w:br/>
              <w:t>1</w:t>
            </w:r>
            <w:r w:rsidRPr="004D0DAA">
              <w:tab/>
              <w:t>The network supports the PACKET SI STATUS message.</w:t>
            </w:r>
            <w:r w:rsidRPr="004D0DAA">
              <w:br/>
            </w:r>
            <w:r w:rsidRPr="004D0DAA">
              <w:rPr>
                <w:bCs/>
              </w:rPr>
              <w:t>If not included in the message, the value "0" shall be assumed.</w:t>
            </w:r>
          </w:p>
        </w:tc>
      </w:tr>
      <w:tr w:rsidR="00711444" w:rsidRPr="004D0DAA" w14:paraId="3EE4CC6C" w14:textId="77777777" w:rsidTr="00AA2A4C">
        <w:tblPrEx>
          <w:tblCellMar>
            <w:top w:w="0" w:type="dxa"/>
            <w:bottom w:w="0" w:type="dxa"/>
          </w:tblCellMar>
        </w:tblPrEx>
        <w:trPr>
          <w:cantSplit/>
        </w:trPr>
        <w:tc>
          <w:tcPr>
            <w:tcW w:w="9747" w:type="dxa"/>
          </w:tcPr>
          <w:p w14:paraId="248C8C08" w14:textId="77777777" w:rsidR="00711444" w:rsidRPr="004D0DAA" w:rsidRDefault="00711444" w:rsidP="00AA2A4C">
            <w:pPr>
              <w:rPr>
                <w:b/>
              </w:rPr>
            </w:pPr>
            <w:r w:rsidRPr="004D0DAA">
              <w:rPr>
                <w:b/>
                <w:bCs/>
              </w:rPr>
              <w:lastRenderedPageBreak/>
              <w:t>LB_MS_TXPWR_MAX_CCH</w:t>
            </w:r>
            <w:r w:rsidRPr="004D0DAA">
              <w:t xml:space="preserve"> (5 bit field)</w:t>
            </w:r>
            <w:r w:rsidRPr="004D0DAA">
              <w:br/>
              <w:t>The LB_MS_TXPWR_MAX_CCH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44ECF32B" w14:textId="77777777" w:rsidTr="00AA2A4C">
        <w:tblPrEx>
          <w:tblCellMar>
            <w:top w:w="0" w:type="dxa"/>
            <w:bottom w:w="0" w:type="dxa"/>
          </w:tblCellMar>
        </w:tblPrEx>
        <w:trPr>
          <w:cantSplit/>
        </w:trPr>
        <w:tc>
          <w:tcPr>
            <w:tcW w:w="9747" w:type="dxa"/>
          </w:tcPr>
          <w:p w14:paraId="6A8329F1" w14:textId="77777777" w:rsidR="00711444" w:rsidRPr="004D0DAA" w:rsidRDefault="00711444" w:rsidP="00AA2A4C">
            <w:pPr>
              <w:rPr>
                <w:b/>
              </w:rPr>
            </w:pPr>
            <w:r w:rsidRPr="004D0DAA">
              <w:rPr>
                <w:b/>
              </w:rPr>
              <w:t xml:space="preserve">SI2n_SUPPORT </w:t>
            </w:r>
            <w:r w:rsidRPr="004D0DAA">
              <w:rPr>
                <w:bCs/>
              </w:rPr>
              <w:t>(2 bit field)</w:t>
            </w:r>
            <w:r w:rsidRPr="004D0DAA">
              <w:rPr>
                <w:bCs/>
              </w:rPr>
              <w:br/>
              <w:t xml:space="preserve">This field indicates the support of SI2n in the network, see 3GPP TS 44.018. </w:t>
            </w:r>
          </w:p>
        </w:tc>
      </w:tr>
    </w:tbl>
    <w:p w14:paraId="513992AF" w14:textId="77777777" w:rsidR="00711444" w:rsidRPr="004D0DAA" w:rsidRDefault="00711444" w:rsidP="00711444"/>
    <w:p w14:paraId="28BD2A27" w14:textId="77777777" w:rsidR="00711444" w:rsidRPr="004D0DAA" w:rsidRDefault="00711444" w:rsidP="00711444">
      <w:pPr>
        <w:pStyle w:val="Heading3"/>
      </w:pPr>
      <w:bookmarkStart w:id="706" w:name="_Toc516669882"/>
      <w:r w:rsidRPr="004D0DAA">
        <w:t>11.2.25b</w:t>
      </w:r>
      <w:r w:rsidRPr="004D0DAA">
        <w:tab/>
        <w:t>Packet System Information 15</w:t>
      </w:r>
      <w:bookmarkEnd w:id="706"/>
    </w:p>
    <w:p w14:paraId="7C06E731" w14:textId="77777777" w:rsidR="00711444" w:rsidRPr="004D0DAA" w:rsidRDefault="00711444" w:rsidP="00711444">
      <w:r w:rsidRPr="004D0DAA">
        <w:t xml:space="preserve">This message may be sent by the network on the PACCH. It may be sent to a mobile station with UTRAN capability. A mobile station with no UTRAN capability shall ignore this message. </w:t>
      </w:r>
    </w:p>
    <w:p w14:paraId="2FE03884" w14:textId="77777777" w:rsidR="00711444" w:rsidRPr="004D0DAA" w:rsidRDefault="00711444" w:rsidP="00711444">
      <w:r w:rsidRPr="004D0DAA">
        <w:t>The message provides the mobile station with a list of the UTRAN frequencies used by the network. These frequencies may be used in the cell selection procedure, see 3GPP TS 25.304. If both an UTRAN Frequency List Description struct and an UTRAN Frequency List information element (3GPP TS 44.018) are received, the mobile station shall use the one most recently received.</w:t>
      </w:r>
    </w:p>
    <w:p w14:paraId="47E4E137" w14:textId="77777777" w:rsidR="00711444" w:rsidRPr="004D0DAA" w:rsidRDefault="00711444" w:rsidP="00711444">
      <w:pPr>
        <w:pStyle w:val="EX"/>
      </w:pPr>
      <w:r w:rsidRPr="004D0DAA">
        <w:t>Message type:</w:t>
      </w:r>
      <w:r w:rsidRPr="004D0DAA">
        <w:tab/>
        <w:t>PACKET SYSTEM INFORMATION TYPE 15</w:t>
      </w:r>
    </w:p>
    <w:p w14:paraId="32A0DCD7" w14:textId="77777777" w:rsidR="00711444" w:rsidRPr="004D0DAA" w:rsidRDefault="00711444" w:rsidP="00711444">
      <w:pPr>
        <w:pStyle w:val="EX"/>
      </w:pPr>
      <w:r w:rsidRPr="004D0DAA">
        <w:t>Direction:</w:t>
      </w:r>
      <w:r w:rsidRPr="004D0DAA">
        <w:tab/>
        <w:t>network to mobile station</w:t>
      </w:r>
    </w:p>
    <w:p w14:paraId="6044E01F" w14:textId="77777777" w:rsidR="00711444" w:rsidRPr="004D0DAA" w:rsidRDefault="00711444" w:rsidP="00711444">
      <w:pPr>
        <w:pStyle w:val="EX"/>
      </w:pPr>
      <w:r w:rsidRPr="004D0DAA">
        <w:t>Classification:</w:t>
      </w:r>
      <w:r w:rsidRPr="004D0DAA">
        <w:tab/>
        <w:t>distribution message</w:t>
      </w:r>
    </w:p>
    <w:p w14:paraId="4D56F20F" w14:textId="77777777" w:rsidR="00711444" w:rsidRPr="004D0DAA" w:rsidRDefault="00711444" w:rsidP="00711444">
      <w:pPr>
        <w:pStyle w:val="TH"/>
      </w:pPr>
      <w:r w:rsidRPr="004D0DAA">
        <w:t>Table 11.2.25b.1: PSI15 information elements</w:t>
      </w:r>
    </w:p>
    <w:tbl>
      <w:tblPr>
        <w:tblW w:w="0" w:type="auto"/>
        <w:tblBorders>
          <w:top w:val="single" w:sz="6" w:space="0" w:color="auto"/>
          <w:left w:val="single" w:sz="6" w:space="0" w:color="auto"/>
          <w:bottom w:val="single" w:sz="6" w:space="0" w:color="auto"/>
          <w:right w:val="single" w:sz="6" w:space="0" w:color="auto"/>
          <w:insideH w:val="single" w:sz="6" w:space="0" w:color="C0C0C0"/>
        </w:tblBorders>
        <w:tblLayout w:type="fixed"/>
        <w:tblLook w:val="0000" w:firstRow="0" w:lastRow="0" w:firstColumn="0" w:lastColumn="0" w:noHBand="0" w:noVBand="0"/>
      </w:tblPr>
      <w:tblGrid>
        <w:gridCol w:w="9747"/>
      </w:tblGrid>
      <w:tr w:rsidR="00711444" w:rsidRPr="004D0DAA" w14:paraId="1297D8DE" w14:textId="77777777" w:rsidTr="00AA2A4C">
        <w:tblPrEx>
          <w:tblCellMar>
            <w:top w:w="0" w:type="dxa"/>
            <w:bottom w:w="0" w:type="dxa"/>
          </w:tblCellMar>
        </w:tblPrEx>
        <w:trPr>
          <w:cantSplit/>
        </w:trPr>
        <w:tc>
          <w:tcPr>
            <w:tcW w:w="9747" w:type="dxa"/>
          </w:tcPr>
          <w:p w14:paraId="1B90F966" w14:textId="77777777" w:rsidR="00711444" w:rsidRPr="004D0DAA" w:rsidRDefault="00711444" w:rsidP="00AA2A4C">
            <w:pPr>
              <w:pStyle w:val="TAL"/>
              <w:rPr>
                <w:lang w:eastAsia="en-US"/>
              </w:rPr>
            </w:pPr>
            <w:r w:rsidRPr="004D0DAA">
              <w:rPr>
                <w:lang w:eastAsia="en-US"/>
              </w:rPr>
              <w:t>&lt; PSI15 message content &gt; ::=</w:t>
            </w:r>
          </w:p>
          <w:p w14:paraId="23BC90A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PAGE_MODE </w:t>
            </w:r>
            <w:r w:rsidRPr="004D0DAA">
              <w:rPr>
                <w:lang w:eastAsia="en-US"/>
              </w:rPr>
              <w:t>: bit (2) &gt;</w:t>
            </w:r>
            <w:r w:rsidRPr="004D0DAA">
              <w:rPr>
                <w:lang w:eastAsia="en-US"/>
              </w:rPr>
              <w:br/>
            </w:r>
            <w:r w:rsidRPr="004D0DAA">
              <w:rPr>
                <w:lang w:eastAsia="en-US"/>
              </w:rPr>
              <w:tab/>
              <w:t xml:space="preserve">{ 0 | 1 &lt; </w:t>
            </w:r>
            <w:r w:rsidRPr="004D0DAA">
              <w:rPr>
                <w:b/>
                <w:lang w:eastAsia="en-US"/>
              </w:rPr>
              <w:t>UTRAN Frequency List</w:t>
            </w:r>
            <w:r w:rsidRPr="004D0DAA">
              <w:rPr>
                <w:lang w:eastAsia="en-US"/>
              </w:rPr>
              <w:t xml:space="preserve"> : &lt; UTRAN Frequency List</w:t>
            </w:r>
            <w:r w:rsidRPr="004D0DAA">
              <w:rPr>
                <w:b/>
                <w:lang w:eastAsia="en-US"/>
              </w:rPr>
              <w:t xml:space="preserve"> </w:t>
            </w:r>
            <w:r w:rsidRPr="004D0DAA">
              <w:rPr>
                <w:lang w:eastAsia="en-US"/>
              </w:rPr>
              <w:t>Description struct &gt;&gt; }</w:t>
            </w:r>
          </w:p>
          <w:p w14:paraId="14052A69" w14:textId="77777777" w:rsidR="00711444" w:rsidRPr="004D0DAA" w:rsidRDefault="00711444" w:rsidP="00AA2A4C">
            <w:pPr>
              <w:pStyle w:val="TAL"/>
              <w:rPr>
                <w:lang w:eastAsia="en-US"/>
              </w:rPr>
            </w:pPr>
            <w:r w:rsidRPr="004D0DAA">
              <w:rPr>
                <w:lang w:eastAsia="en-US"/>
              </w:rPr>
              <w:tab/>
              <w:t>&lt; padding bits &gt;</w:t>
            </w:r>
          </w:p>
          <w:p w14:paraId="2538C148" w14:textId="77777777" w:rsidR="00711444" w:rsidRPr="004D0DAA" w:rsidRDefault="00711444" w:rsidP="00AA2A4C">
            <w:pPr>
              <w:pStyle w:val="TAL"/>
              <w:rPr>
                <w:lang w:eastAsia="en-US"/>
              </w:rPr>
            </w:pPr>
            <w:r w:rsidRPr="004D0DAA">
              <w:rPr>
                <w:lang w:eastAsia="en-US"/>
              </w:rPr>
              <w:tab/>
              <w:t>! &lt; Distribution part error : bit (*) = &lt; no string &gt;&gt; ;</w:t>
            </w:r>
          </w:p>
          <w:p w14:paraId="0D5BB768" w14:textId="77777777" w:rsidR="00711444" w:rsidRPr="004D0DAA" w:rsidRDefault="00711444" w:rsidP="00AA2A4C">
            <w:pPr>
              <w:pStyle w:val="TAL"/>
              <w:rPr>
                <w:lang w:eastAsia="en-US"/>
              </w:rPr>
            </w:pPr>
          </w:p>
        </w:tc>
      </w:tr>
      <w:tr w:rsidR="00711444" w:rsidRPr="004D0DAA" w14:paraId="5639710E" w14:textId="77777777" w:rsidTr="00AA2A4C">
        <w:tblPrEx>
          <w:tblCellMar>
            <w:top w:w="0" w:type="dxa"/>
            <w:bottom w:w="0" w:type="dxa"/>
          </w:tblCellMar>
        </w:tblPrEx>
        <w:trPr>
          <w:cantSplit/>
        </w:trPr>
        <w:tc>
          <w:tcPr>
            <w:tcW w:w="9747" w:type="dxa"/>
          </w:tcPr>
          <w:p w14:paraId="66676615" w14:textId="77777777" w:rsidR="00711444" w:rsidRPr="004D0DAA" w:rsidRDefault="00711444" w:rsidP="00AA2A4C">
            <w:pPr>
              <w:pStyle w:val="TAL"/>
              <w:rPr>
                <w:lang w:eastAsia="en-US"/>
              </w:rPr>
            </w:pPr>
            <w:r w:rsidRPr="004D0DAA">
              <w:rPr>
                <w:lang w:eastAsia="en-US"/>
              </w:rPr>
              <w:t xml:space="preserve">&lt; UTRAN Frequency List Description struct &gt; ::= </w:t>
            </w:r>
          </w:p>
          <w:p w14:paraId="27C41EA1" w14:textId="77777777" w:rsidR="00711444" w:rsidRPr="004D0DAA" w:rsidRDefault="00711444" w:rsidP="00AA2A4C">
            <w:pPr>
              <w:pStyle w:val="TAL"/>
              <w:rPr>
                <w:lang w:eastAsia="en-US"/>
              </w:rPr>
            </w:pPr>
            <w:r w:rsidRPr="004D0DAA">
              <w:rPr>
                <w:lang w:eastAsia="en-US"/>
              </w:rPr>
              <w:tab/>
              <w:t>{ 1 &lt; FDD_ARFCN &gt; : bit (14) } ** 0</w:t>
            </w:r>
            <w:r w:rsidRPr="004D0DAA">
              <w:rPr>
                <w:lang w:eastAsia="en-US"/>
              </w:rPr>
              <w:tab/>
            </w:r>
            <w:r w:rsidRPr="004D0DAA">
              <w:rPr>
                <w:lang w:eastAsia="en-US"/>
              </w:rPr>
              <w:tab/>
            </w:r>
            <w:r w:rsidRPr="004D0DAA">
              <w:rPr>
                <w:lang w:eastAsia="en-US"/>
              </w:rPr>
              <w:tab/>
              <w:t xml:space="preserve">-- </w:t>
            </w:r>
            <w:r w:rsidRPr="004D0DAA">
              <w:rPr>
                <w:i/>
                <w:lang w:eastAsia="en-US"/>
              </w:rPr>
              <w:t>FDD frequencies</w:t>
            </w:r>
            <w:r w:rsidRPr="004D0DAA">
              <w:rPr>
                <w:lang w:eastAsia="en-US"/>
              </w:rPr>
              <w:br/>
            </w:r>
            <w:r w:rsidRPr="004D0DAA">
              <w:rPr>
                <w:lang w:eastAsia="en-US"/>
              </w:rPr>
              <w:tab/>
              <w:t>{ 1 &lt; TDD_ARFCN &gt; : bit (14) } ** 0 ;</w:t>
            </w:r>
            <w:r w:rsidRPr="004D0DAA">
              <w:rPr>
                <w:lang w:eastAsia="en-US"/>
              </w:rPr>
              <w:tab/>
            </w:r>
            <w:r w:rsidRPr="004D0DAA">
              <w:rPr>
                <w:lang w:eastAsia="en-US"/>
              </w:rPr>
              <w:tab/>
              <w:t xml:space="preserve">-- </w:t>
            </w:r>
            <w:r w:rsidRPr="004D0DAA">
              <w:rPr>
                <w:i/>
                <w:lang w:eastAsia="en-US"/>
              </w:rPr>
              <w:t>TDD frequencies</w:t>
            </w:r>
          </w:p>
          <w:p w14:paraId="29D7C8A7" w14:textId="77777777" w:rsidR="00711444" w:rsidRPr="004D0DAA" w:rsidRDefault="00711444" w:rsidP="00AA2A4C">
            <w:pPr>
              <w:pStyle w:val="TAL"/>
              <w:rPr>
                <w:lang w:eastAsia="en-US"/>
              </w:rPr>
            </w:pPr>
          </w:p>
        </w:tc>
      </w:tr>
    </w:tbl>
    <w:p w14:paraId="74B2FD60" w14:textId="77777777" w:rsidR="00711444" w:rsidRPr="004D0DAA" w:rsidRDefault="00711444" w:rsidP="00711444"/>
    <w:p w14:paraId="11AF3D2B" w14:textId="77777777" w:rsidR="00711444" w:rsidRPr="004D0DAA" w:rsidRDefault="00711444" w:rsidP="00711444">
      <w:pPr>
        <w:pStyle w:val="TH"/>
      </w:pPr>
      <w:r w:rsidRPr="004D0DAA">
        <w:t>Table 11.2.25b.2: PSI15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11444" w:rsidRPr="004D0DAA" w14:paraId="11D1BC57" w14:textId="77777777" w:rsidTr="00AA2A4C">
        <w:tblPrEx>
          <w:tblCellMar>
            <w:top w:w="0" w:type="dxa"/>
            <w:bottom w:w="0" w:type="dxa"/>
          </w:tblCellMar>
        </w:tblPrEx>
        <w:trPr>
          <w:cantSplit/>
        </w:trPr>
        <w:tc>
          <w:tcPr>
            <w:tcW w:w="9747" w:type="dxa"/>
          </w:tcPr>
          <w:p w14:paraId="0ACA66AD" w14:textId="77777777" w:rsidR="00711444" w:rsidRPr="004D0DAA" w:rsidRDefault="00711444" w:rsidP="00AA2A4C">
            <w:r w:rsidRPr="004D0DAA">
              <w:rPr>
                <w:b/>
              </w:rPr>
              <w:t>PAGE_MODE</w:t>
            </w:r>
            <w:r w:rsidRPr="004D0DAA">
              <w:t xml:space="preserve"> (2 bit field)</w:t>
            </w:r>
            <w:r w:rsidRPr="004D0DAA">
              <w:br/>
              <w:t xml:space="preserve">This field is defined in sub-clause 12.20. </w:t>
            </w:r>
          </w:p>
        </w:tc>
      </w:tr>
      <w:tr w:rsidR="00711444" w:rsidRPr="004D0DAA" w14:paraId="5D860C98" w14:textId="77777777" w:rsidTr="00AA2A4C">
        <w:tblPrEx>
          <w:tblCellMar>
            <w:top w:w="0" w:type="dxa"/>
            <w:bottom w:w="0" w:type="dxa"/>
          </w:tblCellMar>
        </w:tblPrEx>
        <w:trPr>
          <w:cantSplit/>
        </w:trPr>
        <w:tc>
          <w:tcPr>
            <w:tcW w:w="9747" w:type="dxa"/>
          </w:tcPr>
          <w:p w14:paraId="3632FFA4" w14:textId="77777777" w:rsidR="00711444" w:rsidRPr="004D0DAA" w:rsidRDefault="00711444" w:rsidP="00AA2A4C">
            <w:pPr>
              <w:rPr>
                <w:b/>
              </w:rPr>
            </w:pPr>
            <w:r w:rsidRPr="004D0DAA">
              <w:rPr>
                <w:b/>
              </w:rPr>
              <w:t>UTRAN Frequency List Description struct</w:t>
            </w:r>
            <w:r w:rsidRPr="004D0DAA">
              <w:br/>
              <w:t xml:space="preserve">FDD_ARFCN and TDD_ARFCN (14 bits field) are defined as the UARFCN in 3GPP TS 25.101 and 3GPP TS 25.102. </w:t>
            </w:r>
          </w:p>
        </w:tc>
      </w:tr>
    </w:tbl>
    <w:p w14:paraId="7A9E1123" w14:textId="77777777" w:rsidR="00711444" w:rsidRPr="004D0DAA" w:rsidRDefault="00711444" w:rsidP="00711444"/>
    <w:p w14:paraId="1D045777" w14:textId="77777777" w:rsidR="00711444" w:rsidRPr="004D0DAA" w:rsidRDefault="00711444" w:rsidP="00711444">
      <w:pPr>
        <w:pStyle w:val="Heading3"/>
      </w:pPr>
      <w:bookmarkStart w:id="707" w:name="_Toc516669883"/>
      <w:r w:rsidRPr="004D0DAA">
        <w:t>11.2.25c</w:t>
      </w:r>
      <w:r w:rsidRPr="004D0DAA">
        <w:tab/>
        <w:t>Packet System Information Type 16</w:t>
      </w:r>
      <w:bookmarkEnd w:id="707"/>
    </w:p>
    <w:p w14:paraId="4A9C2B80" w14:textId="77777777" w:rsidR="00711444" w:rsidRPr="004D0DAA" w:rsidRDefault="00711444" w:rsidP="00711444">
      <w:r w:rsidRPr="004D0DAA">
        <w:t xml:space="preserve">This message is sent by the network on the PBCCH and the PACCH giving information about </w:t>
      </w:r>
      <w:r w:rsidRPr="004D0DAA">
        <w:rPr>
          <w:i/>
          <w:iCs/>
        </w:rPr>
        <w:t xml:space="preserve">Iu mode </w:t>
      </w:r>
      <w:r w:rsidRPr="004D0DAA">
        <w:t>operation. Special requirements for the transmission of this message apply on the PBCCH, see 3GPP TS 45.002.</w:t>
      </w:r>
    </w:p>
    <w:p w14:paraId="643D9AF9" w14:textId="77777777" w:rsidR="00711444" w:rsidRPr="004D0DAA" w:rsidRDefault="00711444" w:rsidP="00711444">
      <w:r w:rsidRPr="004D0DAA">
        <w:t>This message shall not be segmented across more than one RLC/MAC control block by using the procedures specified in sub-clause 9.1.12a. A consistent set of this message type is required to completely decode the information (see sub-clause 5.5.2.1.4).</w:t>
      </w:r>
    </w:p>
    <w:p w14:paraId="2A6F3B9E" w14:textId="77777777" w:rsidR="00711444" w:rsidRPr="004D0DAA" w:rsidRDefault="00711444" w:rsidP="00711444">
      <w:pPr>
        <w:pStyle w:val="EX"/>
      </w:pPr>
      <w:r w:rsidRPr="004D0DAA">
        <w:t>Message type:</w:t>
      </w:r>
      <w:r w:rsidRPr="004D0DAA">
        <w:tab/>
        <w:t>PACKET SYSTEM INFORMATION TYPE 16</w:t>
      </w:r>
    </w:p>
    <w:p w14:paraId="084EEB3A" w14:textId="77777777" w:rsidR="00711444" w:rsidRPr="004D0DAA" w:rsidRDefault="00711444" w:rsidP="00711444">
      <w:pPr>
        <w:pStyle w:val="EX"/>
      </w:pPr>
      <w:r w:rsidRPr="004D0DAA">
        <w:t>Direction:</w:t>
      </w:r>
      <w:r w:rsidRPr="004D0DAA">
        <w:tab/>
        <w:t>network to mobile station</w:t>
      </w:r>
    </w:p>
    <w:p w14:paraId="56A2C6D8" w14:textId="77777777" w:rsidR="00711444" w:rsidRPr="004D0DAA" w:rsidRDefault="00711444" w:rsidP="00711444">
      <w:pPr>
        <w:pStyle w:val="EX"/>
      </w:pPr>
      <w:r w:rsidRPr="004D0DAA">
        <w:lastRenderedPageBreak/>
        <w:t>Classification:</w:t>
      </w:r>
      <w:r w:rsidRPr="004D0DAA">
        <w:tab/>
        <w:t>distribution message</w:t>
      </w:r>
    </w:p>
    <w:p w14:paraId="3DB31DD7" w14:textId="77777777" w:rsidR="00711444" w:rsidRPr="004D0DAA" w:rsidRDefault="00711444" w:rsidP="00711444">
      <w:pPr>
        <w:pStyle w:val="TH"/>
      </w:pPr>
      <w:r w:rsidRPr="004D0DAA">
        <w:t>Table 11.2.25c.1: PSI16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5D3C6CF" w14:textId="77777777" w:rsidTr="00AA2A4C">
        <w:tblPrEx>
          <w:tblCellMar>
            <w:top w:w="0" w:type="dxa"/>
            <w:bottom w:w="0" w:type="dxa"/>
          </w:tblCellMar>
        </w:tblPrEx>
        <w:trPr>
          <w:cantSplit/>
        </w:trPr>
        <w:tc>
          <w:tcPr>
            <w:tcW w:w="9848" w:type="dxa"/>
          </w:tcPr>
          <w:p w14:paraId="1B8CA4FD" w14:textId="77777777" w:rsidR="00711444" w:rsidRPr="004D0DAA" w:rsidRDefault="00711444" w:rsidP="00AA2A4C">
            <w:pPr>
              <w:pStyle w:val="TAL"/>
              <w:rPr>
                <w:lang w:val="fr-FR" w:eastAsia="en-US"/>
              </w:rPr>
            </w:pPr>
            <w:r w:rsidRPr="004D0DAA">
              <w:rPr>
                <w:lang w:val="fr-FR" w:eastAsia="en-US"/>
              </w:rPr>
              <w:t>&lt; PSI16 message content &gt; ::=</w:t>
            </w:r>
          </w:p>
          <w:p w14:paraId="7DA23641"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53084C3B"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PSI16_CHANGE_MARK</w:t>
            </w:r>
            <w:r w:rsidRPr="004D0DAA">
              <w:rPr>
                <w:lang w:eastAsia="en-US"/>
              </w:rPr>
              <w:t xml:space="preserve"> : bit (2) &gt;</w:t>
            </w:r>
          </w:p>
          <w:p w14:paraId="00614D9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PSI16_INDEX</w:t>
            </w:r>
            <w:r w:rsidRPr="004D0DAA">
              <w:rPr>
                <w:lang w:eastAsia="en-US"/>
              </w:rPr>
              <w:t xml:space="preserve"> : bit (3) &gt;</w:t>
            </w:r>
          </w:p>
          <w:p w14:paraId="2FE9C79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PSI16_COUNT</w:t>
            </w:r>
            <w:r w:rsidRPr="004D0DAA">
              <w:rPr>
                <w:lang w:eastAsia="en-US"/>
              </w:rPr>
              <w:t xml:space="preserve"> : bit (3) &gt;</w:t>
            </w:r>
          </w:p>
          <w:p w14:paraId="369A8E6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GRA_ID_LIST</w:t>
            </w:r>
            <w:r w:rsidRPr="004D0DAA">
              <w:rPr>
                <w:lang w:eastAsia="en-US"/>
              </w:rPr>
              <w:t xml:space="preserve"> : &lt; GRA ID struct &gt; &gt;</w:t>
            </w:r>
          </w:p>
          <w:p w14:paraId="6255BD2A"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bCs/>
                <w:lang w:val="fr-FR" w:eastAsia="en-US"/>
              </w:rPr>
              <w:t>Iu_MODE_NMO_SUPPORT</w:t>
            </w:r>
            <w:r w:rsidRPr="004D0DAA">
              <w:rPr>
                <w:lang w:val="fr-FR" w:eastAsia="en-US"/>
              </w:rPr>
              <w:t> : bit (1) &gt;</w:t>
            </w:r>
          </w:p>
          <w:p w14:paraId="0E46D37F"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 xml:space="preserve">CN_DOMAIN_LIST </w:t>
            </w:r>
            <w:r w:rsidRPr="004D0DAA">
              <w:rPr>
                <w:lang w:val="fr-FR" w:eastAsia="en-US"/>
              </w:rPr>
              <w:t>: bit (2) &gt;</w:t>
            </w:r>
          </w:p>
          <w:p w14:paraId="4E2C5D71"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xml:space="preserve">&lt; </w:t>
            </w:r>
            <w:r w:rsidRPr="004D0DAA">
              <w:rPr>
                <w:b/>
                <w:lang w:val="fr-FR" w:eastAsia="en-US"/>
              </w:rPr>
              <w:t xml:space="preserve">CN_DOMAIN_IDENTITY </w:t>
            </w:r>
            <w:r w:rsidRPr="004D0DAA">
              <w:rPr>
                <w:bCs/>
                <w:lang w:val="fr-FR" w:eastAsia="en-US"/>
              </w:rPr>
              <w:t xml:space="preserve">: </w:t>
            </w:r>
            <w:r w:rsidRPr="004D0DAA">
              <w:rPr>
                <w:lang w:val="fr-FR" w:eastAsia="en-US"/>
              </w:rPr>
              <w:t>&lt; CN Domain Identity IE &gt; &gt;</w:t>
            </w:r>
          </w:p>
          <w:p w14:paraId="17099BA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&lt;</w:t>
            </w:r>
            <w:r w:rsidRPr="004D0DAA">
              <w:rPr>
                <w:b/>
                <w:bCs/>
                <w:lang w:val="fr-FR" w:eastAsia="en-US"/>
              </w:rPr>
              <w:t xml:space="preserve"> CN DOMAIN SPECIFIC DRX CYCLE LENGTH COEFFICIENT </w:t>
            </w:r>
            <w:r w:rsidRPr="004D0DAA">
              <w:rPr>
                <w:lang w:val="fr-FR" w:eastAsia="en-US"/>
              </w:rPr>
              <w:t xml:space="preserve">: </w:t>
            </w:r>
          </w:p>
          <w:p w14:paraId="66A458B0"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&lt;</w:t>
            </w:r>
            <w:r w:rsidRPr="004D0DAA">
              <w:rPr>
                <w:b/>
                <w:bCs/>
                <w:lang w:val="fr-FR" w:eastAsia="en-US"/>
              </w:rPr>
              <w:t xml:space="preserve"> </w:t>
            </w:r>
            <w:r w:rsidRPr="004D0DAA">
              <w:rPr>
                <w:lang w:val="fr-FR" w:eastAsia="en-US"/>
              </w:rPr>
              <w:t>CN Domain Specific DRX Cycle Length Coefficient IE &gt; &gt;</w:t>
            </w:r>
          </w:p>
          <w:p w14:paraId="49EB32AD" w14:textId="77777777" w:rsidR="00711444" w:rsidRPr="004D0DAA" w:rsidRDefault="00711444" w:rsidP="00AA2A4C">
            <w:pPr>
              <w:pStyle w:val="TAL"/>
              <w:rPr>
                <w:lang w:eastAsia="en-US"/>
              </w:rPr>
            </w:pPr>
            <w:r w:rsidRPr="004D0DAA">
              <w:rPr>
                <w:lang w:val="fr-FR" w:eastAsia="en-US"/>
              </w:rPr>
              <w:tab/>
            </w:r>
            <w:r w:rsidRPr="004D0DAA">
              <w:rPr>
                <w:lang w:eastAsia="en-US"/>
              </w:rPr>
              <w:t>} * (1+val(CN_DOMAIN_LIST))</w:t>
            </w:r>
          </w:p>
          <w:p w14:paraId="5F03EF6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3G_LAC</w:t>
            </w:r>
            <w:r w:rsidRPr="004D0DAA">
              <w:rPr>
                <w:lang w:eastAsia="en-US"/>
              </w:rPr>
              <w:t xml:space="preserve"> : bit (16) &gt; }</w:t>
            </w:r>
          </w:p>
          <w:p w14:paraId="350483CF"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3G_RAC</w:t>
            </w:r>
            <w:r w:rsidRPr="004D0DAA">
              <w:rPr>
                <w:lang w:eastAsia="en-US"/>
              </w:rPr>
              <w:t xml:space="preserve"> : bit (8) &gt; }</w:t>
            </w:r>
          </w:p>
          <w:p w14:paraId="09416EEC"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GRA_AND CELL UPDATE TIMER</w:t>
            </w:r>
            <w:r w:rsidRPr="004D0DAA">
              <w:rPr>
                <w:lang w:eastAsia="en-US"/>
              </w:rPr>
              <w:t xml:space="preserve"> : bit (3) &gt; }</w:t>
            </w:r>
          </w:p>
          <w:p w14:paraId="2E491B98" w14:textId="77777777" w:rsidR="00711444" w:rsidRPr="004D0DAA" w:rsidRDefault="00711444" w:rsidP="00AA2A4C">
            <w:pPr>
              <w:pStyle w:val="TAL"/>
              <w:rPr>
                <w:lang w:eastAsia="en-US"/>
              </w:rPr>
            </w:pPr>
            <w:r w:rsidRPr="004D0DAA">
              <w:rPr>
                <w:lang w:eastAsia="en-US"/>
              </w:rPr>
              <w:tab/>
              <w:t>&lt; padding bits &gt;</w:t>
            </w:r>
          </w:p>
          <w:p w14:paraId="45B4511D" w14:textId="77777777" w:rsidR="00711444" w:rsidRPr="004D0DAA" w:rsidRDefault="00711444" w:rsidP="00AA2A4C">
            <w:pPr>
              <w:pStyle w:val="TAL"/>
              <w:rPr>
                <w:lang w:eastAsia="en-US"/>
              </w:rPr>
            </w:pPr>
            <w:r w:rsidRPr="004D0DAA">
              <w:rPr>
                <w:lang w:eastAsia="en-US"/>
              </w:rPr>
              <w:tab/>
              <w:t>! &lt; Distribution part error : bit (*) = &lt; no string &gt;&gt; ;</w:t>
            </w:r>
          </w:p>
          <w:p w14:paraId="31989689" w14:textId="77777777" w:rsidR="00711444" w:rsidRPr="004D0DAA" w:rsidRDefault="00711444" w:rsidP="00AA2A4C">
            <w:pPr>
              <w:pStyle w:val="TAL"/>
              <w:rPr>
                <w:lang w:eastAsia="en-US"/>
              </w:rPr>
            </w:pPr>
          </w:p>
        </w:tc>
      </w:tr>
      <w:tr w:rsidR="00711444" w:rsidRPr="004D0DAA" w14:paraId="16880666" w14:textId="77777777" w:rsidTr="00AA2A4C">
        <w:tblPrEx>
          <w:tblCellMar>
            <w:top w:w="0" w:type="dxa"/>
            <w:bottom w:w="0" w:type="dxa"/>
          </w:tblCellMar>
        </w:tblPrEx>
        <w:trPr>
          <w:cantSplit/>
        </w:trPr>
        <w:tc>
          <w:tcPr>
            <w:tcW w:w="9848" w:type="dxa"/>
          </w:tcPr>
          <w:p w14:paraId="687EC026" w14:textId="77777777" w:rsidR="00711444" w:rsidRPr="004D0DAA" w:rsidRDefault="00711444" w:rsidP="00AA2A4C">
            <w:pPr>
              <w:pStyle w:val="TAL"/>
              <w:rPr>
                <w:lang w:eastAsia="en-US"/>
              </w:rPr>
            </w:pPr>
            <w:r w:rsidRPr="004D0DAA">
              <w:rPr>
                <w:lang w:eastAsia="en-US"/>
              </w:rPr>
              <w:t>&lt; GRA ID struct &gt; ::=</w:t>
            </w:r>
          </w:p>
          <w:p w14:paraId="619E608C"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NUMBER_OF_GRA_IDs</w:t>
            </w:r>
            <w:r w:rsidRPr="004D0DAA">
              <w:rPr>
                <w:lang w:eastAsia="en-US"/>
              </w:rPr>
              <w:t xml:space="preserve"> : bit (3) &gt;</w:t>
            </w:r>
          </w:p>
          <w:p w14:paraId="13EAC689" w14:textId="77777777" w:rsidR="00711444" w:rsidRPr="004D0DAA" w:rsidRDefault="00711444" w:rsidP="00AA2A4C">
            <w:pPr>
              <w:pStyle w:val="TAL"/>
              <w:rPr>
                <w:lang w:eastAsia="en-US"/>
              </w:rPr>
            </w:pPr>
            <w:r w:rsidRPr="004D0DAA">
              <w:rPr>
                <w:lang w:eastAsia="en-US"/>
              </w:rPr>
              <w:tab/>
              <w:t xml:space="preserve">{ &lt; </w:t>
            </w:r>
            <w:r w:rsidRPr="004D0DAA">
              <w:rPr>
                <w:b/>
                <w:bCs/>
                <w:lang w:eastAsia="en-US"/>
              </w:rPr>
              <w:t>GRA_ID</w:t>
            </w:r>
            <w:r w:rsidRPr="004D0DAA">
              <w:rPr>
                <w:b/>
                <w:lang w:eastAsia="en-US"/>
              </w:rPr>
              <w:t xml:space="preserve"> </w:t>
            </w:r>
            <w:r w:rsidRPr="004D0DAA">
              <w:rPr>
                <w:lang w:eastAsia="en-US"/>
              </w:rPr>
              <w:t>: bit (16) &gt; } * (1 + val(NUMBER_OF_GRA_IDs));</w:t>
            </w:r>
          </w:p>
          <w:p w14:paraId="30CF29EC" w14:textId="77777777" w:rsidR="00711444" w:rsidRPr="004D0DAA" w:rsidRDefault="00711444" w:rsidP="00AA2A4C">
            <w:pPr>
              <w:pStyle w:val="TAL"/>
              <w:rPr>
                <w:lang w:eastAsia="en-US"/>
              </w:rPr>
            </w:pPr>
          </w:p>
        </w:tc>
      </w:tr>
    </w:tbl>
    <w:p w14:paraId="7B6A2B5A" w14:textId="77777777" w:rsidR="00711444" w:rsidRPr="004D0DAA" w:rsidRDefault="00711444" w:rsidP="00711444"/>
    <w:p w14:paraId="330E13A8" w14:textId="77777777" w:rsidR="00711444" w:rsidRPr="004D0DAA" w:rsidRDefault="00711444" w:rsidP="00711444">
      <w:pPr>
        <w:pStyle w:val="TH"/>
      </w:pPr>
      <w:r w:rsidRPr="004D0DAA">
        <w:t>Table 11.2.25c.2: PSI16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2DCA25C" w14:textId="77777777" w:rsidTr="00AA2A4C">
        <w:tblPrEx>
          <w:tblCellMar>
            <w:top w:w="0" w:type="dxa"/>
            <w:bottom w:w="0" w:type="dxa"/>
          </w:tblCellMar>
        </w:tblPrEx>
        <w:trPr>
          <w:cantSplit/>
        </w:trPr>
        <w:tc>
          <w:tcPr>
            <w:tcW w:w="9848" w:type="dxa"/>
          </w:tcPr>
          <w:p w14:paraId="3E14E687" w14:textId="77777777" w:rsidR="00711444" w:rsidRPr="004D0DAA" w:rsidRDefault="00711444" w:rsidP="00AA2A4C">
            <w:pPr>
              <w:rPr>
                <w:b/>
              </w:rPr>
            </w:pPr>
            <w:r w:rsidRPr="004D0DAA">
              <w:rPr>
                <w:b/>
              </w:rPr>
              <w:t>PAGE_MODE</w:t>
            </w:r>
            <w:r w:rsidRPr="004D0DAA">
              <w:t xml:space="preserve"> (2 bit field)</w:t>
            </w:r>
            <w:r w:rsidRPr="004D0DAA">
              <w:br/>
              <w:t>This field describes which type of page mode used, i.e. either normal paging, extended paging, paging reorganization or same as before from the previous page mode. The mobile station shall ignore this field if the message is received on the PACCH. Coding of this field is defined in 3GPP TS 44.018</w:t>
            </w:r>
          </w:p>
        </w:tc>
      </w:tr>
      <w:tr w:rsidR="00711444" w:rsidRPr="004D0DAA" w14:paraId="26026516" w14:textId="77777777" w:rsidTr="00AA2A4C">
        <w:tblPrEx>
          <w:tblCellMar>
            <w:top w:w="0" w:type="dxa"/>
            <w:bottom w:w="0" w:type="dxa"/>
          </w:tblCellMar>
        </w:tblPrEx>
        <w:trPr>
          <w:cantSplit/>
        </w:trPr>
        <w:tc>
          <w:tcPr>
            <w:tcW w:w="9848" w:type="dxa"/>
          </w:tcPr>
          <w:p w14:paraId="254D6AAE" w14:textId="77777777" w:rsidR="00711444" w:rsidRPr="004D0DAA" w:rsidRDefault="00711444" w:rsidP="00AA2A4C">
            <w:pPr>
              <w:rPr>
                <w:b/>
              </w:rPr>
            </w:pPr>
            <w:r w:rsidRPr="004D0DAA">
              <w:rPr>
                <w:b/>
              </w:rPr>
              <w:t>PSI16_CHANGE_MARK</w:t>
            </w:r>
            <w:r w:rsidRPr="004D0DAA">
              <w:t xml:space="preserve"> (2 bit field)</w:t>
            </w:r>
            <w:r w:rsidRPr="004D0DAA">
              <w:br/>
              <w:t xml:space="preserve">This field is the binary representation of the PSI </w:t>
            </w:r>
            <w:r w:rsidRPr="004D0DAA">
              <w:rPr>
                <w:i/>
              </w:rPr>
              <w:t>change mark</w:t>
            </w:r>
            <w:r w:rsidRPr="004D0DAA">
              <w:t xml:space="preserve"> parameter identifying a consistent set of PSI16 messages. Range: 0 to 3.</w:t>
            </w:r>
          </w:p>
        </w:tc>
      </w:tr>
      <w:tr w:rsidR="00711444" w:rsidRPr="004D0DAA" w14:paraId="4AD8539F" w14:textId="77777777" w:rsidTr="00AA2A4C">
        <w:tblPrEx>
          <w:tblCellMar>
            <w:top w:w="0" w:type="dxa"/>
            <w:bottom w:w="0" w:type="dxa"/>
          </w:tblCellMar>
        </w:tblPrEx>
        <w:trPr>
          <w:cantSplit/>
        </w:trPr>
        <w:tc>
          <w:tcPr>
            <w:tcW w:w="9848" w:type="dxa"/>
          </w:tcPr>
          <w:p w14:paraId="44ECC898" w14:textId="77777777" w:rsidR="00711444" w:rsidRPr="004D0DAA" w:rsidRDefault="00711444" w:rsidP="00AA2A4C">
            <w:pPr>
              <w:rPr>
                <w:b/>
              </w:rPr>
            </w:pPr>
            <w:r w:rsidRPr="004D0DAA">
              <w:rPr>
                <w:b/>
              </w:rPr>
              <w:t>PSI16_INDEX</w:t>
            </w:r>
            <w:r w:rsidRPr="004D0DAA">
              <w:t xml:space="preserve"> (3 bit field)</w:t>
            </w:r>
            <w:r w:rsidRPr="004D0DAA">
              <w:br/>
              <w:t>The PSI16 index field is used to distinguish individual PSI16 messages. The field can take the binary representation of the values 0 to n, where n is the index of the last PSI16 message. (PSI16 count).</w:t>
            </w:r>
            <w:r w:rsidRPr="004D0DAA">
              <w:br/>
              <w:t>Range: 0 - 7.</w:t>
            </w:r>
          </w:p>
        </w:tc>
      </w:tr>
      <w:tr w:rsidR="00711444" w:rsidRPr="004D0DAA" w14:paraId="518F4F3C" w14:textId="77777777" w:rsidTr="00AA2A4C">
        <w:tblPrEx>
          <w:tblCellMar>
            <w:top w:w="0" w:type="dxa"/>
            <w:bottom w:w="0" w:type="dxa"/>
          </w:tblCellMar>
        </w:tblPrEx>
        <w:trPr>
          <w:cantSplit/>
        </w:trPr>
        <w:tc>
          <w:tcPr>
            <w:tcW w:w="9848" w:type="dxa"/>
          </w:tcPr>
          <w:p w14:paraId="680CE3E2" w14:textId="77777777" w:rsidR="00711444" w:rsidRPr="004D0DAA" w:rsidRDefault="00711444" w:rsidP="00AA2A4C">
            <w:pPr>
              <w:rPr>
                <w:b/>
              </w:rPr>
            </w:pPr>
            <w:r w:rsidRPr="004D0DAA">
              <w:rPr>
                <w:b/>
              </w:rPr>
              <w:t>PSI16_COUNT</w:t>
            </w:r>
            <w:r w:rsidRPr="004D0DAA">
              <w:t xml:space="preserve"> (3 bit field)</w:t>
            </w:r>
            <w:r w:rsidRPr="004D0DAA">
              <w:br/>
              <w:t>The PSI16 count field is coded as the binary representation of the last (highest indexed) individual PSI16 message.</w:t>
            </w:r>
            <w:r w:rsidRPr="004D0DAA">
              <w:br/>
              <w:t>Range: 0 - 7.</w:t>
            </w:r>
          </w:p>
        </w:tc>
      </w:tr>
      <w:tr w:rsidR="00711444" w:rsidRPr="004D0DAA" w14:paraId="54C375B3" w14:textId="77777777" w:rsidTr="00AA2A4C">
        <w:tblPrEx>
          <w:tblCellMar>
            <w:top w:w="0" w:type="dxa"/>
            <w:bottom w:w="0" w:type="dxa"/>
          </w:tblCellMar>
        </w:tblPrEx>
        <w:trPr>
          <w:cantSplit/>
        </w:trPr>
        <w:tc>
          <w:tcPr>
            <w:tcW w:w="9848" w:type="dxa"/>
          </w:tcPr>
          <w:p w14:paraId="01DF8D7D" w14:textId="77777777" w:rsidR="00711444" w:rsidRPr="004D0DAA" w:rsidRDefault="00711444" w:rsidP="00AA2A4C">
            <w:pPr>
              <w:rPr>
                <w:i/>
              </w:rPr>
            </w:pPr>
            <w:r w:rsidRPr="004D0DAA">
              <w:rPr>
                <w:i/>
              </w:rPr>
              <w:t>GERAN Id struct</w:t>
            </w:r>
          </w:p>
          <w:p w14:paraId="78439BF8" w14:textId="77777777" w:rsidR="00711444" w:rsidRPr="004D0DAA" w:rsidRDefault="00711444" w:rsidP="00AA2A4C">
            <w:pPr>
              <w:pStyle w:val="Index1"/>
              <w:keepLines w:val="0"/>
              <w:spacing w:after="180"/>
              <w:rPr>
                <w:bCs/>
              </w:rPr>
            </w:pPr>
            <w:r w:rsidRPr="004D0DAA">
              <w:rPr>
                <w:bCs/>
              </w:rPr>
              <w:t>At least one GRA Id shall be broadcast in each cell. Maximum number is eight.</w:t>
            </w:r>
          </w:p>
        </w:tc>
      </w:tr>
      <w:tr w:rsidR="00711444" w:rsidRPr="004D0DAA" w14:paraId="5E87ECC9" w14:textId="77777777" w:rsidTr="00AA2A4C">
        <w:tblPrEx>
          <w:tblCellMar>
            <w:top w:w="0" w:type="dxa"/>
            <w:bottom w:w="0" w:type="dxa"/>
          </w:tblCellMar>
        </w:tblPrEx>
        <w:trPr>
          <w:cantSplit/>
        </w:trPr>
        <w:tc>
          <w:tcPr>
            <w:tcW w:w="9848" w:type="dxa"/>
          </w:tcPr>
          <w:p w14:paraId="6987477D" w14:textId="77777777" w:rsidR="00711444" w:rsidRPr="004D0DAA" w:rsidRDefault="00711444" w:rsidP="00AA2A4C">
            <w:pPr>
              <w:spacing w:after="0"/>
            </w:pPr>
            <w:r w:rsidRPr="004D0DAA">
              <w:rPr>
                <w:b/>
                <w:bCs/>
              </w:rPr>
              <w:t>NUMBER_OF_GRA_IDs</w:t>
            </w:r>
            <w:r w:rsidRPr="004D0DAA">
              <w:t xml:space="preserve"> (3 bit field)</w:t>
            </w:r>
            <w:r w:rsidRPr="004D0DAA">
              <w:rPr>
                <w:rFonts w:ascii="Arial" w:hAnsi="Arial" w:cs="Arial"/>
              </w:rPr>
              <w:br/>
            </w:r>
            <w:r w:rsidRPr="004D0DAA">
              <w:t>The NUMBER of GRA Ids field is coded as the binary representation of the amount of GRA IDs sent in an individual PSI16 message.</w:t>
            </w:r>
          </w:p>
          <w:p w14:paraId="05CE8318" w14:textId="77777777" w:rsidR="00711444" w:rsidRPr="004D0DAA" w:rsidRDefault="00711444" w:rsidP="00AA2A4C">
            <w:pPr>
              <w:rPr>
                <w:iCs/>
              </w:rPr>
            </w:pPr>
            <w:r w:rsidRPr="004D0DAA">
              <w:t>Range: 0 - 7.</w:t>
            </w:r>
          </w:p>
        </w:tc>
      </w:tr>
      <w:tr w:rsidR="00711444" w:rsidRPr="004D0DAA" w14:paraId="00C4CB24" w14:textId="77777777" w:rsidTr="00AA2A4C">
        <w:tblPrEx>
          <w:tblCellMar>
            <w:top w:w="0" w:type="dxa"/>
            <w:bottom w:w="0" w:type="dxa"/>
          </w:tblCellMar>
        </w:tblPrEx>
        <w:trPr>
          <w:cantSplit/>
        </w:trPr>
        <w:tc>
          <w:tcPr>
            <w:tcW w:w="9848" w:type="dxa"/>
          </w:tcPr>
          <w:p w14:paraId="1F93B649" w14:textId="77777777" w:rsidR="00711444" w:rsidRPr="004D0DAA" w:rsidRDefault="00711444" w:rsidP="00AA2A4C">
            <w:pPr>
              <w:rPr>
                <w:b/>
              </w:rPr>
            </w:pPr>
            <w:r w:rsidRPr="004D0DAA">
              <w:rPr>
                <w:b/>
              </w:rPr>
              <w:t>GRA_ID</w:t>
            </w:r>
            <w:r w:rsidRPr="004D0DAA">
              <w:t xml:space="preserve"> (16 bit field)</w:t>
            </w:r>
            <w:r w:rsidRPr="004D0DAA">
              <w:br/>
              <w:t>The GRA_ID defines the indentity of a GERAN Registration Area Identity to which the cell belongs.</w:t>
            </w:r>
          </w:p>
        </w:tc>
      </w:tr>
      <w:tr w:rsidR="00711444" w:rsidRPr="004D0DAA" w14:paraId="7D1F81D1" w14:textId="77777777" w:rsidTr="00AA2A4C">
        <w:tblPrEx>
          <w:tblCellMar>
            <w:top w:w="0" w:type="dxa"/>
            <w:bottom w:w="0" w:type="dxa"/>
          </w:tblCellMar>
        </w:tblPrEx>
        <w:trPr>
          <w:cantSplit/>
        </w:trPr>
        <w:tc>
          <w:tcPr>
            <w:tcW w:w="9848" w:type="dxa"/>
          </w:tcPr>
          <w:p w14:paraId="18B1D589" w14:textId="77777777" w:rsidR="00711444" w:rsidRPr="004D0DAA" w:rsidRDefault="00711444" w:rsidP="00AA2A4C">
            <w:r w:rsidRPr="004D0DAA">
              <w:rPr>
                <w:b/>
                <w:iCs/>
              </w:rPr>
              <w:lastRenderedPageBreak/>
              <w:t>Iu_MODE_NMO_SUPPORT</w:t>
            </w:r>
            <w:r w:rsidRPr="004D0DAA">
              <w:rPr>
                <w:bCs/>
                <w:iCs/>
              </w:rPr>
              <w:t xml:space="preserve"> (1 bit field)</w:t>
            </w:r>
            <w:r w:rsidRPr="004D0DAA">
              <w:br/>
              <w:t>This parameter is used for determining network mode of operation for the 3G SGSN and the 3G MSC. The mobile station may assume that the network has set this field equally in all instancies of this message.</w:t>
            </w:r>
          </w:p>
          <w:p w14:paraId="795997BF" w14:textId="77777777" w:rsidR="00711444" w:rsidRPr="004D0DAA" w:rsidRDefault="00711444" w:rsidP="00AA2A4C">
            <w:pPr>
              <w:rPr>
                <w:b/>
              </w:rPr>
            </w:pPr>
            <w:r w:rsidRPr="004D0DAA">
              <w:t>Bit</w:t>
            </w:r>
            <w:r w:rsidRPr="004D0DAA">
              <w:br/>
            </w:r>
            <w:r w:rsidRPr="004D0DAA">
              <w:rPr>
                <w:bCs/>
              </w:rPr>
              <w:t>0</w:t>
            </w:r>
            <w:r w:rsidRPr="004D0DAA">
              <w:tab/>
              <w:t>Network Mode Operation I</w:t>
            </w:r>
            <w:r w:rsidRPr="004D0DAA">
              <w:br/>
            </w:r>
            <w:r w:rsidRPr="004D0DAA">
              <w:rPr>
                <w:bCs/>
              </w:rPr>
              <w:t>1</w:t>
            </w:r>
            <w:r w:rsidRPr="004D0DAA">
              <w:tab/>
              <w:t>Network Mode Operation II</w:t>
            </w:r>
          </w:p>
        </w:tc>
      </w:tr>
      <w:tr w:rsidR="00711444" w:rsidRPr="004D0DAA" w14:paraId="4C42A2E4" w14:textId="77777777" w:rsidTr="00AA2A4C">
        <w:tblPrEx>
          <w:tblCellMar>
            <w:top w:w="0" w:type="dxa"/>
            <w:bottom w:w="0" w:type="dxa"/>
          </w:tblCellMar>
        </w:tblPrEx>
        <w:trPr>
          <w:cantSplit/>
        </w:trPr>
        <w:tc>
          <w:tcPr>
            <w:tcW w:w="9848" w:type="dxa"/>
          </w:tcPr>
          <w:p w14:paraId="3CC42816" w14:textId="77777777" w:rsidR="00711444" w:rsidRPr="004D0DAA" w:rsidRDefault="00711444" w:rsidP="00AA2A4C">
            <w:pPr>
              <w:rPr>
                <w:b/>
                <w:bCs/>
              </w:rPr>
            </w:pPr>
            <w:r w:rsidRPr="004D0DAA">
              <w:rPr>
                <w:b/>
                <w:bCs/>
              </w:rPr>
              <w:t>CN_DOMAIN_LIST</w:t>
            </w:r>
            <w:r w:rsidRPr="004D0DAA">
              <w:t xml:space="preserve"> (2 bit field) </w:t>
            </w:r>
            <w:r w:rsidRPr="004D0DAA">
              <w:br/>
              <w:t xml:space="preserve">This field is used to repeat information for each CN domain. Range : 0 to MaxCNdomains-1. </w:t>
            </w:r>
          </w:p>
        </w:tc>
      </w:tr>
      <w:tr w:rsidR="00711444" w:rsidRPr="004D0DAA" w14:paraId="6747E613" w14:textId="77777777" w:rsidTr="00AA2A4C">
        <w:tblPrEx>
          <w:tblCellMar>
            <w:top w:w="0" w:type="dxa"/>
            <w:bottom w:w="0" w:type="dxa"/>
          </w:tblCellMar>
        </w:tblPrEx>
        <w:trPr>
          <w:cantSplit/>
        </w:trPr>
        <w:tc>
          <w:tcPr>
            <w:tcW w:w="9848" w:type="dxa"/>
          </w:tcPr>
          <w:p w14:paraId="336FE8EF" w14:textId="77777777" w:rsidR="00711444" w:rsidRPr="004D0DAA" w:rsidRDefault="00711444" w:rsidP="00AA2A4C">
            <w:pPr>
              <w:rPr>
                <w:b/>
                <w:bCs/>
              </w:rPr>
            </w:pPr>
            <w:r w:rsidRPr="004D0DAA">
              <w:rPr>
                <w:b/>
              </w:rPr>
              <w:t>CN_DOMAIN_IDENTITY</w:t>
            </w:r>
          </w:p>
        </w:tc>
      </w:tr>
      <w:tr w:rsidR="00711444" w:rsidRPr="004D0DAA" w14:paraId="0C1A18B9" w14:textId="77777777" w:rsidTr="00AA2A4C">
        <w:tblPrEx>
          <w:tblCellMar>
            <w:top w:w="0" w:type="dxa"/>
            <w:bottom w:w="0" w:type="dxa"/>
          </w:tblCellMar>
        </w:tblPrEx>
        <w:trPr>
          <w:cantSplit/>
        </w:trPr>
        <w:tc>
          <w:tcPr>
            <w:tcW w:w="9848" w:type="dxa"/>
          </w:tcPr>
          <w:p w14:paraId="4C524B28" w14:textId="77777777" w:rsidR="00711444" w:rsidRPr="004D0DAA" w:rsidRDefault="00711444" w:rsidP="00AA2A4C">
            <w:pPr>
              <w:rPr>
                <w:b/>
                <w:iCs/>
              </w:rPr>
            </w:pPr>
            <w:r w:rsidRPr="004D0DAA">
              <w:rPr>
                <w:b/>
                <w:bCs/>
              </w:rPr>
              <w:t>CN_DOMAIN_SPECIFIC_DRX_CYCLE_LENGTH_COFFICIENT</w:t>
            </w:r>
          </w:p>
        </w:tc>
      </w:tr>
      <w:tr w:rsidR="00711444" w:rsidRPr="004D0DAA" w14:paraId="25667B7F" w14:textId="77777777" w:rsidTr="00AA2A4C">
        <w:tblPrEx>
          <w:tblCellMar>
            <w:top w:w="0" w:type="dxa"/>
            <w:bottom w:w="0" w:type="dxa"/>
          </w:tblCellMar>
        </w:tblPrEx>
        <w:trPr>
          <w:cantSplit/>
        </w:trPr>
        <w:tc>
          <w:tcPr>
            <w:tcW w:w="9848" w:type="dxa"/>
          </w:tcPr>
          <w:p w14:paraId="603326DB" w14:textId="77777777" w:rsidR="00711444" w:rsidRPr="004D0DAA" w:rsidRDefault="00711444" w:rsidP="00AA2A4C">
            <w:pPr>
              <w:rPr>
                <w:b/>
              </w:rPr>
            </w:pPr>
            <w:r w:rsidRPr="004D0DAA">
              <w:rPr>
                <w:b/>
              </w:rPr>
              <w:t>3G_LAC</w:t>
            </w:r>
            <w:r w:rsidRPr="004D0DAA">
              <w:t xml:space="preserve"> (16 bit field)</w:t>
            </w:r>
            <w:r w:rsidRPr="004D0DAA">
              <w:br/>
              <w:t xml:space="preserve">This field is only broadcast if the cell supports </w:t>
            </w:r>
            <w:r w:rsidRPr="004D0DAA">
              <w:rPr>
                <w:i/>
                <w:iCs/>
              </w:rPr>
              <w:t>Iu mode</w:t>
            </w:r>
            <w:r w:rsidRPr="004D0DAA">
              <w:t xml:space="preserve"> and if 2G and 3G are using different location area codes. The coding of 3G_LAC is presented in 3GPP TS 23.003.</w:t>
            </w:r>
          </w:p>
        </w:tc>
      </w:tr>
      <w:tr w:rsidR="00711444" w:rsidRPr="004D0DAA" w14:paraId="7BB7C0E5" w14:textId="77777777" w:rsidTr="00AA2A4C">
        <w:tblPrEx>
          <w:tblCellMar>
            <w:top w:w="0" w:type="dxa"/>
            <w:bottom w:w="0" w:type="dxa"/>
          </w:tblCellMar>
        </w:tblPrEx>
        <w:trPr>
          <w:cantSplit/>
        </w:trPr>
        <w:tc>
          <w:tcPr>
            <w:tcW w:w="9848" w:type="dxa"/>
          </w:tcPr>
          <w:p w14:paraId="679C8C1A" w14:textId="77777777" w:rsidR="00711444" w:rsidRPr="004D0DAA" w:rsidRDefault="00711444" w:rsidP="00AA2A4C">
            <w:pPr>
              <w:rPr>
                <w:b/>
              </w:rPr>
            </w:pPr>
            <w:r w:rsidRPr="004D0DAA">
              <w:rPr>
                <w:b/>
              </w:rPr>
              <w:t>3G_RAC</w:t>
            </w:r>
            <w:r w:rsidRPr="004D0DAA">
              <w:t xml:space="preserve"> (8 bit field)</w:t>
            </w:r>
            <w:r w:rsidRPr="004D0DAA">
              <w:br/>
              <w:t xml:space="preserve">This field is only broadcast if the cell supports </w:t>
            </w:r>
            <w:r w:rsidRPr="004D0DAA">
              <w:rPr>
                <w:i/>
                <w:iCs/>
              </w:rPr>
              <w:t>Iu mode</w:t>
            </w:r>
            <w:r w:rsidRPr="004D0DAA">
              <w:t xml:space="preserve"> and if 2G and 3G are using different routing area codes. The coding of 3G_RAC is presented in 3GPP TS 23.003.</w:t>
            </w:r>
          </w:p>
        </w:tc>
      </w:tr>
      <w:tr w:rsidR="00711444" w:rsidRPr="004D0DAA" w14:paraId="12E491D1" w14:textId="77777777" w:rsidTr="00AA2A4C">
        <w:tblPrEx>
          <w:tblCellMar>
            <w:top w:w="0" w:type="dxa"/>
            <w:bottom w:w="0" w:type="dxa"/>
          </w:tblCellMar>
        </w:tblPrEx>
        <w:trPr>
          <w:cantSplit/>
        </w:trPr>
        <w:tc>
          <w:tcPr>
            <w:tcW w:w="9848" w:type="dxa"/>
          </w:tcPr>
          <w:p w14:paraId="53701045" w14:textId="77777777" w:rsidR="00711444" w:rsidRPr="004D0DAA" w:rsidRDefault="00711444" w:rsidP="00AA2A4C">
            <w:r w:rsidRPr="004D0DAA">
              <w:rPr>
                <w:b/>
              </w:rPr>
              <w:t>GRA_AND_CELL_UPDATE_TIMER</w:t>
            </w:r>
            <w:r w:rsidRPr="004D0DAA">
              <w:t xml:space="preserve"> (3 bit field)</w:t>
            </w:r>
            <w:r w:rsidRPr="004D0DAA">
              <w:br/>
              <w:t>This field is the binary representation of GRA and CELL UPDATE TIMERs.</w:t>
            </w:r>
          </w:p>
          <w:p w14:paraId="0D2D034E" w14:textId="77777777" w:rsidR="00711444" w:rsidRPr="004D0DAA" w:rsidRDefault="00711444" w:rsidP="00AA2A4C">
            <w:pPr>
              <w:rPr>
                <w:b/>
              </w:rPr>
            </w:pPr>
            <w:r w:rsidRPr="004D0DAA">
              <w:t>bit</w:t>
            </w:r>
            <w:r w:rsidRPr="004D0DAA">
              <w:br/>
              <w:t>3 2 1</w:t>
            </w:r>
            <w:r w:rsidRPr="004D0DAA">
              <w:br/>
              <w:t>0 0 0</w:t>
            </w:r>
            <w:r w:rsidRPr="004D0DAA">
              <w:tab/>
              <w:t>5 minutes</w:t>
            </w:r>
            <w:r w:rsidRPr="004D0DAA">
              <w:br/>
              <w:t>0 0 1</w:t>
            </w:r>
            <w:r w:rsidRPr="004D0DAA">
              <w:tab/>
              <w:t>10 minutes</w:t>
            </w:r>
            <w:r w:rsidRPr="004D0DAA">
              <w:br/>
              <w:t>0 1 0</w:t>
            </w:r>
            <w:r w:rsidRPr="004D0DAA">
              <w:tab/>
              <w:t>30 minutes</w:t>
            </w:r>
            <w:r w:rsidRPr="004D0DAA">
              <w:tab/>
              <w:t>(default value)</w:t>
            </w:r>
            <w:r w:rsidRPr="004D0DAA">
              <w:br/>
              <w:t>0 1 1</w:t>
            </w:r>
            <w:r w:rsidRPr="004D0DAA">
              <w:tab/>
              <w:t>60 minutes</w:t>
            </w:r>
            <w:r w:rsidRPr="004D0DAA">
              <w:br/>
              <w:t>1 0 0</w:t>
            </w:r>
            <w:r w:rsidRPr="004D0DAA">
              <w:tab/>
              <w:t>120 minutes</w:t>
            </w:r>
            <w:r w:rsidRPr="004D0DAA">
              <w:br/>
              <w:t>1 0 1</w:t>
            </w:r>
            <w:r w:rsidRPr="004D0DAA">
              <w:tab/>
              <w:t>360 minutes</w:t>
            </w:r>
            <w:r w:rsidRPr="004D0DAA">
              <w:br/>
              <w:t>1 1 0</w:t>
            </w:r>
            <w:r w:rsidRPr="004D0DAA">
              <w:tab/>
              <w:t>720 minutes</w:t>
            </w:r>
            <w:r w:rsidRPr="004D0DAA">
              <w:br/>
              <w:t>1 1 1</w:t>
            </w:r>
            <w:r w:rsidRPr="004D0DAA">
              <w:tab/>
              <w:t>Infinity</w:t>
            </w:r>
            <w:r w:rsidRPr="004D0DAA">
              <w:tab/>
              <w:t>(no update)</w:t>
            </w:r>
          </w:p>
        </w:tc>
      </w:tr>
    </w:tbl>
    <w:p w14:paraId="65BAC788" w14:textId="77777777" w:rsidR="00711444" w:rsidRPr="004D0DAA" w:rsidRDefault="00711444" w:rsidP="00711444"/>
    <w:p w14:paraId="4985869F" w14:textId="77777777" w:rsidR="00711444" w:rsidRPr="004D0DAA" w:rsidRDefault="00711444" w:rsidP="00711444">
      <w:pPr>
        <w:pStyle w:val="Heading3"/>
      </w:pPr>
      <w:bookmarkStart w:id="708" w:name="_Toc516669884"/>
      <w:r w:rsidRPr="004D0DAA">
        <w:t>11.2.26</w:t>
      </w:r>
      <w:r w:rsidRPr="004D0DAA">
        <w:tab/>
        <w:t>Packet TBF Release</w:t>
      </w:r>
      <w:bookmarkEnd w:id="708"/>
    </w:p>
    <w:p w14:paraId="228A4FEA" w14:textId="77777777" w:rsidR="00711444" w:rsidRPr="004D0DAA" w:rsidRDefault="00711444" w:rsidP="00711444">
      <w:r w:rsidRPr="004D0DAA">
        <w:t>This message is sent on the PACCH by the network to the mobile station to initiate release of an uplink or downlink TBF.</w:t>
      </w:r>
    </w:p>
    <w:p w14:paraId="2F2888CB" w14:textId="77777777" w:rsidR="00711444" w:rsidRPr="004D0DAA" w:rsidRDefault="00711444" w:rsidP="00711444">
      <w:pPr>
        <w:pStyle w:val="EX"/>
      </w:pPr>
      <w:r w:rsidRPr="004D0DAA">
        <w:t>Message type:</w:t>
      </w:r>
      <w:r w:rsidRPr="004D0DAA">
        <w:tab/>
        <w:t>PACKET TBF RELEASE</w:t>
      </w:r>
    </w:p>
    <w:p w14:paraId="4114A3D8" w14:textId="77777777" w:rsidR="00711444" w:rsidRPr="004D0DAA" w:rsidRDefault="00711444" w:rsidP="00711444">
      <w:pPr>
        <w:pStyle w:val="EX"/>
      </w:pPr>
      <w:r w:rsidRPr="004D0DAA">
        <w:t>Direction:</w:t>
      </w:r>
      <w:r w:rsidRPr="004D0DAA">
        <w:tab/>
        <w:t>network to mobile station</w:t>
      </w:r>
    </w:p>
    <w:p w14:paraId="4FDE75FA" w14:textId="77777777" w:rsidR="00711444" w:rsidRPr="004D0DAA" w:rsidRDefault="00711444" w:rsidP="00711444">
      <w:pPr>
        <w:pStyle w:val="EX"/>
      </w:pPr>
      <w:r w:rsidRPr="004D0DAA">
        <w:t>Classification:</w:t>
      </w:r>
      <w:r w:rsidRPr="004D0DAA">
        <w:tab/>
        <w:t>non-distribution message</w:t>
      </w:r>
    </w:p>
    <w:p w14:paraId="2460CFDD" w14:textId="77777777" w:rsidR="00711444" w:rsidRPr="004D0DAA" w:rsidRDefault="00711444" w:rsidP="00711444">
      <w:pPr>
        <w:pStyle w:val="TH"/>
      </w:pPr>
      <w:r w:rsidRPr="004D0DAA">
        <w:t xml:space="preserve">Table 11.2.26.1: </w:t>
      </w:r>
      <w:r w:rsidRPr="004D0DAA">
        <w:rPr>
          <w:caps/>
        </w:rPr>
        <w:t>Packet TBF RELEASE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36CFCE3" w14:textId="77777777" w:rsidTr="00AA2A4C">
        <w:tblPrEx>
          <w:tblCellMar>
            <w:top w:w="0" w:type="dxa"/>
            <w:bottom w:w="0" w:type="dxa"/>
          </w:tblCellMar>
        </w:tblPrEx>
        <w:trPr>
          <w:cantSplit/>
        </w:trPr>
        <w:tc>
          <w:tcPr>
            <w:tcW w:w="9848" w:type="dxa"/>
          </w:tcPr>
          <w:p w14:paraId="3113152C" w14:textId="77777777" w:rsidR="00711444" w:rsidRPr="004D0DAA" w:rsidRDefault="00711444" w:rsidP="00AA2A4C">
            <w:pPr>
              <w:pStyle w:val="TAL"/>
              <w:rPr>
                <w:lang w:eastAsia="en-US"/>
              </w:rPr>
            </w:pPr>
            <w:r w:rsidRPr="004D0DAA">
              <w:rPr>
                <w:lang w:eastAsia="en-US"/>
              </w:rPr>
              <w:t>&lt; Packet TBF Release message content &gt; ::=</w:t>
            </w:r>
          </w:p>
          <w:p w14:paraId="44200230"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PAGE_MODE</w:t>
            </w:r>
            <w:r w:rsidRPr="004D0DAA">
              <w:rPr>
                <w:lang w:val="fr-FR" w:eastAsia="en-US"/>
              </w:rPr>
              <w:t xml:space="preserve"> : bit (2) &gt;</w:t>
            </w:r>
          </w:p>
          <w:p w14:paraId="1B00D709"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xml:space="preserve">0 &lt; </w:t>
            </w:r>
            <w:r w:rsidRPr="004D0DAA">
              <w:rPr>
                <w:b/>
                <w:lang w:val="fr-FR" w:eastAsia="en-US"/>
              </w:rPr>
              <w:t>GLOBAL_TFI</w:t>
            </w:r>
            <w:r w:rsidRPr="004D0DAA">
              <w:rPr>
                <w:lang w:val="fr-FR" w:eastAsia="en-US"/>
              </w:rPr>
              <w:t xml:space="preserve"> : Global TFI IE &gt;</w:t>
            </w:r>
          </w:p>
          <w:p w14:paraId="0A4647D1"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w:t>
            </w:r>
            <w:r w:rsidRPr="004D0DAA">
              <w:rPr>
                <w:lang w:eastAsia="en-US"/>
              </w:rPr>
              <w:tab/>
              <w:t xml:space="preserve">&lt; </w:t>
            </w:r>
            <w:r w:rsidRPr="004D0DAA">
              <w:rPr>
                <w:b/>
                <w:lang w:eastAsia="en-US"/>
              </w:rPr>
              <w:t>UPLINK_RELEASE</w:t>
            </w:r>
            <w:r w:rsidRPr="004D0DAA">
              <w:rPr>
                <w:lang w:eastAsia="en-US"/>
              </w:rPr>
              <w:t xml:space="preserve"> : bit (1) &gt;</w:t>
            </w:r>
          </w:p>
          <w:p w14:paraId="453DE4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DOWNLINK_RELEASE</w:t>
            </w:r>
            <w:r w:rsidRPr="004D0DAA">
              <w:rPr>
                <w:lang w:eastAsia="en-US"/>
              </w:rPr>
              <w:t xml:space="preserve"> : bit (1) &gt;</w:t>
            </w:r>
          </w:p>
          <w:p w14:paraId="727BCE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TBF_RELEASE_CAUSE </w:t>
            </w:r>
            <w:r w:rsidRPr="004D0DAA">
              <w:rPr>
                <w:lang w:eastAsia="en-US"/>
              </w:rPr>
              <w:t>: bit (4) = { 0000 | 0010 } &gt;</w:t>
            </w:r>
          </w:p>
          <w:p w14:paraId="129C51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11E0AC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7348E0C8"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DE45C01" w14:textId="77777777" w:rsidR="00711444" w:rsidRPr="004D0DAA" w:rsidRDefault="00711444" w:rsidP="00AA2A4C">
            <w:pPr>
              <w:pStyle w:val="TAL"/>
              <w:rPr>
                <w:lang w:eastAsia="en-US"/>
              </w:rPr>
            </w:pPr>
            <w:r w:rsidRPr="004D0DAA">
              <w:rPr>
                <w:lang w:eastAsia="en-US"/>
              </w:rPr>
              <w:tab/>
              <w:t>! &lt; Distribution part error : bit (*) = &lt; no string &gt; &gt; ;</w:t>
            </w:r>
          </w:p>
          <w:p w14:paraId="4CAA7C3D" w14:textId="77777777" w:rsidR="00711444" w:rsidRPr="004D0DAA" w:rsidRDefault="00711444" w:rsidP="00AA2A4C">
            <w:pPr>
              <w:pStyle w:val="TAL"/>
              <w:rPr>
                <w:lang w:eastAsia="en-US"/>
              </w:rPr>
            </w:pPr>
          </w:p>
        </w:tc>
      </w:tr>
    </w:tbl>
    <w:p w14:paraId="472E6A4E" w14:textId="77777777" w:rsidR="00711444" w:rsidRPr="004D0DAA" w:rsidRDefault="00711444" w:rsidP="00711444"/>
    <w:p w14:paraId="5AB10402" w14:textId="77777777" w:rsidR="00711444" w:rsidRPr="004D0DAA" w:rsidRDefault="00711444" w:rsidP="00711444">
      <w:pPr>
        <w:pStyle w:val="TH"/>
      </w:pPr>
      <w:r w:rsidRPr="004D0DAA">
        <w:lastRenderedPageBreak/>
        <w:t xml:space="preserve">Table 11.2.26.2: </w:t>
      </w:r>
      <w:r w:rsidRPr="004D0DAA">
        <w:rPr>
          <w:caps/>
        </w:rPr>
        <w:t>Packet TBF RELEASE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36C3F20" w14:textId="77777777" w:rsidTr="00AA2A4C">
        <w:tblPrEx>
          <w:tblCellMar>
            <w:top w:w="0" w:type="dxa"/>
            <w:bottom w:w="0" w:type="dxa"/>
          </w:tblCellMar>
        </w:tblPrEx>
        <w:trPr>
          <w:cantSplit/>
        </w:trPr>
        <w:tc>
          <w:tcPr>
            <w:tcW w:w="9848" w:type="dxa"/>
          </w:tcPr>
          <w:p w14:paraId="53F39A1D"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6869A737" w14:textId="77777777" w:rsidTr="00AA2A4C">
        <w:tblPrEx>
          <w:tblCellMar>
            <w:top w:w="0" w:type="dxa"/>
            <w:bottom w:w="0" w:type="dxa"/>
          </w:tblCellMar>
        </w:tblPrEx>
        <w:trPr>
          <w:cantSplit/>
        </w:trPr>
        <w:tc>
          <w:tcPr>
            <w:tcW w:w="9848" w:type="dxa"/>
          </w:tcPr>
          <w:p w14:paraId="2ABE7A61" w14:textId="77777777" w:rsidR="00711444" w:rsidRPr="004D0DAA" w:rsidRDefault="00711444" w:rsidP="00AA2A4C">
            <w:pPr>
              <w:rPr>
                <w:b/>
              </w:rPr>
            </w:pPr>
            <w:r w:rsidRPr="004D0DAA">
              <w:rPr>
                <w:b/>
              </w:rPr>
              <w:t>Global TFI IE</w:t>
            </w:r>
            <w:r w:rsidRPr="004D0DAA">
              <w:rPr>
                <w:b/>
              </w:rPr>
              <w:br/>
            </w:r>
            <w:r w:rsidRPr="004D0DAA">
              <w:t>This information element contains the TFI of the mobile station's which uplink and/or downlink TBF to be released. This field is defined in sub-clause 12.10.</w:t>
            </w:r>
          </w:p>
        </w:tc>
      </w:tr>
      <w:tr w:rsidR="00711444" w:rsidRPr="004D0DAA" w14:paraId="430B6F7B" w14:textId="77777777" w:rsidTr="00AA2A4C">
        <w:tblPrEx>
          <w:tblCellMar>
            <w:top w:w="0" w:type="dxa"/>
            <w:bottom w:w="0" w:type="dxa"/>
          </w:tblCellMar>
        </w:tblPrEx>
        <w:trPr>
          <w:cantSplit/>
        </w:trPr>
        <w:tc>
          <w:tcPr>
            <w:tcW w:w="9848" w:type="dxa"/>
          </w:tcPr>
          <w:p w14:paraId="3840C9DD" w14:textId="77777777" w:rsidR="00711444" w:rsidRPr="004D0DAA" w:rsidRDefault="00711444" w:rsidP="00AA2A4C">
            <w:r w:rsidRPr="004D0DAA">
              <w:rPr>
                <w:b/>
              </w:rPr>
              <w:t xml:space="preserve">Uplink_Release </w:t>
            </w:r>
            <w:r w:rsidRPr="004D0DAA">
              <w:t>(1 bit field)</w:t>
            </w:r>
            <w:r w:rsidRPr="004D0DAA">
              <w:rPr>
                <w:b/>
              </w:rPr>
              <w:br/>
              <w:t xml:space="preserve">Downlink_Release </w:t>
            </w:r>
            <w:r w:rsidRPr="004D0DAA">
              <w:t>(1 bit field)</w:t>
            </w:r>
            <w:r w:rsidRPr="004D0DAA">
              <w:rPr>
                <w:b/>
              </w:rPr>
              <w:br/>
            </w:r>
            <w:r w:rsidRPr="004D0DAA">
              <w:t>These fields indicate which TBF shall be release, uplink or downlink. Both directions can be released at the same time.</w:t>
            </w:r>
          </w:p>
          <w:p w14:paraId="288CF7CE" w14:textId="77777777" w:rsidR="00711444" w:rsidRPr="004D0DAA" w:rsidRDefault="00711444" w:rsidP="00AA2A4C">
            <w:pPr>
              <w:rPr>
                <w:b/>
              </w:rPr>
            </w:pPr>
            <w:r w:rsidRPr="004D0DAA">
              <w:t>0</w:t>
            </w:r>
            <w:r w:rsidRPr="004D0DAA">
              <w:tab/>
              <w:t>TBF shall not be released</w:t>
            </w:r>
            <w:r w:rsidRPr="004D0DAA">
              <w:br/>
              <w:t>1</w:t>
            </w:r>
            <w:r w:rsidRPr="004D0DAA">
              <w:tab/>
              <w:t>TBF shall be released</w:t>
            </w:r>
          </w:p>
        </w:tc>
      </w:tr>
      <w:tr w:rsidR="00711444" w:rsidRPr="004D0DAA" w14:paraId="52AB1AA0" w14:textId="77777777" w:rsidTr="00AA2A4C">
        <w:tblPrEx>
          <w:tblCellMar>
            <w:top w:w="0" w:type="dxa"/>
            <w:bottom w:w="0" w:type="dxa"/>
          </w:tblCellMar>
        </w:tblPrEx>
        <w:trPr>
          <w:cantSplit/>
        </w:trPr>
        <w:tc>
          <w:tcPr>
            <w:tcW w:w="9848" w:type="dxa"/>
          </w:tcPr>
          <w:p w14:paraId="28C08CC3" w14:textId="77777777" w:rsidR="00711444" w:rsidRPr="004D0DAA" w:rsidRDefault="00711444" w:rsidP="00AA2A4C">
            <w:r w:rsidRPr="004D0DAA">
              <w:rPr>
                <w:b/>
              </w:rPr>
              <w:t>TBF_RELEASE_CAUSE</w:t>
            </w:r>
            <w:r w:rsidRPr="004D0DAA">
              <w:t xml:space="preserve"> (4 bit field)</w:t>
            </w:r>
            <w:r w:rsidRPr="004D0DAA">
              <w:br/>
              <w:t>This field indicates the reason for the release of the TBF. This field is encoded according to the following table:</w:t>
            </w:r>
          </w:p>
          <w:p w14:paraId="7DE4EED3" w14:textId="77777777" w:rsidR="00711444" w:rsidRPr="004D0DAA" w:rsidRDefault="00711444" w:rsidP="00AA2A4C">
            <w:pPr>
              <w:tabs>
                <w:tab w:val="left" w:pos="851"/>
              </w:tabs>
            </w:pPr>
            <w:r w:rsidRPr="004D0DAA">
              <w:t>bit</w:t>
            </w:r>
            <w:r w:rsidRPr="004D0DAA">
              <w:br/>
              <w:t>4 3 2 1</w:t>
            </w:r>
            <w:r w:rsidRPr="004D0DAA">
              <w:br/>
              <w:t>0 0 0 0</w:t>
            </w:r>
            <w:r w:rsidRPr="004D0DAA">
              <w:tab/>
              <w:t>Normal release</w:t>
            </w:r>
            <w:r w:rsidRPr="004D0DAA">
              <w:br/>
              <w:t>0 0 1 0</w:t>
            </w:r>
            <w:r w:rsidRPr="004D0DAA">
              <w:tab/>
              <w:t>Abnormal release</w:t>
            </w:r>
            <w:r w:rsidRPr="004D0DAA">
              <w:br/>
              <w:t>All other values are reserved, the same behaviour in reception as if 'Abnormal release'.</w:t>
            </w:r>
          </w:p>
        </w:tc>
      </w:tr>
    </w:tbl>
    <w:p w14:paraId="09293D47" w14:textId="77777777" w:rsidR="00711444" w:rsidRPr="004D0DAA" w:rsidRDefault="00711444" w:rsidP="00711444"/>
    <w:p w14:paraId="0E207568" w14:textId="77777777" w:rsidR="00711444" w:rsidRPr="004D0DAA" w:rsidRDefault="00711444" w:rsidP="00711444">
      <w:pPr>
        <w:pStyle w:val="Heading3"/>
      </w:pPr>
      <w:bookmarkStart w:id="709" w:name="_Toc516669885"/>
      <w:r w:rsidRPr="004D0DAA">
        <w:t>11.2.27</w:t>
      </w:r>
      <w:r w:rsidRPr="004D0DAA">
        <w:tab/>
        <w:t>(void)</w:t>
      </w:r>
      <w:bookmarkEnd w:id="709"/>
    </w:p>
    <w:p w14:paraId="0E44DB7E" w14:textId="77777777" w:rsidR="00711444" w:rsidRPr="004D0DAA" w:rsidRDefault="00711444" w:rsidP="00711444">
      <w:pPr>
        <w:pStyle w:val="Heading3"/>
      </w:pPr>
      <w:bookmarkStart w:id="710" w:name="_Toc516669886"/>
      <w:r w:rsidRPr="004D0DAA">
        <w:t>11.2.28</w:t>
      </w:r>
      <w:r w:rsidRPr="004D0DAA">
        <w:tab/>
        <w:t>Packet Uplink Ack/Nack</w:t>
      </w:r>
      <w:bookmarkEnd w:id="710"/>
    </w:p>
    <w:p w14:paraId="02A539E8" w14:textId="77777777" w:rsidR="00711444" w:rsidRPr="004D0DAA" w:rsidRDefault="00711444" w:rsidP="00711444">
      <w:r w:rsidRPr="004D0DAA">
        <w:t xml:space="preserve">This message is sent on the PACCH by the network to the mobile station indicate the status of the received RLC data blocks. This message may also update the timing advance and power control parameters. </w:t>
      </w:r>
    </w:p>
    <w:p w14:paraId="17AB378D" w14:textId="77777777" w:rsidR="00711444" w:rsidRPr="004D0DAA" w:rsidRDefault="00711444" w:rsidP="00711444">
      <w:pPr>
        <w:pStyle w:val="EX"/>
      </w:pPr>
      <w:r w:rsidRPr="004D0DAA">
        <w:t>Message type:</w:t>
      </w:r>
      <w:r w:rsidRPr="004D0DAA">
        <w:tab/>
        <w:t>PACKET UPLINK ACK/NACK</w:t>
      </w:r>
    </w:p>
    <w:p w14:paraId="1E7ECD88" w14:textId="77777777" w:rsidR="00711444" w:rsidRPr="004D0DAA" w:rsidRDefault="00711444" w:rsidP="00711444">
      <w:pPr>
        <w:pStyle w:val="EX"/>
      </w:pPr>
      <w:r w:rsidRPr="004D0DAA">
        <w:t>Direction:</w:t>
      </w:r>
      <w:r w:rsidRPr="004D0DAA">
        <w:tab/>
        <w:t>network to mobile station</w:t>
      </w:r>
    </w:p>
    <w:p w14:paraId="019F9275" w14:textId="77777777" w:rsidR="00711444" w:rsidRPr="004D0DAA" w:rsidRDefault="00711444" w:rsidP="00711444">
      <w:pPr>
        <w:pStyle w:val="EX"/>
      </w:pPr>
      <w:r w:rsidRPr="004D0DAA">
        <w:t>Classification:</w:t>
      </w:r>
      <w:r w:rsidRPr="004D0DAA">
        <w:tab/>
        <w:t>non-distribution message</w:t>
      </w:r>
    </w:p>
    <w:p w14:paraId="61C240E2" w14:textId="77777777" w:rsidR="00711444" w:rsidRPr="004D0DAA" w:rsidRDefault="00711444" w:rsidP="00711444">
      <w:pPr>
        <w:pStyle w:val="TH"/>
      </w:pPr>
      <w:r w:rsidRPr="004D0DAA">
        <w:lastRenderedPageBreak/>
        <w:t xml:space="preserve">Table 11.2.28.1: </w:t>
      </w:r>
      <w:r w:rsidRPr="004D0DAA">
        <w:rPr>
          <w:caps/>
        </w:rPr>
        <w:t>Packet UPlink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0FF0D4A" w14:textId="77777777" w:rsidTr="00AA2A4C">
        <w:tblPrEx>
          <w:tblCellMar>
            <w:top w:w="0" w:type="dxa"/>
            <w:bottom w:w="0" w:type="dxa"/>
          </w:tblCellMar>
        </w:tblPrEx>
        <w:trPr>
          <w:cantSplit/>
        </w:trPr>
        <w:tc>
          <w:tcPr>
            <w:tcW w:w="9848" w:type="dxa"/>
          </w:tcPr>
          <w:p w14:paraId="744008A6" w14:textId="77777777" w:rsidR="00711444" w:rsidRPr="004D0DAA" w:rsidRDefault="00711444" w:rsidP="00AA2A4C">
            <w:pPr>
              <w:pStyle w:val="TAL"/>
              <w:rPr>
                <w:lang w:eastAsia="en-US"/>
              </w:rPr>
            </w:pPr>
            <w:r w:rsidRPr="004D0DAA">
              <w:rPr>
                <w:lang w:eastAsia="en-US"/>
              </w:rPr>
              <w:t>&lt; Packet Uplink Ack/Nack message content &gt; ::=</w:t>
            </w:r>
          </w:p>
          <w:p w14:paraId="5798B8D9"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PAGE MODE</w:t>
            </w:r>
            <w:r w:rsidRPr="004D0DAA">
              <w:rPr>
                <w:lang w:val="fr-FR" w:eastAsia="en-US"/>
              </w:rPr>
              <w:t xml:space="preserve"> : bit (2) &gt;</w:t>
            </w:r>
          </w:p>
          <w:p w14:paraId="18F83014"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xml:space="preserve">00 &lt; </w:t>
            </w:r>
            <w:r w:rsidRPr="004D0DAA">
              <w:rPr>
                <w:b/>
                <w:lang w:val="fr-FR" w:eastAsia="en-US"/>
              </w:rPr>
              <w:t xml:space="preserve">UPLINK_TFI </w:t>
            </w:r>
            <w:r w:rsidRPr="004D0DAA">
              <w:rPr>
                <w:lang w:val="fr-FR" w:eastAsia="en-US"/>
              </w:rPr>
              <w:t>: bit (5) &gt;</w:t>
            </w:r>
          </w:p>
          <w:p w14:paraId="0459418A"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0</w:t>
            </w:r>
            <w:r w:rsidRPr="004D0DAA">
              <w:rPr>
                <w:lang w:eastAsia="en-US"/>
              </w:rPr>
              <w:tab/>
            </w:r>
            <w:r w:rsidRPr="004D0DAA">
              <w:rPr>
                <w:lang w:eastAsia="en-US"/>
              </w:rPr>
              <w:tab/>
              <w:t xml:space="preserve">-- </w:t>
            </w:r>
            <w:r w:rsidRPr="004D0DAA">
              <w:rPr>
                <w:i/>
                <w:lang w:eastAsia="en-US"/>
              </w:rPr>
              <w:t>Message escape</w:t>
            </w:r>
          </w:p>
          <w:p w14:paraId="6F340F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 xml:space="preserve">CHANNEL_CODING_COMMAND </w:t>
            </w:r>
            <w:r w:rsidRPr="004D0DAA">
              <w:rPr>
                <w:lang w:eastAsia="en-US"/>
              </w:rPr>
              <w:t>: bit (2) &gt;</w:t>
            </w:r>
          </w:p>
          <w:p w14:paraId="3B451B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Ack/Nack Description</w:t>
            </w:r>
            <w:r w:rsidRPr="004D0DAA">
              <w:rPr>
                <w:lang w:eastAsia="en-US"/>
              </w:rPr>
              <w:t xml:space="preserve"> : &lt; Ack/Nack Description IE &gt; &gt;</w:t>
            </w:r>
          </w:p>
          <w:p w14:paraId="652E1CA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CONTENTION_RESOLUTION_TLLI </w:t>
            </w:r>
            <w:r w:rsidRPr="004D0DAA">
              <w:rPr>
                <w:lang w:eastAsia="en-US"/>
              </w:rPr>
              <w:t>: bit (32) &gt; }</w:t>
            </w:r>
          </w:p>
          <w:p w14:paraId="350DE27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Timing Advance</w:t>
            </w:r>
            <w:r w:rsidRPr="004D0DAA">
              <w:rPr>
                <w:lang w:eastAsia="en-US"/>
              </w:rPr>
              <w:t xml:space="preserve"> : &lt; Packet Timing Advance IE &gt; &gt; }</w:t>
            </w:r>
          </w:p>
          <w:p w14:paraId="70B611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Power Control Parameters</w:t>
            </w:r>
            <w:r w:rsidRPr="004D0DAA">
              <w:rPr>
                <w:lang w:eastAsia="en-US"/>
              </w:rPr>
              <w:t xml:space="preserve"> : &lt; Power Control Parameters IE &gt; &gt; }</w:t>
            </w:r>
          </w:p>
          <w:p w14:paraId="13C84C4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Extension Bits</w:t>
            </w:r>
            <w:r w:rsidRPr="004D0DAA">
              <w:rPr>
                <w:lang w:eastAsia="en-US"/>
              </w:rPr>
              <w:t xml:space="preserve"> : Extension Bits IE &gt;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sub-clause 12.26</w:t>
            </w:r>
          </w:p>
          <w:p w14:paraId="0623486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129CDCD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 bit** = &lt; no string &gt;</w:t>
            </w:r>
            <w:r w:rsidRPr="004D0DAA">
              <w:rPr>
                <w:lang w:eastAsia="en-US"/>
              </w:rPr>
              <w:tab/>
              <w:t xml:space="preserve">-- </w:t>
            </w:r>
            <w:r w:rsidRPr="004D0DAA">
              <w:rPr>
                <w:i/>
                <w:lang w:eastAsia="en-US"/>
              </w:rPr>
              <w:t>Receiver backward compatible with earlier version</w:t>
            </w:r>
          </w:p>
          <w:p w14:paraId="26D062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R99</w:t>
            </w:r>
          </w:p>
          <w:p w14:paraId="236CCA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Packet Extended Timing Advance</w:t>
            </w:r>
            <w:r w:rsidRPr="004D0DAA">
              <w:rPr>
                <w:lang w:eastAsia="en-US"/>
              </w:rPr>
              <w:t xml:space="preserve"> : bit (2) &gt;}</w:t>
            </w:r>
          </w:p>
          <w:p w14:paraId="1F9960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TBF_EST</w:t>
            </w:r>
            <w:r w:rsidRPr="004D0DAA">
              <w:rPr>
                <w:lang w:eastAsia="en-US"/>
              </w:rPr>
              <w:t xml:space="preserve"> : bit (1)&gt;</w:t>
            </w:r>
          </w:p>
          <w:p w14:paraId="5A0CBD9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 bit** = &lt;no string&gt;</w:t>
            </w:r>
            <w:r w:rsidRPr="004D0DAA">
              <w:rPr>
                <w:lang w:eastAsia="en-US"/>
              </w:rPr>
              <w:tab/>
              <w:t xml:space="preserve">-- </w:t>
            </w:r>
            <w:r w:rsidRPr="004D0DAA">
              <w:rPr>
                <w:i/>
                <w:lang w:eastAsia="en-US"/>
              </w:rPr>
              <w:t>Receiver backward compatible with earlier version</w:t>
            </w:r>
          </w:p>
          <w:p w14:paraId="35D28973"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Cs/>
                <w:lang w:eastAsia="en-US"/>
              </w:rPr>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xml:space="preserve">-- </w:t>
            </w:r>
            <w:r w:rsidRPr="004D0DAA">
              <w:rPr>
                <w:i/>
                <w:lang w:eastAsia="en-US"/>
              </w:rPr>
              <w:t>Additions for Rel-5</w:t>
            </w:r>
          </w:p>
          <w:p w14:paraId="68EFC5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lang w:eastAsia="en-US"/>
              </w:rPr>
              <w:t xml:space="preserve">CONTENTION_RESOLUTION Identifier </w:t>
            </w:r>
            <w:r w:rsidRPr="004D0DAA">
              <w:rPr>
                <w:b/>
                <w:bCs/>
                <w:iCs/>
                <w:lang w:eastAsia="en-US"/>
              </w:rPr>
              <w:t xml:space="preserve">extension </w:t>
            </w:r>
            <w:r w:rsidRPr="004D0DAA">
              <w:rPr>
                <w:iCs/>
                <w:lang w:eastAsia="en-US"/>
              </w:rPr>
              <w:t>: bit (4) &gt; }</w:t>
            </w:r>
          </w:p>
          <w:p w14:paraId="5180B527"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RB Id</w:t>
            </w:r>
            <w:r w:rsidRPr="004D0DAA">
              <w:rPr>
                <w:iCs/>
                <w:lang w:eastAsia="en-US"/>
              </w:rPr>
              <w:t xml:space="preserve"> : bit (5) &gt; }</w:t>
            </w:r>
          </w:p>
          <w:p w14:paraId="51B2716F"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w:t>
            </w:r>
            <w:r w:rsidRPr="004D0DAA">
              <w:rPr>
                <w:iCs/>
                <w:lang w:eastAsia="en-US"/>
              </w:rPr>
              <w:tab/>
              <w:t>null | 0 bit** = &lt; no string &gt;</w:t>
            </w:r>
            <w:r w:rsidRPr="004D0DAA">
              <w:rPr>
                <w:iCs/>
                <w:lang w:eastAsia="en-US"/>
              </w:rPr>
              <w:tab/>
            </w:r>
            <w:r w:rsidRPr="004D0DAA">
              <w:rPr>
                <w:iCs/>
                <w:lang w:eastAsia="en-US"/>
              </w:rPr>
              <w:tab/>
              <w:t xml:space="preserve">-- </w:t>
            </w:r>
            <w:r w:rsidRPr="004D0DAA">
              <w:rPr>
                <w:i/>
                <w:iCs/>
                <w:lang w:eastAsia="en-US"/>
              </w:rPr>
              <w:t>Receiver backward compatible with earlier version</w:t>
            </w:r>
          </w:p>
          <w:p w14:paraId="45B6881D"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w:t>
            </w:r>
            <w:r w:rsidRPr="004D0DAA">
              <w:rPr>
                <w:i/>
                <w:iCs/>
                <w:lang w:eastAsia="en-US"/>
              </w:rPr>
              <w:t>Additions for Rel-10</w:t>
            </w:r>
          </w:p>
          <w:p w14:paraId="0690A3BE" w14:textId="77777777" w:rsidR="00711444" w:rsidRPr="004D0DAA" w:rsidRDefault="00711444" w:rsidP="00AA2A4C">
            <w:pPr>
              <w:pStyle w:val="TAL"/>
              <w:rPr>
                <w:i/>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w:t>
            </w:r>
            <w:r w:rsidRPr="004D0DAA">
              <w:rPr>
                <w:i/>
                <w:iCs/>
                <w:lang w:eastAsia="en-US"/>
              </w:rPr>
              <w:t>DTR Information</w:t>
            </w:r>
          </w:p>
          <w:p w14:paraId="75E67661"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CI_DTR</w:t>
            </w:r>
            <w:r w:rsidRPr="004D0DAA">
              <w:rPr>
                <w:iCs/>
                <w:lang w:eastAsia="en-US"/>
              </w:rPr>
              <w:t xml:space="preserve"> : bit (1) &gt;</w:t>
            </w:r>
          </w:p>
          <w:p w14:paraId="25585695"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TN_PDCH_pair_DTR</w:t>
            </w:r>
            <w:r w:rsidRPr="004D0DAA">
              <w:rPr>
                <w:iCs/>
                <w:lang w:eastAsia="en-US"/>
              </w:rPr>
              <w:t xml:space="preserve"> : bit (3) &gt; </w:t>
            </w:r>
          </w:p>
          <w:p w14:paraId="48FE68F8"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DTR Blks</w:t>
            </w:r>
            <w:r w:rsidRPr="004D0DAA">
              <w:rPr>
                <w:iCs/>
                <w:lang w:eastAsia="en-US"/>
              </w:rPr>
              <w:t xml:space="preserve"> : bit (2) &gt; }</w:t>
            </w:r>
          </w:p>
          <w:p w14:paraId="630DDFF0"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&lt; padding bits &gt; }</w:t>
            </w:r>
          </w:p>
          <w:p w14:paraId="2654DE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p>
          <w:p w14:paraId="20FA8F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p w14:paraId="475995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Non-distribution part error : bit (*) = &lt; no string &gt; &gt; </w:t>
            </w:r>
          </w:p>
          <w:p w14:paraId="52C5955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tc>
      </w:tr>
      <w:tr w:rsidR="00711444" w:rsidRPr="004D0DAA" w14:paraId="6613C14F" w14:textId="77777777" w:rsidTr="00AA2A4C">
        <w:tblPrEx>
          <w:tblCellMar>
            <w:top w:w="0" w:type="dxa"/>
            <w:bottom w:w="0" w:type="dxa"/>
          </w:tblCellMar>
        </w:tblPrEx>
        <w:trPr>
          <w:cantSplit/>
        </w:trPr>
        <w:tc>
          <w:tcPr>
            <w:tcW w:w="9848" w:type="dxa"/>
          </w:tcPr>
          <w:p w14:paraId="53AD8BD3"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bit used to define EGPRS message contents</w:t>
            </w:r>
          </w:p>
          <w:p w14:paraId="43DA03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00 </w:t>
            </w:r>
          </w:p>
          <w:p w14:paraId="1DC4653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EGPRS Channel Coding Command</w:t>
            </w:r>
            <w:r w:rsidRPr="004D0DAA">
              <w:rPr>
                <w:lang w:eastAsia="en-US"/>
              </w:rPr>
              <w:t> : &lt; EGPRS Modulation and Coding Scheme IE &gt;&gt;</w:t>
            </w:r>
          </w:p>
          <w:p w14:paraId="126BDF8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4F6AEAC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PRE_EMPTIVE_TRANSMISSION</w:t>
            </w:r>
            <w:r w:rsidRPr="004D0DAA">
              <w:rPr>
                <w:lang w:eastAsia="en-US"/>
              </w:rPr>
              <w:t> : bit (1) &gt;</w:t>
            </w:r>
          </w:p>
          <w:p w14:paraId="53BD98A0" w14:textId="77777777" w:rsidR="00711444" w:rsidRPr="004D0DAA" w:rsidRDefault="00711444" w:rsidP="00AA2A4C">
            <w:pPr>
              <w:pStyle w:val="TAL"/>
              <w:rPr>
                <w:lang w:eastAsia="en-US"/>
              </w:rPr>
            </w:pPr>
            <w:r w:rsidRPr="004D0DAA">
              <w:rPr>
                <w:b/>
                <w:lang w:eastAsia="en-US"/>
              </w:rPr>
              <w:tab/>
            </w:r>
            <w:r w:rsidRPr="004D0DAA">
              <w:rPr>
                <w:b/>
                <w:lang w:eastAsia="en-US"/>
              </w:rPr>
              <w:tab/>
            </w:r>
            <w:r w:rsidRPr="004D0DAA">
              <w:rPr>
                <w:b/>
                <w:lang w:eastAsia="en-US"/>
              </w:rPr>
              <w:tab/>
            </w:r>
            <w:r w:rsidRPr="004D0DAA">
              <w:rPr>
                <w:b/>
                <w:lang w:eastAsia="en-US"/>
              </w:rPr>
              <w:tab/>
            </w:r>
            <w:r w:rsidRPr="004D0DAA">
              <w:rPr>
                <w:b/>
                <w:lang w:eastAsia="en-US"/>
              </w:rPr>
              <w:tab/>
            </w:r>
            <w:r w:rsidRPr="004D0DAA">
              <w:rPr>
                <w:lang w:eastAsia="en-US"/>
              </w:rPr>
              <w:t>&lt;</w:t>
            </w:r>
            <w:r w:rsidRPr="004D0DAA">
              <w:rPr>
                <w:b/>
                <w:lang w:eastAsia="en-US"/>
              </w:rPr>
              <w:t xml:space="preserve"> PRR RETRANSMISSION REQUEST</w:t>
            </w:r>
            <w:r w:rsidRPr="004D0DAA">
              <w:rPr>
                <w:lang w:eastAsia="en-US"/>
              </w:rPr>
              <w:t xml:space="preserve"> : bit (1) &gt;</w:t>
            </w:r>
          </w:p>
          <w:p w14:paraId="2B952524" w14:textId="77777777" w:rsidR="00711444" w:rsidRPr="004D0DAA" w:rsidRDefault="00711444" w:rsidP="00AA2A4C">
            <w:pPr>
              <w:pStyle w:val="TAL"/>
              <w:rPr>
                <w:lang w:eastAsia="en-US"/>
              </w:rPr>
            </w:pPr>
            <w:r w:rsidRPr="004D0DAA">
              <w:rPr>
                <w:b/>
                <w:lang w:eastAsia="en-US"/>
              </w:rPr>
              <w:tab/>
            </w:r>
            <w:r w:rsidRPr="004D0DAA">
              <w:rPr>
                <w:b/>
                <w:lang w:eastAsia="en-US"/>
              </w:rPr>
              <w:tab/>
            </w:r>
            <w:r w:rsidRPr="004D0DAA">
              <w:rPr>
                <w:b/>
                <w:lang w:eastAsia="en-US"/>
              </w:rPr>
              <w:tab/>
            </w:r>
            <w:r w:rsidRPr="004D0DAA">
              <w:rPr>
                <w:b/>
                <w:lang w:eastAsia="en-US"/>
              </w:rPr>
              <w:tab/>
            </w:r>
            <w:r w:rsidRPr="004D0DAA">
              <w:rPr>
                <w:b/>
                <w:lang w:eastAsia="en-US"/>
              </w:rPr>
              <w:tab/>
            </w:r>
            <w:r w:rsidRPr="004D0DAA">
              <w:rPr>
                <w:lang w:eastAsia="en-US"/>
              </w:rPr>
              <w:t xml:space="preserve">&lt; </w:t>
            </w:r>
            <w:r w:rsidRPr="004D0DAA">
              <w:rPr>
                <w:b/>
                <w:lang w:eastAsia="en-US"/>
              </w:rPr>
              <w:t>ARAC RETRANSMISSION REQUEST</w:t>
            </w:r>
            <w:r w:rsidRPr="004D0DAA">
              <w:rPr>
                <w:lang w:eastAsia="en-US"/>
              </w:rPr>
              <w:t xml:space="preserve"> : bit (1) &gt;</w:t>
            </w:r>
          </w:p>
          <w:p w14:paraId="13BEA8F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CONTENTION_RESOLUTION_TLLI </w:t>
            </w:r>
            <w:r w:rsidRPr="004D0DAA">
              <w:rPr>
                <w:lang w:eastAsia="en-US"/>
              </w:rPr>
              <w:t>: bit (32) &gt; }</w:t>
            </w:r>
          </w:p>
          <w:p w14:paraId="146448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TBF_EST</w:t>
            </w:r>
            <w:r w:rsidRPr="004D0DAA">
              <w:rPr>
                <w:lang w:eastAsia="en-US"/>
              </w:rPr>
              <w:t xml:space="preserve"> : bit (1) &gt;</w:t>
            </w:r>
          </w:p>
          <w:p w14:paraId="662DB38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Timing Advance</w:t>
            </w:r>
            <w:r w:rsidRPr="004D0DAA">
              <w:rPr>
                <w:lang w:eastAsia="en-US"/>
              </w:rPr>
              <w:t xml:space="preserve"> : &lt; Packet Timing Advance IE &gt; &gt; }</w:t>
            </w:r>
          </w:p>
          <w:p w14:paraId="024E20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Extended Timing Advance</w:t>
            </w:r>
            <w:r w:rsidRPr="004D0DAA">
              <w:rPr>
                <w:lang w:eastAsia="en-US"/>
              </w:rPr>
              <w:t xml:space="preserve"> : bit (2) &gt; }</w:t>
            </w:r>
          </w:p>
          <w:p w14:paraId="0A3B3D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Power Control Parameters</w:t>
            </w:r>
            <w:r w:rsidRPr="004D0DAA">
              <w:rPr>
                <w:lang w:eastAsia="en-US"/>
              </w:rPr>
              <w:t xml:space="preserve"> : &lt; Power Control Parameters IE &gt; &gt; }</w:t>
            </w:r>
          </w:p>
          <w:p w14:paraId="1DA9174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Extension Bits</w:t>
            </w:r>
            <w:r w:rsidRPr="004D0DAA">
              <w:rPr>
                <w:lang w:eastAsia="en-US"/>
              </w:rPr>
              <w:t xml:space="preserve"> : Extension Bits IE &gt; }</w:t>
            </w:r>
            <w:r w:rsidRPr="004D0DAA">
              <w:rPr>
                <w:lang w:eastAsia="en-US"/>
              </w:rPr>
              <w:tab/>
            </w:r>
            <w:r w:rsidRPr="004D0DAA">
              <w:rPr>
                <w:lang w:eastAsia="en-US"/>
              </w:rPr>
              <w:tab/>
            </w:r>
            <w:r w:rsidRPr="004D0DAA">
              <w:rPr>
                <w:lang w:eastAsia="en-US"/>
              </w:rPr>
              <w:tab/>
            </w:r>
            <w:r w:rsidRPr="004D0DAA">
              <w:rPr>
                <w:lang w:eastAsia="en-US"/>
              </w:rPr>
              <w:tab/>
              <w:t>-- sub-clause 12.26</w:t>
            </w:r>
          </w:p>
          <w:p w14:paraId="7AEE6E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EGPRS</w:t>
            </w:r>
            <w:r w:rsidRPr="004D0DAA">
              <w:rPr>
                <w:lang w:eastAsia="en-US"/>
              </w:rPr>
              <w:t xml:space="preserve"> </w:t>
            </w:r>
            <w:r w:rsidRPr="004D0DAA">
              <w:rPr>
                <w:b/>
                <w:lang w:eastAsia="en-US"/>
              </w:rPr>
              <w:t>Ack/Nack Description</w:t>
            </w:r>
            <w:r w:rsidRPr="004D0DAA">
              <w:rPr>
                <w:lang w:eastAsia="en-US"/>
              </w:rPr>
              <w:t xml:space="preserve"> : &lt; EGPRS Ack/Nack Description IE &gt; &gt;</w:t>
            </w:r>
          </w:p>
          <w:p w14:paraId="281E6B2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t>-- The value '1' was allocated in an earlier version of the protocol and shall not be used.</w:t>
            </w:r>
          </w:p>
          <w:p w14:paraId="3201BF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 </w:t>
            </w:r>
          </w:p>
          <w:p w14:paraId="08153B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null | 0 bit** = &lt;no string&gt;</w:t>
            </w:r>
            <w:r w:rsidRPr="004D0DAA">
              <w:rPr>
                <w:lang w:eastAsia="en-US"/>
              </w:rPr>
              <w:tab/>
              <w:t>-- Receiver backward compatible with earlier version</w:t>
            </w:r>
          </w:p>
          <w:p w14:paraId="319781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Additions for Rel-5</w:t>
            </w:r>
          </w:p>
          <w:p w14:paraId="1C5E3DF4"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ab/>
              <w:t xml:space="preserve">{ 0 | 1 &lt; </w:t>
            </w:r>
            <w:r w:rsidRPr="004D0DAA">
              <w:rPr>
                <w:b/>
                <w:lang w:eastAsia="en-US"/>
              </w:rPr>
              <w:t xml:space="preserve">CONTENTION_RESOLUTION Identifier </w:t>
            </w:r>
            <w:r w:rsidRPr="004D0DAA">
              <w:rPr>
                <w:b/>
                <w:bCs/>
                <w:iCs/>
                <w:lang w:eastAsia="en-US"/>
              </w:rPr>
              <w:t xml:space="preserve">extension </w:t>
            </w:r>
            <w:r w:rsidRPr="004D0DAA">
              <w:rPr>
                <w:iCs/>
                <w:lang w:eastAsia="en-US"/>
              </w:rPr>
              <w:t xml:space="preserve">: bit (4) &gt; } </w:t>
            </w:r>
          </w:p>
          <w:p w14:paraId="667B695E"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RB Id</w:t>
            </w:r>
            <w:r w:rsidRPr="004D0DAA">
              <w:rPr>
                <w:iCs/>
                <w:lang w:eastAsia="en-US"/>
              </w:rPr>
              <w:t xml:space="preserve"> : bit (5) &gt; }</w:t>
            </w:r>
          </w:p>
          <w:p w14:paraId="278630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ab/>
            </w:r>
            <w:r w:rsidRPr="004D0DAA">
              <w:rPr>
                <w:lang w:eastAsia="en-US"/>
              </w:rPr>
              <w:t>{</w:t>
            </w:r>
            <w:r w:rsidRPr="004D0DAA">
              <w:rPr>
                <w:lang w:eastAsia="en-US"/>
              </w:rPr>
              <w:tab/>
              <w:t>null | 0 bit** = &lt;no string&gt;</w:t>
            </w:r>
            <w:r w:rsidRPr="004D0DAA">
              <w:rPr>
                <w:lang w:eastAsia="en-US"/>
              </w:rPr>
              <w:tab/>
              <w:t>-- Receiver backward compatible with earlier version</w:t>
            </w:r>
          </w:p>
          <w:p w14:paraId="61EDB0E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ab/>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Additions for Rel-12</w:t>
            </w:r>
          </w:p>
          <w:p w14:paraId="76A8230B"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PDAN Coding</w:t>
            </w:r>
            <w:r w:rsidRPr="004D0DAA">
              <w:rPr>
                <w:szCs w:val="18"/>
                <w:lang w:eastAsia="en-US"/>
              </w:rPr>
              <w:t xml:space="preserve"> : bit (1) &gt;</w:t>
            </w:r>
          </w:p>
          <w:p w14:paraId="2B5565BE"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0 | 1</w:t>
            </w:r>
            <w:r w:rsidRPr="004D0DAA">
              <w:rPr>
                <w:iCs/>
                <w:lang w:eastAsia="en-US"/>
              </w:rPr>
              <w:tab/>
            </w:r>
          </w:p>
          <w:p w14:paraId="062CF089"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TN_PDCH_pair_DTR</w:t>
            </w:r>
            <w:r w:rsidRPr="004D0DAA">
              <w:rPr>
                <w:iCs/>
                <w:lang w:eastAsia="en-US"/>
              </w:rPr>
              <w:t xml:space="preserve"> : bit (3) &gt; </w:t>
            </w:r>
          </w:p>
          <w:p w14:paraId="05146854"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DTR Blks</w:t>
            </w:r>
            <w:r w:rsidRPr="004D0DAA">
              <w:rPr>
                <w:iCs/>
                <w:lang w:eastAsia="en-US"/>
              </w:rPr>
              <w:t xml:space="preserve"> : bit (2) &gt; }</w:t>
            </w:r>
          </w:p>
          <w:p w14:paraId="7AF30699"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&lt; padding bits &gt; } }</w:t>
            </w:r>
          </w:p>
          <w:p w14:paraId="585122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&lt;no string&gt; &gt; }</w:t>
            </w:r>
          </w:p>
          <w:p w14:paraId="3BA954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Message escape : { 01 | 10 | 11 } bit (*) = &lt;no string&gt; &gt; } } </w:t>
            </w:r>
            <w:r w:rsidRPr="004D0DAA">
              <w:rPr>
                <w:lang w:eastAsia="en-US"/>
              </w:rPr>
              <w:tab/>
              <w:t>-- Extended for future changes</w:t>
            </w:r>
          </w:p>
          <w:p w14:paraId="6A0B267B"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&lt;no string&gt; &gt; }</w:t>
            </w:r>
          </w:p>
          <w:p w14:paraId="48D024C2" w14:textId="77777777" w:rsidR="00711444" w:rsidRPr="004D0DAA" w:rsidRDefault="00711444" w:rsidP="00AA2A4C">
            <w:pPr>
              <w:pStyle w:val="TAL"/>
              <w:rPr>
                <w:lang w:eastAsia="en-US"/>
              </w:rPr>
            </w:pPr>
            <w:r w:rsidRPr="004D0DAA">
              <w:rPr>
                <w:lang w:eastAsia="en-US"/>
              </w:rPr>
              <w:tab/>
              <w:t>! &lt; Distribution part error : bit (*) = &lt;no string&gt; &gt; ;</w:t>
            </w:r>
          </w:p>
          <w:p w14:paraId="741F0BC7" w14:textId="77777777" w:rsidR="00711444" w:rsidRPr="004D0DAA" w:rsidRDefault="00711444" w:rsidP="00AA2A4C">
            <w:pPr>
              <w:pStyle w:val="TAL"/>
              <w:rPr>
                <w:lang w:eastAsia="en-US"/>
              </w:rPr>
            </w:pPr>
          </w:p>
        </w:tc>
      </w:tr>
    </w:tbl>
    <w:p w14:paraId="1EEBE2D2" w14:textId="77777777" w:rsidR="00711444" w:rsidRPr="004D0DAA" w:rsidRDefault="00711444" w:rsidP="00711444"/>
    <w:p w14:paraId="5A695413" w14:textId="77777777" w:rsidR="00711444" w:rsidRPr="004D0DAA" w:rsidRDefault="00711444" w:rsidP="00711444">
      <w:pPr>
        <w:pStyle w:val="TH"/>
      </w:pPr>
      <w:r w:rsidRPr="004D0DAA">
        <w:lastRenderedPageBreak/>
        <w:t xml:space="preserve">Table 11.2.28.2: </w:t>
      </w:r>
      <w:r w:rsidRPr="004D0DAA">
        <w:rPr>
          <w:caps/>
        </w:rPr>
        <w:t>Packet UPlink Ack/Nack</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2C308E2" w14:textId="77777777" w:rsidTr="00AA2A4C">
        <w:tblPrEx>
          <w:tblCellMar>
            <w:top w:w="0" w:type="dxa"/>
            <w:bottom w:w="0" w:type="dxa"/>
          </w:tblCellMar>
        </w:tblPrEx>
        <w:trPr>
          <w:cantSplit/>
        </w:trPr>
        <w:tc>
          <w:tcPr>
            <w:tcW w:w="9848" w:type="dxa"/>
          </w:tcPr>
          <w:p w14:paraId="15CB492D" w14:textId="77777777" w:rsidR="00711444" w:rsidRPr="004D0DAA" w:rsidRDefault="00711444" w:rsidP="00AA2A4C">
            <w:pPr>
              <w:rPr>
                <w:b/>
              </w:rPr>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37D8CF31" w14:textId="77777777" w:rsidTr="00AA2A4C">
        <w:tblPrEx>
          <w:tblCellMar>
            <w:top w:w="0" w:type="dxa"/>
            <w:bottom w:w="0" w:type="dxa"/>
          </w:tblCellMar>
        </w:tblPrEx>
        <w:trPr>
          <w:cantSplit/>
        </w:trPr>
        <w:tc>
          <w:tcPr>
            <w:tcW w:w="9848" w:type="dxa"/>
          </w:tcPr>
          <w:p w14:paraId="7F388F27" w14:textId="77777777" w:rsidR="00711444" w:rsidRPr="004D0DAA" w:rsidRDefault="00711444" w:rsidP="00AA2A4C">
            <w:pPr>
              <w:rPr>
                <w:b/>
              </w:rPr>
            </w:pPr>
            <w:r w:rsidRPr="004D0DAA">
              <w:rPr>
                <w:b/>
              </w:rPr>
              <w:t>UPLINK_TFI</w:t>
            </w:r>
            <w:r w:rsidRPr="004D0DAA">
              <w:t xml:space="preserve"> (5 bit field)</w:t>
            </w:r>
            <w:r w:rsidRPr="004D0DAA">
              <w:br/>
              <w:t>This field identifies the uplink TBF to which this message applies. This field is coded the same as the TFI field defined in</w:t>
            </w:r>
            <w:r w:rsidRPr="004D0DAA">
              <w:rPr>
                <w:i/>
              </w:rPr>
              <w:t xml:space="preserve"> </w:t>
            </w:r>
            <w:r w:rsidRPr="004D0DAA">
              <w:t>sub-clause 12.15. On DBPSCH, this field equals the radio bearer identity of the radio bearer to which this message applies.</w:t>
            </w:r>
          </w:p>
        </w:tc>
      </w:tr>
      <w:tr w:rsidR="00711444" w:rsidRPr="004D0DAA" w14:paraId="64593A93" w14:textId="77777777" w:rsidTr="00AA2A4C">
        <w:tblPrEx>
          <w:tblCellMar>
            <w:top w:w="0" w:type="dxa"/>
            <w:bottom w:w="0" w:type="dxa"/>
          </w:tblCellMar>
        </w:tblPrEx>
        <w:trPr>
          <w:cantSplit/>
        </w:trPr>
        <w:tc>
          <w:tcPr>
            <w:tcW w:w="9848" w:type="dxa"/>
          </w:tcPr>
          <w:p w14:paraId="139166BE" w14:textId="77777777" w:rsidR="00711444" w:rsidRPr="004D0DAA" w:rsidRDefault="00711444" w:rsidP="00AA2A4C">
            <w:r w:rsidRPr="004D0DAA">
              <w:rPr>
                <w:b/>
              </w:rPr>
              <w:t>CHANNEL_CODING_COMMAND</w:t>
            </w:r>
            <w:r w:rsidRPr="004D0DAA">
              <w:t xml:space="preserve"> (2 bit field)</w:t>
            </w:r>
            <w:r w:rsidRPr="004D0DAA">
              <w:br/>
              <w:t>The Channel Coding Indicator field indicates the channel coding scheme that the mobile station shall use when transmitting on the uplink.</w:t>
            </w:r>
          </w:p>
          <w:p w14:paraId="4C1F35A1" w14:textId="77777777" w:rsidR="00711444" w:rsidRPr="004D0DAA" w:rsidRDefault="00711444" w:rsidP="00AA2A4C">
            <w:pPr>
              <w:tabs>
                <w:tab w:val="left" w:pos="567"/>
              </w:tabs>
              <w:rPr>
                <w:b/>
              </w:rPr>
            </w:pPr>
            <w:r w:rsidRPr="004D0DAA">
              <w:t>bits</w:t>
            </w:r>
            <w:r w:rsidRPr="004D0DAA">
              <w:br/>
              <w:t>2 1</w:t>
            </w:r>
            <w:r w:rsidRPr="004D0DAA">
              <w:tab/>
              <w:t>value</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199D02EC" w14:textId="77777777" w:rsidTr="00AA2A4C">
        <w:tblPrEx>
          <w:tblCellMar>
            <w:top w:w="0" w:type="dxa"/>
            <w:bottom w:w="0" w:type="dxa"/>
          </w:tblCellMar>
        </w:tblPrEx>
        <w:trPr>
          <w:cantSplit/>
        </w:trPr>
        <w:tc>
          <w:tcPr>
            <w:tcW w:w="9848" w:type="dxa"/>
          </w:tcPr>
          <w:p w14:paraId="4E29187B" w14:textId="77777777" w:rsidR="00711444" w:rsidRPr="004D0DAA" w:rsidRDefault="00711444" w:rsidP="00AA2A4C">
            <w:pPr>
              <w:rPr>
                <w:b/>
              </w:rPr>
            </w:pPr>
            <w:r w:rsidRPr="004D0DAA">
              <w:rPr>
                <w:b/>
              </w:rPr>
              <w:t>Ack/Nack Description</w:t>
            </w:r>
            <w:r w:rsidRPr="004D0DAA">
              <w:br/>
              <w:t>This information element is defined in</w:t>
            </w:r>
            <w:r w:rsidRPr="004D0DAA">
              <w:rPr>
                <w:i/>
              </w:rPr>
              <w:t xml:space="preserve"> </w:t>
            </w:r>
            <w:r w:rsidRPr="004D0DAA">
              <w:t>sub-clause 12.3.</w:t>
            </w:r>
          </w:p>
        </w:tc>
      </w:tr>
      <w:tr w:rsidR="00711444" w:rsidRPr="004D0DAA" w14:paraId="26442096" w14:textId="77777777" w:rsidTr="00AA2A4C">
        <w:tblPrEx>
          <w:tblCellMar>
            <w:top w:w="0" w:type="dxa"/>
            <w:bottom w:w="0" w:type="dxa"/>
          </w:tblCellMar>
        </w:tblPrEx>
        <w:trPr>
          <w:cantSplit/>
        </w:trPr>
        <w:tc>
          <w:tcPr>
            <w:tcW w:w="9848" w:type="dxa"/>
          </w:tcPr>
          <w:p w14:paraId="3785E237" w14:textId="77777777" w:rsidR="00711444" w:rsidRPr="004D0DAA" w:rsidRDefault="00711444" w:rsidP="00AA2A4C">
            <w:pPr>
              <w:rPr>
                <w:b/>
              </w:rPr>
            </w:pPr>
            <w:r w:rsidRPr="004D0DAA">
              <w:rPr>
                <w:b/>
              </w:rPr>
              <w:t>EGPRS Modulation and Coding Scheme</w:t>
            </w:r>
            <w:r w:rsidRPr="004D0DAA">
              <w:rPr>
                <w:b/>
              </w:rPr>
              <w:br/>
            </w:r>
            <w:r w:rsidRPr="004D0DAA">
              <w:t>The EGPRS Modulation and Coding Scheme information element is defined in</w:t>
            </w:r>
            <w:r w:rsidRPr="004D0DAA">
              <w:rPr>
                <w:i/>
              </w:rPr>
              <w:t xml:space="preserve"> </w:t>
            </w:r>
            <w:r w:rsidRPr="004D0DAA">
              <w:t>sub-clause 12.10d.</w:t>
            </w:r>
          </w:p>
        </w:tc>
      </w:tr>
      <w:tr w:rsidR="00711444" w:rsidRPr="004D0DAA" w14:paraId="6C9291E7" w14:textId="77777777" w:rsidTr="00AA2A4C">
        <w:tblPrEx>
          <w:tblCellMar>
            <w:top w:w="0" w:type="dxa"/>
            <w:bottom w:w="0" w:type="dxa"/>
          </w:tblCellMar>
        </w:tblPrEx>
        <w:trPr>
          <w:cantSplit/>
        </w:trPr>
        <w:tc>
          <w:tcPr>
            <w:tcW w:w="9848" w:type="dxa"/>
          </w:tcPr>
          <w:p w14:paraId="1EA2F4B5" w14:textId="77777777" w:rsidR="00711444" w:rsidRPr="004D0DAA" w:rsidRDefault="00711444" w:rsidP="00AA2A4C">
            <w:pPr>
              <w:rPr>
                <w:b/>
              </w:rPr>
            </w:pPr>
            <w:r w:rsidRPr="004D0DAA">
              <w:rPr>
                <w:b/>
              </w:rPr>
              <w:t xml:space="preserve">RESEGMENT </w:t>
            </w:r>
            <w:r w:rsidRPr="004D0DAA">
              <w:t>(1 bit field)</w:t>
            </w:r>
            <w:r w:rsidRPr="004D0DAA">
              <w:rPr>
                <w:b/>
              </w:rPr>
              <w:br/>
            </w:r>
            <w:r w:rsidRPr="004D0DAA">
              <w:t>This field is defined in</w:t>
            </w:r>
            <w:r w:rsidRPr="004D0DAA">
              <w:rPr>
                <w:i/>
              </w:rPr>
              <w:t xml:space="preserve"> </w:t>
            </w:r>
            <w:r w:rsidRPr="004D0DAA">
              <w:t>sub-clause 12.10e.</w:t>
            </w:r>
          </w:p>
        </w:tc>
      </w:tr>
      <w:tr w:rsidR="00711444" w:rsidRPr="004D0DAA" w14:paraId="01F5EFAF" w14:textId="77777777" w:rsidTr="00AA2A4C">
        <w:tblPrEx>
          <w:tblCellMar>
            <w:top w:w="0" w:type="dxa"/>
            <w:bottom w:w="0" w:type="dxa"/>
          </w:tblCellMar>
        </w:tblPrEx>
        <w:trPr>
          <w:cantSplit/>
        </w:trPr>
        <w:tc>
          <w:tcPr>
            <w:tcW w:w="9848" w:type="dxa"/>
          </w:tcPr>
          <w:p w14:paraId="4DF43611" w14:textId="77777777" w:rsidR="00711444" w:rsidRPr="004D0DAA" w:rsidRDefault="00711444" w:rsidP="00AA2A4C">
            <w:r w:rsidRPr="004D0DAA">
              <w:rPr>
                <w:b/>
              </w:rPr>
              <w:t>PRE_EMPTIVE_TRANSMISSION</w:t>
            </w:r>
            <w:r w:rsidRPr="004D0DAA">
              <w:t xml:space="preserve"> (1 bit field) </w:t>
            </w:r>
            <w:r w:rsidRPr="004D0DAA">
              <w:br/>
              <w:t>This bit informs the mobile station if it may or may not transmit the oldest RLC data block whose corresponding element in V(B) has the value PENDING_ACK (and repeating the process, refer to</w:t>
            </w:r>
            <w:r w:rsidRPr="004D0DAA">
              <w:rPr>
                <w:i/>
              </w:rPr>
              <w:t xml:space="preserve"> </w:t>
            </w:r>
            <w:r w:rsidRPr="004D0DAA">
              <w:t xml:space="preserve">sub-clause 9.1.3.2) when the protocol is stalled or has no more RLC data blocks to transmit. </w:t>
            </w:r>
          </w:p>
          <w:p w14:paraId="2CCAFA6D" w14:textId="77777777" w:rsidR="00711444" w:rsidRPr="004D0DAA" w:rsidRDefault="00711444" w:rsidP="00AA2A4C">
            <w:pPr>
              <w:rPr>
                <w:b/>
              </w:rPr>
            </w:pPr>
            <w:r w:rsidRPr="004D0DAA">
              <w:t>0</w:t>
            </w:r>
            <w:r w:rsidRPr="004D0DAA">
              <w:tab/>
              <w:t xml:space="preserve">The mobile station shall not use pre-emptive transmission. </w:t>
            </w:r>
            <w:r w:rsidRPr="004D0DAA">
              <w:br/>
              <w:t>1</w:t>
            </w:r>
            <w:r w:rsidRPr="004D0DAA">
              <w:tab/>
              <w:t>The mobile station shall use pre-emptive transmission.</w:t>
            </w:r>
          </w:p>
        </w:tc>
      </w:tr>
      <w:tr w:rsidR="00711444" w:rsidRPr="004D0DAA" w14:paraId="7B4AA0FA" w14:textId="77777777" w:rsidTr="00AA2A4C">
        <w:tblPrEx>
          <w:tblCellMar>
            <w:top w:w="0" w:type="dxa"/>
            <w:bottom w:w="0" w:type="dxa"/>
          </w:tblCellMar>
        </w:tblPrEx>
        <w:trPr>
          <w:cantSplit/>
        </w:trPr>
        <w:tc>
          <w:tcPr>
            <w:tcW w:w="9848" w:type="dxa"/>
          </w:tcPr>
          <w:p w14:paraId="52F8B602" w14:textId="77777777" w:rsidR="00711444" w:rsidRPr="004D0DAA" w:rsidRDefault="00711444" w:rsidP="00AA2A4C">
            <w:pPr>
              <w:spacing w:after="0"/>
            </w:pPr>
            <w:r w:rsidRPr="004D0DAA">
              <w:rPr>
                <w:b/>
              </w:rPr>
              <w:t>PRR RETRANSMISSION REQUEST (1 bit field)</w:t>
            </w:r>
          </w:p>
          <w:p w14:paraId="2A6B55BA" w14:textId="77777777" w:rsidR="00711444" w:rsidRPr="004D0DAA" w:rsidRDefault="00711444" w:rsidP="00AA2A4C">
            <w:pPr>
              <w:spacing w:after="0"/>
            </w:pPr>
            <w:r w:rsidRPr="004D0DAA">
              <w:t>0</w:t>
            </w:r>
            <w:r w:rsidRPr="004D0DAA">
              <w:tab/>
              <w:t>indicates that retransmission of a PACKET RESOURCE REQUEST message is not requested</w:t>
            </w:r>
          </w:p>
          <w:p w14:paraId="72C499BB" w14:textId="77777777" w:rsidR="00711444" w:rsidRPr="004D0DAA" w:rsidRDefault="00711444" w:rsidP="00AA2A4C">
            <w:pPr>
              <w:rPr>
                <w:b/>
              </w:rPr>
            </w:pPr>
            <w:r w:rsidRPr="004D0DAA">
              <w:t>1</w:t>
            </w:r>
            <w:r w:rsidRPr="004D0DAA">
              <w:tab/>
              <w:t>indicates that retransmission of a PACKET RESOURCE REQUEST message is requested  (see sub-clause 7.1.2.2.1a)</w:t>
            </w:r>
          </w:p>
        </w:tc>
      </w:tr>
      <w:tr w:rsidR="00711444" w:rsidRPr="004D0DAA" w14:paraId="011F4406" w14:textId="77777777" w:rsidTr="00AA2A4C">
        <w:tblPrEx>
          <w:tblCellMar>
            <w:top w:w="0" w:type="dxa"/>
            <w:bottom w:w="0" w:type="dxa"/>
          </w:tblCellMar>
        </w:tblPrEx>
        <w:trPr>
          <w:cantSplit/>
        </w:trPr>
        <w:tc>
          <w:tcPr>
            <w:tcW w:w="9848" w:type="dxa"/>
          </w:tcPr>
          <w:p w14:paraId="790E955F" w14:textId="77777777" w:rsidR="00711444" w:rsidRPr="004D0DAA" w:rsidRDefault="00711444" w:rsidP="00AA2A4C">
            <w:pPr>
              <w:spacing w:after="0"/>
            </w:pPr>
            <w:r w:rsidRPr="004D0DAA">
              <w:rPr>
                <w:b/>
              </w:rPr>
              <w:t>ARAC RETRANSMISSION REQUEST (1 bit field)</w:t>
            </w:r>
          </w:p>
          <w:p w14:paraId="3F8555C6" w14:textId="77777777" w:rsidR="00711444" w:rsidRPr="004D0DAA" w:rsidRDefault="00711444" w:rsidP="00AA2A4C">
            <w:pPr>
              <w:spacing w:after="0"/>
            </w:pPr>
            <w:r w:rsidRPr="004D0DAA">
              <w:t>0</w:t>
            </w:r>
            <w:r w:rsidRPr="004D0DAA">
              <w:tab/>
              <w:t>indicates that retransmission of an ADDITIONAL MS RADIO ACCESS CAPABILITIES message is not requested</w:t>
            </w:r>
          </w:p>
          <w:p w14:paraId="793854EF" w14:textId="77777777" w:rsidR="00711444" w:rsidRPr="004D0DAA" w:rsidRDefault="00711444" w:rsidP="00AA2A4C">
            <w:pPr>
              <w:rPr>
                <w:b/>
              </w:rPr>
            </w:pPr>
            <w:r w:rsidRPr="004D0DAA">
              <w:t>1</w:t>
            </w:r>
            <w:r w:rsidRPr="004D0DAA">
              <w:tab/>
              <w:t>indicates that retransmission of an ADDITIONAL MS RADIO ACCESS CAPABILITIES message is requested  (see sub-clause 7.1.2.2.1a)</w:t>
            </w:r>
          </w:p>
        </w:tc>
      </w:tr>
      <w:tr w:rsidR="00711444" w:rsidRPr="004D0DAA" w14:paraId="23FD9531" w14:textId="77777777" w:rsidTr="00AA2A4C">
        <w:tblPrEx>
          <w:tblCellMar>
            <w:top w:w="0" w:type="dxa"/>
            <w:bottom w:w="0" w:type="dxa"/>
          </w:tblCellMar>
        </w:tblPrEx>
        <w:trPr>
          <w:cantSplit/>
        </w:trPr>
        <w:tc>
          <w:tcPr>
            <w:tcW w:w="9848" w:type="dxa"/>
          </w:tcPr>
          <w:p w14:paraId="27813C93" w14:textId="77777777" w:rsidR="00711444" w:rsidRPr="004D0DAA" w:rsidRDefault="00711444" w:rsidP="00AA2A4C">
            <w:pPr>
              <w:rPr>
                <w:b/>
              </w:rPr>
            </w:pPr>
            <w:r w:rsidRPr="004D0DAA">
              <w:rPr>
                <w:b/>
              </w:rPr>
              <w:t xml:space="preserve">EGPRS Ack/Nack Description </w:t>
            </w:r>
            <w:r w:rsidRPr="004D0DAA">
              <w:rPr>
                <w:b/>
              </w:rPr>
              <w:br/>
            </w:r>
            <w:r w:rsidRPr="004D0DAA">
              <w:t>This information element is defined in</w:t>
            </w:r>
            <w:r w:rsidRPr="004D0DAA">
              <w:rPr>
                <w:i/>
              </w:rPr>
              <w:t xml:space="preserve"> </w:t>
            </w:r>
            <w:r w:rsidRPr="004D0DAA">
              <w:t>sub-clause 12.3.1. The number of bits (L) available for Ack/Nack Description information element depends on the inclusion of other information elements. L may be set so that the entire PACKET UPLINK ACK/NACK message evenly fits into an RLC/MAC control block. If a lower L covers the entire receive window, that L may be used.</w:t>
            </w:r>
          </w:p>
        </w:tc>
      </w:tr>
      <w:tr w:rsidR="00711444" w:rsidRPr="004D0DAA" w14:paraId="1398CDCD" w14:textId="77777777" w:rsidTr="00AA2A4C">
        <w:tblPrEx>
          <w:tblCellMar>
            <w:top w:w="0" w:type="dxa"/>
            <w:bottom w:w="0" w:type="dxa"/>
          </w:tblCellMar>
        </w:tblPrEx>
        <w:trPr>
          <w:cantSplit/>
        </w:trPr>
        <w:tc>
          <w:tcPr>
            <w:tcW w:w="9848" w:type="dxa"/>
          </w:tcPr>
          <w:p w14:paraId="52514A36" w14:textId="77777777" w:rsidR="00711444" w:rsidRPr="004D0DAA" w:rsidRDefault="00711444" w:rsidP="00AA2A4C">
            <w:pPr>
              <w:rPr>
                <w:b/>
              </w:rPr>
            </w:pPr>
            <w:r w:rsidRPr="004D0DAA">
              <w:rPr>
                <w:b/>
              </w:rPr>
              <w:t xml:space="preserve">CONTENTION_RESOLUTION_TLLI </w:t>
            </w:r>
            <w:r w:rsidRPr="004D0DAA">
              <w:t>(32 bit field)</w:t>
            </w:r>
            <w:r w:rsidRPr="004D0DAA">
              <w:br/>
              <w:t>The CONTENTION_RESOLUTION_TLLI field is present only if the network has decoded one of the uplink RLC data blocks containing the TLLI or G-RNTI. The mobile station shall perform the contention resolution function if the TLLI or G-RNTI information element is present. This field contains a TLLI or a G-RNTI, which is defined in</w:t>
            </w:r>
            <w:r w:rsidRPr="004D0DAA">
              <w:rPr>
                <w:i/>
              </w:rPr>
              <w:t xml:space="preserve"> </w:t>
            </w:r>
            <w:r w:rsidRPr="004D0DAA">
              <w:t>sub-clause 12.16.</w:t>
            </w:r>
          </w:p>
        </w:tc>
      </w:tr>
      <w:tr w:rsidR="00711444" w:rsidRPr="004D0DAA" w14:paraId="14754A0F" w14:textId="77777777" w:rsidTr="00AA2A4C">
        <w:tblPrEx>
          <w:tblCellMar>
            <w:top w:w="0" w:type="dxa"/>
            <w:bottom w:w="0" w:type="dxa"/>
          </w:tblCellMar>
        </w:tblPrEx>
        <w:trPr>
          <w:cantSplit/>
        </w:trPr>
        <w:tc>
          <w:tcPr>
            <w:tcW w:w="9848" w:type="dxa"/>
          </w:tcPr>
          <w:p w14:paraId="681BFAE6" w14:textId="77777777" w:rsidR="00711444" w:rsidRPr="004D0DAA" w:rsidRDefault="00711444" w:rsidP="00AA2A4C">
            <w:pPr>
              <w:rPr>
                <w:b/>
              </w:rPr>
            </w:pPr>
            <w:r w:rsidRPr="004D0DAA">
              <w:rPr>
                <w:b/>
              </w:rPr>
              <w:t>Packet Timing Advance</w:t>
            </w:r>
            <w:r w:rsidRPr="004D0DAA">
              <w:br/>
              <w:t>This information element is defined in</w:t>
            </w:r>
            <w:r w:rsidRPr="004D0DAA">
              <w:rPr>
                <w:i/>
              </w:rPr>
              <w:t xml:space="preserve"> </w:t>
            </w:r>
            <w:r w:rsidRPr="004D0DAA">
              <w:t>sub-clause 12.12.</w:t>
            </w:r>
          </w:p>
        </w:tc>
      </w:tr>
      <w:tr w:rsidR="00711444" w:rsidRPr="004D0DAA" w14:paraId="083757C3" w14:textId="77777777" w:rsidTr="00AA2A4C">
        <w:tblPrEx>
          <w:tblCellMar>
            <w:top w:w="0" w:type="dxa"/>
            <w:bottom w:w="0" w:type="dxa"/>
          </w:tblCellMar>
        </w:tblPrEx>
        <w:trPr>
          <w:cantSplit/>
        </w:trPr>
        <w:tc>
          <w:tcPr>
            <w:tcW w:w="9848" w:type="dxa"/>
          </w:tcPr>
          <w:p w14:paraId="72A6E8A1" w14:textId="77777777" w:rsidR="00711444" w:rsidRPr="004D0DAA" w:rsidRDefault="00711444" w:rsidP="00AA2A4C">
            <w:pPr>
              <w:rPr>
                <w:b/>
              </w:rPr>
            </w:pPr>
            <w:r w:rsidRPr="004D0DAA">
              <w:rPr>
                <w:b/>
              </w:rPr>
              <w:lastRenderedPageBreak/>
              <w:t>Power Control Parameters</w:t>
            </w:r>
            <w:r w:rsidRPr="004D0DAA">
              <w:br/>
              <w:t>This information element</w:t>
            </w:r>
            <w:r w:rsidRPr="004D0DAA">
              <w:rPr>
                <w:lang w:eastAsia="ko-KR"/>
              </w:rPr>
              <w:t>, if present,</w:t>
            </w:r>
            <w:r w:rsidRPr="004D0DAA">
              <w:t xml:space="preserve"> contains</w:t>
            </w:r>
            <w:r w:rsidRPr="004D0DAA">
              <w:rPr>
                <w:lang w:eastAsia="ko-KR"/>
              </w:rPr>
              <w:t xml:space="preserve"> the power control</w:t>
            </w:r>
            <w:r w:rsidRPr="004D0DAA">
              <w:t xml:space="preserve"> </w:t>
            </w:r>
            <w:r w:rsidRPr="004D0DAA">
              <w:rPr>
                <w:lang w:eastAsia="ko-KR"/>
              </w:rPr>
              <w:t>parameters the mobile station shall use to determine its TX power level.</w:t>
            </w:r>
            <w:r w:rsidRPr="004D0DAA">
              <w:t xml:space="preserve"> If this information element </w:t>
            </w:r>
            <w:r w:rsidRPr="004D0DAA">
              <w:rPr>
                <w:lang w:eastAsia="ko-KR"/>
              </w:rPr>
              <w:t>does not include the updated power control parameters</w:t>
            </w:r>
            <w:r w:rsidRPr="004D0DAA">
              <w:t xml:space="preserve"> for </w:t>
            </w:r>
            <w:r w:rsidRPr="004D0DAA">
              <w:rPr>
                <w:lang w:eastAsia="ko-KR"/>
              </w:rPr>
              <w:t xml:space="preserve">some of currently </w:t>
            </w:r>
            <w:r w:rsidRPr="004D0DAA">
              <w:t xml:space="preserve">assigned timeslots, the MS shall continue to use the </w:t>
            </w:r>
            <w:r w:rsidRPr="004D0DAA">
              <w:rPr>
                <w:lang w:eastAsia="ko-KR"/>
              </w:rPr>
              <w:t>current power control parameters for</w:t>
            </w:r>
            <w:r w:rsidRPr="004D0DAA">
              <w:t xml:space="preserve"> these timeslots. This information element is defined in</w:t>
            </w:r>
            <w:r w:rsidRPr="004D0DAA">
              <w:rPr>
                <w:i/>
              </w:rPr>
              <w:t xml:space="preserve"> </w:t>
            </w:r>
            <w:r w:rsidRPr="004D0DAA">
              <w:t>sub-clause 12.13.</w:t>
            </w:r>
          </w:p>
        </w:tc>
      </w:tr>
      <w:tr w:rsidR="00711444" w:rsidRPr="004D0DAA" w14:paraId="6888D16D" w14:textId="77777777" w:rsidTr="00AA2A4C">
        <w:tblPrEx>
          <w:tblCellMar>
            <w:top w:w="0" w:type="dxa"/>
            <w:bottom w:w="0" w:type="dxa"/>
          </w:tblCellMar>
        </w:tblPrEx>
        <w:trPr>
          <w:cantSplit/>
        </w:trPr>
        <w:tc>
          <w:tcPr>
            <w:tcW w:w="9848" w:type="dxa"/>
          </w:tcPr>
          <w:p w14:paraId="4E2E7D46" w14:textId="77777777" w:rsidR="00711444" w:rsidRPr="004D0DAA" w:rsidRDefault="00711444" w:rsidP="00AA2A4C">
            <w:pPr>
              <w:rPr>
                <w:b/>
              </w:rPr>
            </w:pPr>
            <w:r w:rsidRPr="004D0DAA">
              <w:rPr>
                <w:b/>
              </w:rPr>
              <w:t>Extension Bits</w:t>
            </w:r>
            <w:r w:rsidRPr="004D0DAA">
              <w:rPr>
                <w:b/>
              </w:rPr>
              <w:br/>
            </w:r>
            <w:r w:rsidRPr="004D0DAA">
              <w:t>This information element, if present, shall be skipped over. Any information content shall be ignored by the mobile station. This information element is defined in</w:t>
            </w:r>
            <w:r w:rsidRPr="004D0DAA">
              <w:rPr>
                <w:i/>
              </w:rPr>
              <w:t xml:space="preserve"> </w:t>
            </w:r>
            <w:r w:rsidRPr="004D0DAA">
              <w:t>sub-clause 12.26.</w:t>
            </w:r>
          </w:p>
        </w:tc>
      </w:tr>
      <w:tr w:rsidR="00711444" w:rsidRPr="004D0DAA" w14:paraId="509E2D03" w14:textId="77777777" w:rsidTr="00AA2A4C">
        <w:tblPrEx>
          <w:tblCellMar>
            <w:top w:w="0" w:type="dxa"/>
            <w:bottom w:w="0" w:type="dxa"/>
          </w:tblCellMar>
        </w:tblPrEx>
        <w:trPr>
          <w:cantSplit/>
        </w:trPr>
        <w:tc>
          <w:tcPr>
            <w:tcW w:w="9848" w:type="dxa"/>
          </w:tcPr>
          <w:p w14:paraId="63D72B1F" w14:textId="77777777" w:rsidR="00711444" w:rsidRPr="004D0DAA" w:rsidRDefault="00711444" w:rsidP="00AA2A4C">
            <w:pPr>
              <w:rPr>
                <w:b/>
              </w:rPr>
            </w:pPr>
            <w:r w:rsidRPr="004D0DAA">
              <w:rPr>
                <w:b/>
              </w:rPr>
              <w:t xml:space="preserve">Packet Extended Timing Advance </w:t>
            </w:r>
            <w:r w:rsidRPr="004D0DAA">
              <w:t>(2 bit field)</w:t>
            </w:r>
            <w:r w:rsidRPr="004D0DAA">
              <w:rPr>
                <w:b/>
              </w:rPr>
              <w:t xml:space="preserve"> </w:t>
            </w:r>
            <w:r w:rsidRPr="004D0DAA">
              <w:rPr>
                <w:b/>
              </w:rPr>
              <w:br/>
            </w:r>
            <w:r w:rsidRPr="004D0DAA">
              <w:t>This field is defined in</w:t>
            </w:r>
            <w:r w:rsidRPr="004D0DAA">
              <w:rPr>
                <w:i/>
              </w:rPr>
              <w:t xml:space="preserve"> </w:t>
            </w:r>
            <w:r w:rsidRPr="004D0DAA">
              <w:t>sub-clause 12.12b.</w:t>
            </w:r>
          </w:p>
        </w:tc>
      </w:tr>
      <w:tr w:rsidR="00711444" w:rsidRPr="004D0DAA" w14:paraId="76CEC25A" w14:textId="77777777" w:rsidTr="00AA2A4C">
        <w:tblPrEx>
          <w:tblCellMar>
            <w:top w:w="0" w:type="dxa"/>
            <w:bottom w:w="0" w:type="dxa"/>
          </w:tblCellMar>
        </w:tblPrEx>
        <w:trPr>
          <w:cantSplit/>
        </w:trPr>
        <w:tc>
          <w:tcPr>
            <w:tcW w:w="9848" w:type="dxa"/>
          </w:tcPr>
          <w:p w14:paraId="5F31A361" w14:textId="77777777" w:rsidR="00711444" w:rsidRPr="004D0DAA" w:rsidRDefault="00711444" w:rsidP="00AA2A4C">
            <w:r w:rsidRPr="004D0DAA">
              <w:rPr>
                <w:b/>
              </w:rPr>
              <w:t>TBF_EST</w:t>
            </w:r>
            <w:r w:rsidRPr="004D0DAA">
              <w:t xml:space="preserve"> (1 bit field) </w:t>
            </w:r>
            <w:r w:rsidRPr="004D0DAA">
              <w:br/>
              <w:t>If included, this field indicates that the mobile station is allowed to request the establishment of new TBF on PACCH.</w:t>
            </w:r>
          </w:p>
          <w:p w14:paraId="0E55B189" w14:textId="77777777" w:rsidR="00711444" w:rsidRPr="004D0DAA" w:rsidRDefault="00711444" w:rsidP="00AA2A4C">
            <w:r w:rsidRPr="004D0DAA">
              <w:t>0</w:t>
            </w:r>
            <w:r w:rsidRPr="004D0DAA">
              <w:tab/>
              <w:t>the mobile station is not allowed to request the establishment of new TBF</w:t>
            </w:r>
          </w:p>
          <w:p w14:paraId="08887A76" w14:textId="77777777" w:rsidR="00711444" w:rsidRPr="004D0DAA" w:rsidRDefault="00711444" w:rsidP="00AA2A4C">
            <w:r w:rsidRPr="004D0DAA">
              <w:t>1</w:t>
            </w:r>
            <w:r w:rsidRPr="004D0DAA">
              <w:tab/>
              <w:t>the mobile station is allowed to request the establishment of new TBF</w:t>
            </w:r>
          </w:p>
        </w:tc>
      </w:tr>
      <w:tr w:rsidR="00711444" w:rsidRPr="004D0DAA" w14:paraId="5264F72E" w14:textId="77777777" w:rsidTr="00AA2A4C">
        <w:tblPrEx>
          <w:tblCellMar>
            <w:top w:w="0" w:type="dxa"/>
            <w:bottom w:w="0" w:type="dxa"/>
          </w:tblCellMar>
        </w:tblPrEx>
        <w:trPr>
          <w:cantSplit/>
        </w:trPr>
        <w:tc>
          <w:tcPr>
            <w:tcW w:w="9848" w:type="dxa"/>
          </w:tcPr>
          <w:p w14:paraId="7502ED74" w14:textId="77777777" w:rsidR="00711444" w:rsidRPr="004D0DAA" w:rsidRDefault="00711444" w:rsidP="00AA2A4C">
            <w:r w:rsidRPr="004D0DAA">
              <w:rPr>
                <w:b/>
              </w:rPr>
              <w:t xml:space="preserve">CONTENTION_RESOLUTION Identifier </w:t>
            </w:r>
            <w:r w:rsidRPr="004D0DAA">
              <w:rPr>
                <w:b/>
                <w:bCs/>
              </w:rPr>
              <w:t xml:space="preserve">extension </w:t>
            </w:r>
            <w:r w:rsidRPr="004D0DAA">
              <w:t>(4 bit field)</w:t>
            </w:r>
          </w:p>
          <w:p w14:paraId="0C5C779A" w14:textId="77777777" w:rsidR="00711444" w:rsidRPr="004D0DAA" w:rsidRDefault="00711444" w:rsidP="00AA2A4C">
            <w:pPr>
              <w:rPr>
                <w:b/>
                <w:bCs/>
              </w:rPr>
            </w:pPr>
            <w:r w:rsidRPr="004D0DAA">
              <w:t xml:space="preserve">This field contains the extra 4 bits of the G-RNTI not included in the </w:t>
            </w:r>
            <w:r w:rsidRPr="004D0DAA">
              <w:rPr>
                <w:bCs/>
              </w:rPr>
              <w:t xml:space="preserve">CONTENTION_RESOLUTION_TLLI </w:t>
            </w:r>
            <w:r w:rsidRPr="004D0DAA">
              <w:t>field which are necessary to provide a unique identifier for contention resolution in Iu-mode. This field is present when an assigned G-RNTI is used during the contention resolution procedure.</w:t>
            </w:r>
          </w:p>
        </w:tc>
      </w:tr>
      <w:tr w:rsidR="00711444" w:rsidRPr="004D0DAA" w14:paraId="673F2412" w14:textId="77777777" w:rsidTr="00AA2A4C">
        <w:tblPrEx>
          <w:tblCellMar>
            <w:top w:w="0" w:type="dxa"/>
            <w:bottom w:w="0" w:type="dxa"/>
          </w:tblCellMar>
        </w:tblPrEx>
        <w:trPr>
          <w:cantSplit/>
        </w:trPr>
        <w:tc>
          <w:tcPr>
            <w:tcW w:w="9848" w:type="dxa"/>
          </w:tcPr>
          <w:p w14:paraId="066B8E4F" w14:textId="77777777" w:rsidR="00711444" w:rsidRPr="004D0DAA" w:rsidRDefault="00711444" w:rsidP="00AA2A4C">
            <w:pPr>
              <w:rPr>
                <w:b/>
              </w:rPr>
            </w:pPr>
            <w:r w:rsidRPr="004D0DAA">
              <w:rPr>
                <w:b/>
              </w:rPr>
              <w:t>RB Id</w:t>
            </w:r>
            <w:r w:rsidRPr="004D0DAA">
              <w:t xml:space="preserve"> (5 bit field)</w:t>
            </w:r>
            <w:r w:rsidRPr="004D0DAA">
              <w:br/>
              <w:t>This field contains the radio bearer identity of the mobile station's radio bearer for which the uplink data transfer on SFACCH is acknowledged. This field is not included when the PACKET UPLINK ACK/NACK messsage is sent on DBPSCH. This field is encoded as a binary number with range 0-31.</w:t>
            </w:r>
          </w:p>
        </w:tc>
      </w:tr>
      <w:tr w:rsidR="00711444" w:rsidRPr="004D0DAA" w14:paraId="78234F18" w14:textId="77777777" w:rsidTr="00AA2A4C">
        <w:tblPrEx>
          <w:tblCellMar>
            <w:top w:w="0" w:type="dxa"/>
            <w:bottom w:w="0" w:type="dxa"/>
          </w:tblCellMar>
        </w:tblPrEx>
        <w:trPr>
          <w:cantSplit/>
        </w:trPr>
        <w:tc>
          <w:tcPr>
            <w:tcW w:w="9848" w:type="dxa"/>
          </w:tcPr>
          <w:p w14:paraId="7C57A94B" w14:textId="77777777" w:rsidR="00711444" w:rsidRPr="004D0DAA" w:rsidRDefault="00711444" w:rsidP="00AA2A4C">
            <w:r w:rsidRPr="004D0DAA">
              <w:rPr>
                <w:b/>
              </w:rPr>
              <w:t>CI_DTR</w:t>
            </w:r>
            <w:r w:rsidRPr="004D0DAA">
              <w:t xml:space="preserve"> (1 bit field)</w:t>
            </w:r>
            <w:r w:rsidRPr="004D0DAA">
              <w:br/>
              <w:t>This field indicates the carrier the mobile station shall monitor when DTR is used (see sub-clause 8.1.8). In case of single carrier configuration, this field shall be set to the value ‘0’. The timeslot or PDCH-pair to monitor on this carrier is indicated with the TN_PDCH_pair_DTR field.</w:t>
            </w:r>
          </w:p>
          <w:p w14:paraId="4A068B85" w14:textId="77777777" w:rsidR="00711444" w:rsidRPr="004D0DAA" w:rsidRDefault="00711444" w:rsidP="00AA2A4C">
            <w:pPr>
              <w:rPr>
                <w:b/>
              </w:rPr>
            </w:pPr>
            <w:r w:rsidRPr="004D0DAA">
              <w:t>0</w:t>
            </w:r>
            <w:r w:rsidRPr="004D0DAA">
              <w:tab/>
              <w:t>carrier 1</w:t>
            </w:r>
            <w:r w:rsidRPr="004D0DAA">
              <w:br/>
              <w:t>1</w:t>
            </w:r>
            <w:r w:rsidRPr="004D0DAA">
              <w:tab/>
              <w:t>carrier 2. If received by a mobile station not supporting dual carrier it shall be interpreted as ‘0’.</w:t>
            </w:r>
          </w:p>
        </w:tc>
      </w:tr>
      <w:tr w:rsidR="00711444" w:rsidRPr="004D0DAA" w14:paraId="3D0FCBB1" w14:textId="77777777" w:rsidTr="00AA2A4C">
        <w:tblPrEx>
          <w:tblCellMar>
            <w:top w:w="0" w:type="dxa"/>
            <w:bottom w:w="0" w:type="dxa"/>
          </w:tblCellMar>
        </w:tblPrEx>
        <w:trPr>
          <w:cantSplit/>
        </w:trPr>
        <w:tc>
          <w:tcPr>
            <w:tcW w:w="9848" w:type="dxa"/>
          </w:tcPr>
          <w:p w14:paraId="7D9E4D7E" w14:textId="77777777" w:rsidR="00711444" w:rsidRPr="004D0DAA" w:rsidRDefault="00711444" w:rsidP="00AA2A4C">
            <w:pPr>
              <w:rPr>
                <w:b/>
              </w:rPr>
            </w:pPr>
            <w:r w:rsidRPr="004D0DAA">
              <w:rPr>
                <w:b/>
              </w:rPr>
              <w:t xml:space="preserve">TN_PDCH_pair_DTR </w:t>
            </w:r>
            <w:r w:rsidRPr="004D0DAA">
              <w:t>(3 bit field)</w:t>
            </w:r>
            <w:r w:rsidRPr="004D0DAA">
              <w:rPr>
                <w:b/>
              </w:rPr>
              <w:br/>
            </w:r>
            <w:r w:rsidRPr="004D0DAA">
              <w:t>This field contains the timeslot number (BTTI configuration) or the PDCH-pair number (RTTI configuration) the mobile station shall monitor on the indicated carrier (CI_DTR field for a Downlink Dual Carrier configuration or the downlink carrier used for fall back according to a regular pre-determined interval (see sub-clause 8.1.8.2 and sub-clause 5.13) for a DLMC configuration) when DTR is used (see sub-clause 8.1.8).</w:t>
            </w:r>
          </w:p>
        </w:tc>
      </w:tr>
      <w:tr w:rsidR="00711444" w:rsidRPr="004D0DAA" w14:paraId="5E5E8B56" w14:textId="77777777" w:rsidTr="00AA2A4C">
        <w:tblPrEx>
          <w:tblCellMar>
            <w:top w:w="0" w:type="dxa"/>
            <w:bottom w:w="0" w:type="dxa"/>
          </w:tblCellMar>
        </w:tblPrEx>
        <w:trPr>
          <w:cantSplit/>
        </w:trPr>
        <w:tc>
          <w:tcPr>
            <w:tcW w:w="9848" w:type="dxa"/>
          </w:tcPr>
          <w:p w14:paraId="220614F4" w14:textId="77777777" w:rsidR="00711444" w:rsidRPr="004D0DAA" w:rsidRDefault="00711444" w:rsidP="00AA2A4C">
            <w:r w:rsidRPr="004D0DAA">
              <w:rPr>
                <w:b/>
              </w:rPr>
              <w:t>DTR Blks</w:t>
            </w:r>
            <w:r w:rsidRPr="004D0DAA">
              <w:t xml:space="preserve"> (2 bit field)</w:t>
            </w:r>
            <w:r w:rsidRPr="004D0DAA">
              <w:br/>
              <w:t>This field indicates the subset of downlink radio blocks the mobile station shall monitor for USFs and/or downlink RLC data blocks in DTR mode. This field is coded as defined in sub-clause 10.4.26.</w:t>
            </w:r>
          </w:p>
        </w:tc>
      </w:tr>
      <w:tr w:rsidR="00711444" w:rsidRPr="004D0DAA" w14:paraId="3409AE0F" w14:textId="77777777" w:rsidTr="00AA2A4C">
        <w:tblPrEx>
          <w:tblCellMar>
            <w:top w:w="0" w:type="dxa"/>
            <w:bottom w:w="0" w:type="dxa"/>
          </w:tblCellMar>
        </w:tblPrEx>
        <w:trPr>
          <w:cantSplit/>
        </w:trPr>
        <w:tc>
          <w:tcPr>
            <w:tcW w:w="9848" w:type="dxa"/>
          </w:tcPr>
          <w:p w14:paraId="6C145302" w14:textId="77777777" w:rsidR="00711444" w:rsidRPr="004D0DAA" w:rsidRDefault="00711444" w:rsidP="00AA2A4C">
            <w:pPr>
              <w:spacing w:after="0"/>
            </w:pPr>
            <w:r w:rsidRPr="004D0DAA">
              <w:rPr>
                <w:b/>
              </w:rPr>
              <w:t>PDAN Coding</w:t>
            </w:r>
            <w:r w:rsidRPr="004D0DAA">
              <w:t xml:space="preserve"> (1 bit field)</w:t>
            </w:r>
          </w:p>
          <w:p w14:paraId="62C15BBA" w14:textId="77777777" w:rsidR="00711444" w:rsidRPr="004D0DAA" w:rsidRDefault="00711444" w:rsidP="00AA2A4C">
            <w:pPr>
              <w:spacing w:after="0"/>
            </w:pPr>
            <w:r w:rsidRPr="004D0DAA">
              <w:t>See sub-clause 11.2.7.</w:t>
            </w:r>
          </w:p>
          <w:p w14:paraId="2EE8CCE8" w14:textId="77777777" w:rsidR="00711444" w:rsidRPr="004D0DAA" w:rsidRDefault="00711444" w:rsidP="00AA2A4C">
            <w:pPr>
              <w:spacing w:after="0"/>
            </w:pPr>
          </w:p>
        </w:tc>
      </w:tr>
    </w:tbl>
    <w:p w14:paraId="72673DC1" w14:textId="77777777" w:rsidR="00711444" w:rsidRPr="004D0DAA" w:rsidRDefault="00711444" w:rsidP="00711444"/>
    <w:p w14:paraId="7DB8F9D0" w14:textId="77777777" w:rsidR="00711444" w:rsidRPr="004D0DAA" w:rsidRDefault="00711444" w:rsidP="00711444">
      <w:pPr>
        <w:pStyle w:val="Heading3"/>
      </w:pPr>
      <w:bookmarkStart w:id="711" w:name="_Toc516669887"/>
      <w:r w:rsidRPr="004D0DAA">
        <w:t>11.2.28a</w:t>
      </w:r>
      <w:r w:rsidRPr="004D0DAA">
        <w:tab/>
        <w:t>Packet DBPSCH Uplink Ack/Nack</w:t>
      </w:r>
      <w:bookmarkEnd w:id="711"/>
    </w:p>
    <w:p w14:paraId="3C54A590" w14:textId="77777777" w:rsidR="00711444" w:rsidRPr="004D0DAA" w:rsidRDefault="00711444" w:rsidP="00711444">
      <w:r w:rsidRPr="004D0DAA">
        <w:t>This message is sent on FACCH, SACCH or SDCCH from the network to the mobile station to indicate the status of uplink RLC data blocks received.</w:t>
      </w:r>
    </w:p>
    <w:p w14:paraId="166048AD" w14:textId="77777777" w:rsidR="00711444" w:rsidRPr="004D0DAA" w:rsidRDefault="00711444" w:rsidP="00711444">
      <w:pPr>
        <w:pStyle w:val="EX"/>
      </w:pPr>
      <w:r w:rsidRPr="004D0DAA">
        <w:t>Message type:</w:t>
      </w:r>
      <w:r w:rsidRPr="004D0DAA">
        <w:tab/>
        <w:t>PACKET DBPSCH UPLINK ACK/NACK</w:t>
      </w:r>
    </w:p>
    <w:p w14:paraId="06D0D3A4" w14:textId="77777777" w:rsidR="00711444" w:rsidRPr="004D0DAA" w:rsidRDefault="00711444" w:rsidP="00711444">
      <w:pPr>
        <w:pStyle w:val="EX"/>
      </w:pPr>
      <w:r w:rsidRPr="004D0DAA">
        <w:t>Direction:</w:t>
      </w:r>
      <w:r w:rsidRPr="004D0DAA">
        <w:tab/>
        <w:t>network to mobile station</w:t>
      </w:r>
    </w:p>
    <w:p w14:paraId="1453F64D" w14:textId="77777777" w:rsidR="00711444" w:rsidRPr="004D0DAA" w:rsidRDefault="00711444" w:rsidP="00711444">
      <w:pPr>
        <w:pStyle w:val="EX"/>
      </w:pPr>
      <w:r w:rsidRPr="004D0DAA">
        <w:t>Classification:</w:t>
      </w:r>
      <w:r w:rsidRPr="004D0DAA">
        <w:tab/>
        <w:t>DBPSCH message</w:t>
      </w:r>
    </w:p>
    <w:p w14:paraId="741C9287" w14:textId="77777777" w:rsidR="00711444" w:rsidRPr="004D0DAA" w:rsidRDefault="00711444" w:rsidP="00711444">
      <w:pPr>
        <w:pStyle w:val="TH"/>
      </w:pPr>
      <w:r w:rsidRPr="004D0DAA">
        <w:lastRenderedPageBreak/>
        <w:t xml:space="preserve">Table 11.2.28a.1: </w:t>
      </w:r>
      <w:r w:rsidRPr="004D0DAA">
        <w:rPr>
          <w:caps/>
        </w:rPr>
        <w:t>Packet DBPSCH UPLINK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7EBC112" w14:textId="77777777" w:rsidTr="00AA2A4C">
        <w:tblPrEx>
          <w:tblCellMar>
            <w:top w:w="0" w:type="dxa"/>
            <w:bottom w:w="0" w:type="dxa"/>
          </w:tblCellMar>
        </w:tblPrEx>
        <w:trPr>
          <w:cantSplit/>
        </w:trPr>
        <w:tc>
          <w:tcPr>
            <w:tcW w:w="9848" w:type="dxa"/>
          </w:tcPr>
          <w:p w14:paraId="072E4BD8" w14:textId="77777777" w:rsidR="00711444" w:rsidRPr="004D0DAA" w:rsidRDefault="00711444" w:rsidP="00AA2A4C">
            <w:pPr>
              <w:pStyle w:val="TAL"/>
              <w:rPr>
                <w:lang w:eastAsia="en-US"/>
              </w:rPr>
            </w:pPr>
            <w:r w:rsidRPr="004D0DAA">
              <w:rPr>
                <w:lang w:eastAsia="en-US"/>
              </w:rPr>
              <w:t>&lt; Packet DBPSCH Uplink Ack/Nack message content &gt; ::=</w:t>
            </w:r>
          </w:p>
          <w:p w14:paraId="16204841"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bCs/>
                <w:lang w:eastAsia="en-US"/>
              </w:rPr>
              <w:t>MESSAGE_TYPE</w:t>
            </w:r>
            <w:r w:rsidRPr="004D0DAA">
              <w:rPr>
                <w:lang w:eastAsia="en-US"/>
              </w:rPr>
              <w:t xml:space="preserve"> : bit (6) == 001001 &gt;</w:t>
            </w:r>
          </w:p>
          <w:p w14:paraId="6F80B49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RB Id</w:t>
            </w:r>
            <w:r w:rsidRPr="004D0DAA">
              <w:rPr>
                <w:b/>
                <w:lang w:eastAsia="en-US"/>
              </w:rPr>
              <w:t xml:space="preserve"> </w:t>
            </w:r>
            <w:r w:rsidRPr="004D0DAA">
              <w:rPr>
                <w:lang w:eastAsia="en-US"/>
              </w:rPr>
              <w:t>: bit (5) &gt;</w:t>
            </w:r>
          </w:p>
          <w:p w14:paraId="379CC99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CONTENTION_RESOLUTION_TLLI </w:t>
            </w:r>
            <w:r w:rsidRPr="004D0DAA">
              <w:rPr>
                <w:lang w:eastAsia="en-US"/>
              </w:rPr>
              <w:t xml:space="preserve">: bit (32) &gt; </w:t>
            </w:r>
          </w:p>
          <w:p w14:paraId="14ED88E2"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lang w:eastAsia="en-US"/>
              </w:rPr>
              <w:t xml:space="preserve">G-RNTI </w:t>
            </w:r>
            <w:r w:rsidRPr="004D0DAA">
              <w:rPr>
                <w:b/>
                <w:bCs/>
                <w:iCs/>
                <w:lang w:eastAsia="en-US"/>
              </w:rPr>
              <w:t xml:space="preserve">extension </w:t>
            </w:r>
            <w:r w:rsidRPr="004D0DAA">
              <w:rPr>
                <w:iCs/>
                <w:lang w:eastAsia="en-US"/>
              </w:rPr>
              <w:t xml:space="preserve">: bit (4) &gt; } </w:t>
            </w:r>
            <w:r w:rsidRPr="004D0DAA">
              <w:rPr>
                <w:lang w:eastAsia="en-US"/>
              </w:rPr>
              <w:t>}</w:t>
            </w:r>
          </w:p>
          <w:p w14:paraId="77A90B55" w14:textId="77777777" w:rsidR="00711444" w:rsidRPr="004D0DAA" w:rsidRDefault="00711444" w:rsidP="00AA2A4C">
            <w:pPr>
              <w:pStyle w:val="TAL"/>
              <w:rPr>
                <w:i/>
                <w:iCs/>
                <w:lang w:eastAsia="en-US"/>
              </w:rPr>
            </w:pPr>
            <w:r w:rsidRPr="004D0DAA">
              <w:rPr>
                <w:lang w:eastAsia="en-US"/>
              </w:rPr>
              <w:tab/>
            </w:r>
            <w:r w:rsidRPr="004D0DAA">
              <w:rPr>
                <w:lang w:eastAsia="en-US"/>
              </w:rPr>
              <w:tab/>
              <w:t>{ 0</w:t>
            </w:r>
            <w:r w:rsidRPr="004D0DAA">
              <w:rPr>
                <w:lang w:eastAsia="en-US"/>
              </w:rPr>
              <w:tab/>
            </w:r>
            <w:r w:rsidRPr="004D0DAA">
              <w:rPr>
                <w:iCs/>
                <w:lang w:eastAsia="en-US"/>
              </w:rPr>
              <w:t xml:space="preserve">-- </w:t>
            </w:r>
            <w:r w:rsidRPr="004D0DAA">
              <w:rPr>
                <w:i/>
                <w:iCs/>
                <w:lang w:eastAsia="en-US"/>
              </w:rPr>
              <w:t>TCH TBF mode</w:t>
            </w:r>
          </w:p>
          <w:p w14:paraId="2B24B5C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w:t>
            </w:r>
            <w:r w:rsidRPr="004D0DAA">
              <w:rPr>
                <w:i/>
                <w:iCs/>
                <w:lang w:eastAsia="en-US"/>
              </w:rPr>
              <w:t>- All data blocks acknowledged, no retransmission requested</w:t>
            </w:r>
          </w:p>
          <w:p w14:paraId="3A5ECE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(8) &gt;</w:t>
            </w:r>
          </w:p>
          <w:p w14:paraId="621ADB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(128) &gt; }</w:t>
            </w:r>
          </w:p>
          <w:p w14:paraId="3B6068DF"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r>
            <w:r w:rsidRPr="004D0DAA">
              <w:rPr>
                <w:iCs/>
                <w:lang w:eastAsia="en-US"/>
              </w:rPr>
              <w:t xml:space="preserve">-- </w:t>
            </w:r>
            <w:r w:rsidRPr="004D0DAA">
              <w:rPr>
                <w:i/>
                <w:iCs/>
                <w:lang w:eastAsia="en-US"/>
              </w:rPr>
              <w:t>DCCH TBF mode</w:t>
            </w:r>
          </w:p>
          <w:p w14:paraId="7CA3F40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w:t>
            </w:r>
            <w:r w:rsidRPr="004D0DAA">
              <w:rPr>
                <w:i/>
                <w:iCs/>
                <w:lang w:eastAsia="en-US"/>
              </w:rPr>
              <w:t>- All data blocks acknowledged, no retransmission requested</w:t>
            </w:r>
          </w:p>
          <w:p w14:paraId="38D663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(4) &gt;</w:t>
            </w:r>
          </w:p>
          <w:p w14:paraId="13BAAC4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(8) &gt; } }</w:t>
            </w:r>
          </w:p>
          <w:p w14:paraId="7B70F89C" w14:textId="77777777" w:rsidR="00711444" w:rsidRPr="004D0DAA" w:rsidRDefault="00711444" w:rsidP="00AA2A4C">
            <w:pPr>
              <w:pStyle w:val="TAL"/>
              <w:rPr>
                <w:lang w:eastAsia="en-US"/>
              </w:rPr>
            </w:pPr>
            <w:r w:rsidRPr="004D0DAA">
              <w:rPr>
                <w:lang w:eastAsia="en-US"/>
              </w:rPr>
              <w:tab/>
            </w:r>
            <w:r w:rsidRPr="004D0DAA">
              <w:rPr>
                <w:lang w:eastAsia="en-US"/>
              </w:rPr>
              <w:tab/>
              <w:t>&lt; padding bits &gt; </w:t>
            </w:r>
          </w:p>
          <w:p w14:paraId="37FE756E" w14:textId="77777777" w:rsidR="00711444" w:rsidRPr="004D0DAA" w:rsidRDefault="00711444" w:rsidP="00AA2A4C">
            <w:pPr>
              <w:pStyle w:val="TAL"/>
              <w:rPr>
                <w:lang w:eastAsia="en-US"/>
              </w:rPr>
            </w:pPr>
            <w:r w:rsidRPr="004D0DAA">
              <w:rPr>
                <w:lang w:eastAsia="en-US"/>
              </w:rPr>
              <w:tab/>
            </w:r>
            <w:r w:rsidRPr="004D0DAA">
              <w:rPr>
                <w:lang w:eastAsia="en-US"/>
              </w:rPr>
              <w:tab/>
              <w:t>! &lt; DBPSCH message part error : bit (*) = &lt; no string &gt; &gt; } ;</w:t>
            </w:r>
          </w:p>
        </w:tc>
      </w:tr>
    </w:tbl>
    <w:p w14:paraId="6A5AADA6" w14:textId="77777777" w:rsidR="00711444" w:rsidRPr="004D0DAA" w:rsidRDefault="00711444" w:rsidP="00711444"/>
    <w:p w14:paraId="33C4988A" w14:textId="77777777" w:rsidR="00711444" w:rsidRPr="004D0DAA" w:rsidRDefault="00711444" w:rsidP="00711444">
      <w:pPr>
        <w:pStyle w:val="TH"/>
      </w:pPr>
      <w:r w:rsidRPr="004D0DAA">
        <w:t xml:space="preserve">Table 11.2.28a.2: </w:t>
      </w:r>
      <w:r w:rsidRPr="004D0DAA">
        <w:rPr>
          <w:caps/>
        </w:rPr>
        <w:t>Packet DBPSCH UPLINK Ack/Nack</w:t>
      </w:r>
      <w:r w:rsidRPr="004D0DAA">
        <w:rPr>
          <w:i/>
        </w:rPr>
        <w:t xml:space="preserve"> </w:t>
      </w:r>
      <w:r w:rsidRPr="004D0DAA">
        <w:t>information element details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848"/>
      </w:tblGrid>
      <w:tr w:rsidR="00711444" w:rsidRPr="004D0DAA" w14:paraId="21372E0E" w14:textId="77777777" w:rsidTr="00AA2A4C">
        <w:tblPrEx>
          <w:tblCellMar>
            <w:top w:w="0" w:type="dxa"/>
            <w:bottom w:w="0" w:type="dxa"/>
          </w:tblCellMar>
        </w:tblPrEx>
        <w:trPr>
          <w:cantSplit/>
          <w:trHeight w:val="23"/>
        </w:trPr>
        <w:tc>
          <w:tcPr>
            <w:tcW w:w="9848" w:type="dxa"/>
          </w:tcPr>
          <w:p w14:paraId="181CBACE" w14:textId="77777777" w:rsidR="00711444" w:rsidRPr="004D0DAA" w:rsidRDefault="00711444" w:rsidP="00AA2A4C">
            <w:pPr>
              <w:rPr>
                <w:b/>
              </w:rPr>
            </w:pPr>
            <w:r w:rsidRPr="004D0DAA">
              <w:rPr>
                <w:b/>
              </w:rPr>
              <w:t xml:space="preserve">CONTENTION_RESOLUTION_TLLI </w:t>
            </w:r>
            <w:r w:rsidRPr="004D0DAA">
              <w:t>(32 bit field)</w:t>
            </w:r>
            <w:r w:rsidRPr="004D0DAA">
              <w:br/>
              <w:t>The CONTENTION_RESOLUTION_TLLI field is present only if the network has decoded one of the uplink RLC data blocks containing the G-RNTI. The mobile station shall perform the contention resolution function if the G-RNTI information element is present. This field contains a G-RNTI, which is defined in</w:t>
            </w:r>
            <w:r w:rsidRPr="004D0DAA">
              <w:rPr>
                <w:i/>
              </w:rPr>
              <w:t xml:space="preserve"> </w:t>
            </w:r>
            <w:r w:rsidRPr="004D0DAA">
              <w:t>sub-clause 12.16.</w:t>
            </w:r>
          </w:p>
        </w:tc>
      </w:tr>
      <w:tr w:rsidR="00711444" w:rsidRPr="004D0DAA" w14:paraId="4760E579" w14:textId="77777777" w:rsidTr="00AA2A4C">
        <w:tblPrEx>
          <w:tblCellMar>
            <w:top w:w="0" w:type="dxa"/>
            <w:bottom w:w="0" w:type="dxa"/>
          </w:tblCellMar>
        </w:tblPrEx>
        <w:trPr>
          <w:cantSplit/>
          <w:trHeight w:val="23"/>
        </w:trPr>
        <w:tc>
          <w:tcPr>
            <w:tcW w:w="9848" w:type="dxa"/>
          </w:tcPr>
          <w:p w14:paraId="5CEE91EC" w14:textId="77777777" w:rsidR="00711444" w:rsidRPr="004D0DAA" w:rsidRDefault="00711444" w:rsidP="00AA2A4C">
            <w:pPr>
              <w:rPr>
                <w:b/>
                <w:bCs/>
              </w:rPr>
            </w:pPr>
            <w:r w:rsidRPr="004D0DAA">
              <w:rPr>
                <w:b/>
              </w:rPr>
              <w:t xml:space="preserve">G-RNTI </w:t>
            </w:r>
            <w:r w:rsidRPr="004D0DAA">
              <w:rPr>
                <w:b/>
                <w:bCs/>
              </w:rPr>
              <w:t xml:space="preserve">extension </w:t>
            </w:r>
            <w:r w:rsidRPr="004D0DAA">
              <w:t>(4 bit field)</w:t>
            </w:r>
            <w:r w:rsidRPr="004D0DAA">
              <w:br/>
              <w:t xml:space="preserve">This field contains the extra 4 bits of the G-RNTI not included in the </w:t>
            </w:r>
            <w:r w:rsidRPr="004D0DAA">
              <w:rPr>
                <w:bCs/>
              </w:rPr>
              <w:t xml:space="preserve">CONTENTION_RESOLUTION_TLLI </w:t>
            </w:r>
            <w:r w:rsidRPr="004D0DAA">
              <w:t>field which are necessary to provide a unique identifier for contention resolution in Iu-mode. This field is present when an assigned G-RNTI is used during the contention resolution procedure.</w:t>
            </w:r>
          </w:p>
        </w:tc>
      </w:tr>
      <w:tr w:rsidR="00711444" w:rsidRPr="004D0DAA" w14:paraId="7DA281FA" w14:textId="77777777" w:rsidTr="00AA2A4C">
        <w:tblPrEx>
          <w:tblCellMar>
            <w:top w:w="0" w:type="dxa"/>
            <w:bottom w:w="0" w:type="dxa"/>
          </w:tblCellMar>
        </w:tblPrEx>
        <w:trPr>
          <w:cantSplit/>
          <w:trHeight w:val="23"/>
        </w:trPr>
        <w:tc>
          <w:tcPr>
            <w:tcW w:w="9848" w:type="dxa"/>
          </w:tcPr>
          <w:p w14:paraId="6B502B85" w14:textId="77777777" w:rsidR="00711444" w:rsidRPr="004D0DAA" w:rsidRDefault="00711444" w:rsidP="00AA2A4C">
            <w:r w:rsidRPr="004D0DAA">
              <w:rPr>
                <w:b/>
              </w:rPr>
              <w:t>RB Id</w:t>
            </w:r>
            <w:r w:rsidRPr="004D0DAA">
              <w:t xml:space="preserve"> (5 bit field)</w:t>
            </w:r>
            <w:r w:rsidRPr="004D0DAA">
              <w:br/>
              <w:t>This field contains the radio bearer identity of the mobile station's radio bearer for which the uplink data transfer is acknowledged. This field is encoded as a binary number with range 0-31.</w:t>
            </w:r>
          </w:p>
        </w:tc>
      </w:tr>
      <w:tr w:rsidR="00711444" w:rsidRPr="004D0DAA" w14:paraId="55D30815" w14:textId="77777777" w:rsidTr="00AA2A4C">
        <w:tblPrEx>
          <w:tblCellMar>
            <w:top w:w="0" w:type="dxa"/>
            <w:bottom w:w="0" w:type="dxa"/>
          </w:tblCellMar>
        </w:tblPrEx>
        <w:trPr>
          <w:cantSplit/>
          <w:trHeight w:val="23"/>
        </w:trPr>
        <w:tc>
          <w:tcPr>
            <w:tcW w:w="9848" w:type="dxa"/>
          </w:tcPr>
          <w:p w14:paraId="5E614CFA" w14:textId="77777777" w:rsidR="00711444" w:rsidRPr="004D0DAA" w:rsidRDefault="00711444" w:rsidP="00AA2A4C">
            <w:pPr>
              <w:rPr>
                <w:b/>
              </w:rPr>
            </w:pPr>
            <w:r w:rsidRPr="004D0DAA">
              <w:rPr>
                <w:b/>
              </w:rPr>
              <w:t xml:space="preserve">STARTING_SEQUENCE_NUMBER </w:t>
            </w:r>
            <w:r w:rsidRPr="004D0DAA">
              <w:t>(8 or 4 bit field)</w:t>
            </w:r>
            <w:r w:rsidRPr="004D0DAA">
              <w:rPr>
                <w:b/>
              </w:rPr>
              <w:br/>
            </w:r>
            <w:r w:rsidRPr="004D0DAA">
              <w:t>The SSN contains the value of V(R) when this information element was transmitted. This field is encoded as the binary representation of V(R).</w:t>
            </w:r>
            <w:r w:rsidRPr="004D0DAA">
              <w:br/>
              <w:t>Range 0 to 255 (8 bit field)</w:t>
            </w:r>
            <w:r w:rsidRPr="004D0DAA">
              <w:br/>
              <w:t>Range 0 to 15 (4 bit field)</w:t>
            </w:r>
          </w:p>
        </w:tc>
      </w:tr>
      <w:tr w:rsidR="00711444" w:rsidRPr="004D0DAA" w14:paraId="7DC4D9C5" w14:textId="77777777" w:rsidTr="00AA2A4C">
        <w:tblPrEx>
          <w:tblCellMar>
            <w:top w:w="0" w:type="dxa"/>
            <w:bottom w:w="0" w:type="dxa"/>
          </w:tblCellMar>
        </w:tblPrEx>
        <w:trPr>
          <w:cantSplit/>
          <w:trHeight w:val="23"/>
        </w:trPr>
        <w:tc>
          <w:tcPr>
            <w:tcW w:w="9848" w:type="dxa"/>
          </w:tcPr>
          <w:p w14:paraId="1BE9F1BC" w14:textId="77777777" w:rsidR="00711444" w:rsidRPr="004D0DAA" w:rsidRDefault="00711444" w:rsidP="00AA2A4C">
            <w:pPr>
              <w:keepNext/>
              <w:keepLines/>
            </w:pPr>
            <w:r w:rsidRPr="004D0DAA">
              <w:rPr>
                <w:b/>
              </w:rPr>
              <w:t>RECEIVE_BLOCK_BITMAP (RBB)</w:t>
            </w:r>
            <w:r w:rsidRPr="004D0DAA">
              <w:t xml:space="preserve"> (128 or 8 bit field)</w:t>
            </w:r>
            <w:r w:rsidRPr="004D0DAA">
              <w:br/>
              <w:t>The RBB is a bitmap representing Block Sequence Numbers. The bitmap is indexed relative to SSN as follows:</w:t>
            </w:r>
          </w:p>
          <w:p w14:paraId="78EB868B" w14:textId="77777777" w:rsidR="00711444" w:rsidRPr="004D0DAA" w:rsidRDefault="00711444" w:rsidP="00AA2A4C">
            <w:pPr>
              <w:pStyle w:val="FP"/>
              <w:ind w:left="284"/>
            </w:pPr>
            <w:r w:rsidRPr="004D0DAA">
              <w:t>BSN = (SSN - bit_number) modulo 256, for bit_number = 1 to 128 128 bit field).</w:t>
            </w:r>
          </w:p>
          <w:p w14:paraId="7E958D1C" w14:textId="77777777" w:rsidR="00711444" w:rsidRPr="004D0DAA" w:rsidRDefault="00711444" w:rsidP="00AA2A4C">
            <w:pPr>
              <w:pStyle w:val="FP"/>
              <w:ind w:left="284"/>
            </w:pPr>
            <w:r w:rsidRPr="004D0DAA">
              <w:t>BSN = (SSN - bit_number) modulo 16, for bit_number = 1 to 8 (8 bit field).</w:t>
            </w:r>
          </w:p>
          <w:p w14:paraId="4A536CDF" w14:textId="77777777" w:rsidR="00711444" w:rsidRPr="004D0DAA" w:rsidRDefault="00711444" w:rsidP="00AA2A4C">
            <w:pPr>
              <w:pStyle w:val="FP"/>
            </w:pPr>
          </w:p>
          <w:p w14:paraId="7D849108" w14:textId="77777777" w:rsidR="00711444" w:rsidRPr="004D0DAA" w:rsidRDefault="00711444" w:rsidP="00AA2A4C">
            <w:pPr>
              <w:pStyle w:val="FP"/>
            </w:pPr>
            <w:r w:rsidRPr="004D0DAA">
              <w:t>The BSN values represented range:</w:t>
            </w:r>
          </w:p>
          <w:p w14:paraId="61BCE0EE" w14:textId="77777777" w:rsidR="00711444" w:rsidRPr="004D0DAA" w:rsidRDefault="00711444" w:rsidP="00AA2A4C">
            <w:pPr>
              <w:pStyle w:val="FP"/>
              <w:ind w:left="284"/>
            </w:pPr>
          </w:p>
          <w:p w14:paraId="260E0293" w14:textId="77777777" w:rsidR="00711444" w:rsidRPr="004D0DAA" w:rsidRDefault="00711444" w:rsidP="00AA2A4C">
            <w:pPr>
              <w:pStyle w:val="FP"/>
              <w:ind w:left="284"/>
            </w:pPr>
            <w:r w:rsidRPr="004D0DAA">
              <w:t>from (SSN - 1) mod 256 to (SSN - 128) mod 256 (128 bit field)</w:t>
            </w:r>
          </w:p>
          <w:p w14:paraId="02857B67" w14:textId="77777777" w:rsidR="00711444" w:rsidRPr="004D0DAA" w:rsidRDefault="00711444" w:rsidP="00AA2A4C">
            <w:pPr>
              <w:pStyle w:val="FP"/>
              <w:ind w:left="284"/>
            </w:pPr>
            <w:r w:rsidRPr="004D0DAA">
              <w:t>from (SSN - 1) mod 16 to (SSN - 8) mod 16 (8 bit field)</w:t>
            </w:r>
          </w:p>
          <w:p w14:paraId="55DBC228" w14:textId="77777777" w:rsidR="00711444" w:rsidRPr="004D0DAA" w:rsidRDefault="00711444" w:rsidP="00AA2A4C">
            <w:pPr>
              <w:pStyle w:val="FP"/>
            </w:pPr>
          </w:p>
          <w:p w14:paraId="6AB46B06" w14:textId="77777777" w:rsidR="00711444" w:rsidRPr="004D0DAA" w:rsidRDefault="00711444" w:rsidP="00AA2A4C">
            <w:pPr>
              <w:pStyle w:val="FP"/>
            </w:pPr>
            <w:r w:rsidRPr="004D0DAA">
              <w:t>The value of each bit represents the acknowledgement status of the RLC data block with:</w:t>
            </w:r>
          </w:p>
          <w:p w14:paraId="267AA4A4" w14:textId="77777777" w:rsidR="00711444" w:rsidRPr="004D0DAA" w:rsidRDefault="00711444" w:rsidP="00AA2A4C">
            <w:pPr>
              <w:pStyle w:val="FP"/>
            </w:pPr>
          </w:p>
          <w:p w14:paraId="4A0AEACA" w14:textId="77777777" w:rsidR="00711444" w:rsidRPr="004D0DAA" w:rsidRDefault="00711444" w:rsidP="00AA2A4C">
            <w:pPr>
              <w:pStyle w:val="FP"/>
              <w:ind w:left="284"/>
            </w:pPr>
            <w:r w:rsidRPr="004D0DAA">
              <w:t>BSN = (SSN - bit_number) mod 256 (128 bit field)</w:t>
            </w:r>
          </w:p>
          <w:p w14:paraId="1FDE1E9A" w14:textId="77777777" w:rsidR="00711444" w:rsidRPr="004D0DAA" w:rsidRDefault="00711444" w:rsidP="00AA2A4C">
            <w:pPr>
              <w:pStyle w:val="FP"/>
              <w:ind w:left="284"/>
            </w:pPr>
            <w:r w:rsidRPr="004D0DAA">
              <w:t>BSN = (SSN - bit_number) mod 16 (8 bit field),</w:t>
            </w:r>
          </w:p>
          <w:p w14:paraId="2748BDE8" w14:textId="77777777" w:rsidR="00711444" w:rsidRPr="004D0DAA" w:rsidRDefault="00711444" w:rsidP="00AA2A4C">
            <w:pPr>
              <w:pStyle w:val="FP"/>
            </w:pPr>
          </w:p>
          <w:p w14:paraId="2CAA3D75" w14:textId="77777777" w:rsidR="00711444" w:rsidRPr="004D0DAA" w:rsidRDefault="00711444" w:rsidP="00AA2A4C">
            <w:pPr>
              <w:pStyle w:val="FP"/>
            </w:pPr>
            <w:r w:rsidRPr="004D0DAA">
              <w:t>it is encoded as follows:</w:t>
            </w:r>
          </w:p>
          <w:p w14:paraId="1A04729F" w14:textId="77777777" w:rsidR="00711444" w:rsidRPr="004D0DAA" w:rsidRDefault="00711444" w:rsidP="00AA2A4C">
            <w:pPr>
              <w:pStyle w:val="FP"/>
            </w:pPr>
          </w:p>
          <w:p w14:paraId="37ADEB52" w14:textId="77777777" w:rsidR="00711444" w:rsidRPr="004D0DAA" w:rsidRDefault="00711444" w:rsidP="00AA2A4C">
            <w:pPr>
              <w:pStyle w:val="FP"/>
              <w:ind w:left="284"/>
            </w:pPr>
            <w:r w:rsidRPr="004D0DAA">
              <w:t>0</w:t>
            </w:r>
            <w:r w:rsidRPr="004D0DAA">
              <w:tab/>
              <w:t>Negative acknowledgement</w:t>
            </w:r>
          </w:p>
          <w:p w14:paraId="26296D0D" w14:textId="77777777" w:rsidR="00711444" w:rsidRPr="004D0DAA" w:rsidRDefault="00711444" w:rsidP="00AA2A4C">
            <w:pPr>
              <w:pStyle w:val="FP"/>
              <w:ind w:left="284"/>
            </w:pPr>
            <w:r w:rsidRPr="004D0DAA">
              <w:t>1</w:t>
            </w:r>
            <w:r w:rsidRPr="004D0DAA">
              <w:tab/>
              <w:t>Positive acknowledgement</w:t>
            </w:r>
          </w:p>
          <w:p w14:paraId="1E495169" w14:textId="77777777" w:rsidR="00711444" w:rsidRPr="004D0DAA" w:rsidRDefault="00711444" w:rsidP="00AA2A4C">
            <w:pPr>
              <w:rPr>
                <w:b/>
              </w:rPr>
            </w:pPr>
          </w:p>
        </w:tc>
      </w:tr>
    </w:tbl>
    <w:p w14:paraId="03E3565A" w14:textId="77777777" w:rsidR="00711444" w:rsidRPr="004D0DAA" w:rsidRDefault="00711444" w:rsidP="00711444"/>
    <w:p w14:paraId="437470DE" w14:textId="77777777" w:rsidR="00711444" w:rsidRPr="004D0DAA" w:rsidRDefault="00711444" w:rsidP="00711444">
      <w:pPr>
        <w:pStyle w:val="Heading3"/>
      </w:pPr>
      <w:bookmarkStart w:id="712" w:name="_Toc516669888"/>
      <w:r w:rsidRPr="004D0DAA">
        <w:lastRenderedPageBreak/>
        <w:t>11.2.28b</w:t>
      </w:r>
      <w:r w:rsidRPr="004D0DAA">
        <w:tab/>
        <w:t>Packet DBPSCH Uplink Ack/Nack Type 2</w:t>
      </w:r>
      <w:bookmarkEnd w:id="712"/>
    </w:p>
    <w:p w14:paraId="651ADB00" w14:textId="77777777" w:rsidR="00711444" w:rsidRPr="004D0DAA" w:rsidRDefault="00711444" w:rsidP="00711444">
      <w:r w:rsidRPr="004D0DAA">
        <w:t>This message shall only be used when FLO is used. It is sent on ADCH from the network to the mobile station to indicate the status of uplink RLC data blocks received.</w:t>
      </w:r>
    </w:p>
    <w:p w14:paraId="52506D7C" w14:textId="77777777" w:rsidR="00711444" w:rsidRPr="004D0DAA" w:rsidRDefault="00711444" w:rsidP="00711444">
      <w:pPr>
        <w:pStyle w:val="EX"/>
      </w:pPr>
      <w:r w:rsidRPr="004D0DAA">
        <w:t>Message type:</w:t>
      </w:r>
      <w:r w:rsidRPr="004D0DAA">
        <w:tab/>
        <w:t>PACKET DBPSCH UPLINK ACK/NACK TYPE 2</w:t>
      </w:r>
    </w:p>
    <w:p w14:paraId="728509C2" w14:textId="77777777" w:rsidR="00711444" w:rsidRPr="004D0DAA" w:rsidRDefault="00711444" w:rsidP="00711444">
      <w:pPr>
        <w:pStyle w:val="EX"/>
      </w:pPr>
      <w:r w:rsidRPr="004D0DAA">
        <w:t>Direction:</w:t>
      </w:r>
      <w:r w:rsidRPr="004D0DAA">
        <w:tab/>
        <w:t>network to mobile station</w:t>
      </w:r>
    </w:p>
    <w:p w14:paraId="74D43DE7" w14:textId="77777777" w:rsidR="00711444" w:rsidRPr="004D0DAA" w:rsidRDefault="00711444" w:rsidP="00711444">
      <w:pPr>
        <w:pStyle w:val="EX"/>
      </w:pPr>
      <w:r w:rsidRPr="004D0DAA">
        <w:t>Classification:</w:t>
      </w:r>
      <w:r w:rsidRPr="004D0DAA">
        <w:tab/>
        <w:t>DBPSCH message</w:t>
      </w:r>
    </w:p>
    <w:p w14:paraId="0D57AC73" w14:textId="77777777" w:rsidR="00711444" w:rsidRPr="004D0DAA" w:rsidRDefault="00711444" w:rsidP="00711444">
      <w:pPr>
        <w:pStyle w:val="TH"/>
      </w:pPr>
      <w:r w:rsidRPr="004D0DAA">
        <w:t xml:space="preserve">Table 11.2.28b.1: </w:t>
      </w:r>
      <w:r w:rsidRPr="004D0DAA">
        <w:rPr>
          <w:caps/>
        </w:rPr>
        <w:t>Packet DBPSCH UPLINK Ack/Nack</w:t>
      </w:r>
      <w:r w:rsidRPr="004D0DAA">
        <w:t xml:space="preserve"> TYPE 2information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D228000" w14:textId="77777777" w:rsidTr="00AA2A4C">
        <w:tblPrEx>
          <w:tblCellMar>
            <w:top w:w="0" w:type="dxa"/>
            <w:bottom w:w="0" w:type="dxa"/>
          </w:tblCellMar>
        </w:tblPrEx>
        <w:trPr>
          <w:cantSplit/>
        </w:trPr>
        <w:tc>
          <w:tcPr>
            <w:tcW w:w="9848" w:type="dxa"/>
          </w:tcPr>
          <w:p w14:paraId="777F700C" w14:textId="77777777" w:rsidR="00711444" w:rsidRPr="004D0DAA" w:rsidRDefault="00711444" w:rsidP="00AA2A4C">
            <w:pPr>
              <w:pStyle w:val="TAL"/>
              <w:rPr>
                <w:lang w:eastAsia="en-US"/>
              </w:rPr>
            </w:pPr>
            <w:r w:rsidRPr="004D0DAA">
              <w:rPr>
                <w:lang w:eastAsia="en-US"/>
              </w:rPr>
              <w:t>&lt; Packet DBPSCH Uplink Ack/Nack message content &gt; ::=</w:t>
            </w:r>
          </w:p>
          <w:p w14:paraId="6EFA6601" w14:textId="77777777" w:rsidR="00711444" w:rsidRPr="004D0DAA" w:rsidRDefault="00711444" w:rsidP="00AA2A4C">
            <w:pPr>
              <w:pStyle w:val="TAL"/>
              <w:rPr>
                <w:i/>
                <w:iCs/>
                <w:lang w:eastAsia="en-US"/>
              </w:rPr>
            </w:pPr>
            <w:r w:rsidRPr="004D0DAA">
              <w:rPr>
                <w:lang w:eastAsia="en-US"/>
              </w:rPr>
              <w:tab/>
              <w:t>{</w:t>
            </w:r>
            <w:r w:rsidRPr="004D0DAA">
              <w:rPr>
                <w:lang w:eastAsia="en-US"/>
              </w:rPr>
              <w:tab/>
              <w:t xml:space="preserve">&lt; </w:t>
            </w:r>
            <w:r w:rsidRPr="004D0DAA">
              <w:rPr>
                <w:b/>
                <w:bCs/>
                <w:lang w:eastAsia="en-US"/>
              </w:rPr>
              <w:t>MESSAGE_TYPE</w:t>
            </w:r>
            <w:r w:rsidRPr="004D0DAA">
              <w:rPr>
                <w:lang w:eastAsia="en-US"/>
              </w:rPr>
              <w:t xml:space="preserve"> : bit (6) == 001001 &gt;</w:t>
            </w:r>
            <w:r w:rsidRPr="004D0DAA">
              <w:rPr>
                <w:lang w:eastAsia="en-US"/>
              </w:rPr>
              <w:tab/>
              <w:t xml:space="preserve">-- </w:t>
            </w:r>
            <w:r w:rsidRPr="004D0DAA">
              <w:rPr>
                <w:i/>
                <w:iCs/>
                <w:lang w:eastAsia="en-US"/>
              </w:rPr>
              <w:t xml:space="preserve">The same message type as for Packet DBPSCH Uplink Ack/Nack is </w:t>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used since these two messages are mutually exclusive.</w:t>
            </w:r>
          </w:p>
          <w:p w14:paraId="1728391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RB Id</w:t>
            </w:r>
            <w:r w:rsidRPr="004D0DAA">
              <w:rPr>
                <w:b/>
                <w:lang w:eastAsia="en-US"/>
              </w:rPr>
              <w:t xml:space="preserve"> </w:t>
            </w:r>
            <w:r w:rsidRPr="004D0DAA">
              <w:rPr>
                <w:lang w:eastAsia="en-US"/>
              </w:rPr>
              <w:t>: bit (5) &gt;</w:t>
            </w:r>
          </w:p>
          <w:p w14:paraId="7D21E8A9" w14:textId="77777777" w:rsidR="00711444" w:rsidRPr="004D0DAA" w:rsidRDefault="00711444" w:rsidP="00AA2A4C">
            <w:pPr>
              <w:pStyle w:val="TAL"/>
              <w:rPr>
                <w:i/>
                <w:iCs/>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UDCH TBF mode</w:t>
            </w:r>
          </w:p>
          <w:p w14:paraId="18E7910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All data blocks acknowledged, no retransmission requested</w:t>
            </w:r>
          </w:p>
          <w:p w14:paraId="06B3C0A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FLO Ack/Nack Description</w:t>
            </w:r>
            <w:r w:rsidRPr="004D0DAA">
              <w:rPr>
                <w:lang w:eastAsia="en-US"/>
              </w:rPr>
              <w:t xml:space="preserve"> : &lt; FLO Ack/Nack Description IE &gt; &gt; }</w:t>
            </w:r>
          </w:p>
          <w:p w14:paraId="38F21A29"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CDCH TBF mode</w:t>
            </w:r>
          </w:p>
          <w:p w14:paraId="3AE274C8"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All data blocks acknowledged, no retransmission requested</w:t>
            </w:r>
          </w:p>
          <w:p w14:paraId="1CA6E6F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STARTING_SEQUENCE_NUMBER</w:t>
            </w:r>
            <w:r w:rsidRPr="004D0DAA">
              <w:rPr>
                <w:lang w:eastAsia="en-US"/>
              </w:rPr>
              <w:t xml:space="preserve"> : bit (4) &gt;</w:t>
            </w:r>
          </w:p>
          <w:p w14:paraId="49F8329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RECEIVED_BLOCK_BITMAP</w:t>
            </w:r>
            <w:r w:rsidRPr="004D0DAA">
              <w:rPr>
                <w:lang w:eastAsia="en-US"/>
              </w:rPr>
              <w:t xml:space="preserve"> : bit (8) &gt; } }</w:t>
            </w:r>
          </w:p>
          <w:p w14:paraId="51B93A38" w14:textId="77777777" w:rsidR="00711444" w:rsidRPr="004D0DAA" w:rsidRDefault="00711444" w:rsidP="00AA2A4C">
            <w:pPr>
              <w:pStyle w:val="TAL"/>
              <w:rPr>
                <w:lang w:eastAsia="en-US"/>
              </w:rPr>
            </w:pPr>
            <w:r w:rsidRPr="004D0DAA">
              <w:rPr>
                <w:lang w:eastAsia="en-US"/>
              </w:rPr>
              <w:tab/>
            </w:r>
            <w:r w:rsidRPr="004D0DAA">
              <w:rPr>
                <w:lang w:eastAsia="en-US"/>
              </w:rPr>
              <w:tab/>
              <w:t>&lt; padding bits &gt; </w:t>
            </w:r>
          </w:p>
          <w:p w14:paraId="49FB6A1C" w14:textId="77777777" w:rsidR="00711444" w:rsidRPr="004D0DAA" w:rsidRDefault="00711444" w:rsidP="00AA2A4C">
            <w:pPr>
              <w:pStyle w:val="TAL"/>
              <w:rPr>
                <w:lang w:eastAsia="en-US"/>
              </w:rPr>
            </w:pPr>
            <w:r w:rsidRPr="004D0DAA">
              <w:rPr>
                <w:lang w:eastAsia="en-US"/>
              </w:rPr>
              <w:tab/>
            </w:r>
            <w:r w:rsidRPr="004D0DAA">
              <w:rPr>
                <w:lang w:eastAsia="en-US"/>
              </w:rPr>
              <w:tab/>
              <w:t>! &lt; DBPSCH message part error : bit (*) = &lt; no string &gt; &gt; } ;</w:t>
            </w:r>
          </w:p>
        </w:tc>
      </w:tr>
    </w:tbl>
    <w:p w14:paraId="3F9552F2" w14:textId="77777777" w:rsidR="00711444" w:rsidRPr="004D0DAA" w:rsidRDefault="00711444" w:rsidP="00711444"/>
    <w:p w14:paraId="5E9BEAAC" w14:textId="77777777" w:rsidR="00711444" w:rsidRPr="004D0DAA" w:rsidRDefault="00711444" w:rsidP="00711444">
      <w:pPr>
        <w:pStyle w:val="TH"/>
      </w:pPr>
      <w:r w:rsidRPr="004D0DAA">
        <w:t xml:space="preserve">Table 11.2.28b.2: </w:t>
      </w:r>
      <w:r w:rsidRPr="004D0DAA">
        <w:rPr>
          <w:caps/>
        </w:rPr>
        <w:t>Packet DBPSCH UPLINK Ack/Nack TYP2 2</w:t>
      </w:r>
      <w:r w:rsidRPr="004D0DAA">
        <w:rPr>
          <w:i/>
        </w:rPr>
        <w:t xml:space="preserve"> </w:t>
      </w:r>
      <w:r w:rsidRPr="004D0DAA">
        <w:t>information element details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848"/>
      </w:tblGrid>
      <w:tr w:rsidR="00711444" w:rsidRPr="004D0DAA" w14:paraId="33102225" w14:textId="77777777" w:rsidTr="00AA2A4C">
        <w:tblPrEx>
          <w:tblCellMar>
            <w:top w:w="0" w:type="dxa"/>
            <w:bottom w:w="0" w:type="dxa"/>
          </w:tblCellMar>
        </w:tblPrEx>
        <w:trPr>
          <w:cantSplit/>
          <w:trHeight w:val="23"/>
        </w:trPr>
        <w:tc>
          <w:tcPr>
            <w:tcW w:w="9848" w:type="dxa"/>
          </w:tcPr>
          <w:p w14:paraId="1E86C3BE" w14:textId="77777777" w:rsidR="00711444" w:rsidRPr="004D0DAA" w:rsidRDefault="00711444" w:rsidP="00AA2A4C">
            <w:r w:rsidRPr="004D0DAA">
              <w:rPr>
                <w:b/>
              </w:rPr>
              <w:t>RB Id</w:t>
            </w:r>
            <w:r w:rsidRPr="004D0DAA">
              <w:t xml:space="preserve"> (5 bit field)</w:t>
            </w:r>
            <w:r w:rsidRPr="004D0DAA">
              <w:br/>
              <w:t>This field contains the radio bearer identity of the mobile station's radio bearer for which the uplink data transfer is acknowledged. This field is encoded as a binary number with range 0-31.</w:t>
            </w:r>
          </w:p>
        </w:tc>
      </w:tr>
      <w:tr w:rsidR="00711444" w:rsidRPr="004D0DAA" w14:paraId="0AFBF9A9" w14:textId="77777777" w:rsidTr="00AA2A4C">
        <w:tblPrEx>
          <w:tblCellMar>
            <w:top w:w="0" w:type="dxa"/>
            <w:bottom w:w="0" w:type="dxa"/>
          </w:tblCellMar>
        </w:tblPrEx>
        <w:trPr>
          <w:cantSplit/>
          <w:trHeight w:val="23"/>
        </w:trPr>
        <w:tc>
          <w:tcPr>
            <w:tcW w:w="9848" w:type="dxa"/>
          </w:tcPr>
          <w:p w14:paraId="0CFAC248" w14:textId="77777777" w:rsidR="00711444" w:rsidRPr="004D0DAA" w:rsidRDefault="00711444" w:rsidP="00AA2A4C">
            <w:pPr>
              <w:rPr>
                <w:b/>
              </w:rPr>
            </w:pPr>
            <w:r w:rsidRPr="004D0DAA">
              <w:rPr>
                <w:b/>
              </w:rPr>
              <w:t xml:space="preserve">STARTING_SEQUENCE_NUMBER </w:t>
            </w:r>
            <w:r w:rsidRPr="004D0DAA">
              <w:t>(4 bit field)</w:t>
            </w:r>
            <w:r w:rsidRPr="004D0DAA">
              <w:rPr>
                <w:b/>
              </w:rPr>
              <w:br/>
            </w:r>
            <w:r w:rsidRPr="004D0DAA">
              <w:t>The SSN contains the value of V(R) when this information element was transmitted. This field is encoded as the binary representation of V(R).</w:t>
            </w:r>
            <w:r w:rsidRPr="004D0DAA">
              <w:br/>
              <w:t xml:space="preserve"> Range 0 to 15 (4 bit field)</w:t>
            </w:r>
          </w:p>
        </w:tc>
      </w:tr>
      <w:tr w:rsidR="00711444" w:rsidRPr="004D0DAA" w14:paraId="2C40E022" w14:textId="77777777" w:rsidTr="00AA2A4C">
        <w:tblPrEx>
          <w:tblCellMar>
            <w:top w:w="0" w:type="dxa"/>
            <w:bottom w:w="0" w:type="dxa"/>
          </w:tblCellMar>
        </w:tblPrEx>
        <w:trPr>
          <w:cantSplit/>
          <w:trHeight w:val="23"/>
        </w:trPr>
        <w:tc>
          <w:tcPr>
            <w:tcW w:w="9848" w:type="dxa"/>
          </w:tcPr>
          <w:p w14:paraId="7FA57007" w14:textId="77777777" w:rsidR="00711444" w:rsidRPr="004D0DAA" w:rsidRDefault="00711444" w:rsidP="00AA2A4C">
            <w:pPr>
              <w:keepNext/>
              <w:keepLines/>
            </w:pPr>
            <w:r w:rsidRPr="004D0DAA">
              <w:rPr>
                <w:b/>
              </w:rPr>
              <w:t>RECEIVE_BLOCK_BITMAP (RBB)</w:t>
            </w:r>
            <w:r w:rsidRPr="004D0DAA">
              <w:t xml:space="preserve"> (128 or 8 bit field)</w:t>
            </w:r>
            <w:r w:rsidRPr="004D0DAA">
              <w:br/>
              <w:t>The RBB is a bitmap representing Block Sequence Numbers. The bitmap is indexed relative to SSN as follows:</w:t>
            </w:r>
          </w:p>
          <w:p w14:paraId="08C7C01F" w14:textId="77777777" w:rsidR="00711444" w:rsidRPr="004D0DAA" w:rsidRDefault="00711444" w:rsidP="00AA2A4C">
            <w:pPr>
              <w:pStyle w:val="FP"/>
              <w:ind w:left="284"/>
            </w:pPr>
            <w:r w:rsidRPr="004D0DAA">
              <w:t>BSN = (SSN - bit_number) modulo 16, for bit_number = 1 to 8 (8 bit field).</w:t>
            </w:r>
          </w:p>
          <w:p w14:paraId="7222173C" w14:textId="77777777" w:rsidR="00711444" w:rsidRPr="004D0DAA" w:rsidRDefault="00711444" w:rsidP="00AA2A4C">
            <w:pPr>
              <w:pStyle w:val="FP"/>
            </w:pPr>
          </w:p>
          <w:p w14:paraId="20E25EEC" w14:textId="77777777" w:rsidR="00711444" w:rsidRPr="004D0DAA" w:rsidRDefault="00711444" w:rsidP="00AA2A4C">
            <w:pPr>
              <w:pStyle w:val="FP"/>
            </w:pPr>
            <w:r w:rsidRPr="004D0DAA">
              <w:t>The BSN values represented range:</w:t>
            </w:r>
          </w:p>
          <w:p w14:paraId="27603C9B" w14:textId="77777777" w:rsidR="00711444" w:rsidRPr="004D0DAA" w:rsidRDefault="00711444" w:rsidP="00AA2A4C">
            <w:pPr>
              <w:pStyle w:val="FP"/>
              <w:ind w:left="284"/>
            </w:pPr>
          </w:p>
          <w:p w14:paraId="3201DAFB" w14:textId="77777777" w:rsidR="00711444" w:rsidRPr="004D0DAA" w:rsidRDefault="00711444" w:rsidP="00AA2A4C">
            <w:pPr>
              <w:pStyle w:val="FP"/>
              <w:ind w:left="284"/>
            </w:pPr>
            <w:r w:rsidRPr="004D0DAA">
              <w:t>from (SSN - 1) mod 16 to (SSN - 8) mod 16 (8 bit field)</w:t>
            </w:r>
          </w:p>
          <w:p w14:paraId="0C3A8C67" w14:textId="77777777" w:rsidR="00711444" w:rsidRPr="004D0DAA" w:rsidRDefault="00711444" w:rsidP="00AA2A4C">
            <w:pPr>
              <w:pStyle w:val="FP"/>
            </w:pPr>
          </w:p>
          <w:p w14:paraId="3D290E41" w14:textId="77777777" w:rsidR="00711444" w:rsidRPr="004D0DAA" w:rsidRDefault="00711444" w:rsidP="00AA2A4C">
            <w:pPr>
              <w:pStyle w:val="FP"/>
            </w:pPr>
            <w:r w:rsidRPr="004D0DAA">
              <w:t>The value of each bit represents the acknowledgement status of the RLC data block with:</w:t>
            </w:r>
          </w:p>
          <w:p w14:paraId="6B14AE59" w14:textId="77777777" w:rsidR="00711444" w:rsidRPr="004D0DAA" w:rsidRDefault="00711444" w:rsidP="00AA2A4C">
            <w:pPr>
              <w:pStyle w:val="FP"/>
            </w:pPr>
          </w:p>
          <w:p w14:paraId="13718B43" w14:textId="77777777" w:rsidR="00711444" w:rsidRPr="004D0DAA" w:rsidRDefault="00711444" w:rsidP="00AA2A4C">
            <w:pPr>
              <w:pStyle w:val="FP"/>
              <w:ind w:left="284"/>
            </w:pPr>
            <w:r w:rsidRPr="004D0DAA">
              <w:t>BSN = (SSN - bit_number) mod 16 (8 bit field),</w:t>
            </w:r>
          </w:p>
          <w:p w14:paraId="05F857CB" w14:textId="77777777" w:rsidR="00711444" w:rsidRPr="004D0DAA" w:rsidRDefault="00711444" w:rsidP="00AA2A4C">
            <w:pPr>
              <w:pStyle w:val="FP"/>
            </w:pPr>
          </w:p>
          <w:p w14:paraId="234CC10B" w14:textId="77777777" w:rsidR="00711444" w:rsidRPr="004D0DAA" w:rsidRDefault="00711444" w:rsidP="00AA2A4C">
            <w:pPr>
              <w:pStyle w:val="FP"/>
            </w:pPr>
            <w:r w:rsidRPr="004D0DAA">
              <w:t>it is encoded as follows:</w:t>
            </w:r>
          </w:p>
          <w:p w14:paraId="5296829C" w14:textId="77777777" w:rsidR="00711444" w:rsidRPr="004D0DAA" w:rsidRDefault="00711444" w:rsidP="00AA2A4C">
            <w:pPr>
              <w:pStyle w:val="FP"/>
            </w:pPr>
          </w:p>
          <w:p w14:paraId="731D7CAD" w14:textId="77777777" w:rsidR="00711444" w:rsidRPr="004D0DAA" w:rsidRDefault="00711444" w:rsidP="00AA2A4C">
            <w:pPr>
              <w:pStyle w:val="FP"/>
              <w:ind w:left="284"/>
            </w:pPr>
            <w:r w:rsidRPr="004D0DAA">
              <w:t>0</w:t>
            </w:r>
            <w:r w:rsidRPr="004D0DAA">
              <w:tab/>
              <w:t>Negative acknowledgement</w:t>
            </w:r>
          </w:p>
          <w:p w14:paraId="4D44E92A" w14:textId="77777777" w:rsidR="00711444" w:rsidRPr="004D0DAA" w:rsidRDefault="00711444" w:rsidP="00AA2A4C">
            <w:pPr>
              <w:pStyle w:val="FP"/>
              <w:ind w:left="284"/>
            </w:pPr>
            <w:r w:rsidRPr="004D0DAA">
              <w:t>1</w:t>
            </w:r>
            <w:r w:rsidRPr="004D0DAA">
              <w:tab/>
              <w:t>Positive acknowledgement</w:t>
            </w:r>
          </w:p>
          <w:p w14:paraId="67B1D4E2" w14:textId="77777777" w:rsidR="00711444" w:rsidRPr="004D0DAA" w:rsidRDefault="00711444" w:rsidP="00AA2A4C">
            <w:pPr>
              <w:rPr>
                <w:b/>
              </w:rPr>
            </w:pPr>
          </w:p>
        </w:tc>
      </w:tr>
    </w:tbl>
    <w:p w14:paraId="4FE33FC2" w14:textId="77777777" w:rsidR="00711444" w:rsidRPr="004D0DAA" w:rsidRDefault="00711444" w:rsidP="00711444"/>
    <w:p w14:paraId="5C11D349" w14:textId="77777777" w:rsidR="00711444" w:rsidRPr="004D0DAA" w:rsidRDefault="00711444" w:rsidP="00711444">
      <w:pPr>
        <w:pStyle w:val="Heading3"/>
      </w:pPr>
      <w:bookmarkStart w:id="713" w:name="_Toc516669889"/>
      <w:r w:rsidRPr="004D0DAA">
        <w:t>11.2.29</w:t>
      </w:r>
      <w:r w:rsidRPr="004D0DAA">
        <w:tab/>
        <w:t>Packet Uplink Assignment</w:t>
      </w:r>
      <w:bookmarkEnd w:id="713"/>
    </w:p>
    <w:p w14:paraId="32E3813F" w14:textId="77777777" w:rsidR="00711444" w:rsidRPr="004D0DAA" w:rsidRDefault="00711444" w:rsidP="00711444">
      <w:r w:rsidRPr="004D0DAA">
        <w:t xml:space="preserve">This message is sent on the PCCCH or PACCH by the network to the mobile station to assign uplink resources. If the mobile station supports Downlink Dual Carrier or Downlink Multi Carrier, this message may be sent using extended </w:t>
      </w:r>
      <w:r w:rsidRPr="004D0DAA">
        <w:lastRenderedPageBreak/>
        <w:t>RLC/MAC control message segmentation (see sub-clause 9.1.12a). The mobile station may be addressed by TFI, TQI, or Packet Request Reference depending upon the procedure used. A mobile allocation or reference frequency list received as part of this assignment message shall be valid until new assignment is received or each TBF of the MS are terminated.</w:t>
      </w:r>
    </w:p>
    <w:p w14:paraId="5CE20CAD" w14:textId="77777777" w:rsidR="00711444" w:rsidRPr="004D0DAA" w:rsidRDefault="00711444" w:rsidP="00711444">
      <w:pPr>
        <w:pStyle w:val="EX"/>
      </w:pPr>
      <w:r w:rsidRPr="004D0DAA">
        <w:t>Message type:</w:t>
      </w:r>
      <w:r w:rsidRPr="004D0DAA">
        <w:tab/>
        <w:t>PACKET UPLINK ASSIGNMENT</w:t>
      </w:r>
    </w:p>
    <w:p w14:paraId="670D2AED" w14:textId="77777777" w:rsidR="00711444" w:rsidRPr="004D0DAA" w:rsidRDefault="00711444" w:rsidP="00711444">
      <w:pPr>
        <w:pStyle w:val="EX"/>
      </w:pPr>
      <w:r w:rsidRPr="004D0DAA">
        <w:t>Direction:</w:t>
      </w:r>
      <w:r w:rsidRPr="004D0DAA">
        <w:tab/>
        <w:t>network to mobile station</w:t>
      </w:r>
    </w:p>
    <w:p w14:paraId="7F34BD61" w14:textId="77777777" w:rsidR="00711444" w:rsidRPr="004D0DAA" w:rsidRDefault="00711444" w:rsidP="00711444">
      <w:pPr>
        <w:pStyle w:val="EX"/>
      </w:pPr>
      <w:r w:rsidRPr="004D0DAA">
        <w:t>Classification:</w:t>
      </w:r>
      <w:r w:rsidRPr="004D0DAA">
        <w:tab/>
        <w:t>non-distribution message</w:t>
      </w:r>
    </w:p>
    <w:p w14:paraId="25523909" w14:textId="77777777" w:rsidR="00711444" w:rsidRPr="004D0DAA" w:rsidRDefault="00711444" w:rsidP="00711444">
      <w:pPr>
        <w:pStyle w:val="TH"/>
      </w:pPr>
      <w:r w:rsidRPr="004D0DAA">
        <w:lastRenderedPageBreak/>
        <w:t xml:space="preserve">Table 11.2.29.1: </w:t>
      </w:r>
      <w:r w:rsidRPr="004D0DAA">
        <w:rPr>
          <w:caps/>
        </w:rPr>
        <w:t>Packet UPlink ASSIGNMENT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4EC306B" w14:textId="77777777" w:rsidTr="00AA2A4C">
        <w:tblPrEx>
          <w:tblCellMar>
            <w:top w:w="0" w:type="dxa"/>
            <w:bottom w:w="0" w:type="dxa"/>
          </w:tblCellMar>
        </w:tblPrEx>
        <w:trPr>
          <w:cantSplit/>
        </w:trPr>
        <w:tc>
          <w:tcPr>
            <w:tcW w:w="9848" w:type="dxa"/>
          </w:tcPr>
          <w:p w14:paraId="5E62DF6A" w14:textId="77777777" w:rsidR="00711444" w:rsidRPr="004D0DAA" w:rsidRDefault="00711444" w:rsidP="00AA2A4C">
            <w:pPr>
              <w:pStyle w:val="TAL"/>
              <w:rPr>
                <w:lang w:eastAsia="en-US"/>
              </w:rPr>
            </w:pPr>
            <w:r w:rsidRPr="004D0DAA">
              <w:rPr>
                <w:lang w:eastAsia="en-US"/>
              </w:rPr>
              <w:t>&lt; Packet Uplink Assignment message content &gt; ::=</w:t>
            </w:r>
          </w:p>
          <w:p w14:paraId="1221DAD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37D57B8B" w14:textId="77777777" w:rsidR="00711444" w:rsidRPr="004D0DAA" w:rsidRDefault="00711444" w:rsidP="00AA2A4C">
            <w:pPr>
              <w:pStyle w:val="TAL"/>
              <w:rPr>
                <w:lang w:eastAsia="en-US"/>
              </w:rPr>
            </w:pPr>
            <w:r w:rsidRPr="004D0DAA">
              <w:rPr>
                <w:lang w:eastAsia="en-US"/>
              </w:rPr>
              <w:tab/>
              <w:t>{ 0 | 1 &lt;</w:t>
            </w:r>
            <w:r w:rsidRPr="004D0DAA">
              <w:rPr>
                <w:b/>
                <w:lang w:eastAsia="en-US"/>
              </w:rPr>
              <w:t xml:space="preserve">PERSISTENCE_LEVEL </w:t>
            </w:r>
            <w:r w:rsidRPr="004D0DAA">
              <w:rPr>
                <w:lang w:eastAsia="en-US"/>
              </w:rPr>
              <w:t>: bit (4) &gt; * 4 }</w:t>
            </w:r>
          </w:p>
          <w:p w14:paraId="13F14CA1" w14:textId="77777777" w:rsidR="00711444" w:rsidRPr="004D0DAA" w:rsidRDefault="00711444" w:rsidP="00AA2A4C">
            <w:pPr>
              <w:pStyle w:val="TAL"/>
              <w:rPr>
                <w:lang w:eastAsia="en-US"/>
              </w:rPr>
            </w:pPr>
            <w:r w:rsidRPr="004D0DAA">
              <w:rPr>
                <w:lang w:eastAsia="en-US"/>
              </w:rPr>
              <w:tab/>
              <w:t>{</w:t>
            </w:r>
            <w:r w:rsidRPr="004D0DAA">
              <w:rPr>
                <w:lang w:eastAsia="en-US"/>
              </w:rPr>
              <w:tab/>
              <w:t>{ 0</w:t>
            </w:r>
            <w:r w:rsidRPr="004D0DAA">
              <w:rPr>
                <w:lang w:eastAsia="en-US"/>
              </w:rPr>
              <w:tab/>
              <w:t xml:space="preserve">&lt; </w:t>
            </w:r>
            <w:r w:rsidRPr="004D0DAA">
              <w:rPr>
                <w:b/>
                <w:lang w:eastAsia="en-US"/>
              </w:rPr>
              <w:t>Global TFI</w:t>
            </w:r>
            <w:r w:rsidRPr="004D0DAA">
              <w:rPr>
                <w:lang w:eastAsia="en-US"/>
              </w:rPr>
              <w:t xml:space="preserve"> : &lt; Global TFI IE &gt; &gt;</w:t>
            </w:r>
          </w:p>
          <w:p w14:paraId="2B157AC1"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t xml:space="preserve">&lt; </w:t>
            </w:r>
            <w:r w:rsidRPr="004D0DAA">
              <w:rPr>
                <w:b/>
                <w:lang w:eastAsia="en-US"/>
              </w:rPr>
              <w:t xml:space="preserve">TLLI </w:t>
            </w:r>
            <w:r w:rsidRPr="004D0DAA">
              <w:rPr>
                <w:b/>
                <w:bCs/>
                <w:lang w:eastAsia="en-US"/>
              </w:rPr>
              <w:t xml:space="preserve">/ G-RNTI </w:t>
            </w:r>
            <w:r w:rsidRPr="004D0DAA">
              <w:rPr>
                <w:lang w:eastAsia="en-US"/>
              </w:rPr>
              <w:t>: bit (32) &gt;</w:t>
            </w:r>
          </w:p>
          <w:p w14:paraId="721315C7" w14:textId="77777777" w:rsidR="00711444" w:rsidRPr="004D0DAA" w:rsidRDefault="00711444" w:rsidP="00AA2A4C">
            <w:pPr>
              <w:pStyle w:val="TAL"/>
              <w:rPr>
                <w:lang w:eastAsia="en-US"/>
              </w:rPr>
            </w:pPr>
            <w:r w:rsidRPr="004D0DAA">
              <w:rPr>
                <w:lang w:eastAsia="en-US"/>
              </w:rPr>
              <w:tab/>
            </w:r>
            <w:r w:rsidRPr="004D0DAA">
              <w:rPr>
                <w:lang w:eastAsia="en-US"/>
              </w:rPr>
              <w:tab/>
              <w:t>| 110</w:t>
            </w:r>
            <w:r w:rsidRPr="004D0DAA">
              <w:rPr>
                <w:lang w:eastAsia="en-US"/>
              </w:rPr>
              <w:tab/>
              <w:t xml:space="preserve">&lt; </w:t>
            </w:r>
            <w:r w:rsidRPr="004D0DAA">
              <w:rPr>
                <w:b/>
                <w:lang w:eastAsia="en-US"/>
              </w:rPr>
              <w:t>TQI</w:t>
            </w:r>
            <w:r w:rsidRPr="004D0DAA">
              <w:rPr>
                <w:lang w:eastAsia="en-US"/>
              </w:rPr>
              <w:t> : bit (16) &gt;</w:t>
            </w:r>
          </w:p>
          <w:p w14:paraId="61376110" w14:textId="77777777" w:rsidR="00711444" w:rsidRPr="004D0DAA" w:rsidRDefault="00711444" w:rsidP="00AA2A4C">
            <w:pPr>
              <w:pStyle w:val="TAL"/>
              <w:rPr>
                <w:lang w:eastAsia="en-US"/>
              </w:rPr>
            </w:pPr>
            <w:r w:rsidRPr="004D0DAA">
              <w:rPr>
                <w:lang w:eastAsia="en-US"/>
              </w:rPr>
              <w:tab/>
            </w:r>
            <w:r w:rsidRPr="004D0DAA">
              <w:rPr>
                <w:lang w:eastAsia="en-US"/>
              </w:rPr>
              <w:tab/>
              <w:t>| 111</w:t>
            </w:r>
            <w:r w:rsidRPr="004D0DAA">
              <w:rPr>
                <w:lang w:eastAsia="en-US"/>
              </w:rPr>
              <w:tab/>
              <w:t xml:space="preserve">&lt; </w:t>
            </w:r>
            <w:r w:rsidRPr="004D0DAA">
              <w:rPr>
                <w:b/>
                <w:lang w:eastAsia="en-US"/>
              </w:rPr>
              <w:t>Packet Request Reference</w:t>
            </w:r>
            <w:r w:rsidRPr="004D0DAA">
              <w:rPr>
                <w:lang w:eastAsia="en-US"/>
              </w:rPr>
              <w:t> : &lt; Packet Request Reference IE &gt; &gt; }</w:t>
            </w:r>
          </w:p>
          <w:p w14:paraId="249380B3"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
                <w:lang w:eastAsia="en-US"/>
              </w:rPr>
              <w:t>Message escape</w:t>
            </w:r>
          </w:p>
          <w:p w14:paraId="49BD1D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 xml:space="preserve">CHANNEL_CODING_COMMAND </w:t>
            </w:r>
            <w:r w:rsidRPr="004D0DAA">
              <w:rPr>
                <w:lang w:eastAsia="en-US"/>
              </w:rPr>
              <w:t>: bit (2) &gt;</w:t>
            </w:r>
          </w:p>
          <w:p w14:paraId="771C0D1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TLLI_BLOCK_CHANNEL_CODING </w:t>
            </w:r>
            <w:r w:rsidRPr="004D0DAA">
              <w:rPr>
                <w:lang w:eastAsia="en-US"/>
              </w:rPr>
              <w:t>: bit (1) &gt;</w:t>
            </w:r>
          </w:p>
          <w:p w14:paraId="0A2F0D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Packet Timing Advance</w:t>
            </w:r>
            <w:r w:rsidRPr="004D0DAA">
              <w:rPr>
                <w:lang w:eastAsia="en-US"/>
              </w:rPr>
              <w:t xml:space="preserve"> : &lt; Packet Timing Advance IE &gt; &gt;</w:t>
            </w:r>
          </w:p>
          <w:p w14:paraId="4A31B2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p w14:paraId="6F8ADC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01</w:t>
            </w:r>
            <w:r w:rsidRPr="004D0DAA">
              <w:rPr>
                <w:lang w:eastAsia="en-US"/>
              </w:rPr>
              <w:tab/>
              <w:t xml:space="preserve">&lt; </w:t>
            </w:r>
            <w:r w:rsidRPr="004D0DAA">
              <w:rPr>
                <w:b/>
                <w:lang w:eastAsia="en-US"/>
              </w:rPr>
              <w:t>Dynamic Allocation</w:t>
            </w:r>
            <w:r w:rsidRPr="004D0DAA">
              <w:rPr>
                <w:lang w:eastAsia="en-US"/>
              </w:rPr>
              <w:t xml:space="preserve"> : &lt; Dynamic Allocation struct &gt; &gt;</w:t>
            </w:r>
          </w:p>
          <w:p w14:paraId="3D3240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t xml:space="preserve">&lt; </w:t>
            </w:r>
            <w:r w:rsidRPr="004D0DAA">
              <w:rPr>
                <w:b/>
                <w:lang w:eastAsia="en-US"/>
              </w:rPr>
              <w:t>Single Block Allocation</w:t>
            </w:r>
            <w:r w:rsidRPr="004D0DAA">
              <w:rPr>
                <w:lang w:eastAsia="en-US"/>
              </w:rPr>
              <w:t xml:space="preserve"> : &lt; Single Block Allocation struct &gt; &gt;</w:t>
            </w:r>
          </w:p>
          <w:p w14:paraId="4BE80A6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00</w:t>
            </w:r>
            <w:r w:rsidRPr="004D0DAA">
              <w:rPr>
                <w:lang w:eastAsia="en-US"/>
              </w:rPr>
              <w:tab/>
              <w:t xml:space="preserve">&lt; extension &gt; </w:t>
            </w:r>
          </w:p>
          <w:p w14:paraId="1FE5192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lang w:eastAsia="en-US"/>
              </w:rPr>
              <w:tab/>
              <w:t xml:space="preserve">-- </w:t>
            </w:r>
            <w:r w:rsidRPr="004D0DAA">
              <w:rPr>
                <w:i/>
                <w:lang w:eastAsia="en-US"/>
              </w:rPr>
              <w:t>The value '11' was allocated in an earlier version of the protocol and shall not be used.</w:t>
            </w:r>
          </w:p>
          <w:p w14:paraId="33026B98"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7EE687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R99</w:t>
            </w:r>
          </w:p>
          <w:p w14:paraId="6CDCA4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67AC775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t xml:space="preserve">-- </w:t>
            </w:r>
            <w:r w:rsidRPr="004D0DAA">
              <w:rPr>
                <w:i/>
                <w:lang w:eastAsia="en-US"/>
              </w:rPr>
              <w:t>Receiver backward compatible with earlier version</w:t>
            </w:r>
          </w:p>
          <w:p w14:paraId="5E6B171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xml:space="preserve">-- </w:t>
            </w:r>
            <w:r w:rsidRPr="004D0DAA">
              <w:rPr>
                <w:i/>
                <w:lang w:eastAsia="en-US"/>
              </w:rPr>
              <w:t>Additions for Rel-5</w:t>
            </w:r>
          </w:p>
          <w:p w14:paraId="4D6219C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ab/>
              <w:t xml:space="preserve">{ 0 | 1 &lt; </w:t>
            </w:r>
            <w:r w:rsidRPr="004D0DAA">
              <w:rPr>
                <w:b/>
                <w:bCs/>
                <w:iCs/>
                <w:lang w:eastAsia="en-US"/>
              </w:rPr>
              <w:t xml:space="preserve">G-RNTI extension </w:t>
            </w:r>
            <w:r w:rsidRPr="004D0DAA">
              <w:rPr>
                <w:iCs/>
                <w:lang w:eastAsia="en-US"/>
              </w:rPr>
              <w:t>: bit (4) &gt; }</w:t>
            </w:r>
          </w:p>
          <w:p w14:paraId="478315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bCs/>
                <w:iCs/>
                <w:lang w:eastAsia="en-US"/>
              </w:rPr>
              <w:t>RB Id</w:t>
            </w:r>
            <w:r w:rsidRPr="004D0DAA">
              <w:rPr>
                <w:iCs/>
                <w:lang w:eastAsia="en-US"/>
              </w:rPr>
              <w:t xml:space="preserve"> : bit (5)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0ACD2FF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t xml:space="preserve">-- </w:t>
            </w:r>
            <w:r w:rsidRPr="004D0DAA">
              <w:rPr>
                <w:i/>
                <w:lang w:eastAsia="en-US"/>
              </w:rPr>
              <w:t xml:space="preserve">Receiver backward compatible with earlier version </w:t>
            </w:r>
          </w:p>
          <w:p w14:paraId="7CB5959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Rel-6</w:t>
            </w:r>
          </w:p>
          <w:p w14:paraId="5D393FB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iCs/>
                <w:lang w:eastAsia="en-US"/>
              </w:rPr>
              <w:t xml:space="preserve">&lt; </w:t>
            </w:r>
            <w:r w:rsidRPr="004D0DAA">
              <w:rPr>
                <w:b/>
                <w:bCs/>
                <w:iCs/>
                <w:lang w:eastAsia="en-US"/>
              </w:rPr>
              <w:t>PFI</w:t>
            </w:r>
            <w:r w:rsidRPr="004D0DAA">
              <w:rPr>
                <w:iCs/>
                <w:lang w:eastAsia="en-US"/>
              </w:rPr>
              <w:t xml:space="preserve"> : bit (7) &gt; }</w:t>
            </w:r>
          </w:p>
          <w:p w14:paraId="784E123D"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iCs/>
                <w:lang w:eastAsia="en-US"/>
              </w:rPr>
              <w:t xml:space="preserve">&lt; </w:t>
            </w:r>
            <w:r w:rsidRPr="004D0DAA">
              <w:rPr>
                <w:b/>
                <w:iCs/>
                <w:lang w:eastAsia="en-US"/>
              </w:rPr>
              <w:t>RLC_MODE</w:t>
            </w:r>
            <w:r w:rsidRPr="004D0DAA">
              <w:rPr>
                <w:iCs/>
                <w:lang w:eastAsia="en-US"/>
              </w:rPr>
              <w:t xml:space="preserve"> : bit (1) &gt; }</w:t>
            </w:r>
          </w:p>
          <w:p w14:paraId="661EA8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412B221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2EC75B7E"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310DBEC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w:t>
            </w:r>
          </w:p>
          <w:p w14:paraId="775C8F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Non-distribution part error : bit (*) = &lt; no string &gt; &gt; } </w:t>
            </w:r>
          </w:p>
        </w:tc>
      </w:tr>
      <w:tr w:rsidR="00711444" w:rsidRPr="004D0DAA" w14:paraId="4C1D8200" w14:textId="77777777" w:rsidTr="00AA2A4C">
        <w:tblPrEx>
          <w:tblCellMar>
            <w:top w:w="0" w:type="dxa"/>
            <w:bottom w:w="0" w:type="dxa"/>
          </w:tblCellMar>
        </w:tblPrEx>
        <w:trPr>
          <w:cantSplit/>
        </w:trPr>
        <w:tc>
          <w:tcPr>
            <w:tcW w:w="9848" w:type="dxa"/>
          </w:tcPr>
          <w:p w14:paraId="640A58B4"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bit used to define EGPRS message contents</w:t>
            </w:r>
          </w:p>
          <w:p w14:paraId="7BF9D77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00 {</w:t>
            </w:r>
            <w:r w:rsidRPr="004D0DAA">
              <w:rPr>
                <w:lang w:eastAsia="en-US"/>
              </w:rPr>
              <w:tab/>
              <w:t xml:space="preserve">{ 0 | 1 &lt; </w:t>
            </w:r>
            <w:r w:rsidRPr="004D0DAA">
              <w:rPr>
                <w:b/>
                <w:snapToGrid w:val="0"/>
                <w:lang w:eastAsia="en-US"/>
              </w:rPr>
              <w:t>CONTENTION_RESOLUTION_TLLI</w:t>
            </w:r>
            <w:r w:rsidRPr="004D0DAA">
              <w:rPr>
                <w:snapToGrid w:val="0"/>
                <w:lang w:eastAsia="en-US"/>
              </w:rPr>
              <w:t xml:space="preserve"> : bit(32) &gt; }</w:t>
            </w:r>
          </w:p>
          <w:p w14:paraId="3ACAF3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COMPACT reduced MA</w:t>
            </w:r>
            <w:r w:rsidRPr="004D0DAA">
              <w:rPr>
                <w:lang w:eastAsia="en-US"/>
              </w:rPr>
              <w:t xml:space="preserve"> : &lt; COMPACT reduced MA IE &gt;&gt; }</w:t>
            </w:r>
          </w:p>
          <w:p w14:paraId="16DA197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 &lt; EGPRS Modulation and Coding Scheme IE &gt;&gt;</w:t>
            </w:r>
          </w:p>
          <w:p w14:paraId="480F3C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0B9781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Window Size</w:t>
            </w:r>
            <w:r w:rsidRPr="004D0DAA">
              <w:rPr>
                <w:lang w:eastAsia="en-US"/>
              </w:rPr>
              <w:t> : &lt; EGPRS Window Size IE &gt; &gt;</w:t>
            </w:r>
          </w:p>
          <w:p w14:paraId="4E5F5894"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lang w:val="fr-FR" w:eastAsia="en-US"/>
              </w:rPr>
              <w:t>Access Technologies Request</w:t>
            </w:r>
            <w:r w:rsidRPr="004D0DAA">
              <w:rPr>
                <w:lang w:val="fr-FR" w:eastAsia="en-US"/>
              </w:rPr>
              <w:t xml:space="preserve"> : Access Technologies Request struct &gt;}</w:t>
            </w:r>
          </w:p>
          <w:p w14:paraId="3AD6018E"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&lt; </w:t>
            </w:r>
            <w:r w:rsidRPr="004D0DAA">
              <w:rPr>
                <w:b/>
                <w:lang w:eastAsia="en-US"/>
              </w:rPr>
              <w:t>ARAC RETRANSMISSION REQUEST</w:t>
            </w:r>
            <w:r w:rsidRPr="004D0DAA">
              <w:rPr>
                <w:lang w:eastAsia="en-US"/>
              </w:rPr>
              <w:t xml:space="preserve"> : bit (1) &gt;</w:t>
            </w:r>
          </w:p>
          <w:p w14:paraId="3F066B9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TLLI_BLOCK_CHANNEL_CODING </w:t>
            </w:r>
            <w:r w:rsidRPr="004D0DAA">
              <w:rPr>
                <w:lang w:eastAsia="en-US"/>
              </w:rPr>
              <w:t>: bit (1) &gt;</w:t>
            </w:r>
          </w:p>
          <w:p w14:paraId="745B6DB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 (4) &gt; }</w:t>
            </w:r>
          </w:p>
          <w:p w14:paraId="728D76E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Packet Timing Advance</w:t>
            </w:r>
            <w:r w:rsidRPr="004D0DAA">
              <w:rPr>
                <w:lang w:eastAsia="en-US"/>
              </w:rPr>
              <w:t xml:space="preserve"> : &lt; Packet Timing Advance IE &gt; &gt;</w:t>
            </w:r>
          </w:p>
          <w:p w14:paraId="381738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6DF1F6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p w14:paraId="7699260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01</w:t>
            </w:r>
            <w:r w:rsidRPr="004D0DAA">
              <w:rPr>
                <w:lang w:eastAsia="en-US"/>
              </w:rPr>
              <w:tab/>
              <w:t xml:space="preserve">&lt; </w:t>
            </w:r>
            <w:r w:rsidRPr="004D0DAA">
              <w:rPr>
                <w:b/>
                <w:lang w:eastAsia="en-US"/>
              </w:rPr>
              <w:t>Dynamic Allocation</w:t>
            </w:r>
            <w:r w:rsidRPr="004D0DAA">
              <w:rPr>
                <w:lang w:eastAsia="en-US"/>
              </w:rPr>
              <w:t xml:space="preserve"> : &lt; Dynamic Allocation struct &gt; &gt;</w:t>
            </w:r>
          </w:p>
          <w:p w14:paraId="6C5594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t xml:space="preserve">&lt; </w:t>
            </w:r>
            <w:r w:rsidRPr="004D0DAA">
              <w:rPr>
                <w:b/>
                <w:lang w:eastAsia="en-US"/>
              </w:rPr>
              <w:t>Multi Block Allocation</w:t>
            </w:r>
            <w:r w:rsidRPr="004D0DAA">
              <w:rPr>
                <w:lang w:eastAsia="en-US"/>
              </w:rPr>
              <w:t xml:space="preserve"> : &lt; Multi Block Allocation struct &gt; &gt;</w:t>
            </w:r>
          </w:p>
          <w:p w14:paraId="2A3162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00</w:t>
            </w:r>
            <w:r w:rsidRPr="004D0DAA">
              <w:rPr>
                <w:lang w:eastAsia="en-US"/>
              </w:rPr>
              <w:tab/>
              <w:t xml:space="preserve">&lt; extension &gt; </w:t>
            </w:r>
          </w:p>
          <w:p w14:paraId="439900A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lang w:eastAsia="en-US"/>
              </w:rPr>
              <w:tab/>
              <w:t>-- The value '11' was allocated in an earlier version of the protocol and shall not be used.</w:t>
            </w:r>
          </w:p>
          <w:p w14:paraId="5FB9F9F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r>
            <w:r w:rsidRPr="004D0DAA">
              <w:rPr>
                <w:lang w:eastAsia="en-US"/>
              </w:rPr>
              <w:tab/>
            </w:r>
            <w:r w:rsidRPr="004D0DAA">
              <w:rPr>
                <w:lang w:eastAsia="en-US"/>
              </w:rPr>
              <w:tab/>
            </w:r>
            <w:r w:rsidRPr="004D0DAA">
              <w:rPr>
                <w:lang w:eastAsia="en-US"/>
              </w:rPr>
              <w:tab/>
              <w:t>-- Receiver backward compatible with earlier version</w:t>
            </w:r>
          </w:p>
          <w:p w14:paraId="7CB6DA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1</w:t>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Additions for Rel-5</w:t>
            </w:r>
          </w:p>
          <w:p w14:paraId="0DF60B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&lt; </w:t>
            </w:r>
            <w:r w:rsidRPr="004D0DAA">
              <w:rPr>
                <w:b/>
                <w:bCs/>
                <w:iCs/>
                <w:lang w:eastAsia="en-US"/>
              </w:rPr>
              <w:t xml:space="preserve">G-RNTI extension </w:t>
            </w:r>
            <w:r w:rsidRPr="004D0DAA">
              <w:rPr>
                <w:iCs/>
                <w:lang w:eastAsia="en-US"/>
              </w:rPr>
              <w:t>: bit (4) &gt; }</w:t>
            </w:r>
          </w:p>
          <w:p w14:paraId="331F2E3A"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 0 | 1 &lt; </w:t>
            </w:r>
            <w:r w:rsidRPr="004D0DAA">
              <w:rPr>
                <w:b/>
                <w:bCs/>
                <w:iCs/>
                <w:lang w:eastAsia="en-US"/>
              </w:rPr>
              <w:t>RB Id</w:t>
            </w:r>
            <w:r w:rsidRPr="004D0DAA">
              <w:rPr>
                <w:iCs/>
                <w:lang w:eastAsia="en-US"/>
              </w:rPr>
              <w:t xml:space="preserve"> : bit (5) &gt; }</w:t>
            </w:r>
          </w:p>
          <w:p w14:paraId="4E3D446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r>
            <w:r w:rsidRPr="004D0DAA">
              <w:rPr>
                <w:lang w:eastAsia="en-US"/>
              </w:rPr>
              <w:tab/>
            </w:r>
            <w:r w:rsidRPr="004D0DAA">
              <w:rPr>
                <w:lang w:eastAsia="en-US"/>
              </w:rPr>
              <w:tab/>
              <w:t xml:space="preserve">-- Receiver backward compatible with earlier version </w:t>
            </w:r>
          </w:p>
          <w:p w14:paraId="1F7716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Rel-6</w:t>
            </w:r>
          </w:p>
          <w:p w14:paraId="369CF9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 bit (7) &gt; }</w:t>
            </w:r>
          </w:p>
          <w:p w14:paraId="3F2341A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RLC_MODE</w:t>
            </w:r>
            <w:r w:rsidRPr="004D0DAA">
              <w:rPr>
                <w:iCs/>
                <w:lang w:eastAsia="en-US"/>
              </w:rPr>
              <w:t xml:space="preserve"> : bit (1) &gt; }</w:t>
            </w:r>
          </w:p>
          <w:p w14:paraId="469B964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w:t>
            </w:r>
            <w:r w:rsidRPr="004D0DAA">
              <w:rPr>
                <w:lang w:eastAsia="en-US"/>
              </w:rPr>
              <w:tab/>
              <w:t>-- Receiver backward compatible with earlier version</w:t>
            </w:r>
          </w:p>
          <w:p w14:paraId="59E071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Rel-7</w:t>
            </w:r>
          </w:p>
          <w:p w14:paraId="1267F643"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395F26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12645F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2FAEE8C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Indication of Upper Layer PDU Start for RLC UM</w:t>
            </w:r>
            <w:r w:rsidRPr="004D0DAA">
              <w:rPr>
                <w:iCs/>
                <w:lang w:eastAsia="en-US"/>
              </w:rPr>
              <w:t>: bit  &gt;</w:t>
            </w:r>
          </w:p>
          <w:p w14:paraId="64256CB1"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0AC79DF1"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&lt; </w:t>
            </w:r>
            <w:r w:rsidRPr="004D0DAA">
              <w:rPr>
                <w:b/>
                <w:bCs/>
                <w:lang w:eastAsia="en-US"/>
              </w:rPr>
              <w:t>EMST_NW_Capability</w:t>
            </w:r>
            <w:r w:rsidRPr="004D0DAA">
              <w:rPr>
                <w:lang w:eastAsia="en-US"/>
              </w:rPr>
              <w:t xml:space="preserve"> : bit (1) &gt;</w:t>
            </w:r>
            <w:r w:rsidRPr="004D0DAA">
              <w:rPr>
                <w:lang w:eastAsia="en-US"/>
              </w:rPr>
              <w:tab/>
            </w:r>
            <w:r w:rsidRPr="004D0DAA">
              <w:rPr>
                <w:lang w:eastAsia="en-US"/>
              </w:rPr>
              <w:tab/>
              <w:t xml:space="preserve">-- </w:t>
            </w:r>
            <w:r w:rsidRPr="004D0DAA">
              <w:rPr>
                <w:iCs/>
                <w:lang w:eastAsia="en-US"/>
              </w:rPr>
              <w:t>EMST is not used</w:t>
            </w:r>
          </w:p>
          <w:p w14:paraId="2702DFA6"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RLC Entity 2</w:t>
            </w:r>
            <w:r w:rsidRPr="004D0DAA">
              <w:rPr>
                <w:lang w:eastAsia="en-US"/>
              </w:rPr>
              <w:t xml:space="preserve"> : &lt; RLC Entity Struct &gt; &gt;</w:t>
            </w:r>
            <w:r w:rsidRPr="004D0DAA">
              <w:rPr>
                <w:lang w:eastAsia="en-US"/>
              </w:rPr>
              <w:tab/>
              <w:t xml:space="preserve">-- </w:t>
            </w:r>
            <w:r w:rsidRPr="004D0DAA">
              <w:rPr>
                <w:iCs/>
                <w:lang w:eastAsia="en-US"/>
              </w:rPr>
              <w:t>EMST is used</w:t>
            </w:r>
          </w:p>
          <w:p w14:paraId="344AA6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EE2ED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RLC Entity 3</w:t>
            </w:r>
            <w:r w:rsidRPr="004D0DAA">
              <w:rPr>
                <w:lang w:eastAsia="en-US"/>
              </w:rPr>
              <w:t xml:space="preserve"> : &lt; RLC Entity Struct &gt; &gt; }</w:t>
            </w:r>
          </w:p>
          <w:p w14:paraId="52B174F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7CE0381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40D48B7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Rel-10</w:t>
            </w:r>
          </w:p>
          <w:p w14:paraId="34F74E9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0E8EC21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15B887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r w:rsidRPr="004D0DAA">
              <w:rPr>
                <w:lang w:eastAsia="en-US"/>
              </w:rPr>
              <w:tab/>
            </w:r>
            <w:r w:rsidRPr="004D0DAA">
              <w:rPr>
                <w:lang w:eastAsia="en-US"/>
              </w:rPr>
              <w:tab/>
            </w:r>
            <w:r w:rsidRPr="004D0DAA">
              <w:rPr>
                <w:lang w:eastAsia="en-US"/>
              </w:rPr>
              <w:tab/>
            </w:r>
            <w:r w:rsidRPr="004D0DAA">
              <w:rPr>
                <w:lang w:eastAsia="en-US"/>
              </w:rPr>
              <w:tab/>
            </w:r>
          </w:p>
          <w:p w14:paraId="633529F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099747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0BA04111"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1DECEB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 } }</w:t>
            </w:r>
          </w:p>
          <w:p w14:paraId="2501AB8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7C366559" w14:textId="77777777" w:rsidTr="00AA2A4C">
        <w:tblPrEx>
          <w:tblCellMar>
            <w:top w:w="0" w:type="dxa"/>
            <w:bottom w:w="0" w:type="dxa"/>
          </w:tblCellMar>
        </w:tblPrEx>
        <w:trPr>
          <w:cantSplit/>
        </w:trPr>
        <w:tc>
          <w:tcPr>
            <w:tcW w:w="9848" w:type="dxa"/>
          </w:tcPr>
          <w:p w14:paraId="231129C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for dual carrier, RTTI, BTTI with FANR activated, EGPRS2</w:t>
            </w:r>
          </w:p>
          <w:p w14:paraId="647D2AE2"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r w:rsidRPr="004D0DAA">
              <w:rPr>
                <w:rFonts w:cs="Arial"/>
                <w:szCs w:val="18"/>
                <w:lang w:eastAsia="en-US"/>
              </w:rPr>
              <w:tab/>
              <w:t xml:space="preserve">{ 0 | 1 &lt; </w:t>
            </w:r>
            <w:r w:rsidRPr="004D0DAA">
              <w:rPr>
                <w:rFonts w:cs="Arial"/>
                <w:b/>
                <w:snapToGrid w:val="0"/>
                <w:szCs w:val="18"/>
                <w:lang w:eastAsia="en-US"/>
              </w:rPr>
              <w:t>CONTENTION_RESOLUTION_TLLI</w:t>
            </w:r>
            <w:r w:rsidRPr="004D0DAA">
              <w:rPr>
                <w:rFonts w:cs="Arial"/>
                <w:snapToGrid w:val="0"/>
                <w:szCs w:val="18"/>
                <w:lang w:eastAsia="en-US"/>
              </w:rPr>
              <w:t xml:space="preserve"> : bit(32) &gt; }</w:t>
            </w:r>
          </w:p>
          <w:p w14:paraId="30E30DA6"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RESEGMENT</w:t>
            </w:r>
            <w:r w:rsidRPr="004D0DAA">
              <w:rPr>
                <w:rFonts w:cs="Arial"/>
                <w:szCs w:val="18"/>
                <w:lang w:eastAsia="en-US"/>
              </w:rPr>
              <w:t> : bit (1) &gt;</w:t>
            </w:r>
          </w:p>
          <w:p w14:paraId="118F623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Assignment Info</w:t>
            </w:r>
            <w:r w:rsidRPr="004D0DAA">
              <w:rPr>
                <w:lang w:eastAsia="en-US"/>
              </w:rPr>
              <w:t xml:space="preserve"> : Assignment Info struct &gt;</w:t>
            </w:r>
          </w:p>
          <w:p w14:paraId="44B78157"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EGPRS Window Size</w:t>
            </w:r>
            <w:r w:rsidRPr="004D0DAA">
              <w:rPr>
                <w:rFonts w:cs="Arial"/>
                <w:szCs w:val="18"/>
                <w:lang w:eastAsia="en-US"/>
              </w:rPr>
              <w:t> : &lt; EGPRS Window Size IE &gt; &gt;</w:t>
            </w:r>
          </w:p>
          <w:p w14:paraId="4EE9CAA2" w14:textId="77777777" w:rsidR="00711444" w:rsidRPr="004D0DAA" w:rsidRDefault="00711444" w:rsidP="00AA2A4C">
            <w:pPr>
              <w:pStyle w:val="TAL"/>
              <w:rPr>
                <w:rFonts w:cs="Arial"/>
                <w:szCs w:val="18"/>
                <w:lang w:val="fr-FR"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val="fr-FR" w:eastAsia="en-US"/>
              </w:rPr>
              <w:t xml:space="preserve">{ 0 | 1 &lt; </w:t>
            </w:r>
            <w:r w:rsidRPr="004D0DAA">
              <w:rPr>
                <w:rFonts w:cs="Arial"/>
                <w:b/>
                <w:szCs w:val="18"/>
                <w:lang w:val="fr-FR" w:eastAsia="en-US"/>
              </w:rPr>
              <w:t>Access Technologies Request</w:t>
            </w:r>
            <w:r w:rsidRPr="004D0DAA">
              <w:rPr>
                <w:rFonts w:cs="Arial"/>
                <w:szCs w:val="18"/>
                <w:lang w:val="fr-FR" w:eastAsia="en-US"/>
              </w:rPr>
              <w:t xml:space="preserve"> : Access Technologies Request struct &gt; }</w:t>
            </w:r>
          </w:p>
          <w:p w14:paraId="7A0F957F" w14:textId="77777777" w:rsidR="00711444" w:rsidRPr="004D0DAA" w:rsidRDefault="00711444" w:rsidP="00AA2A4C">
            <w:pPr>
              <w:pStyle w:val="TAL"/>
              <w:rPr>
                <w:rFonts w:cs="Arial"/>
                <w:szCs w:val="18"/>
                <w:lang w:eastAsia="en-US"/>
              </w:rPr>
            </w:pPr>
            <w:r w:rsidRPr="004D0DAA">
              <w:rPr>
                <w:rFonts w:cs="Arial"/>
                <w:szCs w:val="18"/>
                <w:lang w:val="fr-FR" w:eastAsia="en-US"/>
              </w:rPr>
              <w:tab/>
            </w:r>
            <w:r w:rsidRPr="004D0DAA">
              <w:rPr>
                <w:rFonts w:cs="Arial"/>
                <w:szCs w:val="18"/>
                <w:lang w:val="fr-FR" w:eastAsia="en-US"/>
              </w:rPr>
              <w:tab/>
            </w:r>
            <w:r w:rsidRPr="004D0DAA">
              <w:rPr>
                <w:rFonts w:cs="Arial"/>
                <w:szCs w:val="18"/>
                <w:lang w:val="fr-FR" w:eastAsia="en-US"/>
              </w:rPr>
              <w:tab/>
            </w:r>
            <w:r w:rsidRPr="004D0DAA">
              <w:rPr>
                <w:rFonts w:cs="Arial"/>
                <w:szCs w:val="18"/>
                <w:lang w:val="fr-FR" w:eastAsia="en-US"/>
              </w:rPr>
              <w:tab/>
            </w:r>
            <w:r w:rsidRPr="004D0DAA">
              <w:rPr>
                <w:rFonts w:cs="Arial"/>
                <w:szCs w:val="18"/>
                <w:lang w:val="fr-FR" w:eastAsia="en-US"/>
              </w:rPr>
              <w:tab/>
            </w:r>
            <w:r w:rsidRPr="004D0DAA">
              <w:rPr>
                <w:rFonts w:cs="Arial"/>
                <w:szCs w:val="18"/>
                <w:lang w:eastAsia="en-US"/>
              </w:rPr>
              <w:t xml:space="preserve">&lt; </w:t>
            </w:r>
            <w:r w:rsidRPr="004D0DAA">
              <w:rPr>
                <w:rFonts w:cs="Arial"/>
                <w:b/>
                <w:szCs w:val="18"/>
                <w:lang w:eastAsia="en-US"/>
              </w:rPr>
              <w:t>ARAC RETRANSMISSION REQUEST</w:t>
            </w:r>
            <w:r w:rsidRPr="004D0DAA">
              <w:rPr>
                <w:rFonts w:cs="Arial"/>
                <w:szCs w:val="18"/>
                <w:lang w:eastAsia="en-US"/>
              </w:rPr>
              <w:t xml:space="preserve"> : bit (1) &gt;</w:t>
            </w:r>
          </w:p>
          <w:p w14:paraId="42E71183"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 xml:space="preserve">TLLI_BLOCK_CHANNEL_CODING </w:t>
            </w:r>
            <w:r w:rsidRPr="004D0DAA">
              <w:rPr>
                <w:rFonts w:cs="Arial"/>
                <w:szCs w:val="18"/>
                <w:lang w:eastAsia="en-US"/>
              </w:rPr>
              <w:t>: bit (1) &gt;</w:t>
            </w:r>
          </w:p>
          <w:p w14:paraId="3597A97B"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0 | 1 &lt;</w:t>
            </w:r>
            <w:r w:rsidRPr="004D0DAA">
              <w:rPr>
                <w:rFonts w:cs="Arial"/>
                <w:b/>
                <w:szCs w:val="18"/>
                <w:lang w:eastAsia="en-US"/>
              </w:rPr>
              <w:t xml:space="preserve"> BEP_PERIOD2</w:t>
            </w:r>
            <w:r w:rsidRPr="004D0DAA">
              <w:rPr>
                <w:rFonts w:cs="Arial"/>
                <w:szCs w:val="18"/>
                <w:lang w:eastAsia="en-US"/>
              </w:rPr>
              <w:t xml:space="preserve"> : bit (4) &gt; }</w:t>
            </w:r>
          </w:p>
          <w:p w14:paraId="164D93D3" w14:textId="77777777" w:rsidR="00711444" w:rsidRPr="004D0DAA" w:rsidRDefault="00711444" w:rsidP="00AA2A4C">
            <w:pPr>
              <w:pStyle w:val="TAL"/>
              <w:rPr>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Packet Timing Advance</w:t>
            </w:r>
            <w:r w:rsidRPr="004D0DAA">
              <w:rPr>
                <w:rFonts w:cs="Arial"/>
                <w:szCs w:val="18"/>
                <w:lang w:eastAsia="en-US"/>
              </w:rPr>
              <w:t xml:space="preserve"> : &lt; Packet Timing Advance IE &gt; &gt;</w:t>
            </w:r>
          </w:p>
          <w:p w14:paraId="392CCBB6"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szCs w:val="18"/>
                <w:lang w:eastAsia="en-US"/>
              </w:rPr>
              <w:t>Packet Extended Timing Advance</w:t>
            </w:r>
            <w:r w:rsidRPr="004D0DAA">
              <w:rPr>
                <w:rFonts w:cs="Arial"/>
                <w:szCs w:val="18"/>
                <w:lang w:eastAsia="en-US"/>
              </w:rPr>
              <w:t xml:space="preserve"> : bit (2) &gt; }</w:t>
            </w:r>
          </w:p>
          <w:p w14:paraId="068FD897" w14:textId="77777777" w:rsidR="00711444" w:rsidRPr="004D0DAA" w:rsidRDefault="00711444" w:rsidP="00AA2A4C">
            <w:pPr>
              <w:pStyle w:val="TAL"/>
              <w:rPr>
                <w:szCs w:val="18"/>
                <w:lang w:val="sv-SE"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szCs w:val="18"/>
                <w:lang w:val="sv-SE" w:eastAsia="en-US"/>
              </w:rPr>
              <w:t>{ 0</w:t>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t xml:space="preserve">-- </w:t>
            </w:r>
            <w:r w:rsidRPr="004D0DAA">
              <w:rPr>
                <w:i/>
                <w:iCs/>
                <w:szCs w:val="18"/>
                <w:lang w:val="sv-SE" w:eastAsia="en-US"/>
              </w:rPr>
              <w:t>BTTI mode</w:t>
            </w:r>
          </w:p>
          <w:p w14:paraId="5774D9AB" w14:textId="77777777" w:rsidR="00711444" w:rsidRPr="004D0DAA" w:rsidRDefault="00711444" w:rsidP="00AA2A4C">
            <w:pPr>
              <w:pStyle w:val="TAL"/>
              <w:rPr>
                <w:szCs w:val="18"/>
                <w:lang w:val="sv-SE" w:eastAsia="en-US"/>
              </w:rPr>
            </w:pP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t>| 1</w:t>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t xml:space="preserve">-- </w:t>
            </w:r>
            <w:r w:rsidRPr="004D0DAA">
              <w:rPr>
                <w:i/>
                <w:iCs/>
                <w:szCs w:val="18"/>
                <w:lang w:val="sv-SE" w:eastAsia="en-US"/>
              </w:rPr>
              <w:t>RTTI mode</w:t>
            </w:r>
          </w:p>
          <w:p w14:paraId="38CF5388" w14:textId="77777777" w:rsidR="00711444" w:rsidRPr="004D0DAA" w:rsidRDefault="00711444" w:rsidP="00AA2A4C">
            <w:pPr>
              <w:pStyle w:val="TAL"/>
              <w:rPr>
                <w:szCs w:val="18"/>
                <w:lang w:val="sv-SE" w:eastAsia="en-US"/>
              </w:rPr>
            </w:pP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t xml:space="preserve">&lt; </w:t>
            </w:r>
            <w:r w:rsidRPr="004D0DAA">
              <w:rPr>
                <w:b/>
                <w:bCs/>
                <w:szCs w:val="18"/>
                <w:lang w:val="sv-SE" w:eastAsia="en-US"/>
              </w:rPr>
              <w:t xml:space="preserve">RTTI_USF_MODE </w:t>
            </w:r>
            <w:r w:rsidRPr="004D0DAA">
              <w:rPr>
                <w:szCs w:val="18"/>
                <w:lang w:val="sv-SE" w:eastAsia="en-US"/>
              </w:rPr>
              <w:t>: bit (1) &gt;</w:t>
            </w:r>
          </w:p>
          <w:p w14:paraId="04C45D27" w14:textId="77777777" w:rsidR="00711444" w:rsidRPr="004D0DAA" w:rsidRDefault="00711444" w:rsidP="00AA2A4C">
            <w:pPr>
              <w:pStyle w:val="TAL"/>
              <w:rPr>
                <w:szCs w:val="18"/>
                <w:lang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xml:space="preserve">&lt; </w:t>
            </w:r>
            <w:r w:rsidRPr="004D0DAA">
              <w:rPr>
                <w:b/>
                <w:bCs/>
                <w:lang w:eastAsia="en-US"/>
              </w:rPr>
              <w:t xml:space="preserve">PDCH Pairs Description </w:t>
            </w:r>
            <w:r w:rsidRPr="004D0DAA">
              <w:rPr>
                <w:lang w:eastAsia="en-US"/>
              </w:rPr>
              <w:t>: &lt; PDCH Pairs Description IE &gt; &gt;</w:t>
            </w:r>
            <w:r w:rsidRPr="004D0DAA">
              <w:rPr>
                <w:szCs w:val="18"/>
                <w:lang w:eastAsia="en-US"/>
              </w:rPr>
              <w:t xml:space="preserve"> }</w:t>
            </w:r>
          </w:p>
        </w:tc>
      </w:tr>
      <w:tr w:rsidR="00711444" w:rsidRPr="004D0DAA" w14:paraId="187BB7A9" w14:textId="77777777" w:rsidTr="00AA2A4C">
        <w:tblPrEx>
          <w:tblCellMar>
            <w:top w:w="0" w:type="dxa"/>
            <w:bottom w:w="0" w:type="dxa"/>
          </w:tblCellMar>
        </w:tblPrEx>
        <w:trPr>
          <w:cantSplit/>
        </w:trPr>
        <w:tc>
          <w:tcPr>
            <w:tcW w:w="9848" w:type="dxa"/>
          </w:tcPr>
          <w:p w14:paraId="4DDB12C6" w14:textId="77777777" w:rsidR="00711444" w:rsidRPr="004D0DAA" w:rsidRDefault="00711444" w:rsidP="00AA2A4C">
            <w:pPr>
              <w:pStyle w:val="TAL"/>
              <w:rPr>
                <w:lang w:eastAsia="en-US"/>
              </w:rPr>
            </w:pPr>
            <w:r w:rsidRPr="004D0DAA">
              <w:rPr>
                <w:rFonts w:cs="Arial"/>
                <w:szCs w:val="18"/>
                <w:lang w:eastAsia="en-US"/>
              </w:rPr>
              <w:lastRenderedPageBreak/>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 xml:space="preserve">Dynamic Allocation 2: </w:t>
            </w:r>
            <w:r w:rsidRPr="004D0DAA">
              <w:rPr>
                <w:rFonts w:cs="Arial"/>
                <w:szCs w:val="18"/>
                <w:lang w:eastAsia="en-US"/>
              </w:rPr>
              <w:t xml:space="preserve">&lt; Dynamic Allocation 2 struct &gt; &gt; </w:t>
            </w:r>
          </w:p>
          <w:p w14:paraId="686C11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xml:space="preserve"> : &lt; EGPRS Modulation and Coding Scheme IE &gt;&gt; </w:t>
            </w:r>
          </w:p>
          <w:p w14:paraId="14D987E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00</w:t>
            </w:r>
            <w:r w:rsidRPr="004D0DAA">
              <w:rPr>
                <w:lang w:eastAsia="en-US"/>
              </w:rPr>
              <w:tab/>
            </w:r>
            <w:r w:rsidRPr="004D0DAA">
              <w:rPr>
                <w:lang w:eastAsia="en-US"/>
              </w:rPr>
              <w:tab/>
              <w:t xml:space="preserve">-- </w:t>
            </w:r>
            <w:r w:rsidRPr="004D0DAA">
              <w:rPr>
                <w:i/>
                <w:lang w:eastAsia="en-US"/>
              </w:rPr>
              <w:t>No frequency parameters included</w:t>
            </w:r>
          </w:p>
          <w:p w14:paraId="783FD19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01</w:t>
            </w:r>
            <w:r w:rsidRPr="004D0DAA">
              <w:rPr>
                <w:lang w:eastAsia="en-US"/>
              </w:rPr>
              <w:tab/>
            </w:r>
            <w:r w:rsidRPr="004D0DAA">
              <w:rPr>
                <w:lang w:eastAsia="en-US"/>
              </w:rPr>
              <w:tab/>
              <w:t xml:space="preserve">-- </w:t>
            </w:r>
            <w:r w:rsidRPr="004D0DAA">
              <w:rPr>
                <w:i/>
                <w:lang w:eastAsia="en-US"/>
              </w:rPr>
              <w:t>Legacy IEs used</w:t>
            </w:r>
          </w:p>
          <w:p w14:paraId="43581619"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Frequency Parameters C1</w:t>
            </w:r>
            <w:r w:rsidRPr="004D0DAA">
              <w:rPr>
                <w:bCs/>
                <w:lang w:eastAsia="en-US"/>
              </w:rPr>
              <w:t xml:space="preserve"> :</w:t>
            </w:r>
            <w:r w:rsidRPr="004D0DAA">
              <w:rPr>
                <w:lang w:eastAsia="en-US"/>
              </w:rPr>
              <w:t xml:space="preserve"> &lt; Frequency Parameters IE &gt; &gt; }</w:t>
            </w:r>
          </w:p>
          <w:p w14:paraId="25549653"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Frequency Parameters C2</w:t>
            </w:r>
            <w:r w:rsidRPr="004D0DAA">
              <w:rPr>
                <w:bCs/>
                <w:lang w:eastAsia="en-US"/>
              </w:rPr>
              <w:t xml:space="preserve"> :</w:t>
            </w:r>
            <w:r w:rsidRPr="004D0DAA">
              <w:rPr>
                <w:lang w:eastAsia="en-US"/>
              </w:rPr>
              <w:t xml:space="preserve"> &lt; Frequency Parameters IE &gt; &gt; }</w:t>
            </w:r>
          </w:p>
          <w:p w14:paraId="3917AE7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r>
            <w:r w:rsidRPr="004D0DAA">
              <w:rPr>
                <w:lang w:eastAsia="en-US"/>
              </w:rPr>
              <w:tab/>
              <w:t xml:space="preserve">-- </w:t>
            </w:r>
            <w:r w:rsidRPr="004D0DAA">
              <w:rPr>
                <w:i/>
                <w:lang w:eastAsia="en-US"/>
              </w:rPr>
              <w:t>Optimized Dual Carrier frequency parameters used</w:t>
            </w:r>
            <w:r w:rsidRPr="004D0DAA">
              <w:rPr>
                <w:lang w:eastAsia="en-US"/>
              </w:rPr>
              <w:t xml:space="preserve"> </w:t>
            </w:r>
          </w:p>
          <w:p w14:paraId="5C8BF90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w:t>
            </w:r>
            <w:r w:rsidRPr="004D0DAA">
              <w:rPr>
                <w:b/>
                <w:lang w:eastAsia="en-US"/>
              </w:rPr>
              <w:t>Dual Carrier</w:t>
            </w:r>
            <w:r w:rsidRPr="004D0DAA">
              <w:rPr>
                <w:lang w:eastAsia="en-US"/>
              </w:rPr>
              <w:t xml:space="preserve"> </w:t>
            </w:r>
            <w:r w:rsidRPr="004D0DAA">
              <w:rPr>
                <w:b/>
                <w:lang w:eastAsia="en-US"/>
              </w:rPr>
              <w:t xml:space="preserve">Frequency Parameters </w:t>
            </w:r>
            <w:r w:rsidRPr="004D0DAA">
              <w:rPr>
                <w:lang w:eastAsia="en-US"/>
              </w:rPr>
              <w:t xml:space="preserve">: &lt; Dual Carrier Frequency Parameters IE &gt; &gt; </w:t>
            </w:r>
          </w:p>
          <w:p w14:paraId="00DE0C9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Frequency Parameters error: { 11 } bit(*) = &lt; no string&gt; &gt;  -- </w:t>
            </w:r>
            <w:r w:rsidRPr="004D0DAA">
              <w:rPr>
                <w:i/>
                <w:lang w:eastAsia="en-US"/>
              </w:rPr>
              <w:t>reserved for future used</w:t>
            </w:r>
          </w:p>
          <w:p w14:paraId="6195BE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p>
          <w:p w14:paraId="48B6E6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 bit (7) &gt; }</w:t>
            </w:r>
          </w:p>
          <w:p w14:paraId="2BAB8F86"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RLC_MODE</w:t>
            </w:r>
            <w:r w:rsidRPr="004D0DAA">
              <w:rPr>
                <w:iCs/>
                <w:lang w:eastAsia="en-US"/>
              </w:rPr>
              <w:t xml:space="preserve"> : bit (1) &gt; }</w:t>
            </w:r>
          </w:p>
          <w:p w14:paraId="6FADC797"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78CEE9B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 </w:t>
            </w:r>
            <w:r w:rsidRPr="004D0DAA">
              <w:rPr>
                <w:i/>
                <w:iCs/>
                <w:lang w:eastAsia="en-US"/>
              </w:rPr>
              <w:t>'1' indicates that FANR</w:t>
            </w:r>
            <w:r w:rsidRPr="004D0DAA">
              <w:rPr>
                <w:i/>
                <w:lang w:eastAsia="en-US"/>
              </w:rPr>
              <w:t xml:space="preserve"> is  activated</w:t>
            </w:r>
          </w:p>
          <w:p w14:paraId="34E9B122"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043D251F"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38C5B97B"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REPORTED TIMESLOTS C1</w:t>
            </w:r>
            <w:r w:rsidRPr="004D0DAA">
              <w:rPr>
                <w:lang w:eastAsia="en-US"/>
              </w:rPr>
              <w:t xml:space="preserve"> : bit (8) &gt;</w:t>
            </w:r>
            <w:r w:rsidRPr="004D0DAA">
              <w:rPr>
                <w:lang w:eastAsia="en-US"/>
              </w:rPr>
              <w:tab/>
            </w:r>
            <w:r w:rsidRPr="004D0DAA">
              <w:rPr>
                <w:lang w:eastAsia="en-US"/>
              </w:rPr>
              <w:tab/>
            </w:r>
            <w:r w:rsidRPr="004D0DAA">
              <w:rPr>
                <w:lang w:eastAsia="en-US"/>
              </w:rPr>
              <w:tab/>
              <w:t xml:space="preserve">-- </w:t>
            </w:r>
            <w:r w:rsidRPr="004D0DAA">
              <w:rPr>
                <w:i/>
                <w:lang w:eastAsia="en-US"/>
              </w:rPr>
              <w:t xml:space="preserve">carrier 1 in Downlink Dual Carrier </w:t>
            </w:r>
          </w:p>
          <w:p w14:paraId="14696566" w14:textId="77777777" w:rsidR="00711444" w:rsidRPr="004D0DAA" w:rsidRDefault="00711444" w:rsidP="00AA2A4C">
            <w:pPr>
              <w:pStyle w:val="TAL"/>
              <w:rPr>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t>--configuration</w:t>
            </w:r>
          </w:p>
          <w:p w14:paraId="2A63B8F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lang w:eastAsia="en-US"/>
              </w:rPr>
              <w:t xml:space="preserve">carrier 2 in Downlink Dual Carrier </w:t>
            </w:r>
          </w:p>
          <w:p w14:paraId="4EBCD84A" w14:textId="77777777" w:rsidR="00711444" w:rsidRPr="004D0DAA" w:rsidRDefault="00711444" w:rsidP="00AA2A4C">
            <w:pPr>
              <w:pStyle w:val="TAL"/>
              <w:rPr>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configuration</w:t>
            </w:r>
          </w:p>
          <w:p w14:paraId="3DC27D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TSH</w:t>
            </w:r>
            <w:r w:rsidRPr="004D0DAA">
              <w:rPr>
                <w:lang w:eastAsia="en-US"/>
              </w:rPr>
              <w:t xml:space="preserve"> : bit (2) &gt; } }</w:t>
            </w:r>
          </w:p>
          <w:p w14:paraId="6965CE4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01A76A3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0EA1789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639C5228"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Rel-9</w:t>
            </w:r>
          </w:p>
          <w:p w14:paraId="7F08C6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Indication of Upper Layer PDU Start for RLC UM</w:t>
            </w:r>
            <w:r w:rsidRPr="004D0DAA">
              <w:rPr>
                <w:iCs/>
                <w:lang w:eastAsia="en-US"/>
              </w:rPr>
              <w:t>: bit  &gt;</w:t>
            </w:r>
          </w:p>
          <w:p w14:paraId="0EAC3A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0041F2F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&lt; </w:t>
            </w:r>
            <w:r w:rsidRPr="004D0DAA">
              <w:rPr>
                <w:b/>
                <w:bCs/>
                <w:lang w:eastAsia="en-US"/>
              </w:rPr>
              <w:t>EMST_NW_Capability</w:t>
            </w:r>
            <w:r w:rsidRPr="004D0DAA">
              <w:rPr>
                <w:lang w:eastAsia="en-US"/>
              </w:rPr>
              <w:t xml:space="preserve"> : bit (1) &gt;</w:t>
            </w:r>
            <w:r w:rsidRPr="004D0DAA">
              <w:rPr>
                <w:lang w:eastAsia="en-US"/>
              </w:rPr>
              <w:tab/>
            </w:r>
            <w:r w:rsidRPr="004D0DAA">
              <w:rPr>
                <w:lang w:eastAsia="en-US"/>
              </w:rPr>
              <w:tab/>
              <w:t xml:space="preserve">-- </w:t>
            </w:r>
            <w:r w:rsidRPr="004D0DAA">
              <w:rPr>
                <w:i/>
                <w:iCs/>
                <w:lang w:eastAsia="en-US"/>
              </w:rPr>
              <w:t>EMST is not used</w:t>
            </w:r>
          </w:p>
          <w:p w14:paraId="7D130DA0"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RLC Entity 2</w:t>
            </w:r>
            <w:r w:rsidRPr="004D0DAA">
              <w:rPr>
                <w:lang w:eastAsia="en-US"/>
              </w:rPr>
              <w:t xml:space="preserve"> : &lt; RLC Entity Struct &gt; &gt;</w:t>
            </w:r>
            <w:r w:rsidRPr="004D0DAA">
              <w:rPr>
                <w:lang w:eastAsia="en-US"/>
              </w:rPr>
              <w:tab/>
              <w:t xml:space="preserve">-- </w:t>
            </w:r>
            <w:r w:rsidRPr="004D0DAA">
              <w:rPr>
                <w:i/>
                <w:iCs/>
                <w:lang w:eastAsia="en-US"/>
              </w:rPr>
              <w:t>EMST is used</w:t>
            </w:r>
          </w:p>
          <w:p w14:paraId="5EFEA4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6A04D6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RLC Entity 3</w:t>
            </w:r>
            <w:r w:rsidRPr="004D0DAA">
              <w:rPr>
                <w:lang w:eastAsia="en-US"/>
              </w:rPr>
              <w:t xml:space="preserve"> : &lt; RLC Entity Struct &gt; &gt; }</w:t>
            </w:r>
          </w:p>
          <w:p w14:paraId="56AEE61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0EBD69C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MTTI_UPLINK_ASSIGNMENT_C1 </w:t>
            </w:r>
            <w:r w:rsidRPr="004D0DAA">
              <w:rPr>
                <w:lang w:eastAsia="en-US"/>
              </w:rPr>
              <w:t>: bit (1) }</w:t>
            </w:r>
          </w:p>
          <w:p w14:paraId="1390C3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MTTI_UPLINK_ASSIGNMENT_C2 </w:t>
            </w:r>
            <w:r w:rsidRPr="004D0DAA">
              <w:rPr>
                <w:lang w:eastAsia="en-US"/>
              </w:rPr>
              <w:t>: bit (1) }</w:t>
            </w:r>
          </w:p>
          <w:p w14:paraId="33B55423"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4E699E6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Rel-10</w:t>
            </w:r>
          </w:p>
          <w:p w14:paraId="44EFA2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3827A5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640A0F7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p>
          <w:p w14:paraId="70FF48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0C9AB5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2623760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39749A0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w:t>
            </w:r>
          </w:p>
          <w:p w14:paraId="4944E4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73015E19" w14:textId="77777777" w:rsidR="00711444" w:rsidRPr="004D0DAA" w:rsidRDefault="00711444" w:rsidP="00AA2A4C">
            <w:pPr>
              <w:pStyle w:val="TAL"/>
              <w:rPr>
                <w:rFonts w:cs="Arial"/>
                <w:i/>
                <w:szCs w:val="18"/>
                <w:lang w:eastAsia="en-US"/>
              </w:rPr>
            </w:pP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rFonts w:cs="Arial"/>
                <w:i/>
                <w:szCs w:val="18"/>
                <w:lang w:eastAsia="en-US"/>
              </w:rPr>
              <w:t xml:space="preserve">-- </w:t>
            </w:r>
            <w:r w:rsidRPr="004D0DAA">
              <w:rPr>
                <w:i/>
                <w:lang w:eastAsia="en-US"/>
              </w:rPr>
              <w:t xml:space="preserve">Message escape for </w:t>
            </w:r>
            <w:r w:rsidRPr="004D0DAA">
              <w:rPr>
                <w:rFonts w:cs="Arial"/>
                <w:i/>
                <w:szCs w:val="18"/>
                <w:lang w:eastAsia="en-US"/>
              </w:rPr>
              <w:t>downlink</w:t>
            </w:r>
            <w:r w:rsidRPr="004D0DAA">
              <w:rPr>
                <w:rFonts w:cs="Arial"/>
                <w:szCs w:val="18"/>
                <w:lang w:eastAsia="en-US"/>
              </w:rPr>
              <w:t xml:space="preserve"> </w:t>
            </w:r>
            <w:r w:rsidRPr="004D0DAA">
              <w:rPr>
                <w:i/>
                <w:lang w:eastAsia="en-US"/>
              </w:rPr>
              <w:t xml:space="preserve">multi </w:t>
            </w:r>
            <w:r w:rsidRPr="004D0DAA">
              <w:rPr>
                <w:rFonts w:cs="Arial"/>
                <w:i/>
                <w:szCs w:val="18"/>
                <w:lang w:eastAsia="en-US"/>
              </w:rPr>
              <w:t xml:space="preserve">carrier, RTTI, </w:t>
            </w:r>
            <w:r w:rsidRPr="004D0DAA">
              <w:rPr>
                <w:i/>
                <w:lang w:eastAsia="en-US"/>
              </w:rPr>
              <w:t xml:space="preserve">BTTI with FANR activated, </w:t>
            </w:r>
            <w:r w:rsidRPr="004D0DAA">
              <w:rPr>
                <w:rFonts w:cs="Arial"/>
                <w:i/>
                <w:szCs w:val="18"/>
                <w:lang w:eastAsia="en-US"/>
              </w:rPr>
              <w:t>EGPRS2</w:t>
            </w:r>
          </w:p>
          <w:p w14:paraId="1683D39B"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r w:rsidRPr="004D0DAA">
              <w:rPr>
                <w:rFonts w:cs="Arial"/>
                <w:szCs w:val="18"/>
                <w:lang w:eastAsia="en-US"/>
              </w:rPr>
              <w:tab/>
              <w:t xml:space="preserve">&lt; </w:t>
            </w:r>
            <w:r w:rsidRPr="004D0DAA">
              <w:rPr>
                <w:rFonts w:cs="Arial"/>
                <w:b/>
                <w:szCs w:val="18"/>
                <w:lang w:eastAsia="en-US"/>
              </w:rPr>
              <w:t>RESEGMENT</w:t>
            </w:r>
            <w:r w:rsidRPr="004D0DAA">
              <w:rPr>
                <w:rFonts w:cs="Arial"/>
                <w:szCs w:val="18"/>
                <w:lang w:eastAsia="en-US"/>
              </w:rPr>
              <w:t> : bit (1) &gt;</w:t>
            </w:r>
          </w:p>
          <w:p w14:paraId="5A5991C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1 </w:t>
            </w:r>
            <w:r w:rsidRPr="004D0DAA">
              <w:rPr>
                <w:lang w:eastAsia="en-US"/>
              </w:rPr>
              <w:t xml:space="preserve">&lt; </w:t>
            </w:r>
            <w:r w:rsidRPr="004D0DAA">
              <w:rPr>
                <w:rFonts w:cs="Arial"/>
                <w:szCs w:val="18"/>
                <w:lang w:eastAsia="en-US"/>
              </w:rPr>
              <w:t xml:space="preserve">&lt; </w:t>
            </w:r>
            <w:r w:rsidRPr="004D0DAA">
              <w:rPr>
                <w:rFonts w:cs="Arial"/>
                <w:b/>
                <w:szCs w:val="18"/>
                <w:lang w:eastAsia="en-US"/>
              </w:rPr>
              <w:t xml:space="preserve">DLMC UL Carrier Info: </w:t>
            </w:r>
            <w:r w:rsidRPr="004D0DAA">
              <w:rPr>
                <w:rFonts w:cs="Arial"/>
                <w:szCs w:val="18"/>
                <w:lang w:eastAsia="en-US"/>
              </w:rPr>
              <w:t>&lt; DLMC UL Carrier Info struct &gt;</w:t>
            </w:r>
            <w:r w:rsidRPr="004D0DAA">
              <w:rPr>
                <w:lang w:eastAsia="en-US"/>
              </w:rPr>
              <w:t xml:space="preserve"> &gt; } ** 0</w:t>
            </w:r>
          </w:p>
          <w:p w14:paraId="393AB9DD"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&lt; </w:t>
            </w:r>
            <w:r w:rsidRPr="004D0DAA">
              <w:rPr>
                <w:rFonts w:cs="Arial"/>
                <w:b/>
                <w:szCs w:val="18"/>
                <w:lang w:eastAsia="en-US"/>
              </w:rPr>
              <w:t>EGPRS Window Size</w:t>
            </w:r>
            <w:r w:rsidRPr="004D0DAA">
              <w:rPr>
                <w:rFonts w:cs="Arial"/>
                <w:szCs w:val="18"/>
                <w:lang w:eastAsia="en-US"/>
              </w:rPr>
              <w:t> : &lt; EGPRS Window Size IE &gt; &gt;</w:t>
            </w:r>
          </w:p>
          <w:p w14:paraId="1CF93811" w14:textId="77777777" w:rsidR="00711444" w:rsidRPr="004D0DAA" w:rsidRDefault="00711444" w:rsidP="00AA2A4C">
            <w:pPr>
              <w:pStyle w:val="TAL"/>
              <w:rPr>
                <w:lang w:eastAsia="en-US"/>
              </w:rPr>
            </w:pPr>
            <w:r w:rsidRPr="004D0DAA">
              <w:rPr>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lang w:eastAsia="en-US"/>
              </w:rPr>
              <w:t xml:space="preserve">&lt; </w:t>
            </w:r>
            <w:r w:rsidRPr="004D0DAA">
              <w:rPr>
                <w:b/>
                <w:lang w:eastAsia="en-US"/>
              </w:rPr>
              <w:t>UPLINK_TFI_ASSIGNMENT</w:t>
            </w:r>
            <w:r w:rsidRPr="004D0DAA">
              <w:rPr>
                <w:lang w:eastAsia="en-US"/>
              </w:rPr>
              <w:t xml:space="preserve"> : bit (5) &gt;</w:t>
            </w:r>
          </w:p>
          <w:p w14:paraId="1FE8A36B"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Packet Timing Advance</w:t>
            </w:r>
            <w:r w:rsidRPr="004D0DAA">
              <w:rPr>
                <w:rFonts w:cs="Arial"/>
                <w:szCs w:val="18"/>
                <w:lang w:eastAsia="en-US"/>
              </w:rPr>
              <w:t xml:space="preserve"> : &lt; Packet Timing Advance IE &gt; &gt;</w:t>
            </w:r>
          </w:p>
          <w:p w14:paraId="3AD1FF09"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szCs w:val="18"/>
                <w:lang w:eastAsia="en-US"/>
              </w:rPr>
              <w:t>Packet Extended Timing Advance</w:t>
            </w:r>
            <w:r w:rsidRPr="004D0DAA">
              <w:rPr>
                <w:rFonts w:cs="Arial"/>
                <w:szCs w:val="18"/>
                <w:lang w:eastAsia="en-US"/>
              </w:rPr>
              <w:t xml:space="preserve"> : bit (2) &gt; }</w:t>
            </w:r>
          </w:p>
          <w:p w14:paraId="2531DAD5" w14:textId="77777777" w:rsidR="00711444" w:rsidRPr="004D0DAA" w:rsidRDefault="00711444" w:rsidP="00AA2A4C">
            <w:pPr>
              <w:pStyle w:val="TAL"/>
              <w:rPr>
                <w:rFonts w:cs="Arial"/>
                <w:szCs w:val="18"/>
                <w:lang w:val="sv-SE" w:eastAsia="en-US"/>
              </w:rPr>
            </w:pPr>
            <w:r w:rsidRPr="004D0DAA">
              <w:rPr>
                <w:rFonts w:cs="Arial"/>
                <w:szCs w:val="18"/>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val="sv-SE" w:eastAsia="en-US"/>
              </w:rPr>
              <w:t>{ 0 | 1</w:t>
            </w:r>
            <w:r w:rsidRPr="004D0DAA">
              <w:rPr>
                <w:lang w:val="sv-SE" w:eastAsia="en-US"/>
              </w:rPr>
              <w:tab/>
            </w:r>
            <w:r w:rsidRPr="004D0DAA">
              <w:rPr>
                <w:rFonts w:cs="Arial"/>
                <w:szCs w:val="18"/>
                <w:lang w:val="sv-SE" w:eastAsia="en-US"/>
              </w:rPr>
              <w:t>&lt;</w:t>
            </w:r>
            <w:r w:rsidRPr="004D0DAA">
              <w:rPr>
                <w:rFonts w:cs="Arial"/>
                <w:b/>
                <w:szCs w:val="18"/>
                <w:lang w:val="sv-SE" w:eastAsia="en-US"/>
              </w:rPr>
              <w:t xml:space="preserve"> BEP_PERIOD2</w:t>
            </w:r>
            <w:r w:rsidRPr="004D0DAA">
              <w:rPr>
                <w:rFonts w:cs="Arial"/>
                <w:szCs w:val="18"/>
                <w:lang w:val="sv-SE" w:eastAsia="en-US"/>
              </w:rPr>
              <w:t xml:space="preserve"> : bit (4) &gt; }</w:t>
            </w:r>
          </w:p>
          <w:p w14:paraId="04A4D9B3" w14:textId="77777777" w:rsidR="00711444" w:rsidRPr="004D0DAA" w:rsidRDefault="00711444" w:rsidP="00AA2A4C">
            <w:pPr>
              <w:pStyle w:val="TAL"/>
              <w:rPr>
                <w:lang w:val="sv-SE" w:eastAsia="en-US"/>
              </w:rPr>
            </w:pPr>
            <w:r w:rsidRPr="004D0DAA">
              <w:rPr>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szCs w:val="18"/>
                <w:lang w:val="sv-SE" w:eastAsia="en-US"/>
              </w:rPr>
              <w:tab/>
            </w:r>
            <w:r w:rsidRPr="004D0DAA">
              <w:rPr>
                <w:lang w:val="sv-SE" w:eastAsia="en-US"/>
              </w:rPr>
              <w:t>{ 0 | 1</w:t>
            </w:r>
            <w:r w:rsidRPr="004D0DAA">
              <w:rPr>
                <w:lang w:val="sv-SE" w:eastAsia="en-US"/>
              </w:rPr>
              <w:tab/>
            </w:r>
            <w:r w:rsidRPr="004D0DAA">
              <w:rPr>
                <w:iCs/>
                <w:lang w:val="sv-SE" w:eastAsia="en-US"/>
              </w:rPr>
              <w:t xml:space="preserve">&lt; </w:t>
            </w:r>
            <w:r w:rsidRPr="004D0DAA">
              <w:rPr>
                <w:b/>
                <w:bCs/>
                <w:iCs/>
                <w:lang w:val="sv-SE" w:eastAsia="en-US"/>
              </w:rPr>
              <w:t>PFI</w:t>
            </w:r>
            <w:r w:rsidRPr="004D0DAA">
              <w:rPr>
                <w:iCs/>
                <w:lang w:val="sv-SE" w:eastAsia="en-US"/>
              </w:rPr>
              <w:t xml:space="preserve"> : bit (7) &gt;</w:t>
            </w:r>
            <w:r w:rsidRPr="004D0DAA">
              <w:rPr>
                <w:lang w:val="sv-SE" w:eastAsia="en-US"/>
              </w:rPr>
              <w:t xml:space="preserve"> }</w:t>
            </w:r>
          </w:p>
          <w:p w14:paraId="434063F8" w14:textId="77777777" w:rsidR="00711444" w:rsidRPr="004D0DAA" w:rsidRDefault="00711444" w:rsidP="00AA2A4C">
            <w:pPr>
              <w:pStyle w:val="TAL"/>
              <w:rPr>
                <w:iCs/>
                <w:lang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RLC_MODE</w:t>
            </w:r>
            <w:r w:rsidRPr="004D0DAA">
              <w:rPr>
                <w:iCs/>
                <w:lang w:eastAsia="en-US"/>
              </w:rPr>
              <w:t xml:space="preserve"> : bit (1) &gt; }</w:t>
            </w:r>
          </w:p>
          <w:p w14:paraId="184806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1E3E5FC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 </w:t>
            </w:r>
            <w:r w:rsidRPr="004D0DAA">
              <w:rPr>
                <w:i/>
                <w:iCs/>
                <w:lang w:eastAsia="en-US"/>
              </w:rPr>
              <w:t>'1' indicates that FANR</w:t>
            </w:r>
            <w:r w:rsidRPr="004D0DAA">
              <w:rPr>
                <w:i/>
                <w:lang w:eastAsia="en-US"/>
              </w:rPr>
              <w:t xml:space="preserve"> is  activated</w:t>
            </w:r>
          </w:p>
          <w:p w14:paraId="59EE3408"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t xml:space="preserve">-- </w:t>
            </w:r>
            <w:r w:rsidRPr="004D0DAA">
              <w:rPr>
                <w:i/>
                <w:lang w:eastAsia="en-US"/>
              </w:rPr>
              <w:t>SSN-based encoding is selected</w:t>
            </w:r>
          </w:p>
          <w:p w14:paraId="224EFAB6"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t xml:space="preserve">-- </w:t>
            </w:r>
            <w:r w:rsidRPr="004D0DAA">
              <w:rPr>
                <w:i/>
                <w:lang w:eastAsia="en-US"/>
              </w:rPr>
              <w:t>Time-based encoding is selected</w:t>
            </w:r>
          </w:p>
          <w:p w14:paraId="4AF4EFD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REPORTED TIMESLOTS</w:t>
            </w:r>
            <w:r w:rsidRPr="004D0DAA">
              <w:rPr>
                <w:lang w:eastAsia="en-US"/>
              </w:rPr>
              <w:t xml:space="preserve"> : bit (8) &gt;</w:t>
            </w:r>
            <w:r w:rsidRPr="004D0DAA">
              <w:rPr>
                <w:lang w:eastAsia="en-US"/>
              </w:rPr>
              <w:tab/>
            </w:r>
          </w:p>
          <w:p w14:paraId="31A299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TSH</w:t>
            </w:r>
            <w:r w:rsidRPr="004D0DAA">
              <w:rPr>
                <w:lang w:eastAsia="en-US"/>
              </w:rPr>
              <w:t xml:space="preserve"> : bit (2) &gt; } }</w:t>
            </w:r>
          </w:p>
          <w:p w14:paraId="45DFD2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369397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572FDC6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Indication of Upper Layer PDU Start for RLC UM</w:t>
            </w:r>
            <w:r w:rsidRPr="004D0DAA">
              <w:rPr>
                <w:iCs/>
                <w:lang w:eastAsia="en-US"/>
              </w:rPr>
              <w:t>: bit  &gt;</w:t>
            </w:r>
          </w:p>
          <w:p w14:paraId="62268F7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7C59B4D8" w14:textId="77777777" w:rsidR="00711444" w:rsidRPr="004D0DAA" w:rsidRDefault="00711444" w:rsidP="00AA2A4C">
            <w:pPr>
              <w:pStyle w:val="TAL"/>
              <w:rPr>
                <w:lang w:eastAsia="en-US"/>
              </w:rPr>
            </w:pPr>
          </w:p>
        </w:tc>
      </w:tr>
      <w:tr w:rsidR="00711444" w:rsidRPr="004D0DAA" w14:paraId="315018C7" w14:textId="77777777" w:rsidTr="00AA2A4C">
        <w:tblPrEx>
          <w:tblCellMar>
            <w:top w:w="0" w:type="dxa"/>
            <w:bottom w:w="0" w:type="dxa"/>
          </w:tblCellMar>
        </w:tblPrEx>
        <w:trPr>
          <w:cantSplit/>
        </w:trPr>
        <w:tc>
          <w:tcPr>
            <w:tcW w:w="9848" w:type="dxa"/>
          </w:tcPr>
          <w:p w14:paraId="5D41852A"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xml:space="preserve"> : &lt; EGPRS Modulation and Coding Scheme IE &gt;&gt; </w:t>
            </w:r>
          </w:p>
          <w:p w14:paraId="359E93FF"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&lt; padding bits &gt;  //</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truncation at end of message allowed, bits '0' assumed</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1FA05B2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Message escape : { 11 } bit (*) = &lt;no string&gt; &gt; } } </w:t>
            </w:r>
            <w:r w:rsidRPr="004D0DAA">
              <w:rPr>
                <w:lang w:eastAsia="en-US"/>
              </w:rPr>
              <w:tab/>
              <w:t xml:space="preserve">- </w:t>
            </w:r>
            <w:r w:rsidRPr="004D0DAA">
              <w:rPr>
                <w:i/>
                <w:lang w:eastAsia="en-US"/>
              </w:rPr>
              <w:t>Extended for future changes</w:t>
            </w:r>
          </w:p>
          <w:p w14:paraId="65D5C5E0"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Address information part error : bit (*) = &lt; no string &gt; &gt; } </w:t>
            </w:r>
          </w:p>
          <w:p w14:paraId="551512FE" w14:textId="77777777" w:rsidR="00711444" w:rsidRPr="004D0DAA" w:rsidRDefault="00711444" w:rsidP="00AA2A4C">
            <w:pPr>
              <w:pStyle w:val="TAL"/>
              <w:rPr>
                <w:lang w:eastAsia="en-US"/>
              </w:rPr>
            </w:pPr>
            <w:r w:rsidRPr="004D0DAA">
              <w:rPr>
                <w:lang w:eastAsia="en-US"/>
              </w:rPr>
              <w:tab/>
              <w:t>! &lt; Distribution part error : bit (*) = &lt; no string &gt; &gt; ;</w:t>
            </w:r>
          </w:p>
          <w:p w14:paraId="24867457" w14:textId="77777777" w:rsidR="00711444" w:rsidRPr="004D0DAA" w:rsidRDefault="00711444" w:rsidP="00AA2A4C">
            <w:pPr>
              <w:pStyle w:val="TAL"/>
              <w:rPr>
                <w:lang w:eastAsia="en-US"/>
              </w:rPr>
            </w:pPr>
          </w:p>
          <w:p w14:paraId="5529EDD1" w14:textId="77777777" w:rsidR="00711444" w:rsidRPr="004D0DAA" w:rsidRDefault="00711444" w:rsidP="00AA2A4C">
            <w:pPr>
              <w:pStyle w:val="TAL"/>
              <w:rPr>
                <w:lang w:eastAsia="en-US"/>
              </w:rPr>
            </w:pPr>
            <w:r w:rsidRPr="004D0DAA">
              <w:rPr>
                <w:lang w:eastAsia="en-US"/>
              </w:rPr>
              <w:t>&lt;extension&gt; ::=</w:t>
            </w:r>
            <w:r w:rsidRPr="004D0DAA">
              <w:rPr>
                <w:lang w:eastAsia="en-US"/>
              </w:rPr>
              <w:tab/>
              <w:t xml:space="preserve">-- </w:t>
            </w:r>
            <w:r w:rsidRPr="004D0DAA">
              <w:rPr>
                <w:i/>
                <w:lang w:eastAsia="en-US"/>
              </w:rPr>
              <w:t>Future extension can be done by modifying this structure</w:t>
            </w:r>
          </w:p>
          <w:p w14:paraId="44955E51" w14:textId="77777777" w:rsidR="00711444" w:rsidRPr="004D0DAA" w:rsidRDefault="00711444" w:rsidP="00AA2A4C">
            <w:pPr>
              <w:pStyle w:val="TAL"/>
              <w:rPr>
                <w:lang w:eastAsia="en-US"/>
              </w:rPr>
            </w:pPr>
            <w:r w:rsidRPr="004D0DAA">
              <w:rPr>
                <w:lang w:eastAsia="en-US"/>
              </w:rPr>
              <w:tab/>
              <w:t>null ;</w:t>
            </w:r>
          </w:p>
        </w:tc>
      </w:tr>
      <w:tr w:rsidR="00711444" w:rsidRPr="004D0DAA" w14:paraId="6672B9CC" w14:textId="77777777" w:rsidTr="00AA2A4C">
        <w:tblPrEx>
          <w:tblCellMar>
            <w:top w:w="0" w:type="dxa"/>
            <w:bottom w:w="0" w:type="dxa"/>
          </w:tblCellMar>
        </w:tblPrEx>
        <w:trPr>
          <w:cantSplit/>
        </w:trPr>
        <w:tc>
          <w:tcPr>
            <w:tcW w:w="9848" w:type="dxa"/>
          </w:tcPr>
          <w:p w14:paraId="68D34B7A" w14:textId="77777777" w:rsidR="00711444" w:rsidRPr="004D0DAA" w:rsidRDefault="00711444" w:rsidP="00AA2A4C">
            <w:pPr>
              <w:pStyle w:val="TAL"/>
              <w:rPr>
                <w:lang w:eastAsia="en-US"/>
              </w:rPr>
            </w:pPr>
            <w:r w:rsidRPr="004D0DAA">
              <w:rPr>
                <w:lang w:eastAsia="en-US"/>
              </w:rPr>
              <w:t xml:space="preserve">&lt;Dynamic Allocation struct &gt; ::= </w:t>
            </w:r>
          </w:p>
          <w:p w14:paraId="0D03889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EXTENDED_DYNAMIC_ALLOCATION </w:t>
            </w:r>
            <w:r w:rsidRPr="004D0DAA">
              <w:rPr>
                <w:lang w:eastAsia="en-US"/>
              </w:rPr>
              <w:t>: bit (1) &gt;</w:t>
            </w:r>
          </w:p>
          <w:p w14:paraId="5B9B2F8A" w14:textId="77777777" w:rsidR="00711444" w:rsidRPr="004D0DAA" w:rsidRDefault="00711444" w:rsidP="00AA2A4C">
            <w:pPr>
              <w:pStyle w:val="TAL"/>
              <w:rPr>
                <w:lang w:val="sv-SE" w:eastAsia="en-US"/>
              </w:rPr>
            </w:pPr>
            <w:r w:rsidRPr="004D0DAA">
              <w:rPr>
                <w:lang w:eastAsia="en-US"/>
              </w:rPr>
              <w:tab/>
            </w:r>
            <w:r w:rsidRPr="004D0DAA">
              <w:rPr>
                <w:lang w:val="sv-SE" w:eastAsia="en-US"/>
              </w:rPr>
              <w:t>{ 0 | 1</w:t>
            </w:r>
            <w:r w:rsidRPr="004D0DAA">
              <w:rPr>
                <w:lang w:val="sv-SE" w:eastAsia="en-US"/>
              </w:rPr>
              <w:tab/>
              <w:t xml:space="preserve">&lt; </w:t>
            </w:r>
            <w:r w:rsidRPr="004D0DAA">
              <w:rPr>
                <w:b/>
                <w:lang w:val="sv-SE" w:eastAsia="en-US"/>
              </w:rPr>
              <w:t>P0</w:t>
            </w:r>
            <w:r w:rsidRPr="004D0DAA">
              <w:rPr>
                <w:lang w:val="sv-SE" w:eastAsia="en-US"/>
              </w:rPr>
              <w:t xml:space="preserve"> : bit (4) &gt; </w:t>
            </w:r>
          </w:p>
          <w:p w14:paraId="6B7BAD8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w:t>
            </w:r>
            <w:r w:rsidRPr="004D0DAA">
              <w:rPr>
                <w:lang w:val="sv-SE" w:eastAsia="en-US"/>
              </w:rPr>
              <w:t> : bit (1) &gt; }</w:t>
            </w:r>
          </w:p>
          <w:p w14:paraId="02BDF40F" w14:textId="77777777" w:rsidR="00711444" w:rsidRPr="004D0DAA" w:rsidRDefault="00711444" w:rsidP="00AA2A4C">
            <w:pPr>
              <w:pStyle w:val="TAL"/>
              <w:rPr>
                <w:lang w:eastAsia="en-US"/>
              </w:rPr>
            </w:pPr>
            <w:r w:rsidRPr="004D0DAA">
              <w:rPr>
                <w:lang w:val="sv-SE" w:eastAsia="en-US"/>
              </w:rPr>
              <w:tab/>
            </w:r>
            <w:r w:rsidRPr="004D0DAA">
              <w:rPr>
                <w:lang w:eastAsia="en-US"/>
              </w:rPr>
              <w:t xml:space="preserve">&lt; </w:t>
            </w:r>
            <w:r w:rsidRPr="004D0DAA">
              <w:rPr>
                <w:b/>
                <w:lang w:eastAsia="en-US"/>
              </w:rPr>
              <w:t>USF_GRANULARITY</w:t>
            </w:r>
            <w:r w:rsidRPr="004D0DAA">
              <w:rPr>
                <w:lang w:eastAsia="en-US"/>
              </w:rPr>
              <w:t xml:space="preserve"> : bit (1) &gt;</w:t>
            </w:r>
          </w:p>
          <w:p w14:paraId="4C48A46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UPLINK_TFI_ASSIGNMENT</w:t>
            </w:r>
            <w:r w:rsidRPr="004D0DAA">
              <w:rPr>
                <w:lang w:eastAsia="en-US"/>
              </w:rPr>
              <w:t xml:space="preserve"> : bit (5) &gt; }</w:t>
            </w:r>
          </w:p>
          <w:p w14:paraId="19D83C7F" w14:textId="77777777" w:rsidR="00711444" w:rsidRPr="004D0DAA" w:rsidRDefault="00711444" w:rsidP="00AA2A4C">
            <w:pPr>
              <w:pStyle w:val="TAL"/>
              <w:rPr>
                <w:i/>
                <w:lang w:eastAsia="en-US"/>
              </w:rPr>
            </w:pPr>
            <w:r w:rsidRPr="004D0DAA">
              <w:rPr>
                <w:i/>
                <w:lang w:eastAsia="en-US"/>
              </w:rPr>
              <w:tab/>
            </w:r>
            <w:r w:rsidRPr="004D0DAA">
              <w:rPr>
                <w:lang w:eastAsia="en-US"/>
              </w:rPr>
              <w:t>0</w:t>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The value '1' was allocated in an earlier version of the protocol and shall not be used.</w:t>
            </w:r>
          </w:p>
          <w:p w14:paraId="1795914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TBF Starting Time </w:t>
            </w:r>
            <w:r w:rsidRPr="004D0DAA">
              <w:rPr>
                <w:lang w:eastAsia="en-US"/>
              </w:rPr>
              <w:t>: &lt; Starting Frame Number Description IE &gt; &gt; }</w:t>
            </w:r>
          </w:p>
          <w:p w14:paraId="5FF33306"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Timeslot Allocation</w:t>
            </w:r>
          </w:p>
          <w:p w14:paraId="0FF94C0B"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USF_TN0 </w:t>
            </w:r>
            <w:r w:rsidRPr="004D0DAA">
              <w:rPr>
                <w:lang w:eastAsia="en-US"/>
              </w:rPr>
              <w:t>: bit (3) &gt; }</w:t>
            </w:r>
          </w:p>
          <w:p w14:paraId="69E6F3D2"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USF_TN1 </w:t>
            </w:r>
            <w:r w:rsidRPr="004D0DAA">
              <w:rPr>
                <w:lang w:eastAsia="en-US"/>
              </w:rPr>
              <w:t>: bit (3) &gt; }</w:t>
            </w:r>
          </w:p>
          <w:p w14:paraId="5C24B779"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USF_TN2 </w:t>
            </w:r>
            <w:r w:rsidRPr="004D0DAA">
              <w:rPr>
                <w:lang w:eastAsia="en-US"/>
              </w:rPr>
              <w:t>: bit (3) &gt; }</w:t>
            </w:r>
          </w:p>
          <w:p w14:paraId="079F8449"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USF_TN3 </w:t>
            </w:r>
            <w:r w:rsidRPr="004D0DAA">
              <w:rPr>
                <w:lang w:eastAsia="en-US"/>
              </w:rPr>
              <w:t>: bit (3) &gt; }</w:t>
            </w:r>
          </w:p>
          <w:p w14:paraId="0DA2AA82"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USF_TN4 </w:t>
            </w:r>
            <w:r w:rsidRPr="004D0DAA">
              <w:rPr>
                <w:lang w:eastAsia="en-US"/>
              </w:rPr>
              <w:t>: bit (3) &gt; }</w:t>
            </w:r>
          </w:p>
          <w:p w14:paraId="3473E35E"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USF_TN5 </w:t>
            </w:r>
            <w:r w:rsidRPr="004D0DAA">
              <w:rPr>
                <w:lang w:eastAsia="en-US"/>
              </w:rPr>
              <w:t>: bit (3) &gt; }</w:t>
            </w:r>
          </w:p>
          <w:p w14:paraId="5CE65215"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USF_TN6 </w:t>
            </w:r>
            <w:r w:rsidRPr="004D0DAA">
              <w:rPr>
                <w:lang w:eastAsia="en-US"/>
              </w:rPr>
              <w:t>: bit (3) &gt; }</w:t>
            </w:r>
          </w:p>
          <w:p w14:paraId="0AE7CDAB"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USF_TN7 </w:t>
            </w:r>
            <w:r w:rsidRPr="004D0DAA">
              <w:rPr>
                <w:lang w:eastAsia="en-US"/>
              </w:rPr>
              <w:t>: bit (3) &gt; }</w:t>
            </w:r>
          </w:p>
          <w:p w14:paraId="79C9CB05"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Timeslot Allocation with Power Control Parameters</w:t>
            </w:r>
          </w:p>
          <w:p w14:paraId="4D7E7DF8" w14:textId="77777777" w:rsidR="00711444" w:rsidRPr="004D0DAA" w:rsidRDefault="00711444" w:rsidP="00AA2A4C">
            <w:pPr>
              <w:pStyle w:val="TAL"/>
              <w:rPr>
                <w:lang w:val="sv-SE" w:eastAsia="en-US"/>
              </w:rPr>
            </w:pPr>
            <w:r w:rsidRPr="004D0DAA">
              <w:rPr>
                <w:lang w:eastAsia="en-US"/>
              </w:rPr>
              <w:tab/>
            </w:r>
            <w:r w:rsidRPr="004D0DAA">
              <w:rPr>
                <w:lang w:eastAsia="en-US"/>
              </w:rPr>
              <w:tab/>
            </w:r>
            <w:r w:rsidRPr="004D0DAA">
              <w:rPr>
                <w:lang w:val="sv-SE" w:eastAsia="en-US"/>
              </w:rPr>
              <w:t xml:space="preserve">&lt; </w:t>
            </w:r>
            <w:r w:rsidRPr="004D0DAA">
              <w:rPr>
                <w:b/>
                <w:lang w:val="sv-SE" w:eastAsia="en-US"/>
              </w:rPr>
              <w:t xml:space="preserve">ALPHA </w:t>
            </w:r>
            <w:r w:rsidRPr="004D0DAA">
              <w:rPr>
                <w:lang w:val="sv-SE" w:eastAsia="en-US"/>
              </w:rPr>
              <w:t>: bit (4) &gt;</w:t>
            </w:r>
          </w:p>
          <w:p w14:paraId="08B37661"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USF_TN0 </w:t>
            </w:r>
            <w:r w:rsidRPr="004D0DAA">
              <w:rPr>
                <w:lang w:val="sv-SE" w:eastAsia="en-US"/>
              </w:rPr>
              <w:t>: bit (3) &gt;</w:t>
            </w:r>
          </w:p>
          <w:p w14:paraId="67D10E33"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GAMMA_TN0 </w:t>
            </w:r>
            <w:r w:rsidRPr="004D0DAA">
              <w:rPr>
                <w:lang w:val="sv-SE" w:eastAsia="en-US"/>
              </w:rPr>
              <w:t>: bit (5) &gt; }</w:t>
            </w:r>
          </w:p>
          <w:p w14:paraId="5A1AA5C0"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USF_TN1 </w:t>
            </w:r>
            <w:r w:rsidRPr="004D0DAA">
              <w:rPr>
                <w:lang w:val="sv-SE" w:eastAsia="en-US"/>
              </w:rPr>
              <w:t>: bit (3) &gt;</w:t>
            </w:r>
          </w:p>
          <w:p w14:paraId="4B558DD1"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GAMMA_TN1 </w:t>
            </w:r>
            <w:r w:rsidRPr="004D0DAA">
              <w:rPr>
                <w:lang w:val="sv-SE" w:eastAsia="en-US"/>
              </w:rPr>
              <w:t>: bit (5) &gt; }</w:t>
            </w:r>
          </w:p>
          <w:p w14:paraId="2C2E6750"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USF_TN2 </w:t>
            </w:r>
            <w:r w:rsidRPr="004D0DAA">
              <w:rPr>
                <w:lang w:val="sv-SE" w:eastAsia="en-US"/>
              </w:rPr>
              <w:t>: bit (3) &gt;</w:t>
            </w:r>
          </w:p>
          <w:p w14:paraId="0B3E407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GAMMA_TN2 </w:t>
            </w:r>
            <w:r w:rsidRPr="004D0DAA">
              <w:rPr>
                <w:lang w:val="sv-SE" w:eastAsia="en-US"/>
              </w:rPr>
              <w:t>: bit (5) &gt; }</w:t>
            </w:r>
          </w:p>
          <w:p w14:paraId="6E3C6F0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USF_TN3 </w:t>
            </w:r>
            <w:r w:rsidRPr="004D0DAA">
              <w:rPr>
                <w:lang w:val="sv-SE" w:eastAsia="en-US"/>
              </w:rPr>
              <w:t>: bit (3) &gt;</w:t>
            </w:r>
          </w:p>
          <w:p w14:paraId="1F7CFA53"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GAMMA_TN3 </w:t>
            </w:r>
            <w:r w:rsidRPr="004D0DAA">
              <w:rPr>
                <w:lang w:val="sv-SE" w:eastAsia="en-US"/>
              </w:rPr>
              <w:t>: bit (5) &gt; }</w:t>
            </w:r>
          </w:p>
          <w:p w14:paraId="189C0969"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USF_TN4 </w:t>
            </w:r>
            <w:r w:rsidRPr="004D0DAA">
              <w:rPr>
                <w:lang w:val="sv-SE" w:eastAsia="en-US"/>
              </w:rPr>
              <w:t>: bit (3) &gt;</w:t>
            </w:r>
          </w:p>
          <w:p w14:paraId="3521D105"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GAMMA_TN4 </w:t>
            </w:r>
            <w:r w:rsidRPr="004D0DAA">
              <w:rPr>
                <w:lang w:val="sv-SE" w:eastAsia="en-US"/>
              </w:rPr>
              <w:t>: bit (5) &gt; }</w:t>
            </w:r>
          </w:p>
          <w:p w14:paraId="6D5C786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USF_TN5 </w:t>
            </w:r>
            <w:r w:rsidRPr="004D0DAA">
              <w:rPr>
                <w:lang w:val="sv-SE" w:eastAsia="en-US"/>
              </w:rPr>
              <w:t>: bit (3) &gt;</w:t>
            </w:r>
          </w:p>
          <w:p w14:paraId="0F848547"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GAMMA_TN5 </w:t>
            </w:r>
            <w:r w:rsidRPr="004D0DAA">
              <w:rPr>
                <w:lang w:val="sv-SE" w:eastAsia="en-US"/>
              </w:rPr>
              <w:t>: bit (5) &gt; }</w:t>
            </w:r>
          </w:p>
          <w:p w14:paraId="69F9B78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USF_TN6 </w:t>
            </w:r>
            <w:r w:rsidRPr="004D0DAA">
              <w:rPr>
                <w:lang w:val="sv-SE" w:eastAsia="en-US"/>
              </w:rPr>
              <w:t>: bit (3) &gt;</w:t>
            </w:r>
          </w:p>
          <w:p w14:paraId="2C03965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GAMMA_TN6 </w:t>
            </w:r>
            <w:r w:rsidRPr="004D0DAA">
              <w:rPr>
                <w:lang w:val="sv-SE" w:eastAsia="en-US"/>
              </w:rPr>
              <w:t>: bit (5) &gt; }</w:t>
            </w:r>
          </w:p>
          <w:p w14:paraId="20ABFDBF"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USF_TN7 </w:t>
            </w:r>
            <w:r w:rsidRPr="004D0DAA">
              <w:rPr>
                <w:lang w:val="sv-SE" w:eastAsia="en-US"/>
              </w:rPr>
              <w:t>: bit (3) &gt;</w:t>
            </w:r>
          </w:p>
          <w:p w14:paraId="01325651"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GAMMA_TN7 </w:t>
            </w:r>
            <w:r w:rsidRPr="004D0DAA">
              <w:rPr>
                <w:lang w:val="sv-SE" w:eastAsia="en-US"/>
              </w:rPr>
              <w:t>: bit (5) &gt; } } ;</w:t>
            </w:r>
          </w:p>
          <w:p w14:paraId="0326114F" w14:textId="77777777" w:rsidR="00711444" w:rsidRPr="004D0DAA" w:rsidRDefault="00711444" w:rsidP="00AA2A4C">
            <w:pPr>
              <w:pStyle w:val="TAL"/>
              <w:rPr>
                <w:lang w:val="sv-SE" w:eastAsia="en-US"/>
              </w:rPr>
            </w:pPr>
          </w:p>
        </w:tc>
      </w:tr>
      <w:tr w:rsidR="00711444" w:rsidRPr="004D0DAA" w14:paraId="245F4874" w14:textId="77777777" w:rsidTr="00AA2A4C">
        <w:tblPrEx>
          <w:tblCellMar>
            <w:top w:w="0" w:type="dxa"/>
            <w:bottom w:w="0" w:type="dxa"/>
          </w:tblCellMar>
        </w:tblPrEx>
        <w:trPr>
          <w:cantSplit/>
        </w:trPr>
        <w:tc>
          <w:tcPr>
            <w:tcW w:w="9848" w:type="dxa"/>
          </w:tcPr>
          <w:p w14:paraId="5A4EB1FE" w14:textId="77777777" w:rsidR="00711444" w:rsidRPr="004D0DAA" w:rsidRDefault="00711444" w:rsidP="00AA2A4C">
            <w:pPr>
              <w:pStyle w:val="TAL"/>
              <w:rPr>
                <w:lang w:eastAsia="en-US"/>
              </w:rPr>
            </w:pPr>
            <w:r w:rsidRPr="004D0DAA">
              <w:rPr>
                <w:lang w:eastAsia="en-US"/>
              </w:rPr>
              <w:t>&lt;Single Block Allocation struct &gt; ::=</w:t>
            </w:r>
          </w:p>
          <w:p w14:paraId="180F379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TIMESLOT_NUMBER </w:t>
            </w:r>
            <w:r w:rsidRPr="004D0DAA">
              <w:rPr>
                <w:lang w:eastAsia="en-US"/>
              </w:rPr>
              <w:t xml:space="preserve">: bit (3) &gt; </w:t>
            </w:r>
          </w:p>
          <w:p w14:paraId="1AD3646F" w14:textId="77777777" w:rsidR="00711444" w:rsidRPr="004D0DAA" w:rsidRDefault="00711444" w:rsidP="00AA2A4C">
            <w:pPr>
              <w:pStyle w:val="TAL"/>
              <w:rPr>
                <w:lang w:val="sv-SE" w:eastAsia="en-US"/>
              </w:rPr>
            </w:pPr>
            <w:r w:rsidRPr="004D0DAA">
              <w:rPr>
                <w:lang w:eastAsia="en-US"/>
              </w:rPr>
              <w:tab/>
            </w:r>
            <w:r w:rsidRPr="004D0DAA">
              <w:rPr>
                <w:lang w:val="sv-SE" w:eastAsia="en-US"/>
              </w:rPr>
              <w:t>{ 0 | 1</w:t>
            </w:r>
            <w:r w:rsidRPr="004D0DAA">
              <w:rPr>
                <w:lang w:val="sv-SE" w:eastAsia="en-US"/>
              </w:rPr>
              <w:tab/>
              <w:t xml:space="preserve">&lt; </w:t>
            </w:r>
            <w:r w:rsidRPr="004D0DAA">
              <w:rPr>
                <w:b/>
                <w:lang w:val="sv-SE" w:eastAsia="en-US"/>
              </w:rPr>
              <w:t xml:space="preserve">ALPHA </w:t>
            </w:r>
            <w:r w:rsidRPr="004D0DAA">
              <w:rPr>
                <w:lang w:val="sv-SE" w:eastAsia="en-US"/>
              </w:rPr>
              <w:t>: bit (4) &gt;</w:t>
            </w:r>
          </w:p>
          <w:p w14:paraId="3AC0B6F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 </w:t>
            </w:r>
            <w:r w:rsidRPr="004D0DAA">
              <w:rPr>
                <w:lang w:val="sv-SE" w:eastAsia="en-US"/>
              </w:rPr>
              <w:t>: bit (5) &gt;}</w:t>
            </w:r>
          </w:p>
          <w:p w14:paraId="0E38D863" w14:textId="77777777" w:rsidR="00711444" w:rsidRPr="004D0DAA" w:rsidRDefault="00711444" w:rsidP="00AA2A4C">
            <w:pPr>
              <w:pStyle w:val="TAL"/>
              <w:rPr>
                <w:lang w:eastAsia="en-US"/>
              </w:rPr>
            </w:pPr>
            <w:r w:rsidRPr="004D0DAA">
              <w:rPr>
                <w:lang w:val="sv-SE" w:eastAsia="en-US"/>
              </w:rPr>
              <w:tab/>
            </w:r>
            <w:r w:rsidRPr="004D0DAA">
              <w:rPr>
                <w:lang w:eastAsia="en-US"/>
              </w:rPr>
              <w:t>{ 0 | 1</w:t>
            </w:r>
            <w:r w:rsidRPr="004D0DAA">
              <w:rPr>
                <w:lang w:eastAsia="en-US"/>
              </w:rPr>
              <w:tab/>
              <w:t xml:space="preserve">&lt; </w:t>
            </w:r>
            <w:r w:rsidRPr="004D0DAA">
              <w:rPr>
                <w:b/>
                <w:lang w:eastAsia="en-US"/>
              </w:rPr>
              <w:t>P0</w:t>
            </w:r>
            <w:r w:rsidRPr="004D0DAA">
              <w:rPr>
                <w:lang w:eastAsia="en-US"/>
              </w:rPr>
              <w:t> : bit (4) &gt;</w:t>
            </w:r>
          </w:p>
          <w:p w14:paraId="35D2049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5506D8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PR_MODE</w:t>
            </w:r>
            <w:r w:rsidRPr="004D0DAA">
              <w:rPr>
                <w:lang w:eastAsia="en-US"/>
              </w:rPr>
              <w:t> : bit (1) &gt; }</w:t>
            </w:r>
          </w:p>
          <w:p w14:paraId="02A47B0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TBF Starting Time </w:t>
            </w:r>
            <w:r w:rsidRPr="004D0DAA">
              <w:rPr>
                <w:lang w:eastAsia="en-US"/>
              </w:rPr>
              <w:t>: &lt; Starting Frame Number Description IE &gt; &gt; ;</w:t>
            </w:r>
          </w:p>
          <w:p w14:paraId="7B0FB352" w14:textId="77777777" w:rsidR="00711444" w:rsidRPr="004D0DAA" w:rsidRDefault="00711444" w:rsidP="00AA2A4C">
            <w:pPr>
              <w:pStyle w:val="TAL"/>
              <w:rPr>
                <w:lang w:eastAsia="en-US"/>
              </w:rPr>
            </w:pPr>
          </w:p>
        </w:tc>
      </w:tr>
      <w:tr w:rsidR="00711444" w:rsidRPr="004D0DAA" w14:paraId="329CD4AF" w14:textId="77777777" w:rsidTr="00AA2A4C">
        <w:tblPrEx>
          <w:tblCellMar>
            <w:top w:w="0" w:type="dxa"/>
            <w:bottom w:w="0" w:type="dxa"/>
          </w:tblCellMar>
        </w:tblPrEx>
        <w:trPr>
          <w:cantSplit/>
        </w:trPr>
        <w:tc>
          <w:tcPr>
            <w:tcW w:w="9848" w:type="dxa"/>
          </w:tcPr>
          <w:p w14:paraId="766B57B0" w14:textId="77777777" w:rsidR="00711444" w:rsidRPr="004D0DAA" w:rsidRDefault="00711444" w:rsidP="00AA2A4C">
            <w:pPr>
              <w:pStyle w:val="TAL"/>
              <w:rPr>
                <w:lang w:eastAsia="en-US"/>
              </w:rPr>
            </w:pPr>
            <w:r w:rsidRPr="004D0DAA">
              <w:rPr>
                <w:lang w:eastAsia="en-US"/>
              </w:rPr>
              <w:t>&lt; Multi Block Allocation struct &gt; ::=</w:t>
            </w:r>
          </w:p>
          <w:p w14:paraId="0F0FFB1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TIMESLOT_NUMBER </w:t>
            </w:r>
            <w:r w:rsidRPr="004D0DAA">
              <w:rPr>
                <w:lang w:eastAsia="en-US"/>
              </w:rPr>
              <w:t>: bit (3) &gt;</w:t>
            </w:r>
          </w:p>
          <w:p w14:paraId="731F8607" w14:textId="77777777" w:rsidR="00711444" w:rsidRPr="004D0DAA" w:rsidRDefault="00711444" w:rsidP="00AA2A4C">
            <w:pPr>
              <w:pStyle w:val="TAL"/>
              <w:rPr>
                <w:lang w:val="sv-SE" w:eastAsia="en-US"/>
              </w:rPr>
            </w:pPr>
            <w:r w:rsidRPr="004D0DAA">
              <w:rPr>
                <w:lang w:eastAsia="en-US"/>
              </w:rPr>
              <w:tab/>
            </w:r>
            <w:r w:rsidRPr="004D0DAA">
              <w:rPr>
                <w:lang w:val="sv-SE" w:eastAsia="en-US"/>
              </w:rPr>
              <w:t>{ 0 | 1</w:t>
            </w:r>
            <w:r w:rsidRPr="004D0DAA">
              <w:rPr>
                <w:lang w:val="sv-SE" w:eastAsia="en-US"/>
              </w:rPr>
              <w:tab/>
              <w:t xml:space="preserve">&lt; </w:t>
            </w:r>
            <w:r w:rsidRPr="004D0DAA">
              <w:rPr>
                <w:b/>
                <w:lang w:val="sv-SE" w:eastAsia="en-US"/>
              </w:rPr>
              <w:t xml:space="preserve">ALPHA </w:t>
            </w:r>
            <w:r w:rsidRPr="004D0DAA">
              <w:rPr>
                <w:lang w:val="sv-SE" w:eastAsia="en-US"/>
              </w:rPr>
              <w:t>:</w:t>
            </w:r>
            <w:r w:rsidRPr="004D0DAA">
              <w:rPr>
                <w:b/>
                <w:lang w:val="sv-SE" w:eastAsia="en-US"/>
              </w:rPr>
              <w:t xml:space="preserve"> </w:t>
            </w:r>
            <w:r w:rsidRPr="004D0DAA">
              <w:rPr>
                <w:lang w:val="sv-SE" w:eastAsia="en-US"/>
              </w:rPr>
              <w:t>bit (4) &gt;</w:t>
            </w:r>
          </w:p>
          <w:p w14:paraId="1B65A5FE"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 </w:t>
            </w:r>
            <w:r w:rsidRPr="004D0DAA">
              <w:rPr>
                <w:lang w:val="sv-SE" w:eastAsia="en-US"/>
              </w:rPr>
              <w:t>:</w:t>
            </w:r>
            <w:r w:rsidRPr="004D0DAA">
              <w:rPr>
                <w:b/>
                <w:lang w:val="sv-SE" w:eastAsia="en-US"/>
              </w:rPr>
              <w:t xml:space="preserve"> </w:t>
            </w:r>
            <w:r w:rsidRPr="004D0DAA">
              <w:rPr>
                <w:lang w:val="sv-SE" w:eastAsia="en-US"/>
              </w:rPr>
              <w:t>bit (5) &gt;}</w:t>
            </w:r>
          </w:p>
          <w:p w14:paraId="259DC709" w14:textId="77777777" w:rsidR="00711444" w:rsidRPr="004D0DAA" w:rsidRDefault="00711444" w:rsidP="00AA2A4C">
            <w:pPr>
              <w:pStyle w:val="TAL"/>
              <w:rPr>
                <w:lang w:eastAsia="en-US"/>
              </w:rPr>
            </w:pPr>
            <w:r w:rsidRPr="004D0DAA">
              <w:rPr>
                <w:lang w:val="sv-SE" w:eastAsia="en-US"/>
              </w:rPr>
              <w:tab/>
            </w:r>
            <w:r w:rsidRPr="004D0DAA">
              <w:rPr>
                <w:lang w:eastAsia="en-US"/>
              </w:rPr>
              <w:t>{ 0 | 1</w:t>
            </w:r>
            <w:r w:rsidRPr="004D0DAA">
              <w:rPr>
                <w:lang w:eastAsia="en-US"/>
              </w:rPr>
              <w:tab/>
              <w:t xml:space="preserve">&lt; </w:t>
            </w:r>
            <w:r w:rsidRPr="004D0DAA">
              <w:rPr>
                <w:b/>
                <w:lang w:eastAsia="en-US"/>
              </w:rPr>
              <w:t>P0</w:t>
            </w:r>
            <w:r w:rsidRPr="004D0DAA">
              <w:rPr>
                <w:lang w:eastAsia="en-US"/>
              </w:rPr>
              <w:t> : bit (4) &gt;</w:t>
            </w:r>
          </w:p>
          <w:p w14:paraId="30E95BDE"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037624F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PR_MODE</w:t>
            </w:r>
            <w:r w:rsidRPr="004D0DAA">
              <w:rPr>
                <w:lang w:eastAsia="en-US"/>
              </w:rPr>
              <w:t xml:space="preserve"> : bit (1) &gt; }</w:t>
            </w:r>
          </w:p>
          <w:p w14:paraId="667434D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TBF Starting Time </w:t>
            </w:r>
            <w:r w:rsidRPr="004D0DAA">
              <w:rPr>
                <w:lang w:eastAsia="en-US"/>
              </w:rPr>
              <w:t>: &lt; Starting Frame Number Description IE &gt; &gt;</w:t>
            </w:r>
          </w:p>
          <w:p w14:paraId="131B657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NUMBER OF RADIO BLOCKS</w:t>
            </w:r>
            <w:r w:rsidRPr="004D0DAA">
              <w:rPr>
                <w:lang w:eastAsia="en-US"/>
              </w:rPr>
              <w:t xml:space="preserve"> </w:t>
            </w:r>
            <w:r w:rsidRPr="004D0DAA">
              <w:rPr>
                <w:b/>
                <w:lang w:eastAsia="en-US"/>
              </w:rPr>
              <w:t>ALLOCATED</w:t>
            </w:r>
            <w:r w:rsidRPr="004D0DAA">
              <w:rPr>
                <w:lang w:eastAsia="en-US"/>
              </w:rPr>
              <w:t>: bit (2) &gt; ;</w:t>
            </w:r>
          </w:p>
          <w:p w14:paraId="1D110FEE" w14:textId="77777777" w:rsidR="00711444" w:rsidRPr="004D0DAA" w:rsidRDefault="00711444" w:rsidP="00AA2A4C">
            <w:pPr>
              <w:pStyle w:val="TAL"/>
              <w:rPr>
                <w:lang w:eastAsia="en-US"/>
              </w:rPr>
            </w:pPr>
          </w:p>
        </w:tc>
      </w:tr>
      <w:tr w:rsidR="00711444" w:rsidRPr="004D0DAA" w14:paraId="79187454" w14:textId="77777777" w:rsidTr="00AA2A4C">
        <w:tblPrEx>
          <w:tblCellMar>
            <w:top w:w="0" w:type="dxa"/>
            <w:bottom w:w="0" w:type="dxa"/>
          </w:tblCellMar>
        </w:tblPrEx>
        <w:trPr>
          <w:cantSplit/>
        </w:trPr>
        <w:tc>
          <w:tcPr>
            <w:tcW w:w="9848" w:type="dxa"/>
          </w:tcPr>
          <w:p w14:paraId="45981265" w14:textId="77777777" w:rsidR="00711444" w:rsidRPr="004D0DAA" w:rsidRDefault="00711444" w:rsidP="00AA2A4C">
            <w:pPr>
              <w:pStyle w:val="TAL"/>
              <w:rPr>
                <w:lang w:eastAsia="en-US"/>
              </w:rPr>
            </w:pPr>
            <w:r w:rsidRPr="004D0DAA">
              <w:rPr>
                <w:lang w:eastAsia="en-US"/>
              </w:rPr>
              <w:t xml:space="preserve">&lt; Access Technologies Request struct &gt; ::= -- </w:t>
            </w:r>
            <w:r w:rsidRPr="004D0DAA">
              <w:rPr>
                <w:i/>
                <w:lang w:eastAsia="en-US"/>
              </w:rPr>
              <w:t>recursive structure allows any combination of Access technologies</w:t>
            </w:r>
          </w:p>
          <w:p w14:paraId="760677D7" w14:textId="77777777" w:rsidR="00711444" w:rsidRPr="004D0DAA" w:rsidRDefault="00711444" w:rsidP="00AA2A4C">
            <w:pPr>
              <w:pStyle w:val="TAL"/>
              <w:rPr>
                <w:lang w:eastAsia="en-US"/>
              </w:rPr>
            </w:pPr>
            <w:r w:rsidRPr="004D0DAA">
              <w:rPr>
                <w:lang w:eastAsia="en-US"/>
              </w:rPr>
              <w:tab/>
              <w:t>&lt;</w:t>
            </w:r>
            <w:r w:rsidRPr="004D0DAA">
              <w:rPr>
                <w:b/>
                <w:lang w:eastAsia="en-US"/>
              </w:rPr>
              <w:t>Access Technology Type</w:t>
            </w:r>
            <w:r w:rsidRPr="004D0DAA">
              <w:rPr>
                <w:lang w:eastAsia="en-US"/>
              </w:rPr>
              <w:t xml:space="preserve"> : bit (4) &gt;</w:t>
            </w:r>
          </w:p>
          <w:p w14:paraId="71307A6C" w14:textId="77777777" w:rsidR="00711444" w:rsidRPr="004D0DAA" w:rsidRDefault="00711444" w:rsidP="00AA2A4C">
            <w:pPr>
              <w:pStyle w:val="TAL"/>
              <w:rPr>
                <w:lang w:eastAsia="en-US"/>
              </w:rPr>
            </w:pPr>
            <w:r w:rsidRPr="004D0DAA">
              <w:rPr>
                <w:lang w:eastAsia="en-US"/>
              </w:rPr>
              <w:tab/>
              <w:t>{ 0 | 1 &lt; Access Technologies Request struct &gt; } ;</w:t>
            </w:r>
          </w:p>
          <w:p w14:paraId="6BD5833C" w14:textId="77777777" w:rsidR="00711444" w:rsidRPr="004D0DAA" w:rsidRDefault="00711444" w:rsidP="00AA2A4C">
            <w:pPr>
              <w:pStyle w:val="TAL"/>
              <w:rPr>
                <w:lang w:eastAsia="en-US"/>
              </w:rPr>
            </w:pPr>
          </w:p>
        </w:tc>
      </w:tr>
      <w:tr w:rsidR="00711444" w:rsidRPr="004D0DAA" w14:paraId="0852DA1D" w14:textId="77777777" w:rsidTr="00AA2A4C">
        <w:tblPrEx>
          <w:tblCellMar>
            <w:top w:w="0" w:type="dxa"/>
            <w:bottom w:w="0" w:type="dxa"/>
          </w:tblCellMar>
        </w:tblPrEx>
        <w:trPr>
          <w:cantSplit/>
        </w:trPr>
        <w:tc>
          <w:tcPr>
            <w:tcW w:w="9848" w:type="dxa"/>
          </w:tcPr>
          <w:p w14:paraId="3A33AB22" w14:textId="77777777" w:rsidR="00711444" w:rsidRPr="004D0DAA" w:rsidRDefault="00711444" w:rsidP="00AA2A4C">
            <w:pPr>
              <w:pStyle w:val="TAL"/>
              <w:rPr>
                <w:lang w:eastAsia="en-US"/>
              </w:rPr>
            </w:pPr>
            <w:r w:rsidRPr="004D0DAA">
              <w:rPr>
                <w:lang w:eastAsia="en-US"/>
              </w:rPr>
              <w:lastRenderedPageBreak/>
              <w:t>&lt;  Assignment Info struct &gt; ::=</w:t>
            </w:r>
          </w:p>
          <w:p w14:paraId="6B39117D" w14:textId="77777777" w:rsidR="00711444" w:rsidRPr="004D0DAA" w:rsidRDefault="00711444" w:rsidP="00AA2A4C">
            <w:pPr>
              <w:pStyle w:val="TAL"/>
              <w:rPr>
                <w:lang w:eastAsia="en-US"/>
              </w:rPr>
            </w:pPr>
            <w:r w:rsidRPr="004D0DAA">
              <w:rPr>
                <w:lang w:eastAsia="en-US"/>
              </w:rPr>
              <w:tab/>
              <w:t xml:space="preserve">&lt; </w:t>
            </w:r>
            <w:r w:rsidRPr="004D0DAA">
              <w:rPr>
                <w:b/>
                <w:caps/>
                <w:szCs w:val="18"/>
                <w:lang w:eastAsia="en-US"/>
              </w:rPr>
              <w:t>Assignment Type</w:t>
            </w:r>
            <w:r w:rsidRPr="004D0DAA">
              <w:rPr>
                <w:lang w:eastAsia="en-US"/>
              </w:rPr>
              <w:t xml:space="preserve"> : bit (2) &gt;</w:t>
            </w:r>
          </w:p>
          <w:p w14:paraId="0760D5F6" w14:textId="77777777" w:rsidR="00711444" w:rsidRPr="004D0DAA" w:rsidRDefault="00711444" w:rsidP="00AA2A4C">
            <w:pPr>
              <w:pStyle w:val="TAL"/>
              <w:rPr>
                <w:lang w:eastAsia="en-US"/>
              </w:rPr>
            </w:pPr>
            <w:r w:rsidRPr="004D0DAA">
              <w:rPr>
                <w:lang w:eastAsia="en-US"/>
              </w:rPr>
              <w:tab/>
            </w:r>
            <w:r w:rsidRPr="004D0DAA">
              <w:rPr>
                <w:caps/>
                <w:szCs w:val="18"/>
                <w:lang w:eastAsia="en-US"/>
              </w:rPr>
              <w:t>&lt;</w:t>
            </w:r>
            <w:r w:rsidRPr="004D0DAA">
              <w:rPr>
                <w:b/>
                <w:caps/>
                <w:szCs w:val="18"/>
                <w:lang w:eastAsia="en-US"/>
              </w:rPr>
              <w:t xml:space="preserve"> </w:t>
            </w:r>
            <w:r w:rsidRPr="004D0DAA">
              <w:rPr>
                <w:b/>
                <w:szCs w:val="18"/>
                <w:lang w:eastAsia="en-US"/>
              </w:rPr>
              <w:t>Carrier ID</w:t>
            </w:r>
            <w:r w:rsidRPr="004D0DAA">
              <w:rPr>
                <w:lang w:eastAsia="en-US"/>
              </w:rPr>
              <w:t xml:space="preserve"> : bit (1) &gt;;</w:t>
            </w:r>
          </w:p>
          <w:p w14:paraId="28FCE110" w14:textId="77777777" w:rsidR="00711444" w:rsidRPr="004D0DAA" w:rsidRDefault="00711444" w:rsidP="00AA2A4C">
            <w:pPr>
              <w:pStyle w:val="TAL"/>
              <w:rPr>
                <w:lang w:eastAsia="en-US"/>
              </w:rPr>
            </w:pPr>
          </w:p>
        </w:tc>
      </w:tr>
      <w:tr w:rsidR="00711444" w:rsidRPr="004D0DAA" w14:paraId="0F7E702A" w14:textId="77777777" w:rsidTr="00AA2A4C">
        <w:tblPrEx>
          <w:tblCellMar>
            <w:top w:w="0" w:type="dxa"/>
            <w:bottom w:w="0" w:type="dxa"/>
          </w:tblCellMar>
        </w:tblPrEx>
        <w:trPr>
          <w:cantSplit/>
        </w:trPr>
        <w:tc>
          <w:tcPr>
            <w:tcW w:w="9848" w:type="dxa"/>
          </w:tcPr>
          <w:p w14:paraId="6D863FF5" w14:textId="77777777" w:rsidR="00711444" w:rsidRPr="004D0DAA" w:rsidRDefault="00711444" w:rsidP="00AA2A4C">
            <w:pPr>
              <w:pStyle w:val="TAL"/>
              <w:rPr>
                <w:lang w:eastAsia="en-US"/>
              </w:rPr>
            </w:pPr>
            <w:r w:rsidRPr="004D0DAA">
              <w:rPr>
                <w:lang w:eastAsia="en-US"/>
              </w:rPr>
              <w:t xml:space="preserve">&lt; Dynamic Allocation 2 struct &gt; ::= </w:t>
            </w:r>
          </w:p>
          <w:p w14:paraId="5250876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EXTENDED_DYNAMIC_ALLOCATION</w:t>
            </w:r>
            <w:r w:rsidRPr="004D0DAA">
              <w:rPr>
                <w:lang w:eastAsia="en-US"/>
              </w:rPr>
              <w:t xml:space="preserve"> : bit (1) &gt;</w:t>
            </w:r>
          </w:p>
          <w:p w14:paraId="76673562" w14:textId="77777777" w:rsidR="00711444" w:rsidRPr="004D0DAA" w:rsidRDefault="00711444" w:rsidP="00AA2A4C">
            <w:pPr>
              <w:pStyle w:val="TAL"/>
              <w:rPr>
                <w:lang w:val="sv-SE" w:eastAsia="en-US"/>
              </w:rPr>
            </w:pPr>
            <w:r w:rsidRPr="004D0DAA">
              <w:rPr>
                <w:lang w:eastAsia="en-US"/>
              </w:rPr>
              <w:tab/>
            </w:r>
            <w:r w:rsidRPr="004D0DAA">
              <w:rPr>
                <w:lang w:val="sv-SE" w:eastAsia="en-US"/>
              </w:rPr>
              <w:t>{ 0 | 1</w:t>
            </w:r>
            <w:r w:rsidRPr="004D0DAA">
              <w:rPr>
                <w:lang w:val="sv-SE" w:eastAsia="en-US"/>
              </w:rPr>
              <w:tab/>
              <w:t xml:space="preserve">&lt; </w:t>
            </w:r>
            <w:r w:rsidRPr="004D0DAA">
              <w:rPr>
                <w:b/>
                <w:lang w:val="sv-SE" w:eastAsia="en-US"/>
              </w:rPr>
              <w:t>P0_C1</w:t>
            </w:r>
            <w:r w:rsidRPr="004D0DAA">
              <w:rPr>
                <w:lang w:val="sv-SE" w:eastAsia="en-US"/>
              </w:rPr>
              <w:t xml:space="preserve"> : bit (4) &gt; </w:t>
            </w:r>
          </w:p>
          <w:p w14:paraId="7077EEEE"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PR_MODE_C1</w:t>
            </w:r>
            <w:r w:rsidRPr="004D0DAA">
              <w:rPr>
                <w:lang w:val="sv-SE" w:eastAsia="en-US"/>
              </w:rPr>
              <w:t xml:space="preserve"> : bit (1) &gt; </w:t>
            </w:r>
          </w:p>
          <w:p w14:paraId="441603E4"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P0_C2</w:t>
            </w:r>
            <w:r w:rsidRPr="004D0DAA">
              <w:rPr>
                <w:lang w:val="sv-SE" w:eastAsia="en-US"/>
              </w:rPr>
              <w:t xml:space="preserve"> : bit (4) &gt; </w:t>
            </w:r>
          </w:p>
          <w:p w14:paraId="1BA01D2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PR_MODE_C2</w:t>
            </w:r>
            <w:r w:rsidRPr="004D0DAA">
              <w:rPr>
                <w:lang w:val="sv-SE" w:eastAsia="en-US"/>
              </w:rPr>
              <w:t xml:space="preserve"> : bit (1) &gt; } }</w:t>
            </w:r>
          </w:p>
          <w:p w14:paraId="688BBE34" w14:textId="77777777" w:rsidR="00711444" w:rsidRPr="004D0DAA" w:rsidRDefault="00711444" w:rsidP="00AA2A4C">
            <w:pPr>
              <w:pStyle w:val="TAL"/>
              <w:rPr>
                <w:lang w:eastAsia="en-US"/>
              </w:rPr>
            </w:pPr>
            <w:r w:rsidRPr="004D0DAA">
              <w:rPr>
                <w:lang w:val="sv-SE" w:eastAsia="en-US"/>
              </w:rPr>
              <w:tab/>
            </w:r>
            <w:r w:rsidRPr="004D0DAA">
              <w:rPr>
                <w:lang w:eastAsia="en-US"/>
              </w:rPr>
              <w:t xml:space="preserve">&lt; </w:t>
            </w:r>
            <w:r w:rsidRPr="004D0DAA">
              <w:rPr>
                <w:b/>
                <w:lang w:eastAsia="en-US"/>
              </w:rPr>
              <w:t>USF_GRANULARITY</w:t>
            </w:r>
            <w:r w:rsidRPr="004D0DAA">
              <w:rPr>
                <w:lang w:eastAsia="en-US"/>
              </w:rPr>
              <w:t xml:space="preserve"> : bit (1) &gt;</w:t>
            </w:r>
          </w:p>
          <w:p w14:paraId="540CCAF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UPLINK_TFI_ASSIGNMENT</w:t>
            </w:r>
            <w:r w:rsidRPr="004D0DAA">
              <w:rPr>
                <w:lang w:eastAsia="en-US"/>
              </w:rPr>
              <w:t xml:space="preserve"> : bit (5) &gt; }</w:t>
            </w:r>
          </w:p>
          <w:p w14:paraId="09D2A200" w14:textId="77777777" w:rsidR="00711444" w:rsidRPr="004D0DAA" w:rsidRDefault="00711444" w:rsidP="00AA2A4C">
            <w:pPr>
              <w:pStyle w:val="TAL"/>
              <w:rPr>
                <w:rFonts w:cs="Arial"/>
                <w:lang w:eastAsia="en-US"/>
              </w:rPr>
            </w:pPr>
            <w:r w:rsidRPr="004D0DAA">
              <w:rPr>
                <w:rFonts w:cs="Arial"/>
                <w:lang w:eastAsia="en-US"/>
              </w:rPr>
              <w:tab/>
              <w:t>{ 0</w:t>
            </w:r>
            <w:r w:rsidRPr="004D0DAA">
              <w:rPr>
                <w:rFonts w:cs="Arial"/>
                <w:lang w:eastAsia="en-US"/>
              </w:rPr>
              <w:tab/>
            </w:r>
            <w:r w:rsidRPr="004D0DAA">
              <w:rPr>
                <w:rFonts w:cs="Arial"/>
                <w:lang w:eastAsia="en-US"/>
              </w:rPr>
              <w:tab/>
            </w:r>
            <w:r w:rsidRPr="004D0DAA">
              <w:rPr>
                <w:rFonts w:cs="Arial"/>
                <w:lang w:eastAsia="en-US"/>
              </w:rPr>
              <w:tab/>
              <w:t>-- Allocation without Power Control Parameters</w:t>
            </w:r>
          </w:p>
          <w:p w14:paraId="709D85AE"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 xml:space="preserve">N_USF </w:t>
            </w:r>
            <w:r w:rsidRPr="004D0DAA">
              <w:rPr>
                <w:rFonts w:eastAsia="SimSun" w:cs="Arial"/>
                <w:szCs w:val="18"/>
                <w:lang w:eastAsia="zh-CN"/>
              </w:rPr>
              <w:t>: bit (4) &gt;</w:t>
            </w:r>
          </w:p>
          <w:p w14:paraId="661E6071" w14:textId="77777777" w:rsidR="00711444" w:rsidRPr="004D0DAA" w:rsidRDefault="00711444" w:rsidP="00AA2A4C">
            <w:pPr>
              <w:pStyle w:val="TAL"/>
              <w:rPr>
                <w:rFonts w:eastAsia="SimSun" w:cs="Arial"/>
                <w:szCs w:val="18"/>
                <w:lang w:val="sv-SE"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val="sv-SE" w:eastAsia="zh-CN"/>
              </w:rPr>
              <w:t xml:space="preserve">{ 0 | 1 &lt; </w:t>
            </w:r>
            <w:r w:rsidRPr="004D0DAA">
              <w:rPr>
                <w:rFonts w:eastAsia="SimSun" w:cs="Arial"/>
                <w:b/>
                <w:bCs/>
                <w:szCs w:val="18"/>
                <w:lang w:val="sv-SE" w:eastAsia="zh-CN"/>
              </w:rPr>
              <w:t>USF</w:t>
            </w:r>
            <w:r w:rsidRPr="004D0DAA">
              <w:rPr>
                <w:rFonts w:eastAsia="SimSun" w:cs="Arial"/>
                <w:szCs w:val="18"/>
                <w:lang w:val="sv-SE" w:eastAsia="zh-CN"/>
              </w:rPr>
              <w:t xml:space="preserve"> : bit (3) &gt; } *( val(</w:t>
            </w:r>
            <w:r w:rsidRPr="004D0DAA">
              <w:rPr>
                <w:rFonts w:eastAsia="SimSun" w:cs="Arial"/>
                <w:b/>
                <w:bCs/>
                <w:szCs w:val="18"/>
                <w:lang w:val="sv-SE" w:eastAsia="zh-CN"/>
              </w:rPr>
              <w:t>N_USF</w:t>
            </w:r>
            <w:r w:rsidRPr="004D0DAA">
              <w:rPr>
                <w:rFonts w:eastAsia="SimSun" w:cs="Arial"/>
                <w:szCs w:val="18"/>
                <w:lang w:val="sv-SE" w:eastAsia="zh-CN"/>
              </w:rPr>
              <w:t>) + 1)</w:t>
            </w:r>
          </w:p>
          <w:p w14:paraId="3666AF2F" w14:textId="77777777" w:rsidR="00711444" w:rsidRPr="004D0DAA" w:rsidRDefault="00711444" w:rsidP="00AA2A4C">
            <w:pPr>
              <w:pStyle w:val="TAL"/>
              <w:rPr>
                <w:rFonts w:cs="Arial"/>
                <w:lang w:eastAsia="en-US"/>
              </w:rPr>
            </w:pPr>
            <w:r w:rsidRPr="004D0DAA">
              <w:rPr>
                <w:rFonts w:cs="Arial"/>
                <w:lang w:val="sv-SE" w:eastAsia="en-US"/>
              </w:rPr>
              <w:tab/>
            </w:r>
            <w:r w:rsidRPr="004D0DAA">
              <w:rPr>
                <w:rFonts w:cs="Arial"/>
                <w:lang w:eastAsia="en-US"/>
              </w:rPr>
              <w:t>| 1</w:t>
            </w:r>
            <w:r w:rsidRPr="004D0DAA">
              <w:rPr>
                <w:rFonts w:cs="Arial"/>
                <w:lang w:eastAsia="en-US"/>
              </w:rPr>
              <w:tab/>
            </w:r>
            <w:r w:rsidRPr="004D0DAA">
              <w:rPr>
                <w:rFonts w:cs="Arial"/>
                <w:lang w:eastAsia="en-US"/>
              </w:rPr>
              <w:tab/>
            </w:r>
            <w:r w:rsidRPr="004D0DAA">
              <w:rPr>
                <w:rFonts w:cs="Arial"/>
                <w:lang w:eastAsia="en-US"/>
              </w:rPr>
              <w:tab/>
              <w:t>-- Allocation with Power Control Parameters</w:t>
            </w:r>
          </w:p>
          <w:p w14:paraId="1C5B79A4"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t xml:space="preserve">&lt; </w:t>
            </w:r>
            <w:r w:rsidRPr="004D0DAA">
              <w:rPr>
                <w:rFonts w:cs="Arial"/>
                <w:b/>
                <w:lang w:eastAsia="en-US"/>
              </w:rPr>
              <w:t>ALPHA_C1</w:t>
            </w:r>
            <w:r w:rsidRPr="004D0DAA">
              <w:rPr>
                <w:rFonts w:cs="Arial"/>
                <w:lang w:eastAsia="en-US"/>
              </w:rPr>
              <w:t>: bit (4) &gt;</w:t>
            </w:r>
          </w:p>
          <w:p w14:paraId="7C563AB4" w14:textId="77777777" w:rsidR="00711444" w:rsidRPr="004D0DAA" w:rsidRDefault="00711444" w:rsidP="00AA2A4C">
            <w:pPr>
              <w:pStyle w:val="TAL"/>
              <w:rPr>
                <w:rFonts w:cs="Arial"/>
                <w:lang w:val="sv-SE" w:eastAsia="en-US"/>
              </w:rPr>
            </w:pPr>
            <w:r w:rsidRPr="004D0DAA">
              <w:rPr>
                <w:rFonts w:cs="Arial"/>
                <w:lang w:eastAsia="en-US"/>
              </w:rPr>
              <w:tab/>
            </w:r>
            <w:r w:rsidRPr="004D0DAA">
              <w:rPr>
                <w:rFonts w:cs="Arial"/>
                <w:lang w:eastAsia="en-US"/>
              </w:rPr>
              <w:tab/>
            </w:r>
            <w:r w:rsidRPr="004D0DAA">
              <w:rPr>
                <w:rFonts w:cs="Arial"/>
                <w:lang w:val="sv-SE" w:eastAsia="en-US"/>
              </w:rPr>
              <w:t xml:space="preserve">{ 0 | 1 &lt; </w:t>
            </w:r>
            <w:r w:rsidRPr="004D0DAA">
              <w:rPr>
                <w:rFonts w:cs="Arial"/>
                <w:b/>
                <w:lang w:val="sv-SE" w:eastAsia="en-US"/>
              </w:rPr>
              <w:t>ALPHA_C2</w:t>
            </w:r>
            <w:r w:rsidRPr="004D0DAA">
              <w:rPr>
                <w:rFonts w:cs="Arial"/>
                <w:lang w:val="sv-SE" w:eastAsia="en-US"/>
              </w:rPr>
              <w:t>: bit (4) &gt; }</w:t>
            </w:r>
          </w:p>
          <w:p w14:paraId="1316F917" w14:textId="77777777" w:rsidR="00711444" w:rsidRPr="004D0DAA" w:rsidRDefault="00711444" w:rsidP="00AA2A4C">
            <w:pPr>
              <w:pStyle w:val="TAL"/>
              <w:rPr>
                <w:rFonts w:eastAsia="SimSun" w:cs="Arial"/>
                <w:iCs/>
                <w:szCs w:val="18"/>
                <w:lang w:val="sv-SE" w:eastAsia="zh-CN"/>
              </w:rPr>
            </w:pPr>
            <w:r w:rsidRPr="004D0DAA">
              <w:rPr>
                <w:rFonts w:eastAsia="SimSun" w:cs="Arial"/>
                <w:szCs w:val="18"/>
                <w:lang w:val="sv-SE" w:eastAsia="zh-CN"/>
              </w:rPr>
              <w:tab/>
            </w:r>
            <w:r w:rsidRPr="004D0DAA">
              <w:rPr>
                <w:rFonts w:eastAsia="SimSun" w:cs="Arial"/>
                <w:szCs w:val="18"/>
                <w:lang w:val="sv-SE" w:eastAsia="zh-CN"/>
              </w:rPr>
              <w:tab/>
              <w:t>{ 0</w:t>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w:t>
            </w:r>
            <w:r w:rsidRPr="004D0DAA">
              <w:rPr>
                <w:rFonts w:eastAsia="SimSun" w:cs="Arial"/>
                <w:iCs/>
                <w:szCs w:val="18"/>
                <w:lang w:val="sv-SE" w:eastAsia="zh-CN"/>
              </w:rPr>
              <w:t>BTTI mode</w:t>
            </w:r>
          </w:p>
          <w:p w14:paraId="735E97D5"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 xml:space="preserve">N_TS </w:t>
            </w:r>
            <w:r w:rsidRPr="004D0DAA">
              <w:rPr>
                <w:rFonts w:eastAsia="SimSun" w:cs="Arial"/>
                <w:szCs w:val="18"/>
                <w:lang w:val="sv-SE" w:eastAsia="zh-CN"/>
              </w:rPr>
              <w:t>: bit (4) &gt;</w:t>
            </w:r>
          </w:p>
          <w:p w14:paraId="0EF3B43A"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w:t>
            </w:r>
          </w:p>
          <w:p w14:paraId="3655D3A3"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USF</w:t>
            </w:r>
            <w:r w:rsidRPr="004D0DAA">
              <w:rPr>
                <w:rFonts w:eastAsia="SimSun" w:cs="Arial"/>
                <w:szCs w:val="18"/>
                <w:lang w:val="sv-SE" w:eastAsia="zh-CN"/>
              </w:rPr>
              <w:t xml:space="preserve"> : bit (3) &gt;</w:t>
            </w:r>
          </w:p>
          <w:p w14:paraId="15A4E165" w14:textId="77777777" w:rsidR="00711444" w:rsidRPr="004D0DAA" w:rsidRDefault="00711444" w:rsidP="00AA2A4C">
            <w:pPr>
              <w:pStyle w:val="TAL"/>
              <w:rPr>
                <w:szCs w:val="18"/>
                <w:lang w:val="sv-SE" w:eastAsia="en-US"/>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cs="Arial"/>
                <w:szCs w:val="18"/>
                <w:lang w:val="sv-SE" w:eastAsia="en-US"/>
              </w:rPr>
              <w:t xml:space="preserve">&lt; </w:t>
            </w:r>
            <w:r w:rsidRPr="004D0DAA">
              <w:rPr>
                <w:rFonts w:cs="Arial"/>
                <w:b/>
                <w:szCs w:val="18"/>
                <w:lang w:val="sv-SE" w:eastAsia="en-US"/>
              </w:rPr>
              <w:t>GAMMA</w:t>
            </w:r>
            <w:r w:rsidRPr="004D0DAA">
              <w:rPr>
                <w:rFonts w:cs="Arial"/>
                <w:szCs w:val="18"/>
                <w:lang w:val="sv-SE" w:eastAsia="en-US"/>
              </w:rPr>
              <w:t>: bit (5) &gt;</w:t>
            </w:r>
            <w:r w:rsidRPr="004D0DAA">
              <w:rPr>
                <w:szCs w:val="18"/>
                <w:lang w:val="sv-SE" w:eastAsia="en-US"/>
              </w:rPr>
              <w:t xml:space="preserve"> </w:t>
            </w:r>
          </w:p>
          <w:p w14:paraId="7167969C" w14:textId="77777777" w:rsidR="00711444" w:rsidRPr="004D0DAA" w:rsidRDefault="00711444" w:rsidP="00AA2A4C">
            <w:pPr>
              <w:pStyle w:val="TAL"/>
              <w:rPr>
                <w:rFonts w:eastAsia="SimSun" w:cs="Arial"/>
                <w:szCs w:val="18"/>
                <w:lang w:val="sv-SE" w:eastAsia="zh-CN"/>
              </w:rPr>
            </w:pPr>
            <w:r w:rsidRPr="004D0DAA">
              <w:rPr>
                <w:szCs w:val="18"/>
                <w:lang w:val="sv-SE" w:eastAsia="en-US"/>
              </w:rPr>
              <w:tab/>
            </w:r>
            <w:r w:rsidRPr="004D0DAA">
              <w:rPr>
                <w:szCs w:val="18"/>
                <w:lang w:val="sv-SE" w:eastAsia="en-US"/>
              </w:rPr>
              <w:tab/>
            </w:r>
            <w:r w:rsidRPr="004D0DAA">
              <w:rPr>
                <w:szCs w:val="18"/>
                <w:lang w:val="sv-SE" w:eastAsia="en-US"/>
              </w:rPr>
              <w:tab/>
            </w:r>
            <w:r w:rsidRPr="004D0DAA">
              <w:rPr>
                <w:rFonts w:eastAsia="SimSun" w:cs="Arial"/>
                <w:szCs w:val="18"/>
                <w:lang w:val="sv-SE" w:eastAsia="zh-CN"/>
              </w:rPr>
              <w:t>} * ( val(</w:t>
            </w:r>
            <w:r w:rsidRPr="004D0DAA">
              <w:rPr>
                <w:rFonts w:eastAsia="SimSun" w:cs="Arial"/>
                <w:b/>
                <w:bCs/>
                <w:szCs w:val="18"/>
                <w:lang w:val="sv-SE" w:eastAsia="zh-CN"/>
              </w:rPr>
              <w:t>N_TS</w:t>
            </w:r>
            <w:r w:rsidRPr="004D0DAA">
              <w:rPr>
                <w:rFonts w:eastAsia="SimSun" w:cs="Arial"/>
                <w:szCs w:val="18"/>
                <w:lang w:val="sv-SE" w:eastAsia="zh-CN"/>
              </w:rPr>
              <w:t>) + 1)</w:t>
            </w:r>
          </w:p>
          <w:p w14:paraId="2E09E458" w14:textId="77777777" w:rsidR="00711444" w:rsidRPr="004D0DAA" w:rsidRDefault="00711444" w:rsidP="00AA2A4C">
            <w:pPr>
              <w:pStyle w:val="TAL"/>
              <w:rPr>
                <w:rFonts w:eastAsia="SimSun" w:cs="Arial"/>
                <w:iCs/>
                <w:szCs w:val="18"/>
                <w:lang w:val="fr-FR"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fr-FR" w:eastAsia="zh-CN"/>
              </w:rPr>
              <w:t>| 1</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 </w:t>
            </w:r>
            <w:r w:rsidRPr="004D0DAA">
              <w:rPr>
                <w:rFonts w:eastAsia="SimSun" w:cs="Arial"/>
                <w:iCs/>
                <w:szCs w:val="18"/>
                <w:lang w:val="fr-FR" w:eastAsia="zh-CN"/>
              </w:rPr>
              <w:t>RTTI mode</w:t>
            </w:r>
          </w:p>
          <w:p w14:paraId="4C89DF9B" w14:textId="77777777" w:rsidR="00711444" w:rsidRPr="004D0DAA" w:rsidRDefault="00711444" w:rsidP="00AA2A4C">
            <w:pPr>
              <w:pStyle w:val="TAL"/>
              <w:rPr>
                <w:rFonts w:eastAsia="SimSun" w:cs="Arial"/>
                <w:szCs w:val="18"/>
                <w:lang w:val="fr-FR"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&lt; </w:t>
            </w:r>
            <w:r w:rsidRPr="004D0DAA">
              <w:rPr>
                <w:rFonts w:eastAsia="SimSun" w:cs="Arial"/>
                <w:b/>
                <w:bCs/>
                <w:szCs w:val="18"/>
                <w:lang w:val="fr-FR" w:eastAsia="zh-CN"/>
              </w:rPr>
              <w:t xml:space="preserve">N_PAIRS </w:t>
            </w:r>
            <w:r w:rsidRPr="004D0DAA">
              <w:rPr>
                <w:rFonts w:eastAsia="SimSun" w:cs="Arial"/>
                <w:szCs w:val="18"/>
                <w:lang w:val="fr-FR" w:eastAsia="zh-CN"/>
              </w:rPr>
              <w:t>: bit (3) &gt;</w:t>
            </w:r>
          </w:p>
          <w:p w14:paraId="60541CC4"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sv-SE" w:eastAsia="zh-CN"/>
              </w:rPr>
              <w:t xml:space="preserve">{ 0 | 1 </w:t>
            </w:r>
          </w:p>
          <w:p w14:paraId="15E074C8"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USF</w:t>
            </w:r>
            <w:r w:rsidRPr="004D0DAA">
              <w:rPr>
                <w:rFonts w:eastAsia="SimSun" w:cs="Arial"/>
                <w:szCs w:val="18"/>
                <w:lang w:val="sv-SE" w:eastAsia="zh-CN"/>
              </w:rPr>
              <w:t xml:space="preserve"> : bit (3) &gt; </w:t>
            </w:r>
          </w:p>
          <w:p w14:paraId="5EECCD82"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szCs w:val="18"/>
                <w:lang w:val="sv-SE" w:eastAsia="zh-CN"/>
              </w:rPr>
              <w:t>GAMMA</w:t>
            </w:r>
            <w:r w:rsidRPr="004D0DAA">
              <w:rPr>
                <w:rFonts w:eastAsia="SimSun" w:cs="Arial"/>
                <w:szCs w:val="18"/>
                <w:lang w:val="sv-SE" w:eastAsia="zh-CN"/>
              </w:rPr>
              <w:t xml:space="preserve"> : bit (5) &gt; </w:t>
            </w:r>
          </w:p>
          <w:p w14:paraId="3D94DE8D"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  (val(</w:t>
            </w:r>
            <w:r w:rsidRPr="004D0DAA">
              <w:rPr>
                <w:rFonts w:eastAsia="SimSun" w:cs="Arial"/>
                <w:b/>
                <w:bCs/>
                <w:szCs w:val="18"/>
                <w:lang w:val="sv-SE" w:eastAsia="zh-CN"/>
              </w:rPr>
              <w:t>N_PAIRS</w:t>
            </w:r>
            <w:r w:rsidRPr="004D0DAA">
              <w:rPr>
                <w:rFonts w:eastAsia="SimSun" w:cs="Arial"/>
                <w:szCs w:val="18"/>
                <w:lang w:val="sv-SE" w:eastAsia="zh-CN"/>
              </w:rPr>
              <w:t xml:space="preserve">) + 1) </w:t>
            </w:r>
          </w:p>
          <w:p w14:paraId="132A9766"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w:t>
            </w:r>
            <w:r w:rsidRPr="004D0DAA">
              <w:rPr>
                <w:rFonts w:eastAsia="SimSun" w:cs="Arial"/>
                <w:szCs w:val="18"/>
                <w:lang w:val="sv-SE" w:eastAsia="zh-CN"/>
              </w:rPr>
              <w:tab/>
            </w:r>
            <w:r w:rsidRPr="004D0DAA">
              <w:rPr>
                <w:rFonts w:eastAsia="SimSun" w:cs="Arial"/>
                <w:szCs w:val="18"/>
                <w:lang w:val="sv-SE" w:eastAsia="zh-CN"/>
              </w:rPr>
              <w:tab/>
              <w:t>-- RTTI USF</w:t>
            </w:r>
          </w:p>
          <w:p w14:paraId="63FEE52A"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1</w:t>
            </w:r>
            <w:r w:rsidRPr="004D0DAA">
              <w:rPr>
                <w:rFonts w:eastAsia="SimSun" w:cs="Arial"/>
                <w:szCs w:val="18"/>
                <w:lang w:val="sv-SE" w:eastAsia="zh-CN"/>
              </w:rPr>
              <w:tab/>
            </w:r>
            <w:r w:rsidRPr="004D0DAA">
              <w:rPr>
                <w:rFonts w:eastAsia="SimSun" w:cs="Arial"/>
                <w:szCs w:val="18"/>
                <w:lang w:val="sv-SE" w:eastAsia="zh-CN"/>
              </w:rPr>
              <w:tab/>
              <w:t xml:space="preserve">-- BTTI USF </w:t>
            </w:r>
          </w:p>
          <w:p w14:paraId="44AA768A"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w:t>
            </w:r>
          </w:p>
          <w:p w14:paraId="5A9276C1"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USF_2</w:t>
            </w:r>
            <w:r w:rsidRPr="004D0DAA">
              <w:rPr>
                <w:rFonts w:eastAsia="SimSun" w:cs="Arial"/>
                <w:szCs w:val="18"/>
                <w:lang w:val="sv-SE" w:eastAsia="zh-CN"/>
              </w:rPr>
              <w:t xml:space="preserve"> : bit (3) &gt; </w:t>
            </w:r>
          </w:p>
          <w:p w14:paraId="3FE2B629"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&lt; </w:t>
            </w:r>
            <w:r w:rsidRPr="004D0DAA">
              <w:rPr>
                <w:rFonts w:eastAsia="SimSun" w:cs="Arial"/>
                <w:b/>
                <w:szCs w:val="18"/>
                <w:lang w:val="sv-SE" w:eastAsia="zh-CN"/>
              </w:rPr>
              <w:t xml:space="preserve">GAMMA </w:t>
            </w:r>
            <w:r w:rsidRPr="004D0DAA">
              <w:rPr>
                <w:rFonts w:eastAsia="SimSun" w:cs="Arial"/>
                <w:szCs w:val="18"/>
                <w:lang w:val="sv-SE" w:eastAsia="zh-CN"/>
              </w:rPr>
              <w:t>: bit (5) &gt; }</w:t>
            </w:r>
            <w:r w:rsidRPr="004D0DAA">
              <w:rPr>
                <w:rFonts w:eastAsia="SimSun" w:cs="Arial"/>
                <w:szCs w:val="18"/>
                <w:lang w:val="sv-SE" w:eastAsia="zh-CN"/>
              </w:rPr>
              <w:tab/>
            </w:r>
          </w:p>
          <w:p w14:paraId="777319E2"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 (val(</w:t>
            </w:r>
            <w:r w:rsidRPr="004D0DAA">
              <w:rPr>
                <w:rFonts w:eastAsia="SimSun" w:cs="Arial"/>
                <w:b/>
                <w:bCs/>
                <w:szCs w:val="18"/>
                <w:lang w:val="sv-SE" w:eastAsia="zh-CN"/>
              </w:rPr>
              <w:t>N_PAIRS</w:t>
            </w:r>
            <w:r w:rsidRPr="004D0DAA">
              <w:rPr>
                <w:rFonts w:eastAsia="SimSun" w:cs="Arial"/>
                <w:szCs w:val="18"/>
                <w:lang w:val="sv-SE" w:eastAsia="zh-CN"/>
              </w:rPr>
              <w:t>) + 1)</w:t>
            </w:r>
          </w:p>
          <w:p w14:paraId="15B4EEE3" w14:textId="77777777" w:rsidR="00711444" w:rsidRPr="004D0DAA" w:rsidRDefault="00711444" w:rsidP="00AA2A4C">
            <w:pPr>
              <w:pStyle w:val="TAL"/>
              <w:rPr>
                <w:rFonts w:eastAsia="SimSun" w:cs="Arial"/>
                <w:szCs w:val="18"/>
                <w:lang w:eastAsia="zh-CN"/>
              </w:rPr>
            </w:pPr>
            <w:r w:rsidRPr="004D0DAA">
              <w:rPr>
                <w:lang w:val="sv-SE" w:eastAsia="en-US"/>
              </w:rPr>
              <w:tab/>
            </w:r>
            <w:r w:rsidRPr="004D0DAA">
              <w:rPr>
                <w:lang w:val="sv-SE" w:eastAsia="en-US"/>
              </w:rPr>
              <w:tab/>
            </w:r>
            <w:r w:rsidRPr="004D0DAA">
              <w:rPr>
                <w:lang w:val="sv-SE" w:eastAsia="en-US"/>
              </w:rPr>
              <w:tab/>
            </w:r>
            <w:r w:rsidRPr="004D0DAA">
              <w:rPr>
                <w:lang w:eastAsia="en-US"/>
              </w:rPr>
              <w:t>}</w:t>
            </w:r>
          </w:p>
          <w:p w14:paraId="593D30A3"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w:t>
            </w:r>
          </w:p>
          <w:p w14:paraId="1B7FC392" w14:textId="77777777" w:rsidR="00711444" w:rsidRPr="004D0DAA" w:rsidRDefault="00711444" w:rsidP="00AA2A4C">
            <w:pPr>
              <w:pStyle w:val="TAL"/>
              <w:rPr>
                <w:lang w:eastAsia="en-US"/>
              </w:rPr>
            </w:pPr>
            <w:r w:rsidRPr="004D0DAA">
              <w:rPr>
                <w:lang w:eastAsia="en-US"/>
              </w:rPr>
              <w:tab/>
              <w:t>} ;</w:t>
            </w:r>
          </w:p>
        </w:tc>
      </w:tr>
      <w:tr w:rsidR="00711444" w:rsidRPr="004D0DAA" w14:paraId="2936B1FD" w14:textId="77777777" w:rsidTr="00AA2A4C">
        <w:tblPrEx>
          <w:tblCellMar>
            <w:top w:w="0" w:type="dxa"/>
            <w:bottom w:w="0" w:type="dxa"/>
          </w:tblCellMar>
        </w:tblPrEx>
        <w:trPr>
          <w:cantSplit/>
        </w:trPr>
        <w:tc>
          <w:tcPr>
            <w:tcW w:w="9848" w:type="dxa"/>
            <w:tcBorders>
              <w:left w:val="single" w:sz="4" w:space="0" w:color="auto"/>
              <w:right w:val="single" w:sz="4" w:space="0" w:color="auto"/>
            </w:tcBorders>
          </w:tcPr>
          <w:p w14:paraId="00A1B09C" w14:textId="77777777" w:rsidR="00711444" w:rsidRPr="004D0DAA" w:rsidRDefault="00711444" w:rsidP="00AA2A4C">
            <w:pPr>
              <w:pStyle w:val="TAL"/>
              <w:rPr>
                <w:lang w:eastAsia="en-US"/>
              </w:rPr>
            </w:pPr>
            <w:r w:rsidRPr="004D0DAA">
              <w:rPr>
                <w:lang w:eastAsia="en-US"/>
              </w:rPr>
              <w:t>&lt; RLC Entity Struct &gt; ::=</w:t>
            </w:r>
          </w:p>
          <w:p w14:paraId="560110B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UPLINK_TFI_ASSIGNMENT</w:t>
            </w:r>
            <w:r w:rsidRPr="004D0DAA">
              <w:rPr>
                <w:lang w:eastAsia="en-US"/>
              </w:rPr>
              <w:t xml:space="preserve"> : bit (5) &gt;</w:t>
            </w:r>
          </w:p>
          <w:p w14:paraId="01EBE1C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514065CE" w14:textId="77777777" w:rsidR="00711444" w:rsidRPr="004D0DAA" w:rsidRDefault="00711444" w:rsidP="00AA2A4C">
            <w:pPr>
              <w:pStyle w:val="TAL"/>
              <w:rPr>
                <w:b/>
                <w:bCs/>
                <w:lang w:eastAsia="en-US"/>
              </w:rPr>
            </w:pPr>
            <w:r w:rsidRPr="004D0DAA">
              <w:rPr>
                <w:b/>
                <w:lang w:eastAsia="en-US"/>
              </w:rPr>
              <w:tab/>
            </w:r>
            <w:r w:rsidRPr="004D0DAA">
              <w:rPr>
                <w:bCs/>
                <w:lang w:eastAsia="en-US"/>
              </w:rPr>
              <w:t xml:space="preserve">{ 0 | 1 &lt; </w:t>
            </w:r>
            <w:r w:rsidRPr="004D0DAA">
              <w:rPr>
                <w:b/>
                <w:lang w:eastAsia="en-US"/>
              </w:rPr>
              <w:t>EGPRS Window Size</w:t>
            </w:r>
            <w:r w:rsidRPr="004D0DAA">
              <w:rPr>
                <w:lang w:eastAsia="en-US"/>
              </w:rPr>
              <w:t> : &lt; EGPRS Window Size IE &gt; &gt; }</w:t>
            </w:r>
          </w:p>
          <w:p w14:paraId="2E8E6EA0" w14:textId="77777777" w:rsidR="00711444" w:rsidRPr="004D0DAA" w:rsidRDefault="00711444" w:rsidP="00AA2A4C">
            <w:pPr>
              <w:pStyle w:val="TAL"/>
              <w:rPr>
                <w:lang w:eastAsia="en-US"/>
              </w:rPr>
            </w:pPr>
            <w:r w:rsidRPr="004D0DAA">
              <w:rPr>
                <w:lang w:eastAsia="en-US"/>
              </w:rPr>
              <w:tab/>
            </w:r>
            <w:r w:rsidRPr="004D0DAA">
              <w:rPr>
                <w:b/>
                <w:bCs/>
                <w:lang w:eastAsia="en-US"/>
              </w:rPr>
              <w:t>PFI</w:t>
            </w:r>
            <w:r w:rsidRPr="004D0DAA">
              <w:rPr>
                <w:lang w:eastAsia="en-US"/>
              </w:rPr>
              <w:t xml:space="preserve"> : bit (7) &gt;;</w:t>
            </w:r>
          </w:p>
        </w:tc>
      </w:tr>
      <w:tr w:rsidR="00711444" w:rsidRPr="004D0DAA" w14:paraId="3D5F0ED6" w14:textId="77777777" w:rsidTr="00AA2A4C">
        <w:tblPrEx>
          <w:tblCellMar>
            <w:top w:w="0" w:type="dxa"/>
            <w:bottom w:w="0" w:type="dxa"/>
          </w:tblCellMar>
        </w:tblPrEx>
        <w:trPr>
          <w:cantSplit/>
        </w:trPr>
        <w:tc>
          <w:tcPr>
            <w:tcW w:w="9848" w:type="dxa"/>
            <w:tcBorders>
              <w:left w:val="single" w:sz="4" w:space="0" w:color="auto"/>
              <w:bottom w:val="single" w:sz="4" w:space="0" w:color="auto"/>
              <w:right w:val="single" w:sz="4" w:space="0" w:color="auto"/>
            </w:tcBorders>
          </w:tcPr>
          <w:p w14:paraId="325703CA" w14:textId="77777777" w:rsidR="00711444" w:rsidRPr="004D0DAA" w:rsidRDefault="00711444" w:rsidP="00AA2A4C">
            <w:pPr>
              <w:pStyle w:val="TAL"/>
              <w:rPr>
                <w:lang w:eastAsia="en-US"/>
              </w:rPr>
            </w:pPr>
            <w:r w:rsidRPr="004D0DAA">
              <w:rPr>
                <w:lang w:eastAsia="en-US"/>
              </w:rPr>
              <w:lastRenderedPageBreak/>
              <w:t>&lt; Additional PFCs struct &gt; ::=</w:t>
            </w:r>
          </w:p>
          <w:p w14:paraId="4F391DCB"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UPLINK TFI_ASSIGNMENT</w:t>
            </w:r>
            <w:r w:rsidRPr="004D0DAA">
              <w:rPr>
                <w:lang w:eastAsia="en-US"/>
              </w:rPr>
              <w:t xml:space="preserve"> : bit (5) &gt;</w:t>
            </w:r>
          </w:p>
          <w:p w14:paraId="5D38E48A" w14:textId="77777777" w:rsidR="00711444" w:rsidRPr="004D0DAA" w:rsidRDefault="00711444" w:rsidP="00AA2A4C">
            <w:pPr>
              <w:pStyle w:val="TAL"/>
              <w:rPr>
                <w:lang w:eastAsia="en-US"/>
              </w:rPr>
            </w:pPr>
            <w:r w:rsidRPr="004D0DAA">
              <w:rPr>
                <w:lang w:eastAsia="en-US"/>
              </w:rPr>
              <w:t xml:space="preserve">      {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6AA45C45"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p w14:paraId="3E74B09D" w14:textId="77777777" w:rsidR="00711444" w:rsidRPr="004D0DAA" w:rsidRDefault="00711444" w:rsidP="00AA2A4C">
            <w:pPr>
              <w:pStyle w:val="TAL"/>
              <w:rPr>
                <w:i/>
                <w:lang w:eastAsia="en-US"/>
              </w:rPr>
            </w:pPr>
            <w:r w:rsidRPr="004D0DAA">
              <w:rPr>
                <w:lang w:eastAsia="en-US"/>
              </w:rPr>
              <w:t xml:space="preserve">&lt; DLMC UL Carrier Info struct &gt; ::= </w:t>
            </w:r>
          </w:p>
          <w:p w14:paraId="1DA83FF1" w14:textId="77777777" w:rsidR="00711444" w:rsidRPr="004D0DAA" w:rsidRDefault="00711444" w:rsidP="00AA2A4C">
            <w:pPr>
              <w:pStyle w:val="TAL"/>
              <w:rPr>
                <w:i/>
                <w:iCs/>
                <w:szCs w:val="18"/>
                <w:lang w:val="en-US" w:eastAsia="en-US"/>
              </w:rPr>
            </w:pPr>
            <w:r w:rsidRPr="004D0DAA">
              <w:rPr>
                <w:rFonts w:cs="Arial"/>
                <w:szCs w:val="18"/>
                <w:lang w:eastAsia="en-US"/>
              </w:rPr>
              <w:tab/>
              <w:t xml:space="preserve">{ 00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released</w:t>
            </w:r>
          </w:p>
          <w:p w14:paraId="5AA9D046"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01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Carrier remains unchanged (</w:t>
            </w:r>
            <w:r w:rsidRPr="004D0DAA">
              <w:rPr>
                <w:i/>
                <w:iCs/>
                <w:szCs w:val="18"/>
                <w:lang w:eastAsia="en-US"/>
              </w:rPr>
              <w:t>no information provided)</w:t>
            </w:r>
          </w:p>
          <w:p w14:paraId="3FA7F176"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10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modified or new carrier assigned</w:t>
            </w:r>
          </w:p>
          <w:p w14:paraId="28E70227"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szCs w:val="18"/>
                <w:lang w:val="en-US" w:eastAsia="en-US"/>
              </w:rPr>
              <w:t>{ 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BTTI mode</w:t>
            </w:r>
          </w:p>
          <w:p w14:paraId="414A542E" w14:textId="77777777" w:rsidR="00711444" w:rsidRPr="004D0DAA" w:rsidRDefault="00711444" w:rsidP="00AA2A4C">
            <w:pPr>
              <w:pStyle w:val="TAL"/>
              <w:rPr>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w:t>
            </w:r>
            <w:r w:rsidRPr="004D0DAA">
              <w:rPr>
                <w:szCs w:val="18"/>
                <w:lang w:eastAsia="en-US"/>
              </w:rPr>
              <w:t>0</w:t>
            </w:r>
            <w:r w:rsidRPr="004D0DAA">
              <w:rPr>
                <w:szCs w:val="18"/>
                <w:lang w:eastAsia="en-US"/>
              </w:rPr>
              <w:tab/>
              <w:t>| 1</w:t>
            </w:r>
            <w:r w:rsidRPr="004D0DAA">
              <w:rPr>
                <w:szCs w:val="18"/>
                <w:lang w:eastAsia="en-US"/>
              </w:rPr>
              <w:tab/>
              <w:t xml:space="preserve">&lt; </w:t>
            </w:r>
            <w:r w:rsidRPr="004D0DAA">
              <w:rPr>
                <w:b/>
                <w:szCs w:val="18"/>
                <w:lang w:eastAsia="en-US"/>
              </w:rPr>
              <w:t xml:space="preserve">UPLINK_TIMESLOT_ALLOCATION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w:t>
            </w:r>
          </w:p>
          <w:p w14:paraId="5B8C4386"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 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RTTI mode</w:t>
            </w:r>
          </w:p>
          <w:p w14:paraId="2F074B37" w14:textId="77777777" w:rsidR="00711444" w:rsidRPr="004D0DAA" w:rsidRDefault="00711444" w:rsidP="00AA2A4C">
            <w:pPr>
              <w:pStyle w:val="TAL"/>
              <w:rPr>
                <w:szCs w:val="18"/>
                <w:lang w:eastAsia="en-US"/>
              </w:rPr>
            </w:pPr>
            <w:r w:rsidRPr="004D0DAA">
              <w:rPr>
                <w:lang w:val="en-US" w:eastAsia="en-US"/>
              </w:rPr>
              <w:tab/>
            </w:r>
            <w:r w:rsidRPr="004D0DAA">
              <w:rPr>
                <w:lang w:val="en-US" w:eastAsia="en-US"/>
              </w:rPr>
              <w:tab/>
            </w:r>
            <w:r w:rsidRPr="004D0DAA">
              <w:rPr>
                <w:lang w:val="en-US" w:eastAsia="en-US"/>
              </w:rPr>
              <w:tab/>
            </w:r>
            <w:r w:rsidRPr="004D0DAA">
              <w:rPr>
                <w:rFonts w:cs="Arial"/>
                <w:szCs w:val="18"/>
                <w:lang w:eastAsia="en-US"/>
              </w:rPr>
              <w:tab/>
            </w:r>
            <w:r w:rsidRPr="004D0DAA">
              <w:rPr>
                <w:szCs w:val="18"/>
                <w:lang w:eastAsia="en-US"/>
              </w:rPr>
              <w:t>{ 0</w:t>
            </w:r>
            <w:r w:rsidRPr="004D0DAA">
              <w:rPr>
                <w:szCs w:val="18"/>
                <w:lang w:eastAsia="en-US"/>
              </w:rPr>
              <w:tab/>
              <w:t xml:space="preserve">| 1 &lt; </w:t>
            </w:r>
            <w:r w:rsidRPr="004D0DAA">
              <w:rPr>
                <w:b/>
                <w:bCs/>
                <w:szCs w:val="18"/>
                <w:lang w:eastAsia="en-US"/>
              </w:rPr>
              <w:t xml:space="preserve">UPLINK_PDCH_PAIRS_DLMC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PDCH-pairs</w:t>
            </w:r>
          </w:p>
          <w:p w14:paraId="45DD4729"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w:t>
            </w:r>
          </w:p>
          <w:p w14:paraId="54FFC2FD"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szCs w:val="18"/>
                <w:lang w:val="en-US" w:eastAsia="en-US"/>
              </w:rPr>
              <w:tab/>
            </w:r>
            <w:r w:rsidRPr="004D0DAA">
              <w:rPr>
                <w:rFonts w:cs="Arial"/>
                <w:szCs w:val="18"/>
                <w:lang w:eastAsia="en-US"/>
              </w:rPr>
              <w:t xml:space="preserve">&lt; </w:t>
            </w:r>
            <w:r w:rsidRPr="004D0DAA">
              <w:rPr>
                <w:rFonts w:cs="Arial"/>
                <w:b/>
                <w:szCs w:val="18"/>
                <w:lang w:eastAsia="en-US"/>
              </w:rPr>
              <w:t xml:space="preserve">Dynamic Allocation 3 : </w:t>
            </w:r>
            <w:r w:rsidRPr="004D0DAA">
              <w:rPr>
                <w:rFonts w:cs="Arial"/>
                <w:szCs w:val="18"/>
                <w:lang w:eastAsia="en-US"/>
              </w:rPr>
              <w:t>&lt; Dynamic Allocation 3 IE &gt; &gt;</w:t>
            </w:r>
          </w:p>
          <w:p w14:paraId="72E84E9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r w:rsidRPr="004D0DAA">
              <w:rPr>
                <w:rFonts w:cs="Arial"/>
                <w:szCs w:val="18"/>
                <w:lang w:eastAsia="en-US"/>
              </w:rPr>
              <w:tab/>
            </w:r>
            <w:r w:rsidRPr="004D0DAA">
              <w:rPr>
                <w:rFonts w:cs="Arial"/>
                <w:szCs w:val="18"/>
                <w:lang w:eastAsia="en-US"/>
              </w:rPr>
              <w:tab/>
            </w:r>
            <w:r w:rsidRPr="004D0DAA">
              <w:rPr>
                <w:lang w:eastAsia="en-US"/>
              </w:rPr>
              <w:t>--</w:t>
            </w:r>
            <w:r w:rsidRPr="004D0DAA">
              <w:rPr>
                <w:iCs/>
                <w:lang w:eastAsia="en-US"/>
              </w:rPr>
              <w:t xml:space="preserve"> EMST is not used on this carrier</w:t>
            </w:r>
          </w:p>
          <w:p w14:paraId="551C835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r w:rsidRPr="004D0DAA">
              <w:rPr>
                <w:lang w:eastAsia="en-US"/>
              </w:rPr>
              <w:t xml:space="preserve"> </w:t>
            </w:r>
          </w:p>
          <w:p w14:paraId="41E6DA1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Uplink RLC Entity 2</w:t>
            </w:r>
            <w:r w:rsidRPr="004D0DAA">
              <w:rPr>
                <w:lang w:eastAsia="en-US"/>
              </w:rPr>
              <w:t xml:space="preserve"> : &lt; RLC Entity Struct &gt; </w:t>
            </w:r>
          </w:p>
          <w:p w14:paraId="5049CD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RLC Entity 3</w:t>
            </w:r>
            <w:r w:rsidRPr="004D0DAA">
              <w:rPr>
                <w:lang w:eastAsia="en-US"/>
              </w:rPr>
              <w:t xml:space="preserve"> : &lt; RLC Entity Struct &gt; } }</w:t>
            </w:r>
          </w:p>
          <w:p w14:paraId="3A6AAC5D"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29633DE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5F4ACA1E"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w:t>
            </w:r>
            <w:r w:rsidRPr="004D0DAA">
              <w:rPr>
                <w:szCs w:val="18"/>
                <w:lang w:eastAsia="en-US"/>
              </w:rPr>
              <w:t xml:space="preserve"> </w:t>
            </w:r>
            <w:r w:rsidRPr="004D0DAA">
              <w:rPr>
                <w:lang w:eastAsia="en-US"/>
              </w:rPr>
              <w:t>} ** 0</w:t>
            </w:r>
            <w:r w:rsidRPr="004D0DAA">
              <w:rPr>
                <w:lang w:eastAsia="en-US"/>
              </w:rPr>
              <w:tab/>
            </w:r>
          </w:p>
          <w:p w14:paraId="5338BCC2"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 ** 0</w:t>
            </w:r>
            <w:r w:rsidRPr="004D0DAA">
              <w:rPr>
                <w:lang w:eastAsia="en-US"/>
              </w:rPr>
              <w:tab/>
            </w:r>
          </w:p>
          <w:p w14:paraId="42AE52D7"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 ** 0</w:t>
            </w:r>
          </w:p>
          <w:p w14:paraId="34ACDF51"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w:t>
            </w:r>
          </w:p>
          <w:p w14:paraId="66FFFEC4" w14:textId="77777777" w:rsidR="00711444" w:rsidRPr="004D0DAA" w:rsidRDefault="00711444" w:rsidP="00AA2A4C">
            <w:pPr>
              <w:pStyle w:val="TAL"/>
              <w:rPr>
                <w:iCs/>
                <w:lang w:eastAsia="en-GB"/>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5DD84F7" w14:textId="77777777" w:rsidR="00711444" w:rsidRPr="004D0DAA" w:rsidRDefault="00711444" w:rsidP="00AA2A4C">
            <w:pPr>
              <w:pStyle w:val="TAL"/>
              <w:rPr>
                <w:i/>
                <w:iCs/>
                <w:szCs w:val="18"/>
                <w:lang w:val="sv-SE" w:eastAsia="en-US"/>
              </w:rPr>
            </w:pPr>
            <w:r w:rsidRPr="004D0DAA">
              <w:rPr>
                <w:rFonts w:cs="Arial"/>
                <w:szCs w:val="18"/>
                <w:lang w:eastAsia="en-US"/>
              </w:rPr>
              <w:tab/>
            </w:r>
            <w:r w:rsidRPr="004D0DAA">
              <w:rPr>
                <w:rFonts w:cs="Arial"/>
                <w:szCs w:val="18"/>
                <w:lang w:eastAsia="en-US"/>
              </w:rPr>
              <w:tab/>
              <w:t>| 11</w:t>
            </w:r>
            <w:r w:rsidRPr="004D0DAA">
              <w:rPr>
                <w:szCs w:val="18"/>
                <w:lang w:eastAsia="en-US"/>
              </w:rPr>
              <w:t xml:space="preserve"> </w:t>
            </w:r>
            <w:r w:rsidRPr="004D0DAA">
              <w:rPr>
                <w:szCs w:val="18"/>
                <w:lang w:eastAsia="en-US"/>
              </w:rPr>
              <w:tab/>
            </w:r>
            <w:r w:rsidRPr="004D0DAA">
              <w:rPr>
                <w:lang w:eastAsia="en-US"/>
              </w:rPr>
              <w:t>bit (*) = &lt; no string &gt;</w:t>
            </w:r>
            <w:r w:rsidRPr="004D0DAA">
              <w:rPr>
                <w:szCs w:val="18"/>
                <w:lang w:eastAsia="en-US"/>
              </w:rPr>
              <w:tab/>
            </w:r>
            <w:r w:rsidRPr="004D0DAA">
              <w:rPr>
                <w:szCs w:val="18"/>
                <w:lang w:val="sv-SE" w:eastAsia="en-US"/>
              </w:rPr>
              <w:tab/>
            </w:r>
            <w:r w:rsidRPr="004D0DAA">
              <w:rPr>
                <w:szCs w:val="18"/>
                <w:lang w:val="sv-SE" w:eastAsia="en-US"/>
              </w:rPr>
              <w:tab/>
              <w:t xml:space="preserve">-- </w:t>
            </w:r>
            <w:r w:rsidRPr="004D0DAA">
              <w:rPr>
                <w:i/>
                <w:iCs/>
                <w:szCs w:val="18"/>
                <w:lang w:val="sv-SE" w:eastAsia="en-US"/>
              </w:rPr>
              <w:t>reserved</w:t>
            </w:r>
          </w:p>
          <w:p w14:paraId="1E42B074" w14:textId="77777777" w:rsidR="00711444" w:rsidRPr="004D0DAA" w:rsidRDefault="00711444" w:rsidP="00AA2A4C">
            <w:pPr>
              <w:pStyle w:val="TAL"/>
              <w:rPr>
                <w:szCs w:val="18"/>
                <w:lang w:eastAsia="en-US"/>
              </w:rPr>
            </w:pPr>
            <w:r w:rsidRPr="004D0DAA">
              <w:rPr>
                <w:rFonts w:cs="Arial"/>
                <w:szCs w:val="18"/>
                <w:lang w:eastAsia="en-US"/>
              </w:rPr>
              <w:tab/>
              <w:t>} ;</w:t>
            </w:r>
            <w:r w:rsidRPr="004D0DAA">
              <w:rPr>
                <w:rFonts w:eastAsia="SimSun" w:cs="Arial"/>
                <w:szCs w:val="18"/>
                <w:lang w:eastAsia="zh-CN"/>
              </w:rPr>
              <w:t xml:space="preserve"> </w:t>
            </w:r>
          </w:p>
          <w:p w14:paraId="7F7818DF" w14:textId="77777777" w:rsidR="00711444" w:rsidRPr="004D0DAA" w:rsidRDefault="00711444" w:rsidP="00AA2A4C">
            <w:pPr>
              <w:pStyle w:val="TAL"/>
              <w:rPr>
                <w:lang w:eastAsia="en-US"/>
              </w:rPr>
            </w:pPr>
          </w:p>
        </w:tc>
      </w:tr>
    </w:tbl>
    <w:p w14:paraId="02C8E9E8" w14:textId="77777777" w:rsidR="00711444" w:rsidRPr="004D0DAA" w:rsidRDefault="00711444" w:rsidP="00711444"/>
    <w:p w14:paraId="70C22BAA" w14:textId="77777777" w:rsidR="00711444" w:rsidRPr="004D0DAA" w:rsidRDefault="00711444" w:rsidP="00711444">
      <w:pPr>
        <w:pStyle w:val="TH"/>
      </w:pPr>
      <w:r w:rsidRPr="004D0DAA">
        <w:t xml:space="preserve">Table 11.2.29.2: </w:t>
      </w:r>
      <w:r w:rsidRPr="004D0DAA">
        <w:rPr>
          <w:caps/>
        </w:rPr>
        <w:t>Packet UPlink ASSIGNMENT</w:t>
      </w:r>
      <w:r w:rsidRPr="004D0DAA">
        <w:t xml:space="preserve">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24F2C271" w14:textId="77777777" w:rsidTr="00AA2A4C">
        <w:tblPrEx>
          <w:tblCellMar>
            <w:top w:w="0" w:type="dxa"/>
            <w:bottom w:w="0" w:type="dxa"/>
          </w:tblCellMar>
        </w:tblPrEx>
        <w:trPr>
          <w:cantSplit/>
          <w:trHeight w:val="113"/>
        </w:trPr>
        <w:tc>
          <w:tcPr>
            <w:tcW w:w="9848" w:type="dxa"/>
            <w:shd w:val="clear" w:color="auto" w:fill="auto"/>
          </w:tcPr>
          <w:p w14:paraId="6412166A" w14:textId="77777777" w:rsidR="00711444" w:rsidRPr="004D0DAA" w:rsidRDefault="00711444" w:rsidP="00AA2A4C">
            <w:pPr>
              <w:rPr>
                <w:b/>
              </w:rPr>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57183DF1" w14:textId="77777777" w:rsidTr="00AA2A4C">
        <w:tblPrEx>
          <w:tblCellMar>
            <w:top w:w="0" w:type="dxa"/>
            <w:bottom w:w="0" w:type="dxa"/>
          </w:tblCellMar>
        </w:tblPrEx>
        <w:trPr>
          <w:cantSplit/>
          <w:trHeight w:val="113"/>
        </w:trPr>
        <w:tc>
          <w:tcPr>
            <w:tcW w:w="9848" w:type="dxa"/>
            <w:shd w:val="clear" w:color="auto" w:fill="auto"/>
          </w:tcPr>
          <w:p w14:paraId="101A2C0A" w14:textId="77777777" w:rsidR="00711444" w:rsidRPr="004D0DAA" w:rsidRDefault="00711444" w:rsidP="00AA2A4C">
            <w:pPr>
              <w:rPr>
                <w:b/>
              </w:rPr>
            </w:pPr>
            <w:r w:rsidRPr="004D0DAA">
              <w:rPr>
                <w:b/>
              </w:rPr>
              <w:t>PERSISTENCE_LEVEL</w:t>
            </w:r>
            <w:r w:rsidRPr="004D0DAA">
              <w:t xml:space="preserve"> (4 bit field for each Radio Priority 1…4)</w:t>
            </w:r>
            <w:r w:rsidRPr="004D0DAA">
              <w:br/>
              <w:t>This field is defined in</w:t>
            </w:r>
            <w:r w:rsidRPr="004D0DAA">
              <w:rPr>
                <w:i/>
              </w:rPr>
              <w:t xml:space="preserve"> </w:t>
            </w:r>
            <w:r w:rsidRPr="004D0DAA">
              <w:t>sub-clause 12.14, PRACH Control Parameters.</w:t>
            </w:r>
          </w:p>
        </w:tc>
      </w:tr>
      <w:tr w:rsidR="00711444" w:rsidRPr="004D0DAA" w14:paraId="0EF31C36" w14:textId="77777777" w:rsidTr="00AA2A4C">
        <w:tblPrEx>
          <w:tblCellMar>
            <w:top w:w="0" w:type="dxa"/>
            <w:bottom w:w="0" w:type="dxa"/>
          </w:tblCellMar>
        </w:tblPrEx>
        <w:trPr>
          <w:cantSplit/>
          <w:trHeight w:val="113"/>
        </w:trPr>
        <w:tc>
          <w:tcPr>
            <w:tcW w:w="9848" w:type="dxa"/>
            <w:shd w:val="clear" w:color="auto" w:fill="auto"/>
          </w:tcPr>
          <w:p w14:paraId="580D3D3C" w14:textId="77777777" w:rsidR="00711444" w:rsidRPr="004D0DAA" w:rsidRDefault="00711444" w:rsidP="00AA2A4C">
            <w:pPr>
              <w:rPr>
                <w:b/>
              </w:rPr>
            </w:pPr>
            <w:r w:rsidRPr="004D0DAA">
              <w:rPr>
                <w:b/>
              </w:rPr>
              <w:t>Global TFI</w:t>
            </w:r>
            <w:r w:rsidRPr="004D0DAA">
              <w:br/>
              <w:t>This information element identifies the uplink TFI, if available, or the downlink TFI, to which this message applies. This field is defined in</w:t>
            </w:r>
            <w:r w:rsidRPr="004D0DAA">
              <w:rPr>
                <w:i/>
              </w:rPr>
              <w:t xml:space="preserve"> </w:t>
            </w:r>
            <w:r w:rsidRPr="004D0DAA">
              <w:t>sub-clause 12.10.</w:t>
            </w:r>
          </w:p>
        </w:tc>
      </w:tr>
      <w:tr w:rsidR="00711444" w:rsidRPr="004D0DAA" w14:paraId="6177E166" w14:textId="77777777" w:rsidTr="00AA2A4C">
        <w:tblPrEx>
          <w:tblCellMar>
            <w:top w:w="0" w:type="dxa"/>
            <w:bottom w:w="0" w:type="dxa"/>
          </w:tblCellMar>
        </w:tblPrEx>
        <w:trPr>
          <w:cantSplit/>
          <w:trHeight w:val="113"/>
        </w:trPr>
        <w:tc>
          <w:tcPr>
            <w:tcW w:w="9848" w:type="dxa"/>
            <w:shd w:val="clear" w:color="auto" w:fill="auto"/>
          </w:tcPr>
          <w:p w14:paraId="1F8E0F4C" w14:textId="77777777" w:rsidR="00711444" w:rsidRPr="004D0DAA" w:rsidRDefault="00711444" w:rsidP="00AA2A4C">
            <w:pPr>
              <w:spacing w:after="0"/>
            </w:pPr>
            <w:r w:rsidRPr="004D0DAA">
              <w:rPr>
                <w:b/>
              </w:rPr>
              <w:t>TLLI / G-RNTI</w:t>
            </w:r>
            <w:r w:rsidRPr="004D0DAA">
              <w:br/>
              <w:t>This information element is defined in</w:t>
            </w:r>
            <w:r w:rsidRPr="004D0DAA">
              <w:rPr>
                <w:i/>
              </w:rPr>
              <w:t xml:space="preserve"> </w:t>
            </w:r>
            <w:r w:rsidRPr="004D0DAA">
              <w:t>sub-clause 12.16.</w:t>
            </w:r>
          </w:p>
          <w:p w14:paraId="27ED9B9F" w14:textId="77777777" w:rsidR="00711444" w:rsidRPr="004D0DAA" w:rsidRDefault="00711444" w:rsidP="00AA2A4C">
            <w:pPr>
              <w:spacing w:after="0"/>
              <w:rPr>
                <w:b/>
              </w:rPr>
            </w:pPr>
          </w:p>
        </w:tc>
      </w:tr>
      <w:tr w:rsidR="00711444" w:rsidRPr="004D0DAA" w14:paraId="0D956D7B" w14:textId="77777777" w:rsidTr="00AA2A4C">
        <w:tblPrEx>
          <w:tblCellMar>
            <w:top w:w="0" w:type="dxa"/>
            <w:bottom w:w="0" w:type="dxa"/>
          </w:tblCellMar>
        </w:tblPrEx>
        <w:trPr>
          <w:cantSplit/>
          <w:trHeight w:val="113"/>
        </w:trPr>
        <w:tc>
          <w:tcPr>
            <w:tcW w:w="9848" w:type="dxa"/>
            <w:shd w:val="clear" w:color="auto" w:fill="auto"/>
          </w:tcPr>
          <w:p w14:paraId="4F0F0090" w14:textId="77777777" w:rsidR="00711444" w:rsidRPr="004D0DAA" w:rsidRDefault="00711444" w:rsidP="00AA2A4C">
            <w:pPr>
              <w:rPr>
                <w:b/>
              </w:rPr>
            </w:pPr>
            <w:r w:rsidRPr="004D0DAA">
              <w:rPr>
                <w:b/>
              </w:rPr>
              <w:t>TQI</w:t>
            </w:r>
            <w:r w:rsidRPr="004D0DAA">
              <w:t xml:space="preserve"> (16 bit field)</w:t>
            </w:r>
            <w:r w:rsidRPr="004D0DAA">
              <w:br/>
              <w:t>This field is defined in</w:t>
            </w:r>
            <w:r w:rsidRPr="004D0DAA">
              <w:rPr>
                <w:i/>
              </w:rPr>
              <w:t xml:space="preserve"> </w:t>
            </w:r>
            <w:r w:rsidRPr="004D0DAA">
              <w:t>sub-clause 12.17.</w:t>
            </w:r>
          </w:p>
        </w:tc>
      </w:tr>
      <w:tr w:rsidR="00711444" w:rsidRPr="004D0DAA" w14:paraId="641A1B7A" w14:textId="77777777" w:rsidTr="00AA2A4C">
        <w:tblPrEx>
          <w:tblCellMar>
            <w:top w:w="0" w:type="dxa"/>
            <w:bottom w:w="0" w:type="dxa"/>
          </w:tblCellMar>
        </w:tblPrEx>
        <w:trPr>
          <w:cantSplit/>
          <w:trHeight w:val="113"/>
        </w:trPr>
        <w:tc>
          <w:tcPr>
            <w:tcW w:w="9848" w:type="dxa"/>
            <w:shd w:val="clear" w:color="auto" w:fill="auto"/>
          </w:tcPr>
          <w:p w14:paraId="3895C101" w14:textId="77777777" w:rsidR="00711444" w:rsidRPr="004D0DAA" w:rsidRDefault="00711444" w:rsidP="00AA2A4C">
            <w:pPr>
              <w:rPr>
                <w:b/>
              </w:rPr>
            </w:pPr>
            <w:r w:rsidRPr="004D0DAA">
              <w:rPr>
                <w:b/>
              </w:rPr>
              <w:t>Packet Request Reference</w:t>
            </w:r>
            <w:r w:rsidRPr="004D0DAA">
              <w:br/>
              <w:t>This information element is defined in</w:t>
            </w:r>
            <w:r w:rsidRPr="004D0DAA">
              <w:rPr>
                <w:i/>
              </w:rPr>
              <w:t xml:space="preserve"> </w:t>
            </w:r>
            <w:r w:rsidRPr="004D0DAA">
              <w:t>sub-clause 12.11.</w:t>
            </w:r>
          </w:p>
        </w:tc>
      </w:tr>
      <w:tr w:rsidR="00711444" w:rsidRPr="004D0DAA" w14:paraId="678138F3" w14:textId="77777777" w:rsidTr="00AA2A4C">
        <w:tblPrEx>
          <w:tblCellMar>
            <w:top w:w="0" w:type="dxa"/>
            <w:bottom w:w="0" w:type="dxa"/>
          </w:tblCellMar>
        </w:tblPrEx>
        <w:trPr>
          <w:cantSplit/>
          <w:trHeight w:val="113"/>
        </w:trPr>
        <w:tc>
          <w:tcPr>
            <w:tcW w:w="9848" w:type="dxa"/>
            <w:shd w:val="clear" w:color="auto" w:fill="auto"/>
          </w:tcPr>
          <w:p w14:paraId="589D0889" w14:textId="77777777" w:rsidR="00711444" w:rsidRPr="004D0DAA" w:rsidRDefault="00711444" w:rsidP="00AA2A4C">
            <w:r w:rsidRPr="004D0DAA">
              <w:rPr>
                <w:b/>
              </w:rPr>
              <w:t>CHANNEL_CODING_COMMAND</w:t>
            </w:r>
            <w:r w:rsidRPr="004D0DAA">
              <w:t xml:space="preserve"> (2 bit field)</w:t>
            </w:r>
            <w:r w:rsidRPr="004D0DAA">
              <w:br/>
              <w:t>The Channel Coding Indicator field indicates the channel coding scheme that the mobile station shall use when transmitting data on the uplink.</w:t>
            </w:r>
          </w:p>
          <w:p w14:paraId="1B5D5B38" w14:textId="77777777" w:rsidR="00711444" w:rsidRPr="004D0DAA" w:rsidRDefault="00711444" w:rsidP="00AA2A4C">
            <w:pPr>
              <w:tabs>
                <w:tab w:val="left" w:pos="851"/>
              </w:tabs>
              <w:rPr>
                <w:b/>
              </w:rPr>
            </w:pPr>
            <w:r w:rsidRPr="004D0DAA">
              <w:t>bit</w:t>
            </w:r>
            <w:r w:rsidRPr="004D0DAA">
              <w:br/>
              <w:t>2 1</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43232B4C" w14:textId="77777777" w:rsidTr="00AA2A4C">
        <w:tblPrEx>
          <w:tblCellMar>
            <w:top w:w="0" w:type="dxa"/>
            <w:bottom w:w="0" w:type="dxa"/>
          </w:tblCellMar>
        </w:tblPrEx>
        <w:trPr>
          <w:cantSplit/>
          <w:trHeight w:val="113"/>
        </w:trPr>
        <w:tc>
          <w:tcPr>
            <w:tcW w:w="9848" w:type="dxa"/>
            <w:shd w:val="clear" w:color="auto" w:fill="auto"/>
          </w:tcPr>
          <w:p w14:paraId="6372B8AA" w14:textId="77777777" w:rsidR="00711444" w:rsidRPr="004D0DAA" w:rsidRDefault="00711444" w:rsidP="00AA2A4C">
            <w:pPr>
              <w:rPr>
                <w:b/>
              </w:rPr>
            </w:pPr>
            <w:r w:rsidRPr="004D0DAA">
              <w:rPr>
                <w:b/>
              </w:rPr>
              <w:lastRenderedPageBreak/>
              <w:t xml:space="preserve">CONTENTION_RESOLUTION_TLLI </w:t>
            </w:r>
            <w:r w:rsidRPr="004D0DAA">
              <w:t>(32 bit field)</w:t>
            </w:r>
            <w:r w:rsidRPr="004D0DAA">
              <w:br/>
              <w:t>The CONTENTION_RESOLUTION_TLLI field is present only if the network has decoded one of the uplink blocks containing the TLLI or G-RNTI during the EGPRS one phase access. The mobile station shall perform the contention resolution function if this field is present. This field contains a TLLI or G-RNTI, which is defined in</w:t>
            </w:r>
            <w:r w:rsidRPr="004D0DAA">
              <w:rPr>
                <w:i/>
              </w:rPr>
              <w:t xml:space="preserve"> </w:t>
            </w:r>
            <w:r w:rsidRPr="004D0DAA">
              <w:t>sub-clause 12.16. See</w:t>
            </w:r>
            <w:r w:rsidRPr="004D0DAA">
              <w:rPr>
                <w:i/>
              </w:rPr>
              <w:t xml:space="preserve"> </w:t>
            </w:r>
            <w:r w:rsidRPr="004D0DAA">
              <w:t>sub-clause 7.1.2.3a.</w:t>
            </w:r>
          </w:p>
        </w:tc>
      </w:tr>
      <w:tr w:rsidR="00711444" w:rsidRPr="004D0DAA" w14:paraId="4EAF1571" w14:textId="77777777" w:rsidTr="00AA2A4C">
        <w:tblPrEx>
          <w:tblCellMar>
            <w:top w:w="0" w:type="dxa"/>
            <w:bottom w:w="0" w:type="dxa"/>
          </w:tblCellMar>
        </w:tblPrEx>
        <w:trPr>
          <w:cantSplit/>
          <w:trHeight w:val="113"/>
        </w:trPr>
        <w:tc>
          <w:tcPr>
            <w:tcW w:w="9848" w:type="dxa"/>
            <w:shd w:val="clear" w:color="auto" w:fill="auto"/>
          </w:tcPr>
          <w:p w14:paraId="3740DEC6" w14:textId="77777777" w:rsidR="00711444" w:rsidRPr="004D0DAA" w:rsidRDefault="00711444" w:rsidP="00AA2A4C">
            <w:pPr>
              <w:rPr>
                <w:b/>
              </w:rPr>
            </w:pPr>
            <w:r w:rsidRPr="004D0DAA">
              <w:rPr>
                <w:b/>
              </w:rPr>
              <w:t>COMPACT reduced MA</w:t>
            </w:r>
            <w:r w:rsidRPr="004D0DAA">
              <w:t xml:space="preserve"> </w:t>
            </w:r>
            <w:r w:rsidRPr="004D0DAA">
              <w:br/>
              <w:t>This information element is defined in</w:t>
            </w:r>
            <w:r w:rsidRPr="004D0DAA">
              <w:rPr>
                <w:i/>
              </w:rPr>
              <w:t xml:space="preserve"> </w:t>
            </w:r>
            <w:r w:rsidRPr="004D0DAA">
              <w:t>sub-clause 12.29.</w:t>
            </w:r>
          </w:p>
        </w:tc>
      </w:tr>
      <w:tr w:rsidR="00711444" w:rsidRPr="004D0DAA" w14:paraId="73D89991" w14:textId="77777777" w:rsidTr="00AA2A4C">
        <w:tblPrEx>
          <w:tblCellMar>
            <w:top w:w="0" w:type="dxa"/>
            <w:bottom w:w="0" w:type="dxa"/>
          </w:tblCellMar>
        </w:tblPrEx>
        <w:trPr>
          <w:cantSplit/>
          <w:trHeight w:val="113"/>
        </w:trPr>
        <w:tc>
          <w:tcPr>
            <w:tcW w:w="9848" w:type="dxa"/>
            <w:shd w:val="clear" w:color="auto" w:fill="auto"/>
          </w:tcPr>
          <w:p w14:paraId="2DD65CC7" w14:textId="77777777" w:rsidR="00711444" w:rsidRPr="004D0DAA" w:rsidRDefault="00711444" w:rsidP="00AA2A4C">
            <w:pPr>
              <w:spacing w:after="0"/>
              <w:rPr>
                <w:b/>
              </w:rPr>
            </w:pPr>
            <w:r w:rsidRPr="004D0DAA">
              <w:rPr>
                <w:b/>
              </w:rPr>
              <w:t>EGPRS Modulation and Coding Scheme</w:t>
            </w:r>
          </w:p>
          <w:p w14:paraId="13B21823" w14:textId="77777777" w:rsidR="00711444" w:rsidRPr="004D0DAA" w:rsidRDefault="00711444" w:rsidP="00AA2A4C">
            <w:r w:rsidRPr="004D0DAA">
              <w:t>The EGPRS Modulation and Coding Scheme information element is defined in</w:t>
            </w:r>
            <w:r w:rsidRPr="004D0DAA">
              <w:rPr>
                <w:i/>
              </w:rPr>
              <w:t xml:space="preserve"> </w:t>
            </w:r>
            <w:r w:rsidRPr="004D0DAA">
              <w:t>sub-clause 12.10d.</w:t>
            </w:r>
          </w:p>
          <w:p w14:paraId="3254A206" w14:textId="77777777" w:rsidR="00711444" w:rsidRPr="004D0DAA" w:rsidRDefault="00711444" w:rsidP="00AA2A4C">
            <w:r w:rsidRPr="004D0DAA">
              <w:t>If this field is included in a Dual Carrier assignment, it shall specify the initial EGPRS Modulation and Coding Scheme to be used on both carriers.</w:t>
            </w:r>
          </w:p>
        </w:tc>
      </w:tr>
      <w:tr w:rsidR="00711444" w:rsidRPr="004D0DAA" w14:paraId="6C11447B" w14:textId="77777777" w:rsidTr="00AA2A4C">
        <w:tblPrEx>
          <w:tblCellMar>
            <w:top w:w="0" w:type="dxa"/>
            <w:bottom w:w="0" w:type="dxa"/>
          </w:tblCellMar>
        </w:tblPrEx>
        <w:trPr>
          <w:cantSplit/>
          <w:trHeight w:val="113"/>
        </w:trPr>
        <w:tc>
          <w:tcPr>
            <w:tcW w:w="9848" w:type="dxa"/>
            <w:shd w:val="clear" w:color="auto" w:fill="auto"/>
          </w:tcPr>
          <w:p w14:paraId="57884443" w14:textId="77777777" w:rsidR="00711444" w:rsidRPr="004D0DAA" w:rsidRDefault="00711444" w:rsidP="00AA2A4C">
            <w:pPr>
              <w:spacing w:after="0"/>
              <w:rPr>
                <w:b/>
              </w:rPr>
            </w:pPr>
            <w:r w:rsidRPr="004D0DAA">
              <w:rPr>
                <w:b/>
              </w:rPr>
              <w:t xml:space="preserve">RESEGMENT </w:t>
            </w:r>
            <w:r w:rsidRPr="004D0DAA">
              <w:t>(1 bit field)</w:t>
            </w:r>
          </w:p>
          <w:p w14:paraId="21AFB075" w14:textId="77777777" w:rsidR="00711444" w:rsidRPr="004D0DAA" w:rsidRDefault="00711444" w:rsidP="00AA2A4C">
            <w:pPr>
              <w:rPr>
                <w:b/>
              </w:rPr>
            </w:pPr>
            <w:r w:rsidRPr="004D0DAA">
              <w:t>This field is defined in sub-clause 12.10e.</w:t>
            </w:r>
          </w:p>
        </w:tc>
      </w:tr>
      <w:tr w:rsidR="00711444" w:rsidRPr="004D0DAA" w14:paraId="173D81C1" w14:textId="77777777" w:rsidTr="00AA2A4C">
        <w:tblPrEx>
          <w:tblCellMar>
            <w:top w:w="0" w:type="dxa"/>
            <w:bottom w:w="0" w:type="dxa"/>
          </w:tblCellMar>
        </w:tblPrEx>
        <w:trPr>
          <w:cantSplit/>
          <w:trHeight w:val="113"/>
        </w:trPr>
        <w:tc>
          <w:tcPr>
            <w:tcW w:w="9848" w:type="dxa"/>
            <w:shd w:val="clear" w:color="auto" w:fill="auto"/>
          </w:tcPr>
          <w:p w14:paraId="6D7D0390" w14:textId="77777777" w:rsidR="00711444" w:rsidRPr="004D0DAA" w:rsidRDefault="00711444" w:rsidP="00AA2A4C">
            <w:pPr>
              <w:spacing w:after="0"/>
              <w:rPr>
                <w:b/>
              </w:rPr>
            </w:pPr>
            <w:r w:rsidRPr="004D0DAA">
              <w:rPr>
                <w:b/>
              </w:rPr>
              <w:t>EGPRS Window Size</w:t>
            </w:r>
          </w:p>
          <w:p w14:paraId="6FFEA644" w14:textId="77777777" w:rsidR="00711444" w:rsidRPr="004D0DAA" w:rsidRDefault="00711444" w:rsidP="00AA2A4C">
            <w:pPr>
              <w:rPr>
                <w:b/>
              </w:rPr>
            </w:pPr>
            <w:r w:rsidRPr="004D0DAA">
              <w:t>This information element is defined in sub-clause 12.5.2.</w:t>
            </w:r>
          </w:p>
        </w:tc>
      </w:tr>
      <w:tr w:rsidR="00711444" w:rsidRPr="004D0DAA" w14:paraId="79FB9799" w14:textId="77777777" w:rsidTr="00AA2A4C">
        <w:tblPrEx>
          <w:tblCellMar>
            <w:top w:w="0" w:type="dxa"/>
            <w:bottom w:w="0" w:type="dxa"/>
          </w:tblCellMar>
        </w:tblPrEx>
        <w:trPr>
          <w:cantSplit/>
          <w:trHeight w:val="113"/>
        </w:trPr>
        <w:tc>
          <w:tcPr>
            <w:tcW w:w="9848" w:type="dxa"/>
            <w:shd w:val="clear" w:color="auto" w:fill="auto"/>
          </w:tcPr>
          <w:p w14:paraId="2DA7971D" w14:textId="77777777" w:rsidR="00711444" w:rsidRPr="004D0DAA" w:rsidRDefault="00711444" w:rsidP="00AA2A4C">
            <w:r w:rsidRPr="004D0DAA">
              <w:rPr>
                <w:b/>
              </w:rPr>
              <w:t>TLLI_BLOCK_CHANNEL_CODING</w:t>
            </w:r>
            <w:r w:rsidRPr="004D0DAA">
              <w:t xml:space="preserve"> (1 bit field)</w:t>
            </w:r>
            <w:r w:rsidRPr="004D0DAA">
              <w:br/>
              <w:t>This field indicates the channel coding command that the mobile station shall use for any RLC data block containing a TLLI field in the RLC data block header. This field is coded as shown:</w:t>
            </w:r>
          </w:p>
          <w:p w14:paraId="115D10C0" w14:textId="77777777" w:rsidR="00711444" w:rsidRPr="004D0DAA" w:rsidRDefault="00711444" w:rsidP="00AA2A4C">
            <w:pPr>
              <w:spacing w:after="0"/>
              <w:ind w:left="284" w:hanging="284"/>
            </w:pPr>
            <w:r w:rsidRPr="004D0DAA">
              <w:t>0</w:t>
            </w:r>
            <w:r w:rsidRPr="004D0DAA">
              <w:tab/>
              <w:t>the mobile station shall use CS-1 in GPRS TBF mode and MCS-1 in EGPRS TBF mode.</w:t>
            </w:r>
          </w:p>
          <w:p w14:paraId="3A5847BA" w14:textId="77777777" w:rsidR="00711444" w:rsidRPr="004D0DAA" w:rsidRDefault="00711444" w:rsidP="00AA2A4C">
            <w:pPr>
              <w:spacing w:after="0"/>
              <w:ind w:left="284" w:hanging="284"/>
            </w:pPr>
            <w:r w:rsidRPr="004D0DAA">
              <w:t>1</w:t>
            </w:r>
            <w:r w:rsidRPr="004D0DAA">
              <w:tab/>
              <w:t>the mobile station shall use the value commanded in the CHANNEL_CODING_COMMAND or EGPRS_CHANNEL_CODING_COMMAND field.</w:t>
            </w:r>
          </w:p>
          <w:p w14:paraId="67C48A54" w14:textId="77777777" w:rsidR="00711444" w:rsidRPr="004D0DAA" w:rsidRDefault="00711444" w:rsidP="00AA2A4C">
            <w:pPr>
              <w:spacing w:after="0"/>
              <w:ind w:left="284" w:hanging="284"/>
              <w:rPr>
                <w:b/>
              </w:rPr>
            </w:pPr>
          </w:p>
        </w:tc>
      </w:tr>
      <w:tr w:rsidR="00711444" w:rsidRPr="004D0DAA" w14:paraId="0E4D1D93" w14:textId="77777777" w:rsidTr="00AA2A4C">
        <w:tblPrEx>
          <w:tblCellMar>
            <w:top w:w="0" w:type="dxa"/>
            <w:bottom w:w="0" w:type="dxa"/>
          </w:tblCellMar>
        </w:tblPrEx>
        <w:trPr>
          <w:cantSplit/>
          <w:trHeight w:val="113"/>
        </w:trPr>
        <w:tc>
          <w:tcPr>
            <w:tcW w:w="9848" w:type="dxa"/>
            <w:shd w:val="clear" w:color="auto" w:fill="auto"/>
          </w:tcPr>
          <w:p w14:paraId="43F3B5AD" w14:textId="77777777" w:rsidR="00711444" w:rsidRPr="004D0DAA" w:rsidRDefault="00711444" w:rsidP="00AA2A4C">
            <w:pPr>
              <w:spacing w:after="0"/>
            </w:pPr>
            <w:r w:rsidRPr="004D0DAA">
              <w:rPr>
                <w:b/>
              </w:rPr>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778D99AB" w14:textId="77777777" w:rsidR="00711444" w:rsidRPr="004D0DAA" w:rsidRDefault="00711444" w:rsidP="00AA2A4C">
            <w:pPr>
              <w:rPr>
                <w:b/>
              </w:rPr>
            </w:pPr>
            <w:r w:rsidRPr="004D0DAA">
              <w:t>Range: 0 to 15</w:t>
            </w:r>
          </w:p>
        </w:tc>
      </w:tr>
      <w:tr w:rsidR="00711444" w:rsidRPr="004D0DAA" w14:paraId="6B935271" w14:textId="77777777" w:rsidTr="00AA2A4C">
        <w:tblPrEx>
          <w:tblCellMar>
            <w:top w:w="0" w:type="dxa"/>
            <w:bottom w:w="0" w:type="dxa"/>
          </w:tblCellMar>
        </w:tblPrEx>
        <w:trPr>
          <w:cantSplit/>
          <w:trHeight w:val="113"/>
        </w:trPr>
        <w:tc>
          <w:tcPr>
            <w:tcW w:w="9848" w:type="dxa"/>
            <w:shd w:val="clear" w:color="auto" w:fill="auto"/>
          </w:tcPr>
          <w:p w14:paraId="3F744BF8" w14:textId="77777777" w:rsidR="00711444" w:rsidRPr="004D0DAA" w:rsidRDefault="00711444" w:rsidP="00AA2A4C">
            <w:pPr>
              <w:rPr>
                <w:b/>
              </w:rPr>
            </w:pPr>
            <w:r w:rsidRPr="004D0DAA">
              <w:rPr>
                <w:b/>
              </w:rPr>
              <w:t>UPLINK_TFI_ASSIGNMENT</w:t>
            </w:r>
            <w:r w:rsidRPr="004D0DAA">
              <w:t xml:space="preserve"> (5 bit field)</w:t>
            </w:r>
            <w:r w:rsidRPr="004D0DAA">
              <w:br/>
              <w:t>This information element, if present, assigns the contained TFI to the mobile station to identify the uplink TBF described by this message. This field is coded the same as the TFI field defined in sub-clause 12.15. If EMST is used, each TFI identifies an RLC entity allocated on the uplink TBF. If EMSR is supported, each TFI identifies a Packet Flow Context supported by a specific RLC entity allocated on the uplink TBF.</w:t>
            </w:r>
          </w:p>
        </w:tc>
      </w:tr>
      <w:tr w:rsidR="00711444" w:rsidRPr="004D0DAA" w14:paraId="4B1F2CF8" w14:textId="77777777" w:rsidTr="00AA2A4C">
        <w:tblPrEx>
          <w:tblCellMar>
            <w:top w:w="0" w:type="dxa"/>
            <w:bottom w:w="0" w:type="dxa"/>
          </w:tblCellMar>
        </w:tblPrEx>
        <w:trPr>
          <w:cantSplit/>
          <w:trHeight w:val="113"/>
        </w:trPr>
        <w:tc>
          <w:tcPr>
            <w:tcW w:w="9848" w:type="dxa"/>
            <w:shd w:val="clear" w:color="auto" w:fill="auto"/>
          </w:tcPr>
          <w:p w14:paraId="0DCEA1BB" w14:textId="77777777" w:rsidR="00711444" w:rsidRPr="004D0DAA" w:rsidRDefault="00711444" w:rsidP="00AA2A4C">
            <w:pPr>
              <w:rPr>
                <w:b/>
              </w:rPr>
            </w:pPr>
            <w:r w:rsidRPr="004D0DAA">
              <w:rPr>
                <w:b/>
              </w:rPr>
              <w:t>Packet Timing Advance</w:t>
            </w:r>
            <w:r w:rsidRPr="004D0DAA">
              <w:br/>
              <w:t>This information element is defined in sub-clause 12.12.</w:t>
            </w:r>
          </w:p>
        </w:tc>
      </w:tr>
      <w:tr w:rsidR="00711444" w:rsidRPr="004D0DAA" w14:paraId="1A29F8EE" w14:textId="77777777" w:rsidTr="00AA2A4C">
        <w:tblPrEx>
          <w:tblCellMar>
            <w:top w:w="0" w:type="dxa"/>
            <w:bottom w:w="0" w:type="dxa"/>
          </w:tblCellMar>
        </w:tblPrEx>
        <w:trPr>
          <w:cantSplit/>
          <w:trHeight w:val="113"/>
        </w:trPr>
        <w:tc>
          <w:tcPr>
            <w:tcW w:w="9848" w:type="dxa"/>
            <w:shd w:val="clear" w:color="auto" w:fill="auto"/>
          </w:tcPr>
          <w:p w14:paraId="060CFC1E" w14:textId="77777777" w:rsidR="00711444" w:rsidRPr="004D0DAA" w:rsidRDefault="00711444" w:rsidP="00AA2A4C">
            <w:r w:rsidRPr="004D0DAA">
              <w:rPr>
                <w:b/>
              </w:rPr>
              <w:t>Frequency Parameters</w:t>
            </w:r>
            <w:r w:rsidRPr="004D0DAA">
              <w:br/>
              <w:t>This information element, if present, assigns frequency parameters to the uplink TBF. If this information element is not present the mobile station shall use its previously assigned frequency parameters. This information element is defined in sub-clause 12.8.</w:t>
            </w:r>
          </w:p>
          <w:p w14:paraId="3B30AC18" w14:textId="77777777" w:rsidR="00711444" w:rsidRPr="004D0DAA" w:rsidRDefault="00711444" w:rsidP="00AA2A4C">
            <w:r w:rsidRPr="004D0DAA">
              <w:rPr>
                <w:rFonts w:cs="Arial"/>
                <w:b/>
                <w:bCs/>
              </w:rPr>
              <w:t>Frequency Parameters C1, Frequency Parameters C2</w:t>
            </w:r>
            <w:r w:rsidRPr="004D0DAA">
              <w:rPr>
                <w:rFonts w:cs="Arial"/>
                <w:b/>
                <w:bCs/>
              </w:rPr>
              <w:br/>
            </w:r>
            <w:r w:rsidRPr="004D0DAA">
              <w:t>These information elements are coded as defined in sub-clause 12.8. See sub-clause 11.2.7 for the usage of these information elements.</w:t>
            </w:r>
          </w:p>
          <w:p w14:paraId="5546DA1A" w14:textId="77777777" w:rsidR="00711444" w:rsidRPr="004D0DAA" w:rsidRDefault="00711444" w:rsidP="00AA2A4C">
            <w:pPr>
              <w:rPr>
                <w:b/>
              </w:rPr>
            </w:pPr>
            <w:r w:rsidRPr="004D0DAA">
              <w:rPr>
                <w:rFonts w:cs="Arial"/>
                <w:b/>
                <w:bCs/>
              </w:rPr>
              <w:t xml:space="preserve">Dual Carrier Frequency Parameters </w:t>
            </w:r>
            <w:r w:rsidRPr="004D0DAA">
              <w:rPr>
                <w:rFonts w:cs="Arial"/>
                <w:b/>
                <w:bCs/>
              </w:rPr>
              <w:br/>
            </w:r>
            <w:r w:rsidRPr="004D0DAA">
              <w:t>This information element, if present, assigns frequency parameters to the uplink TBF for both carriers in a dual carrier configuration. This information element is defined in sub-clause 12.8.2.</w:t>
            </w:r>
          </w:p>
        </w:tc>
      </w:tr>
      <w:tr w:rsidR="00711444" w:rsidRPr="004D0DAA" w14:paraId="44BE9A0B" w14:textId="77777777" w:rsidTr="00AA2A4C">
        <w:tblPrEx>
          <w:tblCellMar>
            <w:top w:w="0" w:type="dxa"/>
            <w:bottom w:w="0" w:type="dxa"/>
          </w:tblCellMar>
        </w:tblPrEx>
        <w:trPr>
          <w:cantSplit/>
          <w:trHeight w:val="113"/>
        </w:trPr>
        <w:tc>
          <w:tcPr>
            <w:tcW w:w="9848" w:type="dxa"/>
            <w:shd w:val="clear" w:color="auto" w:fill="auto"/>
          </w:tcPr>
          <w:p w14:paraId="573F8200" w14:textId="77777777" w:rsidR="00711444" w:rsidRPr="004D0DAA" w:rsidRDefault="00711444" w:rsidP="00AA2A4C">
            <w:r w:rsidRPr="004D0DAA">
              <w:rPr>
                <w:b/>
              </w:rPr>
              <w:lastRenderedPageBreak/>
              <w:t>Dynamic Allocation struct</w:t>
            </w:r>
            <w:r w:rsidRPr="004D0DAA">
              <w:rPr>
                <w:b/>
              </w:rPr>
              <w:br/>
            </w:r>
            <w:r w:rsidRPr="004D0DAA">
              <w:t>This information element contains parameters necessary to define the radio resources of a dynamic allocation or an extended dynamic allocation.</w:t>
            </w:r>
          </w:p>
          <w:p w14:paraId="3A6B150A" w14:textId="77777777" w:rsidR="00711444" w:rsidRPr="004D0DAA" w:rsidRDefault="00711444" w:rsidP="00AA2A4C">
            <w:pPr>
              <w:rPr>
                <w:lang w:eastAsia="ko-KR"/>
              </w:rPr>
            </w:pPr>
            <w:r w:rsidRPr="004D0DAA">
              <w:rPr>
                <w:lang w:eastAsia="ko-KR"/>
              </w:rPr>
              <w:t>In case of a timeslot allocation without power control parameters, the values of the power control parameters for assigned timeslots shall be the default values as specified in 3GPP TS 45.008. However, in case some of the timeslots assigned by this message are already used by the mobile station, the mobile station shall continue to use the current power control parameters for these timeslots.</w:t>
            </w:r>
          </w:p>
          <w:p w14:paraId="3912EEB5" w14:textId="77777777" w:rsidR="00711444" w:rsidRPr="004D0DAA" w:rsidRDefault="00711444" w:rsidP="00AA2A4C">
            <w:pPr>
              <w:rPr>
                <w:lang w:eastAsia="ko-KR"/>
              </w:rPr>
            </w:pPr>
            <w:r w:rsidRPr="004D0DAA">
              <w:rPr>
                <w:b/>
              </w:rPr>
              <w:t>Dynamic Allocation 2 struct</w:t>
            </w:r>
            <w:r w:rsidRPr="004D0DAA">
              <w:rPr>
                <w:b/>
              </w:rPr>
              <w:br/>
            </w:r>
            <w:r w:rsidRPr="004D0DAA">
              <w:t>This information element contains parameters necessary to define the radio resources of a dynamic allocation or an extended dynamic allocation</w:t>
            </w:r>
            <w:r w:rsidRPr="004D0DAA">
              <w:rPr>
                <w:lang w:eastAsia="ko-KR"/>
              </w:rPr>
              <w:t xml:space="preserve"> in a dual carrier, RTTI, BTTI with FANR activated, or EGPRS2 configuration.</w:t>
            </w:r>
          </w:p>
          <w:p w14:paraId="265C79EF" w14:textId="77777777" w:rsidR="00711444" w:rsidRPr="004D0DAA" w:rsidRDefault="00711444" w:rsidP="00AA2A4C">
            <w:pPr>
              <w:rPr>
                <w:b/>
              </w:rPr>
            </w:pPr>
            <w:r w:rsidRPr="004D0DAA">
              <w:rPr>
                <w:lang w:eastAsia="ko-KR"/>
              </w:rPr>
              <w:t>In case of a timeslot allocation without power control parameters, the values of the power control parameters for assigned timeslots shall be the default values as specified in 3GPP TS 45.008. However, in case some of the timeslots assigned by this message are already used by the mobile station, the mobile station shall continue to use the current power control parameters for these timeslots.</w:t>
            </w:r>
          </w:p>
        </w:tc>
      </w:tr>
      <w:tr w:rsidR="00711444" w:rsidRPr="004D0DAA" w14:paraId="2E95658D" w14:textId="77777777" w:rsidTr="00AA2A4C">
        <w:tblPrEx>
          <w:tblCellMar>
            <w:top w:w="0" w:type="dxa"/>
            <w:bottom w:w="0" w:type="dxa"/>
          </w:tblCellMar>
        </w:tblPrEx>
        <w:trPr>
          <w:cantSplit/>
          <w:trHeight w:val="113"/>
        </w:trPr>
        <w:tc>
          <w:tcPr>
            <w:tcW w:w="9848" w:type="dxa"/>
            <w:shd w:val="clear" w:color="auto" w:fill="auto"/>
          </w:tcPr>
          <w:p w14:paraId="5F287821" w14:textId="77777777" w:rsidR="00711444" w:rsidRPr="004D0DAA" w:rsidRDefault="00711444" w:rsidP="00AA2A4C">
            <w:pPr>
              <w:rPr>
                <w:b/>
              </w:rPr>
            </w:pPr>
            <w:r w:rsidRPr="004D0DAA">
              <w:rPr>
                <w:b/>
              </w:rPr>
              <w:t>EXTENDED_DYNAMIC_ALLOCATION</w:t>
            </w:r>
            <w:r w:rsidRPr="004D0DAA">
              <w:t xml:space="preserve"> (1 bit field)</w:t>
            </w:r>
            <w:r w:rsidRPr="004D0DAA">
              <w:br/>
              <w:t>This information field indicates the medium access mode to be used during the TBF.</w:t>
            </w:r>
            <w:r w:rsidRPr="004D0DAA">
              <w:br/>
              <w:t>0</w:t>
            </w:r>
            <w:r w:rsidRPr="004D0DAA">
              <w:tab/>
              <w:t>Dynamic Allocation</w:t>
            </w:r>
            <w:r w:rsidRPr="004D0DAA">
              <w:br/>
              <w:t>1</w:t>
            </w:r>
            <w:r w:rsidRPr="004D0DAA">
              <w:tab/>
              <w:t>Extended Dynamic Allocation</w:t>
            </w:r>
          </w:p>
        </w:tc>
      </w:tr>
      <w:tr w:rsidR="00711444" w:rsidRPr="004D0DAA" w14:paraId="62411344" w14:textId="77777777" w:rsidTr="00AA2A4C">
        <w:tblPrEx>
          <w:tblCellMar>
            <w:top w:w="0" w:type="dxa"/>
            <w:bottom w:w="0" w:type="dxa"/>
          </w:tblCellMar>
        </w:tblPrEx>
        <w:trPr>
          <w:cantSplit/>
          <w:trHeight w:val="113"/>
        </w:trPr>
        <w:tc>
          <w:tcPr>
            <w:tcW w:w="9848" w:type="dxa"/>
            <w:shd w:val="clear" w:color="auto" w:fill="auto"/>
          </w:tcPr>
          <w:p w14:paraId="3465AAB7" w14:textId="77777777" w:rsidR="00711444" w:rsidRPr="004D0DAA" w:rsidRDefault="00711444" w:rsidP="00AA2A4C">
            <w:r w:rsidRPr="004D0DAA">
              <w:rPr>
                <w:b/>
              </w:rPr>
              <w:t>TBF Starting Time</w:t>
            </w:r>
            <w:r w:rsidRPr="004D0DAA">
              <w:br/>
              <w:t>The TBF Starting Time field contains a starting time that indicates the frame number during which the assigned TBF may start.</w:t>
            </w:r>
          </w:p>
          <w:p w14:paraId="3B52F5D0" w14:textId="77777777" w:rsidR="00711444" w:rsidRPr="004D0DAA" w:rsidRDefault="00711444" w:rsidP="00AA2A4C">
            <w:r w:rsidRPr="004D0DAA">
              <w:t>In case of dynamic allocation, if no uplink TBF is in progress, the MS need not monitor the USF field until the TDMA frame number occurs. When the indicated TDMA frame number occurs, the mobile station shall immediately begin to monitor the USF field and use the new assigned uplink TBF parameters when its USF has occurred. If an uplink TBF is already in progress, the MS shall continue to use the parameters of the existing TBF until the TDMA frame number occurs. When the indicated TDMA frame number occurs, the mobile station shall immediately begin to monitor the USF field and use the new assigned uplink TBF parameters when its USF has occurred.</w:t>
            </w:r>
          </w:p>
          <w:p w14:paraId="78AD0367" w14:textId="77777777" w:rsidR="00711444" w:rsidRPr="004D0DAA" w:rsidRDefault="00711444" w:rsidP="00AA2A4C">
            <w:r w:rsidRPr="004D0DAA">
              <w:t>In case of single block allocation, the mobile station shall use the assigned timeslot during the RLC/MAC block whose first TDMA burst occurs in the indicated TDMA frame number.</w:t>
            </w:r>
          </w:p>
          <w:p w14:paraId="20687444" w14:textId="77777777" w:rsidR="00711444" w:rsidRPr="004D0DAA" w:rsidRDefault="00711444" w:rsidP="00AA2A4C">
            <w:pPr>
              <w:rPr>
                <w:b/>
              </w:rPr>
            </w:pPr>
            <w:r w:rsidRPr="004D0DAA">
              <w:t>This information element is encoded as the Starting Frame Number Description IE. See sub-clause 12.21.</w:t>
            </w:r>
          </w:p>
        </w:tc>
      </w:tr>
      <w:tr w:rsidR="00711444" w:rsidRPr="004D0DAA" w14:paraId="5DDEB295" w14:textId="77777777" w:rsidTr="00AA2A4C">
        <w:tblPrEx>
          <w:tblCellMar>
            <w:top w:w="0" w:type="dxa"/>
            <w:bottom w:w="0" w:type="dxa"/>
          </w:tblCellMar>
        </w:tblPrEx>
        <w:trPr>
          <w:cantSplit/>
          <w:trHeight w:val="113"/>
        </w:trPr>
        <w:tc>
          <w:tcPr>
            <w:tcW w:w="9848" w:type="dxa"/>
            <w:shd w:val="clear" w:color="auto" w:fill="auto"/>
          </w:tcPr>
          <w:p w14:paraId="758D0B3D" w14:textId="77777777" w:rsidR="00711444" w:rsidRPr="004D0DAA" w:rsidRDefault="00711444" w:rsidP="00AA2A4C">
            <w:r w:rsidRPr="004D0DAA">
              <w:rPr>
                <w:b/>
              </w:rPr>
              <w:t>USF_TN0</w:t>
            </w:r>
            <w:r w:rsidRPr="004D0DAA">
              <w:t xml:space="preserve"> (3 bit field)</w:t>
            </w:r>
            <w:r w:rsidRPr="004D0DAA">
              <w:br/>
            </w:r>
            <w:r w:rsidRPr="004D0DAA">
              <w:rPr>
                <w:b/>
              </w:rPr>
              <w:t>USF_TN1</w:t>
            </w:r>
            <w:r w:rsidRPr="004D0DAA">
              <w:t xml:space="preserve"> (3 bit field)</w:t>
            </w:r>
            <w:r w:rsidRPr="004D0DAA">
              <w:br/>
            </w:r>
            <w:r w:rsidRPr="004D0DAA">
              <w:rPr>
                <w:b/>
              </w:rPr>
              <w:t>USF_TN2</w:t>
            </w:r>
            <w:r w:rsidRPr="004D0DAA">
              <w:t xml:space="preserve"> (3 bit field)</w:t>
            </w:r>
            <w:r w:rsidRPr="004D0DAA">
              <w:br/>
            </w:r>
            <w:r w:rsidRPr="004D0DAA">
              <w:rPr>
                <w:b/>
              </w:rPr>
              <w:t>USF_TN3</w:t>
            </w:r>
            <w:r w:rsidRPr="004D0DAA">
              <w:t xml:space="preserve"> (3 bit field)</w:t>
            </w:r>
            <w:r w:rsidRPr="004D0DAA">
              <w:br/>
            </w:r>
            <w:r w:rsidRPr="004D0DAA">
              <w:rPr>
                <w:b/>
              </w:rPr>
              <w:t>USF_TN4</w:t>
            </w:r>
            <w:r w:rsidRPr="004D0DAA">
              <w:t xml:space="preserve"> (3 bit field)</w:t>
            </w:r>
            <w:r w:rsidRPr="004D0DAA">
              <w:br/>
            </w:r>
            <w:r w:rsidRPr="004D0DAA">
              <w:rPr>
                <w:b/>
              </w:rPr>
              <w:t>USF_TN5</w:t>
            </w:r>
            <w:r w:rsidRPr="004D0DAA">
              <w:t xml:space="preserve"> (3 bit field)</w:t>
            </w:r>
            <w:r w:rsidRPr="004D0DAA">
              <w:br/>
            </w:r>
            <w:r w:rsidRPr="004D0DAA">
              <w:rPr>
                <w:b/>
              </w:rPr>
              <w:t>USF_TN6</w:t>
            </w:r>
            <w:r w:rsidRPr="004D0DAA">
              <w:t xml:space="preserve"> (3 bit field)</w:t>
            </w:r>
            <w:r w:rsidRPr="004D0DAA">
              <w:br/>
            </w:r>
            <w:r w:rsidRPr="004D0DAA">
              <w:rPr>
                <w:b/>
              </w:rPr>
              <w:t>USF_TN7</w:t>
            </w:r>
            <w:r w:rsidRPr="004D0DAA">
              <w:t xml:space="preserve"> (3 bit field)</w:t>
            </w:r>
          </w:p>
          <w:p w14:paraId="3EF526CF" w14:textId="77777777" w:rsidR="00711444" w:rsidRPr="004D0DAA" w:rsidRDefault="00711444" w:rsidP="00AA2A4C">
            <w:r w:rsidRPr="004D0DAA">
              <w:t>These fields indicate the USF value assigned to the MS for assigned timeslots (range 0 to 7). These fields are encoded as a binary presentation of the USF value as defined in sub-clause 10.4.1.</w:t>
            </w:r>
          </w:p>
        </w:tc>
      </w:tr>
      <w:tr w:rsidR="00711444" w:rsidRPr="004D0DAA" w14:paraId="2E039BCD" w14:textId="77777777" w:rsidTr="00AA2A4C">
        <w:tblPrEx>
          <w:tblCellMar>
            <w:top w:w="0" w:type="dxa"/>
            <w:bottom w:w="0" w:type="dxa"/>
          </w:tblCellMar>
        </w:tblPrEx>
        <w:trPr>
          <w:cantSplit/>
          <w:trHeight w:val="113"/>
        </w:trPr>
        <w:tc>
          <w:tcPr>
            <w:tcW w:w="9848" w:type="dxa"/>
            <w:shd w:val="clear" w:color="auto" w:fill="auto"/>
          </w:tcPr>
          <w:p w14:paraId="4375E0BC"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1C3B67A3"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5FF0D656" w14:textId="77777777" w:rsidTr="00AA2A4C">
        <w:tblPrEx>
          <w:tblCellMar>
            <w:top w:w="0" w:type="dxa"/>
            <w:bottom w:w="0" w:type="dxa"/>
          </w:tblCellMar>
        </w:tblPrEx>
        <w:trPr>
          <w:cantSplit/>
          <w:trHeight w:val="113"/>
        </w:trPr>
        <w:tc>
          <w:tcPr>
            <w:tcW w:w="9848" w:type="dxa"/>
            <w:shd w:val="clear" w:color="auto" w:fill="auto"/>
          </w:tcPr>
          <w:p w14:paraId="5B7CDB2B" w14:textId="77777777" w:rsidR="00711444" w:rsidRPr="004D0DAA" w:rsidRDefault="00711444" w:rsidP="00AA2A4C">
            <w:pPr>
              <w:rPr>
                <w:b/>
              </w:rPr>
            </w:pPr>
            <w:r w:rsidRPr="004D0DAA">
              <w:rPr>
                <w:b/>
              </w:rPr>
              <w:t>Single Block Allocation struct</w:t>
            </w:r>
            <w:r w:rsidRPr="004D0DAA">
              <w:rPr>
                <w:b/>
              </w:rPr>
              <w:br/>
            </w:r>
            <w:r w:rsidRPr="004D0DAA">
              <w:t>This information element contains parameters necessary to define the radio resources of a Single Block allocation. For example for sending of a PACKET RESOURCE REQUEST message in a two phase access or a Measurement report.</w:t>
            </w:r>
          </w:p>
        </w:tc>
      </w:tr>
      <w:tr w:rsidR="00711444" w:rsidRPr="004D0DAA" w14:paraId="1622718A" w14:textId="77777777" w:rsidTr="00AA2A4C">
        <w:tblPrEx>
          <w:tblCellMar>
            <w:top w:w="0" w:type="dxa"/>
            <w:bottom w:w="0" w:type="dxa"/>
          </w:tblCellMar>
        </w:tblPrEx>
        <w:trPr>
          <w:cantSplit/>
          <w:trHeight w:val="113"/>
        </w:trPr>
        <w:tc>
          <w:tcPr>
            <w:tcW w:w="9848" w:type="dxa"/>
            <w:shd w:val="clear" w:color="auto" w:fill="auto"/>
          </w:tcPr>
          <w:p w14:paraId="355B99A7" w14:textId="77777777" w:rsidR="00711444" w:rsidRPr="004D0DAA" w:rsidRDefault="00711444" w:rsidP="00AA2A4C">
            <w:pPr>
              <w:rPr>
                <w:b/>
              </w:rPr>
            </w:pPr>
            <w:r w:rsidRPr="004D0DAA">
              <w:rPr>
                <w:b/>
              </w:rPr>
              <w:lastRenderedPageBreak/>
              <w:t>TIMESLOT_NUMBER</w:t>
            </w:r>
            <w:r w:rsidRPr="004D0DAA">
              <w:t xml:space="preserve"> (3 bit field)</w:t>
            </w:r>
            <w:r w:rsidRPr="004D0DAA">
              <w:br/>
              <w:t>This field indicates the timeslot assigned for transfer of a single RLC/MAC block on the uplink. This field is coded as the binary representation of the timeslot number as defined in 3GPP TS 45.010.</w:t>
            </w:r>
            <w:r w:rsidRPr="004D0DAA">
              <w:br/>
              <w:t>Range 0 to 7</w:t>
            </w:r>
          </w:p>
        </w:tc>
      </w:tr>
      <w:tr w:rsidR="00711444" w:rsidRPr="004D0DAA" w14:paraId="51B0F546" w14:textId="77777777" w:rsidTr="00AA2A4C">
        <w:tblPrEx>
          <w:tblCellMar>
            <w:top w:w="0" w:type="dxa"/>
            <w:bottom w:w="0" w:type="dxa"/>
          </w:tblCellMar>
        </w:tblPrEx>
        <w:trPr>
          <w:cantSplit/>
          <w:trHeight w:val="113"/>
        </w:trPr>
        <w:tc>
          <w:tcPr>
            <w:tcW w:w="9848" w:type="dxa"/>
            <w:shd w:val="clear" w:color="auto" w:fill="auto"/>
          </w:tcPr>
          <w:p w14:paraId="426A74C1" w14:textId="77777777" w:rsidR="00711444" w:rsidRPr="004D0DAA" w:rsidRDefault="00711444" w:rsidP="00AA2A4C">
            <w:r w:rsidRPr="004D0DAA">
              <w:rPr>
                <w:b/>
              </w:rPr>
              <w:t>ALPHA</w:t>
            </w:r>
            <w:r w:rsidRPr="004D0DAA">
              <w:t xml:space="preserve"> (4 bit field)</w:t>
            </w:r>
            <w:r w:rsidRPr="004D0DAA">
              <w:br/>
              <w:t>For encoding and description see the Global Power Control Parameters IE.</w:t>
            </w:r>
          </w:p>
          <w:p w14:paraId="090DDDBE" w14:textId="77777777" w:rsidR="00711444" w:rsidRPr="004D0DAA" w:rsidRDefault="00711444" w:rsidP="00AA2A4C">
            <w:r w:rsidRPr="004D0DAA">
              <w:rPr>
                <w:b/>
              </w:rPr>
              <w:t>ALPHA_C1, ALPHA_C2</w:t>
            </w:r>
            <w:r w:rsidRPr="004D0DAA">
              <w:t xml:space="preserve"> (4 bit field)</w:t>
            </w:r>
            <w:r w:rsidRPr="004D0DAA">
              <w:br/>
              <w:t xml:space="preserve">If the Assignment Type field is included and indicates 'Assignment on single carrier only' or 'Modification of existing assignment', then ALPHA_C1 (if present) shall apply to the carrier specified in the Carrier ID field. </w:t>
            </w:r>
          </w:p>
          <w:p w14:paraId="74007C64" w14:textId="77777777" w:rsidR="00711444" w:rsidRPr="004D0DAA" w:rsidRDefault="00711444" w:rsidP="00AA2A4C">
            <w:pPr>
              <w:rPr>
                <w:b/>
              </w:rPr>
            </w:pPr>
            <w:r w:rsidRPr="004D0DAA">
              <w:t>If the Assignment Type field is included and indicates 'Dual Carrier assignment', ALPHA_C1 and ALPHA_C2 indicate the value of the parameter alpha to be applied in power control on carrier 1 and carrier 2 respectively. For encoding and description see the Global Power Control Parameters IE. If ALPHA_C1 is present and ALPHA_C2 is absent, then ALPHA_C1 shall apply to carrier 2.</w:t>
            </w:r>
          </w:p>
        </w:tc>
      </w:tr>
      <w:tr w:rsidR="00711444" w:rsidRPr="004D0DAA" w14:paraId="006B6862" w14:textId="77777777" w:rsidTr="00AA2A4C">
        <w:tblPrEx>
          <w:tblCellMar>
            <w:top w:w="0" w:type="dxa"/>
            <w:bottom w:w="0" w:type="dxa"/>
          </w:tblCellMar>
        </w:tblPrEx>
        <w:trPr>
          <w:cantSplit/>
          <w:trHeight w:val="113"/>
        </w:trPr>
        <w:tc>
          <w:tcPr>
            <w:tcW w:w="9848" w:type="dxa"/>
            <w:shd w:val="clear" w:color="auto" w:fill="auto"/>
          </w:tcPr>
          <w:p w14:paraId="0CBE5C78" w14:textId="77777777" w:rsidR="00711444" w:rsidRPr="004D0DAA" w:rsidRDefault="00711444" w:rsidP="00AA2A4C">
            <w:r w:rsidRPr="004D0DAA">
              <w:rPr>
                <w:b/>
              </w:rPr>
              <w:t>GAMMA, GAMMA_TN</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7DEE197E"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p w14:paraId="3254F5EE" w14:textId="77777777" w:rsidR="00711444" w:rsidRPr="004D0DAA" w:rsidRDefault="00711444" w:rsidP="00AA2A4C">
            <w:pPr>
              <w:tabs>
                <w:tab w:val="left" w:pos="1134"/>
              </w:tabs>
              <w:rPr>
                <w:b/>
              </w:rPr>
            </w:pPr>
            <w:r w:rsidRPr="004D0DAA">
              <w:t xml:space="preserve">In the case of RTTI mode with BTTI USF, exactly one GAMMA field shall be included for each PDCH pair for which either one or two USF values are assigned. </w:t>
            </w:r>
          </w:p>
        </w:tc>
      </w:tr>
      <w:tr w:rsidR="00711444" w:rsidRPr="004D0DAA" w14:paraId="1D77C354" w14:textId="77777777" w:rsidTr="00AA2A4C">
        <w:tblPrEx>
          <w:tblCellMar>
            <w:top w:w="0" w:type="dxa"/>
            <w:bottom w:w="0" w:type="dxa"/>
          </w:tblCellMar>
        </w:tblPrEx>
        <w:trPr>
          <w:cantSplit/>
          <w:trHeight w:val="113"/>
        </w:trPr>
        <w:tc>
          <w:tcPr>
            <w:tcW w:w="9848" w:type="dxa"/>
            <w:shd w:val="clear" w:color="auto" w:fill="auto"/>
          </w:tcPr>
          <w:p w14:paraId="33901E91" w14:textId="77777777" w:rsidR="00711444" w:rsidRPr="004D0DAA" w:rsidRDefault="00711444" w:rsidP="00AA2A4C">
            <w:r w:rsidRPr="004D0DAA">
              <w:rPr>
                <w:b/>
              </w:rPr>
              <w:t>P0, P0_C1, P0_C2</w:t>
            </w:r>
            <w:r w:rsidRPr="004D0DAA">
              <w:t xml:space="preserve"> (4 bit field)</w:t>
            </w:r>
            <w:r w:rsidRPr="004D0DAA">
              <w:br/>
              <w:t xml:space="preserve">These fields are optional downlink power control parameters. </w:t>
            </w:r>
          </w:p>
          <w:p w14:paraId="3AF16589" w14:textId="77777777" w:rsidR="00711444" w:rsidRPr="004D0DAA" w:rsidRDefault="00711444" w:rsidP="00AA2A4C">
            <w:r w:rsidRPr="004D0DAA">
              <w:t xml:space="preserve">If the Assignment Type field is present and indicates 'Dual Carrier assignment', P0_C1 and P0_C2 apply to carrier 1 and carrier 2, respectively. The presence of these parameters indicates that downlink power control is used for the indicated carrier; otherwise, downlink power control is not used for the indicated carrier. If the P0_C1 IE is present but the P0_C2 IE is absent, then the P0_C1 IE shall apply also to carrier 2. </w:t>
            </w:r>
          </w:p>
          <w:p w14:paraId="59D11B56" w14:textId="77777777" w:rsidR="00711444" w:rsidRPr="004D0DAA" w:rsidRDefault="00711444" w:rsidP="00AA2A4C">
            <w:r w:rsidRPr="004D0DAA">
              <w:t>If the Assignment Type field is included and indicates 'Assignment on single carrier only' or 'Modification of existing assignment', then P0_C1 shall apply to the carrier specified in the Carrier ID field.</w:t>
            </w:r>
          </w:p>
          <w:p w14:paraId="46129D3D" w14:textId="77777777" w:rsidR="00711444" w:rsidRPr="004D0DAA" w:rsidRDefault="00711444" w:rsidP="00AA2A4C">
            <w:r w:rsidRPr="004D0DAA">
              <w:t>These fields are encoded as follows:</w:t>
            </w:r>
          </w:p>
          <w:p w14:paraId="532715AF" w14:textId="77777777" w:rsidR="00711444" w:rsidRPr="004D0DAA" w:rsidRDefault="00711444" w:rsidP="00AA2A4C">
            <w:pPr>
              <w:tabs>
                <w:tab w:val="left" w:pos="1134"/>
              </w:tabs>
              <w:rPr>
                <w:b/>
              </w:rPr>
            </w:pPr>
            <w:r w:rsidRPr="004D0DAA">
              <w:t>bit</w:t>
            </w:r>
            <w:r w:rsidRPr="004D0DAA">
              <w:br/>
              <w:t xml:space="preserve">4 3 2 1 </w:t>
            </w:r>
            <w:r w:rsidRPr="004D0DAA">
              <w:br/>
              <w:t>0 0 0 0</w:t>
            </w:r>
            <w:r w:rsidRPr="004D0DAA">
              <w:tab/>
              <w:t>P0 = 0 dB</w:t>
            </w:r>
            <w:r w:rsidRPr="004D0DAA">
              <w:br/>
              <w:t>0 0 0 1</w:t>
            </w:r>
            <w:r w:rsidRPr="004D0DAA">
              <w:tab/>
              <w:t>P0 = 2 dB</w:t>
            </w:r>
            <w:r w:rsidRPr="004D0DAA">
              <w:br/>
              <w:t>0 0 1 0</w:t>
            </w:r>
            <w:r w:rsidRPr="004D0DAA">
              <w:tab/>
              <w:t>P0 = 4 dB</w:t>
            </w:r>
            <w:r w:rsidRPr="004D0DAA">
              <w:br/>
              <w:t>:</w:t>
            </w:r>
            <w:r w:rsidRPr="004D0DAA">
              <w:br/>
              <w:t>1 1 1 1</w:t>
            </w:r>
            <w:r w:rsidRPr="004D0DAA">
              <w:tab/>
              <w:t>P0 = 30 dB</w:t>
            </w:r>
          </w:p>
        </w:tc>
      </w:tr>
      <w:tr w:rsidR="00711444" w:rsidRPr="004D0DAA" w14:paraId="2A26EA06" w14:textId="77777777" w:rsidTr="00AA2A4C">
        <w:tblPrEx>
          <w:tblCellMar>
            <w:top w:w="0" w:type="dxa"/>
            <w:bottom w:w="0" w:type="dxa"/>
          </w:tblCellMar>
        </w:tblPrEx>
        <w:trPr>
          <w:cantSplit/>
          <w:trHeight w:val="113"/>
        </w:trPr>
        <w:tc>
          <w:tcPr>
            <w:tcW w:w="9848" w:type="dxa"/>
            <w:shd w:val="clear" w:color="auto" w:fill="auto"/>
          </w:tcPr>
          <w:p w14:paraId="168D1E72" w14:textId="77777777" w:rsidR="00711444" w:rsidRPr="004D0DAA" w:rsidRDefault="00711444" w:rsidP="00AA2A4C">
            <w:r w:rsidRPr="004D0DAA">
              <w:rPr>
                <w:b/>
              </w:rPr>
              <w:t xml:space="preserve">PR_MODE, PR_MODE_C1, PR_MODE_C2 </w:t>
            </w:r>
            <w:r w:rsidRPr="004D0DAA">
              <w:t>(1 bit field)</w:t>
            </w:r>
            <w:r w:rsidRPr="004D0DAA">
              <w:br/>
              <w:t>These fields indicate the PR Management mode, as defined in 3GPP TS 45.008.</w:t>
            </w:r>
          </w:p>
          <w:p w14:paraId="3ED5C658" w14:textId="77777777" w:rsidR="00711444" w:rsidRPr="004D0DAA" w:rsidRDefault="00711444" w:rsidP="00AA2A4C">
            <w:pPr>
              <w:rPr>
                <w:b/>
              </w:rPr>
            </w:pPr>
            <w:r w:rsidRPr="004D0DAA">
              <w:t>If the Assignment Type field is included and indicates 'Assignment on single carrier only' or 'Modification of existing assignment', then PR_MODE_C1 shall apply to the carrier specified in the Carrier ID field. Otherwise, PR_MODE_C1 and PR_MODE_C2 shall apply to carrier 1 and carrier 2 respectively. If the Assignment Type field indicates 'Dual Carrier assignment and the PR_MODE_C1 IE is present but the PR_MODE_C2 IE is absent, then the PR_MODE_C1 IE shall apply also to carrier 2. It is encoded as follows:</w:t>
            </w:r>
            <w:r w:rsidRPr="004D0DAA">
              <w:br/>
              <w:t>0</w:t>
            </w:r>
            <w:r w:rsidRPr="004D0DAA">
              <w:tab/>
              <w:t>PR mode A: for one addressed MS</w:t>
            </w:r>
            <w:r w:rsidRPr="004D0DAA">
              <w:br/>
              <w:t>1</w:t>
            </w:r>
            <w:r w:rsidRPr="004D0DAA">
              <w:tab/>
              <w:t>PR mode B: for all MS</w:t>
            </w:r>
          </w:p>
        </w:tc>
      </w:tr>
      <w:tr w:rsidR="00711444" w:rsidRPr="004D0DAA" w14:paraId="5F35D584" w14:textId="77777777" w:rsidTr="00AA2A4C">
        <w:tblPrEx>
          <w:tblCellMar>
            <w:top w:w="0" w:type="dxa"/>
            <w:bottom w:w="0" w:type="dxa"/>
          </w:tblCellMar>
        </w:tblPrEx>
        <w:trPr>
          <w:cantSplit/>
          <w:trHeight w:val="113"/>
        </w:trPr>
        <w:tc>
          <w:tcPr>
            <w:tcW w:w="9848" w:type="dxa"/>
            <w:shd w:val="clear" w:color="auto" w:fill="auto"/>
          </w:tcPr>
          <w:p w14:paraId="31ECA9AB" w14:textId="77777777" w:rsidR="00711444" w:rsidRPr="004D0DAA" w:rsidRDefault="00711444" w:rsidP="00AA2A4C">
            <w:pPr>
              <w:rPr>
                <w:b/>
              </w:rPr>
            </w:pPr>
            <w:r w:rsidRPr="004D0DAA">
              <w:rPr>
                <w:b/>
              </w:rPr>
              <w:lastRenderedPageBreak/>
              <w:t xml:space="preserve">Packet Extended Timing Advance </w:t>
            </w:r>
            <w:r w:rsidRPr="004D0DAA">
              <w:t>(2 bit field)</w:t>
            </w:r>
            <w:r w:rsidRPr="004D0DAA">
              <w:rPr>
                <w:b/>
              </w:rPr>
              <w:t xml:space="preserve"> </w:t>
            </w:r>
            <w:r w:rsidRPr="004D0DAA">
              <w:rPr>
                <w:b/>
              </w:rPr>
              <w:br/>
            </w:r>
            <w:r w:rsidRPr="004D0DAA">
              <w:t>This field is defined in sub-clause 12.12b.</w:t>
            </w:r>
          </w:p>
        </w:tc>
      </w:tr>
      <w:tr w:rsidR="00711444" w:rsidRPr="004D0DAA" w14:paraId="3D9E1BCD" w14:textId="77777777" w:rsidTr="00AA2A4C">
        <w:tblPrEx>
          <w:tblCellMar>
            <w:top w:w="0" w:type="dxa"/>
            <w:bottom w:w="0" w:type="dxa"/>
          </w:tblCellMar>
        </w:tblPrEx>
        <w:trPr>
          <w:cantSplit/>
          <w:trHeight w:val="113"/>
        </w:trPr>
        <w:tc>
          <w:tcPr>
            <w:tcW w:w="9848" w:type="dxa"/>
            <w:shd w:val="clear" w:color="auto" w:fill="auto"/>
          </w:tcPr>
          <w:p w14:paraId="2F4D2556" w14:textId="77777777" w:rsidR="00711444" w:rsidRPr="004D0DAA" w:rsidRDefault="00711444" w:rsidP="00AA2A4C">
            <w:pPr>
              <w:rPr>
                <w:b/>
              </w:rPr>
            </w:pPr>
            <w:r w:rsidRPr="004D0DAA">
              <w:rPr>
                <w:b/>
              </w:rPr>
              <w:t>Multi Block Allocation struct</w:t>
            </w:r>
            <w:r w:rsidRPr="004D0DAA">
              <w:rPr>
                <w:b/>
              </w:rPr>
              <w:br/>
            </w:r>
            <w:r w:rsidRPr="004D0DAA">
              <w:t>This information element contains parameters necessary to define the radio resources of a Multi Block allocation.</w:t>
            </w:r>
          </w:p>
        </w:tc>
      </w:tr>
      <w:tr w:rsidR="00711444" w:rsidRPr="004D0DAA" w14:paraId="70D7189C" w14:textId="77777777" w:rsidTr="00AA2A4C">
        <w:tblPrEx>
          <w:tblCellMar>
            <w:top w:w="0" w:type="dxa"/>
            <w:bottom w:w="0" w:type="dxa"/>
          </w:tblCellMar>
        </w:tblPrEx>
        <w:trPr>
          <w:cantSplit/>
          <w:trHeight w:val="113"/>
        </w:trPr>
        <w:tc>
          <w:tcPr>
            <w:tcW w:w="9848" w:type="dxa"/>
            <w:shd w:val="clear" w:color="auto" w:fill="auto"/>
          </w:tcPr>
          <w:p w14:paraId="759D4CDA" w14:textId="77777777" w:rsidR="00711444" w:rsidRPr="004D0DAA" w:rsidRDefault="00711444" w:rsidP="00AA2A4C">
            <w:pPr>
              <w:spacing w:after="0"/>
            </w:pPr>
            <w:r w:rsidRPr="004D0DAA">
              <w:rPr>
                <w:b/>
              </w:rPr>
              <w:t xml:space="preserve">NUMBER OF RADIO BLOCKS ALLOCATED </w:t>
            </w:r>
            <w:r w:rsidRPr="004D0DAA">
              <w:t>(2 bit field)</w:t>
            </w:r>
          </w:p>
          <w:p w14:paraId="2E9A4F0B" w14:textId="77777777" w:rsidR="00711444" w:rsidRPr="004D0DAA" w:rsidRDefault="00711444" w:rsidP="00AA2A4C">
            <w:pPr>
              <w:tabs>
                <w:tab w:val="left" w:pos="851"/>
              </w:tabs>
              <w:rPr>
                <w:b/>
              </w:rPr>
            </w:pPr>
            <w:r w:rsidRPr="004D0DAA">
              <w:t>Bits</w:t>
            </w:r>
            <w:r w:rsidRPr="004D0DAA">
              <w:br/>
              <w:t>1 0</w:t>
            </w:r>
            <w:r w:rsidRPr="004D0DAA">
              <w:br/>
              <w:t>0 0</w:t>
            </w:r>
            <w:r w:rsidRPr="004D0DAA">
              <w:tab/>
              <w:t>1 radio block reserved for uplink transmission</w:t>
            </w:r>
            <w:r w:rsidRPr="004D0DAA">
              <w:br/>
              <w:t>0 1</w:t>
            </w:r>
            <w:r w:rsidRPr="004D0DAA">
              <w:tab/>
              <w:t>2 radio blocks reserved for uplink transmission</w:t>
            </w:r>
            <w:r w:rsidRPr="004D0DAA">
              <w:br/>
              <w:t>1 0</w:t>
            </w:r>
            <w:r w:rsidRPr="004D0DAA">
              <w:tab/>
              <w:t>reserved for future use</w:t>
            </w:r>
            <w:r w:rsidRPr="004D0DAA">
              <w:br/>
              <w:t>1 1</w:t>
            </w:r>
            <w:r w:rsidRPr="004D0DAA">
              <w:tab/>
              <w:t>reserved for future use</w:t>
            </w:r>
          </w:p>
        </w:tc>
      </w:tr>
      <w:tr w:rsidR="00711444" w:rsidRPr="004D0DAA" w14:paraId="1624C2D1" w14:textId="77777777" w:rsidTr="00AA2A4C">
        <w:tblPrEx>
          <w:tblCellMar>
            <w:top w:w="0" w:type="dxa"/>
            <w:bottom w:w="0" w:type="dxa"/>
          </w:tblCellMar>
        </w:tblPrEx>
        <w:trPr>
          <w:cantSplit/>
          <w:trHeight w:val="113"/>
        </w:trPr>
        <w:tc>
          <w:tcPr>
            <w:tcW w:w="9848" w:type="dxa"/>
            <w:shd w:val="clear" w:color="auto" w:fill="auto"/>
          </w:tcPr>
          <w:p w14:paraId="06D7FAAF" w14:textId="77777777" w:rsidR="00711444" w:rsidRPr="004D0DAA" w:rsidRDefault="00711444" w:rsidP="00AA2A4C">
            <w:pPr>
              <w:rPr>
                <w:b/>
              </w:rPr>
            </w:pPr>
            <w:r w:rsidRPr="004D0DAA">
              <w:rPr>
                <w:b/>
              </w:rPr>
              <w:t>ACCESS TECHNOLOGY TYPE</w:t>
            </w:r>
          </w:p>
          <w:p w14:paraId="26B8AF2B" w14:textId="77777777" w:rsidR="00711444" w:rsidRPr="004D0DAA" w:rsidRDefault="00711444" w:rsidP="00AA2A4C">
            <w:pPr>
              <w:rPr>
                <w:b/>
              </w:rPr>
            </w:pPr>
            <w:r w:rsidRPr="004D0DAA">
              <w:t>This field indicates the access technology that is requested from the mobile station. The field is coded according to the definition in 3GPP TS 24.008. The access technology types requested from the MS in the Access Technologies Request structure shall be classified by priority, the most important first. The MS shall reply using the same order.</w:t>
            </w:r>
            <w:r w:rsidRPr="004D0DAA">
              <w:br/>
              <w:t>Among the three GSM 900 access technology types GSM P, GSM E and GSM R only one shall be requested by the network.</w:t>
            </w:r>
          </w:p>
        </w:tc>
      </w:tr>
      <w:tr w:rsidR="00711444" w:rsidRPr="004D0DAA" w14:paraId="34F42916" w14:textId="77777777" w:rsidTr="00AA2A4C">
        <w:tblPrEx>
          <w:tblCellMar>
            <w:top w:w="0" w:type="dxa"/>
            <w:bottom w:w="0" w:type="dxa"/>
          </w:tblCellMar>
        </w:tblPrEx>
        <w:trPr>
          <w:cantSplit/>
          <w:trHeight w:val="113"/>
        </w:trPr>
        <w:tc>
          <w:tcPr>
            <w:tcW w:w="9848" w:type="dxa"/>
            <w:shd w:val="clear" w:color="auto" w:fill="auto"/>
          </w:tcPr>
          <w:p w14:paraId="1B527643" w14:textId="77777777" w:rsidR="00711444" w:rsidRPr="004D0DAA" w:rsidRDefault="00711444" w:rsidP="00AA2A4C">
            <w:pPr>
              <w:spacing w:after="0"/>
            </w:pPr>
            <w:r w:rsidRPr="004D0DAA">
              <w:rPr>
                <w:b/>
              </w:rPr>
              <w:t>ARAC RETRANSMISSION REQUEST</w:t>
            </w:r>
            <w:r w:rsidRPr="004D0DAA">
              <w:t xml:space="preserve"> (1 bit field)</w:t>
            </w:r>
          </w:p>
          <w:p w14:paraId="458FB3DE" w14:textId="77777777" w:rsidR="00711444" w:rsidRPr="004D0DAA" w:rsidRDefault="00711444" w:rsidP="00AA2A4C">
            <w:r w:rsidRPr="004D0DAA">
              <w:t>0</w:t>
            </w:r>
            <w:r w:rsidRPr="004D0DAA">
              <w:tab/>
              <w:t>indicates that retransmission of an ADDITIONAL MS RADIO ACCESS CAPABILITIES message is not requested</w:t>
            </w:r>
            <w:r w:rsidRPr="004D0DAA">
              <w:br/>
              <w:t>1</w:t>
            </w:r>
            <w:r w:rsidRPr="004D0DAA">
              <w:tab/>
              <w:t>indicates that retransmission of an ADDITIONAL MS RADIO ACCESS CAPABILITIES message is requested (see sub-clause 7.1.2.2.1a)</w:t>
            </w:r>
          </w:p>
        </w:tc>
      </w:tr>
      <w:tr w:rsidR="00711444" w:rsidRPr="004D0DAA" w14:paraId="7C91A8C5" w14:textId="77777777" w:rsidTr="00AA2A4C">
        <w:tblPrEx>
          <w:tblCellMar>
            <w:top w:w="0" w:type="dxa"/>
            <w:bottom w:w="0" w:type="dxa"/>
          </w:tblCellMar>
        </w:tblPrEx>
        <w:trPr>
          <w:cantSplit/>
          <w:trHeight w:val="113"/>
        </w:trPr>
        <w:tc>
          <w:tcPr>
            <w:tcW w:w="9848" w:type="dxa"/>
            <w:shd w:val="clear" w:color="auto" w:fill="auto"/>
          </w:tcPr>
          <w:p w14:paraId="15D8F7E1" w14:textId="77777777" w:rsidR="00711444" w:rsidRPr="004D0DAA" w:rsidRDefault="00711444" w:rsidP="00AA2A4C">
            <w:r w:rsidRPr="004D0DAA">
              <w:rPr>
                <w:b/>
                <w:bCs/>
              </w:rPr>
              <w:t xml:space="preserve">G-RNTI extension </w:t>
            </w:r>
            <w:r w:rsidRPr="004D0DAA">
              <w:t>(4 bit field)</w:t>
            </w:r>
          </w:p>
          <w:p w14:paraId="3FAA1FC5" w14:textId="77777777" w:rsidR="00711444" w:rsidRPr="004D0DAA" w:rsidRDefault="00711444" w:rsidP="00AA2A4C">
            <w:pPr>
              <w:rPr>
                <w:b/>
                <w:bCs/>
              </w:rPr>
            </w:pPr>
            <w:r w:rsidRPr="004D0DAA">
              <w:t xml:space="preserve">This field contains the extra 4 bits of the G-RNTI not included in the TLLI / G-RNTI field which are necessary to provide a unique identifier for contention resolution in Iu-mode. This field may also be included when an assigned G-RNTI is used in the </w:t>
            </w:r>
            <w:r w:rsidRPr="004D0DAA">
              <w:rPr>
                <w:bCs/>
              </w:rPr>
              <w:t xml:space="preserve">CONTENTION_RESOLUTION_TLLI </w:t>
            </w:r>
            <w:r w:rsidRPr="004D0DAA">
              <w:t xml:space="preserve">field during the contention resolution procedure. </w:t>
            </w:r>
          </w:p>
        </w:tc>
      </w:tr>
      <w:tr w:rsidR="00711444" w:rsidRPr="004D0DAA" w14:paraId="5FF828CF" w14:textId="77777777" w:rsidTr="00AA2A4C">
        <w:tblPrEx>
          <w:tblCellMar>
            <w:top w:w="0" w:type="dxa"/>
            <w:bottom w:w="0" w:type="dxa"/>
          </w:tblCellMar>
        </w:tblPrEx>
        <w:trPr>
          <w:cantSplit/>
          <w:trHeight w:val="113"/>
        </w:trPr>
        <w:tc>
          <w:tcPr>
            <w:tcW w:w="9848" w:type="dxa"/>
            <w:shd w:val="clear" w:color="auto" w:fill="auto"/>
          </w:tcPr>
          <w:p w14:paraId="7B049675" w14:textId="77777777" w:rsidR="00711444" w:rsidRPr="004D0DAA" w:rsidRDefault="00711444" w:rsidP="00AA2A4C">
            <w:r w:rsidRPr="004D0DAA">
              <w:rPr>
                <w:b/>
                <w:bCs/>
                <w:iCs/>
              </w:rPr>
              <w:t>RB Id</w:t>
            </w:r>
            <w:r w:rsidRPr="004D0DAA">
              <w:rPr>
                <w:iCs/>
              </w:rPr>
              <w:t xml:space="preserve"> </w:t>
            </w:r>
            <w:r w:rsidRPr="004D0DAA">
              <w:t>(5 bit field)</w:t>
            </w:r>
          </w:p>
          <w:p w14:paraId="7A0D014F" w14:textId="77777777" w:rsidR="00711444" w:rsidRPr="004D0DAA" w:rsidRDefault="00711444" w:rsidP="00AA2A4C">
            <w:pPr>
              <w:rPr>
                <w:b/>
                <w:bCs/>
              </w:rPr>
            </w:pPr>
            <w:r w:rsidRPr="004D0DAA">
              <w:t>This field is included in Iu mode when a TBF is assigned in MAC-Shared state. It contains the radio bearer identifier for the radio bearer using the assigned TBF.</w:t>
            </w:r>
          </w:p>
        </w:tc>
      </w:tr>
      <w:tr w:rsidR="00711444" w:rsidRPr="004D0DAA" w14:paraId="6E98238B" w14:textId="77777777" w:rsidTr="00AA2A4C">
        <w:tblPrEx>
          <w:tblCellMar>
            <w:top w:w="0" w:type="dxa"/>
            <w:bottom w:w="0" w:type="dxa"/>
          </w:tblCellMar>
        </w:tblPrEx>
        <w:trPr>
          <w:cantSplit/>
          <w:trHeight w:val="113"/>
        </w:trPr>
        <w:tc>
          <w:tcPr>
            <w:tcW w:w="9848" w:type="dxa"/>
            <w:shd w:val="clear" w:color="auto" w:fill="auto"/>
          </w:tcPr>
          <w:p w14:paraId="4E4289CE" w14:textId="77777777" w:rsidR="00711444" w:rsidRPr="004D0DAA" w:rsidRDefault="00711444" w:rsidP="00AA2A4C">
            <w:pPr>
              <w:spacing w:after="0"/>
              <w:rPr>
                <w:b/>
              </w:rPr>
            </w:pPr>
            <w:r w:rsidRPr="004D0DAA">
              <w:rPr>
                <w:b/>
              </w:rPr>
              <w:t xml:space="preserve">PFI </w:t>
            </w:r>
            <w:r w:rsidRPr="004D0DAA">
              <w:rPr>
                <w:bCs/>
              </w:rPr>
              <w:t>(7 bit field)</w:t>
            </w:r>
          </w:p>
          <w:p w14:paraId="69AD804C" w14:textId="77777777" w:rsidR="00711444" w:rsidRPr="004D0DAA" w:rsidRDefault="00711444" w:rsidP="00AA2A4C">
            <w:pPr>
              <w:pStyle w:val="Index1"/>
              <w:keepLines w:val="0"/>
            </w:pPr>
            <w:r w:rsidRPr="004D0DAA">
              <w:t>This field contains the PFI parameter identifying the Packet Flow Context related to the TBF identified in the UPLINK_TFI_ASSIGMENT field. The PFI parameter is encoded as the contents of the PFI information element defined in 3GPP TS 44.018. If EMST is used, this field contains the PFI parameter identifying the Packet Flow Context related to the RLC entity. If EMSR is supported, this field contains the PFI parameter identifying a Packet Flow Context supported by a specific RLC entity.</w:t>
            </w:r>
          </w:p>
          <w:p w14:paraId="401FC2FE" w14:textId="77777777" w:rsidR="00711444" w:rsidRPr="004D0DAA" w:rsidRDefault="00711444" w:rsidP="00AA2A4C">
            <w:pPr>
              <w:pStyle w:val="Index1"/>
              <w:keepLines w:val="0"/>
            </w:pPr>
          </w:p>
          <w:p w14:paraId="1D886CE2" w14:textId="77777777" w:rsidR="00711444" w:rsidRPr="004D0DAA" w:rsidRDefault="00711444" w:rsidP="00AA2A4C">
            <w:r w:rsidRPr="004D0DAA">
              <w:rPr>
                <w:b/>
              </w:rPr>
              <w:t xml:space="preserve">RLC_MODE </w:t>
            </w:r>
            <w:r w:rsidRPr="004D0DAA">
              <w:t>(1 bit field)</w:t>
            </w:r>
            <w:r w:rsidRPr="004D0DAA">
              <w:br/>
              <w:t>This field contains the RLC mode to be used for the assigned TBF.</w:t>
            </w:r>
          </w:p>
          <w:p w14:paraId="15C5CF14" w14:textId="77777777" w:rsidR="00711444" w:rsidRPr="004D0DAA" w:rsidRDefault="00711444" w:rsidP="00AA2A4C">
            <w:pPr>
              <w:pStyle w:val="Index1"/>
              <w:keepLines w:val="0"/>
            </w:pPr>
            <w:r w:rsidRPr="004D0DAA">
              <w:t>0</w:t>
            </w:r>
            <w:r w:rsidRPr="004D0DAA">
              <w:tab/>
              <w:t>RLC acknowledged mode</w:t>
            </w:r>
          </w:p>
          <w:p w14:paraId="60A5F5D9" w14:textId="77777777" w:rsidR="00711444" w:rsidRPr="004D0DAA" w:rsidRDefault="00711444" w:rsidP="00AA2A4C">
            <w:pPr>
              <w:pStyle w:val="Index1"/>
              <w:keepLines w:val="0"/>
              <w:ind w:left="270" w:hanging="270"/>
            </w:pPr>
            <w:r w:rsidRPr="004D0DAA">
              <w:t>1</w:t>
            </w:r>
            <w:r w:rsidRPr="004D0DAA">
              <w:tab/>
              <w:t>RLC unacknowledged mode. For the case of an EGPRS TBF an MS that supports RLC non-persistent mode shall respond to this indication of RLC mode as described in the EGPRS Window Size IE (see sub-clause 12.5.2).</w:t>
            </w:r>
          </w:p>
          <w:p w14:paraId="59D57FE4" w14:textId="77777777" w:rsidR="00711444" w:rsidRPr="004D0DAA" w:rsidRDefault="00711444" w:rsidP="00AA2A4C">
            <w:pPr>
              <w:pStyle w:val="Index1"/>
              <w:keepLines w:val="0"/>
            </w:pPr>
          </w:p>
        </w:tc>
      </w:tr>
      <w:tr w:rsidR="00711444" w:rsidRPr="004D0DAA" w14:paraId="5EB23EA8" w14:textId="77777777" w:rsidTr="00AA2A4C">
        <w:tblPrEx>
          <w:tblCellMar>
            <w:top w:w="0" w:type="dxa"/>
            <w:bottom w:w="0" w:type="dxa"/>
          </w:tblCellMar>
        </w:tblPrEx>
        <w:trPr>
          <w:cantSplit/>
          <w:trHeight w:val="113"/>
        </w:trPr>
        <w:tc>
          <w:tcPr>
            <w:tcW w:w="9848" w:type="dxa"/>
            <w:shd w:val="clear" w:color="auto" w:fill="auto"/>
          </w:tcPr>
          <w:p w14:paraId="5D9883E8"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3F093139" w14:textId="77777777" w:rsidR="00711444" w:rsidRPr="004D0DAA" w:rsidRDefault="00711444" w:rsidP="00AA2A4C">
            <w:pPr>
              <w:spacing w:after="0"/>
            </w:pPr>
            <w:r w:rsidRPr="004D0DAA">
              <w:t>This field contains the NPM Transfer Time limitation for TBF or RLC entity assigned to operate in RLC non-persistent mode. If EMSR is supported this field contains the NPM Transfer Time limitation for a specific Packet Flow Context configured to use RLC non-persistent mode.</w:t>
            </w:r>
          </w:p>
        </w:tc>
      </w:tr>
      <w:tr w:rsidR="00711444" w:rsidRPr="004D0DAA" w14:paraId="0DEC66D2" w14:textId="77777777" w:rsidTr="00AA2A4C">
        <w:tblPrEx>
          <w:tblCellMar>
            <w:top w:w="0" w:type="dxa"/>
            <w:bottom w:w="0" w:type="dxa"/>
          </w:tblCellMar>
        </w:tblPrEx>
        <w:trPr>
          <w:cantSplit/>
          <w:trHeight w:val="113"/>
        </w:trPr>
        <w:tc>
          <w:tcPr>
            <w:tcW w:w="9848" w:type="dxa"/>
            <w:shd w:val="clear" w:color="auto" w:fill="auto"/>
          </w:tcPr>
          <w:p w14:paraId="771AA2E5" w14:textId="77777777" w:rsidR="00711444" w:rsidRPr="004D0DAA" w:rsidRDefault="00711444" w:rsidP="00AA2A4C">
            <w:r w:rsidRPr="004D0DAA">
              <w:rPr>
                <w:b/>
              </w:rPr>
              <w:t>ASSIGNMENT TYPE</w:t>
            </w:r>
            <w:r w:rsidRPr="004D0DAA">
              <w:t xml:space="preserve"> (2 bit field)</w:t>
            </w:r>
          </w:p>
          <w:p w14:paraId="53E832A9" w14:textId="77777777" w:rsidR="00711444" w:rsidRPr="004D0DAA" w:rsidRDefault="00711444" w:rsidP="00AA2A4C">
            <w:r w:rsidRPr="004D0DAA">
              <w:t>This indicates the type of assignment. The coding of this field is as specified in sub-clause 11.2.7.</w:t>
            </w:r>
          </w:p>
        </w:tc>
      </w:tr>
      <w:tr w:rsidR="00711444" w:rsidRPr="004D0DAA" w14:paraId="2466F9F3" w14:textId="77777777" w:rsidTr="00AA2A4C">
        <w:tblPrEx>
          <w:tblCellMar>
            <w:top w:w="0" w:type="dxa"/>
            <w:bottom w:w="0" w:type="dxa"/>
          </w:tblCellMar>
        </w:tblPrEx>
        <w:trPr>
          <w:cantSplit/>
          <w:trHeight w:val="113"/>
        </w:trPr>
        <w:tc>
          <w:tcPr>
            <w:tcW w:w="9848" w:type="dxa"/>
            <w:shd w:val="clear" w:color="auto" w:fill="auto"/>
          </w:tcPr>
          <w:p w14:paraId="41314F92" w14:textId="77777777" w:rsidR="00711444" w:rsidRPr="004D0DAA" w:rsidRDefault="00711444" w:rsidP="00AA2A4C">
            <w:pPr>
              <w:spacing w:after="240"/>
            </w:pPr>
            <w:r w:rsidRPr="004D0DAA">
              <w:rPr>
                <w:b/>
              </w:rPr>
              <w:lastRenderedPageBreak/>
              <w:t>Carrier ID</w:t>
            </w:r>
            <w:r w:rsidRPr="004D0DAA">
              <w:t xml:space="preserve"> (1 bit field)</w:t>
            </w:r>
            <w:r w:rsidRPr="004D0DAA">
              <w:br/>
              <w:t>This identifies the carrier to which the description refers.</w:t>
            </w:r>
          </w:p>
          <w:p w14:paraId="1BC6603E" w14:textId="77777777" w:rsidR="00711444" w:rsidRPr="004D0DAA" w:rsidRDefault="00711444" w:rsidP="00AA2A4C">
            <w:pPr>
              <w:spacing w:after="0"/>
            </w:pPr>
            <w:r w:rsidRPr="004D0DAA">
              <w:t>0</w:t>
            </w:r>
            <w:r w:rsidRPr="004D0DAA">
              <w:tab/>
              <w:t>Carrier 1</w:t>
            </w:r>
            <w:r w:rsidRPr="004D0DAA">
              <w:br/>
              <w:t>1</w:t>
            </w:r>
            <w:r w:rsidRPr="004D0DAA">
              <w:tab/>
              <w:t>Carrier 2</w:t>
            </w:r>
          </w:p>
        </w:tc>
      </w:tr>
      <w:tr w:rsidR="00711444" w:rsidRPr="004D0DAA" w14:paraId="23FB5956" w14:textId="77777777" w:rsidTr="00AA2A4C">
        <w:tblPrEx>
          <w:tblCellMar>
            <w:top w:w="0" w:type="dxa"/>
            <w:bottom w:w="0" w:type="dxa"/>
          </w:tblCellMar>
        </w:tblPrEx>
        <w:trPr>
          <w:cantSplit/>
          <w:trHeight w:val="113"/>
        </w:trPr>
        <w:tc>
          <w:tcPr>
            <w:tcW w:w="9848" w:type="dxa"/>
            <w:shd w:val="clear" w:color="auto" w:fill="auto"/>
          </w:tcPr>
          <w:p w14:paraId="1D8FA770" w14:textId="77777777" w:rsidR="00711444" w:rsidRPr="004D0DAA" w:rsidRDefault="00711444" w:rsidP="00AA2A4C">
            <w:pPr>
              <w:spacing w:after="0"/>
            </w:pPr>
          </w:p>
          <w:p w14:paraId="2B172418" w14:textId="77777777" w:rsidR="00711444" w:rsidRPr="004D0DAA" w:rsidRDefault="00711444" w:rsidP="00AA2A4C">
            <w:pPr>
              <w:spacing w:after="0"/>
            </w:pPr>
            <w:r w:rsidRPr="004D0DAA">
              <w:rPr>
                <w:b/>
              </w:rPr>
              <w:t>REPORTED TIMESLOTS</w:t>
            </w:r>
            <w:r w:rsidRPr="004D0DAA">
              <w:t xml:space="preserve"> (8 bit field)</w:t>
            </w:r>
          </w:p>
          <w:p w14:paraId="31D06D3C" w14:textId="77777777" w:rsidR="00711444" w:rsidRPr="004D0DAA" w:rsidRDefault="00711444" w:rsidP="00AA2A4C">
            <w:pPr>
              <w:spacing w:after="0"/>
            </w:pPr>
            <w:r w:rsidRPr="004D0DAA">
              <w:t>The field indicates the timeslots for which feedback is provided by a time-based encoded PAN field and is encoded as the TIMESLOT_ALLOCATION IE defined in sub-clause 12.18.</w:t>
            </w:r>
          </w:p>
        </w:tc>
      </w:tr>
      <w:tr w:rsidR="00711444" w:rsidRPr="004D0DAA" w14:paraId="72B957DF" w14:textId="77777777" w:rsidTr="00AA2A4C">
        <w:tblPrEx>
          <w:tblCellMar>
            <w:top w:w="0" w:type="dxa"/>
            <w:bottom w:w="0" w:type="dxa"/>
          </w:tblCellMar>
        </w:tblPrEx>
        <w:trPr>
          <w:cantSplit/>
          <w:trHeight w:val="113"/>
        </w:trPr>
        <w:tc>
          <w:tcPr>
            <w:tcW w:w="9848" w:type="dxa"/>
            <w:shd w:val="clear" w:color="auto" w:fill="auto"/>
          </w:tcPr>
          <w:p w14:paraId="7C9EF71B" w14:textId="77777777" w:rsidR="00711444" w:rsidRPr="004D0DAA" w:rsidRDefault="00711444" w:rsidP="00AA2A4C">
            <w:pPr>
              <w:spacing w:after="0"/>
              <w:rPr>
                <w:b/>
                <w:bCs/>
                <w:szCs w:val="18"/>
              </w:rPr>
            </w:pPr>
            <w:r w:rsidRPr="004D0DAA">
              <w:rPr>
                <w:b/>
                <w:bCs/>
              </w:rPr>
              <w:t>PDCH Pairs Description</w:t>
            </w:r>
          </w:p>
          <w:p w14:paraId="797AAFDB" w14:textId="77777777" w:rsidR="00711444" w:rsidRPr="004D0DAA" w:rsidRDefault="00711444" w:rsidP="00AA2A4C">
            <w:pPr>
              <w:spacing w:after="0"/>
              <w:rPr>
                <w:b/>
              </w:rPr>
            </w:pPr>
            <w:r w:rsidRPr="004D0DAA">
              <w:t>This information element is defined in sub-clause 12.5.5.</w:t>
            </w:r>
          </w:p>
        </w:tc>
      </w:tr>
      <w:tr w:rsidR="00711444" w:rsidRPr="004D0DAA" w14:paraId="5240F24B" w14:textId="77777777" w:rsidTr="00AA2A4C">
        <w:tblPrEx>
          <w:tblCellMar>
            <w:top w:w="0" w:type="dxa"/>
            <w:bottom w:w="0" w:type="dxa"/>
          </w:tblCellMar>
        </w:tblPrEx>
        <w:trPr>
          <w:cantSplit/>
          <w:trHeight w:val="113"/>
        </w:trPr>
        <w:tc>
          <w:tcPr>
            <w:tcW w:w="9848" w:type="dxa"/>
            <w:shd w:val="clear" w:color="auto" w:fill="auto"/>
          </w:tcPr>
          <w:p w14:paraId="4B6CF4D5" w14:textId="77777777" w:rsidR="00711444" w:rsidRPr="004D0DAA" w:rsidRDefault="00711444" w:rsidP="00AA2A4C">
            <w:r w:rsidRPr="004D0DAA">
              <w:rPr>
                <w:b/>
                <w:bCs/>
                <w:szCs w:val="18"/>
              </w:rPr>
              <w:t xml:space="preserve">RTTI_USF_MODE </w:t>
            </w:r>
            <w:r w:rsidRPr="004D0DAA">
              <w:t>(1 bit field)</w:t>
            </w:r>
            <w:r w:rsidRPr="004D0DAA">
              <w:br/>
              <w:t xml:space="preserve">This field identifies whether RTTI or BTTI USF Mode is enabled for this uplink RTTI TBF. </w:t>
            </w:r>
          </w:p>
          <w:p w14:paraId="2DF95BBB" w14:textId="77777777" w:rsidR="00711444" w:rsidRPr="004D0DAA" w:rsidRDefault="00711444" w:rsidP="00AA2A4C">
            <w:pPr>
              <w:spacing w:after="0"/>
              <w:rPr>
                <w:b/>
              </w:rPr>
            </w:pPr>
            <w:r w:rsidRPr="004D0DAA">
              <w:t>0</w:t>
            </w:r>
            <w:r w:rsidRPr="004D0DAA">
              <w:tab/>
              <w:t>BTTI USF Mode is enabled</w:t>
            </w:r>
            <w:r w:rsidRPr="004D0DAA">
              <w:br/>
              <w:t>1</w:t>
            </w:r>
            <w:r w:rsidRPr="004D0DAA">
              <w:tab/>
              <w:t>RTTI USF Mode is enabled</w:t>
            </w:r>
          </w:p>
        </w:tc>
      </w:tr>
      <w:tr w:rsidR="00711444" w:rsidRPr="004D0DAA" w14:paraId="6AB072B0" w14:textId="77777777" w:rsidTr="00AA2A4C">
        <w:tblPrEx>
          <w:tblCellMar>
            <w:top w:w="0" w:type="dxa"/>
            <w:bottom w:w="0" w:type="dxa"/>
          </w:tblCellMar>
        </w:tblPrEx>
        <w:trPr>
          <w:cantSplit/>
          <w:trHeight w:val="113"/>
        </w:trPr>
        <w:tc>
          <w:tcPr>
            <w:tcW w:w="9848" w:type="dxa"/>
            <w:shd w:val="clear" w:color="auto" w:fill="auto"/>
          </w:tcPr>
          <w:p w14:paraId="209C0D87" w14:textId="77777777" w:rsidR="00711444" w:rsidRPr="004D0DAA" w:rsidRDefault="00711444" w:rsidP="00AA2A4C">
            <w:pPr>
              <w:spacing w:after="0"/>
            </w:pPr>
            <w:r w:rsidRPr="004D0DAA">
              <w:rPr>
                <w:b/>
              </w:rPr>
              <w:t xml:space="preserve">TSH </w:t>
            </w:r>
            <w:r w:rsidRPr="004D0DAA">
              <w:t>(2 bit field)</w:t>
            </w:r>
          </w:p>
          <w:p w14:paraId="1DBFA533" w14:textId="77777777" w:rsidR="00711444" w:rsidRPr="004D0DAA" w:rsidRDefault="00711444" w:rsidP="00AA2A4C">
            <w:pPr>
              <w:spacing w:after="0"/>
            </w:pPr>
          </w:p>
          <w:p w14:paraId="5C314EFF" w14:textId="77777777" w:rsidR="00711444" w:rsidRPr="004D0DAA" w:rsidRDefault="00711444" w:rsidP="00AA2A4C">
            <w:r w:rsidRPr="004D0DAA">
              <w:t xml:space="preserve">This field indicates the time-shift between the most recent radio block period for which feedback information is provided and the radio block period when the bitmap is sent: </w:t>
            </w:r>
            <w:r w:rsidRPr="004D0DAA">
              <w:br/>
              <w:t>bit</w:t>
            </w:r>
            <w:r w:rsidRPr="004D0DAA">
              <w:br/>
              <w:t>2 1</w:t>
            </w:r>
            <w:r w:rsidRPr="004D0DAA">
              <w:br/>
              <w:t>0 0</w:t>
            </w:r>
            <w:r w:rsidRPr="004D0DAA">
              <w:tab/>
            </w:r>
            <w:r w:rsidRPr="004D0DAA">
              <w:tab/>
              <w:t>4 TDMA frames (for a basic TTI configuration) or 2 TDMA frames (for a reduced TTI or MTTI configuration)</w:t>
            </w:r>
            <w:r w:rsidRPr="004D0DAA">
              <w:br/>
              <w:t xml:space="preserve">0 1 </w:t>
            </w:r>
            <w:r w:rsidRPr="004D0DAA">
              <w:tab/>
              <w:t>8 TDMA frames (for a basic TTI configuration) or 4 TDMA frames (for a reduced TTI or MTTI configuration)</w:t>
            </w:r>
            <w:r w:rsidRPr="004D0DAA">
              <w:br/>
              <w:t xml:space="preserve">1 0 </w:t>
            </w:r>
            <w:r w:rsidRPr="004D0DAA">
              <w:tab/>
              <w:t>12 TDMA frames (for a basic TTI configuration) or 6 TDMA frames (for a reduced TTI or MTTI configuration)</w:t>
            </w:r>
            <w:r w:rsidRPr="004D0DAA">
              <w:br/>
              <w:t>1 1</w:t>
            </w:r>
            <w:r w:rsidRPr="004D0DAA">
              <w:tab/>
            </w:r>
            <w:r w:rsidRPr="004D0DAA">
              <w:tab/>
              <w:t>16 TDMA frames (for a basic TTI configuration) or 8 TDMA frames (for a reduced TTI or MTTI configuration)</w:t>
            </w:r>
          </w:p>
        </w:tc>
      </w:tr>
      <w:tr w:rsidR="00711444" w:rsidRPr="004D0DAA" w14:paraId="03D39D0A" w14:textId="77777777" w:rsidTr="00AA2A4C">
        <w:tblPrEx>
          <w:tblCellMar>
            <w:top w:w="0" w:type="dxa"/>
            <w:bottom w:w="0" w:type="dxa"/>
          </w:tblCellMar>
        </w:tblPrEx>
        <w:trPr>
          <w:cantSplit/>
          <w:trHeight w:val="113"/>
        </w:trPr>
        <w:tc>
          <w:tcPr>
            <w:tcW w:w="9848" w:type="dxa"/>
            <w:shd w:val="clear" w:color="auto" w:fill="auto"/>
          </w:tcPr>
          <w:p w14:paraId="0E2CB2EA" w14:textId="77777777" w:rsidR="00711444" w:rsidRPr="004D0DAA" w:rsidRDefault="00711444" w:rsidP="00AA2A4C">
            <w:pPr>
              <w:spacing w:after="0"/>
            </w:pPr>
            <w:r w:rsidRPr="004D0DAA">
              <w:rPr>
                <w:b/>
              </w:rPr>
              <w:t xml:space="preserve">Uplink EGPRS Level </w:t>
            </w:r>
            <w:r w:rsidRPr="004D0DAA">
              <w:t>(2 bit field)</w:t>
            </w:r>
          </w:p>
          <w:p w14:paraId="63D880D7" w14:textId="77777777" w:rsidR="00711444" w:rsidRPr="004D0DAA" w:rsidRDefault="00711444" w:rsidP="00AA2A4C">
            <w:r w:rsidRPr="004D0DAA">
              <w:t>This field specifies the group of modulation and coding schemes applicable to the TBF. This information element is defined in sub-clause 12.10f.</w:t>
            </w:r>
          </w:p>
        </w:tc>
      </w:tr>
      <w:tr w:rsidR="00711444" w:rsidRPr="004D0DAA" w14:paraId="3DE88356" w14:textId="77777777" w:rsidTr="00AA2A4C">
        <w:tblPrEx>
          <w:tblCellMar>
            <w:top w:w="0" w:type="dxa"/>
            <w:bottom w:w="0" w:type="dxa"/>
          </w:tblCellMar>
        </w:tblPrEx>
        <w:trPr>
          <w:cantSplit/>
          <w:trHeight w:val="113"/>
        </w:trPr>
        <w:tc>
          <w:tcPr>
            <w:tcW w:w="9848" w:type="dxa"/>
            <w:shd w:val="clear" w:color="auto" w:fill="auto"/>
          </w:tcPr>
          <w:p w14:paraId="683C2F72" w14:textId="77777777" w:rsidR="00711444" w:rsidRPr="004D0DAA" w:rsidRDefault="00711444" w:rsidP="00AA2A4C">
            <w:pPr>
              <w:spacing w:after="0"/>
            </w:pPr>
            <w:r w:rsidRPr="004D0DAA">
              <w:rPr>
                <w:b/>
              </w:rPr>
              <w:t>Pulse Format</w:t>
            </w:r>
            <w:r w:rsidRPr="004D0DAA">
              <w:t xml:space="preserve"> (N bit field)</w:t>
            </w:r>
          </w:p>
          <w:p w14:paraId="67F505B3" w14:textId="77777777" w:rsidR="00711444" w:rsidRPr="004D0DAA" w:rsidRDefault="00711444" w:rsidP="00AA2A4C">
            <w:r w:rsidRPr="004D0DAA">
              <w:t>This information element, if assigned, specified on which radio frequency channel the mobile station shall transmit using the narrow-band pulse option. The information element is defined in sub-clause 12.8.3.</w:t>
            </w:r>
          </w:p>
        </w:tc>
      </w:tr>
      <w:tr w:rsidR="00711444" w:rsidRPr="004D0DAA" w14:paraId="030C7E34" w14:textId="77777777" w:rsidTr="00AA2A4C">
        <w:tblPrEx>
          <w:tblCellMar>
            <w:top w:w="0" w:type="dxa"/>
            <w:bottom w:w="0" w:type="dxa"/>
          </w:tblCellMar>
        </w:tblPrEx>
        <w:trPr>
          <w:cantSplit/>
          <w:trHeight w:val="113"/>
        </w:trPr>
        <w:tc>
          <w:tcPr>
            <w:tcW w:w="9848" w:type="dxa"/>
            <w:shd w:val="clear" w:color="auto" w:fill="auto"/>
          </w:tcPr>
          <w:p w14:paraId="1C0355E2" w14:textId="77777777" w:rsidR="00711444" w:rsidRPr="004D0DAA" w:rsidRDefault="00711444" w:rsidP="00AA2A4C">
            <w:pPr>
              <w:spacing w:after="0"/>
            </w:pPr>
            <w:r w:rsidRPr="004D0DAA">
              <w:rPr>
                <w:b/>
              </w:rPr>
              <w:t xml:space="preserve">N_USF, N_TS </w:t>
            </w:r>
            <w:r w:rsidRPr="004D0DAA">
              <w:t>(4 bit field)</w:t>
            </w:r>
          </w:p>
          <w:p w14:paraId="47027832" w14:textId="77777777" w:rsidR="00711444" w:rsidRPr="004D0DAA" w:rsidRDefault="00711444" w:rsidP="00AA2A4C">
            <w:pPr>
              <w:spacing w:after="0"/>
            </w:pPr>
            <w:r w:rsidRPr="004D0DAA">
              <w:rPr>
                <w:b/>
              </w:rPr>
              <w:t>N_PAIRS</w:t>
            </w:r>
            <w:r w:rsidRPr="004D0DAA">
              <w:t xml:space="preserve"> (3 bit field)</w:t>
            </w:r>
          </w:p>
          <w:p w14:paraId="44C9FFBD" w14:textId="77777777" w:rsidR="00711444" w:rsidRPr="004D0DAA" w:rsidRDefault="00711444" w:rsidP="00AA2A4C">
            <w:pPr>
              <w:spacing w:after="0"/>
            </w:pPr>
            <w:r w:rsidRPr="004D0DAA">
              <w:t>These fields indicate the number USF allocations signalled. The number of USFs is given as the binary value of the corresponding field plus one.</w:t>
            </w:r>
          </w:p>
          <w:p w14:paraId="1464CCE1" w14:textId="77777777" w:rsidR="00711444" w:rsidRPr="004D0DAA" w:rsidRDefault="00711444" w:rsidP="00AA2A4C">
            <w:pPr>
              <w:spacing w:after="0"/>
            </w:pPr>
          </w:p>
          <w:p w14:paraId="7A1497B2" w14:textId="77777777" w:rsidR="00711444" w:rsidRPr="004D0DAA" w:rsidRDefault="00711444" w:rsidP="00AA2A4C">
            <w:pPr>
              <w:spacing w:after="0"/>
            </w:pPr>
            <w:r w:rsidRPr="004D0DAA">
              <w:t>See Annex K for details of the coding of these fields.</w:t>
            </w:r>
          </w:p>
        </w:tc>
      </w:tr>
      <w:tr w:rsidR="00711444" w:rsidRPr="004D0DAA" w14:paraId="6E1317A6" w14:textId="77777777" w:rsidTr="00AA2A4C">
        <w:tblPrEx>
          <w:tblCellMar>
            <w:top w:w="0" w:type="dxa"/>
            <w:bottom w:w="0" w:type="dxa"/>
          </w:tblCellMar>
        </w:tblPrEx>
        <w:trPr>
          <w:cantSplit/>
          <w:trHeight w:val="113"/>
        </w:trPr>
        <w:tc>
          <w:tcPr>
            <w:tcW w:w="9848" w:type="dxa"/>
            <w:shd w:val="clear" w:color="auto" w:fill="auto"/>
          </w:tcPr>
          <w:p w14:paraId="11525228" w14:textId="77777777" w:rsidR="00711444" w:rsidRPr="004D0DAA" w:rsidRDefault="00711444" w:rsidP="00AA2A4C">
            <w:pPr>
              <w:spacing w:after="0"/>
              <w:rPr>
                <w:b/>
              </w:rPr>
            </w:pPr>
            <w:r w:rsidRPr="004D0DAA">
              <w:rPr>
                <w:b/>
              </w:rPr>
              <w:t xml:space="preserve">USF, USF_2 </w:t>
            </w:r>
            <w:r w:rsidRPr="004D0DAA">
              <w:t>(3 bit field)</w:t>
            </w:r>
          </w:p>
          <w:p w14:paraId="1E268407" w14:textId="77777777" w:rsidR="00711444" w:rsidRPr="004D0DAA" w:rsidRDefault="00711444" w:rsidP="00AA2A4C">
            <w:pPr>
              <w:spacing w:after="0"/>
            </w:pPr>
            <w:r w:rsidRPr="004D0DAA">
              <w:t>These fields indicate the USF values assigned to the MS for the assigned timeslot or PDCH pair.</w:t>
            </w:r>
          </w:p>
          <w:p w14:paraId="46A3D390" w14:textId="77777777" w:rsidR="00711444" w:rsidRPr="004D0DAA" w:rsidRDefault="00711444" w:rsidP="00AA2A4C">
            <w:pPr>
              <w:spacing w:after="0"/>
            </w:pPr>
          </w:p>
          <w:p w14:paraId="15F81F0C" w14:textId="77777777" w:rsidR="00711444" w:rsidRPr="004D0DAA" w:rsidRDefault="00711444" w:rsidP="00AA2A4C">
            <w:pPr>
              <w:spacing w:after="0"/>
            </w:pPr>
            <w:r w:rsidRPr="004D0DAA">
              <w:t>In the case of RTTI mode with BTTI USF, the USF value specified in the USF field (respectively USF_2 field) applies to the first two (respectively second two) TDMA frames of the following basic radio block period (see sub-clauses 8.1.1.1, 8.1.1.2.1).</w:t>
            </w:r>
          </w:p>
          <w:p w14:paraId="6ACBB9C4" w14:textId="77777777" w:rsidR="00711444" w:rsidRPr="004D0DAA" w:rsidRDefault="00711444" w:rsidP="00AA2A4C">
            <w:pPr>
              <w:spacing w:after="0"/>
            </w:pPr>
          </w:p>
          <w:p w14:paraId="24A28D11" w14:textId="77777777" w:rsidR="00711444" w:rsidRPr="004D0DAA" w:rsidRDefault="00711444" w:rsidP="00AA2A4C">
            <w:pPr>
              <w:spacing w:after="0"/>
            </w:pPr>
            <w:r w:rsidRPr="004D0DAA">
              <w:t>These fields are encoded as a binary representation of the USF value as defined in sub-clause 10.4.1.</w:t>
            </w:r>
          </w:p>
          <w:p w14:paraId="0B0A7835" w14:textId="77777777" w:rsidR="00711444" w:rsidRPr="004D0DAA" w:rsidRDefault="00711444" w:rsidP="00AA2A4C">
            <w:pPr>
              <w:spacing w:after="0"/>
            </w:pPr>
          </w:p>
          <w:p w14:paraId="2BB2311E" w14:textId="77777777" w:rsidR="00711444" w:rsidRPr="004D0DAA" w:rsidRDefault="00711444" w:rsidP="00AA2A4C">
            <w:pPr>
              <w:spacing w:after="0"/>
            </w:pPr>
            <w:r w:rsidRPr="004D0DAA">
              <w:t>The order in which USF assignments are encoded and the meaning when the number of repetitions of the USF is lower than the maximum is described in Annex K.</w:t>
            </w:r>
          </w:p>
        </w:tc>
      </w:tr>
      <w:tr w:rsidR="00711444" w:rsidRPr="004D0DAA" w14:paraId="7EB6B347"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6D7F2DA5"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4306F3F9" w14:textId="77777777" w:rsidR="00711444" w:rsidRPr="004D0DAA" w:rsidRDefault="00711444" w:rsidP="00AA2A4C">
            <w:pPr>
              <w:spacing w:after="0"/>
            </w:pPr>
            <w:r w:rsidRPr="004D0DAA">
              <w:t>This field is defined in section 11.2.7.</w:t>
            </w:r>
          </w:p>
          <w:p w14:paraId="7CCA79FC" w14:textId="77777777" w:rsidR="00711444" w:rsidRPr="004D0DAA" w:rsidRDefault="00711444" w:rsidP="00AA2A4C">
            <w:pPr>
              <w:spacing w:after="0"/>
              <w:rPr>
                <w:b/>
              </w:rPr>
            </w:pPr>
          </w:p>
        </w:tc>
      </w:tr>
      <w:tr w:rsidR="00711444" w:rsidRPr="004D0DAA" w14:paraId="1A16E987"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42089903" w14:textId="77777777" w:rsidR="00711444" w:rsidRPr="004D0DAA" w:rsidRDefault="00711444" w:rsidP="00AA2A4C">
            <w:pPr>
              <w:spacing w:after="0"/>
              <w:rPr>
                <w:b/>
              </w:rPr>
            </w:pPr>
            <w:r w:rsidRPr="004D0DAA">
              <w:rPr>
                <w:b/>
              </w:rPr>
              <w:t xml:space="preserve">Enhanced Flexible Timeslot Assignment </w:t>
            </w:r>
            <w:r w:rsidRPr="004D0DAA">
              <w:t>(1 bit field)</w:t>
            </w:r>
          </w:p>
          <w:p w14:paraId="5EE2E96C" w14:textId="77777777" w:rsidR="00711444" w:rsidRPr="004D0DAA" w:rsidRDefault="00711444" w:rsidP="00AA2A4C">
            <w:pPr>
              <w:spacing w:after="0"/>
            </w:pPr>
            <w:r w:rsidRPr="004D0DAA">
              <w:t xml:space="preserve">This field indicates whether Enhanced Flexible Timeslot Assignment, EFTA, shall be used for the assigned uplink TBF. This field is coded as follows: </w:t>
            </w:r>
          </w:p>
          <w:p w14:paraId="4221AC33" w14:textId="77777777" w:rsidR="00711444" w:rsidRPr="004D0DAA" w:rsidRDefault="00711444" w:rsidP="00AA2A4C">
            <w:pPr>
              <w:spacing w:after="0"/>
            </w:pPr>
          </w:p>
          <w:p w14:paraId="20D803CF" w14:textId="77777777" w:rsidR="00711444" w:rsidRPr="004D0DAA" w:rsidRDefault="00711444" w:rsidP="00AA2A4C">
            <w:pPr>
              <w:spacing w:after="0"/>
              <w:rPr>
                <w:b/>
              </w:rPr>
            </w:pPr>
            <w:r w:rsidRPr="004D0DAA">
              <w:t>0</w:t>
            </w:r>
            <w:r w:rsidRPr="004D0DAA">
              <w:tab/>
              <w:t>Enhanced Flexible Timeslot Assignment, EFTA shall not be used for the assigned uplink TBF.</w:t>
            </w:r>
            <w:r w:rsidRPr="004D0DAA">
              <w:br/>
              <w:t>1</w:t>
            </w:r>
            <w:r w:rsidRPr="004D0DAA">
              <w:tab/>
              <w:t>Enhanced Flexible Timeslot Assignment, EFTA shall be used for the assigned uplink TBF.</w:t>
            </w:r>
          </w:p>
        </w:tc>
      </w:tr>
      <w:tr w:rsidR="00711444" w:rsidRPr="004D0DAA" w14:paraId="47F042AB" w14:textId="77777777" w:rsidTr="00AA2A4C">
        <w:tblPrEx>
          <w:tblCellMar>
            <w:top w:w="0" w:type="dxa"/>
            <w:bottom w:w="0" w:type="dxa"/>
          </w:tblCellMar>
        </w:tblPrEx>
        <w:trPr>
          <w:cantSplit/>
          <w:trHeight w:val="113"/>
        </w:trPr>
        <w:tc>
          <w:tcPr>
            <w:tcW w:w="9848" w:type="dxa"/>
            <w:shd w:val="clear" w:color="auto" w:fill="auto"/>
          </w:tcPr>
          <w:p w14:paraId="7C09A4E6" w14:textId="77777777" w:rsidR="00711444" w:rsidRPr="004D0DAA" w:rsidRDefault="00711444" w:rsidP="00AA2A4C">
            <w:pPr>
              <w:spacing w:after="0"/>
            </w:pPr>
            <w:r w:rsidRPr="004D0DAA">
              <w:rPr>
                <w:b/>
                <w:bCs/>
              </w:rPr>
              <w:lastRenderedPageBreak/>
              <w:t>EMST_NW_Capability</w:t>
            </w:r>
            <w:r w:rsidRPr="004D0DAA">
              <w:t xml:space="preserve"> (1 bit field)</w:t>
            </w:r>
          </w:p>
          <w:p w14:paraId="190808FD" w14:textId="77777777" w:rsidR="00711444" w:rsidRPr="004D0DAA" w:rsidRDefault="00711444" w:rsidP="00AA2A4C">
            <w:r w:rsidRPr="004D0DAA">
              <w:t>This information element indicates the network’s support of EMST</w:t>
            </w:r>
          </w:p>
          <w:p w14:paraId="644D8815" w14:textId="77777777" w:rsidR="00711444" w:rsidRPr="004D0DAA" w:rsidRDefault="00711444" w:rsidP="00AA2A4C">
            <w:pPr>
              <w:spacing w:after="0"/>
            </w:pPr>
            <w:r w:rsidRPr="004D0DAA">
              <w:t>0</w:t>
            </w:r>
            <w:r w:rsidRPr="004D0DAA">
              <w:tab/>
              <w:t>The network does not support EMST</w:t>
            </w:r>
          </w:p>
          <w:p w14:paraId="0D6A73FC" w14:textId="77777777" w:rsidR="00711444" w:rsidRPr="004D0DAA" w:rsidRDefault="00711444" w:rsidP="00AA2A4C">
            <w:pPr>
              <w:spacing w:after="0"/>
            </w:pPr>
            <w:r w:rsidRPr="004D0DAA">
              <w:t>1</w:t>
            </w:r>
            <w:r w:rsidRPr="004D0DAA">
              <w:tab/>
              <w:t>The network supports EMST</w:t>
            </w:r>
          </w:p>
        </w:tc>
      </w:tr>
      <w:tr w:rsidR="00711444" w:rsidRPr="004D0DAA" w14:paraId="731F8479" w14:textId="77777777" w:rsidTr="00AA2A4C">
        <w:tblPrEx>
          <w:tblCellMar>
            <w:top w:w="0" w:type="dxa"/>
            <w:bottom w:w="0" w:type="dxa"/>
          </w:tblCellMar>
        </w:tblPrEx>
        <w:trPr>
          <w:cantSplit/>
          <w:trHeight w:val="113"/>
        </w:trPr>
        <w:tc>
          <w:tcPr>
            <w:tcW w:w="9848" w:type="dxa"/>
            <w:shd w:val="clear" w:color="auto" w:fill="auto"/>
          </w:tcPr>
          <w:p w14:paraId="673A75D5" w14:textId="77777777" w:rsidR="00711444" w:rsidRPr="004D0DAA" w:rsidRDefault="00711444" w:rsidP="00AA2A4C">
            <w:pPr>
              <w:spacing w:after="0"/>
            </w:pPr>
            <w:r w:rsidRPr="004D0DAA">
              <w:rPr>
                <w:b/>
              </w:rPr>
              <w:t>MTTI_UPLINK_ASSIGNMENT_C1</w:t>
            </w:r>
            <w:r w:rsidRPr="004D0DAA">
              <w:t xml:space="preserve"> (1 bit field)</w:t>
            </w:r>
          </w:p>
          <w:p w14:paraId="48C752CE" w14:textId="77777777" w:rsidR="00711444" w:rsidRPr="004D0DAA" w:rsidRDefault="00711444" w:rsidP="00AA2A4C">
            <w:r w:rsidRPr="004D0DAA">
              <w:rPr>
                <w:b/>
              </w:rPr>
              <w:t>MTTI_UPLINK_ASSIGNMENT_C2</w:t>
            </w:r>
            <w:r w:rsidRPr="004D0DAA">
              <w:t xml:space="preserve"> (1 bit field)</w:t>
            </w:r>
          </w:p>
          <w:p w14:paraId="21C08E4A" w14:textId="77777777" w:rsidR="00711444" w:rsidRPr="004D0DAA" w:rsidRDefault="00711444" w:rsidP="00AA2A4C">
            <w:pPr>
              <w:rPr>
                <w:bCs/>
              </w:rPr>
            </w:pPr>
            <w:r w:rsidRPr="004D0DAA">
              <w:t>These fields indicate whether the assigned uplink TBF operates in MTTI configuration.  If present, a PDCH is assigned on the respective carrier in addition to any assigned PDCH-pairs. If set to '1' (respectively '0'), the assigned PDCH uses the timeslot immediately adjacent to and lower than (respectively higher than) the lower (respectively higher) timeslot used by the lowest numbered (respectively highest numbered) PDCH-pair assigned on that carrier. If no PDCH-pairs are assigned on one carrier, then the assigned PDCH for that carrier is on the same timeslot as the assigned PDCH on the other carrier, regardless of the value of the field.</w:t>
            </w:r>
          </w:p>
        </w:tc>
      </w:tr>
      <w:tr w:rsidR="00711444" w:rsidRPr="004D0DAA" w14:paraId="050BFBAF" w14:textId="77777777" w:rsidTr="00AA2A4C">
        <w:tblPrEx>
          <w:tblCellMar>
            <w:top w:w="0" w:type="dxa"/>
            <w:bottom w:w="0" w:type="dxa"/>
          </w:tblCellMar>
        </w:tblPrEx>
        <w:trPr>
          <w:cantSplit/>
          <w:trHeight w:val="113"/>
        </w:trPr>
        <w:tc>
          <w:tcPr>
            <w:tcW w:w="9848" w:type="dxa"/>
            <w:tcBorders>
              <w:bottom w:val="single" w:sz="2" w:space="0" w:color="auto"/>
            </w:tcBorders>
            <w:shd w:val="clear" w:color="auto" w:fill="auto"/>
          </w:tcPr>
          <w:p w14:paraId="1B29FCC3" w14:textId="77777777" w:rsidR="00711444" w:rsidRPr="004D0DAA" w:rsidRDefault="00711444" w:rsidP="00AA2A4C">
            <w:pPr>
              <w:spacing w:after="0"/>
              <w:rPr>
                <w:b/>
                <w:bCs/>
              </w:rPr>
            </w:pPr>
            <w:r w:rsidRPr="004D0DAA">
              <w:rPr>
                <w:b/>
                <w:bCs/>
              </w:rPr>
              <w:t>EMSR Additional PFCs 1</w:t>
            </w:r>
          </w:p>
          <w:p w14:paraId="34D28069" w14:textId="77777777" w:rsidR="00711444" w:rsidRPr="004D0DAA" w:rsidRDefault="00711444" w:rsidP="00AA2A4C">
            <w:pPr>
              <w:spacing w:after="0"/>
              <w:rPr>
                <w:b/>
                <w:bCs/>
              </w:rPr>
            </w:pPr>
            <w:r w:rsidRPr="004D0DAA">
              <w:rPr>
                <w:b/>
                <w:bCs/>
              </w:rPr>
              <w:t>EMSR Additional PFCs 2</w:t>
            </w:r>
          </w:p>
          <w:p w14:paraId="0A94FF22" w14:textId="77777777" w:rsidR="00711444" w:rsidRPr="004D0DAA" w:rsidRDefault="00711444" w:rsidP="00AA2A4C">
            <w:pPr>
              <w:spacing w:after="0"/>
              <w:rPr>
                <w:b/>
                <w:bCs/>
              </w:rPr>
            </w:pPr>
            <w:r w:rsidRPr="004D0DAA">
              <w:rPr>
                <w:b/>
                <w:bCs/>
              </w:rPr>
              <w:t>EMSR Additional PFCs 3</w:t>
            </w:r>
          </w:p>
          <w:p w14:paraId="110C7DAB" w14:textId="77777777" w:rsidR="00711444" w:rsidRPr="004D0DAA" w:rsidRDefault="00711444" w:rsidP="00AA2A4C">
            <w:pPr>
              <w:spacing w:after="0"/>
            </w:pPr>
            <w:r w:rsidRPr="004D0DAA">
              <w:t>These IEs are defined in section 11.2.7.</w:t>
            </w:r>
          </w:p>
          <w:p w14:paraId="273DB315" w14:textId="77777777" w:rsidR="00711444" w:rsidRPr="004D0DAA" w:rsidRDefault="00711444" w:rsidP="00AA2A4C">
            <w:pPr>
              <w:spacing w:after="0"/>
              <w:rPr>
                <w:b/>
              </w:rPr>
            </w:pPr>
          </w:p>
        </w:tc>
      </w:tr>
      <w:tr w:rsidR="00711444" w:rsidRPr="004D0DAA" w14:paraId="6E71FEBE"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37C30DE4" w14:textId="77777777" w:rsidR="00711444" w:rsidRPr="004D0DAA" w:rsidRDefault="00711444" w:rsidP="00AA2A4C">
            <w:pPr>
              <w:spacing w:after="0"/>
              <w:rPr>
                <w:b/>
                <w:bCs/>
              </w:rPr>
            </w:pPr>
            <w:r w:rsidRPr="004D0DAA">
              <w:rPr>
                <w:b/>
                <w:bCs/>
              </w:rPr>
              <w:t>DLMC UL Carrier Info</w:t>
            </w:r>
          </w:p>
          <w:p w14:paraId="50F8A8D6" w14:textId="77777777" w:rsidR="00711444" w:rsidRPr="004D0DAA" w:rsidRDefault="00711444" w:rsidP="00AA2A4C">
            <w:pPr>
              <w:spacing w:after="0"/>
              <w:rPr>
                <w:bCs/>
              </w:rPr>
            </w:pPr>
            <w:r w:rsidRPr="004D0DAA">
              <w:rPr>
                <w:bCs/>
              </w:rPr>
              <w:t>This information element is used to describe the uplink carriers applicable to an uplink TBF assigned for a DLMC configuration. It provides information for one or more of the uplink carriers corresponding to the downlink carriers (see sub-clause 8.1.1.2.1 and 8.1.2.5) where the uplink carriers are referenced in ascending order starting with the uplink carrier corresponding to downlink carrier C1, followed by the uplink carrier corresponding to downlink carrier C2 and so on (see sub-clause 8.1.1.1.3 for the numbering of downlink carriers in a DLMC configuration). The assignment message allows for releasing an existing carrier, keeping an existing carrier unchanged, modifying an existing carrier or adding a new carrier.</w:t>
            </w:r>
          </w:p>
        </w:tc>
      </w:tr>
      <w:tr w:rsidR="00711444" w:rsidRPr="004D0DAA" w14:paraId="02486FA6"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2646B988" w14:textId="77777777" w:rsidR="00711444" w:rsidRPr="004D0DAA" w:rsidRDefault="00711444" w:rsidP="00AA2A4C">
            <w:pPr>
              <w:spacing w:after="0"/>
              <w:rPr>
                <w:b/>
                <w:bCs/>
              </w:rPr>
            </w:pPr>
            <w:r w:rsidRPr="004D0DAA">
              <w:rPr>
                <w:b/>
                <w:bCs/>
              </w:rPr>
              <w:t>UPLINK_TIMESLOT_ALLOCATION (8 bit field)</w:t>
            </w:r>
            <w:r w:rsidRPr="004D0DAA">
              <w:rPr>
                <w:b/>
                <w:bCs/>
              </w:rPr>
              <w:br/>
            </w:r>
            <w:r w:rsidRPr="004D0DAA">
              <w:rPr>
                <w:bCs/>
              </w:rPr>
              <w:t xml:space="preserve">This field is defined in sub-clause 12.18. </w:t>
            </w:r>
          </w:p>
        </w:tc>
      </w:tr>
      <w:tr w:rsidR="00711444" w:rsidRPr="004D0DAA" w14:paraId="56D33A36"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2FEFF398" w14:textId="77777777" w:rsidR="00711444" w:rsidRPr="004D0DAA" w:rsidRDefault="00711444" w:rsidP="00AA2A4C">
            <w:pPr>
              <w:spacing w:after="0"/>
              <w:rPr>
                <w:b/>
                <w:bCs/>
              </w:rPr>
            </w:pPr>
            <w:r w:rsidRPr="004D0DAA">
              <w:rPr>
                <w:b/>
                <w:bCs/>
              </w:rPr>
              <w:t>UPLINK_PDCH_PAIR_DLMC</w:t>
            </w:r>
          </w:p>
          <w:p w14:paraId="2360E238" w14:textId="77777777" w:rsidR="00711444" w:rsidRPr="004D0DAA" w:rsidRDefault="00711444" w:rsidP="00AA2A4C">
            <w:pPr>
              <w:spacing w:after="0"/>
              <w:rPr>
                <w:bCs/>
              </w:rPr>
            </w:pPr>
            <w:r w:rsidRPr="004D0DAA">
              <w:rPr>
                <w:bCs/>
              </w:rPr>
              <w:t>This field is defined in sub-clause 11.2.31</w:t>
            </w:r>
          </w:p>
        </w:tc>
      </w:tr>
      <w:tr w:rsidR="00711444" w:rsidRPr="004D0DAA" w14:paraId="3569BE03"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006D087B" w14:textId="77777777" w:rsidR="00711444" w:rsidRPr="004D0DAA" w:rsidRDefault="00711444" w:rsidP="00AA2A4C">
            <w:pPr>
              <w:spacing w:after="0"/>
              <w:rPr>
                <w:b/>
                <w:bCs/>
              </w:rPr>
            </w:pPr>
            <w:r w:rsidRPr="004D0DAA">
              <w:rPr>
                <w:b/>
                <w:bCs/>
              </w:rPr>
              <w:t>Dynamic Allocation 3</w:t>
            </w:r>
          </w:p>
          <w:p w14:paraId="71EB0882" w14:textId="77777777" w:rsidR="00711444" w:rsidRPr="004D0DAA" w:rsidRDefault="00711444" w:rsidP="00AA2A4C">
            <w:pPr>
              <w:spacing w:after="0"/>
              <w:rPr>
                <w:bCs/>
              </w:rPr>
            </w:pPr>
            <w:r w:rsidRPr="004D0DAA">
              <w:rPr>
                <w:bCs/>
              </w:rPr>
              <w:t>This information element provides information for an uplink carrier corresponding to a downlink carrier assigned for a DLMC configuration. It shall always include information for the lowest numbered PDCH/PDCH-pair assigned on the referenced uplink carrier. If information is excluded for any additional PDCH/PDCH-pair assigned for the referenced uplink carrier then the MS shall apply the information provided for the lowest numbered PDCH/PDCH-pair assigned for that carrier. This information element is defined in sub-clause 12.65.</w:t>
            </w:r>
          </w:p>
          <w:p w14:paraId="60B25B69" w14:textId="77777777" w:rsidR="00711444" w:rsidRPr="004D0DAA" w:rsidRDefault="00711444" w:rsidP="00AA2A4C">
            <w:pPr>
              <w:spacing w:after="0"/>
              <w:rPr>
                <w:b/>
                <w:bCs/>
              </w:rPr>
            </w:pPr>
          </w:p>
        </w:tc>
      </w:tr>
      <w:tr w:rsidR="00711444" w:rsidRPr="004D0DAA" w14:paraId="552F9871" w14:textId="77777777" w:rsidTr="00AA2A4C">
        <w:tblPrEx>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34AB3E06" w14:textId="77777777" w:rsidR="00711444" w:rsidRPr="004D0DAA" w:rsidRDefault="00711444" w:rsidP="00AA2A4C">
            <w:pPr>
              <w:spacing w:after="0"/>
            </w:pPr>
            <w:r w:rsidRPr="004D0DAA">
              <w:rPr>
                <w:b/>
              </w:rPr>
              <w:t>Primary TSC Set</w:t>
            </w:r>
            <w:r w:rsidRPr="004D0DAA">
              <w:t xml:space="preserve"> (1 bit field)</w:t>
            </w:r>
          </w:p>
          <w:p w14:paraId="28774A37" w14:textId="77777777" w:rsidR="00711444" w:rsidRPr="004D0DAA" w:rsidRDefault="00711444" w:rsidP="00AA2A4C">
            <w:r w:rsidRPr="004D0DAA">
              <w:t xml:space="preserve">If a mobile station supports the extended TSC sets (see 3GPP TS 45.002 [32]) then it shall use this field to identify the TSC set associated with the TSC value indicated by the </w:t>
            </w:r>
            <w:r w:rsidRPr="004D0DAA">
              <w:rPr>
                <w:i/>
              </w:rPr>
              <w:t xml:space="preserve">Frequency Parameters </w:t>
            </w:r>
            <w:r w:rsidRPr="004D0DAA">
              <w:t xml:space="preserve">IE, </w:t>
            </w:r>
            <w:r w:rsidRPr="004D0DAA">
              <w:rPr>
                <w:i/>
              </w:rPr>
              <w:t>Dual Carrier</w:t>
            </w:r>
            <w:r w:rsidRPr="004D0DAA">
              <w:t xml:space="preserve"> </w:t>
            </w:r>
            <w:r w:rsidRPr="004D0DAA">
              <w:rPr>
                <w:i/>
              </w:rPr>
              <w:t xml:space="preserve">Frequency Parameters </w:t>
            </w:r>
            <w:r w:rsidRPr="004D0DAA">
              <w:t xml:space="preserve">IE or </w:t>
            </w:r>
            <w:r w:rsidRPr="004D0DAA">
              <w:rPr>
                <w:rFonts w:cs="Arial"/>
                <w:i/>
              </w:rPr>
              <w:t>DLMC Frequency Parameters</w:t>
            </w:r>
            <w:r w:rsidRPr="004D0DAA">
              <w:rPr>
                <w:rFonts w:cs="Arial"/>
              </w:rPr>
              <w:t xml:space="preserve"> IE for use on the assigned uplink PS resources</w:t>
            </w:r>
            <w:r w:rsidRPr="004D0DAA">
              <w:t>. This field is coded as follows:</w:t>
            </w:r>
          </w:p>
          <w:p w14:paraId="0366F840" w14:textId="77777777" w:rsidR="00711444" w:rsidRPr="004D0DAA" w:rsidRDefault="00711444" w:rsidP="00AA2A4C">
            <w:pPr>
              <w:spacing w:before="60" w:after="0"/>
            </w:pPr>
            <w:r w:rsidRPr="004D0DAA">
              <w:t>0  TSC set 1</w:t>
            </w:r>
          </w:p>
          <w:p w14:paraId="204E61AE" w14:textId="77777777" w:rsidR="00711444" w:rsidRPr="004D0DAA" w:rsidRDefault="00711444" w:rsidP="00AA2A4C">
            <w:pPr>
              <w:spacing w:before="60" w:after="0"/>
              <w:ind w:left="270" w:hanging="270"/>
            </w:pPr>
            <w:r w:rsidRPr="004D0DAA">
              <w:t xml:space="preserve">1   Indicates TSC set 2 for 8PSK, 16QAM and 32QAM modulation. For GMSK modulation it indicates TSC set 3 (which is identical to TSC set 3 used for the CS domain). </w:t>
            </w:r>
          </w:p>
          <w:p w14:paraId="7A060D0D" w14:textId="77777777" w:rsidR="00711444" w:rsidRPr="004D0DAA" w:rsidRDefault="00711444" w:rsidP="00AA2A4C">
            <w:pPr>
              <w:spacing w:before="60" w:after="0"/>
              <w:rPr>
                <w:b/>
                <w:bCs/>
              </w:rPr>
            </w:pPr>
          </w:p>
        </w:tc>
      </w:tr>
    </w:tbl>
    <w:p w14:paraId="1DF81679" w14:textId="77777777" w:rsidR="00711444" w:rsidRPr="004D0DAA" w:rsidRDefault="00711444" w:rsidP="00711444"/>
    <w:p w14:paraId="5182D741" w14:textId="77777777" w:rsidR="00711444" w:rsidRPr="004D0DAA" w:rsidRDefault="00711444" w:rsidP="00711444">
      <w:pPr>
        <w:pStyle w:val="Heading4"/>
      </w:pPr>
      <w:bookmarkStart w:id="714" w:name="_Toc516669890"/>
      <w:r w:rsidRPr="004D0DAA">
        <w:t>11.2.29.1</w:t>
      </w:r>
      <w:r w:rsidRPr="004D0DAA">
        <w:tab/>
        <w:t>Special requirements in dual transfer mode for uplink TBF</w:t>
      </w:r>
      <w:bookmarkEnd w:id="714"/>
    </w:p>
    <w:p w14:paraId="2388B467" w14:textId="77777777" w:rsidR="00711444" w:rsidRPr="004D0DAA" w:rsidRDefault="00711444" w:rsidP="00711444">
      <w:r w:rsidRPr="004D0DAA">
        <w:t>Special requirements apply when an uplink TBF is assigned to a mobile station in dual transfer mode or about to enter dual transfer mode.</w:t>
      </w:r>
    </w:p>
    <w:p w14:paraId="4E7D9A73" w14:textId="77777777" w:rsidR="00711444" w:rsidRPr="004D0DAA" w:rsidRDefault="00711444" w:rsidP="00711444">
      <w:r w:rsidRPr="004D0DAA">
        <w:t>If the mobile station has an RR connection to the network on a half-rate TCH, the network may assign an uplink TBF using the other sub-channel of the same timeslot for a half-rate PDCH (see 3GPP TS 45.002). In this case, the uplink assignment message shall be encoded with a timeslot allocation including the timeslot number for the half-rate TCH and the half-rate PDCH, and only that timeslot number. The mobile station shall interpret this allocation as an allocation of a half-rate PDCH.</w:t>
      </w:r>
    </w:p>
    <w:p w14:paraId="439B0F1C" w14:textId="77777777" w:rsidR="00711444" w:rsidRPr="004D0DAA" w:rsidRDefault="00711444" w:rsidP="00711444">
      <w:r w:rsidRPr="004D0DAA">
        <w:lastRenderedPageBreak/>
        <w:t>In dual transfer mode, the mobile station may be assigned an uplink TBF using exclusive allocation. The exclusive allocation shall be applied according to the conditions specified in sub-clause 8.1.0. When the exclusive allocation is applied, the mobile station shall ignore the USF values assigned in the uplink assignment message.</w:t>
      </w:r>
    </w:p>
    <w:p w14:paraId="2E9F7D24" w14:textId="77777777" w:rsidR="00711444" w:rsidRPr="004D0DAA" w:rsidRDefault="00711444" w:rsidP="00711444">
      <w:pPr>
        <w:pStyle w:val="Heading3"/>
      </w:pPr>
      <w:bookmarkStart w:id="715" w:name="_Toc516669891"/>
      <w:r w:rsidRPr="004D0DAA">
        <w:t>11.2.29a</w:t>
      </w:r>
      <w:r w:rsidRPr="004D0DAA">
        <w:tab/>
        <w:t>Multiple TBF Uplink Assignment</w:t>
      </w:r>
      <w:bookmarkEnd w:id="715"/>
    </w:p>
    <w:p w14:paraId="37908AFF" w14:textId="77777777" w:rsidR="00711444" w:rsidRPr="004D0DAA" w:rsidRDefault="00711444" w:rsidP="00711444">
      <w:r w:rsidRPr="004D0DAA">
        <w:t>This message is sent on the PACCH by the network to the mobile station to assign uplink resources. If the mobile station supports Downlink Dual Carrier, this message may be sent using extended RLC/MAC control message segmentation (see sub-clause 9.1.12a). The mobile station may be addressed by the G-RNTI or the TFI depending upon the procedure used. A mobile allocation or reference frequency list received as part of this assignment message shall be valid until new assignment is received or each TBF of the MS are terminated.</w:t>
      </w:r>
    </w:p>
    <w:p w14:paraId="3F3125F7" w14:textId="77777777" w:rsidR="00711444" w:rsidRPr="004D0DAA" w:rsidRDefault="00711444" w:rsidP="00711444">
      <w:pPr>
        <w:pStyle w:val="EX"/>
      </w:pPr>
      <w:r w:rsidRPr="004D0DAA">
        <w:t>Message type:</w:t>
      </w:r>
      <w:r w:rsidRPr="004D0DAA">
        <w:tab/>
        <w:t>MULTIPLE TBF UPLINK ASSIGNMENT</w:t>
      </w:r>
    </w:p>
    <w:p w14:paraId="5B8A3997" w14:textId="77777777" w:rsidR="00711444" w:rsidRPr="004D0DAA" w:rsidRDefault="00711444" w:rsidP="00711444">
      <w:pPr>
        <w:pStyle w:val="EX"/>
      </w:pPr>
      <w:r w:rsidRPr="004D0DAA">
        <w:t>Direction:</w:t>
      </w:r>
      <w:r w:rsidRPr="004D0DAA">
        <w:tab/>
        <w:t xml:space="preserve">network to mobile station </w:t>
      </w:r>
    </w:p>
    <w:p w14:paraId="60D02CEC" w14:textId="77777777" w:rsidR="00711444" w:rsidRPr="004D0DAA" w:rsidRDefault="00711444" w:rsidP="00711444">
      <w:pPr>
        <w:pStyle w:val="EX"/>
        <w:rPr>
          <w:lang w:val="fr-FR"/>
        </w:rPr>
      </w:pPr>
      <w:r w:rsidRPr="004D0DAA">
        <w:rPr>
          <w:lang w:val="fr-FR"/>
        </w:rPr>
        <w:t>Classification :</w:t>
      </w:r>
      <w:r w:rsidRPr="004D0DAA">
        <w:rPr>
          <w:lang w:val="fr-FR"/>
        </w:rPr>
        <w:tab/>
        <w:t>non-distribution message</w:t>
      </w:r>
    </w:p>
    <w:p w14:paraId="2D58361F" w14:textId="77777777" w:rsidR="00711444" w:rsidRPr="004D0DAA" w:rsidRDefault="00711444" w:rsidP="00711444">
      <w:pPr>
        <w:pStyle w:val="TH"/>
        <w:rPr>
          <w:lang w:val="fr-FR"/>
        </w:rPr>
      </w:pPr>
      <w:r w:rsidRPr="004D0DAA">
        <w:rPr>
          <w:lang w:val="fr-FR"/>
        </w:rPr>
        <w:lastRenderedPageBreak/>
        <w:t xml:space="preserve">Table 11.2.29a.1: </w:t>
      </w:r>
      <w:r w:rsidRPr="004D0DAA">
        <w:rPr>
          <w:caps/>
          <w:lang w:val="fr-FR"/>
        </w:rPr>
        <w:t>MULTIPLE TBF UPlink ASSIGNMENT</w:t>
      </w:r>
      <w:r w:rsidRPr="004D0DAA">
        <w:rPr>
          <w:lang w:val="fr-FR"/>
        </w:rPr>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2F3E59C" w14:textId="77777777" w:rsidTr="00AA2A4C">
        <w:tblPrEx>
          <w:tblCellMar>
            <w:top w:w="0" w:type="dxa"/>
            <w:bottom w:w="0" w:type="dxa"/>
          </w:tblCellMar>
        </w:tblPrEx>
        <w:trPr>
          <w:cantSplit/>
        </w:trPr>
        <w:tc>
          <w:tcPr>
            <w:tcW w:w="9848" w:type="dxa"/>
          </w:tcPr>
          <w:p w14:paraId="2C211BAE" w14:textId="77777777" w:rsidR="00711444" w:rsidRPr="004D0DAA" w:rsidRDefault="00711444" w:rsidP="00AA2A4C">
            <w:pPr>
              <w:pStyle w:val="TAL"/>
              <w:rPr>
                <w:lang w:val="fr-FR" w:eastAsia="en-US"/>
              </w:rPr>
            </w:pPr>
            <w:r w:rsidRPr="004D0DAA">
              <w:rPr>
                <w:lang w:val="fr-FR" w:eastAsia="en-US"/>
              </w:rPr>
              <w:t>&lt; Multiple TBF Uplink Assignment message content &gt; ::=</w:t>
            </w:r>
          </w:p>
          <w:p w14:paraId="0D2FA294"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777CBC5D" w14:textId="77777777" w:rsidR="00711444" w:rsidRPr="004D0DAA" w:rsidRDefault="00711444" w:rsidP="00AA2A4C">
            <w:pPr>
              <w:pStyle w:val="TAL"/>
              <w:rPr>
                <w:lang w:val="fr-FR" w:eastAsia="en-US"/>
              </w:rPr>
            </w:pPr>
            <w:r w:rsidRPr="004D0DAA">
              <w:rPr>
                <w:lang w:val="fr-FR" w:eastAsia="en-US"/>
              </w:rPr>
              <w:tab/>
              <w:t xml:space="preserve">{ 0 | 1 &lt; </w:t>
            </w:r>
            <w:r w:rsidRPr="004D0DAA">
              <w:rPr>
                <w:b/>
                <w:lang w:val="fr-FR" w:eastAsia="en-US"/>
              </w:rPr>
              <w:t xml:space="preserve">PERSISTENCE_LEVEL </w:t>
            </w:r>
            <w:r w:rsidRPr="004D0DAA">
              <w:rPr>
                <w:lang w:val="fr-FR" w:eastAsia="en-US"/>
              </w:rPr>
              <w:t>: bit (4) &gt; * 4 }</w:t>
            </w:r>
          </w:p>
          <w:p w14:paraId="07532942" w14:textId="77777777" w:rsidR="00711444" w:rsidRPr="004D0DAA" w:rsidRDefault="00711444" w:rsidP="00AA2A4C">
            <w:pPr>
              <w:pStyle w:val="TAL"/>
              <w:rPr>
                <w:lang w:val="fr-FR" w:eastAsia="en-US"/>
              </w:rPr>
            </w:pPr>
            <w:r w:rsidRPr="004D0DAA">
              <w:rPr>
                <w:lang w:val="fr-FR" w:eastAsia="en-US"/>
              </w:rPr>
              <w:tab/>
              <w:t>{</w:t>
            </w:r>
            <w:r w:rsidRPr="004D0DAA">
              <w:rPr>
                <w:lang w:val="fr-FR" w:eastAsia="en-US"/>
              </w:rPr>
              <w:tab/>
              <w:t>{ 0</w:t>
            </w:r>
            <w:r w:rsidRPr="004D0DAA">
              <w:rPr>
                <w:lang w:val="fr-FR" w:eastAsia="en-US"/>
              </w:rPr>
              <w:tab/>
              <w:t xml:space="preserve">&lt; </w:t>
            </w:r>
            <w:r w:rsidRPr="004D0DAA">
              <w:rPr>
                <w:b/>
                <w:lang w:val="fr-FR" w:eastAsia="en-US"/>
              </w:rPr>
              <w:t>Global TFI</w:t>
            </w:r>
            <w:r w:rsidRPr="004D0DAA">
              <w:rPr>
                <w:lang w:val="fr-FR" w:eastAsia="en-US"/>
              </w:rPr>
              <w:t xml:space="preserve"> : &lt; Global TFI IE &gt; &gt; </w:t>
            </w:r>
          </w:p>
          <w:p w14:paraId="1C628AFE"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10</w:t>
            </w:r>
            <w:r w:rsidRPr="004D0DAA">
              <w:rPr>
                <w:lang w:val="fr-FR" w:eastAsia="en-US"/>
              </w:rPr>
              <w:tab/>
              <w:t xml:space="preserve">{ &lt; </w:t>
            </w:r>
            <w:r w:rsidRPr="004D0DAA">
              <w:rPr>
                <w:b/>
                <w:lang w:val="fr-FR" w:eastAsia="en-US"/>
              </w:rPr>
              <w:t xml:space="preserve">TLLI </w:t>
            </w:r>
            <w:r w:rsidRPr="004D0DAA">
              <w:rPr>
                <w:b/>
                <w:bCs/>
                <w:lang w:val="fr-FR" w:eastAsia="en-US"/>
              </w:rPr>
              <w:t xml:space="preserve">/ G-RNTI </w:t>
            </w:r>
            <w:r w:rsidRPr="004D0DAA">
              <w:rPr>
                <w:lang w:val="fr-FR" w:eastAsia="en-US"/>
              </w:rPr>
              <w:t xml:space="preserve">: &lt;TLLI / G-RNTI IE &gt; &gt; </w:t>
            </w:r>
            <w:r w:rsidRPr="004D0DAA">
              <w:rPr>
                <w:iCs/>
                <w:lang w:val="fr-FR" w:eastAsia="en-US"/>
              </w:rPr>
              <w:t xml:space="preserve">&lt; </w:t>
            </w:r>
            <w:r w:rsidRPr="004D0DAA">
              <w:rPr>
                <w:b/>
                <w:bCs/>
                <w:iCs/>
                <w:lang w:val="fr-FR" w:eastAsia="en-US"/>
              </w:rPr>
              <w:t xml:space="preserve">G-RNTI extension </w:t>
            </w:r>
            <w:r w:rsidRPr="004D0DAA">
              <w:rPr>
                <w:iCs/>
                <w:lang w:val="fr-FR" w:eastAsia="en-US"/>
              </w:rPr>
              <w:t>: bit (4) &gt; } }</w:t>
            </w:r>
          </w:p>
          <w:p w14:paraId="0B7AE6BA"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0</w:t>
            </w:r>
            <w:r w:rsidRPr="004D0DAA">
              <w:rPr>
                <w:lang w:eastAsia="en-US"/>
              </w:rPr>
              <w:tab/>
            </w:r>
            <w:r w:rsidRPr="004D0DAA">
              <w:rPr>
                <w:lang w:eastAsia="en-US"/>
              </w:rPr>
              <w:tab/>
              <w:t xml:space="preserve">-- </w:t>
            </w:r>
            <w:r w:rsidRPr="004D0DAA">
              <w:rPr>
                <w:i/>
                <w:lang w:eastAsia="en-US"/>
              </w:rPr>
              <w:t xml:space="preserve">Message escape bit </w:t>
            </w:r>
            <w:r w:rsidRPr="004D0DAA">
              <w:rPr>
                <w:i/>
                <w:iCs/>
                <w:lang w:eastAsia="en-US"/>
              </w:rPr>
              <w:t>for GPRS mode TBFs</w:t>
            </w:r>
          </w:p>
          <w:p w14:paraId="04F226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 0 | 1 &lt; </w:t>
            </w:r>
            <w:r w:rsidRPr="004D0DAA">
              <w:rPr>
                <w:b/>
                <w:bCs/>
                <w:lang w:eastAsia="en-US"/>
              </w:rPr>
              <w:t>CHANNEL_CODING_COMMAND</w:t>
            </w:r>
            <w:r w:rsidRPr="004D0DAA">
              <w:rPr>
                <w:lang w:eastAsia="en-US"/>
              </w:rPr>
              <w:t xml:space="preserve"> : bit (2) &gt; }</w:t>
            </w:r>
          </w:p>
          <w:p w14:paraId="58C5113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TLLI_BLOCK_CHANNEL_CODING </w:t>
            </w:r>
            <w:r w:rsidRPr="004D0DAA">
              <w:rPr>
                <w:lang w:eastAsia="en-US"/>
              </w:rPr>
              <w:t>: bit (1) &gt;</w:t>
            </w:r>
          </w:p>
          <w:p w14:paraId="1B31CAF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Packet Timing Advance</w:t>
            </w:r>
            <w:r w:rsidRPr="004D0DAA">
              <w:rPr>
                <w:lang w:eastAsia="en-US"/>
              </w:rPr>
              <w:t xml:space="preserve"> : &lt; Packet Timing Advance IE &gt; &gt;</w:t>
            </w:r>
          </w:p>
          <w:p w14:paraId="604510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Packet Extended Timing Advance</w:t>
            </w:r>
            <w:r w:rsidRPr="004D0DAA">
              <w:rPr>
                <w:lang w:eastAsia="en-US"/>
              </w:rPr>
              <w:t xml:space="preserve"> : bit (2) &gt; }</w:t>
            </w:r>
          </w:p>
          <w:p w14:paraId="548D0D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Frequency Parameters</w:t>
            </w:r>
            <w:r w:rsidRPr="004D0DAA">
              <w:rPr>
                <w:lang w:eastAsia="en-US"/>
              </w:rPr>
              <w:t xml:space="preserve"> : &lt; Frequency Parameters IE &gt; &gt; }</w:t>
            </w:r>
          </w:p>
          <w:p w14:paraId="424D3A01"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Uplink TBF Assignment</w:t>
            </w:r>
            <w:r w:rsidRPr="004D0DAA">
              <w:rPr>
                <w:lang w:eastAsia="en-US"/>
              </w:rPr>
              <w:t xml:space="preserve"> : &lt; Uplink Assignment struct &gt; &gt; } </w:t>
            </w:r>
          </w:p>
          <w:p w14:paraId="27B70E2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padding bits &gt; } </w:t>
            </w:r>
          </w:p>
          <w:p w14:paraId="34A6ED8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Non-distribution part error : bit (*) = &lt; no string &gt; &gt; } </w:t>
            </w:r>
          </w:p>
        </w:tc>
      </w:tr>
      <w:tr w:rsidR="00711444" w:rsidRPr="004D0DAA" w14:paraId="486A8030" w14:textId="77777777" w:rsidTr="00AA2A4C">
        <w:tblPrEx>
          <w:tblCellMar>
            <w:top w:w="0" w:type="dxa"/>
            <w:bottom w:w="0" w:type="dxa"/>
          </w:tblCellMar>
        </w:tblPrEx>
        <w:trPr>
          <w:cantSplit/>
        </w:trPr>
        <w:tc>
          <w:tcPr>
            <w:tcW w:w="9848" w:type="dxa"/>
          </w:tcPr>
          <w:p w14:paraId="61BC4BAA"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 </w:t>
            </w:r>
            <w:r w:rsidRPr="004D0DAA">
              <w:rPr>
                <w:i/>
                <w:lang w:eastAsia="en-US"/>
              </w:rPr>
              <w:t>Message escape bit for EGPRS mode TBFs</w:t>
            </w:r>
          </w:p>
          <w:p w14:paraId="0FAFA93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00 </w:t>
            </w:r>
          </w:p>
          <w:p w14:paraId="60FBF93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3D93FF4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71B53A4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Resegment</w:t>
            </w:r>
            <w:r w:rsidRPr="004D0DAA">
              <w:rPr>
                <w:lang w:eastAsia="en-US"/>
              </w:rPr>
              <w:t xml:space="preserve"> : &lt; </w:t>
            </w:r>
            <w:r w:rsidRPr="004D0DAA">
              <w:rPr>
                <w:bCs/>
                <w:lang w:eastAsia="en-US"/>
              </w:rPr>
              <w:t>RESEGMENT</w:t>
            </w:r>
            <w:r w:rsidRPr="004D0DAA">
              <w:rPr>
                <w:b/>
                <w:lang w:eastAsia="en-US"/>
              </w:rPr>
              <w:t xml:space="preserve"> </w:t>
            </w:r>
            <w:r w:rsidRPr="004D0DAA">
              <w:rPr>
                <w:lang w:eastAsia="en-US"/>
              </w:rPr>
              <w:t>IE &gt;&gt;</w:t>
            </w:r>
            <w:r w:rsidRPr="004D0DAA">
              <w:rPr>
                <w:lang w:eastAsia="en-US"/>
              </w:rPr>
              <w:tab/>
            </w:r>
          </w:p>
          <w:p w14:paraId="5088CC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TLLI_BLOCK_CHANNEL_CODING </w:t>
            </w:r>
            <w:r w:rsidRPr="004D0DAA">
              <w:rPr>
                <w:lang w:eastAsia="en-US"/>
              </w:rPr>
              <w:t>: bit (1) &gt;</w:t>
            </w:r>
          </w:p>
          <w:p w14:paraId="2B123C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BEP_PERIOD2</w:t>
            </w:r>
            <w:r w:rsidRPr="004D0DAA">
              <w:rPr>
                <w:lang w:eastAsia="en-US"/>
              </w:rPr>
              <w:t xml:space="preserve"> : bit(4) &gt; }</w:t>
            </w:r>
          </w:p>
          <w:p w14:paraId="75AE94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Packet Timing Advance</w:t>
            </w:r>
            <w:r w:rsidRPr="004D0DAA">
              <w:rPr>
                <w:lang w:eastAsia="en-US"/>
              </w:rPr>
              <w:t xml:space="preserve"> : &lt; Packet Timing Advance IE &gt; &gt;</w:t>
            </w:r>
            <w:r w:rsidRPr="004D0DAA">
              <w:rPr>
                <w:lang w:eastAsia="en-US"/>
              </w:rPr>
              <w:tab/>
            </w:r>
          </w:p>
          <w:p w14:paraId="4574D92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Packet Extended Timing Advance</w:t>
            </w:r>
            <w:r w:rsidRPr="004D0DAA">
              <w:rPr>
                <w:lang w:eastAsia="en-US"/>
              </w:rPr>
              <w:t xml:space="preserve"> : bit (2) &gt; }</w:t>
            </w:r>
          </w:p>
          <w:p w14:paraId="2EBB850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Frequency Parameters</w:t>
            </w:r>
            <w:r w:rsidRPr="004D0DAA">
              <w:rPr>
                <w:lang w:eastAsia="en-US"/>
              </w:rPr>
              <w:t xml:space="preserve"> : &lt; Frequency Parameters IE &gt; &gt; }</w:t>
            </w:r>
          </w:p>
          <w:p w14:paraId="6AEC6CC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Uplink TBF Assignment</w:t>
            </w:r>
            <w:r w:rsidRPr="004D0DAA">
              <w:rPr>
                <w:lang w:eastAsia="en-US"/>
              </w:rPr>
              <w:t xml:space="preserve"> : &lt; Uplink Assignment struct &gt; &gt; }</w:t>
            </w:r>
          </w:p>
          <w:p w14:paraId="0B15464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4A364971"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xml:space="preserve">-- </w:t>
            </w:r>
            <w:r w:rsidRPr="004D0DAA">
              <w:rPr>
                <w:i/>
                <w:lang w:eastAsia="en-US"/>
              </w:rPr>
              <w:t>Additions for Rel-7</w:t>
            </w:r>
          </w:p>
          <w:p w14:paraId="1FAC559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 ** 0</w:t>
            </w:r>
          </w:p>
          <w:p w14:paraId="315D082E"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590FA3A0"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Rel-9</w:t>
            </w:r>
          </w:p>
          <w:p w14:paraId="480525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 } ** 0</w:t>
            </w:r>
          </w:p>
          <w:p w14:paraId="088D48D9"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 xml:space="preserve">Enhanced Flexible Timeslot Assignment </w:t>
            </w:r>
            <w:r w:rsidRPr="004D0DAA">
              <w:rPr>
                <w:iCs/>
                <w:lang w:eastAsia="en-US"/>
              </w:rPr>
              <w:t>: bit  &gt;</w:t>
            </w:r>
          </w:p>
          <w:p w14:paraId="2F306C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w:t>
            </w:r>
          </w:p>
          <w:p w14:paraId="6FBD336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3240627A" w14:textId="77777777" w:rsidTr="00AA2A4C">
        <w:tblPrEx>
          <w:tblCellMar>
            <w:top w:w="0" w:type="dxa"/>
            <w:bottom w:w="0" w:type="dxa"/>
          </w:tblCellMar>
        </w:tblPrEx>
        <w:trPr>
          <w:cantSplit/>
        </w:trPr>
        <w:tc>
          <w:tcPr>
            <w:tcW w:w="9848" w:type="dxa"/>
          </w:tcPr>
          <w:p w14:paraId="38C4961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01 </w:t>
            </w:r>
            <w:r w:rsidRPr="004D0DAA">
              <w:rPr>
                <w:lang w:eastAsia="en-US"/>
              </w:rPr>
              <w:tab/>
            </w:r>
            <w:r w:rsidRPr="004D0DAA">
              <w:rPr>
                <w:lang w:eastAsia="en-US"/>
              </w:rPr>
              <w:tab/>
            </w:r>
            <w:r w:rsidRPr="004D0DAA">
              <w:rPr>
                <w:lang w:eastAsia="en-US"/>
              </w:rPr>
              <w:tab/>
              <w:t xml:space="preserve">-- </w:t>
            </w:r>
            <w:r w:rsidRPr="004D0DAA">
              <w:rPr>
                <w:i/>
                <w:lang w:eastAsia="en-US"/>
              </w:rPr>
              <w:t>Message escape for dual carrier, RTTI, BTTI with FANR activated, EGPRS2</w:t>
            </w:r>
          </w:p>
          <w:p w14:paraId="68BDE1D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578DE2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7945892F"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 xml:space="preserve">Assignment Info : </w:t>
            </w:r>
            <w:r w:rsidRPr="004D0DAA">
              <w:rPr>
                <w:lang w:eastAsia="en-US"/>
              </w:rPr>
              <w:t>&lt;</w:t>
            </w:r>
            <w:r w:rsidRPr="004D0DAA">
              <w:rPr>
                <w:b/>
                <w:lang w:eastAsia="en-US"/>
              </w:rPr>
              <w:t xml:space="preserve"> </w:t>
            </w:r>
            <w:r w:rsidRPr="004D0DAA">
              <w:rPr>
                <w:lang w:eastAsia="en-US"/>
              </w:rPr>
              <w:t>Assignment Info struct &gt; &gt;</w:t>
            </w:r>
          </w:p>
          <w:p w14:paraId="7BACB9CB" w14:textId="77777777" w:rsidR="00711444" w:rsidRPr="004D0DAA" w:rsidRDefault="00711444" w:rsidP="00AA2A4C">
            <w:pPr>
              <w:pStyle w:val="TAL"/>
              <w:rPr>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RESEGMENT</w:t>
            </w:r>
            <w:r w:rsidRPr="004D0DAA">
              <w:rPr>
                <w:rFonts w:cs="Arial"/>
                <w:szCs w:val="18"/>
                <w:lang w:eastAsia="en-US"/>
              </w:rPr>
              <w:t> : bit (1) &gt;</w:t>
            </w:r>
          </w:p>
          <w:p w14:paraId="2C60AC5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TLLI_BLOCK_CHANNEL_CODING </w:t>
            </w:r>
            <w:r w:rsidRPr="004D0DAA">
              <w:rPr>
                <w:lang w:eastAsia="en-US"/>
              </w:rPr>
              <w:t>: bit (1) &gt;</w:t>
            </w:r>
          </w:p>
          <w:p w14:paraId="13C048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 (4) &gt; }</w:t>
            </w:r>
          </w:p>
          <w:p w14:paraId="52A511EB"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Packet Timing Advance</w:t>
            </w:r>
            <w:r w:rsidRPr="004D0DAA">
              <w:rPr>
                <w:lang w:eastAsia="en-US"/>
              </w:rPr>
              <w:t xml:space="preserve"> : &lt; Packet Timing Advance IE &gt; &gt;</w:t>
            </w:r>
          </w:p>
          <w:p w14:paraId="21AD410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0EA5AA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lang w:eastAsia="en-US"/>
              </w:rPr>
              <w:tab/>
              <w:t>00</w:t>
            </w:r>
            <w:r w:rsidRPr="004D0DAA">
              <w:rPr>
                <w:lang w:eastAsia="en-US"/>
              </w:rPr>
              <w:tab/>
            </w:r>
            <w:r w:rsidRPr="004D0DAA">
              <w:rPr>
                <w:lang w:eastAsia="en-US"/>
              </w:rPr>
              <w:tab/>
              <w:t xml:space="preserve">-- </w:t>
            </w:r>
            <w:r w:rsidRPr="004D0DAA">
              <w:rPr>
                <w:i/>
                <w:lang w:eastAsia="en-US"/>
              </w:rPr>
              <w:t>No frequency parameters included</w:t>
            </w:r>
          </w:p>
          <w:p w14:paraId="0485FB1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01</w:t>
            </w:r>
            <w:r w:rsidRPr="004D0DAA">
              <w:rPr>
                <w:lang w:eastAsia="en-US"/>
              </w:rPr>
              <w:tab/>
            </w:r>
            <w:r w:rsidRPr="004D0DAA">
              <w:rPr>
                <w:lang w:eastAsia="en-US"/>
              </w:rPr>
              <w:tab/>
              <w:t xml:space="preserve">-- </w:t>
            </w:r>
            <w:r w:rsidRPr="004D0DAA">
              <w:rPr>
                <w:i/>
                <w:lang w:eastAsia="en-US"/>
              </w:rPr>
              <w:t>Legacy IEs used</w:t>
            </w:r>
          </w:p>
          <w:p w14:paraId="22FF8A5D"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 xml:space="preserve">Frequency Parameters C1 </w:t>
            </w:r>
            <w:r w:rsidRPr="004D0DAA">
              <w:rPr>
                <w:bCs/>
                <w:lang w:eastAsia="en-US"/>
              </w:rPr>
              <w:t>:</w:t>
            </w:r>
            <w:r w:rsidRPr="004D0DAA">
              <w:rPr>
                <w:lang w:eastAsia="en-US"/>
              </w:rPr>
              <w:t xml:space="preserve"> &lt; Frequency Parameters IE &gt; &gt; }</w:t>
            </w:r>
          </w:p>
          <w:p w14:paraId="406BCACE" w14:textId="77777777" w:rsidR="00711444" w:rsidRPr="004D0DAA" w:rsidRDefault="00711444" w:rsidP="00AA2A4C">
            <w:pPr>
              <w:pStyle w:val="TAL"/>
              <w:rPr>
                <w:b/>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 xml:space="preserve">Frequency Parameters C2 </w:t>
            </w:r>
            <w:r w:rsidRPr="004D0DAA">
              <w:rPr>
                <w:bCs/>
                <w:lang w:eastAsia="en-US"/>
              </w:rPr>
              <w:t>:</w:t>
            </w:r>
            <w:r w:rsidRPr="004D0DAA">
              <w:rPr>
                <w:lang w:eastAsia="en-US"/>
              </w:rPr>
              <w:t xml:space="preserve"> &lt; Frequency Parameters IE &gt; &gt; }</w:t>
            </w:r>
          </w:p>
          <w:p w14:paraId="025023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10</w:t>
            </w:r>
            <w:r w:rsidRPr="004D0DAA">
              <w:rPr>
                <w:lang w:eastAsia="en-US"/>
              </w:rPr>
              <w:tab/>
            </w:r>
            <w:r w:rsidRPr="004D0DAA">
              <w:rPr>
                <w:lang w:eastAsia="en-US"/>
              </w:rPr>
              <w:tab/>
              <w:t xml:space="preserve">-- </w:t>
            </w:r>
            <w:r w:rsidRPr="004D0DAA">
              <w:rPr>
                <w:i/>
                <w:lang w:eastAsia="en-US"/>
              </w:rPr>
              <w:t>Optimized Dual Carrier frequency parameters used</w:t>
            </w:r>
            <w:r w:rsidRPr="004D0DAA">
              <w:rPr>
                <w:lang w:eastAsia="en-US"/>
              </w:rPr>
              <w:t xml:space="preserve"> </w:t>
            </w:r>
          </w:p>
          <w:p w14:paraId="576C816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Dual Carrier</w:t>
            </w:r>
            <w:r w:rsidRPr="004D0DAA">
              <w:rPr>
                <w:lang w:eastAsia="en-US"/>
              </w:rPr>
              <w:t xml:space="preserve"> </w:t>
            </w:r>
            <w:r w:rsidRPr="004D0DAA">
              <w:rPr>
                <w:b/>
                <w:lang w:eastAsia="en-US"/>
              </w:rPr>
              <w:t xml:space="preserve">Frequency Parameters </w:t>
            </w:r>
            <w:r w:rsidRPr="004D0DAA">
              <w:rPr>
                <w:lang w:eastAsia="en-US"/>
              </w:rPr>
              <w:t xml:space="preserve">: &lt; Dual Carrier Frequency Parameters IE &gt; &gt; </w:t>
            </w:r>
          </w:p>
          <w:p w14:paraId="78AC9CE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Frequency Parameters error: { 11 } bit(*) = &lt; no string&gt; &gt;  }</w:t>
            </w:r>
            <w:r w:rsidRPr="004D0DAA">
              <w:rPr>
                <w:lang w:eastAsia="en-US"/>
              </w:rPr>
              <w:tab/>
            </w:r>
            <w:r w:rsidRPr="004D0DAA">
              <w:rPr>
                <w:lang w:eastAsia="en-US"/>
              </w:rPr>
              <w:tab/>
              <w:t xml:space="preserve">-- </w:t>
            </w:r>
            <w:r w:rsidRPr="004D0DAA">
              <w:rPr>
                <w:i/>
                <w:lang w:eastAsia="en-US"/>
              </w:rPr>
              <w:t>reserved for future used</w:t>
            </w:r>
          </w:p>
          <w:p w14:paraId="110CA7B5" w14:textId="77777777" w:rsidR="00711444" w:rsidRPr="004D0DAA" w:rsidRDefault="00711444" w:rsidP="00AA2A4C">
            <w:pPr>
              <w:pStyle w:val="TAL"/>
              <w:rPr>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0 | 1 &lt; </w:t>
            </w:r>
            <w:r w:rsidRPr="004D0DAA">
              <w:rPr>
                <w:b/>
                <w:lang w:eastAsia="en-US"/>
              </w:rPr>
              <w:t>Uplink TBF Assignment 2</w:t>
            </w:r>
            <w:r w:rsidRPr="004D0DAA">
              <w:rPr>
                <w:lang w:eastAsia="en-US"/>
              </w:rPr>
              <w:t xml:space="preserve"> : &lt; Uplink Assignment 2 struct &gt; &gt; }</w:t>
            </w:r>
          </w:p>
          <w:p w14:paraId="2D8A97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w:t>
            </w:r>
            <w:r w:rsidRPr="004D0DAA">
              <w:rPr>
                <w:b/>
                <w:lang w:eastAsia="en-US"/>
              </w:rPr>
              <w:t>Uplink EGPRS Level</w:t>
            </w:r>
            <w:r w:rsidRPr="004D0DAA">
              <w:rPr>
                <w:lang w:eastAsia="en-US"/>
              </w:rPr>
              <w:t>: &lt; EGPRS Level IE &gt; &gt;</w:t>
            </w:r>
          </w:p>
          <w:p w14:paraId="38DF43A7"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68333375"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0F4A0EE3"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Rel-9</w:t>
            </w:r>
          </w:p>
          <w:p w14:paraId="2729C5D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 } ** 0</w:t>
            </w:r>
          </w:p>
          <w:p w14:paraId="0897F632"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 xml:space="preserve">Enhanced Flexible Timeslot Assignment </w:t>
            </w:r>
            <w:r w:rsidRPr="004D0DAA">
              <w:rPr>
                <w:iCs/>
                <w:lang w:eastAsia="en-US"/>
              </w:rPr>
              <w:t>: bit  &gt;</w:t>
            </w:r>
          </w:p>
          <w:p w14:paraId="48CC7F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w:t>
            </w:r>
          </w:p>
          <w:p w14:paraId="6853B36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6E168B9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Message escape : { 10 | 11 } bit (*) = &lt; no string &gt; &gt; } } - </w:t>
            </w:r>
            <w:r w:rsidRPr="004D0DAA">
              <w:rPr>
                <w:i/>
                <w:lang w:eastAsia="en-US"/>
              </w:rPr>
              <w:t>Extended for future changes</w:t>
            </w:r>
          </w:p>
          <w:p w14:paraId="71F65F38"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Address information part error : bit (*) = &lt; no string &gt; &gt; } </w:t>
            </w:r>
          </w:p>
          <w:p w14:paraId="13AFE441" w14:textId="77777777" w:rsidR="00711444" w:rsidRPr="004D0DAA" w:rsidRDefault="00711444" w:rsidP="00AA2A4C">
            <w:pPr>
              <w:pStyle w:val="TAL"/>
              <w:rPr>
                <w:lang w:eastAsia="en-US"/>
              </w:rPr>
            </w:pPr>
            <w:r w:rsidRPr="004D0DAA">
              <w:rPr>
                <w:lang w:eastAsia="en-US"/>
              </w:rPr>
              <w:tab/>
              <w:t>! &lt; Distribution part error : bit (*) = &lt; no string &gt; &gt; ;</w:t>
            </w:r>
          </w:p>
          <w:p w14:paraId="5DD43D4C" w14:textId="77777777" w:rsidR="00711444" w:rsidRPr="004D0DAA" w:rsidRDefault="00711444" w:rsidP="00AA2A4C">
            <w:pPr>
              <w:pStyle w:val="TAL"/>
              <w:rPr>
                <w:lang w:eastAsia="en-US"/>
              </w:rPr>
            </w:pPr>
          </w:p>
        </w:tc>
      </w:tr>
      <w:tr w:rsidR="00711444" w:rsidRPr="004D0DAA" w14:paraId="7A765EE1" w14:textId="77777777" w:rsidTr="00AA2A4C">
        <w:tblPrEx>
          <w:tblCellMar>
            <w:top w:w="0" w:type="dxa"/>
            <w:bottom w:w="0" w:type="dxa"/>
          </w:tblCellMar>
        </w:tblPrEx>
        <w:trPr>
          <w:cantSplit/>
        </w:trPr>
        <w:tc>
          <w:tcPr>
            <w:tcW w:w="9848" w:type="dxa"/>
          </w:tcPr>
          <w:p w14:paraId="6B0EC24D" w14:textId="77777777" w:rsidR="00711444" w:rsidRPr="004D0DAA" w:rsidRDefault="00711444" w:rsidP="00AA2A4C">
            <w:pPr>
              <w:pStyle w:val="TAL"/>
              <w:rPr>
                <w:lang w:eastAsia="en-US"/>
              </w:rPr>
            </w:pPr>
            <w:r w:rsidRPr="004D0DAA">
              <w:rPr>
                <w:lang w:eastAsia="en-US"/>
              </w:rPr>
              <w:lastRenderedPageBreak/>
              <w:t>&lt; Uplink Assignment struct &gt; ::=</w:t>
            </w:r>
            <w:r w:rsidRPr="004D0DAA">
              <w:rPr>
                <w:lang w:eastAsia="en-US"/>
              </w:rPr>
              <w:tab/>
            </w:r>
          </w:p>
          <w:p w14:paraId="3040F7F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p>
          <w:p w14:paraId="4775791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Uplink Control Timeslot</w:t>
            </w:r>
            <w:r w:rsidRPr="004D0DAA">
              <w:rPr>
                <w:lang w:eastAsia="en-US"/>
              </w:rPr>
              <w:t xml:space="preserve"> : bit (3) &gt; }</w:t>
            </w:r>
          </w:p>
          <w:p w14:paraId="00B3A10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P0</w:t>
            </w:r>
            <w:r w:rsidRPr="004D0DAA">
              <w:rPr>
                <w:lang w:eastAsia="en-US"/>
              </w:rPr>
              <w:t xml:space="preserve"> : bit (4) &gt; </w:t>
            </w:r>
          </w:p>
          <w:p w14:paraId="0635676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PR_MODE</w:t>
            </w:r>
            <w:r w:rsidRPr="004D0DAA">
              <w:rPr>
                <w:lang w:eastAsia="en-US"/>
              </w:rPr>
              <w:t> : bit(1) &gt; }</w:t>
            </w:r>
          </w:p>
          <w:p w14:paraId="49CDB14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TBF Starting Time</w:t>
            </w:r>
            <w:r w:rsidRPr="004D0DAA">
              <w:rPr>
                <w:lang w:eastAsia="en-US"/>
              </w:rPr>
              <w:t xml:space="preserve"> : &lt; Starting Frame Number Description IE &gt; &gt; }</w:t>
            </w:r>
          </w:p>
          <w:p w14:paraId="7317506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Global Timeslot description</w:t>
            </w:r>
            <w:r w:rsidRPr="004D0DAA">
              <w:rPr>
                <w:lang w:eastAsia="en-US"/>
              </w:rPr>
              <w:t xml:space="preserve"> : &lt; Timeslot description struct &gt; &gt;</w:t>
            </w:r>
          </w:p>
          <w:p w14:paraId="6074B5A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Uplink TBF Assignment</w:t>
            </w:r>
            <w:r w:rsidRPr="004D0DAA">
              <w:rPr>
                <w:lang w:eastAsia="en-US"/>
              </w:rPr>
              <w:t xml:space="preserve"> : &lt; Uplink TBF Assignment struct &gt; &gt; } ** 0 } ;</w:t>
            </w:r>
          </w:p>
          <w:p w14:paraId="78694B30" w14:textId="77777777" w:rsidR="00711444" w:rsidRPr="004D0DAA" w:rsidRDefault="00711444" w:rsidP="00AA2A4C">
            <w:pPr>
              <w:pStyle w:val="TAL"/>
              <w:rPr>
                <w:lang w:eastAsia="en-US"/>
              </w:rPr>
            </w:pPr>
          </w:p>
        </w:tc>
      </w:tr>
      <w:tr w:rsidR="00711444" w:rsidRPr="004D0DAA" w14:paraId="187C589A" w14:textId="77777777" w:rsidTr="00AA2A4C">
        <w:tblPrEx>
          <w:tblCellMar>
            <w:top w:w="0" w:type="dxa"/>
            <w:bottom w:w="0" w:type="dxa"/>
          </w:tblCellMar>
        </w:tblPrEx>
        <w:trPr>
          <w:cantSplit/>
        </w:trPr>
        <w:tc>
          <w:tcPr>
            <w:tcW w:w="9848" w:type="dxa"/>
          </w:tcPr>
          <w:p w14:paraId="2A22D40D" w14:textId="77777777" w:rsidR="00711444" w:rsidRPr="004D0DAA" w:rsidRDefault="00711444" w:rsidP="00AA2A4C">
            <w:pPr>
              <w:pStyle w:val="TAL"/>
              <w:rPr>
                <w:lang w:eastAsia="en-US"/>
              </w:rPr>
            </w:pPr>
            <w:r w:rsidRPr="004D0DAA">
              <w:rPr>
                <w:lang w:eastAsia="en-US"/>
              </w:rPr>
              <w:t>&lt; Uplink Assignment 2 struct &gt; ::=</w:t>
            </w:r>
            <w:r w:rsidRPr="004D0DAA">
              <w:rPr>
                <w:lang w:eastAsia="en-US"/>
              </w:rPr>
              <w:tab/>
            </w:r>
          </w:p>
          <w:p w14:paraId="152DC95F"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p>
          <w:p w14:paraId="1893026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Uplink Control Timeslot C1</w:t>
            </w:r>
            <w:r w:rsidRPr="004D0DAA">
              <w:rPr>
                <w:lang w:eastAsia="en-US"/>
              </w:rPr>
              <w:t xml:space="preserve"> : bit (3) &gt; }</w:t>
            </w:r>
          </w:p>
          <w:p w14:paraId="5ACFE86E"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Uplink Control Timeslot C2</w:t>
            </w:r>
            <w:r w:rsidRPr="004D0DAA">
              <w:rPr>
                <w:lang w:eastAsia="en-US"/>
              </w:rPr>
              <w:t xml:space="preserve"> : bit (3) &gt; }</w:t>
            </w:r>
          </w:p>
          <w:p w14:paraId="7514BAF2"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P0_C1</w:t>
            </w:r>
            <w:r w:rsidRPr="004D0DAA">
              <w:rPr>
                <w:lang w:val="fr-FR" w:eastAsia="en-US"/>
              </w:rPr>
              <w:t xml:space="preserve"> : bit (4) &gt; </w:t>
            </w:r>
          </w:p>
          <w:p w14:paraId="3754C0D6"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xml:space="preserve">&lt; </w:t>
            </w:r>
            <w:r w:rsidRPr="004D0DAA">
              <w:rPr>
                <w:b/>
                <w:bCs/>
                <w:lang w:val="fr-FR" w:eastAsia="en-US"/>
              </w:rPr>
              <w:t>PR_MODE_C1</w:t>
            </w:r>
            <w:r w:rsidRPr="004D0DAA">
              <w:rPr>
                <w:lang w:val="fr-FR" w:eastAsia="en-US"/>
              </w:rPr>
              <w:t xml:space="preserve"> : bit(1) &gt; </w:t>
            </w:r>
          </w:p>
          <w:p w14:paraId="4976B360"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0 | 1</w:t>
            </w:r>
            <w:r w:rsidRPr="004D0DAA">
              <w:rPr>
                <w:lang w:val="fr-FR" w:eastAsia="en-US"/>
              </w:rPr>
              <w:tab/>
              <w:t xml:space="preserve">&lt; </w:t>
            </w:r>
            <w:r w:rsidRPr="004D0DAA">
              <w:rPr>
                <w:b/>
                <w:bCs/>
                <w:lang w:val="fr-FR" w:eastAsia="en-US"/>
              </w:rPr>
              <w:t>P0_C2</w:t>
            </w:r>
            <w:r w:rsidRPr="004D0DAA">
              <w:rPr>
                <w:lang w:val="fr-FR" w:eastAsia="en-US"/>
              </w:rPr>
              <w:t xml:space="preserve"> : bit (4) &gt; </w:t>
            </w:r>
          </w:p>
          <w:p w14:paraId="69CC3759"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bCs/>
                <w:lang w:val="fr-FR" w:eastAsia="en-US"/>
              </w:rPr>
              <w:t>PR_MODE_C2</w:t>
            </w:r>
            <w:r w:rsidRPr="004D0DAA">
              <w:rPr>
                <w:lang w:val="fr-FR" w:eastAsia="en-US"/>
              </w:rPr>
              <w:t> : bit(1) &gt; } }</w:t>
            </w:r>
          </w:p>
          <w:p w14:paraId="5A744A7D"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w:t>
            </w:r>
            <w:r w:rsidRPr="004D0DAA">
              <w:rPr>
                <w:lang w:eastAsia="en-US"/>
              </w:rPr>
              <w:tab/>
            </w:r>
            <w:r w:rsidRPr="004D0DAA">
              <w:rPr>
                <w:lang w:eastAsia="en-US"/>
              </w:rPr>
              <w:tab/>
              <w:t xml:space="preserve">-- </w:t>
            </w:r>
            <w:r w:rsidRPr="004D0DAA">
              <w:rPr>
                <w:i/>
                <w:iCs/>
                <w:lang w:eastAsia="en-US"/>
              </w:rPr>
              <w:t>'1' indicates that</w:t>
            </w:r>
            <w:r w:rsidRPr="004D0DAA">
              <w:rPr>
                <w:i/>
                <w:lang w:eastAsia="en-US"/>
              </w:rPr>
              <w:t xml:space="preserve"> FANR is activated</w:t>
            </w:r>
          </w:p>
          <w:p w14:paraId="3A5A9299"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3FB6D4B8"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640B6837"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lang w:eastAsia="en-US"/>
              </w:rPr>
              <w:t xml:space="preserve">&lt; </w:t>
            </w:r>
            <w:r w:rsidRPr="004D0DAA">
              <w:rPr>
                <w:b/>
                <w:lang w:eastAsia="en-US"/>
              </w:rPr>
              <w:t>TSH</w:t>
            </w:r>
            <w:r w:rsidRPr="004D0DAA">
              <w:rPr>
                <w:lang w:eastAsia="en-US"/>
              </w:rPr>
              <w:t xml:space="preserve"> : bit (2) &gt;  } }</w:t>
            </w:r>
          </w:p>
          <w:p w14:paraId="24A9E9DD" w14:textId="77777777" w:rsidR="00711444" w:rsidRPr="004D0DAA" w:rsidRDefault="00711444" w:rsidP="00AA2A4C">
            <w:pPr>
              <w:pStyle w:val="TAL"/>
              <w:rPr>
                <w:lang w:eastAsia="en-US"/>
              </w:rPr>
            </w:pPr>
            <w:r w:rsidRPr="004D0DAA">
              <w:rPr>
                <w:lang w:eastAsia="en-US"/>
              </w:rPr>
              <w:tab/>
              <w:t xml:space="preserve">{ 0 | 1 </w:t>
            </w:r>
          </w:p>
          <w:p w14:paraId="257D7BA2"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rFonts w:hint="eastAsia"/>
                <w:lang w:eastAsia="zh-CN"/>
              </w:rPr>
              <w:t xml:space="preserve"> | 1</w:t>
            </w:r>
            <w:r w:rsidRPr="004D0DAA">
              <w:rPr>
                <w:lang w:eastAsia="en-US"/>
              </w:rPr>
              <w:t xml:space="preserve"> </w:t>
            </w:r>
            <w:r w:rsidRPr="004D0DAA">
              <w:rPr>
                <w:lang w:eastAsia="en-US"/>
              </w:rPr>
              <w:tab/>
            </w:r>
            <w:r w:rsidRPr="004D0DAA">
              <w:rPr>
                <w:lang w:eastAsia="en-US"/>
              </w:rPr>
              <w:tab/>
            </w:r>
            <w:r w:rsidRPr="004D0DAA">
              <w:rPr>
                <w:lang w:eastAsia="en-US"/>
              </w:rPr>
              <w:tab/>
            </w:r>
            <w:r w:rsidRPr="004D0DAA">
              <w:rPr>
                <w:lang w:eastAsia="en-US"/>
              </w:rPr>
              <w:tab/>
              <w:t>-- BTTI mode</w:t>
            </w:r>
          </w:p>
          <w:p w14:paraId="59FCC01B"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t xml:space="preserve">&lt; </w:t>
            </w:r>
            <w:r w:rsidRPr="004D0DAA">
              <w:rPr>
                <w:b/>
                <w:bCs/>
                <w:lang w:eastAsia="en-US"/>
              </w:rPr>
              <w:t>Global Timeslot description</w:t>
            </w:r>
            <w:r w:rsidRPr="004D0DAA">
              <w:rPr>
                <w:lang w:eastAsia="en-US"/>
              </w:rPr>
              <w:t xml:space="preserve"> : &lt; Timeslot description 2 struct &gt; &gt;</w:t>
            </w:r>
          </w:p>
          <w:p w14:paraId="5062A5DF"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en-US"/>
              </w:rPr>
              <w:t xml:space="preserve">{ 1 &lt; </w:t>
            </w:r>
            <w:r w:rsidRPr="004D0DAA">
              <w:rPr>
                <w:b/>
                <w:bCs/>
                <w:lang w:eastAsia="en-US"/>
              </w:rPr>
              <w:t>Uplink TBF Assignment</w:t>
            </w:r>
            <w:r w:rsidRPr="004D0DAA">
              <w:rPr>
                <w:lang w:eastAsia="en-US"/>
              </w:rPr>
              <w:t xml:space="preserve"> </w:t>
            </w:r>
            <w:r w:rsidRPr="004D0DAA">
              <w:rPr>
                <w:b/>
                <w:bCs/>
                <w:lang w:eastAsia="en-US"/>
              </w:rPr>
              <w:t>2</w:t>
            </w:r>
            <w:r w:rsidRPr="004D0DAA">
              <w:rPr>
                <w:lang w:eastAsia="en-US"/>
              </w:rPr>
              <w:t xml:space="preserve">: &lt; Uplink TBF Assignment 2 IE &gt; &gt; } ** 0 </w:t>
            </w:r>
          </w:p>
          <w:p w14:paraId="73824296" w14:textId="77777777" w:rsidR="00711444" w:rsidRPr="004D0DAA" w:rsidRDefault="00711444" w:rsidP="00AA2A4C">
            <w:pPr>
              <w:pStyle w:val="TAL"/>
              <w:rPr>
                <w:rFonts w:hint="eastAsia"/>
                <w:iCs/>
                <w:lang w:eastAsia="zh-CN"/>
              </w:rPr>
            </w:pPr>
            <w:r w:rsidRPr="004D0DAA">
              <w:rPr>
                <w:lang w:eastAsia="zh-CN"/>
              </w:rPr>
              <w:tab/>
            </w:r>
            <w:r w:rsidRPr="004D0DAA">
              <w:rPr>
                <w:lang w:eastAsia="zh-CN"/>
              </w:rPr>
              <w:tab/>
            </w:r>
            <w:r w:rsidRPr="004D0DAA">
              <w:rPr>
                <w:rFonts w:hint="eastAsia"/>
                <w:lang w:eastAsia="zh-CN"/>
              </w:rPr>
              <w:t>}</w:t>
            </w:r>
          </w:p>
          <w:p w14:paraId="674167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rFonts w:hint="eastAsia"/>
                <w:lang w:eastAsia="zh-CN"/>
              </w:rPr>
              <w:t xml:space="preserve">{ 0 </w:t>
            </w:r>
            <w:r w:rsidRPr="004D0DAA">
              <w:rPr>
                <w:lang w:eastAsia="en-US"/>
              </w:rPr>
              <w:t xml:space="preserve">| 1 </w:t>
            </w:r>
            <w:r w:rsidRPr="004D0DAA">
              <w:rPr>
                <w:lang w:eastAsia="en-US"/>
              </w:rPr>
              <w:tab/>
            </w:r>
            <w:r w:rsidRPr="004D0DAA">
              <w:rPr>
                <w:lang w:eastAsia="en-US"/>
              </w:rPr>
              <w:tab/>
            </w:r>
            <w:r w:rsidRPr="004D0DAA">
              <w:rPr>
                <w:lang w:eastAsia="en-US"/>
              </w:rPr>
              <w:tab/>
            </w:r>
            <w:r w:rsidRPr="004D0DAA">
              <w:rPr>
                <w:lang w:eastAsia="en-US"/>
              </w:rPr>
              <w:tab/>
              <w:t>-- RTTI mode</w:t>
            </w:r>
          </w:p>
          <w:p w14:paraId="533B1873"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p>
          <w:p w14:paraId="1D25DB5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PDCH Pairs Description </w:t>
            </w:r>
            <w:r w:rsidRPr="004D0DAA">
              <w:rPr>
                <w:lang w:eastAsia="en-US"/>
              </w:rPr>
              <w:t>: &lt; PDCH Pairs Description struct &gt; &gt;</w:t>
            </w:r>
          </w:p>
          <w:p w14:paraId="505C00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parameters</w:t>
            </w:r>
            <w:r w:rsidRPr="004D0DAA">
              <w:rPr>
                <w:i/>
                <w:lang w:eastAsia="en-US"/>
              </w:rPr>
              <w:t xml:space="preserve"> </w:t>
            </w:r>
          </w:p>
          <w:p w14:paraId="748855E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power control parameters</w:t>
            </w:r>
            <w:r w:rsidRPr="004D0DAA">
              <w:rPr>
                <w:i/>
                <w:lang w:eastAsia="en-US"/>
              </w:rPr>
              <w:t xml:space="preserve"> </w:t>
            </w:r>
          </w:p>
          <w:p w14:paraId="2D5504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ALPHA_C1</w:t>
            </w:r>
            <w:r w:rsidRPr="004D0DAA">
              <w:rPr>
                <w:lang w:eastAsia="en-US"/>
              </w:rPr>
              <w:t xml:space="preserve"> : bit (4) &gt;</w:t>
            </w:r>
          </w:p>
          <w:p w14:paraId="31A5B3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ALPHA_C2</w:t>
            </w:r>
            <w:r w:rsidRPr="004D0DAA">
              <w:rPr>
                <w:lang w:eastAsia="en-US"/>
              </w:rPr>
              <w:t xml:space="preserve"> : bit (4) &gt; }</w:t>
            </w:r>
          </w:p>
          <w:p w14:paraId="3CDC0C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N_PAIRS</w:t>
            </w:r>
            <w:r w:rsidRPr="004D0DAA">
              <w:rPr>
                <w:lang w:eastAsia="en-US"/>
              </w:rPr>
              <w:t xml:space="preserve"> : bit (3) &gt;</w:t>
            </w:r>
          </w:p>
          <w:p w14:paraId="60C642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GAMMA</w:t>
            </w:r>
            <w:r w:rsidRPr="004D0DAA">
              <w:rPr>
                <w:lang w:eastAsia="en-US"/>
              </w:rPr>
              <w:t xml:space="preserve"> : bit (5) &gt; } * (val(</w:t>
            </w:r>
            <w:r w:rsidRPr="004D0DAA">
              <w:rPr>
                <w:b/>
                <w:lang w:eastAsia="en-US"/>
              </w:rPr>
              <w:t>N_PAIRS</w:t>
            </w:r>
            <w:r w:rsidRPr="004D0DAA">
              <w:rPr>
                <w:lang w:eastAsia="en-US"/>
              </w:rPr>
              <w:t xml:space="preserve">) + 1) </w:t>
            </w:r>
          </w:p>
          <w:p w14:paraId="30FEBA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t>-</w:t>
            </w:r>
            <w:r w:rsidRPr="004D0DAA">
              <w:rPr>
                <w:i/>
                <w:lang w:eastAsia="en-US"/>
              </w:rPr>
              <w:t>- RTTI USF, or no second GAMMA values are given in case of RTTI mode with BTTI USF</w:t>
            </w:r>
          </w:p>
          <w:p w14:paraId="3745812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i/>
                <w:lang w:eastAsia="en-US"/>
              </w:rPr>
              <w:t>-- Second GAMMA values are given in case of RTTI mode with BTTI USF</w:t>
            </w:r>
            <w:r w:rsidRPr="004D0DAA">
              <w:rPr>
                <w:lang w:eastAsia="en-US"/>
              </w:rPr>
              <w:t xml:space="preserve"> </w:t>
            </w:r>
          </w:p>
          <w:p w14:paraId="0078F8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GAMMA</w:t>
            </w:r>
            <w:r w:rsidRPr="004D0DAA">
              <w:rPr>
                <w:lang w:eastAsia="en-US"/>
              </w:rPr>
              <w:t xml:space="preserve"> : bit (5) &gt; } * (val(</w:t>
            </w:r>
            <w:r w:rsidRPr="004D0DAA">
              <w:rPr>
                <w:b/>
                <w:lang w:eastAsia="en-US"/>
              </w:rPr>
              <w:t>N_PAIRS</w:t>
            </w:r>
            <w:r w:rsidRPr="004D0DAA">
              <w:rPr>
                <w:lang w:eastAsia="en-US"/>
              </w:rPr>
              <w:t>) + 1)</w:t>
            </w:r>
          </w:p>
          <w:p w14:paraId="3BEAFAE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p w14:paraId="40A8F3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2C85B035"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t xml:space="preserve">{ 1 &lt; </w:t>
            </w:r>
            <w:r w:rsidRPr="004D0DAA">
              <w:rPr>
                <w:b/>
                <w:bCs/>
                <w:lang w:eastAsia="en-US"/>
              </w:rPr>
              <w:t>Uplink TBF Assignment</w:t>
            </w:r>
            <w:r w:rsidRPr="004D0DAA">
              <w:rPr>
                <w:lang w:eastAsia="en-US"/>
              </w:rPr>
              <w:t xml:space="preserve"> </w:t>
            </w:r>
            <w:r w:rsidRPr="004D0DAA">
              <w:rPr>
                <w:b/>
                <w:bCs/>
                <w:lang w:eastAsia="en-US"/>
              </w:rPr>
              <w:t>2</w:t>
            </w:r>
            <w:r w:rsidRPr="004D0DAA">
              <w:rPr>
                <w:lang w:eastAsia="en-US"/>
              </w:rPr>
              <w:t>: &lt; Uplink TBF Assignment 2 struct &gt; &gt;</w:t>
            </w:r>
          </w:p>
          <w:p w14:paraId="1FC5B733"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szCs w:val="18"/>
                <w:lang w:eastAsia="en-US"/>
              </w:rPr>
              <w:t xml:space="preserve">&lt; </w:t>
            </w:r>
            <w:r w:rsidRPr="004D0DAA">
              <w:rPr>
                <w:b/>
                <w:bCs/>
                <w:szCs w:val="18"/>
                <w:lang w:eastAsia="en-US"/>
              </w:rPr>
              <w:t xml:space="preserve">RTTI_USF_MODE </w:t>
            </w:r>
            <w:r w:rsidRPr="004D0DAA">
              <w:rPr>
                <w:szCs w:val="18"/>
                <w:lang w:eastAsia="en-US"/>
              </w:rPr>
              <w:t>: bit (1) &gt;</w:t>
            </w:r>
            <w:r w:rsidRPr="004D0DAA">
              <w:rPr>
                <w:rFonts w:hint="eastAsia"/>
                <w:szCs w:val="18"/>
                <w:lang w:eastAsia="zh-CN"/>
              </w:rPr>
              <w:t xml:space="preserve"> </w:t>
            </w:r>
            <w:r w:rsidRPr="004D0DAA">
              <w:rPr>
                <w:lang w:eastAsia="en-US"/>
              </w:rPr>
              <w:t xml:space="preserve"> } ** 0 </w:t>
            </w:r>
          </w:p>
          <w:p w14:paraId="7F11E01D" w14:textId="77777777" w:rsidR="00711444" w:rsidRPr="004D0DAA" w:rsidRDefault="00711444" w:rsidP="00AA2A4C">
            <w:pPr>
              <w:pStyle w:val="TAL"/>
              <w:rPr>
                <w:lang w:eastAsia="zh-CN"/>
              </w:rPr>
            </w:pPr>
            <w:r w:rsidRPr="004D0DAA">
              <w:rPr>
                <w:lang w:eastAsia="zh-CN"/>
              </w:rPr>
              <w:tab/>
            </w:r>
            <w:r w:rsidRPr="004D0DAA">
              <w:rPr>
                <w:lang w:eastAsia="zh-CN"/>
              </w:rPr>
              <w:tab/>
            </w:r>
            <w:r w:rsidRPr="004D0DAA">
              <w:rPr>
                <w:rFonts w:hint="eastAsia"/>
                <w:lang w:eastAsia="zh-CN"/>
              </w:rPr>
              <w:t>}</w:t>
            </w:r>
          </w:p>
          <w:p w14:paraId="6BCFA867" w14:textId="77777777" w:rsidR="00711444" w:rsidRPr="004D0DAA" w:rsidRDefault="00711444" w:rsidP="00AA2A4C">
            <w:pPr>
              <w:pStyle w:val="TAL"/>
              <w:rPr>
                <w:lang w:eastAsia="en-US"/>
              </w:rPr>
            </w:pPr>
            <w:r w:rsidRPr="004D0DAA">
              <w:rPr>
                <w:lang w:eastAsia="zh-CN"/>
              </w:rPr>
              <w:tab/>
            </w:r>
            <w:r w:rsidRPr="004D0DAA">
              <w:rPr>
                <w:lang w:eastAsia="en-US"/>
              </w:rPr>
              <w:t>} ;</w:t>
            </w:r>
          </w:p>
        </w:tc>
      </w:tr>
      <w:tr w:rsidR="00711444" w:rsidRPr="004D0DAA" w14:paraId="38AEAE08" w14:textId="77777777" w:rsidTr="00AA2A4C">
        <w:tblPrEx>
          <w:tblCellMar>
            <w:top w:w="0" w:type="dxa"/>
            <w:bottom w:w="0" w:type="dxa"/>
          </w:tblCellMar>
        </w:tblPrEx>
        <w:trPr>
          <w:cantSplit/>
        </w:trPr>
        <w:tc>
          <w:tcPr>
            <w:tcW w:w="9848" w:type="dxa"/>
          </w:tcPr>
          <w:p w14:paraId="755FD60C" w14:textId="77777777" w:rsidR="00711444" w:rsidRPr="004D0DAA" w:rsidRDefault="00711444" w:rsidP="00AA2A4C">
            <w:pPr>
              <w:pStyle w:val="TAL"/>
              <w:rPr>
                <w:lang w:eastAsia="en-US"/>
              </w:rPr>
            </w:pPr>
            <w:r w:rsidRPr="004D0DAA">
              <w:rPr>
                <w:lang w:eastAsia="en-US"/>
              </w:rPr>
              <w:t>&lt; Timeslot description struct &gt; ::=</w:t>
            </w:r>
          </w:p>
          <w:p w14:paraId="78A37CD9"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32F97FA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w:t>
            </w:r>
            <w:r w:rsidRPr="004D0DAA">
              <w:rPr>
                <w:lang w:eastAsia="en-US"/>
              </w:rPr>
              <w:t xml:space="preserve"> : bit (8) &gt;</w:t>
            </w:r>
          </w:p>
          <w:p w14:paraId="28A2F606"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i/>
                <w:iCs/>
                <w:lang w:eastAsia="en-US"/>
              </w:rPr>
              <w:t>with power control params</w:t>
            </w:r>
          </w:p>
          <w:p w14:paraId="0EC4FB2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w:t>
            </w:r>
            <w:r w:rsidRPr="004D0DAA">
              <w:rPr>
                <w:lang w:eastAsia="en-US"/>
              </w:rPr>
              <w:t xml:space="preserve"> : bit (4) &gt;</w:t>
            </w:r>
            <w:r w:rsidRPr="004D0DAA">
              <w:rPr>
                <w:lang w:eastAsia="en-US"/>
              </w:rPr>
              <w:tab/>
            </w:r>
            <w:r w:rsidRPr="004D0DAA">
              <w:rPr>
                <w:lang w:eastAsia="en-US"/>
              </w:rPr>
              <w:tab/>
            </w:r>
          </w:p>
          <w:p w14:paraId="35E4D3A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w:t>
            </w:r>
            <w:r w:rsidRPr="004D0DAA">
              <w:rPr>
                <w:lang w:eastAsia="en-US"/>
              </w:rPr>
              <w:t xml:space="preserve"> : bit (5) &gt; } </w:t>
            </w:r>
          </w:p>
          <w:p w14:paraId="269778A5"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w:t>
            </w:r>
            <w:r w:rsidRPr="004D0DAA">
              <w:rPr>
                <w:lang w:eastAsia="en-US"/>
              </w:rPr>
              <w:t xml:space="preserve"> : bit (5) &gt; }</w:t>
            </w:r>
          </w:p>
          <w:p w14:paraId="1BFC0B6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w:t>
            </w:r>
            <w:r w:rsidRPr="004D0DAA">
              <w:rPr>
                <w:lang w:eastAsia="en-US"/>
              </w:rPr>
              <w:t xml:space="preserve"> : bit (5) &gt; }</w:t>
            </w:r>
          </w:p>
          <w:p w14:paraId="2F4EA13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w:t>
            </w:r>
            <w:r w:rsidRPr="004D0DAA">
              <w:rPr>
                <w:lang w:eastAsia="en-US"/>
              </w:rPr>
              <w:t xml:space="preserve"> : bit (5) &gt; }</w:t>
            </w:r>
          </w:p>
          <w:p w14:paraId="768AE42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w:t>
            </w:r>
            <w:r w:rsidRPr="004D0DAA">
              <w:rPr>
                <w:lang w:eastAsia="en-US"/>
              </w:rPr>
              <w:t xml:space="preserve"> : bit (5) &gt; }</w:t>
            </w:r>
          </w:p>
          <w:p w14:paraId="495EFEE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w:t>
            </w:r>
            <w:r w:rsidRPr="004D0DAA">
              <w:rPr>
                <w:lang w:eastAsia="en-US"/>
              </w:rPr>
              <w:t xml:space="preserve"> : bit (5) &gt; }</w:t>
            </w:r>
          </w:p>
          <w:p w14:paraId="5C66159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w:t>
            </w:r>
            <w:r w:rsidRPr="004D0DAA">
              <w:rPr>
                <w:lang w:eastAsia="en-US"/>
              </w:rPr>
              <w:t xml:space="preserve"> : bit (5) &gt; }</w:t>
            </w:r>
          </w:p>
          <w:p w14:paraId="5356759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w:t>
            </w:r>
            <w:r w:rsidRPr="004D0DAA">
              <w:rPr>
                <w:lang w:eastAsia="en-US"/>
              </w:rPr>
              <w:t xml:space="preserve"> : bit (5) &gt; } } ;</w:t>
            </w:r>
          </w:p>
          <w:p w14:paraId="36E98C0D" w14:textId="77777777" w:rsidR="00711444" w:rsidRPr="004D0DAA" w:rsidRDefault="00711444" w:rsidP="00AA2A4C">
            <w:pPr>
              <w:pStyle w:val="TAL"/>
              <w:rPr>
                <w:lang w:eastAsia="en-US"/>
              </w:rPr>
            </w:pPr>
          </w:p>
        </w:tc>
      </w:tr>
      <w:tr w:rsidR="00711444" w:rsidRPr="004D0DAA" w14:paraId="5BA9C4C5" w14:textId="77777777" w:rsidTr="00AA2A4C">
        <w:tblPrEx>
          <w:tblCellMar>
            <w:top w:w="0" w:type="dxa"/>
            <w:bottom w:w="0" w:type="dxa"/>
          </w:tblCellMar>
        </w:tblPrEx>
        <w:trPr>
          <w:cantSplit/>
        </w:trPr>
        <w:tc>
          <w:tcPr>
            <w:tcW w:w="9848" w:type="dxa"/>
          </w:tcPr>
          <w:p w14:paraId="2057448C" w14:textId="77777777" w:rsidR="00711444" w:rsidRPr="004D0DAA" w:rsidRDefault="00711444" w:rsidP="00AA2A4C">
            <w:pPr>
              <w:pStyle w:val="TAL"/>
              <w:rPr>
                <w:lang w:eastAsia="en-US"/>
              </w:rPr>
            </w:pPr>
            <w:r w:rsidRPr="004D0DAA">
              <w:rPr>
                <w:lang w:eastAsia="en-US"/>
              </w:rPr>
              <w:lastRenderedPageBreak/>
              <w:t>&lt; Timeslot description 2 struct &gt; ::=</w:t>
            </w:r>
          </w:p>
          <w:p w14:paraId="4EED67F4"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04B9E53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MS_TIMESLOT_ALLOCATION_C1</w:t>
            </w:r>
            <w:r w:rsidRPr="004D0DAA">
              <w:rPr>
                <w:lang w:eastAsia="en-US"/>
              </w:rPr>
              <w:t xml:space="preserve"> : bit (8) &gt;</w:t>
            </w:r>
          </w:p>
          <w:p w14:paraId="6A9B4632"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MS_TIMESLOT_ALLOCATION_C2</w:t>
            </w:r>
            <w:r w:rsidRPr="004D0DAA">
              <w:rPr>
                <w:lang w:eastAsia="en-US"/>
              </w:rPr>
              <w:t xml:space="preserve"> : bit (8) &gt; }</w:t>
            </w:r>
          </w:p>
          <w:p w14:paraId="61E0D67C"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i/>
                <w:iCs/>
                <w:lang w:eastAsia="en-US"/>
              </w:rPr>
              <w:t>with power control params</w:t>
            </w:r>
          </w:p>
          <w:p w14:paraId="0991499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ALPHA_C1</w:t>
            </w:r>
            <w:r w:rsidRPr="004D0DAA">
              <w:rPr>
                <w:lang w:eastAsia="en-US"/>
              </w:rPr>
              <w:t xml:space="preserve"> : bit (4) &gt;</w:t>
            </w:r>
            <w:r w:rsidRPr="004D0DAA">
              <w:rPr>
                <w:lang w:eastAsia="en-US"/>
              </w:rPr>
              <w:tab/>
            </w:r>
            <w:r w:rsidRPr="004D0DAA">
              <w:rPr>
                <w:lang w:eastAsia="en-US"/>
              </w:rPr>
              <w:tab/>
            </w:r>
          </w:p>
          <w:p w14:paraId="25C0C09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GAMMA_TN0_C1</w:t>
            </w:r>
            <w:r w:rsidRPr="004D0DAA">
              <w:rPr>
                <w:lang w:eastAsia="en-US"/>
              </w:rPr>
              <w:t xml:space="preserve"> : bit (5) &gt; } </w:t>
            </w:r>
          </w:p>
          <w:p w14:paraId="6EA9CE3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GAMMA_TN1_C1</w:t>
            </w:r>
            <w:r w:rsidRPr="004D0DAA">
              <w:rPr>
                <w:lang w:eastAsia="en-US"/>
              </w:rPr>
              <w:t xml:space="preserve"> : bit (5) &gt; }</w:t>
            </w:r>
          </w:p>
          <w:p w14:paraId="035971B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GAMMA_TN2_C1</w:t>
            </w:r>
            <w:r w:rsidRPr="004D0DAA">
              <w:rPr>
                <w:lang w:eastAsia="en-US"/>
              </w:rPr>
              <w:t xml:space="preserve"> : bit (5) &gt; }</w:t>
            </w:r>
          </w:p>
          <w:p w14:paraId="196B7F6D"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GAMMA_TN3_C1</w:t>
            </w:r>
            <w:r w:rsidRPr="004D0DAA">
              <w:rPr>
                <w:lang w:eastAsia="en-US"/>
              </w:rPr>
              <w:t xml:space="preserve"> : bit (5) &gt; }</w:t>
            </w:r>
          </w:p>
          <w:p w14:paraId="4C04303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GAMMA_TN4_C1</w:t>
            </w:r>
            <w:r w:rsidRPr="004D0DAA">
              <w:rPr>
                <w:lang w:eastAsia="en-US"/>
              </w:rPr>
              <w:t xml:space="preserve"> : bit (5) &gt; }</w:t>
            </w:r>
          </w:p>
          <w:p w14:paraId="57B9BF7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GAMMA_TN5_C1</w:t>
            </w:r>
            <w:r w:rsidRPr="004D0DAA">
              <w:rPr>
                <w:lang w:eastAsia="en-US"/>
              </w:rPr>
              <w:t xml:space="preserve"> : bit (5) &gt; }</w:t>
            </w:r>
          </w:p>
          <w:p w14:paraId="0BF2EEC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GAMMA_TN6_C1</w:t>
            </w:r>
            <w:r w:rsidRPr="004D0DAA">
              <w:rPr>
                <w:lang w:eastAsia="en-US"/>
              </w:rPr>
              <w:t xml:space="preserve"> : bit (5) &gt; }</w:t>
            </w:r>
          </w:p>
          <w:p w14:paraId="01BF2B2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GAMMA_TN7_C1</w:t>
            </w:r>
            <w:r w:rsidRPr="004D0DAA">
              <w:rPr>
                <w:lang w:eastAsia="en-US"/>
              </w:rPr>
              <w:t xml:space="preserve"> : bit (5) &gt; } </w:t>
            </w:r>
          </w:p>
          <w:p w14:paraId="1DE6348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ALPHA_C2</w:t>
            </w:r>
            <w:r w:rsidRPr="004D0DAA">
              <w:rPr>
                <w:lang w:eastAsia="en-US"/>
              </w:rPr>
              <w:t xml:space="preserve"> : bit (4) &gt; }</w:t>
            </w:r>
            <w:r w:rsidRPr="004D0DAA">
              <w:rPr>
                <w:lang w:eastAsia="en-US"/>
              </w:rPr>
              <w:tab/>
            </w:r>
            <w:r w:rsidRPr="004D0DAA">
              <w:rPr>
                <w:lang w:eastAsia="en-US"/>
              </w:rPr>
              <w:tab/>
            </w:r>
          </w:p>
          <w:p w14:paraId="2379167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GAMMA_TN0_C2</w:t>
            </w:r>
            <w:r w:rsidRPr="004D0DAA">
              <w:rPr>
                <w:lang w:eastAsia="en-US"/>
              </w:rPr>
              <w:t xml:space="preserve"> : bit (5) &gt; } </w:t>
            </w:r>
          </w:p>
          <w:p w14:paraId="775F259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GAMMA_TN1_C2</w:t>
            </w:r>
            <w:r w:rsidRPr="004D0DAA">
              <w:rPr>
                <w:lang w:eastAsia="en-US"/>
              </w:rPr>
              <w:t xml:space="preserve"> : bit (5) &gt; }</w:t>
            </w:r>
          </w:p>
          <w:p w14:paraId="1832470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GAMMA_TN2_C2</w:t>
            </w:r>
            <w:r w:rsidRPr="004D0DAA">
              <w:rPr>
                <w:lang w:eastAsia="en-US"/>
              </w:rPr>
              <w:t xml:space="preserve"> : bit (5) &gt; }</w:t>
            </w:r>
          </w:p>
          <w:p w14:paraId="5BDBDFD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GAMMA_TN3_C2</w:t>
            </w:r>
            <w:r w:rsidRPr="004D0DAA">
              <w:rPr>
                <w:lang w:eastAsia="en-US"/>
              </w:rPr>
              <w:t xml:space="preserve"> : bit (5) &gt; }</w:t>
            </w:r>
          </w:p>
          <w:p w14:paraId="1D26FE1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GAMMA_TN4_C2</w:t>
            </w:r>
            <w:r w:rsidRPr="004D0DAA">
              <w:rPr>
                <w:lang w:eastAsia="en-US"/>
              </w:rPr>
              <w:t xml:space="preserve"> : bit (5) &gt; }</w:t>
            </w:r>
          </w:p>
          <w:p w14:paraId="7BEEA107"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GAMMA_TN5_C2</w:t>
            </w:r>
            <w:r w:rsidRPr="004D0DAA">
              <w:rPr>
                <w:lang w:eastAsia="en-US"/>
              </w:rPr>
              <w:t xml:space="preserve"> : bit (5) &gt; }</w:t>
            </w:r>
          </w:p>
          <w:p w14:paraId="0CA4803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GAMMA_TN6_C2</w:t>
            </w:r>
            <w:r w:rsidRPr="004D0DAA">
              <w:rPr>
                <w:lang w:eastAsia="en-US"/>
              </w:rPr>
              <w:t xml:space="preserve"> : bit (5) &gt; }</w:t>
            </w:r>
          </w:p>
          <w:p w14:paraId="1DD8267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GAMMA_TN7_C2</w:t>
            </w:r>
            <w:r w:rsidRPr="004D0DAA">
              <w:rPr>
                <w:lang w:eastAsia="en-US"/>
              </w:rPr>
              <w:t xml:space="preserve"> : bit (5) &gt; } </w:t>
            </w:r>
          </w:p>
          <w:p w14:paraId="08492EBA" w14:textId="77777777" w:rsidR="00711444" w:rsidRPr="004D0DAA" w:rsidRDefault="00711444" w:rsidP="00AA2A4C">
            <w:pPr>
              <w:pStyle w:val="TAL"/>
              <w:rPr>
                <w:lang w:eastAsia="en-US"/>
              </w:rPr>
            </w:pPr>
            <w:r w:rsidRPr="004D0DAA">
              <w:rPr>
                <w:lang w:eastAsia="en-US"/>
              </w:rPr>
              <w:t>} ;</w:t>
            </w:r>
          </w:p>
          <w:p w14:paraId="7A925A93" w14:textId="77777777" w:rsidR="00711444" w:rsidRPr="004D0DAA" w:rsidRDefault="00711444" w:rsidP="00AA2A4C">
            <w:pPr>
              <w:pStyle w:val="TAL"/>
              <w:rPr>
                <w:lang w:eastAsia="en-US"/>
              </w:rPr>
            </w:pPr>
          </w:p>
        </w:tc>
      </w:tr>
      <w:tr w:rsidR="00711444" w:rsidRPr="004D0DAA" w14:paraId="52695487" w14:textId="77777777" w:rsidTr="00AA2A4C">
        <w:tblPrEx>
          <w:tblCellMar>
            <w:top w:w="0" w:type="dxa"/>
            <w:bottom w:w="0" w:type="dxa"/>
          </w:tblCellMar>
        </w:tblPrEx>
        <w:trPr>
          <w:cantSplit/>
        </w:trPr>
        <w:tc>
          <w:tcPr>
            <w:tcW w:w="9848" w:type="dxa"/>
          </w:tcPr>
          <w:p w14:paraId="1AEE8DB7" w14:textId="77777777" w:rsidR="00711444" w:rsidRPr="004D0DAA" w:rsidRDefault="00711444" w:rsidP="00AA2A4C">
            <w:pPr>
              <w:pStyle w:val="TAL"/>
              <w:rPr>
                <w:lang w:eastAsia="en-US"/>
              </w:rPr>
            </w:pPr>
            <w:r w:rsidRPr="004D0DAA">
              <w:rPr>
                <w:lang w:eastAsia="en-US"/>
              </w:rPr>
              <w:t>&lt;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Recursive for multiple TBFs</w:t>
            </w:r>
          </w:p>
          <w:p w14:paraId="4CBF5848"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RB Id</w:t>
            </w:r>
            <w:r w:rsidRPr="004D0DAA">
              <w:rPr>
                <w:lang w:eastAsia="en-US"/>
              </w:rPr>
              <w:t xml:space="preserve"> : bit (5) &gt;</w:t>
            </w:r>
          </w:p>
          <w:p w14:paraId="63AAA1D6"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PFI</w:t>
            </w:r>
            <w:r w:rsidRPr="004D0DAA">
              <w:rPr>
                <w:lang w:eastAsia="en-US"/>
              </w:rPr>
              <w:t xml:space="preserve"> : bit (7) &gt; }</w:t>
            </w:r>
          </w:p>
          <w:p w14:paraId="240F8D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iCs/>
                <w:lang w:eastAsia="en-US"/>
              </w:rPr>
              <w:t xml:space="preserve">&lt; </w:t>
            </w:r>
            <w:r w:rsidRPr="004D0DAA">
              <w:rPr>
                <w:b/>
                <w:iCs/>
                <w:lang w:eastAsia="en-US"/>
              </w:rPr>
              <w:t>RLC_MODE</w:t>
            </w:r>
            <w:r w:rsidRPr="004D0DAA">
              <w:rPr>
                <w:iCs/>
                <w:lang w:eastAsia="en-US"/>
              </w:rPr>
              <w:t xml:space="preserve"> : bit (1) &gt;</w:t>
            </w:r>
            <w:r w:rsidRPr="004D0DAA">
              <w:rPr>
                <w:lang w:eastAsia="en-US"/>
              </w:rPr>
              <w:t xml:space="preserve"> }</w:t>
            </w:r>
          </w:p>
          <w:p w14:paraId="03A98E9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1ACEEF6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CHANNEL_CODING_COMMAND</w:t>
            </w:r>
            <w:r w:rsidRPr="004D0DAA">
              <w:rPr>
                <w:lang w:eastAsia="en-US"/>
              </w:rPr>
              <w:t xml:space="preserve"> : bit (2) &gt; }</w:t>
            </w:r>
          </w:p>
          <w:p w14:paraId="0FC2E1A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425806C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4609003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USF_GRANULARITY </w:t>
            </w:r>
            <w:r w:rsidRPr="004D0DAA">
              <w:rPr>
                <w:lang w:eastAsia="en-US"/>
              </w:rPr>
              <w:t>: bit (1) &gt;</w:t>
            </w:r>
          </w:p>
          <w:p w14:paraId="62595A53"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timeslots assigned to the TBF are all the timeslots assigned</w:t>
            </w:r>
          </w:p>
          <w:p w14:paraId="18EB0C0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the Global Timeslot description</w:t>
            </w:r>
          </w:p>
          <w:p w14:paraId="0C393546"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&lt; </w:t>
            </w:r>
            <w:r w:rsidRPr="004D0DAA">
              <w:rPr>
                <w:b/>
                <w:bCs/>
                <w:lang w:eastAsia="en-US"/>
              </w:rPr>
              <w:t>TBF_TIMESLOT_ALLOCATION</w:t>
            </w:r>
            <w:r w:rsidRPr="004D0DAA">
              <w:rPr>
                <w:lang w:eastAsia="en-US"/>
              </w:rPr>
              <w:t xml:space="preserve"> : bit (N) &gt; }</w:t>
            </w:r>
            <w:r w:rsidRPr="004D0DAA">
              <w:rPr>
                <w:lang w:eastAsia="en-US"/>
              </w:rPr>
              <w:tab/>
              <w:t xml:space="preserve">-- </w:t>
            </w:r>
            <w:r w:rsidRPr="004D0DAA">
              <w:rPr>
                <w:i/>
                <w:iCs/>
                <w:lang w:eastAsia="en-US"/>
              </w:rPr>
              <w:t>The timeslots assigned to the TBF are a subset of all the</w:t>
            </w:r>
          </w:p>
          <w:p w14:paraId="09BD71E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timeslots assigned in the Global Timeslot description. Where</w:t>
            </w:r>
          </w:p>
          <w:p w14:paraId="43C7A2F4"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N is the amount of timeslots assigned to the MS in the Global </w:t>
            </w:r>
          </w:p>
          <w:p w14:paraId="5CC3440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 description</w:t>
            </w:r>
          </w:p>
          <w:p w14:paraId="4A15B522"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t xml:space="preserve">&lt; </w:t>
            </w:r>
            <w:r w:rsidRPr="004D0DAA">
              <w:rPr>
                <w:b/>
                <w:bCs/>
                <w:lang w:eastAsia="en-US"/>
              </w:rPr>
              <w:t>USF_ALLOCATION</w:t>
            </w:r>
            <w:r w:rsidRPr="004D0DAA">
              <w:rPr>
                <w:lang w:eastAsia="en-US"/>
              </w:rPr>
              <w:t xml:space="preserve"> : bit (3) &gt;</w:t>
            </w:r>
            <w:r w:rsidRPr="004D0DAA">
              <w:rPr>
                <w:lang w:eastAsia="en-US"/>
              </w:rPr>
              <w:tab/>
            </w:r>
            <w:r w:rsidRPr="004D0DAA">
              <w:rPr>
                <w:lang w:eastAsia="en-US"/>
              </w:rPr>
              <w:tab/>
            </w:r>
            <w:r w:rsidRPr="004D0DAA">
              <w:rPr>
                <w:lang w:eastAsia="en-US"/>
              </w:rPr>
              <w:tab/>
              <w:t xml:space="preserve">-- </w:t>
            </w:r>
            <w:r w:rsidRPr="004D0DAA">
              <w:rPr>
                <w:i/>
                <w:iCs/>
                <w:lang w:eastAsia="en-US"/>
              </w:rPr>
              <w:t>The same USF is valid on all timeslots assigned to the TBF</w:t>
            </w:r>
          </w:p>
          <w:p w14:paraId="3DD2A51B"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Different USF(s) assigned</w:t>
            </w:r>
          </w:p>
          <w:p w14:paraId="5514C8C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USF_ALLOCATION </w:t>
            </w:r>
            <w:r w:rsidRPr="004D0DAA">
              <w:rPr>
                <w:lang w:eastAsia="en-US"/>
              </w:rPr>
              <w:t>: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assignment on the lowest numbered timeslot</w:t>
            </w:r>
          </w:p>
          <w:p w14:paraId="1967A7E8"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assigned to the TBF</w:t>
            </w:r>
          </w:p>
          <w:p w14:paraId="38A11D70"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USF_ALLOCATION</w:t>
            </w:r>
            <w:r w:rsidRPr="004D0DAA">
              <w:rPr>
                <w:lang w:eastAsia="en-US"/>
              </w:rPr>
              <w:t xml:space="preserve"> : bit (3) &gt; } * (M-1) } ;</w:t>
            </w:r>
            <w:r w:rsidRPr="004D0DAA">
              <w:rPr>
                <w:lang w:eastAsia="en-US"/>
              </w:rPr>
              <w:tab/>
              <w:t xml:space="preserve">-- </w:t>
            </w:r>
            <w:r w:rsidRPr="004D0DAA">
              <w:rPr>
                <w:i/>
                <w:iCs/>
                <w:lang w:eastAsia="en-US"/>
              </w:rPr>
              <w:t>USFs on subsequent timeslots assigned to the TBF:</w:t>
            </w:r>
          </w:p>
          <w:p w14:paraId="17F32755"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A ‘0’ (respectively a ‘1’ followed by a USF value) </w:t>
            </w:r>
          </w:p>
          <w:p w14:paraId="6638B2F4"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means same (respectively different) USF value as the</w:t>
            </w:r>
          </w:p>
          <w:p w14:paraId="28363AFF"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on the next lower numbered timeslot assigned to</w:t>
            </w:r>
          </w:p>
          <w:p w14:paraId="438201E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TBF.</w:t>
            </w:r>
            <w:r w:rsidRPr="004D0DAA">
              <w:rPr>
                <w:lang w:eastAsia="en-US"/>
              </w:rPr>
              <w:t xml:space="preserve"> </w:t>
            </w:r>
            <w:r w:rsidRPr="004D0DAA">
              <w:rPr>
                <w:i/>
                <w:iCs/>
                <w:lang w:eastAsia="en-US"/>
              </w:rPr>
              <w:t>Where M is the amount of timeslots assigned</w:t>
            </w:r>
          </w:p>
          <w:p w14:paraId="6D8F0C3F"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to the TBF in the TBF_TIMESLOT_ALLOCATION if </w:t>
            </w:r>
          </w:p>
          <w:p w14:paraId="23D5C23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present, else in the Global</w:t>
            </w:r>
            <w:r w:rsidRPr="004D0DAA">
              <w:rPr>
                <w:lang w:eastAsia="en-US"/>
              </w:rPr>
              <w:t xml:space="preserve"> </w:t>
            </w:r>
            <w:r w:rsidRPr="004D0DAA">
              <w:rPr>
                <w:i/>
                <w:iCs/>
                <w:lang w:eastAsia="en-US"/>
              </w:rPr>
              <w:t>Timeslot</w:t>
            </w:r>
            <w:r w:rsidRPr="004D0DAA">
              <w:rPr>
                <w:lang w:eastAsia="en-US"/>
              </w:rPr>
              <w:t xml:space="preserve"> </w:t>
            </w:r>
            <w:r w:rsidRPr="004D0DAA">
              <w:rPr>
                <w:i/>
                <w:iCs/>
                <w:lang w:eastAsia="en-US"/>
              </w:rPr>
              <w:t>description</w:t>
            </w:r>
          </w:p>
          <w:p w14:paraId="5A88EFEE" w14:textId="77777777" w:rsidR="00711444" w:rsidRPr="004D0DAA" w:rsidRDefault="00711444" w:rsidP="00AA2A4C">
            <w:pPr>
              <w:pStyle w:val="TAL"/>
              <w:rPr>
                <w:lang w:eastAsia="en-US"/>
              </w:rPr>
            </w:pPr>
          </w:p>
        </w:tc>
      </w:tr>
      <w:tr w:rsidR="00711444" w:rsidRPr="004D0DAA" w14:paraId="7F3CBD48" w14:textId="77777777" w:rsidTr="00AA2A4C">
        <w:tblPrEx>
          <w:tblCellMar>
            <w:top w:w="0" w:type="dxa"/>
            <w:bottom w:w="0" w:type="dxa"/>
          </w:tblCellMar>
        </w:tblPrEx>
        <w:trPr>
          <w:cantSplit/>
        </w:trPr>
        <w:tc>
          <w:tcPr>
            <w:tcW w:w="9848" w:type="dxa"/>
          </w:tcPr>
          <w:p w14:paraId="2DDC9B6E" w14:textId="77777777" w:rsidR="00711444" w:rsidRPr="004D0DAA" w:rsidRDefault="00711444" w:rsidP="00AA2A4C">
            <w:pPr>
              <w:pStyle w:val="TAL"/>
              <w:rPr>
                <w:lang w:eastAsia="en-US"/>
              </w:rPr>
            </w:pPr>
            <w:r w:rsidRPr="004D0DAA">
              <w:rPr>
                <w:lang w:eastAsia="en-US"/>
              </w:rPr>
              <w:lastRenderedPageBreak/>
              <w:t>&lt; Uplink TBF Assignment 2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Recursive for multiple TBFs</w:t>
            </w:r>
          </w:p>
          <w:p w14:paraId="0343A361"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bCs/>
                <w:lang w:val="fr-FR" w:eastAsia="en-US"/>
              </w:rPr>
              <w:t>PFI</w:t>
            </w:r>
            <w:r w:rsidRPr="004D0DAA">
              <w:rPr>
                <w:lang w:val="fr-FR" w:eastAsia="en-US"/>
              </w:rPr>
              <w:t xml:space="preserve"> : bit (7) &gt;</w:t>
            </w:r>
          </w:p>
          <w:p w14:paraId="54DF809A" w14:textId="77777777" w:rsidR="00711444" w:rsidRPr="004D0DAA" w:rsidRDefault="00711444" w:rsidP="00AA2A4C">
            <w:pPr>
              <w:pStyle w:val="TAL"/>
              <w:rPr>
                <w:lang w:val="fr-FR" w:eastAsia="en-US"/>
              </w:rPr>
            </w:pPr>
            <w:r w:rsidRPr="004D0DAA">
              <w:rPr>
                <w:lang w:val="fr-FR" w:eastAsia="en-US"/>
              </w:rPr>
              <w:tab/>
            </w:r>
            <w:r w:rsidRPr="004D0DAA">
              <w:rPr>
                <w:iCs/>
                <w:lang w:val="fr-FR" w:eastAsia="en-US"/>
              </w:rPr>
              <w:t xml:space="preserve">&lt; </w:t>
            </w:r>
            <w:r w:rsidRPr="004D0DAA">
              <w:rPr>
                <w:b/>
                <w:iCs/>
                <w:lang w:val="fr-FR" w:eastAsia="en-US"/>
              </w:rPr>
              <w:t>RLC_MODE</w:t>
            </w:r>
            <w:r w:rsidRPr="004D0DAA">
              <w:rPr>
                <w:iCs/>
                <w:lang w:val="fr-FR" w:eastAsia="en-US"/>
              </w:rPr>
              <w:t xml:space="preserve"> : bit (1) &gt;</w:t>
            </w:r>
            <w:r w:rsidRPr="004D0DAA">
              <w:rPr>
                <w:lang w:val="fr-FR" w:eastAsia="en-US"/>
              </w:rPr>
              <w:t xml:space="preserve"> </w:t>
            </w:r>
          </w:p>
          <w:p w14:paraId="1D556EEA"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TFI Assignment</w:t>
            </w:r>
            <w:r w:rsidRPr="004D0DAA">
              <w:rPr>
                <w:lang w:eastAsia="en-US"/>
              </w:rPr>
              <w:t xml:space="preserve"> : bit (5) &gt;</w:t>
            </w:r>
          </w:p>
          <w:p w14:paraId="718CBEC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&lt; EGPRS Modulation and Coding Scheme IE &gt; &gt; }</w:t>
            </w:r>
          </w:p>
          <w:p w14:paraId="3F7ED15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7F321813"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USF_GRANULARITY </w:t>
            </w:r>
            <w:r w:rsidRPr="004D0DAA">
              <w:rPr>
                <w:lang w:eastAsia="en-US"/>
              </w:rPr>
              <w:t>: bit (1) &gt;</w:t>
            </w:r>
          </w:p>
          <w:p w14:paraId="3FD27B73"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08D6D002" w14:textId="77777777" w:rsidR="00711444" w:rsidRPr="004D0DAA" w:rsidRDefault="00711444" w:rsidP="00AA2A4C">
            <w:pPr>
              <w:pStyle w:val="TAL"/>
              <w:rPr>
                <w:i/>
                <w:lang w:eastAsia="en-US"/>
              </w:rPr>
            </w:pPr>
            <w:r w:rsidRPr="004D0DAA">
              <w:rPr>
                <w:lang w:eastAsia="en-US"/>
              </w:rPr>
              <w:tab/>
            </w:r>
            <w:r w:rsidRPr="004D0DAA">
              <w:rPr>
                <w:rFonts w:cs="Arial"/>
                <w:szCs w:val="18"/>
                <w:lang w:eastAsia="en-US"/>
              </w:rPr>
              <w:t xml:space="preserve">{ 0 | 1 </w:t>
            </w:r>
            <w:r w:rsidRPr="004D0DAA">
              <w:rPr>
                <w:lang w:eastAsia="en-US"/>
              </w:rPr>
              <w:tab/>
            </w:r>
            <w:r w:rsidRPr="004D0DAA">
              <w:rPr>
                <w:rFonts w:cs="Arial"/>
                <w:szCs w:val="18"/>
                <w:lang w:eastAsia="en-US"/>
              </w:rPr>
              <w:t xml:space="preserve">-- </w:t>
            </w:r>
            <w:r w:rsidRPr="004D0DAA">
              <w:rPr>
                <w:rFonts w:cs="Arial"/>
                <w:i/>
                <w:iCs/>
                <w:szCs w:val="18"/>
                <w:lang w:eastAsia="en-US"/>
              </w:rPr>
              <w:t xml:space="preserve">'1' indicates that time-based </w:t>
            </w:r>
            <w:r w:rsidRPr="004D0DAA">
              <w:rPr>
                <w:i/>
                <w:lang w:eastAsia="en-US"/>
              </w:rPr>
              <w:t>FANR is selected</w:t>
            </w:r>
          </w:p>
          <w:p w14:paraId="33F69F6A"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rFonts w:cs="Arial"/>
                <w:iCs/>
                <w:szCs w:val="18"/>
                <w:lang w:eastAsia="en-US"/>
              </w:rPr>
              <w:t xml:space="preserve">&lt; </w:t>
            </w:r>
            <w:r w:rsidRPr="004D0DAA">
              <w:rPr>
                <w:rFonts w:cs="Arial"/>
                <w:b/>
                <w:iCs/>
                <w:szCs w:val="18"/>
                <w:lang w:eastAsia="en-US"/>
              </w:rPr>
              <w:t>REPORTED TIMESLOTS</w:t>
            </w:r>
            <w:r w:rsidRPr="004D0DAA">
              <w:rPr>
                <w:rFonts w:cs="Arial"/>
                <w:iCs/>
                <w:szCs w:val="18"/>
                <w:lang w:eastAsia="en-US"/>
              </w:rPr>
              <w:t xml:space="preserve"> </w:t>
            </w:r>
            <w:r w:rsidRPr="004D0DAA">
              <w:rPr>
                <w:rFonts w:cs="Arial"/>
                <w:b/>
                <w:iCs/>
                <w:szCs w:val="18"/>
                <w:lang w:eastAsia="en-US"/>
              </w:rPr>
              <w:t>C1</w:t>
            </w:r>
            <w:r w:rsidRPr="004D0DAA">
              <w:rPr>
                <w:rFonts w:cs="Arial"/>
                <w:iCs/>
                <w:szCs w:val="18"/>
                <w:lang w:eastAsia="en-US"/>
              </w:rPr>
              <w:t>: bit (8)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carrier 1 in Downlink Dual Carrier configuration</w:t>
            </w:r>
          </w:p>
          <w:p w14:paraId="174E7250" w14:textId="77777777" w:rsidR="00711444" w:rsidRPr="004D0DAA" w:rsidRDefault="00711444" w:rsidP="00AA2A4C">
            <w:pPr>
              <w:pStyle w:val="TAL"/>
              <w:rPr>
                <w:rFonts w:cs="Arial"/>
                <w:iCs/>
                <w:szCs w:val="18"/>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r>
            <w:r w:rsidRPr="004D0DAA">
              <w:rPr>
                <w:lang w:eastAsia="en-US"/>
              </w:rPr>
              <w:tab/>
            </w:r>
            <w:r w:rsidRPr="004D0DAA">
              <w:rPr>
                <w:lang w:eastAsia="en-US"/>
              </w:rPr>
              <w:tab/>
              <w:t xml:space="preserve">-- </w:t>
            </w:r>
            <w:r w:rsidRPr="004D0DAA">
              <w:rPr>
                <w:i/>
                <w:iCs/>
                <w:lang w:eastAsia="en-US"/>
              </w:rPr>
              <w:t>carrier 2 in Downlink Dual Carrier configuration</w:t>
            </w:r>
          </w:p>
          <w:p w14:paraId="37842182" w14:textId="77777777" w:rsidR="00711444" w:rsidRPr="004D0DAA" w:rsidRDefault="00711444" w:rsidP="00AA2A4C">
            <w:pPr>
              <w:pStyle w:val="TAL"/>
              <w:rPr>
                <w:rFonts w:cs="Arial"/>
                <w:iCs/>
                <w:szCs w:val="18"/>
                <w:lang w:eastAsia="en-US"/>
              </w:rPr>
            </w:pPr>
            <w:r w:rsidRPr="004D0DAA">
              <w:rPr>
                <w:rFonts w:cs="Arial"/>
                <w:iCs/>
                <w:szCs w:val="18"/>
                <w:lang w:eastAsia="en-US"/>
              </w:rPr>
              <w:tab/>
              <w:t xml:space="preserve">} </w:t>
            </w:r>
          </w:p>
          <w:p w14:paraId="630645C7"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timeslots/PDCH-pairs assigned to the TBF are all the timeslots assigned</w:t>
            </w:r>
          </w:p>
          <w:p w14:paraId="02AFBD10"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the Global Timeslot description or PDCH pair description</w:t>
            </w:r>
          </w:p>
          <w:p w14:paraId="2AF4B328"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&lt; </w:t>
            </w:r>
            <w:r w:rsidRPr="004D0DAA">
              <w:rPr>
                <w:b/>
                <w:bCs/>
                <w:lang w:eastAsia="en-US"/>
              </w:rPr>
              <w:t>TBF_TIMESLOT_ALLOCATION</w:t>
            </w:r>
            <w:r w:rsidRPr="004D0DAA">
              <w:rPr>
                <w:lang w:eastAsia="en-US"/>
              </w:rPr>
              <w:t xml:space="preserve"> : bit (N) &gt; }</w:t>
            </w:r>
            <w:r w:rsidRPr="004D0DAA">
              <w:rPr>
                <w:lang w:eastAsia="en-US"/>
              </w:rPr>
              <w:tab/>
              <w:t xml:space="preserve">-- </w:t>
            </w:r>
            <w:r w:rsidRPr="004D0DAA">
              <w:rPr>
                <w:i/>
                <w:iCs/>
                <w:lang w:eastAsia="en-US"/>
              </w:rPr>
              <w:t>see description in Table 11.2.29a.2</w:t>
            </w:r>
          </w:p>
          <w:p w14:paraId="0889BCAF"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USF_ALLOCATION_C1</w:t>
            </w:r>
            <w:r w:rsidRPr="004D0DAA">
              <w:rPr>
                <w:lang w:eastAsia="en-US"/>
              </w:rPr>
              <w:t xml:space="preserve"> : bit (3) &gt;</w:t>
            </w:r>
          </w:p>
          <w:p w14:paraId="27184411"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USF_ALLOCATION_C2</w:t>
            </w:r>
            <w:r w:rsidRPr="004D0DAA">
              <w:rPr>
                <w:lang w:eastAsia="en-US"/>
              </w:rPr>
              <w:t xml:space="preserve"> : bit (3) &gt; } </w:t>
            </w:r>
            <w:r w:rsidRPr="004D0DAA">
              <w:rPr>
                <w:lang w:eastAsia="en-US"/>
              </w:rPr>
              <w:tab/>
              <w:t xml:space="preserve">-- </w:t>
            </w:r>
            <w:r w:rsidRPr="004D0DAA">
              <w:rPr>
                <w:i/>
                <w:iCs/>
                <w:lang w:eastAsia="en-US"/>
              </w:rPr>
              <w:t xml:space="preserve">The same USF is valid on all timeslots/PDCH-pairs assigned </w:t>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to the TBF for each specified carrier</w:t>
            </w:r>
          </w:p>
          <w:p w14:paraId="68F80662"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Different USF(s) assigned; see description in Table 11.2.29a.2</w:t>
            </w:r>
          </w:p>
          <w:p w14:paraId="0E19BF03"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bCs/>
                <w:lang w:eastAsia="en-US"/>
              </w:rPr>
              <w:t xml:space="preserve">USF_ALLOCATION </w:t>
            </w:r>
            <w:r w:rsidRPr="004D0DAA">
              <w:rPr>
                <w:lang w:eastAsia="en-US"/>
              </w:rPr>
              <w:t>: bit (3) &gt;</w:t>
            </w:r>
          </w:p>
          <w:p w14:paraId="0CC18EA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USF_ALLOCATION</w:t>
            </w:r>
            <w:r w:rsidRPr="004D0DAA">
              <w:rPr>
                <w:lang w:eastAsia="en-US"/>
              </w:rPr>
              <w:t xml:space="preserve"> : bit (3) &gt; } * (M-1) </w:t>
            </w:r>
          </w:p>
          <w:p w14:paraId="788AC88D" w14:textId="77777777" w:rsidR="00711444" w:rsidRPr="004D0DAA" w:rsidRDefault="00711444" w:rsidP="00AA2A4C">
            <w:pPr>
              <w:pStyle w:val="TAL"/>
              <w:rPr>
                <w:lang w:eastAsia="en-US"/>
              </w:rPr>
            </w:pPr>
            <w:r w:rsidRPr="004D0DAA">
              <w:rPr>
                <w:lang w:eastAsia="en-US"/>
              </w:rPr>
              <w:tab/>
              <w:t>} ;</w:t>
            </w:r>
            <w:r w:rsidRPr="004D0DAA">
              <w:rPr>
                <w:lang w:eastAsia="en-US"/>
              </w:rPr>
              <w:tab/>
            </w:r>
          </w:p>
        </w:tc>
      </w:tr>
      <w:tr w:rsidR="00711444" w:rsidRPr="004D0DAA" w14:paraId="1ADB4BA5" w14:textId="77777777" w:rsidTr="00AA2A4C">
        <w:tblPrEx>
          <w:tblCellMar>
            <w:top w:w="0" w:type="dxa"/>
            <w:bottom w:w="0" w:type="dxa"/>
          </w:tblCellMar>
        </w:tblPrEx>
        <w:trPr>
          <w:cantSplit/>
        </w:trPr>
        <w:tc>
          <w:tcPr>
            <w:tcW w:w="9848" w:type="dxa"/>
          </w:tcPr>
          <w:p w14:paraId="5836814B" w14:textId="77777777" w:rsidR="00711444" w:rsidRPr="004D0DAA" w:rsidRDefault="00711444" w:rsidP="00AA2A4C">
            <w:pPr>
              <w:pStyle w:val="TAL"/>
              <w:rPr>
                <w:lang w:eastAsia="en-US"/>
              </w:rPr>
            </w:pPr>
            <w:r w:rsidRPr="004D0DAA">
              <w:rPr>
                <w:lang w:eastAsia="en-US"/>
              </w:rPr>
              <w:t>&lt; Assignment Info struct &gt; :: =</w:t>
            </w:r>
          </w:p>
          <w:p w14:paraId="3E0B0A1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Assignment Type</w:t>
            </w:r>
            <w:r w:rsidRPr="004D0DAA">
              <w:rPr>
                <w:lang w:eastAsia="en-US"/>
              </w:rPr>
              <w:t xml:space="preserve"> : bit (2) &gt;</w:t>
            </w:r>
          </w:p>
          <w:p w14:paraId="488FDBA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Carrier ID</w:t>
            </w:r>
            <w:r w:rsidRPr="004D0DAA">
              <w:rPr>
                <w:lang w:eastAsia="en-US"/>
              </w:rPr>
              <w:t xml:space="preserve"> : bit (1) &gt; ;</w:t>
            </w:r>
          </w:p>
          <w:p w14:paraId="51EA0C00" w14:textId="77777777" w:rsidR="00711444" w:rsidRPr="004D0DAA" w:rsidRDefault="00711444" w:rsidP="00AA2A4C">
            <w:pPr>
              <w:pStyle w:val="TAL"/>
              <w:rPr>
                <w:lang w:eastAsia="en-US"/>
              </w:rPr>
            </w:pPr>
          </w:p>
        </w:tc>
      </w:tr>
    </w:tbl>
    <w:p w14:paraId="69F1C524" w14:textId="77777777" w:rsidR="00711444" w:rsidRPr="004D0DAA" w:rsidRDefault="00711444" w:rsidP="00711444"/>
    <w:p w14:paraId="7B24EBDD" w14:textId="77777777" w:rsidR="00711444" w:rsidRPr="004D0DAA" w:rsidRDefault="00711444" w:rsidP="00711444">
      <w:pPr>
        <w:pStyle w:val="TH"/>
      </w:pPr>
      <w:r w:rsidRPr="004D0DAA">
        <w:t xml:space="preserve">Table 11.2.29a.2: </w:t>
      </w:r>
      <w:r w:rsidRPr="004D0DAA">
        <w:rPr>
          <w:caps/>
        </w:rPr>
        <w:t>MULTIPLE TBF UPlink ASSIGNMENT</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72994AE" w14:textId="77777777" w:rsidTr="00AA2A4C">
        <w:tblPrEx>
          <w:tblCellMar>
            <w:top w:w="0" w:type="dxa"/>
            <w:bottom w:w="0" w:type="dxa"/>
          </w:tblCellMar>
        </w:tblPrEx>
        <w:trPr>
          <w:cantSplit/>
        </w:trPr>
        <w:tc>
          <w:tcPr>
            <w:tcW w:w="9848" w:type="dxa"/>
          </w:tcPr>
          <w:p w14:paraId="52796BCE" w14:textId="77777777" w:rsidR="00711444" w:rsidRPr="004D0DAA" w:rsidRDefault="00711444" w:rsidP="00AA2A4C">
            <w:pPr>
              <w:rPr>
                <w:b/>
              </w:rPr>
            </w:pPr>
            <w:r w:rsidRPr="004D0DAA">
              <w:rPr>
                <w:b/>
              </w:rPr>
              <w:t>PAGE_MODE</w:t>
            </w:r>
            <w:r w:rsidRPr="004D0DAA">
              <w:t xml:space="preserve"> (2 bit field)</w:t>
            </w:r>
            <w:r w:rsidRPr="004D0DAA">
              <w:br/>
              <w:t>This field is defined in sub-clause 12.20.</w:t>
            </w:r>
          </w:p>
        </w:tc>
      </w:tr>
      <w:tr w:rsidR="00711444" w:rsidRPr="004D0DAA" w14:paraId="0A89D115" w14:textId="77777777" w:rsidTr="00AA2A4C">
        <w:tblPrEx>
          <w:tblCellMar>
            <w:top w:w="0" w:type="dxa"/>
            <w:bottom w:w="0" w:type="dxa"/>
          </w:tblCellMar>
        </w:tblPrEx>
        <w:trPr>
          <w:cantSplit/>
        </w:trPr>
        <w:tc>
          <w:tcPr>
            <w:tcW w:w="9848" w:type="dxa"/>
          </w:tcPr>
          <w:p w14:paraId="31399EB2" w14:textId="77777777" w:rsidR="00711444" w:rsidRPr="004D0DAA" w:rsidRDefault="00711444" w:rsidP="00AA2A4C">
            <w:pPr>
              <w:rPr>
                <w:b/>
              </w:rPr>
            </w:pPr>
            <w:r w:rsidRPr="004D0DAA">
              <w:rPr>
                <w:b/>
              </w:rPr>
              <w:t>PERSISTENCE_LEVEL</w:t>
            </w:r>
            <w:r w:rsidRPr="004D0DAA">
              <w:t xml:space="preserve"> (4 bit field for each Radio Priority 1…4)</w:t>
            </w:r>
            <w:r w:rsidRPr="004D0DAA">
              <w:br/>
              <w:t>This field is defined in sub-clause 12.14, PRACH Control Parameters.</w:t>
            </w:r>
          </w:p>
        </w:tc>
      </w:tr>
      <w:tr w:rsidR="00711444" w:rsidRPr="004D0DAA" w14:paraId="404E172D" w14:textId="77777777" w:rsidTr="00AA2A4C">
        <w:tblPrEx>
          <w:tblCellMar>
            <w:top w:w="0" w:type="dxa"/>
            <w:bottom w:w="0" w:type="dxa"/>
          </w:tblCellMar>
        </w:tblPrEx>
        <w:trPr>
          <w:cantSplit/>
        </w:trPr>
        <w:tc>
          <w:tcPr>
            <w:tcW w:w="9848" w:type="dxa"/>
          </w:tcPr>
          <w:p w14:paraId="6426D1DE" w14:textId="77777777" w:rsidR="00711444" w:rsidRPr="004D0DAA" w:rsidRDefault="00711444" w:rsidP="00AA2A4C">
            <w:pPr>
              <w:rPr>
                <w:b/>
              </w:rPr>
            </w:pPr>
            <w:r w:rsidRPr="004D0DAA">
              <w:rPr>
                <w:b/>
              </w:rPr>
              <w:t>TLLI / G-RNTI</w:t>
            </w:r>
            <w:r w:rsidRPr="004D0DAA">
              <w:br/>
              <w:t>This information element is defined in sub-clause 12.16.</w:t>
            </w:r>
          </w:p>
        </w:tc>
      </w:tr>
      <w:tr w:rsidR="00711444" w:rsidRPr="004D0DAA" w14:paraId="6734FCAC" w14:textId="77777777" w:rsidTr="00AA2A4C">
        <w:tblPrEx>
          <w:tblCellMar>
            <w:top w:w="0" w:type="dxa"/>
            <w:bottom w:w="0" w:type="dxa"/>
          </w:tblCellMar>
        </w:tblPrEx>
        <w:trPr>
          <w:cantSplit/>
        </w:trPr>
        <w:tc>
          <w:tcPr>
            <w:tcW w:w="9848" w:type="dxa"/>
          </w:tcPr>
          <w:p w14:paraId="0EDBF7E9" w14:textId="77777777" w:rsidR="00711444" w:rsidRPr="004D0DAA" w:rsidRDefault="00711444" w:rsidP="00AA2A4C">
            <w:r w:rsidRPr="004D0DAA">
              <w:rPr>
                <w:b/>
                <w:bCs/>
              </w:rPr>
              <w:t xml:space="preserve">G-RNTI extension </w:t>
            </w:r>
            <w:r w:rsidRPr="004D0DAA">
              <w:t>(4 bit field)</w:t>
            </w:r>
          </w:p>
          <w:p w14:paraId="27C261F7" w14:textId="77777777" w:rsidR="00711444" w:rsidRPr="004D0DAA" w:rsidRDefault="00711444" w:rsidP="00AA2A4C">
            <w:pPr>
              <w:rPr>
                <w:b/>
                <w:bCs/>
              </w:rPr>
            </w:pPr>
            <w:r w:rsidRPr="004D0DAA">
              <w:t xml:space="preserve">This field contains the extra 4 bits of the G-RNTI not included in the TLLI / G-RNTI field or </w:t>
            </w:r>
            <w:r w:rsidRPr="004D0DAA">
              <w:rPr>
                <w:bCs/>
              </w:rPr>
              <w:t xml:space="preserve">CONTENTION_RESOLUTION Identifier field </w:t>
            </w:r>
            <w:r w:rsidRPr="004D0DAA">
              <w:t>which are necessary to provide a unique identifier for contention resolution in Iu-mode.</w:t>
            </w:r>
          </w:p>
        </w:tc>
      </w:tr>
      <w:tr w:rsidR="00711444" w:rsidRPr="004D0DAA" w14:paraId="60532921" w14:textId="77777777" w:rsidTr="00AA2A4C">
        <w:tblPrEx>
          <w:tblCellMar>
            <w:top w:w="0" w:type="dxa"/>
            <w:bottom w:w="0" w:type="dxa"/>
          </w:tblCellMar>
        </w:tblPrEx>
        <w:trPr>
          <w:cantSplit/>
        </w:trPr>
        <w:tc>
          <w:tcPr>
            <w:tcW w:w="9848" w:type="dxa"/>
          </w:tcPr>
          <w:p w14:paraId="76CE384F" w14:textId="77777777" w:rsidR="00711444" w:rsidRPr="004D0DAA" w:rsidRDefault="00711444" w:rsidP="00AA2A4C">
            <w:pPr>
              <w:rPr>
                <w:b/>
              </w:rPr>
            </w:pPr>
            <w:r w:rsidRPr="004D0DAA">
              <w:rPr>
                <w:b/>
              </w:rPr>
              <w:t>Global TFI</w:t>
            </w:r>
            <w:r w:rsidRPr="004D0DAA">
              <w:br/>
              <w:t>This information element identifies one of the mobile station’s downlink or uplink TFIs. This field is defined in sub-clause 12.10.</w:t>
            </w:r>
          </w:p>
        </w:tc>
      </w:tr>
      <w:tr w:rsidR="00711444" w:rsidRPr="004D0DAA" w14:paraId="0F6F526F" w14:textId="77777777" w:rsidTr="00AA2A4C">
        <w:tblPrEx>
          <w:tblCellMar>
            <w:top w:w="0" w:type="dxa"/>
            <w:bottom w:w="0" w:type="dxa"/>
          </w:tblCellMar>
        </w:tblPrEx>
        <w:trPr>
          <w:cantSplit/>
        </w:trPr>
        <w:tc>
          <w:tcPr>
            <w:tcW w:w="9848" w:type="dxa"/>
          </w:tcPr>
          <w:p w14:paraId="715DCFB2" w14:textId="77777777" w:rsidR="00711444" w:rsidRPr="004D0DAA" w:rsidRDefault="00711444" w:rsidP="00AA2A4C">
            <w:r w:rsidRPr="004D0DAA">
              <w:rPr>
                <w:b/>
              </w:rPr>
              <w:t>CHANNEL_CODING_COMMAND</w:t>
            </w:r>
            <w:r w:rsidRPr="004D0DAA">
              <w:t xml:space="preserve"> (2 bit field)</w:t>
            </w:r>
            <w:r w:rsidRPr="004D0DAA">
              <w:br/>
              <w:t>The Channel Coding Indicator field indicates the channel coding scheme that the mobile station shall use when transmitting data on the uplink. If this field is included in the main body of the message, it shall refer to all GPRS TBF mode uplink TBFs assigned in the message (default value). If this field is included in the Uplink TBF Assignment struct, it refers only to the TBF given by the TFI Assignment (this specific value overrules the default value). Every TBF defined in GPRS TBF mode shall be assigned either the default value or a specific value.</w:t>
            </w:r>
          </w:p>
          <w:p w14:paraId="36F5D168" w14:textId="77777777" w:rsidR="00711444" w:rsidRPr="004D0DAA" w:rsidRDefault="00711444" w:rsidP="00AA2A4C">
            <w:pPr>
              <w:tabs>
                <w:tab w:val="left" w:pos="567"/>
              </w:tabs>
              <w:rPr>
                <w:b/>
              </w:rPr>
            </w:pPr>
            <w:r w:rsidRPr="004D0DAA">
              <w:t>Bit</w:t>
            </w:r>
            <w:r w:rsidRPr="004D0DAA">
              <w:br/>
              <w:t>2 1</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2E38A721" w14:textId="77777777" w:rsidTr="00AA2A4C">
        <w:tblPrEx>
          <w:tblCellMar>
            <w:top w:w="0" w:type="dxa"/>
            <w:bottom w:w="0" w:type="dxa"/>
          </w:tblCellMar>
        </w:tblPrEx>
        <w:trPr>
          <w:cantSplit/>
        </w:trPr>
        <w:tc>
          <w:tcPr>
            <w:tcW w:w="9848" w:type="dxa"/>
          </w:tcPr>
          <w:p w14:paraId="3CBA2306" w14:textId="77777777" w:rsidR="00711444" w:rsidRPr="004D0DAA" w:rsidRDefault="00711444" w:rsidP="00AA2A4C">
            <w:pPr>
              <w:spacing w:after="0"/>
              <w:rPr>
                <w:b/>
              </w:rPr>
            </w:pPr>
            <w:r w:rsidRPr="004D0DAA">
              <w:rPr>
                <w:b/>
              </w:rPr>
              <w:t xml:space="preserve">RESEGMENT </w:t>
            </w:r>
            <w:r w:rsidRPr="004D0DAA">
              <w:t>(1 bit field)</w:t>
            </w:r>
          </w:p>
          <w:p w14:paraId="4BDE6795" w14:textId="77777777" w:rsidR="00711444" w:rsidRPr="004D0DAA" w:rsidRDefault="00711444" w:rsidP="00AA2A4C">
            <w:pPr>
              <w:rPr>
                <w:b/>
              </w:rPr>
            </w:pPr>
            <w:r w:rsidRPr="004D0DAA">
              <w:t>This field is defined in sub-clause 12.10e.</w:t>
            </w:r>
          </w:p>
        </w:tc>
      </w:tr>
      <w:tr w:rsidR="00711444" w:rsidRPr="004D0DAA" w14:paraId="61D3F9E8" w14:textId="77777777" w:rsidTr="00AA2A4C">
        <w:tblPrEx>
          <w:tblCellMar>
            <w:top w:w="0" w:type="dxa"/>
            <w:bottom w:w="0" w:type="dxa"/>
          </w:tblCellMar>
        </w:tblPrEx>
        <w:trPr>
          <w:cantSplit/>
        </w:trPr>
        <w:tc>
          <w:tcPr>
            <w:tcW w:w="9848" w:type="dxa"/>
          </w:tcPr>
          <w:p w14:paraId="4E707B53" w14:textId="77777777" w:rsidR="00711444" w:rsidRPr="004D0DAA" w:rsidRDefault="00711444" w:rsidP="00AA2A4C">
            <w:pPr>
              <w:spacing w:after="0"/>
              <w:rPr>
                <w:b/>
              </w:rPr>
            </w:pPr>
            <w:r w:rsidRPr="004D0DAA">
              <w:rPr>
                <w:b/>
              </w:rPr>
              <w:lastRenderedPageBreak/>
              <w:t>EGPRS Window Size</w:t>
            </w:r>
          </w:p>
          <w:p w14:paraId="4C37ECED" w14:textId="77777777" w:rsidR="00711444" w:rsidRPr="004D0DAA" w:rsidRDefault="00711444" w:rsidP="00AA2A4C">
            <w:r w:rsidRPr="004D0DAA">
              <w:t>This information element is defined in sub-clause 12.5.2.</w:t>
            </w:r>
          </w:p>
          <w:p w14:paraId="18892EC5" w14:textId="77777777" w:rsidR="00711444" w:rsidRPr="004D0DAA" w:rsidRDefault="00711444" w:rsidP="00AA2A4C">
            <w:pPr>
              <w:rPr>
                <w:b/>
              </w:rPr>
            </w:pPr>
            <w:r w:rsidRPr="004D0DAA">
              <w:t>If this field is included in the main body of the message, it shall refer to all EGPRS TBF mode uplink TBFs assigned in the message (default value). If this field is included in the Uplink TBF Assignment struct, it refers only to the TBF given by the TFI Assignment (this specific value overrules the default value). Every TBF defined in EGPRS TBF mode shall be assigned either the default value or a specific value.</w:t>
            </w:r>
          </w:p>
        </w:tc>
      </w:tr>
      <w:tr w:rsidR="00711444" w:rsidRPr="004D0DAA" w14:paraId="58823B9F" w14:textId="77777777" w:rsidTr="00AA2A4C">
        <w:tblPrEx>
          <w:tblCellMar>
            <w:top w:w="0" w:type="dxa"/>
            <w:bottom w:w="0" w:type="dxa"/>
          </w:tblCellMar>
        </w:tblPrEx>
        <w:trPr>
          <w:cantSplit/>
        </w:trPr>
        <w:tc>
          <w:tcPr>
            <w:tcW w:w="9848" w:type="dxa"/>
          </w:tcPr>
          <w:p w14:paraId="1C2717EB" w14:textId="77777777" w:rsidR="00711444" w:rsidRPr="004D0DAA" w:rsidRDefault="00711444" w:rsidP="00AA2A4C">
            <w:pPr>
              <w:spacing w:after="0"/>
              <w:rPr>
                <w:b/>
                <w:bCs/>
              </w:rPr>
            </w:pPr>
            <w:r w:rsidRPr="004D0DAA">
              <w:rPr>
                <w:b/>
                <w:bCs/>
              </w:rPr>
              <w:t>EGPRS Modulation and Coding Scheme</w:t>
            </w:r>
          </w:p>
          <w:p w14:paraId="22CD55A9" w14:textId="77777777" w:rsidR="00711444" w:rsidRPr="004D0DAA" w:rsidRDefault="00711444" w:rsidP="00AA2A4C">
            <w:r w:rsidRPr="004D0DAA">
              <w:t xml:space="preserve">This field contains the </w:t>
            </w:r>
            <w:r w:rsidRPr="004D0DAA">
              <w:rPr>
                <w:i/>
                <w:iCs/>
              </w:rPr>
              <w:t>EGPRS Modulation and Coding Scheme</w:t>
            </w:r>
            <w:r w:rsidRPr="004D0DAA">
              <w:t xml:space="preserve"> information element defined in sub-clause 12.10d.</w:t>
            </w:r>
          </w:p>
          <w:p w14:paraId="3A5BEC37" w14:textId="77777777" w:rsidR="00711444" w:rsidRPr="004D0DAA" w:rsidRDefault="00711444" w:rsidP="00AA2A4C">
            <w:r w:rsidRPr="004D0DAA">
              <w:t>If this field is included in the main body of the message, it shall refer to all EGPRS TBF mode uplink TBFs assigned in the message (default value). If this field is included in the Uplink TBF Assignment struct, it refers only to the TBF given by the TFI Assignment (this specific value overrules the default value). Every TBF defined in EGPRS TBF mode shall be assigned either the default value or a specific value.</w:t>
            </w:r>
          </w:p>
          <w:p w14:paraId="7381E02E" w14:textId="77777777" w:rsidR="00711444" w:rsidRPr="004D0DAA" w:rsidRDefault="00711444" w:rsidP="00AA2A4C">
            <w:r w:rsidRPr="004D0DAA">
              <w:t>If this field is included in a Dual Carrier assignment, it shall specify the initial EGPRS Modulation and Coding Scheme to be used on both carriers.</w:t>
            </w:r>
          </w:p>
        </w:tc>
      </w:tr>
      <w:tr w:rsidR="00711444" w:rsidRPr="004D0DAA" w14:paraId="1C0CB630" w14:textId="77777777" w:rsidTr="00AA2A4C">
        <w:tblPrEx>
          <w:tblCellMar>
            <w:top w:w="0" w:type="dxa"/>
            <w:bottom w:w="0" w:type="dxa"/>
          </w:tblCellMar>
        </w:tblPrEx>
        <w:trPr>
          <w:cantSplit/>
        </w:trPr>
        <w:tc>
          <w:tcPr>
            <w:tcW w:w="9848" w:type="dxa"/>
          </w:tcPr>
          <w:p w14:paraId="173626CB" w14:textId="77777777" w:rsidR="00711444" w:rsidRPr="004D0DAA" w:rsidRDefault="00711444" w:rsidP="00AA2A4C">
            <w:r w:rsidRPr="004D0DAA">
              <w:rPr>
                <w:b/>
              </w:rPr>
              <w:t>TLLI_BLOCK_CHANNEL_CODING</w:t>
            </w:r>
            <w:r w:rsidRPr="004D0DAA">
              <w:t xml:space="preserve"> (1 bit field)</w:t>
            </w:r>
            <w:r w:rsidRPr="004D0DAA">
              <w:br/>
              <w:t>This field indicates the channel coding command that the mobile station shall use for any RLC data block containing a TLLI / G-RNTI field in the RLC data block header. This field is coded as shown:</w:t>
            </w:r>
          </w:p>
          <w:p w14:paraId="137B0008" w14:textId="77777777" w:rsidR="00711444" w:rsidRPr="004D0DAA" w:rsidRDefault="00711444" w:rsidP="00AA2A4C">
            <w:pPr>
              <w:spacing w:after="0"/>
            </w:pPr>
            <w:r w:rsidRPr="004D0DAA">
              <w:t>0</w:t>
            </w:r>
            <w:r w:rsidRPr="004D0DAA">
              <w:tab/>
              <w:t>the mobile station shall use CS-1 in GPRS TBF mode and MCS-1 in EGPRS TBF mode.</w:t>
            </w:r>
          </w:p>
          <w:p w14:paraId="70BCF4EA" w14:textId="77777777" w:rsidR="00711444" w:rsidRPr="004D0DAA" w:rsidRDefault="00711444" w:rsidP="00AA2A4C">
            <w:pPr>
              <w:ind w:left="284" w:hanging="284"/>
              <w:rPr>
                <w:b/>
              </w:rPr>
            </w:pPr>
            <w:r w:rsidRPr="004D0DAA">
              <w:t>1</w:t>
            </w:r>
            <w:r w:rsidRPr="004D0DAA">
              <w:tab/>
              <w:t>the mobile station shall use the value commanded in the CHANNEL_CODING_COMMAND or EGPRS_CHANNEL_CODING_COMMAND field.</w:t>
            </w:r>
          </w:p>
        </w:tc>
      </w:tr>
      <w:tr w:rsidR="00711444" w:rsidRPr="004D0DAA" w14:paraId="5E61084A" w14:textId="77777777" w:rsidTr="00AA2A4C">
        <w:tblPrEx>
          <w:tblCellMar>
            <w:top w:w="0" w:type="dxa"/>
            <w:bottom w:w="0" w:type="dxa"/>
          </w:tblCellMar>
        </w:tblPrEx>
        <w:trPr>
          <w:cantSplit/>
        </w:trPr>
        <w:tc>
          <w:tcPr>
            <w:tcW w:w="9848" w:type="dxa"/>
          </w:tcPr>
          <w:p w14:paraId="2EB6089C" w14:textId="77777777" w:rsidR="00711444" w:rsidRPr="004D0DAA" w:rsidRDefault="00711444" w:rsidP="00AA2A4C">
            <w:pPr>
              <w:spacing w:after="0"/>
            </w:pPr>
            <w:r w:rsidRPr="004D0DAA">
              <w:rPr>
                <w:b/>
              </w:rPr>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187512DB" w14:textId="77777777" w:rsidR="00711444" w:rsidRPr="004D0DAA" w:rsidRDefault="00711444" w:rsidP="00AA2A4C">
            <w:pPr>
              <w:rPr>
                <w:b/>
              </w:rPr>
            </w:pPr>
            <w:r w:rsidRPr="004D0DAA">
              <w:t>Range: 0 to 15</w:t>
            </w:r>
          </w:p>
        </w:tc>
      </w:tr>
      <w:tr w:rsidR="00711444" w:rsidRPr="004D0DAA" w14:paraId="3818C5C8" w14:textId="77777777" w:rsidTr="00AA2A4C">
        <w:tblPrEx>
          <w:tblCellMar>
            <w:top w:w="0" w:type="dxa"/>
            <w:bottom w:w="0" w:type="dxa"/>
          </w:tblCellMar>
        </w:tblPrEx>
        <w:trPr>
          <w:cantSplit/>
        </w:trPr>
        <w:tc>
          <w:tcPr>
            <w:tcW w:w="9848" w:type="dxa"/>
          </w:tcPr>
          <w:p w14:paraId="4B87E995" w14:textId="77777777" w:rsidR="00711444" w:rsidRPr="004D0DAA" w:rsidRDefault="00711444" w:rsidP="00AA2A4C">
            <w:pPr>
              <w:rPr>
                <w:b/>
              </w:rPr>
            </w:pPr>
            <w:r w:rsidRPr="004D0DAA">
              <w:rPr>
                <w:b/>
              </w:rPr>
              <w:t xml:space="preserve">TFI Assignment </w:t>
            </w:r>
            <w:r w:rsidRPr="004D0DAA">
              <w:t>(5 bit field)</w:t>
            </w:r>
            <w:r w:rsidRPr="004D0DAA">
              <w:br/>
              <w:t xml:space="preserve">This information element assigns one TFI to each TBF assigned to the mobile station in this message. This field is repeated for each TBF that is assigned in this message. TFI values are encoded as defined in sub-clause 12.15. </w:t>
            </w:r>
          </w:p>
        </w:tc>
      </w:tr>
      <w:tr w:rsidR="00711444" w:rsidRPr="004D0DAA" w14:paraId="75E64238" w14:textId="77777777" w:rsidTr="00AA2A4C">
        <w:tblPrEx>
          <w:tblCellMar>
            <w:top w:w="0" w:type="dxa"/>
            <w:bottom w:w="0" w:type="dxa"/>
          </w:tblCellMar>
        </w:tblPrEx>
        <w:trPr>
          <w:cantSplit/>
        </w:trPr>
        <w:tc>
          <w:tcPr>
            <w:tcW w:w="9848" w:type="dxa"/>
          </w:tcPr>
          <w:p w14:paraId="29685C87" w14:textId="77777777" w:rsidR="00711444" w:rsidRPr="004D0DAA" w:rsidRDefault="00711444" w:rsidP="00AA2A4C">
            <w:pPr>
              <w:spacing w:after="0"/>
              <w:rPr>
                <w:bCs/>
              </w:rPr>
            </w:pPr>
            <w:r w:rsidRPr="004D0DAA">
              <w:rPr>
                <w:b/>
              </w:rPr>
              <w:t>RB Id</w:t>
            </w:r>
            <w:r w:rsidRPr="004D0DAA">
              <w:rPr>
                <w:bCs/>
              </w:rPr>
              <w:t xml:space="preserve"> (5 bit field)</w:t>
            </w:r>
          </w:p>
          <w:p w14:paraId="23B27CD7" w14:textId="77777777" w:rsidR="00711444" w:rsidRPr="004D0DAA" w:rsidRDefault="00711444" w:rsidP="00AA2A4C">
            <w:pPr>
              <w:spacing w:after="0"/>
              <w:rPr>
                <w:bCs/>
              </w:rPr>
            </w:pPr>
            <w:r w:rsidRPr="004D0DAA">
              <w:rPr>
                <w:bCs/>
              </w:rPr>
              <w:t>This field contains the radio bearer identifier for the radio bearer using the assigned TBF. This provides the mapping of TFI to RB Id which is necessary to uniquely identify Iu-mode data flows.</w:t>
            </w:r>
          </w:p>
          <w:p w14:paraId="116BF6C3" w14:textId="77777777" w:rsidR="00711444" w:rsidRPr="004D0DAA" w:rsidRDefault="00711444" w:rsidP="00AA2A4C">
            <w:pPr>
              <w:spacing w:after="0"/>
              <w:rPr>
                <w:b/>
              </w:rPr>
            </w:pPr>
          </w:p>
        </w:tc>
      </w:tr>
      <w:tr w:rsidR="00711444" w:rsidRPr="004D0DAA" w14:paraId="43F7163F" w14:textId="77777777" w:rsidTr="00AA2A4C">
        <w:tblPrEx>
          <w:tblCellMar>
            <w:top w:w="0" w:type="dxa"/>
            <w:bottom w:w="0" w:type="dxa"/>
          </w:tblCellMar>
        </w:tblPrEx>
        <w:trPr>
          <w:cantSplit/>
        </w:trPr>
        <w:tc>
          <w:tcPr>
            <w:tcW w:w="9848" w:type="dxa"/>
          </w:tcPr>
          <w:p w14:paraId="1D876511" w14:textId="77777777" w:rsidR="00711444" w:rsidRPr="004D0DAA" w:rsidRDefault="00711444" w:rsidP="00AA2A4C">
            <w:pPr>
              <w:rPr>
                <w:bCs/>
              </w:rPr>
            </w:pPr>
            <w:r w:rsidRPr="004D0DAA">
              <w:rPr>
                <w:b/>
              </w:rPr>
              <w:t xml:space="preserve">PFI </w:t>
            </w:r>
            <w:r w:rsidRPr="004D0DAA">
              <w:rPr>
                <w:bCs/>
              </w:rPr>
              <w:t>(7 bit field)</w:t>
            </w:r>
          </w:p>
          <w:p w14:paraId="6E3D076D" w14:textId="77777777" w:rsidR="00711444" w:rsidRPr="004D0DAA" w:rsidRDefault="00711444" w:rsidP="00AA2A4C">
            <w:pPr>
              <w:spacing w:after="0"/>
            </w:pPr>
            <w:r w:rsidRPr="004D0DAA">
              <w:t>This field contains the PFI parameter identifying a Packet Flow Context. The PFI parameter is encoded as the contents of the PFI information element as defined in 3GPP TS 44.018.</w:t>
            </w:r>
          </w:p>
          <w:p w14:paraId="3652E107" w14:textId="77777777" w:rsidR="00711444" w:rsidRPr="004D0DAA" w:rsidRDefault="00711444" w:rsidP="00AA2A4C">
            <w:pPr>
              <w:spacing w:after="0"/>
            </w:pPr>
          </w:p>
          <w:p w14:paraId="248F89E9" w14:textId="77777777" w:rsidR="00711444" w:rsidRPr="004D0DAA" w:rsidRDefault="00711444" w:rsidP="00AA2A4C">
            <w:r w:rsidRPr="004D0DAA">
              <w:rPr>
                <w:b/>
              </w:rPr>
              <w:t xml:space="preserve">RLC_MODE </w:t>
            </w:r>
            <w:r w:rsidRPr="004D0DAA">
              <w:t>(1 bit field)</w:t>
            </w:r>
            <w:r w:rsidRPr="004D0DAA">
              <w:br/>
              <w:t>This field contains the RLC mode to be used for the assigned TBF.</w:t>
            </w:r>
          </w:p>
          <w:p w14:paraId="31AA643F" w14:textId="77777777" w:rsidR="00711444" w:rsidRPr="004D0DAA" w:rsidRDefault="00711444" w:rsidP="00AA2A4C">
            <w:pPr>
              <w:spacing w:after="0"/>
            </w:pPr>
            <w:r w:rsidRPr="004D0DAA">
              <w:t>0</w:t>
            </w:r>
            <w:r w:rsidRPr="004D0DAA">
              <w:tab/>
              <w:t>RLC acknowledged mode</w:t>
            </w:r>
          </w:p>
          <w:p w14:paraId="70D48BFE" w14:textId="77777777" w:rsidR="00711444" w:rsidRPr="004D0DAA" w:rsidRDefault="00711444" w:rsidP="00AA2A4C">
            <w:pPr>
              <w:spacing w:after="0"/>
              <w:ind w:left="270" w:hanging="270"/>
            </w:pPr>
            <w:r w:rsidRPr="004D0DAA">
              <w:t>1</w:t>
            </w:r>
            <w:r w:rsidRPr="004D0DAA">
              <w:tab/>
              <w:t>RLC unacknowledged mode. For the case of an EGPRS TBF an MS that supports RLC non-persistent mode shall respond to this indication of RLC mode as described in the EGPRS Window Size IE (see sub-clause 12.5.2).</w:t>
            </w:r>
          </w:p>
          <w:p w14:paraId="250B7793" w14:textId="77777777" w:rsidR="00711444" w:rsidRPr="004D0DAA" w:rsidRDefault="00711444" w:rsidP="00AA2A4C">
            <w:pPr>
              <w:spacing w:after="0"/>
              <w:rPr>
                <w:b/>
              </w:rPr>
            </w:pPr>
          </w:p>
        </w:tc>
      </w:tr>
      <w:tr w:rsidR="00711444" w:rsidRPr="004D0DAA" w14:paraId="31D53041" w14:textId="77777777" w:rsidTr="00AA2A4C">
        <w:tblPrEx>
          <w:tblCellMar>
            <w:top w:w="0" w:type="dxa"/>
            <w:bottom w:w="0" w:type="dxa"/>
          </w:tblCellMar>
        </w:tblPrEx>
        <w:trPr>
          <w:cantSplit/>
        </w:trPr>
        <w:tc>
          <w:tcPr>
            <w:tcW w:w="9848" w:type="dxa"/>
          </w:tcPr>
          <w:p w14:paraId="791D528A" w14:textId="77777777" w:rsidR="00711444" w:rsidRPr="004D0DAA" w:rsidRDefault="00711444" w:rsidP="00AA2A4C">
            <w:pPr>
              <w:spacing w:after="0"/>
              <w:rPr>
                <w:bCs/>
              </w:rPr>
            </w:pPr>
            <w:r w:rsidRPr="004D0DAA">
              <w:rPr>
                <w:b/>
              </w:rPr>
              <w:lastRenderedPageBreak/>
              <w:t xml:space="preserve">Uplink Control Timeslot </w:t>
            </w:r>
            <w:r w:rsidRPr="004D0DAA">
              <w:rPr>
                <w:bCs/>
              </w:rPr>
              <w:t>(3 bit field)</w:t>
            </w:r>
          </w:p>
          <w:p w14:paraId="74F4684C" w14:textId="77777777" w:rsidR="00711444" w:rsidRPr="004D0DAA" w:rsidRDefault="00711444" w:rsidP="00AA2A4C">
            <w:r w:rsidRPr="004D0DAA">
              <w:t xml:space="preserve">In case of a BTTI configuration, </w:t>
            </w:r>
            <w:r w:rsidRPr="004D0DAA">
              <w:rPr>
                <w:bCs/>
              </w:rPr>
              <w:t xml:space="preserve">this field contains the timeslot number of the timeslot where the PACCH for the MS is located. </w:t>
            </w:r>
            <w:r w:rsidRPr="004D0DAA">
              <w:t xml:space="preserve">In case of an RTTI configuration, </w:t>
            </w:r>
            <w:r w:rsidRPr="004D0DAA">
              <w:rPr>
                <w:bCs/>
              </w:rPr>
              <w:t xml:space="preserve">this field contains the timeslot number of the timeslot </w:t>
            </w:r>
            <w:r w:rsidRPr="004D0DAA">
              <w:t xml:space="preserve">belonging to the uplink PDCH pair </w:t>
            </w:r>
            <w:r w:rsidRPr="004D0DAA">
              <w:rPr>
                <w:bCs/>
              </w:rPr>
              <w:t>where the PACCH/U for the MS is located. It is encoded as the binary representation of the timeslot number as defined in 3GPP TS 45.002.</w:t>
            </w:r>
          </w:p>
          <w:p w14:paraId="5F5228AA" w14:textId="77777777" w:rsidR="00711444" w:rsidRPr="004D0DAA" w:rsidRDefault="00711444" w:rsidP="00AA2A4C">
            <w:pPr>
              <w:spacing w:after="0"/>
              <w:rPr>
                <w:bCs/>
              </w:rPr>
            </w:pPr>
            <w:r w:rsidRPr="004D0DAA">
              <w:rPr>
                <w:b/>
              </w:rPr>
              <w:t xml:space="preserve">Uplink Control Timeslot C1 </w:t>
            </w:r>
            <w:r w:rsidRPr="004D0DAA">
              <w:rPr>
                <w:bCs/>
              </w:rPr>
              <w:t>(3 bit field)</w:t>
            </w:r>
          </w:p>
          <w:p w14:paraId="6DEEE1BD" w14:textId="77777777" w:rsidR="00711444" w:rsidRPr="004D0DAA" w:rsidRDefault="00711444" w:rsidP="00AA2A4C">
            <w:r w:rsidRPr="004D0DAA">
              <w:t xml:space="preserve">In case of a BTTI configuration, </w:t>
            </w:r>
            <w:r w:rsidRPr="004D0DAA">
              <w:rPr>
                <w:bCs/>
              </w:rPr>
              <w:t xml:space="preserve">this field contains the timeslot number of the timeslot where the PACCH for the MS is located. </w:t>
            </w:r>
            <w:r w:rsidRPr="004D0DAA">
              <w:t xml:space="preserve">In case of an RTTI configuration, </w:t>
            </w:r>
            <w:r w:rsidRPr="004D0DAA">
              <w:rPr>
                <w:bCs/>
              </w:rPr>
              <w:t xml:space="preserve">this field contains the timeslot number of the timeslot </w:t>
            </w:r>
            <w:r w:rsidRPr="004D0DAA">
              <w:t xml:space="preserve">belonging to the uplink PDCH pair </w:t>
            </w:r>
            <w:r w:rsidRPr="004D0DAA">
              <w:rPr>
                <w:bCs/>
              </w:rPr>
              <w:t>where the PACCH/U for the MS is located. It is encoded as the binary representation of the timeslot number as defined in 3GPP TS 45.002.</w:t>
            </w:r>
            <w:r w:rsidRPr="004D0DAA">
              <w:t xml:space="preserve"> If the Assignment Type field is present and indicates 'Dual Carrier assignment', this field applies to carrier 1, otherwise this field applies to the carrier identified by the Carrier ID field.</w:t>
            </w:r>
          </w:p>
          <w:p w14:paraId="005703A7" w14:textId="77777777" w:rsidR="00711444" w:rsidRPr="004D0DAA" w:rsidRDefault="00711444" w:rsidP="00AA2A4C">
            <w:pPr>
              <w:spacing w:after="0"/>
              <w:rPr>
                <w:bCs/>
              </w:rPr>
            </w:pPr>
            <w:r w:rsidRPr="004D0DAA">
              <w:rPr>
                <w:b/>
              </w:rPr>
              <w:t xml:space="preserve">Uplink Control Timeslot C2 </w:t>
            </w:r>
            <w:r w:rsidRPr="004D0DAA">
              <w:rPr>
                <w:bCs/>
              </w:rPr>
              <w:t>(3 bit field)</w:t>
            </w:r>
          </w:p>
          <w:p w14:paraId="2533D80A" w14:textId="77777777" w:rsidR="00711444" w:rsidRPr="004D0DAA" w:rsidRDefault="00711444" w:rsidP="00AA2A4C">
            <w:pPr>
              <w:spacing w:after="0"/>
              <w:rPr>
                <w:bCs/>
              </w:rPr>
            </w:pPr>
            <w:r w:rsidRPr="004D0DAA">
              <w:t xml:space="preserve">If the Assignment Type field is present and indicates 'Dual Carrier assignment', </w:t>
            </w:r>
            <w:r w:rsidRPr="004D0DAA">
              <w:rPr>
                <w:bCs/>
              </w:rPr>
              <w:t xml:space="preserve">this field contains the timeslot number on carrier 2 of the timeslot where the PACCH for the MS is located </w:t>
            </w:r>
            <w:r w:rsidRPr="004D0DAA">
              <w:t xml:space="preserve">in case of a BTTI configuration, or </w:t>
            </w:r>
            <w:r w:rsidRPr="004D0DAA">
              <w:rPr>
                <w:bCs/>
              </w:rPr>
              <w:t xml:space="preserve">the timeslot number of the timeslot </w:t>
            </w:r>
            <w:r w:rsidRPr="004D0DAA">
              <w:t xml:space="preserve">belonging to the uplink PDCH pair </w:t>
            </w:r>
            <w:r w:rsidRPr="004D0DAA">
              <w:rPr>
                <w:bCs/>
              </w:rPr>
              <w:t>where the PACCH/U for the MS is located i</w:t>
            </w:r>
            <w:r w:rsidRPr="004D0DAA">
              <w:t>n case of an RTTI configuration</w:t>
            </w:r>
            <w:r w:rsidRPr="004D0DAA">
              <w:rPr>
                <w:bCs/>
              </w:rPr>
              <w:t>. It is encoded as the binary representation of the timeslot number as defined in 3GPP TS 45.002.</w:t>
            </w:r>
          </w:p>
          <w:p w14:paraId="50F3BE37" w14:textId="77777777" w:rsidR="00711444" w:rsidRPr="004D0DAA" w:rsidRDefault="00711444" w:rsidP="00AA2A4C">
            <w:pPr>
              <w:spacing w:after="0"/>
              <w:rPr>
                <w:b/>
              </w:rPr>
            </w:pPr>
          </w:p>
        </w:tc>
      </w:tr>
      <w:tr w:rsidR="00711444" w:rsidRPr="004D0DAA" w14:paraId="1E84C1DD" w14:textId="77777777" w:rsidTr="00AA2A4C">
        <w:tblPrEx>
          <w:tblCellMar>
            <w:top w:w="0" w:type="dxa"/>
            <w:bottom w:w="0" w:type="dxa"/>
          </w:tblCellMar>
        </w:tblPrEx>
        <w:trPr>
          <w:cantSplit/>
        </w:trPr>
        <w:tc>
          <w:tcPr>
            <w:tcW w:w="9848" w:type="dxa"/>
          </w:tcPr>
          <w:p w14:paraId="5AA8F325" w14:textId="77777777" w:rsidR="00711444" w:rsidRPr="004D0DAA" w:rsidRDefault="00711444" w:rsidP="00AA2A4C">
            <w:pPr>
              <w:rPr>
                <w:b/>
              </w:rPr>
            </w:pPr>
            <w:r w:rsidRPr="004D0DAA">
              <w:rPr>
                <w:b/>
              </w:rPr>
              <w:t>Packet Timing Advance</w:t>
            </w:r>
            <w:r w:rsidRPr="004D0DAA">
              <w:br/>
              <w:t>This information element is defined in sub-clause 12.12.</w:t>
            </w:r>
          </w:p>
        </w:tc>
      </w:tr>
      <w:tr w:rsidR="00711444" w:rsidRPr="004D0DAA" w14:paraId="4DE837C0" w14:textId="77777777" w:rsidTr="00AA2A4C">
        <w:tblPrEx>
          <w:tblCellMar>
            <w:top w:w="0" w:type="dxa"/>
            <w:bottom w:w="0" w:type="dxa"/>
          </w:tblCellMar>
        </w:tblPrEx>
        <w:trPr>
          <w:cantSplit/>
        </w:trPr>
        <w:tc>
          <w:tcPr>
            <w:tcW w:w="9848" w:type="dxa"/>
          </w:tcPr>
          <w:p w14:paraId="660DF295" w14:textId="77777777" w:rsidR="00711444" w:rsidRPr="004D0DAA" w:rsidRDefault="00711444" w:rsidP="00AA2A4C">
            <w:r w:rsidRPr="004D0DAA">
              <w:rPr>
                <w:b/>
              </w:rPr>
              <w:t>Frequency Parameters</w:t>
            </w:r>
            <w:r w:rsidRPr="004D0DAA">
              <w:br/>
              <w:t>This information element, if present, assigns frequency parameters to the uplink TBF. If this information element is not present the mobile station shall use its previously assigned frequency parameters. This information element is defined in sub-clause 12.8.</w:t>
            </w:r>
          </w:p>
          <w:p w14:paraId="402019EB" w14:textId="77777777" w:rsidR="00711444" w:rsidRPr="004D0DAA" w:rsidRDefault="00711444" w:rsidP="00AA2A4C">
            <w:r w:rsidRPr="004D0DAA">
              <w:rPr>
                <w:rFonts w:cs="Arial"/>
                <w:b/>
                <w:bCs/>
              </w:rPr>
              <w:t>Frequency Parameters C1, Frequency Parameters C2</w:t>
            </w:r>
            <w:r w:rsidRPr="004D0DAA">
              <w:rPr>
                <w:rFonts w:cs="Arial"/>
                <w:b/>
                <w:bCs/>
              </w:rPr>
              <w:br/>
            </w:r>
            <w:r w:rsidRPr="004D0DAA">
              <w:t>These information elements are coded as defined in sub-clause 12.8. See sub-clause 11.2.7 for the usage of these information elements.</w:t>
            </w:r>
          </w:p>
          <w:p w14:paraId="2A8F1368" w14:textId="77777777" w:rsidR="00711444" w:rsidRPr="004D0DAA" w:rsidRDefault="00711444" w:rsidP="00AA2A4C">
            <w:pPr>
              <w:rPr>
                <w:b/>
              </w:rPr>
            </w:pPr>
            <w:r w:rsidRPr="004D0DAA">
              <w:rPr>
                <w:rFonts w:cs="Arial"/>
                <w:b/>
                <w:bCs/>
              </w:rPr>
              <w:t xml:space="preserve">Dual Carrier Frequency Parameters </w:t>
            </w:r>
            <w:r w:rsidRPr="004D0DAA">
              <w:rPr>
                <w:rFonts w:cs="Arial"/>
                <w:b/>
                <w:bCs/>
              </w:rPr>
              <w:br/>
            </w:r>
            <w:r w:rsidRPr="004D0DAA">
              <w:t>This information element, if present, assigns frequency parameters to the uplink TBF for both carriers in a dual carrier configuration. This information element is defined in sub-clause 12.8.2.</w:t>
            </w:r>
          </w:p>
        </w:tc>
      </w:tr>
      <w:tr w:rsidR="00711444" w:rsidRPr="004D0DAA" w14:paraId="4B8287C3" w14:textId="77777777" w:rsidTr="00AA2A4C">
        <w:tblPrEx>
          <w:tblCellMar>
            <w:top w:w="0" w:type="dxa"/>
            <w:bottom w:w="0" w:type="dxa"/>
          </w:tblCellMar>
        </w:tblPrEx>
        <w:trPr>
          <w:cantSplit/>
        </w:trPr>
        <w:tc>
          <w:tcPr>
            <w:tcW w:w="9848" w:type="dxa"/>
          </w:tcPr>
          <w:p w14:paraId="60AF98B7" w14:textId="77777777" w:rsidR="00711444" w:rsidRPr="004D0DAA" w:rsidRDefault="00711444" w:rsidP="00AA2A4C">
            <w:pPr>
              <w:rPr>
                <w:b/>
              </w:rPr>
            </w:pPr>
            <w:r w:rsidRPr="004D0DAA">
              <w:rPr>
                <w:b/>
              </w:rPr>
              <w:t>EXTENDED_DYNAMIC_ALLOCATION</w:t>
            </w:r>
            <w:r w:rsidRPr="004D0DAA">
              <w:t xml:space="preserve"> (1 bit field)</w:t>
            </w:r>
            <w:r w:rsidRPr="004D0DAA">
              <w:br/>
              <w:t>This information field indicates the medium access mode to be used during the TBF.</w:t>
            </w:r>
            <w:r w:rsidRPr="004D0DAA">
              <w:br/>
              <w:t>0</w:t>
            </w:r>
            <w:r w:rsidRPr="004D0DAA">
              <w:tab/>
              <w:t>Dynamic Allocation</w:t>
            </w:r>
            <w:r w:rsidRPr="004D0DAA">
              <w:br/>
              <w:t>1</w:t>
            </w:r>
            <w:r w:rsidRPr="004D0DAA">
              <w:tab/>
              <w:t>Extended Dynamic Allocation</w:t>
            </w:r>
          </w:p>
        </w:tc>
      </w:tr>
      <w:tr w:rsidR="00711444" w:rsidRPr="004D0DAA" w14:paraId="6A000D21" w14:textId="77777777" w:rsidTr="00AA2A4C">
        <w:tblPrEx>
          <w:tblCellMar>
            <w:top w:w="0" w:type="dxa"/>
            <w:bottom w:w="0" w:type="dxa"/>
          </w:tblCellMar>
        </w:tblPrEx>
        <w:trPr>
          <w:cantSplit/>
        </w:trPr>
        <w:tc>
          <w:tcPr>
            <w:tcW w:w="9848" w:type="dxa"/>
          </w:tcPr>
          <w:p w14:paraId="699F112A" w14:textId="77777777" w:rsidR="00711444" w:rsidRPr="004D0DAA" w:rsidRDefault="00711444" w:rsidP="00AA2A4C">
            <w:r w:rsidRPr="004D0DAA">
              <w:rPr>
                <w:b/>
              </w:rPr>
              <w:t>TBF Starting Time</w:t>
            </w:r>
            <w:r w:rsidRPr="004D0DAA">
              <w:br/>
              <w:t>The TBF Starting Time field contains a starting time that indicates the frame number during which the assigned TBF may start.</w:t>
            </w:r>
          </w:p>
          <w:p w14:paraId="1662637C" w14:textId="77777777" w:rsidR="00711444" w:rsidRPr="004D0DAA" w:rsidRDefault="00711444" w:rsidP="00AA2A4C">
            <w:r w:rsidRPr="004D0DAA">
              <w:t>In case of dynamic allocation, if no uplink TBF is in progress, the MS need not monitor the USF field until the TDMA frame number occurs. When the indicated TDMA frame number occurs, the mobile station shall immediately begin to monitor the USF field and use the new assigned uplink TBF parameters when its USF has occurred. If an uplink TBF is already in progress, the MS shall continue to use the parameters of the existing TBF until the TDMA frame number occurs. When the indicated TDMA frame number occurs, the mobile station shall immediately begin to monitor the USF field and use the new assigned uplink TBF parameters when its USF has occurred.</w:t>
            </w:r>
          </w:p>
          <w:p w14:paraId="578F3CC0" w14:textId="77777777" w:rsidR="00711444" w:rsidRPr="004D0DAA" w:rsidRDefault="00711444" w:rsidP="00AA2A4C">
            <w:r w:rsidRPr="004D0DAA">
              <w:t>In case of single block allocation, the mobile station shall use the assigned timeslot during the RLC/MAC block whose first TDMA burst occurs in the indicated TDMA frame number.</w:t>
            </w:r>
          </w:p>
          <w:p w14:paraId="2D1A6E23" w14:textId="77777777" w:rsidR="00711444" w:rsidRPr="004D0DAA" w:rsidRDefault="00711444" w:rsidP="00AA2A4C">
            <w:pPr>
              <w:rPr>
                <w:b/>
              </w:rPr>
            </w:pPr>
            <w:r w:rsidRPr="004D0DAA">
              <w:t>This information element is encoded as the Starting Frame Number Description IE. See sub-clause 12.21.</w:t>
            </w:r>
          </w:p>
        </w:tc>
      </w:tr>
      <w:tr w:rsidR="00711444" w:rsidRPr="004D0DAA" w14:paraId="26E3912E" w14:textId="77777777" w:rsidTr="00AA2A4C">
        <w:tblPrEx>
          <w:tblCellMar>
            <w:top w:w="0" w:type="dxa"/>
            <w:bottom w:w="0" w:type="dxa"/>
          </w:tblCellMar>
        </w:tblPrEx>
        <w:trPr>
          <w:cantSplit/>
        </w:trPr>
        <w:tc>
          <w:tcPr>
            <w:tcW w:w="9848" w:type="dxa"/>
          </w:tcPr>
          <w:p w14:paraId="1F0491B8" w14:textId="77777777" w:rsidR="00711444" w:rsidRPr="004D0DAA" w:rsidRDefault="00711444" w:rsidP="00AA2A4C">
            <w:r w:rsidRPr="004D0DAA">
              <w:rPr>
                <w:b/>
              </w:rPr>
              <w:lastRenderedPageBreak/>
              <w:t xml:space="preserve">MS_TIMESLOT_ALLOCATION </w:t>
            </w:r>
            <w:r w:rsidRPr="004D0DAA">
              <w:rPr>
                <w:bCs/>
              </w:rPr>
              <w:t>(8 bit field)</w:t>
            </w:r>
            <w:r w:rsidRPr="004D0DAA">
              <w:rPr>
                <w:bCs/>
              </w:rPr>
              <w:br/>
            </w:r>
            <w:r w:rsidRPr="004D0DAA">
              <w:t>This information field indicates the timeslots assigned for use by the MS for the assigned uplink TBFs. Bit 8 indicates the status of timeslot 0, bit 7 indicates the status of timeslot 1, etc. At least one timeslot must be assigned.</w:t>
            </w:r>
            <w:r w:rsidRPr="004D0DAA">
              <w:rPr>
                <w:lang w:eastAsia="ko-KR"/>
              </w:rPr>
              <w:t xml:space="preserve"> In case of a timeslot allocation without power control parameters, the values of the power control parameters for assigned timeslots shall be the default values as specified in 3GPP TS 45.008. However, in case some of the timeslots assigned by this message are already used by the mobile station, the mobile station shall continue to use the current power control parameters for these timeslots.</w:t>
            </w:r>
          </w:p>
          <w:p w14:paraId="0D56F472" w14:textId="77777777" w:rsidR="00711444" w:rsidRPr="004D0DAA" w:rsidRDefault="00711444" w:rsidP="00AA2A4C">
            <w:r w:rsidRPr="004D0DAA">
              <w:t>0</w:t>
            </w:r>
            <w:r w:rsidRPr="004D0DAA">
              <w:tab/>
              <w:t>Timeslot is not assigned</w:t>
            </w:r>
            <w:r w:rsidRPr="004D0DAA">
              <w:br/>
              <w:t>1</w:t>
            </w:r>
            <w:r w:rsidRPr="004D0DAA">
              <w:tab/>
              <w:t>Timeslot is assigned</w:t>
            </w:r>
          </w:p>
          <w:p w14:paraId="5BEC8085" w14:textId="77777777" w:rsidR="00711444" w:rsidRPr="004D0DAA" w:rsidRDefault="00711444" w:rsidP="00AA2A4C">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The usage of these fields is as specified in sub-clause 11.2.7.</w:t>
            </w:r>
          </w:p>
          <w:p w14:paraId="1B0B569F" w14:textId="77777777" w:rsidR="00711444" w:rsidRPr="004D0DAA" w:rsidRDefault="00711444" w:rsidP="00AA2A4C">
            <w:r w:rsidRPr="004D0DAA">
              <w:t>At least one timeslot must be assigned.</w:t>
            </w:r>
            <w:r w:rsidRPr="004D0DAA">
              <w:rPr>
                <w:lang w:eastAsia="ko-KR"/>
              </w:rPr>
              <w:t xml:space="preserve"> In case of a timeslot allocation without power control parameters, the values of the power control parameters for assigned timeslots shall be the default values as specified in 3GPP TS 45.008. However, in case some of the timeslots assigned by this message are already used by the mobile station, the mobile station shall continue to use the current power control parameters for these timeslots.</w:t>
            </w:r>
          </w:p>
          <w:p w14:paraId="1D06BF3F" w14:textId="77777777" w:rsidR="00711444" w:rsidRPr="004D0DAA" w:rsidRDefault="00711444" w:rsidP="00AA2A4C">
            <w:r w:rsidRPr="004D0DAA">
              <w:t>0</w:t>
            </w:r>
            <w:r w:rsidRPr="004D0DAA">
              <w:tab/>
              <w:t>Timeslot is not assigned</w:t>
            </w:r>
            <w:r w:rsidRPr="004D0DAA">
              <w:br/>
              <w:t>1</w:t>
            </w:r>
            <w:r w:rsidRPr="004D0DAA">
              <w:tab/>
              <w:t>Timeslot is assigned</w:t>
            </w:r>
          </w:p>
        </w:tc>
      </w:tr>
      <w:tr w:rsidR="00711444" w:rsidRPr="004D0DAA" w14:paraId="781392FA" w14:textId="77777777" w:rsidTr="00AA2A4C">
        <w:tblPrEx>
          <w:tblCellMar>
            <w:top w:w="0" w:type="dxa"/>
            <w:bottom w:w="0" w:type="dxa"/>
          </w:tblCellMar>
        </w:tblPrEx>
        <w:trPr>
          <w:cantSplit/>
        </w:trPr>
        <w:tc>
          <w:tcPr>
            <w:tcW w:w="9848" w:type="dxa"/>
          </w:tcPr>
          <w:p w14:paraId="03455B85" w14:textId="77777777" w:rsidR="00711444" w:rsidRPr="004D0DAA" w:rsidRDefault="00711444" w:rsidP="00AA2A4C">
            <w:pPr>
              <w:rPr>
                <w:bCs/>
              </w:rPr>
            </w:pPr>
            <w:r w:rsidRPr="004D0DAA">
              <w:rPr>
                <w:b/>
              </w:rPr>
              <w:t xml:space="preserve">TBF_TIMESLOT_ALLOCATION </w:t>
            </w:r>
            <w:r w:rsidRPr="004D0DAA">
              <w:rPr>
                <w:bCs/>
              </w:rPr>
              <w:t>(N bit field)</w:t>
            </w:r>
            <w:r w:rsidRPr="004D0DAA">
              <w:rPr>
                <w:bCs/>
              </w:rPr>
              <w:br/>
              <w:t>This information field indicates the timeslots assigned to a particular uplink TBF, within the timeslots assigned to the MS in the Global Timeslot description. This field contains as many bits as there are timeslots assigned to the MS in the Global Timeslot description. Bit N indicates the status of the lowest numbered timeslot in the timeslots assigned to the MS in the Global Timeslot description. Bit N-1 (if any) indicates the status of the next lowest numbered timeslot, etc. At least one timeslot must be assigned per TBF</w:t>
            </w:r>
          </w:p>
          <w:p w14:paraId="16D4AD93" w14:textId="77777777" w:rsidR="00711444" w:rsidRPr="004D0DAA" w:rsidRDefault="00711444" w:rsidP="00AA2A4C">
            <w:pPr>
              <w:rPr>
                <w:bCs/>
              </w:rPr>
            </w:pPr>
            <w:r w:rsidRPr="004D0DAA">
              <w:rPr>
                <w:bCs/>
              </w:rPr>
              <w:t>0</w:t>
            </w:r>
            <w:r w:rsidRPr="004D0DAA">
              <w:rPr>
                <w:bCs/>
              </w:rPr>
              <w:tab/>
              <w:t>Timeslot is not assigned</w:t>
            </w:r>
            <w:r w:rsidRPr="004D0DAA">
              <w:rPr>
                <w:bCs/>
              </w:rPr>
              <w:br/>
              <w:t>1</w:t>
            </w:r>
            <w:r w:rsidRPr="004D0DAA">
              <w:rPr>
                <w:bCs/>
              </w:rPr>
              <w:tab/>
              <w:t>Timeslot is assigned</w:t>
            </w:r>
          </w:p>
        </w:tc>
      </w:tr>
      <w:tr w:rsidR="00711444" w:rsidRPr="004D0DAA" w14:paraId="0380BF01" w14:textId="77777777" w:rsidTr="00AA2A4C">
        <w:tblPrEx>
          <w:tblCellMar>
            <w:top w:w="0" w:type="dxa"/>
            <w:bottom w:w="0" w:type="dxa"/>
          </w:tblCellMar>
        </w:tblPrEx>
        <w:trPr>
          <w:cantSplit/>
        </w:trPr>
        <w:tc>
          <w:tcPr>
            <w:tcW w:w="9848" w:type="dxa"/>
          </w:tcPr>
          <w:p w14:paraId="21FA88F8" w14:textId="77777777" w:rsidR="00711444" w:rsidRPr="004D0DAA" w:rsidRDefault="00711444" w:rsidP="00AA2A4C">
            <w:r w:rsidRPr="004D0DAA">
              <w:rPr>
                <w:b/>
              </w:rPr>
              <w:t>USF_ALLOCATION</w:t>
            </w:r>
            <w:r w:rsidRPr="004D0DAA">
              <w:t xml:space="preserve"> (3 bit field)</w:t>
            </w:r>
          </w:p>
          <w:p w14:paraId="23654738" w14:textId="77777777" w:rsidR="00711444" w:rsidRPr="004D0DAA" w:rsidRDefault="00711444" w:rsidP="00AA2A4C">
            <w:r w:rsidRPr="004D0DAA">
              <w:t>This field indicates the USF value assigned to the MS for one or more assigned timeslots. This field is encoded as a binary presentation of the USF value as defined in sub-clause 10.4.1.</w:t>
            </w:r>
          </w:p>
          <w:p w14:paraId="7F6A00DD" w14:textId="77777777" w:rsidR="00711444" w:rsidRPr="004D0DAA" w:rsidRDefault="00711444" w:rsidP="00AA2A4C">
            <w:r w:rsidRPr="004D0DAA">
              <w:rPr>
                <w:b/>
                <w:bCs/>
              </w:rPr>
              <w:t xml:space="preserve">USF_ALLOCATION_C1, USF_ALLOCATION_C2 </w:t>
            </w:r>
            <w:r w:rsidRPr="004D0DAA">
              <w:t>(3 bit field)</w:t>
            </w:r>
          </w:p>
          <w:p w14:paraId="20B0101A" w14:textId="77777777" w:rsidR="00711444" w:rsidRPr="004D0DAA" w:rsidRDefault="00711444" w:rsidP="00AA2A4C">
            <w:r w:rsidRPr="004D0DAA">
              <w:t xml:space="preserve">These fields indicate the USF value assigned for all timeslots on the relevant carrier. </w:t>
            </w:r>
          </w:p>
          <w:p w14:paraId="1D668BFD" w14:textId="77777777" w:rsidR="00711444" w:rsidRPr="004D0DAA" w:rsidRDefault="00711444" w:rsidP="00AA2A4C">
            <w:r w:rsidRPr="004D0DAA">
              <w:t>If the Assignment Type field is present and indicates 'Dual Carrier assignment', USF_ALLOCATION_C1 applies to carrier 1, otherwise it applies to the carrier identified by the Carrier ID field.</w:t>
            </w:r>
          </w:p>
          <w:p w14:paraId="02153AE3" w14:textId="77777777" w:rsidR="00711444" w:rsidRPr="004D0DAA" w:rsidRDefault="00711444" w:rsidP="00AA2A4C">
            <w:pPr>
              <w:rPr>
                <w:b/>
              </w:rPr>
            </w:pPr>
            <w:r w:rsidRPr="004D0DAA">
              <w:t>If the Assignment Type field is present and indicates 'Dual Carrier assignment', and USF_ALLOCATION_C1 is present and USF_ALLOCATION_C2 is absent, the value specified by USF_ALLOCATION_C1 applies to timeslots assigned on both carriers.</w:t>
            </w:r>
          </w:p>
        </w:tc>
      </w:tr>
      <w:tr w:rsidR="00711444" w:rsidRPr="004D0DAA" w14:paraId="6504D423" w14:textId="77777777" w:rsidTr="00AA2A4C">
        <w:tblPrEx>
          <w:tblCellMar>
            <w:top w:w="0" w:type="dxa"/>
            <w:bottom w:w="0" w:type="dxa"/>
          </w:tblCellMar>
        </w:tblPrEx>
        <w:trPr>
          <w:cantSplit/>
        </w:trPr>
        <w:tc>
          <w:tcPr>
            <w:tcW w:w="9848" w:type="dxa"/>
          </w:tcPr>
          <w:p w14:paraId="7D2C471A"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26B0BB0E"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134427EC" w14:textId="77777777" w:rsidTr="00AA2A4C">
        <w:tblPrEx>
          <w:tblCellMar>
            <w:top w:w="0" w:type="dxa"/>
            <w:bottom w:w="0" w:type="dxa"/>
          </w:tblCellMar>
        </w:tblPrEx>
        <w:trPr>
          <w:cantSplit/>
        </w:trPr>
        <w:tc>
          <w:tcPr>
            <w:tcW w:w="9848" w:type="dxa"/>
          </w:tcPr>
          <w:p w14:paraId="054B2A92" w14:textId="77777777" w:rsidR="00711444" w:rsidRPr="004D0DAA" w:rsidRDefault="00711444" w:rsidP="00AA2A4C">
            <w:r w:rsidRPr="004D0DAA">
              <w:rPr>
                <w:b/>
              </w:rPr>
              <w:t>ALPHA</w:t>
            </w:r>
            <w:r w:rsidRPr="004D0DAA">
              <w:t xml:space="preserve"> (4 bit field)</w:t>
            </w:r>
            <w:r w:rsidRPr="004D0DAA">
              <w:br/>
              <w:t>For encoding and description see the Global Power Control Parameters IE.</w:t>
            </w:r>
          </w:p>
          <w:p w14:paraId="2FACCD13" w14:textId="77777777" w:rsidR="00711444" w:rsidRPr="004D0DAA" w:rsidRDefault="00711444" w:rsidP="00AA2A4C">
            <w:pPr>
              <w:rPr>
                <w:b/>
              </w:rPr>
            </w:pPr>
            <w:r w:rsidRPr="004D0DAA">
              <w:rPr>
                <w:b/>
              </w:rPr>
              <w:t>ALPHA_C1, ALPHA_C2</w:t>
            </w:r>
            <w:r w:rsidRPr="004D0DAA">
              <w:t xml:space="preserve"> (4 bit field)</w:t>
            </w:r>
            <w:r w:rsidRPr="004D0DAA">
              <w:br/>
              <w:t>These fields indicate the value of the parameter alpha to be applied in power control. For encoding and description see the Global Power Control Parameters IE. For usage of these parameters, see sub-clause 11.2.29.</w:t>
            </w:r>
          </w:p>
        </w:tc>
      </w:tr>
      <w:tr w:rsidR="00711444" w:rsidRPr="004D0DAA" w14:paraId="505CA7AD" w14:textId="77777777" w:rsidTr="00AA2A4C">
        <w:tblPrEx>
          <w:tblCellMar>
            <w:top w:w="0" w:type="dxa"/>
            <w:bottom w:w="0" w:type="dxa"/>
          </w:tblCellMar>
        </w:tblPrEx>
        <w:trPr>
          <w:cantSplit/>
        </w:trPr>
        <w:tc>
          <w:tcPr>
            <w:tcW w:w="9848" w:type="dxa"/>
          </w:tcPr>
          <w:p w14:paraId="38BC504B" w14:textId="77777777" w:rsidR="00711444" w:rsidRPr="004D0DAA" w:rsidRDefault="00711444" w:rsidP="00AA2A4C">
            <w:pPr>
              <w:spacing w:after="0"/>
            </w:pPr>
            <w:r w:rsidRPr="004D0DAA">
              <w:rPr>
                <w:b/>
              </w:rPr>
              <w:lastRenderedPageBreak/>
              <w:t>N_PAIRS</w:t>
            </w:r>
            <w:r w:rsidRPr="004D0DAA">
              <w:t xml:space="preserve"> (3 bit field)</w:t>
            </w:r>
          </w:p>
          <w:p w14:paraId="2B6112A2" w14:textId="77777777" w:rsidR="00711444" w:rsidRPr="004D0DAA" w:rsidRDefault="00711444" w:rsidP="00AA2A4C">
            <w:pPr>
              <w:spacing w:after="0"/>
            </w:pPr>
            <w:r w:rsidRPr="004D0DAA">
              <w:t>This field indicate the number of PDCH pairs for which GAMMA values are signalled. The number PDCH pairs is given as the binary value of the corresponding field plus one.</w:t>
            </w:r>
          </w:p>
          <w:p w14:paraId="46148BF8" w14:textId="77777777" w:rsidR="00711444" w:rsidRPr="004D0DAA" w:rsidRDefault="00711444" w:rsidP="00AA2A4C">
            <w:pPr>
              <w:spacing w:after="0"/>
            </w:pPr>
          </w:p>
          <w:p w14:paraId="1D4A8F00" w14:textId="77777777" w:rsidR="00711444" w:rsidRPr="004D0DAA" w:rsidRDefault="00711444" w:rsidP="00AA2A4C">
            <w:pPr>
              <w:rPr>
                <w:b/>
              </w:rPr>
            </w:pPr>
            <w:r w:rsidRPr="004D0DAA">
              <w:t>See Annex K for details of the coding of this field.</w:t>
            </w:r>
          </w:p>
        </w:tc>
      </w:tr>
      <w:tr w:rsidR="00711444" w:rsidRPr="004D0DAA" w14:paraId="6940C433" w14:textId="77777777" w:rsidTr="00AA2A4C">
        <w:tblPrEx>
          <w:tblCellMar>
            <w:top w:w="0" w:type="dxa"/>
            <w:bottom w:w="0" w:type="dxa"/>
          </w:tblCellMar>
        </w:tblPrEx>
        <w:trPr>
          <w:cantSplit/>
        </w:trPr>
        <w:tc>
          <w:tcPr>
            <w:tcW w:w="9848" w:type="dxa"/>
          </w:tcPr>
          <w:p w14:paraId="0D9965ED" w14:textId="77777777" w:rsidR="00711444" w:rsidRPr="004D0DAA" w:rsidRDefault="00711444" w:rsidP="00AA2A4C">
            <w:pPr>
              <w:tabs>
                <w:tab w:val="left" w:pos="1134"/>
              </w:tabs>
            </w:pPr>
            <w:r w:rsidRPr="004D0DAA">
              <w:rPr>
                <w:b/>
              </w:rPr>
              <w:t>GAMMA, GAMMA_TN</w:t>
            </w:r>
            <w:r w:rsidRPr="004D0DAA">
              <w:t xml:space="preserve"> (5 bit field)</w:t>
            </w:r>
            <w:r w:rsidRPr="004D0DAA">
              <w:br/>
              <w:t xml:space="preserve">The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50E7F2EA"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p w14:paraId="6D5ECF3A" w14:textId="77777777" w:rsidR="00711444" w:rsidRPr="004D0DAA" w:rsidRDefault="00711444" w:rsidP="00AA2A4C">
            <w:pPr>
              <w:tabs>
                <w:tab w:val="left" w:pos="1134"/>
              </w:tabs>
              <w:rPr>
                <w:b/>
              </w:rPr>
            </w:pPr>
            <w:r w:rsidRPr="004D0DAA">
              <w:rPr>
                <w:b/>
              </w:rPr>
              <w:t>GAMMA_TN_C1</w:t>
            </w:r>
            <w:r w:rsidRPr="004D0DAA">
              <w:t xml:space="preserve"> (5 bit field), </w:t>
            </w:r>
            <w:r w:rsidRPr="004D0DAA">
              <w:rPr>
                <w:b/>
              </w:rPr>
              <w:t>GAMMA_TN_C2</w:t>
            </w:r>
            <w:r w:rsidRPr="004D0DAA">
              <w:t xml:space="preserve"> (5 bit field)</w:t>
            </w:r>
            <w:r w:rsidRPr="004D0DAA">
              <w:br/>
              <w:t>For usage and coding of these parameters, see sub-clause 11.2.29.</w:t>
            </w:r>
          </w:p>
        </w:tc>
      </w:tr>
      <w:tr w:rsidR="00711444" w:rsidRPr="004D0DAA" w14:paraId="5450D3DC" w14:textId="77777777" w:rsidTr="00AA2A4C">
        <w:tblPrEx>
          <w:tblCellMar>
            <w:top w:w="0" w:type="dxa"/>
            <w:bottom w:w="0" w:type="dxa"/>
          </w:tblCellMar>
        </w:tblPrEx>
        <w:trPr>
          <w:cantSplit/>
        </w:trPr>
        <w:tc>
          <w:tcPr>
            <w:tcW w:w="9848" w:type="dxa"/>
          </w:tcPr>
          <w:p w14:paraId="74B3DA86" w14:textId="77777777" w:rsidR="00711444" w:rsidRPr="004D0DAA" w:rsidRDefault="00711444" w:rsidP="00AA2A4C">
            <w:r w:rsidRPr="004D0DAA">
              <w:rPr>
                <w:b/>
              </w:rPr>
              <w:t>P0</w:t>
            </w:r>
            <w:r w:rsidRPr="004D0DAA">
              <w:t xml:space="preserve"> (4 bit field)</w:t>
            </w:r>
            <w:r w:rsidRPr="004D0DAA">
              <w:br/>
              <w:t>This field is an optional downlink power control parameter. If P0 is present, then downlink power control is used; otherwise, if P0 is not present, then downlink power control is not used. It is encoded as follows:</w:t>
            </w:r>
          </w:p>
          <w:p w14:paraId="32D34C81" w14:textId="77777777" w:rsidR="00711444" w:rsidRPr="004D0DAA" w:rsidRDefault="00711444" w:rsidP="00AA2A4C">
            <w:pPr>
              <w:tabs>
                <w:tab w:val="left" w:pos="1134"/>
              </w:tabs>
            </w:pPr>
            <w:r w:rsidRPr="004D0DAA">
              <w:t>bit</w:t>
            </w:r>
            <w:r w:rsidRPr="004D0DAA">
              <w:br/>
              <w:t xml:space="preserve">4 3 2 1 </w:t>
            </w:r>
            <w:r w:rsidRPr="004D0DAA">
              <w:br/>
              <w:t>0 0 0 0</w:t>
            </w:r>
            <w:r w:rsidRPr="004D0DAA">
              <w:tab/>
              <w:t>P0 = 0 dB</w:t>
            </w:r>
            <w:r w:rsidRPr="004D0DAA">
              <w:br/>
              <w:t>0 0 0 1</w:t>
            </w:r>
            <w:r w:rsidRPr="004D0DAA">
              <w:tab/>
              <w:t>P0 = 2 dB</w:t>
            </w:r>
            <w:r w:rsidRPr="004D0DAA">
              <w:br/>
              <w:t>0 0 1 0</w:t>
            </w:r>
            <w:r w:rsidRPr="004D0DAA">
              <w:tab/>
              <w:t>P0 = 4 dB</w:t>
            </w:r>
            <w:r w:rsidRPr="004D0DAA">
              <w:br/>
              <w:t>:</w:t>
            </w:r>
            <w:r w:rsidRPr="004D0DAA">
              <w:br/>
              <w:t>1 1 1 1</w:t>
            </w:r>
            <w:r w:rsidRPr="004D0DAA">
              <w:tab/>
              <w:t>P0 = 30 dB</w:t>
            </w:r>
          </w:p>
          <w:p w14:paraId="6F2AB439" w14:textId="77777777" w:rsidR="00711444" w:rsidRPr="004D0DAA" w:rsidRDefault="00711444" w:rsidP="00AA2A4C">
            <w:pPr>
              <w:tabs>
                <w:tab w:val="left" w:pos="993"/>
              </w:tabs>
              <w:rPr>
                <w:b/>
              </w:rPr>
            </w:pPr>
            <w:r w:rsidRPr="004D0DAA">
              <w:rPr>
                <w:b/>
              </w:rPr>
              <w:t>P0_C1, P0_C2</w:t>
            </w:r>
            <w:r w:rsidRPr="004D0DAA">
              <w:t xml:space="preserve"> (4 bit field)</w:t>
            </w:r>
            <w:r w:rsidRPr="004D0DAA">
              <w:br/>
              <w:t>For the usage of these fields, see sub-clause 11.2.29.</w:t>
            </w:r>
          </w:p>
        </w:tc>
      </w:tr>
      <w:tr w:rsidR="00711444" w:rsidRPr="004D0DAA" w14:paraId="4262A8BC" w14:textId="77777777" w:rsidTr="00AA2A4C">
        <w:tblPrEx>
          <w:tblCellMar>
            <w:top w:w="0" w:type="dxa"/>
            <w:bottom w:w="0" w:type="dxa"/>
          </w:tblCellMar>
        </w:tblPrEx>
        <w:trPr>
          <w:cantSplit/>
        </w:trPr>
        <w:tc>
          <w:tcPr>
            <w:tcW w:w="9848" w:type="dxa"/>
          </w:tcPr>
          <w:p w14:paraId="3BDC8127" w14:textId="77777777" w:rsidR="00711444" w:rsidRPr="004D0DAA" w:rsidRDefault="00711444" w:rsidP="00AA2A4C">
            <w:r w:rsidRPr="004D0DAA">
              <w:rPr>
                <w:b/>
              </w:rPr>
              <w:t xml:space="preserve">PR_MODE </w:t>
            </w:r>
            <w:r w:rsidRPr="004D0DAA">
              <w:t>(1 bit field)</w:t>
            </w:r>
            <w:r w:rsidRPr="004D0DAA">
              <w:br/>
              <w:t xml:space="preserve">This field indicates the PR Management mode, as defined in 3GPP TS 45.008. It is encoded as follows: </w:t>
            </w:r>
            <w:r w:rsidRPr="004D0DAA">
              <w:br/>
              <w:t>0</w:t>
            </w:r>
            <w:r w:rsidRPr="004D0DAA">
              <w:tab/>
              <w:t>PR mode A: for one addressed MS</w:t>
            </w:r>
            <w:r w:rsidRPr="004D0DAA">
              <w:br/>
              <w:t>1</w:t>
            </w:r>
            <w:r w:rsidRPr="004D0DAA">
              <w:tab/>
              <w:t>PR mode B: for all MS</w:t>
            </w:r>
          </w:p>
          <w:p w14:paraId="15539408" w14:textId="77777777" w:rsidR="00711444" w:rsidRPr="004D0DAA" w:rsidRDefault="00711444" w:rsidP="00AA2A4C">
            <w:pPr>
              <w:rPr>
                <w:b/>
              </w:rPr>
            </w:pPr>
            <w:r w:rsidRPr="004D0DAA">
              <w:rPr>
                <w:b/>
              </w:rPr>
              <w:t xml:space="preserve">PR_MODE_C1, PR_MODE_C2 </w:t>
            </w:r>
            <w:r w:rsidRPr="004D0DAA">
              <w:t>(1 bit field)</w:t>
            </w:r>
            <w:r w:rsidRPr="004D0DAA">
              <w:br/>
              <w:t>For the usage of these fields, see sub-clause 11.2.29.</w:t>
            </w:r>
          </w:p>
        </w:tc>
      </w:tr>
      <w:tr w:rsidR="00711444" w:rsidRPr="004D0DAA" w14:paraId="5C279439" w14:textId="77777777" w:rsidTr="00AA2A4C">
        <w:tblPrEx>
          <w:tblCellMar>
            <w:top w:w="0" w:type="dxa"/>
            <w:bottom w:w="0" w:type="dxa"/>
          </w:tblCellMar>
        </w:tblPrEx>
        <w:trPr>
          <w:cantSplit/>
        </w:trPr>
        <w:tc>
          <w:tcPr>
            <w:tcW w:w="9848" w:type="dxa"/>
          </w:tcPr>
          <w:p w14:paraId="5DF0061E" w14:textId="77777777" w:rsidR="00711444" w:rsidRPr="004D0DAA" w:rsidRDefault="00711444" w:rsidP="00AA2A4C">
            <w:pPr>
              <w:rPr>
                <w:b/>
              </w:rPr>
            </w:pPr>
            <w:r w:rsidRPr="004D0DAA">
              <w:rPr>
                <w:b/>
              </w:rPr>
              <w:t xml:space="preserve">Packet Extended Timing Advance </w:t>
            </w:r>
            <w:r w:rsidRPr="004D0DAA">
              <w:t>(2 bit field)</w:t>
            </w:r>
            <w:r w:rsidRPr="004D0DAA">
              <w:rPr>
                <w:b/>
              </w:rPr>
              <w:t xml:space="preserve"> </w:t>
            </w:r>
            <w:r w:rsidRPr="004D0DAA">
              <w:rPr>
                <w:b/>
              </w:rPr>
              <w:br/>
            </w:r>
            <w:r w:rsidRPr="004D0DAA">
              <w:t>This field is defined in sub-clause 12.12b.</w:t>
            </w:r>
          </w:p>
        </w:tc>
      </w:tr>
      <w:tr w:rsidR="00711444" w:rsidRPr="004D0DAA" w14:paraId="1C89F308" w14:textId="77777777" w:rsidTr="00AA2A4C">
        <w:tblPrEx>
          <w:tblCellMar>
            <w:top w:w="0" w:type="dxa"/>
            <w:bottom w:w="0" w:type="dxa"/>
          </w:tblCellMar>
        </w:tblPrEx>
        <w:trPr>
          <w:cantSplit/>
        </w:trPr>
        <w:tc>
          <w:tcPr>
            <w:tcW w:w="9848" w:type="dxa"/>
          </w:tcPr>
          <w:p w14:paraId="756E3B0D"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20DC5497" w14:textId="77777777" w:rsidR="00711444" w:rsidRPr="004D0DAA" w:rsidRDefault="00711444" w:rsidP="00AA2A4C">
            <w:pPr>
              <w:spacing w:after="0"/>
            </w:pPr>
            <w:r w:rsidRPr="004D0DAA">
              <w:t xml:space="preserve">This field contains the NPM Transfer Time limitation in case of RLC non-persistent mode </w:t>
            </w:r>
          </w:p>
          <w:p w14:paraId="3FA5E9DD" w14:textId="77777777" w:rsidR="00711444" w:rsidRPr="004D0DAA" w:rsidRDefault="00711444" w:rsidP="00AA2A4C">
            <w:pPr>
              <w:spacing w:after="0"/>
            </w:pPr>
          </w:p>
          <w:p w14:paraId="5B09A84A" w14:textId="77777777" w:rsidR="00711444" w:rsidRPr="004D0DAA" w:rsidRDefault="00711444" w:rsidP="00AA2A4C">
            <w:pPr>
              <w:spacing w:after="0"/>
            </w:pPr>
            <w:r w:rsidRPr="004D0DAA">
              <w:t>The list of NPM Transfer Time IEs in the Rel-7 additions is ordered as described by the loops in the earlier releases part. </w:t>
            </w:r>
          </w:p>
        </w:tc>
      </w:tr>
      <w:tr w:rsidR="00711444" w:rsidRPr="004D0DAA" w14:paraId="6102CFE0" w14:textId="77777777" w:rsidTr="00AA2A4C">
        <w:tblPrEx>
          <w:tblCellMar>
            <w:top w:w="0" w:type="dxa"/>
            <w:bottom w:w="0" w:type="dxa"/>
          </w:tblCellMar>
        </w:tblPrEx>
        <w:trPr>
          <w:cantSplit/>
        </w:trPr>
        <w:tc>
          <w:tcPr>
            <w:tcW w:w="9848" w:type="dxa"/>
          </w:tcPr>
          <w:p w14:paraId="733D2CB4" w14:textId="77777777" w:rsidR="00711444" w:rsidRPr="004D0DAA" w:rsidRDefault="00711444" w:rsidP="00AA2A4C">
            <w:r w:rsidRPr="004D0DAA">
              <w:rPr>
                <w:b/>
              </w:rPr>
              <w:t>Assignment Type</w:t>
            </w:r>
            <w:r w:rsidRPr="004D0DAA">
              <w:t xml:space="preserve"> (2 bit field)</w:t>
            </w:r>
          </w:p>
          <w:p w14:paraId="0CE8FB71" w14:textId="77777777" w:rsidR="00711444" w:rsidRPr="004D0DAA" w:rsidRDefault="00711444" w:rsidP="00AA2A4C">
            <w:pPr>
              <w:spacing w:after="0"/>
              <w:rPr>
                <w:b/>
                <w:iCs/>
              </w:rPr>
            </w:pPr>
            <w:r w:rsidRPr="004D0DAA">
              <w:t>This field is defined in sub-clause 11.2.7.</w:t>
            </w:r>
          </w:p>
        </w:tc>
      </w:tr>
      <w:tr w:rsidR="00711444" w:rsidRPr="004D0DAA" w14:paraId="2CA2E6C7" w14:textId="77777777" w:rsidTr="00AA2A4C">
        <w:tblPrEx>
          <w:tblCellMar>
            <w:top w:w="0" w:type="dxa"/>
            <w:bottom w:w="0" w:type="dxa"/>
          </w:tblCellMar>
        </w:tblPrEx>
        <w:trPr>
          <w:cantSplit/>
        </w:trPr>
        <w:tc>
          <w:tcPr>
            <w:tcW w:w="9848" w:type="dxa"/>
          </w:tcPr>
          <w:p w14:paraId="43EDBC8F" w14:textId="77777777" w:rsidR="00711444" w:rsidRPr="004D0DAA" w:rsidRDefault="00711444" w:rsidP="00AA2A4C">
            <w:pPr>
              <w:spacing w:after="240"/>
            </w:pPr>
            <w:r w:rsidRPr="004D0DAA">
              <w:rPr>
                <w:b/>
              </w:rPr>
              <w:t>Carrier ID</w:t>
            </w:r>
            <w:r w:rsidRPr="004D0DAA">
              <w:t xml:space="preserve"> (1 bit field)</w:t>
            </w:r>
            <w:r w:rsidRPr="004D0DAA">
              <w:br/>
              <w:t xml:space="preserve">This identifies the carrier to which the description refers. </w:t>
            </w:r>
          </w:p>
          <w:p w14:paraId="1267A147" w14:textId="77777777" w:rsidR="00711444" w:rsidRPr="004D0DAA" w:rsidRDefault="00711444" w:rsidP="00AA2A4C">
            <w:pPr>
              <w:spacing w:after="0"/>
              <w:rPr>
                <w:b/>
                <w:iCs/>
              </w:rPr>
            </w:pPr>
            <w:r w:rsidRPr="004D0DAA">
              <w:t>0</w:t>
            </w:r>
            <w:r w:rsidRPr="004D0DAA">
              <w:tab/>
              <w:t>Carrier 1</w:t>
            </w:r>
            <w:r w:rsidRPr="004D0DAA">
              <w:br/>
              <w:t>1</w:t>
            </w:r>
            <w:r w:rsidRPr="004D0DAA">
              <w:tab/>
              <w:t>Carrier 2</w:t>
            </w:r>
          </w:p>
        </w:tc>
      </w:tr>
      <w:tr w:rsidR="00711444" w:rsidRPr="004D0DAA" w14:paraId="1CFB35A3" w14:textId="77777777" w:rsidTr="00AA2A4C">
        <w:tblPrEx>
          <w:tblCellMar>
            <w:top w:w="0" w:type="dxa"/>
            <w:bottom w:w="0" w:type="dxa"/>
          </w:tblCellMar>
        </w:tblPrEx>
        <w:trPr>
          <w:cantSplit/>
          <w:trHeight w:val="113"/>
        </w:trPr>
        <w:tc>
          <w:tcPr>
            <w:tcW w:w="9848" w:type="dxa"/>
            <w:shd w:val="clear" w:color="auto" w:fill="auto"/>
          </w:tcPr>
          <w:p w14:paraId="007C2CCD" w14:textId="77777777" w:rsidR="00711444" w:rsidRPr="004D0DAA" w:rsidRDefault="00711444" w:rsidP="00AA2A4C">
            <w:pPr>
              <w:spacing w:after="0"/>
            </w:pPr>
            <w:r w:rsidRPr="004D0DAA">
              <w:rPr>
                <w:b/>
              </w:rPr>
              <w:lastRenderedPageBreak/>
              <w:t>REPORTED TIMESLOTS</w:t>
            </w:r>
            <w:r w:rsidRPr="004D0DAA">
              <w:t xml:space="preserve"> (8 bit field)</w:t>
            </w:r>
          </w:p>
          <w:p w14:paraId="36CF530B" w14:textId="77777777" w:rsidR="00711444" w:rsidRPr="004D0DAA" w:rsidRDefault="00711444" w:rsidP="00AA2A4C">
            <w:pPr>
              <w:spacing w:after="0"/>
            </w:pPr>
            <w:r w:rsidRPr="004D0DAA">
              <w:t>The field indicates the timeslots for which feedback is provided by a time-based encoded PAN field and is encoded as the TIMESLOT_ALLOCATION IE defined in sub-clause 12.18.</w:t>
            </w:r>
          </w:p>
          <w:p w14:paraId="4AB1AB08" w14:textId="77777777" w:rsidR="00711444" w:rsidRPr="004D0DAA" w:rsidRDefault="00711444" w:rsidP="00AA2A4C">
            <w:pPr>
              <w:spacing w:after="0"/>
            </w:pPr>
          </w:p>
        </w:tc>
      </w:tr>
      <w:tr w:rsidR="00711444" w:rsidRPr="004D0DAA" w14:paraId="7C1FE27D" w14:textId="77777777" w:rsidTr="00AA2A4C">
        <w:tblPrEx>
          <w:tblCellMar>
            <w:top w:w="0" w:type="dxa"/>
            <w:bottom w:w="0" w:type="dxa"/>
          </w:tblCellMar>
        </w:tblPrEx>
        <w:trPr>
          <w:cantSplit/>
          <w:trHeight w:val="113"/>
        </w:trPr>
        <w:tc>
          <w:tcPr>
            <w:tcW w:w="9848" w:type="dxa"/>
            <w:shd w:val="clear" w:color="auto" w:fill="auto"/>
          </w:tcPr>
          <w:p w14:paraId="6C457EFC" w14:textId="77777777" w:rsidR="00711444" w:rsidRPr="004D0DAA" w:rsidRDefault="00711444" w:rsidP="00AA2A4C">
            <w:pPr>
              <w:spacing w:after="0"/>
              <w:rPr>
                <w:b/>
                <w:bCs/>
              </w:rPr>
            </w:pPr>
            <w:r w:rsidRPr="004D0DAA">
              <w:rPr>
                <w:b/>
                <w:bCs/>
              </w:rPr>
              <w:t xml:space="preserve">Uplink TBF Assignment 2 struct </w:t>
            </w:r>
          </w:p>
          <w:p w14:paraId="41258268" w14:textId="77777777" w:rsidR="00711444" w:rsidRPr="004D0DAA" w:rsidRDefault="00711444" w:rsidP="00AA2A4C">
            <w:r w:rsidRPr="004D0DAA">
              <w:t>If the TBF_TIMESLOT_ALLOCATION bitmap is present, then the timeslots/PDCH-pairs assigned to the TBF are a subset of all the timeslots assigned in the Global Timeslot description or PDCH-pairs described in the PDCH-pair description. In BTTI mode, N is the number of timeslots assigned to the MS in the Global Timeslot description. In RTTI mode N is the number of PDCH-pairs described in the PDCH-pair description.</w:t>
            </w:r>
          </w:p>
          <w:p w14:paraId="5708A92B" w14:textId="77777777" w:rsidR="00711444" w:rsidRPr="004D0DAA" w:rsidRDefault="00711444" w:rsidP="00AA2A4C">
            <w:pPr>
              <w:spacing w:after="0"/>
            </w:pPr>
            <w:r w:rsidRPr="004D0DAA">
              <w:t>If different USFs are assigned on different timeslots/PDCH-pairs, then the USFs are listed in increasing order of timeslot numbers. In BTTI mode, M is the number of timeslots assigned to the TBF in the TBF_TIMESLOT_ALLOCATION if present, else in the Global Timeslot description. In RTTI configurations using RTTI USF mode M is the number of PDCH-pairs assigned to the TBF in the TBF_TIMESLOT_ALLOCATION if present, else M is the number of PDCH-pairs described in the PDCH-pair description. In RTTI configurations using BTTI USF mode M is twice the number of PDCH-pairs assigned to the TBF in the TBF_TIMESLOT_ALLOCATION if present, else M is twice the number of PDCH-pairs described in the PDCH-pair description.</w:t>
            </w:r>
          </w:p>
          <w:p w14:paraId="024ECB37" w14:textId="77777777" w:rsidR="00711444" w:rsidRPr="004D0DAA" w:rsidRDefault="00711444" w:rsidP="00AA2A4C">
            <w:pPr>
              <w:spacing w:after="0"/>
            </w:pPr>
          </w:p>
          <w:p w14:paraId="23D6A25F" w14:textId="77777777" w:rsidR="00711444" w:rsidRPr="004D0DAA" w:rsidRDefault="00711444" w:rsidP="00AA2A4C">
            <w:pPr>
              <w:spacing w:after="0"/>
              <w:rPr>
                <w:bCs/>
              </w:rPr>
            </w:pPr>
            <w:r w:rsidRPr="004D0DAA">
              <w:t>If no USF is specified, then the USF value is the same as the previously indicated USF value.</w:t>
            </w:r>
          </w:p>
        </w:tc>
      </w:tr>
      <w:tr w:rsidR="00711444" w:rsidRPr="004D0DAA" w14:paraId="650C445A" w14:textId="77777777" w:rsidTr="00AA2A4C">
        <w:tblPrEx>
          <w:tblCellMar>
            <w:top w:w="0" w:type="dxa"/>
            <w:bottom w:w="0" w:type="dxa"/>
          </w:tblCellMar>
        </w:tblPrEx>
        <w:trPr>
          <w:cantSplit/>
          <w:trHeight w:val="113"/>
        </w:trPr>
        <w:tc>
          <w:tcPr>
            <w:tcW w:w="9848" w:type="dxa"/>
            <w:shd w:val="clear" w:color="auto" w:fill="auto"/>
          </w:tcPr>
          <w:p w14:paraId="6E40CD4B" w14:textId="77777777" w:rsidR="00711444" w:rsidRPr="004D0DAA" w:rsidRDefault="00711444" w:rsidP="00AA2A4C">
            <w:pPr>
              <w:spacing w:after="0"/>
              <w:rPr>
                <w:b/>
                <w:bCs/>
                <w:szCs w:val="18"/>
              </w:rPr>
            </w:pPr>
            <w:r w:rsidRPr="004D0DAA">
              <w:rPr>
                <w:b/>
                <w:bCs/>
              </w:rPr>
              <w:t>PDCH Pairs Description</w:t>
            </w:r>
          </w:p>
          <w:p w14:paraId="4710A810" w14:textId="77777777" w:rsidR="00711444" w:rsidRPr="004D0DAA" w:rsidRDefault="00711444" w:rsidP="00AA2A4C">
            <w:pPr>
              <w:spacing w:after="0"/>
              <w:rPr>
                <w:b/>
                <w:bCs/>
              </w:rPr>
            </w:pPr>
            <w:r w:rsidRPr="004D0DAA">
              <w:t>This information element is defined in sub-clause 12.5.5.</w:t>
            </w:r>
          </w:p>
        </w:tc>
      </w:tr>
      <w:tr w:rsidR="00711444" w:rsidRPr="004D0DAA" w14:paraId="38EC50F1" w14:textId="77777777" w:rsidTr="00AA2A4C">
        <w:tblPrEx>
          <w:tblCellMar>
            <w:top w:w="0" w:type="dxa"/>
            <w:bottom w:w="0" w:type="dxa"/>
          </w:tblCellMar>
        </w:tblPrEx>
        <w:trPr>
          <w:cantSplit/>
          <w:trHeight w:val="113"/>
        </w:trPr>
        <w:tc>
          <w:tcPr>
            <w:tcW w:w="9848" w:type="dxa"/>
            <w:shd w:val="clear" w:color="auto" w:fill="auto"/>
          </w:tcPr>
          <w:p w14:paraId="22A72908" w14:textId="77777777" w:rsidR="00711444" w:rsidRPr="004D0DAA" w:rsidRDefault="00711444" w:rsidP="00AA2A4C">
            <w:pPr>
              <w:spacing w:after="0"/>
            </w:pPr>
            <w:r w:rsidRPr="004D0DAA">
              <w:rPr>
                <w:b/>
              </w:rPr>
              <w:t>RTTI USF Mode</w:t>
            </w:r>
            <w:r w:rsidRPr="004D0DAA">
              <w:t xml:space="preserve"> (1 bit field)</w:t>
            </w:r>
          </w:p>
          <w:p w14:paraId="01DDE6CF" w14:textId="77777777" w:rsidR="00711444" w:rsidRPr="004D0DAA" w:rsidRDefault="00711444" w:rsidP="00AA2A4C">
            <w:pPr>
              <w:spacing w:after="0"/>
              <w:rPr>
                <w:b/>
                <w:bCs/>
                <w:szCs w:val="18"/>
              </w:rPr>
            </w:pPr>
            <w:r w:rsidRPr="004D0DAA">
              <w:t>This field is as specified in the Packet Uplink Assignment message</w:t>
            </w:r>
          </w:p>
        </w:tc>
      </w:tr>
      <w:tr w:rsidR="00711444" w:rsidRPr="004D0DAA" w14:paraId="584DDAEC" w14:textId="77777777" w:rsidTr="00AA2A4C">
        <w:tblPrEx>
          <w:tblCellMar>
            <w:top w:w="0" w:type="dxa"/>
            <w:bottom w:w="0" w:type="dxa"/>
          </w:tblCellMar>
        </w:tblPrEx>
        <w:trPr>
          <w:cantSplit/>
          <w:trHeight w:val="113"/>
        </w:trPr>
        <w:tc>
          <w:tcPr>
            <w:tcW w:w="9848" w:type="dxa"/>
            <w:shd w:val="clear" w:color="auto" w:fill="auto"/>
          </w:tcPr>
          <w:p w14:paraId="5CE9FACE" w14:textId="77777777" w:rsidR="00711444" w:rsidRPr="004D0DAA" w:rsidRDefault="00711444" w:rsidP="00AA2A4C">
            <w:pPr>
              <w:spacing w:after="0"/>
            </w:pPr>
            <w:r w:rsidRPr="004D0DAA">
              <w:rPr>
                <w:b/>
              </w:rPr>
              <w:t xml:space="preserve">TSH </w:t>
            </w:r>
            <w:r w:rsidRPr="004D0DAA">
              <w:t>(2 bit field)</w:t>
            </w:r>
          </w:p>
          <w:p w14:paraId="174785BC" w14:textId="77777777" w:rsidR="00711444" w:rsidRPr="004D0DAA" w:rsidRDefault="00711444" w:rsidP="00AA2A4C">
            <w:pPr>
              <w:spacing w:after="0"/>
            </w:pPr>
          </w:p>
          <w:p w14:paraId="2DE2290E" w14:textId="77777777" w:rsidR="00711444" w:rsidRPr="004D0DAA" w:rsidRDefault="00711444" w:rsidP="00AA2A4C">
            <w:pPr>
              <w:spacing w:after="0"/>
              <w:rPr>
                <w:b/>
              </w:rPr>
            </w:pPr>
            <w:r w:rsidRPr="004D0DAA">
              <w:t xml:space="preserve">This field indicates the time-shift between the most recent radio block period for which feedback information is provided and the radio block period when the bitmap is sent: </w:t>
            </w:r>
            <w:r w:rsidRPr="004D0DAA">
              <w:br/>
              <w:t>bit</w:t>
            </w:r>
            <w:r w:rsidRPr="004D0DAA">
              <w:br/>
              <w:t>2 1</w:t>
            </w:r>
            <w:r w:rsidRPr="004D0DAA">
              <w:br/>
              <w:t>0 0</w:t>
            </w:r>
            <w:r w:rsidRPr="004D0DAA">
              <w:tab/>
            </w:r>
            <w:r w:rsidRPr="004D0DAA">
              <w:tab/>
              <w:t>4 TDMA frames (for a basic TTI configuration) or 2 TDMA frames (for a reduced TTI configuration)</w:t>
            </w:r>
            <w:r w:rsidRPr="004D0DAA">
              <w:br/>
              <w:t xml:space="preserve">0 1 </w:t>
            </w:r>
            <w:r w:rsidRPr="004D0DAA">
              <w:tab/>
              <w:t>8 TDMA frames (for a basic TTI configuration) or 4 TDMA frames (for a reduced TTI configuration)</w:t>
            </w:r>
            <w:r w:rsidRPr="004D0DAA">
              <w:br/>
              <w:t xml:space="preserve">1 0 </w:t>
            </w:r>
            <w:r w:rsidRPr="004D0DAA">
              <w:tab/>
              <w:t>12 TDMA frames (for a basic TTI configuration) or 6 TDMA frames (for a reduced TTI configuration)</w:t>
            </w:r>
            <w:r w:rsidRPr="004D0DAA">
              <w:br/>
              <w:t>1 1</w:t>
            </w:r>
            <w:r w:rsidRPr="004D0DAA">
              <w:tab/>
            </w:r>
            <w:r w:rsidRPr="004D0DAA">
              <w:tab/>
              <w:t>16 TDMA frames (for a basic TTI configuration) or 8 TDMA frames (for a reduced TTI configuration)</w:t>
            </w:r>
          </w:p>
        </w:tc>
      </w:tr>
      <w:tr w:rsidR="00711444" w:rsidRPr="004D0DAA" w14:paraId="78A72356" w14:textId="77777777" w:rsidTr="00AA2A4C">
        <w:tblPrEx>
          <w:tblCellMar>
            <w:top w:w="0" w:type="dxa"/>
            <w:bottom w:w="0" w:type="dxa"/>
          </w:tblCellMar>
        </w:tblPrEx>
        <w:trPr>
          <w:cantSplit/>
          <w:trHeight w:val="113"/>
        </w:trPr>
        <w:tc>
          <w:tcPr>
            <w:tcW w:w="9848" w:type="dxa"/>
            <w:shd w:val="clear" w:color="auto" w:fill="auto"/>
          </w:tcPr>
          <w:p w14:paraId="3DD46B99" w14:textId="77777777" w:rsidR="00711444" w:rsidRPr="004D0DAA" w:rsidRDefault="00711444" w:rsidP="00AA2A4C">
            <w:pPr>
              <w:spacing w:after="0"/>
            </w:pPr>
            <w:r w:rsidRPr="004D0DAA">
              <w:rPr>
                <w:b/>
              </w:rPr>
              <w:t xml:space="preserve">Uplink EGPRS Level </w:t>
            </w:r>
            <w:r w:rsidRPr="004D0DAA">
              <w:t>(2 bit field)</w:t>
            </w:r>
          </w:p>
          <w:p w14:paraId="19309A96" w14:textId="77777777" w:rsidR="00711444" w:rsidRPr="004D0DAA" w:rsidRDefault="00711444" w:rsidP="00AA2A4C">
            <w:r w:rsidRPr="004D0DAA">
              <w:t>This field specifies the group of modulation and coding schemes applicable to the TBF(s). This information element is defined in sub-clause 12.10f.</w:t>
            </w:r>
          </w:p>
        </w:tc>
      </w:tr>
      <w:tr w:rsidR="00711444" w:rsidRPr="004D0DAA" w14:paraId="503F9470" w14:textId="77777777" w:rsidTr="00AA2A4C">
        <w:tblPrEx>
          <w:tblCellMar>
            <w:top w:w="0" w:type="dxa"/>
            <w:bottom w:w="0" w:type="dxa"/>
          </w:tblCellMar>
        </w:tblPrEx>
        <w:trPr>
          <w:cantSplit/>
          <w:trHeight w:val="113"/>
        </w:trPr>
        <w:tc>
          <w:tcPr>
            <w:tcW w:w="9848" w:type="dxa"/>
            <w:shd w:val="clear" w:color="auto" w:fill="auto"/>
          </w:tcPr>
          <w:p w14:paraId="3F0398F2" w14:textId="77777777" w:rsidR="00711444" w:rsidRPr="004D0DAA" w:rsidRDefault="00711444" w:rsidP="00AA2A4C">
            <w:pPr>
              <w:spacing w:after="0"/>
            </w:pPr>
            <w:r w:rsidRPr="004D0DAA">
              <w:rPr>
                <w:b/>
              </w:rPr>
              <w:t>Pulse Format</w:t>
            </w:r>
            <w:r w:rsidRPr="004D0DAA">
              <w:t xml:space="preserve"> (N bits field)</w:t>
            </w:r>
          </w:p>
          <w:p w14:paraId="080F5BC0" w14:textId="77777777" w:rsidR="00711444" w:rsidRPr="004D0DAA" w:rsidRDefault="00711444" w:rsidP="00AA2A4C">
            <w:r w:rsidRPr="004D0DAA">
              <w:t>This information element, if assigned, specified on which radio frequency channel the mobile station shall transmit using the narrow-band pulse option. The information element is defined in sub-clause 12.8.3.</w:t>
            </w:r>
          </w:p>
        </w:tc>
      </w:tr>
      <w:tr w:rsidR="00711444" w:rsidRPr="004D0DAA" w14:paraId="00AAFD33" w14:textId="77777777" w:rsidTr="00AA2A4C">
        <w:tblPrEx>
          <w:tblCellMar>
            <w:top w:w="0" w:type="dxa"/>
            <w:bottom w:w="0" w:type="dxa"/>
          </w:tblCellMar>
        </w:tblPrEx>
        <w:trPr>
          <w:cantSplit/>
          <w:trHeight w:val="113"/>
        </w:trPr>
        <w:tc>
          <w:tcPr>
            <w:tcW w:w="9848" w:type="dxa"/>
            <w:shd w:val="clear" w:color="auto" w:fill="auto"/>
          </w:tcPr>
          <w:p w14:paraId="322E75AA"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3B64C097" w14:textId="77777777" w:rsidR="00711444" w:rsidRPr="004D0DAA" w:rsidRDefault="00711444" w:rsidP="00AA2A4C">
            <w:pPr>
              <w:spacing w:after="0"/>
            </w:pPr>
            <w:r w:rsidRPr="004D0DAA">
              <w:t>This field is defined in section 11.2.7a.</w:t>
            </w:r>
          </w:p>
          <w:p w14:paraId="233D45C9" w14:textId="77777777" w:rsidR="00711444" w:rsidRPr="004D0DAA" w:rsidRDefault="00711444" w:rsidP="00AA2A4C">
            <w:pPr>
              <w:spacing w:after="0"/>
              <w:rPr>
                <w:b/>
              </w:rPr>
            </w:pPr>
          </w:p>
        </w:tc>
      </w:tr>
      <w:tr w:rsidR="00711444" w:rsidRPr="004D0DAA" w14:paraId="430CC3C2" w14:textId="77777777" w:rsidTr="00AA2A4C">
        <w:tblPrEx>
          <w:tblCellMar>
            <w:top w:w="0" w:type="dxa"/>
            <w:bottom w:w="0" w:type="dxa"/>
          </w:tblCellMar>
        </w:tblPrEx>
        <w:trPr>
          <w:cantSplit/>
          <w:trHeight w:val="113"/>
        </w:trPr>
        <w:tc>
          <w:tcPr>
            <w:tcW w:w="9848" w:type="dxa"/>
            <w:shd w:val="clear" w:color="auto" w:fill="auto"/>
          </w:tcPr>
          <w:p w14:paraId="3AC04473" w14:textId="77777777" w:rsidR="00711444" w:rsidRPr="004D0DAA" w:rsidRDefault="00711444" w:rsidP="00AA2A4C">
            <w:pPr>
              <w:spacing w:after="0"/>
            </w:pPr>
            <w:r w:rsidRPr="004D0DAA">
              <w:rPr>
                <w:b/>
              </w:rPr>
              <w:t xml:space="preserve">Enhanced Flexible Timeslot Assignment </w:t>
            </w:r>
            <w:r w:rsidRPr="004D0DAA">
              <w:t>(1 bit field)</w:t>
            </w:r>
          </w:p>
          <w:p w14:paraId="7D0ECF15" w14:textId="77777777" w:rsidR="00711444" w:rsidRPr="004D0DAA" w:rsidRDefault="00711444" w:rsidP="00AA2A4C">
            <w:pPr>
              <w:spacing w:after="0"/>
            </w:pPr>
            <w:r w:rsidRPr="004D0DAA">
              <w:t xml:space="preserve">This field indicates whether Enhanced Flexible Timeslot Assignment, EFTA, shall be used for all assigned uplink TBFs. This field is coded as follows: </w:t>
            </w:r>
          </w:p>
          <w:p w14:paraId="3C2B6618" w14:textId="77777777" w:rsidR="00711444" w:rsidRPr="004D0DAA" w:rsidRDefault="00711444" w:rsidP="00AA2A4C">
            <w:pPr>
              <w:spacing w:after="0"/>
            </w:pPr>
          </w:p>
          <w:p w14:paraId="67F87E28" w14:textId="77777777" w:rsidR="00711444" w:rsidRPr="004D0DAA" w:rsidRDefault="00711444" w:rsidP="00AA2A4C">
            <w:pPr>
              <w:spacing w:after="0"/>
              <w:rPr>
                <w:b/>
              </w:rPr>
            </w:pPr>
            <w:r w:rsidRPr="004D0DAA">
              <w:t>0</w:t>
            </w:r>
            <w:r w:rsidRPr="004D0DAA">
              <w:tab/>
              <w:t>Enhanced Flexible Timeslot Assignment, EFTA shall not be used for all assigned uplink TBFs.</w:t>
            </w:r>
            <w:r w:rsidRPr="004D0DAA">
              <w:br/>
              <w:t>1</w:t>
            </w:r>
            <w:r w:rsidRPr="004D0DAA">
              <w:tab/>
              <w:t>Enhanced Flexible Timeslot Assignment, EFTA shall be used for all assigned uplink TBFs.</w:t>
            </w:r>
          </w:p>
        </w:tc>
      </w:tr>
    </w:tbl>
    <w:p w14:paraId="5BBED3A6" w14:textId="77777777" w:rsidR="00711444" w:rsidRPr="004D0DAA" w:rsidRDefault="00711444" w:rsidP="00711444"/>
    <w:p w14:paraId="42CA6FE8" w14:textId="77777777" w:rsidR="00711444" w:rsidRPr="004D0DAA" w:rsidRDefault="00711444" w:rsidP="00711444">
      <w:pPr>
        <w:pStyle w:val="Heading3"/>
      </w:pPr>
      <w:bookmarkStart w:id="716" w:name="_Toc516669892"/>
      <w:r w:rsidRPr="004D0DAA">
        <w:t>11.2.30</w:t>
      </w:r>
      <w:r w:rsidRPr="004D0DAA">
        <w:tab/>
        <w:t>(void)</w:t>
      </w:r>
      <w:bookmarkEnd w:id="716"/>
    </w:p>
    <w:p w14:paraId="6B33E0A2" w14:textId="77777777" w:rsidR="00711444" w:rsidRPr="004D0DAA" w:rsidRDefault="00711444" w:rsidP="00711444">
      <w:pPr>
        <w:pStyle w:val="Heading3"/>
      </w:pPr>
      <w:bookmarkStart w:id="717" w:name="_Toc516669893"/>
      <w:r w:rsidRPr="004D0DAA">
        <w:t>11.2.30a</w:t>
      </w:r>
      <w:r w:rsidRPr="004D0DAA">
        <w:tab/>
        <w:t>Packet Pause</w:t>
      </w:r>
      <w:bookmarkEnd w:id="717"/>
    </w:p>
    <w:p w14:paraId="403DA063" w14:textId="77777777" w:rsidR="00711444" w:rsidRPr="004D0DAA" w:rsidRDefault="00711444" w:rsidP="00711444">
      <w:pPr>
        <w:outlineLvl w:val="0"/>
      </w:pPr>
      <w:r w:rsidRPr="004D0DAA">
        <w:t>This optional message is sent on the PACCH from a mobile station with non-GSM capabilities to the network to request a pause of GPRS services.</w:t>
      </w:r>
    </w:p>
    <w:p w14:paraId="173EC16C" w14:textId="77777777" w:rsidR="00711444" w:rsidRPr="004D0DAA" w:rsidRDefault="00711444" w:rsidP="00711444">
      <w:pPr>
        <w:pStyle w:val="EX"/>
      </w:pPr>
      <w:r w:rsidRPr="004D0DAA">
        <w:t>Message type:</w:t>
      </w:r>
      <w:r w:rsidRPr="004D0DAA">
        <w:tab/>
        <w:t>PACKET PAUSE</w:t>
      </w:r>
    </w:p>
    <w:p w14:paraId="5D8EFC56" w14:textId="77777777" w:rsidR="00711444" w:rsidRPr="004D0DAA" w:rsidRDefault="00711444" w:rsidP="00711444">
      <w:pPr>
        <w:pStyle w:val="EX"/>
      </w:pPr>
      <w:r w:rsidRPr="004D0DAA">
        <w:lastRenderedPageBreak/>
        <w:t>Direction:</w:t>
      </w:r>
      <w:r w:rsidRPr="004D0DAA">
        <w:tab/>
        <w:t>mobile station to network</w:t>
      </w:r>
    </w:p>
    <w:p w14:paraId="5173609C" w14:textId="77777777" w:rsidR="00711444" w:rsidRPr="004D0DAA" w:rsidRDefault="00711444" w:rsidP="00711444">
      <w:pPr>
        <w:pStyle w:val="TH"/>
        <w:outlineLvl w:val="0"/>
      </w:pPr>
      <w:r w:rsidRPr="004D0DAA">
        <w:t xml:space="preserve">Table 11.2.30a.1: </w:t>
      </w:r>
      <w:r w:rsidRPr="004D0DAA">
        <w:rPr>
          <w:caps/>
        </w:rPr>
        <w:t>Packet PAUSE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D761A12" w14:textId="77777777" w:rsidTr="00AA2A4C">
        <w:tblPrEx>
          <w:tblCellMar>
            <w:top w:w="0" w:type="dxa"/>
            <w:bottom w:w="0" w:type="dxa"/>
          </w:tblCellMar>
        </w:tblPrEx>
        <w:trPr>
          <w:cantSplit/>
        </w:trPr>
        <w:tc>
          <w:tcPr>
            <w:tcW w:w="9848" w:type="dxa"/>
          </w:tcPr>
          <w:p w14:paraId="524E13B1" w14:textId="77777777" w:rsidR="00711444" w:rsidRPr="004D0DAA" w:rsidRDefault="00711444" w:rsidP="00AA2A4C">
            <w:pPr>
              <w:pStyle w:val="TAL"/>
              <w:rPr>
                <w:lang w:val="fr-FR" w:eastAsia="en-US"/>
              </w:rPr>
            </w:pPr>
            <w:r w:rsidRPr="004D0DAA">
              <w:rPr>
                <w:lang w:val="fr-FR" w:eastAsia="en-US"/>
              </w:rPr>
              <w:t>&lt; Packet pause message content &gt; ::=</w:t>
            </w:r>
          </w:p>
          <w:p w14:paraId="18565108"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TLLI</w:t>
            </w:r>
            <w:r w:rsidRPr="004D0DAA">
              <w:rPr>
                <w:lang w:val="fr-FR" w:eastAsia="en-US"/>
              </w:rPr>
              <w:t xml:space="preserve"> : bit (32) &gt;</w:t>
            </w:r>
          </w:p>
          <w:p w14:paraId="426F70AE"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RAI</w:t>
            </w:r>
            <w:r w:rsidRPr="004D0DAA">
              <w:rPr>
                <w:lang w:eastAsia="en-US"/>
              </w:rPr>
              <w:t xml:space="preserve"> : bit (48) &gt;</w:t>
            </w:r>
          </w:p>
          <w:p w14:paraId="484295B5" w14:textId="77777777" w:rsidR="00711444" w:rsidRPr="004D0DAA" w:rsidRDefault="00711444" w:rsidP="00AA2A4C">
            <w:pPr>
              <w:pStyle w:val="TAL"/>
              <w:rPr>
                <w:lang w:eastAsia="en-US"/>
              </w:rPr>
            </w:pPr>
            <w:r w:rsidRPr="004D0DAA">
              <w:rPr>
                <w:lang w:eastAsia="en-US"/>
              </w:rPr>
              <w:tab/>
              <w:t>&lt; padding bits &gt; ;</w:t>
            </w:r>
          </w:p>
        </w:tc>
      </w:tr>
    </w:tbl>
    <w:p w14:paraId="76D2EBCB" w14:textId="77777777" w:rsidR="00711444" w:rsidRPr="004D0DAA" w:rsidRDefault="00711444" w:rsidP="00711444"/>
    <w:p w14:paraId="14ACC0FC" w14:textId="77777777" w:rsidR="00711444" w:rsidRPr="004D0DAA" w:rsidRDefault="00711444" w:rsidP="00711444">
      <w:pPr>
        <w:pStyle w:val="TH"/>
        <w:outlineLvl w:val="0"/>
      </w:pPr>
      <w:r w:rsidRPr="004D0DAA">
        <w:t xml:space="preserve">Table 11.2.30a.2: </w:t>
      </w:r>
      <w:r w:rsidRPr="004D0DAA">
        <w:rPr>
          <w:caps/>
        </w:rPr>
        <w:t>Packet PAUSE</w:t>
      </w:r>
      <w:r w:rsidRPr="004D0DAA">
        <w:t xml:space="preserve"> information element details</w:t>
      </w:r>
    </w:p>
    <w:p w14:paraId="42744F4D" w14:textId="77777777" w:rsidR="00711444" w:rsidRPr="004D0DAA" w:rsidRDefault="00711444" w:rsidP="00711444">
      <w:pPr>
        <w:pBdr>
          <w:top w:val="single" w:sz="6" w:space="1" w:color="auto"/>
          <w:left w:val="single" w:sz="6" w:space="4" w:color="auto"/>
          <w:bottom w:val="single" w:sz="6" w:space="1" w:color="auto"/>
          <w:right w:val="single" w:sz="6" w:space="4" w:color="auto"/>
        </w:pBdr>
      </w:pPr>
      <w:r w:rsidRPr="004D0DAA">
        <w:rPr>
          <w:b/>
        </w:rPr>
        <w:t>TLLI</w:t>
      </w:r>
      <w:r w:rsidRPr="004D0DAA">
        <w:t xml:space="preserve"> (32 bit field)</w:t>
      </w:r>
      <w:r w:rsidRPr="004D0DAA">
        <w:br/>
        <w:t>This field contains the TLLI of the mobile station. This field is encoded as defined in sub-clause 12.16.</w:t>
      </w:r>
    </w:p>
    <w:p w14:paraId="031308F4" w14:textId="77777777" w:rsidR="00711444" w:rsidRPr="004D0DAA" w:rsidRDefault="00711444" w:rsidP="00711444">
      <w:pPr>
        <w:pBdr>
          <w:top w:val="single" w:sz="6" w:space="1" w:color="auto"/>
          <w:left w:val="single" w:sz="6" w:space="4" w:color="auto"/>
          <w:bottom w:val="single" w:sz="6" w:space="1" w:color="auto"/>
          <w:right w:val="single" w:sz="6" w:space="4" w:color="auto"/>
        </w:pBdr>
      </w:pPr>
      <w:r w:rsidRPr="004D0DAA">
        <w:rPr>
          <w:b/>
        </w:rPr>
        <w:t xml:space="preserve">RAI </w:t>
      </w:r>
      <w:r w:rsidRPr="004D0DAA">
        <w:t>(48 bit field)</w:t>
      </w:r>
      <w:r w:rsidRPr="004D0DAA">
        <w:br/>
        <w:t>This field contains the Routing Area identification. This field is described in 3GPP TS 44.018.</w:t>
      </w:r>
    </w:p>
    <w:p w14:paraId="0C4B332A" w14:textId="77777777" w:rsidR="00711444" w:rsidRPr="004D0DAA" w:rsidRDefault="00711444" w:rsidP="00711444">
      <w:pPr>
        <w:pStyle w:val="Heading3"/>
      </w:pPr>
      <w:bookmarkStart w:id="718" w:name="_Toc516669894"/>
      <w:r w:rsidRPr="004D0DAA">
        <w:t>11.2.31</w:t>
      </w:r>
      <w:r w:rsidRPr="004D0DAA">
        <w:tab/>
        <w:t>Packet Timeslot Reconfigure</w:t>
      </w:r>
      <w:bookmarkEnd w:id="718"/>
    </w:p>
    <w:p w14:paraId="3BF6806B" w14:textId="77777777" w:rsidR="00711444" w:rsidRPr="004D0DAA" w:rsidRDefault="00711444" w:rsidP="00711444">
      <w:r w:rsidRPr="004D0DAA">
        <w:t>This message is sent on the PACCH by the network to the mobile station to assign uplink and downlink resources. If the mobile station supports Downlink Dual Carrier or Downlink Multi Carrier, this message may be sent using extended RLC/MAC control message segmentation (see sub-clause 9.1.12a). A mobile allocation or reference frequency list received as part of this assignment message shall be valid until a new assignment is received or each TBF of the MS are terminated.</w:t>
      </w:r>
    </w:p>
    <w:p w14:paraId="7AA94F24" w14:textId="77777777" w:rsidR="00711444" w:rsidRPr="004D0DAA" w:rsidRDefault="00711444" w:rsidP="00711444">
      <w:pPr>
        <w:pStyle w:val="EX"/>
      </w:pPr>
      <w:r w:rsidRPr="004D0DAA">
        <w:t>Message type:</w:t>
      </w:r>
      <w:r w:rsidRPr="004D0DAA">
        <w:tab/>
        <w:t>PACKET TIMESLOT RECONFIGURE</w:t>
      </w:r>
    </w:p>
    <w:p w14:paraId="4C4E1788" w14:textId="77777777" w:rsidR="00711444" w:rsidRPr="004D0DAA" w:rsidRDefault="00711444" w:rsidP="00711444">
      <w:pPr>
        <w:pStyle w:val="EX"/>
      </w:pPr>
      <w:r w:rsidRPr="004D0DAA">
        <w:t>Direction:</w:t>
      </w:r>
      <w:r w:rsidRPr="004D0DAA">
        <w:tab/>
        <w:t>network to mobile station</w:t>
      </w:r>
    </w:p>
    <w:p w14:paraId="6AE99532" w14:textId="77777777" w:rsidR="00711444" w:rsidRPr="004D0DAA" w:rsidRDefault="00711444" w:rsidP="00711444">
      <w:pPr>
        <w:pStyle w:val="EX"/>
      </w:pPr>
      <w:r w:rsidRPr="004D0DAA">
        <w:t>Classification:</w:t>
      </w:r>
      <w:r w:rsidRPr="004D0DAA">
        <w:tab/>
        <w:t>non-distribution message</w:t>
      </w:r>
    </w:p>
    <w:p w14:paraId="1E0D825F" w14:textId="77777777" w:rsidR="00711444" w:rsidRPr="004D0DAA" w:rsidRDefault="00711444" w:rsidP="00711444">
      <w:pPr>
        <w:pStyle w:val="TH"/>
      </w:pPr>
      <w:r w:rsidRPr="004D0DAA">
        <w:lastRenderedPageBreak/>
        <w:t xml:space="preserve">Table 11.2.31.1: </w:t>
      </w:r>
      <w:r w:rsidRPr="004D0DAA">
        <w:rPr>
          <w:caps/>
        </w:rPr>
        <w:t>Packet TIMESLOT RECONFIGURE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0EB98EE" w14:textId="77777777" w:rsidTr="00AA2A4C">
        <w:tblPrEx>
          <w:tblCellMar>
            <w:top w:w="0" w:type="dxa"/>
            <w:bottom w:w="0" w:type="dxa"/>
          </w:tblCellMar>
        </w:tblPrEx>
        <w:trPr>
          <w:cantSplit/>
        </w:trPr>
        <w:tc>
          <w:tcPr>
            <w:tcW w:w="9848" w:type="dxa"/>
          </w:tcPr>
          <w:p w14:paraId="074F3CE0" w14:textId="77777777" w:rsidR="00711444" w:rsidRPr="004D0DAA" w:rsidRDefault="00711444" w:rsidP="00AA2A4C">
            <w:pPr>
              <w:pStyle w:val="TAL"/>
              <w:rPr>
                <w:lang w:eastAsia="en-US"/>
              </w:rPr>
            </w:pPr>
            <w:r w:rsidRPr="004D0DAA">
              <w:rPr>
                <w:lang w:eastAsia="en-US"/>
              </w:rPr>
              <w:t>&lt; Packet Timeslot Reconfigure message content &gt; ::=</w:t>
            </w:r>
          </w:p>
          <w:p w14:paraId="05DEFFF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570F89F7"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GLOBAL_TFI</w:t>
            </w:r>
            <w:r w:rsidRPr="004D0DAA">
              <w:rPr>
                <w:lang w:eastAsia="en-US"/>
              </w:rPr>
              <w:t xml:space="preserve"> : &lt; Global TFI IE &gt; &gt;</w:t>
            </w:r>
          </w:p>
          <w:p w14:paraId="0A2CA8A4"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
                <w:lang w:eastAsia="en-US"/>
              </w:rPr>
              <w:t>Message escape</w:t>
            </w:r>
          </w:p>
          <w:p w14:paraId="6E4E623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 xml:space="preserve">CHANNEL_CODING_COMMAND </w:t>
            </w:r>
            <w:r w:rsidRPr="004D0DAA">
              <w:rPr>
                <w:lang w:eastAsia="en-US"/>
              </w:rPr>
              <w:t>: bit (2) &gt;</w:t>
            </w:r>
          </w:p>
          <w:p w14:paraId="501B7CA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4989D9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DOWNLINK_RLC_MODE</w:t>
            </w:r>
            <w:r w:rsidRPr="004D0DAA">
              <w:rPr>
                <w:lang w:eastAsia="en-US"/>
              </w:rPr>
              <w:t xml:space="preserve"> : bit (1) &gt;</w:t>
            </w:r>
          </w:p>
          <w:p w14:paraId="4857AA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CONTROL_ACK</w:t>
            </w:r>
            <w:r w:rsidRPr="004D0DAA">
              <w:rPr>
                <w:lang w:eastAsia="en-US"/>
              </w:rPr>
              <w:t xml:space="preserve"> : bit (1) &gt;</w:t>
            </w:r>
          </w:p>
          <w:p w14:paraId="6635AD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DOWNLINK_TFI_ASSIGNMENT </w:t>
            </w:r>
            <w:r w:rsidRPr="004D0DAA">
              <w:rPr>
                <w:lang w:eastAsia="en-US"/>
              </w:rPr>
              <w:t>: bit (5) &gt; }</w:t>
            </w:r>
          </w:p>
          <w:p w14:paraId="3448F56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UPLINK_TFI_ASSIGNMENT </w:t>
            </w:r>
            <w:r w:rsidRPr="004D0DAA">
              <w:rPr>
                <w:lang w:eastAsia="en-US"/>
              </w:rPr>
              <w:t>: bit (5) &gt; }</w:t>
            </w:r>
          </w:p>
          <w:p w14:paraId="6DFBF6E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DOWNLINK_TIMESLOT_ALLOCATION </w:t>
            </w:r>
            <w:r w:rsidRPr="004D0DAA">
              <w:rPr>
                <w:lang w:eastAsia="en-US"/>
              </w:rPr>
              <w:t>: bit (8) &gt;</w:t>
            </w:r>
          </w:p>
          <w:p w14:paraId="763B6DA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tc>
      </w:tr>
      <w:tr w:rsidR="00711444" w:rsidRPr="004D0DAA" w14:paraId="446C32F0" w14:textId="77777777" w:rsidTr="00AA2A4C">
        <w:tblPrEx>
          <w:tblCellMar>
            <w:top w:w="0" w:type="dxa"/>
            <w:bottom w:w="0" w:type="dxa"/>
          </w:tblCellMar>
        </w:tblPrEx>
        <w:trPr>
          <w:cantSplit/>
        </w:trPr>
        <w:tc>
          <w:tcPr>
            <w:tcW w:w="9848" w:type="dxa"/>
          </w:tcPr>
          <w:p w14:paraId="4956D1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22BE82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Dynamic Allocation</w:t>
            </w:r>
            <w:r w:rsidRPr="004D0DAA">
              <w:rPr>
                <w:lang w:eastAsia="en-US"/>
              </w:rPr>
              <w:t xml:space="preserve"> : &lt; Dynamic Allocation struct &gt; &gt;</w:t>
            </w:r>
          </w:p>
          <w:p w14:paraId="019D5ED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null | 0 bit** = &lt; no string &gt;</w:t>
            </w:r>
            <w:r w:rsidRPr="004D0DAA">
              <w:rPr>
                <w:lang w:eastAsia="en-US"/>
              </w:rPr>
              <w:tab/>
            </w:r>
            <w:r w:rsidRPr="004D0DAA">
              <w:rPr>
                <w:lang w:eastAsia="en-US"/>
              </w:rPr>
              <w:tab/>
            </w:r>
            <w:r w:rsidRPr="004D0DAA">
              <w:rPr>
                <w:lang w:eastAsia="en-US"/>
              </w:rPr>
              <w:tab/>
              <w:t>-- Receiver backward compatible with earlier version</w:t>
            </w:r>
          </w:p>
          <w:p w14:paraId="0D4C4B8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R99</w:t>
            </w:r>
          </w:p>
          <w:p w14:paraId="42F94E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715224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w:t>
            </w:r>
            <w:r w:rsidRPr="004D0DAA">
              <w:rPr>
                <w:lang w:eastAsia="en-US"/>
              </w:rPr>
              <w:tab/>
            </w:r>
            <w:r w:rsidRPr="004D0DAA">
              <w:rPr>
                <w:lang w:eastAsia="en-US"/>
              </w:rPr>
              <w:tab/>
              <w:t>-- Receiver backward compatible with earlier version</w:t>
            </w:r>
          </w:p>
          <w:p w14:paraId="775C64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Rel-5</w:t>
            </w:r>
          </w:p>
          <w:p w14:paraId="2E82FAD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RB Id of downlink TBF</w:t>
            </w:r>
            <w:r w:rsidRPr="004D0DAA">
              <w:rPr>
                <w:lang w:eastAsia="en-US"/>
              </w:rPr>
              <w:t xml:space="preserve"> : bit (5) &gt;</w:t>
            </w:r>
          </w:p>
          <w:p w14:paraId="71DE90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RB Id</w:t>
            </w:r>
            <w:r w:rsidRPr="004D0DAA">
              <w:rPr>
                <w:lang w:eastAsia="en-US"/>
              </w:rPr>
              <w:t xml:space="preserve"> </w:t>
            </w:r>
            <w:r w:rsidRPr="004D0DAA">
              <w:rPr>
                <w:b/>
                <w:lang w:eastAsia="en-US"/>
              </w:rPr>
              <w:t>of uplink TBF</w:t>
            </w:r>
            <w:r w:rsidRPr="004D0DAA">
              <w:rPr>
                <w:lang w:eastAsia="en-US"/>
              </w:rPr>
              <w:t xml:space="preserve">: bit (5) &gt; } </w:t>
            </w:r>
          </w:p>
          <w:p w14:paraId="0268E2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Uplink Control Timeslot</w:t>
            </w:r>
            <w:r w:rsidRPr="004D0DAA">
              <w:rPr>
                <w:lang w:eastAsia="en-US"/>
              </w:rPr>
              <w:t xml:space="preserve"> : bit (3) &gt; }</w:t>
            </w:r>
          </w:p>
          <w:p w14:paraId="0CB6DBA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t xml:space="preserve">-- Receiver backward compatible </w:t>
            </w:r>
          </w:p>
          <w:p w14:paraId="5E16930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t>-- Additions for Rel-6</w:t>
            </w:r>
          </w:p>
          <w:p w14:paraId="23145FB0"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w:t>
            </w:r>
            <w:r w:rsidRPr="004D0DAA">
              <w:rPr>
                <w:iCs/>
                <w:lang w:eastAsia="en-US"/>
              </w:rPr>
              <w:tab/>
              <w:t xml:space="preserve">&lt; </w:t>
            </w:r>
            <w:r w:rsidRPr="004D0DAA">
              <w:rPr>
                <w:b/>
                <w:bCs/>
                <w:iCs/>
                <w:lang w:eastAsia="en-US"/>
              </w:rPr>
              <w:t>PFI</w:t>
            </w:r>
            <w:r w:rsidRPr="004D0DAA">
              <w:rPr>
                <w:iCs/>
                <w:lang w:eastAsia="en-US"/>
              </w:rPr>
              <w:t xml:space="preserve"> </w:t>
            </w:r>
            <w:r w:rsidRPr="004D0DAA">
              <w:rPr>
                <w:b/>
                <w:bCs/>
                <w:iCs/>
                <w:lang w:eastAsia="en-US"/>
              </w:rPr>
              <w:t>of downlink TBF</w:t>
            </w:r>
            <w:r w:rsidRPr="004D0DAA">
              <w:rPr>
                <w:iCs/>
                <w:lang w:eastAsia="en-US"/>
              </w:rPr>
              <w:t xml:space="preserve"> : bit (7) &gt; </w:t>
            </w:r>
            <w:r w:rsidRPr="004D0DAA">
              <w:rPr>
                <w:lang w:eastAsia="en-US"/>
              </w:rPr>
              <w:t>}</w:t>
            </w:r>
          </w:p>
          <w:p w14:paraId="5FA7A4CC"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bCs/>
                <w:iCs/>
                <w:lang w:eastAsia="en-US"/>
              </w:rPr>
              <w:t>of uplink TBF</w:t>
            </w:r>
            <w:r w:rsidRPr="004D0DAA">
              <w:rPr>
                <w:iCs/>
                <w:lang w:eastAsia="en-US"/>
              </w:rPr>
              <w:t xml:space="preserve"> : bit (7) &gt; } </w:t>
            </w:r>
          </w:p>
          <w:p w14:paraId="3D6A1959"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UPLINK_RLC_MODE</w:t>
            </w:r>
            <w:r w:rsidRPr="004D0DAA">
              <w:rPr>
                <w:iCs/>
                <w:lang w:eastAsia="en-US"/>
              </w:rPr>
              <w:t xml:space="preserve"> : bit (1) &gt; }</w:t>
            </w:r>
          </w:p>
          <w:p w14:paraId="2A5B531C"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&lt; </w:t>
            </w:r>
            <w:r w:rsidRPr="004D0DAA">
              <w:rPr>
                <w:b/>
                <w:bCs/>
                <w:lang w:eastAsia="en-US"/>
              </w:rPr>
              <w:t>EMST_NW_Capability</w:t>
            </w:r>
            <w:r w:rsidRPr="004D0DAA">
              <w:rPr>
                <w:lang w:eastAsia="en-US"/>
              </w:rPr>
              <w:t xml:space="preserve"> : bit (1) &gt;</w:t>
            </w:r>
            <w:r w:rsidRPr="004D0DAA">
              <w:rPr>
                <w:lang w:eastAsia="en-US"/>
              </w:rPr>
              <w:tab/>
              <w:t xml:space="preserve">-- </w:t>
            </w:r>
            <w:r w:rsidRPr="004D0DAA">
              <w:rPr>
                <w:iCs/>
                <w:lang w:eastAsia="en-US"/>
              </w:rPr>
              <w:t>EMST is not used</w:t>
            </w:r>
          </w:p>
          <w:p w14:paraId="0C90229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EMST is used</w:t>
            </w:r>
          </w:p>
          <w:p w14:paraId="108C481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70B63B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Downlink RLC Entity 2</w:t>
            </w:r>
            <w:r w:rsidRPr="004D0DAA">
              <w:rPr>
                <w:lang w:eastAsia="en-US"/>
              </w:rPr>
              <w:t xml:space="preserve"> : &lt; RLC Entity Struct &gt; </w:t>
            </w:r>
          </w:p>
          <w:p w14:paraId="1A08F64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64DBEB6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 &lt;</w:t>
            </w:r>
            <w:r w:rsidRPr="004D0DAA">
              <w:rPr>
                <w:b/>
                <w:bCs/>
                <w:lang w:eastAsia="en-US"/>
              </w:rPr>
              <w:t xml:space="preserve"> Downlink RLC Entity 3</w:t>
            </w:r>
            <w:r w:rsidRPr="004D0DAA">
              <w:rPr>
                <w:lang w:eastAsia="en-US"/>
              </w:rPr>
              <w:t xml:space="preserve"> : &lt; RLC Entity Struct &gt; }</w:t>
            </w:r>
          </w:p>
          <w:p w14:paraId="63E3062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176F7B9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AE5ABB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Uplink RLC Entity 2</w:t>
            </w:r>
            <w:r w:rsidRPr="004D0DAA">
              <w:rPr>
                <w:lang w:eastAsia="en-US"/>
              </w:rPr>
              <w:t xml:space="preserve"> : &lt; RLC Entity Struct &gt; </w:t>
            </w:r>
          </w:p>
          <w:p w14:paraId="47F8A2F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8905BE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Uplink RLC Entity 3</w:t>
            </w:r>
            <w:r w:rsidRPr="004D0DAA">
              <w:rPr>
                <w:lang w:eastAsia="en-US"/>
              </w:rPr>
              <w:t xml:space="preserve"> : &lt; RLC Entity Struct &gt; }</w:t>
            </w:r>
          </w:p>
          <w:p w14:paraId="4523AB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0485983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142DB97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3931069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Rel-10</w:t>
            </w:r>
          </w:p>
          <w:p w14:paraId="28D77C98"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Cs/>
                <w:lang w:eastAsia="en-US"/>
              </w:rPr>
              <w:t>EMSR is not enabled in downlink</w:t>
            </w:r>
          </w:p>
          <w:p w14:paraId="6DD398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Cs/>
                <w:lang w:eastAsia="en-US"/>
              </w:rPr>
              <w:t>EMSR is enabled in downlink</w:t>
            </w:r>
          </w:p>
          <w:p w14:paraId="69922D6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27E5949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2D81AD6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p>
          <w:p w14:paraId="62E65F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3ADB26A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Cs/>
                <w:lang w:eastAsia="en-US"/>
              </w:rPr>
              <w:t>EMSR is not enabled in uplink</w:t>
            </w:r>
          </w:p>
          <w:p w14:paraId="04660BE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Cs/>
                <w:lang w:eastAsia="en-US"/>
              </w:rPr>
              <w:t>EMSR is enabled in uplink</w:t>
            </w:r>
          </w:p>
          <w:p w14:paraId="59E3DB8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1569F43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1CCA5C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p>
          <w:p w14:paraId="1A3D7E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p>
          <w:p w14:paraId="441BD8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7B48E3C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3656D0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3B9A4F0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29D73A4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40E2A09C"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5138681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padding bits &gt; } } } } } </w:t>
            </w:r>
          </w:p>
          <w:p w14:paraId="7BFD6D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317B47EE" w14:textId="77777777" w:rsidTr="00AA2A4C">
        <w:tblPrEx>
          <w:tblCellMar>
            <w:top w:w="0" w:type="dxa"/>
            <w:bottom w:w="0" w:type="dxa"/>
          </w:tblCellMar>
        </w:tblPrEx>
        <w:trPr>
          <w:cantSplit/>
        </w:trPr>
        <w:tc>
          <w:tcPr>
            <w:tcW w:w="9848" w:type="dxa"/>
          </w:tcPr>
          <w:p w14:paraId="05EB0D03"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bit used to define EGPRS message contents</w:t>
            </w:r>
          </w:p>
          <w:p w14:paraId="255EEE2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00 {</w:t>
            </w:r>
            <w:r w:rsidRPr="004D0DAA">
              <w:rPr>
                <w:lang w:eastAsia="en-US"/>
              </w:rPr>
              <w:tab/>
              <w:t xml:space="preserve">{ 0 | 1 &lt; </w:t>
            </w:r>
            <w:r w:rsidRPr="004D0DAA">
              <w:rPr>
                <w:b/>
                <w:lang w:eastAsia="en-US"/>
              </w:rPr>
              <w:t>COMPACT reduced MA</w:t>
            </w:r>
            <w:r w:rsidRPr="004D0DAA">
              <w:rPr>
                <w:lang w:eastAsia="en-US"/>
              </w:rPr>
              <w:t xml:space="preserve"> : &lt; COMPACT reduced MA IE &gt;&gt; }</w:t>
            </w:r>
          </w:p>
          <w:p w14:paraId="45E416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 &lt; EGPRS Modulation and Coding Scheme IE &gt;&gt;</w:t>
            </w:r>
          </w:p>
          <w:p w14:paraId="5A31CB6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4354F8F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 EGPRS Window Size</w:t>
            </w:r>
            <w:r w:rsidRPr="004D0DAA">
              <w:rPr>
                <w:lang w:eastAsia="en-US"/>
              </w:rPr>
              <w:t> : &lt; EGPRS Window Size IE &gt; &gt; }</w:t>
            </w:r>
          </w:p>
          <w:p w14:paraId="2DE0380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UPLINK EGPRS Window Size</w:t>
            </w:r>
            <w:r w:rsidRPr="004D0DAA">
              <w:rPr>
                <w:lang w:eastAsia="en-US"/>
              </w:rPr>
              <w:t> : &lt; EGPRS Window Size IE &gt; &gt; }</w:t>
            </w:r>
          </w:p>
          <w:p w14:paraId="0DD2610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LINK_QUALITY_MEASUREMENT_MODE</w:t>
            </w:r>
            <w:r w:rsidRPr="004D0DAA">
              <w:rPr>
                <w:lang w:eastAsia="en-US"/>
              </w:rPr>
              <w:t> : bit (2) &gt;</w:t>
            </w:r>
          </w:p>
          <w:p w14:paraId="5AE00B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6026FB4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5283C13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DOWNLINK_RLC_MODE</w:t>
            </w:r>
            <w:r w:rsidRPr="004D0DAA">
              <w:rPr>
                <w:lang w:eastAsia="en-US"/>
              </w:rPr>
              <w:t xml:space="preserve"> : bit (1) &gt;</w:t>
            </w:r>
          </w:p>
          <w:p w14:paraId="2397572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CONTROL_ACK</w:t>
            </w:r>
            <w:r w:rsidRPr="004D0DAA">
              <w:rPr>
                <w:lang w:eastAsia="en-US"/>
              </w:rPr>
              <w:t xml:space="preserve"> : bit (1) &gt;</w:t>
            </w:r>
          </w:p>
          <w:p w14:paraId="7FF86C8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DOWNLINK_TFI_ASSIGNMENT </w:t>
            </w:r>
            <w:r w:rsidRPr="004D0DAA">
              <w:rPr>
                <w:lang w:eastAsia="en-US"/>
              </w:rPr>
              <w:t>: bit (5) &gt; }</w:t>
            </w:r>
          </w:p>
          <w:p w14:paraId="786787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UPLINK_TFI_ASSIGNMENT </w:t>
            </w:r>
            <w:r w:rsidRPr="004D0DAA">
              <w:rPr>
                <w:lang w:eastAsia="en-US"/>
              </w:rPr>
              <w:t>: bit (5) &gt; }</w:t>
            </w:r>
          </w:p>
          <w:p w14:paraId="36B99BF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DOWNLINK_TIMESLOT_ALLOCATION </w:t>
            </w:r>
            <w:r w:rsidRPr="004D0DAA">
              <w:rPr>
                <w:lang w:eastAsia="en-US"/>
              </w:rPr>
              <w:t>: bit (8) &gt;</w:t>
            </w:r>
          </w:p>
          <w:p w14:paraId="09A246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tc>
      </w:tr>
      <w:tr w:rsidR="00711444" w:rsidRPr="004D0DAA" w14:paraId="0B8DD425" w14:textId="77777777" w:rsidTr="00AA2A4C">
        <w:tblPrEx>
          <w:tblCellMar>
            <w:top w:w="0" w:type="dxa"/>
            <w:bottom w:w="0" w:type="dxa"/>
          </w:tblCellMar>
        </w:tblPrEx>
        <w:trPr>
          <w:cantSplit/>
        </w:trPr>
        <w:tc>
          <w:tcPr>
            <w:tcW w:w="9848" w:type="dxa"/>
          </w:tcPr>
          <w:p w14:paraId="618341F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0</w:t>
            </w:r>
            <w:r w:rsidRPr="004D0DAA">
              <w:rPr>
                <w:lang w:eastAsia="en-US"/>
              </w:rPr>
              <w:tab/>
            </w:r>
            <w:r w:rsidRPr="004D0DAA">
              <w:rPr>
                <w:lang w:eastAsia="en-US"/>
              </w:rPr>
              <w:tab/>
            </w:r>
            <w:r w:rsidRPr="004D0DAA">
              <w:rPr>
                <w:lang w:eastAsia="en-US"/>
              </w:rPr>
              <w:tab/>
              <w:t xml:space="preserve">-- </w:t>
            </w:r>
            <w:r w:rsidRPr="004D0DAA">
              <w:rPr>
                <w:i/>
                <w:lang w:eastAsia="en-US"/>
              </w:rPr>
              <w:t>The value '1' was allocated in an earlier version of the protocol and shall not be used.</w:t>
            </w:r>
          </w:p>
          <w:p w14:paraId="038665A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Dynamic Allocation</w:t>
            </w:r>
            <w:r w:rsidRPr="004D0DAA">
              <w:rPr>
                <w:lang w:eastAsia="en-US"/>
              </w:rPr>
              <w:t xml:space="preserve"> : &lt; Dynamic Allocation struct &gt;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55F708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w:t>
            </w:r>
            <w:r w:rsidRPr="004D0DAA">
              <w:rPr>
                <w:lang w:eastAsia="en-US"/>
              </w:rPr>
              <w:tab/>
              <w:t>-- Receiver backward compatible with earlier version</w:t>
            </w:r>
          </w:p>
          <w:p w14:paraId="01192C0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Rel-5</w:t>
            </w:r>
          </w:p>
          <w:p w14:paraId="3DBA47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RB Id of downlink TBF</w:t>
            </w:r>
            <w:r w:rsidRPr="004D0DAA">
              <w:rPr>
                <w:lang w:eastAsia="en-US"/>
              </w:rPr>
              <w:t xml:space="preserve"> : bit (5) &gt;</w:t>
            </w:r>
          </w:p>
          <w:p w14:paraId="2E6465F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RB Id</w:t>
            </w:r>
            <w:r w:rsidRPr="004D0DAA">
              <w:rPr>
                <w:lang w:eastAsia="en-US"/>
              </w:rPr>
              <w:t xml:space="preserve"> </w:t>
            </w:r>
            <w:r w:rsidRPr="004D0DAA">
              <w:rPr>
                <w:b/>
                <w:lang w:eastAsia="en-US"/>
              </w:rPr>
              <w:t>of uplink TBF</w:t>
            </w:r>
            <w:r w:rsidRPr="004D0DAA">
              <w:rPr>
                <w:lang w:eastAsia="en-US"/>
              </w:rPr>
              <w:t>: bit (5) &gt; }</w:t>
            </w:r>
          </w:p>
          <w:p w14:paraId="5CA7C6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Uplink Control Timeslot</w:t>
            </w:r>
            <w:r w:rsidRPr="004D0DAA">
              <w:rPr>
                <w:lang w:eastAsia="en-US"/>
              </w:rPr>
              <w:t xml:space="preserve"> : bit (3) &gt; }</w:t>
            </w:r>
          </w:p>
          <w:p w14:paraId="2B8001A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&lt;no string&gt;</w:t>
            </w:r>
            <w:r w:rsidRPr="004D0DAA">
              <w:rPr>
                <w:lang w:eastAsia="en-US"/>
              </w:rPr>
              <w:tab/>
              <w:t xml:space="preserve">-- Receiver backward compatible </w:t>
            </w:r>
          </w:p>
          <w:p w14:paraId="68CB1D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Rel-6</w:t>
            </w:r>
          </w:p>
          <w:p w14:paraId="532887AC"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w:t>
            </w:r>
            <w:r w:rsidRPr="004D0DAA">
              <w:rPr>
                <w:iCs/>
                <w:lang w:eastAsia="en-US"/>
              </w:rPr>
              <w:tab/>
              <w:t xml:space="preserve">&lt; </w:t>
            </w:r>
            <w:r w:rsidRPr="004D0DAA">
              <w:rPr>
                <w:b/>
                <w:bCs/>
                <w:iCs/>
                <w:lang w:eastAsia="en-US"/>
              </w:rPr>
              <w:t>PFI</w:t>
            </w:r>
            <w:r w:rsidRPr="004D0DAA">
              <w:rPr>
                <w:iCs/>
                <w:lang w:eastAsia="en-US"/>
              </w:rPr>
              <w:t xml:space="preserve"> </w:t>
            </w:r>
            <w:r w:rsidRPr="004D0DAA">
              <w:rPr>
                <w:b/>
                <w:bCs/>
                <w:iCs/>
                <w:lang w:eastAsia="en-US"/>
              </w:rPr>
              <w:t>of downlink TBF</w:t>
            </w:r>
            <w:r w:rsidRPr="004D0DAA">
              <w:rPr>
                <w:iCs/>
                <w:lang w:eastAsia="en-US"/>
              </w:rPr>
              <w:t xml:space="preserve"> : bit (7) &gt; </w:t>
            </w:r>
            <w:r w:rsidRPr="004D0DAA">
              <w:rPr>
                <w:lang w:eastAsia="en-US"/>
              </w:rPr>
              <w:t>}</w:t>
            </w:r>
          </w:p>
          <w:p w14:paraId="54E9BCC8"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bCs/>
                <w:iCs/>
                <w:lang w:eastAsia="en-US"/>
              </w:rPr>
              <w:t>of uplink TBF</w:t>
            </w:r>
            <w:r w:rsidRPr="004D0DAA">
              <w:rPr>
                <w:iCs/>
                <w:lang w:eastAsia="en-US"/>
              </w:rPr>
              <w:t xml:space="preserve"> : bit (7) &gt; } </w:t>
            </w:r>
          </w:p>
          <w:p w14:paraId="25FC22B1"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UPLINK_RLC_MODE</w:t>
            </w:r>
            <w:r w:rsidRPr="004D0DAA">
              <w:rPr>
                <w:iCs/>
                <w:lang w:eastAsia="en-US"/>
              </w:rPr>
              <w:t xml:space="preserve"> : bit (1) &gt; }</w:t>
            </w:r>
          </w:p>
          <w:p w14:paraId="54CBB8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26746B7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Additions for Rel-7</w:t>
            </w:r>
          </w:p>
          <w:p w14:paraId="5B4B976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Downlink NPM Transfer Time </w:t>
            </w:r>
            <w:r w:rsidRPr="004D0DAA">
              <w:rPr>
                <w:iCs/>
                <w:lang w:eastAsia="en-US"/>
              </w:rPr>
              <w:t>: bit (5) &gt;</w:t>
            </w:r>
            <w:r w:rsidRPr="004D0DAA">
              <w:rPr>
                <w:lang w:eastAsia="en-US"/>
              </w:rPr>
              <w:t xml:space="preserve"> }</w:t>
            </w:r>
          </w:p>
          <w:p w14:paraId="7DFD6A0B"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Uplink NPM Transfer Time </w:t>
            </w:r>
            <w:r w:rsidRPr="004D0DAA">
              <w:rPr>
                <w:iCs/>
                <w:lang w:eastAsia="en-US"/>
              </w:rPr>
              <w:t>: bit (5) &gt;</w:t>
            </w:r>
            <w:r w:rsidRPr="004D0DAA">
              <w:rPr>
                <w:lang w:eastAsia="en-US"/>
              </w:rPr>
              <w:t xml:space="preserve"> }</w:t>
            </w:r>
          </w:p>
          <w:p w14:paraId="7DDA17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32BE3B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46FB725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w:t>
            </w:r>
          </w:p>
          <w:p w14:paraId="375E12A0"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2EFD659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4A2FD1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2779DFA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985FE1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747235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5C8DFF21"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4E81751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 }</w:t>
            </w:r>
          </w:p>
          <w:p w14:paraId="577701D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5C0F0E0B" w14:textId="77777777" w:rsidTr="00AA2A4C">
        <w:tblPrEx>
          <w:tblCellMar>
            <w:top w:w="0" w:type="dxa"/>
            <w:bottom w:w="0" w:type="dxa"/>
          </w:tblCellMar>
        </w:tblPrEx>
        <w:trPr>
          <w:cantSplit/>
        </w:trPr>
        <w:tc>
          <w:tcPr>
            <w:tcW w:w="9848" w:type="dxa"/>
          </w:tcPr>
          <w:p w14:paraId="5B1056C6" w14:textId="77777777" w:rsidR="00711444" w:rsidRPr="004D0DAA" w:rsidRDefault="00711444" w:rsidP="00AA2A4C">
            <w:pPr>
              <w:pStyle w:val="TAL"/>
              <w:rPr>
                <w:lang w:eastAsia="en-US"/>
              </w:rPr>
            </w:pPr>
            <w:r w:rsidRPr="004D0DAA">
              <w:rPr>
                <w:lang w:eastAsia="en-US"/>
              </w:rPr>
              <w:tab/>
            </w:r>
            <w:r w:rsidRPr="004D0DAA">
              <w:rPr>
                <w:lang w:eastAsia="en-US"/>
              </w:rPr>
              <w:tab/>
              <w:t>| 01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escape for Downlink Dual Carrier, BTTI using FANR, EGPRS2, RTTI</w:t>
            </w:r>
          </w:p>
          <w:p w14:paraId="1CDDC0C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lang w:eastAsia="en-US"/>
              </w:rPr>
              <w:tab/>
              <w:t xml:space="preserve">&lt; </w:t>
            </w:r>
            <w:r w:rsidRPr="004D0DAA">
              <w:rPr>
                <w:b/>
                <w:lang w:eastAsia="en-US"/>
              </w:rPr>
              <w:t xml:space="preserve">EGPRS Channel Coding Command </w:t>
            </w:r>
            <w:r w:rsidRPr="004D0DAA">
              <w:rPr>
                <w:lang w:eastAsia="en-US"/>
              </w:rPr>
              <w:t>: &lt; EGPRS Modulation and Coding Scheme IE &gt;&gt;</w:t>
            </w:r>
          </w:p>
          <w:p w14:paraId="023933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677627EC"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Assignment Info</w:t>
            </w:r>
            <w:r w:rsidRPr="004D0DAA">
              <w:rPr>
                <w:rFonts w:cs="Arial"/>
                <w:szCs w:val="18"/>
                <w:lang w:eastAsia="en-US"/>
              </w:rPr>
              <w:t xml:space="preserve"> : Assignment Info struct &gt;</w:t>
            </w:r>
          </w:p>
          <w:p w14:paraId="3AE66E5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 EGPRS Window Size</w:t>
            </w:r>
            <w:r w:rsidRPr="004D0DAA">
              <w:rPr>
                <w:lang w:eastAsia="en-US"/>
              </w:rPr>
              <w:t> : &lt; EGPRS Window Size IE &gt; &gt; }</w:t>
            </w:r>
          </w:p>
          <w:p w14:paraId="3523D5C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UPLINK EGPRS Window Size</w:t>
            </w:r>
            <w:r w:rsidRPr="004D0DAA">
              <w:rPr>
                <w:lang w:eastAsia="en-US"/>
              </w:rPr>
              <w:t> : &lt; EGPRS Window Size IE &gt; &gt; }</w:t>
            </w:r>
          </w:p>
          <w:p w14:paraId="3ACCE26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LINK_QUALITY_MEASUREMENT_MODE</w:t>
            </w:r>
            <w:r w:rsidRPr="004D0DAA">
              <w:rPr>
                <w:lang w:eastAsia="en-US"/>
              </w:rPr>
              <w:t> : bit (2) &gt;</w:t>
            </w:r>
          </w:p>
          <w:p w14:paraId="61172CB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BEP_PERIOD2</w:t>
            </w:r>
            <w:r w:rsidRPr="004D0DAA">
              <w:rPr>
                <w:lang w:eastAsia="en-US"/>
              </w:rPr>
              <w:t xml:space="preserve"> : bit(4) &gt; }</w:t>
            </w:r>
          </w:p>
          <w:p w14:paraId="511C30E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418C79B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Packet Extended Timing Advance</w:t>
            </w:r>
            <w:r w:rsidRPr="004D0DAA">
              <w:rPr>
                <w:lang w:eastAsia="en-US"/>
              </w:rPr>
              <w:t xml:space="preserve"> : bit (2) &gt; }</w:t>
            </w:r>
          </w:p>
          <w:p w14:paraId="45252D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DOWNLINK_RLC_MODE</w:t>
            </w:r>
            <w:r w:rsidRPr="004D0DAA">
              <w:rPr>
                <w:lang w:eastAsia="en-US"/>
              </w:rPr>
              <w:t xml:space="preserve"> : bit (1) &gt;</w:t>
            </w:r>
          </w:p>
          <w:p w14:paraId="3E411CC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CONTROL_ACK</w:t>
            </w:r>
            <w:r w:rsidRPr="004D0DAA">
              <w:rPr>
                <w:lang w:eastAsia="en-US"/>
              </w:rPr>
              <w:t xml:space="preserve"> : bit (1) &gt;</w:t>
            </w:r>
          </w:p>
          <w:p w14:paraId="62FB18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DOWNLINK_TFI_ASSIGNMENT </w:t>
            </w:r>
            <w:r w:rsidRPr="004D0DAA">
              <w:rPr>
                <w:lang w:eastAsia="en-US"/>
              </w:rPr>
              <w:t>: bit (5) &gt; }</w:t>
            </w:r>
          </w:p>
          <w:p w14:paraId="55E8B906" w14:textId="77777777" w:rsidR="00711444" w:rsidRPr="004D0DAA" w:rsidRDefault="00711444" w:rsidP="00AA2A4C">
            <w:pPr>
              <w:pStyle w:val="TAL"/>
              <w:rPr>
                <w:lang w:eastAsia="en-US"/>
              </w:rPr>
            </w:pPr>
          </w:p>
        </w:tc>
      </w:tr>
      <w:tr w:rsidR="00711444" w:rsidRPr="004D0DAA" w14:paraId="6ACE6646" w14:textId="77777777" w:rsidTr="00AA2A4C">
        <w:tblPrEx>
          <w:tblCellMar>
            <w:top w:w="0" w:type="dxa"/>
            <w:bottom w:w="0" w:type="dxa"/>
          </w:tblCellMar>
        </w:tblPrEx>
        <w:trPr>
          <w:cantSplit/>
        </w:trPr>
        <w:tc>
          <w:tcPr>
            <w:tcW w:w="9848" w:type="dxa"/>
          </w:tcPr>
          <w:p w14:paraId="489AA74B"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 0 </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BTTI mode</w:t>
            </w:r>
          </w:p>
          <w:p w14:paraId="7010C647"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 xml:space="preserve">TIMESLOT_ALLOCATION_C1 </w:t>
            </w:r>
            <w:r w:rsidRPr="004D0DAA">
              <w:rPr>
                <w:szCs w:val="18"/>
                <w:lang w:eastAsia="en-US"/>
              </w:rPr>
              <w:t>: bit (8) &gt;</w:t>
            </w:r>
          </w:p>
          <w:p w14:paraId="4E93906C"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&lt; </w:t>
            </w:r>
            <w:r w:rsidRPr="004D0DAA">
              <w:rPr>
                <w:b/>
                <w:szCs w:val="18"/>
                <w:lang w:eastAsia="en-US"/>
              </w:rPr>
              <w:t xml:space="preserve">TIMESLOT_ALLOCATION_C2 </w:t>
            </w:r>
            <w:r w:rsidRPr="004D0DAA">
              <w:rPr>
                <w:szCs w:val="18"/>
                <w:lang w:eastAsia="en-US"/>
              </w:rPr>
              <w:t>: bit (8) &gt; }</w:t>
            </w:r>
          </w:p>
          <w:p w14:paraId="0E18582D"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1</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RTTI mode</w:t>
            </w:r>
          </w:p>
          <w:p w14:paraId="56FB812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RTTI_USF_MODE </w:t>
            </w:r>
            <w:r w:rsidRPr="004D0DAA">
              <w:rPr>
                <w:szCs w:val="18"/>
                <w:lang w:eastAsia="en-US"/>
              </w:rPr>
              <w:t>: bit (1) &gt;</w:t>
            </w:r>
          </w:p>
          <w:p w14:paraId="09958D1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Single Carrier Assignment</w:t>
            </w:r>
          </w:p>
          <w:p w14:paraId="49530E8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Default PDCH pair configuration</w:t>
            </w:r>
          </w:p>
          <w:p w14:paraId="126193C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Unchanged</w:t>
            </w:r>
          </w:p>
          <w:p w14:paraId="446F3CB8"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Explicit PDCH pair configuration</w:t>
            </w:r>
          </w:p>
          <w:p w14:paraId="7A79293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15303DE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76C30BCC"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reserved</w:t>
            </w:r>
          </w:p>
          <w:p w14:paraId="33A8854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630CB0B4"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RTTI_DOWNLINK_PDCH_PAIR_ASSIGNMENT_SC </w:t>
            </w:r>
            <w:r w:rsidRPr="004D0DAA">
              <w:rPr>
                <w:szCs w:val="18"/>
                <w:lang w:eastAsia="en-US"/>
              </w:rPr>
              <w:t>: bit (4) &gt;</w:t>
            </w:r>
          </w:p>
          <w:p w14:paraId="78E3DC07"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Dual  Carrier Assignment</w:t>
            </w:r>
          </w:p>
          <w:p w14:paraId="587CF54C"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Default PDCH pair configuration</w:t>
            </w:r>
          </w:p>
          <w:p w14:paraId="4CDB4F1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Unchanged</w:t>
            </w:r>
          </w:p>
          <w:p w14:paraId="1475B6BE"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Explicit PDCH pair configuration</w:t>
            </w:r>
          </w:p>
          <w:p w14:paraId="02F04FE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5835D8DC"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24CD538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740955B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2529AC1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reserved</w:t>
            </w:r>
          </w:p>
          <w:p w14:paraId="4ABABB5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78B247D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RTTI_DOWNLINK_PDCH_PAIR_ASSIGNMENT_DC </w:t>
            </w:r>
            <w:r w:rsidRPr="004D0DAA">
              <w:rPr>
                <w:szCs w:val="18"/>
                <w:lang w:eastAsia="en-US"/>
              </w:rPr>
              <w:t>: bit (8) &gt;</w:t>
            </w:r>
          </w:p>
          <w:p w14:paraId="6A7B866E"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1FE11D21"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p>
          <w:p w14:paraId="1A27356F"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r w:rsidRPr="004D0DAA">
              <w:rPr>
                <w:rFonts w:cs="Arial"/>
                <w:szCs w:val="18"/>
                <w:lang w:eastAsia="en-US"/>
              </w:rPr>
              <w:tab/>
              <w:t>00</w:t>
            </w:r>
            <w:r w:rsidRPr="004D0DAA">
              <w:rPr>
                <w:rFonts w:cs="Arial"/>
                <w:szCs w:val="18"/>
                <w:lang w:eastAsia="en-US"/>
              </w:rPr>
              <w:tab/>
            </w:r>
            <w:r w:rsidRPr="004D0DAA">
              <w:rPr>
                <w:rFonts w:cs="Arial"/>
                <w:szCs w:val="18"/>
                <w:lang w:eastAsia="en-US"/>
              </w:rPr>
              <w:tab/>
              <w:t>-- No frequency parameters included</w:t>
            </w:r>
          </w:p>
          <w:p w14:paraId="6D39B0DF"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01</w:t>
            </w:r>
            <w:r w:rsidRPr="004D0DAA">
              <w:rPr>
                <w:rFonts w:cs="Arial"/>
                <w:szCs w:val="18"/>
                <w:lang w:eastAsia="en-US"/>
              </w:rPr>
              <w:tab/>
            </w:r>
            <w:r w:rsidRPr="004D0DAA">
              <w:rPr>
                <w:rFonts w:cs="Arial"/>
                <w:szCs w:val="18"/>
                <w:lang w:eastAsia="en-US"/>
              </w:rPr>
              <w:tab/>
              <w:t>-- Legacy IEs used</w:t>
            </w:r>
          </w:p>
          <w:p w14:paraId="59435B23"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bCs/>
                <w:szCs w:val="18"/>
                <w:lang w:eastAsia="en-US"/>
              </w:rPr>
              <w:t>Frequency Parameters C1 :</w:t>
            </w:r>
            <w:r w:rsidRPr="004D0DAA">
              <w:rPr>
                <w:rFonts w:cs="Arial"/>
                <w:szCs w:val="18"/>
                <w:lang w:eastAsia="en-US"/>
              </w:rPr>
              <w:t xml:space="preserve"> &lt; Frequency Parameters IE &gt; &gt; }</w:t>
            </w:r>
          </w:p>
          <w:p w14:paraId="080C3EEF"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bCs/>
                <w:szCs w:val="18"/>
                <w:lang w:eastAsia="en-US"/>
              </w:rPr>
              <w:t>Frequency Parameters C2 :</w:t>
            </w:r>
            <w:r w:rsidRPr="004D0DAA">
              <w:rPr>
                <w:rFonts w:cs="Arial"/>
                <w:szCs w:val="18"/>
                <w:lang w:eastAsia="en-US"/>
              </w:rPr>
              <w:t xml:space="preserve"> &lt; Frequency Parameters IE &gt; &gt; }</w:t>
            </w:r>
          </w:p>
          <w:p w14:paraId="58D71BE8"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10</w:t>
            </w:r>
            <w:r w:rsidRPr="004D0DAA">
              <w:rPr>
                <w:rFonts w:cs="Arial"/>
                <w:szCs w:val="18"/>
                <w:lang w:eastAsia="en-US"/>
              </w:rPr>
              <w:tab/>
            </w:r>
            <w:r w:rsidRPr="004D0DAA">
              <w:rPr>
                <w:rFonts w:cs="Arial"/>
                <w:szCs w:val="18"/>
                <w:lang w:eastAsia="en-US"/>
              </w:rPr>
              <w:tab/>
              <w:t xml:space="preserve">-- Optimized Dual Carrier frequency parameters used </w:t>
            </w:r>
          </w:p>
          <w:p w14:paraId="4F567F41"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&lt; </w:t>
            </w:r>
            <w:r w:rsidRPr="004D0DAA">
              <w:rPr>
                <w:rFonts w:cs="Arial"/>
                <w:b/>
                <w:szCs w:val="18"/>
                <w:lang w:eastAsia="en-US"/>
              </w:rPr>
              <w:t>Dual Carrier</w:t>
            </w:r>
            <w:r w:rsidRPr="004D0DAA">
              <w:rPr>
                <w:rFonts w:cs="Arial"/>
                <w:szCs w:val="18"/>
                <w:lang w:eastAsia="en-US"/>
              </w:rPr>
              <w:t xml:space="preserve"> </w:t>
            </w:r>
            <w:r w:rsidRPr="004D0DAA">
              <w:rPr>
                <w:rFonts w:cs="Arial"/>
                <w:b/>
                <w:szCs w:val="18"/>
                <w:lang w:eastAsia="en-US"/>
              </w:rPr>
              <w:t xml:space="preserve">Frequency Parameters </w:t>
            </w:r>
            <w:r w:rsidRPr="004D0DAA">
              <w:rPr>
                <w:rFonts w:cs="Arial"/>
                <w:szCs w:val="18"/>
                <w:lang w:eastAsia="en-US"/>
              </w:rPr>
              <w:t xml:space="preserve">: &lt; Dual Carrier Frequency Parameters IE &gt; &gt; </w:t>
            </w:r>
          </w:p>
          <w:p w14:paraId="445CB0A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Frequency Parameters error: { 11 } bit(*) = &lt; no string&gt; &gt;  -- reserved for future used</w:t>
            </w:r>
          </w:p>
          <w:p w14:paraId="32F136C1" w14:textId="77777777" w:rsidR="00711444" w:rsidRPr="004D0DAA" w:rsidRDefault="00711444" w:rsidP="00AA2A4C">
            <w:pPr>
              <w:pStyle w:val="TAL"/>
              <w:rPr>
                <w:rFonts w:cs="Arial"/>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tc>
      </w:tr>
      <w:tr w:rsidR="00711444" w:rsidRPr="004D0DAA" w14:paraId="0942B267" w14:textId="77777777" w:rsidTr="00AA2A4C">
        <w:tblPrEx>
          <w:tblCellMar>
            <w:top w:w="0" w:type="dxa"/>
            <w:bottom w:w="0" w:type="dxa"/>
          </w:tblCellMar>
        </w:tblPrEx>
        <w:trPr>
          <w:cantSplit/>
        </w:trPr>
        <w:tc>
          <w:tcPr>
            <w:tcW w:w="9848" w:type="dxa"/>
          </w:tcPr>
          <w:p w14:paraId="0B36754F" w14:textId="77777777" w:rsidR="00711444" w:rsidRPr="004D0DAA" w:rsidRDefault="00711444" w:rsidP="00AA2A4C">
            <w:pPr>
              <w:pStyle w:val="TAL"/>
              <w:rPr>
                <w:lang w:eastAsia="en-US"/>
              </w:rPr>
            </w:pPr>
            <w:r w:rsidRPr="004D0DAA">
              <w:rPr>
                <w:rFonts w:cs="Arial"/>
                <w:szCs w:val="18"/>
                <w:lang w:eastAsia="en-US"/>
              </w:rPr>
              <w:lastRenderedPageBreak/>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 xml:space="preserve">Dynamic Allocation 2 : </w:t>
            </w:r>
            <w:r w:rsidRPr="004D0DAA">
              <w:rPr>
                <w:rFonts w:cs="Arial"/>
                <w:szCs w:val="18"/>
                <w:lang w:eastAsia="en-US"/>
              </w:rPr>
              <w:t>&lt; Dynamic Allocation 2 struct &gt; &gt;</w:t>
            </w:r>
          </w:p>
          <w:p w14:paraId="433EFE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Uplink Control Timeslot C1</w:t>
            </w:r>
            <w:r w:rsidRPr="004D0DAA">
              <w:rPr>
                <w:lang w:eastAsia="en-US"/>
              </w:rPr>
              <w:t xml:space="preserve"> : bit (3) &gt; }</w:t>
            </w:r>
          </w:p>
          <w:p w14:paraId="62A8658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Uplink Control Timeslot C2</w:t>
            </w:r>
            <w:r w:rsidRPr="004D0DAA">
              <w:rPr>
                <w:lang w:eastAsia="en-US"/>
              </w:rPr>
              <w:t xml:space="preserve"> : bit (3) &gt; }</w:t>
            </w:r>
          </w:p>
          <w:p w14:paraId="714B933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0 | 1 </w:t>
            </w:r>
            <w:r w:rsidRPr="004D0DAA">
              <w:rPr>
                <w:iCs/>
                <w:lang w:eastAsia="en-US"/>
              </w:rPr>
              <w:tab/>
              <w:t xml:space="preserve">&lt; </w:t>
            </w:r>
            <w:r w:rsidRPr="004D0DAA">
              <w:rPr>
                <w:b/>
                <w:bCs/>
                <w:iCs/>
                <w:lang w:eastAsia="en-US"/>
              </w:rPr>
              <w:t>PFI</w:t>
            </w:r>
            <w:r w:rsidRPr="004D0DAA">
              <w:rPr>
                <w:iCs/>
                <w:lang w:eastAsia="en-US"/>
              </w:rPr>
              <w:t xml:space="preserve"> </w:t>
            </w:r>
            <w:r w:rsidRPr="004D0DAA">
              <w:rPr>
                <w:b/>
                <w:bCs/>
                <w:iCs/>
                <w:lang w:eastAsia="en-US"/>
              </w:rPr>
              <w:t>of downlink TBF</w:t>
            </w:r>
            <w:r w:rsidRPr="004D0DAA">
              <w:rPr>
                <w:iCs/>
                <w:lang w:eastAsia="en-US"/>
              </w:rPr>
              <w:t xml:space="preserve"> : bit (7) &gt; </w:t>
            </w:r>
            <w:r w:rsidRPr="004D0DAA">
              <w:rPr>
                <w:lang w:eastAsia="en-US"/>
              </w:rPr>
              <w:t>}</w:t>
            </w:r>
          </w:p>
          <w:p w14:paraId="7B5C1832"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bCs/>
                <w:iCs/>
                <w:lang w:eastAsia="en-US"/>
              </w:rPr>
              <w:t>of uplink TBF</w:t>
            </w:r>
            <w:r w:rsidRPr="004D0DAA">
              <w:rPr>
                <w:iCs/>
                <w:lang w:eastAsia="en-US"/>
              </w:rPr>
              <w:t xml:space="preserve"> : bit (7) &gt; } </w:t>
            </w:r>
          </w:p>
          <w:p w14:paraId="17192762"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UPLINK_RLC_MODE</w:t>
            </w:r>
            <w:r w:rsidRPr="004D0DAA">
              <w:rPr>
                <w:iCs/>
                <w:lang w:eastAsia="en-US"/>
              </w:rPr>
              <w:t xml:space="preserve"> : bit (1) &gt; }</w:t>
            </w:r>
          </w:p>
          <w:p w14:paraId="3B089FC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Downlink NPM Transfer Time </w:t>
            </w:r>
            <w:r w:rsidRPr="004D0DAA">
              <w:rPr>
                <w:iCs/>
                <w:lang w:eastAsia="en-US"/>
              </w:rPr>
              <w:t>: bit (5) &gt;</w:t>
            </w:r>
            <w:r w:rsidRPr="004D0DAA">
              <w:rPr>
                <w:lang w:eastAsia="en-US"/>
              </w:rPr>
              <w:t xml:space="preserve"> }</w:t>
            </w:r>
          </w:p>
          <w:p w14:paraId="54E5C8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Uplink NPM Transfer Time </w:t>
            </w:r>
            <w:r w:rsidRPr="004D0DAA">
              <w:rPr>
                <w:iCs/>
                <w:lang w:eastAsia="en-US"/>
              </w:rPr>
              <w:t>: bit (5) &gt;</w:t>
            </w:r>
            <w:r w:rsidRPr="004D0DAA">
              <w:rPr>
                <w:lang w:eastAsia="en-US"/>
              </w:rPr>
              <w:t xml:space="preserve"> }</w:t>
            </w:r>
          </w:p>
          <w:p w14:paraId="0E467CC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rFonts w:cs="Arial"/>
                <w:szCs w:val="18"/>
                <w:lang w:eastAsia="en-US"/>
              </w:rPr>
              <w:t xml:space="preserve">-- </w:t>
            </w:r>
            <w:r w:rsidRPr="004D0DAA">
              <w:rPr>
                <w:i/>
                <w:lang w:eastAsia="en-US"/>
              </w:rPr>
              <w:t xml:space="preserve">Fast Ack/Nack Reporting is not activated  for the downlink TBF; </w:t>
            </w:r>
          </w:p>
          <w:p w14:paraId="412D91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lang w:eastAsia="en-US"/>
              </w:rPr>
              <w:t>Fast Ack/Nack Reporting is activated  for the downlink TBF</w:t>
            </w:r>
          </w:p>
          <w:p w14:paraId="0C40E41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EVENT_BASED_FANR</w:t>
            </w:r>
            <w:r w:rsidRPr="004D0DAA">
              <w:rPr>
                <w:lang w:eastAsia="en-US"/>
              </w:rPr>
              <w:t>: bit (1) &gt; }</w:t>
            </w:r>
          </w:p>
          <w:p w14:paraId="307BDB71" w14:textId="77777777" w:rsidR="00711444" w:rsidRPr="004D0DAA" w:rsidRDefault="00711444" w:rsidP="00AA2A4C">
            <w:pPr>
              <w:pStyle w:val="TAL"/>
              <w:rPr>
                <w:rFonts w:cs="Arial"/>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 0 </w:t>
            </w:r>
            <w:r w:rsidRPr="004D0DAA">
              <w:rPr>
                <w:lang w:eastAsia="en-US"/>
              </w:rPr>
              <w:tab/>
            </w:r>
            <w:r w:rsidRPr="004D0DAA">
              <w:rPr>
                <w:lang w:eastAsia="en-US"/>
              </w:rPr>
              <w:tab/>
            </w:r>
            <w:r w:rsidRPr="004D0DAA">
              <w:rPr>
                <w:rFonts w:cs="Arial"/>
                <w:szCs w:val="18"/>
                <w:lang w:eastAsia="en-US"/>
              </w:rPr>
              <w:t xml:space="preserve">-- </w:t>
            </w:r>
            <w:r w:rsidRPr="004D0DAA">
              <w:rPr>
                <w:i/>
                <w:lang w:eastAsia="en-US"/>
              </w:rPr>
              <w:t>Fast Ack/Nack Reporting is not activated for the uplink TBF</w:t>
            </w:r>
            <w:r w:rsidRPr="004D0DAA">
              <w:rPr>
                <w:rFonts w:cs="Arial"/>
                <w:szCs w:val="18"/>
                <w:lang w:eastAsia="en-US"/>
              </w:rPr>
              <w:t xml:space="preserve"> </w:t>
            </w:r>
          </w:p>
          <w:p w14:paraId="1A9E4CA7" w14:textId="77777777" w:rsidR="00711444" w:rsidRPr="004D0DAA" w:rsidRDefault="00711444" w:rsidP="00AA2A4C">
            <w:pPr>
              <w:pStyle w:val="TAL"/>
              <w:rPr>
                <w:rFonts w:cs="Arial"/>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 1 </w:t>
            </w:r>
            <w:r w:rsidRPr="004D0DAA">
              <w:rPr>
                <w:lang w:eastAsia="en-US"/>
              </w:rPr>
              <w:tab/>
            </w:r>
            <w:r w:rsidRPr="004D0DAA">
              <w:rPr>
                <w:lang w:eastAsia="en-US"/>
              </w:rPr>
              <w:tab/>
            </w:r>
            <w:r w:rsidRPr="004D0DAA">
              <w:rPr>
                <w:rFonts w:cs="Arial"/>
                <w:szCs w:val="18"/>
                <w:lang w:eastAsia="en-US"/>
              </w:rPr>
              <w:t xml:space="preserve">-- </w:t>
            </w:r>
            <w:r w:rsidRPr="004D0DAA">
              <w:rPr>
                <w:i/>
                <w:lang w:eastAsia="en-US"/>
              </w:rPr>
              <w:t>Fast Ack/Nack Reporting is activated for the uplink TBF</w:t>
            </w:r>
          </w:p>
          <w:p w14:paraId="45EF6AE6"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0CE4D74B" w14:textId="77777777" w:rsidR="00711444" w:rsidRPr="004D0DAA" w:rsidRDefault="00711444" w:rsidP="00AA2A4C">
            <w:pPr>
              <w:pStyle w:val="TAL"/>
              <w:rPr>
                <w:rFonts w:cs="Arial"/>
                <w:szCs w:val="18"/>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422414A3"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cs="Arial"/>
                <w:szCs w:val="18"/>
                <w:lang w:eastAsia="en-US"/>
              </w:rPr>
              <w:t xml:space="preserve">&lt; </w:t>
            </w:r>
            <w:r w:rsidRPr="004D0DAA">
              <w:rPr>
                <w:rFonts w:cs="Arial"/>
                <w:b/>
                <w:szCs w:val="18"/>
                <w:lang w:eastAsia="en-US"/>
              </w:rPr>
              <w:t>REPORTED TIMESLOTS</w:t>
            </w:r>
            <w:r w:rsidRPr="004D0DAA">
              <w:rPr>
                <w:rFonts w:cs="Arial"/>
                <w:szCs w:val="18"/>
                <w:lang w:eastAsia="en-US"/>
              </w:rPr>
              <w:t xml:space="preserve"> </w:t>
            </w:r>
            <w:r w:rsidRPr="004D0DAA">
              <w:rPr>
                <w:rFonts w:cs="Arial"/>
                <w:b/>
                <w:szCs w:val="18"/>
                <w:lang w:eastAsia="en-US"/>
              </w:rPr>
              <w:t>C1</w:t>
            </w:r>
            <w:r w:rsidRPr="004D0DAA">
              <w:rPr>
                <w:rFonts w:cs="Arial"/>
                <w:szCs w:val="18"/>
                <w:lang w:eastAsia="en-US"/>
              </w:rPr>
              <w:t xml:space="preserve"> : bit (8) &gt; </w:t>
            </w:r>
            <w:r w:rsidRPr="004D0DAA">
              <w:rPr>
                <w:lang w:eastAsia="en-US"/>
              </w:rPr>
              <w:tab/>
            </w:r>
            <w:r w:rsidRPr="004D0DAA">
              <w:rPr>
                <w:lang w:eastAsia="en-US"/>
              </w:rPr>
              <w:tab/>
            </w:r>
            <w:r w:rsidRPr="004D0DAA">
              <w:rPr>
                <w:lang w:eastAsia="en-US"/>
              </w:rPr>
              <w:tab/>
              <w:t xml:space="preserve">-- </w:t>
            </w:r>
            <w:r w:rsidRPr="004D0DAA">
              <w:rPr>
                <w:i/>
                <w:lang w:eastAsia="en-US"/>
              </w:rPr>
              <w:t xml:space="preserve">carrier 1 in Downlink Dual Carrier </w:t>
            </w:r>
          </w:p>
          <w:p w14:paraId="7D389A7C" w14:textId="77777777" w:rsidR="00711444" w:rsidRPr="004D0DAA" w:rsidRDefault="00711444" w:rsidP="00AA2A4C">
            <w:pPr>
              <w:pStyle w:val="TAL"/>
              <w:rPr>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configuration</w:t>
            </w:r>
          </w:p>
          <w:p w14:paraId="7F8B8F1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lang w:eastAsia="en-US"/>
              </w:rPr>
              <w:t xml:space="preserve">carrier 2 in Downlink Dual Carrier </w:t>
            </w:r>
          </w:p>
          <w:p w14:paraId="27FE4658" w14:textId="77777777" w:rsidR="00711444" w:rsidRPr="004D0DAA" w:rsidRDefault="00711444" w:rsidP="00AA2A4C">
            <w:pPr>
              <w:pStyle w:val="TAL"/>
              <w:rPr>
                <w:rFonts w:cs="Arial"/>
                <w:szCs w:val="18"/>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configuration</w:t>
            </w:r>
          </w:p>
          <w:p w14:paraId="60DD6C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TSH</w:t>
            </w:r>
            <w:r w:rsidRPr="004D0DAA">
              <w:rPr>
                <w:lang w:eastAsia="en-US"/>
              </w:rPr>
              <w:t xml:space="preserve"> : bit (2) &gt; </w:t>
            </w:r>
            <w:r w:rsidRPr="004D0DAA">
              <w:rPr>
                <w:rFonts w:cs="Arial"/>
                <w:szCs w:val="18"/>
                <w:lang w:eastAsia="en-US"/>
              </w:rPr>
              <w:t>} }</w:t>
            </w:r>
            <w:r w:rsidRPr="004D0DAA">
              <w:rPr>
                <w:lang w:eastAsia="en-US"/>
              </w:rPr>
              <w:tab/>
              <w:t xml:space="preserve">-- </w:t>
            </w:r>
            <w:r w:rsidRPr="004D0DAA">
              <w:rPr>
                <w:i/>
                <w:lang w:eastAsia="en-US"/>
              </w:rPr>
              <w:t xml:space="preserve">This structure shall be considered only valid if </w:t>
            </w:r>
            <w:r w:rsidRPr="004D0DAA">
              <w:rPr>
                <w:i/>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an uplink TBF is addressed</w:t>
            </w:r>
          </w:p>
          <w:p w14:paraId="29A0A50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12E7399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4B98ECA2"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&lt; </w:t>
            </w:r>
            <w:r w:rsidRPr="004D0DAA">
              <w:rPr>
                <w:b/>
                <w:szCs w:val="18"/>
                <w:lang w:eastAsia="en-US"/>
              </w:rPr>
              <w:t>Pulse Format</w:t>
            </w:r>
            <w:r w:rsidRPr="004D0DAA">
              <w:rPr>
                <w:szCs w:val="18"/>
                <w:lang w:eastAsia="en-US"/>
              </w:rPr>
              <w:t>: &lt; Pulse Format IE &gt; &gt; }</w:t>
            </w:r>
          </w:p>
          <w:p w14:paraId="44BAE515"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50F3357D"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Rel-9</w:t>
            </w:r>
          </w:p>
          <w:p w14:paraId="1D57D4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Indication of Upper Layer PDU Start for RLC UM</w:t>
            </w:r>
            <w:r w:rsidRPr="004D0DAA">
              <w:rPr>
                <w:iCs/>
                <w:lang w:eastAsia="en-US"/>
              </w:rPr>
              <w:t>: bit  &gt;</w:t>
            </w:r>
          </w:p>
          <w:p w14:paraId="4D83E9C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58ABEB8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&lt; </w:t>
            </w:r>
            <w:r w:rsidRPr="004D0DAA">
              <w:rPr>
                <w:b/>
                <w:bCs/>
                <w:lang w:eastAsia="en-US"/>
              </w:rPr>
              <w:t>EMST_NW_Capability</w:t>
            </w:r>
            <w:r w:rsidRPr="004D0DAA">
              <w:rPr>
                <w:lang w:eastAsia="en-US"/>
              </w:rPr>
              <w:t xml:space="preserve"> : bit (1) &gt;</w:t>
            </w:r>
            <w:r w:rsidRPr="004D0DAA">
              <w:rPr>
                <w:lang w:eastAsia="en-US"/>
              </w:rPr>
              <w:tab/>
              <w:t xml:space="preserve">-- </w:t>
            </w:r>
            <w:r w:rsidRPr="004D0DAA">
              <w:rPr>
                <w:i/>
                <w:iCs/>
                <w:lang w:eastAsia="en-US"/>
              </w:rPr>
              <w:t>EMST is not used</w:t>
            </w:r>
          </w:p>
          <w:p w14:paraId="5677866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EMST is used</w:t>
            </w:r>
          </w:p>
          <w:p w14:paraId="426B76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FBA8E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Downlink RLC Entity 2</w:t>
            </w:r>
            <w:r w:rsidRPr="004D0DAA">
              <w:rPr>
                <w:lang w:eastAsia="en-US"/>
              </w:rPr>
              <w:t xml:space="preserve"> : &lt; RLC Entity Struct &gt; </w:t>
            </w:r>
          </w:p>
          <w:p w14:paraId="22F271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49E9A45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 &lt;</w:t>
            </w:r>
            <w:r w:rsidRPr="004D0DAA">
              <w:rPr>
                <w:b/>
                <w:bCs/>
                <w:lang w:eastAsia="en-US"/>
              </w:rPr>
              <w:t xml:space="preserve"> Downlink RLC Entity 3</w:t>
            </w:r>
            <w:r w:rsidRPr="004D0DAA">
              <w:rPr>
                <w:lang w:eastAsia="en-US"/>
              </w:rPr>
              <w:t xml:space="preserve"> : &lt; RLC Entity Struct &gt; }</w:t>
            </w:r>
          </w:p>
          <w:p w14:paraId="2352C32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39145F7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5D9F44F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Uplink RLC Entity 2</w:t>
            </w:r>
            <w:r w:rsidRPr="004D0DAA">
              <w:rPr>
                <w:lang w:eastAsia="en-US"/>
              </w:rPr>
              <w:t xml:space="preserve"> : &lt; RLC Entity Struct &gt; </w:t>
            </w:r>
          </w:p>
          <w:p w14:paraId="42250D9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p>
          <w:p w14:paraId="228863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Uplink RLC Entity 3</w:t>
            </w:r>
            <w:r w:rsidRPr="004D0DAA">
              <w:rPr>
                <w:lang w:eastAsia="en-US"/>
              </w:rPr>
              <w:t xml:space="preserve"> : &lt; RLC Entity Struct &gt; }</w:t>
            </w:r>
          </w:p>
          <w:p w14:paraId="655C390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1E056E6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5168641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MTTI_DOWNLINK_ASSIGNMENT_C1 </w:t>
            </w:r>
            <w:r w:rsidRPr="004D0DAA">
              <w:rPr>
                <w:lang w:eastAsia="en-US"/>
              </w:rPr>
              <w:t>: bit (1) }</w:t>
            </w:r>
          </w:p>
          <w:p w14:paraId="2CD4B2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b/>
                <w:lang w:eastAsia="en-US"/>
              </w:rPr>
              <w:t xml:space="preserve">MTTI_DOWNLINK_ASSIGNMENT_C2 </w:t>
            </w:r>
            <w:r w:rsidRPr="004D0DAA">
              <w:rPr>
                <w:lang w:eastAsia="en-US"/>
              </w:rPr>
              <w:t>: bit (1) }</w:t>
            </w:r>
          </w:p>
          <w:p w14:paraId="76E10F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b/>
                <w:lang w:eastAsia="en-US"/>
              </w:rPr>
              <w:t xml:space="preserve"> MTTI_UPLINK_ASSIGNMENT_C1 </w:t>
            </w:r>
            <w:r w:rsidRPr="004D0DAA">
              <w:rPr>
                <w:lang w:eastAsia="en-US"/>
              </w:rPr>
              <w:t>: bit(1) }</w:t>
            </w:r>
          </w:p>
          <w:p w14:paraId="331CA6C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b/>
                <w:lang w:eastAsia="en-US"/>
              </w:rPr>
              <w:t xml:space="preserve"> MTTI_UPLINK_ASSIGNMENT_C2 </w:t>
            </w:r>
            <w:r w:rsidRPr="004D0DAA">
              <w:rPr>
                <w:lang w:eastAsia="en-US"/>
              </w:rPr>
              <w:t>: bit(1) }</w:t>
            </w:r>
          </w:p>
          <w:p w14:paraId="6D37BF5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0EB467A4"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Additions for Rel-10</w:t>
            </w:r>
          </w:p>
          <w:p w14:paraId="39F8BBF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
                <w:iCs/>
                <w:lang w:eastAsia="en-US"/>
              </w:rPr>
              <w:t>EMSR is not enabled in downlink</w:t>
            </w:r>
          </w:p>
          <w:p w14:paraId="164F03B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EMSR is enabled in downlink</w:t>
            </w:r>
          </w:p>
          <w:p w14:paraId="704D496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600700A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07B05AD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p>
          <w:p w14:paraId="1399939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05C0E00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
                <w:iCs/>
                <w:lang w:eastAsia="en-US"/>
              </w:rPr>
              <w:t>EMSR is not enabled in uplink</w:t>
            </w:r>
          </w:p>
          <w:p w14:paraId="535E446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t xml:space="preserve">-- </w:t>
            </w:r>
            <w:r w:rsidRPr="004D0DAA">
              <w:rPr>
                <w:i/>
                <w:iCs/>
                <w:lang w:eastAsia="en-US"/>
              </w:rPr>
              <w:t>EMSR is enabled in uplink</w:t>
            </w:r>
          </w:p>
          <w:p w14:paraId="62730C8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1</w:t>
            </w:r>
            <w:r w:rsidRPr="004D0DAA">
              <w:rPr>
                <w:lang w:eastAsia="en-US"/>
              </w:rPr>
              <w:t xml:space="preserve"> : &lt; Additional PFCs struct &gt; &gt; } ** 0</w:t>
            </w:r>
            <w:r w:rsidRPr="004D0DAA">
              <w:rPr>
                <w:lang w:eastAsia="en-US"/>
              </w:rPr>
              <w:tab/>
            </w:r>
          </w:p>
          <w:p w14:paraId="72B5044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2</w:t>
            </w:r>
            <w:r w:rsidRPr="004D0DAA">
              <w:rPr>
                <w:lang w:eastAsia="en-US"/>
              </w:rPr>
              <w:t xml:space="preserve"> : &lt; Additional PFCs struct &gt; &gt; } ** 0</w:t>
            </w:r>
            <w:r w:rsidRPr="004D0DAA">
              <w:rPr>
                <w:lang w:eastAsia="en-US"/>
              </w:rPr>
              <w:tab/>
            </w:r>
          </w:p>
          <w:p w14:paraId="2571816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EMSR Additional PFCs</w:t>
            </w:r>
            <w:r w:rsidRPr="004D0DAA">
              <w:rPr>
                <w:lang w:eastAsia="en-US"/>
              </w:rPr>
              <w:t xml:space="preserve"> </w:t>
            </w:r>
            <w:r w:rsidRPr="004D0DAA">
              <w:rPr>
                <w:b/>
                <w:lang w:eastAsia="en-US"/>
              </w:rPr>
              <w:t>3</w:t>
            </w:r>
            <w:r w:rsidRPr="004D0DAA">
              <w:rPr>
                <w:lang w:eastAsia="en-US"/>
              </w:rPr>
              <w:t xml:space="preserve"> : &lt; Additional PFCs struct &gt; &gt; } ** 0</w:t>
            </w:r>
          </w:p>
          <w:p w14:paraId="0E7DA75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05891EB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 </w:t>
            </w:r>
            <w:r w:rsidRPr="004D0DAA">
              <w:rPr>
                <w:i/>
                <w:lang w:eastAsia="en-US"/>
              </w:rPr>
              <w:t>Receiver backward compatible with earlier version</w:t>
            </w:r>
          </w:p>
          <w:p w14:paraId="786C9DE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for Rel-11</w:t>
            </w:r>
          </w:p>
          <w:p w14:paraId="79F2D36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w:t>
            </w:r>
          </w:p>
          <w:p w14:paraId="73A4F5A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1A70DC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76C492C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w:t>
            </w:r>
            <w:r w:rsidRPr="004D0DAA">
              <w:rPr>
                <w:iCs/>
                <w:lang w:eastAsia="en-US"/>
              </w:rPr>
              <w:t xml:space="preserve"> </w:t>
            </w:r>
            <w:r w:rsidRPr="004D0DAA">
              <w:rPr>
                <w:b/>
                <w:iCs/>
                <w:lang w:eastAsia="en-US"/>
              </w:rPr>
              <w:t>TSC Set</w:t>
            </w:r>
            <w:r w:rsidRPr="004D0DAA">
              <w:rPr>
                <w:iCs/>
                <w:lang w:eastAsia="en-US"/>
              </w:rPr>
              <w:t xml:space="preserve"> : bit (1) &gt;</w:t>
            </w:r>
          </w:p>
          <w:p w14:paraId="6E3F553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0EB64F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031092C3"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2DDAF7B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 } }</w:t>
            </w:r>
          </w:p>
          <w:p w14:paraId="445EF0A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r w:rsidRPr="004D0DAA">
              <w:rPr>
                <w:lang w:eastAsia="en-US"/>
              </w:rPr>
              <w:tab/>
            </w:r>
          </w:p>
        </w:tc>
      </w:tr>
      <w:tr w:rsidR="00711444" w:rsidRPr="004D0DAA" w14:paraId="4B3AA6F0" w14:textId="77777777" w:rsidTr="00AA2A4C">
        <w:tblPrEx>
          <w:tblCellMar>
            <w:top w:w="0" w:type="dxa"/>
            <w:bottom w:w="0" w:type="dxa"/>
          </w:tblCellMar>
        </w:tblPrEx>
        <w:trPr>
          <w:cantSplit/>
        </w:trPr>
        <w:tc>
          <w:tcPr>
            <w:tcW w:w="9848" w:type="dxa"/>
          </w:tcPr>
          <w:p w14:paraId="5EC2BF55"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t>| 10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escape for Downlink Multi Carrier, BTTI using FANR, EGPRS2, RTTI</w:t>
            </w:r>
          </w:p>
          <w:p w14:paraId="7032F64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w:t>
            </w:r>
            <w:r w:rsidRPr="004D0DAA">
              <w:rPr>
                <w:szCs w:val="18"/>
                <w:lang w:eastAsia="en-US"/>
              </w:rPr>
              <w:tab/>
              <w:t xml:space="preserve">&lt; </w:t>
            </w:r>
            <w:r w:rsidRPr="004D0DAA">
              <w:rPr>
                <w:b/>
                <w:szCs w:val="18"/>
                <w:lang w:eastAsia="en-US"/>
              </w:rPr>
              <w:t>DOWNLINK_RLC_MODE</w:t>
            </w:r>
            <w:r w:rsidRPr="004D0DAA">
              <w:rPr>
                <w:szCs w:val="18"/>
                <w:lang w:eastAsia="en-US"/>
              </w:rPr>
              <w:t xml:space="preserve"> : bit (1) &gt;</w:t>
            </w:r>
          </w:p>
          <w:p w14:paraId="6E1E9F76" w14:textId="77777777" w:rsidR="00711444" w:rsidRPr="004D0DAA" w:rsidRDefault="00711444" w:rsidP="00AA2A4C">
            <w:pPr>
              <w:pStyle w:val="TAL"/>
              <w:rPr>
                <w:szCs w:val="18"/>
                <w:lang w:eastAsia="en-US"/>
              </w:rPr>
            </w:pP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rFonts w:cs="Arial"/>
                <w:lang w:eastAsia="en-US"/>
              </w:rPr>
              <w:tab/>
            </w:r>
            <w:r w:rsidRPr="004D0DAA">
              <w:rPr>
                <w:szCs w:val="18"/>
                <w:lang w:eastAsia="en-US"/>
              </w:rPr>
              <w:t xml:space="preserve">&lt; </w:t>
            </w:r>
            <w:r w:rsidRPr="004D0DAA">
              <w:rPr>
                <w:b/>
                <w:szCs w:val="18"/>
                <w:lang w:eastAsia="en-US"/>
              </w:rPr>
              <w:t>CONTROL_ACK</w:t>
            </w:r>
            <w:r w:rsidRPr="004D0DAA">
              <w:rPr>
                <w:szCs w:val="18"/>
                <w:lang w:eastAsia="en-US"/>
              </w:rPr>
              <w:t xml:space="preserve"> : bit (1) &gt;</w:t>
            </w:r>
          </w:p>
          <w:p w14:paraId="27D86F60"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1 </w:t>
            </w:r>
            <w:r w:rsidRPr="004D0DAA">
              <w:rPr>
                <w:lang w:eastAsia="en-US"/>
              </w:rPr>
              <w:t xml:space="preserve">&lt; </w:t>
            </w:r>
            <w:r w:rsidRPr="004D0DAA">
              <w:rPr>
                <w:b/>
                <w:lang w:eastAsia="en-US"/>
              </w:rPr>
              <w:t>UFPS</w:t>
            </w:r>
            <w:r w:rsidRPr="004D0DAA">
              <w:rPr>
                <w:lang w:eastAsia="en-US"/>
              </w:rPr>
              <w:t xml:space="preserve"> : &lt; UFPS struct &gt; &gt; } ** 0 </w:t>
            </w:r>
          </w:p>
          <w:p w14:paraId="353572F1"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b/>
                <w:szCs w:val="18"/>
                <w:lang w:eastAsia="en-US"/>
              </w:rPr>
              <w:t>DLMC Measurement Type</w:t>
            </w:r>
            <w:r w:rsidRPr="004D0DAA">
              <w:rPr>
                <w:szCs w:val="18"/>
                <w:lang w:eastAsia="en-US"/>
              </w:rPr>
              <w:t xml:space="preserve"> : bit (1)</w:t>
            </w:r>
          </w:p>
          <w:p w14:paraId="5E8762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LINK_QUALITY_MEASUREMENT_MODE</w:t>
            </w:r>
            <w:r w:rsidRPr="004D0DAA">
              <w:rPr>
                <w:lang w:eastAsia="en-US"/>
              </w:rPr>
              <w:t> : bit (2) &gt;</w:t>
            </w:r>
          </w:p>
          <w:p w14:paraId="0AE6A88C"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 | 1</w:t>
            </w:r>
            <w:r w:rsidRPr="004D0DAA">
              <w:rPr>
                <w:lang w:val="en-US" w:eastAsia="en-US"/>
              </w:rPr>
              <w:tab/>
            </w:r>
            <w:r w:rsidRPr="004D0DAA">
              <w:rPr>
                <w:lang w:eastAsia="en-US"/>
              </w:rPr>
              <w:t xml:space="preserve">&lt; </w:t>
            </w:r>
            <w:r w:rsidRPr="004D0DAA">
              <w:rPr>
                <w:b/>
                <w:lang w:eastAsia="en-US"/>
              </w:rPr>
              <w:t>Carrier for Interference Measurements</w:t>
            </w:r>
            <w:r w:rsidRPr="004D0DAA">
              <w:rPr>
                <w:lang w:eastAsia="en-US"/>
              </w:rPr>
              <w:t xml:space="preserve"> : bit (4) &gt; }</w:t>
            </w:r>
          </w:p>
          <w:p w14:paraId="4DDCB450"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 xml:space="preserve">Global Packet Timing Advance </w:t>
            </w:r>
            <w:r w:rsidRPr="004D0DAA">
              <w:rPr>
                <w:szCs w:val="18"/>
                <w:lang w:eastAsia="en-US"/>
              </w:rPr>
              <w:t>: &lt; Global Packet Timing Advance IE &gt; &gt;</w:t>
            </w:r>
          </w:p>
          <w:p w14:paraId="26FE3668"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Packet Extended Timing Advance</w:t>
            </w:r>
            <w:r w:rsidRPr="004D0DAA">
              <w:rPr>
                <w:lang w:eastAsia="en-US"/>
              </w:rPr>
              <w:t xml:space="preserve"> : bit (2) &gt; }</w:t>
            </w:r>
          </w:p>
          <w:p w14:paraId="017A095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ab/>
              <w:t xml:space="preserve">{ 0 | 1 &lt; </w:t>
            </w:r>
            <w:r w:rsidRPr="004D0DAA">
              <w:rPr>
                <w:b/>
                <w:lang w:eastAsia="en-US"/>
              </w:rPr>
              <w:t>PTCCH_CARRIER</w:t>
            </w:r>
            <w:r w:rsidRPr="004D0DAA">
              <w:rPr>
                <w:lang w:eastAsia="en-US"/>
              </w:rPr>
              <w:t xml:space="preserve"> : bit (4) &gt; </w:t>
            </w:r>
            <w:r w:rsidRPr="004D0DAA">
              <w:rPr>
                <w:szCs w:val="18"/>
                <w:lang w:eastAsia="en-US"/>
              </w:rPr>
              <w:t xml:space="preserve">} </w:t>
            </w:r>
          </w:p>
          <w:p w14:paraId="41C585CE"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PDAN Coding</w:t>
            </w:r>
            <w:r w:rsidRPr="004D0DAA">
              <w:rPr>
                <w:szCs w:val="18"/>
                <w:lang w:eastAsia="en-US"/>
              </w:rPr>
              <w:t xml:space="preserve"> : bit (1) &gt;</w:t>
            </w:r>
          </w:p>
          <w:p w14:paraId="51AB0DF2"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szCs w:val="18"/>
                <w:lang w:eastAsia="en-US"/>
              </w:rPr>
              <w:t>Extended SNS</w:t>
            </w:r>
            <w:r w:rsidRPr="004D0DAA">
              <w:rPr>
                <w:szCs w:val="18"/>
                <w:lang w:eastAsia="en-US"/>
              </w:rPr>
              <w:t xml:space="preserve"> : bit (1) &gt;</w:t>
            </w:r>
          </w:p>
          <w:p w14:paraId="2A42E79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lang w:eastAsia="en-US"/>
              </w:rPr>
              <w:t>{ 0 | 1 &lt;</w:t>
            </w:r>
            <w:r w:rsidRPr="004D0DAA">
              <w:rPr>
                <w:b/>
                <w:lang w:eastAsia="en-US"/>
              </w:rPr>
              <w:t xml:space="preserve"> BEP_PERIOD2</w:t>
            </w:r>
            <w:r w:rsidRPr="004D0DAA">
              <w:rPr>
                <w:lang w:eastAsia="en-US"/>
              </w:rPr>
              <w:t xml:space="preserve"> : bit(4) &gt; } </w:t>
            </w:r>
          </w:p>
          <w:p w14:paraId="63BC3EAF"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val="en-US"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iCs/>
                <w:lang w:eastAsia="en-US"/>
              </w:rPr>
              <w:t>of downlink TBF</w:t>
            </w:r>
            <w:r w:rsidRPr="004D0DAA">
              <w:rPr>
                <w:iCs/>
                <w:lang w:eastAsia="en-US"/>
              </w:rPr>
              <w:t xml:space="preserve"> : bit (7) &gt;</w:t>
            </w:r>
            <w:r w:rsidRPr="004D0DAA">
              <w:rPr>
                <w:lang w:eastAsia="en-US"/>
              </w:rPr>
              <w:t xml:space="preserve"> }</w:t>
            </w:r>
          </w:p>
          <w:p w14:paraId="47BDB8CF"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 xml:space="preserve">Downlink NPM Transfer Time </w:t>
            </w:r>
            <w:r w:rsidRPr="004D0DAA">
              <w:rPr>
                <w:lang w:eastAsia="en-US"/>
              </w:rPr>
              <w:t>: bit (5) &gt; }</w:t>
            </w:r>
          </w:p>
          <w:p w14:paraId="5467B2FE"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r>
            <w:r w:rsidRPr="004D0DAA">
              <w:rPr>
                <w:lang w:eastAsia="en-US"/>
              </w:rPr>
              <w:tab/>
              <w:t>-- '</w:t>
            </w:r>
            <w:r w:rsidRPr="004D0DAA">
              <w:rPr>
                <w:i/>
                <w:iCs/>
                <w:lang w:eastAsia="en-US"/>
              </w:rPr>
              <w:t xml:space="preserve">1' indicates  </w:t>
            </w:r>
            <w:r w:rsidRPr="004D0DAA">
              <w:rPr>
                <w:i/>
                <w:lang w:eastAsia="en-US"/>
              </w:rPr>
              <w:t>Fast Ack/Nack Reporting is activated for downlink TBF</w:t>
            </w:r>
          </w:p>
          <w:p w14:paraId="294A934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EVENT_BASED_FANR</w:t>
            </w:r>
            <w:r w:rsidRPr="004D0DAA">
              <w:rPr>
                <w:lang w:eastAsia="en-US"/>
              </w:rPr>
              <w:t>: bit (1) &gt; }</w:t>
            </w:r>
          </w:p>
          <w:p w14:paraId="2D014FA2"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2658B3D9"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w:t>
            </w:r>
          </w:p>
          <w:p w14:paraId="33F855F0"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 </w:t>
            </w:r>
          </w:p>
          <w:p w14:paraId="5905A45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xml:space="preserve"> : &lt; EGPRS Modulation and Coding Scheme IE &gt;&gt; </w:t>
            </w:r>
            <w:r w:rsidRPr="004D0DAA">
              <w:rPr>
                <w:szCs w:val="18"/>
                <w:lang w:eastAsia="en-US"/>
              </w:rPr>
              <w:t>}</w:t>
            </w:r>
          </w:p>
          <w:p w14:paraId="487D7FE2"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r w:rsidRPr="004D0DAA">
              <w:rPr>
                <w:rFonts w:cs="Arial"/>
                <w:szCs w:val="18"/>
                <w:lang w:eastAsia="en-US"/>
              </w:rPr>
              <w:tab/>
              <w:t xml:space="preserve">&lt; </w:t>
            </w:r>
            <w:r w:rsidRPr="004D0DAA">
              <w:rPr>
                <w:rFonts w:cs="Arial"/>
                <w:b/>
                <w:szCs w:val="18"/>
                <w:lang w:eastAsia="en-US"/>
              </w:rPr>
              <w:t>RESEGMENT</w:t>
            </w:r>
            <w:r w:rsidRPr="004D0DAA">
              <w:rPr>
                <w:rFonts w:cs="Arial"/>
                <w:szCs w:val="18"/>
                <w:lang w:eastAsia="en-US"/>
              </w:rPr>
              <w:t> : bit (1) &gt;</w:t>
            </w:r>
          </w:p>
          <w:p w14:paraId="119FCD62"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1 </w:t>
            </w:r>
            <w:r w:rsidRPr="004D0DAA">
              <w:rPr>
                <w:lang w:eastAsia="en-US"/>
              </w:rPr>
              <w:t xml:space="preserve">&lt; </w:t>
            </w:r>
            <w:r w:rsidRPr="004D0DAA">
              <w:rPr>
                <w:rFonts w:cs="Arial"/>
                <w:szCs w:val="18"/>
                <w:lang w:eastAsia="en-US"/>
              </w:rPr>
              <w:t xml:space="preserve">&lt; </w:t>
            </w:r>
            <w:r w:rsidRPr="004D0DAA">
              <w:rPr>
                <w:rFonts w:cs="Arial"/>
                <w:b/>
                <w:szCs w:val="18"/>
                <w:lang w:eastAsia="en-US"/>
              </w:rPr>
              <w:t xml:space="preserve">DLMC UL Carrier Info : </w:t>
            </w:r>
            <w:r w:rsidRPr="004D0DAA">
              <w:rPr>
                <w:rFonts w:cs="Arial"/>
                <w:szCs w:val="18"/>
                <w:lang w:eastAsia="en-US"/>
              </w:rPr>
              <w:t>&lt; DLMC UL Carrier Info struct &gt;</w:t>
            </w:r>
            <w:r w:rsidRPr="004D0DAA">
              <w:rPr>
                <w:lang w:eastAsia="en-US"/>
              </w:rPr>
              <w:t xml:space="preserve"> &gt; } ** 0</w:t>
            </w:r>
          </w:p>
          <w:p w14:paraId="3A96D8A2"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val="en-US" w:eastAsia="en-US"/>
              </w:rPr>
              <w:tab/>
            </w:r>
            <w:r w:rsidRPr="004D0DAA">
              <w:rPr>
                <w:rFonts w:cs="Arial"/>
                <w:szCs w:val="18"/>
                <w:lang w:eastAsia="en-US"/>
              </w:rPr>
              <w:t xml:space="preserve">&lt; </w:t>
            </w:r>
            <w:r w:rsidRPr="004D0DAA">
              <w:rPr>
                <w:rFonts w:cs="Arial"/>
                <w:b/>
                <w:szCs w:val="18"/>
                <w:lang w:eastAsia="en-US"/>
              </w:rPr>
              <w:t>UPLINK EGPRS Window Size</w:t>
            </w:r>
            <w:r w:rsidRPr="004D0DAA">
              <w:rPr>
                <w:rFonts w:cs="Arial"/>
                <w:szCs w:val="18"/>
                <w:lang w:eastAsia="en-US"/>
              </w:rPr>
              <w:t> : &lt; EGPRS Window Size IE &gt; &gt; }</w:t>
            </w:r>
          </w:p>
          <w:p w14:paraId="480182E3" w14:textId="77777777" w:rsidR="00711444" w:rsidRPr="004D0DAA" w:rsidRDefault="00711444" w:rsidP="00AA2A4C">
            <w:pPr>
              <w:pStyle w:val="TAL"/>
              <w:rPr>
                <w:lang w:eastAsia="en-US"/>
              </w:rPr>
            </w:pPr>
            <w:r w:rsidRPr="004D0DAA">
              <w:rPr>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lang w:eastAsia="en-US"/>
              </w:rPr>
              <w:t xml:space="preserve">&lt; </w:t>
            </w:r>
            <w:r w:rsidRPr="004D0DAA">
              <w:rPr>
                <w:b/>
                <w:lang w:eastAsia="en-US"/>
              </w:rPr>
              <w:t>UPLINK_TFI_ASSIGNMENT</w:t>
            </w:r>
            <w:r w:rsidRPr="004D0DAA">
              <w:rPr>
                <w:lang w:eastAsia="en-US"/>
              </w:rPr>
              <w:t xml:space="preserve"> : bit (5) &gt;</w:t>
            </w:r>
          </w:p>
          <w:p w14:paraId="7D07159A"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val="en-US"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iCs/>
                <w:lang w:eastAsia="en-US"/>
              </w:rPr>
              <w:t>of uplink TBF</w:t>
            </w:r>
            <w:r w:rsidRPr="004D0DAA">
              <w:rPr>
                <w:iCs/>
                <w:lang w:eastAsia="en-US"/>
              </w:rPr>
              <w:t xml:space="preserve"> : bit (7) &gt;</w:t>
            </w:r>
            <w:r w:rsidRPr="004D0DAA">
              <w:rPr>
                <w:lang w:eastAsia="en-US"/>
              </w:rPr>
              <w:t xml:space="preserve"> }</w:t>
            </w:r>
          </w:p>
          <w:p w14:paraId="13D4BEAB"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UPLINK_RLC_MODE</w:t>
            </w:r>
            <w:r w:rsidRPr="004D0DAA">
              <w:rPr>
                <w:iCs/>
                <w:lang w:eastAsia="en-US"/>
              </w:rPr>
              <w:t xml:space="preserve"> : bit (1) &gt; }</w:t>
            </w:r>
          </w:p>
          <w:p w14:paraId="63A3543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Uplink NPM Transfer Time </w:t>
            </w:r>
            <w:r w:rsidRPr="004D0DAA">
              <w:rPr>
                <w:iCs/>
                <w:lang w:eastAsia="en-US"/>
              </w:rPr>
              <w:t>: bit (5) &gt;</w:t>
            </w:r>
            <w:r w:rsidRPr="004D0DAA">
              <w:rPr>
                <w:lang w:eastAsia="en-US"/>
              </w:rPr>
              <w:t xml:space="preserve"> }</w:t>
            </w:r>
          </w:p>
          <w:p w14:paraId="0BE21D9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 </w:t>
            </w:r>
            <w:r w:rsidRPr="004D0DAA">
              <w:rPr>
                <w:i/>
                <w:iCs/>
                <w:lang w:eastAsia="en-US"/>
              </w:rPr>
              <w:t>'1' indicates that FANR</w:t>
            </w:r>
            <w:r w:rsidRPr="004D0DAA">
              <w:rPr>
                <w:i/>
                <w:lang w:eastAsia="en-US"/>
              </w:rPr>
              <w:t xml:space="preserve"> is  activated</w:t>
            </w:r>
          </w:p>
          <w:p w14:paraId="7C9512DF"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t xml:space="preserve">-- </w:t>
            </w:r>
            <w:r w:rsidRPr="004D0DAA">
              <w:rPr>
                <w:i/>
                <w:lang w:eastAsia="en-US"/>
              </w:rPr>
              <w:t>SSN-based encoding is selected</w:t>
            </w:r>
          </w:p>
          <w:p w14:paraId="7E01F4FC"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t xml:space="preserve">-- </w:t>
            </w:r>
            <w:r w:rsidRPr="004D0DAA">
              <w:rPr>
                <w:i/>
                <w:lang w:eastAsia="en-US"/>
              </w:rPr>
              <w:t>Time-based encoding is selected</w:t>
            </w:r>
          </w:p>
          <w:p w14:paraId="2C20710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REPORTED TIMESLOTS</w:t>
            </w:r>
            <w:r w:rsidRPr="004D0DAA">
              <w:rPr>
                <w:lang w:eastAsia="en-US"/>
              </w:rPr>
              <w:t xml:space="preserve"> : bit (8) &gt;</w:t>
            </w:r>
            <w:r w:rsidRPr="004D0DAA">
              <w:rPr>
                <w:lang w:eastAsia="en-US"/>
              </w:rPr>
              <w:tab/>
            </w:r>
          </w:p>
          <w:p w14:paraId="739D72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TSH</w:t>
            </w:r>
            <w:r w:rsidRPr="004D0DAA">
              <w:rPr>
                <w:lang w:eastAsia="en-US"/>
              </w:rPr>
              <w:t xml:space="preserve"> : bit (2) &gt; } }</w:t>
            </w:r>
          </w:p>
          <w:p w14:paraId="7A3CECE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0E5A858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41C1A4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 xml:space="preserve">Enhanced Flexible Timeslot Assignment </w:t>
            </w:r>
            <w:r w:rsidRPr="004D0DAA">
              <w:rPr>
                <w:iCs/>
                <w:lang w:eastAsia="en-US"/>
              </w:rPr>
              <w:t>: bit  &gt;</w:t>
            </w:r>
          </w:p>
          <w:p w14:paraId="3CC5F52D" w14:textId="77777777" w:rsidR="00711444" w:rsidRPr="004D0DAA" w:rsidRDefault="00711444" w:rsidP="00AA2A4C">
            <w:pPr>
              <w:pStyle w:val="TAL"/>
              <w:rPr>
                <w:rFonts w:cs="Arial"/>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t xml:space="preserve">&lt; </w:t>
            </w:r>
            <w:r w:rsidRPr="004D0DAA">
              <w:rPr>
                <w:b/>
                <w:lang w:eastAsia="en-US"/>
              </w:rPr>
              <w:t>Uplink Control Timeslot</w:t>
            </w:r>
            <w:r w:rsidRPr="004D0DAA">
              <w:rPr>
                <w:lang w:eastAsia="en-US"/>
              </w:rPr>
              <w:t xml:space="preserve"> : bit (3) &gt; } </w:t>
            </w:r>
            <w:r w:rsidRPr="004D0DAA">
              <w:rPr>
                <w:rFonts w:cs="Arial"/>
                <w:szCs w:val="18"/>
                <w:lang w:eastAsia="en-US"/>
              </w:rPr>
              <w:t>}</w:t>
            </w:r>
          </w:p>
          <w:p w14:paraId="115B8A5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Message escape : { 11 } bit (*) = &lt;no string&gt; &gt; } } </w:t>
            </w:r>
            <w:r w:rsidRPr="004D0DAA">
              <w:rPr>
                <w:lang w:eastAsia="en-US"/>
              </w:rPr>
              <w:tab/>
            </w:r>
            <w:r w:rsidRPr="004D0DAA">
              <w:rPr>
                <w:lang w:eastAsia="en-US"/>
              </w:rPr>
              <w:tab/>
            </w:r>
            <w:r w:rsidRPr="004D0DAA">
              <w:rPr>
                <w:lang w:eastAsia="en-US"/>
              </w:rPr>
              <w:tab/>
              <w:t xml:space="preserve">-- </w:t>
            </w:r>
            <w:r w:rsidRPr="004D0DAA">
              <w:rPr>
                <w:i/>
                <w:lang w:eastAsia="en-US"/>
              </w:rPr>
              <w:t>Extended for future changes</w:t>
            </w:r>
          </w:p>
          <w:p w14:paraId="7FD771B6"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07325D37" w14:textId="77777777" w:rsidR="00711444" w:rsidRPr="004D0DAA" w:rsidRDefault="00711444" w:rsidP="00AA2A4C">
            <w:pPr>
              <w:pStyle w:val="TAL"/>
              <w:rPr>
                <w:lang w:eastAsia="en-US"/>
              </w:rPr>
            </w:pPr>
            <w:r w:rsidRPr="004D0DAA">
              <w:rPr>
                <w:lang w:eastAsia="en-US"/>
              </w:rPr>
              <w:tab/>
              <w:t>! &lt; Distribution part error : bit (*) = &lt; no string &gt; &gt; ;</w:t>
            </w:r>
          </w:p>
          <w:p w14:paraId="322EB177" w14:textId="77777777" w:rsidR="00711444" w:rsidRPr="004D0DAA" w:rsidRDefault="00711444" w:rsidP="00AA2A4C">
            <w:pPr>
              <w:pStyle w:val="TAL"/>
              <w:rPr>
                <w:lang w:eastAsia="en-US"/>
              </w:rPr>
            </w:pPr>
          </w:p>
          <w:p w14:paraId="445AFBB2" w14:textId="77777777" w:rsidR="00711444" w:rsidRPr="004D0DAA" w:rsidRDefault="00711444" w:rsidP="00AA2A4C">
            <w:pPr>
              <w:pStyle w:val="TAL"/>
              <w:rPr>
                <w:lang w:eastAsia="en-US"/>
              </w:rPr>
            </w:pPr>
            <w:r w:rsidRPr="004D0DAA">
              <w:rPr>
                <w:lang w:eastAsia="en-US"/>
              </w:rPr>
              <w:t>&lt;Dynamic Allocation struct &gt; ::=</w:t>
            </w:r>
          </w:p>
          <w:p w14:paraId="7176B0D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EXTENDED_DYNAMIC_ ALLOCATION </w:t>
            </w:r>
            <w:r w:rsidRPr="004D0DAA">
              <w:rPr>
                <w:lang w:eastAsia="en-US"/>
              </w:rPr>
              <w:t>: bit (1) &gt;</w:t>
            </w:r>
          </w:p>
          <w:p w14:paraId="716BAF8D" w14:textId="77777777" w:rsidR="00711444" w:rsidRPr="004D0DAA" w:rsidRDefault="00711444" w:rsidP="00AA2A4C">
            <w:pPr>
              <w:pStyle w:val="TAL"/>
              <w:rPr>
                <w:lang w:eastAsia="en-US"/>
              </w:rPr>
            </w:pPr>
          </w:p>
        </w:tc>
      </w:tr>
      <w:tr w:rsidR="00711444" w:rsidRPr="004D0DAA" w14:paraId="62D5300C" w14:textId="77777777" w:rsidTr="00AA2A4C">
        <w:tblPrEx>
          <w:tblCellMar>
            <w:top w:w="0" w:type="dxa"/>
            <w:bottom w:w="0" w:type="dxa"/>
          </w:tblCellMar>
        </w:tblPrEx>
        <w:trPr>
          <w:cantSplit/>
        </w:trPr>
        <w:tc>
          <w:tcPr>
            <w:tcW w:w="9848" w:type="dxa"/>
          </w:tcPr>
          <w:p w14:paraId="242322A0" w14:textId="77777777" w:rsidR="00711444" w:rsidRPr="004D0DAA" w:rsidRDefault="00711444" w:rsidP="00AA2A4C">
            <w:pPr>
              <w:pStyle w:val="TAL"/>
              <w:rPr>
                <w:lang w:val="sv-SE" w:eastAsia="en-US"/>
              </w:rPr>
            </w:pPr>
            <w:r w:rsidRPr="004D0DAA">
              <w:rPr>
                <w:lang w:eastAsia="en-US"/>
              </w:rPr>
              <w:lastRenderedPageBreak/>
              <w:tab/>
            </w:r>
            <w:r w:rsidRPr="004D0DAA">
              <w:rPr>
                <w:lang w:val="sv-SE" w:eastAsia="en-US"/>
              </w:rPr>
              <w:t>{ 0 | 1</w:t>
            </w:r>
            <w:r w:rsidRPr="004D0DAA">
              <w:rPr>
                <w:lang w:val="sv-SE" w:eastAsia="en-US"/>
              </w:rPr>
              <w:tab/>
              <w:t xml:space="preserve">&lt; </w:t>
            </w:r>
            <w:r w:rsidRPr="004D0DAA">
              <w:rPr>
                <w:b/>
                <w:lang w:val="sv-SE" w:eastAsia="en-US"/>
              </w:rPr>
              <w:t>P0</w:t>
            </w:r>
            <w:r w:rsidRPr="004D0DAA">
              <w:rPr>
                <w:lang w:val="sv-SE" w:eastAsia="en-US"/>
              </w:rPr>
              <w:t xml:space="preserve"> : bit (4) &gt; </w:t>
            </w:r>
          </w:p>
          <w:p w14:paraId="72F41B01"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w:t>
            </w:r>
            <w:r w:rsidRPr="004D0DAA">
              <w:rPr>
                <w:lang w:val="sv-SE" w:eastAsia="en-US"/>
              </w:rPr>
              <w:t> : bit (1) &gt; }</w:t>
            </w:r>
          </w:p>
          <w:p w14:paraId="19BCEF20" w14:textId="77777777" w:rsidR="00711444" w:rsidRPr="004D0DAA" w:rsidRDefault="00711444" w:rsidP="00AA2A4C">
            <w:pPr>
              <w:pStyle w:val="TAL"/>
              <w:rPr>
                <w:lang w:eastAsia="en-US"/>
              </w:rPr>
            </w:pPr>
            <w:r w:rsidRPr="004D0DAA">
              <w:rPr>
                <w:lang w:val="sv-SE" w:eastAsia="en-US"/>
              </w:rPr>
              <w:tab/>
            </w:r>
            <w:r w:rsidRPr="004D0DAA">
              <w:rPr>
                <w:lang w:eastAsia="en-US"/>
              </w:rPr>
              <w:t xml:space="preserve">&lt; </w:t>
            </w:r>
            <w:r w:rsidRPr="004D0DAA">
              <w:rPr>
                <w:b/>
                <w:lang w:eastAsia="en-US"/>
              </w:rPr>
              <w:t>USF_GRANULARITY</w:t>
            </w:r>
            <w:r w:rsidRPr="004D0DAA">
              <w:rPr>
                <w:lang w:eastAsia="en-US"/>
              </w:rPr>
              <w:t xml:space="preserve"> : bit (1) &gt;</w:t>
            </w:r>
          </w:p>
          <w:p w14:paraId="002E588C" w14:textId="77777777" w:rsidR="00711444" w:rsidRPr="004D0DAA" w:rsidRDefault="00711444" w:rsidP="00AA2A4C">
            <w:pPr>
              <w:pStyle w:val="TAL"/>
              <w:rPr>
                <w:i/>
                <w:lang w:eastAsia="en-US"/>
              </w:rPr>
            </w:pPr>
            <w:r w:rsidRPr="004D0DAA">
              <w:rPr>
                <w:i/>
                <w:lang w:eastAsia="en-US"/>
              </w:rPr>
              <w:tab/>
            </w:r>
            <w:r w:rsidRPr="004D0DAA">
              <w:rPr>
                <w:lang w:eastAsia="en-US"/>
              </w:rPr>
              <w:t>0</w:t>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The value '1' was allocated in an earlier version of the protocol and shall not be used.</w:t>
            </w:r>
          </w:p>
          <w:p w14:paraId="0D07B600"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TBF Starting Time </w:t>
            </w:r>
            <w:r w:rsidRPr="004D0DAA">
              <w:rPr>
                <w:lang w:eastAsia="en-US"/>
              </w:rPr>
              <w:t>: &lt; Starting Frame Number Description IE &gt; &gt; }</w:t>
            </w:r>
          </w:p>
          <w:p w14:paraId="7BDDC7E2"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Timeslot Allocation</w:t>
            </w:r>
          </w:p>
          <w:p w14:paraId="064A25ED"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USF_TN0 </w:t>
            </w:r>
            <w:r w:rsidRPr="004D0DAA">
              <w:rPr>
                <w:lang w:eastAsia="en-US"/>
              </w:rPr>
              <w:t>: bit (3) &gt; }</w:t>
            </w:r>
          </w:p>
          <w:p w14:paraId="659DB0F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USF_TN1 </w:t>
            </w:r>
            <w:r w:rsidRPr="004D0DAA">
              <w:rPr>
                <w:lang w:eastAsia="en-US"/>
              </w:rPr>
              <w:t>: bit (3) &gt; }</w:t>
            </w:r>
          </w:p>
          <w:p w14:paraId="6D9AD296"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USF_TN2 </w:t>
            </w:r>
            <w:r w:rsidRPr="004D0DAA">
              <w:rPr>
                <w:lang w:eastAsia="en-US"/>
              </w:rPr>
              <w:t>: bit (3) &gt; }</w:t>
            </w:r>
          </w:p>
          <w:p w14:paraId="678DC30B"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USF_TN3 </w:t>
            </w:r>
            <w:r w:rsidRPr="004D0DAA">
              <w:rPr>
                <w:lang w:eastAsia="en-US"/>
              </w:rPr>
              <w:t>: bit (3) &gt; }</w:t>
            </w:r>
          </w:p>
          <w:p w14:paraId="44807542"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USF_TN4 </w:t>
            </w:r>
            <w:r w:rsidRPr="004D0DAA">
              <w:rPr>
                <w:lang w:eastAsia="en-US"/>
              </w:rPr>
              <w:t>: bit (3) &gt; }</w:t>
            </w:r>
          </w:p>
          <w:p w14:paraId="0F1F2CE9"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USF_TN5 </w:t>
            </w:r>
            <w:r w:rsidRPr="004D0DAA">
              <w:rPr>
                <w:lang w:eastAsia="en-US"/>
              </w:rPr>
              <w:t>: bit (3) &gt; }</w:t>
            </w:r>
          </w:p>
          <w:p w14:paraId="3A0AA882"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USF_TN6 </w:t>
            </w:r>
            <w:r w:rsidRPr="004D0DAA">
              <w:rPr>
                <w:lang w:eastAsia="en-US"/>
              </w:rPr>
              <w:t>: bit (3) &gt; }</w:t>
            </w:r>
          </w:p>
          <w:p w14:paraId="45EF501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USF_TN7 </w:t>
            </w:r>
            <w:r w:rsidRPr="004D0DAA">
              <w:rPr>
                <w:lang w:eastAsia="en-US"/>
              </w:rPr>
              <w:t>: bit (3) &gt; }</w:t>
            </w:r>
          </w:p>
          <w:p w14:paraId="08E0DD3A"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Timeslot Allocation with Power Control Parameters</w:t>
            </w:r>
          </w:p>
          <w:p w14:paraId="35939D23" w14:textId="77777777" w:rsidR="00711444" w:rsidRPr="004D0DAA" w:rsidRDefault="00711444" w:rsidP="00AA2A4C">
            <w:pPr>
              <w:pStyle w:val="TAL"/>
              <w:rPr>
                <w:lang w:val="sv-SE" w:eastAsia="en-US"/>
              </w:rPr>
            </w:pPr>
            <w:r w:rsidRPr="004D0DAA">
              <w:rPr>
                <w:lang w:eastAsia="en-US"/>
              </w:rPr>
              <w:tab/>
            </w:r>
            <w:r w:rsidRPr="004D0DAA">
              <w:rPr>
                <w:lang w:eastAsia="en-US"/>
              </w:rPr>
              <w:tab/>
            </w:r>
            <w:r w:rsidRPr="004D0DAA">
              <w:rPr>
                <w:lang w:val="sv-SE" w:eastAsia="en-US"/>
              </w:rPr>
              <w:t xml:space="preserve">&lt; </w:t>
            </w:r>
            <w:r w:rsidRPr="004D0DAA">
              <w:rPr>
                <w:b/>
                <w:lang w:val="sv-SE" w:eastAsia="en-US"/>
              </w:rPr>
              <w:t xml:space="preserve">ALPHA </w:t>
            </w:r>
            <w:r w:rsidRPr="004D0DAA">
              <w:rPr>
                <w:lang w:val="sv-SE" w:eastAsia="en-US"/>
              </w:rPr>
              <w:t>: bit (4) &gt;</w:t>
            </w:r>
          </w:p>
          <w:p w14:paraId="7B0021DA"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USF_TN0 </w:t>
            </w:r>
            <w:r w:rsidRPr="004D0DAA">
              <w:rPr>
                <w:lang w:val="sv-SE" w:eastAsia="en-US"/>
              </w:rPr>
              <w:t>: bit (3) &gt;</w:t>
            </w:r>
          </w:p>
          <w:p w14:paraId="4F1F95B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GAMMA_TN0 </w:t>
            </w:r>
            <w:r w:rsidRPr="004D0DAA">
              <w:rPr>
                <w:lang w:val="sv-SE" w:eastAsia="en-US"/>
              </w:rPr>
              <w:t>: bit (5) &gt; }</w:t>
            </w:r>
          </w:p>
          <w:p w14:paraId="09C06315"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USF_TN1 </w:t>
            </w:r>
            <w:r w:rsidRPr="004D0DAA">
              <w:rPr>
                <w:lang w:val="sv-SE" w:eastAsia="en-US"/>
              </w:rPr>
              <w:t>: bit (3) &gt;</w:t>
            </w:r>
          </w:p>
          <w:p w14:paraId="34A5D3E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GAMMA_TN1 </w:t>
            </w:r>
            <w:r w:rsidRPr="004D0DAA">
              <w:rPr>
                <w:lang w:val="sv-SE" w:eastAsia="en-US"/>
              </w:rPr>
              <w:t>: bit (5) &gt; }</w:t>
            </w:r>
          </w:p>
          <w:p w14:paraId="58C006E2"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USF_TN2 </w:t>
            </w:r>
            <w:r w:rsidRPr="004D0DAA">
              <w:rPr>
                <w:lang w:val="sv-SE" w:eastAsia="en-US"/>
              </w:rPr>
              <w:t>: bit (3) &gt;</w:t>
            </w:r>
          </w:p>
          <w:p w14:paraId="59D4F97F"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GAMMA_TN2 </w:t>
            </w:r>
            <w:r w:rsidRPr="004D0DAA">
              <w:rPr>
                <w:lang w:val="sv-SE" w:eastAsia="en-US"/>
              </w:rPr>
              <w:t>: bit (5) &gt; }</w:t>
            </w:r>
          </w:p>
          <w:p w14:paraId="5A745E78"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USF_TN3 </w:t>
            </w:r>
            <w:r w:rsidRPr="004D0DAA">
              <w:rPr>
                <w:lang w:val="sv-SE" w:eastAsia="en-US"/>
              </w:rPr>
              <w:t>: bit (3) &gt;</w:t>
            </w:r>
          </w:p>
          <w:p w14:paraId="3D58F98F"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GAMMA_TN3 </w:t>
            </w:r>
            <w:r w:rsidRPr="004D0DAA">
              <w:rPr>
                <w:lang w:val="sv-SE" w:eastAsia="en-US"/>
              </w:rPr>
              <w:t>: bit (5) &gt; }</w:t>
            </w:r>
          </w:p>
          <w:p w14:paraId="196AC63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USF_TN4 </w:t>
            </w:r>
            <w:r w:rsidRPr="004D0DAA">
              <w:rPr>
                <w:lang w:val="sv-SE" w:eastAsia="en-US"/>
              </w:rPr>
              <w:t>: bit (3) &gt;</w:t>
            </w:r>
          </w:p>
          <w:p w14:paraId="304392C3"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GAMMA_TN4 </w:t>
            </w:r>
            <w:r w:rsidRPr="004D0DAA">
              <w:rPr>
                <w:lang w:val="sv-SE" w:eastAsia="en-US"/>
              </w:rPr>
              <w:t>: bit (5) &gt; }</w:t>
            </w:r>
          </w:p>
          <w:p w14:paraId="2B6207B3"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USF_TN5 </w:t>
            </w:r>
            <w:r w:rsidRPr="004D0DAA">
              <w:rPr>
                <w:lang w:val="sv-SE" w:eastAsia="en-US"/>
              </w:rPr>
              <w:t>: bit (3) &gt;</w:t>
            </w:r>
          </w:p>
          <w:p w14:paraId="6ACE3517"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GAMMA_TN5 </w:t>
            </w:r>
            <w:r w:rsidRPr="004D0DAA">
              <w:rPr>
                <w:lang w:val="sv-SE" w:eastAsia="en-US"/>
              </w:rPr>
              <w:t>: bit (5) &gt; }</w:t>
            </w:r>
          </w:p>
          <w:p w14:paraId="03D7B61C"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USF_TN6 </w:t>
            </w:r>
            <w:r w:rsidRPr="004D0DAA">
              <w:rPr>
                <w:lang w:val="sv-SE" w:eastAsia="en-US"/>
              </w:rPr>
              <w:t>: bit (3) &gt;</w:t>
            </w:r>
          </w:p>
          <w:p w14:paraId="0572024E"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GAMMA_TN6 </w:t>
            </w:r>
            <w:r w:rsidRPr="004D0DAA">
              <w:rPr>
                <w:lang w:val="sv-SE" w:eastAsia="en-US"/>
              </w:rPr>
              <w:t>: bit (5) &gt; }</w:t>
            </w:r>
          </w:p>
          <w:p w14:paraId="01CF0B4F"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 xml:space="preserve">USF_TN7 </w:t>
            </w:r>
            <w:r w:rsidRPr="004D0DAA">
              <w:rPr>
                <w:lang w:val="sv-SE" w:eastAsia="en-US"/>
              </w:rPr>
              <w:t>: bit (3) &gt;</w:t>
            </w:r>
          </w:p>
          <w:p w14:paraId="7EF1862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 xml:space="preserve">GAMMA_TN7 </w:t>
            </w:r>
            <w:r w:rsidRPr="004D0DAA">
              <w:rPr>
                <w:lang w:val="sv-SE" w:eastAsia="en-US"/>
              </w:rPr>
              <w:t>: bit (5) &gt; } } ;</w:t>
            </w:r>
          </w:p>
          <w:p w14:paraId="12B55A33" w14:textId="77777777" w:rsidR="00711444" w:rsidRPr="004D0DAA" w:rsidRDefault="00711444" w:rsidP="00AA2A4C">
            <w:pPr>
              <w:pStyle w:val="TAL"/>
              <w:ind w:left="284"/>
              <w:rPr>
                <w:lang w:val="sv-SE" w:eastAsia="en-US"/>
              </w:rPr>
            </w:pPr>
          </w:p>
          <w:p w14:paraId="525205A8" w14:textId="77777777" w:rsidR="00711444" w:rsidRPr="004D0DAA" w:rsidRDefault="00711444" w:rsidP="00AA2A4C">
            <w:pPr>
              <w:pStyle w:val="TAL"/>
              <w:ind w:left="284"/>
              <w:rPr>
                <w:lang w:eastAsia="en-US"/>
              </w:rPr>
            </w:pPr>
            <w:r w:rsidRPr="004D0DAA">
              <w:rPr>
                <w:lang w:eastAsia="en-US"/>
              </w:rPr>
              <w:t xml:space="preserve">&lt; Dynamic Allocation 2 struct &gt; ::= </w:t>
            </w:r>
          </w:p>
          <w:p w14:paraId="2FAFE18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EXTENDED_DYNAMIC_ALLOCATION</w:t>
            </w:r>
            <w:r w:rsidRPr="004D0DAA">
              <w:rPr>
                <w:lang w:eastAsia="en-US"/>
              </w:rPr>
              <w:t xml:space="preserve"> : bit (1) &gt; </w:t>
            </w:r>
          </w:p>
          <w:p w14:paraId="096C2701" w14:textId="77777777" w:rsidR="00711444" w:rsidRPr="004D0DAA" w:rsidRDefault="00711444" w:rsidP="00AA2A4C">
            <w:pPr>
              <w:pStyle w:val="TAL"/>
              <w:rPr>
                <w:lang w:val="sv-SE" w:eastAsia="en-US"/>
              </w:rPr>
            </w:pPr>
            <w:r w:rsidRPr="004D0DAA">
              <w:rPr>
                <w:lang w:eastAsia="en-US"/>
              </w:rPr>
              <w:tab/>
            </w:r>
            <w:r w:rsidRPr="004D0DAA">
              <w:rPr>
                <w:lang w:val="sv-SE" w:eastAsia="en-US"/>
              </w:rPr>
              <w:t>{ 0 | 1</w:t>
            </w:r>
            <w:r w:rsidRPr="004D0DAA">
              <w:rPr>
                <w:lang w:val="sv-SE" w:eastAsia="en-US"/>
              </w:rPr>
              <w:tab/>
              <w:t xml:space="preserve">&lt; </w:t>
            </w:r>
            <w:r w:rsidRPr="004D0DAA">
              <w:rPr>
                <w:b/>
                <w:lang w:val="sv-SE" w:eastAsia="en-US"/>
              </w:rPr>
              <w:t>P0_C1</w:t>
            </w:r>
            <w:r w:rsidRPr="004D0DAA">
              <w:rPr>
                <w:lang w:val="sv-SE" w:eastAsia="en-US"/>
              </w:rPr>
              <w:t xml:space="preserve"> : bit (4) &gt; </w:t>
            </w:r>
          </w:p>
          <w:p w14:paraId="152109D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PR_MODE_C1</w:t>
            </w:r>
            <w:r w:rsidRPr="004D0DAA">
              <w:rPr>
                <w:lang w:val="sv-SE" w:eastAsia="en-US"/>
              </w:rPr>
              <w:t xml:space="preserve"> : bit (1) &gt; </w:t>
            </w:r>
          </w:p>
          <w:p w14:paraId="2F84151D"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t>{ 0 | 1</w:t>
            </w:r>
            <w:r w:rsidRPr="004D0DAA">
              <w:rPr>
                <w:lang w:val="sv-SE" w:eastAsia="en-US"/>
              </w:rPr>
              <w:tab/>
              <w:t xml:space="preserve">&lt; </w:t>
            </w:r>
            <w:r w:rsidRPr="004D0DAA">
              <w:rPr>
                <w:b/>
                <w:lang w:val="sv-SE" w:eastAsia="en-US"/>
              </w:rPr>
              <w:t>P0_C2</w:t>
            </w:r>
            <w:r w:rsidRPr="004D0DAA">
              <w:rPr>
                <w:lang w:val="sv-SE" w:eastAsia="en-US"/>
              </w:rPr>
              <w:t xml:space="preserve"> : bit (4) &gt; </w:t>
            </w:r>
          </w:p>
          <w:p w14:paraId="792ACB5B" w14:textId="77777777" w:rsidR="00711444" w:rsidRPr="004D0DAA" w:rsidRDefault="00711444" w:rsidP="00AA2A4C">
            <w:pPr>
              <w:pStyle w:val="TAL"/>
              <w:rPr>
                <w:lang w:val="sv-SE"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val="sv-SE" w:eastAsia="en-US"/>
              </w:rPr>
              <w:tab/>
              <w:t xml:space="preserve">&lt; </w:t>
            </w:r>
            <w:r w:rsidRPr="004D0DAA">
              <w:rPr>
                <w:b/>
                <w:lang w:val="sv-SE" w:eastAsia="en-US"/>
              </w:rPr>
              <w:t>PR_MODE_C2</w:t>
            </w:r>
            <w:r w:rsidRPr="004D0DAA">
              <w:rPr>
                <w:lang w:val="sv-SE" w:eastAsia="en-US"/>
              </w:rPr>
              <w:t xml:space="preserve"> : bit (1) &gt; } }</w:t>
            </w:r>
          </w:p>
          <w:p w14:paraId="79C84962" w14:textId="77777777" w:rsidR="00711444" w:rsidRPr="004D0DAA" w:rsidRDefault="00711444" w:rsidP="00AA2A4C">
            <w:pPr>
              <w:pStyle w:val="TAL"/>
              <w:rPr>
                <w:lang w:eastAsia="en-US"/>
              </w:rPr>
            </w:pPr>
            <w:r w:rsidRPr="004D0DAA">
              <w:rPr>
                <w:lang w:val="sv-SE" w:eastAsia="en-US"/>
              </w:rPr>
              <w:tab/>
            </w:r>
            <w:r w:rsidRPr="004D0DAA">
              <w:rPr>
                <w:lang w:eastAsia="en-US"/>
              </w:rPr>
              <w:t xml:space="preserve">&lt; </w:t>
            </w:r>
            <w:r w:rsidRPr="004D0DAA">
              <w:rPr>
                <w:b/>
                <w:lang w:eastAsia="en-US"/>
              </w:rPr>
              <w:t>USF_GRANULARITY</w:t>
            </w:r>
            <w:r w:rsidRPr="004D0DAA">
              <w:rPr>
                <w:lang w:eastAsia="en-US"/>
              </w:rPr>
              <w:t xml:space="preserve"> : bit (1) &gt;</w:t>
            </w:r>
          </w:p>
          <w:p w14:paraId="13B42107"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UPLINK_TFI_ASSIGNMENT</w:t>
            </w:r>
            <w:r w:rsidRPr="004D0DAA">
              <w:rPr>
                <w:lang w:eastAsia="en-US"/>
              </w:rPr>
              <w:t xml:space="preserve"> : bit (5) &gt; }</w:t>
            </w:r>
          </w:p>
          <w:p w14:paraId="0063B6BB" w14:textId="77777777" w:rsidR="00711444" w:rsidRPr="004D0DAA" w:rsidRDefault="00711444" w:rsidP="00AA2A4C">
            <w:pPr>
              <w:pStyle w:val="TAL"/>
              <w:rPr>
                <w:rFonts w:cs="Arial"/>
                <w:lang w:eastAsia="en-US"/>
              </w:rPr>
            </w:pPr>
            <w:r w:rsidRPr="004D0DAA">
              <w:rPr>
                <w:rFonts w:cs="Arial"/>
                <w:lang w:eastAsia="en-US"/>
              </w:rPr>
              <w:tab/>
              <w:t>{ 0</w:t>
            </w:r>
            <w:r w:rsidRPr="004D0DAA">
              <w:rPr>
                <w:rFonts w:cs="Arial"/>
                <w:lang w:eastAsia="en-US"/>
              </w:rPr>
              <w:tab/>
            </w:r>
            <w:r w:rsidRPr="004D0DAA">
              <w:rPr>
                <w:rFonts w:cs="Arial"/>
                <w:lang w:eastAsia="en-US"/>
              </w:rPr>
              <w:tab/>
            </w:r>
            <w:r w:rsidRPr="004D0DAA">
              <w:rPr>
                <w:rFonts w:cs="Arial"/>
                <w:lang w:eastAsia="en-US"/>
              </w:rPr>
              <w:tab/>
              <w:t>-- Allocation without Power Control Parameters</w:t>
            </w:r>
          </w:p>
          <w:p w14:paraId="0C65C55B"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 xml:space="preserve">N_USF </w:t>
            </w:r>
            <w:r w:rsidRPr="004D0DAA">
              <w:rPr>
                <w:rFonts w:eastAsia="SimSun" w:cs="Arial"/>
                <w:szCs w:val="18"/>
                <w:lang w:eastAsia="zh-CN"/>
              </w:rPr>
              <w:t>: bit (4) &gt;</w:t>
            </w:r>
          </w:p>
          <w:p w14:paraId="3750E7FC" w14:textId="77777777" w:rsidR="00711444" w:rsidRPr="004D0DAA" w:rsidRDefault="00711444" w:rsidP="00AA2A4C">
            <w:pPr>
              <w:pStyle w:val="TAL"/>
              <w:rPr>
                <w:rFonts w:eastAsia="SimSun" w:cs="Arial"/>
                <w:szCs w:val="18"/>
                <w:lang w:val="sv-SE"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val="sv-SE" w:eastAsia="zh-CN"/>
              </w:rPr>
              <w:t xml:space="preserve">{ 0 | 1 &lt; </w:t>
            </w:r>
            <w:r w:rsidRPr="004D0DAA">
              <w:rPr>
                <w:rFonts w:eastAsia="SimSun" w:cs="Arial"/>
                <w:b/>
                <w:bCs/>
                <w:szCs w:val="18"/>
                <w:lang w:val="sv-SE" w:eastAsia="zh-CN"/>
              </w:rPr>
              <w:t>USF</w:t>
            </w:r>
            <w:r w:rsidRPr="004D0DAA">
              <w:rPr>
                <w:rFonts w:eastAsia="SimSun" w:cs="Arial"/>
                <w:szCs w:val="18"/>
                <w:lang w:val="sv-SE" w:eastAsia="zh-CN"/>
              </w:rPr>
              <w:t xml:space="preserve"> : bit (3) &gt; } *( val(</w:t>
            </w:r>
            <w:r w:rsidRPr="004D0DAA">
              <w:rPr>
                <w:rFonts w:eastAsia="SimSun" w:cs="Arial"/>
                <w:b/>
                <w:bCs/>
                <w:szCs w:val="18"/>
                <w:lang w:val="sv-SE" w:eastAsia="zh-CN"/>
              </w:rPr>
              <w:t>N_USF</w:t>
            </w:r>
            <w:r w:rsidRPr="004D0DAA">
              <w:rPr>
                <w:rFonts w:eastAsia="SimSun" w:cs="Arial"/>
                <w:szCs w:val="18"/>
                <w:lang w:val="sv-SE" w:eastAsia="zh-CN"/>
              </w:rPr>
              <w:t>) + 1)</w:t>
            </w:r>
          </w:p>
          <w:p w14:paraId="35E0920B" w14:textId="77777777" w:rsidR="00711444" w:rsidRPr="004D0DAA" w:rsidRDefault="00711444" w:rsidP="00AA2A4C">
            <w:pPr>
              <w:pStyle w:val="TAL"/>
              <w:rPr>
                <w:rFonts w:cs="Arial"/>
                <w:lang w:eastAsia="en-US"/>
              </w:rPr>
            </w:pPr>
            <w:r w:rsidRPr="004D0DAA">
              <w:rPr>
                <w:rFonts w:cs="Arial"/>
                <w:lang w:val="sv-SE" w:eastAsia="en-US"/>
              </w:rPr>
              <w:tab/>
            </w:r>
            <w:r w:rsidRPr="004D0DAA">
              <w:rPr>
                <w:rFonts w:cs="Arial"/>
                <w:lang w:eastAsia="en-US"/>
              </w:rPr>
              <w:t>| 1</w:t>
            </w:r>
            <w:r w:rsidRPr="004D0DAA">
              <w:rPr>
                <w:rFonts w:cs="Arial"/>
                <w:lang w:eastAsia="en-US"/>
              </w:rPr>
              <w:tab/>
            </w:r>
            <w:r w:rsidRPr="004D0DAA">
              <w:rPr>
                <w:rFonts w:cs="Arial"/>
                <w:lang w:eastAsia="en-US"/>
              </w:rPr>
              <w:tab/>
            </w:r>
            <w:r w:rsidRPr="004D0DAA">
              <w:rPr>
                <w:rFonts w:cs="Arial"/>
                <w:lang w:eastAsia="en-US"/>
              </w:rPr>
              <w:tab/>
              <w:t>-- Allocation with Power Control Parameters</w:t>
            </w:r>
          </w:p>
          <w:p w14:paraId="034F82F2"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t xml:space="preserve">&lt; </w:t>
            </w:r>
            <w:r w:rsidRPr="004D0DAA">
              <w:rPr>
                <w:rFonts w:cs="Arial"/>
                <w:b/>
                <w:lang w:eastAsia="en-US"/>
              </w:rPr>
              <w:t>ALPHA_C1</w:t>
            </w:r>
            <w:r w:rsidRPr="004D0DAA">
              <w:rPr>
                <w:rFonts w:cs="Arial"/>
                <w:lang w:eastAsia="en-US"/>
              </w:rPr>
              <w:t>: bit (4) &gt;</w:t>
            </w:r>
          </w:p>
          <w:p w14:paraId="1C5F3451" w14:textId="77777777" w:rsidR="00711444" w:rsidRPr="004D0DAA" w:rsidRDefault="00711444" w:rsidP="00AA2A4C">
            <w:pPr>
              <w:pStyle w:val="TAL"/>
              <w:rPr>
                <w:rFonts w:cs="Arial"/>
                <w:lang w:val="sv-SE" w:eastAsia="en-US"/>
              </w:rPr>
            </w:pPr>
            <w:r w:rsidRPr="004D0DAA">
              <w:rPr>
                <w:rFonts w:cs="Arial"/>
                <w:lang w:eastAsia="en-US"/>
              </w:rPr>
              <w:tab/>
            </w:r>
            <w:r w:rsidRPr="004D0DAA">
              <w:rPr>
                <w:rFonts w:cs="Arial"/>
                <w:lang w:eastAsia="en-US"/>
              </w:rPr>
              <w:tab/>
            </w:r>
            <w:r w:rsidRPr="004D0DAA">
              <w:rPr>
                <w:rFonts w:cs="Arial"/>
                <w:lang w:val="sv-SE" w:eastAsia="en-US"/>
              </w:rPr>
              <w:t xml:space="preserve">{ 0 | 1 &lt; </w:t>
            </w:r>
            <w:r w:rsidRPr="004D0DAA">
              <w:rPr>
                <w:rFonts w:cs="Arial"/>
                <w:b/>
                <w:lang w:val="sv-SE" w:eastAsia="en-US"/>
              </w:rPr>
              <w:t>ALPHA_C2</w:t>
            </w:r>
            <w:r w:rsidRPr="004D0DAA">
              <w:rPr>
                <w:rFonts w:cs="Arial"/>
                <w:lang w:val="sv-SE" w:eastAsia="en-US"/>
              </w:rPr>
              <w:t>: bit (4) &gt; }</w:t>
            </w:r>
          </w:p>
          <w:p w14:paraId="0B66B5F6" w14:textId="77777777" w:rsidR="00711444" w:rsidRPr="004D0DAA" w:rsidRDefault="00711444" w:rsidP="00AA2A4C">
            <w:pPr>
              <w:pStyle w:val="TAL"/>
              <w:rPr>
                <w:rFonts w:eastAsia="SimSun" w:cs="Arial"/>
                <w:iCs/>
                <w:szCs w:val="18"/>
                <w:lang w:val="sv-SE" w:eastAsia="zh-CN"/>
              </w:rPr>
            </w:pPr>
            <w:r w:rsidRPr="004D0DAA">
              <w:rPr>
                <w:rFonts w:eastAsia="SimSun" w:cs="Arial"/>
                <w:szCs w:val="18"/>
                <w:lang w:val="sv-SE" w:eastAsia="zh-CN"/>
              </w:rPr>
              <w:tab/>
            </w:r>
            <w:r w:rsidRPr="004D0DAA">
              <w:rPr>
                <w:rFonts w:eastAsia="SimSun" w:cs="Arial"/>
                <w:szCs w:val="18"/>
                <w:lang w:val="sv-SE" w:eastAsia="zh-CN"/>
              </w:rPr>
              <w:tab/>
              <w:t>{ 0</w:t>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w:t>
            </w:r>
            <w:r w:rsidRPr="004D0DAA">
              <w:rPr>
                <w:rFonts w:eastAsia="SimSun" w:cs="Arial"/>
                <w:iCs/>
                <w:szCs w:val="18"/>
                <w:lang w:val="sv-SE" w:eastAsia="zh-CN"/>
              </w:rPr>
              <w:t>BTTI mode</w:t>
            </w:r>
          </w:p>
          <w:p w14:paraId="7E5F6120"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 xml:space="preserve">N_TS </w:t>
            </w:r>
            <w:r w:rsidRPr="004D0DAA">
              <w:rPr>
                <w:rFonts w:eastAsia="SimSun" w:cs="Arial"/>
                <w:szCs w:val="18"/>
                <w:lang w:val="sv-SE" w:eastAsia="zh-CN"/>
              </w:rPr>
              <w:t>: bit (4) &gt;</w:t>
            </w:r>
          </w:p>
          <w:p w14:paraId="2C1E02C2"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w:t>
            </w:r>
          </w:p>
          <w:p w14:paraId="165CA951"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USF</w:t>
            </w:r>
            <w:r w:rsidRPr="004D0DAA">
              <w:rPr>
                <w:rFonts w:eastAsia="SimSun" w:cs="Arial"/>
                <w:szCs w:val="18"/>
                <w:lang w:val="sv-SE" w:eastAsia="zh-CN"/>
              </w:rPr>
              <w:t xml:space="preserve"> : bit (3) &gt;</w:t>
            </w:r>
          </w:p>
          <w:p w14:paraId="7BD83DEC" w14:textId="77777777" w:rsidR="00711444" w:rsidRPr="004D0DAA" w:rsidRDefault="00711444" w:rsidP="00AA2A4C">
            <w:pPr>
              <w:pStyle w:val="TAL"/>
              <w:rPr>
                <w:szCs w:val="18"/>
                <w:lang w:val="sv-SE" w:eastAsia="en-US"/>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cs="Arial"/>
                <w:szCs w:val="18"/>
                <w:lang w:val="sv-SE" w:eastAsia="en-US"/>
              </w:rPr>
              <w:t xml:space="preserve">&lt; </w:t>
            </w:r>
            <w:r w:rsidRPr="004D0DAA">
              <w:rPr>
                <w:rFonts w:cs="Arial"/>
                <w:b/>
                <w:szCs w:val="18"/>
                <w:lang w:val="sv-SE" w:eastAsia="en-US"/>
              </w:rPr>
              <w:t>GAMMA</w:t>
            </w:r>
            <w:r w:rsidRPr="004D0DAA">
              <w:rPr>
                <w:rFonts w:cs="Arial"/>
                <w:szCs w:val="18"/>
                <w:lang w:val="sv-SE" w:eastAsia="en-US"/>
              </w:rPr>
              <w:t>: bit (5) &gt;</w:t>
            </w:r>
            <w:r w:rsidRPr="004D0DAA">
              <w:rPr>
                <w:szCs w:val="18"/>
                <w:lang w:val="sv-SE" w:eastAsia="en-US"/>
              </w:rPr>
              <w:t xml:space="preserve"> </w:t>
            </w:r>
          </w:p>
          <w:p w14:paraId="31CC7B19" w14:textId="77777777" w:rsidR="00711444" w:rsidRPr="004D0DAA" w:rsidRDefault="00711444" w:rsidP="00AA2A4C">
            <w:pPr>
              <w:pStyle w:val="TAL"/>
              <w:rPr>
                <w:rFonts w:eastAsia="SimSun" w:cs="Arial"/>
                <w:szCs w:val="18"/>
                <w:lang w:val="sv-SE" w:eastAsia="zh-CN"/>
              </w:rPr>
            </w:pPr>
            <w:r w:rsidRPr="004D0DAA">
              <w:rPr>
                <w:szCs w:val="18"/>
                <w:lang w:val="sv-SE" w:eastAsia="en-US"/>
              </w:rPr>
              <w:tab/>
            </w:r>
            <w:r w:rsidRPr="004D0DAA">
              <w:rPr>
                <w:szCs w:val="18"/>
                <w:lang w:val="sv-SE" w:eastAsia="en-US"/>
              </w:rPr>
              <w:tab/>
            </w:r>
            <w:r w:rsidRPr="004D0DAA">
              <w:rPr>
                <w:szCs w:val="18"/>
                <w:lang w:val="sv-SE" w:eastAsia="en-US"/>
              </w:rPr>
              <w:tab/>
            </w:r>
            <w:r w:rsidRPr="004D0DAA">
              <w:rPr>
                <w:rFonts w:eastAsia="SimSun" w:cs="Arial"/>
                <w:szCs w:val="18"/>
                <w:lang w:val="sv-SE" w:eastAsia="zh-CN"/>
              </w:rPr>
              <w:t>} * ( val(</w:t>
            </w:r>
            <w:r w:rsidRPr="004D0DAA">
              <w:rPr>
                <w:rFonts w:eastAsia="SimSun" w:cs="Arial"/>
                <w:b/>
                <w:bCs/>
                <w:szCs w:val="18"/>
                <w:lang w:val="sv-SE" w:eastAsia="zh-CN"/>
              </w:rPr>
              <w:t>N_TS</w:t>
            </w:r>
            <w:r w:rsidRPr="004D0DAA">
              <w:rPr>
                <w:rFonts w:eastAsia="SimSun" w:cs="Arial"/>
                <w:szCs w:val="18"/>
                <w:lang w:val="sv-SE" w:eastAsia="zh-CN"/>
              </w:rPr>
              <w:t>) + 1)</w:t>
            </w:r>
          </w:p>
          <w:p w14:paraId="0C9B4B5F" w14:textId="77777777" w:rsidR="00711444" w:rsidRPr="004D0DAA" w:rsidRDefault="00711444" w:rsidP="00AA2A4C">
            <w:pPr>
              <w:pStyle w:val="TAL"/>
              <w:rPr>
                <w:rFonts w:eastAsia="SimSun" w:cs="Arial"/>
                <w:iCs/>
                <w:szCs w:val="18"/>
                <w:lang w:val="fr-FR"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fr-FR" w:eastAsia="zh-CN"/>
              </w:rPr>
              <w:t>| 1</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 </w:t>
            </w:r>
            <w:r w:rsidRPr="004D0DAA">
              <w:rPr>
                <w:rFonts w:eastAsia="SimSun" w:cs="Arial"/>
                <w:iCs/>
                <w:szCs w:val="18"/>
                <w:lang w:val="fr-FR" w:eastAsia="zh-CN"/>
              </w:rPr>
              <w:t>RTTI mode</w:t>
            </w:r>
          </w:p>
          <w:p w14:paraId="3CA73475" w14:textId="77777777" w:rsidR="00711444" w:rsidRPr="004D0DAA" w:rsidRDefault="00711444" w:rsidP="00AA2A4C">
            <w:pPr>
              <w:pStyle w:val="TAL"/>
              <w:rPr>
                <w:rFonts w:eastAsia="SimSun" w:cs="Arial"/>
                <w:szCs w:val="18"/>
                <w:lang w:val="fr-FR"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&lt; </w:t>
            </w:r>
            <w:r w:rsidRPr="004D0DAA">
              <w:rPr>
                <w:rFonts w:eastAsia="SimSun" w:cs="Arial"/>
                <w:b/>
                <w:bCs/>
                <w:szCs w:val="18"/>
                <w:lang w:val="fr-FR" w:eastAsia="zh-CN"/>
              </w:rPr>
              <w:t xml:space="preserve">N_PAIRS </w:t>
            </w:r>
            <w:r w:rsidRPr="004D0DAA">
              <w:rPr>
                <w:rFonts w:eastAsia="SimSun" w:cs="Arial"/>
                <w:szCs w:val="18"/>
                <w:lang w:val="fr-FR" w:eastAsia="zh-CN"/>
              </w:rPr>
              <w:t>: bit (3) &gt;</w:t>
            </w:r>
          </w:p>
          <w:p w14:paraId="75944823"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sv-SE" w:eastAsia="zh-CN"/>
              </w:rPr>
              <w:t>{ 0 | 1</w:t>
            </w:r>
          </w:p>
          <w:p w14:paraId="54A06C89"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bCs/>
                <w:szCs w:val="18"/>
                <w:lang w:val="sv-SE" w:eastAsia="zh-CN"/>
              </w:rPr>
              <w:t>USF</w:t>
            </w:r>
            <w:r w:rsidRPr="004D0DAA">
              <w:rPr>
                <w:rFonts w:eastAsia="SimSun" w:cs="Arial"/>
                <w:szCs w:val="18"/>
                <w:lang w:val="sv-SE" w:eastAsia="zh-CN"/>
              </w:rPr>
              <w:t xml:space="preserve"> : bit (3) &gt; </w:t>
            </w:r>
          </w:p>
          <w:p w14:paraId="2970AD7F"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szCs w:val="18"/>
                <w:lang w:val="sv-SE" w:eastAsia="zh-CN"/>
              </w:rPr>
              <w:t>GAMMA</w:t>
            </w:r>
            <w:r w:rsidRPr="004D0DAA">
              <w:rPr>
                <w:rFonts w:eastAsia="SimSun" w:cs="Arial"/>
                <w:szCs w:val="18"/>
                <w:lang w:val="sv-SE" w:eastAsia="zh-CN"/>
              </w:rPr>
              <w:t xml:space="preserve"> : bit (5) &gt; </w:t>
            </w:r>
          </w:p>
          <w:p w14:paraId="62BC9FED"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  (val(</w:t>
            </w:r>
            <w:r w:rsidRPr="004D0DAA">
              <w:rPr>
                <w:rFonts w:eastAsia="SimSun" w:cs="Arial"/>
                <w:b/>
                <w:bCs/>
                <w:szCs w:val="18"/>
                <w:lang w:val="sv-SE" w:eastAsia="zh-CN"/>
              </w:rPr>
              <w:t>N_PAIRS</w:t>
            </w:r>
            <w:r w:rsidRPr="004D0DAA">
              <w:rPr>
                <w:rFonts w:eastAsia="SimSun" w:cs="Arial"/>
                <w:szCs w:val="18"/>
                <w:lang w:val="sv-SE" w:eastAsia="zh-CN"/>
              </w:rPr>
              <w:t xml:space="preserve">) + 1) </w:t>
            </w:r>
          </w:p>
          <w:p w14:paraId="7950292D"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w:t>
            </w:r>
            <w:r w:rsidRPr="004D0DAA">
              <w:rPr>
                <w:rFonts w:eastAsia="SimSun" w:cs="Arial"/>
                <w:szCs w:val="18"/>
                <w:lang w:val="sv-SE" w:eastAsia="zh-CN"/>
              </w:rPr>
              <w:tab/>
            </w:r>
            <w:r w:rsidRPr="004D0DAA">
              <w:rPr>
                <w:rFonts w:eastAsia="SimSun" w:cs="Arial"/>
                <w:szCs w:val="18"/>
                <w:lang w:val="sv-SE" w:eastAsia="zh-CN"/>
              </w:rPr>
              <w:tab/>
              <w:t>-- RTTI USF</w:t>
            </w:r>
          </w:p>
          <w:p w14:paraId="13489AA3"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1</w:t>
            </w:r>
            <w:r w:rsidRPr="004D0DAA">
              <w:rPr>
                <w:rFonts w:eastAsia="SimSun" w:cs="Arial"/>
                <w:szCs w:val="18"/>
                <w:lang w:val="sv-SE" w:eastAsia="zh-CN"/>
              </w:rPr>
              <w:tab/>
            </w:r>
            <w:r w:rsidRPr="004D0DAA">
              <w:rPr>
                <w:rFonts w:eastAsia="SimSun" w:cs="Arial"/>
                <w:szCs w:val="18"/>
                <w:lang w:val="sv-SE" w:eastAsia="zh-CN"/>
              </w:rPr>
              <w:tab/>
              <w:t xml:space="preserve">-- BTTI USF </w:t>
            </w:r>
          </w:p>
          <w:p w14:paraId="63611948"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&lt; </w:t>
            </w:r>
            <w:r w:rsidRPr="004D0DAA">
              <w:rPr>
                <w:rFonts w:eastAsia="SimSun" w:cs="Arial"/>
                <w:b/>
                <w:bCs/>
                <w:szCs w:val="18"/>
                <w:lang w:val="sv-SE" w:eastAsia="zh-CN"/>
              </w:rPr>
              <w:t>USF_2</w:t>
            </w:r>
            <w:r w:rsidRPr="004D0DAA">
              <w:rPr>
                <w:rFonts w:eastAsia="SimSun" w:cs="Arial"/>
                <w:szCs w:val="18"/>
                <w:lang w:val="sv-SE" w:eastAsia="zh-CN"/>
              </w:rPr>
              <w:t xml:space="preserve"> : bit (3) &gt; </w:t>
            </w:r>
          </w:p>
          <w:p w14:paraId="1F13D698"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 1 &lt; </w:t>
            </w:r>
            <w:r w:rsidRPr="004D0DAA">
              <w:rPr>
                <w:rFonts w:eastAsia="SimSun" w:cs="Arial"/>
                <w:b/>
                <w:szCs w:val="18"/>
                <w:lang w:val="sv-SE" w:eastAsia="zh-CN"/>
              </w:rPr>
              <w:t xml:space="preserve">GAMMA </w:t>
            </w:r>
            <w:r w:rsidRPr="004D0DAA">
              <w:rPr>
                <w:rFonts w:eastAsia="SimSun" w:cs="Arial"/>
                <w:szCs w:val="18"/>
                <w:lang w:val="sv-SE" w:eastAsia="zh-CN"/>
              </w:rPr>
              <w:t xml:space="preserve">: bit (5) &gt; } </w:t>
            </w:r>
          </w:p>
          <w:p w14:paraId="571C4D39"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 (val(</w:t>
            </w:r>
            <w:r w:rsidRPr="004D0DAA">
              <w:rPr>
                <w:rFonts w:eastAsia="SimSun" w:cs="Arial"/>
                <w:b/>
                <w:bCs/>
                <w:szCs w:val="18"/>
                <w:lang w:val="sv-SE" w:eastAsia="zh-CN"/>
              </w:rPr>
              <w:t>N_PAIRS</w:t>
            </w:r>
            <w:r w:rsidRPr="004D0DAA">
              <w:rPr>
                <w:rFonts w:eastAsia="SimSun" w:cs="Arial"/>
                <w:szCs w:val="18"/>
                <w:lang w:val="sv-SE" w:eastAsia="zh-CN"/>
              </w:rPr>
              <w:t>) + 1)</w:t>
            </w:r>
          </w:p>
          <w:p w14:paraId="73CB72E6" w14:textId="77777777" w:rsidR="00711444" w:rsidRPr="004D0DAA" w:rsidRDefault="00711444" w:rsidP="00AA2A4C">
            <w:pPr>
              <w:pStyle w:val="TAL"/>
              <w:rPr>
                <w:rFonts w:eastAsia="SimSun" w:cs="Arial"/>
                <w:szCs w:val="18"/>
                <w:lang w:eastAsia="zh-CN"/>
              </w:rPr>
            </w:pPr>
            <w:r w:rsidRPr="004D0DAA">
              <w:rPr>
                <w:lang w:val="sv-SE" w:eastAsia="en-US"/>
              </w:rPr>
              <w:tab/>
            </w:r>
            <w:r w:rsidRPr="004D0DAA">
              <w:rPr>
                <w:lang w:val="sv-SE" w:eastAsia="en-US"/>
              </w:rPr>
              <w:tab/>
            </w:r>
            <w:r w:rsidRPr="004D0DAA">
              <w:rPr>
                <w:lang w:val="sv-SE" w:eastAsia="en-US"/>
              </w:rPr>
              <w:tab/>
            </w:r>
            <w:r w:rsidRPr="004D0DAA">
              <w:rPr>
                <w:lang w:eastAsia="en-US"/>
              </w:rPr>
              <w:t>}</w:t>
            </w:r>
          </w:p>
          <w:p w14:paraId="5F03D0AC"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w:t>
            </w:r>
          </w:p>
          <w:p w14:paraId="30693EB6" w14:textId="77777777" w:rsidR="00711444" w:rsidRPr="004D0DAA" w:rsidRDefault="00711444" w:rsidP="00AA2A4C">
            <w:pPr>
              <w:pStyle w:val="TAL"/>
              <w:rPr>
                <w:lang w:eastAsia="en-US"/>
              </w:rPr>
            </w:pPr>
            <w:r w:rsidRPr="004D0DAA">
              <w:rPr>
                <w:lang w:eastAsia="en-US"/>
              </w:rPr>
              <w:tab/>
              <w:t>} ;</w:t>
            </w:r>
          </w:p>
          <w:p w14:paraId="509798FE" w14:textId="77777777" w:rsidR="00711444" w:rsidRPr="004D0DAA" w:rsidRDefault="00711444" w:rsidP="00AA2A4C">
            <w:pPr>
              <w:pStyle w:val="TAL"/>
              <w:rPr>
                <w:lang w:eastAsia="en-US"/>
              </w:rPr>
            </w:pPr>
          </w:p>
        </w:tc>
      </w:tr>
      <w:tr w:rsidR="00711444" w:rsidRPr="004D0DAA" w14:paraId="08C23232" w14:textId="77777777" w:rsidTr="00AA2A4C">
        <w:tblPrEx>
          <w:tblCellMar>
            <w:top w:w="0" w:type="dxa"/>
            <w:bottom w:w="0" w:type="dxa"/>
          </w:tblCellMar>
        </w:tblPrEx>
        <w:trPr>
          <w:cantSplit/>
        </w:trPr>
        <w:tc>
          <w:tcPr>
            <w:tcW w:w="9848" w:type="dxa"/>
          </w:tcPr>
          <w:p w14:paraId="27A12C27" w14:textId="77777777" w:rsidR="00711444" w:rsidRPr="004D0DAA" w:rsidRDefault="00711444" w:rsidP="00AA2A4C">
            <w:pPr>
              <w:pStyle w:val="TAL"/>
              <w:rPr>
                <w:lang w:eastAsia="en-US"/>
              </w:rPr>
            </w:pPr>
            <w:r w:rsidRPr="004D0DAA">
              <w:rPr>
                <w:lang w:eastAsia="en-US"/>
              </w:rPr>
              <w:lastRenderedPageBreak/>
              <w:t>&lt; Assignment Info struct &gt; ::=</w:t>
            </w:r>
          </w:p>
          <w:p w14:paraId="6D27AE4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Assignment Type</w:t>
            </w:r>
            <w:r w:rsidRPr="004D0DAA">
              <w:rPr>
                <w:lang w:eastAsia="en-US"/>
              </w:rPr>
              <w:t xml:space="preserve"> : bit (2) &gt;</w:t>
            </w:r>
          </w:p>
          <w:p w14:paraId="2656D3E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Carrier ID</w:t>
            </w:r>
            <w:r w:rsidRPr="004D0DAA">
              <w:rPr>
                <w:lang w:eastAsia="en-US"/>
              </w:rPr>
              <w:t xml:space="preserve"> : bit (1) &gt;;</w:t>
            </w:r>
          </w:p>
          <w:p w14:paraId="6C0B4E27" w14:textId="77777777" w:rsidR="00711444" w:rsidRPr="004D0DAA" w:rsidRDefault="00711444" w:rsidP="00AA2A4C">
            <w:pPr>
              <w:pStyle w:val="TAL"/>
              <w:rPr>
                <w:lang w:eastAsia="en-US"/>
              </w:rPr>
            </w:pPr>
          </w:p>
        </w:tc>
      </w:tr>
      <w:tr w:rsidR="00711444" w:rsidRPr="004D0DAA" w14:paraId="1C06F71B" w14:textId="77777777" w:rsidTr="00AA2A4C">
        <w:tblPrEx>
          <w:tblCellMar>
            <w:top w:w="0" w:type="dxa"/>
            <w:bottom w:w="0" w:type="dxa"/>
          </w:tblCellMar>
        </w:tblPrEx>
        <w:trPr>
          <w:cantSplit/>
        </w:trPr>
        <w:tc>
          <w:tcPr>
            <w:tcW w:w="9848" w:type="dxa"/>
          </w:tcPr>
          <w:p w14:paraId="1D0C5DBE" w14:textId="77777777" w:rsidR="00711444" w:rsidRPr="004D0DAA" w:rsidRDefault="00711444" w:rsidP="00AA2A4C">
            <w:pPr>
              <w:pStyle w:val="TAL"/>
              <w:rPr>
                <w:lang w:eastAsia="en-US"/>
              </w:rPr>
            </w:pPr>
            <w:r w:rsidRPr="004D0DAA">
              <w:rPr>
                <w:lang w:eastAsia="en-US"/>
              </w:rPr>
              <w:t>&lt; RLC Entity Struct &gt; :: =</w:t>
            </w:r>
          </w:p>
          <w:p w14:paraId="7E74F0A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67402993"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2387EB8F"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EGPRS Window Size</w:t>
            </w:r>
            <w:r w:rsidRPr="004D0DAA">
              <w:rPr>
                <w:lang w:eastAsia="en-US"/>
              </w:rPr>
              <w:t> : &lt; EGPRS Window Size IE &gt; &gt; }</w:t>
            </w:r>
          </w:p>
          <w:p w14:paraId="306489CB"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tc>
      </w:tr>
      <w:tr w:rsidR="00711444" w:rsidRPr="004D0DAA" w14:paraId="70E3869D" w14:textId="77777777" w:rsidTr="00AA2A4C">
        <w:tblPrEx>
          <w:tblCellMar>
            <w:top w:w="0" w:type="dxa"/>
            <w:bottom w:w="0" w:type="dxa"/>
          </w:tblCellMar>
        </w:tblPrEx>
        <w:trPr>
          <w:cantSplit/>
        </w:trPr>
        <w:tc>
          <w:tcPr>
            <w:tcW w:w="9848" w:type="dxa"/>
          </w:tcPr>
          <w:p w14:paraId="52428FCA" w14:textId="77777777" w:rsidR="00711444" w:rsidRPr="004D0DAA" w:rsidRDefault="00711444" w:rsidP="00AA2A4C">
            <w:pPr>
              <w:pStyle w:val="TAL"/>
              <w:rPr>
                <w:lang w:eastAsia="en-US"/>
              </w:rPr>
            </w:pPr>
          </w:p>
          <w:p w14:paraId="5E930F13" w14:textId="77777777" w:rsidR="00711444" w:rsidRPr="004D0DAA" w:rsidRDefault="00711444" w:rsidP="00AA2A4C">
            <w:pPr>
              <w:pStyle w:val="TAL"/>
              <w:rPr>
                <w:lang w:eastAsia="en-US"/>
              </w:rPr>
            </w:pPr>
            <w:r w:rsidRPr="004D0DAA">
              <w:rPr>
                <w:lang w:eastAsia="en-US"/>
              </w:rPr>
              <w:t>&lt; UFPS struct &gt; ::=</w:t>
            </w:r>
          </w:p>
          <w:p w14:paraId="4AB62BCF"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released</w:t>
            </w:r>
          </w:p>
          <w:p w14:paraId="49BB9138"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remains unchanged (</w:t>
            </w:r>
            <w:r w:rsidRPr="004D0DAA">
              <w:rPr>
                <w:i/>
                <w:iCs/>
                <w:szCs w:val="18"/>
                <w:lang w:eastAsia="en-US"/>
              </w:rPr>
              <w:t>no information provided)</w:t>
            </w:r>
          </w:p>
          <w:p w14:paraId="3BBEF633"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r>
            <w:r w:rsidRPr="004D0DAA">
              <w:rPr>
                <w:lang w:eastAsia="en-US"/>
              </w:rPr>
              <w:tab/>
            </w:r>
            <w:r w:rsidRPr="004D0DAA">
              <w:rPr>
                <w:lang w:eastAsia="en-US"/>
              </w:rPr>
              <w:tab/>
            </w:r>
            <w:r w:rsidRPr="004D0DAA">
              <w:rPr>
                <w:i/>
                <w:szCs w:val="18"/>
                <w:lang w:eastAsia="en-US"/>
              </w:rPr>
              <w:t>-- Existing UFPS changed/new UFPS provided</w:t>
            </w:r>
          </w:p>
          <w:p w14:paraId="27F7C8BD" w14:textId="77777777" w:rsidR="00711444" w:rsidRPr="004D0DAA" w:rsidRDefault="00711444" w:rsidP="00AA2A4C">
            <w:pPr>
              <w:pStyle w:val="TAL"/>
              <w:rPr>
                <w:i/>
                <w:szCs w:val="18"/>
                <w:lang w:eastAsia="en-US"/>
              </w:rPr>
            </w:pPr>
            <w:r w:rsidRPr="004D0DAA">
              <w:rPr>
                <w:lang w:eastAsia="en-US"/>
              </w:rPr>
              <w:tab/>
            </w:r>
            <w:r w:rsidRPr="004D0DAA">
              <w:rPr>
                <w:lang w:eastAsia="en-US"/>
              </w:rPr>
              <w:tab/>
            </w:r>
            <w:r w:rsidRPr="004D0DAA">
              <w:rPr>
                <w:lang w:eastAsia="en-US"/>
              </w:rPr>
              <w:tab/>
            </w:r>
            <w:r w:rsidRPr="004D0DAA">
              <w:rPr>
                <w:lang w:eastAsia="en-US"/>
              </w:rPr>
              <w:tab/>
              <w:t>{ 0</w:t>
            </w:r>
            <w:r w:rsidRPr="004D0DAA">
              <w:rPr>
                <w:szCs w:val="18"/>
                <w:lang w:eastAsia="en-US"/>
              </w:rPr>
              <w:tab/>
            </w:r>
            <w:r w:rsidRPr="004D0DAA">
              <w:rPr>
                <w:szCs w:val="18"/>
                <w:lang w:eastAsia="en-US"/>
              </w:rPr>
              <w:tab/>
            </w:r>
            <w:r w:rsidRPr="004D0DAA">
              <w:rPr>
                <w:i/>
                <w:szCs w:val="18"/>
                <w:lang w:eastAsia="en-US"/>
              </w:rPr>
              <w:t>-- Existing DLMC Frequency Parameters unchanged</w:t>
            </w:r>
          </w:p>
          <w:p w14:paraId="67DCB5B4" w14:textId="77777777" w:rsidR="00711444" w:rsidRPr="004D0DAA" w:rsidRDefault="00711444" w:rsidP="00AA2A4C">
            <w:pPr>
              <w:spacing w:after="0"/>
              <w:rPr>
                <w:rFonts w:ascii="Arial" w:hAnsi="Arial" w:cs="Arial"/>
                <w:sz w:val="18"/>
              </w:rPr>
            </w:pPr>
            <w:r w:rsidRPr="004D0DAA">
              <w:tab/>
            </w:r>
            <w:r w:rsidRPr="004D0DAA">
              <w:tab/>
            </w:r>
            <w:r w:rsidRPr="004D0DAA">
              <w:tab/>
            </w:r>
            <w:r w:rsidRPr="004D0DAA">
              <w:tab/>
            </w:r>
            <w:r w:rsidRPr="004D0DAA">
              <w:tab/>
            </w:r>
            <w:r w:rsidRPr="004D0DAA">
              <w:rPr>
                <w:rFonts w:ascii="Arial" w:hAnsi="Arial" w:cs="Arial"/>
                <w:sz w:val="18"/>
              </w:rPr>
              <w:t>| 1</w:t>
            </w:r>
            <w:r w:rsidRPr="004D0DAA">
              <w:rPr>
                <w:rFonts w:ascii="Arial" w:hAnsi="Arial" w:cs="Arial"/>
                <w:sz w:val="18"/>
              </w:rPr>
              <w:tab/>
              <w:t xml:space="preserve">&lt; </w:t>
            </w:r>
            <w:r w:rsidRPr="004D0DAA">
              <w:rPr>
                <w:rFonts w:ascii="Arial" w:hAnsi="Arial" w:cs="Arial"/>
                <w:b/>
                <w:sz w:val="18"/>
              </w:rPr>
              <w:t>DLMC Frequency Parameters</w:t>
            </w:r>
            <w:r w:rsidRPr="004D0DAA">
              <w:rPr>
                <w:rFonts w:ascii="Arial" w:hAnsi="Arial" w:cs="Arial"/>
                <w:sz w:val="18"/>
              </w:rPr>
              <w:t xml:space="preserve"> : &lt; DLMC Frequency Parameters IE &gt; &gt; }</w:t>
            </w:r>
          </w:p>
          <w:p w14:paraId="19339954" w14:textId="77777777" w:rsidR="00711444" w:rsidRPr="004D0DAA" w:rsidRDefault="00711444" w:rsidP="00AA2A4C">
            <w:pPr>
              <w:spacing w:after="0"/>
              <w:rPr>
                <w:rFonts w:ascii="Arial" w:hAnsi="Arial" w:cs="Arial"/>
                <w:sz w:val="18"/>
              </w:rPr>
            </w:pPr>
            <w:r w:rsidRPr="004D0DAA">
              <w:rPr>
                <w:rFonts w:ascii="Arial" w:hAnsi="Arial" w:cs="Arial"/>
                <w:sz w:val="18"/>
              </w:rPr>
              <w:tab/>
            </w:r>
            <w:r w:rsidRPr="004D0DAA">
              <w:tab/>
            </w:r>
            <w:r w:rsidRPr="004D0DAA">
              <w:tab/>
            </w:r>
            <w:r w:rsidRPr="004D0DAA">
              <w:tab/>
            </w:r>
            <w:r w:rsidRPr="004D0DAA">
              <w:rPr>
                <w:rFonts w:ascii="Arial" w:hAnsi="Arial" w:cs="Arial"/>
                <w:sz w:val="18"/>
              </w:rPr>
              <w:t xml:space="preserve">{ 1 &lt; </w:t>
            </w:r>
            <w:r w:rsidRPr="004D0DAA">
              <w:rPr>
                <w:rFonts w:ascii="Arial" w:hAnsi="Arial" w:cs="Arial"/>
                <w:b/>
                <w:sz w:val="18"/>
              </w:rPr>
              <w:t>CARRIER_SPECIFIC_INFO</w:t>
            </w:r>
            <w:r w:rsidRPr="004D0DAA">
              <w:rPr>
                <w:rFonts w:ascii="Arial" w:hAnsi="Arial" w:cs="Arial"/>
                <w:sz w:val="18"/>
              </w:rPr>
              <w:t xml:space="preserve"> : &lt; Carrier Specific Info struct &gt; &gt; } ** 0</w:t>
            </w:r>
            <w:r w:rsidRPr="004D0DAA">
              <w:rPr>
                <w:rFonts w:ascii="Arial" w:hAnsi="Arial" w:cs="Arial"/>
                <w:sz w:val="18"/>
              </w:rPr>
              <w:tab/>
            </w:r>
          </w:p>
          <w:p w14:paraId="6B8DE44F"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t>| 11</w:t>
            </w:r>
            <w:r w:rsidRPr="004D0DAA">
              <w:rPr>
                <w:rFonts w:cs="Arial"/>
                <w:lang w:eastAsia="en-US"/>
              </w:rPr>
              <w:tab/>
            </w:r>
            <w:r w:rsidRPr="004D0DAA">
              <w:rPr>
                <w:lang w:eastAsia="en-US"/>
              </w:rPr>
              <w:t>bit (*) = &lt; no string &gt;</w:t>
            </w:r>
            <w:r w:rsidRPr="004D0DAA">
              <w:rPr>
                <w:rFonts w:cs="Arial"/>
                <w:lang w:eastAsia="en-US"/>
              </w:rPr>
              <w:tab/>
            </w:r>
            <w:r w:rsidRPr="004D0DAA">
              <w:rPr>
                <w:rFonts w:cs="Arial"/>
                <w:lang w:eastAsia="en-US"/>
              </w:rPr>
              <w:tab/>
            </w:r>
            <w:r w:rsidRPr="004D0DAA">
              <w:rPr>
                <w:rFonts w:cs="Arial"/>
                <w:i/>
                <w:lang w:eastAsia="en-US"/>
              </w:rPr>
              <w:t>-- Reserved</w:t>
            </w:r>
          </w:p>
          <w:p w14:paraId="3D7C9EC3" w14:textId="77777777" w:rsidR="00711444" w:rsidRPr="004D0DAA" w:rsidRDefault="00711444" w:rsidP="00AA2A4C">
            <w:r w:rsidRPr="004D0DAA">
              <w:rPr>
                <w:rFonts w:ascii="Arial" w:hAnsi="Arial"/>
                <w:sz w:val="18"/>
              </w:rPr>
              <w:tab/>
              <w:t>};</w:t>
            </w:r>
          </w:p>
        </w:tc>
      </w:tr>
      <w:tr w:rsidR="00711444" w:rsidRPr="004D0DAA" w14:paraId="5D665EEA" w14:textId="77777777" w:rsidTr="00AA2A4C">
        <w:tblPrEx>
          <w:tblCellMar>
            <w:top w:w="0" w:type="dxa"/>
            <w:bottom w:w="0" w:type="dxa"/>
          </w:tblCellMar>
        </w:tblPrEx>
        <w:trPr>
          <w:cantSplit/>
        </w:trPr>
        <w:tc>
          <w:tcPr>
            <w:tcW w:w="9848" w:type="dxa"/>
          </w:tcPr>
          <w:p w14:paraId="63B024D4" w14:textId="77777777" w:rsidR="00711444" w:rsidRPr="004D0DAA" w:rsidRDefault="00711444" w:rsidP="00AA2A4C">
            <w:pPr>
              <w:pStyle w:val="TAL"/>
              <w:rPr>
                <w:lang w:eastAsia="en-US"/>
              </w:rPr>
            </w:pPr>
            <w:r w:rsidRPr="004D0DAA">
              <w:rPr>
                <w:lang w:eastAsia="en-US"/>
              </w:rPr>
              <w:lastRenderedPageBreak/>
              <w:t>&lt; Carrier Specific Info struct &gt; ::=</w:t>
            </w:r>
          </w:p>
          <w:p w14:paraId="7781B327"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Existing carrier released</w:t>
            </w:r>
          </w:p>
          <w:p w14:paraId="45C2CCB7"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remains unchanged (</w:t>
            </w:r>
            <w:r w:rsidRPr="004D0DAA">
              <w:rPr>
                <w:i/>
                <w:iCs/>
                <w:szCs w:val="18"/>
                <w:lang w:eastAsia="en-US"/>
              </w:rPr>
              <w:t>no information provided)</w:t>
            </w:r>
          </w:p>
          <w:p w14:paraId="5D345189"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changed/new carrier provided</w:t>
            </w:r>
          </w:p>
          <w:p w14:paraId="3B28D26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szCs w:val="18"/>
                <w:lang w:eastAsia="en-US"/>
              </w:rPr>
              <w:t xml:space="preserve"> 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BTTI mode</w:t>
            </w:r>
          </w:p>
          <w:p w14:paraId="281DA1C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timeslots as the lowest numbered carrier</w:t>
            </w:r>
          </w:p>
          <w:p w14:paraId="13D309C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szCs w:val="18"/>
                <w:lang w:eastAsia="en-US"/>
              </w:rPr>
              <w:t xml:space="preserve">TIMESLOT_ALLOCATION </w:t>
            </w:r>
            <w:r w:rsidRPr="004D0DAA">
              <w:rPr>
                <w:szCs w:val="18"/>
                <w:lang w:eastAsia="en-US"/>
              </w:rPr>
              <w:t xml:space="preserve">: bit (8) &gt; } </w:t>
            </w:r>
          </w:p>
          <w:p w14:paraId="222B1EFE" w14:textId="77777777" w:rsidR="00711444" w:rsidRPr="004D0DAA" w:rsidRDefault="00711444" w:rsidP="00AA2A4C">
            <w:pPr>
              <w:pStyle w:val="TAL"/>
              <w:rPr>
                <w:szCs w:val="18"/>
                <w:lang w:eastAsia="en-US"/>
              </w:rPr>
            </w:pP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RTTI mode</w:t>
            </w:r>
          </w:p>
          <w:p w14:paraId="6B50A7E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PDCH-pairs as the lowest numbered carrier</w:t>
            </w:r>
          </w:p>
          <w:p w14:paraId="10451FA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bCs/>
                <w:szCs w:val="18"/>
                <w:lang w:eastAsia="en-US"/>
              </w:rPr>
              <w:t xml:space="preserve">DOWNLINK_PDCH_PAIRS_DLMC </w:t>
            </w:r>
            <w:r w:rsidRPr="004D0DAA">
              <w:rPr>
                <w:szCs w:val="18"/>
                <w:lang w:eastAsia="en-US"/>
              </w:rPr>
              <w:t>: bit (8) &gt;</w:t>
            </w:r>
          </w:p>
          <w:p w14:paraId="46DC3D6F"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RTTI_DOWNLINK_PDCH_PAIR_ASSIGNMENT_DLMC </w:t>
            </w:r>
            <w:r w:rsidRPr="004D0DAA">
              <w:rPr>
                <w:szCs w:val="18"/>
                <w:lang w:eastAsia="en-US"/>
              </w:rPr>
              <w:t>: bit (4) &gt; }</w:t>
            </w:r>
          </w:p>
          <w:p w14:paraId="0A2D9728"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w:t>
            </w:r>
          </w:p>
          <w:p w14:paraId="120C861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b/>
                <w:lang w:val="en-US" w:eastAsia="en-US"/>
              </w:rPr>
              <w:tab/>
            </w:r>
            <w:r w:rsidRPr="004D0DAA">
              <w:rPr>
                <w:lang w:eastAsia="en-US"/>
              </w:rPr>
              <w:t xml:space="preserve">&lt; </w:t>
            </w:r>
            <w:r w:rsidRPr="004D0DAA">
              <w:rPr>
                <w:b/>
                <w:lang w:eastAsia="en-US"/>
              </w:rPr>
              <w:t>MAIO</w:t>
            </w:r>
            <w:r w:rsidRPr="004D0DAA">
              <w:rPr>
                <w:lang w:eastAsia="en-US"/>
              </w:rPr>
              <w:t xml:space="preserve"> : bit (6) &gt; }</w:t>
            </w:r>
          </w:p>
          <w:p w14:paraId="0581E34D"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en-US"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P0 and PR_MODE as the lowest numbered carrier</w:t>
            </w:r>
          </w:p>
          <w:p w14:paraId="62F9AF80" w14:textId="77777777" w:rsidR="00711444" w:rsidRPr="004D0DAA" w:rsidRDefault="00711444" w:rsidP="00AA2A4C">
            <w:pPr>
              <w:pStyle w:val="TAL"/>
              <w:rPr>
                <w:lang w:val="fr-FR" w:eastAsia="en-US"/>
              </w:rPr>
            </w:pPr>
            <w:r w:rsidRPr="004D0DAA">
              <w:rPr>
                <w:lang w:val="en-US" w:eastAsia="en-US"/>
              </w:rPr>
              <w:t xml:space="preserve">                      </w:t>
            </w:r>
            <w:r w:rsidRPr="004D0DAA">
              <w:rPr>
                <w:lang w:eastAsia="en-US"/>
              </w:rPr>
              <w:tab/>
            </w:r>
            <w:r w:rsidRPr="004D0DAA">
              <w:rPr>
                <w:lang w:eastAsia="en-US"/>
              </w:rPr>
              <w:tab/>
            </w:r>
            <w:r w:rsidRPr="004D0DAA">
              <w:rPr>
                <w:lang w:val="fr-FR" w:eastAsia="en-US"/>
              </w:rPr>
              <w:t>| 1</w:t>
            </w:r>
            <w:r w:rsidRPr="004D0DAA">
              <w:rPr>
                <w:b/>
                <w:lang w:val="fr-FR" w:eastAsia="en-US"/>
              </w:rPr>
              <w:tab/>
            </w:r>
            <w:r w:rsidRPr="004D0DAA">
              <w:rPr>
                <w:lang w:val="fr-FR" w:eastAsia="en-US"/>
              </w:rPr>
              <w:t xml:space="preserve">&lt; </w:t>
            </w:r>
            <w:r w:rsidRPr="004D0DAA">
              <w:rPr>
                <w:b/>
                <w:lang w:val="fr-FR" w:eastAsia="en-US"/>
              </w:rPr>
              <w:t>P0</w:t>
            </w:r>
            <w:r w:rsidRPr="004D0DAA">
              <w:rPr>
                <w:lang w:val="fr-FR" w:eastAsia="en-US"/>
              </w:rPr>
              <w:t> : bit (4) &gt;</w:t>
            </w:r>
          </w:p>
          <w:p w14:paraId="1FCEB9FD"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sv-SE" w:eastAsia="en-US"/>
              </w:rPr>
              <w:tab/>
            </w:r>
            <w:r w:rsidRPr="004D0DAA">
              <w:rPr>
                <w:lang w:val="sv-SE" w:eastAsia="en-US"/>
              </w:rPr>
              <w:tab/>
            </w:r>
            <w:r w:rsidRPr="004D0DAA">
              <w:rPr>
                <w:lang w:val="fr-FR" w:eastAsia="en-US"/>
              </w:rPr>
              <w:t xml:space="preserve">&lt; </w:t>
            </w:r>
            <w:r w:rsidRPr="004D0DAA">
              <w:rPr>
                <w:b/>
                <w:lang w:val="fr-FR" w:eastAsia="en-US"/>
              </w:rPr>
              <w:t>PR_MODE</w:t>
            </w:r>
            <w:r w:rsidRPr="004D0DAA">
              <w:rPr>
                <w:lang w:val="fr-FR" w:eastAsia="en-US"/>
              </w:rPr>
              <w:t> : bit (1) &gt; }</w:t>
            </w:r>
          </w:p>
          <w:p w14:paraId="58C1D562" w14:textId="77777777" w:rsidR="00711444" w:rsidRPr="004D0DAA" w:rsidRDefault="00711444" w:rsidP="00AA2A4C">
            <w:pPr>
              <w:pStyle w:val="TAL"/>
              <w:rPr>
                <w:lang w:val="en-US" w:eastAsia="en-US"/>
              </w:rPr>
            </w:pPr>
            <w:r w:rsidRPr="004D0DAA">
              <w:rPr>
                <w:lang w:val="fr-FR"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DOWNLINK_TFI_ASSIGNMENT as the lowest numbered carrier</w:t>
            </w:r>
          </w:p>
          <w:p w14:paraId="1F23EC77"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 xml:space="preserve">&lt; </w:t>
            </w:r>
            <w:r w:rsidRPr="004D0DAA">
              <w:rPr>
                <w:b/>
                <w:lang w:eastAsia="en-US"/>
              </w:rPr>
              <w:t>DOWNLINK_TFI_ASSIGNMENT</w:t>
            </w:r>
            <w:r w:rsidRPr="004D0DAA">
              <w:rPr>
                <w:lang w:eastAsia="en-US"/>
              </w:rPr>
              <w:t xml:space="preserve"> : bit (5) &gt; </w:t>
            </w:r>
          </w:p>
          <w:p w14:paraId="40335F3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DOWNLINK_eTFI_ASSIGNMENT</w:t>
            </w:r>
            <w:r w:rsidRPr="004D0DAA">
              <w:rPr>
                <w:lang w:eastAsia="en-US"/>
              </w:rPr>
              <w:t xml:space="preserve"> : bit (3) &gt; } }</w:t>
            </w:r>
          </w:p>
          <w:p w14:paraId="0DD937A6"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Power Control Parameters as the lowest numbered carrier</w:t>
            </w:r>
          </w:p>
          <w:p w14:paraId="61388D48"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&lt;</w:t>
            </w:r>
            <w:r w:rsidRPr="004D0DAA">
              <w:rPr>
                <w:b/>
                <w:lang w:eastAsia="en-US"/>
              </w:rPr>
              <w:t xml:space="preserve"> Power Control Parameters</w:t>
            </w:r>
            <w:r w:rsidRPr="004D0DAA">
              <w:rPr>
                <w:lang w:eastAsia="en-US"/>
              </w:rPr>
              <w:t xml:space="preserve"> : &lt; Power Control Parameters IE &gt; &gt; }</w:t>
            </w:r>
          </w:p>
          <w:p w14:paraId="5190E2EA"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0 </w:t>
            </w:r>
            <w:r w:rsidRPr="004D0DAA">
              <w:rPr>
                <w:lang w:eastAsia="en-US"/>
              </w:rPr>
              <w:tab/>
            </w:r>
            <w:r w:rsidRPr="004D0DAA">
              <w:rPr>
                <w:lang w:eastAsia="en-US"/>
              </w:rPr>
              <w:tab/>
              <w:t>--</w:t>
            </w:r>
            <w:r w:rsidRPr="004D0DAA">
              <w:rPr>
                <w:iCs/>
                <w:lang w:eastAsia="en-US"/>
              </w:rPr>
              <w:t xml:space="preserve"> EMST is not used on this carrier</w:t>
            </w:r>
          </w:p>
          <w:p w14:paraId="3E5E0A1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p>
          <w:p w14:paraId="38B60174"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RLC Entity 2</w:t>
            </w:r>
            <w:r w:rsidRPr="004D0DAA">
              <w:rPr>
                <w:lang w:eastAsia="en-US"/>
              </w:rPr>
              <w:t xml:space="preserve"> : &lt; RLC Entity Struct &gt; &gt;</w:t>
            </w:r>
          </w:p>
          <w:p w14:paraId="3962849A"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w:t>
            </w:r>
          </w:p>
          <w:p w14:paraId="1385CA09"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t xml:space="preserve">&lt; </w:t>
            </w:r>
            <w:r w:rsidRPr="004D0DAA">
              <w:rPr>
                <w:b/>
                <w:bCs/>
                <w:lang w:eastAsia="en-US"/>
              </w:rPr>
              <w:t>RLC Entity 3</w:t>
            </w:r>
            <w:r w:rsidRPr="004D0DAA">
              <w:rPr>
                <w:lang w:eastAsia="en-US"/>
              </w:rPr>
              <w:t xml:space="preserve"> : &lt; RLC Entity Struct &gt; &gt; } </w:t>
            </w:r>
          </w:p>
          <w:p w14:paraId="0EA476B1"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w:t>
            </w:r>
          </w:p>
          <w:p w14:paraId="566A1959"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3F5B5C40"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2EEED2D3"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 </w:t>
            </w:r>
          </w:p>
          <w:p w14:paraId="1B1ABEBF"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6C1473E9"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w:t>
            </w:r>
          </w:p>
          <w:p w14:paraId="67AF9945"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5697CDFF"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w:t>
            </w:r>
          </w:p>
          <w:p w14:paraId="18C698FD"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p>
          <w:p w14:paraId="15E7E43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7C2B2F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w:t>
            </w:r>
            <w:r w:rsidRPr="004D0DAA">
              <w:rPr>
                <w:iCs/>
                <w:lang w:eastAsia="en-US"/>
              </w:rPr>
              <w:t xml:space="preserve"> </w:t>
            </w:r>
            <w:r w:rsidRPr="004D0DAA">
              <w:rPr>
                <w:b/>
                <w:iCs/>
                <w:lang w:eastAsia="en-US"/>
              </w:rPr>
              <w:t>TSC Set</w:t>
            </w:r>
            <w:r w:rsidRPr="004D0DAA">
              <w:rPr>
                <w:iCs/>
                <w:lang w:eastAsia="en-US"/>
              </w:rPr>
              <w:t xml:space="preserve"> : bit (1) &gt;</w:t>
            </w:r>
          </w:p>
          <w:p w14:paraId="1FB814F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7408C6C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0FBDCC7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7F595F2B" w14:textId="77777777" w:rsidR="00711444" w:rsidRPr="004D0DAA" w:rsidRDefault="00711444" w:rsidP="00AA2A4C">
            <w:pPr>
              <w:pStyle w:val="TAL"/>
              <w:rPr>
                <w:lang w:eastAsia="en-US"/>
              </w:rPr>
            </w:pPr>
            <w:r w:rsidRPr="004D0DAA">
              <w:rPr>
                <w:lang w:eastAsia="en-US"/>
              </w:rPr>
              <w:tab/>
            </w:r>
            <w:r w:rsidRPr="004D0DAA">
              <w:rPr>
                <w:lang w:eastAsia="en-US"/>
              </w:rPr>
              <w:tab/>
              <w:t>| 11</w:t>
            </w:r>
            <w:r w:rsidRPr="004D0DAA">
              <w:rPr>
                <w:szCs w:val="18"/>
                <w:lang w:eastAsia="en-US"/>
              </w:rPr>
              <w:tab/>
            </w:r>
            <w:r w:rsidRPr="004D0DAA">
              <w:rPr>
                <w:lang w:eastAsia="en-US"/>
              </w:rPr>
              <w:t>bit (*) = &lt; no string &gt;</w:t>
            </w:r>
            <w:r w:rsidRPr="004D0DAA">
              <w:rPr>
                <w:szCs w:val="18"/>
                <w:lang w:eastAsia="en-US"/>
              </w:rPr>
              <w:tab/>
            </w:r>
            <w:r w:rsidRPr="004D0DAA">
              <w:rPr>
                <w:szCs w:val="18"/>
                <w:lang w:eastAsia="en-US"/>
              </w:rPr>
              <w:tab/>
            </w:r>
            <w:r w:rsidRPr="004D0DAA">
              <w:rPr>
                <w:i/>
                <w:szCs w:val="18"/>
                <w:lang w:eastAsia="en-US"/>
              </w:rPr>
              <w:t>-- Reserved</w:t>
            </w:r>
          </w:p>
          <w:p w14:paraId="22A4FD71" w14:textId="77777777" w:rsidR="00711444" w:rsidRPr="004D0DAA" w:rsidRDefault="00711444" w:rsidP="00AA2A4C">
            <w:pPr>
              <w:pStyle w:val="TAL"/>
              <w:rPr>
                <w:lang w:eastAsia="en-US"/>
              </w:rPr>
            </w:pPr>
            <w:r w:rsidRPr="004D0DAA">
              <w:rPr>
                <w:lang w:eastAsia="en-US"/>
              </w:rPr>
              <w:tab/>
              <w:t>};</w:t>
            </w:r>
          </w:p>
          <w:p w14:paraId="2E9BA59A" w14:textId="77777777" w:rsidR="00711444" w:rsidRPr="004D0DAA" w:rsidRDefault="00711444" w:rsidP="00AA2A4C">
            <w:pPr>
              <w:pStyle w:val="TAL"/>
              <w:rPr>
                <w:lang w:eastAsia="en-US"/>
              </w:rPr>
            </w:pPr>
          </w:p>
          <w:p w14:paraId="242CDEB6" w14:textId="77777777" w:rsidR="00711444" w:rsidRPr="004D0DAA" w:rsidRDefault="00711444" w:rsidP="00AA2A4C">
            <w:pPr>
              <w:keepNext/>
              <w:keepLines/>
              <w:spacing w:after="0"/>
            </w:pPr>
          </w:p>
          <w:p w14:paraId="6868B6D2" w14:textId="77777777" w:rsidR="00711444" w:rsidRPr="004D0DAA" w:rsidRDefault="00711444" w:rsidP="00AA2A4C">
            <w:pPr>
              <w:pStyle w:val="TAL"/>
              <w:rPr>
                <w:i/>
                <w:lang w:eastAsia="en-US"/>
              </w:rPr>
            </w:pPr>
            <w:r w:rsidRPr="004D0DAA">
              <w:rPr>
                <w:lang w:eastAsia="en-US"/>
              </w:rPr>
              <w:t xml:space="preserve">&lt; DLMC UL Carrier Info struct &gt; ::= </w:t>
            </w:r>
          </w:p>
          <w:p w14:paraId="143A73CD" w14:textId="77777777" w:rsidR="00711444" w:rsidRPr="004D0DAA" w:rsidRDefault="00711444" w:rsidP="00AA2A4C">
            <w:pPr>
              <w:pStyle w:val="TAL"/>
              <w:rPr>
                <w:i/>
                <w:iCs/>
                <w:szCs w:val="18"/>
                <w:lang w:val="en-US" w:eastAsia="en-US"/>
              </w:rPr>
            </w:pPr>
            <w:r w:rsidRPr="004D0DAA">
              <w:rPr>
                <w:rFonts w:cs="Arial"/>
                <w:szCs w:val="18"/>
                <w:lang w:eastAsia="en-US"/>
              </w:rPr>
              <w:tab/>
              <w:t xml:space="preserve">{ 00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released</w:t>
            </w:r>
          </w:p>
          <w:p w14:paraId="21794D53"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01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Carrier remains unchanged (</w:t>
            </w:r>
            <w:r w:rsidRPr="004D0DAA">
              <w:rPr>
                <w:i/>
                <w:iCs/>
                <w:szCs w:val="18"/>
                <w:lang w:eastAsia="en-US"/>
              </w:rPr>
              <w:t>no information provided)</w:t>
            </w:r>
          </w:p>
          <w:p w14:paraId="4598386D"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10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modified or new carrier assigned</w:t>
            </w:r>
          </w:p>
          <w:p w14:paraId="7BB98E2D"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szCs w:val="18"/>
                <w:lang w:val="en-US" w:eastAsia="en-US"/>
              </w:rPr>
              <w:t>{ 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BTTI mode</w:t>
            </w:r>
          </w:p>
          <w:p w14:paraId="189059B9" w14:textId="77777777" w:rsidR="00711444" w:rsidRPr="004D0DAA" w:rsidRDefault="00711444" w:rsidP="00AA2A4C">
            <w:pPr>
              <w:pStyle w:val="TAL"/>
              <w:rPr>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w:t>
            </w:r>
            <w:r w:rsidRPr="004D0DAA">
              <w:rPr>
                <w:szCs w:val="18"/>
                <w:lang w:eastAsia="en-US"/>
              </w:rPr>
              <w:t>0</w:t>
            </w:r>
            <w:r w:rsidRPr="004D0DAA">
              <w:rPr>
                <w:szCs w:val="18"/>
                <w:lang w:eastAsia="en-US"/>
              </w:rPr>
              <w:tab/>
              <w:t>| 1</w:t>
            </w:r>
            <w:r w:rsidRPr="004D0DAA">
              <w:rPr>
                <w:szCs w:val="18"/>
                <w:lang w:eastAsia="en-US"/>
              </w:rPr>
              <w:tab/>
              <w:t xml:space="preserve">&lt; </w:t>
            </w:r>
            <w:r w:rsidRPr="004D0DAA">
              <w:rPr>
                <w:b/>
                <w:szCs w:val="18"/>
                <w:lang w:eastAsia="en-US"/>
              </w:rPr>
              <w:t xml:space="preserve">UPLINK_TIMESLOT_ALLOCATION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w:t>
            </w:r>
          </w:p>
          <w:p w14:paraId="74CECDF8"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 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RTTI mode</w:t>
            </w:r>
          </w:p>
          <w:p w14:paraId="3CC0930A" w14:textId="77777777" w:rsidR="00711444" w:rsidRPr="004D0DAA" w:rsidRDefault="00711444" w:rsidP="00AA2A4C">
            <w:pPr>
              <w:pStyle w:val="TAL"/>
              <w:rPr>
                <w:szCs w:val="18"/>
                <w:lang w:eastAsia="en-US"/>
              </w:rPr>
            </w:pPr>
            <w:r w:rsidRPr="004D0DAA">
              <w:rPr>
                <w:lang w:val="en-US" w:eastAsia="en-US"/>
              </w:rPr>
              <w:tab/>
            </w:r>
            <w:r w:rsidRPr="004D0DAA">
              <w:rPr>
                <w:lang w:val="en-US" w:eastAsia="en-US"/>
              </w:rPr>
              <w:tab/>
            </w:r>
            <w:r w:rsidRPr="004D0DAA">
              <w:rPr>
                <w:lang w:val="en-US" w:eastAsia="en-US"/>
              </w:rPr>
              <w:tab/>
            </w:r>
            <w:r w:rsidRPr="004D0DAA">
              <w:rPr>
                <w:rFonts w:cs="Arial"/>
                <w:szCs w:val="18"/>
                <w:lang w:eastAsia="en-US"/>
              </w:rPr>
              <w:tab/>
            </w:r>
            <w:r w:rsidRPr="004D0DAA">
              <w:rPr>
                <w:szCs w:val="18"/>
                <w:lang w:eastAsia="en-US"/>
              </w:rPr>
              <w:t>{ 0</w:t>
            </w:r>
            <w:r w:rsidRPr="004D0DAA">
              <w:rPr>
                <w:szCs w:val="18"/>
                <w:lang w:eastAsia="en-US"/>
              </w:rPr>
              <w:tab/>
              <w:t xml:space="preserve">| 1 &lt; </w:t>
            </w:r>
            <w:r w:rsidRPr="004D0DAA">
              <w:rPr>
                <w:b/>
                <w:bCs/>
                <w:szCs w:val="18"/>
                <w:lang w:eastAsia="en-US"/>
              </w:rPr>
              <w:t xml:space="preserve">UPLINK_PDCH_PAIRS_DLMC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PDCH-pairs</w:t>
            </w:r>
          </w:p>
          <w:p w14:paraId="42D5A87F"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w:t>
            </w:r>
          </w:p>
          <w:p w14:paraId="19ADDD04"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szCs w:val="18"/>
                <w:lang w:val="en-US" w:eastAsia="en-US"/>
              </w:rPr>
              <w:tab/>
            </w:r>
            <w:r w:rsidRPr="004D0DAA">
              <w:rPr>
                <w:rFonts w:cs="Arial"/>
                <w:szCs w:val="18"/>
                <w:lang w:eastAsia="en-US"/>
              </w:rPr>
              <w:t xml:space="preserve">&lt; </w:t>
            </w:r>
            <w:r w:rsidRPr="004D0DAA">
              <w:rPr>
                <w:rFonts w:cs="Arial"/>
                <w:b/>
                <w:szCs w:val="18"/>
                <w:lang w:eastAsia="en-US"/>
              </w:rPr>
              <w:t xml:space="preserve">Dynamic Allocation 3 : </w:t>
            </w:r>
            <w:r w:rsidRPr="004D0DAA">
              <w:rPr>
                <w:rFonts w:cs="Arial"/>
                <w:szCs w:val="18"/>
                <w:lang w:eastAsia="en-US"/>
              </w:rPr>
              <w:t>&lt; Dynamic Allocation 3 IE &gt; &gt;</w:t>
            </w:r>
          </w:p>
          <w:p w14:paraId="3E04A3D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r w:rsidRPr="004D0DAA">
              <w:rPr>
                <w:rFonts w:cs="Arial"/>
                <w:szCs w:val="18"/>
                <w:lang w:eastAsia="en-US"/>
              </w:rPr>
              <w:tab/>
            </w:r>
            <w:r w:rsidRPr="004D0DAA">
              <w:rPr>
                <w:rFonts w:cs="Arial"/>
                <w:szCs w:val="18"/>
                <w:lang w:eastAsia="en-US"/>
              </w:rPr>
              <w:tab/>
            </w:r>
            <w:r w:rsidRPr="004D0DAA">
              <w:rPr>
                <w:lang w:eastAsia="en-US"/>
              </w:rPr>
              <w:t>--</w:t>
            </w:r>
            <w:r w:rsidRPr="004D0DAA">
              <w:rPr>
                <w:iCs/>
                <w:lang w:eastAsia="en-US"/>
              </w:rPr>
              <w:t xml:space="preserve"> EMST is not used on this carrier</w:t>
            </w:r>
          </w:p>
          <w:p w14:paraId="530F451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r w:rsidRPr="004D0DAA">
              <w:rPr>
                <w:lang w:eastAsia="en-US"/>
              </w:rPr>
              <w:t xml:space="preserve"> </w:t>
            </w:r>
          </w:p>
          <w:p w14:paraId="0BD9EA68"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Uplink RLC Entity 2</w:t>
            </w:r>
            <w:r w:rsidRPr="004D0DAA">
              <w:rPr>
                <w:lang w:eastAsia="en-US"/>
              </w:rPr>
              <w:t xml:space="preserve"> : &lt; RLC Entity Struct &gt; </w:t>
            </w:r>
          </w:p>
          <w:p w14:paraId="42025EF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RLC Entity 3</w:t>
            </w:r>
            <w:r w:rsidRPr="004D0DAA">
              <w:rPr>
                <w:lang w:eastAsia="en-US"/>
              </w:rPr>
              <w:t xml:space="preserve"> : &lt; RLC Entity Struct &gt; } }</w:t>
            </w:r>
          </w:p>
          <w:p w14:paraId="7001F2A2"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15C626F1"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6DD0A937"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w:t>
            </w:r>
            <w:r w:rsidRPr="004D0DAA">
              <w:rPr>
                <w:szCs w:val="18"/>
                <w:lang w:eastAsia="en-US"/>
              </w:rPr>
              <w:t xml:space="preserve"> </w:t>
            </w:r>
            <w:r w:rsidRPr="004D0DAA">
              <w:rPr>
                <w:lang w:eastAsia="en-US"/>
              </w:rPr>
              <w:t>} ** 0</w:t>
            </w:r>
            <w:r w:rsidRPr="004D0DAA">
              <w:rPr>
                <w:lang w:eastAsia="en-US"/>
              </w:rPr>
              <w:tab/>
            </w:r>
          </w:p>
          <w:p w14:paraId="78F88FA0"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 ** 0</w:t>
            </w:r>
            <w:r w:rsidRPr="004D0DAA">
              <w:rPr>
                <w:lang w:eastAsia="en-US"/>
              </w:rPr>
              <w:tab/>
            </w:r>
          </w:p>
          <w:p w14:paraId="72AAD5A6"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 ** 0</w:t>
            </w:r>
          </w:p>
          <w:p w14:paraId="1ED32A2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w:t>
            </w:r>
          </w:p>
          <w:p w14:paraId="26041253" w14:textId="77777777" w:rsidR="00711444" w:rsidRPr="004D0DAA" w:rsidRDefault="00711444" w:rsidP="00AA2A4C">
            <w:pPr>
              <w:pStyle w:val="TAL"/>
              <w:rPr>
                <w:iCs/>
                <w:lang w:eastAsia="en-GB"/>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53FC7EF" w14:textId="77777777" w:rsidR="00711444" w:rsidRPr="004D0DAA" w:rsidRDefault="00711444" w:rsidP="00AA2A4C">
            <w:pPr>
              <w:pStyle w:val="TAL"/>
              <w:rPr>
                <w:i/>
                <w:iCs/>
                <w:szCs w:val="18"/>
                <w:lang w:val="sv-SE" w:eastAsia="en-US"/>
              </w:rPr>
            </w:pPr>
            <w:r w:rsidRPr="004D0DAA">
              <w:rPr>
                <w:rFonts w:cs="Arial"/>
                <w:szCs w:val="18"/>
                <w:lang w:eastAsia="en-US"/>
              </w:rPr>
              <w:tab/>
            </w:r>
            <w:r w:rsidRPr="004D0DAA">
              <w:rPr>
                <w:rFonts w:cs="Arial"/>
                <w:szCs w:val="18"/>
                <w:lang w:eastAsia="en-US"/>
              </w:rPr>
              <w:tab/>
              <w:t>| 11</w:t>
            </w:r>
            <w:r w:rsidRPr="004D0DAA">
              <w:rPr>
                <w:szCs w:val="18"/>
                <w:lang w:eastAsia="en-US"/>
              </w:rPr>
              <w:t xml:space="preserve"> </w:t>
            </w:r>
            <w:r w:rsidRPr="004D0DAA">
              <w:rPr>
                <w:szCs w:val="18"/>
                <w:lang w:eastAsia="en-US"/>
              </w:rPr>
              <w:tab/>
            </w:r>
            <w:r w:rsidRPr="004D0DAA">
              <w:rPr>
                <w:lang w:eastAsia="en-US"/>
              </w:rPr>
              <w:t>bit (*) = &lt; no string &gt;</w:t>
            </w:r>
            <w:r w:rsidRPr="004D0DAA">
              <w:rPr>
                <w:szCs w:val="18"/>
                <w:lang w:eastAsia="en-US"/>
              </w:rPr>
              <w:tab/>
            </w:r>
            <w:r w:rsidRPr="004D0DAA">
              <w:rPr>
                <w:szCs w:val="18"/>
                <w:lang w:val="sv-SE" w:eastAsia="en-US"/>
              </w:rPr>
              <w:tab/>
            </w:r>
            <w:r w:rsidRPr="004D0DAA">
              <w:rPr>
                <w:szCs w:val="18"/>
                <w:lang w:val="sv-SE" w:eastAsia="en-US"/>
              </w:rPr>
              <w:tab/>
              <w:t xml:space="preserve">-- </w:t>
            </w:r>
            <w:r w:rsidRPr="004D0DAA">
              <w:rPr>
                <w:i/>
                <w:iCs/>
                <w:szCs w:val="18"/>
                <w:lang w:val="sv-SE" w:eastAsia="en-US"/>
              </w:rPr>
              <w:t>reserved</w:t>
            </w:r>
          </w:p>
          <w:p w14:paraId="7AE5BDC3" w14:textId="77777777" w:rsidR="00711444" w:rsidRPr="004D0DAA" w:rsidRDefault="00711444" w:rsidP="00AA2A4C">
            <w:pPr>
              <w:pStyle w:val="TAL"/>
              <w:rPr>
                <w:szCs w:val="18"/>
                <w:lang w:eastAsia="en-US"/>
              </w:rPr>
            </w:pPr>
            <w:r w:rsidRPr="004D0DAA">
              <w:rPr>
                <w:rFonts w:cs="Arial"/>
                <w:szCs w:val="18"/>
                <w:lang w:eastAsia="en-US"/>
              </w:rPr>
              <w:tab/>
              <w:t>} ;</w:t>
            </w:r>
            <w:r w:rsidRPr="004D0DAA">
              <w:rPr>
                <w:rFonts w:eastAsia="SimSun" w:cs="Arial"/>
                <w:szCs w:val="18"/>
                <w:lang w:eastAsia="zh-CN"/>
              </w:rPr>
              <w:t xml:space="preserve"> </w:t>
            </w:r>
          </w:p>
          <w:p w14:paraId="5AADECE8" w14:textId="77777777" w:rsidR="00711444" w:rsidRPr="004D0DAA" w:rsidRDefault="00711444" w:rsidP="00AA2A4C">
            <w:pPr>
              <w:pStyle w:val="TAL"/>
              <w:rPr>
                <w:lang w:eastAsia="en-US"/>
              </w:rPr>
            </w:pPr>
          </w:p>
        </w:tc>
      </w:tr>
    </w:tbl>
    <w:p w14:paraId="3B5420A8" w14:textId="77777777" w:rsidR="00711444" w:rsidRPr="004D0DAA" w:rsidRDefault="00711444" w:rsidP="00711444"/>
    <w:p w14:paraId="2575AB38" w14:textId="77777777" w:rsidR="00711444" w:rsidRPr="004D0DAA" w:rsidRDefault="00711444" w:rsidP="00711444">
      <w:pPr>
        <w:pStyle w:val="TH"/>
      </w:pPr>
      <w:r w:rsidRPr="004D0DAA">
        <w:t xml:space="preserve">Table 11.2.31.2: </w:t>
      </w:r>
      <w:r w:rsidRPr="004D0DAA">
        <w:rPr>
          <w:caps/>
        </w:rPr>
        <w:t xml:space="preserve">Packet TIMESLOT RECONFIGURE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2BC329F" w14:textId="77777777" w:rsidTr="00AA2A4C">
        <w:tblPrEx>
          <w:tblCellMar>
            <w:top w:w="0" w:type="dxa"/>
            <w:bottom w:w="0" w:type="dxa"/>
          </w:tblCellMar>
        </w:tblPrEx>
        <w:trPr>
          <w:cantSplit/>
        </w:trPr>
        <w:tc>
          <w:tcPr>
            <w:tcW w:w="9848" w:type="dxa"/>
          </w:tcPr>
          <w:p w14:paraId="2E36432F" w14:textId="77777777" w:rsidR="00711444" w:rsidRPr="004D0DAA" w:rsidRDefault="00711444" w:rsidP="00AA2A4C">
            <w:pPr>
              <w:keepNext/>
              <w:keepLines/>
              <w:rPr>
                <w:b/>
              </w:rPr>
            </w:pPr>
            <w:r w:rsidRPr="004D0DAA">
              <w:rPr>
                <w:b/>
              </w:rPr>
              <w:t xml:space="preserve">Global TFI </w:t>
            </w:r>
            <w:r w:rsidRPr="004D0DAA">
              <w:t>(6 bit field)</w:t>
            </w:r>
            <w:r w:rsidRPr="004D0DAA">
              <w:br/>
              <w:t>This field identifies (one of) the uplink TFI, if available, or (one of) the downlink TFI, to which this message applies. This field is defined in sub-clause 12.10.</w:t>
            </w:r>
          </w:p>
        </w:tc>
      </w:tr>
      <w:tr w:rsidR="00711444" w:rsidRPr="004D0DAA" w14:paraId="63961DC4" w14:textId="77777777" w:rsidTr="00AA2A4C">
        <w:tblPrEx>
          <w:tblCellMar>
            <w:top w:w="0" w:type="dxa"/>
            <w:bottom w:w="0" w:type="dxa"/>
          </w:tblCellMar>
        </w:tblPrEx>
        <w:trPr>
          <w:cantSplit/>
        </w:trPr>
        <w:tc>
          <w:tcPr>
            <w:tcW w:w="9848" w:type="dxa"/>
          </w:tcPr>
          <w:p w14:paraId="38EEE1B8" w14:textId="77777777" w:rsidR="00711444" w:rsidRPr="004D0DAA" w:rsidRDefault="00711444" w:rsidP="00AA2A4C">
            <w:pPr>
              <w:keepNext/>
              <w:keepLines/>
            </w:pPr>
            <w:r w:rsidRPr="004D0DAA">
              <w:rPr>
                <w:b/>
              </w:rPr>
              <w:t>CHANNEL_CODING_COMMAND</w:t>
            </w:r>
            <w:r w:rsidRPr="004D0DAA">
              <w:t xml:space="preserve"> (2 bit field)</w:t>
            </w:r>
            <w:r w:rsidRPr="004D0DAA">
              <w:br/>
              <w:t>The Channel Coding Indicator field indicates the channel coding scheme that the mobile station shall use when transmitting on the uplink.</w:t>
            </w:r>
          </w:p>
          <w:p w14:paraId="3F560F4F" w14:textId="77777777" w:rsidR="00711444" w:rsidRPr="004D0DAA" w:rsidRDefault="00711444" w:rsidP="00AA2A4C">
            <w:pPr>
              <w:keepNext/>
              <w:keepLines/>
              <w:tabs>
                <w:tab w:val="left" w:pos="851"/>
              </w:tabs>
              <w:rPr>
                <w:b/>
              </w:rPr>
            </w:pPr>
            <w:r w:rsidRPr="004D0DAA">
              <w:t>bit</w:t>
            </w:r>
            <w:r w:rsidRPr="004D0DAA">
              <w:br/>
              <w:t xml:space="preserve">2 1 </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69BB7CA4" w14:textId="77777777" w:rsidTr="00AA2A4C">
        <w:tblPrEx>
          <w:tblCellMar>
            <w:top w:w="0" w:type="dxa"/>
            <w:bottom w:w="0" w:type="dxa"/>
          </w:tblCellMar>
        </w:tblPrEx>
        <w:trPr>
          <w:cantSplit/>
        </w:trPr>
        <w:tc>
          <w:tcPr>
            <w:tcW w:w="9848" w:type="dxa"/>
          </w:tcPr>
          <w:p w14:paraId="1100E0C4" w14:textId="77777777" w:rsidR="00711444" w:rsidRPr="004D0DAA" w:rsidRDefault="00711444" w:rsidP="00AA2A4C">
            <w:pPr>
              <w:keepNext/>
              <w:keepLines/>
              <w:rPr>
                <w:b/>
              </w:rPr>
            </w:pPr>
            <w:r w:rsidRPr="004D0DAA">
              <w:rPr>
                <w:b/>
              </w:rPr>
              <w:t>COMPACT reduced MA</w:t>
            </w:r>
            <w:r w:rsidRPr="004D0DAA">
              <w:t xml:space="preserve"> </w:t>
            </w:r>
            <w:r w:rsidRPr="004D0DAA">
              <w:br/>
              <w:t>This information element is defined in sub-clause 12.29.</w:t>
            </w:r>
          </w:p>
        </w:tc>
      </w:tr>
      <w:tr w:rsidR="00711444" w:rsidRPr="004D0DAA" w14:paraId="3C7E13F8" w14:textId="77777777" w:rsidTr="00AA2A4C">
        <w:tblPrEx>
          <w:tblCellMar>
            <w:top w:w="0" w:type="dxa"/>
            <w:bottom w:w="0" w:type="dxa"/>
          </w:tblCellMar>
        </w:tblPrEx>
        <w:trPr>
          <w:cantSplit/>
        </w:trPr>
        <w:tc>
          <w:tcPr>
            <w:tcW w:w="9848" w:type="dxa"/>
          </w:tcPr>
          <w:p w14:paraId="58A99DAE" w14:textId="77777777" w:rsidR="00711444" w:rsidRPr="004D0DAA" w:rsidRDefault="00711444" w:rsidP="00AA2A4C">
            <w:r w:rsidRPr="004D0DAA">
              <w:rPr>
                <w:b/>
              </w:rPr>
              <w:t>EGPRS Modulation and Coding Scheme</w:t>
            </w:r>
            <w:r w:rsidRPr="004D0DAA">
              <w:br/>
              <w:t>The EGPRS modulation and coding scheme information element is defined in sub-clause 12.10d.</w:t>
            </w:r>
          </w:p>
          <w:p w14:paraId="7E1310F2" w14:textId="77777777" w:rsidR="00711444" w:rsidRPr="004D0DAA" w:rsidRDefault="00711444" w:rsidP="00AA2A4C">
            <w:r w:rsidRPr="004D0DAA">
              <w:t>If this field is included in a Dual Carrier assignment, it shall specify the initial EGPRS Modulation and Coding Scheme to be used on both carriers. If this field is included in a Multi Carrier assignment, it shall specify the initial EGPRS Modulation and Coding Scheme to be used on all carriers.</w:t>
            </w:r>
          </w:p>
        </w:tc>
      </w:tr>
      <w:tr w:rsidR="00711444" w:rsidRPr="004D0DAA" w14:paraId="25848A85" w14:textId="77777777" w:rsidTr="00AA2A4C">
        <w:tblPrEx>
          <w:tblCellMar>
            <w:top w:w="0" w:type="dxa"/>
            <w:bottom w:w="0" w:type="dxa"/>
          </w:tblCellMar>
        </w:tblPrEx>
        <w:trPr>
          <w:cantSplit/>
        </w:trPr>
        <w:tc>
          <w:tcPr>
            <w:tcW w:w="9848" w:type="dxa"/>
          </w:tcPr>
          <w:p w14:paraId="4BD0D4E7" w14:textId="77777777" w:rsidR="00711444" w:rsidRPr="004D0DAA" w:rsidRDefault="00711444" w:rsidP="00AA2A4C">
            <w:pPr>
              <w:rPr>
                <w:b/>
              </w:rPr>
            </w:pPr>
            <w:r w:rsidRPr="004D0DAA">
              <w:rPr>
                <w:b/>
              </w:rPr>
              <w:t xml:space="preserve">RESEGMENT </w:t>
            </w:r>
            <w:r w:rsidRPr="004D0DAA">
              <w:t>(1 bit field)</w:t>
            </w:r>
            <w:r w:rsidRPr="004D0DAA">
              <w:br/>
              <w:t>This field is defined in sub-clause 12.10e.</w:t>
            </w:r>
          </w:p>
        </w:tc>
      </w:tr>
      <w:tr w:rsidR="00711444" w:rsidRPr="004D0DAA" w14:paraId="16256EA8" w14:textId="77777777" w:rsidTr="00AA2A4C">
        <w:tblPrEx>
          <w:tblCellMar>
            <w:top w:w="0" w:type="dxa"/>
            <w:bottom w:w="0" w:type="dxa"/>
          </w:tblCellMar>
        </w:tblPrEx>
        <w:trPr>
          <w:cantSplit/>
        </w:trPr>
        <w:tc>
          <w:tcPr>
            <w:tcW w:w="9848" w:type="dxa"/>
          </w:tcPr>
          <w:p w14:paraId="68C2D9AB" w14:textId="77777777" w:rsidR="00711444" w:rsidRPr="004D0DAA" w:rsidRDefault="00711444" w:rsidP="00AA2A4C">
            <w:pPr>
              <w:rPr>
                <w:b/>
              </w:rPr>
            </w:pPr>
            <w:r w:rsidRPr="004D0DAA">
              <w:rPr>
                <w:b/>
              </w:rPr>
              <w:t>EGPRS Window Size</w:t>
            </w:r>
            <w:r w:rsidRPr="004D0DAA">
              <w:br/>
              <w:t>This information element is defined in sub-clause 12.5.2.</w:t>
            </w:r>
          </w:p>
        </w:tc>
      </w:tr>
      <w:tr w:rsidR="00711444" w:rsidRPr="004D0DAA" w14:paraId="7A727C2C" w14:textId="77777777" w:rsidTr="00AA2A4C">
        <w:tblPrEx>
          <w:tblCellMar>
            <w:top w:w="0" w:type="dxa"/>
            <w:bottom w:w="0" w:type="dxa"/>
          </w:tblCellMar>
        </w:tblPrEx>
        <w:trPr>
          <w:cantSplit/>
        </w:trPr>
        <w:tc>
          <w:tcPr>
            <w:tcW w:w="9848" w:type="dxa"/>
          </w:tcPr>
          <w:p w14:paraId="3512EE56" w14:textId="77777777" w:rsidR="00711444" w:rsidRPr="004D0DAA" w:rsidRDefault="00711444" w:rsidP="00AA2A4C">
            <w:pPr>
              <w:spacing w:after="0"/>
            </w:pPr>
            <w:r w:rsidRPr="004D0DAA">
              <w:rPr>
                <w:b/>
              </w:rPr>
              <w:t>LINK_QUALITY_MEASUREMENT_MODE</w:t>
            </w:r>
            <w:r w:rsidRPr="004D0DAA">
              <w:t xml:space="preserve"> (2 bit field)</w:t>
            </w:r>
          </w:p>
          <w:p w14:paraId="324E21C6" w14:textId="77777777" w:rsidR="00711444" w:rsidRPr="004D0DAA" w:rsidRDefault="00711444" w:rsidP="00AA2A4C">
            <w:pPr>
              <w:rPr>
                <w:b/>
              </w:rPr>
            </w:pPr>
            <w:r w:rsidRPr="004D0DAA">
              <w:t>This field is encoded as the LINK_QUALITY_MEASUREMENT_MODE IE of the PACKET DOWNLINK ASSIGNMENT message, as defined in sub-clause 11.2.7.</w:t>
            </w:r>
          </w:p>
        </w:tc>
      </w:tr>
      <w:tr w:rsidR="00711444" w:rsidRPr="004D0DAA" w14:paraId="72D11FD6" w14:textId="77777777" w:rsidTr="00AA2A4C">
        <w:tblPrEx>
          <w:tblCellMar>
            <w:top w:w="0" w:type="dxa"/>
            <w:bottom w:w="0" w:type="dxa"/>
          </w:tblCellMar>
        </w:tblPrEx>
        <w:trPr>
          <w:cantSplit/>
        </w:trPr>
        <w:tc>
          <w:tcPr>
            <w:tcW w:w="9848" w:type="dxa"/>
          </w:tcPr>
          <w:p w14:paraId="15129C9F" w14:textId="77777777" w:rsidR="00711444" w:rsidRPr="004D0DAA" w:rsidRDefault="00711444" w:rsidP="00AA2A4C">
            <w:pPr>
              <w:spacing w:after="0"/>
            </w:pPr>
            <w:r w:rsidRPr="004D0DAA">
              <w:rPr>
                <w:b/>
              </w:rPr>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060F4453" w14:textId="77777777" w:rsidR="00711444" w:rsidRPr="004D0DAA" w:rsidRDefault="00711444" w:rsidP="00AA2A4C">
            <w:pPr>
              <w:spacing w:after="0"/>
            </w:pPr>
            <w:r w:rsidRPr="004D0DAA">
              <w:t>Range: 0 to 15</w:t>
            </w:r>
          </w:p>
          <w:p w14:paraId="12BCDF59" w14:textId="77777777" w:rsidR="00711444" w:rsidRPr="004D0DAA" w:rsidRDefault="00711444" w:rsidP="00AA2A4C">
            <w:pPr>
              <w:spacing w:after="0"/>
              <w:rPr>
                <w:b/>
              </w:rPr>
            </w:pPr>
          </w:p>
        </w:tc>
      </w:tr>
      <w:tr w:rsidR="00711444" w:rsidRPr="004D0DAA" w14:paraId="55BA7EA1" w14:textId="77777777" w:rsidTr="00AA2A4C">
        <w:tblPrEx>
          <w:tblCellMar>
            <w:top w:w="0" w:type="dxa"/>
            <w:bottom w:w="0" w:type="dxa"/>
          </w:tblCellMar>
        </w:tblPrEx>
        <w:trPr>
          <w:cantSplit/>
        </w:trPr>
        <w:tc>
          <w:tcPr>
            <w:tcW w:w="9848" w:type="dxa"/>
          </w:tcPr>
          <w:p w14:paraId="5BBF5205" w14:textId="77777777" w:rsidR="00711444" w:rsidRPr="004D0DAA" w:rsidRDefault="00711444" w:rsidP="00AA2A4C">
            <w:pPr>
              <w:rPr>
                <w:b/>
              </w:rPr>
            </w:pPr>
            <w:r w:rsidRPr="004D0DAA">
              <w:rPr>
                <w:b/>
              </w:rPr>
              <w:t>Global Packet Timing Advance</w:t>
            </w:r>
            <w:r w:rsidRPr="004D0DAA">
              <w:rPr>
                <w:b/>
              </w:rPr>
              <w:br/>
            </w:r>
            <w:r w:rsidRPr="004D0DAA">
              <w:t>This information element is defined in sub-clause 12.12a.</w:t>
            </w:r>
          </w:p>
        </w:tc>
      </w:tr>
      <w:tr w:rsidR="00711444" w:rsidRPr="004D0DAA" w14:paraId="76C9FFA3" w14:textId="77777777" w:rsidTr="00AA2A4C">
        <w:tblPrEx>
          <w:tblCellMar>
            <w:top w:w="0" w:type="dxa"/>
            <w:bottom w:w="0" w:type="dxa"/>
          </w:tblCellMar>
        </w:tblPrEx>
        <w:trPr>
          <w:cantSplit/>
        </w:trPr>
        <w:tc>
          <w:tcPr>
            <w:tcW w:w="9848" w:type="dxa"/>
          </w:tcPr>
          <w:p w14:paraId="6E98C725" w14:textId="77777777" w:rsidR="00711444" w:rsidRPr="004D0DAA" w:rsidRDefault="00711444" w:rsidP="00AA2A4C">
            <w:r w:rsidRPr="004D0DAA">
              <w:rPr>
                <w:b/>
              </w:rPr>
              <w:t xml:space="preserve">DOWNLINK_RLC_MODE </w:t>
            </w:r>
            <w:r w:rsidRPr="004D0DAA">
              <w:t>(1 bit field)</w:t>
            </w:r>
            <w:r w:rsidRPr="004D0DAA">
              <w:br/>
            </w:r>
            <w:r w:rsidRPr="004D0DAA">
              <w:rPr>
                <w:b/>
                <w:bCs/>
              </w:rPr>
              <w:t xml:space="preserve">RLC_MODE </w:t>
            </w:r>
            <w:r w:rsidRPr="004D0DAA">
              <w:t>(1 bit field)</w:t>
            </w:r>
            <w:r w:rsidRPr="004D0DAA">
              <w:br/>
              <w:t>This field indicates the RLC mode of the requested TBF. If a new mode is assigned by the network for an already established TBF, the MS shall ignore the new assigned mode and shall maintain the TBF in the old mode. If EMST is used, this field indicates the RLC mode of the RLC entity.</w:t>
            </w:r>
          </w:p>
          <w:p w14:paraId="761CBC6A" w14:textId="77777777" w:rsidR="00711444" w:rsidRPr="004D0DAA" w:rsidRDefault="00711444" w:rsidP="00AA2A4C">
            <w:pPr>
              <w:spacing w:after="0"/>
            </w:pPr>
            <w:r w:rsidRPr="004D0DAA">
              <w:t>0</w:t>
            </w:r>
            <w:r w:rsidRPr="004D0DAA">
              <w:tab/>
              <w:t>RLC acknowledged mode</w:t>
            </w:r>
          </w:p>
          <w:p w14:paraId="477536F4" w14:textId="77777777" w:rsidR="00711444" w:rsidRPr="004D0DAA" w:rsidRDefault="00711444" w:rsidP="00AA2A4C">
            <w:pPr>
              <w:rPr>
                <w:b/>
              </w:rPr>
            </w:pPr>
            <w:r w:rsidRPr="004D0DAA">
              <w:t>1</w:t>
            </w:r>
            <w:r w:rsidRPr="004D0DAA">
              <w:tab/>
              <w:t>RLC unacknowledged mode. For the case of an EGPRS TBF an MS that supports RLC non-persistent mode shall respond to this indication of RLC mode as described in the EGPRS Window Size IE (see sub-clause 12.5.2).</w:t>
            </w:r>
          </w:p>
        </w:tc>
      </w:tr>
      <w:tr w:rsidR="00711444" w:rsidRPr="004D0DAA" w14:paraId="2908355A" w14:textId="77777777" w:rsidTr="00AA2A4C">
        <w:tblPrEx>
          <w:tblCellMar>
            <w:top w:w="0" w:type="dxa"/>
            <w:bottom w:w="0" w:type="dxa"/>
          </w:tblCellMar>
        </w:tblPrEx>
        <w:trPr>
          <w:cantSplit/>
        </w:trPr>
        <w:tc>
          <w:tcPr>
            <w:tcW w:w="9848" w:type="dxa"/>
          </w:tcPr>
          <w:p w14:paraId="3E60F79E" w14:textId="77777777" w:rsidR="00711444" w:rsidRPr="004D0DAA" w:rsidRDefault="00711444" w:rsidP="00AA2A4C">
            <w:pPr>
              <w:rPr>
                <w:b/>
              </w:rPr>
            </w:pPr>
            <w:r w:rsidRPr="004D0DAA">
              <w:rPr>
                <w:b/>
              </w:rPr>
              <w:t xml:space="preserve">CONTROL_ACK </w:t>
            </w:r>
            <w:r w:rsidRPr="004D0DAA">
              <w:t>(1 bit field)</w:t>
            </w:r>
            <w:r w:rsidRPr="004D0DAA">
              <w:br/>
              <w:t>This field shall be set to '1' if the network establishes a new downlink TBF for the mobile station whose timer T3192 is running. Otherwise this field shall be set to '0'.</w:t>
            </w:r>
          </w:p>
        </w:tc>
      </w:tr>
      <w:tr w:rsidR="00711444" w:rsidRPr="004D0DAA" w14:paraId="54174BEA" w14:textId="77777777" w:rsidTr="00AA2A4C">
        <w:tblPrEx>
          <w:tblCellMar>
            <w:top w:w="0" w:type="dxa"/>
            <w:bottom w:w="0" w:type="dxa"/>
          </w:tblCellMar>
        </w:tblPrEx>
        <w:trPr>
          <w:cantSplit/>
        </w:trPr>
        <w:tc>
          <w:tcPr>
            <w:tcW w:w="9848" w:type="dxa"/>
          </w:tcPr>
          <w:p w14:paraId="3AF38614" w14:textId="77777777" w:rsidR="00711444" w:rsidRPr="004D0DAA" w:rsidRDefault="00711444" w:rsidP="00AA2A4C">
            <w:r w:rsidRPr="004D0DAA">
              <w:rPr>
                <w:b/>
              </w:rPr>
              <w:lastRenderedPageBreak/>
              <w:t>DOWNLINK_TFI_ASSIGNMENT</w:t>
            </w:r>
            <w:r w:rsidRPr="004D0DAA">
              <w:t xml:space="preserve"> (5 bit field)</w:t>
            </w:r>
            <w:r w:rsidRPr="004D0DAA">
              <w:br/>
            </w:r>
            <w:r w:rsidRPr="004D0DAA">
              <w:rPr>
                <w:b/>
                <w:bCs/>
              </w:rPr>
              <w:t>TFI</w:t>
            </w:r>
            <w:r w:rsidRPr="004D0DAA">
              <w:t xml:space="preserve"> (5 bit field)</w:t>
            </w:r>
            <w:r w:rsidRPr="004D0DAA">
              <w:br/>
              <w:t>This information element, if present, assigns the contained TFI to the mobile station to identify a downlink TBF described by this message. This field is coded the same as the TFI field defined in sub-clause 12.15. If EMSR is supported, each TFI identifies a Packet Flow Context supported by a specific RLC entity allocated on the downlink TBF.</w:t>
            </w:r>
          </w:p>
          <w:p w14:paraId="2B6B7293" w14:textId="77777777" w:rsidR="00711444" w:rsidRPr="004D0DAA" w:rsidRDefault="00711444" w:rsidP="00AA2A4C">
            <w:r w:rsidRPr="004D0DAA">
              <w:t>If a DLMC configuration is established, the assignment message shall provide the DOWNLINK_TFI_ASSIGNMENT IE for at least the first carrier in the corresponding UFPS. If this IE is absent for any remaining carriers, the DOWNLINK_TFI_ASSIGNMENT IE for the first carrier in the first UFPS shall apply.</w:t>
            </w:r>
          </w:p>
        </w:tc>
      </w:tr>
      <w:tr w:rsidR="00711444" w:rsidRPr="004D0DAA" w14:paraId="48671F92" w14:textId="77777777" w:rsidTr="00AA2A4C">
        <w:tblPrEx>
          <w:tblCellMar>
            <w:top w:w="0" w:type="dxa"/>
            <w:bottom w:w="0" w:type="dxa"/>
          </w:tblCellMar>
        </w:tblPrEx>
        <w:trPr>
          <w:cantSplit/>
        </w:trPr>
        <w:tc>
          <w:tcPr>
            <w:tcW w:w="9848" w:type="dxa"/>
          </w:tcPr>
          <w:p w14:paraId="1CC83A09" w14:textId="77777777" w:rsidR="00711444" w:rsidRPr="004D0DAA" w:rsidRDefault="00711444" w:rsidP="00AA2A4C">
            <w:r w:rsidRPr="004D0DAA">
              <w:rPr>
                <w:b/>
              </w:rPr>
              <w:t xml:space="preserve">UPLINK_TFI_ASSIGNMENT </w:t>
            </w:r>
            <w:r w:rsidRPr="004D0DAA">
              <w:t>(5 bit field)</w:t>
            </w:r>
            <w:r w:rsidRPr="004D0DAA">
              <w:br/>
            </w:r>
            <w:r w:rsidRPr="004D0DAA">
              <w:rPr>
                <w:b/>
                <w:bCs/>
              </w:rPr>
              <w:t>TFI</w:t>
            </w:r>
            <w:r w:rsidRPr="004D0DAA">
              <w:t xml:space="preserve"> (5 bit field)</w:t>
            </w:r>
            <w:r w:rsidRPr="004D0DAA">
              <w:br/>
              <w:t>This information element, if present, assigns the contained TFI to the mobile station to identify an uplink TBF described by this message. This field is coded the same as the TFI field defined in sub-clause 12.15. If EMSR is supported, each TFI identifies a Packet Flow Context supported by a specific RLC entity allocated on the uplink TBF.</w:t>
            </w:r>
          </w:p>
        </w:tc>
      </w:tr>
      <w:tr w:rsidR="00711444" w:rsidRPr="004D0DAA" w14:paraId="222C82B1" w14:textId="77777777" w:rsidTr="00AA2A4C">
        <w:tblPrEx>
          <w:tblCellMar>
            <w:top w:w="0" w:type="dxa"/>
            <w:bottom w:w="0" w:type="dxa"/>
          </w:tblCellMar>
        </w:tblPrEx>
        <w:trPr>
          <w:cantSplit/>
        </w:trPr>
        <w:tc>
          <w:tcPr>
            <w:tcW w:w="9848" w:type="dxa"/>
          </w:tcPr>
          <w:p w14:paraId="3732F5A3" w14:textId="77777777" w:rsidR="00711444" w:rsidRPr="004D0DAA" w:rsidRDefault="00711444" w:rsidP="00AA2A4C">
            <w:pPr>
              <w:spacing w:after="0"/>
            </w:pPr>
            <w:r w:rsidRPr="004D0DAA">
              <w:rPr>
                <w:b/>
              </w:rPr>
              <w:t>DOWNLINK_TIMESLOT_ALLOCATION</w:t>
            </w:r>
            <w:r w:rsidRPr="004D0DAA">
              <w:t xml:space="preserve"> (8 bit field)</w:t>
            </w:r>
            <w:r w:rsidRPr="004D0DAA">
              <w:rPr>
                <w:b/>
              </w:rPr>
              <w:br/>
              <w:t xml:space="preserve">UPLINK_TIMESLOT_ALLOCATION </w:t>
            </w:r>
            <w:r w:rsidRPr="004D0DAA">
              <w:t>(8 bit field)</w:t>
            </w:r>
          </w:p>
          <w:p w14:paraId="390640A3" w14:textId="77777777" w:rsidR="00711444" w:rsidRPr="004D0DAA" w:rsidRDefault="00711444" w:rsidP="00AA2A4C">
            <w:r w:rsidRPr="004D0DAA">
              <w:t>This field is defined in sub-clause 12.18.</w:t>
            </w:r>
          </w:p>
          <w:p w14:paraId="3FEA7F90" w14:textId="77777777" w:rsidR="00711444" w:rsidRPr="004D0DAA" w:rsidRDefault="00711444" w:rsidP="00AA2A4C">
            <w:pPr>
              <w:rPr>
                <w:b/>
              </w:rPr>
            </w:pPr>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These fields indicate the assigned timeslots for the downlink TBF. The usage of these fields is as specified in sub-clause 11.2.7.</w:t>
            </w:r>
          </w:p>
        </w:tc>
      </w:tr>
      <w:tr w:rsidR="00711444" w:rsidRPr="004D0DAA" w14:paraId="563B2265" w14:textId="77777777" w:rsidTr="00AA2A4C">
        <w:tblPrEx>
          <w:tblCellMar>
            <w:top w:w="0" w:type="dxa"/>
            <w:bottom w:w="0" w:type="dxa"/>
          </w:tblCellMar>
        </w:tblPrEx>
        <w:trPr>
          <w:cantSplit/>
        </w:trPr>
        <w:tc>
          <w:tcPr>
            <w:tcW w:w="9848" w:type="dxa"/>
          </w:tcPr>
          <w:p w14:paraId="209E8FCD" w14:textId="77777777" w:rsidR="00711444" w:rsidRPr="004D0DAA" w:rsidRDefault="00711444" w:rsidP="00AA2A4C">
            <w:r w:rsidRPr="004D0DAA">
              <w:rPr>
                <w:b/>
              </w:rPr>
              <w:t>Frequency Parameters</w:t>
            </w:r>
            <w:r w:rsidRPr="004D0DAA">
              <w:br/>
              <w:t xml:space="preserve">This information element, if present, assigns frequency parameters to the uplink and downlink TBFs. If this information element is not present the mobile station shall use its previously assigned frequency parameters. This information element is defined in sub-clause 12.8. </w:t>
            </w:r>
          </w:p>
          <w:p w14:paraId="7DFF7A98" w14:textId="77777777" w:rsidR="00711444" w:rsidRPr="004D0DAA" w:rsidRDefault="00711444" w:rsidP="00AA2A4C">
            <w:r w:rsidRPr="004D0DAA">
              <w:rPr>
                <w:rFonts w:cs="Arial"/>
                <w:b/>
                <w:bCs/>
              </w:rPr>
              <w:t>Frequency Parameters C1, Frequency Parameters C2</w:t>
            </w:r>
            <w:r w:rsidRPr="004D0DAA">
              <w:rPr>
                <w:rFonts w:cs="Arial"/>
                <w:b/>
                <w:bCs/>
              </w:rPr>
              <w:br/>
            </w:r>
            <w:r w:rsidRPr="004D0DAA">
              <w:t>These information elements are coded as defined in sub-clause 12.8. The usage of these fields is as specified in sub-clause 11.2.7.</w:t>
            </w:r>
          </w:p>
          <w:p w14:paraId="4D0F123A" w14:textId="77777777" w:rsidR="00711444" w:rsidRPr="004D0DAA" w:rsidRDefault="00711444" w:rsidP="00AA2A4C">
            <w:pPr>
              <w:rPr>
                <w:b/>
              </w:rPr>
            </w:pPr>
            <w:r w:rsidRPr="004D0DAA">
              <w:rPr>
                <w:rFonts w:cs="Arial"/>
                <w:b/>
                <w:bCs/>
              </w:rPr>
              <w:t xml:space="preserve">Dual Carrier Frequency Parameters </w:t>
            </w:r>
            <w:r w:rsidRPr="004D0DAA">
              <w:rPr>
                <w:rFonts w:cs="Arial"/>
                <w:b/>
                <w:bCs/>
              </w:rPr>
              <w:br/>
            </w:r>
            <w:r w:rsidRPr="004D0DAA">
              <w:t>This information element, if present, assigns frequency parameters to the uplink TBF for both carriers in a dual carrier configuration. This information element is defined in sub-clause 12.8.2.</w:t>
            </w:r>
          </w:p>
        </w:tc>
      </w:tr>
      <w:tr w:rsidR="00711444" w:rsidRPr="004D0DAA" w14:paraId="2C397ECE" w14:textId="77777777" w:rsidTr="00AA2A4C">
        <w:tblPrEx>
          <w:tblCellMar>
            <w:top w:w="0" w:type="dxa"/>
            <w:bottom w:w="0" w:type="dxa"/>
          </w:tblCellMar>
        </w:tblPrEx>
        <w:trPr>
          <w:cantSplit/>
        </w:trPr>
        <w:tc>
          <w:tcPr>
            <w:tcW w:w="9848" w:type="dxa"/>
          </w:tcPr>
          <w:p w14:paraId="35A3690A" w14:textId="77777777" w:rsidR="00711444" w:rsidRPr="004D0DAA" w:rsidRDefault="00711444" w:rsidP="00AA2A4C">
            <w:r w:rsidRPr="004D0DAA">
              <w:rPr>
                <w:b/>
              </w:rPr>
              <w:t>Dynamic Allocation struct</w:t>
            </w:r>
            <w:r w:rsidRPr="004D0DAA">
              <w:rPr>
                <w:b/>
              </w:rPr>
              <w:br/>
            </w:r>
            <w:r w:rsidRPr="004D0DAA">
              <w:t>This information element contains parameters necessary to define the radio resources of a dynamic allocation or an extended dynamic allocation.</w:t>
            </w:r>
          </w:p>
          <w:p w14:paraId="59017122" w14:textId="77777777" w:rsidR="00711444" w:rsidRPr="004D0DAA" w:rsidRDefault="00711444" w:rsidP="00AA2A4C">
            <w:pPr>
              <w:rPr>
                <w:lang w:eastAsia="ko-KR"/>
              </w:rPr>
            </w:pPr>
            <w:r w:rsidRPr="004D0DAA">
              <w:rPr>
                <w:b/>
              </w:rPr>
              <w:t>Dynamic Allocation 2 struct</w:t>
            </w:r>
            <w:r w:rsidRPr="004D0DAA">
              <w:rPr>
                <w:b/>
              </w:rPr>
              <w:br/>
            </w:r>
            <w:r w:rsidRPr="004D0DAA">
              <w:t>This information element contains parameters necessary to define the radio resources of a dynamic allocation or an extended dynamic allocation</w:t>
            </w:r>
            <w:r w:rsidRPr="004D0DAA">
              <w:rPr>
                <w:lang w:eastAsia="ko-KR"/>
              </w:rPr>
              <w:t xml:space="preserve"> in a dual carrier, RTTI, BTTI with FANR activated, or EGPRS2 configuration.  </w:t>
            </w:r>
          </w:p>
          <w:p w14:paraId="275E10A7" w14:textId="77777777" w:rsidR="00711444" w:rsidRPr="004D0DAA" w:rsidRDefault="00711444" w:rsidP="00AA2A4C">
            <w:pPr>
              <w:rPr>
                <w:lang w:eastAsia="ko-KR"/>
              </w:rPr>
            </w:pPr>
            <w:r w:rsidRPr="004D0DAA">
              <w:rPr>
                <w:b/>
              </w:rPr>
              <w:t>Power Control Parameters</w:t>
            </w:r>
            <w:r w:rsidRPr="004D0DAA">
              <w:rPr>
                <w:b/>
              </w:rPr>
              <w:br/>
            </w:r>
            <w:r w:rsidRPr="004D0DAA">
              <w:t>This information element contains parameters necessary to define the radio resources of a dynamic allocation or an extended dynamic allocation</w:t>
            </w:r>
            <w:r w:rsidRPr="004D0DAA">
              <w:rPr>
                <w:lang w:eastAsia="ko-KR"/>
              </w:rPr>
              <w:t xml:space="preserve"> in a multi carrier, RTTI, BTTI with FANR activated, or EGPRS2 configuration (see sub-clause 12.13).</w:t>
            </w:r>
          </w:p>
          <w:p w14:paraId="5EB18E57" w14:textId="77777777" w:rsidR="00711444" w:rsidRPr="004D0DAA" w:rsidRDefault="00711444" w:rsidP="00AA2A4C">
            <w:pPr>
              <w:rPr>
                <w:lang w:eastAsia="ko-KR"/>
              </w:rPr>
            </w:pPr>
            <w:r w:rsidRPr="004D0DAA">
              <w:rPr>
                <w:lang w:eastAsia="ko-KR"/>
              </w:rPr>
              <w:t>In case of a timeslot allocation without power control parameters, the values of the power control parameters for assigned timeslots shall be the default values as specified in 3GPP TS 45.008. However, in case some of the timeslots assigned by this message are already used by the mobile station, the mobile station shall continue to use the current power control parameters for these timeslots.</w:t>
            </w:r>
          </w:p>
          <w:p w14:paraId="5CAE77DF" w14:textId="77777777" w:rsidR="00711444" w:rsidRPr="004D0DAA" w:rsidRDefault="00711444" w:rsidP="00AA2A4C">
            <w:r w:rsidRPr="004D0DAA">
              <w:t>For the case of a downlink carrier assigned for a DLMC configuration the assignment message shall provide the Power Control Parameters IE for at least the first carrier in the corresponding UFPS. If this IE is absent for any remaining carriers, the Power Control Parameters IE for the first carrier in the first UFPS shall apply.</w:t>
            </w:r>
          </w:p>
        </w:tc>
      </w:tr>
      <w:tr w:rsidR="00711444" w:rsidRPr="004D0DAA" w14:paraId="09B0A806" w14:textId="77777777" w:rsidTr="00AA2A4C">
        <w:tblPrEx>
          <w:tblCellMar>
            <w:top w:w="0" w:type="dxa"/>
            <w:bottom w:w="0" w:type="dxa"/>
          </w:tblCellMar>
        </w:tblPrEx>
        <w:trPr>
          <w:cantSplit/>
        </w:trPr>
        <w:tc>
          <w:tcPr>
            <w:tcW w:w="9848" w:type="dxa"/>
          </w:tcPr>
          <w:p w14:paraId="34C261AE" w14:textId="77777777" w:rsidR="00711444" w:rsidRPr="004D0DAA" w:rsidRDefault="00711444" w:rsidP="00AA2A4C">
            <w:r w:rsidRPr="004D0DAA">
              <w:rPr>
                <w:b/>
              </w:rPr>
              <w:lastRenderedPageBreak/>
              <w:t>EXTENDED_DYNAMIC_ALLOCATION</w:t>
            </w:r>
            <w:r w:rsidRPr="004D0DAA">
              <w:t xml:space="preserve"> (1 bit field)</w:t>
            </w:r>
            <w:r w:rsidRPr="004D0DAA">
              <w:br/>
              <w:t>This information field indicates the medium access mode to be used during the TBF.</w:t>
            </w:r>
          </w:p>
          <w:p w14:paraId="202A1692" w14:textId="77777777" w:rsidR="00711444" w:rsidRPr="004D0DAA" w:rsidRDefault="00711444" w:rsidP="00AA2A4C">
            <w:pPr>
              <w:rPr>
                <w:b/>
              </w:rPr>
            </w:pPr>
            <w:r w:rsidRPr="004D0DAA">
              <w:t>0</w:t>
            </w:r>
            <w:r w:rsidRPr="004D0DAA">
              <w:tab/>
              <w:t>Dynamic Allocation</w:t>
            </w:r>
            <w:r w:rsidRPr="004D0DAA">
              <w:br/>
              <w:t>1</w:t>
            </w:r>
            <w:r w:rsidRPr="004D0DAA">
              <w:tab/>
              <w:t>Extended Dynamic Allocation</w:t>
            </w:r>
          </w:p>
        </w:tc>
      </w:tr>
      <w:tr w:rsidR="00711444" w:rsidRPr="004D0DAA" w14:paraId="45C98B5B" w14:textId="77777777" w:rsidTr="00AA2A4C">
        <w:tblPrEx>
          <w:tblCellMar>
            <w:top w:w="0" w:type="dxa"/>
            <w:bottom w:w="0" w:type="dxa"/>
          </w:tblCellMar>
        </w:tblPrEx>
        <w:trPr>
          <w:cantSplit/>
        </w:trPr>
        <w:tc>
          <w:tcPr>
            <w:tcW w:w="9848" w:type="dxa"/>
          </w:tcPr>
          <w:p w14:paraId="592A9E82" w14:textId="77777777" w:rsidR="00711444" w:rsidRPr="004D0DAA" w:rsidRDefault="00711444" w:rsidP="00AA2A4C">
            <w:r w:rsidRPr="004D0DAA">
              <w:rPr>
                <w:b/>
              </w:rPr>
              <w:t>TBF Starting Time</w:t>
            </w:r>
            <w:r w:rsidRPr="004D0DAA">
              <w:br/>
              <w:t>The TBF Starting Time field contains a starting time that indicates the frame number during which the assigned TBF may start.</w:t>
            </w:r>
          </w:p>
          <w:p w14:paraId="530FC122" w14:textId="77777777" w:rsidR="00711444" w:rsidRPr="004D0DAA" w:rsidRDefault="00711444" w:rsidP="00AA2A4C">
            <w:r w:rsidRPr="004D0DAA">
              <w:t>If no downlink TBF is in progress, the mobile station need not monitor the TFI field of downlink RLC data blocks until the indicated TDMA frame number. After the indicated TDMA frame number, the mobile station shall apply the new downlink parameters and then operate as during a downlink TBF. If a downlink TBF is already in progress, the mobile station shall continue to use the parameters of the existing TBF until the TDMA frame number occurs. When the indicated TDMA frame number occurs, the mobile station shall immediately begin to use the new downlink parameters assigned.</w:t>
            </w:r>
          </w:p>
          <w:p w14:paraId="1E712260" w14:textId="77777777" w:rsidR="00711444" w:rsidRPr="004D0DAA" w:rsidRDefault="00711444" w:rsidP="00AA2A4C">
            <w:r w:rsidRPr="004D0DAA">
              <w:t>If no uplink TBF is in progress, the MS need not monitor the USF field until the TDMA frame number occurs. When the indicated TDMA frame number occurs, the mobile station shall immediately begin to monitor the USF field and use the new assigned uplink TBF parameters when its USF has occurred. If an uplink TBF is already in progress, the MS shall continue to use the parameters of the existing TBF until the TDMA frame number occurs. When the indicated TDMA frame number occurs, the mobile station shall immediately begin to monitor the USF field and use the new assigned uplink TBF parameters when its USF has occurred.</w:t>
            </w:r>
          </w:p>
          <w:p w14:paraId="75407B5D" w14:textId="77777777" w:rsidR="00711444" w:rsidRPr="004D0DAA" w:rsidRDefault="00711444" w:rsidP="00AA2A4C">
            <w:pPr>
              <w:rPr>
                <w:b/>
              </w:rPr>
            </w:pPr>
            <w:r w:rsidRPr="004D0DAA">
              <w:t>This field is encoded as the Starting Frame Number Description IE. See sub-clause 12.21</w:t>
            </w:r>
          </w:p>
        </w:tc>
      </w:tr>
      <w:tr w:rsidR="00711444" w:rsidRPr="004D0DAA" w14:paraId="09B6CBC7" w14:textId="77777777" w:rsidTr="00AA2A4C">
        <w:tblPrEx>
          <w:tblCellMar>
            <w:top w:w="0" w:type="dxa"/>
            <w:bottom w:w="0" w:type="dxa"/>
          </w:tblCellMar>
        </w:tblPrEx>
        <w:trPr>
          <w:cantSplit/>
        </w:trPr>
        <w:tc>
          <w:tcPr>
            <w:tcW w:w="9848" w:type="dxa"/>
          </w:tcPr>
          <w:p w14:paraId="5FF4038A" w14:textId="77777777" w:rsidR="00711444" w:rsidRPr="004D0DAA" w:rsidRDefault="00711444" w:rsidP="00AA2A4C">
            <w:r w:rsidRPr="004D0DAA">
              <w:rPr>
                <w:b/>
              </w:rPr>
              <w:t>USF_TN0</w:t>
            </w:r>
            <w:r w:rsidRPr="004D0DAA">
              <w:t xml:space="preserve"> (3 bit field)</w:t>
            </w:r>
            <w:r w:rsidRPr="004D0DAA">
              <w:br/>
            </w:r>
            <w:r w:rsidRPr="004D0DAA">
              <w:rPr>
                <w:b/>
              </w:rPr>
              <w:t>USF_TN1</w:t>
            </w:r>
            <w:r w:rsidRPr="004D0DAA">
              <w:t xml:space="preserve"> (3 bit field)</w:t>
            </w:r>
            <w:r w:rsidRPr="004D0DAA">
              <w:br/>
            </w:r>
            <w:r w:rsidRPr="004D0DAA">
              <w:rPr>
                <w:b/>
              </w:rPr>
              <w:t>USF_TN2</w:t>
            </w:r>
            <w:r w:rsidRPr="004D0DAA">
              <w:t xml:space="preserve"> (3 bit field)</w:t>
            </w:r>
            <w:r w:rsidRPr="004D0DAA">
              <w:br/>
            </w:r>
            <w:r w:rsidRPr="004D0DAA">
              <w:rPr>
                <w:b/>
              </w:rPr>
              <w:t>USF_TN3</w:t>
            </w:r>
            <w:r w:rsidRPr="004D0DAA">
              <w:t xml:space="preserve"> (3 bit field)</w:t>
            </w:r>
            <w:r w:rsidRPr="004D0DAA">
              <w:br/>
            </w:r>
            <w:r w:rsidRPr="004D0DAA">
              <w:rPr>
                <w:b/>
              </w:rPr>
              <w:t>USF_TN4</w:t>
            </w:r>
            <w:r w:rsidRPr="004D0DAA">
              <w:t xml:space="preserve"> (3 bit field)</w:t>
            </w:r>
            <w:r w:rsidRPr="004D0DAA">
              <w:br/>
            </w:r>
            <w:r w:rsidRPr="004D0DAA">
              <w:rPr>
                <w:b/>
              </w:rPr>
              <w:t>USF_TN5</w:t>
            </w:r>
            <w:r w:rsidRPr="004D0DAA">
              <w:t xml:space="preserve"> (3 bit field)</w:t>
            </w:r>
            <w:r w:rsidRPr="004D0DAA">
              <w:br/>
            </w:r>
            <w:r w:rsidRPr="004D0DAA">
              <w:rPr>
                <w:b/>
              </w:rPr>
              <w:t>USF_TN6</w:t>
            </w:r>
            <w:r w:rsidRPr="004D0DAA">
              <w:t xml:space="preserve"> (3 bit field)</w:t>
            </w:r>
            <w:r w:rsidRPr="004D0DAA">
              <w:br/>
            </w:r>
            <w:r w:rsidRPr="004D0DAA">
              <w:rPr>
                <w:b/>
              </w:rPr>
              <w:t>USF_TN7</w:t>
            </w:r>
            <w:r w:rsidRPr="004D0DAA">
              <w:t xml:space="preserve"> (3 bit field)</w:t>
            </w:r>
          </w:p>
          <w:p w14:paraId="2F38AB09" w14:textId="77777777" w:rsidR="00711444" w:rsidRPr="004D0DAA" w:rsidRDefault="00711444" w:rsidP="00AA2A4C">
            <w:r w:rsidRPr="004D0DAA">
              <w:t>These fields indicate the USF value assigned to the MS for timeslots 0 to 7. These fields are encoded as a binary presentation of the USF value as defined in sub-clause 10.4.1.</w:t>
            </w:r>
          </w:p>
          <w:p w14:paraId="2C06534F" w14:textId="77777777" w:rsidR="00711444" w:rsidRPr="004D0DAA" w:rsidRDefault="00711444" w:rsidP="00AA2A4C">
            <w:pPr>
              <w:rPr>
                <w:b/>
              </w:rPr>
            </w:pPr>
          </w:p>
        </w:tc>
      </w:tr>
      <w:tr w:rsidR="00711444" w:rsidRPr="004D0DAA" w14:paraId="78141175" w14:textId="77777777" w:rsidTr="00AA2A4C">
        <w:tblPrEx>
          <w:tblCellMar>
            <w:top w:w="0" w:type="dxa"/>
            <w:bottom w:w="0" w:type="dxa"/>
          </w:tblCellMar>
        </w:tblPrEx>
        <w:trPr>
          <w:cantSplit/>
        </w:trPr>
        <w:tc>
          <w:tcPr>
            <w:tcW w:w="9848" w:type="dxa"/>
          </w:tcPr>
          <w:p w14:paraId="44B44F1C" w14:textId="77777777" w:rsidR="00711444" w:rsidRPr="004D0DAA" w:rsidRDefault="00711444" w:rsidP="00AA2A4C">
            <w:r w:rsidRPr="004D0DAA">
              <w:rPr>
                <w:b/>
              </w:rPr>
              <w:t>ALPHA</w:t>
            </w:r>
            <w:r w:rsidRPr="004D0DAA">
              <w:t xml:space="preserve"> (4 bit field)</w:t>
            </w:r>
            <w:r w:rsidRPr="004D0DAA">
              <w:br/>
              <w:t>For encoding and description see the Global Power Control Parameters IE.</w:t>
            </w:r>
          </w:p>
          <w:p w14:paraId="544BB964" w14:textId="77777777" w:rsidR="00711444" w:rsidRPr="004D0DAA" w:rsidRDefault="00711444" w:rsidP="00AA2A4C">
            <w:pPr>
              <w:rPr>
                <w:b/>
              </w:rPr>
            </w:pPr>
            <w:r w:rsidRPr="004D0DAA">
              <w:rPr>
                <w:b/>
              </w:rPr>
              <w:t>ALPHA_C1, ALPHA_C2</w:t>
            </w:r>
            <w:r w:rsidRPr="004D0DAA">
              <w:t xml:space="preserve"> (4 bit field)</w:t>
            </w:r>
            <w:r w:rsidRPr="004D0DAA">
              <w:br/>
              <w:t>The usage of these fields is as specified in sub-clause 11.2.29.2.</w:t>
            </w:r>
          </w:p>
        </w:tc>
      </w:tr>
      <w:tr w:rsidR="00711444" w:rsidRPr="004D0DAA" w14:paraId="45633895" w14:textId="77777777" w:rsidTr="00AA2A4C">
        <w:tblPrEx>
          <w:tblCellMar>
            <w:top w:w="0" w:type="dxa"/>
            <w:bottom w:w="0" w:type="dxa"/>
          </w:tblCellMar>
        </w:tblPrEx>
        <w:trPr>
          <w:cantSplit/>
        </w:trPr>
        <w:tc>
          <w:tcPr>
            <w:tcW w:w="9848" w:type="dxa"/>
          </w:tcPr>
          <w:p w14:paraId="34EEB76E" w14:textId="77777777" w:rsidR="00711444" w:rsidRPr="004D0DAA" w:rsidRDefault="00711444" w:rsidP="00AA2A4C">
            <w:r w:rsidRPr="004D0DAA">
              <w:rPr>
                <w:b/>
              </w:rPr>
              <w:t>GAMMA, GAMMA_TN</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44FFCF9A"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 xml:space="preserve">CH = 62 dB </w:t>
            </w:r>
          </w:p>
          <w:p w14:paraId="24CC1C37" w14:textId="77777777" w:rsidR="00711444" w:rsidRPr="004D0DAA" w:rsidRDefault="00711444" w:rsidP="00AA2A4C">
            <w:pPr>
              <w:tabs>
                <w:tab w:val="left" w:pos="1134"/>
              </w:tabs>
              <w:rPr>
                <w:b/>
              </w:rPr>
            </w:pPr>
            <w:r w:rsidRPr="004D0DAA">
              <w:t>In the case of RTTI mode with BTTI USF, exactly one GAMMA field shall be included for each PDCH pair for which either one or two USF values are assigned.</w:t>
            </w:r>
          </w:p>
        </w:tc>
      </w:tr>
      <w:tr w:rsidR="00711444" w:rsidRPr="004D0DAA" w14:paraId="0D78A04A" w14:textId="77777777" w:rsidTr="00AA2A4C">
        <w:tblPrEx>
          <w:tblCellMar>
            <w:top w:w="0" w:type="dxa"/>
            <w:bottom w:w="0" w:type="dxa"/>
          </w:tblCellMar>
        </w:tblPrEx>
        <w:trPr>
          <w:cantSplit/>
        </w:trPr>
        <w:tc>
          <w:tcPr>
            <w:tcW w:w="9848" w:type="dxa"/>
          </w:tcPr>
          <w:p w14:paraId="0A7E745D" w14:textId="77777777" w:rsidR="00711444" w:rsidRPr="004D0DAA" w:rsidRDefault="00711444" w:rsidP="00AA2A4C">
            <w:r w:rsidRPr="004D0DAA">
              <w:rPr>
                <w:b/>
              </w:rPr>
              <w:lastRenderedPageBreak/>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3042CB29"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0F90B097" w14:textId="77777777" w:rsidTr="00AA2A4C">
        <w:tblPrEx>
          <w:tblCellMar>
            <w:top w:w="0" w:type="dxa"/>
            <w:bottom w:w="0" w:type="dxa"/>
          </w:tblCellMar>
        </w:tblPrEx>
        <w:trPr>
          <w:cantSplit/>
        </w:trPr>
        <w:tc>
          <w:tcPr>
            <w:tcW w:w="9848" w:type="dxa"/>
          </w:tcPr>
          <w:p w14:paraId="67A9F9CB" w14:textId="77777777" w:rsidR="00711444" w:rsidRPr="004D0DAA" w:rsidRDefault="00711444" w:rsidP="00AA2A4C">
            <w:r w:rsidRPr="004D0DAA">
              <w:rPr>
                <w:b/>
              </w:rPr>
              <w:t>P0, P0_C1, P0_C2</w:t>
            </w:r>
            <w:r w:rsidRPr="004D0DAA">
              <w:t xml:space="preserve"> (4 bit field)</w:t>
            </w:r>
            <w:r w:rsidRPr="004D0DAA">
              <w:br/>
              <w:t xml:space="preserve">For description and encoding, see the Packet Uplink Assignment message. </w:t>
            </w:r>
          </w:p>
          <w:p w14:paraId="7EE0C273" w14:textId="77777777" w:rsidR="00711444" w:rsidRPr="004D0DAA" w:rsidRDefault="00711444" w:rsidP="00AA2A4C">
            <w:pPr>
              <w:rPr>
                <w:b/>
              </w:rPr>
            </w:pPr>
            <w:r w:rsidRPr="004D0DAA">
              <w:t>For the case of a downlink carrier assigned for a DLMC configuration the assignment message shall provide the P0 IE for at least the first carrier in the corresponding UFPS. If this IE is absent for any remaining carriers, the P0 IE for the first carrier in the first UFPS shall apply.</w:t>
            </w:r>
          </w:p>
        </w:tc>
      </w:tr>
      <w:tr w:rsidR="00711444" w:rsidRPr="004D0DAA" w14:paraId="74DDBCCB" w14:textId="77777777" w:rsidTr="00AA2A4C">
        <w:tblPrEx>
          <w:tblCellMar>
            <w:top w:w="0" w:type="dxa"/>
            <w:bottom w:w="0" w:type="dxa"/>
          </w:tblCellMar>
        </w:tblPrEx>
        <w:trPr>
          <w:cantSplit/>
        </w:trPr>
        <w:tc>
          <w:tcPr>
            <w:tcW w:w="9848" w:type="dxa"/>
          </w:tcPr>
          <w:p w14:paraId="3CD3393E" w14:textId="77777777" w:rsidR="00711444" w:rsidRPr="004D0DAA" w:rsidRDefault="00711444" w:rsidP="00AA2A4C">
            <w:r w:rsidRPr="004D0DAA">
              <w:rPr>
                <w:b/>
              </w:rPr>
              <w:t>PR_MODE, PR_MODE_C1, PR_MODE_C2</w:t>
            </w:r>
            <w:r w:rsidRPr="004D0DAA">
              <w:t xml:space="preserve"> (1 bit field)</w:t>
            </w:r>
            <w:r w:rsidRPr="004D0DAA">
              <w:br/>
              <w:t xml:space="preserve">For description and encoding, see the Packet Uplink Assignment message. </w:t>
            </w:r>
          </w:p>
          <w:p w14:paraId="0E47D5B2" w14:textId="77777777" w:rsidR="00711444" w:rsidRPr="004D0DAA" w:rsidRDefault="00711444" w:rsidP="00AA2A4C">
            <w:r w:rsidRPr="004D0DAA">
              <w:t>For the case of a downlink carrier assigned for a DLMC configuration the assignment message shall provide the PR_MODE IE for at least the first carrier in the corresponding UFPS. If this IE is absent for any remaining carriers, the PR_MODE IE for the first carrier in the first UFPS shall apply.</w:t>
            </w:r>
          </w:p>
        </w:tc>
      </w:tr>
      <w:tr w:rsidR="00711444" w:rsidRPr="004D0DAA" w14:paraId="2170C87C" w14:textId="77777777" w:rsidTr="00AA2A4C">
        <w:tblPrEx>
          <w:tblCellMar>
            <w:top w:w="0" w:type="dxa"/>
            <w:bottom w:w="0" w:type="dxa"/>
          </w:tblCellMar>
        </w:tblPrEx>
        <w:trPr>
          <w:cantSplit/>
        </w:trPr>
        <w:tc>
          <w:tcPr>
            <w:tcW w:w="9848" w:type="dxa"/>
          </w:tcPr>
          <w:p w14:paraId="79A09B3F" w14:textId="77777777" w:rsidR="00711444" w:rsidRPr="004D0DAA" w:rsidRDefault="00711444" w:rsidP="00AA2A4C">
            <w:r w:rsidRPr="004D0DAA">
              <w:rPr>
                <w:b/>
              </w:rPr>
              <w:t xml:space="preserve">Packet Extended Timing Advance </w:t>
            </w:r>
            <w:r w:rsidRPr="004D0DAA">
              <w:t>(2 bit field)</w:t>
            </w:r>
            <w:r w:rsidRPr="004D0DAA">
              <w:rPr>
                <w:b/>
              </w:rPr>
              <w:t xml:space="preserve"> </w:t>
            </w:r>
            <w:r w:rsidRPr="004D0DAA">
              <w:rPr>
                <w:b/>
              </w:rPr>
              <w:br/>
            </w:r>
            <w:r w:rsidRPr="004D0DAA">
              <w:t>This field is defined in sub-clause 12.12b.</w:t>
            </w:r>
          </w:p>
        </w:tc>
      </w:tr>
      <w:tr w:rsidR="00711444" w:rsidRPr="004D0DAA" w14:paraId="6ABAABBF" w14:textId="77777777" w:rsidTr="00AA2A4C">
        <w:tblPrEx>
          <w:tblCellMar>
            <w:top w:w="0" w:type="dxa"/>
            <w:bottom w:w="0" w:type="dxa"/>
          </w:tblCellMar>
        </w:tblPrEx>
        <w:trPr>
          <w:cantSplit/>
        </w:trPr>
        <w:tc>
          <w:tcPr>
            <w:tcW w:w="9848" w:type="dxa"/>
          </w:tcPr>
          <w:p w14:paraId="7EC7F59D" w14:textId="77777777" w:rsidR="00711444" w:rsidRPr="004D0DAA" w:rsidRDefault="00711444" w:rsidP="00AA2A4C">
            <w:r w:rsidRPr="004D0DAA">
              <w:rPr>
                <w:b/>
                <w:bCs/>
                <w:iCs/>
              </w:rPr>
              <w:t>RB Id of downlink TBF</w:t>
            </w:r>
            <w:r w:rsidRPr="004D0DAA">
              <w:rPr>
                <w:iCs/>
              </w:rPr>
              <w:t xml:space="preserve"> </w:t>
            </w:r>
            <w:r w:rsidRPr="004D0DAA">
              <w:t>(5 bit field)</w:t>
            </w:r>
          </w:p>
          <w:p w14:paraId="58268D8E" w14:textId="77777777" w:rsidR="00711444" w:rsidRPr="004D0DAA" w:rsidRDefault="00711444" w:rsidP="00AA2A4C">
            <w:r w:rsidRPr="004D0DAA">
              <w:rPr>
                <w:b/>
                <w:bCs/>
                <w:iCs/>
              </w:rPr>
              <w:t>RB Id of uplink TBF</w:t>
            </w:r>
            <w:r w:rsidRPr="004D0DAA">
              <w:rPr>
                <w:iCs/>
              </w:rPr>
              <w:t xml:space="preserve"> </w:t>
            </w:r>
            <w:r w:rsidRPr="004D0DAA">
              <w:t>(5 bit field)</w:t>
            </w:r>
          </w:p>
          <w:p w14:paraId="5A1174CC" w14:textId="77777777" w:rsidR="00711444" w:rsidRPr="004D0DAA" w:rsidRDefault="00711444" w:rsidP="00AA2A4C">
            <w:pPr>
              <w:rPr>
                <w:b/>
              </w:rPr>
            </w:pPr>
            <w:r w:rsidRPr="004D0DAA">
              <w:t xml:space="preserve">These fields are included when this message is used to reconfigure TBFs in Iu mode. These fields contain the radio bearer identifier for the radio bearer using the assigned TBF. </w:t>
            </w:r>
          </w:p>
        </w:tc>
      </w:tr>
      <w:tr w:rsidR="00711444" w:rsidRPr="004D0DAA" w14:paraId="2426A369" w14:textId="77777777" w:rsidTr="00AA2A4C">
        <w:tblPrEx>
          <w:tblCellMar>
            <w:top w:w="0" w:type="dxa"/>
            <w:bottom w:w="0" w:type="dxa"/>
          </w:tblCellMar>
        </w:tblPrEx>
        <w:trPr>
          <w:cantSplit/>
        </w:trPr>
        <w:tc>
          <w:tcPr>
            <w:tcW w:w="9848" w:type="dxa"/>
          </w:tcPr>
          <w:p w14:paraId="165B9EF9" w14:textId="77777777" w:rsidR="00711444" w:rsidRPr="004D0DAA" w:rsidRDefault="00711444" w:rsidP="00AA2A4C">
            <w:pPr>
              <w:spacing w:after="0"/>
              <w:rPr>
                <w:bCs/>
              </w:rPr>
            </w:pPr>
            <w:r w:rsidRPr="004D0DAA">
              <w:rPr>
                <w:b/>
              </w:rPr>
              <w:t xml:space="preserve">Uplink Control Timeslot </w:t>
            </w:r>
            <w:r w:rsidRPr="004D0DAA">
              <w:rPr>
                <w:bCs/>
              </w:rPr>
              <w:t>(3 bit field)</w:t>
            </w:r>
          </w:p>
          <w:p w14:paraId="53EE6F1A" w14:textId="77777777" w:rsidR="00711444" w:rsidRPr="004D0DAA" w:rsidRDefault="00711444" w:rsidP="00AA2A4C">
            <w:pPr>
              <w:spacing w:after="0"/>
              <w:rPr>
                <w:bCs/>
              </w:rPr>
            </w:pPr>
            <w:r w:rsidRPr="004D0DAA">
              <w:rPr>
                <w:b/>
              </w:rPr>
              <w:t xml:space="preserve">Uplink Control Timeslot C1 </w:t>
            </w:r>
            <w:r w:rsidRPr="004D0DAA">
              <w:rPr>
                <w:bCs/>
              </w:rPr>
              <w:t>(3 bit field)</w:t>
            </w:r>
          </w:p>
          <w:p w14:paraId="7D291E92" w14:textId="77777777" w:rsidR="00711444" w:rsidRPr="004D0DAA" w:rsidRDefault="00711444" w:rsidP="00AA2A4C">
            <w:pPr>
              <w:spacing w:after="0"/>
              <w:rPr>
                <w:bCs/>
              </w:rPr>
            </w:pPr>
            <w:r w:rsidRPr="004D0DAA">
              <w:rPr>
                <w:b/>
              </w:rPr>
              <w:t xml:space="preserve">Uplink Control Timeslot C2 </w:t>
            </w:r>
            <w:r w:rsidRPr="004D0DAA">
              <w:rPr>
                <w:bCs/>
              </w:rPr>
              <w:t>(3 bit field)</w:t>
            </w:r>
          </w:p>
          <w:p w14:paraId="2D86B6FC" w14:textId="77777777" w:rsidR="00711444" w:rsidRPr="004D0DAA" w:rsidRDefault="00711444" w:rsidP="00AA2A4C">
            <w:pPr>
              <w:rPr>
                <w:b/>
                <w:bCs/>
                <w:iCs/>
              </w:rPr>
            </w:pPr>
            <w:r w:rsidRPr="004D0DAA">
              <w:rPr>
                <w:bCs/>
              </w:rPr>
              <w:t>For description and coding see the Packet Uplink Assignment message.</w:t>
            </w:r>
          </w:p>
        </w:tc>
      </w:tr>
      <w:tr w:rsidR="00711444" w:rsidRPr="004D0DAA" w14:paraId="562DC950" w14:textId="77777777" w:rsidTr="00AA2A4C">
        <w:tblPrEx>
          <w:tblCellMar>
            <w:top w:w="0" w:type="dxa"/>
            <w:bottom w:w="0" w:type="dxa"/>
          </w:tblCellMar>
        </w:tblPrEx>
        <w:trPr>
          <w:cantSplit/>
        </w:trPr>
        <w:tc>
          <w:tcPr>
            <w:tcW w:w="9848" w:type="dxa"/>
          </w:tcPr>
          <w:p w14:paraId="7957C005" w14:textId="77777777" w:rsidR="00711444" w:rsidRPr="004D0DAA" w:rsidRDefault="00711444" w:rsidP="00AA2A4C">
            <w:pPr>
              <w:spacing w:after="0"/>
              <w:rPr>
                <w:iCs/>
              </w:rPr>
            </w:pPr>
            <w:r w:rsidRPr="004D0DAA">
              <w:rPr>
                <w:b/>
                <w:bCs/>
                <w:iCs/>
              </w:rPr>
              <w:t>PFI</w:t>
            </w:r>
            <w:r w:rsidRPr="004D0DAA">
              <w:rPr>
                <w:iCs/>
              </w:rPr>
              <w:t xml:space="preserve"> </w:t>
            </w:r>
            <w:r w:rsidRPr="004D0DAA">
              <w:rPr>
                <w:b/>
                <w:bCs/>
                <w:iCs/>
              </w:rPr>
              <w:t>of downlink TBF</w:t>
            </w:r>
            <w:r w:rsidRPr="004D0DAA">
              <w:rPr>
                <w:iCs/>
              </w:rPr>
              <w:t xml:space="preserve"> (7 bit field)</w:t>
            </w:r>
          </w:p>
          <w:p w14:paraId="366E6798" w14:textId="77777777" w:rsidR="00711444" w:rsidRPr="004D0DAA" w:rsidRDefault="00711444" w:rsidP="00AA2A4C">
            <w:pPr>
              <w:spacing w:after="0"/>
              <w:rPr>
                <w:iCs/>
              </w:rPr>
            </w:pPr>
            <w:r w:rsidRPr="004D0DAA">
              <w:rPr>
                <w:b/>
                <w:bCs/>
                <w:iCs/>
              </w:rPr>
              <w:t>PFI</w:t>
            </w:r>
            <w:r w:rsidRPr="004D0DAA">
              <w:rPr>
                <w:iCs/>
              </w:rPr>
              <w:t xml:space="preserve"> </w:t>
            </w:r>
            <w:r w:rsidRPr="004D0DAA">
              <w:rPr>
                <w:b/>
                <w:bCs/>
                <w:iCs/>
              </w:rPr>
              <w:t>of uplink TBF</w:t>
            </w:r>
            <w:r w:rsidRPr="004D0DAA">
              <w:rPr>
                <w:iCs/>
              </w:rPr>
              <w:t xml:space="preserve"> (7 bit field)</w:t>
            </w:r>
          </w:p>
          <w:p w14:paraId="4488FBB9" w14:textId="77777777" w:rsidR="00711444" w:rsidRPr="004D0DAA" w:rsidRDefault="00711444" w:rsidP="00AA2A4C">
            <w:pPr>
              <w:spacing w:after="0"/>
              <w:rPr>
                <w:b/>
                <w:bCs/>
                <w:iCs/>
              </w:rPr>
            </w:pPr>
            <w:r w:rsidRPr="004D0DAA">
              <w:rPr>
                <w:b/>
                <w:bCs/>
              </w:rPr>
              <w:t>TFI</w:t>
            </w:r>
            <w:r w:rsidRPr="004D0DAA">
              <w:t xml:space="preserve"> (5 bit field)</w:t>
            </w:r>
            <w:r w:rsidRPr="004D0DAA">
              <w:br/>
              <w:t>This field contains the PFI parameter identifying a Packet Flow Context related to the TBF identified in the DOWNLINK_TFI_ASSIGMENT field or UPLINK_TFI_ASSIGMENT field respectively. The PFI parameter is encoded as the contents of the PFI information element as defined in 3GPP TS 44.018. If EMST is used, this field contains the PFI parameter identifying the Packet Flow Context related to the RLC entity. If EMSR is supported, each TFI identifies a Packet Flow Context supported by a specific RLC entity allocated on the uplink/downlink TBF and each PFI identifies a Packet Flow Context supported by a specific RLC entity on the uplink/downlink TBF.</w:t>
            </w:r>
          </w:p>
        </w:tc>
      </w:tr>
      <w:tr w:rsidR="00711444" w:rsidRPr="004D0DAA" w14:paraId="1F20C40B" w14:textId="77777777" w:rsidTr="00AA2A4C">
        <w:tblPrEx>
          <w:tblCellMar>
            <w:top w:w="0" w:type="dxa"/>
            <w:bottom w:w="0" w:type="dxa"/>
          </w:tblCellMar>
        </w:tblPrEx>
        <w:trPr>
          <w:cantSplit/>
        </w:trPr>
        <w:tc>
          <w:tcPr>
            <w:tcW w:w="9848" w:type="dxa"/>
          </w:tcPr>
          <w:p w14:paraId="3590EB7D" w14:textId="77777777" w:rsidR="00711444" w:rsidRPr="004D0DAA" w:rsidRDefault="00711444" w:rsidP="00AA2A4C">
            <w:pPr>
              <w:spacing w:after="0"/>
              <w:rPr>
                <w:b/>
                <w:bCs/>
              </w:rPr>
            </w:pPr>
            <w:r w:rsidRPr="004D0DAA">
              <w:rPr>
                <w:b/>
                <w:bCs/>
              </w:rPr>
              <w:t>UPLINK_RLC_MODE (1 bit field)</w:t>
            </w:r>
            <w:r w:rsidRPr="004D0DAA">
              <w:br/>
            </w:r>
            <w:r w:rsidRPr="004D0DAA">
              <w:rPr>
                <w:b/>
                <w:bCs/>
              </w:rPr>
              <w:t xml:space="preserve">RLC_MODE </w:t>
            </w:r>
            <w:r w:rsidRPr="004D0DAA">
              <w:t>(1 bit field)</w:t>
            </w:r>
            <w:r w:rsidRPr="004D0DAA">
              <w:br/>
              <w:t>This field contains the RLC mode to be used for the assigned TBF. If a new mode is assigned by the network for an already established TBF, the MS shall ignore the new assigned mode and shall maintain the TBF in the old mode. If EMST is used, this field indicates the RLC mode of the RLC entity.</w:t>
            </w:r>
          </w:p>
          <w:p w14:paraId="13A6E3B1" w14:textId="77777777" w:rsidR="00711444" w:rsidRPr="004D0DAA" w:rsidRDefault="00711444" w:rsidP="00AA2A4C">
            <w:pPr>
              <w:spacing w:after="0"/>
            </w:pPr>
            <w:r w:rsidRPr="004D0DAA">
              <w:t>0</w:t>
            </w:r>
            <w:r w:rsidRPr="004D0DAA">
              <w:tab/>
              <w:t>RLC acknowledged mode</w:t>
            </w:r>
          </w:p>
          <w:p w14:paraId="0479C982" w14:textId="77777777" w:rsidR="00711444" w:rsidRPr="004D0DAA" w:rsidRDefault="00711444" w:rsidP="00AA2A4C">
            <w:pPr>
              <w:spacing w:after="0"/>
              <w:ind w:left="270" w:hanging="270"/>
            </w:pPr>
            <w:r w:rsidRPr="004D0DAA">
              <w:t>1</w:t>
            </w:r>
            <w:r w:rsidRPr="004D0DAA">
              <w:tab/>
              <w:t>RLC unacknowledged mode. For the case of an EGPRS TBF an MS that supports RLC non-persistent mode shall respond to this indication of RLC mode as described in the EGPRS Window Size IE (see sub-clause 12.5.2).</w:t>
            </w:r>
          </w:p>
          <w:p w14:paraId="4F342949" w14:textId="77777777" w:rsidR="00711444" w:rsidRPr="004D0DAA" w:rsidRDefault="00711444" w:rsidP="00AA2A4C">
            <w:pPr>
              <w:spacing w:after="0"/>
              <w:rPr>
                <w:b/>
              </w:rPr>
            </w:pPr>
          </w:p>
        </w:tc>
      </w:tr>
      <w:tr w:rsidR="00711444" w:rsidRPr="004D0DAA" w14:paraId="61EB005C" w14:textId="77777777" w:rsidTr="00AA2A4C">
        <w:tblPrEx>
          <w:tblCellMar>
            <w:top w:w="0" w:type="dxa"/>
            <w:bottom w:w="0" w:type="dxa"/>
          </w:tblCellMar>
        </w:tblPrEx>
        <w:trPr>
          <w:cantSplit/>
        </w:trPr>
        <w:tc>
          <w:tcPr>
            <w:tcW w:w="9848" w:type="dxa"/>
          </w:tcPr>
          <w:p w14:paraId="470D8A66" w14:textId="77777777" w:rsidR="00711444" w:rsidRPr="004D0DAA" w:rsidRDefault="00711444" w:rsidP="00AA2A4C">
            <w:r w:rsidRPr="004D0DAA">
              <w:rPr>
                <w:b/>
              </w:rPr>
              <w:t>Downlink NPM Transfer Time</w:t>
            </w:r>
            <w:r w:rsidRPr="004D0DAA">
              <w:t xml:space="preserve"> (5 bit field)</w:t>
            </w:r>
            <w:r w:rsidRPr="004D0DAA">
              <w:br/>
            </w:r>
            <w:r w:rsidRPr="004D0DAA">
              <w:rPr>
                <w:b/>
              </w:rPr>
              <w:t>Uplink NPM Transfer Time</w:t>
            </w:r>
            <w:r w:rsidRPr="004D0DAA">
              <w:t xml:space="preserve"> (5 bit field)</w:t>
            </w:r>
            <w:r w:rsidRPr="004D0DAA">
              <w:br/>
            </w:r>
            <w:r w:rsidRPr="004D0DAA">
              <w:rPr>
                <w:b/>
              </w:rPr>
              <w:t>NPM Transfer Time</w:t>
            </w:r>
            <w:r w:rsidRPr="004D0DAA">
              <w:t xml:space="preserve"> (5 bit field)</w:t>
            </w:r>
          </w:p>
          <w:p w14:paraId="6D8351EE" w14:textId="77777777" w:rsidR="00711444" w:rsidRPr="004D0DAA" w:rsidRDefault="00711444" w:rsidP="00AA2A4C">
            <w:r w:rsidRPr="004D0DAA">
              <w:t>This field contains the NPM Transfer Time limitation in case a TBF or an RLC entity, if EMST is used, using RLC non-persistent mode is established with the message. If EMSR is supported this field contains the NPM Transfer Time limitation for a specific Packet Flow Context configured to use RLC non-persistent mode. Otherwise, this field, if present, shall be ignored</w:t>
            </w:r>
          </w:p>
        </w:tc>
      </w:tr>
      <w:tr w:rsidR="00711444" w:rsidRPr="004D0DAA" w14:paraId="4A2DFF5B" w14:textId="77777777" w:rsidTr="00AA2A4C">
        <w:tblPrEx>
          <w:tblCellMar>
            <w:top w:w="0" w:type="dxa"/>
            <w:bottom w:w="0" w:type="dxa"/>
          </w:tblCellMar>
        </w:tblPrEx>
        <w:trPr>
          <w:cantSplit/>
        </w:trPr>
        <w:tc>
          <w:tcPr>
            <w:tcW w:w="9848" w:type="dxa"/>
          </w:tcPr>
          <w:p w14:paraId="0F79AEA7" w14:textId="77777777" w:rsidR="00711444" w:rsidRPr="004D0DAA" w:rsidRDefault="00711444" w:rsidP="00AA2A4C">
            <w:pPr>
              <w:rPr>
                <w:rFonts w:eastAsia="MS Mincho"/>
                <w:sz w:val="24"/>
                <w:szCs w:val="24"/>
                <w:lang w:eastAsia="ja-JP"/>
              </w:rPr>
            </w:pPr>
            <w:r w:rsidRPr="004D0DAA">
              <w:rPr>
                <w:b/>
              </w:rPr>
              <w:lastRenderedPageBreak/>
              <w:t>Assignment Type</w:t>
            </w:r>
            <w:r w:rsidRPr="004D0DAA">
              <w:t xml:space="preserve"> (2 bit field)</w:t>
            </w:r>
            <w:r w:rsidRPr="004D0DAA">
              <w:br/>
              <w:t>This field is defined in sub-clause 11.2.7</w:t>
            </w:r>
          </w:p>
        </w:tc>
      </w:tr>
      <w:tr w:rsidR="00711444" w:rsidRPr="004D0DAA" w14:paraId="74B26D7B" w14:textId="77777777" w:rsidTr="00AA2A4C">
        <w:tblPrEx>
          <w:tblCellMar>
            <w:top w:w="0" w:type="dxa"/>
            <w:bottom w:w="0" w:type="dxa"/>
          </w:tblCellMar>
        </w:tblPrEx>
        <w:trPr>
          <w:cantSplit/>
        </w:trPr>
        <w:tc>
          <w:tcPr>
            <w:tcW w:w="9848" w:type="dxa"/>
          </w:tcPr>
          <w:p w14:paraId="61AA12DC" w14:textId="77777777" w:rsidR="00711444" w:rsidRPr="004D0DAA" w:rsidRDefault="00711444" w:rsidP="00AA2A4C">
            <w:r w:rsidRPr="004D0DAA">
              <w:rPr>
                <w:b/>
              </w:rPr>
              <w:t>Carrier ID</w:t>
            </w:r>
            <w:r w:rsidRPr="004D0DAA">
              <w:t xml:space="preserve"> (1 bit field)</w:t>
            </w:r>
            <w:r w:rsidRPr="004D0DAA">
              <w:br/>
              <w:t>This identifies the carrier to which the description refers.</w:t>
            </w:r>
          </w:p>
          <w:p w14:paraId="54A262BA" w14:textId="77777777" w:rsidR="00711444" w:rsidRPr="004D0DAA" w:rsidRDefault="00711444" w:rsidP="00AA2A4C">
            <w:r w:rsidRPr="004D0DAA">
              <w:t>0</w:t>
            </w:r>
            <w:r w:rsidRPr="004D0DAA">
              <w:tab/>
              <w:t>Carrier 1</w:t>
            </w:r>
            <w:r w:rsidRPr="004D0DAA">
              <w:br/>
              <w:t>1</w:t>
            </w:r>
            <w:r w:rsidRPr="004D0DAA">
              <w:tab/>
              <w:t>Carrier 2</w:t>
            </w:r>
          </w:p>
        </w:tc>
      </w:tr>
      <w:tr w:rsidR="00711444" w:rsidRPr="004D0DAA" w14:paraId="7E4E1E7B" w14:textId="77777777" w:rsidTr="00AA2A4C">
        <w:tblPrEx>
          <w:tblCellMar>
            <w:top w:w="0" w:type="dxa"/>
            <w:bottom w:w="0" w:type="dxa"/>
          </w:tblCellMar>
        </w:tblPrEx>
        <w:trPr>
          <w:cantSplit/>
        </w:trPr>
        <w:tc>
          <w:tcPr>
            <w:tcW w:w="9848" w:type="dxa"/>
          </w:tcPr>
          <w:p w14:paraId="7C1F07CF" w14:textId="77777777" w:rsidR="00711444" w:rsidRPr="004D0DAA" w:rsidRDefault="00711444" w:rsidP="00AA2A4C">
            <w:pPr>
              <w:spacing w:after="0"/>
            </w:pPr>
            <w:r w:rsidRPr="004D0DAA">
              <w:rPr>
                <w:b/>
              </w:rPr>
              <w:t>EVENT_BASED_FANR</w:t>
            </w:r>
            <w:r w:rsidRPr="004D0DAA">
              <w:t xml:space="preserve"> (1 bit field)</w:t>
            </w:r>
          </w:p>
          <w:p w14:paraId="4D7B816A" w14:textId="77777777" w:rsidR="00711444" w:rsidRPr="004D0DAA" w:rsidRDefault="00711444" w:rsidP="00AA2A4C">
            <w:pPr>
              <w:spacing w:after="240"/>
            </w:pPr>
            <w:r w:rsidRPr="004D0DAA">
              <w:t xml:space="preserve">This field indicates whether the event-based FANR </w:t>
            </w:r>
            <w:r w:rsidRPr="004D0DAA">
              <w:rPr>
                <w:rFonts w:hint="eastAsia"/>
                <w:lang w:eastAsia="ko-KR"/>
              </w:rPr>
              <w:t>shall be used for the assigned TBF</w:t>
            </w:r>
            <w:r w:rsidRPr="004D0DAA">
              <w:rPr>
                <w:lang w:eastAsia="ko-KR"/>
              </w:rPr>
              <w:t>.</w:t>
            </w:r>
            <w:r w:rsidRPr="004D0DAA">
              <w:t xml:space="preserve"> This field shall be included if the assignment is for a RTTI configuration.</w:t>
            </w:r>
          </w:p>
          <w:p w14:paraId="1620AB08" w14:textId="77777777" w:rsidR="00711444" w:rsidRPr="004D0DAA" w:rsidRDefault="00711444" w:rsidP="00AA2A4C">
            <w:pPr>
              <w:spacing w:after="0"/>
            </w:pPr>
            <w:r w:rsidRPr="004D0DAA">
              <w:t>0</w:t>
            </w:r>
            <w:r w:rsidRPr="004D0DAA">
              <w:tab/>
              <w:t>The MS shall not use event-based FANR</w:t>
            </w:r>
            <w:r w:rsidRPr="004D0DAA">
              <w:br/>
              <w:t>1</w:t>
            </w:r>
            <w:r w:rsidRPr="004D0DAA">
              <w:tab/>
              <w:t>The MS shall use event-based FANR</w:t>
            </w:r>
          </w:p>
        </w:tc>
      </w:tr>
      <w:tr w:rsidR="00711444" w:rsidRPr="004D0DAA" w14:paraId="4A316036" w14:textId="77777777" w:rsidTr="00AA2A4C">
        <w:tblPrEx>
          <w:tblCellMar>
            <w:top w:w="0" w:type="dxa"/>
            <w:bottom w:w="0" w:type="dxa"/>
          </w:tblCellMar>
        </w:tblPrEx>
        <w:trPr>
          <w:cantSplit/>
          <w:trHeight w:val="113"/>
        </w:trPr>
        <w:tc>
          <w:tcPr>
            <w:tcW w:w="9848" w:type="dxa"/>
            <w:shd w:val="clear" w:color="auto" w:fill="auto"/>
          </w:tcPr>
          <w:p w14:paraId="15F446F4" w14:textId="77777777" w:rsidR="00711444" w:rsidRPr="004D0DAA" w:rsidRDefault="00711444" w:rsidP="00AA2A4C">
            <w:pPr>
              <w:spacing w:after="0"/>
            </w:pPr>
            <w:r w:rsidRPr="004D0DAA">
              <w:rPr>
                <w:b/>
              </w:rPr>
              <w:t xml:space="preserve">REPORTED TIMESLOTS, REPORTED TIMESLOTS C1, </w:t>
            </w:r>
            <w:r w:rsidRPr="004D0DAA">
              <w:t xml:space="preserve"> </w:t>
            </w:r>
            <w:r w:rsidRPr="004D0DAA">
              <w:rPr>
                <w:b/>
              </w:rPr>
              <w:t>REPORTED TIMESLOTS C2</w:t>
            </w:r>
            <w:r w:rsidRPr="004D0DAA">
              <w:t xml:space="preserve"> (8 bit field)</w:t>
            </w:r>
          </w:p>
          <w:p w14:paraId="5752B244" w14:textId="77777777" w:rsidR="00711444" w:rsidRPr="004D0DAA" w:rsidRDefault="00711444" w:rsidP="00AA2A4C">
            <w:r w:rsidRPr="004D0DAA">
              <w:t>The field indicates the timeslots for which feedback is provided by a time-based encoded PAN field and is encoded as the TIMESLOT_ALLOCATION IE defined in sub-clause 12.18.</w:t>
            </w:r>
          </w:p>
          <w:p w14:paraId="1A8DBA50" w14:textId="77777777" w:rsidR="00711444" w:rsidRPr="004D0DAA" w:rsidRDefault="00711444" w:rsidP="00AA2A4C">
            <w:r w:rsidRPr="004D0DAA">
              <w:t>If the Assignment Type field is included and indicates 'Assignment on single carrier only' or 'Modification of existing assignment', then REPORTED TIMESLOTS C1 shall apply to the carrier specified in the Carrier ID field. Otherwise, REPORTED TIMESLOTS C1 and REPORTED TIMESLOTS C2 apply to carrier 1 and carrier 2 respectively.</w:t>
            </w:r>
          </w:p>
        </w:tc>
      </w:tr>
      <w:tr w:rsidR="00711444" w:rsidRPr="004D0DAA" w14:paraId="1EC2B65A" w14:textId="77777777" w:rsidTr="00AA2A4C">
        <w:tblPrEx>
          <w:tblCellMar>
            <w:top w:w="0" w:type="dxa"/>
            <w:bottom w:w="0" w:type="dxa"/>
          </w:tblCellMar>
        </w:tblPrEx>
        <w:trPr>
          <w:cantSplit/>
          <w:trHeight w:val="113"/>
        </w:trPr>
        <w:tc>
          <w:tcPr>
            <w:tcW w:w="9848" w:type="dxa"/>
            <w:shd w:val="clear" w:color="auto" w:fill="auto"/>
          </w:tcPr>
          <w:p w14:paraId="6344C697" w14:textId="77777777" w:rsidR="00711444" w:rsidRPr="004D0DAA" w:rsidRDefault="00711444" w:rsidP="00AA2A4C">
            <w:pPr>
              <w:spacing w:after="0"/>
              <w:rPr>
                <w:b/>
                <w:bCs/>
              </w:rPr>
            </w:pPr>
            <w:r w:rsidRPr="004D0DAA">
              <w:rPr>
                <w:b/>
                <w:bCs/>
              </w:rPr>
              <w:t>DOWNLINK_PDCH_PAIRS_C1</w:t>
            </w:r>
          </w:p>
          <w:p w14:paraId="608379ED" w14:textId="77777777" w:rsidR="00711444" w:rsidRPr="004D0DAA" w:rsidRDefault="00711444" w:rsidP="00AA2A4C">
            <w:pPr>
              <w:spacing w:after="0"/>
              <w:rPr>
                <w:b/>
                <w:bCs/>
              </w:rPr>
            </w:pPr>
            <w:r w:rsidRPr="004D0DAA">
              <w:rPr>
                <w:b/>
                <w:bCs/>
              </w:rPr>
              <w:t>DOWNLINK_PDCH_PAIRS_C2</w:t>
            </w:r>
          </w:p>
          <w:p w14:paraId="2EE96898" w14:textId="77777777" w:rsidR="00711444" w:rsidRPr="004D0DAA" w:rsidRDefault="00711444" w:rsidP="00AA2A4C">
            <w:pPr>
              <w:spacing w:after="0"/>
              <w:rPr>
                <w:b/>
                <w:bCs/>
              </w:rPr>
            </w:pPr>
            <w:r w:rsidRPr="004D0DAA">
              <w:rPr>
                <w:b/>
                <w:bCs/>
              </w:rPr>
              <w:t>DOWNLINK_PDCH_PAIRS_DLMC</w:t>
            </w:r>
          </w:p>
          <w:p w14:paraId="4B5E4D7C" w14:textId="77777777" w:rsidR="00711444" w:rsidRPr="004D0DAA" w:rsidRDefault="00711444" w:rsidP="00AA2A4C">
            <w:pPr>
              <w:spacing w:after="0"/>
              <w:rPr>
                <w:b/>
                <w:bCs/>
              </w:rPr>
            </w:pPr>
          </w:p>
          <w:p w14:paraId="7BCF65B6" w14:textId="77777777" w:rsidR="00711444" w:rsidRPr="004D0DAA" w:rsidRDefault="00711444" w:rsidP="00AA2A4C">
            <w:pPr>
              <w:keepNext/>
              <w:keepLines/>
            </w:pPr>
            <w:r w:rsidRPr="004D0DAA">
              <w:t>These specify the set of timeslots which make up the downlink PDCH pairs on the respective carrier. The first PDCH pair comprises the two lowest-numbered timeslots for which the corresponding bits are set to '1'; the next PDCH pair comprises the next two lowest-numbered timeslots for which the corresponding bits are set to '1', and so on. Bit 8 indicates the status of timeslot 0, bit 7 indicates the status of timeslot 1, etc. At least two timeslots must be assigned.</w:t>
            </w:r>
          </w:p>
          <w:p w14:paraId="5E7DE4E3" w14:textId="77777777" w:rsidR="00711444" w:rsidRPr="004D0DAA" w:rsidRDefault="00711444" w:rsidP="00AA2A4C">
            <w:pPr>
              <w:keepNext/>
              <w:keepLines/>
            </w:pPr>
            <w:r w:rsidRPr="004D0DAA">
              <w:t>If the Assignment Type field is included and indicates 'Assignment on single carrier only' or 'Modification of existing assignment', then DOWNLINK_PDCH_PAIRS_C1 shall apply to the carrier specified in the Carrier ID field. Otherwise, DOWNLINK_PDCH_PAIRS_C1 and DOWNLINK_PDCH_PAIRS_C2 apply to carrier 1 and carrier 2 respectively.</w:t>
            </w:r>
          </w:p>
        </w:tc>
      </w:tr>
      <w:tr w:rsidR="00711444" w:rsidRPr="004D0DAA" w14:paraId="6F3D59A6" w14:textId="77777777" w:rsidTr="00AA2A4C">
        <w:tblPrEx>
          <w:tblCellMar>
            <w:top w:w="0" w:type="dxa"/>
            <w:bottom w:w="0" w:type="dxa"/>
          </w:tblCellMar>
        </w:tblPrEx>
        <w:trPr>
          <w:cantSplit/>
          <w:trHeight w:val="113"/>
        </w:trPr>
        <w:tc>
          <w:tcPr>
            <w:tcW w:w="9848" w:type="dxa"/>
            <w:shd w:val="clear" w:color="auto" w:fill="auto"/>
          </w:tcPr>
          <w:p w14:paraId="2EDA6507" w14:textId="77777777" w:rsidR="00711444" w:rsidRPr="004D0DAA" w:rsidRDefault="00711444" w:rsidP="00AA2A4C">
            <w:pPr>
              <w:spacing w:after="0"/>
              <w:rPr>
                <w:b/>
                <w:bCs/>
              </w:rPr>
            </w:pPr>
            <w:r w:rsidRPr="004D0DAA">
              <w:rPr>
                <w:b/>
                <w:bCs/>
              </w:rPr>
              <w:t>UPLINK_PDCH_PAIRS_C1</w:t>
            </w:r>
          </w:p>
          <w:p w14:paraId="0B627837" w14:textId="77777777" w:rsidR="00711444" w:rsidRPr="004D0DAA" w:rsidRDefault="00711444" w:rsidP="00AA2A4C">
            <w:pPr>
              <w:spacing w:after="0"/>
              <w:rPr>
                <w:b/>
                <w:bCs/>
              </w:rPr>
            </w:pPr>
            <w:r w:rsidRPr="004D0DAA">
              <w:rPr>
                <w:b/>
                <w:bCs/>
              </w:rPr>
              <w:t>UPLINK_PDCH_PAIRS_C2</w:t>
            </w:r>
          </w:p>
          <w:p w14:paraId="5BAA9212" w14:textId="77777777" w:rsidR="00711444" w:rsidRPr="004D0DAA" w:rsidRDefault="00711444" w:rsidP="00AA2A4C">
            <w:pPr>
              <w:spacing w:after="0"/>
              <w:rPr>
                <w:b/>
                <w:bCs/>
              </w:rPr>
            </w:pPr>
            <w:r w:rsidRPr="004D0DAA">
              <w:rPr>
                <w:b/>
                <w:bCs/>
              </w:rPr>
              <w:t>UPLINK_PDCH_PAIRS_DLMC</w:t>
            </w:r>
          </w:p>
          <w:p w14:paraId="39B2B04E" w14:textId="77777777" w:rsidR="00711444" w:rsidRPr="004D0DAA" w:rsidRDefault="00711444" w:rsidP="00AA2A4C">
            <w:pPr>
              <w:spacing w:after="0"/>
              <w:rPr>
                <w:b/>
                <w:bCs/>
              </w:rPr>
            </w:pPr>
          </w:p>
          <w:p w14:paraId="17226C2B" w14:textId="77777777" w:rsidR="00711444" w:rsidRPr="004D0DAA" w:rsidRDefault="00711444" w:rsidP="00AA2A4C">
            <w:pPr>
              <w:keepNext/>
              <w:keepLines/>
            </w:pPr>
            <w:r w:rsidRPr="004D0DAA">
              <w:t xml:space="preserve">These specify the set of timeslots which make up the uplink PDCH pairs on the respective carrier. The first PDCH pair comprises the two lowest-numbered timeslots for which the corresponding bits are set to '1'; the next PDCH pair comprises the next two lowest-numbered timeslots for which the corresponding bits are set to '1', and so on. Bit 8 indicates the status of timeslot 0, bit 7 indicates the status of timeslot 1, etc. At least two timeslots must be assigned. </w:t>
            </w:r>
          </w:p>
          <w:p w14:paraId="1E9C5A35" w14:textId="77777777" w:rsidR="00711444" w:rsidRPr="004D0DAA" w:rsidRDefault="00711444" w:rsidP="00AA2A4C">
            <w:pPr>
              <w:keepNext/>
              <w:keepLines/>
            </w:pPr>
            <w:r w:rsidRPr="004D0DAA">
              <w:t>If the Assignment Type field is included and indicates 'Assignment on single carrier only' or 'Modification of existing assignment', then UPLINK_PDCH_PAIRS_C1 shall apply to the carrier specified in the Carrier ID field. Otherwise, UPLINK_PDCH_PAIRS_C1 and UPLINK_PDCH_PAIRS_C2 apply to carrier 1 and carrier 2 respectively.</w:t>
            </w:r>
          </w:p>
        </w:tc>
      </w:tr>
      <w:tr w:rsidR="00711444" w:rsidRPr="004D0DAA" w14:paraId="7359B371" w14:textId="77777777" w:rsidTr="00AA2A4C">
        <w:tblPrEx>
          <w:tblCellMar>
            <w:top w:w="0" w:type="dxa"/>
            <w:bottom w:w="0" w:type="dxa"/>
          </w:tblCellMar>
        </w:tblPrEx>
        <w:trPr>
          <w:cantSplit/>
          <w:trHeight w:val="113"/>
        </w:trPr>
        <w:tc>
          <w:tcPr>
            <w:tcW w:w="9848" w:type="dxa"/>
            <w:shd w:val="clear" w:color="auto" w:fill="auto"/>
          </w:tcPr>
          <w:p w14:paraId="1FA53090" w14:textId="77777777" w:rsidR="00711444" w:rsidRPr="004D0DAA" w:rsidRDefault="00711444" w:rsidP="00AA2A4C">
            <w:pPr>
              <w:spacing w:after="0"/>
            </w:pPr>
            <w:r w:rsidRPr="004D0DAA">
              <w:rPr>
                <w:b/>
                <w:bCs/>
              </w:rPr>
              <w:lastRenderedPageBreak/>
              <w:t>RTTI_DOWNLINK_PDCH_PAIR_ASSIGNMENT_SC</w:t>
            </w:r>
            <w:r w:rsidRPr="004D0DAA">
              <w:t xml:space="preserve"> (4 bit field)</w:t>
            </w:r>
          </w:p>
          <w:p w14:paraId="1F44D683" w14:textId="77777777" w:rsidR="00711444" w:rsidRPr="004D0DAA" w:rsidRDefault="00711444" w:rsidP="00AA2A4C">
            <w:pPr>
              <w:spacing w:after="0"/>
              <w:rPr>
                <w:b/>
                <w:bCs/>
              </w:rPr>
            </w:pPr>
            <w:r w:rsidRPr="004D0DAA">
              <w:t xml:space="preserve">This specifies which of the downlink PDCH pairs are included in the single carrier assignment for the downlink TBF. If the bit number (5 - n) of the </w:t>
            </w:r>
            <w:r w:rsidRPr="004D0DAA">
              <w:rPr>
                <w:b/>
                <w:bCs/>
              </w:rPr>
              <w:t xml:space="preserve">RTTI_DOWNLINK_PDCH_PAIR_ASSIGNMENT_SC </w:t>
            </w:r>
            <w:r w:rsidRPr="004D0DAA">
              <w:t xml:space="preserve">field is set to '1', then the </w:t>
            </w:r>
            <w:r w:rsidRPr="004D0DAA">
              <w:rPr>
                <w:i/>
                <w:iCs/>
              </w:rPr>
              <w:t>n</w:t>
            </w:r>
            <w:r w:rsidRPr="004D0DAA">
              <w:t xml:space="preserve">th downlink PDCH pair specified in the </w:t>
            </w:r>
            <w:r w:rsidRPr="004D0DAA">
              <w:rPr>
                <w:b/>
                <w:bCs/>
              </w:rPr>
              <w:t>DOWNLINK_PDCH_PAIRS_C1</w:t>
            </w:r>
            <w:r w:rsidRPr="004D0DAA">
              <w:t xml:space="preserve"> bitmap, or in the default configuration if so indicated in the message, is included in the downlink assignment (see sub-clause 7.1.3.6).</w:t>
            </w:r>
          </w:p>
          <w:p w14:paraId="2EE61D08" w14:textId="77777777" w:rsidR="00711444" w:rsidRPr="004D0DAA" w:rsidRDefault="00711444" w:rsidP="00AA2A4C">
            <w:pPr>
              <w:spacing w:after="0"/>
              <w:rPr>
                <w:b/>
                <w:bCs/>
              </w:rPr>
            </w:pPr>
          </w:p>
          <w:p w14:paraId="4CF493A6" w14:textId="77777777" w:rsidR="00711444" w:rsidRPr="004D0DAA" w:rsidRDefault="00711444" w:rsidP="00AA2A4C">
            <w:pPr>
              <w:spacing w:after="0"/>
              <w:rPr>
                <w:b/>
                <w:bCs/>
              </w:rPr>
            </w:pPr>
            <w:r w:rsidRPr="004D0DAA">
              <w:rPr>
                <w:b/>
                <w:bCs/>
              </w:rPr>
              <w:t>RTTI_DOWNLINK_PDCH_PAIR_ASSIGNMENT_DC</w:t>
            </w:r>
            <w:r w:rsidRPr="004D0DAA">
              <w:t xml:space="preserve"> (8 bit field)</w:t>
            </w:r>
          </w:p>
          <w:p w14:paraId="5DD115AE" w14:textId="77777777" w:rsidR="00711444" w:rsidRPr="004D0DAA" w:rsidRDefault="00711444" w:rsidP="00AA2A4C">
            <w:pPr>
              <w:spacing w:after="0"/>
            </w:pPr>
            <w:r w:rsidRPr="004D0DAA">
              <w:t xml:space="preserve">This specifies which of the downlink PDCH pairs are included in the dual carrier assignment for the downlink TBF. If the bit number (9 - n) of the </w:t>
            </w:r>
            <w:r w:rsidRPr="004D0DAA">
              <w:rPr>
                <w:b/>
                <w:bCs/>
              </w:rPr>
              <w:t xml:space="preserve">RTTI_DOWNLINK_PDCH_PAIR_ASSIGNMENT_DC </w:t>
            </w:r>
            <w:r w:rsidRPr="004D0DAA">
              <w:t xml:space="preserve">field is set to '1', then the </w:t>
            </w:r>
            <w:r w:rsidRPr="004D0DAA">
              <w:rPr>
                <w:i/>
                <w:iCs/>
              </w:rPr>
              <w:t>n</w:t>
            </w:r>
            <w:r w:rsidRPr="004D0DAA">
              <w:t xml:space="preserve">th downlink PDCH pair specified in the </w:t>
            </w:r>
            <w:r w:rsidRPr="004D0DAA">
              <w:rPr>
                <w:b/>
                <w:bCs/>
              </w:rPr>
              <w:t>DOWNLINK_PDCH_PAIRS_C1</w:t>
            </w:r>
            <w:r w:rsidRPr="004D0DAA">
              <w:t xml:space="preserve"> or </w:t>
            </w:r>
            <w:r w:rsidRPr="004D0DAA">
              <w:rPr>
                <w:b/>
                <w:bCs/>
              </w:rPr>
              <w:t>DOWNLINK_PDCH_PAIRS_C2</w:t>
            </w:r>
            <w:r w:rsidRPr="004D0DAA">
              <w:t xml:space="preserve"> bitmap, or in the default configuration if so indicated in the message, is included in the downlink assignment (see sub-clause 7.1.3.6).</w:t>
            </w:r>
          </w:p>
          <w:p w14:paraId="39398DE7" w14:textId="77777777" w:rsidR="00711444" w:rsidRPr="004D0DAA" w:rsidRDefault="00711444" w:rsidP="00AA2A4C">
            <w:pPr>
              <w:spacing w:after="0"/>
            </w:pPr>
          </w:p>
          <w:p w14:paraId="70059AA7" w14:textId="77777777" w:rsidR="00711444" w:rsidRPr="004D0DAA" w:rsidRDefault="00711444" w:rsidP="00AA2A4C">
            <w:pPr>
              <w:spacing w:after="0"/>
              <w:rPr>
                <w:b/>
                <w:bCs/>
                <w:szCs w:val="18"/>
              </w:rPr>
            </w:pPr>
            <w:r w:rsidRPr="004D0DAA">
              <w:rPr>
                <w:b/>
                <w:bCs/>
              </w:rPr>
              <w:t xml:space="preserve">RTTI_DOWNLINK_PDCH_PAIR_ASSIGNMENT_DLMC </w:t>
            </w:r>
            <w:r w:rsidRPr="004D0DAA">
              <w:rPr>
                <w:bCs/>
              </w:rPr>
              <w:t>(4 bit field)</w:t>
            </w:r>
          </w:p>
          <w:p w14:paraId="220ADA4D" w14:textId="77777777" w:rsidR="00711444" w:rsidRPr="004D0DAA" w:rsidRDefault="00711444" w:rsidP="00AA2A4C">
            <w:pPr>
              <w:spacing w:after="0"/>
              <w:rPr>
                <w:b/>
                <w:bCs/>
              </w:rPr>
            </w:pPr>
            <w:r w:rsidRPr="004D0DAA">
              <w:t xml:space="preserve">This specifies which of the downlink PDCH pairs are included in the corresponding carrier of the downlink TBF of a DLMC configuration. If the bit number (5 - n) of this field is set to '1', then the </w:t>
            </w:r>
            <w:r w:rsidRPr="004D0DAA">
              <w:rPr>
                <w:i/>
                <w:iCs/>
              </w:rPr>
              <w:t>n</w:t>
            </w:r>
            <w:r w:rsidRPr="004D0DAA">
              <w:t xml:space="preserve">th downlink PDCH pair specified in the </w:t>
            </w:r>
            <w:r w:rsidRPr="004D0DAA">
              <w:rPr>
                <w:b/>
                <w:bCs/>
              </w:rPr>
              <w:t>DOWNLINK_PDCH_PAIRS_DLMC</w:t>
            </w:r>
            <w:r w:rsidRPr="004D0DAA">
              <w:t xml:space="preserve"> bitmap is included in the downlink assignment.</w:t>
            </w:r>
          </w:p>
          <w:p w14:paraId="15658987" w14:textId="77777777" w:rsidR="00711444" w:rsidRPr="004D0DAA" w:rsidRDefault="00711444" w:rsidP="00AA2A4C">
            <w:pPr>
              <w:spacing w:after="0"/>
              <w:rPr>
                <w:b/>
                <w:bCs/>
              </w:rPr>
            </w:pPr>
          </w:p>
        </w:tc>
      </w:tr>
      <w:tr w:rsidR="00711444" w:rsidRPr="004D0DAA" w14:paraId="768FF3CC" w14:textId="77777777" w:rsidTr="00AA2A4C">
        <w:tblPrEx>
          <w:tblCellMar>
            <w:top w:w="0" w:type="dxa"/>
            <w:bottom w:w="0" w:type="dxa"/>
          </w:tblCellMar>
        </w:tblPrEx>
        <w:trPr>
          <w:cantSplit/>
          <w:trHeight w:val="113"/>
        </w:trPr>
        <w:tc>
          <w:tcPr>
            <w:tcW w:w="9848" w:type="dxa"/>
            <w:shd w:val="clear" w:color="auto" w:fill="auto"/>
          </w:tcPr>
          <w:p w14:paraId="5345E71E" w14:textId="77777777" w:rsidR="00711444" w:rsidRPr="004D0DAA" w:rsidRDefault="00711444" w:rsidP="00AA2A4C">
            <w:pPr>
              <w:spacing w:after="0"/>
              <w:rPr>
                <w:b/>
                <w:bCs/>
              </w:rPr>
            </w:pPr>
            <w:r w:rsidRPr="004D0DAA">
              <w:rPr>
                <w:b/>
                <w:bCs/>
              </w:rPr>
              <w:t>USF, N_USF, N_TS, N_PAIRS, USF_2</w:t>
            </w:r>
          </w:p>
          <w:p w14:paraId="3BC0477C" w14:textId="77777777" w:rsidR="00711444" w:rsidRPr="004D0DAA" w:rsidRDefault="00711444" w:rsidP="00AA2A4C">
            <w:pPr>
              <w:spacing w:after="0"/>
            </w:pPr>
            <w:r w:rsidRPr="004D0DAA">
              <w:t>These fields are specified and encoded as for the Packet Uplink Assignment message (see sub-clause 11.2.29 and Annex K).</w:t>
            </w:r>
          </w:p>
          <w:p w14:paraId="5A8334DD" w14:textId="77777777" w:rsidR="00711444" w:rsidRPr="004D0DAA" w:rsidRDefault="00711444" w:rsidP="00AA2A4C">
            <w:pPr>
              <w:spacing w:after="0"/>
              <w:rPr>
                <w:b/>
                <w:bCs/>
              </w:rPr>
            </w:pPr>
          </w:p>
        </w:tc>
      </w:tr>
      <w:tr w:rsidR="00711444" w:rsidRPr="004D0DAA" w14:paraId="0B8E480B" w14:textId="77777777" w:rsidTr="00AA2A4C">
        <w:tblPrEx>
          <w:tblCellMar>
            <w:top w:w="0" w:type="dxa"/>
            <w:bottom w:w="0" w:type="dxa"/>
          </w:tblCellMar>
        </w:tblPrEx>
        <w:trPr>
          <w:cantSplit/>
          <w:trHeight w:val="113"/>
        </w:trPr>
        <w:tc>
          <w:tcPr>
            <w:tcW w:w="9848" w:type="dxa"/>
            <w:shd w:val="clear" w:color="auto" w:fill="auto"/>
          </w:tcPr>
          <w:p w14:paraId="0B88E06F" w14:textId="77777777" w:rsidR="00711444" w:rsidRPr="004D0DAA" w:rsidRDefault="00711444" w:rsidP="00AA2A4C">
            <w:pPr>
              <w:spacing w:after="0"/>
            </w:pPr>
            <w:r w:rsidRPr="004D0DAA">
              <w:rPr>
                <w:b/>
                <w:bCs/>
                <w:szCs w:val="18"/>
              </w:rPr>
              <w:t xml:space="preserve">RTTI_USF_MODE </w:t>
            </w:r>
            <w:r w:rsidRPr="004D0DAA">
              <w:t>(1 bit field)</w:t>
            </w:r>
          </w:p>
          <w:p w14:paraId="1D16B79A" w14:textId="77777777" w:rsidR="00711444" w:rsidRPr="004D0DAA" w:rsidRDefault="00711444" w:rsidP="00AA2A4C">
            <w:pPr>
              <w:spacing w:after="0"/>
              <w:rPr>
                <w:b/>
                <w:bCs/>
              </w:rPr>
            </w:pPr>
            <w:r w:rsidRPr="004D0DAA">
              <w:t>This field is as specified in the Packet Uplink Assignment message</w:t>
            </w:r>
          </w:p>
        </w:tc>
      </w:tr>
      <w:tr w:rsidR="00711444" w:rsidRPr="004D0DAA" w14:paraId="5400A668" w14:textId="77777777" w:rsidTr="00AA2A4C">
        <w:tblPrEx>
          <w:tblCellMar>
            <w:top w:w="0" w:type="dxa"/>
            <w:bottom w:w="0" w:type="dxa"/>
          </w:tblCellMar>
        </w:tblPrEx>
        <w:trPr>
          <w:cantSplit/>
          <w:trHeight w:val="113"/>
        </w:trPr>
        <w:tc>
          <w:tcPr>
            <w:tcW w:w="9848" w:type="dxa"/>
            <w:shd w:val="clear" w:color="auto" w:fill="auto"/>
          </w:tcPr>
          <w:p w14:paraId="6C6E9134" w14:textId="77777777" w:rsidR="00711444" w:rsidRPr="004D0DAA" w:rsidRDefault="00711444" w:rsidP="00AA2A4C">
            <w:pPr>
              <w:spacing w:after="0"/>
            </w:pPr>
            <w:r w:rsidRPr="004D0DAA">
              <w:rPr>
                <w:b/>
              </w:rPr>
              <w:t xml:space="preserve">TSH </w:t>
            </w:r>
            <w:r w:rsidRPr="004D0DAA">
              <w:t>(2 bit field)</w:t>
            </w:r>
          </w:p>
          <w:p w14:paraId="68C57578" w14:textId="77777777" w:rsidR="00711444" w:rsidRPr="004D0DAA" w:rsidRDefault="00711444" w:rsidP="00AA2A4C">
            <w:r w:rsidRPr="004D0DAA">
              <w:t xml:space="preserve">This field indicates the time-shift between the most recent radio block period for which feedback information is provided and the radio block period when the bitmap is sent: </w:t>
            </w:r>
          </w:p>
          <w:p w14:paraId="7A3866EA" w14:textId="77777777" w:rsidR="00711444" w:rsidRPr="004D0DAA" w:rsidRDefault="00711444" w:rsidP="00AA2A4C">
            <w:pPr>
              <w:pStyle w:val="FP"/>
              <w:ind w:left="567" w:hanging="567"/>
            </w:pPr>
            <w:r w:rsidRPr="004D0DAA">
              <w:t>bit</w:t>
            </w:r>
          </w:p>
          <w:p w14:paraId="60D1158B" w14:textId="77777777" w:rsidR="00711444" w:rsidRPr="004D0DAA" w:rsidRDefault="00711444" w:rsidP="00AA2A4C">
            <w:pPr>
              <w:pStyle w:val="FP"/>
              <w:ind w:left="567" w:hanging="567"/>
            </w:pPr>
            <w:r w:rsidRPr="004D0DAA">
              <w:t>2 1</w:t>
            </w:r>
          </w:p>
          <w:p w14:paraId="50345D1F" w14:textId="77777777" w:rsidR="00711444" w:rsidRPr="004D0DAA" w:rsidRDefault="00711444" w:rsidP="00AA2A4C">
            <w:pPr>
              <w:pStyle w:val="FP"/>
              <w:ind w:left="567" w:hanging="567"/>
            </w:pPr>
            <w:r w:rsidRPr="004D0DAA">
              <w:t>0 0</w:t>
            </w:r>
            <w:r w:rsidRPr="004D0DAA">
              <w:tab/>
            </w:r>
            <w:r w:rsidRPr="004D0DAA">
              <w:tab/>
              <w:t>4 TDMA frames (for a basic TTI configuration) or 2 TDMA frames (for a reduced TTI or MTTI configuration)</w:t>
            </w:r>
          </w:p>
          <w:p w14:paraId="03E5501F" w14:textId="77777777" w:rsidR="00711444" w:rsidRPr="004D0DAA" w:rsidRDefault="00711444" w:rsidP="00AA2A4C">
            <w:pPr>
              <w:pStyle w:val="FP"/>
              <w:ind w:left="567" w:hanging="567"/>
            </w:pPr>
            <w:r w:rsidRPr="004D0DAA">
              <w:t xml:space="preserve">0 1 </w:t>
            </w:r>
            <w:r w:rsidRPr="004D0DAA">
              <w:tab/>
              <w:t>8 TDMA frames (for a basic TTI configuration) or 4 TDMA frames (for a reduced TTI or MTTI configuration)</w:t>
            </w:r>
          </w:p>
          <w:p w14:paraId="0F3F7148" w14:textId="77777777" w:rsidR="00711444" w:rsidRPr="004D0DAA" w:rsidRDefault="00711444" w:rsidP="00AA2A4C">
            <w:pPr>
              <w:pStyle w:val="FP"/>
              <w:ind w:left="567" w:hanging="567"/>
            </w:pPr>
            <w:r w:rsidRPr="004D0DAA">
              <w:t xml:space="preserve">1 0 </w:t>
            </w:r>
            <w:r w:rsidRPr="004D0DAA">
              <w:tab/>
              <w:t>12 TDMA frames (for a basic TTI configuration) or 6 TDMA frames (for a reduced TTI or MTTI configuration)</w:t>
            </w:r>
          </w:p>
          <w:p w14:paraId="0FE99D98" w14:textId="77777777" w:rsidR="00711444" w:rsidRPr="004D0DAA" w:rsidRDefault="00711444" w:rsidP="00AA2A4C">
            <w:pPr>
              <w:pStyle w:val="FP"/>
              <w:ind w:left="567" w:hanging="567"/>
            </w:pPr>
            <w:r w:rsidRPr="004D0DAA">
              <w:t>1 1</w:t>
            </w:r>
            <w:r w:rsidRPr="004D0DAA">
              <w:tab/>
            </w:r>
            <w:r w:rsidRPr="004D0DAA">
              <w:tab/>
              <w:t>16 TDMA frames (for a basic TTI configuration) or 8 TDMA frames (for a reduced TTI or MTTI configuration)</w:t>
            </w:r>
          </w:p>
          <w:p w14:paraId="104F79CF" w14:textId="77777777" w:rsidR="00711444" w:rsidRPr="004D0DAA" w:rsidRDefault="00711444" w:rsidP="00AA2A4C">
            <w:pPr>
              <w:pStyle w:val="FP"/>
            </w:pPr>
          </w:p>
        </w:tc>
      </w:tr>
      <w:tr w:rsidR="00711444" w:rsidRPr="004D0DAA" w14:paraId="038C6451" w14:textId="77777777" w:rsidTr="00AA2A4C">
        <w:tblPrEx>
          <w:tblCellMar>
            <w:top w:w="0" w:type="dxa"/>
            <w:bottom w:w="0" w:type="dxa"/>
          </w:tblCellMar>
        </w:tblPrEx>
        <w:trPr>
          <w:cantSplit/>
          <w:trHeight w:val="113"/>
        </w:trPr>
        <w:tc>
          <w:tcPr>
            <w:tcW w:w="9848" w:type="dxa"/>
            <w:shd w:val="clear" w:color="auto" w:fill="auto"/>
          </w:tcPr>
          <w:p w14:paraId="37FCC411" w14:textId="77777777" w:rsidR="00711444" w:rsidRPr="004D0DAA" w:rsidRDefault="00711444" w:rsidP="00AA2A4C">
            <w:pPr>
              <w:spacing w:after="0"/>
            </w:pPr>
            <w:r w:rsidRPr="004D0DAA">
              <w:rPr>
                <w:b/>
              </w:rPr>
              <w:t>Uplink EGPRS Level, Downlink EGPRS Level</w:t>
            </w:r>
            <w:r w:rsidRPr="004D0DAA">
              <w:t xml:space="preserve"> (2 bits field)</w:t>
            </w:r>
          </w:p>
          <w:p w14:paraId="76FA834F" w14:textId="77777777" w:rsidR="00711444" w:rsidRPr="004D0DAA" w:rsidRDefault="00711444" w:rsidP="00AA2A4C">
            <w:r w:rsidRPr="004D0DAA">
              <w:t>These fields assign the group of modulation and coding schemes applicable to the uplink and downlink TBFs respectively. This information element is defined in sub-clause 12.10f.</w:t>
            </w:r>
          </w:p>
        </w:tc>
      </w:tr>
      <w:tr w:rsidR="00711444" w:rsidRPr="004D0DAA" w14:paraId="4F4B290C" w14:textId="77777777" w:rsidTr="00AA2A4C">
        <w:tblPrEx>
          <w:tblCellMar>
            <w:top w:w="0" w:type="dxa"/>
            <w:bottom w:w="0" w:type="dxa"/>
          </w:tblCellMar>
        </w:tblPrEx>
        <w:trPr>
          <w:cantSplit/>
          <w:trHeight w:val="113"/>
        </w:trPr>
        <w:tc>
          <w:tcPr>
            <w:tcW w:w="9848" w:type="dxa"/>
            <w:shd w:val="clear" w:color="auto" w:fill="auto"/>
          </w:tcPr>
          <w:p w14:paraId="3BF11938" w14:textId="77777777" w:rsidR="00711444" w:rsidRPr="004D0DAA" w:rsidRDefault="00711444" w:rsidP="00AA2A4C">
            <w:pPr>
              <w:spacing w:after="0"/>
            </w:pPr>
            <w:r w:rsidRPr="004D0DAA">
              <w:rPr>
                <w:b/>
              </w:rPr>
              <w:t>Pulse Format</w:t>
            </w:r>
            <w:r w:rsidRPr="004D0DAA">
              <w:t xml:space="preserve"> (N bits field)</w:t>
            </w:r>
          </w:p>
          <w:p w14:paraId="2B61501D" w14:textId="77777777" w:rsidR="00711444" w:rsidRPr="004D0DAA" w:rsidRDefault="00711444" w:rsidP="00AA2A4C">
            <w:r w:rsidRPr="004D0DAA">
              <w:t>This information element, if assigned, specified on which radio frequency channel the mobile station shall transmit using the narrow-band pulse option. The information element is defined in sub-clause 12.8.3.</w:t>
            </w:r>
          </w:p>
        </w:tc>
      </w:tr>
      <w:tr w:rsidR="00711444" w:rsidRPr="004D0DAA" w14:paraId="601DC480" w14:textId="77777777" w:rsidTr="00AA2A4C">
        <w:tblPrEx>
          <w:tblCellMar>
            <w:top w:w="0" w:type="dxa"/>
            <w:bottom w:w="0" w:type="dxa"/>
          </w:tblCellMar>
        </w:tblPrEx>
        <w:trPr>
          <w:cantSplit/>
          <w:trHeight w:val="113"/>
        </w:trPr>
        <w:tc>
          <w:tcPr>
            <w:tcW w:w="9848" w:type="dxa"/>
            <w:shd w:val="clear" w:color="auto" w:fill="auto"/>
          </w:tcPr>
          <w:p w14:paraId="11729A43"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7494BB34" w14:textId="77777777" w:rsidR="00711444" w:rsidRPr="004D0DAA" w:rsidRDefault="00711444" w:rsidP="00AA2A4C">
            <w:pPr>
              <w:spacing w:after="0"/>
            </w:pPr>
            <w:r w:rsidRPr="004D0DAA">
              <w:t>This field is defined in section 11.2.7.</w:t>
            </w:r>
          </w:p>
          <w:p w14:paraId="08DEA2F2" w14:textId="77777777" w:rsidR="00711444" w:rsidRPr="004D0DAA" w:rsidRDefault="00711444" w:rsidP="00AA2A4C">
            <w:pPr>
              <w:spacing w:after="0"/>
              <w:rPr>
                <w:b/>
              </w:rPr>
            </w:pPr>
          </w:p>
        </w:tc>
      </w:tr>
      <w:tr w:rsidR="00711444" w:rsidRPr="004D0DAA" w14:paraId="625DA9BD" w14:textId="77777777" w:rsidTr="00AA2A4C">
        <w:tblPrEx>
          <w:tblCellMar>
            <w:top w:w="0" w:type="dxa"/>
            <w:bottom w:w="0" w:type="dxa"/>
          </w:tblCellMar>
        </w:tblPrEx>
        <w:trPr>
          <w:cantSplit/>
          <w:trHeight w:val="113"/>
        </w:trPr>
        <w:tc>
          <w:tcPr>
            <w:tcW w:w="9848" w:type="dxa"/>
            <w:shd w:val="clear" w:color="auto" w:fill="auto"/>
          </w:tcPr>
          <w:p w14:paraId="7108513E" w14:textId="77777777" w:rsidR="00711444" w:rsidRPr="004D0DAA" w:rsidRDefault="00711444" w:rsidP="00AA2A4C">
            <w:pPr>
              <w:spacing w:after="0"/>
              <w:rPr>
                <w:b/>
              </w:rPr>
            </w:pPr>
            <w:r w:rsidRPr="004D0DAA">
              <w:rPr>
                <w:b/>
              </w:rPr>
              <w:t xml:space="preserve">Enhanced Flexible Timeslot Assignment </w:t>
            </w:r>
            <w:r w:rsidRPr="004D0DAA">
              <w:t>(1 bit field)</w:t>
            </w:r>
          </w:p>
          <w:p w14:paraId="6721A331" w14:textId="77777777" w:rsidR="00711444" w:rsidRPr="004D0DAA" w:rsidRDefault="00711444" w:rsidP="00AA2A4C">
            <w:pPr>
              <w:spacing w:after="0"/>
            </w:pPr>
            <w:r w:rsidRPr="004D0DAA">
              <w:t>This field is defined in sub-clause 11.2.29.</w:t>
            </w:r>
          </w:p>
          <w:p w14:paraId="107E8FC1" w14:textId="77777777" w:rsidR="00711444" w:rsidRPr="004D0DAA" w:rsidRDefault="00711444" w:rsidP="00AA2A4C">
            <w:pPr>
              <w:spacing w:after="0"/>
              <w:rPr>
                <w:b/>
              </w:rPr>
            </w:pPr>
          </w:p>
        </w:tc>
      </w:tr>
      <w:tr w:rsidR="00711444" w:rsidRPr="004D0DAA" w14:paraId="3E18DF34" w14:textId="77777777" w:rsidTr="00AA2A4C">
        <w:tblPrEx>
          <w:tblCellMar>
            <w:top w:w="0" w:type="dxa"/>
            <w:bottom w:w="0" w:type="dxa"/>
          </w:tblCellMar>
        </w:tblPrEx>
        <w:trPr>
          <w:cantSplit/>
          <w:trHeight w:val="113"/>
        </w:trPr>
        <w:tc>
          <w:tcPr>
            <w:tcW w:w="9848" w:type="dxa"/>
            <w:shd w:val="clear" w:color="auto" w:fill="auto"/>
          </w:tcPr>
          <w:p w14:paraId="3E45B491" w14:textId="77777777" w:rsidR="00711444" w:rsidRPr="004D0DAA" w:rsidRDefault="00711444" w:rsidP="00AA2A4C">
            <w:pPr>
              <w:spacing w:after="0"/>
              <w:rPr>
                <w:bCs/>
              </w:rPr>
            </w:pPr>
            <w:r w:rsidRPr="004D0DAA">
              <w:rPr>
                <w:b/>
              </w:rPr>
              <w:t>EMST_NW_Capability</w:t>
            </w:r>
            <w:r w:rsidRPr="004D0DAA">
              <w:rPr>
                <w:bCs/>
              </w:rPr>
              <w:t xml:space="preserve"> (1 bit field)</w:t>
            </w:r>
          </w:p>
          <w:p w14:paraId="132CF0A7" w14:textId="77777777" w:rsidR="00711444" w:rsidRPr="004D0DAA" w:rsidRDefault="00711444" w:rsidP="00AA2A4C">
            <w:pPr>
              <w:spacing w:after="0"/>
              <w:rPr>
                <w:bCs/>
              </w:rPr>
            </w:pPr>
            <w:r w:rsidRPr="004D0DAA">
              <w:rPr>
                <w:bCs/>
              </w:rPr>
              <w:t>This information element is defined in sub-clause 11.2.29.</w:t>
            </w:r>
          </w:p>
        </w:tc>
      </w:tr>
      <w:tr w:rsidR="00711444" w:rsidRPr="004D0DAA" w14:paraId="60458608" w14:textId="77777777" w:rsidTr="00AA2A4C">
        <w:tblPrEx>
          <w:tblCellMar>
            <w:top w:w="0" w:type="dxa"/>
            <w:bottom w:w="0" w:type="dxa"/>
          </w:tblCellMar>
        </w:tblPrEx>
        <w:trPr>
          <w:cantSplit/>
          <w:trHeight w:val="113"/>
        </w:trPr>
        <w:tc>
          <w:tcPr>
            <w:tcW w:w="9848" w:type="dxa"/>
            <w:shd w:val="clear" w:color="auto" w:fill="auto"/>
          </w:tcPr>
          <w:p w14:paraId="5B37B1FE" w14:textId="77777777" w:rsidR="00711444" w:rsidRPr="004D0DAA" w:rsidRDefault="00711444" w:rsidP="00AA2A4C">
            <w:pPr>
              <w:spacing w:after="0"/>
            </w:pPr>
            <w:r w:rsidRPr="004D0DAA">
              <w:rPr>
                <w:b/>
              </w:rPr>
              <w:t>MTTI_UPLINK_ASSIGNMENT_C1</w:t>
            </w:r>
            <w:r w:rsidRPr="004D0DAA">
              <w:t xml:space="preserve"> (1 bit field)</w:t>
            </w:r>
          </w:p>
          <w:p w14:paraId="02B450E4" w14:textId="77777777" w:rsidR="00711444" w:rsidRPr="004D0DAA" w:rsidRDefault="00711444" w:rsidP="00AA2A4C">
            <w:pPr>
              <w:spacing w:after="0"/>
            </w:pPr>
            <w:r w:rsidRPr="004D0DAA">
              <w:rPr>
                <w:b/>
              </w:rPr>
              <w:t>MTTI_UPLINK_ASSIGNMENT_C2</w:t>
            </w:r>
            <w:r w:rsidRPr="004D0DAA">
              <w:t xml:space="preserve"> (1 bit field)</w:t>
            </w:r>
          </w:p>
          <w:p w14:paraId="5A8FF8B8" w14:textId="77777777" w:rsidR="00711444" w:rsidRPr="004D0DAA" w:rsidRDefault="00711444" w:rsidP="00AA2A4C">
            <w:r w:rsidRPr="004D0DAA">
              <w:t>These fields are defined in sub-clause 11.2.29</w:t>
            </w:r>
          </w:p>
        </w:tc>
      </w:tr>
      <w:tr w:rsidR="00711444" w:rsidRPr="004D0DAA" w14:paraId="72AB5D88" w14:textId="77777777" w:rsidTr="00AA2A4C">
        <w:tblPrEx>
          <w:tblCellMar>
            <w:top w:w="0" w:type="dxa"/>
            <w:bottom w:w="0" w:type="dxa"/>
          </w:tblCellMar>
        </w:tblPrEx>
        <w:trPr>
          <w:cantSplit/>
          <w:trHeight w:val="113"/>
        </w:trPr>
        <w:tc>
          <w:tcPr>
            <w:tcW w:w="9848" w:type="dxa"/>
            <w:shd w:val="clear" w:color="auto" w:fill="auto"/>
          </w:tcPr>
          <w:p w14:paraId="6633D3EB" w14:textId="77777777" w:rsidR="00711444" w:rsidRPr="004D0DAA" w:rsidRDefault="00711444" w:rsidP="00AA2A4C">
            <w:pPr>
              <w:spacing w:after="0"/>
            </w:pPr>
            <w:r w:rsidRPr="004D0DAA">
              <w:rPr>
                <w:b/>
              </w:rPr>
              <w:t>MTTI_DOWNLINK_ASSIGNMENT_C1</w:t>
            </w:r>
            <w:r w:rsidRPr="004D0DAA">
              <w:t xml:space="preserve"> (1 bit field)</w:t>
            </w:r>
          </w:p>
          <w:p w14:paraId="6D55D79A" w14:textId="77777777" w:rsidR="00711444" w:rsidRPr="004D0DAA" w:rsidRDefault="00711444" w:rsidP="00AA2A4C">
            <w:pPr>
              <w:spacing w:after="0"/>
            </w:pPr>
            <w:r w:rsidRPr="004D0DAA">
              <w:rPr>
                <w:b/>
              </w:rPr>
              <w:t xml:space="preserve">MTTI_DOWNLINK_ASSIGNMENT_C2 </w:t>
            </w:r>
            <w:r w:rsidRPr="004D0DAA">
              <w:t>(1 bit field)</w:t>
            </w:r>
          </w:p>
          <w:p w14:paraId="113D2B1B" w14:textId="77777777" w:rsidR="00711444" w:rsidRPr="004D0DAA" w:rsidRDefault="00711444" w:rsidP="00AA2A4C">
            <w:pPr>
              <w:rPr>
                <w:b/>
              </w:rPr>
            </w:pPr>
            <w:r w:rsidRPr="004D0DAA">
              <w:t>These fields are defined in sub-clause 11.2.7</w:t>
            </w:r>
          </w:p>
        </w:tc>
      </w:tr>
      <w:tr w:rsidR="00711444" w:rsidRPr="004D0DAA" w14:paraId="744AEBB3" w14:textId="77777777" w:rsidTr="00AA2A4C">
        <w:tblPrEx>
          <w:tblCellMar>
            <w:top w:w="0" w:type="dxa"/>
            <w:bottom w:w="0" w:type="dxa"/>
          </w:tblCellMar>
        </w:tblPrEx>
        <w:trPr>
          <w:cantSplit/>
          <w:trHeight w:val="113"/>
        </w:trPr>
        <w:tc>
          <w:tcPr>
            <w:tcW w:w="9848" w:type="dxa"/>
            <w:shd w:val="clear" w:color="auto" w:fill="auto"/>
          </w:tcPr>
          <w:p w14:paraId="3330297C" w14:textId="77777777" w:rsidR="00711444" w:rsidRPr="004D0DAA" w:rsidRDefault="00711444" w:rsidP="00AA2A4C">
            <w:pPr>
              <w:spacing w:after="0"/>
              <w:rPr>
                <w:b/>
                <w:bCs/>
              </w:rPr>
            </w:pPr>
            <w:r w:rsidRPr="004D0DAA">
              <w:rPr>
                <w:b/>
                <w:bCs/>
              </w:rPr>
              <w:lastRenderedPageBreak/>
              <w:t>EMSR Additional PFCs 1</w:t>
            </w:r>
          </w:p>
          <w:p w14:paraId="59B45648" w14:textId="77777777" w:rsidR="00711444" w:rsidRPr="004D0DAA" w:rsidRDefault="00711444" w:rsidP="00AA2A4C">
            <w:pPr>
              <w:spacing w:after="0"/>
              <w:rPr>
                <w:b/>
                <w:bCs/>
              </w:rPr>
            </w:pPr>
            <w:r w:rsidRPr="004D0DAA">
              <w:rPr>
                <w:b/>
                <w:bCs/>
              </w:rPr>
              <w:t>EMSR Additional PFCs 2</w:t>
            </w:r>
          </w:p>
          <w:p w14:paraId="765EF8FF" w14:textId="77777777" w:rsidR="00711444" w:rsidRPr="004D0DAA" w:rsidRDefault="00711444" w:rsidP="00AA2A4C">
            <w:pPr>
              <w:spacing w:after="0"/>
              <w:rPr>
                <w:b/>
                <w:bCs/>
              </w:rPr>
            </w:pPr>
            <w:r w:rsidRPr="004D0DAA">
              <w:rPr>
                <w:b/>
                <w:bCs/>
              </w:rPr>
              <w:t>EMSR Additional PFCs 3</w:t>
            </w:r>
          </w:p>
          <w:p w14:paraId="34833D9B" w14:textId="77777777" w:rsidR="00711444" w:rsidRPr="004D0DAA" w:rsidRDefault="00711444" w:rsidP="00AA2A4C">
            <w:pPr>
              <w:spacing w:after="0"/>
            </w:pPr>
            <w:r w:rsidRPr="004D0DAA">
              <w:t>These IEs are defined in section 11.2.7.</w:t>
            </w:r>
          </w:p>
          <w:p w14:paraId="29DF3D99" w14:textId="77777777" w:rsidR="00711444" w:rsidRPr="004D0DAA" w:rsidRDefault="00711444" w:rsidP="00AA2A4C">
            <w:pPr>
              <w:spacing w:after="0"/>
              <w:rPr>
                <w:b/>
              </w:rPr>
            </w:pPr>
          </w:p>
        </w:tc>
      </w:tr>
      <w:tr w:rsidR="00711444" w:rsidRPr="004D0DAA" w14:paraId="68725462" w14:textId="77777777" w:rsidTr="00AA2A4C">
        <w:tblPrEx>
          <w:tblCellMar>
            <w:top w:w="0" w:type="dxa"/>
            <w:bottom w:w="0" w:type="dxa"/>
          </w:tblCellMar>
        </w:tblPrEx>
        <w:trPr>
          <w:cantSplit/>
          <w:trHeight w:val="113"/>
        </w:trPr>
        <w:tc>
          <w:tcPr>
            <w:tcW w:w="9848" w:type="dxa"/>
            <w:shd w:val="clear" w:color="auto" w:fill="auto"/>
          </w:tcPr>
          <w:p w14:paraId="7941190D"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516AFEA2" w14:textId="77777777" w:rsidR="00711444" w:rsidRPr="004D0DAA" w:rsidRDefault="00711444" w:rsidP="00AA2A4C">
            <w:pPr>
              <w:spacing w:after="0"/>
              <w:rPr>
                <w:b/>
                <w:bCs/>
              </w:rPr>
            </w:pPr>
            <w:r w:rsidRPr="004D0DAA">
              <w:t>See sub-clause 11.2.7 (Packet Downlink Assignment message).</w:t>
            </w:r>
          </w:p>
          <w:p w14:paraId="10B770E2" w14:textId="77777777" w:rsidR="00711444" w:rsidRPr="004D0DAA" w:rsidRDefault="00711444" w:rsidP="00AA2A4C">
            <w:pPr>
              <w:spacing w:after="0"/>
              <w:rPr>
                <w:b/>
                <w:bCs/>
              </w:rPr>
            </w:pPr>
          </w:p>
        </w:tc>
      </w:tr>
      <w:tr w:rsidR="00711444" w:rsidRPr="004D0DAA" w14:paraId="3A318E25" w14:textId="77777777" w:rsidTr="00AA2A4C">
        <w:tblPrEx>
          <w:tblCellMar>
            <w:top w:w="0" w:type="dxa"/>
            <w:bottom w:w="0" w:type="dxa"/>
          </w:tblCellMar>
        </w:tblPrEx>
        <w:trPr>
          <w:cantSplit/>
          <w:trHeight w:val="113"/>
        </w:trPr>
        <w:tc>
          <w:tcPr>
            <w:tcW w:w="9848" w:type="dxa"/>
            <w:shd w:val="clear" w:color="auto" w:fill="auto"/>
          </w:tcPr>
          <w:p w14:paraId="051C1BFB" w14:textId="77777777" w:rsidR="00711444" w:rsidRPr="004D0DAA" w:rsidRDefault="00711444" w:rsidP="00AA2A4C">
            <w:pPr>
              <w:spacing w:after="0"/>
              <w:rPr>
                <w:b/>
              </w:rPr>
            </w:pPr>
            <w:r w:rsidRPr="004D0DAA">
              <w:rPr>
                <w:b/>
              </w:rPr>
              <w:t>UFPS</w:t>
            </w:r>
          </w:p>
          <w:p w14:paraId="226A20A3" w14:textId="77777777" w:rsidR="00711444" w:rsidRPr="004D0DAA" w:rsidRDefault="00711444" w:rsidP="00AA2A4C">
            <w:pPr>
              <w:spacing w:after="0"/>
            </w:pPr>
            <w:r w:rsidRPr="004D0DAA">
              <w:t>See sub-clause 11.2.7.</w:t>
            </w:r>
          </w:p>
          <w:p w14:paraId="5C72C662" w14:textId="77777777" w:rsidR="00711444" w:rsidRPr="004D0DAA" w:rsidRDefault="00711444" w:rsidP="00AA2A4C">
            <w:pPr>
              <w:spacing w:after="0"/>
            </w:pPr>
          </w:p>
        </w:tc>
      </w:tr>
      <w:tr w:rsidR="00711444" w:rsidRPr="004D0DAA" w14:paraId="20C431C2" w14:textId="77777777" w:rsidTr="00AA2A4C">
        <w:tblPrEx>
          <w:tblCellMar>
            <w:top w:w="0" w:type="dxa"/>
            <w:bottom w:w="0" w:type="dxa"/>
          </w:tblCellMar>
        </w:tblPrEx>
        <w:trPr>
          <w:cantSplit/>
          <w:trHeight w:val="113"/>
        </w:trPr>
        <w:tc>
          <w:tcPr>
            <w:tcW w:w="9848" w:type="dxa"/>
            <w:shd w:val="clear" w:color="auto" w:fill="auto"/>
          </w:tcPr>
          <w:p w14:paraId="1A26F48A" w14:textId="77777777" w:rsidR="00711444" w:rsidRPr="004D0DAA" w:rsidRDefault="00711444" w:rsidP="00AA2A4C">
            <w:pPr>
              <w:spacing w:after="0"/>
              <w:rPr>
                <w:b/>
                <w:szCs w:val="18"/>
              </w:rPr>
            </w:pPr>
            <w:r w:rsidRPr="004D0DAA">
              <w:rPr>
                <w:b/>
                <w:szCs w:val="18"/>
              </w:rPr>
              <w:t>DLMC Measurement Type</w:t>
            </w:r>
          </w:p>
          <w:p w14:paraId="63801677" w14:textId="77777777" w:rsidR="00711444" w:rsidRPr="004D0DAA" w:rsidRDefault="00711444" w:rsidP="00AA2A4C">
            <w:pPr>
              <w:spacing w:after="0"/>
            </w:pPr>
            <w:r w:rsidRPr="004D0DAA">
              <w:t>See sub-clause 11.2.7.</w:t>
            </w:r>
          </w:p>
          <w:p w14:paraId="43EAC63F" w14:textId="77777777" w:rsidR="00711444" w:rsidRPr="004D0DAA" w:rsidRDefault="00711444" w:rsidP="00AA2A4C">
            <w:pPr>
              <w:spacing w:after="0"/>
              <w:rPr>
                <w:b/>
                <w:szCs w:val="18"/>
              </w:rPr>
            </w:pPr>
          </w:p>
        </w:tc>
      </w:tr>
      <w:tr w:rsidR="00711444" w:rsidRPr="004D0DAA" w14:paraId="4F2B373B" w14:textId="77777777" w:rsidTr="00AA2A4C">
        <w:tblPrEx>
          <w:tblCellMar>
            <w:top w:w="0" w:type="dxa"/>
            <w:bottom w:w="0" w:type="dxa"/>
          </w:tblCellMar>
        </w:tblPrEx>
        <w:trPr>
          <w:cantSplit/>
          <w:trHeight w:val="113"/>
        </w:trPr>
        <w:tc>
          <w:tcPr>
            <w:tcW w:w="9848" w:type="dxa"/>
            <w:shd w:val="clear" w:color="auto" w:fill="auto"/>
          </w:tcPr>
          <w:p w14:paraId="21B5B546" w14:textId="77777777" w:rsidR="00711444" w:rsidRPr="004D0DAA" w:rsidRDefault="00711444" w:rsidP="00AA2A4C">
            <w:pPr>
              <w:spacing w:after="0"/>
            </w:pPr>
            <w:r w:rsidRPr="004D0DAA">
              <w:rPr>
                <w:b/>
              </w:rPr>
              <w:t>Carrier for Interference Measurements (4 bit field)</w:t>
            </w:r>
          </w:p>
          <w:p w14:paraId="52F7F115" w14:textId="77777777" w:rsidR="00711444" w:rsidRPr="004D0DAA" w:rsidRDefault="00711444" w:rsidP="00AA2A4C">
            <w:pPr>
              <w:spacing w:after="0"/>
            </w:pPr>
            <w:r w:rsidRPr="004D0DAA">
              <w:t>See sub-clause 11.2.7.</w:t>
            </w:r>
          </w:p>
          <w:p w14:paraId="0CE88461" w14:textId="77777777" w:rsidR="00711444" w:rsidRPr="004D0DAA" w:rsidRDefault="00711444" w:rsidP="00AA2A4C">
            <w:pPr>
              <w:spacing w:after="0"/>
              <w:rPr>
                <w:b/>
              </w:rPr>
            </w:pPr>
          </w:p>
        </w:tc>
      </w:tr>
      <w:tr w:rsidR="00711444" w:rsidRPr="004D0DAA" w14:paraId="7E39E633" w14:textId="77777777" w:rsidTr="00AA2A4C">
        <w:tblPrEx>
          <w:tblCellMar>
            <w:top w:w="0" w:type="dxa"/>
            <w:bottom w:w="0" w:type="dxa"/>
          </w:tblCellMar>
        </w:tblPrEx>
        <w:trPr>
          <w:cantSplit/>
          <w:trHeight w:val="113"/>
        </w:trPr>
        <w:tc>
          <w:tcPr>
            <w:tcW w:w="9848" w:type="dxa"/>
            <w:shd w:val="clear" w:color="auto" w:fill="auto"/>
          </w:tcPr>
          <w:p w14:paraId="47F2C2E7" w14:textId="77777777" w:rsidR="00711444" w:rsidRPr="004D0DAA" w:rsidRDefault="00711444" w:rsidP="00AA2A4C">
            <w:pPr>
              <w:spacing w:after="0"/>
              <w:rPr>
                <w:b/>
              </w:rPr>
            </w:pPr>
            <w:r w:rsidRPr="004D0DAA">
              <w:rPr>
                <w:b/>
              </w:rPr>
              <w:t>CARRIER_SPECIFIC_INFO</w:t>
            </w:r>
          </w:p>
          <w:p w14:paraId="472BE40C" w14:textId="77777777" w:rsidR="00711444" w:rsidRPr="004D0DAA" w:rsidRDefault="00711444" w:rsidP="00AA2A4C">
            <w:pPr>
              <w:spacing w:after="0"/>
            </w:pPr>
            <w:r w:rsidRPr="004D0DAA">
              <w:t>See sub-clause 11.2.7.</w:t>
            </w:r>
          </w:p>
          <w:p w14:paraId="79D868D0" w14:textId="77777777" w:rsidR="00711444" w:rsidRPr="004D0DAA" w:rsidRDefault="00711444" w:rsidP="00AA2A4C">
            <w:pPr>
              <w:spacing w:after="0"/>
              <w:rPr>
                <w:b/>
              </w:rPr>
            </w:pPr>
          </w:p>
        </w:tc>
      </w:tr>
      <w:tr w:rsidR="00711444" w:rsidRPr="004D0DAA" w14:paraId="35E71D61" w14:textId="77777777" w:rsidTr="00AA2A4C">
        <w:tblPrEx>
          <w:tblCellMar>
            <w:top w:w="0" w:type="dxa"/>
            <w:bottom w:w="0" w:type="dxa"/>
          </w:tblCellMar>
        </w:tblPrEx>
        <w:trPr>
          <w:cantSplit/>
          <w:trHeight w:val="113"/>
        </w:trPr>
        <w:tc>
          <w:tcPr>
            <w:tcW w:w="9848" w:type="dxa"/>
            <w:shd w:val="clear" w:color="auto" w:fill="auto"/>
          </w:tcPr>
          <w:p w14:paraId="0E412F70" w14:textId="77777777" w:rsidR="00711444" w:rsidRPr="004D0DAA" w:rsidRDefault="00711444" w:rsidP="00AA2A4C">
            <w:pPr>
              <w:spacing w:after="0"/>
            </w:pPr>
            <w:r w:rsidRPr="004D0DAA">
              <w:rPr>
                <w:b/>
              </w:rPr>
              <w:t>DLMC Frequency Parameters</w:t>
            </w:r>
            <w:r w:rsidRPr="004D0DAA">
              <w:br/>
              <w:t>See sub-clause 11.2.7.</w:t>
            </w:r>
          </w:p>
          <w:p w14:paraId="75C5875E" w14:textId="77777777" w:rsidR="00711444" w:rsidRPr="004D0DAA" w:rsidRDefault="00711444" w:rsidP="00AA2A4C">
            <w:pPr>
              <w:spacing w:after="0"/>
              <w:rPr>
                <w:b/>
              </w:rPr>
            </w:pPr>
          </w:p>
        </w:tc>
      </w:tr>
      <w:tr w:rsidR="00711444" w:rsidRPr="004D0DAA" w14:paraId="58AD6B8B" w14:textId="77777777" w:rsidTr="00AA2A4C">
        <w:tblPrEx>
          <w:tblCellMar>
            <w:top w:w="0" w:type="dxa"/>
            <w:bottom w:w="0" w:type="dxa"/>
          </w:tblCellMar>
        </w:tblPrEx>
        <w:trPr>
          <w:cantSplit/>
          <w:trHeight w:val="113"/>
        </w:trPr>
        <w:tc>
          <w:tcPr>
            <w:tcW w:w="9848" w:type="dxa"/>
            <w:shd w:val="clear" w:color="auto" w:fill="auto"/>
          </w:tcPr>
          <w:p w14:paraId="7E5EF25E" w14:textId="77777777" w:rsidR="00711444" w:rsidRPr="004D0DAA" w:rsidRDefault="00711444" w:rsidP="00AA2A4C">
            <w:pPr>
              <w:spacing w:after="0"/>
            </w:pPr>
            <w:r w:rsidRPr="004D0DAA">
              <w:rPr>
                <w:b/>
              </w:rPr>
              <w:t>MAIO</w:t>
            </w:r>
            <w:r w:rsidRPr="004D0DAA">
              <w:t xml:space="preserve"> (6 bit field)</w:t>
            </w:r>
            <w:r w:rsidRPr="004D0DAA">
              <w:br/>
              <w:t>See sub-clause 11.2.7.</w:t>
            </w:r>
          </w:p>
          <w:p w14:paraId="1B850214" w14:textId="77777777" w:rsidR="00711444" w:rsidRPr="004D0DAA" w:rsidRDefault="00711444" w:rsidP="00AA2A4C">
            <w:pPr>
              <w:spacing w:after="0"/>
              <w:rPr>
                <w:b/>
              </w:rPr>
            </w:pPr>
          </w:p>
        </w:tc>
      </w:tr>
      <w:tr w:rsidR="00711444" w:rsidRPr="004D0DAA" w14:paraId="295D11EA" w14:textId="77777777" w:rsidTr="00AA2A4C">
        <w:tblPrEx>
          <w:tblCellMar>
            <w:top w:w="0" w:type="dxa"/>
            <w:bottom w:w="0" w:type="dxa"/>
          </w:tblCellMar>
        </w:tblPrEx>
        <w:trPr>
          <w:cantSplit/>
          <w:trHeight w:val="113"/>
        </w:trPr>
        <w:tc>
          <w:tcPr>
            <w:tcW w:w="9848" w:type="dxa"/>
            <w:shd w:val="clear" w:color="auto" w:fill="auto"/>
          </w:tcPr>
          <w:p w14:paraId="100388C5" w14:textId="77777777" w:rsidR="00711444" w:rsidRPr="004D0DAA" w:rsidRDefault="00711444" w:rsidP="00AA2A4C">
            <w:pPr>
              <w:spacing w:after="0"/>
              <w:rPr>
                <w:rFonts w:cs="Arial"/>
                <w:b/>
                <w:szCs w:val="18"/>
              </w:rPr>
            </w:pPr>
            <w:r w:rsidRPr="004D0DAA">
              <w:rPr>
                <w:rFonts w:cs="Arial"/>
                <w:b/>
                <w:szCs w:val="18"/>
              </w:rPr>
              <w:t>DLMC UL Carrier Info</w:t>
            </w:r>
          </w:p>
          <w:p w14:paraId="72A295CD" w14:textId="77777777" w:rsidR="00711444" w:rsidRPr="004D0DAA" w:rsidRDefault="00711444" w:rsidP="00AA2A4C">
            <w:pPr>
              <w:spacing w:after="0"/>
            </w:pPr>
            <w:r w:rsidRPr="004D0DAA">
              <w:t>See sub-clause 11.2.29.</w:t>
            </w:r>
          </w:p>
          <w:p w14:paraId="6259C811" w14:textId="77777777" w:rsidR="00711444" w:rsidRPr="004D0DAA" w:rsidRDefault="00711444" w:rsidP="00AA2A4C">
            <w:pPr>
              <w:spacing w:after="0"/>
              <w:rPr>
                <w:b/>
              </w:rPr>
            </w:pPr>
          </w:p>
        </w:tc>
      </w:tr>
      <w:tr w:rsidR="00711444" w:rsidRPr="004D0DAA" w14:paraId="511EFB19" w14:textId="77777777" w:rsidTr="00AA2A4C">
        <w:tblPrEx>
          <w:tblCellMar>
            <w:top w:w="0" w:type="dxa"/>
            <w:bottom w:w="0" w:type="dxa"/>
          </w:tblCellMar>
        </w:tblPrEx>
        <w:trPr>
          <w:cantSplit/>
          <w:trHeight w:val="113"/>
        </w:trPr>
        <w:tc>
          <w:tcPr>
            <w:tcW w:w="9848" w:type="dxa"/>
            <w:shd w:val="clear" w:color="auto" w:fill="auto"/>
          </w:tcPr>
          <w:p w14:paraId="7284FA66" w14:textId="77777777" w:rsidR="00711444" w:rsidRPr="004D0DAA" w:rsidRDefault="00711444" w:rsidP="00AA2A4C">
            <w:pPr>
              <w:spacing w:after="0"/>
              <w:rPr>
                <w:rFonts w:cs="Arial"/>
                <w:b/>
                <w:szCs w:val="18"/>
              </w:rPr>
            </w:pPr>
            <w:r w:rsidRPr="004D0DAA">
              <w:rPr>
                <w:rFonts w:cs="Arial"/>
                <w:b/>
                <w:szCs w:val="18"/>
              </w:rPr>
              <w:t>Dynamic Allocation 3</w:t>
            </w:r>
          </w:p>
          <w:p w14:paraId="72870454" w14:textId="77777777" w:rsidR="00711444" w:rsidRPr="004D0DAA" w:rsidRDefault="00711444" w:rsidP="00AA2A4C">
            <w:pPr>
              <w:spacing w:after="0"/>
            </w:pPr>
            <w:r w:rsidRPr="004D0DAA">
              <w:t>See sub-clause 11.2.29.</w:t>
            </w:r>
          </w:p>
          <w:p w14:paraId="40BDEC4C" w14:textId="77777777" w:rsidR="00711444" w:rsidRPr="004D0DAA" w:rsidRDefault="00711444" w:rsidP="00AA2A4C">
            <w:pPr>
              <w:spacing w:after="0"/>
              <w:rPr>
                <w:rFonts w:cs="Arial"/>
                <w:b/>
                <w:szCs w:val="18"/>
              </w:rPr>
            </w:pPr>
          </w:p>
        </w:tc>
      </w:tr>
      <w:tr w:rsidR="00711444" w:rsidRPr="004D0DAA" w14:paraId="6501D74E" w14:textId="77777777" w:rsidTr="00AA2A4C">
        <w:tblPrEx>
          <w:tblCellMar>
            <w:top w:w="0" w:type="dxa"/>
            <w:bottom w:w="0" w:type="dxa"/>
          </w:tblCellMar>
        </w:tblPrEx>
        <w:trPr>
          <w:cantSplit/>
          <w:trHeight w:val="113"/>
        </w:trPr>
        <w:tc>
          <w:tcPr>
            <w:tcW w:w="9848" w:type="dxa"/>
            <w:shd w:val="clear" w:color="auto" w:fill="auto"/>
          </w:tcPr>
          <w:p w14:paraId="2C93BF9B" w14:textId="77777777" w:rsidR="00711444" w:rsidRPr="004D0DAA" w:rsidRDefault="00711444" w:rsidP="00AA2A4C">
            <w:pPr>
              <w:spacing w:after="0"/>
            </w:pPr>
            <w:r w:rsidRPr="004D0DAA">
              <w:rPr>
                <w:b/>
              </w:rPr>
              <w:t xml:space="preserve">PTCCH_CARRIER </w:t>
            </w:r>
            <w:r w:rsidRPr="004D0DAA">
              <w:t xml:space="preserve"> (4 bit field)</w:t>
            </w:r>
            <w:r w:rsidRPr="004D0DAA">
              <w:br/>
              <w:t>See sub-clause 11.2.7.</w:t>
            </w:r>
          </w:p>
          <w:p w14:paraId="3B2A68C3" w14:textId="77777777" w:rsidR="00711444" w:rsidRPr="004D0DAA" w:rsidRDefault="00711444" w:rsidP="00AA2A4C">
            <w:pPr>
              <w:spacing w:after="0"/>
              <w:rPr>
                <w:rFonts w:cs="Arial"/>
                <w:b/>
                <w:szCs w:val="18"/>
              </w:rPr>
            </w:pPr>
          </w:p>
        </w:tc>
      </w:tr>
      <w:tr w:rsidR="00711444" w:rsidRPr="004D0DAA" w14:paraId="284DFD26" w14:textId="77777777" w:rsidTr="00AA2A4C">
        <w:tblPrEx>
          <w:tblCellMar>
            <w:top w:w="0" w:type="dxa"/>
            <w:bottom w:w="0" w:type="dxa"/>
          </w:tblCellMar>
        </w:tblPrEx>
        <w:trPr>
          <w:cantSplit/>
          <w:trHeight w:val="113"/>
        </w:trPr>
        <w:tc>
          <w:tcPr>
            <w:tcW w:w="9848" w:type="dxa"/>
            <w:shd w:val="clear" w:color="auto" w:fill="auto"/>
          </w:tcPr>
          <w:p w14:paraId="12ADBCB5" w14:textId="77777777" w:rsidR="00711444" w:rsidRPr="004D0DAA" w:rsidRDefault="00711444" w:rsidP="00AA2A4C">
            <w:pPr>
              <w:spacing w:after="0"/>
            </w:pPr>
            <w:r w:rsidRPr="004D0DAA">
              <w:rPr>
                <w:b/>
              </w:rPr>
              <w:t>PDAN Coding</w:t>
            </w:r>
            <w:r w:rsidRPr="004D0DAA">
              <w:t xml:space="preserve"> (1 bit field)</w:t>
            </w:r>
          </w:p>
          <w:p w14:paraId="2E2D186A" w14:textId="77777777" w:rsidR="00711444" w:rsidRPr="004D0DAA" w:rsidRDefault="00711444" w:rsidP="00AA2A4C">
            <w:pPr>
              <w:spacing w:after="0"/>
            </w:pPr>
            <w:r w:rsidRPr="004D0DAA">
              <w:t>See sub-clause 11.2.7.</w:t>
            </w:r>
          </w:p>
          <w:p w14:paraId="130E57E1" w14:textId="77777777" w:rsidR="00711444" w:rsidRPr="004D0DAA" w:rsidRDefault="00711444" w:rsidP="00AA2A4C">
            <w:pPr>
              <w:spacing w:after="0"/>
              <w:rPr>
                <w:b/>
              </w:rPr>
            </w:pPr>
          </w:p>
        </w:tc>
      </w:tr>
      <w:tr w:rsidR="00711444" w:rsidRPr="004D0DAA" w14:paraId="624280ED" w14:textId="77777777" w:rsidTr="00AA2A4C">
        <w:tblPrEx>
          <w:tblCellMar>
            <w:top w:w="0" w:type="dxa"/>
            <w:bottom w:w="0" w:type="dxa"/>
          </w:tblCellMar>
        </w:tblPrEx>
        <w:trPr>
          <w:cantSplit/>
          <w:trHeight w:val="113"/>
        </w:trPr>
        <w:tc>
          <w:tcPr>
            <w:tcW w:w="9848" w:type="dxa"/>
            <w:shd w:val="clear" w:color="auto" w:fill="auto"/>
          </w:tcPr>
          <w:p w14:paraId="52F56D4D" w14:textId="77777777" w:rsidR="00711444" w:rsidRPr="004D0DAA" w:rsidRDefault="00711444" w:rsidP="00AA2A4C">
            <w:pPr>
              <w:spacing w:after="0"/>
            </w:pPr>
            <w:r w:rsidRPr="004D0DAA">
              <w:rPr>
                <w:b/>
              </w:rPr>
              <w:t xml:space="preserve">DOWNLINK_eTFI_ASSIGNMENT </w:t>
            </w:r>
            <w:r w:rsidRPr="004D0DAA">
              <w:t>(3 bit field)</w:t>
            </w:r>
            <w:r w:rsidRPr="004D0DAA">
              <w:br/>
              <w:t>See sub-clause 11.2.7.</w:t>
            </w:r>
          </w:p>
          <w:p w14:paraId="2C6EFC4A" w14:textId="77777777" w:rsidR="00711444" w:rsidRPr="004D0DAA" w:rsidRDefault="00711444" w:rsidP="00AA2A4C">
            <w:pPr>
              <w:spacing w:after="0"/>
              <w:rPr>
                <w:b/>
              </w:rPr>
            </w:pPr>
          </w:p>
          <w:p w14:paraId="38D16A24" w14:textId="77777777" w:rsidR="00711444" w:rsidRPr="004D0DAA" w:rsidRDefault="00711444" w:rsidP="00AA2A4C">
            <w:pPr>
              <w:spacing w:after="0"/>
            </w:pPr>
            <w:r w:rsidRPr="004D0DAA">
              <w:rPr>
                <w:b/>
              </w:rPr>
              <w:t>Extended SNS</w:t>
            </w:r>
            <w:r w:rsidRPr="004D0DAA">
              <w:t xml:space="preserve"> (1 bit field)</w:t>
            </w:r>
          </w:p>
          <w:p w14:paraId="54E1B6F3" w14:textId="77777777" w:rsidR="00711444" w:rsidRPr="004D0DAA" w:rsidRDefault="00711444" w:rsidP="00AA2A4C">
            <w:pPr>
              <w:spacing w:after="0"/>
            </w:pPr>
            <w:r w:rsidRPr="004D0DAA">
              <w:t>See sub-clause 11.2.7.</w:t>
            </w:r>
          </w:p>
          <w:p w14:paraId="72347A3E" w14:textId="77777777" w:rsidR="00711444" w:rsidRPr="004D0DAA" w:rsidRDefault="00711444" w:rsidP="00AA2A4C">
            <w:pPr>
              <w:spacing w:after="0"/>
              <w:rPr>
                <w:b/>
              </w:rPr>
            </w:pPr>
          </w:p>
        </w:tc>
      </w:tr>
      <w:tr w:rsidR="00711444" w:rsidRPr="004D0DAA" w14:paraId="570FB410" w14:textId="77777777" w:rsidTr="00AA2A4C">
        <w:tblPrEx>
          <w:tblCellMar>
            <w:top w:w="0" w:type="dxa"/>
            <w:bottom w:w="0" w:type="dxa"/>
          </w:tblCellMar>
        </w:tblPrEx>
        <w:trPr>
          <w:cantSplit/>
          <w:trHeight w:val="113"/>
        </w:trPr>
        <w:tc>
          <w:tcPr>
            <w:tcW w:w="9848" w:type="dxa"/>
            <w:shd w:val="clear" w:color="auto" w:fill="auto"/>
          </w:tcPr>
          <w:p w14:paraId="2C58ED39" w14:textId="77777777" w:rsidR="00711444" w:rsidRPr="004D0DAA" w:rsidRDefault="00711444" w:rsidP="00AA2A4C">
            <w:pPr>
              <w:spacing w:after="0"/>
            </w:pPr>
            <w:r w:rsidRPr="004D0DAA">
              <w:rPr>
                <w:b/>
              </w:rPr>
              <w:t xml:space="preserve">Primary TSC Set </w:t>
            </w:r>
            <w:r w:rsidRPr="004D0DAA">
              <w:t>(1 bit field)</w:t>
            </w:r>
          </w:p>
          <w:p w14:paraId="6A917779" w14:textId="77777777" w:rsidR="00711444" w:rsidRPr="004D0DAA" w:rsidRDefault="00711444" w:rsidP="00AA2A4C">
            <w:pPr>
              <w:spacing w:after="0"/>
            </w:pPr>
            <w:r w:rsidRPr="004D0DAA">
              <w:t>See sub-clause 11.2.7 and 11.2.29.</w:t>
            </w:r>
          </w:p>
          <w:p w14:paraId="69A16001" w14:textId="77777777" w:rsidR="00711444" w:rsidRPr="004D0DAA" w:rsidRDefault="00711444" w:rsidP="00AA2A4C">
            <w:pPr>
              <w:spacing w:after="0"/>
            </w:pPr>
          </w:p>
          <w:p w14:paraId="6EECFAA6" w14:textId="77777777" w:rsidR="00711444" w:rsidRPr="004D0DAA" w:rsidRDefault="00711444" w:rsidP="00AA2A4C">
            <w:pPr>
              <w:spacing w:after="0"/>
              <w:rPr>
                <w:b/>
              </w:rPr>
            </w:pPr>
            <w:r w:rsidRPr="004D0DAA">
              <w:rPr>
                <w:b/>
              </w:rPr>
              <w:t xml:space="preserve">Secondary DL TSC Set </w:t>
            </w:r>
            <w:r w:rsidRPr="004D0DAA">
              <w:t>(1 bit field)</w:t>
            </w:r>
          </w:p>
          <w:p w14:paraId="1458AEEA" w14:textId="77777777" w:rsidR="00711444" w:rsidRPr="004D0DAA" w:rsidRDefault="00711444" w:rsidP="00AA2A4C">
            <w:pPr>
              <w:spacing w:after="0"/>
            </w:pPr>
            <w:r w:rsidRPr="004D0DAA">
              <w:t>See sub-clause 11.2.7.</w:t>
            </w:r>
          </w:p>
          <w:p w14:paraId="293AFD2F" w14:textId="77777777" w:rsidR="00711444" w:rsidRPr="004D0DAA" w:rsidRDefault="00711444" w:rsidP="00AA2A4C">
            <w:pPr>
              <w:spacing w:after="0"/>
              <w:rPr>
                <w:b/>
              </w:rPr>
            </w:pPr>
          </w:p>
        </w:tc>
      </w:tr>
      <w:tr w:rsidR="00711444" w:rsidRPr="004D0DAA" w14:paraId="43925282" w14:textId="77777777" w:rsidTr="00AA2A4C">
        <w:tblPrEx>
          <w:tblCellMar>
            <w:top w:w="0" w:type="dxa"/>
            <w:bottom w:w="0" w:type="dxa"/>
          </w:tblCellMar>
        </w:tblPrEx>
        <w:trPr>
          <w:cantSplit/>
          <w:trHeight w:val="113"/>
        </w:trPr>
        <w:tc>
          <w:tcPr>
            <w:tcW w:w="9848" w:type="dxa"/>
            <w:shd w:val="clear" w:color="auto" w:fill="auto"/>
          </w:tcPr>
          <w:p w14:paraId="107BA84D" w14:textId="77777777" w:rsidR="00711444" w:rsidRPr="004D0DAA" w:rsidRDefault="00711444" w:rsidP="00AA2A4C">
            <w:pPr>
              <w:spacing w:after="0"/>
              <w:rPr>
                <w:b/>
              </w:rPr>
            </w:pPr>
            <w:r w:rsidRPr="004D0DAA">
              <w:rPr>
                <w:b/>
              </w:rPr>
              <w:t xml:space="preserve">Secondary DL TSC Value </w:t>
            </w:r>
            <w:r w:rsidRPr="004D0DAA">
              <w:t>(3 bit field)</w:t>
            </w:r>
          </w:p>
          <w:p w14:paraId="72F44752" w14:textId="77777777" w:rsidR="00711444" w:rsidRPr="004D0DAA" w:rsidRDefault="00711444" w:rsidP="00AA2A4C">
            <w:pPr>
              <w:spacing w:after="0"/>
            </w:pPr>
            <w:r w:rsidRPr="004D0DAA">
              <w:t>See sub-clause 11.2.7.</w:t>
            </w:r>
          </w:p>
          <w:p w14:paraId="2060FB38" w14:textId="77777777" w:rsidR="00711444" w:rsidRPr="004D0DAA" w:rsidRDefault="00711444" w:rsidP="00AA2A4C">
            <w:pPr>
              <w:spacing w:after="0"/>
              <w:rPr>
                <w:b/>
              </w:rPr>
            </w:pPr>
          </w:p>
        </w:tc>
      </w:tr>
    </w:tbl>
    <w:p w14:paraId="5F7423C9" w14:textId="77777777" w:rsidR="00711444" w:rsidRPr="004D0DAA" w:rsidRDefault="00711444" w:rsidP="00711444"/>
    <w:p w14:paraId="058DB8B4" w14:textId="77777777" w:rsidR="00711444" w:rsidRPr="004D0DAA" w:rsidRDefault="00711444" w:rsidP="00711444">
      <w:pPr>
        <w:pStyle w:val="Heading4"/>
      </w:pPr>
      <w:bookmarkStart w:id="719" w:name="_Toc516669895"/>
      <w:r w:rsidRPr="004D0DAA">
        <w:t>11.2.31.1</w:t>
      </w:r>
      <w:r w:rsidRPr="004D0DAA">
        <w:tab/>
        <w:t>Special requirements in dual transfer mode</w:t>
      </w:r>
      <w:bookmarkEnd w:id="719"/>
    </w:p>
    <w:p w14:paraId="28F38D56" w14:textId="77777777" w:rsidR="00711444" w:rsidRPr="004D0DAA" w:rsidRDefault="00711444" w:rsidP="00711444">
      <w:r w:rsidRPr="004D0DAA">
        <w:t>Special requirements apply when a TBF is assigned to a mobile station in dual transfer mode or about to enter dual transfer mode, see sub-clauses 11.2.7.1 and 11.2.29.1 of the present document.</w:t>
      </w:r>
    </w:p>
    <w:p w14:paraId="2281DBB5" w14:textId="77777777" w:rsidR="00711444" w:rsidRPr="004D0DAA" w:rsidRDefault="00711444" w:rsidP="00711444">
      <w:pPr>
        <w:pStyle w:val="Heading3"/>
      </w:pPr>
      <w:bookmarkStart w:id="720" w:name="_Toc516669896"/>
      <w:r w:rsidRPr="004D0DAA">
        <w:lastRenderedPageBreak/>
        <w:t>11.2.31a</w:t>
      </w:r>
      <w:r w:rsidRPr="004D0DAA">
        <w:tab/>
        <w:t>Multiple TBF Timeslot Reconfigure</w:t>
      </w:r>
      <w:bookmarkEnd w:id="720"/>
    </w:p>
    <w:p w14:paraId="6AD682D2" w14:textId="77777777" w:rsidR="00711444" w:rsidRPr="004D0DAA" w:rsidRDefault="00711444" w:rsidP="00711444">
      <w:r w:rsidRPr="004D0DAA">
        <w:t>This message is sent on the PACCH by the network to the mobile station to assign uplink and downlink resources. If the mobile station supports Downlink Dual Carrier, this message may be sent using extended RLC/MAC control message segmentation (see sub-clause 9.1.12a). A mobile allocation or reference frequency list received as part of this assignment message shall be valid until a new assignment is received or each TBF of the MS are terminated.</w:t>
      </w:r>
    </w:p>
    <w:p w14:paraId="4265AAD9" w14:textId="77777777" w:rsidR="00711444" w:rsidRPr="004D0DAA" w:rsidRDefault="00711444" w:rsidP="00711444">
      <w:pPr>
        <w:pStyle w:val="EX"/>
      </w:pPr>
      <w:r w:rsidRPr="004D0DAA">
        <w:t>Message type:</w:t>
      </w:r>
      <w:r w:rsidRPr="004D0DAA">
        <w:tab/>
        <w:t>MULTIPLE TBF TIMESLOT RECONFIGURE</w:t>
      </w:r>
    </w:p>
    <w:p w14:paraId="51582AB6" w14:textId="77777777" w:rsidR="00711444" w:rsidRPr="004D0DAA" w:rsidRDefault="00711444" w:rsidP="00711444">
      <w:pPr>
        <w:pStyle w:val="EX"/>
      </w:pPr>
      <w:r w:rsidRPr="004D0DAA">
        <w:t>Direction:</w:t>
      </w:r>
      <w:r w:rsidRPr="004D0DAA">
        <w:tab/>
        <w:t>network to mobile station</w:t>
      </w:r>
    </w:p>
    <w:p w14:paraId="3E6B66D4" w14:textId="77777777" w:rsidR="00711444" w:rsidRPr="004D0DAA" w:rsidRDefault="00711444" w:rsidP="00711444">
      <w:pPr>
        <w:pStyle w:val="EX"/>
        <w:rPr>
          <w:lang w:val="fr-FR"/>
        </w:rPr>
      </w:pPr>
      <w:r w:rsidRPr="004D0DAA">
        <w:rPr>
          <w:lang w:val="fr-FR"/>
        </w:rPr>
        <w:t>Classification:</w:t>
      </w:r>
      <w:r w:rsidRPr="004D0DAA">
        <w:rPr>
          <w:lang w:val="fr-FR"/>
        </w:rPr>
        <w:tab/>
        <w:t>non-distribution message</w:t>
      </w:r>
    </w:p>
    <w:p w14:paraId="39549D45" w14:textId="77777777" w:rsidR="00711444" w:rsidRPr="004D0DAA" w:rsidRDefault="00711444" w:rsidP="00711444">
      <w:pPr>
        <w:pStyle w:val="TH"/>
        <w:rPr>
          <w:lang w:val="fr-FR"/>
        </w:rPr>
      </w:pPr>
      <w:r w:rsidRPr="004D0DAA">
        <w:rPr>
          <w:lang w:val="fr-FR"/>
        </w:rPr>
        <w:lastRenderedPageBreak/>
        <w:t xml:space="preserve">Table 11.2.31a.1: </w:t>
      </w:r>
      <w:r w:rsidRPr="004D0DAA">
        <w:rPr>
          <w:caps/>
          <w:lang w:val="fr-FR"/>
        </w:rPr>
        <w:t>MULTIPLE TBF TIMESLOT RECONFIGURE</w:t>
      </w:r>
      <w:r w:rsidRPr="004D0DAA">
        <w:rPr>
          <w:lang w:val="fr-FR"/>
        </w:rPr>
        <w:t xml:space="preserve"> information elements</w:t>
      </w:r>
    </w:p>
    <w:tbl>
      <w:tblPr>
        <w:tblW w:w="0" w:type="auto"/>
        <w:tblBorders>
          <w:top w:val="single" w:sz="2" w:space="0" w:color="auto"/>
          <w:left w:val="single" w:sz="2" w:space="0" w:color="auto"/>
          <w:bottom w:val="single" w:sz="2" w:space="0" w:color="auto"/>
          <w:right w:val="single" w:sz="2" w:space="0" w:color="auto"/>
        </w:tblBorders>
        <w:tblLayout w:type="fixed"/>
        <w:tblLook w:val="0000" w:firstRow="0" w:lastRow="0" w:firstColumn="0" w:lastColumn="0" w:noHBand="0" w:noVBand="0"/>
      </w:tblPr>
      <w:tblGrid>
        <w:gridCol w:w="9848"/>
      </w:tblGrid>
      <w:tr w:rsidR="00711444" w:rsidRPr="004D0DAA" w14:paraId="6D52F370" w14:textId="77777777" w:rsidTr="00AA2A4C">
        <w:tblPrEx>
          <w:tblCellMar>
            <w:top w:w="0" w:type="dxa"/>
            <w:bottom w:w="0" w:type="dxa"/>
          </w:tblCellMar>
        </w:tblPrEx>
        <w:trPr>
          <w:cantSplit/>
        </w:trPr>
        <w:tc>
          <w:tcPr>
            <w:tcW w:w="9848" w:type="dxa"/>
          </w:tcPr>
          <w:p w14:paraId="7E223A20" w14:textId="77777777" w:rsidR="00711444" w:rsidRPr="004D0DAA" w:rsidRDefault="00711444" w:rsidP="00AA2A4C">
            <w:pPr>
              <w:pStyle w:val="TAL"/>
              <w:rPr>
                <w:lang w:val="fr-FR" w:eastAsia="en-US"/>
              </w:rPr>
            </w:pPr>
            <w:r w:rsidRPr="004D0DAA">
              <w:rPr>
                <w:lang w:val="fr-FR" w:eastAsia="en-US"/>
              </w:rPr>
              <w:t>&lt; Multiple TBF Timeslot Reconfigure message content &gt; ::=</w:t>
            </w:r>
          </w:p>
          <w:p w14:paraId="021CEA92"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2A5F89C7"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 xml:space="preserve">0 &lt; </w:t>
            </w:r>
            <w:r w:rsidRPr="004D0DAA">
              <w:rPr>
                <w:b/>
                <w:lang w:eastAsia="en-US"/>
              </w:rPr>
              <w:t>GLOBAL_TFI</w:t>
            </w:r>
            <w:r w:rsidRPr="004D0DAA">
              <w:rPr>
                <w:lang w:eastAsia="en-US"/>
              </w:rPr>
              <w:t xml:space="preserve"> : &lt; Global TFI IE &gt; &gt;</w:t>
            </w:r>
          </w:p>
          <w:p w14:paraId="2E356D9D"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t xml:space="preserve">-- </w:t>
            </w:r>
            <w:r w:rsidRPr="004D0DAA">
              <w:rPr>
                <w:i/>
                <w:lang w:eastAsia="en-US"/>
              </w:rPr>
              <w:t>Message escape for GPRS mode TBFs</w:t>
            </w:r>
          </w:p>
          <w:p w14:paraId="52BAF4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 0 | 1 &lt; </w:t>
            </w:r>
            <w:r w:rsidRPr="004D0DAA">
              <w:rPr>
                <w:b/>
                <w:lang w:eastAsia="en-US"/>
              </w:rPr>
              <w:t xml:space="preserve">CHANNEL_CODING_COMMAND </w:t>
            </w:r>
            <w:r w:rsidRPr="004D0DAA">
              <w:rPr>
                <w:lang w:eastAsia="en-US"/>
              </w:rPr>
              <w:t>: bit (2) &gt; }</w:t>
            </w:r>
          </w:p>
          <w:p w14:paraId="6933820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780F442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p w14:paraId="7CB6FD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Extended Timing Advance</w:t>
            </w:r>
            <w:r w:rsidRPr="004D0DAA">
              <w:rPr>
                <w:lang w:eastAsia="en-US"/>
              </w:rPr>
              <w:t xml:space="preserve"> : bit (2) &gt; }</w:t>
            </w:r>
          </w:p>
          <w:p w14:paraId="1322A7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Multiple Downlink Assignment</w:t>
            </w:r>
            <w:r w:rsidRPr="004D0DAA">
              <w:rPr>
                <w:lang w:eastAsia="en-US"/>
              </w:rPr>
              <w:t xml:space="preserve"> : &lt; Multiple Downlink Assignment struct &gt; &gt; } ** 0 </w:t>
            </w:r>
          </w:p>
          <w:p w14:paraId="3376898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Multiple</w:t>
            </w:r>
            <w:r w:rsidRPr="004D0DAA">
              <w:rPr>
                <w:lang w:eastAsia="en-US"/>
              </w:rPr>
              <w:t xml:space="preserve"> </w:t>
            </w:r>
            <w:r w:rsidRPr="004D0DAA">
              <w:rPr>
                <w:b/>
                <w:bCs/>
                <w:lang w:eastAsia="en-US"/>
              </w:rPr>
              <w:t>Uplink Assignment</w:t>
            </w:r>
            <w:r w:rsidRPr="004D0DAA">
              <w:rPr>
                <w:lang w:eastAsia="en-US"/>
              </w:rPr>
              <w:t xml:space="preserve"> : &lt; Multiple Uplink Assignment struct &gt; &gt;</w:t>
            </w:r>
          </w:p>
          <w:p w14:paraId="6586ECF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padding bits &gt; </w:t>
            </w:r>
          </w:p>
          <w:p w14:paraId="043E83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516D4722" w14:textId="77777777" w:rsidTr="00AA2A4C">
        <w:tblPrEx>
          <w:tblCellMar>
            <w:top w:w="0" w:type="dxa"/>
            <w:bottom w:w="0" w:type="dxa"/>
          </w:tblCellMar>
        </w:tblPrEx>
        <w:trPr>
          <w:cantSplit/>
        </w:trPr>
        <w:tc>
          <w:tcPr>
            <w:tcW w:w="9848" w:type="dxa"/>
          </w:tcPr>
          <w:p w14:paraId="2251F0B9"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bit for EGPRS mode TBFs</w:t>
            </w:r>
          </w:p>
          <w:p w14:paraId="3C8CA56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00 {</w:t>
            </w:r>
            <w:r w:rsidRPr="004D0DAA">
              <w:rPr>
                <w:lang w:eastAsia="en-US"/>
              </w:rPr>
              <w:tab/>
            </w:r>
          </w:p>
          <w:p w14:paraId="7AB128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 &lt; EGPRS Modulation and Coding Scheme IE &gt; &gt; }</w:t>
            </w:r>
          </w:p>
          <w:p w14:paraId="7961C09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36265A9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Downlink </w:t>
            </w:r>
            <w:r w:rsidRPr="004D0DAA">
              <w:rPr>
                <w:b/>
                <w:lang w:eastAsia="en-US"/>
              </w:rPr>
              <w:t>EGPRS Window Size</w:t>
            </w:r>
            <w:r w:rsidRPr="004D0DAA">
              <w:rPr>
                <w:lang w:eastAsia="en-US"/>
              </w:rPr>
              <w:t> : &lt; EGPRS Window Size IE &gt; }</w:t>
            </w:r>
          </w:p>
          <w:p w14:paraId="786F19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 0 | 1 &lt; </w:t>
            </w:r>
            <w:r w:rsidRPr="004D0DAA">
              <w:rPr>
                <w:b/>
                <w:bCs/>
                <w:lang w:eastAsia="en-US"/>
              </w:rPr>
              <w:t xml:space="preserve">Uplink </w:t>
            </w:r>
            <w:r w:rsidRPr="004D0DAA">
              <w:rPr>
                <w:b/>
                <w:lang w:eastAsia="en-US"/>
              </w:rPr>
              <w:t>EGPRS Window Size</w:t>
            </w:r>
            <w:r w:rsidRPr="004D0DAA">
              <w:rPr>
                <w:lang w:eastAsia="en-US"/>
              </w:rPr>
              <w:t> : &lt; EGPRS Window Size IE &gt; &gt; }</w:t>
            </w:r>
          </w:p>
          <w:p w14:paraId="592B21E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66C1515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BEP_PERIOD2</w:t>
            </w:r>
            <w:r w:rsidRPr="004D0DAA">
              <w:rPr>
                <w:lang w:eastAsia="en-US"/>
              </w:rPr>
              <w:t xml:space="preserve"> : bit(4) &gt; } }</w:t>
            </w:r>
            <w:r w:rsidRPr="004D0DAA">
              <w:rPr>
                <w:lang w:eastAsia="en-US"/>
              </w:rPr>
              <w:tab/>
            </w:r>
            <w:r w:rsidRPr="004D0DAA">
              <w:rPr>
                <w:lang w:eastAsia="en-US"/>
              </w:rPr>
              <w:tab/>
            </w:r>
            <w:r w:rsidRPr="004D0DAA">
              <w:rPr>
                <w:lang w:eastAsia="en-US"/>
              </w:rPr>
              <w:tab/>
            </w:r>
            <w:r w:rsidRPr="004D0DAA">
              <w:rPr>
                <w:lang w:eastAsia="en-US"/>
              </w:rPr>
              <w:tab/>
            </w:r>
          </w:p>
          <w:p w14:paraId="215A8B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29A3314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Extended Timing Advance</w:t>
            </w:r>
            <w:r w:rsidRPr="004D0DAA">
              <w:rPr>
                <w:lang w:eastAsia="en-US"/>
              </w:rPr>
              <w:t xml:space="preserve"> : bit (2) &gt; }</w:t>
            </w:r>
          </w:p>
          <w:p w14:paraId="74A7685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IE &gt; &gt; }</w:t>
            </w:r>
          </w:p>
          <w:p w14:paraId="555A6D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Multiple Downlink Assignment</w:t>
            </w:r>
            <w:r w:rsidRPr="004D0DAA">
              <w:rPr>
                <w:lang w:eastAsia="en-US"/>
              </w:rPr>
              <w:t xml:space="preserve"> : &lt; Multiple Downlink Assignment struct &gt; &gt; } ** 0 </w:t>
            </w:r>
          </w:p>
          <w:p w14:paraId="0923F13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w:t>
            </w:r>
            <w:r w:rsidRPr="004D0DAA">
              <w:rPr>
                <w:b/>
                <w:bCs/>
                <w:lang w:eastAsia="en-US"/>
              </w:rPr>
              <w:t xml:space="preserve"> Multiple Uplink Assignment</w:t>
            </w:r>
            <w:r w:rsidRPr="004D0DAA">
              <w:rPr>
                <w:lang w:eastAsia="en-US"/>
              </w:rPr>
              <w:t xml:space="preserve"> : &lt; Multiple Uplink Assignment struct &gt; &gt;</w:t>
            </w:r>
          </w:p>
          <w:p w14:paraId="42EAB5C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null | 0 bit** = &lt; no string &gt; </w:t>
            </w:r>
            <w:r w:rsidRPr="004D0DAA">
              <w:rPr>
                <w:lang w:eastAsia="en-US"/>
              </w:rPr>
              <w:tab/>
            </w:r>
            <w:r w:rsidRPr="004D0DAA">
              <w:rPr>
                <w:lang w:eastAsia="en-US"/>
              </w:rPr>
              <w:tab/>
              <w:t>-- Receiver backward compatible with earlier version</w:t>
            </w:r>
          </w:p>
          <w:p w14:paraId="414CA6D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t>-- Additions for Rel-7</w:t>
            </w:r>
          </w:p>
          <w:p w14:paraId="34A8DF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NPM Transfer Time </w:t>
            </w:r>
            <w:r w:rsidRPr="004D0DAA">
              <w:rPr>
                <w:lang w:eastAsia="en-US"/>
              </w:rPr>
              <w:t>: bit (5) &gt; } ** 0</w:t>
            </w:r>
          </w:p>
          <w:p w14:paraId="4D90D6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487D29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04A9DF9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 } ** 0</w:t>
            </w:r>
          </w:p>
          <w:p w14:paraId="03F33372"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r>
            <w:r w:rsidRPr="004D0DAA">
              <w:rPr>
                <w:iCs/>
                <w:lang w:eastAsia="en-US"/>
              </w:rPr>
              <w:tab/>
              <w:t xml:space="preserve">&lt; </w:t>
            </w:r>
            <w:r w:rsidRPr="004D0DAA">
              <w:rPr>
                <w:b/>
                <w:iCs/>
                <w:lang w:eastAsia="en-US"/>
              </w:rPr>
              <w:t xml:space="preserve">Enhanced Flexible Timeslot Assignment </w:t>
            </w:r>
            <w:r w:rsidRPr="004D0DAA">
              <w:rPr>
                <w:iCs/>
                <w:lang w:eastAsia="en-US"/>
              </w:rPr>
              <w:t>: bit  &gt;</w:t>
            </w:r>
          </w:p>
          <w:p w14:paraId="240947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 }</w:t>
            </w:r>
          </w:p>
          <w:p w14:paraId="1308BDF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tc>
      </w:tr>
      <w:tr w:rsidR="00711444" w:rsidRPr="004D0DAA" w14:paraId="17B640A9" w14:textId="77777777" w:rsidTr="00AA2A4C">
        <w:tblPrEx>
          <w:tblCellMar>
            <w:top w:w="0" w:type="dxa"/>
            <w:bottom w:w="0" w:type="dxa"/>
          </w:tblCellMar>
        </w:tblPrEx>
        <w:trPr>
          <w:cantSplit/>
        </w:trPr>
        <w:tc>
          <w:tcPr>
            <w:tcW w:w="9848" w:type="dxa"/>
          </w:tcPr>
          <w:p w14:paraId="684ED45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01 {</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Message escape for dual carrier, BTTI with FANR activated, RTTI, EGPRS2</w:t>
            </w:r>
          </w:p>
          <w:p w14:paraId="33350A8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xml:space="preserve"> : &lt; EGPRS Modulation and Coding Scheme IE &gt; &gt; }</w:t>
            </w:r>
          </w:p>
          <w:p w14:paraId="14E1159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1A05043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Downlink </w:t>
            </w:r>
            <w:r w:rsidRPr="004D0DAA">
              <w:rPr>
                <w:b/>
                <w:lang w:eastAsia="en-US"/>
              </w:rPr>
              <w:t>EGPRS Window Size</w:t>
            </w:r>
            <w:r w:rsidRPr="004D0DAA">
              <w:rPr>
                <w:lang w:eastAsia="en-US"/>
              </w:rPr>
              <w:t> : &lt; EGPRS Window Size IE &gt; }</w:t>
            </w:r>
          </w:p>
          <w:p w14:paraId="4D7F6FB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 0 | 1 &lt; </w:t>
            </w:r>
            <w:r w:rsidRPr="004D0DAA">
              <w:rPr>
                <w:b/>
                <w:bCs/>
                <w:lang w:eastAsia="en-US"/>
              </w:rPr>
              <w:t xml:space="preserve">Uplink </w:t>
            </w:r>
            <w:r w:rsidRPr="004D0DAA">
              <w:rPr>
                <w:b/>
                <w:lang w:eastAsia="en-US"/>
              </w:rPr>
              <w:t>EGPRS Window Size</w:t>
            </w:r>
            <w:r w:rsidRPr="004D0DAA">
              <w:rPr>
                <w:lang w:eastAsia="en-US"/>
              </w:rPr>
              <w:t> : &lt; EGPRS Window Size IE &gt; &gt; }</w:t>
            </w:r>
          </w:p>
          <w:p w14:paraId="2CEDD9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3BBC41C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BEP_PERIOD2</w:t>
            </w:r>
            <w:r w:rsidRPr="004D0DAA">
              <w:rPr>
                <w:lang w:eastAsia="en-US"/>
              </w:rPr>
              <w:t xml:space="preserve"> : bit(4) &gt; }</w:t>
            </w:r>
          </w:p>
          <w:p w14:paraId="40338AA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p>
          <w:p w14:paraId="145B77C6"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Global Packet Timing Advance</w:t>
            </w:r>
            <w:r w:rsidRPr="004D0DAA">
              <w:rPr>
                <w:lang w:eastAsia="en-US"/>
              </w:rPr>
              <w:t xml:space="preserve"> : &lt; Global Packet Timing Advance IE &gt; &gt;</w:t>
            </w:r>
          </w:p>
          <w:p w14:paraId="140E9C8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Packet Extended Timing Advance</w:t>
            </w:r>
            <w:r w:rsidRPr="004D0DAA">
              <w:rPr>
                <w:lang w:eastAsia="en-US"/>
              </w:rPr>
              <w:t xml:space="preserve"> : bit (2) &gt; }</w:t>
            </w:r>
          </w:p>
          <w:p w14:paraId="0F96D5D6"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w:t>
            </w:r>
            <w:r w:rsidRPr="004D0DAA">
              <w:rPr>
                <w:rFonts w:cs="Arial"/>
                <w:szCs w:val="18"/>
                <w:lang w:eastAsia="en-US"/>
              </w:rPr>
              <w:tab/>
              <w:t>00</w:t>
            </w:r>
            <w:r w:rsidRPr="004D0DAA">
              <w:rPr>
                <w:rFonts w:cs="Arial"/>
                <w:szCs w:val="18"/>
                <w:lang w:eastAsia="en-US"/>
              </w:rPr>
              <w:tab/>
            </w:r>
            <w:r w:rsidRPr="004D0DAA">
              <w:rPr>
                <w:rFonts w:cs="Arial"/>
                <w:szCs w:val="18"/>
                <w:lang w:eastAsia="en-US"/>
              </w:rPr>
              <w:tab/>
              <w:t xml:space="preserve">-- </w:t>
            </w:r>
            <w:r w:rsidRPr="004D0DAA">
              <w:rPr>
                <w:rFonts w:cs="Arial"/>
                <w:i/>
                <w:szCs w:val="18"/>
                <w:lang w:eastAsia="en-US"/>
              </w:rPr>
              <w:t>No frequency parameters included</w:t>
            </w:r>
          </w:p>
          <w:p w14:paraId="28962578"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01</w:t>
            </w:r>
            <w:r w:rsidRPr="004D0DAA">
              <w:rPr>
                <w:rFonts w:cs="Arial"/>
                <w:szCs w:val="18"/>
                <w:lang w:eastAsia="en-US"/>
              </w:rPr>
              <w:tab/>
            </w:r>
            <w:r w:rsidRPr="004D0DAA">
              <w:rPr>
                <w:rFonts w:cs="Arial"/>
                <w:szCs w:val="18"/>
                <w:lang w:eastAsia="en-US"/>
              </w:rPr>
              <w:tab/>
              <w:t xml:space="preserve">-- </w:t>
            </w:r>
            <w:r w:rsidRPr="004D0DAA">
              <w:rPr>
                <w:rFonts w:cs="Arial"/>
                <w:i/>
                <w:szCs w:val="18"/>
                <w:lang w:eastAsia="en-US"/>
              </w:rPr>
              <w:t>Legacy IEs used</w:t>
            </w:r>
          </w:p>
          <w:p w14:paraId="23284550"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bCs/>
                <w:szCs w:val="18"/>
                <w:lang w:eastAsia="en-US"/>
              </w:rPr>
              <w:t>Frequency Parameters C1 :</w:t>
            </w:r>
            <w:r w:rsidRPr="004D0DAA">
              <w:rPr>
                <w:rFonts w:cs="Arial"/>
                <w:szCs w:val="18"/>
                <w:lang w:eastAsia="en-US"/>
              </w:rPr>
              <w:t xml:space="preserve"> &lt; Frequency Parameters IE &gt; &gt; }</w:t>
            </w:r>
          </w:p>
          <w:p w14:paraId="5AF7C3EF"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0 | 1 &lt; </w:t>
            </w:r>
            <w:r w:rsidRPr="004D0DAA">
              <w:rPr>
                <w:rFonts w:cs="Arial"/>
                <w:b/>
                <w:bCs/>
                <w:szCs w:val="18"/>
                <w:lang w:eastAsia="en-US"/>
              </w:rPr>
              <w:t>Frequency Parameters C2 :</w:t>
            </w:r>
            <w:r w:rsidRPr="004D0DAA">
              <w:rPr>
                <w:rFonts w:cs="Arial"/>
                <w:szCs w:val="18"/>
                <w:lang w:eastAsia="en-US"/>
              </w:rPr>
              <w:t xml:space="preserve"> &lt; Frequency Parameters IE &gt; &gt; }</w:t>
            </w:r>
          </w:p>
          <w:p w14:paraId="6E2498AA"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10</w:t>
            </w:r>
            <w:r w:rsidRPr="004D0DAA">
              <w:rPr>
                <w:rFonts w:cs="Arial"/>
                <w:szCs w:val="18"/>
                <w:lang w:eastAsia="en-US"/>
              </w:rPr>
              <w:tab/>
            </w:r>
            <w:r w:rsidRPr="004D0DAA">
              <w:rPr>
                <w:rFonts w:cs="Arial"/>
                <w:szCs w:val="18"/>
                <w:lang w:eastAsia="en-US"/>
              </w:rPr>
              <w:tab/>
              <w:t xml:space="preserve">-- </w:t>
            </w:r>
            <w:r w:rsidRPr="004D0DAA">
              <w:rPr>
                <w:rFonts w:cs="Arial"/>
                <w:i/>
                <w:szCs w:val="18"/>
                <w:lang w:eastAsia="en-US"/>
              </w:rPr>
              <w:t>Optimized Dual Carrier frequency parameters used</w:t>
            </w:r>
            <w:r w:rsidRPr="004D0DAA">
              <w:rPr>
                <w:rFonts w:cs="Arial"/>
                <w:szCs w:val="18"/>
                <w:lang w:eastAsia="en-US"/>
              </w:rPr>
              <w:t xml:space="preserve"> </w:t>
            </w:r>
          </w:p>
          <w:p w14:paraId="0D01A0BB"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Dual Carrier</w:t>
            </w:r>
            <w:r w:rsidRPr="004D0DAA">
              <w:rPr>
                <w:rFonts w:cs="Arial"/>
                <w:szCs w:val="18"/>
                <w:lang w:eastAsia="en-US"/>
              </w:rPr>
              <w:t xml:space="preserve"> </w:t>
            </w:r>
            <w:r w:rsidRPr="004D0DAA">
              <w:rPr>
                <w:rFonts w:cs="Arial"/>
                <w:b/>
                <w:szCs w:val="18"/>
                <w:lang w:eastAsia="en-US"/>
              </w:rPr>
              <w:t xml:space="preserve">Frequency Parameters </w:t>
            </w:r>
            <w:r w:rsidRPr="004D0DAA">
              <w:rPr>
                <w:rFonts w:cs="Arial"/>
                <w:szCs w:val="18"/>
                <w:lang w:eastAsia="en-US"/>
              </w:rPr>
              <w:t xml:space="preserve">: &lt; Dual Carrier Frequency Parameters IE &gt; &gt; </w:t>
            </w:r>
          </w:p>
          <w:p w14:paraId="127FD9DD" w14:textId="77777777" w:rsidR="00711444" w:rsidRPr="004D0DAA" w:rsidRDefault="00711444" w:rsidP="00AA2A4C">
            <w:pPr>
              <w:pStyle w:val="TAL"/>
              <w:rPr>
                <w:rFonts w:cs="Arial"/>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Frequency Parameters error: { 11 } bit(*) = &lt; no string&gt; &gt;  </w:t>
            </w:r>
            <w:r w:rsidRPr="004D0DAA">
              <w:rPr>
                <w:lang w:eastAsia="en-US"/>
              </w:rPr>
              <w:tab/>
            </w:r>
            <w:r w:rsidRPr="004D0DAA">
              <w:rPr>
                <w:lang w:eastAsia="en-US"/>
              </w:rPr>
              <w:tab/>
              <w:t xml:space="preserve">-- </w:t>
            </w:r>
            <w:r w:rsidRPr="004D0DAA">
              <w:rPr>
                <w:i/>
                <w:lang w:eastAsia="en-US"/>
              </w:rPr>
              <w:t>reserved for future use</w:t>
            </w:r>
          </w:p>
          <w:p w14:paraId="4DD5A2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tc>
      </w:tr>
      <w:tr w:rsidR="00711444" w:rsidRPr="004D0DAA" w14:paraId="1A68AE7F" w14:textId="77777777" w:rsidTr="00AA2A4C">
        <w:tblPrEx>
          <w:tblCellMar>
            <w:top w:w="0" w:type="dxa"/>
            <w:bottom w:w="0" w:type="dxa"/>
          </w:tblCellMar>
        </w:tblPrEx>
        <w:trPr>
          <w:cantSplit/>
        </w:trPr>
        <w:tc>
          <w:tcPr>
            <w:tcW w:w="9848" w:type="dxa"/>
          </w:tcPr>
          <w:p w14:paraId="45DB63DE" w14:textId="77777777" w:rsidR="00711444" w:rsidRPr="004D0DAA" w:rsidRDefault="00711444" w:rsidP="00AA2A4C">
            <w:pPr>
              <w:pStyle w:val="TAL"/>
              <w:rPr>
                <w:lang w:eastAsia="en-US"/>
              </w:rPr>
            </w:pPr>
            <w:r w:rsidRPr="004D0DAA">
              <w:rPr>
                <w:lang w:eastAsia="en-US"/>
              </w:rPr>
              <w:lastRenderedPageBreak/>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rFonts w:hint="eastAsia"/>
                <w:lang w:eastAsia="zh-CN"/>
              </w:rPr>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BTTI mode</w:t>
            </w:r>
          </w:p>
          <w:p w14:paraId="0C9318A3" w14:textId="77777777" w:rsidR="00711444" w:rsidRPr="004D0DAA" w:rsidRDefault="00711444" w:rsidP="00AA2A4C">
            <w:pPr>
              <w:pStyle w:val="TAL"/>
              <w:rPr>
                <w:rFonts w:hint="eastAsia"/>
                <w:lang w:eastAsia="ko-KR"/>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FANR</w:t>
            </w:r>
            <w:r w:rsidRPr="004D0DAA">
              <w:rPr>
                <w:lang w:eastAsia="en-US"/>
              </w:rPr>
              <w:t>: bit (1) &gt;</w:t>
            </w:r>
          </w:p>
          <w:p w14:paraId="0224E8A8"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BTTI</w:t>
            </w:r>
            <w:r w:rsidRPr="004D0DAA">
              <w:rPr>
                <w:rFonts w:hint="eastAsia"/>
                <w:lang w:eastAsia="ko-KR"/>
              </w:rPr>
              <w:t xml:space="preserve"> </w:t>
            </w:r>
            <w:r w:rsidRPr="004D0DAA">
              <w:rPr>
                <w:b/>
                <w:bCs/>
                <w:lang w:eastAsia="en-US"/>
              </w:rPr>
              <w:t>Multiple Downlink Assignment</w:t>
            </w:r>
            <w:r w:rsidRPr="004D0DAA">
              <w:rPr>
                <w:lang w:eastAsia="en-US"/>
              </w:rPr>
              <w:t xml:space="preserve"> : &lt; BTTI Multiple Downlink Assignment struct &gt; &gt; } ** 0</w:t>
            </w:r>
          </w:p>
          <w:p w14:paraId="5CFE146D" w14:textId="77777777" w:rsidR="00711444" w:rsidRPr="004D0DAA" w:rsidRDefault="00711444" w:rsidP="00AA2A4C">
            <w:pPr>
              <w:pStyle w:val="TAL"/>
              <w:rPr>
                <w:lang w:eastAsia="en-US"/>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rFonts w:hint="eastAsia"/>
                <w:lang w:eastAsia="zh-CN"/>
              </w:rPr>
              <w:t>}</w:t>
            </w:r>
            <w:r w:rsidRPr="004D0DAA">
              <w:rPr>
                <w:lang w:eastAsia="en-US"/>
              </w:rPr>
              <w:t xml:space="preserve"> </w:t>
            </w:r>
          </w:p>
          <w:p w14:paraId="1A627790"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hint="eastAsia"/>
                <w:lang w:eastAsia="zh-CN"/>
              </w:rPr>
              <w:t xml:space="preserve">{ 0 </w:t>
            </w:r>
            <w:r w:rsidRPr="004D0DAA">
              <w:rPr>
                <w:lang w:eastAsia="en-US"/>
              </w:rPr>
              <w:t>| 1</w:t>
            </w:r>
            <w:r w:rsidRPr="004D0DAA">
              <w:rPr>
                <w:lang w:eastAsia="en-US"/>
              </w:rPr>
              <w:tab/>
            </w:r>
            <w:r w:rsidRPr="004D0DAA">
              <w:rPr>
                <w:lang w:eastAsia="en-US"/>
              </w:rPr>
              <w:tab/>
            </w:r>
            <w:r w:rsidRPr="004D0DAA">
              <w:rPr>
                <w:lang w:eastAsia="en-US"/>
              </w:rPr>
              <w:tab/>
            </w:r>
            <w:r w:rsidRPr="004D0DAA">
              <w:rPr>
                <w:lang w:eastAsia="en-US"/>
              </w:rPr>
              <w:tab/>
              <w:t>-- RTTI mode</w:t>
            </w:r>
            <w:r w:rsidRPr="004D0DAA">
              <w:rPr>
                <w:rFonts w:hint="eastAsia"/>
                <w:lang w:eastAsia="zh-CN"/>
              </w:rPr>
              <w:t xml:space="preserve"> </w:t>
            </w:r>
          </w:p>
          <w:p w14:paraId="4E91914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Single Carrier Assignment</w:t>
            </w:r>
          </w:p>
          <w:p w14:paraId="417E1818"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Default PDCH-pair configuration</w:t>
            </w:r>
          </w:p>
          <w:p w14:paraId="1D6F346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Unchanged </w:t>
            </w:r>
          </w:p>
          <w:p w14:paraId="4E3910AE"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Explicit PDCH pair configuration</w:t>
            </w:r>
          </w:p>
          <w:p w14:paraId="7E41B9D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3A82D2F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47E3CBDB"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reserved</w:t>
            </w:r>
          </w:p>
          <w:p w14:paraId="09107C0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58721E5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RTTI Multiple Downlink Assignment SC</w:t>
            </w:r>
            <w:r w:rsidRPr="004D0DAA">
              <w:rPr>
                <w:lang w:eastAsia="en-US"/>
              </w:rPr>
              <w:t xml:space="preserve"> : </w:t>
            </w:r>
          </w:p>
          <w:p w14:paraId="2D02994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RTTI Multiple Downlink</w:t>
            </w:r>
            <w:r w:rsidRPr="004D0DAA">
              <w:rPr>
                <w:b/>
                <w:bCs/>
                <w:lang w:eastAsia="en-US"/>
              </w:rPr>
              <w:t xml:space="preserve"> </w:t>
            </w:r>
            <w:r w:rsidRPr="004D0DAA">
              <w:rPr>
                <w:lang w:eastAsia="en-US"/>
              </w:rPr>
              <w:t>Assignment SC struct &gt; &gt; } ** 0</w:t>
            </w:r>
          </w:p>
          <w:p w14:paraId="57BE9F3E"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Dual  Carrier Assignment</w:t>
            </w:r>
          </w:p>
          <w:p w14:paraId="46EFE9A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Default PDCH pair configuration</w:t>
            </w:r>
          </w:p>
          <w:p w14:paraId="7CE4C87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Unchanged</w:t>
            </w:r>
          </w:p>
          <w:p w14:paraId="6FEAB08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Explicit PDCH pair configuration</w:t>
            </w:r>
          </w:p>
          <w:p w14:paraId="19821EB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2FE0B12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59F86C1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2A56DF0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61B61BD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reserved</w:t>
            </w:r>
          </w:p>
          <w:p w14:paraId="2257690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0E648AB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RTTI Multiple Downlink Assignment DC</w:t>
            </w:r>
            <w:r w:rsidRPr="004D0DAA">
              <w:rPr>
                <w:lang w:eastAsia="en-US"/>
              </w:rPr>
              <w:t xml:space="preserve"> : </w:t>
            </w:r>
          </w:p>
          <w:p w14:paraId="422AFE5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RTTI Multiple Downlink Assignment DC struct &gt; &gt; } ** 0</w:t>
            </w:r>
          </w:p>
          <w:p w14:paraId="066BA08E"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69FB185D"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60E28B23" w14:textId="77777777" w:rsidR="00711444" w:rsidRPr="004D0DAA" w:rsidRDefault="00711444" w:rsidP="00AA2A4C">
            <w:pPr>
              <w:pStyle w:val="TAL"/>
              <w:rPr>
                <w:b/>
                <w:lang w:eastAsia="zh-CN"/>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rFonts w:hint="eastAsia"/>
                <w:lang w:eastAsia="zh-CN"/>
              </w:rPr>
              <w:t>{ 0 | 1</w:t>
            </w:r>
            <w:r w:rsidRPr="004D0DAA">
              <w:rPr>
                <w:lang w:eastAsia="zh-CN"/>
              </w:rPr>
              <w:tab/>
            </w:r>
            <w:r w:rsidRPr="004D0DAA">
              <w:rPr>
                <w:lang w:eastAsia="zh-CN"/>
              </w:rPr>
              <w:tab/>
            </w:r>
            <w:r w:rsidRPr="004D0DAA">
              <w:rPr>
                <w:lang w:eastAsia="zh-CN"/>
              </w:rPr>
              <w:tab/>
            </w:r>
            <w:r w:rsidRPr="004D0DAA">
              <w:rPr>
                <w:lang w:eastAsia="en-US"/>
              </w:rPr>
              <w:t xml:space="preserve">-- </w:t>
            </w:r>
            <w:r w:rsidRPr="004D0DAA">
              <w:rPr>
                <w:rFonts w:hint="eastAsia"/>
                <w:lang w:eastAsia="en-US"/>
              </w:rPr>
              <w:t xml:space="preserve">BTTI and/or </w:t>
            </w:r>
            <w:r w:rsidRPr="004D0DAA">
              <w:rPr>
                <w:lang w:eastAsia="en-US"/>
              </w:rPr>
              <w:t>RTTI mode</w:t>
            </w:r>
            <w:r w:rsidRPr="004D0DAA">
              <w:rPr>
                <w:rFonts w:hint="eastAsia"/>
                <w:lang w:eastAsia="zh-CN"/>
              </w:rPr>
              <w:t xml:space="preserve"> for uplink</w:t>
            </w:r>
          </w:p>
          <w:p w14:paraId="6E00B85F" w14:textId="77777777" w:rsidR="00711444" w:rsidRPr="004D0DAA" w:rsidRDefault="00711444" w:rsidP="00AA2A4C">
            <w:pPr>
              <w:pStyle w:val="TAL"/>
              <w:rPr>
                <w:rFonts w:hint="eastAsia"/>
                <w:b/>
                <w:lang w:eastAsia="zh-CN"/>
              </w:rPr>
            </w:pPr>
            <w:r w:rsidRPr="004D0DAA">
              <w:rPr>
                <w:b/>
                <w:lang w:eastAsia="zh-CN"/>
              </w:rPr>
              <w:tab/>
            </w:r>
            <w:r w:rsidRPr="004D0DAA">
              <w:rPr>
                <w:b/>
                <w:lang w:eastAsia="zh-CN"/>
              </w:rPr>
              <w:tab/>
            </w:r>
            <w:r w:rsidRPr="004D0DAA">
              <w:rPr>
                <w:b/>
                <w:lang w:eastAsia="zh-CN"/>
              </w:rPr>
              <w:tab/>
            </w:r>
            <w:r w:rsidRPr="004D0DAA">
              <w:rPr>
                <w:b/>
                <w:lang w:eastAsia="zh-CN"/>
              </w:rPr>
              <w:tab/>
            </w:r>
            <w:r w:rsidRPr="004D0DAA">
              <w:rPr>
                <w:b/>
                <w:lang w:eastAsia="zh-CN"/>
              </w:rPr>
              <w:tab/>
            </w:r>
            <w:r w:rsidRPr="004D0DAA">
              <w:rPr>
                <w:b/>
                <w:lang w:eastAsia="zh-CN"/>
              </w:rPr>
              <w:tab/>
            </w:r>
            <w:r w:rsidRPr="004D0DAA">
              <w:rPr>
                <w:lang w:eastAsia="en-US"/>
              </w:rPr>
              <w:t>&lt;</w:t>
            </w:r>
            <w:r w:rsidRPr="004D0DAA">
              <w:rPr>
                <w:b/>
                <w:bCs/>
                <w:lang w:eastAsia="en-US"/>
              </w:rPr>
              <w:t xml:space="preserve"> Multiple Uplink Assignment</w:t>
            </w:r>
            <w:r w:rsidRPr="004D0DAA">
              <w:rPr>
                <w:lang w:eastAsia="en-US"/>
              </w:rPr>
              <w:t xml:space="preserve"> : &lt; Multiple Uplink Assignment 2 struct &gt; &gt;</w:t>
            </w:r>
          </w:p>
          <w:p w14:paraId="2CADFB9D"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lang w:eastAsia="zh-CN"/>
              </w:rPr>
              <w:tab/>
            </w:r>
            <w:r w:rsidRPr="004D0DAA">
              <w:rPr>
                <w:rFonts w:hint="eastAsia"/>
                <w:lang w:eastAsia="zh-CN"/>
              </w:rPr>
              <w:t>}</w:t>
            </w:r>
          </w:p>
          <w:p w14:paraId="299A8D7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29325A3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0BBAA74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12AF04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5F4BF8C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Rel-9</w:t>
            </w:r>
          </w:p>
          <w:p w14:paraId="00934A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&lt; </w:t>
            </w:r>
            <w:r w:rsidRPr="004D0DAA">
              <w:rPr>
                <w:b/>
                <w:lang w:eastAsia="en-US"/>
              </w:rPr>
              <w:t xml:space="preserve">Indication of Upper Layer PDU Start for RLC UM </w:t>
            </w:r>
            <w:r w:rsidRPr="004D0DAA">
              <w:rPr>
                <w:lang w:eastAsia="en-US"/>
              </w:rPr>
              <w:t>: bit  &gt; } ** 0</w:t>
            </w:r>
          </w:p>
          <w:p w14:paraId="2D99102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Enhanced Flexible Timeslot Assignment </w:t>
            </w:r>
            <w:r w:rsidRPr="004D0DAA">
              <w:rPr>
                <w:lang w:eastAsia="en-US"/>
              </w:rPr>
              <w:t>: bit  &gt;</w:t>
            </w:r>
          </w:p>
          <w:p w14:paraId="640E7D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padding bits &gt; }</w:t>
            </w:r>
          </w:p>
          <w:p w14:paraId="1AE7924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p>
          <w:p w14:paraId="40E342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&lt; Non-distribution part error : bit (*) = &lt; no string &gt; &gt; </w:t>
            </w:r>
          </w:p>
          <w:p w14:paraId="6968BBA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71F460A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Message escape : { 10 | 11} bit (*) = &lt; no string &gt; &gt; </w:t>
            </w:r>
            <w:r w:rsidRPr="004D0DAA">
              <w:rPr>
                <w:lang w:eastAsia="en-US"/>
              </w:rPr>
              <w:tab/>
              <w:t xml:space="preserve"> --Extended for future changes</w:t>
            </w:r>
          </w:p>
          <w:p w14:paraId="472C6565"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0D3AAA3D"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Address information part error : bit (*) = &lt; no string &gt; &gt; </w:t>
            </w:r>
          </w:p>
          <w:p w14:paraId="1EA191C5" w14:textId="77777777" w:rsidR="00711444" w:rsidRPr="004D0DAA" w:rsidRDefault="00711444" w:rsidP="00AA2A4C">
            <w:pPr>
              <w:pStyle w:val="TAL"/>
              <w:rPr>
                <w:lang w:eastAsia="en-US"/>
              </w:rPr>
            </w:pPr>
            <w:r w:rsidRPr="004D0DAA">
              <w:rPr>
                <w:lang w:eastAsia="en-US"/>
              </w:rPr>
              <w:tab/>
              <w:t>}</w:t>
            </w:r>
          </w:p>
          <w:p w14:paraId="37620177" w14:textId="77777777" w:rsidR="00711444" w:rsidRPr="004D0DAA" w:rsidRDefault="00711444" w:rsidP="00AA2A4C">
            <w:pPr>
              <w:pStyle w:val="TAL"/>
              <w:rPr>
                <w:lang w:eastAsia="en-US"/>
              </w:rPr>
            </w:pPr>
            <w:r w:rsidRPr="004D0DAA">
              <w:rPr>
                <w:lang w:eastAsia="en-US"/>
              </w:rPr>
              <w:tab/>
              <w:t>! &lt; Distribution part error : bit (*) = &lt; no string &gt; &gt; ;</w:t>
            </w:r>
          </w:p>
          <w:p w14:paraId="45DF1656" w14:textId="77777777" w:rsidR="00711444" w:rsidRPr="004D0DAA" w:rsidRDefault="00711444" w:rsidP="00AA2A4C">
            <w:pPr>
              <w:pStyle w:val="TAL"/>
              <w:rPr>
                <w:lang w:eastAsia="en-US"/>
              </w:rPr>
            </w:pPr>
          </w:p>
        </w:tc>
      </w:tr>
      <w:tr w:rsidR="00711444" w:rsidRPr="004D0DAA" w14:paraId="0059435A" w14:textId="77777777" w:rsidTr="00AA2A4C">
        <w:tblPrEx>
          <w:tblCellMar>
            <w:top w:w="0" w:type="dxa"/>
            <w:bottom w:w="0" w:type="dxa"/>
          </w:tblCellMar>
        </w:tblPrEx>
        <w:trPr>
          <w:cantSplit/>
        </w:trPr>
        <w:tc>
          <w:tcPr>
            <w:tcW w:w="9848" w:type="dxa"/>
          </w:tcPr>
          <w:p w14:paraId="3CFAFC07" w14:textId="77777777" w:rsidR="00711444" w:rsidRPr="004D0DAA" w:rsidRDefault="00711444" w:rsidP="00AA2A4C">
            <w:pPr>
              <w:pStyle w:val="TAL"/>
              <w:rPr>
                <w:lang w:eastAsia="en-US"/>
              </w:rPr>
            </w:pPr>
            <w:r w:rsidRPr="004D0DAA">
              <w:rPr>
                <w:lang w:eastAsia="en-US"/>
              </w:rPr>
              <w:t>&lt; Multiple Downlink Assignment struct &gt; ::=</w:t>
            </w:r>
          </w:p>
          <w:p w14:paraId="03A373B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TIMESLOT_ALLOCATION </w:t>
            </w:r>
            <w:r w:rsidRPr="004D0DAA">
              <w:rPr>
                <w:lang w:eastAsia="en-US"/>
              </w:rPr>
              <w:t>: bit (8) &gt;</w:t>
            </w:r>
          </w:p>
          <w:p w14:paraId="309BA8F2" w14:textId="77777777" w:rsidR="00711444" w:rsidRPr="004D0DAA" w:rsidRDefault="00711444" w:rsidP="00AA2A4C">
            <w:pPr>
              <w:pStyle w:val="TAL"/>
              <w:rPr>
                <w:lang w:eastAsia="en-US"/>
              </w:rPr>
            </w:pPr>
            <w:r w:rsidRPr="004D0DAA">
              <w:rPr>
                <w:lang w:eastAsia="en-US"/>
              </w:rPr>
              <w:tab/>
              <w:t xml:space="preserve">{ 0 | 1 </w:t>
            </w:r>
            <w:r w:rsidRPr="004D0DAA">
              <w:rPr>
                <w:lang w:eastAsia="en-US"/>
              </w:rPr>
              <w:tab/>
              <w:t xml:space="preserve">&lt; </w:t>
            </w:r>
            <w:r w:rsidRPr="004D0DAA">
              <w:rPr>
                <w:b/>
                <w:bCs/>
                <w:lang w:eastAsia="en-US"/>
              </w:rPr>
              <w:t>Uplink Control Timeslot</w:t>
            </w:r>
            <w:r w:rsidRPr="004D0DAA">
              <w:rPr>
                <w:lang w:eastAsia="en-US"/>
              </w:rPr>
              <w:t xml:space="preserve"> : bit (3) &gt; }</w:t>
            </w:r>
          </w:p>
          <w:p w14:paraId="5EAD27D9"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struct &gt; &gt; } ** 0 ;</w:t>
            </w:r>
          </w:p>
          <w:p w14:paraId="33DEAB2A" w14:textId="77777777" w:rsidR="00711444" w:rsidRPr="004D0DAA" w:rsidRDefault="00711444" w:rsidP="00AA2A4C">
            <w:pPr>
              <w:pStyle w:val="TAL"/>
              <w:rPr>
                <w:lang w:eastAsia="en-US"/>
              </w:rPr>
            </w:pPr>
          </w:p>
        </w:tc>
      </w:tr>
      <w:tr w:rsidR="00711444" w:rsidRPr="004D0DAA" w14:paraId="135395E9" w14:textId="77777777" w:rsidTr="00AA2A4C">
        <w:tblPrEx>
          <w:tblCellMar>
            <w:top w:w="0" w:type="dxa"/>
            <w:bottom w:w="0" w:type="dxa"/>
          </w:tblCellMar>
        </w:tblPrEx>
        <w:trPr>
          <w:cantSplit/>
        </w:trPr>
        <w:tc>
          <w:tcPr>
            <w:tcW w:w="9848" w:type="dxa"/>
          </w:tcPr>
          <w:p w14:paraId="7B79860B" w14:textId="77777777" w:rsidR="00711444" w:rsidRPr="004D0DAA" w:rsidRDefault="00711444" w:rsidP="00AA2A4C">
            <w:pPr>
              <w:pStyle w:val="TAL"/>
              <w:rPr>
                <w:lang w:eastAsia="en-US"/>
              </w:rPr>
            </w:pPr>
            <w:r w:rsidRPr="004D0DAA">
              <w:rPr>
                <w:lang w:eastAsia="en-US"/>
              </w:rPr>
              <w:t>&lt; BTTI Multiple Downlink Assignment struct &gt; ::=</w:t>
            </w:r>
          </w:p>
          <w:p w14:paraId="0018569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TIMESLOT_ALLOCATION_C1 </w:t>
            </w:r>
            <w:r w:rsidRPr="004D0DAA">
              <w:rPr>
                <w:lang w:eastAsia="en-US"/>
              </w:rPr>
              <w:t>: bit (8) &gt; }</w:t>
            </w:r>
          </w:p>
          <w:p w14:paraId="40BF048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TIMESLOT_ALLOCATION_C2 </w:t>
            </w:r>
            <w:r w:rsidRPr="004D0DAA">
              <w:rPr>
                <w:lang w:eastAsia="en-US"/>
              </w:rPr>
              <w:t>: bit (8) &gt; }</w:t>
            </w:r>
          </w:p>
          <w:p w14:paraId="7B1D5375"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2F17A19F"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38A01CD1"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717E3F69" w14:textId="77777777" w:rsidR="00711444" w:rsidRPr="004D0DAA" w:rsidRDefault="00711444" w:rsidP="00AA2A4C">
            <w:pPr>
              <w:pStyle w:val="TAL"/>
              <w:rPr>
                <w:lang w:eastAsia="en-US"/>
              </w:rPr>
            </w:pPr>
          </w:p>
        </w:tc>
      </w:tr>
      <w:tr w:rsidR="00711444" w:rsidRPr="004D0DAA" w14:paraId="69E29761" w14:textId="77777777" w:rsidTr="00AA2A4C">
        <w:tblPrEx>
          <w:tblCellMar>
            <w:top w:w="0" w:type="dxa"/>
            <w:bottom w:w="0" w:type="dxa"/>
          </w:tblCellMar>
        </w:tblPrEx>
        <w:trPr>
          <w:cantSplit/>
        </w:trPr>
        <w:tc>
          <w:tcPr>
            <w:tcW w:w="9848" w:type="dxa"/>
          </w:tcPr>
          <w:p w14:paraId="08AABB61" w14:textId="77777777" w:rsidR="00711444" w:rsidRPr="004D0DAA" w:rsidRDefault="00711444" w:rsidP="00AA2A4C">
            <w:pPr>
              <w:pStyle w:val="TAL"/>
              <w:rPr>
                <w:lang w:eastAsia="en-US"/>
              </w:rPr>
            </w:pPr>
            <w:r w:rsidRPr="004D0DAA">
              <w:rPr>
                <w:lang w:eastAsia="en-US"/>
              </w:rPr>
              <w:t>&lt; RTTI Multiple Downlink Assignment SC struct &gt; ::=</w:t>
            </w:r>
          </w:p>
          <w:p w14:paraId="18E32067"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RTTI_DOWNLINK_PDCH_PAIR_ASSIGNMENT_SC </w:t>
            </w:r>
            <w:r w:rsidRPr="004D0DAA">
              <w:rPr>
                <w:szCs w:val="18"/>
                <w:lang w:eastAsia="en-US"/>
              </w:rPr>
              <w:t>: bit (4) &gt;</w:t>
            </w:r>
          </w:p>
          <w:p w14:paraId="5C5ED0AE"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3C788511"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7695BF8E" w14:textId="77777777" w:rsidR="00711444" w:rsidRPr="004D0DAA" w:rsidRDefault="00711444" w:rsidP="00AA2A4C">
            <w:pPr>
              <w:pStyle w:val="TAL"/>
              <w:rPr>
                <w:lang w:eastAsia="en-US"/>
              </w:rPr>
            </w:pPr>
          </w:p>
        </w:tc>
      </w:tr>
      <w:tr w:rsidR="00711444" w:rsidRPr="004D0DAA" w14:paraId="4A60930B" w14:textId="77777777" w:rsidTr="00AA2A4C">
        <w:tblPrEx>
          <w:tblCellMar>
            <w:top w:w="0" w:type="dxa"/>
            <w:bottom w:w="0" w:type="dxa"/>
          </w:tblCellMar>
        </w:tblPrEx>
        <w:trPr>
          <w:cantSplit/>
        </w:trPr>
        <w:tc>
          <w:tcPr>
            <w:tcW w:w="9848" w:type="dxa"/>
          </w:tcPr>
          <w:p w14:paraId="34D65A8D" w14:textId="77777777" w:rsidR="00711444" w:rsidRPr="004D0DAA" w:rsidRDefault="00711444" w:rsidP="00AA2A4C">
            <w:pPr>
              <w:pStyle w:val="TAL"/>
              <w:rPr>
                <w:lang w:eastAsia="en-US"/>
              </w:rPr>
            </w:pPr>
            <w:r w:rsidRPr="004D0DAA">
              <w:rPr>
                <w:lang w:eastAsia="en-US"/>
              </w:rPr>
              <w:lastRenderedPageBreak/>
              <w:t>&lt; RTTI Multiple Downlink Assignment DC struct &gt; ::=</w:t>
            </w:r>
          </w:p>
          <w:p w14:paraId="1E5CA5CC"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RTTI_DOWNLINK_PDCH_PAIR_ASSIGNMENT_DC </w:t>
            </w:r>
            <w:r w:rsidRPr="004D0DAA">
              <w:rPr>
                <w:szCs w:val="18"/>
                <w:lang w:eastAsia="en-US"/>
              </w:rPr>
              <w:t>: bit (8) &gt;</w:t>
            </w:r>
          </w:p>
          <w:p w14:paraId="63513D07"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3E9F1F0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7976B93E"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5AAD6DF7" w14:textId="77777777" w:rsidR="00711444" w:rsidRPr="004D0DAA" w:rsidRDefault="00711444" w:rsidP="00AA2A4C">
            <w:pPr>
              <w:pStyle w:val="TAL"/>
              <w:rPr>
                <w:lang w:eastAsia="en-US"/>
              </w:rPr>
            </w:pPr>
          </w:p>
        </w:tc>
      </w:tr>
      <w:tr w:rsidR="00711444" w:rsidRPr="004D0DAA" w14:paraId="29CD0E22" w14:textId="77777777" w:rsidTr="00AA2A4C">
        <w:tblPrEx>
          <w:tblCellMar>
            <w:top w:w="0" w:type="dxa"/>
            <w:bottom w:w="0" w:type="dxa"/>
          </w:tblCellMar>
        </w:tblPrEx>
        <w:trPr>
          <w:cantSplit/>
        </w:trPr>
        <w:tc>
          <w:tcPr>
            <w:tcW w:w="9848" w:type="dxa"/>
          </w:tcPr>
          <w:p w14:paraId="75F5DF90" w14:textId="77777777" w:rsidR="00711444" w:rsidRPr="004D0DAA" w:rsidRDefault="00711444" w:rsidP="00AA2A4C">
            <w:pPr>
              <w:pStyle w:val="TAL"/>
              <w:rPr>
                <w:lang w:eastAsia="en-US"/>
              </w:rPr>
            </w:pPr>
            <w:r w:rsidRPr="004D0DAA">
              <w:rPr>
                <w:lang w:eastAsia="en-US"/>
              </w:rPr>
              <w:t>&lt; Downlink TBF assignment struct &gt; :: =</w:t>
            </w:r>
          </w:p>
          <w:p w14:paraId="748E9DF5"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RB Id</w:t>
            </w:r>
            <w:r w:rsidRPr="004D0DAA">
              <w:rPr>
                <w:lang w:eastAsia="en-US"/>
              </w:rPr>
              <w:t xml:space="preserve"> : bit (5) &gt;</w:t>
            </w:r>
          </w:p>
          <w:p w14:paraId="1E4EA995" w14:textId="77777777" w:rsidR="00711444" w:rsidRPr="004D0DAA" w:rsidRDefault="00711444" w:rsidP="00AA2A4C">
            <w:pPr>
              <w:pStyle w:val="TAL"/>
              <w:rPr>
                <w:lang w:val="fr-FR" w:eastAsia="en-US"/>
              </w:rPr>
            </w:pPr>
            <w:r w:rsidRPr="004D0DAA">
              <w:rPr>
                <w:lang w:eastAsia="en-US"/>
              </w:rPr>
              <w:tab/>
            </w:r>
            <w:r w:rsidRPr="004D0DAA">
              <w:rPr>
                <w:lang w:val="fr-FR" w:eastAsia="en-US"/>
              </w:rPr>
              <w:t>| 1</w:t>
            </w:r>
            <w:r w:rsidRPr="004D0DAA">
              <w:rPr>
                <w:lang w:val="fr-FR" w:eastAsia="en-US"/>
              </w:rPr>
              <w:tab/>
              <w:t xml:space="preserve">&lt; </w:t>
            </w:r>
            <w:r w:rsidRPr="004D0DAA">
              <w:rPr>
                <w:b/>
                <w:bCs/>
                <w:lang w:val="fr-FR" w:eastAsia="en-US"/>
              </w:rPr>
              <w:t>PFI</w:t>
            </w:r>
            <w:r w:rsidRPr="004D0DAA">
              <w:rPr>
                <w:lang w:val="fr-FR" w:eastAsia="en-US"/>
              </w:rPr>
              <w:t xml:space="preserve"> : bit (7) &gt; </w:t>
            </w:r>
          </w:p>
          <w:p w14:paraId="4ACC6A0F"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1F0D8C6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w:t>
            </w:r>
            <w:r w:rsidRPr="004D0DAA">
              <w:rPr>
                <w:lang w:eastAsia="en-US"/>
              </w:rPr>
              <w:tab/>
              <w:t xml:space="preserve">&lt; </w:t>
            </w:r>
            <w:r w:rsidRPr="004D0DAA">
              <w:rPr>
                <w:b/>
                <w:bCs/>
                <w:lang w:eastAsia="en-US"/>
              </w:rPr>
              <w:t>Uplink Control Timeslot</w:t>
            </w:r>
            <w:r w:rsidRPr="004D0DAA">
              <w:rPr>
                <w:lang w:eastAsia="en-US"/>
              </w:rPr>
              <w:t xml:space="preserve"> : bit (3) &gt; }</w:t>
            </w:r>
          </w:p>
          <w:p w14:paraId="65CF314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58A2CBB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786EBBB1"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 xml:space="preserve">Downlink </w:t>
            </w:r>
            <w:r w:rsidRPr="004D0DAA">
              <w:rPr>
                <w:b/>
                <w:lang w:eastAsia="en-US"/>
              </w:rPr>
              <w:t>EGPRS Window Size</w:t>
            </w:r>
            <w:r w:rsidRPr="004D0DAA">
              <w:rPr>
                <w:lang w:eastAsia="en-US"/>
              </w:rPr>
              <w:t> : &lt; EGPRS Window Size IE &gt; &gt; } ;</w:t>
            </w:r>
          </w:p>
          <w:p w14:paraId="4B2371AE" w14:textId="77777777" w:rsidR="00711444" w:rsidRPr="004D0DAA" w:rsidRDefault="00711444" w:rsidP="00AA2A4C">
            <w:pPr>
              <w:pStyle w:val="TAL"/>
              <w:rPr>
                <w:lang w:eastAsia="en-US"/>
              </w:rPr>
            </w:pPr>
          </w:p>
        </w:tc>
      </w:tr>
      <w:tr w:rsidR="00711444" w:rsidRPr="004D0DAA" w14:paraId="60224ABD" w14:textId="77777777" w:rsidTr="00AA2A4C">
        <w:tblPrEx>
          <w:tblCellMar>
            <w:top w:w="0" w:type="dxa"/>
            <w:bottom w:w="0" w:type="dxa"/>
          </w:tblCellMar>
        </w:tblPrEx>
        <w:trPr>
          <w:cantSplit/>
        </w:trPr>
        <w:tc>
          <w:tcPr>
            <w:tcW w:w="9848" w:type="dxa"/>
          </w:tcPr>
          <w:p w14:paraId="3AA3F3BC" w14:textId="77777777" w:rsidR="00711444" w:rsidRPr="004D0DAA" w:rsidRDefault="00711444" w:rsidP="00AA2A4C">
            <w:pPr>
              <w:pStyle w:val="TAL"/>
              <w:rPr>
                <w:lang w:eastAsia="en-US"/>
              </w:rPr>
            </w:pPr>
            <w:r w:rsidRPr="004D0DAA">
              <w:rPr>
                <w:lang w:eastAsia="en-US"/>
              </w:rPr>
              <w:t>&lt; Downlink TBF assignment 2 struct &gt; :: =</w:t>
            </w:r>
          </w:p>
          <w:p w14:paraId="3ECA54C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r w:rsidRPr="004D0DAA">
              <w:rPr>
                <w:lang w:eastAsia="en-US"/>
              </w:rPr>
              <w:tab/>
            </w:r>
          </w:p>
          <w:p w14:paraId="73233C3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 </w:t>
            </w:r>
          </w:p>
          <w:p w14:paraId="29C92534"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24A50A0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6A7F0CC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271A24C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3100E09F"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09B60BC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EVENT_BASED_FANR</w:t>
            </w:r>
            <w:r w:rsidRPr="004D0DAA">
              <w:rPr>
                <w:lang w:eastAsia="en-US"/>
              </w:rPr>
              <w:t xml:space="preserve">: bit (1) &gt; </w:t>
            </w:r>
          </w:p>
          <w:p w14:paraId="27EFA1B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Downlink EGPRS Window Size</w:t>
            </w:r>
            <w:r w:rsidRPr="004D0DAA">
              <w:rPr>
                <w:lang w:eastAsia="en-US"/>
              </w:rPr>
              <w:t> : &lt; EGPRS Window Size IE &gt; &gt; } ;</w:t>
            </w:r>
          </w:p>
          <w:p w14:paraId="2F1BFF6A" w14:textId="77777777" w:rsidR="00711444" w:rsidRPr="004D0DAA" w:rsidRDefault="00711444" w:rsidP="00AA2A4C">
            <w:pPr>
              <w:pStyle w:val="TAL"/>
              <w:rPr>
                <w:lang w:eastAsia="en-US"/>
              </w:rPr>
            </w:pPr>
          </w:p>
        </w:tc>
      </w:tr>
      <w:tr w:rsidR="00711444" w:rsidRPr="004D0DAA" w14:paraId="6EFA1464" w14:textId="77777777" w:rsidTr="00AA2A4C">
        <w:tblPrEx>
          <w:tblCellMar>
            <w:top w:w="0" w:type="dxa"/>
            <w:bottom w:w="0" w:type="dxa"/>
          </w:tblCellMar>
        </w:tblPrEx>
        <w:trPr>
          <w:cantSplit/>
        </w:trPr>
        <w:tc>
          <w:tcPr>
            <w:tcW w:w="9848" w:type="dxa"/>
          </w:tcPr>
          <w:p w14:paraId="1E9A2E92" w14:textId="77777777" w:rsidR="00711444" w:rsidRPr="004D0DAA" w:rsidRDefault="00711444" w:rsidP="00AA2A4C">
            <w:pPr>
              <w:pStyle w:val="TAL"/>
              <w:rPr>
                <w:lang w:eastAsia="en-US"/>
              </w:rPr>
            </w:pPr>
            <w:r w:rsidRPr="004D0DAA">
              <w:rPr>
                <w:lang w:eastAsia="en-US"/>
              </w:rPr>
              <w:t>&lt; Multiple Uplink Assignment struct &gt; ::=</w:t>
            </w:r>
          </w:p>
          <w:p w14:paraId="1BF95ED3"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p>
          <w:p w14:paraId="48B77894"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bCs/>
                <w:lang w:val="fr-FR" w:eastAsia="en-US"/>
              </w:rPr>
              <w:t>P0</w:t>
            </w:r>
            <w:r w:rsidRPr="004D0DAA">
              <w:rPr>
                <w:lang w:val="fr-FR" w:eastAsia="en-US"/>
              </w:rPr>
              <w:t xml:space="preserve"> : bit (4) &gt; </w:t>
            </w:r>
          </w:p>
          <w:p w14:paraId="41999AE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xml:space="preserve">&lt; </w:t>
            </w:r>
            <w:r w:rsidRPr="004D0DAA">
              <w:rPr>
                <w:b/>
                <w:bCs/>
                <w:lang w:val="fr-FR" w:eastAsia="en-US"/>
              </w:rPr>
              <w:t>PR_MODE</w:t>
            </w:r>
            <w:r w:rsidRPr="004D0DAA">
              <w:rPr>
                <w:lang w:val="fr-FR" w:eastAsia="en-US"/>
              </w:rPr>
              <w:t> : bit(1) &gt; }</w:t>
            </w:r>
          </w:p>
          <w:p w14:paraId="3CD7B72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bCs/>
                <w:lang w:eastAsia="en-US"/>
              </w:rPr>
              <w:t>TBF Starting Time</w:t>
            </w:r>
            <w:r w:rsidRPr="004D0DAA">
              <w:rPr>
                <w:lang w:eastAsia="en-US"/>
              </w:rPr>
              <w:t xml:space="preserve"> : &lt; Starting Frame Number Description IE &gt; &gt; }</w:t>
            </w:r>
          </w:p>
          <w:p w14:paraId="3A993D76"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Global Timeslot description</w:t>
            </w:r>
            <w:r w:rsidRPr="004D0DAA">
              <w:rPr>
                <w:lang w:eastAsia="en-US"/>
              </w:rPr>
              <w:t xml:space="preserve"> : &lt; Timeslot description struct &gt; &gt;</w:t>
            </w:r>
          </w:p>
          <w:p w14:paraId="23D7B4DB" w14:textId="77777777" w:rsidR="00711444" w:rsidRPr="004D0DAA" w:rsidRDefault="00711444" w:rsidP="00AA2A4C">
            <w:pPr>
              <w:pStyle w:val="TAL"/>
              <w:rPr>
                <w:lang w:eastAsia="en-US"/>
              </w:rPr>
            </w:pPr>
            <w:r w:rsidRPr="004D0DAA">
              <w:rPr>
                <w:lang w:eastAsia="en-US"/>
              </w:rPr>
              <w:tab/>
            </w:r>
            <w:r w:rsidRPr="004D0DAA">
              <w:rPr>
                <w:lang w:eastAsia="en-US"/>
              </w:rPr>
              <w:tab/>
              <w:t xml:space="preserve">{ 1 &lt; </w:t>
            </w:r>
            <w:r w:rsidRPr="004D0DAA">
              <w:rPr>
                <w:b/>
                <w:bCs/>
                <w:lang w:eastAsia="en-US"/>
              </w:rPr>
              <w:t>Uplink TBF Assignment</w:t>
            </w:r>
            <w:r w:rsidRPr="004D0DAA">
              <w:rPr>
                <w:lang w:eastAsia="en-US"/>
              </w:rPr>
              <w:t xml:space="preserve"> : &lt; Uplink TBF Assignment struct &gt; &gt; } ** 0 } ;</w:t>
            </w:r>
          </w:p>
          <w:p w14:paraId="2541F8FF" w14:textId="77777777" w:rsidR="00711444" w:rsidRPr="004D0DAA" w:rsidRDefault="00711444" w:rsidP="00AA2A4C">
            <w:pPr>
              <w:pStyle w:val="TAL"/>
              <w:rPr>
                <w:lang w:eastAsia="en-US"/>
              </w:rPr>
            </w:pPr>
          </w:p>
        </w:tc>
      </w:tr>
      <w:tr w:rsidR="00711444" w:rsidRPr="004D0DAA" w14:paraId="025D5B30" w14:textId="77777777" w:rsidTr="00AA2A4C">
        <w:tblPrEx>
          <w:tblCellMar>
            <w:top w:w="0" w:type="dxa"/>
            <w:bottom w:w="0" w:type="dxa"/>
          </w:tblCellMar>
        </w:tblPrEx>
        <w:trPr>
          <w:cantSplit/>
        </w:trPr>
        <w:tc>
          <w:tcPr>
            <w:tcW w:w="9848" w:type="dxa"/>
          </w:tcPr>
          <w:p w14:paraId="0AED44A8" w14:textId="77777777" w:rsidR="00711444" w:rsidRPr="004D0DAA" w:rsidRDefault="00711444" w:rsidP="00AA2A4C">
            <w:pPr>
              <w:pStyle w:val="TAL"/>
              <w:rPr>
                <w:lang w:eastAsia="en-US"/>
              </w:rPr>
            </w:pPr>
            <w:r w:rsidRPr="004D0DAA">
              <w:rPr>
                <w:lang w:eastAsia="en-US"/>
              </w:rPr>
              <w:t>&lt; Multiple Uplink Assignment 2 struct &gt; ::=</w:t>
            </w:r>
          </w:p>
          <w:p w14:paraId="4B6F8C1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p>
          <w:p w14:paraId="115F1F63" w14:textId="77777777" w:rsidR="00711444" w:rsidRPr="004D0DAA" w:rsidRDefault="00711444" w:rsidP="00AA2A4C">
            <w:pPr>
              <w:pStyle w:val="TAL"/>
              <w:rPr>
                <w:lang w:val="fr-FR" w:eastAsia="en-US"/>
              </w:rPr>
            </w:pP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P0_C1</w:t>
            </w:r>
            <w:r w:rsidRPr="004D0DAA">
              <w:rPr>
                <w:lang w:val="fr-FR" w:eastAsia="en-US"/>
              </w:rPr>
              <w:t xml:space="preserve"> : bit (4) &gt; </w:t>
            </w:r>
          </w:p>
          <w:p w14:paraId="0943CD3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xml:space="preserve">&lt; </w:t>
            </w:r>
            <w:r w:rsidRPr="004D0DAA">
              <w:rPr>
                <w:b/>
                <w:bCs/>
                <w:lang w:val="fr-FR" w:eastAsia="en-US"/>
              </w:rPr>
              <w:t>PR_MODE_C1</w:t>
            </w:r>
            <w:r w:rsidRPr="004D0DAA">
              <w:rPr>
                <w:lang w:val="fr-FR" w:eastAsia="en-US"/>
              </w:rPr>
              <w:t xml:space="preserve"> : bit(1) &gt; </w:t>
            </w:r>
          </w:p>
          <w:p w14:paraId="09239B6F"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0 | 1</w:t>
            </w:r>
            <w:r w:rsidRPr="004D0DAA">
              <w:rPr>
                <w:lang w:val="fr-FR" w:eastAsia="en-US"/>
              </w:rPr>
              <w:tab/>
              <w:t xml:space="preserve">&lt; </w:t>
            </w:r>
            <w:r w:rsidRPr="004D0DAA">
              <w:rPr>
                <w:b/>
                <w:bCs/>
                <w:lang w:val="fr-FR" w:eastAsia="en-US"/>
              </w:rPr>
              <w:t>P0_C2</w:t>
            </w:r>
            <w:r w:rsidRPr="004D0DAA">
              <w:rPr>
                <w:lang w:val="fr-FR" w:eastAsia="en-US"/>
              </w:rPr>
              <w:t xml:space="preserve"> : bit (4) &gt; </w:t>
            </w:r>
          </w:p>
          <w:p w14:paraId="360EA181"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bCs/>
                <w:lang w:val="fr-FR" w:eastAsia="en-US"/>
              </w:rPr>
              <w:t>PR_MODE_C2</w:t>
            </w:r>
            <w:r w:rsidRPr="004D0DAA">
              <w:rPr>
                <w:lang w:val="fr-FR" w:eastAsia="en-US"/>
              </w:rPr>
              <w:t> : bit(1) &gt; } }</w:t>
            </w:r>
          </w:p>
          <w:p w14:paraId="6A56A3D5" w14:textId="77777777" w:rsidR="00711444" w:rsidRPr="004D0DAA" w:rsidRDefault="00711444" w:rsidP="00AA2A4C">
            <w:pPr>
              <w:pStyle w:val="TAL"/>
              <w:rPr>
                <w:rFonts w:cs="Arial"/>
                <w:szCs w:val="18"/>
                <w:lang w:eastAsia="en-US"/>
              </w:rPr>
            </w:pPr>
            <w:r w:rsidRPr="004D0DAA">
              <w:rPr>
                <w:lang w:val="fr-FR" w:eastAsia="en-US"/>
              </w:rPr>
              <w:tab/>
            </w:r>
            <w:r w:rsidRPr="004D0DAA">
              <w:rPr>
                <w:rFonts w:cs="Arial"/>
                <w:szCs w:val="18"/>
                <w:lang w:eastAsia="en-US"/>
              </w:rPr>
              <w:t xml:space="preserve">{ 0 | 1 </w:t>
            </w:r>
            <w:r w:rsidRPr="004D0DAA">
              <w:rPr>
                <w:lang w:eastAsia="en-US"/>
              </w:rPr>
              <w:tab/>
            </w:r>
            <w:r w:rsidRPr="004D0DAA">
              <w:rPr>
                <w:rFonts w:cs="Arial"/>
                <w:szCs w:val="18"/>
                <w:lang w:eastAsia="en-US"/>
              </w:rPr>
              <w:t xml:space="preserve">-- </w:t>
            </w:r>
            <w:r w:rsidRPr="004D0DAA">
              <w:rPr>
                <w:rFonts w:cs="Arial"/>
                <w:i/>
                <w:iCs/>
                <w:szCs w:val="18"/>
                <w:lang w:eastAsia="en-US"/>
              </w:rPr>
              <w:t xml:space="preserve">'1' indicates that </w:t>
            </w:r>
            <w:r w:rsidRPr="004D0DAA">
              <w:rPr>
                <w:i/>
                <w:iCs/>
                <w:lang w:eastAsia="en-US"/>
              </w:rPr>
              <w:t>FANR is activated</w:t>
            </w:r>
          </w:p>
          <w:p w14:paraId="18D817A5"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rFonts w:cs="Arial"/>
                <w:szCs w:val="18"/>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350FD2AF"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rFonts w:cs="Arial"/>
                <w:szCs w:val="18"/>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3B1250D3"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lang w:eastAsia="en-US"/>
              </w:rPr>
              <w:t xml:space="preserve">&lt; </w:t>
            </w:r>
            <w:r w:rsidRPr="004D0DAA">
              <w:rPr>
                <w:b/>
                <w:lang w:eastAsia="en-US"/>
              </w:rPr>
              <w:t>TSH</w:t>
            </w:r>
            <w:r w:rsidRPr="004D0DAA">
              <w:rPr>
                <w:lang w:eastAsia="en-US"/>
              </w:rPr>
              <w:t xml:space="preserve"> : bit (2) &gt;  } }</w:t>
            </w:r>
          </w:p>
          <w:p w14:paraId="48B392E8" w14:textId="77777777" w:rsidR="00711444" w:rsidRPr="004D0DAA" w:rsidRDefault="00711444" w:rsidP="00AA2A4C">
            <w:pPr>
              <w:pStyle w:val="TAL"/>
              <w:rPr>
                <w:lang w:eastAsia="en-US"/>
              </w:rPr>
            </w:pPr>
            <w:r w:rsidRPr="004D0DAA">
              <w:rPr>
                <w:lang w:eastAsia="en-US"/>
              </w:rPr>
              <w:tab/>
              <w:t xml:space="preserve">{ 0 | 1 </w:t>
            </w:r>
          </w:p>
          <w:p w14:paraId="2C17A978"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rFonts w:hint="eastAsia"/>
                <w:lang w:eastAsia="zh-CN"/>
              </w:rPr>
              <w:t xml:space="preserve"> | 1</w:t>
            </w:r>
            <w:r w:rsidRPr="004D0DAA">
              <w:rPr>
                <w:lang w:eastAsia="en-US"/>
              </w:rPr>
              <w:t xml:space="preserve"> </w:t>
            </w:r>
            <w:r w:rsidRPr="004D0DAA">
              <w:rPr>
                <w:lang w:eastAsia="en-US"/>
              </w:rPr>
              <w:tab/>
            </w:r>
            <w:r w:rsidRPr="004D0DAA">
              <w:rPr>
                <w:lang w:eastAsia="en-US"/>
              </w:rPr>
              <w:tab/>
            </w:r>
            <w:r w:rsidRPr="004D0DAA">
              <w:rPr>
                <w:lang w:eastAsia="en-US"/>
              </w:rPr>
              <w:tab/>
            </w:r>
            <w:r w:rsidRPr="004D0DAA">
              <w:rPr>
                <w:lang w:eastAsia="en-US"/>
              </w:rPr>
              <w:tab/>
              <w:t>-- BTTI mode</w:t>
            </w:r>
          </w:p>
          <w:p w14:paraId="22CD3C9C"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t xml:space="preserve"> &lt; </w:t>
            </w:r>
            <w:r w:rsidRPr="004D0DAA">
              <w:rPr>
                <w:b/>
                <w:bCs/>
                <w:lang w:eastAsia="en-US"/>
              </w:rPr>
              <w:t>Global Timeslot description</w:t>
            </w:r>
            <w:r w:rsidRPr="004D0DAA">
              <w:rPr>
                <w:lang w:eastAsia="en-US"/>
              </w:rPr>
              <w:t xml:space="preserve"> : &lt; Timeslot description 2 struct &gt; &gt; </w:t>
            </w:r>
          </w:p>
          <w:p w14:paraId="369AE23F" w14:textId="77777777" w:rsidR="00711444" w:rsidRPr="004D0DAA" w:rsidRDefault="00711444" w:rsidP="00AA2A4C">
            <w:pPr>
              <w:pStyle w:val="TAL"/>
              <w:rPr>
                <w:rFonts w:hint="eastAsia"/>
                <w:lang w:eastAsia="zh-CN"/>
              </w:rPr>
            </w:pPr>
            <w:r w:rsidRPr="004D0DAA">
              <w:rPr>
                <w:lang w:eastAsia="en-US"/>
              </w:rPr>
              <w:t xml:space="preserve">{ 1 &lt; </w:t>
            </w:r>
            <w:r w:rsidRPr="004D0DAA">
              <w:rPr>
                <w:b/>
                <w:bCs/>
                <w:lang w:eastAsia="en-US"/>
              </w:rPr>
              <w:t>Uplink TBF Assignment</w:t>
            </w:r>
            <w:r w:rsidRPr="004D0DAA">
              <w:rPr>
                <w:lang w:eastAsia="en-US"/>
              </w:rPr>
              <w:t xml:space="preserve"> : &lt; Uplink TBF Assignment 2 struct &gt; &gt; } ** 0</w:t>
            </w:r>
            <w:r w:rsidRPr="004D0DAA">
              <w:rPr>
                <w:rFonts w:hint="eastAsia"/>
                <w:lang w:eastAsia="zh-CN"/>
              </w:rPr>
              <w:t xml:space="preserve"> </w:t>
            </w:r>
          </w:p>
          <w:p w14:paraId="6EE65FDA" w14:textId="77777777" w:rsidR="00711444" w:rsidRPr="004D0DAA" w:rsidRDefault="00711444" w:rsidP="00AA2A4C">
            <w:pPr>
              <w:pStyle w:val="TAL"/>
              <w:rPr>
                <w:rFonts w:hint="eastAsia"/>
                <w:lang w:eastAsia="zh-CN"/>
              </w:rPr>
            </w:pPr>
            <w:r w:rsidRPr="004D0DAA">
              <w:rPr>
                <w:rFonts w:hint="eastAsia"/>
                <w:lang w:eastAsia="zh-CN"/>
              </w:rPr>
              <w:t>}</w:t>
            </w:r>
          </w:p>
          <w:p w14:paraId="16F82DA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rFonts w:hint="eastAsia"/>
                <w:lang w:eastAsia="zh-CN"/>
              </w:rPr>
              <w:t xml:space="preserve"> { 0 </w:t>
            </w:r>
            <w:r w:rsidRPr="004D0DAA">
              <w:rPr>
                <w:lang w:eastAsia="en-US"/>
              </w:rPr>
              <w:t xml:space="preserve">| 1 </w:t>
            </w:r>
            <w:r w:rsidRPr="004D0DAA">
              <w:rPr>
                <w:lang w:eastAsia="en-US"/>
              </w:rPr>
              <w:tab/>
            </w:r>
            <w:r w:rsidRPr="004D0DAA">
              <w:rPr>
                <w:lang w:eastAsia="en-US"/>
              </w:rPr>
              <w:tab/>
            </w:r>
            <w:r w:rsidRPr="004D0DAA">
              <w:rPr>
                <w:lang w:eastAsia="en-US"/>
              </w:rPr>
              <w:tab/>
            </w:r>
            <w:r w:rsidRPr="004D0DAA">
              <w:rPr>
                <w:lang w:eastAsia="en-US"/>
              </w:rPr>
              <w:tab/>
              <w:t>-- RTTI mode</w:t>
            </w:r>
          </w:p>
          <w:p w14:paraId="49FC121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p>
          <w:p w14:paraId="664F05E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parameters</w:t>
            </w:r>
            <w:r w:rsidRPr="004D0DAA">
              <w:rPr>
                <w:lang w:eastAsia="en-US"/>
              </w:rPr>
              <w:t xml:space="preserve"> </w:t>
            </w:r>
          </w:p>
          <w:p w14:paraId="00A31B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power control parameters</w:t>
            </w:r>
            <w:r w:rsidRPr="004D0DAA">
              <w:rPr>
                <w:lang w:eastAsia="en-US"/>
              </w:rPr>
              <w:t xml:space="preserve"> </w:t>
            </w:r>
          </w:p>
          <w:p w14:paraId="0C6120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ALPHA_C1</w:t>
            </w:r>
            <w:r w:rsidRPr="004D0DAA">
              <w:rPr>
                <w:lang w:eastAsia="en-US"/>
              </w:rPr>
              <w:t xml:space="preserve"> : bit (4) &gt;</w:t>
            </w:r>
          </w:p>
          <w:p w14:paraId="05280BB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ALPHA_C2</w:t>
            </w:r>
            <w:r w:rsidRPr="004D0DAA">
              <w:rPr>
                <w:lang w:eastAsia="en-US"/>
              </w:rPr>
              <w:t xml:space="preserve"> : bit (4) &gt; }</w:t>
            </w:r>
          </w:p>
          <w:p w14:paraId="6C573D1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N_PAIRS</w:t>
            </w:r>
            <w:r w:rsidRPr="004D0DAA">
              <w:rPr>
                <w:lang w:eastAsia="en-US"/>
              </w:rPr>
              <w:t xml:space="preserve"> : bit (3) &gt;</w:t>
            </w:r>
          </w:p>
          <w:p w14:paraId="69CEB0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GAMMA</w:t>
            </w:r>
            <w:r w:rsidRPr="004D0DAA">
              <w:rPr>
                <w:lang w:eastAsia="en-US"/>
              </w:rPr>
              <w:t xml:space="preserve"> : bit (5) &gt; } * (val(</w:t>
            </w:r>
            <w:r w:rsidRPr="004D0DAA">
              <w:rPr>
                <w:b/>
                <w:lang w:eastAsia="en-US"/>
              </w:rPr>
              <w:t>N_PAIRS</w:t>
            </w:r>
            <w:r w:rsidRPr="004D0DAA">
              <w:rPr>
                <w:lang w:eastAsia="en-US"/>
              </w:rPr>
              <w:t xml:space="preserve">) + 1) </w:t>
            </w:r>
          </w:p>
          <w:p w14:paraId="396333D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i/>
                <w:lang w:eastAsia="en-US"/>
              </w:rPr>
              <w:t>-- RTTI USF, or no second GAMMA values are given in case of RTTI mode with BTTI USF</w:t>
            </w:r>
          </w:p>
          <w:p w14:paraId="2DC8DC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i/>
                <w:lang w:eastAsia="en-US"/>
              </w:rPr>
              <w:t>-- Second GAMMA values are given in case of RTTI mode with BTTI USF</w:t>
            </w:r>
            <w:r w:rsidRPr="004D0DAA">
              <w:rPr>
                <w:lang w:eastAsia="en-US"/>
              </w:rPr>
              <w:t xml:space="preserve"> </w:t>
            </w:r>
          </w:p>
          <w:p w14:paraId="0DBE391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GAMMA</w:t>
            </w:r>
            <w:r w:rsidRPr="004D0DAA">
              <w:rPr>
                <w:lang w:eastAsia="en-US"/>
              </w:rPr>
              <w:t xml:space="preserve"> : bit (5) &gt; } * (val(</w:t>
            </w:r>
            <w:r w:rsidRPr="004D0DAA">
              <w:rPr>
                <w:b/>
                <w:lang w:eastAsia="en-US"/>
              </w:rPr>
              <w:t>N_PAIRS</w:t>
            </w:r>
            <w:r w:rsidRPr="004D0DAA">
              <w:rPr>
                <w:lang w:eastAsia="en-US"/>
              </w:rPr>
              <w:t>) + 1)</w:t>
            </w:r>
          </w:p>
          <w:p w14:paraId="559FFC5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p w14:paraId="75A18F0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zh-CN"/>
              </w:rPr>
              <w:tab/>
            </w:r>
            <w:r w:rsidRPr="004D0DAA">
              <w:rPr>
                <w:lang w:eastAsia="en-US"/>
              </w:rPr>
              <w:t>}</w:t>
            </w:r>
          </w:p>
          <w:p w14:paraId="51F889BC"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zh-CN"/>
              </w:rPr>
              <w:tab/>
            </w:r>
            <w:r w:rsidRPr="004D0DAA">
              <w:rPr>
                <w:lang w:eastAsia="en-US"/>
              </w:rPr>
              <w:t xml:space="preserve">{ 1 &lt; </w:t>
            </w:r>
            <w:r w:rsidRPr="004D0DAA">
              <w:rPr>
                <w:b/>
                <w:bCs/>
                <w:lang w:eastAsia="en-US"/>
              </w:rPr>
              <w:t>Uplink TBF Assignment</w:t>
            </w:r>
            <w:r w:rsidRPr="004D0DAA">
              <w:rPr>
                <w:lang w:eastAsia="en-US"/>
              </w:rPr>
              <w:t xml:space="preserve"> : &lt; Uplink TBF Assignment 2 struct &gt; &gt;</w:t>
            </w:r>
          </w:p>
          <w:p w14:paraId="46C8BFBF"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zh-CN"/>
              </w:rPr>
              <w:tab/>
            </w:r>
            <w:r w:rsidRPr="004D0DAA">
              <w:rPr>
                <w:lang w:eastAsia="zh-CN"/>
              </w:rPr>
              <w:tab/>
            </w:r>
            <w:r w:rsidRPr="004D0DAA">
              <w:rPr>
                <w:szCs w:val="18"/>
                <w:lang w:eastAsia="en-US"/>
              </w:rPr>
              <w:t xml:space="preserve">&lt; </w:t>
            </w:r>
            <w:r w:rsidRPr="004D0DAA">
              <w:rPr>
                <w:b/>
                <w:bCs/>
                <w:szCs w:val="18"/>
                <w:lang w:eastAsia="en-US"/>
              </w:rPr>
              <w:t xml:space="preserve">RTTI_USF_MODE </w:t>
            </w:r>
            <w:r w:rsidRPr="004D0DAA">
              <w:rPr>
                <w:szCs w:val="18"/>
                <w:lang w:eastAsia="en-US"/>
              </w:rPr>
              <w:t>: bit (1) &gt;</w:t>
            </w:r>
            <w:r w:rsidRPr="004D0DAA">
              <w:rPr>
                <w:rFonts w:hint="eastAsia"/>
                <w:szCs w:val="18"/>
                <w:lang w:eastAsia="zh-CN"/>
              </w:rPr>
              <w:t xml:space="preserve"> </w:t>
            </w:r>
            <w:r w:rsidRPr="004D0DAA">
              <w:rPr>
                <w:lang w:eastAsia="en-US"/>
              </w:rPr>
              <w:t xml:space="preserve"> } ** 0</w:t>
            </w:r>
          </w:p>
          <w:p w14:paraId="1E70E30C" w14:textId="77777777" w:rsidR="00711444" w:rsidRPr="004D0DAA" w:rsidRDefault="00711444" w:rsidP="00AA2A4C">
            <w:pPr>
              <w:pStyle w:val="TAL"/>
              <w:rPr>
                <w:rFonts w:hint="eastAsia"/>
                <w:lang w:eastAsia="zh-CN"/>
              </w:rPr>
            </w:pPr>
            <w:r w:rsidRPr="004D0DAA">
              <w:rPr>
                <w:i/>
                <w:lang w:eastAsia="zh-CN"/>
              </w:rPr>
              <w:tab/>
            </w:r>
            <w:r w:rsidRPr="004D0DAA">
              <w:rPr>
                <w:i/>
                <w:lang w:eastAsia="zh-CN"/>
              </w:rPr>
              <w:tab/>
            </w:r>
            <w:r w:rsidRPr="004D0DAA">
              <w:rPr>
                <w:rFonts w:hint="eastAsia"/>
                <w:lang w:eastAsia="zh-CN"/>
              </w:rPr>
              <w:t>}</w:t>
            </w:r>
          </w:p>
          <w:p w14:paraId="6BC302F9" w14:textId="77777777" w:rsidR="00711444" w:rsidRPr="004D0DAA" w:rsidRDefault="00711444" w:rsidP="00AA2A4C">
            <w:pPr>
              <w:pStyle w:val="TAL"/>
              <w:rPr>
                <w:lang w:eastAsia="en-US"/>
              </w:rPr>
            </w:pPr>
            <w:r w:rsidRPr="004D0DAA">
              <w:rPr>
                <w:lang w:eastAsia="en-US"/>
              </w:rPr>
              <w:tab/>
              <w:t xml:space="preserve"> } ;</w:t>
            </w:r>
          </w:p>
          <w:p w14:paraId="3355EC77" w14:textId="77777777" w:rsidR="00711444" w:rsidRPr="004D0DAA" w:rsidRDefault="00711444" w:rsidP="00AA2A4C">
            <w:pPr>
              <w:pStyle w:val="TAL"/>
              <w:rPr>
                <w:lang w:eastAsia="en-US"/>
              </w:rPr>
            </w:pPr>
          </w:p>
        </w:tc>
      </w:tr>
      <w:tr w:rsidR="00711444" w:rsidRPr="004D0DAA" w14:paraId="75993FEF" w14:textId="77777777" w:rsidTr="00AA2A4C">
        <w:tblPrEx>
          <w:tblCellMar>
            <w:top w:w="0" w:type="dxa"/>
            <w:bottom w:w="0" w:type="dxa"/>
          </w:tblCellMar>
        </w:tblPrEx>
        <w:trPr>
          <w:cantSplit/>
        </w:trPr>
        <w:tc>
          <w:tcPr>
            <w:tcW w:w="9848" w:type="dxa"/>
          </w:tcPr>
          <w:p w14:paraId="527FFEA1" w14:textId="77777777" w:rsidR="00711444" w:rsidRPr="004D0DAA" w:rsidRDefault="00711444" w:rsidP="00AA2A4C">
            <w:pPr>
              <w:pStyle w:val="TAL"/>
              <w:rPr>
                <w:lang w:eastAsia="en-US"/>
              </w:rPr>
            </w:pPr>
            <w:r w:rsidRPr="004D0DAA">
              <w:rPr>
                <w:lang w:eastAsia="en-US"/>
              </w:rPr>
              <w:lastRenderedPageBreak/>
              <w:t>&lt; Timeslot description struct &gt; ::=</w:t>
            </w:r>
          </w:p>
          <w:p w14:paraId="13583731"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3A4A0EF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w:t>
            </w:r>
            <w:r w:rsidRPr="004D0DAA">
              <w:rPr>
                <w:lang w:eastAsia="en-US"/>
              </w:rPr>
              <w:t xml:space="preserve"> : bit (8) &gt;</w:t>
            </w:r>
          </w:p>
          <w:p w14:paraId="462D1477"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i/>
                <w:iCs/>
                <w:lang w:eastAsia="en-US"/>
              </w:rPr>
              <w:t>with power control params</w:t>
            </w:r>
          </w:p>
          <w:p w14:paraId="4A76E0F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w:t>
            </w:r>
            <w:r w:rsidRPr="004D0DAA">
              <w:rPr>
                <w:lang w:eastAsia="en-US"/>
              </w:rPr>
              <w:t xml:space="preserve"> : bit (4) &gt;</w:t>
            </w:r>
            <w:r w:rsidRPr="004D0DAA">
              <w:rPr>
                <w:lang w:eastAsia="en-US"/>
              </w:rPr>
              <w:tab/>
            </w:r>
            <w:r w:rsidRPr="004D0DAA">
              <w:rPr>
                <w:lang w:eastAsia="en-US"/>
              </w:rPr>
              <w:tab/>
            </w:r>
          </w:p>
          <w:p w14:paraId="4DA02A8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w:t>
            </w:r>
            <w:r w:rsidRPr="004D0DAA">
              <w:rPr>
                <w:lang w:eastAsia="en-US"/>
              </w:rPr>
              <w:t xml:space="preserve"> : bit (5) &gt; } </w:t>
            </w:r>
          </w:p>
          <w:p w14:paraId="148B967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w:t>
            </w:r>
            <w:r w:rsidRPr="004D0DAA">
              <w:rPr>
                <w:lang w:eastAsia="en-US"/>
              </w:rPr>
              <w:t xml:space="preserve"> : bit (5) &gt; }</w:t>
            </w:r>
          </w:p>
          <w:p w14:paraId="4A1839E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w:t>
            </w:r>
            <w:r w:rsidRPr="004D0DAA">
              <w:rPr>
                <w:lang w:eastAsia="en-US"/>
              </w:rPr>
              <w:t xml:space="preserve"> : bit (5) &gt; }</w:t>
            </w:r>
          </w:p>
          <w:p w14:paraId="1E71671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w:t>
            </w:r>
            <w:r w:rsidRPr="004D0DAA">
              <w:rPr>
                <w:lang w:eastAsia="en-US"/>
              </w:rPr>
              <w:t xml:space="preserve"> : bit (5) &gt; }</w:t>
            </w:r>
          </w:p>
          <w:p w14:paraId="7F8CF54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w:t>
            </w:r>
            <w:r w:rsidRPr="004D0DAA">
              <w:rPr>
                <w:lang w:eastAsia="en-US"/>
              </w:rPr>
              <w:t xml:space="preserve"> : bit (5) &gt; }</w:t>
            </w:r>
          </w:p>
          <w:p w14:paraId="5DABBFA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w:t>
            </w:r>
            <w:r w:rsidRPr="004D0DAA">
              <w:rPr>
                <w:lang w:eastAsia="en-US"/>
              </w:rPr>
              <w:t xml:space="preserve"> : bit (5) &gt; }</w:t>
            </w:r>
          </w:p>
          <w:p w14:paraId="20E3349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w:t>
            </w:r>
            <w:r w:rsidRPr="004D0DAA">
              <w:rPr>
                <w:lang w:eastAsia="en-US"/>
              </w:rPr>
              <w:t xml:space="preserve"> : bit (5) &gt; }</w:t>
            </w:r>
          </w:p>
          <w:p w14:paraId="4764778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w:t>
            </w:r>
            <w:r w:rsidRPr="004D0DAA">
              <w:rPr>
                <w:lang w:eastAsia="en-US"/>
              </w:rPr>
              <w:t xml:space="preserve"> : bit (5) &gt; } } ;</w:t>
            </w:r>
          </w:p>
          <w:p w14:paraId="744AD34E" w14:textId="77777777" w:rsidR="00711444" w:rsidRPr="004D0DAA" w:rsidRDefault="00711444" w:rsidP="00AA2A4C">
            <w:pPr>
              <w:pStyle w:val="TAL"/>
              <w:rPr>
                <w:lang w:eastAsia="en-US"/>
              </w:rPr>
            </w:pPr>
          </w:p>
        </w:tc>
      </w:tr>
      <w:tr w:rsidR="00711444" w:rsidRPr="004D0DAA" w14:paraId="2E862F6F" w14:textId="77777777" w:rsidTr="00AA2A4C">
        <w:tblPrEx>
          <w:tblCellMar>
            <w:top w:w="0" w:type="dxa"/>
            <w:bottom w:w="0" w:type="dxa"/>
          </w:tblCellMar>
        </w:tblPrEx>
        <w:trPr>
          <w:cantSplit/>
        </w:trPr>
        <w:tc>
          <w:tcPr>
            <w:tcW w:w="9848" w:type="dxa"/>
          </w:tcPr>
          <w:p w14:paraId="1336A38C" w14:textId="77777777" w:rsidR="00711444" w:rsidRPr="004D0DAA" w:rsidRDefault="00711444" w:rsidP="00AA2A4C">
            <w:pPr>
              <w:pStyle w:val="TAL"/>
              <w:rPr>
                <w:lang w:eastAsia="en-US"/>
              </w:rPr>
            </w:pPr>
            <w:r w:rsidRPr="004D0DAA">
              <w:rPr>
                <w:lang w:eastAsia="en-US"/>
              </w:rPr>
              <w:t>&lt; Timeslot description 2 struct &gt; ::=</w:t>
            </w:r>
          </w:p>
          <w:p w14:paraId="322CDEBE"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7E69F14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MS_TIMESLOT_ALLOCATION_C1</w:t>
            </w:r>
            <w:r w:rsidRPr="004D0DAA">
              <w:rPr>
                <w:lang w:eastAsia="en-US"/>
              </w:rPr>
              <w:t xml:space="preserve"> : bit (8) &gt;</w:t>
            </w:r>
          </w:p>
          <w:p w14:paraId="415AB505"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MS_TIMESLOT_ALLOCATION_C2</w:t>
            </w:r>
            <w:r w:rsidRPr="004D0DAA">
              <w:rPr>
                <w:lang w:eastAsia="en-US"/>
              </w:rPr>
              <w:t xml:space="preserve"> : bit (8) &gt; }</w:t>
            </w:r>
          </w:p>
          <w:p w14:paraId="4FDF5483"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r w:rsidRPr="004D0DAA">
              <w:rPr>
                <w:lang w:eastAsia="en-US"/>
              </w:rPr>
              <w:tab/>
            </w:r>
            <w:r w:rsidRPr="004D0DAA">
              <w:rPr>
                <w:i/>
                <w:iCs/>
                <w:lang w:eastAsia="en-US"/>
              </w:rPr>
              <w:t>with power control params</w:t>
            </w:r>
          </w:p>
          <w:p w14:paraId="45B9FB4F"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ALPHA_C1</w:t>
            </w:r>
            <w:r w:rsidRPr="004D0DAA">
              <w:rPr>
                <w:lang w:eastAsia="en-US"/>
              </w:rPr>
              <w:t xml:space="preserve"> : bit (4) &gt;</w:t>
            </w:r>
            <w:r w:rsidRPr="004D0DAA">
              <w:rPr>
                <w:lang w:eastAsia="en-US"/>
              </w:rPr>
              <w:tab/>
            </w:r>
            <w:r w:rsidRPr="004D0DAA">
              <w:rPr>
                <w:lang w:eastAsia="en-US"/>
              </w:rPr>
              <w:tab/>
            </w:r>
          </w:p>
          <w:p w14:paraId="0AEAD7C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GAMMA_TN0_C1</w:t>
            </w:r>
            <w:r w:rsidRPr="004D0DAA">
              <w:rPr>
                <w:lang w:eastAsia="en-US"/>
              </w:rPr>
              <w:t xml:space="preserve"> : bit (5) &gt; } </w:t>
            </w:r>
          </w:p>
          <w:p w14:paraId="6E63904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GAMMA_TN1_C1</w:t>
            </w:r>
            <w:r w:rsidRPr="004D0DAA">
              <w:rPr>
                <w:lang w:eastAsia="en-US"/>
              </w:rPr>
              <w:t xml:space="preserve"> : bit (5) &gt; }</w:t>
            </w:r>
          </w:p>
          <w:p w14:paraId="7CA1ED9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GAMMA_TN2_C1</w:t>
            </w:r>
            <w:r w:rsidRPr="004D0DAA">
              <w:rPr>
                <w:lang w:eastAsia="en-US"/>
              </w:rPr>
              <w:t xml:space="preserve"> : bit (5) &gt; }</w:t>
            </w:r>
          </w:p>
          <w:p w14:paraId="6B24D44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GAMMA_TN3_C1</w:t>
            </w:r>
            <w:r w:rsidRPr="004D0DAA">
              <w:rPr>
                <w:lang w:eastAsia="en-US"/>
              </w:rPr>
              <w:t xml:space="preserve"> : bit (5) &gt; }</w:t>
            </w:r>
          </w:p>
          <w:p w14:paraId="7EF0B5E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GAMMA_TN4_C1</w:t>
            </w:r>
            <w:r w:rsidRPr="004D0DAA">
              <w:rPr>
                <w:lang w:eastAsia="en-US"/>
              </w:rPr>
              <w:t xml:space="preserve"> : bit (5) &gt; }</w:t>
            </w:r>
          </w:p>
          <w:p w14:paraId="73805B5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GAMMA_TN5_C1</w:t>
            </w:r>
            <w:r w:rsidRPr="004D0DAA">
              <w:rPr>
                <w:lang w:eastAsia="en-US"/>
              </w:rPr>
              <w:t xml:space="preserve"> : bit (5) &gt; }</w:t>
            </w:r>
          </w:p>
          <w:p w14:paraId="1E3C86B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GAMMA_TN6_C1</w:t>
            </w:r>
            <w:r w:rsidRPr="004D0DAA">
              <w:rPr>
                <w:lang w:eastAsia="en-US"/>
              </w:rPr>
              <w:t xml:space="preserve"> : bit (5) &gt; }</w:t>
            </w:r>
          </w:p>
          <w:p w14:paraId="13084B2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GAMMA_TN7_C1</w:t>
            </w:r>
            <w:r w:rsidRPr="004D0DAA">
              <w:rPr>
                <w:lang w:eastAsia="en-US"/>
              </w:rPr>
              <w:t xml:space="preserve"> : bit (5) &gt; } </w:t>
            </w:r>
          </w:p>
          <w:p w14:paraId="4037237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ALPHA_C2</w:t>
            </w:r>
            <w:r w:rsidRPr="004D0DAA">
              <w:rPr>
                <w:lang w:eastAsia="en-US"/>
              </w:rPr>
              <w:t xml:space="preserve"> : bit (4) &gt; }</w:t>
            </w:r>
          </w:p>
          <w:p w14:paraId="1E58EE2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GAMMA_TN0_C2</w:t>
            </w:r>
            <w:r w:rsidRPr="004D0DAA">
              <w:rPr>
                <w:lang w:eastAsia="en-US"/>
              </w:rPr>
              <w:t xml:space="preserve"> : bit (5) &gt; } </w:t>
            </w:r>
          </w:p>
          <w:p w14:paraId="54B4A75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GAMMA_TN1_C2</w:t>
            </w:r>
            <w:r w:rsidRPr="004D0DAA">
              <w:rPr>
                <w:lang w:eastAsia="en-US"/>
              </w:rPr>
              <w:t xml:space="preserve"> : bit (5) &gt; }</w:t>
            </w:r>
          </w:p>
          <w:p w14:paraId="3185247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GAMMA_TN2_C2</w:t>
            </w:r>
            <w:r w:rsidRPr="004D0DAA">
              <w:rPr>
                <w:lang w:eastAsia="en-US"/>
              </w:rPr>
              <w:t xml:space="preserve"> : bit (5) &gt; }</w:t>
            </w:r>
          </w:p>
          <w:p w14:paraId="5BD43A2D"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GAMMA_TN3_C2</w:t>
            </w:r>
            <w:r w:rsidRPr="004D0DAA">
              <w:rPr>
                <w:lang w:eastAsia="en-US"/>
              </w:rPr>
              <w:t xml:space="preserve"> : bit (5) &gt; }</w:t>
            </w:r>
          </w:p>
          <w:p w14:paraId="77C8A77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GAMMA_TN4_C2</w:t>
            </w:r>
            <w:r w:rsidRPr="004D0DAA">
              <w:rPr>
                <w:lang w:eastAsia="en-US"/>
              </w:rPr>
              <w:t xml:space="preserve"> : bit (5) &gt; }</w:t>
            </w:r>
          </w:p>
          <w:p w14:paraId="67CE49C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GAMMA_TN5_C2</w:t>
            </w:r>
            <w:r w:rsidRPr="004D0DAA">
              <w:rPr>
                <w:lang w:eastAsia="en-US"/>
              </w:rPr>
              <w:t xml:space="preserve"> : bit (5) &gt; }</w:t>
            </w:r>
          </w:p>
          <w:p w14:paraId="6FF0B8A5"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GAMMA_TN6_C2</w:t>
            </w:r>
            <w:r w:rsidRPr="004D0DAA">
              <w:rPr>
                <w:lang w:eastAsia="en-US"/>
              </w:rPr>
              <w:t xml:space="preserve"> : bit (5) &gt; }</w:t>
            </w:r>
          </w:p>
          <w:p w14:paraId="00E886F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GAMMA_TN7_C2</w:t>
            </w:r>
            <w:r w:rsidRPr="004D0DAA">
              <w:rPr>
                <w:lang w:eastAsia="en-US"/>
              </w:rPr>
              <w:t xml:space="preserve"> : bit (5) &gt; } </w:t>
            </w:r>
          </w:p>
          <w:p w14:paraId="738F1A88" w14:textId="77777777" w:rsidR="00711444" w:rsidRPr="004D0DAA" w:rsidRDefault="00711444" w:rsidP="00AA2A4C">
            <w:pPr>
              <w:pStyle w:val="TAL"/>
              <w:rPr>
                <w:lang w:eastAsia="en-US"/>
              </w:rPr>
            </w:pPr>
            <w:r w:rsidRPr="004D0DAA">
              <w:rPr>
                <w:lang w:eastAsia="en-US"/>
              </w:rPr>
              <w:t>} ;</w:t>
            </w:r>
          </w:p>
          <w:p w14:paraId="53F9BAF5" w14:textId="77777777" w:rsidR="00711444" w:rsidRPr="004D0DAA" w:rsidRDefault="00711444" w:rsidP="00AA2A4C">
            <w:pPr>
              <w:pStyle w:val="TAL"/>
              <w:rPr>
                <w:lang w:eastAsia="en-US"/>
              </w:rPr>
            </w:pPr>
          </w:p>
        </w:tc>
      </w:tr>
      <w:tr w:rsidR="00711444" w:rsidRPr="004D0DAA" w14:paraId="4677C78B" w14:textId="77777777" w:rsidTr="00AA2A4C">
        <w:tblPrEx>
          <w:tblCellMar>
            <w:top w:w="0" w:type="dxa"/>
            <w:bottom w:w="0" w:type="dxa"/>
          </w:tblCellMar>
        </w:tblPrEx>
        <w:trPr>
          <w:cantSplit/>
        </w:trPr>
        <w:tc>
          <w:tcPr>
            <w:tcW w:w="9848" w:type="dxa"/>
          </w:tcPr>
          <w:p w14:paraId="6CD67469" w14:textId="77777777" w:rsidR="00711444" w:rsidRPr="004D0DAA" w:rsidRDefault="00711444" w:rsidP="00AA2A4C">
            <w:pPr>
              <w:pStyle w:val="TAL"/>
              <w:rPr>
                <w:lang w:eastAsia="en-US"/>
              </w:rPr>
            </w:pPr>
            <w:r w:rsidRPr="004D0DAA">
              <w:rPr>
                <w:lang w:eastAsia="en-US"/>
              </w:rPr>
              <w:t>&lt;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Recursive for multiple TBFs</w:t>
            </w:r>
          </w:p>
          <w:p w14:paraId="7A3CDE19"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RB Id</w:t>
            </w:r>
            <w:r w:rsidRPr="004D0DAA">
              <w:rPr>
                <w:lang w:eastAsia="en-US"/>
              </w:rPr>
              <w:t xml:space="preserve"> : bit (5) &gt;</w:t>
            </w:r>
          </w:p>
          <w:p w14:paraId="0C214BF6"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PFI</w:t>
            </w:r>
            <w:r w:rsidRPr="004D0DAA">
              <w:rPr>
                <w:lang w:eastAsia="en-US"/>
              </w:rPr>
              <w:t xml:space="preserve"> : bit (7) &gt; }</w:t>
            </w:r>
          </w:p>
          <w:p w14:paraId="746BDEF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RLC_MODE</w:t>
            </w:r>
            <w:r w:rsidRPr="004D0DAA">
              <w:rPr>
                <w:lang w:eastAsia="en-US"/>
              </w:rPr>
              <w:t xml:space="preserve"> : bit (1) &gt; }</w:t>
            </w:r>
          </w:p>
          <w:p w14:paraId="6956090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24A4C36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CHANNEL_CODING_COMMAND</w:t>
            </w:r>
            <w:r w:rsidRPr="004D0DAA">
              <w:rPr>
                <w:lang w:eastAsia="en-US"/>
              </w:rPr>
              <w:t xml:space="preserve"> : bit (2) &gt; }</w:t>
            </w:r>
          </w:p>
          <w:p w14:paraId="5FE853C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6EE2D69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Uplink</w:t>
            </w:r>
            <w:r w:rsidRPr="004D0DAA">
              <w:rPr>
                <w:lang w:eastAsia="en-US"/>
              </w:rPr>
              <w:t xml:space="preserve"> </w:t>
            </w:r>
            <w:r w:rsidRPr="004D0DAA">
              <w:rPr>
                <w:b/>
                <w:bCs/>
                <w:lang w:eastAsia="en-US"/>
              </w:rPr>
              <w:t>EGPRS Window Size</w:t>
            </w:r>
            <w:r w:rsidRPr="004D0DAA">
              <w:rPr>
                <w:lang w:eastAsia="en-US"/>
              </w:rPr>
              <w:t> : &lt; EGPRS Window Size IE &gt; &gt; }</w:t>
            </w:r>
          </w:p>
          <w:p w14:paraId="0F4ECB1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USF_GRANULARITY </w:t>
            </w:r>
            <w:r w:rsidRPr="004D0DAA">
              <w:rPr>
                <w:lang w:eastAsia="en-US"/>
              </w:rPr>
              <w:t>: bit (1) &gt;</w:t>
            </w:r>
          </w:p>
          <w:p w14:paraId="5CD1738A"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timeslots assigned to the TBF are all the timeslots assigned</w:t>
            </w:r>
          </w:p>
          <w:p w14:paraId="6A4A549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the Global Timeslot description</w:t>
            </w:r>
          </w:p>
          <w:p w14:paraId="409C0E6E"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&lt; </w:t>
            </w:r>
            <w:r w:rsidRPr="004D0DAA">
              <w:rPr>
                <w:b/>
                <w:bCs/>
                <w:lang w:eastAsia="en-US"/>
              </w:rPr>
              <w:t>TBF_TIMESLOT_ALLOCATION</w:t>
            </w:r>
            <w:r w:rsidRPr="004D0DAA">
              <w:rPr>
                <w:lang w:eastAsia="en-US"/>
              </w:rPr>
              <w:t xml:space="preserve"> : bit (N) &gt; }</w:t>
            </w:r>
            <w:r w:rsidRPr="004D0DAA">
              <w:rPr>
                <w:lang w:eastAsia="en-US"/>
              </w:rPr>
              <w:tab/>
              <w:t xml:space="preserve">-- </w:t>
            </w:r>
            <w:r w:rsidRPr="004D0DAA">
              <w:rPr>
                <w:i/>
                <w:iCs/>
                <w:lang w:eastAsia="en-US"/>
              </w:rPr>
              <w:t>The timeslots assigned to the TBF are a subset of all the</w:t>
            </w:r>
          </w:p>
          <w:p w14:paraId="3DE2692E"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timeslots assigned in the Global Timeslot description. Where</w:t>
            </w:r>
          </w:p>
          <w:p w14:paraId="31E9CDA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N is the amount of timeslots assigned to the MS in the Global </w:t>
            </w:r>
          </w:p>
          <w:p w14:paraId="71840FA8"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 description</w:t>
            </w:r>
          </w:p>
          <w:p w14:paraId="72598781"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t xml:space="preserve">&lt; </w:t>
            </w:r>
            <w:r w:rsidRPr="004D0DAA">
              <w:rPr>
                <w:b/>
                <w:bCs/>
                <w:lang w:eastAsia="en-US"/>
              </w:rPr>
              <w:t>USF_ALLOCATION</w:t>
            </w:r>
            <w:r w:rsidRPr="004D0DAA">
              <w:rPr>
                <w:lang w:eastAsia="en-US"/>
              </w:rPr>
              <w:t xml:space="preserve"> : bit (3) &gt;</w:t>
            </w:r>
            <w:r w:rsidRPr="004D0DAA">
              <w:rPr>
                <w:lang w:eastAsia="en-US"/>
              </w:rPr>
              <w:tab/>
            </w:r>
            <w:r w:rsidRPr="004D0DAA">
              <w:rPr>
                <w:lang w:eastAsia="en-US"/>
              </w:rPr>
              <w:tab/>
            </w:r>
            <w:r w:rsidRPr="004D0DAA">
              <w:rPr>
                <w:lang w:eastAsia="en-US"/>
              </w:rPr>
              <w:tab/>
              <w:t xml:space="preserve">-- </w:t>
            </w:r>
            <w:r w:rsidRPr="004D0DAA">
              <w:rPr>
                <w:i/>
                <w:iCs/>
                <w:lang w:eastAsia="en-US"/>
              </w:rPr>
              <w:t>The same USF is valid on all timeslots assigned to the TBF</w:t>
            </w:r>
          </w:p>
          <w:p w14:paraId="6FB05A38"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Different USF(s) assigned</w:t>
            </w:r>
          </w:p>
          <w:p w14:paraId="5B82080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USF_ALLOCATION </w:t>
            </w:r>
            <w:r w:rsidRPr="004D0DAA">
              <w:rPr>
                <w:lang w:eastAsia="en-US"/>
              </w:rPr>
              <w:t>: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assignment on the lowest numbered timeslot</w:t>
            </w:r>
          </w:p>
          <w:p w14:paraId="267A23B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assigned to the TBF</w:t>
            </w:r>
          </w:p>
          <w:p w14:paraId="36B83DE1"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USF_ALLOCATION</w:t>
            </w:r>
            <w:r w:rsidRPr="004D0DAA">
              <w:rPr>
                <w:lang w:eastAsia="en-US"/>
              </w:rPr>
              <w:t xml:space="preserve"> : bit (3) &gt; } * (M-1) } ;</w:t>
            </w:r>
            <w:r w:rsidRPr="004D0DAA">
              <w:rPr>
                <w:lang w:eastAsia="en-US"/>
              </w:rPr>
              <w:tab/>
              <w:t xml:space="preserve">-- </w:t>
            </w:r>
            <w:r w:rsidRPr="004D0DAA">
              <w:rPr>
                <w:i/>
                <w:iCs/>
                <w:lang w:eastAsia="en-US"/>
              </w:rPr>
              <w:t>USFs on subsequent timeslots assigned to the TBF:</w:t>
            </w:r>
          </w:p>
          <w:p w14:paraId="552AAEE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A ‘0’ (respectively a ‘1’ followed by a USF value) </w:t>
            </w:r>
          </w:p>
          <w:p w14:paraId="6184259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means same (respectively different) USF value as the</w:t>
            </w:r>
          </w:p>
          <w:p w14:paraId="25A3C82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on the next lower numbered timeslot assigned to</w:t>
            </w:r>
          </w:p>
          <w:p w14:paraId="1741A0D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TBF.</w:t>
            </w:r>
            <w:r w:rsidRPr="004D0DAA">
              <w:rPr>
                <w:lang w:eastAsia="en-US"/>
              </w:rPr>
              <w:t xml:space="preserve"> </w:t>
            </w:r>
            <w:r w:rsidRPr="004D0DAA">
              <w:rPr>
                <w:i/>
                <w:iCs/>
                <w:lang w:eastAsia="en-US"/>
              </w:rPr>
              <w:t>Where M is the amount of timeslots assigned</w:t>
            </w:r>
          </w:p>
          <w:p w14:paraId="4BC4EFF6"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to the TBF in the TBF_TIMESLOT_ALLOCATION if </w:t>
            </w:r>
          </w:p>
          <w:p w14:paraId="5D369A9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present, else in the Global</w:t>
            </w:r>
            <w:r w:rsidRPr="004D0DAA">
              <w:rPr>
                <w:lang w:eastAsia="en-US"/>
              </w:rPr>
              <w:t xml:space="preserve"> </w:t>
            </w:r>
            <w:r w:rsidRPr="004D0DAA">
              <w:rPr>
                <w:i/>
                <w:iCs/>
                <w:lang w:eastAsia="en-US"/>
              </w:rPr>
              <w:t>Timeslot</w:t>
            </w:r>
            <w:r w:rsidRPr="004D0DAA">
              <w:rPr>
                <w:lang w:eastAsia="en-US"/>
              </w:rPr>
              <w:t xml:space="preserve"> </w:t>
            </w:r>
            <w:r w:rsidRPr="004D0DAA">
              <w:rPr>
                <w:i/>
                <w:iCs/>
                <w:lang w:eastAsia="en-US"/>
              </w:rPr>
              <w:t>description</w:t>
            </w:r>
          </w:p>
          <w:p w14:paraId="12D6689B" w14:textId="77777777" w:rsidR="00711444" w:rsidRPr="004D0DAA" w:rsidRDefault="00711444" w:rsidP="00AA2A4C">
            <w:pPr>
              <w:pStyle w:val="TAL"/>
              <w:rPr>
                <w:lang w:eastAsia="en-US"/>
              </w:rPr>
            </w:pPr>
          </w:p>
        </w:tc>
      </w:tr>
      <w:tr w:rsidR="00711444" w:rsidRPr="004D0DAA" w14:paraId="51FC4A8B" w14:textId="77777777" w:rsidTr="00AA2A4C">
        <w:tblPrEx>
          <w:tblCellMar>
            <w:top w:w="0" w:type="dxa"/>
            <w:bottom w:w="0" w:type="dxa"/>
          </w:tblCellMar>
        </w:tblPrEx>
        <w:trPr>
          <w:cantSplit/>
        </w:trPr>
        <w:tc>
          <w:tcPr>
            <w:tcW w:w="9848" w:type="dxa"/>
          </w:tcPr>
          <w:p w14:paraId="7C2EF30A" w14:textId="77777777" w:rsidR="00711444" w:rsidRPr="004D0DAA" w:rsidRDefault="00711444" w:rsidP="00AA2A4C">
            <w:pPr>
              <w:pStyle w:val="TAL"/>
              <w:rPr>
                <w:lang w:eastAsia="en-US"/>
              </w:rPr>
            </w:pPr>
            <w:r w:rsidRPr="004D0DAA">
              <w:rPr>
                <w:lang w:eastAsia="en-US"/>
              </w:rPr>
              <w:lastRenderedPageBreak/>
              <w:t>&lt; Uplink TBF Assignment 2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Recursive for multiple TBFs</w:t>
            </w:r>
          </w:p>
          <w:p w14:paraId="302EB4C7"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PFI</w:t>
            </w:r>
            <w:r w:rsidRPr="004D0DAA">
              <w:rPr>
                <w:lang w:val="fr-FR" w:eastAsia="en-US"/>
              </w:rPr>
              <w:t xml:space="preserve"> : bit (7) &gt;</w:t>
            </w:r>
          </w:p>
          <w:p w14:paraId="0ADA10BC"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6AC0B8FD"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TFI Assignment</w:t>
            </w:r>
            <w:r w:rsidRPr="004D0DAA">
              <w:rPr>
                <w:lang w:eastAsia="en-US"/>
              </w:rPr>
              <w:t xml:space="preserve"> : bit (5) &gt;</w:t>
            </w:r>
          </w:p>
          <w:p w14:paraId="7E85A0B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 &lt; EGPRS Modulation and Coding Scheme IE &gt; &gt; }</w:t>
            </w:r>
          </w:p>
          <w:p w14:paraId="67729DE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EGPRS Window Size</w:t>
            </w:r>
            <w:r w:rsidRPr="004D0DAA">
              <w:rPr>
                <w:lang w:eastAsia="en-US"/>
              </w:rPr>
              <w:t> : &lt; EGPRS Window Size IE &gt; &gt; }</w:t>
            </w:r>
          </w:p>
          <w:p w14:paraId="331FE369"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6963F3BB" w14:textId="77777777" w:rsidR="00711444" w:rsidRPr="004D0DAA" w:rsidRDefault="00711444" w:rsidP="00AA2A4C">
            <w:pPr>
              <w:pStyle w:val="TAL"/>
              <w:rPr>
                <w:i/>
                <w:iCs/>
                <w:lang w:eastAsia="en-US"/>
              </w:rPr>
            </w:pPr>
            <w:r w:rsidRPr="004D0DAA">
              <w:rPr>
                <w:lang w:eastAsia="en-US"/>
              </w:rPr>
              <w:tab/>
            </w:r>
            <w:r w:rsidRPr="004D0DAA">
              <w:rPr>
                <w:rFonts w:cs="Arial"/>
                <w:szCs w:val="18"/>
                <w:lang w:eastAsia="en-US"/>
              </w:rPr>
              <w:t xml:space="preserve">{ 0 | 1 </w:t>
            </w:r>
            <w:r w:rsidRPr="004D0DAA">
              <w:rPr>
                <w:lang w:eastAsia="en-US"/>
              </w:rPr>
              <w:tab/>
              <w:t xml:space="preserve">&lt; </w:t>
            </w:r>
            <w:r w:rsidRPr="004D0DAA">
              <w:rPr>
                <w:b/>
                <w:lang w:eastAsia="en-US"/>
              </w:rPr>
              <w:t>REPORTED TIMESLOTS C1</w:t>
            </w:r>
            <w:r w:rsidRPr="004D0DAA">
              <w:rPr>
                <w:lang w:eastAsia="en-US"/>
              </w:rPr>
              <w:t xml:space="preserve"> : bit (8) &gt;</w:t>
            </w:r>
            <w:r w:rsidRPr="004D0DAA">
              <w:rPr>
                <w:lang w:eastAsia="en-US"/>
              </w:rPr>
              <w:tab/>
            </w:r>
            <w:r w:rsidRPr="004D0DAA">
              <w:rPr>
                <w:lang w:eastAsia="en-US"/>
              </w:rPr>
              <w:tab/>
            </w:r>
            <w:r w:rsidRPr="004D0DAA">
              <w:rPr>
                <w:lang w:eastAsia="en-US"/>
              </w:rPr>
              <w:tab/>
              <w:t xml:space="preserve">-- </w:t>
            </w:r>
            <w:r w:rsidRPr="004D0DAA">
              <w:rPr>
                <w:i/>
                <w:iCs/>
                <w:lang w:eastAsia="en-US"/>
              </w:rPr>
              <w:t>carrier 1 in Downlink Dual Carrier configuration</w:t>
            </w:r>
          </w:p>
          <w:p w14:paraId="3A8A3C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iCs/>
                <w:lang w:eastAsia="en-US"/>
              </w:rPr>
              <w:t>carrier 2 in Downlink Dual Carrier configuration</w:t>
            </w:r>
          </w:p>
          <w:p w14:paraId="644B6594" w14:textId="77777777" w:rsidR="00711444" w:rsidRPr="004D0DAA" w:rsidRDefault="00711444" w:rsidP="00AA2A4C">
            <w:pPr>
              <w:pStyle w:val="TAL"/>
              <w:rPr>
                <w:rFonts w:cs="Arial"/>
                <w:iCs/>
                <w:szCs w:val="18"/>
                <w:lang w:eastAsia="en-US"/>
              </w:rPr>
            </w:pPr>
            <w:r w:rsidRPr="004D0DAA">
              <w:rPr>
                <w:iCs/>
                <w:lang w:eastAsia="en-US"/>
              </w:rPr>
              <w:tab/>
            </w:r>
            <w:r w:rsidRPr="004D0DAA">
              <w:rPr>
                <w:lang w:eastAsia="en-US"/>
              </w:rPr>
              <w:t xml:space="preserve">} </w:t>
            </w:r>
          </w:p>
          <w:p w14:paraId="3B84C83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USF_GRANULARITY</w:t>
            </w:r>
            <w:r w:rsidRPr="004D0DAA">
              <w:rPr>
                <w:lang w:eastAsia="en-US"/>
              </w:rPr>
              <w:t xml:space="preserve"> : bit (1) &gt;</w:t>
            </w:r>
          </w:p>
          <w:p w14:paraId="7000C914" w14:textId="77777777" w:rsidR="00711444" w:rsidRPr="004D0DAA" w:rsidRDefault="00711444" w:rsidP="00AA2A4C">
            <w:pPr>
              <w:pStyle w:val="TAL"/>
              <w:rPr>
                <w:i/>
                <w:lang w:eastAsia="en-US"/>
              </w:rPr>
            </w:pPr>
            <w:r w:rsidRPr="004D0DAA">
              <w:rPr>
                <w:lang w:eastAsia="en-US"/>
              </w:rPr>
              <w:tab/>
              <w:t>{ 0</w:t>
            </w:r>
            <w:r w:rsidRPr="004D0DAA">
              <w:rPr>
                <w:lang w:eastAsia="en-US"/>
              </w:rPr>
              <w:tab/>
              <w:t>| 1</w:t>
            </w:r>
            <w:r w:rsidRPr="004D0DAA">
              <w:rPr>
                <w:lang w:eastAsia="en-US"/>
              </w:rPr>
              <w:tab/>
              <w:t xml:space="preserve">&lt; </w:t>
            </w:r>
            <w:r w:rsidRPr="004D0DAA">
              <w:rPr>
                <w:b/>
                <w:lang w:eastAsia="en-US"/>
              </w:rPr>
              <w:t>TBF_TIMESLOT_ALLOCATION</w:t>
            </w:r>
            <w:r w:rsidRPr="004D0DAA">
              <w:rPr>
                <w:lang w:eastAsia="en-US"/>
              </w:rPr>
              <w:t xml:space="preserve"> : bit (N) &gt; }</w:t>
            </w:r>
            <w:r w:rsidRPr="004D0DAA">
              <w:rPr>
                <w:lang w:eastAsia="en-US"/>
              </w:rPr>
              <w:tab/>
              <w:t xml:space="preserve">-- </w:t>
            </w:r>
            <w:r w:rsidRPr="004D0DAA">
              <w:rPr>
                <w:i/>
                <w:lang w:eastAsia="en-US"/>
              </w:rPr>
              <w:t xml:space="preserve">The timeslots assigned to the TBF are all the timeslots </w:t>
            </w:r>
          </w:p>
          <w:p w14:paraId="692EF6D4" w14:textId="77777777" w:rsidR="00711444" w:rsidRPr="004D0DAA" w:rsidRDefault="00711444" w:rsidP="00AA2A4C">
            <w:pPr>
              <w:pStyle w:val="TAL"/>
              <w:rPr>
                <w:i/>
                <w:lang w:eastAsia="en-US"/>
              </w:rPr>
            </w:pP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i/>
                <w:lang w:eastAsia="en-US"/>
              </w:rPr>
              <w:tab/>
            </w:r>
            <w:r w:rsidRPr="004D0DAA">
              <w:rPr>
                <w:lang w:eastAsia="en-US"/>
              </w:rPr>
              <w:t xml:space="preserve">-- </w:t>
            </w:r>
            <w:r w:rsidRPr="004D0DAA">
              <w:rPr>
                <w:i/>
                <w:lang w:eastAsia="en-US"/>
              </w:rPr>
              <w:t>assigned in the Global Timeslot description</w:t>
            </w:r>
          </w:p>
          <w:p w14:paraId="49C018E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see description in Table 11.2.29a.2</w:t>
            </w:r>
            <w:r w:rsidRPr="004D0DAA">
              <w:rPr>
                <w:lang w:eastAsia="en-US"/>
              </w:rPr>
              <w:tab/>
            </w:r>
          </w:p>
          <w:p w14:paraId="69873EDC" w14:textId="77777777" w:rsidR="00711444" w:rsidRPr="004D0DAA" w:rsidRDefault="00711444" w:rsidP="00AA2A4C">
            <w:pPr>
              <w:pStyle w:val="TAL"/>
              <w:rPr>
                <w:lang w:eastAsia="en-US"/>
              </w:rPr>
            </w:pPr>
            <w:r w:rsidRPr="004D0DAA">
              <w:rPr>
                <w:lang w:eastAsia="en-US"/>
              </w:rPr>
              <w:tab/>
              <w:t>{ 0</w:t>
            </w:r>
            <w:r w:rsidRPr="004D0DAA">
              <w:rPr>
                <w:lang w:eastAsia="en-US"/>
              </w:rPr>
              <w:tab/>
              <w:t>&lt;</w:t>
            </w:r>
            <w:r w:rsidRPr="004D0DAA">
              <w:rPr>
                <w:b/>
                <w:lang w:eastAsia="en-US"/>
              </w:rPr>
              <w:t xml:space="preserve"> USF_ALLOCATION_C1</w:t>
            </w:r>
            <w:r w:rsidRPr="004D0DAA">
              <w:rPr>
                <w:lang w:eastAsia="en-US"/>
              </w:rPr>
              <w:t xml:space="preserve"> : bit (3) &gt;</w:t>
            </w:r>
          </w:p>
          <w:p w14:paraId="048376EF"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USF_ALLOCATION_C2 : bit (3) } </w:t>
            </w:r>
            <w:r w:rsidRPr="004D0DAA">
              <w:rPr>
                <w:lang w:eastAsia="en-US"/>
              </w:rPr>
              <w:tab/>
            </w:r>
            <w:r w:rsidRPr="004D0DAA">
              <w:rPr>
                <w:lang w:eastAsia="en-US"/>
              </w:rPr>
              <w:tab/>
              <w:t xml:space="preserve">-- </w:t>
            </w:r>
            <w:r w:rsidRPr="004D0DAA">
              <w:rPr>
                <w:i/>
                <w:lang w:eastAsia="en-US"/>
              </w:rPr>
              <w:t>The same USF is valid on all timeslots assigned to the TBF</w:t>
            </w:r>
          </w:p>
          <w:p w14:paraId="42766FB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on the respective carriers</w:t>
            </w:r>
          </w:p>
          <w:p w14:paraId="54A87E7F"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Different USF(s) assigned;</w:t>
            </w:r>
            <w:r w:rsidRPr="004D0DAA">
              <w:rPr>
                <w:i/>
                <w:iCs/>
                <w:lang w:eastAsia="en-US"/>
              </w:rPr>
              <w:t xml:space="preserve"> see description in Table 11.2.29a.2</w:t>
            </w:r>
          </w:p>
          <w:p w14:paraId="5F099EC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USF_ALLOCATION</w:t>
            </w:r>
            <w:r w:rsidRPr="004D0DAA">
              <w:rPr>
                <w:lang w:eastAsia="en-US"/>
              </w:rPr>
              <w:t xml:space="preserve"> :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p>
          <w:p w14:paraId="0F1C636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USF_ALLOCATION</w:t>
            </w:r>
            <w:r w:rsidRPr="004D0DAA">
              <w:rPr>
                <w:lang w:eastAsia="en-US"/>
              </w:rPr>
              <w:t xml:space="preserve"> : bit (3) &gt; } * (M-1) } ;</w:t>
            </w:r>
            <w:r w:rsidRPr="004D0DAA">
              <w:rPr>
                <w:lang w:eastAsia="en-US"/>
              </w:rPr>
              <w:tab/>
            </w:r>
          </w:p>
          <w:p w14:paraId="4F1E219C" w14:textId="77777777" w:rsidR="00711444" w:rsidRPr="004D0DAA" w:rsidRDefault="00711444" w:rsidP="00AA2A4C">
            <w:pPr>
              <w:pStyle w:val="TAL"/>
              <w:rPr>
                <w:lang w:eastAsia="en-US"/>
              </w:rPr>
            </w:pPr>
          </w:p>
        </w:tc>
      </w:tr>
      <w:tr w:rsidR="00711444" w:rsidRPr="004D0DAA" w14:paraId="501FEF84" w14:textId="77777777" w:rsidTr="00AA2A4C">
        <w:tblPrEx>
          <w:tblCellMar>
            <w:top w:w="0" w:type="dxa"/>
            <w:bottom w:w="0" w:type="dxa"/>
          </w:tblCellMar>
        </w:tblPrEx>
        <w:trPr>
          <w:cantSplit/>
        </w:trPr>
        <w:tc>
          <w:tcPr>
            <w:tcW w:w="9848" w:type="dxa"/>
          </w:tcPr>
          <w:p w14:paraId="56C48D69" w14:textId="77777777" w:rsidR="00711444" w:rsidRPr="004D0DAA" w:rsidRDefault="00711444" w:rsidP="00AA2A4C">
            <w:pPr>
              <w:pStyle w:val="TAL"/>
              <w:rPr>
                <w:lang w:eastAsia="en-US"/>
              </w:rPr>
            </w:pPr>
            <w:r w:rsidRPr="004D0DAA">
              <w:rPr>
                <w:lang w:eastAsia="en-US"/>
              </w:rPr>
              <w:t>&lt; Assignment Info struct &gt; ::=</w:t>
            </w:r>
          </w:p>
          <w:p w14:paraId="4D71E9F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Assignment Type</w:t>
            </w:r>
            <w:r w:rsidRPr="004D0DAA">
              <w:rPr>
                <w:lang w:eastAsia="en-US"/>
              </w:rPr>
              <w:t xml:space="preserve"> : bit (2) &gt;</w:t>
            </w:r>
          </w:p>
          <w:p w14:paraId="26293CA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Carrier ID</w:t>
            </w:r>
            <w:r w:rsidRPr="004D0DAA">
              <w:rPr>
                <w:lang w:eastAsia="en-US"/>
              </w:rPr>
              <w:t xml:space="preserve"> : bit (1) &gt; ;</w:t>
            </w:r>
          </w:p>
          <w:p w14:paraId="17090560" w14:textId="77777777" w:rsidR="00711444" w:rsidRPr="004D0DAA" w:rsidRDefault="00711444" w:rsidP="00AA2A4C">
            <w:pPr>
              <w:pStyle w:val="TAL"/>
              <w:rPr>
                <w:szCs w:val="18"/>
                <w:lang w:eastAsia="en-US"/>
              </w:rPr>
            </w:pPr>
          </w:p>
        </w:tc>
      </w:tr>
    </w:tbl>
    <w:p w14:paraId="74348B45" w14:textId="77777777" w:rsidR="00711444" w:rsidRPr="004D0DAA" w:rsidRDefault="00711444" w:rsidP="00711444"/>
    <w:p w14:paraId="1ECFBA9F" w14:textId="77777777" w:rsidR="00711444" w:rsidRPr="004D0DAA" w:rsidRDefault="00711444" w:rsidP="00711444">
      <w:pPr>
        <w:pStyle w:val="TH"/>
      </w:pPr>
      <w:r w:rsidRPr="004D0DAA">
        <w:t>Table 11.2.31a.2: MULTIPLE TBF</w:t>
      </w:r>
      <w:r w:rsidRPr="004D0DAA">
        <w:rPr>
          <w:caps/>
        </w:rPr>
        <w:t xml:space="preserve"> TIMESLOT RECONFIGURE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B36D823" w14:textId="77777777" w:rsidTr="00AA2A4C">
        <w:tblPrEx>
          <w:tblCellMar>
            <w:top w:w="0" w:type="dxa"/>
            <w:bottom w:w="0" w:type="dxa"/>
          </w:tblCellMar>
        </w:tblPrEx>
        <w:trPr>
          <w:cantSplit/>
        </w:trPr>
        <w:tc>
          <w:tcPr>
            <w:tcW w:w="9848" w:type="dxa"/>
          </w:tcPr>
          <w:p w14:paraId="2237369D" w14:textId="77777777" w:rsidR="00711444" w:rsidRPr="004D0DAA" w:rsidRDefault="00711444" w:rsidP="00AA2A4C">
            <w:pPr>
              <w:rPr>
                <w:b/>
              </w:rPr>
            </w:pPr>
            <w:r w:rsidRPr="004D0DAA">
              <w:rPr>
                <w:b/>
              </w:rPr>
              <w:t>Global TFI</w:t>
            </w:r>
            <w:r w:rsidRPr="004D0DAA">
              <w:br/>
              <w:t>This information element identifies one of the mobile station’s downlink or uplink TFIs. This field is defined in sub-clause 12.10.</w:t>
            </w:r>
          </w:p>
        </w:tc>
      </w:tr>
      <w:tr w:rsidR="00711444" w:rsidRPr="004D0DAA" w14:paraId="5EE13D25" w14:textId="77777777" w:rsidTr="00AA2A4C">
        <w:tblPrEx>
          <w:tblCellMar>
            <w:top w:w="0" w:type="dxa"/>
            <w:bottom w:w="0" w:type="dxa"/>
          </w:tblCellMar>
        </w:tblPrEx>
        <w:trPr>
          <w:cantSplit/>
        </w:trPr>
        <w:tc>
          <w:tcPr>
            <w:tcW w:w="9848" w:type="dxa"/>
          </w:tcPr>
          <w:p w14:paraId="420E8BE9" w14:textId="77777777" w:rsidR="00711444" w:rsidRPr="004D0DAA" w:rsidRDefault="00711444" w:rsidP="00AA2A4C">
            <w:pPr>
              <w:keepNext/>
              <w:keepLines/>
            </w:pPr>
            <w:r w:rsidRPr="004D0DAA">
              <w:rPr>
                <w:b/>
              </w:rPr>
              <w:t>CHANNEL_CODING_COMMAND</w:t>
            </w:r>
            <w:r w:rsidRPr="004D0DAA">
              <w:t xml:space="preserve"> (2 bit field)</w:t>
            </w:r>
            <w:r w:rsidRPr="004D0DAA">
              <w:br/>
              <w:t>The Channel Coding Indicator field indicates the channel coding scheme that the mobile station shall use when transmitting on the uplink. If this field is included in the main body of the message, it shall refer to all GPRS TBF mode uplink TBFs assigned in the message (default value). If this field is included in the Uplink TBF Assignment struct, it refers only to the TBF given by the TFI Assignment (this specific value overrules the default value). Every uplink TBF defined in GPRS TBF mode shall be assigned either the default value or a specific value.</w:t>
            </w:r>
          </w:p>
          <w:p w14:paraId="431A3147" w14:textId="77777777" w:rsidR="00711444" w:rsidRPr="004D0DAA" w:rsidRDefault="00711444" w:rsidP="00AA2A4C">
            <w:pPr>
              <w:keepNext/>
              <w:keepLines/>
              <w:tabs>
                <w:tab w:val="left" w:pos="851"/>
              </w:tabs>
              <w:rPr>
                <w:b/>
              </w:rPr>
            </w:pPr>
            <w:r w:rsidRPr="004D0DAA">
              <w:t>bit</w:t>
            </w:r>
            <w:r w:rsidRPr="004D0DAA">
              <w:br/>
              <w:t xml:space="preserve">2 1 </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6772139D" w14:textId="77777777" w:rsidTr="00AA2A4C">
        <w:tblPrEx>
          <w:tblCellMar>
            <w:top w:w="0" w:type="dxa"/>
            <w:bottom w:w="0" w:type="dxa"/>
          </w:tblCellMar>
        </w:tblPrEx>
        <w:trPr>
          <w:cantSplit/>
        </w:trPr>
        <w:tc>
          <w:tcPr>
            <w:tcW w:w="9848" w:type="dxa"/>
          </w:tcPr>
          <w:p w14:paraId="01F391CE" w14:textId="77777777" w:rsidR="00711444" w:rsidRPr="004D0DAA" w:rsidRDefault="00711444" w:rsidP="00AA2A4C">
            <w:r w:rsidRPr="004D0DAA">
              <w:rPr>
                <w:b/>
              </w:rPr>
              <w:t>EGPRS Modulation and Coding Scheme</w:t>
            </w:r>
            <w:r w:rsidRPr="004D0DAA">
              <w:rPr>
                <w:b/>
              </w:rPr>
              <w:br/>
            </w:r>
            <w:r w:rsidRPr="004D0DAA">
              <w:t>The EGPRS modulation and coding scheme information element is defined in sub-clause 12.10d.</w:t>
            </w:r>
          </w:p>
          <w:p w14:paraId="782D4BBF" w14:textId="77777777" w:rsidR="00711444" w:rsidRPr="004D0DAA" w:rsidRDefault="00711444" w:rsidP="00AA2A4C">
            <w:r w:rsidRPr="004D0DAA">
              <w:t>If this field is included in the main body of the message, it shall refer to all EGPRS TBF mode uplink TBFs assigned in the message (default value). If this field is included in the Uplink TBF Assignment struct, it refers only to the TBF given by the TFI Assignment (this specific value overrules the default value). Every uplink TBF defined in EGPRS TBF mode shall be assigned either the default value or a specific value.</w:t>
            </w:r>
          </w:p>
          <w:p w14:paraId="7CBFDC44" w14:textId="77777777" w:rsidR="00711444" w:rsidRPr="004D0DAA" w:rsidRDefault="00711444" w:rsidP="00AA2A4C">
            <w:r w:rsidRPr="004D0DAA">
              <w:t>If this field is included in a Dual Carrier assignment, it shall specify the initial EGPRS Modulation and Coding Scheme to be used on both carriers.</w:t>
            </w:r>
          </w:p>
        </w:tc>
      </w:tr>
      <w:tr w:rsidR="00711444" w:rsidRPr="004D0DAA" w14:paraId="7CC41C75" w14:textId="77777777" w:rsidTr="00AA2A4C">
        <w:tblPrEx>
          <w:tblCellMar>
            <w:top w:w="0" w:type="dxa"/>
            <w:bottom w:w="0" w:type="dxa"/>
          </w:tblCellMar>
        </w:tblPrEx>
        <w:trPr>
          <w:cantSplit/>
        </w:trPr>
        <w:tc>
          <w:tcPr>
            <w:tcW w:w="9848" w:type="dxa"/>
          </w:tcPr>
          <w:p w14:paraId="1E675211" w14:textId="77777777" w:rsidR="00711444" w:rsidRPr="004D0DAA" w:rsidRDefault="00711444" w:rsidP="00AA2A4C">
            <w:pPr>
              <w:rPr>
                <w:b/>
              </w:rPr>
            </w:pPr>
            <w:r w:rsidRPr="004D0DAA">
              <w:rPr>
                <w:b/>
              </w:rPr>
              <w:t xml:space="preserve">RESEGMENT </w:t>
            </w:r>
            <w:r w:rsidRPr="004D0DAA">
              <w:t>(1 bit field)</w:t>
            </w:r>
            <w:r w:rsidRPr="004D0DAA">
              <w:br/>
              <w:t>This field is defined in sub-clause 12.10e.</w:t>
            </w:r>
          </w:p>
        </w:tc>
      </w:tr>
      <w:tr w:rsidR="00711444" w:rsidRPr="004D0DAA" w14:paraId="720666A0" w14:textId="77777777" w:rsidTr="00AA2A4C">
        <w:tblPrEx>
          <w:tblCellMar>
            <w:top w:w="0" w:type="dxa"/>
            <w:bottom w:w="0" w:type="dxa"/>
          </w:tblCellMar>
        </w:tblPrEx>
        <w:trPr>
          <w:cantSplit/>
        </w:trPr>
        <w:tc>
          <w:tcPr>
            <w:tcW w:w="9848" w:type="dxa"/>
          </w:tcPr>
          <w:p w14:paraId="0A849CE2" w14:textId="77777777" w:rsidR="00711444" w:rsidRPr="004D0DAA" w:rsidRDefault="00711444" w:rsidP="00AA2A4C">
            <w:r w:rsidRPr="004D0DAA">
              <w:rPr>
                <w:b/>
              </w:rPr>
              <w:lastRenderedPageBreak/>
              <w:t>EGPRS Window Size</w:t>
            </w:r>
            <w:r w:rsidRPr="004D0DAA">
              <w:br/>
              <w:t>This information element is defined in sub-clause 12.5.2.</w:t>
            </w:r>
          </w:p>
          <w:p w14:paraId="1C833EA1" w14:textId="77777777" w:rsidR="00711444" w:rsidRPr="004D0DAA" w:rsidRDefault="00711444" w:rsidP="00AA2A4C">
            <w:pPr>
              <w:rPr>
                <w:b/>
              </w:rPr>
            </w:pPr>
            <w:r w:rsidRPr="004D0DAA">
              <w:t>If this field is included in the main body of the message, it shall refer to all TBFs assigned in the message in the direction indicated (default value). If this field is included in the respective TBF Assignment struct (uplink or downlink), it refers only to the TBF given by the TFI Assignment (this specific value overrules the default value). Every TBF defined in EGPRS TBF mode shall be assigned either the default value or a specific value.</w:t>
            </w:r>
          </w:p>
        </w:tc>
      </w:tr>
      <w:tr w:rsidR="00711444" w:rsidRPr="004D0DAA" w14:paraId="6E8EC7A3" w14:textId="77777777" w:rsidTr="00AA2A4C">
        <w:tblPrEx>
          <w:tblCellMar>
            <w:top w:w="0" w:type="dxa"/>
            <w:bottom w:w="0" w:type="dxa"/>
          </w:tblCellMar>
        </w:tblPrEx>
        <w:trPr>
          <w:cantSplit/>
        </w:trPr>
        <w:tc>
          <w:tcPr>
            <w:tcW w:w="9848" w:type="dxa"/>
          </w:tcPr>
          <w:p w14:paraId="7A9BF48B" w14:textId="77777777" w:rsidR="00711444" w:rsidRPr="004D0DAA" w:rsidRDefault="00711444" w:rsidP="00AA2A4C">
            <w:pPr>
              <w:spacing w:after="0"/>
            </w:pPr>
            <w:r w:rsidRPr="004D0DAA">
              <w:rPr>
                <w:b/>
              </w:rPr>
              <w:t>LINK_QUALITY_MEASUREMENT_MODE</w:t>
            </w:r>
            <w:r w:rsidRPr="004D0DAA">
              <w:t xml:space="preserve"> (2 bit field)</w:t>
            </w:r>
          </w:p>
          <w:p w14:paraId="4C017267" w14:textId="77777777" w:rsidR="00711444" w:rsidRPr="004D0DAA" w:rsidRDefault="00711444" w:rsidP="00AA2A4C">
            <w:pPr>
              <w:rPr>
                <w:b/>
              </w:rPr>
            </w:pPr>
            <w:r w:rsidRPr="004D0DAA">
              <w:t>This field is encoded as the LINK_QUALITY_MEASUREMENT_MODE IE of the PACKET DOWNLINK ASSIGNMENT message, as defined in sub-clause 11.2.7.</w:t>
            </w:r>
          </w:p>
        </w:tc>
      </w:tr>
      <w:tr w:rsidR="00711444" w:rsidRPr="004D0DAA" w14:paraId="3145881B" w14:textId="77777777" w:rsidTr="00AA2A4C">
        <w:tblPrEx>
          <w:tblCellMar>
            <w:top w:w="0" w:type="dxa"/>
            <w:bottom w:w="0" w:type="dxa"/>
          </w:tblCellMar>
        </w:tblPrEx>
        <w:trPr>
          <w:cantSplit/>
        </w:trPr>
        <w:tc>
          <w:tcPr>
            <w:tcW w:w="9848" w:type="dxa"/>
          </w:tcPr>
          <w:p w14:paraId="768D9978" w14:textId="77777777" w:rsidR="00711444" w:rsidRPr="004D0DAA" w:rsidRDefault="00711444" w:rsidP="00AA2A4C">
            <w:pPr>
              <w:rPr>
                <w:b/>
              </w:rPr>
            </w:pPr>
            <w:r w:rsidRPr="004D0DAA">
              <w:rPr>
                <w:b/>
              </w:rPr>
              <w:t>Global Packet Timing Advance</w:t>
            </w:r>
            <w:r w:rsidRPr="004D0DAA">
              <w:rPr>
                <w:b/>
              </w:rPr>
              <w:br/>
            </w:r>
            <w:r w:rsidRPr="004D0DAA">
              <w:t>This information element is defined in sub-clause 12.12a.</w:t>
            </w:r>
          </w:p>
        </w:tc>
      </w:tr>
      <w:tr w:rsidR="00711444" w:rsidRPr="004D0DAA" w14:paraId="6DA8BD99" w14:textId="77777777" w:rsidTr="00AA2A4C">
        <w:tblPrEx>
          <w:tblCellMar>
            <w:top w:w="0" w:type="dxa"/>
            <w:bottom w:w="0" w:type="dxa"/>
          </w:tblCellMar>
        </w:tblPrEx>
        <w:trPr>
          <w:cantSplit/>
        </w:trPr>
        <w:tc>
          <w:tcPr>
            <w:tcW w:w="9848" w:type="dxa"/>
          </w:tcPr>
          <w:p w14:paraId="538342DB" w14:textId="77777777" w:rsidR="00711444" w:rsidRPr="004D0DAA" w:rsidRDefault="00711444" w:rsidP="00AA2A4C">
            <w:pPr>
              <w:rPr>
                <w:b/>
              </w:rPr>
            </w:pPr>
            <w:r w:rsidRPr="004D0DAA">
              <w:rPr>
                <w:b/>
              </w:rPr>
              <w:t xml:space="preserve">CONTROL_ACK </w:t>
            </w:r>
            <w:r w:rsidRPr="004D0DAA">
              <w:t>(1 bit field)</w:t>
            </w:r>
            <w:r w:rsidRPr="004D0DAA">
              <w:br/>
              <w:t xml:space="preserve">This field shall be set to "1" if the network wishes to instruct the mobile station to release the given TBFs for which T3192 is running. The TBFs to be released are identified by the TFIs given in the </w:t>
            </w:r>
            <w:r w:rsidRPr="004D0DAA">
              <w:rPr>
                <w:bCs/>
              </w:rPr>
              <w:t>TFI Assignment</w:t>
            </w:r>
            <w:r w:rsidRPr="004D0DAA">
              <w:t xml:space="preserve"> field and have to be valid on the PACCH on which this message was sent. Otherwise this field shall be set to "0".</w:t>
            </w:r>
          </w:p>
        </w:tc>
      </w:tr>
      <w:tr w:rsidR="00711444" w:rsidRPr="004D0DAA" w14:paraId="794C52B7" w14:textId="77777777" w:rsidTr="00AA2A4C">
        <w:tblPrEx>
          <w:tblCellMar>
            <w:top w:w="0" w:type="dxa"/>
            <w:bottom w:w="0" w:type="dxa"/>
          </w:tblCellMar>
        </w:tblPrEx>
        <w:trPr>
          <w:cantSplit/>
        </w:trPr>
        <w:tc>
          <w:tcPr>
            <w:tcW w:w="9848" w:type="dxa"/>
          </w:tcPr>
          <w:p w14:paraId="7D7E81F3" w14:textId="77777777" w:rsidR="00711444" w:rsidRPr="004D0DAA" w:rsidRDefault="00711444" w:rsidP="00AA2A4C">
            <w:pPr>
              <w:rPr>
                <w:b/>
              </w:rPr>
            </w:pPr>
            <w:r w:rsidRPr="004D0DAA">
              <w:rPr>
                <w:b/>
              </w:rPr>
              <w:t xml:space="preserve">TFI Assignment </w:t>
            </w:r>
            <w:r w:rsidRPr="004D0DAA">
              <w:t>(5 bit field)</w:t>
            </w:r>
            <w:r w:rsidRPr="004D0DAA">
              <w:br/>
              <w:t xml:space="preserve">This information element assigns one (or more) TFI(s) to each TBF assigned to the mobile station in this message. This field is repeated for each TBF that is assigned in this message. Optionally, this field may be repeated for each timeslot on which the TBF has been assigned resources. This is in order to assign different TFI values for the same TBF on different resources (BPSCH). TFI values are encoded as defined in sub-clause 12.15. </w:t>
            </w:r>
          </w:p>
        </w:tc>
      </w:tr>
      <w:tr w:rsidR="00711444" w:rsidRPr="004D0DAA" w14:paraId="610E2032" w14:textId="77777777" w:rsidTr="00AA2A4C">
        <w:tblPrEx>
          <w:tblCellMar>
            <w:top w:w="0" w:type="dxa"/>
            <w:bottom w:w="0" w:type="dxa"/>
          </w:tblCellMar>
        </w:tblPrEx>
        <w:trPr>
          <w:cantSplit/>
        </w:trPr>
        <w:tc>
          <w:tcPr>
            <w:tcW w:w="9848" w:type="dxa"/>
          </w:tcPr>
          <w:p w14:paraId="000E3809" w14:textId="77777777" w:rsidR="00711444" w:rsidRPr="004D0DAA" w:rsidRDefault="00711444" w:rsidP="00AA2A4C">
            <w:pPr>
              <w:spacing w:after="0"/>
              <w:rPr>
                <w:bCs/>
              </w:rPr>
            </w:pPr>
            <w:r w:rsidRPr="004D0DAA">
              <w:rPr>
                <w:b/>
              </w:rPr>
              <w:t>RB Id</w:t>
            </w:r>
            <w:r w:rsidRPr="004D0DAA">
              <w:rPr>
                <w:bCs/>
              </w:rPr>
              <w:t xml:space="preserve"> (5 bit field)</w:t>
            </w:r>
          </w:p>
          <w:p w14:paraId="3C8866FE" w14:textId="77777777" w:rsidR="00711444" w:rsidRPr="004D0DAA" w:rsidRDefault="00711444" w:rsidP="00AA2A4C">
            <w:pPr>
              <w:spacing w:after="0"/>
              <w:rPr>
                <w:bCs/>
              </w:rPr>
            </w:pPr>
            <w:r w:rsidRPr="004D0DAA">
              <w:rPr>
                <w:bCs/>
              </w:rPr>
              <w:t>This field contains the radio bearer identifier for the radio bearer using the assigned TBF. This provides the mapping of TFI to RB Id which is necessary to uniquely identify Iu-mode data flows.</w:t>
            </w:r>
          </w:p>
          <w:p w14:paraId="57E4012E" w14:textId="77777777" w:rsidR="00711444" w:rsidRPr="004D0DAA" w:rsidRDefault="00711444" w:rsidP="00AA2A4C">
            <w:pPr>
              <w:spacing w:after="0"/>
              <w:rPr>
                <w:b/>
              </w:rPr>
            </w:pPr>
          </w:p>
        </w:tc>
      </w:tr>
      <w:tr w:rsidR="00711444" w:rsidRPr="004D0DAA" w14:paraId="764B6314" w14:textId="77777777" w:rsidTr="00AA2A4C">
        <w:tblPrEx>
          <w:tblCellMar>
            <w:top w:w="0" w:type="dxa"/>
            <w:bottom w:w="0" w:type="dxa"/>
          </w:tblCellMar>
        </w:tblPrEx>
        <w:trPr>
          <w:cantSplit/>
        </w:trPr>
        <w:tc>
          <w:tcPr>
            <w:tcW w:w="9848" w:type="dxa"/>
          </w:tcPr>
          <w:p w14:paraId="75F5F9E0" w14:textId="77777777" w:rsidR="00711444" w:rsidRPr="004D0DAA" w:rsidRDefault="00711444" w:rsidP="00AA2A4C">
            <w:pPr>
              <w:spacing w:after="0"/>
              <w:rPr>
                <w:bCs/>
              </w:rPr>
            </w:pPr>
            <w:r w:rsidRPr="004D0DAA">
              <w:rPr>
                <w:b/>
              </w:rPr>
              <w:t xml:space="preserve">Uplink Control Timeslot </w:t>
            </w:r>
            <w:r w:rsidRPr="004D0DAA">
              <w:rPr>
                <w:bCs/>
              </w:rPr>
              <w:t>(3 bit field)</w:t>
            </w:r>
          </w:p>
          <w:p w14:paraId="787FECCD" w14:textId="77777777" w:rsidR="00711444" w:rsidRPr="004D0DAA" w:rsidRDefault="00711444" w:rsidP="00AA2A4C">
            <w:pPr>
              <w:spacing w:after="0"/>
              <w:rPr>
                <w:bCs/>
              </w:rPr>
            </w:pPr>
            <w:r w:rsidRPr="004D0DAA">
              <w:t xml:space="preserve">In case of a BTTI configuration, </w:t>
            </w:r>
            <w:r w:rsidRPr="004D0DAA">
              <w:rPr>
                <w:bCs/>
              </w:rPr>
              <w:t xml:space="preserve">this field contains the timeslot number of the timeslot where the PACCH/U for the MS is located.  </w:t>
            </w:r>
            <w:r w:rsidRPr="004D0DAA">
              <w:t xml:space="preserve">In case of an RTTI configuration, </w:t>
            </w:r>
            <w:r w:rsidRPr="004D0DAA">
              <w:rPr>
                <w:bCs/>
              </w:rPr>
              <w:t xml:space="preserve">this field contains the timeslot number of the timeslot </w:t>
            </w:r>
            <w:r w:rsidRPr="004D0DAA">
              <w:t xml:space="preserve">belonging to the uplink PDCH pair </w:t>
            </w:r>
            <w:r w:rsidRPr="004D0DAA">
              <w:rPr>
                <w:bCs/>
              </w:rPr>
              <w:t>where the PACCH/U for the MS is located. It is encoded as the binary representation of the timeslot number as defined in 3GPP TS 45.002.</w:t>
            </w:r>
          </w:p>
          <w:p w14:paraId="5EAC5A00" w14:textId="77777777" w:rsidR="00711444" w:rsidRPr="004D0DAA" w:rsidRDefault="00711444" w:rsidP="00AA2A4C">
            <w:pPr>
              <w:spacing w:after="0"/>
            </w:pPr>
          </w:p>
          <w:p w14:paraId="150590A3" w14:textId="77777777" w:rsidR="00711444" w:rsidRPr="004D0DAA" w:rsidRDefault="00711444" w:rsidP="00AA2A4C">
            <w:pPr>
              <w:spacing w:after="0"/>
            </w:pPr>
            <w:r w:rsidRPr="004D0DAA">
              <w:t>If this field is included in the Multiple Downlink Assignment struct, it shall refer to all downlink TBFs assigned in the message. If this field is included in the Downlink TBF assignment struct, it refers only to the TBF given by the TFI Assignment field (this specific value overrules any default value given in the Multiple Downlink Assignment struct). If the Uplink Control Timeslot field is not included in the message at all, then the default rules for the location of PACCH/U apply.</w:t>
            </w:r>
          </w:p>
          <w:p w14:paraId="118A8081" w14:textId="77777777" w:rsidR="00711444" w:rsidRPr="004D0DAA" w:rsidRDefault="00711444" w:rsidP="00AA2A4C">
            <w:pPr>
              <w:spacing w:after="0"/>
            </w:pPr>
          </w:p>
          <w:p w14:paraId="09708CB0" w14:textId="77777777" w:rsidR="00711444" w:rsidRPr="004D0DAA" w:rsidRDefault="00711444" w:rsidP="00AA2A4C">
            <w:pPr>
              <w:spacing w:after="0"/>
              <w:rPr>
                <w:bCs/>
              </w:rPr>
            </w:pPr>
            <w:r w:rsidRPr="004D0DAA">
              <w:rPr>
                <w:b/>
              </w:rPr>
              <w:t xml:space="preserve">Uplink Control Timeslot C1 </w:t>
            </w:r>
            <w:r w:rsidRPr="004D0DAA">
              <w:rPr>
                <w:bCs/>
              </w:rPr>
              <w:t>(3 bit field)</w:t>
            </w:r>
          </w:p>
          <w:p w14:paraId="3DD1FBC7" w14:textId="77777777" w:rsidR="00711444" w:rsidRPr="004D0DAA" w:rsidRDefault="00711444" w:rsidP="00AA2A4C">
            <w:r w:rsidRPr="004D0DAA">
              <w:t xml:space="preserve">In case of a BTTI configuration, </w:t>
            </w:r>
            <w:r w:rsidRPr="004D0DAA">
              <w:rPr>
                <w:bCs/>
              </w:rPr>
              <w:t xml:space="preserve">this field, if present, contains the timeslot number on carrier1 of the timeslot where the PACCH/U for the MS is located. </w:t>
            </w:r>
            <w:r w:rsidRPr="004D0DAA">
              <w:t xml:space="preserve">In case of an RTTI configuration, </w:t>
            </w:r>
            <w:r w:rsidRPr="004D0DAA">
              <w:rPr>
                <w:bCs/>
              </w:rPr>
              <w:t xml:space="preserve">this field contains the timeslot number on carrier1 of the timeslot </w:t>
            </w:r>
            <w:r w:rsidRPr="004D0DAA">
              <w:t xml:space="preserve">belonging to the uplink PDCH pair </w:t>
            </w:r>
            <w:r w:rsidRPr="004D0DAA">
              <w:rPr>
                <w:bCs/>
              </w:rPr>
              <w:t>where the PACCH/U for the MS is located. It is encoded as the binary representation of the timeslot number as defined in 3GPP TS 45.002.</w:t>
            </w:r>
            <w:r w:rsidRPr="004D0DAA">
              <w:t xml:space="preserve"> </w:t>
            </w:r>
          </w:p>
          <w:p w14:paraId="3BB4D1D7" w14:textId="77777777" w:rsidR="00711444" w:rsidRPr="004D0DAA" w:rsidRDefault="00711444" w:rsidP="00AA2A4C">
            <w:pPr>
              <w:spacing w:after="0"/>
              <w:rPr>
                <w:bCs/>
              </w:rPr>
            </w:pPr>
            <w:r w:rsidRPr="004D0DAA">
              <w:rPr>
                <w:b/>
              </w:rPr>
              <w:t xml:space="preserve">Uplink Control Timeslot C2 </w:t>
            </w:r>
            <w:r w:rsidRPr="004D0DAA">
              <w:rPr>
                <w:bCs/>
              </w:rPr>
              <w:t>(3 bit field)</w:t>
            </w:r>
          </w:p>
          <w:p w14:paraId="22E30910" w14:textId="77777777" w:rsidR="00711444" w:rsidRPr="004D0DAA" w:rsidRDefault="00711444" w:rsidP="00AA2A4C">
            <w:pPr>
              <w:spacing w:after="0"/>
              <w:rPr>
                <w:bCs/>
              </w:rPr>
            </w:pPr>
            <w:r w:rsidRPr="004D0DAA">
              <w:t xml:space="preserve">In case of a BTTI configuration, </w:t>
            </w:r>
            <w:r w:rsidRPr="004D0DAA">
              <w:rPr>
                <w:bCs/>
              </w:rPr>
              <w:t xml:space="preserve">this field, if present, contains the timeslot number on carrier2 of the timeslot where the PACCH/U for the MS is located. </w:t>
            </w:r>
            <w:r w:rsidRPr="004D0DAA">
              <w:t xml:space="preserve">In case of an RTTI configuration, </w:t>
            </w:r>
            <w:r w:rsidRPr="004D0DAA">
              <w:rPr>
                <w:bCs/>
              </w:rPr>
              <w:t xml:space="preserve">this field contains the timeslot number on carrier2 of the timeslot </w:t>
            </w:r>
            <w:r w:rsidRPr="004D0DAA">
              <w:t xml:space="preserve">belonging to the uplink PDCH pair </w:t>
            </w:r>
            <w:r w:rsidRPr="004D0DAA">
              <w:rPr>
                <w:bCs/>
              </w:rPr>
              <w:t>where the PACCH/U for the MS is located. It is encoded as the binary representation of the timeslot number as defined in 3GPP TS 45.002.</w:t>
            </w:r>
          </w:p>
          <w:p w14:paraId="7ADF6A20" w14:textId="77777777" w:rsidR="00711444" w:rsidRPr="004D0DAA" w:rsidRDefault="00711444" w:rsidP="00AA2A4C">
            <w:pPr>
              <w:spacing w:after="0"/>
              <w:rPr>
                <w:bCs/>
              </w:rPr>
            </w:pPr>
          </w:p>
          <w:p w14:paraId="67F73A1E" w14:textId="77777777" w:rsidR="00711444" w:rsidRPr="004D0DAA" w:rsidRDefault="00711444" w:rsidP="00AA2A4C">
            <w:pPr>
              <w:spacing w:after="0"/>
            </w:pPr>
            <w:r w:rsidRPr="004D0DAA">
              <w:t xml:space="preserve">If the Uplink Control Timeslot C1 and/or the Uplink Control Timeslot C2 fields are included in the </w:t>
            </w:r>
            <w:r w:rsidRPr="004D0DAA">
              <w:rPr>
                <w:rFonts w:hint="eastAsia"/>
                <w:lang w:eastAsia="ko-KR"/>
              </w:rPr>
              <w:t xml:space="preserve">BTTI Multiple Downlink Assignment struct (respectively RTTI Multiple Downlink Assignment </w:t>
            </w:r>
            <w:r w:rsidRPr="004D0DAA">
              <w:rPr>
                <w:lang w:eastAsia="ko-KR"/>
              </w:rPr>
              <w:t xml:space="preserve">SC / DC </w:t>
            </w:r>
            <w:r w:rsidRPr="004D0DAA">
              <w:rPr>
                <w:rFonts w:hint="eastAsia"/>
                <w:lang w:eastAsia="ko-KR"/>
              </w:rPr>
              <w:t>struct)</w:t>
            </w:r>
            <w:r w:rsidRPr="004D0DAA">
              <w:t xml:space="preserve">, they shall refer to all downlink TBFs assigned in the message. If these fields are included in the </w:t>
            </w:r>
            <w:r w:rsidRPr="004D0DAA">
              <w:rPr>
                <w:rFonts w:hint="eastAsia"/>
                <w:lang w:eastAsia="ko-KR"/>
              </w:rPr>
              <w:t>Downlink TBF assignment 2 struct</w:t>
            </w:r>
            <w:r w:rsidRPr="004D0DAA">
              <w:t xml:space="preserve">, they refer only to the TBF given by the TFI Assignment field (the specific values overrule any default values given in the </w:t>
            </w:r>
            <w:r w:rsidRPr="004D0DAA">
              <w:rPr>
                <w:rFonts w:hint="eastAsia"/>
                <w:lang w:eastAsia="ko-KR"/>
              </w:rPr>
              <w:t xml:space="preserve">BTTI Multiple Downlink Assignment struct (respectively RTTI Multiple Downlink Assignment </w:t>
            </w:r>
            <w:r w:rsidRPr="004D0DAA">
              <w:rPr>
                <w:lang w:eastAsia="ko-KR"/>
              </w:rPr>
              <w:t xml:space="preserve">SC / DC </w:t>
            </w:r>
            <w:r w:rsidRPr="004D0DAA">
              <w:rPr>
                <w:rFonts w:hint="eastAsia"/>
                <w:lang w:eastAsia="ko-KR"/>
              </w:rPr>
              <w:t>struct)</w:t>
            </w:r>
            <w:r w:rsidRPr="004D0DAA">
              <w:t>).</w:t>
            </w:r>
            <w:r w:rsidRPr="004D0DAA">
              <w:rPr>
                <w:rFonts w:hint="eastAsia"/>
                <w:lang w:eastAsia="ko-KR"/>
              </w:rPr>
              <w:t xml:space="preserve"> </w:t>
            </w:r>
            <w:r w:rsidRPr="004D0DAA">
              <w:t>If the Uplink Control Timeslot field is not included in the message at all, then the default rules for the location of PACCH/U apply.</w:t>
            </w:r>
          </w:p>
          <w:p w14:paraId="127D91B4" w14:textId="77777777" w:rsidR="00711444" w:rsidRPr="004D0DAA" w:rsidRDefault="00711444" w:rsidP="00AA2A4C">
            <w:pPr>
              <w:spacing w:after="0"/>
              <w:rPr>
                <w:b/>
              </w:rPr>
            </w:pPr>
          </w:p>
        </w:tc>
      </w:tr>
      <w:tr w:rsidR="00711444" w:rsidRPr="004D0DAA" w14:paraId="1382D5C0" w14:textId="77777777" w:rsidTr="00AA2A4C">
        <w:tblPrEx>
          <w:tblCellMar>
            <w:top w:w="0" w:type="dxa"/>
            <w:bottom w:w="0" w:type="dxa"/>
          </w:tblCellMar>
        </w:tblPrEx>
        <w:trPr>
          <w:cantSplit/>
        </w:trPr>
        <w:tc>
          <w:tcPr>
            <w:tcW w:w="9848" w:type="dxa"/>
          </w:tcPr>
          <w:p w14:paraId="4524FB6A" w14:textId="77777777" w:rsidR="00711444" w:rsidRPr="004D0DAA" w:rsidRDefault="00711444" w:rsidP="00AA2A4C">
            <w:r w:rsidRPr="004D0DAA">
              <w:rPr>
                <w:b/>
              </w:rPr>
              <w:lastRenderedPageBreak/>
              <w:t>TIMESLOT_ALLOCATION</w:t>
            </w:r>
            <w:r w:rsidRPr="004D0DAA">
              <w:t xml:space="preserve"> (8 bit field)</w:t>
            </w:r>
            <w:r w:rsidRPr="004D0DAA">
              <w:rPr>
                <w:b/>
              </w:rPr>
              <w:br/>
            </w:r>
            <w:r w:rsidRPr="004D0DAA">
              <w:t>This field is defined in sub-clause 12.18.</w:t>
            </w:r>
          </w:p>
          <w:p w14:paraId="36CDE2CE" w14:textId="77777777" w:rsidR="00711444" w:rsidRPr="004D0DAA" w:rsidRDefault="00711444" w:rsidP="00AA2A4C">
            <w:pPr>
              <w:rPr>
                <w:b/>
              </w:rPr>
            </w:pPr>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 xml:space="preserve">These information fields indicate the timeslots assigned for use during the TBF on carrier 1 and carrier 2 respectively of a dual carrier configuration. These fields are defined in sub-clause 12.18. </w:t>
            </w:r>
          </w:p>
        </w:tc>
      </w:tr>
      <w:tr w:rsidR="00711444" w:rsidRPr="004D0DAA" w14:paraId="24C86724" w14:textId="77777777" w:rsidTr="00AA2A4C">
        <w:tblPrEx>
          <w:tblCellMar>
            <w:top w:w="0" w:type="dxa"/>
            <w:bottom w:w="0" w:type="dxa"/>
          </w:tblCellMar>
        </w:tblPrEx>
        <w:trPr>
          <w:cantSplit/>
        </w:trPr>
        <w:tc>
          <w:tcPr>
            <w:tcW w:w="9848" w:type="dxa"/>
          </w:tcPr>
          <w:p w14:paraId="1D4EE338" w14:textId="77777777" w:rsidR="00711444" w:rsidRPr="004D0DAA" w:rsidRDefault="00711444" w:rsidP="00AA2A4C">
            <w:r w:rsidRPr="004D0DAA">
              <w:rPr>
                <w:b/>
              </w:rPr>
              <w:t>Frequency Parameters</w:t>
            </w:r>
            <w:r w:rsidRPr="004D0DAA">
              <w:br/>
              <w:t>This information element, if present, assigns frequency parameters to the uplink and downlink TBFs. If this information element is not present the mobile station shall use its previously assigned frequency parameters. This information element is defined in sub-clause 12.8.</w:t>
            </w:r>
          </w:p>
          <w:p w14:paraId="766FA538" w14:textId="77777777" w:rsidR="00711444" w:rsidRPr="004D0DAA" w:rsidRDefault="00711444" w:rsidP="00AA2A4C">
            <w:r w:rsidRPr="004D0DAA">
              <w:rPr>
                <w:b/>
              </w:rPr>
              <w:t>Frequency Parameters C1, Frequency Parameters C2</w:t>
            </w:r>
            <w:r w:rsidRPr="004D0DAA">
              <w:br/>
              <w:t>These information elements are coded as defined in sub-clause 12.8. The usage of these parameters is specified in sub-clause 11.2.7.</w:t>
            </w:r>
          </w:p>
          <w:p w14:paraId="3422594B" w14:textId="77777777" w:rsidR="00711444" w:rsidRPr="004D0DAA" w:rsidRDefault="00711444" w:rsidP="00AA2A4C">
            <w:pPr>
              <w:rPr>
                <w:b/>
              </w:rPr>
            </w:pPr>
            <w:r w:rsidRPr="004D0DAA">
              <w:rPr>
                <w:rFonts w:cs="Arial"/>
                <w:b/>
                <w:bCs/>
              </w:rPr>
              <w:t xml:space="preserve">Dual Carrier Frequency Parameters </w:t>
            </w:r>
            <w:r w:rsidRPr="004D0DAA">
              <w:rPr>
                <w:rFonts w:cs="Arial"/>
                <w:b/>
                <w:bCs/>
              </w:rPr>
              <w:br/>
            </w:r>
            <w:r w:rsidRPr="004D0DAA">
              <w:t>This information element, if present, assigns frequency parameters to the uplink TBF for both carriers in a dual carrier configuration. This information element is defined in sub-clause 12.8.2.</w:t>
            </w:r>
          </w:p>
        </w:tc>
      </w:tr>
      <w:tr w:rsidR="00711444" w:rsidRPr="004D0DAA" w14:paraId="66FDDAA5" w14:textId="77777777" w:rsidTr="00AA2A4C">
        <w:tblPrEx>
          <w:tblCellMar>
            <w:top w:w="0" w:type="dxa"/>
            <w:bottom w:w="0" w:type="dxa"/>
          </w:tblCellMar>
        </w:tblPrEx>
        <w:trPr>
          <w:cantSplit/>
        </w:trPr>
        <w:tc>
          <w:tcPr>
            <w:tcW w:w="9848" w:type="dxa"/>
          </w:tcPr>
          <w:p w14:paraId="3729A233" w14:textId="77777777" w:rsidR="00711444" w:rsidRPr="004D0DAA" w:rsidRDefault="00711444" w:rsidP="00AA2A4C">
            <w:r w:rsidRPr="004D0DAA">
              <w:rPr>
                <w:b/>
              </w:rPr>
              <w:t>EXTENDED_DYNAMIC_ALLOCATION</w:t>
            </w:r>
            <w:r w:rsidRPr="004D0DAA">
              <w:t xml:space="preserve"> (1 bit field)</w:t>
            </w:r>
            <w:r w:rsidRPr="004D0DAA">
              <w:br/>
              <w:t>This information field indicates the medium access mode to be used during the TBF.</w:t>
            </w:r>
          </w:p>
          <w:p w14:paraId="53405B5D" w14:textId="77777777" w:rsidR="00711444" w:rsidRPr="004D0DAA" w:rsidRDefault="00711444" w:rsidP="00AA2A4C">
            <w:pPr>
              <w:rPr>
                <w:b/>
              </w:rPr>
            </w:pPr>
            <w:r w:rsidRPr="004D0DAA">
              <w:t>0</w:t>
            </w:r>
            <w:r w:rsidRPr="004D0DAA">
              <w:tab/>
              <w:t>Dynamic Allocation</w:t>
            </w:r>
            <w:r w:rsidRPr="004D0DAA">
              <w:br/>
              <w:t>1</w:t>
            </w:r>
            <w:r w:rsidRPr="004D0DAA">
              <w:tab/>
              <w:t>Extended Dynamic Allocation</w:t>
            </w:r>
          </w:p>
        </w:tc>
      </w:tr>
      <w:tr w:rsidR="00711444" w:rsidRPr="004D0DAA" w14:paraId="20FEEF7A" w14:textId="77777777" w:rsidTr="00AA2A4C">
        <w:tblPrEx>
          <w:tblCellMar>
            <w:top w:w="0" w:type="dxa"/>
            <w:bottom w:w="0" w:type="dxa"/>
          </w:tblCellMar>
        </w:tblPrEx>
        <w:trPr>
          <w:cantSplit/>
        </w:trPr>
        <w:tc>
          <w:tcPr>
            <w:tcW w:w="9848" w:type="dxa"/>
          </w:tcPr>
          <w:p w14:paraId="33B9E04E" w14:textId="77777777" w:rsidR="00711444" w:rsidRPr="004D0DAA" w:rsidRDefault="00711444" w:rsidP="00AA2A4C">
            <w:r w:rsidRPr="004D0DAA">
              <w:rPr>
                <w:b/>
              </w:rPr>
              <w:t>TBF Starting Time</w:t>
            </w:r>
            <w:r w:rsidRPr="004D0DAA">
              <w:br/>
              <w:t>The TBF Starting Time field contains a starting time that indicates the frame number during which the assigned TBF may start.</w:t>
            </w:r>
          </w:p>
          <w:p w14:paraId="7CDEED8B" w14:textId="77777777" w:rsidR="00711444" w:rsidRPr="004D0DAA" w:rsidRDefault="00711444" w:rsidP="00AA2A4C">
            <w:r w:rsidRPr="004D0DAA">
              <w:t>If no downlink TBF is in progress, the mobile station need not monitor the TFI field of downlink RLC data blocks until the indicated TDMA frame number. After the indicated TDMA frame number, the mobile station shall apply the new downlink parameters and then operate as during a downlink TBF. If a downlink TBF is already in progress, the mobile station shall continue to use the parameters of the existing TBF until the TDMA frame number occurs. When the indicated TDMA frame number occurs, the mobile station shall immediately begin to use the new downlink parameters assigned.</w:t>
            </w:r>
          </w:p>
          <w:p w14:paraId="0F4BEC34" w14:textId="77777777" w:rsidR="00711444" w:rsidRPr="004D0DAA" w:rsidRDefault="00711444" w:rsidP="00AA2A4C">
            <w:r w:rsidRPr="004D0DAA">
              <w:t>In case of dynamic allocation, if no uplink TBF is in progress, the MS need not monitor the USF field until the TDMA frame number occurs. When the indicated TDMA frame number occurs, the mobile station shall immediately begin to monitor the USF field and use the new assigned uplink TBF parameters when its USF has occurred. If an uplink TBF is already in progress, the MS shall continue to use the parameters of the existing TBF until the TDMA frame number occurs. When the indicated TDMA frame number occurs, the mobile station shall immediately begin to monitor the USF field and use the new assigned uplink TBF parameters when its USF has occurred.</w:t>
            </w:r>
          </w:p>
          <w:p w14:paraId="6EB1405C" w14:textId="77777777" w:rsidR="00711444" w:rsidRPr="004D0DAA" w:rsidRDefault="00711444" w:rsidP="00AA2A4C">
            <w:pPr>
              <w:rPr>
                <w:b/>
              </w:rPr>
            </w:pPr>
            <w:r w:rsidRPr="004D0DAA">
              <w:t>This field is encoded as the Starting Frame Number Description IE. See sub-clause 12.21</w:t>
            </w:r>
          </w:p>
        </w:tc>
      </w:tr>
      <w:tr w:rsidR="00711444" w:rsidRPr="004D0DAA" w14:paraId="15AEB5CE" w14:textId="77777777" w:rsidTr="00AA2A4C">
        <w:tblPrEx>
          <w:tblCellMar>
            <w:top w:w="0" w:type="dxa"/>
            <w:bottom w:w="0" w:type="dxa"/>
          </w:tblCellMar>
        </w:tblPrEx>
        <w:trPr>
          <w:cantSplit/>
        </w:trPr>
        <w:tc>
          <w:tcPr>
            <w:tcW w:w="9848" w:type="dxa"/>
          </w:tcPr>
          <w:p w14:paraId="6F35DE14" w14:textId="77777777" w:rsidR="00711444" w:rsidRPr="004D0DAA" w:rsidRDefault="00711444" w:rsidP="00AA2A4C">
            <w:r w:rsidRPr="004D0DAA">
              <w:rPr>
                <w:b/>
              </w:rPr>
              <w:t xml:space="preserve">MS_TIMESLOT_ALLOCATION </w:t>
            </w:r>
            <w:r w:rsidRPr="004D0DAA">
              <w:rPr>
                <w:bCs/>
              </w:rPr>
              <w:t>(8 bit field)</w:t>
            </w:r>
            <w:r w:rsidRPr="004D0DAA">
              <w:rPr>
                <w:bCs/>
              </w:rPr>
              <w:br/>
            </w:r>
            <w:r w:rsidRPr="004D0DAA">
              <w:t>This information field indicates the timeslots assigned for use by the MS for the assigned uplink TBFs. Bit 8 indicates the status of timeslot 0, bit 7 indicates the status of timeslot 1, etc. At least one timeslot must be assigned.</w:t>
            </w:r>
          </w:p>
          <w:p w14:paraId="00959F67" w14:textId="77777777" w:rsidR="00711444" w:rsidRPr="004D0DAA" w:rsidRDefault="00711444" w:rsidP="00AA2A4C">
            <w:r w:rsidRPr="004D0DAA">
              <w:t>0</w:t>
            </w:r>
            <w:r w:rsidRPr="004D0DAA">
              <w:tab/>
              <w:t>Timeslot is not assigned</w:t>
            </w:r>
            <w:r w:rsidRPr="004D0DAA">
              <w:br/>
              <w:t>1</w:t>
            </w:r>
            <w:r w:rsidRPr="004D0DAA">
              <w:tab/>
              <w:t>Timeslot is assigned</w:t>
            </w:r>
          </w:p>
          <w:p w14:paraId="0710E8E5" w14:textId="77777777" w:rsidR="00711444" w:rsidRPr="004D0DAA" w:rsidRDefault="00711444" w:rsidP="00AA2A4C">
            <w:r w:rsidRPr="004D0DAA">
              <w:rPr>
                <w:b/>
              </w:rPr>
              <w:t xml:space="preserve">MS_TIMESLOT_ALLOCATION_C1, MS_TIMESLOT_ALLOCATION_C2 </w:t>
            </w:r>
            <w:r w:rsidRPr="004D0DAA">
              <w:rPr>
                <w:bCs/>
              </w:rPr>
              <w:t>(8 bit field)</w:t>
            </w:r>
            <w:r w:rsidRPr="004D0DAA">
              <w:rPr>
                <w:bCs/>
              </w:rPr>
              <w:br/>
            </w:r>
            <w:r w:rsidRPr="004D0DAA">
              <w:t>If the Assignment Type field is included and indicates 'Assignment on single carrier only' or 'Modification of existing assignment', then the MS_TIMESLOT_ALLOCATION_C1 field shall apply to the carrier specified in the Carrier ID field. Otherwise, MS_TIMESLOT_ALLOCATION_C1 and MS_TIMESLOT_ALLOCATION_C2 apply to carrier 1 and carrier 2 respectively. These information fields indicate the timeslots assigned for use by the MS for the assigned uplink TBFs.</w:t>
            </w:r>
          </w:p>
          <w:p w14:paraId="2EC34EB1" w14:textId="77777777" w:rsidR="00711444" w:rsidRPr="004D0DAA" w:rsidRDefault="00711444" w:rsidP="00AA2A4C">
            <w:pPr>
              <w:rPr>
                <w:b/>
              </w:rPr>
            </w:pPr>
            <w:r w:rsidRPr="004D0DAA">
              <w:t xml:space="preserve"> Bit 8 indicates the status of timeslot 0, bit 7 indicates the status of timeslot 1, etc. If the Assignment Type field is included and indicates 'Dual Carrier assignment' and MS_TIMESLOT_ALLOCATION_C1 is present and MS_TIMESLOT_ALLOCATION_C2 is not present, then the timeslots specified in MS_TIMESLOT_ALLOCATION_C1 apply also to carrier 2.</w:t>
            </w:r>
          </w:p>
        </w:tc>
      </w:tr>
      <w:tr w:rsidR="00711444" w:rsidRPr="004D0DAA" w14:paraId="37ED24DE" w14:textId="77777777" w:rsidTr="00AA2A4C">
        <w:tblPrEx>
          <w:tblCellMar>
            <w:top w:w="0" w:type="dxa"/>
            <w:bottom w:w="0" w:type="dxa"/>
          </w:tblCellMar>
        </w:tblPrEx>
        <w:trPr>
          <w:cantSplit/>
        </w:trPr>
        <w:tc>
          <w:tcPr>
            <w:tcW w:w="9848" w:type="dxa"/>
          </w:tcPr>
          <w:p w14:paraId="6A816554" w14:textId="77777777" w:rsidR="00711444" w:rsidRPr="004D0DAA" w:rsidRDefault="00711444" w:rsidP="00AA2A4C">
            <w:pPr>
              <w:rPr>
                <w:bCs/>
              </w:rPr>
            </w:pPr>
            <w:r w:rsidRPr="004D0DAA">
              <w:rPr>
                <w:b/>
              </w:rPr>
              <w:lastRenderedPageBreak/>
              <w:t xml:space="preserve">TBF_TIMESLOT_ALLOCATION </w:t>
            </w:r>
            <w:r w:rsidRPr="004D0DAA">
              <w:rPr>
                <w:bCs/>
              </w:rPr>
              <w:t>(N bit field)</w:t>
            </w:r>
            <w:r w:rsidRPr="004D0DAA">
              <w:rPr>
                <w:bCs/>
              </w:rPr>
              <w:br/>
              <w:t>This information field indicates the timeslots assigned to a particular uplink TBF, within the timeslots assigned to the MS in the Global Timeslot description. This field contains as many bits as there are timeslots assigned to the MS in the Global Timeslot description. Bit N indicates the status of the lowest numbered timeslot in the timeslots assigned to the MS in the Global Timeslot description. Bit N-1 (if any) indicates the status of the next lowest numbered timeslot, etc. At least one timeslot must be assigned per TBF</w:t>
            </w:r>
          </w:p>
          <w:p w14:paraId="011946A3" w14:textId="77777777" w:rsidR="00711444" w:rsidRPr="004D0DAA" w:rsidRDefault="00711444" w:rsidP="00AA2A4C">
            <w:pPr>
              <w:rPr>
                <w:bCs/>
              </w:rPr>
            </w:pPr>
            <w:r w:rsidRPr="004D0DAA">
              <w:rPr>
                <w:bCs/>
              </w:rPr>
              <w:t xml:space="preserve">In the case of a dual carrier configuration, the timeslots indicated in the </w:t>
            </w:r>
            <w:r w:rsidRPr="004D0DAA">
              <w:rPr>
                <w:b/>
                <w:bCs/>
              </w:rPr>
              <w:t>MS_TIMESLOT_ALLOCATION_C1</w:t>
            </w:r>
            <w:r w:rsidRPr="004D0DAA">
              <w:rPr>
                <w:bCs/>
              </w:rPr>
              <w:t xml:space="preserve"> field shall be considered as lower numbered than those in the </w:t>
            </w:r>
            <w:r w:rsidRPr="004D0DAA">
              <w:rPr>
                <w:b/>
                <w:bCs/>
              </w:rPr>
              <w:t>MS_TIMESLOT_ALLOCATION_C2</w:t>
            </w:r>
            <w:r w:rsidRPr="004D0DAA">
              <w:rPr>
                <w:bCs/>
              </w:rPr>
              <w:t xml:space="preserve"> field</w:t>
            </w:r>
            <w:r w:rsidRPr="004D0DAA">
              <w:rPr>
                <w:b/>
                <w:bCs/>
              </w:rPr>
              <w:t>.</w:t>
            </w:r>
          </w:p>
          <w:p w14:paraId="41B7816E" w14:textId="77777777" w:rsidR="00711444" w:rsidRPr="004D0DAA" w:rsidRDefault="00711444" w:rsidP="00AA2A4C">
            <w:pPr>
              <w:rPr>
                <w:b/>
              </w:rPr>
            </w:pPr>
            <w:r w:rsidRPr="004D0DAA">
              <w:rPr>
                <w:bCs/>
              </w:rPr>
              <w:t>0</w:t>
            </w:r>
            <w:r w:rsidRPr="004D0DAA">
              <w:rPr>
                <w:bCs/>
              </w:rPr>
              <w:tab/>
              <w:t>Timeslot is not assigned</w:t>
            </w:r>
            <w:r w:rsidRPr="004D0DAA">
              <w:rPr>
                <w:bCs/>
              </w:rPr>
              <w:br/>
              <w:t>1</w:t>
            </w:r>
            <w:r w:rsidRPr="004D0DAA">
              <w:rPr>
                <w:bCs/>
              </w:rPr>
              <w:tab/>
              <w:t>Timeslot is assigned</w:t>
            </w:r>
          </w:p>
        </w:tc>
      </w:tr>
      <w:tr w:rsidR="00711444" w:rsidRPr="004D0DAA" w14:paraId="584AB773" w14:textId="77777777" w:rsidTr="00AA2A4C">
        <w:tblPrEx>
          <w:tblCellMar>
            <w:top w:w="0" w:type="dxa"/>
            <w:bottom w:w="0" w:type="dxa"/>
          </w:tblCellMar>
        </w:tblPrEx>
        <w:trPr>
          <w:cantSplit/>
        </w:trPr>
        <w:tc>
          <w:tcPr>
            <w:tcW w:w="9848" w:type="dxa"/>
          </w:tcPr>
          <w:p w14:paraId="1FAC17AA" w14:textId="77777777" w:rsidR="00711444" w:rsidRPr="004D0DAA" w:rsidRDefault="00711444" w:rsidP="00AA2A4C">
            <w:r w:rsidRPr="004D0DAA">
              <w:rPr>
                <w:b/>
              </w:rPr>
              <w:t>USF_ALLOCATION</w:t>
            </w:r>
            <w:r w:rsidRPr="004D0DAA">
              <w:t xml:space="preserve"> (3 bit field)</w:t>
            </w:r>
          </w:p>
          <w:p w14:paraId="2814A562" w14:textId="77777777" w:rsidR="00711444" w:rsidRPr="004D0DAA" w:rsidRDefault="00711444" w:rsidP="00AA2A4C">
            <w:r w:rsidRPr="004D0DAA">
              <w:t>This field indicates the USF value assigned to the MS for one or more assigned timeslots. This field is encoded as a binary presentation of the USF value as defined in sub-clause 10.4.1.</w:t>
            </w:r>
          </w:p>
          <w:p w14:paraId="3B196529" w14:textId="77777777" w:rsidR="00711444" w:rsidRPr="004D0DAA" w:rsidRDefault="00711444" w:rsidP="00AA2A4C">
            <w:pPr>
              <w:rPr>
                <w:b/>
              </w:rPr>
            </w:pPr>
            <w:r w:rsidRPr="004D0DAA">
              <w:rPr>
                <w:b/>
              </w:rPr>
              <w:t>USF_ALLOCATION_C1, USF_ALLOCATION_C2</w:t>
            </w:r>
            <w:r w:rsidRPr="004D0DAA">
              <w:t xml:space="preserve"> (3 bit field)</w:t>
            </w:r>
            <w:r w:rsidRPr="004D0DAA">
              <w:br/>
              <w:t>For description and encoding, see the Multiple TBF Uplink Assignment message.</w:t>
            </w:r>
          </w:p>
        </w:tc>
      </w:tr>
      <w:tr w:rsidR="00711444" w:rsidRPr="004D0DAA" w14:paraId="6495CF28" w14:textId="77777777" w:rsidTr="00AA2A4C">
        <w:tblPrEx>
          <w:tblCellMar>
            <w:top w:w="0" w:type="dxa"/>
            <w:bottom w:w="0" w:type="dxa"/>
          </w:tblCellMar>
        </w:tblPrEx>
        <w:trPr>
          <w:cantSplit/>
        </w:trPr>
        <w:tc>
          <w:tcPr>
            <w:tcW w:w="9848" w:type="dxa"/>
          </w:tcPr>
          <w:p w14:paraId="456CA3A6"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73CEEE38"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0A32AB69" w14:textId="77777777" w:rsidTr="00AA2A4C">
        <w:tblPrEx>
          <w:tblCellMar>
            <w:top w:w="0" w:type="dxa"/>
            <w:bottom w:w="0" w:type="dxa"/>
          </w:tblCellMar>
        </w:tblPrEx>
        <w:trPr>
          <w:cantSplit/>
        </w:trPr>
        <w:tc>
          <w:tcPr>
            <w:tcW w:w="9848" w:type="dxa"/>
          </w:tcPr>
          <w:p w14:paraId="62391243" w14:textId="77777777" w:rsidR="00711444" w:rsidRPr="004D0DAA" w:rsidRDefault="00711444" w:rsidP="00AA2A4C">
            <w:r w:rsidRPr="004D0DAA">
              <w:rPr>
                <w:b/>
              </w:rPr>
              <w:t>ALPHA</w:t>
            </w:r>
            <w:r w:rsidRPr="004D0DAA">
              <w:t xml:space="preserve"> (4 bit field)</w:t>
            </w:r>
            <w:r w:rsidRPr="004D0DAA">
              <w:br/>
              <w:t xml:space="preserve">For encoding and description see the Global Power Control Parameters IE. </w:t>
            </w:r>
          </w:p>
          <w:p w14:paraId="427E8149" w14:textId="77777777" w:rsidR="00711444" w:rsidRPr="004D0DAA" w:rsidRDefault="00711444" w:rsidP="00AA2A4C">
            <w:pPr>
              <w:rPr>
                <w:b/>
              </w:rPr>
            </w:pPr>
            <w:r w:rsidRPr="004D0DAA">
              <w:rPr>
                <w:b/>
              </w:rPr>
              <w:t>ALPHA_C1, ALPHA_C2</w:t>
            </w:r>
            <w:r w:rsidRPr="004D0DAA">
              <w:t xml:space="preserve"> (4 bit field)</w:t>
            </w:r>
            <w:r w:rsidRPr="004D0DAA">
              <w:br/>
              <w:t>The usage of these fields is as specified in sub-clause 11.2.29.</w:t>
            </w:r>
          </w:p>
        </w:tc>
      </w:tr>
      <w:tr w:rsidR="00711444" w:rsidRPr="004D0DAA" w14:paraId="6342921F" w14:textId="77777777" w:rsidTr="00AA2A4C">
        <w:tblPrEx>
          <w:tblCellMar>
            <w:top w:w="0" w:type="dxa"/>
            <w:bottom w:w="0" w:type="dxa"/>
          </w:tblCellMar>
        </w:tblPrEx>
        <w:trPr>
          <w:cantSplit/>
        </w:trPr>
        <w:tc>
          <w:tcPr>
            <w:tcW w:w="9848" w:type="dxa"/>
          </w:tcPr>
          <w:p w14:paraId="54E67F1C" w14:textId="77777777" w:rsidR="00711444" w:rsidRPr="004D0DAA" w:rsidRDefault="00711444" w:rsidP="00AA2A4C">
            <w:pPr>
              <w:spacing w:after="0"/>
            </w:pPr>
            <w:r w:rsidRPr="004D0DAA">
              <w:rPr>
                <w:b/>
              </w:rPr>
              <w:t>N_PAIRS</w:t>
            </w:r>
            <w:r w:rsidRPr="004D0DAA">
              <w:t xml:space="preserve"> (3 bit field)</w:t>
            </w:r>
          </w:p>
          <w:p w14:paraId="29A73635" w14:textId="77777777" w:rsidR="00711444" w:rsidRPr="004D0DAA" w:rsidRDefault="00711444" w:rsidP="00AA2A4C">
            <w:pPr>
              <w:spacing w:after="0"/>
            </w:pPr>
            <w:r w:rsidRPr="004D0DAA">
              <w:t>This field indicate the number of PDCH pairs for which GAMMA values are signalled. The number PDCH pairs is given as the binary value of the corresponding field plus one.</w:t>
            </w:r>
          </w:p>
          <w:p w14:paraId="0ED74B5A" w14:textId="77777777" w:rsidR="00711444" w:rsidRPr="004D0DAA" w:rsidRDefault="00711444" w:rsidP="00AA2A4C">
            <w:pPr>
              <w:spacing w:after="0"/>
            </w:pPr>
          </w:p>
          <w:p w14:paraId="747262BB" w14:textId="77777777" w:rsidR="00711444" w:rsidRPr="004D0DAA" w:rsidRDefault="00711444" w:rsidP="00AA2A4C">
            <w:pPr>
              <w:rPr>
                <w:b/>
              </w:rPr>
            </w:pPr>
            <w:r w:rsidRPr="004D0DAA">
              <w:t>See Annex K for details of the coding of this field.</w:t>
            </w:r>
          </w:p>
        </w:tc>
      </w:tr>
      <w:tr w:rsidR="00711444" w:rsidRPr="004D0DAA" w14:paraId="7E89CE44" w14:textId="77777777" w:rsidTr="00AA2A4C">
        <w:tblPrEx>
          <w:tblCellMar>
            <w:top w:w="0" w:type="dxa"/>
            <w:bottom w:w="0" w:type="dxa"/>
          </w:tblCellMar>
        </w:tblPrEx>
        <w:trPr>
          <w:cantSplit/>
        </w:trPr>
        <w:tc>
          <w:tcPr>
            <w:tcW w:w="9848" w:type="dxa"/>
          </w:tcPr>
          <w:p w14:paraId="0BECA893" w14:textId="77777777" w:rsidR="00711444" w:rsidRPr="004D0DAA" w:rsidRDefault="00711444" w:rsidP="00AA2A4C">
            <w:r w:rsidRPr="004D0DAA">
              <w:rPr>
                <w:b/>
              </w:rPr>
              <w:t>GAMMA, GAMMA_TN</w:t>
            </w:r>
            <w:r w:rsidRPr="004D0DAA">
              <w:t xml:space="preserve"> (5 bit field)</w:t>
            </w:r>
            <w:r w:rsidRPr="004D0DAA">
              <w:br/>
              <w:t xml:space="preserve">The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110BC5CE"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 xml:space="preserve">CH = 62 dB </w:t>
            </w:r>
          </w:p>
          <w:p w14:paraId="0BB01E5F" w14:textId="77777777" w:rsidR="00711444" w:rsidRPr="004D0DAA" w:rsidRDefault="00711444" w:rsidP="00AA2A4C">
            <w:pPr>
              <w:tabs>
                <w:tab w:val="left" w:pos="1134"/>
              </w:tabs>
              <w:rPr>
                <w:b/>
              </w:rPr>
            </w:pPr>
            <w:r w:rsidRPr="004D0DAA">
              <w:rPr>
                <w:b/>
              </w:rPr>
              <w:t>GAMMA_TN_C1</w:t>
            </w:r>
            <w:r w:rsidRPr="004D0DAA">
              <w:t xml:space="preserve"> (5 bit field)</w:t>
            </w:r>
            <w:r w:rsidRPr="004D0DAA">
              <w:br/>
            </w:r>
            <w:r w:rsidRPr="004D0DAA">
              <w:rPr>
                <w:b/>
              </w:rPr>
              <w:t>GAMMA_TN_C2</w:t>
            </w:r>
            <w:r w:rsidRPr="004D0DAA">
              <w:t xml:space="preserve"> (5 bit field)</w:t>
            </w:r>
            <w:r w:rsidRPr="004D0DAA">
              <w:br/>
              <w:t>The coding and usage of these fields is as specified for the Packet Uplink Assignment message.</w:t>
            </w:r>
          </w:p>
        </w:tc>
      </w:tr>
      <w:tr w:rsidR="00711444" w:rsidRPr="004D0DAA" w14:paraId="2D77BEDB" w14:textId="77777777" w:rsidTr="00AA2A4C">
        <w:tblPrEx>
          <w:tblCellMar>
            <w:top w:w="0" w:type="dxa"/>
            <w:bottom w:w="0" w:type="dxa"/>
          </w:tblCellMar>
        </w:tblPrEx>
        <w:trPr>
          <w:cantSplit/>
        </w:trPr>
        <w:tc>
          <w:tcPr>
            <w:tcW w:w="9848" w:type="dxa"/>
          </w:tcPr>
          <w:p w14:paraId="07BB09E8" w14:textId="77777777" w:rsidR="00711444" w:rsidRPr="004D0DAA" w:rsidRDefault="00711444" w:rsidP="00AA2A4C">
            <w:pPr>
              <w:rPr>
                <w:b/>
              </w:rPr>
            </w:pPr>
            <w:r w:rsidRPr="004D0DAA">
              <w:rPr>
                <w:b/>
              </w:rPr>
              <w:t>P0, P0_C1, P0_C2</w:t>
            </w:r>
            <w:r w:rsidRPr="004D0DAA">
              <w:t xml:space="preserve"> (4 bit field)</w:t>
            </w:r>
            <w:r w:rsidRPr="004D0DAA">
              <w:br/>
              <w:t xml:space="preserve">For description and encoding, see the Packet Uplink Assignment message. </w:t>
            </w:r>
          </w:p>
        </w:tc>
      </w:tr>
      <w:tr w:rsidR="00711444" w:rsidRPr="004D0DAA" w14:paraId="1DA49023" w14:textId="77777777" w:rsidTr="00AA2A4C">
        <w:tblPrEx>
          <w:tblCellMar>
            <w:top w:w="0" w:type="dxa"/>
            <w:bottom w:w="0" w:type="dxa"/>
          </w:tblCellMar>
        </w:tblPrEx>
        <w:trPr>
          <w:cantSplit/>
        </w:trPr>
        <w:tc>
          <w:tcPr>
            <w:tcW w:w="9848" w:type="dxa"/>
          </w:tcPr>
          <w:p w14:paraId="65E1AC86" w14:textId="77777777" w:rsidR="00711444" w:rsidRPr="004D0DAA" w:rsidRDefault="00711444" w:rsidP="00AA2A4C">
            <w:pPr>
              <w:rPr>
                <w:b/>
              </w:rPr>
            </w:pPr>
            <w:r w:rsidRPr="004D0DAA">
              <w:rPr>
                <w:b/>
              </w:rPr>
              <w:t>PR_MODE, PR_MODE_C1, PR_MODE_C2</w:t>
            </w:r>
            <w:r w:rsidRPr="004D0DAA">
              <w:t xml:space="preserve"> (1 bit field)</w:t>
            </w:r>
            <w:r w:rsidRPr="004D0DAA">
              <w:br/>
              <w:t xml:space="preserve">For description and encoding, see the Packet Uplink Assignment message. </w:t>
            </w:r>
          </w:p>
        </w:tc>
      </w:tr>
      <w:tr w:rsidR="00711444" w:rsidRPr="004D0DAA" w14:paraId="4EDF0569" w14:textId="77777777" w:rsidTr="00AA2A4C">
        <w:tblPrEx>
          <w:tblCellMar>
            <w:top w:w="0" w:type="dxa"/>
            <w:bottom w:w="0" w:type="dxa"/>
          </w:tblCellMar>
        </w:tblPrEx>
        <w:trPr>
          <w:cantSplit/>
        </w:trPr>
        <w:tc>
          <w:tcPr>
            <w:tcW w:w="9848" w:type="dxa"/>
          </w:tcPr>
          <w:p w14:paraId="4D3A4111" w14:textId="77777777" w:rsidR="00711444" w:rsidRPr="004D0DAA" w:rsidRDefault="00711444" w:rsidP="00AA2A4C">
            <w:r w:rsidRPr="004D0DAA">
              <w:rPr>
                <w:b/>
              </w:rPr>
              <w:t xml:space="preserve">Packet Extended Timing Advance </w:t>
            </w:r>
            <w:r w:rsidRPr="004D0DAA">
              <w:t>(2 bit field)</w:t>
            </w:r>
            <w:r w:rsidRPr="004D0DAA">
              <w:rPr>
                <w:b/>
              </w:rPr>
              <w:t xml:space="preserve"> </w:t>
            </w:r>
            <w:r w:rsidRPr="004D0DAA">
              <w:rPr>
                <w:b/>
              </w:rPr>
              <w:br/>
            </w:r>
            <w:r w:rsidRPr="004D0DAA">
              <w:t>This field is defined in sub-clause 12.12b.</w:t>
            </w:r>
          </w:p>
        </w:tc>
      </w:tr>
      <w:tr w:rsidR="00711444" w:rsidRPr="004D0DAA" w14:paraId="30B9712B" w14:textId="77777777" w:rsidTr="00AA2A4C">
        <w:tblPrEx>
          <w:tblCellMar>
            <w:top w:w="0" w:type="dxa"/>
            <w:bottom w:w="0" w:type="dxa"/>
          </w:tblCellMar>
        </w:tblPrEx>
        <w:trPr>
          <w:cantSplit/>
        </w:trPr>
        <w:tc>
          <w:tcPr>
            <w:tcW w:w="9848" w:type="dxa"/>
          </w:tcPr>
          <w:p w14:paraId="5CDF7DFC" w14:textId="77777777" w:rsidR="00711444" w:rsidRPr="004D0DAA" w:rsidRDefault="00711444" w:rsidP="00AA2A4C">
            <w:pPr>
              <w:rPr>
                <w:bCs/>
              </w:rPr>
            </w:pPr>
            <w:r w:rsidRPr="004D0DAA">
              <w:rPr>
                <w:b/>
              </w:rPr>
              <w:lastRenderedPageBreak/>
              <w:t xml:space="preserve">PFI </w:t>
            </w:r>
            <w:r w:rsidRPr="004D0DAA">
              <w:rPr>
                <w:bCs/>
              </w:rPr>
              <w:t>(7 bit field)</w:t>
            </w:r>
          </w:p>
          <w:p w14:paraId="04F11B85" w14:textId="77777777" w:rsidR="00711444" w:rsidRPr="004D0DAA" w:rsidRDefault="00711444" w:rsidP="00AA2A4C">
            <w:pPr>
              <w:rPr>
                <w:b/>
              </w:rPr>
            </w:pPr>
            <w:r w:rsidRPr="004D0DAA">
              <w:t>This field contains the PFI parameter identifying a Packet Flow Context. The PFI parameter is encoded as the contents of the PFI information element as defined in 3GPP TS 44.018.</w:t>
            </w:r>
          </w:p>
        </w:tc>
      </w:tr>
      <w:tr w:rsidR="00711444" w:rsidRPr="004D0DAA" w14:paraId="46D7C378" w14:textId="77777777" w:rsidTr="00AA2A4C">
        <w:tblPrEx>
          <w:tblCellMar>
            <w:top w:w="0" w:type="dxa"/>
            <w:bottom w:w="0" w:type="dxa"/>
          </w:tblCellMar>
        </w:tblPrEx>
        <w:trPr>
          <w:cantSplit/>
        </w:trPr>
        <w:tc>
          <w:tcPr>
            <w:tcW w:w="9848" w:type="dxa"/>
          </w:tcPr>
          <w:p w14:paraId="55374CC5" w14:textId="77777777" w:rsidR="00711444" w:rsidRPr="004D0DAA" w:rsidRDefault="00711444" w:rsidP="00AA2A4C">
            <w:pPr>
              <w:rPr>
                <w:b/>
              </w:rPr>
            </w:pPr>
            <w:r w:rsidRPr="004D0DAA">
              <w:rPr>
                <w:b/>
              </w:rPr>
              <w:t>RLC_MODE (1 bit field)</w:t>
            </w:r>
          </w:p>
          <w:p w14:paraId="45890CB7" w14:textId="77777777" w:rsidR="00711444" w:rsidRPr="004D0DAA" w:rsidRDefault="00711444" w:rsidP="00AA2A4C">
            <w:r w:rsidRPr="004D0DAA">
              <w:t>This field contains the RLC mode to be used for the assigned TBF. If a new mode is assigned by the network for an already established TBF, the MS shall ignore the new assigned mode and shall maintain the TBF in the old mode.</w:t>
            </w:r>
          </w:p>
          <w:p w14:paraId="35B99894" w14:textId="77777777" w:rsidR="00711444" w:rsidRPr="004D0DAA" w:rsidRDefault="00711444" w:rsidP="00AA2A4C">
            <w:pPr>
              <w:spacing w:after="0"/>
            </w:pPr>
            <w:r w:rsidRPr="004D0DAA">
              <w:t>0</w:t>
            </w:r>
            <w:r w:rsidRPr="004D0DAA">
              <w:tab/>
              <w:t>RLC acknowledged mode</w:t>
            </w:r>
          </w:p>
          <w:p w14:paraId="2C1F4646" w14:textId="77777777" w:rsidR="00711444" w:rsidRPr="004D0DAA" w:rsidRDefault="00711444" w:rsidP="00AA2A4C">
            <w:r w:rsidRPr="004D0DAA">
              <w:t>1</w:t>
            </w:r>
            <w:r w:rsidRPr="004D0DAA">
              <w:tab/>
              <w:t>RLC unacknowledged mode. For the case of an EGPRS TBF an MS that supports RLC non-persistent mode shall respond to this indication of RLC mode as described in the EGPRS Window Size IE (see sub-clause 12.5.2).</w:t>
            </w:r>
          </w:p>
        </w:tc>
      </w:tr>
      <w:tr w:rsidR="00711444" w:rsidRPr="004D0DAA" w14:paraId="384BFC21" w14:textId="77777777" w:rsidTr="00AA2A4C">
        <w:tblPrEx>
          <w:tblCellMar>
            <w:top w:w="0" w:type="dxa"/>
            <w:bottom w:w="0" w:type="dxa"/>
          </w:tblCellMar>
        </w:tblPrEx>
        <w:trPr>
          <w:cantSplit/>
        </w:trPr>
        <w:tc>
          <w:tcPr>
            <w:tcW w:w="9848" w:type="dxa"/>
          </w:tcPr>
          <w:p w14:paraId="5E72BCD7"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72C373AC" w14:textId="77777777" w:rsidR="00711444" w:rsidRPr="004D0DAA" w:rsidRDefault="00711444" w:rsidP="00AA2A4C">
            <w:pPr>
              <w:spacing w:after="0"/>
            </w:pPr>
            <w:r w:rsidRPr="004D0DAA">
              <w:t xml:space="preserve">This field contains the NPM Transfer Time limitation in case of RLC non-persistent mode </w:t>
            </w:r>
          </w:p>
          <w:p w14:paraId="4F397915" w14:textId="77777777" w:rsidR="00711444" w:rsidRPr="004D0DAA" w:rsidRDefault="00711444" w:rsidP="00AA2A4C">
            <w:pPr>
              <w:spacing w:after="0"/>
            </w:pPr>
          </w:p>
          <w:p w14:paraId="6AE6EE2C" w14:textId="77777777" w:rsidR="00711444" w:rsidRPr="004D0DAA" w:rsidRDefault="00711444" w:rsidP="00AA2A4C">
            <w:pPr>
              <w:spacing w:after="0"/>
            </w:pPr>
            <w:r w:rsidRPr="004D0DAA">
              <w:t>The list of NPM Transfer Time IEs in the Rel-7 additions is ordered as described by the loops in the earlier releases part. </w:t>
            </w:r>
          </w:p>
        </w:tc>
      </w:tr>
      <w:tr w:rsidR="00711444" w:rsidRPr="004D0DAA" w14:paraId="574F145D" w14:textId="77777777" w:rsidTr="00AA2A4C">
        <w:tblPrEx>
          <w:tblCellMar>
            <w:top w:w="0" w:type="dxa"/>
            <w:bottom w:w="0" w:type="dxa"/>
          </w:tblCellMar>
        </w:tblPrEx>
        <w:trPr>
          <w:cantSplit/>
        </w:trPr>
        <w:tc>
          <w:tcPr>
            <w:tcW w:w="9848" w:type="dxa"/>
          </w:tcPr>
          <w:p w14:paraId="5614586D" w14:textId="77777777" w:rsidR="00711444" w:rsidRPr="004D0DAA" w:rsidRDefault="00711444" w:rsidP="00AA2A4C">
            <w:r w:rsidRPr="004D0DAA">
              <w:rPr>
                <w:b/>
              </w:rPr>
              <w:t>Assignment Type</w:t>
            </w:r>
            <w:r w:rsidRPr="004D0DAA">
              <w:t xml:space="preserve"> (2 bit field)</w:t>
            </w:r>
          </w:p>
          <w:p w14:paraId="659130A7" w14:textId="77777777" w:rsidR="00711444" w:rsidRPr="004D0DAA" w:rsidRDefault="00711444" w:rsidP="00AA2A4C">
            <w:pPr>
              <w:spacing w:after="0"/>
              <w:rPr>
                <w:rFonts w:eastAsia="MS Mincho"/>
                <w:lang w:eastAsia="ja-JP"/>
              </w:rPr>
            </w:pPr>
            <w:r w:rsidRPr="004D0DAA">
              <w:t>This indicates the type of assignment. The coding of this field is as specified in sub-clause 11.2.7.</w:t>
            </w:r>
          </w:p>
          <w:p w14:paraId="0E045575" w14:textId="77777777" w:rsidR="00711444" w:rsidRPr="004D0DAA" w:rsidRDefault="00711444" w:rsidP="00AA2A4C">
            <w:pPr>
              <w:spacing w:after="0"/>
              <w:rPr>
                <w:b/>
                <w:iCs/>
              </w:rPr>
            </w:pPr>
          </w:p>
        </w:tc>
      </w:tr>
      <w:tr w:rsidR="00711444" w:rsidRPr="004D0DAA" w14:paraId="04F5DD30" w14:textId="77777777" w:rsidTr="00AA2A4C">
        <w:tblPrEx>
          <w:tblCellMar>
            <w:top w:w="0" w:type="dxa"/>
            <w:bottom w:w="0" w:type="dxa"/>
          </w:tblCellMar>
        </w:tblPrEx>
        <w:trPr>
          <w:cantSplit/>
        </w:trPr>
        <w:tc>
          <w:tcPr>
            <w:tcW w:w="9848" w:type="dxa"/>
          </w:tcPr>
          <w:p w14:paraId="0FCD09BB" w14:textId="77777777" w:rsidR="00711444" w:rsidRPr="004D0DAA" w:rsidRDefault="00711444" w:rsidP="00AA2A4C">
            <w:pPr>
              <w:spacing w:after="240"/>
            </w:pPr>
            <w:r w:rsidRPr="004D0DAA">
              <w:rPr>
                <w:b/>
              </w:rPr>
              <w:t>Carrier ID</w:t>
            </w:r>
            <w:r w:rsidRPr="004D0DAA">
              <w:t xml:space="preserve"> (1 bit field)</w:t>
            </w:r>
            <w:r w:rsidRPr="004D0DAA">
              <w:br/>
              <w:t>This identifies the carrier to which the description refers.</w:t>
            </w:r>
          </w:p>
          <w:p w14:paraId="47FB0B86" w14:textId="77777777" w:rsidR="00711444" w:rsidRPr="004D0DAA" w:rsidRDefault="00711444" w:rsidP="00AA2A4C">
            <w:pPr>
              <w:spacing w:after="0"/>
              <w:rPr>
                <w:b/>
                <w:iCs/>
              </w:rPr>
            </w:pPr>
            <w:r w:rsidRPr="004D0DAA">
              <w:t>0</w:t>
            </w:r>
            <w:r w:rsidRPr="004D0DAA">
              <w:tab/>
              <w:t>Carrier 1</w:t>
            </w:r>
            <w:r w:rsidRPr="004D0DAA">
              <w:br/>
              <w:t>1</w:t>
            </w:r>
            <w:r w:rsidRPr="004D0DAA">
              <w:tab/>
              <w:t>Carrier 2</w:t>
            </w:r>
          </w:p>
        </w:tc>
      </w:tr>
      <w:tr w:rsidR="00711444" w:rsidRPr="004D0DAA" w14:paraId="1DC78B88" w14:textId="77777777" w:rsidTr="00AA2A4C">
        <w:tblPrEx>
          <w:tblCellMar>
            <w:top w:w="0" w:type="dxa"/>
            <w:bottom w:w="0" w:type="dxa"/>
          </w:tblCellMar>
        </w:tblPrEx>
        <w:trPr>
          <w:cantSplit/>
        </w:trPr>
        <w:tc>
          <w:tcPr>
            <w:tcW w:w="9848" w:type="dxa"/>
          </w:tcPr>
          <w:p w14:paraId="6733352E" w14:textId="77777777" w:rsidR="00711444" w:rsidRPr="004D0DAA" w:rsidRDefault="00711444" w:rsidP="00AA2A4C">
            <w:pPr>
              <w:spacing w:after="0"/>
            </w:pPr>
            <w:r w:rsidRPr="004D0DAA">
              <w:rPr>
                <w:b/>
              </w:rPr>
              <w:t>EVENT_BASED_FANR</w:t>
            </w:r>
            <w:r w:rsidRPr="004D0DAA">
              <w:t xml:space="preserve"> (1 bit field)</w:t>
            </w:r>
          </w:p>
          <w:p w14:paraId="328C0F23" w14:textId="77777777" w:rsidR="00711444" w:rsidRPr="004D0DAA" w:rsidRDefault="00711444" w:rsidP="00AA2A4C">
            <w:pPr>
              <w:spacing w:after="0"/>
            </w:pPr>
            <w:r w:rsidRPr="004D0DAA">
              <w:t xml:space="preserve">For description and coding of this field see the Multiple TBF Downlink Assignment message. </w:t>
            </w:r>
          </w:p>
          <w:p w14:paraId="422D7AFF" w14:textId="77777777" w:rsidR="00711444" w:rsidRPr="004D0DAA" w:rsidRDefault="00711444" w:rsidP="00AA2A4C">
            <w:pPr>
              <w:spacing w:after="0"/>
            </w:pPr>
          </w:p>
          <w:p w14:paraId="65D454D6" w14:textId="77777777" w:rsidR="00711444" w:rsidRPr="004D0DAA" w:rsidRDefault="00711444" w:rsidP="00AA2A4C">
            <w:pPr>
              <w:spacing w:after="0"/>
            </w:pPr>
            <w:r w:rsidRPr="004D0DAA">
              <w:t>The list of EVENT_BASED_FANR IEs in the Rel-7 additions is ordered as described by the loops in the earlier releases part.</w:t>
            </w:r>
          </w:p>
        </w:tc>
      </w:tr>
      <w:tr w:rsidR="00711444" w:rsidRPr="004D0DAA" w14:paraId="0B8526FB" w14:textId="77777777" w:rsidTr="00AA2A4C">
        <w:tblPrEx>
          <w:tblCellMar>
            <w:top w:w="0" w:type="dxa"/>
            <w:bottom w:w="0" w:type="dxa"/>
          </w:tblCellMar>
        </w:tblPrEx>
        <w:trPr>
          <w:cantSplit/>
          <w:trHeight w:val="113"/>
        </w:trPr>
        <w:tc>
          <w:tcPr>
            <w:tcW w:w="9848" w:type="dxa"/>
            <w:shd w:val="clear" w:color="auto" w:fill="auto"/>
          </w:tcPr>
          <w:p w14:paraId="0B40A891" w14:textId="77777777" w:rsidR="00711444" w:rsidRPr="004D0DAA" w:rsidRDefault="00711444" w:rsidP="00AA2A4C">
            <w:pPr>
              <w:spacing w:after="0"/>
            </w:pPr>
            <w:r w:rsidRPr="004D0DAA">
              <w:rPr>
                <w:b/>
              </w:rPr>
              <w:t>REPORTED TIMESLOTS</w:t>
            </w:r>
            <w:r w:rsidRPr="004D0DAA">
              <w:t xml:space="preserve"> </w:t>
            </w:r>
            <w:r w:rsidRPr="004D0DAA">
              <w:rPr>
                <w:b/>
              </w:rPr>
              <w:t>C1</w:t>
            </w:r>
            <w:r w:rsidRPr="004D0DAA">
              <w:t xml:space="preserve">, </w:t>
            </w:r>
            <w:r w:rsidRPr="004D0DAA">
              <w:rPr>
                <w:b/>
              </w:rPr>
              <w:t>REPORTED TIMESLOTS</w:t>
            </w:r>
            <w:r w:rsidRPr="004D0DAA">
              <w:t xml:space="preserve"> </w:t>
            </w:r>
            <w:r w:rsidRPr="004D0DAA">
              <w:rPr>
                <w:b/>
              </w:rPr>
              <w:t>C2</w:t>
            </w:r>
            <w:r w:rsidRPr="004D0DAA">
              <w:t xml:space="preserve"> (8 bit field)</w:t>
            </w:r>
          </w:p>
          <w:p w14:paraId="4A8F7314" w14:textId="77777777" w:rsidR="00711444" w:rsidRPr="004D0DAA" w:rsidRDefault="00711444" w:rsidP="00AA2A4C">
            <w:pPr>
              <w:spacing w:after="0"/>
            </w:pPr>
            <w:r w:rsidRPr="004D0DAA">
              <w:t>The field indicates the timeslots for which feedback is provided by a time-based encoded PAN field and is encoded as the TIMESLOT_ALLOCATION IE defined in sub-clause 12.18.</w:t>
            </w:r>
          </w:p>
          <w:p w14:paraId="7C3EAD24" w14:textId="77777777" w:rsidR="00711444" w:rsidRPr="004D0DAA" w:rsidRDefault="00711444" w:rsidP="00AA2A4C">
            <w:pPr>
              <w:spacing w:after="0"/>
            </w:pPr>
            <w:r w:rsidRPr="004D0DAA">
              <w:t>The list of fields related to the Fast Ack/Nack Reporting procedure in the Rel-7 additions is ordered as described by the loops in the earlier releases part.</w:t>
            </w:r>
          </w:p>
        </w:tc>
      </w:tr>
      <w:tr w:rsidR="00711444" w:rsidRPr="004D0DAA" w14:paraId="463B15FB" w14:textId="77777777" w:rsidTr="00AA2A4C">
        <w:tblPrEx>
          <w:tblCellMar>
            <w:top w:w="0" w:type="dxa"/>
            <w:bottom w:w="0" w:type="dxa"/>
          </w:tblCellMar>
        </w:tblPrEx>
        <w:trPr>
          <w:cantSplit/>
          <w:trHeight w:val="113"/>
        </w:trPr>
        <w:tc>
          <w:tcPr>
            <w:tcW w:w="9848" w:type="dxa"/>
            <w:shd w:val="clear" w:color="auto" w:fill="auto"/>
          </w:tcPr>
          <w:p w14:paraId="0E352A0D" w14:textId="77777777" w:rsidR="00711444" w:rsidRPr="004D0DAA" w:rsidRDefault="00711444" w:rsidP="00AA2A4C">
            <w:pPr>
              <w:spacing w:after="0"/>
              <w:rPr>
                <w:b/>
                <w:bCs/>
                <w:szCs w:val="18"/>
              </w:rPr>
            </w:pPr>
            <w:r w:rsidRPr="004D0DAA">
              <w:rPr>
                <w:b/>
                <w:bCs/>
                <w:szCs w:val="18"/>
              </w:rPr>
              <w:t>DOWNLINK_PDCH_PAIRS_C1</w:t>
            </w:r>
          </w:p>
          <w:p w14:paraId="289AF769" w14:textId="77777777" w:rsidR="00711444" w:rsidRPr="004D0DAA" w:rsidRDefault="00711444" w:rsidP="00AA2A4C">
            <w:pPr>
              <w:spacing w:after="0"/>
              <w:rPr>
                <w:b/>
                <w:bCs/>
                <w:szCs w:val="18"/>
              </w:rPr>
            </w:pPr>
            <w:r w:rsidRPr="004D0DAA">
              <w:rPr>
                <w:b/>
                <w:bCs/>
                <w:szCs w:val="18"/>
              </w:rPr>
              <w:t>DOWNLINK_PDCH_PAIRS_C2</w:t>
            </w:r>
          </w:p>
          <w:p w14:paraId="5C1243F2" w14:textId="77777777" w:rsidR="00711444" w:rsidRPr="004D0DAA" w:rsidRDefault="00711444" w:rsidP="00AA2A4C">
            <w:pPr>
              <w:spacing w:after="0"/>
              <w:rPr>
                <w:b/>
                <w:bCs/>
                <w:szCs w:val="18"/>
              </w:rPr>
            </w:pPr>
            <w:r w:rsidRPr="004D0DAA">
              <w:rPr>
                <w:b/>
                <w:bCs/>
                <w:szCs w:val="18"/>
              </w:rPr>
              <w:t>UPLINK_PDCH_PAIRS_C1</w:t>
            </w:r>
          </w:p>
          <w:p w14:paraId="43C57BB9" w14:textId="77777777" w:rsidR="00711444" w:rsidRPr="004D0DAA" w:rsidRDefault="00711444" w:rsidP="00AA2A4C">
            <w:pPr>
              <w:spacing w:after="0"/>
              <w:rPr>
                <w:b/>
                <w:bCs/>
                <w:szCs w:val="18"/>
              </w:rPr>
            </w:pPr>
            <w:r w:rsidRPr="004D0DAA">
              <w:rPr>
                <w:b/>
                <w:bCs/>
                <w:szCs w:val="18"/>
              </w:rPr>
              <w:t>UPLINK_PDCH_PAIRS_C2</w:t>
            </w:r>
          </w:p>
          <w:p w14:paraId="0A2835C3" w14:textId="77777777" w:rsidR="00711444" w:rsidRPr="004D0DAA" w:rsidRDefault="00711444" w:rsidP="00AA2A4C">
            <w:pPr>
              <w:spacing w:after="0"/>
              <w:rPr>
                <w:b/>
                <w:bCs/>
                <w:szCs w:val="18"/>
              </w:rPr>
            </w:pPr>
            <w:r w:rsidRPr="004D0DAA">
              <w:rPr>
                <w:b/>
                <w:bCs/>
                <w:szCs w:val="18"/>
              </w:rPr>
              <w:t>RTTI_DOWNLINK_PDCH_PAIR_ASSIGNMENT_SC</w:t>
            </w:r>
          </w:p>
          <w:p w14:paraId="43A32D3E" w14:textId="77777777" w:rsidR="00711444" w:rsidRPr="004D0DAA" w:rsidRDefault="00711444" w:rsidP="00AA2A4C">
            <w:pPr>
              <w:spacing w:after="0"/>
              <w:rPr>
                <w:b/>
                <w:bCs/>
                <w:szCs w:val="18"/>
              </w:rPr>
            </w:pPr>
            <w:r w:rsidRPr="004D0DAA">
              <w:rPr>
                <w:b/>
                <w:bCs/>
                <w:szCs w:val="18"/>
              </w:rPr>
              <w:t>RTTI_DOWNLINK_PDCH_PAIR_ASSIGNMENT_DC</w:t>
            </w:r>
          </w:p>
          <w:p w14:paraId="660B6E3A" w14:textId="77777777" w:rsidR="00711444" w:rsidRPr="004D0DAA" w:rsidRDefault="00711444" w:rsidP="00AA2A4C">
            <w:pPr>
              <w:spacing w:after="0"/>
              <w:rPr>
                <w:szCs w:val="18"/>
              </w:rPr>
            </w:pPr>
          </w:p>
          <w:p w14:paraId="5F908494" w14:textId="77777777" w:rsidR="00711444" w:rsidRPr="004D0DAA" w:rsidRDefault="00711444" w:rsidP="00AA2A4C">
            <w:pPr>
              <w:spacing w:after="0"/>
              <w:rPr>
                <w:b/>
              </w:rPr>
            </w:pPr>
            <w:r w:rsidRPr="004D0DAA">
              <w:rPr>
                <w:szCs w:val="18"/>
              </w:rPr>
              <w:t>These fields are defined in sub-clause 11.2.31</w:t>
            </w:r>
          </w:p>
        </w:tc>
      </w:tr>
      <w:tr w:rsidR="00711444" w:rsidRPr="004D0DAA" w14:paraId="77948500" w14:textId="77777777" w:rsidTr="00AA2A4C">
        <w:tblPrEx>
          <w:tblCellMar>
            <w:top w:w="0" w:type="dxa"/>
            <w:bottom w:w="0" w:type="dxa"/>
          </w:tblCellMar>
        </w:tblPrEx>
        <w:trPr>
          <w:cantSplit/>
          <w:trHeight w:val="113"/>
        </w:trPr>
        <w:tc>
          <w:tcPr>
            <w:tcW w:w="9848" w:type="dxa"/>
            <w:shd w:val="clear" w:color="auto" w:fill="auto"/>
          </w:tcPr>
          <w:p w14:paraId="63C70D75" w14:textId="77777777" w:rsidR="00711444" w:rsidRPr="004D0DAA" w:rsidRDefault="00711444" w:rsidP="00AA2A4C">
            <w:pPr>
              <w:spacing w:after="0"/>
            </w:pPr>
            <w:r w:rsidRPr="004D0DAA">
              <w:rPr>
                <w:b/>
                <w:bCs/>
                <w:szCs w:val="18"/>
              </w:rPr>
              <w:t xml:space="preserve">RTTI_USF_MODE </w:t>
            </w:r>
            <w:r w:rsidRPr="004D0DAA">
              <w:t>(1 bit field)</w:t>
            </w:r>
          </w:p>
          <w:p w14:paraId="665C2216" w14:textId="77777777" w:rsidR="00711444" w:rsidRPr="004D0DAA" w:rsidRDefault="00711444" w:rsidP="00AA2A4C">
            <w:pPr>
              <w:spacing w:after="0"/>
              <w:rPr>
                <w:b/>
                <w:bCs/>
                <w:szCs w:val="18"/>
              </w:rPr>
            </w:pPr>
            <w:r w:rsidRPr="004D0DAA">
              <w:t>This field is as specified in the Packet Uplink Assignment message</w:t>
            </w:r>
          </w:p>
        </w:tc>
      </w:tr>
      <w:tr w:rsidR="00711444" w:rsidRPr="004D0DAA" w14:paraId="78FACE11" w14:textId="77777777" w:rsidTr="00AA2A4C">
        <w:tblPrEx>
          <w:tblCellMar>
            <w:top w:w="0" w:type="dxa"/>
            <w:bottom w:w="0" w:type="dxa"/>
          </w:tblCellMar>
        </w:tblPrEx>
        <w:trPr>
          <w:cantSplit/>
          <w:trHeight w:val="113"/>
        </w:trPr>
        <w:tc>
          <w:tcPr>
            <w:tcW w:w="9848" w:type="dxa"/>
            <w:shd w:val="clear" w:color="auto" w:fill="auto"/>
          </w:tcPr>
          <w:p w14:paraId="17BF3721" w14:textId="77777777" w:rsidR="00711444" w:rsidRPr="004D0DAA" w:rsidRDefault="00711444" w:rsidP="00AA2A4C">
            <w:pPr>
              <w:spacing w:after="0"/>
            </w:pPr>
            <w:r w:rsidRPr="004D0DAA">
              <w:rPr>
                <w:b/>
              </w:rPr>
              <w:t xml:space="preserve">TSH </w:t>
            </w:r>
            <w:r w:rsidRPr="004D0DAA">
              <w:t>(2 bit field)</w:t>
            </w:r>
          </w:p>
          <w:p w14:paraId="1DB2B6A5" w14:textId="77777777" w:rsidR="00711444" w:rsidRPr="004D0DAA" w:rsidRDefault="00711444" w:rsidP="00AA2A4C">
            <w:r w:rsidRPr="004D0DAA">
              <w:t xml:space="preserve">This field indicates the time-shift between the most recent radio block period for which feedback information is provided and the radio block period when the bitmap is sent: </w:t>
            </w:r>
          </w:p>
          <w:p w14:paraId="6C15A09F" w14:textId="77777777" w:rsidR="00711444" w:rsidRPr="004D0DAA" w:rsidRDefault="00711444" w:rsidP="00AA2A4C">
            <w:pPr>
              <w:pStyle w:val="FP"/>
            </w:pPr>
            <w:r w:rsidRPr="004D0DAA">
              <w:t>bit</w:t>
            </w:r>
          </w:p>
          <w:p w14:paraId="14BFD4F2" w14:textId="77777777" w:rsidR="00711444" w:rsidRPr="004D0DAA" w:rsidRDefault="00711444" w:rsidP="00AA2A4C">
            <w:pPr>
              <w:pStyle w:val="FP"/>
            </w:pPr>
            <w:r w:rsidRPr="004D0DAA">
              <w:t>2 1</w:t>
            </w:r>
          </w:p>
          <w:p w14:paraId="1E591205" w14:textId="77777777" w:rsidR="00711444" w:rsidRPr="004D0DAA" w:rsidRDefault="00711444" w:rsidP="00AA2A4C">
            <w:pPr>
              <w:pStyle w:val="FP"/>
            </w:pPr>
            <w:r w:rsidRPr="004D0DAA">
              <w:t>0 0</w:t>
            </w:r>
            <w:r w:rsidRPr="004D0DAA">
              <w:tab/>
            </w:r>
            <w:r w:rsidRPr="004D0DAA">
              <w:tab/>
              <w:t>4 TDMA frames (for a basic TTI configuration) or 2 TDMA frames (for a reduced TTI configuration)</w:t>
            </w:r>
          </w:p>
          <w:p w14:paraId="5A1515F1" w14:textId="77777777" w:rsidR="00711444" w:rsidRPr="004D0DAA" w:rsidRDefault="00711444" w:rsidP="00AA2A4C">
            <w:pPr>
              <w:pStyle w:val="FP"/>
            </w:pPr>
            <w:r w:rsidRPr="004D0DAA">
              <w:t xml:space="preserve">0 1 </w:t>
            </w:r>
            <w:r w:rsidRPr="004D0DAA">
              <w:tab/>
              <w:t>8 TDMA frames (for a basic TTI configuration) or 4 TDMA frames (for a reduced TTI configuration)</w:t>
            </w:r>
          </w:p>
          <w:p w14:paraId="75F7AD5E" w14:textId="77777777" w:rsidR="00711444" w:rsidRPr="004D0DAA" w:rsidRDefault="00711444" w:rsidP="00AA2A4C">
            <w:pPr>
              <w:pStyle w:val="FP"/>
            </w:pPr>
            <w:r w:rsidRPr="004D0DAA">
              <w:t xml:space="preserve">1 0 </w:t>
            </w:r>
            <w:r w:rsidRPr="004D0DAA">
              <w:tab/>
              <w:t>12 TDMA frames (for a basic TTI configuration) or 6 TDMA frames (for a reduced TTI configuration)</w:t>
            </w:r>
          </w:p>
          <w:p w14:paraId="39C2E1CA" w14:textId="77777777" w:rsidR="00711444" w:rsidRPr="004D0DAA" w:rsidRDefault="00711444" w:rsidP="00AA2A4C">
            <w:pPr>
              <w:pStyle w:val="FP"/>
            </w:pPr>
            <w:r w:rsidRPr="004D0DAA">
              <w:t>1 1</w:t>
            </w:r>
            <w:r w:rsidRPr="004D0DAA">
              <w:tab/>
            </w:r>
            <w:r w:rsidRPr="004D0DAA">
              <w:tab/>
              <w:t>16 TDMA frames (for a basic TTI configuration) or 8 TDMA frames (for a reduced TTI configuration)</w:t>
            </w:r>
          </w:p>
          <w:p w14:paraId="045CD8EE" w14:textId="77777777" w:rsidR="00711444" w:rsidRPr="004D0DAA" w:rsidRDefault="00711444" w:rsidP="00AA2A4C">
            <w:pPr>
              <w:pStyle w:val="FP"/>
            </w:pPr>
          </w:p>
        </w:tc>
      </w:tr>
      <w:tr w:rsidR="00711444" w:rsidRPr="004D0DAA" w14:paraId="64BCE3DE" w14:textId="77777777" w:rsidTr="00AA2A4C">
        <w:tblPrEx>
          <w:tblCellMar>
            <w:top w:w="0" w:type="dxa"/>
            <w:bottom w:w="0" w:type="dxa"/>
          </w:tblCellMar>
        </w:tblPrEx>
        <w:trPr>
          <w:cantSplit/>
          <w:trHeight w:val="113"/>
        </w:trPr>
        <w:tc>
          <w:tcPr>
            <w:tcW w:w="9848" w:type="dxa"/>
            <w:shd w:val="clear" w:color="auto" w:fill="auto"/>
          </w:tcPr>
          <w:p w14:paraId="48C05770" w14:textId="77777777" w:rsidR="00711444" w:rsidRPr="004D0DAA" w:rsidRDefault="00711444" w:rsidP="00AA2A4C">
            <w:pPr>
              <w:spacing w:after="0"/>
            </w:pPr>
            <w:r w:rsidRPr="004D0DAA">
              <w:rPr>
                <w:b/>
              </w:rPr>
              <w:t>Uplink EGPRS Level, Downlink EGPRS Level</w:t>
            </w:r>
            <w:r w:rsidRPr="004D0DAA">
              <w:t xml:space="preserve"> (2 bits field)</w:t>
            </w:r>
          </w:p>
          <w:p w14:paraId="15E747DF" w14:textId="77777777" w:rsidR="00711444" w:rsidRPr="004D0DAA" w:rsidRDefault="00711444" w:rsidP="00AA2A4C">
            <w:pPr>
              <w:rPr>
                <w:b/>
              </w:rPr>
            </w:pPr>
            <w:r w:rsidRPr="004D0DAA">
              <w:t>These fields are as specified in the Packet Timeslot Reconfigure message.</w:t>
            </w:r>
          </w:p>
        </w:tc>
      </w:tr>
      <w:tr w:rsidR="00711444" w:rsidRPr="004D0DAA" w14:paraId="3AF2F3D6" w14:textId="77777777" w:rsidTr="00AA2A4C">
        <w:tblPrEx>
          <w:tblCellMar>
            <w:top w:w="0" w:type="dxa"/>
            <w:bottom w:w="0" w:type="dxa"/>
          </w:tblCellMar>
        </w:tblPrEx>
        <w:trPr>
          <w:cantSplit/>
          <w:trHeight w:val="113"/>
        </w:trPr>
        <w:tc>
          <w:tcPr>
            <w:tcW w:w="9848" w:type="dxa"/>
            <w:shd w:val="clear" w:color="auto" w:fill="auto"/>
          </w:tcPr>
          <w:p w14:paraId="3D7E9BC8" w14:textId="77777777" w:rsidR="00711444" w:rsidRPr="004D0DAA" w:rsidRDefault="00711444" w:rsidP="00AA2A4C">
            <w:pPr>
              <w:spacing w:after="0"/>
            </w:pPr>
            <w:r w:rsidRPr="004D0DAA">
              <w:rPr>
                <w:b/>
              </w:rPr>
              <w:lastRenderedPageBreak/>
              <w:t>Pulse Format</w:t>
            </w:r>
            <w:r w:rsidRPr="004D0DAA">
              <w:t xml:space="preserve"> (N bits field)</w:t>
            </w:r>
          </w:p>
          <w:p w14:paraId="3D2B2338" w14:textId="77777777" w:rsidR="00711444" w:rsidRPr="004D0DAA" w:rsidRDefault="00711444" w:rsidP="00AA2A4C">
            <w:r w:rsidRPr="004D0DAA">
              <w:t>This information element, if assigned, specified on which radio frequency channel the mobile station shall transmit using the narrow-band pulse option. The information element is defined in sub-clause 12.8.3.</w:t>
            </w:r>
          </w:p>
        </w:tc>
      </w:tr>
      <w:tr w:rsidR="00711444" w:rsidRPr="004D0DAA" w14:paraId="2F653E6E" w14:textId="77777777" w:rsidTr="00AA2A4C">
        <w:tblPrEx>
          <w:tblCellMar>
            <w:top w:w="0" w:type="dxa"/>
            <w:bottom w:w="0" w:type="dxa"/>
          </w:tblCellMar>
        </w:tblPrEx>
        <w:trPr>
          <w:cantSplit/>
          <w:trHeight w:val="113"/>
        </w:trPr>
        <w:tc>
          <w:tcPr>
            <w:tcW w:w="9848" w:type="dxa"/>
            <w:shd w:val="clear" w:color="auto" w:fill="auto"/>
          </w:tcPr>
          <w:p w14:paraId="15812014" w14:textId="77777777" w:rsidR="00711444" w:rsidRPr="004D0DAA" w:rsidRDefault="00711444" w:rsidP="00AA2A4C">
            <w:pPr>
              <w:spacing w:after="0"/>
              <w:rPr>
                <w:b/>
              </w:rPr>
            </w:pPr>
            <w:r w:rsidRPr="004D0DAA">
              <w:rPr>
                <w:b/>
              </w:rPr>
              <w:t xml:space="preserve">FANR </w:t>
            </w:r>
            <w:r w:rsidRPr="004D0DAA">
              <w:t>(1 bit field)</w:t>
            </w:r>
          </w:p>
          <w:p w14:paraId="15B84FBF" w14:textId="77777777" w:rsidR="00711444" w:rsidRPr="004D0DAA" w:rsidRDefault="00711444" w:rsidP="00AA2A4C">
            <w:r w:rsidRPr="004D0DAA">
              <w:t xml:space="preserve">This field indicates whether </w:t>
            </w:r>
            <w:r w:rsidRPr="004D0DAA">
              <w:rPr>
                <w:lang w:eastAsia="ko-KR"/>
              </w:rPr>
              <w:t>FANR is activated</w:t>
            </w:r>
            <w:r w:rsidRPr="004D0DAA">
              <w:t>:</w:t>
            </w:r>
          </w:p>
          <w:p w14:paraId="5AD819DE" w14:textId="77777777" w:rsidR="00711444" w:rsidRPr="004D0DAA" w:rsidRDefault="00711444" w:rsidP="00AA2A4C">
            <w:pPr>
              <w:spacing w:after="0"/>
              <w:rPr>
                <w:b/>
              </w:rPr>
            </w:pPr>
            <w:r w:rsidRPr="004D0DAA">
              <w:t>0</w:t>
            </w:r>
            <w:r w:rsidRPr="004D0DAA">
              <w:tab/>
              <w:t>FANR is activated for the assigned TBFs</w:t>
            </w:r>
            <w:r w:rsidRPr="004D0DAA">
              <w:br/>
              <w:t>1</w:t>
            </w:r>
            <w:r w:rsidRPr="004D0DAA">
              <w:tab/>
              <w:t>FANR is not activated for the assigned TBFs</w:t>
            </w:r>
          </w:p>
        </w:tc>
      </w:tr>
      <w:tr w:rsidR="00711444" w:rsidRPr="004D0DAA" w14:paraId="378576A0" w14:textId="77777777" w:rsidTr="00AA2A4C">
        <w:tblPrEx>
          <w:tblCellMar>
            <w:top w:w="0" w:type="dxa"/>
            <w:bottom w:w="0" w:type="dxa"/>
          </w:tblCellMar>
        </w:tblPrEx>
        <w:trPr>
          <w:cantSplit/>
          <w:trHeight w:val="113"/>
        </w:trPr>
        <w:tc>
          <w:tcPr>
            <w:tcW w:w="9848" w:type="dxa"/>
            <w:shd w:val="clear" w:color="auto" w:fill="auto"/>
          </w:tcPr>
          <w:p w14:paraId="5A18C133"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02B8A70F" w14:textId="77777777" w:rsidR="00711444" w:rsidRPr="004D0DAA" w:rsidRDefault="00711444" w:rsidP="00AA2A4C">
            <w:pPr>
              <w:spacing w:after="0"/>
            </w:pPr>
            <w:r w:rsidRPr="004D0DAA">
              <w:t>This field is defined in section 11.2.7.</w:t>
            </w:r>
          </w:p>
          <w:p w14:paraId="00EDA2A6" w14:textId="77777777" w:rsidR="00711444" w:rsidRPr="004D0DAA" w:rsidRDefault="00711444" w:rsidP="00AA2A4C">
            <w:pPr>
              <w:spacing w:after="0"/>
              <w:rPr>
                <w:b/>
              </w:rPr>
            </w:pPr>
          </w:p>
        </w:tc>
      </w:tr>
      <w:tr w:rsidR="00711444" w:rsidRPr="004D0DAA" w14:paraId="1E1E98A2" w14:textId="77777777" w:rsidTr="00AA2A4C">
        <w:tblPrEx>
          <w:tblCellMar>
            <w:top w:w="0" w:type="dxa"/>
            <w:bottom w:w="0" w:type="dxa"/>
          </w:tblCellMar>
        </w:tblPrEx>
        <w:trPr>
          <w:cantSplit/>
          <w:trHeight w:val="113"/>
        </w:trPr>
        <w:tc>
          <w:tcPr>
            <w:tcW w:w="9848" w:type="dxa"/>
            <w:shd w:val="clear" w:color="auto" w:fill="auto"/>
          </w:tcPr>
          <w:p w14:paraId="1624AB11" w14:textId="77777777" w:rsidR="00711444" w:rsidRPr="004D0DAA" w:rsidRDefault="00711444" w:rsidP="00AA2A4C">
            <w:pPr>
              <w:spacing w:after="0"/>
              <w:rPr>
                <w:b/>
              </w:rPr>
            </w:pPr>
            <w:r w:rsidRPr="004D0DAA">
              <w:rPr>
                <w:b/>
              </w:rPr>
              <w:t>Enhanced Flexible Timeslot Assignment</w:t>
            </w:r>
            <w:r w:rsidRPr="004D0DAA">
              <w:t xml:space="preserve"> (1 bit field)</w:t>
            </w:r>
          </w:p>
          <w:p w14:paraId="17C374D5" w14:textId="77777777" w:rsidR="00711444" w:rsidRPr="004D0DAA" w:rsidRDefault="00711444" w:rsidP="00AA2A4C">
            <w:pPr>
              <w:spacing w:after="0"/>
            </w:pPr>
            <w:r w:rsidRPr="004D0DAA">
              <w:t>This field is defined in sub-clause 11.2.29a.</w:t>
            </w:r>
          </w:p>
          <w:p w14:paraId="4065D80F" w14:textId="77777777" w:rsidR="00711444" w:rsidRPr="004D0DAA" w:rsidRDefault="00711444" w:rsidP="00AA2A4C">
            <w:pPr>
              <w:spacing w:after="0"/>
              <w:rPr>
                <w:b/>
              </w:rPr>
            </w:pPr>
          </w:p>
        </w:tc>
      </w:tr>
    </w:tbl>
    <w:p w14:paraId="16D248E2" w14:textId="77777777" w:rsidR="00711444" w:rsidRPr="004D0DAA" w:rsidRDefault="00711444" w:rsidP="00711444"/>
    <w:p w14:paraId="1C42CB43" w14:textId="77777777" w:rsidR="00711444" w:rsidRPr="004D0DAA" w:rsidRDefault="00711444" w:rsidP="00711444">
      <w:pPr>
        <w:pStyle w:val="Heading3"/>
      </w:pPr>
      <w:bookmarkStart w:id="721" w:name="_Toc516669897"/>
      <w:r w:rsidRPr="004D0DAA">
        <w:t>11.2.32</w:t>
      </w:r>
      <w:r w:rsidRPr="004D0DAA">
        <w:tab/>
        <w:t>Additional MS Radio Access Capabilities</w:t>
      </w:r>
      <w:bookmarkEnd w:id="721"/>
    </w:p>
    <w:p w14:paraId="497C95EB" w14:textId="77777777" w:rsidR="00711444" w:rsidRPr="004D0DAA" w:rsidRDefault="00711444" w:rsidP="00711444">
      <w:pPr>
        <w:rPr>
          <w:i/>
        </w:rPr>
      </w:pPr>
      <w:r w:rsidRPr="004D0DAA">
        <w:t xml:space="preserve">This message is sent on the PACCH by the mobile station to the network to inform about radio access capabilities of the mobile station. It shall not be used in </w:t>
      </w:r>
      <w:r w:rsidRPr="004D0DAA">
        <w:rPr>
          <w:i/>
        </w:rPr>
        <w:t>Iu mode.</w:t>
      </w:r>
    </w:p>
    <w:p w14:paraId="4B902446" w14:textId="77777777" w:rsidR="00711444" w:rsidRPr="004D0DAA" w:rsidRDefault="00711444" w:rsidP="00711444">
      <w:pPr>
        <w:pStyle w:val="EX"/>
      </w:pPr>
      <w:r w:rsidRPr="004D0DAA">
        <w:t>Message type:</w:t>
      </w:r>
      <w:r w:rsidRPr="004D0DAA">
        <w:tab/>
        <w:t xml:space="preserve">Additional MS Radio Access Capabilities </w:t>
      </w:r>
    </w:p>
    <w:p w14:paraId="73CC6B57" w14:textId="77777777" w:rsidR="00711444" w:rsidRPr="004D0DAA" w:rsidRDefault="00711444" w:rsidP="00711444">
      <w:pPr>
        <w:pStyle w:val="EX"/>
      </w:pPr>
      <w:r w:rsidRPr="004D0DAA">
        <w:t>Direction:</w:t>
      </w:r>
      <w:r w:rsidRPr="004D0DAA">
        <w:tab/>
        <w:t xml:space="preserve">mobile station to network </w:t>
      </w:r>
    </w:p>
    <w:p w14:paraId="043EE79D" w14:textId="77777777" w:rsidR="00711444" w:rsidRPr="004D0DAA" w:rsidRDefault="00711444" w:rsidP="00711444">
      <w:pPr>
        <w:pStyle w:val="TH"/>
      </w:pPr>
      <w:r w:rsidRPr="004D0DAA">
        <w:t>Table 11.2.32.1: ADDITIONAL MS RADIO ACCESS CAPABILITIES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765CB28" w14:textId="77777777" w:rsidTr="00AA2A4C">
        <w:tblPrEx>
          <w:tblCellMar>
            <w:top w:w="0" w:type="dxa"/>
            <w:bottom w:w="0" w:type="dxa"/>
          </w:tblCellMar>
        </w:tblPrEx>
        <w:trPr>
          <w:cantSplit/>
        </w:trPr>
        <w:tc>
          <w:tcPr>
            <w:tcW w:w="9848" w:type="dxa"/>
          </w:tcPr>
          <w:p w14:paraId="7C482103" w14:textId="77777777" w:rsidR="00711444" w:rsidRPr="004D0DAA" w:rsidRDefault="00711444" w:rsidP="00AA2A4C">
            <w:pPr>
              <w:pStyle w:val="TAL"/>
              <w:rPr>
                <w:lang w:eastAsia="en-US"/>
              </w:rPr>
            </w:pPr>
            <w:r w:rsidRPr="004D0DAA">
              <w:rPr>
                <w:lang w:eastAsia="en-US"/>
              </w:rPr>
              <w:t>&lt; Additional MS Radio Access Capabilities message content &gt; ::=</w:t>
            </w:r>
          </w:p>
          <w:p w14:paraId="76276C05"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 xml:space="preserve">Global TFI </w:t>
            </w:r>
            <w:r w:rsidRPr="004D0DAA">
              <w:rPr>
                <w:lang w:eastAsia="en-US"/>
              </w:rPr>
              <w:t>: &lt; Global TFI IE &gt; &gt;</w:t>
            </w:r>
          </w:p>
          <w:p w14:paraId="6167E670"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TLLI</w:t>
            </w:r>
            <w:r w:rsidRPr="004D0DAA">
              <w:rPr>
                <w:lang w:eastAsia="en-US"/>
              </w:rPr>
              <w:t xml:space="preserve"> : &lt; TLLI IE &gt; &gt; }</w:t>
            </w:r>
          </w:p>
          <w:p w14:paraId="6A0042C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MS Radio Access Capability 2</w:t>
            </w:r>
            <w:r w:rsidRPr="004D0DAA">
              <w:rPr>
                <w:lang w:eastAsia="en-US"/>
              </w:rPr>
              <w:t xml:space="preserve"> : &lt; MS Radio Access Capability 2 IE &gt; &gt;</w:t>
            </w:r>
          </w:p>
          <w:p w14:paraId="270FDD29" w14:textId="77777777" w:rsidR="00711444" w:rsidRPr="004D0DAA" w:rsidRDefault="00711444" w:rsidP="00AA2A4C">
            <w:pPr>
              <w:pStyle w:val="TAL"/>
              <w:rPr>
                <w:i/>
                <w:iCs/>
                <w:lang w:eastAsia="en-US"/>
              </w:rPr>
            </w:pPr>
            <w:r w:rsidRPr="004D0DAA">
              <w:rPr>
                <w:lang w:eastAsia="en-US"/>
              </w:rPr>
              <w:tab/>
              <w:t>{ null | 0</w:t>
            </w:r>
            <w:r w:rsidRPr="004D0DAA">
              <w:rPr>
                <w:lang w:eastAsia="en-US"/>
              </w:rPr>
              <w:tab/>
              <w:t>bit ** = &lt; no string &gt;</w:t>
            </w:r>
            <w:r w:rsidRPr="004D0DAA">
              <w:rPr>
                <w:lang w:eastAsia="en-US"/>
              </w:rPr>
              <w:tab/>
            </w:r>
            <w:r w:rsidRPr="004D0DAA">
              <w:rPr>
                <w:i/>
                <w:lang w:eastAsia="en-US"/>
              </w:rPr>
              <w:t>-- Receiver compatible with earlier release</w:t>
            </w:r>
          </w:p>
          <w:p w14:paraId="26A43F32"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t xml:space="preserve">-- </w:t>
            </w:r>
            <w:r w:rsidRPr="004D0DAA">
              <w:rPr>
                <w:i/>
                <w:iCs/>
                <w:lang w:eastAsia="en-US"/>
              </w:rPr>
              <w:t>Additions in Rel-12</w:t>
            </w:r>
          </w:p>
          <w:p w14:paraId="061917B7"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iCs/>
                <w:lang w:eastAsia="en-US"/>
              </w:rPr>
              <w:t xml:space="preserve">{ 0 | 1 </w:t>
            </w:r>
            <w:r w:rsidRPr="004D0DAA">
              <w:rPr>
                <w:lang w:eastAsia="en-US"/>
              </w:rPr>
              <w:t xml:space="preserve">&lt; </w:t>
            </w:r>
            <w:r w:rsidRPr="004D0DAA">
              <w:rPr>
                <w:b/>
                <w:lang w:eastAsia="en-US"/>
              </w:rPr>
              <w:t xml:space="preserve">Downlink_eTFI </w:t>
            </w:r>
            <w:r w:rsidRPr="004D0DAA">
              <w:rPr>
                <w:lang w:eastAsia="en-US"/>
              </w:rPr>
              <w:t>: bit (3) &gt; }</w:t>
            </w:r>
          </w:p>
          <w:p w14:paraId="0BAF83F3" w14:textId="77777777" w:rsidR="00711444" w:rsidRPr="004D0DAA" w:rsidRDefault="00711444" w:rsidP="00AA2A4C">
            <w:pPr>
              <w:pStyle w:val="TAL"/>
              <w:rPr>
                <w:lang w:eastAsia="en-US"/>
              </w:rPr>
            </w:pPr>
            <w:r w:rsidRPr="004D0DAA">
              <w:rPr>
                <w:lang w:eastAsia="en-US"/>
              </w:rPr>
              <w:tab/>
              <w:t>&lt; padding bits &gt; } ;</w:t>
            </w:r>
          </w:p>
        </w:tc>
      </w:tr>
    </w:tbl>
    <w:p w14:paraId="472F9B1E" w14:textId="77777777" w:rsidR="00711444" w:rsidRPr="004D0DAA" w:rsidRDefault="00711444" w:rsidP="00711444"/>
    <w:p w14:paraId="085EA2B9" w14:textId="77777777" w:rsidR="00711444" w:rsidRPr="004D0DAA" w:rsidRDefault="00711444" w:rsidP="00711444">
      <w:pPr>
        <w:pStyle w:val="TH"/>
      </w:pPr>
      <w:r w:rsidRPr="004D0DAA">
        <w:t>Table 11.2.32.2: ADDITIONAL MS RADIO ACCESS CAPABILITIES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CDE883F" w14:textId="77777777" w:rsidTr="00AA2A4C">
        <w:tblPrEx>
          <w:tblCellMar>
            <w:top w:w="0" w:type="dxa"/>
            <w:bottom w:w="0" w:type="dxa"/>
          </w:tblCellMar>
        </w:tblPrEx>
        <w:tc>
          <w:tcPr>
            <w:tcW w:w="9848" w:type="dxa"/>
          </w:tcPr>
          <w:p w14:paraId="319537FF" w14:textId="77777777" w:rsidR="00711444" w:rsidRPr="004D0DAA" w:rsidRDefault="00711444" w:rsidP="00AA2A4C">
            <w:pPr>
              <w:keepNext/>
              <w:keepLines/>
            </w:pPr>
            <w:r w:rsidRPr="004D0DAA">
              <w:rPr>
                <w:b/>
              </w:rPr>
              <w:t>Global TFI</w:t>
            </w:r>
            <w:r w:rsidRPr="004D0DAA">
              <w:br/>
              <w:t>This information element contains the TFI of the mobile station's uplink TBF, if available, or the TFI of the mobile station's downlink TBF. If no TFI is available, this field is omitted. This field is defined in sub-clause 12.10.</w:t>
            </w:r>
          </w:p>
          <w:p w14:paraId="44921298" w14:textId="77777777" w:rsidR="00711444" w:rsidRPr="004D0DAA" w:rsidRDefault="00711444" w:rsidP="00AA2A4C">
            <w:pPr>
              <w:keepNext/>
              <w:keepLines/>
            </w:pPr>
            <w:r w:rsidRPr="004D0DAA">
              <w:rPr>
                <w:b/>
              </w:rPr>
              <w:t>TLLI IE (32 bit field)</w:t>
            </w:r>
            <w:r w:rsidRPr="004D0DAA">
              <w:br/>
              <w:t xml:space="preserve">This information element is defined in sub-clause 12.16. </w:t>
            </w:r>
          </w:p>
          <w:p w14:paraId="32E02CB5" w14:textId="77777777" w:rsidR="00711444" w:rsidRPr="004D0DAA" w:rsidRDefault="00711444" w:rsidP="00AA2A4C">
            <w:pPr>
              <w:keepNext/>
              <w:keepLines/>
            </w:pPr>
            <w:r w:rsidRPr="004D0DAA">
              <w:rPr>
                <w:b/>
              </w:rPr>
              <w:t>MS Radio Access Capability 2</w:t>
            </w:r>
            <w:r w:rsidRPr="004D0DAA">
              <w:rPr>
                <w:b/>
              </w:rPr>
              <w:br/>
            </w:r>
            <w:r w:rsidRPr="004D0DAA">
              <w:t>This information element is defined in sub-clause 12.30. This information element is sent during one phase and two phase access procedures.</w:t>
            </w:r>
          </w:p>
          <w:p w14:paraId="5D1FED46" w14:textId="77777777" w:rsidR="00711444" w:rsidRPr="004D0DAA" w:rsidRDefault="00711444" w:rsidP="00AA2A4C">
            <w:pPr>
              <w:keepNext/>
              <w:keepLines/>
            </w:pPr>
            <w:r w:rsidRPr="004D0DAA">
              <w:rPr>
                <w:b/>
              </w:rPr>
              <w:t xml:space="preserve">DOWNLINK_eTFI </w:t>
            </w:r>
            <w:r w:rsidRPr="004D0DAA">
              <w:t>(3 bit field)</w:t>
            </w:r>
            <w:r w:rsidRPr="004D0DAA">
              <w:br/>
              <w:t>See sub-clause 11.2.48</w:t>
            </w:r>
          </w:p>
        </w:tc>
      </w:tr>
    </w:tbl>
    <w:p w14:paraId="701DAF5A" w14:textId="77777777" w:rsidR="00711444" w:rsidRPr="004D0DAA" w:rsidRDefault="00711444" w:rsidP="00711444">
      <w:pPr>
        <w:keepNext/>
        <w:keepLines/>
      </w:pPr>
    </w:p>
    <w:p w14:paraId="3DDD0110" w14:textId="77777777" w:rsidR="00711444" w:rsidRPr="004D0DAA" w:rsidRDefault="00711444" w:rsidP="00711444">
      <w:pPr>
        <w:pStyle w:val="Heading3"/>
      </w:pPr>
      <w:bookmarkStart w:id="722" w:name="_Toc516669898"/>
      <w:r w:rsidRPr="004D0DAA">
        <w:t>11.2.33</w:t>
      </w:r>
      <w:r w:rsidRPr="004D0DAA">
        <w:tab/>
        <w:t>Handover Access (</w:t>
      </w:r>
      <w:r w:rsidRPr="004D0DAA">
        <w:rPr>
          <w:i/>
          <w:iCs/>
        </w:rPr>
        <w:t>Iu mode only</w:t>
      </w:r>
      <w:r w:rsidRPr="004D0DAA">
        <w:t>)</w:t>
      </w:r>
      <w:bookmarkEnd w:id="722"/>
    </w:p>
    <w:p w14:paraId="627E95E8" w14:textId="77777777" w:rsidR="00711444" w:rsidRPr="004D0DAA" w:rsidRDefault="00711444" w:rsidP="00711444">
      <w:r w:rsidRPr="004D0DAA">
        <w:t xml:space="preserve">This message is sent on DBPSCH on either PACCH, FACCH or SDCCH and optionally on SACCH by the mobile station to the network during a handover procedure. It shall not be sent on the 52-multiframe structure (SBPSCH). This message is formatted as four identical access bursts on PACCH, FACCH and SDCCH, and as one individual access burst on SACCH. Each access burst shall use the 8-bit access burst format and follow the 8-bit PRACH uplink/PACCH uplink short acknowledgement block format defined in 3GPP TS 44.004. Each access burst is coded as shown in table </w:t>
      </w:r>
      <w:r w:rsidRPr="004D0DAA">
        <w:lastRenderedPageBreak/>
        <w:t>11.2.33.1. The order of bit transmission is defined in 3GPP TS 44.004. The numbering, assembling and field mapping conventions defined for RLC/MAC control blocks in sub-clause 10.0b shall apply.</w:t>
      </w:r>
    </w:p>
    <w:p w14:paraId="2D49CFFB" w14:textId="77777777" w:rsidR="00711444" w:rsidRPr="004D0DAA" w:rsidRDefault="00711444" w:rsidP="00711444">
      <w:pPr>
        <w:pStyle w:val="EX"/>
      </w:pPr>
      <w:r w:rsidRPr="004D0DAA">
        <w:t>Direction:</w:t>
      </w:r>
      <w:r w:rsidRPr="004D0DAA">
        <w:tab/>
        <w:t>mobile station to network</w:t>
      </w:r>
    </w:p>
    <w:p w14:paraId="03BC9CD7" w14:textId="77777777" w:rsidR="00711444" w:rsidRPr="004D0DAA" w:rsidRDefault="00711444" w:rsidP="00711444">
      <w:pPr>
        <w:pStyle w:val="TH"/>
      </w:pPr>
      <w:r w:rsidRPr="004D0DAA">
        <w:t>Table 11.2.33.1: HANDOVER ACCESS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42C1A1A" w14:textId="77777777" w:rsidTr="00AA2A4C">
        <w:tblPrEx>
          <w:tblCellMar>
            <w:top w:w="0" w:type="dxa"/>
            <w:bottom w:w="0" w:type="dxa"/>
          </w:tblCellMar>
        </w:tblPrEx>
        <w:trPr>
          <w:cantSplit/>
        </w:trPr>
        <w:tc>
          <w:tcPr>
            <w:tcW w:w="9848" w:type="dxa"/>
          </w:tcPr>
          <w:p w14:paraId="75D9909C" w14:textId="77777777" w:rsidR="00711444" w:rsidRPr="004D0DAA" w:rsidRDefault="00711444" w:rsidP="00AA2A4C">
            <w:pPr>
              <w:pStyle w:val="TAL"/>
              <w:rPr>
                <w:lang w:eastAsia="en-US"/>
              </w:rPr>
            </w:pPr>
            <w:r w:rsidRPr="004D0DAA">
              <w:rPr>
                <w:lang w:eastAsia="en-US"/>
              </w:rPr>
              <w:t>&lt; Handover Access 8 bit message &gt; ::=</w:t>
            </w:r>
            <w:r w:rsidRPr="004D0DAA">
              <w:rPr>
                <w:lang w:eastAsia="en-US"/>
              </w:rPr>
              <w:tab/>
            </w:r>
            <w:r w:rsidRPr="004D0DAA">
              <w:rPr>
                <w:lang w:eastAsia="en-US"/>
              </w:rPr>
              <w:tab/>
            </w:r>
            <w:r w:rsidRPr="004D0DAA">
              <w:rPr>
                <w:iCs/>
                <w:lang w:eastAsia="en-US"/>
              </w:rPr>
              <w:t xml:space="preserve">-- </w:t>
            </w:r>
            <w:r w:rsidRPr="004D0DAA">
              <w:rPr>
                <w:i/>
                <w:lang w:eastAsia="en-US"/>
              </w:rPr>
              <w:t>8-bit access burst format</w:t>
            </w:r>
          </w:p>
          <w:p w14:paraId="368DACD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HANDOVER_REFERENCE_VALUE</w:t>
            </w:r>
            <w:r w:rsidRPr="004D0DAA">
              <w:rPr>
                <w:lang w:eastAsia="en-US"/>
              </w:rPr>
              <w:t xml:space="preserve"> : bit (8) &gt;;</w:t>
            </w:r>
          </w:p>
        </w:tc>
      </w:tr>
    </w:tbl>
    <w:p w14:paraId="5AF25686" w14:textId="77777777" w:rsidR="00711444" w:rsidRPr="004D0DAA" w:rsidRDefault="00711444" w:rsidP="00711444"/>
    <w:p w14:paraId="1DEE2EEB" w14:textId="77777777" w:rsidR="00711444" w:rsidRPr="004D0DAA" w:rsidRDefault="00711444" w:rsidP="00711444">
      <w:pPr>
        <w:pStyle w:val="TH"/>
      </w:pPr>
      <w:r w:rsidRPr="004D0DAA">
        <w:t>Table 11.2.33.2: HANDOVER ACCESS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5BBEECD" w14:textId="77777777" w:rsidTr="00AA2A4C">
        <w:tblPrEx>
          <w:tblCellMar>
            <w:top w:w="0" w:type="dxa"/>
            <w:bottom w:w="0" w:type="dxa"/>
          </w:tblCellMar>
        </w:tblPrEx>
        <w:tc>
          <w:tcPr>
            <w:tcW w:w="9848" w:type="dxa"/>
          </w:tcPr>
          <w:p w14:paraId="558AB7D9" w14:textId="77777777" w:rsidR="00711444" w:rsidRPr="004D0DAA" w:rsidRDefault="00711444" w:rsidP="00AA2A4C">
            <w:pPr>
              <w:keepNext/>
              <w:keepLines/>
              <w:rPr>
                <w:b/>
              </w:rPr>
            </w:pPr>
            <w:r w:rsidRPr="004D0DAA">
              <w:rPr>
                <w:b/>
              </w:rPr>
              <w:t xml:space="preserve">HANDOVER_REFERENCE_VALUE </w:t>
            </w:r>
            <w:r w:rsidRPr="004D0DAA">
              <w:rPr>
                <w:bCs/>
              </w:rPr>
              <w:t>(8 bit field)</w:t>
            </w:r>
            <w:r w:rsidRPr="004D0DAA">
              <w:br/>
              <w:t>This field is coded as the handover reference value field defined in 3GPP TS 44.018.</w:t>
            </w:r>
          </w:p>
        </w:tc>
      </w:tr>
    </w:tbl>
    <w:p w14:paraId="55C508AF" w14:textId="77777777" w:rsidR="00711444" w:rsidRPr="004D0DAA" w:rsidRDefault="00711444" w:rsidP="00711444"/>
    <w:p w14:paraId="02EB1617" w14:textId="77777777" w:rsidR="00711444" w:rsidRPr="004D0DAA" w:rsidRDefault="00711444" w:rsidP="00711444">
      <w:pPr>
        <w:pStyle w:val="Heading3"/>
      </w:pPr>
      <w:bookmarkStart w:id="723" w:name="_Toc516669899"/>
      <w:r w:rsidRPr="004D0DAA">
        <w:t>11.2.34</w:t>
      </w:r>
      <w:r w:rsidRPr="004D0DAA">
        <w:tab/>
        <w:t>Physical Information (</w:t>
      </w:r>
      <w:r w:rsidRPr="004D0DAA">
        <w:rPr>
          <w:i/>
          <w:iCs/>
        </w:rPr>
        <w:t>Iu mode only</w:t>
      </w:r>
      <w:r w:rsidRPr="004D0DAA">
        <w:t>)</w:t>
      </w:r>
      <w:bookmarkEnd w:id="723"/>
    </w:p>
    <w:p w14:paraId="0FBB3525" w14:textId="77777777" w:rsidR="00711444" w:rsidRPr="004D0DAA" w:rsidRDefault="00711444" w:rsidP="00711444">
      <w:r w:rsidRPr="004D0DAA">
        <w:t>This message is sent on DBPSCH on either PACCH, FACCH or SDCCH by the network to the mobile station during a handover procedure to indicate a valid timing advance to the mobile station. It shall not be sent on the 52-multiframe structure (SBPSCH).</w:t>
      </w:r>
    </w:p>
    <w:p w14:paraId="1BF2762E" w14:textId="77777777" w:rsidR="00711444" w:rsidRPr="004D0DAA" w:rsidRDefault="00711444" w:rsidP="00711444">
      <w:pPr>
        <w:pStyle w:val="EX"/>
      </w:pPr>
      <w:r w:rsidRPr="004D0DAA">
        <w:t>Message type:</w:t>
      </w:r>
      <w:r w:rsidRPr="004D0DAA">
        <w:tab/>
        <w:t>PHYSICAL INFORMATION</w:t>
      </w:r>
    </w:p>
    <w:p w14:paraId="3FAC93DC" w14:textId="77777777" w:rsidR="00711444" w:rsidRPr="004D0DAA" w:rsidRDefault="00711444" w:rsidP="00711444">
      <w:pPr>
        <w:pStyle w:val="EX"/>
      </w:pPr>
      <w:r w:rsidRPr="004D0DAA">
        <w:t>Direction:</w:t>
      </w:r>
      <w:r w:rsidRPr="004D0DAA">
        <w:tab/>
        <w:t>network to mobile station</w:t>
      </w:r>
    </w:p>
    <w:p w14:paraId="5AB12DE5" w14:textId="77777777" w:rsidR="00711444" w:rsidRPr="004D0DAA" w:rsidRDefault="00711444" w:rsidP="00711444">
      <w:pPr>
        <w:pStyle w:val="EX"/>
      </w:pPr>
      <w:r w:rsidRPr="004D0DAA">
        <w:t>Classification:</w:t>
      </w:r>
      <w:r w:rsidRPr="004D0DAA">
        <w:tab/>
        <w:t>DBPSCH message</w:t>
      </w:r>
    </w:p>
    <w:p w14:paraId="5A3A9543" w14:textId="77777777" w:rsidR="00711444" w:rsidRPr="004D0DAA" w:rsidRDefault="00711444" w:rsidP="00711444">
      <w:pPr>
        <w:pStyle w:val="TH"/>
      </w:pPr>
      <w:r w:rsidRPr="004D0DAA">
        <w:t>Table 11.2.34.1: PHYSICAL INFORMATION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FCE2CF8" w14:textId="77777777" w:rsidTr="00AA2A4C">
        <w:tblPrEx>
          <w:tblCellMar>
            <w:top w:w="0" w:type="dxa"/>
            <w:bottom w:w="0" w:type="dxa"/>
          </w:tblCellMar>
        </w:tblPrEx>
        <w:trPr>
          <w:cantSplit/>
        </w:trPr>
        <w:tc>
          <w:tcPr>
            <w:tcW w:w="9848" w:type="dxa"/>
          </w:tcPr>
          <w:p w14:paraId="147D1AD6" w14:textId="77777777" w:rsidR="00711444" w:rsidRPr="004D0DAA" w:rsidRDefault="00711444" w:rsidP="00AA2A4C">
            <w:pPr>
              <w:pStyle w:val="TAL"/>
              <w:rPr>
                <w:lang w:eastAsia="en-US"/>
              </w:rPr>
            </w:pPr>
            <w:r w:rsidRPr="004D0DAA">
              <w:rPr>
                <w:lang w:eastAsia="en-US"/>
              </w:rPr>
              <w:t>&lt; Physical information message content &gt; ::=</w:t>
            </w:r>
            <w:r w:rsidRPr="004D0DAA">
              <w:rPr>
                <w:lang w:eastAsia="en-US"/>
              </w:rPr>
              <w:tab/>
            </w:r>
            <w:r w:rsidRPr="004D0DAA">
              <w:rPr>
                <w:lang w:eastAsia="en-US"/>
              </w:rPr>
              <w:tab/>
            </w:r>
            <w:r w:rsidRPr="004D0DAA">
              <w:rPr>
                <w:iCs/>
                <w:lang w:eastAsia="en-US"/>
              </w:rPr>
              <w:t xml:space="preserve">-- </w:t>
            </w:r>
            <w:r w:rsidRPr="004D0DAA">
              <w:rPr>
                <w:i/>
                <w:lang w:eastAsia="en-US"/>
              </w:rPr>
              <w:t>RLC/MAC control block format</w:t>
            </w:r>
          </w:p>
          <w:p w14:paraId="1E7B42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MESSAGE_TYPE</w:t>
            </w:r>
            <w:r w:rsidRPr="004D0DAA">
              <w:rPr>
                <w:lang w:eastAsia="en-US"/>
              </w:rPr>
              <w:t xml:space="preserve"> : bit (6) == 010010 &gt;</w:t>
            </w:r>
          </w:p>
          <w:p w14:paraId="79A01E6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TIMING_ADVANCE_VALUE</w:t>
            </w:r>
            <w:r w:rsidRPr="004D0DAA">
              <w:rPr>
                <w:lang w:eastAsia="en-US"/>
              </w:rPr>
              <w:t xml:space="preserve"> : bit (8) &gt;</w:t>
            </w:r>
          </w:p>
          <w:p w14:paraId="0EBAD01A" w14:textId="77777777" w:rsidR="00711444" w:rsidRPr="004D0DAA" w:rsidRDefault="00711444" w:rsidP="00AA2A4C">
            <w:pPr>
              <w:pStyle w:val="TAL"/>
              <w:rPr>
                <w:lang w:eastAsia="en-US"/>
              </w:rPr>
            </w:pPr>
            <w:r w:rsidRPr="004D0DAA">
              <w:rPr>
                <w:lang w:eastAsia="en-US"/>
              </w:rPr>
              <w:tab/>
              <w:t>&lt; padding bits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truncation at end of message allowed, bits '0' assumed</w:t>
            </w:r>
            <w:r w:rsidRPr="004D0DAA">
              <w:rPr>
                <w:lang w:eastAsia="en-US"/>
              </w:rPr>
              <w:tab/>
            </w:r>
          </w:p>
        </w:tc>
      </w:tr>
    </w:tbl>
    <w:p w14:paraId="139FF06D" w14:textId="77777777" w:rsidR="00711444" w:rsidRPr="004D0DAA" w:rsidRDefault="00711444" w:rsidP="00711444"/>
    <w:p w14:paraId="79D74043" w14:textId="77777777" w:rsidR="00711444" w:rsidRPr="004D0DAA" w:rsidRDefault="00711444" w:rsidP="00711444">
      <w:pPr>
        <w:pStyle w:val="TH"/>
      </w:pPr>
      <w:r w:rsidRPr="004D0DAA">
        <w:t>Table 11.2.34.2: PHYSICAL INFORMATION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3881972" w14:textId="77777777" w:rsidTr="00AA2A4C">
        <w:tblPrEx>
          <w:tblCellMar>
            <w:top w:w="0" w:type="dxa"/>
            <w:bottom w:w="0" w:type="dxa"/>
          </w:tblCellMar>
        </w:tblPrEx>
        <w:tc>
          <w:tcPr>
            <w:tcW w:w="9848" w:type="dxa"/>
          </w:tcPr>
          <w:p w14:paraId="51C95328" w14:textId="77777777" w:rsidR="00711444" w:rsidRPr="004D0DAA" w:rsidRDefault="00711444" w:rsidP="00AA2A4C">
            <w:pPr>
              <w:keepNext/>
              <w:keepLines/>
              <w:rPr>
                <w:b/>
              </w:rPr>
            </w:pPr>
            <w:r w:rsidRPr="004D0DAA">
              <w:rPr>
                <w:b/>
              </w:rPr>
              <w:t xml:space="preserve">TIMING_ADVANCE_VALUE </w:t>
            </w:r>
            <w:r w:rsidRPr="004D0DAA">
              <w:rPr>
                <w:bCs/>
              </w:rPr>
              <w:t>(8 bit field)</w:t>
            </w:r>
            <w:r w:rsidRPr="004D0DAA">
              <w:br/>
              <w:t>This field is coded as the timing advance value field defined in 3GPP TS 44.018.</w:t>
            </w:r>
          </w:p>
        </w:tc>
      </w:tr>
    </w:tbl>
    <w:p w14:paraId="0745042F" w14:textId="77777777" w:rsidR="00711444" w:rsidRPr="004D0DAA" w:rsidRDefault="00711444" w:rsidP="00711444"/>
    <w:p w14:paraId="7DBE2369" w14:textId="77777777" w:rsidR="00711444" w:rsidRPr="004D0DAA" w:rsidRDefault="00711444" w:rsidP="00711444">
      <w:pPr>
        <w:pStyle w:val="Heading3"/>
      </w:pPr>
      <w:bookmarkStart w:id="724" w:name="_Toc516669900"/>
      <w:r w:rsidRPr="004D0DAA">
        <w:t>11.2.35</w:t>
      </w:r>
      <w:r w:rsidRPr="004D0DAA">
        <w:tab/>
        <w:t>Packet CS Request</w:t>
      </w:r>
      <w:bookmarkEnd w:id="724"/>
    </w:p>
    <w:p w14:paraId="02617706" w14:textId="77777777" w:rsidR="00711444" w:rsidRPr="004D0DAA" w:rsidRDefault="00711444" w:rsidP="00711444">
      <w:r w:rsidRPr="004D0DAA">
        <w:t>This message is sent from the mobile station to the network on the PACCH to request RR connection.</w:t>
      </w:r>
    </w:p>
    <w:p w14:paraId="701FC8AA" w14:textId="77777777" w:rsidR="00711444" w:rsidRPr="004D0DAA" w:rsidRDefault="00711444" w:rsidP="00711444">
      <w:pPr>
        <w:pStyle w:val="EX"/>
      </w:pPr>
      <w:r w:rsidRPr="004D0DAA">
        <w:t>Message type:</w:t>
      </w:r>
      <w:r w:rsidRPr="004D0DAA">
        <w:tab/>
        <w:t>PACKET CS REQUEST</w:t>
      </w:r>
    </w:p>
    <w:p w14:paraId="0E621767" w14:textId="77777777" w:rsidR="00711444" w:rsidRPr="004D0DAA" w:rsidRDefault="00711444" w:rsidP="00711444">
      <w:pPr>
        <w:pStyle w:val="EX"/>
      </w:pPr>
      <w:r w:rsidRPr="004D0DAA">
        <w:t>Direction:</w:t>
      </w:r>
      <w:r w:rsidRPr="004D0DAA">
        <w:tab/>
        <w:t>mobile station to network</w:t>
      </w:r>
    </w:p>
    <w:p w14:paraId="6428755A" w14:textId="77777777" w:rsidR="00711444" w:rsidRPr="004D0DAA" w:rsidRDefault="00711444" w:rsidP="00711444">
      <w:pPr>
        <w:pStyle w:val="TH"/>
      </w:pPr>
      <w:r w:rsidRPr="004D0DAA">
        <w:t>Table 11.2.35.1: PACKET CS REQUEST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AAF4CB7" w14:textId="77777777" w:rsidTr="00AA2A4C">
        <w:tblPrEx>
          <w:tblCellMar>
            <w:top w:w="0" w:type="dxa"/>
            <w:bottom w:w="0" w:type="dxa"/>
          </w:tblCellMar>
        </w:tblPrEx>
        <w:trPr>
          <w:cantSplit/>
        </w:trPr>
        <w:tc>
          <w:tcPr>
            <w:tcW w:w="9848" w:type="dxa"/>
          </w:tcPr>
          <w:p w14:paraId="7F2ADA9A" w14:textId="77777777" w:rsidR="00711444" w:rsidRPr="004D0DAA" w:rsidRDefault="00711444" w:rsidP="00AA2A4C">
            <w:pPr>
              <w:pStyle w:val="TAL"/>
              <w:rPr>
                <w:lang w:eastAsia="en-US"/>
              </w:rPr>
            </w:pPr>
            <w:r w:rsidRPr="004D0DAA">
              <w:rPr>
                <w:lang w:eastAsia="en-US"/>
              </w:rPr>
              <w:t>&lt; Packet CS Request message content &gt; ::=</w:t>
            </w:r>
          </w:p>
          <w:p w14:paraId="2A114F24" w14:textId="77777777" w:rsidR="00711444" w:rsidRPr="004D0DAA" w:rsidRDefault="00711444" w:rsidP="00AA2A4C">
            <w:pPr>
              <w:pStyle w:val="TAL"/>
              <w:rPr>
                <w:lang w:eastAsia="en-US"/>
              </w:rPr>
            </w:pPr>
            <w:r w:rsidRPr="004D0DAA">
              <w:rPr>
                <w:lang w:eastAsia="en-US"/>
              </w:rPr>
              <w:tab/>
            </w:r>
            <w:r w:rsidRPr="004D0DAA">
              <w:rPr>
                <w:bCs/>
                <w:lang w:eastAsia="en-US"/>
              </w:rPr>
              <w:t>&lt;</w:t>
            </w:r>
            <w:r w:rsidRPr="004D0DAA">
              <w:rPr>
                <w:b/>
                <w:lang w:eastAsia="en-US"/>
              </w:rPr>
              <w:t xml:space="preserve"> GLOBAL TFI</w:t>
            </w:r>
            <w:r w:rsidRPr="004D0DAA">
              <w:rPr>
                <w:lang w:eastAsia="en-US"/>
              </w:rPr>
              <w:t xml:space="preserve"> : &lt; Global TFI IE &gt; &gt;</w:t>
            </w:r>
          </w:p>
          <w:p w14:paraId="7515E20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ESTABLISHMENT CAUSE</w:t>
            </w:r>
            <w:r w:rsidRPr="004D0DAA">
              <w:rPr>
                <w:lang w:eastAsia="en-US"/>
              </w:rPr>
              <w:t xml:space="preserve"> : bit (8) &gt;</w:t>
            </w:r>
          </w:p>
          <w:p w14:paraId="638D3175" w14:textId="77777777" w:rsidR="00711444" w:rsidRPr="004D0DAA" w:rsidRDefault="00711444" w:rsidP="00AA2A4C">
            <w:pPr>
              <w:pStyle w:val="TAL"/>
              <w:rPr>
                <w:lang w:eastAsia="en-US"/>
              </w:rPr>
            </w:pPr>
            <w:r w:rsidRPr="004D0DAA">
              <w:rPr>
                <w:lang w:eastAsia="en-US"/>
              </w:rPr>
              <w:tab/>
              <w:t>&lt; padding bits &gt; ;</w:t>
            </w:r>
          </w:p>
        </w:tc>
      </w:tr>
    </w:tbl>
    <w:p w14:paraId="721EE1F1" w14:textId="77777777" w:rsidR="00711444" w:rsidRPr="004D0DAA" w:rsidRDefault="00711444" w:rsidP="00711444"/>
    <w:p w14:paraId="25CED61C" w14:textId="77777777" w:rsidR="00711444" w:rsidRPr="004D0DAA" w:rsidRDefault="00711444" w:rsidP="00711444">
      <w:pPr>
        <w:pStyle w:val="TH"/>
      </w:pPr>
      <w:r w:rsidRPr="004D0DAA">
        <w:lastRenderedPageBreak/>
        <w:t>Table 11.2.35.2: PACKET CS REQUEST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2B30610" w14:textId="77777777" w:rsidTr="00AA2A4C">
        <w:tblPrEx>
          <w:tblCellMar>
            <w:top w:w="0" w:type="dxa"/>
            <w:bottom w:w="0" w:type="dxa"/>
          </w:tblCellMar>
        </w:tblPrEx>
        <w:trPr>
          <w:cantSplit/>
        </w:trPr>
        <w:tc>
          <w:tcPr>
            <w:tcW w:w="9848" w:type="dxa"/>
          </w:tcPr>
          <w:p w14:paraId="0AF8B7E2" w14:textId="77777777" w:rsidR="00711444" w:rsidRPr="004D0DAA" w:rsidRDefault="00711444" w:rsidP="00AA2A4C">
            <w:pPr>
              <w:rPr>
                <w:b/>
              </w:rPr>
            </w:pPr>
            <w:r w:rsidRPr="004D0DAA">
              <w:rPr>
                <w:b/>
              </w:rPr>
              <w:t>Global TFI</w:t>
            </w:r>
            <w:r w:rsidRPr="004D0DAA">
              <w:br/>
              <w:t>This information element contains the TFI of the mobile station's downlink TBF or uplink TBF. This field is defined in sub-clause 12.10.</w:t>
            </w:r>
          </w:p>
        </w:tc>
      </w:tr>
      <w:tr w:rsidR="00711444" w:rsidRPr="004D0DAA" w14:paraId="7130B497" w14:textId="77777777" w:rsidTr="00AA2A4C">
        <w:tblPrEx>
          <w:tblCellMar>
            <w:top w:w="0" w:type="dxa"/>
            <w:bottom w:w="0" w:type="dxa"/>
          </w:tblCellMar>
        </w:tblPrEx>
        <w:trPr>
          <w:cantSplit/>
        </w:trPr>
        <w:tc>
          <w:tcPr>
            <w:tcW w:w="9848" w:type="dxa"/>
          </w:tcPr>
          <w:p w14:paraId="28FC46B1" w14:textId="77777777" w:rsidR="00711444" w:rsidRPr="004D0DAA" w:rsidRDefault="00711444" w:rsidP="00AA2A4C">
            <w:pPr>
              <w:tabs>
                <w:tab w:val="left" w:pos="851"/>
              </w:tabs>
              <w:rPr>
                <w:b/>
              </w:rPr>
            </w:pPr>
            <w:r w:rsidRPr="004D0DAA">
              <w:rPr>
                <w:b/>
              </w:rPr>
              <w:t>ESTABLISHMENT CAUSE</w:t>
            </w:r>
            <w:r w:rsidRPr="004D0DAA">
              <w:t xml:space="preserve"> (8 bit field)</w:t>
            </w:r>
            <w:r w:rsidRPr="004D0DAA">
              <w:br/>
              <w:t>The ESTABLISHMENT CAUSE field indicates the cause value of the RR connection establishment. This field is specified in 3GPP TS 44.018. The mobile station shall neither use cause values referring to answer to paging nor request of PDCH.</w:t>
            </w:r>
          </w:p>
        </w:tc>
      </w:tr>
    </w:tbl>
    <w:p w14:paraId="748CEFDA" w14:textId="77777777" w:rsidR="00711444" w:rsidRPr="004D0DAA" w:rsidRDefault="00711444" w:rsidP="00711444"/>
    <w:p w14:paraId="5DDA66B8" w14:textId="77777777" w:rsidR="00711444" w:rsidRPr="004D0DAA" w:rsidRDefault="00711444" w:rsidP="00711444">
      <w:pPr>
        <w:pStyle w:val="Heading3"/>
        <w:ind w:left="0" w:firstLine="0"/>
      </w:pPr>
      <w:bookmarkStart w:id="725" w:name="_Toc516669901"/>
      <w:r w:rsidRPr="004D0DAA">
        <w:t>11.2.36</w:t>
      </w:r>
      <w:r w:rsidRPr="004D0DAA">
        <w:tab/>
        <w:t>Packet CS Command</w:t>
      </w:r>
      <w:bookmarkEnd w:id="725"/>
    </w:p>
    <w:p w14:paraId="1EA389AC" w14:textId="77777777" w:rsidR="00711444" w:rsidRPr="004D0DAA" w:rsidRDefault="00711444" w:rsidP="00711444">
      <w:r w:rsidRPr="004D0DAA">
        <w:t>This optional message is sent by the network on the PACCH to encapsulate RR control messages. This message may be segmented across more than two RLC/MAC control block by using extended RLC/MAC control message segmentation.</w:t>
      </w:r>
    </w:p>
    <w:p w14:paraId="02E54363" w14:textId="77777777" w:rsidR="00711444" w:rsidRPr="004D0DAA" w:rsidRDefault="00711444" w:rsidP="00711444">
      <w:pPr>
        <w:pStyle w:val="EX"/>
      </w:pPr>
      <w:r w:rsidRPr="004D0DAA">
        <w:t>Message type:</w:t>
      </w:r>
      <w:r w:rsidRPr="004D0DAA">
        <w:tab/>
        <w:t>PACKET CS COMMAND</w:t>
      </w:r>
    </w:p>
    <w:p w14:paraId="3056CD69" w14:textId="77777777" w:rsidR="00711444" w:rsidRPr="004D0DAA" w:rsidRDefault="00711444" w:rsidP="00711444">
      <w:pPr>
        <w:pStyle w:val="EX"/>
      </w:pPr>
      <w:r w:rsidRPr="004D0DAA">
        <w:t>Direction:</w:t>
      </w:r>
      <w:r w:rsidRPr="004D0DAA">
        <w:tab/>
        <w:t>network to mobile station</w:t>
      </w:r>
    </w:p>
    <w:p w14:paraId="0D130194" w14:textId="77777777" w:rsidR="00711444" w:rsidRPr="004D0DAA" w:rsidRDefault="00711444" w:rsidP="00711444">
      <w:pPr>
        <w:pStyle w:val="EX"/>
        <w:rPr>
          <w:lang w:val="fr-FR"/>
        </w:rPr>
      </w:pPr>
      <w:r w:rsidRPr="004D0DAA">
        <w:rPr>
          <w:lang w:val="fr-FR"/>
        </w:rPr>
        <w:t>Classification:</w:t>
      </w:r>
      <w:r w:rsidRPr="004D0DAA">
        <w:rPr>
          <w:lang w:val="fr-FR"/>
        </w:rPr>
        <w:tab/>
        <w:t>non distribution message</w:t>
      </w:r>
    </w:p>
    <w:p w14:paraId="2D30395F" w14:textId="77777777" w:rsidR="00711444" w:rsidRPr="004D0DAA" w:rsidRDefault="00711444" w:rsidP="00711444">
      <w:pPr>
        <w:pStyle w:val="TH"/>
        <w:rPr>
          <w:lang w:val="fr-FR"/>
        </w:rPr>
      </w:pPr>
      <w:r w:rsidRPr="004D0DAA">
        <w:rPr>
          <w:lang w:val="fr-FR"/>
        </w:rPr>
        <w:t>Table 11.2.36.1: Packet CS Command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5B8336F" w14:textId="77777777" w:rsidTr="00AA2A4C">
        <w:tblPrEx>
          <w:tblCellMar>
            <w:top w:w="0" w:type="dxa"/>
            <w:bottom w:w="0" w:type="dxa"/>
          </w:tblCellMar>
        </w:tblPrEx>
        <w:trPr>
          <w:cantSplit/>
        </w:trPr>
        <w:tc>
          <w:tcPr>
            <w:tcW w:w="9848" w:type="dxa"/>
          </w:tcPr>
          <w:p w14:paraId="2E15CA9A" w14:textId="77777777" w:rsidR="00711444" w:rsidRPr="004D0DAA" w:rsidRDefault="00711444" w:rsidP="00AA2A4C">
            <w:pPr>
              <w:pStyle w:val="TAL"/>
              <w:rPr>
                <w:lang w:val="fr-FR" w:eastAsia="en-US"/>
              </w:rPr>
            </w:pPr>
            <w:r w:rsidRPr="004D0DAA">
              <w:rPr>
                <w:lang w:val="fr-FR" w:eastAsia="en-US"/>
              </w:rPr>
              <w:t>&lt; Packet CS Command message content &gt; ::=</w:t>
            </w:r>
          </w:p>
          <w:p w14:paraId="150A4EA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PAGE_MODE </w:t>
            </w:r>
            <w:r w:rsidRPr="004D0DAA">
              <w:rPr>
                <w:lang w:val="fr-FR" w:eastAsia="en-US"/>
              </w:rPr>
              <w:t>: bit (2) &gt;</w:t>
            </w:r>
          </w:p>
          <w:p w14:paraId="477885A2"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 xml:space="preserve">&lt; </w:t>
            </w:r>
            <w:r w:rsidRPr="004D0DAA">
              <w:rPr>
                <w:b/>
                <w:lang w:eastAsia="en-US"/>
              </w:rPr>
              <w:t>GLOBAL</w:t>
            </w:r>
            <w:r w:rsidRPr="004D0DAA">
              <w:rPr>
                <w:bCs/>
                <w:lang w:eastAsia="en-US"/>
              </w:rPr>
              <w:t>_</w:t>
            </w:r>
            <w:r w:rsidRPr="004D0DAA">
              <w:rPr>
                <w:b/>
                <w:lang w:eastAsia="en-US"/>
              </w:rPr>
              <w:t>TFI</w:t>
            </w:r>
            <w:r w:rsidRPr="004D0DAA">
              <w:rPr>
                <w:lang w:eastAsia="en-US"/>
              </w:rPr>
              <w:t xml:space="preserve"> : &lt; Global TFI IE &gt; &gt;</w:t>
            </w:r>
          </w:p>
          <w:p w14:paraId="75AB6254"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spare</w:t>
            </w:r>
            <w:r w:rsidRPr="004D0DAA">
              <w:rPr>
                <w:bCs/>
                <w:lang w:eastAsia="en-US"/>
              </w:rPr>
              <w:t xml:space="preserve"> </w:t>
            </w:r>
            <w:r w:rsidRPr="004D0DAA">
              <w:rPr>
                <w:lang w:eastAsia="en-US"/>
              </w:rPr>
              <w:t>: bit (2) &gt;</w:t>
            </w:r>
          </w:p>
          <w:p w14:paraId="4AE81F7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CONTAINER_LENGTH</w:t>
            </w:r>
            <w:r w:rsidRPr="004D0DAA">
              <w:rPr>
                <w:lang w:eastAsia="en-US"/>
              </w:rPr>
              <w:t xml:space="preserve"> : bit (8) &gt;</w:t>
            </w:r>
          </w:p>
          <w:p w14:paraId="460CB2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CONTAINER</w:t>
            </w:r>
            <w:r w:rsidRPr="004D0DAA">
              <w:rPr>
                <w:bCs/>
                <w:lang w:eastAsia="en-US"/>
              </w:rPr>
              <w:t>_</w:t>
            </w:r>
            <w:r w:rsidRPr="004D0DAA">
              <w:rPr>
                <w:b/>
                <w:lang w:eastAsia="en-US"/>
              </w:rPr>
              <w:t>DATA</w:t>
            </w:r>
            <w:r w:rsidRPr="004D0DAA">
              <w:rPr>
                <w:lang w:eastAsia="en-US"/>
              </w:rPr>
              <w:t xml:space="preserve"> : octet ** &gt;</w:t>
            </w:r>
            <w:r w:rsidRPr="004D0DAA">
              <w:rPr>
                <w:lang w:eastAsia="en-US"/>
              </w:rPr>
              <w:br/>
            </w:r>
            <w:r w:rsidRPr="004D0DAA">
              <w:rPr>
                <w:lang w:eastAsia="en-US"/>
              </w:rPr>
              <w:tab/>
            </w:r>
            <w:r w:rsidRPr="004D0DAA">
              <w:rPr>
                <w:lang w:eastAsia="en-US"/>
              </w:rPr>
              <w:tab/>
            </w:r>
            <w:r w:rsidRPr="004D0DAA">
              <w:rPr>
                <w:lang w:eastAsia="en-US"/>
              </w:rPr>
              <w:tab/>
              <w:t>&lt; padding bits &gt;</w:t>
            </w:r>
          </w:p>
          <w:p w14:paraId="702262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72244A72"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7548EE53" w14:textId="77777777" w:rsidR="00711444" w:rsidRPr="004D0DAA" w:rsidRDefault="00711444" w:rsidP="00AA2A4C">
            <w:pPr>
              <w:pStyle w:val="TAL"/>
              <w:rPr>
                <w:lang w:eastAsia="en-US"/>
              </w:rPr>
            </w:pPr>
            <w:r w:rsidRPr="004D0DAA">
              <w:rPr>
                <w:lang w:eastAsia="en-US"/>
              </w:rPr>
              <w:tab/>
              <w:t>! &lt; Distribution part error : bit (*) = &lt; no string &gt; &gt; ;</w:t>
            </w:r>
          </w:p>
          <w:p w14:paraId="09EBCA2F" w14:textId="77777777" w:rsidR="00711444" w:rsidRPr="004D0DAA" w:rsidRDefault="00711444" w:rsidP="00AA2A4C">
            <w:pPr>
              <w:pStyle w:val="TAL"/>
              <w:rPr>
                <w:lang w:eastAsia="en-US"/>
              </w:rPr>
            </w:pPr>
          </w:p>
        </w:tc>
      </w:tr>
    </w:tbl>
    <w:p w14:paraId="7699F24D" w14:textId="77777777" w:rsidR="00711444" w:rsidRPr="004D0DAA" w:rsidRDefault="00711444" w:rsidP="00711444"/>
    <w:p w14:paraId="0AF17108" w14:textId="77777777" w:rsidR="00711444" w:rsidRPr="004D0DAA" w:rsidRDefault="00711444" w:rsidP="00711444">
      <w:pPr>
        <w:pStyle w:val="TH"/>
      </w:pPr>
      <w:r w:rsidRPr="004D0DAA">
        <w:t>Table 11.2.36.2: Packet CS Command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7367DAC" w14:textId="77777777" w:rsidTr="00AA2A4C">
        <w:tblPrEx>
          <w:tblCellMar>
            <w:top w:w="0" w:type="dxa"/>
            <w:bottom w:w="0" w:type="dxa"/>
          </w:tblCellMar>
        </w:tblPrEx>
        <w:trPr>
          <w:cantSplit/>
        </w:trPr>
        <w:tc>
          <w:tcPr>
            <w:tcW w:w="9848" w:type="dxa"/>
          </w:tcPr>
          <w:p w14:paraId="6B89F986" w14:textId="77777777" w:rsidR="00711444" w:rsidRPr="004D0DAA" w:rsidRDefault="00711444" w:rsidP="00AA2A4C">
            <w:r w:rsidRPr="004D0DAA">
              <w:t>The Packet CS Command message encapsulates RR control message (e.g. DTM ASSIGNMENT COMMAND, IMMEDIATE ASSIGNMENT or IMMEDIATE ASSIGNMENT REJECT).</w:t>
            </w:r>
          </w:p>
        </w:tc>
      </w:tr>
      <w:tr w:rsidR="00711444" w:rsidRPr="004D0DAA" w14:paraId="763B3D23" w14:textId="77777777" w:rsidTr="00AA2A4C">
        <w:tblPrEx>
          <w:tblCellMar>
            <w:top w:w="0" w:type="dxa"/>
            <w:bottom w:w="0" w:type="dxa"/>
          </w:tblCellMar>
        </w:tblPrEx>
        <w:trPr>
          <w:cantSplit/>
        </w:trPr>
        <w:tc>
          <w:tcPr>
            <w:tcW w:w="9848" w:type="dxa"/>
          </w:tcPr>
          <w:p w14:paraId="707FE9DA" w14:textId="77777777" w:rsidR="00711444" w:rsidRPr="004D0DAA" w:rsidRDefault="00711444" w:rsidP="00AA2A4C">
            <w:r w:rsidRPr="004D0DAA">
              <w:rPr>
                <w:b/>
              </w:rPr>
              <w:t>PAGE_MODE</w:t>
            </w:r>
            <w:r w:rsidRPr="004D0DAA">
              <w:t xml:space="preserve"> (2 bit field)</w:t>
            </w:r>
            <w:r w:rsidRPr="004D0DAA">
              <w:br/>
              <w:t>This field is defined in sub-clause 12.20 and gives the PAGE_MODE parameter valid in the serving cell.</w:t>
            </w:r>
          </w:p>
        </w:tc>
      </w:tr>
      <w:tr w:rsidR="00711444" w:rsidRPr="004D0DAA" w14:paraId="3A316CE0" w14:textId="77777777" w:rsidTr="00AA2A4C">
        <w:tblPrEx>
          <w:tblCellMar>
            <w:top w:w="0" w:type="dxa"/>
            <w:bottom w:w="0" w:type="dxa"/>
          </w:tblCellMar>
        </w:tblPrEx>
        <w:trPr>
          <w:cantSplit/>
        </w:trPr>
        <w:tc>
          <w:tcPr>
            <w:tcW w:w="9848" w:type="dxa"/>
          </w:tcPr>
          <w:p w14:paraId="59A56C1D" w14:textId="77777777" w:rsidR="00711444" w:rsidRPr="004D0DAA" w:rsidRDefault="00711444" w:rsidP="00AA2A4C">
            <w:pPr>
              <w:rPr>
                <w:b/>
              </w:rPr>
            </w:pPr>
            <w:r w:rsidRPr="004D0DAA">
              <w:rPr>
                <w:b/>
              </w:rPr>
              <w:t>Global</w:t>
            </w:r>
            <w:r w:rsidRPr="004D0DAA">
              <w:rPr>
                <w:bCs/>
              </w:rPr>
              <w:t>_</w:t>
            </w:r>
            <w:r w:rsidRPr="004D0DAA">
              <w:rPr>
                <w:b/>
              </w:rPr>
              <w:t>TFI</w:t>
            </w:r>
            <w:r w:rsidRPr="004D0DAA">
              <w:br/>
              <w:t>This information element contains the TFI of the mobile station's downlink TBF or uplink TBF. This field is defined in sub-clause 12.10.</w:t>
            </w:r>
          </w:p>
        </w:tc>
      </w:tr>
      <w:tr w:rsidR="00711444" w:rsidRPr="004D0DAA" w14:paraId="4CED6AD4" w14:textId="77777777" w:rsidTr="00AA2A4C">
        <w:tblPrEx>
          <w:tblCellMar>
            <w:top w:w="0" w:type="dxa"/>
            <w:bottom w:w="0" w:type="dxa"/>
          </w:tblCellMar>
        </w:tblPrEx>
        <w:trPr>
          <w:cantSplit/>
        </w:trPr>
        <w:tc>
          <w:tcPr>
            <w:tcW w:w="9848" w:type="dxa"/>
          </w:tcPr>
          <w:p w14:paraId="152AAD23" w14:textId="77777777" w:rsidR="00711444" w:rsidRPr="004D0DAA" w:rsidRDefault="00711444" w:rsidP="00AA2A4C">
            <w:r w:rsidRPr="004D0DAA">
              <w:rPr>
                <w:b/>
              </w:rPr>
              <w:t>CONTAINER_LENGTH</w:t>
            </w:r>
            <w:r w:rsidRPr="004D0DAA">
              <w:t xml:space="preserve"> (8 bit field)</w:t>
            </w:r>
            <w:r w:rsidRPr="004D0DAA">
              <w:br/>
              <w:t xml:space="preserve">This field indicates the number of CONTAINER_DATA octets that form the specific RR control message and is coded as shown below. </w:t>
            </w:r>
          </w:p>
          <w:p w14:paraId="2140D070" w14:textId="77777777" w:rsidR="00711444" w:rsidRPr="004D0DAA" w:rsidRDefault="00711444" w:rsidP="00AA2A4C">
            <w:pPr>
              <w:pStyle w:val="FP"/>
              <w:ind w:left="993" w:hanging="993"/>
            </w:pPr>
            <w:r w:rsidRPr="004D0DAA">
              <w:t>Bit</w:t>
            </w:r>
          </w:p>
          <w:p w14:paraId="4E891F6B" w14:textId="77777777" w:rsidR="00711444" w:rsidRPr="004D0DAA" w:rsidRDefault="00711444" w:rsidP="00AA2A4C">
            <w:pPr>
              <w:pStyle w:val="FP"/>
              <w:ind w:left="993" w:hanging="993"/>
            </w:pPr>
            <w:r w:rsidRPr="004D0DAA">
              <w:t>8 7 6 5 4 3 2 1</w:t>
            </w:r>
          </w:p>
          <w:p w14:paraId="7D8737B1" w14:textId="77777777" w:rsidR="00711444" w:rsidRPr="004D0DAA" w:rsidRDefault="00711444" w:rsidP="00AA2A4C">
            <w:pPr>
              <w:pStyle w:val="FP"/>
              <w:ind w:left="993" w:hanging="993"/>
            </w:pPr>
            <w:r w:rsidRPr="004D0DAA">
              <w:t>0 0 0 0 0 0 0 0</w:t>
            </w:r>
            <w:r w:rsidRPr="004D0DAA">
              <w:tab/>
              <w:t>No CONTAINER_DATA follows; Spare padding is used to fill the rest of the message;</w:t>
            </w:r>
          </w:p>
          <w:p w14:paraId="477069C0" w14:textId="77777777" w:rsidR="00711444" w:rsidRPr="004D0DAA" w:rsidRDefault="00711444" w:rsidP="00AA2A4C">
            <w:pPr>
              <w:pStyle w:val="FP"/>
              <w:ind w:left="993" w:hanging="993"/>
            </w:pPr>
            <w:r w:rsidRPr="004D0DAA">
              <w:t>0 0 0 0 0 0 0 1</w:t>
            </w:r>
            <w:r w:rsidRPr="004D0DAA">
              <w:tab/>
              <w:t>CONTAINER_DATA length = 1 octet;</w:t>
            </w:r>
          </w:p>
          <w:p w14:paraId="3E95CCAF" w14:textId="77777777" w:rsidR="00711444" w:rsidRPr="004D0DAA" w:rsidRDefault="00711444" w:rsidP="00AA2A4C">
            <w:pPr>
              <w:pStyle w:val="FP"/>
              <w:ind w:left="993" w:hanging="993"/>
            </w:pPr>
            <w:r w:rsidRPr="004D0DAA">
              <w:t>….</w:t>
            </w:r>
          </w:p>
          <w:p w14:paraId="13DA1890" w14:textId="77777777" w:rsidR="00711444" w:rsidRPr="004D0DAA" w:rsidRDefault="00711444" w:rsidP="00AA2A4C">
            <w:pPr>
              <w:pStyle w:val="FP"/>
              <w:ind w:left="993" w:hanging="993"/>
            </w:pPr>
            <w:r w:rsidRPr="004D0DAA">
              <w:t>1 0 1 0 1 0 0 0</w:t>
            </w:r>
            <w:r w:rsidRPr="004D0DAA">
              <w:tab/>
              <w:t>CONTAINER_DATA length = 168 octets;</w:t>
            </w:r>
          </w:p>
          <w:p w14:paraId="30ED0EA0" w14:textId="77777777" w:rsidR="00711444" w:rsidRPr="004D0DAA" w:rsidRDefault="00711444" w:rsidP="00AA2A4C">
            <w:pPr>
              <w:pStyle w:val="FP"/>
              <w:ind w:left="993" w:hanging="993"/>
            </w:pPr>
          </w:p>
          <w:p w14:paraId="1156E074" w14:textId="77777777" w:rsidR="00711444" w:rsidRPr="004D0DAA" w:rsidRDefault="00711444" w:rsidP="00AA2A4C">
            <w:pPr>
              <w:rPr>
                <w:b/>
              </w:rPr>
            </w:pPr>
            <w:r w:rsidRPr="004D0DAA">
              <w:t>All other values reserved. If a reserved value is received the contents of the container shall be discarded.</w:t>
            </w:r>
          </w:p>
        </w:tc>
      </w:tr>
      <w:tr w:rsidR="00711444" w:rsidRPr="004D0DAA" w14:paraId="5900DA7D" w14:textId="77777777" w:rsidTr="00AA2A4C">
        <w:tblPrEx>
          <w:tblCellMar>
            <w:top w:w="0" w:type="dxa"/>
            <w:bottom w:w="0" w:type="dxa"/>
          </w:tblCellMar>
        </w:tblPrEx>
        <w:trPr>
          <w:cantSplit/>
        </w:trPr>
        <w:tc>
          <w:tcPr>
            <w:tcW w:w="9848" w:type="dxa"/>
          </w:tcPr>
          <w:p w14:paraId="4B2812B1" w14:textId="77777777" w:rsidR="00711444" w:rsidRPr="004D0DAA" w:rsidRDefault="00711444" w:rsidP="00AA2A4C">
            <w:r w:rsidRPr="004D0DAA">
              <w:rPr>
                <w:b/>
              </w:rPr>
              <w:lastRenderedPageBreak/>
              <w:t xml:space="preserve">CONTAINER DATA </w:t>
            </w:r>
            <w:r w:rsidRPr="004D0DAA">
              <w:t>(n*8 bits)</w:t>
            </w:r>
            <w:r w:rsidRPr="004D0DAA">
              <w:br/>
              <w:t xml:space="preserve">The CONTAINER DATA octets forms the actual RR control message content. The information contained in the Packet CS Command message shall exclude the following information elements from the beginning of the RR control message: L2 Pseudo Length; RR management Protocol Discriminator and Skip Indicator. </w:t>
            </w:r>
          </w:p>
          <w:p w14:paraId="5B61FBAC" w14:textId="77777777" w:rsidR="00711444" w:rsidRPr="004D0DAA" w:rsidRDefault="00711444" w:rsidP="00AA2A4C">
            <w:r w:rsidRPr="004D0DAA">
              <w:t>Extra octets of padding bits at the end of the RR control message may be excluded.</w:t>
            </w:r>
          </w:p>
        </w:tc>
      </w:tr>
    </w:tbl>
    <w:p w14:paraId="10CAC18F" w14:textId="77777777" w:rsidR="00711444" w:rsidRPr="004D0DAA" w:rsidRDefault="00711444" w:rsidP="00711444"/>
    <w:p w14:paraId="4D703DC0" w14:textId="77777777" w:rsidR="00711444" w:rsidRPr="004D0DAA" w:rsidRDefault="00711444" w:rsidP="00711444">
      <w:pPr>
        <w:pStyle w:val="Heading3"/>
      </w:pPr>
      <w:bookmarkStart w:id="726" w:name="_Toc516669902"/>
      <w:r w:rsidRPr="004D0DAA">
        <w:t>11.2.37</w:t>
      </w:r>
      <w:r w:rsidRPr="004D0DAA">
        <w:tab/>
        <w:t>Packet CS Release Indication</w:t>
      </w:r>
      <w:bookmarkEnd w:id="726"/>
    </w:p>
    <w:p w14:paraId="65FDCE6E" w14:textId="77777777" w:rsidR="00711444" w:rsidRPr="004D0DAA" w:rsidRDefault="00711444" w:rsidP="00711444">
      <w:r w:rsidRPr="004D0DAA">
        <w:t>This message is sent from the network to the mobile station on the PACCH to indicate that the ongoing RR connection will be released. The network may indicate that the mobile station shall maintain its uplink and downlink packet resources used in dual transfer mode or it may convert half-rate PDCH into full-rate PDCH to be used in packet transfer mode or it may reconfigure uplink and/or downlink packet resources to be used in packet transfer mode after the RR connection is released.. If the mobile station supports Downlink Dual Carrier, this message may be sent using extended RLC/MAC control message segmentation (see sub-clause 9.1.12a) if three or more RLC/MAC control blocks are required to send the complete message. A mobile allocation or reference frequency list received as part of this assignment message shall be valid until a new assignment is received or each TBF of the MS are terminated.</w:t>
      </w:r>
    </w:p>
    <w:p w14:paraId="54E55070" w14:textId="77777777" w:rsidR="00711444" w:rsidRPr="004D0DAA" w:rsidRDefault="00711444" w:rsidP="00711444">
      <w:r w:rsidRPr="004D0DAA">
        <w:t>With reconfiguration option the network shall assign at least one uplink or downlink TBF.</w:t>
      </w:r>
    </w:p>
    <w:p w14:paraId="7C4BC9E7" w14:textId="77777777" w:rsidR="00711444" w:rsidRPr="004D0DAA" w:rsidRDefault="00711444" w:rsidP="00711444">
      <w:pPr>
        <w:pStyle w:val="EX"/>
      </w:pPr>
      <w:r w:rsidRPr="004D0DAA">
        <w:t>Message type:</w:t>
      </w:r>
      <w:r w:rsidRPr="004D0DAA">
        <w:tab/>
        <w:t>PACKET CS RELEASE INDICATION</w:t>
      </w:r>
    </w:p>
    <w:p w14:paraId="028D8E5F" w14:textId="77777777" w:rsidR="00711444" w:rsidRPr="004D0DAA" w:rsidRDefault="00711444" w:rsidP="00711444">
      <w:pPr>
        <w:pStyle w:val="EX"/>
      </w:pPr>
      <w:r w:rsidRPr="004D0DAA">
        <w:t>Direction:</w:t>
      </w:r>
      <w:r w:rsidRPr="004D0DAA">
        <w:tab/>
        <w:t>network to mobile station</w:t>
      </w:r>
    </w:p>
    <w:p w14:paraId="0B9B71E9" w14:textId="77777777" w:rsidR="00711444" w:rsidRPr="004D0DAA" w:rsidRDefault="00711444" w:rsidP="00711444">
      <w:pPr>
        <w:pStyle w:val="EX"/>
      </w:pPr>
      <w:r w:rsidRPr="004D0DAA">
        <w:t>Classification:</w:t>
      </w:r>
      <w:r w:rsidRPr="004D0DAA">
        <w:tab/>
        <w:t>non-distribution message</w:t>
      </w:r>
    </w:p>
    <w:p w14:paraId="656DAF3E" w14:textId="77777777" w:rsidR="00711444" w:rsidRPr="004D0DAA" w:rsidRDefault="00711444" w:rsidP="00711444">
      <w:pPr>
        <w:pStyle w:val="TH"/>
      </w:pPr>
      <w:r w:rsidRPr="004D0DAA">
        <w:lastRenderedPageBreak/>
        <w:t>Table 11.2.37.1: PACKET CS RELEASE INDICATION information elements</w:t>
      </w:r>
    </w:p>
    <w:tbl>
      <w:tblPr>
        <w:tblW w:w="0" w:type="auto"/>
        <w:tblBorders>
          <w:top w:val="single" w:sz="2" w:space="0" w:color="auto"/>
          <w:left w:val="single" w:sz="2" w:space="0" w:color="auto"/>
          <w:bottom w:val="single" w:sz="2" w:space="0" w:color="auto"/>
          <w:right w:val="single" w:sz="2" w:space="0" w:color="auto"/>
        </w:tblBorders>
        <w:tblLayout w:type="fixed"/>
        <w:tblLook w:val="0000" w:firstRow="0" w:lastRow="0" w:firstColumn="0" w:lastColumn="0" w:noHBand="0" w:noVBand="0"/>
      </w:tblPr>
      <w:tblGrid>
        <w:gridCol w:w="9848"/>
      </w:tblGrid>
      <w:tr w:rsidR="00711444" w:rsidRPr="004D0DAA" w14:paraId="00781A5B" w14:textId="77777777" w:rsidTr="00AA2A4C">
        <w:tblPrEx>
          <w:tblCellMar>
            <w:top w:w="0" w:type="dxa"/>
            <w:bottom w:w="0" w:type="dxa"/>
          </w:tblCellMar>
        </w:tblPrEx>
        <w:trPr>
          <w:cantSplit/>
          <w:trHeight w:val="113"/>
        </w:trPr>
        <w:tc>
          <w:tcPr>
            <w:tcW w:w="9848" w:type="dxa"/>
          </w:tcPr>
          <w:p w14:paraId="3BE8C5D1" w14:textId="77777777" w:rsidR="00711444" w:rsidRPr="004D0DAA" w:rsidRDefault="00711444" w:rsidP="00AA2A4C">
            <w:pPr>
              <w:keepNext/>
              <w:keepLines/>
              <w:spacing w:after="0"/>
              <w:rPr>
                <w:rFonts w:ascii="Arial" w:hAnsi="Arial"/>
                <w:sz w:val="18"/>
              </w:rPr>
            </w:pPr>
            <w:r w:rsidRPr="004D0DAA">
              <w:rPr>
                <w:rFonts w:ascii="Arial" w:hAnsi="Arial"/>
                <w:sz w:val="18"/>
              </w:rPr>
              <w:t>&lt; Packet CS Release message content &gt; ::=</w:t>
            </w:r>
          </w:p>
          <w:p w14:paraId="6BF9A77C" w14:textId="77777777" w:rsidR="00711444" w:rsidRPr="004D0DAA" w:rsidRDefault="00711444" w:rsidP="00AA2A4C">
            <w:pPr>
              <w:keepNext/>
              <w:keepLines/>
              <w:spacing w:after="0"/>
              <w:rPr>
                <w:rFonts w:ascii="Arial" w:hAnsi="Arial"/>
                <w:sz w:val="18"/>
                <w:lang w:val="fr-FR"/>
              </w:rPr>
            </w:pPr>
            <w:r w:rsidRPr="004D0DAA">
              <w:rPr>
                <w:rFonts w:ascii="Arial" w:hAnsi="Arial"/>
                <w:sz w:val="18"/>
              </w:rPr>
              <w:tab/>
            </w:r>
            <w:r w:rsidRPr="004D0DAA">
              <w:rPr>
                <w:rFonts w:ascii="Arial" w:hAnsi="Arial"/>
                <w:sz w:val="18"/>
                <w:lang w:val="fr-FR"/>
              </w:rPr>
              <w:t xml:space="preserve">&lt; </w:t>
            </w:r>
            <w:r w:rsidRPr="004D0DAA">
              <w:rPr>
                <w:rFonts w:ascii="Arial" w:hAnsi="Arial"/>
                <w:b/>
                <w:bCs/>
                <w:sz w:val="18"/>
                <w:lang w:val="fr-FR"/>
              </w:rPr>
              <w:t>PAGE_MODE</w:t>
            </w:r>
            <w:r w:rsidRPr="004D0DAA">
              <w:rPr>
                <w:rFonts w:ascii="Arial" w:hAnsi="Arial"/>
                <w:sz w:val="18"/>
                <w:lang w:val="fr-FR"/>
              </w:rPr>
              <w:t xml:space="preserve"> : bit (2) &gt;</w:t>
            </w:r>
          </w:p>
          <w:p w14:paraId="639B219A"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w:t>
            </w:r>
            <w:r w:rsidRPr="004D0DAA">
              <w:rPr>
                <w:rFonts w:ascii="Arial" w:hAnsi="Arial"/>
                <w:sz w:val="18"/>
                <w:lang w:val="fr-FR"/>
              </w:rPr>
              <w:tab/>
            </w:r>
            <w:r w:rsidRPr="004D0DAA">
              <w:rPr>
                <w:rFonts w:ascii="Arial" w:hAnsi="Arial"/>
                <w:bCs/>
                <w:sz w:val="18"/>
                <w:lang w:val="fr-FR"/>
              </w:rPr>
              <w:t>&lt;</w:t>
            </w:r>
            <w:r w:rsidRPr="004D0DAA">
              <w:rPr>
                <w:rFonts w:ascii="Arial" w:hAnsi="Arial"/>
                <w:b/>
                <w:sz w:val="18"/>
                <w:lang w:val="fr-FR"/>
              </w:rPr>
              <w:t xml:space="preserve"> GLOBAL_TFI</w:t>
            </w:r>
            <w:r w:rsidRPr="004D0DAA">
              <w:rPr>
                <w:rFonts w:ascii="Arial" w:hAnsi="Arial"/>
                <w:sz w:val="18"/>
                <w:lang w:val="fr-FR"/>
              </w:rPr>
              <w:t xml:space="preserve"> : &lt; Global TFI IE &gt; &gt;</w:t>
            </w:r>
          </w:p>
          <w:p w14:paraId="5164FDF7"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lang w:val="fr-FR"/>
              </w:rPr>
              <w:tab/>
            </w:r>
            <w:r w:rsidRPr="004D0DAA">
              <w:rPr>
                <w:rFonts w:ascii="Arial" w:hAnsi="Arial"/>
                <w:sz w:val="18"/>
              </w:rPr>
              <w:t xml:space="preserve">&lt; </w:t>
            </w:r>
            <w:r w:rsidRPr="004D0DAA">
              <w:rPr>
                <w:rFonts w:ascii="Arial" w:hAnsi="Arial"/>
                <w:b/>
                <w:sz w:val="18"/>
              </w:rPr>
              <w:t>ENHANCED_DTM_CS_RELEASE_INDICATION</w:t>
            </w:r>
            <w:r w:rsidRPr="004D0DAA">
              <w:rPr>
                <w:rFonts w:ascii="Arial" w:hAnsi="Arial"/>
                <w:sz w:val="18"/>
              </w:rPr>
              <w:t xml:space="preserve"> : bit &gt;</w:t>
            </w:r>
          </w:p>
          <w:p w14:paraId="2A6FD19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b/>
                <w:sz w:val="18"/>
              </w:rPr>
              <w:t>Global Packet Timing Advance</w:t>
            </w:r>
            <w:r w:rsidRPr="004D0DAA">
              <w:rPr>
                <w:rFonts w:ascii="Arial" w:hAnsi="Arial"/>
                <w:sz w:val="18"/>
              </w:rPr>
              <w:t xml:space="preserve"> : &lt; Global Packet Timing Advance IE &gt; &gt;</w:t>
            </w:r>
          </w:p>
          <w:p w14:paraId="1EC82DB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00</w:t>
            </w:r>
            <w:r w:rsidRPr="004D0DAA">
              <w:rPr>
                <w:rFonts w:ascii="Arial" w:hAnsi="Arial"/>
                <w:sz w:val="18"/>
              </w:rPr>
              <w:tab/>
            </w:r>
            <w:r w:rsidRPr="004D0DAA">
              <w:rPr>
                <w:rFonts w:ascii="Arial" w:hAnsi="Arial"/>
                <w:sz w:val="18"/>
              </w:rPr>
              <w:tab/>
              <w:t xml:space="preserve">-- </w:t>
            </w:r>
            <w:r w:rsidRPr="004D0DAA">
              <w:rPr>
                <w:rFonts w:ascii="Arial" w:hAnsi="Arial"/>
                <w:i/>
                <w:sz w:val="18"/>
              </w:rPr>
              <w:t>RR connection is released and the MS maintains its DL and/or UL TBF(s)</w:t>
            </w:r>
          </w:p>
          <w:p w14:paraId="008E0D7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padding bits &gt;</w:t>
            </w:r>
            <w:r w:rsidRPr="004D0DAA">
              <w:rPr>
                <w:rFonts w:ascii="Arial" w:hAnsi="Arial"/>
                <w:sz w:val="18"/>
              </w:rPr>
              <w:tab/>
            </w:r>
            <w:r w:rsidRPr="004D0DAA">
              <w:rPr>
                <w:rFonts w:ascii="Arial" w:hAnsi="Arial"/>
                <w:sz w:val="18"/>
              </w:rPr>
              <w:tab/>
              <w:t xml:space="preserve">-- </w:t>
            </w:r>
            <w:r w:rsidRPr="004D0DAA">
              <w:rPr>
                <w:rFonts w:ascii="Arial" w:hAnsi="Arial"/>
                <w:i/>
                <w:sz w:val="18"/>
              </w:rPr>
              <w:t>Allows future message extension for '00' choice</w:t>
            </w:r>
            <w:r w:rsidRPr="004D0DAA">
              <w:rPr>
                <w:rFonts w:ascii="Arial" w:hAnsi="Arial" w:cs="Arial"/>
                <w:i/>
                <w:sz w:val="18"/>
              </w:rPr>
              <w:t>.</w:t>
            </w:r>
          </w:p>
          <w:p w14:paraId="64A63A42"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t>| 01</w:t>
            </w:r>
            <w:r w:rsidRPr="004D0DAA">
              <w:rPr>
                <w:rFonts w:ascii="Arial" w:hAnsi="Arial"/>
                <w:sz w:val="18"/>
              </w:rPr>
              <w:tab/>
            </w:r>
            <w:r w:rsidRPr="004D0DAA">
              <w:rPr>
                <w:rFonts w:ascii="Arial" w:hAnsi="Arial"/>
                <w:sz w:val="18"/>
              </w:rPr>
              <w:tab/>
              <w:t xml:space="preserve">-- </w:t>
            </w:r>
            <w:r w:rsidRPr="004D0DAA">
              <w:rPr>
                <w:rFonts w:ascii="Arial" w:hAnsi="Arial"/>
                <w:i/>
                <w:sz w:val="18"/>
              </w:rPr>
              <w:t xml:space="preserve">When RR connection is released, PDTCH/H is converted to PDTCH/F </w:t>
            </w:r>
          </w:p>
          <w:p w14:paraId="5815D523" w14:textId="77777777" w:rsidR="00711444" w:rsidRPr="004D0DAA" w:rsidRDefault="00711444" w:rsidP="00AA2A4C">
            <w:pPr>
              <w:keepNext/>
              <w:keepLines/>
              <w:spacing w:after="0"/>
              <w:rPr>
                <w:rFonts w:ascii="Arial" w:hAnsi="Arial"/>
                <w:sz w:val="18"/>
              </w:rPr>
            </w:pP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sz w:val="18"/>
              </w:rPr>
              <w:t xml:space="preserve">-- </w:t>
            </w:r>
            <w:r w:rsidRPr="004D0DAA">
              <w:rPr>
                <w:rFonts w:ascii="Arial" w:hAnsi="Arial"/>
                <w:i/>
                <w:sz w:val="18"/>
              </w:rPr>
              <w:t>and the MS maintains its DL and/or UL TBF(s)</w:t>
            </w:r>
          </w:p>
          <w:p w14:paraId="589E78E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padding bits &gt;</w:t>
            </w:r>
            <w:r w:rsidRPr="004D0DAA">
              <w:rPr>
                <w:rFonts w:ascii="Arial" w:hAnsi="Arial"/>
                <w:sz w:val="18"/>
              </w:rPr>
              <w:tab/>
            </w:r>
            <w:r w:rsidRPr="004D0DAA">
              <w:rPr>
                <w:rFonts w:ascii="Arial" w:hAnsi="Arial"/>
                <w:sz w:val="18"/>
              </w:rPr>
              <w:tab/>
              <w:t xml:space="preserve">-- </w:t>
            </w:r>
            <w:r w:rsidRPr="004D0DAA">
              <w:rPr>
                <w:rFonts w:ascii="Arial" w:hAnsi="Arial"/>
                <w:i/>
                <w:sz w:val="18"/>
              </w:rPr>
              <w:t>Allows future message extension for '01' choice</w:t>
            </w:r>
            <w:r w:rsidRPr="004D0DAA">
              <w:rPr>
                <w:rFonts w:ascii="Arial" w:hAnsi="Arial" w:cs="Arial"/>
                <w:i/>
                <w:sz w:val="18"/>
              </w:rPr>
              <w:t>.</w:t>
            </w:r>
          </w:p>
          <w:p w14:paraId="52902F6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10</w:t>
            </w:r>
            <w:r w:rsidRPr="004D0DAA">
              <w:rPr>
                <w:rFonts w:ascii="Arial" w:hAnsi="Arial"/>
                <w:sz w:val="18"/>
              </w:rPr>
              <w:tab/>
            </w:r>
            <w:r w:rsidRPr="004D0DAA">
              <w:rPr>
                <w:rFonts w:ascii="Arial" w:hAnsi="Arial"/>
                <w:sz w:val="18"/>
              </w:rPr>
              <w:tab/>
              <w:t xml:space="preserve">-- </w:t>
            </w:r>
            <w:r w:rsidRPr="004D0DAA">
              <w:rPr>
                <w:rFonts w:ascii="Arial" w:hAnsi="Arial"/>
                <w:i/>
                <w:sz w:val="18"/>
              </w:rPr>
              <w:t>RR connection is released and DL and/or UL TBF(s) are reconfigured</w:t>
            </w:r>
          </w:p>
        </w:tc>
      </w:tr>
      <w:tr w:rsidR="00711444" w:rsidRPr="004D0DAA" w14:paraId="5902FA08" w14:textId="77777777" w:rsidTr="00AA2A4C">
        <w:tblPrEx>
          <w:tblCellMar>
            <w:top w:w="0" w:type="dxa"/>
            <w:bottom w:w="0" w:type="dxa"/>
          </w:tblCellMar>
        </w:tblPrEx>
        <w:trPr>
          <w:cantSplit/>
          <w:trHeight w:val="113"/>
        </w:trPr>
        <w:tc>
          <w:tcPr>
            <w:tcW w:w="9848" w:type="dxa"/>
          </w:tcPr>
          <w:p w14:paraId="1A97B98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sz w:val="18"/>
              </w:rPr>
              <w:t>Message escape for GPRS mode TBFs</w:t>
            </w:r>
          </w:p>
          <w:p w14:paraId="49B61B4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r w:rsidRPr="004D0DAA">
              <w:rPr>
                <w:rFonts w:ascii="Arial" w:hAnsi="Arial"/>
                <w:sz w:val="18"/>
              </w:rPr>
              <w:tab/>
              <w:t>{ 0 | 1</w:t>
            </w:r>
            <w:r w:rsidRPr="004D0DAA">
              <w:rPr>
                <w:rFonts w:ascii="Arial" w:hAnsi="Arial"/>
                <w:sz w:val="18"/>
              </w:rPr>
              <w:tab/>
              <w:t xml:space="preserve">&lt; </w:t>
            </w:r>
            <w:r w:rsidRPr="004D0DAA">
              <w:rPr>
                <w:rFonts w:ascii="Arial" w:hAnsi="Arial"/>
                <w:b/>
                <w:sz w:val="18"/>
              </w:rPr>
              <w:t>Frequency Parameters</w:t>
            </w:r>
            <w:r w:rsidRPr="004D0DAA">
              <w:rPr>
                <w:rFonts w:ascii="Arial" w:hAnsi="Arial"/>
                <w:sz w:val="18"/>
              </w:rPr>
              <w:t xml:space="preserve"> : &lt; Frequency Parameters IE &gt; &gt; }</w:t>
            </w:r>
          </w:p>
          <w:p w14:paraId="6A4276C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Packet Extended Timing Advance</w:t>
            </w:r>
            <w:r w:rsidRPr="004D0DAA">
              <w:rPr>
                <w:rFonts w:ascii="Arial" w:hAnsi="Arial"/>
                <w:sz w:val="18"/>
              </w:rPr>
              <w:t xml:space="preserve"> : bit (2) &gt; }</w:t>
            </w:r>
          </w:p>
          <w:p w14:paraId="12D4C1E9" w14:textId="77777777" w:rsidR="00711444" w:rsidRPr="004D0DAA" w:rsidRDefault="00711444" w:rsidP="00AA2A4C">
            <w:pPr>
              <w:keepNext/>
              <w:keepLines/>
              <w:spacing w:after="0"/>
              <w:rPr>
                <w:rFonts w:ascii="Arial" w:hAnsi="Arial"/>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Cs/>
                <w:sz w:val="18"/>
              </w:rPr>
              <w:t>downlink TBF(s)</w:t>
            </w:r>
          </w:p>
          <w:p w14:paraId="071FD1E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Multiple Downlink Assignment</w:t>
            </w:r>
            <w:r w:rsidRPr="004D0DAA">
              <w:rPr>
                <w:rFonts w:ascii="Arial" w:hAnsi="Arial"/>
                <w:sz w:val="18"/>
              </w:rPr>
              <w:t xml:space="preserve"> : &lt; Multiple Downlink Assignment struct &gt; &gt; } ** 0 </w:t>
            </w:r>
          </w:p>
          <w:p w14:paraId="6AC43E9E" w14:textId="77777777" w:rsidR="00711444" w:rsidRPr="004D0DAA" w:rsidRDefault="00711444" w:rsidP="00AA2A4C">
            <w:pPr>
              <w:keepNext/>
              <w:keepLines/>
              <w:spacing w:after="0"/>
              <w:rPr>
                <w:rFonts w:ascii="Arial" w:hAnsi="Arial"/>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05A319FB" w14:textId="77777777" w:rsidR="00711444" w:rsidRPr="004D0DAA" w:rsidRDefault="00711444" w:rsidP="00AA2A4C">
            <w:pPr>
              <w:keepNext/>
              <w:keepLines/>
              <w:spacing w:after="0"/>
              <w:rPr>
                <w:rFonts w:ascii="Arial" w:hAnsi="Arial"/>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Cs/>
                <w:sz w:val="18"/>
              </w:rPr>
              <w:t>uplink TBF(s)</w:t>
            </w:r>
          </w:p>
          <w:p w14:paraId="5D2858E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CHANNEL_CODING_COMMAND</w:t>
            </w:r>
            <w:r w:rsidRPr="004D0DAA">
              <w:rPr>
                <w:rFonts w:ascii="Arial" w:hAnsi="Arial"/>
                <w:bCs/>
                <w:sz w:val="18"/>
              </w:rPr>
              <w:t xml:space="preserve"> </w:t>
            </w:r>
            <w:r w:rsidRPr="004D0DAA">
              <w:rPr>
                <w:rFonts w:ascii="Arial" w:hAnsi="Arial"/>
                <w:sz w:val="18"/>
              </w:rPr>
              <w:t>: bit (2) &gt; }</w:t>
            </w:r>
            <w:r w:rsidRPr="004D0DAA">
              <w:rPr>
                <w:rFonts w:ascii="Arial" w:hAnsi="Arial"/>
                <w:sz w:val="18"/>
              </w:rPr>
              <w:br/>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Multiple</w:t>
            </w:r>
            <w:r w:rsidRPr="004D0DAA">
              <w:rPr>
                <w:rFonts w:ascii="Arial" w:hAnsi="Arial"/>
                <w:sz w:val="18"/>
              </w:rPr>
              <w:t xml:space="preserve"> </w:t>
            </w:r>
            <w:r w:rsidRPr="004D0DAA">
              <w:rPr>
                <w:rFonts w:ascii="Arial" w:hAnsi="Arial"/>
                <w:b/>
                <w:bCs/>
                <w:sz w:val="18"/>
              </w:rPr>
              <w:t>Uplink Assignment</w:t>
            </w:r>
            <w:r w:rsidRPr="004D0DAA">
              <w:rPr>
                <w:rFonts w:ascii="Arial" w:hAnsi="Arial"/>
                <w:sz w:val="18"/>
              </w:rPr>
              <w:t xml:space="preserve"> : &lt; Multiple Uplink Assignment struct &gt; &gt; </w:t>
            </w:r>
          </w:p>
          <w:p w14:paraId="6FE82C0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38EED22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3D00FD8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6A0A27C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22A62A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5BAFFBB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0957ADB7"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03AFF4F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padding bits &gt; }</w:t>
            </w:r>
          </w:p>
          <w:p w14:paraId="1056478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&lt; Non-distribution part error : bit (*) = &lt; no string &gt; &gt; }</w:t>
            </w:r>
          </w:p>
        </w:tc>
      </w:tr>
      <w:tr w:rsidR="00711444" w:rsidRPr="004D0DAA" w14:paraId="31B0C46B" w14:textId="77777777" w:rsidTr="00AA2A4C">
        <w:tblPrEx>
          <w:tblCellMar>
            <w:top w:w="0" w:type="dxa"/>
            <w:bottom w:w="0" w:type="dxa"/>
          </w:tblCellMar>
        </w:tblPrEx>
        <w:trPr>
          <w:cantSplit/>
          <w:trHeight w:val="113"/>
        </w:trPr>
        <w:tc>
          <w:tcPr>
            <w:tcW w:w="9848" w:type="dxa"/>
          </w:tcPr>
          <w:p w14:paraId="623EE5A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Message escape bit for EGPRS mode TBFs</w:t>
            </w:r>
          </w:p>
          <w:p w14:paraId="21FC8B2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00 {</w:t>
            </w:r>
            <w:r w:rsidRPr="004D0DAA">
              <w:rPr>
                <w:rFonts w:ascii="Arial" w:hAnsi="Arial"/>
                <w:sz w:val="18"/>
              </w:rPr>
              <w:tab/>
            </w:r>
          </w:p>
          <w:p w14:paraId="707381C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Frequency Parameters</w:t>
            </w:r>
            <w:r w:rsidRPr="004D0DAA">
              <w:rPr>
                <w:rFonts w:ascii="Arial" w:hAnsi="Arial"/>
                <w:sz w:val="18"/>
              </w:rPr>
              <w:t xml:space="preserve"> : &lt; Frequency Parameters IE &gt; &gt; }</w:t>
            </w:r>
          </w:p>
          <w:p w14:paraId="1A469FF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Packet Extended Timing Advance</w:t>
            </w:r>
            <w:r w:rsidRPr="004D0DAA">
              <w:rPr>
                <w:rFonts w:ascii="Arial" w:hAnsi="Arial"/>
                <w:sz w:val="18"/>
              </w:rPr>
              <w:t xml:space="preserve"> : bit (2) &gt; }</w:t>
            </w:r>
          </w:p>
          <w:p w14:paraId="2274679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&lt;</w:t>
            </w:r>
            <w:r w:rsidRPr="004D0DAA">
              <w:rPr>
                <w:rFonts w:ascii="Arial" w:hAnsi="Arial"/>
                <w:b/>
                <w:sz w:val="18"/>
              </w:rPr>
              <w:t xml:space="preserve"> BEP_PERIOD2</w:t>
            </w:r>
            <w:r w:rsidRPr="004D0DAA">
              <w:rPr>
                <w:rFonts w:ascii="Arial" w:hAnsi="Arial"/>
                <w:sz w:val="18"/>
              </w:rPr>
              <w:t xml:space="preserve"> : bit(4) &gt; } </w:t>
            </w:r>
          </w:p>
          <w:p w14:paraId="66B67B3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Cs/>
                <w:sz w:val="18"/>
              </w:rPr>
              <w:t>downlink TBF(s)</w:t>
            </w:r>
          </w:p>
          <w:p w14:paraId="01A2071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&lt; </w:t>
            </w:r>
            <w:r w:rsidRPr="004D0DAA">
              <w:rPr>
                <w:rFonts w:ascii="Arial" w:hAnsi="Arial"/>
                <w:b/>
                <w:sz w:val="18"/>
              </w:rPr>
              <w:t>Downlink EGPRS Window Size</w:t>
            </w:r>
            <w:r w:rsidRPr="004D0DAA">
              <w:rPr>
                <w:rFonts w:ascii="Arial" w:hAnsi="Arial"/>
                <w:bCs/>
                <w:sz w:val="18"/>
              </w:rPr>
              <w:t xml:space="preserve"> </w:t>
            </w:r>
            <w:r w:rsidRPr="004D0DAA">
              <w:rPr>
                <w:rFonts w:ascii="Arial" w:hAnsi="Arial"/>
                <w:sz w:val="18"/>
              </w:rPr>
              <w:t>: &lt; EGPRS Window Size IE &gt; &gt; }</w:t>
            </w:r>
          </w:p>
          <w:p w14:paraId="3FF7890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LINK_QUALITY_MEASUREMENT_MODE</w:t>
            </w:r>
            <w:r w:rsidRPr="004D0DAA">
              <w:rPr>
                <w:rFonts w:ascii="Arial" w:hAnsi="Arial"/>
                <w:sz w:val="18"/>
              </w:rPr>
              <w:t xml:space="preserve"> : bit (2) &gt;</w:t>
            </w:r>
          </w:p>
          <w:p w14:paraId="164F97F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Multiple Downlink Assignment</w:t>
            </w:r>
            <w:r w:rsidRPr="004D0DAA">
              <w:rPr>
                <w:rFonts w:ascii="Arial" w:hAnsi="Arial"/>
                <w:sz w:val="18"/>
              </w:rPr>
              <w:t xml:space="preserve"> : </w:t>
            </w:r>
          </w:p>
          <w:p w14:paraId="0685072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Multiple Downlink Assignment struct &gt; &gt; } ** 0</w:t>
            </w:r>
          </w:p>
          <w:p w14:paraId="386FBCF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tc>
      </w:tr>
      <w:tr w:rsidR="00711444" w:rsidRPr="004D0DAA" w14:paraId="72C8C7A0" w14:textId="77777777" w:rsidTr="00AA2A4C">
        <w:tblPrEx>
          <w:tblCellMar>
            <w:top w:w="0" w:type="dxa"/>
            <w:bottom w:w="0" w:type="dxa"/>
          </w:tblCellMar>
        </w:tblPrEx>
        <w:trPr>
          <w:cantSplit/>
          <w:trHeight w:val="113"/>
        </w:trPr>
        <w:tc>
          <w:tcPr>
            <w:tcW w:w="9848" w:type="dxa"/>
          </w:tcPr>
          <w:p w14:paraId="656C064D" w14:textId="77777777" w:rsidR="00711444" w:rsidRPr="004D0DAA" w:rsidRDefault="00711444" w:rsidP="00AA2A4C">
            <w:pPr>
              <w:keepNext/>
              <w:keepLines/>
              <w:spacing w:after="0"/>
              <w:rPr>
                <w:rFonts w:ascii="Arial" w:hAnsi="Arial"/>
                <w:sz w:val="18"/>
              </w:rPr>
            </w:pPr>
            <w:r w:rsidRPr="004D0DAA">
              <w:rPr>
                <w:rFonts w:ascii="Arial" w:hAnsi="Arial"/>
                <w:sz w:val="18"/>
              </w:rPr>
              <w:lastRenderedPageBreak/>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uplink TBF(s)</w:t>
            </w:r>
          </w:p>
          <w:p w14:paraId="7C3A921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EGPRS Channel Coding Command</w:t>
            </w:r>
            <w:r w:rsidRPr="004D0DAA">
              <w:rPr>
                <w:rFonts w:ascii="Arial" w:hAnsi="Arial"/>
                <w:bCs/>
                <w:sz w:val="18"/>
              </w:rPr>
              <w:t xml:space="preserve"> </w:t>
            </w:r>
            <w:r w:rsidRPr="004D0DAA">
              <w:rPr>
                <w:rFonts w:ascii="Arial" w:hAnsi="Arial"/>
                <w:sz w:val="18"/>
              </w:rPr>
              <w:t xml:space="preserve">: </w:t>
            </w:r>
          </w:p>
          <w:p w14:paraId="6E0429B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EGPRS Modulation and Coding Scheme IE &gt;&gt; }</w:t>
            </w:r>
          </w:p>
          <w:p w14:paraId="30C140E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RESEGMENT</w:t>
            </w:r>
            <w:r w:rsidRPr="004D0DAA">
              <w:rPr>
                <w:rFonts w:ascii="Arial" w:hAnsi="Arial"/>
                <w:bCs/>
                <w:sz w:val="18"/>
              </w:rPr>
              <w:t xml:space="preserve"> </w:t>
            </w:r>
            <w:r w:rsidRPr="004D0DAA">
              <w:rPr>
                <w:rFonts w:ascii="Arial" w:hAnsi="Arial"/>
                <w:sz w:val="18"/>
              </w:rPr>
              <w:t>: bit (1) &gt;</w:t>
            </w:r>
          </w:p>
          <w:p w14:paraId="00E3954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&lt; </w:t>
            </w:r>
            <w:r w:rsidRPr="004D0DAA">
              <w:rPr>
                <w:rFonts w:ascii="Arial" w:hAnsi="Arial"/>
                <w:b/>
                <w:sz w:val="18"/>
              </w:rPr>
              <w:t>Uplink EGPRS Window Size</w:t>
            </w:r>
            <w:r w:rsidRPr="004D0DAA">
              <w:rPr>
                <w:rFonts w:ascii="Arial" w:hAnsi="Arial"/>
                <w:bCs/>
                <w:sz w:val="18"/>
              </w:rPr>
              <w:t xml:space="preserve"> </w:t>
            </w:r>
            <w:r w:rsidRPr="004D0DAA">
              <w:rPr>
                <w:rFonts w:ascii="Arial" w:hAnsi="Arial"/>
                <w:sz w:val="18"/>
              </w:rPr>
              <w:t>: &lt; EGPRS Window Size IE &gt; &gt; }</w:t>
            </w:r>
          </w:p>
          <w:p w14:paraId="35E31AA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Multiple</w:t>
            </w:r>
            <w:r w:rsidRPr="004D0DAA">
              <w:rPr>
                <w:rFonts w:ascii="Arial" w:hAnsi="Arial"/>
                <w:sz w:val="18"/>
              </w:rPr>
              <w:t xml:space="preserve"> </w:t>
            </w:r>
            <w:r w:rsidRPr="004D0DAA">
              <w:rPr>
                <w:rFonts w:ascii="Arial" w:hAnsi="Arial"/>
                <w:b/>
                <w:bCs/>
                <w:sz w:val="18"/>
              </w:rPr>
              <w:t>Uplink Assignment</w:t>
            </w:r>
            <w:r w:rsidRPr="004D0DAA">
              <w:rPr>
                <w:rFonts w:ascii="Arial" w:hAnsi="Arial"/>
                <w:sz w:val="18"/>
              </w:rPr>
              <w:t xml:space="preserve"> : &lt; Multiple Uplink Assignment struct &gt; &gt; </w:t>
            </w:r>
          </w:p>
          <w:p w14:paraId="6481C87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61F55094"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1B21308F"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Rel-7</w:t>
            </w:r>
          </w:p>
          <w:p w14:paraId="63509BE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0 | 1</w:t>
            </w:r>
            <w:r w:rsidRPr="004D0DAA">
              <w:rPr>
                <w:rFonts w:ascii="Arial" w:hAnsi="Arial"/>
                <w:iCs/>
                <w:sz w:val="18"/>
              </w:rPr>
              <w:t xml:space="preserve">&lt; </w:t>
            </w:r>
            <w:r w:rsidRPr="004D0DAA">
              <w:rPr>
                <w:rFonts w:ascii="Arial" w:hAnsi="Arial"/>
                <w:b/>
                <w:iCs/>
                <w:sz w:val="18"/>
              </w:rPr>
              <w:t xml:space="preserve">NPM Transfer Time </w:t>
            </w:r>
            <w:r w:rsidRPr="004D0DAA">
              <w:rPr>
                <w:rFonts w:ascii="Arial" w:hAnsi="Arial"/>
                <w:iCs/>
                <w:sz w:val="18"/>
              </w:rPr>
              <w:t>: bit (5) &gt;</w:t>
            </w:r>
            <w:r w:rsidRPr="004D0DAA">
              <w:rPr>
                <w:rFonts w:ascii="Arial" w:hAnsi="Arial"/>
                <w:sz w:val="18"/>
              </w:rPr>
              <w:t xml:space="preserve"> } }** 0</w:t>
            </w:r>
          </w:p>
          <w:p w14:paraId="267A422A"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3B491D26"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Rel-9</w:t>
            </w:r>
          </w:p>
          <w:p w14:paraId="7EF0171D" w14:textId="77777777" w:rsidR="00711444" w:rsidRPr="004D0DAA" w:rsidRDefault="00711444" w:rsidP="00AA2A4C">
            <w:pPr>
              <w:keepNext/>
              <w:keepLines/>
              <w:spacing w:after="0"/>
              <w:rPr>
                <w:rFonts w:ascii="Arial" w:hAnsi="Arial"/>
                <w:iCs/>
                <w:sz w:val="18"/>
              </w:rPr>
            </w:pP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t xml:space="preserve">&lt; </w:t>
            </w:r>
            <w:r w:rsidRPr="004D0DAA">
              <w:rPr>
                <w:rFonts w:ascii="Arial" w:hAnsi="Arial"/>
                <w:b/>
                <w:iCs/>
                <w:sz w:val="18"/>
              </w:rPr>
              <w:t xml:space="preserve">Enhanced Flexible Timeslot Assignment </w:t>
            </w:r>
            <w:r w:rsidRPr="004D0DAA">
              <w:rPr>
                <w:rFonts w:ascii="Arial" w:hAnsi="Arial"/>
                <w:iCs/>
                <w:sz w:val="18"/>
              </w:rPr>
              <w:t>: bit  &gt;</w:t>
            </w:r>
          </w:p>
          <w:p w14:paraId="5BB3AB58"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 in DL</w:t>
            </w:r>
          </w:p>
          <w:p w14:paraId="16C139E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used in DL</w:t>
            </w:r>
          </w:p>
          <w:p w14:paraId="0DD6C163"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w:t>
            </w:r>
            <w:r w:rsidRPr="004D0DAA">
              <w:rPr>
                <w:rFonts w:ascii="Arial" w:hAnsi="Arial"/>
                <w:b/>
                <w:bCs/>
                <w:sz w:val="18"/>
              </w:rPr>
              <w:t xml:space="preserve"> Downlink RLC Entity 2</w:t>
            </w:r>
            <w:r w:rsidRPr="004D0DAA">
              <w:rPr>
                <w:rFonts w:ascii="Arial" w:hAnsi="Arial"/>
                <w:sz w:val="18"/>
              </w:rPr>
              <w:t xml:space="preserve"> : &lt; RLC Entity struct &gt; </w:t>
            </w:r>
          </w:p>
          <w:p w14:paraId="02C5B97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76692DD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 &lt;</w:t>
            </w:r>
            <w:r w:rsidRPr="004D0DAA">
              <w:rPr>
                <w:rFonts w:ascii="Arial" w:hAnsi="Arial"/>
                <w:b/>
                <w:bCs/>
                <w:sz w:val="18"/>
              </w:rPr>
              <w:t xml:space="preserve"> Downlink RLC Entity 3</w:t>
            </w:r>
            <w:r w:rsidRPr="004D0DAA">
              <w:rPr>
                <w:rFonts w:ascii="Arial" w:hAnsi="Arial"/>
                <w:sz w:val="18"/>
              </w:rPr>
              <w:t xml:space="preserve"> : &lt; RLC Entity struct &gt; }</w:t>
            </w:r>
          </w:p>
          <w:p w14:paraId="3C11B8D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0EEC6E5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 in UL</w:t>
            </w:r>
          </w:p>
          <w:p w14:paraId="1F50CFF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used in UL</w:t>
            </w:r>
          </w:p>
          <w:p w14:paraId="7A47664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Uplink RLC Entity 2</w:t>
            </w:r>
            <w:r w:rsidRPr="004D0DAA">
              <w:rPr>
                <w:rFonts w:ascii="Arial" w:hAnsi="Arial"/>
                <w:sz w:val="18"/>
              </w:rPr>
              <w:t xml:space="preserve"> : &lt; RLC Entity struct &gt; </w:t>
            </w:r>
          </w:p>
          <w:p w14:paraId="202BEEC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50738C9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&lt; </w:t>
            </w:r>
            <w:r w:rsidRPr="004D0DAA">
              <w:rPr>
                <w:rFonts w:ascii="Arial" w:hAnsi="Arial"/>
                <w:b/>
                <w:bCs/>
                <w:sz w:val="18"/>
              </w:rPr>
              <w:t>Uplink RLC Entity 3</w:t>
            </w:r>
            <w:r w:rsidRPr="004D0DAA">
              <w:rPr>
                <w:rFonts w:ascii="Arial" w:hAnsi="Arial"/>
                <w:sz w:val="18"/>
              </w:rPr>
              <w:t xml:space="preserve"> : &lt; RLC Entity struct &gt; }</w:t>
            </w:r>
          </w:p>
          <w:p w14:paraId="7BE4C62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1292D5CF"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2621219F"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Rel-10</w:t>
            </w:r>
          </w:p>
          <w:p w14:paraId="601385CF"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downlink</w:t>
            </w:r>
          </w:p>
          <w:p w14:paraId="6801471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downlink</w:t>
            </w:r>
          </w:p>
          <w:p w14:paraId="1412197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15680D0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53C97A3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7363AA8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5191457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uplink</w:t>
            </w:r>
          </w:p>
          <w:p w14:paraId="4D2208F2"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uplink</w:t>
            </w:r>
          </w:p>
          <w:p w14:paraId="2DBE004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6D1DB83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28315C6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08B2419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398A3E5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0785F0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38689C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2054E5D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7402B3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26AF6D36"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32FD78A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padding bits &gt; } } } }</w:t>
            </w:r>
          </w:p>
          <w:p w14:paraId="41095AF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&lt; Non-distribution part error : bit (*) = &lt; no string &gt; &gt; </w:t>
            </w:r>
          </w:p>
          <w:p w14:paraId="1EF331C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tc>
      </w:tr>
      <w:tr w:rsidR="00711444" w:rsidRPr="004D0DAA" w14:paraId="5F6FA6CE" w14:textId="77777777" w:rsidTr="00AA2A4C">
        <w:tblPrEx>
          <w:tblCellMar>
            <w:top w:w="0" w:type="dxa"/>
            <w:bottom w:w="0" w:type="dxa"/>
          </w:tblCellMar>
        </w:tblPrEx>
        <w:trPr>
          <w:cantSplit/>
          <w:trHeight w:val="113"/>
        </w:trPr>
        <w:tc>
          <w:tcPr>
            <w:tcW w:w="9848" w:type="dxa"/>
          </w:tcPr>
          <w:p w14:paraId="1B9F316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01</w:t>
            </w:r>
            <w:r w:rsidRPr="004D0DAA">
              <w:rPr>
                <w:rFonts w:ascii="Arial" w:hAnsi="Arial"/>
                <w:sz w:val="18"/>
              </w:rPr>
              <w:tab/>
              <w:t xml:space="preserve">-- </w:t>
            </w:r>
            <w:r w:rsidRPr="004D0DAA">
              <w:rPr>
                <w:rFonts w:ascii="Arial" w:hAnsi="Arial"/>
                <w:i/>
                <w:iCs/>
                <w:sz w:val="18"/>
              </w:rPr>
              <w:t xml:space="preserve">Message escape for Dual Carrier, BTTI with FANR </w:t>
            </w:r>
            <w:r w:rsidRPr="004D0DAA">
              <w:rPr>
                <w:rFonts w:ascii="Arial" w:hAnsi="Arial"/>
                <w:i/>
                <w:sz w:val="18"/>
              </w:rPr>
              <w:t>activated</w:t>
            </w:r>
            <w:r w:rsidRPr="004D0DAA">
              <w:rPr>
                <w:rFonts w:ascii="Arial" w:hAnsi="Arial"/>
                <w:i/>
                <w:iCs/>
                <w:sz w:val="18"/>
              </w:rPr>
              <w:t>, RTTI, EGPRS2</w:t>
            </w:r>
          </w:p>
          <w:p w14:paraId="4536DBA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6495D8C8" w14:textId="77777777" w:rsidR="00711444" w:rsidRPr="004D0DAA" w:rsidRDefault="00711444" w:rsidP="00AA2A4C">
            <w:pPr>
              <w:keepNext/>
              <w:keepLines/>
              <w:spacing w:after="0"/>
              <w:rPr>
                <w:rFonts w:ascii="Arial" w:hAnsi="Arial" w:cs="Arial"/>
                <w:sz w:val="18"/>
                <w:szCs w:val="18"/>
              </w:rPr>
            </w:pPr>
            <w:r w:rsidRPr="004D0DAA">
              <w:rPr>
                <w:rFonts w:ascii="Arial" w:hAnsi="Arial" w:cs="Arial"/>
                <w:sz w:val="18"/>
                <w:szCs w:val="18"/>
              </w:rPr>
              <w:tab/>
            </w:r>
            <w:r w:rsidRPr="004D0DAA">
              <w:rPr>
                <w:rFonts w:ascii="Arial" w:hAnsi="Arial" w:cs="Arial"/>
                <w:sz w:val="18"/>
                <w:szCs w:val="18"/>
              </w:rPr>
              <w:tab/>
            </w:r>
            <w:r w:rsidRPr="004D0DAA">
              <w:rPr>
                <w:rFonts w:ascii="Arial" w:hAnsi="Arial" w:cs="Arial"/>
                <w:sz w:val="18"/>
                <w:szCs w:val="18"/>
              </w:rPr>
              <w:tab/>
            </w:r>
            <w:r w:rsidRPr="004D0DAA">
              <w:rPr>
                <w:rFonts w:ascii="Arial" w:hAnsi="Arial" w:cs="Arial"/>
                <w:sz w:val="18"/>
                <w:szCs w:val="18"/>
              </w:rPr>
              <w:tab/>
            </w:r>
            <w:r w:rsidRPr="004D0DAA">
              <w:rPr>
                <w:rFonts w:ascii="Arial" w:hAnsi="Arial" w:cs="Arial"/>
                <w:sz w:val="18"/>
                <w:szCs w:val="18"/>
              </w:rPr>
              <w:tab/>
            </w:r>
            <w:r w:rsidRPr="004D0DAA">
              <w:rPr>
                <w:rFonts w:ascii="Arial" w:hAnsi="Arial" w:cs="Arial"/>
                <w:sz w:val="18"/>
                <w:szCs w:val="18"/>
              </w:rPr>
              <w:tab/>
              <w:t xml:space="preserve">&lt; </w:t>
            </w:r>
            <w:r w:rsidRPr="004D0DAA">
              <w:rPr>
                <w:rFonts w:ascii="Arial" w:hAnsi="Arial" w:cs="Arial"/>
                <w:b/>
                <w:sz w:val="18"/>
                <w:szCs w:val="18"/>
              </w:rPr>
              <w:t>Assignment Info</w:t>
            </w:r>
            <w:r w:rsidRPr="004D0DAA">
              <w:rPr>
                <w:rFonts w:ascii="Arial" w:hAnsi="Arial" w:cs="Arial"/>
                <w:sz w:val="18"/>
                <w:szCs w:val="18"/>
              </w:rPr>
              <w:t xml:space="preserve"> : Assignment Info struct &gt;</w:t>
            </w:r>
          </w:p>
          <w:p w14:paraId="63AA4A32"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00</w:t>
            </w:r>
            <w:r w:rsidRPr="004D0DAA">
              <w:rPr>
                <w:rFonts w:ascii="Arial" w:hAnsi="Arial"/>
                <w:sz w:val="18"/>
              </w:rPr>
              <w:tab/>
            </w:r>
            <w:r w:rsidRPr="004D0DAA">
              <w:rPr>
                <w:rFonts w:ascii="Arial" w:hAnsi="Arial"/>
                <w:sz w:val="18"/>
              </w:rPr>
              <w:tab/>
              <w:t xml:space="preserve">-- </w:t>
            </w:r>
            <w:r w:rsidRPr="004D0DAA">
              <w:rPr>
                <w:rFonts w:ascii="Arial" w:hAnsi="Arial"/>
                <w:i/>
                <w:iCs/>
                <w:sz w:val="18"/>
              </w:rPr>
              <w:t>No frequency parameters included</w:t>
            </w:r>
          </w:p>
          <w:p w14:paraId="16ED3C5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01</w:t>
            </w:r>
            <w:r w:rsidRPr="004D0DAA">
              <w:rPr>
                <w:rFonts w:ascii="Arial" w:hAnsi="Arial"/>
                <w:sz w:val="18"/>
              </w:rPr>
              <w:tab/>
            </w:r>
            <w:r w:rsidRPr="004D0DAA">
              <w:rPr>
                <w:rFonts w:ascii="Arial" w:hAnsi="Arial"/>
                <w:sz w:val="18"/>
              </w:rPr>
              <w:tab/>
              <w:t xml:space="preserve">-- </w:t>
            </w:r>
            <w:r w:rsidRPr="004D0DAA">
              <w:rPr>
                <w:rFonts w:ascii="Arial" w:hAnsi="Arial"/>
                <w:i/>
                <w:iCs/>
                <w:sz w:val="18"/>
              </w:rPr>
              <w:t>Legacy IEs used</w:t>
            </w:r>
          </w:p>
          <w:p w14:paraId="2630260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Frequency Parameters</w:t>
            </w:r>
            <w:r w:rsidRPr="004D0DAA">
              <w:rPr>
                <w:rFonts w:ascii="Arial" w:hAnsi="Arial"/>
                <w:sz w:val="18"/>
              </w:rPr>
              <w:t xml:space="preserve"> </w:t>
            </w:r>
            <w:r w:rsidRPr="004D0DAA">
              <w:rPr>
                <w:rFonts w:ascii="Arial" w:hAnsi="Arial"/>
                <w:b/>
                <w:bCs/>
                <w:sz w:val="18"/>
              </w:rPr>
              <w:t>C1</w:t>
            </w:r>
            <w:r w:rsidRPr="004D0DAA">
              <w:rPr>
                <w:rFonts w:ascii="Arial" w:hAnsi="Arial"/>
                <w:sz w:val="18"/>
              </w:rPr>
              <w:t xml:space="preserve">: &lt; Frequency Parameters IE &gt; &gt; </w:t>
            </w:r>
          </w:p>
          <w:p w14:paraId="202FA746"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&lt; </w:t>
            </w:r>
            <w:r w:rsidRPr="004D0DAA">
              <w:rPr>
                <w:rFonts w:ascii="Arial" w:hAnsi="Arial"/>
                <w:b/>
                <w:sz w:val="18"/>
              </w:rPr>
              <w:t>Frequency Parameters</w:t>
            </w:r>
            <w:r w:rsidRPr="004D0DAA">
              <w:rPr>
                <w:rFonts w:ascii="Arial" w:hAnsi="Arial"/>
                <w:sz w:val="18"/>
              </w:rPr>
              <w:t xml:space="preserve"> </w:t>
            </w:r>
            <w:r w:rsidRPr="004D0DAA">
              <w:rPr>
                <w:rFonts w:ascii="Arial" w:hAnsi="Arial"/>
                <w:b/>
                <w:bCs/>
                <w:sz w:val="18"/>
              </w:rPr>
              <w:t>C2</w:t>
            </w:r>
            <w:r w:rsidRPr="004D0DAA">
              <w:rPr>
                <w:rFonts w:ascii="Arial" w:hAnsi="Arial"/>
                <w:sz w:val="18"/>
              </w:rPr>
              <w:t>: &lt; Frequency Parameters IE &gt; &gt; }</w:t>
            </w:r>
          </w:p>
          <w:p w14:paraId="5F30DBE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10</w:t>
            </w:r>
            <w:r w:rsidRPr="004D0DAA">
              <w:rPr>
                <w:rFonts w:ascii="Arial" w:hAnsi="Arial"/>
                <w:sz w:val="18"/>
              </w:rPr>
              <w:tab/>
            </w:r>
            <w:r w:rsidRPr="004D0DAA">
              <w:rPr>
                <w:rFonts w:ascii="Arial" w:hAnsi="Arial"/>
                <w:sz w:val="18"/>
              </w:rPr>
              <w:tab/>
              <w:t xml:space="preserve">-- </w:t>
            </w:r>
            <w:r w:rsidRPr="004D0DAA">
              <w:rPr>
                <w:rFonts w:ascii="Arial" w:hAnsi="Arial"/>
                <w:i/>
                <w:iCs/>
                <w:sz w:val="18"/>
              </w:rPr>
              <w:t>Optimized Dual Carrier frequency parameters used</w:t>
            </w:r>
          </w:p>
          <w:p w14:paraId="707124F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Dual Carrier</w:t>
            </w:r>
            <w:r w:rsidRPr="004D0DAA">
              <w:rPr>
                <w:rFonts w:ascii="Arial" w:hAnsi="Arial"/>
                <w:sz w:val="18"/>
              </w:rPr>
              <w:t xml:space="preserve"> </w:t>
            </w:r>
            <w:r w:rsidRPr="004D0DAA">
              <w:rPr>
                <w:rFonts w:ascii="Arial" w:hAnsi="Arial"/>
                <w:b/>
                <w:sz w:val="18"/>
              </w:rPr>
              <w:t>Frequency Parameters</w:t>
            </w:r>
            <w:r w:rsidRPr="004D0DAA">
              <w:rPr>
                <w:rFonts w:ascii="Arial" w:hAnsi="Arial"/>
                <w:sz w:val="18"/>
              </w:rPr>
              <w:t xml:space="preserve">: &lt; Dual Carrier Frequency Parameters IE &gt; &gt; </w:t>
            </w:r>
          </w:p>
          <w:p w14:paraId="3FA37E08"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&lt; Frequency parameters error: { 11 } bit (*) = &lt;no string&gt; &gt;  -- </w:t>
            </w:r>
            <w:r w:rsidRPr="004D0DAA">
              <w:rPr>
                <w:rFonts w:ascii="Arial" w:hAnsi="Arial"/>
                <w:i/>
                <w:sz w:val="18"/>
              </w:rPr>
              <w:t>Reserved for future use</w:t>
            </w:r>
          </w:p>
          <w:p w14:paraId="7E26C734" w14:textId="77777777" w:rsidR="00711444" w:rsidRPr="004D0DAA" w:rsidRDefault="00711444" w:rsidP="00AA2A4C">
            <w:pPr>
              <w:keepNext/>
              <w:keepLines/>
              <w:spacing w:after="0"/>
              <w:rPr>
                <w:rFonts w:ascii="Arial" w:hAnsi="Arial"/>
                <w:sz w:val="18"/>
              </w:rPr>
            </w:pP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i/>
                <w:sz w:val="18"/>
              </w:rPr>
              <w:tab/>
            </w:r>
            <w:r w:rsidRPr="004D0DAA">
              <w:rPr>
                <w:rFonts w:ascii="Arial" w:hAnsi="Arial"/>
                <w:sz w:val="18"/>
              </w:rPr>
              <w:t>}</w:t>
            </w:r>
          </w:p>
          <w:p w14:paraId="30B50EF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Packet Extended Timing Advance</w:t>
            </w:r>
            <w:r w:rsidRPr="004D0DAA">
              <w:rPr>
                <w:rFonts w:ascii="Arial" w:hAnsi="Arial"/>
                <w:sz w:val="18"/>
              </w:rPr>
              <w:t xml:space="preserve"> : bit (2) &gt; }</w:t>
            </w:r>
          </w:p>
          <w:p w14:paraId="2D0C54AE" w14:textId="77777777" w:rsidR="00711444" w:rsidRPr="004D0DAA" w:rsidRDefault="00711444" w:rsidP="00AA2A4C">
            <w:pPr>
              <w:keepNext/>
              <w:keepLines/>
              <w:spacing w:after="0"/>
              <w:rPr>
                <w:rFonts w:ascii="Arial" w:hAnsi="Arial"/>
                <w:sz w:val="18"/>
                <w:lang w:val="fr-FR"/>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lang w:val="fr-FR"/>
              </w:rPr>
              <w:t xml:space="preserve">&lt; </w:t>
            </w:r>
            <w:r w:rsidRPr="004D0DAA">
              <w:rPr>
                <w:rFonts w:ascii="Arial" w:hAnsi="Arial"/>
                <w:b/>
                <w:sz w:val="18"/>
                <w:lang w:val="fr-FR"/>
              </w:rPr>
              <w:t>EGPRS mode</w:t>
            </w:r>
            <w:r w:rsidRPr="004D0DAA">
              <w:rPr>
                <w:rFonts w:ascii="Arial" w:hAnsi="Arial"/>
                <w:sz w:val="18"/>
                <w:lang w:val="fr-FR"/>
              </w:rPr>
              <w:t> : &lt; EGPRS mode 2 IE &gt; &gt;</w:t>
            </w:r>
          </w:p>
          <w:p w14:paraId="4D19521B" w14:textId="77777777" w:rsidR="00711444" w:rsidRPr="004D0DAA" w:rsidRDefault="00711444" w:rsidP="00AA2A4C">
            <w:pPr>
              <w:keepNext/>
              <w:keepLines/>
              <w:spacing w:after="0"/>
              <w:rPr>
                <w:rFonts w:ascii="Arial" w:hAnsi="Arial"/>
                <w:sz w:val="18"/>
                <w:lang w:val="fr-FR"/>
              </w:rPr>
            </w:pPr>
          </w:p>
        </w:tc>
      </w:tr>
      <w:tr w:rsidR="00711444" w:rsidRPr="004D0DAA" w14:paraId="04CC62E5" w14:textId="77777777" w:rsidTr="00AA2A4C">
        <w:tblPrEx>
          <w:tblCellMar>
            <w:top w:w="0" w:type="dxa"/>
            <w:bottom w:w="0" w:type="dxa"/>
          </w:tblCellMar>
        </w:tblPrEx>
        <w:trPr>
          <w:cantSplit/>
          <w:trHeight w:val="113"/>
        </w:trPr>
        <w:tc>
          <w:tcPr>
            <w:tcW w:w="9848" w:type="dxa"/>
          </w:tcPr>
          <w:p w14:paraId="595F143C" w14:textId="77777777" w:rsidR="00711444" w:rsidRPr="004D0DAA" w:rsidRDefault="00711444" w:rsidP="00AA2A4C">
            <w:pPr>
              <w:keepNext/>
              <w:keepLines/>
              <w:spacing w:after="0"/>
              <w:rPr>
                <w:rFonts w:ascii="Arial" w:hAnsi="Arial"/>
                <w:i/>
                <w:sz w:val="18"/>
              </w:rPr>
            </w:pPr>
            <w:r w:rsidRPr="004D0DAA">
              <w:rPr>
                <w:rFonts w:ascii="Arial" w:hAnsi="Arial"/>
                <w:sz w:val="18"/>
                <w:lang w:val="fr-FR"/>
              </w:rPr>
              <w:lastRenderedPageBreak/>
              <w:tab/>
            </w: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r>
            <w:r w:rsidRPr="004D0DAA">
              <w:rPr>
                <w:rFonts w:ascii="Arial" w:hAnsi="Arial"/>
                <w:sz w:val="18"/>
              </w:rPr>
              <w:t xml:space="preserve">{ null | 0 bit** = &lt; no string &gt; -- </w:t>
            </w:r>
            <w:r w:rsidRPr="004D0DAA">
              <w:rPr>
                <w:rFonts w:ascii="Arial" w:hAnsi="Arial"/>
                <w:i/>
                <w:sz w:val="18"/>
              </w:rPr>
              <w:t>Receiver backward compatible with earlier version</w:t>
            </w:r>
          </w:p>
          <w:p w14:paraId="2F98351D"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Rel-9</w:t>
            </w:r>
          </w:p>
          <w:p w14:paraId="7D3A61EA" w14:textId="77777777" w:rsidR="00711444" w:rsidRPr="004D0DAA" w:rsidRDefault="00711444" w:rsidP="00AA2A4C">
            <w:pPr>
              <w:keepNext/>
              <w:keepLines/>
              <w:spacing w:after="0"/>
              <w:rPr>
                <w:rFonts w:ascii="Arial" w:hAnsi="Arial"/>
                <w:sz w:val="18"/>
              </w:rPr>
            </w:pP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t xml:space="preserve">&lt; </w:t>
            </w:r>
            <w:r w:rsidRPr="004D0DAA">
              <w:rPr>
                <w:rFonts w:ascii="Arial" w:hAnsi="Arial"/>
                <w:b/>
                <w:iCs/>
                <w:sz w:val="18"/>
              </w:rPr>
              <w:t xml:space="preserve">Enhanced Flexible Timeslot Assignment </w:t>
            </w:r>
            <w:r w:rsidRPr="004D0DAA">
              <w:rPr>
                <w:rFonts w:ascii="Arial" w:hAnsi="Arial"/>
                <w:iCs/>
                <w:sz w:val="18"/>
              </w:rPr>
              <w:t>: bit  &gt;</w:t>
            </w:r>
          </w:p>
          <w:p w14:paraId="43CB39AE"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 in DL</w:t>
            </w:r>
          </w:p>
          <w:p w14:paraId="6670A2CC"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&lt;</w:t>
            </w:r>
            <w:r w:rsidRPr="004D0DAA">
              <w:rPr>
                <w:rFonts w:ascii="Arial" w:hAnsi="Arial"/>
                <w:b/>
                <w:bCs/>
                <w:sz w:val="18"/>
              </w:rPr>
              <w:t xml:space="preserve"> Downlink RLC Entity 2</w:t>
            </w:r>
            <w:r w:rsidRPr="004D0DAA">
              <w:rPr>
                <w:rFonts w:ascii="Arial" w:hAnsi="Arial"/>
                <w:sz w:val="18"/>
              </w:rPr>
              <w:t xml:space="preserve"> : &lt; RLC Entity struct &gt; </w:t>
            </w:r>
            <w:r w:rsidRPr="004D0DAA">
              <w:rPr>
                <w:rFonts w:ascii="Arial" w:hAnsi="Arial"/>
                <w:sz w:val="18"/>
              </w:rPr>
              <w:tab/>
              <w:t xml:space="preserve">-- </w:t>
            </w:r>
            <w:r w:rsidRPr="004D0DAA">
              <w:rPr>
                <w:rFonts w:ascii="Arial" w:hAnsi="Arial"/>
                <w:i/>
                <w:iCs/>
                <w:sz w:val="18"/>
              </w:rPr>
              <w:t>EMST is used in DL</w:t>
            </w:r>
          </w:p>
          <w:p w14:paraId="0A225D1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635A84F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 &lt;</w:t>
            </w:r>
            <w:r w:rsidRPr="004D0DAA">
              <w:rPr>
                <w:rFonts w:ascii="Arial" w:hAnsi="Arial"/>
                <w:b/>
                <w:bCs/>
                <w:sz w:val="18"/>
              </w:rPr>
              <w:t xml:space="preserve"> Downlink RLC Entity 3</w:t>
            </w:r>
            <w:r w:rsidRPr="004D0DAA">
              <w:rPr>
                <w:rFonts w:ascii="Arial" w:hAnsi="Arial"/>
                <w:sz w:val="18"/>
              </w:rPr>
              <w:t xml:space="preserve"> : &lt; RLC Entity struct &gt; }</w:t>
            </w:r>
          </w:p>
          <w:p w14:paraId="22ACAFE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55E4400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 in UL</w:t>
            </w:r>
          </w:p>
          <w:p w14:paraId="3078241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Uplink RLC Entity 2</w:t>
            </w:r>
            <w:r w:rsidRPr="004D0DAA">
              <w:rPr>
                <w:rFonts w:ascii="Arial" w:hAnsi="Arial"/>
                <w:sz w:val="18"/>
              </w:rPr>
              <w:t xml:space="preserve"> : &lt; RLC Entity struct &gt; </w:t>
            </w:r>
            <w:r w:rsidRPr="004D0DAA">
              <w:rPr>
                <w:rFonts w:ascii="Arial" w:hAnsi="Arial"/>
                <w:sz w:val="18"/>
              </w:rPr>
              <w:tab/>
              <w:t xml:space="preserve">-- </w:t>
            </w:r>
            <w:r w:rsidRPr="004D0DAA">
              <w:rPr>
                <w:rFonts w:ascii="Arial" w:hAnsi="Arial"/>
                <w:i/>
                <w:iCs/>
                <w:sz w:val="18"/>
              </w:rPr>
              <w:t>EMST is used in UL</w:t>
            </w:r>
          </w:p>
          <w:p w14:paraId="0C0DED1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0D4C3CB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&lt; </w:t>
            </w:r>
            <w:r w:rsidRPr="004D0DAA">
              <w:rPr>
                <w:rFonts w:ascii="Arial" w:hAnsi="Arial"/>
                <w:b/>
                <w:bCs/>
                <w:sz w:val="18"/>
              </w:rPr>
              <w:t>Uplink RLC Entity 3</w:t>
            </w:r>
            <w:r w:rsidRPr="004D0DAA">
              <w:rPr>
                <w:rFonts w:ascii="Arial" w:hAnsi="Arial"/>
                <w:sz w:val="18"/>
              </w:rPr>
              <w:t xml:space="preserve"> : &lt; RLC Entity struct &gt; }</w:t>
            </w:r>
          </w:p>
          <w:p w14:paraId="40C1A09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5F3A29C7"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5561933B"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Rel-10</w:t>
            </w:r>
          </w:p>
          <w:p w14:paraId="1B5A1368"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downlink</w:t>
            </w:r>
          </w:p>
          <w:p w14:paraId="69A72F8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downlink</w:t>
            </w:r>
          </w:p>
          <w:p w14:paraId="4DD666F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353807C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418F9AD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3D34D8E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2F717D0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uplink</w:t>
            </w:r>
          </w:p>
          <w:p w14:paraId="2FD6DD26"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uplink</w:t>
            </w:r>
          </w:p>
          <w:p w14:paraId="60EEBF9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4238D3F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1928182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323341D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7371E5B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73868D0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
                <w:sz w:val="18"/>
              </w:rPr>
              <w:t>-- Additions for Rel-11</w:t>
            </w:r>
          </w:p>
          <w:p w14:paraId="0BDDF10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cs="Arial"/>
                <w:b/>
                <w:sz w:val="18"/>
              </w:rPr>
              <w:t>EGPRS Packet Downlink Ack/Nack Type 3</w:t>
            </w:r>
            <w:r w:rsidRPr="004D0DAA">
              <w:rPr>
                <w:rFonts w:ascii="Arial" w:hAnsi="Arial"/>
                <w:sz w:val="18"/>
              </w:rPr>
              <w:t xml:space="preserve"> </w:t>
            </w:r>
            <w:r w:rsidRPr="004D0DAA">
              <w:rPr>
                <w:rFonts w:ascii="Arial" w:hAnsi="Arial"/>
                <w:b/>
                <w:bCs/>
                <w:sz w:val="18"/>
              </w:rPr>
              <w:t>Support</w:t>
            </w:r>
            <w:r w:rsidRPr="004D0DAA">
              <w:rPr>
                <w:rFonts w:ascii="Arial" w:hAnsi="Arial"/>
                <w:sz w:val="18"/>
              </w:rPr>
              <w:t xml:space="preserve"> : bit(1) &gt;</w:t>
            </w:r>
          </w:p>
          <w:p w14:paraId="5C749A7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0057C4C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422469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9F9965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470A24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6B2F130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07FB287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padding bits &gt; } } } }</w:t>
            </w:r>
          </w:p>
          <w:p w14:paraId="494BA35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&lt; Non-distribution part error : bit (*) = &lt; no string &gt; &gt; }</w:t>
            </w:r>
          </w:p>
          <w:p w14:paraId="75C4FE3D"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&lt; Message escape : { 10 | 11} bit (*) = &lt; no string &gt; &gt; }  -- </w:t>
            </w:r>
            <w:r w:rsidRPr="004D0DAA">
              <w:rPr>
                <w:rFonts w:ascii="Arial" w:hAnsi="Arial"/>
                <w:i/>
                <w:sz w:val="18"/>
              </w:rPr>
              <w:t>Extended for future changes</w:t>
            </w:r>
          </w:p>
          <w:p w14:paraId="215A639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w:t>
            </w:r>
          </w:p>
          <w:p w14:paraId="23AC8F2C" w14:textId="77777777" w:rsidR="00711444" w:rsidRPr="004D0DAA" w:rsidRDefault="00711444" w:rsidP="00AA2A4C">
            <w:pPr>
              <w:keepNext/>
              <w:keepLines/>
              <w:spacing w:after="0"/>
              <w:rPr>
                <w:rFonts w:ascii="Arial" w:hAnsi="Arial" w:cs="Arial"/>
                <w:i/>
                <w:sz w:val="18"/>
              </w:rPr>
            </w:pPr>
            <w:r w:rsidRPr="004D0DAA">
              <w:rPr>
                <w:rFonts w:ascii="Arial" w:hAnsi="Arial"/>
                <w:sz w:val="18"/>
              </w:rPr>
              <w:tab/>
            </w:r>
            <w:r w:rsidRPr="004D0DAA">
              <w:rPr>
                <w:rFonts w:ascii="Arial" w:hAnsi="Arial"/>
                <w:sz w:val="18"/>
              </w:rPr>
              <w:tab/>
              <w:t>| 11</w:t>
            </w:r>
            <w:r w:rsidRPr="004D0DAA">
              <w:rPr>
                <w:rFonts w:ascii="Arial" w:hAnsi="Arial"/>
                <w:sz w:val="18"/>
              </w:rPr>
              <w:tab/>
            </w:r>
            <w:r w:rsidRPr="004D0DAA">
              <w:rPr>
                <w:rFonts w:ascii="Arial" w:hAnsi="Arial"/>
                <w:sz w:val="18"/>
              </w:rPr>
              <w:tab/>
              <w:t xml:space="preserve">-- </w:t>
            </w:r>
            <w:r w:rsidRPr="004D0DAA">
              <w:rPr>
                <w:rFonts w:ascii="Arial" w:hAnsi="Arial"/>
                <w:i/>
                <w:sz w:val="18"/>
              </w:rPr>
              <w:t xml:space="preserve">Reserved for future use. When received it shall be interpreted as </w:t>
            </w:r>
            <w:r w:rsidRPr="004D0DAA">
              <w:rPr>
                <w:rFonts w:ascii="Arial" w:hAnsi="Arial" w:cs="Arial"/>
                <w:i/>
                <w:sz w:val="18"/>
              </w:rPr>
              <w:t>"00".</w:t>
            </w:r>
          </w:p>
          <w:p w14:paraId="2DFD5E9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padding bits &gt;</w:t>
            </w:r>
            <w:r w:rsidRPr="004D0DAA">
              <w:rPr>
                <w:rFonts w:ascii="Arial" w:hAnsi="Arial"/>
                <w:sz w:val="18"/>
              </w:rPr>
              <w:tab/>
            </w:r>
            <w:r w:rsidRPr="004D0DAA">
              <w:rPr>
                <w:rFonts w:ascii="Arial" w:hAnsi="Arial"/>
                <w:sz w:val="18"/>
              </w:rPr>
              <w:tab/>
              <w:t xml:space="preserve">-- </w:t>
            </w:r>
            <w:r w:rsidRPr="004D0DAA">
              <w:rPr>
                <w:rFonts w:ascii="Arial" w:hAnsi="Arial"/>
                <w:i/>
                <w:sz w:val="18"/>
              </w:rPr>
              <w:t>Allows future message extension for '11' choice</w:t>
            </w:r>
            <w:r w:rsidRPr="004D0DAA">
              <w:rPr>
                <w:rFonts w:ascii="Arial" w:hAnsi="Arial" w:cs="Arial"/>
                <w:i/>
                <w:sz w:val="18"/>
              </w:rPr>
              <w:t>.</w:t>
            </w:r>
          </w:p>
          <w:p w14:paraId="6C232F0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w:t>
            </w:r>
          </w:p>
          <w:p w14:paraId="1CD1289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&lt; Address information part error : bit (*) = &lt; no string &gt; &gt; }</w:t>
            </w:r>
          </w:p>
          <w:p w14:paraId="1F100B0B" w14:textId="77777777" w:rsidR="00711444" w:rsidRPr="004D0DAA" w:rsidRDefault="00711444" w:rsidP="00AA2A4C">
            <w:pPr>
              <w:keepNext/>
              <w:keepLines/>
              <w:spacing w:after="0"/>
              <w:rPr>
                <w:rFonts w:ascii="Arial" w:hAnsi="Arial"/>
                <w:sz w:val="18"/>
              </w:rPr>
            </w:pPr>
            <w:r w:rsidRPr="004D0DAA">
              <w:rPr>
                <w:rFonts w:ascii="Arial" w:hAnsi="Arial"/>
                <w:sz w:val="18"/>
              </w:rPr>
              <w:tab/>
              <w:t>! &lt; Distribution part error : bit (*) = &lt; no string &gt; &gt; ;</w:t>
            </w:r>
          </w:p>
          <w:p w14:paraId="45847013" w14:textId="77777777" w:rsidR="00711444" w:rsidRPr="004D0DAA" w:rsidRDefault="00711444" w:rsidP="00AA2A4C">
            <w:pPr>
              <w:keepNext/>
              <w:keepLines/>
              <w:spacing w:after="0"/>
              <w:rPr>
                <w:rFonts w:ascii="Arial" w:hAnsi="Arial"/>
                <w:sz w:val="18"/>
              </w:rPr>
            </w:pPr>
          </w:p>
        </w:tc>
      </w:tr>
      <w:tr w:rsidR="00711444" w:rsidRPr="004D0DAA" w14:paraId="5EE56CFA" w14:textId="77777777" w:rsidTr="00AA2A4C">
        <w:tblPrEx>
          <w:tblCellMar>
            <w:top w:w="0" w:type="dxa"/>
            <w:bottom w:w="0" w:type="dxa"/>
          </w:tblCellMar>
        </w:tblPrEx>
        <w:trPr>
          <w:cantSplit/>
          <w:trHeight w:val="113"/>
        </w:trPr>
        <w:tc>
          <w:tcPr>
            <w:tcW w:w="9848" w:type="dxa"/>
          </w:tcPr>
          <w:p w14:paraId="2FFAA470" w14:textId="77777777" w:rsidR="00711444" w:rsidRPr="004D0DAA" w:rsidRDefault="00711444" w:rsidP="00AA2A4C">
            <w:pPr>
              <w:keepNext/>
              <w:keepLines/>
              <w:spacing w:after="0"/>
              <w:rPr>
                <w:rFonts w:ascii="Arial" w:hAnsi="Arial"/>
                <w:sz w:val="18"/>
              </w:rPr>
            </w:pPr>
            <w:r w:rsidRPr="004D0DAA">
              <w:rPr>
                <w:rFonts w:ascii="Arial" w:hAnsi="Arial"/>
                <w:sz w:val="18"/>
              </w:rPr>
              <w:t>&lt; Multiple Downlink Assignment struct &gt; ::=</w:t>
            </w:r>
          </w:p>
          <w:p w14:paraId="3D832DD6"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TIMESLOT_ALLOCATION</w:t>
            </w:r>
            <w:r w:rsidRPr="004D0DAA">
              <w:rPr>
                <w:rFonts w:ascii="Arial" w:hAnsi="Arial"/>
                <w:bCs/>
                <w:sz w:val="18"/>
              </w:rPr>
              <w:t xml:space="preserve"> </w:t>
            </w:r>
            <w:r w:rsidRPr="004D0DAA">
              <w:rPr>
                <w:rFonts w:ascii="Arial" w:hAnsi="Arial"/>
                <w:sz w:val="18"/>
              </w:rPr>
              <w:t>: bit (8) &gt;</w:t>
            </w:r>
          </w:p>
          <w:p w14:paraId="6C8239B7"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0 | 1 </w:t>
            </w:r>
            <w:r w:rsidRPr="004D0DAA">
              <w:rPr>
                <w:rFonts w:ascii="Arial" w:hAnsi="Arial"/>
                <w:sz w:val="18"/>
              </w:rPr>
              <w:tab/>
              <w:t xml:space="preserve">&lt; </w:t>
            </w:r>
            <w:r w:rsidRPr="004D0DAA">
              <w:rPr>
                <w:rFonts w:ascii="Arial" w:hAnsi="Arial"/>
                <w:b/>
                <w:bCs/>
                <w:sz w:val="18"/>
              </w:rPr>
              <w:t xml:space="preserve">Uplink Control Timeslot </w:t>
            </w:r>
            <w:r w:rsidRPr="004D0DAA">
              <w:rPr>
                <w:rFonts w:ascii="Arial" w:hAnsi="Arial"/>
                <w:sz w:val="18"/>
              </w:rPr>
              <w:t>: bit (3) &gt; }</w:t>
            </w:r>
          </w:p>
          <w:p w14:paraId="5AED0C8D"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1 &lt; </w:t>
            </w:r>
            <w:r w:rsidRPr="004D0DAA">
              <w:rPr>
                <w:rFonts w:ascii="Arial" w:hAnsi="Arial"/>
                <w:b/>
                <w:sz w:val="18"/>
              </w:rPr>
              <w:t>Downlink TBF assignment</w:t>
            </w:r>
            <w:r w:rsidRPr="004D0DAA">
              <w:rPr>
                <w:rFonts w:ascii="Arial" w:hAnsi="Arial"/>
                <w:sz w:val="18"/>
              </w:rPr>
              <w:t xml:space="preserve"> : &lt; Downlink TBF assignment struct &gt; &gt; } ** 0 ;</w:t>
            </w:r>
          </w:p>
          <w:p w14:paraId="53076CCA" w14:textId="77777777" w:rsidR="00711444" w:rsidRPr="004D0DAA" w:rsidRDefault="00711444" w:rsidP="00AA2A4C">
            <w:pPr>
              <w:keepNext/>
              <w:keepLines/>
              <w:spacing w:after="0"/>
              <w:rPr>
                <w:rFonts w:ascii="Arial" w:hAnsi="Arial"/>
                <w:sz w:val="18"/>
              </w:rPr>
            </w:pPr>
          </w:p>
        </w:tc>
      </w:tr>
      <w:tr w:rsidR="00711444" w:rsidRPr="004D0DAA" w14:paraId="346106D4" w14:textId="77777777" w:rsidTr="00AA2A4C">
        <w:tblPrEx>
          <w:tblCellMar>
            <w:top w:w="0" w:type="dxa"/>
            <w:bottom w:w="0" w:type="dxa"/>
          </w:tblCellMar>
        </w:tblPrEx>
        <w:trPr>
          <w:cantSplit/>
          <w:trHeight w:val="113"/>
        </w:trPr>
        <w:tc>
          <w:tcPr>
            <w:tcW w:w="9848" w:type="dxa"/>
          </w:tcPr>
          <w:p w14:paraId="2292ACBB" w14:textId="77777777" w:rsidR="00711444" w:rsidRPr="004D0DAA" w:rsidRDefault="00711444" w:rsidP="00AA2A4C">
            <w:pPr>
              <w:keepNext/>
              <w:keepLines/>
              <w:spacing w:after="0"/>
              <w:rPr>
                <w:rFonts w:ascii="Arial" w:hAnsi="Arial"/>
                <w:sz w:val="18"/>
              </w:rPr>
            </w:pPr>
            <w:r w:rsidRPr="004D0DAA">
              <w:rPr>
                <w:rFonts w:ascii="Arial" w:hAnsi="Arial"/>
                <w:sz w:val="18"/>
              </w:rPr>
              <w:t>&lt; Downlink TBF assignment struct &gt; :: =</w:t>
            </w:r>
          </w:p>
          <w:p w14:paraId="6FF949B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iCs/>
                <w:sz w:val="18"/>
              </w:rPr>
              <w:t>{ 0 | 1</w:t>
            </w:r>
            <w:r w:rsidRPr="004D0DAA">
              <w:rPr>
                <w:rFonts w:ascii="Arial" w:hAnsi="Arial"/>
                <w:iCs/>
                <w:sz w:val="18"/>
              </w:rPr>
              <w:tab/>
              <w:t xml:space="preserve">&lt; </w:t>
            </w:r>
            <w:r w:rsidRPr="004D0DAA">
              <w:rPr>
                <w:rFonts w:ascii="Arial" w:hAnsi="Arial"/>
                <w:b/>
                <w:bCs/>
                <w:iCs/>
                <w:sz w:val="18"/>
              </w:rPr>
              <w:t>PFI</w:t>
            </w:r>
            <w:r w:rsidRPr="004D0DAA">
              <w:rPr>
                <w:rFonts w:ascii="Arial" w:hAnsi="Arial"/>
                <w:iCs/>
                <w:sz w:val="18"/>
              </w:rPr>
              <w:t xml:space="preserve"> : bit (7) &gt; }</w:t>
            </w:r>
          </w:p>
          <w:p w14:paraId="498DCBC5"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DOWNLINK_RLC_MODE</w:t>
            </w:r>
            <w:r w:rsidRPr="004D0DAA">
              <w:rPr>
                <w:rFonts w:ascii="Arial" w:hAnsi="Arial"/>
                <w:sz w:val="18"/>
              </w:rPr>
              <w:t xml:space="preserve"> : bit (1) &gt;</w:t>
            </w:r>
          </w:p>
          <w:p w14:paraId="5FCF19C2"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 xml:space="preserve">Uplink Control Timeslot </w:t>
            </w:r>
            <w:r w:rsidRPr="004D0DAA">
              <w:rPr>
                <w:rFonts w:ascii="Arial" w:hAnsi="Arial"/>
                <w:sz w:val="18"/>
              </w:rPr>
              <w:t>: bit (3) &gt; }</w:t>
            </w:r>
          </w:p>
          <w:p w14:paraId="271C1579"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TFI_ASSIGNMENT</w:t>
            </w:r>
            <w:r w:rsidRPr="004D0DAA">
              <w:rPr>
                <w:rFonts w:ascii="Arial" w:hAnsi="Arial"/>
                <w:bCs/>
                <w:sz w:val="18"/>
              </w:rPr>
              <w:t xml:space="preserve"> </w:t>
            </w:r>
            <w:r w:rsidRPr="004D0DAA">
              <w:rPr>
                <w:rFonts w:ascii="Arial" w:hAnsi="Arial"/>
                <w:sz w:val="18"/>
              </w:rPr>
              <w:t>: bit (5) &gt;</w:t>
            </w:r>
          </w:p>
          <w:p w14:paraId="7B708F4E"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CONTROL_ACK</w:t>
            </w:r>
            <w:r w:rsidRPr="004D0DAA">
              <w:rPr>
                <w:rFonts w:ascii="Arial" w:hAnsi="Arial"/>
                <w:sz w:val="18"/>
              </w:rPr>
              <w:t xml:space="preserve"> : bit (1) &gt;</w:t>
            </w:r>
          </w:p>
          <w:p w14:paraId="2836A710"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 xml:space="preserve">Downlink </w:t>
            </w:r>
            <w:r w:rsidRPr="004D0DAA">
              <w:rPr>
                <w:rFonts w:ascii="Arial" w:hAnsi="Arial"/>
                <w:b/>
                <w:sz w:val="18"/>
              </w:rPr>
              <w:t>EGPRS Window Size</w:t>
            </w:r>
            <w:r w:rsidRPr="004D0DAA">
              <w:rPr>
                <w:rFonts w:ascii="Arial" w:hAnsi="Arial"/>
                <w:bCs/>
                <w:sz w:val="18"/>
              </w:rPr>
              <w:t xml:space="preserve"> </w:t>
            </w:r>
            <w:r w:rsidRPr="004D0DAA">
              <w:rPr>
                <w:rFonts w:ascii="Arial" w:hAnsi="Arial"/>
                <w:sz w:val="18"/>
              </w:rPr>
              <w:t>: &lt; EGPRS Window Size IE &gt; &gt; } ;</w:t>
            </w:r>
          </w:p>
          <w:p w14:paraId="53B3D0E0" w14:textId="77777777" w:rsidR="00711444" w:rsidRPr="004D0DAA" w:rsidRDefault="00711444" w:rsidP="00AA2A4C">
            <w:pPr>
              <w:keepNext/>
              <w:keepLines/>
              <w:spacing w:after="0"/>
              <w:rPr>
                <w:rFonts w:ascii="Arial" w:hAnsi="Arial"/>
                <w:sz w:val="18"/>
              </w:rPr>
            </w:pPr>
          </w:p>
        </w:tc>
      </w:tr>
      <w:tr w:rsidR="00711444" w:rsidRPr="004D0DAA" w14:paraId="706874FF" w14:textId="77777777" w:rsidTr="00AA2A4C">
        <w:tblPrEx>
          <w:tblCellMar>
            <w:top w:w="0" w:type="dxa"/>
            <w:bottom w:w="0" w:type="dxa"/>
          </w:tblCellMar>
        </w:tblPrEx>
        <w:trPr>
          <w:cantSplit/>
          <w:trHeight w:val="113"/>
        </w:trPr>
        <w:tc>
          <w:tcPr>
            <w:tcW w:w="9848" w:type="dxa"/>
          </w:tcPr>
          <w:p w14:paraId="094FCA9C" w14:textId="77777777" w:rsidR="00711444" w:rsidRPr="004D0DAA" w:rsidRDefault="00711444" w:rsidP="00AA2A4C">
            <w:pPr>
              <w:keepNext/>
              <w:keepLines/>
              <w:spacing w:after="0"/>
              <w:rPr>
                <w:rFonts w:ascii="Arial" w:hAnsi="Arial"/>
                <w:sz w:val="18"/>
              </w:rPr>
            </w:pPr>
            <w:r w:rsidRPr="004D0DAA">
              <w:rPr>
                <w:rFonts w:ascii="Arial" w:hAnsi="Arial"/>
                <w:sz w:val="18"/>
              </w:rPr>
              <w:t>&lt; Multiple Uplink Assignment struct &gt; ::=</w:t>
            </w:r>
          </w:p>
          <w:p w14:paraId="551C831C"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EXTENDED_DYNAMIC_ALLOCATION</w:t>
            </w:r>
            <w:r w:rsidRPr="004D0DAA">
              <w:rPr>
                <w:rFonts w:ascii="Arial" w:hAnsi="Arial"/>
                <w:sz w:val="18"/>
              </w:rPr>
              <w:t xml:space="preserve"> : bit (1) &gt;</w:t>
            </w:r>
          </w:p>
          <w:p w14:paraId="41DEAB1A" w14:textId="77777777" w:rsidR="00711444" w:rsidRPr="004D0DAA" w:rsidRDefault="00711444" w:rsidP="00AA2A4C">
            <w:pPr>
              <w:keepNext/>
              <w:keepLines/>
              <w:spacing w:after="0"/>
              <w:rPr>
                <w:rFonts w:ascii="Arial" w:hAnsi="Arial"/>
                <w:sz w:val="18"/>
                <w:lang w:val="fr-FR"/>
              </w:rPr>
            </w:pPr>
            <w:r w:rsidRPr="004D0DAA">
              <w:rPr>
                <w:rFonts w:ascii="Arial" w:hAnsi="Arial"/>
                <w:sz w:val="18"/>
              </w:rPr>
              <w:tab/>
            </w:r>
            <w:r w:rsidRPr="004D0DAA">
              <w:rPr>
                <w:rFonts w:ascii="Arial" w:hAnsi="Arial"/>
                <w:sz w:val="18"/>
                <w:lang w:val="fr-FR"/>
              </w:rPr>
              <w:t>{ 0 | 1</w:t>
            </w:r>
            <w:r w:rsidRPr="004D0DAA">
              <w:rPr>
                <w:rFonts w:ascii="Arial" w:hAnsi="Arial"/>
                <w:sz w:val="18"/>
                <w:lang w:val="fr-FR"/>
              </w:rPr>
              <w:tab/>
              <w:t xml:space="preserve">&lt; </w:t>
            </w:r>
            <w:r w:rsidRPr="004D0DAA">
              <w:rPr>
                <w:rFonts w:ascii="Arial" w:hAnsi="Arial"/>
                <w:b/>
                <w:bCs/>
                <w:sz w:val="18"/>
                <w:lang w:val="fr-FR"/>
              </w:rPr>
              <w:t>P0</w:t>
            </w:r>
            <w:r w:rsidRPr="004D0DAA">
              <w:rPr>
                <w:rFonts w:ascii="Arial" w:hAnsi="Arial"/>
                <w:sz w:val="18"/>
                <w:lang w:val="fr-FR"/>
              </w:rPr>
              <w:t xml:space="preserve"> : bit (4) &gt; </w:t>
            </w:r>
          </w:p>
          <w:p w14:paraId="1656EDCC"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t xml:space="preserve">&lt; </w:t>
            </w:r>
            <w:r w:rsidRPr="004D0DAA">
              <w:rPr>
                <w:rFonts w:ascii="Arial" w:hAnsi="Arial"/>
                <w:b/>
                <w:bCs/>
                <w:sz w:val="18"/>
                <w:lang w:val="fr-FR"/>
              </w:rPr>
              <w:t>PR_MODE</w:t>
            </w:r>
            <w:r w:rsidRPr="004D0DAA">
              <w:rPr>
                <w:rFonts w:ascii="Arial" w:hAnsi="Arial"/>
                <w:sz w:val="18"/>
                <w:lang w:val="fr-FR"/>
              </w:rPr>
              <w:t xml:space="preserve"> : bit(1) &gt; }</w:t>
            </w:r>
          </w:p>
          <w:p w14:paraId="1FED6D6C"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rPr>
              <w:t>{ 0 | 1</w:t>
            </w:r>
            <w:r w:rsidRPr="004D0DAA">
              <w:rPr>
                <w:rFonts w:ascii="Arial" w:hAnsi="Arial"/>
                <w:sz w:val="18"/>
              </w:rPr>
              <w:tab/>
              <w:t xml:space="preserve">&lt; </w:t>
            </w:r>
            <w:r w:rsidRPr="004D0DAA">
              <w:rPr>
                <w:rFonts w:ascii="Arial" w:hAnsi="Arial"/>
                <w:b/>
                <w:bCs/>
                <w:sz w:val="18"/>
              </w:rPr>
              <w:t>Global Timeslot description</w:t>
            </w:r>
            <w:r w:rsidRPr="004D0DAA">
              <w:rPr>
                <w:rFonts w:ascii="Arial" w:hAnsi="Arial"/>
                <w:sz w:val="18"/>
              </w:rPr>
              <w:t xml:space="preserve"> : &lt; Timeslot description struct &gt; &gt;</w:t>
            </w:r>
          </w:p>
          <w:p w14:paraId="728B988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Uplink TBF Assignment</w:t>
            </w:r>
            <w:r w:rsidRPr="004D0DAA">
              <w:rPr>
                <w:rFonts w:ascii="Arial" w:hAnsi="Arial"/>
                <w:sz w:val="18"/>
              </w:rPr>
              <w:t xml:space="preserve"> : &lt; Uplink TBF Assignment struct &gt; &gt; } ** 0 } ;</w:t>
            </w:r>
          </w:p>
        </w:tc>
      </w:tr>
      <w:tr w:rsidR="00711444" w:rsidRPr="004D0DAA" w14:paraId="3F49E717" w14:textId="77777777" w:rsidTr="00AA2A4C">
        <w:tblPrEx>
          <w:tblCellMar>
            <w:top w:w="0" w:type="dxa"/>
            <w:bottom w:w="0" w:type="dxa"/>
          </w:tblCellMar>
        </w:tblPrEx>
        <w:trPr>
          <w:cantSplit/>
          <w:trHeight w:val="113"/>
        </w:trPr>
        <w:tc>
          <w:tcPr>
            <w:tcW w:w="9848" w:type="dxa"/>
          </w:tcPr>
          <w:p w14:paraId="725D4CC0" w14:textId="77777777" w:rsidR="00711444" w:rsidRPr="004D0DAA" w:rsidRDefault="00711444" w:rsidP="00AA2A4C">
            <w:pPr>
              <w:keepNext/>
              <w:keepLines/>
              <w:spacing w:after="0"/>
              <w:rPr>
                <w:rFonts w:ascii="Arial" w:hAnsi="Arial"/>
                <w:sz w:val="18"/>
              </w:rPr>
            </w:pPr>
            <w:r w:rsidRPr="004D0DAA">
              <w:rPr>
                <w:rFonts w:ascii="Arial" w:hAnsi="Arial"/>
                <w:sz w:val="18"/>
              </w:rPr>
              <w:lastRenderedPageBreak/>
              <w:t>&lt; Timeslot description struct &gt; ::=</w:t>
            </w:r>
          </w:p>
          <w:p w14:paraId="0056542B" w14:textId="77777777" w:rsidR="00711444" w:rsidRPr="004D0DAA" w:rsidRDefault="00711444" w:rsidP="00AA2A4C">
            <w:pPr>
              <w:keepNext/>
              <w:keepLines/>
              <w:spacing w:after="0"/>
              <w:rPr>
                <w:rFonts w:ascii="Arial" w:hAnsi="Arial"/>
                <w:sz w:val="18"/>
              </w:rPr>
            </w:pPr>
            <w:r w:rsidRPr="004D0DAA">
              <w:rPr>
                <w:rFonts w:ascii="Arial" w:hAnsi="Arial"/>
                <w:sz w:val="18"/>
              </w:rPr>
              <w:tab/>
              <w:t>{ 0</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without power control params</w:t>
            </w:r>
          </w:p>
          <w:p w14:paraId="0AE7B73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b/>
                <w:bCs/>
                <w:sz w:val="18"/>
              </w:rPr>
              <w:t>MS_TIMESLOT_ALLOCATION</w:t>
            </w:r>
            <w:r w:rsidRPr="004D0DAA">
              <w:rPr>
                <w:rFonts w:ascii="Arial" w:hAnsi="Arial"/>
                <w:sz w:val="18"/>
              </w:rPr>
              <w:t xml:space="preserve"> : bit (8) &gt;</w:t>
            </w:r>
          </w:p>
          <w:p w14:paraId="766B5D70" w14:textId="77777777" w:rsidR="00711444" w:rsidRPr="004D0DAA" w:rsidRDefault="00711444" w:rsidP="00AA2A4C">
            <w:pPr>
              <w:keepNext/>
              <w:keepLines/>
              <w:spacing w:after="0"/>
              <w:rPr>
                <w:rFonts w:ascii="Arial" w:hAnsi="Arial"/>
                <w:sz w:val="18"/>
              </w:rPr>
            </w:pPr>
            <w:r w:rsidRPr="004D0DAA">
              <w:rPr>
                <w:rFonts w:ascii="Arial" w:hAnsi="Arial"/>
                <w:sz w:val="18"/>
              </w:rPr>
              <w:tab/>
              <w:t>| 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r w:rsidRPr="004D0DAA">
              <w:rPr>
                <w:rFonts w:ascii="Arial" w:hAnsi="Arial"/>
                <w:sz w:val="18"/>
              </w:rPr>
              <w:tab/>
            </w:r>
            <w:r w:rsidRPr="004D0DAA">
              <w:rPr>
                <w:rFonts w:ascii="Arial" w:hAnsi="Arial"/>
                <w:i/>
                <w:iCs/>
                <w:sz w:val="18"/>
              </w:rPr>
              <w:t>with power control params</w:t>
            </w:r>
          </w:p>
          <w:p w14:paraId="0FEC985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b/>
                <w:bCs/>
                <w:sz w:val="18"/>
              </w:rPr>
              <w:t>ALPHA</w:t>
            </w:r>
            <w:r w:rsidRPr="004D0DAA">
              <w:rPr>
                <w:rFonts w:ascii="Arial" w:hAnsi="Arial"/>
                <w:sz w:val="18"/>
              </w:rPr>
              <w:t xml:space="preserve"> : bit (4) &gt;</w:t>
            </w:r>
            <w:r w:rsidRPr="004D0DAA">
              <w:rPr>
                <w:rFonts w:ascii="Arial" w:hAnsi="Arial"/>
                <w:sz w:val="18"/>
              </w:rPr>
              <w:tab/>
            </w:r>
            <w:r w:rsidRPr="004D0DAA">
              <w:rPr>
                <w:rFonts w:ascii="Arial" w:hAnsi="Arial"/>
                <w:sz w:val="18"/>
              </w:rPr>
              <w:tab/>
            </w:r>
          </w:p>
          <w:p w14:paraId="029C827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GAMMA_TN0</w:t>
            </w:r>
            <w:r w:rsidRPr="004D0DAA">
              <w:rPr>
                <w:rFonts w:ascii="Arial" w:hAnsi="Arial"/>
                <w:sz w:val="18"/>
              </w:rPr>
              <w:t xml:space="preserve"> : bit (5) &gt; } </w:t>
            </w:r>
          </w:p>
          <w:p w14:paraId="4944FE2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GAMMA_TN1</w:t>
            </w:r>
            <w:r w:rsidRPr="004D0DAA">
              <w:rPr>
                <w:rFonts w:ascii="Arial" w:hAnsi="Arial"/>
                <w:sz w:val="18"/>
              </w:rPr>
              <w:t xml:space="preserve"> : bit (5) &gt; }</w:t>
            </w:r>
          </w:p>
          <w:p w14:paraId="76D79EA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GAMMA_TN2</w:t>
            </w:r>
            <w:r w:rsidRPr="004D0DAA">
              <w:rPr>
                <w:rFonts w:ascii="Arial" w:hAnsi="Arial"/>
                <w:sz w:val="18"/>
              </w:rPr>
              <w:t xml:space="preserve"> : bit (5) &gt; }</w:t>
            </w:r>
          </w:p>
          <w:p w14:paraId="48EE2DC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GAMMA_TN3</w:t>
            </w:r>
            <w:r w:rsidRPr="004D0DAA">
              <w:rPr>
                <w:rFonts w:ascii="Arial" w:hAnsi="Arial"/>
                <w:sz w:val="18"/>
              </w:rPr>
              <w:t xml:space="preserve"> : bit (5) &gt; }</w:t>
            </w:r>
          </w:p>
          <w:p w14:paraId="745F25A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GAMMA_TN4</w:t>
            </w:r>
            <w:r w:rsidRPr="004D0DAA">
              <w:rPr>
                <w:rFonts w:ascii="Arial" w:hAnsi="Arial"/>
                <w:sz w:val="18"/>
              </w:rPr>
              <w:t xml:space="preserve"> : bit (5) &gt; }</w:t>
            </w:r>
          </w:p>
          <w:p w14:paraId="013442E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GAMMA_TN5</w:t>
            </w:r>
            <w:r w:rsidRPr="004D0DAA">
              <w:rPr>
                <w:rFonts w:ascii="Arial" w:hAnsi="Arial"/>
                <w:sz w:val="18"/>
              </w:rPr>
              <w:t xml:space="preserve"> : bit (5) &gt; }</w:t>
            </w:r>
          </w:p>
          <w:p w14:paraId="4CF7331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GAMMA_TN6</w:t>
            </w:r>
            <w:r w:rsidRPr="004D0DAA">
              <w:rPr>
                <w:rFonts w:ascii="Arial" w:hAnsi="Arial"/>
                <w:sz w:val="18"/>
              </w:rPr>
              <w:t xml:space="preserve"> : bit (5) &gt; }</w:t>
            </w:r>
          </w:p>
          <w:p w14:paraId="4270DD4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GAMMA_TN7</w:t>
            </w:r>
            <w:r w:rsidRPr="004D0DAA">
              <w:rPr>
                <w:rFonts w:ascii="Arial" w:hAnsi="Arial"/>
                <w:sz w:val="18"/>
              </w:rPr>
              <w:t xml:space="preserve"> : bit (5) &gt; } } ;</w:t>
            </w:r>
          </w:p>
          <w:p w14:paraId="7EE5570F" w14:textId="77777777" w:rsidR="00711444" w:rsidRPr="004D0DAA" w:rsidRDefault="00711444" w:rsidP="00AA2A4C">
            <w:pPr>
              <w:keepNext/>
              <w:keepLines/>
              <w:spacing w:after="0"/>
              <w:rPr>
                <w:rFonts w:ascii="Arial" w:hAnsi="Arial"/>
                <w:sz w:val="18"/>
              </w:rPr>
            </w:pPr>
          </w:p>
        </w:tc>
      </w:tr>
      <w:tr w:rsidR="00711444" w:rsidRPr="004D0DAA" w14:paraId="26DE8E37" w14:textId="77777777" w:rsidTr="00AA2A4C">
        <w:tblPrEx>
          <w:tblCellMar>
            <w:top w:w="0" w:type="dxa"/>
            <w:bottom w:w="0" w:type="dxa"/>
          </w:tblCellMar>
        </w:tblPrEx>
        <w:trPr>
          <w:cantSplit/>
          <w:trHeight w:val="113"/>
        </w:trPr>
        <w:tc>
          <w:tcPr>
            <w:tcW w:w="9848" w:type="dxa"/>
          </w:tcPr>
          <w:p w14:paraId="113334F3" w14:textId="77777777" w:rsidR="00711444" w:rsidRPr="004D0DAA" w:rsidRDefault="00711444" w:rsidP="00AA2A4C">
            <w:pPr>
              <w:keepNext/>
              <w:keepLines/>
              <w:spacing w:after="0"/>
              <w:rPr>
                <w:rFonts w:ascii="Arial" w:hAnsi="Arial"/>
                <w:sz w:val="18"/>
              </w:rPr>
            </w:pPr>
            <w:r w:rsidRPr="004D0DAA">
              <w:rPr>
                <w:rFonts w:ascii="Arial" w:hAnsi="Arial"/>
                <w:sz w:val="18"/>
              </w:rPr>
              <w:t>&lt; Uplink TBF Assignment struct &gt;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Recursive for multiple TBFs</w:t>
            </w:r>
          </w:p>
          <w:p w14:paraId="74830EB6"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PFI</w:t>
            </w:r>
            <w:r w:rsidRPr="004D0DAA">
              <w:rPr>
                <w:rFonts w:ascii="Arial" w:hAnsi="Arial"/>
                <w:sz w:val="18"/>
              </w:rPr>
              <w:t xml:space="preserve"> : bit (7) &gt; }</w:t>
            </w:r>
          </w:p>
          <w:p w14:paraId="62D86469"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TFI_ASSIGNMENT</w:t>
            </w:r>
            <w:r w:rsidRPr="004D0DAA">
              <w:rPr>
                <w:rFonts w:ascii="Arial" w:hAnsi="Arial"/>
                <w:bCs/>
                <w:sz w:val="18"/>
              </w:rPr>
              <w:t xml:space="preserve"> </w:t>
            </w:r>
            <w:r w:rsidRPr="004D0DAA">
              <w:rPr>
                <w:rFonts w:ascii="Arial" w:hAnsi="Arial"/>
                <w:sz w:val="18"/>
              </w:rPr>
              <w:t>: bit (5) &gt;</w:t>
            </w:r>
          </w:p>
          <w:p w14:paraId="2290F992"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CHANNEL_CODING_COMMAND</w:t>
            </w:r>
            <w:r w:rsidRPr="004D0DAA">
              <w:rPr>
                <w:rFonts w:ascii="Arial" w:hAnsi="Arial"/>
                <w:sz w:val="18"/>
              </w:rPr>
              <w:t xml:space="preserve"> : bit (2) &gt; }</w:t>
            </w:r>
          </w:p>
          <w:p w14:paraId="2EC31F52"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EGPRS Channel Coding Command</w:t>
            </w:r>
            <w:r w:rsidRPr="004D0DAA">
              <w:rPr>
                <w:rFonts w:ascii="Arial" w:hAnsi="Arial"/>
                <w:sz w:val="18"/>
              </w:rPr>
              <w:t xml:space="preserve"> : &lt; EGPRS Modulation and Coding Scheme IE &gt; &gt; }</w:t>
            </w:r>
          </w:p>
          <w:p w14:paraId="0E9558FF"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Uplink</w:t>
            </w:r>
            <w:r w:rsidRPr="004D0DAA">
              <w:rPr>
                <w:rFonts w:ascii="Arial" w:hAnsi="Arial"/>
                <w:sz w:val="18"/>
              </w:rPr>
              <w:t xml:space="preserve"> </w:t>
            </w:r>
            <w:r w:rsidRPr="004D0DAA">
              <w:rPr>
                <w:rFonts w:ascii="Arial" w:hAnsi="Arial"/>
                <w:b/>
                <w:bCs/>
                <w:sz w:val="18"/>
              </w:rPr>
              <w:t>EGPRS Window Size</w:t>
            </w:r>
            <w:r w:rsidRPr="004D0DAA">
              <w:rPr>
                <w:rFonts w:ascii="Arial" w:hAnsi="Arial"/>
                <w:sz w:val="18"/>
              </w:rPr>
              <w:t> : &lt; EGPRS Window Size IE &gt; &gt; }</w:t>
            </w:r>
          </w:p>
          <w:p w14:paraId="1283D7B3"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 xml:space="preserve">USF_GRANULARITY </w:t>
            </w:r>
            <w:r w:rsidRPr="004D0DAA">
              <w:rPr>
                <w:rFonts w:ascii="Arial" w:hAnsi="Arial"/>
                <w:sz w:val="18"/>
              </w:rPr>
              <w:t>: bit (1) &gt;</w:t>
            </w:r>
          </w:p>
          <w:p w14:paraId="66F6B62E" w14:textId="77777777" w:rsidR="00711444" w:rsidRPr="004D0DAA" w:rsidRDefault="00711444" w:rsidP="00AA2A4C">
            <w:pPr>
              <w:keepNext/>
              <w:keepLines/>
              <w:spacing w:after="0"/>
              <w:rPr>
                <w:rFonts w:ascii="Arial" w:hAnsi="Arial"/>
                <w:i/>
                <w:iCs/>
                <w:sz w:val="18"/>
              </w:rPr>
            </w:pPr>
            <w:r w:rsidRPr="004D0DAA">
              <w:rPr>
                <w:rFonts w:ascii="Arial" w:hAnsi="Arial"/>
                <w:sz w:val="18"/>
              </w:rPr>
              <w:tab/>
              <w:t>{ 0</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The timeslots assigned to the TBF are all the timeslots assigned</w:t>
            </w:r>
          </w:p>
          <w:p w14:paraId="21B7FFD8"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in the Global Timeslot description</w:t>
            </w:r>
          </w:p>
          <w:p w14:paraId="2ADEC1FC" w14:textId="77777777" w:rsidR="00711444" w:rsidRPr="004D0DAA" w:rsidRDefault="00711444" w:rsidP="00AA2A4C">
            <w:pPr>
              <w:keepNext/>
              <w:keepLines/>
              <w:spacing w:after="0"/>
              <w:rPr>
                <w:rFonts w:ascii="Arial" w:hAnsi="Arial"/>
                <w:i/>
                <w:iCs/>
                <w:sz w:val="18"/>
              </w:rPr>
            </w:pPr>
            <w:r w:rsidRPr="004D0DAA">
              <w:rPr>
                <w:rFonts w:ascii="Arial" w:hAnsi="Arial"/>
                <w:sz w:val="18"/>
              </w:rPr>
              <w:tab/>
              <w:t>| 1</w:t>
            </w:r>
            <w:r w:rsidRPr="004D0DAA">
              <w:rPr>
                <w:rFonts w:ascii="Arial" w:hAnsi="Arial"/>
                <w:sz w:val="18"/>
              </w:rPr>
              <w:tab/>
              <w:t xml:space="preserve">&lt; </w:t>
            </w:r>
            <w:r w:rsidRPr="004D0DAA">
              <w:rPr>
                <w:rFonts w:ascii="Arial" w:hAnsi="Arial"/>
                <w:b/>
                <w:bCs/>
                <w:sz w:val="18"/>
              </w:rPr>
              <w:t>TBF_TIMESLOT_ALLOCATION</w:t>
            </w:r>
            <w:r w:rsidRPr="004D0DAA">
              <w:rPr>
                <w:rFonts w:ascii="Arial" w:hAnsi="Arial"/>
                <w:sz w:val="18"/>
              </w:rPr>
              <w:t xml:space="preserve"> : bit (N) &gt; }</w:t>
            </w:r>
            <w:r w:rsidRPr="004D0DAA">
              <w:rPr>
                <w:rFonts w:ascii="Arial" w:hAnsi="Arial"/>
                <w:sz w:val="18"/>
              </w:rPr>
              <w:tab/>
              <w:t xml:space="preserve">-- </w:t>
            </w:r>
            <w:r w:rsidRPr="004D0DAA">
              <w:rPr>
                <w:rFonts w:ascii="Arial" w:hAnsi="Arial"/>
                <w:i/>
                <w:iCs/>
                <w:sz w:val="18"/>
              </w:rPr>
              <w:t>The timeslots assigned to the TBF are a subset of all the</w:t>
            </w:r>
          </w:p>
          <w:p w14:paraId="3EC4A315"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timeslots assigned in the Global Timeslot description. Where</w:t>
            </w:r>
          </w:p>
          <w:p w14:paraId="18B141DC"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 xml:space="preserve">N is the amount of timeslots assigned to the MS in the Global </w:t>
            </w:r>
          </w:p>
          <w:p w14:paraId="6338579B"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Timeslot description</w:t>
            </w:r>
          </w:p>
          <w:p w14:paraId="0385C87A" w14:textId="77777777" w:rsidR="00711444" w:rsidRPr="004D0DAA" w:rsidRDefault="00711444" w:rsidP="00AA2A4C">
            <w:pPr>
              <w:keepNext/>
              <w:keepLines/>
              <w:spacing w:after="0"/>
              <w:rPr>
                <w:rFonts w:ascii="Arial" w:hAnsi="Arial"/>
                <w:sz w:val="18"/>
              </w:rPr>
            </w:pPr>
            <w:r w:rsidRPr="004D0DAA">
              <w:rPr>
                <w:rFonts w:ascii="Arial" w:hAnsi="Arial"/>
                <w:sz w:val="18"/>
              </w:rPr>
              <w:tab/>
              <w:t>{ 0</w:t>
            </w:r>
            <w:r w:rsidRPr="004D0DAA">
              <w:rPr>
                <w:rFonts w:ascii="Arial" w:hAnsi="Arial"/>
                <w:sz w:val="18"/>
              </w:rPr>
              <w:tab/>
            </w:r>
            <w:r w:rsidRPr="004D0DAA">
              <w:rPr>
                <w:rFonts w:ascii="Arial" w:hAnsi="Arial"/>
                <w:sz w:val="18"/>
              </w:rPr>
              <w:tab/>
              <w:t xml:space="preserve">&lt; </w:t>
            </w:r>
            <w:r w:rsidRPr="004D0DAA">
              <w:rPr>
                <w:rFonts w:ascii="Arial" w:hAnsi="Arial"/>
                <w:b/>
                <w:bCs/>
                <w:sz w:val="18"/>
              </w:rPr>
              <w:t>USF_ALLOCATION</w:t>
            </w:r>
            <w:r w:rsidRPr="004D0DAA">
              <w:rPr>
                <w:rFonts w:ascii="Arial" w:hAnsi="Arial"/>
                <w:sz w:val="18"/>
              </w:rPr>
              <w:t xml:space="preserve"> : bit (3) &gt;</w:t>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The same USF is valid on all timeslots assigned to the TBF</w:t>
            </w:r>
          </w:p>
          <w:p w14:paraId="3E68AAC4" w14:textId="77777777" w:rsidR="00711444" w:rsidRPr="004D0DAA" w:rsidRDefault="00711444" w:rsidP="00AA2A4C">
            <w:pPr>
              <w:keepNext/>
              <w:keepLines/>
              <w:spacing w:after="0"/>
              <w:rPr>
                <w:rFonts w:ascii="Arial" w:hAnsi="Arial"/>
                <w:i/>
                <w:iCs/>
                <w:sz w:val="18"/>
              </w:rPr>
            </w:pPr>
            <w:r w:rsidRPr="004D0DAA">
              <w:rPr>
                <w:rFonts w:ascii="Arial" w:hAnsi="Arial"/>
                <w:sz w:val="18"/>
              </w:rPr>
              <w:tab/>
              <w:t>| 1</w:t>
            </w:r>
            <w:r w:rsidRPr="004D0DAA">
              <w:rPr>
                <w:rFonts w:ascii="Arial" w:hAnsi="Arial"/>
                <w:sz w:val="18"/>
              </w:rPr>
              <w:tab/>
            </w:r>
            <w:r w:rsidRPr="004D0DAA">
              <w:rPr>
                <w:rFonts w:ascii="Arial" w:hAnsi="Arial"/>
                <w:sz w:val="18"/>
              </w:rPr>
              <w:tab/>
              <w:t xml:space="preserve">&lt; </w:t>
            </w:r>
            <w:r w:rsidRPr="004D0DAA">
              <w:rPr>
                <w:rFonts w:ascii="Arial" w:hAnsi="Arial"/>
                <w:b/>
                <w:bCs/>
                <w:sz w:val="18"/>
              </w:rPr>
              <w:t xml:space="preserve">USF_ALLOCATION </w:t>
            </w:r>
            <w:r w:rsidRPr="004D0DAA">
              <w:rPr>
                <w:rFonts w:ascii="Arial" w:hAnsi="Arial"/>
                <w:sz w:val="18"/>
              </w:rPr>
              <w:t>: bit (3) &gt;</w:t>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Different USF(s) assigned</w:t>
            </w:r>
          </w:p>
          <w:p w14:paraId="506BEEC1"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USF assignment on the lowest numbered timeslot</w:t>
            </w:r>
          </w:p>
          <w:p w14:paraId="57B33BE0"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assigned to the TBF</w:t>
            </w:r>
          </w:p>
          <w:p w14:paraId="120CF172"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 0 | 1 &lt; </w:t>
            </w:r>
            <w:r w:rsidRPr="004D0DAA">
              <w:rPr>
                <w:rFonts w:ascii="Arial" w:hAnsi="Arial"/>
                <w:b/>
                <w:bCs/>
                <w:sz w:val="18"/>
              </w:rPr>
              <w:t>USF_ALLOCATION</w:t>
            </w:r>
            <w:r w:rsidRPr="004D0DAA">
              <w:rPr>
                <w:rFonts w:ascii="Arial" w:hAnsi="Arial"/>
                <w:sz w:val="18"/>
              </w:rPr>
              <w:t xml:space="preserve"> : bit (3) &gt; } * (M-1) } ;</w:t>
            </w:r>
            <w:r w:rsidRPr="004D0DAA">
              <w:rPr>
                <w:rFonts w:ascii="Arial" w:hAnsi="Arial"/>
                <w:sz w:val="18"/>
              </w:rPr>
              <w:tab/>
              <w:t xml:space="preserve">-- </w:t>
            </w:r>
            <w:r w:rsidRPr="004D0DAA">
              <w:rPr>
                <w:rFonts w:ascii="Arial" w:hAnsi="Arial"/>
                <w:i/>
                <w:iCs/>
                <w:sz w:val="18"/>
              </w:rPr>
              <w:t>USFs on subsequent timeslots assigned to the TBF:</w:t>
            </w:r>
          </w:p>
          <w:p w14:paraId="15975990"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 xml:space="preserve">A ‘0’ (respectively a ‘1’ followed by a USF value) </w:t>
            </w:r>
          </w:p>
          <w:p w14:paraId="6A53B729"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means same (respectively different) USF value as the</w:t>
            </w:r>
          </w:p>
          <w:p w14:paraId="28A69589"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USF on the next lower numbered timeslot assigned to</w:t>
            </w:r>
          </w:p>
          <w:p w14:paraId="19C362FE"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the TBF.</w:t>
            </w:r>
            <w:r w:rsidRPr="004D0DAA">
              <w:rPr>
                <w:rFonts w:ascii="Arial" w:hAnsi="Arial"/>
                <w:sz w:val="18"/>
              </w:rPr>
              <w:t xml:space="preserve"> </w:t>
            </w:r>
            <w:r w:rsidRPr="004D0DAA">
              <w:rPr>
                <w:rFonts w:ascii="Arial" w:hAnsi="Arial"/>
                <w:i/>
                <w:iCs/>
                <w:sz w:val="18"/>
              </w:rPr>
              <w:t>Where M is the amount of timeslots assigned</w:t>
            </w:r>
          </w:p>
          <w:p w14:paraId="77B962EB"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 xml:space="preserve">to the TBF in the TBF_TIMESLOT_ALLOCATION if </w:t>
            </w:r>
          </w:p>
          <w:p w14:paraId="1E14B78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present, else in the Global</w:t>
            </w:r>
            <w:r w:rsidRPr="004D0DAA">
              <w:rPr>
                <w:rFonts w:ascii="Arial" w:hAnsi="Arial"/>
                <w:sz w:val="18"/>
              </w:rPr>
              <w:t xml:space="preserve"> </w:t>
            </w:r>
            <w:r w:rsidRPr="004D0DAA">
              <w:rPr>
                <w:rFonts w:ascii="Arial" w:hAnsi="Arial"/>
                <w:i/>
                <w:iCs/>
                <w:sz w:val="18"/>
              </w:rPr>
              <w:t>Timeslot</w:t>
            </w:r>
            <w:r w:rsidRPr="004D0DAA">
              <w:rPr>
                <w:rFonts w:ascii="Arial" w:hAnsi="Arial"/>
                <w:sz w:val="18"/>
              </w:rPr>
              <w:t xml:space="preserve"> </w:t>
            </w:r>
            <w:r w:rsidRPr="004D0DAA">
              <w:rPr>
                <w:rFonts w:ascii="Arial" w:hAnsi="Arial"/>
                <w:i/>
                <w:iCs/>
                <w:sz w:val="18"/>
              </w:rPr>
              <w:t>description</w:t>
            </w:r>
          </w:p>
          <w:p w14:paraId="1BD07328" w14:textId="77777777" w:rsidR="00711444" w:rsidRPr="004D0DAA" w:rsidRDefault="00711444" w:rsidP="00AA2A4C">
            <w:pPr>
              <w:keepNext/>
              <w:keepLines/>
              <w:spacing w:after="0"/>
              <w:rPr>
                <w:rFonts w:ascii="Arial" w:hAnsi="Arial"/>
                <w:sz w:val="18"/>
              </w:rPr>
            </w:pPr>
          </w:p>
        </w:tc>
      </w:tr>
      <w:tr w:rsidR="00711444" w:rsidRPr="004D0DAA" w14:paraId="04976A62" w14:textId="77777777" w:rsidTr="00AA2A4C">
        <w:tblPrEx>
          <w:tblCellMar>
            <w:top w:w="0" w:type="dxa"/>
            <w:bottom w:w="0" w:type="dxa"/>
          </w:tblCellMar>
        </w:tblPrEx>
        <w:trPr>
          <w:cantSplit/>
          <w:trHeight w:val="113"/>
        </w:trPr>
        <w:tc>
          <w:tcPr>
            <w:tcW w:w="9848" w:type="dxa"/>
          </w:tcPr>
          <w:p w14:paraId="43028ECD" w14:textId="77777777" w:rsidR="00711444" w:rsidRPr="004D0DAA" w:rsidRDefault="00711444" w:rsidP="00AA2A4C">
            <w:pPr>
              <w:keepNext/>
              <w:keepLines/>
              <w:spacing w:after="0"/>
              <w:rPr>
                <w:rFonts w:ascii="Arial" w:hAnsi="Arial"/>
                <w:sz w:val="18"/>
              </w:rPr>
            </w:pPr>
            <w:r w:rsidRPr="004D0DAA">
              <w:rPr>
                <w:rFonts w:ascii="Arial" w:hAnsi="Arial"/>
                <w:sz w:val="18"/>
              </w:rPr>
              <w:t>&lt; Assignment Info struct &gt; ::=</w:t>
            </w:r>
          </w:p>
          <w:p w14:paraId="542D1880"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Assignment Type</w:t>
            </w:r>
            <w:r w:rsidRPr="004D0DAA">
              <w:rPr>
                <w:rFonts w:ascii="Arial" w:hAnsi="Arial"/>
                <w:sz w:val="18"/>
              </w:rPr>
              <w:t xml:space="preserve"> : bit (2) &gt;</w:t>
            </w:r>
          </w:p>
          <w:p w14:paraId="6111D205"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Carrier ID</w:t>
            </w:r>
            <w:r w:rsidRPr="004D0DAA">
              <w:rPr>
                <w:rFonts w:ascii="Arial" w:hAnsi="Arial"/>
                <w:sz w:val="18"/>
              </w:rPr>
              <w:t xml:space="preserve"> : bit (1) &gt; ;</w:t>
            </w:r>
          </w:p>
          <w:p w14:paraId="03B2FCC3" w14:textId="77777777" w:rsidR="00711444" w:rsidRPr="004D0DAA" w:rsidRDefault="00711444" w:rsidP="00AA2A4C">
            <w:pPr>
              <w:keepNext/>
              <w:keepLines/>
              <w:spacing w:after="0"/>
              <w:rPr>
                <w:rFonts w:ascii="Arial" w:hAnsi="Arial"/>
                <w:sz w:val="18"/>
              </w:rPr>
            </w:pPr>
          </w:p>
        </w:tc>
      </w:tr>
      <w:tr w:rsidR="00711444" w:rsidRPr="004D0DAA" w14:paraId="173307C3" w14:textId="77777777" w:rsidTr="00AA2A4C">
        <w:tblPrEx>
          <w:tblBorders>
            <w:top w:val="single" w:sz="4" w:space="0" w:color="auto"/>
            <w:left w:val="single" w:sz="4" w:space="0" w:color="auto"/>
            <w:bottom w:val="single" w:sz="4" w:space="0" w:color="auto"/>
            <w:right w:val="single" w:sz="4" w:space="0" w:color="auto"/>
          </w:tblBorders>
          <w:tblCellMar>
            <w:top w:w="0" w:type="dxa"/>
            <w:bottom w:w="0" w:type="dxa"/>
          </w:tblCellMar>
        </w:tblPrEx>
        <w:trPr>
          <w:cantSplit/>
        </w:trPr>
        <w:tc>
          <w:tcPr>
            <w:tcW w:w="9848" w:type="dxa"/>
          </w:tcPr>
          <w:p w14:paraId="3FD8E527" w14:textId="77777777" w:rsidR="00711444" w:rsidRPr="004D0DAA" w:rsidRDefault="00711444" w:rsidP="00AA2A4C">
            <w:pPr>
              <w:keepNext/>
              <w:keepLines/>
              <w:spacing w:after="0"/>
              <w:rPr>
                <w:rFonts w:ascii="Arial" w:hAnsi="Arial"/>
                <w:sz w:val="18"/>
              </w:rPr>
            </w:pPr>
            <w:r w:rsidRPr="004D0DAA">
              <w:rPr>
                <w:rFonts w:ascii="Arial" w:hAnsi="Arial"/>
                <w:sz w:val="18"/>
              </w:rPr>
              <w:t>&lt; RLC Entity struct &gt; :: =</w:t>
            </w:r>
          </w:p>
          <w:p w14:paraId="7EDBE1CE"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TFI_ASSIGNMENT</w:t>
            </w:r>
            <w:r w:rsidRPr="004D0DAA">
              <w:rPr>
                <w:rFonts w:ascii="Arial" w:hAnsi="Arial"/>
                <w:sz w:val="18"/>
              </w:rPr>
              <w:t xml:space="preserve"> : bit (5) &gt;</w:t>
            </w:r>
          </w:p>
          <w:p w14:paraId="54729777"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RLC_MODE</w:t>
            </w:r>
            <w:r w:rsidRPr="004D0DAA">
              <w:rPr>
                <w:rFonts w:ascii="Arial" w:hAnsi="Arial"/>
                <w:sz w:val="18"/>
              </w:rPr>
              <w:t xml:space="preserve"> : bit (1) &gt;</w:t>
            </w:r>
          </w:p>
          <w:p w14:paraId="4B29A558"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0 | 1 &lt; </w:t>
            </w:r>
            <w:r w:rsidRPr="004D0DAA">
              <w:rPr>
                <w:rFonts w:ascii="Arial" w:hAnsi="Arial"/>
                <w:b/>
                <w:bCs/>
                <w:sz w:val="18"/>
              </w:rPr>
              <w:t>EGPRS Window Size</w:t>
            </w:r>
            <w:r w:rsidRPr="004D0DAA">
              <w:rPr>
                <w:rFonts w:ascii="Arial" w:hAnsi="Arial"/>
                <w:sz w:val="18"/>
              </w:rPr>
              <w:t> : &lt; EGPRS Window Size IE &gt; &gt; }</w:t>
            </w:r>
          </w:p>
          <w:p w14:paraId="17B8F72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b/>
                <w:bCs/>
                <w:sz w:val="18"/>
              </w:rPr>
              <w:t>PFI</w:t>
            </w:r>
            <w:r w:rsidRPr="004D0DAA">
              <w:rPr>
                <w:rFonts w:ascii="Arial" w:hAnsi="Arial"/>
                <w:sz w:val="18"/>
              </w:rPr>
              <w:t xml:space="preserve"> : bit (7) &gt;;</w:t>
            </w:r>
          </w:p>
          <w:p w14:paraId="2DEDCF36" w14:textId="77777777" w:rsidR="00711444" w:rsidRPr="004D0DAA" w:rsidRDefault="00711444" w:rsidP="00AA2A4C">
            <w:pPr>
              <w:keepNext/>
              <w:keepLines/>
              <w:spacing w:after="0"/>
              <w:rPr>
                <w:rFonts w:ascii="Arial" w:hAnsi="Arial"/>
                <w:sz w:val="18"/>
              </w:rPr>
            </w:pPr>
          </w:p>
        </w:tc>
      </w:tr>
      <w:tr w:rsidR="00711444" w:rsidRPr="004D0DAA" w14:paraId="12028828" w14:textId="77777777" w:rsidTr="00AA2A4C">
        <w:tblPrEx>
          <w:tblBorders>
            <w:top w:val="single" w:sz="4" w:space="0" w:color="auto"/>
            <w:left w:val="single" w:sz="4" w:space="0" w:color="auto"/>
            <w:bottom w:val="single" w:sz="4" w:space="0" w:color="auto"/>
            <w:right w:val="single" w:sz="4" w:space="0" w:color="auto"/>
          </w:tblBorders>
          <w:tblCellMar>
            <w:top w:w="0" w:type="dxa"/>
            <w:bottom w:w="0" w:type="dxa"/>
          </w:tblCellMar>
        </w:tblPrEx>
        <w:trPr>
          <w:cantSplit/>
        </w:trPr>
        <w:tc>
          <w:tcPr>
            <w:tcW w:w="9848" w:type="dxa"/>
          </w:tcPr>
          <w:p w14:paraId="1BBD7FB6" w14:textId="77777777" w:rsidR="00711444" w:rsidRPr="004D0DAA" w:rsidRDefault="00711444" w:rsidP="00AA2A4C">
            <w:pPr>
              <w:keepNext/>
              <w:keepLines/>
              <w:spacing w:after="0"/>
              <w:rPr>
                <w:rFonts w:ascii="Arial" w:hAnsi="Arial"/>
                <w:sz w:val="18"/>
              </w:rPr>
            </w:pPr>
            <w:r w:rsidRPr="004D0DAA">
              <w:rPr>
                <w:rFonts w:ascii="Arial" w:hAnsi="Arial"/>
                <w:sz w:val="18"/>
              </w:rPr>
              <w:t>&lt; Additional PFCs struct &gt; ::=</w:t>
            </w:r>
          </w:p>
          <w:p w14:paraId="4FD9219D"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TFI_ASSIGNMENT</w:t>
            </w:r>
            <w:r w:rsidRPr="004D0DAA">
              <w:rPr>
                <w:rFonts w:ascii="Arial" w:hAnsi="Arial"/>
                <w:sz w:val="18"/>
              </w:rPr>
              <w:t xml:space="preserve"> : bit (5) &gt;</w:t>
            </w:r>
          </w:p>
          <w:p w14:paraId="57EB5C3A"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0 | 1 </w:t>
            </w:r>
            <w:r w:rsidRPr="004D0DAA">
              <w:rPr>
                <w:rFonts w:ascii="Arial" w:hAnsi="Arial"/>
                <w:iCs/>
                <w:sz w:val="18"/>
              </w:rPr>
              <w:t xml:space="preserve">&lt; </w:t>
            </w:r>
            <w:r w:rsidRPr="004D0DAA">
              <w:rPr>
                <w:rFonts w:ascii="Arial" w:hAnsi="Arial"/>
                <w:b/>
                <w:iCs/>
                <w:sz w:val="18"/>
              </w:rPr>
              <w:t xml:space="preserve">NPM Transfer Time </w:t>
            </w:r>
            <w:r w:rsidRPr="004D0DAA">
              <w:rPr>
                <w:rFonts w:ascii="Arial" w:hAnsi="Arial"/>
                <w:iCs/>
                <w:sz w:val="18"/>
              </w:rPr>
              <w:t>: bit (5) &gt;</w:t>
            </w:r>
            <w:r w:rsidRPr="004D0DAA">
              <w:rPr>
                <w:rFonts w:ascii="Arial" w:hAnsi="Arial"/>
                <w:sz w:val="18"/>
              </w:rPr>
              <w:t xml:space="preserve"> }</w:t>
            </w:r>
          </w:p>
          <w:p w14:paraId="7B3DEEE4"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PFI</w:t>
            </w:r>
            <w:r w:rsidRPr="004D0DAA">
              <w:rPr>
                <w:rFonts w:ascii="Arial" w:hAnsi="Arial"/>
                <w:sz w:val="18"/>
              </w:rPr>
              <w:t xml:space="preserve"> : bit (7) &gt;;</w:t>
            </w:r>
          </w:p>
        </w:tc>
      </w:tr>
    </w:tbl>
    <w:p w14:paraId="062E2C98" w14:textId="77777777" w:rsidR="00711444" w:rsidRPr="004D0DAA" w:rsidRDefault="00711444" w:rsidP="00711444"/>
    <w:p w14:paraId="34717054" w14:textId="77777777" w:rsidR="00711444" w:rsidRPr="004D0DAA" w:rsidRDefault="00711444" w:rsidP="00711444">
      <w:pPr>
        <w:pStyle w:val="TH"/>
      </w:pPr>
      <w:r w:rsidRPr="004D0DAA">
        <w:t>Table 11.2.37.2: PACKET CS RELEASE INDICATION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2F8FFED" w14:textId="77777777" w:rsidTr="00AA2A4C">
        <w:tblPrEx>
          <w:tblCellMar>
            <w:top w:w="0" w:type="dxa"/>
            <w:bottom w:w="0" w:type="dxa"/>
          </w:tblCellMar>
        </w:tblPrEx>
        <w:trPr>
          <w:cantSplit/>
        </w:trPr>
        <w:tc>
          <w:tcPr>
            <w:tcW w:w="9848" w:type="dxa"/>
          </w:tcPr>
          <w:p w14:paraId="7EEF0753" w14:textId="77777777" w:rsidR="00711444" w:rsidRPr="004D0DAA" w:rsidRDefault="00711444" w:rsidP="00AA2A4C">
            <w:pPr>
              <w:rPr>
                <w:b/>
              </w:rPr>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439051A7" w14:textId="77777777" w:rsidTr="00AA2A4C">
        <w:tblPrEx>
          <w:tblCellMar>
            <w:top w:w="0" w:type="dxa"/>
            <w:bottom w:w="0" w:type="dxa"/>
          </w:tblCellMar>
        </w:tblPrEx>
        <w:trPr>
          <w:cantSplit/>
        </w:trPr>
        <w:tc>
          <w:tcPr>
            <w:tcW w:w="9848" w:type="dxa"/>
          </w:tcPr>
          <w:p w14:paraId="157EFBD8" w14:textId="77777777" w:rsidR="00711444" w:rsidRPr="004D0DAA" w:rsidRDefault="00711444" w:rsidP="00AA2A4C">
            <w:pPr>
              <w:rPr>
                <w:b/>
              </w:rPr>
            </w:pPr>
            <w:r w:rsidRPr="004D0DAA">
              <w:rPr>
                <w:b/>
              </w:rPr>
              <w:t>Global_TFI</w:t>
            </w:r>
            <w:r w:rsidRPr="004D0DAA">
              <w:br/>
              <w:t>This information element contains the TFI of the mobile station's downlink TBF or uplink TBF. This field is defined in sub-clause 12.10.</w:t>
            </w:r>
          </w:p>
        </w:tc>
      </w:tr>
      <w:tr w:rsidR="00711444" w:rsidRPr="004D0DAA" w14:paraId="60964D8D" w14:textId="77777777" w:rsidTr="00AA2A4C">
        <w:tblPrEx>
          <w:tblCellMar>
            <w:top w:w="0" w:type="dxa"/>
            <w:bottom w:w="0" w:type="dxa"/>
          </w:tblCellMar>
        </w:tblPrEx>
        <w:trPr>
          <w:cantSplit/>
        </w:trPr>
        <w:tc>
          <w:tcPr>
            <w:tcW w:w="9848" w:type="dxa"/>
          </w:tcPr>
          <w:p w14:paraId="129958C0" w14:textId="77777777" w:rsidR="00711444" w:rsidRPr="004D0DAA" w:rsidRDefault="00711444" w:rsidP="00AA2A4C">
            <w:pPr>
              <w:tabs>
                <w:tab w:val="left" w:pos="851"/>
              </w:tabs>
            </w:pPr>
            <w:r w:rsidRPr="004D0DAA">
              <w:rPr>
                <w:b/>
              </w:rPr>
              <w:lastRenderedPageBreak/>
              <w:t>ENHANCED_DTM_CS_RELEASE_INDICATION</w:t>
            </w:r>
            <w:r w:rsidRPr="004D0DAA">
              <w:t xml:space="preserve"> (1 bit field)</w:t>
            </w:r>
            <w:r w:rsidRPr="004D0DAA">
              <w:br/>
              <w:t>The ENHANCED_DTM_CS_RELEASE_INDICATION parameter indicates that the network will perform a delayed release of the RR connection while the mobile station is in dual transfer mode.</w:t>
            </w:r>
          </w:p>
          <w:p w14:paraId="1FEE7280" w14:textId="77777777" w:rsidR="00711444" w:rsidRPr="004D0DAA" w:rsidRDefault="00711444" w:rsidP="00AA2A4C">
            <w:pPr>
              <w:tabs>
                <w:tab w:val="left" w:pos="851"/>
              </w:tabs>
            </w:pPr>
            <w:r w:rsidRPr="004D0DAA">
              <w:t>0</w:t>
            </w:r>
            <w:r w:rsidRPr="004D0DAA">
              <w:tab/>
              <w:t>The RR connection is not to be released.</w:t>
            </w:r>
            <w:r w:rsidRPr="004D0DAA">
              <w:br/>
              <w:t>1</w:t>
            </w:r>
            <w:r w:rsidRPr="004D0DAA">
              <w:tab/>
              <w:t>The RR connection is to be released.</w:t>
            </w:r>
          </w:p>
          <w:p w14:paraId="19AB6D8C" w14:textId="77777777" w:rsidR="00711444" w:rsidRPr="004D0DAA" w:rsidRDefault="00711444" w:rsidP="00AA2A4C">
            <w:pPr>
              <w:pStyle w:val="TAN"/>
              <w:rPr>
                <w:b/>
                <w:lang w:eastAsia="en-US"/>
              </w:rPr>
            </w:pPr>
            <w:r w:rsidRPr="004D0DAA">
              <w:rPr>
                <w:lang w:eastAsia="en-US"/>
              </w:rPr>
              <w:t>NOTE:</w:t>
            </w:r>
            <w:r w:rsidRPr="004D0DAA">
              <w:rPr>
                <w:lang w:eastAsia="en-US"/>
              </w:rPr>
              <w:tab/>
              <w:t>The network should not use value "0" if the PACKET CS RELEASE INDICATION message is used with enhanced DTM CS release procedure. In this case the mobile station shall ignore the message.</w:t>
            </w:r>
            <w:r w:rsidRPr="004D0DAA">
              <w:rPr>
                <w:lang w:eastAsia="en-US"/>
              </w:rPr>
              <w:br/>
            </w:r>
          </w:p>
        </w:tc>
      </w:tr>
      <w:tr w:rsidR="00711444" w:rsidRPr="004D0DAA" w14:paraId="467B6252" w14:textId="77777777" w:rsidTr="00AA2A4C">
        <w:tblPrEx>
          <w:tblCellMar>
            <w:top w:w="0" w:type="dxa"/>
            <w:bottom w:w="0" w:type="dxa"/>
          </w:tblCellMar>
        </w:tblPrEx>
        <w:trPr>
          <w:cantSplit/>
        </w:trPr>
        <w:tc>
          <w:tcPr>
            <w:tcW w:w="9848" w:type="dxa"/>
          </w:tcPr>
          <w:p w14:paraId="012A152F" w14:textId="77777777" w:rsidR="00711444" w:rsidRPr="004D0DAA" w:rsidRDefault="00711444" w:rsidP="00AA2A4C">
            <w:pPr>
              <w:tabs>
                <w:tab w:val="left" w:pos="851"/>
              </w:tabs>
              <w:rPr>
                <w:b/>
              </w:rPr>
            </w:pPr>
            <w:r w:rsidRPr="004D0DAA">
              <w:rPr>
                <w:b/>
              </w:rPr>
              <w:t>Global Packet Timing Advance</w:t>
            </w:r>
            <w:r w:rsidRPr="004D0DAA">
              <w:rPr>
                <w:b/>
              </w:rPr>
              <w:br/>
            </w:r>
            <w:r w:rsidRPr="004D0DAA">
              <w:t>This information element is defined in sub-clause 12.12a.</w:t>
            </w:r>
          </w:p>
        </w:tc>
      </w:tr>
      <w:tr w:rsidR="00711444" w:rsidRPr="004D0DAA" w14:paraId="7232A511" w14:textId="77777777" w:rsidTr="00AA2A4C">
        <w:tblPrEx>
          <w:tblCellMar>
            <w:top w:w="0" w:type="dxa"/>
            <w:bottom w:w="0" w:type="dxa"/>
          </w:tblCellMar>
        </w:tblPrEx>
        <w:trPr>
          <w:cantSplit/>
        </w:trPr>
        <w:tc>
          <w:tcPr>
            <w:tcW w:w="9848" w:type="dxa"/>
          </w:tcPr>
          <w:p w14:paraId="0677D11D" w14:textId="77777777" w:rsidR="00711444" w:rsidRPr="004D0DAA" w:rsidRDefault="00711444" w:rsidP="00AA2A4C">
            <w:pPr>
              <w:keepNext/>
              <w:keepLines/>
            </w:pPr>
            <w:r w:rsidRPr="004D0DAA">
              <w:rPr>
                <w:b/>
              </w:rPr>
              <w:t>CHANNEL_CODING_COMMAND</w:t>
            </w:r>
            <w:r w:rsidRPr="004D0DAA">
              <w:t xml:space="preserve"> (2 bit field)</w:t>
            </w:r>
            <w:r w:rsidRPr="004D0DAA">
              <w:br/>
              <w:t>The Channel Coding Indicator field indicates the channel coding scheme that the mobile station shall use when transmitting on the uplink.</w:t>
            </w:r>
          </w:p>
          <w:p w14:paraId="3D9E0500" w14:textId="77777777" w:rsidR="00711444" w:rsidRPr="004D0DAA" w:rsidRDefault="00711444" w:rsidP="00AA2A4C">
            <w:pPr>
              <w:tabs>
                <w:tab w:val="left" w:pos="851"/>
              </w:tabs>
              <w:rPr>
                <w:b/>
              </w:rPr>
            </w:pPr>
            <w:r w:rsidRPr="004D0DAA">
              <w:t>bit</w:t>
            </w:r>
            <w:r w:rsidRPr="004D0DAA">
              <w:br/>
              <w:t xml:space="preserve">2 1 </w:t>
            </w:r>
            <w:r w:rsidRPr="004D0DAA">
              <w:br/>
              <w:t>0 0</w:t>
            </w:r>
            <w:r w:rsidRPr="004D0DAA">
              <w:tab/>
              <w:t>CS-1</w:t>
            </w:r>
            <w:r w:rsidRPr="004D0DAA">
              <w:br/>
              <w:t>0 1</w:t>
            </w:r>
            <w:r w:rsidRPr="004D0DAA">
              <w:tab/>
              <w:t>CS-2</w:t>
            </w:r>
            <w:r w:rsidRPr="004D0DAA">
              <w:br/>
              <w:t>1 0</w:t>
            </w:r>
            <w:r w:rsidRPr="004D0DAA">
              <w:tab/>
              <w:t>CS-3</w:t>
            </w:r>
            <w:r w:rsidRPr="004D0DAA">
              <w:br/>
              <w:t>1 1</w:t>
            </w:r>
            <w:r w:rsidRPr="004D0DAA">
              <w:tab/>
              <w:t>CS-4</w:t>
            </w:r>
          </w:p>
        </w:tc>
      </w:tr>
      <w:tr w:rsidR="00711444" w:rsidRPr="004D0DAA" w14:paraId="1CB3EBB5" w14:textId="77777777" w:rsidTr="00AA2A4C">
        <w:tblPrEx>
          <w:tblCellMar>
            <w:top w:w="0" w:type="dxa"/>
            <w:bottom w:w="0" w:type="dxa"/>
          </w:tblCellMar>
        </w:tblPrEx>
        <w:trPr>
          <w:cantSplit/>
        </w:trPr>
        <w:tc>
          <w:tcPr>
            <w:tcW w:w="9848" w:type="dxa"/>
          </w:tcPr>
          <w:p w14:paraId="1BF375BD" w14:textId="77777777" w:rsidR="00711444" w:rsidRPr="004D0DAA" w:rsidRDefault="00711444" w:rsidP="00AA2A4C">
            <w:pPr>
              <w:keepNext/>
              <w:keepLines/>
            </w:pPr>
            <w:r w:rsidRPr="004D0DAA">
              <w:rPr>
                <w:b/>
              </w:rPr>
              <w:t>Frequency Parameters</w:t>
            </w:r>
            <w:r w:rsidRPr="004D0DAA">
              <w:br/>
              <w:t>This information element, if present, assigns frequency parameters to the uplink and downlink TBFs. If this information element is not present the mobile station shall use its previously assigned frequency parameters. This information element is defined in sub-clause 12.8.</w:t>
            </w:r>
          </w:p>
          <w:p w14:paraId="65F8912D" w14:textId="77777777" w:rsidR="00711444" w:rsidRPr="004D0DAA" w:rsidRDefault="00711444" w:rsidP="00AA2A4C">
            <w:r w:rsidRPr="004D0DAA">
              <w:rPr>
                <w:b/>
              </w:rPr>
              <w:t>Frequency Parameters C1, Frequency Parameters C2</w:t>
            </w:r>
            <w:r w:rsidRPr="004D0DAA">
              <w:br/>
              <w:t>These information elements assign frequency parameters to the uplink and/or downlink TBFs for carrier 1 and carrier 2, respectively. If the Frequency Parameters C1 information element is not present the mobile station shall use its previously assigned frequency parameters for carrier 1. These information elements are coded as defined in sub-clause 12.8.</w:t>
            </w:r>
          </w:p>
          <w:p w14:paraId="0BE64A0F" w14:textId="77777777" w:rsidR="00711444" w:rsidRPr="004D0DAA" w:rsidRDefault="00711444" w:rsidP="00AA2A4C">
            <w:pPr>
              <w:keepNext/>
              <w:keepLines/>
              <w:rPr>
                <w:b/>
              </w:rPr>
            </w:pPr>
            <w:r w:rsidRPr="004D0DAA">
              <w:rPr>
                <w:rFonts w:cs="Arial"/>
                <w:b/>
                <w:bCs/>
              </w:rPr>
              <w:t xml:space="preserve">Dual Carrier Frequency Parameters </w:t>
            </w:r>
            <w:r w:rsidRPr="004D0DAA">
              <w:rPr>
                <w:rFonts w:cs="Arial"/>
                <w:b/>
                <w:bCs/>
              </w:rPr>
              <w:br/>
            </w:r>
            <w:r w:rsidRPr="004D0DAA">
              <w:t>This information element, if present, assigns frequency parameters to the uplink and/or downlink TBFs for both carriers in a dual carrier configuration. This information element is defined in sub-clause 12.8.2.</w:t>
            </w:r>
          </w:p>
        </w:tc>
      </w:tr>
      <w:tr w:rsidR="00711444" w:rsidRPr="004D0DAA" w14:paraId="14AA72B8" w14:textId="77777777" w:rsidTr="00AA2A4C">
        <w:tblPrEx>
          <w:tblCellMar>
            <w:top w:w="0" w:type="dxa"/>
            <w:bottom w:w="0" w:type="dxa"/>
          </w:tblCellMar>
        </w:tblPrEx>
        <w:trPr>
          <w:cantSplit/>
        </w:trPr>
        <w:tc>
          <w:tcPr>
            <w:tcW w:w="9848" w:type="dxa"/>
          </w:tcPr>
          <w:p w14:paraId="3D663274" w14:textId="77777777" w:rsidR="00711444" w:rsidRPr="004D0DAA" w:rsidRDefault="00711444" w:rsidP="00AA2A4C">
            <w:pPr>
              <w:tabs>
                <w:tab w:val="left" w:pos="851"/>
              </w:tabs>
              <w:rPr>
                <w:b/>
              </w:rPr>
            </w:pPr>
            <w:r w:rsidRPr="004D0DAA">
              <w:rPr>
                <w:b/>
              </w:rPr>
              <w:t>Packet Extended Timing Advance</w:t>
            </w:r>
            <w:r w:rsidRPr="004D0DAA">
              <w:rPr>
                <w:rFonts w:ascii="Arial" w:hAnsi="Arial"/>
                <w:sz w:val="18"/>
              </w:rPr>
              <w:t xml:space="preserve"> </w:t>
            </w:r>
            <w:r w:rsidRPr="004D0DAA">
              <w:t>(2 bit field)</w:t>
            </w:r>
            <w:r w:rsidRPr="004D0DAA">
              <w:rPr>
                <w:b/>
              </w:rPr>
              <w:t xml:space="preserve"> </w:t>
            </w:r>
            <w:r w:rsidRPr="004D0DAA">
              <w:rPr>
                <w:b/>
              </w:rPr>
              <w:br/>
            </w:r>
            <w:r w:rsidRPr="004D0DAA">
              <w:t>This field is defined in sub-clause 12.12b.</w:t>
            </w:r>
          </w:p>
        </w:tc>
      </w:tr>
      <w:tr w:rsidR="00711444" w:rsidRPr="004D0DAA" w14:paraId="14F03F5D" w14:textId="77777777" w:rsidTr="00AA2A4C">
        <w:tblPrEx>
          <w:tblCellMar>
            <w:top w:w="0" w:type="dxa"/>
            <w:bottom w:w="0" w:type="dxa"/>
          </w:tblCellMar>
        </w:tblPrEx>
        <w:trPr>
          <w:cantSplit/>
        </w:trPr>
        <w:tc>
          <w:tcPr>
            <w:tcW w:w="9848" w:type="dxa"/>
          </w:tcPr>
          <w:p w14:paraId="69FFC9DE" w14:textId="77777777" w:rsidR="00711444" w:rsidRPr="004D0DAA" w:rsidRDefault="00711444" w:rsidP="00AA2A4C">
            <w:pPr>
              <w:tabs>
                <w:tab w:val="left" w:pos="851"/>
              </w:tabs>
              <w:rPr>
                <w:b/>
                <w:bCs/>
              </w:rPr>
            </w:pPr>
            <w:r w:rsidRPr="004D0DAA">
              <w:rPr>
                <w:b/>
              </w:rPr>
              <w:t>TIMESLOT_ALLOCATION</w:t>
            </w:r>
            <w:r w:rsidRPr="004D0DAA">
              <w:t xml:space="preserve"> (8 bit field)</w:t>
            </w:r>
            <w:r w:rsidRPr="004D0DAA">
              <w:rPr>
                <w:b/>
              </w:rPr>
              <w:br/>
            </w:r>
            <w:r w:rsidRPr="004D0DAA">
              <w:t xml:space="preserve">This field is defined in sub-clause 12.18. </w:t>
            </w:r>
          </w:p>
        </w:tc>
      </w:tr>
      <w:tr w:rsidR="00711444" w:rsidRPr="004D0DAA" w14:paraId="5E818803" w14:textId="77777777" w:rsidTr="00AA2A4C">
        <w:tblPrEx>
          <w:tblCellMar>
            <w:top w:w="0" w:type="dxa"/>
            <w:bottom w:w="0" w:type="dxa"/>
          </w:tblCellMar>
        </w:tblPrEx>
        <w:trPr>
          <w:cantSplit/>
        </w:trPr>
        <w:tc>
          <w:tcPr>
            <w:tcW w:w="9848" w:type="dxa"/>
          </w:tcPr>
          <w:p w14:paraId="5FBB93F9" w14:textId="77777777" w:rsidR="00711444" w:rsidRPr="004D0DAA" w:rsidRDefault="00711444" w:rsidP="00AA2A4C">
            <w:pPr>
              <w:spacing w:after="0"/>
              <w:rPr>
                <w:bCs/>
              </w:rPr>
            </w:pPr>
            <w:r w:rsidRPr="004D0DAA">
              <w:rPr>
                <w:b/>
                <w:bCs/>
              </w:rPr>
              <w:t xml:space="preserve">Uplink Control Timeslot </w:t>
            </w:r>
            <w:r w:rsidRPr="004D0DAA">
              <w:rPr>
                <w:bCs/>
              </w:rPr>
              <w:t>(3 bit field)</w:t>
            </w:r>
          </w:p>
          <w:p w14:paraId="3A289259" w14:textId="77777777" w:rsidR="00711444" w:rsidRPr="004D0DAA" w:rsidRDefault="00711444" w:rsidP="00AA2A4C">
            <w:pPr>
              <w:tabs>
                <w:tab w:val="left" w:pos="851"/>
              </w:tabs>
              <w:rPr>
                <w:bCs/>
              </w:rPr>
            </w:pPr>
            <w:r w:rsidRPr="004D0DAA">
              <w:t xml:space="preserve">In case of a BTTI configuration, </w:t>
            </w:r>
            <w:r w:rsidRPr="004D0DAA">
              <w:rPr>
                <w:bCs/>
              </w:rPr>
              <w:t xml:space="preserve">this field contains the timeslot number of the timeslot where the PACCH/U for the downlink TBF is located. </w:t>
            </w:r>
            <w:r w:rsidRPr="004D0DAA">
              <w:t xml:space="preserve">In case of an RTTI configuration, </w:t>
            </w:r>
            <w:r w:rsidRPr="004D0DAA">
              <w:rPr>
                <w:bCs/>
              </w:rPr>
              <w:t xml:space="preserve">this field contains the timeslot number of the timeslot </w:t>
            </w:r>
            <w:r w:rsidRPr="004D0DAA">
              <w:t xml:space="preserve">belonging to the uplink PDCH pair </w:t>
            </w:r>
            <w:r w:rsidRPr="004D0DAA">
              <w:rPr>
                <w:bCs/>
              </w:rPr>
              <w:t>where the PACCH/U for the downlink TBF is located. It is encoded as the binary representation of the timeslot number as defined in 3GPP TS 45.002.</w:t>
            </w:r>
          </w:p>
          <w:p w14:paraId="41832079" w14:textId="77777777" w:rsidR="00711444" w:rsidRPr="004D0DAA" w:rsidRDefault="00711444" w:rsidP="00AA2A4C">
            <w:pPr>
              <w:tabs>
                <w:tab w:val="left" w:pos="851"/>
              </w:tabs>
              <w:rPr>
                <w:b/>
              </w:rPr>
            </w:pPr>
            <w:r w:rsidRPr="004D0DAA">
              <w:t xml:space="preserve">If this field is included in the Multiple Downlink Assignment struct, it shall refer to all downlink TBFs assigned in the message. If this field is included in the Downlink TBF assignment struct, it refers only to the TBF given by the TFI Assignment field (this specific value overrules any default value given in the Multiple Downlink Assignment struct). If the Uplink Control Timeslot field is not included in the message at all, then the default rules for the location of PACCH/U apply. </w:t>
            </w:r>
          </w:p>
        </w:tc>
      </w:tr>
      <w:tr w:rsidR="00711444" w:rsidRPr="004D0DAA" w14:paraId="3A3448E9" w14:textId="77777777" w:rsidTr="00AA2A4C">
        <w:tblPrEx>
          <w:tblCellMar>
            <w:top w:w="0" w:type="dxa"/>
            <w:bottom w:w="0" w:type="dxa"/>
          </w:tblCellMar>
        </w:tblPrEx>
        <w:trPr>
          <w:cantSplit/>
        </w:trPr>
        <w:tc>
          <w:tcPr>
            <w:tcW w:w="9848" w:type="dxa"/>
          </w:tcPr>
          <w:p w14:paraId="2A4BD4ED" w14:textId="77777777" w:rsidR="00711444" w:rsidRPr="004D0DAA" w:rsidRDefault="00711444" w:rsidP="00AA2A4C">
            <w:pPr>
              <w:tabs>
                <w:tab w:val="left" w:pos="851"/>
              </w:tabs>
              <w:rPr>
                <w:b/>
              </w:rPr>
            </w:pPr>
            <w:r w:rsidRPr="004D0DAA">
              <w:rPr>
                <w:b/>
              </w:rPr>
              <w:t xml:space="preserve">PFI </w:t>
            </w:r>
            <w:r w:rsidRPr="004D0DAA">
              <w:rPr>
                <w:bCs/>
              </w:rPr>
              <w:t>(7 bit field)</w:t>
            </w:r>
            <w:r w:rsidRPr="004D0DAA">
              <w:rPr>
                <w:bCs/>
              </w:rPr>
              <w:br/>
            </w:r>
            <w:r w:rsidRPr="004D0DAA">
              <w:t>This field contains the PFI parameter identifying a Packet Flow Context. The PFI parameter is encoded as the contents of the PFI information element as defined in 3GPP TS 44.018. This field shall be included if and only if both the network and mobile station support multiple TBFs. If EMST is used, this field contains the PFI parameter identifying the Packet Flow Context related to the RLC entity. If EMSR is supported, this field contains the PFI parameter identifying a Packet Flow Context supported by a specific RLC entity on the uplink/downlink TBF.</w:t>
            </w:r>
          </w:p>
        </w:tc>
      </w:tr>
      <w:tr w:rsidR="00711444" w:rsidRPr="004D0DAA" w14:paraId="17757AD5" w14:textId="77777777" w:rsidTr="00AA2A4C">
        <w:tblPrEx>
          <w:tblCellMar>
            <w:top w:w="0" w:type="dxa"/>
            <w:bottom w:w="0" w:type="dxa"/>
          </w:tblCellMar>
        </w:tblPrEx>
        <w:trPr>
          <w:cantSplit/>
        </w:trPr>
        <w:tc>
          <w:tcPr>
            <w:tcW w:w="9848" w:type="dxa"/>
          </w:tcPr>
          <w:p w14:paraId="02DDF10F" w14:textId="77777777" w:rsidR="00711444" w:rsidRPr="004D0DAA" w:rsidRDefault="00711444" w:rsidP="00AA2A4C">
            <w:pPr>
              <w:tabs>
                <w:tab w:val="left" w:pos="851"/>
              </w:tabs>
              <w:rPr>
                <w:b/>
              </w:rPr>
            </w:pPr>
            <w:r w:rsidRPr="004D0DAA">
              <w:rPr>
                <w:b/>
              </w:rPr>
              <w:lastRenderedPageBreak/>
              <w:t>DOWNLINK_RLC_MODE</w:t>
            </w:r>
            <w:r w:rsidRPr="004D0DAA">
              <w:rPr>
                <w:bCs/>
              </w:rPr>
              <w:t xml:space="preserve"> (</w:t>
            </w:r>
            <w:r w:rsidRPr="004D0DAA">
              <w:t>1 bit field)</w:t>
            </w:r>
            <w:r w:rsidRPr="004D0DAA">
              <w:br/>
            </w:r>
            <w:r w:rsidRPr="004D0DAA">
              <w:rPr>
                <w:b/>
                <w:bCs/>
              </w:rPr>
              <w:t>RLC_MODE</w:t>
            </w:r>
            <w:r w:rsidRPr="004D0DAA">
              <w:t xml:space="preserve"> (1 bit field)</w:t>
            </w:r>
            <w:r w:rsidRPr="004D0DAA">
              <w:br/>
              <w:t>See sub-clause 11.2.31</w:t>
            </w:r>
            <w:r w:rsidRPr="004D0DAA">
              <w:rPr>
                <w:szCs w:val="18"/>
              </w:rPr>
              <w:t xml:space="preserve"> </w:t>
            </w:r>
            <w:r w:rsidRPr="004D0DAA">
              <w:t>(Packet Timeslot Reconfigure message).</w:t>
            </w:r>
          </w:p>
        </w:tc>
      </w:tr>
      <w:tr w:rsidR="00711444" w:rsidRPr="004D0DAA" w14:paraId="48A6ED65" w14:textId="77777777" w:rsidTr="00AA2A4C">
        <w:tblPrEx>
          <w:tblCellMar>
            <w:top w:w="0" w:type="dxa"/>
            <w:bottom w:w="0" w:type="dxa"/>
          </w:tblCellMar>
        </w:tblPrEx>
        <w:trPr>
          <w:cantSplit/>
        </w:trPr>
        <w:tc>
          <w:tcPr>
            <w:tcW w:w="9848" w:type="dxa"/>
          </w:tcPr>
          <w:p w14:paraId="10F60192" w14:textId="77777777" w:rsidR="00711444" w:rsidRPr="004D0DAA" w:rsidRDefault="00711444" w:rsidP="00AA2A4C">
            <w:pPr>
              <w:spacing w:after="0"/>
              <w:rPr>
                <w:b/>
              </w:rPr>
            </w:pPr>
            <w:r w:rsidRPr="004D0DAA">
              <w:rPr>
                <w:b/>
              </w:rPr>
              <w:t>TFI_ASSIGNMENT</w:t>
            </w:r>
            <w:r w:rsidRPr="004D0DAA">
              <w:t xml:space="preserve"> (5 bit field)</w:t>
            </w:r>
            <w:r w:rsidRPr="004D0DAA">
              <w:br/>
              <w:t>This information element assigns one (or more) TFI(s) to each TBF assigned to the mobile station in this message. This field is repeated for each TBF that is assigned in this message. Optionally, this field may be repeated for each timeslot on which the TBF has been assigned resources. TFI values are encoded as defined in sub-clause 12.15. If EMST is used, each TFI identifies an RLC entity allocated on the TBF. If EMSR is supported, each TFI identifies a Packet Flow Context supported by a specific RLC entity allocated on the uplink/downlink TBF.</w:t>
            </w:r>
          </w:p>
        </w:tc>
      </w:tr>
      <w:tr w:rsidR="00711444" w:rsidRPr="004D0DAA" w14:paraId="3885D807" w14:textId="77777777" w:rsidTr="00AA2A4C">
        <w:tblPrEx>
          <w:tblCellMar>
            <w:top w:w="0" w:type="dxa"/>
            <w:bottom w:w="0" w:type="dxa"/>
          </w:tblCellMar>
        </w:tblPrEx>
        <w:trPr>
          <w:cantSplit/>
        </w:trPr>
        <w:tc>
          <w:tcPr>
            <w:tcW w:w="9848" w:type="dxa"/>
          </w:tcPr>
          <w:p w14:paraId="46EE0DBD" w14:textId="77777777" w:rsidR="00711444" w:rsidRPr="004D0DAA" w:rsidRDefault="00711444" w:rsidP="00AA2A4C">
            <w:pPr>
              <w:spacing w:after="0"/>
            </w:pPr>
            <w:r w:rsidRPr="004D0DAA">
              <w:rPr>
                <w:b/>
              </w:rPr>
              <w:t>CONTROL_ACK</w:t>
            </w:r>
            <w:r w:rsidRPr="004D0DAA">
              <w:rPr>
                <w:bCs/>
              </w:rPr>
              <w:t xml:space="preserve"> </w:t>
            </w:r>
            <w:r w:rsidRPr="004D0DAA">
              <w:t>(1 bit field)</w:t>
            </w:r>
            <w:r w:rsidRPr="004D0DAA">
              <w:br/>
              <w:t xml:space="preserve">If multiple TBFs are supported by both network and mobile station, this field shall be set to "1" if the network wishes to instruct the mobile station to release the given TBFs for which T3192 is running. The TBFs to be released are identified by the TFIs given in the </w:t>
            </w:r>
            <w:r w:rsidRPr="004D0DAA">
              <w:rPr>
                <w:bCs/>
              </w:rPr>
              <w:t>TFI Assignment</w:t>
            </w:r>
            <w:r w:rsidRPr="004D0DAA">
              <w:t xml:space="preserve"> field and have to be valid on the PACCH on which this message was sent. Otherwise this field shall be set to "0".</w:t>
            </w:r>
          </w:p>
          <w:p w14:paraId="3591E187" w14:textId="77777777" w:rsidR="00711444" w:rsidRPr="004D0DAA" w:rsidRDefault="00711444" w:rsidP="00AA2A4C">
            <w:pPr>
              <w:spacing w:after="0"/>
              <w:rPr>
                <w:b/>
              </w:rPr>
            </w:pPr>
            <w:r w:rsidRPr="004D0DAA">
              <w:t>If either the network or the mobile station does not support the multiple TBF feature, this field shall be set to '1' if the network establishes a new downlink TBF for the mobile station whose timer T3192 is running. Otherwise this field shall be set to '0'.</w:t>
            </w:r>
          </w:p>
        </w:tc>
      </w:tr>
      <w:tr w:rsidR="00711444" w:rsidRPr="004D0DAA" w14:paraId="19CBA978" w14:textId="77777777" w:rsidTr="00AA2A4C">
        <w:tblPrEx>
          <w:tblCellMar>
            <w:top w:w="0" w:type="dxa"/>
            <w:bottom w:w="0" w:type="dxa"/>
          </w:tblCellMar>
        </w:tblPrEx>
        <w:trPr>
          <w:cantSplit/>
        </w:trPr>
        <w:tc>
          <w:tcPr>
            <w:tcW w:w="9848" w:type="dxa"/>
          </w:tcPr>
          <w:p w14:paraId="01BD522C" w14:textId="77777777" w:rsidR="00711444" w:rsidRPr="004D0DAA" w:rsidRDefault="00711444" w:rsidP="00AA2A4C">
            <w:r w:rsidRPr="004D0DAA">
              <w:rPr>
                <w:b/>
              </w:rPr>
              <w:t>EGPRS Window Size IE (Uplink EGPRS Window Size, Downlink EGPRS Window Size)</w:t>
            </w:r>
            <w:r w:rsidRPr="004D0DAA">
              <w:br/>
              <w:t>This information element is defined in sub-clause 12.5.2.</w:t>
            </w:r>
          </w:p>
          <w:p w14:paraId="57061C5A" w14:textId="77777777" w:rsidR="00711444" w:rsidRPr="004D0DAA" w:rsidRDefault="00711444" w:rsidP="00AA2A4C">
            <w:r w:rsidRPr="004D0DAA">
              <w:t xml:space="preserve">If this field is included in the main body of the message, it shall refer to all TBFs assigned in the message in the direction indicated (default value). If this field is included in the respective TBF Assignment struct (uplink or downlink), it refers only to the TBF given by the TFI Assignment (this specific value overrules the default value). Every TBF defined in EGPRS TBF mode shall be assigned either the default value or a specific value. </w:t>
            </w:r>
          </w:p>
          <w:p w14:paraId="207A95A5" w14:textId="77777777" w:rsidR="00711444" w:rsidRPr="004D0DAA" w:rsidRDefault="00711444" w:rsidP="00AA2A4C">
            <w:pPr>
              <w:spacing w:after="0"/>
              <w:rPr>
                <w:b/>
              </w:rPr>
            </w:pPr>
            <w:r w:rsidRPr="004D0DAA">
              <w:t>If this field is included in a Dual Carrier assignment, it shall specify the initial EGPRS Modulation and Coding Scheme to be used on both carriers.</w:t>
            </w:r>
          </w:p>
        </w:tc>
      </w:tr>
      <w:tr w:rsidR="00711444" w:rsidRPr="004D0DAA" w14:paraId="79805542" w14:textId="77777777" w:rsidTr="00AA2A4C">
        <w:tblPrEx>
          <w:tblCellMar>
            <w:top w:w="0" w:type="dxa"/>
            <w:bottom w:w="0" w:type="dxa"/>
          </w:tblCellMar>
        </w:tblPrEx>
        <w:trPr>
          <w:cantSplit/>
        </w:trPr>
        <w:tc>
          <w:tcPr>
            <w:tcW w:w="9848" w:type="dxa"/>
          </w:tcPr>
          <w:p w14:paraId="353121DB" w14:textId="77777777" w:rsidR="00711444" w:rsidRPr="004D0DAA" w:rsidRDefault="00711444" w:rsidP="00AA2A4C">
            <w:pPr>
              <w:spacing w:after="0"/>
            </w:pPr>
            <w:r w:rsidRPr="004D0DAA">
              <w:rPr>
                <w:b/>
              </w:rPr>
              <w:t>EGPRS Modulation and Coding Scheme IE (EGPRS Channel Coding Command)</w:t>
            </w:r>
            <w:r w:rsidRPr="004D0DAA">
              <w:br/>
              <w:t>The EGPRS modulation and coding scheme information element is defined in sub-clause 12.10d.</w:t>
            </w:r>
          </w:p>
          <w:p w14:paraId="38ECB06A" w14:textId="77777777" w:rsidR="00711444" w:rsidRPr="004D0DAA" w:rsidRDefault="00711444" w:rsidP="00AA2A4C">
            <w:pPr>
              <w:spacing w:after="0"/>
            </w:pPr>
          </w:p>
          <w:p w14:paraId="6B38B4E3" w14:textId="77777777" w:rsidR="00711444" w:rsidRPr="004D0DAA" w:rsidRDefault="00711444" w:rsidP="00AA2A4C">
            <w:pPr>
              <w:spacing w:after="0"/>
              <w:rPr>
                <w:b/>
              </w:rPr>
            </w:pPr>
            <w:r w:rsidRPr="004D0DAA">
              <w:t>If this field is included in the main body of the message, it shall refer to all EGPRS TBF mode uplink TBFs assigned in the message (default value). If this field is included in the Uplink TBF Assignment struct, it refers only to the TBF given by the TFI Assignment (this specific value overrules the default value). Every uplink TBF defined in EGPRS TBF mode shall be assigned either the default value or a specific value.</w:t>
            </w:r>
          </w:p>
        </w:tc>
      </w:tr>
      <w:tr w:rsidR="00711444" w:rsidRPr="004D0DAA" w14:paraId="6644D887" w14:textId="77777777" w:rsidTr="00AA2A4C">
        <w:tblPrEx>
          <w:tblCellMar>
            <w:top w:w="0" w:type="dxa"/>
            <w:bottom w:w="0" w:type="dxa"/>
          </w:tblCellMar>
        </w:tblPrEx>
        <w:trPr>
          <w:cantSplit/>
        </w:trPr>
        <w:tc>
          <w:tcPr>
            <w:tcW w:w="9848" w:type="dxa"/>
          </w:tcPr>
          <w:p w14:paraId="4B53BB4A" w14:textId="77777777" w:rsidR="00711444" w:rsidRPr="004D0DAA" w:rsidRDefault="00711444" w:rsidP="00AA2A4C">
            <w:pPr>
              <w:spacing w:after="0"/>
              <w:rPr>
                <w:b/>
              </w:rPr>
            </w:pPr>
            <w:r w:rsidRPr="004D0DAA">
              <w:rPr>
                <w:b/>
              </w:rPr>
              <w:t>RESEGMENT</w:t>
            </w:r>
            <w:r w:rsidRPr="004D0DAA">
              <w:rPr>
                <w:bCs/>
              </w:rPr>
              <w:t xml:space="preserve"> </w:t>
            </w:r>
            <w:r w:rsidRPr="004D0DAA">
              <w:t>(1 bit field)</w:t>
            </w:r>
            <w:r w:rsidRPr="004D0DAA">
              <w:br/>
              <w:t>This field is defined in sub-clause 12.10e.</w:t>
            </w:r>
          </w:p>
        </w:tc>
      </w:tr>
      <w:tr w:rsidR="00711444" w:rsidRPr="004D0DAA" w14:paraId="28B314A0" w14:textId="77777777" w:rsidTr="00AA2A4C">
        <w:tblPrEx>
          <w:tblCellMar>
            <w:top w:w="0" w:type="dxa"/>
            <w:bottom w:w="0" w:type="dxa"/>
          </w:tblCellMar>
        </w:tblPrEx>
        <w:trPr>
          <w:cantSplit/>
        </w:trPr>
        <w:tc>
          <w:tcPr>
            <w:tcW w:w="9848" w:type="dxa"/>
          </w:tcPr>
          <w:p w14:paraId="7A339A4A" w14:textId="77777777" w:rsidR="00711444" w:rsidRPr="004D0DAA" w:rsidRDefault="00711444" w:rsidP="00AA2A4C">
            <w:pPr>
              <w:spacing w:after="0"/>
              <w:rPr>
                <w:b/>
              </w:rPr>
            </w:pPr>
            <w:r w:rsidRPr="004D0DAA">
              <w:rPr>
                <w:b/>
              </w:rPr>
              <w:t>LINK_QUALITY_MEASUREMENT_MODE</w:t>
            </w:r>
            <w:r w:rsidRPr="004D0DAA">
              <w:t xml:space="preserve"> (2 bit field)</w:t>
            </w:r>
            <w:r w:rsidRPr="004D0DAA">
              <w:br/>
              <w:t>This field is encoded as the LINK_QUALITY_MEASUREMENT_MODE IE of the PACKET DOWNLINK ASSIGNMENT message, as defined in sub-clause 11.2.7.</w:t>
            </w:r>
          </w:p>
        </w:tc>
      </w:tr>
      <w:tr w:rsidR="00711444" w:rsidRPr="004D0DAA" w14:paraId="70164225" w14:textId="77777777" w:rsidTr="00AA2A4C">
        <w:tblPrEx>
          <w:tblCellMar>
            <w:top w:w="0" w:type="dxa"/>
            <w:bottom w:w="0" w:type="dxa"/>
          </w:tblCellMar>
        </w:tblPrEx>
        <w:trPr>
          <w:cantSplit/>
        </w:trPr>
        <w:tc>
          <w:tcPr>
            <w:tcW w:w="9848" w:type="dxa"/>
          </w:tcPr>
          <w:p w14:paraId="792B0ED2" w14:textId="77777777" w:rsidR="00711444" w:rsidRPr="004D0DAA" w:rsidRDefault="00711444" w:rsidP="00AA2A4C">
            <w:pPr>
              <w:spacing w:after="0"/>
            </w:pPr>
            <w:r w:rsidRPr="004D0DAA">
              <w:rPr>
                <w:b/>
              </w:rPr>
              <w:t>BEP_PERIOD2</w:t>
            </w:r>
            <w:r w:rsidRPr="004D0DAA">
              <w:t xml:space="preserve"> (4 bit field)</w:t>
            </w:r>
            <w:r w:rsidRPr="004D0DAA">
              <w:br/>
              <w:t>This field contains a constant which is used for filtering channel quality measurements in EGPRS. BEP_PERIOD2 when present, or if not, when received in a previous message of the same TBF session, shall be used instead of BEP_PERIOD. For details see 3GPP TS 45.008.</w:t>
            </w:r>
          </w:p>
          <w:p w14:paraId="03E4802F" w14:textId="77777777" w:rsidR="00711444" w:rsidRPr="004D0DAA" w:rsidRDefault="00711444" w:rsidP="00AA2A4C">
            <w:pPr>
              <w:spacing w:after="0"/>
              <w:rPr>
                <w:b/>
              </w:rPr>
            </w:pPr>
            <w:r w:rsidRPr="004D0DAA">
              <w:t>Range: 0 to 15</w:t>
            </w:r>
          </w:p>
        </w:tc>
      </w:tr>
      <w:tr w:rsidR="00711444" w:rsidRPr="004D0DAA" w14:paraId="300665D4" w14:textId="77777777" w:rsidTr="00AA2A4C">
        <w:tblPrEx>
          <w:tblCellMar>
            <w:top w:w="0" w:type="dxa"/>
            <w:bottom w:w="0" w:type="dxa"/>
          </w:tblCellMar>
        </w:tblPrEx>
        <w:trPr>
          <w:cantSplit/>
        </w:trPr>
        <w:tc>
          <w:tcPr>
            <w:tcW w:w="9848" w:type="dxa"/>
          </w:tcPr>
          <w:p w14:paraId="20F472B0" w14:textId="77777777" w:rsidR="00711444" w:rsidRPr="004D0DAA" w:rsidRDefault="00711444" w:rsidP="00AA2A4C">
            <w:r w:rsidRPr="004D0DAA">
              <w:rPr>
                <w:b/>
              </w:rPr>
              <w:t>EXTENDED_DYNAMIC_ALLOCATION</w:t>
            </w:r>
            <w:r w:rsidRPr="004D0DAA">
              <w:t xml:space="preserve"> (1 bit field)</w:t>
            </w:r>
            <w:r w:rsidRPr="004D0DAA">
              <w:br/>
              <w:t>This information field indicates the medium access mode to be used during the TBF.</w:t>
            </w:r>
          </w:p>
          <w:p w14:paraId="5CE09D7B" w14:textId="77777777" w:rsidR="00711444" w:rsidRPr="004D0DAA" w:rsidRDefault="00711444" w:rsidP="00AA2A4C">
            <w:pPr>
              <w:spacing w:after="0"/>
              <w:rPr>
                <w:b/>
              </w:rPr>
            </w:pPr>
            <w:r w:rsidRPr="004D0DAA">
              <w:t>0</w:t>
            </w:r>
            <w:r w:rsidRPr="004D0DAA">
              <w:tab/>
              <w:t>Dynamic Allocation</w:t>
            </w:r>
            <w:r w:rsidRPr="004D0DAA">
              <w:br/>
              <w:t>1</w:t>
            </w:r>
            <w:r w:rsidRPr="004D0DAA">
              <w:tab/>
              <w:t>Extended Dynamic Allocation</w:t>
            </w:r>
          </w:p>
        </w:tc>
      </w:tr>
      <w:tr w:rsidR="00711444" w:rsidRPr="004D0DAA" w14:paraId="627E9574" w14:textId="77777777" w:rsidTr="00AA2A4C">
        <w:tblPrEx>
          <w:tblCellMar>
            <w:top w:w="0" w:type="dxa"/>
            <w:bottom w:w="0" w:type="dxa"/>
          </w:tblCellMar>
        </w:tblPrEx>
        <w:trPr>
          <w:cantSplit/>
        </w:trPr>
        <w:tc>
          <w:tcPr>
            <w:tcW w:w="9848" w:type="dxa"/>
          </w:tcPr>
          <w:p w14:paraId="007D504F" w14:textId="77777777" w:rsidR="00711444" w:rsidRPr="004D0DAA" w:rsidRDefault="00711444" w:rsidP="00AA2A4C">
            <w:pPr>
              <w:spacing w:after="0"/>
              <w:rPr>
                <w:b/>
              </w:rPr>
            </w:pPr>
            <w:r w:rsidRPr="004D0DAA">
              <w:rPr>
                <w:b/>
              </w:rPr>
              <w:t xml:space="preserve">P0 </w:t>
            </w:r>
            <w:r w:rsidRPr="004D0DAA">
              <w:t>(4 bit field)</w:t>
            </w:r>
            <w:r w:rsidRPr="004D0DAA">
              <w:br/>
              <w:t>For description and encoding, see the Packet Uplink Assignment message. .</w:t>
            </w:r>
          </w:p>
        </w:tc>
      </w:tr>
      <w:tr w:rsidR="00711444" w:rsidRPr="004D0DAA" w14:paraId="684DCF8E" w14:textId="77777777" w:rsidTr="00AA2A4C">
        <w:tblPrEx>
          <w:tblCellMar>
            <w:top w:w="0" w:type="dxa"/>
            <w:bottom w:w="0" w:type="dxa"/>
          </w:tblCellMar>
        </w:tblPrEx>
        <w:trPr>
          <w:cantSplit/>
        </w:trPr>
        <w:tc>
          <w:tcPr>
            <w:tcW w:w="9848" w:type="dxa"/>
          </w:tcPr>
          <w:p w14:paraId="2D386A2B" w14:textId="77777777" w:rsidR="00711444" w:rsidRPr="004D0DAA" w:rsidRDefault="00711444" w:rsidP="00AA2A4C">
            <w:pPr>
              <w:spacing w:after="0"/>
              <w:rPr>
                <w:b/>
              </w:rPr>
            </w:pPr>
            <w:r w:rsidRPr="004D0DAA">
              <w:rPr>
                <w:b/>
              </w:rPr>
              <w:t>PR_MODE</w:t>
            </w:r>
            <w:r w:rsidRPr="004D0DAA">
              <w:t xml:space="preserve"> (1 bit field)</w:t>
            </w:r>
            <w:r w:rsidRPr="004D0DAA">
              <w:br/>
              <w:t>For description and encoding, see the Packet Uplink Assignment message.</w:t>
            </w:r>
          </w:p>
        </w:tc>
      </w:tr>
      <w:tr w:rsidR="00711444" w:rsidRPr="004D0DAA" w14:paraId="48DB145E" w14:textId="77777777" w:rsidTr="00AA2A4C">
        <w:tblPrEx>
          <w:tblCellMar>
            <w:top w:w="0" w:type="dxa"/>
            <w:bottom w:w="0" w:type="dxa"/>
          </w:tblCellMar>
        </w:tblPrEx>
        <w:trPr>
          <w:cantSplit/>
        </w:trPr>
        <w:tc>
          <w:tcPr>
            <w:tcW w:w="9848" w:type="dxa"/>
          </w:tcPr>
          <w:p w14:paraId="0C2075EC" w14:textId="77777777" w:rsidR="00711444" w:rsidRPr="004D0DAA" w:rsidRDefault="00711444" w:rsidP="00AA2A4C">
            <w:r w:rsidRPr="004D0DAA">
              <w:rPr>
                <w:b/>
              </w:rPr>
              <w:t xml:space="preserve">MS_TIMESLOT_ALLOCATION </w:t>
            </w:r>
            <w:r w:rsidRPr="004D0DAA">
              <w:rPr>
                <w:bCs/>
              </w:rPr>
              <w:t>(8 bit field)</w:t>
            </w:r>
            <w:r w:rsidRPr="004D0DAA">
              <w:rPr>
                <w:bCs/>
              </w:rPr>
              <w:br/>
            </w:r>
            <w:r w:rsidRPr="004D0DAA">
              <w:t>This information field indicates the timeslots assigned for use by the MS for the assigned uplink TBFs. Bit 8 indicates the status of timeslot 0, bit 7 indicates the status of timeslot 1, etc. At least one timeslot must be assigned.</w:t>
            </w:r>
          </w:p>
          <w:p w14:paraId="54589176" w14:textId="77777777" w:rsidR="00711444" w:rsidRPr="004D0DAA" w:rsidRDefault="00711444" w:rsidP="00AA2A4C">
            <w:pPr>
              <w:spacing w:after="0"/>
            </w:pPr>
            <w:r w:rsidRPr="004D0DAA">
              <w:t>0</w:t>
            </w:r>
            <w:r w:rsidRPr="004D0DAA">
              <w:tab/>
              <w:t>Timeslot is not assigned</w:t>
            </w:r>
            <w:r w:rsidRPr="004D0DAA">
              <w:br/>
              <w:t>1</w:t>
            </w:r>
            <w:r w:rsidRPr="004D0DAA">
              <w:tab/>
              <w:t xml:space="preserve">Timeslot is assigned </w:t>
            </w:r>
          </w:p>
          <w:p w14:paraId="64D13495" w14:textId="77777777" w:rsidR="00711444" w:rsidRPr="004D0DAA" w:rsidRDefault="00711444" w:rsidP="00AA2A4C">
            <w:pPr>
              <w:spacing w:after="0"/>
              <w:rPr>
                <w:b/>
              </w:rPr>
            </w:pPr>
          </w:p>
        </w:tc>
      </w:tr>
      <w:tr w:rsidR="00711444" w:rsidRPr="004D0DAA" w14:paraId="41705BEF" w14:textId="77777777" w:rsidTr="00AA2A4C">
        <w:tblPrEx>
          <w:tblCellMar>
            <w:top w:w="0" w:type="dxa"/>
            <w:bottom w:w="0" w:type="dxa"/>
          </w:tblCellMar>
        </w:tblPrEx>
        <w:trPr>
          <w:cantSplit/>
        </w:trPr>
        <w:tc>
          <w:tcPr>
            <w:tcW w:w="9848" w:type="dxa"/>
          </w:tcPr>
          <w:p w14:paraId="17A924A1" w14:textId="77777777" w:rsidR="00711444" w:rsidRPr="004D0DAA" w:rsidRDefault="00711444" w:rsidP="00AA2A4C">
            <w:r w:rsidRPr="004D0DAA">
              <w:rPr>
                <w:b/>
              </w:rPr>
              <w:lastRenderedPageBreak/>
              <w:t>ALPHA</w:t>
            </w:r>
            <w:r w:rsidRPr="004D0DAA">
              <w:t xml:space="preserve"> (4 bit field)</w:t>
            </w:r>
            <w:r w:rsidRPr="004D0DAA">
              <w:br/>
              <w:t xml:space="preserve">For encoding and description see the Global Power Control Parameters IE. </w:t>
            </w:r>
          </w:p>
          <w:p w14:paraId="4EEEFD18" w14:textId="77777777" w:rsidR="00711444" w:rsidRPr="004D0DAA" w:rsidRDefault="00711444" w:rsidP="00AA2A4C">
            <w:pPr>
              <w:spacing w:after="0"/>
              <w:rPr>
                <w:b/>
              </w:rPr>
            </w:pPr>
            <w:r w:rsidRPr="004D0DAA">
              <w:t>The usage of these fields is as specified in sub-clause 11.2.29.</w:t>
            </w:r>
          </w:p>
        </w:tc>
      </w:tr>
      <w:tr w:rsidR="00711444" w:rsidRPr="004D0DAA" w14:paraId="20414E69" w14:textId="77777777" w:rsidTr="00AA2A4C">
        <w:tblPrEx>
          <w:tblCellMar>
            <w:top w:w="0" w:type="dxa"/>
            <w:bottom w:w="0" w:type="dxa"/>
          </w:tblCellMar>
        </w:tblPrEx>
        <w:trPr>
          <w:cantSplit/>
        </w:trPr>
        <w:tc>
          <w:tcPr>
            <w:tcW w:w="9848" w:type="dxa"/>
          </w:tcPr>
          <w:p w14:paraId="0E83ADFA" w14:textId="77777777" w:rsidR="00711444" w:rsidRPr="004D0DAA" w:rsidRDefault="00711444" w:rsidP="00AA2A4C">
            <w:r w:rsidRPr="004D0DAA">
              <w:rPr>
                <w:b/>
              </w:rPr>
              <w:t>GAMMA_TN</w:t>
            </w:r>
            <w:r w:rsidRPr="004D0DAA">
              <w:t xml:space="preserve"> (5 bit field)</w:t>
            </w:r>
            <w:r w:rsidRPr="004D0DAA">
              <w:br/>
              <w:t xml:space="preserve">The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6CB6149A"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 xml:space="preserve">CH = 62 dB </w:t>
            </w:r>
            <w:r w:rsidRPr="004D0DAA">
              <w:br/>
            </w:r>
          </w:p>
        </w:tc>
      </w:tr>
      <w:tr w:rsidR="00711444" w:rsidRPr="004D0DAA" w14:paraId="352953E0" w14:textId="77777777" w:rsidTr="00AA2A4C">
        <w:tblPrEx>
          <w:tblCellMar>
            <w:top w:w="0" w:type="dxa"/>
            <w:bottom w:w="0" w:type="dxa"/>
          </w:tblCellMar>
        </w:tblPrEx>
        <w:trPr>
          <w:cantSplit/>
        </w:trPr>
        <w:tc>
          <w:tcPr>
            <w:tcW w:w="9848" w:type="dxa"/>
          </w:tcPr>
          <w:p w14:paraId="0469CC5E"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69D1EACB" w14:textId="77777777" w:rsidR="00711444" w:rsidRPr="004D0DAA" w:rsidRDefault="00711444" w:rsidP="00AA2A4C">
            <w:pPr>
              <w:spacing w:after="0"/>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2F9F12AD" w14:textId="77777777" w:rsidTr="00AA2A4C">
        <w:tblPrEx>
          <w:tblCellMar>
            <w:top w:w="0" w:type="dxa"/>
            <w:bottom w:w="0" w:type="dxa"/>
          </w:tblCellMar>
        </w:tblPrEx>
        <w:trPr>
          <w:cantSplit/>
        </w:trPr>
        <w:tc>
          <w:tcPr>
            <w:tcW w:w="9848" w:type="dxa"/>
          </w:tcPr>
          <w:p w14:paraId="0D8381F5" w14:textId="77777777" w:rsidR="00711444" w:rsidRPr="004D0DAA" w:rsidRDefault="00711444" w:rsidP="00AA2A4C">
            <w:pPr>
              <w:rPr>
                <w:bCs/>
              </w:rPr>
            </w:pPr>
            <w:r w:rsidRPr="004D0DAA">
              <w:rPr>
                <w:b/>
              </w:rPr>
              <w:t xml:space="preserve">TBF_TIMESLOT_ALLOCATION </w:t>
            </w:r>
            <w:r w:rsidRPr="004D0DAA">
              <w:rPr>
                <w:bCs/>
              </w:rPr>
              <w:t>(N bit field)</w:t>
            </w:r>
            <w:r w:rsidRPr="004D0DAA">
              <w:rPr>
                <w:bCs/>
              </w:rPr>
              <w:br/>
              <w:t>This information field indicates the timeslots assigned to a particular uplink TBF, within the timeslots assigned to the MS in the Global Timeslot description. This field contains as many bits as there are timeslots assigned to the MS in the Global Timeslot description. Bit N indicates the status of the lowest numbered timeslot in the timeslots assigned to the MS in the Global Timeslot description. Bit N-1 (if any) indicates the status of the next lowest numbered timeslot, etc. At least one timeslot must be assigned per TBF .</w:t>
            </w:r>
          </w:p>
          <w:p w14:paraId="091D55B8" w14:textId="77777777" w:rsidR="00711444" w:rsidRPr="004D0DAA" w:rsidRDefault="00711444" w:rsidP="00AA2A4C">
            <w:pPr>
              <w:rPr>
                <w:bCs/>
              </w:rPr>
            </w:pPr>
            <w:r w:rsidRPr="004D0DAA">
              <w:rPr>
                <w:bCs/>
              </w:rPr>
              <w:t xml:space="preserve">In the case of a dual carrier configuration, the timeslots indicated in the </w:t>
            </w:r>
            <w:r w:rsidRPr="004D0DAA">
              <w:rPr>
                <w:b/>
                <w:bCs/>
              </w:rPr>
              <w:t>MS_TIMESLOT_ALLOCATION_C1</w:t>
            </w:r>
            <w:r w:rsidRPr="004D0DAA">
              <w:rPr>
                <w:bCs/>
              </w:rPr>
              <w:t xml:space="preserve"> field shall be considered as lower numbered than those in the </w:t>
            </w:r>
            <w:r w:rsidRPr="004D0DAA">
              <w:rPr>
                <w:b/>
                <w:bCs/>
              </w:rPr>
              <w:t>MS_TIMESLOT_ALLOCATION_C2</w:t>
            </w:r>
            <w:r w:rsidRPr="004D0DAA">
              <w:rPr>
                <w:bCs/>
              </w:rPr>
              <w:t xml:space="preserve"> field</w:t>
            </w:r>
            <w:r w:rsidRPr="004D0DAA">
              <w:rPr>
                <w:b/>
                <w:bCs/>
              </w:rPr>
              <w:t>.</w:t>
            </w:r>
          </w:p>
          <w:p w14:paraId="456E32C9" w14:textId="77777777" w:rsidR="00711444" w:rsidRPr="004D0DAA" w:rsidRDefault="00711444" w:rsidP="00AA2A4C">
            <w:pPr>
              <w:spacing w:after="0"/>
              <w:rPr>
                <w:b/>
              </w:rPr>
            </w:pPr>
            <w:r w:rsidRPr="004D0DAA">
              <w:rPr>
                <w:bCs/>
              </w:rPr>
              <w:t>0</w:t>
            </w:r>
            <w:r w:rsidRPr="004D0DAA">
              <w:rPr>
                <w:bCs/>
              </w:rPr>
              <w:tab/>
              <w:t>Timeslot is not assigned</w:t>
            </w:r>
            <w:r w:rsidRPr="004D0DAA">
              <w:rPr>
                <w:bCs/>
              </w:rPr>
              <w:br/>
              <w:t>1</w:t>
            </w:r>
            <w:r w:rsidRPr="004D0DAA">
              <w:rPr>
                <w:bCs/>
              </w:rPr>
              <w:tab/>
              <w:t>Timeslot is assigned</w:t>
            </w:r>
          </w:p>
        </w:tc>
      </w:tr>
      <w:tr w:rsidR="00711444" w:rsidRPr="004D0DAA" w14:paraId="5A751E19" w14:textId="77777777" w:rsidTr="00AA2A4C">
        <w:tblPrEx>
          <w:tblCellMar>
            <w:top w:w="0" w:type="dxa"/>
            <w:bottom w:w="0" w:type="dxa"/>
          </w:tblCellMar>
        </w:tblPrEx>
        <w:trPr>
          <w:cantSplit/>
        </w:trPr>
        <w:tc>
          <w:tcPr>
            <w:tcW w:w="9848" w:type="dxa"/>
          </w:tcPr>
          <w:p w14:paraId="049C3F88" w14:textId="77777777" w:rsidR="00711444" w:rsidRPr="004D0DAA" w:rsidRDefault="00711444" w:rsidP="00AA2A4C">
            <w:r w:rsidRPr="004D0DAA">
              <w:rPr>
                <w:b/>
              </w:rPr>
              <w:t>USF_ALLOCATION</w:t>
            </w:r>
            <w:r w:rsidRPr="004D0DAA">
              <w:t xml:space="preserve"> (3 bit field)</w:t>
            </w:r>
            <w:r w:rsidRPr="004D0DAA">
              <w:br/>
              <w:t xml:space="preserve">This field indicates the USF value assigned to the MS for one or more assigned timeslots. This field is encoded as a binary presentation of the USF value as defined in sub-clause 10.4.1. </w:t>
            </w:r>
          </w:p>
          <w:p w14:paraId="793DFF39" w14:textId="77777777" w:rsidR="00711444" w:rsidRPr="004D0DAA" w:rsidRDefault="00711444" w:rsidP="00AA2A4C">
            <w:pPr>
              <w:spacing w:after="0"/>
              <w:rPr>
                <w:b/>
              </w:rPr>
            </w:pPr>
          </w:p>
        </w:tc>
      </w:tr>
      <w:tr w:rsidR="00711444" w:rsidRPr="004D0DAA" w14:paraId="32860610" w14:textId="77777777" w:rsidTr="00AA2A4C">
        <w:tblPrEx>
          <w:tblCellMar>
            <w:top w:w="0" w:type="dxa"/>
            <w:bottom w:w="0" w:type="dxa"/>
          </w:tblCellMar>
        </w:tblPrEx>
        <w:trPr>
          <w:cantSplit/>
        </w:trPr>
        <w:tc>
          <w:tcPr>
            <w:tcW w:w="9848" w:type="dxa"/>
          </w:tcPr>
          <w:p w14:paraId="5A10909A" w14:textId="77777777" w:rsidR="00711444" w:rsidRPr="004D0DAA" w:rsidRDefault="00711444" w:rsidP="00AA2A4C">
            <w:r w:rsidRPr="004D0DAA">
              <w:rPr>
                <w:b/>
              </w:rPr>
              <w:t>Assignment Type</w:t>
            </w:r>
            <w:r w:rsidRPr="004D0DAA">
              <w:t xml:space="preserve"> (2 bit field)</w:t>
            </w:r>
          </w:p>
          <w:p w14:paraId="488856E3" w14:textId="77777777" w:rsidR="00711444" w:rsidRPr="004D0DAA" w:rsidRDefault="00711444" w:rsidP="00AA2A4C">
            <w:pPr>
              <w:spacing w:after="0"/>
              <w:rPr>
                <w:rFonts w:eastAsia="MS Mincho"/>
                <w:lang w:eastAsia="ja-JP"/>
              </w:rPr>
            </w:pPr>
            <w:r w:rsidRPr="004D0DAA">
              <w:t>This field is defined in sub-clause 11.2.7.</w:t>
            </w:r>
          </w:p>
          <w:p w14:paraId="317A0E5E" w14:textId="77777777" w:rsidR="00711444" w:rsidRPr="004D0DAA" w:rsidRDefault="00711444" w:rsidP="00AA2A4C">
            <w:pPr>
              <w:rPr>
                <w:rFonts w:eastAsia="MS Mincho"/>
                <w:lang w:eastAsia="ja-JP"/>
              </w:rPr>
            </w:pPr>
          </w:p>
        </w:tc>
      </w:tr>
      <w:tr w:rsidR="00711444" w:rsidRPr="004D0DAA" w14:paraId="564C51BE" w14:textId="77777777" w:rsidTr="00AA2A4C">
        <w:tblPrEx>
          <w:tblCellMar>
            <w:top w:w="0" w:type="dxa"/>
            <w:bottom w:w="0" w:type="dxa"/>
          </w:tblCellMar>
        </w:tblPrEx>
        <w:trPr>
          <w:cantSplit/>
        </w:trPr>
        <w:tc>
          <w:tcPr>
            <w:tcW w:w="9848" w:type="dxa"/>
          </w:tcPr>
          <w:p w14:paraId="5AA36C74" w14:textId="77777777" w:rsidR="00711444" w:rsidRPr="004D0DAA" w:rsidRDefault="00711444" w:rsidP="00AA2A4C">
            <w:pPr>
              <w:spacing w:after="240"/>
            </w:pPr>
            <w:r w:rsidRPr="004D0DAA">
              <w:rPr>
                <w:b/>
              </w:rPr>
              <w:t>Carrier ID</w:t>
            </w:r>
            <w:r w:rsidRPr="004D0DAA">
              <w:t xml:space="preserve"> (1 bit field)</w:t>
            </w:r>
            <w:r w:rsidRPr="004D0DAA">
              <w:br/>
              <w:t>This identifies the carrier to which the description refers.</w:t>
            </w:r>
          </w:p>
          <w:p w14:paraId="4A847369" w14:textId="77777777" w:rsidR="00711444" w:rsidRPr="004D0DAA" w:rsidRDefault="00711444" w:rsidP="00AA2A4C">
            <w:pPr>
              <w:spacing w:after="0"/>
            </w:pPr>
            <w:r w:rsidRPr="004D0DAA">
              <w:t>0</w:t>
            </w:r>
            <w:r w:rsidRPr="004D0DAA">
              <w:tab/>
              <w:t>Carrier 1</w:t>
            </w:r>
            <w:r w:rsidRPr="004D0DAA">
              <w:br/>
              <w:t>1</w:t>
            </w:r>
            <w:r w:rsidRPr="004D0DAA">
              <w:tab/>
              <w:t>Carrier 2</w:t>
            </w:r>
          </w:p>
        </w:tc>
      </w:tr>
      <w:tr w:rsidR="00711444" w:rsidRPr="004D0DAA" w14:paraId="19B3E657" w14:textId="77777777" w:rsidTr="00AA2A4C">
        <w:tblPrEx>
          <w:tblCellMar>
            <w:top w:w="0" w:type="dxa"/>
            <w:bottom w:w="0" w:type="dxa"/>
          </w:tblCellMar>
        </w:tblPrEx>
        <w:trPr>
          <w:cantSplit/>
        </w:trPr>
        <w:tc>
          <w:tcPr>
            <w:tcW w:w="9848" w:type="dxa"/>
          </w:tcPr>
          <w:p w14:paraId="48E8D49E"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27318F23" w14:textId="77777777" w:rsidR="00711444" w:rsidRPr="004D0DAA" w:rsidRDefault="00711444" w:rsidP="00AA2A4C">
            <w:pPr>
              <w:spacing w:after="0"/>
            </w:pPr>
            <w:r w:rsidRPr="004D0DAA">
              <w:t>This field contains the NPM Transfer Time limitation for TBF or RLC entity assigned to operate in RLC non-persistent mode. If EMSR is supported this field contains the NPM Transfer Time limitation for a specific Packet Flow Context configured to use RLC non-persistent mode.</w:t>
            </w:r>
          </w:p>
          <w:p w14:paraId="334CEE1C" w14:textId="77777777" w:rsidR="00711444" w:rsidRPr="004D0DAA" w:rsidRDefault="00711444" w:rsidP="00AA2A4C">
            <w:pPr>
              <w:spacing w:after="0"/>
            </w:pPr>
          </w:p>
          <w:p w14:paraId="29576B16" w14:textId="77777777" w:rsidR="00711444" w:rsidRPr="004D0DAA" w:rsidRDefault="00711444" w:rsidP="00AA2A4C">
            <w:pPr>
              <w:spacing w:after="0"/>
            </w:pPr>
            <w:r w:rsidRPr="004D0DAA">
              <w:t>The list of NPM Transfer Time IEs in the Rel-7 additions is ordered as described by the loops in the earlier releases part. </w:t>
            </w:r>
          </w:p>
        </w:tc>
      </w:tr>
      <w:tr w:rsidR="00711444" w:rsidRPr="004D0DAA" w14:paraId="7DA78C68"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259845B0" w14:textId="77777777" w:rsidR="00711444" w:rsidRPr="004D0DAA" w:rsidRDefault="00711444" w:rsidP="00AA2A4C">
            <w:pPr>
              <w:spacing w:after="0"/>
              <w:rPr>
                <w:b/>
              </w:rPr>
            </w:pPr>
            <w:r w:rsidRPr="004D0DAA">
              <w:rPr>
                <w:b/>
              </w:rPr>
              <w:t>EGPRS mode 2 IE</w:t>
            </w:r>
          </w:p>
          <w:p w14:paraId="5DB63F9C" w14:textId="77777777" w:rsidR="00711444" w:rsidRPr="004D0DAA" w:rsidRDefault="00711444" w:rsidP="00AA2A4C">
            <w:pPr>
              <w:spacing w:after="0"/>
            </w:pPr>
            <w:r w:rsidRPr="004D0DAA">
              <w:t>This information element is defined in sub-clause 12.48a.1.</w:t>
            </w:r>
          </w:p>
          <w:p w14:paraId="33B3393C" w14:textId="77777777" w:rsidR="00711444" w:rsidRPr="004D0DAA" w:rsidRDefault="00711444" w:rsidP="00AA2A4C">
            <w:pPr>
              <w:spacing w:after="0"/>
            </w:pPr>
          </w:p>
        </w:tc>
      </w:tr>
      <w:tr w:rsidR="00711444" w:rsidRPr="004D0DAA" w14:paraId="27F7988F" w14:textId="77777777" w:rsidTr="00AA2A4C">
        <w:tblPrEx>
          <w:tblCellMar>
            <w:top w:w="0" w:type="dxa"/>
            <w:bottom w:w="0" w:type="dxa"/>
          </w:tblCellMar>
        </w:tblPrEx>
        <w:trPr>
          <w:cantSplit/>
          <w:trHeight w:val="113"/>
        </w:trPr>
        <w:tc>
          <w:tcPr>
            <w:tcW w:w="9848" w:type="dxa"/>
            <w:shd w:val="clear" w:color="auto" w:fill="auto"/>
          </w:tcPr>
          <w:p w14:paraId="1FC27B47" w14:textId="77777777" w:rsidR="00711444" w:rsidRPr="004D0DAA" w:rsidRDefault="00711444" w:rsidP="00AA2A4C">
            <w:pPr>
              <w:spacing w:after="0"/>
              <w:rPr>
                <w:b/>
              </w:rPr>
            </w:pPr>
            <w:r w:rsidRPr="004D0DAA">
              <w:rPr>
                <w:b/>
              </w:rPr>
              <w:t>Enhanced Flexible Timeslot Assignment</w:t>
            </w:r>
            <w:r w:rsidRPr="004D0DAA">
              <w:t xml:space="preserve"> (1 bit field)</w:t>
            </w:r>
          </w:p>
          <w:p w14:paraId="03001243" w14:textId="77777777" w:rsidR="00711444" w:rsidRPr="004D0DAA" w:rsidRDefault="00711444" w:rsidP="00AA2A4C">
            <w:pPr>
              <w:spacing w:after="0"/>
            </w:pPr>
            <w:r w:rsidRPr="004D0DAA">
              <w:t>See sub-clause 11.2.29 (Packet Uplink Assignment message).</w:t>
            </w:r>
          </w:p>
          <w:p w14:paraId="34C9420C" w14:textId="77777777" w:rsidR="00711444" w:rsidRPr="004D0DAA" w:rsidRDefault="00711444" w:rsidP="00AA2A4C">
            <w:pPr>
              <w:spacing w:after="0"/>
              <w:rPr>
                <w:b/>
              </w:rPr>
            </w:pPr>
          </w:p>
        </w:tc>
      </w:tr>
      <w:tr w:rsidR="00711444" w:rsidRPr="004D0DAA" w14:paraId="6C07C9BF" w14:textId="77777777" w:rsidTr="00AA2A4C">
        <w:tblPrEx>
          <w:tblCellMar>
            <w:top w:w="0" w:type="dxa"/>
            <w:bottom w:w="0" w:type="dxa"/>
          </w:tblCellMar>
        </w:tblPrEx>
        <w:trPr>
          <w:cantSplit/>
          <w:trHeight w:val="113"/>
        </w:trPr>
        <w:tc>
          <w:tcPr>
            <w:tcW w:w="9848" w:type="dxa"/>
            <w:shd w:val="clear" w:color="auto" w:fill="auto"/>
          </w:tcPr>
          <w:p w14:paraId="60A47A64" w14:textId="77777777" w:rsidR="00711444" w:rsidRPr="004D0DAA" w:rsidRDefault="00711444" w:rsidP="00AA2A4C">
            <w:pPr>
              <w:spacing w:after="0"/>
              <w:rPr>
                <w:b/>
                <w:bCs/>
              </w:rPr>
            </w:pPr>
            <w:r w:rsidRPr="004D0DAA">
              <w:rPr>
                <w:b/>
                <w:bCs/>
              </w:rPr>
              <w:lastRenderedPageBreak/>
              <w:t>EMSR Additional PFCs 1</w:t>
            </w:r>
          </w:p>
          <w:p w14:paraId="20F8435E" w14:textId="77777777" w:rsidR="00711444" w:rsidRPr="004D0DAA" w:rsidRDefault="00711444" w:rsidP="00AA2A4C">
            <w:pPr>
              <w:spacing w:after="0"/>
              <w:rPr>
                <w:b/>
                <w:bCs/>
              </w:rPr>
            </w:pPr>
            <w:r w:rsidRPr="004D0DAA">
              <w:rPr>
                <w:b/>
                <w:bCs/>
              </w:rPr>
              <w:t>EMSR Additional PFCs 2</w:t>
            </w:r>
          </w:p>
          <w:p w14:paraId="6F3D3C58" w14:textId="77777777" w:rsidR="00711444" w:rsidRPr="004D0DAA" w:rsidRDefault="00711444" w:rsidP="00AA2A4C">
            <w:pPr>
              <w:spacing w:after="0"/>
              <w:rPr>
                <w:b/>
                <w:bCs/>
              </w:rPr>
            </w:pPr>
            <w:r w:rsidRPr="004D0DAA">
              <w:rPr>
                <w:b/>
                <w:bCs/>
              </w:rPr>
              <w:t>EMSR Additional PFCs 3</w:t>
            </w:r>
          </w:p>
          <w:p w14:paraId="1B40FBF3" w14:textId="77777777" w:rsidR="00711444" w:rsidRPr="004D0DAA" w:rsidRDefault="00711444" w:rsidP="00AA2A4C">
            <w:pPr>
              <w:spacing w:after="0"/>
            </w:pPr>
            <w:r w:rsidRPr="004D0DAA">
              <w:t>See sub-clause 11.2.7 (Packet Downlink Assignment message).</w:t>
            </w:r>
          </w:p>
          <w:p w14:paraId="270E560C" w14:textId="77777777" w:rsidR="00711444" w:rsidRPr="004D0DAA" w:rsidRDefault="00711444" w:rsidP="00AA2A4C">
            <w:pPr>
              <w:spacing w:after="0"/>
              <w:rPr>
                <w:b/>
              </w:rPr>
            </w:pPr>
          </w:p>
        </w:tc>
      </w:tr>
      <w:tr w:rsidR="00711444" w:rsidRPr="004D0DAA" w14:paraId="31F3A8F9" w14:textId="77777777" w:rsidTr="00AA2A4C">
        <w:tblPrEx>
          <w:tblCellMar>
            <w:top w:w="0" w:type="dxa"/>
            <w:bottom w:w="0" w:type="dxa"/>
          </w:tblCellMar>
        </w:tblPrEx>
        <w:trPr>
          <w:cantSplit/>
          <w:trHeight w:val="113"/>
        </w:trPr>
        <w:tc>
          <w:tcPr>
            <w:tcW w:w="9848" w:type="dxa"/>
            <w:shd w:val="clear" w:color="auto" w:fill="auto"/>
          </w:tcPr>
          <w:p w14:paraId="01D397DB" w14:textId="77777777" w:rsidR="00711444" w:rsidRPr="004D0DAA" w:rsidRDefault="00711444" w:rsidP="00AA2A4C">
            <w:pPr>
              <w:spacing w:after="0"/>
              <w:rPr>
                <w:b/>
              </w:rPr>
            </w:pPr>
            <w:r w:rsidRPr="004D0DAA">
              <w:rPr>
                <w:b/>
              </w:rPr>
              <w:t xml:space="preserve">EGPRS Packet Downlink Ack/Nack Type 3 Support </w:t>
            </w:r>
            <w:r w:rsidRPr="004D0DAA">
              <w:t>(1 bit field)</w:t>
            </w:r>
          </w:p>
          <w:p w14:paraId="2D755C97" w14:textId="77777777" w:rsidR="00711444" w:rsidRPr="004D0DAA" w:rsidRDefault="00711444" w:rsidP="00AA2A4C">
            <w:pPr>
              <w:spacing w:after="0"/>
              <w:rPr>
                <w:b/>
                <w:bCs/>
              </w:rPr>
            </w:pPr>
            <w:r w:rsidRPr="004D0DAA">
              <w:t>See sub-clause 11.2.7 (Packet Downlink Assignment message).</w:t>
            </w:r>
          </w:p>
          <w:p w14:paraId="0A6DD0E5" w14:textId="77777777" w:rsidR="00711444" w:rsidRPr="004D0DAA" w:rsidRDefault="00711444" w:rsidP="00AA2A4C">
            <w:pPr>
              <w:spacing w:after="0"/>
              <w:rPr>
                <w:b/>
                <w:bCs/>
              </w:rPr>
            </w:pPr>
          </w:p>
        </w:tc>
      </w:tr>
      <w:tr w:rsidR="00711444" w:rsidRPr="004D0DAA" w14:paraId="4BE43298" w14:textId="77777777" w:rsidTr="00AA2A4C">
        <w:tblPrEx>
          <w:tblCellMar>
            <w:top w:w="0" w:type="dxa"/>
            <w:bottom w:w="0" w:type="dxa"/>
          </w:tblCellMar>
        </w:tblPrEx>
        <w:trPr>
          <w:cantSplit/>
          <w:trHeight w:val="113"/>
        </w:trPr>
        <w:tc>
          <w:tcPr>
            <w:tcW w:w="9848" w:type="dxa"/>
            <w:shd w:val="clear" w:color="auto" w:fill="auto"/>
          </w:tcPr>
          <w:p w14:paraId="6BA632BE" w14:textId="77777777" w:rsidR="00711444" w:rsidRPr="004D0DAA" w:rsidRDefault="00711444" w:rsidP="00AA2A4C">
            <w:pPr>
              <w:spacing w:after="0"/>
            </w:pPr>
            <w:r w:rsidRPr="004D0DAA">
              <w:rPr>
                <w:b/>
              </w:rPr>
              <w:t xml:space="preserve">Primary TSC Set </w:t>
            </w:r>
            <w:r w:rsidRPr="004D0DAA">
              <w:t>(1 bit field)</w:t>
            </w:r>
          </w:p>
          <w:p w14:paraId="61F59E81" w14:textId="77777777" w:rsidR="00711444" w:rsidRPr="004D0DAA" w:rsidRDefault="00711444" w:rsidP="00AA2A4C">
            <w:pPr>
              <w:spacing w:after="0"/>
            </w:pPr>
            <w:r w:rsidRPr="004D0DAA">
              <w:t>See sub-clause 11.2.7 and 11.2.29.</w:t>
            </w:r>
          </w:p>
          <w:p w14:paraId="26CEA1E4" w14:textId="77777777" w:rsidR="00711444" w:rsidRPr="004D0DAA" w:rsidRDefault="00711444" w:rsidP="00AA2A4C">
            <w:pPr>
              <w:spacing w:after="0"/>
            </w:pPr>
          </w:p>
          <w:p w14:paraId="6025784D" w14:textId="77777777" w:rsidR="00711444" w:rsidRPr="004D0DAA" w:rsidRDefault="00711444" w:rsidP="00AA2A4C">
            <w:pPr>
              <w:spacing w:after="0"/>
              <w:rPr>
                <w:b/>
              </w:rPr>
            </w:pPr>
            <w:r w:rsidRPr="004D0DAA">
              <w:rPr>
                <w:b/>
              </w:rPr>
              <w:t xml:space="preserve">Secondary DL TSC Set </w:t>
            </w:r>
            <w:r w:rsidRPr="004D0DAA">
              <w:t>(1 bit field)</w:t>
            </w:r>
          </w:p>
          <w:p w14:paraId="1884FEF6" w14:textId="77777777" w:rsidR="00711444" w:rsidRPr="004D0DAA" w:rsidRDefault="00711444" w:rsidP="00AA2A4C">
            <w:pPr>
              <w:spacing w:after="0"/>
            </w:pPr>
            <w:r w:rsidRPr="004D0DAA">
              <w:t>See sub-clause 11.2.7.</w:t>
            </w:r>
          </w:p>
          <w:p w14:paraId="4135E6CE" w14:textId="77777777" w:rsidR="00711444" w:rsidRPr="004D0DAA" w:rsidRDefault="00711444" w:rsidP="00AA2A4C">
            <w:pPr>
              <w:spacing w:after="0"/>
              <w:rPr>
                <w:b/>
              </w:rPr>
            </w:pPr>
          </w:p>
        </w:tc>
      </w:tr>
      <w:tr w:rsidR="00711444" w:rsidRPr="004D0DAA" w14:paraId="61E0260B" w14:textId="77777777" w:rsidTr="00AA2A4C">
        <w:tblPrEx>
          <w:tblCellMar>
            <w:top w:w="0" w:type="dxa"/>
            <w:bottom w:w="0" w:type="dxa"/>
          </w:tblCellMar>
        </w:tblPrEx>
        <w:trPr>
          <w:cantSplit/>
          <w:trHeight w:val="113"/>
        </w:trPr>
        <w:tc>
          <w:tcPr>
            <w:tcW w:w="9848" w:type="dxa"/>
            <w:shd w:val="clear" w:color="auto" w:fill="auto"/>
          </w:tcPr>
          <w:p w14:paraId="0C75CF2F" w14:textId="77777777" w:rsidR="00711444" w:rsidRPr="004D0DAA" w:rsidRDefault="00711444" w:rsidP="00AA2A4C">
            <w:pPr>
              <w:spacing w:after="0"/>
              <w:rPr>
                <w:b/>
              </w:rPr>
            </w:pPr>
            <w:r w:rsidRPr="004D0DAA">
              <w:rPr>
                <w:b/>
              </w:rPr>
              <w:t xml:space="preserve">Secondary DL TSC Value </w:t>
            </w:r>
            <w:r w:rsidRPr="004D0DAA">
              <w:t>(3 bit field)</w:t>
            </w:r>
          </w:p>
          <w:p w14:paraId="1E99E903" w14:textId="77777777" w:rsidR="00711444" w:rsidRPr="004D0DAA" w:rsidRDefault="00711444" w:rsidP="00AA2A4C">
            <w:pPr>
              <w:spacing w:after="0"/>
            </w:pPr>
            <w:r w:rsidRPr="004D0DAA">
              <w:t>See sub-clause 11.2.7.</w:t>
            </w:r>
          </w:p>
          <w:p w14:paraId="118CCEA4" w14:textId="77777777" w:rsidR="00711444" w:rsidRPr="004D0DAA" w:rsidRDefault="00711444" w:rsidP="00AA2A4C">
            <w:pPr>
              <w:spacing w:after="0"/>
              <w:rPr>
                <w:b/>
              </w:rPr>
            </w:pPr>
          </w:p>
        </w:tc>
      </w:tr>
    </w:tbl>
    <w:p w14:paraId="6F20643C" w14:textId="77777777" w:rsidR="00711444" w:rsidRPr="004D0DAA" w:rsidRDefault="00711444" w:rsidP="00711444"/>
    <w:p w14:paraId="48B255BF" w14:textId="77777777" w:rsidR="00711444" w:rsidRPr="004D0DAA" w:rsidRDefault="00711444" w:rsidP="00711444">
      <w:pPr>
        <w:pStyle w:val="Heading3"/>
      </w:pPr>
      <w:bookmarkStart w:id="727" w:name="_Toc516669903"/>
      <w:r w:rsidRPr="004D0DAA">
        <w:t>11.2.38</w:t>
      </w:r>
      <w:r w:rsidRPr="004D0DAA">
        <w:tab/>
        <w:t>MBMS Service Request</w:t>
      </w:r>
      <w:bookmarkEnd w:id="727"/>
    </w:p>
    <w:p w14:paraId="7C905547" w14:textId="77777777" w:rsidR="00711444" w:rsidRPr="004D0DAA" w:rsidRDefault="00711444" w:rsidP="00711444">
      <w:pPr>
        <w:outlineLvl w:val="0"/>
      </w:pPr>
      <w:r w:rsidRPr="004D0DAA">
        <w:t>This message is sent on the PACCH from a mobile station to the network in order to inform about the interest in an MBMS session.</w:t>
      </w:r>
    </w:p>
    <w:p w14:paraId="48247D47" w14:textId="77777777" w:rsidR="00711444" w:rsidRPr="004D0DAA" w:rsidRDefault="00711444" w:rsidP="00711444">
      <w:pPr>
        <w:pStyle w:val="EX"/>
      </w:pPr>
      <w:r w:rsidRPr="004D0DAA">
        <w:t>Message type:</w:t>
      </w:r>
      <w:r w:rsidRPr="004D0DAA">
        <w:tab/>
        <w:t>MBMS SERVICE REQUEST</w:t>
      </w:r>
    </w:p>
    <w:p w14:paraId="3AE6E9A1" w14:textId="77777777" w:rsidR="00711444" w:rsidRPr="004D0DAA" w:rsidRDefault="00711444" w:rsidP="00711444">
      <w:pPr>
        <w:pStyle w:val="EX"/>
      </w:pPr>
      <w:r w:rsidRPr="004D0DAA">
        <w:t>Direction:</w:t>
      </w:r>
      <w:r w:rsidRPr="004D0DAA">
        <w:tab/>
        <w:t>mobile station to network</w:t>
      </w:r>
    </w:p>
    <w:p w14:paraId="479DA15A" w14:textId="77777777" w:rsidR="00711444" w:rsidRPr="004D0DAA" w:rsidRDefault="00711444" w:rsidP="00711444">
      <w:pPr>
        <w:pStyle w:val="TH"/>
        <w:outlineLvl w:val="0"/>
      </w:pPr>
      <w:r w:rsidRPr="004D0DAA">
        <w:t>Table 11.2.38.1: MBMS SERVICE REQUEST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F33B547" w14:textId="77777777" w:rsidTr="00AA2A4C">
        <w:tblPrEx>
          <w:tblCellMar>
            <w:top w:w="0" w:type="dxa"/>
            <w:bottom w:w="0" w:type="dxa"/>
          </w:tblCellMar>
        </w:tblPrEx>
        <w:trPr>
          <w:cantSplit/>
        </w:trPr>
        <w:tc>
          <w:tcPr>
            <w:tcW w:w="9848" w:type="dxa"/>
          </w:tcPr>
          <w:p w14:paraId="0543C7B3" w14:textId="77777777" w:rsidR="00711444" w:rsidRPr="004D0DAA" w:rsidRDefault="00711444" w:rsidP="00AA2A4C">
            <w:pPr>
              <w:pStyle w:val="TAL"/>
              <w:rPr>
                <w:lang w:val="fr-FR" w:eastAsia="en-US"/>
              </w:rPr>
            </w:pPr>
            <w:r w:rsidRPr="004D0DAA">
              <w:rPr>
                <w:lang w:val="fr-FR" w:eastAsia="en-US"/>
              </w:rPr>
              <w:t>&lt; MBMS service request message content &gt; ::=</w:t>
            </w:r>
          </w:p>
          <w:p w14:paraId="1450D4E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TLLI</w:t>
            </w:r>
            <w:r w:rsidRPr="004D0DAA">
              <w:rPr>
                <w:lang w:eastAsia="en-US"/>
              </w:rPr>
              <w:t xml:space="preserve"> : bit (32) &gt;</w:t>
            </w:r>
          </w:p>
          <w:p w14:paraId="7C036DB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TMGI</w:t>
            </w:r>
            <w:r w:rsidRPr="004D0DAA">
              <w:rPr>
                <w:lang w:eastAsia="en-US"/>
              </w:rPr>
              <w:t xml:space="preserve"> : &lt; TMGI struct &gt; &gt;</w:t>
            </w:r>
          </w:p>
          <w:p w14:paraId="2A94E53E"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MBMS Session Identity</w:t>
            </w:r>
            <w:r w:rsidRPr="004D0DAA">
              <w:rPr>
                <w:lang w:eastAsia="en-US"/>
              </w:rPr>
              <w:t xml:space="preserve"> : bit (8) &gt; }</w:t>
            </w:r>
          </w:p>
          <w:p w14:paraId="2D2B34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MS_ID Request Indication</w:t>
            </w:r>
            <w:r w:rsidRPr="004D0DAA">
              <w:rPr>
                <w:lang w:eastAsia="en-US"/>
              </w:rPr>
              <w:t xml:space="preserve"> : bit (1) &gt;</w:t>
            </w:r>
          </w:p>
          <w:p w14:paraId="6D85DB5C" w14:textId="77777777" w:rsidR="00711444" w:rsidRPr="004D0DAA" w:rsidRDefault="00711444" w:rsidP="00AA2A4C">
            <w:pPr>
              <w:pStyle w:val="TAL"/>
              <w:rPr>
                <w:lang w:eastAsia="en-US"/>
              </w:rPr>
            </w:pPr>
            <w:r w:rsidRPr="004D0DAA">
              <w:rPr>
                <w:lang w:eastAsia="en-US"/>
              </w:rPr>
              <w:tab/>
              <w:t>&lt; padding bits &gt; ;</w:t>
            </w:r>
          </w:p>
          <w:p w14:paraId="433D3C00" w14:textId="77777777" w:rsidR="00711444" w:rsidRPr="004D0DAA" w:rsidRDefault="00711444" w:rsidP="00AA2A4C">
            <w:pPr>
              <w:pStyle w:val="TAL"/>
              <w:rPr>
                <w:lang w:eastAsia="en-US"/>
              </w:rPr>
            </w:pPr>
          </w:p>
        </w:tc>
      </w:tr>
    </w:tbl>
    <w:p w14:paraId="1DBE2023" w14:textId="77777777" w:rsidR="00711444" w:rsidRPr="004D0DAA" w:rsidRDefault="00711444" w:rsidP="00711444">
      <w:pPr>
        <w:rPr>
          <w:sz w:val="24"/>
        </w:rPr>
      </w:pPr>
    </w:p>
    <w:p w14:paraId="21E3B329" w14:textId="77777777" w:rsidR="00711444" w:rsidRPr="004D0DAA" w:rsidRDefault="00711444" w:rsidP="00711444">
      <w:pPr>
        <w:pStyle w:val="TH"/>
        <w:outlineLvl w:val="0"/>
      </w:pPr>
      <w:r w:rsidRPr="004D0DAA">
        <w:t>Table 11.2.38.2: MBMS SERVICE REQUEST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711444" w:rsidRPr="004D0DAA" w14:paraId="0505823E" w14:textId="77777777" w:rsidTr="00AA2A4C">
        <w:trPr>
          <w:cantSplit/>
        </w:trPr>
        <w:tc>
          <w:tcPr>
            <w:tcW w:w="9857" w:type="dxa"/>
          </w:tcPr>
          <w:p w14:paraId="375CFA92" w14:textId="77777777" w:rsidR="00711444" w:rsidRPr="004D0DAA" w:rsidRDefault="00711444" w:rsidP="00AA2A4C">
            <w:r w:rsidRPr="004D0DAA">
              <w:rPr>
                <w:b/>
              </w:rPr>
              <w:t>TLLI</w:t>
            </w:r>
            <w:r w:rsidRPr="004D0DAA">
              <w:t xml:space="preserve"> (32 bit field)</w:t>
            </w:r>
            <w:r w:rsidRPr="004D0DAA">
              <w:br/>
              <w:t>This field contains the TLLI of the mobile station. This field is encoded as defined in sub-clause 12.16.</w:t>
            </w:r>
          </w:p>
        </w:tc>
      </w:tr>
      <w:tr w:rsidR="00711444" w:rsidRPr="004D0DAA" w14:paraId="36028A10" w14:textId="77777777" w:rsidTr="00AA2A4C">
        <w:trPr>
          <w:cantSplit/>
        </w:trPr>
        <w:tc>
          <w:tcPr>
            <w:tcW w:w="9857" w:type="dxa"/>
          </w:tcPr>
          <w:p w14:paraId="3F6237C6" w14:textId="77777777" w:rsidR="00711444" w:rsidRPr="004D0DAA" w:rsidRDefault="00711444" w:rsidP="00AA2A4C">
            <w:r w:rsidRPr="004D0DAA">
              <w:rPr>
                <w:b/>
              </w:rPr>
              <w:t>TMGI</w:t>
            </w:r>
            <w:r w:rsidRPr="004D0DAA">
              <w:br/>
              <w:t xml:space="preserve">This field contains the Temporary Mobile Group Identity of the MBMS service that is requested by the mobile station. </w:t>
            </w:r>
            <w:r w:rsidRPr="004D0DAA">
              <w:t>This field is encoded as defined in sub-clause 12.33.</w:t>
            </w:r>
          </w:p>
        </w:tc>
      </w:tr>
      <w:tr w:rsidR="00711444" w:rsidRPr="004D0DAA" w14:paraId="6CF362FD" w14:textId="77777777" w:rsidTr="00AA2A4C">
        <w:trPr>
          <w:cantSplit/>
        </w:trPr>
        <w:tc>
          <w:tcPr>
            <w:tcW w:w="9857" w:type="dxa"/>
          </w:tcPr>
          <w:p w14:paraId="1A774734" w14:textId="77777777" w:rsidR="00711444" w:rsidRPr="004D0DAA" w:rsidRDefault="00711444" w:rsidP="00AA2A4C">
            <w:r w:rsidRPr="004D0DAA">
              <w:rPr>
                <w:b/>
              </w:rPr>
              <w:t xml:space="preserve">MBMS Session Identity </w:t>
            </w:r>
            <w:r w:rsidRPr="004D0DAA">
              <w:t>(8 bit field)</w:t>
            </w:r>
            <w:r w:rsidRPr="004D0DAA">
              <w:br/>
              <w:t>The MBMS Session Identity field is included in the message if the request concerns a specific MBMS session, which is known by the mobile station. This field contains the MBMS Session Identity of the concerned MBMS session.</w:t>
            </w:r>
          </w:p>
        </w:tc>
      </w:tr>
      <w:tr w:rsidR="00711444" w:rsidRPr="004D0DAA" w14:paraId="50AC3FC8" w14:textId="77777777" w:rsidTr="00AA2A4C">
        <w:trPr>
          <w:cantSplit/>
        </w:trPr>
        <w:tc>
          <w:tcPr>
            <w:tcW w:w="9857" w:type="dxa"/>
          </w:tcPr>
          <w:p w14:paraId="50298097" w14:textId="77777777" w:rsidR="00711444" w:rsidRPr="004D0DAA" w:rsidRDefault="00711444" w:rsidP="00AA2A4C">
            <w:r w:rsidRPr="004D0DAA">
              <w:rPr>
                <w:b/>
              </w:rPr>
              <w:t xml:space="preserve">MS_ID Request Indication </w:t>
            </w:r>
            <w:r w:rsidRPr="004D0DAA">
              <w:t>(1 bit field)</w:t>
            </w:r>
            <w:r w:rsidRPr="004D0DAA">
              <w:br/>
              <w:t>This field is used by the mobile station to indicate whether an MS_ID (and thus the possibility to send feedback) is requested by the mobile station. If no MS_ID is requested, the mobile station will not be counted by the network for the given MBMS session (that does not however prevent the network from addressing and assigning the mobile station an MS_ID, if available and the network wishes to do so).</w:t>
            </w:r>
          </w:p>
          <w:p w14:paraId="63370449" w14:textId="77777777" w:rsidR="00711444" w:rsidRPr="004D0DAA" w:rsidRDefault="00711444" w:rsidP="00AA2A4C">
            <w:pPr>
              <w:rPr>
                <w:b/>
              </w:rPr>
            </w:pPr>
            <w:r w:rsidRPr="004D0DAA">
              <w:t>0</w:t>
            </w:r>
            <w:r w:rsidRPr="004D0DAA">
              <w:tab/>
              <w:t>MS_ID is not requested</w:t>
            </w:r>
            <w:r w:rsidRPr="004D0DAA">
              <w:br/>
              <w:t>1</w:t>
            </w:r>
            <w:r w:rsidRPr="004D0DAA">
              <w:tab/>
              <w:t>MS_ID is requested</w:t>
            </w:r>
          </w:p>
        </w:tc>
      </w:tr>
    </w:tbl>
    <w:p w14:paraId="7B17BEA2" w14:textId="77777777" w:rsidR="00711444" w:rsidRPr="004D0DAA" w:rsidRDefault="00711444" w:rsidP="00711444">
      <w:pPr>
        <w:rPr>
          <w:rFonts w:ascii="Arial" w:hAnsi="Arial" w:cs="Arial"/>
        </w:rPr>
      </w:pPr>
    </w:p>
    <w:p w14:paraId="58F94B08" w14:textId="77777777" w:rsidR="00711444" w:rsidRPr="004D0DAA" w:rsidRDefault="00711444" w:rsidP="00711444">
      <w:pPr>
        <w:pStyle w:val="Heading3"/>
      </w:pPr>
      <w:bookmarkStart w:id="728" w:name="_Toc516669904"/>
      <w:r w:rsidRPr="004D0DAA">
        <w:lastRenderedPageBreak/>
        <w:t>11.2.39</w:t>
      </w:r>
      <w:r w:rsidRPr="004D0DAA">
        <w:tab/>
        <w:t>MBMS Assignment (Non-distribution)</w:t>
      </w:r>
      <w:bookmarkEnd w:id="728"/>
    </w:p>
    <w:p w14:paraId="6EC0473F" w14:textId="77777777" w:rsidR="00711444" w:rsidRPr="004D0DAA" w:rsidRDefault="00711444" w:rsidP="00711444">
      <w:pPr>
        <w:outlineLvl w:val="0"/>
      </w:pPr>
      <w:r w:rsidRPr="004D0DAA">
        <w:t xml:space="preserve">This message is sent on the PCCCH or on the PACCH from the network to (a) mobile station(s) in order to assign the radio bearer resources for an MBMS session or to notify the mobile station(s) that a radio bearer for that MBMS session is not established in the cell or to reassign the MBMS Bearer Identity for an MBMS radio bearer or to reassign radio resources for an MBMS radio bearer. </w:t>
      </w:r>
    </w:p>
    <w:p w14:paraId="617A37D1" w14:textId="77777777" w:rsidR="00711444" w:rsidRPr="004D0DAA" w:rsidRDefault="00711444" w:rsidP="00711444">
      <w:pPr>
        <w:pStyle w:val="EX"/>
        <w:rPr>
          <w:lang w:val="fr-FR"/>
        </w:rPr>
      </w:pPr>
      <w:r w:rsidRPr="004D0DAA">
        <w:rPr>
          <w:lang w:val="fr-FR"/>
        </w:rPr>
        <w:t>Message type:</w:t>
      </w:r>
      <w:r w:rsidRPr="004D0DAA">
        <w:rPr>
          <w:lang w:val="fr-FR"/>
        </w:rPr>
        <w:tab/>
        <w:t>MBMS ASSIGNMENT (NON-DISTRIBUTION)</w:t>
      </w:r>
    </w:p>
    <w:p w14:paraId="28BC378D" w14:textId="77777777" w:rsidR="00711444" w:rsidRPr="004D0DAA" w:rsidRDefault="00711444" w:rsidP="00711444">
      <w:pPr>
        <w:pStyle w:val="EX"/>
      </w:pPr>
      <w:r w:rsidRPr="004D0DAA">
        <w:t>Direction:</w:t>
      </w:r>
      <w:r w:rsidRPr="004D0DAA">
        <w:tab/>
        <w:t>network to mobile station</w:t>
      </w:r>
    </w:p>
    <w:p w14:paraId="57ABE1E8" w14:textId="77777777" w:rsidR="00711444" w:rsidRPr="004D0DAA" w:rsidRDefault="00711444" w:rsidP="00711444">
      <w:pPr>
        <w:pStyle w:val="EX"/>
      </w:pPr>
      <w:r w:rsidRPr="004D0DAA">
        <w:t>Classification:</w:t>
      </w:r>
      <w:r w:rsidRPr="004D0DAA">
        <w:tab/>
        <w:t>non-distribution message</w:t>
      </w:r>
    </w:p>
    <w:p w14:paraId="78065845" w14:textId="77777777" w:rsidR="00711444" w:rsidRPr="004D0DAA" w:rsidRDefault="00711444" w:rsidP="00711444">
      <w:pPr>
        <w:pStyle w:val="TH"/>
        <w:outlineLvl w:val="0"/>
      </w:pPr>
      <w:r w:rsidRPr="004D0DAA">
        <w:t>Table 11.2.39.1: MBMS ASSIGNMENT (NON-DISTRIBUTION)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9BF19BD" w14:textId="77777777" w:rsidTr="00AA2A4C">
        <w:tblPrEx>
          <w:tblCellMar>
            <w:top w:w="0" w:type="dxa"/>
            <w:bottom w:w="0" w:type="dxa"/>
          </w:tblCellMar>
        </w:tblPrEx>
        <w:trPr>
          <w:cantSplit/>
        </w:trPr>
        <w:tc>
          <w:tcPr>
            <w:tcW w:w="9848" w:type="dxa"/>
            <w:tcBorders>
              <w:bottom w:val="nil"/>
            </w:tcBorders>
          </w:tcPr>
          <w:p w14:paraId="26754ADA"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&lt; MBMS Assignment Non-distribution message content &gt; ::=</w:t>
            </w:r>
          </w:p>
          <w:p w14:paraId="7CC5435D"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 xml:space="preserve">&lt; </w:t>
            </w:r>
            <w:r w:rsidRPr="004D0DAA">
              <w:rPr>
                <w:rFonts w:ascii="Arial" w:hAnsi="Arial"/>
                <w:b/>
                <w:sz w:val="18"/>
                <w:lang w:val="fr-FR"/>
              </w:rPr>
              <w:t>PAGE_MODE</w:t>
            </w:r>
            <w:r w:rsidRPr="004D0DAA">
              <w:rPr>
                <w:rFonts w:ascii="Arial" w:hAnsi="Arial"/>
                <w:sz w:val="18"/>
                <w:lang w:val="fr-FR"/>
              </w:rPr>
              <w:t xml:space="preserve"> : bit (2) &gt;</w:t>
            </w:r>
          </w:p>
          <w:p w14:paraId="36B65380"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w:t>
            </w:r>
            <w:r w:rsidRPr="004D0DAA">
              <w:rPr>
                <w:rFonts w:ascii="Arial" w:hAnsi="Arial"/>
                <w:sz w:val="18"/>
                <w:lang w:val="fr-FR"/>
              </w:rPr>
              <w:tab/>
              <w:t>{ 0</w:t>
            </w:r>
            <w:r w:rsidRPr="004D0DAA">
              <w:rPr>
                <w:rFonts w:ascii="Arial" w:hAnsi="Arial"/>
                <w:sz w:val="18"/>
                <w:lang w:val="fr-FR"/>
              </w:rPr>
              <w:tab/>
            </w:r>
            <w:r w:rsidRPr="004D0DAA">
              <w:rPr>
                <w:rFonts w:ascii="Arial" w:hAnsi="Arial"/>
                <w:sz w:val="18"/>
                <w:lang w:val="fr-FR"/>
              </w:rPr>
              <w:tab/>
              <w:t xml:space="preserve">&lt; </w:t>
            </w:r>
            <w:r w:rsidRPr="004D0DAA">
              <w:rPr>
                <w:rFonts w:ascii="Arial" w:hAnsi="Arial"/>
                <w:b/>
                <w:sz w:val="18"/>
                <w:lang w:val="fr-FR"/>
              </w:rPr>
              <w:t>Global TFI</w:t>
            </w:r>
            <w:r w:rsidRPr="004D0DAA">
              <w:rPr>
                <w:rFonts w:ascii="Arial" w:hAnsi="Arial"/>
                <w:sz w:val="18"/>
                <w:lang w:val="fr-FR"/>
              </w:rPr>
              <w:t xml:space="preserve"> : &lt; Global TFI IE &gt; &gt;</w:t>
            </w:r>
          </w:p>
          <w:p w14:paraId="0BAE3423" w14:textId="77777777" w:rsidR="00711444" w:rsidRPr="004D0DAA" w:rsidRDefault="00711444" w:rsidP="00AA2A4C">
            <w:pPr>
              <w:keepNext/>
              <w:keepLines/>
              <w:spacing w:after="0"/>
              <w:rPr>
                <w:rFonts w:ascii="Arial" w:hAnsi="Arial"/>
                <w:i/>
                <w:iCs/>
                <w:sz w:val="18"/>
                <w:lang w:val="fr-FR"/>
              </w:rPr>
            </w:pPr>
            <w:r w:rsidRPr="004D0DAA">
              <w:rPr>
                <w:rFonts w:ascii="Arial" w:hAnsi="Arial"/>
                <w:sz w:val="18"/>
                <w:lang w:val="fr-FR"/>
              </w:rPr>
              <w:tab/>
            </w:r>
            <w:r w:rsidRPr="004D0DAA">
              <w:rPr>
                <w:rFonts w:ascii="Arial" w:hAnsi="Arial"/>
                <w:sz w:val="18"/>
                <w:lang w:val="fr-FR"/>
              </w:rPr>
              <w:tab/>
              <w:t>| 10</w:t>
            </w:r>
            <w:r w:rsidRPr="004D0DAA">
              <w:rPr>
                <w:rFonts w:ascii="Arial" w:hAnsi="Arial"/>
                <w:sz w:val="18"/>
                <w:lang w:val="fr-FR"/>
              </w:rPr>
              <w:tab/>
              <w:t xml:space="preserve">&lt; </w:t>
            </w:r>
            <w:r w:rsidRPr="004D0DAA">
              <w:rPr>
                <w:rFonts w:ascii="Arial" w:hAnsi="Arial"/>
                <w:b/>
                <w:sz w:val="18"/>
                <w:lang w:val="fr-FR"/>
              </w:rPr>
              <w:t>TLLI</w:t>
            </w:r>
            <w:r w:rsidRPr="004D0DAA">
              <w:rPr>
                <w:rFonts w:ascii="Arial" w:hAnsi="Arial"/>
                <w:sz w:val="18"/>
                <w:lang w:val="fr-FR"/>
              </w:rPr>
              <w:t xml:space="preserve"> </w:t>
            </w:r>
            <w:r w:rsidRPr="004D0DAA">
              <w:rPr>
                <w:rFonts w:ascii="Arial" w:hAnsi="Arial"/>
                <w:b/>
                <w:bCs/>
                <w:sz w:val="18"/>
                <w:lang w:val="fr-FR"/>
              </w:rPr>
              <w:t xml:space="preserve">/ G-RNTI </w:t>
            </w:r>
            <w:r w:rsidRPr="004D0DAA">
              <w:rPr>
                <w:rFonts w:ascii="Arial" w:hAnsi="Arial"/>
                <w:sz w:val="18"/>
                <w:lang w:val="fr-FR"/>
              </w:rPr>
              <w:t>: bit (32) &gt; }</w:t>
            </w:r>
          </w:p>
          <w:p w14:paraId="3512E600"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r>
            <w:r w:rsidRPr="004D0DAA">
              <w:rPr>
                <w:rFonts w:ascii="Arial" w:hAnsi="Arial"/>
                <w:sz w:val="18"/>
                <w:lang w:val="fr-FR"/>
              </w:rPr>
              <w:tab/>
              <w:t>{</w:t>
            </w:r>
            <w:r w:rsidRPr="004D0DAA">
              <w:rPr>
                <w:rFonts w:ascii="Arial" w:hAnsi="Arial"/>
                <w:sz w:val="18"/>
                <w:lang w:val="fr-FR"/>
              </w:rPr>
              <w:tab/>
            </w:r>
            <w:r w:rsidRPr="004D0DAA">
              <w:rPr>
                <w:rFonts w:ascii="Arial" w:hAnsi="Arial"/>
                <w:i/>
                <w:sz w:val="18"/>
                <w:lang w:val="fr-FR"/>
              </w:rPr>
              <w:t>-- Non-distribution part</w:t>
            </w:r>
          </w:p>
          <w:p w14:paraId="310E6C30"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r>
            <w:r w:rsidRPr="004D0DAA">
              <w:rPr>
                <w:rFonts w:ascii="Arial" w:hAnsi="Arial"/>
                <w:sz w:val="18"/>
              </w:rPr>
              <w:t>{ 0 | 1</w:t>
            </w:r>
            <w:r w:rsidRPr="004D0DAA">
              <w:rPr>
                <w:rFonts w:ascii="Arial" w:hAnsi="Arial"/>
                <w:sz w:val="18"/>
              </w:rPr>
              <w:tab/>
              <w:t xml:space="preserve">&lt; </w:t>
            </w:r>
            <w:r w:rsidRPr="004D0DAA">
              <w:rPr>
                <w:rFonts w:ascii="Arial" w:hAnsi="Arial"/>
                <w:b/>
                <w:bCs/>
                <w:sz w:val="18"/>
              </w:rPr>
              <w:t>Length Indicator of MS_ID</w:t>
            </w:r>
            <w:r w:rsidRPr="004D0DAA">
              <w:rPr>
                <w:rFonts w:ascii="Arial" w:hAnsi="Arial"/>
                <w:sz w:val="18"/>
              </w:rPr>
              <w:t xml:space="preserve"> : bit (2) &gt;</w:t>
            </w:r>
          </w:p>
          <w:p w14:paraId="11592D4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MS_ID</w:t>
            </w:r>
            <w:r w:rsidRPr="004D0DAA">
              <w:rPr>
                <w:rFonts w:ascii="Arial" w:hAnsi="Arial"/>
                <w:sz w:val="18"/>
              </w:rPr>
              <w:t xml:space="preserve"> : bit (val (Length Indicator of MS_ID)+1) &gt;</w:t>
            </w:r>
          </w:p>
          <w:p w14:paraId="252ACD5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sz w:val="18"/>
              </w:rPr>
              <w:t xml:space="preserve">Packet Timing Advance </w:t>
            </w:r>
            <w:r w:rsidRPr="004D0DAA">
              <w:rPr>
                <w:rFonts w:ascii="Arial" w:hAnsi="Arial"/>
                <w:sz w:val="18"/>
              </w:rPr>
              <w:t>: &lt; Packet Timing Advance IE &gt; &gt;</w:t>
            </w:r>
          </w:p>
          <w:p w14:paraId="7614668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ALPHA</w:t>
            </w:r>
            <w:r w:rsidRPr="004D0DAA">
              <w:rPr>
                <w:rFonts w:ascii="Arial" w:hAnsi="Arial"/>
                <w:sz w:val="18"/>
              </w:rPr>
              <w:t xml:space="preserve"> : bit (4) &gt; </w:t>
            </w:r>
          </w:p>
          <w:p w14:paraId="07AF61A1" w14:textId="77777777" w:rsidR="00711444" w:rsidRPr="004D0DAA" w:rsidRDefault="00711444" w:rsidP="00AA2A4C">
            <w:pPr>
              <w:keepNext/>
              <w:keepLines/>
              <w:spacing w:after="0"/>
              <w:rPr>
                <w:rFonts w:ascii="Arial" w:hAnsi="Arial"/>
                <w:b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1&lt; </w:t>
            </w:r>
            <w:r w:rsidRPr="004D0DAA">
              <w:rPr>
                <w:rFonts w:ascii="Arial" w:hAnsi="Arial"/>
                <w:b/>
                <w:sz w:val="18"/>
              </w:rPr>
              <w:t>GAMMA</w:t>
            </w:r>
            <w:r w:rsidRPr="004D0DAA">
              <w:rPr>
                <w:rFonts w:ascii="Arial" w:hAnsi="Arial"/>
                <w:bCs/>
                <w:sz w:val="18"/>
              </w:rPr>
              <w:t xml:space="preserve"> : bit (5) &gt; } </w:t>
            </w:r>
          </w:p>
          <w:p w14:paraId="6E4123B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5403451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w:t>
            </w:r>
          </w:p>
          <w:p w14:paraId="1C7DA27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TMGI</w:t>
            </w:r>
            <w:r w:rsidRPr="004D0DAA">
              <w:rPr>
                <w:rFonts w:ascii="Arial" w:hAnsi="Arial"/>
                <w:sz w:val="18"/>
              </w:rPr>
              <w:t xml:space="preserve"> : &lt; TMGI struct &gt; &gt; }</w:t>
            </w:r>
          </w:p>
          <w:p w14:paraId="1ACEDB1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MBMS Session Identity</w:t>
            </w:r>
            <w:r w:rsidRPr="004D0DAA">
              <w:rPr>
                <w:rFonts w:ascii="Arial" w:hAnsi="Arial"/>
                <w:sz w:val="18"/>
              </w:rPr>
              <w:t xml:space="preserve"> : bit (8) &gt; }</w:t>
            </w:r>
          </w:p>
          <w:p w14:paraId="0CB8DB9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00</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Assignment reject. No point-to-multipoint channel is established for the MBMS session.</w:t>
            </w:r>
          </w:p>
          <w:p w14:paraId="2ACD6449"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Reject cause</w:t>
            </w:r>
            <w:r w:rsidRPr="004D0DAA">
              <w:rPr>
                <w:rFonts w:ascii="Arial" w:hAnsi="Arial"/>
                <w:sz w:val="18"/>
              </w:rPr>
              <w:t>: bit (2) &gt;</w:t>
            </w:r>
          </w:p>
          <w:p w14:paraId="248D06F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bCs/>
                <w:sz w:val="18"/>
              </w:rPr>
              <w:t>Estimated Session Duration</w:t>
            </w:r>
            <w:r w:rsidRPr="004D0DAA">
              <w:rPr>
                <w:rFonts w:ascii="Arial" w:hAnsi="Arial"/>
                <w:sz w:val="18"/>
              </w:rPr>
              <w:t xml:space="preserve"> : bit (8) &gt; }</w:t>
            </w:r>
          </w:p>
          <w:p w14:paraId="5151A97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A point-to-multipoint channel is established or reassigned for the MBMS session.</w:t>
            </w:r>
          </w:p>
          <w:p w14:paraId="44DE413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MBMS bearer description</w:t>
            </w:r>
            <w:r w:rsidRPr="004D0DAA">
              <w:rPr>
                <w:rFonts w:ascii="Arial" w:hAnsi="Arial"/>
                <w:sz w:val="18"/>
              </w:rPr>
              <w:t xml:space="preserve"> : &lt; MBMS bearer description struct &gt; &gt; </w:t>
            </w:r>
          </w:p>
          <w:p w14:paraId="1D78F42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Estimated Session Duration</w:t>
            </w:r>
            <w:r w:rsidRPr="004D0DAA">
              <w:rPr>
                <w:rFonts w:ascii="Arial" w:hAnsi="Arial"/>
                <w:sz w:val="18"/>
              </w:rPr>
              <w:t xml:space="preserve"> : bit (8) &gt; </w:t>
            </w:r>
          </w:p>
          <w:p w14:paraId="443AA0A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&lt; </w:t>
            </w:r>
            <w:r w:rsidRPr="004D0DAA">
              <w:rPr>
                <w:rFonts w:ascii="Arial" w:hAnsi="Arial"/>
                <w:b/>
                <w:bCs/>
                <w:iCs/>
                <w:sz w:val="18"/>
              </w:rPr>
              <w:t xml:space="preserve">MBMS In-band Signalling Indicator </w:t>
            </w:r>
            <w:r w:rsidRPr="004D0DAA">
              <w:rPr>
                <w:rFonts w:ascii="Arial" w:hAnsi="Arial"/>
                <w:iCs/>
                <w:sz w:val="18"/>
              </w:rPr>
              <w:t>: &lt; MBMS In-band Signalling Indicator IE &gt; &gt;</w:t>
            </w:r>
          </w:p>
          <w:p w14:paraId="1833155F"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t>| 10</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The MBMS Bearer Identity is reassigned for the MBMS radio bearer.</w:t>
            </w:r>
          </w:p>
          <w:p w14:paraId="7AC78F0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 1 &lt; </w:t>
            </w:r>
            <w:r w:rsidRPr="004D0DAA">
              <w:rPr>
                <w:rFonts w:ascii="Arial" w:hAnsi="Arial"/>
                <w:b/>
                <w:bCs/>
                <w:sz w:val="18"/>
              </w:rPr>
              <w:t>MBMS Radio Bearer Starting Time</w:t>
            </w:r>
            <w:r w:rsidRPr="004D0DAA">
              <w:rPr>
                <w:rFonts w:ascii="Arial" w:hAnsi="Arial"/>
                <w:sz w:val="18"/>
              </w:rPr>
              <w:t xml:space="preserve"> : &lt; bit (16) &gt; }</w:t>
            </w:r>
          </w:p>
          <w:p w14:paraId="54C74EF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Length of MBMS Bearer Identity</w:t>
            </w:r>
            <w:r w:rsidRPr="004D0DAA">
              <w:rPr>
                <w:rFonts w:ascii="Arial" w:hAnsi="Arial"/>
                <w:sz w:val="18"/>
              </w:rPr>
              <w:t xml:space="preserve"> : bit (3) &gt;</w:t>
            </w:r>
          </w:p>
          <w:p w14:paraId="7D2C6B5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&lt; </w:t>
            </w:r>
            <w:r w:rsidRPr="004D0DAA">
              <w:rPr>
                <w:rFonts w:ascii="Arial" w:hAnsi="Arial"/>
                <w:b/>
                <w:bCs/>
                <w:sz w:val="18"/>
              </w:rPr>
              <w:t>MBMS Bearer Identity</w:t>
            </w:r>
            <w:r w:rsidRPr="004D0DAA">
              <w:rPr>
                <w:rFonts w:ascii="Arial" w:hAnsi="Arial"/>
                <w:sz w:val="18"/>
              </w:rPr>
              <w:t xml:space="preserve"> : bit (val (Length of MBMS Bearer Identity)) &gt;</w:t>
            </w:r>
          </w:p>
          <w:p w14:paraId="2C1F934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 &lt; Message escape : { 11} bit (*) = &lt; no string &gt; &gt; }  -- </w:t>
            </w:r>
            <w:r w:rsidRPr="004D0DAA">
              <w:rPr>
                <w:rFonts w:ascii="Arial" w:hAnsi="Arial"/>
                <w:i/>
                <w:sz w:val="18"/>
              </w:rPr>
              <w:t>Extended for future changes</w:t>
            </w:r>
          </w:p>
          <w:p w14:paraId="526198C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&lt; padding bits &gt; </w:t>
            </w:r>
          </w:p>
          <w:p w14:paraId="052FEF6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&lt; Non-distribution part error : bit (*) = &lt; no string &gt; &gt; }</w:t>
            </w:r>
          </w:p>
          <w:p w14:paraId="1B0010B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&lt; Address information part error : bit (*) = &lt; no string &gt; &gt; }</w:t>
            </w:r>
          </w:p>
          <w:p w14:paraId="6C8E3590" w14:textId="77777777" w:rsidR="00711444" w:rsidRPr="004D0DAA" w:rsidRDefault="00711444" w:rsidP="00AA2A4C">
            <w:pPr>
              <w:keepNext/>
              <w:keepLines/>
              <w:spacing w:after="0"/>
              <w:rPr>
                <w:rFonts w:ascii="Arial" w:hAnsi="Arial"/>
                <w:sz w:val="18"/>
              </w:rPr>
            </w:pPr>
            <w:r w:rsidRPr="004D0DAA">
              <w:rPr>
                <w:rFonts w:ascii="Arial" w:hAnsi="Arial"/>
                <w:sz w:val="18"/>
              </w:rPr>
              <w:tab/>
              <w:t>! &lt; Distribution part error : bit (*) = &lt; no string &gt; &gt;;</w:t>
            </w:r>
          </w:p>
          <w:p w14:paraId="26A9C389" w14:textId="77777777" w:rsidR="00711444" w:rsidRPr="004D0DAA" w:rsidRDefault="00711444" w:rsidP="00AA2A4C">
            <w:pPr>
              <w:pStyle w:val="TAL"/>
              <w:rPr>
                <w:lang w:eastAsia="en-US"/>
              </w:rPr>
            </w:pPr>
          </w:p>
        </w:tc>
      </w:tr>
      <w:tr w:rsidR="00711444" w:rsidRPr="004D0DAA" w14:paraId="4F971EC1" w14:textId="77777777" w:rsidTr="00AA2A4C">
        <w:tblPrEx>
          <w:tblCellMar>
            <w:top w:w="0" w:type="dxa"/>
            <w:bottom w:w="0" w:type="dxa"/>
          </w:tblCellMar>
        </w:tblPrEx>
        <w:trPr>
          <w:cantSplit/>
        </w:trPr>
        <w:tc>
          <w:tcPr>
            <w:tcW w:w="9848" w:type="dxa"/>
            <w:tcBorders>
              <w:top w:val="nil"/>
            </w:tcBorders>
          </w:tcPr>
          <w:p w14:paraId="134B3FA1" w14:textId="77777777" w:rsidR="00711444" w:rsidRPr="004D0DAA" w:rsidRDefault="00711444" w:rsidP="00AA2A4C">
            <w:pPr>
              <w:pStyle w:val="TAL"/>
              <w:rPr>
                <w:lang w:eastAsia="en-US"/>
              </w:rPr>
            </w:pPr>
            <w:r w:rsidRPr="004D0DAA">
              <w:rPr>
                <w:lang w:eastAsia="en-US"/>
              </w:rPr>
              <w:t>&lt; MBMS bearer description struct &gt; :: =</w:t>
            </w:r>
          </w:p>
          <w:p w14:paraId="48D4C068"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MBMS Radio Bearer Starting Time</w:t>
            </w:r>
            <w:r w:rsidRPr="004D0DAA">
              <w:rPr>
                <w:lang w:eastAsia="en-US"/>
              </w:rPr>
              <w:t xml:space="preserve"> : &lt; bit (16) &gt; }</w:t>
            </w:r>
          </w:p>
          <w:p w14:paraId="24E6231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2BDDAE08"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DOWNLINK_</w:t>
            </w:r>
            <w:r w:rsidRPr="004D0DAA">
              <w:rPr>
                <w:b/>
                <w:lang w:eastAsia="en-US"/>
              </w:rPr>
              <w:t xml:space="preserve">TIMESLOT_ALLOCATION </w:t>
            </w:r>
            <w:r w:rsidRPr="004D0DAA">
              <w:rPr>
                <w:lang w:eastAsia="en-US"/>
              </w:rPr>
              <w:t>: bit (8) &gt;</w:t>
            </w:r>
          </w:p>
          <w:p w14:paraId="726A3FF8"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Length of MBMS Bearer Identity</w:t>
            </w:r>
            <w:r w:rsidRPr="004D0DAA">
              <w:rPr>
                <w:lang w:eastAsia="en-US"/>
              </w:rPr>
              <w:t xml:space="preserve"> : bit (3) &gt;</w:t>
            </w:r>
          </w:p>
          <w:p w14:paraId="71250FD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MBMS Bearer Identity</w:t>
            </w:r>
            <w:r w:rsidRPr="004D0DAA">
              <w:rPr>
                <w:lang w:eastAsia="en-US"/>
              </w:rPr>
              <w:t xml:space="preserve"> : bit (val (Length of MBMS Bearer Identity)) &gt;</w:t>
            </w:r>
          </w:p>
          <w:p w14:paraId="35DDA9F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EGPRS Window Size</w:t>
            </w:r>
            <w:r w:rsidRPr="004D0DAA">
              <w:rPr>
                <w:lang w:eastAsia="en-US"/>
              </w:rPr>
              <w:t> : &lt; EGPRS Window Size IE &gt;&gt; }</w:t>
            </w:r>
          </w:p>
          <w:p w14:paraId="13CE09C7"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TIMESLOT_ALLOCATION</w:t>
            </w:r>
            <w:r w:rsidRPr="004D0DAA">
              <w:rPr>
                <w:b/>
                <w:bCs/>
                <w:lang w:eastAsia="en-US"/>
              </w:rPr>
              <w:t xml:space="preserve">_UPLINK_FEEDBACK_CHANNEL </w:t>
            </w:r>
            <w:r w:rsidRPr="004D0DAA">
              <w:rPr>
                <w:lang w:eastAsia="en-US"/>
              </w:rPr>
              <w:t>: bit (3) &gt; }</w:t>
            </w:r>
          </w:p>
          <w:p w14:paraId="6259CEBD"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 ;</w:t>
            </w:r>
          </w:p>
          <w:p w14:paraId="2A5D1263" w14:textId="77777777" w:rsidR="00711444" w:rsidRPr="004D0DAA" w:rsidRDefault="00711444" w:rsidP="00AA2A4C">
            <w:pPr>
              <w:pStyle w:val="TAL"/>
              <w:rPr>
                <w:lang w:eastAsia="en-US"/>
              </w:rPr>
            </w:pPr>
          </w:p>
        </w:tc>
      </w:tr>
    </w:tbl>
    <w:p w14:paraId="7383B431" w14:textId="77777777" w:rsidR="00711444" w:rsidRPr="004D0DAA" w:rsidRDefault="00711444" w:rsidP="00711444">
      <w:pPr>
        <w:rPr>
          <w:sz w:val="24"/>
        </w:rPr>
      </w:pPr>
    </w:p>
    <w:p w14:paraId="1EA4B317" w14:textId="77777777" w:rsidR="00711444" w:rsidRPr="004D0DAA" w:rsidRDefault="00711444" w:rsidP="00711444">
      <w:pPr>
        <w:pStyle w:val="TH"/>
        <w:outlineLvl w:val="0"/>
      </w:pPr>
      <w:r w:rsidRPr="004D0DAA">
        <w:t>Table 11.2.39.2: MBMS ASSIGNMENT (NON-DISTRIBUTION)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711444" w:rsidRPr="004D0DAA" w14:paraId="0AFCADAC" w14:textId="77777777" w:rsidTr="00AA2A4C">
        <w:trPr>
          <w:cantSplit/>
        </w:trPr>
        <w:tc>
          <w:tcPr>
            <w:tcW w:w="9855" w:type="dxa"/>
          </w:tcPr>
          <w:p w14:paraId="2F77336D" w14:textId="77777777" w:rsidR="00711444" w:rsidRPr="004D0DAA" w:rsidRDefault="00711444" w:rsidP="00AA2A4C">
            <w:r w:rsidRPr="004D0DAA">
              <w:rPr>
                <w:b/>
              </w:rPr>
              <w:t>PAGE_MODE</w:t>
            </w:r>
            <w:r w:rsidRPr="004D0DAA">
              <w:t xml:space="preserve"> (2 bit field)</w:t>
            </w:r>
            <w:r w:rsidRPr="004D0DAA">
              <w:br/>
              <w:t>This field is defined in</w:t>
            </w:r>
            <w:r w:rsidRPr="004D0DAA">
              <w:rPr>
                <w:i/>
              </w:rPr>
              <w:t xml:space="preserve"> </w:t>
            </w:r>
            <w:r w:rsidRPr="004D0DAA">
              <w:rPr>
                <w:iCs/>
              </w:rPr>
              <w:t>sub-clause</w:t>
            </w:r>
            <w:r w:rsidRPr="004D0DAA">
              <w:t xml:space="preserve"> 12.20.</w:t>
            </w:r>
          </w:p>
        </w:tc>
      </w:tr>
      <w:tr w:rsidR="00711444" w:rsidRPr="004D0DAA" w14:paraId="7052159A" w14:textId="77777777" w:rsidTr="00AA2A4C">
        <w:trPr>
          <w:cantSplit/>
        </w:trPr>
        <w:tc>
          <w:tcPr>
            <w:tcW w:w="9855" w:type="dxa"/>
          </w:tcPr>
          <w:p w14:paraId="1A9F677E" w14:textId="77777777" w:rsidR="00711444" w:rsidRPr="004D0DAA" w:rsidRDefault="00711444" w:rsidP="00AA2A4C">
            <w:pPr>
              <w:rPr>
                <w:b/>
              </w:rPr>
            </w:pPr>
            <w:r w:rsidRPr="004D0DAA">
              <w:rPr>
                <w:b/>
              </w:rPr>
              <w:lastRenderedPageBreak/>
              <w:t>Global TFI</w:t>
            </w:r>
            <w:r w:rsidRPr="004D0DAA">
              <w:rPr>
                <w:b/>
              </w:rPr>
              <w:br/>
            </w:r>
            <w:r w:rsidRPr="004D0DAA">
              <w:t>This information element shall always contain the DOWNLINK_TFI field. The most significant bit(s) of the DOWNLINK_TFI field denote(s) the MBMS Bearer Identity of the MBMS radio bearer the message relates to. This field is defined in sub-clause 12.10.</w:t>
            </w:r>
          </w:p>
        </w:tc>
      </w:tr>
      <w:tr w:rsidR="00711444" w:rsidRPr="004D0DAA" w14:paraId="4489E20A" w14:textId="77777777" w:rsidTr="00AA2A4C">
        <w:trPr>
          <w:cantSplit/>
        </w:trPr>
        <w:tc>
          <w:tcPr>
            <w:tcW w:w="9855" w:type="dxa"/>
          </w:tcPr>
          <w:p w14:paraId="1813A411" w14:textId="77777777" w:rsidR="00711444" w:rsidRPr="004D0DAA" w:rsidRDefault="00711444" w:rsidP="00AA2A4C">
            <w:r w:rsidRPr="004D0DAA">
              <w:rPr>
                <w:b/>
              </w:rPr>
              <w:t>TLLI</w:t>
            </w:r>
            <w:r w:rsidRPr="004D0DAA">
              <w:t xml:space="preserve"> </w:t>
            </w:r>
            <w:r w:rsidRPr="004D0DAA">
              <w:rPr>
                <w:b/>
              </w:rPr>
              <w:t>/ G-RNTI</w:t>
            </w:r>
            <w:r w:rsidRPr="004D0DAA">
              <w:t xml:space="preserve"> (32 bit field)</w:t>
            </w:r>
            <w:r w:rsidRPr="004D0DAA">
              <w:br/>
              <w:t>This field contains the TLLI/G-RNTI of the mobile station. This field is encoded as defined in sub-clause 12.16.</w:t>
            </w:r>
          </w:p>
        </w:tc>
      </w:tr>
      <w:tr w:rsidR="00711444" w:rsidRPr="004D0DAA" w14:paraId="48B67101" w14:textId="77777777" w:rsidTr="00AA2A4C">
        <w:trPr>
          <w:cantSplit/>
        </w:trPr>
        <w:tc>
          <w:tcPr>
            <w:tcW w:w="9855" w:type="dxa"/>
          </w:tcPr>
          <w:p w14:paraId="78B16682" w14:textId="77777777" w:rsidR="00711444" w:rsidRPr="004D0DAA" w:rsidRDefault="00711444" w:rsidP="00AA2A4C">
            <w:r w:rsidRPr="004D0DAA">
              <w:rPr>
                <w:b/>
                <w:bCs/>
              </w:rPr>
              <w:t xml:space="preserve">MS_ID </w:t>
            </w:r>
            <w:r w:rsidRPr="004D0DAA">
              <w:t>(1-4 bit field)</w:t>
            </w:r>
            <w:r w:rsidRPr="004D0DAA">
              <w:rPr>
                <w:b/>
                <w:bCs/>
              </w:rPr>
              <w:br/>
            </w:r>
            <w:r w:rsidRPr="004D0DAA">
              <w:t xml:space="preserve">This field addresses the mobile station, identified by the TLLI, receiving the MBMS radio bearer that is described in this message and identified by the MBMS Bearer Identity. If the MS_ID parameter is already assigned in the IMMEDIATE ASSIGNMENT message (specified in the 3GPP TS 44.018) the network shall omit it in this message. This field is defined in </w:t>
            </w:r>
            <w:r w:rsidRPr="004D0DAA">
              <w:rPr>
                <w:iCs/>
              </w:rPr>
              <w:t>sub-clause</w:t>
            </w:r>
            <w:r w:rsidRPr="004D0DAA">
              <w:t xml:space="preserve"> 12.35.</w:t>
            </w:r>
          </w:p>
        </w:tc>
      </w:tr>
      <w:tr w:rsidR="00711444" w:rsidRPr="004D0DAA" w14:paraId="7206B1C1" w14:textId="77777777" w:rsidTr="00AA2A4C">
        <w:trPr>
          <w:cantSplit/>
        </w:trPr>
        <w:tc>
          <w:tcPr>
            <w:tcW w:w="9855" w:type="dxa"/>
          </w:tcPr>
          <w:p w14:paraId="1A19FCDF" w14:textId="77777777" w:rsidR="00711444" w:rsidRPr="004D0DAA" w:rsidRDefault="00711444" w:rsidP="00AA2A4C">
            <w:pPr>
              <w:rPr>
                <w:b/>
              </w:rPr>
            </w:pPr>
            <w:r w:rsidRPr="004D0DAA">
              <w:rPr>
                <w:b/>
              </w:rPr>
              <w:t>Packet Timing Advance</w:t>
            </w:r>
            <w:r w:rsidRPr="004D0DAA">
              <w:br/>
              <w:t>If the Packet Timing Advance parameter is already allocated in the IMMEDIATE ASSIGNMENT message (specified in the 3GPP TS 44.018) the network shall omit it in this message. This information element is defined in sub-clause 12.12.</w:t>
            </w:r>
          </w:p>
        </w:tc>
      </w:tr>
      <w:tr w:rsidR="00711444" w:rsidRPr="004D0DAA" w14:paraId="35DFD17D" w14:textId="77777777" w:rsidTr="00AA2A4C">
        <w:trPr>
          <w:cantSplit/>
        </w:trPr>
        <w:tc>
          <w:tcPr>
            <w:tcW w:w="9855" w:type="dxa"/>
          </w:tcPr>
          <w:p w14:paraId="05DE228B" w14:textId="77777777" w:rsidR="00711444" w:rsidRPr="004D0DAA" w:rsidRDefault="00711444" w:rsidP="00AA2A4C">
            <w:pPr>
              <w:rPr>
                <w:b/>
              </w:rPr>
            </w:pPr>
            <w:r w:rsidRPr="004D0DAA">
              <w:rPr>
                <w:b/>
              </w:rPr>
              <w:t>ALPHA</w:t>
            </w:r>
            <w:r w:rsidRPr="004D0DAA">
              <w:t xml:space="preserve"> (4 bit field)</w:t>
            </w:r>
            <w:r w:rsidRPr="004D0DAA">
              <w:br/>
              <w:t>If the ALPHA parameter is already allocated in the IMMEDIATE ASSIGNMENT message (specified in the 3GPP TS 44.018) the network shall omit it in this message. For encoding and description see the Global Power Control Parameters IE.</w:t>
            </w:r>
          </w:p>
        </w:tc>
      </w:tr>
      <w:tr w:rsidR="00711444" w:rsidRPr="004D0DAA" w14:paraId="62BD40DA" w14:textId="77777777" w:rsidTr="00AA2A4C">
        <w:trPr>
          <w:cantSplit/>
        </w:trPr>
        <w:tc>
          <w:tcPr>
            <w:tcW w:w="9855" w:type="dxa"/>
          </w:tcPr>
          <w:p w14:paraId="66747B94" w14:textId="77777777" w:rsidR="00711444" w:rsidRPr="004D0DAA" w:rsidRDefault="00711444" w:rsidP="00AA2A4C">
            <w:r w:rsidRPr="004D0DAA">
              <w:rPr>
                <w:b/>
              </w:rPr>
              <w:t>GAMMA</w:t>
            </w:r>
            <w:r w:rsidRPr="004D0DAA">
              <w:t xml:space="preserve"> (5 bit field)</w:t>
            </w:r>
            <w:r w:rsidRPr="004D0DAA">
              <w:br/>
              <w:t xml:space="preserve">The GAMMA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If the GAMMA parameter is already allocated in the IMMEDIATE ASSIGNMENT message (specified in the 3GPP TS 44.018) the network shall omit it in this message. The GAMMA field is coded according to the following table:</w:t>
            </w:r>
          </w:p>
          <w:p w14:paraId="1DB5CE6F" w14:textId="77777777" w:rsidR="00711444" w:rsidRPr="004D0DAA" w:rsidRDefault="00711444" w:rsidP="00AA2A4C">
            <w:pPr>
              <w:rPr>
                <w:b/>
              </w:rPr>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tc>
      </w:tr>
      <w:tr w:rsidR="00711444" w:rsidRPr="004D0DAA" w14:paraId="3FEF851C" w14:textId="77777777" w:rsidTr="00AA2A4C">
        <w:trPr>
          <w:cantSplit/>
        </w:trPr>
        <w:tc>
          <w:tcPr>
            <w:tcW w:w="9855" w:type="dxa"/>
          </w:tcPr>
          <w:p w14:paraId="116DE4CF" w14:textId="77777777" w:rsidR="00711444" w:rsidRPr="004D0DAA" w:rsidRDefault="00711444" w:rsidP="00AA2A4C">
            <w:r w:rsidRPr="004D0DAA">
              <w:rPr>
                <w:b/>
              </w:rPr>
              <w:t>TMGI</w:t>
            </w:r>
            <w:r w:rsidRPr="004D0DAA">
              <w:br/>
              <w:t>This field contains the Temporary Mobile Group Identity of the MBMS service. This field is encoded as defined in sub-clause 12.33.</w:t>
            </w:r>
          </w:p>
        </w:tc>
      </w:tr>
      <w:tr w:rsidR="00711444" w:rsidRPr="004D0DAA" w14:paraId="3810F2C0" w14:textId="77777777" w:rsidTr="00AA2A4C">
        <w:trPr>
          <w:cantSplit/>
        </w:trPr>
        <w:tc>
          <w:tcPr>
            <w:tcW w:w="9855" w:type="dxa"/>
          </w:tcPr>
          <w:p w14:paraId="62D24794" w14:textId="77777777" w:rsidR="00711444" w:rsidRPr="004D0DAA" w:rsidRDefault="00711444" w:rsidP="00AA2A4C">
            <w:r w:rsidRPr="004D0DAA">
              <w:rPr>
                <w:b/>
              </w:rPr>
              <w:t xml:space="preserve">MBMS Session Identity </w:t>
            </w:r>
            <w:r w:rsidRPr="004D0DAA">
              <w:t>(8 bit field)</w:t>
            </w:r>
            <w:r w:rsidRPr="004D0DAA">
              <w:br/>
              <w:t>This field contains the MBMS Session Identity of the concerned MBMS session.</w:t>
            </w:r>
          </w:p>
        </w:tc>
      </w:tr>
      <w:tr w:rsidR="00711444" w:rsidRPr="004D0DAA" w14:paraId="73ADD7C3" w14:textId="77777777" w:rsidTr="00AA2A4C">
        <w:trPr>
          <w:cantSplit/>
        </w:trPr>
        <w:tc>
          <w:tcPr>
            <w:tcW w:w="9855" w:type="dxa"/>
          </w:tcPr>
          <w:p w14:paraId="7D3D7E7F" w14:textId="77777777" w:rsidR="00711444" w:rsidRPr="004D0DAA" w:rsidRDefault="00711444" w:rsidP="00AA2A4C">
            <w:r w:rsidRPr="004D0DAA">
              <w:rPr>
                <w:b/>
              </w:rPr>
              <w:t xml:space="preserve">Reject cause </w:t>
            </w:r>
            <w:r w:rsidRPr="004D0DAA">
              <w:t>(2 bit field)</w:t>
            </w:r>
            <w:r w:rsidRPr="004D0DAA">
              <w:br/>
              <w:t>This field indicates whether the mobile station is allowed to perform further MBMS packet accesses for this MBMS session.</w:t>
            </w:r>
          </w:p>
          <w:p w14:paraId="3B2ACAAB" w14:textId="77777777" w:rsidR="00711444" w:rsidRPr="004D0DAA" w:rsidRDefault="00711444" w:rsidP="00AA2A4C">
            <w:pPr>
              <w:rPr>
                <w:b/>
              </w:rPr>
            </w:pPr>
            <w:r w:rsidRPr="004D0DAA">
              <w:t>00</w:t>
            </w:r>
            <w:r w:rsidRPr="004D0DAA">
              <w:tab/>
              <w:t>No radio bearer established - further MBMS packet accesses allowed for this MBMS session in this cell</w:t>
            </w:r>
            <w:r w:rsidRPr="004D0DAA">
              <w:br/>
              <w:t>01</w:t>
            </w:r>
            <w:r w:rsidRPr="004D0DAA">
              <w:tab/>
              <w:t>No radio bearer established - no further MBMS packet accesses allowed for this MBMS session in this cell</w:t>
            </w:r>
            <w:r w:rsidRPr="004D0DAA">
              <w:br/>
              <w:t>10</w:t>
            </w:r>
            <w:r w:rsidRPr="004D0DAA">
              <w:tab/>
              <w:t>No radio bearer established - no further MBMS packet accesses allowed for this MBMS session in this Routing Area</w:t>
            </w:r>
            <w:r w:rsidRPr="004D0DAA">
              <w:br/>
              <w:t>11</w:t>
            </w:r>
            <w:r w:rsidRPr="004D0DAA">
              <w:tab/>
              <w:t>No radio bearer established - no further MBMS packet accesses allowed for this MBMS session in this PLMN</w:t>
            </w:r>
          </w:p>
        </w:tc>
      </w:tr>
      <w:tr w:rsidR="00711444" w:rsidRPr="004D0DAA" w14:paraId="4FDDB54B" w14:textId="77777777" w:rsidTr="00AA2A4C">
        <w:trPr>
          <w:cantSplit/>
        </w:trPr>
        <w:tc>
          <w:tcPr>
            <w:tcW w:w="9855" w:type="dxa"/>
          </w:tcPr>
          <w:p w14:paraId="6F3B4547" w14:textId="77777777" w:rsidR="00711444" w:rsidRPr="004D0DAA" w:rsidRDefault="00711444" w:rsidP="00AA2A4C">
            <w:r w:rsidRPr="004D0DAA">
              <w:rPr>
                <w:b/>
              </w:rPr>
              <w:t xml:space="preserve">Estimated Session Duration </w:t>
            </w:r>
            <w:r w:rsidRPr="004D0DAA">
              <w:t>(8 bit field)</w:t>
            </w:r>
            <w:r w:rsidRPr="004D0DAA">
              <w:br/>
              <w:t>This field contains an estimation of either the duration for the concerned MBMS session or, if the MBMS session is ongoing, the remaining duration for the concerned MBMS session. This information element is defined in sub-clause 12.44.</w:t>
            </w:r>
          </w:p>
        </w:tc>
      </w:tr>
      <w:tr w:rsidR="00711444" w:rsidRPr="004D0DAA" w14:paraId="77E57385" w14:textId="77777777" w:rsidTr="00AA2A4C">
        <w:trPr>
          <w:cantSplit/>
        </w:trPr>
        <w:tc>
          <w:tcPr>
            <w:tcW w:w="9855" w:type="dxa"/>
          </w:tcPr>
          <w:p w14:paraId="0780EBDF" w14:textId="77777777" w:rsidR="00711444" w:rsidRPr="004D0DAA" w:rsidRDefault="00711444" w:rsidP="00AA2A4C">
            <w:pPr>
              <w:rPr>
                <w:b/>
              </w:rPr>
            </w:pPr>
            <w:r w:rsidRPr="004D0DAA">
              <w:rPr>
                <w:b/>
              </w:rPr>
              <w:t xml:space="preserve">MBMS In-band Signalling Indicator </w:t>
            </w:r>
            <w:r w:rsidRPr="004D0DAA">
              <w:br/>
              <w:t>This information element contains the MBMS In-band Signalling Indicator. This information element is defined in sub-clause 12.45.</w:t>
            </w:r>
          </w:p>
        </w:tc>
      </w:tr>
      <w:tr w:rsidR="00711444" w:rsidRPr="004D0DAA" w14:paraId="2D5759A3" w14:textId="77777777" w:rsidTr="00AA2A4C">
        <w:trPr>
          <w:cantSplit/>
        </w:trPr>
        <w:tc>
          <w:tcPr>
            <w:tcW w:w="9855" w:type="dxa"/>
          </w:tcPr>
          <w:p w14:paraId="388DA748" w14:textId="77777777" w:rsidR="00711444" w:rsidRPr="004D0DAA" w:rsidRDefault="00711444" w:rsidP="00AA2A4C">
            <w:r w:rsidRPr="004D0DAA">
              <w:rPr>
                <w:b/>
                <w:bCs/>
              </w:rPr>
              <w:lastRenderedPageBreak/>
              <w:t xml:space="preserve">MBMS Radio Bearer Starting Time </w:t>
            </w:r>
            <w:r w:rsidRPr="004D0DAA">
              <w:t>(16 bit field)</w:t>
            </w:r>
            <w:r w:rsidRPr="004D0DAA">
              <w:br/>
              <w:t xml:space="preserve">This field contains a starting time that indicates the frame number from which the data transfer on the assigned MBMS radio bearer may start. The MBMS Radio Bearer Starting Time is encoded as the value part of the type 3 information element </w:t>
            </w:r>
            <w:r w:rsidRPr="004D0DAA">
              <w:rPr>
                <w:i/>
              </w:rPr>
              <w:t xml:space="preserve">Starting Time </w:t>
            </w:r>
            <w:r w:rsidRPr="004D0DAA">
              <w:t>in 3GPP TS 44.018.</w:t>
            </w:r>
          </w:p>
        </w:tc>
      </w:tr>
      <w:tr w:rsidR="00711444" w:rsidRPr="004D0DAA" w14:paraId="7B03928F" w14:textId="77777777" w:rsidTr="00AA2A4C">
        <w:trPr>
          <w:cantSplit/>
        </w:trPr>
        <w:tc>
          <w:tcPr>
            <w:tcW w:w="9855" w:type="dxa"/>
          </w:tcPr>
          <w:p w14:paraId="0B168BF3" w14:textId="77777777" w:rsidR="00711444" w:rsidRPr="004D0DAA" w:rsidRDefault="00711444" w:rsidP="00AA2A4C">
            <w:r w:rsidRPr="004D0DAA">
              <w:rPr>
                <w:b/>
              </w:rPr>
              <w:t>Frequency Parameters</w:t>
            </w:r>
            <w:r w:rsidRPr="004D0DAA">
              <w:rPr>
                <w:bCs/>
              </w:rPr>
              <w:br/>
            </w:r>
            <w:r w:rsidRPr="004D0DAA">
              <w:t xml:space="preserve">If this information element is not present, the same frequency as for the PCCCH or, if the PCCCH is not present in the cell, for the CCCH, on which the network sends this message or the IMMEDIATE ASSIGNMENT message including the </w:t>
            </w:r>
            <w:r w:rsidRPr="004D0DAA">
              <w:rPr>
                <w:i/>
              </w:rPr>
              <w:t>Multiple Blocks Packet Downlink Assignment</w:t>
            </w:r>
            <w:r w:rsidRPr="004D0DAA">
              <w:t xml:space="preserve"> construction and the </w:t>
            </w:r>
            <w:r w:rsidRPr="004D0DAA">
              <w:rPr>
                <w:i/>
              </w:rPr>
              <w:t>Packet Channel Description</w:t>
            </w:r>
            <w:r w:rsidRPr="004D0DAA">
              <w:t xml:space="preserve"> IE specifying the PDCH over which this message is sent (see 3GPP TS 44.018), respectively, shall be used. This information element is defined in sub-clause 12.8.</w:t>
            </w:r>
          </w:p>
        </w:tc>
      </w:tr>
      <w:tr w:rsidR="00711444" w:rsidRPr="004D0DAA" w14:paraId="39FBDC6E" w14:textId="77777777" w:rsidTr="00AA2A4C">
        <w:trPr>
          <w:cantSplit/>
        </w:trPr>
        <w:tc>
          <w:tcPr>
            <w:tcW w:w="9855" w:type="dxa"/>
          </w:tcPr>
          <w:p w14:paraId="531A7B5F" w14:textId="77777777" w:rsidR="00711444" w:rsidRPr="004D0DAA" w:rsidRDefault="00711444" w:rsidP="00AA2A4C">
            <w:r w:rsidRPr="004D0DAA">
              <w:rPr>
                <w:b/>
                <w:bCs/>
              </w:rPr>
              <w:t>DOWNLINK_</w:t>
            </w:r>
            <w:r w:rsidRPr="004D0DAA">
              <w:rPr>
                <w:b/>
              </w:rPr>
              <w:t xml:space="preserve">TIMESLOT_ALLOCATION </w:t>
            </w:r>
            <w:r w:rsidRPr="004D0DAA">
              <w:t>(8 bit field)</w:t>
            </w:r>
            <w:r w:rsidRPr="004D0DAA">
              <w:rPr>
                <w:b/>
              </w:rPr>
              <w:br/>
            </w:r>
            <w:r w:rsidRPr="004D0DAA">
              <w:t>This field is defined in sub-clause 12.18.</w:t>
            </w:r>
          </w:p>
        </w:tc>
      </w:tr>
      <w:tr w:rsidR="00711444" w:rsidRPr="004D0DAA" w14:paraId="6A1358DC" w14:textId="77777777" w:rsidTr="00AA2A4C">
        <w:trPr>
          <w:cantSplit/>
        </w:trPr>
        <w:tc>
          <w:tcPr>
            <w:tcW w:w="9855" w:type="dxa"/>
          </w:tcPr>
          <w:p w14:paraId="0E44378A" w14:textId="77777777" w:rsidR="00711444" w:rsidRPr="004D0DAA" w:rsidRDefault="00711444" w:rsidP="00AA2A4C">
            <w:pPr>
              <w:rPr>
                <w:b/>
                <w:bCs/>
              </w:rPr>
            </w:pPr>
            <w:r w:rsidRPr="004D0DAA">
              <w:rPr>
                <w:b/>
                <w:bCs/>
              </w:rPr>
              <w:t xml:space="preserve">Length of MBMS Bearer Identity </w:t>
            </w:r>
            <w:r w:rsidRPr="004D0DAA">
              <w:t xml:space="preserve">(3 bit field) </w:t>
            </w:r>
            <w:r w:rsidRPr="004D0DAA">
              <w:br/>
              <w:t>This field indicates the length of the MBMS Bearer Identity. Any value from 1 to 5 inclusive is allowed. All other values are reserved.</w:t>
            </w:r>
          </w:p>
        </w:tc>
      </w:tr>
      <w:tr w:rsidR="00711444" w:rsidRPr="004D0DAA" w14:paraId="050AC0D4" w14:textId="77777777" w:rsidTr="00AA2A4C">
        <w:trPr>
          <w:cantSplit/>
        </w:trPr>
        <w:tc>
          <w:tcPr>
            <w:tcW w:w="9855" w:type="dxa"/>
          </w:tcPr>
          <w:p w14:paraId="0344E4D0" w14:textId="77777777" w:rsidR="00711444" w:rsidRPr="004D0DAA" w:rsidRDefault="00711444" w:rsidP="00AA2A4C">
            <w:r w:rsidRPr="004D0DAA">
              <w:rPr>
                <w:b/>
                <w:bCs/>
              </w:rPr>
              <w:t xml:space="preserve">MBMS Bearer Identity </w:t>
            </w:r>
            <w:r w:rsidRPr="004D0DAA">
              <w:t>(1-5 bit field)</w:t>
            </w:r>
            <w:r w:rsidRPr="004D0DAA">
              <w:rPr>
                <w:b/>
                <w:bCs/>
              </w:rPr>
              <w:br/>
            </w:r>
            <w:r w:rsidRPr="004D0DAA">
              <w:t xml:space="preserve">This field contains the Bearer identity for the MBMS session. This field is defined in </w:t>
            </w:r>
            <w:r w:rsidRPr="004D0DAA">
              <w:rPr>
                <w:iCs/>
              </w:rPr>
              <w:t>sub-clause</w:t>
            </w:r>
            <w:r w:rsidRPr="004D0DAA">
              <w:t xml:space="preserve"> 12.34.</w:t>
            </w:r>
          </w:p>
        </w:tc>
      </w:tr>
      <w:tr w:rsidR="00711444" w:rsidRPr="004D0DAA" w14:paraId="3A7BB49A" w14:textId="77777777" w:rsidTr="00AA2A4C">
        <w:trPr>
          <w:cantSplit/>
        </w:trPr>
        <w:tc>
          <w:tcPr>
            <w:tcW w:w="9855" w:type="dxa"/>
          </w:tcPr>
          <w:p w14:paraId="08944084" w14:textId="77777777" w:rsidR="00711444" w:rsidRPr="004D0DAA" w:rsidRDefault="00711444" w:rsidP="00AA2A4C">
            <w:r w:rsidRPr="004D0DAA">
              <w:rPr>
                <w:b/>
              </w:rPr>
              <w:t>EGPRS Window Size</w:t>
            </w:r>
            <w:r w:rsidRPr="004D0DAA">
              <w:rPr>
                <w:b/>
              </w:rPr>
              <w:br/>
            </w:r>
            <w:r w:rsidRPr="004D0DAA">
              <w:t>This information element is defined in sub-clause 12.5.2.</w:t>
            </w:r>
          </w:p>
        </w:tc>
      </w:tr>
      <w:tr w:rsidR="00711444" w:rsidRPr="004D0DAA" w14:paraId="569C7AF6" w14:textId="77777777" w:rsidTr="00AA2A4C">
        <w:trPr>
          <w:cantSplit/>
        </w:trPr>
        <w:tc>
          <w:tcPr>
            <w:tcW w:w="9855" w:type="dxa"/>
          </w:tcPr>
          <w:p w14:paraId="36CC4C6B" w14:textId="77777777" w:rsidR="00711444" w:rsidRPr="004D0DAA" w:rsidRDefault="00711444" w:rsidP="00AA2A4C">
            <w:r w:rsidRPr="004D0DAA">
              <w:rPr>
                <w:b/>
              </w:rPr>
              <w:t>TIMESLOT_ALLOCATION</w:t>
            </w:r>
            <w:r w:rsidRPr="004D0DAA">
              <w:rPr>
                <w:b/>
                <w:bCs/>
              </w:rPr>
              <w:t xml:space="preserve">_UPLINK_FEEDBACK_CHANNEL </w:t>
            </w:r>
            <w:r w:rsidRPr="004D0DAA">
              <w:t>(3 bit field)</w:t>
            </w:r>
            <w:r w:rsidRPr="004D0DAA">
              <w:rPr>
                <w:b/>
              </w:rPr>
              <w:br/>
            </w:r>
            <w:r w:rsidRPr="004D0DAA">
              <w:t>This field, if present, identifies the timeslot where the uplink feedback channel, on which the MBMS DOWNLINK ACK/NACK reports shall be sent, is located.</w:t>
            </w:r>
          </w:p>
        </w:tc>
      </w:tr>
      <w:tr w:rsidR="00711444" w:rsidRPr="004D0DAA" w14:paraId="1D543B05" w14:textId="77777777" w:rsidTr="00AA2A4C">
        <w:trPr>
          <w:cantSplit/>
        </w:trPr>
        <w:tc>
          <w:tcPr>
            <w:tcW w:w="9855" w:type="dxa"/>
          </w:tcPr>
          <w:p w14:paraId="4C262441"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6E49B93D" w14:textId="77777777" w:rsidR="00711444" w:rsidRPr="004D0DAA" w:rsidRDefault="00711444" w:rsidP="00AA2A4C">
            <w:pPr>
              <w:spacing w:after="0"/>
            </w:pPr>
            <w:r w:rsidRPr="004D0DAA">
              <w:t>This field is defined in sub-clause 12.45a.</w:t>
            </w:r>
          </w:p>
        </w:tc>
      </w:tr>
    </w:tbl>
    <w:p w14:paraId="4368EAFC" w14:textId="77777777" w:rsidR="00711444" w:rsidRPr="004D0DAA" w:rsidRDefault="00711444" w:rsidP="00711444"/>
    <w:p w14:paraId="2B0B99EB" w14:textId="77777777" w:rsidR="00711444" w:rsidRPr="004D0DAA" w:rsidRDefault="00711444" w:rsidP="00711444">
      <w:pPr>
        <w:pStyle w:val="Heading3"/>
      </w:pPr>
      <w:bookmarkStart w:id="729" w:name="_Toc516669905"/>
      <w:r w:rsidRPr="004D0DAA">
        <w:t>11.2.39a</w:t>
      </w:r>
      <w:r w:rsidRPr="004D0DAA">
        <w:tab/>
        <w:t>MBMS Assignment (Distribution)</w:t>
      </w:r>
      <w:bookmarkEnd w:id="729"/>
      <w:r w:rsidRPr="004D0DAA">
        <w:t xml:space="preserve"> </w:t>
      </w:r>
    </w:p>
    <w:p w14:paraId="771C9413" w14:textId="77777777" w:rsidR="00711444" w:rsidRPr="004D0DAA" w:rsidRDefault="00711444" w:rsidP="00711444">
      <w:pPr>
        <w:outlineLvl w:val="0"/>
      </w:pPr>
      <w:r w:rsidRPr="004D0DAA">
        <w:t xml:space="preserve">This message is sent on the PCCCH or on the PACCH from the network to mobile stations in order to assign the radio bearer resources for an MBMS session or to notify the mobile stations that a radio bearer for that MBMS session is not established in the cell. </w:t>
      </w:r>
    </w:p>
    <w:p w14:paraId="1E699697" w14:textId="77777777" w:rsidR="00711444" w:rsidRPr="004D0DAA" w:rsidRDefault="00711444" w:rsidP="00711444">
      <w:pPr>
        <w:pStyle w:val="EX"/>
      </w:pPr>
      <w:r w:rsidRPr="004D0DAA">
        <w:t>Message type:</w:t>
      </w:r>
      <w:r w:rsidRPr="004D0DAA">
        <w:tab/>
        <w:t>MBMS ASSIGNMENT (DISTRIBUTION)</w:t>
      </w:r>
    </w:p>
    <w:p w14:paraId="53C2D1BB" w14:textId="77777777" w:rsidR="00711444" w:rsidRPr="004D0DAA" w:rsidRDefault="00711444" w:rsidP="00711444">
      <w:pPr>
        <w:pStyle w:val="EX"/>
      </w:pPr>
      <w:r w:rsidRPr="004D0DAA">
        <w:t>Direction:</w:t>
      </w:r>
      <w:r w:rsidRPr="004D0DAA">
        <w:tab/>
        <w:t>network to mobile station</w:t>
      </w:r>
    </w:p>
    <w:p w14:paraId="73F4D995" w14:textId="77777777" w:rsidR="00711444" w:rsidRPr="004D0DAA" w:rsidRDefault="00711444" w:rsidP="00711444">
      <w:pPr>
        <w:pStyle w:val="EX"/>
      </w:pPr>
      <w:r w:rsidRPr="004D0DAA">
        <w:t>Classification:</w:t>
      </w:r>
      <w:r w:rsidRPr="004D0DAA">
        <w:tab/>
        <w:t>distribution message</w:t>
      </w:r>
    </w:p>
    <w:p w14:paraId="134C237D" w14:textId="77777777" w:rsidR="00711444" w:rsidRPr="004D0DAA" w:rsidRDefault="00711444" w:rsidP="00711444">
      <w:pPr>
        <w:pStyle w:val="TH"/>
        <w:outlineLvl w:val="0"/>
      </w:pPr>
      <w:r w:rsidRPr="004D0DAA">
        <w:lastRenderedPageBreak/>
        <w:t>Table 11.2.39a.1: MBMS ASSIGNMENT (DISTRIBUTION)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37C89A8" w14:textId="77777777" w:rsidTr="00AA2A4C">
        <w:tblPrEx>
          <w:tblCellMar>
            <w:top w:w="0" w:type="dxa"/>
            <w:bottom w:w="0" w:type="dxa"/>
          </w:tblCellMar>
        </w:tblPrEx>
        <w:trPr>
          <w:cantSplit/>
        </w:trPr>
        <w:tc>
          <w:tcPr>
            <w:tcW w:w="9848" w:type="dxa"/>
            <w:tcBorders>
              <w:bottom w:val="nil"/>
            </w:tcBorders>
          </w:tcPr>
          <w:p w14:paraId="6AFA3DB6" w14:textId="77777777" w:rsidR="00711444" w:rsidRPr="004D0DAA" w:rsidRDefault="00711444" w:rsidP="00AA2A4C">
            <w:pPr>
              <w:pStyle w:val="TAL"/>
              <w:rPr>
                <w:lang w:val="fr-FR" w:eastAsia="en-US"/>
              </w:rPr>
            </w:pPr>
            <w:r w:rsidRPr="004D0DAA">
              <w:rPr>
                <w:lang w:val="fr-FR" w:eastAsia="en-US"/>
              </w:rPr>
              <w:t>&lt; MBMS Assignment Distribution message content &gt; ::=</w:t>
            </w:r>
          </w:p>
          <w:p w14:paraId="1D1E5E0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31096C56" w14:textId="77777777" w:rsidR="00711444" w:rsidRPr="004D0DAA" w:rsidRDefault="00711444" w:rsidP="00AA2A4C">
            <w:pPr>
              <w:pStyle w:val="TAL"/>
              <w:rPr>
                <w:lang w:eastAsia="en-US"/>
              </w:rPr>
            </w:pPr>
            <w:r w:rsidRPr="004D0DAA">
              <w:rPr>
                <w:lang w:eastAsia="en-US"/>
              </w:rPr>
              <w:t>{</w:t>
            </w:r>
            <w:r w:rsidRPr="004D0DAA">
              <w:rPr>
                <w:lang w:eastAsia="en-US"/>
              </w:rPr>
              <w:tab/>
              <w:t xml:space="preserve">&lt; </w:t>
            </w:r>
            <w:r w:rsidRPr="004D0DAA">
              <w:rPr>
                <w:b/>
                <w:lang w:eastAsia="en-US"/>
              </w:rPr>
              <w:t>TMGI</w:t>
            </w:r>
            <w:r w:rsidRPr="004D0DAA">
              <w:rPr>
                <w:lang w:eastAsia="en-US"/>
              </w:rPr>
              <w:t xml:space="preserve"> : &lt; TMGI struct &gt; &gt;</w:t>
            </w:r>
          </w:p>
          <w:p w14:paraId="518DF183"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MBMS Session Identity</w:t>
            </w:r>
            <w:r w:rsidRPr="004D0DAA">
              <w:rPr>
                <w:lang w:eastAsia="en-US"/>
              </w:rPr>
              <w:t xml:space="preserve"> : bit (8) &gt; }</w:t>
            </w:r>
          </w:p>
          <w:p w14:paraId="4D77195D" w14:textId="77777777" w:rsidR="00711444" w:rsidRPr="004D0DAA" w:rsidRDefault="00711444" w:rsidP="00AA2A4C">
            <w:pPr>
              <w:pStyle w:val="TAL"/>
              <w:rPr>
                <w:lang w:eastAsia="en-US"/>
              </w:rPr>
            </w:pP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Assignment reject. No point-to-multipoint channel is established for the MBMS session.</w:t>
            </w:r>
          </w:p>
          <w:p w14:paraId="6D14D867"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Reject cause</w:t>
            </w:r>
            <w:r w:rsidRPr="004D0DAA">
              <w:rPr>
                <w:lang w:eastAsia="en-US"/>
              </w:rPr>
              <w:t>: bit (2) &gt;</w:t>
            </w:r>
          </w:p>
          <w:p w14:paraId="53BEDC8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Estimated Session Duration</w:t>
            </w:r>
            <w:r w:rsidRPr="004D0DAA">
              <w:rPr>
                <w:lang w:eastAsia="en-US"/>
              </w:rPr>
              <w:t xml:space="preserve"> : bit (8) &gt; }</w:t>
            </w:r>
          </w:p>
          <w:p w14:paraId="5C1F23A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 point-to-multipoint channel is established for the MBMS session.</w:t>
            </w:r>
          </w:p>
          <w:p w14:paraId="31A773C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MBMS bearer description</w:t>
            </w:r>
            <w:r w:rsidRPr="004D0DAA">
              <w:rPr>
                <w:lang w:eastAsia="en-US"/>
              </w:rPr>
              <w:t xml:space="preserve"> : &lt; MBMS bearer description struct &gt; &gt; </w:t>
            </w:r>
          </w:p>
          <w:p w14:paraId="0011059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Estimated Session Duration</w:t>
            </w:r>
            <w:r w:rsidRPr="004D0DAA">
              <w:rPr>
                <w:lang w:eastAsia="en-US"/>
              </w:rPr>
              <w:t xml:space="preserve"> : bit (8) &gt; </w:t>
            </w:r>
          </w:p>
          <w:p w14:paraId="28102E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bCs/>
                <w:iCs/>
                <w:lang w:eastAsia="en-US"/>
              </w:rPr>
              <w:t xml:space="preserve">MBMS In-band Signalling Indicator </w:t>
            </w:r>
            <w:r w:rsidRPr="004D0DAA">
              <w:rPr>
                <w:iCs/>
                <w:lang w:eastAsia="en-US"/>
              </w:rPr>
              <w:t>: &lt; MBMS In-band Signalling Indicator IE &gt; &gt;</w:t>
            </w:r>
          </w:p>
          <w:p w14:paraId="0FC5506D" w14:textId="77777777" w:rsidR="00711444" w:rsidRPr="004D0DAA" w:rsidRDefault="00711444" w:rsidP="00AA2A4C">
            <w:pPr>
              <w:pStyle w:val="TAL"/>
              <w:rPr>
                <w:lang w:eastAsia="en-US"/>
              </w:rPr>
            </w:pPr>
            <w:r w:rsidRPr="004D0DAA">
              <w:rPr>
                <w:lang w:eastAsia="en-US"/>
              </w:rPr>
              <w:tab/>
              <w:t>}</w:t>
            </w:r>
          </w:p>
          <w:p w14:paraId="1FAB1075" w14:textId="77777777" w:rsidR="00711444" w:rsidRPr="004D0DAA" w:rsidRDefault="00711444" w:rsidP="00AA2A4C">
            <w:pPr>
              <w:pStyle w:val="TAL"/>
              <w:rPr>
                <w:lang w:eastAsia="en-US"/>
              </w:rPr>
            </w:pPr>
            <w:r w:rsidRPr="004D0DAA">
              <w:rPr>
                <w:lang w:eastAsia="en-US"/>
              </w:rPr>
              <w:tab/>
            </w:r>
            <w:r w:rsidRPr="004D0DAA">
              <w:rPr>
                <w:lang w:eastAsia="en-US"/>
              </w:rPr>
              <w:tab/>
              <w:t xml:space="preserve">&lt; padding bits &gt; </w:t>
            </w:r>
          </w:p>
          <w:p w14:paraId="00A32E73" w14:textId="77777777" w:rsidR="00711444" w:rsidRPr="004D0DAA" w:rsidRDefault="00711444" w:rsidP="00AA2A4C">
            <w:pPr>
              <w:pStyle w:val="TAL"/>
              <w:rPr>
                <w:lang w:eastAsia="en-US"/>
              </w:rPr>
            </w:pPr>
            <w:r w:rsidRPr="004D0DAA">
              <w:rPr>
                <w:lang w:eastAsia="en-US"/>
              </w:rPr>
              <w:tab/>
              <w:t>! &lt; Distribution part error : bit (*) = &lt; no string &gt; &gt; } ;</w:t>
            </w:r>
          </w:p>
          <w:p w14:paraId="0F39B25E" w14:textId="77777777" w:rsidR="00711444" w:rsidRPr="004D0DAA" w:rsidRDefault="00711444" w:rsidP="00AA2A4C">
            <w:pPr>
              <w:pStyle w:val="TAL"/>
              <w:rPr>
                <w:lang w:eastAsia="en-US"/>
              </w:rPr>
            </w:pPr>
          </w:p>
        </w:tc>
      </w:tr>
      <w:tr w:rsidR="00711444" w:rsidRPr="004D0DAA" w14:paraId="45A0759D" w14:textId="77777777" w:rsidTr="00AA2A4C">
        <w:tblPrEx>
          <w:tblCellMar>
            <w:top w:w="0" w:type="dxa"/>
            <w:bottom w:w="0" w:type="dxa"/>
          </w:tblCellMar>
        </w:tblPrEx>
        <w:trPr>
          <w:cantSplit/>
        </w:trPr>
        <w:tc>
          <w:tcPr>
            <w:tcW w:w="9848" w:type="dxa"/>
            <w:tcBorders>
              <w:top w:val="nil"/>
            </w:tcBorders>
          </w:tcPr>
          <w:p w14:paraId="4BB9B847" w14:textId="77777777" w:rsidR="00711444" w:rsidRPr="004D0DAA" w:rsidRDefault="00711444" w:rsidP="00AA2A4C">
            <w:pPr>
              <w:pStyle w:val="TAL"/>
              <w:rPr>
                <w:lang w:eastAsia="en-US"/>
              </w:rPr>
            </w:pPr>
            <w:r w:rsidRPr="004D0DAA">
              <w:rPr>
                <w:lang w:eastAsia="en-US"/>
              </w:rPr>
              <w:t>&lt; MBMS bearer description struct &gt; :: =</w:t>
            </w:r>
          </w:p>
          <w:p w14:paraId="2EDF4D81"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MBMS Radio Bearer Starting Time</w:t>
            </w:r>
            <w:r w:rsidRPr="004D0DAA">
              <w:rPr>
                <w:lang w:eastAsia="en-US"/>
              </w:rPr>
              <w:t xml:space="preserve"> : &lt; bit (16) &gt; &gt; }</w:t>
            </w:r>
          </w:p>
          <w:p w14:paraId="47AD179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566EF1DE"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DOWNLINK_</w:t>
            </w:r>
            <w:r w:rsidRPr="004D0DAA">
              <w:rPr>
                <w:b/>
                <w:lang w:eastAsia="en-US"/>
              </w:rPr>
              <w:t xml:space="preserve">TIMESLOT_ALLOCATION </w:t>
            </w:r>
            <w:r w:rsidRPr="004D0DAA">
              <w:rPr>
                <w:lang w:eastAsia="en-US"/>
              </w:rPr>
              <w:t>: bit (8) &gt;</w:t>
            </w:r>
          </w:p>
          <w:p w14:paraId="7941AEB5"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Length of MBMS Bearer Identity</w:t>
            </w:r>
            <w:r w:rsidRPr="004D0DAA">
              <w:rPr>
                <w:lang w:eastAsia="en-US"/>
              </w:rPr>
              <w:t xml:space="preserve"> : bit (3) &gt;</w:t>
            </w:r>
          </w:p>
          <w:p w14:paraId="67D84685"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MBMS Bearer Identity</w:t>
            </w:r>
            <w:r w:rsidRPr="004D0DAA">
              <w:rPr>
                <w:lang w:eastAsia="en-US"/>
              </w:rPr>
              <w:t xml:space="preserve"> : bit (val (Length of MBMS Bearer Identity) ) &gt;</w:t>
            </w:r>
          </w:p>
          <w:p w14:paraId="6F16446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EGPRS Window Size</w:t>
            </w:r>
            <w:r w:rsidRPr="004D0DAA">
              <w:rPr>
                <w:lang w:eastAsia="en-US"/>
              </w:rPr>
              <w:t> : &lt; EGPRS Window Size IE &gt; &gt; }</w:t>
            </w:r>
          </w:p>
          <w:p w14:paraId="444A95A2"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TIMESLOT_ALLOCATION</w:t>
            </w:r>
            <w:r w:rsidRPr="004D0DAA">
              <w:rPr>
                <w:b/>
                <w:bCs/>
                <w:lang w:eastAsia="en-US"/>
              </w:rPr>
              <w:t xml:space="preserve">_UPLINK_FEEDBACK_CHANNEL </w:t>
            </w:r>
            <w:r w:rsidRPr="004D0DAA">
              <w:rPr>
                <w:lang w:eastAsia="en-US"/>
              </w:rPr>
              <w:t>: bit (3) &gt; }</w:t>
            </w:r>
          </w:p>
          <w:p w14:paraId="7C5B3181"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 ;</w:t>
            </w:r>
          </w:p>
          <w:p w14:paraId="518710E8" w14:textId="77777777" w:rsidR="00711444" w:rsidRPr="004D0DAA" w:rsidRDefault="00711444" w:rsidP="00AA2A4C">
            <w:pPr>
              <w:pStyle w:val="TAL"/>
              <w:rPr>
                <w:lang w:eastAsia="en-US"/>
              </w:rPr>
            </w:pPr>
          </w:p>
        </w:tc>
      </w:tr>
    </w:tbl>
    <w:p w14:paraId="37CCE000" w14:textId="77777777" w:rsidR="00711444" w:rsidRPr="004D0DAA" w:rsidRDefault="00711444" w:rsidP="00711444">
      <w:pPr>
        <w:rPr>
          <w:sz w:val="24"/>
        </w:rPr>
      </w:pPr>
    </w:p>
    <w:p w14:paraId="49BA4348" w14:textId="77777777" w:rsidR="00711444" w:rsidRPr="004D0DAA" w:rsidRDefault="00711444" w:rsidP="00711444">
      <w:pPr>
        <w:pStyle w:val="TH"/>
        <w:outlineLvl w:val="0"/>
      </w:pPr>
      <w:r w:rsidRPr="004D0DAA">
        <w:t>Table 11.2.39a.2: MBMS ASSIGNMENT (DISTRIBUTION)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9633"/>
      </w:tblGrid>
      <w:tr w:rsidR="00711444" w:rsidRPr="004D0DAA" w14:paraId="56D0CFE8" w14:textId="77777777" w:rsidTr="00AA2A4C">
        <w:trPr>
          <w:cantSplit/>
        </w:trPr>
        <w:tc>
          <w:tcPr>
            <w:tcW w:w="9855" w:type="dxa"/>
          </w:tcPr>
          <w:p w14:paraId="09B3EE7C" w14:textId="77777777" w:rsidR="00711444" w:rsidRPr="004D0DAA" w:rsidRDefault="00711444" w:rsidP="00AA2A4C">
            <w:r w:rsidRPr="004D0DAA">
              <w:rPr>
                <w:b/>
              </w:rPr>
              <w:t>PAGE_MODE</w:t>
            </w:r>
            <w:r w:rsidRPr="004D0DAA">
              <w:t xml:space="preserve"> (2 bit field)</w:t>
            </w:r>
            <w:r w:rsidRPr="004D0DAA">
              <w:br/>
              <w:t>This field is defined in</w:t>
            </w:r>
            <w:r w:rsidRPr="004D0DAA">
              <w:rPr>
                <w:i/>
              </w:rPr>
              <w:t xml:space="preserve"> </w:t>
            </w:r>
            <w:r w:rsidRPr="004D0DAA">
              <w:rPr>
                <w:iCs/>
              </w:rPr>
              <w:t>sub-clause</w:t>
            </w:r>
            <w:r w:rsidRPr="004D0DAA">
              <w:t xml:space="preserve"> 12.20.</w:t>
            </w:r>
          </w:p>
        </w:tc>
      </w:tr>
      <w:tr w:rsidR="00711444" w:rsidRPr="004D0DAA" w14:paraId="502D08B8" w14:textId="77777777" w:rsidTr="00AA2A4C">
        <w:trPr>
          <w:cantSplit/>
        </w:trPr>
        <w:tc>
          <w:tcPr>
            <w:tcW w:w="9855" w:type="dxa"/>
          </w:tcPr>
          <w:p w14:paraId="23C4CE5A" w14:textId="77777777" w:rsidR="00711444" w:rsidRPr="004D0DAA" w:rsidRDefault="00711444" w:rsidP="00AA2A4C">
            <w:r w:rsidRPr="004D0DAA">
              <w:rPr>
                <w:b/>
              </w:rPr>
              <w:t>TMGI</w:t>
            </w:r>
            <w:r w:rsidRPr="004D0DAA">
              <w:br/>
              <w:t>This field contains the Temporary Mobile Group Identity of the MBMS service. This field is encoded as defined in sub-clause 12.33.</w:t>
            </w:r>
          </w:p>
        </w:tc>
      </w:tr>
      <w:tr w:rsidR="00711444" w:rsidRPr="004D0DAA" w14:paraId="22EAF1B5" w14:textId="77777777" w:rsidTr="00AA2A4C">
        <w:trPr>
          <w:cantSplit/>
        </w:trPr>
        <w:tc>
          <w:tcPr>
            <w:tcW w:w="9855" w:type="dxa"/>
          </w:tcPr>
          <w:p w14:paraId="6AB45342" w14:textId="77777777" w:rsidR="00711444" w:rsidRPr="004D0DAA" w:rsidRDefault="00711444" w:rsidP="00AA2A4C">
            <w:r w:rsidRPr="004D0DAA">
              <w:rPr>
                <w:b/>
              </w:rPr>
              <w:t xml:space="preserve">MBMS Session Identity </w:t>
            </w:r>
            <w:r w:rsidRPr="004D0DAA">
              <w:t>(8 bit field)</w:t>
            </w:r>
            <w:r w:rsidRPr="004D0DAA">
              <w:br/>
              <w:t>This field contains the MBMS Session Identity of the concerned MBMS session.</w:t>
            </w:r>
          </w:p>
        </w:tc>
      </w:tr>
      <w:tr w:rsidR="00711444" w:rsidRPr="004D0DAA" w14:paraId="230FDE8F" w14:textId="77777777" w:rsidTr="00AA2A4C">
        <w:trPr>
          <w:cantSplit/>
        </w:trPr>
        <w:tc>
          <w:tcPr>
            <w:tcW w:w="9855" w:type="dxa"/>
          </w:tcPr>
          <w:p w14:paraId="2A47615B" w14:textId="77777777" w:rsidR="00711444" w:rsidRPr="004D0DAA" w:rsidRDefault="00711444" w:rsidP="00AA2A4C">
            <w:r w:rsidRPr="004D0DAA">
              <w:rPr>
                <w:b/>
              </w:rPr>
              <w:t xml:space="preserve">Reject cause </w:t>
            </w:r>
            <w:r w:rsidRPr="004D0DAA">
              <w:t>(2 bit field)</w:t>
            </w:r>
            <w:r w:rsidRPr="004D0DAA">
              <w:br/>
              <w:t>This field indicates whether the mobile station is allowed to perform further MBMS packet accesses for this MBMS session.</w:t>
            </w:r>
          </w:p>
          <w:p w14:paraId="0F6EA72B" w14:textId="77777777" w:rsidR="00711444" w:rsidRPr="004D0DAA" w:rsidRDefault="00711444" w:rsidP="00AA2A4C">
            <w:pPr>
              <w:rPr>
                <w:b/>
              </w:rPr>
            </w:pPr>
            <w:r w:rsidRPr="004D0DAA">
              <w:t>00</w:t>
            </w:r>
            <w:r w:rsidRPr="004D0DAA">
              <w:tab/>
              <w:t>No radio bearer established - further MBMS packet accesses allowed for this MBMS session in this cell</w:t>
            </w:r>
            <w:r w:rsidRPr="004D0DAA">
              <w:br/>
              <w:t>01</w:t>
            </w:r>
            <w:r w:rsidRPr="004D0DAA">
              <w:tab/>
              <w:t>No radio bearer established - no further MBMS packet accesses allowed for this MBMS session in this cell</w:t>
            </w:r>
            <w:r w:rsidRPr="004D0DAA">
              <w:br/>
              <w:t>10</w:t>
            </w:r>
            <w:r w:rsidRPr="004D0DAA">
              <w:tab/>
              <w:t>No radio bearer established - no further MBMS packet accesses allowed for this MBMS session in this Routing Area</w:t>
            </w:r>
            <w:r w:rsidRPr="004D0DAA">
              <w:br/>
              <w:t>11</w:t>
            </w:r>
            <w:r w:rsidRPr="004D0DAA">
              <w:tab/>
              <w:t>No radio bearer established - no further MBMS packet accesses allowed for this MBMS session in this PLMN</w:t>
            </w:r>
          </w:p>
        </w:tc>
      </w:tr>
      <w:tr w:rsidR="00711444" w:rsidRPr="004D0DAA" w14:paraId="6C9E3A66" w14:textId="77777777" w:rsidTr="00AA2A4C">
        <w:trPr>
          <w:cantSplit/>
        </w:trPr>
        <w:tc>
          <w:tcPr>
            <w:tcW w:w="9855" w:type="dxa"/>
          </w:tcPr>
          <w:p w14:paraId="32D9E7CC" w14:textId="77777777" w:rsidR="00711444" w:rsidRPr="004D0DAA" w:rsidRDefault="00711444" w:rsidP="00AA2A4C">
            <w:r w:rsidRPr="004D0DAA">
              <w:rPr>
                <w:b/>
              </w:rPr>
              <w:t xml:space="preserve">Estimated Session Duration </w:t>
            </w:r>
            <w:r w:rsidRPr="004D0DAA">
              <w:t>(8 bit field)</w:t>
            </w:r>
            <w:r w:rsidRPr="004D0DAA">
              <w:br/>
              <w:t>This field contains an estimation of the session duration for the concerned MBMS session. This information element is defined in sub-clause 12.44.</w:t>
            </w:r>
          </w:p>
        </w:tc>
      </w:tr>
      <w:tr w:rsidR="00711444" w:rsidRPr="004D0DAA" w14:paraId="03D9A067" w14:textId="77777777" w:rsidTr="00AA2A4C">
        <w:trPr>
          <w:cantSplit/>
        </w:trPr>
        <w:tc>
          <w:tcPr>
            <w:tcW w:w="9855" w:type="dxa"/>
          </w:tcPr>
          <w:p w14:paraId="0D334B3A" w14:textId="77777777" w:rsidR="00711444" w:rsidRPr="004D0DAA" w:rsidRDefault="00711444" w:rsidP="00AA2A4C">
            <w:pPr>
              <w:rPr>
                <w:b/>
              </w:rPr>
            </w:pPr>
            <w:r w:rsidRPr="004D0DAA">
              <w:rPr>
                <w:b/>
              </w:rPr>
              <w:t>MBMS In-band Signalling Indicator</w:t>
            </w:r>
            <w:r w:rsidRPr="004D0DAA">
              <w:br/>
              <w:t>This information element contains the MBMS In-band Signalling Indicator. This information element is defined in sub-clause 12.45.</w:t>
            </w:r>
          </w:p>
        </w:tc>
      </w:tr>
      <w:tr w:rsidR="00711444" w:rsidRPr="004D0DAA" w14:paraId="335AF264" w14:textId="77777777" w:rsidTr="00AA2A4C">
        <w:trPr>
          <w:cantSplit/>
        </w:trPr>
        <w:tc>
          <w:tcPr>
            <w:tcW w:w="9855" w:type="dxa"/>
          </w:tcPr>
          <w:p w14:paraId="4EEB48F6" w14:textId="77777777" w:rsidR="00711444" w:rsidRPr="004D0DAA" w:rsidRDefault="00711444" w:rsidP="00AA2A4C">
            <w:r w:rsidRPr="004D0DAA">
              <w:rPr>
                <w:b/>
                <w:bCs/>
              </w:rPr>
              <w:t xml:space="preserve">MBMS Radio Bearer Starting Time </w:t>
            </w:r>
            <w:r w:rsidRPr="004D0DAA">
              <w:t>(16 bit field)</w:t>
            </w:r>
            <w:r w:rsidRPr="004D0DAA">
              <w:br/>
              <w:t xml:space="preserve">This field contains a starting time that indicates the frame number from which the data transfer on the assigned MBMS radio bearer may start. The MBMS Radio Bearer Starting Time is encoded as the value part of the type 3 information element </w:t>
            </w:r>
            <w:r w:rsidRPr="004D0DAA">
              <w:rPr>
                <w:i/>
              </w:rPr>
              <w:t xml:space="preserve">Starting Time </w:t>
            </w:r>
            <w:r w:rsidRPr="004D0DAA">
              <w:t>in 3GPP TS 44.018.</w:t>
            </w:r>
          </w:p>
        </w:tc>
      </w:tr>
      <w:tr w:rsidR="00711444" w:rsidRPr="004D0DAA" w14:paraId="16ECD280" w14:textId="77777777" w:rsidTr="00AA2A4C">
        <w:trPr>
          <w:cantSplit/>
        </w:trPr>
        <w:tc>
          <w:tcPr>
            <w:tcW w:w="9855" w:type="dxa"/>
          </w:tcPr>
          <w:p w14:paraId="4311A4D2" w14:textId="77777777" w:rsidR="00711444" w:rsidRPr="004D0DAA" w:rsidRDefault="00711444" w:rsidP="00AA2A4C">
            <w:r w:rsidRPr="004D0DAA">
              <w:rPr>
                <w:b/>
              </w:rPr>
              <w:lastRenderedPageBreak/>
              <w:t>Frequency Parameters</w:t>
            </w:r>
            <w:r w:rsidRPr="004D0DAA">
              <w:rPr>
                <w:bCs/>
              </w:rPr>
              <w:br/>
            </w:r>
            <w:r w:rsidRPr="004D0DAA">
              <w:t xml:space="preserve">If this information element is not present, the same frequency as for the PCCCH or, if the PCCCH is not present in the cell, for the CCCH, on which the network sends this message or the IMMEDIATE ASSIGNMENT message including the </w:t>
            </w:r>
            <w:r w:rsidRPr="004D0DAA">
              <w:rPr>
                <w:i/>
              </w:rPr>
              <w:t>Multiple Blocks Packet Downlink Assignment</w:t>
            </w:r>
            <w:r w:rsidRPr="004D0DAA">
              <w:t xml:space="preserve"> construction and the </w:t>
            </w:r>
            <w:r w:rsidRPr="004D0DAA">
              <w:rPr>
                <w:i/>
              </w:rPr>
              <w:t>Packet Channel Description</w:t>
            </w:r>
            <w:r w:rsidRPr="004D0DAA">
              <w:t xml:space="preserve"> IE specifying the PDCH over which this message is sent (see 3GPP TS 44.018), respectively, shall be used. This information element is defined in sub-clause 12.8.</w:t>
            </w:r>
          </w:p>
        </w:tc>
      </w:tr>
      <w:tr w:rsidR="00711444" w:rsidRPr="004D0DAA" w14:paraId="374A3A6E" w14:textId="77777777" w:rsidTr="00AA2A4C">
        <w:trPr>
          <w:cantSplit/>
        </w:trPr>
        <w:tc>
          <w:tcPr>
            <w:tcW w:w="9855" w:type="dxa"/>
          </w:tcPr>
          <w:p w14:paraId="1654338C" w14:textId="77777777" w:rsidR="00711444" w:rsidRPr="004D0DAA" w:rsidRDefault="00711444" w:rsidP="00AA2A4C">
            <w:r w:rsidRPr="004D0DAA">
              <w:rPr>
                <w:b/>
                <w:bCs/>
              </w:rPr>
              <w:t>DOWNLINK_</w:t>
            </w:r>
            <w:r w:rsidRPr="004D0DAA">
              <w:rPr>
                <w:b/>
              </w:rPr>
              <w:t xml:space="preserve">TIMESLOT_ALLOCATION </w:t>
            </w:r>
            <w:r w:rsidRPr="004D0DAA">
              <w:t>(8 bit field)</w:t>
            </w:r>
            <w:r w:rsidRPr="004D0DAA">
              <w:rPr>
                <w:b/>
              </w:rPr>
              <w:br/>
            </w:r>
            <w:r w:rsidRPr="004D0DAA">
              <w:t>This field is defined in sub-clause 12.18.</w:t>
            </w:r>
          </w:p>
        </w:tc>
      </w:tr>
      <w:tr w:rsidR="00711444" w:rsidRPr="004D0DAA" w14:paraId="4C570BF6" w14:textId="77777777" w:rsidTr="00AA2A4C">
        <w:trPr>
          <w:cantSplit/>
        </w:trPr>
        <w:tc>
          <w:tcPr>
            <w:tcW w:w="9855" w:type="dxa"/>
          </w:tcPr>
          <w:p w14:paraId="35B06D1F" w14:textId="77777777" w:rsidR="00711444" w:rsidRPr="004D0DAA" w:rsidRDefault="00711444" w:rsidP="00AA2A4C">
            <w:r w:rsidRPr="004D0DAA">
              <w:rPr>
                <w:b/>
                <w:bCs/>
              </w:rPr>
              <w:t xml:space="preserve">MBMS Bearer Identity </w:t>
            </w:r>
            <w:r w:rsidRPr="004D0DAA">
              <w:t>(1-5 bit field)</w:t>
            </w:r>
            <w:r w:rsidRPr="004D0DAA">
              <w:rPr>
                <w:b/>
                <w:bCs/>
              </w:rPr>
              <w:br/>
            </w:r>
            <w:r w:rsidRPr="004D0DAA">
              <w:t xml:space="preserve">This field contains the Bearer identity for the MBMS session. This field is defined in </w:t>
            </w:r>
            <w:r w:rsidRPr="004D0DAA">
              <w:rPr>
                <w:iCs/>
              </w:rPr>
              <w:t>sub-clause</w:t>
            </w:r>
            <w:r w:rsidRPr="004D0DAA">
              <w:t xml:space="preserve"> 12.34.</w:t>
            </w:r>
          </w:p>
        </w:tc>
      </w:tr>
      <w:tr w:rsidR="00711444" w:rsidRPr="004D0DAA" w14:paraId="47D8A900" w14:textId="77777777" w:rsidTr="00AA2A4C">
        <w:trPr>
          <w:cantSplit/>
        </w:trPr>
        <w:tc>
          <w:tcPr>
            <w:tcW w:w="9855" w:type="dxa"/>
          </w:tcPr>
          <w:p w14:paraId="4272C411" w14:textId="77777777" w:rsidR="00711444" w:rsidRPr="004D0DAA" w:rsidRDefault="00711444" w:rsidP="00AA2A4C">
            <w:r w:rsidRPr="004D0DAA">
              <w:rPr>
                <w:b/>
              </w:rPr>
              <w:t>EGPRS Window Size</w:t>
            </w:r>
            <w:r w:rsidRPr="004D0DAA">
              <w:rPr>
                <w:b/>
              </w:rPr>
              <w:br/>
            </w:r>
            <w:r w:rsidRPr="004D0DAA">
              <w:t>This information element is defined in sub-clause 12.5.2.</w:t>
            </w:r>
          </w:p>
        </w:tc>
      </w:tr>
      <w:tr w:rsidR="00711444" w:rsidRPr="004D0DAA" w14:paraId="4C992826" w14:textId="77777777" w:rsidTr="00AA2A4C">
        <w:trPr>
          <w:cantSplit/>
        </w:trPr>
        <w:tc>
          <w:tcPr>
            <w:tcW w:w="9855" w:type="dxa"/>
          </w:tcPr>
          <w:p w14:paraId="5DD84342" w14:textId="77777777" w:rsidR="00711444" w:rsidRPr="004D0DAA" w:rsidRDefault="00711444" w:rsidP="00AA2A4C">
            <w:r w:rsidRPr="004D0DAA">
              <w:rPr>
                <w:b/>
              </w:rPr>
              <w:t>TIMESLOT_ALLOCATION</w:t>
            </w:r>
            <w:r w:rsidRPr="004D0DAA">
              <w:rPr>
                <w:b/>
                <w:bCs/>
              </w:rPr>
              <w:t xml:space="preserve">_UPLINK_FEEDBACK_CHANNEL </w:t>
            </w:r>
            <w:r w:rsidRPr="004D0DAA">
              <w:t>(3 bit field)</w:t>
            </w:r>
            <w:r w:rsidRPr="004D0DAA">
              <w:rPr>
                <w:b/>
              </w:rPr>
              <w:br/>
            </w:r>
            <w:r w:rsidRPr="004D0DAA">
              <w:t>This field, if present, identifies the timeslot where the uplink feedback channel, on which the MBMS DOWNLINK ACK/NACK reports shall be sent, is located.</w:t>
            </w:r>
          </w:p>
        </w:tc>
      </w:tr>
      <w:tr w:rsidR="00711444" w:rsidRPr="004D0DAA" w14:paraId="3499BFFF" w14:textId="77777777" w:rsidTr="00AA2A4C">
        <w:trPr>
          <w:cantSplit/>
        </w:trPr>
        <w:tc>
          <w:tcPr>
            <w:tcW w:w="9855" w:type="dxa"/>
          </w:tcPr>
          <w:p w14:paraId="2AA6063C"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3E49E9C3" w14:textId="77777777" w:rsidR="00711444" w:rsidRPr="004D0DAA" w:rsidRDefault="00711444" w:rsidP="00AA2A4C">
            <w:pPr>
              <w:rPr>
                <w:b/>
              </w:rPr>
            </w:pPr>
            <w:r w:rsidRPr="004D0DAA">
              <w:t>This field is defined in sub-clause 12.45a.</w:t>
            </w:r>
          </w:p>
        </w:tc>
      </w:tr>
    </w:tbl>
    <w:p w14:paraId="09677188" w14:textId="77777777" w:rsidR="00711444" w:rsidRPr="004D0DAA" w:rsidRDefault="00711444" w:rsidP="00711444"/>
    <w:p w14:paraId="607B245A" w14:textId="77777777" w:rsidR="00711444" w:rsidRPr="004D0DAA" w:rsidRDefault="00711444" w:rsidP="00711444">
      <w:pPr>
        <w:pStyle w:val="Heading3"/>
      </w:pPr>
      <w:bookmarkStart w:id="730" w:name="_Toc516669906"/>
      <w:r w:rsidRPr="004D0DAA">
        <w:t>11.2.40</w:t>
      </w:r>
      <w:r w:rsidRPr="004D0DAA">
        <w:tab/>
        <w:t>MBMS Neighbouring Cell Information</w:t>
      </w:r>
      <w:bookmarkEnd w:id="730"/>
    </w:p>
    <w:p w14:paraId="6F2E8881" w14:textId="77777777" w:rsidR="00711444" w:rsidRPr="004D0DAA" w:rsidRDefault="00711444" w:rsidP="00711444">
      <w:r w:rsidRPr="004D0DAA">
        <w:t>This optional message is sent by the network on the PACCH to provide details of the bearer allocated to a particular MBMS session in a neighbouring cell. This message shall not be segmented across more than one RLC/MAC control block. If not all information fits into one instance of the MBMS NEIGHBOURING CELL INFORMATION message, the information can be distributed over more than one instance of the message.</w:t>
      </w:r>
    </w:p>
    <w:p w14:paraId="6737A7B5" w14:textId="77777777" w:rsidR="00711444" w:rsidRPr="004D0DAA" w:rsidRDefault="00711444" w:rsidP="00711444">
      <w:pPr>
        <w:pStyle w:val="EX"/>
      </w:pPr>
      <w:r w:rsidRPr="004D0DAA">
        <w:t>Message type:</w:t>
      </w:r>
      <w:r w:rsidRPr="004D0DAA">
        <w:tab/>
        <w:t>MBMS NEIGHBOURING CELL INFORMATION</w:t>
      </w:r>
    </w:p>
    <w:p w14:paraId="5D29CBDB" w14:textId="77777777" w:rsidR="00711444" w:rsidRPr="004D0DAA" w:rsidRDefault="00711444" w:rsidP="00711444">
      <w:pPr>
        <w:pStyle w:val="EX"/>
      </w:pPr>
      <w:r w:rsidRPr="004D0DAA">
        <w:t>Direction:</w:t>
      </w:r>
      <w:r w:rsidRPr="004D0DAA">
        <w:tab/>
        <w:t>network to mobile station</w:t>
      </w:r>
    </w:p>
    <w:p w14:paraId="277E6920" w14:textId="77777777" w:rsidR="00711444" w:rsidRPr="004D0DAA" w:rsidRDefault="00711444" w:rsidP="00711444">
      <w:pPr>
        <w:pStyle w:val="EX"/>
      </w:pPr>
      <w:r w:rsidRPr="004D0DAA">
        <w:t>Classification:</w:t>
      </w:r>
      <w:r w:rsidRPr="004D0DAA">
        <w:tab/>
        <w:t>distribution message</w:t>
      </w:r>
    </w:p>
    <w:p w14:paraId="3793BEED" w14:textId="77777777" w:rsidR="00711444" w:rsidRPr="004D0DAA" w:rsidRDefault="00711444" w:rsidP="00711444">
      <w:pPr>
        <w:pStyle w:val="TH"/>
      </w:pPr>
      <w:r w:rsidRPr="004D0DAA">
        <w:lastRenderedPageBreak/>
        <w:t>Table 11.2.40.1: MBMS Neighbouring Cell Information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7909F8C" w14:textId="77777777" w:rsidTr="00AA2A4C">
        <w:tblPrEx>
          <w:tblCellMar>
            <w:top w:w="0" w:type="dxa"/>
            <w:bottom w:w="0" w:type="dxa"/>
          </w:tblCellMar>
        </w:tblPrEx>
        <w:trPr>
          <w:cantSplit/>
        </w:trPr>
        <w:tc>
          <w:tcPr>
            <w:tcW w:w="9848" w:type="dxa"/>
          </w:tcPr>
          <w:p w14:paraId="3A105CD2" w14:textId="77777777" w:rsidR="00711444" w:rsidRPr="004D0DAA" w:rsidRDefault="00711444" w:rsidP="00AA2A4C">
            <w:pPr>
              <w:pStyle w:val="TAL"/>
              <w:rPr>
                <w:lang w:eastAsia="en-US"/>
              </w:rPr>
            </w:pPr>
            <w:r w:rsidRPr="004D0DAA">
              <w:rPr>
                <w:lang w:eastAsia="en-US"/>
              </w:rPr>
              <w:t>&lt; MBMS Neighbouring Cell Information message content &gt; ::=</w:t>
            </w:r>
          </w:p>
          <w:p w14:paraId="20C5AC2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PAGE_MODE </w:t>
            </w:r>
            <w:r w:rsidRPr="004D0DAA">
              <w:rPr>
                <w:lang w:eastAsia="en-US"/>
              </w:rPr>
              <w:t xml:space="preserve">: bit (2) &gt; </w:t>
            </w:r>
          </w:p>
          <w:p w14:paraId="5A69E8B2"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t xml:space="preserve">&lt; </w:t>
            </w:r>
            <w:r w:rsidRPr="004D0DAA">
              <w:rPr>
                <w:b/>
                <w:bCs/>
                <w:lang w:eastAsia="en-US"/>
              </w:rPr>
              <w:t>NEIGHBOUR_CELL_IN</w:t>
            </w:r>
            <w:r w:rsidRPr="004D0DAA">
              <w:rPr>
                <w:b/>
                <w:lang w:eastAsia="en-US"/>
              </w:rPr>
              <w:t>DEX</w:t>
            </w:r>
            <w:r w:rsidRPr="004D0DAA">
              <w:rPr>
                <w:lang w:eastAsia="en-US"/>
              </w:rPr>
              <w:t xml:space="preserve"> : bit (7) &gt;</w:t>
            </w:r>
          </w:p>
          <w:p w14:paraId="2C10EC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BSIC</w:t>
            </w:r>
            <w:r w:rsidRPr="004D0DAA">
              <w:rPr>
                <w:lang w:eastAsia="en-US"/>
              </w:rPr>
              <w:t xml:space="preserve"> : bit (6) &gt; }</w:t>
            </w:r>
          </w:p>
          <w:p w14:paraId="203B899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MBMS_PTM_CHANGE_MARK </w:t>
            </w:r>
            <w:r w:rsidRPr="004D0DAA">
              <w:rPr>
                <w:lang w:eastAsia="en-US"/>
              </w:rPr>
              <w:t>: bit (2) &gt;</w:t>
            </w:r>
          </w:p>
          <w:p w14:paraId="2719E61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p>
          <w:p w14:paraId="279C7C0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Length of MBMS Bearer Identity</w:t>
            </w:r>
            <w:r w:rsidRPr="004D0DAA">
              <w:rPr>
                <w:lang w:eastAsia="en-US"/>
              </w:rPr>
              <w:t xml:space="preserve"> : bit (3) &gt;</w:t>
            </w:r>
          </w:p>
          <w:p w14:paraId="394E446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MBMS Bearer Identity</w:t>
            </w:r>
            <w:r w:rsidRPr="004D0DAA">
              <w:rPr>
                <w:lang w:eastAsia="en-US"/>
              </w:rPr>
              <w:t xml:space="preserve"> : bit (val (Length of MBMS Bearer Identity)) &gt;</w:t>
            </w:r>
          </w:p>
          <w:p w14:paraId="0AA2D79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Absence cause</w:t>
            </w:r>
            <w:r w:rsidRPr="004D0DAA">
              <w:rPr>
                <w:lang w:eastAsia="en-US"/>
              </w:rPr>
              <w:t>: bit (2) &gt;</w:t>
            </w:r>
          </w:p>
          <w:p w14:paraId="2434BFB4" w14:textId="77777777" w:rsidR="00711444" w:rsidRPr="004D0DAA" w:rsidRDefault="00711444" w:rsidP="00AA2A4C">
            <w:pPr>
              <w:pStyle w:val="TAL"/>
              <w:rPr>
                <w:i/>
                <w:lang w:eastAsia="en-US"/>
              </w:rPr>
            </w:pPr>
            <w:r w:rsidRPr="004D0DAA">
              <w:rPr>
                <w:iCs/>
                <w:lang w:eastAsia="en-US"/>
              </w:rPr>
              <w:tab/>
            </w:r>
            <w:r w:rsidRPr="004D0DAA">
              <w:rPr>
                <w:iCs/>
                <w:lang w:eastAsia="en-US"/>
              </w:rPr>
              <w:tab/>
            </w:r>
            <w:r w:rsidRPr="004D0DAA">
              <w:rPr>
                <w:iCs/>
                <w:lang w:eastAsia="en-US"/>
              </w:rPr>
              <w:tab/>
              <w:t>} ** 0</w:t>
            </w:r>
            <w:r w:rsidRPr="004D0DAA">
              <w:rPr>
                <w:iCs/>
                <w:lang w:eastAsia="en-US"/>
              </w:rPr>
              <w:tab/>
              <w:t xml:space="preserve">-- </w:t>
            </w:r>
            <w:r w:rsidRPr="004D0DAA">
              <w:rPr>
                <w:i/>
                <w:iCs/>
                <w:lang w:eastAsia="en-US"/>
              </w:rPr>
              <w:t>End of list of MBMS bearers for which no p-t-m channel description is given in the neighbour cell</w:t>
            </w:r>
          </w:p>
          <w:p w14:paraId="16AB10B2"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 xml:space="preserve">MBMS Frequency List </w:t>
            </w:r>
            <w:r w:rsidRPr="004D0DAA">
              <w:rPr>
                <w:lang w:eastAsia="en-US"/>
              </w:rPr>
              <w:t>: &lt; MBMS Frequency List struct &gt; &gt; } **0</w:t>
            </w:r>
          </w:p>
          <w:p w14:paraId="3BAC27E6"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 xml:space="preserve">MBMS p-t-m </w:t>
            </w:r>
            <w:r w:rsidRPr="004D0DAA">
              <w:rPr>
                <w:b/>
                <w:lang w:eastAsia="en-US"/>
              </w:rPr>
              <w:t>Frequency Parameters</w:t>
            </w:r>
            <w:r w:rsidRPr="004D0DAA">
              <w:rPr>
                <w:lang w:eastAsia="en-US"/>
              </w:rPr>
              <w:t xml:space="preserve"> : &lt; MBMS p-t-m Frequency Parameters struct &gt; &gt;</w:t>
            </w:r>
          </w:p>
          <w:p w14:paraId="568374F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DOWNLINK_</w:t>
            </w:r>
            <w:r w:rsidRPr="004D0DAA">
              <w:rPr>
                <w:b/>
                <w:lang w:eastAsia="en-US"/>
              </w:rPr>
              <w:t>TIMESLOT_ALLOCATION</w:t>
            </w:r>
            <w:r w:rsidRPr="004D0DAA">
              <w:rPr>
                <w:lang w:eastAsia="en-US"/>
              </w:rPr>
              <w:t xml:space="preserve"> : bit (8) &gt;</w:t>
            </w:r>
            <w:r w:rsidRPr="004D0DAA">
              <w:rPr>
                <w:lang w:eastAsia="en-US"/>
              </w:rPr>
              <w:tab/>
            </w:r>
            <w:r w:rsidRPr="004D0DAA">
              <w:rPr>
                <w:lang w:eastAsia="en-US"/>
              </w:rPr>
              <w:tab/>
            </w:r>
            <w:r w:rsidRPr="004D0DAA">
              <w:rPr>
                <w:lang w:eastAsia="en-US"/>
              </w:rPr>
              <w:tab/>
              <w:t xml:space="preserve">-- </w:t>
            </w:r>
            <w:r w:rsidRPr="004D0DAA">
              <w:rPr>
                <w:i/>
                <w:lang w:eastAsia="en-US"/>
              </w:rPr>
              <w:t>default value</w:t>
            </w:r>
            <w:r w:rsidRPr="004D0DAA">
              <w:rPr>
                <w:lang w:eastAsia="en-US"/>
              </w:rPr>
              <w:t xml:space="preserve"> </w:t>
            </w:r>
          </w:p>
          <w:p w14:paraId="0C2B6D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Length of Serving MBMS Bearer Identity</w:t>
            </w:r>
            <w:r w:rsidRPr="004D0DAA">
              <w:rPr>
                <w:lang w:eastAsia="en-US"/>
              </w:rPr>
              <w:t xml:space="preserve"> : bit (3) &gt;</w:t>
            </w:r>
          </w:p>
          <w:p w14:paraId="7907D5F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Serving MBMS Bearer Identity</w:t>
            </w:r>
            <w:r w:rsidRPr="004D0DAA">
              <w:rPr>
                <w:lang w:eastAsia="en-US"/>
              </w:rPr>
              <w:t xml:space="preserve"> : bit (val (Length of Serving MBMS Bearer Identity)) &gt;</w:t>
            </w:r>
          </w:p>
          <w:p w14:paraId="3CA98D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Length of Neighbour MBMS Bearer Identity</w:t>
            </w:r>
            <w:r w:rsidRPr="004D0DAA">
              <w:rPr>
                <w:lang w:eastAsia="en-US"/>
              </w:rPr>
              <w:t xml:space="preserve"> : bit (3) &gt;</w:t>
            </w:r>
          </w:p>
          <w:p w14:paraId="4FA636B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Neighbour MBMS Bearer Identity</w:t>
            </w:r>
            <w:r w:rsidRPr="004D0DAA">
              <w:rPr>
                <w:lang w:eastAsia="en-US"/>
              </w:rPr>
              <w:t xml:space="preserve"> : bit (val (Length of Neighbour MBMS Bearer Identity)) &gt;</w:t>
            </w:r>
          </w:p>
          <w:p w14:paraId="368D4AA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EGPRS Window Size</w:t>
            </w:r>
            <w:r w:rsidRPr="004D0DAA">
              <w:rPr>
                <w:lang w:eastAsia="en-US"/>
              </w:rPr>
              <w:t> : &lt; EGPRS Window Size IE &gt;&gt; }</w:t>
            </w:r>
          </w:p>
          <w:p w14:paraId="657558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 xml:space="preserve">0 </w:t>
            </w:r>
            <w:r w:rsidRPr="004D0DAA">
              <w:rPr>
                <w:lang w:eastAsia="en-US"/>
              </w:rPr>
              <w:t>| 1</w:t>
            </w:r>
            <w:r w:rsidRPr="004D0DAA">
              <w:rPr>
                <w:lang w:eastAsia="en-US"/>
              </w:rPr>
              <w:tab/>
              <w:t xml:space="preserve">&lt; </w:t>
            </w:r>
            <w:r w:rsidRPr="004D0DAA">
              <w:rPr>
                <w:b/>
                <w:bCs/>
                <w:lang w:eastAsia="en-US"/>
              </w:rPr>
              <w:t>DOWNLINK_</w:t>
            </w:r>
            <w:r w:rsidRPr="004D0DAA">
              <w:rPr>
                <w:b/>
                <w:lang w:eastAsia="en-US"/>
              </w:rPr>
              <w:t>TIMESLOT_ALLOCATION</w:t>
            </w:r>
            <w:r w:rsidRPr="004D0DAA">
              <w:rPr>
                <w:lang w:eastAsia="en-US"/>
              </w:rPr>
              <w:t xml:space="preserve"> : bit (8) &gt;</w:t>
            </w:r>
            <w:r w:rsidRPr="004D0DAA">
              <w:rPr>
                <w:lang w:eastAsia="en-US"/>
              </w:rPr>
              <w:tab/>
              <w:t>}</w:t>
            </w:r>
            <w:r w:rsidRPr="004D0DAA">
              <w:rPr>
                <w:lang w:eastAsia="en-US"/>
              </w:rPr>
              <w:tab/>
            </w:r>
            <w:r w:rsidRPr="004D0DAA">
              <w:rPr>
                <w:lang w:eastAsia="en-US"/>
              </w:rPr>
              <w:tab/>
              <w:t xml:space="preserve">-- </w:t>
            </w:r>
            <w:r w:rsidRPr="004D0DAA">
              <w:rPr>
                <w:i/>
                <w:lang w:eastAsia="en-US"/>
              </w:rPr>
              <w:t>specific value</w:t>
            </w:r>
          </w:p>
          <w:p w14:paraId="61D8FD8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Cs/>
                <w:lang w:eastAsia="en-US"/>
              </w:rPr>
              <w:t xml:space="preserve">0 </w:t>
            </w:r>
            <w:r w:rsidRPr="004D0DAA">
              <w:rPr>
                <w:lang w:eastAsia="en-US"/>
              </w:rPr>
              <w:t>| 1</w:t>
            </w:r>
            <w:r w:rsidRPr="004D0DAA">
              <w:rPr>
                <w:lang w:eastAsia="en-US"/>
              </w:rPr>
              <w:tab/>
              <w:t xml:space="preserve">&lt; </w:t>
            </w:r>
            <w:r w:rsidRPr="004D0DAA">
              <w:rPr>
                <w:b/>
                <w:bCs/>
                <w:lang w:eastAsia="en-US"/>
              </w:rPr>
              <w:t>TIMESLOT_ALLOCATION_UPLINK_FEEDBACK_CHANNEL</w:t>
            </w:r>
            <w:r w:rsidRPr="004D0DAA">
              <w:rPr>
                <w:lang w:eastAsia="en-US"/>
              </w:rPr>
              <w:t xml:space="preserve"> : bit (3) &gt;</w:t>
            </w:r>
            <w:r w:rsidRPr="004D0DAA">
              <w:rPr>
                <w:lang w:eastAsia="en-US"/>
              </w:rPr>
              <w:tab/>
              <w:t xml:space="preserve"> }</w:t>
            </w:r>
          </w:p>
          <w:p w14:paraId="5C82315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MBMS Radio Bearer Starting Time</w:t>
            </w:r>
            <w:r w:rsidRPr="004D0DAA">
              <w:rPr>
                <w:lang w:eastAsia="en-US"/>
              </w:rPr>
              <w:t xml:space="preserve"> : &lt; bit (16) &gt; &gt; }</w:t>
            </w:r>
          </w:p>
          <w:p w14:paraId="09AB39D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bCs/>
                <w:iCs/>
                <w:lang w:eastAsia="en-US"/>
              </w:rPr>
              <w:t xml:space="preserve">MBMS In-band Signalling Indicator </w:t>
            </w:r>
            <w:r w:rsidRPr="004D0DAA">
              <w:rPr>
                <w:iCs/>
                <w:lang w:eastAsia="en-US"/>
              </w:rPr>
              <w:t>: &lt; MBMS In-band Signalling Indicator IE &gt; &gt;</w:t>
            </w:r>
          </w:p>
          <w:p w14:paraId="08D683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288B777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 0</w:t>
            </w:r>
            <w:r w:rsidRPr="004D0DAA">
              <w:rPr>
                <w:lang w:eastAsia="en-US"/>
              </w:rPr>
              <w:tab/>
              <w:t xml:space="preserve">-- </w:t>
            </w:r>
            <w:r w:rsidRPr="004D0DAA">
              <w:rPr>
                <w:i/>
                <w:lang w:eastAsia="en-US"/>
              </w:rPr>
              <w:t>End of list of MBMS bearer descriptions sharing the same PDCH (frequency parameters)</w:t>
            </w:r>
          </w:p>
          <w:p w14:paraId="0972CCDA" w14:textId="77777777" w:rsidR="00711444" w:rsidRPr="004D0DAA" w:rsidRDefault="00711444" w:rsidP="00AA2A4C">
            <w:pPr>
              <w:pStyle w:val="TAL"/>
              <w:rPr>
                <w:lang w:eastAsia="en-US"/>
              </w:rPr>
            </w:pPr>
            <w:r w:rsidRPr="004D0DAA">
              <w:rPr>
                <w:lang w:eastAsia="en-US"/>
              </w:rPr>
              <w:tab/>
            </w:r>
            <w:r w:rsidRPr="004D0DAA">
              <w:rPr>
                <w:lang w:eastAsia="en-US"/>
              </w:rPr>
              <w:tab/>
              <w:t>} ** 0</w:t>
            </w:r>
            <w:r w:rsidRPr="004D0DAA">
              <w:rPr>
                <w:lang w:eastAsia="en-US"/>
              </w:rPr>
              <w:tab/>
            </w:r>
            <w:r w:rsidRPr="004D0DAA">
              <w:rPr>
                <w:lang w:eastAsia="en-US"/>
              </w:rPr>
              <w:tab/>
              <w:t xml:space="preserve">-- </w:t>
            </w:r>
            <w:r w:rsidRPr="004D0DAA">
              <w:rPr>
                <w:i/>
                <w:lang w:eastAsia="en-US"/>
              </w:rPr>
              <w:t>End of list of PDCHs for this cell</w:t>
            </w:r>
          </w:p>
          <w:p w14:paraId="142978A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PBCCH information</w:t>
            </w:r>
            <w:r w:rsidRPr="004D0DAA">
              <w:rPr>
                <w:lang w:eastAsia="en-US"/>
              </w:rPr>
              <w:t xml:space="preserve"> : &lt; PBCCH information struct &gt; &gt; }</w:t>
            </w:r>
            <w:r w:rsidRPr="004D0DAA">
              <w:rPr>
                <w:lang w:eastAsia="en-US"/>
              </w:rPr>
              <w:tab/>
            </w:r>
          </w:p>
          <w:p w14:paraId="16064DA7" w14:textId="77777777" w:rsidR="00711444" w:rsidRPr="004D0DAA" w:rsidRDefault="00711444" w:rsidP="00AA2A4C">
            <w:pPr>
              <w:pStyle w:val="TAL"/>
              <w:rPr>
                <w:lang w:eastAsia="en-US"/>
              </w:rPr>
            </w:pPr>
            <w:r w:rsidRPr="004D0DAA">
              <w:rPr>
                <w:lang w:eastAsia="en-US"/>
              </w:rPr>
              <w:tab/>
              <w:t>} ** 0</w:t>
            </w:r>
            <w:r w:rsidRPr="004D0DAA">
              <w:rPr>
                <w:lang w:eastAsia="en-US"/>
              </w:rPr>
              <w:tab/>
            </w:r>
            <w:r w:rsidRPr="004D0DAA">
              <w:rPr>
                <w:lang w:eastAsia="en-US"/>
              </w:rPr>
              <w:tab/>
              <w:t xml:space="preserve">-- </w:t>
            </w:r>
            <w:r w:rsidRPr="004D0DAA">
              <w:rPr>
                <w:i/>
                <w:lang w:eastAsia="en-US"/>
              </w:rPr>
              <w:t>End of list of neighbouring cells</w:t>
            </w:r>
          </w:p>
          <w:p w14:paraId="0ADDAEE0" w14:textId="77777777" w:rsidR="00711444" w:rsidRPr="004D0DAA" w:rsidRDefault="00711444" w:rsidP="00AA2A4C">
            <w:pPr>
              <w:pStyle w:val="TAL"/>
              <w:rPr>
                <w:lang w:eastAsia="en-US"/>
              </w:rPr>
            </w:pPr>
            <w:r w:rsidRPr="004D0DAA">
              <w:rPr>
                <w:lang w:eastAsia="en-US"/>
              </w:rPr>
              <w:tab/>
              <w:t xml:space="preserve">{ null | 0 </w:t>
            </w:r>
            <w:r w:rsidRPr="004D0DAA">
              <w:rPr>
                <w:lang w:eastAsia="en-US"/>
              </w:rPr>
              <w:tab/>
              <w:t>bit** = &lt; no string &gt;</w:t>
            </w:r>
            <w:r w:rsidRPr="004D0DAA">
              <w:rPr>
                <w:lang w:eastAsia="en-US"/>
              </w:rPr>
              <w:tab/>
              <w:t xml:space="preserve">-- </w:t>
            </w:r>
            <w:r w:rsidRPr="004D0DAA">
              <w:rPr>
                <w:i/>
                <w:lang w:eastAsia="en-US"/>
              </w:rPr>
              <w:t>Receiver compatible with earlier release</w:t>
            </w:r>
          </w:p>
          <w:p w14:paraId="758A8B7B"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Rel-7 additions</w:t>
            </w:r>
          </w:p>
          <w:p w14:paraId="5F15F228" w14:textId="77777777" w:rsidR="00711444" w:rsidRPr="004D0DAA" w:rsidRDefault="00711444" w:rsidP="00AA2A4C">
            <w:pPr>
              <w:pStyle w:val="TAL"/>
              <w:rPr>
                <w:szCs w:val="18"/>
                <w:lang w:eastAsia="en-US"/>
              </w:rPr>
            </w:pPr>
            <w:r w:rsidRPr="004D0DAA">
              <w:rPr>
                <w:lang w:eastAsia="en-US"/>
              </w:rPr>
              <w:tab/>
            </w:r>
            <w:r w:rsidRPr="004D0DAA">
              <w:rPr>
                <w:lang w:eastAsia="en-US"/>
              </w:rPr>
              <w:tab/>
              <w:t>{ 1</w:t>
            </w:r>
            <w:r w:rsidRPr="004D0DAA">
              <w:rPr>
                <w:lang w:eastAsia="en-US"/>
              </w:rPr>
              <w:tab/>
            </w:r>
            <w:r w:rsidRPr="004D0DAA">
              <w:rPr>
                <w:rFonts w:cs="Arial"/>
                <w:szCs w:val="18"/>
                <w:lang w:eastAsia="en-US"/>
              </w:rPr>
              <w:t xml:space="preserve">{ 0 | 1 </w:t>
            </w:r>
            <w:r w:rsidRPr="004D0DAA">
              <w:rPr>
                <w:rFonts w:cs="Arial"/>
                <w:szCs w:val="18"/>
                <w:lang w:eastAsia="en-US"/>
              </w:rPr>
              <w:tab/>
              <w:t xml:space="preserve">&lt; </w:t>
            </w:r>
            <w:r w:rsidRPr="004D0DAA">
              <w:rPr>
                <w:rFonts w:cs="Arial"/>
                <w:b/>
                <w:bCs/>
                <w:szCs w:val="18"/>
                <w:lang w:eastAsia="en-US"/>
              </w:rPr>
              <w:t>USF</w:t>
            </w:r>
            <w:r w:rsidRPr="004D0DAA">
              <w:rPr>
                <w:rFonts w:cs="Arial"/>
                <w:szCs w:val="18"/>
                <w:lang w:eastAsia="en-US"/>
              </w:rPr>
              <w:t xml:space="preserve"> : bit (3) &gt; </w:t>
            </w:r>
            <w:r w:rsidRPr="004D0DAA">
              <w:rPr>
                <w:rFonts w:cs="Arial"/>
                <w:szCs w:val="18"/>
                <w:lang w:eastAsia="en-US"/>
              </w:rPr>
              <w:tab/>
              <w:t xml:space="preserve">-- </w:t>
            </w:r>
            <w:r w:rsidRPr="004D0DAA">
              <w:rPr>
                <w:rFonts w:cs="Arial"/>
                <w:i/>
                <w:szCs w:val="18"/>
                <w:lang w:eastAsia="en-US"/>
              </w:rPr>
              <w:t>choice bit indicates presence or not of parameters for the MBMS bearer</w:t>
            </w:r>
          </w:p>
          <w:p w14:paraId="67F7C7C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 xml:space="preserve">MPRACH Control Parameters </w:t>
            </w:r>
            <w:r w:rsidRPr="004D0DAA">
              <w:rPr>
                <w:lang w:eastAsia="en-US"/>
              </w:rPr>
              <w:t xml:space="preserve">: &lt; MPRACH Control Parameters IE &gt; &gt; } </w:t>
            </w:r>
          </w:p>
          <w:p w14:paraId="27B77E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458B1497" w14:textId="77777777" w:rsidR="00711444" w:rsidRPr="004D0DAA" w:rsidRDefault="00711444" w:rsidP="00AA2A4C">
            <w:pPr>
              <w:pStyle w:val="TAL"/>
              <w:rPr>
                <w:lang w:eastAsia="en-US"/>
              </w:rPr>
            </w:pPr>
            <w:r w:rsidRPr="004D0DAA">
              <w:rPr>
                <w:lang w:eastAsia="en-US"/>
              </w:rPr>
              <w:tab/>
            </w:r>
            <w:r w:rsidRPr="004D0DAA">
              <w:rPr>
                <w:lang w:eastAsia="en-US"/>
              </w:rPr>
              <w:tab/>
              <w:t>} ** 0</w:t>
            </w:r>
            <w:r w:rsidRPr="004D0DAA">
              <w:rPr>
                <w:lang w:eastAsia="en-US"/>
              </w:rPr>
              <w:tab/>
            </w:r>
            <w:r w:rsidRPr="004D0DAA">
              <w:rPr>
                <w:lang w:eastAsia="en-US"/>
              </w:rPr>
              <w:tab/>
            </w:r>
            <w:r w:rsidRPr="004D0DAA">
              <w:rPr>
                <w:lang w:eastAsia="en-US"/>
              </w:rPr>
              <w:tab/>
              <w:t xml:space="preserve">-- </w:t>
            </w:r>
            <w:r w:rsidRPr="004D0DAA">
              <w:rPr>
                <w:i/>
                <w:lang w:eastAsia="en-US"/>
              </w:rPr>
              <w:t>End of list of MBMS bearers.</w:t>
            </w:r>
            <w:r w:rsidRPr="004D0DAA">
              <w:rPr>
                <w:lang w:eastAsia="en-US"/>
              </w:rPr>
              <w:t xml:space="preserve"> </w:t>
            </w:r>
          </w:p>
          <w:p w14:paraId="03A1CE0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list of MBMS bearers is ordered as described by the loops in the earlier releases part.</w:t>
            </w:r>
          </w:p>
          <w:p w14:paraId="716AC9D2" w14:textId="77777777" w:rsidR="00711444" w:rsidRPr="004D0DAA" w:rsidRDefault="00711444" w:rsidP="00AA2A4C">
            <w:pPr>
              <w:pStyle w:val="TAL"/>
              <w:rPr>
                <w:lang w:eastAsia="en-US"/>
              </w:rPr>
            </w:pPr>
            <w:r w:rsidRPr="004D0DAA">
              <w:rPr>
                <w:lang w:eastAsia="en-US"/>
              </w:rPr>
              <w:tab/>
              <w:t>}</w:t>
            </w:r>
          </w:p>
          <w:p w14:paraId="28CD7C38" w14:textId="77777777" w:rsidR="00711444" w:rsidRPr="004D0DAA" w:rsidRDefault="00711444" w:rsidP="00AA2A4C">
            <w:pPr>
              <w:pStyle w:val="TAL"/>
              <w:rPr>
                <w:lang w:eastAsia="en-US"/>
              </w:rPr>
            </w:pPr>
            <w:r w:rsidRPr="004D0DAA">
              <w:rPr>
                <w:lang w:eastAsia="en-US"/>
              </w:rPr>
              <w:tab/>
              <w:t>&lt; padding bits &gt;</w:t>
            </w:r>
          </w:p>
          <w:p w14:paraId="6E233ECB" w14:textId="77777777" w:rsidR="00711444" w:rsidRPr="004D0DAA" w:rsidRDefault="00711444" w:rsidP="00AA2A4C">
            <w:pPr>
              <w:pStyle w:val="TAL"/>
              <w:rPr>
                <w:lang w:eastAsia="en-US"/>
              </w:rPr>
            </w:pPr>
            <w:r w:rsidRPr="004D0DAA">
              <w:rPr>
                <w:lang w:eastAsia="en-US"/>
              </w:rPr>
              <w:t>! &lt; Distribution part error : bit (*) = &lt; no string &gt; &gt; ;</w:t>
            </w:r>
          </w:p>
          <w:p w14:paraId="592CD267" w14:textId="77777777" w:rsidR="00711444" w:rsidRPr="004D0DAA" w:rsidRDefault="00711444" w:rsidP="00AA2A4C">
            <w:pPr>
              <w:pStyle w:val="TAL"/>
              <w:rPr>
                <w:lang w:eastAsia="en-US"/>
              </w:rPr>
            </w:pPr>
          </w:p>
        </w:tc>
      </w:tr>
      <w:tr w:rsidR="00711444" w:rsidRPr="004D0DAA" w14:paraId="0AC56CEF" w14:textId="77777777" w:rsidTr="00AA2A4C">
        <w:tblPrEx>
          <w:tblCellMar>
            <w:top w:w="0" w:type="dxa"/>
            <w:bottom w:w="0" w:type="dxa"/>
          </w:tblCellMar>
        </w:tblPrEx>
        <w:trPr>
          <w:cantSplit/>
        </w:trPr>
        <w:tc>
          <w:tcPr>
            <w:tcW w:w="9848" w:type="dxa"/>
          </w:tcPr>
          <w:p w14:paraId="72458770" w14:textId="77777777" w:rsidR="00711444" w:rsidRPr="004D0DAA" w:rsidRDefault="00711444" w:rsidP="00AA2A4C">
            <w:pPr>
              <w:pStyle w:val="TAL"/>
              <w:rPr>
                <w:lang w:eastAsia="en-US"/>
              </w:rPr>
            </w:pPr>
            <w:r w:rsidRPr="004D0DAA">
              <w:rPr>
                <w:lang w:eastAsia="en-US"/>
              </w:rPr>
              <w:t>&lt; PBCCH information struct &gt; :: =</w:t>
            </w:r>
          </w:p>
          <w:p w14:paraId="7069BBC3" w14:textId="77777777" w:rsidR="00711444" w:rsidRPr="004D0DAA" w:rsidRDefault="00711444" w:rsidP="00AA2A4C">
            <w:pPr>
              <w:pStyle w:val="TAL"/>
              <w:rPr>
                <w:lang w:eastAsia="en-US"/>
              </w:rPr>
            </w:pPr>
            <w:r w:rsidRPr="004D0DAA">
              <w:rPr>
                <w:i/>
                <w:iCs/>
                <w:lang w:eastAsia="en-US"/>
              </w:rPr>
              <w:tab/>
            </w:r>
            <w:r w:rsidRPr="004D0DAA">
              <w:rPr>
                <w:lang w:eastAsia="en-US"/>
              </w:rPr>
              <w:t xml:space="preserve">&lt; </w:t>
            </w:r>
            <w:r w:rsidRPr="004D0DAA">
              <w:rPr>
                <w:b/>
                <w:bCs/>
                <w:lang w:eastAsia="en-US"/>
              </w:rPr>
              <w:t>Pb</w:t>
            </w:r>
            <w:r w:rsidRPr="004D0DAA">
              <w:rPr>
                <w:lang w:eastAsia="en-US"/>
              </w:rPr>
              <w:t xml:space="preserve"> : bit (4) &gt;</w:t>
            </w:r>
            <w:r w:rsidRPr="004D0DAA">
              <w:rPr>
                <w:i/>
                <w:iCs/>
                <w:lang w:eastAsia="en-US"/>
              </w:rPr>
              <w:br/>
            </w:r>
            <w:r w:rsidRPr="004D0DAA">
              <w:rPr>
                <w:lang w:eastAsia="en-US"/>
              </w:rPr>
              <w:tab/>
              <w:t xml:space="preserve">&lt; </w:t>
            </w:r>
            <w:r w:rsidRPr="004D0DAA">
              <w:rPr>
                <w:b/>
                <w:bCs/>
                <w:lang w:eastAsia="en-US"/>
              </w:rPr>
              <w:t>TSC</w:t>
            </w:r>
            <w:r w:rsidRPr="004D0DAA">
              <w:rPr>
                <w:lang w:eastAsia="en-US"/>
              </w:rPr>
              <w:t xml:space="preserve"> : bit (3) &gt; </w:t>
            </w:r>
          </w:p>
          <w:p w14:paraId="23550D38" w14:textId="77777777" w:rsidR="00711444" w:rsidRPr="004D0DAA" w:rsidRDefault="00711444" w:rsidP="00AA2A4C">
            <w:pPr>
              <w:pStyle w:val="TAL"/>
              <w:rPr>
                <w:i/>
                <w:iCs/>
                <w:lang w:eastAsia="en-US"/>
              </w:rPr>
            </w:pPr>
            <w:r w:rsidRPr="004D0DAA">
              <w:rPr>
                <w:lang w:eastAsia="en-US"/>
              </w:rPr>
              <w:tab/>
              <w:t xml:space="preserve">&lt; </w:t>
            </w:r>
            <w:r w:rsidRPr="004D0DAA">
              <w:rPr>
                <w:b/>
                <w:bCs/>
                <w:lang w:eastAsia="en-US"/>
              </w:rPr>
              <w:t>TN</w:t>
            </w:r>
            <w:r w:rsidRPr="004D0DAA">
              <w:rPr>
                <w:lang w:eastAsia="en-US"/>
              </w:rPr>
              <w:t xml:space="preserve"> : bit (3) &gt;</w:t>
            </w:r>
          </w:p>
          <w:p w14:paraId="10E8EE0B" w14:textId="77777777" w:rsidR="00711444" w:rsidRPr="004D0DAA" w:rsidRDefault="00711444" w:rsidP="00AA2A4C">
            <w:pPr>
              <w:pStyle w:val="TAL"/>
              <w:rPr>
                <w:i/>
                <w:iCs/>
                <w:lang w:eastAsia="en-US"/>
              </w:rPr>
            </w:pPr>
            <w:r w:rsidRPr="004D0DAA">
              <w:rPr>
                <w:iCs/>
                <w:lang w:eastAsia="en-US"/>
              </w:rPr>
              <w:tab/>
            </w:r>
            <w:r w:rsidRPr="004D0DAA">
              <w:rPr>
                <w:lang w:eastAsia="en-US"/>
              </w:rPr>
              <w:t>{ 00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non-hopping PBCCH on BCCH carrier</w:t>
            </w:r>
            <w:r w:rsidRPr="004D0DAA">
              <w:rPr>
                <w:i/>
                <w:iCs/>
                <w:lang w:eastAsia="en-US"/>
              </w:rPr>
              <w:br/>
            </w:r>
            <w:r w:rsidRPr="004D0DAA">
              <w:rPr>
                <w:lang w:eastAsia="en-US"/>
              </w:rPr>
              <w:tab/>
              <w:t>| 01</w:t>
            </w:r>
            <w:r w:rsidRPr="004D0DAA">
              <w:rPr>
                <w:lang w:eastAsia="en-US"/>
              </w:rPr>
              <w:tab/>
              <w:t xml:space="preserve">&lt; </w:t>
            </w:r>
            <w:r w:rsidRPr="004D0DAA">
              <w:rPr>
                <w:b/>
                <w:bCs/>
                <w:lang w:eastAsia="en-US"/>
              </w:rPr>
              <w:t>ARFCN</w:t>
            </w:r>
            <w:r w:rsidRPr="004D0DAA">
              <w:rPr>
                <w:lang w:eastAsia="en-US"/>
              </w:rPr>
              <w:t xml:space="preserve"> : bit (10) &gt; </w:t>
            </w:r>
            <w:r w:rsidRPr="004D0DAA">
              <w:rPr>
                <w:lang w:eastAsia="en-US"/>
              </w:rPr>
              <w:tab/>
              <w:t xml:space="preserve">-- </w:t>
            </w:r>
            <w:r w:rsidRPr="004D0DAA">
              <w:rPr>
                <w:i/>
                <w:iCs/>
                <w:lang w:eastAsia="en-US"/>
              </w:rPr>
              <w:t xml:space="preserve">non-hopping PBCCH </w:t>
            </w:r>
          </w:p>
          <w:p w14:paraId="5300E78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hopping PBCCH, frequency parameters from an MBMS bearer description for this cell</w:t>
            </w:r>
          </w:p>
          <w:p w14:paraId="64BEDD1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w:t>
            </w:r>
            <w:r w:rsidRPr="004D0DAA">
              <w:rPr>
                <w:lang w:eastAsia="en-US"/>
              </w:rPr>
              <w:tab/>
              <w:t xml:space="preserve">&lt; </w:t>
            </w:r>
            <w:r w:rsidRPr="004D0DAA">
              <w:rPr>
                <w:b/>
                <w:bCs/>
                <w:lang w:eastAsia="en-US"/>
              </w:rPr>
              <w:t>Length of Neighbour MBMS Bearer Identity</w:t>
            </w:r>
            <w:r w:rsidRPr="004D0DAA">
              <w:rPr>
                <w:lang w:eastAsia="en-US"/>
              </w:rPr>
              <w:t xml:space="preserve"> : bit (3) &gt;</w:t>
            </w:r>
            <w:r w:rsidRPr="004D0DAA">
              <w:rPr>
                <w:lang w:eastAsia="en-US"/>
              </w:rPr>
              <w:br/>
            </w:r>
            <w:r w:rsidRPr="004D0DAA">
              <w:rPr>
                <w:lang w:eastAsia="en-US"/>
              </w:rPr>
              <w:tab/>
            </w:r>
            <w:r w:rsidRPr="004D0DAA">
              <w:rPr>
                <w:lang w:eastAsia="en-US"/>
              </w:rPr>
              <w:tab/>
            </w:r>
            <w:r w:rsidRPr="004D0DAA">
              <w:rPr>
                <w:lang w:eastAsia="en-US"/>
              </w:rPr>
              <w:tab/>
              <w:t xml:space="preserve"> </w:t>
            </w:r>
            <w:r w:rsidRPr="004D0DAA">
              <w:rPr>
                <w:lang w:eastAsia="en-US"/>
              </w:rPr>
              <w:tab/>
              <w:t xml:space="preserve">&lt; </w:t>
            </w:r>
            <w:r w:rsidRPr="004D0DAA">
              <w:rPr>
                <w:b/>
                <w:bCs/>
                <w:lang w:eastAsia="en-US"/>
              </w:rPr>
              <w:t>Neighbour MBMS Bearer Identity</w:t>
            </w:r>
            <w:r w:rsidRPr="004D0DAA">
              <w:rPr>
                <w:lang w:eastAsia="en-US"/>
              </w:rPr>
              <w:t xml:space="preserve"> : bit (val (Length of Neighbour MBMS Bearer Identity)) &gt; </w:t>
            </w:r>
          </w:p>
          <w:p w14:paraId="09358EC9" w14:textId="77777777" w:rsidR="00711444" w:rsidRPr="004D0DAA" w:rsidRDefault="00711444" w:rsidP="00AA2A4C">
            <w:pPr>
              <w:pStyle w:val="TAL"/>
              <w:rPr>
                <w:lang w:eastAsia="en-US"/>
              </w:rPr>
            </w:pPr>
            <w:r w:rsidRPr="004D0DAA">
              <w:rPr>
                <w:lang w:eastAsia="en-US"/>
              </w:rPr>
              <w:tab/>
              <w:t>} ;</w:t>
            </w:r>
          </w:p>
          <w:p w14:paraId="66B3620D" w14:textId="77777777" w:rsidR="00711444" w:rsidRPr="004D0DAA" w:rsidRDefault="00711444" w:rsidP="00AA2A4C">
            <w:pPr>
              <w:pStyle w:val="TAL"/>
              <w:rPr>
                <w:lang w:eastAsia="en-US"/>
              </w:rPr>
            </w:pPr>
          </w:p>
        </w:tc>
      </w:tr>
      <w:tr w:rsidR="00711444" w:rsidRPr="004D0DAA" w14:paraId="71694353" w14:textId="77777777" w:rsidTr="00AA2A4C">
        <w:tblPrEx>
          <w:tblCellMar>
            <w:top w:w="0" w:type="dxa"/>
            <w:bottom w:w="0" w:type="dxa"/>
          </w:tblCellMar>
        </w:tblPrEx>
        <w:trPr>
          <w:cantSplit/>
        </w:trPr>
        <w:tc>
          <w:tcPr>
            <w:tcW w:w="9848" w:type="dxa"/>
          </w:tcPr>
          <w:p w14:paraId="52F0C8FE" w14:textId="77777777" w:rsidR="00711444" w:rsidRPr="004D0DAA" w:rsidRDefault="00711444" w:rsidP="00AA2A4C">
            <w:pPr>
              <w:pStyle w:val="TAL"/>
              <w:rPr>
                <w:lang w:eastAsia="en-US"/>
              </w:rPr>
            </w:pPr>
            <w:r w:rsidRPr="004D0DAA">
              <w:rPr>
                <w:lang w:eastAsia="en-US"/>
              </w:rPr>
              <w:t>&lt; MBMS Frequency List struct &gt; :: =</w:t>
            </w:r>
          </w:p>
          <w:p w14:paraId="7A5B8CA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FREQ_LIST_NUMBER </w:t>
            </w:r>
            <w:r w:rsidRPr="004D0DAA">
              <w:rPr>
                <w:lang w:eastAsia="en-US"/>
              </w:rPr>
              <w:t>: bit (2) &gt;</w:t>
            </w:r>
          </w:p>
          <w:p w14:paraId="252F5DA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Length of Frequency List contents</w:t>
            </w:r>
            <w:r w:rsidRPr="004D0DAA">
              <w:rPr>
                <w:lang w:eastAsia="en-US"/>
              </w:rPr>
              <w:t xml:space="preserve"> : bit (4) &gt;</w:t>
            </w:r>
          </w:p>
          <w:p w14:paraId="25287CB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Frequency List contents</w:t>
            </w:r>
            <w:r w:rsidRPr="004D0DAA">
              <w:rPr>
                <w:lang w:eastAsia="en-US"/>
              </w:rPr>
              <w:t xml:space="preserve"> : octet (val(Length of Frequency List contents) + 3) &gt; ;</w:t>
            </w:r>
          </w:p>
          <w:p w14:paraId="1D44BF3D" w14:textId="77777777" w:rsidR="00711444" w:rsidRPr="004D0DAA" w:rsidRDefault="00711444" w:rsidP="00AA2A4C">
            <w:pPr>
              <w:pStyle w:val="TAL"/>
              <w:rPr>
                <w:lang w:eastAsia="en-US"/>
              </w:rPr>
            </w:pPr>
          </w:p>
        </w:tc>
      </w:tr>
      <w:tr w:rsidR="00711444" w:rsidRPr="004D0DAA" w14:paraId="79A5E811" w14:textId="77777777" w:rsidTr="00AA2A4C">
        <w:tblPrEx>
          <w:tblCellMar>
            <w:top w:w="0" w:type="dxa"/>
            <w:bottom w:w="0" w:type="dxa"/>
          </w:tblCellMar>
        </w:tblPrEx>
        <w:trPr>
          <w:cantSplit/>
        </w:trPr>
        <w:tc>
          <w:tcPr>
            <w:tcW w:w="9848" w:type="dxa"/>
          </w:tcPr>
          <w:p w14:paraId="6E48C1E2" w14:textId="77777777" w:rsidR="00711444" w:rsidRPr="004D0DAA" w:rsidRDefault="00711444" w:rsidP="00AA2A4C">
            <w:pPr>
              <w:pStyle w:val="TAL"/>
              <w:rPr>
                <w:lang w:eastAsia="en-US"/>
              </w:rPr>
            </w:pPr>
            <w:r w:rsidRPr="004D0DAA">
              <w:rPr>
                <w:lang w:eastAsia="en-US"/>
              </w:rPr>
              <w:t>&lt; MBMS p-t-m Frequency Parameters struct &gt; :: =</w:t>
            </w:r>
          </w:p>
          <w:p w14:paraId="7842E95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TSC</w:t>
            </w:r>
            <w:r w:rsidRPr="004D0DAA">
              <w:rPr>
                <w:lang w:eastAsia="en-US"/>
              </w:rPr>
              <w:t xml:space="preserve"> : bit (3) &gt;</w:t>
            </w:r>
          </w:p>
          <w:p w14:paraId="39FDD01F"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bCs/>
                <w:lang w:eastAsia="en-US"/>
              </w:rPr>
              <w:t xml:space="preserve">ARFCN </w:t>
            </w:r>
            <w:r w:rsidRPr="004D0DAA">
              <w:rPr>
                <w:lang w:eastAsia="en-US"/>
              </w:rPr>
              <w:t>: bit (10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iCs/>
                <w:lang w:eastAsia="en-US"/>
              </w:rPr>
              <w:t xml:space="preserve"> </w:t>
            </w:r>
          </w:p>
          <w:p w14:paraId="59260D4D"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MAIO</w:t>
            </w:r>
            <w:r w:rsidRPr="004D0DAA">
              <w:rPr>
                <w:lang w:eastAsia="en-US"/>
              </w:rPr>
              <w:t xml:space="preserve"> : bit (6) &gt;</w:t>
            </w:r>
          </w:p>
          <w:p w14:paraId="23D92D3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HSN</w:t>
            </w:r>
            <w:r w:rsidRPr="004D0DAA">
              <w:rPr>
                <w:lang w:eastAsia="en-US"/>
              </w:rPr>
              <w:t xml:space="preserve"> : bit (6) &gt;</w:t>
            </w:r>
          </w:p>
          <w:p w14:paraId="5DA8ACE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FREQ_LIST_NUMBER</w:t>
            </w:r>
            <w:r w:rsidRPr="004D0DAA">
              <w:rPr>
                <w:lang w:eastAsia="en-US"/>
              </w:rPr>
              <w:t xml:space="preserve"> : bit (2) &gt; } ;</w:t>
            </w:r>
          </w:p>
          <w:p w14:paraId="2AFE523E" w14:textId="77777777" w:rsidR="00711444" w:rsidRPr="004D0DAA" w:rsidRDefault="00711444" w:rsidP="00AA2A4C">
            <w:pPr>
              <w:pStyle w:val="TAL"/>
              <w:rPr>
                <w:lang w:eastAsia="en-US"/>
              </w:rPr>
            </w:pPr>
          </w:p>
        </w:tc>
      </w:tr>
    </w:tbl>
    <w:p w14:paraId="6CC4C251" w14:textId="77777777" w:rsidR="00711444" w:rsidRPr="004D0DAA" w:rsidRDefault="00711444" w:rsidP="00711444"/>
    <w:p w14:paraId="535F9E3A" w14:textId="77777777" w:rsidR="00711444" w:rsidRPr="004D0DAA" w:rsidRDefault="00711444" w:rsidP="00711444">
      <w:pPr>
        <w:pStyle w:val="TH"/>
      </w:pPr>
      <w:r w:rsidRPr="004D0DAA">
        <w:lastRenderedPageBreak/>
        <w:t>Table 11.2.40.2: MBMS Neighbouring Cell Information 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59C5C48" w14:textId="77777777" w:rsidTr="00AA2A4C">
        <w:tblPrEx>
          <w:tblCellMar>
            <w:top w:w="0" w:type="dxa"/>
            <w:bottom w:w="0" w:type="dxa"/>
          </w:tblCellMar>
        </w:tblPrEx>
        <w:trPr>
          <w:cantSplit/>
        </w:trPr>
        <w:tc>
          <w:tcPr>
            <w:tcW w:w="9848" w:type="dxa"/>
          </w:tcPr>
          <w:p w14:paraId="1645FA34" w14:textId="77777777" w:rsidR="00711444" w:rsidRPr="004D0DAA" w:rsidRDefault="00711444" w:rsidP="00AA2A4C">
            <w:r w:rsidRPr="004D0DAA">
              <w:rPr>
                <w:b/>
              </w:rPr>
              <w:t>PAGE_MODE</w:t>
            </w:r>
            <w:r w:rsidRPr="004D0DAA">
              <w:t xml:space="preserve"> (2 bit field)</w:t>
            </w:r>
            <w:r w:rsidRPr="004D0DAA">
              <w:br/>
              <w:t>This field is defined in sub-clause 12.20 and gives the PAGE_MODE parameter valid in the serving cell.</w:t>
            </w:r>
          </w:p>
        </w:tc>
      </w:tr>
      <w:tr w:rsidR="00711444" w:rsidRPr="004D0DAA" w14:paraId="12E40DAE" w14:textId="77777777" w:rsidTr="00AA2A4C">
        <w:tblPrEx>
          <w:tblCellMar>
            <w:top w:w="0" w:type="dxa"/>
            <w:bottom w:w="0" w:type="dxa"/>
          </w:tblCellMar>
        </w:tblPrEx>
        <w:trPr>
          <w:cantSplit/>
        </w:trPr>
        <w:tc>
          <w:tcPr>
            <w:tcW w:w="9848" w:type="dxa"/>
          </w:tcPr>
          <w:p w14:paraId="2A8D0342" w14:textId="77777777" w:rsidR="00711444" w:rsidRPr="004D0DAA" w:rsidRDefault="00711444" w:rsidP="00AA2A4C">
            <w:r w:rsidRPr="004D0DAA">
              <w:rPr>
                <w:b/>
                <w:bCs/>
              </w:rPr>
              <w:t>NEIGHBOUR_CELL_IN</w:t>
            </w:r>
            <w:r w:rsidRPr="004D0DAA">
              <w:rPr>
                <w:b/>
              </w:rPr>
              <w:t>DEX</w:t>
            </w:r>
            <w:r w:rsidRPr="004D0DAA">
              <w:t xml:space="preserve"> (7 bit field)</w:t>
            </w:r>
            <w:r w:rsidRPr="004D0DAA">
              <w:br/>
              <w:t xml:space="preserve">This information element is the index within the GSM Neighbour Cell list (defined in sub-clause 5.6.3.2) of the cell for which information is provided. </w:t>
            </w:r>
          </w:p>
          <w:p w14:paraId="7EC2D14A" w14:textId="77777777" w:rsidR="00711444" w:rsidRPr="004D0DAA" w:rsidRDefault="00711444" w:rsidP="00AA2A4C">
            <w:r w:rsidRPr="004D0DAA">
              <w:t xml:space="preserve">If the mobile station has not completed the construction of the GSM Neighbour Cell list (i.e. before the MS has acquired the complete GSM Neighbour Cell list from the BCCH messages, in case the PBCCH is not allocated in the cell), it shall not disregard this message but store the information contained in it. </w:t>
            </w:r>
          </w:p>
        </w:tc>
      </w:tr>
      <w:tr w:rsidR="00711444" w:rsidRPr="004D0DAA" w14:paraId="526303E0" w14:textId="77777777" w:rsidTr="00AA2A4C">
        <w:tblPrEx>
          <w:tblCellMar>
            <w:top w:w="0" w:type="dxa"/>
            <w:bottom w:w="0" w:type="dxa"/>
          </w:tblCellMar>
        </w:tblPrEx>
        <w:trPr>
          <w:cantSplit/>
        </w:trPr>
        <w:tc>
          <w:tcPr>
            <w:tcW w:w="9848" w:type="dxa"/>
          </w:tcPr>
          <w:p w14:paraId="51ED812F" w14:textId="77777777" w:rsidR="00711444" w:rsidRPr="004D0DAA" w:rsidRDefault="00711444" w:rsidP="00AA2A4C">
            <w:pPr>
              <w:tabs>
                <w:tab w:val="left" w:pos="507"/>
                <w:tab w:val="left" w:pos="1074"/>
              </w:tabs>
              <w:rPr>
                <w:b/>
                <w:bCs/>
                <w:iCs/>
              </w:rPr>
            </w:pPr>
            <w:r w:rsidRPr="004D0DAA">
              <w:rPr>
                <w:b/>
                <w:iCs/>
              </w:rPr>
              <w:t>BSIC</w:t>
            </w:r>
            <w:r w:rsidRPr="004D0DAA">
              <w:rPr>
                <w:b/>
                <w:bCs/>
                <w:iCs/>
              </w:rPr>
              <w:t xml:space="preserve"> </w:t>
            </w:r>
            <w:r w:rsidRPr="004D0DAA">
              <w:rPr>
                <w:bCs/>
                <w:iCs/>
              </w:rPr>
              <w:t>(6 bit field)</w:t>
            </w:r>
            <w:r w:rsidRPr="004D0DAA">
              <w:rPr>
                <w:b/>
                <w:bCs/>
                <w:iCs/>
              </w:rPr>
              <w:t xml:space="preserve"> </w:t>
            </w:r>
          </w:p>
          <w:p w14:paraId="1F81D206" w14:textId="77777777" w:rsidR="00711444" w:rsidRPr="004D0DAA" w:rsidRDefault="00711444" w:rsidP="00AA2A4C">
            <w:pPr>
              <w:rPr>
                <w:b/>
                <w:bCs/>
              </w:rPr>
            </w:pPr>
            <w:r w:rsidRPr="004D0DAA">
              <w:rPr>
                <w:bCs/>
                <w:iCs/>
              </w:rPr>
              <w:t>This optional field is needed to identify the neighbour cell in case the GSM Neighbour Cell list is only a frequency list, see 3GPP TS 44.060 sub-clause 5.6.3.2.</w:t>
            </w:r>
          </w:p>
        </w:tc>
      </w:tr>
      <w:tr w:rsidR="00711444" w:rsidRPr="004D0DAA" w14:paraId="419DA512" w14:textId="77777777" w:rsidTr="00AA2A4C">
        <w:tblPrEx>
          <w:tblCellMar>
            <w:top w:w="0" w:type="dxa"/>
            <w:bottom w:w="0" w:type="dxa"/>
          </w:tblCellMar>
        </w:tblPrEx>
        <w:trPr>
          <w:cantSplit/>
        </w:trPr>
        <w:tc>
          <w:tcPr>
            <w:tcW w:w="9848" w:type="dxa"/>
          </w:tcPr>
          <w:p w14:paraId="3B987E18" w14:textId="77777777" w:rsidR="00711444" w:rsidRPr="004D0DAA" w:rsidRDefault="00711444" w:rsidP="00AA2A4C">
            <w:pPr>
              <w:tabs>
                <w:tab w:val="left" w:pos="507"/>
                <w:tab w:val="left" w:pos="1074"/>
              </w:tabs>
              <w:rPr>
                <w:bCs/>
                <w:iCs/>
              </w:rPr>
            </w:pPr>
            <w:r w:rsidRPr="004D0DAA">
              <w:rPr>
                <w:b/>
                <w:iCs/>
              </w:rPr>
              <w:t>MBMS_PTM_CHANGE_MARK</w:t>
            </w:r>
            <w:r w:rsidRPr="004D0DAA">
              <w:rPr>
                <w:bCs/>
                <w:iCs/>
              </w:rPr>
              <w:t xml:space="preserve"> (2 bit field)</w:t>
            </w:r>
          </w:p>
          <w:p w14:paraId="642A30C3" w14:textId="77777777" w:rsidR="00711444" w:rsidRPr="004D0DAA" w:rsidRDefault="00711444" w:rsidP="00AA2A4C">
            <w:pPr>
              <w:tabs>
                <w:tab w:val="left" w:pos="507"/>
                <w:tab w:val="left" w:pos="1074"/>
              </w:tabs>
              <w:rPr>
                <w:bCs/>
                <w:iCs/>
              </w:rPr>
            </w:pPr>
            <w:r w:rsidRPr="004D0DAA">
              <w:rPr>
                <w:bCs/>
                <w:iCs/>
              </w:rPr>
              <w:t>This field contains the change mark value for the information given for a specific neighbouring cell. This information is used to combine information from multiple instances of the MBMS Neighbouring Cell Information message.</w:t>
            </w:r>
          </w:p>
        </w:tc>
      </w:tr>
      <w:tr w:rsidR="00711444" w:rsidRPr="004D0DAA" w14:paraId="420C794E" w14:textId="77777777" w:rsidTr="00AA2A4C">
        <w:tblPrEx>
          <w:tblCellMar>
            <w:top w:w="0" w:type="dxa"/>
            <w:bottom w:w="0" w:type="dxa"/>
          </w:tblCellMar>
        </w:tblPrEx>
        <w:trPr>
          <w:cantSplit/>
        </w:trPr>
        <w:tc>
          <w:tcPr>
            <w:tcW w:w="9848" w:type="dxa"/>
          </w:tcPr>
          <w:p w14:paraId="57D28385" w14:textId="77777777" w:rsidR="00711444" w:rsidRPr="004D0DAA" w:rsidRDefault="00711444" w:rsidP="00AA2A4C">
            <w:r w:rsidRPr="004D0DAA">
              <w:rPr>
                <w:b/>
                <w:bCs/>
              </w:rPr>
              <w:t xml:space="preserve">MBMS Bearer Identity </w:t>
            </w:r>
            <w:r w:rsidRPr="004D0DAA">
              <w:t>(1-5 bit field)</w:t>
            </w:r>
            <w:r w:rsidRPr="004D0DAA">
              <w:rPr>
                <w:b/>
                <w:bCs/>
              </w:rPr>
              <w:br/>
            </w:r>
            <w:r w:rsidRPr="004D0DAA">
              <w:t xml:space="preserve">This field contains the Bearer identity for the MBMS session. This field is defined in </w:t>
            </w:r>
            <w:r w:rsidRPr="004D0DAA">
              <w:rPr>
                <w:iCs/>
              </w:rPr>
              <w:t>sub-clause</w:t>
            </w:r>
            <w:r w:rsidRPr="004D0DAA">
              <w:t xml:space="preserve"> 12.34. </w:t>
            </w:r>
          </w:p>
        </w:tc>
      </w:tr>
      <w:tr w:rsidR="00711444" w:rsidRPr="004D0DAA" w14:paraId="17C3AE4D" w14:textId="77777777" w:rsidTr="00AA2A4C">
        <w:tblPrEx>
          <w:tblCellMar>
            <w:top w:w="0" w:type="dxa"/>
            <w:bottom w:w="0" w:type="dxa"/>
          </w:tblCellMar>
        </w:tblPrEx>
        <w:trPr>
          <w:cantSplit/>
        </w:trPr>
        <w:tc>
          <w:tcPr>
            <w:tcW w:w="9848" w:type="dxa"/>
          </w:tcPr>
          <w:p w14:paraId="73968611" w14:textId="77777777" w:rsidR="00711444" w:rsidRPr="004D0DAA" w:rsidRDefault="00711444" w:rsidP="00AA2A4C">
            <w:r w:rsidRPr="004D0DAA">
              <w:rPr>
                <w:b/>
              </w:rPr>
              <w:t xml:space="preserve">Absence cause </w:t>
            </w:r>
            <w:r w:rsidRPr="004D0DAA">
              <w:t>(2 bit field)</w:t>
            </w:r>
            <w:r w:rsidRPr="004D0DAA">
              <w:br/>
              <w:t>This field indicates why the description of the MBMS bearer for the neighbour cell is not provided in the message.</w:t>
            </w:r>
          </w:p>
          <w:p w14:paraId="70A2271E" w14:textId="77777777" w:rsidR="00711444" w:rsidRPr="004D0DAA" w:rsidRDefault="00711444" w:rsidP="00AA2A4C">
            <w:pPr>
              <w:tabs>
                <w:tab w:val="left" w:pos="540"/>
              </w:tabs>
              <w:rPr>
                <w:b/>
                <w:i/>
                <w:iCs/>
              </w:rPr>
            </w:pPr>
            <w:r w:rsidRPr="004D0DAA">
              <w:t>00</w:t>
            </w:r>
            <w:r w:rsidRPr="004D0DAA">
              <w:tab/>
              <w:t>Neighbour cell not in the service area for the MBMS service associated with this Bearer identifier</w:t>
            </w:r>
            <w:r w:rsidRPr="004D0DAA">
              <w:br/>
              <w:t>01</w:t>
            </w:r>
            <w:r w:rsidRPr="004D0DAA">
              <w:tab/>
              <w:t>No p-t-m bearer established in the neighbour cell for the MBMS service associated with this Bearer identifier</w:t>
            </w:r>
            <w:r w:rsidRPr="004D0DAA">
              <w:br/>
              <w:t>10</w:t>
            </w:r>
            <w:r w:rsidRPr="004D0DAA">
              <w:tab/>
              <w:t>p-t-m bearer established in the neighbour cell for this MBMS service, but the description cannot be provided</w:t>
            </w:r>
            <w:r w:rsidRPr="004D0DAA">
              <w:br/>
              <w:t>11</w:t>
            </w:r>
            <w:r w:rsidRPr="004D0DAA">
              <w:tab/>
              <w:t>No information available for the MBMS service associated with this bearer identifier</w:t>
            </w:r>
          </w:p>
        </w:tc>
      </w:tr>
      <w:tr w:rsidR="00711444" w:rsidRPr="004D0DAA" w14:paraId="7DDA5708" w14:textId="77777777" w:rsidTr="00AA2A4C">
        <w:tblPrEx>
          <w:tblCellMar>
            <w:top w:w="0" w:type="dxa"/>
            <w:bottom w:w="0" w:type="dxa"/>
          </w:tblCellMar>
        </w:tblPrEx>
        <w:trPr>
          <w:cantSplit/>
        </w:trPr>
        <w:tc>
          <w:tcPr>
            <w:tcW w:w="9848" w:type="dxa"/>
          </w:tcPr>
          <w:p w14:paraId="490271F3" w14:textId="77777777" w:rsidR="00711444" w:rsidRPr="004D0DAA" w:rsidRDefault="00711444" w:rsidP="00AA2A4C">
            <w:pPr>
              <w:rPr>
                <w:b/>
              </w:rPr>
            </w:pPr>
            <w:r w:rsidRPr="004D0DAA">
              <w:rPr>
                <w:b/>
                <w:bCs/>
              </w:rPr>
              <w:t xml:space="preserve">Serving MBMS Bearer Identity </w:t>
            </w:r>
            <w:r w:rsidRPr="004D0DAA">
              <w:t>(1-5 bit field)</w:t>
            </w:r>
            <w:r w:rsidRPr="004D0DAA">
              <w:br/>
              <w:t>This field contains the Bearer identity used by the MBMS session in the serving cell. This field is encoded as the MBMS Bearer Identity IE defined in sub-clause 12.34.</w:t>
            </w:r>
          </w:p>
        </w:tc>
      </w:tr>
      <w:tr w:rsidR="00711444" w:rsidRPr="004D0DAA" w14:paraId="773E10DD" w14:textId="77777777" w:rsidTr="00AA2A4C">
        <w:tblPrEx>
          <w:tblCellMar>
            <w:top w:w="0" w:type="dxa"/>
            <w:bottom w:w="0" w:type="dxa"/>
          </w:tblCellMar>
        </w:tblPrEx>
        <w:trPr>
          <w:cantSplit/>
        </w:trPr>
        <w:tc>
          <w:tcPr>
            <w:tcW w:w="9848" w:type="dxa"/>
          </w:tcPr>
          <w:p w14:paraId="3C49D35B" w14:textId="77777777" w:rsidR="00711444" w:rsidRPr="004D0DAA" w:rsidRDefault="00711444" w:rsidP="00AA2A4C">
            <w:pPr>
              <w:rPr>
                <w:b/>
                <w:bCs/>
              </w:rPr>
            </w:pPr>
            <w:r w:rsidRPr="004D0DAA">
              <w:rPr>
                <w:b/>
                <w:bCs/>
              </w:rPr>
              <w:t xml:space="preserve">Neighbour MBMS Bearer Identity </w:t>
            </w:r>
            <w:r w:rsidRPr="004D0DAA">
              <w:t>(1-5 bit field)</w:t>
            </w:r>
            <w:r w:rsidRPr="004D0DAA">
              <w:br/>
              <w:t>This field contains the Bearer identity used by the MBMS session in the neighbour cell. This field is encoded as the MBMS Bearer Identity IE defined in sub-clause 12.34.</w:t>
            </w:r>
          </w:p>
        </w:tc>
      </w:tr>
      <w:tr w:rsidR="00711444" w:rsidRPr="004D0DAA" w14:paraId="32DC7A3C" w14:textId="77777777" w:rsidTr="00AA2A4C">
        <w:tblPrEx>
          <w:tblCellMar>
            <w:top w:w="0" w:type="dxa"/>
            <w:bottom w:w="0" w:type="dxa"/>
          </w:tblCellMar>
        </w:tblPrEx>
        <w:trPr>
          <w:cantSplit/>
        </w:trPr>
        <w:tc>
          <w:tcPr>
            <w:tcW w:w="9848" w:type="dxa"/>
          </w:tcPr>
          <w:p w14:paraId="2319E114" w14:textId="77777777" w:rsidR="00711444" w:rsidRPr="004D0DAA" w:rsidRDefault="00711444" w:rsidP="00AA2A4C">
            <w:r w:rsidRPr="004D0DAA">
              <w:rPr>
                <w:b/>
                <w:bCs/>
              </w:rPr>
              <w:t>MBMS p-t-m Frequency Parameters</w:t>
            </w:r>
            <w:r w:rsidRPr="004D0DAA">
              <w:rPr>
                <w:b/>
                <w:bCs/>
              </w:rPr>
              <w:br/>
            </w:r>
            <w:r w:rsidRPr="004D0DAA">
              <w:t xml:space="preserve">This information provides a description of a hopping or non-hopping radio frequency channel . In case hopping frequency channel is decribed, a reference to a specified MBMS Frequency List shall be provided. If MBMS Frequency List has not been received by the MS, it shall store this information for possible later use in case such MBMS Frequency List is received. </w:t>
            </w:r>
          </w:p>
        </w:tc>
      </w:tr>
      <w:tr w:rsidR="00711444" w:rsidRPr="004D0DAA" w14:paraId="66AB77BF" w14:textId="77777777" w:rsidTr="00AA2A4C">
        <w:tblPrEx>
          <w:tblCellMar>
            <w:top w:w="0" w:type="dxa"/>
            <w:bottom w:w="0" w:type="dxa"/>
          </w:tblCellMar>
        </w:tblPrEx>
        <w:trPr>
          <w:cantSplit/>
        </w:trPr>
        <w:tc>
          <w:tcPr>
            <w:tcW w:w="9848" w:type="dxa"/>
          </w:tcPr>
          <w:p w14:paraId="4F4A0B97" w14:textId="77777777" w:rsidR="00711444" w:rsidRPr="004D0DAA" w:rsidRDefault="00711444" w:rsidP="00AA2A4C">
            <w:pPr>
              <w:rPr>
                <w:b/>
              </w:rPr>
            </w:pPr>
            <w:r w:rsidRPr="004D0DAA">
              <w:rPr>
                <w:b/>
              </w:rPr>
              <w:t>TSC</w:t>
            </w:r>
            <w:r w:rsidRPr="004D0DAA">
              <w:t xml:space="preserve"> (3 bit field)</w:t>
            </w:r>
            <w:r w:rsidRPr="004D0DAA">
              <w:br/>
              <w:t>This field is the binary representation of the training sequence code, see 3GPP TS 45.002. Range: 0 to 7.</w:t>
            </w:r>
          </w:p>
        </w:tc>
      </w:tr>
      <w:tr w:rsidR="00711444" w:rsidRPr="004D0DAA" w14:paraId="1DF6C27A" w14:textId="77777777" w:rsidTr="00AA2A4C">
        <w:tblPrEx>
          <w:tblCellMar>
            <w:top w:w="0" w:type="dxa"/>
            <w:bottom w:w="0" w:type="dxa"/>
          </w:tblCellMar>
        </w:tblPrEx>
        <w:trPr>
          <w:cantSplit/>
        </w:trPr>
        <w:tc>
          <w:tcPr>
            <w:tcW w:w="9848" w:type="dxa"/>
          </w:tcPr>
          <w:p w14:paraId="5B1DB6B2" w14:textId="77777777" w:rsidR="00711444" w:rsidRPr="004D0DAA" w:rsidRDefault="00711444" w:rsidP="00AA2A4C">
            <w:pPr>
              <w:rPr>
                <w:b/>
              </w:rPr>
            </w:pPr>
            <w:r w:rsidRPr="004D0DAA">
              <w:rPr>
                <w:b/>
              </w:rPr>
              <w:t>ARFCN</w:t>
            </w:r>
            <w:r w:rsidRPr="004D0DAA">
              <w:t xml:space="preserve"> (10 bit field)</w:t>
            </w:r>
            <w:r w:rsidRPr="004D0DAA">
              <w:br/>
              <w:t>This field is the binary representation of the absolute radio frequency channel number (ARFCN) defined in 3GPP TS 45.005. Range 0 to 1023.</w:t>
            </w:r>
          </w:p>
        </w:tc>
      </w:tr>
      <w:tr w:rsidR="00711444" w:rsidRPr="004D0DAA" w14:paraId="0333676E" w14:textId="77777777" w:rsidTr="00AA2A4C">
        <w:tblPrEx>
          <w:tblCellMar>
            <w:top w:w="0" w:type="dxa"/>
            <w:bottom w:w="0" w:type="dxa"/>
          </w:tblCellMar>
        </w:tblPrEx>
        <w:trPr>
          <w:cantSplit/>
        </w:trPr>
        <w:tc>
          <w:tcPr>
            <w:tcW w:w="9848" w:type="dxa"/>
          </w:tcPr>
          <w:p w14:paraId="1E8F86CF" w14:textId="77777777" w:rsidR="00711444" w:rsidRPr="004D0DAA" w:rsidRDefault="00711444" w:rsidP="00AA2A4C">
            <w:pPr>
              <w:rPr>
                <w:b/>
              </w:rPr>
            </w:pPr>
            <w:r w:rsidRPr="004D0DAA">
              <w:rPr>
                <w:b/>
              </w:rPr>
              <w:t>MAIO</w:t>
            </w:r>
            <w:r w:rsidRPr="004D0DAA">
              <w:t xml:space="preserve"> (6 bit field)</w:t>
            </w:r>
            <w:r w:rsidRPr="004D0DAA">
              <w:br/>
              <w:t>This field is the binary representation of the mobile allocation index offset (MAIO), see 3GPP TS 45.002. Range 0 to 63.</w:t>
            </w:r>
          </w:p>
        </w:tc>
      </w:tr>
      <w:tr w:rsidR="00711444" w:rsidRPr="004D0DAA" w14:paraId="16D1069E" w14:textId="77777777" w:rsidTr="00AA2A4C">
        <w:tblPrEx>
          <w:tblCellMar>
            <w:top w:w="0" w:type="dxa"/>
            <w:bottom w:w="0" w:type="dxa"/>
          </w:tblCellMar>
        </w:tblPrEx>
        <w:trPr>
          <w:cantSplit/>
        </w:trPr>
        <w:tc>
          <w:tcPr>
            <w:tcW w:w="9848" w:type="dxa"/>
          </w:tcPr>
          <w:p w14:paraId="66138B39" w14:textId="77777777" w:rsidR="00711444" w:rsidRPr="004D0DAA" w:rsidRDefault="00711444" w:rsidP="00AA2A4C">
            <w:pPr>
              <w:rPr>
                <w:b/>
              </w:rPr>
            </w:pPr>
            <w:r w:rsidRPr="004D0DAA">
              <w:rPr>
                <w:b/>
              </w:rPr>
              <w:t>HSN</w:t>
            </w:r>
            <w:r w:rsidRPr="004D0DAA">
              <w:t xml:space="preserve"> (6 bit field)</w:t>
            </w:r>
            <w:r w:rsidRPr="004D0DAA">
              <w:br/>
              <w:t>This field is the binary representation of the hopping sequence number, see 3GPP TS 45.002. Range: 0 to 63.</w:t>
            </w:r>
          </w:p>
        </w:tc>
      </w:tr>
      <w:tr w:rsidR="00711444" w:rsidRPr="004D0DAA" w14:paraId="15759EED" w14:textId="77777777" w:rsidTr="00AA2A4C">
        <w:tblPrEx>
          <w:tblCellMar>
            <w:top w:w="0" w:type="dxa"/>
            <w:bottom w:w="0" w:type="dxa"/>
          </w:tblCellMar>
        </w:tblPrEx>
        <w:trPr>
          <w:cantSplit/>
        </w:trPr>
        <w:tc>
          <w:tcPr>
            <w:tcW w:w="9848" w:type="dxa"/>
          </w:tcPr>
          <w:p w14:paraId="6BF79E02" w14:textId="77777777" w:rsidR="00711444" w:rsidRPr="004D0DAA" w:rsidRDefault="00711444" w:rsidP="00AA2A4C">
            <w:pPr>
              <w:rPr>
                <w:bCs/>
              </w:rPr>
            </w:pPr>
            <w:r w:rsidRPr="004D0DAA">
              <w:rPr>
                <w:b/>
              </w:rPr>
              <w:lastRenderedPageBreak/>
              <w:t xml:space="preserve">FREQ_LIST_NUMBER </w:t>
            </w:r>
            <w:r w:rsidRPr="004D0DAA">
              <w:rPr>
                <w:bCs/>
              </w:rPr>
              <w:t>(2 bit field)</w:t>
            </w:r>
            <w:r w:rsidRPr="004D0DAA">
              <w:rPr>
                <w:bCs/>
              </w:rPr>
              <w:br/>
              <w:t xml:space="preserve">This field is the binary identification of a MBMS Frequency List provided by an instance of this message, or the binary reference to such.Range: 0 to 3. </w:t>
            </w:r>
          </w:p>
        </w:tc>
      </w:tr>
      <w:tr w:rsidR="00711444" w:rsidRPr="004D0DAA" w14:paraId="36794EEF" w14:textId="77777777" w:rsidTr="00AA2A4C">
        <w:tblPrEx>
          <w:tblCellMar>
            <w:top w:w="0" w:type="dxa"/>
            <w:bottom w:w="0" w:type="dxa"/>
          </w:tblCellMar>
        </w:tblPrEx>
        <w:trPr>
          <w:cantSplit/>
        </w:trPr>
        <w:tc>
          <w:tcPr>
            <w:tcW w:w="9848" w:type="dxa"/>
          </w:tcPr>
          <w:p w14:paraId="5C5EA8A9" w14:textId="77777777" w:rsidR="00711444" w:rsidRPr="004D0DAA" w:rsidRDefault="00711444" w:rsidP="00AA2A4C">
            <w:pPr>
              <w:rPr>
                <w:bCs/>
              </w:rPr>
            </w:pPr>
            <w:r w:rsidRPr="004D0DAA">
              <w:rPr>
                <w:b/>
              </w:rPr>
              <w:t>MBMS Frequency List</w:t>
            </w:r>
            <w:r w:rsidRPr="004D0DAA">
              <w:rPr>
                <w:bCs/>
              </w:rPr>
              <w:br/>
              <w:t xml:space="preserve">This information contains a set of radio frequency channels. This list shall be identified by the </w:t>
            </w:r>
            <w:r w:rsidRPr="004D0DAA">
              <w:rPr>
                <w:b/>
              </w:rPr>
              <w:t>FREQ_LIST_NUMBER</w:t>
            </w:r>
            <w:r w:rsidRPr="004D0DAA">
              <w:rPr>
                <w:bCs/>
              </w:rPr>
              <w:t xml:space="preserve"> field.</w:t>
            </w:r>
          </w:p>
        </w:tc>
      </w:tr>
      <w:tr w:rsidR="00711444" w:rsidRPr="004D0DAA" w14:paraId="3B68857B" w14:textId="77777777" w:rsidTr="00AA2A4C">
        <w:tblPrEx>
          <w:tblCellMar>
            <w:top w:w="0" w:type="dxa"/>
            <w:bottom w:w="0" w:type="dxa"/>
          </w:tblCellMar>
        </w:tblPrEx>
        <w:trPr>
          <w:cantSplit/>
        </w:trPr>
        <w:tc>
          <w:tcPr>
            <w:tcW w:w="9848" w:type="dxa"/>
          </w:tcPr>
          <w:p w14:paraId="66D6041C" w14:textId="77777777" w:rsidR="00711444" w:rsidRPr="004D0DAA" w:rsidRDefault="00711444" w:rsidP="00AA2A4C">
            <w:pPr>
              <w:rPr>
                <w:b/>
              </w:rPr>
            </w:pPr>
            <w:r w:rsidRPr="004D0DAA">
              <w:rPr>
                <w:b/>
              </w:rPr>
              <w:t>Frequency List contents</w:t>
            </w:r>
            <w:r w:rsidRPr="004D0DAA">
              <w:t xml:space="preserve"> (variable length octet string)</w:t>
            </w:r>
            <w:r w:rsidRPr="004D0DAA">
              <w:br/>
              <w:t xml:space="preserve">This variable length octet string is the representation of a set of radio frequency channels defining a GPRS mobile allocation. The encoding of the octet string is defined by the </w:t>
            </w:r>
            <w:r w:rsidRPr="004D0DAA">
              <w:rPr>
                <w:i/>
              </w:rPr>
              <w:t>value part</w:t>
            </w:r>
            <w:r w:rsidRPr="004D0DAA">
              <w:t xml:space="preserve"> of the type 4 information element </w:t>
            </w:r>
            <w:r w:rsidRPr="004D0DAA">
              <w:rPr>
                <w:i/>
              </w:rPr>
              <w:t>Frequency List</w:t>
            </w:r>
            <w:r w:rsidRPr="004D0DAA">
              <w:t>,</w:t>
            </w:r>
            <w:r w:rsidRPr="004D0DAA">
              <w:rPr>
                <w:i/>
              </w:rPr>
              <w:t xml:space="preserve"> </w:t>
            </w:r>
            <w:r w:rsidRPr="004D0DAA">
              <w:t xml:space="preserve">defined in 3GPP TS 44.018. The allowed formats of the </w:t>
            </w:r>
            <w:r w:rsidRPr="004D0DAA">
              <w:rPr>
                <w:i/>
              </w:rPr>
              <w:t>Frequency List</w:t>
            </w:r>
            <w:r w:rsidRPr="004D0DAA">
              <w:t xml:space="preserve"> information element are the </w:t>
            </w:r>
            <w:r w:rsidRPr="004D0DAA">
              <w:rPr>
                <w:i/>
              </w:rPr>
              <w:t>bit map 0</w:t>
            </w:r>
            <w:r w:rsidRPr="004D0DAA">
              <w:t xml:space="preserve">, </w:t>
            </w:r>
            <w:r w:rsidRPr="004D0DAA">
              <w:rPr>
                <w:i/>
              </w:rPr>
              <w:t>1024 range</w:t>
            </w:r>
            <w:r w:rsidRPr="004D0DAA">
              <w:t xml:space="preserve">, </w:t>
            </w:r>
            <w:r w:rsidRPr="004D0DAA">
              <w:rPr>
                <w:i/>
              </w:rPr>
              <w:t>512 range</w:t>
            </w:r>
            <w:r w:rsidRPr="004D0DAA">
              <w:t xml:space="preserve">, </w:t>
            </w:r>
            <w:r w:rsidRPr="004D0DAA">
              <w:rPr>
                <w:i/>
              </w:rPr>
              <w:t>256 range</w:t>
            </w:r>
            <w:r w:rsidRPr="004D0DAA">
              <w:t xml:space="preserve">, </w:t>
            </w:r>
            <w:r w:rsidRPr="004D0DAA">
              <w:rPr>
                <w:i/>
              </w:rPr>
              <w:t>128 range</w:t>
            </w:r>
            <w:r w:rsidRPr="004D0DAA">
              <w:t xml:space="preserve"> and </w:t>
            </w:r>
            <w:r w:rsidRPr="004D0DAA">
              <w:rPr>
                <w:i/>
              </w:rPr>
              <w:t>variable bit map</w:t>
            </w:r>
            <w:r w:rsidRPr="004D0DAA">
              <w:t xml:space="preserve"> formats.</w:t>
            </w:r>
          </w:p>
        </w:tc>
      </w:tr>
      <w:tr w:rsidR="00711444" w:rsidRPr="004D0DAA" w14:paraId="3A75F276" w14:textId="77777777" w:rsidTr="00AA2A4C">
        <w:tblPrEx>
          <w:tblCellMar>
            <w:top w:w="0" w:type="dxa"/>
            <w:bottom w:w="0" w:type="dxa"/>
          </w:tblCellMar>
        </w:tblPrEx>
        <w:trPr>
          <w:cantSplit/>
        </w:trPr>
        <w:tc>
          <w:tcPr>
            <w:tcW w:w="9848" w:type="dxa"/>
          </w:tcPr>
          <w:p w14:paraId="33D59B52" w14:textId="77777777" w:rsidR="00711444" w:rsidRPr="004D0DAA" w:rsidRDefault="00711444" w:rsidP="00AA2A4C">
            <w:r w:rsidRPr="004D0DAA">
              <w:rPr>
                <w:b/>
                <w:bCs/>
              </w:rPr>
              <w:t>DOWNLINK_</w:t>
            </w:r>
            <w:r w:rsidRPr="004D0DAA">
              <w:rPr>
                <w:b/>
              </w:rPr>
              <w:t xml:space="preserve">TIMESLOT_ALLOCATION </w:t>
            </w:r>
            <w:r w:rsidRPr="004D0DAA">
              <w:t>(8 bit field)</w:t>
            </w:r>
            <w:r w:rsidRPr="004D0DAA">
              <w:br/>
              <w:t>This information element describes which timeslots are assigned to the MBMS bearer in the neighbouring cell. This field is encoded as the Timeslot Allocation field defined in sub-clause 12.18.</w:t>
            </w:r>
          </w:p>
          <w:p w14:paraId="24B47840" w14:textId="77777777" w:rsidR="00711444" w:rsidRPr="004D0DAA" w:rsidRDefault="00711444" w:rsidP="00AA2A4C">
            <w:pPr>
              <w:rPr>
                <w:b/>
              </w:rPr>
            </w:pPr>
            <w:r w:rsidRPr="004D0DAA">
              <w:t xml:space="preserve">The field following the </w:t>
            </w:r>
            <w:r w:rsidRPr="004D0DAA">
              <w:rPr>
                <w:i/>
                <w:iCs/>
              </w:rPr>
              <w:t>Frequency Parameters</w:t>
            </w:r>
            <w:r w:rsidRPr="004D0DAA">
              <w:t xml:space="preserve"> information element shall refer to all the MBMS bearers described in the subsequent loop (default value). If this field is provided for a particular MBMS bearer, it refers only to that MBMS bearer (this specific value overrides the default value). Every MBMS bearer shall be assigned either the default value or a specific value.</w:t>
            </w:r>
          </w:p>
        </w:tc>
      </w:tr>
      <w:tr w:rsidR="00711444" w:rsidRPr="004D0DAA" w14:paraId="054FBFF5" w14:textId="77777777" w:rsidTr="00AA2A4C">
        <w:tblPrEx>
          <w:tblCellMar>
            <w:top w:w="0" w:type="dxa"/>
            <w:bottom w:w="0" w:type="dxa"/>
          </w:tblCellMar>
        </w:tblPrEx>
        <w:trPr>
          <w:cantSplit/>
        </w:trPr>
        <w:tc>
          <w:tcPr>
            <w:tcW w:w="9848" w:type="dxa"/>
          </w:tcPr>
          <w:p w14:paraId="59E37015" w14:textId="77777777" w:rsidR="00711444" w:rsidRPr="004D0DAA" w:rsidRDefault="00711444" w:rsidP="00AA2A4C">
            <w:r w:rsidRPr="004D0DAA">
              <w:rPr>
                <w:b/>
              </w:rPr>
              <w:t>TIMELOT_ALLOCATION_UPLINK_FEEDBACK_CHANNEL</w:t>
            </w:r>
            <w:r w:rsidRPr="004D0DAA">
              <w:rPr>
                <w:bCs/>
              </w:rPr>
              <w:t xml:space="preserve"> (3 bit field)</w:t>
            </w:r>
            <w:r w:rsidRPr="004D0DAA">
              <w:br/>
              <w:t>This field indicates the timeslot used for the uplink feedback channel in the neighbour cell. This field is coded as the binary representation of the timeslot number.</w:t>
            </w:r>
          </w:p>
        </w:tc>
      </w:tr>
      <w:tr w:rsidR="00711444" w:rsidRPr="004D0DAA" w14:paraId="5CFBEA09" w14:textId="77777777" w:rsidTr="00AA2A4C">
        <w:tblPrEx>
          <w:tblCellMar>
            <w:top w:w="0" w:type="dxa"/>
            <w:bottom w:w="0" w:type="dxa"/>
          </w:tblCellMar>
        </w:tblPrEx>
        <w:trPr>
          <w:cantSplit/>
        </w:trPr>
        <w:tc>
          <w:tcPr>
            <w:tcW w:w="9848" w:type="dxa"/>
          </w:tcPr>
          <w:p w14:paraId="5F83C3D0" w14:textId="77777777" w:rsidR="00711444" w:rsidRPr="004D0DAA" w:rsidRDefault="00711444" w:rsidP="00AA2A4C">
            <w:r w:rsidRPr="004D0DAA">
              <w:rPr>
                <w:b/>
              </w:rPr>
              <w:t>EGPRS Window Size</w:t>
            </w:r>
            <w:r w:rsidRPr="004D0DAA">
              <w:rPr>
                <w:b/>
              </w:rPr>
              <w:br/>
            </w:r>
            <w:r w:rsidRPr="004D0DAA">
              <w:t>This information element is defined in sub-clause 12.5.2.</w:t>
            </w:r>
          </w:p>
        </w:tc>
      </w:tr>
      <w:tr w:rsidR="00711444" w:rsidRPr="004D0DAA" w14:paraId="2334ECD9" w14:textId="77777777" w:rsidTr="00AA2A4C">
        <w:tblPrEx>
          <w:tblCellMar>
            <w:top w:w="0" w:type="dxa"/>
            <w:bottom w:w="0" w:type="dxa"/>
          </w:tblCellMar>
        </w:tblPrEx>
        <w:trPr>
          <w:cantSplit/>
        </w:trPr>
        <w:tc>
          <w:tcPr>
            <w:tcW w:w="9848" w:type="dxa"/>
          </w:tcPr>
          <w:p w14:paraId="474E558D" w14:textId="77777777" w:rsidR="00711444" w:rsidRPr="004D0DAA" w:rsidRDefault="00711444" w:rsidP="00AA2A4C">
            <w:r w:rsidRPr="004D0DAA">
              <w:rPr>
                <w:b/>
                <w:bCs/>
              </w:rPr>
              <w:t xml:space="preserve">MBMS Radio Bearer Starting Time </w:t>
            </w:r>
            <w:r w:rsidRPr="004D0DAA">
              <w:t>(16 bit field)</w:t>
            </w:r>
            <w:r w:rsidRPr="004D0DAA">
              <w:br/>
              <w:t xml:space="preserve">This field contains a starting time that indicates the frame number from which the data transfer on the assigned MBMS radio bearer may start. The MBMS Radio Bearer Starting Time is encoded as the value part of the type 3 information element </w:t>
            </w:r>
            <w:r w:rsidRPr="004D0DAA">
              <w:rPr>
                <w:i/>
              </w:rPr>
              <w:t xml:space="preserve">Starting Time </w:t>
            </w:r>
            <w:r w:rsidRPr="004D0DAA">
              <w:t>in 3GPP TS 44.018.</w:t>
            </w:r>
          </w:p>
        </w:tc>
      </w:tr>
      <w:tr w:rsidR="00711444" w:rsidRPr="004D0DAA" w14:paraId="7E59CCF1" w14:textId="77777777" w:rsidTr="00AA2A4C">
        <w:tblPrEx>
          <w:tblCellMar>
            <w:top w:w="0" w:type="dxa"/>
            <w:bottom w:w="0" w:type="dxa"/>
          </w:tblCellMar>
        </w:tblPrEx>
        <w:trPr>
          <w:cantSplit/>
        </w:trPr>
        <w:tc>
          <w:tcPr>
            <w:tcW w:w="9848" w:type="dxa"/>
          </w:tcPr>
          <w:p w14:paraId="406F0684" w14:textId="77777777" w:rsidR="00711444" w:rsidRPr="004D0DAA" w:rsidRDefault="00711444" w:rsidP="00AA2A4C">
            <w:pPr>
              <w:rPr>
                <w:b/>
                <w:bCs/>
              </w:rPr>
            </w:pPr>
            <w:r w:rsidRPr="004D0DAA">
              <w:rPr>
                <w:b/>
              </w:rPr>
              <w:t>MBMS In-band Signalling Indicator</w:t>
            </w:r>
            <w:r w:rsidRPr="004D0DAA">
              <w:br/>
              <w:t>This information element contains the MBMS In-band Signalling Indicator. This information element is defined in sub-clause 12.45.</w:t>
            </w:r>
          </w:p>
        </w:tc>
      </w:tr>
      <w:tr w:rsidR="00711444" w:rsidRPr="004D0DAA" w14:paraId="4341FADC" w14:textId="77777777" w:rsidTr="00AA2A4C">
        <w:tblPrEx>
          <w:tblCellMar>
            <w:top w:w="0" w:type="dxa"/>
            <w:bottom w:w="0" w:type="dxa"/>
          </w:tblCellMar>
        </w:tblPrEx>
        <w:trPr>
          <w:cantSplit/>
        </w:trPr>
        <w:tc>
          <w:tcPr>
            <w:tcW w:w="9848" w:type="dxa"/>
          </w:tcPr>
          <w:p w14:paraId="56183555" w14:textId="77777777" w:rsidR="00711444" w:rsidRPr="004D0DAA" w:rsidRDefault="00711444" w:rsidP="00AA2A4C">
            <w:r w:rsidRPr="004D0DAA">
              <w:rPr>
                <w:b/>
                <w:bCs/>
              </w:rPr>
              <w:t>PBCCH information</w:t>
            </w:r>
          </w:p>
          <w:p w14:paraId="79C2DA6A" w14:textId="77777777" w:rsidR="00711444" w:rsidRPr="004D0DAA" w:rsidRDefault="00711444" w:rsidP="00AA2A4C">
            <w:r w:rsidRPr="004D0DAA">
              <w:t>This information, if present, describes the PBCCH location in the target cell. In case PBCCH is allocated in the target cell and can be described with this encoding, this information shall be included in the message.</w:t>
            </w:r>
          </w:p>
        </w:tc>
      </w:tr>
      <w:tr w:rsidR="00711444" w:rsidRPr="004D0DAA" w14:paraId="4B5C90FB" w14:textId="77777777" w:rsidTr="00AA2A4C">
        <w:tblPrEx>
          <w:tblCellMar>
            <w:top w:w="0" w:type="dxa"/>
            <w:bottom w:w="0" w:type="dxa"/>
          </w:tblCellMar>
        </w:tblPrEx>
        <w:trPr>
          <w:cantSplit/>
        </w:trPr>
        <w:tc>
          <w:tcPr>
            <w:tcW w:w="9848" w:type="dxa"/>
          </w:tcPr>
          <w:p w14:paraId="5541A88E" w14:textId="77777777" w:rsidR="00711444" w:rsidRPr="004D0DAA" w:rsidRDefault="00711444" w:rsidP="00AA2A4C">
            <w:r w:rsidRPr="004D0DAA">
              <w:rPr>
                <w:b/>
                <w:bCs/>
              </w:rPr>
              <w:t>USF</w:t>
            </w:r>
            <w:r w:rsidRPr="004D0DAA">
              <w:rPr>
                <w:b/>
              </w:rPr>
              <w:t xml:space="preserve"> </w:t>
            </w:r>
            <w:r w:rsidRPr="004D0DAA">
              <w:t>(3 bit field)</w:t>
            </w:r>
            <w:r w:rsidRPr="004D0DAA">
              <w:br/>
              <w:t>This field identifies the USF value that identifies the MPRACH defined on the uplink feedback channel in the neighbour cell.</w:t>
            </w:r>
          </w:p>
          <w:p w14:paraId="52EC393C" w14:textId="77777777" w:rsidR="00711444" w:rsidRPr="004D0DAA" w:rsidRDefault="00711444" w:rsidP="00AA2A4C">
            <w:r w:rsidRPr="004D0DAA">
              <w:t>The list of MBMS bearers in the Rel-7 additions is ordered as described by the loops in the earlier releases part. The choice bit indicates for each MBMS bearer whether the parameters are present or not. </w:t>
            </w:r>
          </w:p>
        </w:tc>
      </w:tr>
      <w:tr w:rsidR="00711444" w:rsidRPr="004D0DAA" w14:paraId="6DE44D83" w14:textId="77777777" w:rsidTr="00AA2A4C">
        <w:tblPrEx>
          <w:tblCellMar>
            <w:top w:w="0" w:type="dxa"/>
            <w:bottom w:w="0" w:type="dxa"/>
          </w:tblCellMar>
        </w:tblPrEx>
        <w:trPr>
          <w:cantSplit/>
        </w:trPr>
        <w:tc>
          <w:tcPr>
            <w:tcW w:w="9848" w:type="dxa"/>
          </w:tcPr>
          <w:p w14:paraId="3932D363" w14:textId="77777777" w:rsidR="00711444" w:rsidRPr="004D0DAA" w:rsidRDefault="00711444" w:rsidP="00AA2A4C">
            <w:pPr>
              <w:rPr>
                <w:b/>
              </w:rPr>
            </w:pPr>
            <w:r w:rsidRPr="004D0DAA">
              <w:rPr>
                <w:b/>
              </w:rPr>
              <w:t>MPRACH Control Parameters</w:t>
            </w:r>
            <w:r w:rsidRPr="004D0DAA">
              <w:br/>
              <w:t>This information element, if present, defines the access control parameters to be used on the MPRACH defined on the uplink feedback channel in the neighbour cell. This information element is defined in sub-clause 12.41.</w:t>
            </w:r>
          </w:p>
        </w:tc>
      </w:tr>
      <w:tr w:rsidR="00711444" w:rsidRPr="004D0DAA" w14:paraId="7A4CC438" w14:textId="77777777" w:rsidTr="00AA2A4C">
        <w:tblPrEx>
          <w:tblCellMar>
            <w:top w:w="0" w:type="dxa"/>
            <w:bottom w:w="0" w:type="dxa"/>
          </w:tblCellMar>
        </w:tblPrEx>
        <w:trPr>
          <w:cantSplit/>
        </w:trPr>
        <w:tc>
          <w:tcPr>
            <w:tcW w:w="9848" w:type="dxa"/>
          </w:tcPr>
          <w:p w14:paraId="6A7E7E8B"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11C98054" w14:textId="77777777" w:rsidR="00711444" w:rsidRPr="004D0DAA" w:rsidRDefault="00711444" w:rsidP="00AA2A4C">
            <w:pPr>
              <w:rPr>
                <w:b/>
              </w:rPr>
            </w:pPr>
            <w:r w:rsidRPr="004D0DAA">
              <w:t>This field is defined in sub-clause 12.45a.</w:t>
            </w:r>
          </w:p>
        </w:tc>
      </w:tr>
    </w:tbl>
    <w:p w14:paraId="6E1090E7" w14:textId="77777777" w:rsidR="00711444" w:rsidRPr="004D0DAA" w:rsidRDefault="00711444" w:rsidP="00711444"/>
    <w:p w14:paraId="0C93D1CD" w14:textId="77777777" w:rsidR="00711444" w:rsidRPr="004D0DAA" w:rsidRDefault="00711444" w:rsidP="00711444">
      <w:pPr>
        <w:pStyle w:val="Heading3"/>
      </w:pPr>
      <w:bookmarkStart w:id="731" w:name="_Toc516669907"/>
      <w:r w:rsidRPr="004D0DAA">
        <w:lastRenderedPageBreak/>
        <w:t>11.2.41</w:t>
      </w:r>
      <w:r w:rsidRPr="004D0DAA">
        <w:tab/>
        <w:t>MBMS MS_ID Assignment</w:t>
      </w:r>
      <w:bookmarkEnd w:id="731"/>
    </w:p>
    <w:p w14:paraId="1DE45DE5" w14:textId="77777777" w:rsidR="00711444" w:rsidRPr="004D0DAA" w:rsidRDefault="00711444" w:rsidP="00711444">
      <w:pPr>
        <w:outlineLvl w:val="0"/>
      </w:pPr>
      <w:r w:rsidRPr="004D0DAA">
        <w:t xml:space="preserve">This message is sent on the PACCH by the network to the mobile station to assign an MS_ID and to provide the timing advance parameters to the mobile station in case of an MBMS radio bearer with an assigned uplink feedback channel. The </w:t>
      </w:r>
      <w:r w:rsidRPr="004D0DAA">
        <w:rPr>
          <w:lang w:eastAsia="ko-KR"/>
        </w:rPr>
        <w:t>message can also be used to reassign or delete the MS_ID assigned to the mobile station.</w:t>
      </w:r>
    </w:p>
    <w:p w14:paraId="5CF2EB6A" w14:textId="77777777" w:rsidR="00711444" w:rsidRPr="004D0DAA" w:rsidRDefault="00711444" w:rsidP="00711444">
      <w:pPr>
        <w:pStyle w:val="EX"/>
      </w:pPr>
      <w:r w:rsidRPr="004D0DAA">
        <w:t>Message type:</w:t>
      </w:r>
      <w:r w:rsidRPr="004D0DAA">
        <w:tab/>
        <w:t>MBMS MS_ID ASSIGNMENT</w:t>
      </w:r>
    </w:p>
    <w:p w14:paraId="6E3E1773" w14:textId="77777777" w:rsidR="00711444" w:rsidRPr="004D0DAA" w:rsidRDefault="00711444" w:rsidP="00711444">
      <w:pPr>
        <w:pStyle w:val="EX"/>
      </w:pPr>
      <w:r w:rsidRPr="004D0DAA">
        <w:t>Direction:</w:t>
      </w:r>
      <w:r w:rsidRPr="004D0DAA">
        <w:tab/>
        <w:t>network to mobile station</w:t>
      </w:r>
    </w:p>
    <w:p w14:paraId="5F167DBA" w14:textId="77777777" w:rsidR="00711444" w:rsidRPr="004D0DAA" w:rsidRDefault="00711444" w:rsidP="00711444">
      <w:pPr>
        <w:pStyle w:val="EX"/>
      </w:pPr>
      <w:r w:rsidRPr="004D0DAA">
        <w:t>Classification:</w:t>
      </w:r>
      <w:r w:rsidRPr="004D0DAA">
        <w:tab/>
        <w:t>non-distribution message</w:t>
      </w:r>
    </w:p>
    <w:p w14:paraId="7CE23896" w14:textId="77777777" w:rsidR="00711444" w:rsidRPr="004D0DAA" w:rsidRDefault="00711444" w:rsidP="00711444">
      <w:pPr>
        <w:pStyle w:val="TH"/>
        <w:outlineLvl w:val="0"/>
      </w:pPr>
      <w:r w:rsidRPr="004D0DAA">
        <w:t>Table 11.2.41.1: MBMS MS_ID ASSIGNMENT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629"/>
      </w:tblGrid>
      <w:tr w:rsidR="00711444" w:rsidRPr="004D0DAA" w14:paraId="13D32ABB" w14:textId="77777777" w:rsidTr="00AA2A4C">
        <w:trPr>
          <w:cantSplit/>
        </w:trPr>
        <w:tc>
          <w:tcPr>
            <w:tcW w:w="9848" w:type="dxa"/>
          </w:tcPr>
          <w:p w14:paraId="0DA1C18A" w14:textId="77777777" w:rsidR="00711444" w:rsidRPr="004D0DAA" w:rsidRDefault="00711444" w:rsidP="00AA2A4C">
            <w:pPr>
              <w:pStyle w:val="TAL"/>
              <w:rPr>
                <w:lang w:val="fr-FR" w:eastAsia="en-US"/>
              </w:rPr>
            </w:pPr>
            <w:r w:rsidRPr="004D0DAA">
              <w:rPr>
                <w:lang w:val="fr-FR" w:eastAsia="en-US"/>
              </w:rPr>
              <w:t>&lt; MBMS MS_ID Assignment message content &gt; ::=</w:t>
            </w:r>
          </w:p>
          <w:p w14:paraId="118A861B"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0A476B6A"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 0</w:t>
            </w:r>
            <w:r w:rsidRPr="004D0DAA">
              <w:rPr>
                <w:lang w:eastAsia="en-US"/>
              </w:rPr>
              <w:tab/>
              <w:t xml:space="preserve">&lt; </w:t>
            </w:r>
            <w:r w:rsidRPr="004D0DAA">
              <w:rPr>
                <w:b/>
                <w:lang w:eastAsia="en-US"/>
              </w:rPr>
              <w:t>Global TFI</w:t>
            </w:r>
            <w:r w:rsidRPr="004D0DAA">
              <w:rPr>
                <w:lang w:eastAsia="en-US"/>
              </w:rPr>
              <w:t xml:space="preserve"> : &lt; Global TFI IE &gt; &gt;</w:t>
            </w:r>
          </w:p>
          <w:p w14:paraId="70F07E6C"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t xml:space="preserve">&lt; </w:t>
            </w:r>
            <w:r w:rsidRPr="004D0DAA">
              <w:rPr>
                <w:b/>
                <w:lang w:eastAsia="en-US"/>
              </w:rPr>
              <w:t>TLLI</w:t>
            </w:r>
            <w:r w:rsidRPr="004D0DAA">
              <w:rPr>
                <w:lang w:eastAsia="en-US"/>
              </w:rPr>
              <w:t xml:space="preserve"> </w:t>
            </w:r>
            <w:r w:rsidRPr="004D0DAA">
              <w:rPr>
                <w:b/>
                <w:bCs/>
                <w:lang w:eastAsia="en-US"/>
              </w:rPr>
              <w:t xml:space="preserve">/ G-RNTI </w:t>
            </w:r>
            <w:r w:rsidRPr="004D0DAA">
              <w:rPr>
                <w:lang w:eastAsia="en-US"/>
              </w:rPr>
              <w:t>: bit (32) &gt; }</w:t>
            </w:r>
          </w:p>
          <w:p w14:paraId="552EE8EC"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MS_ID is assigned the first time.</w:t>
            </w:r>
          </w:p>
          <w:p w14:paraId="03AA90F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Length of MBMS Bearer Identity</w:t>
            </w:r>
            <w:r w:rsidRPr="004D0DAA">
              <w:rPr>
                <w:lang w:eastAsia="en-US"/>
              </w:rPr>
              <w:t xml:space="preserve"> : bit (3) &gt;</w:t>
            </w:r>
          </w:p>
          <w:p w14:paraId="4187DE1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MBMS Bearer Identity</w:t>
            </w:r>
            <w:r w:rsidRPr="004D0DAA">
              <w:rPr>
                <w:lang w:eastAsia="en-US"/>
              </w:rPr>
              <w:t xml:space="preserve"> : bit (val (Length of MBMS Bearer Identity)) &gt;</w:t>
            </w:r>
          </w:p>
          <w:p w14:paraId="145F34E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MS_ID</w:t>
            </w:r>
            <w:r w:rsidRPr="004D0DAA">
              <w:rPr>
                <w:lang w:eastAsia="en-US"/>
              </w:rPr>
              <w:t xml:space="preserve"> : bit (5 - val (Length of MBMS Bearer Identity)) &gt;</w:t>
            </w:r>
          </w:p>
          <w:p w14:paraId="237E40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Packet Timing Advance </w:t>
            </w:r>
            <w:r w:rsidRPr="004D0DAA">
              <w:rPr>
                <w:lang w:eastAsia="en-US"/>
              </w:rPr>
              <w:t>: &lt; Packet Timing Advance IE &gt; &gt;</w:t>
            </w:r>
          </w:p>
          <w:p w14:paraId="3D7DC8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ALPHA</w:t>
            </w:r>
            <w:r w:rsidRPr="004D0DAA">
              <w:rPr>
                <w:lang w:eastAsia="en-US"/>
              </w:rPr>
              <w:t xml:space="preserve"> : bit (4) &gt; </w:t>
            </w:r>
          </w:p>
          <w:p w14:paraId="1D7AA664" w14:textId="77777777" w:rsidR="00711444" w:rsidRPr="004D0DAA" w:rsidRDefault="00711444" w:rsidP="00AA2A4C">
            <w:pPr>
              <w:pStyle w:val="TAL"/>
              <w:rPr>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1&lt; </w:t>
            </w:r>
            <w:r w:rsidRPr="004D0DAA">
              <w:rPr>
                <w:b/>
                <w:lang w:eastAsia="en-US"/>
              </w:rPr>
              <w:t>GAMMA</w:t>
            </w:r>
            <w:r w:rsidRPr="004D0DAA">
              <w:rPr>
                <w:bCs/>
                <w:lang w:eastAsia="en-US"/>
              </w:rPr>
              <w:t xml:space="preserve"> : bit (5) &gt; } </w:t>
            </w:r>
          </w:p>
          <w:p w14:paraId="054E117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1EFFB7A0"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MS_ID is reassigned.</w:t>
            </w:r>
          </w:p>
          <w:p w14:paraId="533448F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Current MS_ID Expiry Time</w:t>
            </w:r>
            <w:r w:rsidRPr="004D0DAA">
              <w:rPr>
                <w:lang w:eastAsia="en-US"/>
              </w:rPr>
              <w:t xml:space="preserve"> : bit (16) &gt;</w:t>
            </w:r>
          </w:p>
          <w:p w14:paraId="17E035C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MS_ID is not redefined.</w:t>
            </w:r>
          </w:p>
          <w:p w14:paraId="0F7AD0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MS_ID is redefined.</w:t>
            </w:r>
          </w:p>
          <w:p w14:paraId="759FAE3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Length Indicator of MS_ID</w:t>
            </w:r>
            <w:r w:rsidRPr="004D0DAA">
              <w:rPr>
                <w:lang w:eastAsia="en-US"/>
              </w:rPr>
              <w:t xml:space="preserve"> : bit (2) &gt;</w:t>
            </w:r>
          </w:p>
          <w:p w14:paraId="09EAD9D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MS_ID</w:t>
            </w:r>
            <w:r w:rsidRPr="004D0DAA">
              <w:rPr>
                <w:lang w:eastAsia="en-US"/>
              </w:rPr>
              <w:t xml:space="preserve"> : bit (val (Length Indicator of MS_ID) + 1) &gt; }</w:t>
            </w:r>
          </w:p>
          <w:p w14:paraId="11B38B3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 xml:space="preserve">Packet Timing Advance </w:t>
            </w:r>
            <w:r w:rsidRPr="004D0DAA">
              <w:rPr>
                <w:lang w:eastAsia="en-US"/>
              </w:rPr>
              <w:t>: &lt; Packet Timing Advance IE &gt; &gt;</w:t>
            </w:r>
          </w:p>
          <w:p w14:paraId="2FF141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ALPHA</w:t>
            </w:r>
            <w:r w:rsidRPr="004D0DAA">
              <w:rPr>
                <w:lang w:eastAsia="en-US"/>
              </w:rPr>
              <w:t xml:space="preserve"> : bit (4) &gt; </w:t>
            </w:r>
          </w:p>
          <w:p w14:paraId="557940B5" w14:textId="77777777" w:rsidR="00711444" w:rsidRPr="004D0DAA" w:rsidRDefault="00711444" w:rsidP="00AA2A4C">
            <w:pPr>
              <w:pStyle w:val="TAL"/>
              <w:rPr>
                <w:b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1&lt; </w:t>
            </w:r>
            <w:r w:rsidRPr="004D0DAA">
              <w:rPr>
                <w:b/>
                <w:lang w:eastAsia="en-US"/>
              </w:rPr>
              <w:t>GAMMA</w:t>
            </w:r>
            <w:r w:rsidRPr="004D0DAA">
              <w:rPr>
                <w:bCs/>
                <w:lang w:eastAsia="en-US"/>
              </w:rPr>
              <w:t xml:space="preserve"> : bit (5) &gt; } </w:t>
            </w:r>
          </w:p>
          <w:p w14:paraId="27B4562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w:t>
            </w:r>
          </w:p>
          <w:p w14:paraId="4C597C9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p w14:paraId="200E959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w:t>
            </w:r>
          </w:p>
          <w:p w14:paraId="6A8C78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2A040361"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77027A13" w14:textId="77777777" w:rsidR="00711444" w:rsidRPr="004D0DAA" w:rsidRDefault="00711444" w:rsidP="00AA2A4C">
            <w:pPr>
              <w:pStyle w:val="TAL"/>
              <w:rPr>
                <w:lang w:eastAsia="en-US"/>
              </w:rPr>
            </w:pPr>
            <w:r w:rsidRPr="004D0DAA">
              <w:rPr>
                <w:lang w:eastAsia="en-US"/>
              </w:rPr>
              <w:tab/>
              <w:t>! &lt; Distribution part error : bit (*) = &lt; no string &gt; &gt; ;</w:t>
            </w:r>
          </w:p>
          <w:p w14:paraId="351222F0" w14:textId="77777777" w:rsidR="00711444" w:rsidRPr="004D0DAA" w:rsidRDefault="00711444" w:rsidP="00AA2A4C">
            <w:pPr>
              <w:pStyle w:val="TAL"/>
              <w:rPr>
                <w:lang w:eastAsia="en-US"/>
              </w:rPr>
            </w:pPr>
          </w:p>
        </w:tc>
      </w:tr>
    </w:tbl>
    <w:p w14:paraId="271AFDBC" w14:textId="77777777" w:rsidR="00711444" w:rsidRPr="004D0DAA" w:rsidRDefault="00711444" w:rsidP="00711444">
      <w:pPr>
        <w:rPr>
          <w:sz w:val="24"/>
        </w:rPr>
      </w:pPr>
    </w:p>
    <w:p w14:paraId="5184D8CE" w14:textId="77777777" w:rsidR="00711444" w:rsidRPr="004D0DAA" w:rsidRDefault="00711444" w:rsidP="00711444">
      <w:pPr>
        <w:pStyle w:val="TH"/>
        <w:outlineLvl w:val="0"/>
      </w:pPr>
      <w:r w:rsidRPr="004D0DAA">
        <w:t>Table 11.2.41.2: MBMS MS_ID ASSIGNMENT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711444" w:rsidRPr="004D0DAA" w14:paraId="37E6E2F0" w14:textId="77777777" w:rsidTr="00AA2A4C">
        <w:trPr>
          <w:cantSplit/>
        </w:trPr>
        <w:tc>
          <w:tcPr>
            <w:tcW w:w="9855" w:type="dxa"/>
          </w:tcPr>
          <w:p w14:paraId="707E49EC" w14:textId="77777777" w:rsidR="00711444" w:rsidRPr="004D0DAA" w:rsidRDefault="00711444" w:rsidP="00AA2A4C">
            <w:r w:rsidRPr="004D0DAA">
              <w:rPr>
                <w:b/>
              </w:rPr>
              <w:t>PAGE_MODE</w:t>
            </w:r>
            <w:r w:rsidRPr="004D0DAA">
              <w:t xml:space="preserve"> (2 bit field)</w:t>
            </w:r>
            <w:r w:rsidRPr="004D0DAA">
              <w:br/>
              <w:t>This field is defined in</w:t>
            </w:r>
            <w:r w:rsidRPr="004D0DAA">
              <w:rPr>
                <w:i/>
              </w:rPr>
              <w:t xml:space="preserve"> </w:t>
            </w:r>
            <w:r w:rsidRPr="004D0DAA">
              <w:rPr>
                <w:iCs/>
              </w:rPr>
              <w:t>sub-clause</w:t>
            </w:r>
            <w:r w:rsidRPr="004D0DAA">
              <w:t xml:space="preserve"> 12.20.</w:t>
            </w:r>
          </w:p>
        </w:tc>
      </w:tr>
      <w:tr w:rsidR="00711444" w:rsidRPr="004D0DAA" w14:paraId="30BACB2F" w14:textId="77777777" w:rsidTr="00AA2A4C">
        <w:trPr>
          <w:cantSplit/>
        </w:trPr>
        <w:tc>
          <w:tcPr>
            <w:tcW w:w="9855" w:type="dxa"/>
          </w:tcPr>
          <w:p w14:paraId="2F9CE2F0" w14:textId="77777777" w:rsidR="00711444" w:rsidRPr="004D0DAA" w:rsidRDefault="00711444" w:rsidP="00AA2A4C">
            <w:r w:rsidRPr="004D0DAA">
              <w:rPr>
                <w:b/>
              </w:rPr>
              <w:t>Global TFI</w:t>
            </w:r>
            <w:r w:rsidRPr="004D0DAA">
              <w:rPr>
                <w:b/>
              </w:rPr>
              <w:br/>
            </w:r>
            <w:r w:rsidRPr="004D0DAA">
              <w:t>This information element shall always contain the DOWNLINK_TFI field. The most significant bit(s) of the DOWNLINK_TFI field denote(s) the MBMS Bearer Identity of the MBMS radio bearer the message relates to and the remaining least significant bit(s) denote(s) the MS_ID addressing the mobile station the message relates to. This field is defined in sub-clause 12.10.</w:t>
            </w:r>
          </w:p>
        </w:tc>
      </w:tr>
      <w:tr w:rsidR="00711444" w:rsidRPr="004D0DAA" w14:paraId="026E74D8" w14:textId="77777777" w:rsidTr="00AA2A4C">
        <w:trPr>
          <w:cantSplit/>
        </w:trPr>
        <w:tc>
          <w:tcPr>
            <w:tcW w:w="9855" w:type="dxa"/>
          </w:tcPr>
          <w:p w14:paraId="0911942F" w14:textId="77777777" w:rsidR="00711444" w:rsidRPr="004D0DAA" w:rsidRDefault="00711444" w:rsidP="00AA2A4C">
            <w:r w:rsidRPr="004D0DAA">
              <w:rPr>
                <w:b/>
              </w:rPr>
              <w:t>TLLI</w:t>
            </w:r>
            <w:r w:rsidRPr="004D0DAA">
              <w:t xml:space="preserve"> </w:t>
            </w:r>
            <w:r w:rsidRPr="004D0DAA">
              <w:rPr>
                <w:b/>
              </w:rPr>
              <w:t>/ G-RNTI</w:t>
            </w:r>
            <w:r w:rsidRPr="004D0DAA">
              <w:t xml:space="preserve"> (32 bit field)</w:t>
            </w:r>
            <w:r w:rsidRPr="004D0DAA">
              <w:br/>
              <w:t>This field contains the TLLI/G-RNTI of the mobile station. This field is encoded as defined in sub-clause 12.16.</w:t>
            </w:r>
          </w:p>
        </w:tc>
      </w:tr>
      <w:tr w:rsidR="00711444" w:rsidRPr="004D0DAA" w14:paraId="28D87498" w14:textId="77777777" w:rsidTr="00AA2A4C">
        <w:trPr>
          <w:cantSplit/>
        </w:trPr>
        <w:tc>
          <w:tcPr>
            <w:tcW w:w="9855" w:type="dxa"/>
          </w:tcPr>
          <w:p w14:paraId="6285248F" w14:textId="77777777" w:rsidR="00711444" w:rsidRPr="004D0DAA" w:rsidRDefault="00711444" w:rsidP="00AA2A4C">
            <w:r w:rsidRPr="004D0DAA">
              <w:rPr>
                <w:b/>
                <w:bCs/>
              </w:rPr>
              <w:t xml:space="preserve">MBMS Bearer Identity </w:t>
            </w:r>
            <w:r w:rsidRPr="004D0DAA">
              <w:t>(1-5 bit field)</w:t>
            </w:r>
            <w:r w:rsidRPr="004D0DAA">
              <w:br/>
              <w:t xml:space="preserve">This field identifies the MBMS radio bearer this message relates to and is defined in </w:t>
            </w:r>
            <w:r w:rsidRPr="004D0DAA">
              <w:rPr>
                <w:iCs/>
              </w:rPr>
              <w:t>sub-clause</w:t>
            </w:r>
            <w:r w:rsidRPr="004D0DAA">
              <w:t xml:space="preserve"> 12.34.</w:t>
            </w:r>
          </w:p>
        </w:tc>
      </w:tr>
      <w:tr w:rsidR="00711444" w:rsidRPr="004D0DAA" w14:paraId="29AC2295" w14:textId="77777777" w:rsidTr="00AA2A4C">
        <w:trPr>
          <w:cantSplit/>
        </w:trPr>
        <w:tc>
          <w:tcPr>
            <w:tcW w:w="9855" w:type="dxa"/>
          </w:tcPr>
          <w:p w14:paraId="12FDB241" w14:textId="77777777" w:rsidR="00711444" w:rsidRPr="004D0DAA" w:rsidRDefault="00711444" w:rsidP="00AA2A4C">
            <w:r w:rsidRPr="004D0DAA">
              <w:rPr>
                <w:b/>
                <w:bCs/>
              </w:rPr>
              <w:t xml:space="preserve">MS_ID </w:t>
            </w:r>
            <w:r w:rsidRPr="004D0DAA">
              <w:t>(1-4 bit field)</w:t>
            </w:r>
            <w:r w:rsidRPr="004D0DAA">
              <w:br/>
              <w:t xml:space="preserve">This field assigns an identifier to the mobile station, identified by the TLLI, on the MBMS radio bearer identified by the MBMS Bearer Identity, and can also be used to reassign the identifier assigned to the mobile station. This field is defined in </w:t>
            </w:r>
            <w:r w:rsidRPr="004D0DAA">
              <w:rPr>
                <w:iCs/>
              </w:rPr>
              <w:t>sub-clause</w:t>
            </w:r>
            <w:r w:rsidRPr="004D0DAA">
              <w:t xml:space="preserve"> 12.35.</w:t>
            </w:r>
          </w:p>
        </w:tc>
      </w:tr>
      <w:tr w:rsidR="00711444" w:rsidRPr="004D0DAA" w14:paraId="5AA029FF" w14:textId="77777777" w:rsidTr="00AA2A4C">
        <w:trPr>
          <w:cantSplit/>
        </w:trPr>
        <w:tc>
          <w:tcPr>
            <w:tcW w:w="9855" w:type="dxa"/>
          </w:tcPr>
          <w:p w14:paraId="4BB78618" w14:textId="77777777" w:rsidR="00711444" w:rsidRPr="004D0DAA" w:rsidRDefault="00711444" w:rsidP="00AA2A4C">
            <w:r w:rsidRPr="004D0DAA">
              <w:rPr>
                <w:b/>
              </w:rPr>
              <w:lastRenderedPageBreak/>
              <w:t>Packet Timing Advance</w:t>
            </w:r>
            <w:r w:rsidRPr="004D0DAA">
              <w:rPr>
                <w:b/>
              </w:rPr>
              <w:br/>
            </w:r>
            <w:r w:rsidRPr="004D0DAA">
              <w:t>This information element is defined in sub-clause 12.12.</w:t>
            </w:r>
          </w:p>
        </w:tc>
      </w:tr>
      <w:tr w:rsidR="00711444" w:rsidRPr="004D0DAA" w14:paraId="11F0CE61" w14:textId="77777777" w:rsidTr="00AA2A4C">
        <w:trPr>
          <w:cantSplit/>
        </w:trPr>
        <w:tc>
          <w:tcPr>
            <w:tcW w:w="9855" w:type="dxa"/>
          </w:tcPr>
          <w:p w14:paraId="4D780F53" w14:textId="77777777" w:rsidR="00711444" w:rsidRPr="004D0DAA" w:rsidRDefault="00711444" w:rsidP="00AA2A4C">
            <w:pPr>
              <w:rPr>
                <w:b/>
              </w:rPr>
            </w:pPr>
            <w:r w:rsidRPr="004D0DAA">
              <w:rPr>
                <w:b/>
              </w:rPr>
              <w:t>ALPHA</w:t>
            </w:r>
            <w:r w:rsidRPr="004D0DAA">
              <w:t xml:space="preserve"> (4 bit field)</w:t>
            </w:r>
            <w:r w:rsidRPr="004D0DAA">
              <w:br/>
              <w:t>For encoding and description see the Global Power Control Parameters IE.</w:t>
            </w:r>
          </w:p>
        </w:tc>
      </w:tr>
      <w:tr w:rsidR="00711444" w:rsidRPr="004D0DAA" w14:paraId="6E0A0B9A" w14:textId="77777777" w:rsidTr="00AA2A4C">
        <w:trPr>
          <w:cantSplit/>
        </w:trPr>
        <w:tc>
          <w:tcPr>
            <w:tcW w:w="9855" w:type="dxa"/>
          </w:tcPr>
          <w:p w14:paraId="5E2A0FF1" w14:textId="77777777" w:rsidR="00711444" w:rsidRPr="004D0DAA" w:rsidRDefault="00711444" w:rsidP="00AA2A4C">
            <w:r w:rsidRPr="004D0DAA">
              <w:rPr>
                <w:b/>
              </w:rPr>
              <w:t>GAMMA</w:t>
            </w:r>
            <w:r w:rsidRPr="004D0DAA">
              <w:t xml:space="preserve"> (5 bit field)</w:t>
            </w:r>
            <w:r w:rsidRPr="004D0DAA">
              <w:br/>
              <w:t xml:space="preserve">The GAMMA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GAMMA field is coded according to the following table:</w:t>
            </w:r>
          </w:p>
          <w:p w14:paraId="0EB26CF1" w14:textId="77777777" w:rsidR="00711444" w:rsidRPr="004D0DAA" w:rsidRDefault="00711444" w:rsidP="00AA2A4C">
            <w:pPr>
              <w:rPr>
                <w:b/>
              </w:rPr>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tc>
      </w:tr>
      <w:tr w:rsidR="00711444" w:rsidRPr="004D0DAA" w14:paraId="53561685" w14:textId="77777777" w:rsidTr="00AA2A4C">
        <w:trPr>
          <w:cantSplit/>
        </w:trPr>
        <w:tc>
          <w:tcPr>
            <w:tcW w:w="9855" w:type="dxa"/>
          </w:tcPr>
          <w:p w14:paraId="126BF9AD" w14:textId="77777777" w:rsidR="00711444" w:rsidRPr="004D0DAA" w:rsidRDefault="00711444" w:rsidP="00AA2A4C">
            <w:r w:rsidRPr="004D0DAA">
              <w:rPr>
                <w:b/>
                <w:bCs/>
              </w:rPr>
              <w:t>Current MS_ID Expiry Time</w:t>
            </w:r>
            <w:r w:rsidRPr="004D0DAA">
              <w:rPr>
                <w:b/>
                <w:bCs/>
              </w:rPr>
              <w:br/>
            </w:r>
            <w:r w:rsidRPr="004D0DAA">
              <w:t xml:space="preserve">This field contains an expiry time that indicates the frame number during which the mobile station shall consider the current MS_ID as released and, if a new MS_ID is assigned, the new MS_ID as valid. This information element is encoded as the value part of the </w:t>
            </w:r>
            <w:r w:rsidRPr="004D0DAA">
              <w:rPr>
                <w:i/>
                <w:iCs/>
              </w:rPr>
              <w:t>Starting Time</w:t>
            </w:r>
            <w:r w:rsidRPr="004D0DAA">
              <w:t xml:space="preserve"> information element specified in 3GPP TS 44.018.</w:t>
            </w:r>
          </w:p>
        </w:tc>
      </w:tr>
    </w:tbl>
    <w:p w14:paraId="28AAE0C2" w14:textId="77777777" w:rsidR="00711444" w:rsidRPr="004D0DAA" w:rsidRDefault="00711444" w:rsidP="00711444"/>
    <w:p w14:paraId="3E7D304B" w14:textId="77777777" w:rsidR="00711444" w:rsidRPr="004D0DAA" w:rsidRDefault="00711444" w:rsidP="00711444">
      <w:pPr>
        <w:pStyle w:val="Heading3"/>
      </w:pPr>
      <w:bookmarkStart w:id="732" w:name="_Toc516669908"/>
      <w:r w:rsidRPr="004D0DAA">
        <w:t>11.2.42</w:t>
      </w:r>
      <w:r w:rsidRPr="004D0DAA">
        <w:tab/>
        <w:t>Packet MBMS Announcement</w:t>
      </w:r>
      <w:bookmarkEnd w:id="732"/>
    </w:p>
    <w:p w14:paraId="63B28177" w14:textId="77777777" w:rsidR="00711444" w:rsidRPr="004D0DAA" w:rsidRDefault="00711444" w:rsidP="00711444">
      <w:r w:rsidRPr="004D0DAA">
        <w:t>This message is sent on PACCH by the network to notify all MBMS mobile stations listening to that PDCH that an MBMS Service Session is commencing or an ongoing MBMS Broadcast Service Session with an updated MBMS service area list is available.</w:t>
      </w:r>
    </w:p>
    <w:p w14:paraId="521D925D" w14:textId="77777777" w:rsidR="00711444" w:rsidRPr="004D0DAA" w:rsidRDefault="00711444" w:rsidP="00711444">
      <w:pPr>
        <w:pStyle w:val="EX"/>
      </w:pPr>
      <w:r w:rsidRPr="004D0DAA">
        <w:t>Message type:</w:t>
      </w:r>
      <w:r w:rsidRPr="004D0DAA">
        <w:tab/>
        <w:t>PACKET MBMS ANNOUNCEMENT</w:t>
      </w:r>
    </w:p>
    <w:p w14:paraId="5384D559" w14:textId="77777777" w:rsidR="00711444" w:rsidRPr="004D0DAA" w:rsidRDefault="00711444" w:rsidP="00711444">
      <w:pPr>
        <w:pStyle w:val="EX"/>
      </w:pPr>
      <w:r w:rsidRPr="004D0DAA">
        <w:t>Direction:</w:t>
      </w:r>
      <w:r w:rsidRPr="004D0DAA">
        <w:tab/>
        <w:t>network to mobile station</w:t>
      </w:r>
    </w:p>
    <w:p w14:paraId="29F98FD3" w14:textId="77777777" w:rsidR="00711444" w:rsidRPr="004D0DAA" w:rsidRDefault="00711444" w:rsidP="00711444">
      <w:pPr>
        <w:pStyle w:val="EX"/>
      </w:pPr>
      <w:r w:rsidRPr="004D0DAA">
        <w:t>Classification:</w:t>
      </w:r>
      <w:r w:rsidRPr="004D0DAA">
        <w:tab/>
        <w:t>distribution message</w:t>
      </w:r>
    </w:p>
    <w:p w14:paraId="660F58FB" w14:textId="77777777" w:rsidR="00711444" w:rsidRPr="004D0DAA" w:rsidRDefault="00711444" w:rsidP="00711444">
      <w:pPr>
        <w:pStyle w:val="TH"/>
      </w:pPr>
      <w:r w:rsidRPr="004D0DAA">
        <w:lastRenderedPageBreak/>
        <w:t xml:space="preserve">Table 11.2.42.1: PACKET </w:t>
      </w:r>
      <w:r w:rsidRPr="004D0DAA">
        <w:rPr>
          <w:caps/>
        </w:rPr>
        <w:t>MBMS ANNOUNCEMENT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DA26D7E" w14:textId="77777777" w:rsidTr="00AA2A4C">
        <w:tblPrEx>
          <w:tblCellMar>
            <w:top w:w="0" w:type="dxa"/>
            <w:bottom w:w="0" w:type="dxa"/>
          </w:tblCellMar>
        </w:tblPrEx>
        <w:trPr>
          <w:cantSplit/>
        </w:trPr>
        <w:tc>
          <w:tcPr>
            <w:tcW w:w="9848" w:type="dxa"/>
          </w:tcPr>
          <w:p w14:paraId="75D59263" w14:textId="77777777" w:rsidR="00711444" w:rsidRPr="004D0DAA" w:rsidRDefault="00711444" w:rsidP="00AA2A4C">
            <w:pPr>
              <w:pStyle w:val="TAL"/>
              <w:rPr>
                <w:lang w:eastAsia="en-US"/>
              </w:rPr>
            </w:pPr>
            <w:r w:rsidRPr="004D0DAA">
              <w:rPr>
                <w:lang w:eastAsia="en-US"/>
              </w:rPr>
              <w:t>&lt; PACKET MBMS ANNOUNCEMENT message content &gt; ::=</w:t>
            </w:r>
          </w:p>
          <w:p w14:paraId="1D5DCDD0"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PAGE_MODE </w:t>
            </w:r>
            <w:r w:rsidRPr="004D0DAA">
              <w:rPr>
                <w:lang w:val="fr-FR" w:eastAsia="en-US"/>
              </w:rPr>
              <w:t>: bit (2) &gt;</w:t>
            </w:r>
          </w:p>
          <w:p w14:paraId="32AD6321"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TMGI</w:t>
            </w:r>
            <w:r w:rsidRPr="004D0DAA">
              <w:rPr>
                <w:lang w:val="fr-FR" w:eastAsia="en-US"/>
              </w:rPr>
              <w:t xml:space="preserve"> : &lt; TMGI IE &gt; &gt;</w:t>
            </w:r>
          </w:p>
          <w:p w14:paraId="40C0B62A"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MBMS Session Identity</w:t>
            </w:r>
            <w:r w:rsidRPr="004D0DAA">
              <w:rPr>
                <w:lang w:eastAsia="en-US"/>
              </w:rPr>
              <w:t xml:space="preserve"> : bit (8) &gt; }</w:t>
            </w:r>
          </w:p>
          <w:p w14:paraId="3C19468B" w14:textId="77777777" w:rsidR="00711444" w:rsidRPr="004D0DAA" w:rsidRDefault="00711444" w:rsidP="00AA2A4C">
            <w:pPr>
              <w:pStyle w:val="TAL"/>
              <w:rPr>
                <w:lang w:eastAsia="en-US"/>
              </w:rPr>
            </w:pP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counting is off</w:t>
            </w:r>
          </w:p>
          <w:p w14:paraId="30B421CE" w14:textId="77777777" w:rsidR="00711444" w:rsidRPr="004D0DAA" w:rsidRDefault="00711444" w:rsidP="00AA2A4C">
            <w:pPr>
              <w:pStyle w:val="TAL"/>
              <w:rPr>
                <w:i/>
                <w:lang w:val="fr-FR" w:eastAsia="en-US"/>
              </w:rPr>
            </w:pPr>
            <w:r w:rsidRPr="004D0DAA">
              <w:rPr>
                <w:lang w:eastAsia="en-US"/>
              </w:rPr>
              <w:tab/>
            </w:r>
            <w:r w:rsidRPr="004D0DAA">
              <w:rPr>
                <w:lang w:eastAsia="en-US"/>
              </w:rPr>
              <w:tab/>
            </w:r>
            <w:r w:rsidRPr="004D0DAA">
              <w:rPr>
                <w:lang w:eastAsia="en-US"/>
              </w:rPr>
              <w:tab/>
            </w:r>
            <w:r w:rsidRPr="004D0DAA">
              <w:rPr>
                <w:lang w:val="fr-FR" w:eastAsia="en-US"/>
              </w:rPr>
              <w:t xml:space="preserve">{ 0 | 1 &lt; </w:t>
            </w:r>
            <w:r w:rsidRPr="004D0DAA">
              <w:rPr>
                <w:b/>
                <w:bCs/>
                <w:lang w:val="fr-FR" w:eastAsia="en-US"/>
              </w:rPr>
              <w:t xml:space="preserve">MBMS p-t-m channel description </w:t>
            </w:r>
            <w:r w:rsidRPr="004D0DAA">
              <w:rPr>
                <w:lang w:val="fr-FR" w:eastAsia="en-US"/>
              </w:rPr>
              <w:t>: &lt; MBMS p-t-m channel description struct &gt; &gt; }</w:t>
            </w:r>
          </w:p>
          <w:p w14:paraId="0981B77A"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eastAsia="en-US"/>
              </w:rPr>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counting is on</w:t>
            </w:r>
          </w:p>
          <w:p w14:paraId="50687C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MPRACH description</w:t>
            </w:r>
            <w:r w:rsidRPr="004D0DAA">
              <w:rPr>
                <w:lang w:eastAsia="en-US"/>
              </w:rPr>
              <w:t xml:space="preserve"> : &lt; MPRACH description struct &gt; &gt; }</w:t>
            </w:r>
          </w:p>
          <w:p w14:paraId="5379D815"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p>
          <w:p w14:paraId="046374D9" w14:textId="77777777" w:rsidR="00711444" w:rsidRPr="004D0DAA" w:rsidRDefault="00711444" w:rsidP="00AA2A4C">
            <w:pPr>
              <w:pStyle w:val="TAL"/>
              <w:rPr>
                <w:lang w:eastAsia="en-US"/>
              </w:rPr>
            </w:pPr>
            <w:r w:rsidRPr="004D0DAA">
              <w:rPr>
                <w:lang w:eastAsia="en-US"/>
              </w:rPr>
              <w:tab/>
              <w:t>{ 0 | 1 &lt;</w:t>
            </w:r>
            <w:r w:rsidRPr="004D0DAA">
              <w:rPr>
                <w:b/>
                <w:bCs/>
                <w:lang w:eastAsia="en-US"/>
              </w:rPr>
              <w:t xml:space="preserve"> RESTRICTION_TIMER </w:t>
            </w:r>
            <w:r w:rsidRPr="004D0DAA">
              <w:rPr>
                <w:lang w:eastAsia="en-US"/>
              </w:rPr>
              <w:t>: bit (4) &gt; }</w:t>
            </w:r>
          </w:p>
          <w:p w14:paraId="76866CCA" w14:textId="77777777" w:rsidR="00711444" w:rsidRPr="004D0DAA" w:rsidRDefault="00711444" w:rsidP="00AA2A4C">
            <w:pPr>
              <w:pStyle w:val="TAL"/>
              <w:rPr>
                <w:lang w:eastAsia="en-US"/>
              </w:rPr>
            </w:pPr>
            <w:r w:rsidRPr="004D0DAA">
              <w:rPr>
                <w:lang w:eastAsia="en-US"/>
              </w:rPr>
              <w:tab/>
              <w:t>&lt; padding bits &gt; } //</w:t>
            </w:r>
            <w:r w:rsidRPr="004D0DAA">
              <w:rPr>
                <w:lang w:eastAsia="en-US"/>
              </w:rPr>
              <w:tab/>
            </w:r>
            <w:r w:rsidRPr="004D0DAA">
              <w:rPr>
                <w:lang w:eastAsia="en-US"/>
              </w:rPr>
              <w:tab/>
              <w:t xml:space="preserve">-- </w:t>
            </w:r>
            <w:r w:rsidRPr="004D0DAA">
              <w:rPr>
                <w:i/>
                <w:lang w:eastAsia="en-US"/>
              </w:rPr>
              <w:t>truncation at end of message allowed, bits '0' assumed</w:t>
            </w:r>
          </w:p>
          <w:p w14:paraId="1E0877EC" w14:textId="77777777" w:rsidR="00711444" w:rsidRPr="004D0DAA" w:rsidRDefault="00711444" w:rsidP="00AA2A4C">
            <w:pPr>
              <w:pStyle w:val="TAL"/>
              <w:rPr>
                <w:lang w:eastAsia="en-US"/>
              </w:rPr>
            </w:pPr>
            <w:r w:rsidRPr="004D0DAA">
              <w:rPr>
                <w:lang w:eastAsia="en-US"/>
              </w:rPr>
              <w:tab/>
              <w:t>! &lt; Distribution part error : bit (*) = &lt; no string &gt; &gt; ;</w:t>
            </w:r>
          </w:p>
          <w:p w14:paraId="45ED59FF" w14:textId="77777777" w:rsidR="00711444" w:rsidRPr="004D0DAA" w:rsidRDefault="00711444" w:rsidP="00AA2A4C">
            <w:pPr>
              <w:pStyle w:val="TAL"/>
              <w:rPr>
                <w:lang w:eastAsia="en-US"/>
              </w:rPr>
            </w:pPr>
          </w:p>
        </w:tc>
      </w:tr>
      <w:tr w:rsidR="00711444" w:rsidRPr="004D0DAA" w14:paraId="4A9688CD" w14:textId="77777777" w:rsidTr="00AA2A4C">
        <w:tblPrEx>
          <w:tblCellMar>
            <w:top w:w="0" w:type="dxa"/>
            <w:bottom w:w="0" w:type="dxa"/>
          </w:tblCellMar>
        </w:tblPrEx>
        <w:trPr>
          <w:cantSplit/>
        </w:trPr>
        <w:tc>
          <w:tcPr>
            <w:tcW w:w="9848" w:type="dxa"/>
          </w:tcPr>
          <w:p w14:paraId="1B4F5D28" w14:textId="77777777" w:rsidR="00711444" w:rsidRPr="004D0DAA" w:rsidRDefault="00711444" w:rsidP="00AA2A4C">
            <w:pPr>
              <w:pStyle w:val="TAL"/>
              <w:rPr>
                <w:lang w:val="fr-FR" w:eastAsia="en-US"/>
              </w:rPr>
            </w:pPr>
            <w:r w:rsidRPr="004D0DAA">
              <w:rPr>
                <w:lang w:val="fr-FR" w:eastAsia="en-US"/>
              </w:rPr>
              <w:t>&lt; MBMS p-t-m channel description struct &gt; :: =</w:t>
            </w:r>
          </w:p>
          <w:p w14:paraId="4EB58DF7"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Estimated Session Duration</w:t>
            </w:r>
            <w:r w:rsidRPr="004D0DAA">
              <w:rPr>
                <w:lang w:eastAsia="en-US"/>
              </w:rPr>
              <w:t xml:space="preserve"> : bit (8) &gt;</w:t>
            </w:r>
          </w:p>
          <w:p w14:paraId="26140CAE"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MBMS Radio Bearer Starting Time</w:t>
            </w:r>
            <w:r w:rsidRPr="004D0DAA">
              <w:rPr>
                <w:lang w:eastAsia="en-US"/>
              </w:rPr>
              <w:t xml:space="preserve"> : bit (16) &gt; }</w:t>
            </w:r>
          </w:p>
          <w:p w14:paraId="6A3741C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64E375F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DL_</w:t>
            </w:r>
            <w:r w:rsidRPr="004D0DAA">
              <w:rPr>
                <w:b/>
                <w:lang w:eastAsia="en-US"/>
              </w:rPr>
              <w:t xml:space="preserve">TIMESLOT_ALLOCATION </w:t>
            </w:r>
            <w:r w:rsidRPr="004D0DAA">
              <w:rPr>
                <w:lang w:eastAsia="en-US"/>
              </w:rPr>
              <w:t>: bit (8) &gt;</w:t>
            </w:r>
          </w:p>
          <w:p w14:paraId="053061B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Length of MBMS Bearer Identity</w:t>
            </w:r>
            <w:r w:rsidRPr="004D0DAA">
              <w:rPr>
                <w:lang w:eastAsia="en-US"/>
              </w:rPr>
              <w:t xml:space="preserve"> : bit (3) &gt;</w:t>
            </w:r>
          </w:p>
          <w:p w14:paraId="2C206D3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MBMS Bearer Identity</w:t>
            </w:r>
            <w:r w:rsidRPr="004D0DAA">
              <w:rPr>
                <w:lang w:eastAsia="en-US"/>
              </w:rPr>
              <w:t xml:space="preserve"> : bit (val (Length of MBMS Bearer Identity)) &gt;</w:t>
            </w:r>
          </w:p>
          <w:p w14:paraId="7309928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EGPRS Window Size</w:t>
            </w:r>
            <w:r w:rsidRPr="004D0DAA">
              <w:rPr>
                <w:lang w:eastAsia="en-US"/>
              </w:rPr>
              <w:t> : &lt; EGPRS Window Size IE &gt;&gt; }</w:t>
            </w:r>
          </w:p>
          <w:p w14:paraId="5146C81D"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2377EB9C" w14:textId="77777777" w:rsidR="00711444" w:rsidRPr="004D0DAA" w:rsidRDefault="00711444" w:rsidP="00AA2A4C">
            <w:pPr>
              <w:pStyle w:val="TAL"/>
              <w:rPr>
                <w:lang w:eastAsia="en-US"/>
              </w:rPr>
            </w:pPr>
          </w:p>
        </w:tc>
      </w:tr>
      <w:tr w:rsidR="00711444" w:rsidRPr="004D0DAA" w14:paraId="2E36F3A0" w14:textId="77777777" w:rsidTr="00AA2A4C">
        <w:tblPrEx>
          <w:tblCellMar>
            <w:top w:w="0" w:type="dxa"/>
            <w:bottom w:w="0" w:type="dxa"/>
          </w:tblCellMar>
        </w:tblPrEx>
        <w:trPr>
          <w:cantSplit/>
        </w:trPr>
        <w:tc>
          <w:tcPr>
            <w:tcW w:w="9848" w:type="dxa"/>
          </w:tcPr>
          <w:p w14:paraId="0C0B051B" w14:textId="77777777" w:rsidR="00711444" w:rsidRPr="004D0DAA" w:rsidRDefault="00711444" w:rsidP="00AA2A4C">
            <w:pPr>
              <w:pStyle w:val="TAL"/>
              <w:rPr>
                <w:lang w:eastAsia="en-US"/>
              </w:rPr>
            </w:pPr>
            <w:r w:rsidRPr="004D0DAA">
              <w:rPr>
                <w:lang w:eastAsia="en-US"/>
              </w:rPr>
              <w:t>&lt; MPRACH description struct &gt; :: =</w:t>
            </w:r>
          </w:p>
          <w:p w14:paraId="1DCF8E1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3E8BB5F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MPRACH_</w:t>
            </w:r>
            <w:r w:rsidRPr="004D0DAA">
              <w:rPr>
                <w:b/>
                <w:lang w:eastAsia="en-US"/>
              </w:rPr>
              <w:t xml:space="preserve">TIMESLOT </w:t>
            </w:r>
            <w:r w:rsidRPr="004D0DAA">
              <w:rPr>
                <w:lang w:eastAsia="en-US"/>
              </w:rPr>
              <w:t>: bit (3) &gt;</w:t>
            </w:r>
          </w:p>
          <w:p w14:paraId="10CFBC5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USF</w:t>
            </w:r>
            <w:r w:rsidRPr="004D0DAA">
              <w:rPr>
                <w:lang w:eastAsia="en-US"/>
              </w:rPr>
              <w:t xml:space="preserve"> : bit (3) &gt;</w:t>
            </w:r>
          </w:p>
          <w:p w14:paraId="0C79FF26" w14:textId="77777777" w:rsidR="00711444" w:rsidRPr="004D0DAA" w:rsidRDefault="00711444" w:rsidP="00AA2A4C">
            <w:pPr>
              <w:pStyle w:val="TAL"/>
              <w:rPr>
                <w:lang w:eastAsia="en-US"/>
              </w:rPr>
            </w:pPr>
            <w:r w:rsidRPr="004D0DAA">
              <w:rPr>
                <w:lang w:eastAsia="en-US"/>
              </w:rPr>
              <w:tab/>
              <w:t xml:space="preserve">{ 0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no MPRACH access parameters present</w:t>
            </w:r>
          </w:p>
          <w:p w14:paraId="3F3E1398"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MPRACH access parameters present</w:t>
            </w:r>
          </w:p>
          <w:p w14:paraId="4B82904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 xml:space="preserve">MPRACH Control Parameters </w:t>
            </w:r>
            <w:r w:rsidRPr="004D0DAA">
              <w:rPr>
                <w:lang w:eastAsia="en-US"/>
              </w:rPr>
              <w:t>: &lt; MPRACH Control Parameters IE &gt; &gt; } ;</w:t>
            </w:r>
          </w:p>
          <w:p w14:paraId="6AE6AAE5" w14:textId="77777777" w:rsidR="00711444" w:rsidRPr="004D0DAA" w:rsidRDefault="00711444" w:rsidP="00AA2A4C">
            <w:pPr>
              <w:pStyle w:val="TAL"/>
              <w:rPr>
                <w:lang w:eastAsia="en-US"/>
              </w:rPr>
            </w:pPr>
          </w:p>
        </w:tc>
      </w:tr>
    </w:tbl>
    <w:p w14:paraId="0D2D1247" w14:textId="77777777" w:rsidR="00711444" w:rsidRPr="004D0DAA" w:rsidRDefault="00711444" w:rsidP="00711444"/>
    <w:p w14:paraId="1522D668" w14:textId="77777777" w:rsidR="00711444" w:rsidRPr="004D0DAA" w:rsidRDefault="00711444" w:rsidP="00711444">
      <w:pPr>
        <w:pStyle w:val="TH"/>
      </w:pPr>
      <w:r w:rsidRPr="004D0DAA">
        <w:t xml:space="preserve">Table 11.2.42.2: PACKET </w:t>
      </w:r>
      <w:r w:rsidRPr="004D0DAA">
        <w:rPr>
          <w:caps/>
        </w:rPr>
        <w:t xml:space="preserve">MBMS ANNOUNCEMENT </w:t>
      </w:r>
      <w:r w:rsidRPr="004D0DAA">
        <w:t>information element details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711444" w:rsidRPr="004D0DAA" w14:paraId="242062E8" w14:textId="77777777" w:rsidTr="00AA2A4C">
        <w:tblPrEx>
          <w:tblCellMar>
            <w:top w:w="0" w:type="dxa"/>
            <w:bottom w:w="0" w:type="dxa"/>
          </w:tblCellMar>
        </w:tblPrEx>
        <w:trPr>
          <w:cantSplit/>
          <w:jc w:val="center"/>
        </w:trPr>
        <w:tc>
          <w:tcPr>
            <w:tcW w:w="9923" w:type="dxa"/>
          </w:tcPr>
          <w:p w14:paraId="7488187D" w14:textId="77777777" w:rsidR="00711444" w:rsidRPr="004D0DAA" w:rsidRDefault="00711444" w:rsidP="00AA2A4C">
            <w:r w:rsidRPr="004D0DAA">
              <w:rPr>
                <w:b/>
              </w:rPr>
              <w:t>PAGE_MODE</w:t>
            </w:r>
            <w:r w:rsidRPr="004D0DAA">
              <w:t xml:space="preserve"> (2 bit field)</w:t>
            </w:r>
            <w:r w:rsidRPr="004D0DAA">
              <w:br/>
              <w:t>This field is defined in sub-clause 12.20.</w:t>
            </w:r>
          </w:p>
        </w:tc>
      </w:tr>
      <w:tr w:rsidR="00711444" w:rsidRPr="004D0DAA" w14:paraId="6C76FE86" w14:textId="77777777" w:rsidTr="00AA2A4C">
        <w:tblPrEx>
          <w:tblCellMar>
            <w:top w:w="0" w:type="dxa"/>
            <w:left w:w="28" w:type="dxa"/>
            <w:bottom w:w="0" w:type="dxa"/>
          </w:tblCellMar>
        </w:tblPrEx>
        <w:trPr>
          <w:cantSplit/>
          <w:jc w:val="center"/>
        </w:trPr>
        <w:tc>
          <w:tcPr>
            <w:tcW w:w="9923" w:type="dxa"/>
          </w:tcPr>
          <w:p w14:paraId="097F1C8D" w14:textId="77777777" w:rsidR="00711444" w:rsidRPr="004D0DAA" w:rsidRDefault="00711444" w:rsidP="00AA2A4C">
            <w:pPr>
              <w:ind w:left="79"/>
              <w:rPr>
                <w:b/>
              </w:rPr>
            </w:pPr>
            <w:r w:rsidRPr="004D0DAA">
              <w:rPr>
                <w:b/>
              </w:rPr>
              <w:t>TMGI IE</w:t>
            </w:r>
            <w:r w:rsidRPr="004D0DAA">
              <w:br/>
              <w:t>This field contains the Temporary Mobile Group Identity of the MBMS service that the MBMS Notification concerns. This field is encoded as defined in sub-clause 12.33.</w:t>
            </w:r>
          </w:p>
        </w:tc>
      </w:tr>
      <w:tr w:rsidR="00711444" w:rsidRPr="004D0DAA" w14:paraId="615B41A9" w14:textId="77777777" w:rsidTr="00AA2A4C">
        <w:tblPrEx>
          <w:tblCellMar>
            <w:top w:w="0" w:type="dxa"/>
            <w:left w:w="28" w:type="dxa"/>
            <w:bottom w:w="0" w:type="dxa"/>
          </w:tblCellMar>
        </w:tblPrEx>
        <w:trPr>
          <w:cantSplit/>
          <w:jc w:val="center"/>
        </w:trPr>
        <w:tc>
          <w:tcPr>
            <w:tcW w:w="9923" w:type="dxa"/>
          </w:tcPr>
          <w:p w14:paraId="2C0F4874" w14:textId="77777777" w:rsidR="00711444" w:rsidRPr="004D0DAA" w:rsidRDefault="00711444" w:rsidP="00AA2A4C">
            <w:pPr>
              <w:ind w:left="79"/>
              <w:rPr>
                <w:b/>
              </w:rPr>
            </w:pPr>
            <w:r w:rsidRPr="004D0DAA">
              <w:rPr>
                <w:b/>
              </w:rPr>
              <w:t>MBMS Session Identity</w:t>
            </w:r>
            <w:r w:rsidRPr="004D0DAA">
              <w:rPr>
                <w:bCs/>
              </w:rPr>
              <w:t xml:space="preserve"> (8 bit field)</w:t>
            </w:r>
            <w:r w:rsidRPr="004D0DAA">
              <w:rPr>
                <w:bCs/>
              </w:rPr>
              <w:br/>
            </w:r>
            <w:r w:rsidRPr="004D0DAA">
              <w:t>This field contains the MBMS Session Identity of the concerned MBMS session (see TS 23.003).</w:t>
            </w:r>
          </w:p>
        </w:tc>
      </w:tr>
      <w:tr w:rsidR="00711444" w:rsidRPr="004D0DAA" w14:paraId="74B1EA05" w14:textId="77777777" w:rsidTr="00AA2A4C">
        <w:tblPrEx>
          <w:tblCellMar>
            <w:top w:w="0" w:type="dxa"/>
            <w:left w:w="28" w:type="dxa"/>
            <w:bottom w:w="0" w:type="dxa"/>
          </w:tblCellMar>
        </w:tblPrEx>
        <w:trPr>
          <w:cantSplit/>
          <w:jc w:val="center"/>
        </w:trPr>
        <w:tc>
          <w:tcPr>
            <w:tcW w:w="9923" w:type="dxa"/>
          </w:tcPr>
          <w:p w14:paraId="04F2E117" w14:textId="77777777" w:rsidR="00711444" w:rsidRPr="004D0DAA" w:rsidRDefault="00711444" w:rsidP="00AA2A4C">
            <w:pPr>
              <w:ind w:left="79"/>
              <w:rPr>
                <w:b/>
              </w:rPr>
            </w:pPr>
            <w:r w:rsidRPr="004D0DAA">
              <w:rPr>
                <w:b/>
                <w:bCs/>
              </w:rPr>
              <w:t xml:space="preserve">Estimated Session Duration </w:t>
            </w:r>
            <w:r w:rsidRPr="004D0DAA">
              <w:rPr>
                <w:bCs/>
              </w:rPr>
              <w:t>(8 bit field)</w:t>
            </w:r>
            <w:r w:rsidRPr="004D0DAA">
              <w:rPr>
                <w:b/>
                <w:bCs/>
              </w:rPr>
              <w:br/>
            </w:r>
            <w:r w:rsidRPr="004D0DAA">
              <w:t>This field contains an estimation of the session (remaining) duration for the concerned MBMS session. This information element is defined in sub-clause 12.44.</w:t>
            </w:r>
          </w:p>
        </w:tc>
      </w:tr>
      <w:tr w:rsidR="00711444" w:rsidRPr="004D0DAA" w14:paraId="0A499CC5" w14:textId="77777777" w:rsidTr="00AA2A4C">
        <w:tblPrEx>
          <w:tblCellMar>
            <w:top w:w="0" w:type="dxa"/>
            <w:bottom w:w="0" w:type="dxa"/>
          </w:tblCellMar>
        </w:tblPrEx>
        <w:trPr>
          <w:cantSplit/>
          <w:jc w:val="center"/>
        </w:trPr>
        <w:tc>
          <w:tcPr>
            <w:tcW w:w="9923" w:type="dxa"/>
          </w:tcPr>
          <w:p w14:paraId="686BCAA2" w14:textId="77777777" w:rsidR="00711444" w:rsidRPr="004D0DAA" w:rsidRDefault="00711444" w:rsidP="00AA2A4C">
            <w:pPr>
              <w:rPr>
                <w:b/>
              </w:rPr>
            </w:pPr>
            <w:r w:rsidRPr="004D0DAA">
              <w:rPr>
                <w:b/>
                <w:bCs/>
              </w:rPr>
              <w:t xml:space="preserve">MBMS Radio Bearer Starting Time </w:t>
            </w:r>
            <w:r w:rsidRPr="004D0DAA">
              <w:rPr>
                <w:bCs/>
              </w:rPr>
              <w:t>(16 bit field)</w:t>
            </w:r>
            <w:r w:rsidRPr="004D0DAA">
              <w:br/>
              <w:t xml:space="preserve">This field contains a starting time that indicates the frame number from which the data transfer on the assigned MBMS radio bearer may start. The MBMS Radio Bearer Starting Time is encoded as the value part of the type 3 information element </w:t>
            </w:r>
            <w:r w:rsidRPr="004D0DAA">
              <w:rPr>
                <w:i/>
              </w:rPr>
              <w:t xml:space="preserve">Starting Time </w:t>
            </w:r>
            <w:r w:rsidRPr="004D0DAA">
              <w:t>in 3GPP TS 44.018.</w:t>
            </w:r>
          </w:p>
        </w:tc>
      </w:tr>
      <w:tr w:rsidR="00711444" w:rsidRPr="004D0DAA" w14:paraId="0DCFC8CD" w14:textId="77777777" w:rsidTr="00AA2A4C">
        <w:tblPrEx>
          <w:tblCellMar>
            <w:top w:w="0" w:type="dxa"/>
            <w:bottom w:w="0" w:type="dxa"/>
          </w:tblCellMar>
        </w:tblPrEx>
        <w:trPr>
          <w:cantSplit/>
          <w:jc w:val="center"/>
        </w:trPr>
        <w:tc>
          <w:tcPr>
            <w:tcW w:w="9923" w:type="dxa"/>
          </w:tcPr>
          <w:p w14:paraId="450FE4F8" w14:textId="77777777" w:rsidR="00711444" w:rsidRPr="004D0DAA" w:rsidRDefault="00711444" w:rsidP="00AA2A4C">
            <w:pPr>
              <w:rPr>
                <w:bCs/>
              </w:rPr>
            </w:pPr>
            <w:r w:rsidRPr="004D0DAA">
              <w:rPr>
                <w:b/>
              </w:rPr>
              <w:t>Frequency Parameters</w:t>
            </w:r>
            <w:r w:rsidRPr="004D0DAA">
              <w:rPr>
                <w:bCs/>
              </w:rPr>
              <w:br/>
            </w:r>
            <w:r w:rsidRPr="004D0DAA">
              <w:t>If this information element is not present, the same frequency as for the PCCCH shall be used. This information element is defined in sub-clause 12.8.</w:t>
            </w:r>
          </w:p>
        </w:tc>
      </w:tr>
      <w:tr w:rsidR="00711444" w:rsidRPr="004D0DAA" w14:paraId="6331FC9C" w14:textId="77777777" w:rsidTr="00AA2A4C">
        <w:tblPrEx>
          <w:tblCellMar>
            <w:top w:w="0" w:type="dxa"/>
            <w:bottom w:w="0" w:type="dxa"/>
          </w:tblCellMar>
        </w:tblPrEx>
        <w:trPr>
          <w:cantSplit/>
          <w:jc w:val="center"/>
        </w:trPr>
        <w:tc>
          <w:tcPr>
            <w:tcW w:w="9923" w:type="dxa"/>
          </w:tcPr>
          <w:p w14:paraId="7757179E" w14:textId="77777777" w:rsidR="00711444" w:rsidRPr="004D0DAA" w:rsidRDefault="00711444" w:rsidP="00AA2A4C">
            <w:pPr>
              <w:rPr>
                <w:b/>
              </w:rPr>
            </w:pPr>
            <w:r w:rsidRPr="004D0DAA">
              <w:rPr>
                <w:b/>
                <w:bCs/>
              </w:rPr>
              <w:t>DL_</w:t>
            </w:r>
            <w:r w:rsidRPr="004D0DAA">
              <w:rPr>
                <w:b/>
              </w:rPr>
              <w:t xml:space="preserve">TIMESLOT_ALLOCATION </w:t>
            </w:r>
            <w:r w:rsidRPr="004D0DAA">
              <w:t>(8 bit field)</w:t>
            </w:r>
            <w:r w:rsidRPr="004D0DAA">
              <w:rPr>
                <w:b/>
              </w:rPr>
              <w:br/>
            </w:r>
            <w:r w:rsidRPr="004D0DAA">
              <w:t>This field is defined in sub-clause 12.18.</w:t>
            </w:r>
          </w:p>
        </w:tc>
      </w:tr>
      <w:tr w:rsidR="00711444" w:rsidRPr="004D0DAA" w14:paraId="295DB127" w14:textId="77777777" w:rsidTr="00AA2A4C">
        <w:tblPrEx>
          <w:tblCellMar>
            <w:top w:w="0" w:type="dxa"/>
            <w:bottom w:w="0" w:type="dxa"/>
          </w:tblCellMar>
        </w:tblPrEx>
        <w:trPr>
          <w:cantSplit/>
          <w:jc w:val="center"/>
        </w:trPr>
        <w:tc>
          <w:tcPr>
            <w:tcW w:w="9923" w:type="dxa"/>
          </w:tcPr>
          <w:p w14:paraId="0FB4E263" w14:textId="77777777" w:rsidR="00711444" w:rsidRPr="004D0DAA" w:rsidRDefault="00711444" w:rsidP="00AA2A4C">
            <w:pPr>
              <w:rPr>
                <w:b/>
                <w:bCs/>
              </w:rPr>
            </w:pPr>
            <w:r w:rsidRPr="004D0DAA">
              <w:rPr>
                <w:b/>
                <w:bCs/>
              </w:rPr>
              <w:lastRenderedPageBreak/>
              <w:t xml:space="preserve">MBMS Bearer Identity </w:t>
            </w:r>
            <w:r w:rsidRPr="004D0DAA">
              <w:t>(1-5 bit field)</w:t>
            </w:r>
            <w:r w:rsidRPr="004D0DAA">
              <w:rPr>
                <w:b/>
                <w:bCs/>
              </w:rPr>
              <w:br/>
            </w:r>
            <w:r w:rsidRPr="004D0DAA">
              <w:t>This field assigns a TFI value, or a subset of a TFI value, which identifies the MBMS radio bearer that is described. In case only a subset of a TFI value is assigned for the MBMS radio bearer, that subset corresponds to the most significant bit(s) of the TFI field.</w:t>
            </w:r>
          </w:p>
        </w:tc>
      </w:tr>
      <w:tr w:rsidR="00711444" w:rsidRPr="004D0DAA" w14:paraId="6CA8FF96" w14:textId="77777777" w:rsidTr="00AA2A4C">
        <w:tblPrEx>
          <w:tblCellMar>
            <w:top w:w="0" w:type="dxa"/>
            <w:bottom w:w="0" w:type="dxa"/>
          </w:tblCellMar>
        </w:tblPrEx>
        <w:trPr>
          <w:cantSplit/>
          <w:jc w:val="center"/>
        </w:trPr>
        <w:tc>
          <w:tcPr>
            <w:tcW w:w="9923" w:type="dxa"/>
          </w:tcPr>
          <w:p w14:paraId="0A62000F" w14:textId="77777777" w:rsidR="00711444" w:rsidRPr="004D0DAA" w:rsidRDefault="00711444" w:rsidP="00AA2A4C">
            <w:pPr>
              <w:rPr>
                <w:bCs/>
              </w:rPr>
            </w:pPr>
            <w:r w:rsidRPr="004D0DAA">
              <w:rPr>
                <w:b/>
              </w:rPr>
              <w:t>EGPRS Window Size</w:t>
            </w:r>
            <w:r w:rsidRPr="004D0DAA">
              <w:rPr>
                <w:b/>
              </w:rPr>
              <w:br/>
            </w:r>
            <w:r w:rsidRPr="004D0DAA">
              <w:t>This information element is defined in sub-clause 12.5.2.</w:t>
            </w:r>
          </w:p>
        </w:tc>
      </w:tr>
      <w:tr w:rsidR="00711444" w:rsidRPr="004D0DAA" w14:paraId="0E23298E" w14:textId="77777777" w:rsidTr="00AA2A4C">
        <w:tblPrEx>
          <w:tblCellMar>
            <w:top w:w="0" w:type="dxa"/>
            <w:bottom w:w="0" w:type="dxa"/>
          </w:tblCellMar>
        </w:tblPrEx>
        <w:trPr>
          <w:cantSplit/>
          <w:jc w:val="center"/>
        </w:trPr>
        <w:tc>
          <w:tcPr>
            <w:tcW w:w="9923" w:type="dxa"/>
          </w:tcPr>
          <w:p w14:paraId="2A6209EA" w14:textId="77777777" w:rsidR="00711444" w:rsidRPr="004D0DAA" w:rsidRDefault="00711444" w:rsidP="00AA2A4C">
            <w:pPr>
              <w:rPr>
                <w:b/>
              </w:rPr>
            </w:pPr>
            <w:r w:rsidRPr="004D0DAA">
              <w:rPr>
                <w:b/>
                <w:bCs/>
              </w:rPr>
              <w:t>MPRACH_</w:t>
            </w:r>
            <w:r w:rsidRPr="004D0DAA">
              <w:rPr>
                <w:b/>
              </w:rPr>
              <w:t xml:space="preserve">TIMESLOT </w:t>
            </w:r>
            <w:r w:rsidRPr="004D0DAA">
              <w:t>(3 bit field)</w:t>
            </w:r>
            <w:r w:rsidRPr="004D0DAA">
              <w:br/>
              <w:t>This field identifies the timeslot number of the PDCH where the MPRACH is located.</w:t>
            </w:r>
          </w:p>
        </w:tc>
      </w:tr>
      <w:tr w:rsidR="00711444" w:rsidRPr="004D0DAA" w14:paraId="2A949470" w14:textId="77777777" w:rsidTr="00AA2A4C">
        <w:tblPrEx>
          <w:tblCellMar>
            <w:top w:w="0" w:type="dxa"/>
            <w:bottom w:w="0" w:type="dxa"/>
          </w:tblCellMar>
        </w:tblPrEx>
        <w:trPr>
          <w:cantSplit/>
          <w:jc w:val="center"/>
        </w:trPr>
        <w:tc>
          <w:tcPr>
            <w:tcW w:w="9923" w:type="dxa"/>
          </w:tcPr>
          <w:p w14:paraId="75FDF45D" w14:textId="77777777" w:rsidR="00711444" w:rsidRPr="004D0DAA" w:rsidRDefault="00711444" w:rsidP="00AA2A4C">
            <w:pPr>
              <w:rPr>
                <w:b/>
                <w:bCs/>
              </w:rPr>
            </w:pPr>
            <w:r w:rsidRPr="004D0DAA">
              <w:rPr>
                <w:b/>
                <w:bCs/>
              </w:rPr>
              <w:t>USF</w:t>
            </w:r>
            <w:r w:rsidRPr="004D0DAA">
              <w:t xml:space="preserve"> (3 bit field)</w:t>
            </w:r>
            <w:r w:rsidRPr="004D0DAA">
              <w:br/>
              <w:t>This field identifies the USF value that identifies the MPRACH on the defined PDCH.</w:t>
            </w:r>
          </w:p>
        </w:tc>
      </w:tr>
      <w:tr w:rsidR="00711444" w:rsidRPr="004D0DAA" w14:paraId="662AE2BB" w14:textId="77777777" w:rsidTr="00AA2A4C">
        <w:tblPrEx>
          <w:tblCellMar>
            <w:top w:w="0" w:type="dxa"/>
            <w:bottom w:w="0" w:type="dxa"/>
          </w:tblCellMar>
        </w:tblPrEx>
        <w:trPr>
          <w:cantSplit/>
          <w:jc w:val="center"/>
        </w:trPr>
        <w:tc>
          <w:tcPr>
            <w:tcW w:w="9923" w:type="dxa"/>
          </w:tcPr>
          <w:p w14:paraId="210F61E2" w14:textId="77777777" w:rsidR="00711444" w:rsidRPr="004D0DAA" w:rsidRDefault="00711444" w:rsidP="00AA2A4C">
            <w:pPr>
              <w:rPr>
                <w:b/>
              </w:rPr>
            </w:pPr>
            <w:r w:rsidRPr="004D0DAA">
              <w:rPr>
                <w:b/>
              </w:rPr>
              <w:t>MPRACH Control Parameters</w:t>
            </w:r>
            <w:r w:rsidRPr="004D0DAA">
              <w:br/>
              <w:t>This information element, if present, defines the access control parameters to be used on the MPRACH. This information element is defined in sub-clause 12.41.</w:t>
            </w:r>
          </w:p>
        </w:tc>
      </w:tr>
      <w:tr w:rsidR="00711444" w:rsidRPr="004D0DAA" w14:paraId="71932B08" w14:textId="77777777" w:rsidTr="00AA2A4C">
        <w:tblPrEx>
          <w:tblCellMar>
            <w:top w:w="0" w:type="dxa"/>
            <w:left w:w="28" w:type="dxa"/>
            <w:bottom w:w="0" w:type="dxa"/>
          </w:tblCellMar>
        </w:tblPrEx>
        <w:trPr>
          <w:cantSplit/>
          <w:jc w:val="center"/>
        </w:trPr>
        <w:tc>
          <w:tcPr>
            <w:tcW w:w="9923" w:type="dxa"/>
          </w:tcPr>
          <w:p w14:paraId="164912A7" w14:textId="77777777" w:rsidR="00711444" w:rsidRPr="004D0DAA" w:rsidRDefault="00711444" w:rsidP="00AA2A4C">
            <w:pPr>
              <w:ind w:left="79"/>
              <w:rPr>
                <w:bCs/>
              </w:rPr>
            </w:pPr>
            <w:r w:rsidRPr="004D0DAA">
              <w:rPr>
                <w:b/>
              </w:rPr>
              <w:t>RESTRICTION_TIMER</w:t>
            </w:r>
            <w:r w:rsidRPr="004D0DAA">
              <w:rPr>
                <w:b/>
              </w:rPr>
              <w:br/>
            </w:r>
            <w:r w:rsidRPr="004D0DAA">
              <w:rPr>
                <w:bCs/>
              </w:rPr>
              <w:t xml:space="preserve">This field indicates the maximum reaction time to the PACKET MBMS ANNOUNCEMENT message in seconds for mobile station, before the information contained in the PACKET MBMS ANNOUNCEMENT message expires. </w:t>
            </w:r>
          </w:p>
          <w:p w14:paraId="0C5D47AB" w14:textId="77777777" w:rsidR="00711444" w:rsidRPr="004D0DAA" w:rsidRDefault="00711444" w:rsidP="00AA2A4C">
            <w:pPr>
              <w:ind w:left="79"/>
              <w:rPr>
                <w:b/>
              </w:rPr>
            </w:pPr>
            <w:r w:rsidRPr="004D0DAA">
              <w:t>Bit</w:t>
            </w:r>
            <w:r w:rsidRPr="004D0DAA">
              <w:br/>
              <w:t>4 3 2 1</w:t>
            </w:r>
            <w:r w:rsidRPr="004D0DAA">
              <w:br/>
              <w:t>0 0 0 0</w:t>
            </w:r>
            <w:r w:rsidRPr="004D0DAA">
              <w:tab/>
            </w:r>
            <w:r w:rsidRPr="004D0DAA">
              <w:tab/>
              <w:t>10</w:t>
            </w:r>
            <w:r w:rsidRPr="004D0DAA">
              <w:br/>
              <w:t>0 0 0 1</w:t>
            </w:r>
            <w:r w:rsidRPr="004D0DAA">
              <w:tab/>
            </w:r>
            <w:r w:rsidRPr="004D0DAA">
              <w:tab/>
              <w:t>20</w:t>
            </w:r>
            <w:r w:rsidRPr="004D0DAA">
              <w:br/>
              <w:t>0 0 1 0</w:t>
            </w:r>
            <w:r w:rsidRPr="004D0DAA">
              <w:tab/>
            </w:r>
            <w:r w:rsidRPr="004D0DAA">
              <w:tab/>
              <w:t>30</w:t>
            </w:r>
            <w:r w:rsidRPr="004D0DAA">
              <w:br/>
            </w:r>
            <w:r w:rsidRPr="004D0DAA">
              <w:tab/>
            </w:r>
            <w:r w:rsidRPr="004D0DAA">
              <w:tab/>
            </w:r>
            <w:r w:rsidRPr="004D0DAA">
              <w:tab/>
              <w:t>…</w:t>
            </w:r>
            <w:r w:rsidRPr="004D0DAA">
              <w:br/>
              <w:t>1 1 1 0</w:t>
            </w:r>
            <w:r w:rsidRPr="004D0DAA">
              <w:tab/>
            </w:r>
            <w:r w:rsidRPr="004D0DAA">
              <w:tab/>
              <w:t>150</w:t>
            </w:r>
            <w:r w:rsidRPr="004D0DAA">
              <w:br/>
              <w:t>1 1 1 1</w:t>
            </w:r>
            <w:r w:rsidRPr="004D0DAA">
              <w:tab/>
            </w:r>
            <w:r w:rsidRPr="004D0DAA">
              <w:tab/>
              <w:t>160</w:t>
            </w:r>
          </w:p>
        </w:tc>
      </w:tr>
      <w:tr w:rsidR="00711444" w:rsidRPr="004D0DAA" w14:paraId="058B5E40" w14:textId="77777777" w:rsidTr="00AA2A4C">
        <w:tblPrEx>
          <w:tblCellMar>
            <w:top w:w="0" w:type="dxa"/>
            <w:left w:w="28" w:type="dxa"/>
            <w:bottom w:w="0" w:type="dxa"/>
          </w:tblCellMar>
        </w:tblPrEx>
        <w:trPr>
          <w:cantSplit/>
          <w:jc w:val="center"/>
        </w:trPr>
        <w:tc>
          <w:tcPr>
            <w:tcW w:w="9923" w:type="dxa"/>
          </w:tcPr>
          <w:p w14:paraId="35E6CFC9" w14:textId="77777777" w:rsidR="00711444" w:rsidRPr="004D0DAA" w:rsidRDefault="00711444" w:rsidP="00AA2A4C">
            <w:pPr>
              <w:ind w:left="79"/>
            </w:pPr>
            <w:r w:rsidRPr="004D0DAA">
              <w:rPr>
                <w:b/>
              </w:rPr>
              <w:t>NPM Transfer Time</w:t>
            </w:r>
            <w:r w:rsidRPr="004D0DAA">
              <w:t xml:space="preserve"> (5 bit field)</w:t>
            </w:r>
          </w:p>
          <w:p w14:paraId="72BE31DA" w14:textId="77777777" w:rsidR="00711444" w:rsidRPr="004D0DAA" w:rsidRDefault="00711444" w:rsidP="00AA2A4C">
            <w:pPr>
              <w:ind w:left="79"/>
              <w:rPr>
                <w:b/>
              </w:rPr>
            </w:pPr>
            <w:r w:rsidRPr="004D0DAA">
              <w:t>This field is defined in sub-clause 12.45a.</w:t>
            </w:r>
          </w:p>
        </w:tc>
      </w:tr>
    </w:tbl>
    <w:p w14:paraId="4EAB8003" w14:textId="77777777" w:rsidR="00711444" w:rsidRPr="004D0DAA" w:rsidRDefault="00711444" w:rsidP="00711444"/>
    <w:p w14:paraId="245AC6DD" w14:textId="77777777" w:rsidR="00711444" w:rsidRPr="004D0DAA" w:rsidRDefault="00711444" w:rsidP="00711444">
      <w:pPr>
        <w:pStyle w:val="Heading3"/>
        <w:ind w:left="0" w:firstLine="0"/>
      </w:pPr>
      <w:bookmarkStart w:id="733" w:name="_Toc516669909"/>
      <w:r w:rsidRPr="004D0DAA">
        <w:t>11.2.43</w:t>
      </w:r>
      <w:r w:rsidRPr="004D0DAA">
        <w:tab/>
        <w:t>PS Handover Command</w:t>
      </w:r>
      <w:bookmarkEnd w:id="733"/>
    </w:p>
    <w:p w14:paraId="498BC29C" w14:textId="77777777" w:rsidR="00711444" w:rsidRPr="004D0DAA" w:rsidRDefault="00711444" w:rsidP="00711444">
      <w:r w:rsidRPr="004D0DAA">
        <w:t>This message is sent on the PACCH by the network to the mobile station to command the mobile station to leave the current cell and change to a new cell. The mobile station shall acknowledge this message according to sub-clause 8.10.4. This message can be sent using Extended RLC/MAC control segmentation (see sub-clause 9.1.12a). The combined length of the IEs included in the PS HANDOVER COMMAND message shall not exceed 175 octets.</w:t>
      </w:r>
    </w:p>
    <w:p w14:paraId="11B5A89A" w14:textId="77777777" w:rsidR="00711444" w:rsidRPr="004D0DAA" w:rsidRDefault="00711444" w:rsidP="00711444">
      <w:r w:rsidRPr="004D0DAA">
        <w:t>If the network allocates PS resources on a single carrier where those resources are not required to support any of the features EGPRS2, Fast Ack/Nack Reporting or RTTI configurations, then the network shall include the PS Handover Radio Resources Info IE in the PS HANDOVER COMMAND message. Otherwise, the network shall include the PS Handover Radio Resources 2 Info IE or the PS Handover Radio Resources 3 IE the PS HANDOVER COMMAND message.</w:t>
      </w:r>
    </w:p>
    <w:p w14:paraId="0111CBD4" w14:textId="77777777" w:rsidR="00711444" w:rsidRPr="004D0DAA" w:rsidRDefault="00711444" w:rsidP="00711444">
      <w:pPr>
        <w:pStyle w:val="EX"/>
      </w:pPr>
      <w:r w:rsidRPr="004D0DAA">
        <w:t>Message type:</w:t>
      </w:r>
      <w:r w:rsidRPr="004D0DAA">
        <w:tab/>
        <w:t>PS HANDOVER COMMAND</w:t>
      </w:r>
    </w:p>
    <w:p w14:paraId="22C53A1E" w14:textId="77777777" w:rsidR="00711444" w:rsidRPr="004D0DAA" w:rsidRDefault="00711444" w:rsidP="00711444">
      <w:pPr>
        <w:pStyle w:val="EX"/>
      </w:pPr>
      <w:r w:rsidRPr="004D0DAA">
        <w:t>Direction:</w:t>
      </w:r>
      <w:r w:rsidRPr="004D0DAA">
        <w:tab/>
        <w:t>network to mobile station</w:t>
      </w:r>
    </w:p>
    <w:p w14:paraId="035349ED" w14:textId="77777777" w:rsidR="00711444" w:rsidRPr="004D0DAA" w:rsidRDefault="00711444" w:rsidP="00711444">
      <w:pPr>
        <w:pStyle w:val="EX"/>
        <w:rPr>
          <w:lang w:val="fr-FR"/>
        </w:rPr>
      </w:pPr>
      <w:r w:rsidRPr="004D0DAA">
        <w:rPr>
          <w:lang w:val="fr-FR"/>
        </w:rPr>
        <w:t>Classification:</w:t>
      </w:r>
      <w:r w:rsidRPr="004D0DAA">
        <w:rPr>
          <w:lang w:val="fr-FR"/>
        </w:rPr>
        <w:tab/>
        <w:t>non-distribution message</w:t>
      </w:r>
    </w:p>
    <w:p w14:paraId="2D47AA7B" w14:textId="77777777" w:rsidR="00711444" w:rsidRPr="004D0DAA" w:rsidRDefault="00711444" w:rsidP="00711444">
      <w:pPr>
        <w:pStyle w:val="TH"/>
        <w:rPr>
          <w:lang w:val="fr-FR"/>
        </w:rPr>
      </w:pPr>
      <w:r w:rsidRPr="004D0DAA">
        <w:rPr>
          <w:lang w:val="fr-FR"/>
        </w:rPr>
        <w:lastRenderedPageBreak/>
        <w:t>Table 11.2.43.1: PS HANDOVER COMMAND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34B41FB" w14:textId="77777777" w:rsidTr="00AA2A4C">
        <w:tblPrEx>
          <w:tblCellMar>
            <w:top w:w="0" w:type="dxa"/>
            <w:bottom w:w="0" w:type="dxa"/>
          </w:tblCellMar>
        </w:tblPrEx>
        <w:trPr>
          <w:cantSplit/>
        </w:trPr>
        <w:tc>
          <w:tcPr>
            <w:tcW w:w="9848" w:type="dxa"/>
          </w:tcPr>
          <w:p w14:paraId="3163F44F"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&lt; PS Handover Command message content &gt; ::=</w:t>
            </w:r>
          </w:p>
          <w:p w14:paraId="62A055B3"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 xml:space="preserve">&lt; </w:t>
            </w:r>
            <w:r w:rsidRPr="004D0DAA">
              <w:rPr>
                <w:rFonts w:ascii="Arial" w:hAnsi="Arial"/>
                <w:b/>
                <w:sz w:val="18"/>
                <w:lang w:val="fr-FR"/>
              </w:rPr>
              <w:t>PAGE_MODE</w:t>
            </w:r>
            <w:r w:rsidRPr="004D0DAA">
              <w:rPr>
                <w:rFonts w:ascii="Arial" w:hAnsi="Arial"/>
                <w:sz w:val="18"/>
                <w:lang w:val="fr-FR"/>
              </w:rPr>
              <w:t xml:space="preserve"> : bit (2) &gt;</w:t>
            </w:r>
          </w:p>
          <w:p w14:paraId="3C0491CD"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rPr>
              <w:t>{</w:t>
            </w:r>
            <w:r w:rsidRPr="004D0DAA">
              <w:rPr>
                <w:rFonts w:ascii="Arial" w:hAnsi="Arial"/>
                <w:sz w:val="18"/>
              </w:rPr>
              <w:tab/>
              <w:t xml:space="preserve">0 &lt; </w:t>
            </w:r>
            <w:r w:rsidRPr="004D0DAA">
              <w:rPr>
                <w:rFonts w:ascii="Arial" w:hAnsi="Arial"/>
                <w:b/>
                <w:sz w:val="18"/>
              </w:rPr>
              <w:t>Global TFI</w:t>
            </w:r>
            <w:r w:rsidRPr="004D0DAA">
              <w:rPr>
                <w:rFonts w:ascii="Arial" w:hAnsi="Arial"/>
                <w:sz w:val="18"/>
              </w:rPr>
              <w:t xml:space="preserve"> : &lt; Global TFI IE &gt; &gt;</w:t>
            </w:r>
          </w:p>
          <w:p w14:paraId="165A387F" w14:textId="77777777" w:rsidR="00711444" w:rsidRPr="004D0DAA" w:rsidRDefault="00711444" w:rsidP="00AA2A4C">
            <w:pPr>
              <w:keepNext/>
              <w:keepLines/>
              <w:spacing w:after="0"/>
              <w:rPr>
                <w:rFonts w:ascii="Arial" w:hAnsi="Arial"/>
                <w:sz w:val="18"/>
                <w:lang w:val="fr-FR"/>
              </w:rPr>
            </w:pPr>
            <w:r w:rsidRPr="004D0DAA">
              <w:rPr>
                <w:rFonts w:ascii="Arial" w:hAnsi="Arial"/>
                <w:sz w:val="18"/>
              </w:rPr>
              <w:tab/>
            </w:r>
            <w:r w:rsidRPr="004D0DAA">
              <w:rPr>
                <w:rFonts w:ascii="Arial" w:hAnsi="Arial"/>
                <w:sz w:val="18"/>
              </w:rPr>
              <w:tab/>
            </w:r>
            <w:r w:rsidRPr="004D0DAA">
              <w:rPr>
                <w:rFonts w:ascii="Arial" w:hAnsi="Arial"/>
                <w:sz w:val="18"/>
                <w:lang w:val="fr-FR"/>
              </w:rPr>
              <w:t>{</w:t>
            </w:r>
            <w:r w:rsidRPr="004D0DAA">
              <w:rPr>
                <w:rFonts w:ascii="Arial" w:hAnsi="Arial"/>
                <w:sz w:val="18"/>
                <w:lang w:val="fr-FR"/>
              </w:rPr>
              <w:tab/>
            </w:r>
            <w:r w:rsidRPr="004D0DAA">
              <w:rPr>
                <w:rFonts w:ascii="Arial" w:hAnsi="Arial"/>
                <w:i/>
                <w:sz w:val="18"/>
                <w:lang w:val="fr-FR"/>
              </w:rPr>
              <w:t>-- Non-distribution part</w:t>
            </w:r>
          </w:p>
          <w:p w14:paraId="1E361D81"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t xml:space="preserve">&lt; </w:t>
            </w:r>
            <w:r w:rsidRPr="004D0DAA">
              <w:rPr>
                <w:rFonts w:ascii="Arial" w:hAnsi="Arial"/>
                <w:b/>
                <w:bCs/>
                <w:sz w:val="18"/>
                <w:lang w:val="fr-FR"/>
              </w:rPr>
              <w:t>CONTAINER_ID</w:t>
            </w:r>
            <w:r w:rsidRPr="004D0DAA">
              <w:rPr>
                <w:rFonts w:ascii="Arial" w:hAnsi="Arial"/>
                <w:sz w:val="18"/>
                <w:lang w:val="fr-FR"/>
              </w:rPr>
              <w:t xml:space="preserve"> : bit(2) &gt;</w:t>
            </w:r>
          </w:p>
          <w:p w14:paraId="1D16AEA3"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lang w:val="fr-FR"/>
              </w:rPr>
              <w:tab/>
            </w:r>
            <w:r w:rsidRPr="004D0DAA">
              <w:rPr>
                <w:rFonts w:ascii="Arial" w:hAnsi="Arial"/>
                <w:sz w:val="18"/>
                <w:lang w:val="fr-FR"/>
              </w:rPr>
              <w:tab/>
            </w:r>
            <w:r w:rsidRPr="004D0DAA">
              <w:rPr>
                <w:rFonts w:ascii="Arial" w:hAnsi="Arial"/>
                <w:sz w:val="18"/>
              </w:rPr>
              <w:t>{ 00</w:t>
            </w:r>
            <w:r w:rsidRPr="004D0DAA">
              <w:rPr>
                <w:rFonts w:ascii="Arial" w:hAnsi="Arial"/>
                <w:sz w:val="18"/>
              </w:rPr>
              <w:tab/>
              <w:t xml:space="preserve">&lt; </w:t>
            </w:r>
            <w:r w:rsidRPr="004D0DAA">
              <w:rPr>
                <w:rFonts w:ascii="Arial" w:hAnsi="Arial"/>
                <w:b/>
                <w:bCs/>
                <w:sz w:val="18"/>
              </w:rPr>
              <w:t xml:space="preserve">PS Handover to A/Gb Mode Payload </w:t>
            </w:r>
            <w:r w:rsidRPr="004D0DAA">
              <w:rPr>
                <w:rFonts w:ascii="Arial" w:hAnsi="Arial"/>
                <w:sz w:val="18"/>
              </w:rPr>
              <w:t>:</w:t>
            </w:r>
          </w:p>
          <w:p w14:paraId="0A3675B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00 &lt; PS Handover RR Info: &lt; PS Handover Radio Resources IE &gt; &gt;</w:t>
            </w:r>
          </w:p>
          <w:p w14:paraId="664EA06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01 &lt; PS Handover RR 2 Info: &lt; PS Handover Radio Resources 2 IE &gt; &gt;</w:t>
            </w:r>
          </w:p>
          <w:p w14:paraId="716D899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10 &lt; PS Handover RR 3 Info: &lt; PS Handover Radio Resources 3 IE &gt; &gt;</w:t>
            </w:r>
          </w:p>
          <w:p w14:paraId="1243E90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&lt; RR Handover RR Info Error : { 11 } bit (*) = &lt;no string&gt; &gt; } - </w:t>
            </w:r>
            <w:r w:rsidRPr="004D0DAA">
              <w:rPr>
                <w:rFonts w:ascii="Arial" w:hAnsi="Arial"/>
                <w:i/>
                <w:sz w:val="18"/>
              </w:rPr>
              <w:t>Extended for future changes</w:t>
            </w:r>
          </w:p>
          <w:p w14:paraId="524E971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 | 1 &lt; NAS Container for PS Handover IE &gt; }</w:t>
            </w:r>
          </w:p>
          <w:p w14:paraId="2C0825E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01</w:t>
            </w:r>
            <w:r w:rsidRPr="004D0DAA">
              <w:rPr>
                <w:rFonts w:ascii="Arial" w:hAnsi="Arial"/>
                <w:sz w:val="18"/>
              </w:rPr>
              <w:tab/>
              <w:t xml:space="preserve">&lt; </w:t>
            </w:r>
            <w:r w:rsidRPr="004D0DAA">
              <w:rPr>
                <w:rFonts w:ascii="Arial" w:hAnsi="Arial"/>
                <w:b/>
                <w:bCs/>
                <w:sz w:val="18"/>
              </w:rPr>
              <w:t xml:space="preserve">PS Handover to UTRAN Payload </w:t>
            </w:r>
            <w:r w:rsidRPr="004D0DAA">
              <w:rPr>
                <w:rFonts w:ascii="Arial" w:hAnsi="Arial"/>
                <w:sz w:val="18"/>
              </w:rPr>
              <w:t>:</w:t>
            </w:r>
          </w:p>
          <w:p w14:paraId="4FA1E34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RRC Container</w:t>
            </w:r>
            <w:r w:rsidRPr="004D0DAA">
              <w:rPr>
                <w:rFonts w:ascii="Arial" w:hAnsi="Arial"/>
                <w:b/>
                <w:bCs/>
                <w:sz w:val="18"/>
              </w:rPr>
              <w:t xml:space="preserve"> </w:t>
            </w:r>
            <w:r w:rsidRPr="004D0DAA">
              <w:rPr>
                <w:rFonts w:ascii="Arial" w:hAnsi="Arial"/>
                <w:sz w:val="18"/>
              </w:rPr>
              <w:t>IE &gt; &gt;</w:t>
            </w:r>
          </w:p>
          <w:p w14:paraId="10982F8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10</w:t>
            </w:r>
            <w:r w:rsidRPr="004D0DAA">
              <w:rPr>
                <w:rFonts w:ascii="Arial" w:hAnsi="Arial"/>
                <w:sz w:val="18"/>
              </w:rPr>
              <w:tab/>
              <w:t xml:space="preserve">&lt; </w:t>
            </w:r>
            <w:r w:rsidRPr="004D0DAA">
              <w:rPr>
                <w:rFonts w:ascii="Arial" w:hAnsi="Arial"/>
                <w:b/>
                <w:bCs/>
                <w:sz w:val="18"/>
              </w:rPr>
              <w:t xml:space="preserve">PS Handover to E-UTRAN Payload </w:t>
            </w:r>
            <w:r w:rsidRPr="004D0DAA">
              <w:rPr>
                <w:rFonts w:ascii="Arial" w:hAnsi="Arial"/>
                <w:sz w:val="18"/>
              </w:rPr>
              <w:t>:</w:t>
            </w:r>
          </w:p>
          <w:p w14:paraId="3962F0C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RRC Container</w:t>
            </w:r>
            <w:r w:rsidRPr="004D0DAA">
              <w:rPr>
                <w:rFonts w:ascii="Arial" w:hAnsi="Arial"/>
                <w:b/>
                <w:bCs/>
                <w:sz w:val="18"/>
              </w:rPr>
              <w:t xml:space="preserve"> </w:t>
            </w:r>
            <w:r w:rsidRPr="004D0DAA">
              <w:rPr>
                <w:rFonts w:ascii="Arial" w:hAnsi="Arial"/>
                <w:sz w:val="18"/>
              </w:rPr>
              <w:t>IE &gt; &gt;</w:t>
            </w:r>
          </w:p>
          <w:p w14:paraId="23BBF3B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&lt; Message escape : 11 bit (*) = &lt; no string &gt; &gt; }</w:t>
            </w:r>
            <w:r w:rsidRPr="004D0DAA">
              <w:rPr>
                <w:rFonts w:ascii="Arial" w:hAnsi="Arial"/>
                <w:sz w:val="18"/>
              </w:rPr>
              <w:tab/>
            </w:r>
            <w:r w:rsidRPr="004D0DAA">
              <w:rPr>
                <w:rFonts w:ascii="Arial" w:hAnsi="Arial"/>
                <w:sz w:val="18"/>
              </w:rPr>
              <w:tab/>
              <w:t xml:space="preserve">-- </w:t>
            </w:r>
            <w:r w:rsidRPr="004D0DAA">
              <w:rPr>
                <w:rFonts w:ascii="Arial" w:hAnsi="Arial"/>
                <w:i/>
                <w:sz w:val="18"/>
              </w:rPr>
              <w:t>Extended for future changes</w:t>
            </w:r>
            <w:r w:rsidRPr="004D0DAA">
              <w:rPr>
                <w:rFonts w:ascii="Arial" w:hAnsi="Arial"/>
                <w:sz w:val="18"/>
              </w:rPr>
              <w:t xml:space="preserve"> </w:t>
            </w:r>
          </w:p>
          <w:p w14:paraId="7C824D48" w14:textId="77777777" w:rsidR="00711444" w:rsidRPr="004D0DAA" w:rsidRDefault="00711444" w:rsidP="00AA2A4C">
            <w:pPr>
              <w:keepNext/>
              <w:keepLines/>
              <w:spacing w:after="0"/>
              <w:rPr>
                <w:rFonts w:ascii="Arial" w:hAnsi="Arial"/>
                <w:iCs/>
                <w:sz w:val="18"/>
              </w:rPr>
            </w:pPr>
            <w:r w:rsidRPr="004D0DAA">
              <w:rPr>
                <w:rFonts w:ascii="Arial" w:hAnsi="Arial"/>
                <w:sz w:val="18"/>
              </w:rPr>
              <w:tab/>
            </w:r>
            <w:r w:rsidRPr="004D0DAA">
              <w:rPr>
                <w:rFonts w:ascii="Arial" w:hAnsi="Arial"/>
                <w:sz w:val="18"/>
              </w:rPr>
              <w:tab/>
            </w:r>
            <w:r w:rsidRPr="004D0DAA">
              <w:rPr>
                <w:rFonts w:ascii="Arial" w:hAnsi="Arial"/>
                <w:sz w:val="18"/>
              </w:rPr>
              <w:tab/>
              <w:t>{ null | 0</w:t>
            </w:r>
            <w:r w:rsidRPr="004D0DAA">
              <w:rPr>
                <w:rFonts w:ascii="Arial" w:hAnsi="Arial"/>
                <w:sz w:val="18"/>
              </w:rPr>
              <w:tab/>
              <w:t>bit ** = &lt; no string &gt;</w:t>
            </w:r>
            <w:r w:rsidRPr="004D0DAA">
              <w:rPr>
                <w:rFonts w:ascii="Arial" w:hAnsi="Arial"/>
                <w:sz w:val="18"/>
              </w:rPr>
              <w:tab/>
            </w:r>
            <w:r w:rsidRPr="004D0DAA">
              <w:rPr>
                <w:rFonts w:ascii="Arial" w:hAnsi="Arial"/>
                <w:i/>
                <w:sz w:val="18"/>
              </w:rPr>
              <w:t>-- Receiver compatible with earlier release</w:t>
            </w:r>
          </w:p>
          <w:p w14:paraId="2DDBC921" w14:textId="77777777" w:rsidR="00711444" w:rsidRPr="004D0DAA" w:rsidRDefault="00711444" w:rsidP="00AA2A4C">
            <w:pPr>
              <w:keepNext/>
              <w:keepLines/>
              <w:spacing w:after="0"/>
              <w:rPr>
                <w:rFonts w:ascii="Arial" w:hAnsi="Arial"/>
                <w:i/>
                <w:iCs/>
                <w:sz w:val="18"/>
              </w:rPr>
            </w:pPr>
            <w:r w:rsidRPr="004D0DAA">
              <w:rPr>
                <w:rFonts w:ascii="Arial" w:hAnsi="Arial"/>
                <w:iCs/>
                <w:sz w:val="18"/>
              </w:rPr>
              <w:tab/>
            </w:r>
            <w:r w:rsidRPr="004D0DAA">
              <w:rPr>
                <w:rFonts w:ascii="Arial" w:hAnsi="Arial"/>
                <w:iCs/>
                <w:sz w:val="18"/>
              </w:rPr>
              <w:tab/>
            </w:r>
            <w:r w:rsidRPr="004D0DAA">
              <w:rPr>
                <w:rFonts w:ascii="Arial" w:hAnsi="Arial"/>
                <w:iCs/>
                <w:sz w:val="18"/>
              </w:rPr>
              <w:tab/>
              <w:t>| 1</w:t>
            </w:r>
            <w:r w:rsidRPr="004D0DAA">
              <w:rPr>
                <w:rFonts w:ascii="Arial" w:hAnsi="Arial"/>
                <w:iCs/>
                <w:sz w:val="18"/>
              </w:rPr>
              <w:tab/>
            </w:r>
            <w:r w:rsidRPr="004D0DAA">
              <w:rPr>
                <w:rFonts w:ascii="Arial" w:hAnsi="Arial"/>
                <w:iCs/>
                <w:sz w:val="18"/>
              </w:rPr>
              <w:tab/>
            </w:r>
            <w:r w:rsidRPr="004D0DAA">
              <w:rPr>
                <w:rFonts w:ascii="Arial" w:hAnsi="Arial"/>
                <w:sz w:val="18"/>
              </w:rPr>
              <w:t xml:space="preserve">-- </w:t>
            </w:r>
            <w:r w:rsidRPr="004D0DAA">
              <w:rPr>
                <w:rFonts w:ascii="Arial" w:hAnsi="Arial"/>
                <w:i/>
                <w:iCs/>
                <w:sz w:val="18"/>
              </w:rPr>
              <w:t>Additions in Rel-8 :</w:t>
            </w:r>
          </w:p>
          <w:p w14:paraId="63BFC822" w14:textId="77777777" w:rsidR="00711444" w:rsidRPr="004D0DAA" w:rsidRDefault="00711444" w:rsidP="00AA2A4C">
            <w:pPr>
              <w:keepNext/>
              <w:keepLines/>
              <w:spacing w:after="0"/>
              <w:rPr>
                <w:rFonts w:ascii="Arial" w:hAnsi="Arial" w:cs="Arial" w:hint="eastAsia"/>
                <w:sz w:val="18"/>
                <w:szCs w:val="18"/>
                <w:lang w:eastAsia="zh-CN"/>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cs="Arial"/>
                <w:sz w:val="18"/>
                <w:szCs w:val="18"/>
              </w:rPr>
              <w:tab/>
              <w:t>{ 0 | 1</w:t>
            </w:r>
            <w:r w:rsidRPr="004D0DAA">
              <w:rPr>
                <w:rFonts w:ascii="Arial" w:hAnsi="Arial" w:cs="Arial" w:hint="eastAsia"/>
                <w:sz w:val="18"/>
                <w:szCs w:val="18"/>
                <w:lang w:eastAsia="zh-CN"/>
              </w:rPr>
              <w:tab/>
            </w:r>
            <w:r w:rsidRPr="004D0DAA">
              <w:rPr>
                <w:rFonts w:ascii="Arial" w:hAnsi="Arial" w:cs="Arial"/>
                <w:sz w:val="18"/>
                <w:szCs w:val="18"/>
              </w:rPr>
              <w:t>&lt; E-UTRAN_CCN_ACTIVE : bit (1) &gt;  }</w:t>
            </w:r>
            <w:r w:rsidRPr="004D0DAA">
              <w:rPr>
                <w:rFonts w:ascii="Arial" w:hAnsi="Arial" w:cs="Arial" w:hint="eastAsia"/>
                <w:sz w:val="18"/>
                <w:szCs w:val="18"/>
                <w:lang w:eastAsia="zh-CN"/>
              </w:rPr>
              <w:t xml:space="preserve"> </w:t>
            </w:r>
          </w:p>
          <w:p w14:paraId="4F6DB5B0" w14:textId="77777777" w:rsidR="00711444" w:rsidRPr="004D0DAA" w:rsidRDefault="00711444" w:rsidP="00AA2A4C">
            <w:pPr>
              <w:keepNext/>
              <w:keepLines/>
              <w:spacing w:after="0"/>
              <w:rPr>
                <w:rFonts w:ascii="Arial" w:hAnsi="Arial" w:hint="eastAsia"/>
                <w:sz w:val="18"/>
                <w:lang w:eastAsia="zh-CN"/>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cs="Arial"/>
                <w:sz w:val="18"/>
                <w:szCs w:val="18"/>
              </w:rPr>
              <w:tab/>
            </w:r>
            <w:r w:rsidRPr="004D0DAA">
              <w:rPr>
                <w:rFonts w:ascii="Arial" w:hAnsi="Arial" w:hint="eastAsia"/>
                <w:sz w:val="18"/>
                <w:lang w:eastAsia="zh-CN"/>
              </w:rPr>
              <w:t>{ 0 | 1</w:t>
            </w:r>
            <w:r w:rsidRPr="004D0DAA">
              <w:rPr>
                <w:rFonts w:ascii="Arial" w:hAnsi="Arial"/>
                <w:sz w:val="18"/>
                <w:lang w:eastAsia="zh-CN"/>
              </w:rPr>
              <w:tab/>
            </w:r>
            <w:r w:rsidRPr="004D0DAA">
              <w:rPr>
                <w:rFonts w:ascii="Arial" w:hAnsi="Arial" w:hint="eastAsia"/>
                <w:sz w:val="18"/>
                <w:lang w:eastAsia="zh-CN"/>
              </w:rPr>
              <w:t>&lt;</w:t>
            </w:r>
            <w:r w:rsidRPr="004D0DAA">
              <w:rPr>
                <w:rFonts w:ascii="Arial" w:hAnsi="Arial" w:hint="eastAsia"/>
                <w:b/>
                <w:sz w:val="18"/>
                <w:lang w:eastAsia="zh-CN"/>
              </w:rPr>
              <w:t xml:space="preserve"> </w:t>
            </w:r>
            <w:r w:rsidRPr="004D0DAA">
              <w:rPr>
                <w:rFonts w:ascii="Arial" w:hAnsi="Arial" w:hint="eastAsia"/>
                <w:b/>
                <w:sz w:val="18"/>
              </w:rPr>
              <w:t>Measurement</w:t>
            </w:r>
            <w:r w:rsidRPr="004D0DAA">
              <w:rPr>
                <w:rFonts w:ascii="Arial" w:hAnsi="Arial" w:hint="eastAsia"/>
                <w:b/>
                <w:sz w:val="18"/>
                <w:lang w:eastAsia="zh-CN"/>
              </w:rPr>
              <w:t xml:space="preserve"> Control</w:t>
            </w:r>
            <w:r w:rsidRPr="004D0DAA">
              <w:rPr>
                <w:rFonts w:ascii="Arial" w:hAnsi="Arial" w:hint="eastAsia"/>
                <w:b/>
                <w:sz w:val="18"/>
              </w:rPr>
              <w:t xml:space="preserve"> Parameters</w:t>
            </w:r>
            <w:r w:rsidRPr="004D0DAA">
              <w:rPr>
                <w:rFonts w:ascii="Arial" w:hAnsi="Arial" w:hint="eastAsia"/>
                <w:b/>
                <w:sz w:val="18"/>
                <w:lang w:eastAsia="zh-CN"/>
              </w:rPr>
              <w:t xml:space="preserve"> Description</w:t>
            </w:r>
            <w:r w:rsidRPr="004D0DAA">
              <w:rPr>
                <w:rFonts w:ascii="Arial" w:hAnsi="Arial" w:hint="eastAsia"/>
                <w:sz w:val="18"/>
                <w:lang w:eastAsia="zh-CN"/>
              </w:rPr>
              <w:t xml:space="preserve"> : </w:t>
            </w:r>
          </w:p>
          <w:p w14:paraId="3EE00C03" w14:textId="77777777" w:rsidR="00711444" w:rsidRPr="004D0DAA" w:rsidRDefault="00711444" w:rsidP="00AA2A4C">
            <w:pPr>
              <w:keepNext/>
              <w:keepLines/>
              <w:spacing w:after="0"/>
              <w:rPr>
                <w:rFonts w:ascii="Arial" w:hAnsi="Arial" w:cs="Arial" w:hint="eastAsia"/>
                <w:sz w:val="18"/>
                <w:szCs w:val="18"/>
                <w:lang w:eastAsia="zh-CN"/>
              </w:rPr>
            </w:pPr>
            <w:r w:rsidRPr="004D0DAA">
              <w:rPr>
                <w:rFonts w:ascii="Arial" w:hAnsi="Arial"/>
                <w:sz w:val="18"/>
                <w:lang w:eastAsia="zh-CN"/>
              </w:rPr>
              <w:tab/>
            </w:r>
            <w:r w:rsidRPr="004D0DAA">
              <w:rPr>
                <w:rFonts w:ascii="Arial" w:hAnsi="Arial"/>
                <w:sz w:val="18"/>
                <w:lang w:eastAsia="zh-CN"/>
              </w:rPr>
              <w:tab/>
            </w:r>
            <w:r w:rsidRPr="004D0DAA">
              <w:rPr>
                <w:rFonts w:ascii="Arial" w:hAnsi="Arial" w:hint="eastAsia"/>
                <w:sz w:val="18"/>
                <w:lang w:eastAsia="zh-CN"/>
              </w:rPr>
              <w:tab/>
            </w:r>
            <w:r w:rsidRPr="004D0DAA">
              <w:rPr>
                <w:rFonts w:ascii="Arial" w:hAnsi="Arial" w:hint="eastAsia"/>
                <w:sz w:val="18"/>
                <w:lang w:eastAsia="zh-CN"/>
              </w:rPr>
              <w:tab/>
            </w:r>
            <w:r w:rsidRPr="004D0DAA">
              <w:rPr>
                <w:rFonts w:ascii="Arial" w:hAnsi="Arial"/>
                <w:sz w:val="18"/>
                <w:lang w:eastAsia="zh-CN"/>
              </w:rPr>
              <w:tab/>
            </w:r>
            <w:r w:rsidRPr="004D0DAA">
              <w:rPr>
                <w:rFonts w:ascii="Arial" w:hAnsi="Arial" w:hint="eastAsia"/>
                <w:sz w:val="18"/>
                <w:lang w:eastAsia="zh-CN"/>
              </w:rPr>
              <w:tab/>
              <w:t>&lt; MeasurementControl Parameters Description IE&gt;&gt;}</w:t>
            </w:r>
          </w:p>
          <w:p w14:paraId="34399839"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209180FA"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Rel-9</w:t>
            </w:r>
          </w:p>
          <w:p w14:paraId="090DA820" w14:textId="77777777" w:rsidR="00711444" w:rsidRPr="004D0DAA" w:rsidRDefault="00711444" w:rsidP="00AA2A4C">
            <w:pPr>
              <w:keepNext/>
              <w:keepLines/>
              <w:spacing w:after="0"/>
              <w:rPr>
                <w:rFonts w:ascii="Arial" w:hAnsi="Arial"/>
                <w:iCs/>
                <w:sz w:val="18"/>
              </w:rPr>
            </w:pP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r>
            <w:r w:rsidRPr="004D0DAA">
              <w:rPr>
                <w:rFonts w:ascii="Arial" w:hAnsi="Arial"/>
                <w:iCs/>
                <w:sz w:val="18"/>
              </w:rPr>
              <w:tab/>
              <w:t xml:space="preserve">&lt; </w:t>
            </w:r>
            <w:r w:rsidRPr="004D0DAA">
              <w:rPr>
                <w:rFonts w:ascii="Arial" w:hAnsi="Arial"/>
                <w:b/>
                <w:iCs/>
                <w:sz w:val="18"/>
              </w:rPr>
              <w:t xml:space="preserve">Enhanced Flexible Timeslot Assignment </w:t>
            </w:r>
            <w:r w:rsidRPr="004D0DAA">
              <w:rPr>
                <w:rFonts w:ascii="Arial" w:hAnsi="Arial"/>
                <w:iCs/>
                <w:sz w:val="18"/>
              </w:rPr>
              <w:t>: bit  &gt;</w:t>
            </w:r>
          </w:p>
          <w:p w14:paraId="6BF79B08"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0 &lt; </w:t>
            </w:r>
            <w:r w:rsidRPr="004D0DAA">
              <w:rPr>
                <w:rFonts w:ascii="Arial" w:hAnsi="Arial"/>
                <w:b/>
                <w:bCs/>
                <w:sz w:val="18"/>
              </w:rPr>
              <w:t>EMST_NW_Capability</w:t>
            </w:r>
            <w:r w:rsidRPr="004D0DAA">
              <w:rPr>
                <w:rFonts w:ascii="Arial" w:hAnsi="Arial"/>
                <w:sz w:val="18"/>
              </w:rPr>
              <w:t xml:space="preserve"> : bit (1) &gt;</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w:t>
            </w:r>
          </w:p>
          <w:p w14:paraId="15035FB8"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used</w:t>
            </w:r>
          </w:p>
          <w:p w14:paraId="3D7BD934"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5348850B" w14:textId="77777777" w:rsidR="00711444" w:rsidRPr="004D0DAA" w:rsidRDefault="00711444" w:rsidP="00AA2A4C">
            <w:pPr>
              <w:keepNext/>
              <w:keepLines/>
              <w:spacing w:after="0"/>
              <w:rPr>
                <w:rFonts w:ascii="Arial" w:hAnsi="Arial"/>
                <w:b/>
                <w:b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&lt;</w:t>
            </w:r>
            <w:r w:rsidRPr="004D0DAA">
              <w:rPr>
                <w:rFonts w:ascii="Arial" w:hAnsi="Arial"/>
                <w:b/>
                <w:bCs/>
                <w:sz w:val="18"/>
              </w:rPr>
              <w:t xml:space="preserve"> Downlink RLC Entity 2</w:t>
            </w:r>
            <w:r w:rsidRPr="004D0DAA">
              <w:rPr>
                <w:rFonts w:ascii="Arial" w:hAnsi="Arial"/>
                <w:sz w:val="18"/>
              </w:rPr>
              <w:t xml:space="preserve"> : &lt; RLC Entity Struct &gt; </w:t>
            </w:r>
          </w:p>
          <w:p w14:paraId="2024D91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40A8A53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 &lt;</w:t>
            </w:r>
            <w:r w:rsidRPr="004D0DAA">
              <w:rPr>
                <w:rFonts w:ascii="Arial" w:hAnsi="Arial"/>
                <w:b/>
                <w:bCs/>
                <w:sz w:val="18"/>
              </w:rPr>
              <w:t xml:space="preserve"> Downlink RLC Entity 3</w:t>
            </w:r>
            <w:r w:rsidRPr="004D0DAA">
              <w:rPr>
                <w:rFonts w:ascii="Arial" w:hAnsi="Arial"/>
                <w:sz w:val="18"/>
              </w:rPr>
              <w:t xml:space="preserve"> : &lt; RLC Entity Struct &gt; }</w:t>
            </w:r>
          </w:p>
          <w:p w14:paraId="20D602D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4D38F61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1D45720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Uplink RLC Entity 2</w:t>
            </w:r>
            <w:r w:rsidRPr="004D0DAA">
              <w:rPr>
                <w:rFonts w:ascii="Arial" w:hAnsi="Arial"/>
                <w:sz w:val="18"/>
              </w:rPr>
              <w:t xml:space="preserve"> : &lt; RLC Entity Struct &gt; </w:t>
            </w:r>
          </w:p>
          <w:p w14:paraId="0C3332D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2331DE2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&lt; </w:t>
            </w:r>
            <w:r w:rsidRPr="004D0DAA">
              <w:rPr>
                <w:rFonts w:ascii="Arial" w:hAnsi="Arial"/>
                <w:b/>
                <w:bCs/>
                <w:sz w:val="18"/>
              </w:rPr>
              <w:t>Uplink RLC Entity 3</w:t>
            </w:r>
            <w:r w:rsidRPr="004D0DAA">
              <w:rPr>
                <w:rFonts w:ascii="Arial" w:hAnsi="Arial"/>
                <w:sz w:val="18"/>
              </w:rPr>
              <w:t xml:space="preserve"> : &lt; RLC Entity Struct &gt; }</w:t>
            </w:r>
          </w:p>
          <w:p w14:paraId="4B23A68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31B768C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643B3976"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4F185349"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Rel-10</w:t>
            </w:r>
          </w:p>
          <w:p w14:paraId="733FF52D"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downlink</w:t>
            </w:r>
          </w:p>
          <w:p w14:paraId="77ADC17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downlink</w:t>
            </w:r>
          </w:p>
          <w:p w14:paraId="5FE5129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7207ACA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2B78906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4B48058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2507C9A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uplink</w:t>
            </w:r>
          </w:p>
          <w:p w14:paraId="36D0EB4F"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uplink</w:t>
            </w:r>
          </w:p>
          <w:p w14:paraId="07DFFA0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3687F7E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193EEB9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1DE16F1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w:t>
            </w:r>
          </w:p>
          <w:p w14:paraId="6C701175" w14:textId="77777777" w:rsidR="00711444" w:rsidRPr="004D0DAA" w:rsidRDefault="00711444" w:rsidP="00AA2A4C">
            <w:pPr>
              <w:keepNext/>
              <w:keepLines/>
              <w:spacing w:after="0"/>
              <w:rPr>
                <w:rFonts w:ascii="Arial" w:hAnsi="Arial"/>
                <w:i/>
                <w:sz w:val="18"/>
              </w:rPr>
            </w:pPr>
            <w:r w:rsidRPr="004D0DAA">
              <w:rPr>
                <w:rFonts w:ascii="Arial" w:hAnsi="Arial"/>
                <w:sz w:val="18"/>
              </w:rPr>
              <w:t xml:space="preserve">                                  </w:t>
            </w:r>
            <w:r w:rsidRPr="004D0DAA">
              <w:rPr>
                <w:rFonts w:ascii="Arial" w:hAnsi="Arial"/>
                <w:sz w:val="18"/>
              </w:rPr>
              <w:tab/>
            </w:r>
            <w:r w:rsidRPr="004D0DAA">
              <w:rPr>
                <w:rFonts w:ascii="Arial" w:hAnsi="Arial"/>
                <w:sz w:val="18"/>
              </w:rPr>
              <w:tab/>
              <w:t xml:space="preserve">{ null | 0 bit** = &lt; no string &gt; -- </w:t>
            </w:r>
            <w:r w:rsidRPr="004D0DAA">
              <w:rPr>
                <w:rFonts w:ascii="Arial" w:hAnsi="Arial"/>
                <w:i/>
                <w:sz w:val="18"/>
              </w:rPr>
              <w:t>Receiver backward compatible with earlier version</w:t>
            </w:r>
          </w:p>
          <w:p w14:paraId="225AAD9E"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Additions for Rel-11</w:t>
            </w:r>
          </w:p>
          <w:p w14:paraId="0BC34079" w14:textId="77777777" w:rsidR="00711444" w:rsidRPr="004D0DAA" w:rsidRDefault="00711444" w:rsidP="00AA2A4C">
            <w:pPr>
              <w:keepNext/>
              <w:keepLines/>
              <w:spacing w:after="0"/>
              <w:rPr>
                <w:rFonts w:ascii="Arial" w:hAnsi="Arial"/>
                <w:sz w:val="18"/>
              </w:rPr>
            </w:pPr>
            <w:r w:rsidRPr="004D0DAA">
              <w:rPr>
                <w:rFonts w:ascii="Arial" w:hAnsi="Arial"/>
                <w:i/>
                <w:sz w:val="18"/>
              </w:rPr>
              <w:t xml:space="preserve">                                       </w:t>
            </w:r>
            <w:r w:rsidRPr="004D0DAA">
              <w:rPr>
                <w:rFonts w:ascii="Arial" w:hAnsi="Arial"/>
                <w:sz w:val="18"/>
              </w:rPr>
              <w:tab/>
            </w:r>
            <w:r w:rsidRPr="004D0DAA">
              <w:rPr>
                <w:rFonts w:ascii="Arial" w:hAnsi="Arial"/>
                <w:sz w:val="18"/>
              </w:rPr>
              <w:tab/>
              <w:t>{ 0 I 1 &lt; Selected PLMN Index : bit(3) &gt;}</w:t>
            </w:r>
          </w:p>
          <w:p w14:paraId="5C8D0CA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null | 0 bit** = &lt; no string &gt; -- Receiver backward compatible with earlier version</w:t>
            </w:r>
          </w:p>
          <w:p w14:paraId="2A2BC4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Additions for Rel-12</w:t>
            </w:r>
          </w:p>
          <w:p w14:paraId="6C0FEE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3A49B70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3900093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516E9C95"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1B79E7E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padding bits &gt; } } } } }</w:t>
            </w:r>
          </w:p>
          <w:p w14:paraId="2EC278B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&lt; Non-distribution part error : bit (*) = &lt; no string &gt; &gt; }</w:t>
            </w:r>
          </w:p>
          <w:p w14:paraId="759DB84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&lt; Address information part error : bit (*) = &lt; no string &gt; &gt; }</w:t>
            </w:r>
          </w:p>
          <w:p w14:paraId="3EB28329" w14:textId="77777777" w:rsidR="00711444" w:rsidRPr="004D0DAA" w:rsidRDefault="00711444" w:rsidP="00AA2A4C">
            <w:pPr>
              <w:keepNext/>
              <w:keepLines/>
              <w:spacing w:after="0"/>
              <w:rPr>
                <w:rFonts w:ascii="Arial" w:hAnsi="Arial"/>
                <w:sz w:val="18"/>
              </w:rPr>
            </w:pPr>
            <w:r w:rsidRPr="004D0DAA">
              <w:rPr>
                <w:rFonts w:ascii="Arial" w:hAnsi="Arial"/>
                <w:sz w:val="18"/>
              </w:rPr>
              <w:tab/>
              <w:t>! &lt; Distribution part error : bit (*) = &lt; no string &gt; &gt; ;</w:t>
            </w:r>
          </w:p>
          <w:p w14:paraId="615E84F3" w14:textId="77777777" w:rsidR="00711444" w:rsidRPr="004D0DAA" w:rsidRDefault="00711444" w:rsidP="00AA2A4C">
            <w:pPr>
              <w:keepNext/>
              <w:keepLines/>
              <w:spacing w:after="0"/>
              <w:rPr>
                <w:rFonts w:ascii="Arial" w:hAnsi="Arial"/>
                <w:sz w:val="18"/>
              </w:rPr>
            </w:pPr>
          </w:p>
          <w:p w14:paraId="021F3BF1" w14:textId="77777777" w:rsidR="00711444" w:rsidRPr="004D0DAA" w:rsidRDefault="00711444" w:rsidP="00AA2A4C">
            <w:pPr>
              <w:pStyle w:val="TAL"/>
              <w:rPr>
                <w:lang w:eastAsia="en-US"/>
              </w:rPr>
            </w:pPr>
          </w:p>
        </w:tc>
      </w:tr>
      <w:tr w:rsidR="00711444" w:rsidRPr="004D0DAA" w14:paraId="14158570" w14:textId="77777777" w:rsidTr="00AA2A4C">
        <w:tblPrEx>
          <w:tblCellMar>
            <w:top w:w="0" w:type="dxa"/>
            <w:bottom w:w="0" w:type="dxa"/>
          </w:tblCellMar>
        </w:tblPrEx>
        <w:trPr>
          <w:cantSplit/>
        </w:trPr>
        <w:tc>
          <w:tcPr>
            <w:tcW w:w="9848" w:type="dxa"/>
          </w:tcPr>
          <w:p w14:paraId="792EDADA" w14:textId="77777777" w:rsidR="00711444" w:rsidRPr="004D0DAA" w:rsidRDefault="00711444" w:rsidP="00AA2A4C">
            <w:pPr>
              <w:pStyle w:val="TAL"/>
              <w:rPr>
                <w:lang w:eastAsia="en-US"/>
              </w:rPr>
            </w:pPr>
            <w:r w:rsidRPr="004D0DAA">
              <w:rPr>
                <w:lang w:eastAsia="en-US"/>
              </w:rPr>
              <w:lastRenderedPageBreak/>
              <w:t>&lt; RLC Entity Struct &gt; :: =</w:t>
            </w:r>
          </w:p>
          <w:p w14:paraId="158ED58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23A2637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27CE1097"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EGPRS Window Size</w:t>
            </w:r>
            <w:r w:rsidRPr="004D0DAA">
              <w:rPr>
                <w:lang w:eastAsia="en-US"/>
              </w:rPr>
              <w:t> : &lt; EGPRS Window Size IE &gt; &gt; }</w:t>
            </w:r>
          </w:p>
          <w:p w14:paraId="275F3438"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p w14:paraId="0A630723" w14:textId="77777777" w:rsidR="00711444" w:rsidRPr="004D0DAA" w:rsidRDefault="00711444" w:rsidP="00AA2A4C">
            <w:pPr>
              <w:pStyle w:val="TAL"/>
              <w:rPr>
                <w:lang w:eastAsia="en-US"/>
              </w:rPr>
            </w:pPr>
          </w:p>
        </w:tc>
      </w:tr>
      <w:tr w:rsidR="00711444" w:rsidRPr="004D0DAA" w14:paraId="616F9713" w14:textId="77777777" w:rsidTr="00AA2A4C">
        <w:tblPrEx>
          <w:tblCellMar>
            <w:top w:w="0" w:type="dxa"/>
            <w:bottom w:w="0" w:type="dxa"/>
          </w:tblCellMar>
        </w:tblPrEx>
        <w:trPr>
          <w:cantSplit/>
        </w:trPr>
        <w:tc>
          <w:tcPr>
            <w:tcW w:w="9848" w:type="dxa"/>
          </w:tcPr>
          <w:p w14:paraId="18ACC440" w14:textId="77777777" w:rsidR="00711444" w:rsidRPr="004D0DAA" w:rsidRDefault="00711444" w:rsidP="00AA2A4C">
            <w:pPr>
              <w:pStyle w:val="TAL"/>
              <w:rPr>
                <w:lang w:eastAsia="en-US"/>
              </w:rPr>
            </w:pPr>
            <w:r w:rsidRPr="004D0DAA">
              <w:rPr>
                <w:lang w:eastAsia="en-US"/>
              </w:rPr>
              <w:t>&lt; Additional PFCs struct &gt; ::=</w:t>
            </w:r>
          </w:p>
          <w:p w14:paraId="36F1855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6A946BDC"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5AFAC54A"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tc>
      </w:tr>
    </w:tbl>
    <w:p w14:paraId="1103A306" w14:textId="77777777" w:rsidR="00711444" w:rsidRPr="004D0DAA" w:rsidRDefault="00711444" w:rsidP="00711444"/>
    <w:p w14:paraId="5391DEF7" w14:textId="77777777" w:rsidR="00711444" w:rsidRPr="004D0DAA" w:rsidRDefault="00711444" w:rsidP="00711444">
      <w:pPr>
        <w:pStyle w:val="TH"/>
      </w:pPr>
      <w:r w:rsidRPr="004D0DAA">
        <w:t>Table 11.2.43.2: PS HANDOVER COMMAND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63E69E5" w14:textId="77777777" w:rsidTr="00AA2A4C">
        <w:tblPrEx>
          <w:tblCellMar>
            <w:top w:w="0" w:type="dxa"/>
            <w:bottom w:w="0" w:type="dxa"/>
          </w:tblCellMar>
        </w:tblPrEx>
        <w:trPr>
          <w:cantSplit/>
        </w:trPr>
        <w:tc>
          <w:tcPr>
            <w:tcW w:w="9848" w:type="dxa"/>
          </w:tcPr>
          <w:p w14:paraId="1E239601" w14:textId="77777777" w:rsidR="00711444" w:rsidRPr="004D0DAA" w:rsidRDefault="00711444" w:rsidP="00AA2A4C">
            <w:pPr>
              <w:keepLines/>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2053EF56" w14:textId="77777777" w:rsidTr="00AA2A4C">
        <w:tblPrEx>
          <w:tblCellMar>
            <w:top w:w="0" w:type="dxa"/>
            <w:bottom w:w="0" w:type="dxa"/>
          </w:tblCellMar>
        </w:tblPrEx>
        <w:trPr>
          <w:cantSplit/>
        </w:trPr>
        <w:tc>
          <w:tcPr>
            <w:tcW w:w="9848" w:type="dxa"/>
          </w:tcPr>
          <w:p w14:paraId="3371659C" w14:textId="77777777" w:rsidR="00711444" w:rsidRPr="004D0DAA" w:rsidRDefault="00711444" w:rsidP="00AA2A4C">
            <w:pPr>
              <w:keepLines/>
              <w:rPr>
                <w:b/>
              </w:rPr>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sub-clause 12.10.</w:t>
            </w:r>
          </w:p>
        </w:tc>
      </w:tr>
      <w:tr w:rsidR="00711444" w:rsidRPr="004D0DAA" w14:paraId="70FC277F" w14:textId="77777777" w:rsidTr="00AA2A4C">
        <w:tblPrEx>
          <w:tblCellMar>
            <w:top w:w="0" w:type="dxa"/>
            <w:bottom w:w="0" w:type="dxa"/>
          </w:tblCellMar>
        </w:tblPrEx>
        <w:trPr>
          <w:cantSplit/>
        </w:trPr>
        <w:tc>
          <w:tcPr>
            <w:tcW w:w="9848" w:type="dxa"/>
          </w:tcPr>
          <w:p w14:paraId="4F116BAA" w14:textId="77777777" w:rsidR="00711444" w:rsidRPr="004D0DAA" w:rsidRDefault="00711444" w:rsidP="00AA2A4C">
            <w:pPr>
              <w:keepLines/>
            </w:pPr>
            <w:r w:rsidRPr="004D0DAA">
              <w:rPr>
                <w:b/>
              </w:rPr>
              <w:t>CONTAINER_ID</w:t>
            </w:r>
            <w:r w:rsidRPr="004D0DAA">
              <w:t xml:space="preserve"> (2 bit field)</w:t>
            </w:r>
            <w:r w:rsidRPr="004D0DAA">
              <w:br/>
              <w:t>This field contains the identity of the neighbour cell system information container previously sent in the PACKET NEIGHBOUR CELL DATA messages (see sub-clause 8.10.2). This field is ignored by the mobile station except in the case of PS Handover from GERAN A/Gb mode or GERAN Iu mode to GERAN A/Gb or GERAN Iu mode.</w:t>
            </w:r>
          </w:p>
          <w:p w14:paraId="6A5C4627" w14:textId="77777777" w:rsidR="00711444" w:rsidRPr="004D0DAA" w:rsidRDefault="00711444" w:rsidP="00AA2A4C">
            <w:pPr>
              <w:keepLines/>
              <w:rPr>
                <w:b/>
              </w:rPr>
            </w:pPr>
            <w:r w:rsidRPr="004D0DAA">
              <w:rPr>
                <w:bCs/>
              </w:rPr>
              <w:t>Range 0 to 3.</w:t>
            </w:r>
          </w:p>
        </w:tc>
      </w:tr>
      <w:tr w:rsidR="00711444" w:rsidRPr="004D0DAA" w14:paraId="2E6A85A9" w14:textId="77777777" w:rsidTr="00AA2A4C">
        <w:tblPrEx>
          <w:tblCellMar>
            <w:top w:w="0" w:type="dxa"/>
            <w:bottom w:w="0" w:type="dxa"/>
          </w:tblCellMar>
        </w:tblPrEx>
        <w:trPr>
          <w:cantSplit/>
        </w:trPr>
        <w:tc>
          <w:tcPr>
            <w:tcW w:w="9848" w:type="dxa"/>
          </w:tcPr>
          <w:p w14:paraId="14843178" w14:textId="77777777" w:rsidR="00711444" w:rsidRPr="004D0DAA" w:rsidRDefault="00711444" w:rsidP="00AA2A4C">
            <w:pPr>
              <w:keepLines/>
            </w:pPr>
            <w:r w:rsidRPr="004D0DAA">
              <w:rPr>
                <w:b/>
                <w:bCs/>
              </w:rPr>
              <w:t>PS Handover to A/Gb Mode Payload</w:t>
            </w:r>
            <w:r w:rsidRPr="004D0DAA">
              <w:rPr>
                <w:b/>
                <w:bCs/>
              </w:rPr>
              <w:br/>
            </w:r>
            <w:r w:rsidRPr="004D0DAA">
              <w:t xml:space="preserve">This information element contains the information needed by the mobile station when performing PS Handover to </w:t>
            </w:r>
            <w:r w:rsidRPr="004D0DAA">
              <w:rPr>
                <w:i/>
                <w:iCs/>
              </w:rPr>
              <w:t>A/Gb mode</w:t>
            </w:r>
            <w:r w:rsidRPr="004D0DAA">
              <w:t xml:space="preserve">. It consists of the </w:t>
            </w:r>
            <w:r w:rsidRPr="004D0DAA">
              <w:rPr>
                <w:i/>
                <w:iCs/>
              </w:rPr>
              <w:t>PS Handover Radio Resources</w:t>
            </w:r>
            <w:r w:rsidRPr="004D0DAA">
              <w:t xml:space="preserve"> IE (see sub-clause 12.42) or the </w:t>
            </w:r>
            <w:r w:rsidRPr="004D0DAA">
              <w:rPr>
                <w:i/>
                <w:iCs/>
              </w:rPr>
              <w:t xml:space="preserve"> PS Handover Radio Resources </w:t>
            </w:r>
            <w:r w:rsidRPr="004D0DAA">
              <w:t xml:space="preserve">2 IE (see sub-clause 12.42a) or the </w:t>
            </w:r>
            <w:r w:rsidRPr="004D0DAA">
              <w:rPr>
                <w:i/>
                <w:iCs/>
              </w:rPr>
              <w:t xml:space="preserve"> PS Handover Radio Resources </w:t>
            </w:r>
            <w:r w:rsidRPr="004D0DAA">
              <w:t xml:space="preserve">3 IE (see sub-clause 12.42b) and optionally the </w:t>
            </w:r>
            <w:r w:rsidRPr="004D0DAA">
              <w:rPr>
                <w:i/>
                <w:iCs/>
              </w:rPr>
              <w:t xml:space="preserve">NAS Container for PS Handover </w:t>
            </w:r>
            <w:r w:rsidRPr="004D0DAA">
              <w:t>IE (see sub-clause 12.43).</w:t>
            </w:r>
          </w:p>
        </w:tc>
      </w:tr>
      <w:tr w:rsidR="00711444" w:rsidRPr="004D0DAA" w14:paraId="73AC3302" w14:textId="77777777" w:rsidTr="00AA2A4C">
        <w:tblPrEx>
          <w:tblCellMar>
            <w:top w:w="0" w:type="dxa"/>
            <w:bottom w:w="0" w:type="dxa"/>
          </w:tblCellMar>
        </w:tblPrEx>
        <w:trPr>
          <w:cantSplit/>
        </w:trPr>
        <w:tc>
          <w:tcPr>
            <w:tcW w:w="9848" w:type="dxa"/>
          </w:tcPr>
          <w:p w14:paraId="47967FA8" w14:textId="77777777" w:rsidR="00711444" w:rsidRPr="004D0DAA" w:rsidRDefault="00711444" w:rsidP="00AA2A4C">
            <w:pPr>
              <w:keepLines/>
              <w:rPr>
                <w:b/>
                <w:bCs/>
              </w:rPr>
            </w:pPr>
            <w:r w:rsidRPr="004D0DAA">
              <w:rPr>
                <w:b/>
                <w:bCs/>
              </w:rPr>
              <w:t>PS Handover to UTRAN Payload</w:t>
            </w:r>
            <w:r w:rsidRPr="004D0DAA">
              <w:rPr>
                <w:b/>
                <w:bCs/>
              </w:rPr>
              <w:br/>
            </w:r>
            <w:r w:rsidRPr="004D0DAA">
              <w:t>This information element contains a HANDOVER TO UTRAN COMMAND message (as defined in 3GPP TS 25.331) containing the information needed by the mobile station when performing PS Handover to UTRAN. This information element is defined in sub-clause 12.45b.</w:t>
            </w:r>
          </w:p>
        </w:tc>
      </w:tr>
      <w:tr w:rsidR="00711444" w:rsidRPr="004D0DAA" w14:paraId="68DA869F" w14:textId="77777777" w:rsidTr="00AA2A4C">
        <w:tblPrEx>
          <w:tblCellMar>
            <w:top w:w="0" w:type="dxa"/>
            <w:bottom w:w="0" w:type="dxa"/>
          </w:tblCellMar>
        </w:tblPrEx>
        <w:trPr>
          <w:cantSplit/>
        </w:trPr>
        <w:tc>
          <w:tcPr>
            <w:tcW w:w="9848" w:type="dxa"/>
          </w:tcPr>
          <w:p w14:paraId="302DD1E8" w14:textId="77777777" w:rsidR="00711444" w:rsidRPr="004D0DAA" w:rsidRDefault="00711444" w:rsidP="00AA2A4C">
            <w:pPr>
              <w:keepLines/>
              <w:rPr>
                <w:b/>
                <w:bCs/>
              </w:rPr>
            </w:pPr>
            <w:r w:rsidRPr="004D0DAA">
              <w:rPr>
                <w:b/>
                <w:bCs/>
              </w:rPr>
              <w:t>PS Handover to E-UTRAN Payload</w:t>
            </w:r>
            <w:r w:rsidRPr="004D0DAA">
              <w:rPr>
                <w:b/>
                <w:bCs/>
              </w:rPr>
              <w:br/>
            </w:r>
            <w:r w:rsidRPr="004D0DAA">
              <w:t xml:space="preserve">This information element contains a </w:t>
            </w:r>
            <w:r w:rsidRPr="004D0DAA">
              <w:rPr>
                <w:i/>
                <w:iCs/>
              </w:rPr>
              <w:t>DL-DCCH-Message</w:t>
            </w:r>
            <w:r w:rsidRPr="004D0DAA">
              <w:t xml:space="preserve"> including a </w:t>
            </w:r>
            <w:r w:rsidRPr="004D0DAA">
              <w:rPr>
                <w:i/>
              </w:rPr>
              <w:t>RRCConnectionReconfiguration</w:t>
            </w:r>
            <w:r w:rsidRPr="004D0DAA">
              <w:t xml:space="preserve"> message (as defined in 3GPP TS 36.331) containing the information needed by the mobile station when performing PS Handover to E-UTRAN. This information element is defined in sub-clause 12.45b.</w:t>
            </w:r>
          </w:p>
        </w:tc>
      </w:tr>
      <w:tr w:rsidR="00711444" w:rsidRPr="004D0DAA" w14:paraId="10C1D9C7" w14:textId="77777777" w:rsidTr="00AA2A4C">
        <w:tblPrEx>
          <w:tblCellMar>
            <w:top w:w="0" w:type="dxa"/>
            <w:bottom w:w="0" w:type="dxa"/>
          </w:tblCellMar>
        </w:tblPrEx>
        <w:trPr>
          <w:cantSplit/>
        </w:trPr>
        <w:tc>
          <w:tcPr>
            <w:tcW w:w="9848" w:type="dxa"/>
          </w:tcPr>
          <w:p w14:paraId="226B7DB2" w14:textId="77777777" w:rsidR="00711444" w:rsidRPr="004D0DAA" w:rsidRDefault="00711444" w:rsidP="00AA2A4C">
            <w:pPr>
              <w:keepLines/>
              <w:rPr>
                <w:b/>
                <w:bCs/>
              </w:rPr>
            </w:pPr>
            <w:r w:rsidRPr="004D0DAA">
              <w:rPr>
                <w:b/>
                <w:lang w:eastAsia="zh-CN"/>
              </w:rPr>
              <w:t xml:space="preserve">E-UTRAN_CCN_ACTIVE </w:t>
            </w:r>
            <w:r w:rsidRPr="004D0DAA">
              <w:rPr>
                <w:lang w:eastAsia="zh-CN"/>
              </w:rPr>
              <w:t>(1 bit field)</w:t>
            </w:r>
            <w:r w:rsidRPr="004D0DAA">
              <w:rPr>
                <w:lang w:eastAsia="zh-CN"/>
              </w:rPr>
              <w:br/>
              <w:t xml:space="preserve">This field indicates whether CCN is enabled towards E-UTRAN neighbouring cells in the target cell. </w:t>
            </w:r>
            <w:r w:rsidRPr="004D0DAA">
              <w:t>For description and encoding see subclause 12.53. This field shall be included only if the PS Handover to A/Gb Mode Payload structure is included.</w:t>
            </w:r>
          </w:p>
        </w:tc>
      </w:tr>
      <w:tr w:rsidR="00711444" w:rsidRPr="004D0DAA" w14:paraId="63F3D664" w14:textId="77777777" w:rsidTr="00AA2A4C">
        <w:tblPrEx>
          <w:tblCellMar>
            <w:top w:w="0" w:type="dxa"/>
            <w:bottom w:w="0" w:type="dxa"/>
          </w:tblCellMar>
        </w:tblPrEx>
        <w:trPr>
          <w:cantSplit/>
        </w:trPr>
        <w:tc>
          <w:tcPr>
            <w:tcW w:w="9848" w:type="dxa"/>
          </w:tcPr>
          <w:p w14:paraId="77CC5F09" w14:textId="77777777" w:rsidR="00711444" w:rsidRPr="004D0DAA" w:rsidRDefault="00711444" w:rsidP="00AA2A4C">
            <w:pPr>
              <w:keepLines/>
              <w:spacing w:after="0"/>
              <w:rPr>
                <w:b/>
                <w:lang w:eastAsia="zh-CN"/>
              </w:rPr>
            </w:pPr>
            <w:r w:rsidRPr="004D0DAA">
              <w:rPr>
                <w:b/>
                <w:lang w:eastAsia="zh-CN"/>
              </w:rPr>
              <w:t xml:space="preserve">Enhanced Flexible Timeslot Assignment </w:t>
            </w:r>
            <w:r w:rsidRPr="004D0DAA">
              <w:rPr>
                <w:lang w:eastAsia="zh-CN"/>
              </w:rPr>
              <w:t>(1 bit field)</w:t>
            </w:r>
          </w:p>
          <w:p w14:paraId="7666E1DD" w14:textId="77777777" w:rsidR="00711444" w:rsidRPr="004D0DAA" w:rsidRDefault="00711444" w:rsidP="00AA2A4C">
            <w:pPr>
              <w:keepLines/>
              <w:rPr>
                <w:b/>
                <w:lang w:eastAsia="zh-CN"/>
              </w:rPr>
            </w:pPr>
            <w:r w:rsidRPr="004D0DAA">
              <w:rPr>
                <w:lang w:eastAsia="zh-CN"/>
              </w:rPr>
              <w:t>This field is defined in sub-clause 11.2.29.</w:t>
            </w:r>
          </w:p>
        </w:tc>
      </w:tr>
      <w:tr w:rsidR="00711444" w:rsidRPr="004D0DAA" w14:paraId="1F724925" w14:textId="77777777" w:rsidTr="00AA2A4C">
        <w:tblPrEx>
          <w:tblCellMar>
            <w:top w:w="0" w:type="dxa"/>
            <w:bottom w:w="0" w:type="dxa"/>
          </w:tblCellMar>
        </w:tblPrEx>
        <w:trPr>
          <w:cantSplit/>
        </w:trPr>
        <w:tc>
          <w:tcPr>
            <w:tcW w:w="9848" w:type="dxa"/>
          </w:tcPr>
          <w:p w14:paraId="1C74A4F4" w14:textId="77777777" w:rsidR="00711444" w:rsidRPr="004D0DAA" w:rsidRDefault="00711444" w:rsidP="00AA2A4C">
            <w:pPr>
              <w:rPr>
                <w:rFonts w:hint="eastAsia"/>
                <w:b/>
                <w:bCs/>
              </w:rPr>
            </w:pPr>
            <w:r w:rsidRPr="004D0DAA">
              <w:rPr>
                <w:rFonts w:hint="eastAsia"/>
                <w:b/>
                <w:bCs/>
              </w:rPr>
              <w:t xml:space="preserve">Measurement </w:t>
            </w:r>
            <w:r w:rsidRPr="004D0DAA">
              <w:rPr>
                <w:rFonts w:hint="eastAsia"/>
                <w:b/>
                <w:bCs/>
                <w:lang w:eastAsia="zh-CN"/>
              </w:rPr>
              <w:t xml:space="preserve">Control </w:t>
            </w:r>
            <w:r w:rsidRPr="004D0DAA">
              <w:rPr>
                <w:rFonts w:hint="eastAsia"/>
                <w:b/>
                <w:bCs/>
              </w:rPr>
              <w:t>Parameters Des</w:t>
            </w:r>
            <w:r w:rsidRPr="004D0DAA">
              <w:rPr>
                <w:rFonts w:hint="eastAsia"/>
                <w:b/>
                <w:bCs/>
                <w:lang w:eastAsia="zh-CN"/>
              </w:rPr>
              <w:t>c</w:t>
            </w:r>
            <w:r w:rsidRPr="004D0DAA">
              <w:rPr>
                <w:rFonts w:hint="eastAsia"/>
                <w:b/>
                <w:bCs/>
              </w:rPr>
              <w:t>ription</w:t>
            </w:r>
          </w:p>
          <w:p w14:paraId="41E8EA53" w14:textId="77777777" w:rsidR="00711444" w:rsidRPr="004D0DAA" w:rsidRDefault="00711444" w:rsidP="00AA2A4C">
            <w:pPr>
              <w:keepLines/>
              <w:rPr>
                <w:b/>
                <w:lang w:eastAsia="zh-CN"/>
              </w:rPr>
            </w:pPr>
            <w:r w:rsidRPr="004D0DAA">
              <w:rPr>
                <w:bCs/>
              </w:rPr>
              <w:t xml:space="preserve">This information element contains the </w:t>
            </w:r>
            <w:r w:rsidRPr="004D0DAA">
              <w:rPr>
                <w:rFonts w:hint="eastAsia"/>
                <w:bCs/>
                <w:lang w:eastAsia="zh-CN"/>
              </w:rPr>
              <w:t>Measurement control parameters per frequency</w:t>
            </w:r>
            <w:r w:rsidRPr="004D0DAA">
              <w:rPr>
                <w:bCs/>
              </w:rPr>
              <w:t xml:space="preserve"> </w:t>
            </w:r>
            <w:r w:rsidRPr="004D0DAA">
              <w:rPr>
                <w:rFonts w:hint="eastAsia"/>
                <w:bCs/>
                <w:lang w:eastAsia="zh-CN"/>
              </w:rPr>
              <w:t xml:space="preserve">for UTRAN and </w:t>
            </w:r>
            <w:r w:rsidRPr="004D0DAA">
              <w:rPr>
                <w:rFonts w:hint="eastAsia"/>
                <w:bCs/>
              </w:rPr>
              <w:t>E-UTRAN</w:t>
            </w:r>
            <w:r w:rsidRPr="004D0DAA">
              <w:rPr>
                <w:bCs/>
              </w:rPr>
              <w:t xml:space="preserve"> for the target cell. This information element is defined in sub-clause 12.</w:t>
            </w:r>
            <w:r w:rsidRPr="004D0DAA">
              <w:rPr>
                <w:rFonts w:hint="eastAsia"/>
                <w:bCs/>
              </w:rPr>
              <w:t>5</w:t>
            </w:r>
            <w:r w:rsidRPr="004D0DAA">
              <w:rPr>
                <w:rFonts w:hint="eastAsia"/>
                <w:bCs/>
                <w:lang w:eastAsia="zh-CN"/>
              </w:rPr>
              <w:t>6</w:t>
            </w:r>
            <w:r w:rsidRPr="004D0DAA">
              <w:rPr>
                <w:bCs/>
              </w:rPr>
              <w:t xml:space="preserve">. </w:t>
            </w:r>
            <w:r w:rsidRPr="004D0DAA">
              <w:t>This field shall be included only if the PS Handover to A/Gb Mode Payload structure is included.</w:t>
            </w:r>
          </w:p>
        </w:tc>
      </w:tr>
      <w:tr w:rsidR="00711444" w:rsidRPr="004D0DAA" w14:paraId="4BCD3FEE" w14:textId="77777777" w:rsidTr="00AA2A4C">
        <w:tblPrEx>
          <w:tblCellMar>
            <w:top w:w="0" w:type="dxa"/>
            <w:bottom w:w="0" w:type="dxa"/>
          </w:tblCellMar>
        </w:tblPrEx>
        <w:trPr>
          <w:cantSplit/>
          <w:trHeight w:val="113"/>
        </w:trPr>
        <w:tc>
          <w:tcPr>
            <w:tcW w:w="9848" w:type="dxa"/>
            <w:shd w:val="clear" w:color="auto" w:fill="auto"/>
          </w:tcPr>
          <w:p w14:paraId="7E6CE5DB" w14:textId="77777777" w:rsidR="00711444" w:rsidRPr="004D0DAA" w:rsidRDefault="00711444" w:rsidP="00AA2A4C">
            <w:pPr>
              <w:spacing w:after="0"/>
              <w:rPr>
                <w:bCs/>
              </w:rPr>
            </w:pPr>
            <w:r w:rsidRPr="004D0DAA">
              <w:rPr>
                <w:b/>
              </w:rPr>
              <w:t>EMST_NW_Capability</w:t>
            </w:r>
            <w:r w:rsidRPr="004D0DAA">
              <w:rPr>
                <w:bCs/>
              </w:rPr>
              <w:t xml:space="preserve"> (1 bit field)</w:t>
            </w:r>
          </w:p>
          <w:p w14:paraId="32BB0576" w14:textId="77777777" w:rsidR="00711444" w:rsidRPr="004D0DAA" w:rsidRDefault="00711444" w:rsidP="00AA2A4C">
            <w:r w:rsidRPr="004D0DAA">
              <w:t>This information element is defined in sub-clause 11.2.29.</w:t>
            </w:r>
          </w:p>
        </w:tc>
      </w:tr>
      <w:tr w:rsidR="00711444" w:rsidRPr="004D0DAA" w14:paraId="3CE89E62" w14:textId="77777777" w:rsidTr="00AA2A4C">
        <w:tblPrEx>
          <w:tblCellMar>
            <w:top w:w="0" w:type="dxa"/>
            <w:bottom w:w="0" w:type="dxa"/>
          </w:tblCellMar>
        </w:tblPrEx>
        <w:trPr>
          <w:cantSplit/>
          <w:trHeight w:val="113"/>
        </w:trPr>
        <w:tc>
          <w:tcPr>
            <w:tcW w:w="9848" w:type="dxa"/>
            <w:shd w:val="clear" w:color="auto" w:fill="auto"/>
          </w:tcPr>
          <w:p w14:paraId="1C1A72EB" w14:textId="77777777" w:rsidR="00711444" w:rsidRPr="004D0DAA" w:rsidRDefault="00711444" w:rsidP="00AA2A4C">
            <w:pPr>
              <w:spacing w:after="0"/>
              <w:rPr>
                <w:bCs/>
              </w:rPr>
            </w:pPr>
            <w:r w:rsidRPr="004D0DAA">
              <w:rPr>
                <w:b/>
              </w:rPr>
              <w:t xml:space="preserve">PFI </w:t>
            </w:r>
            <w:r w:rsidRPr="004D0DAA">
              <w:rPr>
                <w:bCs/>
              </w:rPr>
              <w:t>(7 bit field)</w:t>
            </w:r>
          </w:p>
          <w:p w14:paraId="3DB75299" w14:textId="77777777" w:rsidR="00711444" w:rsidRPr="004D0DAA" w:rsidRDefault="00711444" w:rsidP="00AA2A4C">
            <w:pPr>
              <w:rPr>
                <w:bCs/>
              </w:rPr>
            </w:pPr>
            <w:r w:rsidRPr="004D0DAA">
              <w:t>This information element is defined in sub-clause 11.2.31.</w:t>
            </w:r>
          </w:p>
        </w:tc>
      </w:tr>
      <w:tr w:rsidR="00711444" w:rsidRPr="004D0DAA" w14:paraId="5EEAA5C9" w14:textId="77777777" w:rsidTr="00AA2A4C">
        <w:tblPrEx>
          <w:tblCellMar>
            <w:top w:w="0" w:type="dxa"/>
            <w:bottom w:w="0" w:type="dxa"/>
          </w:tblCellMar>
        </w:tblPrEx>
        <w:trPr>
          <w:cantSplit/>
          <w:trHeight w:val="113"/>
        </w:trPr>
        <w:tc>
          <w:tcPr>
            <w:tcW w:w="9848" w:type="dxa"/>
            <w:shd w:val="clear" w:color="auto" w:fill="auto"/>
          </w:tcPr>
          <w:p w14:paraId="4310F788" w14:textId="77777777" w:rsidR="00711444" w:rsidRPr="004D0DAA" w:rsidRDefault="00711444" w:rsidP="00AA2A4C">
            <w:pPr>
              <w:spacing w:after="0"/>
              <w:rPr>
                <w:bCs/>
              </w:rPr>
            </w:pPr>
            <w:r w:rsidRPr="004D0DAA">
              <w:rPr>
                <w:b/>
              </w:rPr>
              <w:lastRenderedPageBreak/>
              <w:t xml:space="preserve">TFI </w:t>
            </w:r>
            <w:r w:rsidRPr="004D0DAA">
              <w:rPr>
                <w:bCs/>
              </w:rPr>
              <w:t>(5 bit field)</w:t>
            </w:r>
          </w:p>
          <w:p w14:paraId="7CF505C1" w14:textId="77777777" w:rsidR="00711444" w:rsidRPr="004D0DAA" w:rsidRDefault="00711444" w:rsidP="00AA2A4C">
            <w:pPr>
              <w:rPr>
                <w:bCs/>
              </w:rPr>
            </w:pPr>
            <w:r w:rsidRPr="004D0DAA">
              <w:t>This information element is defined in sub-clause 11.2.31.</w:t>
            </w:r>
          </w:p>
        </w:tc>
      </w:tr>
      <w:tr w:rsidR="00711444" w:rsidRPr="004D0DAA" w14:paraId="4D194067" w14:textId="77777777" w:rsidTr="00AA2A4C">
        <w:tblPrEx>
          <w:tblCellMar>
            <w:top w:w="0" w:type="dxa"/>
            <w:bottom w:w="0" w:type="dxa"/>
          </w:tblCellMar>
        </w:tblPrEx>
        <w:trPr>
          <w:cantSplit/>
          <w:trHeight w:val="113"/>
        </w:trPr>
        <w:tc>
          <w:tcPr>
            <w:tcW w:w="9848" w:type="dxa"/>
            <w:shd w:val="clear" w:color="auto" w:fill="auto"/>
          </w:tcPr>
          <w:p w14:paraId="6AE706C7" w14:textId="77777777" w:rsidR="00711444" w:rsidRPr="004D0DAA" w:rsidRDefault="00711444" w:rsidP="00AA2A4C">
            <w:pPr>
              <w:spacing w:after="0"/>
              <w:rPr>
                <w:bCs/>
              </w:rPr>
            </w:pPr>
            <w:r w:rsidRPr="004D0DAA">
              <w:rPr>
                <w:b/>
              </w:rPr>
              <w:t>RLC_MODE</w:t>
            </w:r>
            <w:r w:rsidRPr="004D0DAA">
              <w:rPr>
                <w:bCs/>
              </w:rPr>
              <w:t xml:space="preserve"> (1 bit field)</w:t>
            </w:r>
          </w:p>
          <w:p w14:paraId="3BFBFCAD" w14:textId="77777777" w:rsidR="00711444" w:rsidRPr="004D0DAA" w:rsidRDefault="00711444" w:rsidP="00AA2A4C">
            <w:pPr>
              <w:rPr>
                <w:bCs/>
              </w:rPr>
            </w:pPr>
            <w:r w:rsidRPr="004D0DAA">
              <w:t>This information element is defined in sub-clause 11.2.31.</w:t>
            </w:r>
          </w:p>
        </w:tc>
      </w:tr>
      <w:tr w:rsidR="00711444" w:rsidRPr="004D0DAA" w14:paraId="6298E790" w14:textId="77777777" w:rsidTr="00AA2A4C">
        <w:tblPrEx>
          <w:tblCellMar>
            <w:top w:w="0" w:type="dxa"/>
            <w:bottom w:w="0" w:type="dxa"/>
          </w:tblCellMar>
        </w:tblPrEx>
        <w:trPr>
          <w:cantSplit/>
          <w:trHeight w:val="113"/>
        </w:trPr>
        <w:tc>
          <w:tcPr>
            <w:tcW w:w="9848" w:type="dxa"/>
            <w:shd w:val="clear" w:color="auto" w:fill="auto"/>
          </w:tcPr>
          <w:p w14:paraId="5CC89B2A"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16F57BBE" w14:textId="77777777" w:rsidR="00711444" w:rsidRPr="004D0DAA" w:rsidRDefault="00711444" w:rsidP="00AA2A4C">
            <w:pPr>
              <w:spacing w:after="0"/>
              <w:rPr>
                <w:b/>
              </w:rPr>
            </w:pPr>
          </w:p>
        </w:tc>
      </w:tr>
      <w:tr w:rsidR="00711444" w:rsidRPr="004D0DAA" w14:paraId="70A550AF" w14:textId="77777777" w:rsidTr="00AA2A4C">
        <w:tblPrEx>
          <w:tblCellMar>
            <w:top w:w="0" w:type="dxa"/>
            <w:bottom w:w="0" w:type="dxa"/>
          </w:tblCellMar>
        </w:tblPrEx>
        <w:trPr>
          <w:cantSplit/>
          <w:trHeight w:val="113"/>
        </w:trPr>
        <w:tc>
          <w:tcPr>
            <w:tcW w:w="9848" w:type="dxa"/>
            <w:shd w:val="clear" w:color="auto" w:fill="auto"/>
          </w:tcPr>
          <w:p w14:paraId="1EF85A5A" w14:textId="77777777" w:rsidR="00711444" w:rsidRPr="004D0DAA" w:rsidRDefault="00711444" w:rsidP="00AA2A4C">
            <w:pPr>
              <w:spacing w:after="0"/>
              <w:rPr>
                <w:b/>
                <w:bCs/>
              </w:rPr>
            </w:pPr>
            <w:r w:rsidRPr="004D0DAA">
              <w:rPr>
                <w:b/>
                <w:bCs/>
              </w:rPr>
              <w:t>EMSR Additional PFCs 1</w:t>
            </w:r>
          </w:p>
          <w:p w14:paraId="38AEFCC5" w14:textId="77777777" w:rsidR="00711444" w:rsidRPr="004D0DAA" w:rsidRDefault="00711444" w:rsidP="00AA2A4C">
            <w:pPr>
              <w:spacing w:after="0"/>
              <w:rPr>
                <w:b/>
                <w:bCs/>
              </w:rPr>
            </w:pPr>
            <w:r w:rsidRPr="004D0DAA">
              <w:rPr>
                <w:b/>
                <w:bCs/>
              </w:rPr>
              <w:t>EMSR Additional PFCs 2</w:t>
            </w:r>
          </w:p>
          <w:p w14:paraId="2C23F5BF" w14:textId="77777777" w:rsidR="00711444" w:rsidRPr="004D0DAA" w:rsidRDefault="00711444" w:rsidP="00AA2A4C">
            <w:pPr>
              <w:spacing w:after="0"/>
              <w:rPr>
                <w:b/>
                <w:bCs/>
              </w:rPr>
            </w:pPr>
            <w:r w:rsidRPr="004D0DAA">
              <w:rPr>
                <w:b/>
                <w:bCs/>
              </w:rPr>
              <w:t>EMSR Additional PFCs 3</w:t>
            </w:r>
          </w:p>
          <w:p w14:paraId="7A97749A" w14:textId="77777777" w:rsidR="00711444" w:rsidRPr="004D0DAA" w:rsidRDefault="00711444" w:rsidP="00AA2A4C">
            <w:pPr>
              <w:spacing w:after="0"/>
            </w:pPr>
            <w:r w:rsidRPr="004D0DAA">
              <w:t>These IEs are defined in section 11.2.7. If the PS HANDOVER COMMAND message includes the PS Handover Radio Resources 3 IE then these information elements shall be ignored (if included).</w:t>
            </w:r>
          </w:p>
          <w:p w14:paraId="1F613E72" w14:textId="77777777" w:rsidR="00711444" w:rsidRPr="004D0DAA" w:rsidRDefault="00711444" w:rsidP="00AA2A4C">
            <w:pPr>
              <w:spacing w:after="0"/>
              <w:rPr>
                <w:b/>
                <w:iCs/>
              </w:rPr>
            </w:pPr>
          </w:p>
        </w:tc>
      </w:tr>
      <w:tr w:rsidR="00711444" w:rsidRPr="004D0DAA" w14:paraId="34232AA9" w14:textId="77777777" w:rsidTr="00AA2A4C">
        <w:tblPrEx>
          <w:tblCellMar>
            <w:top w:w="0" w:type="dxa"/>
            <w:bottom w:w="0" w:type="dxa"/>
          </w:tblCellMar>
        </w:tblPrEx>
        <w:trPr>
          <w:cantSplit/>
          <w:trHeight w:val="113"/>
        </w:trPr>
        <w:tc>
          <w:tcPr>
            <w:tcW w:w="9848" w:type="dxa"/>
            <w:shd w:val="clear" w:color="auto" w:fill="auto"/>
          </w:tcPr>
          <w:p w14:paraId="11154F66" w14:textId="77777777" w:rsidR="00711444" w:rsidRPr="004D0DAA" w:rsidRDefault="00711444" w:rsidP="00AA2A4C">
            <w:pPr>
              <w:spacing w:after="0"/>
              <w:rPr>
                <w:b/>
                <w:bCs/>
              </w:rPr>
            </w:pPr>
            <w:r w:rsidRPr="004D0DAA">
              <w:rPr>
                <w:b/>
                <w:bCs/>
              </w:rPr>
              <w:t xml:space="preserve">Selected PLMN Index </w:t>
            </w:r>
            <w:r w:rsidRPr="004D0DAA">
              <w:rPr>
                <w:bCs/>
              </w:rPr>
              <w:t>(3 bit field)</w:t>
            </w:r>
          </w:p>
          <w:p w14:paraId="7993BF69" w14:textId="77777777" w:rsidR="00711444" w:rsidRPr="004D0DAA" w:rsidRDefault="00711444" w:rsidP="00AA2A4C">
            <w:pPr>
              <w:spacing w:after="0"/>
              <w:rPr>
                <w:bCs/>
              </w:rPr>
            </w:pPr>
            <w:r w:rsidRPr="004D0DAA">
              <w:rPr>
                <w:bCs/>
              </w:rPr>
              <w:t xml:space="preserve">This field is defined in sub-clause 10.4.27 </w:t>
            </w:r>
          </w:p>
        </w:tc>
      </w:tr>
      <w:tr w:rsidR="00711444" w:rsidRPr="004D0DAA" w14:paraId="1C4582BD" w14:textId="77777777" w:rsidTr="00AA2A4C">
        <w:tblPrEx>
          <w:tblCellMar>
            <w:top w:w="0" w:type="dxa"/>
            <w:bottom w:w="0" w:type="dxa"/>
          </w:tblCellMar>
        </w:tblPrEx>
        <w:trPr>
          <w:cantSplit/>
          <w:trHeight w:val="113"/>
        </w:trPr>
        <w:tc>
          <w:tcPr>
            <w:tcW w:w="9848" w:type="dxa"/>
            <w:shd w:val="clear" w:color="auto" w:fill="auto"/>
          </w:tcPr>
          <w:p w14:paraId="442877A0" w14:textId="77777777" w:rsidR="00711444" w:rsidRPr="004D0DAA" w:rsidRDefault="00711444" w:rsidP="00AA2A4C">
            <w:pPr>
              <w:spacing w:after="0"/>
              <w:rPr>
                <w:b/>
                <w:bCs/>
              </w:rPr>
            </w:pPr>
            <w:r w:rsidRPr="004D0DAA">
              <w:rPr>
                <w:b/>
                <w:bCs/>
              </w:rPr>
              <w:t>PS Handover RR 3 Info</w:t>
            </w:r>
          </w:p>
          <w:p w14:paraId="5F8213FC" w14:textId="77777777" w:rsidR="00711444" w:rsidRPr="004D0DAA" w:rsidRDefault="00711444" w:rsidP="00AA2A4C">
            <w:pPr>
              <w:spacing w:after="0"/>
              <w:rPr>
                <w:b/>
                <w:bCs/>
              </w:rPr>
            </w:pPr>
            <w:r w:rsidRPr="004D0DAA">
              <w:rPr>
                <w:bCs/>
              </w:rPr>
              <w:t>This information is included when performing a PS handover that results in a DLMC configuration (see sub-clause 12.42b).</w:t>
            </w:r>
          </w:p>
        </w:tc>
      </w:tr>
      <w:tr w:rsidR="00711444" w:rsidRPr="004D0DAA" w14:paraId="38A5BA4B" w14:textId="77777777" w:rsidTr="00AA2A4C">
        <w:tblPrEx>
          <w:tblCellMar>
            <w:top w:w="0" w:type="dxa"/>
            <w:bottom w:w="0" w:type="dxa"/>
          </w:tblCellMar>
        </w:tblPrEx>
        <w:trPr>
          <w:cantSplit/>
          <w:trHeight w:val="113"/>
        </w:trPr>
        <w:tc>
          <w:tcPr>
            <w:tcW w:w="9848" w:type="dxa"/>
            <w:shd w:val="clear" w:color="auto" w:fill="auto"/>
          </w:tcPr>
          <w:p w14:paraId="31B55E7C" w14:textId="77777777" w:rsidR="00711444" w:rsidRPr="004D0DAA" w:rsidRDefault="00711444" w:rsidP="00AA2A4C">
            <w:pPr>
              <w:spacing w:after="0"/>
            </w:pPr>
            <w:r w:rsidRPr="004D0DAA">
              <w:rPr>
                <w:b/>
              </w:rPr>
              <w:t xml:space="preserve">Primary TSC Set </w:t>
            </w:r>
            <w:r w:rsidRPr="004D0DAA">
              <w:t>(1 bit field)</w:t>
            </w:r>
          </w:p>
          <w:p w14:paraId="15F67C03" w14:textId="77777777" w:rsidR="00711444" w:rsidRPr="004D0DAA" w:rsidRDefault="00711444" w:rsidP="00AA2A4C">
            <w:pPr>
              <w:spacing w:after="0"/>
            </w:pPr>
            <w:r w:rsidRPr="004D0DAA">
              <w:t>See sub-clause 11.2.7 and 11.2.29.</w:t>
            </w:r>
          </w:p>
          <w:p w14:paraId="2C004513" w14:textId="77777777" w:rsidR="00711444" w:rsidRPr="004D0DAA" w:rsidRDefault="00711444" w:rsidP="00AA2A4C">
            <w:pPr>
              <w:spacing w:after="0"/>
            </w:pPr>
          </w:p>
          <w:p w14:paraId="2166B668" w14:textId="77777777" w:rsidR="00711444" w:rsidRPr="004D0DAA" w:rsidRDefault="00711444" w:rsidP="00AA2A4C">
            <w:pPr>
              <w:spacing w:after="0"/>
              <w:rPr>
                <w:b/>
              </w:rPr>
            </w:pPr>
            <w:r w:rsidRPr="004D0DAA">
              <w:rPr>
                <w:b/>
              </w:rPr>
              <w:t xml:space="preserve">Secondary DL TSC Set </w:t>
            </w:r>
            <w:r w:rsidRPr="004D0DAA">
              <w:t>(1 bit field)</w:t>
            </w:r>
          </w:p>
          <w:p w14:paraId="7C7078B6" w14:textId="77777777" w:rsidR="00711444" w:rsidRPr="004D0DAA" w:rsidRDefault="00711444" w:rsidP="00AA2A4C">
            <w:pPr>
              <w:spacing w:after="0"/>
            </w:pPr>
            <w:r w:rsidRPr="004D0DAA">
              <w:t>See sub-clause 11.2.7.</w:t>
            </w:r>
          </w:p>
          <w:p w14:paraId="01D3E285" w14:textId="77777777" w:rsidR="00711444" w:rsidRPr="004D0DAA" w:rsidRDefault="00711444" w:rsidP="00AA2A4C">
            <w:pPr>
              <w:spacing w:after="0"/>
              <w:rPr>
                <w:b/>
                <w:bCs/>
              </w:rPr>
            </w:pPr>
          </w:p>
        </w:tc>
      </w:tr>
      <w:tr w:rsidR="00711444" w:rsidRPr="004D0DAA" w14:paraId="2EF1757C" w14:textId="77777777" w:rsidTr="00AA2A4C">
        <w:tblPrEx>
          <w:tblCellMar>
            <w:top w:w="0" w:type="dxa"/>
            <w:bottom w:w="0" w:type="dxa"/>
          </w:tblCellMar>
        </w:tblPrEx>
        <w:trPr>
          <w:cantSplit/>
          <w:trHeight w:val="113"/>
        </w:trPr>
        <w:tc>
          <w:tcPr>
            <w:tcW w:w="9848" w:type="dxa"/>
            <w:shd w:val="clear" w:color="auto" w:fill="auto"/>
          </w:tcPr>
          <w:p w14:paraId="48E8AF02" w14:textId="77777777" w:rsidR="00711444" w:rsidRPr="004D0DAA" w:rsidRDefault="00711444" w:rsidP="00AA2A4C">
            <w:pPr>
              <w:spacing w:after="0"/>
              <w:rPr>
                <w:b/>
              </w:rPr>
            </w:pPr>
            <w:r w:rsidRPr="004D0DAA">
              <w:rPr>
                <w:b/>
              </w:rPr>
              <w:t xml:space="preserve">Secondary DL TSC Value </w:t>
            </w:r>
            <w:r w:rsidRPr="004D0DAA">
              <w:t>(3 bit field)</w:t>
            </w:r>
          </w:p>
          <w:p w14:paraId="218EAF74" w14:textId="77777777" w:rsidR="00711444" w:rsidRPr="004D0DAA" w:rsidRDefault="00711444" w:rsidP="00AA2A4C">
            <w:pPr>
              <w:spacing w:after="0"/>
            </w:pPr>
            <w:r w:rsidRPr="004D0DAA">
              <w:t>See sub-clause 11.2.7.</w:t>
            </w:r>
          </w:p>
          <w:p w14:paraId="79EDB2CE" w14:textId="77777777" w:rsidR="00711444" w:rsidRPr="004D0DAA" w:rsidRDefault="00711444" w:rsidP="00AA2A4C">
            <w:pPr>
              <w:spacing w:after="0"/>
              <w:rPr>
                <w:b/>
              </w:rPr>
            </w:pPr>
          </w:p>
        </w:tc>
      </w:tr>
    </w:tbl>
    <w:p w14:paraId="0034D836" w14:textId="77777777" w:rsidR="00711444" w:rsidRPr="004D0DAA" w:rsidRDefault="00711444" w:rsidP="00711444"/>
    <w:p w14:paraId="06575202" w14:textId="77777777" w:rsidR="00711444" w:rsidRPr="004D0DAA" w:rsidRDefault="00711444" w:rsidP="00711444">
      <w:pPr>
        <w:pStyle w:val="Heading3"/>
        <w:ind w:left="0" w:firstLine="0"/>
      </w:pPr>
      <w:bookmarkStart w:id="734" w:name="_Toc516669910"/>
      <w:r w:rsidRPr="004D0DAA">
        <w:t>11.2.44</w:t>
      </w:r>
      <w:r w:rsidRPr="004D0DAA">
        <w:tab/>
        <w:t>PS Handover Access</w:t>
      </w:r>
      <w:bookmarkEnd w:id="734"/>
    </w:p>
    <w:p w14:paraId="5EF1C7A8" w14:textId="77777777" w:rsidR="00711444" w:rsidRPr="004D0DAA" w:rsidRDefault="00711444" w:rsidP="00711444">
      <w:r w:rsidRPr="004D0DAA">
        <w:t>This message is sent by the mobile station to the network to make the network aware that the mobile station has left the old cell and arrived in the new cell. The message is sent four times using either the 8-bit or 11-bit access burst format on the PACCH associated with an uplink TBF allocated in the PS Handover Command message as described in sub-clause 8.10.4. The mobile station shall use the format indicated by the System Information parameter ACCESS_BURST_TYPE applicable to the target cell. Each message is coded as shown in table 11.2.42.1. The order of bit transmission is defined in 3GPP TS 44.004. The numbering, assembling and field mapping conventions defined for RLC/MAC control blocks in sub-clause 10.0b shall apply.</w:t>
      </w:r>
    </w:p>
    <w:p w14:paraId="7C855154" w14:textId="77777777" w:rsidR="00711444" w:rsidRPr="004D0DAA" w:rsidRDefault="00711444" w:rsidP="00711444">
      <w:pPr>
        <w:pStyle w:val="EX"/>
        <w:ind w:left="0" w:firstLine="0"/>
      </w:pPr>
      <w:r w:rsidRPr="004D0DAA">
        <w:tab/>
        <w:t>Message type:</w:t>
      </w:r>
      <w:r w:rsidRPr="004D0DAA">
        <w:tab/>
        <w:t>PS HANDOVER ACCESS</w:t>
      </w:r>
    </w:p>
    <w:p w14:paraId="218E00A6" w14:textId="77777777" w:rsidR="00711444" w:rsidRPr="004D0DAA" w:rsidRDefault="00711444" w:rsidP="00711444">
      <w:pPr>
        <w:pStyle w:val="EX"/>
      </w:pPr>
      <w:r w:rsidRPr="004D0DAA">
        <w:t>Direction:</w:t>
      </w:r>
      <w:r w:rsidRPr="004D0DAA">
        <w:tab/>
        <w:t>mobile station to network</w:t>
      </w:r>
    </w:p>
    <w:p w14:paraId="5FBBA0F7" w14:textId="77777777" w:rsidR="00711444" w:rsidRPr="004D0DAA" w:rsidRDefault="00711444" w:rsidP="00711444">
      <w:pPr>
        <w:pStyle w:val="TH"/>
      </w:pPr>
      <w:r w:rsidRPr="004D0DAA">
        <w:t>Table 11.2.44.1: PS HANDOVER ACCESS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29A8232" w14:textId="77777777" w:rsidTr="00AA2A4C">
        <w:tblPrEx>
          <w:tblCellMar>
            <w:top w:w="0" w:type="dxa"/>
            <w:bottom w:w="0" w:type="dxa"/>
          </w:tblCellMar>
        </w:tblPrEx>
        <w:trPr>
          <w:cantSplit/>
        </w:trPr>
        <w:tc>
          <w:tcPr>
            <w:tcW w:w="9848" w:type="dxa"/>
          </w:tcPr>
          <w:p w14:paraId="3C1B1A91" w14:textId="77777777" w:rsidR="00711444" w:rsidRPr="004D0DAA" w:rsidRDefault="00711444" w:rsidP="00AA2A4C">
            <w:pPr>
              <w:pStyle w:val="TAL"/>
              <w:rPr>
                <w:lang w:eastAsia="en-US"/>
              </w:rPr>
            </w:pPr>
            <w:r w:rsidRPr="004D0DAA">
              <w:rPr>
                <w:lang w:eastAsia="en-US"/>
              </w:rPr>
              <w:t>&lt; PS Handover Access message content 8 bit message &gt; ::=</w:t>
            </w:r>
            <w:r w:rsidRPr="004D0DAA">
              <w:rPr>
                <w:lang w:eastAsia="en-US"/>
              </w:rPr>
              <w:tab/>
              <w:t>-- 8-bit access burst format</w:t>
            </w:r>
          </w:p>
          <w:p w14:paraId="76D709A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Handover Reference</w:t>
            </w:r>
            <w:r w:rsidRPr="004D0DAA">
              <w:rPr>
                <w:lang w:eastAsia="en-US"/>
              </w:rPr>
              <w:t xml:space="preserve"> : bit (8) &gt;;</w:t>
            </w:r>
          </w:p>
        </w:tc>
      </w:tr>
      <w:tr w:rsidR="00711444" w:rsidRPr="004D0DAA" w14:paraId="1DBAA706" w14:textId="77777777" w:rsidTr="00AA2A4C">
        <w:tblPrEx>
          <w:tblCellMar>
            <w:top w:w="0" w:type="dxa"/>
            <w:bottom w:w="0" w:type="dxa"/>
          </w:tblCellMar>
        </w:tblPrEx>
        <w:trPr>
          <w:cantSplit/>
        </w:trPr>
        <w:tc>
          <w:tcPr>
            <w:tcW w:w="9848" w:type="dxa"/>
          </w:tcPr>
          <w:p w14:paraId="6C817DEB" w14:textId="77777777" w:rsidR="00711444" w:rsidRPr="004D0DAA" w:rsidRDefault="00711444" w:rsidP="00AA2A4C">
            <w:pPr>
              <w:pStyle w:val="TAL"/>
              <w:rPr>
                <w:lang w:eastAsia="en-US"/>
              </w:rPr>
            </w:pPr>
            <w:r w:rsidRPr="004D0DAA">
              <w:rPr>
                <w:lang w:eastAsia="en-US"/>
              </w:rPr>
              <w:t>&lt; PS Handover Access message content 11 bit message &gt; ::=</w:t>
            </w:r>
            <w:r w:rsidRPr="004D0DAA">
              <w:rPr>
                <w:lang w:eastAsia="en-US"/>
              </w:rPr>
              <w:tab/>
              <w:t>-- 11-bit access burst format</w:t>
            </w:r>
          </w:p>
          <w:p w14:paraId="3EC8A4B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Handover Reference</w:t>
            </w:r>
            <w:r w:rsidRPr="004D0DAA">
              <w:rPr>
                <w:lang w:eastAsia="en-US"/>
              </w:rPr>
              <w:t xml:space="preserve"> : bit (8) &gt;</w:t>
            </w:r>
          </w:p>
          <w:p w14:paraId="3263121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spare</w:t>
            </w:r>
            <w:r w:rsidRPr="004D0DAA">
              <w:rPr>
                <w:lang w:eastAsia="en-US"/>
              </w:rPr>
              <w:t xml:space="preserve"> : bit (3) &gt; ;</w:t>
            </w:r>
          </w:p>
        </w:tc>
      </w:tr>
    </w:tbl>
    <w:p w14:paraId="1CA64568" w14:textId="77777777" w:rsidR="00711444" w:rsidRPr="004D0DAA" w:rsidRDefault="00711444" w:rsidP="00711444"/>
    <w:p w14:paraId="31C17169" w14:textId="77777777" w:rsidR="00711444" w:rsidRPr="004D0DAA" w:rsidRDefault="00711444" w:rsidP="00711444">
      <w:pPr>
        <w:pStyle w:val="TH"/>
      </w:pPr>
      <w:r w:rsidRPr="004D0DAA">
        <w:lastRenderedPageBreak/>
        <w:t>Table 11.2.44.2 : PS HANDOVER ACCESS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82F4E8" w14:textId="77777777" w:rsidTr="00AA2A4C">
        <w:tblPrEx>
          <w:tblCellMar>
            <w:top w:w="0" w:type="dxa"/>
            <w:bottom w:w="0" w:type="dxa"/>
          </w:tblCellMar>
        </w:tblPrEx>
        <w:trPr>
          <w:cantSplit/>
        </w:trPr>
        <w:tc>
          <w:tcPr>
            <w:tcW w:w="9848" w:type="dxa"/>
          </w:tcPr>
          <w:p w14:paraId="65289FAF" w14:textId="77777777" w:rsidR="00711444" w:rsidRPr="004D0DAA" w:rsidRDefault="00711444" w:rsidP="00AA2A4C">
            <w:pPr>
              <w:pStyle w:val="TAL"/>
              <w:rPr>
                <w:lang w:eastAsia="en-US"/>
              </w:rPr>
            </w:pPr>
            <w:r w:rsidRPr="004D0DAA">
              <w:rPr>
                <w:b/>
                <w:lang w:eastAsia="en-US"/>
              </w:rPr>
              <w:t>Handover Reference</w:t>
            </w:r>
            <w:r w:rsidRPr="004D0DAA">
              <w:rPr>
                <w:lang w:eastAsia="en-US"/>
              </w:rPr>
              <w:t xml:space="preserve"> (8 bit field)</w:t>
            </w:r>
            <w:r w:rsidRPr="004D0DAA">
              <w:rPr>
                <w:lang w:eastAsia="en-US"/>
              </w:rPr>
              <w:br/>
              <w:t>This information field identifies the mobile station in the new cell. The semantics of this field is defined in 3GPP TS 44.018.</w:t>
            </w:r>
          </w:p>
        </w:tc>
      </w:tr>
      <w:tr w:rsidR="00711444" w:rsidRPr="004D0DAA" w14:paraId="69EFBE32" w14:textId="77777777" w:rsidTr="00AA2A4C">
        <w:tblPrEx>
          <w:tblCellMar>
            <w:top w:w="0" w:type="dxa"/>
            <w:bottom w:w="0" w:type="dxa"/>
          </w:tblCellMar>
        </w:tblPrEx>
        <w:trPr>
          <w:cantSplit/>
        </w:trPr>
        <w:tc>
          <w:tcPr>
            <w:tcW w:w="9848" w:type="dxa"/>
          </w:tcPr>
          <w:p w14:paraId="54FA5D8B" w14:textId="77777777" w:rsidR="00711444" w:rsidRPr="004D0DAA" w:rsidRDefault="00711444" w:rsidP="00AA2A4C">
            <w:pPr>
              <w:pStyle w:val="TAL"/>
              <w:rPr>
                <w:lang w:eastAsia="en-US"/>
              </w:rPr>
            </w:pPr>
            <w:r w:rsidRPr="004D0DAA">
              <w:rPr>
                <w:b/>
                <w:lang w:eastAsia="en-US"/>
              </w:rPr>
              <w:t xml:space="preserve">spare </w:t>
            </w:r>
            <w:r w:rsidRPr="004D0DAA">
              <w:rPr>
                <w:bCs/>
                <w:lang w:eastAsia="en-US"/>
              </w:rPr>
              <w:t>(3 bit field)</w:t>
            </w:r>
          </w:p>
          <w:p w14:paraId="23E3819A" w14:textId="77777777" w:rsidR="00711444" w:rsidRPr="004D0DAA" w:rsidRDefault="00711444" w:rsidP="00AA2A4C">
            <w:pPr>
              <w:pStyle w:val="TAL"/>
              <w:rPr>
                <w:lang w:eastAsia="en-US"/>
              </w:rPr>
            </w:pPr>
            <w:r w:rsidRPr="004D0DAA">
              <w:rPr>
                <w:lang w:eastAsia="en-US"/>
              </w:rPr>
              <w:t>These bits are reserved for future use and shall be set to '000' in this release.</w:t>
            </w:r>
          </w:p>
        </w:tc>
      </w:tr>
    </w:tbl>
    <w:p w14:paraId="2D60686B" w14:textId="77777777" w:rsidR="00711444" w:rsidRPr="004D0DAA" w:rsidRDefault="00711444" w:rsidP="00711444">
      <w:pPr>
        <w:pStyle w:val="Heading3"/>
      </w:pPr>
      <w:bookmarkStart w:id="735" w:name="_Toc516669911"/>
      <w:r w:rsidRPr="004D0DAA">
        <w:t>11.2.45</w:t>
      </w:r>
      <w:r w:rsidRPr="004D0DAA">
        <w:tab/>
        <w:t>Packet Physical Information (</w:t>
      </w:r>
      <w:r w:rsidRPr="004D0DAA">
        <w:rPr>
          <w:i/>
          <w:iCs/>
        </w:rPr>
        <w:t>A/Gb mode only</w:t>
      </w:r>
      <w:r w:rsidRPr="004D0DAA">
        <w:t>)</w:t>
      </w:r>
      <w:bookmarkEnd w:id="735"/>
    </w:p>
    <w:p w14:paraId="6692AC0F" w14:textId="77777777" w:rsidR="00711444" w:rsidRPr="004D0DAA" w:rsidRDefault="00711444" w:rsidP="00711444">
      <w:r w:rsidRPr="004D0DAA">
        <w:t xml:space="preserve">This message is sent on PACCH by the network to the mobile station during a handover procedure as specified in sub-clause 8.10 to indicate a valid timing advance to the mobile station. </w:t>
      </w:r>
    </w:p>
    <w:p w14:paraId="23DF9777" w14:textId="77777777" w:rsidR="00711444" w:rsidRPr="004D0DAA" w:rsidRDefault="00711444" w:rsidP="00711444">
      <w:pPr>
        <w:pStyle w:val="EX"/>
      </w:pPr>
      <w:r w:rsidRPr="004D0DAA">
        <w:t>Message type:</w:t>
      </w:r>
      <w:r w:rsidRPr="004D0DAA">
        <w:tab/>
        <w:t>PACKET PHYSICAL INFORMATION</w:t>
      </w:r>
    </w:p>
    <w:p w14:paraId="53C265CE" w14:textId="77777777" w:rsidR="00711444" w:rsidRPr="004D0DAA" w:rsidRDefault="00711444" w:rsidP="00711444">
      <w:pPr>
        <w:pStyle w:val="EX"/>
      </w:pPr>
      <w:r w:rsidRPr="004D0DAA">
        <w:t>Direction:</w:t>
      </w:r>
      <w:r w:rsidRPr="004D0DAA">
        <w:tab/>
        <w:t>network to mobile station</w:t>
      </w:r>
    </w:p>
    <w:p w14:paraId="63C864CE" w14:textId="77777777" w:rsidR="00711444" w:rsidRPr="004D0DAA" w:rsidRDefault="00711444" w:rsidP="00711444">
      <w:pPr>
        <w:pStyle w:val="EX"/>
      </w:pPr>
      <w:r w:rsidRPr="004D0DAA">
        <w:t>Classification:</w:t>
      </w:r>
      <w:r w:rsidRPr="004D0DAA">
        <w:tab/>
        <w:t>non-distribution message</w:t>
      </w:r>
    </w:p>
    <w:p w14:paraId="19D00BEE" w14:textId="77777777" w:rsidR="00711444" w:rsidRPr="004D0DAA" w:rsidRDefault="00711444" w:rsidP="00711444">
      <w:pPr>
        <w:pStyle w:val="TH"/>
      </w:pPr>
      <w:r w:rsidRPr="004D0DAA">
        <w:t>Table 11.2.45.1: PACKET PHYSICAL INFORMATION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E825398" w14:textId="77777777" w:rsidTr="00AA2A4C">
        <w:tblPrEx>
          <w:tblCellMar>
            <w:top w:w="0" w:type="dxa"/>
            <w:bottom w:w="0" w:type="dxa"/>
          </w:tblCellMar>
        </w:tblPrEx>
        <w:trPr>
          <w:cantSplit/>
        </w:trPr>
        <w:tc>
          <w:tcPr>
            <w:tcW w:w="9848" w:type="dxa"/>
          </w:tcPr>
          <w:p w14:paraId="5D665BD0" w14:textId="77777777" w:rsidR="00711444" w:rsidRPr="004D0DAA" w:rsidRDefault="00711444" w:rsidP="00AA2A4C">
            <w:pPr>
              <w:pStyle w:val="TAL"/>
              <w:rPr>
                <w:lang w:eastAsia="en-US"/>
              </w:rPr>
            </w:pPr>
            <w:r w:rsidRPr="004D0DAA">
              <w:rPr>
                <w:lang w:eastAsia="en-US"/>
              </w:rPr>
              <w:t>&lt; Packet Physical information message content &gt; ::=</w:t>
            </w:r>
            <w:r w:rsidRPr="004D0DAA">
              <w:rPr>
                <w:lang w:eastAsia="en-US"/>
              </w:rPr>
              <w:tab/>
            </w:r>
            <w:r w:rsidRPr="004D0DAA">
              <w:rPr>
                <w:lang w:eastAsia="en-US"/>
              </w:rPr>
              <w:tab/>
            </w:r>
            <w:r w:rsidRPr="004D0DAA">
              <w:rPr>
                <w:iCs/>
                <w:lang w:eastAsia="en-US"/>
              </w:rPr>
              <w:t xml:space="preserve">-- </w:t>
            </w:r>
            <w:r w:rsidRPr="004D0DAA">
              <w:rPr>
                <w:i/>
                <w:lang w:eastAsia="en-US"/>
              </w:rPr>
              <w:t>RLC/MAC control block format</w:t>
            </w:r>
          </w:p>
          <w:p w14:paraId="3ADD16C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PAGE_MODE</w:t>
            </w:r>
            <w:r w:rsidRPr="004D0DAA">
              <w:rPr>
                <w:lang w:eastAsia="en-US"/>
              </w:rPr>
              <w:t xml:space="preserve"> : bit (2) &gt;</w:t>
            </w:r>
          </w:p>
          <w:p w14:paraId="4EC080F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Global TFI</w:t>
            </w:r>
            <w:r w:rsidRPr="004D0DAA">
              <w:rPr>
                <w:lang w:eastAsia="en-US"/>
              </w:rPr>
              <w:t xml:space="preserve"> : &lt; Global TFI IE &gt; &gt; </w:t>
            </w:r>
          </w:p>
          <w:p w14:paraId="4A1FD93F" w14:textId="77777777" w:rsidR="00711444" w:rsidRPr="004D0DAA" w:rsidRDefault="00711444" w:rsidP="00AA2A4C">
            <w:pPr>
              <w:pStyle w:val="TAL"/>
              <w:rPr>
                <w:lang w:eastAsia="en-US"/>
              </w:rPr>
            </w:pPr>
            <w:r w:rsidRPr="004D0DAA">
              <w:rPr>
                <w:lang w:eastAsia="en-US"/>
              </w:rPr>
              <w:t xml:space="preserve"> &lt; </w:t>
            </w:r>
            <w:r w:rsidRPr="004D0DAA">
              <w:rPr>
                <w:b/>
                <w:lang w:eastAsia="en-US"/>
              </w:rPr>
              <w:t>TIMING_ADVANCE_VALUE</w:t>
            </w:r>
            <w:r w:rsidRPr="004D0DAA">
              <w:rPr>
                <w:lang w:eastAsia="en-US"/>
              </w:rPr>
              <w:t xml:space="preserve"> : bit (8) &gt;</w:t>
            </w:r>
          </w:p>
          <w:p w14:paraId="42DE201A" w14:textId="77777777" w:rsidR="00711444" w:rsidRPr="004D0DAA" w:rsidRDefault="00711444" w:rsidP="00AA2A4C">
            <w:pPr>
              <w:pStyle w:val="TAL"/>
              <w:rPr>
                <w:lang w:eastAsia="en-US"/>
              </w:rPr>
            </w:pPr>
            <w:r w:rsidRPr="004D0DAA">
              <w:rPr>
                <w:lang w:eastAsia="en-US"/>
              </w:rPr>
              <w:tab/>
              <w:t>&lt; padding bits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lang w:eastAsia="en-US"/>
              </w:rPr>
              <w:t>truncation at end of message allowed, bits '0' assumed</w:t>
            </w:r>
            <w:r w:rsidRPr="004D0DAA">
              <w:rPr>
                <w:lang w:eastAsia="en-US"/>
              </w:rPr>
              <w:tab/>
            </w:r>
          </w:p>
        </w:tc>
      </w:tr>
    </w:tbl>
    <w:p w14:paraId="48CDD95E" w14:textId="77777777" w:rsidR="00711444" w:rsidRPr="004D0DAA" w:rsidRDefault="00711444" w:rsidP="00711444"/>
    <w:p w14:paraId="1C18BB40" w14:textId="77777777" w:rsidR="00711444" w:rsidRPr="004D0DAA" w:rsidRDefault="00711444" w:rsidP="00711444">
      <w:pPr>
        <w:pStyle w:val="TH"/>
      </w:pPr>
      <w:r w:rsidRPr="004D0DAA">
        <w:t>Table 11.2.45.2: PACKET PHYSICAL INFORMATION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B73ABC" w14:textId="77777777" w:rsidTr="00AA2A4C">
        <w:tblPrEx>
          <w:tblCellMar>
            <w:top w:w="0" w:type="dxa"/>
            <w:bottom w:w="0" w:type="dxa"/>
          </w:tblCellMar>
        </w:tblPrEx>
        <w:tc>
          <w:tcPr>
            <w:tcW w:w="9848" w:type="dxa"/>
          </w:tcPr>
          <w:p w14:paraId="7BD44064" w14:textId="77777777" w:rsidR="00711444" w:rsidRPr="004D0DAA" w:rsidRDefault="00711444" w:rsidP="00AA2A4C">
            <w:pPr>
              <w:keepNext/>
              <w:keepLines/>
              <w:rPr>
                <w:b/>
              </w:rPr>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00446E27" w14:textId="77777777" w:rsidTr="00AA2A4C">
        <w:tblPrEx>
          <w:tblCellMar>
            <w:top w:w="0" w:type="dxa"/>
            <w:bottom w:w="0" w:type="dxa"/>
          </w:tblCellMar>
        </w:tblPrEx>
        <w:tc>
          <w:tcPr>
            <w:tcW w:w="9848" w:type="dxa"/>
          </w:tcPr>
          <w:p w14:paraId="48550242" w14:textId="77777777" w:rsidR="00711444" w:rsidRPr="004D0DAA" w:rsidRDefault="00711444" w:rsidP="00AA2A4C">
            <w:pPr>
              <w:keepNext/>
              <w:keepLines/>
              <w:rPr>
                <w:b/>
              </w:rPr>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 xml:space="preserve">sub-clause 12.10. </w:t>
            </w:r>
          </w:p>
        </w:tc>
      </w:tr>
      <w:tr w:rsidR="00711444" w:rsidRPr="004D0DAA" w14:paraId="007F9115" w14:textId="77777777" w:rsidTr="00AA2A4C">
        <w:tblPrEx>
          <w:tblCellMar>
            <w:top w:w="0" w:type="dxa"/>
            <w:bottom w:w="0" w:type="dxa"/>
          </w:tblCellMar>
        </w:tblPrEx>
        <w:tc>
          <w:tcPr>
            <w:tcW w:w="9848" w:type="dxa"/>
          </w:tcPr>
          <w:p w14:paraId="5C428F47" w14:textId="77777777" w:rsidR="00711444" w:rsidRPr="004D0DAA" w:rsidRDefault="00711444" w:rsidP="00AA2A4C">
            <w:pPr>
              <w:keepNext/>
              <w:keepLines/>
              <w:rPr>
                <w:b/>
              </w:rPr>
            </w:pPr>
            <w:r w:rsidRPr="004D0DAA">
              <w:rPr>
                <w:b/>
              </w:rPr>
              <w:t xml:space="preserve">TIMING_ADVANCE_VALUE </w:t>
            </w:r>
            <w:r w:rsidRPr="004D0DAA">
              <w:rPr>
                <w:bCs/>
              </w:rPr>
              <w:t>(8 bit field)</w:t>
            </w:r>
            <w:r w:rsidRPr="004D0DAA">
              <w:br/>
              <w:t>This field is coded as the timing advance value field defined in 3GPP TS 44.018.</w:t>
            </w:r>
          </w:p>
        </w:tc>
      </w:tr>
    </w:tbl>
    <w:p w14:paraId="38ED7EEA" w14:textId="77777777" w:rsidR="00711444" w:rsidRPr="004D0DAA" w:rsidRDefault="00711444" w:rsidP="00711444"/>
    <w:p w14:paraId="0A2A97E7" w14:textId="77777777" w:rsidR="00711444" w:rsidRPr="004D0DAA" w:rsidRDefault="00711444" w:rsidP="00711444">
      <w:pPr>
        <w:pStyle w:val="Heading3"/>
        <w:tabs>
          <w:tab w:val="left" w:pos="11520"/>
        </w:tabs>
        <w:ind w:left="1440" w:hanging="1440"/>
      </w:pPr>
      <w:bookmarkStart w:id="736" w:name="_Toc516669912"/>
      <w:r w:rsidRPr="004D0DAA">
        <w:t>11.2.46</w:t>
      </w:r>
      <w:r w:rsidRPr="004D0DAA">
        <w:tab/>
        <w:t>DTM Handover Command</w:t>
      </w:r>
      <w:bookmarkEnd w:id="736"/>
    </w:p>
    <w:p w14:paraId="1F121D09" w14:textId="77777777" w:rsidR="00711444" w:rsidRPr="004D0DAA" w:rsidRDefault="00711444" w:rsidP="00711444">
      <w:pPr>
        <w:tabs>
          <w:tab w:val="left" w:pos="10170"/>
        </w:tabs>
        <w:ind w:right="1"/>
      </w:pPr>
      <w:r w:rsidRPr="004D0DAA">
        <w:t>This message is sent on the PACCH by the network to the mobile station in dual transfer mode to command the mobile station to leave the current cell and change to a new cell. This message may be sent using Extended RLC/MAC control segmentation (see sub-clause 9.1.12a). The combined length of the IEs included in the DTM HANDOVER COMMAND message shall not exceed 175 octets.</w:t>
      </w:r>
    </w:p>
    <w:p w14:paraId="14F0AAE1" w14:textId="77777777" w:rsidR="00711444" w:rsidRPr="004D0DAA" w:rsidRDefault="00711444" w:rsidP="00711444">
      <w:r w:rsidRPr="004D0DAA">
        <w:t xml:space="preserve">If the network allocates PS resources on a single carrier where those resources are not required to support any of the features EGPRS2, Fast Ack/Nack Reporting or RTTI configurations, then the network shall include the DTM Handover PS Radio Resources IE in the DTM HANDOVER COMMAND message. Otherwise, the network shall include the DTM Handover PS Radio Resources 2 IE </w:t>
      </w:r>
      <w:r w:rsidRPr="004D0DAA">
        <w:rPr>
          <w:rFonts w:hint="eastAsia"/>
          <w:lang w:eastAsia="zh-CN"/>
        </w:rPr>
        <w:t xml:space="preserve">or </w:t>
      </w:r>
      <w:r w:rsidRPr="004D0DAA">
        <w:t xml:space="preserve">DTM Handover PS Radio Resources </w:t>
      </w:r>
      <w:r w:rsidRPr="004D0DAA">
        <w:rPr>
          <w:rFonts w:hint="eastAsia"/>
          <w:lang w:eastAsia="zh-CN"/>
        </w:rPr>
        <w:t>3</w:t>
      </w:r>
      <w:r w:rsidRPr="004D0DAA">
        <w:t xml:space="preserve"> IE in the DTM HANDOVER COMMAND message.</w:t>
      </w:r>
    </w:p>
    <w:p w14:paraId="6FD82D96" w14:textId="77777777" w:rsidR="00711444" w:rsidRPr="004D0DAA" w:rsidRDefault="00711444" w:rsidP="00711444">
      <w:pPr>
        <w:pStyle w:val="EX"/>
        <w:tabs>
          <w:tab w:val="left" w:pos="11520"/>
        </w:tabs>
        <w:ind w:right="1"/>
      </w:pPr>
      <w:r w:rsidRPr="004D0DAA">
        <w:t>Message type:</w:t>
      </w:r>
      <w:r w:rsidRPr="004D0DAA">
        <w:tab/>
        <w:t>DTM HANDOVER COMMAND</w:t>
      </w:r>
    </w:p>
    <w:p w14:paraId="5359C801" w14:textId="77777777" w:rsidR="00711444" w:rsidRPr="004D0DAA" w:rsidRDefault="00711444" w:rsidP="00711444">
      <w:pPr>
        <w:pStyle w:val="EX"/>
        <w:tabs>
          <w:tab w:val="left" w:pos="11520"/>
        </w:tabs>
        <w:ind w:right="1"/>
      </w:pPr>
      <w:r w:rsidRPr="004D0DAA">
        <w:t>Direction:</w:t>
      </w:r>
      <w:r w:rsidRPr="004D0DAA">
        <w:tab/>
        <w:t>network to mobile station</w:t>
      </w:r>
    </w:p>
    <w:p w14:paraId="365AB996" w14:textId="77777777" w:rsidR="00711444" w:rsidRPr="004D0DAA" w:rsidRDefault="00711444" w:rsidP="00711444">
      <w:pPr>
        <w:pStyle w:val="EX"/>
        <w:tabs>
          <w:tab w:val="left" w:pos="11520"/>
        </w:tabs>
        <w:ind w:right="1"/>
      </w:pPr>
      <w:r w:rsidRPr="004D0DAA">
        <w:t>Classification:</w:t>
      </w:r>
      <w:r w:rsidRPr="004D0DAA">
        <w:tab/>
        <w:t>non-distribution message</w:t>
      </w:r>
    </w:p>
    <w:p w14:paraId="518E868F" w14:textId="77777777" w:rsidR="00711444" w:rsidRPr="004D0DAA" w:rsidRDefault="00711444" w:rsidP="00711444">
      <w:pPr>
        <w:pStyle w:val="TH"/>
      </w:pPr>
      <w:r w:rsidRPr="004D0DAA">
        <w:lastRenderedPageBreak/>
        <w:t>Table 11.2.46.1: DTM HANDOVER COMMAND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7EAA4BC" w14:textId="77777777" w:rsidTr="00AA2A4C">
        <w:tblPrEx>
          <w:tblCellMar>
            <w:top w:w="0" w:type="dxa"/>
            <w:bottom w:w="0" w:type="dxa"/>
          </w:tblCellMar>
        </w:tblPrEx>
        <w:trPr>
          <w:cantSplit/>
        </w:trPr>
        <w:tc>
          <w:tcPr>
            <w:tcW w:w="9848" w:type="dxa"/>
          </w:tcPr>
          <w:p w14:paraId="63CCF855"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&lt; DTM Handover Command message content &gt; ::=</w:t>
            </w:r>
          </w:p>
          <w:p w14:paraId="495FD3A8"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 xml:space="preserve">&lt; </w:t>
            </w:r>
            <w:r w:rsidRPr="004D0DAA">
              <w:rPr>
                <w:rFonts w:ascii="Arial" w:hAnsi="Arial"/>
                <w:b/>
                <w:sz w:val="18"/>
                <w:lang w:val="fr-FR"/>
              </w:rPr>
              <w:t>PAGE_MODE</w:t>
            </w:r>
            <w:r w:rsidRPr="004D0DAA">
              <w:rPr>
                <w:rFonts w:ascii="Arial" w:hAnsi="Arial"/>
                <w:sz w:val="18"/>
                <w:lang w:val="fr-FR"/>
              </w:rPr>
              <w:t xml:space="preserve"> : bit (2) &gt;</w:t>
            </w:r>
          </w:p>
          <w:p w14:paraId="7C47BAC1"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rPr>
              <w:t>{</w:t>
            </w:r>
            <w:r w:rsidRPr="004D0DAA">
              <w:rPr>
                <w:rFonts w:ascii="Arial" w:hAnsi="Arial"/>
                <w:sz w:val="18"/>
              </w:rPr>
              <w:tab/>
              <w:t xml:space="preserve">0 &lt; </w:t>
            </w:r>
            <w:r w:rsidRPr="004D0DAA">
              <w:rPr>
                <w:rFonts w:ascii="Arial" w:hAnsi="Arial"/>
                <w:b/>
                <w:sz w:val="18"/>
              </w:rPr>
              <w:t>Global TFI</w:t>
            </w:r>
            <w:r w:rsidRPr="004D0DAA">
              <w:rPr>
                <w:rFonts w:ascii="Arial" w:hAnsi="Arial"/>
                <w:sz w:val="18"/>
              </w:rPr>
              <w:t xml:space="preserve"> : &lt; Global TFI IE &gt; &gt;</w:t>
            </w:r>
          </w:p>
          <w:p w14:paraId="66D47F7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w:t>
            </w:r>
            <w:r w:rsidRPr="004D0DAA">
              <w:rPr>
                <w:rFonts w:ascii="Arial" w:hAnsi="Arial"/>
                <w:sz w:val="18"/>
              </w:rPr>
              <w:tab/>
            </w:r>
            <w:r w:rsidRPr="004D0DAA">
              <w:rPr>
                <w:rFonts w:ascii="Arial" w:hAnsi="Arial"/>
                <w:i/>
                <w:sz w:val="18"/>
              </w:rPr>
              <w:t>-- Non-distribution part</w:t>
            </w:r>
          </w:p>
          <w:p w14:paraId="0129D95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 00 &lt; </w:t>
            </w:r>
            <w:r w:rsidRPr="004D0DAA">
              <w:rPr>
                <w:rFonts w:ascii="Arial" w:hAnsi="Arial"/>
                <w:b/>
                <w:bCs/>
                <w:sz w:val="18"/>
              </w:rPr>
              <w:t xml:space="preserve">DTM Handover to A/Gb Mode Payload </w:t>
            </w:r>
            <w:r w:rsidRPr="004D0DAA">
              <w:rPr>
                <w:rFonts w:ascii="Arial" w:hAnsi="Arial"/>
                <w:sz w:val="18"/>
              </w:rPr>
              <w:t>:</w:t>
            </w:r>
          </w:p>
          <w:p w14:paraId="3D827B9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&lt; DTM Handover to A/Gb mode Payload description struct &gt; &gt;</w:t>
            </w:r>
          </w:p>
          <w:p w14:paraId="51CB820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 01 &lt; </w:t>
            </w:r>
            <w:r w:rsidRPr="004D0DAA">
              <w:rPr>
                <w:rFonts w:ascii="Arial" w:hAnsi="Arial"/>
                <w:b/>
                <w:bCs/>
                <w:sz w:val="18"/>
              </w:rPr>
              <w:t xml:space="preserve">DTM Handover to UTRAN Payload </w:t>
            </w:r>
            <w:r w:rsidRPr="004D0DAA">
              <w:rPr>
                <w:rFonts w:ascii="Arial" w:hAnsi="Arial"/>
                <w:sz w:val="18"/>
              </w:rPr>
              <w:t xml:space="preserve">: &lt; RRC Container IE &gt; &gt; </w:t>
            </w:r>
          </w:p>
          <w:p w14:paraId="0747503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xml:space="preserve">! &lt; Message escape : { 10 | 11} bit (*) = &lt; no string &gt; &gt; } -- </w:t>
            </w:r>
            <w:r w:rsidRPr="004D0DAA">
              <w:rPr>
                <w:rFonts w:ascii="Arial" w:hAnsi="Arial"/>
                <w:i/>
                <w:sz w:val="18"/>
              </w:rPr>
              <w:t>Extended for future changes</w:t>
            </w:r>
          </w:p>
          <w:p w14:paraId="55DDC88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padding bits &gt;</w:t>
            </w:r>
          </w:p>
          <w:p w14:paraId="38633F8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&lt; Non-distribution part error : bit (*) = &lt; no string &gt; &gt; }</w:t>
            </w:r>
          </w:p>
          <w:p w14:paraId="528A1A3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&lt; Address information part error : bit (*) = &lt; no string &gt; &gt; }</w:t>
            </w:r>
          </w:p>
          <w:p w14:paraId="171D15A3" w14:textId="77777777" w:rsidR="00711444" w:rsidRPr="004D0DAA" w:rsidRDefault="00711444" w:rsidP="00AA2A4C">
            <w:pPr>
              <w:keepNext/>
              <w:keepLines/>
              <w:spacing w:after="0"/>
              <w:rPr>
                <w:rFonts w:ascii="Arial" w:hAnsi="Arial"/>
                <w:sz w:val="18"/>
              </w:rPr>
            </w:pPr>
            <w:r w:rsidRPr="004D0DAA">
              <w:rPr>
                <w:rFonts w:ascii="Arial" w:hAnsi="Arial"/>
                <w:sz w:val="18"/>
              </w:rPr>
              <w:tab/>
              <w:t>! &lt; Non-distribution part error : bit (*) = &lt; no string &gt; &gt; ;</w:t>
            </w:r>
          </w:p>
          <w:p w14:paraId="51D3DDA3" w14:textId="77777777" w:rsidR="00711444" w:rsidRPr="004D0DAA" w:rsidRDefault="00711444" w:rsidP="00AA2A4C">
            <w:pPr>
              <w:pStyle w:val="TAL"/>
              <w:rPr>
                <w:lang w:eastAsia="en-US"/>
              </w:rPr>
            </w:pPr>
          </w:p>
        </w:tc>
      </w:tr>
      <w:tr w:rsidR="00711444" w:rsidRPr="004D0DAA" w14:paraId="19E525F8" w14:textId="77777777" w:rsidTr="00AA2A4C">
        <w:tblPrEx>
          <w:tblCellMar>
            <w:top w:w="0" w:type="dxa"/>
            <w:bottom w:w="0" w:type="dxa"/>
          </w:tblCellMar>
        </w:tblPrEx>
        <w:trPr>
          <w:cantSplit/>
        </w:trPr>
        <w:tc>
          <w:tcPr>
            <w:tcW w:w="9848" w:type="dxa"/>
          </w:tcPr>
          <w:p w14:paraId="0FBE9711" w14:textId="77777777" w:rsidR="00711444" w:rsidRPr="004D0DAA" w:rsidRDefault="00711444" w:rsidP="00AA2A4C">
            <w:pPr>
              <w:pStyle w:val="TAL"/>
              <w:rPr>
                <w:lang w:eastAsia="en-US"/>
              </w:rPr>
            </w:pPr>
            <w:r w:rsidRPr="004D0DAA">
              <w:rPr>
                <w:lang w:eastAsia="en-US"/>
              </w:rPr>
              <w:t>&lt; DTM Handover to A/Gb mode Payload description struct &gt; ::=</w:t>
            </w:r>
          </w:p>
          <w:p w14:paraId="1DB627B1" w14:textId="77777777" w:rsidR="00711444" w:rsidRPr="004D0DAA" w:rsidRDefault="00711444" w:rsidP="00AA2A4C">
            <w:pPr>
              <w:pStyle w:val="TAL"/>
              <w:rPr>
                <w:lang w:eastAsia="en-US"/>
              </w:rPr>
            </w:pPr>
            <w:r w:rsidRPr="004D0DAA">
              <w:rPr>
                <w:lang w:eastAsia="en-US"/>
              </w:rPr>
              <w:tab/>
              <w:t>&lt; DTM Handover CS RR Info: &lt; DTM Handover CS Radio Resources IE &gt; &gt;</w:t>
            </w:r>
          </w:p>
          <w:p w14:paraId="701D73D6" w14:textId="77777777" w:rsidR="00711444" w:rsidRPr="004D0DAA" w:rsidRDefault="00711444" w:rsidP="00AA2A4C">
            <w:pPr>
              <w:pStyle w:val="TAL"/>
              <w:rPr>
                <w:lang w:eastAsia="en-US"/>
              </w:rPr>
            </w:pPr>
            <w:r w:rsidRPr="004D0DAA">
              <w:rPr>
                <w:lang w:eastAsia="en-US"/>
              </w:rPr>
              <w:tab/>
              <w:t>{ 00 &lt; DTM Handover PS RR Info: &lt; DTM Handover PS Radio Resources IE &gt; &gt;</w:t>
            </w:r>
          </w:p>
          <w:p w14:paraId="34F1BDF9" w14:textId="77777777" w:rsidR="00711444" w:rsidRPr="004D0DAA" w:rsidRDefault="00711444" w:rsidP="00AA2A4C">
            <w:pPr>
              <w:pStyle w:val="TAL"/>
              <w:rPr>
                <w:lang w:eastAsia="en-US"/>
              </w:rPr>
            </w:pPr>
            <w:r w:rsidRPr="004D0DAA">
              <w:rPr>
                <w:lang w:eastAsia="en-US"/>
              </w:rPr>
              <w:tab/>
              <w:t xml:space="preserve">| 01 &lt; DTM Handover PS RR 2 Info : &lt; DTM Handover PS Radio Resources 2 IE &gt; &gt; </w:t>
            </w:r>
          </w:p>
          <w:p w14:paraId="3911BC38" w14:textId="77777777" w:rsidR="00711444" w:rsidRPr="004D0DAA" w:rsidRDefault="00711444" w:rsidP="00AA2A4C">
            <w:pPr>
              <w:keepNext/>
              <w:keepLines/>
              <w:spacing w:after="0"/>
              <w:rPr>
                <w:rFonts w:ascii="Arial" w:hAnsi="Arial" w:hint="eastAsia"/>
                <w:sz w:val="18"/>
                <w:lang w:eastAsia="zh-CN"/>
              </w:rPr>
            </w:pPr>
            <w:r w:rsidRPr="004D0DAA">
              <w:rPr>
                <w:rFonts w:ascii="Arial" w:hAnsi="Arial"/>
                <w:sz w:val="18"/>
              </w:rPr>
              <w:tab/>
              <w:t xml:space="preserve">| </w:t>
            </w:r>
            <w:r w:rsidRPr="004D0DAA">
              <w:rPr>
                <w:rFonts w:ascii="Arial" w:hAnsi="Arial" w:hint="eastAsia"/>
                <w:sz w:val="18"/>
                <w:lang w:eastAsia="zh-CN"/>
              </w:rPr>
              <w:t>10</w:t>
            </w:r>
            <w:r w:rsidRPr="004D0DAA">
              <w:rPr>
                <w:rFonts w:ascii="Arial" w:hAnsi="Arial"/>
                <w:sz w:val="18"/>
              </w:rPr>
              <w:t xml:space="preserve"> &lt; DTM Handover PS RR </w:t>
            </w:r>
            <w:r w:rsidRPr="004D0DAA">
              <w:rPr>
                <w:rFonts w:ascii="Arial" w:hAnsi="Arial" w:hint="eastAsia"/>
                <w:sz w:val="18"/>
                <w:lang w:eastAsia="zh-CN"/>
              </w:rPr>
              <w:t>3</w:t>
            </w:r>
            <w:r w:rsidRPr="004D0DAA">
              <w:rPr>
                <w:rFonts w:ascii="Arial" w:hAnsi="Arial"/>
                <w:sz w:val="18"/>
              </w:rPr>
              <w:t xml:space="preserve"> Info : &lt; DTM Handover PS Radio Resources </w:t>
            </w:r>
            <w:r w:rsidRPr="004D0DAA">
              <w:rPr>
                <w:rFonts w:ascii="Arial" w:hAnsi="Arial" w:hint="eastAsia"/>
                <w:sz w:val="18"/>
                <w:lang w:eastAsia="zh-CN"/>
              </w:rPr>
              <w:t>3</w:t>
            </w:r>
            <w:r w:rsidRPr="004D0DAA">
              <w:rPr>
                <w:rFonts w:ascii="Arial" w:hAnsi="Arial"/>
                <w:sz w:val="18"/>
              </w:rPr>
              <w:t xml:space="preserve"> IE &gt; &gt;</w:t>
            </w:r>
          </w:p>
          <w:p w14:paraId="786E841C" w14:textId="77777777" w:rsidR="00711444" w:rsidRPr="004D0DAA" w:rsidRDefault="00711444" w:rsidP="00AA2A4C">
            <w:pPr>
              <w:pStyle w:val="TAL"/>
              <w:rPr>
                <w:lang w:eastAsia="en-US"/>
              </w:rPr>
            </w:pPr>
            <w:r w:rsidRPr="004D0DAA">
              <w:rPr>
                <w:lang w:eastAsia="en-US"/>
              </w:rPr>
              <w:tab/>
              <w:t xml:space="preserve">! &lt; Message escape : { 11 } bit (*) = &lt;no string &gt; &gt; } </w:t>
            </w:r>
            <w:r w:rsidRPr="004D0DAA">
              <w:rPr>
                <w:lang w:eastAsia="en-US"/>
              </w:rPr>
              <w:tab/>
              <w:t xml:space="preserve"> -- </w:t>
            </w:r>
            <w:r w:rsidRPr="004D0DAA">
              <w:rPr>
                <w:i/>
                <w:iCs/>
                <w:lang w:eastAsia="en-US"/>
              </w:rPr>
              <w:t>reserved for future use</w:t>
            </w:r>
          </w:p>
          <w:p w14:paraId="42CF2939" w14:textId="77777777" w:rsidR="00711444" w:rsidRPr="004D0DAA" w:rsidRDefault="00711444" w:rsidP="00AA2A4C">
            <w:pPr>
              <w:pStyle w:val="TAL"/>
              <w:rPr>
                <w:lang w:eastAsia="en-US"/>
              </w:rPr>
            </w:pPr>
            <w:r w:rsidRPr="004D0DAA">
              <w:rPr>
                <w:lang w:eastAsia="en-US"/>
              </w:rPr>
              <w:tab/>
              <w:t>{ 0 | 1 &lt; NAS Container for PS Handover IE &gt; };</w:t>
            </w:r>
          </w:p>
          <w:p w14:paraId="206D3DB6" w14:textId="77777777" w:rsidR="00711444" w:rsidRPr="004D0DAA" w:rsidRDefault="00711444" w:rsidP="00AA2A4C">
            <w:pPr>
              <w:pStyle w:val="TAL"/>
              <w:rPr>
                <w:lang w:eastAsia="en-US"/>
              </w:rPr>
            </w:pPr>
          </w:p>
        </w:tc>
      </w:tr>
    </w:tbl>
    <w:p w14:paraId="06EE4D13" w14:textId="77777777" w:rsidR="00711444" w:rsidRPr="004D0DAA" w:rsidRDefault="00711444" w:rsidP="00711444"/>
    <w:p w14:paraId="7F0F8B4B" w14:textId="77777777" w:rsidR="00711444" w:rsidRPr="004D0DAA" w:rsidRDefault="00711444" w:rsidP="00711444">
      <w:pPr>
        <w:pStyle w:val="TH"/>
      </w:pPr>
      <w:r w:rsidRPr="004D0DAA">
        <w:t>Table 11.2.46.2: DTM HANDOVER COMMAND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E969078" w14:textId="77777777" w:rsidTr="00AA2A4C">
        <w:tblPrEx>
          <w:tblCellMar>
            <w:top w:w="0" w:type="dxa"/>
            <w:bottom w:w="0" w:type="dxa"/>
          </w:tblCellMar>
        </w:tblPrEx>
        <w:trPr>
          <w:cantSplit/>
        </w:trPr>
        <w:tc>
          <w:tcPr>
            <w:tcW w:w="9848" w:type="dxa"/>
          </w:tcPr>
          <w:p w14:paraId="125FC1B2" w14:textId="77777777" w:rsidR="00711444" w:rsidRPr="004D0DAA" w:rsidRDefault="00711444" w:rsidP="00AA2A4C">
            <w:pPr>
              <w:keepLines/>
              <w:tabs>
                <w:tab w:val="left" w:pos="11520"/>
              </w:tabs>
            </w:pPr>
            <w:r w:rsidRPr="004D0DAA">
              <w:rPr>
                <w:b/>
              </w:rPr>
              <w:t>PAGE_MODE</w:t>
            </w:r>
            <w:r w:rsidRPr="004D0DAA">
              <w:t xml:space="preserve"> (2 bit field)</w:t>
            </w:r>
            <w:r w:rsidRPr="004D0DAA">
              <w:br/>
              <w:t>This field is defined in</w:t>
            </w:r>
            <w:r w:rsidRPr="004D0DAA">
              <w:rPr>
                <w:i/>
              </w:rPr>
              <w:t xml:space="preserve"> </w:t>
            </w:r>
            <w:r w:rsidRPr="004D0DAA">
              <w:t>sub-clause 12.20.</w:t>
            </w:r>
          </w:p>
        </w:tc>
      </w:tr>
      <w:tr w:rsidR="00711444" w:rsidRPr="004D0DAA" w14:paraId="093319EF" w14:textId="77777777" w:rsidTr="00AA2A4C">
        <w:tblPrEx>
          <w:tblCellMar>
            <w:top w:w="0" w:type="dxa"/>
            <w:bottom w:w="0" w:type="dxa"/>
          </w:tblCellMar>
        </w:tblPrEx>
        <w:trPr>
          <w:cantSplit/>
        </w:trPr>
        <w:tc>
          <w:tcPr>
            <w:tcW w:w="9848" w:type="dxa"/>
          </w:tcPr>
          <w:p w14:paraId="71313E62" w14:textId="77777777" w:rsidR="00711444" w:rsidRPr="004D0DAA" w:rsidRDefault="00711444" w:rsidP="00AA2A4C">
            <w:pPr>
              <w:keepLines/>
              <w:tabs>
                <w:tab w:val="left" w:pos="11520"/>
              </w:tabs>
              <w:rPr>
                <w:b/>
              </w:rPr>
            </w:pPr>
            <w:r w:rsidRPr="004D0DAA">
              <w:rPr>
                <w:b/>
              </w:rPr>
              <w:t>Global TFI</w:t>
            </w:r>
            <w:r w:rsidRPr="004D0DAA">
              <w:br/>
              <w:t>This information element contains the TFI of the mobile station's downlink TBF or uplink TBF. This field is defined in</w:t>
            </w:r>
            <w:r w:rsidRPr="004D0DAA">
              <w:rPr>
                <w:i/>
              </w:rPr>
              <w:t xml:space="preserve"> </w:t>
            </w:r>
            <w:r w:rsidRPr="004D0DAA">
              <w:t>sub-clause 12.10.</w:t>
            </w:r>
          </w:p>
        </w:tc>
      </w:tr>
      <w:tr w:rsidR="00711444" w:rsidRPr="004D0DAA" w14:paraId="4A25E229" w14:textId="77777777" w:rsidTr="00AA2A4C">
        <w:tblPrEx>
          <w:tblCellMar>
            <w:top w:w="0" w:type="dxa"/>
            <w:bottom w:w="0" w:type="dxa"/>
          </w:tblCellMar>
        </w:tblPrEx>
        <w:trPr>
          <w:cantSplit/>
        </w:trPr>
        <w:tc>
          <w:tcPr>
            <w:tcW w:w="9848" w:type="dxa"/>
          </w:tcPr>
          <w:p w14:paraId="0876A1B2" w14:textId="77777777" w:rsidR="00711444" w:rsidRPr="004D0DAA" w:rsidRDefault="00711444" w:rsidP="00AA2A4C">
            <w:pPr>
              <w:keepLines/>
              <w:tabs>
                <w:tab w:val="left" w:pos="11520"/>
              </w:tabs>
            </w:pPr>
            <w:r w:rsidRPr="004D0DAA">
              <w:rPr>
                <w:b/>
                <w:bCs/>
              </w:rPr>
              <w:t>DTM Handover CS Radio Resources</w:t>
            </w:r>
            <w:r w:rsidRPr="004D0DAA">
              <w:rPr>
                <w:b/>
                <w:bCs/>
              </w:rPr>
              <w:br/>
            </w:r>
            <w:r w:rsidRPr="004D0DAA">
              <w:t xml:space="preserve">This information element contains the CS information needed by the mobile station when performing DTM Handover to </w:t>
            </w:r>
            <w:r w:rsidRPr="004D0DAA">
              <w:rPr>
                <w:i/>
                <w:iCs/>
              </w:rPr>
              <w:t>A/Gb mode</w:t>
            </w:r>
            <w:r w:rsidRPr="004D0DAA">
              <w:t xml:space="preserve"> and is defined in sub-clause 12.47. If a mobile station supports extended TSC sets (see 3GPP TS 45.002 [32]) then TSC related information applicable to the PS domain identified by the </w:t>
            </w:r>
            <w:r w:rsidRPr="004D0DAA">
              <w:rPr>
                <w:bCs/>
                <w:i/>
              </w:rPr>
              <w:t>DTM Handover PS RR Info</w:t>
            </w:r>
            <w:r w:rsidRPr="004D0DAA">
              <w:t xml:space="preserve"> IE, the </w:t>
            </w:r>
            <w:r w:rsidRPr="004D0DAA">
              <w:rPr>
                <w:bCs/>
                <w:i/>
                <w:u w:val="single"/>
              </w:rPr>
              <w:t>DTM Handover PS RR 2 Info</w:t>
            </w:r>
            <w:r w:rsidRPr="004D0DAA">
              <w:t xml:space="preserve"> IE or the </w:t>
            </w:r>
            <w:r w:rsidRPr="004D0DAA">
              <w:rPr>
                <w:bCs/>
                <w:i/>
              </w:rPr>
              <w:t xml:space="preserve">DTM Handover PS RR </w:t>
            </w:r>
            <w:r w:rsidRPr="004D0DAA">
              <w:rPr>
                <w:rFonts w:hint="eastAsia"/>
                <w:bCs/>
                <w:i/>
                <w:lang w:eastAsia="zh-CN"/>
              </w:rPr>
              <w:t>3</w:t>
            </w:r>
            <w:r w:rsidRPr="004D0DAA">
              <w:rPr>
                <w:bCs/>
                <w:i/>
              </w:rPr>
              <w:t xml:space="preserve"> Info</w:t>
            </w:r>
            <w:r w:rsidRPr="004D0DAA">
              <w:t xml:space="preserve"> IE shall take precedence over TSC related information applicable to the PS domain provided by this IE. </w:t>
            </w:r>
          </w:p>
        </w:tc>
      </w:tr>
      <w:tr w:rsidR="00711444" w:rsidRPr="004D0DAA" w14:paraId="101C78D1" w14:textId="77777777" w:rsidTr="00AA2A4C">
        <w:tblPrEx>
          <w:tblCellMar>
            <w:top w:w="0" w:type="dxa"/>
            <w:bottom w:w="0" w:type="dxa"/>
          </w:tblCellMar>
        </w:tblPrEx>
        <w:trPr>
          <w:cantSplit/>
        </w:trPr>
        <w:tc>
          <w:tcPr>
            <w:tcW w:w="9848" w:type="dxa"/>
          </w:tcPr>
          <w:p w14:paraId="2A621716" w14:textId="77777777" w:rsidR="00711444" w:rsidRPr="004D0DAA" w:rsidRDefault="00711444" w:rsidP="00AA2A4C">
            <w:pPr>
              <w:keepLines/>
              <w:tabs>
                <w:tab w:val="left" w:pos="11520"/>
              </w:tabs>
            </w:pPr>
            <w:r w:rsidRPr="004D0DAA">
              <w:rPr>
                <w:b/>
                <w:bCs/>
              </w:rPr>
              <w:t>DTM Handover PS RR Info</w:t>
            </w:r>
            <w:r w:rsidRPr="004D0DAA">
              <w:rPr>
                <w:b/>
                <w:bCs/>
              </w:rPr>
              <w:br/>
            </w:r>
            <w:r w:rsidRPr="004D0DAA">
              <w:t xml:space="preserve">This information element contains the PS information needed by the mobile station when performing DTM Handover to </w:t>
            </w:r>
            <w:r w:rsidRPr="004D0DAA">
              <w:rPr>
                <w:i/>
                <w:iCs/>
              </w:rPr>
              <w:t>A/Gb mode</w:t>
            </w:r>
            <w:r w:rsidRPr="004D0DAA">
              <w:t xml:space="preserve"> and is defined in sub-clause 12.46. If a mobile station supports extended TSC sets (see 3GPP TS 45.002 [32]) then this IE can be used to identify TSC related information applicable to the PS domain.</w:t>
            </w:r>
          </w:p>
        </w:tc>
      </w:tr>
      <w:tr w:rsidR="00711444" w:rsidRPr="004D0DAA" w14:paraId="37CFB2D0" w14:textId="77777777" w:rsidTr="00AA2A4C">
        <w:tblPrEx>
          <w:tblCellMar>
            <w:top w:w="0" w:type="dxa"/>
            <w:bottom w:w="0" w:type="dxa"/>
          </w:tblCellMar>
        </w:tblPrEx>
        <w:trPr>
          <w:cantSplit/>
        </w:trPr>
        <w:tc>
          <w:tcPr>
            <w:tcW w:w="9848" w:type="dxa"/>
          </w:tcPr>
          <w:p w14:paraId="2F53AAE4" w14:textId="77777777" w:rsidR="00711444" w:rsidRPr="004D0DAA" w:rsidRDefault="00711444" w:rsidP="00AA2A4C">
            <w:pPr>
              <w:keepLines/>
              <w:tabs>
                <w:tab w:val="left" w:pos="11520"/>
              </w:tabs>
              <w:rPr>
                <w:b/>
                <w:bCs/>
              </w:rPr>
            </w:pPr>
            <w:r w:rsidRPr="004D0DAA">
              <w:rPr>
                <w:b/>
                <w:bCs/>
              </w:rPr>
              <w:t>DTM Handover PS RR 2 Info</w:t>
            </w:r>
            <w:r w:rsidRPr="004D0DAA">
              <w:rPr>
                <w:b/>
                <w:bCs/>
              </w:rPr>
              <w:br/>
            </w:r>
            <w:r w:rsidRPr="004D0DAA">
              <w:t xml:space="preserve">This information element contains the PS information needed by the mobile station when performing DTM Handover to </w:t>
            </w:r>
            <w:r w:rsidRPr="004D0DAA">
              <w:rPr>
                <w:i/>
                <w:iCs/>
              </w:rPr>
              <w:t xml:space="preserve">A/Gb mode </w:t>
            </w:r>
            <w:r w:rsidRPr="004D0DAA">
              <w:t>when downlink PS resources are assigned on two carriers or requires the support of EGPRS2, Fast Ack/Nack Reporting or RTTI configurations, and is defined in sub-clause 12.48. If a mobile station supports extended TSC sets (see 3GPP TS 45.002 [32]) then this IE can be used to identify TSC related information applicable to the PS domain.</w:t>
            </w:r>
          </w:p>
        </w:tc>
      </w:tr>
      <w:tr w:rsidR="00711444" w:rsidRPr="004D0DAA" w14:paraId="77552B1B" w14:textId="77777777" w:rsidTr="00AA2A4C">
        <w:tblPrEx>
          <w:tblCellMar>
            <w:top w:w="0" w:type="dxa"/>
            <w:bottom w:w="0" w:type="dxa"/>
          </w:tblCellMar>
        </w:tblPrEx>
        <w:trPr>
          <w:cantSplit/>
        </w:trPr>
        <w:tc>
          <w:tcPr>
            <w:tcW w:w="9848" w:type="dxa"/>
          </w:tcPr>
          <w:p w14:paraId="360BA211" w14:textId="77777777" w:rsidR="00711444" w:rsidRPr="004D0DAA" w:rsidRDefault="00711444" w:rsidP="00AA2A4C">
            <w:pPr>
              <w:keepLines/>
              <w:tabs>
                <w:tab w:val="left" w:pos="11520"/>
              </w:tabs>
              <w:rPr>
                <w:rFonts w:hint="eastAsia"/>
                <w:lang w:eastAsia="zh-CN"/>
              </w:rPr>
            </w:pPr>
            <w:r w:rsidRPr="004D0DAA">
              <w:rPr>
                <w:b/>
                <w:bCs/>
              </w:rPr>
              <w:t xml:space="preserve">DTM Handover PS RR </w:t>
            </w:r>
            <w:r w:rsidRPr="004D0DAA">
              <w:rPr>
                <w:rFonts w:hint="eastAsia"/>
                <w:b/>
                <w:bCs/>
                <w:lang w:eastAsia="zh-CN"/>
              </w:rPr>
              <w:t>3</w:t>
            </w:r>
            <w:r w:rsidRPr="004D0DAA">
              <w:rPr>
                <w:b/>
                <w:bCs/>
              </w:rPr>
              <w:t xml:space="preserve"> Info</w:t>
            </w:r>
            <w:r w:rsidRPr="004D0DAA">
              <w:rPr>
                <w:b/>
                <w:bCs/>
              </w:rPr>
              <w:br/>
            </w:r>
            <w:r w:rsidRPr="004D0DAA">
              <w:t xml:space="preserve">This information element contains the PS information needed by the mobile station and can </w:t>
            </w:r>
            <w:r w:rsidRPr="004D0DAA">
              <w:rPr>
                <w:rFonts w:hint="eastAsia"/>
                <w:lang w:eastAsia="zh-CN"/>
              </w:rPr>
              <w:t xml:space="preserve">only </w:t>
            </w:r>
            <w:r w:rsidRPr="004D0DAA">
              <w:rPr>
                <w:lang w:eastAsia="zh-CN"/>
              </w:rPr>
              <w:t xml:space="preserve">be used </w:t>
            </w:r>
            <w:r w:rsidRPr="004D0DAA">
              <w:t xml:space="preserve">when </w:t>
            </w:r>
            <w:r w:rsidRPr="004D0DAA">
              <w:rPr>
                <w:rFonts w:hint="eastAsia"/>
                <w:lang w:eastAsia="zh-CN"/>
              </w:rPr>
              <w:t xml:space="preserve">EMSR </w:t>
            </w:r>
            <w:r w:rsidRPr="004D0DAA">
              <w:t xml:space="preserve">or extended TSC sets (see 3GPP TS 45.002 [32]) </w:t>
            </w:r>
            <w:r w:rsidRPr="004D0DAA">
              <w:rPr>
                <w:rFonts w:hint="eastAsia"/>
                <w:lang w:eastAsia="zh-CN"/>
              </w:rPr>
              <w:t>is supported by the mobile station</w:t>
            </w:r>
            <w:r w:rsidRPr="004D0DAA">
              <w:rPr>
                <w:lang w:eastAsia="zh-CN"/>
              </w:rPr>
              <w:t>.</w:t>
            </w:r>
            <w:r w:rsidRPr="004D0DAA">
              <w:t xml:space="preserve"> This information element is defined in sub-clause 12.</w:t>
            </w:r>
            <w:r w:rsidRPr="004D0DAA">
              <w:rPr>
                <w:rFonts w:hint="eastAsia"/>
                <w:lang w:eastAsia="zh-CN"/>
              </w:rPr>
              <w:t>64</w:t>
            </w:r>
            <w:r w:rsidRPr="004D0DAA">
              <w:t>. If a mobile station supports extended TSC sets (see 3GPP TS 45.002 [32]) then this IE can be used to identify TSC related information applicable to the PS domain.</w:t>
            </w:r>
          </w:p>
        </w:tc>
      </w:tr>
      <w:tr w:rsidR="00711444" w:rsidRPr="004D0DAA" w14:paraId="20455C99" w14:textId="77777777" w:rsidTr="00AA2A4C">
        <w:tblPrEx>
          <w:tblCellMar>
            <w:top w:w="0" w:type="dxa"/>
            <w:bottom w:w="0" w:type="dxa"/>
          </w:tblCellMar>
        </w:tblPrEx>
        <w:trPr>
          <w:cantSplit/>
        </w:trPr>
        <w:tc>
          <w:tcPr>
            <w:tcW w:w="9848" w:type="dxa"/>
          </w:tcPr>
          <w:p w14:paraId="1963AF36" w14:textId="77777777" w:rsidR="00711444" w:rsidRPr="004D0DAA" w:rsidRDefault="00711444" w:rsidP="00AA2A4C">
            <w:pPr>
              <w:keepLines/>
              <w:tabs>
                <w:tab w:val="left" w:pos="11520"/>
              </w:tabs>
            </w:pPr>
            <w:r w:rsidRPr="004D0DAA">
              <w:rPr>
                <w:b/>
                <w:bCs/>
              </w:rPr>
              <w:t>NAS Container for PS Handover</w:t>
            </w:r>
            <w:r w:rsidRPr="004D0DAA">
              <w:rPr>
                <w:b/>
                <w:bCs/>
              </w:rPr>
              <w:br/>
            </w:r>
            <w:r w:rsidRPr="004D0DAA">
              <w:t xml:space="preserve">This information element contains the NAS information needed by the mobile station when performing DTM Handover to </w:t>
            </w:r>
            <w:r w:rsidRPr="004D0DAA">
              <w:rPr>
                <w:i/>
                <w:iCs/>
              </w:rPr>
              <w:t>A/Gb mode</w:t>
            </w:r>
            <w:r w:rsidRPr="004D0DAA">
              <w:t xml:space="preserve"> and is defined in sub-clause 12.43.</w:t>
            </w:r>
          </w:p>
        </w:tc>
      </w:tr>
      <w:tr w:rsidR="00711444" w:rsidRPr="004D0DAA" w14:paraId="712ADFE7" w14:textId="77777777" w:rsidTr="00AA2A4C">
        <w:tblPrEx>
          <w:tblCellMar>
            <w:top w:w="0" w:type="dxa"/>
            <w:bottom w:w="0" w:type="dxa"/>
          </w:tblCellMar>
        </w:tblPrEx>
        <w:trPr>
          <w:cantSplit/>
        </w:trPr>
        <w:tc>
          <w:tcPr>
            <w:tcW w:w="9848" w:type="dxa"/>
          </w:tcPr>
          <w:p w14:paraId="1FFE12FB" w14:textId="77777777" w:rsidR="00711444" w:rsidRPr="004D0DAA" w:rsidRDefault="00711444" w:rsidP="00AA2A4C">
            <w:pPr>
              <w:keepLines/>
              <w:tabs>
                <w:tab w:val="left" w:pos="11520"/>
              </w:tabs>
            </w:pPr>
            <w:r w:rsidRPr="004D0DAA">
              <w:rPr>
                <w:b/>
                <w:bCs/>
              </w:rPr>
              <w:lastRenderedPageBreak/>
              <w:t>DTM Handover to UTRAN Payload</w:t>
            </w:r>
            <w:r w:rsidRPr="004D0DAA">
              <w:rPr>
                <w:b/>
                <w:bCs/>
              </w:rPr>
              <w:br/>
            </w:r>
            <w:r w:rsidRPr="004D0DAA">
              <w:t xml:space="preserve">This information element contains a HANDOVER TO UTRAN COMMAND message (as defined in 3GPP TS 25.331) containing the information needed by the mobile station when performing DTM Handover to UTRAN. This information element is defined in sub-clause 12.45b. </w:t>
            </w:r>
          </w:p>
        </w:tc>
      </w:tr>
    </w:tbl>
    <w:p w14:paraId="14DC8E04" w14:textId="77777777" w:rsidR="00711444" w:rsidRPr="004D0DAA" w:rsidRDefault="00711444" w:rsidP="00711444"/>
    <w:p w14:paraId="6C40F4E9" w14:textId="77777777" w:rsidR="00711444" w:rsidRPr="004D0DAA" w:rsidRDefault="00711444" w:rsidP="00711444">
      <w:pPr>
        <w:pStyle w:val="Heading3"/>
      </w:pPr>
      <w:bookmarkStart w:id="737" w:name="_Toc516669913"/>
      <w:r w:rsidRPr="004D0DAA">
        <w:t>11.2.47</w:t>
      </w:r>
      <w:r w:rsidRPr="004D0DAA">
        <w:tab/>
        <w:t>Packet Application Information</w:t>
      </w:r>
      <w:bookmarkEnd w:id="737"/>
    </w:p>
    <w:p w14:paraId="13007719" w14:textId="77777777" w:rsidR="00711444" w:rsidRPr="004D0DAA" w:rsidRDefault="00711444" w:rsidP="00711444">
      <w:r w:rsidRPr="004D0DAA">
        <w:t>This message is sent on the PACCH by the network to convey an embedded Application, e.g. an ETWS Primary Notification message (see 3GPP TS 23.041), between the network and the mobile station(s). This message may be segmented across more than two RLC/MAC control blocks by using extended RLC/MAC control message segmentation.</w:t>
      </w:r>
    </w:p>
    <w:p w14:paraId="13E5B5A7" w14:textId="77777777" w:rsidR="00711444" w:rsidRPr="004D0DAA" w:rsidRDefault="00711444" w:rsidP="00711444">
      <w:pPr>
        <w:pStyle w:val="EX"/>
      </w:pPr>
      <w:r w:rsidRPr="004D0DAA">
        <w:t>Message type:</w:t>
      </w:r>
      <w:r w:rsidRPr="004D0DAA">
        <w:tab/>
        <w:t>PACKET APPLICATION INFORMATION</w:t>
      </w:r>
    </w:p>
    <w:p w14:paraId="6E768AA7" w14:textId="77777777" w:rsidR="00711444" w:rsidRPr="004D0DAA" w:rsidRDefault="00711444" w:rsidP="00711444">
      <w:pPr>
        <w:pStyle w:val="EX"/>
      </w:pPr>
      <w:r w:rsidRPr="004D0DAA">
        <w:t>Direction:</w:t>
      </w:r>
      <w:r w:rsidRPr="004D0DAA">
        <w:tab/>
        <w:t>network to mobile station</w:t>
      </w:r>
    </w:p>
    <w:p w14:paraId="54B21158" w14:textId="77777777" w:rsidR="00711444" w:rsidRPr="004D0DAA" w:rsidRDefault="00711444" w:rsidP="00711444">
      <w:pPr>
        <w:pStyle w:val="EX"/>
      </w:pPr>
      <w:r w:rsidRPr="004D0DAA">
        <w:t>Classification:</w:t>
      </w:r>
      <w:r w:rsidRPr="004D0DAA">
        <w:tab/>
        <w:t>distribution message</w:t>
      </w:r>
    </w:p>
    <w:p w14:paraId="4E502D5E" w14:textId="77777777" w:rsidR="00711444" w:rsidRPr="004D0DAA" w:rsidRDefault="00711444" w:rsidP="00711444">
      <w:pPr>
        <w:pStyle w:val="TH"/>
      </w:pPr>
      <w:r w:rsidRPr="004D0DAA">
        <w:t>Table 11.2.47.1: PACKET APPLICATION INFORMATION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AD84872" w14:textId="77777777" w:rsidTr="00AA2A4C">
        <w:tblPrEx>
          <w:tblCellMar>
            <w:top w:w="0" w:type="dxa"/>
            <w:bottom w:w="0" w:type="dxa"/>
          </w:tblCellMar>
        </w:tblPrEx>
        <w:trPr>
          <w:cantSplit/>
        </w:trPr>
        <w:tc>
          <w:tcPr>
            <w:tcW w:w="9848" w:type="dxa"/>
          </w:tcPr>
          <w:p w14:paraId="74E9452A" w14:textId="77777777" w:rsidR="00711444" w:rsidRPr="004D0DAA" w:rsidRDefault="00711444" w:rsidP="00AA2A4C">
            <w:pPr>
              <w:pStyle w:val="TAL"/>
              <w:rPr>
                <w:lang w:val="fr-FR" w:eastAsia="en-US"/>
              </w:rPr>
            </w:pPr>
            <w:r w:rsidRPr="004D0DAA">
              <w:rPr>
                <w:lang w:val="fr-FR" w:eastAsia="en-US"/>
              </w:rPr>
              <w:t>&lt; Packet Application Information message content &gt; ::=</w:t>
            </w:r>
          </w:p>
          <w:p w14:paraId="340F4A2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PAGE_MODE</w:t>
            </w:r>
            <w:r w:rsidRPr="004D0DAA">
              <w:rPr>
                <w:lang w:val="fr-FR" w:eastAsia="en-US"/>
              </w:rPr>
              <w:t xml:space="preserve"> : bit (2) &gt;</w:t>
            </w:r>
          </w:p>
          <w:p w14:paraId="499D8C2B" w14:textId="77777777" w:rsidR="00711444" w:rsidRPr="004D0DAA" w:rsidRDefault="00711444" w:rsidP="00AA2A4C">
            <w:pPr>
              <w:pStyle w:val="TAL"/>
              <w:rPr>
                <w:lang w:eastAsia="en-US"/>
              </w:rPr>
            </w:pPr>
            <w:r w:rsidRPr="004D0DAA">
              <w:rPr>
                <w:lang w:val="fr-FR" w:eastAsia="en-US"/>
              </w:rPr>
              <w:tab/>
            </w:r>
            <w:r w:rsidRPr="004D0DAA">
              <w:rPr>
                <w:lang w:eastAsia="en-US"/>
              </w:rPr>
              <w:t>{</w:t>
            </w:r>
            <w:r w:rsidRPr="004D0DAA">
              <w:rPr>
                <w:lang w:eastAsia="en-US"/>
              </w:rPr>
              <w:tab/>
              <w:t xml:space="preserve">&lt; </w:t>
            </w:r>
            <w:r w:rsidRPr="004D0DAA">
              <w:rPr>
                <w:b/>
                <w:bCs/>
                <w:lang w:eastAsia="en-US"/>
              </w:rPr>
              <w:t xml:space="preserve">Application Type </w:t>
            </w:r>
            <w:r w:rsidRPr="004D0DAA">
              <w:rPr>
                <w:lang w:eastAsia="en-US"/>
              </w:rPr>
              <w:t>: bit (4) &gt;</w:t>
            </w:r>
            <w:r w:rsidRPr="004D0DAA">
              <w:rPr>
                <w:lang w:eastAsia="en-US"/>
              </w:rPr>
              <w:tab/>
            </w:r>
            <w:r w:rsidRPr="004D0DAA">
              <w:rPr>
                <w:i/>
                <w:iCs/>
                <w:lang w:eastAsia="en-US"/>
              </w:rPr>
              <w:t>-- type of Application</w:t>
            </w:r>
          </w:p>
          <w:p w14:paraId="3C17361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Application Data</w:t>
            </w:r>
            <w:r w:rsidRPr="004D0DAA">
              <w:rPr>
                <w:lang w:eastAsia="en-US"/>
              </w:rPr>
              <w:t xml:space="preserve"> : octet ** &gt;</w:t>
            </w:r>
          </w:p>
          <w:p w14:paraId="61823252"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5AD14F33"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46600CFD" w14:textId="77777777" w:rsidR="00711444" w:rsidRPr="004D0DAA" w:rsidRDefault="00711444" w:rsidP="00711444">
      <w:pPr>
        <w:rPr>
          <w:sz w:val="24"/>
          <w:szCs w:val="24"/>
        </w:rPr>
      </w:pPr>
    </w:p>
    <w:p w14:paraId="6DDF1C00" w14:textId="77777777" w:rsidR="00711444" w:rsidRPr="004D0DAA" w:rsidRDefault="00711444" w:rsidP="00711444">
      <w:pPr>
        <w:pStyle w:val="TH"/>
      </w:pPr>
      <w:r w:rsidRPr="004D0DAA">
        <w:t>Table 11.2.47.2: PACKET APPLICATION INFORMATION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9633"/>
      </w:tblGrid>
      <w:tr w:rsidR="00711444" w:rsidRPr="004D0DAA" w14:paraId="3AF48C17" w14:textId="77777777" w:rsidTr="00AA2A4C">
        <w:trPr>
          <w:cantSplit/>
        </w:trPr>
        <w:tc>
          <w:tcPr>
            <w:tcW w:w="9855" w:type="dxa"/>
          </w:tcPr>
          <w:p w14:paraId="234220E4" w14:textId="77777777" w:rsidR="00711444" w:rsidRPr="004D0DAA" w:rsidRDefault="00711444" w:rsidP="00AA2A4C">
            <w:r w:rsidRPr="004D0DAA">
              <w:rPr>
                <w:b/>
              </w:rPr>
              <w:t>PAGE_MODE</w:t>
            </w:r>
            <w:r w:rsidRPr="004D0DAA">
              <w:t xml:space="preserve"> (2 bit field)</w:t>
            </w:r>
            <w:r w:rsidRPr="004D0DAA">
              <w:br/>
              <w:t>This field is defined in</w:t>
            </w:r>
            <w:r w:rsidRPr="004D0DAA">
              <w:rPr>
                <w:i/>
              </w:rPr>
              <w:t xml:space="preserve"> </w:t>
            </w:r>
            <w:r w:rsidRPr="004D0DAA">
              <w:rPr>
                <w:iCs/>
              </w:rPr>
              <w:t>sub-clause</w:t>
            </w:r>
            <w:r w:rsidRPr="004D0DAA">
              <w:t xml:space="preserve"> 12.20.</w:t>
            </w:r>
          </w:p>
        </w:tc>
      </w:tr>
      <w:tr w:rsidR="00711444" w:rsidRPr="004D0DAA" w14:paraId="20C4486F" w14:textId="77777777" w:rsidTr="00AA2A4C">
        <w:trPr>
          <w:cantSplit/>
        </w:trPr>
        <w:tc>
          <w:tcPr>
            <w:tcW w:w="9855" w:type="dxa"/>
          </w:tcPr>
          <w:p w14:paraId="52AF3036" w14:textId="77777777" w:rsidR="00711444" w:rsidRPr="004D0DAA" w:rsidRDefault="00711444" w:rsidP="00AA2A4C">
            <w:r w:rsidRPr="004D0DAA">
              <w:rPr>
                <w:b/>
              </w:rPr>
              <w:t>Application Type</w:t>
            </w:r>
            <w:r w:rsidRPr="004D0DAA">
              <w:t xml:space="preserve"> (4 bit field)</w:t>
            </w:r>
            <w:r w:rsidRPr="004D0DAA">
              <w:br/>
              <w:t>This field identifies the particular protocol and associated application for the Application data.</w:t>
            </w:r>
          </w:p>
          <w:p w14:paraId="25D96A00" w14:textId="77777777" w:rsidR="00711444" w:rsidRPr="004D0DAA" w:rsidRDefault="00711444" w:rsidP="00AA2A4C">
            <w:r w:rsidRPr="004D0DAA">
              <w:t>Bit</w:t>
            </w:r>
            <w:r w:rsidRPr="004D0DAA">
              <w:br/>
              <w:t>4 3 2 1</w:t>
            </w:r>
            <w:r w:rsidRPr="004D0DAA">
              <w:br/>
              <w:t>0 0 0 0</w:t>
            </w:r>
            <w:r w:rsidRPr="004D0DAA">
              <w:tab/>
            </w:r>
            <w:r w:rsidRPr="004D0DAA">
              <w:tab/>
              <w:t>ETWS (3GPP TS 23.041)</w:t>
            </w:r>
            <w:r w:rsidRPr="004D0DAA">
              <w:br/>
              <w:t>0 0 0 1</w:t>
            </w:r>
            <w:r w:rsidRPr="004D0DAA">
              <w:tab/>
            </w:r>
            <w:r w:rsidRPr="004D0DAA">
              <w:tab/>
              <w:t>reserved for future use</w:t>
            </w:r>
            <w:r w:rsidRPr="004D0DAA">
              <w:br/>
              <w:t>to</w:t>
            </w:r>
            <w:r w:rsidRPr="004D0DAA">
              <w:br/>
              <w:t>1 1 1 1</w:t>
            </w:r>
            <w:r w:rsidRPr="004D0DAA">
              <w:tab/>
            </w:r>
            <w:r w:rsidRPr="004D0DAA">
              <w:tab/>
              <w:t>reserved for future use</w:t>
            </w:r>
          </w:p>
        </w:tc>
      </w:tr>
      <w:tr w:rsidR="00711444" w:rsidRPr="004D0DAA" w14:paraId="51C2DA48" w14:textId="77777777" w:rsidTr="00AA2A4C">
        <w:trPr>
          <w:cantSplit/>
        </w:trPr>
        <w:tc>
          <w:tcPr>
            <w:tcW w:w="9855" w:type="dxa"/>
          </w:tcPr>
          <w:p w14:paraId="251B9A46" w14:textId="77777777" w:rsidR="00711444" w:rsidRPr="004D0DAA" w:rsidRDefault="00711444" w:rsidP="00AA2A4C">
            <w:r w:rsidRPr="004D0DAA">
              <w:rPr>
                <w:b/>
                <w:bCs/>
              </w:rPr>
              <w:t>Application Data</w:t>
            </w:r>
            <w:r w:rsidRPr="004D0DAA">
              <w:rPr>
                <w:b/>
              </w:rPr>
              <w:t xml:space="preserve"> </w:t>
            </w:r>
            <w:r w:rsidRPr="004D0DAA">
              <w:t>(n*8 bits)</w:t>
            </w:r>
            <w:r w:rsidRPr="004D0DAA">
              <w:br/>
              <w:t>The Application Data contains the data of following Application Types:</w:t>
            </w:r>
          </w:p>
          <w:p w14:paraId="2EFA4201" w14:textId="77777777" w:rsidR="00711444" w:rsidRPr="004D0DAA" w:rsidRDefault="00711444" w:rsidP="00AA2A4C">
            <w:pPr>
              <w:rPr>
                <w:b/>
              </w:rPr>
            </w:pPr>
            <w:r w:rsidRPr="004D0DAA">
              <w:t>ETWS</w:t>
            </w:r>
            <w:r w:rsidRPr="004D0DAA">
              <w:tab/>
            </w:r>
            <w:r w:rsidRPr="004D0DAA">
              <w:tab/>
              <w:t xml:space="preserve">The ETWS data forms the actual ETWS Primary Notification message. The ETWS Primary </w:t>
            </w:r>
            <w:r w:rsidRPr="004D0DAA">
              <w:tab/>
            </w:r>
            <w:r w:rsidRPr="004D0DAA">
              <w:tab/>
            </w:r>
            <w:r w:rsidRPr="004D0DAA">
              <w:tab/>
            </w:r>
            <w:r w:rsidRPr="004D0DAA">
              <w:tab/>
            </w:r>
            <w:r w:rsidRPr="004D0DAA">
              <w:tab/>
            </w:r>
            <w:r w:rsidRPr="004D0DAA">
              <w:tab/>
            </w:r>
            <w:r w:rsidRPr="004D0DAA">
              <w:tab/>
              <w:t>Notification data is coded as specified in 3GPP TS 23.041.</w:t>
            </w:r>
          </w:p>
        </w:tc>
      </w:tr>
    </w:tbl>
    <w:p w14:paraId="3B3CE5A8" w14:textId="77777777" w:rsidR="00711444" w:rsidRPr="004D0DAA" w:rsidRDefault="00711444" w:rsidP="00711444"/>
    <w:p w14:paraId="2A432E48" w14:textId="77777777" w:rsidR="00711444" w:rsidRPr="004D0DAA" w:rsidRDefault="00711444" w:rsidP="00711444">
      <w:pPr>
        <w:pStyle w:val="Heading3"/>
      </w:pPr>
      <w:bookmarkStart w:id="738" w:name="_Toc516669914"/>
      <w:r w:rsidRPr="004D0DAA">
        <w:t>11.2.48</w:t>
      </w:r>
      <w:r w:rsidRPr="004D0DAA">
        <w:tab/>
        <w:t>EGPRS Packet Downlink Ack/Nack DLMC</w:t>
      </w:r>
      <w:bookmarkEnd w:id="738"/>
    </w:p>
    <w:p w14:paraId="6E53483C" w14:textId="77777777" w:rsidR="00711444" w:rsidRPr="004D0DAA" w:rsidRDefault="00711444" w:rsidP="00711444">
      <w:r w:rsidRPr="004D0DAA">
        <w:t>This message is sent on the PACCH from the mobile station to the network to indicate the status of downlink RLC data blocks received and to report the channel quality of the downlink for a DLMC configuration.</w:t>
      </w:r>
    </w:p>
    <w:p w14:paraId="0C071BF6" w14:textId="77777777" w:rsidR="00711444" w:rsidRPr="004D0DAA" w:rsidRDefault="00711444" w:rsidP="00711444">
      <w:pPr>
        <w:pStyle w:val="EX"/>
      </w:pPr>
      <w:r w:rsidRPr="004D0DAA">
        <w:t>Message type:</w:t>
      </w:r>
      <w:r w:rsidRPr="004D0DAA">
        <w:tab/>
        <w:t>EGPRS Packet Downlink Ack/Nack DLMC</w:t>
      </w:r>
    </w:p>
    <w:p w14:paraId="07C87115" w14:textId="77777777" w:rsidR="00711444" w:rsidRPr="004D0DAA" w:rsidRDefault="00711444" w:rsidP="00711444">
      <w:pPr>
        <w:pStyle w:val="EX"/>
      </w:pPr>
      <w:r w:rsidRPr="004D0DAA">
        <w:t>Direction:</w:t>
      </w:r>
      <w:r w:rsidRPr="004D0DAA">
        <w:tab/>
        <w:t>mobile station to network</w:t>
      </w:r>
    </w:p>
    <w:p w14:paraId="2FA6D566" w14:textId="77777777" w:rsidR="00711444" w:rsidRPr="004D0DAA" w:rsidRDefault="00711444" w:rsidP="00711444">
      <w:pPr>
        <w:pStyle w:val="TH"/>
      </w:pPr>
      <w:r w:rsidRPr="004D0DAA">
        <w:lastRenderedPageBreak/>
        <w:t xml:space="preserve">Table 11.2.48.1: EGPRS </w:t>
      </w:r>
      <w:r w:rsidRPr="004D0DAA">
        <w:rPr>
          <w:caps/>
        </w:rPr>
        <w:t>Packet Downlink Ack/Nack</w:t>
      </w:r>
      <w:r w:rsidRPr="004D0DAA">
        <w:t xml:space="preserve"> DLMC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BE34E6B" w14:textId="77777777" w:rsidTr="00AA2A4C">
        <w:tblPrEx>
          <w:tblCellMar>
            <w:top w:w="0" w:type="dxa"/>
            <w:bottom w:w="0" w:type="dxa"/>
          </w:tblCellMar>
        </w:tblPrEx>
        <w:trPr>
          <w:cantSplit/>
        </w:trPr>
        <w:tc>
          <w:tcPr>
            <w:tcW w:w="9848" w:type="dxa"/>
          </w:tcPr>
          <w:p w14:paraId="2E556852" w14:textId="77777777" w:rsidR="00711444" w:rsidRPr="004D0DAA" w:rsidRDefault="00711444" w:rsidP="00AA2A4C">
            <w:pPr>
              <w:pStyle w:val="TAL"/>
              <w:rPr>
                <w:lang w:eastAsia="en-US"/>
              </w:rPr>
            </w:pPr>
            <w:r w:rsidRPr="004D0DAA">
              <w:rPr>
                <w:lang w:eastAsia="en-US"/>
              </w:rPr>
              <w:t>&lt; EGPRS Packet Downlink Ack/Nack DLMC message content &gt; ::=</w:t>
            </w:r>
          </w:p>
          <w:p w14:paraId="1D8FE975"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DOWNLINK_TFI </w:t>
            </w:r>
            <w:r w:rsidRPr="004D0DAA">
              <w:rPr>
                <w:lang w:eastAsia="en-US"/>
              </w:rPr>
              <w:t>: bit (5) &gt;</w:t>
            </w:r>
          </w:p>
          <w:p w14:paraId="34FBF4E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DOWNLINK_eTFI </w:t>
            </w:r>
            <w:r w:rsidRPr="004D0DAA">
              <w:rPr>
                <w:lang w:eastAsia="en-US"/>
              </w:rPr>
              <w:t>: bit (3) &gt;</w:t>
            </w:r>
          </w:p>
          <w:p w14:paraId="40EF6C7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 OUT OF MEMORY</w:t>
            </w:r>
            <w:r w:rsidRPr="004D0DAA">
              <w:rPr>
                <w:lang w:eastAsia="en-US"/>
              </w:rPr>
              <w:t xml:space="preserve"> : bit(1)&gt;</w:t>
            </w:r>
          </w:p>
          <w:p w14:paraId="3C2087DD" w14:textId="77777777" w:rsidR="00711444" w:rsidRPr="004D0DAA" w:rsidRDefault="00711444" w:rsidP="00AA2A4C">
            <w:pPr>
              <w:pStyle w:val="TAL"/>
              <w:rPr>
                <w:lang w:eastAsia="en-US"/>
              </w:rPr>
            </w:pPr>
            <w:r w:rsidRPr="004D0DAA">
              <w:rPr>
                <w:lang w:eastAsia="en-US"/>
              </w:rPr>
              <w:tab/>
            </w:r>
            <w:r w:rsidRPr="004D0DAA">
              <w:rPr>
                <w:lang w:eastAsia="en-US"/>
              </w:rPr>
              <w:tab/>
              <w:t>{ 0 | 1  &lt;</w:t>
            </w:r>
            <w:r w:rsidRPr="004D0DAA">
              <w:rPr>
                <w:b/>
                <w:lang w:eastAsia="en-US"/>
              </w:rPr>
              <w:t xml:space="preserve">  DLMC Channel Quality Report </w:t>
            </w:r>
            <w:r w:rsidRPr="004D0DAA">
              <w:rPr>
                <w:lang w:eastAsia="en-US"/>
              </w:rPr>
              <w:t>&gt;}</w:t>
            </w:r>
          </w:p>
          <w:p w14:paraId="47090E70"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Channel Request Description</w:t>
            </w:r>
            <w:r w:rsidRPr="004D0DAA">
              <w:rPr>
                <w:lang w:eastAsia="en-US"/>
              </w:rPr>
              <w:t xml:space="preserve"> &gt;}</w:t>
            </w:r>
          </w:p>
          <w:p w14:paraId="417BC0C5"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PFI</w:t>
            </w:r>
            <w:r w:rsidRPr="004D0DAA">
              <w:rPr>
                <w:lang w:eastAsia="en-US"/>
              </w:rPr>
              <w:t xml:space="preserve"> : bit(7) &gt; }</w:t>
            </w:r>
          </w:p>
          <w:p w14:paraId="439F167D"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EGPRS</w:t>
            </w:r>
            <w:r w:rsidRPr="004D0DAA">
              <w:rPr>
                <w:lang w:eastAsia="en-US"/>
              </w:rPr>
              <w:t xml:space="preserve"> </w:t>
            </w:r>
            <w:r w:rsidRPr="004D0DAA">
              <w:rPr>
                <w:b/>
                <w:lang w:eastAsia="en-US"/>
              </w:rPr>
              <w:t>Ack/Nack Description DLMC</w:t>
            </w:r>
            <w:r w:rsidRPr="004D0DAA">
              <w:rPr>
                <w:lang w:eastAsia="en-US"/>
              </w:rPr>
              <w:t xml:space="preserve"> &gt; </w:t>
            </w:r>
          </w:p>
          <w:p w14:paraId="492E99D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  &lt;</w:t>
            </w:r>
            <w:r w:rsidRPr="004D0DAA">
              <w:rPr>
                <w:b/>
                <w:lang w:eastAsia="en-US"/>
              </w:rPr>
              <w:t xml:space="preserve">  DLMC Channel Quality Report </w:t>
            </w:r>
            <w:r w:rsidRPr="004D0DAA">
              <w:rPr>
                <w:lang w:eastAsia="en-US"/>
              </w:rPr>
              <w:t>&gt;} }</w:t>
            </w:r>
          </w:p>
          <w:p w14:paraId="1BD0C48B" w14:textId="77777777" w:rsidR="00711444" w:rsidRPr="004D0DAA" w:rsidRDefault="00711444" w:rsidP="00AA2A4C">
            <w:pPr>
              <w:spacing w:after="0"/>
              <w:ind w:left="227"/>
              <w:rPr>
                <w:rFonts w:ascii="Arial" w:hAnsi="Arial"/>
                <w:sz w:val="18"/>
              </w:rPr>
            </w:pPr>
            <w:r w:rsidRPr="004D0DAA">
              <w:tab/>
            </w:r>
            <w:r w:rsidRPr="004D0DAA">
              <w:tab/>
            </w:r>
            <w:r w:rsidRPr="004D0DAA">
              <w:rPr>
                <w:rFonts w:ascii="Arial" w:hAnsi="Arial"/>
                <w:sz w:val="18"/>
              </w:rPr>
              <w:t>&lt;padding bits &gt; ;</w:t>
            </w:r>
          </w:p>
          <w:p w14:paraId="3310D081" w14:textId="77777777" w:rsidR="00711444" w:rsidRPr="004D0DAA" w:rsidRDefault="00711444" w:rsidP="00AA2A4C">
            <w:pPr>
              <w:spacing w:after="0"/>
              <w:ind w:left="227"/>
              <w:rPr>
                <w:rFonts w:ascii="Arial" w:hAnsi="Arial"/>
                <w:sz w:val="18"/>
              </w:rPr>
            </w:pPr>
          </w:p>
          <w:p w14:paraId="271BADB2" w14:textId="77777777" w:rsidR="00711444" w:rsidRPr="004D0DAA" w:rsidRDefault="00711444" w:rsidP="00AA2A4C">
            <w:pPr>
              <w:spacing w:after="0"/>
              <w:ind w:left="227"/>
              <w:rPr>
                <w:i/>
              </w:rPr>
            </w:pPr>
          </w:p>
        </w:tc>
      </w:tr>
    </w:tbl>
    <w:p w14:paraId="0A444706" w14:textId="77777777" w:rsidR="00711444" w:rsidRPr="004D0DAA" w:rsidRDefault="00711444" w:rsidP="00711444">
      <w:pPr>
        <w:ind w:left="227"/>
        <w:rPr>
          <w:i/>
        </w:rPr>
      </w:pPr>
    </w:p>
    <w:p w14:paraId="7865773C" w14:textId="77777777" w:rsidR="00711444" w:rsidRPr="004D0DAA" w:rsidRDefault="00711444" w:rsidP="00711444">
      <w:pPr>
        <w:pStyle w:val="TH"/>
      </w:pPr>
      <w:r w:rsidRPr="004D0DAA">
        <w:t xml:space="preserve">Table 11.2.48.2: EGPRS </w:t>
      </w:r>
      <w:r w:rsidRPr="004D0DAA">
        <w:rPr>
          <w:caps/>
        </w:rPr>
        <w:t>Packet Downlink Ack/Nack DLMC</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E4F31D0" w14:textId="77777777" w:rsidTr="00AA2A4C">
        <w:tblPrEx>
          <w:tblCellMar>
            <w:top w:w="0" w:type="dxa"/>
            <w:bottom w:w="0" w:type="dxa"/>
          </w:tblCellMar>
        </w:tblPrEx>
        <w:trPr>
          <w:cantSplit/>
          <w:trHeight w:val="23"/>
        </w:trPr>
        <w:tc>
          <w:tcPr>
            <w:tcW w:w="9848" w:type="dxa"/>
          </w:tcPr>
          <w:p w14:paraId="679C32A1"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w:t>
            </w:r>
          </w:p>
        </w:tc>
      </w:tr>
      <w:tr w:rsidR="00711444" w:rsidRPr="004D0DAA" w14:paraId="27F88B4C" w14:textId="77777777" w:rsidTr="00AA2A4C">
        <w:tblPrEx>
          <w:tblCellMar>
            <w:top w:w="0" w:type="dxa"/>
            <w:bottom w:w="0" w:type="dxa"/>
          </w:tblCellMar>
        </w:tblPrEx>
        <w:trPr>
          <w:cantSplit/>
          <w:trHeight w:val="23"/>
        </w:trPr>
        <w:tc>
          <w:tcPr>
            <w:tcW w:w="9848" w:type="dxa"/>
          </w:tcPr>
          <w:p w14:paraId="6F36E4E8" w14:textId="77777777" w:rsidR="00711444" w:rsidRPr="004D0DAA" w:rsidRDefault="00711444" w:rsidP="00AA2A4C">
            <w:pPr>
              <w:spacing w:after="0"/>
            </w:pPr>
            <w:r w:rsidRPr="004D0DAA">
              <w:rPr>
                <w:b/>
              </w:rPr>
              <w:t xml:space="preserve">DOWNLINK_eTFI </w:t>
            </w:r>
            <w:r w:rsidRPr="004D0DAA">
              <w:t>(3 bit field)</w:t>
            </w:r>
            <w:r w:rsidRPr="004D0DAA">
              <w:br/>
              <w:t>This field contains the eTFI of the mobile station's downlink TBF. A mobile station not assigned an eTFI shall set this field to ‘000’.</w:t>
            </w:r>
          </w:p>
        </w:tc>
      </w:tr>
      <w:tr w:rsidR="00711444" w:rsidRPr="004D0DAA" w14:paraId="7D2C5C39" w14:textId="77777777" w:rsidTr="00AA2A4C">
        <w:tblPrEx>
          <w:tblCellMar>
            <w:top w:w="0" w:type="dxa"/>
            <w:bottom w:w="0" w:type="dxa"/>
          </w:tblCellMar>
        </w:tblPrEx>
        <w:trPr>
          <w:cantSplit/>
          <w:trHeight w:val="23"/>
        </w:trPr>
        <w:tc>
          <w:tcPr>
            <w:tcW w:w="9848" w:type="dxa"/>
          </w:tcPr>
          <w:p w14:paraId="0504B58F" w14:textId="77777777" w:rsidR="00711444" w:rsidRPr="004D0DAA" w:rsidRDefault="00711444" w:rsidP="00AA2A4C">
            <w:r w:rsidRPr="004D0DAA">
              <w:rPr>
                <w:b/>
              </w:rPr>
              <w:t xml:space="preserve">MS OUT OF MEMORY </w:t>
            </w:r>
            <w:r w:rsidRPr="004D0DAA">
              <w:t>(1 bit field)</w:t>
            </w:r>
            <w:r w:rsidRPr="004D0DAA">
              <w:br/>
              <w:t>This field indicates that the MS has no more enough memory to perform Incremental Redundancy.</w:t>
            </w:r>
          </w:p>
          <w:p w14:paraId="20B5E559"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4F1707A3" w14:textId="77777777" w:rsidTr="00AA2A4C">
        <w:tblPrEx>
          <w:tblCellMar>
            <w:top w:w="0" w:type="dxa"/>
            <w:bottom w:w="0" w:type="dxa"/>
          </w:tblCellMar>
        </w:tblPrEx>
        <w:trPr>
          <w:cantSplit/>
          <w:trHeight w:val="23"/>
        </w:trPr>
        <w:tc>
          <w:tcPr>
            <w:tcW w:w="9848" w:type="dxa"/>
          </w:tcPr>
          <w:p w14:paraId="29DAEF32" w14:textId="77777777" w:rsidR="00711444" w:rsidRPr="004D0DAA" w:rsidRDefault="00711444" w:rsidP="00AA2A4C">
            <w:pPr>
              <w:rPr>
                <w:b/>
              </w:rPr>
            </w:pPr>
            <w:r w:rsidRPr="004D0DAA">
              <w:rPr>
                <w:b/>
              </w:rPr>
              <w:t>DLMC Channel Quality Report</w:t>
            </w:r>
            <w:r w:rsidRPr="004D0DAA">
              <w:br/>
              <w:t xml:space="preserve">This information element is defined in sub-clause 12.66. This IE shall be used by a mobile station with a DLMC configuration and contains measurements corresponding to the set of reported UFPS/carriers (see sub-clause 9.1.8.2.1 for how the set of UFPS/carriers to report is determined). </w:t>
            </w:r>
          </w:p>
        </w:tc>
      </w:tr>
      <w:tr w:rsidR="00711444" w:rsidRPr="004D0DAA" w14:paraId="52B0D144" w14:textId="77777777" w:rsidTr="00AA2A4C">
        <w:tblPrEx>
          <w:tblCellMar>
            <w:top w:w="0" w:type="dxa"/>
            <w:bottom w:w="0" w:type="dxa"/>
          </w:tblCellMar>
        </w:tblPrEx>
        <w:trPr>
          <w:cantSplit/>
          <w:trHeight w:val="23"/>
        </w:trPr>
        <w:tc>
          <w:tcPr>
            <w:tcW w:w="9848" w:type="dxa"/>
          </w:tcPr>
          <w:p w14:paraId="418CD414" w14:textId="77777777" w:rsidR="00711444" w:rsidRPr="004D0DAA" w:rsidRDefault="00711444" w:rsidP="00AA2A4C">
            <w:pPr>
              <w:rPr>
                <w:bCs/>
              </w:rPr>
            </w:pPr>
            <w:r w:rsidRPr="004D0DAA">
              <w:rPr>
                <w:b/>
              </w:rPr>
              <w:t>Channel Request Description</w:t>
            </w:r>
            <w:r w:rsidRPr="004D0DAA">
              <w:br/>
              <w:t>This information element is defined in</w:t>
            </w:r>
            <w:r w:rsidRPr="004D0DAA">
              <w:rPr>
                <w:i/>
              </w:rPr>
              <w:t xml:space="preserve"> </w:t>
            </w:r>
            <w:r w:rsidRPr="004D0DAA">
              <w:t xml:space="preserve">sub-clause 12.7. If a PFI field is included in this message, it relates to the TBF request contained in the </w:t>
            </w:r>
            <w:r w:rsidRPr="004D0DAA">
              <w:rPr>
                <w:bCs/>
                <w:i/>
                <w:iCs/>
              </w:rPr>
              <w:t>Channel Request Description</w:t>
            </w:r>
            <w:r w:rsidRPr="004D0DAA">
              <w:rPr>
                <w:bCs/>
              </w:rPr>
              <w:t xml:space="preserve"> </w:t>
            </w:r>
            <w:r w:rsidRPr="004D0DAA">
              <w:t xml:space="preserve">IE. </w:t>
            </w:r>
          </w:p>
        </w:tc>
      </w:tr>
      <w:tr w:rsidR="00711444" w:rsidRPr="004D0DAA" w14:paraId="449EBB59" w14:textId="77777777" w:rsidTr="00AA2A4C">
        <w:tblPrEx>
          <w:tblCellMar>
            <w:top w:w="0" w:type="dxa"/>
            <w:bottom w:w="0" w:type="dxa"/>
          </w:tblCellMar>
        </w:tblPrEx>
        <w:trPr>
          <w:cantSplit/>
          <w:trHeight w:val="23"/>
        </w:trPr>
        <w:tc>
          <w:tcPr>
            <w:tcW w:w="9848" w:type="dxa"/>
          </w:tcPr>
          <w:p w14:paraId="6458FAE9" w14:textId="77777777" w:rsidR="00711444" w:rsidRPr="004D0DAA" w:rsidRDefault="00711444" w:rsidP="00AA2A4C">
            <w:pPr>
              <w:rPr>
                <w:b/>
              </w:rPr>
            </w:pPr>
            <w:r w:rsidRPr="004D0DAA">
              <w:rPr>
                <w:b/>
              </w:rPr>
              <w:t>PFI</w:t>
            </w:r>
            <w:r w:rsidRPr="004D0DAA">
              <w:t xml:space="preserve"> (7 bit field)</w:t>
            </w:r>
            <w:r w:rsidRPr="004D0DAA">
              <w:rPr>
                <w:b/>
              </w:rPr>
              <w:br/>
            </w:r>
            <w:r w:rsidRPr="004D0DAA">
              <w:t xml:space="preserve">This field contains the PFI parameter identifying a Packet Flow Context relating to the resource request specified in the </w:t>
            </w:r>
            <w:r w:rsidRPr="004D0DAA">
              <w:rPr>
                <w:i/>
              </w:rPr>
              <w:t>Channel Request Description</w:t>
            </w:r>
            <w:r w:rsidRPr="004D0DAA">
              <w:t xml:space="preserve"> IE. The PFI parameter is encoded as the contents of the PFI information element as defined in 3GPP TS 44.018. This field may be included if the network supports packet flow context procedures and if a Channel Request Description IE is included in the message. If this field is included but the </w:t>
            </w:r>
            <w:r w:rsidRPr="004D0DAA">
              <w:rPr>
                <w:i/>
              </w:rPr>
              <w:t xml:space="preserve">Channel Request Description </w:t>
            </w:r>
            <w:r w:rsidRPr="004D0DAA">
              <w:t>IE is omitted, this field shall be ignored.</w:t>
            </w:r>
          </w:p>
        </w:tc>
      </w:tr>
      <w:tr w:rsidR="00711444" w:rsidRPr="004D0DAA" w14:paraId="5EF6F77A" w14:textId="77777777" w:rsidTr="00AA2A4C">
        <w:tblPrEx>
          <w:tblCellMar>
            <w:top w:w="0" w:type="dxa"/>
            <w:bottom w:w="0" w:type="dxa"/>
          </w:tblCellMar>
        </w:tblPrEx>
        <w:trPr>
          <w:cantSplit/>
          <w:trHeight w:val="23"/>
        </w:trPr>
        <w:tc>
          <w:tcPr>
            <w:tcW w:w="9848" w:type="dxa"/>
          </w:tcPr>
          <w:p w14:paraId="18862518" w14:textId="77777777" w:rsidR="00711444" w:rsidRPr="004D0DAA" w:rsidRDefault="00711444" w:rsidP="00AA2A4C">
            <w:r w:rsidRPr="004D0DAA">
              <w:rPr>
                <w:b/>
              </w:rPr>
              <w:t xml:space="preserve">EGPRS Ack/Nack Description DLMC </w:t>
            </w:r>
            <w:r w:rsidRPr="004D0DAA">
              <w:t>(L bit field)</w:t>
            </w:r>
            <w:r w:rsidRPr="004D0DAA">
              <w:rPr>
                <w:b/>
              </w:rPr>
              <w:br/>
            </w:r>
            <w:r w:rsidRPr="004D0DAA">
              <w:t>This information element is defined in</w:t>
            </w:r>
            <w:r w:rsidRPr="004D0DAA">
              <w:rPr>
                <w:i/>
              </w:rPr>
              <w:t xml:space="preserve"> </w:t>
            </w:r>
            <w:r w:rsidRPr="004D0DAA">
              <w:t xml:space="preserve">sub-clause 12.3.3. The number of bits (L) available for this information element depends on the inclusion of channel quality reports and channel requests. L shall be set so that the entire EGPRS </w:t>
            </w:r>
            <w:r w:rsidRPr="004D0DAA">
              <w:rPr>
                <w:caps/>
              </w:rPr>
              <w:t>Packet Downlink Ack/Nack</w:t>
            </w:r>
            <w:r w:rsidRPr="004D0DAA">
              <w:t xml:space="preserve"> DLMC message evenly fits into an RLC/MAC control block. If a lower L covers the entire receive window, that L shall be used.</w:t>
            </w:r>
          </w:p>
          <w:p w14:paraId="6D49C270" w14:textId="77777777" w:rsidR="00711444" w:rsidRPr="004D0DAA" w:rsidRDefault="00711444" w:rsidP="00AA2A4C">
            <w:pPr>
              <w:pStyle w:val="TAL"/>
              <w:rPr>
                <w:rFonts w:ascii="Times New Roman" w:hAnsi="Times New Roman"/>
                <w:sz w:val="20"/>
                <w:lang w:eastAsia="en-US"/>
              </w:rPr>
            </w:pPr>
            <w:r w:rsidRPr="004D0DAA">
              <w:rPr>
                <w:rFonts w:ascii="Times New Roman" w:hAnsi="Times New Roman"/>
                <w:sz w:val="20"/>
                <w:lang w:eastAsia="en-US"/>
              </w:rPr>
              <w:t>Truncation of the EGPRS Ack/Nack Description DLMC IE is allowed if the available space in the message without this IE does not allow for the inclusion of a valid EGPRS Ack/Nack Description DLMC IE, i.e. is less than 16 bits of message space remains. In these conditions, the receiver shall assume that no EGPRS Ack/Nack Description DLMC IE is included.</w:t>
            </w:r>
          </w:p>
          <w:p w14:paraId="41B52FC9" w14:textId="77777777" w:rsidR="00711444" w:rsidRPr="004D0DAA" w:rsidRDefault="00711444" w:rsidP="00AA2A4C">
            <w:pPr>
              <w:rPr>
                <w:b/>
              </w:rPr>
            </w:pPr>
          </w:p>
        </w:tc>
      </w:tr>
    </w:tbl>
    <w:p w14:paraId="4380EBC5" w14:textId="77777777" w:rsidR="00711444" w:rsidRPr="004D0DAA" w:rsidRDefault="00711444" w:rsidP="00711444"/>
    <w:p w14:paraId="43E1C659" w14:textId="77777777" w:rsidR="00711444" w:rsidRPr="004D0DAA" w:rsidRDefault="00711444" w:rsidP="00711444">
      <w:pPr>
        <w:pStyle w:val="Heading3"/>
      </w:pPr>
      <w:bookmarkStart w:id="739" w:name="_Toc516669915"/>
      <w:r w:rsidRPr="004D0DAA">
        <w:t>11.2.49</w:t>
      </w:r>
      <w:r w:rsidRPr="004D0DAA">
        <w:tab/>
        <w:t>EC Packet Access Reject</w:t>
      </w:r>
      <w:bookmarkEnd w:id="739"/>
    </w:p>
    <w:p w14:paraId="47831FBF" w14:textId="77777777" w:rsidR="00711444" w:rsidRPr="004D0DAA" w:rsidRDefault="00711444" w:rsidP="00711444">
      <w:r w:rsidRPr="004D0DAA">
        <w:t>This message is sent on the EC-PACCH by the network to the mobile station to indicate that the network has rejected the request from the mobile station. This message may contain fields addressing more than one mobile station.</w:t>
      </w:r>
    </w:p>
    <w:p w14:paraId="0C65ACF2" w14:textId="77777777" w:rsidR="00711444" w:rsidRPr="004D0DAA" w:rsidRDefault="00711444" w:rsidP="00711444">
      <w:pPr>
        <w:pStyle w:val="EX"/>
      </w:pPr>
      <w:r w:rsidRPr="004D0DAA">
        <w:lastRenderedPageBreak/>
        <w:t>Message type:</w:t>
      </w:r>
      <w:r w:rsidRPr="004D0DAA">
        <w:tab/>
        <w:t>EC PACKET ACCESS REJECT</w:t>
      </w:r>
    </w:p>
    <w:p w14:paraId="33A86920" w14:textId="77777777" w:rsidR="00711444" w:rsidRPr="004D0DAA" w:rsidRDefault="00711444" w:rsidP="00711444">
      <w:pPr>
        <w:pStyle w:val="EX"/>
      </w:pPr>
      <w:r w:rsidRPr="004D0DAA">
        <w:t>Direction:</w:t>
      </w:r>
      <w:r w:rsidRPr="004D0DAA">
        <w:tab/>
        <w:t>network to mobile station</w:t>
      </w:r>
    </w:p>
    <w:p w14:paraId="5ED5C6B7" w14:textId="77777777" w:rsidR="00711444" w:rsidRPr="004D0DAA" w:rsidRDefault="00711444" w:rsidP="00711444">
      <w:pPr>
        <w:pStyle w:val="EX"/>
      </w:pPr>
      <w:r w:rsidRPr="004D0DAA">
        <w:t>Classification:</w:t>
      </w:r>
      <w:r w:rsidRPr="004D0DAA">
        <w:tab/>
        <w:t>distribution message</w:t>
      </w:r>
    </w:p>
    <w:p w14:paraId="4A354F5E" w14:textId="77777777" w:rsidR="00711444" w:rsidRPr="004D0DAA" w:rsidRDefault="00711444" w:rsidP="00711444">
      <w:pPr>
        <w:pStyle w:val="TH"/>
      </w:pPr>
      <w:r w:rsidRPr="004D0DAA">
        <w:t xml:space="preserve">Table 11.2.49.1: EC </w:t>
      </w:r>
      <w:r w:rsidRPr="004D0DAA">
        <w:rPr>
          <w:caps/>
        </w:rPr>
        <w:t>Packet ACCESS REJECT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E92CEF9" w14:textId="77777777" w:rsidTr="00AA2A4C">
        <w:trPr>
          <w:cantSplit/>
        </w:trPr>
        <w:tc>
          <w:tcPr>
            <w:tcW w:w="9848" w:type="dxa"/>
          </w:tcPr>
          <w:p w14:paraId="7A32B0C5" w14:textId="77777777" w:rsidR="00711444" w:rsidRPr="004D0DAA" w:rsidRDefault="00711444" w:rsidP="00AA2A4C">
            <w:pPr>
              <w:pStyle w:val="TAL"/>
              <w:rPr>
                <w:lang w:eastAsia="en-US"/>
              </w:rPr>
            </w:pPr>
            <w:r w:rsidRPr="004D0DAA">
              <w:rPr>
                <w:lang w:eastAsia="en-US"/>
              </w:rPr>
              <w:t>&lt; EC Packet Access Reject message content &gt; ::=</w:t>
            </w:r>
          </w:p>
          <w:p w14:paraId="05B47DC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 &gt;</w:t>
            </w:r>
          </w:p>
          <w:p w14:paraId="784A6A8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Reject</w:t>
            </w:r>
            <w:r w:rsidRPr="004D0DAA">
              <w:rPr>
                <w:lang w:eastAsia="en-US"/>
              </w:rPr>
              <w:t xml:space="preserve"> : &lt; EC Reject struct &gt; &gt;</w:t>
            </w:r>
          </w:p>
          <w:p w14:paraId="59E67797" w14:textId="77777777" w:rsidR="00711444" w:rsidRPr="004D0DAA" w:rsidRDefault="00711444" w:rsidP="00AA2A4C">
            <w:pPr>
              <w:pStyle w:val="TAL"/>
              <w:rPr>
                <w:lang w:eastAsia="en-US"/>
              </w:rPr>
            </w:pPr>
            <w:r w:rsidRPr="004D0DAA">
              <w:rPr>
                <w:lang w:eastAsia="en-US"/>
              </w:rPr>
              <w:tab/>
              <w:t xml:space="preserve">{ { 1 &lt; </w:t>
            </w:r>
            <w:r w:rsidRPr="004D0DAA">
              <w:rPr>
                <w:b/>
                <w:lang w:eastAsia="en-US"/>
              </w:rPr>
              <w:t>Additional Reject</w:t>
            </w:r>
            <w:r w:rsidRPr="004D0DAA">
              <w:rPr>
                <w:lang w:eastAsia="en-US"/>
              </w:rPr>
              <w:t>: &lt; EC Reject struct &gt; &gt; } ** 0</w:t>
            </w:r>
          </w:p>
          <w:p w14:paraId="7986CA12" w14:textId="77777777" w:rsidR="00711444" w:rsidRPr="004D0DAA" w:rsidRDefault="00711444" w:rsidP="00AA2A4C">
            <w:pPr>
              <w:pStyle w:val="TAL"/>
              <w:rPr>
                <w:lang w:eastAsia="en-US"/>
              </w:rPr>
            </w:pPr>
            <w:r w:rsidRPr="004D0DAA">
              <w:rPr>
                <w:lang w:eastAsia="en-US"/>
              </w:rPr>
              <w:tab/>
              <w:t>&lt; padding bits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43031C29" w14:textId="77777777" w:rsidR="00711444" w:rsidRPr="004D0DAA" w:rsidRDefault="00711444" w:rsidP="00AA2A4C">
            <w:pPr>
              <w:pStyle w:val="TAL"/>
              <w:rPr>
                <w:lang w:eastAsia="en-US"/>
              </w:rPr>
            </w:pPr>
            <w:r w:rsidRPr="004D0DAA">
              <w:rPr>
                <w:lang w:eastAsia="en-US"/>
              </w:rPr>
              <w:tab/>
              <w:t>! &lt; Distribution part error : bit (*) = &lt; no string &gt; &gt; ;</w:t>
            </w:r>
          </w:p>
          <w:p w14:paraId="695C220A" w14:textId="77777777" w:rsidR="00711444" w:rsidRPr="004D0DAA" w:rsidRDefault="00711444" w:rsidP="00AA2A4C">
            <w:pPr>
              <w:pStyle w:val="TAL"/>
              <w:rPr>
                <w:lang w:eastAsia="en-US"/>
              </w:rPr>
            </w:pPr>
          </w:p>
        </w:tc>
      </w:tr>
      <w:tr w:rsidR="00711444" w:rsidRPr="004D0DAA" w14:paraId="54DBC1A3" w14:textId="77777777" w:rsidTr="00AA2A4C">
        <w:trPr>
          <w:cantSplit/>
        </w:trPr>
        <w:tc>
          <w:tcPr>
            <w:tcW w:w="9848" w:type="dxa"/>
          </w:tcPr>
          <w:p w14:paraId="311AEB2B" w14:textId="77777777" w:rsidR="00711444" w:rsidRPr="004D0DAA" w:rsidRDefault="00711444" w:rsidP="00AA2A4C">
            <w:pPr>
              <w:pStyle w:val="TAL"/>
              <w:rPr>
                <w:lang w:eastAsia="en-US"/>
              </w:rPr>
            </w:pPr>
            <w:r w:rsidRPr="004D0DAA">
              <w:rPr>
                <w:lang w:eastAsia="en-US"/>
              </w:rPr>
              <w:t>&lt; EC Reject struct &gt; ::=</w:t>
            </w:r>
          </w:p>
          <w:p w14:paraId="70BC99C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Downlink_TFI</w:t>
            </w:r>
            <w:r w:rsidRPr="004D0DAA">
              <w:rPr>
                <w:lang w:eastAsia="en-US"/>
              </w:rPr>
              <w:t xml:space="preserve"> : bit (5) &gt;</w:t>
            </w:r>
          </w:p>
          <w:p w14:paraId="0E633F6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WAIT_INDICATION </w:t>
            </w:r>
            <w:r w:rsidRPr="004D0DAA">
              <w:rPr>
                <w:lang w:eastAsia="en-US"/>
              </w:rPr>
              <w:t>: bit (8) &gt;</w:t>
            </w:r>
          </w:p>
          <w:p w14:paraId="108343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WAIT _INDICATION_SIZE</w:t>
            </w:r>
            <w:r w:rsidRPr="004D0DAA">
              <w:rPr>
                <w:lang w:eastAsia="en-US"/>
              </w:rPr>
              <w:t xml:space="preserve"> : bit (1) &gt; }</w:t>
            </w:r>
          </w:p>
          <w:p w14:paraId="16D3C290" w14:textId="77777777" w:rsidR="00711444" w:rsidRPr="004D0DAA" w:rsidRDefault="00711444" w:rsidP="00AA2A4C">
            <w:pPr>
              <w:pStyle w:val="TAL"/>
              <w:rPr>
                <w:lang w:eastAsia="en-US"/>
              </w:rPr>
            </w:pPr>
            <w:r w:rsidRPr="004D0DAA">
              <w:rPr>
                <w:lang w:eastAsia="en-US"/>
              </w:rPr>
              <w:tab/>
              <w:t>! &lt; Ignore : bit (*) = &lt;no string&gt; &gt; ;</w:t>
            </w:r>
          </w:p>
        </w:tc>
      </w:tr>
    </w:tbl>
    <w:p w14:paraId="0DA07451" w14:textId="77777777" w:rsidR="00711444" w:rsidRPr="004D0DAA" w:rsidRDefault="00711444" w:rsidP="00711444"/>
    <w:p w14:paraId="5F9B02B1" w14:textId="77777777" w:rsidR="00711444" w:rsidRPr="004D0DAA" w:rsidRDefault="00711444" w:rsidP="00711444">
      <w:pPr>
        <w:pStyle w:val="TH"/>
      </w:pPr>
      <w:r w:rsidRPr="004D0DAA">
        <w:t xml:space="preserve">Table 11.2.49.2: EC </w:t>
      </w:r>
      <w:r w:rsidRPr="004D0DAA">
        <w:rPr>
          <w:caps/>
        </w:rPr>
        <w:t>Packet ACCESS REJECT</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9"/>
      </w:tblGrid>
      <w:tr w:rsidR="00711444" w:rsidRPr="004D0DAA" w14:paraId="3F9E2F33" w14:textId="77777777" w:rsidTr="00AA2A4C">
        <w:tc>
          <w:tcPr>
            <w:tcW w:w="9855" w:type="dxa"/>
          </w:tcPr>
          <w:p w14:paraId="58C33424" w14:textId="77777777" w:rsidR="00711444" w:rsidRPr="004D0DAA" w:rsidRDefault="00711444" w:rsidP="00AA2A4C">
            <w:pPr>
              <w:keepNext/>
              <w:keepLines/>
            </w:pPr>
            <w:r w:rsidRPr="004D0DAA">
              <w:rPr>
                <w:b/>
              </w:rPr>
              <w:t>USED_DL_COVERAGE_CLASS</w:t>
            </w:r>
            <w:r w:rsidRPr="004D0DAA">
              <w:br/>
              <w:t>This information element is defined in</w:t>
            </w:r>
            <w:r w:rsidRPr="004D0DAA">
              <w:rPr>
                <w:i/>
              </w:rPr>
              <w:t xml:space="preserve"> </w:t>
            </w:r>
            <w:r w:rsidRPr="004D0DAA">
              <w:rPr>
                <w:iCs/>
              </w:rPr>
              <w:t>sub-clause</w:t>
            </w:r>
            <w:r w:rsidRPr="004D0DAA">
              <w:t xml:space="preserve"> 12.71.</w:t>
            </w:r>
          </w:p>
          <w:p w14:paraId="53B41BDF" w14:textId="77777777" w:rsidR="00711444" w:rsidRPr="004D0DAA" w:rsidRDefault="00711444" w:rsidP="00AA2A4C">
            <w:pPr>
              <w:keepNext/>
              <w:keepLines/>
            </w:pPr>
            <w:r w:rsidRPr="004D0DAA">
              <w:rPr>
                <w:b/>
                <w:bCs/>
              </w:rPr>
              <w:t>EC Reject struct</w:t>
            </w:r>
            <w:r w:rsidRPr="004D0DAA">
              <w:br/>
              <w:t>The mobile station shall only accept the first Reject struct addressed to it and ignore all other Reject structs.</w:t>
            </w:r>
          </w:p>
        </w:tc>
      </w:tr>
      <w:tr w:rsidR="00711444" w:rsidRPr="004D0DAA" w14:paraId="49A50F21" w14:textId="77777777" w:rsidTr="00AA2A4C">
        <w:tc>
          <w:tcPr>
            <w:tcW w:w="9855" w:type="dxa"/>
          </w:tcPr>
          <w:p w14:paraId="328594AA" w14:textId="77777777" w:rsidR="00711444" w:rsidRPr="004D0DAA" w:rsidRDefault="00711444" w:rsidP="00AA2A4C">
            <w:r w:rsidRPr="004D0DAA">
              <w:rPr>
                <w:b/>
              </w:rPr>
              <w:t>WAIT_INDICATION</w:t>
            </w:r>
            <w:r w:rsidRPr="004D0DAA">
              <w:t xml:space="preserve"> (8 bit field)</w:t>
            </w:r>
            <w:r w:rsidRPr="004D0DAA">
              <w:br/>
              <w:t>The Wait Indication field indicates the time the mobile station shall wait before attempting another channel request. This field is coded as the binary representation of the T3172 timeout value in units of 20 ms or in units of seconds. The units are indicated in the WAIT_INDICATION_SIZE field.</w:t>
            </w:r>
            <w:r w:rsidRPr="004D0DAA">
              <w:br/>
              <w:t>Range 0 to 255.</w:t>
            </w:r>
          </w:p>
        </w:tc>
      </w:tr>
      <w:tr w:rsidR="00711444" w:rsidRPr="004D0DAA" w14:paraId="6B41D2AC" w14:textId="77777777" w:rsidTr="00AA2A4C">
        <w:tc>
          <w:tcPr>
            <w:tcW w:w="9855" w:type="dxa"/>
          </w:tcPr>
          <w:p w14:paraId="5C4248DE" w14:textId="77777777" w:rsidR="00711444" w:rsidRPr="004D0DAA" w:rsidRDefault="00711444" w:rsidP="00AA2A4C">
            <w:r w:rsidRPr="004D0DAA">
              <w:rPr>
                <w:b/>
              </w:rPr>
              <w:t>WAIT_INDICATION_SIZE</w:t>
            </w:r>
            <w:r w:rsidRPr="004D0DAA">
              <w:t xml:space="preserve"> (1 bit field)</w:t>
            </w:r>
            <w:r w:rsidRPr="004D0DAA">
              <w:br/>
              <w:t>This field indicates the units of the WAIT_INDICATION field.</w:t>
            </w:r>
          </w:p>
          <w:p w14:paraId="75F24B5B" w14:textId="77777777" w:rsidR="00711444" w:rsidRPr="004D0DAA" w:rsidRDefault="00711444" w:rsidP="00AA2A4C">
            <w:pPr>
              <w:rPr>
                <w:b/>
              </w:rPr>
            </w:pPr>
            <w:r w:rsidRPr="004D0DAA">
              <w:t>0</w:t>
            </w:r>
            <w:r w:rsidRPr="004D0DAA">
              <w:tab/>
              <w:t>the WAIT_INDICATION field is coded in units of s</w:t>
            </w:r>
            <w:r w:rsidRPr="004D0DAA">
              <w:br/>
              <w:t>1</w:t>
            </w:r>
            <w:r w:rsidRPr="004D0DAA">
              <w:tab/>
              <w:t>the WAIT_INDICATION field is coded in units of 20 ms</w:t>
            </w:r>
          </w:p>
        </w:tc>
      </w:tr>
    </w:tbl>
    <w:p w14:paraId="573C10FC" w14:textId="77777777" w:rsidR="00711444" w:rsidRPr="004D0DAA" w:rsidRDefault="00711444" w:rsidP="00711444"/>
    <w:p w14:paraId="3664812B" w14:textId="77777777" w:rsidR="00711444" w:rsidRPr="004D0DAA" w:rsidRDefault="00711444" w:rsidP="00711444">
      <w:pPr>
        <w:pStyle w:val="Heading3"/>
      </w:pPr>
      <w:bookmarkStart w:id="740" w:name="_Toc516669916"/>
      <w:r w:rsidRPr="004D0DAA">
        <w:t>11.2.50</w:t>
      </w:r>
      <w:r w:rsidRPr="004D0DAA">
        <w:tab/>
        <w:t>EC Packet Control Acknowledgement</w:t>
      </w:r>
      <w:bookmarkEnd w:id="740"/>
    </w:p>
    <w:p w14:paraId="48BC1E7F" w14:textId="77777777" w:rsidR="00711444" w:rsidRPr="004D0DAA" w:rsidRDefault="00711444" w:rsidP="00711444">
      <w:r w:rsidRPr="004D0DAA">
        <w:t>This message is sent on the EC-PACCH from the mobile station to the network. The message is formatted either as an RLC/MAC control block using the EC-PACCH block format defined in 3GPP TS 44.004 or as a number of identical access bursts, according to the assigned uplink CC (see 3GPP TS 45.002), using the EC-PACCH short acknowledgement block format defined in 3GPP TS 44.004. If the message is sent as response to an EC Packet Polling Request message this latter message shall specify the format of the EC Packet Control Acknowledgement message. The order of bit transmission is defined in 3GPP TS 44.004. The numbering, assembling and field mapping conventions defined for RLC/MAC control blocks in</w:t>
      </w:r>
      <w:r w:rsidRPr="004D0DAA">
        <w:rPr>
          <w:i/>
        </w:rPr>
        <w:t xml:space="preserve"> </w:t>
      </w:r>
      <w:r w:rsidRPr="004D0DAA">
        <w:t>sub-clause 10.0b shall apply.</w:t>
      </w:r>
    </w:p>
    <w:p w14:paraId="73EAB9BD" w14:textId="77777777" w:rsidR="00711444" w:rsidRPr="004D0DAA" w:rsidRDefault="00711444" w:rsidP="00711444">
      <w:r w:rsidRPr="004D0DAA">
        <w:t>The RLC/MAC control block format is shown in table 11.2.50.1 and table 11.2.50.2.</w:t>
      </w:r>
    </w:p>
    <w:p w14:paraId="0EE46C11" w14:textId="77777777" w:rsidR="00711444" w:rsidRPr="004D0DAA" w:rsidRDefault="00711444" w:rsidP="00711444">
      <w:r w:rsidRPr="004D0DAA">
        <w:t>The access burst format is 11-bits and is coded as shown in table 11.2.50.1. The mobile station shall transmit the access burst four times, one time in each TDMA frame of the uplink radio block. The transmission of the four access bursts shall then be repeated in each of the uplink EC-PACCH resources assigned with the RRBP field according to the assigned uplink Coverage Class for the mobile station.</w:t>
      </w:r>
    </w:p>
    <w:p w14:paraId="6C128AEF" w14:textId="77777777" w:rsidR="00711444" w:rsidRPr="004D0DAA" w:rsidRDefault="00711444" w:rsidP="00711444">
      <w:pPr>
        <w:pStyle w:val="EX"/>
      </w:pPr>
      <w:r w:rsidRPr="004D0DAA">
        <w:t>Message type:</w:t>
      </w:r>
      <w:r w:rsidRPr="004D0DAA">
        <w:tab/>
        <w:t>EC PACKET CONTROL ACKNOWLEDGEMENT</w:t>
      </w:r>
    </w:p>
    <w:p w14:paraId="1E68ECF6" w14:textId="77777777" w:rsidR="00711444" w:rsidRPr="004D0DAA" w:rsidRDefault="00711444" w:rsidP="00711444">
      <w:pPr>
        <w:pStyle w:val="EX"/>
      </w:pPr>
      <w:r w:rsidRPr="004D0DAA">
        <w:t>Direction:</w:t>
      </w:r>
      <w:r w:rsidRPr="004D0DAA">
        <w:tab/>
        <w:t>mobile station to network</w:t>
      </w:r>
    </w:p>
    <w:p w14:paraId="3A574FD7" w14:textId="77777777" w:rsidR="00711444" w:rsidRPr="004D0DAA" w:rsidRDefault="00711444" w:rsidP="00711444">
      <w:pPr>
        <w:pStyle w:val="TH"/>
      </w:pPr>
      <w:r w:rsidRPr="004D0DAA">
        <w:lastRenderedPageBreak/>
        <w:t>Table 11.2.50.1: EC PACKET CONTROL ACKNOWLEDGEMENT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243280C" w14:textId="77777777" w:rsidTr="00AA2A4C">
        <w:trPr>
          <w:cantSplit/>
        </w:trPr>
        <w:tc>
          <w:tcPr>
            <w:tcW w:w="9848" w:type="dxa"/>
          </w:tcPr>
          <w:p w14:paraId="429EC6F8" w14:textId="77777777" w:rsidR="00711444" w:rsidRPr="004D0DAA" w:rsidRDefault="00711444" w:rsidP="00AA2A4C">
            <w:pPr>
              <w:pStyle w:val="TAL"/>
              <w:rPr>
                <w:lang w:eastAsia="en-US"/>
              </w:rPr>
            </w:pPr>
            <w:r w:rsidRPr="004D0DAA">
              <w:rPr>
                <w:lang w:eastAsia="en-US"/>
              </w:rPr>
              <w:t>&lt; EC Packet Control Acknowledgement message content &gt; ::=</w:t>
            </w:r>
            <w:r w:rsidRPr="004D0DAA">
              <w:rPr>
                <w:lang w:eastAsia="en-US"/>
              </w:rPr>
              <w:tab/>
            </w:r>
            <w:r w:rsidRPr="004D0DAA">
              <w:rPr>
                <w:lang w:eastAsia="en-US"/>
              </w:rPr>
              <w:tab/>
              <w:t xml:space="preserve">-- </w:t>
            </w:r>
            <w:r w:rsidRPr="004D0DAA">
              <w:rPr>
                <w:i/>
                <w:lang w:eastAsia="en-US"/>
              </w:rPr>
              <w:t>RLC/MAC control block format</w:t>
            </w:r>
          </w:p>
          <w:p w14:paraId="6043E61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w:t>
            </w:r>
            <w:r w:rsidRPr="004D0DAA">
              <w:rPr>
                <w:lang w:eastAsia="en-US"/>
              </w:rPr>
              <w:t xml:space="preserve"> : bit (32) &gt;</w:t>
            </w:r>
          </w:p>
          <w:p w14:paraId="27DF03E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CTRL_ACK</w:t>
            </w:r>
            <w:r w:rsidRPr="004D0DAA">
              <w:rPr>
                <w:lang w:eastAsia="en-US"/>
              </w:rPr>
              <w:t xml:space="preserve"> : bit (2) &gt;</w:t>
            </w:r>
          </w:p>
          <w:p w14:paraId="31A699C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DL_CC_EST </w:t>
            </w:r>
            <w:r w:rsidRPr="004D0DAA">
              <w:rPr>
                <w:lang w:eastAsia="en-US"/>
              </w:rPr>
              <w:t>: bit (4) &gt;</w:t>
            </w:r>
          </w:p>
          <w:p w14:paraId="5F672D3B" w14:textId="77777777" w:rsidR="00711444" w:rsidRPr="004D0DAA" w:rsidRDefault="00711444" w:rsidP="00AA2A4C">
            <w:pPr>
              <w:pStyle w:val="TAL"/>
              <w:rPr>
                <w:lang w:eastAsia="en-US"/>
              </w:rPr>
            </w:pPr>
            <w:r w:rsidRPr="004D0DAA">
              <w:rPr>
                <w:lang w:eastAsia="en-US"/>
              </w:rPr>
              <w:tab/>
              <w:t>&lt; padding bits &gt;;</w:t>
            </w:r>
          </w:p>
          <w:p w14:paraId="143F0F85" w14:textId="77777777" w:rsidR="00711444" w:rsidRPr="004D0DAA" w:rsidRDefault="00711444" w:rsidP="00AA2A4C">
            <w:pPr>
              <w:pStyle w:val="TAL"/>
              <w:rPr>
                <w:lang w:eastAsia="en-US"/>
              </w:rPr>
            </w:pPr>
          </w:p>
        </w:tc>
      </w:tr>
      <w:tr w:rsidR="00711444" w:rsidRPr="004D0DAA" w14:paraId="00EB47AE" w14:textId="77777777" w:rsidTr="00AA2A4C">
        <w:trPr>
          <w:cantSplit/>
        </w:trPr>
        <w:tc>
          <w:tcPr>
            <w:tcW w:w="9848" w:type="dxa"/>
          </w:tcPr>
          <w:p w14:paraId="7564402E" w14:textId="77777777" w:rsidR="00711444" w:rsidRPr="004D0DAA" w:rsidRDefault="00711444" w:rsidP="00AA2A4C">
            <w:pPr>
              <w:pStyle w:val="TAL"/>
              <w:rPr>
                <w:lang w:eastAsia="en-US"/>
              </w:rPr>
            </w:pPr>
            <w:r w:rsidRPr="004D0DAA">
              <w:rPr>
                <w:lang w:eastAsia="en-US"/>
              </w:rPr>
              <w:t>&lt; EC Packet Control Acknowledgement 11 bit message &gt; ::=</w:t>
            </w:r>
            <w:r w:rsidRPr="004D0DAA">
              <w:rPr>
                <w:lang w:eastAsia="en-US"/>
              </w:rPr>
              <w:tab/>
            </w:r>
            <w:r w:rsidRPr="004D0DAA">
              <w:rPr>
                <w:lang w:eastAsia="en-US"/>
              </w:rPr>
              <w:tab/>
              <w:t xml:space="preserve">-- </w:t>
            </w:r>
            <w:r w:rsidRPr="004D0DAA">
              <w:rPr>
                <w:i/>
                <w:lang w:eastAsia="en-US"/>
              </w:rPr>
              <w:t>11-bit access burst format</w:t>
            </w:r>
          </w:p>
          <w:p w14:paraId="21FF0D2A"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MESSAGE_TYPE</w:t>
            </w:r>
            <w:r w:rsidRPr="004D0DAA">
              <w:rPr>
                <w:lang w:val="fr-FR" w:eastAsia="en-US"/>
              </w:rPr>
              <w:t xml:space="preserve"> : bit (7) == 1110 111 &gt;</w:t>
            </w:r>
          </w:p>
          <w:p w14:paraId="50A8BFD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DL_CC_EST </w:t>
            </w:r>
            <w:r w:rsidRPr="004D0DAA">
              <w:rPr>
                <w:lang w:val="fr-FR" w:eastAsia="en-US"/>
              </w:rPr>
              <w:t>: bit (4) &gt; ;</w:t>
            </w:r>
          </w:p>
          <w:p w14:paraId="74D3EB00" w14:textId="77777777" w:rsidR="00711444" w:rsidRPr="004D0DAA" w:rsidRDefault="00711444" w:rsidP="00AA2A4C">
            <w:pPr>
              <w:pStyle w:val="TAL"/>
              <w:rPr>
                <w:lang w:val="fr-FR" w:eastAsia="en-US"/>
              </w:rPr>
            </w:pPr>
          </w:p>
        </w:tc>
      </w:tr>
    </w:tbl>
    <w:p w14:paraId="5D29883F" w14:textId="77777777" w:rsidR="00711444" w:rsidRPr="004D0DAA" w:rsidRDefault="00711444" w:rsidP="00711444">
      <w:pPr>
        <w:rPr>
          <w:lang w:val="fr-FR"/>
        </w:rPr>
      </w:pPr>
    </w:p>
    <w:p w14:paraId="1D5CAEE8" w14:textId="77777777" w:rsidR="00711444" w:rsidRPr="004D0DAA" w:rsidRDefault="00711444" w:rsidP="00711444">
      <w:pPr>
        <w:pStyle w:val="TH"/>
      </w:pPr>
      <w:r w:rsidRPr="004D0DAA">
        <w:t>Table 11.2.50.2: EC PACKET CONTROL ACKNOWLEDGEMENT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806E6B3" w14:textId="77777777" w:rsidTr="00AA2A4C">
        <w:trPr>
          <w:cantSplit/>
        </w:trPr>
        <w:tc>
          <w:tcPr>
            <w:tcW w:w="9848" w:type="dxa"/>
          </w:tcPr>
          <w:p w14:paraId="07AECD4E" w14:textId="77777777" w:rsidR="00711444" w:rsidRPr="004D0DAA" w:rsidRDefault="00711444" w:rsidP="00AA2A4C">
            <w:pPr>
              <w:rPr>
                <w:b/>
              </w:rPr>
            </w:pPr>
            <w:r w:rsidRPr="004D0DAA">
              <w:rPr>
                <w:b/>
              </w:rPr>
              <w:t>TLLI</w:t>
            </w:r>
            <w:r w:rsidRPr="004D0DAA">
              <w:t xml:space="preserve"> (32 bit field)</w:t>
            </w:r>
            <w:r w:rsidRPr="004D0DAA">
              <w:br/>
              <w:t>This field contains the TLLI of the mobile station. This field is encoded as defined in</w:t>
            </w:r>
            <w:r w:rsidRPr="004D0DAA">
              <w:rPr>
                <w:i/>
              </w:rPr>
              <w:t xml:space="preserve"> </w:t>
            </w:r>
            <w:r w:rsidRPr="004D0DAA">
              <w:t>sub-clause 12.16.</w:t>
            </w:r>
          </w:p>
        </w:tc>
      </w:tr>
      <w:tr w:rsidR="00711444" w:rsidRPr="004D0DAA" w14:paraId="22D914FF" w14:textId="77777777" w:rsidTr="00AA2A4C">
        <w:trPr>
          <w:cantSplit/>
        </w:trPr>
        <w:tc>
          <w:tcPr>
            <w:tcW w:w="9848" w:type="dxa"/>
          </w:tcPr>
          <w:p w14:paraId="1BCD582A" w14:textId="77777777" w:rsidR="00711444" w:rsidRPr="004D0DAA" w:rsidRDefault="00711444" w:rsidP="00AA2A4C">
            <w:r w:rsidRPr="004D0DAA">
              <w:rPr>
                <w:b/>
              </w:rPr>
              <w:t>CTRL_ACK</w:t>
            </w:r>
            <w:r w:rsidRPr="004D0DAA">
              <w:t xml:space="preserve"> (2 bit field)</w:t>
            </w:r>
            <w:r w:rsidRPr="004D0DAA">
              <w:br/>
              <w:t>This field contains acknowledgement information for the group of RLC/MAC control blocks that make up an RLC/MAC control message. The mobile station shall set the CTRL_ACK field to indicate which segments of an RLC/MAC control message have been received by the time of transmission of the EC PACKET CONTROL ACKNOWLEDGEMENT message. The CTRL_ACK field shall be set according to the following table:</w:t>
            </w:r>
          </w:p>
          <w:p w14:paraId="2FBC15C1" w14:textId="77777777" w:rsidR="00711444" w:rsidRPr="004D0DAA" w:rsidRDefault="00711444" w:rsidP="00AA2A4C">
            <w:pPr>
              <w:pStyle w:val="FP"/>
              <w:tabs>
                <w:tab w:val="left" w:pos="567"/>
              </w:tabs>
              <w:ind w:left="567" w:hanging="567"/>
            </w:pPr>
            <w:r w:rsidRPr="004D0DAA">
              <w:t>bit</w:t>
            </w:r>
          </w:p>
          <w:p w14:paraId="5D9B666D" w14:textId="77777777" w:rsidR="00711444" w:rsidRPr="004D0DAA" w:rsidRDefault="00711444" w:rsidP="00AA2A4C">
            <w:pPr>
              <w:pStyle w:val="FP"/>
              <w:tabs>
                <w:tab w:val="left" w:pos="567"/>
              </w:tabs>
              <w:ind w:left="567" w:hanging="567"/>
            </w:pPr>
            <w:r w:rsidRPr="004D0DAA">
              <w:t>2 1</w:t>
            </w:r>
          </w:p>
          <w:p w14:paraId="2DB55138" w14:textId="77777777" w:rsidR="00711444" w:rsidRPr="004D0DAA" w:rsidRDefault="00711444" w:rsidP="00AA2A4C">
            <w:pPr>
              <w:pStyle w:val="FP"/>
              <w:tabs>
                <w:tab w:val="left" w:pos="567"/>
              </w:tabs>
              <w:ind w:left="567" w:hanging="567"/>
            </w:pPr>
            <w:r w:rsidRPr="004D0DAA">
              <w:t>0 0</w:t>
            </w:r>
            <w:r w:rsidRPr="004D0DAA">
              <w:tab/>
              <w:t>Reserved.</w:t>
            </w:r>
          </w:p>
          <w:p w14:paraId="1FF9A138" w14:textId="77777777" w:rsidR="00711444" w:rsidRPr="004D0DAA" w:rsidRDefault="00711444" w:rsidP="00AA2A4C">
            <w:pPr>
              <w:pStyle w:val="FP"/>
              <w:tabs>
                <w:tab w:val="left" w:pos="567"/>
              </w:tabs>
              <w:ind w:left="567" w:hanging="567"/>
            </w:pPr>
            <w:r w:rsidRPr="004D0DAA">
              <w:t>0 1</w:t>
            </w:r>
            <w:r w:rsidRPr="004D0DAA">
              <w:tab/>
            </w:r>
            <w:r w:rsidRPr="004D0DAA">
              <w:tab/>
              <w:t>the MS received an RLC/MAC control block addressed to itself and with RBSN = 1, and did not receive an</w:t>
            </w:r>
            <w:r w:rsidRPr="004D0DAA">
              <w:tab/>
              <w:t>RLC/MAC control block with RBSN = 0 for the same RLC/MAC control message.</w:t>
            </w:r>
          </w:p>
          <w:p w14:paraId="46AAACF2" w14:textId="77777777" w:rsidR="00711444" w:rsidRPr="004D0DAA" w:rsidRDefault="00711444" w:rsidP="00AA2A4C">
            <w:pPr>
              <w:pStyle w:val="FP"/>
              <w:tabs>
                <w:tab w:val="left" w:pos="567"/>
              </w:tabs>
              <w:ind w:left="567" w:hanging="567"/>
            </w:pPr>
            <w:r w:rsidRPr="004D0DAA">
              <w:t>1 0</w:t>
            </w:r>
            <w:r w:rsidRPr="004D0DAA">
              <w:tab/>
            </w:r>
            <w:r w:rsidRPr="004D0DAA">
              <w:tab/>
              <w:t>the MS received an RLC/MAC control block addressed to itself and with RBSN = 0, and did not receive an</w:t>
            </w:r>
            <w:r w:rsidRPr="004D0DAA">
              <w:tab/>
              <w:t>RLC/MAC control block with RBSN = 1 for the same RLC/MAC control message. This value is sent irrespective of the value of the FS bit.</w:t>
            </w:r>
          </w:p>
          <w:p w14:paraId="1CB9A452" w14:textId="77777777" w:rsidR="00711444" w:rsidRPr="004D0DAA" w:rsidRDefault="00711444" w:rsidP="00AA2A4C">
            <w:pPr>
              <w:pStyle w:val="FP"/>
              <w:tabs>
                <w:tab w:val="left" w:pos="567"/>
              </w:tabs>
              <w:ind w:left="567" w:hanging="567"/>
            </w:pPr>
            <w:r w:rsidRPr="004D0DAA">
              <w:t>1 1</w:t>
            </w:r>
            <w:r w:rsidRPr="004D0DAA">
              <w:tab/>
            </w:r>
            <w:r w:rsidRPr="004D0DAA">
              <w:tab/>
              <w:t>the MS received two RLC/MAC blocks that contain different segments of the same RLC/MAC control message, one with RBSN = 0 and the other with RBSN = 1.</w:t>
            </w:r>
          </w:p>
          <w:p w14:paraId="18E1A08E" w14:textId="77777777" w:rsidR="00711444" w:rsidRPr="004D0DAA" w:rsidRDefault="00711444" w:rsidP="00AA2A4C"/>
        </w:tc>
      </w:tr>
      <w:tr w:rsidR="00711444" w:rsidRPr="004D0DAA" w14:paraId="2A9593DD" w14:textId="77777777" w:rsidTr="00AA2A4C">
        <w:trPr>
          <w:cantSplit/>
        </w:trPr>
        <w:tc>
          <w:tcPr>
            <w:tcW w:w="9848" w:type="dxa"/>
          </w:tcPr>
          <w:p w14:paraId="7D0730F5" w14:textId="77777777" w:rsidR="00711444" w:rsidRPr="004D0DAA" w:rsidRDefault="00711444" w:rsidP="00AA2A4C">
            <w:pPr>
              <w:rPr>
                <w:bCs/>
              </w:rPr>
            </w:pPr>
            <w:r w:rsidRPr="004D0DAA">
              <w:rPr>
                <w:b/>
              </w:rPr>
              <w:t>DL_CC_EST</w:t>
            </w:r>
            <w:r w:rsidRPr="004D0DAA">
              <w:rPr>
                <w:bCs/>
              </w:rPr>
              <w:t xml:space="preserve"> (4 bit field)</w:t>
            </w:r>
            <w:r w:rsidRPr="004D0DAA">
              <w:rPr>
                <w:bCs/>
              </w:rPr>
              <w:br/>
              <w:t>This field contains the latest downlink Coverage Class estimation and the latest estimated C value range in case the C value is above BT_Threshold_DL, see 3GPP TS 45.008. The BT_Threshold_DL value is broadcast in EC SI 2, see 3GPP TS 44.018. The DL_CC_EST field shall be set according to the following table:</w:t>
            </w:r>
          </w:p>
          <w:p w14:paraId="17EE1B4C" w14:textId="77777777" w:rsidR="00711444" w:rsidRPr="004D0DAA" w:rsidRDefault="00711444" w:rsidP="00AA2A4C">
            <w:pPr>
              <w:pStyle w:val="FP"/>
              <w:tabs>
                <w:tab w:val="left" w:pos="567"/>
              </w:tabs>
              <w:ind w:left="567" w:hanging="567"/>
            </w:pPr>
            <w:r w:rsidRPr="004D0DAA">
              <w:t>bit</w:t>
            </w:r>
          </w:p>
          <w:p w14:paraId="2499E27E" w14:textId="77777777" w:rsidR="00711444" w:rsidRPr="004D0DAA" w:rsidRDefault="00711444" w:rsidP="00AA2A4C">
            <w:pPr>
              <w:pStyle w:val="FP"/>
              <w:tabs>
                <w:tab w:val="left" w:pos="851"/>
              </w:tabs>
            </w:pPr>
            <w:r w:rsidRPr="004D0DAA">
              <w:t>4 3 2 1</w:t>
            </w:r>
          </w:p>
          <w:p w14:paraId="3E92B1DF" w14:textId="77777777" w:rsidR="00711444" w:rsidRPr="004D0DAA" w:rsidRDefault="00711444" w:rsidP="00AA2A4C">
            <w:pPr>
              <w:pStyle w:val="FP"/>
              <w:tabs>
                <w:tab w:val="left" w:pos="851"/>
              </w:tabs>
            </w:pPr>
            <w:r w:rsidRPr="004D0DAA">
              <w:t>0 0 0 0</w:t>
            </w:r>
            <w:r w:rsidRPr="004D0DAA">
              <w:tab/>
              <w:t>DL CC4</w:t>
            </w:r>
          </w:p>
          <w:p w14:paraId="1CBE9766" w14:textId="77777777" w:rsidR="00711444" w:rsidRPr="004D0DAA" w:rsidRDefault="00711444" w:rsidP="00AA2A4C">
            <w:pPr>
              <w:pStyle w:val="FP"/>
              <w:tabs>
                <w:tab w:val="left" w:pos="851"/>
              </w:tabs>
            </w:pPr>
            <w:r w:rsidRPr="004D0DAA">
              <w:t>0 0 0 1</w:t>
            </w:r>
            <w:r w:rsidRPr="004D0DAA">
              <w:tab/>
              <w:t>DL CC3</w:t>
            </w:r>
          </w:p>
          <w:p w14:paraId="56C2E04C" w14:textId="77777777" w:rsidR="00711444" w:rsidRPr="004D0DAA" w:rsidRDefault="00711444" w:rsidP="00AA2A4C">
            <w:pPr>
              <w:pStyle w:val="FP"/>
              <w:tabs>
                <w:tab w:val="left" w:pos="851"/>
              </w:tabs>
            </w:pPr>
            <w:r w:rsidRPr="004D0DAA">
              <w:t>0 0 1 0</w:t>
            </w:r>
            <w:r w:rsidRPr="004D0DAA">
              <w:tab/>
              <w:t>DL CC2</w:t>
            </w:r>
          </w:p>
          <w:p w14:paraId="0D239EF3" w14:textId="77777777" w:rsidR="00711444" w:rsidRPr="004D0DAA" w:rsidRDefault="00711444" w:rsidP="00AA2A4C">
            <w:pPr>
              <w:tabs>
                <w:tab w:val="left" w:pos="851"/>
              </w:tabs>
              <w:rPr>
                <w:bCs/>
              </w:rPr>
            </w:pPr>
            <w:r w:rsidRPr="004D0DAA">
              <w:t>0 0 1 1</w:t>
            </w:r>
            <w:r w:rsidRPr="004D0DAA">
              <w:tab/>
              <w:t>DL CC1</w:t>
            </w:r>
            <w:r w:rsidRPr="004D0DAA">
              <w:rPr>
                <w:bCs/>
              </w:rPr>
              <w:t>; BT_Threshold_DL ≤ C Value &lt; BT_Threshold_DL+3 dB</w:t>
            </w:r>
            <w:r w:rsidRPr="004D0DAA">
              <w:rPr>
                <w:bCs/>
              </w:rPr>
              <w:br/>
            </w:r>
            <w:r w:rsidRPr="004D0DAA">
              <w:t>0 1 0 0</w:t>
            </w:r>
            <w:r w:rsidRPr="004D0DAA">
              <w:tab/>
              <w:t>DL CC1</w:t>
            </w:r>
            <w:r w:rsidRPr="004D0DAA">
              <w:rPr>
                <w:bCs/>
              </w:rPr>
              <w:t>; BT_Threshold_DL+3 dB ≤ C Value &lt; BT_Threshold_DL+6 dB</w:t>
            </w:r>
            <w:r w:rsidRPr="004D0DAA">
              <w:rPr>
                <w:bCs/>
              </w:rPr>
              <w:br/>
            </w:r>
            <w:r w:rsidRPr="004D0DAA">
              <w:t>0 1 0 1</w:t>
            </w:r>
            <w:r w:rsidRPr="004D0DAA">
              <w:tab/>
              <w:t>DL CC1</w:t>
            </w:r>
            <w:r w:rsidRPr="004D0DAA">
              <w:rPr>
                <w:bCs/>
              </w:rPr>
              <w:t>; BT_Threshold_DL+6 dB ≤ C Value &lt; BT_Threshold_DL+9 dB</w:t>
            </w:r>
            <w:r w:rsidRPr="004D0DAA">
              <w:rPr>
                <w:bCs/>
              </w:rPr>
              <w:br/>
            </w:r>
            <w:r w:rsidRPr="004D0DAA">
              <w:t>0 1 1 0</w:t>
            </w:r>
            <w:r w:rsidRPr="004D0DAA">
              <w:tab/>
              <w:t>DL CC1</w:t>
            </w:r>
            <w:r w:rsidRPr="004D0DAA">
              <w:rPr>
                <w:bCs/>
              </w:rPr>
              <w:t>; BT_Threshold_DL+9 dB ≤ C Value &lt; BT_Threshold_DL+12 dB</w:t>
            </w:r>
            <w:r w:rsidRPr="004D0DAA">
              <w:rPr>
                <w:bCs/>
              </w:rPr>
              <w:br/>
            </w:r>
            <w:r w:rsidRPr="004D0DAA">
              <w:t>0 1 1 1</w:t>
            </w:r>
            <w:r w:rsidRPr="004D0DAA">
              <w:tab/>
              <w:t>DL CC1</w:t>
            </w:r>
            <w:r w:rsidRPr="004D0DAA">
              <w:rPr>
                <w:bCs/>
              </w:rPr>
              <w:t>; BT_Threshold_DL+12 dB ≤ C Value &lt; BT_Threshold_DL+15 dB</w:t>
            </w:r>
            <w:r w:rsidRPr="004D0DAA">
              <w:rPr>
                <w:bCs/>
              </w:rPr>
              <w:br/>
            </w:r>
            <w:r w:rsidRPr="004D0DAA">
              <w:t>1 0 0 0</w:t>
            </w:r>
            <w:r w:rsidRPr="004D0DAA">
              <w:tab/>
              <w:t>DL CC1</w:t>
            </w:r>
            <w:r w:rsidRPr="004D0DAA">
              <w:rPr>
                <w:bCs/>
              </w:rPr>
              <w:t>; BT_Threshold_DL+15 dB ≤ C Value &lt; BT_Threshold_DL+18 dB</w:t>
            </w:r>
            <w:r w:rsidRPr="004D0DAA">
              <w:rPr>
                <w:bCs/>
              </w:rPr>
              <w:br/>
            </w:r>
            <w:r w:rsidRPr="004D0DAA">
              <w:t>1 0 0 1</w:t>
            </w:r>
            <w:r w:rsidRPr="004D0DAA">
              <w:tab/>
              <w:t>DL CC1</w:t>
            </w:r>
            <w:r w:rsidRPr="004D0DAA">
              <w:rPr>
                <w:bCs/>
              </w:rPr>
              <w:t>; BT_Threshold_DL+18 dB ≤ C Value &lt; BT_Threshold_DL+21 dB</w:t>
            </w:r>
            <w:r w:rsidRPr="004D0DAA">
              <w:rPr>
                <w:bCs/>
              </w:rPr>
              <w:br/>
            </w:r>
            <w:r w:rsidRPr="004D0DAA">
              <w:t>1 0 1 0</w:t>
            </w:r>
            <w:r w:rsidRPr="004D0DAA">
              <w:tab/>
              <w:t>DL CC1</w:t>
            </w:r>
            <w:r w:rsidRPr="004D0DAA">
              <w:rPr>
                <w:bCs/>
              </w:rPr>
              <w:t>; BT_Threshold_DL+21 dB ≤ C Value &lt; BT_Threshold_DL+24 dB</w:t>
            </w:r>
            <w:r w:rsidRPr="004D0DAA">
              <w:rPr>
                <w:bCs/>
              </w:rPr>
              <w:br/>
            </w:r>
            <w:r w:rsidRPr="004D0DAA">
              <w:t>1 0 1 1</w:t>
            </w:r>
            <w:r w:rsidRPr="004D0DAA">
              <w:tab/>
              <w:t>DL CC1</w:t>
            </w:r>
            <w:r w:rsidRPr="004D0DAA">
              <w:rPr>
                <w:bCs/>
              </w:rPr>
              <w:t>; BT_Threshold_DL+24 dB ≤ C Value &lt; BT_Threshold_DL+27 dB</w:t>
            </w:r>
            <w:r w:rsidRPr="004D0DAA">
              <w:rPr>
                <w:bCs/>
              </w:rPr>
              <w:br/>
            </w:r>
            <w:r w:rsidRPr="004D0DAA">
              <w:t>1 1 0 0</w:t>
            </w:r>
            <w:r w:rsidRPr="004D0DAA">
              <w:tab/>
              <w:t>DL CC1</w:t>
            </w:r>
            <w:r w:rsidRPr="004D0DAA">
              <w:rPr>
                <w:bCs/>
              </w:rPr>
              <w:t>; BT_Threshold_DL+27 dB ≤ C Value &lt; BT_Threshold_DL+30 dB</w:t>
            </w:r>
            <w:r w:rsidRPr="004D0DAA">
              <w:rPr>
                <w:bCs/>
              </w:rPr>
              <w:br/>
            </w:r>
            <w:r w:rsidRPr="004D0DAA">
              <w:t>1 1 0 1</w:t>
            </w:r>
            <w:r w:rsidRPr="004D0DAA">
              <w:tab/>
              <w:t>DL CC1</w:t>
            </w:r>
            <w:r w:rsidRPr="004D0DAA">
              <w:rPr>
                <w:bCs/>
              </w:rPr>
              <w:t>; BT_Threshold_DL+30 dB ≤ C Value &lt; BT_Threshold_DL+33 dB</w:t>
            </w:r>
            <w:r w:rsidRPr="004D0DAA">
              <w:rPr>
                <w:bCs/>
              </w:rPr>
              <w:br/>
            </w:r>
            <w:r w:rsidRPr="004D0DAA">
              <w:t>1 1 1 0</w:t>
            </w:r>
            <w:r w:rsidRPr="004D0DAA">
              <w:tab/>
              <w:t>DL CC1</w:t>
            </w:r>
            <w:r w:rsidRPr="004D0DAA">
              <w:rPr>
                <w:bCs/>
              </w:rPr>
              <w:t>; BT_Threshold_DL+33 dB ≤ C Value &lt; BT_Threshold_DL+36 dB</w:t>
            </w:r>
            <w:r w:rsidRPr="004D0DAA">
              <w:rPr>
                <w:bCs/>
              </w:rPr>
              <w:br/>
            </w:r>
            <w:r w:rsidRPr="004D0DAA">
              <w:t>1 1 1 1</w:t>
            </w:r>
            <w:r w:rsidRPr="004D0DAA">
              <w:tab/>
              <w:t>DL CC1</w:t>
            </w:r>
            <w:r w:rsidRPr="004D0DAA">
              <w:rPr>
                <w:bCs/>
              </w:rPr>
              <w:t>; BT_Threshold_DL+36 dB ≤ C Value &lt; BT_Threshold_DL+39 dB</w:t>
            </w:r>
          </w:p>
        </w:tc>
      </w:tr>
    </w:tbl>
    <w:p w14:paraId="475658FB" w14:textId="77777777" w:rsidR="00711444" w:rsidRPr="004D0DAA" w:rsidRDefault="00711444" w:rsidP="00711444"/>
    <w:p w14:paraId="56A06AE7" w14:textId="77777777" w:rsidR="00711444" w:rsidRPr="004D0DAA" w:rsidRDefault="00711444" w:rsidP="00711444">
      <w:pPr>
        <w:pStyle w:val="Heading3"/>
      </w:pPr>
      <w:bookmarkStart w:id="741" w:name="_Toc516669917"/>
      <w:r w:rsidRPr="004D0DAA">
        <w:lastRenderedPageBreak/>
        <w:t>11.2.51</w:t>
      </w:r>
      <w:r w:rsidRPr="004D0DAA">
        <w:tab/>
        <w:t>EC Packet Downlink Ack/Nack</w:t>
      </w:r>
      <w:bookmarkEnd w:id="741"/>
    </w:p>
    <w:p w14:paraId="6331F1F6" w14:textId="77777777" w:rsidR="00711444" w:rsidRPr="004D0DAA" w:rsidRDefault="00711444" w:rsidP="00711444">
      <w:r w:rsidRPr="004D0DAA">
        <w:t>This message is sent on the EC-PACCH from the mobile station to the network to indicate the status of downlink RLC data blocks received and to report the channel quality of the downlink. The mobile station may optionally initiate an uplink TBF by including the EC Channel Request Description in the message.</w:t>
      </w:r>
    </w:p>
    <w:p w14:paraId="0E1C669A" w14:textId="77777777" w:rsidR="00711444" w:rsidRPr="004D0DAA" w:rsidRDefault="00711444" w:rsidP="00711444">
      <w:pPr>
        <w:pStyle w:val="EX"/>
      </w:pPr>
      <w:r w:rsidRPr="004D0DAA">
        <w:t>Message type:</w:t>
      </w:r>
      <w:r w:rsidRPr="004D0DAA">
        <w:tab/>
        <w:t>EC Packet Downlink Ack/Nack</w:t>
      </w:r>
    </w:p>
    <w:p w14:paraId="7298DB90" w14:textId="77777777" w:rsidR="00711444" w:rsidRPr="004D0DAA" w:rsidRDefault="00711444" w:rsidP="00711444">
      <w:pPr>
        <w:pStyle w:val="EX"/>
      </w:pPr>
      <w:r w:rsidRPr="004D0DAA">
        <w:t>Direction:</w:t>
      </w:r>
      <w:r w:rsidRPr="004D0DAA">
        <w:tab/>
        <w:t>mobile station to network</w:t>
      </w:r>
    </w:p>
    <w:p w14:paraId="6D2C174D" w14:textId="77777777" w:rsidR="00711444" w:rsidRPr="004D0DAA" w:rsidRDefault="00711444" w:rsidP="00711444">
      <w:pPr>
        <w:pStyle w:val="TH"/>
      </w:pPr>
      <w:r w:rsidRPr="004D0DAA">
        <w:t xml:space="preserve">Table 11.2.51.1: EC </w:t>
      </w:r>
      <w:r w:rsidRPr="004D0DAA">
        <w:rPr>
          <w:caps/>
        </w:rPr>
        <w:t>Packet Downlink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C300215" w14:textId="77777777" w:rsidTr="00AA2A4C">
        <w:trPr>
          <w:cantSplit/>
        </w:trPr>
        <w:tc>
          <w:tcPr>
            <w:tcW w:w="9848" w:type="dxa"/>
          </w:tcPr>
          <w:p w14:paraId="4F86C5B4" w14:textId="77777777" w:rsidR="00711444" w:rsidRPr="004D0DAA" w:rsidRDefault="00711444" w:rsidP="00AA2A4C">
            <w:pPr>
              <w:pStyle w:val="TAL"/>
              <w:rPr>
                <w:lang w:eastAsia="en-US"/>
              </w:rPr>
            </w:pPr>
            <w:r w:rsidRPr="004D0DAA">
              <w:rPr>
                <w:lang w:eastAsia="en-US"/>
              </w:rPr>
              <w:t>&lt; EC Packet Downlink Ack/Nack message content &gt; ::=</w:t>
            </w:r>
          </w:p>
          <w:p w14:paraId="005B776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DOWNLINK_TFI </w:t>
            </w:r>
            <w:r w:rsidRPr="004D0DAA">
              <w:rPr>
                <w:lang w:eastAsia="en-US"/>
              </w:rPr>
              <w:t>: bit (5) &gt;</w:t>
            </w:r>
          </w:p>
          <w:p w14:paraId="5000DBF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MS OUT OF MEMORY</w:t>
            </w:r>
            <w:r w:rsidRPr="004D0DAA">
              <w:rPr>
                <w:lang w:eastAsia="en-US"/>
              </w:rPr>
              <w:t xml:space="preserve"> : bit(1)&gt;</w:t>
            </w:r>
          </w:p>
          <w:p w14:paraId="4C04B235"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EC</w:t>
            </w:r>
            <w:r w:rsidRPr="004D0DAA">
              <w:rPr>
                <w:lang w:eastAsia="en-US"/>
              </w:rPr>
              <w:t xml:space="preserve"> </w:t>
            </w:r>
            <w:r w:rsidRPr="004D0DAA">
              <w:rPr>
                <w:b/>
                <w:lang w:eastAsia="en-US"/>
              </w:rPr>
              <w:t>Ack/Nack Description</w:t>
            </w:r>
            <w:r w:rsidRPr="004D0DAA">
              <w:rPr>
                <w:lang w:eastAsia="en-US"/>
              </w:rPr>
              <w:t xml:space="preserve"> : &lt; EC Ack/Nack Description IE &gt;&gt;</w:t>
            </w:r>
            <w:r w:rsidRPr="004D0DAA">
              <w:rPr>
                <w:lang w:eastAsia="en-US"/>
              </w:rPr>
              <w:tab/>
              <w:t xml:space="preserve">-- </w:t>
            </w:r>
            <w:r w:rsidRPr="004D0DAA">
              <w:rPr>
                <w:i/>
                <w:lang w:eastAsia="en-US"/>
              </w:rPr>
              <w:t>Final Ack Indicator = 0</w:t>
            </w:r>
          </w:p>
          <w:p w14:paraId="6B358B0B" w14:textId="77777777" w:rsidR="00711444" w:rsidRPr="004D0DAA" w:rsidRDefault="00711444" w:rsidP="00AA2A4C">
            <w:pPr>
              <w:pStyle w:val="TAL"/>
              <w:rPr>
                <w:lang w:eastAsia="en-US"/>
              </w:rPr>
            </w:pPr>
            <w:r w:rsidRPr="004D0DAA">
              <w:rPr>
                <w:lang w:eastAsia="en-US"/>
              </w:rPr>
              <w:tab/>
              <w:t xml:space="preserve"> |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Final Ack Indicator = 1 </w:t>
            </w:r>
            <w:r w:rsidRPr="004D0DAA">
              <w:rPr>
                <w:lang w:eastAsia="en-US"/>
              </w:rPr>
              <w:t>}</w:t>
            </w:r>
          </w:p>
          <w:p w14:paraId="00242581" w14:textId="77777777" w:rsidR="00711444" w:rsidRPr="004D0DAA" w:rsidRDefault="00711444" w:rsidP="00AA2A4C">
            <w:pPr>
              <w:pStyle w:val="TAL"/>
              <w:rPr>
                <w:lang w:eastAsia="en-US"/>
              </w:rPr>
            </w:pPr>
            <w:r w:rsidRPr="004D0DAA">
              <w:rPr>
                <w:lang w:eastAsia="en-US"/>
              </w:rPr>
              <w:tab/>
              <w:t>{ 0</w:t>
            </w:r>
          </w:p>
          <w:p w14:paraId="05BF66C3" w14:textId="77777777" w:rsidR="00711444" w:rsidRPr="004D0DAA" w:rsidRDefault="00711444" w:rsidP="00AA2A4C">
            <w:pPr>
              <w:pStyle w:val="TAL"/>
              <w:rPr>
                <w:lang w:eastAsia="en-US"/>
              </w:rPr>
            </w:pPr>
            <w:r w:rsidRPr="004D0DAA">
              <w:rPr>
                <w:lang w:eastAsia="en-US"/>
              </w:rPr>
              <w:tab/>
              <w:t>| 1 {</w:t>
            </w:r>
            <w:r w:rsidRPr="004D0DAA">
              <w:rPr>
                <w:lang w:eastAsia="en-US"/>
              </w:rPr>
              <w:tab/>
              <w:t>&lt;</w:t>
            </w:r>
            <w:r w:rsidRPr="004D0DAA">
              <w:rPr>
                <w:b/>
                <w:lang w:eastAsia="en-US"/>
              </w:rPr>
              <w:t xml:space="preserve"> EC Channel Quality Report</w:t>
            </w:r>
            <w:r w:rsidRPr="004D0DAA">
              <w:rPr>
                <w:lang w:eastAsia="en-US"/>
              </w:rPr>
              <w:t xml:space="preserve"> : &lt; EC Channel Quality Report IE &gt; &gt;</w:t>
            </w:r>
          </w:p>
          <w:p w14:paraId="1AD5F05B"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val="fr-FR" w:eastAsia="en-US"/>
              </w:rPr>
              <w:t xml:space="preserve">&lt; </w:t>
            </w:r>
            <w:r w:rsidRPr="004D0DAA">
              <w:rPr>
                <w:b/>
                <w:lang w:val="fr-FR" w:eastAsia="en-US"/>
              </w:rPr>
              <w:t xml:space="preserve">DL_CC_EST </w:t>
            </w:r>
            <w:r w:rsidRPr="004D0DAA">
              <w:rPr>
                <w:lang w:val="fr-FR" w:eastAsia="en-US"/>
              </w:rPr>
              <w:t>: bit (4) &gt; } }</w:t>
            </w:r>
          </w:p>
          <w:p w14:paraId="1C7286AC" w14:textId="77777777" w:rsidR="00711444" w:rsidRPr="004D0DAA" w:rsidRDefault="00711444" w:rsidP="00AA2A4C">
            <w:pPr>
              <w:pStyle w:val="TAL"/>
              <w:rPr>
                <w:lang w:val="fr-FR" w:eastAsia="en-US"/>
              </w:rPr>
            </w:pPr>
            <w:r w:rsidRPr="004D0DAA">
              <w:rPr>
                <w:lang w:val="fr-FR" w:eastAsia="en-US"/>
              </w:rPr>
              <w:tab/>
              <w:t>{ 0 | 1</w:t>
            </w:r>
            <w:r w:rsidRPr="004D0DAA">
              <w:rPr>
                <w:lang w:val="fr-FR" w:eastAsia="en-US"/>
              </w:rPr>
              <w:tab/>
              <w:t xml:space="preserve">&lt; </w:t>
            </w:r>
            <w:r w:rsidRPr="004D0DAA">
              <w:rPr>
                <w:b/>
                <w:lang w:val="fr-FR" w:eastAsia="en-US"/>
              </w:rPr>
              <w:t>EC Channel Request Description</w:t>
            </w:r>
            <w:r w:rsidRPr="004D0DAA">
              <w:rPr>
                <w:lang w:val="fr-FR" w:eastAsia="en-US"/>
              </w:rPr>
              <w:t xml:space="preserve"> : &lt; EC Channel Request Description struct &gt; &gt; }</w:t>
            </w:r>
          </w:p>
          <w:p w14:paraId="70A53D33"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Rel-14 extension</w:t>
            </w:r>
          </w:p>
          <w:p w14:paraId="0E29C56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w:t>
            </w:r>
            <w:r w:rsidRPr="004D0DAA">
              <w:rPr>
                <w:lang w:eastAsia="en-US"/>
              </w:rPr>
              <w:tab/>
            </w:r>
            <w:r w:rsidRPr="004D0DAA">
              <w:rPr>
                <w:lang w:eastAsia="en-US"/>
              </w:rPr>
              <w:tab/>
              <w:t>&lt; MS Transmission Offset</w:t>
            </w:r>
            <w:r w:rsidRPr="004D0DAA">
              <w:rPr>
                <w:b/>
                <w:bCs/>
                <w:lang w:eastAsia="en-US"/>
              </w:rPr>
              <w:t xml:space="preserve"> </w:t>
            </w:r>
            <w:r w:rsidRPr="004D0DAA">
              <w:rPr>
                <w:lang w:eastAsia="en-US"/>
              </w:rPr>
              <w:t>: bit (4) &gt;</w:t>
            </w:r>
          </w:p>
          <w:p w14:paraId="7385CF0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&lt; MS Sync Accuracy : bit (4) &gt; }</w:t>
            </w:r>
          </w:p>
          <w:p w14:paraId="6F6574D2" w14:textId="77777777" w:rsidR="00711444" w:rsidRPr="004D0DAA" w:rsidRDefault="00711444" w:rsidP="00AA2A4C">
            <w:pPr>
              <w:pStyle w:val="TAL"/>
              <w:rPr>
                <w:lang w:eastAsia="en-US"/>
              </w:rPr>
            </w:pPr>
            <w:r w:rsidRPr="004D0DAA">
              <w:rPr>
                <w:lang w:eastAsia="en-US"/>
              </w:rPr>
              <w:tab/>
              <w:t>}</w:t>
            </w:r>
          </w:p>
          <w:p w14:paraId="223F9E97" w14:textId="77777777" w:rsidR="00711444" w:rsidRPr="004D0DAA" w:rsidRDefault="00711444" w:rsidP="00AA2A4C">
            <w:pPr>
              <w:pStyle w:val="TAL"/>
              <w:rPr>
                <w:lang w:eastAsia="en-US"/>
              </w:rPr>
            </w:pPr>
            <w:r w:rsidRPr="004D0DAA">
              <w:rPr>
                <w:lang w:val="en-US" w:eastAsia="en-US"/>
              </w:rPr>
              <w:tab/>
            </w:r>
            <w:r w:rsidRPr="004D0DAA">
              <w:rPr>
                <w:lang w:eastAsia="en-US"/>
              </w:rPr>
              <w:t>&lt;padding bits &gt;;</w:t>
            </w:r>
          </w:p>
          <w:p w14:paraId="7DB3DBE5" w14:textId="77777777" w:rsidR="00711444" w:rsidRPr="004D0DAA" w:rsidRDefault="00711444" w:rsidP="00AA2A4C">
            <w:pPr>
              <w:pStyle w:val="TAL"/>
              <w:rPr>
                <w:lang w:eastAsia="en-US"/>
              </w:rPr>
            </w:pPr>
          </w:p>
          <w:p w14:paraId="7807E69C" w14:textId="77777777" w:rsidR="00711444" w:rsidRPr="004D0DAA" w:rsidRDefault="00711444" w:rsidP="00AA2A4C">
            <w:pPr>
              <w:pStyle w:val="TAL"/>
              <w:rPr>
                <w:lang w:eastAsia="en-US"/>
              </w:rPr>
            </w:pPr>
            <w:r w:rsidRPr="004D0DAA">
              <w:rPr>
                <w:lang w:eastAsia="en-US"/>
              </w:rPr>
              <w:t>&lt; EC Channel Request Description struct &gt; ::=</w:t>
            </w:r>
          </w:p>
          <w:p w14:paraId="6226E9C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PRIORITY</w:t>
            </w:r>
            <w:r w:rsidRPr="004D0DAA">
              <w:rPr>
                <w:lang w:eastAsia="en-US"/>
              </w:rPr>
              <w:t xml:space="preserve"> : bit (1) &gt;</w:t>
            </w:r>
          </w:p>
          <w:p w14:paraId="09E361EB"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NUMBER_OF_UL_DATA_BLOCKS</w:t>
            </w:r>
            <w:r w:rsidRPr="004D0DAA">
              <w:rPr>
                <w:bCs/>
                <w:lang w:eastAsia="en-US"/>
              </w:rPr>
              <w:t xml:space="preserve"> : bit (4) </w:t>
            </w:r>
            <w:r w:rsidRPr="004D0DAA">
              <w:rPr>
                <w:lang w:eastAsia="en-US"/>
              </w:rPr>
              <w:t>&gt;;</w:t>
            </w:r>
          </w:p>
          <w:p w14:paraId="73303A0D" w14:textId="77777777" w:rsidR="00711444" w:rsidRPr="004D0DAA" w:rsidRDefault="00711444" w:rsidP="00AA2A4C">
            <w:pPr>
              <w:pStyle w:val="TAL"/>
              <w:rPr>
                <w:lang w:eastAsia="en-US"/>
              </w:rPr>
            </w:pPr>
          </w:p>
        </w:tc>
      </w:tr>
    </w:tbl>
    <w:p w14:paraId="78CC8EC1" w14:textId="77777777" w:rsidR="00711444" w:rsidRPr="004D0DAA" w:rsidRDefault="00711444" w:rsidP="00711444"/>
    <w:p w14:paraId="5A8D8BFB" w14:textId="77777777" w:rsidR="00711444" w:rsidRPr="004D0DAA" w:rsidRDefault="00711444" w:rsidP="00711444">
      <w:pPr>
        <w:pStyle w:val="TH"/>
      </w:pPr>
      <w:r w:rsidRPr="004D0DAA">
        <w:t xml:space="preserve">Table 11.2.51.2: EC </w:t>
      </w:r>
      <w:r w:rsidRPr="004D0DAA">
        <w:rPr>
          <w:caps/>
        </w:rPr>
        <w:t>Packet Downlink Ack/Nack</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910075E" w14:textId="77777777" w:rsidTr="00AA2A4C">
        <w:trPr>
          <w:cantSplit/>
          <w:trHeight w:val="23"/>
        </w:trPr>
        <w:tc>
          <w:tcPr>
            <w:tcW w:w="9848" w:type="dxa"/>
          </w:tcPr>
          <w:p w14:paraId="033FFE6B"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w:t>
            </w:r>
          </w:p>
        </w:tc>
      </w:tr>
      <w:tr w:rsidR="00711444" w:rsidRPr="004D0DAA" w14:paraId="41194539" w14:textId="77777777" w:rsidTr="00AA2A4C">
        <w:trPr>
          <w:cantSplit/>
          <w:trHeight w:val="23"/>
        </w:trPr>
        <w:tc>
          <w:tcPr>
            <w:tcW w:w="9848" w:type="dxa"/>
          </w:tcPr>
          <w:p w14:paraId="06F77958" w14:textId="77777777" w:rsidR="00711444" w:rsidRPr="004D0DAA" w:rsidRDefault="00711444" w:rsidP="00AA2A4C">
            <w:r w:rsidRPr="004D0DAA">
              <w:rPr>
                <w:b/>
              </w:rPr>
              <w:t>EC Ack/Nack Description IE</w:t>
            </w:r>
            <w:r w:rsidRPr="004D0DAA">
              <w:rPr>
                <w:b/>
              </w:rPr>
              <w:br/>
            </w:r>
            <w:r w:rsidRPr="004D0DAA">
              <w:t>This information element is defined in</w:t>
            </w:r>
            <w:r w:rsidRPr="004D0DAA">
              <w:rPr>
                <w:i/>
              </w:rPr>
              <w:t xml:space="preserve"> </w:t>
            </w:r>
            <w:r w:rsidRPr="004D0DAA">
              <w:t>sub-clause 12.72.</w:t>
            </w:r>
          </w:p>
          <w:p w14:paraId="5EF6E76E" w14:textId="77777777" w:rsidR="00711444" w:rsidRPr="004D0DAA" w:rsidRDefault="00711444" w:rsidP="00AA2A4C">
            <w:pPr>
              <w:rPr>
                <w:b/>
              </w:rPr>
            </w:pPr>
            <w:r w:rsidRPr="004D0DAA">
              <w:rPr>
                <w:b/>
              </w:rPr>
              <w:t>EC Channel Quality Report IE</w:t>
            </w:r>
            <w:r w:rsidRPr="004D0DAA">
              <w:rPr>
                <w:b/>
              </w:rPr>
              <w:br/>
            </w:r>
            <w:r w:rsidRPr="004D0DAA">
              <w:t>This information element is defined in</w:t>
            </w:r>
            <w:r w:rsidRPr="004D0DAA">
              <w:rPr>
                <w:i/>
              </w:rPr>
              <w:t xml:space="preserve"> </w:t>
            </w:r>
            <w:r w:rsidRPr="004D0DAA">
              <w:t>sub-clause 12.75.</w:t>
            </w:r>
          </w:p>
        </w:tc>
      </w:tr>
      <w:tr w:rsidR="00711444" w:rsidRPr="004D0DAA" w14:paraId="1DD92392" w14:textId="77777777" w:rsidTr="00AA2A4C">
        <w:trPr>
          <w:cantSplit/>
          <w:trHeight w:val="23"/>
        </w:trPr>
        <w:tc>
          <w:tcPr>
            <w:tcW w:w="9848" w:type="dxa"/>
          </w:tcPr>
          <w:p w14:paraId="01816285" w14:textId="77777777" w:rsidR="00711444" w:rsidRPr="004D0DAA" w:rsidRDefault="00711444" w:rsidP="00AA2A4C">
            <w:r w:rsidRPr="004D0DAA">
              <w:rPr>
                <w:b/>
              </w:rPr>
              <w:t xml:space="preserve">MS OUT OF MEMORY </w:t>
            </w:r>
            <w:r w:rsidRPr="004D0DAA">
              <w:t>(1 bit field)</w:t>
            </w:r>
            <w:r w:rsidRPr="004D0DAA">
              <w:br/>
              <w:t>This field indicates if the MS no more has enough memory to perform Incremental Redundancy.</w:t>
            </w:r>
          </w:p>
          <w:p w14:paraId="5BAD2E61" w14:textId="77777777" w:rsidR="00711444" w:rsidRPr="004D0DAA" w:rsidRDefault="00711444" w:rsidP="00AA2A4C">
            <w:pPr>
              <w:rPr>
                <w:b/>
              </w:rPr>
            </w:pPr>
            <w:r w:rsidRPr="004D0DAA">
              <w:t>0</w:t>
            </w:r>
            <w:r w:rsidRPr="004D0DAA">
              <w:tab/>
              <w:t>The MS has enough memory</w:t>
            </w:r>
            <w:r w:rsidRPr="004D0DAA">
              <w:br/>
              <w:t>1</w:t>
            </w:r>
            <w:r w:rsidRPr="004D0DAA">
              <w:tab/>
              <w:t>The MS is running out of memory</w:t>
            </w:r>
          </w:p>
        </w:tc>
      </w:tr>
      <w:tr w:rsidR="00711444" w:rsidRPr="004D0DAA" w14:paraId="1B6B0AC0" w14:textId="77777777" w:rsidTr="00AA2A4C">
        <w:trPr>
          <w:cantSplit/>
          <w:trHeight w:val="23"/>
        </w:trPr>
        <w:tc>
          <w:tcPr>
            <w:tcW w:w="9848" w:type="dxa"/>
          </w:tcPr>
          <w:p w14:paraId="2E365F4C" w14:textId="77777777" w:rsidR="00711444" w:rsidRPr="004D0DAA" w:rsidRDefault="00711444" w:rsidP="00AA2A4C">
            <w:r w:rsidRPr="004D0DAA">
              <w:rPr>
                <w:b/>
              </w:rPr>
              <w:lastRenderedPageBreak/>
              <w:t>PRIORITY</w:t>
            </w:r>
            <w:r w:rsidRPr="004D0DAA">
              <w:br/>
              <w:t>This field indicates the priority of the transfer for which the mobile station is requesting uplink resources.</w:t>
            </w:r>
          </w:p>
          <w:p w14:paraId="76F2B67B" w14:textId="77777777" w:rsidR="00711444" w:rsidRPr="004D0DAA" w:rsidRDefault="00711444" w:rsidP="00AA2A4C">
            <w:pPr>
              <w:rPr>
                <w:bCs/>
              </w:rPr>
            </w:pPr>
            <w:r w:rsidRPr="004D0DAA">
              <w:t>0</w:t>
            </w:r>
            <w:r w:rsidRPr="004D0DAA">
              <w:tab/>
              <w:t>Normal priority</w:t>
            </w:r>
            <w:r w:rsidRPr="004D0DAA">
              <w:br/>
              <w:t>1</w:t>
            </w:r>
            <w:r w:rsidRPr="004D0DAA">
              <w:tab/>
              <w:t>High priority</w:t>
            </w:r>
          </w:p>
          <w:p w14:paraId="584F7EA6" w14:textId="77777777" w:rsidR="00711444" w:rsidRPr="004D0DAA" w:rsidRDefault="00711444" w:rsidP="00AA2A4C">
            <w:r w:rsidRPr="004D0DAA">
              <w:rPr>
                <w:b/>
              </w:rPr>
              <w:t>NUMBER_OF_UL_DATA_BLOCKS</w:t>
            </w:r>
            <w:r w:rsidRPr="004D0DAA">
              <w:br/>
              <w:t>This field indicates the number of UL RLC Data blocks, using MCS-1, that are requested by the mobile station. The field is coded as shown in the following table:</w:t>
            </w:r>
          </w:p>
          <w:p w14:paraId="7CBA8AC8" w14:textId="77777777" w:rsidR="00711444" w:rsidRPr="004D0DAA" w:rsidRDefault="00711444" w:rsidP="00AA2A4C">
            <w:r w:rsidRPr="004D0DAA">
              <w:t>bit</w:t>
            </w:r>
            <w:r w:rsidRPr="004D0DAA">
              <w:br/>
              <w:t xml:space="preserve">4 3 2 1 </w:t>
            </w:r>
            <w:r w:rsidRPr="004D0DAA">
              <w:br/>
              <w:t>0 0 0 0</w:t>
            </w:r>
            <w:r w:rsidRPr="004D0DAA">
              <w:tab/>
            </w:r>
            <w:r w:rsidRPr="004D0DAA">
              <w:tab/>
              <w:t>1 RLC data block</w:t>
            </w:r>
            <w:r w:rsidRPr="004D0DAA">
              <w:br/>
              <w:t>0 0 0 1</w:t>
            </w:r>
            <w:r w:rsidRPr="004D0DAA">
              <w:tab/>
            </w:r>
            <w:r w:rsidRPr="004D0DAA">
              <w:tab/>
              <w:t>2 RLC data blocks</w:t>
            </w:r>
            <w:r w:rsidRPr="004D0DAA">
              <w:br/>
              <w:t>. . .</w:t>
            </w:r>
            <w:r w:rsidRPr="004D0DAA">
              <w:br/>
              <w:t>1 1 1 0</w:t>
            </w:r>
            <w:r w:rsidRPr="004D0DAA">
              <w:tab/>
            </w:r>
            <w:r w:rsidRPr="004D0DAA">
              <w:tab/>
              <w:t>15 RLC data blocks</w:t>
            </w:r>
            <w:r w:rsidRPr="004D0DAA">
              <w:br/>
              <w:t>1 1 1 1</w:t>
            </w:r>
            <w:r w:rsidRPr="004D0DAA">
              <w:tab/>
            </w:r>
            <w:r w:rsidRPr="004D0DAA">
              <w:tab/>
              <w:t>&gt;15 RLC data blocks</w:t>
            </w:r>
          </w:p>
        </w:tc>
      </w:tr>
      <w:tr w:rsidR="00711444" w:rsidRPr="004D0DAA" w14:paraId="0E9A39F5" w14:textId="77777777" w:rsidTr="00AA2A4C">
        <w:trPr>
          <w:cantSplit/>
          <w:trHeight w:val="23"/>
        </w:trPr>
        <w:tc>
          <w:tcPr>
            <w:tcW w:w="9848" w:type="dxa"/>
          </w:tcPr>
          <w:p w14:paraId="74883765" w14:textId="77777777" w:rsidR="00711444" w:rsidRPr="004D0DAA" w:rsidRDefault="00711444" w:rsidP="00AA2A4C">
            <w:pPr>
              <w:rPr>
                <w:bCs/>
              </w:rPr>
            </w:pPr>
            <w:r w:rsidRPr="004D0DAA">
              <w:rPr>
                <w:b/>
              </w:rPr>
              <w:t>DL_CC_EST</w:t>
            </w:r>
            <w:r w:rsidRPr="004D0DAA">
              <w:rPr>
                <w:bCs/>
              </w:rPr>
              <w:t xml:space="preserve"> (4 bit field)</w:t>
            </w:r>
            <w:r w:rsidRPr="004D0DAA">
              <w:rPr>
                <w:bCs/>
              </w:rPr>
              <w:br/>
              <w:t>This field contains the latest downlink Coverage Class estimation and the latest estimated C value range in case the C value is above BT_Threshold_DL, see 3GPP TS 45.008. The BT_Threshold_DL value is broadcast in EC SI 2, see 3GPP TS 44.018. The DL_CC_EST field shall be set according to the following table:</w:t>
            </w:r>
          </w:p>
          <w:p w14:paraId="28C2211E" w14:textId="77777777" w:rsidR="00711444" w:rsidRPr="004D0DAA" w:rsidRDefault="00711444" w:rsidP="00AA2A4C">
            <w:pPr>
              <w:pStyle w:val="FP"/>
              <w:tabs>
                <w:tab w:val="left" w:pos="851"/>
              </w:tabs>
            </w:pPr>
            <w:r w:rsidRPr="004D0DAA">
              <w:t>bit</w:t>
            </w:r>
          </w:p>
          <w:p w14:paraId="3A7D4674" w14:textId="77777777" w:rsidR="00711444" w:rsidRPr="004D0DAA" w:rsidRDefault="00711444" w:rsidP="00AA2A4C">
            <w:pPr>
              <w:pStyle w:val="FP"/>
              <w:tabs>
                <w:tab w:val="left" w:pos="851"/>
              </w:tabs>
            </w:pPr>
            <w:r w:rsidRPr="004D0DAA">
              <w:t>4 3 2 1</w:t>
            </w:r>
          </w:p>
          <w:p w14:paraId="73049FB6" w14:textId="77777777" w:rsidR="00711444" w:rsidRPr="004D0DAA" w:rsidRDefault="00711444" w:rsidP="00AA2A4C">
            <w:pPr>
              <w:pStyle w:val="FP"/>
              <w:tabs>
                <w:tab w:val="left" w:pos="851"/>
              </w:tabs>
            </w:pPr>
            <w:r w:rsidRPr="004D0DAA">
              <w:t>0 0 0 0</w:t>
            </w:r>
            <w:r w:rsidRPr="004D0DAA">
              <w:tab/>
              <w:t>DL CC4</w:t>
            </w:r>
          </w:p>
          <w:p w14:paraId="13700593" w14:textId="77777777" w:rsidR="00711444" w:rsidRPr="004D0DAA" w:rsidRDefault="00711444" w:rsidP="00AA2A4C">
            <w:pPr>
              <w:pStyle w:val="FP"/>
              <w:tabs>
                <w:tab w:val="left" w:pos="851"/>
              </w:tabs>
            </w:pPr>
            <w:r w:rsidRPr="004D0DAA">
              <w:t>0 0 0 1</w:t>
            </w:r>
            <w:r w:rsidRPr="004D0DAA">
              <w:tab/>
              <w:t>DL CC3</w:t>
            </w:r>
          </w:p>
          <w:p w14:paraId="4B92A700" w14:textId="77777777" w:rsidR="00711444" w:rsidRPr="004D0DAA" w:rsidRDefault="00711444" w:rsidP="00AA2A4C">
            <w:pPr>
              <w:pStyle w:val="FP"/>
              <w:tabs>
                <w:tab w:val="left" w:pos="851"/>
              </w:tabs>
            </w:pPr>
            <w:r w:rsidRPr="004D0DAA">
              <w:t>0 0 1 0</w:t>
            </w:r>
            <w:r w:rsidRPr="004D0DAA">
              <w:tab/>
              <w:t>DL CC2</w:t>
            </w:r>
          </w:p>
          <w:p w14:paraId="541D9998" w14:textId="77777777" w:rsidR="00711444" w:rsidRPr="004D0DAA" w:rsidRDefault="00711444" w:rsidP="00AA2A4C">
            <w:pPr>
              <w:tabs>
                <w:tab w:val="left" w:pos="851"/>
              </w:tabs>
              <w:rPr>
                <w:b/>
              </w:rPr>
            </w:pPr>
            <w:r w:rsidRPr="004D0DAA">
              <w:t>0 0 1 1</w:t>
            </w:r>
            <w:r w:rsidRPr="004D0DAA">
              <w:tab/>
              <w:t>DL CC1</w:t>
            </w:r>
            <w:r w:rsidRPr="004D0DAA">
              <w:rPr>
                <w:bCs/>
              </w:rPr>
              <w:t>; BT_Threshold_DL ≤ C Value &lt; BT_Threshold_DL+3 dB</w:t>
            </w:r>
            <w:r w:rsidRPr="004D0DAA">
              <w:rPr>
                <w:bCs/>
              </w:rPr>
              <w:br/>
            </w:r>
            <w:r w:rsidRPr="004D0DAA">
              <w:t>0 1 0 0</w:t>
            </w:r>
            <w:r w:rsidRPr="004D0DAA">
              <w:tab/>
              <w:t>DL CC1</w:t>
            </w:r>
            <w:r w:rsidRPr="004D0DAA">
              <w:rPr>
                <w:bCs/>
              </w:rPr>
              <w:t>; BT_Threshold_DL+3 dB ≤ C Value &lt; BT_Threshold_DL+6 dB</w:t>
            </w:r>
            <w:r w:rsidRPr="004D0DAA">
              <w:rPr>
                <w:bCs/>
              </w:rPr>
              <w:br/>
            </w:r>
            <w:r w:rsidRPr="004D0DAA">
              <w:t>0 1 0 1</w:t>
            </w:r>
            <w:r w:rsidRPr="004D0DAA">
              <w:tab/>
              <w:t>DL CC1</w:t>
            </w:r>
            <w:r w:rsidRPr="004D0DAA">
              <w:rPr>
                <w:bCs/>
              </w:rPr>
              <w:t>; BT_Threshold_DL+6 dB ≤ C Value &lt; BT_Threshold_DL+9 dB</w:t>
            </w:r>
            <w:r w:rsidRPr="004D0DAA">
              <w:rPr>
                <w:bCs/>
              </w:rPr>
              <w:br/>
            </w:r>
            <w:r w:rsidRPr="004D0DAA">
              <w:t>0 1 1 0</w:t>
            </w:r>
            <w:r w:rsidRPr="004D0DAA">
              <w:tab/>
              <w:t>DL CC1</w:t>
            </w:r>
            <w:r w:rsidRPr="004D0DAA">
              <w:rPr>
                <w:bCs/>
              </w:rPr>
              <w:t>; BT_Threshold_DL+9 dB ≤ C Value &lt; BT_Threshold_DL+12 dB</w:t>
            </w:r>
            <w:r w:rsidRPr="004D0DAA">
              <w:rPr>
                <w:bCs/>
              </w:rPr>
              <w:br/>
            </w:r>
            <w:r w:rsidRPr="004D0DAA">
              <w:t>0 1 1 1</w:t>
            </w:r>
            <w:r w:rsidRPr="004D0DAA">
              <w:tab/>
              <w:t>DL CC1</w:t>
            </w:r>
            <w:r w:rsidRPr="004D0DAA">
              <w:rPr>
                <w:bCs/>
              </w:rPr>
              <w:t>; BT_Threshold_DL+12 dB ≤ C Value &lt; BT_Threshold_DL+15 dB</w:t>
            </w:r>
            <w:r w:rsidRPr="004D0DAA">
              <w:rPr>
                <w:bCs/>
              </w:rPr>
              <w:br/>
            </w:r>
            <w:r w:rsidRPr="004D0DAA">
              <w:t>1 0 0 0</w:t>
            </w:r>
            <w:r w:rsidRPr="004D0DAA">
              <w:tab/>
              <w:t>DL CC1</w:t>
            </w:r>
            <w:r w:rsidRPr="004D0DAA">
              <w:rPr>
                <w:bCs/>
              </w:rPr>
              <w:t>; BT_Threshold_DL+15 dB ≤ C Value &lt; BT_Threshold_DL+18 dB</w:t>
            </w:r>
            <w:r w:rsidRPr="004D0DAA">
              <w:rPr>
                <w:bCs/>
              </w:rPr>
              <w:br/>
            </w:r>
            <w:r w:rsidRPr="004D0DAA">
              <w:t>1 0 0 1</w:t>
            </w:r>
            <w:r w:rsidRPr="004D0DAA">
              <w:tab/>
              <w:t>DL CC1</w:t>
            </w:r>
            <w:r w:rsidRPr="004D0DAA">
              <w:rPr>
                <w:bCs/>
              </w:rPr>
              <w:t>; BT_Threshold_DL+18 dB ≤ C Value &lt; BT_Threshold_DL+21 dB</w:t>
            </w:r>
            <w:r w:rsidRPr="004D0DAA">
              <w:rPr>
                <w:bCs/>
              </w:rPr>
              <w:br/>
            </w:r>
            <w:r w:rsidRPr="004D0DAA">
              <w:t>1 0 1 0</w:t>
            </w:r>
            <w:r w:rsidRPr="004D0DAA">
              <w:tab/>
              <w:t>DL CC1</w:t>
            </w:r>
            <w:r w:rsidRPr="004D0DAA">
              <w:rPr>
                <w:bCs/>
              </w:rPr>
              <w:t>; BT_Threshold_DL+21 dB ≤ C Value &lt; BT_Threshold_DL+24 dB</w:t>
            </w:r>
            <w:r w:rsidRPr="004D0DAA">
              <w:rPr>
                <w:bCs/>
              </w:rPr>
              <w:br/>
            </w:r>
            <w:r w:rsidRPr="004D0DAA">
              <w:t>1 0 1 1</w:t>
            </w:r>
            <w:r w:rsidRPr="004D0DAA">
              <w:tab/>
              <w:t>DL CC1</w:t>
            </w:r>
            <w:r w:rsidRPr="004D0DAA">
              <w:rPr>
                <w:bCs/>
              </w:rPr>
              <w:t>; BT_Threshold_DL+24 dB ≤ C Value &lt; BT_Threshold_DL+27 dB</w:t>
            </w:r>
            <w:r w:rsidRPr="004D0DAA">
              <w:rPr>
                <w:bCs/>
              </w:rPr>
              <w:br/>
            </w:r>
            <w:r w:rsidRPr="004D0DAA">
              <w:t>1 1 0 0</w:t>
            </w:r>
            <w:r w:rsidRPr="004D0DAA">
              <w:tab/>
              <w:t>DL CC1</w:t>
            </w:r>
            <w:r w:rsidRPr="004D0DAA">
              <w:rPr>
                <w:bCs/>
              </w:rPr>
              <w:t>; BT_Threshold_DL+27 dB ≤ C Value &lt; BT_Threshold_DL+30 dB</w:t>
            </w:r>
            <w:r w:rsidRPr="004D0DAA">
              <w:rPr>
                <w:bCs/>
              </w:rPr>
              <w:br/>
            </w:r>
            <w:r w:rsidRPr="004D0DAA">
              <w:t>1 1 0 1</w:t>
            </w:r>
            <w:r w:rsidRPr="004D0DAA">
              <w:tab/>
              <w:t>DL CC1</w:t>
            </w:r>
            <w:r w:rsidRPr="004D0DAA">
              <w:rPr>
                <w:bCs/>
              </w:rPr>
              <w:t>; BT_Threshold_DL+30 dB ≤ C Value &lt; BT_Threshold_DL+33 dB</w:t>
            </w:r>
            <w:r w:rsidRPr="004D0DAA">
              <w:rPr>
                <w:bCs/>
              </w:rPr>
              <w:br/>
            </w:r>
            <w:r w:rsidRPr="004D0DAA">
              <w:t>1 1 1 0</w:t>
            </w:r>
            <w:r w:rsidRPr="004D0DAA">
              <w:tab/>
              <w:t>DL CC1</w:t>
            </w:r>
            <w:r w:rsidRPr="004D0DAA">
              <w:rPr>
                <w:bCs/>
              </w:rPr>
              <w:t>; BT_Threshold_DL+33 dB ≤ C Value &lt; BT_Threshold_DL+36 dB</w:t>
            </w:r>
            <w:r w:rsidRPr="004D0DAA">
              <w:rPr>
                <w:bCs/>
              </w:rPr>
              <w:br/>
            </w:r>
            <w:r w:rsidRPr="004D0DAA">
              <w:t>1 1 1 1</w:t>
            </w:r>
            <w:r w:rsidRPr="004D0DAA">
              <w:tab/>
              <w:t>DL CC1</w:t>
            </w:r>
            <w:r w:rsidRPr="004D0DAA">
              <w:rPr>
                <w:bCs/>
              </w:rPr>
              <w:t>; BT_Threshold_DL+36 dB ≤ C Value &lt; BT_Threshold_DL+39 dB</w:t>
            </w:r>
          </w:p>
        </w:tc>
      </w:tr>
      <w:tr w:rsidR="00711444" w:rsidRPr="004D0DAA" w14:paraId="22063922" w14:textId="77777777" w:rsidTr="00AA2A4C">
        <w:trPr>
          <w:cantSplit/>
          <w:trHeight w:val="23"/>
        </w:trPr>
        <w:tc>
          <w:tcPr>
            <w:tcW w:w="9848" w:type="dxa"/>
          </w:tcPr>
          <w:p w14:paraId="4DAE2865" w14:textId="77777777" w:rsidR="00711444" w:rsidRPr="004D0DAA" w:rsidRDefault="00711444" w:rsidP="00AA2A4C">
            <w:pPr>
              <w:spacing w:after="0"/>
            </w:pPr>
            <w:r w:rsidRPr="004D0DAA">
              <w:rPr>
                <w:b/>
                <w:bCs/>
              </w:rPr>
              <w:t xml:space="preserve">MS Transmission Offset </w:t>
            </w:r>
            <w:r w:rsidRPr="004D0DAA">
              <w:t>(4 bit field)</w:t>
            </w:r>
          </w:p>
          <w:p w14:paraId="2D5093F8" w14:textId="77777777" w:rsidR="00711444" w:rsidRPr="004D0DAA" w:rsidRDefault="00711444" w:rsidP="00AA2A4C">
            <w:pPr>
              <w:spacing w:after="0"/>
            </w:pPr>
            <w:r w:rsidRPr="004D0DAA">
              <w:t>If a downlink EC TBF is established using a downlink assignment message indicating “MS Transmission Offset” and “MS Sync Accuracy” parameters are needed then this field is included (see sub-clause 8.1.2.2a). It is coded as decribed in sub-clause 10.4.33.</w:t>
            </w:r>
          </w:p>
          <w:p w14:paraId="07494C71" w14:textId="77777777" w:rsidR="00711444" w:rsidRPr="004D0DAA" w:rsidRDefault="00711444" w:rsidP="00AA2A4C">
            <w:pPr>
              <w:rPr>
                <w:b/>
              </w:rPr>
            </w:pPr>
          </w:p>
        </w:tc>
      </w:tr>
      <w:tr w:rsidR="00711444" w:rsidRPr="004D0DAA" w14:paraId="49B91958" w14:textId="77777777" w:rsidTr="00AA2A4C">
        <w:trPr>
          <w:cantSplit/>
          <w:trHeight w:val="23"/>
        </w:trPr>
        <w:tc>
          <w:tcPr>
            <w:tcW w:w="9848" w:type="dxa"/>
          </w:tcPr>
          <w:p w14:paraId="63CA9C06" w14:textId="77777777" w:rsidR="00711444" w:rsidRPr="004D0DAA" w:rsidRDefault="00711444" w:rsidP="00AA2A4C">
            <w:pPr>
              <w:spacing w:after="0"/>
            </w:pPr>
            <w:r w:rsidRPr="004D0DAA">
              <w:rPr>
                <w:b/>
                <w:bCs/>
              </w:rPr>
              <w:t xml:space="preserve">MS Sync Accuracy </w:t>
            </w:r>
            <w:r w:rsidRPr="004D0DAA">
              <w:t>(4 bit field)</w:t>
            </w:r>
          </w:p>
          <w:p w14:paraId="6ED087BD" w14:textId="77777777" w:rsidR="00711444" w:rsidRPr="004D0DAA" w:rsidRDefault="00711444" w:rsidP="00AA2A4C">
            <w:pPr>
              <w:spacing w:after="0"/>
            </w:pPr>
            <w:r w:rsidRPr="004D0DAA">
              <w:t>If a downlink EC TBF is established using a downlink assignment message indicating “MS Transmission Offset” and “MS Sync Accuracy” parameters are needed then this field is included (see sub-clause 8.1.2.2a). It is coded as decribed in sub-clause 10.4.32.</w:t>
            </w:r>
          </w:p>
          <w:p w14:paraId="50F45DA3" w14:textId="77777777" w:rsidR="00711444" w:rsidRPr="004D0DAA" w:rsidRDefault="00711444" w:rsidP="00AA2A4C">
            <w:pPr>
              <w:rPr>
                <w:b/>
              </w:rPr>
            </w:pPr>
          </w:p>
        </w:tc>
      </w:tr>
    </w:tbl>
    <w:p w14:paraId="5D0E2AB8" w14:textId="77777777" w:rsidR="00711444" w:rsidRPr="004D0DAA" w:rsidRDefault="00711444" w:rsidP="00711444">
      <w:pPr>
        <w:rPr>
          <w:noProof/>
        </w:rPr>
      </w:pPr>
    </w:p>
    <w:p w14:paraId="0389C850" w14:textId="77777777" w:rsidR="00711444" w:rsidRPr="004D0DAA" w:rsidRDefault="00711444" w:rsidP="00711444">
      <w:pPr>
        <w:pStyle w:val="Heading3"/>
      </w:pPr>
      <w:bookmarkStart w:id="742" w:name="_Toc516669918"/>
      <w:r w:rsidRPr="004D0DAA">
        <w:t>11.2.52</w:t>
      </w:r>
      <w:r w:rsidRPr="004D0DAA">
        <w:tab/>
        <w:t>EC Packet Downlink Assignment</w:t>
      </w:r>
      <w:bookmarkEnd w:id="742"/>
    </w:p>
    <w:p w14:paraId="57D65504" w14:textId="77777777" w:rsidR="00711444" w:rsidRPr="004D0DAA" w:rsidRDefault="00711444" w:rsidP="00711444">
      <w:r w:rsidRPr="004D0DAA">
        <w:t>This message is sent on the EC-PACCH by the network to the mobile station to assign resources for a downlink EC TBF.</w:t>
      </w:r>
    </w:p>
    <w:p w14:paraId="54885DE2" w14:textId="77777777" w:rsidR="00711444" w:rsidRPr="004D0DAA" w:rsidRDefault="00711444" w:rsidP="00711444">
      <w:r w:rsidRPr="004D0DAA">
        <w:t>Frequency parameters received as part of this assignment message shall be valid until a new assignment is received or each TBF of the mobile station are terminated.</w:t>
      </w:r>
    </w:p>
    <w:p w14:paraId="0E86825E" w14:textId="77777777" w:rsidR="00711444" w:rsidRPr="004D0DAA" w:rsidRDefault="00711444" w:rsidP="00711444">
      <w:pPr>
        <w:pStyle w:val="EX"/>
      </w:pPr>
      <w:r w:rsidRPr="004D0DAA">
        <w:lastRenderedPageBreak/>
        <w:t>Message type:</w:t>
      </w:r>
      <w:r w:rsidRPr="004D0DAA">
        <w:tab/>
        <w:t>EC PACKET DOWNLINK ASSIGNMENT</w:t>
      </w:r>
    </w:p>
    <w:p w14:paraId="59440CC4" w14:textId="77777777" w:rsidR="00711444" w:rsidRPr="004D0DAA" w:rsidRDefault="00711444" w:rsidP="00711444">
      <w:pPr>
        <w:pStyle w:val="EX"/>
      </w:pPr>
      <w:r w:rsidRPr="004D0DAA">
        <w:t>Direction:</w:t>
      </w:r>
      <w:r w:rsidRPr="004D0DAA">
        <w:tab/>
        <w:t>network to mobile station</w:t>
      </w:r>
    </w:p>
    <w:p w14:paraId="22AA9305" w14:textId="77777777" w:rsidR="00711444" w:rsidRPr="004D0DAA" w:rsidRDefault="00711444" w:rsidP="00711444">
      <w:pPr>
        <w:pStyle w:val="EX"/>
      </w:pPr>
      <w:r w:rsidRPr="004D0DAA">
        <w:t>Classification:</w:t>
      </w:r>
      <w:r w:rsidRPr="004D0DAA">
        <w:tab/>
        <w:t>non-distribution message</w:t>
      </w:r>
    </w:p>
    <w:p w14:paraId="04D6FC2A" w14:textId="77777777" w:rsidR="00711444" w:rsidRPr="004D0DAA" w:rsidRDefault="00711444" w:rsidP="00711444">
      <w:pPr>
        <w:pStyle w:val="TH"/>
      </w:pPr>
      <w:r w:rsidRPr="004D0DAA">
        <w:t xml:space="preserve">Table 11.2.52.1: </w:t>
      </w:r>
      <w:r w:rsidRPr="004D0DAA">
        <w:rPr>
          <w:caps/>
        </w:rPr>
        <w:t>EC Packet Downlink ASSIGNMENT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1BE7E4A" w14:textId="77777777" w:rsidTr="00AA2A4C">
        <w:trPr>
          <w:cantSplit/>
        </w:trPr>
        <w:tc>
          <w:tcPr>
            <w:tcW w:w="9848" w:type="dxa"/>
          </w:tcPr>
          <w:p w14:paraId="46948676" w14:textId="77777777" w:rsidR="00711444" w:rsidRPr="004D0DAA" w:rsidRDefault="00711444" w:rsidP="00AA2A4C">
            <w:pPr>
              <w:pStyle w:val="TAL"/>
              <w:rPr>
                <w:lang w:eastAsia="en-US"/>
              </w:rPr>
            </w:pPr>
            <w:r w:rsidRPr="004D0DAA">
              <w:rPr>
                <w:lang w:eastAsia="en-US"/>
              </w:rPr>
              <w:t>&lt; EC Packet Downlink Assignment message content &gt; ::=</w:t>
            </w:r>
          </w:p>
          <w:p w14:paraId="4AF7475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0B78B2B8"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t xml:space="preserve">&lt; </w:t>
            </w:r>
            <w:r w:rsidRPr="004D0DAA">
              <w:rPr>
                <w:b/>
                <w:lang w:eastAsia="en-US"/>
              </w:rPr>
              <w:t>Global TFI</w:t>
            </w:r>
            <w:r w:rsidRPr="004D0DAA">
              <w:rPr>
                <w:lang w:eastAsia="en-US"/>
              </w:rPr>
              <w:t xml:space="preserve"> : &lt; Global TFI IE &gt; &gt;</w:t>
            </w:r>
          </w:p>
          <w:p w14:paraId="306CF5B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CONTROL_ACK</w:t>
            </w:r>
            <w:r w:rsidRPr="004D0DAA">
              <w:rPr>
                <w:lang w:eastAsia="en-US"/>
              </w:rPr>
              <w:t xml:space="preserve"> : bit (1) &gt;</w:t>
            </w:r>
          </w:p>
          <w:p w14:paraId="5F1B42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Frequency Parameters</w:t>
            </w:r>
            <w:r w:rsidRPr="004D0DAA">
              <w:rPr>
                <w:lang w:eastAsia="en-US"/>
              </w:rPr>
              <w:t xml:space="preserve"> : &lt; Frequency Parameters struct &gt; &gt; }</w:t>
            </w:r>
          </w:p>
          <w:p w14:paraId="33C58F6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DL_COVERAGE_CLASS</w:t>
            </w:r>
            <w:r w:rsidRPr="004D0DAA">
              <w:rPr>
                <w:lang w:eastAsia="en-US"/>
              </w:rPr>
              <w:t xml:space="preserve"> : bit (2) &gt;</w:t>
            </w:r>
          </w:p>
          <w:p w14:paraId="3D1A8B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STARTING_DL_TIMESLOT </w:t>
            </w:r>
            <w:r w:rsidRPr="004D0DAA">
              <w:rPr>
                <w:lang w:eastAsia="en-US"/>
              </w:rPr>
              <w:t>: bit (3) &gt;</w:t>
            </w:r>
          </w:p>
          <w:p w14:paraId="3E7212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TIMESLOT_MULTIPLICATOR </w:t>
            </w:r>
            <w:r w:rsidRPr="004D0DAA">
              <w:rPr>
                <w:lang w:eastAsia="en-US"/>
              </w:rPr>
              <w:t>: bit (3) &gt;</w:t>
            </w:r>
          </w:p>
          <w:p w14:paraId="39317A2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DOWNLINK_TFI_ASSIGNMENT</w:t>
            </w:r>
            <w:r w:rsidRPr="004D0DAA">
              <w:rPr>
                <w:lang w:eastAsia="en-US"/>
              </w:rPr>
              <w:t xml:space="preserve"> : bit (5) &gt;</w:t>
            </w:r>
          </w:p>
          <w:p w14:paraId="3A292B6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UL_COVERAGE_CLASS</w:t>
            </w:r>
            <w:r w:rsidRPr="004D0DAA">
              <w:rPr>
                <w:lang w:eastAsia="en-US"/>
              </w:rPr>
              <w:t xml:space="preserve"> : bit (2) &gt;</w:t>
            </w:r>
          </w:p>
          <w:p w14:paraId="5871D49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STARTING_UL_TIMESLOT_OFFSET</w:t>
            </w:r>
            <w:r w:rsidRPr="004D0DAA">
              <w:rPr>
                <w:lang w:eastAsia="en-US"/>
              </w:rPr>
              <w:t xml:space="preserve"> : bit (2) &gt;</w:t>
            </w:r>
          </w:p>
          <w:p w14:paraId="21F5B97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EC Packet Timing Advance </w:t>
            </w:r>
            <w:r w:rsidRPr="004D0DAA">
              <w:rPr>
                <w:lang w:eastAsia="en-US"/>
              </w:rPr>
              <w:t>: &lt; EC Packet Timing Advance IE &gt; &gt; }</w:t>
            </w:r>
          </w:p>
          <w:p w14:paraId="6AD7DEF1"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P0</w:t>
            </w:r>
            <w:r w:rsidRPr="004D0DAA">
              <w:rPr>
                <w:lang w:val="fr-FR" w:eastAsia="en-US"/>
              </w:rPr>
              <w:t> : bit (4) &gt;</w:t>
            </w:r>
          </w:p>
          <w:p w14:paraId="7690BAE9"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PR_MODE</w:t>
            </w:r>
            <w:r w:rsidRPr="004D0DAA">
              <w:rPr>
                <w:lang w:val="fr-FR" w:eastAsia="en-US"/>
              </w:rPr>
              <w:t> : bit (1) &gt; }</w:t>
            </w:r>
          </w:p>
          <w:p w14:paraId="295F641F"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0 | 1</w:t>
            </w:r>
            <w:r w:rsidRPr="004D0DAA">
              <w:rPr>
                <w:lang w:eastAsia="en-US"/>
              </w:rPr>
              <w:tab/>
              <w:t>&lt;</w:t>
            </w:r>
            <w:r w:rsidRPr="004D0DAA">
              <w:rPr>
                <w:b/>
                <w:lang w:eastAsia="en-US"/>
              </w:rPr>
              <w:t xml:space="preserve"> GAMMA</w:t>
            </w:r>
            <w:r w:rsidRPr="004D0DAA">
              <w:rPr>
                <w:lang w:eastAsia="en-US"/>
              </w:rPr>
              <w:t xml:space="preserve"> : bit (5) &gt;</w:t>
            </w:r>
          </w:p>
          <w:p w14:paraId="4B90CD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ALPHA Enable</w:t>
            </w:r>
            <w:r w:rsidRPr="004D0DAA">
              <w:rPr>
                <w:lang w:eastAsia="en-US"/>
              </w:rPr>
              <w:t xml:space="preserve"> : bit (1) &gt; }</w:t>
            </w:r>
          </w:p>
          <w:p w14:paraId="0D1F2835" w14:textId="77777777" w:rsidR="00711444" w:rsidRPr="004D0DAA" w:rsidRDefault="00711444" w:rsidP="00AA2A4C">
            <w:pPr>
              <w:pStyle w:val="TAL"/>
              <w:rPr>
                <w:lang w:eastAsia="en-US"/>
              </w:rPr>
            </w:pPr>
            <w:r w:rsidRPr="004D0DAA">
              <w:rPr>
                <w:lang w:val="sv-SE"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 </w:t>
            </w:r>
            <w:r w:rsidRPr="004D0DAA">
              <w:rPr>
                <w:i/>
                <w:iCs/>
                <w:lang w:eastAsia="en-US"/>
              </w:rPr>
              <w:t>Rel-14 extension</w:t>
            </w:r>
          </w:p>
          <w:p w14:paraId="7F563A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w:t>
            </w:r>
            <w:r w:rsidRPr="004D0DAA">
              <w:rPr>
                <w:lang w:eastAsia="en-US"/>
              </w:rPr>
              <w:tab/>
              <w:t xml:space="preserve">&lt; </w:t>
            </w:r>
            <w:r w:rsidRPr="004D0DAA">
              <w:rPr>
                <w:b/>
                <w:lang w:eastAsia="en-US"/>
              </w:rPr>
              <w:t>Multilateration Information Request</w:t>
            </w:r>
            <w:r w:rsidRPr="004D0DAA">
              <w:rPr>
                <w:lang w:eastAsia="en-US"/>
              </w:rPr>
              <w:t xml:space="preserve"> : bit (1) &gt; }</w:t>
            </w:r>
            <w:r w:rsidRPr="004D0DAA">
              <w:rPr>
                <w:lang w:eastAsia="en-US"/>
              </w:rPr>
              <w:tab/>
            </w:r>
            <w:r w:rsidRPr="004D0DAA">
              <w:rPr>
                <w:lang w:eastAsia="en-US"/>
              </w:rPr>
              <w:tab/>
            </w:r>
          </w:p>
          <w:p w14:paraId="2A1B3B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p>
        </w:tc>
      </w:tr>
      <w:tr w:rsidR="00711444" w:rsidRPr="004D0DAA" w14:paraId="23F8DD81" w14:textId="77777777" w:rsidTr="00AA2A4C">
        <w:trPr>
          <w:cantSplit/>
        </w:trPr>
        <w:tc>
          <w:tcPr>
            <w:tcW w:w="9848" w:type="dxa"/>
          </w:tcPr>
          <w:p w14:paraId="33FFD91D" w14:textId="77777777" w:rsidR="00711444" w:rsidRPr="004D0DAA" w:rsidRDefault="00711444" w:rsidP="00AA2A4C">
            <w:pPr>
              <w:keepNext/>
              <w:keepLines/>
              <w:spacing w:after="0"/>
              <w:rPr>
                <w:rFonts w:ascii="Arial" w:hAnsi="Arial"/>
                <w:sz w:val="18"/>
              </w:rPr>
            </w:pPr>
            <w:r w:rsidRPr="004D0DAA">
              <w:tab/>
            </w:r>
            <w:r w:rsidRPr="004D0DAA">
              <w:tab/>
            </w:r>
            <w:r w:rsidRPr="004D0DAA">
              <w:tab/>
            </w:r>
            <w:r w:rsidRPr="004D0DAA">
              <w:tab/>
            </w:r>
            <w:r w:rsidRPr="004D0DAA">
              <w:rPr>
                <w:rFonts w:ascii="Arial" w:hAnsi="Arial"/>
                <w:sz w:val="18"/>
                <w:szCs w:val="18"/>
              </w:rPr>
              <w:t>&lt; padding bits &gt;  //</w:t>
            </w:r>
            <w:r w:rsidRPr="004D0DAA">
              <w:rPr>
                <w:rFonts w:ascii="Arial" w:hAnsi="Arial"/>
                <w:sz w:val="18"/>
                <w:szCs w:val="18"/>
              </w:rPr>
              <w:tab/>
            </w:r>
            <w:r w:rsidRPr="004D0DAA">
              <w:rPr>
                <w:rFonts w:ascii="Arial" w:hAnsi="Arial"/>
                <w:sz w:val="18"/>
                <w:szCs w:val="18"/>
              </w:rPr>
              <w:tab/>
            </w:r>
            <w:r w:rsidRPr="004D0DAA">
              <w:rPr>
                <w:rFonts w:ascii="Arial" w:hAnsi="Arial"/>
                <w:sz w:val="18"/>
                <w:szCs w:val="18"/>
              </w:rPr>
              <w:tab/>
              <w:t>-- truncation at end of message allowed, bits '0' assumed</w:t>
            </w:r>
          </w:p>
          <w:p w14:paraId="79390DAA" w14:textId="77777777" w:rsidR="00711444" w:rsidRPr="004D0DAA" w:rsidRDefault="00711444" w:rsidP="00AA2A4C">
            <w:pPr>
              <w:keepNext/>
              <w:keepLines/>
              <w:spacing w:after="0"/>
              <w:rPr>
                <w:rFonts w:ascii="Arial" w:hAnsi="Arial"/>
                <w:sz w:val="18"/>
                <w:szCs w:val="18"/>
              </w:rPr>
            </w:pPr>
            <w:r w:rsidRPr="004D0DAA">
              <w:tab/>
            </w:r>
            <w:r w:rsidRPr="004D0DAA">
              <w:tab/>
            </w:r>
            <w:r w:rsidRPr="004D0DAA">
              <w:tab/>
            </w:r>
            <w:r w:rsidRPr="004D0DAA">
              <w:tab/>
            </w:r>
            <w:r w:rsidRPr="004D0DAA">
              <w:rPr>
                <w:rFonts w:ascii="Arial" w:hAnsi="Arial"/>
                <w:sz w:val="18"/>
                <w:szCs w:val="18"/>
              </w:rPr>
              <w:t>! &lt; Non-distribution part error : bit (*) = &lt; no string &gt; &gt; }</w:t>
            </w:r>
          </w:p>
          <w:p w14:paraId="1CCE34B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tab/>
            </w:r>
            <w:r w:rsidRPr="004D0DAA">
              <w:rPr>
                <w:rFonts w:ascii="Arial" w:hAnsi="Arial"/>
                <w:sz w:val="18"/>
              </w:rPr>
              <w:tab/>
              <w:t>! &lt; Address information part error : bit (*) = &lt; no string &gt; &gt;</w:t>
            </w:r>
          </w:p>
          <w:p w14:paraId="2DC7F63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tab/>
            </w:r>
            <w:r w:rsidRPr="004D0DAA">
              <w:rPr>
                <w:rFonts w:ascii="Arial" w:hAnsi="Arial"/>
                <w:sz w:val="18"/>
              </w:rPr>
              <w:t xml:space="preserve">! &lt; Message escape : { 1 } bit (*) = &lt;no string&gt; &gt; } </w:t>
            </w:r>
            <w:r w:rsidRPr="004D0DAA">
              <w:rPr>
                <w:rFonts w:ascii="Arial" w:hAnsi="Arial"/>
                <w:sz w:val="18"/>
              </w:rPr>
              <w:tab/>
              <w:t>-- Extended for future changes</w:t>
            </w:r>
          </w:p>
          <w:p w14:paraId="6B3D713F" w14:textId="77777777" w:rsidR="00711444" w:rsidRPr="004D0DAA" w:rsidRDefault="00711444" w:rsidP="00AA2A4C">
            <w:pPr>
              <w:keepNext/>
              <w:keepLines/>
              <w:spacing w:after="0"/>
              <w:rPr>
                <w:rFonts w:ascii="Arial" w:hAnsi="Arial"/>
                <w:sz w:val="18"/>
              </w:rPr>
            </w:pPr>
            <w:r w:rsidRPr="004D0DAA">
              <w:rPr>
                <w:rFonts w:ascii="Arial" w:hAnsi="Arial"/>
                <w:sz w:val="18"/>
              </w:rPr>
              <w:tab/>
              <w:t>! &lt; Distribution part error : bit (*) = &lt; no string &gt; &gt; ;</w:t>
            </w:r>
          </w:p>
          <w:p w14:paraId="2F2E72DA" w14:textId="77777777" w:rsidR="00711444" w:rsidRPr="004D0DAA" w:rsidRDefault="00711444" w:rsidP="00AA2A4C">
            <w:pPr>
              <w:pStyle w:val="TAL"/>
              <w:rPr>
                <w:lang w:eastAsia="en-US"/>
              </w:rPr>
            </w:pPr>
          </w:p>
        </w:tc>
      </w:tr>
      <w:tr w:rsidR="00711444" w:rsidRPr="004D0DAA" w14:paraId="4C11EBDA" w14:textId="77777777" w:rsidTr="00AA2A4C">
        <w:trPr>
          <w:cantSplit/>
        </w:trPr>
        <w:tc>
          <w:tcPr>
            <w:tcW w:w="9848" w:type="dxa"/>
          </w:tcPr>
          <w:p w14:paraId="1D565C35" w14:textId="77777777" w:rsidR="00711444" w:rsidRPr="004D0DAA" w:rsidRDefault="00711444" w:rsidP="00AA2A4C">
            <w:pPr>
              <w:pStyle w:val="TAL"/>
              <w:rPr>
                <w:lang w:eastAsia="en-US"/>
              </w:rPr>
            </w:pPr>
            <w:r w:rsidRPr="004D0DAA">
              <w:rPr>
                <w:lang w:eastAsia="en-US"/>
              </w:rPr>
              <w:t>&lt; Frequency Parameters struct &gt; ::=</w:t>
            </w:r>
          </w:p>
          <w:p w14:paraId="151C158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EC_MA_NUMBER </w:t>
            </w:r>
            <w:r w:rsidRPr="004D0DAA">
              <w:rPr>
                <w:lang w:eastAsia="en-US"/>
              </w:rPr>
              <w:t>: bit (5) &gt;</w:t>
            </w:r>
          </w:p>
          <w:p w14:paraId="71729F5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TSC : </w:t>
            </w:r>
            <w:r w:rsidRPr="004D0DAA">
              <w:rPr>
                <w:lang w:eastAsia="en-US"/>
              </w:rPr>
              <w:t>bit (3) &gt;</w:t>
            </w:r>
          </w:p>
          <w:p w14:paraId="555737B3" w14:textId="77777777" w:rsidR="00711444" w:rsidRPr="004D0DAA" w:rsidRDefault="00711444" w:rsidP="00AA2A4C">
            <w:pPr>
              <w:pStyle w:val="TAL"/>
              <w:rPr>
                <w:iCs/>
                <w:lang w:eastAsia="en-US"/>
              </w:rPr>
            </w:pP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E00B44F" w14:textId="77777777" w:rsidR="00711444" w:rsidRPr="004D0DAA" w:rsidRDefault="00711444" w:rsidP="00AA2A4C">
            <w:pPr>
              <w:pStyle w:val="TAL"/>
              <w:rPr>
                <w:lang w:eastAsia="en-US"/>
              </w:rPr>
            </w:pPr>
          </w:p>
        </w:tc>
      </w:tr>
    </w:tbl>
    <w:p w14:paraId="6691EA07" w14:textId="77777777" w:rsidR="00711444" w:rsidRPr="004D0DAA" w:rsidRDefault="00711444" w:rsidP="00711444"/>
    <w:p w14:paraId="06CBF499" w14:textId="77777777" w:rsidR="00711444" w:rsidRPr="004D0DAA" w:rsidRDefault="00711444" w:rsidP="00711444">
      <w:pPr>
        <w:pStyle w:val="TH"/>
      </w:pPr>
      <w:r w:rsidRPr="004D0DAA">
        <w:t xml:space="preserve">Table 11.2.52.2: EC PACKET </w:t>
      </w:r>
      <w:r w:rsidRPr="004D0DAA">
        <w:rPr>
          <w:caps/>
        </w:rPr>
        <w:t>Downlink ASSIGNMENT</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40" w:firstRow="0" w:lastRow="1" w:firstColumn="0" w:lastColumn="0" w:noHBand="0" w:noVBand="0"/>
      </w:tblPr>
      <w:tblGrid>
        <w:gridCol w:w="9848"/>
      </w:tblGrid>
      <w:tr w:rsidR="00711444" w:rsidRPr="004D0DAA" w14:paraId="3871C7FF" w14:textId="77777777" w:rsidTr="00AA2A4C">
        <w:trPr>
          <w:cantSplit/>
        </w:trPr>
        <w:tc>
          <w:tcPr>
            <w:tcW w:w="9848" w:type="dxa"/>
          </w:tcPr>
          <w:p w14:paraId="59735431"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5CF595DA" w14:textId="77777777" w:rsidTr="00AA2A4C">
        <w:trPr>
          <w:cantSplit/>
        </w:trPr>
        <w:tc>
          <w:tcPr>
            <w:tcW w:w="9848" w:type="dxa"/>
          </w:tcPr>
          <w:p w14:paraId="00126692" w14:textId="77777777" w:rsidR="00711444" w:rsidRPr="004D0DAA" w:rsidRDefault="00711444" w:rsidP="00AA2A4C">
            <w:pPr>
              <w:rPr>
                <w:b/>
              </w:rPr>
            </w:pPr>
            <w:r w:rsidRPr="004D0DAA">
              <w:rPr>
                <w:b/>
              </w:rPr>
              <w:t>Global TFI</w:t>
            </w:r>
            <w:r w:rsidRPr="004D0DAA">
              <w:br/>
              <w:t>This information element contains the TFI of one of the mobile station's downlink TBFs or uplink TBFs. This field is defined in sub-clause 12.10.</w:t>
            </w:r>
          </w:p>
        </w:tc>
      </w:tr>
      <w:tr w:rsidR="00711444" w:rsidRPr="004D0DAA" w14:paraId="5E4402CA" w14:textId="77777777" w:rsidTr="00AA2A4C">
        <w:trPr>
          <w:cantSplit/>
        </w:trPr>
        <w:tc>
          <w:tcPr>
            <w:tcW w:w="9848" w:type="dxa"/>
          </w:tcPr>
          <w:p w14:paraId="5482A97B" w14:textId="77777777" w:rsidR="00711444" w:rsidRPr="004D0DAA" w:rsidRDefault="00711444" w:rsidP="00AA2A4C">
            <w:r w:rsidRPr="004D0DAA">
              <w:rPr>
                <w:b/>
              </w:rPr>
              <w:t xml:space="preserve">CONTROL_ACK </w:t>
            </w:r>
            <w:r w:rsidRPr="004D0DAA">
              <w:t>(1 bit field)</w:t>
            </w:r>
            <w:r w:rsidRPr="004D0DAA">
              <w:br/>
              <w:t>This field shall be set to '1' if the network establishes a new downlink TBF for the mobile station whose timer T3192 is running. Otherwise this field shall be set to '0'.</w:t>
            </w:r>
          </w:p>
          <w:p w14:paraId="33ACC0A1" w14:textId="77777777" w:rsidR="00711444" w:rsidRPr="004D0DAA" w:rsidRDefault="00711444" w:rsidP="00AA2A4C">
            <w:pPr>
              <w:rPr>
                <w:bCs/>
              </w:rPr>
            </w:pPr>
            <w:r w:rsidRPr="004D0DAA">
              <w:rPr>
                <w:b/>
              </w:rPr>
              <w:t xml:space="preserve">DL_COVERAGE_CLASS </w:t>
            </w:r>
            <w:r w:rsidRPr="004D0DAA">
              <w:t>(2 bit field)</w:t>
            </w:r>
            <w:r w:rsidRPr="004D0DAA">
              <w:br/>
              <w:t xml:space="preserve">This field indicates the DL Coverage Class that is assigned for the DL EC TBF. </w:t>
            </w:r>
            <w:r w:rsidRPr="004D0DAA">
              <w:rPr>
                <w:bCs/>
              </w:rPr>
              <w:t>The DL_COVERAGE_CLASS field shall be set according to the following table:</w:t>
            </w:r>
          </w:p>
          <w:p w14:paraId="0566BE61" w14:textId="77777777" w:rsidR="00711444" w:rsidRPr="004D0DAA" w:rsidRDefault="00711444" w:rsidP="00AA2A4C">
            <w:pPr>
              <w:pStyle w:val="FP"/>
              <w:tabs>
                <w:tab w:val="left" w:pos="567"/>
              </w:tabs>
              <w:ind w:left="567" w:hanging="567"/>
            </w:pPr>
            <w:r w:rsidRPr="004D0DAA">
              <w:t>bit</w:t>
            </w:r>
          </w:p>
          <w:p w14:paraId="51A23334" w14:textId="77777777" w:rsidR="00711444" w:rsidRPr="004D0DAA" w:rsidRDefault="00711444" w:rsidP="00AA2A4C">
            <w:pPr>
              <w:pStyle w:val="FP"/>
              <w:tabs>
                <w:tab w:val="left" w:pos="567"/>
              </w:tabs>
              <w:ind w:left="567" w:hanging="567"/>
            </w:pPr>
            <w:r w:rsidRPr="004D0DAA">
              <w:t>2 1</w:t>
            </w:r>
          </w:p>
          <w:p w14:paraId="569332EC" w14:textId="77777777" w:rsidR="00711444" w:rsidRPr="004D0DAA" w:rsidRDefault="00711444" w:rsidP="00AA2A4C">
            <w:pPr>
              <w:pStyle w:val="FP"/>
              <w:tabs>
                <w:tab w:val="left" w:pos="567"/>
              </w:tabs>
              <w:ind w:left="567" w:hanging="567"/>
            </w:pPr>
            <w:r w:rsidRPr="004D0DAA">
              <w:t>0 0</w:t>
            </w:r>
            <w:r w:rsidRPr="004D0DAA">
              <w:tab/>
              <w:t>DL Coverage Class = CC1</w:t>
            </w:r>
          </w:p>
          <w:p w14:paraId="68156A30" w14:textId="77777777" w:rsidR="00711444" w:rsidRPr="004D0DAA" w:rsidRDefault="00711444" w:rsidP="00AA2A4C">
            <w:pPr>
              <w:pStyle w:val="FP"/>
              <w:tabs>
                <w:tab w:val="left" w:pos="567"/>
              </w:tabs>
              <w:ind w:left="567" w:hanging="567"/>
            </w:pPr>
            <w:r w:rsidRPr="004D0DAA">
              <w:t>0 1</w:t>
            </w:r>
            <w:r w:rsidRPr="004D0DAA">
              <w:tab/>
              <w:t>DL Coverage Class = CC2</w:t>
            </w:r>
          </w:p>
          <w:p w14:paraId="1897A734" w14:textId="77777777" w:rsidR="00711444" w:rsidRPr="004D0DAA" w:rsidRDefault="00711444" w:rsidP="00AA2A4C">
            <w:pPr>
              <w:pStyle w:val="FP"/>
              <w:tabs>
                <w:tab w:val="left" w:pos="567"/>
              </w:tabs>
              <w:ind w:left="567" w:hanging="567"/>
            </w:pPr>
            <w:r w:rsidRPr="004D0DAA">
              <w:t>1 0</w:t>
            </w:r>
            <w:r w:rsidRPr="004D0DAA">
              <w:tab/>
              <w:t>DL Coverage Class = CC3</w:t>
            </w:r>
          </w:p>
          <w:p w14:paraId="0CF641B9" w14:textId="77777777" w:rsidR="00711444" w:rsidRPr="004D0DAA" w:rsidRDefault="00711444" w:rsidP="00AA2A4C">
            <w:r w:rsidRPr="004D0DAA">
              <w:t>1 1</w:t>
            </w:r>
            <w:r w:rsidRPr="004D0DAA">
              <w:tab/>
            </w:r>
            <w:r w:rsidRPr="004D0DAA">
              <w:tab/>
              <w:t>DL Coverage Class = CC4</w:t>
            </w:r>
          </w:p>
        </w:tc>
      </w:tr>
      <w:tr w:rsidR="00711444" w:rsidRPr="004D0DAA" w14:paraId="0A0D20B1" w14:textId="77777777" w:rsidTr="00AA2A4C">
        <w:trPr>
          <w:cantSplit/>
        </w:trPr>
        <w:tc>
          <w:tcPr>
            <w:tcW w:w="9848" w:type="dxa"/>
          </w:tcPr>
          <w:p w14:paraId="722BDC24" w14:textId="77777777" w:rsidR="00711444" w:rsidRPr="004D0DAA" w:rsidRDefault="00711444" w:rsidP="00AA2A4C">
            <w:pPr>
              <w:rPr>
                <w:bCs/>
              </w:rPr>
            </w:pPr>
            <w:r w:rsidRPr="004D0DAA">
              <w:rPr>
                <w:b/>
              </w:rPr>
              <w:lastRenderedPageBreak/>
              <w:t>STARTING_DL_TIMESLOT</w:t>
            </w:r>
            <w:r w:rsidRPr="004D0DAA">
              <w:t xml:space="preserve"> (3 bit field)</w:t>
            </w:r>
            <w:r w:rsidRPr="004D0DAA">
              <w:rPr>
                <w:b/>
              </w:rPr>
              <w:br/>
            </w:r>
            <w:r w:rsidRPr="004D0DAA">
              <w:t xml:space="preserve">This field defines the timeslot number of the lowest timeslot included in the downlink assignment for the DL EC TBF. The number of additional timeslots that are included in the downlink assignment for the TBF depends on the assigned DL Coverage Class and the Timeslot Multiplicator setting. The assigned timeslots are contiguous, starting with the timeslot number indicated in the STARTING_DL_TIMESLOT field. </w:t>
            </w:r>
            <w:r w:rsidRPr="004D0DAA">
              <w:rPr>
                <w:bCs/>
              </w:rPr>
              <w:t>The field is encoded according to the following table:</w:t>
            </w:r>
          </w:p>
          <w:p w14:paraId="17A94C57" w14:textId="77777777" w:rsidR="00711444" w:rsidRPr="004D0DAA" w:rsidRDefault="00711444" w:rsidP="00AA2A4C">
            <w:pPr>
              <w:pStyle w:val="FP"/>
              <w:tabs>
                <w:tab w:val="left" w:pos="567"/>
              </w:tabs>
              <w:ind w:left="567" w:hanging="567"/>
            </w:pPr>
            <w:r w:rsidRPr="004D0DAA">
              <w:t>bit</w:t>
            </w:r>
          </w:p>
          <w:p w14:paraId="54E25170" w14:textId="77777777" w:rsidR="00711444" w:rsidRPr="004D0DAA" w:rsidRDefault="00711444" w:rsidP="00AA2A4C">
            <w:pPr>
              <w:pStyle w:val="FP"/>
              <w:tabs>
                <w:tab w:val="left" w:pos="567"/>
              </w:tabs>
              <w:ind w:left="567" w:hanging="567"/>
            </w:pPr>
            <w:r w:rsidRPr="004D0DAA">
              <w:t>3 2 1</w:t>
            </w:r>
          </w:p>
          <w:p w14:paraId="095B197F" w14:textId="77777777" w:rsidR="00711444" w:rsidRPr="004D0DAA" w:rsidRDefault="00711444" w:rsidP="00AA2A4C">
            <w:pPr>
              <w:pStyle w:val="FP"/>
              <w:tabs>
                <w:tab w:val="left" w:pos="567"/>
              </w:tabs>
              <w:ind w:left="567" w:hanging="567"/>
            </w:pPr>
            <w:r w:rsidRPr="004D0DAA">
              <w:t>0 0 0</w:t>
            </w:r>
            <w:r w:rsidRPr="004D0DAA">
              <w:tab/>
              <w:t>Timeslot 0 is the lowest assigned downlink timeslot</w:t>
            </w:r>
          </w:p>
          <w:p w14:paraId="06EDCE85" w14:textId="77777777" w:rsidR="00711444" w:rsidRPr="004D0DAA" w:rsidRDefault="00711444" w:rsidP="00AA2A4C">
            <w:pPr>
              <w:pStyle w:val="FP"/>
              <w:tabs>
                <w:tab w:val="left" w:pos="567"/>
              </w:tabs>
              <w:ind w:left="567" w:hanging="567"/>
            </w:pPr>
            <w:r w:rsidRPr="004D0DAA">
              <w:t>0 0 1</w:t>
            </w:r>
            <w:r w:rsidRPr="004D0DAA">
              <w:tab/>
              <w:t>Timeslot 1 is the lowest assigned downlink timeslot</w:t>
            </w:r>
          </w:p>
          <w:p w14:paraId="6C186C53" w14:textId="77777777" w:rsidR="00711444" w:rsidRPr="004D0DAA" w:rsidRDefault="00711444" w:rsidP="00AA2A4C">
            <w:pPr>
              <w:pStyle w:val="FP"/>
              <w:tabs>
                <w:tab w:val="left" w:pos="567"/>
              </w:tabs>
              <w:ind w:left="567" w:hanging="567"/>
            </w:pPr>
            <w:r w:rsidRPr="004D0DAA">
              <w:t>0 1 0</w:t>
            </w:r>
            <w:r w:rsidRPr="004D0DAA">
              <w:tab/>
              <w:t>Timeslot 2 is the lowest assigned downlink timeslot</w:t>
            </w:r>
          </w:p>
          <w:p w14:paraId="0000AC36" w14:textId="77777777" w:rsidR="00711444" w:rsidRPr="004D0DAA" w:rsidRDefault="00711444" w:rsidP="00AA2A4C">
            <w:r w:rsidRPr="004D0DAA">
              <w:t>0 1 1</w:t>
            </w:r>
            <w:r w:rsidRPr="004D0DAA">
              <w:tab/>
              <w:t>Timeslot 3 is the lowest assigned downlink timeslot</w:t>
            </w:r>
            <w:r w:rsidRPr="004D0DAA">
              <w:br/>
              <w:t xml:space="preserve">1 0 0 </w:t>
            </w:r>
            <w:r w:rsidRPr="004D0DAA">
              <w:tab/>
              <w:t>Timeslot 4 is the lowest assigned downlink timeslot</w:t>
            </w:r>
            <w:r w:rsidRPr="004D0DAA">
              <w:br/>
              <w:t xml:space="preserve">1 0 1 </w:t>
            </w:r>
            <w:r w:rsidRPr="004D0DAA">
              <w:tab/>
              <w:t>Timeslot 5 is the lowest assigned downlink timeslot</w:t>
            </w:r>
            <w:r w:rsidRPr="004D0DAA">
              <w:br/>
              <w:t xml:space="preserve">1 1 0 </w:t>
            </w:r>
            <w:r w:rsidRPr="004D0DAA">
              <w:tab/>
              <w:t>Timeslot 6 is the lowest assigned downlink timeslot</w:t>
            </w:r>
            <w:r w:rsidRPr="004D0DAA">
              <w:br/>
              <w:t xml:space="preserve">1 1 1 </w:t>
            </w:r>
            <w:r w:rsidRPr="004D0DAA">
              <w:tab/>
              <w:t>Timeslot 7 is the lowest assigned downlink timeslot</w:t>
            </w:r>
            <w:r w:rsidRPr="004D0DAA">
              <w:br/>
            </w:r>
          </w:p>
          <w:p w14:paraId="34DB3111" w14:textId="77777777" w:rsidR="00711444" w:rsidRPr="004D0DAA" w:rsidRDefault="00711444" w:rsidP="00AA2A4C">
            <w:r w:rsidRPr="004D0DAA">
              <w:t>A mobile station assigned CC2, CC3 or CC4 is always assigned 4 consecutive timeslots if the field EC_Reduced_PDCH_Allocation is set to 0 in the EC SYSTEM INFORMATION TYPE 2 message (see 44.018 sub-clause 9.1.43q). Therefore only timeslot 0, 1, 2, 3 or 4 may be indicated as the lowest assigned downlink timeslot when the assignment is for CC2, CC3 or CC4 in the downlink. If the field EC_Reduced_PDCH_Allocation is set to 1 a mobile station assigned CC2, CC3 or CC4 is always assigned the use of 2 consecutive timeslots and therefore only timeslot 0, 1, 2, 3, 4, 5 or 6 shall be indicated as the lowest assigned downlink timeslot.</w:t>
            </w:r>
          </w:p>
          <w:p w14:paraId="57F61B6A" w14:textId="77777777" w:rsidR="00711444" w:rsidRPr="004D0DAA" w:rsidRDefault="00711444" w:rsidP="00AA2A4C">
            <w:r w:rsidRPr="004D0DAA">
              <w:rPr>
                <w:b/>
              </w:rPr>
              <w:t>TIMESLOT_MULTIPLICATOR</w:t>
            </w:r>
            <w:r w:rsidRPr="004D0DAA">
              <w:t xml:space="preserve"> (3 bit field)</w:t>
            </w:r>
            <w:r w:rsidRPr="004D0DAA">
              <w:rPr>
                <w:b/>
              </w:rPr>
              <w:br/>
            </w:r>
            <w:r w:rsidRPr="004D0DAA">
              <w:t>This field defines how many DL timeslots that the assignment contains when the assigned DL Coverage Class, according to the DL_COVERAGE_CLASS field, is CC1. The field is coded according to the following table:</w:t>
            </w:r>
          </w:p>
          <w:p w14:paraId="178688A7" w14:textId="77777777" w:rsidR="00711444" w:rsidRPr="004D0DAA" w:rsidRDefault="00711444" w:rsidP="00AA2A4C">
            <w:pPr>
              <w:pStyle w:val="FP"/>
              <w:tabs>
                <w:tab w:val="left" w:pos="567"/>
              </w:tabs>
              <w:ind w:left="567" w:hanging="567"/>
            </w:pPr>
            <w:r w:rsidRPr="004D0DAA">
              <w:t>bit</w:t>
            </w:r>
          </w:p>
          <w:p w14:paraId="1F352BA9" w14:textId="77777777" w:rsidR="00711444" w:rsidRPr="004D0DAA" w:rsidRDefault="00711444" w:rsidP="00AA2A4C">
            <w:pPr>
              <w:pStyle w:val="FP"/>
              <w:tabs>
                <w:tab w:val="left" w:pos="567"/>
              </w:tabs>
              <w:ind w:left="567" w:hanging="567"/>
            </w:pPr>
            <w:r w:rsidRPr="004D0DAA">
              <w:t>3 2 1</w:t>
            </w:r>
          </w:p>
          <w:p w14:paraId="55D8C6B0" w14:textId="77777777" w:rsidR="00711444" w:rsidRPr="004D0DAA" w:rsidRDefault="00711444" w:rsidP="00AA2A4C">
            <w:pPr>
              <w:pStyle w:val="FP"/>
              <w:tabs>
                <w:tab w:val="left" w:pos="567"/>
              </w:tabs>
              <w:ind w:left="567" w:hanging="567"/>
            </w:pPr>
            <w:r w:rsidRPr="004D0DAA">
              <w:t>0 0 0</w:t>
            </w:r>
            <w:r w:rsidRPr="004D0DAA">
              <w:tab/>
              <w:t>1 timeslot assigned</w:t>
            </w:r>
          </w:p>
          <w:p w14:paraId="784B3509" w14:textId="77777777" w:rsidR="00711444" w:rsidRPr="004D0DAA" w:rsidRDefault="00711444" w:rsidP="00AA2A4C">
            <w:pPr>
              <w:pStyle w:val="FP"/>
              <w:tabs>
                <w:tab w:val="left" w:pos="567"/>
              </w:tabs>
              <w:ind w:left="567" w:hanging="567"/>
            </w:pPr>
            <w:r w:rsidRPr="004D0DAA">
              <w:t>0 0 1</w:t>
            </w:r>
            <w:r w:rsidRPr="004D0DAA">
              <w:tab/>
              <w:t>2 timeslots assigned</w:t>
            </w:r>
          </w:p>
          <w:p w14:paraId="783E9812" w14:textId="77777777" w:rsidR="00711444" w:rsidRPr="004D0DAA" w:rsidRDefault="00711444" w:rsidP="00AA2A4C">
            <w:pPr>
              <w:pStyle w:val="FP"/>
              <w:tabs>
                <w:tab w:val="left" w:pos="567"/>
              </w:tabs>
              <w:ind w:left="567" w:hanging="567"/>
            </w:pPr>
            <w:r w:rsidRPr="004D0DAA">
              <w:t>0 1 0</w:t>
            </w:r>
            <w:r w:rsidRPr="004D0DAA">
              <w:tab/>
              <w:t>3 timeslots assigned</w:t>
            </w:r>
          </w:p>
          <w:p w14:paraId="145CE9D8" w14:textId="77777777" w:rsidR="00711444" w:rsidRPr="004D0DAA" w:rsidRDefault="00711444" w:rsidP="00AA2A4C">
            <w:pPr>
              <w:pStyle w:val="FP"/>
              <w:tabs>
                <w:tab w:val="left" w:pos="567"/>
              </w:tabs>
              <w:ind w:left="567" w:hanging="567"/>
            </w:pPr>
            <w:r w:rsidRPr="004D0DAA">
              <w:t>0 1 1</w:t>
            </w:r>
            <w:r w:rsidRPr="004D0DAA">
              <w:tab/>
              <w:t>4 timeslots assigned</w:t>
            </w:r>
          </w:p>
          <w:p w14:paraId="4B83CE52" w14:textId="77777777" w:rsidR="00711444" w:rsidRPr="004D0DAA" w:rsidRDefault="00711444" w:rsidP="00AA2A4C">
            <w:pPr>
              <w:pStyle w:val="FP"/>
              <w:tabs>
                <w:tab w:val="left" w:pos="567"/>
              </w:tabs>
              <w:ind w:left="567" w:hanging="567"/>
            </w:pPr>
            <w:r w:rsidRPr="004D0DAA">
              <w:t>1 0 0</w:t>
            </w:r>
            <w:r w:rsidRPr="004D0DAA">
              <w:tab/>
              <w:t>5 timeslots assigned</w:t>
            </w:r>
          </w:p>
          <w:p w14:paraId="1A8F0B3D" w14:textId="77777777" w:rsidR="00711444" w:rsidRPr="004D0DAA" w:rsidRDefault="00711444" w:rsidP="00AA2A4C">
            <w:pPr>
              <w:pStyle w:val="FP"/>
              <w:tabs>
                <w:tab w:val="left" w:pos="567"/>
              </w:tabs>
              <w:ind w:left="567" w:hanging="567"/>
            </w:pPr>
            <w:r w:rsidRPr="004D0DAA">
              <w:t>1 0 1</w:t>
            </w:r>
            <w:r w:rsidRPr="004D0DAA">
              <w:tab/>
              <w:t>6 timeslots assigned</w:t>
            </w:r>
          </w:p>
          <w:p w14:paraId="7CAEE8C4" w14:textId="77777777" w:rsidR="00711444" w:rsidRPr="004D0DAA" w:rsidRDefault="00711444" w:rsidP="00AA2A4C">
            <w:pPr>
              <w:pStyle w:val="FP"/>
              <w:tabs>
                <w:tab w:val="left" w:pos="567"/>
              </w:tabs>
              <w:ind w:left="567" w:hanging="567"/>
            </w:pPr>
            <w:r w:rsidRPr="004D0DAA">
              <w:t>1 1 0</w:t>
            </w:r>
            <w:r w:rsidRPr="004D0DAA">
              <w:tab/>
              <w:t>7 timeslots assigned</w:t>
            </w:r>
          </w:p>
          <w:p w14:paraId="5D249D97" w14:textId="77777777" w:rsidR="00711444" w:rsidRPr="004D0DAA" w:rsidRDefault="00711444" w:rsidP="00AA2A4C">
            <w:r w:rsidRPr="004D0DAA">
              <w:t>1 1 1</w:t>
            </w:r>
            <w:r w:rsidRPr="004D0DAA">
              <w:tab/>
              <w:t>8 timeslots assigned</w:t>
            </w:r>
          </w:p>
          <w:p w14:paraId="60BE8365" w14:textId="77777777" w:rsidR="00711444" w:rsidRPr="004D0DAA" w:rsidRDefault="00711444" w:rsidP="00AA2A4C">
            <w:r w:rsidRPr="004D0DAA">
              <w:t>Values other than ‘000’ can only be used if supported by the mobile station, as indicated by its multislot capability, see 3GPP TS 45.002. If the assigned downlink Coverage Class &gt; CC1 (according to the DL_COVERAGE_CLASS field), the mobile station shall consider the TIMESLOT_MULTIPLICATOR field as not valid.</w:t>
            </w:r>
          </w:p>
          <w:p w14:paraId="07C395DB" w14:textId="77777777" w:rsidR="00711444" w:rsidRPr="004D0DAA" w:rsidRDefault="00711444" w:rsidP="00AA2A4C">
            <w:pPr>
              <w:rPr>
                <w:bCs/>
              </w:rPr>
            </w:pPr>
            <w:r w:rsidRPr="004D0DAA">
              <w:rPr>
                <w:b/>
              </w:rPr>
              <w:t xml:space="preserve">UL_COVERAGE_CLASS </w:t>
            </w:r>
            <w:r w:rsidRPr="004D0DAA">
              <w:t>(2 bit field)</w:t>
            </w:r>
            <w:r w:rsidRPr="004D0DAA">
              <w:br/>
              <w:t xml:space="preserve">This field indicates the UL Coverage Class that is assigned for transfer of uplink RLC/MAC control messages on the EC-PACCH during the DL EC TBF. </w:t>
            </w:r>
            <w:r w:rsidRPr="004D0DAA">
              <w:rPr>
                <w:bCs/>
              </w:rPr>
              <w:t>The UL_COVERAGE_CLASS field shall be set according to the following table:</w:t>
            </w:r>
          </w:p>
          <w:p w14:paraId="7558B611" w14:textId="77777777" w:rsidR="00711444" w:rsidRPr="004D0DAA" w:rsidRDefault="00711444" w:rsidP="00AA2A4C">
            <w:pPr>
              <w:pStyle w:val="FP"/>
              <w:tabs>
                <w:tab w:val="left" w:pos="567"/>
              </w:tabs>
              <w:ind w:left="567" w:hanging="567"/>
            </w:pPr>
            <w:r w:rsidRPr="004D0DAA">
              <w:t>bit</w:t>
            </w:r>
          </w:p>
          <w:p w14:paraId="674D9D43" w14:textId="77777777" w:rsidR="00711444" w:rsidRPr="004D0DAA" w:rsidRDefault="00711444" w:rsidP="00AA2A4C">
            <w:pPr>
              <w:pStyle w:val="FP"/>
              <w:tabs>
                <w:tab w:val="left" w:pos="567"/>
              </w:tabs>
              <w:ind w:left="567" w:hanging="567"/>
            </w:pPr>
            <w:r w:rsidRPr="004D0DAA">
              <w:t>2 1</w:t>
            </w:r>
          </w:p>
          <w:p w14:paraId="2797138B" w14:textId="77777777" w:rsidR="00711444" w:rsidRPr="004D0DAA" w:rsidRDefault="00711444" w:rsidP="00AA2A4C">
            <w:pPr>
              <w:pStyle w:val="FP"/>
              <w:tabs>
                <w:tab w:val="left" w:pos="567"/>
              </w:tabs>
              <w:ind w:left="567" w:hanging="567"/>
            </w:pPr>
            <w:r w:rsidRPr="004D0DAA">
              <w:t>0 0</w:t>
            </w:r>
            <w:r w:rsidRPr="004D0DAA">
              <w:tab/>
              <w:t>UL Coverage Class = CC1</w:t>
            </w:r>
          </w:p>
          <w:p w14:paraId="69D58D2A" w14:textId="77777777" w:rsidR="00711444" w:rsidRPr="004D0DAA" w:rsidRDefault="00711444" w:rsidP="00AA2A4C">
            <w:pPr>
              <w:pStyle w:val="FP"/>
              <w:tabs>
                <w:tab w:val="left" w:pos="567"/>
              </w:tabs>
              <w:ind w:left="567" w:hanging="567"/>
            </w:pPr>
            <w:r w:rsidRPr="004D0DAA">
              <w:t>0 1</w:t>
            </w:r>
            <w:r w:rsidRPr="004D0DAA">
              <w:tab/>
              <w:t>UL Coverage Class = CC2</w:t>
            </w:r>
          </w:p>
          <w:p w14:paraId="40958403" w14:textId="77777777" w:rsidR="00711444" w:rsidRPr="004D0DAA" w:rsidRDefault="00711444" w:rsidP="00AA2A4C">
            <w:pPr>
              <w:pStyle w:val="FP"/>
              <w:tabs>
                <w:tab w:val="left" w:pos="567"/>
              </w:tabs>
              <w:ind w:left="567" w:hanging="567"/>
            </w:pPr>
            <w:r w:rsidRPr="004D0DAA">
              <w:t>1 0</w:t>
            </w:r>
            <w:r w:rsidRPr="004D0DAA">
              <w:tab/>
              <w:t>UL Coverage Class = CC3</w:t>
            </w:r>
          </w:p>
          <w:p w14:paraId="42F63551" w14:textId="77777777" w:rsidR="00711444" w:rsidRPr="004D0DAA" w:rsidRDefault="00711444" w:rsidP="00AA2A4C">
            <w:r w:rsidRPr="004D0DAA">
              <w:t>1 1</w:t>
            </w:r>
            <w:r w:rsidRPr="004D0DAA">
              <w:tab/>
            </w:r>
            <w:r w:rsidRPr="004D0DAA">
              <w:tab/>
              <w:t>UL Coverage Class = CC4</w:t>
            </w:r>
          </w:p>
          <w:p w14:paraId="7A68302D" w14:textId="77777777" w:rsidR="00711444" w:rsidRPr="004D0DAA" w:rsidRDefault="00711444" w:rsidP="00AA2A4C">
            <w:pPr>
              <w:rPr>
                <w:b/>
              </w:rPr>
            </w:pPr>
            <w:r w:rsidRPr="004D0DAA">
              <w:rPr>
                <w:b/>
              </w:rPr>
              <w:t>EC Packet Timing Advance</w:t>
            </w:r>
            <w:r w:rsidRPr="004D0DAA">
              <w:br/>
              <w:t>This information element is defined in sub-clause 12.74.</w:t>
            </w:r>
          </w:p>
        </w:tc>
      </w:tr>
      <w:tr w:rsidR="00711444" w:rsidRPr="004D0DAA" w14:paraId="44EE7306" w14:textId="77777777" w:rsidTr="00AA2A4C">
        <w:trPr>
          <w:cantSplit/>
        </w:trPr>
        <w:tc>
          <w:tcPr>
            <w:tcW w:w="9848" w:type="dxa"/>
          </w:tcPr>
          <w:p w14:paraId="34ABE0F8" w14:textId="77777777" w:rsidR="00711444" w:rsidRPr="004D0DAA" w:rsidRDefault="00711444" w:rsidP="00AA2A4C">
            <w:pPr>
              <w:rPr>
                <w:bCs/>
              </w:rPr>
            </w:pPr>
            <w:r w:rsidRPr="004D0DAA">
              <w:rPr>
                <w:b/>
              </w:rPr>
              <w:lastRenderedPageBreak/>
              <w:t>STARTING_UL_TIMESLOT_OFFSET</w:t>
            </w:r>
            <w:r w:rsidRPr="004D0DAA">
              <w:t xml:space="preserve"> (2 bit field)</w:t>
            </w:r>
            <w:r w:rsidRPr="004D0DAA">
              <w:rPr>
                <w:b/>
              </w:rPr>
              <w:br/>
            </w:r>
            <w:r w:rsidRPr="004D0DAA">
              <w:t>This field defines the timeslot number of the lowest timeslot included in the allocation that is used for transfer of uplink RLC/MAC control messages on the EC-PACCH during the DL EC TBF. The number of additional timeslots that are included in the uplink allocation depends on the assigned UL Coverage Class. The allocated timeslots are contiguous, starting with the timeslot number indicated in the STARTING_UL_TIMESLOT_OFFSET field. The STARTING_UL_TIMESLOT_OFFSET</w:t>
            </w:r>
            <w:r w:rsidRPr="004D0DAA">
              <w:rPr>
                <w:bCs/>
              </w:rPr>
              <w:t xml:space="preserve"> field is encoded as an offset to the timeslot assigned with the STARTING_DL_TIMESLOT field. </w:t>
            </w:r>
            <w:r w:rsidRPr="004D0DAA">
              <w:t>The encoding of the field is dependent of the value of the DL_COVERAGE_CLASS and UL_COVERAGE_CLASS fields in the same message.</w:t>
            </w:r>
          </w:p>
          <w:p w14:paraId="40E26C8D" w14:textId="77777777" w:rsidR="00711444" w:rsidRPr="004D0DAA" w:rsidRDefault="00711444" w:rsidP="00AA2A4C">
            <w:r w:rsidRPr="004D0DAA">
              <w:t>If both DL_COVERAGE_CLASS and UL_COVERAGE_CLASS &gt; CC1, the same timeslots are assigned in both the uplink and the downlink directions. The STARTING_UL_TIMESLOT_OFFSET field can then be considered as not valid by the mobile station.</w:t>
            </w:r>
          </w:p>
          <w:p w14:paraId="496B2AA0" w14:textId="77777777" w:rsidR="00711444" w:rsidRPr="004D0DAA" w:rsidRDefault="00711444" w:rsidP="00AA2A4C">
            <w:r w:rsidRPr="004D0DAA">
              <w:t>If DL_COVERAGE_CLASS = CC1 and UL_COVERAGE_CLASS &gt; CC1, the STARTING_UL_TIMESLOT_OFFSET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2F4F07F4" w14:textId="77777777" w:rsidR="00711444" w:rsidRPr="004D0DAA" w:rsidRDefault="00711444" w:rsidP="00AA2A4C">
            <w:pPr>
              <w:pStyle w:val="FP"/>
              <w:tabs>
                <w:tab w:val="left" w:pos="567"/>
              </w:tabs>
              <w:ind w:left="567" w:hanging="567"/>
            </w:pPr>
            <w:r w:rsidRPr="004D0DAA">
              <w:t>bit</w:t>
            </w:r>
          </w:p>
          <w:p w14:paraId="05F0EE97" w14:textId="77777777" w:rsidR="00711444" w:rsidRPr="004D0DAA" w:rsidRDefault="00711444" w:rsidP="00AA2A4C">
            <w:pPr>
              <w:pStyle w:val="FP"/>
              <w:tabs>
                <w:tab w:val="left" w:pos="567"/>
              </w:tabs>
              <w:ind w:left="567" w:hanging="567"/>
            </w:pPr>
            <w:r w:rsidRPr="004D0DAA">
              <w:t>2 1</w:t>
            </w:r>
          </w:p>
          <w:p w14:paraId="06FDCD42"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STARTING_DL_TIMESLOT</w:t>
            </w:r>
          </w:p>
          <w:p w14:paraId="51B80B82" w14:textId="77777777" w:rsidR="00711444" w:rsidRPr="004D0DAA" w:rsidRDefault="00711444" w:rsidP="00AA2A4C">
            <w:pPr>
              <w:pStyle w:val="FP"/>
              <w:tabs>
                <w:tab w:val="left" w:pos="567"/>
              </w:tabs>
              <w:ind w:left="567" w:hanging="567"/>
            </w:pPr>
            <w:r w:rsidRPr="004D0DAA">
              <w:t>0 1</w:t>
            </w:r>
            <w:r w:rsidRPr="004D0DAA">
              <w:tab/>
            </w:r>
            <w:r w:rsidRPr="004D0DAA">
              <w:rPr>
                <w:bCs/>
              </w:rPr>
              <w:t>STARTING_DL_TIMESLOT - 1</w:t>
            </w:r>
          </w:p>
          <w:p w14:paraId="1C9E4C5A" w14:textId="77777777" w:rsidR="00711444" w:rsidRPr="004D0DAA" w:rsidRDefault="00711444" w:rsidP="00AA2A4C">
            <w:pPr>
              <w:pStyle w:val="FP"/>
              <w:tabs>
                <w:tab w:val="left" w:pos="567"/>
              </w:tabs>
              <w:ind w:left="567" w:hanging="567"/>
            </w:pPr>
            <w:r w:rsidRPr="004D0DAA">
              <w:t>1 0</w:t>
            </w:r>
            <w:r w:rsidRPr="004D0DAA">
              <w:tab/>
            </w:r>
            <w:r w:rsidRPr="004D0DAA">
              <w:rPr>
                <w:bCs/>
              </w:rPr>
              <w:t>STARTING_DL_TIMESLOT - 2</w:t>
            </w:r>
          </w:p>
          <w:p w14:paraId="7FE3CF2A" w14:textId="77777777" w:rsidR="00711444" w:rsidRPr="004D0DAA" w:rsidRDefault="00711444" w:rsidP="00AA2A4C">
            <w:pPr>
              <w:rPr>
                <w:bCs/>
              </w:rPr>
            </w:pPr>
            <w:r w:rsidRPr="004D0DAA">
              <w:t>1 1</w:t>
            </w:r>
            <w:r w:rsidRPr="004D0DAA">
              <w:tab/>
            </w:r>
            <w:r w:rsidRPr="004D0DAA">
              <w:tab/>
            </w:r>
            <w:r w:rsidRPr="004D0DAA">
              <w:rPr>
                <w:bCs/>
              </w:rPr>
              <w:t>STARTING_DL_TIMESLOT - 3</w:t>
            </w:r>
          </w:p>
          <w:p w14:paraId="618F807B" w14:textId="77777777" w:rsidR="00711444" w:rsidRPr="004D0DAA" w:rsidRDefault="00711444" w:rsidP="00AA2A4C">
            <w:r w:rsidRPr="004D0DAA">
              <w:t>If DL_COVERAGE_CLASS &gt; CC1 and UL_COVERAGE_CLASS = CC1, the STARTING_UL_TIMESLOT_OFFSET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5940E332" w14:textId="77777777" w:rsidR="00711444" w:rsidRPr="004D0DAA" w:rsidRDefault="00711444" w:rsidP="00AA2A4C">
            <w:pPr>
              <w:pStyle w:val="FP"/>
              <w:tabs>
                <w:tab w:val="left" w:pos="567"/>
              </w:tabs>
              <w:ind w:left="567" w:hanging="567"/>
            </w:pPr>
            <w:r w:rsidRPr="004D0DAA">
              <w:t>bit</w:t>
            </w:r>
          </w:p>
          <w:p w14:paraId="2958E050" w14:textId="77777777" w:rsidR="00711444" w:rsidRPr="004D0DAA" w:rsidRDefault="00711444" w:rsidP="00AA2A4C">
            <w:pPr>
              <w:pStyle w:val="FP"/>
              <w:tabs>
                <w:tab w:val="left" w:pos="567"/>
              </w:tabs>
              <w:ind w:left="567" w:hanging="567"/>
            </w:pPr>
            <w:r w:rsidRPr="004D0DAA">
              <w:t>2 1</w:t>
            </w:r>
          </w:p>
          <w:p w14:paraId="51A22D29"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STARTING_DL_TIMESLOT</w:t>
            </w:r>
          </w:p>
          <w:p w14:paraId="55AB5E67" w14:textId="77777777" w:rsidR="00711444" w:rsidRPr="004D0DAA" w:rsidRDefault="00711444" w:rsidP="00AA2A4C">
            <w:pPr>
              <w:pStyle w:val="FP"/>
              <w:tabs>
                <w:tab w:val="left" w:pos="567"/>
              </w:tabs>
              <w:ind w:left="567" w:hanging="567"/>
            </w:pPr>
            <w:r w:rsidRPr="004D0DAA">
              <w:t>0 1</w:t>
            </w:r>
            <w:r w:rsidRPr="004D0DAA">
              <w:tab/>
            </w:r>
            <w:r w:rsidRPr="004D0DAA">
              <w:rPr>
                <w:bCs/>
              </w:rPr>
              <w:t>STARTING_DL_TIMESLOT + 1</w:t>
            </w:r>
          </w:p>
          <w:p w14:paraId="2A516D76" w14:textId="77777777" w:rsidR="00711444" w:rsidRPr="004D0DAA" w:rsidRDefault="00711444" w:rsidP="00AA2A4C">
            <w:pPr>
              <w:pStyle w:val="FP"/>
              <w:tabs>
                <w:tab w:val="left" w:pos="567"/>
              </w:tabs>
              <w:ind w:left="567" w:hanging="567"/>
            </w:pPr>
            <w:r w:rsidRPr="004D0DAA">
              <w:t>1 0</w:t>
            </w:r>
            <w:r w:rsidRPr="004D0DAA">
              <w:tab/>
            </w:r>
            <w:r w:rsidRPr="004D0DAA">
              <w:rPr>
                <w:bCs/>
              </w:rPr>
              <w:t>STARTING_DL_TIMESLOT + 2</w:t>
            </w:r>
          </w:p>
          <w:p w14:paraId="10E10BC1" w14:textId="77777777" w:rsidR="00711444" w:rsidRPr="004D0DAA" w:rsidRDefault="00711444" w:rsidP="00AA2A4C">
            <w:r w:rsidRPr="004D0DAA">
              <w:t>1 1</w:t>
            </w:r>
            <w:r w:rsidRPr="004D0DAA">
              <w:tab/>
            </w:r>
            <w:r w:rsidRPr="004D0DAA">
              <w:tab/>
            </w:r>
            <w:r w:rsidRPr="004D0DAA">
              <w:rPr>
                <w:bCs/>
              </w:rPr>
              <w:t>STARTING_DL_TIMESLOT + 3</w:t>
            </w:r>
          </w:p>
          <w:p w14:paraId="248CB452" w14:textId="77777777" w:rsidR="00711444" w:rsidRPr="004D0DAA" w:rsidRDefault="00711444" w:rsidP="00AA2A4C">
            <w:r w:rsidRPr="004D0DAA">
              <w:t xml:space="preserve">If both DL_COVERAGE_CLASS and UL_COVERAGE_CLASS = CC1, the uplink is assigned to the timeslot indicated by the </w:t>
            </w:r>
            <w:r w:rsidRPr="004D0DAA">
              <w:rPr>
                <w:bCs/>
              </w:rPr>
              <w:t xml:space="preserve">STARTING_DL_TIMESLOT field. </w:t>
            </w:r>
            <w:r w:rsidRPr="004D0DAA">
              <w:t>The STARTING_UL_TIMESLOT_OFFSET field can then be considered as not valid by the mobile station.</w:t>
            </w:r>
          </w:p>
        </w:tc>
      </w:tr>
      <w:tr w:rsidR="00711444" w:rsidRPr="004D0DAA" w14:paraId="538481FC" w14:textId="77777777" w:rsidTr="00AA2A4C">
        <w:trPr>
          <w:cantSplit/>
        </w:trPr>
        <w:tc>
          <w:tcPr>
            <w:tcW w:w="9848" w:type="dxa"/>
          </w:tcPr>
          <w:p w14:paraId="0ABF80BA" w14:textId="77777777" w:rsidR="00711444" w:rsidRPr="004D0DAA" w:rsidRDefault="00711444" w:rsidP="00AA2A4C">
            <w:r w:rsidRPr="004D0DAA">
              <w:rPr>
                <w:b/>
              </w:rPr>
              <w:t>P0</w:t>
            </w:r>
            <w:r w:rsidRPr="004D0DAA">
              <w:t xml:space="preserve"> (4 bit field)</w:t>
            </w:r>
            <w:r w:rsidRPr="004D0DAA">
              <w:br/>
              <w:t>This field is an optional downlink power control parameter. It is encoded as follows:</w:t>
            </w:r>
          </w:p>
          <w:p w14:paraId="6FBA2759" w14:textId="77777777" w:rsidR="00711444" w:rsidRPr="004D0DAA" w:rsidRDefault="00711444" w:rsidP="00AA2A4C">
            <w:r w:rsidRPr="004D0DAA">
              <w:t>bit</w:t>
            </w:r>
            <w:r w:rsidRPr="004D0DAA">
              <w:br/>
              <w:t xml:space="preserve">4 3 2 1 </w:t>
            </w:r>
            <w:r w:rsidRPr="004D0DAA">
              <w:br/>
              <w:t>0 0 0 0</w:t>
            </w:r>
            <w:r w:rsidRPr="004D0DAA">
              <w:tab/>
            </w:r>
            <w:r w:rsidRPr="004D0DAA">
              <w:tab/>
              <w:t>P0 = 0 dB</w:t>
            </w:r>
            <w:r w:rsidRPr="004D0DAA">
              <w:br/>
              <w:t>0 0 0 1</w:t>
            </w:r>
            <w:r w:rsidRPr="004D0DAA">
              <w:tab/>
            </w:r>
            <w:r w:rsidRPr="004D0DAA">
              <w:tab/>
              <w:t>P0 = 2 dB</w:t>
            </w:r>
            <w:r w:rsidRPr="004D0DAA">
              <w:br/>
              <w:t>0 0 1 0</w:t>
            </w:r>
            <w:r w:rsidRPr="004D0DAA">
              <w:tab/>
            </w:r>
            <w:r w:rsidRPr="004D0DAA">
              <w:tab/>
              <w:t>P0 = 4 dB</w:t>
            </w:r>
            <w:r w:rsidRPr="004D0DAA">
              <w:br/>
              <w:t>:</w:t>
            </w:r>
            <w:r w:rsidRPr="004D0DAA">
              <w:br/>
              <w:t>1 1 1 1</w:t>
            </w:r>
            <w:r w:rsidRPr="004D0DAA">
              <w:tab/>
            </w:r>
            <w:r w:rsidRPr="004D0DAA">
              <w:tab/>
              <w:t>P0 = 30 dB</w:t>
            </w:r>
          </w:p>
        </w:tc>
      </w:tr>
      <w:tr w:rsidR="00711444" w:rsidRPr="004D0DAA" w14:paraId="3E89E34C" w14:textId="77777777" w:rsidTr="00AA2A4C">
        <w:trPr>
          <w:cantSplit/>
        </w:trPr>
        <w:tc>
          <w:tcPr>
            <w:tcW w:w="9848" w:type="dxa"/>
          </w:tcPr>
          <w:p w14:paraId="1D7B75BE" w14:textId="77777777" w:rsidR="00711444" w:rsidRPr="004D0DAA" w:rsidRDefault="00711444" w:rsidP="00AA2A4C">
            <w:r w:rsidRPr="004D0DAA">
              <w:rPr>
                <w:b/>
              </w:rPr>
              <w:lastRenderedPageBreak/>
              <w:t xml:space="preserve">PR_MODE </w:t>
            </w:r>
            <w:r w:rsidRPr="004D0DAA">
              <w:t>(1 bit field)</w:t>
            </w:r>
            <w:r w:rsidRPr="004D0DAA">
              <w:br/>
              <w:t>This field indicates the PR Management mode, as defined in 3GPP TS 45.008. The field is encoded as follows:</w:t>
            </w:r>
            <w:r w:rsidRPr="004D0DAA">
              <w:br/>
              <w:t>0</w:t>
            </w:r>
            <w:r w:rsidRPr="004D0DAA">
              <w:tab/>
              <w:t>PR mode A: for one addressed MS</w:t>
            </w:r>
            <w:r w:rsidRPr="004D0DAA">
              <w:br/>
              <w:t>1</w:t>
            </w:r>
            <w:r w:rsidRPr="004D0DAA">
              <w:tab/>
              <w:t>PR mode B: for all MSs</w:t>
            </w:r>
          </w:p>
          <w:p w14:paraId="2460C1A8" w14:textId="77777777" w:rsidR="00711444" w:rsidRPr="004D0DAA" w:rsidRDefault="00711444" w:rsidP="00AA2A4C">
            <w:r w:rsidRPr="004D0DAA">
              <w:rPr>
                <w:b/>
              </w:rPr>
              <w:t>GAMMA</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xml:space="preserve"> for MS output power control in units of 2 dB, see 3GPP TS 45.008. The field is coded according to the following table:</w:t>
            </w:r>
          </w:p>
          <w:p w14:paraId="2EF21662" w14:textId="77777777" w:rsidR="00711444" w:rsidRPr="004D0DAA" w:rsidRDefault="00711444" w:rsidP="00AA2A4C">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62 dB</w:t>
            </w:r>
          </w:p>
          <w:p w14:paraId="18518AF7" w14:textId="77777777" w:rsidR="00711444" w:rsidRPr="004D0DAA" w:rsidRDefault="00711444" w:rsidP="00AA2A4C">
            <w:r w:rsidRPr="004D0DAA">
              <w:rPr>
                <w:b/>
              </w:rPr>
              <w:t>ALPHA Enable</w:t>
            </w:r>
            <w:r w:rsidRPr="004D0DAA">
              <w:t xml:space="preserve"> (1 bit field)</w:t>
            </w:r>
            <w:r w:rsidRPr="004D0DAA">
              <w:br/>
              <w:t>This field indicates whether or not the mobile station shall use the ALPHA parameter (if sent as part of EC SI) for uplink power control (see 3GPP TS 45.008 [34]). The field is coded as follows:</w:t>
            </w:r>
          </w:p>
          <w:p w14:paraId="0B4CE5A6" w14:textId="77777777" w:rsidR="00711444" w:rsidRPr="004D0DAA" w:rsidRDefault="00711444" w:rsidP="00AA2A4C">
            <w:r w:rsidRPr="004D0DAA">
              <w:t>0</w:t>
            </w:r>
            <w:r w:rsidRPr="004D0DAA">
              <w:tab/>
            </w:r>
            <w:r w:rsidRPr="004D0DAA">
              <w:tab/>
              <w:t>The mobile station shall not use the ALPHA parameter</w:t>
            </w:r>
            <w:r w:rsidRPr="004D0DAA">
              <w:br/>
              <w:t>1</w:t>
            </w:r>
            <w:r w:rsidRPr="004D0DAA">
              <w:tab/>
            </w:r>
            <w:r w:rsidRPr="004D0DAA">
              <w:tab/>
              <w:t>The mobile station shall use the ALPHA parameter</w:t>
            </w:r>
          </w:p>
          <w:p w14:paraId="2012C276" w14:textId="77777777" w:rsidR="00711444" w:rsidRPr="004D0DAA" w:rsidRDefault="00711444" w:rsidP="00AA2A4C">
            <w:r w:rsidRPr="004D0DAA">
              <w:rPr>
                <w:b/>
              </w:rPr>
              <w:t xml:space="preserve">EC_MA_NUMBER </w:t>
            </w:r>
            <w:r w:rsidRPr="004D0DAA">
              <w:t>(5 bit field)</w:t>
            </w:r>
            <w:r w:rsidRPr="004D0DAA">
              <w:br/>
              <w:t xml:space="preserve">This field indicates what EC Mobile Allocation set, as defined in the EC SYSTEM INFORMATION TYPE 1 message, the TBF is allocated to (see 3GPP TS 44.018 [11]). </w:t>
            </w:r>
          </w:p>
          <w:p w14:paraId="0ABAE257" w14:textId="77777777" w:rsidR="00711444" w:rsidRPr="004D0DAA" w:rsidRDefault="00711444" w:rsidP="00AA2A4C">
            <w:r w:rsidRPr="004D0DAA">
              <w:t>The field is encoded as a binary number with a range 0 to 31.</w:t>
            </w:r>
          </w:p>
        </w:tc>
      </w:tr>
      <w:tr w:rsidR="00711444" w:rsidRPr="004D0DAA" w14:paraId="37196798" w14:textId="77777777" w:rsidTr="00AA2A4C">
        <w:trPr>
          <w:cantSplit/>
        </w:trPr>
        <w:tc>
          <w:tcPr>
            <w:tcW w:w="9848" w:type="dxa"/>
          </w:tcPr>
          <w:p w14:paraId="4AE19D38" w14:textId="77777777" w:rsidR="00711444" w:rsidRPr="004D0DAA" w:rsidRDefault="00711444" w:rsidP="00AA2A4C">
            <w:r w:rsidRPr="004D0DAA">
              <w:rPr>
                <w:b/>
              </w:rPr>
              <w:t xml:space="preserve">DOWNLINK_TFI_ASSIGNMENT </w:t>
            </w:r>
            <w:r w:rsidRPr="004D0DAA">
              <w:t>(5 bit field)</w:t>
            </w:r>
            <w:r w:rsidRPr="004D0DAA">
              <w:br/>
              <w:t>This information element, if present, assigns the TFI to the mobile station to identify the downlink TBF described by this message. TFI is encoded as defined in sub-clause 12.15.</w:t>
            </w:r>
          </w:p>
          <w:p w14:paraId="4C59598A" w14:textId="77777777" w:rsidR="00711444" w:rsidRPr="004D0DAA" w:rsidRDefault="00711444" w:rsidP="00AA2A4C">
            <w:pPr>
              <w:spacing w:after="0"/>
            </w:pPr>
            <w:r w:rsidRPr="004D0DAA">
              <w:rPr>
                <w:b/>
              </w:rPr>
              <w:t>Primary TSC Set</w:t>
            </w:r>
            <w:r w:rsidRPr="004D0DAA">
              <w:t xml:space="preserve"> (1 bit field)</w:t>
            </w:r>
          </w:p>
          <w:p w14:paraId="1ACCE810" w14:textId="77777777" w:rsidR="00711444" w:rsidRPr="004D0DAA" w:rsidRDefault="00711444" w:rsidP="00AA2A4C">
            <w:r w:rsidRPr="004D0DAA">
              <w:t xml:space="preserve">This field indicates to which TSC set the TSC field in the same message, </w:t>
            </w:r>
            <w:r w:rsidRPr="004D0DAA">
              <w:rPr>
                <w:rFonts w:cs="Arial"/>
              </w:rPr>
              <w:t>for use on the assigned resources,</w:t>
            </w:r>
            <w:r w:rsidRPr="004D0DAA">
              <w:t xml:space="preserve"> shall be associated. This field is coded as follows:</w:t>
            </w:r>
          </w:p>
          <w:p w14:paraId="41EF7AFD" w14:textId="77777777" w:rsidR="00711444" w:rsidRPr="004D0DAA" w:rsidRDefault="00711444" w:rsidP="00AA2A4C">
            <w:pPr>
              <w:spacing w:before="60" w:after="0"/>
            </w:pPr>
            <w:r w:rsidRPr="004D0DAA">
              <w:t>0  TSC set 1</w:t>
            </w:r>
          </w:p>
          <w:p w14:paraId="1B4E1933" w14:textId="77777777" w:rsidR="00711444" w:rsidRPr="004D0DAA" w:rsidRDefault="00711444" w:rsidP="00AA2A4C">
            <w:pPr>
              <w:spacing w:before="60" w:after="0"/>
              <w:ind w:left="270" w:hanging="270"/>
            </w:pPr>
            <w:r w:rsidRPr="004D0DAA">
              <w:t xml:space="preserve">1   Indicates TSC set 2 for 8PSK modulation and TSC set 3 (which is identical to TSC set 3 used for the CS domain) for GMSK modulation. </w:t>
            </w:r>
          </w:p>
          <w:p w14:paraId="1E29727A" w14:textId="77777777" w:rsidR="00711444" w:rsidRPr="004D0DAA" w:rsidRDefault="00711444" w:rsidP="00AA2A4C">
            <w:pPr>
              <w:rPr>
                <w:b/>
              </w:rPr>
            </w:pPr>
          </w:p>
        </w:tc>
      </w:tr>
      <w:tr w:rsidR="00711444" w:rsidRPr="004D0DAA" w14:paraId="50E7B14B" w14:textId="77777777" w:rsidTr="00AA2A4C">
        <w:trPr>
          <w:cantSplit/>
        </w:trPr>
        <w:tc>
          <w:tcPr>
            <w:tcW w:w="9848" w:type="dxa"/>
          </w:tcPr>
          <w:p w14:paraId="64A811AD" w14:textId="77777777" w:rsidR="00711444" w:rsidRPr="004D0DAA" w:rsidRDefault="00711444" w:rsidP="00AA2A4C">
            <w:pPr>
              <w:spacing w:after="0"/>
            </w:pPr>
            <w:r w:rsidRPr="004D0DAA">
              <w:rPr>
                <w:b/>
              </w:rPr>
              <w:t>Multilateration Information</w:t>
            </w:r>
            <w:r w:rsidRPr="004D0DAA">
              <w:t xml:space="preserve"> </w:t>
            </w:r>
            <w:r w:rsidRPr="004D0DAA">
              <w:rPr>
                <w:b/>
              </w:rPr>
              <w:t>Request</w:t>
            </w:r>
            <w:r w:rsidRPr="004D0DAA">
              <w:t xml:space="preserve"> (1 bit field)</w:t>
            </w:r>
          </w:p>
          <w:p w14:paraId="1EBB036D" w14:textId="77777777" w:rsidR="00711444" w:rsidRPr="004D0DAA" w:rsidRDefault="00711444" w:rsidP="00AA2A4C">
            <w:pPr>
              <w:pStyle w:val="TAL"/>
              <w:rPr>
                <w:rFonts w:ascii="Times New Roman" w:hAnsi="Times New Roman"/>
                <w:sz w:val="20"/>
                <w:lang w:eastAsia="en-US"/>
              </w:rPr>
            </w:pPr>
            <w:r w:rsidRPr="004D0DAA">
              <w:rPr>
                <w:rFonts w:ascii="Times New Roman" w:hAnsi="Times New Roman"/>
                <w:sz w:val="20"/>
                <w:lang w:eastAsia="en-US"/>
              </w:rPr>
              <w:t>This field indicates whether or not a MS is to include “MS Transmission Offset” and “MS Sync Accuracy” parameters when sending an EC Packet Downlink Ack/Nack message (see sub-clause 11.2.51).</w:t>
            </w:r>
            <w:r w:rsidRPr="004D0DAA">
              <w:rPr>
                <w:rFonts w:ascii="Times New Roman" w:hAnsi="Times New Roman"/>
                <w:sz w:val="20"/>
                <w:lang w:eastAsia="en-US"/>
              </w:rPr>
              <w:tab/>
              <w:t>This field can be included when establishing a downlink TBF to deliver a downlink LLC PDU for which the corresponding DL-UNITDATA PDU indicates timing advance information is needed (see 3GPP TS 48.018).  This field is coded as follows:</w:t>
            </w:r>
          </w:p>
          <w:p w14:paraId="077F1D74" w14:textId="77777777" w:rsidR="00711444" w:rsidRPr="004D0DAA" w:rsidRDefault="00711444" w:rsidP="00AA2A4C">
            <w:pPr>
              <w:pStyle w:val="TAL"/>
              <w:rPr>
                <w:rFonts w:ascii="Times New Roman" w:hAnsi="Times New Roman"/>
                <w:sz w:val="20"/>
                <w:lang w:eastAsia="en-US"/>
              </w:rPr>
            </w:pPr>
          </w:p>
          <w:p w14:paraId="3299AF1A" w14:textId="77777777" w:rsidR="00711444" w:rsidRPr="004D0DAA" w:rsidRDefault="00711444" w:rsidP="00AA2A4C">
            <w:pPr>
              <w:spacing w:before="60" w:after="0"/>
            </w:pPr>
            <w:r w:rsidRPr="004D0DAA">
              <w:t>0   Do not include “MS Transmission Offset” and “MS Sync Accuracy” parameters</w:t>
            </w:r>
          </w:p>
          <w:p w14:paraId="4CDF489E" w14:textId="77777777" w:rsidR="00711444" w:rsidRPr="004D0DAA" w:rsidRDefault="00711444" w:rsidP="00AA2A4C">
            <w:pPr>
              <w:spacing w:before="60" w:after="0"/>
            </w:pPr>
            <w:r w:rsidRPr="004D0DAA">
              <w:t>1   Include “MS Transmission Offset” and “MS Sync Accuracy” parameters</w:t>
            </w:r>
          </w:p>
          <w:p w14:paraId="2CF1BCE0" w14:textId="77777777" w:rsidR="00711444" w:rsidRPr="004D0DAA" w:rsidRDefault="00711444" w:rsidP="00AA2A4C">
            <w:pPr>
              <w:rPr>
                <w:b/>
              </w:rPr>
            </w:pPr>
          </w:p>
        </w:tc>
      </w:tr>
    </w:tbl>
    <w:p w14:paraId="638974DE" w14:textId="77777777" w:rsidR="00711444" w:rsidRPr="004D0DAA" w:rsidRDefault="00711444" w:rsidP="00711444">
      <w:pPr>
        <w:rPr>
          <w:lang w:eastAsia="en-GB"/>
        </w:rPr>
      </w:pPr>
    </w:p>
    <w:p w14:paraId="2B5554B2" w14:textId="77777777" w:rsidR="00711444" w:rsidRPr="004D0DAA" w:rsidRDefault="00711444" w:rsidP="00711444">
      <w:pPr>
        <w:pStyle w:val="Heading3"/>
      </w:pPr>
      <w:bookmarkStart w:id="743" w:name="_Toc516669919"/>
      <w:r w:rsidRPr="004D0DAA">
        <w:t>11.2.53</w:t>
      </w:r>
      <w:r w:rsidRPr="004D0DAA">
        <w:tab/>
        <w:t>EC Packet Downlink Dummy Control Block</w:t>
      </w:r>
      <w:bookmarkEnd w:id="743"/>
    </w:p>
    <w:p w14:paraId="039F07A9" w14:textId="77777777" w:rsidR="00711444" w:rsidRPr="004D0DAA" w:rsidRDefault="00711444" w:rsidP="00711444">
      <w:r w:rsidRPr="004D0DAA">
        <w:t>This message is sent on the EC-PACCH by the network to the mobile station as a fill message with just the USED_DL_COVERAGE_CLASS parameter.</w:t>
      </w:r>
    </w:p>
    <w:p w14:paraId="06F58D74" w14:textId="77777777" w:rsidR="00711444" w:rsidRPr="004D0DAA" w:rsidRDefault="00711444" w:rsidP="00711444">
      <w:pPr>
        <w:pStyle w:val="EX"/>
      </w:pPr>
      <w:r w:rsidRPr="004D0DAA">
        <w:t>Message type:</w:t>
      </w:r>
      <w:r w:rsidRPr="004D0DAA">
        <w:tab/>
        <w:t>EC PACKET DOWNLINK DUMMY CONTROL BLOCK</w:t>
      </w:r>
    </w:p>
    <w:p w14:paraId="15405151" w14:textId="77777777" w:rsidR="00711444" w:rsidRPr="004D0DAA" w:rsidRDefault="00711444" w:rsidP="00711444">
      <w:pPr>
        <w:pStyle w:val="EX"/>
      </w:pPr>
      <w:r w:rsidRPr="004D0DAA">
        <w:lastRenderedPageBreak/>
        <w:t>Direction:</w:t>
      </w:r>
      <w:r w:rsidRPr="004D0DAA">
        <w:tab/>
        <w:t>network to mobile station</w:t>
      </w:r>
    </w:p>
    <w:p w14:paraId="5F7C506A" w14:textId="77777777" w:rsidR="00711444" w:rsidRPr="004D0DAA" w:rsidRDefault="00711444" w:rsidP="00711444">
      <w:pPr>
        <w:pStyle w:val="EX"/>
      </w:pPr>
      <w:r w:rsidRPr="004D0DAA">
        <w:t>Classification:</w:t>
      </w:r>
      <w:r w:rsidRPr="004D0DAA">
        <w:tab/>
        <w:t>distribution message</w:t>
      </w:r>
    </w:p>
    <w:p w14:paraId="3F25D0FE" w14:textId="77777777" w:rsidR="00711444" w:rsidRPr="004D0DAA" w:rsidRDefault="00711444" w:rsidP="00711444">
      <w:pPr>
        <w:pStyle w:val="TH"/>
      </w:pPr>
      <w:r w:rsidRPr="004D0DAA">
        <w:t xml:space="preserve">Table 11.2.53.1: EC </w:t>
      </w:r>
      <w:r w:rsidRPr="004D0DAA">
        <w:rPr>
          <w:caps/>
        </w:rPr>
        <w:t>Packet DOWNLINK DUMMY CONTROL BLOCK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BADB3AD" w14:textId="77777777" w:rsidTr="00AA2A4C">
        <w:trPr>
          <w:cantSplit/>
        </w:trPr>
        <w:tc>
          <w:tcPr>
            <w:tcW w:w="9848" w:type="dxa"/>
          </w:tcPr>
          <w:p w14:paraId="28CF7BFD" w14:textId="77777777" w:rsidR="00711444" w:rsidRPr="004D0DAA" w:rsidRDefault="00711444" w:rsidP="00AA2A4C">
            <w:pPr>
              <w:pStyle w:val="TAL"/>
              <w:rPr>
                <w:lang w:eastAsia="en-US"/>
              </w:rPr>
            </w:pPr>
            <w:r w:rsidRPr="004D0DAA">
              <w:rPr>
                <w:lang w:eastAsia="en-US"/>
              </w:rPr>
              <w:t>&lt; EC Packet Downlink Dummy Control Block message content &gt; ::=</w:t>
            </w:r>
          </w:p>
          <w:p w14:paraId="3AD458F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7F662DE8" w14:textId="77777777" w:rsidR="00711444" w:rsidRPr="004D0DAA" w:rsidRDefault="00711444" w:rsidP="00AA2A4C">
            <w:pPr>
              <w:pStyle w:val="TAL"/>
              <w:rPr>
                <w:lang w:eastAsia="en-US"/>
              </w:rPr>
            </w:pPr>
            <w:r w:rsidRPr="004D0DAA">
              <w:rPr>
                <w:lang w:eastAsia="en-US"/>
              </w:rPr>
              <w:tab/>
              <w:t>&lt; padding bits &gt;</w:t>
            </w:r>
          </w:p>
          <w:p w14:paraId="0DFC1B3D"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71D2B662" w14:textId="77777777" w:rsidR="00711444" w:rsidRPr="004D0DAA" w:rsidRDefault="00711444" w:rsidP="00711444"/>
    <w:p w14:paraId="3BABB2D5" w14:textId="77777777" w:rsidR="00711444" w:rsidRPr="004D0DAA" w:rsidRDefault="00711444" w:rsidP="00711444">
      <w:pPr>
        <w:pStyle w:val="TH"/>
      </w:pPr>
      <w:r w:rsidRPr="004D0DAA">
        <w:t xml:space="preserve">Table 11.2.53.2: EC </w:t>
      </w:r>
      <w:r w:rsidRPr="004D0DAA">
        <w:rPr>
          <w:caps/>
        </w:rPr>
        <w:t>Packet DOWNLINK DUMMY CONTROL BLOCK</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65A30DA" w14:textId="77777777" w:rsidTr="00AA2A4C">
        <w:tc>
          <w:tcPr>
            <w:tcW w:w="9848" w:type="dxa"/>
          </w:tcPr>
          <w:p w14:paraId="44F85824" w14:textId="77777777" w:rsidR="00711444" w:rsidRPr="004D0DAA" w:rsidRDefault="00711444" w:rsidP="00AA2A4C">
            <w:r w:rsidRPr="004D0DAA">
              <w:rPr>
                <w:b/>
              </w:rPr>
              <w:t>USED_DL_COVERAGE_CLASS</w:t>
            </w:r>
            <w:r w:rsidRPr="004D0DAA">
              <w:t xml:space="preserve"> (2 bit field)</w:t>
            </w:r>
            <w:r w:rsidRPr="004D0DAA">
              <w:br/>
              <w:t>This information element is defined in sub-clause 12.71.</w:t>
            </w:r>
          </w:p>
        </w:tc>
      </w:tr>
    </w:tbl>
    <w:p w14:paraId="4D10D185" w14:textId="77777777" w:rsidR="00711444" w:rsidRPr="004D0DAA" w:rsidRDefault="00711444" w:rsidP="00711444">
      <w:pPr>
        <w:rPr>
          <w:lang w:eastAsia="en-GB"/>
        </w:rPr>
      </w:pPr>
    </w:p>
    <w:p w14:paraId="1942A93F" w14:textId="77777777" w:rsidR="00711444" w:rsidRPr="004D0DAA" w:rsidRDefault="00711444" w:rsidP="00711444">
      <w:pPr>
        <w:pStyle w:val="Heading3"/>
      </w:pPr>
      <w:bookmarkStart w:id="744" w:name="_Toc516669920"/>
      <w:r w:rsidRPr="004D0DAA">
        <w:t>11.2.54</w:t>
      </w:r>
      <w:r w:rsidRPr="004D0DAA">
        <w:tab/>
        <w:t>EC Packet Polling Request</w:t>
      </w:r>
      <w:bookmarkEnd w:id="744"/>
    </w:p>
    <w:p w14:paraId="2D6385C4" w14:textId="77777777" w:rsidR="00711444" w:rsidRPr="004D0DAA" w:rsidRDefault="00711444" w:rsidP="00711444">
      <w:r w:rsidRPr="004D0DAA">
        <w:t>This message is sent on the EC-PACCH by the network to the mobile station to solicit an EC PACKET CONTROL ACKNOWLEDGEMENT or EC PACKET CONTROL ACKNOWLEDGEMENT HIGHER CC message from the mobile station.</w:t>
      </w:r>
    </w:p>
    <w:p w14:paraId="5E0F8CAA" w14:textId="77777777" w:rsidR="00711444" w:rsidRPr="004D0DAA" w:rsidRDefault="00711444" w:rsidP="00711444">
      <w:pPr>
        <w:pStyle w:val="EX"/>
      </w:pPr>
      <w:r w:rsidRPr="004D0DAA">
        <w:t>Message type:</w:t>
      </w:r>
      <w:r w:rsidRPr="004D0DAA">
        <w:tab/>
        <w:t>EC PACKET POLLING REQUEST</w:t>
      </w:r>
    </w:p>
    <w:p w14:paraId="15943525" w14:textId="77777777" w:rsidR="00711444" w:rsidRPr="004D0DAA" w:rsidRDefault="00711444" w:rsidP="00711444">
      <w:pPr>
        <w:pStyle w:val="EX"/>
      </w:pPr>
      <w:r w:rsidRPr="004D0DAA">
        <w:t>Direction:</w:t>
      </w:r>
      <w:r w:rsidRPr="004D0DAA">
        <w:tab/>
        <w:t>network to mobile station</w:t>
      </w:r>
    </w:p>
    <w:p w14:paraId="71C788AE" w14:textId="77777777" w:rsidR="00711444" w:rsidRPr="004D0DAA" w:rsidRDefault="00711444" w:rsidP="00711444">
      <w:pPr>
        <w:pStyle w:val="EX"/>
      </w:pPr>
      <w:r w:rsidRPr="004D0DAA">
        <w:t>Classification:</w:t>
      </w:r>
      <w:r w:rsidRPr="004D0DAA">
        <w:tab/>
        <w:t>non-distribution message</w:t>
      </w:r>
    </w:p>
    <w:p w14:paraId="0ED37CEA" w14:textId="77777777" w:rsidR="00711444" w:rsidRPr="004D0DAA" w:rsidRDefault="00711444" w:rsidP="00711444">
      <w:pPr>
        <w:pStyle w:val="TH"/>
      </w:pPr>
      <w:r w:rsidRPr="004D0DAA">
        <w:t xml:space="preserve">Table 11.2.54.1: EC </w:t>
      </w:r>
      <w:r w:rsidRPr="004D0DAA">
        <w:rPr>
          <w:caps/>
        </w:rPr>
        <w:t>Packet POLLING</w:t>
      </w:r>
      <w:r w:rsidRPr="004D0DAA">
        <w:t xml:space="preserve"> REQUEST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382F310" w14:textId="77777777" w:rsidTr="00AA2A4C">
        <w:trPr>
          <w:cantSplit/>
        </w:trPr>
        <w:tc>
          <w:tcPr>
            <w:tcW w:w="9848" w:type="dxa"/>
          </w:tcPr>
          <w:p w14:paraId="626BE0AB" w14:textId="77777777" w:rsidR="00711444" w:rsidRPr="004D0DAA" w:rsidRDefault="00711444" w:rsidP="00AA2A4C">
            <w:pPr>
              <w:pStyle w:val="TAL"/>
              <w:rPr>
                <w:lang w:eastAsia="en-US"/>
              </w:rPr>
            </w:pPr>
            <w:r w:rsidRPr="004D0DAA">
              <w:rPr>
                <w:lang w:eastAsia="en-US"/>
              </w:rPr>
              <w:t>&lt; EC Packet Polling Request message content &gt; ::=</w:t>
            </w:r>
          </w:p>
          <w:p w14:paraId="5F96DAC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3954229E"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t xml:space="preserve">&lt; </w:t>
            </w:r>
            <w:r w:rsidRPr="004D0DAA">
              <w:rPr>
                <w:b/>
                <w:lang w:eastAsia="en-US"/>
              </w:rPr>
              <w:t>Global TFI</w:t>
            </w:r>
            <w:r w:rsidRPr="004D0DAA">
              <w:rPr>
                <w:lang w:eastAsia="en-US"/>
              </w:rPr>
              <w:t xml:space="preserve"> : &lt; Global TFI IE &gt; &gt;</w:t>
            </w:r>
          </w:p>
          <w:p w14:paraId="6BC0D9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&lt; </w:t>
            </w:r>
            <w:r w:rsidRPr="004D0DAA">
              <w:rPr>
                <w:b/>
                <w:lang w:eastAsia="en-US"/>
              </w:rPr>
              <w:t>TYPE_OF_ACK</w:t>
            </w:r>
            <w:r w:rsidRPr="004D0DAA">
              <w:rPr>
                <w:lang w:eastAsia="en-US"/>
              </w:rPr>
              <w:t xml:space="preserve"> : bit (1) &gt;</w:t>
            </w:r>
          </w:p>
          <w:p w14:paraId="60711F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 padding bits &gt;</w:t>
            </w:r>
          </w:p>
          <w:p w14:paraId="6ED77BA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&lt; Non-distribution part error : bit (*) = &lt; no string &gt; &gt; }</w:t>
            </w:r>
          </w:p>
          <w:p w14:paraId="5BB0259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Address information part error : bit (*) = &lt; no string &gt; &gt;</w:t>
            </w:r>
          </w:p>
          <w:p w14:paraId="0F9EDD03"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Message escape : { 1 } bit (*) = &lt;no string&gt; &gt; } </w:t>
            </w:r>
            <w:r w:rsidRPr="004D0DAA">
              <w:rPr>
                <w:lang w:eastAsia="en-US"/>
              </w:rPr>
              <w:tab/>
              <w:t>-- Extended for future changes</w:t>
            </w:r>
          </w:p>
          <w:p w14:paraId="5C9176AF"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61B37E55" w14:textId="77777777" w:rsidR="00711444" w:rsidRPr="004D0DAA" w:rsidRDefault="00711444" w:rsidP="00711444"/>
    <w:p w14:paraId="3E0274B2" w14:textId="77777777" w:rsidR="00711444" w:rsidRPr="004D0DAA" w:rsidRDefault="00711444" w:rsidP="00711444">
      <w:pPr>
        <w:pStyle w:val="TH"/>
      </w:pPr>
      <w:r w:rsidRPr="004D0DAA">
        <w:t xml:space="preserve">Table 11.2.54.2: EC </w:t>
      </w:r>
      <w:r w:rsidRPr="004D0DAA">
        <w:rPr>
          <w:caps/>
        </w:rPr>
        <w:t>Packet POLLING</w:t>
      </w:r>
      <w:r w:rsidRPr="004D0DAA">
        <w:t xml:space="preserve"> REQUEST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16F8E5A" w14:textId="77777777" w:rsidTr="00AA2A4C">
        <w:trPr>
          <w:cantSplit/>
        </w:trPr>
        <w:tc>
          <w:tcPr>
            <w:tcW w:w="9848" w:type="dxa"/>
          </w:tcPr>
          <w:p w14:paraId="7F43A721"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2FA01EDE" w14:textId="77777777" w:rsidTr="00AA2A4C">
        <w:trPr>
          <w:cantSplit/>
        </w:trPr>
        <w:tc>
          <w:tcPr>
            <w:tcW w:w="9848" w:type="dxa"/>
          </w:tcPr>
          <w:p w14:paraId="0FB50C28" w14:textId="77777777" w:rsidR="00711444" w:rsidRPr="004D0DAA" w:rsidRDefault="00711444" w:rsidP="00AA2A4C">
            <w:pPr>
              <w:rPr>
                <w:b/>
              </w:rPr>
            </w:pPr>
            <w:r w:rsidRPr="004D0DAA">
              <w:rPr>
                <w:b/>
              </w:rPr>
              <w:t>Global TFI</w:t>
            </w:r>
            <w:r w:rsidRPr="004D0DAA">
              <w:br/>
              <w:t>This information element contains the TFI of the mobile station's downlink TBF or uplink TBF. This field is defined in sub-clause 12.10.</w:t>
            </w:r>
          </w:p>
        </w:tc>
      </w:tr>
      <w:tr w:rsidR="00711444" w:rsidRPr="004D0DAA" w14:paraId="2C3FD65B" w14:textId="77777777" w:rsidTr="00AA2A4C">
        <w:trPr>
          <w:cantSplit/>
        </w:trPr>
        <w:tc>
          <w:tcPr>
            <w:tcW w:w="9848" w:type="dxa"/>
          </w:tcPr>
          <w:p w14:paraId="2CCCF74D" w14:textId="77777777" w:rsidR="00711444" w:rsidRPr="004D0DAA" w:rsidRDefault="00711444" w:rsidP="00AA2A4C">
            <w:r w:rsidRPr="004D0DAA">
              <w:rPr>
                <w:b/>
              </w:rPr>
              <w:lastRenderedPageBreak/>
              <w:t>TYPE_OF_ACK</w:t>
            </w:r>
            <w:r w:rsidRPr="004D0DAA">
              <w:br/>
              <w:t>This field indicates the format of the EC PACKET CONTROL ACKNOWLEDGEMENT or EC PACKET CONTROL ACKNOWLEDGEMENT HIGHER CC message requested from the mobile station by the EC PACKET POLLING REQUEST message.</w:t>
            </w:r>
          </w:p>
          <w:p w14:paraId="4E3817D8" w14:textId="77777777" w:rsidR="00711444" w:rsidRPr="004D0DAA" w:rsidRDefault="00711444" w:rsidP="00AA2A4C">
            <w:r w:rsidRPr="004D0DAA">
              <w:t>0</w:t>
            </w:r>
            <w:r w:rsidRPr="004D0DAA">
              <w:tab/>
              <w:t>EC PACKET CONTROL ACKNOWLEDGEMENT or EC PACKET CONTROL ACKNOWLEDGEMENT HIGHER CC message format shall be sent as four access bursts</w:t>
            </w:r>
            <w:r w:rsidRPr="004D0DAA">
              <w:br/>
              <w:t>1</w:t>
            </w:r>
            <w:r w:rsidRPr="004D0DAA">
              <w:tab/>
              <w:t>EC PACKET CONTROL ACKNOWLEDGEMENT or EC PACKET CONTROL ACKNOWLEDGEMENT HIGHER CC message format shall be an RLC/MAC control block</w:t>
            </w:r>
          </w:p>
          <w:p w14:paraId="58F78F43" w14:textId="77777777" w:rsidR="00711444" w:rsidRPr="004D0DAA" w:rsidRDefault="00711444" w:rsidP="00AA2A4C">
            <w:r w:rsidRPr="004D0DAA">
              <w:t>Depending on the UL Coverage Class assigned to the mobile station, the transmission of the EC PACKET CONTROL ACKNOWLEDGEMENT or EC PACKET CONTROL ACKNOWLEDGEMENT HIGHER CC message shall be sent using a specific number of blind physical layer transmissions. This is valid both when the message format is four access bursts and when it is an RLC/MAC control block.</w:t>
            </w:r>
          </w:p>
        </w:tc>
      </w:tr>
    </w:tbl>
    <w:p w14:paraId="280F32CF" w14:textId="77777777" w:rsidR="00711444" w:rsidRPr="004D0DAA" w:rsidRDefault="00711444" w:rsidP="00711444">
      <w:pPr>
        <w:rPr>
          <w:lang w:eastAsia="en-GB"/>
        </w:rPr>
      </w:pPr>
    </w:p>
    <w:p w14:paraId="6A1CE931" w14:textId="77777777" w:rsidR="00711444" w:rsidRPr="004D0DAA" w:rsidRDefault="00711444" w:rsidP="00711444">
      <w:pPr>
        <w:pStyle w:val="Heading3"/>
      </w:pPr>
      <w:bookmarkStart w:id="745" w:name="_Toc516669921"/>
      <w:r w:rsidRPr="004D0DAA">
        <w:t>11.2.55</w:t>
      </w:r>
      <w:r w:rsidRPr="004D0DAA">
        <w:tab/>
        <w:t>EC Packet Power Control/Timing Advance</w:t>
      </w:r>
      <w:bookmarkEnd w:id="745"/>
    </w:p>
    <w:p w14:paraId="722AED44" w14:textId="77777777" w:rsidR="00711444" w:rsidRPr="004D0DAA" w:rsidRDefault="00711444" w:rsidP="00711444">
      <w:r w:rsidRPr="004D0DAA">
        <w:t>This message is sent on EC-PACCH by the network to the mobile station in order to update the mobile station timing advance or power control parameters.</w:t>
      </w:r>
    </w:p>
    <w:p w14:paraId="73DD3C31" w14:textId="77777777" w:rsidR="00711444" w:rsidRPr="004D0DAA" w:rsidRDefault="00711444" w:rsidP="00711444">
      <w:pPr>
        <w:pStyle w:val="EX"/>
      </w:pPr>
      <w:r w:rsidRPr="004D0DAA">
        <w:t>Message type:</w:t>
      </w:r>
      <w:r w:rsidRPr="004D0DAA">
        <w:tab/>
        <w:t>EC PACKET POWER CONTROL/TIMING ADVANCE</w:t>
      </w:r>
    </w:p>
    <w:p w14:paraId="095B12A0" w14:textId="77777777" w:rsidR="00711444" w:rsidRPr="004D0DAA" w:rsidRDefault="00711444" w:rsidP="00711444">
      <w:pPr>
        <w:pStyle w:val="EX"/>
      </w:pPr>
      <w:r w:rsidRPr="004D0DAA">
        <w:t>Direction:</w:t>
      </w:r>
      <w:r w:rsidRPr="004D0DAA">
        <w:tab/>
        <w:t>network to mobile station</w:t>
      </w:r>
    </w:p>
    <w:p w14:paraId="05E62A1E" w14:textId="77777777" w:rsidR="00711444" w:rsidRPr="004D0DAA" w:rsidRDefault="00711444" w:rsidP="00711444">
      <w:pPr>
        <w:pStyle w:val="EX"/>
      </w:pPr>
      <w:r w:rsidRPr="004D0DAA">
        <w:t>Classification:</w:t>
      </w:r>
      <w:r w:rsidRPr="004D0DAA">
        <w:tab/>
        <w:t>non-distribution message</w:t>
      </w:r>
    </w:p>
    <w:p w14:paraId="69EA77E5" w14:textId="77777777" w:rsidR="00711444" w:rsidRPr="004D0DAA" w:rsidRDefault="00711444" w:rsidP="00711444">
      <w:pPr>
        <w:pStyle w:val="TH"/>
      </w:pPr>
      <w:r w:rsidRPr="004D0DAA">
        <w:t xml:space="preserve">Table 11.2.55.1: EC </w:t>
      </w:r>
      <w:r w:rsidRPr="004D0DAA">
        <w:rPr>
          <w:caps/>
        </w:rPr>
        <w:t>Packet POwer CONTROL/TIMING ADVANCE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52B5302" w14:textId="77777777" w:rsidTr="00AA2A4C">
        <w:trPr>
          <w:cantSplit/>
        </w:trPr>
        <w:tc>
          <w:tcPr>
            <w:tcW w:w="9848" w:type="dxa"/>
          </w:tcPr>
          <w:p w14:paraId="63067277" w14:textId="77777777" w:rsidR="00711444" w:rsidRPr="004D0DAA" w:rsidRDefault="00711444" w:rsidP="00AA2A4C">
            <w:pPr>
              <w:pStyle w:val="TAL"/>
              <w:rPr>
                <w:lang w:eastAsia="en-US"/>
              </w:rPr>
            </w:pPr>
            <w:r w:rsidRPr="004D0DAA">
              <w:rPr>
                <w:lang w:eastAsia="en-US"/>
              </w:rPr>
              <w:t>&lt; EC Packet Power Control/Timing Advance message content &gt; ::=</w:t>
            </w:r>
          </w:p>
          <w:p w14:paraId="09623D1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18CF3B02"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Global TFI</w:t>
            </w:r>
            <w:r w:rsidRPr="004D0DAA">
              <w:rPr>
                <w:lang w:eastAsia="en-US"/>
              </w:rPr>
              <w:t xml:space="preserve"> : &lt; Global TFI IE &gt; &gt;</w:t>
            </w:r>
          </w:p>
          <w:p w14:paraId="61177B6A"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 0 | 1 &lt; </w:t>
            </w:r>
            <w:r w:rsidRPr="004D0DAA">
              <w:rPr>
                <w:b/>
                <w:lang w:eastAsia="en-US"/>
              </w:rPr>
              <w:t>T_AVG_T</w:t>
            </w:r>
            <w:r w:rsidRPr="004D0DAA">
              <w:rPr>
                <w:lang w:eastAsia="en-US"/>
              </w:rPr>
              <w:t xml:space="preserve"> : bit (5) &gt; }</w:t>
            </w:r>
          </w:p>
          <w:p w14:paraId="5CE67A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EC Packet Timing Advance</w:t>
            </w:r>
            <w:r w:rsidRPr="004D0DAA">
              <w:rPr>
                <w:lang w:eastAsia="en-US"/>
              </w:rPr>
              <w:t xml:space="preserve"> : &lt; EC Packet Timing Advance IE &gt;&gt; }</w:t>
            </w:r>
          </w:p>
          <w:p w14:paraId="10F5AC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GAMMA</w:t>
            </w:r>
            <w:r w:rsidRPr="004D0DAA">
              <w:rPr>
                <w:lang w:eastAsia="en-US"/>
              </w:rPr>
              <w:t xml:space="preserve"> : bit (5) &gt; }</w:t>
            </w:r>
          </w:p>
          <w:p w14:paraId="3BF618A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6B1D25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582CB1E5"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5B17D93" w14:textId="77777777" w:rsidR="00711444" w:rsidRPr="004D0DAA" w:rsidRDefault="00711444" w:rsidP="00AA2A4C">
            <w:pPr>
              <w:pStyle w:val="TAL"/>
              <w:rPr>
                <w:lang w:eastAsia="en-US"/>
              </w:rPr>
            </w:pPr>
            <w:r w:rsidRPr="004D0DAA">
              <w:rPr>
                <w:lang w:eastAsia="en-US"/>
              </w:rPr>
              <w:tab/>
              <w:t>! &lt; Distribution part error : bit (*) = &lt; no string &gt; &gt; ;</w:t>
            </w:r>
          </w:p>
        </w:tc>
      </w:tr>
    </w:tbl>
    <w:p w14:paraId="2A1C4F11" w14:textId="77777777" w:rsidR="00711444" w:rsidRPr="004D0DAA" w:rsidRDefault="00711444" w:rsidP="00711444"/>
    <w:p w14:paraId="1B1202C4" w14:textId="77777777" w:rsidR="00711444" w:rsidRPr="004D0DAA" w:rsidRDefault="00711444" w:rsidP="00711444">
      <w:pPr>
        <w:pStyle w:val="TH"/>
      </w:pPr>
      <w:r w:rsidRPr="004D0DAA">
        <w:lastRenderedPageBreak/>
        <w:t xml:space="preserve">Table 11.2.55.2: EC </w:t>
      </w:r>
      <w:r w:rsidRPr="004D0DAA">
        <w:rPr>
          <w:caps/>
        </w:rPr>
        <w:t>Packet POwer CONTROL/TIMING ADVANCE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581AC5B" w14:textId="77777777" w:rsidTr="00AA2A4C">
        <w:trPr>
          <w:cantSplit/>
        </w:trPr>
        <w:tc>
          <w:tcPr>
            <w:tcW w:w="9848" w:type="dxa"/>
          </w:tcPr>
          <w:p w14:paraId="1D00C68A"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p w14:paraId="41CD4B7D" w14:textId="77777777" w:rsidR="00711444" w:rsidRPr="004D0DAA" w:rsidRDefault="00711444" w:rsidP="00AA2A4C">
            <w:r w:rsidRPr="004D0DAA">
              <w:rPr>
                <w:b/>
              </w:rPr>
              <w:t>Global TFI IE</w:t>
            </w:r>
            <w:r w:rsidRPr="004D0DAA">
              <w:rPr>
                <w:b/>
              </w:rPr>
              <w:br/>
            </w:r>
            <w:r w:rsidRPr="004D0DAA">
              <w:t>This information element contains the TFI of the mobile station's downlink TBF or uplink TBF. This field is defined in sub-clause 12.10.</w:t>
            </w:r>
          </w:p>
          <w:p w14:paraId="7BD5CC74" w14:textId="77777777" w:rsidR="00711444" w:rsidRPr="004D0DAA" w:rsidRDefault="00711444" w:rsidP="00AA2A4C">
            <w:r w:rsidRPr="004D0DAA">
              <w:rPr>
                <w:b/>
              </w:rPr>
              <w:t>T_AVG_T</w:t>
            </w:r>
            <w:r w:rsidRPr="004D0DAA">
              <w:t xml:space="preserve"> (5 bit field)</w:t>
            </w:r>
            <w:r w:rsidRPr="004D0DAA">
              <w:br/>
              <w:t>The T_AVG_T parameter is a signal strength filter period for power control in packet transfer mode. 2</w:t>
            </w:r>
            <w:r w:rsidRPr="004D0DAA">
              <w:rPr>
                <w:vertAlign w:val="superscript"/>
              </w:rPr>
              <w:t>(k/2)</w:t>
            </w:r>
            <w:r w:rsidRPr="004D0DAA">
              <w:t xml:space="preserve"> / 6 multiframes, k = 0, 1, 2, ..., 25 (see 3GPP TS 45.008). Values greater than 25 shall be interpreted as 25 by the mobile station.</w:t>
            </w:r>
          </w:p>
          <w:p w14:paraId="54117A5F" w14:textId="77777777" w:rsidR="00711444" w:rsidRPr="004D0DAA" w:rsidRDefault="00711444" w:rsidP="00AA2A4C">
            <w:r w:rsidRPr="004D0DAA">
              <w:rPr>
                <w:b/>
              </w:rPr>
              <w:t>EC Packet Timing Advance</w:t>
            </w:r>
            <w:r w:rsidRPr="004D0DAA">
              <w:br/>
              <w:t>This information element is defined in sub-clause 12.74.</w:t>
            </w:r>
          </w:p>
          <w:p w14:paraId="3D906EA5" w14:textId="77777777" w:rsidR="00711444" w:rsidRPr="004D0DAA" w:rsidRDefault="00711444" w:rsidP="00AA2A4C">
            <w:r w:rsidRPr="004D0DAA">
              <w:rPr>
                <w:b/>
              </w:rPr>
              <w:t>GAMMA</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xml:space="preserve"> for MS output power control in units of 2 dB, see 3GPP TS 45.008. The field is coded according to the following table:</w:t>
            </w:r>
          </w:p>
          <w:p w14:paraId="68F18B80" w14:textId="77777777" w:rsidR="00711444" w:rsidRPr="004D0DAA" w:rsidRDefault="00711444" w:rsidP="00AA2A4C">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62 dB</w:t>
            </w:r>
          </w:p>
        </w:tc>
      </w:tr>
    </w:tbl>
    <w:p w14:paraId="2ABDE664" w14:textId="77777777" w:rsidR="00711444" w:rsidRPr="004D0DAA" w:rsidRDefault="00711444" w:rsidP="00711444">
      <w:pPr>
        <w:rPr>
          <w:lang w:eastAsia="en-GB"/>
        </w:rPr>
      </w:pPr>
    </w:p>
    <w:p w14:paraId="523C612B" w14:textId="77777777" w:rsidR="00711444" w:rsidRPr="004D0DAA" w:rsidRDefault="00711444" w:rsidP="00711444">
      <w:pPr>
        <w:pStyle w:val="Heading3"/>
      </w:pPr>
      <w:bookmarkStart w:id="746" w:name="_Toc516669922"/>
      <w:r w:rsidRPr="004D0DAA">
        <w:t>11.2.56</w:t>
      </w:r>
      <w:r w:rsidRPr="004D0DAA">
        <w:tab/>
        <w:t>EC Packet TBF Release</w:t>
      </w:r>
      <w:bookmarkEnd w:id="746"/>
    </w:p>
    <w:p w14:paraId="71689C77" w14:textId="77777777" w:rsidR="00711444" w:rsidRPr="004D0DAA" w:rsidRDefault="00711444" w:rsidP="00711444">
      <w:r w:rsidRPr="004D0DAA">
        <w:t>This message is sent on the EC-PACCH by the network to the mobile station to initiate release of an uplink or downlink EC TBF.</w:t>
      </w:r>
    </w:p>
    <w:p w14:paraId="55476602" w14:textId="77777777" w:rsidR="00711444" w:rsidRPr="004D0DAA" w:rsidRDefault="00711444" w:rsidP="00711444">
      <w:pPr>
        <w:pStyle w:val="EX"/>
      </w:pPr>
      <w:r w:rsidRPr="004D0DAA">
        <w:t>Message type:</w:t>
      </w:r>
      <w:r w:rsidRPr="004D0DAA">
        <w:tab/>
        <w:t>EC PACKET TBF RELEASE</w:t>
      </w:r>
    </w:p>
    <w:p w14:paraId="2F214068" w14:textId="77777777" w:rsidR="00711444" w:rsidRPr="004D0DAA" w:rsidRDefault="00711444" w:rsidP="00711444">
      <w:pPr>
        <w:pStyle w:val="EX"/>
      </w:pPr>
      <w:r w:rsidRPr="004D0DAA">
        <w:t>Direction:</w:t>
      </w:r>
      <w:r w:rsidRPr="004D0DAA">
        <w:tab/>
        <w:t>network to mobile station</w:t>
      </w:r>
    </w:p>
    <w:p w14:paraId="29B09BEA" w14:textId="77777777" w:rsidR="00711444" w:rsidRPr="004D0DAA" w:rsidRDefault="00711444" w:rsidP="00711444">
      <w:pPr>
        <w:pStyle w:val="EX"/>
      </w:pPr>
      <w:r w:rsidRPr="004D0DAA">
        <w:t>Classification:</w:t>
      </w:r>
      <w:r w:rsidRPr="004D0DAA">
        <w:tab/>
        <w:t>non-distribution message</w:t>
      </w:r>
    </w:p>
    <w:p w14:paraId="775A3A71" w14:textId="77777777" w:rsidR="00711444" w:rsidRPr="004D0DAA" w:rsidRDefault="00711444" w:rsidP="00711444">
      <w:pPr>
        <w:pStyle w:val="TH"/>
      </w:pPr>
      <w:r w:rsidRPr="004D0DAA">
        <w:t xml:space="preserve">Table 11.2.56.1: EC </w:t>
      </w:r>
      <w:r w:rsidRPr="004D0DAA">
        <w:rPr>
          <w:caps/>
        </w:rPr>
        <w:t>Packet TBF RELEASE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DA1D88D" w14:textId="77777777" w:rsidTr="00AA2A4C">
        <w:trPr>
          <w:cantSplit/>
        </w:trPr>
        <w:tc>
          <w:tcPr>
            <w:tcW w:w="9848" w:type="dxa"/>
          </w:tcPr>
          <w:p w14:paraId="5B810A78" w14:textId="77777777" w:rsidR="00711444" w:rsidRPr="004D0DAA" w:rsidRDefault="00711444" w:rsidP="00AA2A4C">
            <w:pPr>
              <w:pStyle w:val="TAL"/>
              <w:rPr>
                <w:lang w:eastAsia="en-US"/>
              </w:rPr>
            </w:pPr>
            <w:r w:rsidRPr="004D0DAA">
              <w:rPr>
                <w:lang w:eastAsia="en-US"/>
              </w:rPr>
              <w:t>&lt; EC Packet TBF Release message content &gt; ::=</w:t>
            </w:r>
          </w:p>
          <w:p w14:paraId="007B7C8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1C652634"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0 &lt; </w:t>
            </w:r>
            <w:r w:rsidRPr="004D0DAA">
              <w:rPr>
                <w:b/>
                <w:lang w:eastAsia="en-US"/>
              </w:rPr>
              <w:t>GLOBAL_TFI</w:t>
            </w:r>
            <w:r w:rsidRPr="004D0DAA">
              <w:rPr>
                <w:lang w:eastAsia="en-US"/>
              </w:rPr>
              <w:t xml:space="preserve"> : Global TFI IE &gt;</w:t>
            </w:r>
          </w:p>
          <w:p w14:paraId="6F776697"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 xml:space="preserve">TBF_RELEASE_CAUSE </w:t>
            </w:r>
            <w:r w:rsidRPr="004D0DAA">
              <w:rPr>
                <w:lang w:eastAsia="en-US"/>
              </w:rPr>
              <w:t>: bit (4) = { 0000 | 0010 } &gt;</w:t>
            </w:r>
          </w:p>
          <w:p w14:paraId="52A7A20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 xml:space="preserve">WAIT_INDICATION </w:t>
            </w:r>
            <w:r w:rsidRPr="004D0DAA">
              <w:rPr>
                <w:lang w:eastAsia="en-US"/>
              </w:rPr>
              <w:t>: bit (8) &gt;</w:t>
            </w:r>
          </w:p>
          <w:p w14:paraId="0400EA9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WAIT _INDICATION_SIZE</w:t>
            </w:r>
            <w:r w:rsidRPr="004D0DAA">
              <w:rPr>
                <w:lang w:eastAsia="en-US"/>
              </w:rPr>
              <w:t xml:space="preserve"> : bit (1) &gt; }</w:t>
            </w:r>
          </w:p>
          <w:p w14:paraId="3234BE8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2C7F38A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 no string &gt; &gt; }</w:t>
            </w:r>
          </w:p>
          <w:p w14:paraId="27AD7487"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 no string &gt; &gt; }</w:t>
            </w:r>
          </w:p>
          <w:p w14:paraId="445C1D4F" w14:textId="77777777" w:rsidR="00711444" w:rsidRPr="004D0DAA" w:rsidRDefault="00711444" w:rsidP="00AA2A4C">
            <w:pPr>
              <w:pStyle w:val="TAL"/>
              <w:rPr>
                <w:lang w:eastAsia="en-US"/>
              </w:rPr>
            </w:pPr>
            <w:r w:rsidRPr="004D0DAA">
              <w:rPr>
                <w:lang w:eastAsia="en-US"/>
              </w:rPr>
              <w:tab/>
              <w:t>! &lt; Distribution part error : bit (*) = &lt; no string &gt; &gt; ;</w:t>
            </w:r>
          </w:p>
          <w:p w14:paraId="1CDD375E" w14:textId="77777777" w:rsidR="00711444" w:rsidRPr="004D0DAA" w:rsidRDefault="00711444" w:rsidP="00AA2A4C">
            <w:pPr>
              <w:pStyle w:val="TAL"/>
              <w:rPr>
                <w:lang w:eastAsia="en-US"/>
              </w:rPr>
            </w:pPr>
          </w:p>
        </w:tc>
      </w:tr>
    </w:tbl>
    <w:p w14:paraId="74FD9D65" w14:textId="77777777" w:rsidR="00711444" w:rsidRPr="004D0DAA" w:rsidRDefault="00711444" w:rsidP="00711444"/>
    <w:p w14:paraId="408C156A" w14:textId="77777777" w:rsidR="00711444" w:rsidRPr="004D0DAA" w:rsidRDefault="00711444" w:rsidP="00711444">
      <w:pPr>
        <w:pStyle w:val="TH"/>
      </w:pPr>
      <w:r w:rsidRPr="004D0DAA">
        <w:t xml:space="preserve">Table 11.2.56.2: EC </w:t>
      </w:r>
      <w:r w:rsidRPr="004D0DAA">
        <w:rPr>
          <w:caps/>
        </w:rPr>
        <w:t>Packet TBF RELEASE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EA4DD58" w14:textId="77777777" w:rsidTr="00AA2A4C">
        <w:trPr>
          <w:cantSplit/>
        </w:trPr>
        <w:tc>
          <w:tcPr>
            <w:tcW w:w="9848" w:type="dxa"/>
          </w:tcPr>
          <w:p w14:paraId="591E68BC"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5E5D353B" w14:textId="77777777" w:rsidTr="00AA2A4C">
        <w:trPr>
          <w:cantSplit/>
        </w:trPr>
        <w:tc>
          <w:tcPr>
            <w:tcW w:w="9848" w:type="dxa"/>
          </w:tcPr>
          <w:p w14:paraId="15CC6C23" w14:textId="77777777" w:rsidR="00711444" w:rsidRPr="004D0DAA" w:rsidRDefault="00711444" w:rsidP="00AA2A4C">
            <w:pPr>
              <w:rPr>
                <w:b/>
              </w:rPr>
            </w:pPr>
            <w:r w:rsidRPr="004D0DAA">
              <w:rPr>
                <w:b/>
              </w:rPr>
              <w:lastRenderedPageBreak/>
              <w:t>Global TFI IE</w:t>
            </w:r>
            <w:r w:rsidRPr="004D0DAA">
              <w:rPr>
                <w:b/>
              </w:rPr>
              <w:br/>
            </w:r>
            <w:r w:rsidRPr="004D0DAA">
              <w:t>This information element contains the TFI of uplink or downlink TBF that is to be released. This field is defined in sub-clause 12.10.</w:t>
            </w:r>
          </w:p>
        </w:tc>
      </w:tr>
      <w:tr w:rsidR="00711444" w:rsidRPr="004D0DAA" w14:paraId="0E7DDD9F" w14:textId="77777777" w:rsidTr="00AA2A4C">
        <w:trPr>
          <w:cantSplit/>
        </w:trPr>
        <w:tc>
          <w:tcPr>
            <w:tcW w:w="9848" w:type="dxa"/>
          </w:tcPr>
          <w:p w14:paraId="38D01351" w14:textId="77777777" w:rsidR="00711444" w:rsidRPr="004D0DAA" w:rsidRDefault="00711444" w:rsidP="00AA2A4C">
            <w:r w:rsidRPr="004D0DAA">
              <w:rPr>
                <w:b/>
              </w:rPr>
              <w:t>TBF_RELEASE_CAUSE</w:t>
            </w:r>
            <w:r w:rsidRPr="004D0DAA">
              <w:t xml:space="preserve"> (4 bit field)</w:t>
            </w:r>
            <w:r w:rsidRPr="004D0DAA">
              <w:br/>
              <w:t>This field indicates the reason for the release of the TBF. This field is encoded according to the following table:</w:t>
            </w:r>
          </w:p>
          <w:p w14:paraId="2181E012" w14:textId="77777777" w:rsidR="00711444" w:rsidRPr="004D0DAA" w:rsidRDefault="00711444" w:rsidP="00AA2A4C">
            <w:pPr>
              <w:tabs>
                <w:tab w:val="left" w:pos="851"/>
              </w:tabs>
            </w:pPr>
            <w:r w:rsidRPr="004D0DAA">
              <w:t>bit</w:t>
            </w:r>
            <w:r w:rsidRPr="004D0DAA">
              <w:br/>
              <w:t>4 3 2 1</w:t>
            </w:r>
            <w:r w:rsidRPr="004D0DAA">
              <w:br/>
              <w:t>0 0 0 0</w:t>
            </w:r>
            <w:r w:rsidRPr="004D0DAA">
              <w:tab/>
              <w:t>Normal release</w:t>
            </w:r>
            <w:r w:rsidRPr="004D0DAA">
              <w:br/>
              <w:t>0 0 1 0</w:t>
            </w:r>
            <w:r w:rsidRPr="004D0DAA">
              <w:tab/>
              <w:t>Abnormal release</w:t>
            </w:r>
            <w:r w:rsidRPr="004D0DAA">
              <w:br/>
              <w:t>All other values are reserved, the same behaviour in reception as if 'Abnormal release'.</w:t>
            </w:r>
          </w:p>
        </w:tc>
      </w:tr>
      <w:tr w:rsidR="00711444" w:rsidRPr="004D0DAA" w14:paraId="13664594" w14:textId="77777777" w:rsidTr="00AA2A4C">
        <w:trPr>
          <w:cantSplit/>
        </w:trPr>
        <w:tc>
          <w:tcPr>
            <w:tcW w:w="9848" w:type="dxa"/>
          </w:tcPr>
          <w:p w14:paraId="0DABD064" w14:textId="77777777" w:rsidR="00711444" w:rsidRPr="004D0DAA" w:rsidRDefault="00711444" w:rsidP="00AA2A4C">
            <w:pPr>
              <w:rPr>
                <w:b/>
              </w:rPr>
            </w:pPr>
            <w:r w:rsidRPr="004D0DAA">
              <w:rPr>
                <w:b/>
              </w:rPr>
              <w:t>WAIT_INDICATION</w:t>
            </w:r>
            <w:r w:rsidRPr="004D0DAA">
              <w:t xml:space="preserve"> (8 bit field)</w:t>
            </w:r>
            <w:r w:rsidRPr="004D0DAA">
              <w:br/>
              <w:t>The Wait Indication field indicates the time the mobile station shall wait before attempting another channel request. This field is coded as the binary representation of the T3172 timeout value in units of 20 ms or in units of seconds. The units are indicated in the WAIT_INDICATION_SIZE field.</w:t>
            </w:r>
            <w:r w:rsidRPr="004D0DAA">
              <w:br/>
              <w:t>Range 0 to 255.</w:t>
            </w:r>
          </w:p>
        </w:tc>
      </w:tr>
      <w:tr w:rsidR="00711444" w:rsidRPr="004D0DAA" w14:paraId="55C38A3C" w14:textId="77777777" w:rsidTr="00AA2A4C">
        <w:trPr>
          <w:cantSplit/>
        </w:trPr>
        <w:tc>
          <w:tcPr>
            <w:tcW w:w="9848" w:type="dxa"/>
          </w:tcPr>
          <w:p w14:paraId="5587E98C" w14:textId="77777777" w:rsidR="00711444" w:rsidRPr="004D0DAA" w:rsidRDefault="00711444" w:rsidP="00AA2A4C">
            <w:r w:rsidRPr="004D0DAA">
              <w:rPr>
                <w:b/>
              </w:rPr>
              <w:t>WAIT_INDICATION_SIZE</w:t>
            </w:r>
            <w:r w:rsidRPr="004D0DAA">
              <w:t xml:space="preserve"> (1 bit field)</w:t>
            </w:r>
            <w:r w:rsidRPr="004D0DAA">
              <w:br/>
              <w:t>This field indicates the units of the WAIT_INDICATION field.</w:t>
            </w:r>
          </w:p>
          <w:p w14:paraId="5A179532" w14:textId="77777777" w:rsidR="00711444" w:rsidRPr="004D0DAA" w:rsidRDefault="00711444" w:rsidP="00AA2A4C">
            <w:pPr>
              <w:rPr>
                <w:b/>
              </w:rPr>
            </w:pPr>
            <w:r w:rsidRPr="004D0DAA">
              <w:t>0</w:t>
            </w:r>
            <w:r w:rsidRPr="004D0DAA">
              <w:tab/>
              <w:t>the WAIT_INDICATION field is coded in units of s</w:t>
            </w:r>
            <w:r w:rsidRPr="004D0DAA">
              <w:br/>
              <w:t>1</w:t>
            </w:r>
            <w:r w:rsidRPr="004D0DAA">
              <w:tab/>
              <w:t>the WAIT_INDICATION field is coded in units of 20 ms</w:t>
            </w:r>
          </w:p>
        </w:tc>
      </w:tr>
    </w:tbl>
    <w:p w14:paraId="499B0F4A" w14:textId="77777777" w:rsidR="00711444" w:rsidRPr="004D0DAA" w:rsidRDefault="00711444" w:rsidP="00711444">
      <w:pPr>
        <w:rPr>
          <w:lang w:eastAsia="en-GB"/>
        </w:rPr>
      </w:pPr>
    </w:p>
    <w:p w14:paraId="5CA66E83" w14:textId="77777777" w:rsidR="00711444" w:rsidRPr="004D0DAA" w:rsidRDefault="00711444" w:rsidP="00711444">
      <w:pPr>
        <w:pStyle w:val="Heading3"/>
      </w:pPr>
      <w:bookmarkStart w:id="747" w:name="_Toc516669923"/>
      <w:r w:rsidRPr="004D0DAA">
        <w:t>11.2.57</w:t>
      </w:r>
      <w:r w:rsidRPr="004D0DAA">
        <w:tab/>
        <w:t>EC Packet Uplink Ack/Nack</w:t>
      </w:r>
      <w:bookmarkEnd w:id="747"/>
    </w:p>
    <w:p w14:paraId="77EA6F41" w14:textId="77777777" w:rsidR="00711444" w:rsidRPr="004D0DAA" w:rsidRDefault="00711444" w:rsidP="00711444">
      <w:r w:rsidRPr="004D0DAA">
        <w:t>This message is sent on the EC-PACCH by the network to the mobile station to indicate the status of the received RLC data blocks. This message may also include a fixed uplink allocation for the mobile station to (re)transmit not yet acknowledged/transmitted RLC Data blocks. This message may also update the timing advance and power control parameters.</w:t>
      </w:r>
    </w:p>
    <w:p w14:paraId="77BAFE61" w14:textId="77777777" w:rsidR="00711444" w:rsidRPr="004D0DAA" w:rsidRDefault="00711444" w:rsidP="00711444">
      <w:r w:rsidRPr="004D0DAA">
        <w:t>If the EGPRS Channel Coding Command parameter is not included in the message, the mobile station shall continue to use the previous EGPRS Modulation and Coding Scheme.</w:t>
      </w:r>
    </w:p>
    <w:p w14:paraId="5BBDD37C" w14:textId="77777777" w:rsidR="00711444" w:rsidRPr="004D0DAA" w:rsidRDefault="00711444" w:rsidP="00711444">
      <w:pPr>
        <w:pStyle w:val="EX"/>
      </w:pPr>
      <w:r w:rsidRPr="004D0DAA">
        <w:t>Message type:</w:t>
      </w:r>
      <w:r w:rsidRPr="004D0DAA">
        <w:tab/>
        <w:t>EC PACKET UPLINK ACK/NACK</w:t>
      </w:r>
    </w:p>
    <w:p w14:paraId="1C672CD1" w14:textId="77777777" w:rsidR="00711444" w:rsidRPr="004D0DAA" w:rsidRDefault="00711444" w:rsidP="00711444">
      <w:pPr>
        <w:pStyle w:val="EX"/>
      </w:pPr>
      <w:r w:rsidRPr="004D0DAA">
        <w:t>Direction:</w:t>
      </w:r>
      <w:r w:rsidRPr="004D0DAA">
        <w:tab/>
        <w:t>network to mobile station</w:t>
      </w:r>
    </w:p>
    <w:p w14:paraId="3D2F0F90" w14:textId="77777777" w:rsidR="00711444" w:rsidRPr="004D0DAA" w:rsidRDefault="00711444" w:rsidP="00711444">
      <w:pPr>
        <w:pStyle w:val="EX"/>
      </w:pPr>
      <w:r w:rsidRPr="004D0DAA">
        <w:t>Classification:</w:t>
      </w:r>
      <w:r w:rsidRPr="004D0DAA">
        <w:tab/>
        <w:t>non-distribution message</w:t>
      </w:r>
    </w:p>
    <w:p w14:paraId="5174E5A5" w14:textId="77777777" w:rsidR="00711444" w:rsidRPr="004D0DAA" w:rsidRDefault="00711444" w:rsidP="00711444">
      <w:pPr>
        <w:pStyle w:val="TH"/>
      </w:pPr>
      <w:r w:rsidRPr="004D0DAA">
        <w:lastRenderedPageBreak/>
        <w:t xml:space="preserve">Table 11.2.57.1: EC </w:t>
      </w:r>
      <w:r w:rsidRPr="004D0DAA">
        <w:rPr>
          <w:caps/>
        </w:rPr>
        <w:t>Packet UPlink Ack/Nack</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70BFBCF" w14:textId="77777777" w:rsidTr="00AA2A4C">
        <w:trPr>
          <w:cantSplit/>
        </w:trPr>
        <w:tc>
          <w:tcPr>
            <w:tcW w:w="9848" w:type="dxa"/>
          </w:tcPr>
          <w:p w14:paraId="0C9ADF15" w14:textId="77777777" w:rsidR="00711444" w:rsidRPr="004D0DAA" w:rsidRDefault="00711444" w:rsidP="00AA2A4C">
            <w:pPr>
              <w:pStyle w:val="TAL"/>
              <w:rPr>
                <w:lang w:eastAsia="en-US"/>
              </w:rPr>
            </w:pPr>
            <w:r w:rsidRPr="004D0DAA">
              <w:rPr>
                <w:lang w:eastAsia="en-US"/>
              </w:rPr>
              <w:t>&lt; EC Packet Uplink Ack/Nack message content &gt; ::=</w:t>
            </w:r>
          </w:p>
          <w:p w14:paraId="2C6CF0F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6A63E587"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 xml:space="preserve">UPLINK_TFI </w:t>
            </w:r>
            <w:r w:rsidRPr="004D0DAA">
              <w:rPr>
                <w:lang w:eastAsia="en-US"/>
              </w:rPr>
              <w:t>: bit (5) &gt;</w:t>
            </w:r>
          </w:p>
          <w:p w14:paraId="15694AAE"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0 {</w:t>
            </w:r>
            <w:r w:rsidRPr="004D0DAA">
              <w:rPr>
                <w:lang w:eastAsia="en-US"/>
              </w:rPr>
              <w:tab/>
            </w:r>
            <w:r w:rsidRPr="004D0DAA">
              <w:rPr>
                <w:lang w:eastAsia="en-US"/>
              </w:rPr>
              <w:tab/>
              <w:t xml:space="preserve">-- </w:t>
            </w:r>
            <w:r w:rsidRPr="004D0DAA">
              <w:rPr>
                <w:i/>
                <w:lang w:eastAsia="en-US"/>
              </w:rPr>
              <w:t>Final Ack Indicator = 0</w:t>
            </w:r>
          </w:p>
          <w:p w14:paraId="0362B88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00</w:t>
            </w:r>
            <w:r w:rsidRPr="004D0DAA">
              <w:rPr>
                <w:lang w:eastAsia="en-US"/>
              </w:rPr>
              <w:tab/>
              <w:t xml:space="preserve">&lt; </w:t>
            </w:r>
            <w:r w:rsidRPr="004D0DAA">
              <w:rPr>
                <w:b/>
                <w:lang w:eastAsia="en-US"/>
              </w:rPr>
              <w:t>EC</w:t>
            </w:r>
            <w:r w:rsidRPr="004D0DAA">
              <w:rPr>
                <w:lang w:eastAsia="en-US"/>
              </w:rPr>
              <w:t xml:space="preserve"> </w:t>
            </w:r>
            <w:r w:rsidRPr="004D0DAA">
              <w:rPr>
                <w:b/>
                <w:lang w:eastAsia="en-US"/>
              </w:rPr>
              <w:t>Ack/Nack Description</w:t>
            </w:r>
            <w:r w:rsidRPr="004D0DAA">
              <w:rPr>
                <w:lang w:eastAsia="en-US"/>
              </w:rPr>
              <w:t xml:space="preserve"> : &lt; EC Ack/Nack Description IE &gt;&gt;</w:t>
            </w:r>
          </w:p>
          <w:p w14:paraId="7D4CBE5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 01</w:t>
            </w:r>
            <w:r w:rsidRPr="004D0DAA">
              <w:rPr>
                <w:lang w:eastAsia="en-US"/>
              </w:rPr>
              <w:tab/>
              <w:t>{</w:t>
            </w:r>
            <w:r w:rsidRPr="004D0DAA">
              <w:rPr>
                <w:lang w:eastAsia="en-US"/>
              </w:rPr>
              <w:tab/>
              <w:t xml:space="preserve">&lt; </w:t>
            </w:r>
            <w:r w:rsidRPr="004D0DAA">
              <w:rPr>
                <w:b/>
                <w:lang w:eastAsia="en-US"/>
              </w:rPr>
              <w:t xml:space="preserve">CONTENTION_RESOLUTION_TLLI </w:t>
            </w:r>
            <w:r w:rsidRPr="004D0DAA">
              <w:rPr>
                <w:lang w:eastAsia="en-US"/>
              </w:rPr>
              <w:t>: bit (32) &gt;</w:t>
            </w:r>
          </w:p>
          <w:p w14:paraId="042E35F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EC</w:t>
            </w:r>
            <w:r w:rsidRPr="004D0DAA">
              <w:rPr>
                <w:lang w:eastAsia="en-US"/>
              </w:rPr>
              <w:t xml:space="preserve"> </w:t>
            </w:r>
            <w:r w:rsidRPr="004D0DAA">
              <w:rPr>
                <w:b/>
                <w:lang w:eastAsia="en-US"/>
              </w:rPr>
              <w:t>Primary Ack/Nack Description</w:t>
            </w:r>
            <w:r w:rsidRPr="004D0DAA">
              <w:rPr>
                <w:lang w:eastAsia="en-US"/>
              </w:rPr>
              <w:t xml:space="preserve"> : &lt; EC Primary Ack/Nack Description IE &gt;&gt; }</w:t>
            </w:r>
          </w:p>
          <w:p w14:paraId="7BDA21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 10</w:t>
            </w:r>
            <w:r w:rsidRPr="004D0DAA">
              <w:rPr>
                <w:lang w:eastAsia="en-US"/>
              </w:rPr>
              <w:tab/>
              <w:t>{</w:t>
            </w:r>
            <w:r w:rsidRPr="004D0DAA">
              <w:rPr>
                <w:lang w:eastAsia="en-US"/>
              </w:rPr>
              <w:tab/>
              <w:t xml:space="preserve">&lt; </w:t>
            </w:r>
            <w:r w:rsidRPr="004D0DAA">
              <w:rPr>
                <w:b/>
                <w:lang w:eastAsia="en-US"/>
              </w:rPr>
              <w:t xml:space="preserve">CONTENTION_RESOLUTION_rTLLI </w:t>
            </w:r>
            <w:r w:rsidRPr="004D0DAA">
              <w:rPr>
                <w:lang w:eastAsia="en-US"/>
              </w:rPr>
              <w:t>: bit (4) &gt;</w:t>
            </w:r>
          </w:p>
          <w:p w14:paraId="7A5059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EC</w:t>
            </w:r>
            <w:r w:rsidRPr="004D0DAA">
              <w:rPr>
                <w:lang w:eastAsia="en-US"/>
              </w:rPr>
              <w:t xml:space="preserve"> </w:t>
            </w:r>
            <w:r w:rsidRPr="004D0DAA">
              <w:rPr>
                <w:b/>
                <w:lang w:eastAsia="en-US"/>
              </w:rPr>
              <w:t>Primary Ack/Nack Description</w:t>
            </w:r>
            <w:r w:rsidRPr="004D0DAA">
              <w:rPr>
                <w:lang w:eastAsia="en-US"/>
              </w:rPr>
              <w:t xml:space="preserve"> : &lt; EC Primary Ack/Nack Description IE &gt;&gt; } }</w:t>
            </w:r>
          </w:p>
          <w:p w14:paraId="777C855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PUAN Fixed Uplink Allocation</w:t>
            </w:r>
            <w:r w:rsidRPr="004D0DAA">
              <w:rPr>
                <w:lang w:eastAsia="en-US"/>
              </w:rPr>
              <w:t xml:space="preserve"> : &lt; PUAN Fixed Uplink Allocation struct &gt; &gt;</w:t>
            </w:r>
          </w:p>
          <w:p w14:paraId="7F14A1D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 bit (1) &gt;</w:t>
            </w:r>
          </w:p>
          <w:p w14:paraId="55918E5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 &lt; EGPRS Modulation and Coding Scheme IE &gt;&gt; }</w:t>
            </w:r>
          </w:p>
          <w:p w14:paraId="4C0EACB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bCs/>
                <w:lang w:eastAsia="en-US"/>
              </w:rPr>
              <w:t>UL_COVERAGE_CLASS</w:t>
            </w:r>
            <w:r w:rsidRPr="004D0DAA">
              <w:rPr>
                <w:lang w:eastAsia="en-US"/>
              </w:rPr>
              <w:t xml:space="preserve"> : bit (2) &gt;</w:t>
            </w:r>
          </w:p>
          <w:p w14:paraId="6A0403A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STARTING_UL_TIMESLOT</w:t>
            </w:r>
            <w:r w:rsidRPr="004D0DAA">
              <w:rPr>
                <w:lang w:eastAsia="en-US"/>
              </w:rPr>
              <w:t xml:space="preserve"> : bit (3) &gt;</w:t>
            </w:r>
          </w:p>
          <w:p w14:paraId="370BFE9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DL_COVERAGE_CLASS</w:t>
            </w:r>
            <w:r w:rsidRPr="004D0DAA">
              <w:rPr>
                <w:lang w:eastAsia="en-US"/>
              </w:rPr>
              <w:t xml:space="preserve"> : bit (2) &gt;</w:t>
            </w:r>
          </w:p>
          <w:p w14:paraId="6232F58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STARTING_DL_TIMESLOT_OFFSET</w:t>
            </w:r>
            <w:r w:rsidRPr="004D0DAA">
              <w:rPr>
                <w:lang w:eastAsia="en-US"/>
              </w:rPr>
              <w:t xml:space="preserve"> : bit (2) &gt;</w:t>
            </w:r>
          </w:p>
          <w:p w14:paraId="5801C32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TIMESLOT_MULTIPLICATOR </w:t>
            </w:r>
            <w:r w:rsidRPr="004D0DAA">
              <w:rPr>
                <w:lang w:eastAsia="en-US"/>
              </w:rPr>
              <w:t>: bit (3) &gt; } }</w:t>
            </w:r>
          </w:p>
          <w:p w14:paraId="56A8DF8C" w14:textId="77777777" w:rsidR="00711444" w:rsidRPr="004D0DAA" w:rsidRDefault="00711444" w:rsidP="00AA2A4C">
            <w:pPr>
              <w:pStyle w:val="TAL"/>
              <w:rPr>
                <w:lang w:eastAsia="en-US"/>
              </w:rPr>
            </w:pPr>
            <w:r w:rsidRPr="004D0DAA">
              <w:rPr>
                <w:lang w:eastAsia="en-US"/>
              </w:rPr>
              <w:tab/>
              <w:t xml:space="preserve"> </w:t>
            </w:r>
            <w:r w:rsidRPr="004D0DAA">
              <w:rPr>
                <w:lang w:eastAsia="en-US"/>
              </w:rPr>
              <w:tab/>
            </w:r>
            <w:r w:rsidRPr="004D0DAA">
              <w:rPr>
                <w:lang w:eastAsia="en-US"/>
              </w:rPr>
              <w:tab/>
              <w:t>|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Final Ack Indicator = 1</w:t>
            </w:r>
          </w:p>
          <w:p w14:paraId="2794EE0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w:t>
            </w:r>
          </w:p>
          <w:p w14:paraId="177C592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 1 &lt; </w:t>
            </w:r>
            <w:r w:rsidRPr="004D0DAA">
              <w:rPr>
                <w:b/>
                <w:lang w:eastAsia="en-US"/>
              </w:rPr>
              <w:t xml:space="preserve">CONTENTION_RESOLUTION_TLLI </w:t>
            </w:r>
            <w:r w:rsidRPr="004D0DAA">
              <w:rPr>
                <w:lang w:eastAsia="en-US"/>
              </w:rPr>
              <w:t>: bit (32) &gt; }</w:t>
            </w:r>
          </w:p>
          <w:p w14:paraId="187552D6" w14:textId="77777777" w:rsidR="00711444" w:rsidRPr="004D0DAA" w:rsidRDefault="00711444" w:rsidP="00AA2A4C">
            <w:pPr>
              <w:pStyle w:val="TAL"/>
              <w:rPr>
                <w:i/>
                <w:lang w:eastAsia="en-US"/>
              </w:rPr>
            </w:pPr>
            <w:r w:rsidRPr="004D0DAA">
              <w:rPr>
                <w:lang w:eastAsia="en-US"/>
              </w:rPr>
              <w:tab/>
              <w:t xml:space="preserve"> </w:t>
            </w:r>
            <w:r w:rsidRPr="004D0DAA">
              <w:rPr>
                <w:lang w:eastAsia="en-US"/>
              </w:rPr>
              <w:tab/>
            </w:r>
            <w:r w:rsidRPr="004D0DAA">
              <w:rPr>
                <w:lang w:eastAsia="en-US"/>
              </w:rPr>
              <w:tab/>
            </w:r>
            <w:r w:rsidRPr="004D0DAA">
              <w:rPr>
                <w:lang w:eastAsia="en-US"/>
              </w:rPr>
              <w:tab/>
              <w:t>{ 0</w:t>
            </w: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lang w:eastAsia="en-US"/>
              </w:rPr>
              <w:tab/>
            </w:r>
            <w:r w:rsidRPr="004D0DAA">
              <w:rPr>
                <w:lang w:eastAsia="en-US"/>
              </w:rPr>
              <w:tab/>
            </w:r>
            <w:r w:rsidRPr="004D0DAA">
              <w:rPr>
                <w:lang w:eastAsia="en-US"/>
              </w:rPr>
              <w:tab/>
              <w:t xml:space="preserve">-- </w:t>
            </w:r>
            <w:r w:rsidRPr="004D0DAA">
              <w:rPr>
                <w:i/>
                <w:lang w:eastAsia="en-US"/>
              </w:rPr>
              <w:t>the mobile station shall not continue monitoring the EC-PACCH</w:t>
            </w:r>
          </w:p>
          <w:p w14:paraId="67F7A685" w14:textId="77777777" w:rsidR="00711444" w:rsidRPr="004D0DAA" w:rsidRDefault="00711444" w:rsidP="00AA2A4C">
            <w:pPr>
              <w:pStyle w:val="TAL"/>
              <w:rPr>
                <w:i/>
                <w:lang w:eastAsia="en-US"/>
              </w:rPr>
            </w:pPr>
            <w:r w:rsidRPr="004D0DAA">
              <w:rPr>
                <w:lang w:eastAsia="en-US"/>
              </w:rPr>
              <w:tab/>
              <w:t xml:space="preserve"> </w:t>
            </w:r>
            <w:r w:rsidRPr="004D0DAA">
              <w:rPr>
                <w:lang w:eastAsia="en-US"/>
              </w:rPr>
              <w:tab/>
            </w:r>
            <w:r w:rsidRPr="004D0DAA">
              <w:rPr>
                <w:lang w:eastAsia="en-US"/>
              </w:rPr>
              <w:tab/>
            </w:r>
            <w:r w:rsidRPr="004D0DAA">
              <w:rPr>
                <w:lang w:eastAsia="en-US"/>
              </w:rPr>
              <w:tab/>
              <w:t>| 1</w:t>
            </w:r>
            <w:r w:rsidRPr="004D0DAA">
              <w:rPr>
                <w:lang w:eastAsia="en-US"/>
              </w:rPr>
              <w:tab/>
              <w:t>{</w:t>
            </w:r>
            <w:r w:rsidRPr="004D0DAA">
              <w:rPr>
                <w:lang w:eastAsia="en-US"/>
              </w:rPr>
              <w:tab/>
              <w:t xml:space="preserve">&lt; </w:t>
            </w:r>
            <w:r w:rsidRPr="004D0DAA">
              <w:rPr>
                <w:b/>
                <w:lang w:eastAsia="en-US"/>
              </w:rPr>
              <w:t>T3238</w:t>
            </w:r>
            <w:r w:rsidRPr="004D0DAA">
              <w:rPr>
                <w:lang w:eastAsia="en-US"/>
              </w:rPr>
              <w:t> :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mobile station shall continue monitoring the EC-PACCH</w:t>
            </w:r>
          </w:p>
          <w:p w14:paraId="22BC20CC" w14:textId="77777777" w:rsidR="00711444" w:rsidRPr="004D0DAA" w:rsidRDefault="00711444" w:rsidP="00AA2A4C">
            <w:pPr>
              <w:pStyle w:val="TAL"/>
              <w:rPr>
                <w:lang w:eastAsia="en-US"/>
              </w:rPr>
            </w:pP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Initial Waiting Time</w:t>
            </w:r>
            <w:r w:rsidRPr="004D0DAA">
              <w:rPr>
                <w:lang w:eastAsia="en-US"/>
              </w:rPr>
              <w:t xml:space="preserve"> : bit (2) &gt;</w:t>
            </w:r>
          </w:p>
          <w:p w14:paraId="2642FBD7" w14:textId="77777777" w:rsidR="00711444" w:rsidRPr="004D0DAA" w:rsidRDefault="00711444" w:rsidP="00AA2A4C">
            <w:pPr>
              <w:pStyle w:val="TAL"/>
              <w:rPr>
                <w:lang w:eastAsia="en-US"/>
              </w:rPr>
            </w:pPr>
            <w:r w:rsidRPr="004D0DAA">
              <w:rPr>
                <w:lang w:eastAsia="en-US"/>
              </w:rPr>
              <w:tab/>
              <w:t xml:space="preserve">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EC-PACCH Monitoring Pattern</w:t>
            </w:r>
            <w:r w:rsidRPr="004D0DAA">
              <w:rPr>
                <w:lang w:eastAsia="en-US"/>
              </w:rPr>
              <w:t xml:space="preserve"> : bit (2) &gt; } } }</w:t>
            </w:r>
          </w:p>
          <w:p w14:paraId="72C436C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EC Packet Timing Advance</w:t>
            </w:r>
            <w:r w:rsidRPr="004D0DAA">
              <w:rPr>
                <w:lang w:eastAsia="en-US"/>
              </w:rPr>
              <w:t xml:space="preserve"> : &lt; EC Packet Timing Advance IE &gt; &gt; }</w:t>
            </w:r>
          </w:p>
          <w:p w14:paraId="6C7567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&lt;</w:t>
            </w:r>
            <w:r w:rsidRPr="004D0DAA">
              <w:rPr>
                <w:b/>
                <w:lang w:eastAsia="en-US"/>
              </w:rPr>
              <w:t xml:space="preserve"> GAMMA</w:t>
            </w:r>
            <w:r w:rsidRPr="004D0DAA">
              <w:rPr>
                <w:lang w:eastAsia="en-US"/>
              </w:rPr>
              <w:t xml:space="preserve"> : bit (5) &gt; </w:t>
            </w:r>
          </w:p>
          <w:p w14:paraId="6F03F3E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ALPHA Enable</w:t>
            </w:r>
            <w:r w:rsidRPr="004D0DAA">
              <w:rPr>
                <w:lang w:eastAsia="en-US"/>
              </w:rPr>
              <w:t xml:space="preserve"> : bit (1) &gt; }</w:t>
            </w:r>
          </w:p>
          <w:p w14:paraId="05B0B492" w14:textId="77777777" w:rsidR="00711444" w:rsidRPr="004D0DAA" w:rsidRDefault="00711444" w:rsidP="00AA2A4C">
            <w:pPr>
              <w:pStyle w:val="TAL"/>
              <w:rPr>
                <w:lang w:eastAsia="en-US"/>
              </w:rPr>
            </w:pPr>
            <w:r w:rsidRPr="004D0DAA">
              <w:rPr>
                <w:b/>
                <w:lang w:eastAsia="en-US"/>
              </w:rPr>
              <w:t xml:space="preserve">                 &lt; UL COVERAGE CLASS EXT : </w:t>
            </w:r>
            <w:r w:rsidRPr="004D0DAA">
              <w:rPr>
                <w:lang w:eastAsia="en-US"/>
              </w:rPr>
              <w:t>bit (1)</w:t>
            </w:r>
            <w:r w:rsidRPr="004D0DAA">
              <w:rPr>
                <w:b/>
                <w:lang w:eastAsia="en-US"/>
              </w:rPr>
              <w:t xml:space="preserve"> &gt; -- </w:t>
            </w:r>
            <w:r w:rsidRPr="004D0DAA">
              <w:rPr>
                <w:lang w:eastAsia="en-US"/>
              </w:rPr>
              <w:t>Rel-14 change</w:t>
            </w:r>
            <w:r w:rsidRPr="004D0DAA">
              <w:rPr>
                <w:b/>
                <w:lang w:eastAsia="en-US"/>
              </w:rPr>
              <w:t xml:space="preserve"> </w:t>
            </w:r>
            <w:r w:rsidRPr="004D0DAA">
              <w:rPr>
                <w:lang w:eastAsia="en-US"/>
              </w:rPr>
              <w:t>support of uplink coverage class CC5</w:t>
            </w:r>
          </w:p>
        </w:tc>
      </w:tr>
      <w:tr w:rsidR="00711444" w:rsidRPr="004D0DAA" w14:paraId="689D1BC1" w14:textId="77777777" w:rsidTr="00AA2A4C">
        <w:trPr>
          <w:cantSplit/>
        </w:trPr>
        <w:tc>
          <w:tcPr>
            <w:tcW w:w="9848" w:type="dxa"/>
          </w:tcPr>
          <w:p w14:paraId="51C82BEF"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iCs/>
                <w:lang w:eastAsia="en-US"/>
              </w:rPr>
              <w:tab/>
            </w:r>
            <w:r w:rsidRPr="004D0DAA">
              <w:rPr>
                <w:lang w:eastAsia="en-US"/>
              </w:rPr>
              <w:t>&lt; padding bits &gt; }</w:t>
            </w:r>
          </w:p>
          <w:p w14:paraId="074A53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&lt;no string&gt; &gt; }</w:t>
            </w:r>
          </w:p>
          <w:p w14:paraId="4979FF1A"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&lt;no string&gt; &gt; }</w:t>
            </w:r>
          </w:p>
          <w:p w14:paraId="683C52B2" w14:textId="77777777" w:rsidR="00711444" w:rsidRPr="004D0DAA" w:rsidRDefault="00711444" w:rsidP="00AA2A4C">
            <w:pPr>
              <w:pStyle w:val="TAL"/>
              <w:rPr>
                <w:lang w:eastAsia="en-US"/>
              </w:rPr>
            </w:pPr>
            <w:r w:rsidRPr="004D0DAA">
              <w:rPr>
                <w:lang w:eastAsia="en-US"/>
              </w:rPr>
              <w:tab/>
              <w:t>! &lt; Distribution part error : bit (*) = &lt;no string&gt; &gt; ;</w:t>
            </w:r>
          </w:p>
          <w:p w14:paraId="6D3D7717" w14:textId="77777777" w:rsidR="00711444" w:rsidRPr="004D0DAA" w:rsidRDefault="00711444" w:rsidP="00AA2A4C">
            <w:pPr>
              <w:pStyle w:val="TAL"/>
              <w:rPr>
                <w:lang w:eastAsia="en-US"/>
              </w:rPr>
            </w:pPr>
          </w:p>
          <w:p w14:paraId="6A0E93EE" w14:textId="77777777" w:rsidR="00711444" w:rsidRPr="004D0DAA" w:rsidRDefault="00711444" w:rsidP="00AA2A4C">
            <w:pPr>
              <w:pStyle w:val="TAL"/>
              <w:rPr>
                <w:lang w:eastAsia="en-US"/>
              </w:rPr>
            </w:pPr>
            <w:r w:rsidRPr="004D0DAA">
              <w:rPr>
                <w:lang w:eastAsia="en-US"/>
              </w:rPr>
              <w:t xml:space="preserve">&lt; PUAN Fixed Uplink Allocation struct &gt; ::= </w:t>
            </w:r>
          </w:p>
          <w:p w14:paraId="4C4E04ED"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BSN_OFFSET</w:t>
            </w:r>
            <w:r w:rsidRPr="004D0DAA">
              <w:rPr>
                <w:lang w:eastAsia="en-US"/>
              </w:rPr>
              <w:t xml:space="preserve"> : bit (2) &gt; }</w:t>
            </w:r>
          </w:p>
          <w:p w14:paraId="681FCE6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START_FIRST_UL_RLC_DATA_BLOCK : </w:t>
            </w:r>
            <w:r w:rsidRPr="004D0DAA">
              <w:rPr>
                <w:lang w:eastAsia="en-US"/>
              </w:rPr>
              <w:t>bit (4) &gt;</w:t>
            </w:r>
          </w:p>
          <w:p w14:paraId="273E9BF1" w14:textId="77777777" w:rsidR="00711444" w:rsidRPr="004D0DAA" w:rsidRDefault="00711444" w:rsidP="00AA2A4C">
            <w:pPr>
              <w:pStyle w:val="TAL"/>
              <w:rPr>
                <w:lang w:eastAsia="en-US"/>
              </w:rPr>
            </w:pPr>
            <w:r w:rsidRPr="004D0DAA">
              <w:rPr>
                <w:lang w:eastAsia="en-US"/>
              </w:rPr>
              <w:tab/>
              <w:t xml:space="preserve">      { 1</w:t>
            </w:r>
            <w:r w:rsidRPr="004D0DAA">
              <w:rPr>
                <w:lang w:eastAsia="en-US"/>
              </w:rPr>
              <w:tab/>
              <w:t>{</w:t>
            </w:r>
            <w:r w:rsidRPr="004D0DAA">
              <w:rPr>
                <w:lang w:eastAsia="en-US"/>
              </w:rPr>
              <w:tab/>
              <w:t>0</w:t>
            </w:r>
            <w:r w:rsidRPr="004D0DAA">
              <w:rPr>
                <w:lang w:eastAsia="en-US"/>
              </w:rPr>
              <w:tab/>
              <w:t xml:space="preserve">&lt; </w:t>
            </w:r>
            <w:r w:rsidRPr="004D0DAA">
              <w:rPr>
                <w:b/>
                <w:lang w:eastAsia="en-US"/>
              </w:rPr>
              <w:t xml:space="preserve">DELAY_NEXT_UL_RLC_DATA_BLOCK : </w:t>
            </w:r>
            <w:r w:rsidRPr="004D0DAA">
              <w:rPr>
                <w:lang w:eastAsia="en-US"/>
              </w:rPr>
              <w:t>bit (3) &gt;</w:t>
            </w:r>
            <w:r w:rsidRPr="004D0DAA">
              <w:rPr>
                <w:lang w:eastAsia="en-US"/>
              </w:rPr>
              <w:tab/>
              <w:t xml:space="preserve">-- </w:t>
            </w:r>
            <w:r w:rsidRPr="004D0DAA">
              <w:rPr>
                <w:i/>
                <w:lang w:eastAsia="en-US"/>
              </w:rPr>
              <w:t>delay until start of next UL RLC Data block</w:t>
            </w:r>
          </w:p>
          <w:p w14:paraId="27F1217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 } } ** 0;</w:t>
            </w:r>
            <w:r w:rsidRPr="004D0DAA">
              <w:rPr>
                <w:lang w:eastAsia="en-US"/>
              </w:rPr>
              <w:tab/>
              <w:t xml:space="preserve">-- </w:t>
            </w:r>
            <w:r w:rsidRPr="004D0DAA">
              <w:rPr>
                <w:i/>
                <w:lang w:eastAsia="en-US"/>
              </w:rPr>
              <w:t>next UL RLC Data block starts at first possible occasion after previous UL RLC Data block</w:t>
            </w:r>
          </w:p>
        </w:tc>
      </w:tr>
    </w:tbl>
    <w:p w14:paraId="6E3EB94A" w14:textId="77777777" w:rsidR="00711444" w:rsidRPr="004D0DAA" w:rsidRDefault="00711444" w:rsidP="00711444"/>
    <w:p w14:paraId="77574796" w14:textId="77777777" w:rsidR="00711444" w:rsidRPr="004D0DAA" w:rsidRDefault="00711444" w:rsidP="00711444">
      <w:pPr>
        <w:pStyle w:val="TH"/>
      </w:pPr>
      <w:r w:rsidRPr="004D0DAA">
        <w:t xml:space="preserve">Table 11.2.57.2: EC </w:t>
      </w:r>
      <w:r w:rsidRPr="004D0DAA">
        <w:rPr>
          <w:caps/>
        </w:rPr>
        <w:t>Packet UPlink Ack/Nack</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67796A7" w14:textId="77777777" w:rsidTr="00AA2A4C">
        <w:trPr>
          <w:cantSplit/>
        </w:trPr>
        <w:tc>
          <w:tcPr>
            <w:tcW w:w="9848" w:type="dxa"/>
          </w:tcPr>
          <w:p w14:paraId="6A62417F"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2FD6869D" w14:textId="77777777" w:rsidTr="00AA2A4C">
        <w:trPr>
          <w:cantSplit/>
        </w:trPr>
        <w:tc>
          <w:tcPr>
            <w:tcW w:w="9848" w:type="dxa"/>
          </w:tcPr>
          <w:p w14:paraId="44DB65A0" w14:textId="77777777" w:rsidR="00711444" w:rsidRPr="004D0DAA" w:rsidRDefault="00711444" w:rsidP="00AA2A4C">
            <w:pPr>
              <w:rPr>
                <w:b/>
              </w:rPr>
            </w:pPr>
            <w:r w:rsidRPr="004D0DAA">
              <w:rPr>
                <w:b/>
              </w:rPr>
              <w:t>UPLINK_TFI</w:t>
            </w:r>
            <w:r w:rsidRPr="004D0DAA">
              <w:t xml:space="preserve"> (5 bit field)</w:t>
            </w:r>
            <w:r w:rsidRPr="004D0DAA">
              <w:br/>
              <w:t>This field identifies the uplink TBF to which this message applies. This field is coded the same as the TFI field defined in</w:t>
            </w:r>
            <w:r w:rsidRPr="004D0DAA">
              <w:rPr>
                <w:i/>
              </w:rPr>
              <w:t xml:space="preserve"> </w:t>
            </w:r>
            <w:r w:rsidRPr="004D0DAA">
              <w:t>sub-clause 12.15.</w:t>
            </w:r>
          </w:p>
        </w:tc>
      </w:tr>
      <w:tr w:rsidR="00711444" w:rsidRPr="004D0DAA" w14:paraId="46C36767" w14:textId="77777777" w:rsidTr="00AA2A4C">
        <w:trPr>
          <w:cantSplit/>
        </w:trPr>
        <w:tc>
          <w:tcPr>
            <w:tcW w:w="9848" w:type="dxa"/>
          </w:tcPr>
          <w:p w14:paraId="53F7068E" w14:textId="77777777" w:rsidR="00711444" w:rsidRPr="004D0DAA" w:rsidRDefault="00711444" w:rsidP="00AA2A4C">
            <w:pPr>
              <w:rPr>
                <w:b/>
              </w:rPr>
            </w:pPr>
            <w:r w:rsidRPr="004D0DAA">
              <w:rPr>
                <w:b/>
              </w:rPr>
              <w:t>EGPRS Modulation and Coding Scheme</w:t>
            </w:r>
            <w:r w:rsidRPr="004D0DAA">
              <w:rPr>
                <w:b/>
              </w:rPr>
              <w:br/>
            </w:r>
            <w:r w:rsidRPr="004D0DAA">
              <w:t>The EGPRS Modulation and Coding Scheme information element is defined in</w:t>
            </w:r>
            <w:r w:rsidRPr="004D0DAA">
              <w:rPr>
                <w:i/>
              </w:rPr>
              <w:t xml:space="preserve"> </w:t>
            </w:r>
            <w:r w:rsidRPr="004D0DAA">
              <w:t>sub-clause 12.10d.</w:t>
            </w:r>
          </w:p>
        </w:tc>
      </w:tr>
      <w:tr w:rsidR="00711444" w:rsidRPr="004D0DAA" w14:paraId="5228BF78" w14:textId="77777777" w:rsidTr="00AA2A4C">
        <w:trPr>
          <w:cantSplit/>
        </w:trPr>
        <w:tc>
          <w:tcPr>
            <w:tcW w:w="9848" w:type="dxa"/>
          </w:tcPr>
          <w:p w14:paraId="5162B0E2" w14:textId="77777777" w:rsidR="00711444" w:rsidRPr="004D0DAA" w:rsidRDefault="00711444" w:rsidP="00AA2A4C">
            <w:pPr>
              <w:rPr>
                <w:b/>
              </w:rPr>
            </w:pPr>
            <w:r w:rsidRPr="004D0DAA">
              <w:rPr>
                <w:b/>
              </w:rPr>
              <w:t xml:space="preserve">RESEGMENT </w:t>
            </w:r>
            <w:r w:rsidRPr="004D0DAA">
              <w:t>(1 bit field)</w:t>
            </w:r>
            <w:r w:rsidRPr="004D0DAA">
              <w:rPr>
                <w:b/>
              </w:rPr>
              <w:br/>
            </w:r>
            <w:r w:rsidRPr="004D0DAA">
              <w:t>This field is defined in</w:t>
            </w:r>
            <w:r w:rsidRPr="004D0DAA">
              <w:rPr>
                <w:i/>
              </w:rPr>
              <w:t xml:space="preserve"> </w:t>
            </w:r>
            <w:r w:rsidRPr="004D0DAA">
              <w:t>sub-clause 12.10e.</w:t>
            </w:r>
          </w:p>
        </w:tc>
      </w:tr>
      <w:tr w:rsidR="00711444" w:rsidRPr="004D0DAA" w14:paraId="1FEA37C4" w14:textId="77777777" w:rsidTr="00AA2A4C">
        <w:trPr>
          <w:cantSplit/>
        </w:trPr>
        <w:tc>
          <w:tcPr>
            <w:tcW w:w="9848" w:type="dxa"/>
          </w:tcPr>
          <w:p w14:paraId="0046319E" w14:textId="77777777" w:rsidR="00711444" w:rsidRPr="004D0DAA" w:rsidRDefault="00711444" w:rsidP="00AA2A4C">
            <w:r w:rsidRPr="004D0DAA">
              <w:rPr>
                <w:b/>
              </w:rPr>
              <w:t>EC Ack/Nack Description IE</w:t>
            </w:r>
            <w:r w:rsidRPr="004D0DAA">
              <w:rPr>
                <w:b/>
              </w:rPr>
              <w:br/>
            </w:r>
            <w:r w:rsidRPr="004D0DAA">
              <w:t>This information element is defined in</w:t>
            </w:r>
            <w:r w:rsidRPr="004D0DAA">
              <w:rPr>
                <w:i/>
              </w:rPr>
              <w:t xml:space="preserve"> </w:t>
            </w:r>
            <w:r w:rsidRPr="004D0DAA">
              <w:t>sub-clause 12.72.</w:t>
            </w:r>
          </w:p>
        </w:tc>
      </w:tr>
      <w:tr w:rsidR="00711444" w:rsidRPr="004D0DAA" w14:paraId="3EFF99B4" w14:textId="77777777" w:rsidTr="00AA2A4C">
        <w:trPr>
          <w:cantSplit/>
        </w:trPr>
        <w:tc>
          <w:tcPr>
            <w:tcW w:w="9848" w:type="dxa"/>
          </w:tcPr>
          <w:p w14:paraId="776A2AF9" w14:textId="77777777" w:rsidR="00711444" w:rsidRPr="004D0DAA" w:rsidRDefault="00711444" w:rsidP="00AA2A4C">
            <w:pPr>
              <w:rPr>
                <w:b/>
              </w:rPr>
            </w:pPr>
            <w:r w:rsidRPr="004D0DAA">
              <w:rPr>
                <w:b/>
              </w:rPr>
              <w:t>EC Primary Ack/Nack Description IE</w:t>
            </w:r>
            <w:r w:rsidRPr="004D0DAA">
              <w:rPr>
                <w:b/>
              </w:rPr>
              <w:br/>
            </w:r>
            <w:r w:rsidRPr="004D0DAA">
              <w:t>This information element is defined in</w:t>
            </w:r>
            <w:r w:rsidRPr="004D0DAA">
              <w:rPr>
                <w:i/>
              </w:rPr>
              <w:t xml:space="preserve"> </w:t>
            </w:r>
            <w:r w:rsidRPr="004D0DAA">
              <w:t>sub-clause 12.73.</w:t>
            </w:r>
          </w:p>
        </w:tc>
      </w:tr>
      <w:tr w:rsidR="00711444" w:rsidRPr="004D0DAA" w14:paraId="4FF62710" w14:textId="77777777" w:rsidTr="00AA2A4C">
        <w:trPr>
          <w:cantSplit/>
        </w:trPr>
        <w:tc>
          <w:tcPr>
            <w:tcW w:w="9848" w:type="dxa"/>
          </w:tcPr>
          <w:p w14:paraId="6EB862FB" w14:textId="77777777" w:rsidR="00711444" w:rsidRPr="004D0DAA" w:rsidRDefault="00711444" w:rsidP="00AA2A4C">
            <w:pPr>
              <w:rPr>
                <w:bCs/>
              </w:rPr>
            </w:pPr>
            <w:r w:rsidRPr="004D0DAA">
              <w:rPr>
                <w:b/>
              </w:rPr>
              <w:lastRenderedPageBreak/>
              <w:t xml:space="preserve">UL_COVERAGE_CLASS </w:t>
            </w:r>
            <w:r w:rsidRPr="004D0DAA">
              <w:t>(2 bit field)</w:t>
            </w:r>
            <w:r w:rsidRPr="004D0DAA">
              <w:br/>
              <w:t xml:space="preserve">This field indicates the new UL Coverage Class that is assigned for the UL EC TBF. The interpretation of the field is dependent on the field </w:t>
            </w:r>
            <w:r w:rsidRPr="004D0DAA">
              <w:rPr>
                <w:b/>
              </w:rPr>
              <w:t>UL_COVERAGE_CLASS_EXT</w:t>
            </w:r>
            <w:r w:rsidRPr="004D0DAA">
              <w:rPr>
                <w:bCs/>
              </w:rPr>
              <w:t xml:space="preserve"> </w:t>
            </w:r>
            <w:r w:rsidRPr="004D0DAA">
              <w:t xml:space="preserve">(see further below). </w:t>
            </w:r>
            <w:r w:rsidRPr="004D0DAA">
              <w:rPr>
                <w:bCs/>
              </w:rPr>
              <w:t xml:space="preserve">The UL_COVERAGE_CLASS field shall be set according to the following table in case </w:t>
            </w:r>
            <w:r w:rsidRPr="004D0DAA">
              <w:rPr>
                <w:b/>
              </w:rPr>
              <w:t xml:space="preserve">UL_COVERAGE_CLASS_EXT </w:t>
            </w:r>
            <w:r w:rsidRPr="004D0DAA">
              <w:t>= 0</w:t>
            </w:r>
            <w:r w:rsidRPr="004D0DAA">
              <w:rPr>
                <w:bCs/>
              </w:rPr>
              <w:t>:</w:t>
            </w:r>
          </w:p>
          <w:p w14:paraId="32BA3A29" w14:textId="77777777" w:rsidR="00711444" w:rsidRPr="004D0DAA" w:rsidRDefault="00711444" w:rsidP="00AA2A4C">
            <w:pPr>
              <w:pStyle w:val="FP"/>
              <w:tabs>
                <w:tab w:val="left" w:pos="567"/>
              </w:tabs>
              <w:ind w:left="567" w:hanging="567"/>
            </w:pPr>
            <w:r w:rsidRPr="004D0DAA">
              <w:t>bit</w:t>
            </w:r>
          </w:p>
          <w:p w14:paraId="2D55FDDA" w14:textId="77777777" w:rsidR="00711444" w:rsidRPr="004D0DAA" w:rsidRDefault="00711444" w:rsidP="00AA2A4C">
            <w:pPr>
              <w:pStyle w:val="FP"/>
              <w:tabs>
                <w:tab w:val="left" w:pos="567"/>
              </w:tabs>
              <w:ind w:left="567" w:hanging="567"/>
            </w:pPr>
            <w:r w:rsidRPr="004D0DAA">
              <w:t>2 1</w:t>
            </w:r>
          </w:p>
          <w:p w14:paraId="56F86E8F" w14:textId="77777777" w:rsidR="00711444" w:rsidRPr="004D0DAA" w:rsidRDefault="00711444" w:rsidP="00AA2A4C">
            <w:pPr>
              <w:pStyle w:val="FP"/>
              <w:tabs>
                <w:tab w:val="left" w:pos="567"/>
              </w:tabs>
              <w:ind w:left="567" w:hanging="567"/>
            </w:pPr>
            <w:r w:rsidRPr="004D0DAA">
              <w:t>0 0</w:t>
            </w:r>
            <w:r w:rsidRPr="004D0DAA">
              <w:tab/>
              <w:t>UL Coverage Class = CC1</w:t>
            </w:r>
          </w:p>
          <w:p w14:paraId="13B6400A" w14:textId="77777777" w:rsidR="00711444" w:rsidRPr="004D0DAA" w:rsidRDefault="00711444" w:rsidP="00AA2A4C">
            <w:pPr>
              <w:pStyle w:val="FP"/>
              <w:tabs>
                <w:tab w:val="left" w:pos="567"/>
              </w:tabs>
              <w:ind w:left="567" w:hanging="567"/>
            </w:pPr>
            <w:r w:rsidRPr="004D0DAA">
              <w:t>0 1</w:t>
            </w:r>
            <w:r w:rsidRPr="004D0DAA">
              <w:tab/>
              <w:t>UL Coverage Class = CC2</w:t>
            </w:r>
          </w:p>
          <w:p w14:paraId="51C37C2D" w14:textId="77777777" w:rsidR="00711444" w:rsidRPr="004D0DAA" w:rsidRDefault="00711444" w:rsidP="00AA2A4C">
            <w:pPr>
              <w:pStyle w:val="FP"/>
              <w:tabs>
                <w:tab w:val="left" w:pos="567"/>
              </w:tabs>
              <w:ind w:left="567" w:hanging="567"/>
            </w:pPr>
            <w:r w:rsidRPr="004D0DAA">
              <w:t>1 0</w:t>
            </w:r>
            <w:r w:rsidRPr="004D0DAA">
              <w:tab/>
              <w:t>UL Coverage Class = CC3</w:t>
            </w:r>
          </w:p>
          <w:p w14:paraId="537F9B32" w14:textId="77777777" w:rsidR="00711444" w:rsidRPr="004D0DAA" w:rsidRDefault="00711444" w:rsidP="00AA2A4C">
            <w:r w:rsidRPr="004D0DAA">
              <w:t>1 1</w:t>
            </w:r>
            <w:r w:rsidRPr="004D0DAA">
              <w:tab/>
              <w:t>UL Coverage Class = CC4</w:t>
            </w:r>
          </w:p>
          <w:p w14:paraId="6171A6A0" w14:textId="77777777" w:rsidR="00711444" w:rsidRPr="004D0DAA" w:rsidRDefault="00711444" w:rsidP="00AA2A4C">
            <w:r w:rsidRPr="004D0DAA">
              <w:t>In case the UL Coverage Class is changed to CC1, the assignment is limited to 1 timeslot.</w:t>
            </w:r>
          </w:p>
          <w:p w14:paraId="601243AE" w14:textId="77777777" w:rsidR="00711444" w:rsidRPr="004D0DAA" w:rsidRDefault="00711444" w:rsidP="00AA2A4C">
            <w:pPr>
              <w:rPr>
                <w:bCs/>
              </w:rPr>
            </w:pPr>
            <w:r w:rsidRPr="004D0DAA">
              <w:rPr>
                <w:bCs/>
              </w:rPr>
              <w:t xml:space="preserve">The UL_COVERAGE_CLASS field shall be set according to the following table in case </w:t>
            </w:r>
            <w:r w:rsidRPr="004D0DAA">
              <w:rPr>
                <w:b/>
              </w:rPr>
              <w:t xml:space="preserve">UL_COVERAGE_CLASS_EXT </w:t>
            </w:r>
            <w:r w:rsidRPr="004D0DAA">
              <w:t>= 1</w:t>
            </w:r>
            <w:r w:rsidRPr="004D0DAA">
              <w:rPr>
                <w:bCs/>
              </w:rPr>
              <w:t>:</w:t>
            </w:r>
          </w:p>
          <w:p w14:paraId="37BB5835" w14:textId="77777777" w:rsidR="00711444" w:rsidRPr="004D0DAA" w:rsidRDefault="00711444" w:rsidP="00AA2A4C">
            <w:pPr>
              <w:pStyle w:val="FP"/>
              <w:tabs>
                <w:tab w:val="left" w:pos="567"/>
              </w:tabs>
              <w:ind w:left="567" w:hanging="567"/>
            </w:pPr>
            <w:r w:rsidRPr="004D0DAA">
              <w:t>bit</w:t>
            </w:r>
          </w:p>
          <w:p w14:paraId="2933B59C" w14:textId="77777777" w:rsidR="00711444" w:rsidRPr="004D0DAA" w:rsidRDefault="00711444" w:rsidP="00AA2A4C">
            <w:pPr>
              <w:pStyle w:val="FP"/>
              <w:tabs>
                <w:tab w:val="left" w:pos="567"/>
              </w:tabs>
              <w:ind w:left="567" w:hanging="567"/>
            </w:pPr>
            <w:r w:rsidRPr="004D0DAA">
              <w:t>2 1</w:t>
            </w:r>
          </w:p>
          <w:p w14:paraId="3FCAD8AB" w14:textId="77777777" w:rsidR="00711444" w:rsidRPr="004D0DAA" w:rsidRDefault="00711444" w:rsidP="00AA2A4C">
            <w:pPr>
              <w:pStyle w:val="FP"/>
              <w:tabs>
                <w:tab w:val="left" w:pos="567"/>
              </w:tabs>
              <w:ind w:left="567" w:hanging="567"/>
            </w:pPr>
            <w:r w:rsidRPr="004D0DAA">
              <w:t>0 0</w:t>
            </w:r>
            <w:r w:rsidRPr="004D0DAA">
              <w:tab/>
              <w:t>UL Coverage Class = CC5</w:t>
            </w:r>
          </w:p>
          <w:p w14:paraId="63E6FE65" w14:textId="77777777" w:rsidR="00711444" w:rsidRPr="004D0DAA" w:rsidRDefault="00711444" w:rsidP="00AA2A4C">
            <w:pPr>
              <w:pStyle w:val="FP"/>
              <w:tabs>
                <w:tab w:val="left" w:pos="567"/>
              </w:tabs>
              <w:ind w:left="567" w:hanging="567"/>
            </w:pPr>
            <w:r w:rsidRPr="004D0DAA">
              <w:t>0 1</w:t>
            </w:r>
            <w:r w:rsidRPr="004D0DAA">
              <w:tab/>
              <w:t>reserved</w:t>
            </w:r>
          </w:p>
          <w:p w14:paraId="2FBA6692" w14:textId="77777777" w:rsidR="00711444" w:rsidRPr="004D0DAA" w:rsidRDefault="00711444" w:rsidP="00AA2A4C">
            <w:pPr>
              <w:pStyle w:val="FP"/>
              <w:tabs>
                <w:tab w:val="left" w:pos="567"/>
              </w:tabs>
              <w:ind w:left="567" w:hanging="567"/>
            </w:pPr>
            <w:r w:rsidRPr="004D0DAA">
              <w:t>1 0</w:t>
            </w:r>
            <w:r w:rsidRPr="004D0DAA">
              <w:tab/>
              <w:t>reserved</w:t>
            </w:r>
          </w:p>
          <w:p w14:paraId="1CFDCEE0" w14:textId="77777777" w:rsidR="00711444" w:rsidRPr="004D0DAA" w:rsidRDefault="00711444" w:rsidP="00AA2A4C">
            <w:pPr>
              <w:rPr>
                <w:b/>
              </w:rPr>
            </w:pPr>
            <w:r w:rsidRPr="004D0DAA">
              <w:t>1 1</w:t>
            </w:r>
            <w:r w:rsidRPr="004D0DAA">
              <w:tab/>
            </w:r>
            <w:r w:rsidRPr="004D0DAA">
              <w:tab/>
              <w:t>reserved</w:t>
            </w:r>
          </w:p>
        </w:tc>
      </w:tr>
      <w:tr w:rsidR="00711444" w:rsidRPr="004D0DAA" w14:paraId="030EF290" w14:textId="77777777" w:rsidTr="00AA2A4C">
        <w:trPr>
          <w:cantSplit/>
        </w:trPr>
        <w:tc>
          <w:tcPr>
            <w:tcW w:w="9848" w:type="dxa"/>
          </w:tcPr>
          <w:p w14:paraId="314579CA" w14:textId="77777777" w:rsidR="00711444" w:rsidRPr="004D0DAA" w:rsidRDefault="00711444" w:rsidP="00AA2A4C">
            <w:pPr>
              <w:rPr>
                <w:bCs/>
              </w:rPr>
            </w:pPr>
            <w:r w:rsidRPr="004D0DAA">
              <w:rPr>
                <w:b/>
              </w:rPr>
              <w:t>STARTING_UL_TIMESLOT</w:t>
            </w:r>
            <w:r w:rsidRPr="004D0DAA">
              <w:t xml:space="preserve"> (3 bit field)</w:t>
            </w:r>
            <w:r w:rsidRPr="004D0DAA">
              <w:rPr>
                <w:b/>
              </w:rPr>
              <w:br/>
            </w:r>
            <w:r w:rsidRPr="004D0DAA">
              <w:t xml:space="preserve">This field defines the timeslot number of the lowest timeslot included in the uplink assignment for the UL EC TBF. The number of additional timeslots that are included in the uplink assignment for the TBF depends on the assigned UL Coverage Class. The assigned timeslots are contiguous, starting with the timeslot number indicated in the STARTING_UL_TIMESLOT field. </w:t>
            </w:r>
            <w:r w:rsidRPr="004D0DAA">
              <w:rPr>
                <w:bCs/>
              </w:rPr>
              <w:t>The field is encoded according to the following table:</w:t>
            </w:r>
          </w:p>
          <w:p w14:paraId="515E0037" w14:textId="77777777" w:rsidR="00711444" w:rsidRPr="004D0DAA" w:rsidRDefault="00711444" w:rsidP="00AA2A4C">
            <w:pPr>
              <w:pStyle w:val="FP"/>
              <w:tabs>
                <w:tab w:val="left" w:pos="567"/>
              </w:tabs>
              <w:ind w:left="567" w:hanging="567"/>
            </w:pPr>
            <w:r w:rsidRPr="004D0DAA">
              <w:t>bit</w:t>
            </w:r>
          </w:p>
          <w:p w14:paraId="1E3B22E9" w14:textId="77777777" w:rsidR="00711444" w:rsidRPr="004D0DAA" w:rsidRDefault="00711444" w:rsidP="00AA2A4C">
            <w:pPr>
              <w:pStyle w:val="FP"/>
              <w:tabs>
                <w:tab w:val="left" w:pos="567"/>
              </w:tabs>
              <w:ind w:left="567" w:hanging="567"/>
            </w:pPr>
            <w:r w:rsidRPr="004D0DAA">
              <w:t>3 2 1</w:t>
            </w:r>
          </w:p>
          <w:p w14:paraId="5DB711D2" w14:textId="77777777" w:rsidR="00711444" w:rsidRPr="004D0DAA" w:rsidRDefault="00711444" w:rsidP="00AA2A4C">
            <w:pPr>
              <w:pStyle w:val="FP"/>
              <w:tabs>
                <w:tab w:val="left" w:pos="567"/>
              </w:tabs>
              <w:ind w:left="567" w:hanging="567"/>
            </w:pPr>
            <w:r w:rsidRPr="004D0DAA">
              <w:t>0 0 0</w:t>
            </w:r>
            <w:r w:rsidRPr="004D0DAA">
              <w:tab/>
              <w:t>Timeslot 0 is the lowest assigned uplink timeslot</w:t>
            </w:r>
          </w:p>
          <w:p w14:paraId="53338293" w14:textId="77777777" w:rsidR="00711444" w:rsidRPr="004D0DAA" w:rsidRDefault="00711444" w:rsidP="00AA2A4C">
            <w:pPr>
              <w:pStyle w:val="FP"/>
              <w:tabs>
                <w:tab w:val="left" w:pos="567"/>
              </w:tabs>
              <w:ind w:left="567" w:hanging="567"/>
            </w:pPr>
            <w:r w:rsidRPr="004D0DAA">
              <w:t>0 0 1</w:t>
            </w:r>
            <w:r w:rsidRPr="004D0DAA">
              <w:tab/>
              <w:t>Timeslot 1 is the lowest assigned uplink timeslot</w:t>
            </w:r>
          </w:p>
          <w:p w14:paraId="7A2520B5" w14:textId="77777777" w:rsidR="00711444" w:rsidRPr="004D0DAA" w:rsidRDefault="00711444" w:rsidP="00AA2A4C">
            <w:pPr>
              <w:pStyle w:val="FP"/>
              <w:tabs>
                <w:tab w:val="left" w:pos="567"/>
              </w:tabs>
              <w:ind w:left="567" w:hanging="567"/>
            </w:pPr>
            <w:r w:rsidRPr="004D0DAA">
              <w:t>0 1 0</w:t>
            </w:r>
            <w:r w:rsidRPr="004D0DAA">
              <w:tab/>
              <w:t>Timeslot 2 is the lowest assigned uplink timeslot</w:t>
            </w:r>
          </w:p>
          <w:p w14:paraId="7D64C1C0" w14:textId="77777777" w:rsidR="00711444" w:rsidRPr="004D0DAA" w:rsidRDefault="00711444" w:rsidP="00AA2A4C">
            <w:r w:rsidRPr="004D0DAA">
              <w:t>0 1 1</w:t>
            </w:r>
            <w:r w:rsidRPr="004D0DAA">
              <w:tab/>
              <w:t>Timeslot 3 is the lowest assigned uplink timeslot</w:t>
            </w:r>
            <w:r w:rsidRPr="004D0DAA">
              <w:br/>
              <w:t xml:space="preserve">1 0 0 </w:t>
            </w:r>
            <w:r w:rsidRPr="004D0DAA">
              <w:tab/>
              <w:t>Timeslot 4 is the lowest assigned uplink timeslot</w:t>
            </w:r>
            <w:r w:rsidRPr="004D0DAA">
              <w:br/>
              <w:t xml:space="preserve">1 0 1 </w:t>
            </w:r>
            <w:r w:rsidRPr="004D0DAA">
              <w:tab/>
              <w:t>Timeslot 5 is the lowest assigned uplink timeslot</w:t>
            </w:r>
            <w:r w:rsidRPr="004D0DAA">
              <w:br/>
              <w:t xml:space="preserve">1 1 0 </w:t>
            </w:r>
            <w:r w:rsidRPr="004D0DAA">
              <w:tab/>
              <w:t>Timeslot 6 is the lowest assigned uplink timeslot</w:t>
            </w:r>
            <w:r w:rsidRPr="004D0DAA">
              <w:br/>
              <w:t xml:space="preserve">1 1 1 </w:t>
            </w:r>
            <w:r w:rsidRPr="004D0DAA">
              <w:tab/>
              <w:t>Timeslot 7 is the lowest assigned uplink timeslot</w:t>
            </w:r>
            <w:r w:rsidRPr="004D0DAA">
              <w:br/>
            </w:r>
          </w:p>
          <w:p w14:paraId="1D69E8A6" w14:textId="77777777" w:rsidR="00711444" w:rsidRPr="004D0DAA" w:rsidRDefault="00711444" w:rsidP="00AA2A4C">
            <w:r w:rsidRPr="004D0DAA">
              <w:t>A mobile station assigned CC2, CC3 or CC4 is always assigned 4 consecutive timeslots if the field EC_Reduced_PDCH_Allocation is set to 0 in the EC SYSTEM INFORMATION TYPE 2 message (see 44.018 sub-clause 9.1.43q). Therefore only timeslot 0, 1, 2, 3 or 4 may be indicated as the lowest assigned uplink timeslot when the assignment is for CC2, CC3, CC4, or CC5 in the uplink. If the field EC_Reduced_PDCH_Allocation is set to 1 a mobile station assigned CC2, CC3, CC4, or CC5 on the uplink is always assigned the use of 2 consecutive timeslots and therefore only timeslot 0, 1, 2, 3, 4, 5 or 6 shall be indicated as the lowest assigned uplink timeslot.</w:t>
            </w:r>
          </w:p>
        </w:tc>
      </w:tr>
      <w:tr w:rsidR="00711444" w:rsidRPr="004D0DAA" w14:paraId="4BED3C2B" w14:textId="77777777" w:rsidTr="00AA2A4C">
        <w:trPr>
          <w:cantSplit/>
        </w:trPr>
        <w:tc>
          <w:tcPr>
            <w:tcW w:w="9848" w:type="dxa"/>
          </w:tcPr>
          <w:p w14:paraId="6F7C3203" w14:textId="77777777" w:rsidR="00711444" w:rsidRPr="004D0DAA" w:rsidRDefault="00711444" w:rsidP="00AA2A4C">
            <w:pPr>
              <w:rPr>
                <w:bCs/>
              </w:rPr>
            </w:pPr>
            <w:r w:rsidRPr="004D0DAA">
              <w:rPr>
                <w:b/>
              </w:rPr>
              <w:t xml:space="preserve">DL_COVERAGE_CLASS </w:t>
            </w:r>
            <w:r w:rsidRPr="004D0DAA">
              <w:t>(2 bit field)</w:t>
            </w:r>
            <w:r w:rsidRPr="004D0DAA">
              <w:br/>
              <w:t xml:space="preserve">This field indicates the new DL Coverage Class that is assigned for transfer of downlink RLC/MAC control messages on the EC-PACCH during the UL EC TBF. </w:t>
            </w:r>
            <w:r w:rsidRPr="004D0DAA">
              <w:rPr>
                <w:bCs/>
              </w:rPr>
              <w:t>The DL_COVERAGE_CLASS field shall be set according to the following table:</w:t>
            </w:r>
          </w:p>
          <w:p w14:paraId="0A9783AC" w14:textId="77777777" w:rsidR="00711444" w:rsidRPr="004D0DAA" w:rsidRDefault="00711444" w:rsidP="00AA2A4C">
            <w:pPr>
              <w:pStyle w:val="FP"/>
              <w:tabs>
                <w:tab w:val="left" w:pos="567"/>
              </w:tabs>
              <w:ind w:left="567" w:hanging="567"/>
            </w:pPr>
            <w:r w:rsidRPr="004D0DAA">
              <w:t>bit</w:t>
            </w:r>
          </w:p>
          <w:p w14:paraId="71A31B26" w14:textId="77777777" w:rsidR="00711444" w:rsidRPr="004D0DAA" w:rsidRDefault="00711444" w:rsidP="00AA2A4C">
            <w:pPr>
              <w:pStyle w:val="FP"/>
              <w:tabs>
                <w:tab w:val="left" w:pos="567"/>
              </w:tabs>
              <w:ind w:left="567" w:hanging="567"/>
            </w:pPr>
            <w:r w:rsidRPr="004D0DAA">
              <w:t>2 1</w:t>
            </w:r>
          </w:p>
          <w:p w14:paraId="19556D74" w14:textId="77777777" w:rsidR="00711444" w:rsidRPr="004D0DAA" w:rsidRDefault="00711444" w:rsidP="00AA2A4C">
            <w:pPr>
              <w:pStyle w:val="FP"/>
              <w:tabs>
                <w:tab w:val="left" w:pos="567"/>
              </w:tabs>
              <w:ind w:left="567" w:hanging="567"/>
            </w:pPr>
            <w:r w:rsidRPr="004D0DAA">
              <w:t>0 0</w:t>
            </w:r>
            <w:r w:rsidRPr="004D0DAA">
              <w:tab/>
              <w:t>DL Coverage Class = CC1</w:t>
            </w:r>
          </w:p>
          <w:p w14:paraId="7D54BD4D" w14:textId="77777777" w:rsidR="00711444" w:rsidRPr="004D0DAA" w:rsidRDefault="00711444" w:rsidP="00AA2A4C">
            <w:pPr>
              <w:pStyle w:val="FP"/>
              <w:tabs>
                <w:tab w:val="left" w:pos="567"/>
              </w:tabs>
              <w:ind w:left="567" w:hanging="567"/>
            </w:pPr>
            <w:r w:rsidRPr="004D0DAA">
              <w:t>0 1</w:t>
            </w:r>
            <w:r w:rsidRPr="004D0DAA">
              <w:tab/>
              <w:t>DL Coverage Class = CC2</w:t>
            </w:r>
          </w:p>
          <w:p w14:paraId="36EF1BB9" w14:textId="77777777" w:rsidR="00711444" w:rsidRPr="004D0DAA" w:rsidRDefault="00711444" w:rsidP="00AA2A4C">
            <w:pPr>
              <w:pStyle w:val="FP"/>
              <w:tabs>
                <w:tab w:val="left" w:pos="567"/>
              </w:tabs>
              <w:ind w:left="567" w:hanging="567"/>
            </w:pPr>
            <w:r w:rsidRPr="004D0DAA">
              <w:t>1 0</w:t>
            </w:r>
            <w:r w:rsidRPr="004D0DAA">
              <w:tab/>
              <w:t>DL Coverage Class = CC3</w:t>
            </w:r>
          </w:p>
          <w:p w14:paraId="0E075FA7" w14:textId="77777777" w:rsidR="00711444" w:rsidRPr="004D0DAA" w:rsidRDefault="00711444" w:rsidP="00AA2A4C">
            <w:pPr>
              <w:rPr>
                <w:b/>
              </w:rPr>
            </w:pPr>
            <w:r w:rsidRPr="004D0DAA">
              <w:t>1 1</w:t>
            </w:r>
            <w:r w:rsidRPr="004D0DAA">
              <w:tab/>
            </w:r>
            <w:r w:rsidRPr="004D0DAA">
              <w:tab/>
              <w:t>DL Coverage Class = CC4</w:t>
            </w:r>
          </w:p>
        </w:tc>
      </w:tr>
      <w:tr w:rsidR="00711444" w:rsidRPr="004D0DAA" w14:paraId="06CB65ED" w14:textId="77777777" w:rsidTr="00AA2A4C">
        <w:trPr>
          <w:cantSplit/>
        </w:trPr>
        <w:tc>
          <w:tcPr>
            <w:tcW w:w="9848" w:type="dxa"/>
          </w:tcPr>
          <w:p w14:paraId="672A27CB" w14:textId="77777777" w:rsidR="00711444" w:rsidRPr="004D0DAA" w:rsidRDefault="00711444" w:rsidP="00AA2A4C">
            <w:pPr>
              <w:rPr>
                <w:bCs/>
              </w:rPr>
            </w:pPr>
            <w:r w:rsidRPr="004D0DAA">
              <w:rPr>
                <w:b/>
              </w:rPr>
              <w:lastRenderedPageBreak/>
              <w:t>STARTING_DL_TIMESLOT_OFFSET</w:t>
            </w:r>
            <w:r w:rsidRPr="004D0DAA">
              <w:t xml:space="preserve"> (2 bit field)</w:t>
            </w:r>
            <w:r w:rsidRPr="004D0DAA">
              <w:rPr>
                <w:b/>
              </w:rPr>
              <w:br/>
            </w:r>
            <w:r w:rsidRPr="004D0DAA">
              <w:t>This field defines the timeslot number of the lowest timeslot included in the new assignment that is used for transfer of downlink RLC/MAC control messages on the EC-PACCH during the UL EC TBF. The number of additional timeslots that are included in the downlink assignment depends on the assigned DL Coverage Class. The assigned timeslots are contiguous, starting with the timeslot number indicated in the STARTING_DL_TIMESLOT_OFFSET field. The STARTING_DL_TIMESLOT_OFFSET</w:t>
            </w:r>
            <w:r w:rsidRPr="004D0DAA">
              <w:rPr>
                <w:bCs/>
              </w:rPr>
              <w:t xml:space="preserve"> field is encoded as an offset to the timeslot assigned with the STARTING_UL_TIMESLOT field. </w:t>
            </w:r>
            <w:r w:rsidRPr="004D0DAA">
              <w:t>The encoding of the field is dependent of the value of the UL_COVERAGE_CLASS and DL_COVERAGE_CLASS fields in the same message.</w:t>
            </w:r>
          </w:p>
          <w:p w14:paraId="57457F58" w14:textId="77777777" w:rsidR="00711444" w:rsidRPr="004D0DAA" w:rsidRDefault="00711444" w:rsidP="00AA2A4C">
            <w:pPr>
              <w:rPr>
                <w:bCs/>
              </w:rPr>
            </w:pPr>
            <w:r w:rsidRPr="004D0DAA">
              <w:t>If both UL_COVERAGE_CLASS and DL_COVERAGE_CLASS &gt; CC1, the same timeslots are assigned in both the uplink and the downlink directions. The STARTING_DL_TIMESLOT_OFFSET field can then be considered as not valid by the mobile station.</w:t>
            </w:r>
          </w:p>
          <w:p w14:paraId="203342B0" w14:textId="77777777" w:rsidR="00711444" w:rsidRPr="004D0DAA" w:rsidRDefault="00711444" w:rsidP="00AA2A4C">
            <w:pPr>
              <w:rPr>
                <w:bCs/>
              </w:rPr>
            </w:pPr>
            <w:r w:rsidRPr="004D0DAA">
              <w:t>If UL_COVERAGE_CLASS = CC1 and DL_COVERAGE_CLASS &gt; CC1, the STARTING_DL_TIMESLOT_OFFSET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69922D1B" w14:textId="77777777" w:rsidR="00711444" w:rsidRPr="004D0DAA" w:rsidRDefault="00711444" w:rsidP="00AA2A4C">
            <w:pPr>
              <w:pStyle w:val="FP"/>
              <w:tabs>
                <w:tab w:val="left" w:pos="567"/>
              </w:tabs>
              <w:ind w:left="567" w:hanging="567"/>
            </w:pPr>
            <w:r w:rsidRPr="004D0DAA">
              <w:t>bit</w:t>
            </w:r>
          </w:p>
          <w:p w14:paraId="27D9567A" w14:textId="77777777" w:rsidR="00711444" w:rsidRPr="004D0DAA" w:rsidRDefault="00711444" w:rsidP="00AA2A4C">
            <w:pPr>
              <w:pStyle w:val="FP"/>
              <w:tabs>
                <w:tab w:val="left" w:pos="567"/>
              </w:tabs>
              <w:ind w:left="567" w:hanging="567"/>
            </w:pPr>
            <w:r w:rsidRPr="004D0DAA">
              <w:t>2 1</w:t>
            </w:r>
          </w:p>
          <w:p w14:paraId="57D74EDA"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79F8D470"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59FAC552"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0470C5B7" w14:textId="77777777" w:rsidR="00711444" w:rsidRPr="004D0DAA" w:rsidRDefault="00711444" w:rsidP="00AA2A4C">
            <w:pPr>
              <w:rPr>
                <w:bCs/>
              </w:rPr>
            </w:pPr>
            <w:r w:rsidRPr="004D0DAA">
              <w:t>1 1</w:t>
            </w:r>
            <w:r w:rsidRPr="004D0DAA">
              <w:tab/>
            </w:r>
            <w:r w:rsidRPr="004D0DAA">
              <w:tab/>
            </w:r>
            <w:r w:rsidRPr="004D0DAA">
              <w:rPr>
                <w:bCs/>
              </w:rPr>
              <w:t>STARTING_UL_TIMESLOT - 3</w:t>
            </w:r>
          </w:p>
          <w:p w14:paraId="755DB8AC" w14:textId="77777777" w:rsidR="00711444" w:rsidRPr="004D0DAA" w:rsidRDefault="00711444" w:rsidP="00AA2A4C">
            <w:r w:rsidRPr="004D0DAA">
              <w:t>If UL_COVERAGE_CLASS &gt; CC1 and DL_COVERAGE_CLASS = CC1, the STARTING_DL_TIMESLOT_OFFSET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27828B5B" w14:textId="77777777" w:rsidR="00711444" w:rsidRPr="004D0DAA" w:rsidRDefault="00711444" w:rsidP="00AA2A4C">
            <w:pPr>
              <w:pStyle w:val="FP"/>
              <w:tabs>
                <w:tab w:val="left" w:pos="567"/>
              </w:tabs>
              <w:ind w:left="567" w:hanging="567"/>
            </w:pPr>
            <w:r w:rsidRPr="004D0DAA">
              <w:t>bit</w:t>
            </w:r>
          </w:p>
          <w:p w14:paraId="5628F90D" w14:textId="77777777" w:rsidR="00711444" w:rsidRPr="004D0DAA" w:rsidRDefault="00711444" w:rsidP="00AA2A4C">
            <w:pPr>
              <w:pStyle w:val="FP"/>
              <w:tabs>
                <w:tab w:val="left" w:pos="567"/>
              </w:tabs>
              <w:ind w:left="567" w:hanging="567"/>
            </w:pPr>
            <w:r w:rsidRPr="004D0DAA">
              <w:t>2 1</w:t>
            </w:r>
          </w:p>
          <w:p w14:paraId="7CE73D23"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4E216A9D"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7303EF76"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79066751" w14:textId="77777777" w:rsidR="00711444" w:rsidRPr="004D0DAA" w:rsidRDefault="00711444" w:rsidP="00AA2A4C">
            <w:r w:rsidRPr="004D0DAA">
              <w:t>1 1</w:t>
            </w:r>
            <w:r w:rsidRPr="004D0DAA">
              <w:tab/>
            </w:r>
            <w:r w:rsidRPr="004D0DAA">
              <w:tab/>
            </w:r>
            <w:r w:rsidRPr="004D0DAA">
              <w:rPr>
                <w:bCs/>
              </w:rPr>
              <w:t>STARTING_UL_TIMESLOT + 3</w:t>
            </w:r>
          </w:p>
          <w:p w14:paraId="05B68C89" w14:textId="77777777" w:rsidR="00711444" w:rsidRPr="004D0DAA" w:rsidRDefault="00711444" w:rsidP="00AA2A4C">
            <w:r w:rsidRPr="004D0DAA">
              <w:t xml:space="preserve">If both UL_COVERAGE_CLASS and DL_COVERAGE_CLASS = CC1, the downlink is assigned to the timeslot indicated by the </w:t>
            </w:r>
            <w:r w:rsidRPr="004D0DAA">
              <w:rPr>
                <w:bCs/>
              </w:rPr>
              <w:t>STARTING_UL_TIMESLOT field. If timer T3248 (sent in EC SI) is used, t</w:t>
            </w:r>
            <w:r w:rsidRPr="004D0DAA">
              <w:t>he STARTING_DL_TIMESLOT_OFFSET field defines the lowest assigned timeslot for EC-PACCH transfers using CC2 while the timer is running. The STARTING_DL_TIMESLOT_OFFSET field is then encoded according to the following table:</w:t>
            </w:r>
          </w:p>
          <w:p w14:paraId="473A0BDB" w14:textId="77777777" w:rsidR="00711444" w:rsidRPr="004D0DAA" w:rsidRDefault="00711444" w:rsidP="00AA2A4C">
            <w:pPr>
              <w:pStyle w:val="FP"/>
              <w:tabs>
                <w:tab w:val="left" w:pos="567"/>
              </w:tabs>
              <w:ind w:left="567" w:hanging="567"/>
            </w:pPr>
            <w:r w:rsidRPr="004D0DAA">
              <w:t>bit</w:t>
            </w:r>
          </w:p>
          <w:p w14:paraId="18E5B138" w14:textId="77777777" w:rsidR="00711444" w:rsidRPr="004D0DAA" w:rsidRDefault="00711444" w:rsidP="00AA2A4C">
            <w:pPr>
              <w:pStyle w:val="FP"/>
              <w:tabs>
                <w:tab w:val="left" w:pos="567"/>
              </w:tabs>
              <w:ind w:left="567" w:hanging="567"/>
            </w:pPr>
            <w:r w:rsidRPr="004D0DAA">
              <w:t>2 1</w:t>
            </w:r>
          </w:p>
          <w:p w14:paraId="3ECC70F5"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44164903"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25FBC20C"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4650048D" w14:textId="77777777" w:rsidR="00711444" w:rsidRPr="004D0DAA" w:rsidRDefault="00711444" w:rsidP="00AA2A4C">
            <w:pPr>
              <w:rPr>
                <w:b/>
              </w:rPr>
            </w:pPr>
            <w:r w:rsidRPr="004D0DAA">
              <w:t>1 1</w:t>
            </w:r>
            <w:r w:rsidRPr="004D0DAA">
              <w:tab/>
            </w:r>
            <w:r w:rsidRPr="004D0DAA">
              <w:tab/>
              <w:t xml:space="preserve">no valid </w:t>
            </w:r>
            <w:r w:rsidRPr="004D0DAA">
              <w:rPr>
                <w:bCs/>
              </w:rPr>
              <w:t>CC2 mapping applies while T3248 is running, CC1 to be used</w:t>
            </w:r>
          </w:p>
        </w:tc>
      </w:tr>
      <w:tr w:rsidR="00711444" w:rsidRPr="004D0DAA" w14:paraId="278A6A2E" w14:textId="77777777" w:rsidTr="00AA2A4C">
        <w:trPr>
          <w:cantSplit/>
        </w:trPr>
        <w:tc>
          <w:tcPr>
            <w:tcW w:w="9848" w:type="dxa"/>
          </w:tcPr>
          <w:p w14:paraId="4411DA43" w14:textId="77777777" w:rsidR="00711444" w:rsidRPr="004D0DAA" w:rsidRDefault="00711444" w:rsidP="00AA2A4C">
            <w:r w:rsidRPr="004D0DAA">
              <w:rPr>
                <w:b/>
              </w:rPr>
              <w:lastRenderedPageBreak/>
              <w:t>TIMESLOT_MULTIPLICATOR</w:t>
            </w:r>
            <w:r w:rsidRPr="004D0DAA">
              <w:t xml:space="preserve"> (3 bit field)</w:t>
            </w:r>
            <w:r w:rsidRPr="004D0DAA">
              <w:rPr>
                <w:b/>
              </w:rPr>
              <w:br/>
            </w:r>
            <w:r w:rsidRPr="004D0DAA">
              <w:t>This field defines how many UL timeslots that the assignment contains when the assigned UL Coverage Class, according to the UL_COVERAGE_CLASS field, is CC1. The field is coded according to the following table:</w:t>
            </w:r>
          </w:p>
          <w:p w14:paraId="7BEF19C6" w14:textId="77777777" w:rsidR="00711444" w:rsidRPr="004D0DAA" w:rsidRDefault="00711444" w:rsidP="00AA2A4C">
            <w:pPr>
              <w:pStyle w:val="FP"/>
              <w:tabs>
                <w:tab w:val="left" w:pos="567"/>
              </w:tabs>
              <w:ind w:left="567" w:hanging="567"/>
            </w:pPr>
            <w:r w:rsidRPr="004D0DAA">
              <w:t>bit</w:t>
            </w:r>
          </w:p>
          <w:p w14:paraId="1EBCAE2D" w14:textId="77777777" w:rsidR="00711444" w:rsidRPr="004D0DAA" w:rsidRDefault="00711444" w:rsidP="00AA2A4C">
            <w:pPr>
              <w:pStyle w:val="FP"/>
              <w:tabs>
                <w:tab w:val="left" w:pos="567"/>
              </w:tabs>
              <w:ind w:left="567" w:hanging="567"/>
            </w:pPr>
            <w:r w:rsidRPr="004D0DAA">
              <w:t>3 2 1</w:t>
            </w:r>
          </w:p>
          <w:p w14:paraId="4772C7E4" w14:textId="77777777" w:rsidR="00711444" w:rsidRPr="004D0DAA" w:rsidRDefault="00711444" w:rsidP="00AA2A4C">
            <w:pPr>
              <w:pStyle w:val="FP"/>
              <w:tabs>
                <w:tab w:val="left" w:pos="567"/>
              </w:tabs>
              <w:ind w:left="567" w:hanging="567"/>
            </w:pPr>
            <w:r w:rsidRPr="004D0DAA">
              <w:t>0 0 0</w:t>
            </w:r>
            <w:r w:rsidRPr="004D0DAA">
              <w:tab/>
              <w:t>1 timeslot assigned</w:t>
            </w:r>
          </w:p>
          <w:p w14:paraId="196B63FA" w14:textId="77777777" w:rsidR="00711444" w:rsidRPr="004D0DAA" w:rsidRDefault="00711444" w:rsidP="00AA2A4C">
            <w:pPr>
              <w:pStyle w:val="FP"/>
              <w:tabs>
                <w:tab w:val="left" w:pos="567"/>
              </w:tabs>
              <w:ind w:left="567" w:hanging="567"/>
            </w:pPr>
            <w:r w:rsidRPr="004D0DAA">
              <w:t>0 0 1</w:t>
            </w:r>
            <w:r w:rsidRPr="004D0DAA">
              <w:tab/>
              <w:t>2 timeslots assigned</w:t>
            </w:r>
          </w:p>
          <w:p w14:paraId="47E721BF" w14:textId="77777777" w:rsidR="00711444" w:rsidRPr="004D0DAA" w:rsidRDefault="00711444" w:rsidP="00AA2A4C">
            <w:pPr>
              <w:pStyle w:val="FP"/>
              <w:tabs>
                <w:tab w:val="left" w:pos="567"/>
              </w:tabs>
              <w:ind w:left="567" w:hanging="567"/>
            </w:pPr>
            <w:r w:rsidRPr="004D0DAA">
              <w:t>0 1 0</w:t>
            </w:r>
            <w:r w:rsidRPr="004D0DAA">
              <w:tab/>
              <w:t>3 timeslots assigned</w:t>
            </w:r>
          </w:p>
          <w:p w14:paraId="09067182" w14:textId="77777777" w:rsidR="00711444" w:rsidRPr="004D0DAA" w:rsidRDefault="00711444" w:rsidP="00AA2A4C">
            <w:pPr>
              <w:pStyle w:val="FP"/>
              <w:tabs>
                <w:tab w:val="left" w:pos="567"/>
              </w:tabs>
              <w:ind w:left="567" w:hanging="567"/>
            </w:pPr>
            <w:r w:rsidRPr="004D0DAA">
              <w:t>0 1 1</w:t>
            </w:r>
            <w:r w:rsidRPr="004D0DAA">
              <w:tab/>
              <w:t>4 timeslots assigned</w:t>
            </w:r>
          </w:p>
          <w:p w14:paraId="573D48E3" w14:textId="77777777" w:rsidR="00711444" w:rsidRPr="004D0DAA" w:rsidRDefault="00711444" w:rsidP="00AA2A4C">
            <w:pPr>
              <w:pStyle w:val="FP"/>
              <w:tabs>
                <w:tab w:val="left" w:pos="567"/>
              </w:tabs>
              <w:ind w:left="567" w:hanging="567"/>
            </w:pPr>
            <w:r w:rsidRPr="004D0DAA">
              <w:t>1 0 0</w:t>
            </w:r>
            <w:r w:rsidRPr="004D0DAA">
              <w:tab/>
              <w:t>5 timeslots assigned</w:t>
            </w:r>
          </w:p>
          <w:p w14:paraId="6522234D" w14:textId="77777777" w:rsidR="00711444" w:rsidRPr="004D0DAA" w:rsidRDefault="00711444" w:rsidP="00AA2A4C">
            <w:pPr>
              <w:pStyle w:val="FP"/>
              <w:tabs>
                <w:tab w:val="left" w:pos="567"/>
              </w:tabs>
              <w:ind w:left="567" w:hanging="567"/>
            </w:pPr>
            <w:r w:rsidRPr="004D0DAA">
              <w:t>1 0 1</w:t>
            </w:r>
            <w:r w:rsidRPr="004D0DAA">
              <w:tab/>
              <w:t>6 timeslots assigned</w:t>
            </w:r>
          </w:p>
          <w:p w14:paraId="69B11DF5" w14:textId="77777777" w:rsidR="00711444" w:rsidRPr="004D0DAA" w:rsidRDefault="00711444" w:rsidP="00AA2A4C">
            <w:pPr>
              <w:pStyle w:val="FP"/>
              <w:tabs>
                <w:tab w:val="left" w:pos="567"/>
              </w:tabs>
              <w:ind w:left="567" w:hanging="567"/>
            </w:pPr>
            <w:r w:rsidRPr="004D0DAA">
              <w:t>1 1 0</w:t>
            </w:r>
            <w:r w:rsidRPr="004D0DAA">
              <w:tab/>
              <w:t>7 timeslots assigned</w:t>
            </w:r>
          </w:p>
          <w:p w14:paraId="4AD729CD" w14:textId="77777777" w:rsidR="00711444" w:rsidRPr="004D0DAA" w:rsidRDefault="00711444" w:rsidP="00AA2A4C">
            <w:r w:rsidRPr="004D0DAA">
              <w:t>1 1 1</w:t>
            </w:r>
            <w:r w:rsidRPr="004D0DAA">
              <w:tab/>
              <w:t>8 timeslots assigned</w:t>
            </w:r>
          </w:p>
          <w:p w14:paraId="3B6B8998" w14:textId="77777777" w:rsidR="00711444" w:rsidRPr="004D0DAA" w:rsidRDefault="00711444" w:rsidP="00AA2A4C">
            <w:pPr>
              <w:rPr>
                <w:b/>
              </w:rPr>
            </w:pPr>
            <w:r w:rsidRPr="004D0DAA">
              <w:t>Values other than ‘000’ can only be used if supported by the mobile station, as indicated by its multislot capability, see 3GPP TS 45.002. If the assigned uplink Coverage Class &gt; CC1 (according to the UL_COVERAGE_CLASS field), the mobile station shall consider the TIMESLOT_MULTIPLICATOR field as not valid</w:t>
            </w:r>
          </w:p>
        </w:tc>
      </w:tr>
      <w:tr w:rsidR="00711444" w:rsidRPr="004D0DAA" w14:paraId="66837834" w14:textId="77777777" w:rsidTr="00AA2A4C">
        <w:trPr>
          <w:cantSplit/>
        </w:trPr>
        <w:tc>
          <w:tcPr>
            <w:tcW w:w="9848" w:type="dxa"/>
          </w:tcPr>
          <w:p w14:paraId="04183803" w14:textId="77777777" w:rsidR="00711444" w:rsidRPr="004D0DAA" w:rsidRDefault="00711444" w:rsidP="00AA2A4C">
            <w:r w:rsidRPr="004D0DAA">
              <w:rPr>
                <w:b/>
              </w:rPr>
              <w:t xml:space="preserve">T3238 </w:t>
            </w:r>
            <w:r w:rsidRPr="004D0DAA">
              <w:t>(3 bit field)</w:t>
            </w:r>
            <w:r w:rsidRPr="004D0DAA">
              <w:rPr>
                <w:b/>
              </w:rPr>
              <w:br/>
            </w:r>
            <w:r w:rsidRPr="004D0DAA">
              <w:t>This field is the binary representation of the timeout value of timer T3238. Range: 0 to 7. The timeout value is given as the binary value plus one in units of 1 second.</w:t>
            </w:r>
          </w:p>
          <w:p w14:paraId="302981A4" w14:textId="77777777" w:rsidR="00711444" w:rsidRPr="004D0DAA" w:rsidRDefault="00711444" w:rsidP="00AA2A4C">
            <w:r w:rsidRPr="004D0DAA">
              <w:rPr>
                <w:b/>
              </w:rPr>
              <w:t xml:space="preserve">Initial Waiting Time </w:t>
            </w:r>
            <w:r w:rsidRPr="004D0DAA">
              <w:t>(2 bit field)</w:t>
            </w:r>
            <w:r w:rsidRPr="004D0DAA">
              <w:br/>
              <w:t>This field gives the time that the mobile station shall wait, after the reception of this EC Packet Uplink Ack/Nack message, before it shall start to monitor the DL EC-PACCH. The waiting time is specified as the 52-multiframe, counted from the one containing the EC Packet Uplink Ack/Nack message, where the mobile station shall start monitoring the DL EC-PACCH. The field is coded according to the following table:</w:t>
            </w:r>
          </w:p>
          <w:p w14:paraId="435F2D0C" w14:textId="77777777" w:rsidR="00711444" w:rsidRPr="004D0DAA" w:rsidRDefault="00711444" w:rsidP="00AA2A4C">
            <w:r w:rsidRPr="004D0DAA">
              <w:t>Bit</w:t>
            </w:r>
            <w:r w:rsidRPr="004D0DAA">
              <w:br/>
              <w:t>2 1</w:t>
            </w:r>
            <w:r w:rsidRPr="004D0DAA">
              <w:br/>
              <w:t>0 0</w:t>
            </w:r>
            <w:r w:rsidRPr="004D0DAA">
              <w:tab/>
            </w:r>
            <w:r w:rsidRPr="004D0DAA">
              <w:tab/>
              <w:t>2</w:t>
            </w:r>
            <w:r w:rsidRPr="004D0DAA">
              <w:rPr>
                <w:vertAlign w:val="superscript"/>
              </w:rPr>
              <w:t>nd</w:t>
            </w:r>
            <w:r w:rsidRPr="004D0DAA">
              <w:t xml:space="preserve"> 52-multiframe</w:t>
            </w:r>
            <w:r w:rsidRPr="004D0DAA">
              <w:br/>
              <w:t>0 1</w:t>
            </w:r>
            <w:r w:rsidRPr="004D0DAA">
              <w:tab/>
            </w:r>
            <w:r w:rsidRPr="004D0DAA">
              <w:tab/>
              <w:t>4</w:t>
            </w:r>
            <w:r w:rsidRPr="004D0DAA">
              <w:rPr>
                <w:vertAlign w:val="superscript"/>
              </w:rPr>
              <w:t>th</w:t>
            </w:r>
            <w:r w:rsidRPr="004D0DAA">
              <w:t xml:space="preserve"> 52-multiframe </w:t>
            </w:r>
            <w:r w:rsidRPr="004D0DAA">
              <w:br/>
              <w:t>1 0</w:t>
            </w:r>
            <w:r w:rsidRPr="004D0DAA">
              <w:tab/>
            </w:r>
            <w:r w:rsidRPr="004D0DAA">
              <w:tab/>
              <w:t>6</w:t>
            </w:r>
            <w:r w:rsidRPr="004D0DAA">
              <w:rPr>
                <w:vertAlign w:val="superscript"/>
              </w:rPr>
              <w:t>th</w:t>
            </w:r>
            <w:r w:rsidRPr="004D0DAA">
              <w:t xml:space="preserve"> 52-multiframe </w:t>
            </w:r>
            <w:r w:rsidRPr="004D0DAA">
              <w:br/>
              <w:t>1 1</w:t>
            </w:r>
            <w:r w:rsidRPr="004D0DAA">
              <w:tab/>
            </w:r>
            <w:r w:rsidRPr="004D0DAA">
              <w:tab/>
              <w:t>8</w:t>
            </w:r>
            <w:r w:rsidRPr="004D0DAA">
              <w:rPr>
                <w:vertAlign w:val="superscript"/>
              </w:rPr>
              <w:t>th</w:t>
            </w:r>
            <w:r w:rsidRPr="004D0DAA">
              <w:t xml:space="preserve"> 52-multiframe</w:t>
            </w:r>
          </w:p>
          <w:p w14:paraId="354FEF3D" w14:textId="77777777" w:rsidR="00711444" w:rsidRPr="004D0DAA" w:rsidRDefault="00711444" w:rsidP="00AA2A4C">
            <w:r w:rsidRPr="004D0DAA">
              <w:rPr>
                <w:b/>
              </w:rPr>
              <w:t xml:space="preserve">EC-PACCH Monitoring Pattern </w:t>
            </w:r>
            <w:r w:rsidRPr="004D0DAA">
              <w:t>(2 bit field)</w:t>
            </w:r>
            <w:r w:rsidRPr="004D0DAA">
              <w:br/>
              <w:t>The EC-PACCH Monitoring Pattern field indicates what pattern the mobile station shall use when monitoring the downlink EC-PACCH while timer T3238 is running. The pattern shall be applied after first monitoring the 52-multiframe as indicated by the Initial Waiting Time field. The EC-PACCH Monitoring Pattern field is coded according to the following table:</w:t>
            </w:r>
          </w:p>
          <w:p w14:paraId="5699D4BF" w14:textId="77777777" w:rsidR="00711444" w:rsidRPr="004D0DAA" w:rsidRDefault="00711444" w:rsidP="00AA2A4C">
            <w:r w:rsidRPr="004D0DAA">
              <w:t>bit</w:t>
            </w:r>
            <w:r w:rsidRPr="004D0DAA">
              <w:br/>
              <w:t>2 1</w:t>
            </w:r>
            <w:r w:rsidRPr="004D0DAA">
              <w:br/>
              <w:t>0 0</w:t>
            </w:r>
            <w:r w:rsidRPr="004D0DAA">
              <w:tab/>
            </w:r>
            <w:r w:rsidRPr="004D0DAA">
              <w:tab/>
              <w:t>Continuous monitoring</w:t>
            </w:r>
            <w:r w:rsidRPr="004D0DAA">
              <w:br/>
              <w:t>0 1</w:t>
            </w:r>
            <w:r w:rsidRPr="004D0DAA">
              <w:tab/>
            </w:r>
            <w:r w:rsidRPr="004D0DAA">
              <w:tab/>
              <w:t>Monitor every 2</w:t>
            </w:r>
            <w:r w:rsidRPr="004D0DAA">
              <w:rPr>
                <w:vertAlign w:val="superscript"/>
              </w:rPr>
              <w:t>nd</w:t>
            </w:r>
            <w:r w:rsidRPr="004D0DAA">
              <w:t xml:space="preserve"> 52-multiframe </w:t>
            </w:r>
            <w:r w:rsidRPr="004D0DAA">
              <w:br/>
              <w:t>1 0</w:t>
            </w:r>
            <w:r w:rsidRPr="004D0DAA">
              <w:tab/>
            </w:r>
            <w:r w:rsidRPr="004D0DAA">
              <w:tab/>
              <w:t>Monitor every 4</w:t>
            </w:r>
            <w:r w:rsidRPr="004D0DAA">
              <w:rPr>
                <w:vertAlign w:val="superscript"/>
              </w:rPr>
              <w:t>th</w:t>
            </w:r>
            <w:r w:rsidRPr="004D0DAA">
              <w:t xml:space="preserve"> 52-multiframe </w:t>
            </w:r>
            <w:r w:rsidRPr="004D0DAA">
              <w:br/>
              <w:t>1 1</w:t>
            </w:r>
            <w:r w:rsidRPr="004D0DAA">
              <w:tab/>
            </w:r>
            <w:r w:rsidRPr="004D0DAA">
              <w:tab/>
              <w:t>Monitor every 8</w:t>
            </w:r>
            <w:r w:rsidRPr="004D0DAA">
              <w:rPr>
                <w:vertAlign w:val="superscript"/>
              </w:rPr>
              <w:t>th</w:t>
            </w:r>
            <w:r w:rsidRPr="004D0DAA">
              <w:t xml:space="preserve"> 52-multiframe</w:t>
            </w:r>
            <w:r w:rsidRPr="004D0DAA">
              <w:rPr>
                <w:rStyle w:val="CommentReference"/>
              </w:rPr>
              <w:t xml:space="preserve"> </w:t>
            </w:r>
          </w:p>
        </w:tc>
      </w:tr>
      <w:tr w:rsidR="00711444" w:rsidRPr="004D0DAA" w14:paraId="22690026" w14:textId="77777777" w:rsidTr="00AA2A4C">
        <w:trPr>
          <w:cantSplit/>
        </w:trPr>
        <w:tc>
          <w:tcPr>
            <w:tcW w:w="9848" w:type="dxa"/>
          </w:tcPr>
          <w:p w14:paraId="5CA75468" w14:textId="77777777" w:rsidR="00711444" w:rsidRPr="004D0DAA" w:rsidRDefault="00711444" w:rsidP="00AA2A4C">
            <w:r w:rsidRPr="004D0DAA">
              <w:rPr>
                <w:b/>
              </w:rPr>
              <w:t xml:space="preserve">CONTENTION_RESOLUTION_TLLI </w:t>
            </w:r>
            <w:r w:rsidRPr="004D0DAA">
              <w:t>(32 bit field)</w:t>
            </w:r>
            <w:r w:rsidRPr="004D0DAA">
              <w:br/>
              <w:t>The CONTENTION_RESOLUTION_TLLI field is present only if the network has decoded one of the uplink RLC data blocks containing the TLLI. The mobile station shall perform the contention resolution function if the TLLI information element is present. This field contains a TLLI, which is defined in</w:t>
            </w:r>
            <w:r w:rsidRPr="004D0DAA">
              <w:rPr>
                <w:i/>
              </w:rPr>
              <w:t xml:space="preserve"> </w:t>
            </w:r>
            <w:r w:rsidRPr="004D0DAA">
              <w:t>sub-clause 12.16.</w:t>
            </w:r>
          </w:p>
          <w:p w14:paraId="1A5DFABE" w14:textId="77777777" w:rsidR="00711444" w:rsidRPr="004D0DAA" w:rsidRDefault="00711444" w:rsidP="00AA2A4C">
            <w:pPr>
              <w:rPr>
                <w:b/>
              </w:rPr>
            </w:pPr>
            <w:r w:rsidRPr="004D0DAA">
              <w:rPr>
                <w:b/>
              </w:rPr>
              <w:t xml:space="preserve">CONTENTION_RESOLUTION_rTLLI </w:t>
            </w:r>
            <w:r w:rsidRPr="004D0DAA">
              <w:t>(4 bit field)</w:t>
            </w:r>
            <w:r w:rsidRPr="004D0DAA">
              <w:br/>
              <w:t>The CONTENTION_RESOLUTION_rTLLI field is present only if the network has decoded one of the uplink RLC data blocks containing the rTLLI, and not any uplink RLC data block containing the TLLI. This field contains an rTLLI, which consists of the 4 least significant bits of the TLLI.</w:t>
            </w:r>
          </w:p>
        </w:tc>
      </w:tr>
      <w:tr w:rsidR="00711444" w:rsidRPr="004D0DAA" w14:paraId="39B5F8F8" w14:textId="77777777" w:rsidTr="00AA2A4C">
        <w:trPr>
          <w:cantSplit/>
        </w:trPr>
        <w:tc>
          <w:tcPr>
            <w:tcW w:w="9848" w:type="dxa"/>
          </w:tcPr>
          <w:p w14:paraId="31378354" w14:textId="77777777" w:rsidR="00711444" w:rsidRPr="004D0DAA" w:rsidRDefault="00711444" w:rsidP="00AA2A4C">
            <w:pPr>
              <w:rPr>
                <w:b/>
              </w:rPr>
            </w:pPr>
            <w:r w:rsidRPr="004D0DAA">
              <w:rPr>
                <w:b/>
              </w:rPr>
              <w:t>EC Packet Timing Advance</w:t>
            </w:r>
            <w:r w:rsidRPr="004D0DAA">
              <w:br/>
              <w:t>This information element is defined in</w:t>
            </w:r>
            <w:r w:rsidRPr="004D0DAA">
              <w:rPr>
                <w:i/>
              </w:rPr>
              <w:t xml:space="preserve"> </w:t>
            </w:r>
            <w:r w:rsidRPr="004D0DAA">
              <w:t>sub-clause 12.74.</w:t>
            </w:r>
          </w:p>
        </w:tc>
      </w:tr>
      <w:tr w:rsidR="00711444" w:rsidRPr="004D0DAA" w14:paraId="0442E3B0" w14:textId="77777777" w:rsidTr="00AA2A4C">
        <w:trPr>
          <w:cantSplit/>
        </w:trPr>
        <w:tc>
          <w:tcPr>
            <w:tcW w:w="9848" w:type="dxa"/>
          </w:tcPr>
          <w:p w14:paraId="151D1890" w14:textId="77777777" w:rsidR="00711444" w:rsidRPr="004D0DAA" w:rsidRDefault="00711444" w:rsidP="00AA2A4C">
            <w:r w:rsidRPr="004D0DAA">
              <w:rPr>
                <w:b/>
              </w:rPr>
              <w:lastRenderedPageBreak/>
              <w:t>GAMMA</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xml:space="preserve"> for MS output power control in units of 2 dB, see 3GPP TS 45.008. The field is coded according to the following table:</w:t>
            </w:r>
          </w:p>
          <w:p w14:paraId="18441752" w14:textId="77777777" w:rsidR="00711444" w:rsidRPr="004D0DAA" w:rsidRDefault="00711444" w:rsidP="00AA2A4C">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62 dB</w:t>
            </w:r>
          </w:p>
          <w:p w14:paraId="073F5173" w14:textId="77777777" w:rsidR="00711444" w:rsidRPr="004D0DAA" w:rsidRDefault="00711444" w:rsidP="00AA2A4C">
            <w:r w:rsidRPr="004D0DAA">
              <w:rPr>
                <w:b/>
              </w:rPr>
              <w:t>ALPHA Enable</w:t>
            </w:r>
            <w:r w:rsidRPr="004D0DAA">
              <w:t xml:space="preserve"> (1 bit field)</w:t>
            </w:r>
            <w:r w:rsidRPr="004D0DAA">
              <w:br/>
              <w:t>This field indicates whether or not the mobile station shall use the ALPHA parameter (if sent as part of EC SI) for uplink power control (see 3GPP TS 45.008 [34]). The field is coded as follows:</w:t>
            </w:r>
          </w:p>
          <w:p w14:paraId="23246625" w14:textId="77777777" w:rsidR="00711444" w:rsidRPr="004D0DAA" w:rsidRDefault="00711444" w:rsidP="00AA2A4C">
            <w:r w:rsidRPr="004D0DAA">
              <w:t>0</w:t>
            </w:r>
            <w:r w:rsidRPr="004D0DAA">
              <w:tab/>
            </w:r>
            <w:r w:rsidRPr="004D0DAA">
              <w:tab/>
              <w:t>The mobile station shall not use the ALPHA parameter</w:t>
            </w:r>
            <w:r w:rsidRPr="004D0DAA">
              <w:br/>
              <w:t>1</w:t>
            </w:r>
            <w:r w:rsidRPr="004D0DAA">
              <w:tab/>
            </w:r>
            <w:r w:rsidRPr="004D0DAA">
              <w:tab/>
              <w:t>The mobile station shall use the ALPHA parameter</w:t>
            </w:r>
          </w:p>
          <w:p w14:paraId="466F6A37" w14:textId="77777777" w:rsidR="00711444" w:rsidRPr="004D0DAA" w:rsidRDefault="00711444" w:rsidP="00AA2A4C">
            <w:pPr>
              <w:rPr>
                <w:bCs/>
              </w:rPr>
            </w:pPr>
            <w:r w:rsidRPr="004D0DAA">
              <w:rPr>
                <w:b/>
              </w:rPr>
              <w:t xml:space="preserve">UL_COVERAGE_CLASS_EXT </w:t>
            </w:r>
            <w:r w:rsidRPr="004D0DAA">
              <w:t>(1 bit field)</w:t>
            </w:r>
            <w:r w:rsidRPr="004D0DAA">
              <w:br/>
              <w:t>This field indicates how the field UL_COVERAGE_CLASS(see above) is to be interpreted and is coded as follows</w:t>
            </w:r>
          </w:p>
          <w:p w14:paraId="3B4A927A" w14:textId="77777777" w:rsidR="00711444" w:rsidRPr="004D0DAA" w:rsidRDefault="00711444" w:rsidP="00AA2A4C">
            <w:pPr>
              <w:pStyle w:val="FP"/>
              <w:tabs>
                <w:tab w:val="left" w:pos="567"/>
              </w:tabs>
              <w:ind w:left="567" w:hanging="567"/>
            </w:pPr>
            <w:r w:rsidRPr="004D0DAA">
              <w:t>bit</w:t>
            </w:r>
          </w:p>
          <w:p w14:paraId="36E22BA3" w14:textId="77777777" w:rsidR="00711444" w:rsidRPr="004D0DAA" w:rsidRDefault="00711444" w:rsidP="00AA2A4C">
            <w:pPr>
              <w:pStyle w:val="FP"/>
              <w:tabs>
                <w:tab w:val="left" w:pos="567"/>
              </w:tabs>
              <w:ind w:left="567" w:hanging="567"/>
            </w:pPr>
            <w:r w:rsidRPr="004D0DAA">
              <w:t xml:space="preserve">0 </w:t>
            </w:r>
            <w:r w:rsidRPr="004D0DAA">
              <w:tab/>
              <w:t>UL_COVERAGE_CLASS field indicates one of UL Coverage Class CC1, CC2, CC3 or CC4 are assigned for uplink</w:t>
            </w:r>
          </w:p>
          <w:p w14:paraId="1DB0D379" w14:textId="77777777" w:rsidR="00711444" w:rsidRPr="004D0DAA" w:rsidRDefault="00711444" w:rsidP="00AA2A4C">
            <w:pPr>
              <w:pStyle w:val="FP"/>
              <w:tabs>
                <w:tab w:val="left" w:pos="567"/>
              </w:tabs>
              <w:ind w:left="567" w:hanging="567"/>
            </w:pPr>
            <w:r w:rsidRPr="004D0DAA">
              <w:t>1</w:t>
            </w:r>
            <w:r w:rsidRPr="004D0DAA">
              <w:tab/>
              <w:t>UL_COVERAGE_CLASS field indicates UL Coverage Class CC5 is assigned for uplink</w:t>
            </w:r>
          </w:p>
          <w:p w14:paraId="23AD98D5" w14:textId="77777777" w:rsidR="00711444" w:rsidRPr="004D0DAA" w:rsidRDefault="00711444" w:rsidP="00AA2A4C"/>
          <w:p w14:paraId="55CCEEFB" w14:textId="77777777" w:rsidR="00711444" w:rsidRPr="004D0DAA" w:rsidRDefault="00711444" w:rsidP="00AA2A4C">
            <w:r w:rsidRPr="004D0DAA">
              <w:rPr>
                <w:b/>
              </w:rPr>
              <w:t>BSN_OFFSET</w:t>
            </w:r>
            <w:r w:rsidRPr="004D0DAA">
              <w:t xml:space="preserve"> (2 bit field)</w:t>
            </w:r>
            <w:r w:rsidRPr="004D0DAA">
              <w:br/>
              <w:t>This field defines the offset, in the list of available RLC Data blocks for transmission, that shall be applied by the mobile station when selecting the RLC Data blocks to transmit in the fixed uplink allocation. If the BSN_OFFSET field is not present, the mobile station shall select the RLC Data blocks to transmit in the resources within the fixed uplink allocation as described in sub-clause 9.1.3.4. It shall e.g. start with the oldest NACKED block, if available, in the resources for the first RLC Data block within the fixed uplink allocation. If the BSN_OFFSET field is present, the mobile station shall apply an offset in RLC Data blocks and skip one, or several, of the RLC Data blocks that would be transmitted first according to the procedures in sub-clause 9.1.3.4. This field is encoded according to the following table:</w:t>
            </w:r>
          </w:p>
          <w:p w14:paraId="31F8F797" w14:textId="77777777" w:rsidR="00711444" w:rsidRPr="004D0DAA" w:rsidRDefault="00711444" w:rsidP="00AA2A4C">
            <w:pPr>
              <w:pStyle w:val="FP"/>
              <w:tabs>
                <w:tab w:val="left" w:pos="567"/>
              </w:tabs>
              <w:ind w:left="567" w:hanging="567"/>
            </w:pPr>
            <w:r w:rsidRPr="004D0DAA">
              <w:t>bit</w:t>
            </w:r>
          </w:p>
          <w:p w14:paraId="373F1E9E" w14:textId="77777777" w:rsidR="00711444" w:rsidRPr="004D0DAA" w:rsidRDefault="00711444" w:rsidP="00AA2A4C">
            <w:pPr>
              <w:pStyle w:val="FP"/>
              <w:tabs>
                <w:tab w:val="left" w:pos="567"/>
              </w:tabs>
              <w:ind w:left="567" w:hanging="567"/>
            </w:pPr>
            <w:r w:rsidRPr="004D0DAA">
              <w:t>2 1</w:t>
            </w:r>
          </w:p>
          <w:p w14:paraId="0B86672C" w14:textId="77777777" w:rsidR="00711444" w:rsidRPr="004D0DAA" w:rsidRDefault="00711444" w:rsidP="00AA2A4C">
            <w:pPr>
              <w:pStyle w:val="FP"/>
              <w:tabs>
                <w:tab w:val="left" w:pos="567"/>
              </w:tabs>
              <w:ind w:left="567" w:hanging="567"/>
            </w:pPr>
            <w:r w:rsidRPr="004D0DAA">
              <w:t>0 0</w:t>
            </w:r>
            <w:r w:rsidRPr="004D0DAA">
              <w:tab/>
            </w:r>
            <w:r w:rsidRPr="004D0DAA">
              <w:tab/>
            </w:r>
            <w:r w:rsidRPr="004D0DAA">
              <w:tab/>
              <w:t>Start with the 2</w:t>
            </w:r>
            <w:r w:rsidRPr="004D0DAA">
              <w:rPr>
                <w:vertAlign w:val="superscript"/>
              </w:rPr>
              <w:t>nd</w:t>
            </w:r>
            <w:r w:rsidRPr="004D0DAA">
              <w:t xml:space="preserve"> oldest RLC Data, to be transmitted, in the first resource within the fixed uplink allocation</w:t>
            </w:r>
          </w:p>
          <w:p w14:paraId="3E30B94F" w14:textId="77777777" w:rsidR="00711444" w:rsidRPr="004D0DAA" w:rsidRDefault="00711444" w:rsidP="00AA2A4C">
            <w:pPr>
              <w:pStyle w:val="FP"/>
              <w:tabs>
                <w:tab w:val="left" w:pos="567"/>
              </w:tabs>
              <w:ind w:left="567" w:hanging="567"/>
            </w:pPr>
            <w:r w:rsidRPr="004D0DAA">
              <w:t>0 1</w:t>
            </w:r>
            <w:r w:rsidRPr="004D0DAA">
              <w:tab/>
            </w:r>
            <w:r w:rsidRPr="004D0DAA">
              <w:tab/>
            </w:r>
            <w:r w:rsidRPr="004D0DAA">
              <w:tab/>
              <w:t>Start with the 3</w:t>
            </w:r>
            <w:r w:rsidRPr="004D0DAA">
              <w:rPr>
                <w:vertAlign w:val="superscript"/>
              </w:rPr>
              <w:t>rd</w:t>
            </w:r>
            <w:r w:rsidRPr="004D0DAA">
              <w:t xml:space="preserve"> oldest RLC Data, to be transmitted, in the first resource within the fixed uplink allocation</w:t>
            </w:r>
          </w:p>
          <w:p w14:paraId="6E41D99F" w14:textId="77777777" w:rsidR="00711444" w:rsidRPr="004D0DAA" w:rsidRDefault="00711444" w:rsidP="00AA2A4C">
            <w:pPr>
              <w:pStyle w:val="FP"/>
              <w:tabs>
                <w:tab w:val="left" w:pos="567"/>
              </w:tabs>
              <w:ind w:left="567" w:hanging="567"/>
            </w:pPr>
            <w:r w:rsidRPr="004D0DAA">
              <w:t>1 0</w:t>
            </w:r>
            <w:r w:rsidRPr="004D0DAA">
              <w:tab/>
            </w:r>
            <w:r w:rsidRPr="004D0DAA">
              <w:tab/>
            </w:r>
            <w:r w:rsidRPr="004D0DAA">
              <w:tab/>
              <w:t>Start with the 4</w:t>
            </w:r>
            <w:r w:rsidRPr="004D0DAA">
              <w:rPr>
                <w:vertAlign w:val="superscript"/>
              </w:rPr>
              <w:t>th</w:t>
            </w:r>
            <w:r w:rsidRPr="004D0DAA">
              <w:t xml:space="preserve"> oldest RLC Data, to be transmitted, in the first resource within the fixed uplink allocation</w:t>
            </w:r>
          </w:p>
          <w:p w14:paraId="6F46A55D" w14:textId="77777777" w:rsidR="00711444" w:rsidRPr="004D0DAA" w:rsidRDefault="00711444" w:rsidP="00AA2A4C">
            <w:r w:rsidRPr="004D0DAA">
              <w:t>1 1</w:t>
            </w:r>
            <w:r w:rsidRPr="004D0DAA">
              <w:tab/>
            </w:r>
            <w:r w:rsidRPr="004D0DAA">
              <w:tab/>
            </w:r>
            <w:r w:rsidRPr="004D0DAA">
              <w:tab/>
              <w:t>Start with the 5</w:t>
            </w:r>
            <w:r w:rsidRPr="004D0DAA">
              <w:rPr>
                <w:vertAlign w:val="superscript"/>
              </w:rPr>
              <w:t>th</w:t>
            </w:r>
            <w:r w:rsidRPr="004D0DAA">
              <w:t xml:space="preserve"> oldest RLC Data, to be transmitted, in the first resource within the fixed uplink allocation</w:t>
            </w:r>
          </w:p>
        </w:tc>
      </w:tr>
      <w:tr w:rsidR="00711444" w:rsidRPr="004D0DAA" w14:paraId="41FD9C4F" w14:textId="77777777" w:rsidTr="00AA2A4C">
        <w:trPr>
          <w:cantSplit/>
        </w:trPr>
        <w:tc>
          <w:tcPr>
            <w:tcW w:w="9848" w:type="dxa"/>
            <w:tcBorders>
              <w:top w:val="single" w:sz="4" w:space="0" w:color="auto"/>
              <w:left w:val="single" w:sz="4" w:space="0" w:color="auto"/>
              <w:bottom w:val="single" w:sz="4" w:space="0" w:color="auto"/>
              <w:right w:val="single" w:sz="4" w:space="0" w:color="auto"/>
            </w:tcBorders>
          </w:tcPr>
          <w:p w14:paraId="15259701" w14:textId="77777777" w:rsidR="00711444" w:rsidRPr="004D0DAA" w:rsidRDefault="00711444" w:rsidP="00AA2A4C">
            <w:r w:rsidRPr="004D0DAA">
              <w:rPr>
                <w:b/>
              </w:rPr>
              <w:lastRenderedPageBreak/>
              <w:t xml:space="preserve">START_FIRST_UL_RLC_DATA_BLOCK </w:t>
            </w:r>
            <w:r w:rsidRPr="004D0DAA">
              <w:t>(4 bit field)</w:t>
            </w:r>
            <w:r w:rsidRPr="004D0DAA">
              <w:br/>
              <w:t>This field indicates the starting position of the resources for the first allocated RLC Data block in the fixed uplink allocation. The starting position is relative to the first TDMA frame (N) of the downlink block containing the last blind physical layer transmission of this EC PACKET UPLINK ACK/NACK message, according to the USED_DL_COVERAGE_CLASS field. The encoding of the field is dependent of the uplink Coverage Class and TIMESLOT_MULTIPLICATOR assigned for the uplink EC TBF.</w:t>
            </w:r>
          </w:p>
          <w:p w14:paraId="5E1EC074" w14:textId="77777777" w:rsidR="00711444" w:rsidRPr="004D0DAA" w:rsidRDefault="00711444" w:rsidP="00AA2A4C">
            <w:r w:rsidRPr="004D0DAA">
              <w:t xml:space="preserve">If uplink Coverage Class = CC1 and TIMESLOT_MULTIPLICATOR = 0 or if uplink Coverage Class = CC2, the START_FN_FIRST_UL_RLC_DATA_BLOCK field </w:t>
            </w:r>
            <w:r w:rsidRPr="004D0DAA">
              <w:rPr>
                <w:bCs/>
              </w:rPr>
              <w:t>is encoded according to the following table:</w:t>
            </w:r>
          </w:p>
          <w:p w14:paraId="5CC9F9BB" w14:textId="77777777" w:rsidR="00711444" w:rsidRPr="004D0DAA" w:rsidRDefault="00711444" w:rsidP="00AA2A4C">
            <w:pPr>
              <w:pStyle w:val="FP"/>
              <w:tabs>
                <w:tab w:val="left" w:pos="567"/>
              </w:tabs>
              <w:ind w:left="567" w:hanging="567"/>
            </w:pPr>
            <w:r w:rsidRPr="004D0DAA">
              <w:t>bit</w:t>
            </w:r>
          </w:p>
          <w:p w14:paraId="4B7E61BC" w14:textId="77777777" w:rsidR="00711444" w:rsidRPr="004D0DAA" w:rsidRDefault="00711444" w:rsidP="00AA2A4C">
            <w:pPr>
              <w:pStyle w:val="FP"/>
              <w:tabs>
                <w:tab w:val="left" w:pos="567"/>
              </w:tabs>
              <w:ind w:left="567" w:hanging="567"/>
            </w:pPr>
            <w:r w:rsidRPr="004D0DAA">
              <w:t>4 3 2 1</w:t>
            </w:r>
          </w:p>
          <w:p w14:paraId="4A784B3A"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w:t>
            </w:r>
          </w:p>
          <w:p w14:paraId="03EAD96C"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(N+17 or N+18) mod 2715648</w:t>
            </w:r>
          </w:p>
          <w:p w14:paraId="63A3C68B"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(N+21 or N+22) mod 2715648</w:t>
            </w:r>
          </w:p>
          <w:p w14:paraId="1D04B92F"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(N+26) mod 2715648</w:t>
            </w:r>
          </w:p>
          <w:p w14:paraId="59410F1F"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(N+30 or N+31) mod 2715648</w:t>
            </w:r>
          </w:p>
          <w:p w14:paraId="2FEE0A4E" w14:textId="77777777" w:rsidR="00711444" w:rsidRPr="004D0DAA" w:rsidRDefault="00711444" w:rsidP="00AA2A4C">
            <w:pPr>
              <w:pStyle w:val="FP"/>
              <w:tabs>
                <w:tab w:val="left" w:pos="567"/>
              </w:tabs>
              <w:ind w:left="567" w:hanging="567"/>
            </w:pPr>
            <w:r w:rsidRPr="004D0DAA">
              <w:t>….</w:t>
            </w:r>
          </w:p>
          <w:p w14:paraId="5A0E1758"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(N+73 or N+74) mod 2715648</w:t>
            </w:r>
          </w:p>
          <w:p w14:paraId="69A26FF8" w14:textId="77777777" w:rsidR="00711444" w:rsidRPr="004D0DAA" w:rsidRDefault="00711444" w:rsidP="00AA2A4C">
            <w:r w:rsidRPr="004D0DAA">
              <w:t>1 1 1 1</w:t>
            </w:r>
            <w:r w:rsidRPr="004D0DAA">
              <w:tab/>
            </w:r>
            <w:r w:rsidRPr="004D0DAA">
              <w:tab/>
            </w:r>
            <w:r w:rsidRPr="004D0DAA">
              <w:tab/>
              <w:t>In the TDMA frame (N+78) mod 2715648</w:t>
            </w:r>
          </w:p>
          <w:p w14:paraId="17AE779B" w14:textId="77777777" w:rsidR="00711444" w:rsidRPr="004D0DAA" w:rsidRDefault="00711444" w:rsidP="00AA2A4C">
            <w:r w:rsidRPr="004D0DAA">
              <w:t xml:space="preserve">If uplink Coverage Class = CC1 and TIMESLOT_MULTIPLICATOR = 1, the START_FN_FIRST_UL_RLC_DATA_BLOCK field </w:t>
            </w:r>
            <w:r w:rsidRPr="004D0DAA">
              <w:rPr>
                <w:bCs/>
              </w:rPr>
              <w:t>is encoded according to the following table:</w:t>
            </w:r>
          </w:p>
          <w:p w14:paraId="1B2F281D" w14:textId="77777777" w:rsidR="00711444" w:rsidRPr="004D0DAA" w:rsidRDefault="00711444" w:rsidP="00AA2A4C">
            <w:pPr>
              <w:pStyle w:val="FP"/>
              <w:tabs>
                <w:tab w:val="left" w:pos="567"/>
              </w:tabs>
              <w:ind w:left="567" w:hanging="567"/>
            </w:pPr>
            <w:r w:rsidRPr="004D0DAA">
              <w:t>bit</w:t>
            </w:r>
          </w:p>
          <w:p w14:paraId="7B2299DA" w14:textId="77777777" w:rsidR="00711444" w:rsidRPr="004D0DAA" w:rsidRDefault="00711444" w:rsidP="00AA2A4C">
            <w:pPr>
              <w:pStyle w:val="FP"/>
              <w:tabs>
                <w:tab w:val="left" w:pos="567"/>
              </w:tabs>
              <w:ind w:left="567" w:hanging="567"/>
            </w:pPr>
            <w:r w:rsidRPr="004D0DAA">
              <w:t>4 3 2 1</w:t>
            </w:r>
          </w:p>
          <w:p w14:paraId="79753EAC"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21F23DB4"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highest TN in TDMA frame (N+13) mod 2715648</w:t>
            </w:r>
          </w:p>
          <w:p w14:paraId="6535E78C"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lowest TN in TDMA frame (N+17 or N+18) mod 2715648</w:t>
            </w:r>
          </w:p>
          <w:p w14:paraId="6000D8CC"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(N+17 or N+18) mod 2715648</w:t>
            </w:r>
          </w:p>
          <w:p w14:paraId="1B89FC61" w14:textId="77777777" w:rsidR="00711444" w:rsidRPr="004D0DAA" w:rsidRDefault="00711444" w:rsidP="00AA2A4C">
            <w:pPr>
              <w:pStyle w:val="FP"/>
              <w:tabs>
                <w:tab w:val="left" w:pos="567"/>
              </w:tabs>
              <w:ind w:left="567" w:hanging="567"/>
            </w:pPr>
            <w:r w:rsidRPr="004D0DAA">
              <w:t>….</w:t>
            </w:r>
          </w:p>
          <w:p w14:paraId="17A3C8CB"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(N+43 or N+44) mod 2715648</w:t>
            </w:r>
          </w:p>
          <w:p w14:paraId="015AC607" w14:textId="77777777" w:rsidR="00711444" w:rsidRPr="004D0DAA" w:rsidRDefault="00711444" w:rsidP="00AA2A4C">
            <w:r w:rsidRPr="004D0DAA">
              <w:t>1 1 1 1</w:t>
            </w:r>
            <w:r w:rsidRPr="004D0DAA">
              <w:tab/>
            </w:r>
            <w:r w:rsidRPr="004D0DAA">
              <w:tab/>
            </w:r>
            <w:r w:rsidRPr="004D0DAA">
              <w:tab/>
              <w:t>In the timeslot with the highest TN in TDMA frame (N+43 or N+44) mod 2715648</w:t>
            </w:r>
          </w:p>
          <w:p w14:paraId="126BA974" w14:textId="77777777" w:rsidR="00711444" w:rsidRPr="004D0DAA" w:rsidRDefault="00711444" w:rsidP="00AA2A4C">
            <w:r w:rsidRPr="004D0DAA">
              <w:t xml:space="preserve">If uplink Coverage Class = CC1 and TIMESLOT_MULTIPLICATOR = 2, the START_FN_FIRST_UL_RLC_DATA_BLOCK field </w:t>
            </w:r>
            <w:r w:rsidRPr="004D0DAA">
              <w:rPr>
                <w:bCs/>
              </w:rPr>
              <w:t>is encoded according to the following table:</w:t>
            </w:r>
          </w:p>
          <w:p w14:paraId="47506F61" w14:textId="77777777" w:rsidR="00711444" w:rsidRPr="004D0DAA" w:rsidRDefault="00711444" w:rsidP="00AA2A4C">
            <w:pPr>
              <w:pStyle w:val="FP"/>
              <w:tabs>
                <w:tab w:val="left" w:pos="567"/>
              </w:tabs>
              <w:ind w:left="567" w:hanging="567"/>
            </w:pPr>
            <w:r w:rsidRPr="004D0DAA">
              <w:t>bit</w:t>
            </w:r>
          </w:p>
          <w:p w14:paraId="73CDAFF8" w14:textId="77777777" w:rsidR="00711444" w:rsidRPr="004D0DAA" w:rsidRDefault="00711444" w:rsidP="00AA2A4C">
            <w:pPr>
              <w:pStyle w:val="FP"/>
              <w:tabs>
                <w:tab w:val="left" w:pos="567"/>
              </w:tabs>
              <w:ind w:left="567" w:hanging="567"/>
            </w:pPr>
            <w:r w:rsidRPr="004D0DAA">
              <w:t>4 3 2 1</w:t>
            </w:r>
          </w:p>
          <w:p w14:paraId="34E4A971"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434520B4"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4E046C43"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highest TN in TDMA frame (N+13) mod 2715648</w:t>
            </w:r>
          </w:p>
          <w:p w14:paraId="1ABA1C23"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lowest TN in TDMA frame (N+17 or N+18) mod 2715648</w:t>
            </w:r>
          </w:p>
          <w:p w14:paraId="70D61D5D"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613170E5"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(N+17 or N+18) mod 2715648</w:t>
            </w:r>
          </w:p>
          <w:p w14:paraId="40C4E1A0" w14:textId="77777777" w:rsidR="00711444" w:rsidRPr="004D0DAA" w:rsidRDefault="00711444" w:rsidP="00AA2A4C">
            <w:pPr>
              <w:pStyle w:val="FP"/>
              <w:tabs>
                <w:tab w:val="left" w:pos="567"/>
              </w:tabs>
              <w:ind w:left="567" w:hanging="567"/>
            </w:pPr>
            <w:r w:rsidRPr="004D0DAA">
              <w:t>….</w:t>
            </w:r>
          </w:p>
          <w:p w14:paraId="5C108832"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(N+30 or N+31) mod 2715648</w:t>
            </w:r>
          </w:p>
          <w:p w14:paraId="0145D48A" w14:textId="77777777" w:rsidR="00711444" w:rsidRPr="004D0DAA" w:rsidRDefault="00711444" w:rsidP="00AA2A4C">
            <w:r w:rsidRPr="004D0DAA">
              <w:t>1 1 1 1</w:t>
            </w:r>
            <w:r w:rsidRPr="004D0DAA">
              <w:tab/>
            </w:r>
            <w:r w:rsidRPr="004D0DAA">
              <w:tab/>
            </w:r>
            <w:r w:rsidRPr="004D0DAA">
              <w:tab/>
              <w:t>In the timeslot with the lowest TN in TDMA frame (N+34 or N+35) mod 2715648</w:t>
            </w:r>
          </w:p>
          <w:p w14:paraId="6EF75499" w14:textId="77777777" w:rsidR="00711444" w:rsidRPr="004D0DAA" w:rsidRDefault="00711444" w:rsidP="00AA2A4C">
            <w:r w:rsidRPr="004D0DAA">
              <w:t xml:space="preserve">If uplink Coverage Class = CC1 and TIMESLOT_MULTIPLICATOR = 3, the START_FN_FIRST_UL_RLC_DATA_BLOCK field </w:t>
            </w:r>
            <w:r w:rsidRPr="004D0DAA">
              <w:rPr>
                <w:bCs/>
              </w:rPr>
              <w:t>is encoded according to the following table:</w:t>
            </w:r>
          </w:p>
          <w:p w14:paraId="217560B4" w14:textId="77777777" w:rsidR="00711444" w:rsidRPr="004D0DAA" w:rsidRDefault="00711444" w:rsidP="00AA2A4C">
            <w:pPr>
              <w:pStyle w:val="FP"/>
              <w:tabs>
                <w:tab w:val="left" w:pos="567"/>
              </w:tabs>
              <w:ind w:left="567" w:hanging="567"/>
            </w:pPr>
            <w:r w:rsidRPr="004D0DAA">
              <w:t>bit</w:t>
            </w:r>
          </w:p>
          <w:p w14:paraId="2F0BA6CB" w14:textId="77777777" w:rsidR="00711444" w:rsidRPr="004D0DAA" w:rsidRDefault="00711444" w:rsidP="00AA2A4C">
            <w:pPr>
              <w:pStyle w:val="FP"/>
              <w:tabs>
                <w:tab w:val="left" w:pos="567"/>
              </w:tabs>
              <w:ind w:left="567" w:hanging="567"/>
            </w:pPr>
            <w:r w:rsidRPr="004D0DAA">
              <w:t>4 3 2 1</w:t>
            </w:r>
          </w:p>
          <w:p w14:paraId="6D0A8592"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47B32B59"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3F92D22B"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7E95977B"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(N+13) mod 2715648</w:t>
            </w:r>
          </w:p>
          <w:p w14:paraId="4BE13E0C"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lowest TN in TDMA frame (N+17 or N+18) mod 2715648</w:t>
            </w:r>
          </w:p>
          <w:p w14:paraId="1B162FA6"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3D2EAC40" w14:textId="77777777" w:rsidR="00711444" w:rsidRPr="004D0DAA" w:rsidRDefault="00711444" w:rsidP="00AA2A4C">
            <w:pPr>
              <w:pStyle w:val="FP"/>
              <w:tabs>
                <w:tab w:val="left" w:pos="567"/>
              </w:tabs>
              <w:ind w:left="567" w:hanging="567"/>
            </w:pPr>
            <w:r w:rsidRPr="004D0DAA">
              <w:t>….</w:t>
            </w:r>
          </w:p>
          <w:p w14:paraId="4292EEE3"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(N+26) mod 2715648</w:t>
            </w:r>
          </w:p>
          <w:p w14:paraId="19E359ED" w14:textId="77777777" w:rsidR="00711444" w:rsidRPr="004D0DAA" w:rsidRDefault="00711444" w:rsidP="00AA2A4C">
            <w:pPr>
              <w:rPr>
                <w:b/>
                <w:bCs/>
              </w:rPr>
            </w:pPr>
            <w:r w:rsidRPr="004D0DAA">
              <w:t>1 1 1 1</w:t>
            </w:r>
            <w:r w:rsidRPr="004D0DAA">
              <w:tab/>
            </w:r>
            <w:r w:rsidRPr="004D0DAA">
              <w:tab/>
            </w:r>
            <w:r w:rsidRPr="004D0DAA">
              <w:tab/>
              <w:t>In the timeslot with the highest TN in TDMA frame (N+26) mod 2715648</w:t>
            </w:r>
          </w:p>
        </w:tc>
      </w:tr>
      <w:tr w:rsidR="00711444" w:rsidRPr="004D0DAA" w14:paraId="608DB28C" w14:textId="77777777" w:rsidTr="00AA2A4C">
        <w:trPr>
          <w:cantSplit/>
        </w:trPr>
        <w:tc>
          <w:tcPr>
            <w:tcW w:w="9848" w:type="dxa"/>
            <w:tcBorders>
              <w:top w:val="single" w:sz="4" w:space="0" w:color="auto"/>
              <w:left w:val="single" w:sz="4" w:space="0" w:color="auto"/>
              <w:bottom w:val="single" w:sz="4" w:space="0" w:color="auto"/>
              <w:right w:val="single" w:sz="4" w:space="0" w:color="auto"/>
            </w:tcBorders>
          </w:tcPr>
          <w:p w14:paraId="396259EB" w14:textId="77777777" w:rsidR="00711444" w:rsidRPr="004D0DAA" w:rsidRDefault="00711444" w:rsidP="00AA2A4C">
            <w:r w:rsidRPr="004D0DAA">
              <w:lastRenderedPageBreak/>
              <w:t xml:space="preserve">If uplink Coverage Class = CC1 and TIMESLOT_MULTIPLICATOR = 4, the START_FN_FIRST_UL_RLC_DATA_BLOCK field </w:t>
            </w:r>
            <w:r w:rsidRPr="004D0DAA">
              <w:rPr>
                <w:bCs/>
              </w:rPr>
              <w:t>is encoded according to the following table:</w:t>
            </w:r>
          </w:p>
          <w:p w14:paraId="0D205056" w14:textId="77777777" w:rsidR="00711444" w:rsidRPr="004D0DAA" w:rsidRDefault="00711444" w:rsidP="00AA2A4C">
            <w:pPr>
              <w:pStyle w:val="FP"/>
              <w:tabs>
                <w:tab w:val="left" w:pos="567"/>
              </w:tabs>
              <w:ind w:left="567" w:hanging="567"/>
            </w:pPr>
            <w:r w:rsidRPr="004D0DAA">
              <w:t>bit</w:t>
            </w:r>
          </w:p>
          <w:p w14:paraId="2BB69D0E" w14:textId="77777777" w:rsidR="00711444" w:rsidRPr="004D0DAA" w:rsidRDefault="00711444" w:rsidP="00AA2A4C">
            <w:pPr>
              <w:pStyle w:val="FP"/>
              <w:tabs>
                <w:tab w:val="left" w:pos="567"/>
                <w:tab w:val="left" w:pos="3002"/>
              </w:tabs>
              <w:ind w:left="567" w:hanging="567"/>
            </w:pPr>
            <w:r w:rsidRPr="004D0DAA">
              <w:t>4 3 2 1</w:t>
            </w:r>
            <w:r w:rsidRPr="004D0DAA">
              <w:tab/>
            </w:r>
            <w:r w:rsidRPr="004D0DAA">
              <w:tab/>
            </w:r>
          </w:p>
          <w:p w14:paraId="17B3E334"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6B1FEF72"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4331D30A"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6979EC64"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056E964B"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highest TN in TDMA frame (N+13) mod 2715648</w:t>
            </w:r>
          </w:p>
          <w:p w14:paraId="7E88662D"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lowest TN in TDMA frame (N+17 or N+18) mod 2715648</w:t>
            </w:r>
          </w:p>
          <w:p w14:paraId="51C4CF9F" w14:textId="77777777" w:rsidR="00711444" w:rsidRPr="004D0DAA" w:rsidRDefault="00711444" w:rsidP="00AA2A4C">
            <w:pPr>
              <w:pStyle w:val="FP"/>
              <w:tabs>
                <w:tab w:val="left" w:pos="567"/>
              </w:tabs>
              <w:ind w:left="567" w:hanging="567"/>
            </w:pPr>
            <w:r w:rsidRPr="004D0DAA">
              <w:t>….</w:t>
            </w:r>
          </w:p>
          <w:p w14:paraId="065DE999"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(N+21 or N+22) mod 2715648</w:t>
            </w:r>
          </w:p>
          <w:p w14:paraId="5BD73619" w14:textId="77777777" w:rsidR="00711444" w:rsidRPr="004D0DAA" w:rsidRDefault="00711444" w:rsidP="00AA2A4C">
            <w:r w:rsidRPr="004D0DAA">
              <w:t>1 1 1 1</w:t>
            </w:r>
            <w:r w:rsidRPr="004D0DAA">
              <w:tab/>
            </w:r>
            <w:r w:rsidRPr="004D0DAA">
              <w:tab/>
            </w:r>
            <w:r w:rsidRPr="004D0DAA">
              <w:tab/>
              <w:t>In the timeslot with the lowest TN in TDMA frame (N+26) mod 2715648</w:t>
            </w:r>
          </w:p>
          <w:p w14:paraId="6A433AAA" w14:textId="77777777" w:rsidR="00711444" w:rsidRPr="004D0DAA" w:rsidRDefault="00711444" w:rsidP="00AA2A4C">
            <w:r w:rsidRPr="004D0DAA">
              <w:t xml:space="preserve">If uplink Coverage Class = CC1 and TIMESLOT_MULTIPLICATOR = 5, the START_FN_FIRST_UL_RLC_DATA_BLOCK field </w:t>
            </w:r>
            <w:r w:rsidRPr="004D0DAA">
              <w:rPr>
                <w:bCs/>
              </w:rPr>
              <w:t>is encoded according to the following table:</w:t>
            </w:r>
          </w:p>
          <w:p w14:paraId="302E86F1" w14:textId="77777777" w:rsidR="00711444" w:rsidRPr="004D0DAA" w:rsidRDefault="00711444" w:rsidP="00AA2A4C">
            <w:pPr>
              <w:pStyle w:val="FP"/>
              <w:tabs>
                <w:tab w:val="left" w:pos="567"/>
              </w:tabs>
              <w:ind w:left="567" w:hanging="567"/>
            </w:pPr>
            <w:r w:rsidRPr="004D0DAA">
              <w:t>bit</w:t>
            </w:r>
          </w:p>
          <w:p w14:paraId="03FB96B5" w14:textId="77777777" w:rsidR="00711444" w:rsidRPr="004D0DAA" w:rsidRDefault="00711444" w:rsidP="00AA2A4C">
            <w:pPr>
              <w:pStyle w:val="FP"/>
              <w:tabs>
                <w:tab w:val="left" w:pos="567"/>
              </w:tabs>
              <w:ind w:left="567" w:hanging="567"/>
            </w:pPr>
            <w:r w:rsidRPr="004D0DAA">
              <w:t>4 3 2 1</w:t>
            </w:r>
          </w:p>
          <w:p w14:paraId="65D15859"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2B3729D2"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7E4C2ECF"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4BACAD04"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3A7648FF"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66DB309B"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(N+13) mod 2715648</w:t>
            </w:r>
          </w:p>
          <w:p w14:paraId="01E49F93"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lowest TN in TDMA frame (N+17 or N+18) mod 2715648</w:t>
            </w:r>
          </w:p>
          <w:p w14:paraId="3ACA8825" w14:textId="77777777" w:rsidR="00711444" w:rsidRPr="004D0DAA" w:rsidRDefault="00711444" w:rsidP="00AA2A4C">
            <w:pPr>
              <w:pStyle w:val="FP"/>
              <w:tabs>
                <w:tab w:val="left" w:pos="567"/>
              </w:tabs>
              <w:ind w:left="567" w:hanging="567"/>
            </w:pPr>
            <w:r w:rsidRPr="004D0DAA">
              <w:t>….</w:t>
            </w:r>
          </w:p>
          <w:p w14:paraId="06D5C0B3"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(N+21 or N+22) mod 2715648</w:t>
            </w:r>
          </w:p>
          <w:p w14:paraId="514E418F" w14:textId="77777777" w:rsidR="00711444" w:rsidRPr="004D0DAA" w:rsidRDefault="00711444" w:rsidP="00AA2A4C">
            <w:r w:rsidRPr="004D0DAA">
              <w:t>1 1 1 1</w:t>
            </w:r>
            <w:r w:rsidRPr="004D0DAA">
              <w:tab/>
            </w:r>
            <w:r w:rsidRPr="004D0DAA">
              <w:tab/>
            </w:r>
            <w:r w:rsidRPr="004D0DAA">
              <w:tab/>
              <w:t>In the timeslot with the 4</w:t>
            </w:r>
            <w:r w:rsidRPr="004D0DAA">
              <w:rPr>
                <w:vertAlign w:val="superscript"/>
              </w:rPr>
              <w:t>th</w:t>
            </w:r>
            <w:r w:rsidRPr="004D0DAA">
              <w:t xml:space="preserve"> lowest TN in TDMA frame (N+21 or N+22) mod 2715648</w:t>
            </w:r>
          </w:p>
          <w:p w14:paraId="4235DD12" w14:textId="77777777" w:rsidR="00711444" w:rsidRPr="004D0DAA" w:rsidRDefault="00711444" w:rsidP="00AA2A4C">
            <w:r w:rsidRPr="004D0DAA">
              <w:t xml:space="preserve">If uplink Coverage Class = CC1 and TIMESLOT_MULTIPLICATOR = 6, the START_FN_FIRST_UL_RLC_DATA_BLOCK field </w:t>
            </w:r>
            <w:r w:rsidRPr="004D0DAA">
              <w:rPr>
                <w:bCs/>
              </w:rPr>
              <w:t>is encoded according to the following table:</w:t>
            </w:r>
          </w:p>
          <w:p w14:paraId="276ED861" w14:textId="77777777" w:rsidR="00711444" w:rsidRPr="004D0DAA" w:rsidRDefault="00711444" w:rsidP="00AA2A4C">
            <w:pPr>
              <w:pStyle w:val="FP"/>
              <w:tabs>
                <w:tab w:val="left" w:pos="567"/>
              </w:tabs>
              <w:ind w:left="567" w:hanging="567"/>
            </w:pPr>
            <w:r w:rsidRPr="004D0DAA">
              <w:t>bit</w:t>
            </w:r>
          </w:p>
          <w:p w14:paraId="626FB6BC" w14:textId="77777777" w:rsidR="00711444" w:rsidRPr="004D0DAA" w:rsidRDefault="00711444" w:rsidP="00AA2A4C">
            <w:pPr>
              <w:pStyle w:val="FP"/>
              <w:tabs>
                <w:tab w:val="left" w:pos="567"/>
              </w:tabs>
              <w:ind w:left="567" w:hanging="567"/>
            </w:pPr>
            <w:r w:rsidRPr="004D0DAA">
              <w:t>4 3 2 1</w:t>
            </w:r>
          </w:p>
          <w:p w14:paraId="72C23EA8"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20EAB69C"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676C30A6"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3C933010"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75A7B4E5"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3DD3A24A"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7B05B657"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highest TN in TDMA frame (N+13) mod 2715648</w:t>
            </w:r>
          </w:p>
          <w:p w14:paraId="2531100F"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lowest TN in TDMA frame (N+17 or N+18) mod 2715648</w:t>
            </w:r>
          </w:p>
          <w:p w14:paraId="6641CB04" w14:textId="77777777" w:rsidR="00711444" w:rsidRPr="004D0DAA" w:rsidRDefault="00711444" w:rsidP="00AA2A4C">
            <w:pPr>
              <w:pStyle w:val="FP"/>
              <w:tabs>
                <w:tab w:val="left" w:pos="567"/>
              </w:tabs>
              <w:ind w:left="567" w:hanging="567"/>
            </w:pPr>
            <w:r w:rsidRPr="004D0DAA">
              <w:t>….</w:t>
            </w:r>
          </w:p>
          <w:p w14:paraId="051641CE"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(N+21 or N+22) mod 2715648</w:t>
            </w:r>
          </w:p>
          <w:p w14:paraId="41E73E26" w14:textId="77777777" w:rsidR="00711444" w:rsidRPr="004D0DAA" w:rsidRDefault="00711444" w:rsidP="00AA2A4C">
            <w:r w:rsidRPr="004D0DAA">
              <w:t>1 1 1 1</w:t>
            </w:r>
            <w:r w:rsidRPr="004D0DAA">
              <w:tab/>
            </w:r>
            <w:r w:rsidRPr="004D0DAA">
              <w:tab/>
            </w:r>
            <w:r w:rsidRPr="004D0DAA">
              <w:tab/>
              <w:t>In the timeslot with the 2</w:t>
            </w:r>
            <w:r w:rsidRPr="004D0DAA">
              <w:rPr>
                <w:vertAlign w:val="superscript"/>
              </w:rPr>
              <w:t>nd</w:t>
            </w:r>
            <w:r w:rsidRPr="004D0DAA">
              <w:t xml:space="preserve"> lowest TN in TDMA frame (N+21 or N+22) mod 2715648</w:t>
            </w:r>
          </w:p>
          <w:p w14:paraId="5F480820" w14:textId="77777777" w:rsidR="00711444" w:rsidRPr="004D0DAA" w:rsidRDefault="00711444" w:rsidP="00AA2A4C">
            <w:r w:rsidRPr="004D0DAA">
              <w:t xml:space="preserve">If uplink Coverage Class = CC1 and TIMESLOT_MULTIPLICATOR = 7, the START_FN_FIRST_UL_RLC_DATA_BLOCK field </w:t>
            </w:r>
            <w:r w:rsidRPr="004D0DAA">
              <w:rPr>
                <w:bCs/>
              </w:rPr>
              <w:t>is encoded according to the following table:</w:t>
            </w:r>
          </w:p>
          <w:p w14:paraId="696CA909" w14:textId="77777777" w:rsidR="00711444" w:rsidRPr="004D0DAA" w:rsidRDefault="00711444" w:rsidP="00AA2A4C">
            <w:pPr>
              <w:pStyle w:val="FP"/>
              <w:tabs>
                <w:tab w:val="left" w:pos="567"/>
              </w:tabs>
              <w:ind w:left="567" w:hanging="567"/>
            </w:pPr>
            <w:r w:rsidRPr="004D0DAA">
              <w:t>bit</w:t>
            </w:r>
          </w:p>
          <w:p w14:paraId="089DB050" w14:textId="77777777" w:rsidR="00711444" w:rsidRPr="004D0DAA" w:rsidRDefault="00711444" w:rsidP="00AA2A4C">
            <w:pPr>
              <w:pStyle w:val="FP"/>
              <w:tabs>
                <w:tab w:val="left" w:pos="567"/>
              </w:tabs>
              <w:ind w:left="567" w:hanging="567"/>
            </w:pPr>
            <w:r w:rsidRPr="004D0DAA">
              <w:t>4 3 2 1</w:t>
            </w:r>
          </w:p>
          <w:p w14:paraId="2481B213"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1E99418B"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787445A3"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1FA07DBF"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6B04C1DB"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308DD49D"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4C224DCC"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(N+13) mod 2715648</w:t>
            </w:r>
          </w:p>
          <w:p w14:paraId="5B0F5EE1"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highest TN in TDMA frame (N+13) mod 2715648</w:t>
            </w:r>
          </w:p>
          <w:p w14:paraId="77B7BA6C" w14:textId="77777777" w:rsidR="00711444" w:rsidRPr="004D0DAA" w:rsidRDefault="00711444" w:rsidP="00AA2A4C">
            <w:pPr>
              <w:pStyle w:val="FP"/>
              <w:tabs>
                <w:tab w:val="left" w:pos="567"/>
              </w:tabs>
              <w:ind w:left="567" w:hanging="567"/>
            </w:pPr>
            <w:r w:rsidRPr="004D0DAA">
              <w:t>1 0 0 0</w:t>
            </w:r>
            <w:r w:rsidRPr="004D0DAA">
              <w:tab/>
            </w:r>
            <w:r w:rsidRPr="004D0DAA">
              <w:tab/>
            </w:r>
            <w:r w:rsidRPr="004D0DAA">
              <w:tab/>
            </w:r>
            <w:r w:rsidRPr="004D0DAA">
              <w:tab/>
              <w:t>In the timeslot with the lowest TN in TDMA frame (N+17 or N+18) mod 2715648</w:t>
            </w:r>
          </w:p>
          <w:p w14:paraId="5E77B586" w14:textId="77777777" w:rsidR="00711444" w:rsidRPr="004D0DAA" w:rsidRDefault="00711444" w:rsidP="00AA2A4C">
            <w:pPr>
              <w:pStyle w:val="FP"/>
              <w:tabs>
                <w:tab w:val="left" w:pos="567"/>
              </w:tabs>
              <w:ind w:left="567" w:hanging="567"/>
            </w:pPr>
            <w:r w:rsidRPr="004D0DAA">
              <w:t>….</w:t>
            </w:r>
          </w:p>
          <w:p w14:paraId="317BABEC"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(N+17 or N+18) mod 2715648</w:t>
            </w:r>
          </w:p>
          <w:p w14:paraId="707F5931" w14:textId="77777777" w:rsidR="00711444" w:rsidRPr="004D0DAA" w:rsidRDefault="00711444" w:rsidP="00AA2A4C">
            <w:pPr>
              <w:rPr>
                <w:b/>
              </w:rPr>
            </w:pPr>
            <w:r w:rsidRPr="004D0DAA">
              <w:t>1 1 1 1</w:t>
            </w:r>
            <w:r w:rsidRPr="004D0DAA">
              <w:tab/>
            </w:r>
            <w:r w:rsidRPr="004D0DAA">
              <w:tab/>
            </w:r>
            <w:r w:rsidRPr="004D0DAA">
              <w:tab/>
              <w:t>In the timeslot with the highest TN in TDMA frame (N+17 or N+18) mod 2715648</w:t>
            </w:r>
          </w:p>
        </w:tc>
      </w:tr>
      <w:tr w:rsidR="00711444" w:rsidRPr="004D0DAA" w14:paraId="2F0998C8" w14:textId="77777777" w:rsidTr="00AA2A4C">
        <w:trPr>
          <w:cantSplit/>
        </w:trPr>
        <w:tc>
          <w:tcPr>
            <w:tcW w:w="9848" w:type="dxa"/>
            <w:tcBorders>
              <w:top w:val="single" w:sz="4" w:space="0" w:color="auto"/>
              <w:left w:val="single" w:sz="4" w:space="0" w:color="auto"/>
              <w:bottom w:val="single" w:sz="4" w:space="0" w:color="auto"/>
              <w:right w:val="single" w:sz="4" w:space="0" w:color="auto"/>
            </w:tcBorders>
          </w:tcPr>
          <w:p w14:paraId="3707878A" w14:textId="77777777" w:rsidR="00711444" w:rsidRPr="004D0DAA" w:rsidRDefault="00711444" w:rsidP="00AA2A4C">
            <w:r w:rsidRPr="004D0DAA">
              <w:lastRenderedPageBreak/>
              <w:t xml:space="preserve">If uplink Coverage Class = CC3 and the field EC_Reduced_PDCH_Allocation is set to 0 in the EC SYSTEM INFORMATION TYPE 2 message, (see 3GPP TS 44.018) or if uplink Coverage Class = CC2 and the field EC_Reduced_PDCH_Allocation is set to 1, the START_FN_FIRST_UL_RLC_DATA_BLOCK field </w:t>
            </w:r>
            <w:r w:rsidRPr="004D0DAA">
              <w:rPr>
                <w:bCs/>
              </w:rPr>
              <w:t>is encoded according to the following table:</w:t>
            </w:r>
          </w:p>
          <w:p w14:paraId="36E79B71" w14:textId="77777777" w:rsidR="00711444" w:rsidRPr="004D0DAA" w:rsidRDefault="00711444" w:rsidP="00AA2A4C">
            <w:pPr>
              <w:pStyle w:val="FP"/>
              <w:tabs>
                <w:tab w:val="left" w:pos="567"/>
              </w:tabs>
              <w:ind w:left="567" w:hanging="567"/>
            </w:pPr>
            <w:r w:rsidRPr="004D0DAA">
              <w:t>bit</w:t>
            </w:r>
          </w:p>
          <w:p w14:paraId="6E42FD83" w14:textId="77777777" w:rsidR="00711444" w:rsidRPr="004D0DAA" w:rsidRDefault="00711444" w:rsidP="00AA2A4C">
            <w:pPr>
              <w:pStyle w:val="FP"/>
              <w:tabs>
                <w:tab w:val="left" w:pos="567"/>
              </w:tabs>
              <w:ind w:left="567" w:hanging="567"/>
            </w:pPr>
            <w:r w:rsidRPr="004D0DAA">
              <w:t>4 3 2 1</w:t>
            </w:r>
          </w:p>
          <w:p w14:paraId="1B048506"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 or (N+17 or N+18) mod 2715648</w:t>
            </w:r>
          </w:p>
          <w:p w14:paraId="17700987"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(N+21 or N+22) mod 2715648 or (N+26) mod 2715648</w:t>
            </w:r>
          </w:p>
          <w:p w14:paraId="402A4B6C"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(N+30 or N+31) mod 2715648 or (N+34 or N+35) mod 2715648</w:t>
            </w:r>
          </w:p>
          <w:p w14:paraId="319C3DBC"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(N+39) mod 2715648 or (N+43 or N+44) mod 2715648</w:t>
            </w:r>
          </w:p>
          <w:p w14:paraId="51F9246C"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(N+47 or N+48) mod 2715648 or (N+52) mod 2715648</w:t>
            </w:r>
          </w:p>
          <w:p w14:paraId="5DF715E1" w14:textId="77777777" w:rsidR="00711444" w:rsidRPr="004D0DAA" w:rsidRDefault="00711444" w:rsidP="00AA2A4C">
            <w:pPr>
              <w:pStyle w:val="FP"/>
              <w:tabs>
                <w:tab w:val="left" w:pos="567"/>
              </w:tabs>
              <w:ind w:left="567" w:hanging="567"/>
            </w:pPr>
            <w:r w:rsidRPr="004D0DAA">
              <w:t>….</w:t>
            </w:r>
          </w:p>
          <w:p w14:paraId="6B0F3FFD"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(N+134 or N+135) mod 2715648 or (N+138 or N+139) mod 2715648</w:t>
            </w:r>
          </w:p>
          <w:p w14:paraId="4316B24A" w14:textId="77777777" w:rsidR="00711444" w:rsidRPr="004D0DAA" w:rsidRDefault="00711444" w:rsidP="00AA2A4C">
            <w:r w:rsidRPr="004D0DAA">
              <w:t>1 1 1 1</w:t>
            </w:r>
            <w:r w:rsidRPr="004D0DAA">
              <w:tab/>
            </w:r>
            <w:r w:rsidRPr="004D0DAA">
              <w:tab/>
            </w:r>
            <w:r w:rsidRPr="004D0DAA">
              <w:tab/>
              <w:t>In the TDMA frame (N+143) mod 2715648 or (N+147 or N+148) mod 2715648</w:t>
            </w:r>
          </w:p>
          <w:p w14:paraId="58C29194" w14:textId="77777777" w:rsidR="00711444" w:rsidRPr="004D0DAA" w:rsidRDefault="00711444" w:rsidP="00AA2A4C">
            <w:r w:rsidRPr="004D0DAA">
              <w:t xml:space="preserve">If uplink Coverage Class = CC4 and the field EC_Reduced_PDCH_Allocation is set to 0 in the EC SYSTEM INFORMATION TYPE 2 message, (see 3GPP TS 44.018) or if uplink Coverage Class = CC3 and the field EC_Reduced_PDCH_Allocation is set to 1, the START_FN_FIRST_UL_RLC_DATA_BLOCK field </w:t>
            </w:r>
            <w:r w:rsidRPr="004D0DAA">
              <w:rPr>
                <w:bCs/>
              </w:rPr>
              <w:t>is encoded according to the following table:</w:t>
            </w:r>
          </w:p>
          <w:p w14:paraId="3B57CCA8" w14:textId="77777777" w:rsidR="00711444" w:rsidRPr="004D0DAA" w:rsidRDefault="00711444" w:rsidP="00AA2A4C">
            <w:pPr>
              <w:pStyle w:val="FP"/>
              <w:ind w:left="1418" w:hanging="1418"/>
            </w:pPr>
            <w:r w:rsidRPr="004D0DAA">
              <w:t>bit</w:t>
            </w:r>
          </w:p>
          <w:p w14:paraId="32532678" w14:textId="77777777" w:rsidR="00711444" w:rsidRPr="004D0DAA" w:rsidRDefault="00711444" w:rsidP="00AA2A4C">
            <w:pPr>
              <w:pStyle w:val="FP"/>
              <w:ind w:left="1418" w:hanging="1418"/>
            </w:pPr>
            <w:r w:rsidRPr="004D0DAA">
              <w:t>4 3 2 1</w:t>
            </w:r>
          </w:p>
          <w:p w14:paraId="3AF7907A"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w:t>
            </w:r>
          </w:p>
          <w:p w14:paraId="466E6BB7" w14:textId="77777777" w:rsidR="00711444" w:rsidRPr="004D0DAA" w:rsidRDefault="00711444" w:rsidP="00AA2A4C">
            <w:pPr>
              <w:pStyle w:val="FP"/>
              <w:ind w:left="1418" w:hanging="1418"/>
            </w:pPr>
            <w:r w:rsidRPr="004D0DAA">
              <w:t>0 0 0 1</w:t>
            </w:r>
            <w:r w:rsidRPr="004D0DAA">
              <w:tab/>
              <w:t>In the TDMA frame (N+30 or N+31) mod 2715648 or (N+34 or N+35) mod 2715648 or (N+39) mod 2715648 or (N+43 or N+44) mod 2715648</w:t>
            </w:r>
          </w:p>
          <w:p w14:paraId="15272BB1" w14:textId="77777777" w:rsidR="00711444" w:rsidRPr="004D0DAA" w:rsidRDefault="00711444" w:rsidP="00AA2A4C">
            <w:pPr>
              <w:pStyle w:val="FP"/>
              <w:ind w:left="1418" w:hanging="1418"/>
            </w:pPr>
            <w:r w:rsidRPr="004D0DAA">
              <w:t>0 0 1 0</w:t>
            </w:r>
            <w:r w:rsidRPr="004D0DAA">
              <w:tab/>
              <w:t>In the TDMA frame (N+47 or N+48) mod 2715648 or (N+52) mod 2715648 or (N+56 or N+57) mod 2715648 or (N+60 or N+61) mod 2715648</w:t>
            </w:r>
          </w:p>
          <w:p w14:paraId="1AC3E179" w14:textId="77777777" w:rsidR="00711444" w:rsidRPr="004D0DAA" w:rsidRDefault="00711444" w:rsidP="00AA2A4C">
            <w:pPr>
              <w:pStyle w:val="FP"/>
              <w:ind w:left="1418" w:hanging="1418"/>
            </w:pPr>
            <w:r w:rsidRPr="004D0DAA">
              <w:t>0 0 1 1</w:t>
            </w:r>
            <w:r w:rsidRPr="004D0DAA">
              <w:tab/>
              <w:t>In the TDMA frame (N+65) mod 2715648 or (N+69 or N+70) mod 2715648 or (N+73 or N+74) mod 2715648 or (N+78) mod 2715648</w:t>
            </w:r>
          </w:p>
          <w:p w14:paraId="67AD8CF6" w14:textId="77777777" w:rsidR="00711444" w:rsidRPr="004D0DAA" w:rsidRDefault="00711444" w:rsidP="00AA2A4C">
            <w:pPr>
              <w:pStyle w:val="FP"/>
              <w:ind w:left="1418" w:hanging="1418"/>
            </w:pPr>
            <w:r w:rsidRPr="004D0DAA">
              <w:t>0 1 0 0</w:t>
            </w:r>
            <w:r w:rsidRPr="004D0DAA">
              <w:tab/>
              <w:t>In the TDMA frame (N+82 or N+83) mod 2715648 or (N+86 or N+87) mod 2715648 or (N+91) mod 2715648 or (N+95 or N+96) mod 2715648</w:t>
            </w:r>
          </w:p>
          <w:p w14:paraId="0805A771" w14:textId="77777777" w:rsidR="00711444" w:rsidRPr="004D0DAA" w:rsidRDefault="00711444" w:rsidP="00AA2A4C">
            <w:pPr>
              <w:pStyle w:val="FP"/>
              <w:ind w:left="1418" w:hanging="1418"/>
            </w:pPr>
            <w:r w:rsidRPr="004D0DAA">
              <w:t>….</w:t>
            </w:r>
          </w:p>
          <w:p w14:paraId="5BF54702" w14:textId="77777777" w:rsidR="00711444" w:rsidRPr="004D0DAA" w:rsidRDefault="00711444" w:rsidP="00AA2A4C">
            <w:pPr>
              <w:pStyle w:val="FP"/>
              <w:ind w:left="1418" w:hanging="1418"/>
            </w:pPr>
            <w:r w:rsidRPr="004D0DAA">
              <w:t>1 1 1 0</w:t>
            </w:r>
            <w:r w:rsidRPr="004D0DAA">
              <w:tab/>
              <w:t>In the TDMA frame (N+255 or N+256) mod 2715648 or (N+260) mod 2715648 or (N+264 or N+265) mod 2715648 or (N+268 or N+269) mod 2715648</w:t>
            </w:r>
          </w:p>
          <w:p w14:paraId="6BB1F0F7" w14:textId="77777777" w:rsidR="00711444" w:rsidRPr="004D0DAA" w:rsidRDefault="00711444" w:rsidP="00AA2A4C">
            <w:pPr>
              <w:pStyle w:val="FP"/>
              <w:ind w:left="1418" w:hanging="1418"/>
            </w:pPr>
            <w:r w:rsidRPr="004D0DAA">
              <w:t>1 1 1 1</w:t>
            </w:r>
            <w:r w:rsidRPr="004D0DAA">
              <w:tab/>
              <w:t>In the TDMA frame (N+273) mod 2715648 or (N+277 or N+278) mod 2715648 or (N+281 or N+282) mod 2715648 or (N+286) mod 2715648</w:t>
            </w:r>
          </w:p>
          <w:p w14:paraId="24761A62" w14:textId="77777777" w:rsidR="00711444" w:rsidRPr="004D0DAA" w:rsidRDefault="00711444" w:rsidP="00AA2A4C">
            <w:pPr>
              <w:pStyle w:val="FP"/>
              <w:ind w:left="1418" w:hanging="1418"/>
              <w:rPr>
                <w:b/>
              </w:rPr>
            </w:pPr>
          </w:p>
          <w:p w14:paraId="61DEF5BF" w14:textId="77777777" w:rsidR="00711444" w:rsidRPr="004D0DAA" w:rsidRDefault="00711444" w:rsidP="00AA2A4C">
            <w:pPr>
              <w:pStyle w:val="FP"/>
            </w:pPr>
            <w:r w:rsidRPr="004D0DAA">
              <w:t>If uplink Coverage Class = CC4 and the field EC_Reduced_PDCH_Allocation is set to 1 in the EC SYSTEM INFORMATION TYPE 2 message, (see 3GPP TS 44.018), the START_FN_FIRST_UL_RLC_DATA_BLOCK field is encoded according to the following table:</w:t>
            </w:r>
          </w:p>
          <w:p w14:paraId="4186798D" w14:textId="77777777" w:rsidR="00711444" w:rsidRPr="004D0DAA" w:rsidRDefault="00711444" w:rsidP="00AA2A4C">
            <w:pPr>
              <w:pStyle w:val="FP"/>
            </w:pPr>
          </w:p>
          <w:p w14:paraId="5EF1F5E8" w14:textId="77777777" w:rsidR="00711444" w:rsidRPr="004D0DAA" w:rsidRDefault="00711444" w:rsidP="00AA2A4C">
            <w:pPr>
              <w:pStyle w:val="FP"/>
              <w:ind w:left="1418" w:hanging="1418"/>
            </w:pPr>
            <w:r w:rsidRPr="004D0DAA">
              <w:t>bit</w:t>
            </w:r>
          </w:p>
          <w:p w14:paraId="03739D67" w14:textId="77777777" w:rsidR="00711444" w:rsidRPr="004D0DAA" w:rsidRDefault="00711444" w:rsidP="00AA2A4C">
            <w:pPr>
              <w:pStyle w:val="FP"/>
              <w:ind w:left="1418" w:hanging="1418"/>
            </w:pPr>
            <w:r w:rsidRPr="004D0DAA">
              <w:t>4 3 2 1</w:t>
            </w:r>
          </w:p>
          <w:p w14:paraId="056A1CE9"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 or (N+30 or N+31) mod 2715648 or (N+34 or N+35) mod 2715648  or (N+39) mod 2715648 or (N+43 or N+44) mod 2715648</w:t>
            </w:r>
          </w:p>
          <w:p w14:paraId="52E3DBBA" w14:textId="77777777" w:rsidR="00711444" w:rsidRPr="004D0DAA" w:rsidRDefault="00711444" w:rsidP="00AA2A4C">
            <w:pPr>
              <w:pStyle w:val="FP"/>
              <w:ind w:left="1418" w:hanging="1418"/>
            </w:pPr>
            <w:r w:rsidRPr="004D0DAA">
              <w:t>0 0 0 1</w:t>
            </w:r>
            <w:r w:rsidRPr="004D0DAA">
              <w:tab/>
              <w:t>In the TDMA frame (N+47 or N+48) mod 2715648 or (N+52) mod 2715648 or (N+56 or N+57) mod      2715648 or (N+60 or N+61) mod 715648 or (N+65) mod 2715648 or (N+69 or N+70) mod 2715648 or (N+73 or N+74) mod 2715648 or (N+78) mod 2715648</w:t>
            </w:r>
          </w:p>
          <w:p w14:paraId="0A715A8C" w14:textId="77777777" w:rsidR="00711444" w:rsidRPr="004D0DAA" w:rsidRDefault="00711444" w:rsidP="00AA2A4C">
            <w:pPr>
              <w:pStyle w:val="FP"/>
              <w:ind w:left="1418" w:hanging="1418"/>
            </w:pPr>
            <w:r w:rsidRPr="004D0DAA">
              <w:t>0 0 1 0</w:t>
            </w:r>
            <w:r w:rsidRPr="004D0DAA">
              <w:tab/>
              <w:t>In the TDMA frame (N+82 or N+83) mod 2715648 or (N+86 or N+87) mod 2715648 or (N+91) mod 2715648 or (N+95 or N+96) mod 715648 or (N+99 or N+100) mod 2715648 or (N+104) mod 2715648 or (N+108 or N+109) mod 2715648 or (N+112 or N+113) mod 2715648</w:t>
            </w:r>
          </w:p>
          <w:p w14:paraId="39AB5685" w14:textId="77777777" w:rsidR="00711444" w:rsidRPr="004D0DAA" w:rsidRDefault="00711444" w:rsidP="00AA2A4C">
            <w:pPr>
              <w:pStyle w:val="FP"/>
              <w:ind w:left="1418" w:hanging="1418"/>
            </w:pPr>
            <w:r w:rsidRPr="004D0DAA">
              <w:t>0 0 1 1</w:t>
            </w:r>
            <w:r w:rsidRPr="004D0DAA">
              <w:tab/>
              <w:t>In the TDMA frame (N+117) mod 2715648 or (N+121 or N+122) mod 2715648 or (N+125 or N+126) mod 2715648 or (N+130) mod 2715648 or (N+134 or N+135) mod 2715648 or (N+138 or N+139) mod 2715648 or (N+143) mod 2715648 or (N+147 or N+148) mod 2715648</w:t>
            </w:r>
          </w:p>
          <w:p w14:paraId="7D2305DA" w14:textId="77777777" w:rsidR="00711444" w:rsidRPr="004D0DAA" w:rsidRDefault="00711444" w:rsidP="00AA2A4C">
            <w:pPr>
              <w:pStyle w:val="FP"/>
              <w:ind w:left="1418" w:hanging="1418"/>
            </w:pPr>
            <w:r w:rsidRPr="004D0DAA">
              <w:t>0 1 0 0</w:t>
            </w:r>
            <w:r w:rsidRPr="004D0DAA">
              <w:tab/>
              <w:t>In the TDMA frame (N+151 or N+152) mod 2715648 or (N+156) mod 2715648 or (N+160 or N+161) mod 2715648 or (N+164 or N+165) mod 2715648 or (N+169) mod 2715648 or (N+173 or N+174) mod 2715648 or (N+177 or N+178) mod 2715648 or (N+182) mod 2715648</w:t>
            </w:r>
          </w:p>
          <w:p w14:paraId="43A47EB8" w14:textId="77777777" w:rsidR="00711444" w:rsidRPr="004D0DAA" w:rsidRDefault="00711444" w:rsidP="00AA2A4C">
            <w:pPr>
              <w:pStyle w:val="FP"/>
              <w:ind w:left="1418" w:hanging="1418"/>
            </w:pPr>
            <w:r w:rsidRPr="004D0DAA">
              <w:t>….</w:t>
            </w:r>
          </w:p>
          <w:p w14:paraId="189E42DF" w14:textId="77777777" w:rsidR="00711444" w:rsidRPr="004D0DAA" w:rsidRDefault="00711444" w:rsidP="00AA2A4C">
            <w:pPr>
              <w:pStyle w:val="FP"/>
              <w:ind w:left="1418" w:hanging="1418"/>
            </w:pPr>
            <w:r w:rsidRPr="004D0DAA">
              <w:t>1 1 1 0</w:t>
            </w:r>
            <w:r w:rsidRPr="004D0DAA">
              <w:tab/>
              <w:t>In the TDMA frame (N+464 or N+465) mod 2715648 or (N+468) mod 2715648 or (N+472 or N+473) mod 2715648 or (N+477 or N+478) mod 2715648 or (N+481) mod 2715648 or (N+485 or N+486) mod 2715648 or (N+490 or N+491) mod 2715648 or (N+494) mod 2715648</w:t>
            </w:r>
          </w:p>
          <w:p w14:paraId="0A781951" w14:textId="77777777" w:rsidR="00711444" w:rsidRPr="004D0DAA" w:rsidRDefault="00711444" w:rsidP="00AA2A4C">
            <w:pPr>
              <w:pStyle w:val="FP"/>
              <w:ind w:left="1418" w:hanging="1418"/>
            </w:pPr>
            <w:r w:rsidRPr="004D0DAA">
              <w:t xml:space="preserve">1 1 1 1            </w:t>
            </w:r>
            <w:r w:rsidRPr="004D0DAA">
              <w:tab/>
              <w:t>In the TDMA frame (N+498 or N+499) mod 2715648 or (N+503 or N+504) mod 2715648 or (N+507) mod 2715648 or (N+511 or N+512) mod 2715648 or (N+516 or N+517) mod 2715648 or (N+520) mod 2715648 or (N+524 or N+525) mod 2715648 or (N+529 or N+530) mod 2715648</w:t>
            </w:r>
          </w:p>
          <w:p w14:paraId="3C6FE3A9" w14:textId="77777777" w:rsidR="00711444" w:rsidRPr="004D0DAA" w:rsidRDefault="00711444" w:rsidP="00AA2A4C">
            <w:pPr>
              <w:spacing w:before="120"/>
              <w:rPr>
                <w:bCs/>
              </w:rPr>
            </w:pPr>
            <w:r w:rsidRPr="004D0DAA">
              <w:t xml:space="preserve">If uplink Coverage Class = CC5, the START_FN_FIRST_UL_RLC_DATA_BLOCK field </w:t>
            </w:r>
            <w:r w:rsidRPr="004D0DAA">
              <w:rPr>
                <w:bCs/>
              </w:rPr>
              <w:t>is encoded according to the following table:</w:t>
            </w:r>
          </w:p>
          <w:p w14:paraId="2B7D9CD1" w14:textId="77777777" w:rsidR="00711444" w:rsidRPr="004D0DAA" w:rsidRDefault="00711444" w:rsidP="00AA2A4C">
            <w:pPr>
              <w:pStyle w:val="FP"/>
            </w:pPr>
            <w:r w:rsidRPr="004D0DAA">
              <w:t>If uplink Coverage Class = CC5 and the field EC_Reduced_PDCH_Allocation is set to 0 in the EC SYSTEM INFORMATION TYPE 2 message, (see 3GPP TS 44.018), the START_FN_FIRST_UL_RLC_DATA_BLOCK field is encoded according to the following table:</w:t>
            </w:r>
          </w:p>
          <w:p w14:paraId="0CF5D047" w14:textId="77777777" w:rsidR="00711444" w:rsidRPr="004D0DAA" w:rsidRDefault="00711444" w:rsidP="00AA2A4C">
            <w:pPr>
              <w:pStyle w:val="FP"/>
            </w:pPr>
          </w:p>
          <w:p w14:paraId="4D43D8CF" w14:textId="77777777" w:rsidR="00711444" w:rsidRPr="004D0DAA" w:rsidRDefault="00711444" w:rsidP="00AA2A4C">
            <w:pPr>
              <w:pStyle w:val="FP"/>
              <w:ind w:left="1418" w:hanging="1418"/>
            </w:pPr>
            <w:r w:rsidRPr="004D0DAA">
              <w:t xml:space="preserve">0 0 0 0 </w:t>
            </w:r>
            <w:r w:rsidRPr="004D0DAA">
              <w:tab/>
              <w:t>The 1</w:t>
            </w:r>
            <w:r w:rsidRPr="004D0DAA">
              <w:rPr>
                <w:vertAlign w:val="superscript"/>
              </w:rPr>
              <w:t>st</w:t>
            </w:r>
            <w:r w:rsidRPr="004D0DAA">
              <w:t xml:space="preserve"> uplink 52-multiframe occurring after the downlink 52-multiframe used to send the last blind physical layer transmission of this EC PACKET UPLINK ACK/NACK message</w:t>
            </w:r>
          </w:p>
          <w:p w14:paraId="3EE14CB3" w14:textId="77777777" w:rsidR="00711444" w:rsidRPr="004D0DAA" w:rsidRDefault="00711444" w:rsidP="00AA2A4C">
            <w:pPr>
              <w:pStyle w:val="FP"/>
              <w:ind w:left="1418" w:hanging="1418"/>
            </w:pPr>
            <w:r w:rsidRPr="004D0DAA">
              <w:t xml:space="preserve">0 0 0 1 </w:t>
            </w:r>
            <w:r w:rsidRPr="004D0DAA">
              <w:tab/>
              <w:t>The 2</w:t>
            </w:r>
            <w:r w:rsidRPr="004D0DAA">
              <w:rPr>
                <w:vertAlign w:val="superscript"/>
              </w:rPr>
              <w:t>nd</w:t>
            </w:r>
            <w:r w:rsidRPr="004D0DAA">
              <w:t xml:space="preserve"> uplink 52-multiframe occurring after the downlink 52-multiframe used to send the last blind physical layer transmission of this EC PACKET UPLINK ACK/NACK message</w:t>
            </w:r>
          </w:p>
          <w:p w14:paraId="64483E26" w14:textId="77777777" w:rsidR="00711444" w:rsidRPr="004D0DAA" w:rsidRDefault="00711444" w:rsidP="00AA2A4C">
            <w:pPr>
              <w:pStyle w:val="FP"/>
              <w:ind w:left="1418" w:hanging="1418"/>
            </w:pPr>
            <w:r w:rsidRPr="004D0DAA">
              <w:t>….</w:t>
            </w:r>
          </w:p>
          <w:p w14:paraId="428530D0" w14:textId="77777777" w:rsidR="00711444" w:rsidRPr="004D0DAA" w:rsidRDefault="00711444" w:rsidP="00AA2A4C">
            <w:pPr>
              <w:pStyle w:val="FP"/>
              <w:ind w:left="1418" w:hanging="1418"/>
            </w:pPr>
          </w:p>
          <w:p w14:paraId="0AAE82D1" w14:textId="77777777" w:rsidR="00711444" w:rsidRPr="004D0DAA" w:rsidRDefault="00711444" w:rsidP="00AA2A4C">
            <w:pPr>
              <w:pStyle w:val="FP"/>
              <w:ind w:left="1418" w:hanging="1418"/>
            </w:pPr>
            <w:r w:rsidRPr="004D0DAA">
              <w:t xml:space="preserve">0 1 1 1 </w:t>
            </w:r>
            <w:r w:rsidRPr="004D0DAA">
              <w:tab/>
              <w:t>The 8</w:t>
            </w:r>
            <w:r w:rsidRPr="004D0DAA">
              <w:rPr>
                <w:vertAlign w:val="superscript"/>
              </w:rPr>
              <w:t>th</w:t>
            </w:r>
            <w:r w:rsidRPr="004D0DAA">
              <w:t xml:space="preserve"> uplink 52-multiframe occurring after the downlink 52-multiframe used to send the last blind physical layer transmission of this EC PACKET UPLINK ACK/NACK message</w:t>
            </w:r>
          </w:p>
          <w:p w14:paraId="63DD4AF0" w14:textId="77777777" w:rsidR="00711444" w:rsidRPr="004D0DAA" w:rsidRDefault="00711444" w:rsidP="00AA2A4C">
            <w:pPr>
              <w:pStyle w:val="FP"/>
              <w:ind w:left="1418" w:hanging="1418"/>
            </w:pPr>
            <w:r w:rsidRPr="004D0DAA">
              <w:t>1 0 0 0 to 1111     Not Applicable</w:t>
            </w:r>
          </w:p>
          <w:p w14:paraId="3B90D02D" w14:textId="77777777" w:rsidR="00711444" w:rsidRPr="004D0DAA" w:rsidRDefault="00711444" w:rsidP="00AA2A4C">
            <w:pPr>
              <w:pStyle w:val="FP"/>
              <w:ind w:left="1418" w:hanging="1418"/>
            </w:pPr>
          </w:p>
          <w:p w14:paraId="3D8F12E8" w14:textId="77777777" w:rsidR="00711444" w:rsidRPr="004D0DAA" w:rsidRDefault="00711444" w:rsidP="00AA2A4C">
            <w:pPr>
              <w:pStyle w:val="FP"/>
            </w:pPr>
            <w:r w:rsidRPr="004D0DAA">
              <w:t>If uplink Coverage Class = CC5 and the field EC_Reduced_PDCH_Allocation is set to 1 the START_FN_FIRST_UL_RLC_DATA_BLOCK field is encoded according to the following table:</w:t>
            </w:r>
          </w:p>
          <w:p w14:paraId="34D52FD7" w14:textId="77777777" w:rsidR="00711444" w:rsidRPr="004D0DAA" w:rsidRDefault="00711444" w:rsidP="00AA2A4C">
            <w:pPr>
              <w:pStyle w:val="FP"/>
            </w:pPr>
          </w:p>
          <w:p w14:paraId="7199119C" w14:textId="77777777" w:rsidR="00711444" w:rsidRPr="004D0DAA" w:rsidRDefault="00711444" w:rsidP="00AA2A4C">
            <w:pPr>
              <w:pStyle w:val="FP"/>
              <w:ind w:left="1418" w:hanging="1418"/>
            </w:pPr>
            <w:r w:rsidRPr="004D0DAA">
              <w:t xml:space="preserve">0 0 0 0 </w:t>
            </w:r>
            <w:r w:rsidRPr="004D0DAA">
              <w:tab/>
              <w:t>The 1</w:t>
            </w:r>
            <w:r w:rsidRPr="004D0DAA">
              <w:rPr>
                <w:vertAlign w:val="superscript"/>
              </w:rPr>
              <w:t>st</w:t>
            </w:r>
            <w:r w:rsidRPr="004D0DAA">
              <w:t xml:space="preserve"> pair of uplink 52-multiframes occurring after the downlink 52-multiframe used to send the last blind physical layer transmission of this EC PACKET UPLINK ACK/NACK message</w:t>
            </w:r>
          </w:p>
          <w:p w14:paraId="18458AF4" w14:textId="77777777" w:rsidR="00711444" w:rsidRPr="004D0DAA" w:rsidRDefault="00711444" w:rsidP="00AA2A4C">
            <w:pPr>
              <w:pStyle w:val="FP"/>
              <w:ind w:left="1418" w:hanging="1418"/>
            </w:pPr>
            <w:r w:rsidRPr="004D0DAA">
              <w:t xml:space="preserve">0 0 0 1 </w:t>
            </w:r>
            <w:r w:rsidRPr="004D0DAA">
              <w:tab/>
              <w:t>The 2</w:t>
            </w:r>
            <w:r w:rsidRPr="004D0DAA">
              <w:rPr>
                <w:vertAlign w:val="superscript"/>
              </w:rPr>
              <w:t>nd</w:t>
            </w:r>
            <w:r w:rsidRPr="004D0DAA">
              <w:t xml:space="preserve"> pair of uplink 52-multiframes occurring after the downlink 52-multiframe used to send the last blind physical layer transmission of this EC PACKET UPLINK ACK/NACK message</w:t>
            </w:r>
          </w:p>
          <w:p w14:paraId="3EF08117" w14:textId="77777777" w:rsidR="00711444" w:rsidRPr="004D0DAA" w:rsidRDefault="00711444" w:rsidP="00AA2A4C">
            <w:pPr>
              <w:pStyle w:val="FP"/>
              <w:ind w:left="1418" w:hanging="1418"/>
            </w:pPr>
            <w:r w:rsidRPr="004D0DAA">
              <w:t>….</w:t>
            </w:r>
          </w:p>
          <w:p w14:paraId="2B953004" w14:textId="77777777" w:rsidR="00711444" w:rsidRPr="004D0DAA" w:rsidRDefault="00711444" w:rsidP="00AA2A4C">
            <w:pPr>
              <w:pStyle w:val="FP"/>
              <w:ind w:left="1418" w:hanging="1418"/>
            </w:pPr>
          </w:p>
          <w:p w14:paraId="155FC912" w14:textId="77777777" w:rsidR="00711444" w:rsidRPr="004D0DAA" w:rsidRDefault="00711444" w:rsidP="00AA2A4C">
            <w:pPr>
              <w:pStyle w:val="FP"/>
              <w:ind w:left="1418" w:hanging="1418"/>
            </w:pPr>
            <w:r w:rsidRPr="004D0DAA">
              <w:t xml:space="preserve">0 1 1 1 </w:t>
            </w:r>
            <w:r w:rsidRPr="004D0DAA">
              <w:tab/>
              <w:t>The 8</w:t>
            </w:r>
            <w:r w:rsidRPr="004D0DAA">
              <w:rPr>
                <w:vertAlign w:val="superscript"/>
              </w:rPr>
              <w:t>th</w:t>
            </w:r>
            <w:r w:rsidRPr="004D0DAA">
              <w:t xml:space="preserve"> pair of uplink 52-multiframes occurring after the downlink 52-multiframe used to send the last blind physical layer transmission of this EC PACKET UPLINK ACK/NACK message</w:t>
            </w:r>
          </w:p>
          <w:p w14:paraId="16B1732F" w14:textId="77777777" w:rsidR="00711444" w:rsidRPr="004D0DAA" w:rsidRDefault="00711444" w:rsidP="00AA2A4C">
            <w:pPr>
              <w:pStyle w:val="FP"/>
              <w:ind w:left="1418" w:hanging="1418"/>
            </w:pPr>
            <w:r w:rsidRPr="004D0DAA">
              <w:t>1 0 0 0 to 1111     Not Applicable</w:t>
            </w:r>
          </w:p>
          <w:p w14:paraId="309C9C08" w14:textId="77777777" w:rsidR="00711444" w:rsidRPr="004D0DAA" w:rsidRDefault="00711444" w:rsidP="00AA2A4C">
            <w:pPr>
              <w:pStyle w:val="FP"/>
              <w:ind w:left="1418" w:hanging="1418"/>
            </w:pPr>
          </w:p>
          <w:p w14:paraId="031A9D1A" w14:textId="77777777" w:rsidR="00711444" w:rsidRPr="004D0DAA" w:rsidRDefault="00711444" w:rsidP="00AA2A4C">
            <w:pPr>
              <w:pStyle w:val="FP"/>
              <w:ind w:left="1418" w:hanging="1418"/>
              <w:rPr>
                <w:b/>
              </w:rPr>
            </w:pPr>
          </w:p>
        </w:tc>
      </w:tr>
      <w:tr w:rsidR="00711444" w:rsidRPr="004D0DAA" w14:paraId="45DC0217" w14:textId="77777777" w:rsidTr="00AA2A4C">
        <w:trPr>
          <w:cantSplit/>
        </w:trPr>
        <w:tc>
          <w:tcPr>
            <w:tcW w:w="9848" w:type="dxa"/>
            <w:tcBorders>
              <w:top w:val="single" w:sz="4" w:space="0" w:color="auto"/>
              <w:left w:val="single" w:sz="4" w:space="0" w:color="auto"/>
              <w:bottom w:val="single" w:sz="4" w:space="0" w:color="auto"/>
              <w:right w:val="single" w:sz="4" w:space="0" w:color="auto"/>
            </w:tcBorders>
          </w:tcPr>
          <w:p w14:paraId="1E36FC30" w14:textId="77777777" w:rsidR="00711444" w:rsidRPr="004D0DAA" w:rsidRDefault="00711444" w:rsidP="00AA2A4C">
            <w:r w:rsidRPr="004D0DAA">
              <w:rPr>
                <w:b/>
              </w:rPr>
              <w:lastRenderedPageBreak/>
              <w:t xml:space="preserve">DELAY_NEXT_UL_RLC_DATA_BLOCK </w:t>
            </w:r>
            <w:r w:rsidRPr="004D0DAA">
              <w:t>(3 bit field)</w:t>
            </w:r>
            <w:r w:rsidRPr="004D0DAA">
              <w:br/>
              <w:t>This field indicates the position of the next allocated RLC Data block in the fixed uplink allocation. The position is calculated as the number of transmission opportunities from the previous uplink allocation, according to the assigned UL_COVERAGE_CLASS and TIMESLOT_MULTIPLICATOR, where the next uplink allocation for the mobile station is placed and where the mobile station thus shall transmit the next UL RLC data block. In the transmission opportunity or opportunities between the previous uplink allocation and this allocation the mobile station is not allocated any resource, and shall thus not transmit.</w:t>
            </w:r>
          </w:p>
          <w:p w14:paraId="3E758B83" w14:textId="77777777" w:rsidR="00711444" w:rsidRPr="004D0DAA" w:rsidRDefault="00711444" w:rsidP="00AA2A4C">
            <w:r w:rsidRPr="004D0DAA">
              <w:t xml:space="preserve">This field </w:t>
            </w:r>
            <w:r w:rsidRPr="004D0DAA">
              <w:rPr>
                <w:bCs/>
              </w:rPr>
              <w:t>is encoded according to the following table:</w:t>
            </w:r>
          </w:p>
          <w:p w14:paraId="3E7604C5" w14:textId="77777777" w:rsidR="00711444" w:rsidRPr="004D0DAA" w:rsidRDefault="00711444" w:rsidP="00AA2A4C">
            <w:pPr>
              <w:pStyle w:val="FP"/>
              <w:tabs>
                <w:tab w:val="left" w:pos="567"/>
              </w:tabs>
              <w:ind w:left="567" w:hanging="567"/>
            </w:pPr>
            <w:r w:rsidRPr="004D0DAA">
              <w:t>bit</w:t>
            </w:r>
          </w:p>
          <w:p w14:paraId="50A1CDC9" w14:textId="77777777" w:rsidR="00711444" w:rsidRPr="004D0DAA" w:rsidRDefault="00711444" w:rsidP="00AA2A4C">
            <w:pPr>
              <w:pStyle w:val="FP"/>
              <w:tabs>
                <w:tab w:val="left" w:pos="567"/>
              </w:tabs>
              <w:ind w:left="567" w:hanging="567"/>
            </w:pPr>
            <w:r w:rsidRPr="004D0DAA">
              <w:t>3 2 1</w:t>
            </w:r>
          </w:p>
          <w:p w14:paraId="6A607826" w14:textId="77777777" w:rsidR="00711444" w:rsidRPr="004D0DAA" w:rsidRDefault="00711444" w:rsidP="00AA2A4C">
            <w:pPr>
              <w:pStyle w:val="FP"/>
              <w:tabs>
                <w:tab w:val="left" w:pos="567"/>
              </w:tabs>
              <w:ind w:left="567" w:hanging="567"/>
            </w:pPr>
            <w:r w:rsidRPr="004D0DAA">
              <w:t>0 0 0</w:t>
            </w:r>
            <w:r w:rsidRPr="004D0DAA">
              <w:tab/>
            </w:r>
            <w:r w:rsidRPr="004D0DAA">
              <w:tab/>
            </w:r>
            <w:r w:rsidRPr="004D0DAA">
              <w:tab/>
            </w:r>
            <w:r w:rsidRPr="004D0DAA">
              <w:tab/>
              <w:t>In the 2</w:t>
            </w:r>
            <w:r w:rsidRPr="004D0DAA">
              <w:rPr>
                <w:vertAlign w:val="superscript"/>
              </w:rPr>
              <w:t>nd</w:t>
            </w:r>
            <w:r w:rsidRPr="004D0DAA">
              <w:t xml:space="preserve"> next transmission opportunity</w:t>
            </w:r>
          </w:p>
          <w:p w14:paraId="11EE4BBC" w14:textId="77777777" w:rsidR="00711444" w:rsidRPr="004D0DAA" w:rsidRDefault="00711444" w:rsidP="00AA2A4C">
            <w:pPr>
              <w:pStyle w:val="FP"/>
              <w:tabs>
                <w:tab w:val="left" w:pos="567"/>
              </w:tabs>
              <w:ind w:left="567" w:hanging="567"/>
            </w:pPr>
            <w:r w:rsidRPr="004D0DAA">
              <w:t>0 0 1</w:t>
            </w:r>
            <w:r w:rsidRPr="004D0DAA">
              <w:tab/>
            </w:r>
            <w:r w:rsidRPr="004D0DAA">
              <w:tab/>
            </w:r>
            <w:r w:rsidRPr="004D0DAA">
              <w:tab/>
            </w:r>
            <w:r w:rsidRPr="004D0DAA">
              <w:tab/>
              <w:t>In the 3</w:t>
            </w:r>
            <w:r w:rsidRPr="004D0DAA">
              <w:rPr>
                <w:vertAlign w:val="superscript"/>
              </w:rPr>
              <w:t>rd</w:t>
            </w:r>
            <w:r w:rsidRPr="004D0DAA">
              <w:t xml:space="preserve"> next transmission opportunity</w:t>
            </w:r>
          </w:p>
          <w:p w14:paraId="7DDC1D6C" w14:textId="77777777" w:rsidR="00711444" w:rsidRPr="004D0DAA" w:rsidRDefault="00711444" w:rsidP="00AA2A4C">
            <w:pPr>
              <w:pStyle w:val="FP"/>
              <w:tabs>
                <w:tab w:val="left" w:pos="567"/>
              </w:tabs>
              <w:ind w:left="567" w:hanging="567"/>
            </w:pPr>
            <w:r w:rsidRPr="004D0DAA">
              <w:t>0 1 0</w:t>
            </w:r>
            <w:r w:rsidRPr="004D0DAA">
              <w:tab/>
            </w:r>
            <w:r w:rsidRPr="004D0DAA">
              <w:tab/>
            </w:r>
            <w:r w:rsidRPr="004D0DAA">
              <w:tab/>
            </w:r>
            <w:r w:rsidRPr="004D0DAA">
              <w:tab/>
              <w:t>In the 4</w:t>
            </w:r>
            <w:r w:rsidRPr="004D0DAA">
              <w:rPr>
                <w:vertAlign w:val="superscript"/>
              </w:rPr>
              <w:t>th</w:t>
            </w:r>
            <w:r w:rsidRPr="004D0DAA">
              <w:t xml:space="preserve"> next transmission opportunity</w:t>
            </w:r>
          </w:p>
          <w:p w14:paraId="0061A5EF" w14:textId="77777777" w:rsidR="00711444" w:rsidRPr="004D0DAA" w:rsidRDefault="00711444" w:rsidP="00AA2A4C">
            <w:pPr>
              <w:pStyle w:val="FP"/>
              <w:tabs>
                <w:tab w:val="left" w:pos="567"/>
              </w:tabs>
              <w:ind w:left="567" w:hanging="567"/>
            </w:pPr>
            <w:r w:rsidRPr="004D0DAA">
              <w:t>….</w:t>
            </w:r>
          </w:p>
          <w:p w14:paraId="3D27724E" w14:textId="77777777" w:rsidR="00711444" w:rsidRPr="004D0DAA" w:rsidRDefault="00711444" w:rsidP="00AA2A4C">
            <w:pPr>
              <w:pStyle w:val="FP"/>
              <w:tabs>
                <w:tab w:val="left" w:pos="567"/>
              </w:tabs>
              <w:ind w:left="567" w:hanging="567"/>
            </w:pPr>
            <w:r w:rsidRPr="004D0DAA">
              <w:t>1 1 0</w:t>
            </w:r>
            <w:r w:rsidRPr="004D0DAA">
              <w:tab/>
            </w:r>
            <w:r w:rsidRPr="004D0DAA">
              <w:tab/>
            </w:r>
            <w:r w:rsidRPr="004D0DAA">
              <w:tab/>
            </w:r>
            <w:r w:rsidRPr="004D0DAA">
              <w:tab/>
              <w:t>In the 8</w:t>
            </w:r>
            <w:r w:rsidRPr="004D0DAA">
              <w:rPr>
                <w:vertAlign w:val="superscript"/>
              </w:rPr>
              <w:t>th</w:t>
            </w:r>
            <w:r w:rsidRPr="004D0DAA">
              <w:t xml:space="preserve"> next transmission opportunity</w:t>
            </w:r>
          </w:p>
          <w:p w14:paraId="2D58E1D2" w14:textId="77777777" w:rsidR="00711444" w:rsidRPr="004D0DAA" w:rsidRDefault="00711444" w:rsidP="00AA2A4C">
            <w:pPr>
              <w:rPr>
                <w:b/>
                <w:bCs/>
              </w:rPr>
            </w:pPr>
            <w:r w:rsidRPr="004D0DAA">
              <w:t>1 1 1</w:t>
            </w:r>
            <w:r w:rsidRPr="004D0DAA">
              <w:tab/>
            </w:r>
            <w:r w:rsidRPr="004D0DAA">
              <w:tab/>
            </w:r>
            <w:r w:rsidRPr="004D0DAA">
              <w:tab/>
              <w:t>In the 9</w:t>
            </w:r>
            <w:r w:rsidRPr="004D0DAA">
              <w:rPr>
                <w:vertAlign w:val="superscript"/>
              </w:rPr>
              <w:t>th</w:t>
            </w:r>
            <w:r w:rsidRPr="004D0DAA">
              <w:t xml:space="preserve"> next transmission opportunity</w:t>
            </w:r>
          </w:p>
        </w:tc>
      </w:tr>
    </w:tbl>
    <w:p w14:paraId="24490D2A" w14:textId="77777777" w:rsidR="00711444" w:rsidRPr="004D0DAA" w:rsidRDefault="00711444" w:rsidP="00711444">
      <w:pPr>
        <w:rPr>
          <w:lang w:eastAsia="en-GB"/>
        </w:rPr>
      </w:pPr>
    </w:p>
    <w:p w14:paraId="218AD1D0" w14:textId="77777777" w:rsidR="00711444" w:rsidRPr="004D0DAA" w:rsidRDefault="00711444" w:rsidP="00711444">
      <w:pPr>
        <w:pStyle w:val="Heading3"/>
      </w:pPr>
      <w:bookmarkStart w:id="748" w:name="_Toc516669924"/>
      <w:r w:rsidRPr="004D0DAA">
        <w:t>11.2.58</w:t>
      </w:r>
      <w:r w:rsidRPr="004D0DAA">
        <w:tab/>
        <w:t>EC Packet Uplink Assignment</w:t>
      </w:r>
      <w:bookmarkEnd w:id="748"/>
    </w:p>
    <w:p w14:paraId="659FCBF6" w14:textId="77777777" w:rsidR="00711444" w:rsidRPr="004D0DAA" w:rsidRDefault="00711444" w:rsidP="00711444">
      <w:r w:rsidRPr="004D0DAA">
        <w:t>This message is sent on the EC-PACCH by the network to the mobile station to assign an uplink EC TBF, including a fixed uplink allocation. Frequency parameters received as part of this assignment message shall be valid until a new assignment is received or until each TBF of the mobile station is terminated.</w:t>
      </w:r>
    </w:p>
    <w:p w14:paraId="3E608D6F" w14:textId="77777777" w:rsidR="00711444" w:rsidRPr="004D0DAA" w:rsidRDefault="00711444" w:rsidP="00711444">
      <w:r w:rsidRPr="004D0DAA">
        <w:t>If the EGPRS Channel Coding Command parameter is not included in the message, the mobile station is commanded to use MCS-1.</w:t>
      </w:r>
    </w:p>
    <w:p w14:paraId="191EB8D6" w14:textId="77777777" w:rsidR="00711444" w:rsidRPr="004D0DAA" w:rsidRDefault="00711444" w:rsidP="00711444">
      <w:pPr>
        <w:pStyle w:val="EX"/>
      </w:pPr>
      <w:r w:rsidRPr="004D0DAA">
        <w:t>Message type:</w:t>
      </w:r>
      <w:r w:rsidRPr="004D0DAA">
        <w:tab/>
        <w:t>EC PACKET UPLINK ASSIGNMENT</w:t>
      </w:r>
    </w:p>
    <w:p w14:paraId="4AA5B798" w14:textId="77777777" w:rsidR="00711444" w:rsidRPr="004D0DAA" w:rsidRDefault="00711444" w:rsidP="00711444">
      <w:pPr>
        <w:pStyle w:val="EX"/>
      </w:pPr>
      <w:r w:rsidRPr="004D0DAA">
        <w:t>Direction:</w:t>
      </w:r>
      <w:r w:rsidRPr="004D0DAA">
        <w:tab/>
        <w:t>network to mobile station</w:t>
      </w:r>
    </w:p>
    <w:p w14:paraId="5281117E" w14:textId="77777777" w:rsidR="00711444" w:rsidRPr="004D0DAA" w:rsidRDefault="00711444" w:rsidP="00711444">
      <w:pPr>
        <w:pStyle w:val="EX"/>
      </w:pPr>
      <w:r w:rsidRPr="004D0DAA">
        <w:t>Classification:</w:t>
      </w:r>
      <w:r w:rsidRPr="004D0DAA">
        <w:tab/>
        <w:t>non-distribution message</w:t>
      </w:r>
    </w:p>
    <w:p w14:paraId="3C88EF5B" w14:textId="77777777" w:rsidR="00711444" w:rsidRPr="004D0DAA" w:rsidRDefault="00711444" w:rsidP="00711444">
      <w:pPr>
        <w:pStyle w:val="TH"/>
      </w:pPr>
      <w:r w:rsidRPr="004D0DAA">
        <w:lastRenderedPageBreak/>
        <w:t xml:space="preserve">Table 11.2.58.1: EC </w:t>
      </w:r>
      <w:r w:rsidRPr="004D0DAA">
        <w:rPr>
          <w:caps/>
        </w:rPr>
        <w:t>Packet UPlink ASSIGNMENT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05FF8F5" w14:textId="77777777" w:rsidTr="00AA2A4C">
        <w:trPr>
          <w:cantSplit/>
        </w:trPr>
        <w:tc>
          <w:tcPr>
            <w:tcW w:w="9848" w:type="dxa"/>
          </w:tcPr>
          <w:p w14:paraId="6C535511" w14:textId="77777777" w:rsidR="00711444" w:rsidRPr="004D0DAA" w:rsidRDefault="00711444" w:rsidP="00AA2A4C">
            <w:pPr>
              <w:pStyle w:val="TAL"/>
              <w:rPr>
                <w:lang w:eastAsia="en-US"/>
              </w:rPr>
            </w:pPr>
            <w:r w:rsidRPr="004D0DAA">
              <w:rPr>
                <w:lang w:eastAsia="en-US"/>
              </w:rPr>
              <w:t>&lt; EC Packet Uplink Assignment message content &gt; ::=</w:t>
            </w:r>
          </w:p>
          <w:p w14:paraId="53F3534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38CFA0FE" w14:textId="77777777" w:rsidR="00711444" w:rsidRPr="004D0DAA" w:rsidRDefault="00711444" w:rsidP="00AA2A4C">
            <w:pPr>
              <w:pStyle w:val="TAL"/>
              <w:rPr>
                <w:lang w:eastAsia="en-US"/>
              </w:rPr>
            </w:pPr>
            <w:r w:rsidRPr="004D0DAA">
              <w:rPr>
                <w:lang w:eastAsia="en-US"/>
              </w:rPr>
              <w:tab/>
              <w:t>{</w:t>
            </w:r>
            <w:r w:rsidRPr="004D0DAA">
              <w:rPr>
                <w:lang w:eastAsia="en-US"/>
              </w:rPr>
              <w:tab/>
              <w:t>0</w:t>
            </w:r>
            <w:r w:rsidRPr="004D0DAA">
              <w:rPr>
                <w:lang w:eastAsia="en-US"/>
              </w:rPr>
              <w:tab/>
              <w:t xml:space="preserve">&lt; </w:t>
            </w:r>
            <w:r w:rsidRPr="004D0DAA">
              <w:rPr>
                <w:b/>
                <w:lang w:eastAsia="en-US"/>
              </w:rPr>
              <w:t>Global TFI</w:t>
            </w:r>
            <w:r w:rsidRPr="004D0DAA">
              <w:rPr>
                <w:lang w:eastAsia="en-US"/>
              </w:rPr>
              <w:t xml:space="preserve"> : &lt; Global TFI IE &gt; &gt;</w:t>
            </w:r>
          </w:p>
        </w:tc>
      </w:tr>
      <w:tr w:rsidR="00711444" w:rsidRPr="004D0DAA" w14:paraId="3270A304" w14:textId="77777777" w:rsidTr="00AA2A4C">
        <w:trPr>
          <w:cantSplit/>
        </w:trPr>
        <w:tc>
          <w:tcPr>
            <w:tcW w:w="9848" w:type="dxa"/>
          </w:tcPr>
          <w:p w14:paraId="4CDE89D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r w:rsidRPr="004D0DAA">
              <w:rPr>
                <w:lang w:eastAsia="en-US"/>
              </w:rPr>
              <w:tab/>
              <w:t xml:space="preserve">{ 0 | 1 &lt; </w:t>
            </w:r>
            <w:r w:rsidRPr="004D0DAA">
              <w:rPr>
                <w:b/>
                <w:lang w:eastAsia="en-US"/>
              </w:rPr>
              <w:t>UPLINK_TFI_ASSIGNMENT</w:t>
            </w:r>
            <w:r w:rsidRPr="004D0DAA">
              <w:rPr>
                <w:lang w:eastAsia="en-US"/>
              </w:rPr>
              <w:t xml:space="preserve"> : bit (5) &gt; }</w:t>
            </w:r>
          </w:p>
          <w:p w14:paraId="105A2DA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EGPRS Channel Coding Command</w:t>
            </w:r>
            <w:r w:rsidRPr="004D0DAA">
              <w:rPr>
                <w:lang w:eastAsia="en-US"/>
              </w:rPr>
              <w:t> : &lt; EGPRS Modulation and Coding Scheme IE &gt;&gt; }</w:t>
            </w:r>
          </w:p>
          <w:p w14:paraId="6E9757B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&lt;</w:t>
            </w:r>
            <w:r w:rsidRPr="004D0DAA">
              <w:rPr>
                <w:b/>
                <w:lang w:eastAsia="en-US"/>
              </w:rPr>
              <w:t xml:space="preserve"> OVERLAID_CDMA_CODE</w:t>
            </w:r>
            <w:r w:rsidRPr="004D0DAA">
              <w:rPr>
                <w:lang w:eastAsia="en-US"/>
              </w:rPr>
              <w:t> : bit (2)</w:t>
            </w:r>
            <w:r w:rsidRPr="004D0DAA" w:rsidDel="00747F6C">
              <w:rPr>
                <w:lang w:eastAsia="en-US"/>
              </w:rPr>
              <w:t xml:space="preserve"> </w:t>
            </w:r>
            <w:r w:rsidRPr="004D0DAA">
              <w:rPr>
                <w:lang w:eastAsia="en-US"/>
              </w:rPr>
              <w:t>&gt;</w:t>
            </w:r>
          </w:p>
          <w:p w14:paraId="3F0D93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EC Packet Timing Advance</w:t>
            </w:r>
            <w:r w:rsidRPr="004D0DAA">
              <w:rPr>
                <w:lang w:eastAsia="en-US"/>
              </w:rPr>
              <w:t xml:space="preserve"> : &lt; EC Packet Timing Advance IE &gt; &gt; }</w:t>
            </w:r>
          </w:p>
          <w:p w14:paraId="06EEC46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Frequency Parameters</w:t>
            </w:r>
            <w:r w:rsidRPr="004D0DAA">
              <w:rPr>
                <w:lang w:eastAsia="en-US"/>
              </w:rPr>
              <w:t xml:space="preserve"> : &lt; Frequency Parameters struct &gt; &gt; }</w:t>
            </w:r>
          </w:p>
          <w:p w14:paraId="10F2717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UL_COVERAGE_CLASS</w:t>
            </w:r>
            <w:r w:rsidRPr="004D0DAA">
              <w:rPr>
                <w:lang w:eastAsia="en-US"/>
              </w:rPr>
              <w:t xml:space="preserve"> : bit (2) &gt;</w:t>
            </w:r>
          </w:p>
          <w:p w14:paraId="3FF7192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STARTING_UL_TIMESLOT</w:t>
            </w:r>
            <w:r w:rsidRPr="004D0DAA">
              <w:rPr>
                <w:lang w:eastAsia="en-US"/>
              </w:rPr>
              <w:t xml:space="preserve"> : bit (3) &gt;</w:t>
            </w:r>
          </w:p>
          <w:p w14:paraId="058DA95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TIMESLOT_MULTIPLICATOR </w:t>
            </w:r>
            <w:r w:rsidRPr="004D0DAA">
              <w:rPr>
                <w:lang w:eastAsia="en-US"/>
              </w:rPr>
              <w:t>: bit (3) &gt;</w:t>
            </w:r>
          </w:p>
          <w:p w14:paraId="26A742B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Fixed Uplink Allocation</w:t>
            </w:r>
            <w:r w:rsidRPr="004D0DAA">
              <w:rPr>
                <w:lang w:eastAsia="en-US"/>
              </w:rPr>
              <w:t xml:space="preserve"> : &lt; Fixed Uplink Allocation struct &gt; &gt;</w:t>
            </w:r>
          </w:p>
          <w:p w14:paraId="79B6DF22"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fr-FR" w:eastAsia="en-US"/>
              </w:rPr>
              <w:t>{ 0 | 1</w:t>
            </w:r>
            <w:r w:rsidRPr="004D0DAA">
              <w:rPr>
                <w:lang w:val="fr-FR" w:eastAsia="en-US"/>
              </w:rPr>
              <w:tab/>
              <w:t xml:space="preserve">&lt; </w:t>
            </w:r>
            <w:r w:rsidRPr="004D0DAA">
              <w:rPr>
                <w:b/>
                <w:lang w:val="fr-FR" w:eastAsia="en-US"/>
              </w:rPr>
              <w:t>P0</w:t>
            </w:r>
            <w:r w:rsidRPr="004D0DAA">
              <w:rPr>
                <w:lang w:val="fr-FR" w:eastAsia="en-US"/>
              </w:rPr>
              <w:t xml:space="preserve"> : bit (4) &gt; </w:t>
            </w:r>
          </w:p>
          <w:p w14:paraId="779B2332"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t xml:space="preserve">&lt; </w:t>
            </w:r>
            <w:r w:rsidRPr="004D0DAA">
              <w:rPr>
                <w:b/>
                <w:lang w:val="fr-FR" w:eastAsia="en-US"/>
              </w:rPr>
              <w:t>PR_MODE</w:t>
            </w:r>
            <w:r w:rsidRPr="004D0DAA">
              <w:rPr>
                <w:lang w:val="fr-FR" w:eastAsia="en-US"/>
              </w:rPr>
              <w:t> : bit (1) &gt; }</w:t>
            </w:r>
          </w:p>
          <w:p w14:paraId="15A21B25"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0 | 1</w:t>
            </w:r>
            <w:r w:rsidRPr="004D0DAA">
              <w:rPr>
                <w:lang w:eastAsia="en-US"/>
              </w:rPr>
              <w:tab/>
              <w:t>&lt;</w:t>
            </w:r>
            <w:r w:rsidRPr="004D0DAA">
              <w:rPr>
                <w:b/>
                <w:lang w:eastAsia="en-US"/>
              </w:rPr>
              <w:t xml:space="preserve"> GAMMA</w:t>
            </w:r>
            <w:r w:rsidRPr="004D0DAA">
              <w:rPr>
                <w:lang w:eastAsia="en-US"/>
              </w:rPr>
              <w:t xml:space="preserve"> : bit (5) &gt;</w:t>
            </w:r>
          </w:p>
          <w:p w14:paraId="06F8162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ALPHA Enable</w:t>
            </w:r>
            <w:r w:rsidRPr="004D0DAA">
              <w:rPr>
                <w:lang w:eastAsia="en-US"/>
              </w:rPr>
              <w:t xml:space="preserve"> : bit (1) &gt; }</w:t>
            </w:r>
          </w:p>
          <w:p w14:paraId="7676F3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bCs/>
                <w:lang w:eastAsia="en-US"/>
              </w:rPr>
              <w:t>DL_COVERAGE_CLASS</w:t>
            </w:r>
            <w:r w:rsidRPr="004D0DAA">
              <w:rPr>
                <w:lang w:eastAsia="en-US"/>
              </w:rPr>
              <w:t xml:space="preserve"> : bit (2) &gt;</w:t>
            </w:r>
          </w:p>
          <w:p w14:paraId="4C7479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STARTING_DL_TIMESLOT_OFFSET</w:t>
            </w:r>
            <w:r w:rsidRPr="004D0DAA">
              <w:rPr>
                <w:lang w:eastAsia="en-US"/>
              </w:rPr>
              <w:t xml:space="preserve"> : bit (2) &gt;</w:t>
            </w:r>
          </w:p>
          <w:p w14:paraId="2B608F92" w14:textId="77777777" w:rsidR="00711444" w:rsidRPr="004D0DAA" w:rsidRDefault="00711444" w:rsidP="00AA2A4C">
            <w:pPr>
              <w:pStyle w:val="TAL"/>
              <w:rPr>
                <w:lang w:eastAsia="en-US"/>
              </w:rPr>
            </w:pPr>
            <w:r w:rsidRPr="004D0DAA">
              <w:rPr>
                <w:b/>
                <w:lang w:eastAsia="en-US"/>
              </w:rPr>
              <w:t xml:space="preserve">                       &lt; UL COVERAGE CLASS EXT : </w:t>
            </w:r>
            <w:r w:rsidRPr="004D0DAA">
              <w:rPr>
                <w:lang w:eastAsia="en-US"/>
              </w:rPr>
              <w:t xml:space="preserve">bit (1) </w:t>
            </w:r>
            <w:r w:rsidRPr="004D0DAA">
              <w:rPr>
                <w:b/>
                <w:lang w:eastAsia="en-US"/>
              </w:rPr>
              <w:t xml:space="preserve">&gt; -- </w:t>
            </w:r>
            <w:r w:rsidRPr="004D0DAA">
              <w:rPr>
                <w:lang w:eastAsia="en-US"/>
              </w:rPr>
              <w:t>Rel-14 change indicate UL CC5 support</w:t>
            </w:r>
          </w:p>
        </w:tc>
      </w:tr>
      <w:tr w:rsidR="00711444" w:rsidRPr="004D0DAA" w14:paraId="01B83DBA" w14:textId="77777777" w:rsidTr="00AA2A4C">
        <w:trPr>
          <w:cantSplit/>
        </w:trPr>
        <w:tc>
          <w:tcPr>
            <w:tcW w:w="9848" w:type="dxa"/>
          </w:tcPr>
          <w:p w14:paraId="262A952A"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&lt; padding bits &gt;  //</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truncation at end of message allowed, bits '0' assumed</w:t>
            </w:r>
            <w:r w:rsidRPr="004D0DAA">
              <w:rPr>
                <w:lang w:eastAsia="en-US"/>
              </w:rPr>
              <w:tab/>
            </w:r>
          </w:p>
          <w:p w14:paraId="4AA9356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szCs w:val="18"/>
                <w:lang w:eastAsia="en-US"/>
              </w:rPr>
              <w:tab/>
            </w:r>
            <w:r w:rsidRPr="004D0DAA">
              <w:rPr>
                <w:lang w:eastAsia="en-US"/>
              </w:rPr>
              <w:t>! &lt; Non-distribution part error : bit (*) = &lt; no string &gt; &gt; }</w:t>
            </w:r>
          </w:p>
          <w:p w14:paraId="5871FB9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Address information part error : bit (*) = &lt; no string &gt; &gt;</w:t>
            </w:r>
          </w:p>
          <w:p w14:paraId="27CDCDE3" w14:textId="77777777" w:rsidR="00711444" w:rsidRPr="004D0DAA" w:rsidRDefault="00711444" w:rsidP="00AA2A4C">
            <w:pPr>
              <w:pStyle w:val="TAL"/>
              <w:rPr>
                <w:lang w:eastAsia="en-US"/>
              </w:rPr>
            </w:pPr>
            <w:r w:rsidRPr="004D0DAA">
              <w:rPr>
                <w:lang w:eastAsia="en-US"/>
              </w:rPr>
              <w:tab/>
            </w:r>
            <w:r w:rsidRPr="004D0DAA">
              <w:rPr>
                <w:lang w:eastAsia="en-US"/>
              </w:rPr>
              <w:tab/>
              <w:t xml:space="preserve">! &lt; Message escape : { 1 } bit (*) = &lt;no string&gt; &gt; } </w:t>
            </w:r>
            <w:r w:rsidRPr="004D0DAA">
              <w:rPr>
                <w:lang w:eastAsia="en-US"/>
              </w:rPr>
              <w:tab/>
              <w:t>-- Extended for future changes</w:t>
            </w:r>
          </w:p>
          <w:p w14:paraId="1D6044E0" w14:textId="77777777" w:rsidR="00711444" w:rsidRPr="004D0DAA" w:rsidRDefault="00711444" w:rsidP="00AA2A4C">
            <w:pPr>
              <w:pStyle w:val="TAL"/>
              <w:rPr>
                <w:lang w:eastAsia="en-US"/>
              </w:rPr>
            </w:pPr>
            <w:r w:rsidRPr="004D0DAA">
              <w:rPr>
                <w:lang w:eastAsia="en-US"/>
              </w:rPr>
              <w:tab/>
              <w:t>! &lt; Distribution part error : bit (*) = &lt; no string &gt; &gt; ;</w:t>
            </w:r>
          </w:p>
          <w:p w14:paraId="113EFCD3" w14:textId="77777777" w:rsidR="00711444" w:rsidRPr="004D0DAA" w:rsidRDefault="00711444" w:rsidP="00AA2A4C">
            <w:pPr>
              <w:pStyle w:val="TAL"/>
              <w:rPr>
                <w:lang w:eastAsia="en-US"/>
              </w:rPr>
            </w:pPr>
          </w:p>
          <w:p w14:paraId="3875EE03" w14:textId="77777777" w:rsidR="00711444" w:rsidRPr="004D0DAA" w:rsidRDefault="00711444" w:rsidP="00AA2A4C">
            <w:pPr>
              <w:pStyle w:val="TAL"/>
              <w:rPr>
                <w:lang w:eastAsia="en-US"/>
              </w:rPr>
            </w:pPr>
            <w:r w:rsidRPr="004D0DAA">
              <w:rPr>
                <w:lang w:eastAsia="en-US"/>
              </w:rPr>
              <w:t>&lt; Frequency Parameters struct &gt; ::=</w:t>
            </w:r>
          </w:p>
          <w:p w14:paraId="1F38CE3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EC_MA_NUMBER </w:t>
            </w:r>
            <w:r w:rsidRPr="004D0DAA">
              <w:rPr>
                <w:lang w:eastAsia="en-US"/>
              </w:rPr>
              <w:t>: bit (5) &gt;</w:t>
            </w:r>
          </w:p>
          <w:p w14:paraId="614D029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TSC : </w:t>
            </w:r>
            <w:r w:rsidRPr="004D0DAA">
              <w:rPr>
                <w:lang w:eastAsia="en-US"/>
              </w:rPr>
              <w:t>bit (3) &gt;</w:t>
            </w:r>
          </w:p>
          <w:p w14:paraId="6269C53B" w14:textId="77777777" w:rsidR="00711444" w:rsidRPr="004D0DAA" w:rsidRDefault="00711444" w:rsidP="00AA2A4C">
            <w:pPr>
              <w:pStyle w:val="TAL"/>
              <w:rPr>
                <w:iCs/>
                <w:lang w:eastAsia="en-US"/>
              </w:rPr>
            </w:pP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EC048DF" w14:textId="77777777" w:rsidR="00711444" w:rsidRPr="004D0DAA" w:rsidRDefault="00711444" w:rsidP="00AA2A4C">
            <w:pPr>
              <w:pStyle w:val="TAL"/>
              <w:rPr>
                <w:lang w:eastAsia="en-US"/>
              </w:rPr>
            </w:pPr>
          </w:p>
        </w:tc>
      </w:tr>
      <w:tr w:rsidR="00711444" w:rsidRPr="004D0DAA" w14:paraId="7F10D6A0" w14:textId="77777777" w:rsidTr="00AA2A4C">
        <w:trPr>
          <w:cantSplit/>
        </w:trPr>
        <w:tc>
          <w:tcPr>
            <w:tcW w:w="9848" w:type="dxa"/>
          </w:tcPr>
          <w:p w14:paraId="1424AA37" w14:textId="77777777" w:rsidR="00711444" w:rsidRPr="004D0DAA" w:rsidRDefault="00711444" w:rsidP="00AA2A4C">
            <w:pPr>
              <w:pStyle w:val="TAL"/>
              <w:rPr>
                <w:lang w:eastAsia="en-US"/>
              </w:rPr>
            </w:pPr>
            <w:r w:rsidRPr="004D0DAA">
              <w:rPr>
                <w:lang w:eastAsia="en-US"/>
              </w:rPr>
              <w:t>&lt; Fixed Uplink Allocation struct &gt; ::=</w:t>
            </w:r>
          </w:p>
          <w:p w14:paraId="5DA2C8D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START_FIRST_UL_RLC_DATA_BLOCK : </w:t>
            </w:r>
            <w:r w:rsidRPr="004D0DAA">
              <w:rPr>
                <w:lang w:eastAsia="en-US"/>
              </w:rPr>
              <w:t>bit (4) &gt;</w:t>
            </w:r>
          </w:p>
          <w:p w14:paraId="48FEB352" w14:textId="77777777" w:rsidR="00711444" w:rsidRPr="004D0DAA" w:rsidRDefault="00711444" w:rsidP="00AA2A4C">
            <w:pPr>
              <w:pStyle w:val="TAL"/>
              <w:rPr>
                <w:lang w:eastAsia="en-US"/>
              </w:rPr>
            </w:pPr>
            <w:r w:rsidRPr="004D0DAA">
              <w:rPr>
                <w:lang w:eastAsia="en-US"/>
              </w:rPr>
              <w:tab/>
              <w:t>{ 1</w:t>
            </w:r>
            <w:r w:rsidRPr="004D0DAA">
              <w:rPr>
                <w:lang w:eastAsia="en-US"/>
              </w:rPr>
              <w:tab/>
              <w:t>{</w:t>
            </w:r>
            <w:r w:rsidRPr="004D0DAA">
              <w:rPr>
                <w:lang w:eastAsia="en-US"/>
              </w:rPr>
              <w:tab/>
              <w:t xml:space="preserve"> </w:t>
            </w:r>
          </w:p>
          <w:p w14:paraId="6E322FDF" w14:textId="77777777" w:rsidR="00711444" w:rsidRPr="004D0DAA" w:rsidRDefault="00711444" w:rsidP="00AA2A4C">
            <w:pPr>
              <w:pStyle w:val="TAL"/>
              <w:rPr>
                <w:lang w:eastAsia="en-US"/>
              </w:rPr>
            </w:pPr>
            <w:r w:rsidRPr="004D0DAA">
              <w:rPr>
                <w:lang w:eastAsia="en-US"/>
              </w:rPr>
              <w:t xml:space="preserve">                 0</w:t>
            </w:r>
            <w:r w:rsidRPr="004D0DAA">
              <w:rPr>
                <w:lang w:eastAsia="en-US"/>
              </w:rPr>
              <w:tab/>
              <w:t>&lt;</w:t>
            </w:r>
            <w:r w:rsidRPr="004D0DAA">
              <w:rPr>
                <w:b/>
                <w:lang w:eastAsia="en-US"/>
              </w:rPr>
              <w:t xml:space="preserve"> DELAY_NEXT_UL_RLC_DATA_BLOCK</w:t>
            </w:r>
            <w:r w:rsidRPr="004D0DAA">
              <w:rPr>
                <w:lang w:eastAsia="en-US"/>
              </w:rPr>
              <w:t xml:space="preserve"> : bit (3) &gt;</w:t>
            </w:r>
            <w:r w:rsidRPr="004D0DAA">
              <w:rPr>
                <w:lang w:eastAsia="en-US"/>
              </w:rPr>
              <w:tab/>
              <w:t xml:space="preserve">-- delay until start of next UL RLC Data block </w:t>
            </w:r>
          </w:p>
          <w:p w14:paraId="16636B1C" w14:textId="77777777" w:rsidR="00711444" w:rsidRPr="004D0DAA" w:rsidRDefault="00711444" w:rsidP="00AA2A4C">
            <w:pPr>
              <w:pStyle w:val="TAL"/>
              <w:rPr>
                <w:lang w:eastAsia="en-US"/>
              </w:rPr>
            </w:pPr>
            <w:r w:rsidRPr="004D0DAA">
              <w:rPr>
                <w:lang w:eastAsia="en-US"/>
              </w:rPr>
              <w:t xml:space="preserve">                 | 1 -- next UL RLC Data block starts at first possible occasion after previous UL RLC Data block } } ** 0;</w:t>
            </w:r>
          </w:p>
        </w:tc>
      </w:tr>
    </w:tbl>
    <w:p w14:paraId="4406C6F0" w14:textId="77777777" w:rsidR="00711444" w:rsidRPr="004D0DAA" w:rsidRDefault="00711444" w:rsidP="00711444"/>
    <w:p w14:paraId="530AC71E" w14:textId="77777777" w:rsidR="00711444" w:rsidRPr="004D0DAA" w:rsidRDefault="00711444" w:rsidP="00711444">
      <w:pPr>
        <w:pStyle w:val="TH"/>
      </w:pPr>
      <w:r w:rsidRPr="004D0DAA">
        <w:t xml:space="preserve">Table 11.2.58.2: EC </w:t>
      </w:r>
      <w:r w:rsidRPr="004D0DAA">
        <w:rPr>
          <w:caps/>
        </w:rPr>
        <w:t>Packet UPlink ASSIGNMENT</w:t>
      </w:r>
      <w:r w:rsidRPr="004D0DAA">
        <w:t xml:space="preserve">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273A6090" w14:textId="77777777" w:rsidTr="00AA2A4C">
        <w:trPr>
          <w:cantSplit/>
          <w:trHeight w:val="113"/>
        </w:trPr>
        <w:tc>
          <w:tcPr>
            <w:tcW w:w="9848" w:type="dxa"/>
            <w:shd w:val="clear" w:color="auto" w:fill="auto"/>
          </w:tcPr>
          <w:p w14:paraId="5F85B33F"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1730F044" w14:textId="77777777" w:rsidTr="00AA2A4C">
        <w:trPr>
          <w:cantSplit/>
          <w:trHeight w:val="113"/>
        </w:trPr>
        <w:tc>
          <w:tcPr>
            <w:tcW w:w="9848" w:type="dxa"/>
            <w:shd w:val="clear" w:color="auto" w:fill="auto"/>
          </w:tcPr>
          <w:p w14:paraId="059744A4" w14:textId="77777777" w:rsidR="00711444" w:rsidRPr="004D0DAA" w:rsidRDefault="00711444" w:rsidP="00AA2A4C">
            <w:pPr>
              <w:rPr>
                <w:b/>
              </w:rPr>
            </w:pPr>
            <w:r w:rsidRPr="004D0DAA">
              <w:rPr>
                <w:b/>
              </w:rPr>
              <w:t>Global TFI</w:t>
            </w:r>
            <w:r w:rsidRPr="004D0DAA">
              <w:br/>
              <w:t>This information element identifies the uplink TFI, if available, or the downlink TFI, to which this message applies. This field is defined in</w:t>
            </w:r>
            <w:r w:rsidRPr="004D0DAA">
              <w:rPr>
                <w:i/>
              </w:rPr>
              <w:t xml:space="preserve"> </w:t>
            </w:r>
            <w:r w:rsidRPr="004D0DAA">
              <w:t>sub-clause 12.10.</w:t>
            </w:r>
          </w:p>
        </w:tc>
      </w:tr>
      <w:tr w:rsidR="00711444" w:rsidRPr="004D0DAA" w14:paraId="539A88B0" w14:textId="77777777" w:rsidTr="00AA2A4C">
        <w:trPr>
          <w:cantSplit/>
          <w:trHeight w:val="113"/>
        </w:trPr>
        <w:tc>
          <w:tcPr>
            <w:tcW w:w="9848" w:type="dxa"/>
            <w:shd w:val="clear" w:color="auto" w:fill="auto"/>
          </w:tcPr>
          <w:p w14:paraId="4B7E2C61" w14:textId="77777777" w:rsidR="00711444" w:rsidRPr="004D0DAA" w:rsidRDefault="00711444" w:rsidP="00AA2A4C">
            <w:pPr>
              <w:spacing w:after="0"/>
              <w:rPr>
                <w:b/>
              </w:rPr>
            </w:pPr>
            <w:r w:rsidRPr="004D0DAA">
              <w:rPr>
                <w:b/>
              </w:rPr>
              <w:t>EGPRS Modulation and Coding Scheme</w:t>
            </w:r>
          </w:p>
          <w:p w14:paraId="4279709C" w14:textId="77777777" w:rsidR="00711444" w:rsidRPr="004D0DAA" w:rsidRDefault="00711444" w:rsidP="00AA2A4C">
            <w:r w:rsidRPr="004D0DAA">
              <w:t>The EGPRS Modulation and Coding Scheme information element is defined in</w:t>
            </w:r>
            <w:r w:rsidRPr="004D0DAA">
              <w:rPr>
                <w:i/>
              </w:rPr>
              <w:t xml:space="preserve"> </w:t>
            </w:r>
            <w:r w:rsidRPr="004D0DAA">
              <w:t xml:space="preserve">sub-clause 12.10d. </w:t>
            </w:r>
          </w:p>
          <w:p w14:paraId="47E1F5AD" w14:textId="77777777" w:rsidR="00711444" w:rsidRPr="004D0DAA" w:rsidRDefault="00711444" w:rsidP="00AA2A4C">
            <w:r w:rsidRPr="004D0DAA">
              <w:rPr>
                <w:b/>
              </w:rPr>
              <w:t>OVERLAID_CDMA_CODE</w:t>
            </w:r>
            <w:r w:rsidRPr="004D0DAA">
              <w:t xml:space="preserve"> (2 bit field)</w:t>
            </w:r>
            <w:r w:rsidRPr="004D0DAA">
              <w:br/>
              <w:t>The Overlaid CDMA Code field indicates the Overlaid CDMA Code that shall be used at transmissions during the uplink EC TBF, see 3GPP TS 45.002. This field is encoded  as following  code points if the field EC_Reduced_PDCH_Allocation is set to 0 in the EC SYSTEM INFORMATION TYPE 2 message (see sub-clause 9.1.43q). If the field EC_Reduced_PDCH_Allocation is set to 1 only the first two code points of the following shall be used:</w:t>
            </w:r>
          </w:p>
          <w:p w14:paraId="429AC1FE" w14:textId="77777777" w:rsidR="00711444" w:rsidRPr="004D0DAA" w:rsidRDefault="00711444" w:rsidP="00AA2A4C">
            <w:pPr>
              <w:pStyle w:val="FP"/>
              <w:tabs>
                <w:tab w:val="left" w:pos="567"/>
              </w:tabs>
              <w:ind w:left="567" w:hanging="567"/>
            </w:pPr>
            <w:r w:rsidRPr="004D0DAA">
              <w:t>bit</w:t>
            </w:r>
          </w:p>
          <w:p w14:paraId="46110670" w14:textId="77777777" w:rsidR="00711444" w:rsidRPr="004D0DAA" w:rsidRDefault="00711444" w:rsidP="00AA2A4C">
            <w:pPr>
              <w:pStyle w:val="FP"/>
              <w:tabs>
                <w:tab w:val="left" w:pos="567"/>
              </w:tabs>
              <w:ind w:left="567" w:hanging="567"/>
            </w:pPr>
            <w:r w:rsidRPr="004D0DAA">
              <w:t>2 1</w:t>
            </w:r>
          </w:p>
          <w:p w14:paraId="1630D660" w14:textId="77777777" w:rsidR="00711444" w:rsidRPr="004D0DAA" w:rsidRDefault="00711444" w:rsidP="00AA2A4C">
            <w:pPr>
              <w:pStyle w:val="FP"/>
              <w:tabs>
                <w:tab w:val="left" w:pos="567"/>
              </w:tabs>
              <w:ind w:left="567" w:hanging="567"/>
            </w:pPr>
            <w:r w:rsidRPr="004D0DAA">
              <w:t>0 0</w:t>
            </w:r>
            <w:r w:rsidRPr="004D0DAA">
              <w:tab/>
              <w:t>Overlaid CDMA Code 0</w:t>
            </w:r>
          </w:p>
          <w:p w14:paraId="6A9CD2A0" w14:textId="77777777" w:rsidR="00711444" w:rsidRPr="004D0DAA" w:rsidRDefault="00711444" w:rsidP="00AA2A4C">
            <w:pPr>
              <w:pStyle w:val="FP"/>
              <w:tabs>
                <w:tab w:val="left" w:pos="567"/>
              </w:tabs>
              <w:ind w:left="567" w:hanging="567"/>
            </w:pPr>
            <w:r w:rsidRPr="004D0DAA">
              <w:t>0 1</w:t>
            </w:r>
            <w:r w:rsidRPr="004D0DAA">
              <w:tab/>
              <w:t>Overlaid CDMA Code 1</w:t>
            </w:r>
          </w:p>
          <w:p w14:paraId="1D493558" w14:textId="77777777" w:rsidR="00711444" w:rsidRPr="004D0DAA" w:rsidRDefault="00711444" w:rsidP="00AA2A4C">
            <w:pPr>
              <w:pStyle w:val="FP"/>
              <w:tabs>
                <w:tab w:val="left" w:pos="567"/>
              </w:tabs>
              <w:ind w:left="567" w:hanging="567"/>
            </w:pPr>
            <w:r w:rsidRPr="004D0DAA">
              <w:t>1 0</w:t>
            </w:r>
            <w:r w:rsidRPr="004D0DAA">
              <w:tab/>
              <w:t>Overlaid CDMA Code 2</w:t>
            </w:r>
          </w:p>
          <w:p w14:paraId="1C90360E" w14:textId="77777777" w:rsidR="00711444" w:rsidRPr="004D0DAA" w:rsidRDefault="00711444" w:rsidP="00AA2A4C">
            <w:r w:rsidRPr="004D0DAA">
              <w:t>1 1</w:t>
            </w:r>
            <w:r w:rsidRPr="004D0DAA">
              <w:tab/>
            </w:r>
            <w:r w:rsidRPr="004D0DAA">
              <w:tab/>
              <w:t>Overlaid CDMA Code 3</w:t>
            </w:r>
          </w:p>
          <w:p w14:paraId="63767CB1" w14:textId="77777777" w:rsidR="00711444" w:rsidRPr="004D0DAA" w:rsidRDefault="00711444" w:rsidP="00AA2A4C">
            <w:r w:rsidRPr="004D0DAA">
              <w:t>Note: Overlaid CDMA Code 0 corresponds to that the bursts are transmitted as if no code was applied.</w:t>
            </w:r>
          </w:p>
        </w:tc>
      </w:tr>
      <w:tr w:rsidR="00711444" w:rsidRPr="004D0DAA" w14:paraId="7D91A17B" w14:textId="77777777" w:rsidTr="00AA2A4C">
        <w:trPr>
          <w:cantSplit/>
          <w:trHeight w:val="113"/>
        </w:trPr>
        <w:tc>
          <w:tcPr>
            <w:tcW w:w="9848" w:type="dxa"/>
            <w:shd w:val="clear" w:color="auto" w:fill="auto"/>
          </w:tcPr>
          <w:p w14:paraId="6A7AA179" w14:textId="77777777" w:rsidR="00711444" w:rsidRPr="004D0DAA" w:rsidRDefault="00711444" w:rsidP="00AA2A4C">
            <w:pPr>
              <w:rPr>
                <w:b/>
              </w:rPr>
            </w:pPr>
            <w:r w:rsidRPr="004D0DAA">
              <w:rPr>
                <w:b/>
              </w:rPr>
              <w:lastRenderedPageBreak/>
              <w:t>UPLINK_TFI_ASSIGNMENT</w:t>
            </w:r>
            <w:r w:rsidRPr="004D0DAA">
              <w:t xml:space="preserve"> (5 bit field)</w:t>
            </w:r>
            <w:r w:rsidRPr="004D0DAA">
              <w:br/>
              <w:t>This information element, if present, assigns the contained TFI to the mobile station to identify the uplink TBF described by this message. This field is coded the same as the TFI field defined in sub-clause 12.15.</w:t>
            </w:r>
          </w:p>
        </w:tc>
      </w:tr>
      <w:tr w:rsidR="00711444" w:rsidRPr="004D0DAA" w14:paraId="56C99BC0" w14:textId="77777777" w:rsidTr="00AA2A4C">
        <w:trPr>
          <w:cantSplit/>
          <w:trHeight w:val="113"/>
        </w:trPr>
        <w:tc>
          <w:tcPr>
            <w:tcW w:w="9848" w:type="dxa"/>
            <w:shd w:val="clear" w:color="auto" w:fill="auto"/>
          </w:tcPr>
          <w:p w14:paraId="56ECD58E" w14:textId="77777777" w:rsidR="00711444" w:rsidRPr="004D0DAA" w:rsidRDefault="00711444" w:rsidP="00AA2A4C">
            <w:pPr>
              <w:rPr>
                <w:b/>
              </w:rPr>
            </w:pPr>
            <w:r w:rsidRPr="004D0DAA">
              <w:rPr>
                <w:b/>
              </w:rPr>
              <w:t>EC Packet Timing Advance</w:t>
            </w:r>
            <w:r w:rsidRPr="004D0DAA">
              <w:br/>
              <w:t>This information element is defined in sub-clause 12.74.</w:t>
            </w:r>
          </w:p>
        </w:tc>
      </w:tr>
      <w:tr w:rsidR="00711444" w:rsidRPr="004D0DAA" w14:paraId="6C9AD443" w14:textId="77777777" w:rsidTr="00AA2A4C">
        <w:trPr>
          <w:cantSplit/>
          <w:trHeight w:val="113"/>
        </w:trPr>
        <w:tc>
          <w:tcPr>
            <w:tcW w:w="9848" w:type="dxa"/>
            <w:shd w:val="clear" w:color="auto" w:fill="auto"/>
          </w:tcPr>
          <w:p w14:paraId="0F68F590" w14:textId="77777777" w:rsidR="00711444" w:rsidRPr="004D0DAA" w:rsidRDefault="00711444" w:rsidP="00AA2A4C">
            <w:r w:rsidRPr="004D0DAA">
              <w:rPr>
                <w:b/>
              </w:rPr>
              <w:t xml:space="preserve">EC_MA_NUMBER </w:t>
            </w:r>
            <w:r w:rsidRPr="004D0DAA">
              <w:t>(5 bit field)</w:t>
            </w:r>
            <w:r w:rsidRPr="004D0DAA">
              <w:br/>
              <w:t>This field indicates what EC Mobile Allocation set, as defined in the EC SYSTEM INFORMATION TYPE 1 message, the TBF is allocated to (see 3GPP TS 44.018 [11]).</w:t>
            </w:r>
          </w:p>
          <w:p w14:paraId="48A13C80" w14:textId="77777777" w:rsidR="00711444" w:rsidRPr="004D0DAA" w:rsidRDefault="00711444" w:rsidP="00AA2A4C">
            <w:r w:rsidRPr="004D0DAA">
              <w:t>The field is encoded as a binary number with a range 0 to 31.</w:t>
            </w:r>
          </w:p>
        </w:tc>
      </w:tr>
      <w:tr w:rsidR="00711444" w:rsidRPr="004D0DAA" w14:paraId="7717B0DD" w14:textId="77777777" w:rsidTr="00AA2A4C">
        <w:trPr>
          <w:cantSplit/>
          <w:trHeight w:val="113"/>
        </w:trPr>
        <w:tc>
          <w:tcPr>
            <w:tcW w:w="9848" w:type="dxa"/>
            <w:shd w:val="clear" w:color="auto" w:fill="auto"/>
          </w:tcPr>
          <w:p w14:paraId="0ACDFF69" w14:textId="77777777" w:rsidR="00711444" w:rsidRPr="004D0DAA" w:rsidRDefault="00711444" w:rsidP="00AA2A4C">
            <w:pPr>
              <w:rPr>
                <w:bCs/>
              </w:rPr>
            </w:pPr>
            <w:r w:rsidRPr="004D0DAA">
              <w:rPr>
                <w:b/>
              </w:rPr>
              <w:t xml:space="preserve">UL_COVERAGE_CLASS </w:t>
            </w:r>
            <w:r w:rsidRPr="004D0DAA">
              <w:t>(2 bit field)</w:t>
            </w:r>
            <w:r w:rsidRPr="004D0DAA">
              <w:br/>
              <w:t xml:space="preserve">This field indicates the UL Coverage Class that is assigned for the UL EC TBF. The interpretation of the field is dependent on the field </w:t>
            </w:r>
            <w:r w:rsidRPr="004D0DAA">
              <w:rPr>
                <w:b/>
              </w:rPr>
              <w:t xml:space="preserve">UL_COVERAGE_CLASS_EXT </w:t>
            </w:r>
            <w:r w:rsidRPr="004D0DAA">
              <w:t xml:space="preserve">(see further below). </w:t>
            </w:r>
            <w:r w:rsidRPr="004D0DAA">
              <w:rPr>
                <w:bCs/>
              </w:rPr>
              <w:t xml:space="preserve">The UL_COVERAGE_CLASS field shall be set according to the following table in case </w:t>
            </w:r>
            <w:r w:rsidRPr="004D0DAA">
              <w:rPr>
                <w:b/>
              </w:rPr>
              <w:t xml:space="preserve">UL_COVERAGE_CLASS_EXT </w:t>
            </w:r>
            <w:r w:rsidRPr="004D0DAA">
              <w:t>= 0</w:t>
            </w:r>
            <w:r w:rsidRPr="004D0DAA">
              <w:rPr>
                <w:bCs/>
              </w:rPr>
              <w:t>:</w:t>
            </w:r>
          </w:p>
          <w:p w14:paraId="1BCC165F" w14:textId="77777777" w:rsidR="00711444" w:rsidRPr="004D0DAA" w:rsidRDefault="00711444" w:rsidP="00AA2A4C">
            <w:pPr>
              <w:pStyle w:val="FP"/>
              <w:tabs>
                <w:tab w:val="left" w:pos="567"/>
              </w:tabs>
              <w:ind w:left="567" w:hanging="567"/>
            </w:pPr>
            <w:r w:rsidRPr="004D0DAA">
              <w:t>bit</w:t>
            </w:r>
          </w:p>
          <w:p w14:paraId="7F82E8F7" w14:textId="77777777" w:rsidR="00711444" w:rsidRPr="004D0DAA" w:rsidRDefault="00711444" w:rsidP="00AA2A4C">
            <w:pPr>
              <w:pStyle w:val="FP"/>
              <w:tabs>
                <w:tab w:val="left" w:pos="567"/>
              </w:tabs>
              <w:ind w:left="567" w:hanging="567"/>
            </w:pPr>
            <w:r w:rsidRPr="004D0DAA">
              <w:t>2 1</w:t>
            </w:r>
          </w:p>
          <w:p w14:paraId="5C303D3F" w14:textId="77777777" w:rsidR="00711444" w:rsidRPr="004D0DAA" w:rsidRDefault="00711444" w:rsidP="00AA2A4C">
            <w:pPr>
              <w:pStyle w:val="FP"/>
              <w:tabs>
                <w:tab w:val="left" w:pos="567"/>
              </w:tabs>
              <w:ind w:left="567" w:hanging="567"/>
            </w:pPr>
            <w:r w:rsidRPr="004D0DAA">
              <w:t>0 0</w:t>
            </w:r>
            <w:r w:rsidRPr="004D0DAA">
              <w:tab/>
              <w:t>UL Coverage Class = CC1</w:t>
            </w:r>
          </w:p>
          <w:p w14:paraId="41AA7AEB" w14:textId="77777777" w:rsidR="00711444" w:rsidRPr="004D0DAA" w:rsidRDefault="00711444" w:rsidP="00AA2A4C">
            <w:pPr>
              <w:pStyle w:val="FP"/>
              <w:tabs>
                <w:tab w:val="left" w:pos="567"/>
              </w:tabs>
              <w:ind w:left="567" w:hanging="567"/>
            </w:pPr>
            <w:r w:rsidRPr="004D0DAA">
              <w:t>0 1</w:t>
            </w:r>
            <w:r w:rsidRPr="004D0DAA">
              <w:tab/>
              <w:t>UL Coverage Class = CC2</w:t>
            </w:r>
          </w:p>
          <w:p w14:paraId="443A6BD4" w14:textId="77777777" w:rsidR="00711444" w:rsidRPr="004D0DAA" w:rsidRDefault="00711444" w:rsidP="00AA2A4C">
            <w:pPr>
              <w:pStyle w:val="FP"/>
              <w:tabs>
                <w:tab w:val="left" w:pos="567"/>
              </w:tabs>
              <w:ind w:left="567" w:hanging="567"/>
            </w:pPr>
            <w:r w:rsidRPr="004D0DAA">
              <w:t>1 0</w:t>
            </w:r>
            <w:r w:rsidRPr="004D0DAA">
              <w:tab/>
              <w:t>UL Coverage Class = CC3</w:t>
            </w:r>
          </w:p>
          <w:p w14:paraId="1047716B" w14:textId="77777777" w:rsidR="00711444" w:rsidRPr="004D0DAA" w:rsidRDefault="00711444" w:rsidP="00AA2A4C">
            <w:r w:rsidRPr="004D0DAA">
              <w:t>1 1</w:t>
            </w:r>
            <w:r w:rsidRPr="004D0DAA">
              <w:tab/>
            </w:r>
            <w:r w:rsidRPr="004D0DAA">
              <w:tab/>
              <w:t>UL Coverage Class = CC4</w:t>
            </w:r>
          </w:p>
          <w:p w14:paraId="1FD6E1B3" w14:textId="77777777" w:rsidR="00711444" w:rsidRPr="004D0DAA" w:rsidRDefault="00711444" w:rsidP="00AA2A4C">
            <w:pPr>
              <w:rPr>
                <w:bCs/>
              </w:rPr>
            </w:pPr>
            <w:r w:rsidRPr="004D0DAA">
              <w:rPr>
                <w:bCs/>
              </w:rPr>
              <w:t xml:space="preserve">The UL_COVERAGE_CLASS field shall be set according to the following table in case </w:t>
            </w:r>
            <w:r w:rsidRPr="004D0DAA">
              <w:rPr>
                <w:b/>
              </w:rPr>
              <w:t xml:space="preserve">UL_COVERAGE_CLASS_EXT </w:t>
            </w:r>
            <w:r w:rsidRPr="004D0DAA">
              <w:t>= 1</w:t>
            </w:r>
            <w:r w:rsidRPr="004D0DAA">
              <w:rPr>
                <w:bCs/>
              </w:rPr>
              <w:t>:</w:t>
            </w:r>
          </w:p>
          <w:p w14:paraId="119D62FA" w14:textId="77777777" w:rsidR="00711444" w:rsidRPr="004D0DAA" w:rsidRDefault="00711444" w:rsidP="00AA2A4C">
            <w:pPr>
              <w:pStyle w:val="FP"/>
              <w:tabs>
                <w:tab w:val="left" w:pos="567"/>
              </w:tabs>
              <w:ind w:left="567" w:hanging="567"/>
            </w:pPr>
            <w:r w:rsidRPr="004D0DAA">
              <w:t>bit</w:t>
            </w:r>
          </w:p>
          <w:p w14:paraId="5DEAC737" w14:textId="77777777" w:rsidR="00711444" w:rsidRPr="004D0DAA" w:rsidRDefault="00711444" w:rsidP="00AA2A4C">
            <w:pPr>
              <w:pStyle w:val="FP"/>
              <w:tabs>
                <w:tab w:val="left" w:pos="567"/>
              </w:tabs>
              <w:ind w:left="567" w:hanging="567"/>
            </w:pPr>
            <w:r w:rsidRPr="004D0DAA">
              <w:t>2 1</w:t>
            </w:r>
          </w:p>
          <w:p w14:paraId="12E9843E" w14:textId="77777777" w:rsidR="00711444" w:rsidRPr="004D0DAA" w:rsidRDefault="00711444" w:rsidP="00AA2A4C">
            <w:pPr>
              <w:pStyle w:val="FP"/>
              <w:tabs>
                <w:tab w:val="left" w:pos="567"/>
              </w:tabs>
              <w:ind w:left="567" w:hanging="567"/>
            </w:pPr>
            <w:r w:rsidRPr="004D0DAA">
              <w:t>0 0</w:t>
            </w:r>
            <w:r w:rsidRPr="004D0DAA">
              <w:tab/>
              <w:t>UL Coverage Class = CC5</w:t>
            </w:r>
          </w:p>
          <w:p w14:paraId="2382EA49" w14:textId="77777777" w:rsidR="00711444" w:rsidRPr="004D0DAA" w:rsidRDefault="00711444" w:rsidP="00AA2A4C">
            <w:pPr>
              <w:pStyle w:val="FP"/>
              <w:tabs>
                <w:tab w:val="left" w:pos="567"/>
              </w:tabs>
              <w:ind w:left="567" w:hanging="567"/>
            </w:pPr>
            <w:r w:rsidRPr="004D0DAA">
              <w:t>0 1</w:t>
            </w:r>
            <w:r w:rsidRPr="004D0DAA">
              <w:tab/>
              <w:t>reserved</w:t>
            </w:r>
          </w:p>
          <w:p w14:paraId="7062A8FD" w14:textId="77777777" w:rsidR="00711444" w:rsidRPr="004D0DAA" w:rsidRDefault="00711444" w:rsidP="00AA2A4C">
            <w:pPr>
              <w:pStyle w:val="FP"/>
              <w:tabs>
                <w:tab w:val="left" w:pos="567"/>
              </w:tabs>
              <w:ind w:left="567" w:hanging="567"/>
            </w:pPr>
            <w:r w:rsidRPr="004D0DAA">
              <w:t>1 0</w:t>
            </w:r>
            <w:r w:rsidRPr="004D0DAA">
              <w:tab/>
              <w:t>reserved</w:t>
            </w:r>
          </w:p>
          <w:p w14:paraId="13F9F423" w14:textId="77777777" w:rsidR="00711444" w:rsidRPr="004D0DAA" w:rsidRDefault="00711444" w:rsidP="00AA2A4C">
            <w:pPr>
              <w:rPr>
                <w:b/>
              </w:rPr>
            </w:pPr>
            <w:r w:rsidRPr="004D0DAA">
              <w:t>1 1</w:t>
            </w:r>
            <w:r w:rsidRPr="004D0DAA">
              <w:tab/>
            </w:r>
            <w:r w:rsidRPr="004D0DAA">
              <w:tab/>
              <w:t>reserved</w:t>
            </w:r>
          </w:p>
        </w:tc>
      </w:tr>
      <w:tr w:rsidR="00711444" w:rsidRPr="004D0DAA" w14:paraId="4B7275B2" w14:textId="77777777" w:rsidTr="00AA2A4C">
        <w:trPr>
          <w:cantSplit/>
          <w:trHeight w:val="113"/>
        </w:trPr>
        <w:tc>
          <w:tcPr>
            <w:tcW w:w="9848" w:type="dxa"/>
            <w:shd w:val="clear" w:color="auto" w:fill="auto"/>
          </w:tcPr>
          <w:p w14:paraId="62E8F96E" w14:textId="77777777" w:rsidR="00711444" w:rsidRPr="004D0DAA" w:rsidRDefault="00711444" w:rsidP="00AA2A4C">
            <w:pPr>
              <w:rPr>
                <w:bCs/>
              </w:rPr>
            </w:pPr>
            <w:r w:rsidRPr="004D0DAA">
              <w:rPr>
                <w:b/>
              </w:rPr>
              <w:t>STARTING_UL_TIMESLOT</w:t>
            </w:r>
            <w:r w:rsidRPr="004D0DAA">
              <w:t xml:space="preserve"> (3 bit field)</w:t>
            </w:r>
            <w:r w:rsidRPr="004D0DAA">
              <w:rPr>
                <w:b/>
              </w:rPr>
              <w:br/>
            </w:r>
            <w:r w:rsidRPr="004D0DAA">
              <w:t xml:space="preserve">This field defines the timeslot number of the lowest timeslot included in the uplink assignment for the UL EC TBF. The number of additional timeslots that are included in the uplink assignment for the TBF depends on the assigned UL Coverage Class and the Timeslot Multiplicator setting. The assigned timeslots are contiguous, starting with the timeslot number indicated in the STARTING_UL_TIMESLOT field. </w:t>
            </w:r>
            <w:r w:rsidRPr="004D0DAA">
              <w:rPr>
                <w:bCs/>
              </w:rPr>
              <w:t>The field is encoded according to the following table:</w:t>
            </w:r>
          </w:p>
          <w:p w14:paraId="1EB5E793" w14:textId="77777777" w:rsidR="00711444" w:rsidRPr="004D0DAA" w:rsidRDefault="00711444" w:rsidP="00AA2A4C">
            <w:pPr>
              <w:pStyle w:val="FP"/>
              <w:tabs>
                <w:tab w:val="left" w:pos="567"/>
              </w:tabs>
              <w:ind w:left="567" w:hanging="567"/>
            </w:pPr>
            <w:r w:rsidRPr="004D0DAA">
              <w:t>bit</w:t>
            </w:r>
          </w:p>
          <w:p w14:paraId="4381BA7C" w14:textId="77777777" w:rsidR="00711444" w:rsidRPr="004D0DAA" w:rsidRDefault="00711444" w:rsidP="00AA2A4C">
            <w:pPr>
              <w:pStyle w:val="FP"/>
              <w:tabs>
                <w:tab w:val="left" w:pos="567"/>
              </w:tabs>
              <w:ind w:left="567" w:hanging="567"/>
            </w:pPr>
            <w:r w:rsidRPr="004D0DAA">
              <w:t>3 2 1</w:t>
            </w:r>
          </w:p>
          <w:p w14:paraId="62DBF6D8" w14:textId="77777777" w:rsidR="00711444" w:rsidRPr="004D0DAA" w:rsidRDefault="00711444" w:rsidP="00AA2A4C">
            <w:pPr>
              <w:pStyle w:val="FP"/>
              <w:tabs>
                <w:tab w:val="left" w:pos="567"/>
              </w:tabs>
              <w:ind w:left="567" w:hanging="567"/>
            </w:pPr>
            <w:r w:rsidRPr="004D0DAA">
              <w:t>0 0 0</w:t>
            </w:r>
            <w:r w:rsidRPr="004D0DAA">
              <w:tab/>
              <w:t>Timeslot 0 is the lowest assigned uplink timeslot</w:t>
            </w:r>
          </w:p>
          <w:p w14:paraId="2B99A778" w14:textId="77777777" w:rsidR="00711444" w:rsidRPr="004D0DAA" w:rsidRDefault="00711444" w:rsidP="00AA2A4C">
            <w:pPr>
              <w:pStyle w:val="FP"/>
              <w:tabs>
                <w:tab w:val="left" w:pos="567"/>
              </w:tabs>
              <w:ind w:left="567" w:hanging="567"/>
            </w:pPr>
            <w:r w:rsidRPr="004D0DAA">
              <w:t>0 0 1</w:t>
            </w:r>
            <w:r w:rsidRPr="004D0DAA">
              <w:tab/>
              <w:t>Timeslot 1 is the lowest assigned uplink timeslot</w:t>
            </w:r>
          </w:p>
          <w:p w14:paraId="40BA68C1" w14:textId="77777777" w:rsidR="00711444" w:rsidRPr="004D0DAA" w:rsidRDefault="00711444" w:rsidP="00AA2A4C">
            <w:pPr>
              <w:pStyle w:val="FP"/>
              <w:tabs>
                <w:tab w:val="left" w:pos="567"/>
              </w:tabs>
              <w:ind w:left="567" w:hanging="567"/>
            </w:pPr>
            <w:r w:rsidRPr="004D0DAA">
              <w:t>0 1 0</w:t>
            </w:r>
            <w:r w:rsidRPr="004D0DAA">
              <w:tab/>
              <w:t>Timeslot 2 is the lowest assigned uplink timeslot</w:t>
            </w:r>
          </w:p>
          <w:p w14:paraId="4A519CDD" w14:textId="77777777" w:rsidR="00711444" w:rsidRPr="004D0DAA" w:rsidRDefault="00711444" w:rsidP="00AA2A4C">
            <w:r w:rsidRPr="004D0DAA">
              <w:t>0 1 1</w:t>
            </w:r>
            <w:r w:rsidRPr="004D0DAA">
              <w:tab/>
              <w:t>Timeslot 3 is the lowest assigned uplink timeslot</w:t>
            </w:r>
            <w:r w:rsidRPr="004D0DAA">
              <w:br/>
              <w:t xml:space="preserve">1 0 0 </w:t>
            </w:r>
            <w:r w:rsidRPr="004D0DAA">
              <w:tab/>
              <w:t>Timeslot 4 is the lowest assigned uplink timeslot</w:t>
            </w:r>
            <w:r w:rsidRPr="004D0DAA">
              <w:br/>
              <w:t xml:space="preserve">1 0 1 </w:t>
            </w:r>
            <w:r w:rsidRPr="004D0DAA">
              <w:tab/>
              <w:t>Timeslot 5 is the lowest assigned uplink timeslot</w:t>
            </w:r>
            <w:r w:rsidRPr="004D0DAA">
              <w:br/>
              <w:t xml:space="preserve">1 1 0 </w:t>
            </w:r>
            <w:r w:rsidRPr="004D0DAA">
              <w:tab/>
              <w:t>Timeslot 6 is the lowest assigned uplink timeslot</w:t>
            </w:r>
            <w:r w:rsidRPr="004D0DAA">
              <w:br/>
              <w:t xml:space="preserve">1 1 1 </w:t>
            </w:r>
            <w:r w:rsidRPr="004D0DAA">
              <w:tab/>
              <w:t>Timeslot 7 is the lowest assigned uplink timeslot</w:t>
            </w:r>
            <w:r w:rsidRPr="004D0DAA">
              <w:br/>
            </w:r>
          </w:p>
          <w:p w14:paraId="37FBA194" w14:textId="77777777" w:rsidR="00711444" w:rsidRPr="004D0DAA" w:rsidRDefault="00711444" w:rsidP="00AA2A4C">
            <w:r w:rsidRPr="004D0DAA">
              <w:t>A mobile station assigned CC2, CC3 or CC4 is always assigned 4 consecutive timeslots if the field EC_Reduced_PDCH_Allocation is set to 0 in the EC SYSTEM INFORMATION TYPE 2 message, (see 3GPP TS 44.018). Therefore only timeslot 0, 1, 2, 3 or 4 may be indicated as the lowest assigned uplink timeslot when the assignment is for CC2, CC3, CC4 or CC5 in the uplink. If the field EC_Reduced_PDCH_Allocation is set to 1 a mobile station assigned CC2, CC3, CC4 or CC5 is always assigned 2 consecutive timeslots and therefore only a timeslot other than 7, i.e 0 to 6, shall be indicated as the lowest assigned uplink timeslot.</w:t>
            </w:r>
          </w:p>
        </w:tc>
      </w:tr>
      <w:tr w:rsidR="00711444" w:rsidRPr="004D0DAA" w14:paraId="38633745" w14:textId="77777777" w:rsidTr="00AA2A4C">
        <w:trPr>
          <w:cantSplit/>
          <w:trHeight w:val="113"/>
        </w:trPr>
        <w:tc>
          <w:tcPr>
            <w:tcW w:w="9848" w:type="dxa"/>
            <w:shd w:val="clear" w:color="auto" w:fill="auto"/>
          </w:tcPr>
          <w:p w14:paraId="0119F9B8" w14:textId="77777777" w:rsidR="00711444" w:rsidRPr="004D0DAA" w:rsidRDefault="00711444" w:rsidP="00AA2A4C">
            <w:r w:rsidRPr="004D0DAA">
              <w:rPr>
                <w:b/>
              </w:rPr>
              <w:lastRenderedPageBreak/>
              <w:t>TIMESLOT_MULTIPLICATOR</w:t>
            </w:r>
            <w:r w:rsidRPr="004D0DAA">
              <w:t xml:space="preserve"> (3 bit field)</w:t>
            </w:r>
            <w:r w:rsidRPr="004D0DAA">
              <w:rPr>
                <w:b/>
              </w:rPr>
              <w:br/>
            </w:r>
            <w:r w:rsidRPr="004D0DAA">
              <w:t>This field defines how many UL timeslots that the assignment contains when the assigned UL Coverage Class, according to the UL_COVERAGE_CLASS field, is CC1. The field is coded according to the following table:</w:t>
            </w:r>
          </w:p>
          <w:p w14:paraId="5C8DC954" w14:textId="77777777" w:rsidR="00711444" w:rsidRPr="004D0DAA" w:rsidRDefault="00711444" w:rsidP="00AA2A4C">
            <w:pPr>
              <w:pStyle w:val="FP"/>
              <w:tabs>
                <w:tab w:val="left" w:pos="567"/>
              </w:tabs>
              <w:ind w:left="567" w:hanging="567"/>
            </w:pPr>
            <w:r w:rsidRPr="004D0DAA">
              <w:t>bit</w:t>
            </w:r>
          </w:p>
          <w:p w14:paraId="46719247" w14:textId="77777777" w:rsidR="00711444" w:rsidRPr="004D0DAA" w:rsidRDefault="00711444" w:rsidP="00AA2A4C">
            <w:pPr>
              <w:pStyle w:val="FP"/>
              <w:tabs>
                <w:tab w:val="left" w:pos="567"/>
              </w:tabs>
              <w:ind w:left="567" w:hanging="567"/>
            </w:pPr>
            <w:r w:rsidRPr="004D0DAA">
              <w:t>3 2 1</w:t>
            </w:r>
          </w:p>
          <w:p w14:paraId="0E058F47" w14:textId="77777777" w:rsidR="00711444" w:rsidRPr="004D0DAA" w:rsidRDefault="00711444" w:rsidP="00AA2A4C">
            <w:pPr>
              <w:pStyle w:val="FP"/>
              <w:tabs>
                <w:tab w:val="left" w:pos="567"/>
              </w:tabs>
              <w:ind w:left="567" w:hanging="567"/>
            </w:pPr>
            <w:r w:rsidRPr="004D0DAA">
              <w:t>0 0 0</w:t>
            </w:r>
            <w:r w:rsidRPr="004D0DAA">
              <w:tab/>
              <w:t>1 timeslot assigned</w:t>
            </w:r>
          </w:p>
          <w:p w14:paraId="06565656" w14:textId="77777777" w:rsidR="00711444" w:rsidRPr="004D0DAA" w:rsidRDefault="00711444" w:rsidP="00AA2A4C">
            <w:pPr>
              <w:pStyle w:val="FP"/>
              <w:tabs>
                <w:tab w:val="left" w:pos="567"/>
              </w:tabs>
              <w:ind w:left="567" w:hanging="567"/>
            </w:pPr>
            <w:r w:rsidRPr="004D0DAA">
              <w:t>0 0 1</w:t>
            </w:r>
            <w:r w:rsidRPr="004D0DAA">
              <w:tab/>
              <w:t>2 timeslots assigned</w:t>
            </w:r>
          </w:p>
          <w:p w14:paraId="393AD5EB" w14:textId="77777777" w:rsidR="00711444" w:rsidRPr="004D0DAA" w:rsidRDefault="00711444" w:rsidP="00AA2A4C">
            <w:pPr>
              <w:pStyle w:val="FP"/>
              <w:tabs>
                <w:tab w:val="left" w:pos="567"/>
              </w:tabs>
              <w:ind w:left="567" w:hanging="567"/>
            </w:pPr>
            <w:r w:rsidRPr="004D0DAA">
              <w:t>0 1 0</w:t>
            </w:r>
            <w:r w:rsidRPr="004D0DAA">
              <w:tab/>
              <w:t>3 timeslots assigned</w:t>
            </w:r>
          </w:p>
          <w:p w14:paraId="212D6673" w14:textId="77777777" w:rsidR="00711444" w:rsidRPr="004D0DAA" w:rsidRDefault="00711444" w:rsidP="00AA2A4C">
            <w:pPr>
              <w:pStyle w:val="FP"/>
              <w:tabs>
                <w:tab w:val="left" w:pos="567"/>
              </w:tabs>
              <w:ind w:left="567" w:hanging="567"/>
            </w:pPr>
            <w:r w:rsidRPr="004D0DAA">
              <w:t>0 1 1</w:t>
            </w:r>
            <w:r w:rsidRPr="004D0DAA">
              <w:tab/>
              <w:t>4 timeslots assigned</w:t>
            </w:r>
          </w:p>
          <w:p w14:paraId="65C00797" w14:textId="77777777" w:rsidR="00711444" w:rsidRPr="004D0DAA" w:rsidRDefault="00711444" w:rsidP="00AA2A4C">
            <w:pPr>
              <w:pStyle w:val="FP"/>
              <w:tabs>
                <w:tab w:val="left" w:pos="567"/>
              </w:tabs>
              <w:ind w:left="567" w:hanging="567"/>
            </w:pPr>
            <w:r w:rsidRPr="004D0DAA">
              <w:t>1 0 0</w:t>
            </w:r>
            <w:r w:rsidRPr="004D0DAA">
              <w:tab/>
              <w:t>5 timeslots assigned</w:t>
            </w:r>
          </w:p>
          <w:p w14:paraId="12F02671" w14:textId="77777777" w:rsidR="00711444" w:rsidRPr="004D0DAA" w:rsidRDefault="00711444" w:rsidP="00AA2A4C">
            <w:pPr>
              <w:pStyle w:val="FP"/>
              <w:tabs>
                <w:tab w:val="left" w:pos="567"/>
              </w:tabs>
              <w:ind w:left="567" w:hanging="567"/>
            </w:pPr>
            <w:r w:rsidRPr="004D0DAA">
              <w:t>1 0 1</w:t>
            </w:r>
            <w:r w:rsidRPr="004D0DAA">
              <w:tab/>
              <w:t>6 timeslots assigned</w:t>
            </w:r>
          </w:p>
          <w:p w14:paraId="21FF76D3" w14:textId="77777777" w:rsidR="00711444" w:rsidRPr="004D0DAA" w:rsidRDefault="00711444" w:rsidP="00AA2A4C">
            <w:pPr>
              <w:pStyle w:val="FP"/>
              <w:tabs>
                <w:tab w:val="left" w:pos="567"/>
              </w:tabs>
              <w:ind w:left="567" w:hanging="567"/>
            </w:pPr>
            <w:r w:rsidRPr="004D0DAA">
              <w:t>1 1 0</w:t>
            </w:r>
            <w:r w:rsidRPr="004D0DAA">
              <w:tab/>
              <w:t>7 timeslots assigned</w:t>
            </w:r>
          </w:p>
          <w:p w14:paraId="607E31DA" w14:textId="77777777" w:rsidR="00711444" w:rsidRPr="004D0DAA" w:rsidRDefault="00711444" w:rsidP="00AA2A4C">
            <w:r w:rsidRPr="004D0DAA">
              <w:t>1 1 1</w:t>
            </w:r>
            <w:r w:rsidRPr="004D0DAA">
              <w:tab/>
              <w:t>8 timeslots assigned</w:t>
            </w:r>
          </w:p>
          <w:p w14:paraId="644B50AF" w14:textId="77777777" w:rsidR="00711444" w:rsidRPr="004D0DAA" w:rsidRDefault="00711444" w:rsidP="00AA2A4C">
            <w:pPr>
              <w:rPr>
                <w:b/>
              </w:rPr>
            </w:pPr>
            <w:r w:rsidRPr="004D0DAA">
              <w:t>Values other than ‘000’ can only be used if supported by the mobile station, as indicated by its multislot capability, see 3GPP TS 45.002. If the assigned uplink Coverage Class &gt; CC1 (according to the UL_COVERAGE_CLASS field), the mobile station shall consider the TIMESLOT_MULTIPLICATOR field as not valid</w:t>
            </w:r>
          </w:p>
        </w:tc>
      </w:tr>
      <w:tr w:rsidR="00711444" w:rsidRPr="004D0DAA" w14:paraId="7E95894C" w14:textId="77777777" w:rsidTr="00AA2A4C">
        <w:trPr>
          <w:cantSplit/>
          <w:trHeight w:val="113"/>
        </w:trPr>
        <w:tc>
          <w:tcPr>
            <w:tcW w:w="9848" w:type="dxa"/>
            <w:shd w:val="clear" w:color="auto" w:fill="auto"/>
          </w:tcPr>
          <w:p w14:paraId="514C28E8" w14:textId="77777777" w:rsidR="00711444" w:rsidRPr="004D0DAA" w:rsidRDefault="00711444" w:rsidP="00AA2A4C">
            <w:r w:rsidRPr="004D0DAA">
              <w:rPr>
                <w:b/>
              </w:rPr>
              <w:lastRenderedPageBreak/>
              <w:t xml:space="preserve">START_FIRST_UL_RLC_DATA_BLOCK </w:t>
            </w:r>
            <w:r w:rsidRPr="004D0DAA">
              <w:t>(4 bit field)</w:t>
            </w:r>
            <w:r w:rsidRPr="004D0DAA">
              <w:br/>
              <w:t>This field indicates the starting position of the resources for the first allocated RLC Data block in the fixed uplink allocation. The starting position is relative to the first TDMA frame (N) of the downlink block containing the last blind physical layer transmission of this EC PACKET UPLINK ASSIGNMENT message, according to the USED_DL_COVERAGE_CLASS field. The encoding of the field is dependent of the value of the UL_COVERAGE_CLASS and the TIMESLOT_MULTIPLICATOR fields in the same message.</w:t>
            </w:r>
          </w:p>
          <w:p w14:paraId="71CA3A20" w14:textId="77777777" w:rsidR="00711444" w:rsidRPr="004D0DAA" w:rsidRDefault="00711444" w:rsidP="00AA2A4C">
            <w:r w:rsidRPr="004D0DAA">
              <w:t xml:space="preserve">If UL_COVERAGE_CLASS = CC1 and TIMESLOT_MULTIPLICATOR = 0 or if UL_COVERAGE_CLASS = CC2, the START_FN_FIRST_UL_RLC_DATA_BLOCK field </w:t>
            </w:r>
            <w:r w:rsidRPr="004D0DAA">
              <w:rPr>
                <w:bCs/>
              </w:rPr>
              <w:t>is encoded according to the following table:</w:t>
            </w:r>
          </w:p>
          <w:p w14:paraId="7624C267" w14:textId="77777777" w:rsidR="00711444" w:rsidRPr="004D0DAA" w:rsidRDefault="00711444" w:rsidP="00AA2A4C">
            <w:pPr>
              <w:pStyle w:val="FP"/>
              <w:tabs>
                <w:tab w:val="left" w:pos="567"/>
              </w:tabs>
              <w:ind w:left="567" w:hanging="567"/>
            </w:pPr>
            <w:r w:rsidRPr="004D0DAA">
              <w:t>bit</w:t>
            </w:r>
          </w:p>
          <w:p w14:paraId="7B42CF18" w14:textId="77777777" w:rsidR="00711444" w:rsidRPr="004D0DAA" w:rsidRDefault="00711444" w:rsidP="00AA2A4C">
            <w:pPr>
              <w:pStyle w:val="FP"/>
              <w:tabs>
                <w:tab w:val="left" w:pos="567"/>
              </w:tabs>
              <w:ind w:left="567" w:hanging="567"/>
            </w:pPr>
            <w:r w:rsidRPr="004D0DAA">
              <w:t>4 3 2 1</w:t>
            </w:r>
          </w:p>
          <w:p w14:paraId="4D0FB84A"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w:t>
            </w:r>
          </w:p>
          <w:p w14:paraId="6F1DD05D"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(N+17 or N+18) mod 2715648</w:t>
            </w:r>
          </w:p>
          <w:p w14:paraId="65CF65B0"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(N+21 or N+22) mod 2715648</w:t>
            </w:r>
          </w:p>
          <w:p w14:paraId="607CEBF9"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(N+26) mod 2715648</w:t>
            </w:r>
          </w:p>
          <w:p w14:paraId="3375A3E6"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(N+30 or N+31) mod 2715648</w:t>
            </w:r>
          </w:p>
          <w:p w14:paraId="431D6C5F" w14:textId="77777777" w:rsidR="00711444" w:rsidRPr="004D0DAA" w:rsidRDefault="00711444" w:rsidP="00AA2A4C">
            <w:pPr>
              <w:pStyle w:val="FP"/>
              <w:tabs>
                <w:tab w:val="left" w:pos="567"/>
              </w:tabs>
              <w:ind w:left="567" w:hanging="567"/>
            </w:pPr>
            <w:r w:rsidRPr="004D0DAA">
              <w:t>….</w:t>
            </w:r>
          </w:p>
          <w:p w14:paraId="5AD34CBB"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(N+73 or N+74) mod 2715648</w:t>
            </w:r>
          </w:p>
          <w:p w14:paraId="77338210" w14:textId="77777777" w:rsidR="00711444" w:rsidRPr="004D0DAA" w:rsidRDefault="00711444" w:rsidP="00AA2A4C">
            <w:r w:rsidRPr="004D0DAA">
              <w:t>1 1 1 1</w:t>
            </w:r>
            <w:r w:rsidRPr="004D0DAA">
              <w:tab/>
            </w:r>
            <w:r w:rsidRPr="004D0DAA">
              <w:tab/>
            </w:r>
            <w:r w:rsidRPr="004D0DAA">
              <w:tab/>
              <w:t>In the TDMA frame (N+78) mod 2715648</w:t>
            </w:r>
          </w:p>
          <w:p w14:paraId="0E11A1BE" w14:textId="77777777" w:rsidR="00711444" w:rsidRPr="004D0DAA" w:rsidRDefault="00711444" w:rsidP="00AA2A4C">
            <w:r w:rsidRPr="004D0DAA">
              <w:t xml:space="preserve">If UL_COVERAGE_CLASS = CC1 and TIMESLOT_MULTIPLICATOR = 1, the START_FN_FIRST_UL_RLC_DATA_BLOCK field </w:t>
            </w:r>
            <w:r w:rsidRPr="004D0DAA">
              <w:rPr>
                <w:bCs/>
              </w:rPr>
              <w:t>is encoded according to the following table:</w:t>
            </w:r>
          </w:p>
          <w:p w14:paraId="5576A84D" w14:textId="77777777" w:rsidR="00711444" w:rsidRPr="004D0DAA" w:rsidRDefault="00711444" w:rsidP="00AA2A4C">
            <w:pPr>
              <w:pStyle w:val="FP"/>
              <w:tabs>
                <w:tab w:val="left" w:pos="567"/>
              </w:tabs>
              <w:ind w:left="567" w:hanging="567"/>
            </w:pPr>
            <w:r w:rsidRPr="004D0DAA">
              <w:t>bit</w:t>
            </w:r>
          </w:p>
          <w:p w14:paraId="4423673E" w14:textId="77777777" w:rsidR="00711444" w:rsidRPr="004D0DAA" w:rsidRDefault="00711444" w:rsidP="00AA2A4C">
            <w:pPr>
              <w:pStyle w:val="FP"/>
              <w:tabs>
                <w:tab w:val="left" w:pos="567"/>
              </w:tabs>
              <w:ind w:left="567" w:hanging="567"/>
            </w:pPr>
            <w:r w:rsidRPr="004D0DAA">
              <w:t>4 3 2 1</w:t>
            </w:r>
          </w:p>
          <w:p w14:paraId="1D3C8420"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35A587DB"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highest TN in TDMA frame (N+13) mod 2715648</w:t>
            </w:r>
          </w:p>
          <w:p w14:paraId="2A59BA4C"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lowest TN in TDMA frame (N+17 or N+18) mod 2715648</w:t>
            </w:r>
          </w:p>
          <w:p w14:paraId="4F4CB200"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(N+17 or N+18) mod 2715648</w:t>
            </w:r>
          </w:p>
          <w:p w14:paraId="4C559346" w14:textId="77777777" w:rsidR="00711444" w:rsidRPr="004D0DAA" w:rsidRDefault="00711444" w:rsidP="00AA2A4C">
            <w:pPr>
              <w:pStyle w:val="FP"/>
              <w:tabs>
                <w:tab w:val="left" w:pos="567"/>
              </w:tabs>
              <w:ind w:left="567" w:hanging="567"/>
            </w:pPr>
            <w:r w:rsidRPr="004D0DAA">
              <w:t>….</w:t>
            </w:r>
          </w:p>
          <w:p w14:paraId="09FFC624"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(N+43 or N+44) mod 2715648</w:t>
            </w:r>
          </w:p>
          <w:p w14:paraId="34610129" w14:textId="77777777" w:rsidR="00711444" w:rsidRPr="004D0DAA" w:rsidRDefault="00711444" w:rsidP="00AA2A4C">
            <w:r w:rsidRPr="004D0DAA">
              <w:t>1 1 1 1</w:t>
            </w:r>
            <w:r w:rsidRPr="004D0DAA">
              <w:tab/>
            </w:r>
            <w:r w:rsidRPr="004D0DAA">
              <w:tab/>
            </w:r>
            <w:r w:rsidRPr="004D0DAA">
              <w:tab/>
              <w:t>In the timeslot with the highest TN in TDMA frame (N+43 or N+44) mod 2715648</w:t>
            </w:r>
          </w:p>
          <w:p w14:paraId="08765093" w14:textId="77777777" w:rsidR="00711444" w:rsidRPr="004D0DAA" w:rsidRDefault="00711444" w:rsidP="00AA2A4C">
            <w:r w:rsidRPr="004D0DAA">
              <w:t xml:space="preserve">If UL_COVERAGE_CLASS = CC1 and TIMESLOT_MULTIPLICATOR = 2, the START_FN_FIRST_UL_RLC_DATA_BLOCK field </w:t>
            </w:r>
            <w:r w:rsidRPr="004D0DAA">
              <w:rPr>
                <w:bCs/>
              </w:rPr>
              <w:t>is encoded according to the following table:</w:t>
            </w:r>
          </w:p>
          <w:p w14:paraId="3DFDC03D" w14:textId="77777777" w:rsidR="00711444" w:rsidRPr="004D0DAA" w:rsidRDefault="00711444" w:rsidP="00AA2A4C">
            <w:pPr>
              <w:pStyle w:val="FP"/>
              <w:tabs>
                <w:tab w:val="left" w:pos="567"/>
              </w:tabs>
              <w:ind w:left="567" w:hanging="567"/>
            </w:pPr>
            <w:r w:rsidRPr="004D0DAA">
              <w:t>bit</w:t>
            </w:r>
          </w:p>
          <w:p w14:paraId="4AC4BDC6" w14:textId="77777777" w:rsidR="00711444" w:rsidRPr="004D0DAA" w:rsidRDefault="00711444" w:rsidP="00AA2A4C">
            <w:pPr>
              <w:pStyle w:val="FP"/>
              <w:tabs>
                <w:tab w:val="left" w:pos="567"/>
              </w:tabs>
              <w:ind w:left="567" w:hanging="567"/>
            </w:pPr>
            <w:r w:rsidRPr="004D0DAA">
              <w:t>4 3 2 1</w:t>
            </w:r>
          </w:p>
          <w:p w14:paraId="78B1380F"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41C07D34"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10900125"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highest TN in TDMA frame (N+13) mod 2715648</w:t>
            </w:r>
          </w:p>
          <w:p w14:paraId="7F88A654"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lowest TN in TDMA frame (N+17 or N+18) mod 2715648</w:t>
            </w:r>
          </w:p>
          <w:p w14:paraId="3861E611"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1EC3F644"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(N+17 or N+18) mod 2715648</w:t>
            </w:r>
          </w:p>
          <w:p w14:paraId="5ECB4B3E" w14:textId="77777777" w:rsidR="00711444" w:rsidRPr="004D0DAA" w:rsidRDefault="00711444" w:rsidP="00AA2A4C">
            <w:pPr>
              <w:pStyle w:val="FP"/>
              <w:tabs>
                <w:tab w:val="left" w:pos="567"/>
              </w:tabs>
              <w:ind w:left="567" w:hanging="567"/>
            </w:pPr>
            <w:r w:rsidRPr="004D0DAA">
              <w:t>….</w:t>
            </w:r>
          </w:p>
          <w:p w14:paraId="381280BC"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(N+30 or N+31) mod 2715648</w:t>
            </w:r>
          </w:p>
          <w:p w14:paraId="38E185C3" w14:textId="77777777" w:rsidR="00711444" w:rsidRPr="004D0DAA" w:rsidRDefault="00711444" w:rsidP="00AA2A4C">
            <w:r w:rsidRPr="004D0DAA">
              <w:t>1 1 1 1</w:t>
            </w:r>
            <w:r w:rsidRPr="004D0DAA">
              <w:tab/>
            </w:r>
            <w:r w:rsidRPr="004D0DAA">
              <w:tab/>
            </w:r>
            <w:r w:rsidRPr="004D0DAA">
              <w:tab/>
              <w:t>In the timeslot with the lowest TN in TDMA frame (N+34 or N+35) mod 2715648</w:t>
            </w:r>
          </w:p>
          <w:p w14:paraId="3ED55F09" w14:textId="77777777" w:rsidR="00711444" w:rsidRPr="004D0DAA" w:rsidRDefault="00711444" w:rsidP="00AA2A4C">
            <w:r w:rsidRPr="004D0DAA">
              <w:t xml:space="preserve">If UL_COVERAGE_CLASS = CC1 and TIMESLOT_MULTIPLICATOR = 3, the START_FN_FIRST_UL_RLC_DATA_BLOCK field </w:t>
            </w:r>
            <w:r w:rsidRPr="004D0DAA">
              <w:rPr>
                <w:bCs/>
              </w:rPr>
              <w:t>is encoded according to the following table:</w:t>
            </w:r>
          </w:p>
          <w:p w14:paraId="1AABA3E7" w14:textId="77777777" w:rsidR="00711444" w:rsidRPr="004D0DAA" w:rsidRDefault="00711444" w:rsidP="00AA2A4C">
            <w:pPr>
              <w:pStyle w:val="FP"/>
              <w:tabs>
                <w:tab w:val="left" w:pos="567"/>
              </w:tabs>
              <w:ind w:left="567" w:hanging="567"/>
            </w:pPr>
            <w:r w:rsidRPr="004D0DAA">
              <w:t>bit</w:t>
            </w:r>
          </w:p>
          <w:p w14:paraId="45BBA145" w14:textId="77777777" w:rsidR="00711444" w:rsidRPr="004D0DAA" w:rsidRDefault="00711444" w:rsidP="00AA2A4C">
            <w:pPr>
              <w:pStyle w:val="FP"/>
              <w:tabs>
                <w:tab w:val="left" w:pos="567"/>
              </w:tabs>
              <w:ind w:left="567" w:hanging="567"/>
            </w:pPr>
            <w:r w:rsidRPr="004D0DAA">
              <w:t>4 3 2 1</w:t>
            </w:r>
          </w:p>
          <w:p w14:paraId="4A26B16D"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497188E0"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239CD0E5"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52069AA9"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(N+13) mod 2715648</w:t>
            </w:r>
          </w:p>
          <w:p w14:paraId="62682B72"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lowest TN in TDMA frame (N+17 or N+18) mod 2715648</w:t>
            </w:r>
          </w:p>
          <w:p w14:paraId="51579D63"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293DCB2A" w14:textId="77777777" w:rsidR="00711444" w:rsidRPr="004D0DAA" w:rsidRDefault="00711444" w:rsidP="00AA2A4C">
            <w:pPr>
              <w:pStyle w:val="FP"/>
              <w:tabs>
                <w:tab w:val="left" w:pos="567"/>
              </w:tabs>
              <w:ind w:left="567" w:hanging="567"/>
            </w:pPr>
            <w:r w:rsidRPr="004D0DAA">
              <w:t>….</w:t>
            </w:r>
          </w:p>
          <w:p w14:paraId="42A7C8D3"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(N+26) mod 2715648</w:t>
            </w:r>
          </w:p>
          <w:p w14:paraId="39D013D4" w14:textId="77777777" w:rsidR="00711444" w:rsidRPr="004D0DAA" w:rsidRDefault="00711444" w:rsidP="00AA2A4C">
            <w:pPr>
              <w:pStyle w:val="FP"/>
              <w:tabs>
                <w:tab w:val="left" w:pos="567"/>
              </w:tabs>
              <w:spacing w:after="180"/>
              <w:ind w:left="562" w:hanging="562"/>
            </w:pPr>
            <w:r w:rsidRPr="004D0DAA">
              <w:t>1 1 1 1</w:t>
            </w:r>
            <w:r w:rsidRPr="004D0DAA">
              <w:tab/>
            </w:r>
            <w:r w:rsidRPr="004D0DAA">
              <w:tab/>
            </w:r>
            <w:r w:rsidRPr="004D0DAA">
              <w:tab/>
            </w:r>
            <w:r w:rsidRPr="004D0DAA">
              <w:tab/>
            </w:r>
            <w:r w:rsidRPr="004D0DAA">
              <w:tab/>
              <w:t>In the timeslot with the highest TN in TDMA frame (N+26) mod 2715648</w:t>
            </w:r>
          </w:p>
        </w:tc>
      </w:tr>
      <w:tr w:rsidR="00711444" w:rsidRPr="004D0DAA" w14:paraId="78711233" w14:textId="77777777" w:rsidTr="00AA2A4C">
        <w:trPr>
          <w:cantSplit/>
          <w:trHeight w:val="14454"/>
        </w:trPr>
        <w:tc>
          <w:tcPr>
            <w:tcW w:w="9848" w:type="dxa"/>
            <w:shd w:val="clear" w:color="auto" w:fill="auto"/>
          </w:tcPr>
          <w:p w14:paraId="49C12E48" w14:textId="77777777" w:rsidR="00711444" w:rsidRPr="004D0DAA" w:rsidRDefault="00711444" w:rsidP="00AA2A4C">
            <w:r w:rsidRPr="004D0DAA">
              <w:lastRenderedPageBreak/>
              <w:t xml:space="preserve">If UL_COVERAGE_CLASS = CC1 and TIMESLOT_MULTIPLICATOR = 4, the START_FN_FIRST_UL_RLC_DATA_BLOCK field </w:t>
            </w:r>
            <w:r w:rsidRPr="004D0DAA">
              <w:rPr>
                <w:bCs/>
              </w:rPr>
              <w:t>is encoded according to the following table:</w:t>
            </w:r>
          </w:p>
          <w:p w14:paraId="13195BCC" w14:textId="77777777" w:rsidR="00711444" w:rsidRPr="004D0DAA" w:rsidRDefault="00711444" w:rsidP="00AA2A4C">
            <w:pPr>
              <w:pStyle w:val="FP"/>
              <w:tabs>
                <w:tab w:val="left" w:pos="567"/>
              </w:tabs>
              <w:ind w:left="567" w:hanging="567"/>
            </w:pPr>
            <w:r w:rsidRPr="004D0DAA">
              <w:t>bit</w:t>
            </w:r>
          </w:p>
          <w:p w14:paraId="4EE35A34" w14:textId="77777777" w:rsidR="00711444" w:rsidRPr="004D0DAA" w:rsidRDefault="00711444" w:rsidP="00AA2A4C">
            <w:pPr>
              <w:pStyle w:val="FP"/>
              <w:tabs>
                <w:tab w:val="left" w:pos="567"/>
              </w:tabs>
              <w:ind w:left="567" w:hanging="567"/>
            </w:pPr>
            <w:r w:rsidRPr="004D0DAA">
              <w:t>4 3 2 1</w:t>
            </w:r>
          </w:p>
          <w:p w14:paraId="03086678"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744FBA72"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31B091BE"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5DD3E6D6"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254B7E27"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highest TN in TDMA frame (N+13) mod 2715648</w:t>
            </w:r>
          </w:p>
          <w:p w14:paraId="5C3372E9"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lowest TN in TDMA frame (N+17 or N+18) mod 2715648</w:t>
            </w:r>
          </w:p>
          <w:p w14:paraId="3CCC3F31" w14:textId="77777777" w:rsidR="00711444" w:rsidRPr="004D0DAA" w:rsidRDefault="00711444" w:rsidP="00AA2A4C">
            <w:pPr>
              <w:pStyle w:val="FP"/>
              <w:tabs>
                <w:tab w:val="left" w:pos="567"/>
              </w:tabs>
              <w:ind w:left="567" w:hanging="567"/>
            </w:pPr>
            <w:r w:rsidRPr="004D0DAA">
              <w:t>….</w:t>
            </w:r>
          </w:p>
          <w:p w14:paraId="02A11FE2"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(N+21 or N+22) mod 2715648</w:t>
            </w:r>
          </w:p>
          <w:p w14:paraId="7A50D5D9" w14:textId="77777777" w:rsidR="00711444" w:rsidRPr="004D0DAA" w:rsidRDefault="00711444" w:rsidP="00AA2A4C">
            <w:r w:rsidRPr="004D0DAA">
              <w:t>1 1 1 1</w:t>
            </w:r>
            <w:r w:rsidRPr="004D0DAA">
              <w:tab/>
            </w:r>
            <w:r w:rsidRPr="004D0DAA">
              <w:tab/>
            </w:r>
            <w:r w:rsidRPr="004D0DAA">
              <w:tab/>
              <w:t>In the timeslot with the lowest TN in TDMA frame (N+26) mod 2715648</w:t>
            </w:r>
          </w:p>
          <w:p w14:paraId="0A28E13F" w14:textId="77777777" w:rsidR="00711444" w:rsidRPr="004D0DAA" w:rsidRDefault="00711444" w:rsidP="00AA2A4C">
            <w:r w:rsidRPr="004D0DAA">
              <w:t xml:space="preserve">If UL_COVERAGE_CLASS = CC1 and TIMESLOT_MULTIPLICATOR = 5, the START_FN_FIRST_UL_RLC_DATA_BLOCK field </w:t>
            </w:r>
            <w:r w:rsidRPr="004D0DAA">
              <w:rPr>
                <w:bCs/>
              </w:rPr>
              <w:t>is encoded according to the following table:</w:t>
            </w:r>
          </w:p>
          <w:p w14:paraId="5D55D838" w14:textId="77777777" w:rsidR="00711444" w:rsidRPr="004D0DAA" w:rsidRDefault="00711444" w:rsidP="00AA2A4C">
            <w:pPr>
              <w:pStyle w:val="FP"/>
              <w:tabs>
                <w:tab w:val="left" w:pos="567"/>
              </w:tabs>
              <w:ind w:left="567" w:hanging="567"/>
            </w:pPr>
            <w:r w:rsidRPr="004D0DAA">
              <w:t>bit</w:t>
            </w:r>
          </w:p>
          <w:p w14:paraId="4154CE3C" w14:textId="77777777" w:rsidR="00711444" w:rsidRPr="004D0DAA" w:rsidRDefault="00711444" w:rsidP="00AA2A4C">
            <w:pPr>
              <w:pStyle w:val="FP"/>
              <w:tabs>
                <w:tab w:val="left" w:pos="567"/>
              </w:tabs>
              <w:ind w:left="567" w:hanging="567"/>
            </w:pPr>
            <w:r w:rsidRPr="004D0DAA">
              <w:t>4 3 2 1</w:t>
            </w:r>
          </w:p>
          <w:p w14:paraId="6D78B13B"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4A3411AE"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4A9713C1"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20DDC143"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764BDB43"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572794D2"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(N+13) mod 2715648</w:t>
            </w:r>
          </w:p>
          <w:p w14:paraId="24852351"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lowest TN in TDMA frame (N+17 or N+18) mod 2715648</w:t>
            </w:r>
          </w:p>
          <w:p w14:paraId="22A8AAE7" w14:textId="77777777" w:rsidR="00711444" w:rsidRPr="004D0DAA" w:rsidRDefault="00711444" w:rsidP="00AA2A4C">
            <w:pPr>
              <w:pStyle w:val="FP"/>
              <w:tabs>
                <w:tab w:val="left" w:pos="567"/>
              </w:tabs>
              <w:ind w:left="567" w:hanging="567"/>
            </w:pPr>
            <w:r w:rsidRPr="004D0DAA">
              <w:t>….</w:t>
            </w:r>
          </w:p>
          <w:p w14:paraId="3BB1168B"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(N+21 or N+22) mod 2715648</w:t>
            </w:r>
          </w:p>
          <w:p w14:paraId="13BA95EF" w14:textId="77777777" w:rsidR="00711444" w:rsidRPr="004D0DAA" w:rsidRDefault="00711444" w:rsidP="00AA2A4C">
            <w:r w:rsidRPr="004D0DAA">
              <w:t>1 1 1 1</w:t>
            </w:r>
            <w:r w:rsidRPr="004D0DAA">
              <w:tab/>
            </w:r>
            <w:r w:rsidRPr="004D0DAA">
              <w:tab/>
            </w:r>
            <w:r w:rsidRPr="004D0DAA">
              <w:tab/>
              <w:t>In the timeslot with the 4</w:t>
            </w:r>
            <w:r w:rsidRPr="004D0DAA">
              <w:rPr>
                <w:vertAlign w:val="superscript"/>
              </w:rPr>
              <w:t>th</w:t>
            </w:r>
            <w:r w:rsidRPr="004D0DAA">
              <w:t xml:space="preserve"> lowest TN in TDMA frame (N+21 or N+22) mod 2715648</w:t>
            </w:r>
          </w:p>
          <w:p w14:paraId="7816B794" w14:textId="77777777" w:rsidR="00711444" w:rsidRPr="004D0DAA" w:rsidRDefault="00711444" w:rsidP="00AA2A4C">
            <w:r w:rsidRPr="004D0DAA">
              <w:t xml:space="preserve">If UL_COVERAGE_CLASS = CC1 and TIMESLOT_MULTIPLICATOR = 6, the START_FN_FIRST_UL_RLC_DATA_BLOCK field </w:t>
            </w:r>
            <w:r w:rsidRPr="004D0DAA">
              <w:rPr>
                <w:bCs/>
              </w:rPr>
              <w:t>is encoded according to the following table:</w:t>
            </w:r>
          </w:p>
          <w:p w14:paraId="1A8DAD17" w14:textId="77777777" w:rsidR="00711444" w:rsidRPr="004D0DAA" w:rsidRDefault="00711444" w:rsidP="00AA2A4C">
            <w:pPr>
              <w:pStyle w:val="FP"/>
              <w:tabs>
                <w:tab w:val="left" w:pos="567"/>
              </w:tabs>
              <w:ind w:left="567" w:hanging="567"/>
            </w:pPr>
            <w:r w:rsidRPr="004D0DAA">
              <w:t>bit</w:t>
            </w:r>
          </w:p>
          <w:p w14:paraId="48361CCD" w14:textId="77777777" w:rsidR="00711444" w:rsidRPr="004D0DAA" w:rsidRDefault="00711444" w:rsidP="00AA2A4C">
            <w:pPr>
              <w:pStyle w:val="FP"/>
              <w:tabs>
                <w:tab w:val="left" w:pos="567"/>
              </w:tabs>
              <w:ind w:left="567" w:hanging="567"/>
            </w:pPr>
            <w:r w:rsidRPr="004D0DAA">
              <w:t>4 3 2 1</w:t>
            </w:r>
          </w:p>
          <w:p w14:paraId="5EFBCF52"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7D4D5760"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1B1DEEDF"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66619130"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480BD6C6"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093B38D5"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4000011F"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highest TN in TDMA frame (N+13) mod 2715648</w:t>
            </w:r>
          </w:p>
          <w:p w14:paraId="5B37CF83"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lowest TN in TDMA frame (N+17 or N+18) mod 2715648</w:t>
            </w:r>
          </w:p>
          <w:p w14:paraId="0720B8D9" w14:textId="77777777" w:rsidR="00711444" w:rsidRPr="004D0DAA" w:rsidRDefault="00711444" w:rsidP="00AA2A4C">
            <w:pPr>
              <w:pStyle w:val="FP"/>
              <w:tabs>
                <w:tab w:val="left" w:pos="567"/>
              </w:tabs>
              <w:ind w:left="567" w:hanging="567"/>
            </w:pPr>
            <w:r w:rsidRPr="004D0DAA">
              <w:t>….</w:t>
            </w:r>
          </w:p>
          <w:p w14:paraId="0D6011A9"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(N+21 or N+22) mod 2715648</w:t>
            </w:r>
          </w:p>
          <w:p w14:paraId="3992360B" w14:textId="77777777" w:rsidR="00711444" w:rsidRPr="004D0DAA" w:rsidRDefault="00711444" w:rsidP="00AA2A4C">
            <w:r w:rsidRPr="004D0DAA">
              <w:t>1 1 1 1</w:t>
            </w:r>
            <w:r w:rsidRPr="004D0DAA">
              <w:tab/>
            </w:r>
            <w:r w:rsidRPr="004D0DAA">
              <w:tab/>
            </w:r>
            <w:r w:rsidRPr="004D0DAA">
              <w:tab/>
              <w:t>In the timeslot with the 2</w:t>
            </w:r>
            <w:r w:rsidRPr="004D0DAA">
              <w:rPr>
                <w:vertAlign w:val="superscript"/>
              </w:rPr>
              <w:t>nd</w:t>
            </w:r>
            <w:r w:rsidRPr="004D0DAA">
              <w:t xml:space="preserve"> lowest TN in TDMA frame (N+21 or N+22) mod 2715648</w:t>
            </w:r>
          </w:p>
          <w:p w14:paraId="39301FEF" w14:textId="77777777" w:rsidR="00711444" w:rsidRPr="004D0DAA" w:rsidRDefault="00711444" w:rsidP="00AA2A4C">
            <w:r w:rsidRPr="004D0DAA">
              <w:t xml:space="preserve">If UL_COVERAGE_CLASS = CC1 and TIMESLOT_MULTIPLICATOR = 7, the START_FN_FIRST_UL_RLC_DATA_BLOCK field </w:t>
            </w:r>
            <w:r w:rsidRPr="004D0DAA">
              <w:rPr>
                <w:bCs/>
              </w:rPr>
              <w:t>is encoded according to the following table:</w:t>
            </w:r>
          </w:p>
          <w:p w14:paraId="0645E8CC" w14:textId="77777777" w:rsidR="00711444" w:rsidRPr="004D0DAA" w:rsidRDefault="00711444" w:rsidP="00AA2A4C">
            <w:pPr>
              <w:pStyle w:val="FP"/>
              <w:tabs>
                <w:tab w:val="left" w:pos="567"/>
              </w:tabs>
              <w:ind w:left="567" w:hanging="567"/>
            </w:pPr>
            <w:r w:rsidRPr="004D0DAA">
              <w:t>bit</w:t>
            </w:r>
          </w:p>
          <w:p w14:paraId="43008CD6" w14:textId="77777777" w:rsidR="00711444" w:rsidRPr="004D0DAA" w:rsidRDefault="00711444" w:rsidP="00AA2A4C">
            <w:pPr>
              <w:pStyle w:val="FP"/>
              <w:tabs>
                <w:tab w:val="left" w:pos="567"/>
              </w:tabs>
              <w:ind w:left="567" w:hanging="567"/>
            </w:pPr>
            <w:r w:rsidRPr="004D0DAA">
              <w:t>4 3 2 1</w:t>
            </w:r>
          </w:p>
          <w:p w14:paraId="0727C676"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1BF552BE"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2D740D81"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5836D678"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4ACE93CF"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72093A59"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6710537A"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(N+13) mod 2715648</w:t>
            </w:r>
          </w:p>
          <w:p w14:paraId="785F65EE"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highest TN in TDMA frame (N+13) mod 2715648</w:t>
            </w:r>
          </w:p>
          <w:p w14:paraId="7ED649E7" w14:textId="77777777" w:rsidR="00711444" w:rsidRPr="004D0DAA" w:rsidRDefault="00711444" w:rsidP="00AA2A4C">
            <w:pPr>
              <w:pStyle w:val="FP"/>
              <w:tabs>
                <w:tab w:val="left" w:pos="567"/>
              </w:tabs>
              <w:ind w:left="567" w:hanging="567"/>
            </w:pPr>
            <w:r w:rsidRPr="004D0DAA">
              <w:t>1 0 0 0</w:t>
            </w:r>
            <w:r w:rsidRPr="004D0DAA">
              <w:tab/>
            </w:r>
            <w:r w:rsidRPr="004D0DAA">
              <w:tab/>
            </w:r>
            <w:r w:rsidRPr="004D0DAA">
              <w:tab/>
            </w:r>
            <w:r w:rsidRPr="004D0DAA">
              <w:tab/>
              <w:t>In the timeslot with the lowest TN in TDMA frame (N+17 or N+18) mod 2715648</w:t>
            </w:r>
          </w:p>
          <w:p w14:paraId="7DDE193A" w14:textId="77777777" w:rsidR="00711444" w:rsidRPr="004D0DAA" w:rsidRDefault="00711444" w:rsidP="00AA2A4C">
            <w:pPr>
              <w:pStyle w:val="FP"/>
              <w:tabs>
                <w:tab w:val="left" w:pos="567"/>
              </w:tabs>
              <w:ind w:left="567" w:hanging="567"/>
            </w:pPr>
            <w:r w:rsidRPr="004D0DAA">
              <w:t>….</w:t>
            </w:r>
          </w:p>
          <w:p w14:paraId="4C7ABF14"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(N+17 or N+18) mod 2715648</w:t>
            </w:r>
          </w:p>
          <w:p w14:paraId="1C014998" w14:textId="77777777" w:rsidR="00711444" w:rsidRPr="004D0DAA" w:rsidRDefault="00711444" w:rsidP="00AA2A4C">
            <w:r w:rsidRPr="004D0DAA">
              <w:t>1 1 1 1</w:t>
            </w:r>
            <w:r w:rsidRPr="004D0DAA">
              <w:tab/>
            </w:r>
            <w:r w:rsidRPr="004D0DAA">
              <w:tab/>
            </w:r>
            <w:r w:rsidRPr="004D0DAA">
              <w:tab/>
              <w:t>In the timeslot with the highest TN in TDMA frame (N+17 or N+18) mod 2715648</w:t>
            </w:r>
          </w:p>
        </w:tc>
      </w:tr>
      <w:tr w:rsidR="00711444" w:rsidRPr="004D0DAA" w14:paraId="0FB4BF81" w14:textId="77777777" w:rsidTr="00AA2A4C">
        <w:trPr>
          <w:cantSplit/>
          <w:trHeight w:val="113"/>
        </w:trPr>
        <w:tc>
          <w:tcPr>
            <w:tcW w:w="9848" w:type="dxa"/>
            <w:shd w:val="clear" w:color="auto" w:fill="auto"/>
          </w:tcPr>
          <w:p w14:paraId="24D42165" w14:textId="77777777" w:rsidR="00711444" w:rsidRPr="004D0DAA" w:rsidRDefault="00711444" w:rsidP="00AA2A4C">
            <w:r w:rsidRPr="004D0DAA">
              <w:lastRenderedPageBreak/>
              <w:t xml:space="preserve">If UL_COVERAGE_CLASS = CC3 and EC_Reduced_PDCH_Allocation is set to 0 in the EC SYSTEM INFORMATION TYPE 2 message (see 3GPP TS 44.018), or, if the field EC_Reduced_PDCH_Allocation is set to 1 and UL_COVERAGE_CLASS = CC2, the START_FN_FIRST_UL_RLC_DATA_BLOCK field </w:t>
            </w:r>
            <w:r w:rsidRPr="004D0DAA">
              <w:rPr>
                <w:bCs/>
              </w:rPr>
              <w:t>is encoded according to the following table:</w:t>
            </w:r>
          </w:p>
          <w:p w14:paraId="7911E4B2" w14:textId="77777777" w:rsidR="00711444" w:rsidRPr="004D0DAA" w:rsidRDefault="00711444" w:rsidP="00AA2A4C">
            <w:pPr>
              <w:pStyle w:val="FP"/>
              <w:tabs>
                <w:tab w:val="left" w:pos="567"/>
              </w:tabs>
              <w:ind w:left="567" w:hanging="567"/>
            </w:pPr>
            <w:r w:rsidRPr="004D0DAA">
              <w:t>bit</w:t>
            </w:r>
          </w:p>
          <w:p w14:paraId="3E7F8C08" w14:textId="77777777" w:rsidR="00711444" w:rsidRPr="004D0DAA" w:rsidRDefault="00711444" w:rsidP="00AA2A4C">
            <w:pPr>
              <w:pStyle w:val="FP"/>
              <w:tabs>
                <w:tab w:val="left" w:pos="567"/>
              </w:tabs>
              <w:ind w:left="567" w:hanging="567"/>
            </w:pPr>
            <w:r w:rsidRPr="004D0DAA">
              <w:t>4 3 2 1</w:t>
            </w:r>
          </w:p>
          <w:p w14:paraId="3E2BE30D"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 or (N+17 or N+18) mod 2715648</w:t>
            </w:r>
          </w:p>
          <w:p w14:paraId="34B242E3"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(N+21 or N+22) mod 2715648 or (N+26) mod 2715648</w:t>
            </w:r>
          </w:p>
          <w:p w14:paraId="35BCDE26"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(N+30 or N+31) mod 2715648 or (N+34 or N+35) mod 2715648</w:t>
            </w:r>
          </w:p>
          <w:p w14:paraId="29A32FEC"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(N+39) mod 2715648 or (N+43 or N+44) mod 2715648</w:t>
            </w:r>
          </w:p>
          <w:p w14:paraId="74723B96"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(N+47 or N+48) mod 2715648 or (N+52) mod 2715648</w:t>
            </w:r>
          </w:p>
          <w:p w14:paraId="5D64D4F0" w14:textId="77777777" w:rsidR="00711444" w:rsidRPr="004D0DAA" w:rsidRDefault="00711444" w:rsidP="00AA2A4C">
            <w:pPr>
              <w:pStyle w:val="FP"/>
              <w:tabs>
                <w:tab w:val="left" w:pos="567"/>
              </w:tabs>
              <w:ind w:left="567" w:hanging="567"/>
            </w:pPr>
            <w:r w:rsidRPr="004D0DAA">
              <w:t>….</w:t>
            </w:r>
          </w:p>
          <w:p w14:paraId="0049E750"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(N+134 or N+135) mod 2715648 or (N+138 or N+139) mod 2715648</w:t>
            </w:r>
          </w:p>
          <w:p w14:paraId="2E3B9FA9" w14:textId="77777777" w:rsidR="00711444" w:rsidRPr="004D0DAA" w:rsidRDefault="00711444" w:rsidP="00AA2A4C">
            <w:r w:rsidRPr="004D0DAA">
              <w:t>1 1 1 1</w:t>
            </w:r>
            <w:r w:rsidRPr="004D0DAA">
              <w:tab/>
            </w:r>
            <w:r w:rsidRPr="004D0DAA">
              <w:tab/>
            </w:r>
            <w:r w:rsidRPr="004D0DAA">
              <w:tab/>
              <w:t>In the TDMA frame (N+143) mod 2715648 or (N+147 or N+148) mod 2715648</w:t>
            </w:r>
          </w:p>
          <w:p w14:paraId="4068E7B2" w14:textId="77777777" w:rsidR="00711444" w:rsidRPr="004D0DAA" w:rsidRDefault="00711444" w:rsidP="00AA2A4C">
            <w:r w:rsidRPr="004D0DAA">
              <w:t xml:space="preserve">If UL_COVERAGE_CLASS = CC4 and EC_Reduced_PDCH_Allocation is set to 0 in the EC SYSTEM INFORMATION TYPE 2 message (see 3GPP TS 44.018), or, if the field EC_Reduced_PDCH_Allocation is set to 1 and UL_COVERAGE_CLASS = CC3, the START_FN_FIRST_UL_RLC_DATA_BLOCK field </w:t>
            </w:r>
            <w:r w:rsidRPr="004D0DAA">
              <w:rPr>
                <w:bCs/>
              </w:rPr>
              <w:t>is encoded according to the following table:</w:t>
            </w:r>
          </w:p>
          <w:p w14:paraId="138D5C9A" w14:textId="77777777" w:rsidR="00711444" w:rsidRPr="004D0DAA" w:rsidRDefault="00711444" w:rsidP="00AA2A4C">
            <w:pPr>
              <w:pStyle w:val="FP"/>
              <w:tabs>
                <w:tab w:val="left" w:pos="1418"/>
              </w:tabs>
              <w:ind w:left="567" w:hanging="567"/>
            </w:pPr>
            <w:r w:rsidRPr="004D0DAA">
              <w:t>bit</w:t>
            </w:r>
          </w:p>
          <w:p w14:paraId="3126379E" w14:textId="77777777" w:rsidR="00711444" w:rsidRPr="004D0DAA" w:rsidRDefault="00711444" w:rsidP="00AA2A4C">
            <w:pPr>
              <w:pStyle w:val="FP"/>
              <w:tabs>
                <w:tab w:val="left" w:pos="1418"/>
              </w:tabs>
              <w:ind w:left="567" w:hanging="567"/>
            </w:pPr>
            <w:r w:rsidRPr="004D0DAA">
              <w:t>4 3 2 1</w:t>
            </w:r>
          </w:p>
          <w:p w14:paraId="223080AB"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w:t>
            </w:r>
          </w:p>
          <w:p w14:paraId="39C4D28C" w14:textId="77777777" w:rsidR="00711444" w:rsidRPr="004D0DAA" w:rsidRDefault="00711444" w:rsidP="00AA2A4C">
            <w:pPr>
              <w:pStyle w:val="FP"/>
              <w:ind w:left="1418" w:hanging="1418"/>
            </w:pPr>
            <w:r w:rsidRPr="004D0DAA">
              <w:t>0 0 0 1</w:t>
            </w:r>
            <w:r w:rsidRPr="004D0DAA">
              <w:tab/>
              <w:t>In the TDMA frame (N+30 or N+31) mod 2715648 or (N+34 or N+35) mod 2715648 or (N+39) mod 2715648 or (N+43 or N+44) mod 2715648</w:t>
            </w:r>
          </w:p>
          <w:p w14:paraId="4ECE2810" w14:textId="77777777" w:rsidR="00711444" w:rsidRPr="004D0DAA" w:rsidRDefault="00711444" w:rsidP="00AA2A4C">
            <w:pPr>
              <w:pStyle w:val="FP"/>
              <w:ind w:left="1418" w:hanging="1418"/>
            </w:pPr>
            <w:r w:rsidRPr="004D0DAA">
              <w:t>0 0 1 0</w:t>
            </w:r>
            <w:r w:rsidRPr="004D0DAA">
              <w:tab/>
              <w:t>In the TDMA frame (N+47 or N+48) mod 2715648 or (N+52) mod 2715648 or (N+56 or N+57) mod 2715648 or (N+60 or N+61) mod 2715648</w:t>
            </w:r>
          </w:p>
          <w:p w14:paraId="55E3DA88" w14:textId="77777777" w:rsidR="00711444" w:rsidRPr="004D0DAA" w:rsidRDefault="00711444" w:rsidP="00AA2A4C">
            <w:pPr>
              <w:pStyle w:val="FP"/>
              <w:ind w:left="1418" w:hanging="1418"/>
            </w:pPr>
            <w:r w:rsidRPr="004D0DAA">
              <w:t>0 0 1 1</w:t>
            </w:r>
            <w:r w:rsidRPr="004D0DAA">
              <w:tab/>
              <w:t>In the TDMA frame (N+65) mod 2715648 or (N+69 or N+70) mod 2715648 or (N+73 or N+74) mod 2715648 or (N+78) mod 2715648</w:t>
            </w:r>
          </w:p>
          <w:p w14:paraId="214382C0" w14:textId="77777777" w:rsidR="00711444" w:rsidRPr="004D0DAA" w:rsidRDefault="00711444" w:rsidP="00AA2A4C">
            <w:pPr>
              <w:pStyle w:val="FP"/>
              <w:ind w:left="1418" w:hanging="1418"/>
            </w:pPr>
            <w:r w:rsidRPr="004D0DAA">
              <w:t>0 1 0 0</w:t>
            </w:r>
            <w:r w:rsidRPr="004D0DAA">
              <w:tab/>
              <w:t>In the TDMA frame (N+82 or N+83) mod 2715648 or (N+86 or N+87) mod 2715648 or (N+91) mod 2715648 or (N+95 or N+96) mod 2715648</w:t>
            </w:r>
          </w:p>
          <w:p w14:paraId="35FBD671" w14:textId="77777777" w:rsidR="00711444" w:rsidRPr="004D0DAA" w:rsidRDefault="00711444" w:rsidP="00AA2A4C">
            <w:pPr>
              <w:pStyle w:val="FP"/>
              <w:ind w:left="1418" w:hanging="1418"/>
            </w:pPr>
            <w:r w:rsidRPr="004D0DAA">
              <w:t>….</w:t>
            </w:r>
          </w:p>
          <w:p w14:paraId="195E8CF6" w14:textId="77777777" w:rsidR="00711444" w:rsidRPr="004D0DAA" w:rsidRDefault="00711444" w:rsidP="00AA2A4C">
            <w:pPr>
              <w:pStyle w:val="FP"/>
              <w:ind w:left="1418" w:hanging="1418"/>
            </w:pPr>
            <w:r w:rsidRPr="004D0DAA">
              <w:t>1 1 1 0</w:t>
            </w:r>
            <w:r w:rsidRPr="004D0DAA">
              <w:tab/>
              <w:t>In the TDMA frame (N+255 or N+256) mod 2715648 or (N+260) mod 2715648 or (N+264 or N+265) mod 2715648 or (N+268 or N+269) mod 2715648</w:t>
            </w:r>
          </w:p>
          <w:p w14:paraId="5B528006" w14:textId="77777777" w:rsidR="00711444" w:rsidRPr="004D0DAA" w:rsidRDefault="00711444" w:rsidP="00AA2A4C">
            <w:pPr>
              <w:ind w:left="1418" w:hanging="1418"/>
            </w:pPr>
            <w:r w:rsidRPr="004D0DAA">
              <w:t>1 1 1 1</w:t>
            </w:r>
            <w:r w:rsidRPr="004D0DAA">
              <w:tab/>
              <w:t>In the TDMA frame (N+273) mod 2715648 or (N+277 or N+278) mod 2715648 or (N+281 or N+282) mod 2715648 or (N+286) mod 2715648</w:t>
            </w:r>
          </w:p>
          <w:p w14:paraId="07064B09" w14:textId="77777777" w:rsidR="00711444" w:rsidRPr="004D0DAA" w:rsidRDefault="00711444" w:rsidP="00AA2A4C">
            <w:r w:rsidRPr="004D0DAA">
              <w:t>If UL_COVERAGE_CLASS = CC4 and EC_Reduced_PDCH_Allocation is set to 1 in the EC SYSTEM INFORMATION TYPE 2 message (see 3GPP TS 44.018), the START_FN_FIRST_UL_RLC_DATA_BLOCK field is encoded according to the following table:</w:t>
            </w:r>
          </w:p>
          <w:p w14:paraId="17795E7B" w14:textId="77777777" w:rsidR="00711444" w:rsidRPr="004D0DAA" w:rsidRDefault="00711444" w:rsidP="00AA2A4C">
            <w:pPr>
              <w:pStyle w:val="FP"/>
              <w:ind w:left="1418" w:hanging="1418"/>
            </w:pPr>
            <w:r w:rsidRPr="004D0DAA">
              <w:t>bit</w:t>
            </w:r>
          </w:p>
          <w:p w14:paraId="262A4FBB" w14:textId="77777777" w:rsidR="00711444" w:rsidRPr="004D0DAA" w:rsidRDefault="00711444" w:rsidP="00AA2A4C">
            <w:pPr>
              <w:pStyle w:val="FP"/>
              <w:ind w:left="1418" w:hanging="1418"/>
            </w:pPr>
            <w:r w:rsidRPr="004D0DAA">
              <w:t>4 3 2 1</w:t>
            </w:r>
          </w:p>
          <w:p w14:paraId="40417181"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 or (N+30 or N+31) mod 2715648 or (N+34 or N+35) mod 2715648  or (N+39) mod 2715648 or (N+43 or N+44) mod 2715648</w:t>
            </w:r>
          </w:p>
          <w:p w14:paraId="29AC4106" w14:textId="77777777" w:rsidR="00711444" w:rsidRPr="004D0DAA" w:rsidRDefault="00711444" w:rsidP="00AA2A4C">
            <w:pPr>
              <w:pStyle w:val="FP"/>
              <w:ind w:left="1418" w:hanging="1418"/>
            </w:pPr>
            <w:r w:rsidRPr="004D0DAA">
              <w:t>0 0 0 1</w:t>
            </w:r>
            <w:r w:rsidRPr="004D0DAA">
              <w:tab/>
              <w:t>In the TDMA frame (N+47 or N+48) mod 2715648 or (N+52) mod 2715648 or (N+56 or N+57) mod      2715648 or (N+60 or N+61) mod 715648 or (N+65) mod 2715648 or (N+69 or N+70) mod 2715648 or (N+73 or N+74) mod 2715648 or (N+78) mod 2715648</w:t>
            </w:r>
          </w:p>
          <w:p w14:paraId="504750E1" w14:textId="77777777" w:rsidR="00711444" w:rsidRPr="004D0DAA" w:rsidRDefault="00711444" w:rsidP="00AA2A4C">
            <w:pPr>
              <w:pStyle w:val="FP"/>
              <w:ind w:left="1418" w:hanging="1418"/>
            </w:pPr>
            <w:r w:rsidRPr="004D0DAA">
              <w:t>0 0 1 0</w:t>
            </w:r>
            <w:r w:rsidRPr="004D0DAA">
              <w:tab/>
              <w:t>In the TDMA frame (N+82 or N+83) mod 2715648 or (N+86 or N+87) mod 2715648 or (N+91) mod 2715648 or (N+95 or N+96) mod 715648 or (N+99 or N+100) mod 2715648 or (N+104) mod 2715648 or (N+108 or N+109) mod 2715648 or (N+112 or N+113) mod 2715648</w:t>
            </w:r>
          </w:p>
          <w:p w14:paraId="5AF6AF70" w14:textId="77777777" w:rsidR="00711444" w:rsidRPr="004D0DAA" w:rsidRDefault="00711444" w:rsidP="00AA2A4C">
            <w:pPr>
              <w:pStyle w:val="FP"/>
              <w:ind w:left="1418" w:hanging="1418"/>
            </w:pPr>
            <w:r w:rsidRPr="004D0DAA">
              <w:t>0 0 1 1</w:t>
            </w:r>
            <w:r w:rsidRPr="004D0DAA">
              <w:tab/>
              <w:t>In the TDMA frame (N+117) mod 2715648 or (N+121 or N+122) mod 2715648 or (N+125 or N+126) mod 2715648 or (N+130) mod 2715648 or (N+134 or N+135) mod 2715648 or (N+138 or N+139) mod 2715648 or (N+143) mod 2715648 or (N+147 or N+148) mod 2715648</w:t>
            </w:r>
          </w:p>
          <w:p w14:paraId="44B54483" w14:textId="77777777" w:rsidR="00711444" w:rsidRPr="004D0DAA" w:rsidRDefault="00711444" w:rsidP="00AA2A4C">
            <w:pPr>
              <w:pStyle w:val="FP"/>
              <w:ind w:left="1418" w:hanging="1418"/>
            </w:pPr>
            <w:r w:rsidRPr="004D0DAA">
              <w:t>0 1 0 0</w:t>
            </w:r>
            <w:r w:rsidRPr="004D0DAA">
              <w:tab/>
              <w:t>In the TDMA frame (N+151 or N+152) mod 2715648 or (N+156) mod 2715648 or (N+160 or N+161) mod 2715648 or (N+164 or N+165) mod 2715648 or (N+169) mod 2715648 or (N+173 or N+174) mod 2715648 or (N+177 or N+178) mod 2715648 or (N+182) mod 2715648</w:t>
            </w:r>
          </w:p>
          <w:p w14:paraId="791233D9" w14:textId="77777777" w:rsidR="00711444" w:rsidRPr="004D0DAA" w:rsidRDefault="00711444" w:rsidP="00AA2A4C">
            <w:pPr>
              <w:pStyle w:val="FP"/>
              <w:ind w:left="1418" w:hanging="1418"/>
            </w:pPr>
            <w:r w:rsidRPr="004D0DAA">
              <w:t>….</w:t>
            </w:r>
          </w:p>
          <w:p w14:paraId="4A5BF901" w14:textId="77777777" w:rsidR="00711444" w:rsidRPr="004D0DAA" w:rsidRDefault="00711444" w:rsidP="00AA2A4C">
            <w:pPr>
              <w:pStyle w:val="FP"/>
              <w:ind w:left="1418" w:hanging="1418"/>
            </w:pPr>
            <w:r w:rsidRPr="004D0DAA">
              <w:t>1 1 1 0</w:t>
            </w:r>
            <w:r w:rsidRPr="004D0DAA">
              <w:tab/>
              <w:t>In the TDMA frame (N+464 or N+465) mod 2715648 or (N+468) mod 2715648 or (N+472 or N+473) mod 2715648 or (N+477 or N+478) mod 2715648 or (N+481) mod 2715648 or (N+485 or N+486) mod 2715648 or (N+490 or N+491) mod 2715648 or (N+494) mod 2715648</w:t>
            </w:r>
          </w:p>
          <w:p w14:paraId="456C67DD" w14:textId="77777777" w:rsidR="00711444" w:rsidRPr="004D0DAA" w:rsidRDefault="00711444" w:rsidP="00AA2A4C">
            <w:pPr>
              <w:pStyle w:val="FP"/>
              <w:ind w:left="1418" w:hanging="1418"/>
            </w:pPr>
            <w:r w:rsidRPr="004D0DAA">
              <w:t xml:space="preserve">1 1 1 1            </w:t>
            </w:r>
            <w:r w:rsidRPr="004D0DAA">
              <w:tab/>
              <w:t>In the TDMA frame (N+498 or N+499) mod 2715648 or (N+503 or N+504) mod 2715648 or (N+507) mod 2715648 or (N+511 or N+512) mod 2715648 or (N+516 or N+517) mod 2715648 or (N+520) mod 2715648 or (N+524 or N+525) mod 2715648 or (N+529 or N+530) mod 2715648</w:t>
            </w:r>
          </w:p>
          <w:p w14:paraId="6AD97495" w14:textId="77777777" w:rsidR="00711444" w:rsidRPr="004D0DAA" w:rsidRDefault="00711444" w:rsidP="00AA2A4C">
            <w:pPr>
              <w:spacing w:before="120"/>
              <w:rPr>
                <w:bCs/>
              </w:rPr>
            </w:pPr>
            <w:r w:rsidRPr="004D0DAA">
              <w:t xml:space="preserve">If uplink Coverage Class = CC5, the START_FN_FIRST_UL_RLC_DATA_BLOCK field </w:t>
            </w:r>
            <w:r w:rsidRPr="004D0DAA">
              <w:rPr>
                <w:bCs/>
              </w:rPr>
              <w:t>is encoded according to the following table:</w:t>
            </w:r>
          </w:p>
          <w:p w14:paraId="335A562A" w14:textId="77777777" w:rsidR="00711444" w:rsidRPr="004D0DAA" w:rsidRDefault="00711444" w:rsidP="00AA2A4C">
            <w:pPr>
              <w:pStyle w:val="FP"/>
            </w:pPr>
            <w:r w:rsidRPr="004D0DAA">
              <w:t>If uplink Coverage Class = CC5 and the field EC_Reduced_PDCH_Allocation is set to 0 in the EC SYSTEM INFORMATION TYPE 2 message, (see 3GPP TS 44.018), the START_FN_FIRST_UL_RLC_DATA_BLOCK field is encoded according to the following table:</w:t>
            </w:r>
          </w:p>
          <w:p w14:paraId="2BA8619A" w14:textId="77777777" w:rsidR="00711444" w:rsidRPr="004D0DAA" w:rsidRDefault="00711444" w:rsidP="00AA2A4C">
            <w:pPr>
              <w:pStyle w:val="FP"/>
            </w:pPr>
          </w:p>
          <w:p w14:paraId="75B50A56" w14:textId="77777777" w:rsidR="00711444" w:rsidRPr="004D0DAA" w:rsidRDefault="00711444" w:rsidP="00AA2A4C">
            <w:pPr>
              <w:pStyle w:val="FP"/>
              <w:ind w:left="1418" w:hanging="1418"/>
            </w:pPr>
            <w:r w:rsidRPr="004D0DAA">
              <w:t xml:space="preserve">0 0 0 0 </w:t>
            </w:r>
            <w:r w:rsidRPr="004D0DAA">
              <w:tab/>
              <w:t>The 1</w:t>
            </w:r>
            <w:r w:rsidRPr="004D0DAA">
              <w:rPr>
                <w:vertAlign w:val="superscript"/>
              </w:rPr>
              <w:t>st</w:t>
            </w:r>
            <w:r w:rsidRPr="004D0DAA">
              <w:t xml:space="preserve"> uplink 52-multiframe occurring after the downlink 52-multiframe used to send the last blind physical layer transmission of this EC PACKET UPLINK ACK/NACK message</w:t>
            </w:r>
          </w:p>
          <w:p w14:paraId="3D5A8AB1" w14:textId="77777777" w:rsidR="00711444" w:rsidRPr="004D0DAA" w:rsidRDefault="00711444" w:rsidP="00AA2A4C">
            <w:pPr>
              <w:pStyle w:val="FP"/>
              <w:ind w:left="1418" w:hanging="1418"/>
            </w:pPr>
            <w:r w:rsidRPr="004D0DAA">
              <w:t xml:space="preserve">0 0 0 1 </w:t>
            </w:r>
            <w:r w:rsidRPr="004D0DAA">
              <w:tab/>
              <w:t>The 2</w:t>
            </w:r>
            <w:r w:rsidRPr="004D0DAA">
              <w:rPr>
                <w:vertAlign w:val="superscript"/>
              </w:rPr>
              <w:t>nd</w:t>
            </w:r>
            <w:r w:rsidRPr="004D0DAA">
              <w:t xml:space="preserve"> uplink 52-multiframe occurring after the downlink 52-multiframe used to send the last blind physical layer transmission of this EC PACKET UPLINK ACK/NACK message</w:t>
            </w:r>
          </w:p>
          <w:p w14:paraId="55876F1B" w14:textId="77777777" w:rsidR="00711444" w:rsidRPr="004D0DAA" w:rsidRDefault="00711444" w:rsidP="00AA2A4C">
            <w:pPr>
              <w:pStyle w:val="FP"/>
              <w:ind w:left="1418" w:hanging="1418"/>
            </w:pPr>
            <w:r w:rsidRPr="004D0DAA">
              <w:t>….</w:t>
            </w:r>
          </w:p>
          <w:p w14:paraId="47BE5199" w14:textId="77777777" w:rsidR="00711444" w:rsidRPr="004D0DAA" w:rsidRDefault="00711444" w:rsidP="00AA2A4C">
            <w:pPr>
              <w:pStyle w:val="FP"/>
              <w:ind w:left="1418" w:hanging="1418"/>
            </w:pPr>
          </w:p>
          <w:p w14:paraId="6B4D3EE9" w14:textId="77777777" w:rsidR="00711444" w:rsidRPr="004D0DAA" w:rsidRDefault="00711444" w:rsidP="00AA2A4C">
            <w:pPr>
              <w:pStyle w:val="FP"/>
              <w:ind w:left="1418" w:hanging="1418"/>
            </w:pPr>
            <w:r w:rsidRPr="004D0DAA">
              <w:t xml:space="preserve">0 1 1 1 </w:t>
            </w:r>
            <w:r w:rsidRPr="004D0DAA">
              <w:tab/>
              <w:t>The 8</w:t>
            </w:r>
            <w:r w:rsidRPr="004D0DAA">
              <w:rPr>
                <w:vertAlign w:val="superscript"/>
              </w:rPr>
              <w:t>th</w:t>
            </w:r>
            <w:r w:rsidRPr="004D0DAA">
              <w:t xml:space="preserve"> uplink 52-multiframe occurring after the downlink 52-multiframe used to send the last blind physical layer transmission of this EC PACKET UPLINK ACK/NACK message</w:t>
            </w:r>
          </w:p>
          <w:p w14:paraId="0D7352CE" w14:textId="77777777" w:rsidR="00711444" w:rsidRPr="004D0DAA" w:rsidRDefault="00711444" w:rsidP="00AA2A4C">
            <w:pPr>
              <w:pStyle w:val="FP"/>
              <w:ind w:left="1418" w:hanging="1418"/>
            </w:pPr>
            <w:r w:rsidRPr="004D0DAA">
              <w:t>1 0 0 0 to 1111     Not Applicable</w:t>
            </w:r>
          </w:p>
          <w:p w14:paraId="1C3C5A84" w14:textId="77777777" w:rsidR="00711444" w:rsidRPr="004D0DAA" w:rsidRDefault="00711444" w:rsidP="00AA2A4C">
            <w:pPr>
              <w:pStyle w:val="FP"/>
              <w:ind w:left="1418" w:hanging="1418"/>
            </w:pPr>
          </w:p>
          <w:p w14:paraId="52693DD6" w14:textId="77777777" w:rsidR="00711444" w:rsidRPr="004D0DAA" w:rsidRDefault="00711444" w:rsidP="00AA2A4C">
            <w:pPr>
              <w:pStyle w:val="FP"/>
            </w:pPr>
            <w:r w:rsidRPr="004D0DAA">
              <w:t>If uplink Coverage Class = CC5 and the field EC_Reduced_PDCH_Allocation is set to 1 the START_FN_FIRST_UL_RLC_DATA_BLOCK field is encoded according to the following table:</w:t>
            </w:r>
          </w:p>
          <w:p w14:paraId="2A762A50" w14:textId="77777777" w:rsidR="00711444" w:rsidRPr="004D0DAA" w:rsidRDefault="00711444" w:rsidP="00AA2A4C">
            <w:pPr>
              <w:pStyle w:val="FP"/>
            </w:pPr>
          </w:p>
          <w:p w14:paraId="1242044D" w14:textId="77777777" w:rsidR="00711444" w:rsidRPr="004D0DAA" w:rsidRDefault="00711444" w:rsidP="00AA2A4C">
            <w:pPr>
              <w:pStyle w:val="FP"/>
              <w:ind w:left="1418" w:hanging="1418"/>
            </w:pPr>
            <w:r w:rsidRPr="004D0DAA">
              <w:t xml:space="preserve">0 0 0 0 </w:t>
            </w:r>
            <w:r w:rsidRPr="004D0DAA">
              <w:tab/>
              <w:t>The 1</w:t>
            </w:r>
            <w:r w:rsidRPr="004D0DAA">
              <w:rPr>
                <w:vertAlign w:val="superscript"/>
              </w:rPr>
              <w:t>st</w:t>
            </w:r>
            <w:r w:rsidRPr="004D0DAA">
              <w:t xml:space="preserve"> pair of uplink 52-multiframes occurring after the downlink 52-multiframe used to send the last blind physical layer transmission of this EC PACKET UPLINK ACK/NACK message</w:t>
            </w:r>
          </w:p>
          <w:p w14:paraId="09ABAB28" w14:textId="77777777" w:rsidR="00711444" w:rsidRPr="004D0DAA" w:rsidRDefault="00711444" w:rsidP="00AA2A4C">
            <w:pPr>
              <w:pStyle w:val="FP"/>
              <w:ind w:left="1418" w:hanging="1418"/>
            </w:pPr>
            <w:r w:rsidRPr="004D0DAA">
              <w:t xml:space="preserve">0 0 0 1 </w:t>
            </w:r>
            <w:r w:rsidRPr="004D0DAA">
              <w:tab/>
              <w:t>The 2</w:t>
            </w:r>
            <w:r w:rsidRPr="004D0DAA">
              <w:rPr>
                <w:vertAlign w:val="superscript"/>
              </w:rPr>
              <w:t>nd</w:t>
            </w:r>
            <w:r w:rsidRPr="004D0DAA">
              <w:t xml:space="preserve"> pair of uplink 52-multiframes occurring after the downlink 52-multiframe used to send the last blind physical layer transmission of this EC PACKET UPLINK ACK/NACK message</w:t>
            </w:r>
          </w:p>
          <w:p w14:paraId="19D1E551" w14:textId="77777777" w:rsidR="00711444" w:rsidRPr="004D0DAA" w:rsidRDefault="00711444" w:rsidP="00AA2A4C">
            <w:pPr>
              <w:pStyle w:val="FP"/>
              <w:ind w:left="1418" w:hanging="1418"/>
            </w:pPr>
            <w:r w:rsidRPr="004D0DAA">
              <w:t>….</w:t>
            </w:r>
          </w:p>
          <w:p w14:paraId="2457085A" w14:textId="77777777" w:rsidR="00711444" w:rsidRPr="004D0DAA" w:rsidRDefault="00711444" w:rsidP="00AA2A4C">
            <w:pPr>
              <w:pStyle w:val="FP"/>
              <w:ind w:left="1418" w:hanging="1418"/>
            </w:pPr>
          </w:p>
          <w:p w14:paraId="39E839D1" w14:textId="77777777" w:rsidR="00711444" w:rsidRPr="004D0DAA" w:rsidRDefault="00711444" w:rsidP="00AA2A4C">
            <w:pPr>
              <w:pStyle w:val="FP"/>
              <w:ind w:left="1418" w:hanging="1418"/>
            </w:pPr>
            <w:r w:rsidRPr="004D0DAA">
              <w:t xml:space="preserve">0 1 1 1 </w:t>
            </w:r>
            <w:r w:rsidRPr="004D0DAA">
              <w:tab/>
              <w:t>The 8</w:t>
            </w:r>
            <w:r w:rsidRPr="004D0DAA">
              <w:rPr>
                <w:vertAlign w:val="superscript"/>
              </w:rPr>
              <w:t>th</w:t>
            </w:r>
            <w:r w:rsidRPr="004D0DAA">
              <w:t xml:space="preserve"> pair of uplink 52-multiframes occurring after the downlink 52-multiframe used to send the last blind physical layer transmission of this EC PACKET UPLINK ACK/NACK message</w:t>
            </w:r>
          </w:p>
          <w:p w14:paraId="1CFEC797" w14:textId="77777777" w:rsidR="00711444" w:rsidRPr="004D0DAA" w:rsidRDefault="00711444" w:rsidP="00AA2A4C">
            <w:pPr>
              <w:pStyle w:val="FP"/>
              <w:ind w:left="1418" w:hanging="1418"/>
            </w:pPr>
            <w:r w:rsidRPr="004D0DAA">
              <w:t>1 0 0 0 to 1111     Not Applicable</w:t>
            </w:r>
          </w:p>
          <w:p w14:paraId="753BBC53" w14:textId="77777777" w:rsidR="00711444" w:rsidRPr="004D0DAA" w:rsidRDefault="00711444" w:rsidP="00AA2A4C">
            <w:pPr>
              <w:ind w:left="1418" w:hanging="1418"/>
              <w:rPr>
                <w:b/>
              </w:rPr>
            </w:pPr>
          </w:p>
        </w:tc>
      </w:tr>
      <w:tr w:rsidR="00711444" w:rsidRPr="004D0DAA" w14:paraId="4F326B7D" w14:textId="77777777" w:rsidTr="00AA2A4C">
        <w:trPr>
          <w:cantSplit/>
          <w:trHeight w:val="113"/>
        </w:trPr>
        <w:tc>
          <w:tcPr>
            <w:tcW w:w="9848" w:type="dxa"/>
            <w:shd w:val="clear" w:color="auto" w:fill="auto"/>
          </w:tcPr>
          <w:p w14:paraId="24237B60" w14:textId="77777777" w:rsidR="00711444" w:rsidRPr="004D0DAA" w:rsidRDefault="00711444" w:rsidP="00AA2A4C">
            <w:r w:rsidRPr="004D0DAA">
              <w:rPr>
                <w:b/>
              </w:rPr>
              <w:lastRenderedPageBreak/>
              <w:t xml:space="preserve">DELAY_NEXT_UL_RLC_DATA_BLOCK </w:t>
            </w:r>
            <w:r w:rsidRPr="004D0DAA">
              <w:t>(3 bit field)</w:t>
            </w:r>
            <w:r w:rsidRPr="004D0DAA">
              <w:br/>
              <w:t>This field indicates the position of the next allocated RLC Data block in the fixed uplink allocation. The position is calculated as the number of transmission opportunities from the previous uplink allocation, according to the UL_COVERAGE_CLASS and TIMESLOT_MULTIPLICATOR fields in the same assignment message, where the next uplink allocation for the mobile station is placed and where the mobile station thus shall transmit the next RLC data block. In the transmission opportunity/ies between the previous uplink allocation and this allocation the mobile station is not allocated any resource, and shall thus not transmit.</w:t>
            </w:r>
          </w:p>
          <w:p w14:paraId="0040DE9B" w14:textId="77777777" w:rsidR="00711444" w:rsidRPr="004D0DAA" w:rsidRDefault="00711444" w:rsidP="00AA2A4C">
            <w:r w:rsidRPr="004D0DAA">
              <w:t xml:space="preserve">This field </w:t>
            </w:r>
            <w:r w:rsidRPr="004D0DAA">
              <w:rPr>
                <w:bCs/>
              </w:rPr>
              <w:t>is encoded according to the following table:</w:t>
            </w:r>
          </w:p>
          <w:p w14:paraId="53A893C9" w14:textId="77777777" w:rsidR="00711444" w:rsidRPr="004D0DAA" w:rsidRDefault="00711444" w:rsidP="00AA2A4C">
            <w:pPr>
              <w:pStyle w:val="FP"/>
              <w:tabs>
                <w:tab w:val="left" w:pos="567"/>
              </w:tabs>
              <w:ind w:left="567" w:hanging="567"/>
            </w:pPr>
            <w:r w:rsidRPr="004D0DAA">
              <w:t>bit</w:t>
            </w:r>
          </w:p>
          <w:p w14:paraId="053A57B2" w14:textId="77777777" w:rsidR="00711444" w:rsidRPr="004D0DAA" w:rsidRDefault="00711444" w:rsidP="00AA2A4C">
            <w:pPr>
              <w:pStyle w:val="FP"/>
              <w:tabs>
                <w:tab w:val="left" w:pos="567"/>
              </w:tabs>
              <w:ind w:left="567" w:hanging="567"/>
            </w:pPr>
            <w:r w:rsidRPr="004D0DAA">
              <w:t>3 2 1</w:t>
            </w:r>
          </w:p>
          <w:p w14:paraId="2A430914" w14:textId="77777777" w:rsidR="00711444" w:rsidRPr="004D0DAA" w:rsidRDefault="00711444" w:rsidP="00AA2A4C">
            <w:pPr>
              <w:pStyle w:val="FP"/>
              <w:tabs>
                <w:tab w:val="left" w:pos="567"/>
              </w:tabs>
              <w:ind w:left="567" w:hanging="567"/>
            </w:pPr>
            <w:r w:rsidRPr="004D0DAA">
              <w:t>0 0 0</w:t>
            </w:r>
            <w:r w:rsidRPr="004D0DAA">
              <w:tab/>
            </w:r>
            <w:r w:rsidRPr="004D0DAA">
              <w:tab/>
            </w:r>
            <w:r w:rsidRPr="004D0DAA">
              <w:tab/>
            </w:r>
            <w:r w:rsidRPr="004D0DAA">
              <w:tab/>
              <w:t>In the 2</w:t>
            </w:r>
            <w:r w:rsidRPr="004D0DAA">
              <w:rPr>
                <w:vertAlign w:val="superscript"/>
              </w:rPr>
              <w:t>nd</w:t>
            </w:r>
            <w:r w:rsidRPr="004D0DAA">
              <w:t xml:space="preserve"> next transmission opportunity</w:t>
            </w:r>
          </w:p>
          <w:p w14:paraId="68C00DB1" w14:textId="77777777" w:rsidR="00711444" w:rsidRPr="004D0DAA" w:rsidRDefault="00711444" w:rsidP="00AA2A4C">
            <w:pPr>
              <w:pStyle w:val="FP"/>
              <w:tabs>
                <w:tab w:val="left" w:pos="567"/>
              </w:tabs>
              <w:ind w:left="567" w:hanging="567"/>
            </w:pPr>
            <w:r w:rsidRPr="004D0DAA">
              <w:t>0 0 1</w:t>
            </w:r>
            <w:r w:rsidRPr="004D0DAA">
              <w:tab/>
            </w:r>
            <w:r w:rsidRPr="004D0DAA">
              <w:tab/>
            </w:r>
            <w:r w:rsidRPr="004D0DAA">
              <w:tab/>
            </w:r>
            <w:r w:rsidRPr="004D0DAA">
              <w:tab/>
              <w:t>In the 3</w:t>
            </w:r>
            <w:r w:rsidRPr="004D0DAA">
              <w:rPr>
                <w:vertAlign w:val="superscript"/>
              </w:rPr>
              <w:t>rd</w:t>
            </w:r>
            <w:r w:rsidRPr="004D0DAA">
              <w:t xml:space="preserve"> next transmission opportunity</w:t>
            </w:r>
          </w:p>
          <w:p w14:paraId="2ADA3FCE" w14:textId="77777777" w:rsidR="00711444" w:rsidRPr="004D0DAA" w:rsidRDefault="00711444" w:rsidP="00AA2A4C">
            <w:pPr>
              <w:pStyle w:val="FP"/>
              <w:tabs>
                <w:tab w:val="left" w:pos="567"/>
              </w:tabs>
              <w:ind w:left="567" w:hanging="567"/>
            </w:pPr>
            <w:r w:rsidRPr="004D0DAA">
              <w:t>0 1 0</w:t>
            </w:r>
            <w:r w:rsidRPr="004D0DAA">
              <w:tab/>
            </w:r>
            <w:r w:rsidRPr="004D0DAA">
              <w:tab/>
            </w:r>
            <w:r w:rsidRPr="004D0DAA">
              <w:tab/>
            </w:r>
            <w:r w:rsidRPr="004D0DAA">
              <w:tab/>
              <w:t>In the 4</w:t>
            </w:r>
            <w:r w:rsidRPr="004D0DAA">
              <w:rPr>
                <w:vertAlign w:val="superscript"/>
              </w:rPr>
              <w:t>th</w:t>
            </w:r>
            <w:r w:rsidRPr="004D0DAA">
              <w:t xml:space="preserve"> next transmission opportunity</w:t>
            </w:r>
          </w:p>
          <w:p w14:paraId="11CE8905" w14:textId="77777777" w:rsidR="00711444" w:rsidRPr="004D0DAA" w:rsidRDefault="00711444" w:rsidP="00AA2A4C">
            <w:pPr>
              <w:pStyle w:val="FP"/>
              <w:tabs>
                <w:tab w:val="left" w:pos="567"/>
              </w:tabs>
              <w:ind w:left="567" w:hanging="567"/>
            </w:pPr>
            <w:r w:rsidRPr="004D0DAA">
              <w:t>….</w:t>
            </w:r>
          </w:p>
          <w:p w14:paraId="3B6B4DB9" w14:textId="77777777" w:rsidR="00711444" w:rsidRPr="004D0DAA" w:rsidRDefault="00711444" w:rsidP="00AA2A4C">
            <w:pPr>
              <w:pStyle w:val="FP"/>
              <w:tabs>
                <w:tab w:val="left" w:pos="567"/>
              </w:tabs>
              <w:ind w:left="567" w:hanging="567"/>
            </w:pPr>
            <w:r w:rsidRPr="004D0DAA">
              <w:t>1 1 0</w:t>
            </w:r>
            <w:r w:rsidRPr="004D0DAA">
              <w:tab/>
            </w:r>
            <w:r w:rsidRPr="004D0DAA">
              <w:tab/>
            </w:r>
            <w:r w:rsidRPr="004D0DAA">
              <w:tab/>
            </w:r>
            <w:r w:rsidRPr="004D0DAA">
              <w:tab/>
              <w:t>In the 8</w:t>
            </w:r>
            <w:r w:rsidRPr="004D0DAA">
              <w:rPr>
                <w:vertAlign w:val="superscript"/>
              </w:rPr>
              <w:t>th</w:t>
            </w:r>
            <w:r w:rsidRPr="004D0DAA">
              <w:t xml:space="preserve"> next transmission opportunity</w:t>
            </w:r>
          </w:p>
          <w:p w14:paraId="1E9181EF" w14:textId="77777777" w:rsidR="00711444" w:rsidRPr="004D0DAA" w:rsidRDefault="00711444" w:rsidP="00AA2A4C">
            <w:r w:rsidRPr="004D0DAA">
              <w:t>1 1 1</w:t>
            </w:r>
            <w:r w:rsidRPr="004D0DAA">
              <w:tab/>
            </w:r>
            <w:r w:rsidRPr="004D0DAA">
              <w:tab/>
            </w:r>
            <w:r w:rsidRPr="004D0DAA">
              <w:tab/>
              <w:t>In the 9</w:t>
            </w:r>
            <w:r w:rsidRPr="004D0DAA">
              <w:rPr>
                <w:vertAlign w:val="superscript"/>
              </w:rPr>
              <w:t>th</w:t>
            </w:r>
            <w:r w:rsidRPr="004D0DAA">
              <w:t xml:space="preserve"> next transmission opportunity</w:t>
            </w:r>
          </w:p>
        </w:tc>
      </w:tr>
      <w:tr w:rsidR="00711444" w:rsidRPr="004D0DAA" w14:paraId="40ECC944" w14:textId="77777777" w:rsidTr="00AA2A4C">
        <w:trPr>
          <w:cantSplit/>
          <w:trHeight w:val="113"/>
        </w:trPr>
        <w:tc>
          <w:tcPr>
            <w:tcW w:w="9848" w:type="dxa"/>
            <w:shd w:val="clear" w:color="auto" w:fill="auto"/>
          </w:tcPr>
          <w:p w14:paraId="5C52870E" w14:textId="77777777" w:rsidR="00711444" w:rsidRPr="004D0DAA" w:rsidRDefault="00711444" w:rsidP="00AA2A4C">
            <w:r w:rsidRPr="004D0DAA">
              <w:rPr>
                <w:b/>
              </w:rPr>
              <w:t>GAMMA</w:t>
            </w:r>
            <w:r w:rsidRPr="004D0DAA">
              <w:t xml:space="preserve"> (5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xml:space="preserve"> for MS output power control in units of 2 dB, see 3GPP TS 45.008. The field is coded according to the following table:</w:t>
            </w:r>
          </w:p>
          <w:p w14:paraId="65140C76" w14:textId="77777777" w:rsidR="00711444" w:rsidRPr="004D0DAA" w:rsidRDefault="00711444" w:rsidP="00AA2A4C">
            <w:pPr>
              <w:rPr>
                <w:b/>
              </w:rPr>
            </w:pPr>
            <w:r w:rsidRPr="004D0DAA">
              <w:t>bit</w:t>
            </w:r>
            <w:r w:rsidRPr="004D0DAA">
              <w:br/>
              <w:t>5 4 3 2 1</w:t>
            </w:r>
            <w:r w:rsidRPr="004D0DAA">
              <w:br/>
              <w:t>0 0 0 0 0</w:t>
            </w:r>
            <w:r w:rsidRPr="004D0DAA">
              <w:tab/>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0 dB</w:t>
            </w:r>
            <w:r w:rsidRPr="004D0DAA">
              <w:br/>
              <w:t>0 0 0 0 1</w:t>
            </w:r>
            <w:r w:rsidRPr="004D0DAA">
              <w:tab/>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2 dB</w:t>
            </w:r>
            <w:r w:rsidRPr="004D0DAA">
              <w:br/>
              <w:t>: : : :</w:t>
            </w:r>
            <w:r w:rsidRPr="004D0DAA">
              <w:br/>
              <w:t>1 1 1 1 0</w:t>
            </w:r>
            <w:r w:rsidRPr="004D0DAA">
              <w:tab/>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60 dB</w:t>
            </w:r>
            <w:r w:rsidRPr="004D0DAA">
              <w:br/>
              <w:t>1 1 1 1 1</w:t>
            </w:r>
            <w:r w:rsidRPr="004D0DAA">
              <w:tab/>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62 dB</w:t>
            </w:r>
          </w:p>
          <w:p w14:paraId="4D2EE5AE" w14:textId="77777777" w:rsidR="00711444" w:rsidRPr="004D0DAA" w:rsidRDefault="00711444" w:rsidP="00AA2A4C">
            <w:r w:rsidRPr="004D0DAA">
              <w:rPr>
                <w:b/>
              </w:rPr>
              <w:t>ALPHA Enable</w:t>
            </w:r>
            <w:r w:rsidRPr="004D0DAA">
              <w:t xml:space="preserve"> (1 bit field)</w:t>
            </w:r>
            <w:r w:rsidRPr="004D0DAA">
              <w:br/>
              <w:t>This field indicates whether or not the mobile station shall use the ALPHA parameter (if sent as part of EC SI) for uplink power control (see 3GPP TS 45.008 [34]). The field is coded as follows:</w:t>
            </w:r>
          </w:p>
          <w:p w14:paraId="1B2E23BF" w14:textId="77777777" w:rsidR="00711444" w:rsidRPr="004D0DAA" w:rsidRDefault="00711444" w:rsidP="00AA2A4C">
            <w:r w:rsidRPr="004D0DAA">
              <w:t>0</w:t>
            </w:r>
            <w:r w:rsidRPr="004D0DAA">
              <w:tab/>
            </w:r>
            <w:r w:rsidRPr="004D0DAA">
              <w:tab/>
              <w:t>The mobile station shall not use the ALPHA parameter</w:t>
            </w:r>
            <w:r w:rsidRPr="004D0DAA">
              <w:br/>
              <w:t>1</w:t>
            </w:r>
            <w:r w:rsidRPr="004D0DAA">
              <w:tab/>
            </w:r>
            <w:r w:rsidRPr="004D0DAA">
              <w:tab/>
              <w:t>The mobile station shall use the ALPHA parameter</w:t>
            </w:r>
          </w:p>
          <w:p w14:paraId="541E2091" w14:textId="77777777" w:rsidR="00711444" w:rsidRPr="004D0DAA" w:rsidRDefault="00711444" w:rsidP="00AA2A4C">
            <w:r w:rsidRPr="004D0DAA">
              <w:rPr>
                <w:b/>
              </w:rPr>
              <w:t>P0</w:t>
            </w:r>
            <w:r w:rsidRPr="004D0DAA">
              <w:t xml:space="preserve"> (4 bit field)</w:t>
            </w:r>
            <w:r w:rsidRPr="004D0DAA">
              <w:br/>
              <w:t>This field is an optional downlink power control parameter. It is encoded as follows:</w:t>
            </w:r>
          </w:p>
          <w:p w14:paraId="22D42DC6" w14:textId="77777777" w:rsidR="00711444" w:rsidRPr="004D0DAA" w:rsidRDefault="00711444" w:rsidP="00AA2A4C">
            <w:pPr>
              <w:tabs>
                <w:tab w:val="left" w:pos="1134"/>
              </w:tabs>
              <w:rPr>
                <w:b/>
              </w:rPr>
            </w:pPr>
            <w:r w:rsidRPr="004D0DAA">
              <w:t>bit</w:t>
            </w:r>
            <w:r w:rsidRPr="004D0DAA">
              <w:br/>
              <w:t xml:space="preserve">4 3 2 1 </w:t>
            </w:r>
            <w:r w:rsidRPr="004D0DAA">
              <w:br/>
              <w:t>0 0 0 0</w:t>
            </w:r>
            <w:r w:rsidRPr="004D0DAA">
              <w:tab/>
              <w:t>P0 = 0 dB</w:t>
            </w:r>
            <w:r w:rsidRPr="004D0DAA">
              <w:br/>
              <w:t>0 0 0 1</w:t>
            </w:r>
            <w:r w:rsidRPr="004D0DAA">
              <w:tab/>
              <w:t>P0 = 2 dB</w:t>
            </w:r>
            <w:r w:rsidRPr="004D0DAA">
              <w:br/>
              <w:t>0 0 1 0</w:t>
            </w:r>
            <w:r w:rsidRPr="004D0DAA">
              <w:tab/>
              <w:t>P0 = 4 dB</w:t>
            </w:r>
            <w:r w:rsidRPr="004D0DAA">
              <w:br/>
              <w:t>:</w:t>
            </w:r>
            <w:r w:rsidRPr="004D0DAA">
              <w:br/>
              <w:t>1 1 1 1</w:t>
            </w:r>
            <w:r w:rsidRPr="004D0DAA">
              <w:tab/>
              <w:t>P0 = 30 dB</w:t>
            </w:r>
          </w:p>
        </w:tc>
      </w:tr>
      <w:tr w:rsidR="00711444" w:rsidRPr="004D0DAA" w14:paraId="1D512FEF" w14:textId="77777777" w:rsidTr="00AA2A4C">
        <w:trPr>
          <w:cantSplit/>
          <w:trHeight w:val="113"/>
        </w:trPr>
        <w:tc>
          <w:tcPr>
            <w:tcW w:w="9848" w:type="dxa"/>
            <w:shd w:val="clear" w:color="auto" w:fill="auto"/>
          </w:tcPr>
          <w:p w14:paraId="56F2025B" w14:textId="77777777" w:rsidR="00711444" w:rsidRPr="004D0DAA" w:rsidRDefault="00711444" w:rsidP="00AA2A4C">
            <w:r w:rsidRPr="004D0DAA">
              <w:rPr>
                <w:b/>
              </w:rPr>
              <w:t xml:space="preserve">PR_MODE </w:t>
            </w:r>
            <w:r w:rsidRPr="004D0DAA">
              <w:t>(1 bit field)</w:t>
            </w:r>
            <w:r w:rsidRPr="004D0DAA">
              <w:br/>
              <w:t>This field indicates the PR Management mode, as defined in 3GPP TS 45.008. The field is encoded as follows:</w:t>
            </w:r>
            <w:r w:rsidRPr="004D0DAA">
              <w:br/>
              <w:t>0</w:t>
            </w:r>
            <w:r w:rsidRPr="004D0DAA">
              <w:tab/>
              <w:t>PR mode A: for one addressed MS</w:t>
            </w:r>
            <w:r w:rsidRPr="004D0DAA">
              <w:br/>
              <w:t>1</w:t>
            </w:r>
            <w:r w:rsidRPr="004D0DAA">
              <w:tab/>
              <w:t>PR mode B: for all MSs</w:t>
            </w:r>
          </w:p>
        </w:tc>
      </w:tr>
      <w:tr w:rsidR="00711444" w:rsidRPr="004D0DAA" w14:paraId="13A971B9" w14:textId="77777777" w:rsidTr="00AA2A4C">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4EA89341" w14:textId="77777777" w:rsidR="00711444" w:rsidRPr="004D0DAA" w:rsidRDefault="00711444" w:rsidP="00AA2A4C">
            <w:pPr>
              <w:spacing w:after="0"/>
            </w:pPr>
            <w:r w:rsidRPr="004D0DAA">
              <w:rPr>
                <w:b/>
              </w:rPr>
              <w:lastRenderedPageBreak/>
              <w:t>Primary TSC Set</w:t>
            </w:r>
            <w:r w:rsidRPr="004D0DAA">
              <w:t xml:space="preserve"> (1 bit field)</w:t>
            </w:r>
          </w:p>
          <w:p w14:paraId="3425FDA1" w14:textId="77777777" w:rsidR="00711444" w:rsidRPr="004D0DAA" w:rsidRDefault="00711444" w:rsidP="00AA2A4C">
            <w:r w:rsidRPr="004D0DAA">
              <w:t xml:space="preserve">This field indicates to which TSC set the TSC field in the same message, </w:t>
            </w:r>
            <w:r w:rsidRPr="004D0DAA">
              <w:rPr>
                <w:rFonts w:cs="Arial"/>
              </w:rPr>
              <w:t>for use on the assigned resources,</w:t>
            </w:r>
            <w:r w:rsidRPr="004D0DAA">
              <w:t xml:space="preserve"> shall be associated. This field is coded as follows:</w:t>
            </w:r>
          </w:p>
          <w:p w14:paraId="307FDB3C" w14:textId="77777777" w:rsidR="00711444" w:rsidRPr="004D0DAA" w:rsidRDefault="00711444" w:rsidP="00AA2A4C">
            <w:pPr>
              <w:spacing w:before="60" w:after="0"/>
            </w:pPr>
            <w:r w:rsidRPr="004D0DAA">
              <w:t>0  TSC set 1</w:t>
            </w:r>
          </w:p>
          <w:p w14:paraId="340A6D28" w14:textId="77777777" w:rsidR="00711444" w:rsidRPr="004D0DAA" w:rsidRDefault="00711444" w:rsidP="00AA2A4C">
            <w:pPr>
              <w:spacing w:before="60" w:after="0"/>
              <w:ind w:left="270" w:hanging="270"/>
            </w:pPr>
            <w:r w:rsidRPr="004D0DAA">
              <w:t xml:space="preserve">1   Indicates TSC set 2 for 8PSK modulation and TSC set 3 (which is identical to TSC set 3 used for the CS domain) for GMSK modulation. </w:t>
            </w:r>
          </w:p>
          <w:p w14:paraId="0F0A61A3" w14:textId="77777777" w:rsidR="00711444" w:rsidRPr="004D0DAA" w:rsidRDefault="00711444" w:rsidP="00AA2A4C">
            <w:pPr>
              <w:spacing w:before="60" w:after="0"/>
              <w:rPr>
                <w:b/>
                <w:bCs/>
              </w:rPr>
            </w:pPr>
          </w:p>
          <w:p w14:paraId="1C507658" w14:textId="77777777" w:rsidR="00711444" w:rsidRPr="004D0DAA" w:rsidRDefault="00711444" w:rsidP="00AA2A4C">
            <w:pPr>
              <w:rPr>
                <w:bCs/>
              </w:rPr>
            </w:pPr>
            <w:r w:rsidRPr="004D0DAA">
              <w:rPr>
                <w:b/>
              </w:rPr>
              <w:t xml:space="preserve">DL_COVERAGE_CLASS </w:t>
            </w:r>
            <w:r w:rsidRPr="004D0DAA">
              <w:t>(2 bit field)</w:t>
            </w:r>
            <w:r w:rsidRPr="004D0DAA">
              <w:br/>
              <w:t xml:space="preserve">This field indicates the DL Coverage Class that is assigned for transfer of downlink RLC/MAC control messages on the EC-PACCH during the UL EC TBF. </w:t>
            </w:r>
            <w:r w:rsidRPr="004D0DAA">
              <w:rPr>
                <w:bCs/>
              </w:rPr>
              <w:t>The DL_COVERAGE_CLASS field shall be set according to the following table:</w:t>
            </w:r>
          </w:p>
          <w:p w14:paraId="55D8D66C" w14:textId="77777777" w:rsidR="00711444" w:rsidRPr="004D0DAA" w:rsidRDefault="00711444" w:rsidP="00AA2A4C">
            <w:pPr>
              <w:pStyle w:val="FP"/>
              <w:tabs>
                <w:tab w:val="left" w:pos="567"/>
              </w:tabs>
              <w:ind w:left="567" w:hanging="567"/>
            </w:pPr>
            <w:r w:rsidRPr="004D0DAA">
              <w:t>bit</w:t>
            </w:r>
          </w:p>
          <w:p w14:paraId="7AA6DFDF" w14:textId="77777777" w:rsidR="00711444" w:rsidRPr="004D0DAA" w:rsidRDefault="00711444" w:rsidP="00AA2A4C">
            <w:pPr>
              <w:pStyle w:val="FP"/>
              <w:tabs>
                <w:tab w:val="left" w:pos="567"/>
              </w:tabs>
              <w:ind w:left="567" w:hanging="567"/>
            </w:pPr>
            <w:r w:rsidRPr="004D0DAA">
              <w:t>2 1</w:t>
            </w:r>
          </w:p>
          <w:p w14:paraId="6EE76AC4" w14:textId="77777777" w:rsidR="00711444" w:rsidRPr="004D0DAA" w:rsidRDefault="00711444" w:rsidP="00AA2A4C">
            <w:pPr>
              <w:pStyle w:val="FP"/>
              <w:tabs>
                <w:tab w:val="left" w:pos="567"/>
              </w:tabs>
              <w:ind w:left="567" w:hanging="567"/>
            </w:pPr>
            <w:r w:rsidRPr="004D0DAA">
              <w:t>0 0</w:t>
            </w:r>
            <w:r w:rsidRPr="004D0DAA">
              <w:tab/>
              <w:t>DL Coverage Class = CC1</w:t>
            </w:r>
          </w:p>
          <w:p w14:paraId="3EF7CBAD" w14:textId="77777777" w:rsidR="00711444" w:rsidRPr="004D0DAA" w:rsidRDefault="00711444" w:rsidP="00AA2A4C">
            <w:pPr>
              <w:pStyle w:val="FP"/>
              <w:tabs>
                <w:tab w:val="left" w:pos="567"/>
              </w:tabs>
              <w:ind w:left="567" w:hanging="567"/>
            </w:pPr>
            <w:r w:rsidRPr="004D0DAA">
              <w:t>0 1</w:t>
            </w:r>
            <w:r w:rsidRPr="004D0DAA">
              <w:tab/>
              <w:t>DL Coverage Class = CC2</w:t>
            </w:r>
          </w:p>
          <w:p w14:paraId="434D8A08" w14:textId="77777777" w:rsidR="00711444" w:rsidRPr="004D0DAA" w:rsidRDefault="00711444" w:rsidP="00AA2A4C">
            <w:pPr>
              <w:pStyle w:val="FP"/>
              <w:tabs>
                <w:tab w:val="left" w:pos="567"/>
              </w:tabs>
              <w:ind w:left="567" w:hanging="567"/>
            </w:pPr>
            <w:r w:rsidRPr="004D0DAA">
              <w:t>1 0</w:t>
            </w:r>
            <w:r w:rsidRPr="004D0DAA">
              <w:tab/>
              <w:t>DL Coverage Class = CC3</w:t>
            </w:r>
          </w:p>
          <w:p w14:paraId="10B53B1D" w14:textId="77777777" w:rsidR="00711444" w:rsidRPr="004D0DAA" w:rsidRDefault="00711444" w:rsidP="00AA2A4C">
            <w:pPr>
              <w:rPr>
                <w:b/>
              </w:rPr>
            </w:pPr>
            <w:r w:rsidRPr="004D0DAA">
              <w:t>1 1</w:t>
            </w:r>
            <w:r w:rsidRPr="004D0DAA">
              <w:tab/>
            </w:r>
            <w:r w:rsidRPr="004D0DAA">
              <w:tab/>
              <w:t>DL Coverage Class = CC4</w:t>
            </w:r>
          </w:p>
        </w:tc>
      </w:tr>
      <w:tr w:rsidR="00711444" w:rsidRPr="004D0DAA" w14:paraId="55601D4E" w14:textId="77777777" w:rsidTr="00AA2A4C">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667C83CC" w14:textId="77777777" w:rsidR="00711444" w:rsidRPr="004D0DAA" w:rsidRDefault="00711444" w:rsidP="00AA2A4C">
            <w:pPr>
              <w:rPr>
                <w:bCs/>
              </w:rPr>
            </w:pPr>
            <w:r w:rsidRPr="004D0DAA">
              <w:rPr>
                <w:b/>
              </w:rPr>
              <w:lastRenderedPageBreak/>
              <w:t>STARTING_DL_TIMESLOT_OFFSET</w:t>
            </w:r>
            <w:r w:rsidRPr="004D0DAA">
              <w:t xml:space="preserve"> (2 bit field)</w:t>
            </w:r>
            <w:r w:rsidRPr="004D0DAA">
              <w:rPr>
                <w:b/>
              </w:rPr>
              <w:br/>
            </w:r>
            <w:r w:rsidRPr="004D0DAA">
              <w:t>This field defines the timeslot number of the lowest timeslot included in the assignment that is used for transfer of downlink RLC/MAC control messages on the EC-PACCH during the UL EC TBF. The number of additional timeslots that are included in the downlink assignment depends on the assigned DL Coverage Class. The assigned timeslots are contiguous, starting with the timeslot number indicated in the STARTING_DL_TIMESLOT_OFFSET field. The STARTING_DL_TIMESLOT_OFFSET</w:t>
            </w:r>
            <w:r w:rsidRPr="004D0DAA">
              <w:rPr>
                <w:bCs/>
              </w:rPr>
              <w:t xml:space="preserve"> field is encoded as an offset to the timeslot assigned with the STARTING_UL_TIMESLOT field. </w:t>
            </w:r>
            <w:r w:rsidRPr="004D0DAA">
              <w:t>The encoding of the field is dependent of the value of the UL_COVERAGE_CLASS and DL_COVERAGE_CLASS fields in the same message.</w:t>
            </w:r>
          </w:p>
          <w:p w14:paraId="51D90EC9" w14:textId="77777777" w:rsidR="00711444" w:rsidRPr="004D0DAA" w:rsidRDefault="00711444" w:rsidP="00AA2A4C">
            <w:pPr>
              <w:rPr>
                <w:bCs/>
              </w:rPr>
            </w:pPr>
            <w:r w:rsidRPr="004D0DAA">
              <w:t>If both UL_COVERAGE_CLASS and DL_COVERAGE_CLASS &gt; CC1, the same timeslots are assigned in both the uplink and the downlink directions. The STARTING_DL_TIMESLOT_OFFSET field can then be considered as not valid by the mobile station.</w:t>
            </w:r>
          </w:p>
          <w:p w14:paraId="0F192185" w14:textId="77777777" w:rsidR="00711444" w:rsidRPr="004D0DAA" w:rsidRDefault="00711444" w:rsidP="00AA2A4C">
            <w:pPr>
              <w:rPr>
                <w:bCs/>
              </w:rPr>
            </w:pPr>
            <w:r w:rsidRPr="004D0DAA">
              <w:t>If UL_COVERAGE_CLASS = CC1 and DL_COVERAGE_CLASS &gt; CC1, the STARTING_DL_TIMESLOT_OFFSET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52279F64" w14:textId="77777777" w:rsidR="00711444" w:rsidRPr="004D0DAA" w:rsidRDefault="00711444" w:rsidP="00AA2A4C">
            <w:pPr>
              <w:pStyle w:val="FP"/>
              <w:tabs>
                <w:tab w:val="left" w:pos="567"/>
              </w:tabs>
              <w:ind w:left="567" w:hanging="567"/>
            </w:pPr>
            <w:r w:rsidRPr="004D0DAA">
              <w:t>bit</w:t>
            </w:r>
          </w:p>
          <w:p w14:paraId="551AA262" w14:textId="77777777" w:rsidR="00711444" w:rsidRPr="004D0DAA" w:rsidRDefault="00711444" w:rsidP="00AA2A4C">
            <w:pPr>
              <w:pStyle w:val="FP"/>
              <w:tabs>
                <w:tab w:val="left" w:pos="567"/>
              </w:tabs>
              <w:ind w:left="567" w:hanging="567"/>
            </w:pPr>
            <w:r w:rsidRPr="004D0DAA">
              <w:t>2 1</w:t>
            </w:r>
          </w:p>
          <w:p w14:paraId="79D46862"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64B56F2F"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1F775A62"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40D32231" w14:textId="77777777" w:rsidR="00711444" w:rsidRPr="004D0DAA" w:rsidRDefault="00711444" w:rsidP="00AA2A4C">
            <w:pPr>
              <w:rPr>
                <w:bCs/>
              </w:rPr>
            </w:pPr>
            <w:r w:rsidRPr="004D0DAA">
              <w:t>1 1</w:t>
            </w:r>
            <w:r w:rsidRPr="004D0DAA">
              <w:tab/>
            </w:r>
            <w:r w:rsidRPr="004D0DAA">
              <w:tab/>
            </w:r>
            <w:r w:rsidRPr="004D0DAA">
              <w:rPr>
                <w:bCs/>
              </w:rPr>
              <w:t>STARTING_UL_TIMESLOT - 3</w:t>
            </w:r>
          </w:p>
          <w:p w14:paraId="7ED37B4D" w14:textId="77777777" w:rsidR="00711444" w:rsidRPr="004D0DAA" w:rsidRDefault="00711444" w:rsidP="00AA2A4C">
            <w:r w:rsidRPr="004D0DAA">
              <w:t>If UL_COVERAGE_CLASS &gt; CC1 and DL_COVERAGE_CLASS = CC1, the STARTING_DL_TIMESLOT_OFFSET field is encoded according to the following code points if the field EC_Reduced_PDCH_Allocation is set to 0 in the EC SYSTEM INFORMATION TYPE 2 message (see 44.018 sub-clause 9.1.43q). If the field EC_Reduced_PDCH_Allocation is set to 1 only the first two code points of the following shall be used:</w:t>
            </w:r>
          </w:p>
          <w:p w14:paraId="122E4072" w14:textId="77777777" w:rsidR="00711444" w:rsidRPr="004D0DAA" w:rsidRDefault="00711444" w:rsidP="00AA2A4C">
            <w:pPr>
              <w:pStyle w:val="FP"/>
              <w:tabs>
                <w:tab w:val="left" w:pos="567"/>
              </w:tabs>
              <w:ind w:left="567" w:hanging="567"/>
            </w:pPr>
            <w:r w:rsidRPr="004D0DAA">
              <w:t>bit</w:t>
            </w:r>
          </w:p>
          <w:p w14:paraId="136B187A" w14:textId="77777777" w:rsidR="00711444" w:rsidRPr="004D0DAA" w:rsidRDefault="00711444" w:rsidP="00AA2A4C">
            <w:pPr>
              <w:pStyle w:val="FP"/>
              <w:tabs>
                <w:tab w:val="left" w:pos="567"/>
              </w:tabs>
              <w:ind w:left="567" w:hanging="567"/>
            </w:pPr>
            <w:r w:rsidRPr="004D0DAA">
              <w:t>2 1</w:t>
            </w:r>
          </w:p>
          <w:p w14:paraId="0E96C99B"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49C0E526"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0823B23B"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5C794997" w14:textId="77777777" w:rsidR="00711444" w:rsidRPr="004D0DAA" w:rsidRDefault="00711444" w:rsidP="00AA2A4C">
            <w:r w:rsidRPr="004D0DAA">
              <w:t>1 1</w:t>
            </w:r>
            <w:r w:rsidRPr="004D0DAA">
              <w:tab/>
            </w:r>
            <w:r w:rsidRPr="004D0DAA">
              <w:tab/>
            </w:r>
            <w:r w:rsidRPr="004D0DAA">
              <w:rPr>
                <w:bCs/>
              </w:rPr>
              <w:t>STARTING_UL_TIMESLOT + 3</w:t>
            </w:r>
          </w:p>
          <w:p w14:paraId="3408FCA0" w14:textId="77777777" w:rsidR="00711444" w:rsidRPr="004D0DAA" w:rsidRDefault="00711444" w:rsidP="00AA2A4C">
            <w:r w:rsidRPr="004D0DAA">
              <w:t xml:space="preserve">If both UL_COVERAGE_CLASS and DL_COVERAGE_CLASS = CC1, the downlink is assigned to the timeslot indicated by the </w:t>
            </w:r>
            <w:r w:rsidRPr="004D0DAA">
              <w:rPr>
                <w:bCs/>
              </w:rPr>
              <w:t>STARTING_UL_TIMESLOT field. If timer T3248 (sent in EC SI) is used, t</w:t>
            </w:r>
            <w:r w:rsidRPr="004D0DAA">
              <w:t>he STARTING_DL_TIMESLOT_OFFSET field defines the lowest assigned timeslot for EC-PACCH transfers using CC2 while the timer is running. The STARTING_DL_TIMESLOT_OFFSET field is then encoded according to the following table:</w:t>
            </w:r>
          </w:p>
          <w:p w14:paraId="57D046A3" w14:textId="77777777" w:rsidR="00711444" w:rsidRPr="004D0DAA" w:rsidRDefault="00711444" w:rsidP="00AA2A4C">
            <w:pPr>
              <w:pStyle w:val="FP"/>
              <w:tabs>
                <w:tab w:val="left" w:pos="567"/>
              </w:tabs>
              <w:ind w:left="567" w:hanging="567"/>
            </w:pPr>
            <w:r w:rsidRPr="004D0DAA">
              <w:t>bit</w:t>
            </w:r>
          </w:p>
          <w:p w14:paraId="6C32C41D" w14:textId="77777777" w:rsidR="00711444" w:rsidRPr="004D0DAA" w:rsidRDefault="00711444" w:rsidP="00AA2A4C">
            <w:pPr>
              <w:pStyle w:val="FP"/>
              <w:tabs>
                <w:tab w:val="left" w:pos="567"/>
              </w:tabs>
              <w:ind w:left="567" w:hanging="567"/>
            </w:pPr>
            <w:r w:rsidRPr="004D0DAA">
              <w:t>2 1</w:t>
            </w:r>
          </w:p>
          <w:p w14:paraId="729A71C3" w14:textId="77777777" w:rsidR="00711444" w:rsidRPr="004D0DAA" w:rsidRDefault="00711444" w:rsidP="00AA2A4C">
            <w:pPr>
              <w:pStyle w:val="FP"/>
              <w:tabs>
                <w:tab w:val="left" w:pos="567"/>
              </w:tabs>
              <w:ind w:left="567" w:hanging="567"/>
            </w:pPr>
            <w:r w:rsidRPr="004D0DAA">
              <w:t>0 0</w:t>
            </w:r>
            <w:r w:rsidRPr="004D0DAA">
              <w:tab/>
              <w:t xml:space="preserve">same timeslot as indicated by </w:t>
            </w:r>
            <w:r w:rsidRPr="004D0DAA">
              <w:rPr>
                <w:bCs/>
              </w:rPr>
              <w:t>STARTING_UL_TIMESLOT</w:t>
            </w:r>
          </w:p>
          <w:p w14:paraId="2A0B2EF7" w14:textId="77777777" w:rsidR="00711444" w:rsidRPr="004D0DAA" w:rsidRDefault="00711444" w:rsidP="00AA2A4C">
            <w:pPr>
              <w:pStyle w:val="FP"/>
              <w:tabs>
                <w:tab w:val="left" w:pos="567"/>
              </w:tabs>
              <w:ind w:left="567" w:hanging="567"/>
            </w:pPr>
            <w:r w:rsidRPr="004D0DAA">
              <w:t>0 1</w:t>
            </w:r>
            <w:r w:rsidRPr="004D0DAA">
              <w:tab/>
            </w:r>
            <w:r w:rsidRPr="004D0DAA">
              <w:rPr>
                <w:bCs/>
              </w:rPr>
              <w:t>STARTING_UL_TIMESLOT - 1</w:t>
            </w:r>
          </w:p>
          <w:p w14:paraId="0A158D94" w14:textId="77777777" w:rsidR="00711444" w:rsidRPr="004D0DAA" w:rsidRDefault="00711444" w:rsidP="00AA2A4C">
            <w:pPr>
              <w:pStyle w:val="FP"/>
              <w:tabs>
                <w:tab w:val="left" w:pos="567"/>
              </w:tabs>
              <w:ind w:left="567" w:hanging="567"/>
            </w:pPr>
            <w:r w:rsidRPr="004D0DAA">
              <w:t>1 0</w:t>
            </w:r>
            <w:r w:rsidRPr="004D0DAA">
              <w:tab/>
            </w:r>
            <w:r w:rsidRPr="004D0DAA">
              <w:rPr>
                <w:bCs/>
              </w:rPr>
              <w:t>STARTING_UL_TIMESLOT - 2</w:t>
            </w:r>
          </w:p>
          <w:p w14:paraId="77E5240E" w14:textId="77777777" w:rsidR="00711444" w:rsidRPr="004D0DAA" w:rsidRDefault="00711444" w:rsidP="00AA2A4C">
            <w:pPr>
              <w:rPr>
                <w:bCs/>
              </w:rPr>
            </w:pPr>
            <w:r w:rsidRPr="004D0DAA">
              <w:t>1 1</w:t>
            </w:r>
            <w:r w:rsidRPr="004D0DAA">
              <w:tab/>
            </w:r>
            <w:r w:rsidRPr="004D0DAA">
              <w:tab/>
              <w:t xml:space="preserve">no valid </w:t>
            </w:r>
            <w:r w:rsidRPr="004D0DAA">
              <w:rPr>
                <w:bCs/>
              </w:rPr>
              <w:t xml:space="preserve">CC2 mapping applies while T3248 is running, CC1 to be used </w:t>
            </w:r>
          </w:p>
          <w:p w14:paraId="2CA51D41" w14:textId="77777777" w:rsidR="00711444" w:rsidRPr="004D0DAA" w:rsidRDefault="00711444" w:rsidP="00AA2A4C">
            <w:pPr>
              <w:spacing w:after="0"/>
              <w:rPr>
                <w:b/>
              </w:rPr>
            </w:pPr>
          </w:p>
        </w:tc>
      </w:tr>
      <w:tr w:rsidR="00711444" w:rsidRPr="004D0DAA" w14:paraId="3770ED16" w14:textId="77777777" w:rsidTr="00AA2A4C">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6351193E" w14:textId="77777777" w:rsidR="00711444" w:rsidRPr="004D0DAA" w:rsidRDefault="00711444" w:rsidP="00AA2A4C">
            <w:r w:rsidRPr="004D0DAA">
              <w:rPr>
                <w:b/>
              </w:rPr>
              <w:lastRenderedPageBreak/>
              <w:t>UL_COVERAGE_CLASS_EXT (1 bit field)</w:t>
            </w:r>
            <w:r w:rsidRPr="004D0DAA">
              <w:rPr>
                <w:b/>
              </w:rPr>
              <w:br/>
            </w:r>
            <w:r w:rsidRPr="004D0DAA">
              <w:t>This field indicates how the field UL_COVERAGE_CLASS(see above) is to be interpreted and is coded as follows</w:t>
            </w:r>
          </w:p>
          <w:p w14:paraId="39424C8B" w14:textId="77777777" w:rsidR="00711444" w:rsidRPr="004D0DAA" w:rsidRDefault="00711444" w:rsidP="00AA2A4C">
            <w:r w:rsidRPr="004D0DAA">
              <w:t>bit</w:t>
            </w:r>
          </w:p>
          <w:p w14:paraId="3F7F555A" w14:textId="77777777" w:rsidR="00711444" w:rsidRPr="004D0DAA" w:rsidRDefault="00711444" w:rsidP="00AA2A4C">
            <w:r w:rsidRPr="004D0DAA">
              <w:t xml:space="preserve">0 </w:t>
            </w:r>
            <w:r w:rsidRPr="004D0DAA">
              <w:tab/>
              <w:t>UL_COVERAGE_CLASS field indicates one of UL Coverage Class CC1, CC2, CC3 or CC4 are assigned for uplink</w:t>
            </w:r>
          </w:p>
          <w:p w14:paraId="12FA23E8" w14:textId="77777777" w:rsidR="00711444" w:rsidRPr="004D0DAA" w:rsidRDefault="00711444" w:rsidP="00AA2A4C">
            <w:r w:rsidRPr="004D0DAA">
              <w:t>1</w:t>
            </w:r>
            <w:r w:rsidRPr="004D0DAA">
              <w:tab/>
              <w:t>UL_COVERAGE_CLASS field indicates UL Coverage Class CC5 is assigned for uplink</w:t>
            </w:r>
          </w:p>
          <w:p w14:paraId="21403654" w14:textId="77777777" w:rsidR="00711444" w:rsidRPr="004D0DAA" w:rsidRDefault="00711444" w:rsidP="00AA2A4C">
            <w:pPr>
              <w:rPr>
                <w:b/>
              </w:rPr>
            </w:pPr>
          </w:p>
        </w:tc>
      </w:tr>
    </w:tbl>
    <w:p w14:paraId="02444428" w14:textId="77777777" w:rsidR="00711444" w:rsidRPr="004D0DAA" w:rsidRDefault="00711444" w:rsidP="00711444">
      <w:pPr>
        <w:rPr>
          <w:lang w:eastAsia="en-GB"/>
        </w:rPr>
      </w:pPr>
    </w:p>
    <w:p w14:paraId="0FF759DF" w14:textId="77777777" w:rsidR="00711444" w:rsidRPr="004D0DAA" w:rsidRDefault="00711444" w:rsidP="00711444">
      <w:pPr>
        <w:pStyle w:val="Heading3"/>
      </w:pPr>
      <w:bookmarkStart w:id="749" w:name="_Toc516669925"/>
      <w:r w:rsidRPr="004D0DAA">
        <w:t>11.2.59</w:t>
      </w:r>
      <w:r w:rsidRPr="004D0DAA">
        <w:tab/>
        <w:t>EC Packet Uplink Ack/Nack and Contention Resolution</w:t>
      </w:r>
      <w:bookmarkEnd w:id="749"/>
    </w:p>
    <w:p w14:paraId="1F3F815B" w14:textId="77777777" w:rsidR="00711444" w:rsidRPr="004D0DAA" w:rsidRDefault="00711444" w:rsidP="00711444">
      <w:r w:rsidRPr="004D0DAA">
        <w:t>This message is sent on the EC-PACCH by the network to the mobile station to indicate the status of the received RLC data blocks, include a fixed uplink allocation for the mobile station to (re)transmit not yet acknowledged/transmitted RLC Data blocks. The message includes the TLLI for contention resolution.</w:t>
      </w:r>
    </w:p>
    <w:p w14:paraId="62523328" w14:textId="77777777" w:rsidR="00711444" w:rsidRPr="004D0DAA" w:rsidRDefault="00711444" w:rsidP="00711444">
      <w:r w:rsidRPr="004D0DAA">
        <w:t>The mobile station shall continue to use the previous EGPRS Modulation and Coding Scheme when transmitting in the resources allocated in this message.</w:t>
      </w:r>
    </w:p>
    <w:p w14:paraId="06818118" w14:textId="77777777" w:rsidR="00711444" w:rsidRPr="004D0DAA" w:rsidRDefault="00711444" w:rsidP="00711444">
      <w:pPr>
        <w:pStyle w:val="EX"/>
      </w:pPr>
      <w:r w:rsidRPr="004D0DAA">
        <w:t>Message type:</w:t>
      </w:r>
      <w:r w:rsidRPr="004D0DAA">
        <w:tab/>
        <w:t>EC PACKET UPLINK ACK/NACK AND CONTENTION RESOLUTION</w:t>
      </w:r>
    </w:p>
    <w:p w14:paraId="314216FD" w14:textId="77777777" w:rsidR="00711444" w:rsidRPr="004D0DAA" w:rsidRDefault="00711444" w:rsidP="00711444">
      <w:pPr>
        <w:pStyle w:val="EX"/>
      </w:pPr>
      <w:r w:rsidRPr="004D0DAA">
        <w:t>Direction:</w:t>
      </w:r>
      <w:r w:rsidRPr="004D0DAA">
        <w:tab/>
        <w:t>network to mobile station</w:t>
      </w:r>
    </w:p>
    <w:p w14:paraId="4F78B443" w14:textId="77777777" w:rsidR="00711444" w:rsidRPr="004D0DAA" w:rsidRDefault="00711444" w:rsidP="00711444">
      <w:pPr>
        <w:pStyle w:val="EX"/>
      </w:pPr>
      <w:r w:rsidRPr="004D0DAA">
        <w:t>Classification:</w:t>
      </w:r>
      <w:r w:rsidRPr="004D0DAA">
        <w:tab/>
        <w:t>non-distribution message</w:t>
      </w:r>
    </w:p>
    <w:p w14:paraId="64A84BB3" w14:textId="77777777" w:rsidR="00711444" w:rsidRPr="004D0DAA" w:rsidRDefault="00711444" w:rsidP="00711444">
      <w:pPr>
        <w:pStyle w:val="TH"/>
      </w:pPr>
      <w:r w:rsidRPr="004D0DAA">
        <w:t xml:space="preserve">Table 11.2.59.1: EC </w:t>
      </w:r>
      <w:r w:rsidRPr="004D0DAA">
        <w:rPr>
          <w:caps/>
        </w:rPr>
        <w:t>Packet UPlink ACK/NACK AND CONTENTION RESOLUTION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3B189F3" w14:textId="77777777" w:rsidTr="00AA2A4C">
        <w:trPr>
          <w:cantSplit/>
        </w:trPr>
        <w:tc>
          <w:tcPr>
            <w:tcW w:w="9848" w:type="dxa"/>
            <w:tcBorders>
              <w:left w:val="single" w:sz="4" w:space="0" w:color="auto"/>
              <w:bottom w:val="single" w:sz="4" w:space="0" w:color="auto"/>
              <w:right w:val="single" w:sz="4" w:space="0" w:color="auto"/>
            </w:tcBorders>
          </w:tcPr>
          <w:p w14:paraId="276CF84E" w14:textId="77777777" w:rsidR="00711444" w:rsidRPr="004D0DAA" w:rsidRDefault="00711444" w:rsidP="00AA2A4C">
            <w:pPr>
              <w:pStyle w:val="TAL"/>
              <w:rPr>
                <w:lang w:eastAsia="en-US"/>
              </w:rPr>
            </w:pPr>
            <w:r w:rsidRPr="004D0DAA">
              <w:rPr>
                <w:lang w:eastAsia="en-US"/>
              </w:rPr>
              <w:t>&lt; EC Packet Uplink Ack/Nack and Contention Resolution message content &gt; ::=</w:t>
            </w:r>
          </w:p>
          <w:p w14:paraId="1A7E9FD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USED_DL_COVERAGE_CLASS</w:t>
            </w:r>
            <w:r w:rsidRPr="004D0DAA">
              <w:rPr>
                <w:lang w:eastAsia="en-US"/>
              </w:rPr>
              <w:t xml:space="preserve"> : &lt; Used DL Coverage Class IE &gt;&gt;</w:t>
            </w:r>
          </w:p>
          <w:p w14:paraId="06C74E08"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&lt; </w:t>
            </w:r>
            <w:r w:rsidRPr="004D0DAA">
              <w:rPr>
                <w:b/>
                <w:lang w:eastAsia="en-US"/>
              </w:rPr>
              <w:t>UPLINK_TFI</w:t>
            </w:r>
            <w:r w:rsidRPr="004D0DAA">
              <w:rPr>
                <w:lang w:eastAsia="en-US"/>
              </w:rPr>
              <w:t xml:space="preserve"> : bit (5) &gt;</w:t>
            </w:r>
          </w:p>
          <w:p w14:paraId="27094899" w14:textId="77777777" w:rsidR="00711444" w:rsidRPr="004D0DAA" w:rsidRDefault="00711444" w:rsidP="00AA2A4C">
            <w:pPr>
              <w:pStyle w:val="TAL"/>
              <w:rPr>
                <w:lang w:eastAsia="en-US"/>
              </w:rPr>
            </w:pPr>
            <w:r w:rsidRPr="004D0DAA">
              <w:rPr>
                <w:lang w:eastAsia="en-US"/>
              </w:rPr>
              <w:tab/>
            </w:r>
            <w:r w:rsidRPr="004D0DAA">
              <w:rPr>
                <w:lang w:eastAsia="en-US"/>
              </w:rPr>
              <w:tab/>
              <w:t>{</w:t>
            </w:r>
            <w:r w:rsidRPr="004D0DAA">
              <w:rPr>
                <w:lang w:eastAsia="en-US"/>
              </w:rPr>
              <w:tab/>
              <w:t xml:space="preserve">&lt; </w:t>
            </w:r>
            <w:r w:rsidRPr="004D0DAA">
              <w:rPr>
                <w:b/>
                <w:lang w:eastAsia="en-US"/>
              </w:rPr>
              <w:t>CONTENTION_RESOLUTION_TLLI</w:t>
            </w:r>
            <w:r w:rsidRPr="004D0DAA">
              <w:rPr>
                <w:lang w:eastAsia="en-US"/>
              </w:rPr>
              <w:t xml:space="preserve"> : bit (32) &gt;</w:t>
            </w:r>
          </w:p>
          <w:p w14:paraId="2A32D83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EC Primary Ack/Nack Description</w:t>
            </w:r>
            <w:r w:rsidRPr="004D0DAA">
              <w:rPr>
                <w:lang w:eastAsia="en-US"/>
              </w:rPr>
              <w:t xml:space="preserve"> : &lt; EC Primary Ack/Nack Description IE &gt;&gt;</w:t>
            </w:r>
          </w:p>
          <w:p w14:paraId="7B9CBBF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PUANCR Fixed Uplink Allocation</w:t>
            </w:r>
            <w:r w:rsidRPr="004D0DAA">
              <w:rPr>
                <w:lang w:eastAsia="en-US"/>
              </w:rPr>
              <w:t xml:space="preserve"> : &lt; PUANCR Fixed Uplink Allocation struct &gt; &gt;</w:t>
            </w:r>
          </w:p>
          <w:p w14:paraId="46E50A9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RESEGMENT</w:t>
            </w:r>
            <w:r w:rsidRPr="004D0DAA">
              <w:rPr>
                <w:lang w:eastAsia="en-US"/>
              </w:rPr>
              <w:t xml:space="preserve"> : bit (1) &gt;</w:t>
            </w:r>
          </w:p>
          <w:p w14:paraId="5BD329E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 }</w:t>
            </w:r>
          </w:p>
          <w:p w14:paraId="4EFC4D5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&lt; Non-distribution part error : bit (*) = &lt;no string&gt; &gt; }</w:t>
            </w:r>
          </w:p>
          <w:p w14:paraId="403050E2" w14:textId="77777777" w:rsidR="00711444" w:rsidRPr="004D0DAA" w:rsidRDefault="00711444" w:rsidP="00AA2A4C">
            <w:pPr>
              <w:pStyle w:val="TAL"/>
              <w:rPr>
                <w:lang w:eastAsia="en-US"/>
              </w:rPr>
            </w:pPr>
            <w:r w:rsidRPr="004D0DAA">
              <w:rPr>
                <w:lang w:eastAsia="en-US"/>
              </w:rPr>
              <w:tab/>
            </w:r>
            <w:r w:rsidRPr="004D0DAA">
              <w:rPr>
                <w:lang w:eastAsia="en-US"/>
              </w:rPr>
              <w:tab/>
              <w:t>! &lt; Address information part error : bit (*) = &lt;no string&gt; &gt; }</w:t>
            </w:r>
          </w:p>
          <w:p w14:paraId="189BCA1E" w14:textId="77777777" w:rsidR="00711444" w:rsidRPr="004D0DAA" w:rsidRDefault="00711444" w:rsidP="00AA2A4C">
            <w:pPr>
              <w:pStyle w:val="TAL"/>
              <w:rPr>
                <w:lang w:eastAsia="en-US"/>
              </w:rPr>
            </w:pPr>
            <w:r w:rsidRPr="004D0DAA">
              <w:rPr>
                <w:lang w:eastAsia="en-US"/>
              </w:rPr>
              <w:tab/>
              <w:t>! &lt; Distribution part error : bit (*) = &lt;no string&gt; &gt; ;</w:t>
            </w:r>
          </w:p>
          <w:p w14:paraId="2BA59679" w14:textId="77777777" w:rsidR="00711444" w:rsidRPr="004D0DAA" w:rsidRDefault="00711444" w:rsidP="00AA2A4C">
            <w:pPr>
              <w:pStyle w:val="TAL"/>
              <w:rPr>
                <w:lang w:eastAsia="en-US"/>
              </w:rPr>
            </w:pPr>
          </w:p>
          <w:p w14:paraId="0A8A74EE" w14:textId="77777777" w:rsidR="00711444" w:rsidRPr="004D0DAA" w:rsidRDefault="00711444" w:rsidP="00AA2A4C">
            <w:pPr>
              <w:pStyle w:val="TAL"/>
              <w:rPr>
                <w:lang w:eastAsia="en-US"/>
              </w:rPr>
            </w:pPr>
            <w:r w:rsidRPr="004D0DAA">
              <w:rPr>
                <w:lang w:eastAsia="en-US"/>
              </w:rPr>
              <w:t xml:space="preserve">&lt; PUANCR Fixed Uplink Allocation struct &gt; ::= </w:t>
            </w:r>
          </w:p>
          <w:p w14:paraId="7CB4812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START_FIRST_UL_RLC_DATA_BLOCK</w:t>
            </w:r>
            <w:r w:rsidRPr="004D0DAA">
              <w:rPr>
                <w:lang w:eastAsia="en-US"/>
              </w:rPr>
              <w:t xml:space="preserve"> : bit (4) &gt;</w:t>
            </w:r>
          </w:p>
          <w:p w14:paraId="33CCE727" w14:textId="77777777" w:rsidR="00711444" w:rsidRPr="004D0DAA" w:rsidRDefault="00711444" w:rsidP="00AA2A4C">
            <w:pPr>
              <w:pStyle w:val="TAL"/>
              <w:rPr>
                <w:lang w:eastAsia="en-US"/>
              </w:rPr>
            </w:pPr>
            <w:r w:rsidRPr="004D0DAA">
              <w:rPr>
                <w:lang w:eastAsia="en-US"/>
              </w:rPr>
              <w:tab/>
              <w:t>{ 1</w:t>
            </w:r>
            <w:r w:rsidRPr="004D0DAA">
              <w:rPr>
                <w:lang w:eastAsia="en-US"/>
              </w:rPr>
              <w:tab/>
              <w:t>{</w:t>
            </w:r>
            <w:r w:rsidRPr="004D0DAA">
              <w:rPr>
                <w:lang w:eastAsia="en-US"/>
              </w:rPr>
              <w:tab/>
              <w:t xml:space="preserve"> </w:t>
            </w:r>
          </w:p>
          <w:p w14:paraId="56CC9F67" w14:textId="77777777" w:rsidR="00711444" w:rsidRPr="004D0DAA" w:rsidRDefault="00711444" w:rsidP="00AA2A4C">
            <w:pPr>
              <w:pStyle w:val="TAL"/>
              <w:rPr>
                <w:lang w:eastAsia="en-US"/>
              </w:rPr>
            </w:pPr>
            <w:r w:rsidRPr="004D0DAA">
              <w:rPr>
                <w:lang w:eastAsia="en-US"/>
              </w:rPr>
              <w:t xml:space="preserve">                 0</w:t>
            </w:r>
            <w:r w:rsidRPr="004D0DAA">
              <w:rPr>
                <w:lang w:eastAsia="en-US"/>
              </w:rPr>
              <w:tab/>
              <w:t>&lt;</w:t>
            </w:r>
            <w:r w:rsidRPr="004D0DAA">
              <w:rPr>
                <w:b/>
                <w:lang w:eastAsia="en-US"/>
              </w:rPr>
              <w:t xml:space="preserve"> DELAY_NEXT_UL_RLC_DATA_BLOCK</w:t>
            </w:r>
            <w:r w:rsidRPr="004D0DAA">
              <w:rPr>
                <w:lang w:eastAsia="en-US"/>
              </w:rPr>
              <w:t xml:space="preserve"> : bit (3) &gt;</w:t>
            </w:r>
            <w:r w:rsidRPr="004D0DAA">
              <w:rPr>
                <w:lang w:eastAsia="en-US"/>
              </w:rPr>
              <w:tab/>
              <w:t xml:space="preserve">-- delay until start of next UL RLC Data block </w:t>
            </w:r>
          </w:p>
          <w:p w14:paraId="030C2344" w14:textId="77777777" w:rsidR="00711444" w:rsidRPr="004D0DAA" w:rsidRDefault="00711444" w:rsidP="00AA2A4C">
            <w:pPr>
              <w:pStyle w:val="TAL"/>
              <w:rPr>
                <w:lang w:eastAsia="en-US"/>
              </w:rPr>
            </w:pPr>
            <w:r w:rsidRPr="004D0DAA">
              <w:rPr>
                <w:lang w:eastAsia="en-US"/>
              </w:rPr>
              <w:t xml:space="preserve">                 | 1 -- next UL RLC Data block starts at first possible occasion after previous UL RLC Data block } } ** 0;</w:t>
            </w:r>
          </w:p>
        </w:tc>
      </w:tr>
    </w:tbl>
    <w:p w14:paraId="4D05E321" w14:textId="77777777" w:rsidR="00711444" w:rsidRPr="004D0DAA" w:rsidRDefault="00711444" w:rsidP="00711444"/>
    <w:p w14:paraId="75E74E21" w14:textId="77777777" w:rsidR="00711444" w:rsidRPr="004D0DAA" w:rsidRDefault="00711444" w:rsidP="00711444">
      <w:pPr>
        <w:pStyle w:val="TH"/>
      </w:pPr>
      <w:r w:rsidRPr="004D0DAA">
        <w:t xml:space="preserve">Table 11.2.59.2: EC </w:t>
      </w:r>
      <w:r w:rsidRPr="004D0DAA">
        <w:rPr>
          <w:caps/>
        </w:rPr>
        <w:t>Packet UPlink ACK/NACK AND CONTENTION RESOLUTION</w:t>
      </w:r>
      <w:r w:rsidRPr="004D0DAA">
        <w:t xml:space="preserve">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22A91DB5" w14:textId="77777777" w:rsidTr="00AA2A4C">
        <w:trPr>
          <w:cantSplit/>
          <w:trHeight w:val="113"/>
        </w:trPr>
        <w:tc>
          <w:tcPr>
            <w:tcW w:w="9848" w:type="dxa"/>
            <w:shd w:val="clear" w:color="auto" w:fill="auto"/>
          </w:tcPr>
          <w:p w14:paraId="45AD4126" w14:textId="77777777" w:rsidR="00711444" w:rsidRPr="004D0DAA" w:rsidRDefault="00711444" w:rsidP="00AA2A4C">
            <w:pPr>
              <w:rPr>
                <w:b/>
              </w:rPr>
            </w:pPr>
            <w:r w:rsidRPr="004D0DAA">
              <w:rPr>
                <w:b/>
              </w:rPr>
              <w:t>USED_DL_COVERAGE_CLASS</w:t>
            </w:r>
            <w:r w:rsidRPr="004D0DAA">
              <w:t xml:space="preserve"> (2 bit field)</w:t>
            </w:r>
            <w:r w:rsidRPr="004D0DAA">
              <w:br/>
              <w:t>This information element is defined in sub-clause 12.71.</w:t>
            </w:r>
          </w:p>
        </w:tc>
      </w:tr>
      <w:tr w:rsidR="00711444" w:rsidRPr="004D0DAA" w14:paraId="1799E364" w14:textId="77777777" w:rsidTr="00AA2A4C">
        <w:trPr>
          <w:cantSplit/>
          <w:trHeight w:val="113"/>
        </w:trPr>
        <w:tc>
          <w:tcPr>
            <w:tcW w:w="9848" w:type="dxa"/>
            <w:shd w:val="clear" w:color="auto" w:fill="auto"/>
          </w:tcPr>
          <w:p w14:paraId="4CE5667F" w14:textId="77777777" w:rsidR="00711444" w:rsidRPr="004D0DAA" w:rsidRDefault="00711444" w:rsidP="00AA2A4C">
            <w:pPr>
              <w:rPr>
                <w:b/>
              </w:rPr>
            </w:pPr>
            <w:r w:rsidRPr="004D0DAA">
              <w:rPr>
                <w:b/>
              </w:rPr>
              <w:t>UPLINK_TFI</w:t>
            </w:r>
            <w:r w:rsidRPr="004D0DAA">
              <w:t xml:space="preserve"> (5 bit field)</w:t>
            </w:r>
            <w:r w:rsidRPr="004D0DAA">
              <w:br/>
              <w:t>This field identifies the uplink TBF to which this message applies. This field is coded the same as the TFI field defined in</w:t>
            </w:r>
            <w:r w:rsidRPr="004D0DAA">
              <w:rPr>
                <w:i/>
              </w:rPr>
              <w:t xml:space="preserve"> </w:t>
            </w:r>
            <w:r w:rsidRPr="004D0DAA">
              <w:t>sub-clause 12.15.</w:t>
            </w:r>
          </w:p>
        </w:tc>
      </w:tr>
      <w:tr w:rsidR="00711444" w:rsidRPr="004D0DAA" w14:paraId="132E0C89" w14:textId="77777777" w:rsidTr="00AA2A4C">
        <w:trPr>
          <w:cantSplit/>
          <w:trHeight w:val="113"/>
        </w:trPr>
        <w:tc>
          <w:tcPr>
            <w:tcW w:w="9848" w:type="dxa"/>
            <w:shd w:val="clear" w:color="auto" w:fill="auto"/>
          </w:tcPr>
          <w:p w14:paraId="05B53139" w14:textId="77777777" w:rsidR="00711444" w:rsidRPr="004D0DAA" w:rsidRDefault="00711444" w:rsidP="00AA2A4C">
            <w:pPr>
              <w:rPr>
                <w:b/>
              </w:rPr>
            </w:pPr>
            <w:r w:rsidRPr="004D0DAA">
              <w:rPr>
                <w:b/>
              </w:rPr>
              <w:t xml:space="preserve">CONTENTION_RESOLUTION_TLLI </w:t>
            </w:r>
            <w:r w:rsidRPr="004D0DAA">
              <w:t>(32 bit field)</w:t>
            </w:r>
            <w:r w:rsidRPr="004D0DAA">
              <w:br/>
              <w:t>The CONTENTION_RESOLUTION_TLLI field contains the TLLI that the network has received in uplink RLC data block(s). The mobile station shall perform the contention resolution function using the TLLI information in this field. The coding of this field is defined in</w:t>
            </w:r>
            <w:r w:rsidRPr="004D0DAA">
              <w:rPr>
                <w:i/>
              </w:rPr>
              <w:t xml:space="preserve"> </w:t>
            </w:r>
            <w:r w:rsidRPr="004D0DAA">
              <w:t>sub-clause 12.16.</w:t>
            </w:r>
          </w:p>
        </w:tc>
      </w:tr>
      <w:tr w:rsidR="00711444" w:rsidRPr="004D0DAA" w14:paraId="674179CE" w14:textId="77777777" w:rsidTr="00AA2A4C">
        <w:trPr>
          <w:cantSplit/>
          <w:trHeight w:val="113"/>
        </w:trPr>
        <w:tc>
          <w:tcPr>
            <w:tcW w:w="9848" w:type="dxa"/>
            <w:shd w:val="clear" w:color="auto" w:fill="auto"/>
          </w:tcPr>
          <w:p w14:paraId="68A3996B" w14:textId="77777777" w:rsidR="00711444" w:rsidRPr="004D0DAA" w:rsidRDefault="00711444" w:rsidP="00AA2A4C">
            <w:pPr>
              <w:rPr>
                <w:b/>
              </w:rPr>
            </w:pPr>
            <w:r w:rsidRPr="004D0DAA">
              <w:rPr>
                <w:b/>
              </w:rPr>
              <w:lastRenderedPageBreak/>
              <w:t>EC Primary Ack/Nack Description IE</w:t>
            </w:r>
            <w:r w:rsidRPr="004D0DAA">
              <w:rPr>
                <w:b/>
              </w:rPr>
              <w:br/>
            </w:r>
            <w:r w:rsidRPr="004D0DAA">
              <w:t>This information element is defined in</w:t>
            </w:r>
            <w:r w:rsidRPr="004D0DAA">
              <w:rPr>
                <w:i/>
              </w:rPr>
              <w:t xml:space="preserve"> </w:t>
            </w:r>
            <w:r w:rsidRPr="004D0DAA">
              <w:t>sub-clause 12.73.</w:t>
            </w:r>
          </w:p>
        </w:tc>
      </w:tr>
      <w:tr w:rsidR="00711444" w:rsidRPr="004D0DAA" w14:paraId="2C1A7DB6" w14:textId="77777777" w:rsidTr="00AA2A4C">
        <w:trPr>
          <w:cantSplit/>
          <w:trHeight w:val="113"/>
        </w:trPr>
        <w:tc>
          <w:tcPr>
            <w:tcW w:w="9848" w:type="dxa"/>
            <w:shd w:val="clear" w:color="auto" w:fill="auto"/>
          </w:tcPr>
          <w:p w14:paraId="55EACF2B" w14:textId="77777777" w:rsidR="00711444" w:rsidRPr="004D0DAA" w:rsidRDefault="00711444" w:rsidP="00AA2A4C">
            <w:pPr>
              <w:rPr>
                <w:b/>
              </w:rPr>
            </w:pPr>
            <w:r w:rsidRPr="004D0DAA">
              <w:rPr>
                <w:b/>
              </w:rPr>
              <w:t xml:space="preserve">RESEGMENT </w:t>
            </w:r>
            <w:r w:rsidRPr="004D0DAA">
              <w:t>(1 bit field)</w:t>
            </w:r>
            <w:r w:rsidRPr="004D0DAA">
              <w:rPr>
                <w:b/>
              </w:rPr>
              <w:br/>
            </w:r>
            <w:r w:rsidRPr="004D0DAA">
              <w:t>This field is defined in</w:t>
            </w:r>
            <w:r w:rsidRPr="004D0DAA">
              <w:rPr>
                <w:i/>
              </w:rPr>
              <w:t xml:space="preserve"> </w:t>
            </w:r>
            <w:r w:rsidRPr="004D0DAA">
              <w:t>sub-clause 12.10e.</w:t>
            </w:r>
          </w:p>
        </w:tc>
      </w:tr>
      <w:tr w:rsidR="00711444" w:rsidRPr="004D0DAA" w14:paraId="7D07541A" w14:textId="77777777" w:rsidTr="00AA2A4C">
        <w:trPr>
          <w:cantSplit/>
          <w:trHeight w:val="113"/>
        </w:trPr>
        <w:tc>
          <w:tcPr>
            <w:tcW w:w="9848" w:type="dxa"/>
            <w:shd w:val="clear" w:color="auto" w:fill="auto"/>
          </w:tcPr>
          <w:p w14:paraId="0F5587D6" w14:textId="77777777" w:rsidR="00711444" w:rsidRPr="004D0DAA" w:rsidRDefault="00711444" w:rsidP="00AA2A4C">
            <w:r w:rsidRPr="004D0DAA">
              <w:rPr>
                <w:b/>
              </w:rPr>
              <w:lastRenderedPageBreak/>
              <w:t xml:space="preserve">START_FIRST_UL_RLC_DATA_BLOCK </w:t>
            </w:r>
            <w:r w:rsidRPr="004D0DAA">
              <w:t>(4 bit field)</w:t>
            </w:r>
            <w:r w:rsidRPr="004D0DAA">
              <w:br/>
              <w:t>This field indicates the starting position of the resources for the first allocated RLC Data block in the fixed uplink allocation. The starting position is relative to the first TDMA frame (N) of the downlink block containing the last blind physical layer transmission of this EC PACKET UPLINK ACK/NACK AND CONTENTION RESOLUTION message, according to the USED_DL_COVERAGE_CLASS field. The encoding of the field is dependent of the uplink Coverage Class and TIMESLOT_MULTIPLICATOR assigned for the uplink EC TBF.</w:t>
            </w:r>
          </w:p>
          <w:p w14:paraId="5F48D29D" w14:textId="77777777" w:rsidR="00711444" w:rsidRPr="004D0DAA" w:rsidRDefault="00711444" w:rsidP="00AA2A4C">
            <w:r w:rsidRPr="004D0DAA">
              <w:t xml:space="preserve">If uplink Coverage Class = CC1 and TIMESLOT_MULTIPLICATOR = 0 or if uplink Coverage Class = CC2, the START_FN_FIRST_UL_RLC_DATA_BLOCK field </w:t>
            </w:r>
            <w:r w:rsidRPr="004D0DAA">
              <w:rPr>
                <w:bCs/>
              </w:rPr>
              <w:t>is encoded according to the following table:</w:t>
            </w:r>
          </w:p>
          <w:p w14:paraId="07C4C1E2" w14:textId="77777777" w:rsidR="00711444" w:rsidRPr="004D0DAA" w:rsidRDefault="00711444" w:rsidP="00AA2A4C">
            <w:pPr>
              <w:pStyle w:val="FP"/>
              <w:tabs>
                <w:tab w:val="left" w:pos="567"/>
              </w:tabs>
              <w:ind w:left="567" w:hanging="567"/>
            </w:pPr>
            <w:r w:rsidRPr="004D0DAA">
              <w:t>bit</w:t>
            </w:r>
          </w:p>
          <w:p w14:paraId="224E9D59" w14:textId="77777777" w:rsidR="00711444" w:rsidRPr="004D0DAA" w:rsidRDefault="00711444" w:rsidP="00AA2A4C">
            <w:pPr>
              <w:pStyle w:val="FP"/>
              <w:tabs>
                <w:tab w:val="left" w:pos="567"/>
              </w:tabs>
              <w:ind w:left="567" w:hanging="567"/>
            </w:pPr>
            <w:r w:rsidRPr="004D0DAA">
              <w:t>4 3 2 1</w:t>
            </w:r>
          </w:p>
          <w:p w14:paraId="3CF7132F"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w:t>
            </w:r>
          </w:p>
          <w:p w14:paraId="6DA7C039"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(N+17 or N+18) mod 2715648</w:t>
            </w:r>
          </w:p>
          <w:p w14:paraId="578635DA"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(N+21 or N+22) mod 2715648</w:t>
            </w:r>
          </w:p>
          <w:p w14:paraId="52CCE2CE"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(N+26) mod 2715648</w:t>
            </w:r>
          </w:p>
          <w:p w14:paraId="1925E748"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(N+30 or N+31) mod 2715648</w:t>
            </w:r>
          </w:p>
          <w:p w14:paraId="5E2684F4" w14:textId="77777777" w:rsidR="00711444" w:rsidRPr="004D0DAA" w:rsidRDefault="00711444" w:rsidP="00AA2A4C">
            <w:pPr>
              <w:pStyle w:val="FP"/>
              <w:tabs>
                <w:tab w:val="left" w:pos="567"/>
              </w:tabs>
              <w:ind w:left="567" w:hanging="567"/>
            </w:pPr>
            <w:r w:rsidRPr="004D0DAA">
              <w:t>….</w:t>
            </w:r>
          </w:p>
          <w:p w14:paraId="06C76FA4"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(N+73 or N+74) mod 2715648</w:t>
            </w:r>
          </w:p>
          <w:p w14:paraId="2C12A8BE" w14:textId="77777777" w:rsidR="00711444" w:rsidRPr="004D0DAA" w:rsidRDefault="00711444" w:rsidP="00AA2A4C">
            <w:r w:rsidRPr="004D0DAA">
              <w:t>1 1 1 1</w:t>
            </w:r>
            <w:r w:rsidRPr="004D0DAA">
              <w:tab/>
            </w:r>
            <w:r w:rsidRPr="004D0DAA">
              <w:tab/>
            </w:r>
            <w:r w:rsidRPr="004D0DAA">
              <w:tab/>
              <w:t>In the TDMA frame (N+78) mod 2715648</w:t>
            </w:r>
          </w:p>
          <w:p w14:paraId="62E04368" w14:textId="77777777" w:rsidR="00711444" w:rsidRPr="004D0DAA" w:rsidRDefault="00711444" w:rsidP="00AA2A4C">
            <w:r w:rsidRPr="004D0DAA">
              <w:t xml:space="preserve">If uplink Coverage Class = CC1 and TIMESLOT_MULTIPLICATOR = 1, the START_FN_FIRST_UL_RLC_DATA_BLOCK field </w:t>
            </w:r>
            <w:r w:rsidRPr="004D0DAA">
              <w:rPr>
                <w:bCs/>
              </w:rPr>
              <w:t>is encoded according to the following table:</w:t>
            </w:r>
          </w:p>
          <w:p w14:paraId="5086EA6F" w14:textId="77777777" w:rsidR="00711444" w:rsidRPr="004D0DAA" w:rsidRDefault="00711444" w:rsidP="00AA2A4C">
            <w:pPr>
              <w:pStyle w:val="FP"/>
              <w:tabs>
                <w:tab w:val="left" w:pos="567"/>
              </w:tabs>
              <w:ind w:left="567" w:hanging="567"/>
            </w:pPr>
            <w:r w:rsidRPr="004D0DAA">
              <w:t>bit</w:t>
            </w:r>
          </w:p>
          <w:p w14:paraId="62DC959D" w14:textId="77777777" w:rsidR="00711444" w:rsidRPr="004D0DAA" w:rsidRDefault="00711444" w:rsidP="00AA2A4C">
            <w:pPr>
              <w:pStyle w:val="FP"/>
              <w:tabs>
                <w:tab w:val="left" w:pos="567"/>
              </w:tabs>
              <w:ind w:left="567" w:hanging="567"/>
            </w:pPr>
            <w:r w:rsidRPr="004D0DAA">
              <w:t>4 3 2 1</w:t>
            </w:r>
          </w:p>
          <w:p w14:paraId="43649A73"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058615A2"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highest TN in TDMA frame (N+13) mod 2715648</w:t>
            </w:r>
          </w:p>
          <w:p w14:paraId="03F891E4"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lowest TN in TDMA frame (N+17 or N+18) mod 2715648</w:t>
            </w:r>
          </w:p>
          <w:p w14:paraId="7201877B"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(N+17 or N+18) mod 2715648</w:t>
            </w:r>
          </w:p>
          <w:p w14:paraId="3FB7679B" w14:textId="77777777" w:rsidR="00711444" w:rsidRPr="004D0DAA" w:rsidRDefault="00711444" w:rsidP="00AA2A4C">
            <w:pPr>
              <w:pStyle w:val="FP"/>
              <w:tabs>
                <w:tab w:val="left" w:pos="567"/>
              </w:tabs>
              <w:ind w:left="567" w:hanging="567"/>
            </w:pPr>
            <w:r w:rsidRPr="004D0DAA">
              <w:t>….</w:t>
            </w:r>
          </w:p>
          <w:p w14:paraId="7A0E6AC4"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(N+43 or N+44) mod 2715648</w:t>
            </w:r>
          </w:p>
          <w:p w14:paraId="1622C9A8" w14:textId="77777777" w:rsidR="00711444" w:rsidRPr="004D0DAA" w:rsidRDefault="00711444" w:rsidP="00AA2A4C">
            <w:r w:rsidRPr="004D0DAA">
              <w:t>1 1 1 1</w:t>
            </w:r>
            <w:r w:rsidRPr="004D0DAA">
              <w:tab/>
            </w:r>
            <w:r w:rsidRPr="004D0DAA">
              <w:tab/>
            </w:r>
            <w:r w:rsidRPr="004D0DAA">
              <w:tab/>
              <w:t>In the timeslot with the highest TN in TDMA frame (N+43 or N+44) mod 2715648</w:t>
            </w:r>
          </w:p>
          <w:p w14:paraId="4F9EED99" w14:textId="77777777" w:rsidR="00711444" w:rsidRPr="004D0DAA" w:rsidRDefault="00711444" w:rsidP="00AA2A4C">
            <w:r w:rsidRPr="004D0DAA">
              <w:t xml:space="preserve">If uplink Coverage Class = CC1 and TIMESLOT_MULTIPLICATOR = 2, the START_FN_FIRST_UL_RLC_DATA_BLOCK field </w:t>
            </w:r>
            <w:r w:rsidRPr="004D0DAA">
              <w:rPr>
                <w:bCs/>
              </w:rPr>
              <w:t>is encoded according to the following table:</w:t>
            </w:r>
          </w:p>
          <w:p w14:paraId="1F0DEFEF" w14:textId="77777777" w:rsidR="00711444" w:rsidRPr="004D0DAA" w:rsidRDefault="00711444" w:rsidP="00AA2A4C">
            <w:pPr>
              <w:pStyle w:val="FP"/>
              <w:tabs>
                <w:tab w:val="left" w:pos="567"/>
              </w:tabs>
              <w:ind w:left="567" w:hanging="567"/>
            </w:pPr>
            <w:r w:rsidRPr="004D0DAA">
              <w:t>bit</w:t>
            </w:r>
          </w:p>
          <w:p w14:paraId="74BA6622" w14:textId="77777777" w:rsidR="00711444" w:rsidRPr="004D0DAA" w:rsidRDefault="00711444" w:rsidP="00AA2A4C">
            <w:pPr>
              <w:pStyle w:val="FP"/>
              <w:tabs>
                <w:tab w:val="left" w:pos="567"/>
              </w:tabs>
              <w:ind w:left="567" w:hanging="567"/>
            </w:pPr>
            <w:r w:rsidRPr="004D0DAA">
              <w:t>4 3 2 1</w:t>
            </w:r>
          </w:p>
          <w:p w14:paraId="2DED1D0A"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7C7FD7AE"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4F822040"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highest TN in TDMA frame (N+13) mod 2715648</w:t>
            </w:r>
          </w:p>
          <w:p w14:paraId="4E1C22C6"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lowest TN in TDMA frame (N+17 or N+18) mod 2715648</w:t>
            </w:r>
          </w:p>
          <w:p w14:paraId="286ED282"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3E8E9121"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(N+17 or N+18) mod 2715648</w:t>
            </w:r>
          </w:p>
          <w:p w14:paraId="7E6278E6" w14:textId="77777777" w:rsidR="00711444" w:rsidRPr="004D0DAA" w:rsidRDefault="00711444" w:rsidP="00AA2A4C">
            <w:pPr>
              <w:pStyle w:val="FP"/>
              <w:tabs>
                <w:tab w:val="left" w:pos="567"/>
              </w:tabs>
              <w:ind w:left="567" w:hanging="567"/>
            </w:pPr>
            <w:r w:rsidRPr="004D0DAA">
              <w:t>….</w:t>
            </w:r>
          </w:p>
          <w:p w14:paraId="22C50E8F"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(N+30 or N+31) mod 2715648</w:t>
            </w:r>
          </w:p>
          <w:p w14:paraId="7CCC594A" w14:textId="77777777" w:rsidR="00711444" w:rsidRPr="004D0DAA" w:rsidRDefault="00711444" w:rsidP="00AA2A4C">
            <w:r w:rsidRPr="004D0DAA">
              <w:t>1 1 1 1</w:t>
            </w:r>
            <w:r w:rsidRPr="004D0DAA">
              <w:tab/>
            </w:r>
            <w:r w:rsidRPr="004D0DAA">
              <w:tab/>
            </w:r>
            <w:r w:rsidRPr="004D0DAA">
              <w:tab/>
              <w:t>In the timeslot with the lowest TN in TDMA frame (N+34 or N+35) mod 2715648</w:t>
            </w:r>
          </w:p>
          <w:p w14:paraId="468A67D0" w14:textId="77777777" w:rsidR="00711444" w:rsidRPr="004D0DAA" w:rsidRDefault="00711444" w:rsidP="00AA2A4C">
            <w:r w:rsidRPr="004D0DAA">
              <w:t xml:space="preserve">If uplink Coverage Class = CC1 and TIMESLOT_MULTIPLICATOR = 3, the START_FN_FIRST_UL_RLC_DATA_BLOCK field </w:t>
            </w:r>
            <w:r w:rsidRPr="004D0DAA">
              <w:rPr>
                <w:bCs/>
              </w:rPr>
              <w:t>is encoded according to the following table:</w:t>
            </w:r>
          </w:p>
          <w:p w14:paraId="46BD812F" w14:textId="77777777" w:rsidR="00711444" w:rsidRPr="004D0DAA" w:rsidRDefault="00711444" w:rsidP="00AA2A4C">
            <w:pPr>
              <w:pStyle w:val="FP"/>
              <w:tabs>
                <w:tab w:val="left" w:pos="567"/>
              </w:tabs>
              <w:ind w:left="567" w:hanging="567"/>
            </w:pPr>
            <w:r w:rsidRPr="004D0DAA">
              <w:t>bit</w:t>
            </w:r>
          </w:p>
          <w:p w14:paraId="6F11D41E" w14:textId="77777777" w:rsidR="00711444" w:rsidRPr="004D0DAA" w:rsidRDefault="00711444" w:rsidP="00AA2A4C">
            <w:pPr>
              <w:pStyle w:val="FP"/>
              <w:tabs>
                <w:tab w:val="left" w:pos="567"/>
              </w:tabs>
              <w:ind w:left="567" w:hanging="567"/>
            </w:pPr>
            <w:r w:rsidRPr="004D0DAA">
              <w:t>4 3 2 1</w:t>
            </w:r>
          </w:p>
          <w:p w14:paraId="1A038042"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135C131C"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4E55D650"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4E0B9D4B"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highest TN in TDMA frame (N+13) mod 2715648</w:t>
            </w:r>
          </w:p>
          <w:p w14:paraId="2E9E251B"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lowest TN in TDMA frame (N+17 or N+18) mod 2715648</w:t>
            </w:r>
          </w:p>
          <w:p w14:paraId="04025501"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(N+17 or N+18) mod 2715648</w:t>
            </w:r>
          </w:p>
          <w:p w14:paraId="6883B2D2" w14:textId="77777777" w:rsidR="00711444" w:rsidRPr="004D0DAA" w:rsidRDefault="00711444" w:rsidP="00AA2A4C">
            <w:pPr>
              <w:pStyle w:val="FP"/>
              <w:tabs>
                <w:tab w:val="left" w:pos="567"/>
              </w:tabs>
              <w:ind w:left="567" w:hanging="567"/>
            </w:pPr>
            <w:r w:rsidRPr="004D0DAA">
              <w:t>….</w:t>
            </w:r>
          </w:p>
          <w:p w14:paraId="1F70099E"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(N+26) mod 2715648</w:t>
            </w:r>
          </w:p>
          <w:p w14:paraId="282DB862" w14:textId="77777777" w:rsidR="00711444" w:rsidRPr="004D0DAA" w:rsidRDefault="00711444" w:rsidP="00AA2A4C">
            <w:pPr>
              <w:pStyle w:val="FP"/>
              <w:tabs>
                <w:tab w:val="left" w:pos="567"/>
              </w:tabs>
              <w:spacing w:after="180"/>
              <w:ind w:left="562" w:hanging="562"/>
            </w:pPr>
            <w:r w:rsidRPr="004D0DAA">
              <w:t>1 1 1 1</w:t>
            </w:r>
            <w:r w:rsidRPr="004D0DAA">
              <w:tab/>
            </w:r>
            <w:r w:rsidRPr="004D0DAA">
              <w:tab/>
            </w:r>
            <w:r w:rsidRPr="004D0DAA">
              <w:tab/>
            </w:r>
            <w:r w:rsidRPr="004D0DAA">
              <w:tab/>
            </w:r>
            <w:r w:rsidRPr="004D0DAA">
              <w:tab/>
              <w:t>In the timeslot with the highest TN in TDMA frame (N+26) mod 2715648</w:t>
            </w:r>
          </w:p>
        </w:tc>
      </w:tr>
      <w:tr w:rsidR="00711444" w:rsidRPr="004D0DAA" w14:paraId="3D20578D" w14:textId="77777777" w:rsidTr="00AA2A4C">
        <w:trPr>
          <w:cantSplit/>
          <w:trHeight w:val="113"/>
        </w:trPr>
        <w:tc>
          <w:tcPr>
            <w:tcW w:w="9848" w:type="dxa"/>
            <w:shd w:val="clear" w:color="auto" w:fill="auto"/>
          </w:tcPr>
          <w:p w14:paraId="1D3254BF" w14:textId="77777777" w:rsidR="00711444" w:rsidRPr="004D0DAA" w:rsidRDefault="00711444" w:rsidP="00AA2A4C">
            <w:r w:rsidRPr="004D0DAA">
              <w:lastRenderedPageBreak/>
              <w:t xml:space="preserve">If uplink Coverage Class = CC1 and TIMESLOT_MULTIPLICATOR = 4, the START_FN_FIRST_UL_RLC_DATA_BLOCK field </w:t>
            </w:r>
            <w:r w:rsidRPr="004D0DAA">
              <w:rPr>
                <w:bCs/>
              </w:rPr>
              <w:t>is encoded according to the following table:</w:t>
            </w:r>
          </w:p>
          <w:p w14:paraId="2EE9DB0F" w14:textId="77777777" w:rsidR="00711444" w:rsidRPr="004D0DAA" w:rsidRDefault="00711444" w:rsidP="00AA2A4C">
            <w:pPr>
              <w:pStyle w:val="FP"/>
              <w:tabs>
                <w:tab w:val="left" w:pos="567"/>
              </w:tabs>
              <w:ind w:left="567" w:hanging="567"/>
            </w:pPr>
            <w:r w:rsidRPr="004D0DAA">
              <w:t>bit</w:t>
            </w:r>
          </w:p>
          <w:p w14:paraId="5C85A6B7" w14:textId="77777777" w:rsidR="00711444" w:rsidRPr="004D0DAA" w:rsidRDefault="00711444" w:rsidP="00AA2A4C">
            <w:pPr>
              <w:pStyle w:val="FP"/>
              <w:tabs>
                <w:tab w:val="left" w:pos="567"/>
              </w:tabs>
              <w:ind w:left="567" w:hanging="567"/>
            </w:pPr>
            <w:r w:rsidRPr="004D0DAA">
              <w:t>4 3 2 1</w:t>
            </w:r>
          </w:p>
          <w:p w14:paraId="0E599346"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1D73A146"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77FEC0C9"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0336CE5E"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68979CA0"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highest TN in TDMA frame (N+13) mod 2715648</w:t>
            </w:r>
          </w:p>
          <w:p w14:paraId="1B6093FA"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lowest TN in TDMA frame (N+17 or N+18) mod 2715648</w:t>
            </w:r>
          </w:p>
          <w:p w14:paraId="63198CE0" w14:textId="77777777" w:rsidR="00711444" w:rsidRPr="004D0DAA" w:rsidRDefault="00711444" w:rsidP="00AA2A4C">
            <w:pPr>
              <w:pStyle w:val="FP"/>
              <w:tabs>
                <w:tab w:val="left" w:pos="567"/>
              </w:tabs>
              <w:ind w:left="567" w:hanging="567"/>
            </w:pPr>
            <w:r w:rsidRPr="004D0DAA">
              <w:t>….</w:t>
            </w:r>
          </w:p>
          <w:p w14:paraId="663E49E9"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highest TN in TDMA frame (N+21 or N+22) mod 2715648</w:t>
            </w:r>
          </w:p>
          <w:p w14:paraId="7EA655FE" w14:textId="77777777" w:rsidR="00711444" w:rsidRPr="004D0DAA" w:rsidRDefault="00711444" w:rsidP="00AA2A4C">
            <w:r w:rsidRPr="004D0DAA">
              <w:t>1 1 1 1</w:t>
            </w:r>
            <w:r w:rsidRPr="004D0DAA">
              <w:tab/>
            </w:r>
            <w:r w:rsidRPr="004D0DAA">
              <w:tab/>
            </w:r>
            <w:r w:rsidRPr="004D0DAA">
              <w:tab/>
              <w:t>In the timeslot with the lowest TN in TDMA frame (N+26) mod 2715648</w:t>
            </w:r>
          </w:p>
          <w:p w14:paraId="4E3DF61F" w14:textId="77777777" w:rsidR="00711444" w:rsidRPr="004D0DAA" w:rsidRDefault="00711444" w:rsidP="00AA2A4C">
            <w:r w:rsidRPr="004D0DAA">
              <w:t xml:space="preserve">If uplink Coverage Class = CC1 and TIMESLOT_MULTIPLICATOR = 5, the START_FN_FIRST_UL_RLC_DATA_BLOCK field </w:t>
            </w:r>
            <w:r w:rsidRPr="004D0DAA">
              <w:rPr>
                <w:bCs/>
              </w:rPr>
              <w:t>is encoded according to the following table:</w:t>
            </w:r>
          </w:p>
          <w:p w14:paraId="3A17DF0D" w14:textId="77777777" w:rsidR="00711444" w:rsidRPr="004D0DAA" w:rsidRDefault="00711444" w:rsidP="00AA2A4C">
            <w:pPr>
              <w:pStyle w:val="FP"/>
              <w:tabs>
                <w:tab w:val="left" w:pos="567"/>
              </w:tabs>
              <w:ind w:left="567" w:hanging="567"/>
            </w:pPr>
            <w:r w:rsidRPr="004D0DAA">
              <w:t>bit</w:t>
            </w:r>
          </w:p>
          <w:p w14:paraId="40D4BCC1" w14:textId="77777777" w:rsidR="00711444" w:rsidRPr="004D0DAA" w:rsidRDefault="00711444" w:rsidP="00AA2A4C">
            <w:pPr>
              <w:pStyle w:val="FP"/>
              <w:tabs>
                <w:tab w:val="left" w:pos="567"/>
              </w:tabs>
              <w:ind w:left="567" w:hanging="567"/>
            </w:pPr>
            <w:r w:rsidRPr="004D0DAA">
              <w:t>4 3 2 1</w:t>
            </w:r>
          </w:p>
          <w:p w14:paraId="3C5A1972"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678F0261"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745B2684"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67E189A4"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526A43CD"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51B7E68A"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highest TN in TDMA frame (N+13) mod 2715648</w:t>
            </w:r>
          </w:p>
          <w:p w14:paraId="17141886"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lowest TN in TDMA frame (N+17 or N+18) mod 2715648</w:t>
            </w:r>
          </w:p>
          <w:p w14:paraId="78FD7EBB" w14:textId="77777777" w:rsidR="00711444" w:rsidRPr="004D0DAA" w:rsidRDefault="00711444" w:rsidP="00AA2A4C">
            <w:pPr>
              <w:pStyle w:val="FP"/>
              <w:tabs>
                <w:tab w:val="left" w:pos="567"/>
              </w:tabs>
              <w:ind w:left="567" w:hanging="567"/>
            </w:pPr>
            <w:r w:rsidRPr="004D0DAA">
              <w:t>….</w:t>
            </w:r>
          </w:p>
          <w:p w14:paraId="2FF3B2A9"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(N+21 or N+22) mod 2715648</w:t>
            </w:r>
          </w:p>
          <w:p w14:paraId="3319D86F" w14:textId="77777777" w:rsidR="00711444" w:rsidRPr="004D0DAA" w:rsidRDefault="00711444" w:rsidP="00AA2A4C">
            <w:r w:rsidRPr="004D0DAA">
              <w:t>1 1 1 1</w:t>
            </w:r>
            <w:r w:rsidRPr="004D0DAA">
              <w:tab/>
            </w:r>
            <w:r w:rsidRPr="004D0DAA">
              <w:tab/>
            </w:r>
            <w:r w:rsidRPr="004D0DAA">
              <w:tab/>
              <w:t>In the timeslot with the 4</w:t>
            </w:r>
            <w:r w:rsidRPr="004D0DAA">
              <w:rPr>
                <w:vertAlign w:val="superscript"/>
              </w:rPr>
              <w:t>th</w:t>
            </w:r>
            <w:r w:rsidRPr="004D0DAA">
              <w:t xml:space="preserve"> lowest TN in TDMA frame (N+21 or N+22) mod 2715648</w:t>
            </w:r>
          </w:p>
          <w:p w14:paraId="0190E867" w14:textId="77777777" w:rsidR="00711444" w:rsidRPr="004D0DAA" w:rsidRDefault="00711444" w:rsidP="00AA2A4C">
            <w:r w:rsidRPr="004D0DAA">
              <w:t xml:space="preserve">If uplink Coverage Class = CC1 and TIMESLOT_MULTIPLICATOR = 6, the START_FN_FIRST_UL_RLC_DATA_BLOCK field </w:t>
            </w:r>
            <w:r w:rsidRPr="004D0DAA">
              <w:rPr>
                <w:bCs/>
              </w:rPr>
              <w:t>is encoded according to the following table:</w:t>
            </w:r>
          </w:p>
          <w:p w14:paraId="2F30753C" w14:textId="77777777" w:rsidR="00711444" w:rsidRPr="004D0DAA" w:rsidRDefault="00711444" w:rsidP="00AA2A4C">
            <w:pPr>
              <w:pStyle w:val="FP"/>
              <w:tabs>
                <w:tab w:val="left" w:pos="567"/>
              </w:tabs>
              <w:ind w:left="567" w:hanging="567"/>
            </w:pPr>
            <w:r w:rsidRPr="004D0DAA">
              <w:t>bit</w:t>
            </w:r>
          </w:p>
          <w:p w14:paraId="710E5304" w14:textId="77777777" w:rsidR="00711444" w:rsidRPr="004D0DAA" w:rsidRDefault="00711444" w:rsidP="00AA2A4C">
            <w:pPr>
              <w:pStyle w:val="FP"/>
              <w:tabs>
                <w:tab w:val="left" w:pos="567"/>
              </w:tabs>
              <w:ind w:left="567" w:hanging="567"/>
            </w:pPr>
            <w:r w:rsidRPr="004D0DAA">
              <w:t>4 3 2 1</w:t>
            </w:r>
          </w:p>
          <w:p w14:paraId="4D93AC16"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353DB251"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1AEE9D9A"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4F20DE0F"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3AF3B95F"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331B35C6"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35EAB29D"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highest TN in TDMA frame (N+13) mod 2715648</w:t>
            </w:r>
          </w:p>
          <w:p w14:paraId="07D30808"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lowest TN in TDMA frame (N+17 or N+18) mod 2715648</w:t>
            </w:r>
          </w:p>
          <w:p w14:paraId="45E7C9F6" w14:textId="77777777" w:rsidR="00711444" w:rsidRPr="004D0DAA" w:rsidRDefault="00711444" w:rsidP="00AA2A4C">
            <w:pPr>
              <w:pStyle w:val="FP"/>
              <w:tabs>
                <w:tab w:val="left" w:pos="567"/>
              </w:tabs>
              <w:ind w:left="567" w:hanging="567"/>
            </w:pPr>
            <w:r w:rsidRPr="004D0DAA">
              <w:t>….</w:t>
            </w:r>
          </w:p>
          <w:p w14:paraId="683BBEE7"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lowest TN in TDMA frame (N+21 or N+22) mod 2715648</w:t>
            </w:r>
          </w:p>
          <w:p w14:paraId="57178A45" w14:textId="77777777" w:rsidR="00711444" w:rsidRPr="004D0DAA" w:rsidRDefault="00711444" w:rsidP="00AA2A4C">
            <w:r w:rsidRPr="004D0DAA">
              <w:t>1 1 1 1</w:t>
            </w:r>
            <w:r w:rsidRPr="004D0DAA">
              <w:tab/>
            </w:r>
            <w:r w:rsidRPr="004D0DAA">
              <w:tab/>
            </w:r>
            <w:r w:rsidRPr="004D0DAA">
              <w:tab/>
              <w:t>In the timeslot with the 2</w:t>
            </w:r>
            <w:r w:rsidRPr="004D0DAA">
              <w:rPr>
                <w:vertAlign w:val="superscript"/>
              </w:rPr>
              <w:t>nd</w:t>
            </w:r>
            <w:r w:rsidRPr="004D0DAA">
              <w:t xml:space="preserve"> lowest TN in TDMA frame (N+21 or N+22) mod 2715648</w:t>
            </w:r>
          </w:p>
        </w:tc>
      </w:tr>
      <w:tr w:rsidR="00711444" w:rsidRPr="004D0DAA" w14:paraId="34EC2F2D" w14:textId="77777777" w:rsidTr="00AA2A4C">
        <w:trPr>
          <w:cantSplit/>
          <w:trHeight w:val="113"/>
        </w:trPr>
        <w:tc>
          <w:tcPr>
            <w:tcW w:w="9848" w:type="dxa"/>
            <w:shd w:val="clear" w:color="auto" w:fill="auto"/>
          </w:tcPr>
          <w:p w14:paraId="1CCB97F0" w14:textId="77777777" w:rsidR="00711444" w:rsidRPr="004D0DAA" w:rsidRDefault="00711444" w:rsidP="00AA2A4C">
            <w:r w:rsidRPr="004D0DAA">
              <w:lastRenderedPageBreak/>
              <w:t xml:space="preserve">If uplink Coverage Class = CC1 and TIMESLOT_MULTIPLICATOR = 7, the START_FN_FIRST_UL_RLC_DATA_BLOCK field </w:t>
            </w:r>
            <w:r w:rsidRPr="004D0DAA">
              <w:rPr>
                <w:bCs/>
              </w:rPr>
              <w:t>is encoded according to the following table:</w:t>
            </w:r>
          </w:p>
          <w:p w14:paraId="49909240" w14:textId="77777777" w:rsidR="00711444" w:rsidRPr="004D0DAA" w:rsidRDefault="00711444" w:rsidP="00AA2A4C">
            <w:pPr>
              <w:pStyle w:val="FP"/>
              <w:tabs>
                <w:tab w:val="left" w:pos="567"/>
              </w:tabs>
              <w:ind w:left="567" w:hanging="567"/>
            </w:pPr>
            <w:r w:rsidRPr="004D0DAA">
              <w:t>bit</w:t>
            </w:r>
          </w:p>
          <w:p w14:paraId="4A4786B4" w14:textId="77777777" w:rsidR="00711444" w:rsidRPr="004D0DAA" w:rsidRDefault="00711444" w:rsidP="00AA2A4C">
            <w:pPr>
              <w:pStyle w:val="FP"/>
              <w:tabs>
                <w:tab w:val="left" w:pos="567"/>
              </w:tabs>
              <w:ind w:left="567" w:hanging="567"/>
            </w:pPr>
            <w:r w:rsidRPr="004D0DAA">
              <w:t>4 3 2 1</w:t>
            </w:r>
          </w:p>
          <w:p w14:paraId="35077EFC"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timeslot with the lowest TN in TDMA frame (N+13) mod 2715648</w:t>
            </w:r>
          </w:p>
          <w:p w14:paraId="7B9F49FB"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timeslot with the 2</w:t>
            </w:r>
            <w:r w:rsidRPr="004D0DAA">
              <w:rPr>
                <w:vertAlign w:val="superscript"/>
              </w:rPr>
              <w:t>nd</w:t>
            </w:r>
            <w:r w:rsidRPr="004D0DAA">
              <w:t xml:space="preserve"> lowest TN in TDMA frame (N+13) mod 2715648</w:t>
            </w:r>
          </w:p>
          <w:p w14:paraId="28E62A7B"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timeslot with the 3</w:t>
            </w:r>
            <w:r w:rsidRPr="004D0DAA">
              <w:rPr>
                <w:vertAlign w:val="superscript"/>
              </w:rPr>
              <w:t>rd</w:t>
            </w:r>
            <w:r w:rsidRPr="004D0DAA">
              <w:t xml:space="preserve"> lowest TN in TDMA frame (N+13) mod 2715648</w:t>
            </w:r>
          </w:p>
          <w:p w14:paraId="20F873BF"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timeslot with the 4</w:t>
            </w:r>
            <w:r w:rsidRPr="004D0DAA">
              <w:rPr>
                <w:vertAlign w:val="superscript"/>
              </w:rPr>
              <w:t>th</w:t>
            </w:r>
            <w:r w:rsidRPr="004D0DAA">
              <w:t xml:space="preserve"> lowest TN in TDMA frame (N+13) mod 2715648</w:t>
            </w:r>
          </w:p>
          <w:p w14:paraId="767D2FAA"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timeslot with the 5</w:t>
            </w:r>
            <w:r w:rsidRPr="004D0DAA">
              <w:rPr>
                <w:vertAlign w:val="superscript"/>
              </w:rPr>
              <w:t>th</w:t>
            </w:r>
            <w:r w:rsidRPr="004D0DAA">
              <w:t xml:space="preserve"> lowest TN in TDMA frame (N+13) mod 2715648</w:t>
            </w:r>
          </w:p>
          <w:p w14:paraId="3B9A7F53" w14:textId="77777777" w:rsidR="00711444" w:rsidRPr="004D0DAA" w:rsidRDefault="00711444" w:rsidP="00AA2A4C">
            <w:pPr>
              <w:pStyle w:val="FP"/>
              <w:tabs>
                <w:tab w:val="left" w:pos="567"/>
              </w:tabs>
              <w:ind w:left="567" w:hanging="567"/>
            </w:pPr>
            <w:r w:rsidRPr="004D0DAA">
              <w:t>0 1 0 1</w:t>
            </w:r>
            <w:r w:rsidRPr="004D0DAA">
              <w:tab/>
            </w:r>
            <w:r w:rsidRPr="004D0DAA">
              <w:tab/>
            </w:r>
            <w:r w:rsidRPr="004D0DAA">
              <w:tab/>
            </w:r>
            <w:r w:rsidRPr="004D0DAA">
              <w:tab/>
              <w:t>In the timeslot with the 6</w:t>
            </w:r>
            <w:r w:rsidRPr="004D0DAA">
              <w:rPr>
                <w:vertAlign w:val="superscript"/>
              </w:rPr>
              <w:t>th</w:t>
            </w:r>
            <w:r w:rsidRPr="004D0DAA">
              <w:t xml:space="preserve"> lowest TN in TDMA frame (N+13) mod 2715648</w:t>
            </w:r>
          </w:p>
          <w:p w14:paraId="311362A7" w14:textId="77777777" w:rsidR="00711444" w:rsidRPr="004D0DAA" w:rsidRDefault="00711444" w:rsidP="00AA2A4C">
            <w:pPr>
              <w:pStyle w:val="FP"/>
              <w:tabs>
                <w:tab w:val="left" w:pos="567"/>
              </w:tabs>
              <w:ind w:left="567" w:hanging="567"/>
            </w:pPr>
            <w:r w:rsidRPr="004D0DAA">
              <w:t>0 1 1 0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(N+13) mod 2715648</w:t>
            </w:r>
          </w:p>
          <w:p w14:paraId="4FBC6FCB" w14:textId="77777777" w:rsidR="00711444" w:rsidRPr="004D0DAA" w:rsidRDefault="00711444" w:rsidP="00AA2A4C">
            <w:pPr>
              <w:pStyle w:val="FP"/>
              <w:tabs>
                <w:tab w:val="left" w:pos="567"/>
              </w:tabs>
              <w:ind w:left="567" w:hanging="567"/>
            </w:pPr>
            <w:r w:rsidRPr="004D0DAA">
              <w:t>0 1 1 1</w:t>
            </w:r>
            <w:r w:rsidRPr="004D0DAA">
              <w:tab/>
            </w:r>
            <w:r w:rsidRPr="004D0DAA">
              <w:tab/>
            </w:r>
            <w:r w:rsidRPr="004D0DAA">
              <w:tab/>
            </w:r>
            <w:r w:rsidRPr="004D0DAA">
              <w:tab/>
              <w:t>In the timeslot with the highest TN in TDMA frame (N+13) mod 2715648</w:t>
            </w:r>
          </w:p>
          <w:p w14:paraId="0B199165" w14:textId="77777777" w:rsidR="00711444" w:rsidRPr="004D0DAA" w:rsidRDefault="00711444" w:rsidP="00AA2A4C">
            <w:pPr>
              <w:pStyle w:val="FP"/>
              <w:tabs>
                <w:tab w:val="left" w:pos="567"/>
              </w:tabs>
              <w:ind w:left="567" w:hanging="567"/>
            </w:pPr>
            <w:r w:rsidRPr="004D0DAA">
              <w:t>1 0 0 0</w:t>
            </w:r>
            <w:r w:rsidRPr="004D0DAA">
              <w:tab/>
            </w:r>
            <w:r w:rsidRPr="004D0DAA">
              <w:tab/>
            </w:r>
            <w:r w:rsidRPr="004D0DAA">
              <w:tab/>
            </w:r>
            <w:r w:rsidRPr="004D0DAA">
              <w:tab/>
              <w:t>In the timeslot with the lowest TN in TDMA frame (N+17 or N+18) mod 2715648</w:t>
            </w:r>
          </w:p>
          <w:p w14:paraId="6EEB9094" w14:textId="77777777" w:rsidR="00711444" w:rsidRPr="004D0DAA" w:rsidRDefault="00711444" w:rsidP="00AA2A4C">
            <w:pPr>
              <w:pStyle w:val="FP"/>
              <w:tabs>
                <w:tab w:val="left" w:pos="567"/>
              </w:tabs>
              <w:ind w:left="567" w:hanging="567"/>
            </w:pPr>
            <w:r w:rsidRPr="004D0DAA">
              <w:t>….</w:t>
            </w:r>
          </w:p>
          <w:p w14:paraId="5E166324"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timeslot with the 7</w:t>
            </w:r>
            <w:r w:rsidRPr="004D0DAA">
              <w:rPr>
                <w:vertAlign w:val="superscript"/>
              </w:rPr>
              <w:t>th</w:t>
            </w:r>
            <w:r w:rsidRPr="004D0DAA">
              <w:t xml:space="preserve"> lowest TN in TDMA frame (N+17 or N+18) mod 2715648</w:t>
            </w:r>
          </w:p>
          <w:p w14:paraId="1BE65324" w14:textId="77777777" w:rsidR="00711444" w:rsidRPr="004D0DAA" w:rsidRDefault="00711444" w:rsidP="00AA2A4C">
            <w:r w:rsidRPr="004D0DAA">
              <w:t>1 1 1 1</w:t>
            </w:r>
            <w:r w:rsidRPr="004D0DAA">
              <w:tab/>
            </w:r>
            <w:r w:rsidRPr="004D0DAA">
              <w:tab/>
            </w:r>
            <w:r w:rsidRPr="004D0DAA">
              <w:tab/>
            </w:r>
            <w:r w:rsidRPr="004D0DAA">
              <w:tab/>
              <w:t>In the timeslot with the highest TN in TDMA frame (N+17 or N+18) mod 2715648</w:t>
            </w:r>
          </w:p>
          <w:p w14:paraId="6E10579A" w14:textId="77777777" w:rsidR="00711444" w:rsidRPr="004D0DAA" w:rsidRDefault="00711444" w:rsidP="00AA2A4C">
            <w:r w:rsidRPr="004D0DAA">
              <w:t xml:space="preserve">If uplink Coverage Class = CC3 and the field EC_Reduced_PDCH_Allocation is set to 0 in the EC SYSTEM INFORMATION TYPE 2 message, (see 3GPP TS 44.018), or, if the field EC_Reduced_PDCH_Allocation is set to 1 and the uplink Coverage Class = CC2, the START_FN_FIRST_UL_RLC_DATA_BLOCK field </w:t>
            </w:r>
            <w:r w:rsidRPr="004D0DAA">
              <w:rPr>
                <w:bCs/>
              </w:rPr>
              <w:t>is encoded according to the following table:</w:t>
            </w:r>
          </w:p>
          <w:p w14:paraId="03FDB2C0" w14:textId="77777777" w:rsidR="00711444" w:rsidRPr="004D0DAA" w:rsidRDefault="00711444" w:rsidP="00AA2A4C">
            <w:pPr>
              <w:pStyle w:val="FP"/>
              <w:tabs>
                <w:tab w:val="left" w:pos="567"/>
              </w:tabs>
              <w:ind w:left="567" w:hanging="567"/>
            </w:pPr>
            <w:r w:rsidRPr="004D0DAA">
              <w:t>bit</w:t>
            </w:r>
          </w:p>
          <w:p w14:paraId="36BF1058" w14:textId="77777777" w:rsidR="00711444" w:rsidRPr="004D0DAA" w:rsidRDefault="00711444" w:rsidP="00AA2A4C">
            <w:pPr>
              <w:pStyle w:val="FP"/>
              <w:tabs>
                <w:tab w:val="left" w:pos="567"/>
              </w:tabs>
              <w:ind w:left="567" w:hanging="567"/>
            </w:pPr>
            <w:r w:rsidRPr="004D0DAA">
              <w:t>4 3 2 1</w:t>
            </w:r>
          </w:p>
          <w:p w14:paraId="5AE2DA55" w14:textId="77777777" w:rsidR="00711444" w:rsidRPr="004D0DAA" w:rsidRDefault="00711444" w:rsidP="00AA2A4C">
            <w:pPr>
              <w:pStyle w:val="FP"/>
              <w:tabs>
                <w:tab w:val="left" w:pos="567"/>
              </w:tabs>
              <w:ind w:left="567" w:hanging="567"/>
            </w:pPr>
            <w:r w:rsidRPr="004D0DAA">
              <w:t>0 0 0 0</w:t>
            </w:r>
            <w:r w:rsidRPr="004D0DAA">
              <w:tab/>
            </w:r>
            <w:r w:rsidRPr="004D0DAA">
              <w:tab/>
            </w:r>
            <w:r w:rsidRPr="004D0DAA">
              <w:tab/>
            </w:r>
            <w:r w:rsidRPr="004D0DAA">
              <w:tab/>
              <w:t>In the TDMA frame (N+13) mod 2715648 or (N+17 or N+18) mod 2715648</w:t>
            </w:r>
          </w:p>
          <w:p w14:paraId="4BDECAF7" w14:textId="77777777" w:rsidR="00711444" w:rsidRPr="004D0DAA" w:rsidRDefault="00711444" w:rsidP="00AA2A4C">
            <w:pPr>
              <w:pStyle w:val="FP"/>
              <w:tabs>
                <w:tab w:val="left" w:pos="567"/>
              </w:tabs>
              <w:ind w:left="567" w:hanging="567"/>
            </w:pPr>
            <w:r w:rsidRPr="004D0DAA">
              <w:t>0 0 0 1</w:t>
            </w:r>
            <w:r w:rsidRPr="004D0DAA">
              <w:tab/>
            </w:r>
            <w:r w:rsidRPr="004D0DAA">
              <w:tab/>
            </w:r>
            <w:r w:rsidRPr="004D0DAA">
              <w:tab/>
            </w:r>
            <w:r w:rsidRPr="004D0DAA">
              <w:tab/>
              <w:t>In the TDMA frame (N+21 or N+22) mod 2715648 or (N+26) mod 2715648</w:t>
            </w:r>
          </w:p>
          <w:p w14:paraId="3D1D48A3" w14:textId="77777777" w:rsidR="00711444" w:rsidRPr="004D0DAA" w:rsidRDefault="00711444" w:rsidP="00AA2A4C">
            <w:pPr>
              <w:pStyle w:val="FP"/>
              <w:tabs>
                <w:tab w:val="left" w:pos="567"/>
              </w:tabs>
              <w:ind w:left="567" w:hanging="567"/>
            </w:pPr>
            <w:r w:rsidRPr="004D0DAA">
              <w:t>0 0 1 0</w:t>
            </w:r>
            <w:r w:rsidRPr="004D0DAA">
              <w:tab/>
            </w:r>
            <w:r w:rsidRPr="004D0DAA">
              <w:tab/>
            </w:r>
            <w:r w:rsidRPr="004D0DAA">
              <w:tab/>
            </w:r>
            <w:r w:rsidRPr="004D0DAA">
              <w:tab/>
              <w:t>In the TDMA frame (N+30 or N+31) mod 2715648 or (N+34 or N+35) mod 2715648</w:t>
            </w:r>
          </w:p>
          <w:p w14:paraId="27786610" w14:textId="77777777" w:rsidR="00711444" w:rsidRPr="004D0DAA" w:rsidRDefault="00711444" w:rsidP="00AA2A4C">
            <w:pPr>
              <w:pStyle w:val="FP"/>
              <w:tabs>
                <w:tab w:val="left" w:pos="567"/>
              </w:tabs>
              <w:ind w:left="567" w:hanging="567"/>
            </w:pPr>
            <w:r w:rsidRPr="004D0DAA">
              <w:t>0 0 1 1</w:t>
            </w:r>
            <w:r w:rsidRPr="004D0DAA">
              <w:tab/>
            </w:r>
            <w:r w:rsidRPr="004D0DAA">
              <w:tab/>
            </w:r>
            <w:r w:rsidRPr="004D0DAA">
              <w:tab/>
            </w:r>
            <w:r w:rsidRPr="004D0DAA">
              <w:tab/>
              <w:t>In the TDMA frame (N+39) mod 2715648 or (N+43 or N+44) mod 2715648</w:t>
            </w:r>
          </w:p>
          <w:p w14:paraId="50F04D47" w14:textId="77777777" w:rsidR="00711444" w:rsidRPr="004D0DAA" w:rsidRDefault="00711444" w:rsidP="00AA2A4C">
            <w:pPr>
              <w:pStyle w:val="FP"/>
              <w:tabs>
                <w:tab w:val="left" w:pos="567"/>
              </w:tabs>
              <w:ind w:left="567" w:hanging="567"/>
            </w:pPr>
            <w:r w:rsidRPr="004D0DAA">
              <w:t>0 1 0 0</w:t>
            </w:r>
            <w:r w:rsidRPr="004D0DAA">
              <w:tab/>
            </w:r>
            <w:r w:rsidRPr="004D0DAA">
              <w:tab/>
            </w:r>
            <w:r w:rsidRPr="004D0DAA">
              <w:tab/>
            </w:r>
            <w:r w:rsidRPr="004D0DAA">
              <w:tab/>
              <w:t>In the TDMA frame (N+47 or N+48) mod 2715648 or (N+52) mod 2715648</w:t>
            </w:r>
          </w:p>
          <w:p w14:paraId="2DD171FD" w14:textId="77777777" w:rsidR="00711444" w:rsidRPr="004D0DAA" w:rsidRDefault="00711444" w:rsidP="00AA2A4C">
            <w:pPr>
              <w:pStyle w:val="FP"/>
              <w:tabs>
                <w:tab w:val="left" w:pos="567"/>
              </w:tabs>
              <w:ind w:left="567" w:hanging="567"/>
            </w:pPr>
            <w:r w:rsidRPr="004D0DAA">
              <w:t>….</w:t>
            </w:r>
          </w:p>
          <w:p w14:paraId="570EBE8A" w14:textId="77777777" w:rsidR="00711444" w:rsidRPr="004D0DAA" w:rsidRDefault="00711444" w:rsidP="00AA2A4C">
            <w:pPr>
              <w:pStyle w:val="FP"/>
              <w:tabs>
                <w:tab w:val="left" w:pos="567"/>
              </w:tabs>
              <w:ind w:left="567" w:hanging="567"/>
            </w:pPr>
            <w:r w:rsidRPr="004D0DAA">
              <w:t>1 1 1 0</w:t>
            </w:r>
            <w:r w:rsidRPr="004D0DAA">
              <w:tab/>
            </w:r>
            <w:r w:rsidRPr="004D0DAA">
              <w:tab/>
            </w:r>
            <w:r w:rsidRPr="004D0DAA">
              <w:tab/>
            </w:r>
            <w:r w:rsidRPr="004D0DAA">
              <w:tab/>
              <w:t>In the TDMA frame (N+134 or N+135) mod 2715648 or (N+138 or N+139) mod 2715648</w:t>
            </w:r>
          </w:p>
          <w:p w14:paraId="6BB0A6D8" w14:textId="77777777" w:rsidR="00711444" w:rsidRPr="004D0DAA" w:rsidRDefault="00711444" w:rsidP="00AA2A4C">
            <w:r w:rsidRPr="004D0DAA">
              <w:t>1 1 1 1</w:t>
            </w:r>
            <w:r w:rsidRPr="004D0DAA">
              <w:tab/>
            </w:r>
            <w:r w:rsidRPr="004D0DAA">
              <w:tab/>
            </w:r>
            <w:r w:rsidRPr="004D0DAA">
              <w:tab/>
              <w:t>In the TDMA frame (N+143) mod 2715648 or (N+147 or N+148) mod 2715648</w:t>
            </w:r>
          </w:p>
          <w:p w14:paraId="72FDB031" w14:textId="77777777" w:rsidR="00711444" w:rsidRPr="004D0DAA" w:rsidRDefault="00711444" w:rsidP="00AA2A4C">
            <w:r w:rsidRPr="004D0DAA">
              <w:t xml:space="preserve">If uplink Coverage Class = CC4 and the field EC Reduced_PDCH_Allocation is set to 0 in the EC SYSTEM INFORMATION TYPE 2 message, (see 3GPP TS 44.018), or, if the field EC_Reduced_PDCH_Allocation is set to 1 and the uplink Coverage Class = CC3, the START_FN_FIRST_UL_RLC_DATA_BLOCK field </w:t>
            </w:r>
            <w:r w:rsidRPr="004D0DAA">
              <w:rPr>
                <w:bCs/>
              </w:rPr>
              <w:t>is encoded according to the following table:</w:t>
            </w:r>
          </w:p>
          <w:p w14:paraId="095D2E3B" w14:textId="77777777" w:rsidR="00711444" w:rsidRPr="004D0DAA" w:rsidRDefault="00711444" w:rsidP="00AA2A4C">
            <w:pPr>
              <w:pStyle w:val="FP"/>
              <w:tabs>
                <w:tab w:val="left" w:pos="567"/>
              </w:tabs>
              <w:ind w:left="567" w:hanging="567"/>
            </w:pPr>
            <w:r w:rsidRPr="004D0DAA">
              <w:t>bit</w:t>
            </w:r>
          </w:p>
          <w:p w14:paraId="56C34C99" w14:textId="77777777" w:rsidR="00711444" w:rsidRPr="004D0DAA" w:rsidRDefault="00711444" w:rsidP="00AA2A4C">
            <w:pPr>
              <w:pStyle w:val="FP"/>
              <w:ind w:left="1418" w:hanging="1418"/>
            </w:pPr>
            <w:r w:rsidRPr="004D0DAA">
              <w:t>4 3 2 1</w:t>
            </w:r>
          </w:p>
          <w:p w14:paraId="1D5E6825"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w:t>
            </w:r>
          </w:p>
          <w:p w14:paraId="49CE0FC2" w14:textId="77777777" w:rsidR="00711444" w:rsidRPr="004D0DAA" w:rsidRDefault="00711444" w:rsidP="00AA2A4C">
            <w:pPr>
              <w:pStyle w:val="FP"/>
              <w:ind w:left="1418" w:hanging="1418"/>
            </w:pPr>
            <w:r w:rsidRPr="004D0DAA">
              <w:t>0 0 0 1</w:t>
            </w:r>
            <w:r w:rsidRPr="004D0DAA">
              <w:tab/>
              <w:t>In the TDMA frame (N+30 or N+31) mod 2715648 or (N+34 or N+35) mod 2715648 or (N+39) mod 2715648 or (N+43 or N+44) mod 2715648</w:t>
            </w:r>
          </w:p>
          <w:p w14:paraId="013F67C9" w14:textId="77777777" w:rsidR="00711444" w:rsidRPr="004D0DAA" w:rsidRDefault="00711444" w:rsidP="00AA2A4C">
            <w:pPr>
              <w:pStyle w:val="FP"/>
              <w:ind w:left="1418" w:hanging="1418"/>
            </w:pPr>
            <w:r w:rsidRPr="004D0DAA">
              <w:t>0 0 1 0</w:t>
            </w:r>
            <w:r w:rsidRPr="004D0DAA">
              <w:tab/>
              <w:t>In the TDMA frame (N+47 or N+48) mod 2715648 or (N+52) mod 2715648 or (N+56 or N+57) mod 2715648 or (N+60 or N+61) mod 2715648</w:t>
            </w:r>
          </w:p>
          <w:p w14:paraId="787D497B" w14:textId="77777777" w:rsidR="00711444" w:rsidRPr="004D0DAA" w:rsidRDefault="00711444" w:rsidP="00AA2A4C">
            <w:pPr>
              <w:pStyle w:val="FP"/>
              <w:ind w:left="1418" w:hanging="1418"/>
            </w:pPr>
            <w:r w:rsidRPr="004D0DAA">
              <w:t>0 0 1 1</w:t>
            </w:r>
            <w:r w:rsidRPr="004D0DAA">
              <w:tab/>
              <w:t>In the TDMA frame (N+65) mod 2715648 or (N+69 or N+70) mod 2715648 or (N+73 or N+74) mod 2715648 or (N+78) mod 2715648</w:t>
            </w:r>
          </w:p>
          <w:p w14:paraId="7978EE1D" w14:textId="77777777" w:rsidR="00711444" w:rsidRPr="004D0DAA" w:rsidRDefault="00711444" w:rsidP="00AA2A4C">
            <w:pPr>
              <w:pStyle w:val="FP"/>
              <w:ind w:left="1418" w:hanging="1418"/>
            </w:pPr>
            <w:r w:rsidRPr="004D0DAA">
              <w:t>0 1 0 0</w:t>
            </w:r>
            <w:r w:rsidRPr="004D0DAA">
              <w:tab/>
              <w:t>In the TDMA frame (N+82 or N+83) mod 2715648 or (N+86 or N+87) mod 2715648 or (N+91) mod 2715648 or (N+95 or N+96) mod 2715648</w:t>
            </w:r>
          </w:p>
          <w:p w14:paraId="2F53D2A3" w14:textId="77777777" w:rsidR="00711444" w:rsidRPr="004D0DAA" w:rsidRDefault="00711444" w:rsidP="00AA2A4C">
            <w:pPr>
              <w:pStyle w:val="FP"/>
              <w:ind w:left="1418" w:hanging="1418"/>
            </w:pPr>
            <w:r w:rsidRPr="004D0DAA">
              <w:t>….</w:t>
            </w:r>
          </w:p>
          <w:p w14:paraId="3DC473AF" w14:textId="77777777" w:rsidR="00711444" w:rsidRPr="004D0DAA" w:rsidRDefault="00711444" w:rsidP="00AA2A4C">
            <w:pPr>
              <w:pStyle w:val="FP"/>
              <w:ind w:left="1418" w:hanging="1418"/>
            </w:pPr>
            <w:r w:rsidRPr="004D0DAA">
              <w:t>1 1 1 0</w:t>
            </w:r>
            <w:r w:rsidRPr="004D0DAA">
              <w:tab/>
              <w:t>In the TDMA frame (N+255 or N+256) mod 2715648 or (N+260) mod 2715648 or (N+264 or N+265) mod 2715648 or (N+268 or N+269) mod 2715648</w:t>
            </w:r>
          </w:p>
          <w:p w14:paraId="3496CA74" w14:textId="77777777" w:rsidR="00711444" w:rsidRPr="004D0DAA" w:rsidRDefault="00711444" w:rsidP="00AA2A4C">
            <w:pPr>
              <w:ind w:left="1418" w:hanging="1418"/>
            </w:pPr>
            <w:r w:rsidRPr="004D0DAA">
              <w:t>1 1 1 1</w:t>
            </w:r>
            <w:r w:rsidRPr="004D0DAA">
              <w:tab/>
              <w:t>In the TDMA frame (N+273) mod 2715648 or (N+277 or N+278) mod 2715648 or (N+281 or N+282) mod 2715648 or (N+286) mod 2715648</w:t>
            </w:r>
          </w:p>
          <w:p w14:paraId="17E1A1BB" w14:textId="77777777" w:rsidR="00711444" w:rsidRPr="004D0DAA" w:rsidRDefault="00711444" w:rsidP="00AA2A4C">
            <w:pPr>
              <w:ind w:left="1418" w:hanging="1418"/>
            </w:pPr>
            <w:r w:rsidRPr="004D0DAA">
              <w:t>If uplink Coverage Class = CC4 and the field EC Reduced_PDCH_Allocation is set to 1 in the EC SYSTEM INFORMATION TYPE 2 message, (see 3GPP TS 44.018), the START_FN_FIRST_UL_RLC_DATA_BLOCK field is encoded according to the following table:</w:t>
            </w:r>
          </w:p>
          <w:p w14:paraId="46063164" w14:textId="77777777" w:rsidR="00711444" w:rsidRPr="004D0DAA" w:rsidRDefault="00711444" w:rsidP="00AA2A4C">
            <w:pPr>
              <w:pStyle w:val="FP"/>
              <w:ind w:left="1418" w:hanging="1418"/>
            </w:pPr>
            <w:r w:rsidRPr="004D0DAA">
              <w:t>bit</w:t>
            </w:r>
          </w:p>
          <w:p w14:paraId="76A1947A" w14:textId="77777777" w:rsidR="00711444" w:rsidRPr="004D0DAA" w:rsidRDefault="00711444" w:rsidP="00AA2A4C">
            <w:pPr>
              <w:pStyle w:val="FP"/>
              <w:ind w:left="1418" w:hanging="1418"/>
            </w:pPr>
            <w:r w:rsidRPr="004D0DAA">
              <w:t>4 3 2 1</w:t>
            </w:r>
          </w:p>
          <w:p w14:paraId="2FCA13A4" w14:textId="77777777" w:rsidR="00711444" w:rsidRPr="004D0DAA" w:rsidRDefault="00711444" w:rsidP="00AA2A4C">
            <w:pPr>
              <w:pStyle w:val="FP"/>
              <w:ind w:left="1418" w:hanging="1418"/>
            </w:pPr>
            <w:r w:rsidRPr="004D0DAA">
              <w:t>0 0 0 0</w:t>
            </w:r>
            <w:r w:rsidRPr="004D0DAA">
              <w:tab/>
              <w:t>In the TDMA frame (N+13) mod 2715648 or (N+17 or N+18) mod 2715648 or (N+21 or N+22) mod 2715648 or (N+26) mod 2715648 or (N+30 or N+31) mod 2715648 or (N+34 or N+35) mod 2715648  or (N+39) mod 2715648 or (N+43 or N+44) mod 2715648</w:t>
            </w:r>
          </w:p>
          <w:p w14:paraId="76605636" w14:textId="77777777" w:rsidR="00711444" w:rsidRPr="004D0DAA" w:rsidRDefault="00711444" w:rsidP="00AA2A4C">
            <w:pPr>
              <w:pStyle w:val="FP"/>
              <w:ind w:left="1418" w:hanging="1418"/>
            </w:pPr>
            <w:r w:rsidRPr="004D0DAA">
              <w:t>0 0 0 1</w:t>
            </w:r>
            <w:r w:rsidRPr="004D0DAA">
              <w:tab/>
              <w:t>In the TDMA frame (N+47 or N+48) mod 2715648 or (N+52) mod 2715648 or (N+56 or N+57) mod      2715648 or (N+60 or N+61) mod 715648 or (N+65) mod 2715648 or (N+69 or N+70) mod 2715648 or (N+73 or N+74) mod 2715648 or (N+78) mod 2715648</w:t>
            </w:r>
          </w:p>
          <w:p w14:paraId="68D85B70" w14:textId="77777777" w:rsidR="00711444" w:rsidRPr="004D0DAA" w:rsidRDefault="00711444" w:rsidP="00AA2A4C">
            <w:pPr>
              <w:pStyle w:val="FP"/>
              <w:ind w:left="1418" w:hanging="1418"/>
            </w:pPr>
            <w:r w:rsidRPr="004D0DAA">
              <w:t>0 0 1 0</w:t>
            </w:r>
            <w:r w:rsidRPr="004D0DAA">
              <w:tab/>
              <w:t>In the TDMA frame (N+82 or N+83) mod 2715648 or (N+86 or N+87) mod 2715648 or (N+91) mod 2715648 or (N+95 or N+96) mod 715648 or (N+99 or N+100) mod 2715648 or (N+104) mod 2715648 or (N+108 or N+109) mod 2715648 or (N+112 or N+113) mod 2715648</w:t>
            </w:r>
          </w:p>
          <w:p w14:paraId="4F38C169" w14:textId="77777777" w:rsidR="00711444" w:rsidRPr="004D0DAA" w:rsidRDefault="00711444" w:rsidP="00AA2A4C">
            <w:pPr>
              <w:pStyle w:val="FP"/>
              <w:ind w:left="1418" w:hanging="1418"/>
            </w:pPr>
            <w:r w:rsidRPr="004D0DAA">
              <w:t>0 0 1 1</w:t>
            </w:r>
            <w:r w:rsidRPr="004D0DAA">
              <w:tab/>
              <w:t>In the TDMA frame (N+117) mod 2715648 or (N+121 or N+122) mod 2715648 or (N+125 or N+126) mod 2715648 or (N+130) mod 2715648 or (N+134 or N+135) mod 2715648 or (N+138 or N+139) mod 2715648 or (N+143) mod 2715648 or (N+147 or N+148) mod 2715648</w:t>
            </w:r>
          </w:p>
          <w:p w14:paraId="4F60BE4C" w14:textId="77777777" w:rsidR="00711444" w:rsidRPr="004D0DAA" w:rsidRDefault="00711444" w:rsidP="00AA2A4C">
            <w:pPr>
              <w:pStyle w:val="FP"/>
              <w:ind w:left="1418" w:hanging="1418"/>
            </w:pPr>
            <w:r w:rsidRPr="004D0DAA">
              <w:t>0 1 0 0</w:t>
            </w:r>
            <w:r w:rsidRPr="004D0DAA">
              <w:tab/>
              <w:t>In the TDMA frame (N+151 or N+152) mod 2715648 or (N+156) mod 2715648 or (N+160 or N+161) mod 2715648 or (N+164 or N+165) mod 2715648 or (N+169) mod 2715648 or (N+173 or N+174) mod 2715648 or (N+177 or N+178) mod 2715648 or (N+182) mod 2715648</w:t>
            </w:r>
          </w:p>
          <w:p w14:paraId="4D714BB1" w14:textId="77777777" w:rsidR="00711444" w:rsidRPr="004D0DAA" w:rsidRDefault="00711444" w:rsidP="00AA2A4C">
            <w:pPr>
              <w:pStyle w:val="FP"/>
              <w:ind w:left="1418" w:hanging="1418"/>
            </w:pPr>
            <w:r w:rsidRPr="004D0DAA">
              <w:t>….</w:t>
            </w:r>
          </w:p>
          <w:p w14:paraId="0E71963A" w14:textId="77777777" w:rsidR="00711444" w:rsidRPr="004D0DAA" w:rsidRDefault="00711444" w:rsidP="00AA2A4C">
            <w:pPr>
              <w:pStyle w:val="FP"/>
              <w:ind w:left="1418" w:hanging="1418"/>
            </w:pPr>
            <w:r w:rsidRPr="004D0DAA">
              <w:t>1 1 1 0</w:t>
            </w:r>
            <w:r w:rsidRPr="004D0DAA">
              <w:tab/>
              <w:t>In the TDMA frame (N+464 or N+465) mod 2715648 or (N+468) mod 2715648 or (N+472 or N+473) mod 2715648 or (N+477 or N+478) mod 2715648 or (N+481) mod 2715648 or (N+485 or N+486) mod 2715648 or (N+490 or N+491) mod 2715648 or (N+494) mod 2715648</w:t>
            </w:r>
          </w:p>
          <w:p w14:paraId="369CE924" w14:textId="77777777" w:rsidR="00711444" w:rsidRPr="004D0DAA" w:rsidRDefault="00711444" w:rsidP="00AA2A4C">
            <w:pPr>
              <w:rPr>
                <w:b/>
              </w:rPr>
            </w:pPr>
            <w:r w:rsidRPr="004D0DAA">
              <w:t xml:space="preserve">1 1 1 1            </w:t>
            </w:r>
            <w:r w:rsidRPr="004D0DAA">
              <w:tab/>
              <w:t>In the TDMA frame (N+498 or N+499) mod 2715648 or (N+503 or N+504) mod 2715648 or (N+507) mod 2715648 or (N+511 or N+512) mod 2715648 or (N+516 or N+517) mod 2715648 or (N+520) mod 2715648 or (N+524 or N+525) mod 2715648 or (N+529 or N+530) mod 2715648</w:t>
            </w:r>
          </w:p>
          <w:p w14:paraId="3CA8DB27" w14:textId="77777777" w:rsidR="00711444" w:rsidRPr="004D0DAA" w:rsidRDefault="00711444" w:rsidP="00AA2A4C">
            <w:pPr>
              <w:ind w:left="1418" w:hanging="1418"/>
              <w:rPr>
                <w:b/>
              </w:rPr>
            </w:pPr>
          </w:p>
        </w:tc>
      </w:tr>
      <w:tr w:rsidR="00711444" w:rsidRPr="004D0DAA" w14:paraId="13CA2535" w14:textId="77777777" w:rsidTr="00AA2A4C">
        <w:trPr>
          <w:cantSplit/>
          <w:trHeight w:val="113"/>
        </w:trPr>
        <w:tc>
          <w:tcPr>
            <w:tcW w:w="9848" w:type="dxa"/>
            <w:shd w:val="clear" w:color="auto" w:fill="auto"/>
          </w:tcPr>
          <w:p w14:paraId="63DA9A2D" w14:textId="77777777" w:rsidR="00711444" w:rsidRPr="004D0DAA" w:rsidRDefault="00711444" w:rsidP="00AA2A4C">
            <w:r w:rsidRPr="004D0DAA">
              <w:rPr>
                <w:b/>
              </w:rPr>
              <w:lastRenderedPageBreak/>
              <w:t xml:space="preserve">DELAY_NEXT_UL_RLC_DATA_BLOCK </w:t>
            </w:r>
            <w:r w:rsidRPr="004D0DAA">
              <w:t>(3 bit field)</w:t>
            </w:r>
            <w:r w:rsidRPr="004D0DAA">
              <w:br/>
              <w:t>This field indicates the position of the next allocated RLC Data block in the fixed uplink allocation. The position is calculated as the number of transmission opportunities from the previous uplink allocation, according to the assigned UL_COVERAGE_CLASS and TIMESLOT_MULTIPLICATOR, where the next uplink allocation for the mobile station is placed and where the mobile station thus shall transmit the next UL RLC data block. In the transmission opportunity/ies between the previous uplink allocation and this allocation the mobile station is not allocated any resource, and shall thus not transmit.</w:t>
            </w:r>
          </w:p>
          <w:p w14:paraId="54599F77" w14:textId="77777777" w:rsidR="00711444" w:rsidRPr="004D0DAA" w:rsidRDefault="00711444" w:rsidP="00AA2A4C">
            <w:r w:rsidRPr="004D0DAA">
              <w:t xml:space="preserve">This field </w:t>
            </w:r>
            <w:r w:rsidRPr="004D0DAA">
              <w:rPr>
                <w:bCs/>
              </w:rPr>
              <w:t>is encoded according to the following table:</w:t>
            </w:r>
          </w:p>
          <w:p w14:paraId="0D478062" w14:textId="77777777" w:rsidR="00711444" w:rsidRPr="004D0DAA" w:rsidRDefault="00711444" w:rsidP="00AA2A4C">
            <w:pPr>
              <w:pStyle w:val="FP"/>
              <w:tabs>
                <w:tab w:val="left" w:pos="567"/>
              </w:tabs>
              <w:ind w:left="567" w:hanging="567"/>
            </w:pPr>
            <w:r w:rsidRPr="004D0DAA">
              <w:t>bit</w:t>
            </w:r>
          </w:p>
          <w:p w14:paraId="0B14F583" w14:textId="77777777" w:rsidR="00711444" w:rsidRPr="004D0DAA" w:rsidRDefault="00711444" w:rsidP="00AA2A4C">
            <w:pPr>
              <w:pStyle w:val="FP"/>
              <w:tabs>
                <w:tab w:val="left" w:pos="567"/>
              </w:tabs>
              <w:ind w:left="567" w:hanging="567"/>
            </w:pPr>
            <w:r w:rsidRPr="004D0DAA">
              <w:t>3 2 1</w:t>
            </w:r>
          </w:p>
          <w:p w14:paraId="3E1B6820" w14:textId="77777777" w:rsidR="00711444" w:rsidRPr="004D0DAA" w:rsidRDefault="00711444" w:rsidP="00AA2A4C">
            <w:pPr>
              <w:pStyle w:val="FP"/>
              <w:tabs>
                <w:tab w:val="left" w:pos="567"/>
              </w:tabs>
              <w:ind w:left="567" w:hanging="567"/>
            </w:pPr>
            <w:r w:rsidRPr="004D0DAA">
              <w:t>0 0 0</w:t>
            </w:r>
            <w:r w:rsidRPr="004D0DAA">
              <w:tab/>
            </w:r>
            <w:r w:rsidRPr="004D0DAA">
              <w:tab/>
            </w:r>
            <w:r w:rsidRPr="004D0DAA">
              <w:tab/>
            </w:r>
            <w:r w:rsidRPr="004D0DAA">
              <w:tab/>
              <w:t>In the 2</w:t>
            </w:r>
            <w:r w:rsidRPr="004D0DAA">
              <w:rPr>
                <w:vertAlign w:val="superscript"/>
              </w:rPr>
              <w:t>nd</w:t>
            </w:r>
            <w:r w:rsidRPr="004D0DAA">
              <w:t xml:space="preserve"> next transmission opportunity</w:t>
            </w:r>
          </w:p>
          <w:p w14:paraId="3C765CAE" w14:textId="77777777" w:rsidR="00711444" w:rsidRPr="004D0DAA" w:rsidRDefault="00711444" w:rsidP="00AA2A4C">
            <w:pPr>
              <w:pStyle w:val="FP"/>
              <w:tabs>
                <w:tab w:val="left" w:pos="567"/>
              </w:tabs>
              <w:ind w:left="567" w:hanging="567"/>
            </w:pPr>
            <w:r w:rsidRPr="004D0DAA">
              <w:t>0 0 1</w:t>
            </w:r>
            <w:r w:rsidRPr="004D0DAA">
              <w:tab/>
            </w:r>
            <w:r w:rsidRPr="004D0DAA">
              <w:tab/>
            </w:r>
            <w:r w:rsidRPr="004D0DAA">
              <w:tab/>
            </w:r>
            <w:r w:rsidRPr="004D0DAA">
              <w:tab/>
              <w:t>In the 3</w:t>
            </w:r>
            <w:r w:rsidRPr="004D0DAA">
              <w:rPr>
                <w:vertAlign w:val="superscript"/>
              </w:rPr>
              <w:t>rd</w:t>
            </w:r>
            <w:r w:rsidRPr="004D0DAA">
              <w:t xml:space="preserve"> next transmission opportunity</w:t>
            </w:r>
          </w:p>
          <w:p w14:paraId="23CE5CE0" w14:textId="77777777" w:rsidR="00711444" w:rsidRPr="004D0DAA" w:rsidRDefault="00711444" w:rsidP="00AA2A4C">
            <w:pPr>
              <w:pStyle w:val="FP"/>
              <w:tabs>
                <w:tab w:val="left" w:pos="567"/>
              </w:tabs>
              <w:ind w:left="567" w:hanging="567"/>
            </w:pPr>
            <w:r w:rsidRPr="004D0DAA">
              <w:t>0 1 0</w:t>
            </w:r>
            <w:r w:rsidRPr="004D0DAA">
              <w:tab/>
            </w:r>
            <w:r w:rsidRPr="004D0DAA">
              <w:tab/>
            </w:r>
            <w:r w:rsidRPr="004D0DAA">
              <w:tab/>
            </w:r>
            <w:r w:rsidRPr="004D0DAA">
              <w:tab/>
              <w:t>In the 4</w:t>
            </w:r>
            <w:r w:rsidRPr="004D0DAA">
              <w:rPr>
                <w:vertAlign w:val="superscript"/>
              </w:rPr>
              <w:t>th</w:t>
            </w:r>
            <w:r w:rsidRPr="004D0DAA">
              <w:t xml:space="preserve"> next transmission opportunity</w:t>
            </w:r>
          </w:p>
          <w:p w14:paraId="3ECDB2CD" w14:textId="77777777" w:rsidR="00711444" w:rsidRPr="004D0DAA" w:rsidRDefault="00711444" w:rsidP="00AA2A4C">
            <w:pPr>
              <w:pStyle w:val="FP"/>
              <w:tabs>
                <w:tab w:val="left" w:pos="567"/>
              </w:tabs>
              <w:ind w:left="567" w:hanging="567"/>
            </w:pPr>
            <w:r w:rsidRPr="004D0DAA">
              <w:t>….</w:t>
            </w:r>
          </w:p>
          <w:p w14:paraId="74512980" w14:textId="77777777" w:rsidR="00711444" w:rsidRPr="004D0DAA" w:rsidRDefault="00711444" w:rsidP="00AA2A4C">
            <w:pPr>
              <w:pStyle w:val="FP"/>
              <w:tabs>
                <w:tab w:val="left" w:pos="567"/>
              </w:tabs>
              <w:ind w:left="567" w:hanging="567"/>
            </w:pPr>
            <w:r w:rsidRPr="004D0DAA">
              <w:t>1 1 0</w:t>
            </w:r>
            <w:r w:rsidRPr="004D0DAA">
              <w:tab/>
            </w:r>
            <w:r w:rsidRPr="004D0DAA">
              <w:tab/>
            </w:r>
            <w:r w:rsidRPr="004D0DAA">
              <w:tab/>
            </w:r>
            <w:r w:rsidRPr="004D0DAA">
              <w:tab/>
              <w:t>In the 8</w:t>
            </w:r>
            <w:r w:rsidRPr="004D0DAA">
              <w:rPr>
                <w:vertAlign w:val="superscript"/>
              </w:rPr>
              <w:t>th</w:t>
            </w:r>
            <w:r w:rsidRPr="004D0DAA">
              <w:t xml:space="preserve"> next transmission opportunity</w:t>
            </w:r>
          </w:p>
          <w:p w14:paraId="68B21B31" w14:textId="77777777" w:rsidR="00711444" w:rsidRPr="004D0DAA" w:rsidRDefault="00711444" w:rsidP="00AA2A4C">
            <w:r w:rsidRPr="004D0DAA">
              <w:t>1 1 1</w:t>
            </w:r>
            <w:r w:rsidRPr="004D0DAA">
              <w:tab/>
            </w:r>
            <w:r w:rsidRPr="004D0DAA">
              <w:tab/>
            </w:r>
            <w:r w:rsidRPr="004D0DAA">
              <w:tab/>
              <w:t>In the 9</w:t>
            </w:r>
            <w:r w:rsidRPr="004D0DAA">
              <w:rPr>
                <w:vertAlign w:val="superscript"/>
              </w:rPr>
              <w:t>th</w:t>
            </w:r>
            <w:r w:rsidRPr="004D0DAA">
              <w:t xml:space="preserve"> next transmission opportunity</w:t>
            </w:r>
          </w:p>
        </w:tc>
      </w:tr>
    </w:tbl>
    <w:p w14:paraId="4D022623" w14:textId="77777777" w:rsidR="00711444" w:rsidRPr="004D0DAA" w:rsidRDefault="00711444" w:rsidP="00711444"/>
    <w:p w14:paraId="667DFC48" w14:textId="77777777" w:rsidR="00711444" w:rsidRPr="004D0DAA" w:rsidRDefault="00711444" w:rsidP="00711444">
      <w:pPr>
        <w:pStyle w:val="Heading3"/>
      </w:pPr>
      <w:bookmarkStart w:id="750" w:name="_Toc516669926"/>
      <w:r w:rsidRPr="004D0DAA">
        <w:t>11.2.60</w:t>
      </w:r>
      <w:r w:rsidRPr="004D0DAA">
        <w:tab/>
        <w:t>EC Packet Downlink Ack/Nack Higher CC</w:t>
      </w:r>
      <w:bookmarkEnd w:id="750"/>
    </w:p>
    <w:p w14:paraId="0A4441C2" w14:textId="77777777" w:rsidR="00711444" w:rsidRPr="004D0DAA" w:rsidRDefault="00711444" w:rsidP="00711444">
      <w:r w:rsidRPr="004D0DAA">
        <w:t>This message is sent on the EC-PACCH from the mobile station, whose uplink coverage class is set to CC5, to the network to indicate the status of downlink RLC data blocks received and to report the channel quality of the downlink. The mobile station may optionally initiate an uplink TBF by including the EC Channel Request Description in the message.</w:t>
      </w:r>
    </w:p>
    <w:p w14:paraId="779B5CA8" w14:textId="77777777" w:rsidR="00711444" w:rsidRPr="004D0DAA" w:rsidRDefault="00711444" w:rsidP="00711444">
      <w:pPr>
        <w:pStyle w:val="EX"/>
      </w:pPr>
      <w:r w:rsidRPr="004D0DAA">
        <w:t>Message type:</w:t>
      </w:r>
      <w:r w:rsidRPr="004D0DAA">
        <w:tab/>
        <w:t xml:space="preserve">EC Packet Downlink Ack/Nack Higher CC </w:t>
      </w:r>
    </w:p>
    <w:p w14:paraId="1E3E872E" w14:textId="77777777" w:rsidR="00711444" w:rsidRPr="004D0DAA" w:rsidRDefault="00711444" w:rsidP="00711444">
      <w:pPr>
        <w:pStyle w:val="EX"/>
      </w:pPr>
      <w:r w:rsidRPr="004D0DAA">
        <w:t>Direction:</w:t>
      </w:r>
      <w:r w:rsidRPr="004D0DAA">
        <w:tab/>
        <w:t>mobile station to network</w:t>
      </w:r>
    </w:p>
    <w:p w14:paraId="5FD4A3C9" w14:textId="77777777" w:rsidR="00711444" w:rsidRPr="004D0DAA" w:rsidRDefault="00711444" w:rsidP="00711444">
      <w:pPr>
        <w:pStyle w:val="TH"/>
      </w:pPr>
      <w:r w:rsidRPr="004D0DAA">
        <w:t xml:space="preserve">Table 11.2.60.1: EC </w:t>
      </w:r>
      <w:r w:rsidRPr="004D0DAA">
        <w:rPr>
          <w:caps/>
        </w:rPr>
        <w:t>Packet Downlink Ack/Nack HIGHER CC</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F47B59C" w14:textId="77777777" w:rsidTr="00AA2A4C">
        <w:trPr>
          <w:cantSplit/>
        </w:trPr>
        <w:tc>
          <w:tcPr>
            <w:tcW w:w="9848" w:type="dxa"/>
          </w:tcPr>
          <w:p w14:paraId="7B9C3912" w14:textId="77777777" w:rsidR="00711444" w:rsidRPr="004D0DAA" w:rsidRDefault="00711444" w:rsidP="00AA2A4C">
            <w:pPr>
              <w:pStyle w:val="TAL"/>
              <w:rPr>
                <w:lang w:eastAsia="en-US"/>
              </w:rPr>
            </w:pPr>
            <w:r w:rsidRPr="004D0DAA">
              <w:rPr>
                <w:lang w:eastAsia="en-US"/>
              </w:rPr>
              <w:t>&lt; EC Packet Downlink Ack/Nack message content &gt; ::=</w:t>
            </w:r>
          </w:p>
          <w:p w14:paraId="33466CB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DOWNLINK_TFI </w:t>
            </w:r>
            <w:r w:rsidRPr="004D0DAA">
              <w:rPr>
                <w:lang w:eastAsia="en-US"/>
              </w:rPr>
              <w:t>: bit (5) &gt;</w:t>
            </w:r>
          </w:p>
          <w:p w14:paraId="2FC46D3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MS OUT OF MEMORY</w:t>
            </w:r>
            <w:r w:rsidRPr="004D0DAA">
              <w:rPr>
                <w:lang w:eastAsia="en-US"/>
              </w:rPr>
              <w:t xml:space="preserve"> : bit(1)&gt;</w:t>
            </w:r>
          </w:p>
          <w:p w14:paraId="1D9F73B6"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EC</w:t>
            </w:r>
            <w:r w:rsidRPr="004D0DAA">
              <w:rPr>
                <w:lang w:eastAsia="en-US"/>
              </w:rPr>
              <w:t xml:space="preserve"> </w:t>
            </w:r>
            <w:r w:rsidRPr="004D0DAA">
              <w:rPr>
                <w:b/>
                <w:lang w:eastAsia="en-US"/>
              </w:rPr>
              <w:t>Ack/Nack Description</w:t>
            </w:r>
            <w:r w:rsidRPr="004D0DAA">
              <w:rPr>
                <w:lang w:eastAsia="en-US"/>
              </w:rPr>
              <w:t xml:space="preserve"> : &lt; EC Ack/Nack Description IE &gt;&gt;</w:t>
            </w:r>
            <w:r w:rsidRPr="004D0DAA">
              <w:rPr>
                <w:lang w:eastAsia="en-US"/>
              </w:rPr>
              <w:tab/>
              <w:t xml:space="preserve">-- </w:t>
            </w:r>
            <w:r w:rsidRPr="004D0DAA">
              <w:rPr>
                <w:i/>
                <w:lang w:eastAsia="en-US"/>
              </w:rPr>
              <w:t>Final Ack Indicator = 0</w:t>
            </w:r>
          </w:p>
          <w:p w14:paraId="0926C997" w14:textId="77777777" w:rsidR="00711444" w:rsidRPr="004D0DAA" w:rsidRDefault="00711444" w:rsidP="00AA2A4C">
            <w:pPr>
              <w:pStyle w:val="TAL"/>
              <w:rPr>
                <w:lang w:eastAsia="en-US"/>
              </w:rPr>
            </w:pPr>
            <w:r w:rsidRPr="004D0DAA">
              <w:rPr>
                <w:lang w:eastAsia="en-US"/>
              </w:rPr>
              <w:tab/>
              <w:t xml:space="preserve"> |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Final Ack Indicator = 1 </w:t>
            </w:r>
            <w:r w:rsidRPr="004D0DAA">
              <w:rPr>
                <w:lang w:eastAsia="en-US"/>
              </w:rPr>
              <w:t>}</w:t>
            </w:r>
          </w:p>
          <w:p w14:paraId="3010495F" w14:textId="77777777" w:rsidR="00711444" w:rsidRPr="004D0DAA" w:rsidRDefault="00711444" w:rsidP="00AA2A4C">
            <w:pPr>
              <w:pStyle w:val="TAL"/>
              <w:rPr>
                <w:lang w:eastAsia="en-US"/>
              </w:rPr>
            </w:pPr>
            <w:r w:rsidRPr="004D0DAA">
              <w:rPr>
                <w:lang w:eastAsia="en-US"/>
              </w:rPr>
              <w:tab/>
              <w:t>{ 0</w:t>
            </w:r>
          </w:p>
          <w:p w14:paraId="7BDB9F18" w14:textId="77777777" w:rsidR="00711444" w:rsidRPr="004D0DAA" w:rsidRDefault="00711444" w:rsidP="00AA2A4C">
            <w:pPr>
              <w:pStyle w:val="TAL"/>
              <w:rPr>
                <w:lang w:eastAsia="en-US"/>
              </w:rPr>
            </w:pPr>
            <w:r w:rsidRPr="004D0DAA">
              <w:rPr>
                <w:lang w:eastAsia="en-US"/>
              </w:rPr>
              <w:tab/>
              <w:t>| 1 {</w:t>
            </w:r>
            <w:r w:rsidRPr="004D0DAA">
              <w:rPr>
                <w:lang w:eastAsia="en-US"/>
              </w:rPr>
              <w:tab/>
              <w:t>&lt;</w:t>
            </w:r>
            <w:r w:rsidRPr="004D0DAA">
              <w:rPr>
                <w:b/>
                <w:lang w:eastAsia="en-US"/>
              </w:rPr>
              <w:t xml:space="preserve"> EC Channel Quality Report Higher CC</w:t>
            </w:r>
            <w:r w:rsidRPr="004D0DAA">
              <w:rPr>
                <w:lang w:eastAsia="en-US"/>
              </w:rPr>
              <w:t>: &lt; EC Channel Quality Report Type 2 IE &gt; &gt;</w:t>
            </w:r>
          </w:p>
          <w:p w14:paraId="337356E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DL_CC</w:t>
            </w:r>
            <w:r w:rsidRPr="004D0DAA">
              <w:rPr>
                <w:lang w:eastAsia="en-US"/>
              </w:rPr>
              <w:t>: bit (2) &gt; } }</w:t>
            </w:r>
          </w:p>
          <w:p w14:paraId="6AD9A71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EC Channel Request Description</w:t>
            </w:r>
            <w:r w:rsidRPr="004D0DAA">
              <w:rPr>
                <w:lang w:eastAsia="en-US"/>
              </w:rPr>
              <w:t xml:space="preserve"> : &lt; EC Channel Request Description struct &gt; &gt; }</w:t>
            </w:r>
          </w:p>
          <w:p w14:paraId="3AEB3E7F" w14:textId="77777777" w:rsidR="00711444" w:rsidRPr="004D0DAA" w:rsidRDefault="00711444" w:rsidP="00AA2A4C">
            <w:pPr>
              <w:pStyle w:val="TAL"/>
              <w:rPr>
                <w:lang w:eastAsia="en-US"/>
              </w:rPr>
            </w:pPr>
            <w:r w:rsidRPr="004D0DAA">
              <w:rPr>
                <w:lang w:eastAsia="en-US"/>
              </w:rPr>
              <w:tab/>
              <w:t>&lt;padding bits &gt;;</w:t>
            </w:r>
          </w:p>
          <w:p w14:paraId="6DC969C6" w14:textId="77777777" w:rsidR="00711444" w:rsidRPr="004D0DAA" w:rsidRDefault="00711444" w:rsidP="00AA2A4C">
            <w:pPr>
              <w:pStyle w:val="TAL"/>
              <w:rPr>
                <w:lang w:eastAsia="en-US"/>
              </w:rPr>
            </w:pPr>
          </w:p>
          <w:p w14:paraId="62EBB063" w14:textId="77777777" w:rsidR="00711444" w:rsidRPr="004D0DAA" w:rsidRDefault="00711444" w:rsidP="00AA2A4C">
            <w:pPr>
              <w:pStyle w:val="TAL"/>
              <w:rPr>
                <w:lang w:eastAsia="en-US"/>
              </w:rPr>
            </w:pPr>
            <w:r w:rsidRPr="004D0DAA">
              <w:rPr>
                <w:lang w:eastAsia="en-US"/>
              </w:rPr>
              <w:t>&lt; EC Channel Request Description struct &gt; ::=</w:t>
            </w:r>
          </w:p>
          <w:p w14:paraId="06DAAFB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PRIORITY</w:t>
            </w:r>
            <w:r w:rsidRPr="004D0DAA">
              <w:rPr>
                <w:lang w:eastAsia="en-US"/>
              </w:rPr>
              <w:t xml:space="preserve"> : bit (1) &gt;</w:t>
            </w:r>
          </w:p>
          <w:p w14:paraId="0E92D818"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NUMBER_OF_UL_DATA_BLOCKS</w:t>
            </w:r>
            <w:r w:rsidRPr="004D0DAA">
              <w:rPr>
                <w:bCs/>
                <w:lang w:eastAsia="en-US"/>
              </w:rPr>
              <w:t xml:space="preserve"> : bit (4) </w:t>
            </w:r>
            <w:r w:rsidRPr="004D0DAA">
              <w:rPr>
                <w:lang w:eastAsia="en-US"/>
              </w:rPr>
              <w:t>&gt;;</w:t>
            </w:r>
          </w:p>
          <w:p w14:paraId="3278CC70" w14:textId="77777777" w:rsidR="00711444" w:rsidRPr="004D0DAA" w:rsidRDefault="00711444" w:rsidP="00AA2A4C">
            <w:pPr>
              <w:pStyle w:val="TAL"/>
              <w:rPr>
                <w:lang w:eastAsia="en-US"/>
              </w:rPr>
            </w:pPr>
          </w:p>
        </w:tc>
      </w:tr>
    </w:tbl>
    <w:p w14:paraId="5D0F021A" w14:textId="77777777" w:rsidR="00711444" w:rsidRPr="004D0DAA" w:rsidRDefault="00711444" w:rsidP="00711444"/>
    <w:p w14:paraId="23D096E2" w14:textId="77777777" w:rsidR="00711444" w:rsidRPr="004D0DAA" w:rsidRDefault="00711444" w:rsidP="00711444">
      <w:pPr>
        <w:pStyle w:val="TH"/>
      </w:pPr>
      <w:r w:rsidRPr="004D0DAA">
        <w:t xml:space="preserve">Table 11.2.60.2: EC </w:t>
      </w:r>
      <w:r w:rsidRPr="004D0DAA">
        <w:rPr>
          <w:caps/>
        </w:rPr>
        <w:t>Packet Downlink Ack/Nack HIGHER CC</w:t>
      </w:r>
      <w:r w:rsidRPr="004D0DAA">
        <w:rPr>
          <w:i/>
        </w:rPr>
        <w:t xml:space="preserve"> </w:t>
      </w:r>
      <w:r w:rsidRPr="004D0DAA">
        <w:t>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2B0F00" w14:textId="77777777" w:rsidTr="00AA2A4C">
        <w:trPr>
          <w:cantSplit/>
          <w:trHeight w:val="23"/>
        </w:trPr>
        <w:tc>
          <w:tcPr>
            <w:tcW w:w="9848" w:type="dxa"/>
          </w:tcPr>
          <w:p w14:paraId="1439241C" w14:textId="77777777" w:rsidR="00711444" w:rsidRPr="004D0DAA" w:rsidRDefault="00711444" w:rsidP="00AA2A4C">
            <w:pPr>
              <w:rPr>
                <w:b/>
              </w:rPr>
            </w:pPr>
            <w:r w:rsidRPr="004D0DAA">
              <w:rPr>
                <w:b/>
              </w:rPr>
              <w:t>DOWNLINK_TFI</w:t>
            </w:r>
            <w:r w:rsidRPr="004D0DAA">
              <w:t xml:space="preserve"> (5 bit field)</w:t>
            </w:r>
            <w:r w:rsidRPr="004D0DAA">
              <w:br/>
              <w:t>This field contains the TFI of the mobile station's downlink TBF. This field is defined in</w:t>
            </w:r>
            <w:r w:rsidRPr="004D0DAA">
              <w:rPr>
                <w:i/>
              </w:rPr>
              <w:t xml:space="preserve"> </w:t>
            </w:r>
            <w:r w:rsidRPr="004D0DAA">
              <w:t>sub-clause 12.15.</w:t>
            </w:r>
          </w:p>
        </w:tc>
      </w:tr>
      <w:tr w:rsidR="00711444" w:rsidRPr="004D0DAA" w14:paraId="4CD7F580" w14:textId="77777777" w:rsidTr="00AA2A4C">
        <w:trPr>
          <w:cantSplit/>
          <w:trHeight w:val="23"/>
        </w:trPr>
        <w:tc>
          <w:tcPr>
            <w:tcW w:w="9848" w:type="dxa"/>
          </w:tcPr>
          <w:p w14:paraId="61EB621E" w14:textId="77777777" w:rsidR="00711444" w:rsidRPr="004D0DAA" w:rsidRDefault="00711444" w:rsidP="00AA2A4C">
            <w:r w:rsidRPr="004D0DAA">
              <w:rPr>
                <w:b/>
              </w:rPr>
              <w:t>EC Ack/Nack Description IE</w:t>
            </w:r>
            <w:r w:rsidRPr="004D0DAA">
              <w:rPr>
                <w:b/>
              </w:rPr>
              <w:br/>
            </w:r>
            <w:r w:rsidRPr="004D0DAA">
              <w:t>This information element is defined in</w:t>
            </w:r>
            <w:r w:rsidRPr="004D0DAA">
              <w:rPr>
                <w:i/>
              </w:rPr>
              <w:t xml:space="preserve"> </w:t>
            </w:r>
            <w:r w:rsidRPr="004D0DAA">
              <w:t>sub-clause 12.72.</w:t>
            </w:r>
          </w:p>
          <w:p w14:paraId="1E200120" w14:textId="77777777" w:rsidR="00711444" w:rsidRPr="004D0DAA" w:rsidRDefault="00711444" w:rsidP="00AA2A4C">
            <w:pPr>
              <w:rPr>
                <w:b/>
              </w:rPr>
            </w:pPr>
            <w:r w:rsidRPr="004D0DAA">
              <w:rPr>
                <w:b/>
              </w:rPr>
              <w:t>EC Channel Quality Report Higher CC IE</w:t>
            </w:r>
            <w:r w:rsidRPr="004D0DAA">
              <w:rPr>
                <w:b/>
              </w:rPr>
              <w:br/>
            </w:r>
            <w:r w:rsidRPr="004D0DAA">
              <w:t>This information element is defined in</w:t>
            </w:r>
            <w:r w:rsidRPr="004D0DAA">
              <w:rPr>
                <w:i/>
              </w:rPr>
              <w:t xml:space="preserve"> </w:t>
            </w:r>
            <w:r w:rsidRPr="004D0DAA">
              <w:t>sub-clause 12.76.</w:t>
            </w:r>
          </w:p>
        </w:tc>
      </w:tr>
      <w:tr w:rsidR="00711444" w:rsidRPr="004D0DAA" w14:paraId="4973C839" w14:textId="77777777" w:rsidTr="00AA2A4C">
        <w:trPr>
          <w:cantSplit/>
          <w:trHeight w:val="23"/>
        </w:trPr>
        <w:tc>
          <w:tcPr>
            <w:tcW w:w="9848" w:type="dxa"/>
          </w:tcPr>
          <w:p w14:paraId="13F21747" w14:textId="77777777" w:rsidR="00711444" w:rsidRPr="004D0DAA" w:rsidRDefault="00711444" w:rsidP="00AA2A4C">
            <w:r w:rsidRPr="004D0DAA">
              <w:rPr>
                <w:b/>
              </w:rPr>
              <w:t xml:space="preserve">MS OUT OF MEMORY </w:t>
            </w:r>
            <w:r w:rsidRPr="004D0DAA">
              <w:t>(1 bit field)</w:t>
            </w:r>
            <w:r w:rsidRPr="004D0DAA">
              <w:br/>
              <w:t>This information element is defined in sub-clause 11.2.51</w:t>
            </w:r>
          </w:p>
        </w:tc>
      </w:tr>
      <w:tr w:rsidR="00711444" w:rsidRPr="004D0DAA" w14:paraId="19EC6A83" w14:textId="77777777" w:rsidTr="00AA2A4C">
        <w:trPr>
          <w:cantSplit/>
          <w:trHeight w:val="23"/>
        </w:trPr>
        <w:tc>
          <w:tcPr>
            <w:tcW w:w="9848" w:type="dxa"/>
          </w:tcPr>
          <w:p w14:paraId="79D50CD8" w14:textId="77777777" w:rsidR="00711444" w:rsidRPr="004D0DAA" w:rsidRDefault="00711444" w:rsidP="00AA2A4C">
            <w:r w:rsidRPr="004D0DAA">
              <w:rPr>
                <w:b/>
              </w:rPr>
              <w:lastRenderedPageBreak/>
              <w:t>PRIORITY</w:t>
            </w:r>
            <w:r w:rsidRPr="004D0DAA">
              <w:br/>
              <w:t>This information element is defined in sub-clause 11.2.51</w:t>
            </w:r>
          </w:p>
          <w:p w14:paraId="7D5AA803" w14:textId="77777777" w:rsidR="00711444" w:rsidRPr="004D0DAA" w:rsidRDefault="00711444" w:rsidP="00AA2A4C">
            <w:r w:rsidRPr="004D0DAA">
              <w:rPr>
                <w:b/>
              </w:rPr>
              <w:t>NUMBER_OF_UL_DATA_BLOCKS</w:t>
            </w:r>
            <w:r w:rsidRPr="004D0DAA">
              <w:br/>
              <w:t>This information element is defined in sub-clause 11.2.51</w:t>
            </w:r>
          </w:p>
        </w:tc>
      </w:tr>
      <w:tr w:rsidR="00711444" w:rsidRPr="004D0DAA" w14:paraId="2FA530CE" w14:textId="77777777" w:rsidTr="00AA2A4C">
        <w:trPr>
          <w:cantSplit/>
          <w:trHeight w:val="23"/>
        </w:trPr>
        <w:tc>
          <w:tcPr>
            <w:tcW w:w="9848" w:type="dxa"/>
          </w:tcPr>
          <w:p w14:paraId="1DBEDAF7" w14:textId="77777777" w:rsidR="00711444" w:rsidRPr="004D0DAA" w:rsidRDefault="00711444" w:rsidP="00AA2A4C">
            <w:pPr>
              <w:rPr>
                <w:bCs/>
              </w:rPr>
            </w:pPr>
            <w:r w:rsidRPr="004D0DAA">
              <w:rPr>
                <w:b/>
              </w:rPr>
              <w:t>DL_CC</w:t>
            </w:r>
            <w:r w:rsidRPr="004D0DAA">
              <w:rPr>
                <w:bCs/>
              </w:rPr>
              <w:t xml:space="preserve"> (2 bit field)</w:t>
            </w:r>
            <w:r w:rsidRPr="004D0DAA">
              <w:rPr>
                <w:bCs/>
              </w:rPr>
              <w:br/>
              <w:t xml:space="preserve">This field contains the latest downlink Coverage Class estimation and the latest estimated C value range in case the C value is above BT_Threshold_DL, see 3GPP TS 45.008. </w:t>
            </w:r>
          </w:p>
          <w:p w14:paraId="3DE2F220" w14:textId="77777777" w:rsidR="00711444" w:rsidRPr="004D0DAA" w:rsidRDefault="00711444" w:rsidP="00AA2A4C">
            <w:pPr>
              <w:pStyle w:val="FP"/>
              <w:tabs>
                <w:tab w:val="left" w:pos="851"/>
              </w:tabs>
            </w:pPr>
            <w:r w:rsidRPr="004D0DAA">
              <w:t>bit</w:t>
            </w:r>
          </w:p>
          <w:p w14:paraId="466F7889" w14:textId="77777777" w:rsidR="00711444" w:rsidRPr="004D0DAA" w:rsidRDefault="00711444" w:rsidP="00AA2A4C">
            <w:pPr>
              <w:pStyle w:val="FP"/>
              <w:tabs>
                <w:tab w:val="left" w:pos="851"/>
              </w:tabs>
            </w:pPr>
            <w:r w:rsidRPr="004D0DAA">
              <w:t>2 1</w:t>
            </w:r>
          </w:p>
          <w:p w14:paraId="3D70017A" w14:textId="77777777" w:rsidR="00711444" w:rsidRPr="004D0DAA" w:rsidRDefault="00711444" w:rsidP="00AA2A4C">
            <w:pPr>
              <w:pStyle w:val="FP"/>
              <w:tabs>
                <w:tab w:val="left" w:pos="851"/>
              </w:tabs>
            </w:pPr>
            <w:r w:rsidRPr="004D0DAA">
              <w:t>0 0</w:t>
            </w:r>
            <w:r w:rsidRPr="004D0DAA">
              <w:tab/>
              <w:t>DL CC4</w:t>
            </w:r>
          </w:p>
          <w:p w14:paraId="0CF579C5" w14:textId="77777777" w:rsidR="00711444" w:rsidRPr="004D0DAA" w:rsidRDefault="00711444" w:rsidP="00AA2A4C">
            <w:pPr>
              <w:pStyle w:val="FP"/>
              <w:tabs>
                <w:tab w:val="left" w:pos="851"/>
              </w:tabs>
            </w:pPr>
            <w:r w:rsidRPr="004D0DAA">
              <w:t>0 1</w:t>
            </w:r>
            <w:r w:rsidRPr="004D0DAA">
              <w:tab/>
              <w:t>DL CC3</w:t>
            </w:r>
          </w:p>
          <w:p w14:paraId="404D22E1" w14:textId="77777777" w:rsidR="00711444" w:rsidRPr="004D0DAA" w:rsidRDefault="00711444" w:rsidP="00AA2A4C">
            <w:pPr>
              <w:pStyle w:val="FP"/>
              <w:tabs>
                <w:tab w:val="left" w:pos="851"/>
              </w:tabs>
            </w:pPr>
            <w:r w:rsidRPr="004D0DAA">
              <w:t>1 0</w:t>
            </w:r>
            <w:r w:rsidRPr="004D0DAA">
              <w:tab/>
              <w:t>DL CC2</w:t>
            </w:r>
          </w:p>
          <w:p w14:paraId="6A3FE0EF" w14:textId="77777777" w:rsidR="00711444" w:rsidRPr="004D0DAA" w:rsidRDefault="00711444" w:rsidP="00AA2A4C">
            <w:pPr>
              <w:tabs>
                <w:tab w:val="left" w:pos="851"/>
              </w:tabs>
              <w:rPr>
                <w:b/>
              </w:rPr>
            </w:pPr>
            <w:r w:rsidRPr="004D0DAA">
              <w:t>1 1</w:t>
            </w:r>
            <w:r w:rsidRPr="004D0DAA">
              <w:tab/>
              <w:t>DL CC1</w:t>
            </w:r>
          </w:p>
        </w:tc>
      </w:tr>
    </w:tbl>
    <w:p w14:paraId="6F4E0B9A" w14:textId="77777777" w:rsidR="00711444" w:rsidRPr="004D0DAA" w:rsidRDefault="00711444" w:rsidP="00711444"/>
    <w:p w14:paraId="201FF8B3" w14:textId="77777777" w:rsidR="00711444" w:rsidRPr="004D0DAA" w:rsidRDefault="00711444" w:rsidP="00711444">
      <w:pPr>
        <w:pStyle w:val="Heading3"/>
      </w:pPr>
      <w:bookmarkStart w:id="751" w:name="_Toc516669927"/>
      <w:r w:rsidRPr="004D0DAA">
        <w:t>11.2.61</w:t>
      </w:r>
      <w:r w:rsidRPr="004D0DAA">
        <w:tab/>
        <w:t>EC Packet Control Acknowledgement Higher CC</w:t>
      </w:r>
      <w:bookmarkEnd w:id="751"/>
      <w:r w:rsidRPr="004D0DAA">
        <w:t xml:space="preserve"> </w:t>
      </w:r>
    </w:p>
    <w:p w14:paraId="0594B848" w14:textId="77777777" w:rsidR="00711444" w:rsidRPr="004D0DAA" w:rsidRDefault="00711444" w:rsidP="00711444">
      <w:r w:rsidRPr="004D0DAA">
        <w:t>This message is sent on the EC-PACCH from the mobile station which uses uplink coverage class CC5 to the network. The message is formatted either as an RLC/MAC control block using the EC-PACCH block format defined in 3GPP TS 44.004 or as a number of identical access bursts, according to the assigned uplink CC (see 3GPP TS 45.002), using the EC-PACCH short acknowledgement block format defined in 3GPP TS 44.004. If the message is sent as response to an EC Packet Polling Request message this latter message shall specify the format of the EC Packet Control Acknowledgement message. The order of bit transmission is defined in 3GPP TS 44.004. The numbering, assembling and field mapping conventions defined for RLC/MAC control blocks in</w:t>
      </w:r>
      <w:r w:rsidRPr="004D0DAA">
        <w:rPr>
          <w:i/>
        </w:rPr>
        <w:t xml:space="preserve"> </w:t>
      </w:r>
      <w:r w:rsidRPr="004D0DAA">
        <w:t>sub-clause 10.0b shall apply.</w:t>
      </w:r>
    </w:p>
    <w:p w14:paraId="356E600C" w14:textId="77777777" w:rsidR="00711444" w:rsidRPr="004D0DAA" w:rsidRDefault="00711444" w:rsidP="00711444">
      <w:r w:rsidRPr="004D0DAA">
        <w:t>The RLC/MAC control block format is shown in table 11.2.61.1 and table 11.2.61.2.</w:t>
      </w:r>
    </w:p>
    <w:p w14:paraId="6667878C" w14:textId="77777777" w:rsidR="00711444" w:rsidRPr="004D0DAA" w:rsidRDefault="00711444" w:rsidP="00711444">
      <w:r w:rsidRPr="004D0DAA">
        <w:t>The access burst format is 11-bits and is coded as shown in table 11.2.61.1. The mobile station shall transmit the access burst four times, one time in each TDMA frame of the uplink radio block. The transmission of the four access bursts shall then be repeated in each of the uplink EC-PACCH resources assigned with the RRBP field according to the assigned uplink Coverage Class for the mobile station.</w:t>
      </w:r>
    </w:p>
    <w:p w14:paraId="2CC7E1DF" w14:textId="77777777" w:rsidR="00711444" w:rsidRPr="004D0DAA" w:rsidRDefault="00711444" w:rsidP="00711444">
      <w:pPr>
        <w:pStyle w:val="EX"/>
      </w:pPr>
      <w:r w:rsidRPr="004D0DAA">
        <w:t>Message type:</w:t>
      </w:r>
      <w:r w:rsidRPr="004D0DAA">
        <w:tab/>
        <w:t>EC PACKET CONTROL ACKNOWLEDGEMENT HIGHER CC</w:t>
      </w:r>
    </w:p>
    <w:p w14:paraId="0B3103F4" w14:textId="77777777" w:rsidR="00711444" w:rsidRPr="004D0DAA" w:rsidRDefault="00711444" w:rsidP="00711444">
      <w:pPr>
        <w:pStyle w:val="EX"/>
      </w:pPr>
      <w:r w:rsidRPr="004D0DAA">
        <w:t>Direction:</w:t>
      </w:r>
      <w:r w:rsidRPr="004D0DAA">
        <w:tab/>
        <w:t>mobile station to network</w:t>
      </w:r>
    </w:p>
    <w:p w14:paraId="7271563E" w14:textId="77777777" w:rsidR="00711444" w:rsidRPr="004D0DAA" w:rsidRDefault="00711444" w:rsidP="00711444">
      <w:pPr>
        <w:pStyle w:val="TH"/>
      </w:pPr>
      <w:r w:rsidRPr="004D0DAA">
        <w:t>Table 11.2.61.1: EC PACKET CONTROL ACKNOWLEDGEMENT HIGHER CC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AAE82FF" w14:textId="77777777" w:rsidTr="00AA2A4C">
        <w:trPr>
          <w:cantSplit/>
        </w:trPr>
        <w:tc>
          <w:tcPr>
            <w:tcW w:w="9848" w:type="dxa"/>
          </w:tcPr>
          <w:p w14:paraId="010687FB" w14:textId="77777777" w:rsidR="00711444" w:rsidRPr="004D0DAA" w:rsidRDefault="00711444" w:rsidP="00AA2A4C">
            <w:pPr>
              <w:pStyle w:val="TAL"/>
              <w:rPr>
                <w:lang w:eastAsia="en-US"/>
              </w:rPr>
            </w:pPr>
            <w:r w:rsidRPr="004D0DAA">
              <w:rPr>
                <w:lang w:eastAsia="en-US"/>
              </w:rPr>
              <w:t>&lt; EC Packet Control Acknowledgement message Higher CC content &gt; ::=</w:t>
            </w:r>
            <w:r w:rsidRPr="004D0DAA">
              <w:rPr>
                <w:lang w:eastAsia="en-US"/>
              </w:rPr>
              <w:tab/>
            </w:r>
            <w:r w:rsidRPr="004D0DAA">
              <w:rPr>
                <w:lang w:eastAsia="en-US"/>
              </w:rPr>
              <w:tab/>
              <w:t xml:space="preserve">-- </w:t>
            </w:r>
            <w:r w:rsidRPr="004D0DAA">
              <w:rPr>
                <w:i/>
                <w:lang w:eastAsia="en-US"/>
              </w:rPr>
              <w:t>RLC/MAC control block format</w:t>
            </w:r>
          </w:p>
          <w:p w14:paraId="729B5A9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TLLI</w:t>
            </w:r>
            <w:r w:rsidRPr="004D0DAA">
              <w:rPr>
                <w:lang w:eastAsia="en-US"/>
              </w:rPr>
              <w:t xml:space="preserve"> : bit (32) &gt;</w:t>
            </w:r>
          </w:p>
          <w:p w14:paraId="4CEFF5E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CTRL_ACK</w:t>
            </w:r>
            <w:r w:rsidRPr="004D0DAA">
              <w:rPr>
                <w:lang w:eastAsia="en-US"/>
              </w:rPr>
              <w:t xml:space="preserve"> : bit (2) &gt;</w:t>
            </w:r>
          </w:p>
          <w:p w14:paraId="2CB88AA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DL_CC</w:t>
            </w:r>
            <w:r w:rsidRPr="004D0DAA">
              <w:rPr>
                <w:lang w:eastAsia="en-US"/>
              </w:rPr>
              <w:t>: bit (2) &gt;</w:t>
            </w:r>
          </w:p>
          <w:p w14:paraId="3EAB5725" w14:textId="77777777" w:rsidR="00711444" w:rsidRPr="004D0DAA" w:rsidRDefault="00711444" w:rsidP="00AA2A4C">
            <w:pPr>
              <w:pStyle w:val="TAL"/>
              <w:rPr>
                <w:lang w:eastAsia="en-US"/>
              </w:rPr>
            </w:pPr>
            <w:r w:rsidRPr="004D0DAA">
              <w:rPr>
                <w:lang w:eastAsia="en-US"/>
              </w:rPr>
              <w:tab/>
              <w:t>&lt; padding bits &gt;;</w:t>
            </w:r>
          </w:p>
          <w:p w14:paraId="4E3B0EAB" w14:textId="77777777" w:rsidR="00711444" w:rsidRPr="004D0DAA" w:rsidRDefault="00711444" w:rsidP="00AA2A4C">
            <w:pPr>
              <w:pStyle w:val="TAL"/>
              <w:rPr>
                <w:lang w:eastAsia="en-US"/>
              </w:rPr>
            </w:pPr>
          </w:p>
        </w:tc>
      </w:tr>
      <w:tr w:rsidR="00711444" w:rsidRPr="004D0DAA" w14:paraId="719F1C8C" w14:textId="77777777" w:rsidTr="00AA2A4C">
        <w:trPr>
          <w:cantSplit/>
        </w:trPr>
        <w:tc>
          <w:tcPr>
            <w:tcW w:w="9848" w:type="dxa"/>
          </w:tcPr>
          <w:p w14:paraId="23E4586A" w14:textId="77777777" w:rsidR="00711444" w:rsidRPr="004D0DAA" w:rsidRDefault="00711444" w:rsidP="00AA2A4C">
            <w:pPr>
              <w:pStyle w:val="TAL"/>
              <w:rPr>
                <w:lang w:eastAsia="en-US"/>
              </w:rPr>
            </w:pPr>
            <w:r w:rsidRPr="004D0DAA">
              <w:rPr>
                <w:lang w:eastAsia="en-US"/>
              </w:rPr>
              <w:t>&lt; EC Packet Control Acknowledgement Higher CC 11 bit message &gt; ::=</w:t>
            </w:r>
            <w:r w:rsidRPr="004D0DAA">
              <w:rPr>
                <w:lang w:eastAsia="en-US"/>
              </w:rPr>
              <w:tab/>
            </w:r>
            <w:r w:rsidRPr="004D0DAA">
              <w:rPr>
                <w:lang w:eastAsia="en-US"/>
              </w:rPr>
              <w:tab/>
              <w:t xml:space="preserve">-- </w:t>
            </w:r>
            <w:r w:rsidRPr="004D0DAA">
              <w:rPr>
                <w:i/>
                <w:lang w:eastAsia="en-US"/>
              </w:rPr>
              <w:t>11-bit access burst format</w:t>
            </w:r>
          </w:p>
          <w:p w14:paraId="0A20A3F1" w14:textId="77777777" w:rsidR="00711444" w:rsidRPr="004D0DAA" w:rsidRDefault="00711444" w:rsidP="00AA2A4C">
            <w:pPr>
              <w:pStyle w:val="TAL"/>
              <w:rPr>
                <w:lang w:val="en-US" w:eastAsia="en-US"/>
              </w:rPr>
            </w:pPr>
            <w:r w:rsidRPr="004D0DAA">
              <w:rPr>
                <w:lang w:eastAsia="en-US"/>
              </w:rPr>
              <w:tab/>
            </w:r>
            <w:r w:rsidRPr="004D0DAA">
              <w:rPr>
                <w:lang w:val="en-US" w:eastAsia="en-US"/>
              </w:rPr>
              <w:t xml:space="preserve">&lt; </w:t>
            </w:r>
            <w:r w:rsidRPr="004D0DAA">
              <w:rPr>
                <w:b/>
                <w:lang w:val="en-US" w:eastAsia="en-US"/>
              </w:rPr>
              <w:t>MESSAGE_TYPE</w:t>
            </w:r>
            <w:r w:rsidRPr="004D0DAA">
              <w:rPr>
                <w:lang w:val="en-US" w:eastAsia="en-US"/>
              </w:rPr>
              <w:t xml:space="preserve"> : bit (7) == 1110 111 &gt;</w:t>
            </w:r>
          </w:p>
          <w:p w14:paraId="213E0854" w14:textId="77777777" w:rsidR="00711444" w:rsidRPr="004D0DAA" w:rsidRDefault="00711444" w:rsidP="00AA2A4C">
            <w:pPr>
              <w:pStyle w:val="TAL"/>
              <w:rPr>
                <w:lang w:val="en-US" w:eastAsia="en-US"/>
              </w:rPr>
            </w:pPr>
            <w:r w:rsidRPr="004D0DAA">
              <w:rPr>
                <w:lang w:val="en-US" w:eastAsia="en-US"/>
              </w:rPr>
              <w:tab/>
              <w:t xml:space="preserve">&lt; </w:t>
            </w:r>
            <w:r w:rsidRPr="004D0DAA">
              <w:rPr>
                <w:b/>
                <w:lang w:val="en-US" w:eastAsia="en-US"/>
              </w:rPr>
              <w:t xml:space="preserve">DL_CC </w:t>
            </w:r>
            <w:r w:rsidRPr="004D0DAA">
              <w:rPr>
                <w:lang w:val="en-US" w:eastAsia="en-US"/>
              </w:rPr>
              <w:t xml:space="preserve">: bit (2) &gt; </w:t>
            </w:r>
          </w:p>
          <w:p w14:paraId="63D245B2" w14:textId="77777777" w:rsidR="00711444" w:rsidRPr="004D0DAA" w:rsidRDefault="00711444" w:rsidP="00AA2A4C">
            <w:pPr>
              <w:pStyle w:val="TAL"/>
              <w:rPr>
                <w:lang w:val="en-US" w:eastAsia="en-US"/>
              </w:rPr>
            </w:pPr>
            <w:r w:rsidRPr="004D0DAA">
              <w:rPr>
                <w:lang w:val="en-US" w:eastAsia="en-US"/>
              </w:rPr>
              <w:t xml:space="preserve">     &lt;  Spare :  bit (2)  &gt; ;</w:t>
            </w:r>
          </w:p>
          <w:p w14:paraId="14C8ACEF" w14:textId="77777777" w:rsidR="00711444" w:rsidRPr="004D0DAA" w:rsidRDefault="00711444" w:rsidP="00AA2A4C">
            <w:pPr>
              <w:pStyle w:val="TAL"/>
              <w:rPr>
                <w:lang w:val="en-US" w:eastAsia="en-US"/>
              </w:rPr>
            </w:pPr>
          </w:p>
        </w:tc>
      </w:tr>
    </w:tbl>
    <w:p w14:paraId="00170AE5" w14:textId="77777777" w:rsidR="00711444" w:rsidRPr="004D0DAA" w:rsidRDefault="00711444" w:rsidP="00711444">
      <w:pPr>
        <w:rPr>
          <w:lang w:val="en-US"/>
        </w:rPr>
      </w:pPr>
    </w:p>
    <w:p w14:paraId="0F099330" w14:textId="77777777" w:rsidR="00711444" w:rsidRPr="004D0DAA" w:rsidRDefault="00711444" w:rsidP="00711444">
      <w:pPr>
        <w:pStyle w:val="TH"/>
      </w:pPr>
      <w:r w:rsidRPr="004D0DAA">
        <w:t>Table 11.2.61.2: EC PACKET CONTROL ACKNOWLEDGEMENT HIGHER CC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5862A37" w14:textId="77777777" w:rsidTr="00AA2A4C">
        <w:trPr>
          <w:cantSplit/>
        </w:trPr>
        <w:tc>
          <w:tcPr>
            <w:tcW w:w="9848" w:type="dxa"/>
          </w:tcPr>
          <w:p w14:paraId="7D60616A" w14:textId="77777777" w:rsidR="00711444" w:rsidRPr="004D0DAA" w:rsidRDefault="00711444" w:rsidP="00AA2A4C">
            <w:pPr>
              <w:rPr>
                <w:b/>
              </w:rPr>
            </w:pPr>
            <w:r w:rsidRPr="004D0DAA">
              <w:rPr>
                <w:b/>
              </w:rPr>
              <w:t>TLLI</w:t>
            </w:r>
            <w:r w:rsidRPr="004D0DAA">
              <w:t xml:space="preserve"> (32 bit field)</w:t>
            </w:r>
            <w:r w:rsidRPr="004D0DAA">
              <w:br/>
              <w:t>This information element is defined in sub-clause 11.2.50.</w:t>
            </w:r>
          </w:p>
        </w:tc>
      </w:tr>
      <w:tr w:rsidR="00711444" w:rsidRPr="004D0DAA" w14:paraId="452113C6" w14:textId="77777777" w:rsidTr="00AA2A4C">
        <w:trPr>
          <w:cantSplit/>
        </w:trPr>
        <w:tc>
          <w:tcPr>
            <w:tcW w:w="9848" w:type="dxa"/>
          </w:tcPr>
          <w:p w14:paraId="370E80C8" w14:textId="77777777" w:rsidR="00711444" w:rsidRPr="004D0DAA" w:rsidRDefault="00711444" w:rsidP="00AA2A4C">
            <w:r w:rsidRPr="004D0DAA">
              <w:rPr>
                <w:b/>
              </w:rPr>
              <w:lastRenderedPageBreak/>
              <w:t>CTRL_ACK</w:t>
            </w:r>
            <w:r w:rsidRPr="004D0DAA">
              <w:t xml:space="preserve"> (2 bit field)</w:t>
            </w:r>
            <w:r w:rsidRPr="004D0DAA">
              <w:br/>
              <w:t>This information element is defined in sub-clause 11.2.50.</w:t>
            </w:r>
          </w:p>
          <w:p w14:paraId="426F5BC9" w14:textId="77777777" w:rsidR="00711444" w:rsidRPr="004D0DAA" w:rsidRDefault="00711444" w:rsidP="00AA2A4C">
            <w:pPr>
              <w:pStyle w:val="FP"/>
              <w:tabs>
                <w:tab w:val="left" w:pos="567"/>
              </w:tabs>
              <w:ind w:left="567" w:hanging="567"/>
            </w:pPr>
          </w:p>
        </w:tc>
      </w:tr>
      <w:tr w:rsidR="00711444" w:rsidRPr="004D0DAA" w14:paraId="2670E93A" w14:textId="77777777" w:rsidTr="00AA2A4C">
        <w:trPr>
          <w:cantSplit/>
        </w:trPr>
        <w:tc>
          <w:tcPr>
            <w:tcW w:w="9848" w:type="dxa"/>
          </w:tcPr>
          <w:p w14:paraId="21006008" w14:textId="77777777" w:rsidR="00711444" w:rsidRPr="004D0DAA" w:rsidRDefault="00711444" w:rsidP="00AA2A4C">
            <w:pPr>
              <w:rPr>
                <w:bCs/>
              </w:rPr>
            </w:pPr>
            <w:r w:rsidRPr="004D0DAA">
              <w:rPr>
                <w:b/>
              </w:rPr>
              <w:t>DL_CC</w:t>
            </w:r>
            <w:r w:rsidRPr="004D0DAA">
              <w:rPr>
                <w:bCs/>
              </w:rPr>
              <w:t xml:space="preserve"> (2 bit field)</w:t>
            </w:r>
            <w:r w:rsidRPr="004D0DAA">
              <w:rPr>
                <w:bCs/>
              </w:rPr>
              <w:br/>
            </w:r>
            <w:r w:rsidRPr="004D0DAA">
              <w:t>This information element is defined in sub-clause 11.2.60.</w:t>
            </w:r>
          </w:p>
        </w:tc>
      </w:tr>
    </w:tbl>
    <w:p w14:paraId="54B01323" w14:textId="77777777" w:rsidR="00711444" w:rsidRPr="004D0DAA" w:rsidRDefault="00711444" w:rsidP="00711444"/>
    <w:p w14:paraId="01DB00FB" w14:textId="77777777" w:rsidR="00711444" w:rsidRPr="004D0DAA" w:rsidRDefault="00711444" w:rsidP="00711444">
      <w:pPr>
        <w:pStyle w:val="Heading1"/>
      </w:pPr>
      <w:bookmarkStart w:id="752" w:name="_Toc516669928"/>
      <w:r w:rsidRPr="004D0DAA">
        <w:t>12</w:t>
      </w:r>
      <w:r w:rsidRPr="004D0DAA">
        <w:tab/>
        <w:t>Information element coding</w:t>
      </w:r>
      <w:bookmarkEnd w:id="752"/>
    </w:p>
    <w:p w14:paraId="49C159CD" w14:textId="77777777" w:rsidR="00711444" w:rsidRPr="004D0DAA" w:rsidRDefault="00711444" w:rsidP="00711444">
      <w:pPr>
        <w:pStyle w:val="Heading2"/>
      </w:pPr>
      <w:bookmarkStart w:id="753" w:name="_Toc516669929"/>
      <w:r w:rsidRPr="004D0DAA">
        <w:t>12.1</w:t>
      </w:r>
      <w:r w:rsidRPr="004D0DAA">
        <w:tab/>
        <w:t>Overview</w:t>
      </w:r>
      <w:bookmarkEnd w:id="753"/>
    </w:p>
    <w:p w14:paraId="199EE54B" w14:textId="77777777" w:rsidR="00711444" w:rsidRPr="004D0DAA" w:rsidRDefault="00711444" w:rsidP="00711444">
      <w:pPr>
        <w:keepNext/>
      </w:pPr>
      <w:r w:rsidRPr="004D0DAA">
        <w:t>Information elements used within the context of only one RLC/MAC control message are defined in clause 11. All other information elements are defined within the present sub-clause.</w:t>
      </w:r>
    </w:p>
    <w:p w14:paraId="7FCF343A" w14:textId="77777777" w:rsidR="00711444" w:rsidRPr="004D0DAA" w:rsidRDefault="00711444" w:rsidP="00711444">
      <w:pPr>
        <w:pStyle w:val="Heading2"/>
      </w:pPr>
      <w:bookmarkStart w:id="754" w:name="_Toc516669930"/>
      <w:r w:rsidRPr="004D0DAA">
        <w:t>12.2</w:t>
      </w:r>
      <w:r w:rsidRPr="004D0DAA">
        <w:tab/>
        <w:t>(void)</w:t>
      </w:r>
      <w:bookmarkEnd w:id="754"/>
    </w:p>
    <w:p w14:paraId="4B1387EF" w14:textId="77777777" w:rsidR="00711444" w:rsidRPr="004D0DAA" w:rsidRDefault="00711444" w:rsidP="00711444">
      <w:pPr>
        <w:pStyle w:val="Heading2"/>
      </w:pPr>
      <w:bookmarkStart w:id="755" w:name="_Toc516669931"/>
      <w:r w:rsidRPr="004D0DAA">
        <w:t>12.3</w:t>
      </w:r>
      <w:r w:rsidRPr="004D0DAA">
        <w:tab/>
        <w:t>Ack/Nack Description</w:t>
      </w:r>
      <w:bookmarkEnd w:id="755"/>
    </w:p>
    <w:p w14:paraId="4752C732" w14:textId="77777777" w:rsidR="00711444" w:rsidRPr="004D0DAA" w:rsidRDefault="00711444" w:rsidP="00711444">
      <w:pPr>
        <w:keepNext/>
        <w:keepLines/>
      </w:pPr>
      <w:r w:rsidRPr="004D0DAA">
        <w:t>The Ack/Nack Description information element contains the RLC parameters used to acknowledge or negatively acknowledge a group of RLC data blocks.</w:t>
      </w:r>
    </w:p>
    <w:p w14:paraId="4DB0AE2B" w14:textId="77777777" w:rsidR="00711444" w:rsidRPr="004D0DAA" w:rsidRDefault="00711444" w:rsidP="00711444">
      <w:pPr>
        <w:pStyle w:val="TH"/>
      </w:pPr>
      <w:r w:rsidRPr="004D0DAA">
        <w:t xml:space="preserve">Table 12.3.1: </w:t>
      </w:r>
      <w:r w:rsidRPr="004D0DAA">
        <w:rPr>
          <w:i/>
        </w:rPr>
        <w:t>Ack/Nack Description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0CA89FE" w14:textId="77777777" w:rsidTr="00AA2A4C">
        <w:tblPrEx>
          <w:tblCellMar>
            <w:top w:w="0" w:type="dxa"/>
            <w:bottom w:w="0" w:type="dxa"/>
          </w:tblCellMar>
        </w:tblPrEx>
        <w:trPr>
          <w:cantSplit/>
        </w:trPr>
        <w:tc>
          <w:tcPr>
            <w:tcW w:w="9848" w:type="dxa"/>
          </w:tcPr>
          <w:p w14:paraId="0E167BC5" w14:textId="77777777" w:rsidR="00711444" w:rsidRPr="004D0DAA" w:rsidRDefault="00711444" w:rsidP="00AA2A4C">
            <w:pPr>
              <w:pStyle w:val="TAL"/>
              <w:rPr>
                <w:lang w:eastAsia="en-US"/>
              </w:rPr>
            </w:pPr>
            <w:r w:rsidRPr="004D0DAA">
              <w:rPr>
                <w:lang w:eastAsia="en-US"/>
              </w:rPr>
              <w:t>&lt; Ack/Nack Description IE &gt; ::=</w:t>
            </w:r>
          </w:p>
          <w:p w14:paraId="0F96E75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FINAL_ACK_INDICATION</w:t>
            </w:r>
            <w:r w:rsidRPr="004D0DAA">
              <w:rPr>
                <w:lang w:eastAsia="en-US"/>
              </w:rPr>
              <w:t xml:space="preserve"> : bit (1) &gt;</w:t>
            </w:r>
          </w:p>
          <w:p w14:paraId="2B36E0D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STARTING_SEQUENCE_NUMBER</w:t>
            </w:r>
            <w:r w:rsidRPr="004D0DAA">
              <w:rPr>
                <w:lang w:eastAsia="en-US"/>
              </w:rPr>
              <w:t xml:space="preserve"> : bit (7) &gt;</w:t>
            </w:r>
          </w:p>
          <w:p w14:paraId="735C237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RECEIVED_BLOCK_BITMAP</w:t>
            </w:r>
            <w:r w:rsidRPr="004D0DAA">
              <w:rPr>
                <w:lang w:eastAsia="en-US"/>
              </w:rPr>
              <w:t xml:space="preserve"> : bit (64) &gt; ;</w:t>
            </w:r>
          </w:p>
        </w:tc>
      </w:tr>
    </w:tbl>
    <w:p w14:paraId="651C9A6E" w14:textId="77777777" w:rsidR="00711444" w:rsidRPr="004D0DAA" w:rsidRDefault="00711444" w:rsidP="00711444">
      <w:pPr>
        <w:pStyle w:val="FP"/>
      </w:pPr>
    </w:p>
    <w:p w14:paraId="155D60E7" w14:textId="77777777" w:rsidR="00711444" w:rsidRPr="004D0DAA" w:rsidRDefault="00711444" w:rsidP="00711444">
      <w:pPr>
        <w:pStyle w:val="TH"/>
      </w:pPr>
      <w:r w:rsidRPr="004D0DAA">
        <w:lastRenderedPageBreak/>
        <w:t xml:space="preserve">Table 12.3.2: </w:t>
      </w:r>
      <w:r w:rsidRPr="004D0DAA">
        <w:rPr>
          <w:i/>
        </w:rPr>
        <w:t>Ack/Nack Description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BEBBE88" w14:textId="77777777" w:rsidTr="00AA2A4C">
        <w:tblPrEx>
          <w:tblCellMar>
            <w:top w:w="0" w:type="dxa"/>
            <w:bottom w:w="0" w:type="dxa"/>
          </w:tblCellMar>
        </w:tblPrEx>
        <w:tc>
          <w:tcPr>
            <w:tcW w:w="9848" w:type="dxa"/>
          </w:tcPr>
          <w:p w14:paraId="3A5B49D2" w14:textId="77777777" w:rsidR="00711444" w:rsidRPr="004D0DAA" w:rsidRDefault="00711444" w:rsidP="00AA2A4C">
            <w:pPr>
              <w:keepNext/>
              <w:keepLines/>
            </w:pPr>
            <w:r w:rsidRPr="004D0DAA">
              <w:rPr>
                <w:b/>
              </w:rPr>
              <w:t>FINAL_ACK_INDICATION</w:t>
            </w:r>
            <w:r w:rsidRPr="004D0DAA">
              <w:t xml:space="preserve"> (1 bit field)</w:t>
            </w:r>
            <w:r w:rsidRPr="004D0DAA">
              <w:br/>
              <w:t>This field indicates whether the entire TBF is being acknowledged. If, in case the uplink TBF is operating in non-extended uplink TBF mode, the entire TBF is being acknowledged, the SSN and RBB fields contain no information and shall be ignored. When acknowledging the entire TBF in extended uplink TBF mode the SSN and RBB fields shall be interpreted.</w:t>
            </w:r>
          </w:p>
          <w:p w14:paraId="5B2BD734" w14:textId="77777777" w:rsidR="00711444" w:rsidRPr="004D0DAA" w:rsidRDefault="00711444" w:rsidP="00AA2A4C">
            <w:pPr>
              <w:keepNext/>
              <w:keepLines/>
              <w:rPr>
                <w:b/>
              </w:rPr>
            </w:pPr>
            <w:r w:rsidRPr="004D0DAA">
              <w:t>0</w:t>
            </w:r>
            <w:r w:rsidRPr="004D0DAA">
              <w:tab/>
              <w:t>retransmission are requested and the TBF is incomplete</w:t>
            </w:r>
            <w:r w:rsidRPr="004D0DAA">
              <w:br/>
              <w:t>1</w:t>
            </w:r>
            <w:r w:rsidRPr="004D0DAA">
              <w:tab/>
              <w:t>no retransmissions are requested and this message indicates acknowledgement of all RLC data in the TBF</w:t>
            </w:r>
          </w:p>
        </w:tc>
      </w:tr>
      <w:tr w:rsidR="00711444" w:rsidRPr="004D0DAA" w14:paraId="3D998773" w14:textId="77777777" w:rsidTr="00AA2A4C">
        <w:tblPrEx>
          <w:tblCellMar>
            <w:top w:w="0" w:type="dxa"/>
            <w:bottom w:w="0" w:type="dxa"/>
          </w:tblCellMar>
        </w:tblPrEx>
        <w:tc>
          <w:tcPr>
            <w:tcW w:w="9848" w:type="dxa"/>
          </w:tcPr>
          <w:p w14:paraId="5DF93CAC" w14:textId="77777777" w:rsidR="00711444" w:rsidRPr="004D0DAA" w:rsidRDefault="00711444" w:rsidP="00AA2A4C">
            <w:pPr>
              <w:keepNext/>
              <w:keepLines/>
              <w:rPr>
                <w:b/>
              </w:rPr>
            </w:pPr>
            <w:r w:rsidRPr="004D0DAA">
              <w:rPr>
                <w:b/>
              </w:rPr>
              <w:t>STARTING_SEQUENCE_NUMBER (SSN)</w:t>
            </w:r>
            <w:r w:rsidRPr="004D0DAA">
              <w:t xml:space="preserve"> (7 bit field)</w:t>
            </w:r>
            <w:r w:rsidRPr="004D0DAA">
              <w:br/>
              <w:t>The SSN contains the value of V(R) when this information element was transmitted. This field is encoded as the binary representation of V(R).</w:t>
            </w:r>
            <w:r w:rsidRPr="004D0DAA">
              <w:br/>
              <w:t>Range 0 to 127</w:t>
            </w:r>
          </w:p>
        </w:tc>
      </w:tr>
      <w:tr w:rsidR="00711444" w:rsidRPr="004D0DAA" w14:paraId="0F30B396" w14:textId="77777777" w:rsidTr="00AA2A4C">
        <w:tblPrEx>
          <w:tblCellMar>
            <w:top w:w="0" w:type="dxa"/>
            <w:bottom w:w="0" w:type="dxa"/>
          </w:tblCellMar>
        </w:tblPrEx>
        <w:tc>
          <w:tcPr>
            <w:tcW w:w="9848" w:type="dxa"/>
          </w:tcPr>
          <w:p w14:paraId="45EE0F02" w14:textId="77777777" w:rsidR="00711444" w:rsidRPr="004D0DAA" w:rsidRDefault="00711444" w:rsidP="00AA2A4C">
            <w:pPr>
              <w:keepNext/>
              <w:keepLines/>
            </w:pPr>
            <w:r w:rsidRPr="004D0DAA">
              <w:rPr>
                <w:b/>
              </w:rPr>
              <w:t>RECEIVE_BLOCK_BITMAP (RBB)</w:t>
            </w:r>
            <w:r w:rsidRPr="004D0DAA">
              <w:t xml:space="preserve"> (64 bit field)</w:t>
            </w:r>
            <w:r w:rsidRPr="004D0DAA">
              <w:br/>
              <w:t>The RBB is a bitmap representing Block Sequence Numbers. The bitmap is indexed relative to SSN as follows:</w:t>
            </w:r>
          </w:p>
          <w:p w14:paraId="58C29D76" w14:textId="77777777" w:rsidR="00711444" w:rsidRPr="004D0DAA" w:rsidRDefault="00711444" w:rsidP="00AA2A4C">
            <w:pPr>
              <w:pStyle w:val="B1"/>
              <w:rPr>
                <w:lang w:eastAsia="en-US"/>
              </w:rPr>
            </w:pPr>
            <w:r w:rsidRPr="004D0DAA">
              <w:rPr>
                <w:lang w:eastAsia="en-US"/>
              </w:rPr>
              <w:t xml:space="preserve">BSN = </w:t>
            </w:r>
            <w:r w:rsidRPr="004D0DAA">
              <w:rPr>
                <w:lang w:eastAsia="en-US"/>
              </w:rPr>
              <w:tab/>
              <w:t>(SSN - bit_number) modulo 128,</w:t>
            </w:r>
            <w:r w:rsidRPr="004D0DAA">
              <w:rPr>
                <w:lang w:eastAsia="en-US"/>
              </w:rPr>
              <w:tab/>
            </w:r>
            <w:r w:rsidRPr="004D0DAA">
              <w:rPr>
                <w:lang w:eastAsia="en-US"/>
              </w:rPr>
              <w:tab/>
              <w:t>for bit_number = 1 to 64.</w:t>
            </w:r>
          </w:p>
          <w:p w14:paraId="3D1F9AA0" w14:textId="77777777" w:rsidR="00711444" w:rsidRPr="004D0DAA" w:rsidRDefault="00711444" w:rsidP="00AA2A4C">
            <w:pPr>
              <w:keepNext/>
              <w:keepLines/>
            </w:pPr>
            <w:r w:rsidRPr="004D0DAA">
              <w:t>The BSN values represented range from (SSN - 1) mod 128 to (SSN - 64) mod 128.</w:t>
            </w:r>
          </w:p>
          <w:p w14:paraId="007BAF0A" w14:textId="77777777" w:rsidR="00711444" w:rsidRPr="004D0DAA" w:rsidRDefault="00711444" w:rsidP="00AA2A4C">
            <w:pPr>
              <w:keepNext/>
              <w:keepLines/>
            </w:pPr>
            <w:r w:rsidRPr="004D0DAA">
              <w:t>The value of each bit is encoded as:</w:t>
            </w:r>
          </w:p>
          <w:p w14:paraId="23F6CDFA" w14:textId="77777777" w:rsidR="00711444" w:rsidRPr="004D0DAA" w:rsidRDefault="00711444" w:rsidP="00AA2A4C">
            <w:pPr>
              <w:pStyle w:val="FP"/>
              <w:tabs>
                <w:tab w:val="left" w:pos="709"/>
              </w:tabs>
              <w:ind w:left="284"/>
            </w:pPr>
            <w:r w:rsidRPr="004D0DAA">
              <w:t>0</w:t>
            </w:r>
            <w:r w:rsidRPr="004D0DAA">
              <w:tab/>
              <w:t>Negative acknowledgement of the RLC data block with BSN = (SSN - bit_number) mod 128</w:t>
            </w:r>
          </w:p>
          <w:p w14:paraId="4E48C444" w14:textId="77777777" w:rsidR="00711444" w:rsidRPr="004D0DAA" w:rsidRDefault="00711444" w:rsidP="00AA2A4C">
            <w:pPr>
              <w:pStyle w:val="FP"/>
              <w:tabs>
                <w:tab w:val="left" w:pos="709"/>
              </w:tabs>
              <w:ind w:left="284"/>
            </w:pPr>
            <w:r w:rsidRPr="004D0DAA">
              <w:t>1</w:t>
            </w:r>
            <w:r w:rsidRPr="004D0DAA">
              <w:tab/>
              <w:t>Positive acknowledgement of the RLC data block with BSN = (SSN - bit_number) mod 128</w:t>
            </w:r>
          </w:p>
          <w:p w14:paraId="589E3EE1" w14:textId="77777777" w:rsidR="00711444" w:rsidRPr="004D0DAA" w:rsidRDefault="00711444" w:rsidP="00AA2A4C">
            <w:pPr>
              <w:pStyle w:val="FP"/>
              <w:tabs>
                <w:tab w:val="left" w:pos="709"/>
              </w:tabs>
              <w:ind w:left="284"/>
            </w:pPr>
          </w:p>
          <w:p w14:paraId="49DF1B8C" w14:textId="77777777" w:rsidR="00711444" w:rsidRPr="004D0DAA" w:rsidRDefault="00711444" w:rsidP="00AA2A4C">
            <w:r w:rsidRPr="004D0DAA">
              <w:t>Mapping of the bitmap is defined on sub-clause 11.</w:t>
            </w:r>
          </w:p>
        </w:tc>
      </w:tr>
    </w:tbl>
    <w:p w14:paraId="5A664048" w14:textId="77777777" w:rsidR="00711444" w:rsidRPr="004D0DAA" w:rsidRDefault="00711444" w:rsidP="00711444"/>
    <w:p w14:paraId="1FBCEC3D" w14:textId="77777777" w:rsidR="00711444" w:rsidRPr="004D0DAA" w:rsidRDefault="00711444" w:rsidP="00711444">
      <w:pPr>
        <w:pStyle w:val="Heading3"/>
      </w:pPr>
      <w:bookmarkStart w:id="756" w:name="_Toc516669932"/>
      <w:r w:rsidRPr="004D0DAA">
        <w:t>12.3.1</w:t>
      </w:r>
      <w:r w:rsidRPr="004D0DAA">
        <w:tab/>
        <w:t>EGPRS Ack/Nack Description</w:t>
      </w:r>
      <w:bookmarkEnd w:id="756"/>
    </w:p>
    <w:p w14:paraId="2DBFB116" w14:textId="77777777" w:rsidR="00711444" w:rsidRPr="004D0DAA" w:rsidRDefault="00711444" w:rsidP="00711444">
      <w:r w:rsidRPr="004D0DAA">
        <w:t>The Ack/Nack Description information element contains the RLC parameters used to acknowledge or negatively acknowledge a group of RLC data blocks. The number of bits available for the bitmap depends on the inclusion or exclusion of other information elements in the used message.</w:t>
      </w:r>
    </w:p>
    <w:p w14:paraId="2DF95310" w14:textId="77777777" w:rsidR="00711444" w:rsidRPr="004D0DAA" w:rsidRDefault="00711444" w:rsidP="00711444">
      <w:pPr>
        <w:pStyle w:val="TH"/>
      </w:pPr>
      <w:r w:rsidRPr="004D0DAA">
        <w:t>Table 12.3.1.1: EGPRS Ack/Nack Description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0C70D8E" w14:textId="77777777" w:rsidTr="00AA2A4C">
        <w:tblPrEx>
          <w:tblCellMar>
            <w:top w:w="0" w:type="dxa"/>
            <w:bottom w:w="0" w:type="dxa"/>
          </w:tblCellMar>
        </w:tblPrEx>
        <w:trPr>
          <w:cantSplit/>
        </w:trPr>
        <w:tc>
          <w:tcPr>
            <w:tcW w:w="9848" w:type="dxa"/>
          </w:tcPr>
          <w:p w14:paraId="50F45DE2" w14:textId="77777777" w:rsidR="00711444" w:rsidRPr="004D0DAA" w:rsidRDefault="00711444" w:rsidP="00AA2A4C">
            <w:pPr>
              <w:pStyle w:val="TAL"/>
              <w:rPr>
                <w:lang w:eastAsia="en-US"/>
              </w:rPr>
            </w:pPr>
            <w:r w:rsidRPr="004D0DAA">
              <w:rPr>
                <w:lang w:eastAsia="en-US"/>
              </w:rPr>
              <w:t>&lt; EGPRS Ack/Nack Description IE &gt; ::=</w:t>
            </w:r>
          </w:p>
          <w:p w14:paraId="49C29578" w14:textId="77777777" w:rsidR="00711444" w:rsidRPr="004D0DAA" w:rsidRDefault="00711444" w:rsidP="00AA2A4C">
            <w:pPr>
              <w:pStyle w:val="TAL"/>
              <w:rPr>
                <w:lang w:eastAsia="en-US"/>
              </w:rPr>
            </w:pPr>
            <w:r w:rsidRPr="004D0DAA">
              <w:rPr>
                <w:lang w:eastAsia="en-US"/>
              </w:rPr>
              <w:tab/>
            </w:r>
            <w:r w:rsidRPr="004D0DAA">
              <w:rPr>
                <w:lang w:eastAsia="en-US"/>
              </w:rPr>
              <w:tab/>
              <w:t>0</w:t>
            </w:r>
            <w:r w:rsidRPr="004D0DAA">
              <w:rPr>
                <w:lang w:eastAsia="en-US"/>
              </w:rPr>
              <w:tab/>
              <w:t>&lt; EGPRS Ack/Nack Description struct &gt;</w:t>
            </w:r>
            <w:r w:rsidRPr="004D0DAA">
              <w:rPr>
                <w:lang w:eastAsia="en-US"/>
              </w:rPr>
              <w:tab/>
              <w:t xml:space="preserve">-- </w:t>
            </w:r>
            <w:r w:rsidRPr="004D0DAA">
              <w:rPr>
                <w:i/>
                <w:lang w:eastAsia="en-US"/>
              </w:rPr>
              <w:t>This IE fills rest of message</w:t>
            </w:r>
          </w:p>
          <w:p w14:paraId="48ED0BCA"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Length </w:t>
            </w:r>
            <w:r w:rsidRPr="004D0DAA">
              <w:rPr>
                <w:b/>
                <w:lang w:eastAsia="en-US"/>
              </w:rPr>
              <w:t>L</w:t>
            </w:r>
            <w:r w:rsidRPr="004D0DAA">
              <w:rPr>
                <w:lang w:eastAsia="en-US"/>
              </w:rPr>
              <w:t xml:space="preserve"> : bit (8)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Value part of this IE is of length </w:t>
            </w:r>
            <w:r w:rsidRPr="004D0DAA">
              <w:rPr>
                <w:b/>
                <w:i/>
                <w:lang w:eastAsia="en-US"/>
              </w:rPr>
              <w:t>L</w:t>
            </w:r>
          </w:p>
          <w:p w14:paraId="48EA0D2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bit (val(Length </w:t>
            </w:r>
            <w:r w:rsidRPr="004D0DAA">
              <w:rPr>
                <w:b/>
                <w:lang w:eastAsia="en-US"/>
              </w:rPr>
              <w:t>L</w:t>
            </w:r>
            <w:r w:rsidRPr="004D0DAA">
              <w:rPr>
                <w:lang w:eastAsia="en-US"/>
              </w:rPr>
              <w:t>)) &gt; &amp; &lt; EGPRS Ack/Nack Description struct &gt; } ;</w:t>
            </w:r>
          </w:p>
          <w:p w14:paraId="5606DFDD" w14:textId="77777777" w:rsidR="00711444" w:rsidRPr="004D0DAA" w:rsidRDefault="00711444" w:rsidP="00AA2A4C">
            <w:pPr>
              <w:pStyle w:val="TAL"/>
              <w:rPr>
                <w:lang w:eastAsia="en-US"/>
              </w:rPr>
            </w:pPr>
          </w:p>
        </w:tc>
      </w:tr>
      <w:tr w:rsidR="00711444" w:rsidRPr="004D0DAA" w14:paraId="746B72B0" w14:textId="77777777" w:rsidTr="00AA2A4C">
        <w:tblPrEx>
          <w:tblCellMar>
            <w:top w:w="0" w:type="dxa"/>
            <w:bottom w:w="0" w:type="dxa"/>
          </w:tblCellMar>
        </w:tblPrEx>
        <w:trPr>
          <w:cantSplit/>
        </w:trPr>
        <w:tc>
          <w:tcPr>
            <w:tcW w:w="9848" w:type="dxa"/>
          </w:tcPr>
          <w:p w14:paraId="4F5FEC7B" w14:textId="77777777" w:rsidR="00711444" w:rsidRPr="004D0DAA" w:rsidRDefault="00711444" w:rsidP="00AA2A4C">
            <w:pPr>
              <w:pStyle w:val="TAL"/>
              <w:rPr>
                <w:lang w:eastAsia="en-US"/>
              </w:rPr>
            </w:pPr>
            <w:r w:rsidRPr="004D0DAA">
              <w:rPr>
                <w:lang w:eastAsia="en-US"/>
              </w:rPr>
              <w:t>&lt; EGPRS Ack/Nack Description struct &gt; ::=</w:t>
            </w:r>
          </w:p>
          <w:p w14:paraId="2E001A1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b/>
                <w:lang w:eastAsia="en-US"/>
              </w:rPr>
              <w:t>&lt;</w:t>
            </w:r>
            <w:r w:rsidRPr="004D0DAA">
              <w:rPr>
                <w:lang w:eastAsia="en-US"/>
              </w:rPr>
              <w:t xml:space="preserve"> </w:t>
            </w:r>
            <w:r w:rsidRPr="004D0DAA">
              <w:rPr>
                <w:b/>
                <w:lang w:eastAsia="en-US"/>
              </w:rPr>
              <w:t>FINAL_ACK_INDICATION</w:t>
            </w:r>
            <w:r w:rsidRPr="004D0DAA">
              <w:rPr>
                <w:lang w:eastAsia="en-US"/>
              </w:rPr>
              <w:t xml:space="preserve"> : bit (1) &gt;</w:t>
            </w:r>
          </w:p>
          <w:p w14:paraId="54F6351B" w14:textId="77777777" w:rsidR="00711444" w:rsidRPr="004D0DAA" w:rsidRDefault="00711444" w:rsidP="00AA2A4C">
            <w:pPr>
              <w:pStyle w:val="TAL"/>
              <w:rPr>
                <w:lang w:eastAsia="en-US"/>
              </w:rPr>
            </w:pPr>
            <w:r w:rsidRPr="004D0DAA">
              <w:rPr>
                <w:b/>
                <w:lang w:eastAsia="en-US"/>
              </w:rPr>
              <w:tab/>
            </w:r>
            <w:r w:rsidRPr="004D0DAA">
              <w:rPr>
                <w:b/>
                <w:lang w:eastAsia="en-US"/>
              </w:rPr>
              <w:tab/>
              <w:t>&lt;</w:t>
            </w:r>
            <w:r w:rsidRPr="004D0DAA">
              <w:rPr>
                <w:lang w:eastAsia="en-US"/>
              </w:rPr>
              <w:t xml:space="preserve"> </w:t>
            </w:r>
            <w:r w:rsidRPr="004D0DAA">
              <w:rPr>
                <w:b/>
                <w:lang w:eastAsia="en-US"/>
              </w:rPr>
              <w:t>BEGINNING_OF_WINDOW</w:t>
            </w:r>
            <w:r w:rsidRPr="004D0DAA">
              <w:rPr>
                <w:lang w:eastAsia="en-US"/>
              </w:rPr>
              <w:t xml:space="preserve"> : bit (1) &gt;</w:t>
            </w:r>
          </w:p>
          <w:p w14:paraId="0460289A" w14:textId="77777777" w:rsidR="00711444" w:rsidRPr="004D0DAA" w:rsidRDefault="00711444" w:rsidP="00AA2A4C">
            <w:pPr>
              <w:pStyle w:val="TAL"/>
              <w:rPr>
                <w:lang w:eastAsia="en-US"/>
              </w:rPr>
            </w:pPr>
            <w:r w:rsidRPr="004D0DAA">
              <w:rPr>
                <w:b/>
                <w:lang w:eastAsia="en-US"/>
              </w:rPr>
              <w:tab/>
            </w:r>
            <w:r w:rsidRPr="004D0DAA">
              <w:rPr>
                <w:b/>
                <w:lang w:eastAsia="en-US"/>
              </w:rPr>
              <w:tab/>
              <w:t>&lt;</w:t>
            </w:r>
            <w:r w:rsidRPr="004D0DAA">
              <w:rPr>
                <w:lang w:eastAsia="en-US"/>
              </w:rPr>
              <w:t xml:space="preserve"> </w:t>
            </w:r>
            <w:r w:rsidRPr="004D0DAA">
              <w:rPr>
                <w:b/>
                <w:lang w:eastAsia="en-US"/>
              </w:rPr>
              <w:t xml:space="preserve">END_OF_WINDOW </w:t>
            </w:r>
            <w:r w:rsidRPr="004D0DAA">
              <w:rPr>
                <w:lang w:eastAsia="en-US"/>
              </w:rPr>
              <w:t>: bit (1) &gt;</w:t>
            </w:r>
          </w:p>
          <w:p w14:paraId="78023C9C"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STARTING_SEQUENCE_NUMBER</w:t>
            </w:r>
            <w:r w:rsidRPr="004D0DAA">
              <w:rPr>
                <w:lang w:eastAsia="en-US"/>
              </w:rPr>
              <w:t xml:space="preserve"> : bit (11) &gt;</w:t>
            </w:r>
          </w:p>
          <w:p w14:paraId="08DC345F"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COMPRESSED_BITMAP_LENGTH</w:t>
            </w:r>
            <w:r w:rsidRPr="004D0DAA">
              <w:rPr>
                <w:lang w:eastAsia="en-US"/>
              </w:rPr>
              <w:t>: bit (7) &gt;</w:t>
            </w:r>
          </w:p>
          <w:p w14:paraId="02D1D23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COMPRESSED_BITMAP_STARTING_COLOR_CODE</w:t>
            </w:r>
            <w:r w:rsidRPr="004D0DAA">
              <w:rPr>
                <w:lang w:eastAsia="en-US"/>
              </w:rPr>
              <w:t>: bit (1) &gt;</w:t>
            </w:r>
          </w:p>
          <w:p w14:paraId="467965B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w:t>
            </w:r>
            <w:r w:rsidRPr="004D0DAA">
              <w:rPr>
                <w:lang w:eastAsia="en-US"/>
              </w:rPr>
              <w:t>_</w:t>
            </w:r>
            <w:r w:rsidRPr="004D0DAA">
              <w:rPr>
                <w:b/>
                <w:lang w:eastAsia="en-US"/>
              </w:rPr>
              <w:t>RECEIVED_BLOCK_BITMAP</w:t>
            </w:r>
            <w:r w:rsidRPr="004D0DAA">
              <w:rPr>
                <w:lang w:eastAsia="en-US"/>
              </w:rPr>
              <w:t xml:space="preserve"> :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bit (val(</w:t>
            </w:r>
            <w:r w:rsidRPr="004D0DAA">
              <w:rPr>
                <w:b/>
                <w:lang w:eastAsia="en-US"/>
              </w:rPr>
              <w:t>COMPRESSED_BITMAP_LENGTH</w:t>
            </w:r>
            <w:r w:rsidRPr="004D0DAA">
              <w:rPr>
                <w:lang w:eastAsia="en-US"/>
              </w:rPr>
              <w:t>)) &gt; }</w:t>
            </w:r>
          </w:p>
          <w:p w14:paraId="3A3EDA25"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UNCOMPRESSED_RECEIVED_BLOCK_BITMAP</w:t>
            </w:r>
            <w:r w:rsidRPr="004D0DAA">
              <w:rPr>
                <w:lang w:eastAsia="en-US"/>
              </w:rPr>
              <w:t>: bit** &gt; ;</w:t>
            </w:r>
          </w:p>
          <w:p w14:paraId="184399AE" w14:textId="77777777" w:rsidR="00711444" w:rsidRPr="004D0DAA" w:rsidRDefault="00711444" w:rsidP="00AA2A4C">
            <w:pPr>
              <w:pStyle w:val="TAL"/>
              <w:rPr>
                <w:lang w:eastAsia="en-US"/>
              </w:rPr>
            </w:pPr>
          </w:p>
        </w:tc>
      </w:tr>
    </w:tbl>
    <w:p w14:paraId="591BB8E8" w14:textId="77777777" w:rsidR="00711444" w:rsidRPr="004D0DAA" w:rsidRDefault="00711444" w:rsidP="00711444"/>
    <w:p w14:paraId="17917693" w14:textId="77777777" w:rsidR="00711444" w:rsidRPr="004D0DAA" w:rsidRDefault="00711444" w:rsidP="00711444">
      <w:pPr>
        <w:pStyle w:val="TH"/>
      </w:pPr>
      <w:r w:rsidRPr="004D0DAA">
        <w:lastRenderedPageBreak/>
        <w:t>Table 12.3.1.2: EGPRS Ack/Nack Description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D06A990" w14:textId="77777777" w:rsidTr="00AA2A4C">
        <w:tblPrEx>
          <w:tblCellMar>
            <w:top w:w="0" w:type="dxa"/>
            <w:bottom w:w="0" w:type="dxa"/>
          </w:tblCellMar>
        </w:tblPrEx>
        <w:trPr>
          <w:cantSplit/>
        </w:trPr>
        <w:tc>
          <w:tcPr>
            <w:tcW w:w="9848" w:type="dxa"/>
          </w:tcPr>
          <w:p w14:paraId="427E9428" w14:textId="77777777" w:rsidR="00711444" w:rsidRPr="004D0DAA" w:rsidRDefault="00711444" w:rsidP="00AA2A4C">
            <w:pPr>
              <w:keepNext/>
              <w:keepLines/>
              <w:rPr>
                <w:b/>
              </w:rPr>
            </w:pPr>
            <w:r w:rsidRPr="004D0DAA">
              <w:rPr>
                <w:b/>
              </w:rPr>
              <w:t>LENGTH L</w:t>
            </w:r>
            <w:r w:rsidRPr="004D0DAA">
              <w:t xml:space="preserve"> (8 bit field) </w:t>
            </w:r>
            <w:r w:rsidRPr="004D0DAA">
              <w:rPr>
                <w:b/>
              </w:rPr>
              <w:br/>
            </w:r>
            <w:r w:rsidRPr="004D0DAA">
              <w:t>Range 15 to 255</w:t>
            </w:r>
            <w:r w:rsidRPr="004D0DAA">
              <w:br/>
              <w:t>This field represents the length of the value part (i.e. the EGPRS Ack/Nack Description struct) of this information element. If this field is not included, this information element fills the remaining part of the message.</w:t>
            </w:r>
          </w:p>
        </w:tc>
      </w:tr>
      <w:tr w:rsidR="00711444" w:rsidRPr="004D0DAA" w14:paraId="5C3CA524" w14:textId="77777777" w:rsidTr="00AA2A4C">
        <w:tblPrEx>
          <w:tblCellMar>
            <w:top w:w="0" w:type="dxa"/>
            <w:bottom w:w="0" w:type="dxa"/>
          </w:tblCellMar>
        </w:tblPrEx>
        <w:trPr>
          <w:cantSplit/>
        </w:trPr>
        <w:tc>
          <w:tcPr>
            <w:tcW w:w="9848" w:type="dxa"/>
          </w:tcPr>
          <w:p w14:paraId="53A3A36C" w14:textId="77777777" w:rsidR="00711444" w:rsidRPr="004D0DAA" w:rsidRDefault="00711444" w:rsidP="00AA2A4C">
            <w:pPr>
              <w:keepNext/>
              <w:keepLines/>
            </w:pPr>
            <w:r w:rsidRPr="004D0DAA">
              <w:rPr>
                <w:b/>
              </w:rPr>
              <w:t>FINAL_ACK_INDICATION</w:t>
            </w:r>
            <w:r w:rsidRPr="004D0DAA">
              <w:t xml:space="preserve"> (1 bit field)</w:t>
            </w:r>
            <w:r w:rsidRPr="004D0DAA">
              <w:br/>
              <w:t>This field indicates whether the entire TBF is being acknowledged. If, in case the uplink TBF is operating in non-extended uplink TBF mode, the entire TBF is being acknowledged, the SSN, CRBB and URBB fields contain no information and shall be ignored. When acknowledging the entire TBF in extended uplink TBF mode, the SSN, CRBB and URBB fields shall be interpreted if present.</w:t>
            </w:r>
          </w:p>
          <w:p w14:paraId="47C14338" w14:textId="77777777" w:rsidR="00711444" w:rsidRPr="004D0DAA" w:rsidRDefault="00711444" w:rsidP="00AA2A4C">
            <w:pPr>
              <w:keepNext/>
              <w:keepLines/>
              <w:rPr>
                <w:b/>
              </w:rPr>
            </w:pPr>
            <w:r w:rsidRPr="004D0DAA">
              <w:t>0</w:t>
            </w:r>
            <w:r w:rsidRPr="004D0DAA">
              <w:tab/>
              <w:t>retransmissions are requested and the TBF is incomplete.</w:t>
            </w:r>
            <w:r w:rsidRPr="004D0DAA">
              <w:br/>
              <w:t>1</w:t>
            </w:r>
            <w:r w:rsidRPr="004D0DAA">
              <w:tab/>
              <w:t>no retransmissions are requested and this message indicates acknowledgement of all RLC data in the TBF.</w:t>
            </w:r>
          </w:p>
        </w:tc>
      </w:tr>
      <w:tr w:rsidR="00711444" w:rsidRPr="004D0DAA" w14:paraId="602498B5" w14:textId="77777777" w:rsidTr="00AA2A4C">
        <w:tblPrEx>
          <w:tblCellMar>
            <w:top w:w="0" w:type="dxa"/>
            <w:bottom w:w="0" w:type="dxa"/>
          </w:tblCellMar>
        </w:tblPrEx>
        <w:trPr>
          <w:cantSplit/>
        </w:trPr>
        <w:tc>
          <w:tcPr>
            <w:tcW w:w="9848" w:type="dxa"/>
          </w:tcPr>
          <w:p w14:paraId="1D984234" w14:textId="77777777" w:rsidR="00711444" w:rsidRPr="004D0DAA" w:rsidRDefault="00711444" w:rsidP="00AA2A4C">
            <w:pPr>
              <w:keepNext/>
              <w:keepLines/>
            </w:pPr>
            <w:r w:rsidRPr="004D0DAA">
              <w:rPr>
                <w:b/>
              </w:rPr>
              <w:t>BEGINNING_OF_WINDOW</w:t>
            </w:r>
            <w:r w:rsidRPr="004D0DAA">
              <w:t xml:space="preserve"> (BOW, 1 bit field)</w:t>
            </w:r>
            <w:r w:rsidRPr="004D0DAA">
              <w:br/>
              <w:t>This bit indicates if the Ack/Nack bitmap starts at the beginning of the window.</w:t>
            </w:r>
          </w:p>
          <w:p w14:paraId="75307C7C" w14:textId="77777777" w:rsidR="00711444" w:rsidRPr="004D0DAA" w:rsidRDefault="00711444" w:rsidP="00AA2A4C">
            <w:pPr>
              <w:keepNext/>
              <w:keepLines/>
              <w:rPr>
                <w:b/>
              </w:rPr>
            </w:pPr>
            <w:r w:rsidRPr="004D0DAA">
              <w:t>0</w:t>
            </w:r>
            <w:r w:rsidRPr="004D0DAA">
              <w:tab/>
              <w:t>SSN not equal to (</w:t>
            </w:r>
            <w:r w:rsidRPr="004D0DAA">
              <w:rPr>
                <w:i/>
              </w:rPr>
              <w:t>V(Q)</w:t>
            </w:r>
            <w:r w:rsidRPr="004D0DAA">
              <w:t>+1) mod 2048.</w:t>
            </w:r>
            <w:r w:rsidRPr="004D0DAA">
              <w:br/>
              <w:t>1</w:t>
            </w:r>
            <w:r w:rsidRPr="004D0DAA">
              <w:tab/>
              <w:t>SSN = (</w:t>
            </w:r>
            <w:r w:rsidRPr="004D0DAA">
              <w:rPr>
                <w:i/>
              </w:rPr>
              <w:t>V(Q)</w:t>
            </w:r>
            <w:r w:rsidRPr="004D0DAA">
              <w:t xml:space="preserve"> +1) mod 2048</w:t>
            </w:r>
          </w:p>
        </w:tc>
      </w:tr>
      <w:tr w:rsidR="00711444" w:rsidRPr="004D0DAA" w14:paraId="32E914A0" w14:textId="77777777" w:rsidTr="00AA2A4C">
        <w:tblPrEx>
          <w:tblCellMar>
            <w:top w:w="0" w:type="dxa"/>
            <w:bottom w:w="0" w:type="dxa"/>
          </w:tblCellMar>
        </w:tblPrEx>
        <w:trPr>
          <w:cantSplit/>
        </w:trPr>
        <w:tc>
          <w:tcPr>
            <w:tcW w:w="9848" w:type="dxa"/>
          </w:tcPr>
          <w:p w14:paraId="770334BD" w14:textId="77777777" w:rsidR="00711444" w:rsidRPr="004D0DAA" w:rsidRDefault="00711444" w:rsidP="00AA2A4C">
            <w:r w:rsidRPr="004D0DAA">
              <w:rPr>
                <w:b/>
              </w:rPr>
              <w:t xml:space="preserve">END_OF_WINDOW </w:t>
            </w:r>
            <w:r w:rsidRPr="004D0DAA">
              <w:t>(EOW, 1 bit field)</w:t>
            </w:r>
            <w:r w:rsidRPr="004D0DAA">
              <w:br/>
              <w:t>This bit indicates if the end of the receiver window is included in the bitmap(s).</w:t>
            </w:r>
          </w:p>
          <w:p w14:paraId="510B2075" w14:textId="77777777" w:rsidR="00711444" w:rsidRPr="004D0DAA" w:rsidRDefault="00711444" w:rsidP="00AA2A4C">
            <w:pPr>
              <w:rPr>
                <w:b/>
              </w:rPr>
            </w:pPr>
            <w:r w:rsidRPr="004D0DAA">
              <w:t>0</w:t>
            </w:r>
            <w:r w:rsidRPr="004D0DAA">
              <w:tab/>
              <w:t>[V(R) - 1] modulo SNS is not included in the bitmap.</w:t>
            </w:r>
            <w:r w:rsidRPr="004D0DAA">
              <w:br/>
              <w:t>1</w:t>
            </w:r>
            <w:r w:rsidRPr="004D0DAA">
              <w:tab/>
              <w:t>[V(R) - 1] modulo SNS is included in the bitmap.</w:t>
            </w:r>
          </w:p>
        </w:tc>
      </w:tr>
      <w:tr w:rsidR="00711444" w:rsidRPr="004D0DAA" w14:paraId="6847494A" w14:textId="77777777" w:rsidTr="00AA2A4C">
        <w:tblPrEx>
          <w:tblCellMar>
            <w:top w:w="0" w:type="dxa"/>
            <w:bottom w:w="0" w:type="dxa"/>
          </w:tblCellMar>
        </w:tblPrEx>
        <w:trPr>
          <w:cantSplit/>
        </w:trPr>
        <w:tc>
          <w:tcPr>
            <w:tcW w:w="9848" w:type="dxa"/>
          </w:tcPr>
          <w:p w14:paraId="32C91C16" w14:textId="77777777" w:rsidR="00711444" w:rsidRPr="004D0DAA" w:rsidRDefault="00711444" w:rsidP="00AA2A4C">
            <w:pPr>
              <w:rPr>
                <w:b/>
              </w:rPr>
            </w:pPr>
            <w:r w:rsidRPr="004D0DAA">
              <w:rPr>
                <w:b/>
              </w:rPr>
              <w:t xml:space="preserve">STARTING_SEQUENCE_NUMBER (SSN) </w:t>
            </w:r>
            <w:r w:rsidRPr="004D0DAA">
              <w:t>(11 bit field)</w:t>
            </w:r>
            <w:r w:rsidRPr="004D0DAA">
              <w:br/>
              <w:t>Range 0 to 2047</w:t>
            </w:r>
            <w:r w:rsidRPr="004D0DAA">
              <w:br/>
              <w:t xml:space="preserve">The SSN indicates the Block Sequence Number of the first RLC block for which the Ack/Nack receipt status is indicated within the bitmap. The SSN is determined using S/P, PBSN and </w:t>
            </w:r>
            <w:r w:rsidRPr="004D0DAA">
              <w:rPr>
                <w:i/>
              </w:rPr>
              <w:t>V(Q).</w:t>
            </w:r>
          </w:p>
        </w:tc>
      </w:tr>
      <w:tr w:rsidR="00711444" w:rsidRPr="004D0DAA" w14:paraId="78CDE693" w14:textId="77777777" w:rsidTr="00AA2A4C">
        <w:tblPrEx>
          <w:tblCellMar>
            <w:top w:w="0" w:type="dxa"/>
            <w:bottom w:w="0" w:type="dxa"/>
          </w:tblCellMar>
        </w:tblPrEx>
        <w:trPr>
          <w:cantSplit/>
        </w:trPr>
        <w:tc>
          <w:tcPr>
            <w:tcW w:w="9848" w:type="dxa"/>
          </w:tcPr>
          <w:p w14:paraId="11D378CC" w14:textId="77777777" w:rsidR="00711444" w:rsidRPr="004D0DAA" w:rsidRDefault="00711444" w:rsidP="00AA2A4C">
            <w:pPr>
              <w:rPr>
                <w:b/>
              </w:rPr>
            </w:pPr>
            <w:r w:rsidRPr="004D0DAA">
              <w:rPr>
                <w:b/>
              </w:rPr>
              <w:t>COMPRESSED_BITMAP_LENGTH (Lc)</w:t>
            </w:r>
            <w:r w:rsidRPr="004D0DAA">
              <w:rPr>
                <w:bCs/>
              </w:rPr>
              <w:t xml:space="preserve"> (7 bit field)</w:t>
            </w:r>
            <w:r w:rsidRPr="004D0DAA">
              <w:rPr>
                <w:b/>
              </w:rPr>
              <w:t xml:space="preserve"> </w:t>
            </w:r>
            <w:r w:rsidRPr="004D0DAA">
              <w:rPr>
                <w:b/>
              </w:rPr>
              <w:br/>
            </w:r>
            <w:r w:rsidRPr="004D0DAA">
              <w:t>Range 0 to 127</w:t>
            </w:r>
            <w:r w:rsidRPr="004D0DAA">
              <w:br/>
              <w:t>This field represents the length of the compressed bitmap. Compression is carried out using T.4 run length coding.</w:t>
            </w:r>
          </w:p>
        </w:tc>
      </w:tr>
      <w:tr w:rsidR="00711444" w:rsidRPr="004D0DAA" w14:paraId="1DFAE8AE" w14:textId="77777777" w:rsidTr="00AA2A4C">
        <w:tblPrEx>
          <w:tblCellMar>
            <w:top w:w="0" w:type="dxa"/>
            <w:bottom w:w="0" w:type="dxa"/>
          </w:tblCellMar>
        </w:tblPrEx>
        <w:trPr>
          <w:cantSplit/>
        </w:trPr>
        <w:tc>
          <w:tcPr>
            <w:tcW w:w="9848" w:type="dxa"/>
          </w:tcPr>
          <w:p w14:paraId="0E1385A6" w14:textId="77777777" w:rsidR="00711444" w:rsidRPr="004D0DAA" w:rsidRDefault="00711444" w:rsidP="00AA2A4C">
            <w:pPr>
              <w:rPr>
                <w:b/>
              </w:rPr>
            </w:pPr>
            <w:r w:rsidRPr="004D0DAA">
              <w:rPr>
                <w:b/>
              </w:rPr>
              <w:t>COMPRESSED_BITMAP_STARTING_COLOR_CODE</w:t>
            </w:r>
            <w:r w:rsidRPr="004D0DAA">
              <w:t xml:space="preserve"> (1 bit field)</w:t>
            </w:r>
            <w:r w:rsidRPr="004D0DAA">
              <w:br/>
              <w:t>This bit indicates if the first code word in the compressed bitmap (i.e. CRBB) represents a run length of ones or a run length of zeros.</w:t>
            </w:r>
            <w:r w:rsidRPr="004D0DAA">
              <w:br/>
              <w:t>0</w:t>
            </w:r>
            <w:r w:rsidRPr="004D0DAA">
              <w:tab/>
              <w:t>First code word in CRBB represents run length of zeros.</w:t>
            </w:r>
            <w:r w:rsidRPr="004D0DAA">
              <w:br/>
              <w:t>1</w:t>
            </w:r>
            <w:r w:rsidRPr="004D0DAA">
              <w:tab/>
              <w:t>First code word in CRBB represents run length of ones.</w:t>
            </w:r>
          </w:p>
        </w:tc>
      </w:tr>
      <w:tr w:rsidR="00711444" w:rsidRPr="004D0DAA" w14:paraId="21E14D2B" w14:textId="77777777" w:rsidTr="00AA2A4C">
        <w:tblPrEx>
          <w:tblCellMar>
            <w:top w:w="0" w:type="dxa"/>
            <w:bottom w:w="0" w:type="dxa"/>
          </w:tblCellMar>
        </w:tblPrEx>
        <w:trPr>
          <w:cantSplit/>
        </w:trPr>
        <w:tc>
          <w:tcPr>
            <w:tcW w:w="9848" w:type="dxa"/>
          </w:tcPr>
          <w:p w14:paraId="3DBD179B" w14:textId="77777777" w:rsidR="00711444" w:rsidRPr="004D0DAA" w:rsidRDefault="00711444" w:rsidP="00AA2A4C">
            <w:r w:rsidRPr="004D0DAA">
              <w:rPr>
                <w:b/>
              </w:rPr>
              <w:t>COMPRESSED_RECEIVE_BLOCK_BITMAP (CRBB)</w:t>
            </w:r>
            <w:r w:rsidRPr="004D0DAA">
              <w:t xml:space="preserve"> (</w:t>
            </w:r>
            <w:r w:rsidRPr="004D0DAA">
              <w:rPr>
                <w:iCs/>
              </w:rPr>
              <w:t xml:space="preserve">Lc </w:t>
            </w:r>
            <w:r w:rsidRPr="004D0DAA">
              <w:t>bit field)</w:t>
            </w:r>
            <w:r w:rsidRPr="004D0DAA">
              <w:br/>
              <w:t xml:space="preserve">The CRBB is a compressed bitmap. Compression is carried out starting at SSN using modified T.4 run length coding. The number of bits (Lc) available for Ack/Nack Description depends on the inclusion of other information elements in the used message. </w:t>
            </w:r>
          </w:p>
          <w:p w14:paraId="1A3F5839" w14:textId="77777777" w:rsidR="00711444" w:rsidRPr="004D0DAA" w:rsidRDefault="00711444" w:rsidP="00AA2A4C">
            <w:r w:rsidRPr="004D0DAA">
              <w:t>The packing order of the CRBB shall be such that the codeword (or pair of make up/terminating codewords) corresponding to the run including the SSN starts at the most significant bit of the CRBB, and codewords (or pairs of make-up/terminating codewords) corresponding to runs including higher and successively increasing sequence numbers are placed in bits of successively decreasing significance.</w:t>
            </w:r>
          </w:p>
          <w:p w14:paraId="0B283E0E" w14:textId="77777777" w:rsidR="00711444" w:rsidRPr="004D0DAA" w:rsidRDefault="00711444" w:rsidP="00AA2A4C">
            <w:pPr>
              <w:rPr>
                <w:b/>
              </w:rPr>
            </w:pPr>
            <w:r w:rsidRPr="004D0DAA">
              <w:tab/>
              <w:t>NOTE: The URBB is packed in the opposite order.</w:t>
            </w:r>
          </w:p>
        </w:tc>
      </w:tr>
      <w:tr w:rsidR="00711444" w:rsidRPr="004D0DAA" w14:paraId="14E30D31" w14:textId="77777777" w:rsidTr="00AA2A4C">
        <w:tblPrEx>
          <w:tblCellMar>
            <w:top w:w="0" w:type="dxa"/>
            <w:bottom w:w="0" w:type="dxa"/>
          </w:tblCellMar>
        </w:tblPrEx>
        <w:trPr>
          <w:cantSplit/>
        </w:trPr>
        <w:tc>
          <w:tcPr>
            <w:tcW w:w="9848" w:type="dxa"/>
          </w:tcPr>
          <w:p w14:paraId="5B5A394B" w14:textId="77777777" w:rsidR="00711444" w:rsidRPr="004D0DAA" w:rsidRDefault="00711444" w:rsidP="00AA2A4C">
            <w:r w:rsidRPr="004D0DAA">
              <w:rPr>
                <w:b/>
              </w:rPr>
              <w:lastRenderedPageBreak/>
              <w:t>UNCOMPRESSED_RECEIVE_BLOCK_BITMAP (URBB)</w:t>
            </w:r>
            <w:r w:rsidRPr="004D0DAA">
              <w:t xml:space="preserve"> (Lu bit field)</w:t>
            </w:r>
            <w:r w:rsidRPr="004D0DAA">
              <w:br/>
              <w:t xml:space="preserve">The URBB is an uncompressed bitmap, which fills the remainder of this information element upto L bits, where L is the number of bits available for the EGPRS Ack/Nack description struct. The URBB field length, Lu, is determined by: </w:t>
            </w:r>
          </w:p>
          <w:p w14:paraId="2F54E7CF" w14:textId="77777777" w:rsidR="00711444" w:rsidRPr="004D0DAA" w:rsidRDefault="00711444" w:rsidP="00AA2A4C">
            <w:pPr>
              <w:tabs>
                <w:tab w:val="left" w:pos="1418"/>
              </w:tabs>
            </w:pPr>
            <w:r w:rsidRPr="004D0DAA">
              <w:t>Lu = L-Lc-23,</w:t>
            </w:r>
            <w:r w:rsidRPr="004D0DAA">
              <w:tab/>
              <w:t xml:space="preserve">when the compressed received block bitmap is included, or by </w:t>
            </w:r>
            <w:r w:rsidRPr="004D0DAA">
              <w:br/>
              <w:t>Lu = L-15,</w:t>
            </w:r>
            <w:r w:rsidRPr="004D0DAA">
              <w:tab/>
              <w:t>when the compressed received block bitmap is not included:</w:t>
            </w:r>
          </w:p>
          <w:p w14:paraId="674DC9D0" w14:textId="77777777" w:rsidR="00711444" w:rsidRPr="004D0DAA" w:rsidRDefault="00711444" w:rsidP="00AA2A4C">
            <w:r w:rsidRPr="004D0DAA">
              <w:t>The bits in URBB, denoted here by index i, are numbered from i=1 (lowest order value) to i=Lu (highest order value). The value of each bit in the bitmap is encoded as following:</w:t>
            </w:r>
          </w:p>
          <w:p w14:paraId="2E4413B2" w14:textId="77777777" w:rsidR="00711444" w:rsidRPr="004D0DAA" w:rsidRDefault="00711444" w:rsidP="00AA2A4C">
            <w:pPr>
              <w:pStyle w:val="FP"/>
              <w:ind w:left="851" w:hanging="567"/>
            </w:pPr>
            <w:r w:rsidRPr="004D0DAA">
              <w:t>0</w:t>
            </w:r>
            <w:r w:rsidRPr="004D0DAA">
              <w:tab/>
              <w:t xml:space="preserve">Negative acknowledgement of the RLC data block with BSN = (ESN_CRBB + i) modulo SNS, and </w:t>
            </w:r>
          </w:p>
          <w:p w14:paraId="04B4530F" w14:textId="77777777" w:rsidR="00711444" w:rsidRPr="004D0DAA" w:rsidRDefault="00711444" w:rsidP="00AA2A4C">
            <w:pPr>
              <w:pStyle w:val="FP"/>
              <w:ind w:left="851" w:hanging="567"/>
            </w:pPr>
            <w:r w:rsidRPr="004D0DAA">
              <w:t>1</w:t>
            </w:r>
            <w:r w:rsidRPr="004D0DAA">
              <w:tab/>
              <w:t xml:space="preserve">Positive acknowledgement of the RLC data block with BSN = (ESN_CRBB + i) modulo SNS, where </w:t>
            </w:r>
            <w:r w:rsidRPr="004D0DAA">
              <w:br/>
              <w:t>ESN_CRBB is the ending block sequence number of CRBB and, if no CRBB is included, ESN_CRBB = (SSN - 1) modulo SNS.</w:t>
            </w:r>
          </w:p>
        </w:tc>
      </w:tr>
    </w:tbl>
    <w:p w14:paraId="657DC0C1" w14:textId="77777777" w:rsidR="00711444" w:rsidRPr="004D0DAA" w:rsidRDefault="00711444" w:rsidP="00711444"/>
    <w:p w14:paraId="24588F8C" w14:textId="77777777" w:rsidR="00711444" w:rsidRPr="004D0DAA" w:rsidRDefault="00711444" w:rsidP="00711444">
      <w:pPr>
        <w:pStyle w:val="Heading3"/>
      </w:pPr>
      <w:bookmarkStart w:id="757" w:name="_Toc516669933"/>
      <w:r w:rsidRPr="004D0DAA">
        <w:t>12.3.2</w:t>
      </w:r>
      <w:r w:rsidRPr="004D0DAA">
        <w:tab/>
        <w:t>FLO Ack/Nack Description</w:t>
      </w:r>
      <w:bookmarkEnd w:id="757"/>
    </w:p>
    <w:p w14:paraId="7487A2C2" w14:textId="77777777" w:rsidR="00711444" w:rsidRPr="004D0DAA" w:rsidRDefault="00711444" w:rsidP="00711444">
      <w:r w:rsidRPr="004D0DAA">
        <w:t>The FLO Ack/Nack Description information element contains the RLC parameters used to acknowledge or negatively acknowledge a group of RLC data blocks.</w:t>
      </w:r>
    </w:p>
    <w:p w14:paraId="127BCF76" w14:textId="77777777" w:rsidR="00711444" w:rsidRPr="004D0DAA" w:rsidRDefault="00711444" w:rsidP="00711444">
      <w:pPr>
        <w:pStyle w:val="TH"/>
      </w:pPr>
      <w:r w:rsidRPr="004D0DAA">
        <w:t>Table 12.3.2.1: FLO Ack/Nack Description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ABEC10C" w14:textId="77777777" w:rsidTr="00AA2A4C">
        <w:tblPrEx>
          <w:tblCellMar>
            <w:top w:w="0" w:type="dxa"/>
            <w:bottom w:w="0" w:type="dxa"/>
          </w:tblCellMar>
        </w:tblPrEx>
        <w:trPr>
          <w:cantSplit/>
        </w:trPr>
        <w:tc>
          <w:tcPr>
            <w:tcW w:w="9848" w:type="dxa"/>
          </w:tcPr>
          <w:p w14:paraId="32D29365" w14:textId="77777777" w:rsidR="00711444" w:rsidRPr="004D0DAA" w:rsidRDefault="00711444" w:rsidP="00AA2A4C">
            <w:pPr>
              <w:pStyle w:val="TAL"/>
              <w:rPr>
                <w:lang w:eastAsia="en-US"/>
              </w:rPr>
            </w:pPr>
            <w:r w:rsidRPr="004D0DAA">
              <w:rPr>
                <w:lang w:eastAsia="en-US"/>
              </w:rPr>
              <w:t>&lt; FLO Ack/Nack Description IE &gt; ::=</w:t>
            </w:r>
          </w:p>
          <w:p w14:paraId="536D6601" w14:textId="77777777" w:rsidR="00711444" w:rsidRPr="004D0DAA" w:rsidRDefault="00711444" w:rsidP="00AA2A4C">
            <w:pPr>
              <w:pStyle w:val="TAL"/>
              <w:rPr>
                <w:lang w:eastAsia="en-US"/>
              </w:rPr>
            </w:pPr>
            <w:r w:rsidRPr="004D0DAA">
              <w:rPr>
                <w:lang w:eastAsia="en-US"/>
              </w:rPr>
              <w:tab/>
            </w:r>
            <w:r w:rsidRPr="004D0DAA">
              <w:rPr>
                <w:lang w:eastAsia="en-US"/>
              </w:rPr>
              <w:tab/>
              <w:t>&lt; FLO Ack/Nack Description struct &gt; ;</w:t>
            </w:r>
          </w:p>
          <w:p w14:paraId="26EF05D0" w14:textId="77777777" w:rsidR="00711444" w:rsidRPr="004D0DAA" w:rsidRDefault="00711444" w:rsidP="00AA2A4C">
            <w:pPr>
              <w:pStyle w:val="TAL"/>
              <w:rPr>
                <w:lang w:eastAsia="en-US"/>
              </w:rPr>
            </w:pPr>
          </w:p>
        </w:tc>
      </w:tr>
      <w:tr w:rsidR="00711444" w:rsidRPr="004D0DAA" w14:paraId="75376F24" w14:textId="77777777" w:rsidTr="00AA2A4C">
        <w:tblPrEx>
          <w:tblCellMar>
            <w:top w:w="0" w:type="dxa"/>
            <w:bottom w:w="0" w:type="dxa"/>
          </w:tblCellMar>
        </w:tblPrEx>
        <w:trPr>
          <w:cantSplit/>
        </w:trPr>
        <w:tc>
          <w:tcPr>
            <w:tcW w:w="9848" w:type="dxa"/>
          </w:tcPr>
          <w:p w14:paraId="4300C3F3" w14:textId="77777777" w:rsidR="00711444" w:rsidRPr="004D0DAA" w:rsidRDefault="00711444" w:rsidP="00AA2A4C">
            <w:pPr>
              <w:pStyle w:val="TAL"/>
              <w:rPr>
                <w:lang w:eastAsia="en-US"/>
              </w:rPr>
            </w:pPr>
            <w:r w:rsidRPr="004D0DAA">
              <w:rPr>
                <w:lang w:eastAsia="en-US"/>
              </w:rPr>
              <w:t>&lt; FLO Ack/Nack Description struct &gt; ::=</w:t>
            </w:r>
          </w:p>
          <w:p w14:paraId="0F6A0BE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bCs/>
                <w:lang w:eastAsia="en-US"/>
              </w:rPr>
              <w:t>&lt;</w:t>
            </w:r>
            <w:r w:rsidRPr="004D0DAA">
              <w:rPr>
                <w:lang w:eastAsia="en-US"/>
              </w:rPr>
              <w:t xml:space="preserve"> </w:t>
            </w:r>
            <w:r w:rsidRPr="004D0DAA">
              <w:rPr>
                <w:b/>
                <w:lang w:eastAsia="en-US"/>
              </w:rPr>
              <w:t>BEGINNING_OF_WINDOW</w:t>
            </w:r>
            <w:r w:rsidRPr="004D0DAA">
              <w:rPr>
                <w:lang w:eastAsia="en-US"/>
              </w:rPr>
              <w:t xml:space="preserve"> : bit (1) &gt;</w:t>
            </w:r>
          </w:p>
          <w:p w14:paraId="725799D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END_OF_WINDOW</w:t>
            </w:r>
            <w:r w:rsidRPr="004D0DAA">
              <w:rPr>
                <w:lang w:eastAsia="en-US"/>
              </w:rPr>
              <w:t xml:space="preserve"> : bit (1) &gt;</w:t>
            </w:r>
          </w:p>
          <w:p w14:paraId="25B505A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STARTING_SEQUENCE_NUMBER</w:t>
            </w:r>
            <w:r w:rsidRPr="004D0DAA">
              <w:rPr>
                <w:lang w:eastAsia="en-US"/>
              </w:rPr>
              <w:t xml:space="preserve"> : bit (10) &gt;</w:t>
            </w:r>
          </w:p>
          <w:p w14:paraId="2CA59A2D"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xml:space="preserve">&lt; </w:t>
            </w:r>
            <w:r w:rsidRPr="004D0DAA">
              <w:rPr>
                <w:b/>
                <w:lang w:eastAsia="en-US"/>
              </w:rPr>
              <w:t>COMPRESSED_BITMAP_LENGTH</w:t>
            </w:r>
            <w:r w:rsidRPr="004D0DAA">
              <w:rPr>
                <w:lang w:eastAsia="en-US"/>
              </w:rPr>
              <w:t>: bit (7) &gt;</w:t>
            </w:r>
          </w:p>
          <w:p w14:paraId="68187C0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COMPRESSED_BITMAP_STARTING_COLOR_CODE</w:t>
            </w:r>
            <w:r w:rsidRPr="004D0DAA">
              <w:rPr>
                <w:lang w:eastAsia="en-US"/>
              </w:rPr>
              <w:t>: bit (1) &gt;</w:t>
            </w:r>
          </w:p>
          <w:p w14:paraId="0E5ADD8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w:t>
            </w:r>
            <w:r w:rsidRPr="004D0DAA">
              <w:rPr>
                <w:lang w:eastAsia="en-US"/>
              </w:rPr>
              <w:t>_</w:t>
            </w:r>
            <w:r w:rsidRPr="004D0DAA">
              <w:rPr>
                <w:b/>
                <w:lang w:eastAsia="en-US"/>
              </w:rPr>
              <w:t>RECEIVED_BLOCK_BITMAP</w:t>
            </w:r>
            <w:r w:rsidRPr="004D0DAA">
              <w:rPr>
                <w:lang w:eastAsia="en-US"/>
              </w:rPr>
              <w:t>: bit (val(</w:t>
            </w:r>
            <w:r w:rsidRPr="004D0DAA">
              <w:rPr>
                <w:b/>
                <w:lang w:eastAsia="en-US"/>
              </w:rPr>
              <w:t>COMPRESSED_BITMAP_LENGTH</w:t>
            </w:r>
            <w:r w:rsidRPr="004D0DAA">
              <w:rPr>
                <w:lang w:eastAsia="en-US"/>
              </w:rPr>
              <w:t>)) &gt;</w:t>
            </w:r>
          </w:p>
          <w:p w14:paraId="4EF24F3A"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lang w:eastAsia="en-US"/>
              </w:rPr>
              <w:t>UNCOMPRESSED_RECEIVED_BLOCK_BITMAP</w:t>
            </w:r>
            <w:r w:rsidRPr="004D0DAA">
              <w:rPr>
                <w:lang w:eastAsia="en-US"/>
              </w:rPr>
              <w:t>: bit** &gt; } ;</w:t>
            </w:r>
          </w:p>
          <w:p w14:paraId="40D63837" w14:textId="77777777" w:rsidR="00711444" w:rsidRPr="004D0DAA" w:rsidRDefault="00711444" w:rsidP="00AA2A4C">
            <w:pPr>
              <w:pStyle w:val="TAL"/>
              <w:rPr>
                <w:lang w:eastAsia="en-US"/>
              </w:rPr>
            </w:pPr>
          </w:p>
        </w:tc>
      </w:tr>
    </w:tbl>
    <w:p w14:paraId="6AAFBE1F" w14:textId="77777777" w:rsidR="00711444" w:rsidRPr="004D0DAA" w:rsidRDefault="00711444" w:rsidP="00711444"/>
    <w:p w14:paraId="731DA9D0" w14:textId="77777777" w:rsidR="00711444" w:rsidRPr="004D0DAA" w:rsidRDefault="00711444" w:rsidP="00711444">
      <w:pPr>
        <w:pStyle w:val="TH"/>
      </w:pPr>
      <w:r w:rsidRPr="004D0DAA">
        <w:t>Table 12.3.2.2: Ack/Nack Description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3CA876" w14:textId="77777777" w:rsidTr="00AA2A4C">
        <w:tblPrEx>
          <w:tblCellMar>
            <w:top w:w="0" w:type="dxa"/>
            <w:bottom w:w="0" w:type="dxa"/>
          </w:tblCellMar>
        </w:tblPrEx>
        <w:trPr>
          <w:cantSplit/>
        </w:trPr>
        <w:tc>
          <w:tcPr>
            <w:tcW w:w="9848" w:type="dxa"/>
          </w:tcPr>
          <w:p w14:paraId="540888BF" w14:textId="77777777" w:rsidR="00711444" w:rsidRPr="004D0DAA" w:rsidRDefault="00711444" w:rsidP="00AA2A4C">
            <w:pPr>
              <w:keepNext/>
              <w:keepLines/>
            </w:pPr>
            <w:r w:rsidRPr="004D0DAA">
              <w:rPr>
                <w:b/>
              </w:rPr>
              <w:t>BEGINNING_OF_WINDOW</w:t>
            </w:r>
            <w:r w:rsidRPr="004D0DAA">
              <w:t xml:space="preserve"> (BOW, 1 bit field)</w:t>
            </w:r>
            <w:r w:rsidRPr="004D0DAA">
              <w:br/>
              <w:t>This bit indicates whether the status of the RLC data block corresponding to V(Q) i.e. ‘0’ is included in the reported bitmap or not.</w:t>
            </w:r>
          </w:p>
          <w:p w14:paraId="6672EEB6" w14:textId="77777777" w:rsidR="00711444" w:rsidRPr="004D0DAA" w:rsidRDefault="00711444" w:rsidP="00AA2A4C">
            <w:pPr>
              <w:keepNext/>
              <w:keepLines/>
              <w:rPr>
                <w:b/>
              </w:rPr>
            </w:pPr>
            <w:r w:rsidRPr="004D0DAA">
              <w:t>0</w:t>
            </w:r>
            <w:r w:rsidRPr="004D0DAA">
              <w:tab/>
              <w:t>the reported bitmap does not cover V(Q)</w:t>
            </w:r>
            <w:r w:rsidRPr="004D0DAA">
              <w:br/>
              <w:t>1</w:t>
            </w:r>
            <w:r w:rsidRPr="004D0DAA">
              <w:tab/>
              <w:t xml:space="preserve">the reported bitmap covers V(Q) </w:t>
            </w:r>
          </w:p>
        </w:tc>
      </w:tr>
      <w:tr w:rsidR="00711444" w:rsidRPr="004D0DAA" w14:paraId="42D7563B" w14:textId="77777777" w:rsidTr="00AA2A4C">
        <w:tblPrEx>
          <w:tblCellMar>
            <w:top w:w="0" w:type="dxa"/>
            <w:bottom w:w="0" w:type="dxa"/>
          </w:tblCellMar>
        </w:tblPrEx>
        <w:trPr>
          <w:cantSplit/>
        </w:trPr>
        <w:tc>
          <w:tcPr>
            <w:tcW w:w="9848" w:type="dxa"/>
          </w:tcPr>
          <w:p w14:paraId="4C17A9BB" w14:textId="77777777" w:rsidR="00711444" w:rsidRPr="004D0DAA" w:rsidRDefault="00711444" w:rsidP="00AA2A4C">
            <w:pPr>
              <w:keepNext/>
              <w:keepLines/>
              <w:rPr>
                <w:b/>
              </w:rPr>
            </w:pPr>
            <w:r w:rsidRPr="004D0DAA">
              <w:rPr>
                <w:b/>
              </w:rPr>
              <w:t>END_OF_WINDOW</w:t>
            </w:r>
            <w:r w:rsidRPr="004D0DAA">
              <w:t xml:space="preserve"> (EOW, 1 bit field)</w:t>
            </w:r>
            <w:r w:rsidRPr="004D0DAA">
              <w:br/>
              <w:t>This bit indicates whether the end of the receiver window is included in the reported bitmap or not.</w:t>
            </w:r>
            <w:r w:rsidRPr="004D0DAA">
              <w:br/>
              <w:t>0</w:t>
            </w:r>
            <w:r w:rsidRPr="004D0DAA">
              <w:tab/>
              <w:t>[V(R) - 1] modulo SNS is not included in the reported bitmap.</w:t>
            </w:r>
            <w:r w:rsidRPr="004D0DAA">
              <w:br/>
              <w:t>1</w:t>
            </w:r>
            <w:r w:rsidRPr="004D0DAA">
              <w:tab/>
              <w:t>[V(R) - 1] modulo SNS is included in the reported bitmap.</w:t>
            </w:r>
          </w:p>
        </w:tc>
      </w:tr>
      <w:tr w:rsidR="00711444" w:rsidRPr="004D0DAA" w14:paraId="4A701ADC" w14:textId="77777777" w:rsidTr="00AA2A4C">
        <w:tblPrEx>
          <w:tblCellMar>
            <w:top w:w="0" w:type="dxa"/>
            <w:bottom w:w="0" w:type="dxa"/>
          </w:tblCellMar>
        </w:tblPrEx>
        <w:trPr>
          <w:cantSplit/>
        </w:trPr>
        <w:tc>
          <w:tcPr>
            <w:tcW w:w="9848" w:type="dxa"/>
          </w:tcPr>
          <w:p w14:paraId="5A13F378" w14:textId="77777777" w:rsidR="00711444" w:rsidRPr="004D0DAA" w:rsidRDefault="00711444" w:rsidP="00AA2A4C">
            <w:pPr>
              <w:rPr>
                <w:b/>
              </w:rPr>
            </w:pPr>
            <w:r w:rsidRPr="004D0DAA">
              <w:rPr>
                <w:b/>
              </w:rPr>
              <w:t xml:space="preserve">STARTING_SEQUENCE_NUMBER (SSN) </w:t>
            </w:r>
            <w:r w:rsidRPr="004D0DAA">
              <w:t>(10 bit field)</w:t>
            </w:r>
            <w:r w:rsidRPr="004D0DAA">
              <w:br/>
              <w:t>Range 0 to 1023</w:t>
            </w:r>
            <w:r w:rsidRPr="004D0DAA">
              <w:br/>
              <w:t>The SSN indicates the Block Sequence Number of the last RLC block for which the Ack/Nack receipt status is indicated within the reported bitmap.</w:t>
            </w:r>
          </w:p>
        </w:tc>
      </w:tr>
      <w:tr w:rsidR="00711444" w:rsidRPr="004D0DAA" w14:paraId="62E32352" w14:textId="77777777" w:rsidTr="00AA2A4C">
        <w:tblPrEx>
          <w:tblCellMar>
            <w:top w:w="0" w:type="dxa"/>
            <w:bottom w:w="0" w:type="dxa"/>
          </w:tblCellMar>
        </w:tblPrEx>
        <w:trPr>
          <w:cantSplit/>
        </w:trPr>
        <w:tc>
          <w:tcPr>
            <w:tcW w:w="9848" w:type="dxa"/>
          </w:tcPr>
          <w:p w14:paraId="49C342B6" w14:textId="77777777" w:rsidR="00711444" w:rsidRPr="004D0DAA" w:rsidRDefault="00711444" w:rsidP="00AA2A4C">
            <w:pPr>
              <w:rPr>
                <w:b/>
              </w:rPr>
            </w:pPr>
            <w:r w:rsidRPr="004D0DAA">
              <w:rPr>
                <w:b/>
              </w:rPr>
              <w:t>COMPRESSED_BITMAP_LENGTH (Lc)</w:t>
            </w:r>
            <w:r w:rsidRPr="004D0DAA">
              <w:rPr>
                <w:bCs/>
              </w:rPr>
              <w:t xml:space="preserve"> (7 bit field)</w:t>
            </w:r>
            <w:r w:rsidRPr="004D0DAA">
              <w:rPr>
                <w:b/>
              </w:rPr>
              <w:t xml:space="preserve"> </w:t>
            </w:r>
            <w:r w:rsidRPr="004D0DAA">
              <w:rPr>
                <w:b/>
              </w:rPr>
              <w:br/>
            </w:r>
            <w:r w:rsidRPr="004D0DAA">
              <w:t>Range 0 to 127</w:t>
            </w:r>
            <w:r w:rsidRPr="004D0DAA">
              <w:br/>
              <w:t>This field represents the length of the compressed bitmap. Compression is carried out using T.4 run length coding.</w:t>
            </w:r>
          </w:p>
        </w:tc>
      </w:tr>
      <w:tr w:rsidR="00711444" w:rsidRPr="004D0DAA" w14:paraId="237A8392" w14:textId="77777777" w:rsidTr="00AA2A4C">
        <w:tblPrEx>
          <w:tblCellMar>
            <w:top w:w="0" w:type="dxa"/>
            <w:bottom w:w="0" w:type="dxa"/>
          </w:tblCellMar>
        </w:tblPrEx>
        <w:trPr>
          <w:cantSplit/>
        </w:trPr>
        <w:tc>
          <w:tcPr>
            <w:tcW w:w="9848" w:type="dxa"/>
          </w:tcPr>
          <w:p w14:paraId="3ECEED83" w14:textId="77777777" w:rsidR="00711444" w:rsidRPr="004D0DAA" w:rsidRDefault="00711444" w:rsidP="00AA2A4C">
            <w:pPr>
              <w:rPr>
                <w:b/>
              </w:rPr>
            </w:pPr>
            <w:r w:rsidRPr="004D0DAA">
              <w:rPr>
                <w:b/>
              </w:rPr>
              <w:lastRenderedPageBreak/>
              <w:t>COMPRESSED_BITMAP_STARTING_COLOR_CODE</w:t>
            </w:r>
            <w:r w:rsidRPr="004D0DAA">
              <w:t xml:space="preserve"> (1 bit field)</w:t>
            </w:r>
            <w:r w:rsidRPr="004D0DAA">
              <w:br/>
              <w:t>This bit indicates if the first code word in the compressed bitmap (i.e. CRBB) represents a run length of ones or a run length of zeros.</w:t>
            </w:r>
            <w:r w:rsidRPr="004D0DAA">
              <w:br/>
              <w:t>0</w:t>
            </w:r>
            <w:r w:rsidRPr="004D0DAA">
              <w:tab/>
              <w:t>First code word in CRBB represents run length of zeros.</w:t>
            </w:r>
            <w:r w:rsidRPr="004D0DAA">
              <w:br/>
              <w:t>1</w:t>
            </w:r>
            <w:r w:rsidRPr="004D0DAA">
              <w:tab/>
              <w:t>First code word in CRBB represents run length of ones.</w:t>
            </w:r>
          </w:p>
        </w:tc>
      </w:tr>
      <w:tr w:rsidR="00711444" w:rsidRPr="004D0DAA" w14:paraId="641F9420" w14:textId="77777777" w:rsidTr="00AA2A4C">
        <w:tblPrEx>
          <w:tblCellMar>
            <w:top w:w="0" w:type="dxa"/>
            <w:bottom w:w="0" w:type="dxa"/>
          </w:tblCellMar>
        </w:tblPrEx>
        <w:trPr>
          <w:cantSplit/>
        </w:trPr>
        <w:tc>
          <w:tcPr>
            <w:tcW w:w="9848" w:type="dxa"/>
          </w:tcPr>
          <w:p w14:paraId="2E164EBC" w14:textId="77777777" w:rsidR="00711444" w:rsidRPr="004D0DAA" w:rsidRDefault="00711444" w:rsidP="00AA2A4C">
            <w:r w:rsidRPr="004D0DAA">
              <w:rPr>
                <w:b/>
              </w:rPr>
              <w:t>COMPRESSED_RECEIVE_BLOCK_BITMAP (CRBB)</w:t>
            </w:r>
            <w:r w:rsidRPr="004D0DAA">
              <w:t xml:space="preserve"> (</w:t>
            </w:r>
            <w:r w:rsidRPr="004D0DAA">
              <w:rPr>
                <w:iCs/>
              </w:rPr>
              <w:t xml:space="preserve">Lc </w:t>
            </w:r>
            <w:r w:rsidRPr="004D0DAA">
              <w:t>bit field)</w:t>
            </w:r>
            <w:r w:rsidRPr="004D0DAA">
              <w:br/>
              <w:t xml:space="preserve">The CRBB is a compressed bitmap. Compression is carried out starting at SSN-1 and going in decreasing order of the BSN, using modified T.4 run length coding. </w:t>
            </w:r>
          </w:p>
          <w:p w14:paraId="28D73BD8" w14:textId="77777777" w:rsidR="00711444" w:rsidRPr="004D0DAA" w:rsidRDefault="00711444" w:rsidP="00AA2A4C">
            <w:pPr>
              <w:rPr>
                <w:b/>
              </w:rPr>
            </w:pPr>
            <w:r w:rsidRPr="004D0DAA">
              <w:t>The packing order of the CRBB shall be such that the codeword (or pair of make up/terminating codewords) corresponding to the run including the SSN-1 starts at the least significant bit of the CRBB, and codewords (or pairs of make-up/terminating codewords) corresponding to runs including lowed and successively decreasing sequence numbers are placed in bits of successively increasing significance.</w:t>
            </w:r>
          </w:p>
        </w:tc>
      </w:tr>
      <w:tr w:rsidR="00711444" w:rsidRPr="004D0DAA" w14:paraId="2DF6F518" w14:textId="77777777" w:rsidTr="00AA2A4C">
        <w:tblPrEx>
          <w:tblCellMar>
            <w:top w:w="0" w:type="dxa"/>
            <w:bottom w:w="0" w:type="dxa"/>
          </w:tblCellMar>
        </w:tblPrEx>
        <w:trPr>
          <w:cantSplit/>
        </w:trPr>
        <w:tc>
          <w:tcPr>
            <w:tcW w:w="9848" w:type="dxa"/>
          </w:tcPr>
          <w:p w14:paraId="2A82747B" w14:textId="77777777" w:rsidR="00711444" w:rsidRPr="004D0DAA" w:rsidRDefault="00711444" w:rsidP="00AA2A4C">
            <w:pPr>
              <w:tabs>
                <w:tab w:val="left" w:pos="1418"/>
              </w:tabs>
            </w:pPr>
            <w:r w:rsidRPr="004D0DAA">
              <w:rPr>
                <w:b/>
              </w:rPr>
              <w:t>UNCOMPRESSED_RECEIVE_BLOCK_BITMAP (URBB)</w:t>
            </w:r>
            <w:r w:rsidRPr="004D0DAA">
              <w:t xml:space="preserve"> (Lu bit field)</w:t>
            </w:r>
            <w:r w:rsidRPr="004D0DAA">
              <w:br/>
              <w:t>The URBB is an uncompressed bitmap of length Lu bits.</w:t>
            </w:r>
          </w:p>
          <w:p w14:paraId="69BB58E4" w14:textId="77777777" w:rsidR="00711444" w:rsidRPr="004D0DAA" w:rsidRDefault="00711444" w:rsidP="00AA2A4C">
            <w:r w:rsidRPr="004D0DAA">
              <w:t>The bits in URBB, denoted here by index i, are numbered from i=1 (highest order value i.e. corresponding to SSN-1) to i=Lu (lowest order value). The value of each bit in the bitmap is encoded as following:</w:t>
            </w:r>
          </w:p>
          <w:p w14:paraId="534E043C" w14:textId="77777777" w:rsidR="00711444" w:rsidRPr="004D0DAA" w:rsidRDefault="00711444" w:rsidP="00AA2A4C">
            <w:pPr>
              <w:pStyle w:val="FP"/>
              <w:ind w:left="851" w:hanging="567"/>
            </w:pPr>
            <w:r w:rsidRPr="004D0DAA">
              <w:t>0</w:t>
            </w:r>
            <w:r w:rsidRPr="004D0DAA">
              <w:tab/>
              <w:t xml:space="preserve">Negative acknowledgement of the RLC data block with BSN = (SSN - 1 - i) modulo SNS, and </w:t>
            </w:r>
          </w:p>
          <w:p w14:paraId="730550BA" w14:textId="77777777" w:rsidR="00711444" w:rsidRPr="004D0DAA" w:rsidRDefault="00711444" w:rsidP="00AA2A4C">
            <w:pPr>
              <w:pStyle w:val="FP"/>
              <w:ind w:left="851" w:hanging="567"/>
            </w:pPr>
            <w:r w:rsidRPr="004D0DAA">
              <w:t>1</w:t>
            </w:r>
            <w:r w:rsidRPr="004D0DAA">
              <w:tab/>
              <w:t>Positive acknowledgement of the RLC data block with BSN = (SSN - 1 - i) modulo SNS</w:t>
            </w:r>
          </w:p>
        </w:tc>
      </w:tr>
    </w:tbl>
    <w:p w14:paraId="76256791" w14:textId="77777777" w:rsidR="00711444" w:rsidRPr="004D0DAA" w:rsidRDefault="00711444" w:rsidP="00711444"/>
    <w:p w14:paraId="14031B51" w14:textId="77777777" w:rsidR="00711444" w:rsidRPr="004D0DAA" w:rsidRDefault="00711444" w:rsidP="00711444">
      <w:pPr>
        <w:pStyle w:val="Heading3"/>
      </w:pPr>
      <w:bookmarkStart w:id="758" w:name="_Toc516669934"/>
      <w:r w:rsidRPr="004D0DAA">
        <w:t>12.3.3</w:t>
      </w:r>
      <w:r w:rsidRPr="004D0DAA">
        <w:tab/>
        <w:t>EGPRS Ack/Nack Description DLMC</w:t>
      </w:r>
      <w:bookmarkEnd w:id="758"/>
    </w:p>
    <w:p w14:paraId="563BACCB" w14:textId="77777777" w:rsidR="00711444" w:rsidRPr="004D0DAA" w:rsidRDefault="00711444" w:rsidP="00711444">
      <w:r w:rsidRPr="004D0DAA">
        <w:t>The EGPRS Ack/Nack Description DLMC information element contains the RLC parameters used to acknowledge or negatively acknowledge a group of RLC data blocks for a DLMC configuration. The number of bits available for the bitmap depends on the inclusion or exclusion of other information elements in the used message.</w:t>
      </w:r>
    </w:p>
    <w:p w14:paraId="4A60D4B1" w14:textId="77777777" w:rsidR="00711444" w:rsidRPr="004D0DAA" w:rsidRDefault="00711444" w:rsidP="00711444">
      <w:pPr>
        <w:pStyle w:val="TH"/>
      </w:pPr>
      <w:r w:rsidRPr="004D0DAA">
        <w:t>Table 12.3.3.1: EGPRS Ack/Nack Description DLMC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129375B" w14:textId="77777777" w:rsidTr="00AA2A4C">
        <w:tblPrEx>
          <w:tblCellMar>
            <w:top w:w="0" w:type="dxa"/>
            <w:bottom w:w="0" w:type="dxa"/>
          </w:tblCellMar>
        </w:tblPrEx>
        <w:trPr>
          <w:cantSplit/>
        </w:trPr>
        <w:tc>
          <w:tcPr>
            <w:tcW w:w="9848" w:type="dxa"/>
          </w:tcPr>
          <w:p w14:paraId="7FCC682F" w14:textId="77777777" w:rsidR="00711444" w:rsidRPr="004D0DAA" w:rsidRDefault="00711444" w:rsidP="00AA2A4C">
            <w:pPr>
              <w:pStyle w:val="TAL"/>
              <w:rPr>
                <w:lang w:eastAsia="en-US"/>
              </w:rPr>
            </w:pPr>
            <w:r w:rsidRPr="004D0DAA">
              <w:rPr>
                <w:lang w:eastAsia="en-US"/>
              </w:rPr>
              <w:t>&lt; EGPRS Ack/Nack Description DLMC IE &gt; ::=</w:t>
            </w:r>
          </w:p>
          <w:p w14:paraId="5FC5C3C4" w14:textId="77777777" w:rsidR="00711444" w:rsidRPr="004D0DAA" w:rsidRDefault="00711444" w:rsidP="00AA2A4C">
            <w:pPr>
              <w:pStyle w:val="TAL"/>
              <w:rPr>
                <w:lang w:eastAsia="en-US"/>
              </w:rPr>
            </w:pPr>
            <w:r w:rsidRPr="004D0DAA">
              <w:rPr>
                <w:lang w:eastAsia="en-US"/>
              </w:rPr>
              <w:tab/>
            </w:r>
            <w:r w:rsidRPr="004D0DAA">
              <w:rPr>
                <w:lang w:eastAsia="en-US"/>
              </w:rPr>
              <w:tab/>
              <w:t>0</w:t>
            </w:r>
            <w:r w:rsidRPr="004D0DAA">
              <w:rPr>
                <w:lang w:eastAsia="en-US"/>
              </w:rPr>
              <w:tab/>
              <w:t>&lt; EGPRS Ack/Nack Description struct &gt;</w:t>
            </w:r>
            <w:r w:rsidRPr="004D0DAA">
              <w:rPr>
                <w:lang w:eastAsia="en-US"/>
              </w:rPr>
              <w:tab/>
              <w:t xml:space="preserve">-- </w:t>
            </w:r>
            <w:r w:rsidRPr="004D0DAA">
              <w:rPr>
                <w:i/>
                <w:lang w:eastAsia="en-US"/>
              </w:rPr>
              <w:t>This IE fills rest of message</w:t>
            </w:r>
          </w:p>
          <w:p w14:paraId="40F4173C"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Length </w:t>
            </w:r>
            <w:r w:rsidRPr="004D0DAA">
              <w:rPr>
                <w:b/>
                <w:lang w:eastAsia="en-US"/>
              </w:rPr>
              <w:t>L</w:t>
            </w:r>
            <w:r w:rsidRPr="004D0DAA">
              <w:rPr>
                <w:lang w:eastAsia="en-US"/>
              </w:rPr>
              <w:t xml:space="preserve"> : bit (8)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 xml:space="preserve">Value part of this IE is of length </w:t>
            </w:r>
            <w:r w:rsidRPr="004D0DAA">
              <w:rPr>
                <w:b/>
                <w:i/>
                <w:lang w:eastAsia="en-US"/>
              </w:rPr>
              <w:t>L</w:t>
            </w:r>
          </w:p>
          <w:p w14:paraId="6F2C3B4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&lt; bit (val(Length </w:t>
            </w:r>
            <w:r w:rsidRPr="004D0DAA">
              <w:rPr>
                <w:b/>
                <w:lang w:eastAsia="en-US"/>
              </w:rPr>
              <w:t>L</w:t>
            </w:r>
            <w:r w:rsidRPr="004D0DAA">
              <w:rPr>
                <w:lang w:eastAsia="en-US"/>
              </w:rPr>
              <w:t>)) &gt; &amp; &lt; EGPRS Ack/Nack Description struct &gt; } ;</w:t>
            </w:r>
          </w:p>
          <w:p w14:paraId="0EE9FA04" w14:textId="77777777" w:rsidR="00711444" w:rsidRPr="004D0DAA" w:rsidRDefault="00711444" w:rsidP="00AA2A4C">
            <w:pPr>
              <w:pStyle w:val="TAL"/>
              <w:rPr>
                <w:lang w:eastAsia="en-US"/>
              </w:rPr>
            </w:pPr>
          </w:p>
        </w:tc>
      </w:tr>
      <w:tr w:rsidR="00711444" w:rsidRPr="004D0DAA" w14:paraId="44B13932" w14:textId="77777777" w:rsidTr="00AA2A4C">
        <w:tblPrEx>
          <w:tblCellMar>
            <w:top w:w="0" w:type="dxa"/>
            <w:bottom w:w="0" w:type="dxa"/>
          </w:tblCellMar>
        </w:tblPrEx>
        <w:trPr>
          <w:cantSplit/>
        </w:trPr>
        <w:tc>
          <w:tcPr>
            <w:tcW w:w="9848" w:type="dxa"/>
          </w:tcPr>
          <w:p w14:paraId="653D77F8" w14:textId="77777777" w:rsidR="00711444" w:rsidRPr="004D0DAA" w:rsidRDefault="00711444" w:rsidP="00AA2A4C">
            <w:pPr>
              <w:pStyle w:val="TAL"/>
              <w:rPr>
                <w:lang w:eastAsia="en-US"/>
              </w:rPr>
            </w:pPr>
            <w:r w:rsidRPr="004D0DAA">
              <w:rPr>
                <w:lang w:eastAsia="en-US"/>
              </w:rPr>
              <w:t>&lt; EGPRS Ack/Nack Description struct &gt; ::=</w:t>
            </w:r>
          </w:p>
          <w:p w14:paraId="0230641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b/>
                <w:lang w:eastAsia="en-US"/>
              </w:rPr>
              <w:t>&lt;</w:t>
            </w:r>
            <w:r w:rsidRPr="004D0DAA">
              <w:rPr>
                <w:lang w:eastAsia="en-US"/>
              </w:rPr>
              <w:t xml:space="preserve"> </w:t>
            </w:r>
            <w:r w:rsidRPr="004D0DAA">
              <w:rPr>
                <w:b/>
                <w:lang w:eastAsia="en-US"/>
              </w:rPr>
              <w:t>FINAL_ACK_INDICATION</w:t>
            </w:r>
            <w:r w:rsidRPr="004D0DAA">
              <w:rPr>
                <w:lang w:eastAsia="en-US"/>
              </w:rPr>
              <w:t xml:space="preserve"> : bit (1) &gt;</w:t>
            </w:r>
          </w:p>
          <w:p w14:paraId="157CE85A" w14:textId="77777777" w:rsidR="00711444" w:rsidRPr="004D0DAA" w:rsidRDefault="00711444" w:rsidP="00AA2A4C">
            <w:pPr>
              <w:pStyle w:val="TAL"/>
              <w:rPr>
                <w:lang w:eastAsia="en-US"/>
              </w:rPr>
            </w:pPr>
            <w:r w:rsidRPr="004D0DAA">
              <w:rPr>
                <w:b/>
                <w:lang w:eastAsia="en-US"/>
              </w:rPr>
              <w:tab/>
            </w:r>
            <w:r w:rsidRPr="004D0DAA">
              <w:rPr>
                <w:b/>
                <w:lang w:eastAsia="en-US"/>
              </w:rPr>
              <w:tab/>
              <w:t>&lt;</w:t>
            </w:r>
            <w:r w:rsidRPr="004D0DAA">
              <w:rPr>
                <w:lang w:eastAsia="en-US"/>
              </w:rPr>
              <w:t xml:space="preserve"> </w:t>
            </w:r>
            <w:r w:rsidRPr="004D0DAA">
              <w:rPr>
                <w:b/>
                <w:lang w:eastAsia="en-US"/>
              </w:rPr>
              <w:t>BEGINNING_OF_WINDOW</w:t>
            </w:r>
            <w:r w:rsidRPr="004D0DAA">
              <w:rPr>
                <w:lang w:eastAsia="en-US"/>
              </w:rPr>
              <w:t xml:space="preserve"> : bit (1) &gt;</w:t>
            </w:r>
          </w:p>
          <w:p w14:paraId="73EA934B" w14:textId="77777777" w:rsidR="00711444" w:rsidRPr="004D0DAA" w:rsidRDefault="00711444" w:rsidP="00AA2A4C">
            <w:pPr>
              <w:pStyle w:val="TAL"/>
              <w:rPr>
                <w:lang w:eastAsia="en-US"/>
              </w:rPr>
            </w:pPr>
            <w:r w:rsidRPr="004D0DAA">
              <w:rPr>
                <w:b/>
                <w:lang w:eastAsia="en-US"/>
              </w:rPr>
              <w:tab/>
            </w:r>
            <w:r w:rsidRPr="004D0DAA">
              <w:rPr>
                <w:b/>
                <w:lang w:eastAsia="en-US"/>
              </w:rPr>
              <w:tab/>
              <w:t>&lt;</w:t>
            </w:r>
            <w:r w:rsidRPr="004D0DAA">
              <w:rPr>
                <w:lang w:eastAsia="en-US"/>
              </w:rPr>
              <w:t xml:space="preserve"> </w:t>
            </w:r>
            <w:r w:rsidRPr="004D0DAA">
              <w:rPr>
                <w:b/>
                <w:lang w:eastAsia="en-US"/>
              </w:rPr>
              <w:t xml:space="preserve">END_OF_WINDOW </w:t>
            </w:r>
            <w:r w:rsidRPr="004D0DAA">
              <w:rPr>
                <w:lang w:eastAsia="en-US"/>
              </w:rPr>
              <w:t>: bit (1) &gt;</w:t>
            </w:r>
          </w:p>
          <w:p w14:paraId="0921A9D9" w14:textId="77777777" w:rsidR="00711444" w:rsidRPr="004D0DAA" w:rsidRDefault="00711444" w:rsidP="00AA2A4C">
            <w:pPr>
              <w:pStyle w:val="TAL"/>
              <w:rPr>
                <w:lang w:eastAsia="en-US"/>
              </w:rPr>
            </w:pPr>
            <w:r w:rsidRPr="004D0DAA">
              <w:rPr>
                <w:lang w:eastAsia="en-US"/>
              </w:rPr>
              <w:tab/>
            </w:r>
            <w:r w:rsidRPr="004D0DAA">
              <w:rPr>
                <w:lang w:eastAsia="en-US"/>
              </w:rPr>
              <w:tab/>
              <w:t xml:space="preserve">{ 0 &lt; </w:t>
            </w:r>
            <w:r w:rsidRPr="004D0DAA">
              <w:rPr>
                <w:b/>
                <w:lang w:eastAsia="en-US"/>
              </w:rPr>
              <w:t>STARTING_SEQUENCE_NUMBER</w:t>
            </w:r>
            <w:r w:rsidRPr="004D0DAA">
              <w:rPr>
                <w:lang w:eastAsia="en-US"/>
              </w:rPr>
              <w:t xml:space="preserve"> : bit (11) &gt; </w:t>
            </w:r>
          </w:p>
          <w:p w14:paraId="6B7D98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STARTING_SEQUENCE_NUMBER</w:t>
            </w:r>
            <w:r w:rsidRPr="004D0DAA">
              <w:rPr>
                <w:lang w:eastAsia="en-US"/>
              </w:rPr>
              <w:t xml:space="preserve"> : bit (13) }</w:t>
            </w:r>
          </w:p>
          <w:p w14:paraId="4C453A2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COMPRESSED_BITMAP_LENGTH</w:t>
            </w:r>
            <w:r w:rsidRPr="004D0DAA">
              <w:rPr>
                <w:lang w:eastAsia="en-US"/>
              </w:rPr>
              <w:t>: bit (8) &gt;</w:t>
            </w:r>
          </w:p>
          <w:p w14:paraId="16D5427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COMPRESSED_BITMAP_STARTING_COLOR_CODE</w:t>
            </w:r>
            <w:r w:rsidRPr="004D0DAA">
              <w:rPr>
                <w:lang w:eastAsia="en-US"/>
              </w:rPr>
              <w:t>: bit (1) &gt;</w:t>
            </w:r>
          </w:p>
          <w:p w14:paraId="0E64781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COMPRESSED</w:t>
            </w:r>
            <w:r w:rsidRPr="004D0DAA">
              <w:rPr>
                <w:lang w:eastAsia="en-US"/>
              </w:rPr>
              <w:t>_</w:t>
            </w:r>
            <w:r w:rsidRPr="004D0DAA">
              <w:rPr>
                <w:b/>
                <w:lang w:eastAsia="en-US"/>
              </w:rPr>
              <w:t>RECEIVED_BLOCK_BITMAP</w:t>
            </w:r>
            <w:r w:rsidRPr="004D0DAA">
              <w:rPr>
                <w:lang w:eastAsia="en-US"/>
              </w:rPr>
              <w:t xml:space="preserve"> : </w:t>
            </w:r>
            <w:r w:rsidRPr="004D0DAA">
              <w:rPr>
                <w:lang w:eastAsia="en-US"/>
              </w:rPr>
              <w:br/>
            </w:r>
            <w:r w:rsidRPr="004D0DAA">
              <w:rPr>
                <w:lang w:eastAsia="en-US"/>
              </w:rPr>
              <w:tab/>
            </w:r>
            <w:r w:rsidRPr="004D0DAA">
              <w:rPr>
                <w:lang w:eastAsia="en-US"/>
              </w:rPr>
              <w:tab/>
            </w:r>
            <w:r w:rsidRPr="004D0DAA">
              <w:rPr>
                <w:lang w:eastAsia="en-US"/>
              </w:rPr>
              <w:tab/>
            </w:r>
            <w:r w:rsidRPr="004D0DAA">
              <w:rPr>
                <w:lang w:eastAsia="en-US"/>
              </w:rPr>
              <w:tab/>
              <w:t>bit (val(</w:t>
            </w:r>
            <w:r w:rsidRPr="004D0DAA">
              <w:rPr>
                <w:b/>
                <w:lang w:eastAsia="en-US"/>
              </w:rPr>
              <w:t>COMPRESSED_BITMAP_LENGTH</w:t>
            </w:r>
            <w:r w:rsidRPr="004D0DAA">
              <w:rPr>
                <w:lang w:eastAsia="en-US"/>
              </w:rPr>
              <w:t>)) &gt; }</w:t>
            </w:r>
          </w:p>
          <w:p w14:paraId="3F6023E2"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UNCOMPRESSED_RECEIVED_BLOCK_BITMAP</w:t>
            </w:r>
            <w:r w:rsidRPr="004D0DAA">
              <w:rPr>
                <w:lang w:eastAsia="en-US"/>
              </w:rPr>
              <w:t>: bit** &gt; ;</w:t>
            </w:r>
          </w:p>
          <w:p w14:paraId="664D75E8" w14:textId="77777777" w:rsidR="00711444" w:rsidRPr="004D0DAA" w:rsidRDefault="00711444" w:rsidP="00AA2A4C">
            <w:pPr>
              <w:pStyle w:val="TAL"/>
              <w:rPr>
                <w:lang w:eastAsia="en-US"/>
              </w:rPr>
            </w:pPr>
          </w:p>
        </w:tc>
      </w:tr>
    </w:tbl>
    <w:p w14:paraId="5DEC0CED" w14:textId="77777777" w:rsidR="00711444" w:rsidRPr="004D0DAA" w:rsidRDefault="00711444" w:rsidP="00711444"/>
    <w:p w14:paraId="43B8D12A" w14:textId="77777777" w:rsidR="00711444" w:rsidRPr="004D0DAA" w:rsidRDefault="00711444" w:rsidP="00711444">
      <w:pPr>
        <w:pStyle w:val="TH"/>
      </w:pPr>
      <w:r w:rsidRPr="004D0DAA">
        <w:lastRenderedPageBreak/>
        <w:t>Table 12.3.3.2: EGPRS Ack/Nack Description DLMC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678F46A" w14:textId="77777777" w:rsidTr="00AA2A4C">
        <w:tblPrEx>
          <w:tblCellMar>
            <w:top w:w="0" w:type="dxa"/>
            <w:bottom w:w="0" w:type="dxa"/>
          </w:tblCellMar>
        </w:tblPrEx>
        <w:trPr>
          <w:cantSplit/>
        </w:trPr>
        <w:tc>
          <w:tcPr>
            <w:tcW w:w="9848" w:type="dxa"/>
          </w:tcPr>
          <w:p w14:paraId="243D15C5" w14:textId="77777777" w:rsidR="00711444" w:rsidRPr="004D0DAA" w:rsidRDefault="00711444" w:rsidP="00AA2A4C">
            <w:pPr>
              <w:keepNext/>
              <w:keepLines/>
              <w:rPr>
                <w:b/>
              </w:rPr>
            </w:pPr>
            <w:r w:rsidRPr="004D0DAA">
              <w:rPr>
                <w:b/>
              </w:rPr>
              <w:t>LENGTH L</w:t>
            </w:r>
            <w:r w:rsidRPr="004D0DAA">
              <w:t xml:space="preserve"> (8 bit field) </w:t>
            </w:r>
            <w:r w:rsidRPr="004D0DAA">
              <w:rPr>
                <w:b/>
              </w:rPr>
              <w:br/>
            </w:r>
            <w:r w:rsidRPr="004D0DAA">
              <w:t>See sub-clause 12.3.1.</w:t>
            </w:r>
          </w:p>
        </w:tc>
      </w:tr>
      <w:tr w:rsidR="00711444" w:rsidRPr="004D0DAA" w14:paraId="79B87805" w14:textId="77777777" w:rsidTr="00AA2A4C">
        <w:tblPrEx>
          <w:tblCellMar>
            <w:top w:w="0" w:type="dxa"/>
            <w:bottom w:w="0" w:type="dxa"/>
          </w:tblCellMar>
        </w:tblPrEx>
        <w:trPr>
          <w:cantSplit/>
        </w:trPr>
        <w:tc>
          <w:tcPr>
            <w:tcW w:w="9848" w:type="dxa"/>
          </w:tcPr>
          <w:p w14:paraId="79457C24" w14:textId="77777777" w:rsidR="00711444" w:rsidRPr="004D0DAA" w:rsidRDefault="00711444" w:rsidP="00AA2A4C">
            <w:pPr>
              <w:keepNext/>
              <w:keepLines/>
              <w:rPr>
                <w:b/>
              </w:rPr>
            </w:pPr>
            <w:r w:rsidRPr="004D0DAA">
              <w:rPr>
                <w:b/>
              </w:rPr>
              <w:t>FINAL_ACK_INDICATION</w:t>
            </w:r>
            <w:r w:rsidRPr="004D0DAA">
              <w:t xml:space="preserve"> (1 bit field)</w:t>
            </w:r>
            <w:r w:rsidRPr="004D0DAA">
              <w:br/>
              <w:t>See sub-clause 12.3.1.</w:t>
            </w:r>
          </w:p>
        </w:tc>
      </w:tr>
      <w:tr w:rsidR="00711444" w:rsidRPr="004D0DAA" w14:paraId="44C3C083" w14:textId="77777777" w:rsidTr="00AA2A4C">
        <w:tblPrEx>
          <w:tblCellMar>
            <w:top w:w="0" w:type="dxa"/>
            <w:bottom w:w="0" w:type="dxa"/>
          </w:tblCellMar>
        </w:tblPrEx>
        <w:trPr>
          <w:cantSplit/>
        </w:trPr>
        <w:tc>
          <w:tcPr>
            <w:tcW w:w="9848" w:type="dxa"/>
          </w:tcPr>
          <w:p w14:paraId="34E15D44" w14:textId="77777777" w:rsidR="00711444" w:rsidRPr="004D0DAA" w:rsidRDefault="00711444" w:rsidP="00AA2A4C">
            <w:pPr>
              <w:keepNext/>
              <w:keepLines/>
              <w:rPr>
                <w:b/>
              </w:rPr>
            </w:pPr>
            <w:r w:rsidRPr="004D0DAA">
              <w:rPr>
                <w:b/>
              </w:rPr>
              <w:t>BEGINNING_OF_WINDOW</w:t>
            </w:r>
            <w:r w:rsidRPr="004D0DAA">
              <w:t xml:space="preserve"> (BOW, 1 bit field)</w:t>
            </w:r>
            <w:r w:rsidRPr="004D0DAA">
              <w:br/>
              <w:t>See sub-clause 12.3.1.</w:t>
            </w:r>
          </w:p>
        </w:tc>
      </w:tr>
      <w:tr w:rsidR="00711444" w:rsidRPr="004D0DAA" w14:paraId="089B33C9" w14:textId="77777777" w:rsidTr="00AA2A4C">
        <w:tblPrEx>
          <w:tblCellMar>
            <w:top w:w="0" w:type="dxa"/>
            <w:bottom w:w="0" w:type="dxa"/>
          </w:tblCellMar>
        </w:tblPrEx>
        <w:trPr>
          <w:cantSplit/>
        </w:trPr>
        <w:tc>
          <w:tcPr>
            <w:tcW w:w="9848" w:type="dxa"/>
          </w:tcPr>
          <w:p w14:paraId="24BD2E05" w14:textId="77777777" w:rsidR="00711444" w:rsidRPr="004D0DAA" w:rsidRDefault="00711444" w:rsidP="00AA2A4C">
            <w:pPr>
              <w:rPr>
                <w:b/>
              </w:rPr>
            </w:pPr>
            <w:r w:rsidRPr="004D0DAA">
              <w:rPr>
                <w:b/>
              </w:rPr>
              <w:t xml:space="preserve">END_OF_WINDOW </w:t>
            </w:r>
            <w:r w:rsidRPr="004D0DAA">
              <w:t>(EOW, 1 bit field)</w:t>
            </w:r>
            <w:r w:rsidRPr="004D0DAA">
              <w:br/>
              <w:t>See sub-clause 12.3.1.</w:t>
            </w:r>
          </w:p>
        </w:tc>
      </w:tr>
      <w:tr w:rsidR="00711444" w:rsidRPr="004D0DAA" w14:paraId="14047E75" w14:textId="77777777" w:rsidTr="00AA2A4C">
        <w:tblPrEx>
          <w:tblCellMar>
            <w:top w:w="0" w:type="dxa"/>
            <w:bottom w:w="0" w:type="dxa"/>
          </w:tblCellMar>
        </w:tblPrEx>
        <w:trPr>
          <w:cantSplit/>
        </w:trPr>
        <w:tc>
          <w:tcPr>
            <w:tcW w:w="9848" w:type="dxa"/>
          </w:tcPr>
          <w:p w14:paraId="451E61D0" w14:textId="77777777" w:rsidR="00711444" w:rsidRPr="004D0DAA" w:rsidRDefault="00711444" w:rsidP="00AA2A4C">
            <w:r w:rsidRPr="004D0DAA">
              <w:rPr>
                <w:b/>
              </w:rPr>
              <w:t xml:space="preserve">STARTING_SEQUENCE_NUMBER (SSN) </w:t>
            </w:r>
            <w:r w:rsidRPr="004D0DAA">
              <w:t>(11 bit field)</w:t>
            </w:r>
            <w:r w:rsidRPr="004D0DAA">
              <w:br/>
              <w:t>This value is included when a DLMC configuration uses a SNS of 2048 (see sub-clause 5.13).</w:t>
            </w:r>
          </w:p>
          <w:p w14:paraId="399B4074" w14:textId="77777777" w:rsidR="00711444" w:rsidRPr="004D0DAA" w:rsidRDefault="00711444" w:rsidP="00AA2A4C">
            <w:pPr>
              <w:rPr>
                <w:b/>
              </w:rPr>
            </w:pPr>
            <w:r w:rsidRPr="004D0DAA">
              <w:t xml:space="preserve"> Range 0 to 2047</w:t>
            </w:r>
            <w:r w:rsidRPr="004D0DAA">
              <w:br/>
              <w:t xml:space="preserve">The SSN indicates the Block Sequence Number of the first RLC block for which the Ack/Nack receipt status is indicated within the bitmap. The SSN is determined using S/P, PBSN and </w:t>
            </w:r>
            <w:r w:rsidRPr="004D0DAA">
              <w:rPr>
                <w:i/>
              </w:rPr>
              <w:t>V(Q).</w:t>
            </w:r>
          </w:p>
        </w:tc>
      </w:tr>
      <w:tr w:rsidR="00711444" w:rsidRPr="004D0DAA" w14:paraId="1BD71632" w14:textId="77777777" w:rsidTr="00AA2A4C">
        <w:tblPrEx>
          <w:tblCellMar>
            <w:top w:w="0" w:type="dxa"/>
            <w:bottom w:w="0" w:type="dxa"/>
          </w:tblCellMar>
        </w:tblPrEx>
        <w:trPr>
          <w:cantSplit/>
        </w:trPr>
        <w:tc>
          <w:tcPr>
            <w:tcW w:w="9848" w:type="dxa"/>
          </w:tcPr>
          <w:p w14:paraId="0B73F997" w14:textId="77777777" w:rsidR="00711444" w:rsidRPr="004D0DAA" w:rsidRDefault="00711444" w:rsidP="00AA2A4C">
            <w:r w:rsidRPr="004D0DAA">
              <w:rPr>
                <w:b/>
              </w:rPr>
              <w:t xml:space="preserve">STARTING_SEQUENCE_NUMBER (SSN) </w:t>
            </w:r>
            <w:r w:rsidRPr="004D0DAA">
              <w:t>(13 bit field)</w:t>
            </w:r>
            <w:r w:rsidRPr="004D0DAA">
              <w:br/>
              <w:t>This value is included when a DLMC configuration uses a SNS of 8192 (see sub-clause 5.13).</w:t>
            </w:r>
          </w:p>
          <w:p w14:paraId="7B3ADA56" w14:textId="77777777" w:rsidR="00711444" w:rsidRPr="004D0DAA" w:rsidRDefault="00711444" w:rsidP="00AA2A4C">
            <w:pPr>
              <w:rPr>
                <w:b/>
              </w:rPr>
            </w:pPr>
            <w:r w:rsidRPr="004D0DAA">
              <w:t>Range 0 to 8191</w:t>
            </w:r>
            <w:r w:rsidRPr="004D0DAA">
              <w:br/>
              <w:t xml:space="preserve">The SSN indicates the Block Sequence Number of the first RLC block for which the Ack/Nack receipt status is indicated within the bitmap. The SSN is determined using S/P, PBSN and </w:t>
            </w:r>
            <w:r w:rsidRPr="004D0DAA">
              <w:rPr>
                <w:i/>
              </w:rPr>
              <w:t>V(Q).</w:t>
            </w:r>
          </w:p>
        </w:tc>
      </w:tr>
      <w:tr w:rsidR="00711444" w:rsidRPr="004D0DAA" w14:paraId="055A902A" w14:textId="77777777" w:rsidTr="00AA2A4C">
        <w:tblPrEx>
          <w:tblCellMar>
            <w:top w:w="0" w:type="dxa"/>
            <w:bottom w:w="0" w:type="dxa"/>
          </w:tblCellMar>
        </w:tblPrEx>
        <w:trPr>
          <w:cantSplit/>
        </w:trPr>
        <w:tc>
          <w:tcPr>
            <w:tcW w:w="9848" w:type="dxa"/>
          </w:tcPr>
          <w:p w14:paraId="257B46DF" w14:textId="77777777" w:rsidR="00711444" w:rsidRPr="004D0DAA" w:rsidRDefault="00711444" w:rsidP="00AA2A4C">
            <w:pPr>
              <w:rPr>
                <w:b/>
              </w:rPr>
            </w:pPr>
            <w:r w:rsidRPr="004D0DAA">
              <w:rPr>
                <w:b/>
              </w:rPr>
              <w:t>COMPRESSED_BITMAP_LENGTH (Lc)</w:t>
            </w:r>
            <w:r w:rsidRPr="004D0DAA">
              <w:rPr>
                <w:bCs/>
              </w:rPr>
              <w:t xml:space="preserve"> (7 bit field)</w:t>
            </w:r>
            <w:r w:rsidRPr="004D0DAA">
              <w:rPr>
                <w:b/>
              </w:rPr>
              <w:t xml:space="preserve"> </w:t>
            </w:r>
            <w:r w:rsidRPr="004D0DAA">
              <w:rPr>
                <w:b/>
              </w:rPr>
              <w:br/>
            </w:r>
            <w:r w:rsidRPr="004D0DAA">
              <w:t>See sub-clause 12.3.1.</w:t>
            </w:r>
          </w:p>
        </w:tc>
      </w:tr>
      <w:tr w:rsidR="00711444" w:rsidRPr="004D0DAA" w14:paraId="416268A9" w14:textId="77777777" w:rsidTr="00AA2A4C">
        <w:tblPrEx>
          <w:tblCellMar>
            <w:top w:w="0" w:type="dxa"/>
            <w:bottom w:w="0" w:type="dxa"/>
          </w:tblCellMar>
        </w:tblPrEx>
        <w:trPr>
          <w:cantSplit/>
        </w:trPr>
        <w:tc>
          <w:tcPr>
            <w:tcW w:w="9848" w:type="dxa"/>
          </w:tcPr>
          <w:p w14:paraId="7E5942BE" w14:textId="77777777" w:rsidR="00711444" w:rsidRPr="004D0DAA" w:rsidRDefault="00711444" w:rsidP="00AA2A4C">
            <w:pPr>
              <w:rPr>
                <w:b/>
              </w:rPr>
            </w:pPr>
            <w:r w:rsidRPr="004D0DAA">
              <w:rPr>
                <w:b/>
              </w:rPr>
              <w:t>COMPRESSED_BITMAP_STARTING_COLOR_CODE</w:t>
            </w:r>
            <w:r w:rsidRPr="004D0DAA">
              <w:t xml:space="preserve"> (1 bit field)</w:t>
            </w:r>
            <w:r w:rsidRPr="004D0DAA">
              <w:br/>
              <w:t>See sub-clause 12.3.1.</w:t>
            </w:r>
          </w:p>
        </w:tc>
      </w:tr>
      <w:tr w:rsidR="00711444" w:rsidRPr="004D0DAA" w14:paraId="38B64492" w14:textId="77777777" w:rsidTr="00AA2A4C">
        <w:tblPrEx>
          <w:tblCellMar>
            <w:top w:w="0" w:type="dxa"/>
            <w:bottom w:w="0" w:type="dxa"/>
          </w:tblCellMar>
        </w:tblPrEx>
        <w:trPr>
          <w:cantSplit/>
        </w:trPr>
        <w:tc>
          <w:tcPr>
            <w:tcW w:w="9848" w:type="dxa"/>
          </w:tcPr>
          <w:p w14:paraId="7755FC20" w14:textId="77777777" w:rsidR="00711444" w:rsidRPr="004D0DAA" w:rsidRDefault="00711444" w:rsidP="00AA2A4C">
            <w:pPr>
              <w:rPr>
                <w:b/>
              </w:rPr>
            </w:pPr>
            <w:r w:rsidRPr="004D0DAA">
              <w:rPr>
                <w:b/>
              </w:rPr>
              <w:t>COMPRESSED_RECEIVE_BLOCK_BITMAP (CRBB)</w:t>
            </w:r>
            <w:r w:rsidRPr="004D0DAA">
              <w:t xml:space="preserve"> (</w:t>
            </w:r>
            <w:r w:rsidRPr="004D0DAA">
              <w:rPr>
                <w:iCs/>
              </w:rPr>
              <w:t xml:space="preserve">Lc </w:t>
            </w:r>
            <w:r w:rsidRPr="004D0DAA">
              <w:t>bit field)</w:t>
            </w:r>
            <w:r w:rsidRPr="004D0DAA">
              <w:br/>
              <w:t>See sub-clause 12.3.1.</w:t>
            </w:r>
          </w:p>
        </w:tc>
      </w:tr>
      <w:tr w:rsidR="00711444" w:rsidRPr="004D0DAA" w14:paraId="7258782A" w14:textId="77777777" w:rsidTr="00AA2A4C">
        <w:tblPrEx>
          <w:tblCellMar>
            <w:top w:w="0" w:type="dxa"/>
            <w:bottom w:w="0" w:type="dxa"/>
          </w:tblCellMar>
        </w:tblPrEx>
        <w:trPr>
          <w:cantSplit/>
        </w:trPr>
        <w:tc>
          <w:tcPr>
            <w:tcW w:w="9848" w:type="dxa"/>
          </w:tcPr>
          <w:p w14:paraId="43717313" w14:textId="77777777" w:rsidR="00711444" w:rsidRPr="004D0DAA" w:rsidRDefault="00711444" w:rsidP="00AA2A4C">
            <w:r w:rsidRPr="004D0DAA">
              <w:rPr>
                <w:b/>
              </w:rPr>
              <w:t>UNCOMPRESSED_RECEIVE_BLOCK_BITMAP (URBB)</w:t>
            </w:r>
            <w:r w:rsidRPr="004D0DAA">
              <w:t xml:space="preserve"> (Lu bit field)</w:t>
            </w:r>
            <w:r w:rsidRPr="004D0DAA">
              <w:br/>
              <w:t>See sub-clause 12.3.1.</w:t>
            </w:r>
          </w:p>
        </w:tc>
      </w:tr>
    </w:tbl>
    <w:p w14:paraId="4706E269" w14:textId="77777777" w:rsidR="00711444" w:rsidRPr="004D0DAA" w:rsidRDefault="00711444" w:rsidP="00711444">
      <w:pPr>
        <w:pStyle w:val="Heading2"/>
      </w:pPr>
      <w:bookmarkStart w:id="759" w:name="_Toc516669935"/>
      <w:r w:rsidRPr="004D0DAA">
        <w:t>12.4</w:t>
      </w:r>
      <w:r w:rsidRPr="004D0DAA">
        <w:tab/>
        <w:t>(void)</w:t>
      </w:r>
      <w:bookmarkEnd w:id="759"/>
    </w:p>
    <w:p w14:paraId="6E28B96C" w14:textId="77777777" w:rsidR="00711444" w:rsidRPr="004D0DAA" w:rsidRDefault="00711444" w:rsidP="00711444">
      <w:pPr>
        <w:pStyle w:val="Heading2"/>
      </w:pPr>
      <w:bookmarkStart w:id="760" w:name="_Toc516669936"/>
      <w:r w:rsidRPr="004D0DAA">
        <w:t>12.5</w:t>
      </w:r>
      <w:r w:rsidRPr="004D0DAA">
        <w:tab/>
        <w:t>EGPRS</w:t>
      </w:r>
      <w:bookmarkEnd w:id="760"/>
    </w:p>
    <w:p w14:paraId="2B5E57ED" w14:textId="77777777" w:rsidR="00711444" w:rsidRPr="004D0DAA" w:rsidRDefault="00711444" w:rsidP="00711444">
      <w:pPr>
        <w:pStyle w:val="Heading3"/>
      </w:pPr>
      <w:bookmarkStart w:id="761" w:name="_Toc516669937"/>
      <w:r w:rsidRPr="004D0DAA">
        <w:t>12.5.1</w:t>
      </w:r>
      <w:r w:rsidRPr="004D0DAA">
        <w:tab/>
        <w:t>EGPRS Channel Quality Report</w:t>
      </w:r>
      <w:bookmarkEnd w:id="761"/>
    </w:p>
    <w:p w14:paraId="5D5FE3F5" w14:textId="77777777" w:rsidR="00711444" w:rsidRPr="004D0DAA" w:rsidRDefault="00711444" w:rsidP="00711444">
      <w:r w:rsidRPr="004D0DAA">
        <w:t>The EGPRS Channel Quality Report Information Element IE is defined in tables 12.5.1.1 and 12.5.1.2.</w:t>
      </w:r>
      <w:r w:rsidRPr="004D0DAA">
        <w:rPr>
          <w:lang w:eastAsia="ko-KR"/>
        </w:rPr>
        <w:t xml:space="preserve"> </w:t>
      </w:r>
      <w:r w:rsidRPr="004D0DAA">
        <w:rPr>
          <w:rFonts w:hint="eastAsia"/>
          <w:lang w:eastAsia="ko-KR"/>
        </w:rPr>
        <w:t>The i</w:t>
      </w:r>
      <w:r w:rsidRPr="004D0DAA">
        <w:t>nformation to be included within this IE depends on the setting of the ES/P field</w:t>
      </w:r>
      <w:r w:rsidRPr="004D0DAA">
        <w:rPr>
          <w:rFonts w:hint="eastAsia"/>
          <w:lang w:eastAsia="ko-KR"/>
        </w:rPr>
        <w:t xml:space="preserve"> or CES/P field</w:t>
      </w:r>
      <w:r w:rsidRPr="004D0DAA">
        <w:t xml:space="preserve"> (see sub-clause 9.1.8.2.1) and on the most recently received LINK_QUALITY_MEASUREMENT_MODE field (see sub-clause 11.2.7).</w:t>
      </w:r>
    </w:p>
    <w:p w14:paraId="42B90512" w14:textId="77777777" w:rsidR="00711444" w:rsidRPr="004D0DAA" w:rsidRDefault="00711444" w:rsidP="00711444">
      <w:pPr>
        <w:pStyle w:val="TH"/>
      </w:pPr>
      <w:r w:rsidRPr="004D0DAA">
        <w:t>Table 12.5.1.1 : EGPRS Channel Quality Report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A760C4E" w14:textId="77777777" w:rsidTr="00AA2A4C">
        <w:tblPrEx>
          <w:tblCellMar>
            <w:top w:w="0" w:type="dxa"/>
            <w:bottom w:w="0" w:type="dxa"/>
          </w:tblCellMar>
        </w:tblPrEx>
        <w:trPr>
          <w:cantSplit/>
        </w:trPr>
        <w:tc>
          <w:tcPr>
            <w:tcW w:w="9848" w:type="dxa"/>
          </w:tcPr>
          <w:p w14:paraId="4F045FED" w14:textId="77777777" w:rsidR="00711444" w:rsidRPr="004D0DAA" w:rsidRDefault="00711444" w:rsidP="00AA2A4C">
            <w:pPr>
              <w:pStyle w:val="TAL"/>
              <w:rPr>
                <w:lang w:eastAsia="en-US"/>
              </w:rPr>
            </w:pPr>
            <w:r w:rsidRPr="004D0DAA">
              <w:rPr>
                <w:lang w:eastAsia="en-US"/>
              </w:rPr>
              <w:t xml:space="preserve">&lt; EGPRS Channel Quality Report </w:t>
            </w:r>
            <w:r w:rsidRPr="004D0DAA">
              <w:rPr>
                <w:rFonts w:hint="eastAsia"/>
                <w:lang w:eastAsia="ko-KR"/>
              </w:rPr>
              <w:t>IE</w:t>
            </w:r>
            <w:r w:rsidRPr="004D0DAA">
              <w:rPr>
                <w:lang w:eastAsia="en-US"/>
              </w:rPr>
              <w:t>&gt; ::=</w:t>
            </w:r>
          </w:p>
          <w:p w14:paraId="75E0DF8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EGPRS BEP Link Quality Measurements</w:t>
            </w:r>
            <w:r w:rsidRPr="004D0DAA">
              <w:rPr>
                <w:lang w:eastAsia="en-US"/>
              </w:rPr>
              <w:t> : &lt; EGPRS BEP Link Quality Measurements IE&gt;&gt;</w:t>
            </w:r>
            <w:r w:rsidRPr="004D0DAA">
              <w:rPr>
                <w:lang w:eastAsia="en-US"/>
              </w:rPr>
              <w:tab/>
            </w:r>
          </w:p>
          <w:p w14:paraId="4EEB8B5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C_VALUE</w:t>
            </w:r>
            <w:r w:rsidRPr="004D0DAA">
              <w:rPr>
                <w:lang w:eastAsia="en-US"/>
              </w:rPr>
              <w:t xml:space="preserve"> : bit (6) &gt;</w:t>
            </w:r>
          </w:p>
          <w:p w14:paraId="3D4C7D7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EGPRS Timeslot Link Quality Measurements</w:t>
            </w:r>
            <w:r w:rsidRPr="004D0DAA">
              <w:rPr>
                <w:lang w:eastAsia="en-US"/>
              </w:rPr>
              <w:t> : &lt;EGPRS Timeslot Link Quality Measurements IE &gt;&gt; ;</w:t>
            </w:r>
          </w:p>
        </w:tc>
      </w:tr>
    </w:tbl>
    <w:p w14:paraId="5DC2F083" w14:textId="77777777" w:rsidR="00711444" w:rsidRPr="004D0DAA" w:rsidRDefault="00711444" w:rsidP="00711444"/>
    <w:p w14:paraId="1A91CC2D" w14:textId="77777777" w:rsidR="00711444" w:rsidRPr="004D0DAA" w:rsidRDefault="00711444" w:rsidP="00711444">
      <w:pPr>
        <w:pStyle w:val="TH"/>
      </w:pPr>
      <w:r w:rsidRPr="004D0DAA">
        <w:lastRenderedPageBreak/>
        <w:t>Table 12.5.1.2 : EGPRS Channel Quality Report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970A7F4" w14:textId="77777777" w:rsidTr="00AA2A4C">
        <w:tblPrEx>
          <w:tblCellMar>
            <w:top w:w="0" w:type="dxa"/>
            <w:bottom w:w="0" w:type="dxa"/>
          </w:tblCellMar>
        </w:tblPrEx>
        <w:tc>
          <w:tcPr>
            <w:tcW w:w="9848" w:type="dxa"/>
          </w:tcPr>
          <w:p w14:paraId="6652941E" w14:textId="77777777" w:rsidR="00711444" w:rsidRPr="004D0DAA" w:rsidRDefault="00711444" w:rsidP="00AA2A4C">
            <w:pPr>
              <w:keepNext/>
              <w:keepLines/>
            </w:pPr>
            <w:r w:rsidRPr="004D0DAA">
              <w:rPr>
                <w:b/>
              </w:rPr>
              <w:t>EGPRS BEP Link Quality Measurements IE</w:t>
            </w:r>
            <w:r w:rsidRPr="004D0DAA">
              <w:rPr>
                <w:b/>
              </w:rPr>
              <w:br/>
            </w:r>
            <w:r w:rsidRPr="004D0DAA">
              <w:t xml:space="preserve">This information element is defined in sub-clause 12.5.3. </w:t>
            </w:r>
          </w:p>
          <w:p w14:paraId="09091E77" w14:textId="77777777" w:rsidR="00711444" w:rsidRPr="004D0DAA" w:rsidRDefault="00711444" w:rsidP="00AA2A4C">
            <w:pPr>
              <w:spacing w:after="0"/>
              <w:rPr>
                <w:b/>
              </w:rPr>
            </w:pPr>
            <w:r w:rsidRPr="004D0DAA">
              <w:rPr>
                <w:b/>
              </w:rPr>
              <w:t>EGPRS Timeslot Link Quality Measurements</w:t>
            </w:r>
          </w:p>
          <w:p w14:paraId="3DE26D5C" w14:textId="77777777" w:rsidR="00711444" w:rsidRPr="004D0DAA" w:rsidRDefault="00711444" w:rsidP="00AA2A4C">
            <w:pPr>
              <w:keepNext/>
              <w:keepLines/>
            </w:pPr>
            <w:r w:rsidRPr="004D0DAA">
              <w:t xml:space="preserve">This information element is defined in sub-clause 12.5.4. </w:t>
            </w:r>
          </w:p>
          <w:p w14:paraId="328A29C1" w14:textId="77777777" w:rsidR="00711444" w:rsidRPr="004D0DAA" w:rsidRDefault="00711444" w:rsidP="00AA2A4C">
            <w:pPr>
              <w:spacing w:after="0"/>
            </w:pPr>
            <w:r w:rsidRPr="004D0DAA">
              <w:rPr>
                <w:b/>
              </w:rPr>
              <w:t xml:space="preserve">C_VALUE </w:t>
            </w:r>
            <w:r w:rsidRPr="004D0DAA">
              <w:t>(6 bits)</w:t>
            </w:r>
            <w:r w:rsidRPr="004D0DAA">
              <w:rPr>
                <w:b/>
              </w:rPr>
              <w:br/>
            </w:r>
            <w:r w:rsidRPr="004D0DAA">
              <w:t>This field contains the value of the C parameter calculated by the mobile station (see 3GPP TS 45.008). This field is encoded as the binary representation of the C value parameter value defined in 3GPP TS 45.008.</w:t>
            </w:r>
            <w:r w:rsidRPr="004D0DAA">
              <w:br/>
              <w:t>Range 0 to 63</w:t>
            </w:r>
          </w:p>
        </w:tc>
      </w:tr>
    </w:tbl>
    <w:p w14:paraId="71E8297C" w14:textId="77777777" w:rsidR="00711444" w:rsidRPr="004D0DAA" w:rsidRDefault="00711444" w:rsidP="00711444"/>
    <w:p w14:paraId="728C5EF9" w14:textId="77777777" w:rsidR="00711444" w:rsidRPr="004D0DAA" w:rsidRDefault="00711444" w:rsidP="00711444">
      <w:pPr>
        <w:pStyle w:val="Heading3"/>
      </w:pPr>
      <w:bookmarkStart w:id="762" w:name="_Toc516669938"/>
      <w:r w:rsidRPr="004D0DAA">
        <w:t>12.5.2</w:t>
      </w:r>
      <w:r w:rsidRPr="004D0DAA">
        <w:tab/>
        <w:t>EGPRS Window Size</w:t>
      </w:r>
      <w:bookmarkEnd w:id="762"/>
    </w:p>
    <w:p w14:paraId="0E246A13" w14:textId="77777777" w:rsidR="00711444" w:rsidRPr="004D0DAA" w:rsidRDefault="00711444" w:rsidP="00711444">
      <w:r w:rsidRPr="004D0DAA">
        <w:t>This information element defines the window size to be used in an EGPRS TBF. The network sets the window size according to the number of timeslots assigned in the direction of the TBF.</w:t>
      </w:r>
    </w:p>
    <w:p w14:paraId="260618DF" w14:textId="77777777" w:rsidR="00711444" w:rsidRPr="004D0DAA" w:rsidRDefault="00711444" w:rsidP="00711444">
      <w:r w:rsidRPr="004D0DAA">
        <w:t xml:space="preserve">If RLC acknowledged mode is signalled in the assignment/reconfiguration message, or if RLC unacknowledged mode is signalled and the mobile station does not support RLC non-persistent mode, the window size is defined according to Table 12.5.2.1 below. </w:t>
      </w:r>
    </w:p>
    <w:p w14:paraId="52F4DECE" w14:textId="77777777" w:rsidR="00711444" w:rsidRPr="004D0DAA" w:rsidRDefault="00711444" w:rsidP="00711444">
      <w:pPr>
        <w:pStyle w:val="TH"/>
      </w:pPr>
      <w:r w:rsidRPr="004D0DAA">
        <w:t>Table 12.5.2.1: EGPRS Window Size Information Elements details for RLC (un)acknowledged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701"/>
        <w:gridCol w:w="4962"/>
      </w:tblGrid>
      <w:tr w:rsidR="00711444" w:rsidRPr="004D0DAA" w14:paraId="026117B7" w14:textId="77777777" w:rsidTr="00AA2A4C">
        <w:tblPrEx>
          <w:tblCellMar>
            <w:top w:w="0" w:type="dxa"/>
            <w:bottom w:w="0" w:type="dxa"/>
          </w:tblCellMar>
        </w:tblPrEx>
        <w:trPr>
          <w:cantSplit/>
          <w:jc w:val="center"/>
        </w:trPr>
        <w:tc>
          <w:tcPr>
            <w:tcW w:w="1242" w:type="dxa"/>
          </w:tcPr>
          <w:p w14:paraId="17145CBB" w14:textId="77777777" w:rsidR="00711444" w:rsidRPr="004D0DAA" w:rsidRDefault="00711444" w:rsidP="00AA2A4C">
            <w:pPr>
              <w:pStyle w:val="TAH"/>
              <w:rPr>
                <w:lang w:eastAsia="en-US"/>
              </w:rPr>
            </w:pPr>
            <w:r w:rsidRPr="004D0DAA">
              <w:rPr>
                <w:lang w:eastAsia="en-US"/>
              </w:rPr>
              <w:t>bit</w:t>
            </w:r>
            <w:r w:rsidRPr="004D0DAA">
              <w:rPr>
                <w:lang w:eastAsia="en-US"/>
              </w:rPr>
              <w:br/>
              <w:t>5 4 3 2 1</w:t>
            </w:r>
          </w:p>
        </w:tc>
        <w:tc>
          <w:tcPr>
            <w:tcW w:w="1701" w:type="dxa"/>
          </w:tcPr>
          <w:p w14:paraId="033627E3" w14:textId="77777777" w:rsidR="00711444" w:rsidRPr="004D0DAA" w:rsidRDefault="00711444" w:rsidP="00AA2A4C">
            <w:pPr>
              <w:pStyle w:val="TAH"/>
              <w:rPr>
                <w:lang w:eastAsia="en-US"/>
              </w:rPr>
            </w:pPr>
            <w:r w:rsidRPr="004D0DAA">
              <w:rPr>
                <w:lang w:eastAsia="en-US"/>
              </w:rPr>
              <w:t>Value of EGPRS window size</w:t>
            </w:r>
          </w:p>
        </w:tc>
        <w:tc>
          <w:tcPr>
            <w:tcW w:w="4962" w:type="dxa"/>
          </w:tcPr>
          <w:p w14:paraId="4FA4DA8C" w14:textId="77777777" w:rsidR="00711444" w:rsidRPr="004D0DAA" w:rsidRDefault="00711444" w:rsidP="00AA2A4C">
            <w:pPr>
              <w:pStyle w:val="TAH"/>
              <w:rPr>
                <w:lang w:eastAsia="en-US"/>
              </w:rPr>
            </w:pPr>
            <w:r w:rsidRPr="004D0DAA">
              <w:rPr>
                <w:lang w:eastAsia="en-US"/>
              </w:rPr>
              <w:br/>
              <w:t>Comment</w:t>
            </w:r>
          </w:p>
        </w:tc>
      </w:tr>
      <w:tr w:rsidR="00711444" w:rsidRPr="004D0DAA" w14:paraId="6BB26B24" w14:textId="77777777" w:rsidTr="00AA2A4C">
        <w:tblPrEx>
          <w:tblCellMar>
            <w:top w:w="0" w:type="dxa"/>
            <w:bottom w:w="0" w:type="dxa"/>
          </w:tblCellMar>
        </w:tblPrEx>
        <w:trPr>
          <w:cantSplit/>
          <w:jc w:val="center"/>
        </w:trPr>
        <w:tc>
          <w:tcPr>
            <w:tcW w:w="1242" w:type="dxa"/>
          </w:tcPr>
          <w:p w14:paraId="61D76C58" w14:textId="77777777" w:rsidR="00711444" w:rsidRPr="004D0DAA" w:rsidRDefault="00711444" w:rsidP="00AA2A4C">
            <w:pPr>
              <w:pStyle w:val="TAC"/>
              <w:rPr>
                <w:lang w:eastAsia="en-US"/>
              </w:rPr>
            </w:pPr>
            <w:r w:rsidRPr="004D0DAA">
              <w:rPr>
                <w:lang w:eastAsia="en-US"/>
              </w:rPr>
              <w:t>0 0 0 0 0</w:t>
            </w:r>
          </w:p>
        </w:tc>
        <w:tc>
          <w:tcPr>
            <w:tcW w:w="1701" w:type="dxa"/>
          </w:tcPr>
          <w:p w14:paraId="206453E6" w14:textId="77777777" w:rsidR="00711444" w:rsidRPr="004D0DAA" w:rsidRDefault="00711444" w:rsidP="00AA2A4C">
            <w:pPr>
              <w:pStyle w:val="TAC"/>
              <w:rPr>
                <w:lang w:eastAsia="en-US"/>
              </w:rPr>
            </w:pPr>
            <w:r w:rsidRPr="004D0DAA">
              <w:rPr>
                <w:lang w:eastAsia="en-US"/>
              </w:rPr>
              <w:t>64</w:t>
            </w:r>
          </w:p>
        </w:tc>
        <w:tc>
          <w:tcPr>
            <w:tcW w:w="4962" w:type="dxa"/>
          </w:tcPr>
          <w:p w14:paraId="43F36690" w14:textId="77777777" w:rsidR="00711444" w:rsidRPr="004D0DAA" w:rsidRDefault="00711444" w:rsidP="00AA2A4C">
            <w:pPr>
              <w:pStyle w:val="TAL"/>
              <w:rPr>
                <w:lang w:eastAsia="en-US"/>
              </w:rPr>
            </w:pPr>
          </w:p>
        </w:tc>
      </w:tr>
      <w:tr w:rsidR="00711444" w:rsidRPr="004D0DAA" w14:paraId="2B06CCAB" w14:textId="77777777" w:rsidTr="00AA2A4C">
        <w:tblPrEx>
          <w:tblCellMar>
            <w:top w:w="0" w:type="dxa"/>
            <w:bottom w:w="0" w:type="dxa"/>
          </w:tblCellMar>
        </w:tblPrEx>
        <w:trPr>
          <w:cantSplit/>
          <w:jc w:val="center"/>
        </w:trPr>
        <w:tc>
          <w:tcPr>
            <w:tcW w:w="1242" w:type="dxa"/>
          </w:tcPr>
          <w:p w14:paraId="36C53333" w14:textId="77777777" w:rsidR="00711444" w:rsidRPr="004D0DAA" w:rsidRDefault="00711444" w:rsidP="00AA2A4C">
            <w:pPr>
              <w:pStyle w:val="TAC"/>
              <w:rPr>
                <w:lang w:eastAsia="en-US"/>
              </w:rPr>
            </w:pPr>
            <w:r w:rsidRPr="004D0DAA">
              <w:rPr>
                <w:lang w:eastAsia="en-US"/>
              </w:rPr>
              <w:t>0 0 0 0 1</w:t>
            </w:r>
          </w:p>
        </w:tc>
        <w:tc>
          <w:tcPr>
            <w:tcW w:w="1701" w:type="dxa"/>
          </w:tcPr>
          <w:p w14:paraId="4649ED64" w14:textId="77777777" w:rsidR="00711444" w:rsidRPr="004D0DAA" w:rsidRDefault="00711444" w:rsidP="00AA2A4C">
            <w:pPr>
              <w:pStyle w:val="TAC"/>
              <w:rPr>
                <w:lang w:eastAsia="en-US"/>
              </w:rPr>
            </w:pPr>
            <w:r w:rsidRPr="004D0DAA">
              <w:rPr>
                <w:lang w:eastAsia="en-US"/>
              </w:rPr>
              <w:t xml:space="preserve">96 </w:t>
            </w:r>
          </w:p>
        </w:tc>
        <w:tc>
          <w:tcPr>
            <w:tcW w:w="4962" w:type="dxa"/>
          </w:tcPr>
          <w:p w14:paraId="1D24E235" w14:textId="77777777" w:rsidR="00711444" w:rsidRPr="004D0DAA" w:rsidRDefault="00711444" w:rsidP="00AA2A4C">
            <w:pPr>
              <w:pStyle w:val="TAL"/>
              <w:rPr>
                <w:lang w:eastAsia="en-US"/>
              </w:rPr>
            </w:pPr>
          </w:p>
        </w:tc>
      </w:tr>
      <w:tr w:rsidR="00711444" w:rsidRPr="004D0DAA" w14:paraId="054FBD01" w14:textId="77777777" w:rsidTr="00AA2A4C">
        <w:tblPrEx>
          <w:tblCellMar>
            <w:top w:w="0" w:type="dxa"/>
            <w:bottom w:w="0" w:type="dxa"/>
          </w:tblCellMar>
        </w:tblPrEx>
        <w:trPr>
          <w:cantSplit/>
          <w:jc w:val="center"/>
        </w:trPr>
        <w:tc>
          <w:tcPr>
            <w:tcW w:w="1242" w:type="dxa"/>
          </w:tcPr>
          <w:p w14:paraId="3EE6858D" w14:textId="77777777" w:rsidR="00711444" w:rsidRPr="004D0DAA" w:rsidRDefault="00711444" w:rsidP="00AA2A4C">
            <w:pPr>
              <w:pStyle w:val="TAC"/>
              <w:rPr>
                <w:lang w:eastAsia="en-US"/>
              </w:rPr>
            </w:pPr>
            <w:r w:rsidRPr="004D0DAA">
              <w:rPr>
                <w:lang w:eastAsia="en-US"/>
              </w:rPr>
              <w:t>0 0 0 1 0</w:t>
            </w:r>
          </w:p>
        </w:tc>
        <w:tc>
          <w:tcPr>
            <w:tcW w:w="1701" w:type="dxa"/>
          </w:tcPr>
          <w:p w14:paraId="2C9E4C5D" w14:textId="77777777" w:rsidR="00711444" w:rsidRPr="004D0DAA" w:rsidRDefault="00711444" w:rsidP="00AA2A4C">
            <w:pPr>
              <w:pStyle w:val="TAC"/>
              <w:rPr>
                <w:lang w:eastAsia="en-US"/>
              </w:rPr>
            </w:pPr>
            <w:r w:rsidRPr="004D0DAA">
              <w:rPr>
                <w:lang w:eastAsia="en-US"/>
              </w:rPr>
              <w:t xml:space="preserve">128 </w:t>
            </w:r>
          </w:p>
        </w:tc>
        <w:tc>
          <w:tcPr>
            <w:tcW w:w="4962" w:type="dxa"/>
          </w:tcPr>
          <w:p w14:paraId="4FE452F7" w14:textId="77777777" w:rsidR="00711444" w:rsidRPr="004D0DAA" w:rsidRDefault="00711444" w:rsidP="00AA2A4C">
            <w:pPr>
              <w:pStyle w:val="TAL"/>
              <w:rPr>
                <w:lang w:eastAsia="en-US"/>
              </w:rPr>
            </w:pPr>
          </w:p>
        </w:tc>
      </w:tr>
      <w:tr w:rsidR="00711444" w:rsidRPr="004D0DAA" w14:paraId="55B8766D" w14:textId="77777777" w:rsidTr="00AA2A4C">
        <w:tblPrEx>
          <w:tblCellMar>
            <w:top w:w="0" w:type="dxa"/>
            <w:bottom w:w="0" w:type="dxa"/>
          </w:tblCellMar>
        </w:tblPrEx>
        <w:trPr>
          <w:cantSplit/>
          <w:jc w:val="center"/>
        </w:trPr>
        <w:tc>
          <w:tcPr>
            <w:tcW w:w="1242" w:type="dxa"/>
          </w:tcPr>
          <w:p w14:paraId="5F1278B9" w14:textId="77777777" w:rsidR="00711444" w:rsidRPr="004D0DAA" w:rsidRDefault="00711444" w:rsidP="00AA2A4C">
            <w:pPr>
              <w:pStyle w:val="TAC"/>
              <w:rPr>
                <w:lang w:eastAsia="en-US"/>
              </w:rPr>
            </w:pPr>
            <w:r w:rsidRPr="004D0DAA">
              <w:rPr>
                <w:lang w:eastAsia="en-US"/>
              </w:rPr>
              <w:t>0 0 0 1 1</w:t>
            </w:r>
          </w:p>
        </w:tc>
        <w:tc>
          <w:tcPr>
            <w:tcW w:w="1701" w:type="dxa"/>
          </w:tcPr>
          <w:p w14:paraId="62AE353C" w14:textId="77777777" w:rsidR="00711444" w:rsidRPr="004D0DAA" w:rsidRDefault="00711444" w:rsidP="00AA2A4C">
            <w:pPr>
              <w:pStyle w:val="TAC"/>
              <w:rPr>
                <w:lang w:eastAsia="en-US"/>
              </w:rPr>
            </w:pPr>
            <w:r w:rsidRPr="004D0DAA">
              <w:rPr>
                <w:lang w:eastAsia="en-US"/>
              </w:rPr>
              <w:t xml:space="preserve">160 </w:t>
            </w:r>
          </w:p>
        </w:tc>
        <w:tc>
          <w:tcPr>
            <w:tcW w:w="4962" w:type="dxa"/>
          </w:tcPr>
          <w:p w14:paraId="503D2B71" w14:textId="77777777" w:rsidR="00711444" w:rsidRPr="004D0DAA" w:rsidRDefault="00711444" w:rsidP="00AA2A4C">
            <w:pPr>
              <w:pStyle w:val="TAL"/>
              <w:rPr>
                <w:lang w:eastAsia="en-US"/>
              </w:rPr>
            </w:pPr>
          </w:p>
        </w:tc>
      </w:tr>
      <w:tr w:rsidR="00711444" w:rsidRPr="004D0DAA" w14:paraId="2211116D" w14:textId="77777777" w:rsidTr="00AA2A4C">
        <w:tblPrEx>
          <w:tblCellMar>
            <w:top w:w="0" w:type="dxa"/>
            <w:bottom w:w="0" w:type="dxa"/>
          </w:tblCellMar>
        </w:tblPrEx>
        <w:trPr>
          <w:cantSplit/>
          <w:jc w:val="center"/>
        </w:trPr>
        <w:tc>
          <w:tcPr>
            <w:tcW w:w="1242" w:type="dxa"/>
          </w:tcPr>
          <w:p w14:paraId="20A40E6A" w14:textId="77777777" w:rsidR="00711444" w:rsidRPr="004D0DAA" w:rsidRDefault="00711444" w:rsidP="00AA2A4C">
            <w:pPr>
              <w:pStyle w:val="TAC"/>
              <w:rPr>
                <w:lang w:eastAsia="en-US"/>
              </w:rPr>
            </w:pPr>
            <w:r w:rsidRPr="004D0DAA">
              <w:rPr>
                <w:lang w:eastAsia="en-US"/>
              </w:rPr>
              <w:t>0 0 1 0 0</w:t>
            </w:r>
          </w:p>
        </w:tc>
        <w:tc>
          <w:tcPr>
            <w:tcW w:w="1701" w:type="dxa"/>
          </w:tcPr>
          <w:p w14:paraId="50C9B1AD" w14:textId="77777777" w:rsidR="00711444" w:rsidRPr="004D0DAA" w:rsidRDefault="00711444" w:rsidP="00AA2A4C">
            <w:pPr>
              <w:pStyle w:val="TAC"/>
              <w:rPr>
                <w:lang w:eastAsia="en-US"/>
              </w:rPr>
            </w:pPr>
            <w:r w:rsidRPr="004D0DAA">
              <w:rPr>
                <w:lang w:eastAsia="en-US"/>
              </w:rPr>
              <w:t>192</w:t>
            </w:r>
          </w:p>
        </w:tc>
        <w:tc>
          <w:tcPr>
            <w:tcW w:w="4962" w:type="dxa"/>
          </w:tcPr>
          <w:p w14:paraId="64B22A63" w14:textId="77777777" w:rsidR="00711444" w:rsidRPr="004D0DAA" w:rsidRDefault="00711444" w:rsidP="00AA2A4C">
            <w:pPr>
              <w:pStyle w:val="TAL"/>
              <w:rPr>
                <w:lang w:eastAsia="en-US"/>
              </w:rPr>
            </w:pPr>
            <w:r w:rsidRPr="004D0DAA">
              <w:rPr>
                <w:lang w:eastAsia="en-US"/>
              </w:rPr>
              <w:t>(maximum window size for a 1 timeslot TBF)</w:t>
            </w:r>
          </w:p>
        </w:tc>
      </w:tr>
      <w:tr w:rsidR="00711444" w:rsidRPr="004D0DAA" w14:paraId="1F569F99" w14:textId="77777777" w:rsidTr="00AA2A4C">
        <w:tblPrEx>
          <w:tblCellMar>
            <w:top w:w="0" w:type="dxa"/>
            <w:bottom w:w="0" w:type="dxa"/>
          </w:tblCellMar>
        </w:tblPrEx>
        <w:trPr>
          <w:cantSplit/>
          <w:jc w:val="center"/>
        </w:trPr>
        <w:tc>
          <w:tcPr>
            <w:tcW w:w="1242" w:type="dxa"/>
          </w:tcPr>
          <w:p w14:paraId="03D646F0" w14:textId="77777777" w:rsidR="00711444" w:rsidRPr="004D0DAA" w:rsidRDefault="00711444" w:rsidP="00AA2A4C">
            <w:pPr>
              <w:pStyle w:val="TAC"/>
              <w:rPr>
                <w:lang w:eastAsia="en-US"/>
              </w:rPr>
            </w:pPr>
            <w:r w:rsidRPr="004D0DAA">
              <w:rPr>
                <w:lang w:eastAsia="en-US"/>
              </w:rPr>
              <w:t>0 0 1 0 1</w:t>
            </w:r>
          </w:p>
        </w:tc>
        <w:tc>
          <w:tcPr>
            <w:tcW w:w="1701" w:type="dxa"/>
          </w:tcPr>
          <w:p w14:paraId="4E6C0B7A" w14:textId="77777777" w:rsidR="00711444" w:rsidRPr="004D0DAA" w:rsidRDefault="00711444" w:rsidP="00AA2A4C">
            <w:pPr>
              <w:pStyle w:val="TAC"/>
              <w:rPr>
                <w:lang w:eastAsia="en-US"/>
              </w:rPr>
            </w:pPr>
            <w:r w:rsidRPr="004D0DAA">
              <w:rPr>
                <w:lang w:eastAsia="en-US"/>
              </w:rPr>
              <w:t xml:space="preserve">224 </w:t>
            </w:r>
          </w:p>
        </w:tc>
        <w:tc>
          <w:tcPr>
            <w:tcW w:w="4962" w:type="dxa"/>
          </w:tcPr>
          <w:p w14:paraId="22011A31" w14:textId="77777777" w:rsidR="00711444" w:rsidRPr="004D0DAA" w:rsidRDefault="00711444" w:rsidP="00AA2A4C">
            <w:pPr>
              <w:pStyle w:val="TAL"/>
              <w:rPr>
                <w:lang w:eastAsia="en-US"/>
              </w:rPr>
            </w:pPr>
          </w:p>
        </w:tc>
      </w:tr>
      <w:tr w:rsidR="00711444" w:rsidRPr="004D0DAA" w14:paraId="527975D0" w14:textId="77777777" w:rsidTr="00AA2A4C">
        <w:tblPrEx>
          <w:tblCellMar>
            <w:top w:w="0" w:type="dxa"/>
            <w:bottom w:w="0" w:type="dxa"/>
          </w:tblCellMar>
        </w:tblPrEx>
        <w:trPr>
          <w:cantSplit/>
          <w:jc w:val="center"/>
        </w:trPr>
        <w:tc>
          <w:tcPr>
            <w:tcW w:w="1242" w:type="dxa"/>
          </w:tcPr>
          <w:p w14:paraId="5935633B" w14:textId="77777777" w:rsidR="00711444" w:rsidRPr="004D0DAA" w:rsidRDefault="00711444" w:rsidP="00AA2A4C">
            <w:pPr>
              <w:pStyle w:val="TAC"/>
              <w:rPr>
                <w:lang w:eastAsia="en-US"/>
              </w:rPr>
            </w:pPr>
            <w:r w:rsidRPr="004D0DAA">
              <w:rPr>
                <w:lang w:eastAsia="en-US"/>
              </w:rPr>
              <w:t>0 0 1 1 0</w:t>
            </w:r>
          </w:p>
        </w:tc>
        <w:tc>
          <w:tcPr>
            <w:tcW w:w="1701" w:type="dxa"/>
          </w:tcPr>
          <w:p w14:paraId="702CC68B" w14:textId="77777777" w:rsidR="00711444" w:rsidRPr="004D0DAA" w:rsidRDefault="00711444" w:rsidP="00AA2A4C">
            <w:pPr>
              <w:pStyle w:val="TAC"/>
              <w:rPr>
                <w:lang w:eastAsia="en-US"/>
              </w:rPr>
            </w:pPr>
            <w:r w:rsidRPr="004D0DAA">
              <w:rPr>
                <w:lang w:eastAsia="en-US"/>
              </w:rPr>
              <w:t>256</w:t>
            </w:r>
          </w:p>
        </w:tc>
        <w:tc>
          <w:tcPr>
            <w:tcW w:w="4962" w:type="dxa"/>
          </w:tcPr>
          <w:p w14:paraId="00C9A2DC" w14:textId="77777777" w:rsidR="00711444" w:rsidRPr="004D0DAA" w:rsidRDefault="00711444" w:rsidP="00AA2A4C">
            <w:pPr>
              <w:pStyle w:val="TAL"/>
              <w:rPr>
                <w:lang w:eastAsia="en-US"/>
              </w:rPr>
            </w:pPr>
            <w:r w:rsidRPr="004D0DAA">
              <w:rPr>
                <w:lang w:eastAsia="en-US"/>
              </w:rPr>
              <w:t>(maximum window size for a 2 timeslot TBF)</w:t>
            </w:r>
          </w:p>
        </w:tc>
      </w:tr>
      <w:tr w:rsidR="00711444" w:rsidRPr="004D0DAA" w14:paraId="4F5C8D7E" w14:textId="77777777" w:rsidTr="00AA2A4C">
        <w:tblPrEx>
          <w:tblCellMar>
            <w:top w:w="0" w:type="dxa"/>
            <w:bottom w:w="0" w:type="dxa"/>
          </w:tblCellMar>
        </w:tblPrEx>
        <w:trPr>
          <w:cantSplit/>
          <w:jc w:val="center"/>
        </w:trPr>
        <w:tc>
          <w:tcPr>
            <w:tcW w:w="1242" w:type="dxa"/>
          </w:tcPr>
          <w:p w14:paraId="18A986A1" w14:textId="77777777" w:rsidR="00711444" w:rsidRPr="004D0DAA" w:rsidRDefault="00711444" w:rsidP="00AA2A4C">
            <w:pPr>
              <w:pStyle w:val="TAC"/>
              <w:rPr>
                <w:lang w:eastAsia="en-US"/>
              </w:rPr>
            </w:pPr>
            <w:r w:rsidRPr="004D0DAA">
              <w:rPr>
                <w:lang w:eastAsia="en-US"/>
              </w:rPr>
              <w:t>0 0 1 1 1</w:t>
            </w:r>
          </w:p>
        </w:tc>
        <w:tc>
          <w:tcPr>
            <w:tcW w:w="1701" w:type="dxa"/>
          </w:tcPr>
          <w:p w14:paraId="3A9E9A2B" w14:textId="77777777" w:rsidR="00711444" w:rsidRPr="004D0DAA" w:rsidRDefault="00711444" w:rsidP="00AA2A4C">
            <w:pPr>
              <w:pStyle w:val="TAC"/>
              <w:rPr>
                <w:lang w:eastAsia="en-US"/>
              </w:rPr>
            </w:pPr>
            <w:r w:rsidRPr="004D0DAA">
              <w:rPr>
                <w:lang w:eastAsia="en-US"/>
              </w:rPr>
              <w:t xml:space="preserve">288 </w:t>
            </w:r>
          </w:p>
        </w:tc>
        <w:tc>
          <w:tcPr>
            <w:tcW w:w="4962" w:type="dxa"/>
          </w:tcPr>
          <w:p w14:paraId="718D28A1" w14:textId="77777777" w:rsidR="00711444" w:rsidRPr="004D0DAA" w:rsidRDefault="00711444" w:rsidP="00AA2A4C">
            <w:pPr>
              <w:pStyle w:val="TAL"/>
              <w:rPr>
                <w:lang w:eastAsia="en-US"/>
              </w:rPr>
            </w:pPr>
          </w:p>
        </w:tc>
      </w:tr>
      <w:tr w:rsidR="00711444" w:rsidRPr="004D0DAA" w14:paraId="5367DB42" w14:textId="77777777" w:rsidTr="00AA2A4C">
        <w:tblPrEx>
          <w:tblCellMar>
            <w:top w:w="0" w:type="dxa"/>
            <w:bottom w:w="0" w:type="dxa"/>
          </w:tblCellMar>
        </w:tblPrEx>
        <w:trPr>
          <w:cantSplit/>
          <w:jc w:val="center"/>
        </w:trPr>
        <w:tc>
          <w:tcPr>
            <w:tcW w:w="1242" w:type="dxa"/>
          </w:tcPr>
          <w:p w14:paraId="2CACEEEB" w14:textId="77777777" w:rsidR="00711444" w:rsidRPr="004D0DAA" w:rsidRDefault="00711444" w:rsidP="00AA2A4C">
            <w:pPr>
              <w:pStyle w:val="TAC"/>
              <w:rPr>
                <w:lang w:eastAsia="en-US"/>
              </w:rPr>
            </w:pPr>
            <w:r w:rsidRPr="004D0DAA">
              <w:rPr>
                <w:lang w:eastAsia="en-US"/>
              </w:rPr>
              <w:t>0 1 0 0 0</w:t>
            </w:r>
          </w:p>
        </w:tc>
        <w:tc>
          <w:tcPr>
            <w:tcW w:w="1701" w:type="dxa"/>
          </w:tcPr>
          <w:p w14:paraId="0156868A" w14:textId="77777777" w:rsidR="00711444" w:rsidRPr="004D0DAA" w:rsidRDefault="00711444" w:rsidP="00AA2A4C">
            <w:pPr>
              <w:pStyle w:val="TAC"/>
              <w:rPr>
                <w:lang w:eastAsia="en-US"/>
              </w:rPr>
            </w:pPr>
            <w:r w:rsidRPr="004D0DAA">
              <w:rPr>
                <w:lang w:eastAsia="en-US"/>
              </w:rPr>
              <w:t xml:space="preserve">320 </w:t>
            </w:r>
          </w:p>
        </w:tc>
        <w:tc>
          <w:tcPr>
            <w:tcW w:w="4962" w:type="dxa"/>
          </w:tcPr>
          <w:p w14:paraId="6F741573" w14:textId="77777777" w:rsidR="00711444" w:rsidRPr="004D0DAA" w:rsidRDefault="00711444" w:rsidP="00AA2A4C">
            <w:pPr>
              <w:pStyle w:val="TAL"/>
              <w:rPr>
                <w:lang w:eastAsia="en-US"/>
              </w:rPr>
            </w:pPr>
          </w:p>
        </w:tc>
      </w:tr>
      <w:tr w:rsidR="00711444" w:rsidRPr="004D0DAA" w14:paraId="0A5D9A5C" w14:textId="77777777" w:rsidTr="00AA2A4C">
        <w:tblPrEx>
          <w:tblCellMar>
            <w:top w:w="0" w:type="dxa"/>
            <w:bottom w:w="0" w:type="dxa"/>
          </w:tblCellMar>
        </w:tblPrEx>
        <w:trPr>
          <w:cantSplit/>
          <w:jc w:val="center"/>
        </w:trPr>
        <w:tc>
          <w:tcPr>
            <w:tcW w:w="1242" w:type="dxa"/>
          </w:tcPr>
          <w:p w14:paraId="5253495E" w14:textId="77777777" w:rsidR="00711444" w:rsidRPr="004D0DAA" w:rsidRDefault="00711444" w:rsidP="00AA2A4C">
            <w:pPr>
              <w:pStyle w:val="TAC"/>
              <w:rPr>
                <w:lang w:eastAsia="en-US"/>
              </w:rPr>
            </w:pPr>
            <w:r w:rsidRPr="004D0DAA">
              <w:rPr>
                <w:lang w:eastAsia="en-US"/>
              </w:rPr>
              <w:t>0 1 0 0 1</w:t>
            </w:r>
          </w:p>
        </w:tc>
        <w:tc>
          <w:tcPr>
            <w:tcW w:w="1701" w:type="dxa"/>
          </w:tcPr>
          <w:p w14:paraId="6032858C" w14:textId="77777777" w:rsidR="00711444" w:rsidRPr="004D0DAA" w:rsidRDefault="00711444" w:rsidP="00AA2A4C">
            <w:pPr>
              <w:pStyle w:val="TAC"/>
              <w:rPr>
                <w:lang w:eastAsia="en-US"/>
              </w:rPr>
            </w:pPr>
            <w:r w:rsidRPr="004D0DAA">
              <w:rPr>
                <w:lang w:eastAsia="en-US"/>
              </w:rPr>
              <w:t xml:space="preserve">352 </w:t>
            </w:r>
          </w:p>
        </w:tc>
        <w:tc>
          <w:tcPr>
            <w:tcW w:w="4962" w:type="dxa"/>
          </w:tcPr>
          <w:p w14:paraId="0D3A2301" w14:textId="77777777" w:rsidR="00711444" w:rsidRPr="004D0DAA" w:rsidRDefault="00711444" w:rsidP="00AA2A4C">
            <w:pPr>
              <w:pStyle w:val="TAL"/>
              <w:rPr>
                <w:lang w:eastAsia="en-US"/>
              </w:rPr>
            </w:pPr>
          </w:p>
        </w:tc>
      </w:tr>
      <w:tr w:rsidR="00711444" w:rsidRPr="004D0DAA" w14:paraId="3428E717" w14:textId="77777777" w:rsidTr="00AA2A4C">
        <w:tblPrEx>
          <w:tblCellMar>
            <w:top w:w="0" w:type="dxa"/>
            <w:bottom w:w="0" w:type="dxa"/>
          </w:tblCellMar>
        </w:tblPrEx>
        <w:trPr>
          <w:cantSplit/>
          <w:jc w:val="center"/>
        </w:trPr>
        <w:tc>
          <w:tcPr>
            <w:tcW w:w="1242" w:type="dxa"/>
          </w:tcPr>
          <w:p w14:paraId="43F7695A" w14:textId="77777777" w:rsidR="00711444" w:rsidRPr="004D0DAA" w:rsidRDefault="00711444" w:rsidP="00AA2A4C">
            <w:pPr>
              <w:pStyle w:val="TAC"/>
              <w:rPr>
                <w:lang w:eastAsia="en-US"/>
              </w:rPr>
            </w:pPr>
            <w:r w:rsidRPr="004D0DAA">
              <w:rPr>
                <w:lang w:eastAsia="en-US"/>
              </w:rPr>
              <w:t>0 1 0 1 0</w:t>
            </w:r>
          </w:p>
        </w:tc>
        <w:tc>
          <w:tcPr>
            <w:tcW w:w="1701" w:type="dxa"/>
          </w:tcPr>
          <w:p w14:paraId="059188CD" w14:textId="77777777" w:rsidR="00711444" w:rsidRPr="004D0DAA" w:rsidRDefault="00711444" w:rsidP="00AA2A4C">
            <w:pPr>
              <w:pStyle w:val="TAC"/>
              <w:rPr>
                <w:lang w:eastAsia="en-US"/>
              </w:rPr>
            </w:pPr>
            <w:r w:rsidRPr="004D0DAA">
              <w:rPr>
                <w:lang w:eastAsia="en-US"/>
              </w:rPr>
              <w:t>384</w:t>
            </w:r>
          </w:p>
        </w:tc>
        <w:tc>
          <w:tcPr>
            <w:tcW w:w="4962" w:type="dxa"/>
          </w:tcPr>
          <w:p w14:paraId="3B39D18D" w14:textId="77777777" w:rsidR="00711444" w:rsidRPr="004D0DAA" w:rsidRDefault="00711444" w:rsidP="00AA2A4C">
            <w:pPr>
              <w:pStyle w:val="TAL"/>
              <w:rPr>
                <w:lang w:eastAsia="en-US"/>
              </w:rPr>
            </w:pPr>
            <w:r w:rsidRPr="004D0DAA">
              <w:rPr>
                <w:lang w:eastAsia="en-US"/>
              </w:rPr>
              <w:t>(maximum window size for a 3 timeslot TBF)</w:t>
            </w:r>
          </w:p>
        </w:tc>
      </w:tr>
      <w:tr w:rsidR="00711444" w:rsidRPr="004D0DAA" w14:paraId="5EED43F6" w14:textId="77777777" w:rsidTr="00AA2A4C">
        <w:tblPrEx>
          <w:tblCellMar>
            <w:top w:w="0" w:type="dxa"/>
            <w:bottom w:w="0" w:type="dxa"/>
          </w:tblCellMar>
        </w:tblPrEx>
        <w:trPr>
          <w:cantSplit/>
          <w:jc w:val="center"/>
        </w:trPr>
        <w:tc>
          <w:tcPr>
            <w:tcW w:w="1242" w:type="dxa"/>
          </w:tcPr>
          <w:p w14:paraId="2036212B" w14:textId="77777777" w:rsidR="00711444" w:rsidRPr="004D0DAA" w:rsidRDefault="00711444" w:rsidP="00AA2A4C">
            <w:pPr>
              <w:pStyle w:val="TAC"/>
              <w:rPr>
                <w:lang w:eastAsia="en-US"/>
              </w:rPr>
            </w:pPr>
            <w:r w:rsidRPr="004D0DAA">
              <w:rPr>
                <w:lang w:eastAsia="en-US"/>
              </w:rPr>
              <w:t>0 1 0 1 1</w:t>
            </w:r>
          </w:p>
        </w:tc>
        <w:tc>
          <w:tcPr>
            <w:tcW w:w="1701" w:type="dxa"/>
          </w:tcPr>
          <w:p w14:paraId="57A330DB" w14:textId="77777777" w:rsidR="00711444" w:rsidRPr="004D0DAA" w:rsidRDefault="00711444" w:rsidP="00AA2A4C">
            <w:pPr>
              <w:pStyle w:val="TAC"/>
              <w:rPr>
                <w:lang w:eastAsia="en-US"/>
              </w:rPr>
            </w:pPr>
            <w:r w:rsidRPr="004D0DAA">
              <w:rPr>
                <w:lang w:eastAsia="en-US"/>
              </w:rPr>
              <w:t xml:space="preserve">416 </w:t>
            </w:r>
          </w:p>
        </w:tc>
        <w:tc>
          <w:tcPr>
            <w:tcW w:w="4962" w:type="dxa"/>
          </w:tcPr>
          <w:p w14:paraId="2A963147" w14:textId="77777777" w:rsidR="00711444" w:rsidRPr="004D0DAA" w:rsidRDefault="00711444" w:rsidP="00AA2A4C">
            <w:pPr>
              <w:pStyle w:val="TAL"/>
              <w:rPr>
                <w:lang w:eastAsia="en-US"/>
              </w:rPr>
            </w:pPr>
          </w:p>
        </w:tc>
      </w:tr>
      <w:tr w:rsidR="00711444" w:rsidRPr="004D0DAA" w14:paraId="206A8B1E" w14:textId="77777777" w:rsidTr="00AA2A4C">
        <w:tblPrEx>
          <w:tblCellMar>
            <w:top w:w="0" w:type="dxa"/>
            <w:bottom w:w="0" w:type="dxa"/>
          </w:tblCellMar>
        </w:tblPrEx>
        <w:trPr>
          <w:cantSplit/>
          <w:jc w:val="center"/>
        </w:trPr>
        <w:tc>
          <w:tcPr>
            <w:tcW w:w="1242" w:type="dxa"/>
          </w:tcPr>
          <w:p w14:paraId="4F552608" w14:textId="77777777" w:rsidR="00711444" w:rsidRPr="004D0DAA" w:rsidRDefault="00711444" w:rsidP="00AA2A4C">
            <w:pPr>
              <w:pStyle w:val="TAC"/>
              <w:rPr>
                <w:lang w:eastAsia="en-US"/>
              </w:rPr>
            </w:pPr>
            <w:r w:rsidRPr="004D0DAA">
              <w:rPr>
                <w:lang w:eastAsia="en-US"/>
              </w:rPr>
              <w:t>0 1 1 0 0</w:t>
            </w:r>
          </w:p>
        </w:tc>
        <w:tc>
          <w:tcPr>
            <w:tcW w:w="1701" w:type="dxa"/>
          </w:tcPr>
          <w:p w14:paraId="10A0EFCE" w14:textId="77777777" w:rsidR="00711444" w:rsidRPr="004D0DAA" w:rsidRDefault="00711444" w:rsidP="00AA2A4C">
            <w:pPr>
              <w:pStyle w:val="TAC"/>
              <w:rPr>
                <w:lang w:eastAsia="en-US"/>
              </w:rPr>
            </w:pPr>
            <w:r w:rsidRPr="004D0DAA">
              <w:rPr>
                <w:lang w:eastAsia="en-US"/>
              </w:rPr>
              <w:t xml:space="preserve">448 </w:t>
            </w:r>
          </w:p>
        </w:tc>
        <w:tc>
          <w:tcPr>
            <w:tcW w:w="4962" w:type="dxa"/>
          </w:tcPr>
          <w:p w14:paraId="091C5EB9" w14:textId="77777777" w:rsidR="00711444" w:rsidRPr="004D0DAA" w:rsidRDefault="00711444" w:rsidP="00AA2A4C">
            <w:pPr>
              <w:pStyle w:val="TAL"/>
              <w:rPr>
                <w:lang w:eastAsia="en-US"/>
              </w:rPr>
            </w:pPr>
          </w:p>
        </w:tc>
      </w:tr>
      <w:tr w:rsidR="00711444" w:rsidRPr="004D0DAA" w14:paraId="7045804C" w14:textId="77777777" w:rsidTr="00AA2A4C">
        <w:tblPrEx>
          <w:tblCellMar>
            <w:top w:w="0" w:type="dxa"/>
            <w:bottom w:w="0" w:type="dxa"/>
          </w:tblCellMar>
        </w:tblPrEx>
        <w:trPr>
          <w:cantSplit/>
          <w:jc w:val="center"/>
        </w:trPr>
        <w:tc>
          <w:tcPr>
            <w:tcW w:w="1242" w:type="dxa"/>
          </w:tcPr>
          <w:p w14:paraId="3267C24F" w14:textId="77777777" w:rsidR="00711444" w:rsidRPr="004D0DAA" w:rsidRDefault="00711444" w:rsidP="00AA2A4C">
            <w:pPr>
              <w:pStyle w:val="TAC"/>
              <w:rPr>
                <w:lang w:eastAsia="en-US"/>
              </w:rPr>
            </w:pPr>
            <w:r w:rsidRPr="004D0DAA">
              <w:rPr>
                <w:lang w:eastAsia="en-US"/>
              </w:rPr>
              <w:t>0 1 1 0 1</w:t>
            </w:r>
          </w:p>
        </w:tc>
        <w:tc>
          <w:tcPr>
            <w:tcW w:w="1701" w:type="dxa"/>
          </w:tcPr>
          <w:p w14:paraId="51962452" w14:textId="77777777" w:rsidR="00711444" w:rsidRPr="004D0DAA" w:rsidRDefault="00711444" w:rsidP="00AA2A4C">
            <w:pPr>
              <w:pStyle w:val="TAC"/>
              <w:rPr>
                <w:lang w:eastAsia="en-US"/>
              </w:rPr>
            </w:pPr>
            <w:r w:rsidRPr="004D0DAA">
              <w:rPr>
                <w:lang w:eastAsia="en-US"/>
              </w:rPr>
              <w:t xml:space="preserve">480 </w:t>
            </w:r>
          </w:p>
        </w:tc>
        <w:tc>
          <w:tcPr>
            <w:tcW w:w="4962" w:type="dxa"/>
          </w:tcPr>
          <w:p w14:paraId="07FC2C8B" w14:textId="77777777" w:rsidR="00711444" w:rsidRPr="004D0DAA" w:rsidRDefault="00711444" w:rsidP="00AA2A4C">
            <w:pPr>
              <w:pStyle w:val="TAL"/>
              <w:rPr>
                <w:lang w:eastAsia="en-US"/>
              </w:rPr>
            </w:pPr>
          </w:p>
        </w:tc>
      </w:tr>
      <w:tr w:rsidR="00711444" w:rsidRPr="004D0DAA" w14:paraId="3E4B6CCB" w14:textId="77777777" w:rsidTr="00AA2A4C">
        <w:tblPrEx>
          <w:tblCellMar>
            <w:top w:w="0" w:type="dxa"/>
            <w:bottom w:w="0" w:type="dxa"/>
          </w:tblCellMar>
        </w:tblPrEx>
        <w:trPr>
          <w:cantSplit/>
          <w:jc w:val="center"/>
        </w:trPr>
        <w:tc>
          <w:tcPr>
            <w:tcW w:w="1242" w:type="dxa"/>
          </w:tcPr>
          <w:p w14:paraId="3557DF78" w14:textId="77777777" w:rsidR="00711444" w:rsidRPr="004D0DAA" w:rsidRDefault="00711444" w:rsidP="00AA2A4C">
            <w:pPr>
              <w:pStyle w:val="TAC"/>
              <w:rPr>
                <w:lang w:eastAsia="en-US"/>
              </w:rPr>
            </w:pPr>
            <w:r w:rsidRPr="004D0DAA">
              <w:rPr>
                <w:lang w:eastAsia="en-US"/>
              </w:rPr>
              <w:t>0 1 1 1 0</w:t>
            </w:r>
          </w:p>
        </w:tc>
        <w:tc>
          <w:tcPr>
            <w:tcW w:w="1701" w:type="dxa"/>
          </w:tcPr>
          <w:p w14:paraId="0724BBD0" w14:textId="77777777" w:rsidR="00711444" w:rsidRPr="004D0DAA" w:rsidRDefault="00711444" w:rsidP="00AA2A4C">
            <w:pPr>
              <w:pStyle w:val="TAC"/>
              <w:rPr>
                <w:lang w:eastAsia="en-US"/>
              </w:rPr>
            </w:pPr>
            <w:r w:rsidRPr="004D0DAA">
              <w:rPr>
                <w:lang w:eastAsia="en-US"/>
              </w:rPr>
              <w:t>512</w:t>
            </w:r>
          </w:p>
        </w:tc>
        <w:tc>
          <w:tcPr>
            <w:tcW w:w="4962" w:type="dxa"/>
          </w:tcPr>
          <w:p w14:paraId="2745DD66" w14:textId="77777777" w:rsidR="00711444" w:rsidRPr="004D0DAA" w:rsidRDefault="00711444" w:rsidP="00AA2A4C">
            <w:pPr>
              <w:pStyle w:val="TAL"/>
              <w:rPr>
                <w:lang w:eastAsia="en-US"/>
              </w:rPr>
            </w:pPr>
            <w:r w:rsidRPr="004D0DAA">
              <w:rPr>
                <w:lang w:eastAsia="en-US"/>
              </w:rPr>
              <w:t>(maximum window size for a 4 timeslot TBF)</w:t>
            </w:r>
          </w:p>
        </w:tc>
      </w:tr>
      <w:tr w:rsidR="00711444" w:rsidRPr="004D0DAA" w14:paraId="0AFD7FF5" w14:textId="77777777" w:rsidTr="00AA2A4C">
        <w:tblPrEx>
          <w:tblCellMar>
            <w:top w:w="0" w:type="dxa"/>
            <w:bottom w:w="0" w:type="dxa"/>
          </w:tblCellMar>
        </w:tblPrEx>
        <w:trPr>
          <w:cantSplit/>
          <w:jc w:val="center"/>
        </w:trPr>
        <w:tc>
          <w:tcPr>
            <w:tcW w:w="1242" w:type="dxa"/>
          </w:tcPr>
          <w:p w14:paraId="6E99804F" w14:textId="77777777" w:rsidR="00711444" w:rsidRPr="004D0DAA" w:rsidRDefault="00711444" w:rsidP="00AA2A4C">
            <w:pPr>
              <w:pStyle w:val="TAC"/>
              <w:rPr>
                <w:lang w:eastAsia="en-US"/>
              </w:rPr>
            </w:pPr>
            <w:r w:rsidRPr="004D0DAA">
              <w:rPr>
                <w:lang w:eastAsia="en-US"/>
              </w:rPr>
              <w:t>0 1 1 1 1</w:t>
            </w:r>
          </w:p>
        </w:tc>
        <w:tc>
          <w:tcPr>
            <w:tcW w:w="1701" w:type="dxa"/>
          </w:tcPr>
          <w:p w14:paraId="11DC4B5E" w14:textId="77777777" w:rsidR="00711444" w:rsidRPr="004D0DAA" w:rsidRDefault="00711444" w:rsidP="00AA2A4C">
            <w:pPr>
              <w:pStyle w:val="TAC"/>
              <w:rPr>
                <w:lang w:eastAsia="en-US"/>
              </w:rPr>
            </w:pPr>
            <w:r w:rsidRPr="004D0DAA">
              <w:rPr>
                <w:lang w:eastAsia="en-US"/>
              </w:rPr>
              <w:t>544</w:t>
            </w:r>
          </w:p>
        </w:tc>
        <w:tc>
          <w:tcPr>
            <w:tcW w:w="4962" w:type="dxa"/>
          </w:tcPr>
          <w:p w14:paraId="4B440195" w14:textId="77777777" w:rsidR="00711444" w:rsidRPr="004D0DAA" w:rsidRDefault="00711444" w:rsidP="00AA2A4C">
            <w:pPr>
              <w:pStyle w:val="TAL"/>
              <w:rPr>
                <w:lang w:eastAsia="en-US"/>
              </w:rPr>
            </w:pPr>
          </w:p>
        </w:tc>
      </w:tr>
      <w:tr w:rsidR="00711444" w:rsidRPr="004D0DAA" w14:paraId="68E0DFEC" w14:textId="77777777" w:rsidTr="00AA2A4C">
        <w:tblPrEx>
          <w:tblCellMar>
            <w:top w:w="0" w:type="dxa"/>
            <w:bottom w:w="0" w:type="dxa"/>
          </w:tblCellMar>
        </w:tblPrEx>
        <w:trPr>
          <w:cantSplit/>
          <w:jc w:val="center"/>
        </w:trPr>
        <w:tc>
          <w:tcPr>
            <w:tcW w:w="1242" w:type="dxa"/>
          </w:tcPr>
          <w:p w14:paraId="3A2290C7" w14:textId="77777777" w:rsidR="00711444" w:rsidRPr="004D0DAA" w:rsidRDefault="00711444" w:rsidP="00AA2A4C">
            <w:pPr>
              <w:pStyle w:val="TAC"/>
              <w:rPr>
                <w:lang w:eastAsia="en-US"/>
              </w:rPr>
            </w:pPr>
            <w:r w:rsidRPr="004D0DAA">
              <w:rPr>
                <w:lang w:eastAsia="en-US"/>
              </w:rPr>
              <w:t>1 0 0 0 0</w:t>
            </w:r>
          </w:p>
        </w:tc>
        <w:tc>
          <w:tcPr>
            <w:tcW w:w="1701" w:type="dxa"/>
          </w:tcPr>
          <w:p w14:paraId="5B18F3AA" w14:textId="77777777" w:rsidR="00711444" w:rsidRPr="004D0DAA" w:rsidRDefault="00711444" w:rsidP="00AA2A4C">
            <w:pPr>
              <w:pStyle w:val="TAC"/>
              <w:rPr>
                <w:lang w:eastAsia="en-US"/>
              </w:rPr>
            </w:pPr>
            <w:r w:rsidRPr="004D0DAA">
              <w:rPr>
                <w:lang w:eastAsia="en-US"/>
              </w:rPr>
              <w:t>576</w:t>
            </w:r>
          </w:p>
        </w:tc>
        <w:tc>
          <w:tcPr>
            <w:tcW w:w="4962" w:type="dxa"/>
          </w:tcPr>
          <w:p w14:paraId="6748A4A3" w14:textId="77777777" w:rsidR="00711444" w:rsidRPr="004D0DAA" w:rsidRDefault="00711444" w:rsidP="00AA2A4C">
            <w:pPr>
              <w:pStyle w:val="TAL"/>
              <w:rPr>
                <w:lang w:eastAsia="en-US"/>
              </w:rPr>
            </w:pPr>
          </w:p>
        </w:tc>
      </w:tr>
      <w:tr w:rsidR="00711444" w:rsidRPr="004D0DAA" w14:paraId="1FA0761D" w14:textId="77777777" w:rsidTr="00AA2A4C">
        <w:tblPrEx>
          <w:tblCellMar>
            <w:top w:w="0" w:type="dxa"/>
            <w:bottom w:w="0" w:type="dxa"/>
          </w:tblCellMar>
        </w:tblPrEx>
        <w:trPr>
          <w:cantSplit/>
          <w:jc w:val="center"/>
        </w:trPr>
        <w:tc>
          <w:tcPr>
            <w:tcW w:w="1242" w:type="dxa"/>
          </w:tcPr>
          <w:p w14:paraId="15FB515B" w14:textId="77777777" w:rsidR="00711444" w:rsidRPr="004D0DAA" w:rsidRDefault="00711444" w:rsidP="00AA2A4C">
            <w:pPr>
              <w:pStyle w:val="TAC"/>
              <w:rPr>
                <w:lang w:eastAsia="en-US"/>
              </w:rPr>
            </w:pPr>
            <w:r w:rsidRPr="004D0DAA">
              <w:rPr>
                <w:lang w:eastAsia="en-US"/>
              </w:rPr>
              <w:t>1 0 0 0 1</w:t>
            </w:r>
          </w:p>
        </w:tc>
        <w:tc>
          <w:tcPr>
            <w:tcW w:w="1701" w:type="dxa"/>
          </w:tcPr>
          <w:p w14:paraId="656CC3C2" w14:textId="77777777" w:rsidR="00711444" w:rsidRPr="004D0DAA" w:rsidRDefault="00711444" w:rsidP="00AA2A4C">
            <w:pPr>
              <w:pStyle w:val="TAC"/>
              <w:rPr>
                <w:lang w:eastAsia="en-US"/>
              </w:rPr>
            </w:pPr>
            <w:r w:rsidRPr="004D0DAA">
              <w:rPr>
                <w:lang w:eastAsia="en-US"/>
              </w:rPr>
              <w:t>608</w:t>
            </w:r>
          </w:p>
        </w:tc>
        <w:tc>
          <w:tcPr>
            <w:tcW w:w="4962" w:type="dxa"/>
          </w:tcPr>
          <w:p w14:paraId="189ED00E" w14:textId="77777777" w:rsidR="00711444" w:rsidRPr="004D0DAA" w:rsidRDefault="00711444" w:rsidP="00AA2A4C">
            <w:pPr>
              <w:pStyle w:val="TAL"/>
              <w:rPr>
                <w:lang w:eastAsia="en-US"/>
              </w:rPr>
            </w:pPr>
          </w:p>
        </w:tc>
      </w:tr>
      <w:tr w:rsidR="00711444" w:rsidRPr="004D0DAA" w14:paraId="25BCB117" w14:textId="77777777" w:rsidTr="00AA2A4C">
        <w:tblPrEx>
          <w:tblCellMar>
            <w:top w:w="0" w:type="dxa"/>
            <w:bottom w:w="0" w:type="dxa"/>
          </w:tblCellMar>
        </w:tblPrEx>
        <w:trPr>
          <w:cantSplit/>
          <w:jc w:val="center"/>
        </w:trPr>
        <w:tc>
          <w:tcPr>
            <w:tcW w:w="1242" w:type="dxa"/>
          </w:tcPr>
          <w:p w14:paraId="69E005E2" w14:textId="77777777" w:rsidR="00711444" w:rsidRPr="004D0DAA" w:rsidRDefault="00711444" w:rsidP="00AA2A4C">
            <w:pPr>
              <w:pStyle w:val="TAC"/>
              <w:rPr>
                <w:lang w:eastAsia="en-US"/>
              </w:rPr>
            </w:pPr>
            <w:r w:rsidRPr="004D0DAA">
              <w:rPr>
                <w:lang w:eastAsia="en-US"/>
              </w:rPr>
              <w:t>1 0 0 1 0</w:t>
            </w:r>
          </w:p>
        </w:tc>
        <w:tc>
          <w:tcPr>
            <w:tcW w:w="1701" w:type="dxa"/>
          </w:tcPr>
          <w:p w14:paraId="524E96A7" w14:textId="77777777" w:rsidR="00711444" w:rsidRPr="004D0DAA" w:rsidRDefault="00711444" w:rsidP="00AA2A4C">
            <w:pPr>
              <w:pStyle w:val="TAC"/>
              <w:rPr>
                <w:lang w:eastAsia="en-US"/>
              </w:rPr>
            </w:pPr>
            <w:r w:rsidRPr="004D0DAA">
              <w:rPr>
                <w:lang w:eastAsia="en-US"/>
              </w:rPr>
              <w:t>640</w:t>
            </w:r>
          </w:p>
        </w:tc>
        <w:tc>
          <w:tcPr>
            <w:tcW w:w="4962" w:type="dxa"/>
          </w:tcPr>
          <w:p w14:paraId="2BF65F8F" w14:textId="77777777" w:rsidR="00711444" w:rsidRPr="004D0DAA" w:rsidRDefault="00711444" w:rsidP="00AA2A4C">
            <w:pPr>
              <w:pStyle w:val="TAL"/>
              <w:rPr>
                <w:lang w:eastAsia="en-US"/>
              </w:rPr>
            </w:pPr>
            <w:r w:rsidRPr="004D0DAA">
              <w:rPr>
                <w:lang w:eastAsia="en-US"/>
              </w:rPr>
              <w:t>(maximum window size for a 5 timeslot TBF)</w:t>
            </w:r>
          </w:p>
        </w:tc>
      </w:tr>
      <w:tr w:rsidR="00711444" w:rsidRPr="004D0DAA" w14:paraId="31CC940C" w14:textId="77777777" w:rsidTr="00AA2A4C">
        <w:tblPrEx>
          <w:tblCellMar>
            <w:top w:w="0" w:type="dxa"/>
            <w:bottom w:w="0" w:type="dxa"/>
          </w:tblCellMar>
        </w:tblPrEx>
        <w:trPr>
          <w:cantSplit/>
          <w:jc w:val="center"/>
        </w:trPr>
        <w:tc>
          <w:tcPr>
            <w:tcW w:w="1242" w:type="dxa"/>
          </w:tcPr>
          <w:p w14:paraId="52E2856A" w14:textId="77777777" w:rsidR="00711444" w:rsidRPr="004D0DAA" w:rsidRDefault="00711444" w:rsidP="00AA2A4C">
            <w:pPr>
              <w:pStyle w:val="TAC"/>
              <w:rPr>
                <w:lang w:eastAsia="en-US"/>
              </w:rPr>
            </w:pPr>
            <w:r w:rsidRPr="004D0DAA">
              <w:rPr>
                <w:lang w:eastAsia="en-US"/>
              </w:rPr>
              <w:t>1 0 0 1 1</w:t>
            </w:r>
          </w:p>
        </w:tc>
        <w:tc>
          <w:tcPr>
            <w:tcW w:w="1701" w:type="dxa"/>
          </w:tcPr>
          <w:p w14:paraId="572506FA" w14:textId="77777777" w:rsidR="00711444" w:rsidRPr="004D0DAA" w:rsidRDefault="00711444" w:rsidP="00AA2A4C">
            <w:pPr>
              <w:pStyle w:val="TAC"/>
              <w:rPr>
                <w:lang w:eastAsia="en-US"/>
              </w:rPr>
            </w:pPr>
            <w:r w:rsidRPr="004D0DAA">
              <w:rPr>
                <w:lang w:eastAsia="en-US"/>
              </w:rPr>
              <w:t xml:space="preserve">672 </w:t>
            </w:r>
          </w:p>
        </w:tc>
        <w:tc>
          <w:tcPr>
            <w:tcW w:w="4962" w:type="dxa"/>
          </w:tcPr>
          <w:p w14:paraId="42898BFF" w14:textId="77777777" w:rsidR="00711444" w:rsidRPr="004D0DAA" w:rsidRDefault="00711444" w:rsidP="00AA2A4C">
            <w:pPr>
              <w:pStyle w:val="TAL"/>
              <w:rPr>
                <w:lang w:eastAsia="en-US"/>
              </w:rPr>
            </w:pPr>
          </w:p>
        </w:tc>
      </w:tr>
      <w:tr w:rsidR="00711444" w:rsidRPr="004D0DAA" w14:paraId="46A2D8CF" w14:textId="77777777" w:rsidTr="00AA2A4C">
        <w:tblPrEx>
          <w:tblCellMar>
            <w:top w:w="0" w:type="dxa"/>
            <w:bottom w:w="0" w:type="dxa"/>
          </w:tblCellMar>
        </w:tblPrEx>
        <w:trPr>
          <w:cantSplit/>
          <w:jc w:val="center"/>
        </w:trPr>
        <w:tc>
          <w:tcPr>
            <w:tcW w:w="1242" w:type="dxa"/>
          </w:tcPr>
          <w:p w14:paraId="1058651B" w14:textId="77777777" w:rsidR="00711444" w:rsidRPr="004D0DAA" w:rsidRDefault="00711444" w:rsidP="00AA2A4C">
            <w:pPr>
              <w:pStyle w:val="TAC"/>
              <w:rPr>
                <w:lang w:eastAsia="en-US"/>
              </w:rPr>
            </w:pPr>
            <w:r w:rsidRPr="004D0DAA">
              <w:rPr>
                <w:lang w:eastAsia="en-US"/>
              </w:rPr>
              <w:t>1 0 1 0 0</w:t>
            </w:r>
          </w:p>
        </w:tc>
        <w:tc>
          <w:tcPr>
            <w:tcW w:w="1701" w:type="dxa"/>
          </w:tcPr>
          <w:p w14:paraId="2A2B80FF" w14:textId="77777777" w:rsidR="00711444" w:rsidRPr="004D0DAA" w:rsidRDefault="00711444" w:rsidP="00AA2A4C">
            <w:pPr>
              <w:pStyle w:val="TAC"/>
              <w:rPr>
                <w:lang w:eastAsia="en-US"/>
              </w:rPr>
            </w:pPr>
            <w:r w:rsidRPr="004D0DAA">
              <w:rPr>
                <w:lang w:eastAsia="en-US"/>
              </w:rPr>
              <w:t>704</w:t>
            </w:r>
          </w:p>
        </w:tc>
        <w:tc>
          <w:tcPr>
            <w:tcW w:w="4962" w:type="dxa"/>
          </w:tcPr>
          <w:p w14:paraId="6200755A" w14:textId="77777777" w:rsidR="00711444" w:rsidRPr="004D0DAA" w:rsidRDefault="00711444" w:rsidP="00AA2A4C">
            <w:pPr>
              <w:pStyle w:val="TAL"/>
              <w:rPr>
                <w:lang w:eastAsia="en-US"/>
              </w:rPr>
            </w:pPr>
          </w:p>
        </w:tc>
      </w:tr>
      <w:tr w:rsidR="00711444" w:rsidRPr="004D0DAA" w14:paraId="4E52718F" w14:textId="77777777" w:rsidTr="00AA2A4C">
        <w:tblPrEx>
          <w:tblCellMar>
            <w:top w:w="0" w:type="dxa"/>
            <w:bottom w:w="0" w:type="dxa"/>
          </w:tblCellMar>
        </w:tblPrEx>
        <w:trPr>
          <w:cantSplit/>
          <w:jc w:val="center"/>
        </w:trPr>
        <w:tc>
          <w:tcPr>
            <w:tcW w:w="1242" w:type="dxa"/>
          </w:tcPr>
          <w:p w14:paraId="7064523D" w14:textId="77777777" w:rsidR="00711444" w:rsidRPr="004D0DAA" w:rsidRDefault="00711444" w:rsidP="00AA2A4C">
            <w:pPr>
              <w:pStyle w:val="TAC"/>
              <w:rPr>
                <w:lang w:eastAsia="en-US"/>
              </w:rPr>
            </w:pPr>
            <w:r w:rsidRPr="004D0DAA">
              <w:rPr>
                <w:lang w:eastAsia="en-US"/>
              </w:rPr>
              <w:t>1 0 1 0 1</w:t>
            </w:r>
          </w:p>
        </w:tc>
        <w:tc>
          <w:tcPr>
            <w:tcW w:w="1701" w:type="dxa"/>
          </w:tcPr>
          <w:p w14:paraId="53B3F495" w14:textId="77777777" w:rsidR="00711444" w:rsidRPr="004D0DAA" w:rsidRDefault="00711444" w:rsidP="00AA2A4C">
            <w:pPr>
              <w:pStyle w:val="TAC"/>
              <w:rPr>
                <w:lang w:eastAsia="en-US"/>
              </w:rPr>
            </w:pPr>
            <w:r w:rsidRPr="004D0DAA">
              <w:rPr>
                <w:lang w:eastAsia="en-US"/>
              </w:rPr>
              <w:t>736</w:t>
            </w:r>
          </w:p>
        </w:tc>
        <w:tc>
          <w:tcPr>
            <w:tcW w:w="4962" w:type="dxa"/>
          </w:tcPr>
          <w:p w14:paraId="39BACCE0" w14:textId="77777777" w:rsidR="00711444" w:rsidRPr="004D0DAA" w:rsidRDefault="00711444" w:rsidP="00AA2A4C">
            <w:pPr>
              <w:pStyle w:val="TAL"/>
              <w:rPr>
                <w:lang w:eastAsia="en-US"/>
              </w:rPr>
            </w:pPr>
          </w:p>
        </w:tc>
      </w:tr>
      <w:tr w:rsidR="00711444" w:rsidRPr="004D0DAA" w14:paraId="74E8B1F5" w14:textId="77777777" w:rsidTr="00AA2A4C">
        <w:tblPrEx>
          <w:tblCellMar>
            <w:top w:w="0" w:type="dxa"/>
            <w:bottom w:w="0" w:type="dxa"/>
          </w:tblCellMar>
        </w:tblPrEx>
        <w:trPr>
          <w:cantSplit/>
          <w:jc w:val="center"/>
        </w:trPr>
        <w:tc>
          <w:tcPr>
            <w:tcW w:w="1242" w:type="dxa"/>
          </w:tcPr>
          <w:p w14:paraId="4BDB6007" w14:textId="77777777" w:rsidR="00711444" w:rsidRPr="004D0DAA" w:rsidRDefault="00711444" w:rsidP="00AA2A4C">
            <w:pPr>
              <w:pStyle w:val="TAC"/>
              <w:rPr>
                <w:lang w:eastAsia="en-US"/>
              </w:rPr>
            </w:pPr>
            <w:r w:rsidRPr="004D0DAA">
              <w:rPr>
                <w:lang w:eastAsia="en-US"/>
              </w:rPr>
              <w:t>1 0 1 1 0</w:t>
            </w:r>
          </w:p>
        </w:tc>
        <w:tc>
          <w:tcPr>
            <w:tcW w:w="1701" w:type="dxa"/>
          </w:tcPr>
          <w:p w14:paraId="39FFC7A8" w14:textId="77777777" w:rsidR="00711444" w:rsidRPr="004D0DAA" w:rsidRDefault="00711444" w:rsidP="00AA2A4C">
            <w:pPr>
              <w:pStyle w:val="TAC"/>
              <w:rPr>
                <w:lang w:eastAsia="en-US"/>
              </w:rPr>
            </w:pPr>
            <w:r w:rsidRPr="004D0DAA">
              <w:rPr>
                <w:lang w:eastAsia="en-US"/>
              </w:rPr>
              <w:t>768</w:t>
            </w:r>
          </w:p>
        </w:tc>
        <w:tc>
          <w:tcPr>
            <w:tcW w:w="4962" w:type="dxa"/>
          </w:tcPr>
          <w:p w14:paraId="249B4D14" w14:textId="77777777" w:rsidR="00711444" w:rsidRPr="004D0DAA" w:rsidRDefault="00711444" w:rsidP="00AA2A4C">
            <w:pPr>
              <w:pStyle w:val="TAL"/>
              <w:rPr>
                <w:lang w:eastAsia="en-US"/>
              </w:rPr>
            </w:pPr>
            <w:r w:rsidRPr="004D0DAA">
              <w:rPr>
                <w:lang w:eastAsia="en-US"/>
              </w:rPr>
              <w:t>(maximum window size for a 6 timeslot TBF)</w:t>
            </w:r>
          </w:p>
        </w:tc>
      </w:tr>
      <w:tr w:rsidR="00711444" w:rsidRPr="004D0DAA" w14:paraId="6A8E3455" w14:textId="77777777" w:rsidTr="00AA2A4C">
        <w:tblPrEx>
          <w:tblCellMar>
            <w:top w:w="0" w:type="dxa"/>
            <w:bottom w:w="0" w:type="dxa"/>
          </w:tblCellMar>
        </w:tblPrEx>
        <w:trPr>
          <w:cantSplit/>
          <w:jc w:val="center"/>
        </w:trPr>
        <w:tc>
          <w:tcPr>
            <w:tcW w:w="1242" w:type="dxa"/>
          </w:tcPr>
          <w:p w14:paraId="1DFFFEF7" w14:textId="77777777" w:rsidR="00711444" w:rsidRPr="004D0DAA" w:rsidRDefault="00711444" w:rsidP="00AA2A4C">
            <w:pPr>
              <w:pStyle w:val="TAC"/>
              <w:rPr>
                <w:lang w:eastAsia="en-US"/>
              </w:rPr>
            </w:pPr>
            <w:r w:rsidRPr="004D0DAA">
              <w:rPr>
                <w:lang w:eastAsia="en-US"/>
              </w:rPr>
              <w:t>1 0 1 1 1</w:t>
            </w:r>
          </w:p>
        </w:tc>
        <w:tc>
          <w:tcPr>
            <w:tcW w:w="1701" w:type="dxa"/>
          </w:tcPr>
          <w:p w14:paraId="00E5000F" w14:textId="77777777" w:rsidR="00711444" w:rsidRPr="004D0DAA" w:rsidRDefault="00711444" w:rsidP="00AA2A4C">
            <w:pPr>
              <w:pStyle w:val="TAC"/>
              <w:rPr>
                <w:lang w:eastAsia="en-US"/>
              </w:rPr>
            </w:pPr>
            <w:r w:rsidRPr="004D0DAA">
              <w:rPr>
                <w:lang w:eastAsia="en-US"/>
              </w:rPr>
              <w:t>800</w:t>
            </w:r>
          </w:p>
        </w:tc>
        <w:tc>
          <w:tcPr>
            <w:tcW w:w="4962" w:type="dxa"/>
          </w:tcPr>
          <w:p w14:paraId="6C3FE702" w14:textId="77777777" w:rsidR="00711444" w:rsidRPr="004D0DAA" w:rsidRDefault="00711444" w:rsidP="00AA2A4C">
            <w:pPr>
              <w:pStyle w:val="TAL"/>
              <w:rPr>
                <w:lang w:eastAsia="en-US"/>
              </w:rPr>
            </w:pPr>
          </w:p>
        </w:tc>
      </w:tr>
      <w:tr w:rsidR="00711444" w:rsidRPr="004D0DAA" w14:paraId="5CBCE7B8" w14:textId="77777777" w:rsidTr="00AA2A4C">
        <w:tblPrEx>
          <w:tblCellMar>
            <w:top w:w="0" w:type="dxa"/>
            <w:bottom w:w="0" w:type="dxa"/>
          </w:tblCellMar>
        </w:tblPrEx>
        <w:trPr>
          <w:cantSplit/>
          <w:jc w:val="center"/>
        </w:trPr>
        <w:tc>
          <w:tcPr>
            <w:tcW w:w="1242" w:type="dxa"/>
          </w:tcPr>
          <w:p w14:paraId="6C7A88F4" w14:textId="77777777" w:rsidR="00711444" w:rsidRPr="004D0DAA" w:rsidRDefault="00711444" w:rsidP="00AA2A4C">
            <w:pPr>
              <w:pStyle w:val="TAC"/>
              <w:rPr>
                <w:lang w:eastAsia="en-US"/>
              </w:rPr>
            </w:pPr>
            <w:r w:rsidRPr="004D0DAA">
              <w:rPr>
                <w:lang w:eastAsia="en-US"/>
              </w:rPr>
              <w:t>1 1 0 0 0</w:t>
            </w:r>
          </w:p>
        </w:tc>
        <w:tc>
          <w:tcPr>
            <w:tcW w:w="1701" w:type="dxa"/>
          </w:tcPr>
          <w:p w14:paraId="33E4DDF2" w14:textId="77777777" w:rsidR="00711444" w:rsidRPr="004D0DAA" w:rsidRDefault="00711444" w:rsidP="00AA2A4C">
            <w:pPr>
              <w:pStyle w:val="TAC"/>
              <w:rPr>
                <w:lang w:eastAsia="en-US"/>
              </w:rPr>
            </w:pPr>
            <w:r w:rsidRPr="004D0DAA">
              <w:rPr>
                <w:lang w:eastAsia="en-US"/>
              </w:rPr>
              <w:t>832</w:t>
            </w:r>
          </w:p>
        </w:tc>
        <w:tc>
          <w:tcPr>
            <w:tcW w:w="4962" w:type="dxa"/>
          </w:tcPr>
          <w:p w14:paraId="6E235691" w14:textId="77777777" w:rsidR="00711444" w:rsidRPr="004D0DAA" w:rsidRDefault="00711444" w:rsidP="00AA2A4C">
            <w:pPr>
              <w:pStyle w:val="TAL"/>
              <w:rPr>
                <w:lang w:eastAsia="en-US"/>
              </w:rPr>
            </w:pPr>
          </w:p>
        </w:tc>
      </w:tr>
      <w:tr w:rsidR="00711444" w:rsidRPr="004D0DAA" w14:paraId="1C15FE4C" w14:textId="77777777" w:rsidTr="00AA2A4C">
        <w:tblPrEx>
          <w:tblCellMar>
            <w:top w:w="0" w:type="dxa"/>
            <w:bottom w:w="0" w:type="dxa"/>
          </w:tblCellMar>
        </w:tblPrEx>
        <w:trPr>
          <w:cantSplit/>
          <w:jc w:val="center"/>
        </w:trPr>
        <w:tc>
          <w:tcPr>
            <w:tcW w:w="1242" w:type="dxa"/>
          </w:tcPr>
          <w:p w14:paraId="56125F2D" w14:textId="77777777" w:rsidR="00711444" w:rsidRPr="004D0DAA" w:rsidRDefault="00711444" w:rsidP="00AA2A4C">
            <w:pPr>
              <w:pStyle w:val="TAC"/>
              <w:rPr>
                <w:lang w:eastAsia="en-US"/>
              </w:rPr>
            </w:pPr>
            <w:r w:rsidRPr="004D0DAA">
              <w:rPr>
                <w:lang w:eastAsia="en-US"/>
              </w:rPr>
              <w:t>1 1 0 0 1</w:t>
            </w:r>
          </w:p>
        </w:tc>
        <w:tc>
          <w:tcPr>
            <w:tcW w:w="1701" w:type="dxa"/>
          </w:tcPr>
          <w:p w14:paraId="19DA1951" w14:textId="77777777" w:rsidR="00711444" w:rsidRPr="004D0DAA" w:rsidRDefault="00711444" w:rsidP="00AA2A4C">
            <w:pPr>
              <w:pStyle w:val="TAC"/>
              <w:rPr>
                <w:lang w:eastAsia="en-US"/>
              </w:rPr>
            </w:pPr>
            <w:r w:rsidRPr="004D0DAA">
              <w:rPr>
                <w:lang w:eastAsia="en-US"/>
              </w:rPr>
              <w:t>864</w:t>
            </w:r>
          </w:p>
        </w:tc>
        <w:tc>
          <w:tcPr>
            <w:tcW w:w="4962" w:type="dxa"/>
          </w:tcPr>
          <w:p w14:paraId="5F09F557" w14:textId="77777777" w:rsidR="00711444" w:rsidRPr="004D0DAA" w:rsidRDefault="00711444" w:rsidP="00AA2A4C">
            <w:pPr>
              <w:pStyle w:val="TAL"/>
              <w:rPr>
                <w:lang w:eastAsia="en-US"/>
              </w:rPr>
            </w:pPr>
          </w:p>
        </w:tc>
      </w:tr>
      <w:tr w:rsidR="00711444" w:rsidRPr="004D0DAA" w14:paraId="431FEC12" w14:textId="77777777" w:rsidTr="00AA2A4C">
        <w:tblPrEx>
          <w:tblCellMar>
            <w:top w:w="0" w:type="dxa"/>
            <w:bottom w:w="0" w:type="dxa"/>
          </w:tblCellMar>
        </w:tblPrEx>
        <w:trPr>
          <w:cantSplit/>
          <w:jc w:val="center"/>
        </w:trPr>
        <w:tc>
          <w:tcPr>
            <w:tcW w:w="1242" w:type="dxa"/>
          </w:tcPr>
          <w:p w14:paraId="12C96E79" w14:textId="77777777" w:rsidR="00711444" w:rsidRPr="004D0DAA" w:rsidRDefault="00711444" w:rsidP="00AA2A4C">
            <w:pPr>
              <w:pStyle w:val="TAC"/>
              <w:rPr>
                <w:lang w:eastAsia="en-US"/>
              </w:rPr>
            </w:pPr>
            <w:r w:rsidRPr="004D0DAA">
              <w:rPr>
                <w:lang w:eastAsia="en-US"/>
              </w:rPr>
              <w:t>1 1 0 1 0</w:t>
            </w:r>
          </w:p>
        </w:tc>
        <w:tc>
          <w:tcPr>
            <w:tcW w:w="1701" w:type="dxa"/>
          </w:tcPr>
          <w:p w14:paraId="549FC8A9" w14:textId="77777777" w:rsidR="00711444" w:rsidRPr="004D0DAA" w:rsidRDefault="00711444" w:rsidP="00AA2A4C">
            <w:pPr>
              <w:pStyle w:val="TAC"/>
              <w:rPr>
                <w:lang w:eastAsia="en-US"/>
              </w:rPr>
            </w:pPr>
            <w:r w:rsidRPr="004D0DAA">
              <w:rPr>
                <w:lang w:eastAsia="en-US"/>
              </w:rPr>
              <w:t>896</w:t>
            </w:r>
          </w:p>
        </w:tc>
        <w:tc>
          <w:tcPr>
            <w:tcW w:w="4962" w:type="dxa"/>
          </w:tcPr>
          <w:p w14:paraId="10E1D7C9" w14:textId="77777777" w:rsidR="00711444" w:rsidRPr="004D0DAA" w:rsidRDefault="00711444" w:rsidP="00AA2A4C">
            <w:pPr>
              <w:pStyle w:val="TAL"/>
              <w:rPr>
                <w:lang w:eastAsia="en-US"/>
              </w:rPr>
            </w:pPr>
            <w:r w:rsidRPr="004D0DAA">
              <w:rPr>
                <w:lang w:eastAsia="en-US"/>
              </w:rPr>
              <w:t>(maximum window size for a 7 timeslot TBF)</w:t>
            </w:r>
          </w:p>
        </w:tc>
      </w:tr>
      <w:tr w:rsidR="00711444" w:rsidRPr="004D0DAA" w14:paraId="1F63505F" w14:textId="77777777" w:rsidTr="00AA2A4C">
        <w:tblPrEx>
          <w:tblCellMar>
            <w:top w:w="0" w:type="dxa"/>
            <w:bottom w:w="0" w:type="dxa"/>
          </w:tblCellMar>
        </w:tblPrEx>
        <w:trPr>
          <w:cantSplit/>
          <w:jc w:val="center"/>
        </w:trPr>
        <w:tc>
          <w:tcPr>
            <w:tcW w:w="1242" w:type="dxa"/>
          </w:tcPr>
          <w:p w14:paraId="3AB05544" w14:textId="77777777" w:rsidR="00711444" w:rsidRPr="004D0DAA" w:rsidRDefault="00711444" w:rsidP="00AA2A4C">
            <w:pPr>
              <w:pStyle w:val="TAC"/>
              <w:rPr>
                <w:lang w:eastAsia="en-US"/>
              </w:rPr>
            </w:pPr>
            <w:r w:rsidRPr="004D0DAA">
              <w:rPr>
                <w:lang w:eastAsia="en-US"/>
              </w:rPr>
              <w:t>1 1 0 1 1</w:t>
            </w:r>
          </w:p>
        </w:tc>
        <w:tc>
          <w:tcPr>
            <w:tcW w:w="1701" w:type="dxa"/>
          </w:tcPr>
          <w:p w14:paraId="19C3ECAB" w14:textId="77777777" w:rsidR="00711444" w:rsidRPr="004D0DAA" w:rsidRDefault="00711444" w:rsidP="00AA2A4C">
            <w:pPr>
              <w:pStyle w:val="TAC"/>
              <w:rPr>
                <w:lang w:eastAsia="en-US"/>
              </w:rPr>
            </w:pPr>
            <w:r w:rsidRPr="004D0DAA">
              <w:rPr>
                <w:lang w:eastAsia="en-US"/>
              </w:rPr>
              <w:t>928</w:t>
            </w:r>
          </w:p>
        </w:tc>
        <w:tc>
          <w:tcPr>
            <w:tcW w:w="4962" w:type="dxa"/>
          </w:tcPr>
          <w:p w14:paraId="0C5B233B" w14:textId="77777777" w:rsidR="00711444" w:rsidRPr="004D0DAA" w:rsidRDefault="00711444" w:rsidP="00AA2A4C">
            <w:pPr>
              <w:pStyle w:val="TAL"/>
              <w:rPr>
                <w:lang w:eastAsia="en-US"/>
              </w:rPr>
            </w:pPr>
          </w:p>
        </w:tc>
      </w:tr>
      <w:tr w:rsidR="00711444" w:rsidRPr="004D0DAA" w14:paraId="38C43B23" w14:textId="77777777" w:rsidTr="00AA2A4C">
        <w:tblPrEx>
          <w:tblCellMar>
            <w:top w:w="0" w:type="dxa"/>
            <w:bottom w:w="0" w:type="dxa"/>
          </w:tblCellMar>
        </w:tblPrEx>
        <w:trPr>
          <w:cantSplit/>
          <w:jc w:val="center"/>
        </w:trPr>
        <w:tc>
          <w:tcPr>
            <w:tcW w:w="1242" w:type="dxa"/>
          </w:tcPr>
          <w:p w14:paraId="400F205B" w14:textId="77777777" w:rsidR="00711444" w:rsidRPr="004D0DAA" w:rsidRDefault="00711444" w:rsidP="00AA2A4C">
            <w:pPr>
              <w:pStyle w:val="TAC"/>
              <w:rPr>
                <w:lang w:eastAsia="en-US"/>
              </w:rPr>
            </w:pPr>
            <w:r w:rsidRPr="004D0DAA">
              <w:rPr>
                <w:lang w:eastAsia="en-US"/>
              </w:rPr>
              <w:t>1 1 1 0 0</w:t>
            </w:r>
          </w:p>
        </w:tc>
        <w:tc>
          <w:tcPr>
            <w:tcW w:w="1701" w:type="dxa"/>
          </w:tcPr>
          <w:p w14:paraId="1F5926B7" w14:textId="77777777" w:rsidR="00711444" w:rsidRPr="004D0DAA" w:rsidRDefault="00711444" w:rsidP="00AA2A4C">
            <w:pPr>
              <w:pStyle w:val="TAC"/>
              <w:rPr>
                <w:lang w:eastAsia="en-US"/>
              </w:rPr>
            </w:pPr>
            <w:r w:rsidRPr="004D0DAA">
              <w:rPr>
                <w:lang w:eastAsia="en-US"/>
              </w:rPr>
              <w:t>960</w:t>
            </w:r>
          </w:p>
        </w:tc>
        <w:tc>
          <w:tcPr>
            <w:tcW w:w="4962" w:type="dxa"/>
          </w:tcPr>
          <w:p w14:paraId="3A2F0449" w14:textId="77777777" w:rsidR="00711444" w:rsidRPr="004D0DAA" w:rsidRDefault="00711444" w:rsidP="00AA2A4C">
            <w:pPr>
              <w:pStyle w:val="TAL"/>
              <w:rPr>
                <w:lang w:eastAsia="en-US"/>
              </w:rPr>
            </w:pPr>
          </w:p>
        </w:tc>
      </w:tr>
      <w:tr w:rsidR="00711444" w:rsidRPr="004D0DAA" w14:paraId="6A1E0EF0" w14:textId="77777777" w:rsidTr="00AA2A4C">
        <w:tblPrEx>
          <w:tblCellMar>
            <w:top w:w="0" w:type="dxa"/>
            <w:bottom w:w="0" w:type="dxa"/>
          </w:tblCellMar>
        </w:tblPrEx>
        <w:trPr>
          <w:cantSplit/>
          <w:jc w:val="center"/>
        </w:trPr>
        <w:tc>
          <w:tcPr>
            <w:tcW w:w="1242" w:type="dxa"/>
          </w:tcPr>
          <w:p w14:paraId="5B1D86A7" w14:textId="77777777" w:rsidR="00711444" w:rsidRPr="004D0DAA" w:rsidRDefault="00711444" w:rsidP="00AA2A4C">
            <w:pPr>
              <w:pStyle w:val="TAC"/>
              <w:rPr>
                <w:lang w:eastAsia="en-US"/>
              </w:rPr>
            </w:pPr>
            <w:r w:rsidRPr="004D0DAA">
              <w:rPr>
                <w:lang w:eastAsia="en-US"/>
              </w:rPr>
              <w:t>1 1 1 0 1</w:t>
            </w:r>
          </w:p>
        </w:tc>
        <w:tc>
          <w:tcPr>
            <w:tcW w:w="1701" w:type="dxa"/>
          </w:tcPr>
          <w:p w14:paraId="16C3A5D0" w14:textId="77777777" w:rsidR="00711444" w:rsidRPr="004D0DAA" w:rsidRDefault="00711444" w:rsidP="00AA2A4C">
            <w:pPr>
              <w:pStyle w:val="TAC"/>
              <w:rPr>
                <w:lang w:eastAsia="en-US"/>
              </w:rPr>
            </w:pPr>
            <w:r w:rsidRPr="004D0DAA">
              <w:rPr>
                <w:lang w:eastAsia="en-US"/>
              </w:rPr>
              <w:t>992</w:t>
            </w:r>
          </w:p>
        </w:tc>
        <w:tc>
          <w:tcPr>
            <w:tcW w:w="4962" w:type="dxa"/>
          </w:tcPr>
          <w:p w14:paraId="6ABCDAAD" w14:textId="77777777" w:rsidR="00711444" w:rsidRPr="004D0DAA" w:rsidRDefault="00711444" w:rsidP="00AA2A4C">
            <w:pPr>
              <w:pStyle w:val="TAL"/>
              <w:rPr>
                <w:lang w:eastAsia="en-US"/>
              </w:rPr>
            </w:pPr>
          </w:p>
        </w:tc>
      </w:tr>
      <w:tr w:rsidR="00711444" w:rsidRPr="004D0DAA" w14:paraId="707502F9" w14:textId="77777777" w:rsidTr="00AA2A4C">
        <w:tblPrEx>
          <w:tblCellMar>
            <w:top w:w="0" w:type="dxa"/>
            <w:bottom w:w="0" w:type="dxa"/>
          </w:tblCellMar>
        </w:tblPrEx>
        <w:trPr>
          <w:cantSplit/>
          <w:jc w:val="center"/>
        </w:trPr>
        <w:tc>
          <w:tcPr>
            <w:tcW w:w="1242" w:type="dxa"/>
          </w:tcPr>
          <w:p w14:paraId="1E300334" w14:textId="77777777" w:rsidR="00711444" w:rsidRPr="004D0DAA" w:rsidRDefault="00711444" w:rsidP="00AA2A4C">
            <w:pPr>
              <w:pStyle w:val="TAC"/>
              <w:rPr>
                <w:lang w:eastAsia="en-US"/>
              </w:rPr>
            </w:pPr>
            <w:r w:rsidRPr="004D0DAA">
              <w:rPr>
                <w:lang w:eastAsia="en-US"/>
              </w:rPr>
              <w:t>1 1 1 1 0</w:t>
            </w:r>
          </w:p>
        </w:tc>
        <w:tc>
          <w:tcPr>
            <w:tcW w:w="1701" w:type="dxa"/>
          </w:tcPr>
          <w:p w14:paraId="32F79897" w14:textId="77777777" w:rsidR="00711444" w:rsidRPr="004D0DAA" w:rsidRDefault="00711444" w:rsidP="00AA2A4C">
            <w:pPr>
              <w:pStyle w:val="TAC"/>
              <w:rPr>
                <w:lang w:eastAsia="en-US"/>
              </w:rPr>
            </w:pPr>
            <w:r w:rsidRPr="004D0DAA">
              <w:rPr>
                <w:lang w:eastAsia="en-US"/>
              </w:rPr>
              <w:t xml:space="preserve">1024 </w:t>
            </w:r>
          </w:p>
        </w:tc>
        <w:tc>
          <w:tcPr>
            <w:tcW w:w="4962" w:type="dxa"/>
          </w:tcPr>
          <w:p w14:paraId="5FA5A342" w14:textId="77777777" w:rsidR="00711444" w:rsidRPr="004D0DAA" w:rsidRDefault="00711444" w:rsidP="00AA2A4C">
            <w:pPr>
              <w:pStyle w:val="TAL"/>
              <w:rPr>
                <w:lang w:eastAsia="en-US"/>
              </w:rPr>
            </w:pPr>
            <w:r w:rsidRPr="004D0DAA">
              <w:rPr>
                <w:lang w:eastAsia="en-US"/>
              </w:rPr>
              <w:t>(maximum window size for an 8-16 timeslot TBF)</w:t>
            </w:r>
          </w:p>
        </w:tc>
      </w:tr>
      <w:tr w:rsidR="00711444" w:rsidRPr="004D0DAA" w14:paraId="6BF5AEF5" w14:textId="77777777" w:rsidTr="00AA2A4C">
        <w:tblPrEx>
          <w:tblCellMar>
            <w:top w:w="0" w:type="dxa"/>
            <w:bottom w:w="0" w:type="dxa"/>
          </w:tblCellMar>
        </w:tblPrEx>
        <w:trPr>
          <w:cantSplit/>
          <w:jc w:val="center"/>
        </w:trPr>
        <w:tc>
          <w:tcPr>
            <w:tcW w:w="1242" w:type="dxa"/>
          </w:tcPr>
          <w:p w14:paraId="54000F27" w14:textId="77777777" w:rsidR="00711444" w:rsidRPr="004D0DAA" w:rsidRDefault="00711444" w:rsidP="00AA2A4C">
            <w:pPr>
              <w:pStyle w:val="TAC"/>
              <w:rPr>
                <w:lang w:eastAsia="en-US"/>
              </w:rPr>
            </w:pPr>
            <w:r w:rsidRPr="004D0DAA">
              <w:rPr>
                <w:lang w:eastAsia="en-US"/>
              </w:rPr>
              <w:t>1 1 1 1 1</w:t>
            </w:r>
          </w:p>
        </w:tc>
        <w:tc>
          <w:tcPr>
            <w:tcW w:w="1701" w:type="dxa"/>
          </w:tcPr>
          <w:p w14:paraId="21523F62" w14:textId="77777777" w:rsidR="00711444" w:rsidRPr="004D0DAA" w:rsidRDefault="00711444" w:rsidP="00AA2A4C">
            <w:pPr>
              <w:pStyle w:val="TAC"/>
              <w:rPr>
                <w:lang w:eastAsia="en-US"/>
              </w:rPr>
            </w:pPr>
            <w:r w:rsidRPr="004D0DAA">
              <w:rPr>
                <w:lang w:eastAsia="en-US"/>
              </w:rPr>
              <w:t>Reserved</w:t>
            </w:r>
          </w:p>
        </w:tc>
        <w:tc>
          <w:tcPr>
            <w:tcW w:w="4962" w:type="dxa"/>
          </w:tcPr>
          <w:p w14:paraId="6B5661E0" w14:textId="77777777" w:rsidR="00711444" w:rsidRPr="004D0DAA" w:rsidRDefault="00711444" w:rsidP="00AA2A4C">
            <w:pPr>
              <w:pStyle w:val="TAL"/>
              <w:rPr>
                <w:lang w:eastAsia="en-US"/>
              </w:rPr>
            </w:pPr>
          </w:p>
        </w:tc>
      </w:tr>
    </w:tbl>
    <w:p w14:paraId="4B45CC16" w14:textId="77777777" w:rsidR="00711444" w:rsidRPr="004D0DAA" w:rsidRDefault="00711444" w:rsidP="00711444"/>
    <w:p w14:paraId="4FB35529" w14:textId="77777777" w:rsidR="00711444" w:rsidRPr="004D0DAA" w:rsidRDefault="00711444" w:rsidP="00711444">
      <w:pPr>
        <w:spacing w:after="120"/>
      </w:pPr>
      <w:r w:rsidRPr="004D0DAA">
        <w:t>If RLC unacknowledged mode is signalled in the assignment/reconfiguration message, and the mobile station supports RLC non-persistent mode, RLC non-persistent mode shall be assumed by the mobile station, except when the window size is set equal to 1, and the window size is defined according to Table 12.5.2.2 below.</w:t>
      </w:r>
    </w:p>
    <w:p w14:paraId="2DD6F8B0" w14:textId="77777777" w:rsidR="00711444" w:rsidRPr="004D0DAA" w:rsidRDefault="00711444" w:rsidP="00711444">
      <w:pPr>
        <w:spacing w:after="120"/>
      </w:pPr>
      <w:r w:rsidRPr="004D0DAA">
        <w:lastRenderedPageBreak/>
        <w:t>When a mobile station supporting RLC non-persistent mode operates in RLC unacknowledged mode (i.e. the window size is set to 1) it shall assume the maximum window size corresponding to the TBF’s timeslot allocation (see Table 9.1.9.2.1) when defining the bitmap in sub-clause 9.1.8.2.</w:t>
      </w:r>
    </w:p>
    <w:p w14:paraId="2B0F35E8" w14:textId="77777777" w:rsidR="00711444" w:rsidRPr="004D0DAA" w:rsidRDefault="00711444" w:rsidP="00711444">
      <w:pPr>
        <w:spacing w:after="120"/>
      </w:pPr>
      <w:r w:rsidRPr="004D0DAA">
        <w:t>If an MBMS bearer is allocated RLC non-persistent mode shall be used. For this case the window size is defined according to Table 12.5.2.2 below.</w:t>
      </w:r>
    </w:p>
    <w:p w14:paraId="0193C114" w14:textId="77777777" w:rsidR="00711444" w:rsidRPr="004D0DAA" w:rsidRDefault="00711444" w:rsidP="00711444">
      <w:pPr>
        <w:spacing w:after="120"/>
      </w:pPr>
    </w:p>
    <w:p w14:paraId="1C62CDCC" w14:textId="77777777" w:rsidR="00711444" w:rsidRPr="004D0DAA" w:rsidRDefault="00711444" w:rsidP="00711444">
      <w:pPr>
        <w:pStyle w:val="TH"/>
      </w:pPr>
      <w:r w:rsidRPr="004D0DAA">
        <w:t>Table 12.5.2.2: EGPRS Window Size Information Elements details for RLC non-persistent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701"/>
        <w:gridCol w:w="4962"/>
      </w:tblGrid>
      <w:tr w:rsidR="00711444" w:rsidRPr="004D0DAA" w14:paraId="2837F971" w14:textId="77777777" w:rsidTr="00AA2A4C">
        <w:tblPrEx>
          <w:tblCellMar>
            <w:top w:w="0" w:type="dxa"/>
            <w:bottom w:w="0" w:type="dxa"/>
          </w:tblCellMar>
        </w:tblPrEx>
        <w:trPr>
          <w:cantSplit/>
          <w:jc w:val="center"/>
        </w:trPr>
        <w:tc>
          <w:tcPr>
            <w:tcW w:w="1242" w:type="dxa"/>
          </w:tcPr>
          <w:p w14:paraId="157DC110" w14:textId="77777777" w:rsidR="00711444" w:rsidRPr="004D0DAA" w:rsidRDefault="00711444" w:rsidP="00AA2A4C">
            <w:pPr>
              <w:pStyle w:val="TAH"/>
              <w:rPr>
                <w:lang w:eastAsia="en-US"/>
              </w:rPr>
            </w:pPr>
            <w:r w:rsidRPr="004D0DAA">
              <w:rPr>
                <w:lang w:eastAsia="en-US"/>
              </w:rPr>
              <w:t>bit</w:t>
            </w:r>
            <w:r w:rsidRPr="004D0DAA">
              <w:rPr>
                <w:lang w:eastAsia="en-US"/>
              </w:rPr>
              <w:br/>
              <w:t>5 4 3 2 1</w:t>
            </w:r>
          </w:p>
        </w:tc>
        <w:tc>
          <w:tcPr>
            <w:tcW w:w="1701" w:type="dxa"/>
          </w:tcPr>
          <w:p w14:paraId="14643967" w14:textId="77777777" w:rsidR="00711444" w:rsidRPr="004D0DAA" w:rsidRDefault="00711444" w:rsidP="00AA2A4C">
            <w:pPr>
              <w:pStyle w:val="TAH"/>
              <w:rPr>
                <w:lang w:eastAsia="en-US"/>
              </w:rPr>
            </w:pPr>
            <w:r w:rsidRPr="004D0DAA">
              <w:rPr>
                <w:lang w:eastAsia="en-US"/>
              </w:rPr>
              <w:t>Value of EGPRS window size</w:t>
            </w:r>
          </w:p>
        </w:tc>
        <w:tc>
          <w:tcPr>
            <w:tcW w:w="4962" w:type="dxa"/>
          </w:tcPr>
          <w:p w14:paraId="63FAD130" w14:textId="77777777" w:rsidR="00711444" w:rsidRPr="004D0DAA" w:rsidRDefault="00711444" w:rsidP="00AA2A4C">
            <w:pPr>
              <w:pStyle w:val="TAH"/>
              <w:rPr>
                <w:lang w:eastAsia="en-US"/>
              </w:rPr>
            </w:pPr>
            <w:r w:rsidRPr="004D0DAA">
              <w:rPr>
                <w:lang w:eastAsia="en-US"/>
              </w:rPr>
              <w:br/>
              <w:t>Comment</w:t>
            </w:r>
          </w:p>
        </w:tc>
      </w:tr>
      <w:tr w:rsidR="00711444" w:rsidRPr="004D0DAA" w14:paraId="77ADC3FB" w14:textId="77777777" w:rsidTr="00AA2A4C">
        <w:tblPrEx>
          <w:tblCellMar>
            <w:top w:w="0" w:type="dxa"/>
            <w:bottom w:w="0" w:type="dxa"/>
          </w:tblCellMar>
        </w:tblPrEx>
        <w:trPr>
          <w:cantSplit/>
          <w:jc w:val="center"/>
        </w:trPr>
        <w:tc>
          <w:tcPr>
            <w:tcW w:w="1242" w:type="dxa"/>
          </w:tcPr>
          <w:p w14:paraId="06691B80" w14:textId="77777777" w:rsidR="00711444" w:rsidRPr="004D0DAA" w:rsidRDefault="00711444" w:rsidP="00AA2A4C">
            <w:pPr>
              <w:pStyle w:val="TAC"/>
              <w:rPr>
                <w:lang w:eastAsia="en-US"/>
              </w:rPr>
            </w:pPr>
            <w:r w:rsidRPr="004D0DAA">
              <w:rPr>
                <w:lang w:eastAsia="en-US"/>
              </w:rPr>
              <w:t>0 0 0 0 0</w:t>
            </w:r>
          </w:p>
        </w:tc>
        <w:tc>
          <w:tcPr>
            <w:tcW w:w="1701" w:type="dxa"/>
          </w:tcPr>
          <w:p w14:paraId="0950C0DD" w14:textId="77777777" w:rsidR="00711444" w:rsidRPr="004D0DAA" w:rsidRDefault="00711444" w:rsidP="00AA2A4C">
            <w:pPr>
              <w:pStyle w:val="TAC"/>
              <w:rPr>
                <w:lang w:eastAsia="en-US"/>
              </w:rPr>
            </w:pPr>
            <w:r w:rsidRPr="004D0DAA">
              <w:rPr>
                <w:lang w:eastAsia="en-US"/>
              </w:rPr>
              <w:t>1</w:t>
            </w:r>
          </w:p>
        </w:tc>
        <w:tc>
          <w:tcPr>
            <w:tcW w:w="4962" w:type="dxa"/>
          </w:tcPr>
          <w:p w14:paraId="7A039D12" w14:textId="77777777" w:rsidR="00711444" w:rsidRPr="004D0DAA" w:rsidRDefault="00711444" w:rsidP="00AA2A4C">
            <w:pPr>
              <w:pStyle w:val="TAL"/>
              <w:rPr>
                <w:lang w:eastAsia="en-US"/>
              </w:rPr>
            </w:pPr>
            <w:r w:rsidRPr="004D0DAA">
              <w:rPr>
                <w:lang w:eastAsia="en-US"/>
              </w:rPr>
              <w:t>This value indicates RLC unacknowledged mode is used for the EGPRS TBF</w:t>
            </w:r>
          </w:p>
        </w:tc>
      </w:tr>
      <w:tr w:rsidR="00711444" w:rsidRPr="004D0DAA" w14:paraId="2D234B80" w14:textId="77777777" w:rsidTr="00AA2A4C">
        <w:tblPrEx>
          <w:tblCellMar>
            <w:top w:w="0" w:type="dxa"/>
            <w:bottom w:w="0" w:type="dxa"/>
          </w:tblCellMar>
        </w:tblPrEx>
        <w:trPr>
          <w:cantSplit/>
          <w:jc w:val="center"/>
        </w:trPr>
        <w:tc>
          <w:tcPr>
            <w:tcW w:w="1242" w:type="dxa"/>
          </w:tcPr>
          <w:p w14:paraId="60446B8B" w14:textId="77777777" w:rsidR="00711444" w:rsidRPr="004D0DAA" w:rsidRDefault="00711444" w:rsidP="00AA2A4C">
            <w:pPr>
              <w:pStyle w:val="TAC"/>
              <w:rPr>
                <w:lang w:eastAsia="en-US"/>
              </w:rPr>
            </w:pPr>
            <w:r w:rsidRPr="004D0DAA">
              <w:rPr>
                <w:lang w:eastAsia="en-US"/>
              </w:rPr>
              <w:t>0 0 0 0 1</w:t>
            </w:r>
          </w:p>
        </w:tc>
        <w:tc>
          <w:tcPr>
            <w:tcW w:w="1701" w:type="dxa"/>
          </w:tcPr>
          <w:p w14:paraId="3BDE9AF9" w14:textId="77777777" w:rsidR="00711444" w:rsidRPr="004D0DAA" w:rsidRDefault="00711444" w:rsidP="00AA2A4C">
            <w:pPr>
              <w:pStyle w:val="TAC"/>
              <w:rPr>
                <w:lang w:eastAsia="en-US"/>
              </w:rPr>
            </w:pPr>
            <w:r w:rsidRPr="004D0DAA">
              <w:rPr>
                <w:lang w:eastAsia="en-US"/>
              </w:rPr>
              <w:t xml:space="preserve">2 </w:t>
            </w:r>
          </w:p>
        </w:tc>
        <w:tc>
          <w:tcPr>
            <w:tcW w:w="4962" w:type="dxa"/>
          </w:tcPr>
          <w:p w14:paraId="65EC1660" w14:textId="77777777" w:rsidR="00711444" w:rsidRPr="004D0DAA" w:rsidRDefault="00711444" w:rsidP="00AA2A4C">
            <w:pPr>
              <w:pStyle w:val="TAL"/>
              <w:rPr>
                <w:lang w:eastAsia="en-US"/>
              </w:rPr>
            </w:pPr>
          </w:p>
        </w:tc>
      </w:tr>
      <w:tr w:rsidR="00711444" w:rsidRPr="004D0DAA" w14:paraId="4DD351C1" w14:textId="77777777" w:rsidTr="00AA2A4C">
        <w:tblPrEx>
          <w:tblCellMar>
            <w:top w:w="0" w:type="dxa"/>
            <w:bottom w:w="0" w:type="dxa"/>
          </w:tblCellMar>
        </w:tblPrEx>
        <w:trPr>
          <w:cantSplit/>
          <w:jc w:val="center"/>
        </w:trPr>
        <w:tc>
          <w:tcPr>
            <w:tcW w:w="1242" w:type="dxa"/>
          </w:tcPr>
          <w:p w14:paraId="3E14332F" w14:textId="77777777" w:rsidR="00711444" w:rsidRPr="004D0DAA" w:rsidRDefault="00711444" w:rsidP="00AA2A4C">
            <w:pPr>
              <w:pStyle w:val="TAC"/>
              <w:rPr>
                <w:lang w:eastAsia="en-US"/>
              </w:rPr>
            </w:pPr>
            <w:r w:rsidRPr="004D0DAA">
              <w:rPr>
                <w:lang w:eastAsia="en-US"/>
              </w:rPr>
              <w:t>0 0 0 1 0</w:t>
            </w:r>
          </w:p>
        </w:tc>
        <w:tc>
          <w:tcPr>
            <w:tcW w:w="1701" w:type="dxa"/>
          </w:tcPr>
          <w:p w14:paraId="27FC6911" w14:textId="77777777" w:rsidR="00711444" w:rsidRPr="004D0DAA" w:rsidRDefault="00711444" w:rsidP="00AA2A4C">
            <w:pPr>
              <w:pStyle w:val="TAC"/>
              <w:rPr>
                <w:lang w:eastAsia="en-US"/>
              </w:rPr>
            </w:pPr>
            <w:r w:rsidRPr="004D0DAA">
              <w:rPr>
                <w:lang w:eastAsia="en-US"/>
              </w:rPr>
              <w:t>4</w:t>
            </w:r>
          </w:p>
        </w:tc>
        <w:tc>
          <w:tcPr>
            <w:tcW w:w="4962" w:type="dxa"/>
          </w:tcPr>
          <w:p w14:paraId="19578699" w14:textId="77777777" w:rsidR="00711444" w:rsidRPr="004D0DAA" w:rsidRDefault="00711444" w:rsidP="00AA2A4C">
            <w:pPr>
              <w:pStyle w:val="TAL"/>
              <w:rPr>
                <w:lang w:eastAsia="en-US"/>
              </w:rPr>
            </w:pPr>
          </w:p>
        </w:tc>
      </w:tr>
      <w:tr w:rsidR="00711444" w:rsidRPr="004D0DAA" w14:paraId="6EA52C3A" w14:textId="77777777" w:rsidTr="00AA2A4C">
        <w:tblPrEx>
          <w:tblCellMar>
            <w:top w:w="0" w:type="dxa"/>
            <w:bottom w:w="0" w:type="dxa"/>
          </w:tblCellMar>
        </w:tblPrEx>
        <w:trPr>
          <w:cantSplit/>
          <w:jc w:val="center"/>
        </w:trPr>
        <w:tc>
          <w:tcPr>
            <w:tcW w:w="1242" w:type="dxa"/>
          </w:tcPr>
          <w:p w14:paraId="3EF43F77" w14:textId="77777777" w:rsidR="00711444" w:rsidRPr="004D0DAA" w:rsidRDefault="00711444" w:rsidP="00AA2A4C">
            <w:pPr>
              <w:pStyle w:val="TAC"/>
              <w:rPr>
                <w:lang w:eastAsia="en-US"/>
              </w:rPr>
            </w:pPr>
            <w:r w:rsidRPr="004D0DAA">
              <w:rPr>
                <w:lang w:eastAsia="en-US"/>
              </w:rPr>
              <w:t>0 0 0 1 1</w:t>
            </w:r>
          </w:p>
        </w:tc>
        <w:tc>
          <w:tcPr>
            <w:tcW w:w="1701" w:type="dxa"/>
          </w:tcPr>
          <w:p w14:paraId="3B3396B7" w14:textId="77777777" w:rsidR="00711444" w:rsidRPr="004D0DAA" w:rsidRDefault="00711444" w:rsidP="00AA2A4C">
            <w:pPr>
              <w:pStyle w:val="TAC"/>
              <w:rPr>
                <w:lang w:eastAsia="en-US"/>
              </w:rPr>
            </w:pPr>
            <w:r w:rsidRPr="004D0DAA">
              <w:rPr>
                <w:lang w:eastAsia="en-US"/>
              </w:rPr>
              <w:t xml:space="preserve">6 </w:t>
            </w:r>
          </w:p>
        </w:tc>
        <w:tc>
          <w:tcPr>
            <w:tcW w:w="4962" w:type="dxa"/>
          </w:tcPr>
          <w:p w14:paraId="4529C631" w14:textId="77777777" w:rsidR="00711444" w:rsidRPr="004D0DAA" w:rsidRDefault="00711444" w:rsidP="00AA2A4C">
            <w:pPr>
              <w:pStyle w:val="TAL"/>
              <w:rPr>
                <w:lang w:eastAsia="en-US"/>
              </w:rPr>
            </w:pPr>
          </w:p>
        </w:tc>
      </w:tr>
      <w:tr w:rsidR="00711444" w:rsidRPr="004D0DAA" w14:paraId="4178495C" w14:textId="77777777" w:rsidTr="00AA2A4C">
        <w:tblPrEx>
          <w:tblCellMar>
            <w:top w:w="0" w:type="dxa"/>
            <w:bottom w:w="0" w:type="dxa"/>
          </w:tblCellMar>
        </w:tblPrEx>
        <w:trPr>
          <w:cantSplit/>
          <w:jc w:val="center"/>
        </w:trPr>
        <w:tc>
          <w:tcPr>
            <w:tcW w:w="1242" w:type="dxa"/>
          </w:tcPr>
          <w:p w14:paraId="519E9286" w14:textId="77777777" w:rsidR="00711444" w:rsidRPr="004D0DAA" w:rsidRDefault="00711444" w:rsidP="00AA2A4C">
            <w:pPr>
              <w:pStyle w:val="TAC"/>
              <w:rPr>
                <w:lang w:eastAsia="en-US"/>
              </w:rPr>
            </w:pPr>
            <w:r w:rsidRPr="004D0DAA">
              <w:rPr>
                <w:lang w:eastAsia="en-US"/>
              </w:rPr>
              <w:t>0 0 1 0 0</w:t>
            </w:r>
          </w:p>
        </w:tc>
        <w:tc>
          <w:tcPr>
            <w:tcW w:w="1701" w:type="dxa"/>
          </w:tcPr>
          <w:p w14:paraId="4B67F66C" w14:textId="77777777" w:rsidR="00711444" w:rsidRPr="004D0DAA" w:rsidRDefault="00711444" w:rsidP="00AA2A4C">
            <w:pPr>
              <w:pStyle w:val="TAC"/>
              <w:rPr>
                <w:lang w:eastAsia="en-US"/>
              </w:rPr>
            </w:pPr>
            <w:r w:rsidRPr="004D0DAA">
              <w:rPr>
                <w:lang w:eastAsia="en-US"/>
              </w:rPr>
              <w:t>8</w:t>
            </w:r>
          </w:p>
        </w:tc>
        <w:tc>
          <w:tcPr>
            <w:tcW w:w="4962" w:type="dxa"/>
          </w:tcPr>
          <w:p w14:paraId="6E655B9B" w14:textId="77777777" w:rsidR="00711444" w:rsidRPr="004D0DAA" w:rsidRDefault="00711444" w:rsidP="00AA2A4C">
            <w:pPr>
              <w:pStyle w:val="TAL"/>
              <w:rPr>
                <w:lang w:eastAsia="en-US"/>
              </w:rPr>
            </w:pPr>
          </w:p>
        </w:tc>
      </w:tr>
      <w:tr w:rsidR="00711444" w:rsidRPr="004D0DAA" w14:paraId="2906A91D" w14:textId="77777777" w:rsidTr="00AA2A4C">
        <w:tblPrEx>
          <w:tblCellMar>
            <w:top w:w="0" w:type="dxa"/>
            <w:bottom w:w="0" w:type="dxa"/>
          </w:tblCellMar>
        </w:tblPrEx>
        <w:trPr>
          <w:cantSplit/>
          <w:jc w:val="center"/>
        </w:trPr>
        <w:tc>
          <w:tcPr>
            <w:tcW w:w="1242" w:type="dxa"/>
          </w:tcPr>
          <w:p w14:paraId="3EA33898" w14:textId="77777777" w:rsidR="00711444" w:rsidRPr="004D0DAA" w:rsidRDefault="00711444" w:rsidP="00AA2A4C">
            <w:pPr>
              <w:pStyle w:val="TAC"/>
              <w:rPr>
                <w:lang w:eastAsia="en-US"/>
              </w:rPr>
            </w:pPr>
            <w:r w:rsidRPr="004D0DAA">
              <w:rPr>
                <w:lang w:eastAsia="en-US"/>
              </w:rPr>
              <w:t>0 0 1 0 1</w:t>
            </w:r>
          </w:p>
        </w:tc>
        <w:tc>
          <w:tcPr>
            <w:tcW w:w="1701" w:type="dxa"/>
          </w:tcPr>
          <w:p w14:paraId="16BF07D2" w14:textId="77777777" w:rsidR="00711444" w:rsidRPr="004D0DAA" w:rsidRDefault="00711444" w:rsidP="00AA2A4C">
            <w:pPr>
              <w:pStyle w:val="TAC"/>
              <w:rPr>
                <w:lang w:eastAsia="en-US"/>
              </w:rPr>
            </w:pPr>
            <w:r w:rsidRPr="004D0DAA">
              <w:rPr>
                <w:lang w:eastAsia="en-US"/>
              </w:rPr>
              <w:t xml:space="preserve">10 </w:t>
            </w:r>
          </w:p>
        </w:tc>
        <w:tc>
          <w:tcPr>
            <w:tcW w:w="4962" w:type="dxa"/>
          </w:tcPr>
          <w:p w14:paraId="399BCCA5" w14:textId="77777777" w:rsidR="00711444" w:rsidRPr="004D0DAA" w:rsidRDefault="00711444" w:rsidP="00AA2A4C">
            <w:pPr>
              <w:pStyle w:val="TAL"/>
              <w:rPr>
                <w:lang w:eastAsia="en-US"/>
              </w:rPr>
            </w:pPr>
          </w:p>
        </w:tc>
      </w:tr>
      <w:tr w:rsidR="00711444" w:rsidRPr="004D0DAA" w14:paraId="1E986924" w14:textId="77777777" w:rsidTr="00AA2A4C">
        <w:tblPrEx>
          <w:tblCellMar>
            <w:top w:w="0" w:type="dxa"/>
            <w:bottom w:w="0" w:type="dxa"/>
          </w:tblCellMar>
        </w:tblPrEx>
        <w:trPr>
          <w:cantSplit/>
          <w:jc w:val="center"/>
        </w:trPr>
        <w:tc>
          <w:tcPr>
            <w:tcW w:w="1242" w:type="dxa"/>
          </w:tcPr>
          <w:p w14:paraId="7F9288D6" w14:textId="77777777" w:rsidR="00711444" w:rsidRPr="004D0DAA" w:rsidRDefault="00711444" w:rsidP="00AA2A4C">
            <w:pPr>
              <w:pStyle w:val="TAC"/>
              <w:rPr>
                <w:lang w:eastAsia="en-US"/>
              </w:rPr>
            </w:pPr>
            <w:r w:rsidRPr="004D0DAA">
              <w:rPr>
                <w:lang w:eastAsia="en-US"/>
              </w:rPr>
              <w:t>0 0 1 1 0</w:t>
            </w:r>
          </w:p>
        </w:tc>
        <w:tc>
          <w:tcPr>
            <w:tcW w:w="1701" w:type="dxa"/>
          </w:tcPr>
          <w:p w14:paraId="339868A3" w14:textId="77777777" w:rsidR="00711444" w:rsidRPr="004D0DAA" w:rsidRDefault="00711444" w:rsidP="00AA2A4C">
            <w:pPr>
              <w:pStyle w:val="TAC"/>
              <w:rPr>
                <w:lang w:eastAsia="en-US"/>
              </w:rPr>
            </w:pPr>
            <w:r w:rsidRPr="004D0DAA">
              <w:rPr>
                <w:lang w:eastAsia="en-US"/>
              </w:rPr>
              <w:t>12</w:t>
            </w:r>
          </w:p>
        </w:tc>
        <w:tc>
          <w:tcPr>
            <w:tcW w:w="4962" w:type="dxa"/>
          </w:tcPr>
          <w:p w14:paraId="78F30875" w14:textId="77777777" w:rsidR="00711444" w:rsidRPr="004D0DAA" w:rsidRDefault="00711444" w:rsidP="00AA2A4C">
            <w:pPr>
              <w:pStyle w:val="TAL"/>
              <w:rPr>
                <w:lang w:eastAsia="en-US"/>
              </w:rPr>
            </w:pPr>
          </w:p>
        </w:tc>
      </w:tr>
      <w:tr w:rsidR="00711444" w:rsidRPr="004D0DAA" w14:paraId="4264CD9B" w14:textId="77777777" w:rsidTr="00AA2A4C">
        <w:tblPrEx>
          <w:tblCellMar>
            <w:top w:w="0" w:type="dxa"/>
            <w:bottom w:w="0" w:type="dxa"/>
          </w:tblCellMar>
        </w:tblPrEx>
        <w:trPr>
          <w:cantSplit/>
          <w:jc w:val="center"/>
        </w:trPr>
        <w:tc>
          <w:tcPr>
            <w:tcW w:w="1242" w:type="dxa"/>
          </w:tcPr>
          <w:p w14:paraId="58064EA3" w14:textId="77777777" w:rsidR="00711444" w:rsidRPr="004D0DAA" w:rsidRDefault="00711444" w:rsidP="00AA2A4C">
            <w:pPr>
              <w:pStyle w:val="TAC"/>
              <w:rPr>
                <w:lang w:eastAsia="en-US"/>
              </w:rPr>
            </w:pPr>
            <w:r w:rsidRPr="004D0DAA">
              <w:rPr>
                <w:lang w:eastAsia="en-US"/>
              </w:rPr>
              <w:t>0 0 1 1 1</w:t>
            </w:r>
          </w:p>
        </w:tc>
        <w:tc>
          <w:tcPr>
            <w:tcW w:w="1701" w:type="dxa"/>
          </w:tcPr>
          <w:p w14:paraId="0503A4C7" w14:textId="77777777" w:rsidR="00711444" w:rsidRPr="004D0DAA" w:rsidRDefault="00711444" w:rsidP="00AA2A4C">
            <w:pPr>
              <w:pStyle w:val="TAC"/>
              <w:rPr>
                <w:lang w:eastAsia="en-US"/>
              </w:rPr>
            </w:pPr>
            <w:r w:rsidRPr="004D0DAA">
              <w:rPr>
                <w:lang w:eastAsia="en-US"/>
              </w:rPr>
              <w:t xml:space="preserve">16 </w:t>
            </w:r>
          </w:p>
        </w:tc>
        <w:tc>
          <w:tcPr>
            <w:tcW w:w="4962" w:type="dxa"/>
          </w:tcPr>
          <w:p w14:paraId="77D5066F" w14:textId="77777777" w:rsidR="00711444" w:rsidRPr="004D0DAA" w:rsidRDefault="00711444" w:rsidP="00AA2A4C">
            <w:pPr>
              <w:pStyle w:val="TAL"/>
              <w:rPr>
                <w:lang w:eastAsia="en-US"/>
              </w:rPr>
            </w:pPr>
          </w:p>
        </w:tc>
      </w:tr>
      <w:tr w:rsidR="00711444" w:rsidRPr="004D0DAA" w14:paraId="5E680E85" w14:textId="77777777" w:rsidTr="00AA2A4C">
        <w:tblPrEx>
          <w:tblCellMar>
            <w:top w:w="0" w:type="dxa"/>
            <w:bottom w:w="0" w:type="dxa"/>
          </w:tblCellMar>
        </w:tblPrEx>
        <w:trPr>
          <w:cantSplit/>
          <w:jc w:val="center"/>
        </w:trPr>
        <w:tc>
          <w:tcPr>
            <w:tcW w:w="1242" w:type="dxa"/>
          </w:tcPr>
          <w:p w14:paraId="303081C3" w14:textId="77777777" w:rsidR="00711444" w:rsidRPr="004D0DAA" w:rsidRDefault="00711444" w:rsidP="00AA2A4C">
            <w:pPr>
              <w:pStyle w:val="TAC"/>
              <w:rPr>
                <w:lang w:eastAsia="en-US"/>
              </w:rPr>
            </w:pPr>
            <w:r w:rsidRPr="004D0DAA">
              <w:rPr>
                <w:lang w:eastAsia="en-US"/>
              </w:rPr>
              <w:t>0 1 0 0 0</w:t>
            </w:r>
          </w:p>
        </w:tc>
        <w:tc>
          <w:tcPr>
            <w:tcW w:w="1701" w:type="dxa"/>
          </w:tcPr>
          <w:p w14:paraId="4FEED022" w14:textId="77777777" w:rsidR="00711444" w:rsidRPr="004D0DAA" w:rsidRDefault="00711444" w:rsidP="00AA2A4C">
            <w:pPr>
              <w:pStyle w:val="TAC"/>
              <w:rPr>
                <w:lang w:eastAsia="en-US"/>
              </w:rPr>
            </w:pPr>
            <w:r w:rsidRPr="004D0DAA">
              <w:rPr>
                <w:lang w:eastAsia="en-US"/>
              </w:rPr>
              <w:t xml:space="preserve">20 </w:t>
            </w:r>
          </w:p>
        </w:tc>
        <w:tc>
          <w:tcPr>
            <w:tcW w:w="4962" w:type="dxa"/>
          </w:tcPr>
          <w:p w14:paraId="17B38E55" w14:textId="77777777" w:rsidR="00711444" w:rsidRPr="004D0DAA" w:rsidRDefault="00711444" w:rsidP="00AA2A4C">
            <w:pPr>
              <w:pStyle w:val="TAL"/>
              <w:rPr>
                <w:lang w:eastAsia="en-US"/>
              </w:rPr>
            </w:pPr>
          </w:p>
        </w:tc>
      </w:tr>
      <w:tr w:rsidR="00711444" w:rsidRPr="004D0DAA" w14:paraId="612BCF36" w14:textId="77777777" w:rsidTr="00AA2A4C">
        <w:tblPrEx>
          <w:tblCellMar>
            <w:top w:w="0" w:type="dxa"/>
            <w:bottom w:w="0" w:type="dxa"/>
          </w:tblCellMar>
        </w:tblPrEx>
        <w:trPr>
          <w:cantSplit/>
          <w:jc w:val="center"/>
        </w:trPr>
        <w:tc>
          <w:tcPr>
            <w:tcW w:w="1242" w:type="dxa"/>
          </w:tcPr>
          <w:p w14:paraId="5901F4A2" w14:textId="77777777" w:rsidR="00711444" w:rsidRPr="004D0DAA" w:rsidRDefault="00711444" w:rsidP="00AA2A4C">
            <w:pPr>
              <w:pStyle w:val="TAC"/>
              <w:rPr>
                <w:lang w:eastAsia="en-US"/>
              </w:rPr>
            </w:pPr>
            <w:r w:rsidRPr="004D0DAA">
              <w:rPr>
                <w:lang w:eastAsia="en-US"/>
              </w:rPr>
              <w:t>0 1 0 0 1</w:t>
            </w:r>
          </w:p>
        </w:tc>
        <w:tc>
          <w:tcPr>
            <w:tcW w:w="1701" w:type="dxa"/>
          </w:tcPr>
          <w:p w14:paraId="3B12CF68" w14:textId="77777777" w:rsidR="00711444" w:rsidRPr="004D0DAA" w:rsidRDefault="00711444" w:rsidP="00AA2A4C">
            <w:pPr>
              <w:pStyle w:val="TAC"/>
              <w:rPr>
                <w:lang w:eastAsia="en-US"/>
              </w:rPr>
            </w:pPr>
            <w:r w:rsidRPr="004D0DAA">
              <w:rPr>
                <w:lang w:eastAsia="en-US"/>
              </w:rPr>
              <w:t xml:space="preserve">24 </w:t>
            </w:r>
          </w:p>
        </w:tc>
        <w:tc>
          <w:tcPr>
            <w:tcW w:w="4962" w:type="dxa"/>
          </w:tcPr>
          <w:p w14:paraId="5BAB997A" w14:textId="77777777" w:rsidR="00711444" w:rsidRPr="004D0DAA" w:rsidRDefault="00711444" w:rsidP="00AA2A4C">
            <w:pPr>
              <w:pStyle w:val="TAL"/>
              <w:rPr>
                <w:lang w:eastAsia="en-US"/>
              </w:rPr>
            </w:pPr>
          </w:p>
        </w:tc>
      </w:tr>
      <w:tr w:rsidR="00711444" w:rsidRPr="004D0DAA" w14:paraId="2D04639F" w14:textId="77777777" w:rsidTr="00AA2A4C">
        <w:tblPrEx>
          <w:tblCellMar>
            <w:top w:w="0" w:type="dxa"/>
            <w:bottom w:w="0" w:type="dxa"/>
          </w:tblCellMar>
        </w:tblPrEx>
        <w:trPr>
          <w:cantSplit/>
          <w:jc w:val="center"/>
        </w:trPr>
        <w:tc>
          <w:tcPr>
            <w:tcW w:w="1242" w:type="dxa"/>
          </w:tcPr>
          <w:p w14:paraId="68B9280D" w14:textId="77777777" w:rsidR="00711444" w:rsidRPr="004D0DAA" w:rsidRDefault="00711444" w:rsidP="00AA2A4C">
            <w:pPr>
              <w:pStyle w:val="TAC"/>
              <w:rPr>
                <w:lang w:eastAsia="en-US"/>
              </w:rPr>
            </w:pPr>
            <w:r w:rsidRPr="004D0DAA">
              <w:rPr>
                <w:lang w:eastAsia="en-US"/>
              </w:rPr>
              <w:t>0 1 0 1 0</w:t>
            </w:r>
          </w:p>
        </w:tc>
        <w:tc>
          <w:tcPr>
            <w:tcW w:w="1701" w:type="dxa"/>
          </w:tcPr>
          <w:p w14:paraId="224267F8" w14:textId="77777777" w:rsidR="00711444" w:rsidRPr="004D0DAA" w:rsidRDefault="00711444" w:rsidP="00AA2A4C">
            <w:pPr>
              <w:pStyle w:val="TAC"/>
              <w:rPr>
                <w:lang w:eastAsia="en-US"/>
              </w:rPr>
            </w:pPr>
            <w:r w:rsidRPr="004D0DAA">
              <w:rPr>
                <w:lang w:eastAsia="en-US"/>
              </w:rPr>
              <w:t>32</w:t>
            </w:r>
          </w:p>
        </w:tc>
        <w:tc>
          <w:tcPr>
            <w:tcW w:w="4962" w:type="dxa"/>
          </w:tcPr>
          <w:p w14:paraId="689B687D" w14:textId="77777777" w:rsidR="00711444" w:rsidRPr="004D0DAA" w:rsidRDefault="00711444" w:rsidP="00AA2A4C">
            <w:pPr>
              <w:pStyle w:val="TAL"/>
              <w:rPr>
                <w:lang w:eastAsia="en-US"/>
              </w:rPr>
            </w:pPr>
          </w:p>
        </w:tc>
      </w:tr>
      <w:tr w:rsidR="00711444" w:rsidRPr="004D0DAA" w14:paraId="1DD0B251" w14:textId="77777777" w:rsidTr="00AA2A4C">
        <w:tblPrEx>
          <w:tblCellMar>
            <w:top w:w="0" w:type="dxa"/>
            <w:bottom w:w="0" w:type="dxa"/>
          </w:tblCellMar>
        </w:tblPrEx>
        <w:trPr>
          <w:cantSplit/>
          <w:jc w:val="center"/>
        </w:trPr>
        <w:tc>
          <w:tcPr>
            <w:tcW w:w="1242" w:type="dxa"/>
          </w:tcPr>
          <w:p w14:paraId="1C6E86EE" w14:textId="77777777" w:rsidR="00711444" w:rsidRPr="004D0DAA" w:rsidRDefault="00711444" w:rsidP="00AA2A4C">
            <w:pPr>
              <w:pStyle w:val="TAC"/>
              <w:rPr>
                <w:lang w:eastAsia="en-US"/>
              </w:rPr>
            </w:pPr>
            <w:r w:rsidRPr="004D0DAA">
              <w:rPr>
                <w:lang w:eastAsia="en-US"/>
              </w:rPr>
              <w:t>0 1 0 1 1</w:t>
            </w:r>
          </w:p>
        </w:tc>
        <w:tc>
          <w:tcPr>
            <w:tcW w:w="1701" w:type="dxa"/>
          </w:tcPr>
          <w:p w14:paraId="573B2CD4" w14:textId="77777777" w:rsidR="00711444" w:rsidRPr="004D0DAA" w:rsidRDefault="00711444" w:rsidP="00AA2A4C">
            <w:pPr>
              <w:pStyle w:val="TAC"/>
              <w:rPr>
                <w:lang w:eastAsia="en-US"/>
              </w:rPr>
            </w:pPr>
            <w:r w:rsidRPr="004D0DAA">
              <w:rPr>
                <w:lang w:eastAsia="en-US"/>
              </w:rPr>
              <w:t>40</w:t>
            </w:r>
          </w:p>
        </w:tc>
        <w:tc>
          <w:tcPr>
            <w:tcW w:w="4962" w:type="dxa"/>
          </w:tcPr>
          <w:p w14:paraId="1433AF17" w14:textId="77777777" w:rsidR="00711444" w:rsidRPr="004D0DAA" w:rsidRDefault="00711444" w:rsidP="00AA2A4C">
            <w:pPr>
              <w:pStyle w:val="TAL"/>
              <w:rPr>
                <w:lang w:eastAsia="en-US"/>
              </w:rPr>
            </w:pPr>
          </w:p>
        </w:tc>
      </w:tr>
      <w:tr w:rsidR="00711444" w:rsidRPr="004D0DAA" w14:paraId="2E8FB691" w14:textId="77777777" w:rsidTr="00AA2A4C">
        <w:tblPrEx>
          <w:tblCellMar>
            <w:top w:w="0" w:type="dxa"/>
            <w:bottom w:w="0" w:type="dxa"/>
          </w:tblCellMar>
        </w:tblPrEx>
        <w:trPr>
          <w:cantSplit/>
          <w:jc w:val="center"/>
        </w:trPr>
        <w:tc>
          <w:tcPr>
            <w:tcW w:w="1242" w:type="dxa"/>
          </w:tcPr>
          <w:p w14:paraId="6A55804D" w14:textId="77777777" w:rsidR="00711444" w:rsidRPr="004D0DAA" w:rsidRDefault="00711444" w:rsidP="00AA2A4C">
            <w:pPr>
              <w:pStyle w:val="TAC"/>
              <w:rPr>
                <w:lang w:eastAsia="en-US"/>
              </w:rPr>
            </w:pPr>
            <w:r w:rsidRPr="004D0DAA">
              <w:rPr>
                <w:lang w:eastAsia="en-US"/>
              </w:rPr>
              <w:t>0 1 1 0 0</w:t>
            </w:r>
          </w:p>
        </w:tc>
        <w:tc>
          <w:tcPr>
            <w:tcW w:w="1701" w:type="dxa"/>
          </w:tcPr>
          <w:p w14:paraId="6D27F09F" w14:textId="77777777" w:rsidR="00711444" w:rsidRPr="004D0DAA" w:rsidRDefault="00711444" w:rsidP="00AA2A4C">
            <w:pPr>
              <w:pStyle w:val="TAC"/>
              <w:rPr>
                <w:lang w:eastAsia="en-US"/>
              </w:rPr>
            </w:pPr>
            <w:r w:rsidRPr="004D0DAA">
              <w:rPr>
                <w:lang w:eastAsia="en-US"/>
              </w:rPr>
              <w:t xml:space="preserve">48 </w:t>
            </w:r>
          </w:p>
        </w:tc>
        <w:tc>
          <w:tcPr>
            <w:tcW w:w="4962" w:type="dxa"/>
          </w:tcPr>
          <w:p w14:paraId="3046FE1F" w14:textId="77777777" w:rsidR="00711444" w:rsidRPr="004D0DAA" w:rsidRDefault="00711444" w:rsidP="00AA2A4C">
            <w:pPr>
              <w:pStyle w:val="TAL"/>
              <w:rPr>
                <w:lang w:eastAsia="en-US"/>
              </w:rPr>
            </w:pPr>
          </w:p>
        </w:tc>
      </w:tr>
      <w:tr w:rsidR="00711444" w:rsidRPr="004D0DAA" w14:paraId="165E7958" w14:textId="77777777" w:rsidTr="00AA2A4C">
        <w:tblPrEx>
          <w:tblCellMar>
            <w:top w:w="0" w:type="dxa"/>
            <w:bottom w:w="0" w:type="dxa"/>
          </w:tblCellMar>
        </w:tblPrEx>
        <w:trPr>
          <w:cantSplit/>
          <w:jc w:val="center"/>
        </w:trPr>
        <w:tc>
          <w:tcPr>
            <w:tcW w:w="1242" w:type="dxa"/>
          </w:tcPr>
          <w:p w14:paraId="5A5BA135" w14:textId="77777777" w:rsidR="00711444" w:rsidRPr="004D0DAA" w:rsidRDefault="00711444" w:rsidP="00AA2A4C">
            <w:pPr>
              <w:pStyle w:val="TAC"/>
              <w:rPr>
                <w:lang w:eastAsia="en-US"/>
              </w:rPr>
            </w:pPr>
            <w:r w:rsidRPr="004D0DAA">
              <w:rPr>
                <w:lang w:eastAsia="en-US"/>
              </w:rPr>
              <w:t>0 1 1 0 1</w:t>
            </w:r>
          </w:p>
        </w:tc>
        <w:tc>
          <w:tcPr>
            <w:tcW w:w="1701" w:type="dxa"/>
          </w:tcPr>
          <w:p w14:paraId="08444181" w14:textId="77777777" w:rsidR="00711444" w:rsidRPr="004D0DAA" w:rsidRDefault="00711444" w:rsidP="00AA2A4C">
            <w:pPr>
              <w:pStyle w:val="TAC"/>
              <w:rPr>
                <w:lang w:eastAsia="en-US"/>
              </w:rPr>
            </w:pPr>
            <w:r w:rsidRPr="004D0DAA">
              <w:rPr>
                <w:lang w:eastAsia="en-US"/>
              </w:rPr>
              <w:t xml:space="preserve">56 </w:t>
            </w:r>
          </w:p>
        </w:tc>
        <w:tc>
          <w:tcPr>
            <w:tcW w:w="4962" w:type="dxa"/>
          </w:tcPr>
          <w:p w14:paraId="3D919DC6" w14:textId="77777777" w:rsidR="00711444" w:rsidRPr="004D0DAA" w:rsidRDefault="00711444" w:rsidP="00AA2A4C">
            <w:pPr>
              <w:pStyle w:val="TAL"/>
              <w:rPr>
                <w:lang w:eastAsia="en-US"/>
              </w:rPr>
            </w:pPr>
          </w:p>
        </w:tc>
      </w:tr>
      <w:tr w:rsidR="00711444" w:rsidRPr="004D0DAA" w14:paraId="3A6784FF" w14:textId="77777777" w:rsidTr="00AA2A4C">
        <w:tblPrEx>
          <w:tblCellMar>
            <w:top w:w="0" w:type="dxa"/>
            <w:bottom w:w="0" w:type="dxa"/>
          </w:tblCellMar>
        </w:tblPrEx>
        <w:trPr>
          <w:cantSplit/>
          <w:jc w:val="center"/>
        </w:trPr>
        <w:tc>
          <w:tcPr>
            <w:tcW w:w="1242" w:type="dxa"/>
          </w:tcPr>
          <w:p w14:paraId="4161D23A" w14:textId="77777777" w:rsidR="00711444" w:rsidRPr="004D0DAA" w:rsidRDefault="00711444" w:rsidP="00AA2A4C">
            <w:pPr>
              <w:pStyle w:val="TAC"/>
              <w:rPr>
                <w:lang w:eastAsia="en-US"/>
              </w:rPr>
            </w:pPr>
            <w:r w:rsidRPr="004D0DAA">
              <w:rPr>
                <w:lang w:eastAsia="en-US"/>
              </w:rPr>
              <w:t>0 1 1 1 0</w:t>
            </w:r>
          </w:p>
        </w:tc>
        <w:tc>
          <w:tcPr>
            <w:tcW w:w="1701" w:type="dxa"/>
          </w:tcPr>
          <w:p w14:paraId="60CAC9D1" w14:textId="77777777" w:rsidR="00711444" w:rsidRPr="004D0DAA" w:rsidRDefault="00711444" w:rsidP="00AA2A4C">
            <w:pPr>
              <w:pStyle w:val="TAC"/>
              <w:rPr>
                <w:lang w:eastAsia="en-US"/>
              </w:rPr>
            </w:pPr>
            <w:r w:rsidRPr="004D0DAA">
              <w:rPr>
                <w:lang w:eastAsia="en-US"/>
              </w:rPr>
              <w:t>64</w:t>
            </w:r>
          </w:p>
        </w:tc>
        <w:tc>
          <w:tcPr>
            <w:tcW w:w="4962" w:type="dxa"/>
          </w:tcPr>
          <w:p w14:paraId="5EAD5374" w14:textId="77777777" w:rsidR="00711444" w:rsidRPr="004D0DAA" w:rsidRDefault="00711444" w:rsidP="00AA2A4C">
            <w:pPr>
              <w:pStyle w:val="TAL"/>
              <w:rPr>
                <w:lang w:eastAsia="en-US"/>
              </w:rPr>
            </w:pPr>
          </w:p>
        </w:tc>
      </w:tr>
      <w:tr w:rsidR="00711444" w:rsidRPr="004D0DAA" w14:paraId="0DAD0C25" w14:textId="77777777" w:rsidTr="00AA2A4C">
        <w:tblPrEx>
          <w:tblCellMar>
            <w:top w:w="0" w:type="dxa"/>
            <w:bottom w:w="0" w:type="dxa"/>
          </w:tblCellMar>
        </w:tblPrEx>
        <w:trPr>
          <w:cantSplit/>
          <w:jc w:val="center"/>
        </w:trPr>
        <w:tc>
          <w:tcPr>
            <w:tcW w:w="1242" w:type="dxa"/>
          </w:tcPr>
          <w:p w14:paraId="30660E25" w14:textId="77777777" w:rsidR="00711444" w:rsidRPr="004D0DAA" w:rsidRDefault="00711444" w:rsidP="00AA2A4C">
            <w:pPr>
              <w:pStyle w:val="TAC"/>
              <w:rPr>
                <w:lang w:eastAsia="en-US"/>
              </w:rPr>
            </w:pPr>
            <w:r w:rsidRPr="004D0DAA">
              <w:rPr>
                <w:lang w:eastAsia="en-US"/>
              </w:rPr>
              <w:t>0 1 1 1 1</w:t>
            </w:r>
          </w:p>
        </w:tc>
        <w:tc>
          <w:tcPr>
            <w:tcW w:w="1701" w:type="dxa"/>
          </w:tcPr>
          <w:p w14:paraId="56395D4F" w14:textId="77777777" w:rsidR="00711444" w:rsidRPr="004D0DAA" w:rsidRDefault="00711444" w:rsidP="00AA2A4C">
            <w:pPr>
              <w:pStyle w:val="TAC"/>
              <w:rPr>
                <w:lang w:eastAsia="en-US"/>
              </w:rPr>
            </w:pPr>
            <w:r w:rsidRPr="004D0DAA">
              <w:rPr>
                <w:lang w:eastAsia="en-US"/>
              </w:rPr>
              <w:t>80</w:t>
            </w:r>
          </w:p>
        </w:tc>
        <w:tc>
          <w:tcPr>
            <w:tcW w:w="4962" w:type="dxa"/>
          </w:tcPr>
          <w:p w14:paraId="71BD7E8E" w14:textId="77777777" w:rsidR="00711444" w:rsidRPr="004D0DAA" w:rsidRDefault="00711444" w:rsidP="00AA2A4C">
            <w:pPr>
              <w:pStyle w:val="TAL"/>
              <w:rPr>
                <w:lang w:eastAsia="en-US"/>
              </w:rPr>
            </w:pPr>
          </w:p>
        </w:tc>
      </w:tr>
      <w:tr w:rsidR="00711444" w:rsidRPr="004D0DAA" w14:paraId="6AE2A4B2" w14:textId="77777777" w:rsidTr="00AA2A4C">
        <w:tblPrEx>
          <w:tblCellMar>
            <w:top w:w="0" w:type="dxa"/>
            <w:bottom w:w="0" w:type="dxa"/>
          </w:tblCellMar>
        </w:tblPrEx>
        <w:trPr>
          <w:cantSplit/>
          <w:jc w:val="center"/>
        </w:trPr>
        <w:tc>
          <w:tcPr>
            <w:tcW w:w="1242" w:type="dxa"/>
          </w:tcPr>
          <w:p w14:paraId="42B792FA" w14:textId="77777777" w:rsidR="00711444" w:rsidRPr="004D0DAA" w:rsidRDefault="00711444" w:rsidP="00AA2A4C">
            <w:pPr>
              <w:pStyle w:val="TAC"/>
              <w:rPr>
                <w:lang w:eastAsia="en-US"/>
              </w:rPr>
            </w:pPr>
            <w:r w:rsidRPr="004D0DAA">
              <w:rPr>
                <w:lang w:eastAsia="en-US"/>
              </w:rPr>
              <w:t>1 0 0 0 0</w:t>
            </w:r>
          </w:p>
        </w:tc>
        <w:tc>
          <w:tcPr>
            <w:tcW w:w="1701" w:type="dxa"/>
          </w:tcPr>
          <w:p w14:paraId="178E48C1" w14:textId="77777777" w:rsidR="00711444" w:rsidRPr="004D0DAA" w:rsidRDefault="00711444" w:rsidP="00AA2A4C">
            <w:pPr>
              <w:pStyle w:val="TAC"/>
              <w:rPr>
                <w:lang w:eastAsia="en-US"/>
              </w:rPr>
            </w:pPr>
            <w:r w:rsidRPr="004D0DAA">
              <w:rPr>
                <w:lang w:eastAsia="en-US"/>
              </w:rPr>
              <w:t>96</w:t>
            </w:r>
          </w:p>
        </w:tc>
        <w:tc>
          <w:tcPr>
            <w:tcW w:w="4962" w:type="dxa"/>
          </w:tcPr>
          <w:p w14:paraId="4889D5FA" w14:textId="77777777" w:rsidR="00711444" w:rsidRPr="004D0DAA" w:rsidRDefault="00711444" w:rsidP="00AA2A4C">
            <w:pPr>
              <w:pStyle w:val="TAL"/>
              <w:rPr>
                <w:lang w:eastAsia="en-US"/>
              </w:rPr>
            </w:pPr>
          </w:p>
        </w:tc>
      </w:tr>
      <w:tr w:rsidR="00711444" w:rsidRPr="004D0DAA" w14:paraId="6E1737B9" w14:textId="77777777" w:rsidTr="00AA2A4C">
        <w:tblPrEx>
          <w:tblCellMar>
            <w:top w:w="0" w:type="dxa"/>
            <w:bottom w:w="0" w:type="dxa"/>
          </w:tblCellMar>
        </w:tblPrEx>
        <w:trPr>
          <w:cantSplit/>
          <w:jc w:val="center"/>
        </w:trPr>
        <w:tc>
          <w:tcPr>
            <w:tcW w:w="1242" w:type="dxa"/>
          </w:tcPr>
          <w:p w14:paraId="13D52871" w14:textId="77777777" w:rsidR="00711444" w:rsidRPr="004D0DAA" w:rsidRDefault="00711444" w:rsidP="00AA2A4C">
            <w:pPr>
              <w:pStyle w:val="TAC"/>
              <w:rPr>
                <w:lang w:eastAsia="en-US"/>
              </w:rPr>
            </w:pPr>
            <w:r w:rsidRPr="004D0DAA">
              <w:rPr>
                <w:lang w:eastAsia="en-US"/>
              </w:rPr>
              <w:t>1 0 0 0 1</w:t>
            </w:r>
          </w:p>
        </w:tc>
        <w:tc>
          <w:tcPr>
            <w:tcW w:w="1701" w:type="dxa"/>
          </w:tcPr>
          <w:p w14:paraId="737D408D" w14:textId="77777777" w:rsidR="00711444" w:rsidRPr="004D0DAA" w:rsidRDefault="00711444" w:rsidP="00AA2A4C">
            <w:pPr>
              <w:pStyle w:val="TAC"/>
              <w:rPr>
                <w:lang w:eastAsia="en-US"/>
              </w:rPr>
            </w:pPr>
            <w:r w:rsidRPr="004D0DAA">
              <w:rPr>
                <w:lang w:eastAsia="en-US"/>
              </w:rPr>
              <w:t xml:space="preserve">112 </w:t>
            </w:r>
          </w:p>
        </w:tc>
        <w:tc>
          <w:tcPr>
            <w:tcW w:w="4962" w:type="dxa"/>
          </w:tcPr>
          <w:p w14:paraId="272268B2" w14:textId="77777777" w:rsidR="00711444" w:rsidRPr="004D0DAA" w:rsidRDefault="00711444" w:rsidP="00AA2A4C">
            <w:pPr>
              <w:pStyle w:val="TAL"/>
              <w:rPr>
                <w:lang w:eastAsia="en-US"/>
              </w:rPr>
            </w:pPr>
          </w:p>
        </w:tc>
      </w:tr>
      <w:tr w:rsidR="00711444" w:rsidRPr="004D0DAA" w14:paraId="081E60A0" w14:textId="77777777" w:rsidTr="00AA2A4C">
        <w:tblPrEx>
          <w:tblCellMar>
            <w:top w:w="0" w:type="dxa"/>
            <w:bottom w:w="0" w:type="dxa"/>
          </w:tblCellMar>
        </w:tblPrEx>
        <w:trPr>
          <w:cantSplit/>
          <w:jc w:val="center"/>
        </w:trPr>
        <w:tc>
          <w:tcPr>
            <w:tcW w:w="1242" w:type="dxa"/>
          </w:tcPr>
          <w:p w14:paraId="0BC1A3DB" w14:textId="77777777" w:rsidR="00711444" w:rsidRPr="004D0DAA" w:rsidRDefault="00711444" w:rsidP="00AA2A4C">
            <w:pPr>
              <w:pStyle w:val="TAC"/>
              <w:rPr>
                <w:lang w:eastAsia="en-US"/>
              </w:rPr>
            </w:pPr>
            <w:r w:rsidRPr="004D0DAA">
              <w:rPr>
                <w:lang w:eastAsia="en-US"/>
              </w:rPr>
              <w:t>1 0 0 1 0</w:t>
            </w:r>
          </w:p>
        </w:tc>
        <w:tc>
          <w:tcPr>
            <w:tcW w:w="1701" w:type="dxa"/>
          </w:tcPr>
          <w:p w14:paraId="1EB7AE8D" w14:textId="77777777" w:rsidR="00711444" w:rsidRPr="004D0DAA" w:rsidRDefault="00711444" w:rsidP="00AA2A4C">
            <w:pPr>
              <w:pStyle w:val="TAC"/>
              <w:rPr>
                <w:lang w:eastAsia="en-US"/>
              </w:rPr>
            </w:pPr>
            <w:r w:rsidRPr="004D0DAA">
              <w:rPr>
                <w:lang w:eastAsia="en-US"/>
              </w:rPr>
              <w:t>128</w:t>
            </w:r>
          </w:p>
        </w:tc>
        <w:tc>
          <w:tcPr>
            <w:tcW w:w="4962" w:type="dxa"/>
          </w:tcPr>
          <w:p w14:paraId="07B00E39" w14:textId="77777777" w:rsidR="00711444" w:rsidRPr="004D0DAA" w:rsidRDefault="00711444" w:rsidP="00AA2A4C">
            <w:pPr>
              <w:pStyle w:val="TAL"/>
              <w:rPr>
                <w:lang w:eastAsia="en-US"/>
              </w:rPr>
            </w:pPr>
          </w:p>
        </w:tc>
      </w:tr>
      <w:tr w:rsidR="00711444" w:rsidRPr="004D0DAA" w14:paraId="46A19952" w14:textId="77777777" w:rsidTr="00AA2A4C">
        <w:tblPrEx>
          <w:tblCellMar>
            <w:top w:w="0" w:type="dxa"/>
            <w:bottom w:w="0" w:type="dxa"/>
          </w:tblCellMar>
        </w:tblPrEx>
        <w:trPr>
          <w:cantSplit/>
          <w:jc w:val="center"/>
        </w:trPr>
        <w:tc>
          <w:tcPr>
            <w:tcW w:w="1242" w:type="dxa"/>
          </w:tcPr>
          <w:p w14:paraId="106D8B48" w14:textId="77777777" w:rsidR="00711444" w:rsidRPr="004D0DAA" w:rsidRDefault="00711444" w:rsidP="00AA2A4C">
            <w:pPr>
              <w:pStyle w:val="TAC"/>
              <w:rPr>
                <w:lang w:eastAsia="en-US"/>
              </w:rPr>
            </w:pPr>
            <w:r w:rsidRPr="004D0DAA">
              <w:rPr>
                <w:lang w:eastAsia="en-US"/>
              </w:rPr>
              <w:t>1 0 0 1 1</w:t>
            </w:r>
          </w:p>
        </w:tc>
        <w:tc>
          <w:tcPr>
            <w:tcW w:w="1701" w:type="dxa"/>
          </w:tcPr>
          <w:p w14:paraId="558502A0" w14:textId="77777777" w:rsidR="00711444" w:rsidRPr="004D0DAA" w:rsidRDefault="00711444" w:rsidP="00AA2A4C">
            <w:pPr>
              <w:pStyle w:val="TAC"/>
              <w:rPr>
                <w:lang w:eastAsia="en-US"/>
              </w:rPr>
            </w:pPr>
            <w:r w:rsidRPr="004D0DAA">
              <w:rPr>
                <w:lang w:eastAsia="en-US"/>
              </w:rPr>
              <w:t xml:space="preserve">160 </w:t>
            </w:r>
          </w:p>
        </w:tc>
        <w:tc>
          <w:tcPr>
            <w:tcW w:w="4962" w:type="dxa"/>
          </w:tcPr>
          <w:p w14:paraId="6AC29A2D" w14:textId="77777777" w:rsidR="00711444" w:rsidRPr="004D0DAA" w:rsidRDefault="00711444" w:rsidP="00AA2A4C">
            <w:pPr>
              <w:pStyle w:val="TAL"/>
              <w:rPr>
                <w:lang w:eastAsia="en-US"/>
              </w:rPr>
            </w:pPr>
          </w:p>
        </w:tc>
      </w:tr>
      <w:tr w:rsidR="00711444" w:rsidRPr="004D0DAA" w14:paraId="61B9606C" w14:textId="77777777" w:rsidTr="00AA2A4C">
        <w:tblPrEx>
          <w:tblCellMar>
            <w:top w:w="0" w:type="dxa"/>
            <w:bottom w:w="0" w:type="dxa"/>
          </w:tblCellMar>
        </w:tblPrEx>
        <w:trPr>
          <w:cantSplit/>
          <w:jc w:val="center"/>
        </w:trPr>
        <w:tc>
          <w:tcPr>
            <w:tcW w:w="1242" w:type="dxa"/>
          </w:tcPr>
          <w:p w14:paraId="4083CAFC" w14:textId="77777777" w:rsidR="00711444" w:rsidRPr="004D0DAA" w:rsidRDefault="00711444" w:rsidP="00AA2A4C">
            <w:pPr>
              <w:pStyle w:val="TAC"/>
              <w:rPr>
                <w:lang w:eastAsia="en-US"/>
              </w:rPr>
            </w:pPr>
            <w:r w:rsidRPr="004D0DAA">
              <w:rPr>
                <w:lang w:eastAsia="en-US"/>
              </w:rPr>
              <w:t>1 0 1 0 0</w:t>
            </w:r>
          </w:p>
        </w:tc>
        <w:tc>
          <w:tcPr>
            <w:tcW w:w="1701" w:type="dxa"/>
          </w:tcPr>
          <w:p w14:paraId="1B0F0A7A" w14:textId="77777777" w:rsidR="00711444" w:rsidRPr="004D0DAA" w:rsidRDefault="00711444" w:rsidP="00AA2A4C">
            <w:pPr>
              <w:pStyle w:val="TAC"/>
              <w:rPr>
                <w:lang w:eastAsia="en-US"/>
              </w:rPr>
            </w:pPr>
            <w:r w:rsidRPr="004D0DAA">
              <w:rPr>
                <w:lang w:eastAsia="en-US"/>
              </w:rPr>
              <w:t>192</w:t>
            </w:r>
          </w:p>
        </w:tc>
        <w:tc>
          <w:tcPr>
            <w:tcW w:w="4962" w:type="dxa"/>
          </w:tcPr>
          <w:p w14:paraId="2B11B780" w14:textId="77777777" w:rsidR="00711444" w:rsidRPr="004D0DAA" w:rsidRDefault="00711444" w:rsidP="00AA2A4C">
            <w:pPr>
              <w:pStyle w:val="TAL"/>
              <w:rPr>
                <w:lang w:eastAsia="en-US"/>
              </w:rPr>
            </w:pPr>
            <w:r w:rsidRPr="004D0DAA">
              <w:rPr>
                <w:lang w:eastAsia="en-US"/>
              </w:rPr>
              <w:t>(maximum window size for a 1 timeslot TBF)</w:t>
            </w:r>
          </w:p>
        </w:tc>
      </w:tr>
      <w:tr w:rsidR="00711444" w:rsidRPr="004D0DAA" w14:paraId="3A387FEC" w14:textId="77777777" w:rsidTr="00AA2A4C">
        <w:tblPrEx>
          <w:tblCellMar>
            <w:top w:w="0" w:type="dxa"/>
            <w:bottom w:w="0" w:type="dxa"/>
          </w:tblCellMar>
        </w:tblPrEx>
        <w:trPr>
          <w:cantSplit/>
          <w:jc w:val="center"/>
        </w:trPr>
        <w:tc>
          <w:tcPr>
            <w:tcW w:w="1242" w:type="dxa"/>
          </w:tcPr>
          <w:p w14:paraId="1FB4EE8C" w14:textId="77777777" w:rsidR="00711444" w:rsidRPr="004D0DAA" w:rsidRDefault="00711444" w:rsidP="00AA2A4C">
            <w:pPr>
              <w:pStyle w:val="TAC"/>
              <w:rPr>
                <w:lang w:eastAsia="en-US"/>
              </w:rPr>
            </w:pPr>
            <w:r w:rsidRPr="004D0DAA">
              <w:rPr>
                <w:lang w:eastAsia="en-US"/>
              </w:rPr>
              <w:t>1 0 1 0 1</w:t>
            </w:r>
          </w:p>
        </w:tc>
        <w:tc>
          <w:tcPr>
            <w:tcW w:w="1701" w:type="dxa"/>
          </w:tcPr>
          <w:p w14:paraId="7B302621" w14:textId="77777777" w:rsidR="00711444" w:rsidRPr="004D0DAA" w:rsidRDefault="00711444" w:rsidP="00AA2A4C">
            <w:pPr>
              <w:pStyle w:val="TAC"/>
              <w:rPr>
                <w:lang w:eastAsia="en-US"/>
              </w:rPr>
            </w:pPr>
            <w:r w:rsidRPr="004D0DAA">
              <w:rPr>
                <w:lang w:eastAsia="en-US"/>
              </w:rPr>
              <w:t>256</w:t>
            </w:r>
          </w:p>
        </w:tc>
        <w:tc>
          <w:tcPr>
            <w:tcW w:w="4962" w:type="dxa"/>
          </w:tcPr>
          <w:p w14:paraId="0133C5D0" w14:textId="77777777" w:rsidR="00711444" w:rsidRPr="004D0DAA" w:rsidRDefault="00711444" w:rsidP="00AA2A4C">
            <w:pPr>
              <w:pStyle w:val="TAL"/>
              <w:rPr>
                <w:lang w:eastAsia="en-US"/>
              </w:rPr>
            </w:pPr>
            <w:r w:rsidRPr="004D0DAA">
              <w:rPr>
                <w:lang w:eastAsia="en-US"/>
              </w:rPr>
              <w:t>(maximum window size for a 2 timeslot TBF)</w:t>
            </w:r>
          </w:p>
        </w:tc>
      </w:tr>
      <w:tr w:rsidR="00711444" w:rsidRPr="004D0DAA" w14:paraId="3903705C" w14:textId="77777777" w:rsidTr="00AA2A4C">
        <w:tblPrEx>
          <w:tblCellMar>
            <w:top w:w="0" w:type="dxa"/>
            <w:bottom w:w="0" w:type="dxa"/>
          </w:tblCellMar>
        </w:tblPrEx>
        <w:trPr>
          <w:cantSplit/>
          <w:jc w:val="center"/>
        </w:trPr>
        <w:tc>
          <w:tcPr>
            <w:tcW w:w="1242" w:type="dxa"/>
          </w:tcPr>
          <w:p w14:paraId="249065E4" w14:textId="77777777" w:rsidR="00711444" w:rsidRPr="004D0DAA" w:rsidRDefault="00711444" w:rsidP="00AA2A4C">
            <w:pPr>
              <w:pStyle w:val="TAC"/>
              <w:rPr>
                <w:lang w:eastAsia="en-US"/>
              </w:rPr>
            </w:pPr>
            <w:r w:rsidRPr="004D0DAA">
              <w:rPr>
                <w:lang w:eastAsia="en-US"/>
              </w:rPr>
              <w:t>1 0 1 1 0</w:t>
            </w:r>
          </w:p>
        </w:tc>
        <w:tc>
          <w:tcPr>
            <w:tcW w:w="1701" w:type="dxa"/>
          </w:tcPr>
          <w:p w14:paraId="52A1A302" w14:textId="77777777" w:rsidR="00711444" w:rsidRPr="004D0DAA" w:rsidRDefault="00711444" w:rsidP="00AA2A4C">
            <w:pPr>
              <w:pStyle w:val="TAC"/>
              <w:rPr>
                <w:lang w:eastAsia="en-US"/>
              </w:rPr>
            </w:pPr>
            <w:r w:rsidRPr="004D0DAA">
              <w:rPr>
                <w:lang w:eastAsia="en-US"/>
              </w:rPr>
              <w:t>320</w:t>
            </w:r>
          </w:p>
        </w:tc>
        <w:tc>
          <w:tcPr>
            <w:tcW w:w="4962" w:type="dxa"/>
          </w:tcPr>
          <w:p w14:paraId="1DF772FF" w14:textId="77777777" w:rsidR="00711444" w:rsidRPr="004D0DAA" w:rsidRDefault="00711444" w:rsidP="00AA2A4C">
            <w:pPr>
              <w:pStyle w:val="TAL"/>
              <w:rPr>
                <w:lang w:eastAsia="en-US"/>
              </w:rPr>
            </w:pPr>
          </w:p>
        </w:tc>
      </w:tr>
      <w:tr w:rsidR="00711444" w:rsidRPr="004D0DAA" w14:paraId="0FE0CF7D" w14:textId="77777777" w:rsidTr="00AA2A4C">
        <w:tblPrEx>
          <w:tblCellMar>
            <w:top w:w="0" w:type="dxa"/>
            <w:bottom w:w="0" w:type="dxa"/>
          </w:tblCellMar>
        </w:tblPrEx>
        <w:trPr>
          <w:cantSplit/>
          <w:jc w:val="center"/>
        </w:trPr>
        <w:tc>
          <w:tcPr>
            <w:tcW w:w="1242" w:type="dxa"/>
          </w:tcPr>
          <w:p w14:paraId="53FA5D73" w14:textId="77777777" w:rsidR="00711444" w:rsidRPr="004D0DAA" w:rsidRDefault="00711444" w:rsidP="00AA2A4C">
            <w:pPr>
              <w:pStyle w:val="TAC"/>
              <w:rPr>
                <w:lang w:eastAsia="en-US"/>
              </w:rPr>
            </w:pPr>
            <w:r w:rsidRPr="004D0DAA">
              <w:rPr>
                <w:lang w:eastAsia="en-US"/>
              </w:rPr>
              <w:t>1 0 1 1 1</w:t>
            </w:r>
          </w:p>
        </w:tc>
        <w:tc>
          <w:tcPr>
            <w:tcW w:w="1701" w:type="dxa"/>
          </w:tcPr>
          <w:p w14:paraId="46DFF16C" w14:textId="77777777" w:rsidR="00711444" w:rsidRPr="004D0DAA" w:rsidRDefault="00711444" w:rsidP="00AA2A4C">
            <w:pPr>
              <w:pStyle w:val="TAC"/>
              <w:rPr>
                <w:lang w:eastAsia="en-US"/>
              </w:rPr>
            </w:pPr>
            <w:r w:rsidRPr="004D0DAA">
              <w:rPr>
                <w:lang w:eastAsia="en-US"/>
              </w:rPr>
              <w:t>384</w:t>
            </w:r>
          </w:p>
        </w:tc>
        <w:tc>
          <w:tcPr>
            <w:tcW w:w="4962" w:type="dxa"/>
          </w:tcPr>
          <w:p w14:paraId="183DA49D" w14:textId="77777777" w:rsidR="00711444" w:rsidRPr="004D0DAA" w:rsidRDefault="00711444" w:rsidP="00AA2A4C">
            <w:pPr>
              <w:pStyle w:val="TAL"/>
              <w:rPr>
                <w:lang w:eastAsia="en-US"/>
              </w:rPr>
            </w:pPr>
            <w:r w:rsidRPr="004D0DAA">
              <w:rPr>
                <w:lang w:eastAsia="en-US"/>
              </w:rPr>
              <w:t>(maximum window size for a 3 timeslot TBF)</w:t>
            </w:r>
          </w:p>
        </w:tc>
      </w:tr>
      <w:tr w:rsidR="00711444" w:rsidRPr="004D0DAA" w14:paraId="39FE8C72" w14:textId="77777777" w:rsidTr="00AA2A4C">
        <w:tblPrEx>
          <w:tblCellMar>
            <w:top w:w="0" w:type="dxa"/>
            <w:bottom w:w="0" w:type="dxa"/>
          </w:tblCellMar>
        </w:tblPrEx>
        <w:trPr>
          <w:cantSplit/>
          <w:jc w:val="center"/>
        </w:trPr>
        <w:tc>
          <w:tcPr>
            <w:tcW w:w="1242" w:type="dxa"/>
          </w:tcPr>
          <w:p w14:paraId="3E84A795" w14:textId="77777777" w:rsidR="00711444" w:rsidRPr="004D0DAA" w:rsidRDefault="00711444" w:rsidP="00AA2A4C">
            <w:pPr>
              <w:pStyle w:val="TAC"/>
              <w:rPr>
                <w:lang w:eastAsia="en-US"/>
              </w:rPr>
            </w:pPr>
            <w:r w:rsidRPr="004D0DAA">
              <w:rPr>
                <w:lang w:eastAsia="en-US"/>
              </w:rPr>
              <w:t>1 1 0 0 0</w:t>
            </w:r>
          </w:p>
        </w:tc>
        <w:tc>
          <w:tcPr>
            <w:tcW w:w="1701" w:type="dxa"/>
          </w:tcPr>
          <w:p w14:paraId="021DC950" w14:textId="77777777" w:rsidR="00711444" w:rsidRPr="004D0DAA" w:rsidRDefault="00711444" w:rsidP="00AA2A4C">
            <w:pPr>
              <w:pStyle w:val="TAC"/>
              <w:rPr>
                <w:lang w:eastAsia="en-US"/>
              </w:rPr>
            </w:pPr>
            <w:r w:rsidRPr="004D0DAA">
              <w:rPr>
                <w:lang w:eastAsia="en-US"/>
              </w:rPr>
              <w:t>448</w:t>
            </w:r>
          </w:p>
        </w:tc>
        <w:tc>
          <w:tcPr>
            <w:tcW w:w="4962" w:type="dxa"/>
          </w:tcPr>
          <w:p w14:paraId="4BC0AECB" w14:textId="77777777" w:rsidR="00711444" w:rsidRPr="004D0DAA" w:rsidRDefault="00711444" w:rsidP="00AA2A4C">
            <w:pPr>
              <w:pStyle w:val="TAL"/>
              <w:rPr>
                <w:lang w:eastAsia="en-US"/>
              </w:rPr>
            </w:pPr>
          </w:p>
        </w:tc>
      </w:tr>
      <w:tr w:rsidR="00711444" w:rsidRPr="004D0DAA" w14:paraId="7274E64D" w14:textId="77777777" w:rsidTr="00AA2A4C">
        <w:tblPrEx>
          <w:tblCellMar>
            <w:top w:w="0" w:type="dxa"/>
            <w:bottom w:w="0" w:type="dxa"/>
          </w:tblCellMar>
        </w:tblPrEx>
        <w:trPr>
          <w:cantSplit/>
          <w:jc w:val="center"/>
        </w:trPr>
        <w:tc>
          <w:tcPr>
            <w:tcW w:w="1242" w:type="dxa"/>
          </w:tcPr>
          <w:p w14:paraId="755ED511" w14:textId="77777777" w:rsidR="00711444" w:rsidRPr="004D0DAA" w:rsidRDefault="00711444" w:rsidP="00AA2A4C">
            <w:pPr>
              <w:pStyle w:val="TAC"/>
              <w:rPr>
                <w:lang w:eastAsia="en-US"/>
              </w:rPr>
            </w:pPr>
            <w:r w:rsidRPr="004D0DAA">
              <w:rPr>
                <w:lang w:eastAsia="en-US"/>
              </w:rPr>
              <w:t>1 1 0 0 1</w:t>
            </w:r>
          </w:p>
        </w:tc>
        <w:tc>
          <w:tcPr>
            <w:tcW w:w="1701" w:type="dxa"/>
          </w:tcPr>
          <w:p w14:paraId="5220DD58" w14:textId="77777777" w:rsidR="00711444" w:rsidRPr="004D0DAA" w:rsidRDefault="00711444" w:rsidP="00AA2A4C">
            <w:pPr>
              <w:pStyle w:val="TAC"/>
              <w:rPr>
                <w:lang w:eastAsia="en-US"/>
              </w:rPr>
            </w:pPr>
            <w:r w:rsidRPr="004D0DAA">
              <w:rPr>
                <w:lang w:eastAsia="en-US"/>
              </w:rPr>
              <w:t>512</w:t>
            </w:r>
          </w:p>
        </w:tc>
        <w:tc>
          <w:tcPr>
            <w:tcW w:w="4962" w:type="dxa"/>
          </w:tcPr>
          <w:p w14:paraId="51D84FA9" w14:textId="77777777" w:rsidR="00711444" w:rsidRPr="004D0DAA" w:rsidRDefault="00711444" w:rsidP="00AA2A4C">
            <w:pPr>
              <w:pStyle w:val="TAL"/>
              <w:rPr>
                <w:lang w:eastAsia="en-US"/>
              </w:rPr>
            </w:pPr>
            <w:r w:rsidRPr="004D0DAA">
              <w:rPr>
                <w:lang w:eastAsia="en-US"/>
              </w:rPr>
              <w:t>(maximum window size for a 4 timeslot TBF)</w:t>
            </w:r>
          </w:p>
        </w:tc>
      </w:tr>
      <w:tr w:rsidR="00711444" w:rsidRPr="004D0DAA" w14:paraId="64A21276" w14:textId="77777777" w:rsidTr="00AA2A4C">
        <w:tblPrEx>
          <w:tblCellMar>
            <w:top w:w="0" w:type="dxa"/>
            <w:bottom w:w="0" w:type="dxa"/>
          </w:tblCellMar>
        </w:tblPrEx>
        <w:trPr>
          <w:cantSplit/>
          <w:jc w:val="center"/>
        </w:trPr>
        <w:tc>
          <w:tcPr>
            <w:tcW w:w="1242" w:type="dxa"/>
          </w:tcPr>
          <w:p w14:paraId="09B404FF" w14:textId="77777777" w:rsidR="00711444" w:rsidRPr="004D0DAA" w:rsidRDefault="00711444" w:rsidP="00AA2A4C">
            <w:pPr>
              <w:pStyle w:val="TAC"/>
              <w:rPr>
                <w:lang w:eastAsia="en-US"/>
              </w:rPr>
            </w:pPr>
            <w:r w:rsidRPr="004D0DAA">
              <w:rPr>
                <w:lang w:eastAsia="en-US"/>
              </w:rPr>
              <w:t>1 1 0 1 0</w:t>
            </w:r>
          </w:p>
        </w:tc>
        <w:tc>
          <w:tcPr>
            <w:tcW w:w="1701" w:type="dxa"/>
          </w:tcPr>
          <w:p w14:paraId="5A306933" w14:textId="77777777" w:rsidR="00711444" w:rsidRPr="004D0DAA" w:rsidRDefault="00711444" w:rsidP="00AA2A4C">
            <w:pPr>
              <w:pStyle w:val="TAC"/>
              <w:rPr>
                <w:lang w:eastAsia="en-US"/>
              </w:rPr>
            </w:pPr>
            <w:r w:rsidRPr="004D0DAA">
              <w:rPr>
                <w:lang w:eastAsia="en-US"/>
              </w:rPr>
              <w:t>576</w:t>
            </w:r>
          </w:p>
        </w:tc>
        <w:tc>
          <w:tcPr>
            <w:tcW w:w="4962" w:type="dxa"/>
          </w:tcPr>
          <w:p w14:paraId="0E40BD12" w14:textId="77777777" w:rsidR="00711444" w:rsidRPr="004D0DAA" w:rsidRDefault="00711444" w:rsidP="00AA2A4C">
            <w:pPr>
              <w:pStyle w:val="TAL"/>
              <w:rPr>
                <w:lang w:eastAsia="en-US"/>
              </w:rPr>
            </w:pPr>
          </w:p>
        </w:tc>
      </w:tr>
      <w:tr w:rsidR="00711444" w:rsidRPr="004D0DAA" w14:paraId="7013DFEF" w14:textId="77777777" w:rsidTr="00AA2A4C">
        <w:tblPrEx>
          <w:tblCellMar>
            <w:top w:w="0" w:type="dxa"/>
            <w:bottom w:w="0" w:type="dxa"/>
          </w:tblCellMar>
        </w:tblPrEx>
        <w:trPr>
          <w:cantSplit/>
          <w:jc w:val="center"/>
        </w:trPr>
        <w:tc>
          <w:tcPr>
            <w:tcW w:w="1242" w:type="dxa"/>
          </w:tcPr>
          <w:p w14:paraId="38AB182D" w14:textId="77777777" w:rsidR="00711444" w:rsidRPr="004D0DAA" w:rsidRDefault="00711444" w:rsidP="00AA2A4C">
            <w:pPr>
              <w:pStyle w:val="TAC"/>
              <w:rPr>
                <w:lang w:eastAsia="en-US"/>
              </w:rPr>
            </w:pPr>
            <w:r w:rsidRPr="004D0DAA">
              <w:rPr>
                <w:lang w:eastAsia="en-US"/>
              </w:rPr>
              <w:t>1 1 0 1 1</w:t>
            </w:r>
          </w:p>
        </w:tc>
        <w:tc>
          <w:tcPr>
            <w:tcW w:w="1701" w:type="dxa"/>
          </w:tcPr>
          <w:p w14:paraId="16CB51FD" w14:textId="77777777" w:rsidR="00711444" w:rsidRPr="004D0DAA" w:rsidRDefault="00711444" w:rsidP="00AA2A4C">
            <w:pPr>
              <w:pStyle w:val="TAC"/>
              <w:rPr>
                <w:lang w:eastAsia="en-US"/>
              </w:rPr>
            </w:pPr>
            <w:r w:rsidRPr="004D0DAA">
              <w:rPr>
                <w:lang w:eastAsia="en-US"/>
              </w:rPr>
              <w:t>640</w:t>
            </w:r>
          </w:p>
        </w:tc>
        <w:tc>
          <w:tcPr>
            <w:tcW w:w="4962" w:type="dxa"/>
          </w:tcPr>
          <w:p w14:paraId="11151002" w14:textId="77777777" w:rsidR="00711444" w:rsidRPr="004D0DAA" w:rsidRDefault="00711444" w:rsidP="00AA2A4C">
            <w:pPr>
              <w:pStyle w:val="TAL"/>
              <w:rPr>
                <w:lang w:eastAsia="en-US"/>
              </w:rPr>
            </w:pPr>
            <w:r w:rsidRPr="004D0DAA">
              <w:rPr>
                <w:lang w:eastAsia="en-US"/>
              </w:rPr>
              <w:t>(maximum window size for a 5 timeslot TBF)</w:t>
            </w:r>
          </w:p>
        </w:tc>
      </w:tr>
      <w:tr w:rsidR="00711444" w:rsidRPr="004D0DAA" w14:paraId="09B6E0A5" w14:textId="77777777" w:rsidTr="00AA2A4C">
        <w:tblPrEx>
          <w:tblCellMar>
            <w:top w:w="0" w:type="dxa"/>
            <w:bottom w:w="0" w:type="dxa"/>
          </w:tblCellMar>
        </w:tblPrEx>
        <w:trPr>
          <w:cantSplit/>
          <w:jc w:val="center"/>
        </w:trPr>
        <w:tc>
          <w:tcPr>
            <w:tcW w:w="1242" w:type="dxa"/>
          </w:tcPr>
          <w:p w14:paraId="4582D167" w14:textId="77777777" w:rsidR="00711444" w:rsidRPr="004D0DAA" w:rsidRDefault="00711444" w:rsidP="00AA2A4C">
            <w:pPr>
              <w:pStyle w:val="TAC"/>
              <w:rPr>
                <w:lang w:eastAsia="en-US"/>
              </w:rPr>
            </w:pPr>
            <w:r w:rsidRPr="004D0DAA">
              <w:rPr>
                <w:lang w:eastAsia="en-US"/>
              </w:rPr>
              <w:t>1 1 1 0 0</w:t>
            </w:r>
          </w:p>
        </w:tc>
        <w:tc>
          <w:tcPr>
            <w:tcW w:w="1701" w:type="dxa"/>
          </w:tcPr>
          <w:p w14:paraId="46A846BE" w14:textId="77777777" w:rsidR="00711444" w:rsidRPr="004D0DAA" w:rsidRDefault="00711444" w:rsidP="00AA2A4C">
            <w:pPr>
              <w:pStyle w:val="TAC"/>
              <w:rPr>
                <w:lang w:eastAsia="en-US"/>
              </w:rPr>
            </w:pPr>
            <w:r w:rsidRPr="004D0DAA">
              <w:rPr>
                <w:lang w:eastAsia="en-US"/>
              </w:rPr>
              <w:t>768</w:t>
            </w:r>
          </w:p>
        </w:tc>
        <w:tc>
          <w:tcPr>
            <w:tcW w:w="4962" w:type="dxa"/>
          </w:tcPr>
          <w:p w14:paraId="40AEB732" w14:textId="77777777" w:rsidR="00711444" w:rsidRPr="004D0DAA" w:rsidRDefault="00711444" w:rsidP="00AA2A4C">
            <w:pPr>
              <w:pStyle w:val="TAL"/>
              <w:rPr>
                <w:lang w:eastAsia="en-US"/>
              </w:rPr>
            </w:pPr>
            <w:r w:rsidRPr="004D0DAA">
              <w:rPr>
                <w:lang w:eastAsia="en-US"/>
              </w:rPr>
              <w:t>(maximum window size for a 6 timeslot TBF)</w:t>
            </w:r>
          </w:p>
        </w:tc>
      </w:tr>
      <w:tr w:rsidR="00711444" w:rsidRPr="004D0DAA" w14:paraId="4C7516AC" w14:textId="77777777" w:rsidTr="00AA2A4C">
        <w:tblPrEx>
          <w:tblCellMar>
            <w:top w:w="0" w:type="dxa"/>
            <w:bottom w:w="0" w:type="dxa"/>
          </w:tblCellMar>
        </w:tblPrEx>
        <w:trPr>
          <w:cantSplit/>
          <w:jc w:val="center"/>
        </w:trPr>
        <w:tc>
          <w:tcPr>
            <w:tcW w:w="1242" w:type="dxa"/>
          </w:tcPr>
          <w:p w14:paraId="47D4C77F" w14:textId="77777777" w:rsidR="00711444" w:rsidRPr="004D0DAA" w:rsidRDefault="00711444" w:rsidP="00AA2A4C">
            <w:pPr>
              <w:pStyle w:val="TAC"/>
              <w:rPr>
                <w:lang w:eastAsia="en-US"/>
              </w:rPr>
            </w:pPr>
            <w:r w:rsidRPr="004D0DAA">
              <w:rPr>
                <w:lang w:eastAsia="en-US"/>
              </w:rPr>
              <w:t>1 1 1 0 1</w:t>
            </w:r>
          </w:p>
        </w:tc>
        <w:tc>
          <w:tcPr>
            <w:tcW w:w="1701" w:type="dxa"/>
          </w:tcPr>
          <w:p w14:paraId="48F63DC2" w14:textId="77777777" w:rsidR="00711444" w:rsidRPr="004D0DAA" w:rsidRDefault="00711444" w:rsidP="00AA2A4C">
            <w:pPr>
              <w:pStyle w:val="TAC"/>
              <w:rPr>
                <w:lang w:eastAsia="en-US"/>
              </w:rPr>
            </w:pPr>
            <w:r w:rsidRPr="004D0DAA">
              <w:rPr>
                <w:lang w:eastAsia="en-US"/>
              </w:rPr>
              <w:t>896</w:t>
            </w:r>
          </w:p>
        </w:tc>
        <w:tc>
          <w:tcPr>
            <w:tcW w:w="4962" w:type="dxa"/>
          </w:tcPr>
          <w:p w14:paraId="29AC2786" w14:textId="77777777" w:rsidR="00711444" w:rsidRPr="004D0DAA" w:rsidRDefault="00711444" w:rsidP="00AA2A4C">
            <w:pPr>
              <w:pStyle w:val="TAL"/>
              <w:rPr>
                <w:lang w:eastAsia="en-US"/>
              </w:rPr>
            </w:pPr>
            <w:r w:rsidRPr="004D0DAA">
              <w:rPr>
                <w:lang w:eastAsia="en-US"/>
              </w:rPr>
              <w:t>(maximum window size for a 7 timeslot TBF)</w:t>
            </w:r>
          </w:p>
        </w:tc>
      </w:tr>
      <w:tr w:rsidR="00711444" w:rsidRPr="004D0DAA" w14:paraId="1872AF43" w14:textId="77777777" w:rsidTr="00AA2A4C">
        <w:tblPrEx>
          <w:tblCellMar>
            <w:top w:w="0" w:type="dxa"/>
            <w:bottom w:w="0" w:type="dxa"/>
          </w:tblCellMar>
        </w:tblPrEx>
        <w:trPr>
          <w:cantSplit/>
          <w:jc w:val="center"/>
        </w:trPr>
        <w:tc>
          <w:tcPr>
            <w:tcW w:w="1242" w:type="dxa"/>
          </w:tcPr>
          <w:p w14:paraId="42F399E7" w14:textId="77777777" w:rsidR="00711444" w:rsidRPr="004D0DAA" w:rsidRDefault="00711444" w:rsidP="00AA2A4C">
            <w:pPr>
              <w:pStyle w:val="TAC"/>
              <w:rPr>
                <w:lang w:eastAsia="en-US"/>
              </w:rPr>
            </w:pPr>
            <w:r w:rsidRPr="004D0DAA">
              <w:rPr>
                <w:lang w:eastAsia="en-US"/>
              </w:rPr>
              <w:t>1 1 1 1 0</w:t>
            </w:r>
          </w:p>
        </w:tc>
        <w:tc>
          <w:tcPr>
            <w:tcW w:w="1701" w:type="dxa"/>
          </w:tcPr>
          <w:p w14:paraId="16640F75" w14:textId="77777777" w:rsidR="00711444" w:rsidRPr="004D0DAA" w:rsidRDefault="00711444" w:rsidP="00AA2A4C">
            <w:pPr>
              <w:pStyle w:val="TAC"/>
              <w:rPr>
                <w:lang w:eastAsia="en-US"/>
              </w:rPr>
            </w:pPr>
            <w:r w:rsidRPr="004D0DAA">
              <w:rPr>
                <w:lang w:eastAsia="en-US"/>
              </w:rPr>
              <w:t xml:space="preserve">1024 </w:t>
            </w:r>
          </w:p>
        </w:tc>
        <w:tc>
          <w:tcPr>
            <w:tcW w:w="4962" w:type="dxa"/>
          </w:tcPr>
          <w:p w14:paraId="17B1BB7F" w14:textId="77777777" w:rsidR="00711444" w:rsidRPr="004D0DAA" w:rsidRDefault="00711444" w:rsidP="00AA2A4C">
            <w:pPr>
              <w:pStyle w:val="TAL"/>
              <w:rPr>
                <w:lang w:eastAsia="en-US"/>
              </w:rPr>
            </w:pPr>
            <w:r w:rsidRPr="004D0DAA">
              <w:rPr>
                <w:lang w:eastAsia="en-US"/>
              </w:rPr>
              <w:t>(maximum window size for a 8-16 timeslot TBF)</w:t>
            </w:r>
          </w:p>
        </w:tc>
      </w:tr>
      <w:tr w:rsidR="00711444" w:rsidRPr="004D0DAA" w14:paraId="2DAB03C1" w14:textId="77777777" w:rsidTr="00AA2A4C">
        <w:tblPrEx>
          <w:tblCellMar>
            <w:top w:w="0" w:type="dxa"/>
            <w:bottom w:w="0" w:type="dxa"/>
          </w:tblCellMar>
        </w:tblPrEx>
        <w:trPr>
          <w:cantSplit/>
          <w:jc w:val="center"/>
        </w:trPr>
        <w:tc>
          <w:tcPr>
            <w:tcW w:w="1242" w:type="dxa"/>
          </w:tcPr>
          <w:p w14:paraId="02BA52B1" w14:textId="77777777" w:rsidR="00711444" w:rsidRPr="004D0DAA" w:rsidRDefault="00711444" w:rsidP="00AA2A4C">
            <w:pPr>
              <w:pStyle w:val="TAC"/>
              <w:rPr>
                <w:lang w:eastAsia="en-US"/>
              </w:rPr>
            </w:pPr>
            <w:r w:rsidRPr="004D0DAA">
              <w:rPr>
                <w:lang w:eastAsia="en-US"/>
              </w:rPr>
              <w:t>1 1 1 1 1</w:t>
            </w:r>
          </w:p>
        </w:tc>
        <w:tc>
          <w:tcPr>
            <w:tcW w:w="1701" w:type="dxa"/>
          </w:tcPr>
          <w:p w14:paraId="4103105D" w14:textId="77777777" w:rsidR="00711444" w:rsidRPr="004D0DAA" w:rsidRDefault="00711444" w:rsidP="00AA2A4C">
            <w:pPr>
              <w:pStyle w:val="TAC"/>
              <w:rPr>
                <w:lang w:eastAsia="en-US"/>
              </w:rPr>
            </w:pPr>
            <w:r w:rsidRPr="004D0DAA">
              <w:rPr>
                <w:lang w:eastAsia="en-US"/>
              </w:rPr>
              <w:t>Reserved</w:t>
            </w:r>
          </w:p>
        </w:tc>
        <w:tc>
          <w:tcPr>
            <w:tcW w:w="4962" w:type="dxa"/>
          </w:tcPr>
          <w:p w14:paraId="2D97A53E" w14:textId="77777777" w:rsidR="00711444" w:rsidRPr="004D0DAA" w:rsidRDefault="00711444" w:rsidP="00AA2A4C">
            <w:pPr>
              <w:pStyle w:val="TAL"/>
              <w:rPr>
                <w:lang w:eastAsia="en-US"/>
              </w:rPr>
            </w:pPr>
          </w:p>
        </w:tc>
      </w:tr>
    </w:tbl>
    <w:p w14:paraId="14BBE0DA" w14:textId="77777777" w:rsidR="00711444" w:rsidRPr="004D0DAA" w:rsidRDefault="00711444" w:rsidP="00711444"/>
    <w:p w14:paraId="06ADC797" w14:textId="77777777" w:rsidR="00711444" w:rsidRPr="004D0DAA" w:rsidRDefault="00711444" w:rsidP="00711444">
      <w:pPr>
        <w:pStyle w:val="Heading3"/>
      </w:pPr>
      <w:bookmarkStart w:id="763" w:name="_Toc516669939"/>
      <w:r w:rsidRPr="004D0DAA">
        <w:t>12.5.3</w:t>
      </w:r>
      <w:r w:rsidRPr="004D0DAA">
        <w:tab/>
        <w:t>EGPRS BEP Link Quality Measurements IE</w:t>
      </w:r>
      <w:bookmarkEnd w:id="763"/>
    </w:p>
    <w:p w14:paraId="53CEAEC4" w14:textId="77777777" w:rsidR="00711444" w:rsidRPr="004D0DAA" w:rsidRDefault="00711444" w:rsidP="00711444">
      <w:r w:rsidRPr="004D0DAA">
        <w:t>The EGPRS BEP Link Quality measurements IE is defined in tables 12.5.3.1 and 12.5.3.2.</w:t>
      </w:r>
    </w:p>
    <w:p w14:paraId="3B1376E9" w14:textId="77777777" w:rsidR="00711444" w:rsidRPr="004D0DAA" w:rsidRDefault="00711444" w:rsidP="00711444">
      <w:pPr>
        <w:pStyle w:val="TH"/>
      </w:pPr>
      <w:r w:rsidRPr="004D0DAA">
        <w:t>Table 12.5.3.1: EGPRS BEP Link Quality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0FC49F9" w14:textId="77777777" w:rsidTr="00AA2A4C">
        <w:tblPrEx>
          <w:tblCellMar>
            <w:top w:w="0" w:type="dxa"/>
            <w:bottom w:w="0" w:type="dxa"/>
          </w:tblCellMar>
        </w:tblPrEx>
        <w:trPr>
          <w:cantSplit/>
        </w:trPr>
        <w:tc>
          <w:tcPr>
            <w:tcW w:w="9848" w:type="dxa"/>
          </w:tcPr>
          <w:p w14:paraId="74C59D16" w14:textId="77777777" w:rsidR="00711444" w:rsidRPr="004D0DAA" w:rsidRDefault="00711444" w:rsidP="00AA2A4C">
            <w:pPr>
              <w:pStyle w:val="TAL"/>
              <w:rPr>
                <w:lang w:eastAsia="en-US"/>
              </w:rPr>
            </w:pPr>
            <w:r w:rsidRPr="004D0DAA">
              <w:rPr>
                <w:lang w:eastAsia="en-US"/>
              </w:rPr>
              <w:t>&lt;EGPRS BEP Link Quality Measurements IE&gt; ::=</w:t>
            </w:r>
          </w:p>
          <w:p w14:paraId="5C284A0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GMSK</w:t>
            </w:r>
            <w:r w:rsidRPr="004D0DAA">
              <w:rPr>
                <w:lang w:eastAsia="en-US"/>
              </w:rPr>
              <w:t>_</w:t>
            </w:r>
            <w:r w:rsidRPr="004D0DAA">
              <w:rPr>
                <w:b/>
                <w:lang w:eastAsia="en-US"/>
              </w:rPr>
              <w:t>MEAN_BEP</w:t>
            </w:r>
            <w:r w:rsidRPr="004D0DAA">
              <w:rPr>
                <w:lang w:eastAsia="en-US"/>
              </w:rPr>
              <w:t xml:space="preserve"> : bit (5) &gt;</w:t>
            </w:r>
          </w:p>
          <w:p w14:paraId="10ACE4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GMSK</w:t>
            </w:r>
            <w:r w:rsidRPr="004D0DAA">
              <w:rPr>
                <w:lang w:eastAsia="en-US"/>
              </w:rPr>
              <w:t>_</w:t>
            </w:r>
            <w:r w:rsidRPr="004D0DAA">
              <w:rPr>
                <w:b/>
                <w:lang w:eastAsia="en-US"/>
              </w:rPr>
              <w:t>CV_BEP</w:t>
            </w:r>
            <w:r w:rsidRPr="004D0DAA">
              <w:rPr>
                <w:lang w:eastAsia="en-US"/>
              </w:rPr>
              <w:t xml:space="preserve"> : bit (3) &gt;}</w:t>
            </w:r>
          </w:p>
          <w:p w14:paraId="53BD792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8PSK</w:t>
            </w:r>
            <w:r w:rsidRPr="004D0DAA">
              <w:rPr>
                <w:lang w:eastAsia="en-US"/>
              </w:rPr>
              <w:t>_</w:t>
            </w:r>
            <w:r w:rsidRPr="004D0DAA">
              <w:rPr>
                <w:b/>
                <w:lang w:eastAsia="en-US"/>
              </w:rPr>
              <w:t>MEAN_BEP</w:t>
            </w:r>
            <w:r w:rsidRPr="004D0DAA">
              <w:rPr>
                <w:lang w:eastAsia="en-US"/>
              </w:rPr>
              <w:t xml:space="preserve"> : bit (5) &gt;</w:t>
            </w:r>
          </w:p>
          <w:p w14:paraId="26DE1B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8PSK</w:t>
            </w:r>
            <w:r w:rsidRPr="004D0DAA">
              <w:rPr>
                <w:lang w:eastAsia="en-US"/>
              </w:rPr>
              <w:t>_</w:t>
            </w:r>
            <w:r w:rsidRPr="004D0DAA">
              <w:rPr>
                <w:b/>
                <w:lang w:eastAsia="en-US"/>
              </w:rPr>
              <w:t>CV_BEP</w:t>
            </w:r>
            <w:r w:rsidRPr="004D0DAA">
              <w:rPr>
                <w:lang w:eastAsia="en-US"/>
              </w:rPr>
              <w:t xml:space="preserve"> : bit (3) &gt; };</w:t>
            </w:r>
          </w:p>
          <w:p w14:paraId="31C440F2" w14:textId="77777777" w:rsidR="00711444" w:rsidRPr="004D0DAA" w:rsidRDefault="00711444" w:rsidP="00AA2A4C">
            <w:pPr>
              <w:pStyle w:val="TAL"/>
              <w:rPr>
                <w:lang w:eastAsia="en-US"/>
              </w:rPr>
            </w:pPr>
          </w:p>
        </w:tc>
      </w:tr>
    </w:tbl>
    <w:p w14:paraId="79AEA8ED" w14:textId="77777777" w:rsidR="00711444" w:rsidRPr="004D0DAA" w:rsidRDefault="00711444" w:rsidP="00711444"/>
    <w:p w14:paraId="3C937346" w14:textId="77777777" w:rsidR="00711444" w:rsidRPr="004D0DAA" w:rsidRDefault="00711444" w:rsidP="00711444">
      <w:pPr>
        <w:pStyle w:val="TH"/>
      </w:pPr>
      <w:r w:rsidRPr="004D0DAA">
        <w:lastRenderedPageBreak/>
        <w:t>Table 12.5.3.2 : EGPRS BEP Link Quality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2DA46B9" w14:textId="77777777" w:rsidTr="00AA2A4C">
        <w:tblPrEx>
          <w:tblCellMar>
            <w:top w:w="0" w:type="dxa"/>
            <w:bottom w:w="0" w:type="dxa"/>
          </w:tblCellMar>
        </w:tblPrEx>
        <w:trPr>
          <w:cantSplit/>
        </w:trPr>
        <w:tc>
          <w:tcPr>
            <w:tcW w:w="9848" w:type="dxa"/>
          </w:tcPr>
          <w:p w14:paraId="7FBA22E9" w14:textId="77777777" w:rsidR="00711444" w:rsidRPr="004D0DAA" w:rsidRDefault="00711444" w:rsidP="00AA2A4C">
            <w:pPr>
              <w:rPr>
                <w:b/>
              </w:rPr>
            </w:pPr>
            <w:r w:rsidRPr="004D0DAA">
              <w:rPr>
                <w:b/>
              </w:rPr>
              <w:t>GMSK</w:t>
            </w:r>
            <w:r w:rsidRPr="004D0DAA">
              <w:t>_</w:t>
            </w:r>
            <w:r w:rsidRPr="004D0DAA">
              <w:rPr>
                <w:b/>
              </w:rPr>
              <w:t>MEAN_BEP</w:t>
            </w:r>
            <w:r w:rsidRPr="004D0DAA">
              <w:t xml:space="preserve"> (5 bit field)</w:t>
            </w:r>
            <w:r w:rsidRPr="004D0DAA">
              <w:br/>
              <w:t>This field contains the mean value of the Bit Error Probability of the channel averaged over all time slots in the TBF for GMSK, refer to 3GPP TS 45.008.</w:t>
            </w:r>
          </w:p>
        </w:tc>
      </w:tr>
      <w:tr w:rsidR="00711444" w:rsidRPr="004D0DAA" w14:paraId="37D02785" w14:textId="77777777" w:rsidTr="00AA2A4C">
        <w:tblPrEx>
          <w:tblCellMar>
            <w:top w:w="0" w:type="dxa"/>
            <w:bottom w:w="0" w:type="dxa"/>
          </w:tblCellMar>
        </w:tblPrEx>
        <w:trPr>
          <w:cantSplit/>
        </w:trPr>
        <w:tc>
          <w:tcPr>
            <w:tcW w:w="9848" w:type="dxa"/>
          </w:tcPr>
          <w:p w14:paraId="2AD7E746" w14:textId="77777777" w:rsidR="00711444" w:rsidRPr="004D0DAA" w:rsidRDefault="00711444" w:rsidP="00AA2A4C">
            <w:pPr>
              <w:rPr>
                <w:b/>
              </w:rPr>
            </w:pPr>
            <w:r w:rsidRPr="004D0DAA">
              <w:rPr>
                <w:b/>
              </w:rPr>
              <w:t>8PSK_MEAN_BEP</w:t>
            </w:r>
            <w:r w:rsidRPr="004D0DAA">
              <w:t xml:space="preserve"> (5 bit field)</w:t>
            </w:r>
            <w:r w:rsidRPr="004D0DAA">
              <w:br/>
              <w:t>This field contains the mean value of the Bit Error Probability of the channel averaged over all time slots in the TBF for 8 PSK, refer to 3GPP TS 45.008.</w:t>
            </w:r>
          </w:p>
        </w:tc>
      </w:tr>
      <w:tr w:rsidR="00711444" w:rsidRPr="004D0DAA" w14:paraId="6B8EDB15" w14:textId="77777777" w:rsidTr="00AA2A4C">
        <w:tblPrEx>
          <w:tblCellMar>
            <w:top w:w="0" w:type="dxa"/>
            <w:bottom w:w="0" w:type="dxa"/>
          </w:tblCellMar>
        </w:tblPrEx>
        <w:trPr>
          <w:cantSplit/>
        </w:trPr>
        <w:tc>
          <w:tcPr>
            <w:tcW w:w="9848" w:type="dxa"/>
          </w:tcPr>
          <w:p w14:paraId="4788F0E8" w14:textId="77777777" w:rsidR="00711444" w:rsidRPr="004D0DAA" w:rsidRDefault="00711444" w:rsidP="00AA2A4C">
            <w:pPr>
              <w:rPr>
                <w:b/>
              </w:rPr>
            </w:pPr>
            <w:r w:rsidRPr="004D0DAA">
              <w:rPr>
                <w:b/>
              </w:rPr>
              <w:t xml:space="preserve">GMSK_CV_BEP </w:t>
            </w:r>
            <w:r w:rsidRPr="004D0DAA">
              <w:t>(3 bit field)</w:t>
            </w:r>
            <w:r w:rsidRPr="004D0DAA">
              <w:br/>
              <w:t>This field contains the variation co-efficient for the Bit Error Probability averaged over all time slots of the TBF for GMSK, refer to 3GPP TS 45.008.</w:t>
            </w:r>
          </w:p>
        </w:tc>
      </w:tr>
      <w:tr w:rsidR="00711444" w:rsidRPr="004D0DAA" w14:paraId="20D7D560" w14:textId="77777777" w:rsidTr="00AA2A4C">
        <w:tblPrEx>
          <w:tblCellMar>
            <w:top w:w="0" w:type="dxa"/>
            <w:bottom w:w="0" w:type="dxa"/>
          </w:tblCellMar>
        </w:tblPrEx>
        <w:trPr>
          <w:cantSplit/>
        </w:trPr>
        <w:tc>
          <w:tcPr>
            <w:tcW w:w="9848" w:type="dxa"/>
          </w:tcPr>
          <w:p w14:paraId="6277968F" w14:textId="77777777" w:rsidR="00711444" w:rsidRPr="004D0DAA" w:rsidRDefault="00711444" w:rsidP="00AA2A4C">
            <w:r w:rsidRPr="004D0DAA">
              <w:rPr>
                <w:b/>
              </w:rPr>
              <w:t xml:space="preserve">8PSK_CV_BEP </w:t>
            </w:r>
            <w:r w:rsidRPr="004D0DAA">
              <w:t>(3 bit field)</w:t>
            </w:r>
            <w:r w:rsidRPr="004D0DAA">
              <w:br/>
              <w:t>This field contains the variation co-efficient for the Bit Error Probability averaged over all time slots of the TBF for 8 PSK, refer to 3GPP TS 45.008.</w:t>
            </w:r>
          </w:p>
        </w:tc>
      </w:tr>
    </w:tbl>
    <w:p w14:paraId="13218D28" w14:textId="77777777" w:rsidR="00711444" w:rsidRPr="004D0DAA" w:rsidRDefault="00711444" w:rsidP="00711444"/>
    <w:p w14:paraId="093103BD" w14:textId="77777777" w:rsidR="00711444" w:rsidRPr="004D0DAA" w:rsidRDefault="00711444" w:rsidP="00711444">
      <w:pPr>
        <w:pStyle w:val="Heading3"/>
      </w:pPr>
      <w:bookmarkStart w:id="764" w:name="_Toc516669940"/>
      <w:r w:rsidRPr="004D0DAA">
        <w:t>12.5.4</w:t>
      </w:r>
      <w:r w:rsidRPr="004D0DAA">
        <w:tab/>
        <w:t>EGPRS Timeslot Link Quality Measurements IE</w:t>
      </w:r>
      <w:bookmarkEnd w:id="764"/>
    </w:p>
    <w:p w14:paraId="386912B9" w14:textId="77777777" w:rsidR="00711444" w:rsidRPr="004D0DAA" w:rsidRDefault="00711444" w:rsidP="00711444">
      <w:pPr>
        <w:keepNext/>
      </w:pPr>
      <w:r w:rsidRPr="004D0DAA">
        <w:t>The EGPRS Timeslot Link Quality measurements IE is defined in tables 12.5.4.1 and 12.5.4.2.</w:t>
      </w:r>
    </w:p>
    <w:p w14:paraId="32000B5D" w14:textId="77777777" w:rsidR="00711444" w:rsidRPr="004D0DAA" w:rsidRDefault="00711444" w:rsidP="00711444">
      <w:pPr>
        <w:pStyle w:val="TH"/>
      </w:pPr>
      <w:r w:rsidRPr="004D0DAA">
        <w:t>Table 12.5.4.1: EGPRS Timeslot Link Quality Measurements Information elements</w:t>
      </w:r>
    </w:p>
    <w:tbl>
      <w:tblPr>
        <w:tblW w:w="0" w:type="auto"/>
        <w:tblBorders>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58A79F7" w14:textId="77777777" w:rsidTr="00AA2A4C">
        <w:tblPrEx>
          <w:tblCellMar>
            <w:top w:w="0" w:type="dxa"/>
            <w:bottom w:w="0" w:type="dxa"/>
          </w:tblCellMar>
        </w:tblPrEx>
        <w:trPr>
          <w:cantSplit/>
        </w:trPr>
        <w:tc>
          <w:tcPr>
            <w:tcW w:w="9848" w:type="dxa"/>
          </w:tcPr>
          <w:p w14:paraId="46C0C58D" w14:textId="77777777" w:rsidR="00711444" w:rsidRPr="004D0DAA" w:rsidRDefault="00711444" w:rsidP="00AA2A4C">
            <w:pPr>
              <w:pStyle w:val="TAL"/>
              <w:rPr>
                <w:lang w:eastAsia="en-US"/>
              </w:rPr>
            </w:pPr>
            <w:r w:rsidRPr="004D0DAA">
              <w:rPr>
                <w:lang w:eastAsia="en-US"/>
              </w:rPr>
              <w:t>&lt;EGPRS Timeslot Link Quality Measurements IE&gt; ::=</w:t>
            </w:r>
          </w:p>
          <w:p w14:paraId="6C679919" w14:textId="77777777" w:rsidR="00711444" w:rsidRPr="004D0DAA" w:rsidRDefault="00711444" w:rsidP="00AA2A4C">
            <w:pPr>
              <w:pStyle w:val="TAL"/>
              <w:rPr>
                <w:lang w:eastAsia="en-US"/>
              </w:rPr>
            </w:pPr>
          </w:p>
          <w:p w14:paraId="5D693CFB" w14:textId="77777777" w:rsidR="00711444" w:rsidRPr="004D0DAA" w:rsidRDefault="00711444" w:rsidP="00AA2A4C">
            <w:pPr>
              <w:pStyle w:val="TAL"/>
              <w:rPr>
                <w:lang w:eastAsia="en-US"/>
              </w:rPr>
            </w:pPr>
            <w:r w:rsidRPr="004D0DAA">
              <w:rPr>
                <w:lang w:eastAsia="en-US"/>
              </w:rPr>
              <w:t xml:space="preserve">{ 0 | 1&lt; </w:t>
            </w:r>
            <w:r w:rsidRPr="004D0DAA">
              <w:rPr>
                <w:b/>
                <w:lang w:eastAsia="en-US"/>
              </w:rPr>
              <w:t>BEP_MEASUREMENTS</w:t>
            </w:r>
            <w:r w:rsidRPr="004D0DAA">
              <w:rPr>
                <w:lang w:eastAsia="en-US"/>
              </w:rPr>
              <w:t xml:space="preserve"> : BEP Measurement Report Struct &gt;}</w:t>
            </w:r>
          </w:p>
          <w:p w14:paraId="29554E6A"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INTERFERENCE_MEASUREMENTS </w:t>
            </w:r>
            <w:r w:rsidRPr="004D0DAA">
              <w:rPr>
                <w:lang w:eastAsia="en-US"/>
              </w:rPr>
              <w:t>: Interference Measurement Report Struct &gt;};</w:t>
            </w:r>
          </w:p>
          <w:p w14:paraId="48ADFB32" w14:textId="77777777" w:rsidR="00711444" w:rsidRPr="004D0DAA" w:rsidRDefault="00711444" w:rsidP="00AA2A4C">
            <w:pPr>
              <w:pStyle w:val="TAL"/>
              <w:rPr>
                <w:lang w:eastAsia="en-US"/>
              </w:rPr>
            </w:pPr>
          </w:p>
        </w:tc>
      </w:tr>
      <w:tr w:rsidR="00711444" w:rsidRPr="004D0DAA" w14:paraId="697D6F0B" w14:textId="77777777" w:rsidTr="00AA2A4C">
        <w:tblPrEx>
          <w:tblCellMar>
            <w:top w:w="0" w:type="dxa"/>
            <w:bottom w:w="0" w:type="dxa"/>
          </w:tblCellMar>
        </w:tblPrEx>
        <w:trPr>
          <w:cantSplit/>
        </w:trPr>
        <w:tc>
          <w:tcPr>
            <w:tcW w:w="9848" w:type="dxa"/>
          </w:tcPr>
          <w:p w14:paraId="3C75D98A" w14:textId="77777777" w:rsidR="00711444" w:rsidRPr="004D0DAA" w:rsidRDefault="00711444" w:rsidP="00AA2A4C">
            <w:pPr>
              <w:pStyle w:val="TAL"/>
              <w:rPr>
                <w:lang w:eastAsia="en-US"/>
              </w:rPr>
            </w:pPr>
            <w:r w:rsidRPr="004D0DAA">
              <w:rPr>
                <w:lang w:eastAsia="en-US"/>
              </w:rPr>
              <w:t>&lt; BEP Measurement Report Struct &gt; ::=</w:t>
            </w:r>
          </w:p>
          <w:p w14:paraId="102750B0"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_TN0</w:t>
            </w:r>
            <w:r w:rsidRPr="004D0DAA">
              <w:rPr>
                <w:lang w:eastAsia="en-US"/>
              </w:rPr>
              <w:t xml:space="preserve"> : bit (4) &gt;</w:t>
            </w:r>
          </w:p>
          <w:p w14:paraId="4F4F235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_TN0</w:t>
            </w:r>
            <w:r w:rsidRPr="004D0DAA">
              <w:rPr>
                <w:lang w:eastAsia="en-US"/>
              </w:rPr>
              <w:t xml:space="preserve"> : bit (4) &gt;}}</w:t>
            </w:r>
          </w:p>
          <w:p w14:paraId="2A0B8B50"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_TN1</w:t>
            </w:r>
            <w:r w:rsidRPr="004D0DAA">
              <w:rPr>
                <w:lang w:eastAsia="en-US"/>
              </w:rPr>
              <w:t xml:space="preserve"> : bit (4) &gt;</w:t>
            </w:r>
          </w:p>
          <w:p w14:paraId="17EC33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_TN1</w:t>
            </w:r>
            <w:r w:rsidRPr="004D0DAA">
              <w:rPr>
                <w:lang w:eastAsia="en-US"/>
              </w:rPr>
              <w:t xml:space="preserve"> : bit (4) &gt;}}</w:t>
            </w:r>
          </w:p>
          <w:p w14:paraId="5B756C77"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_TN2</w:t>
            </w:r>
            <w:r w:rsidRPr="004D0DAA">
              <w:rPr>
                <w:lang w:eastAsia="en-US"/>
              </w:rPr>
              <w:t xml:space="preserve"> : bit (4) &gt;</w:t>
            </w:r>
          </w:p>
          <w:p w14:paraId="42CF06D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_TN2</w:t>
            </w:r>
            <w:r w:rsidRPr="004D0DAA">
              <w:rPr>
                <w:lang w:eastAsia="en-US"/>
              </w:rPr>
              <w:t xml:space="preserve"> : bit (4) &gt;}}</w:t>
            </w:r>
          </w:p>
          <w:p w14:paraId="1B47533C"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_TN3</w:t>
            </w:r>
            <w:r w:rsidRPr="004D0DAA">
              <w:rPr>
                <w:lang w:eastAsia="en-US"/>
              </w:rPr>
              <w:t xml:space="preserve"> : bit (4) &gt;</w:t>
            </w:r>
          </w:p>
          <w:p w14:paraId="1A50DD7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_TN3</w:t>
            </w:r>
            <w:r w:rsidRPr="004D0DAA">
              <w:rPr>
                <w:lang w:eastAsia="en-US"/>
              </w:rPr>
              <w:t xml:space="preserve"> : bit (4) &gt;}}</w:t>
            </w:r>
          </w:p>
          <w:p w14:paraId="2B4C1E2E"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_TN4</w:t>
            </w:r>
            <w:r w:rsidRPr="004D0DAA">
              <w:rPr>
                <w:lang w:eastAsia="en-US"/>
              </w:rPr>
              <w:t xml:space="preserve"> : bit (4) &gt;</w:t>
            </w:r>
          </w:p>
          <w:p w14:paraId="222E94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_TN4</w:t>
            </w:r>
            <w:r w:rsidRPr="004D0DAA">
              <w:rPr>
                <w:lang w:eastAsia="en-US"/>
              </w:rPr>
              <w:t xml:space="preserve"> : bit (4) &gt;}}</w:t>
            </w:r>
          </w:p>
          <w:p w14:paraId="6FFBC2F5"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_TN5</w:t>
            </w:r>
            <w:r w:rsidRPr="004D0DAA">
              <w:rPr>
                <w:lang w:eastAsia="en-US"/>
              </w:rPr>
              <w:t xml:space="preserve"> : bit (4) &gt;</w:t>
            </w:r>
          </w:p>
          <w:p w14:paraId="2873164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_TN5</w:t>
            </w:r>
            <w:r w:rsidRPr="004D0DAA">
              <w:rPr>
                <w:lang w:eastAsia="en-US"/>
              </w:rPr>
              <w:t xml:space="preserve"> : bit (4) &gt;}}</w:t>
            </w:r>
          </w:p>
          <w:p w14:paraId="622B9E5A"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_TN6</w:t>
            </w:r>
            <w:r w:rsidRPr="004D0DAA">
              <w:rPr>
                <w:lang w:eastAsia="en-US"/>
              </w:rPr>
              <w:t xml:space="preserve"> : bit (4) &gt;</w:t>
            </w:r>
          </w:p>
          <w:p w14:paraId="3E66D1B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_TN6</w:t>
            </w:r>
            <w:r w:rsidRPr="004D0DAA">
              <w:rPr>
                <w:lang w:eastAsia="en-US"/>
              </w:rPr>
              <w:t xml:space="preserve"> : bit (4) &gt;}}</w:t>
            </w:r>
          </w:p>
          <w:p w14:paraId="098920D9" w14:textId="77777777" w:rsidR="00711444" w:rsidRPr="004D0DAA" w:rsidRDefault="00711444" w:rsidP="00AA2A4C">
            <w:pPr>
              <w:pStyle w:val="TAL"/>
              <w:rPr>
                <w:lang w:eastAsia="en-US"/>
              </w:rPr>
            </w:pPr>
            <w:r w:rsidRPr="004D0DAA">
              <w:rPr>
                <w:lang w:eastAsia="en-US"/>
              </w:rPr>
              <w:tab/>
              <w:t>{ 0 | 1</w:t>
            </w:r>
            <w:r w:rsidRPr="004D0DAA">
              <w:rPr>
                <w:lang w:eastAsia="en-US"/>
              </w:rPr>
              <w:tab/>
              <w:t>{ 0 &lt;</w:t>
            </w:r>
            <w:r w:rsidRPr="004D0DAA">
              <w:rPr>
                <w:b/>
                <w:lang w:eastAsia="en-US"/>
              </w:rPr>
              <w:t>GMSK</w:t>
            </w:r>
            <w:r w:rsidRPr="004D0DAA">
              <w:rPr>
                <w:lang w:eastAsia="en-US"/>
              </w:rPr>
              <w:t>_</w:t>
            </w:r>
            <w:r w:rsidRPr="004D0DAA">
              <w:rPr>
                <w:b/>
                <w:lang w:eastAsia="en-US"/>
              </w:rPr>
              <w:t>MEAN_BEP _TN7</w:t>
            </w:r>
            <w:r w:rsidRPr="004D0DAA">
              <w:rPr>
                <w:lang w:eastAsia="en-US"/>
              </w:rPr>
              <w:t xml:space="preserve"> : bit (4) &gt;</w:t>
            </w:r>
          </w:p>
          <w:p w14:paraId="6CBDC87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lang w:eastAsia="en-US"/>
              </w:rPr>
              <w:t>8PSK</w:t>
            </w:r>
            <w:r w:rsidRPr="004D0DAA">
              <w:rPr>
                <w:lang w:eastAsia="en-US"/>
              </w:rPr>
              <w:t>_</w:t>
            </w:r>
            <w:r w:rsidRPr="004D0DAA">
              <w:rPr>
                <w:b/>
                <w:lang w:eastAsia="en-US"/>
              </w:rPr>
              <w:t>MEAN_BEP _TN7</w:t>
            </w:r>
            <w:r w:rsidRPr="004D0DAA">
              <w:rPr>
                <w:lang w:eastAsia="en-US"/>
              </w:rPr>
              <w:t xml:space="preserve"> : bit (4) &gt;} };</w:t>
            </w:r>
          </w:p>
          <w:p w14:paraId="47C19BA9" w14:textId="77777777" w:rsidR="00711444" w:rsidRPr="004D0DAA" w:rsidRDefault="00711444" w:rsidP="00AA2A4C">
            <w:pPr>
              <w:pStyle w:val="TAL"/>
              <w:rPr>
                <w:lang w:eastAsia="en-US"/>
              </w:rPr>
            </w:pPr>
          </w:p>
        </w:tc>
      </w:tr>
      <w:tr w:rsidR="00711444" w:rsidRPr="004D0DAA" w14:paraId="39431A12" w14:textId="77777777" w:rsidTr="00AA2A4C">
        <w:tblPrEx>
          <w:tblCellMar>
            <w:top w:w="0" w:type="dxa"/>
            <w:bottom w:w="0" w:type="dxa"/>
          </w:tblCellMar>
        </w:tblPrEx>
        <w:trPr>
          <w:cantSplit/>
        </w:trPr>
        <w:tc>
          <w:tcPr>
            <w:tcW w:w="9848" w:type="dxa"/>
          </w:tcPr>
          <w:p w14:paraId="0C19F23C" w14:textId="77777777" w:rsidR="00711444" w:rsidRPr="004D0DAA" w:rsidRDefault="00711444" w:rsidP="00AA2A4C">
            <w:pPr>
              <w:pStyle w:val="TAL"/>
              <w:rPr>
                <w:lang w:eastAsia="en-US"/>
              </w:rPr>
            </w:pPr>
            <w:r w:rsidRPr="004D0DAA">
              <w:rPr>
                <w:lang w:eastAsia="en-US"/>
              </w:rPr>
              <w:t>&lt; Interference Measurement Report Struct &gt; ::=</w:t>
            </w:r>
          </w:p>
          <w:p w14:paraId="5A6E973A"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I_LEVEL_TN0 </w:t>
            </w:r>
            <w:r w:rsidRPr="004D0DAA">
              <w:rPr>
                <w:lang w:eastAsia="en-US"/>
              </w:rPr>
              <w:t>: bit (4) &gt; }</w:t>
            </w:r>
          </w:p>
          <w:p w14:paraId="5FAC6515"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I_LEVEL_TN1 </w:t>
            </w:r>
            <w:r w:rsidRPr="004D0DAA">
              <w:rPr>
                <w:lang w:eastAsia="en-US"/>
              </w:rPr>
              <w:t>: bit (4) &gt; }</w:t>
            </w:r>
          </w:p>
          <w:p w14:paraId="73AECEBC"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I_LEVEL_TN2 </w:t>
            </w:r>
            <w:r w:rsidRPr="004D0DAA">
              <w:rPr>
                <w:lang w:eastAsia="en-US"/>
              </w:rPr>
              <w:t>: bit (4) &gt; }</w:t>
            </w:r>
          </w:p>
          <w:p w14:paraId="143E0905"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I_LEVEL_TN3 </w:t>
            </w:r>
            <w:r w:rsidRPr="004D0DAA">
              <w:rPr>
                <w:lang w:eastAsia="en-US"/>
              </w:rPr>
              <w:t>: bit (4) &gt; }</w:t>
            </w:r>
          </w:p>
          <w:p w14:paraId="2AECCF12"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I_LEVEL_TN4 </w:t>
            </w:r>
            <w:r w:rsidRPr="004D0DAA">
              <w:rPr>
                <w:lang w:eastAsia="en-US"/>
              </w:rPr>
              <w:t>: bit (4) &gt; }</w:t>
            </w:r>
          </w:p>
          <w:p w14:paraId="59D0BF9A"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I_LEVEL_TN5 </w:t>
            </w:r>
            <w:r w:rsidRPr="004D0DAA">
              <w:rPr>
                <w:lang w:eastAsia="en-US"/>
              </w:rPr>
              <w:t>: bit (4) &gt; }</w:t>
            </w:r>
          </w:p>
          <w:p w14:paraId="38535D86"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I_LEVEL_TN6 </w:t>
            </w:r>
            <w:r w:rsidRPr="004D0DAA">
              <w:rPr>
                <w:lang w:eastAsia="en-US"/>
              </w:rPr>
              <w:t>: bit (4) &gt; }</w:t>
            </w:r>
          </w:p>
          <w:p w14:paraId="7137AAB4"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I_LEVEL_TN7 </w:t>
            </w:r>
            <w:r w:rsidRPr="004D0DAA">
              <w:rPr>
                <w:lang w:eastAsia="en-US"/>
              </w:rPr>
              <w:t>: bit (4) &gt; };</w:t>
            </w:r>
          </w:p>
          <w:p w14:paraId="7F9CB119" w14:textId="77777777" w:rsidR="00711444" w:rsidRPr="004D0DAA" w:rsidRDefault="00711444" w:rsidP="00AA2A4C">
            <w:pPr>
              <w:pStyle w:val="TAL"/>
              <w:rPr>
                <w:lang w:eastAsia="en-US"/>
              </w:rPr>
            </w:pPr>
          </w:p>
        </w:tc>
      </w:tr>
    </w:tbl>
    <w:p w14:paraId="5E4C0678" w14:textId="77777777" w:rsidR="00711444" w:rsidRPr="004D0DAA" w:rsidRDefault="00711444" w:rsidP="00711444"/>
    <w:p w14:paraId="25A112F2" w14:textId="77777777" w:rsidR="00711444" w:rsidRPr="004D0DAA" w:rsidRDefault="00711444" w:rsidP="00711444">
      <w:pPr>
        <w:pStyle w:val="TH"/>
      </w:pPr>
      <w:r w:rsidRPr="004D0DAA">
        <w:lastRenderedPageBreak/>
        <w:t>Table 12.5.4.2: EGPRS Timeslot Link Quality Measurements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032DEBE" w14:textId="77777777" w:rsidTr="00AA2A4C">
        <w:tblPrEx>
          <w:tblCellMar>
            <w:top w:w="0" w:type="dxa"/>
            <w:bottom w:w="0" w:type="dxa"/>
          </w:tblCellMar>
        </w:tblPrEx>
        <w:trPr>
          <w:cantSplit/>
        </w:trPr>
        <w:tc>
          <w:tcPr>
            <w:tcW w:w="9848" w:type="dxa"/>
          </w:tcPr>
          <w:p w14:paraId="2F60903A" w14:textId="77777777" w:rsidR="00711444" w:rsidRPr="004D0DAA" w:rsidRDefault="00711444" w:rsidP="00AA2A4C">
            <w:r w:rsidRPr="004D0DAA">
              <w:rPr>
                <w:b/>
              </w:rPr>
              <w:t>GMSK_MEAN_BEP_TN0</w:t>
            </w:r>
            <w:r w:rsidRPr="004D0DAA">
              <w:t xml:space="preserve"> (4 bit field)</w:t>
            </w:r>
            <w:r w:rsidRPr="004D0DAA">
              <w:br/>
            </w:r>
            <w:r w:rsidRPr="004D0DAA">
              <w:rPr>
                <w:b/>
              </w:rPr>
              <w:t>GMSK_MEAN_BEP_TN1</w:t>
            </w:r>
            <w:r w:rsidRPr="004D0DAA">
              <w:t xml:space="preserve"> (4 bit field)</w:t>
            </w:r>
            <w:r w:rsidRPr="004D0DAA">
              <w:br/>
            </w:r>
            <w:r w:rsidRPr="004D0DAA">
              <w:rPr>
                <w:b/>
              </w:rPr>
              <w:t>GMSK_MEAN_BEP_TN2</w:t>
            </w:r>
            <w:r w:rsidRPr="004D0DAA">
              <w:t xml:space="preserve"> (4 bit field)</w:t>
            </w:r>
            <w:r w:rsidRPr="004D0DAA">
              <w:br/>
            </w:r>
            <w:r w:rsidRPr="004D0DAA">
              <w:rPr>
                <w:b/>
              </w:rPr>
              <w:t>GMSK_MEAN_BEP_TN3</w:t>
            </w:r>
            <w:r w:rsidRPr="004D0DAA">
              <w:t xml:space="preserve"> (4 bit field)</w:t>
            </w:r>
            <w:r w:rsidRPr="004D0DAA">
              <w:br/>
            </w:r>
            <w:r w:rsidRPr="004D0DAA">
              <w:rPr>
                <w:b/>
              </w:rPr>
              <w:t>GMSK_MEAN_BEP_TN4</w:t>
            </w:r>
            <w:r w:rsidRPr="004D0DAA">
              <w:t xml:space="preserve"> (4 bit field)</w:t>
            </w:r>
            <w:r w:rsidRPr="004D0DAA">
              <w:br/>
            </w:r>
            <w:r w:rsidRPr="004D0DAA">
              <w:rPr>
                <w:b/>
              </w:rPr>
              <w:t>GMSK_MEAN_BEP_TN5</w:t>
            </w:r>
            <w:r w:rsidRPr="004D0DAA">
              <w:t xml:space="preserve"> (4 bit field)</w:t>
            </w:r>
            <w:r w:rsidRPr="004D0DAA">
              <w:br/>
            </w:r>
            <w:r w:rsidRPr="004D0DAA">
              <w:rPr>
                <w:b/>
              </w:rPr>
              <w:t>GMSK_MEAN_BEP_TN6</w:t>
            </w:r>
            <w:r w:rsidRPr="004D0DAA">
              <w:t xml:space="preserve"> (4 bit field)</w:t>
            </w:r>
            <w:r w:rsidRPr="004D0DAA">
              <w:br/>
            </w:r>
            <w:r w:rsidRPr="004D0DAA">
              <w:rPr>
                <w:b/>
              </w:rPr>
              <w:t>GMSK_MEAN_BEP_TN7</w:t>
            </w:r>
            <w:r w:rsidRPr="004D0DAA">
              <w:t xml:space="preserve"> (4 bit field)</w:t>
            </w:r>
          </w:p>
          <w:p w14:paraId="2689D165" w14:textId="77777777" w:rsidR="00711444" w:rsidRPr="004D0DAA" w:rsidRDefault="00711444" w:rsidP="00AA2A4C">
            <w:pPr>
              <w:rPr>
                <w:b/>
              </w:rPr>
            </w:pPr>
            <w:r w:rsidRPr="004D0DAA">
              <w:t xml:space="preserve">These fields contain the mean bit error probability value calculated on timeslots 0 through 7 for GMSK modulation, refer to 3GPP TS 45.008. These fields are transferred only when the mobile station is in packet transfer mode. </w:t>
            </w:r>
            <w:r w:rsidRPr="004D0DAA">
              <w:rPr>
                <w:lang w:eastAsia="zh-CN"/>
              </w:rPr>
              <w:t>I</w:t>
            </w:r>
            <w:r w:rsidRPr="004D0DAA">
              <w:rPr>
                <w:rFonts w:hint="eastAsia"/>
                <w:lang w:eastAsia="zh-CN"/>
              </w:rPr>
              <w:t xml:space="preserve">n RTTI configuration, the mean bit error </w:t>
            </w:r>
            <w:r w:rsidRPr="004D0DAA">
              <w:t>probability value</w:t>
            </w:r>
            <w:r w:rsidRPr="004D0DAA">
              <w:rPr>
                <w:rFonts w:hint="eastAsia"/>
                <w:lang w:eastAsia="zh-CN"/>
              </w:rPr>
              <w:t xml:space="preserve"> </w:t>
            </w:r>
            <w:r w:rsidRPr="004D0DAA">
              <w:t>calculated</w:t>
            </w:r>
            <w:r w:rsidRPr="004D0DAA">
              <w:rPr>
                <w:rFonts w:hint="eastAsia"/>
                <w:lang w:eastAsia="zh-CN"/>
              </w:rPr>
              <w:t xml:space="preserve"> on per timeslot pair shall be reported on </w:t>
            </w:r>
            <w:r w:rsidRPr="004D0DAA">
              <w:rPr>
                <w:b/>
              </w:rPr>
              <w:t>GMSK_MEAN_BEP_TN</w:t>
            </w:r>
            <w:r w:rsidRPr="004D0DAA">
              <w:rPr>
                <w:rFonts w:hint="eastAsia"/>
                <w:b/>
                <w:lang w:eastAsia="zh-CN"/>
              </w:rPr>
              <w:t>x</w:t>
            </w:r>
            <w:r w:rsidRPr="004D0DAA">
              <w:rPr>
                <w:rFonts w:hint="eastAsia"/>
                <w:lang w:eastAsia="zh-CN"/>
              </w:rPr>
              <w:t xml:space="preserve"> where TNx is the lower numbered timeslot of each reported timeslot pair.</w:t>
            </w:r>
          </w:p>
        </w:tc>
      </w:tr>
      <w:tr w:rsidR="00711444" w:rsidRPr="004D0DAA" w14:paraId="6DC8EE0E" w14:textId="77777777" w:rsidTr="00AA2A4C">
        <w:tblPrEx>
          <w:tblCellMar>
            <w:top w:w="0" w:type="dxa"/>
            <w:bottom w:w="0" w:type="dxa"/>
          </w:tblCellMar>
        </w:tblPrEx>
        <w:trPr>
          <w:cantSplit/>
        </w:trPr>
        <w:tc>
          <w:tcPr>
            <w:tcW w:w="9848" w:type="dxa"/>
          </w:tcPr>
          <w:p w14:paraId="0A97EAB4" w14:textId="77777777" w:rsidR="00711444" w:rsidRPr="004D0DAA" w:rsidRDefault="00711444" w:rsidP="00AA2A4C">
            <w:r w:rsidRPr="004D0DAA">
              <w:rPr>
                <w:b/>
              </w:rPr>
              <w:t>8PSK_MEAN_BEP_TN0</w:t>
            </w:r>
            <w:r w:rsidRPr="004D0DAA">
              <w:t xml:space="preserve"> (4 bit field)</w:t>
            </w:r>
            <w:r w:rsidRPr="004D0DAA">
              <w:br/>
            </w:r>
            <w:r w:rsidRPr="004D0DAA">
              <w:rPr>
                <w:b/>
              </w:rPr>
              <w:t>8PSK_MEAN_BEP_TN1</w:t>
            </w:r>
            <w:r w:rsidRPr="004D0DAA">
              <w:t xml:space="preserve"> (4 bit field)</w:t>
            </w:r>
            <w:r w:rsidRPr="004D0DAA">
              <w:br/>
            </w:r>
            <w:r w:rsidRPr="004D0DAA">
              <w:rPr>
                <w:b/>
              </w:rPr>
              <w:t>8PSK_MEAN_BEP_TN2</w:t>
            </w:r>
            <w:r w:rsidRPr="004D0DAA">
              <w:t xml:space="preserve"> (4 bit field)</w:t>
            </w:r>
            <w:r w:rsidRPr="004D0DAA">
              <w:br/>
            </w:r>
            <w:r w:rsidRPr="004D0DAA">
              <w:rPr>
                <w:b/>
              </w:rPr>
              <w:t>8PSK_MEAN_BEP_TN3</w:t>
            </w:r>
            <w:r w:rsidRPr="004D0DAA">
              <w:t xml:space="preserve"> (4 bit field)</w:t>
            </w:r>
            <w:r w:rsidRPr="004D0DAA">
              <w:br/>
            </w:r>
            <w:r w:rsidRPr="004D0DAA">
              <w:rPr>
                <w:b/>
              </w:rPr>
              <w:t>8PSK_MEAN_BEP_TN4</w:t>
            </w:r>
            <w:r w:rsidRPr="004D0DAA">
              <w:t xml:space="preserve"> (4 bit field)</w:t>
            </w:r>
            <w:r w:rsidRPr="004D0DAA">
              <w:br/>
            </w:r>
            <w:r w:rsidRPr="004D0DAA">
              <w:rPr>
                <w:b/>
              </w:rPr>
              <w:t>8PSK_MEAN_BEP_TN5</w:t>
            </w:r>
            <w:r w:rsidRPr="004D0DAA">
              <w:t xml:space="preserve"> (4 bit field)</w:t>
            </w:r>
            <w:r w:rsidRPr="004D0DAA">
              <w:br/>
            </w:r>
            <w:r w:rsidRPr="004D0DAA">
              <w:rPr>
                <w:b/>
              </w:rPr>
              <w:t>8PSK_MEAN_BEP_TN6</w:t>
            </w:r>
            <w:r w:rsidRPr="004D0DAA">
              <w:t xml:space="preserve"> (4 bit field)</w:t>
            </w:r>
            <w:r w:rsidRPr="004D0DAA">
              <w:br/>
            </w:r>
            <w:r w:rsidRPr="004D0DAA">
              <w:rPr>
                <w:b/>
              </w:rPr>
              <w:t>8PSK_MEAN_BEP_TN7</w:t>
            </w:r>
            <w:r w:rsidRPr="004D0DAA">
              <w:t xml:space="preserve"> (4 bit field)</w:t>
            </w:r>
          </w:p>
          <w:p w14:paraId="0113C067" w14:textId="77777777" w:rsidR="00711444" w:rsidRPr="004D0DAA" w:rsidRDefault="00711444" w:rsidP="00AA2A4C">
            <w:pPr>
              <w:rPr>
                <w:b/>
              </w:rPr>
            </w:pPr>
            <w:r w:rsidRPr="004D0DAA">
              <w:t>These fields contain the mean bit error probability value calculated on timeslots 0 through 7 for 8PSK modulation, refer to 3GPP TS 45.008. These fields are transferred only when the mobile station is in packet transfer mode.</w:t>
            </w:r>
            <w:r w:rsidRPr="004D0DAA">
              <w:rPr>
                <w:rFonts w:hint="eastAsia"/>
                <w:lang w:eastAsia="zh-CN"/>
              </w:rPr>
              <w:t xml:space="preserve"> </w:t>
            </w:r>
            <w:r w:rsidRPr="004D0DAA">
              <w:rPr>
                <w:lang w:eastAsia="zh-CN"/>
              </w:rPr>
              <w:t>I</w:t>
            </w:r>
            <w:r w:rsidRPr="004D0DAA">
              <w:rPr>
                <w:rFonts w:hint="eastAsia"/>
                <w:lang w:eastAsia="zh-CN"/>
              </w:rPr>
              <w:t xml:space="preserve">n RTTI configuration, the mean bit error </w:t>
            </w:r>
            <w:r w:rsidRPr="004D0DAA">
              <w:t>probability value</w:t>
            </w:r>
            <w:r w:rsidRPr="004D0DAA">
              <w:rPr>
                <w:rFonts w:hint="eastAsia"/>
                <w:lang w:eastAsia="zh-CN"/>
              </w:rPr>
              <w:t xml:space="preserve"> </w:t>
            </w:r>
            <w:r w:rsidRPr="004D0DAA">
              <w:t>calculated</w:t>
            </w:r>
            <w:r w:rsidRPr="004D0DAA">
              <w:rPr>
                <w:rFonts w:hint="eastAsia"/>
                <w:lang w:eastAsia="zh-CN"/>
              </w:rPr>
              <w:t xml:space="preserve"> on per timeslot pair shall be reported on </w:t>
            </w:r>
            <w:r w:rsidRPr="004D0DAA">
              <w:rPr>
                <w:b/>
              </w:rPr>
              <w:t>8PSK_MEAN_BEP_TN</w:t>
            </w:r>
            <w:r w:rsidRPr="004D0DAA">
              <w:rPr>
                <w:rFonts w:hint="eastAsia"/>
                <w:b/>
                <w:lang w:eastAsia="zh-CN"/>
              </w:rPr>
              <w:t>x</w:t>
            </w:r>
            <w:r w:rsidRPr="004D0DAA">
              <w:rPr>
                <w:rFonts w:hint="eastAsia"/>
                <w:lang w:eastAsia="zh-CN"/>
              </w:rPr>
              <w:t xml:space="preserve"> where TNx is the lower numbered timeslot of each reported timeslot pair.</w:t>
            </w:r>
          </w:p>
        </w:tc>
      </w:tr>
      <w:tr w:rsidR="00711444" w:rsidRPr="004D0DAA" w14:paraId="54A78B75" w14:textId="77777777" w:rsidTr="00AA2A4C">
        <w:tblPrEx>
          <w:tblCellMar>
            <w:top w:w="0" w:type="dxa"/>
            <w:bottom w:w="0" w:type="dxa"/>
          </w:tblCellMar>
        </w:tblPrEx>
        <w:trPr>
          <w:cantSplit/>
        </w:trPr>
        <w:tc>
          <w:tcPr>
            <w:tcW w:w="9848" w:type="dxa"/>
          </w:tcPr>
          <w:p w14:paraId="50618998" w14:textId="77777777" w:rsidR="00711444" w:rsidRPr="004D0DAA" w:rsidRDefault="00711444" w:rsidP="00AA2A4C">
            <w:pPr>
              <w:spacing w:after="0"/>
            </w:pPr>
            <w:r w:rsidRPr="004D0DAA">
              <w:rPr>
                <w:b/>
              </w:rPr>
              <w:t>I_LEVEL_TN0</w:t>
            </w:r>
            <w:r w:rsidRPr="004D0DAA">
              <w:t xml:space="preserve"> (4 bit field)</w:t>
            </w:r>
          </w:p>
          <w:p w14:paraId="48E870FF" w14:textId="77777777" w:rsidR="00711444" w:rsidRPr="004D0DAA" w:rsidRDefault="00711444" w:rsidP="00AA2A4C">
            <w:pPr>
              <w:spacing w:after="0"/>
            </w:pPr>
            <w:r w:rsidRPr="004D0DAA">
              <w:rPr>
                <w:b/>
              </w:rPr>
              <w:t>I_LEVEL_TN1</w:t>
            </w:r>
            <w:r w:rsidRPr="004D0DAA">
              <w:t xml:space="preserve"> (4 bit field)</w:t>
            </w:r>
          </w:p>
          <w:p w14:paraId="1843CC3E" w14:textId="77777777" w:rsidR="00711444" w:rsidRPr="004D0DAA" w:rsidRDefault="00711444" w:rsidP="00AA2A4C">
            <w:pPr>
              <w:spacing w:after="0"/>
            </w:pPr>
            <w:r w:rsidRPr="004D0DAA">
              <w:rPr>
                <w:b/>
              </w:rPr>
              <w:t>I_LEVEL_TN2</w:t>
            </w:r>
            <w:r w:rsidRPr="004D0DAA">
              <w:t xml:space="preserve"> (4 bit field)</w:t>
            </w:r>
          </w:p>
          <w:p w14:paraId="7BFF25AF" w14:textId="77777777" w:rsidR="00711444" w:rsidRPr="004D0DAA" w:rsidRDefault="00711444" w:rsidP="00AA2A4C">
            <w:pPr>
              <w:spacing w:after="0"/>
            </w:pPr>
            <w:r w:rsidRPr="004D0DAA">
              <w:rPr>
                <w:b/>
              </w:rPr>
              <w:t>I_LEVEL_TN3</w:t>
            </w:r>
            <w:r w:rsidRPr="004D0DAA">
              <w:t xml:space="preserve"> (4 bit field)</w:t>
            </w:r>
          </w:p>
          <w:p w14:paraId="0655AF80" w14:textId="77777777" w:rsidR="00711444" w:rsidRPr="004D0DAA" w:rsidRDefault="00711444" w:rsidP="00AA2A4C">
            <w:pPr>
              <w:spacing w:after="0"/>
            </w:pPr>
            <w:r w:rsidRPr="004D0DAA">
              <w:rPr>
                <w:b/>
              </w:rPr>
              <w:t>I_LEVEL_TN4</w:t>
            </w:r>
            <w:r w:rsidRPr="004D0DAA">
              <w:t xml:space="preserve"> (4 bit field)</w:t>
            </w:r>
          </w:p>
          <w:p w14:paraId="203A7DF8" w14:textId="77777777" w:rsidR="00711444" w:rsidRPr="004D0DAA" w:rsidRDefault="00711444" w:rsidP="00AA2A4C">
            <w:pPr>
              <w:spacing w:after="0"/>
            </w:pPr>
            <w:r w:rsidRPr="004D0DAA">
              <w:rPr>
                <w:b/>
              </w:rPr>
              <w:t>I_LEVEL_TN5</w:t>
            </w:r>
            <w:r w:rsidRPr="004D0DAA">
              <w:t xml:space="preserve"> (4 bit field)</w:t>
            </w:r>
          </w:p>
          <w:p w14:paraId="7EFF5CF8" w14:textId="77777777" w:rsidR="00711444" w:rsidRPr="004D0DAA" w:rsidRDefault="00711444" w:rsidP="00AA2A4C">
            <w:pPr>
              <w:spacing w:after="0"/>
            </w:pPr>
            <w:r w:rsidRPr="004D0DAA">
              <w:rPr>
                <w:b/>
              </w:rPr>
              <w:t>I_LEVEL_TN6</w:t>
            </w:r>
            <w:r w:rsidRPr="004D0DAA">
              <w:t xml:space="preserve"> (4 bit field)</w:t>
            </w:r>
          </w:p>
          <w:p w14:paraId="259E9A0B" w14:textId="77777777" w:rsidR="00711444" w:rsidRPr="004D0DAA" w:rsidRDefault="00711444" w:rsidP="00AA2A4C">
            <w:pPr>
              <w:spacing w:after="0"/>
            </w:pPr>
            <w:r w:rsidRPr="004D0DAA">
              <w:rPr>
                <w:b/>
              </w:rPr>
              <w:t>I_LEVEL_TN7</w:t>
            </w:r>
            <w:r w:rsidRPr="004D0DAA">
              <w:t xml:space="preserve"> (4 bit field)</w:t>
            </w:r>
          </w:p>
          <w:p w14:paraId="50886CE4" w14:textId="77777777" w:rsidR="00711444" w:rsidRPr="004D0DAA" w:rsidRDefault="00711444" w:rsidP="00AA2A4C">
            <w:pPr>
              <w:spacing w:after="0"/>
            </w:pPr>
          </w:p>
          <w:p w14:paraId="1CC638F4" w14:textId="77777777" w:rsidR="00711444" w:rsidRPr="004D0DAA" w:rsidRDefault="00711444" w:rsidP="00AA2A4C">
            <w:pPr>
              <w:spacing w:after="0"/>
            </w:pPr>
            <w:r w:rsidRPr="004D0DAA">
              <w:t xml:space="preserve">These fields contain the </w:t>
            </w:r>
            <w:r w:rsidRPr="004D0DAA">
              <w:rPr>
                <w:rFonts w:ascii="Symbol" w:hAnsi="Symbol"/>
              </w:rPr>
              <w:t></w:t>
            </w:r>
            <w:r w:rsidRPr="004D0DAA">
              <w:t xml:space="preserve"> value calculated on timeslots 0 through 7, respectively. The </w:t>
            </w:r>
            <w:r w:rsidRPr="004D0DAA">
              <w:rPr>
                <w:rFonts w:ascii="Symbol" w:hAnsi="Symbol"/>
              </w:rPr>
              <w:t></w:t>
            </w:r>
            <w:r w:rsidRPr="004D0DAA">
              <w:t xml:space="preserve"> value is defined in 3GPP TS 45.008. These fields are encoded relative to C_VALUE as defined for the mapping defined in 3GPP TS 45.008 for interference level (I_LEVEL):</w:t>
            </w:r>
          </w:p>
          <w:p w14:paraId="7B839F1C" w14:textId="77777777" w:rsidR="00711444" w:rsidRPr="004D0DAA" w:rsidRDefault="00711444" w:rsidP="00AA2A4C">
            <w:pPr>
              <w:spacing w:after="0"/>
            </w:pPr>
          </w:p>
          <w:p w14:paraId="037BF767" w14:textId="77777777" w:rsidR="00711444" w:rsidRPr="004D0DAA" w:rsidRDefault="00711444" w:rsidP="00AA2A4C">
            <w:pPr>
              <w:tabs>
                <w:tab w:val="left" w:pos="851"/>
              </w:tabs>
              <w:spacing w:after="0"/>
            </w:pPr>
            <w:r w:rsidRPr="004D0DAA">
              <w:t>bit</w:t>
            </w:r>
          </w:p>
          <w:p w14:paraId="45CED234" w14:textId="77777777" w:rsidR="00711444" w:rsidRPr="004D0DAA" w:rsidRDefault="00711444" w:rsidP="00AA2A4C">
            <w:pPr>
              <w:tabs>
                <w:tab w:val="left" w:pos="851"/>
              </w:tabs>
              <w:spacing w:after="0"/>
            </w:pPr>
            <w:r w:rsidRPr="004D0DAA">
              <w:t>4 3 2 1</w:t>
            </w:r>
          </w:p>
          <w:p w14:paraId="2A63000A" w14:textId="77777777" w:rsidR="00711444" w:rsidRPr="004D0DAA" w:rsidRDefault="00711444" w:rsidP="00AA2A4C">
            <w:pPr>
              <w:tabs>
                <w:tab w:val="left" w:pos="851"/>
              </w:tabs>
              <w:spacing w:after="0"/>
            </w:pPr>
            <w:r w:rsidRPr="004D0DAA">
              <w:t>0 0 0 0</w:t>
            </w:r>
            <w:r w:rsidRPr="004D0DAA">
              <w:tab/>
              <w:t>I_LEVEL 0</w:t>
            </w:r>
          </w:p>
          <w:p w14:paraId="33054FBB" w14:textId="77777777" w:rsidR="00711444" w:rsidRPr="004D0DAA" w:rsidRDefault="00711444" w:rsidP="00AA2A4C">
            <w:pPr>
              <w:tabs>
                <w:tab w:val="left" w:pos="851"/>
              </w:tabs>
              <w:spacing w:after="0"/>
            </w:pPr>
            <w:r w:rsidRPr="004D0DAA">
              <w:t>0 0 0 1</w:t>
            </w:r>
            <w:r w:rsidRPr="004D0DAA">
              <w:tab/>
              <w:t>I_LEVEL 1</w:t>
            </w:r>
          </w:p>
          <w:p w14:paraId="6DD09970" w14:textId="77777777" w:rsidR="00711444" w:rsidRPr="004D0DAA" w:rsidRDefault="00711444" w:rsidP="00AA2A4C">
            <w:pPr>
              <w:tabs>
                <w:tab w:val="left" w:pos="851"/>
              </w:tabs>
              <w:spacing w:after="0"/>
            </w:pPr>
            <w:r w:rsidRPr="004D0DAA">
              <w:t>...</w:t>
            </w:r>
          </w:p>
          <w:p w14:paraId="769B5C17" w14:textId="77777777" w:rsidR="00711444" w:rsidRPr="004D0DAA" w:rsidRDefault="00711444" w:rsidP="00AA2A4C">
            <w:pPr>
              <w:tabs>
                <w:tab w:val="left" w:pos="851"/>
              </w:tabs>
              <w:spacing w:after="0"/>
            </w:pPr>
            <w:r w:rsidRPr="004D0DAA">
              <w:t>1 1 1 0</w:t>
            </w:r>
            <w:r w:rsidRPr="004D0DAA">
              <w:tab/>
              <w:t>I_LEVEL 14</w:t>
            </w:r>
          </w:p>
          <w:p w14:paraId="4128C8AE" w14:textId="77777777" w:rsidR="00711444" w:rsidRPr="004D0DAA" w:rsidRDefault="00711444" w:rsidP="00AA2A4C">
            <w:pPr>
              <w:tabs>
                <w:tab w:val="left" w:pos="851"/>
              </w:tabs>
            </w:pPr>
            <w:r w:rsidRPr="004D0DAA">
              <w:t>1 1 1 1</w:t>
            </w:r>
            <w:r w:rsidRPr="004D0DAA">
              <w:tab/>
              <w:t>I_LEVEL 15</w:t>
            </w:r>
          </w:p>
        </w:tc>
      </w:tr>
    </w:tbl>
    <w:p w14:paraId="3A9DF5F3" w14:textId="77777777" w:rsidR="00711444" w:rsidRPr="004D0DAA" w:rsidRDefault="00711444" w:rsidP="00711444"/>
    <w:p w14:paraId="58F13B13" w14:textId="77777777" w:rsidR="00711444" w:rsidRPr="004D0DAA" w:rsidRDefault="00711444" w:rsidP="00711444">
      <w:pPr>
        <w:pStyle w:val="Heading3"/>
      </w:pPr>
      <w:bookmarkStart w:id="765" w:name="_Toc516669941"/>
      <w:r w:rsidRPr="004D0DAA">
        <w:t>12.5.5</w:t>
      </w:r>
      <w:r w:rsidRPr="004D0DAA">
        <w:tab/>
      </w:r>
      <w:r w:rsidRPr="004D0DAA">
        <w:rPr>
          <w:bCs/>
        </w:rPr>
        <w:t>PDCH Pairs Description</w:t>
      </w:r>
      <w:bookmarkEnd w:id="765"/>
    </w:p>
    <w:p w14:paraId="397432E7" w14:textId="77777777" w:rsidR="00711444" w:rsidRPr="004D0DAA" w:rsidRDefault="00711444" w:rsidP="00711444">
      <w:r w:rsidRPr="004D0DAA">
        <w:t>The PDCH Pairs Description information element gives the description of the uplink and downlink corresponding pairs of an RTTI configuration.</w:t>
      </w:r>
    </w:p>
    <w:p w14:paraId="39D18A15" w14:textId="77777777" w:rsidR="00711444" w:rsidRPr="004D0DAA" w:rsidRDefault="00711444" w:rsidP="00711444">
      <w:pPr>
        <w:pStyle w:val="TH"/>
      </w:pPr>
      <w:r w:rsidRPr="004D0DAA">
        <w:lastRenderedPageBreak/>
        <w:t>Table 12.5.5.1: PDCH Pairs Description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16D8CB5" w14:textId="77777777" w:rsidTr="00AA2A4C">
        <w:tblPrEx>
          <w:tblCellMar>
            <w:top w:w="0" w:type="dxa"/>
            <w:bottom w:w="0" w:type="dxa"/>
          </w:tblCellMar>
        </w:tblPrEx>
        <w:trPr>
          <w:cantSplit/>
        </w:trPr>
        <w:tc>
          <w:tcPr>
            <w:tcW w:w="9848" w:type="dxa"/>
          </w:tcPr>
          <w:p w14:paraId="36AB0A04" w14:textId="77777777" w:rsidR="00711444" w:rsidRPr="004D0DAA" w:rsidRDefault="00711444" w:rsidP="00AA2A4C">
            <w:pPr>
              <w:pStyle w:val="TAL"/>
              <w:rPr>
                <w:lang w:eastAsia="en-US"/>
              </w:rPr>
            </w:pPr>
            <w:r w:rsidRPr="004D0DAA">
              <w:rPr>
                <w:lang w:eastAsia="en-US"/>
              </w:rPr>
              <w:t>&lt; PDCH Pairs Description IE &gt; ::=</w:t>
            </w:r>
          </w:p>
          <w:p w14:paraId="5AAC12BE" w14:textId="77777777" w:rsidR="00711444" w:rsidRPr="004D0DAA" w:rsidRDefault="00711444" w:rsidP="00AA2A4C">
            <w:pPr>
              <w:pStyle w:val="TAL"/>
              <w:rPr>
                <w:i/>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Single Carrier Assignment</w:t>
            </w:r>
          </w:p>
          <w:p w14:paraId="1657F451"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Default PDCH pair configuration</w:t>
            </w:r>
          </w:p>
          <w:p w14:paraId="4744937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Unchanged</w:t>
            </w:r>
          </w:p>
          <w:p w14:paraId="2CDA972C"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58E6436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14B3DC9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53238751"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150B1A2D" w14:textId="77777777" w:rsidR="00711444" w:rsidRPr="004D0DAA" w:rsidRDefault="00711444" w:rsidP="00AA2A4C">
            <w:pPr>
              <w:pStyle w:val="TAL"/>
              <w:rPr>
                <w:szCs w:val="18"/>
                <w:lang w:eastAsia="en-US"/>
              </w:rPr>
            </w:pPr>
            <w:r w:rsidRPr="004D0DAA">
              <w:rPr>
                <w:i/>
                <w:szCs w:val="18"/>
                <w:lang w:eastAsia="en-US"/>
              </w:rPr>
              <w:tab/>
            </w:r>
            <w:r w:rsidRPr="004D0DAA">
              <w:rPr>
                <w:i/>
                <w:szCs w:val="18"/>
                <w:lang w:eastAsia="en-US"/>
              </w:rPr>
              <w:tab/>
            </w:r>
            <w:r w:rsidRPr="004D0DAA">
              <w:rPr>
                <w:szCs w:val="18"/>
                <w:lang w:eastAsia="en-US"/>
              </w:rPr>
              <w:t>}</w:t>
            </w:r>
          </w:p>
          <w:p w14:paraId="65F7EB77" w14:textId="77777777" w:rsidR="00711444" w:rsidRPr="004D0DAA" w:rsidRDefault="00711444" w:rsidP="00AA2A4C">
            <w:pPr>
              <w:pStyle w:val="TAL"/>
              <w:rPr>
                <w:i/>
                <w:lang w:eastAsia="en-US"/>
              </w:rPr>
            </w:pP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w:t>
            </w:r>
            <w:r w:rsidRPr="004D0DAA">
              <w:rPr>
                <w:i/>
                <w:lang w:eastAsia="en-US"/>
              </w:rPr>
              <w:t>Dual  Carrier Assignment</w:t>
            </w:r>
          </w:p>
          <w:p w14:paraId="73111A21"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Default PDCH pair configuration</w:t>
            </w:r>
          </w:p>
          <w:p w14:paraId="7224656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Unchanged</w:t>
            </w:r>
          </w:p>
          <w:p w14:paraId="79527B7A"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6C57E28A" w14:textId="77777777" w:rsidR="00711444" w:rsidRPr="004D0DAA" w:rsidRDefault="00711444" w:rsidP="00AA2A4C">
            <w:pPr>
              <w:pStyle w:val="TAL"/>
              <w:rPr>
                <w:szCs w:val="18"/>
                <w:lang w:eastAsia="en-US"/>
              </w:rPr>
            </w:pPr>
            <w:r w:rsidRPr="004D0DAA">
              <w:rPr>
                <w:i/>
                <w:iCs/>
                <w:szCs w:val="18"/>
                <w:lang w:eastAsia="en-US"/>
              </w:rPr>
              <w:tab/>
            </w:r>
            <w:r w:rsidRPr="004D0DAA">
              <w:rPr>
                <w:i/>
                <w:iCs/>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029AC5A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069CE1A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4B895235"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6E238EDD"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652C9A1C"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t>}</w:t>
            </w:r>
          </w:p>
          <w:p w14:paraId="7B211EAD" w14:textId="77777777" w:rsidR="00711444" w:rsidRPr="004D0DAA" w:rsidRDefault="00711444" w:rsidP="00AA2A4C">
            <w:pPr>
              <w:pStyle w:val="TAL"/>
              <w:rPr>
                <w:szCs w:val="18"/>
                <w:lang w:eastAsia="en-US"/>
              </w:rPr>
            </w:pPr>
            <w:r w:rsidRPr="004D0DAA">
              <w:rPr>
                <w:i/>
                <w:szCs w:val="18"/>
                <w:lang w:eastAsia="en-US"/>
              </w:rPr>
              <w:tab/>
            </w:r>
            <w:r w:rsidRPr="004D0DAA">
              <w:rPr>
                <w:szCs w:val="18"/>
                <w:lang w:eastAsia="en-US"/>
              </w:rPr>
              <w:t>} ;</w:t>
            </w:r>
          </w:p>
          <w:p w14:paraId="40A2D260" w14:textId="77777777" w:rsidR="00711444" w:rsidRPr="004D0DAA" w:rsidRDefault="00711444" w:rsidP="00AA2A4C">
            <w:pPr>
              <w:pStyle w:val="TAL"/>
              <w:rPr>
                <w:lang w:eastAsia="en-US"/>
              </w:rPr>
            </w:pPr>
          </w:p>
        </w:tc>
      </w:tr>
    </w:tbl>
    <w:p w14:paraId="22BBE1CF" w14:textId="77777777" w:rsidR="00711444" w:rsidRPr="004D0DAA" w:rsidRDefault="00711444" w:rsidP="00711444"/>
    <w:p w14:paraId="1CD284D0" w14:textId="77777777" w:rsidR="00711444" w:rsidRPr="004D0DAA" w:rsidRDefault="00711444" w:rsidP="00711444">
      <w:pPr>
        <w:pStyle w:val="TH"/>
      </w:pPr>
      <w:r w:rsidRPr="004D0DAA">
        <w:t>Table 12.5.5.2: PDCH Pairs Description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62AA10" w14:textId="77777777" w:rsidTr="00AA2A4C">
        <w:tblPrEx>
          <w:tblCellMar>
            <w:top w:w="0" w:type="dxa"/>
            <w:bottom w:w="0" w:type="dxa"/>
          </w:tblCellMar>
        </w:tblPrEx>
        <w:tc>
          <w:tcPr>
            <w:tcW w:w="9848" w:type="dxa"/>
            <w:tcBorders>
              <w:top w:val="single" w:sz="4" w:space="0" w:color="auto"/>
              <w:left w:val="single" w:sz="4" w:space="0" w:color="auto"/>
              <w:bottom w:val="single" w:sz="4" w:space="0" w:color="auto"/>
              <w:right w:val="single" w:sz="4" w:space="0" w:color="auto"/>
            </w:tcBorders>
          </w:tcPr>
          <w:p w14:paraId="533DE565" w14:textId="77777777" w:rsidR="00711444" w:rsidRPr="004D0DAA" w:rsidRDefault="00711444" w:rsidP="00AA2A4C">
            <w:pPr>
              <w:spacing w:after="0"/>
              <w:rPr>
                <w:b/>
              </w:rPr>
            </w:pPr>
            <w:r w:rsidRPr="004D0DAA">
              <w:rPr>
                <w:b/>
              </w:rPr>
              <w:t>DOWNLINK_PDCH_PAIRS_C1</w:t>
            </w:r>
          </w:p>
          <w:p w14:paraId="089638A0" w14:textId="77777777" w:rsidR="00711444" w:rsidRPr="004D0DAA" w:rsidRDefault="00711444" w:rsidP="00AA2A4C">
            <w:pPr>
              <w:spacing w:after="0"/>
              <w:rPr>
                <w:b/>
              </w:rPr>
            </w:pPr>
            <w:r w:rsidRPr="004D0DAA">
              <w:rPr>
                <w:b/>
              </w:rPr>
              <w:t>DOWNLINK_PDCH_PAIRS_C2</w:t>
            </w:r>
          </w:p>
          <w:p w14:paraId="0606F8F1" w14:textId="77777777" w:rsidR="00711444" w:rsidRPr="004D0DAA" w:rsidRDefault="00711444" w:rsidP="00AA2A4C">
            <w:pPr>
              <w:spacing w:after="0"/>
              <w:rPr>
                <w:b/>
              </w:rPr>
            </w:pPr>
            <w:r w:rsidRPr="004D0DAA">
              <w:rPr>
                <w:b/>
              </w:rPr>
              <w:t>UPLINK_PDCH_PAIRS_C1</w:t>
            </w:r>
          </w:p>
          <w:p w14:paraId="5488EC79" w14:textId="77777777" w:rsidR="00711444" w:rsidRPr="004D0DAA" w:rsidRDefault="00711444" w:rsidP="00AA2A4C">
            <w:pPr>
              <w:spacing w:after="0"/>
            </w:pPr>
            <w:r w:rsidRPr="004D0DAA">
              <w:rPr>
                <w:b/>
              </w:rPr>
              <w:t>UPLINK_PDCH_PAIRS_C2</w:t>
            </w:r>
          </w:p>
          <w:p w14:paraId="23E4BD45" w14:textId="77777777" w:rsidR="00711444" w:rsidRPr="004D0DAA" w:rsidRDefault="00711444" w:rsidP="00AA2A4C">
            <w:pPr>
              <w:spacing w:after="0"/>
            </w:pPr>
          </w:p>
          <w:p w14:paraId="193DB558" w14:textId="77777777" w:rsidR="00711444" w:rsidRPr="004D0DAA" w:rsidRDefault="00711444" w:rsidP="00AA2A4C">
            <w:pPr>
              <w:spacing w:after="0"/>
            </w:pPr>
            <w:r w:rsidRPr="004D0DAA">
              <w:t>These fields are defined in sub-clause 11.2.31</w:t>
            </w:r>
          </w:p>
        </w:tc>
      </w:tr>
    </w:tbl>
    <w:p w14:paraId="37231163" w14:textId="77777777" w:rsidR="00711444" w:rsidRPr="004D0DAA" w:rsidRDefault="00711444" w:rsidP="00711444"/>
    <w:p w14:paraId="575EDA41" w14:textId="77777777" w:rsidR="00711444" w:rsidRPr="004D0DAA" w:rsidRDefault="00711444" w:rsidP="00711444">
      <w:pPr>
        <w:pStyle w:val="Heading2"/>
      </w:pPr>
      <w:bookmarkStart w:id="766" w:name="_Toc516669942"/>
      <w:r w:rsidRPr="004D0DAA">
        <w:t>12.5a</w:t>
      </w:r>
      <w:r w:rsidRPr="004D0DAA">
        <w:tab/>
        <w:t>EGPRS2</w:t>
      </w:r>
      <w:bookmarkEnd w:id="766"/>
    </w:p>
    <w:p w14:paraId="6CE7E0E7" w14:textId="77777777" w:rsidR="00711444" w:rsidRPr="004D0DAA" w:rsidRDefault="00711444" w:rsidP="00711444">
      <w:pPr>
        <w:pStyle w:val="Heading3"/>
      </w:pPr>
      <w:bookmarkStart w:id="767" w:name="_Toc516669943"/>
      <w:r w:rsidRPr="004D0DAA">
        <w:t>12.5a.1</w:t>
      </w:r>
      <w:r w:rsidRPr="004D0DAA">
        <w:tab/>
        <w:t>EGPRS Channel Quality Report Type 2</w:t>
      </w:r>
      <w:bookmarkEnd w:id="767"/>
    </w:p>
    <w:p w14:paraId="16ABF056" w14:textId="77777777" w:rsidR="00711444" w:rsidRPr="004D0DAA" w:rsidRDefault="00711444" w:rsidP="00711444">
      <w:r w:rsidRPr="004D0DAA">
        <w:t>The EGPRS2 Channel Quality Report Type 2 Information Element is defined in tables 12.5a.1.1 and 12.5a.1.2.</w:t>
      </w:r>
      <w:r w:rsidRPr="004D0DAA">
        <w:rPr>
          <w:rFonts w:hint="eastAsia"/>
          <w:lang w:eastAsia="ko-KR"/>
        </w:rPr>
        <w:t xml:space="preserve"> The i</w:t>
      </w:r>
      <w:r w:rsidRPr="004D0DAA">
        <w:t>nformation to be included within this IE depends on the setting of the ES/P field</w:t>
      </w:r>
      <w:r w:rsidRPr="004D0DAA">
        <w:rPr>
          <w:rFonts w:hint="eastAsia"/>
          <w:lang w:eastAsia="ko-KR"/>
        </w:rPr>
        <w:t xml:space="preserve"> or CES/P field</w:t>
      </w:r>
      <w:r w:rsidRPr="004D0DAA">
        <w:t xml:space="preserve"> (see sub-clause 9.1.8.2.1) and on the most recently received LINK_QUALITY_MEASUREMENT_MODE field (see sub-clause 11.2.7).</w:t>
      </w:r>
    </w:p>
    <w:p w14:paraId="5D2FD4CE" w14:textId="77777777" w:rsidR="00711444" w:rsidRPr="004D0DAA" w:rsidRDefault="00711444" w:rsidP="00711444">
      <w:pPr>
        <w:pStyle w:val="TH"/>
      </w:pPr>
      <w:r w:rsidRPr="004D0DAA">
        <w:t>Table 12.5a.1.1 : EGPRS Channel Quality Report Type 2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7C80D40" w14:textId="77777777" w:rsidTr="00AA2A4C">
        <w:tblPrEx>
          <w:tblCellMar>
            <w:top w:w="0" w:type="dxa"/>
            <w:bottom w:w="0" w:type="dxa"/>
          </w:tblCellMar>
        </w:tblPrEx>
        <w:trPr>
          <w:cantSplit/>
        </w:trPr>
        <w:tc>
          <w:tcPr>
            <w:tcW w:w="9848" w:type="dxa"/>
          </w:tcPr>
          <w:p w14:paraId="0F03BA35" w14:textId="77777777" w:rsidR="00711444" w:rsidRPr="004D0DAA" w:rsidRDefault="00711444" w:rsidP="00AA2A4C">
            <w:pPr>
              <w:pStyle w:val="TAL"/>
              <w:rPr>
                <w:lang w:eastAsia="en-US"/>
              </w:rPr>
            </w:pPr>
            <w:r w:rsidRPr="004D0DAA">
              <w:rPr>
                <w:lang w:eastAsia="en-US"/>
              </w:rPr>
              <w:t xml:space="preserve">&lt; EGPRS Channel Quality Report </w:t>
            </w:r>
            <w:r w:rsidRPr="004D0DAA">
              <w:rPr>
                <w:rFonts w:hint="eastAsia"/>
                <w:lang w:eastAsia="ko-KR"/>
              </w:rPr>
              <w:t>Type 2 IE</w:t>
            </w:r>
            <w:r w:rsidRPr="004D0DAA">
              <w:rPr>
                <w:lang w:eastAsia="en-US"/>
              </w:rPr>
              <w:t>&gt; ::=</w:t>
            </w:r>
          </w:p>
          <w:p w14:paraId="1D0B2EC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EGPRS BEP Link Quality Measurements Type 2</w:t>
            </w:r>
            <w:r w:rsidRPr="004D0DAA">
              <w:rPr>
                <w:lang w:eastAsia="en-US"/>
              </w:rPr>
              <w:t xml:space="preserve"> : &lt; EGPRS BEP Link Quality Measurements Type 2 IE&gt;&gt; </w:t>
            </w:r>
          </w:p>
          <w:p w14:paraId="510EC35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C_VALUE</w:t>
            </w:r>
            <w:r w:rsidRPr="004D0DAA">
              <w:rPr>
                <w:lang w:eastAsia="en-US"/>
              </w:rPr>
              <w:t xml:space="preserve"> : bit (6) &gt;</w:t>
            </w:r>
          </w:p>
          <w:p w14:paraId="3E67BC4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EGPRS Timeslot Link Quality Measurements Type 2</w:t>
            </w:r>
            <w:r w:rsidRPr="004D0DAA">
              <w:rPr>
                <w:lang w:eastAsia="en-US"/>
              </w:rPr>
              <w:t> : &lt;EGPRS Timeslot Link Quality Measurements Type 2 IE &gt;&gt; ;</w:t>
            </w:r>
          </w:p>
          <w:p w14:paraId="2CAF2FC3" w14:textId="77777777" w:rsidR="00711444" w:rsidRPr="004D0DAA" w:rsidRDefault="00711444" w:rsidP="00AA2A4C">
            <w:pPr>
              <w:pStyle w:val="TAL"/>
              <w:rPr>
                <w:lang w:eastAsia="en-US"/>
              </w:rPr>
            </w:pPr>
          </w:p>
        </w:tc>
      </w:tr>
    </w:tbl>
    <w:p w14:paraId="30B1400B" w14:textId="77777777" w:rsidR="00711444" w:rsidRPr="004D0DAA" w:rsidRDefault="00711444" w:rsidP="00711444"/>
    <w:p w14:paraId="1AF2C023" w14:textId="77777777" w:rsidR="00711444" w:rsidRPr="004D0DAA" w:rsidRDefault="00711444" w:rsidP="00711444">
      <w:pPr>
        <w:pStyle w:val="TH"/>
      </w:pPr>
      <w:r w:rsidRPr="004D0DAA">
        <w:lastRenderedPageBreak/>
        <w:t>Table 12.5a.1.2 : EGPRS Channel Quality Report Type 2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E4C2BA3" w14:textId="77777777" w:rsidTr="00AA2A4C">
        <w:tblPrEx>
          <w:tblCellMar>
            <w:top w:w="0" w:type="dxa"/>
            <w:bottom w:w="0" w:type="dxa"/>
          </w:tblCellMar>
        </w:tblPrEx>
        <w:tc>
          <w:tcPr>
            <w:tcW w:w="9848" w:type="dxa"/>
          </w:tcPr>
          <w:p w14:paraId="6DC1C5E5" w14:textId="77777777" w:rsidR="00711444" w:rsidRPr="004D0DAA" w:rsidRDefault="00711444" w:rsidP="00AA2A4C">
            <w:pPr>
              <w:keepNext/>
              <w:keepLines/>
            </w:pPr>
            <w:r w:rsidRPr="004D0DAA">
              <w:rPr>
                <w:b/>
              </w:rPr>
              <w:t xml:space="preserve">EGPRS BEP Link Quality Measurements Type 2 </w:t>
            </w:r>
            <w:r w:rsidRPr="004D0DAA">
              <w:rPr>
                <w:b/>
              </w:rPr>
              <w:br/>
            </w:r>
            <w:r w:rsidRPr="004D0DAA">
              <w:t>This information element is defined in sub-clause 12.5a.2. These fields are transferred according to the setting of the ES/P field</w:t>
            </w:r>
            <w:r w:rsidRPr="004D0DAA">
              <w:rPr>
                <w:rFonts w:hint="eastAsia"/>
                <w:lang w:eastAsia="ko-KR"/>
              </w:rPr>
              <w:t xml:space="preserve"> or CES/P field</w:t>
            </w:r>
            <w:r w:rsidRPr="004D0DAA">
              <w:t>, see sub-clause 9.1.8.2.1.</w:t>
            </w:r>
          </w:p>
          <w:p w14:paraId="3DD1D176" w14:textId="77777777" w:rsidR="00711444" w:rsidRPr="004D0DAA" w:rsidRDefault="00711444" w:rsidP="00AA2A4C">
            <w:pPr>
              <w:spacing w:after="0"/>
              <w:rPr>
                <w:b/>
              </w:rPr>
            </w:pPr>
            <w:r w:rsidRPr="004D0DAA">
              <w:rPr>
                <w:b/>
              </w:rPr>
              <w:t>EGPRS Timeslot Link Quality Measurements Type 2</w:t>
            </w:r>
          </w:p>
          <w:p w14:paraId="355D6BAB" w14:textId="77777777" w:rsidR="00711444" w:rsidRPr="004D0DAA" w:rsidRDefault="00711444" w:rsidP="00AA2A4C">
            <w:pPr>
              <w:keepNext/>
              <w:keepLines/>
            </w:pPr>
            <w:r w:rsidRPr="004D0DAA">
              <w:t xml:space="preserve">This information element is defined in sub-clause 12.5a.3. </w:t>
            </w:r>
          </w:p>
          <w:p w14:paraId="5BF843C1" w14:textId="77777777" w:rsidR="00711444" w:rsidRPr="004D0DAA" w:rsidRDefault="00711444" w:rsidP="00AA2A4C">
            <w:pPr>
              <w:spacing w:after="0"/>
            </w:pPr>
            <w:r w:rsidRPr="004D0DAA">
              <w:rPr>
                <w:b/>
              </w:rPr>
              <w:t xml:space="preserve">C_VALUE </w:t>
            </w:r>
            <w:r w:rsidRPr="004D0DAA">
              <w:t>(6 bits)</w:t>
            </w:r>
            <w:r w:rsidRPr="004D0DAA">
              <w:rPr>
                <w:b/>
              </w:rPr>
              <w:br/>
            </w:r>
            <w:r w:rsidRPr="004D0DAA">
              <w:t>This field contains the value of the C parameter calculated by the mobile station (see 3GPP TS 45.008). This field is encoded as the binary representation of the C value parameter value defined in 3GPP TS 45.008.</w:t>
            </w:r>
            <w:r w:rsidRPr="004D0DAA">
              <w:br/>
              <w:t>Range 0 to 63</w:t>
            </w:r>
          </w:p>
        </w:tc>
      </w:tr>
    </w:tbl>
    <w:p w14:paraId="2B32F4F7" w14:textId="77777777" w:rsidR="00711444" w:rsidRPr="004D0DAA" w:rsidRDefault="00711444" w:rsidP="00711444"/>
    <w:p w14:paraId="5CEC7F05" w14:textId="77777777" w:rsidR="00711444" w:rsidRPr="004D0DAA" w:rsidRDefault="00711444" w:rsidP="00711444">
      <w:pPr>
        <w:pStyle w:val="Heading3"/>
      </w:pPr>
      <w:bookmarkStart w:id="768" w:name="_Toc516669944"/>
      <w:r w:rsidRPr="004D0DAA">
        <w:t>12.5a.2</w:t>
      </w:r>
      <w:r w:rsidRPr="004D0DAA">
        <w:tab/>
        <w:t>EGPRS BEP Link Quality Measurements Type 2 IE</w:t>
      </w:r>
      <w:bookmarkEnd w:id="768"/>
    </w:p>
    <w:p w14:paraId="77D1D41B" w14:textId="77777777" w:rsidR="00711444" w:rsidRPr="004D0DAA" w:rsidRDefault="00711444" w:rsidP="00711444">
      <w:r w:rsidRPr="004D0DAA">
        <w:t xml:space="preserve">The EGPRS BEP Link Quality measurements Type 2 IE is defined in tables 12.5a.2.1 and 12.5a.2.2. In the case of dual carrier configurations, "all timeslots in the TBF" shall refer only to those timeslots on the carrier to which this IE relates. </w:t>
      </w:r>
    </w:p>
    <w:p w14:paraId="47C30239" w14:textId="77777777" w:rsidR="00711444" w:rsidRPr="004D0DAA" w:rsidRDefault="00711444" w:rsidP="00711444">
      <w:pPr>
        <w:pStyle w:val="TH"/>
      </w:pPr>
      <w:r w:rsidRPr="004D0DAA">
        <w:t>Table 12.5a.2.1: EGPRS BEP Link Quality Measurements Type 2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1D26A15" w14:textId="77777777" w:rsidTr="00AA2A4C">
        <w:tblPrEx>
          <w:tblCellMar>
            <w:top w:w="0" w:type="dxa"/>
            <w:bottom w:w="0" w:type="dxa"/>
          </w:tblCellMar>
        </w:tblPrEx>
        <w:trPr>
          <w:cantSplit/>
        </w:trPr>
        <w:tc>
          <w:tcPr>
            <w:tcW w:w="9848" w:type="dxa"/>
          </w:tcPr>
          <w:p w14:paraId="1F392CA3" w14:textId="77777777" w:rsidR="00711444" w:rsidRPr="004D0DAA" w:rsidRDefault="00711444" w:rsidP="00AA2A4C">
            <w:pPr>
              <w:pStyle w:val="TAL"/>
              <w:rPr>
                <w:lang w:eastAsia="en-US"/>
              </w:rPr>
            </w:pPr>
            <w:r w:rsidRPr="004D0DAA">
              <w:rPr>
                <w:lang w:eastAsia="en-US"/>
              </w:rPr>
              <w:t>&lt;EGPRS BEP Link Quality Measurements Type 2 IE&gt; ::=</w:t>
            </w:r>
          </w:p>
          <w:p w14:paraId="6F721A3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GMSK</w:t>
            </w:r>
            <w:r w:rsidRPr="004D0DAA">
              <w:rPr>
                <w:lang w:eastAsia="en-US"/>
              </w:rPr>
              <w:t>_</w:t>
            </w:r>
            <w:r w:rsidRPr="004D0DAA">
              <w:rPr>
                <w:b/>
                <w:lang w:eastAsia="en-US"/>
              </w:rPr>
              <w:t>MEAN_BEP</w:t>
            </w:r>
            <w:r w:rsidRPr="004D0DAA">
              <w:rPr>
                <w:lang w:eastAsia="en-US"/>
              </w:rPr>
              <w:t xml:space="preserve"> : bit (5) &gt;</w:t>
            </w:r>
          </w:p>
          <w:p w14:paraId="0764A83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GMSK</w:t>
            </w:r>
            <w:r w:rsidRPr="004D0DAA">
              <w:rPr>
                <w:lang w:eastAsia="en-US"/>
              </w:rPr>
              <w:t>_</w:t>
            </w:r>
            <w:r w:rsidRPr="004D0DAA">
              <w:rPr>
                <w:b/>
                <w:lang w:eastAsia="en-US"/>
              </w:rPr>
              <w:t>CV_BEP</w:t>
            </w:r>
            <w:r w:rsidRPr="004D0DAA">
              <w:rPr>
                <w:lang w:eastAsia="en-US"/>
              </w:rPr>
              <w:t xml:space="preserve"> : bit (3) &gt;}</w:t>
            </w:r>
          </w:p>
          <w:p w14:paraId="3B971A8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8PSK</w:t>
            </w:r>
            <w:r w:rsidRPr="004D0DAA">
              <w:rPr>
                <w:lang w:eastAsia="en-US"/>
              </w:rPr>
              <w:t>_</w:t>
            </w:r>
            <w:r w:rsidRPr="004D0DAA">
              <w:rPr>
                <w:b/>
                <w:lang w:eastAsia="en-US"/>
              </w:rPr>
              <w:t>MEAN_BEP</w:t>
            </w:r>
            <w:r w:rsidRPr="004D0DAA">
              <w:rPr>
                <w:lang w:eastAsia="en-US"/>
              </w:rPr>
              <w:t xml:space="preserve"> : bit (5) &gt;</w:t>
            </w:r>
          </w:p>
          <w:p w14:paraId="2EE19C3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8PSK</w:t>
            </w:r>
            <w:r w:rsidRPr="004D0DAA">
              <w:rPr>
                <w:lang w:eastAsia="en-US"/>
              </w:rPr>
              <w:t>_</w:t>
            </w:r>
            <w:r w:rsidRPr="004D0DAA">
              <w:rPr>
                <w:b/>
                <w:lang w:eastAsia="en-US"/>
              </w:rPr>
              <w:t>CV_BEP</w:t>
            </w:r>
            <w:r w:rsidRPr="004D0DAA">
              <w:rPr>
                <w:lang w:eastAsia="en-US"/>
              </w:rPr>
              <w:t xml:space="preserve"> : bit (3) &gt; }</w:t>
            </w:r>
          </w:p>
          <w:p w14:paraId="203398E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QPSK</w:t>
            </w:r>
            <w:r w:rsidRPr="004D0DAA">
              <w:rPr>
                <w:lang w:eastAsia="en-US"/>
              </w:rPr>
              <w:t>_</w:t>
            </w:r>
            <w:r w:rsidRPr="004D0DAA">
              <w:rPr>
                <w:b/>
                <w:lang w:eastAsia="en-US"/>
              </w:rPr>
              <w:t>MEAN_BEP</w:t>
            </w:r>
            <w:r w:rsidRPr="004D0DAA">
              <w:rPr>
                <w:lang w:eastAsia="en-US"/>
              </w:rPr>
              <w:t xml:space="preserve"> : bit (5) &gt;</w:t>
            </w:r>
          </w:p>
          <w:p w14:paraId="767E312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QPSK</w:t>
            </w:r>
            <w:r w:rsidRPr="004D0DAA">
              <w:rPr>
                <w:lang w:eastAsia="en-US"/>
              </w:rPr>
              <w:t>_</w:t>
            </w:r>
            <w:r w:rsidRPr="004D0DAA">
              <w:rPr>
                <w:b/>
                <w:lang w:eastAsia="en-US"/>
              </w:rPr>
              <w:t>CV_BEP</w:t>
            </w:r>
            <w:r w:rsidRPr="004D0DAA">
              <w:rPr>
                <w:lang w:eastAsia="en-US"/>
              </w:rPr>
              <w:t xml:space="preserve"> : bit (3) &gt; }</w:t>
            </w:r>
          </w:p>
          <w:p w14:paraId="6230B7C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16QAM</w:t>
            </w:r>
            <w:r w:rsidRPr="004D0DAA">
              <w:rPr>
                <w:lang w:eastAsia="en-US"/>
              </w:rPr>
              <w:t>_</w:t>
            </w:r>
            <w:r w:rsidRPr="004D0DAA">
              <w:rPr>
                <w:b/>
                <w:lang w:eastAsia="en-US"/>
              </w:rPr>
              <w:t xml:space="preserve"> NSR_MEAN_BEP</w:t>
            </w:r>
            <w:r w:rsidRPr="004D0DAA">
              <w:rPr>
                <w:lang w:eastAsia="en-US"/>
              </w:rPr>
              <w:t xml:space="preserve"> : bit (5) &gt;</w:t>
            </w:r>
          </w:p>
          <w:p w14:paraId="02081F7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16QAM</w:t>
            </w:r>
            <w:r w:rsidRPr="004D0DAA">
              <w:rPr>
                <w:lang w:eastAsia="en-US"/>
              </w:rPr>
              <w:t>_</w:t>
            </w:r>
            <w:r w:rsidRPr="004D0DAA">
              <w:rPr>
                <w:b/>
                <w:lang w:eastAsia="en-US"/>
              </w:rPr>
              <w:t xml:space="preserve"> NSR_CV_BEP</w:t>
            </w:r>
            <w:r w:rsidRPr="004D0DAA">
              <w:rPr>
                <w:lang w:eastAsia="en-US"/>
              </w:rPr>
              <w:t xml:space="preserve"> : bit (3) &gt; }</w:t>
            </w:r>
          </w:p>
          <w:p w14:paraId="0CAB2871"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32QAM</w:t>
            </w:r>
            <w:r w:rsidRPr="004D0DAA">
              <w:rPr>
                <w:lang w:eastAsia="en-US"/>
              </w:rPr>
              <w:t>_</w:t>
            </w:r>
            <w:r w:rsidRPr="004D0DAA">
              <w:rPr>
                <w:b/>
                <w:lang w:eastAsia="en-US"/>
              </w:rPr>
              <w:t xml:space="preserve"> NSR_MEAN_BEP</w:t>
            </w:r>
            <w:r w:rsidRPr="004D0DAA">
              <w:rPr>
                <w:lang w:eastAsia="en-US"/>
              </w:rPr>
              <w:t xml:space="preserve"> : bit (5) &gt;</w:t>
            </w:r>
          </w:p>
          <w:p w14:paraId="1D3B2A3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32QAM</w:t>
            </w:r>
            <w:r w:rsidRPr="004D0DAA">
              <w:rPr>
                <w:lang w:eastAsia="en-US"/>
              </w:rPr>
              <w:t>_</w:t>
            </w:r>
            <w:r w:rsidRPr="004D0DAA">
              <w:rPr>
                <w:b/>
                <w:lang w:eastAsia="en-US"/>
              </w:rPr>
              <w:t xml:space="preserve"> NSR_CV_BEP</w:t>
            </w:r>
            <w:r w:rsidRPr="004D0DAA">
              <w:rPr>
                <w:lang w:eastAsia="en-US"/>
              </w:rPr>
              <w:t xml:space="preserve"> : bit (3) &gt; }</w:t>
            </w:r>
          </w:p>
          <w:p w14:paraId="01CFE63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16QAM_HSR_MEAN_BEP</w:t>
            </w:r>
            <w:r w:rsidRPr="004D0DAA">
              <w:rPr>
                <w:lang w:eastAsia="en-US"/>
              </w:rPr>
              <w:t xml:space="preserve"> : bit (5) &gt;</w:t>
            </w:r>
          </w:p>
          <w:p w14:paraId="1FC010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16QAM_HSR_CV_BEP</w:t>
            </w:r>
            <w:r w:rsidRPr="004D0DAA">
              <w:rPr>
                <w:lang w:eastAsia="en-US"/>
              </w:rPr>
              <w:t xml:space="preserve"> : bit (3) &gt; }</w:t>
            </w:r>
          </w:p>
          <w:p w14:paraId="264AD29C"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32QAM_HSR_MEAN_BEP</w:t>
            </w:r>
            <w:r w:rsidRPr="004D0DAA">
              <w:rPr>
                <w:lang w:eastAsia="en-US"/>
              </w:rPr>
              <w:t xml:space="preserve"> : bit (5) &gt;</w:t>
            </w:r>
          </w:p>
          <w:p w14:paraId="1F7E82E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32QAM_HSR_CV_BEP</w:t>
            </w:r>
            <w:r w:rsidRPr="004D0DAA">
              <w:rPr>
                <w:lang w:eastAsia="en-US"/>
              </w:rPr>
              <w:t xml:space="preserve"> : bit (3) &gt; };</w:t>
            </w:r>
          </w:p>
          <w:p w14:paraId="53709A0B" w14:textId="77777777" w:rsidR="00711444" w:rsidRPr="004D0DAA" w:rsidRDefault="00711444" w:rsidP="00AA2A4C">
            <w:pPr>
              <w:pStyle w:val="TAL"/>
              <w:rPr>
                <w:lang w:eastAsia="en-US"/>
              </w:rPr>
            </w:pPr>
          </w:p>
        </w:tc>
      </w:tr>
    </w:tbl>
    <w:p w14:paraId="203C6DC4" w14:textId="77777777" w:rsidR="00711444" w:rsidRPr="004D0DAA" w:rsidRDefault="00711444" w:rsidP="00711444"/>
    <w:p w14:paraId="494BAC47" w14:textId="77777777" w:rsidR="00711444" w:rsidRPr="004D0DAA" w:rsidRDefault="00711444" w:rsidP="00711444">
      <w:pPr>
        <w:pStyle w:val="TH"/>
      </w:pPr>
      <w:r w:rsidRPr="004D0DAA">
        <w:t>Table 12.5a.2.2 : EGPRS BEP Link Quality Measurements Type 2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59407B3" w14:textId="77777777" w:rsidTr="00AA2A4C">
        <w:tblPrEx>
          <w:tblCellMar>
            <w:top w:w="0" w:type="dxa"/>
            <w:bottom w:w="0" w:type="dxa"/>
          </w:tblCellMar>
        </w:tblPrEx>
        <w:trPr>
          <w:cantSplit/>
        </w:trPr>
        <w:tc>
          <w:tcPr>
            <w:tcW w:w="9848" w:type="dxa"/>
          </w:tcPr>
          <w:p w14:paraId="771D02D8" w14:textId="77777777" w:rsidR="00711444" w:rsidRPr="004D0DAA" w:rsidRDefault="00711444" w:rsidP="00AA2A4C">
            <w:pPr>
              <w:rPr>
                <w:b/>
              </w:rPr>
            </w:pPr>
            <w:r w:rsidRPr="004D0DAA">
              <w:rPr>
                <w:b/>
              </w:rPr>
              <w:t>GMSK</w:t>
            </w:r>
            <w:r w:rsidRPr="004D0DAA">
              <w:t>_</w:t>
            </w:r>
            <w:r w:rsidRPr="004D0DAA">
              <w:rPr>
                <w:b/>
              </w:rPr>
              <w:t>MEAN_BEP</w:t>
            </w:r>
            <w:r w:rsidRPr="004D0DAA">
              <w:t xml:space="preserve"> (5 bit field)</w:t>
            </w:r>
            <w:r w:rsidRPr="004D0DAA">
              <w:br/>
            </w:r>
            <w:r w:rsidRPr="004D0DAA">
              <w:rPr>
                <w:b/>
              </w:rPr>
              <w:t>8PSK_MEAN_BEP</w:t>
            </w:r>
            <w:r w:rsidRPr="004D0DAA">
              <w:t xml:space="preserve"> (5 bit field)</w:t>
            </w:r>
            <w:r w:rsidRPr="004D0DAA">
              <w:br/>
            </w:r>
            <w:r w:rsidRPr="004D0DAA">
              <w:rPr>
                <w:b/>
              </w:rPr>
              <w:t>QPSK_MEAN_BEP</w:t>
            </w:r>
            <w:r w:rsidRPr="004D0DAA">
              <w:t xml:space="preserve"> (5 bit field)</w:t>
            </w:r>
            <w:r w:rsidRPr="004D0DAA">
              <w:br/>
            </w:r>
            <w:r w:rsidRPr="004D0DAA">
              <w:rPr>
                <w:b/>
              </w:rPr>
              <w:t>16QAM</w:t>
            </w:r>
            <w:r w:rsidRPr="004D0DAA">
              <w:t>_</w:t>
            </w:r>
            <w:r w:rsidRPr="004D0DAA">
              <w:rPr>
                <w:b/>
              </w:rPr>
              <w:t xml:space="preserve"> NSR_MEAN_BEP </w:t>
            </w:r>
            <w:r w:rsidRPr="004D0DAA">
              <w:t xml:space="preserve">(5 bit field) </w:t>
            </w:r>
            <w:r w:rsidRPr="004D0DAA">
              <w:br/>
            </w:r>
            <w:r w:rsidRPr="004D0DAA">
              <w:rPr>
                <w:b/>
                <w:bCs/>
              </w:rPr>
              <w:t>32</w:t>
            </w:r>
            <w:r w:rsidRPr="004D0DAA">
              <w:rPr>
                <w:b/>
              </w:rPr>
              <w:t>QAM</w:t>
            </w:r>
            <w:r w:rsidRPr="004D0DAA">
              <w:t>_</w:t>
            </w:r>
            <w:r w:rsidRPr="004D0DAA">
              <w:rPr>
                <w:b/>
              </w:rPr>
              <w:t xml:space="preserve"> NSR_MEAN_BEP </w:t>
            </w:r>
            <w:r w:rsidRPr="004D0DAA">
              <w:t>(5 bit field)</w:t>
            </w:r>
            <w:r w:rsidRPr="004D0DAA">
              <w:br/>
            </w:r>
            <w:r w:rsidRPr="004D0DAA">
              <w:rPr>
                <w:b/>
              </w:rPr>
              <w:t xml:space="preserve">16QAM_HSR_MEAN_BEP </w:t>
            </w:r>
            <w:r w:rsidRPr="004D0DAA">
              <w:t>(5 bit field)</w:t>
            </w:r>
            <w:r w:rsidRPr="004D0DAA">
              <w:br/>
            </w:r>
            <w:r w:rsidRPr="004D0DAA">
              <w:rPr>
                <w:b/>
                <w:bCs/>
              </w:rPr>
              <w:t>32</w:t>
            </w:r>
            <w:r w:rsidRPr="004D0DAA">
              <w:rPr>
                <w:b/>
              </w:rPr>
              <w:t xml:space="preserve">QAM_HSR_MEAN_BEP </w:t>
            </w:r>
            <w:r w:rsidRPr="004D0DAA">
              <w:t>(5 bit field)</w:t>
            </w:r>
          </w:p>
          <w:p w14:paraId="2F031D9E" w14:textId="77777777" w:rsidR="00711444" w:rsidRPr="004D0DAA" w:rsidRDefault="00711444" w:rsidP="00AA2A4C">
            <w:pPr>
              <w:rPr>
                <w:bCs/>
              </w:rPr>
            </w:pPr>
            <w:r w:rsidRPr="004D0DAA">
              <w:t>These fields contain the mean value of the Bit Error Probability of the channel averaged over all timeslots in the TBF for the relevant modulation scheme, refer to 3GPP TS 45.008.</w:t>
            </w:r>
          </w:p>
        </w:tc>
      </w:tr>
      <w:tr w:rsidR="00711444" w:rsidRPr="004D0DAA" w14:paraId="5A3A2E3B" w14:textId="77777777" w:rsidTr="00AA2A4C">
        <w:tblPrEx>
          <w:tblCellMar>
            <w:top w:w="0" w:type="dxa"/>
            <w:bottom w:w="0" w:type="dxa"/>
          </w:tblCellMar>
        </w:tblPrEx>
        <w:trPr>
          <w:cantSplit/>
        </w:trPr>
        <w:tc>
          <w:tcPr>
            <w:tcW w:w="9848" w:type="dxa"/>
          </w:tcPr>
          <w:p w14:paraId="3AF81493" w14:textId="77777777" w:rsidR="00711444" w:rsidRPr="004D0DAA" w:rsidRDefault="00711444" w:rsidP="00AA2A4C">
            <w:pPr>
              <w:rPr>
                <w:b/>
              </w:rPr>
            </w:pPr>
            <w:r w:rsidRPr="004D0DAA">
              <w:rPr>
                <w:b/>
              </w:rPr>
              <w:t xml:space="preserve">GMSK_CV_BEP </w:t>
            </w:r>
            <w:r w:rsidRPr="004D0DAA">
              <w:t>(3 bit field)</w:t>
            </w:r>
            <w:r w:rsidRPr="004D0DAA">
              <w:br/>
            </w:r>
            <w:r w:rsidRPr="004D0DAA">
              <w:rPr>
                <w:b/>
              </w:rPr>
              <w:t xml:space="preserve">8PSK_CV_BEP </w:t>
            </w:r>
            <w:r w:rsidRPr="004D0DAA">
              <w:t>(3 bit field)</w:t>
            </w:r>
            <w:r w:rsidRPr="004D0DAA">
              <w:br/>
            </w:r>
            <w:r w:rsidRPr="004D0DAA">
              <w:rPr>
                <w:b/>
              </w:rPr>
              <w:t xml:space="preserve">QPSK_CV_BEP </w:t>
            </w:r>
            <w:r w:rsidRPr="004D0DAA">
              <w:t>(3 bit field)</w:t>
            </w:r>
            <w:r w:rsidRPr="004D0DAA">
              <w:br/>
            </w:r>
            <w:r w:rsidRPr="004D0DAA">
              <w:rPr>
                <w:b/>
                <w:bCs/>
              </w:rPr>
              <w:t>16QAM</w:t>
            </w:r>
            <w:r w:rsidRPr="004D0DAA">
              <w:rPr>
                <w:b/>
              </w:rPr>
              <w:t xml:space="preserve">_ NSR_CV_BEP </w:t>
            </w:r>
            <w:r w:rsidRPr="004D0DAA">
              <w:t>(3 bit field)</w:t>
            </w:r>
            <w:r w:rsidRPr="004D0DAA">
              <w:br/>
            </w:r>
            <w:r w:rsidRPr="004D0DAA">
              <w:rPr>
                <w:b/>
                <w:bCs/>
              </w:rPr>
              <w:t>32QAM</w:t>
            </w:r>
            <w:r w:rsidRPr="004D0DAA">
              <w:rPr>
                <w:b/>
              </w:rPr>
              <w:t xml:space="preserve">_ NSR_CV_BEP </w:t>
            </w:r>
            <w:r w:rsidRPr="004D0DAA">
              <w:t>(3 bit field)</w:t>
            </w:r>
            <w:r w:rsidRPr="004D0DAA">
              <w:br/>
            </w:r>
            <w:r w:rsidRPr="004D0DAA">
              <w:rPr>
                <w:b/>
                <w:bCs/>
              </w:rPr>
              <w:t>16QAM</w:t>
            </w:r>
            <w:r w:rsidRPr="004D0DAA">
              <w:rPr>
                <w:b/>
              </w:rPr>
              <w:t xml:space="preserve">_HSR_CV_BEP </w:t>
            </w:r>
            <w:r w:rsidRPr="004D0DAA">
              <w:t>(3 bit field)</w:t>
            </w:r>
            <w:r w:rsidRPr="004D0DAA">
              <w:br/>
            </w:r>
            <w:r w:rsidRPr="004D0DAA">
              <w:rPr>
                <w:b/>
                <w:bCs/>
              </w:rPr>
              <w:t>32QAM</w:t>
            </w:r>
            <w:r w:rsidRPr="004D0DAA">
              <w:rPr>
                <w:b/>
              </w:rPr>
              <w:t xml:space="preserve">_HSR_CV_BEP </w:t>
            </w:r>
            <w:r w:rsidRPr="004D0DAA">
              <w:t>(3 bit field)</w:t>
            </w:r>
            <w:r w:rsidRPr="004D0DAA">
              <w:br/>
              <w:t>These fields contain the variation coefficient for the Bit Error Probability averaged over all timeslots of the TBF for the relevant modulation scheme, refer to 3GPP TS 45.008.</w:t>
            </w:r>
            <w:r w:rsidRPr="004D0DAA">
              <w:rPr>
                <w:b/>
              </w:rPr>
              <w:t xml:space="preserve">  </w:t>
            </w:r>
          </w:p>
        </w:tc>
      </w:tr>
    </w:tbl>
    <w:p w14:paraId="050C7DAE" w14:textId="77777777" w:rsidR="00711444" w:rsidRPr="004D0DAA" w:rsidRDefault="00711444" w:rsidP="00711444"/>
    <w:p w14:paraId="4B3E336F" w14:textId="77777777" w:rsidR="00711444" w:rsidRPr="004D0DAA" w:rsidRDefault="00711444" w:rsidP="00711444">
      <w:pPr>
        <w:pStyle w:val="Heading3"/>
      </w:pPr>
      <w:bookmarkStart w:id="769" w:name="_Toc516669945"/>
      <w:r w:rsidRPr="004D0DAA">
        <w:t>12.5a.3</w:t>
      </w:r>
      <w:r w:rsidRPr="004D0DAA">
        <w:tab/>
        <w:t>EGPRS Timeslot Link Quality Measurements Type 2 IE</w:t>
      </w:r>
      <w:bookmarkEnd w:id="769"/>
    </w:p>
    <w:p w14:paraId="2C47FE25" w14:textId="77777777" w:rsidR="00711444" w:rsidRPr="004D0DAA" w:rsidRDefault="00711444" w:rsidP="00711444">
      <w:pPr>
        <w:keepNext/>
      </w:pPr>
      <w:r w:rsidRPr="004D0DAA">
        <w:t>The EGPRS Timeslot Link Quality Measurements Type 2 IE is defined in tables 12.5a.3.1 and 12.5a.3.</w:t>
      </w:r>
    </w:p>
    <w:p w14:paraId="60ED9C98" w14:textId="77777777" w:rsidR="00711444" w:rsidRPr="004D0DAA" w:rsidRDefault="00711444" w:rsidP="00711444">
      <w:pPr>
        <w:pStyle w:val="TH"/>
      </w:pPr>
      <w:r w:rsidRPr="004D0DAA">
        <w:t>Table 12.5a.3.1: EGPRS Timeslot Link Quality Measurements Type 2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EBB03DF" w14:textId="77777777" w:rsidTr="00AA2A4C">
        <w:tblPrEx>
          <w:tblCellMar>
            <w:top w:w="0" w:type="dxa"/>
            <w:bottom w:w="0" w:type="dxa"/>
          </w:tblCellMar>
        </w:tblPrEx>
        <w:trPr>
          <w:cantSplit/>
        </w:trPr>
        <w:tc>
          <w:tcPr>
            <w:tcW w:w="9848" w:type="dxa"/>
          </w:tcPr>
          <w:p w14:paraId="169D542E" w14:textId="77777777" w:rsidR="00711444" w:rsidRPr="004D0DAA" w:rsidRDefault="00711444" w:rsidP="00AA2A4C">
            <w:pPr>
              <w:pStyle w:val="TAL"/>
              <w:rPr>
                <w:lang w:eastAsia="en-US"/>
              </w:rPr>
            </w:pPr>
            <w:r w:rsidRPr="004D0DAA">
              <w:rPr>
                <w:lang w:eastAsia="en-US"/>
              </w:rPr>
              <w:t>&lt;EGPRS Timeslot Link Quality Measurements Type 2 IE&gt; ::=</w:t>
            </w:r>
          </w:p>
          <w:p w14:paraId="2CB31DD6" w14:textId="77777777" w:rsidR="00711444" w:rsidRPr="004D0DAA" w:rsidRDefault="00711444" w:rsidP="00AA2A4C">
            <w:pPr>
              <w:pStyle w:val="TAL"/>
              <w:rPr>
                <w:lang w:eastAsia="en-US"/>
              </w:rPr>
            </w:pPr>
          </w:p>
          <w:p w14:paraId="6E8C6C43"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BEP_MEASUREMENTS</w:t>
            </w:r>
            <w:r w:rsidRPr="004D0DAA">
              <w:rPr>
                <w:lang w:eastAsia="en-US"/>
              </w:rPr>
              <w:t xml:space="preserve"> : BEP Measurement Report Struct &gt;}</w:t>
            </w:r>
          </w:p>
          <w:p w14:paraId="1C223829"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INTERFERENCE_MEASUREMENTS </w:t>
            </w:r>
            <w:r w:rsidRPr="004D0DAA">
              <w:rPr>
                <w:lang w:eastAsia="en-US"/>
              </w:rPr>
              <w:t>: Interference Measurement Report Struct &gt;};</w:t>
            </w:r>
          </w:p>
          <w:p w14:paraId="67D12D12" w14:textId="77777777" w:rsidR="00711444" w:rsidRPr="004D0DAA" w:rsidRDefault="00711444" w:rsidP="00AA2A4C">
            <w:pPr>
              <w:pStyle w:val="TAL"/>
              <w:rPr>
                <w:lang w:eastAsia="en-US"/>
              </w:rPr>
            </w:pPr>
          </w:p>
        </w:tc>
      </w:tr>
      <w:tr w:rsidR="00711444" w:rsidRPr="004D0DAA" w14:paraId="3A12E65A" w14:textId="77777777" w:rsidTr="00AA2A4C">
        <w:tblPrEx>
          <w:tblCellMar>
            <w:top w:w="0" w:type="dxa"/>
            <w:bottom w:w="0" w:type="dxa"/>
          </w:tblCellMar>
        </w:tblPrEx>
        <w:trPr>
          <w:cantSplit/>
        </w:trPr>
        <w:tc>
          <w:tcPr>
            <w:tcW w:w="9848" w:type="dxa"/>
          </w:tcPr>
          <w:p w14:paraId="47907746" w14:textId="77777777" w:rsidR="00711444" w:rsidRPr="004D0DAA" w:rsidRDefault="00711444" w:rsidP="00AA2A4C">
            <w:pPr>
              <w:pStyle w:val="TAL"/>
              <w:rPr>
                <w:lang w:eastAsia="en-US"/>
              </w:rPr>
            </w:pPr>
            <w:r w:rsidRPr="004D0DAA">
              <w:rPr>
                <w:lang w:eastAsia="en-US"/>
              </w:rPr>
              <w:t>&lt; BEP Measurement Report Struct &gt; ::=</w:t>
            </w:r>
          </w:p>
          <w:p w14:paraId="0C3C9C8A" w14:textId="77777777" w:rsidR="00711444" w:rsidRPr="004D0DAA" w:rsidRDefault="00711444" w:rsidP="00AA2A4C">
            <w:pPr>
              <w:pStyle w:val="TAL"/>
              <w:rPr>
                <w:rFonts w:hint="eastAsia"/>
                <w:lang w:eastAsia="ko-KR"/>
              </w:rPr>
            </w:pPr>
            <w:r w:rsidRPr="004D0DAA">
              <w:rPr>
                <w:lang w:eastAsia="en-US"/>
              </w:rPr>
              <w:tab/>
              <w:t xml:space="preserve">{ 0 </w:t>
            </w:r>
          </w:p>
          <w:p w14:paraId="0C4E0106"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278A0113"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MEAN_BEP_TN0</w:t>
            </w:r>
            <w:r w:rsidRPr="004D0DAA">
              <w:rPr>
                <w:lang w:eastAsia="en-US"/>
              </w:rPr>
              <w:t xml:space="preserve"> : bit (4) &gt;</w:t>
            </w:r>
          </w:p>
          <w:p w14:paraId="7457EAB9" w14:textId="77777777" w:rsidR="00711444" w:rsidRPr="004D0DAA" w:rsidRDefault="00711444" w:rsidP="00AA2A4C">
            <w:pPr>
              <w:pStyle w:val="TAL"/>
              <w:rPr>
                <w:lang w:eastAsia="ko-KR"/>
              </w:rPr>
            </w:pPr>
            <w:r w:rsidRPr="004D0DAA">
              <w:rPr>
                <w:lang w:eastAsia="en-US"/>
              </w:rPr>
              <w:tab/>
              <w:t>}</w:t>
            </w:r>
          </w:p>
          <w:p w14:paraId="6BD4BD94" w14:textId="77777777" w:rsidR="00711444" w:rsidRPr="004D0DAA" w:rsidRDefault="00711444" w:rsidP="00AA2A4C">
            <w:pPr>
              <w:pStyle w:val="TAL"/>
              <w:rPr>
                <w:rFonts w:hint="eastAsia"/>
                <w:lang w:eastAsia="ko-KR"/>
              </w:rPr>
            </w:pPr>
            <w:r w:rsidRPr="004D0DAA">
              <w:rPr>
                <w:lang w:eastAsia="en-US"/>
              </w:rPr>
              <w:tab/>
              <w:t xml:space="preserve">{ 0 </w:t>
            </w:r>
          </w:p>
          <w:p w14:paraId="5B79D911"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6C893638"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1</w:t>
            </w:r>
            <w:r w:rsidRPr="004D0DAA">
              <w:rPr>
                <w:lang w:eastAsia="en-US"/>
              </w:rPr>
              <w:t xml:space="preserve"> : bit (4) &gt;</w:t>
            </w:r>
          </w:p>
          <w:p w14:paraId="66F1E266" w14:textId="77777777" w:rsidR="00711444" w:rsidRPr="004D0DAA" w:rsidRDefault="00711444" w:rsidP="00AA2A4C">
            <w:pPr>
              <w:pStyle w:val="TAL"/>
              <w:rPr>
                <w:lang w:eastAsia="ko-KR"/>
              </w:rPr>
            </w:pPr>
            <w:r w:rsidRPr="004D0DAA">
              <w:rPr>
                <w:lang w:eastAsia="en-US"/>
              </w:rPr>
              <w:tab/>
              <w:t>}</w:t>
            </w:r>
          </w:p>
          <w:p w14:paraId="68875E29" w14:textId="77777777" w:rsidR="00711444" w:rsidRPr="004D0DAA" w:rsidRDefault="00711444" w:rsidP="00AA2A4C">
            <w:pPr>
              <w:pStyle w:val="TAL"/>
              <w:rPr>
                <w:rFonts w:hint="eastAsia"/>
                <w:lang w:eastAsia="ko-KR"/>
              </w:rPr>
            </w:pPr>
            <w:r w:rsidRPr="004D0DAA">
              <w:rPr>
                <w:lang w:eastAsia="en-US"/>
              </w:rPr>
              <w:tab/>
              <w:t xml:space="preserve">{ 0 </w:t>
            </w:r>
          </w:p>
          <w:p w14:paraId="2C343572"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69F31520"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2</w:t>
            </w:r>
            <w:r w:rsidRPr="004D0DAA">
              <w:rPr>
                <w:lang w:eastAsia="en-US"/>
              </w:rPr>
              <w:t xml:space="preserve"> : bit (4) &gt;</w:t>
            </w:r>
          </w:p>
          <w:p w14:paraId="2D7E6E1A" w14:textId="77777777" w:rsidR="00711444" w:rsidRPr="004D0DAA" w:rsidRDefault="00711444" w:rsidP="00AA2A4C">
            <w:pPr>
              <w:pStyle w:val="TAL"/>
              <w:rPr>
                <w:lang w:eastAsia="ko-KR"/>
              </w:rPr>
            </w:pPr>
            <w:r w:rsidRPr="004D0DAA">
              <w:rPr>
                <w:lang w:eastAsia="en-US"/>
              </w:rPr>
              <w:tab/>
              <w:t>}</w:t>
            </w:r>
          </w:p>
          <w:p w14:paraId="6652B07D" w14:textId="77777777" w:rsidR="00711444" w:rsidRPr="004D0DAA" w:rsidRDefault="00711444" w:rsidP="00AA2A4C">
            <w:pPr>
              <w:pStyle w:val="TAL"/>
              <w:rPr>
                <w:rFonts w:hint="eastAsia"/>
                <w:lang w:eastAsia="ko-KR"/>
              </w:rPr>
            </w:pPr>
            <w:r w:rsidRPr="004D0DAA">
              <w:rPr>
                <w:lang w:eastAsia="en-US"/>
              </w:rPr>
              <w:tab/>
              <w:t xml:space="preserve">{ 0 </w:t>
            </w:r>
          </w:p>
          <w:p w14:paraId="0D498B79"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59784F30"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3</w:t>
            </w:r>
            <w:r w:rsidRPr="004D0DAA">
              <w:rPr>
                <w:lang w:eastAsia="en-US"/>
              </w:rPr>
              <w:t xml:space="preserve"> : bit (4) &gt;</w:t>
            </w:r>
          </w:p>
          <w:p w14:paraId="7782C10C" w14:textId="77777777" w:rsidR="00711444" w:rsidRPr="004D0DAA" w:rsidRDefault="00711444" w:rsidP="00AA2A4C">
            <w:pPr>
              <w:pStyle w:val="TAL"/>
              <w:rPr>
                <w:lang w:eastAsia="ko-KR"/>
              </w:rPr>
            </w:pPr>
            <w:r w:rsidRPr="004D0DAA">
              <w:rPr>
                <w:lang w:eastAsia="en-US"/>
              </w:rPr>
              <w:tab/>
              <w:t>}</w:t>
            </w:r>
          </w:p>
          <w:p w14:paraId="6E34D6AD" w14:textId="77777777" w:rsidR="00711444" w:rsidRPr="004D0DAA" w:rsidRDefault="00711444" w:rsidP="00AA2A4C">
            <w:pPr>
              <w:pStyle w:val="TAL"/>
              <w:rPr>
                <w:rFonts w:hint="eastAsia"/>
                <w:lang w:eastAsia="ko-KR"/>
              </w:rPr>
            </w:pPr>
            <w:r w:rsidRPr="004D0DAA">
              <w:rPr>
                <w:lang w:eastAsia="en-US"/>
              </w:rPr>
              <w:tab/>
              <w:t xml:space="preserve">{ 0 </w:t>
            </w:r>
          </w:p>
          <w:p w14:paraId="7C1CABA5"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72F1E26F"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4</w:t>
            </w:r>
            <w:r w:rsidRPr="004D0DAA">
              <w:rPr>
                <w:lang w:eastAsia="en-US"/>
              </w:rPr>
              <w:t xml:space="preserve"> : bit (4) &gt;</w:t>
            </w:r>
          </w:p>
          <w:p w14:paraId="4488A227" w14:textId="77777777" w:rsidR="00711444" w:rsidRPr="004D0DAA" w:rsidRDefault="00711444" w:rsidP="00AA2A4C">
            <w:pPr>
              <w:pStyle w:val="TAL"/>
              <w:rPr>
                <w:lang w:eastAsia="ko-KR"/>
              </w:rPr>
            </w:pPr>
            <w:r w:rsidRPr="004D0DAA">
              <w:rPr>
                <w:lang w:eastAsia="en-US"/>
              </w:rPr>
              <w:tab/>
              <w:t>}</w:t>
            </w:r>
          </w:p>
          <w:p w14:paraId="48C18650" w14:textId="77777777" w:rsidR="00711444" w:rsidRPr="004D0DAA" w:rsidRDefault="00711444" w:rsidP="00AA2A4C">
            <w:pPr>
              <w:pStyle w:val="TAL"/>
              <w:rPr>
                <w:rFonts w:hint="eastAsia"/>
                <w:lang w:eastAsia="ko-KR"/>
              </w:rPr>
            </w:pPr>
            <w:r w:rsidRPr="004D0DAA">
              <w:rPr>
                <w:lang w:eastAsia="en-US"/>
              </w:rPr>
              <w:tab/>
              <w:t xml:space="preserve">{ 0 </w:t>
            </w:r>
          </w:p>
          <w:p w14:paraId="434A843A"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1CBF84C2"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5</w:t>
            </w:r>
            <w:r w:rsidRPr="004D0DAA">
              <w:rPr>
                <w:lang w:eastAsia="en-US"/>
              </w:rPr>
              <w:t xml:space="preserve"> : bit (4) &gt;</w:t>
            </w:r>
          </w:p>
          <w:p w14:paraId="7A54B83A" w14:textId="77777777" w:rsidR="00711444" w:rsidRPr="004D0DAA" w:rsidRDefault="00711444" w:rsidP="00AA2A4C">
            <w:pPr>
              <w:pStyle w:val="TAL"/>
              <w:rPr>
                <w:lang w:eastAsia="ko-KR"/>
              </w:rPr>
            </w:pPr>
            <w:r w:rsidRPr="004D0DAA">
              <w:rPr>
                <w:lang w:eastAsia="en-US"/>
              </w:rPr>
              <w:tab/>
              <w:t>}</w:t>
            </w:r>
          </w:p>
          <w:p w14:paraId="1F2C7A4A" w14:textId="77777777" w:rsidR="00711444" w:rsidRPr="004D0DAA" w:rsidRDefault="00711444" w:rsidP="00AA2A4C">
            <w:pPr>
              <w:pStyle w:val="TAL"/>
              <w:rPr>
                <w:rFonts w:hint="eastAsia"/>
                <w:lang w:eastAsia="ko-KR"/>
              </w:rPr>
            </w:pPr>
            <w:r w:rsidRPr="004D0DAA">
              <w:rPr>
                <w:lang w:eastAsia="en-US"/>
              </w:rPr>
              <w:tab/>
              <w:t xml:space="preserve">{ 0 </w:t>
            </w:r>
          </w:p>
          <w:p w14:paraId="085C2E0C"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535F2892"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6</w:t>
            </w:r>
            <w:r w:rsidRPr="004D0DAA">
              <w:rPr>
                <w:lang w:eastAsia="en-US"/>
              </w:rPr>
              <w:t xml:space="preserve"> : bit (4) &gt;</w:t>
            </w:r>
          </w:p>
          <w:p w14:paraId="04A45B4F" w14:textId="77777777" w:rsidR="00711444" w:rsidRPr="004D0DAA" w:rsidRDefault="00711444" w:rsidP="00AA2A4C">
            <w:pPr>
              <w:pStyle w:val="TAL"/>
              <w:rPr>
                <w:lang w:eastAsia="ko-KR"/>
              </w:rPr>
            </w:pPr>
            <w:r w:rsidRPr="004D0DAA">
              <w:rPr>
                <w:lang w:eastAsia="en-US"/>
              </w:rPr>
              <w:tab/>
              <w:t>}</w:t>
            </w:r>
          </w:p>
          <w:p w14:paraId="304F9940" w14:textId="77777777" w:rsidR="00711444" w:rsidRPr="004D0DAA" w:rsidRDefault="00711444" w:rsidP="00AA2A4C">
            <w:pPr>
              <w:pStyle w:val="TAL"/>
              <w:rPr>
                <w:rFonts w:hint="eastAsia"/>
                <w:lang w:eastAsia="ko-KR"/>
              </w:rPr>
            </w:pPr>
            <w:r w:rsidRPr="004D0DAA">
              <w:rPr>
                <w:lang w:eastAsia="en-US"/>
              </w:rPr>
              <w:tab/>
              <w:t xml:space="preserve">{ 0 </w:t>
            </w:r>
          </w:p>
          <w:p w14:paraId="78B704E3"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20437419"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7</w:t>
            </w:r>
            <w:r w:rsidRPr="004D0DAA">
              <w:rPr>
                <w:lang w:eastAsia="en-US"/>
              </w:rPr>
              <w:t xml:space="preserve"> : bit (4) &gt;</w:t>
            </w:r>
          </w:p>
          <w:p w14:paraId="56C9B1D5" w14:textId="77777777" w:rsidR="00711444" w:rsidRPr="004D0DAA" w:rsidRDefault="00711444" w:rsidP="00AA2A4C">
            <w:pPr>
              <w:pStyle w:val="TAL"/>
              <w:rPr>
                <w:rFonts w:hint="eastAsia"/>
                <w:lang w:eastAsia="ko-KR"/>
              </w:rPr>
            </w:pPr>
            <w:r w:rsidRPr="004D0DAA">
              <w:rPr>
                <w:lang w:eastAsia="en-US"/>
              </w:rPr>
              <w:tab/>
              <w:t>};</w:t>
            </w:r>
          </w:p>
          <w:p w14:paraId="12B80E8D" w14:textId="77777777" w:rsidR="00711444" w:rsidRPr="004D0DAA" w:rsidRDefault="00711444" w:rsidP="00AA2A4C">
            <w:pPr>
              <w:pStyle w:val="TAL"/>
              <w:rPr>
                <w:lang w:eastAsia="en-US"/>
              </w:rPr>
            </w:pPr>
          </w:p>
        </w:tc>
      </w:tr>
      <w:tr w:rsidR="00711444" w:rsidRPr="004D0DAA" w14:paraId="317C8D8A" w14:textId="77777777" w:rsidTr="00AA2A4C">
        <w:tblPrEx>
          <w:tblCellMar>
            <w:top w:w="0" w:type="dxa"/>
            <w:bottom w:w="0" w:type="dxa"/>
          </w:tblCellMar>
        </w:tblPrEx>
        <w:trPr>
          <w:cantSplit/>
        </w:trPr>
        <w:tc>
          <w:tcPr>
            <w:tcW w:w="9848" w:type="dxa"/>
          </w:tcPr>
          <w:p w14:paraId="021BEE34" w14:textId="77777777" w:rsidR="00711444" w:rsidRPr="004D0DAA" w:rsidRDefault="00711444" w:rsidP="00AA2A4C">
            <w:pPr>
              <w:pStyle w:val="TAL"/>
              <w:rPr>
                <w:lang w:eastAsia="en-US"/>
              </w:rPr>
            </w:pPr>
            <w:r w:rsidRPr="004D0DAA">
              <w:rPr>
                <w:lang w:eastAsia="en-US"/>
              </w:rPr>
              <w:t>&lt; Interference Measurement Report Struct &gt; ::=</w:t>
            </w:r>
          </w:p>
          <w:p w14:paraId="048DFCC3"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I_LEVEL_TN0 </w:t>
            </w:r>
            <w:r w:rsidRPr="004D0DAA">
              <w:rPr>
                <w:lang w:eastAsia="en-US"/>
              </w:rPr>
              <w:t>: bit (4) &gt; }</w:t>
            </w:r>
          </w:p>
          <w:p w14:paraId="56267D56"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I_LEVEL_TN1 </w:t>
            </w:r>
            <w:r w:rsidRPr="004D0DAA">
              <w:rPr>
                <w:lang w:eastAsia="en-US"/>
              </w:rPr>
              <w:t>: bit (4) &gt; }</w:t>
            </w:r>
          </w:p>
          <w:p w14:paraId="1DA33B6E"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I_LEVEL_TN2 </w:t>
            </w:r>
            <w:r w:rsidRPr="004D0DAA">
              <w:rPr>
                <w:lang w:eastAsia="en-US"/>
              </w:rPr>
              <w:t>: bit (4) &gt; }</w:t>
            </w:r>
          </w:p>
          <w:p w14:paraId="1A2BA46F"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I_LEVEL_TN3 </w:t>
            </w:r>
            <w:r w:rsidRPr="004D0DAA">
              <w:rPr>
                <w:lang w:eastAsia="en-US"/>
              </w:rPr>
              <w:t>: bit (4) &gt; }</w:t>
            </w:r>
          </w:p>
          <w:p w14:paraId="174FF604"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I_LEVEL_TN4 </w:t>
            </w:r>
            <w:r w:rsidRPr="004D0DAA">
              <w:rPr>
                <w:lang w:eastAsia="en-US"/>
              </w:rPr>
              <w:t>: bit (4) &gt; }</w:t>
            </w:r>
          </w:p>
          <w:p w14:paraId="719DBA10"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I_LEVEL_TN5 </w:t>
            </w:r>
            <w:r w:rsidRPr="004D0DAA">
              <w:rPr>
                <w:lang w:eastAsia="en-US"/>
              </w:rPr>
              <w:t>: bit (4) &gt; }</w:t>
            </w:r>
          </w:p>
          <w:p w14:paraId="4AF7E402"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I_LEVEL_TN6 </w:t>
            </w:r>
            <w:r w:rsidRPr="004D0DAA">
              <w:rPr>
                <w:lang w:eastAsia="en-US"/>
              </w:rPr>
              <w:t>: bit (4) &gt; }</w:t>
            </w:r>
          </w:p>
          <w:p w14:paraId="22F305A8"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I_LEVEL_TN7 </w:t>
            </w:r>
            <w:r w:rsidRPr="004D0DAA">
              <w:rPr>
                <w:lang w:eastAsia="en-US"/>
              </w:rPr>
              <w:t>: bit (4) &gt; };</w:t>
            </w:r>
          </w:p>
          <w:p w14:paraId="602CCB35" w14:textId="77777777" w:rsidR="00711444" w:rsidRPr="004D0DAA" w:rsidRDefault="00711444" w:rsidP="00AA2A4C">
            <w:pPr>
              <w:pStyle w:val="TAL"/>
              <w:rPr>
                <w:lang w:eastAsia="en-US"/>
              </w:rPr>
            </w:pPr>
          </w:p>
        </w:tc>
      </w:tr>
    </w:tbl>
    <w:p w14:paraId="124EC672" w14:textId="77777777" w:rsidR="00711444" w:rsidRPr="004D0DAA" w:rsidRDefault="00711444" w:rsidP="00711444"/>
    <w:p w14:paraId="731FB8AF" w14:textId="77777777" w:rsidR="00711444" w:rsidRPr="004D0DAA" w:rsidRDefault="00711444" w:rsidP="00711444">
      <w:pPr>
        <w:pStyle w:val="TH"/>
      </w:pPr>
      <w:r w:rsidRPr="004D0DAA">
        <w:lastRenderedPageBreak/>
        <w:t>Table 12.5a.3.2: EGPRS Timeslot Link Quality Measurements Type 2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9C732AA" w14:textId="77777777" w:rsidTr="00AA2A4C">
        <w:tblPrEx>
          <w:tblCellMar>
            <w:top w:w="0" w:type="dxa"/>
            <w:bottom w:w="0" w:type="dxa"/>
          </w:tblCellMar>
        </w:tblPrEx>
        <w:trPr>
          <w:cantSplit/>
        </w:trPr>
        <w:tc>
          <w:tcPr>
            <w:tcW w:w="9848" w:type="dxa"/>
          </w:tcPr>
          <w:p w14:paraId="22FD1766" w14:textId="77777777" w:rsidR="00711444" w:rsidRPr="004D0DAA" w:rsidRDefault="00711444" w:rsidP="00AA2A4C">
            <w:r w:rsidRPr="004D0DAA">
              <w:rPr>
                <w:b/>
              </w:rPr>
              <w:t>MEAN_BEP_TN0</w:t>
            </w:r>
            <w:r w:rsidRPr="004D0DAA">
              <w:t xml:space="preserve"> (4 bit field)</w:t>
            </w:r>
            <w:r w:rsidRPr="004D0DAA">
              <w:br/>
            </w:r>
            <w:r w:rsidRPr="004D0DAA">
              <w:rPr>
                <w:b/>
              </w:rPr>
              <w:t>MEAN_BEP_TN1</w:t>
            </w:r>
            <w:r w:rsidRPr="004D0DAA">
              <w:t xml:space="preserve"> (4 bit field)</w:t>
            </w:r>
            <w:r w:rsidRPr="004D0DAA">
              <w:br/>
            </w:r>
            <w:r w:rsidRPr="004D0DAA">
              <w:rPr>
                <w:b/>
              </w:rPr>
              <w:t>MEAN_BEP_TN2</w:t>
            </w:r>
            <w:r w:rsidRPr="004D0DAA">
              <w:t xml:space="preserve"> (4 bit field)</w:t>
            </w:r>
            <w:r w:rsidRPr="004D0DAA">
              <w:br/>
            </w:r>
            <w:r w:rsidRPr="004D0DAA">
              <w:rPr>
                <w:b/>
              </w:rPr>
              <w:t>MEAN_BEP_TN3</w:t>
            </w:r>
            <w:r w:rsidRPr="004D0DAA">
              <w:t xml:space="preserve"> (4 bit field)</w:t>
            </w:r>
            <w:r w:rsidRPr="004D0DAA">
              <w:br/>
            </w:r>
            <w:r w:rsidRPr="004D0DAA">
              <w:rPr>
                <w:b/>
              </w:rPr>
              <w:t>MEAN_BEP_TN4</w:t>
            </w:r>
            <w:r w:rsidRPr="004D0DAA">
              <w:t xml:space="preserve"> (4 bit field)</w:t>
            </w:r>
            <w:r w:rsidRPr="004D0DAA">
              <w:br/>
            </w:r>
            <w:r w:rsidRPr="004D0DAA">
              <w:rPr>
                <w:b/>
              </w:rPr>
              <w:t>MEAN_BEP_TN5</w:t>
            </w:r>
            <w:r w:rsidRPr="004D0DAA">
              <w:t xml:space="preserve"> (4 bit field)</w:t>
            </w:r>
            <w:r w:rsidRPr="004D0DAA">
              <w:br/>
            </w:r>
            <w:r w:rsidRPr="004D0DAA">
              <w:rPr>
                <w:b/>
              </w:rPr>
              <w:t>MEAN_BEP_TN6</w:t>
            </w:r>
            <w:r w:rsidRPr="004D0DAA">
              <w:t xml:space="preserve"> (4 bit field)</w:t>
            </w:r>
            <w:r w:rsidRPr="004D0DAA">
              <w:br/>
            </w:r>
            <w:r w:rsidRPr="004D0DAA">
              <w:rPr>
                <w:b/>
              </w:rPr>
              <w:t>MEAN_BEP_TN7</w:t>
            </w:r>
            <w:r w:rsidRPr="004D0DAA">
              <w:t xml:space="preserve"> (4 bit field)</w:t>
            </w:r>
          </w:p>
          <w:p w14:paraId="6277676A" w14:textId="77777777" w:rsidR="00711444" w:rsidRPr="004D0DAA" w:rsidRDefault="00711444" w:rsidP="00AA2A4C">
            <w:pPr>
              <w:rPr>
                <w:b/>
              </w:rPr>
            </w:pPr>
            <w:r w:rsidRPr="004D0DAA">
              <w:t xml:space="preserve">These fields contain the mean bit error probability value calculated on timeslots 0 through 7 for the modulation scheme as indicated </w:t>
            </w:r>
            <w:r w:rsidRPr="004D0DAA">
              <w:rPr>
                <w:rFonts w:hint="eastAsia"/>
                <w:bCs/>
                <w:lang w:eastAsia="ko-KR"/>
              </w:rPr>
              <w:t>using the REPORTED_MODULATION field</w:t>
            </w:r>
            <w:r w:rsidRPr="004D0DAA">
              <w:t>, see below. For the calculation of the mean bit error probability, refer to 3GPP TS 45.008. These fields are transferred only when the mobile station is in packet transfer mode.</w:t>
            </w:r>
            <w:r w:rsidRPr="004D0DAA">
              <w:rPr>
                <w:rFonts w:hint="eastAsia"/>
                <w:lang w:eastAsia="zh-CN"/>
              </w:rPr>
              <w:t xml:space="preserve"> </w:t>
            </w:r>
            <w:r w:rsidRPr="004D0DAA">
              <w:rPr>
                <w:lang w:eastAsia="zh-CN"/>
              </w:rPr>
              <w:t>I</w:t>
            </w:r>
            <w:r w:rsidRPr="004D0DAA">
              <w:rPr>
                <w:rFonts w:hint="eastAsia"/>
                <w:lang w:eastAsia="zh-CN"/>
              </w:rPr>
              <w:t xml:space="preserve">n RTTI configuration, the mean bit error </w:t>
            </w:r>
            <w:r w:rsidRPr="004D0DAA">
              <w:t>probability value</w:t>
            </w:r>
            <w:r w:rsidRPr="004D0DAA">
              <w:rPr>
                <w:rFonts w:hint="eastAsia"/>
                <w:lang w:eastAsia="zh-CN"/>
              </w:rPr>
              <w:t xml:space="preserve"> </w:t>
            </w:r>
            <w:r w:rsidRPr="004D0DAA">
              <w:t>calculated</w:t>
            </w:r>
            <w:r w:rsidRPr="004D0DAA">
              <w:rPr>
                <w:rFonts w:hint="eastAsia"/>
                <w:lang w:eastAsia="zh-CN"/>
              </w:rPr>
              <w:t xml:space="preserve"> on per timeslot pair shall be reported on </w:t>
            </w:r>
            <w:r w:rsidRPr="004D0DAA">
              <w:rPr>
                <w:b/>
              </w:rPr>
              <w:t>MODULATION_</w:t>
            </w:r>
            <w:r w:rsidRPr="004D0DAA">
              <w:rPr>
                <w:rFonts w:hint="eastAsia"/>
                <w:b/>
                <w:lang w:eastAsia="zh-CN"/>
              </w:rPr>
              <w:t>1</w:t>
            </w:r>
            <w:r w:rsidRPr="004D0DAA">
              <w:rPr>
                <w:b/>
              </w:rPr>
              <w:t xml:space="preserve"> _MEAN_BEP_TN</w:t>
            </w:r>
            <w:r w:rsidRPr="004D0DAA">
              <w:rPr>
                <w:rFonts w:hint="eastAsia"/>
                <w:b/>
                <w:lang w:eastAsia="zh-CN"/>
              </w:rPr>
              <w:t>x</w:t>
            </w:r>
            <w:r w:rsidRPr="004D0DAA">
              <w:rPr>
                <w:b/>
              </w:rPr>
              <w:t xml:space="preserve"> </w:t>
            </w:r>
            <w:r w:rsidRPr="004D0DAA">
              <w:rPr>
                <w:rFonts w:hint="eastAsia"/>
                <w:b/>
                <w:lang w:eastAsia="zh-CN"/>
              </w:rPr>
              <w:t>/</w:t>
            </w:r>
            <w:r w:rsidRPr="004D0DAA">
              <w:rPr>
                <w:b/>
              </w:rPr>
              <w:t>MODULATION_2 _MEAN_BEP_TN</w:t>
            </w:r>
            <w:r w:rsidRPr="004D0DAA">
              <w:rPr>
                <w:rFonts w:hint="eastAsia"/>
                <w:b/>
                <w:lang w:eastAsia="zh-CN"/>
              </w:rPr>
              <w:t>x</w:t>
            </w:r>
            <w:r w:rsidRPr="004D0DAA">
              <w:rPr>
                <w:rFonts w:hint="eastAsia"/>
                <w:lang w:eastAsia="zh-CN"/>
              </w:rPr>
              <w:t xml:space="preserve"> where TNx is the lower numbered timeslot of each reported timeslot pair.</w:t>
            </w:r>
          </w:p>
        </w:tc>
      </w:tr>
      <w:tr w:rsidR="00711444" w:rsidRPr="004D0DAA" w14:paraId="075E1B66" w14:textId="77777777" w:rsidTr="00AA2A4C">
        <w:tblPrEx>
          <w:tblCellMar>
            <w:top w:w="0" w:type="dxa"/>
            <w:bottom w:w="0" w:type="dxa"/>
          </w:tblCellMar>
        </w:tblPrEx>
        <w:trPr>
          <w:cantSplit/>
        </w:trPr>
        <w:tc>
          <w:tcPr>
            <w:tcW w:w="9848" w:type="dxa"/>
          </w:tcPr>
          <w:p w14:paraId="09EF5F7B" w14:textId="77777777" w:rsidR="00711444" w:rsidRPr="004D0DAA" w:rsidRDefault="00711444" w:rsidP="00AA2A4C">
            <w:pPr>
              <w:spacing w:after="0"/>
            </w:pPr>
            <w:r w:rsidRPr="004D0DAA">
              <w:rPr>
                <w:b/>
              </w:rPr>
              <w:t>I_LEVEL_TN0</w:t>
            </w:r>
            <w:r w:rsidRPr="004D0DAA">
              <w:t xml:space="preserve"> (4 bit field)</w:t>
            </w:r>
          </w:p>
          <w:p w14:paraId="3F2E9C3E" w14:textId="77777777" w:rsidR="00711444" w:rsidRPr="004D0DAA" w:rsidRDefault="00711444" w:rsidP="00AA2A4C">
            <w:pPr>
              <w:spacing w:after="0"/>
            </w:pPr>
            <w:r w:rsidRPr="004D0DAA">
              <w:rPr>
                <w:b/>
              </w:rPr>
              <w:t>I_LEVEL_TN1</w:t>
            </w:r>
            <w:r w:rsidRPr="004D0DAA">
              <w:t xml:space="preserve"> (4 bit field)</w:t>
            </w:r>
          </w:p>
          <w:p w14:paraId="7A2CD6F4" w14:textId="77777777" w:rsidR="00711444" w:rsidRPr="004D0DAA" w:rsidRDefault="00711444" w:rsidP="00AA2A4C">
            <w:pPr>
              <w:spacing w:after="0"/>
            </w:pPr>
            <w:r w:rsidRPr="004D0DAA">
              <w:rPr>
                <w:b/>
              </w:rPr>
              <w:t>I_LEVEL_TN2</w:t>
            </w:r>
            <w:r w:rsidRPr="004D0DAA">
              <w:t xml:space="preserve"> (4 bit field)</w:t>
            </w:r>
          </w:p>
          <w:p w14:paraId="253F4614" w14:textId="77777777" w:rsidR="00711444" w:rsidRPr="004D0DAA" w:rsidRDefault="00711444" w:rsidP="00AA2A4C">
            <w:pPr>
              <w:spacing w:after="0"/>
            </w:pPr>
            <w:r w:rsidRPr="004D0DAA">
              <w:rPr>
                <w:b/>
              </w:rPr>
              <w:t>I_LEVEL_TN3</w:t>
            </w:r>
            <w:r w:rsidRPr="004D0DAA">
              <w:t xml:space="preserve"> (4 bit field)</w:t>
            </w:r>
          </w:p>
          <w:p w14:paraId="0770356D" w14:textId="77777777" w:rsidR="00711444" w:rsidRPr="004D0DAA" w:rsidRDefault="00711444" w:rsidP="00AA2A4C">
            <w:pPr>
              <w:spacing w:after="0"/>
            </w:pPr>
            <w:r w:rsidRPr="004D0DAA">
              <w:rPr>
                <w:b/>
              </w:rPr>
              <w:t>I_LEVEL_TN4</w:t>
            </w:r>
            <w:r w:rsidRPr="004D0DAA">
              <w:t xml:space="preserve"> (4 bit field)</w:t>
            </w:r>
          </w:p>
          <w:p w14:paraId="76BE4700" w14:textId="77777777" w:rsidR="00711444" w:rsidRPr="004D0DAA" w:rsidRDefault="00711444" w:rsidP="00AA2A4C">
            <w:pPr>
              <w:spacing w:after="0"/>
            </w:pPr>
            <w:r w:rsidRPr="004D0DAA">
              <w:rPr>
                <w:b/>
              </w:rPr>
              <w:t>I_LEVEL_TN5</w:t>
            </w:r>
            <w:r w:rsidRPr="004D0DAA">
              <w:t xml:space="preserve"> (4 bit field)</w:t>
            </w:r>
          </w:p>
          <w:p w14:paraId="7CB6B1E0" w14:textId="77777777" w:rsidR="00711444" w:rsidRPr="004D0DAA" w:rsidRDefault="00711444" w:rsidP="00AA2A4C">
            <w:pPr>
              <w:spacing w:after="0"/>
            </w:pPr>
            <w:r w:rsidRPr="004D0DAA">
              <w:rPr>
                <w:b/>
              </w:rPr>
              <w:t>I_LEVEL_TN6</w:t>
            </w:r>
            <w:r w:rsidRPr="004D0DAA">
              <w:t xml:space="preserve"> (4 bit field)</w:t>
            </w:r>
          </w:p>
          <w:p w14:paraId="07D2C75A" w14:textId="77777777" w:rsidR="00711444" w:rsidRPr="004D0DAA" w:rsidRDefault="00711444" w:rsidP="00AA2A4C">
            <w:pPr>
              <w:spacing w:after="0"/>
            </w:pPr>
            <w:r w:rsidRPr="004D0DAA">
              <w:rPr>
                <w:b/>
              </w:rPr>
              <w:t>I_LEVEL_TN7</w:t>
            </w:r>
            <w:r w:rsidRPr="004D0DAA">
              <w:t xml:space="preserve"> (4 bit field)</w:t>
            </w:r>
          </w:p>
          <w:p w14:paraId="3C368D9B" w14:textId="77777777" w:rsidR="00711444" w:rsidRPr="004D0DAA" w:rsidRDefault="00711444" w:rsidP="00AA2A4C">
            <w:pPr>
              <w:spacing w:after="0"/>
            </w:pPr>
          </w:p>
          <w:p w14:paraId="13E338D8" w14:textId="77777777" w:rsidR="00711444" w:rsidRPr="004D0DAA" w:rsidRDefault="00711444" w:rsidP="00AA2A4C">
            <w:pPr>
              <w:spacing w:after="0"/>
            </w:pPr>
            <w:r w:rsidRPr="004D0DAA">
              <w:t xml:space="preserve">These fields contain the </w:t>
            </w:r>
            <w:r w:rsidRPr="004D0DAA">
              <w:rPr>
                <w:rFonts w:ascii="Symbol" w:hAnsi="Symbol"/>
              </w:rPr>
              <w:t></w:t>
            </w:r>
            <w:r w:rsidRPr="004D0DAA">
              <w:t xml:space="preserve"> value calculated on timeslots 0 through 7, respectively. The </w:t>
            </w:r>
            <w:r w:rsidRPr="004D0DAA">
              <w:rPr>
                <w:rFonts w:ascii="Symbol" w:hAnsi="Symbol"/>
              </w:rPr>
              <w:t></w:t>
            </w:r>
            <w:r w:rsidRPr="004D0DAA">
              <w:t xml:space="preserve"> value is defined in 3GPP TS 45.008. These fields are encoded relative to C_VALUE as defined for the mapping defined in 3GPP TS 45.008 for interference level (I_LEVEL):</w:t>
            </w:r>
          </w:p>
          <w:p w14:paraId="0F087F87" w14:textId="77777777" w:rsidR="00711444" w:rsidRPr="004D0DAA" w:rsidRDefault="00711444" w:rsidP="00AA2A4C">
            <w:pPr>
              <w:spacing w:after="0"/>
            </w:pPr>
          </w:p>
          <w:p w14:paraId="54111557" w14:textId="77777777" w:rsidR="00711444" w:rsidRPr="004D0DAA" w:rsidRDefault="00711444" w:rsidP="00AA2A4C">
            <w:pPr>
              <w:tabs>
                <w:tab w:val="left" w:pos="851"/>
              </w:tabs>
              <w:spacing w:after="0"/>
            </w:pPr>
            <w:r w:rsidRPr="004D0DAA">
              <w:t>bit</w:t>
            </w:r>
          </w:p>
          <w:p w14:paraId="2E6C8665" w14:textId="77777777" w:rsidR="00711444" w:rsidRPr="004D0DAA" w:rsidRDefault="00711444" w:rsidP="00AA2A4C">
            <w:pPr>
              <w:tabs>
                <w:tab w:val="left" w:pos="851"/>
              </w:tabs>
              <w:spacing w:after="0"/>
            </w:pPr>
            <w:r w:rsidRPr="004D0DAA">
              <w:t>4 3 2 1</w:t>
            </w:r>
          </w:p>
          <w:p w14:paraId="146C97BA" w14:textId="77777777" w:rsidR="00711444" w:rsidRPr="004D0DAA" w:rsidRDefault="00711444" w:rsidP="00AA2A4C">
            <w:pPr>
              <w:tabs>
                <w:tab w:val="left" w:pos="851"/>
              </w:tabs>
              <w:spacing w:after="0"/>
            </w:pPr>
            <w:r w:rsidRPr="004D0DAA">
              <w:t>0 0 0 0</w:t>
            </w:r>
            <w:r w:rsidRPr="004D0DAA">
              <w:tab/>
              <w:t>I_LEVEL 0</w:t>
            </w:r>
          </w:p>
          <w:p w14:paraId="2505758A" w14:textId="77777777" w:rsidR="00711444" w:rsidRPr="004D0DAA" w:rsidRDefault="00711444" w:rsidP="00AA2A4C">
            <w:pPr>
              <w:tabs>
                <w:tab w:val="left" w:pos="851"/>
              </w:tabs>
              <w:spacing w:after="0"/>
            </w:pPr>
            <w:r w:rsidRPr="004D0DAA">
              <w:t>0 0 0 1</w:t>
            </w:r>
            <w:r w:rsidRPr="004D0DAA">
              <w:tab/>
              <w:t>I_LEVEL 1</w:t>
            </w:r>
          </w:p>
          <w:p w14:paraId="5D7B0719" w14:textId="77777777" w:rsidR="00711444" w:rsidRPr="004D0DAA" w:rsidRDefault="00711444" w:rsidP="00AA2A4C">
            <w:pPr>
              <w:tabs>
                <w:tab w:val="left" w:pos="851"/>
              </w:tabs>
              <w:spacing w:after="0"/>
            </w:pPr>
            <w:r w:rsidRPr="004D0DAA">
              <w:t>...</w:t>
            </w:r>
          </w:p>
          <w:p w14:paraId="53CC2D5C" w14:textId="77777777" w:rsidR="00711444" w:rsidRPr="004D0DAA" w:rsidRDefault="00711444" w:rsidP="00AA2A4C">
            <w:pPr>
              <w:tabs>
                <w:tab w:val="left" w:pos="851"/>
              </w:tabs>
              <w:spacing w:after="0"/>
            </w:pPr>
            <w:r w:rsidRPr="004D0DAA">
              <w:t>1 1 1 0</w:t>
            </w:r>
            <w:r w:rsidRPr="004D0DAA">
              <w:tab/>
              <w:t>I_LEVEL 14</w:t>
            </w:r>
          </w:p>
          <w:p w14:paraId="5AF5161C" w14:textId="77777777" w:rsidR="00711444" w:rsidRPr="004D0DAA" w:rsidRDefault="00711444" w:rsidP="00AA2A4C">
            <w:pPr>
              <w:tabs>
                <w:tab w:val="left" w:pos="851"/>
              </w:tabs>
            </w:pPr>
            <w:r w:rsidRPr="004D0DAA">
              <w:t>1 1 1 1</w:t>
            </w:r>
            <w:r w:rsidRPr="004D0DAA">
              <w:tab/>
              <w:t>I_LEVEL 15</w:t>
            </w:r>
          </w:p>
        </w:tc>
      </w:tr>
      <w:tr w:rsidR="00711444" w:rsidRPr="004D0DAA" w14:paraId="19C4839C" w14:textId="77777777" w:rsidTr="00AA2A4C">
        <w:tblPrEx>
          <w:tblCellMar>
            <w:top w:w="0" w:type="dxa"/>
            <w:bottom w:w="0" w:type="dxa"/>
          </w:tblCellMar>
        </w:tblPrEx>
        <w:trPr>
          <w:cantSplit/>
        </w:trPr>
        <w:tc>
          <w:tcPr>
            <w:tcW w:w="9848" w:type="dxa"/>
          </w:tcPr>
          <w:p w14:paraId="404DC8C2" w14:textId="77777777" w:rsidR="00711444" w:rsidRPr="004D0DAA" w:rsidRDefault="00711444" w:rsidP="00AA2A4C">
            <w:pPr>
              <w:rPr>
                <w:b/>
                <w:bCs/>
              </w:rPr>
            </w:pPr>
            <w:r w:rsidRPr="004D0DAA">
              <w:rPr>
                <w:rFonts w:hint="eastAsia"/>
                <w:b/>
                <w:lang w:eastAsia="ko-KR"/>
              </w:rPr>
              <w:lastRenderedPageBreak/>
              <w:t>REPORTED_MODULATION</w:t>
            </w:r>
            <w:r w:rsidRPr="004D0DAA">
              <w:rPr>
                <w:b/>
                <w:bCs/>
              </w:rPr>
              <w:t xml:space="preserve">  </w:t>
            </w:r>
            <w:r w:rsidRPr="004D0DAA">
              <w:t>(</w:t>
            </w:r>
            <w:r w:rsidRPr="004D0DAA">
              <w:rPr>
                <w:rFonts w:hint="eastAsia"/>
                <w:lang w:eastAsia="ko-KR"/>
              </w:rPr>
              <w:t>2</w:t>
            </w:r>
            <w:r w:rsidRPr="004D0DAA">
              <w:t xml:space="preserve"> bit field)</w:t>
            </w:r>
          </w:p>
          <w:p w14:paraId="031B96DE" w14:textId="77777777" w:rsidR="00711444" w:rsidRPr="004D0DAA" w:rsidRDefault="00711444" w:rsidP="00AA2A4C">
            <w:pPr>
              <w:rPr>
                <w:rFonts w:hint="eastAsia"/>
                <w:lang w:eastAsia="ko-KR"/>
              </w:rPr>
            </w:pPr>
            <w:r w:rsidRPr="004D0DAA">
              <w:t xml:space="preserve">The mobile </w:t>
            </w:r>
            <w:r w:rsidRPr="004D0DAA">
              <w:rPr>
                <w:rFonts w:hint="eastAsia"/>
                <w:lang w:eastAsia="ko-KR"/>
              </w:rPr>
              <w:t xml:space="preserve">station </w:t>
            </w:r>
            <w:r w:rsidRPr="004D0DAA">
              <w:t>shall</w:t>
            </w:r>
            <w:r w:rsidRPr="004D0DAA">
              <w:rPr>
                <w:rFonts w:hint="eastAsia"/>
                <w:lang w:eastAsia="ko-KR"/>
              </w:rPr>
              <w:t>,</w:t>
            </w:r>
            <w:r w:rsidRPr="004D0DAA">
              <w:t xml:space="preserve"> </w:t>
            </w:r>
            <w:r w:rsidRPr="004D0DAA">
              <w:rPr>
                <w:rFonts w:hint="eastAsia"/>
                <w:lang w:eastAsia="ko-KR"/>
              </w:rPr>
              <w:t xml:space="preserve">for each of its currently assigned timeslots, </w:t>
            </w:r>
            <w:r w:rsidRPr="004D0DAA">
              <w:t xml:space="preserve">report the </w:t>
            </w:r>
            <w:r w:rsidRPr="004D0DAA">
              <w:rPr>
                <w:rFonts w:hint="eastAsia"/>
                <w:lang w:eastAsia="ko-KR"/>
              </w:rPr>
              <w:t xml:space="preserve">modulation scheme (indicated using the REPORTED_MODULATION field) with which it has received the largest number of blocks since the last report and shall report the MEAN_BEP_TNx of that modulation scheme (see the section </w:t>
            </w:r>
            <w:r w:rsidRPr="004D0DAA">
              <w:t>10.2.3.2.3</w:t>
            </w:r>
            <w:r w:rsidRPr="004D0DAA">
              <w:rPr>
                <w:rFonts w:hint="eastAsia"/>
                <w:lang w:eastAsia="ko-KR"/>
              </w:rPr>
              <w:t xml:space="preserve"> in 3GPP TS 45.008).</w:t>
            </w:r>
            <w:r w:rsidRPr="004D0DAA">
              <w:t xml:space="preserve"> The mapping of </w:t>
            </w:r>
            <w:r w:rsidRPr="004D0DAA">
              <w:rPr>
                <w:rFonts w:hint="eastAsia"/>
                <w:lang w:eastAsia="ko-KR"/>
              </w:rPr>
              <w:t>the modulation scheme is</w:t>
            </w:r>
            <w:r w:rsidRPr="004D0DAA">
              <w:t xml:space="preserve"> as follows</w:t>
            </w:r>
            <w:r w:rsidRPr="004D0DAA">
              <w:rPr>
                <w:rFonts w:hint="eastAsia"/>
                <w:lang w:eastAsia="ko-KR"/>
              </w:rPr>
              <w:t>.</w:t>
            </w:r>
          </w:p>
          <w:p w14:paraId="547774B3" w14:textId="77777777" w:rsidR="00711444" w:rsidRPr="004D0DAA" w:rsidRDefault="00711444" w:rsidP="00AA2A4C">
            <w:pPr>
              <w:pStyle w:val="FP"/>
            </w:pPr>
            <w:r w:rsidRPr="004D0DAA">
              <w:t>For EGPRS2-A:</w:t>
            </w:r>
          </w:p>
          <w:p w14:paraId="05C4DDC3" w14:textId="77777777" w:rsidR="00711444" w:rsidRPr="004D0DAA" w:rsidRDefault="00711444" w:rsidP="00AA2A4C">
            <w:pPr>
              <w:pStyle w:val="FP"/>
            </w:pPr>
            <w:r w:rsidRPr="004D0DAA">
              <w:t>bit</w:t>
            </w:r>
          </w:p>
          <w:p w14:paraId="6C7C2714" w14:textId="77777777" w:rsidR="00711444" w:rsidRPr="004D0DAA" w:rsidRDefault="00711444" w:rsidP="00AA2A4C">
            <w:pPr>
              <w:pStyle w:val="TAL"/>
              <w:rPr>
                <w:lang w:eastAsia="en-US"/>
              </w:rPr>
            </w:pPr>
            <w:r w:rsidRPr="004D0DAA">
              <w:rPr>
                <w:lang w:eastAsia="en-US"/>
              </w:rPr>
              <w:t>2 1</w:t>
            </w:r>
          </w:p>
          <w:p w14:paraId="71F40EAB" w14:textId="77777777" w:rsidR="00711444" w:rsidRPr="004D0DAA" w:rsidRDefault="00711444" w:rsidP="00AA2A4C">
            <w:pPr>
              <w:pStyle w:val="TAL"/>
              <w:rPr>
                <w:lang w:eastAsia="en-US"/>
              </w:rPr>
            </w:pPr>
            <w:r w:rsidRPr="004D0DAA">
              <w:rPr>
                <w:lang w:eastAsia="en-US"/>
              </w:rPr>
              <w:t>0</w:t>
            </w:r>
            <w:r w:rsidRPr="004D0DAA">
              <w:rPr>
                <w:lang w:eastAsia="ko-KR"/>
              </w:rPr>
              <w:t xml:space="preserve"> </w:t>
            </w:r>
            <w:r w:rsidRPr="004D0DAA">
              <w:rPr>
                <w:lang w:eastAsia="en-US"/>
              </w:rPr>
              <w:t>0</w:t>
            </w:r>
            <w:r w:rsidRPr="004D0DAA">
              <w:rPr>
                <w:lang w:eastAsia="en-US"/>
              </w:rPr>
              <w:tab/>
            </w:r>
            <w:r w:rsidRPr="004D0DAA">
              <w:rPr>
                <w:lang w:eastAsia="en-US"/>
              </w:rPr>
              <w:tab/>
              <w:t>GMSK</w:t>
            </w:r>
          </w:p>
          <w:p w14:paraId="3AE39F3F" w14:textId="77777777" w:rsidR="00711444" w:rsidRPr="004D0DAA" w:rsidRDefault="00711444" w:rsidP="00AA2A4C">
            <w:pPr>
              <w:pStyle w:val="TAL"/>
              <w:rPr>
                <w:lang w:eastAsia="ko-KR"/>
              </w:rPr>
            </w:pPr>
            <w:r w:rsidRPr="004D0DAA">
              <w:rPr>
                <w:lang w:eastAsia="en-US"/>
              </w:rPr>
              <w:t>0 1</w:t>
            </w:r>
            <w:r w:rsidRPr="004D0DAA">
              <w:rPr>
                <w:lang w:eastAsia="en-US"/>
              </w:rPr>
              <w:tab/>
            </w:r>
            <w:r w:rsidRPr="004D0DAA">
              <w:rPr>
                <w:lang w:eastAsia="en-US"/>
              </w:rPr>
              <w:tab/>
            </w:r>
            <w:r w:rsidRPr="004D0DAA">
              <w:rPr>
                <w:lang w:eastAsia="ko-KR"/>
              </w:rPr>
              <w:t>8PSK</w:t>
            </w:r>
          </w:p>
          <w:p w14:paraId="496107BB" w14:textId="77777777" w:rsidR="00711444" w:rsidRPr="004D0DAA" w:rsidRDefault="00711444" w:rsidP="00AA2A4C">
            <w:pPr>
              <w:pStyle w:val="TAL"/>
              <w:rPr>
                <w:rFonts w:hint="eastAsia"/>
                <w:lang w:eastAsia="ko-KR"/>
              </w:rPr>
            </w:pPr>
            <w:r w:rsidRPr="004D0DAA">
              <w:rPr>
                <w:lang w:eastAsia="en-US"/>
              </w:rPr>
              <w:t>1 0</w:t>
            </w:r>
            <w:r w:rsidRPr="004D0DAA">
              <w:rPr>
                <w:lang w:eastAsia="en-US"/>
              </w:rPr>
              <w:tab/>
            </w:r>
            <w:r w:rsidRPr="004D0DAA">
              <w:rPr>
                <w:lang w:eastAsia="en-US"/>
              </w:rPr>
              <w:tab/>
            </w:r>
            <w:r w:rsidRPr="004D0DAA">
              <w:rPr>
                <w:lang w:eastAsia="ko-KR"/>
              </w:rPr>
              <w:t>16QAM</w:t>
            </w:r>
          </w:p>
          <w:p w14:paraId="2A727497" w14:textId="77777777" w:rsidR="00711444" w:rsidRPr="004D0DAA" w:rsidRDefault="00711444" w:rsidP="00AA2A4C">
            <w:pPr>
              <w:pStyle w:val="TAL"/>
              <w:rPr>
                <w:rFonts w:hint="eastAsia"/>
                <w:lang w:eastAsia="ko-KR"/>
              </w:rPr>
            </w:pPr>
            <w:r w:rsidRPr="004D0DAA">
              <w:rPr>
                <w:lang w:eastAsia="en-US"/>
              </w:rPr>
              <w:t>1 1</w:t>
            </w:r>
            <w:r w:rsidRPr="004D0DAA">
              <w:rPr>
                <w:lang w:eastAsia="en-US"/>
              </w:rPr>
              <w:tab/>
            </w:r>
            <w:r w:rsidRPr="004D0DAA">
              <w:rPr>
                <w:lang w:eastAsia="en-US"/>
              </w:rPr>
              <w:tab/>
            </w:r>
            <w:r w:rsidRPr="004D0DAA">
              <w:rPr>
                <w:lang w:eastAsia="ko-KR"/>
              </w:rPr>
              <w:t>32QAM</w:t>
            </w:r>
          </w:p>
          <w:p w14:paraId="03EF8EAA" w14:textId="77777777" w:rsidR="00711444" w:rsidRPr="004D0DAA" w:rsidRDefault="00711444" w:rsidP="00AA2A4C">
            <w:pPr>
              <w:pStyle w:val="FP"/>
            </w:pPr>
          </w:p>
          <w:p w14:paraId="1840C004" w14:textId="77777777" w:rsidR="00711444" w:rsidRPr="004D0DAA" w:rsidRDefault="00711444" w:rsidP="00AA2A4C">
            <w:pPr>
              <w:pStyle w:val="FP"/>
            </w:pPr>
            <w:r w:rsidRPr="004D0DAA">
              <w:t>For EGPRS2-B:</w:t>
            </w:r>
          </w:p>
          <w:p w14:paraId="07130C09" w14:textId="77777777" w:rsidR="00711444" w:rsidRPr="004D0DAA" w:rsidRDefault="00711444" w:rsidP="00AA2A4C">
            <w:pPr>
              <w:pStyle w:val="FP"/>
            </w:pPr>
            <w:r w:rsidRPr="004D0DAA">
              <w:t>bit</w:t>
            </w:r>
          </w:p>
          <w:p w14:paraId="00C159B0" w14:textId="77777777" w:rsidR="00711444" w:rsidRPr="004D0DAA" w:rsidRDefault="00711444" w:rsidP="00AA2A4C">
            <w:pPr>
              <w:pStyle w:val="TAL"/>
              <w:rPr>
                <w:lang w:eastAsia="en-US"/>
              </w:rPr>
            </w:pPr>
            <w:r w:rsidRPr="004D0DAA">
              <w:rPr>
                <w:lang w:eastAsia="en-US"/>
              </w:rPr>
              <w:t>2 1</w:t>
            </w:r>
          </w:p>
          <w:p w14:paraId="149A730E" w14:textId="77777777" w:rsidR="00711444" w:rsidRPr="004D0DAA" w:rsidRDefault="00711444" w:rsidP="00AA2A4C">
            <w:pPr>
              <w:pStyle w:val="TAL"/>
              <w:rPr>
                <w:rFonts w:hint="eastAsia"/>
                <w:lang w:eastAsia="ko-KR"/>
              </w:rPr>
            </w:pPr>
            <w:r w:rsidRPr="004D0DAA">
              <w:rPr>
                <w:lang w:eastAsia="en-US"/>
              </w:rPr>
              <w:t>0</w:t>
            </w:r>
            <w:r w:rsidRPr="004D0DAA">
              <w:rPr>
                <w:lang w:eastAsia="ko-KR"/>
              </w:rPr>
              <w:t xml:space="preserve"> </w:t>
            </w:r>
            <w:r w:rsidRPr="004D0DAA">
              <w:rPr>
                <w:lang w:eastAsia="en-US"/>
              </w:rPr>
              <w:t>0</w:t>
            </w:r>
            <w:r w:rsidRPr="004D0DAA">
              <w:rPr>
                <w:lang w:eastAsia="en-US"/>
              </w:rPr>
              <w:tab/>
            </w:r>
            <w:r w:rsidRPr="004D0DAA">
              <w:rPr>
                <w:lang w:eastAsia="en-US"/>
              </w:rPr>
              <w:tab/>
            </w:r>
            <w:r w:rsidRPr="004D0DAA">
              <w:rPr>
                <w:rFonts w:hint="eastAsia"/>
                <w:lang w:eastAsia="ko-KR"/>
              </w:rPr>
              <w:t>GMSK</w:t>
            </w:r>
          </w:p>
          <w:p w14:paraId="043CA9D2" w14:textId="77777777" w:rsidR="00711444" w:rsidRPr="004D0DAA" w:rsidRDefault="00711444" w:rsidP="00AA2A4C">
            <w:pPr>
              <w:pStyle w:val="TAL"/>
              <w:rPr>
                <w:rFonts w:hint="eastAsia"/>
                <w:lang w:eastAsia="ko-KR"/>
              </w:rPr>
            </w:pPr>
            <w:r w:rsidRPr="004D0DAA">
              <w:rPr>
                <w:lang w:eastAsia="en-US"/>
              </w:rPr>
              <w:t>0 1</w:t>
            </w:r>
            <w:r w:rsidRPr="004D0DAA">
              <w:rPr>
                <w:lang w:eastAsia="en-US"/>
              </w:rPr>
              <w:tab/>
            </w:r>
            <w:r w:rsidRPr="004D0DAA">
              <w:rPr>
                <w:lang w:eastAsia="en-US"/>
              </w:rPr>
              <w:tab/>
            </w:r>
            <w:r w:rsidRPr="004D0DAA">
              <w:rPr>
                <w:rFonts w:hint="eastAsia"/>
                <w:lang w:eastAsia="ko-KR"/>
              </w:rPr>
              <w:t>QPSK</w:t>
            </w:r>
          </w:p>
          <w:p w14:paraId="264B9214" w14:textId="77777777" w:rsidR="00711444" w:rsidRPr="004D0DAA" w:rsidRDefault="00711444" w:rsidP="00AA2A4C">
            <w:pPr>
              <w:pStyle w:val="TAL"/>
              <w:rPr>
                <w:rFonts w:hint="eastAsia"/>
                <w:lang w:eastAsia="ko-KR"/>
              </w:rPr>
            </w:pPr>
            <w:r w:rsidRPr="004D0DAA">
              <w:rPr>
                <w:lang w:eastAsia="en-US"/>
              </w:rPr>
              <w:t>1 0</w:t>
            </w:r>
            <w:r w:rsidRPr="004D0DAA">
              <w:rPr>
                <w:lang w:eastAsia="en-US"/>
              </w:rPr>
              <w:tab/>
            </w:r>
            <w:r w:rsidRPr="004D0DAA">
              <w:rPr>
                <w:lang w:eastAsia="en-US"/>
              </w:rPr>
              <w:tab/>
            </w:r>
            <w:r w:rsidRPr="004D0DAA">
              <w:rPr>
                <w:rFonts w:hint="eastAsia"/>
                <w:lang w:eastAsia="ko-KR"/>
              </w:rPr>
              <w:t>16QAM with higher symbol rate</w:t>
            </w:r>
          </w:p>
          <w:p w14:paraId="3C2FCE9D" w14:textId="77777777" w:rsidR="00711444" w:rsidRPr="004D0DAA" w:rsidRDefault="00711444" w:rsidP="00AA2A4C">
            <w:pPr>
              <w:pStyle w:val="TAL"/>
              <w:rPr>
                <w:rFonts w:hint="eastAsia"/>
                <w:lang w:eastAsia="ko-KR"/>
              </w:rPr>
            </w:pPr>
            <w:r w:rsidRPr="004D0DAA">
              <w:rPr>
                <w:lang w:eastAsia="en-US"/>
              </w:rPr>
              <w:t>1 1</w:t>
            </w:r>
            <w:r w:rsidRPr="004D0DAA">
              <w:rPr>
                <w:lang w:eastAsia="en-US"/>
              </w:rPr>
              <w:tab/>
            </w:r>
            <w:r w:rsidRPr="004D0DAA">
              <w:rPr>
                <w:lang w:eastAsia="en-US"/>
              </w:rPr>
              <w:tab/>
            </w:r>
            <w:r w:rsidRPr="004D0DAA">
              <w:rPr>
                <w:rFonts w:hint="eastAsia"/>
                <w:lang w:eastAsia="ko-KR"/>
              </w:rPr>
              <w:t>32QAM with higher symbol rate</w:t>
            </w:r>
          </w:p>
          <w:p w14:paraId="111627DB" w14:textId="77777777" w:rsidR="00711444" w:rsidRPr="004D0DAA" w:rsidRDefault="00711444" w:rsidP="00AA2A4C">
            <w:pPr>
              <w:pStyle w:val="TAL"/>
              <w:rPr>
                <w:rFonts w:hint="eastAsia"/>
                <w:lang w:eastAsia="ko-KR"/>
              </w:rPr>
            </w:pPr>
          </w:p>
          <w:p w14:paraId="1A03AB04" w14:textId="77777777" w:rsidR="00711444" w:rsidRPr="004D0DAA" w:rsidRDefault="00711444" w:rsidP="00AA2A4C">
            <w:pPr>
              <w:rPr>
                <w:lang w:eastAsia="ko-KR"/>
              </w:rPr>
            </w:pPr>
            <w:r w:rsidRPr="004D0DAA">
              <w:rPr>
                <w:rFonts w:hint="eastAsia"/>
                <w:lang w:eastAsia="ko-KR"/>
              </w:rPr>
              <w:t>In case of EGPRS2-B, if there are any received radio blocks with 8PSK, 16QAM with normal symbol rate or 32QAM with normal symbol rate, those radio blocks shall be ignored for channel quality reporting on that timeslot.</w:t>
            </w:r>
          </w:p>
        </w:tc>
      </w:tr>
    </w:tbl>
    <w:p w14:paraId="22F9B245" w14:textId="77777777" w:rsidR="00711444" w:rsidRPr="004D0DAA" w:rsidRDefault="00711444" w:rsidP="00711444"/>
    <w:p w14:paraId="6038B630" w14:textId="77777777" w:rsidR="00711444" w:rsidRPr="004D0DAA" w:rsidRDefault="00711444" w:rsidP="00711444">
      <w:pPr>
        <w:pStyle w:val="Heading2"/>
      </w:pPr>
      <w:bookmarkStart w:id="770" w:name="_Toc516669946"/>
      <w:r w:rsidRPr="004D0DAA">
        <w:t>12.6</w:t>
      </w:r>
      <w:r w:rsidRPr="004D0DAA">
        <w:tab/>
        <w:t>(void)</w:t>
      </w:r>
      <w:bookmarkEnd w:id="770"/>
    </w:p>
    <w:p w14:paraId="7AB24752" w14:textId="77777777" w:rsidR="00711444" w:rsidRPr="004D0DAA" w:rsidRDefault="00711444" w:rsidP="00711444">
      <w:pPr>
        <w:pStyle w:val="Heading2"/>
      </w:pPr>
      <w:bookmarkStart w:id="771" w:name="_Toc516669947"/>
      <w:r w:rsidRPr="004D0DAA">
        <w:t>12.7</w:t>
      </w:r>
      <w:r w:rsidRPr="004D0DAA">
        <w:tab/>
        <w:t>Channel Request Description</w:t>
      </w:r>
      <w:bookmarkEnd w:id="771"/>
    </w:p>
    <w:p w14:paraId="2467069B" w14:textId="77777777" w:rsidR="00711444" w:rsidRPr="004D0DAA" w:rsidRDefault="00711444" w:rsidP="00711444">
      <w:pPr>
        <w:keepNext/>
        <w:keepLines/>
      </w:pPr>
      <w:r w:rsidRPr="004D0DAA">
        <w:t>The Channel Request Description information element is sent by the mobile station to the network to request uplink resources.</w:t>
      </w:r>
    </w:p>
    <w:p w14:paraId="1F753EDA" w14:textId="77777777" w:rsidR="00711444" w:rsidRPr="004D0DAA" w:rsidRDefault="00711444" w:rsidP="00711444">
      <w:pPr>
        <w:pStyle w:val="TH"/>
      </w:pPr>
      <w:r w:rsidRPr="004D0DAA">
        <w:t xml:space="preserve">Table 12.7.1: </w:t>
      </w:r>
      <w:r w:rsidRPr="004D0DAA">
        <w:rPr>
          <w:i/>
        </w:rPr>
        <w:t>Channel Request Description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6E77346" w14:textId="77777777" w:rsidTr="00AA2A4C">
        <w:tblPrEx>
          <w:tblCellMar>
            <w:top w:w="0" w:type="dxa"/>
            <w:bottom w:w="0" w:type="dxa"/>
          </w:tblCellMar>
        </w:tblPrEx>
        <w:trPr>
          <w:cantSplit/>
        </w:trPr>
        <w:tc>
          <w:tcPr>
            <w:tcW w:w="9848" w:type="dxa"/>
          </w:tcPr>
          <w:p w14:paraId="6FF9032A" w14:textId="77777777" w:rsidR="00711444" w:rsidRPr="004D0DAA" w:rsidRDefault="00711444" w:rsidP="00AA2A4C">
            <w:pPr>
              <w:pStyle w:val="TAL"/>
              <w:rPr>
                <w:lang w:eastAsia="en-US"/>
              </w:rPr>
            </w:pPr>
            <w:r w:rsidRPr="004D0DAA">
              <w:rPr>
                <w:lang w:eastAsia="en-US"/>
              </w:rPr>
              <w:t>&lt; Channel Request Description IE &gt; ::=</w:t>
            </w:r>
          </w:p>
          <w:p w14:paraId="3EFB578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PEAK_THROUGHPUT_CLASS</w:t>
            </w:r>
            <w:r w:rsidRPr="004D0DAA">
              <w:rPr>
                <w:lang w:eastAsia="en-US"/>
              </w:rPr>
              <w:t xml:space="preserve"> : bit (4) &gt;</w:t>
            </w:r>
          </w:p>
          <w:p w14:paraId="4B596D7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RADIO_PRIORITY </w:t>
            </w:r>
            <w:r w:rsidRPr="004D0DAA">
              <w:rPr>
                <w:lang w:eastAsia="en-US"/>
              </w:rPr>
              <w:t>: bit (2) &gt;</w:t>
            </w:r>
          </w:p>
          <w:p w14:paraId="40CA755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w:t>
            </w:r>
          </w:p>
          <w:p w14:paraId="3205043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LLC_ PDU_TYPE</w:t>
            </w:r>
            <w:r w:rsidRPr="004D0DAA">
              <w:rPr>
                <w:lang w:eastAsia="en-US"/>
              </w:rPr>
              <w:t xml:space="preserve"> : bit (1) &gt;</w:t>
            </w:r>
          </w:p>
          <w:p w14:paraId="057EA75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RLC_OCTET_COUNT </w:t>
            </w:r>
            <w:r w:rsidRPr="004D0DAA">
              <w:rPr>
                <w:lang w:eastAsia="en-US"/>
              </w:rPr>
              <w:t>: bit (16) &gt; ;</w:t>
            </w:r>
          </w:p>
        </w:tc>
      </w:tr>
    </w:tbl>
    <w:p w14:paraId="583E3220" w14:textId="77777777" w:rsidR="00711444" w:rsidRPr="004D0DAA" w:rsidRDefault="00711444" w:rsidP="00711444"/>
    <w:p w14:paraId="6515CC77" w14:textId="77777777" w:rsidR="00711444" w:rsidRPr="004D0DAA" w:rsidRDefault="00711444" w:rsidP="00711444">
      <w:pPr>
        <w:pStyle w:val="TH"/>
      </w:pPr>
      <w:r w:rsidRPr="004D0DAA">
        <w:t xml:space="preserve">Table 12.7.2: </w:t>
      </w:r>
      <w:r w:rsidRPr="004D0DAA">
        <w:rPr>
          <w:i/>
        </w:rPr>
        <w:t>Channel Request Description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FE7C0AF" w14:textId="77777777" w:rsidTr="00AA2A4C">
        <w:tblPrEx>
          <w:tblCellMar>
            <w:top w:w="0" w:type="dxa"/>
            <w:bottom w:w="0" w:type="dxa"/>
          </w:tblCellMar>
        </w:tblPrEx>
        <w:trPr>
          <w:cantSplit/>
        </w:trPr>
        <w:tc>
          <w:tcPr>
            <w:tcW w:w="9848" w:type="dxa"/>
          </w:tcPr>
          <w:p w14:paraId="1051DF14" w14:textId="77777777" w:rsidR="00711444" w:rsidRPr="004D0DAA" w:rsidRDefault="00711444" w:rsidP="00AA2A4C">
            <w:pPr>
              <w:keepLines/>
              <w:rPr>
                <w:b/>
              </w:rPr>
            </w:pPr>
            <w:r w:rsidRPr="004D0DAA">
              <w:rPr>
                <w:b/>
              </w:rPr>
              <w:t>PEAK_THROUGHPUT_CLASS</w:t>
            </w:r>
            <w:r w:rsidRPr="004D0DAA">
              <w:t xml:space="preserve"> (4 bit field)</w:t>
            </w:r>
            <w:r w:rsidRPr="004D0DAA">
              <w:br/>
              <w:t>This field indicates the peak throughput class for the PDP context of the LLC PDU that caused the Channel Request Description IE to be transmitted. The field is coded as the binary representation of the Peak Throughput Class specified in 3GPP TS </w:t>
            </w:r>
            <w:r w:rsidRPr="004D0DAA">
              <w:rPr>
                <w:lang w:eastAsia="ko-KR"/>
              </w:rPr>
              <w:t>24.008</w:t>
            </w:r>
            <w:r w:rsidRPr="004D0DAA">
              <w:t>.</w:t>
            </w:r>
            <w:r w:rsidRPr="004D0DAA">
              <w:br/>
              <w:t>Range: 1 to 9</w:t>
            </w:r>
          </w:p>
        </w:tc>
      </w:tr>
      <w:tr w:rsidR="00711444" w:rsidRPr="004D0DAA" w14:paraId="36D9E917" w14:textId="77777777" w:rsidTr="00AA2A4C">
        <w:tblPrEx>
          <w:tblCellMar>
            <w:top w:w="0" w:type="dxa"/>
            <w:bottom w:w="0" w:type="dxa"/>
          </w:tblCellMar>
        </w:tblPrEx>
        <w:trPr>
          <w:cantSplit/>
        </w:trPr>
        <w:tc>
          <w:tcPr>
            <w:tcW w:w="9848" w:type="dxa"/>
          </w:tcPr>
          <w:p w14:paraId="68D7B8D0" w14:textId="77777777" w:rsidR="00711444" w:rsidRPr="004D0DAA" w:rsidRDefault="00711444" w:rsidP="00AA2A4C">
            <w:pPr>
              <w:keepLines/>
              <w:rPr>
                <w:b/>
              </w:rPr>
            </w:pPr>
            <w:r w:rsidRPr="004D0DAA">
              <w:rPr>
                <w:b/>
              </w:rPr>
              <w:t>RADIO_PRIORITY</w:t>
            </w:r>
            <w:r w:rsidRPr="004D0DAA">
              <w:t xml:space="preserve"> (2 bit field)</w:t>
            </w:r>
            <w:r w:rsidRPr="004D0DAA">
              <w:br/>
              <w:t>This field indicates the Radio Priority of the requested TBF. The field is encoded as the Radio Priority field of the Packet Channel Request (see sub-clause 11.2.5).</w:t>
            </w:r>
          </w:p>
        </w:tc>
      </w:tr>
      <w:tr w:rsidR="00711444" w:rsidRPr="004D0DAA" w14:paraId="6FCCE63E" w14:textId="77777777" w:rsidTr="00AA2A4C">
        <w:tblPrEx>
          <w:tblCellMar>
            <w:top w:w="0" w:type="dxa"/>
            <w:bottom w:w="0" w:type="dxa"/>
          </w:tblCellMar>
        </w:tblPrEx>
        <w:trPr>
          <w:cantSplit/>
        </w:trPr>
        <w:tc>
          <w:tcPr>
            <w:tcW w:w="9848" w:type="dxa"/>
          </w:tcPr>
          <w:p w14:paraId="60CFF5EA" w14:textId="77777777" w:rsidR="00711444" w:rsidRPr="004D0DAA" w:rsidRDefault="00711444" w:rsidP="00AA2A4C">
            <w:pPr>
              <w:keepNext/>
              <w:keepLines/>
            </w:pPr>
            <w:r w:rsidRPr="004D0DAA">
              <w:rPr>
                <w:b/>
              </w:rPr>
              <w:lastRenderedPageBreak/>
              <w:t xml:space="preserve">RLC_MODE </w:t>
            </w:r>
            <w:r w:rsidRPr="004D0DAA">
              <w:t>(1 bit field)</w:t>
            </w:r>
            <w:r w:rsidRPr="004D0DAA">
              <w:br/>
              <w:t>This field indicates the RLC mode of the requested TBF.</w:t>
            </w:r>
          </w:p>
          <w:p w14:paraId="2519F4B1" w14:textId="77777777" w:rsidR="00711444" w:rsidRPr="004D0DAA" w:rsidRDefault="00711444" w:rsidP="00AA2A4C">
            <w:pPr>
              <w:keepLines/>
              <w:rPr>
                <w:b/>
              </w:rPr>
            </w:pPr>
            <w:r w:rsidRPr="004D0DAA">
              <w:t>0</w:t>
            </w:r>
            <w:r w:rsidRPr="004D0DAA">
              <w:tab/>
              <w:t>RLC acknowledged mode</w:t>
            </w:r>
            <w:r w:rsidRPr="004D0DAA">
              <w:br/>
              <w:t>1</w:t>
            </w:r>
            <w:r w:rsidRPr="004D0DAA">
              <w:tab/>
              <w:t>RLC unacknowledged mode</w:t>
            </w:r>
          </w:p>
        </w:tc>
      </w:tr>
      <w:tr w:rsidR="00711444" w:rsidRPr="004D0DAA" w14:paraId="26284F46" w14:textId="77777777" w:rsidTr="00AA2A4C">
        <w:tblPrEx>
          <w:tblCellMar>
            <w:top w:w="0" w:type="dxa"/>
            <w:bottom w:w="0" w:type="dxa"/>
          </w:tblCellMar>
        </w:tblPrEx>
        <w:trPr>
          <w:cantSplit/>
        </w:trPr>
        <w:tc>
          <w:tcPr>
            <w:tcW w:w="9848" w:type="dxa"/>
          </w:tcPr>
          <w:p w14:paraId="22A9BE5A" w14:textId="77777777" w:rsidR="00711444" w:rsidRPr="004D0DAA" w:rsidRDefault="00711444" w:rsidP="00AA2A4C">
            <w:pPr>
              <w:keepNext/>
              <w:keepLines/>
            </w:pPr>
            <w:r w:rsidRPr="004D0DAA">
              <w:rPr>
                <w:b/>
              </w:rPr>
              <w:t xml:space="preserve">LLC_ PDU_TYPE </w:t>
            </w:r>
            <w:r w:rsidRPr="004D0DAA">
              <w:t>(1 bit field)</w:t>
            </w:r>
            <w:r w:rsidRPr="004D0DAA">
              <w:br/>
              <w:t>This field indicates the type of the first LLC PDU to be transmitted over the requested uplink TBF.</w:t>
            </w:r>
          </w:p>
          <w:p w14:paraId="64F856D6" w14:textId="77777777" w:rsidR="00711444" w:rsidRPr="004D0DAA" w:rsidRDefault="00711444" w:rsidP="00AA2A4C">
            <w:pPr>
              <w:keepLines/>
              <w:rPr>
                <w:b/>
              </w:rPr>
            </w:pPr>
            <w:r w:rsidRPr="004D0DAA">
              <w:t>0</w:t>
            </w:r>
            <w:r w:rsidRPr="004D0DAA">
              <w:tab/>
              <w:t>LLC PDU is SACK or ACK</w:t>
            </w:r>
            <w:r w:rsidRPr="004D0DAA">
              <w:br/>
              <w:t>1</w:t>
            </w:r>
            <w:r w:rsidRPr="004D0DAA">
              <w:tab/>
              <w:t>LLC PDU is not SACK or ACK</w:t>
            </w:r>
          </w:p>
        </w:tc>
      </w:tr>
      <w:tr w:rsidR="00711444" w:rsidRPr="004D0DAA" w14:paraId="0D9542DE" w14:textId="77777777" w:rsidTr="00AA2A4C">
        <w:tblPrEx>
          <w:tblCellMar>
            <w:top w:w="0" w:type="dxa"/>
            <w:bottom w:w="0" w:type="dxa"/>
          </w:tblCellMar>
        </w:tblPrEx>
        <w:trPr>
          <w:cantSplit/>
        </w:trPr>
        <w:tc>
          <w:tcPr>
            <w:tcW w:w="9848" w:type="dxa"/>
          </w:tcPr>
          <w:p w14:paraId="7375E9BF" w14:textId="77777777" w:rsidR="00711444" w:rsidRPr="004D0DAA" w:rsidRDefault="00711444" w:rsidP="00AA2A4C">
            <w:pPr>
              <w:keepLines/>
            </w:pPr>
            <w:r w:rsidRPr="004D0DAA">
              <w:rPr>
                <w:b/>
              </w:rPr>
              <w:t>RLC_OCTET_COUNT</w:t>
            </w:r>
            <w:r w:rsidRPr="004D0DAA">
              <w:t xml:space="preserve"> (16 bit field)</w:t>
            </w:r>
            <w:r w:rsidRPr="004D0DAA">
              <w:br/>
              <w:t>The RLC_OCTET_COUNT field indicates the number of RLC data octets, plus the number of RLC data block length octets, that the mobile station wishes to transfer. The value '0' indicates that the mobile station does not provide any information on the TBF size.</w:t>
            </w:r>
            <w:r w:rsidRPr="004D0DAA">
              <w:br/>
              <w:t>Range 0 to 65535</w:t>
            </w:r>
          </w:p>
        </w:tc>
      </w:tr>
    </w:tbl>
    <w:p w14:paraId="32330981" w14:textId="77777777" w:rsidR="00711444" w:rsidRPr="004D0DAA" w:rsidRDefault="00711444" w:rsidP="00711444"/>
    <w:p w14:paraId="6B005EF2" w14:textId="77777777" w:rsidR="00711444" w:rsidRPr="004D0DAA" w:rsidRDefault="00711444" w:rsidP="00711444">
      <w:pPr>
        <w:pStyle w:val="Heading2"/>
        <w:rPr>
          <w:lang w:val="fr-FR"/>
        </w:rPr>
      </w:pPr>
      <w:bookmarkStart w:id="772" w:name="_Toc516669948"/>
      <w:r w:rsidRPr="004D0DAA">
        <w:rPr>
          <w:lang w:val="fr-FR"/>
        </w:rPr>
        <w:t>12.7a</w:t>
      </w:r>
      <w:r w:rsidRPr="004D0DAA">
        <w:rPr>
          <w:lang w:val="fr-FR"/>
        </w:rPr>
        <w:tab/>
        <w:t>Iu mode Channel Request Description</w:t>
      </w:r>
      <w:bookmarkEnd w:id="772"/>
    </w:p>
    <w:p w14:paraId="084755E4" w14:textId="77777777" w:rsidR="00711444" w:rsidRPr="004D0DAA" w:rsidRDefault="00711444" w:rsidP="00711444">
      <w:pPr>
        <w:keepNext/>
        <w:keepLines/>
      </w:pPr>
      <w:r w:rsidRPr="004D0DAA">
        <w:t xml:space="preserve">The </w:t>
      </w:r>
      <w:r w:rsidRPr="004D0DAA">
        <w:rPr>
          <w:i/>
          <w:iCs/>
        </w:rPr>
        <w:t>Iu mode Channel Request Description</w:t>
      </w:r>
      <w:r w:rsidRPr="004D0DAA">
        <w:t xml:space="preserve"> information element is sent by the mobile station to the network to request uplink resources.</w:t>
      </w:r>
    </w:p>
    <w:p w14:paraId="33B6B590" w14:textId="77777777" w:rsidR="00711444" w:rsidRPr="004D0DAA" w:rsidRDefault="00711444" w:rsidP="00711444">
      <w:pPr>
        <w:pStyle w:val="TH"/>
        <w:rPr>
          <w:lang w:val="fr-FR"/>
        </w:rPr>
      </w:pPr>
      <w:r w:rsidRPr="004D0DAA">
        <w:rPr>
          <w:lang w:val="fr-FR"/>
        </w:rPr>
        <w:t xml:space="preserve">Table 12.7a.1: </w:t>
      </w:r>
      <w:r w:rsidRPr="004D0DAA">
        <w:rPr>
          <w:i/>
          <w:iCs/>
          <w:lang w:val="fr-FR"/>
        </w:rPr>
        <w:t>Iu mode</w:t>
      </w:r>
      <w:r w:rsidRPr="004D0DAA">
        <w:rPr>
          <w:lang w:val="fr-FR"/>
        </w:rPr>
        <w:t xml:space="preserve"> </w:t>
      </w:r>
      <w:r w:rsidRPr="004D0DAA">
        <w:rPr>
          <w:i/>
          <w:lang w:val="fr-FR"/>
        </w:rPr>
        <w:t>Channel Request Description</w:t>
      </w:r>
      <w:r w:rsidRPr="004D0DAA">
        <w:rPr>
          <w:lang w:val="fr-FR"/>
        </w:rPr>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F1782C9" w14:textId="77777777" w:rsidTr="00AA2A4C">
        <w:tblPrEx>
          <w:tblCellMar>
            <w:top w:w="0" w:type="dxa"/>
            <w:bottom w:w="0" w:type="dxa"/>
          </w:tblCellMar>
        </w:tblPrEx>
        <w:trPr>
          <w:cantSplit/>
        </w:trPr>
        <w:tc>
          <w:tcPr>
            <w:tcW w:w="9848" w:type="dxa"/>
          </w:tcPr>
          <w:p w14:paraId="036035D3" w14:textId="77777777" w:rsidR="00711444" w:rsidRPr="004D0DAA" w:rsidRDefault="00711444" w:rsidP="00AA2A4C">
            <w:pPr>
              <w:pStyle w:val="TAL"/>
              <w:rPr>
                <w:lang w:val="fr-FR" w:eastAsia="en-US"/>
              </w:rPr>
            </w:pPr>
            <w:r w:rsidRPr="004D0DAA">
              <w:rPr>
                <w:lang w:val="fr-FR" w:eastAsia="en-US"/>
              </w:rPr>
              <w:t>&lt; Iu mode Channel Request Description IE &gt; ::=</w:t>
            </w:r>
          </w:p>
          <w:p w14:paraId="1CFD9155"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RB Id</w:t>
            </w:r>
            <w:r w:rsidRPr="004D0DAA">
              <w:rPr>
                <w:lang w:eastAsia="en-US"/>
              </w:rPr>
              <w:t xml:space="preserve"> : bit (5) &gt;</w:t>
            </w:r>
          </w:p>
          <w:p w14:paraId="46BD2DC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RADIO_PRIORITY </w:t>
            </w:r>
            <w:r w:rsidRPr="004D0DAA">
              <w:rPr>
                <w:lang w:eastAsia="en-US"/>
              </w:rPr>
              <w:t>: bit (2) &gt;</w:t>
            </w:r>
          </w:p>
          <w:p w14:paraId="6291816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RLC_BLOCK_COUNT </w:t>
            </w:r>
            <w:r w:rsidRPr="004D0DAA">
              <w:rPr>
                <w:lang w:eastAsia="en-US"/>
              </w:rPr>
              <w:t>: bit (8) &gt; }</w:t>
            </w:r>
          </w:p>
          <w:p w14:paraId="031E5E62" w14:textId="77777777" w:rsidR="00711444" w:rsidRPr="004D0DAA" w:rsidRDefault="00711444" w:rsidP="00AA2A4C">
            <w:pPr>
              <w:pStyle w:val="TAL"/>
              <w:rPr>
                <w:lang w:eastAsia="en-US"/>
              </w:rPr>
            </w:pPr>
            <w:r w:rsidRPr="004D0DAA">
              <w:rPr>
                <w:lang w:eastAsia="en-US"/>
              </w:rPr>
              <w:tab/>
              <w:t>{ 0 | 1 &lt; Iu mode Channel Request Description IE &gt; } ;</w:t>
            </w:r>
            <w:r w:rsidRPr="004D0DAA">
              <w:rPr>
                <w:lang w:eastAsia="en-US"/>
              </w:rPr>
              <w:tab/>
              <w:t xml:space="preserve">-- </w:t>
            </w:r>
            <w:r w:rsidRPr="004D0DAA">
              <w:rPr>
                <w:i/>
                <w:iCs/>
                <w:lang w:eastAsia="en-US"/>
              </w:rPr>
              <w:t xml:space="preserve">IE to be repeated only when </w:t>
            </w:r>
            <w:r w:rsidRPr="004D0DAA">
              <w:rPr>
                <w:i/>
                <w:iCs/>
                <w:lang w:eastAsia="en-US"/>
              </w:rPr>
              <w:br/>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in a Multiple TBF request message</w:t>
            </w:r>
          </w:p>
        </w:tc>
      </w:tr>
    </w:tbl>
    <w:p w14:paraId="040120CF" w14:textId="77777777" w:rsidR="00711444" w:rsidRPr="004D0DAA" w:rsidRDefault="00711444" w:rsidP="00711444"/>
    <w:p w14:paraId="3A5449C4" w14:textId="77777777" w:rsidR="00711444" w:rsidRPr="004D0DAA" w:rsidRDefault="00711444" w:rsidP="00711444">
      <w:pPr>
        <w:pStyle w:val="TH"/>
        <w:rPr>
          <w:lang w:val="fr-FR"/>
        </w:rPr>
      </w:pPr>
      <w:r w:rsidRPr="004D0DAA">
        <w:rPr>
          <w:lang w:val="fr-FR"/>
        </w:rPr>
        <w:t xml:space="preserve">Table 12.7a.2: </w:t>
      </w:r>
      <w:r w:rsidRPr="004D0DAA">
        <w:rPr>
          <w:i/>
          <w:iCs/>
          <w:lang w:val="fr-FR"/>
        </w:rPr>
        <w:t>Iu mode</w:t>
      </w:r>
      <w:r w:rsidRPr="004D0DAA">
        <w:rPr>
          <w:lang w:val="fr-FR"/>
        </w:rPr>
        <w:t xml:space="preserve"> </w:t>
      </w:r>
      <w:r w:rsidRPr="004D0DAA">
        <w:rPr>
          <w:i/>
          <w:lang w:val="fr-FR"/>
        </w:rPr>
        <w:t>Channel Request Description</w:t>
      </w:r>
      <w:r w:rsidRPr="004D0DAA">
        <w:rPr>
          <w:lang w:val="fr-FR"/>
        </w:rPr>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15EC6A2" w14:textId="77777777" w:rsidTr="00AA2A4C">
        <w:tblPrEx>
          <w:tblCellMar>
            <w:top w:w="0" w:type="dxa"/>
            <w:bottom w:w="0" w:type="dxa"/>
          </w:tblCellMar>
        </w:tblPrEx>
        <w:trPr>
          <w:cantSplit/>
        </w:trPr>
        <w:tc>
          <w:tcPr>
            <w:tcW w:w="9848" w:type="dxa"/>
          </w:tcPr>
          <w:p w14:paraId="4E9EB041" w14:textId="77777777" w:rsidR="00711444" w:rsidRPr="004D0DAA" w:rsidRDefault="00711444" w:rsidP="00AA2A4C">
            <w:pPr>
              <w:keepLines/>
            </w:pPr>
            <w:r w:rsidRPr="004D0DAA">
              <w:rPr>
                <w:b/>
              </w:rPr>
              <w:t>RB Id</w:t>
            </w:r>
            <w:r w:rsidRPr="004D0DAA">
              <w:t xml:space="preserve"> (5 bit field)</w:t>
            </w:r>
            <w:r w:rsidRPr="004D0DAA">
              <w:br/>
              <w:t xml:space="preserve">This field indicates the radio bearer identity of the upper layer PDU that caused the Iu mode Channel Request Description IE to be transmitted. </w:t>
            </w:r>
          </w:p>
          <w:p w14:paraId="38DC9577" w14:textId="77777777" w:rsidR="00711444" w:rsidRPr="004D0DAA" w:rsidRDefault="00711444" w:rsidP="00AA2A4C">
            <w:pPr>
              <w:keepLines/>
              <w:rPr>
                <w:b/>
              </w:rPr>
            </w:pPr>
            <w:r w:rsidRPr="004D0DAA">
              <w:t>Range: 0 to 31</w:t>
            </w:r>
          </w:p>
        </w:tc>
      </w:tr>
      <w:tr w:rsidR="00711444" w:rsidRPr="004D0DAA" w14:paraId="39A916C9" w14:textId="77777777" w:rsidTr="00AA2A4C">
        <w:tblPrEx>
          <w:tblCellMar>
            <w:top w:w="0" w:type="dxa"/>
            <w:bottom w:w="0" w:type="dxa"/>
          </w:tblCellMar>
        </w:tblPrEx>
        <w:trPr>
          <w:cantSplit/>
        </w:trPr>
        <w:tc>
          <w:tcPr>
            <w:tcW w:w="9848" w:type="dxa"/>
          </w:tcPr>
          <w:p w14:paraId="2BF6E482" w14:textId="77777777" w:rsidR="00711444" w:rsidRPr="004D0DAA" w:rsidRDefault="00711444" w:rsidP="00AA2A4C">
            <w:pPr>
              <w:keepLines/>
              <w:rPr>
                <w:b/>
              </w:rPr>
            </w:pPr>
            <w:r w:rsidRPr="004D0DAA">
              <w:rPr>
                <w:b/>
              </w:rPr>
              <w:t>RADIO_PRIORITY</w:t>
            </w:r>
            <w:r w:rsidRPr="004D0DAA">
              <w:t xml:space="preserve"> (2 bit field)</w:t>
            </w:r>
            <w:r w:rsidRPr="004D0DAA">
              <w:br/>
              <w:t>This field indicates the Radio Priority of the requested TBF. The field is encoded as the Radio Priority field of the Packet Channel Request (see sub-clause 11.2.5).</w:t>
            </w:r>
          </w:p>
        </w:tc>
      </w:tr>
      <w:tr w:rsidR="00711444" w:rsidRPr="004D0DAA" w14:paraId="376648B9" w14:textId="77777777" w:rsidTr="00AA2A4C">
        <w:tblPrEx>
          <w:tblCellMar>
            <w:top w:w="0" w:type="dxa"/>
            <w:bottom w:w="0" w:type="dxa"/>
          </w:tblCellMar>
        </w:tblPrEx>
        <w:trPr>
          <w:cantSplit/>
        </w:trPr>
        <w:tc>
          <w:tcPr>
            <w:tcW w:w="9848" w:type="dxa"/>
          </w:tcPr>
          <w:p w14:paraId="26DBEDE8" w14:textId="77777777" w:rsidR="00711444" w:rsidRPr="004D0DAA" w:rsidRDefault="00711444" w:rsidP="00AA2A4C">
            <w:pPr>
              <w:keepLines/>
            </w:pPr>
            <w:r w:rsidRPr="004D0DAA">
              <w:rPr>
                <w:b/>
              </w:rPr>
              <w:t>RLC_BLOCK_COUNT</w:t>
            </w:r>
            <w:r w:rsidRPr="004D0DAA">
              <w:t xml:space="preserve"> (8 bit field)</w:t>
            </w:r>
            <w:r w:rsidRPr="004D0DAA">
              <w:br/>
              <w:t xml:space="preserve"> If present, the RLC_BLOCK_COUNT field indicates the number of RLC data blocks that the mobile station wishes to transfer (assuming a CS-1 coding).</w:t>
            </w:r>
          </w:p>
          <w:p w14:paraId="5E42A702" w14:textId="77777777" w:rsidR="00711444" w:rsidRPr="004D0DAA" w:rsidRDefault="00711444" w:rsidP="00AA2A4C">
            <w:r w:rsidRPr="004D0DAA">
              <w:t>This field is encoded as a binary number as shown:</w:t>
            </w:r>
          </w:p>
          <w:p w14:paraId="3E0DEDBD" w14:textId="77777777" w:rsidR="00711444" w:rsidRPr="004D0DAA" w:rsidRDefault="00711444" w:rsidP="00AA2A4C">
            <w:pPr>
              <w:keepLines/>
              <w:tabs>
                <w:tab w:val="left" w:pos="1560"/>
              </w:tabs>
            </w:pPr>
            <w:r w:rsidRPr="004D0DAA">
              <w:t>bit</w:t>
            </w:r>
            <w:r w:rsidRPr="004D0DAA">
              <w:br/>
              <w:t>8 7 6 5 4 3 2 1</w:t>
            </w:r>
            <w:r w:rsidRPr="004D0DAA">
              <w:br/>
              <w:t>0 0 0 0 0 0 0 0</w:t>
            </w:r>
            <w:r w:rsidRPr="004D0DAA">
              <w:tab/>
              <w:t>9 RLC data blocks</w:t>
            </w:r>
            <w:r w:rsidRPr="004D0DAA">
              <w:br/>
              <w:t>0 0 0 0 0 0 0 1</w:t>
            </w:r>
            <w:r w:rsidRPr="004D0DAA">
              <w:tab/>
              <w:t>10 RLC data blocks</w:t>
            </w:r>
            <w:r w:rsidRPr="004D0DAA">
              <w:br/>
              <w:t>. . .</w:t>
            </w:r>
            <w:r w:rsidRPr="004D0DAA">
              <w:br/>
              <w:t>1 1 1 1 1 1 1 1</w:t>
            </w:r>
            <w:r w:rsidRPr="004D0DAA">
              <w:tab/>
              <w:t>264 RLC data blocks</w:t>
            </w:r>
          </w:p>
        </w:tc>
      </w:tr>
    </w:tbl>
    <w:p w14:paraId="6A00AB9C" w14:textId="77777777" w:rsidR="00711444" w:rsidRPr="004D0DAA" w:rsidRDefault="00711444" w:rsidP="00711444"/>
    <w:p w14:paraId="36C467AC" w14:textId="77777777" w:rsidR="00711444" w:rsidRPr="004D0DAA" w:rsidRDefault="00711444" w:rsidP="00711444">
      <w:pPr>
        <w:pStyle w:val="Heading2"/>
      </w:pPr>
      <w:bookmarkStart w:id="773" w:name="_Toc516669949"/>
      <w:r w:rsidRPr="004D0DAA">
        <w:lastRenderedPageBreak/>
        <w:t>12.7b</w:t>
      </w:r>
      <w:r w:rsidRPr="004D0DAA">
        <w:tab/>
      </w:r>
      <w:r w:rsidRPr="004D0DAA">
        <w:tab/>
      </w:r>
      <w:r w:rsidRPr="004D0DAA">
        <w:rPr>
          <w:bCs/>
        </w:rPr>
        <w:t>Extended</w:t>
      </w:r>
      <w:r w:rsidRPr="004D0DAA">
        <w:t xml:space="preserve"> Channel Request Description</w:t>
      </w:r>
      <w:bookmarkEnd w:id="773"/>
    </w:p>
    <w:p w14:paraId="27CA0FD2" w14:textId="77777777" w:rsidR="00711444" w:rsidRPr="004D0DAA" w:rsidRDefault="00711444" w:rsidP="00711444">
      <w:pPr>
        <w:keepNext/>
        <w:keepLines/>
      </w:pPr>
      <w:r w:rsidRPr="004D0DAA">
        <w:t xml:space="preserve">The </w:t>
      </w:r>
      <w:r w:rsidRPr="004D0DAA">
        <w:rPr>
          <w:bCs/>
          <w:i/>
        </w:rPr>
        <w:t>Extended</w:t>
      </w:r>
      <w:r w:rsidRPr="004D0DAA">
        <w:rPr>
          <w:i/>
          <w:iCs/>
        </w:rPr>
        <w:t xml:space="preserve"> Channel Request Description</w:t>
      </w:r>
      <w:r w:rsidRPr="004D0DAA">
        <w:t xml:space="preserve"> information element is sent by the mobile station to the network to request multiple uplink resources.</w:t>
      </w:r>
    </w:p>
    <w:p w14:paraId="0DCDB911" w14:textId="77777777" w:rsidR="00711444" w:rsidRPr="004D0DAA" w:rsidRDefault="00711444" w:rsidP="00711444">
      <w:pPr>
        <w:pStyle w:val="TH"/>
      </w:pPr>
      <w:r w:rsidRPr="004D0DAA">
        <w:t xml:space="preserve">Table 12.7b.1: </w:t>
      </w:r>
      <w:r w:rsidRPr="004D0DAA">
        <w:rPr>
          <w:bCs/>
          <w:i/>
        </w:rPr>
        <w:t>Extended</w:t>
      </w:r>
      <w:r w:rsidRPr="004D0DAA">
        <w:rPr>
          <w:i/>
        </w:rPr>
        <w:t xml:space="preserve"> Channel Request Description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39717B3" w14:textId="77777777" w:rsidTr="00AA2A4C">
        <w:tblPrEx>
          <w:tblCellMar>
            <w:top w:w="0" w:type="dxa"/>
            <w:bottom w:w="0" w:type="dxa"/>
          </w:tblCellMar>
        </w:tblPrEx>
        <w:trPr>
          <w:cantSplit/>
        </w:trPr>
        <w:tc>
          <w:tcPr>
            <w:tcW w:w="9848" w:type="dxa"/>
          </w:tcPr>
          <w:p w14:paraId="2841897C" w14:textId="77777777" w:rsidR="00711444" w:rsidRPr="004D0DAA" w:rsidRDefault="00711444" w:rsidP="00AA2A4C">
            <w:pPr>
              <w:pStyle w:val="TAL"/>
              <w:rPr>
                <w:lang w:eastAsia="en-US"/>
              </w:rPr>
            </w:pPr>
            <w:r w:rsidRPr="004D0DAA">
              <w:rPr>
                <w:lang w:eastAsia="en-US"/>
              </w:rPr>
              <w:t xml:space="preserve">&lt; </w:t>
            </w:r>
            <w:r w:rsidRPr="004D0DAA">
              <w:rPr>
                <w:bCs/>
                <w:lang w:eastAsia="en-US"/>
              </w:rPr>
              <w:t>Extended</w:t>
            </w:r>
            <w:r w:rsidRPr="004D0DAA">
              <w:rPr>
                <w:lang w:eastAsia="en-US"/>
              </w:rPr>
              <w:t xml:space="preserve"> Channel Request Description IE &gt; ::=</w:t>
            </w:r>
          </w:p>
          <w:p w14:paraId="7544186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PFI</w:t>
            </w:r>
            <w:r w:rsidRPr="004D0DAA">
              <w:rPr>
                <w:lang w:eastAsia="en-US"/>
              </w:rPr>
              <w:t xml:space="preserve"> : bit (7) &gt;</w:t>
            </w:r>
          </w:p>
          <w:p w14:paraId="50686C9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RADIO_PRIORITY </w:t>
            </w:r>
            <w:r w:rsidRPr="004D0DAA">
              <w:rPr>
                <w:lang w:eastAsia="en-US"/>
              </w:rPr>
              <w:t>: bit (2) &gt;</w:t>
            </w:r>
          </w:p>
          <w:p w14:paraId="511B134E"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RLC_MODE</w:t>
            </w:r>
            <w:r w:rsidRPr="004D0DAA">
              <w:rPr>
                <w:lang w:val="fr-FR" w:eastAsia="en-US"/>
              </w:rPr>
              <w:t xml:space="preserve"> : bit (1) &gt;</w:t>
            </w:r>
          </w:p>
          <w:p w14:paraId="16C07C7E" w14:textId="77777777" w:rsidR="00711444" w:rsidRPr="004D0DAA" w:rsidRDefault="00711444" w:rsidP="00AA2A4C">
            <w:pPr>
              <w:pStyle w:val="TAL"/>
              <w:rPr>
                <w:lang w:val="fr-FR" w:eastAsia="en-US"/>
              </w:rPr>
            </w:pPr>
            <w:r w:rsidRPr="004D0DAA">
              <w:rPr>
                <w:lang w:val="fr-FR" w:eastAsia="en-US"/>
              </w:rPr>
              <w:tab/>
              <w:t xml:space="preserve">{ 0 | 1 &lt; </w:t>
            </w:r>
            <w:r w:rsidRPr="004D0DAA">
              <w:rPr>
                <w:b/>
                <w:lang w:val="fr-FR" w:eastAsia="en-US"/>
              </w:rPr>
              <w:t>LLC_ PDU_TYPE</w:t>
            </w:r>
            <w:r w:rsidRPr="004D0DAA">
              <w:rPr>
                <w:lang w:val="fr-FR" w:eastAsia="en-US"/>
              </w:rPr>
              <w:t xml:space="preserve"> : bit (1) &gt; }</w:t>
            </w:r>
          </w:p>
          <w:p w14:paraId="7174A97D"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Cs/>
                <w:lang w:eastAsia="en-US"/>
              </w:rPr>
              <w:t>Extended</w:t>
            </w:r>
            <w:r w:rsidRPr="004D0DAA">
              <w:rPr>
                <w:lang w:eastAsia="en-US"/>
              </w:rPr>
              <w:t xml:space="preserve"> Channel Request Description IE &gt; } ;</w:t>
            </w:r>
            <w:r w:rsidRPr="004D0DAA">
              <w:rPr>
                <w:lang w:eastAsia="en-US"/>
              </w:rPr>
              <w:tab/>
              <w:t xml:space="preserve">-- </w:t>
            </w:r>
            <w:r w:rsidRPr="004D0DAA">
              <w:rPr>
                <w:i/>
                <w:iCs/>
                <w:lang w:eastAsia="en-US"/>
              </w:rPr>
              <w:t xml:space="preserve">IE to be repeated only when needed and </w:t>
            </w:r>
            <w:r w:rsidRPr="004D0DAA">
              <w:rPr>
                <w:i/>
                <w:iCs/>
                <w:lang w:eastAsia="en-US"/>
              </w:rPr>
              <w:br/>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
                <w:iCs/>
                <w:lang w:eastAsia="en-US"/>
              </w:rPr>
              <w:tab/>
            </w:r>
            <w:r w:rsidRPr="004D0DAA">
              <w:rPr>
                <w:iCs/>
                <w:lang w:eastAsia="en-US"/>
              </w:rPr>
              <w:t xml:space="preserve">-- </w:t>
            </w:r>
            <w:r w:rsidRPr="004D0DAA">
              <w:rPr>
                <w:i/>
                <w:iCs/>
                <w:lang w:eastAsia="en-US"/>
              </w:rPr>
              <w:t>when included in a Multiple TBF request message</w:t>
            </w:r>
          </w:p>
        </w:tc>
      </w:tr>
    </w:tbl>
    <w:p w14:paraId="7674E818" w14:textId="77777777" w:rsidR="00711444" w:rsidRPr="004D0DAA" w:rsidRDefault="00711444" w:rsidP="00711444">
      <w:pPr>
        <w:pStyle w:val="B1"/>
      </w:pPr>
    </w:p>
    <w:p w14:paraId="7DF8D827" w14:textId="77777777" w:rsidR="00711444" w:rsidRPr="004D0DAA" w:rsidRDefault="00711444" w:rsidP="00711444">
      <w:pPr>
        <w:pStyle w:val="TH"/>
      </w:pPr>
      <w:r w:rsidRPr="004D0DAA">
        <w:t xml:space="preserve">Table 12.7b.2: </w:t>
      </w:r>
      <w:r w:rsidRPr="004D0DAA">
        <w:rPr>
          <w:bCs/>
          <w:i/>
        </w:rPr>
        <w:t>Extended</w:t>
      </w:r>
      <w:r w:rsidRPr="004D0DAA">
        <w:rPr>
          <w:i/>
        </w:rPr>
        <w:t xml:space="preserve"> Channel Request Description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236BCC9" w14:textId="77777777" w:rsidTr="00AA2A4C">
        <w:tblPrEx>
          <w:tblCellMar>
            <w:top w:w="0" w:type="dxa"/>
            <w:bottom w:w="0" w:type="dxa"/>
          </w:tblCellMar>
        </w:tblPrEx>
        <w:trPr>
          <w:cantSplit/>
        </w:trPr>
        <w:tc>
          <w:tcPr>
            <w:tcW w:w="9848" w:type="dxa"/>
          </w:tcPr>
          <w:p w14:paraId="4E893EB0" w14:textId="77777777" w:rsidR="00711444" w:rsidRPr="004D0DAA" w:rsidRDefault="00711444" w:rsidP="00AA2A4C">
            <w:r w:rsidRPr="004D0DAA">
              <w:rPr>
                <w:b/>
              </w:rPr>
              <w:t>PFI</w:t>
            </w:r>
            <w:r w:rsidRPr="004D0DAA">
              <w:t xml:space="preserve"> (7 bit field)</w:t>
            </w:r>
            <w:r w:rsidRPr="004D0DAA">
              <w:br/>
              <w:t>This field contains the PFI parameter identifying a Packet Flow Context. The PFI parameter is encoded as the contents of the PFI information element as defined in 3GPP TS 44.018.</w:t>
            </w:r>
          </w:p>
        </w:tc>
      </w:tr>
      <w:tr w:rsidR="00711444" w:rsidRPr="004D0DAA" w14:paraId="3BDF7F7F" w14:textId="77777777" w:rsidTr="00AA2A4C">
        <w:tblPrEx>
          <w:tblCellMar>
            <w:top w:w="0" w:type="dxa"/>
            <w:bottom w:w="0" w:type="dxa"/>
          </w:tblCellMar>
        </w:tblPrEx>
        <w:trPr>
          <w:cantSplit/>
        </w:trPr>
        <w:tc>
          <w:tcPr>
            <w:tcW w:w="9848" w:type="dxa"/>
          </w:tcPr>
          <w:p w14:paraId="08F50C24" w14:textId="77777777" w:rsidR="00711444" w:rsidRPr="004D0DAA" w:rsidRDefault="00711444" w:rsidP="00AA2A4C">
            <w:pPr>
              <w:keepLines/>
              <w:rPr>
                <w:b/>
              </w:rPr>
            </w:pPr>
            <w:r w:rsidRPr="004D0DAA">
              <w:rPr>
                <w:b/>
              </w:rPr>
              <w:t>RADIO_PRIORITY</w:t>
            </w:r>
            <w:r w:rsidRPr="004D0DAA">
              <w:t xml:space="preserve"> (2 bit field)</w:t>
            </w:r>
            <w:r w:rsidRPr="004D0DAA">
              <w:br/>
              <w:t>This field indicates the Radio Priority of the requested TBF. The field is encoded as the Radio Priority field of the Packet Channel Request (see sub-clause 11.2.5).</w:t>
            </w:r>
          </w:p>
        </w:tc>
      </w:tr>
      <w:tr w:rsidR="00711444" w:rsidRPr="004D0DAA" w14:paraId="5FD04B39" w14:textId="77777777" w:rsidTr="00AA2A4C">
        <w:tblPrEx>
          <w:tblCellMar>
            <w:top w:w="0" w:type="dxa"/>
            <w:bottom w:w="0" w:type="dxa"/>
          </w:tblCellMar>
        </w:tblPrEx>
        <w:trPr>
          <w:cantSplit/>
        </w:trPr>
        <w:tc>
          <w:tcPr>
            <w:tcW w:w="9848" w:type="dxa"/>
          </w:tcPr>
          <w:p w14:paraId="082B0160" w14:textId="77777777" w:rsidR="00711444" w:rsidRPr="004D0DAA" w:rsidRDefault="00711444" w:rsidP="00AA2A4C">
            <w:pPr>
              <w:keepNext/>
              <w:keepLines/>
            </w:pPr>
            <w:r w:rsidRPr="004D0DAA">
              <w:rPr>
                <w:b/>
              </w:rPr>
              <w:t xml:space="preserve">RLC_MODE </w:t>
            </w:r>
            <w:r w:rsidRPr="004D0DAA">
              <w:t>(1 bit field)</w:t>
            </w:r>
            <w:r w:rsidRPr="004D0DAA">
              <w:br/>
              <w:t>This field indicates the RLC mode of the requested TBF.</w:t>
            </w:r>
          </w:p>
          <w:p w14:paraId="74E066AF" w14:textId="77777777" w:rsidR="00711444" w:rsidRPr="004D0DAA" w:rsidRDefault="00711444" w:rsidP="00AA2A4C">
            <w:pPr>
              <w:keepLines/>
              <w:rPr>
                <w:b/>
              </w:rPr>
            </w:pPr>
            <w:r w:rsidRPr="004D0DAA">
              <w:t>0</w:t>
            </w:r>
            <w:r w:rsidRPr="004D0DAA">
              <w:tab/>
              <w:t>RLC acknowledged mode</w:t>
            </w:r>
            <w:r w:rsidRPr="004D0DAA">
              <w:br/>
              <w:t>1</w:t>
            </w:r>
            <w:r w:rsidRPr="004D0DAA">
              <w:tab/>
              <w:t>RLC unacknowledged mode</w:t>
            </w:r>
          </w:p>
        </w:tc>
      </w:tr>
      <w:tr w:rsidR="00711444" w:rsidRPr="004D0DAA" w14:paraId="7053EDB4" w14:textId="77777777" w:rsidTr="00AA2A4C">
        <w:tblPrEx>
          <w:tblCellMar>
            <w:top w:w="0" w:type="dxa"/>
            <w:bottom w:w="0" w:type="dxa"/>
          </w:tblCellMar>
        </w:tblPrEx>
        <w:trPr>
          <w:cantSplit/>
        </w:trPr>
        <w:tc>
          <w:tcPr>
            <w:tcW w:w="9848" w:type="dxa"/>
          </w:tcPr>
          <w:p w14:paraId="54E2A917" w14:textId="77777777" w:rsidR="00711444" w:rsidRPr="004D0DAA" w:rsidRDefault="00711444" w:rsidP="00AA2A4C">
            <w:pPr>
              <w:keepNext/>
              <w:keepLines/>
            </w:pPr>
            <w:r w:rsidRPr="004D0DAA">
              <w:rPr>
                <w:b/>
              </w:rPr>
              <w:t xml:space="preserve">LLC_ PDU_TYPE </w:t>
            </w:r>
            <w:r w:rsidRPr="004D0DAA">
              <w:t>(1 bit field)</w:t>
            </w:r>
            <w:r w:rsidRPr="004D0DAA">
              <w:br/>
              <w:t>This field indicates the type of the first LLC PDU to be transmitted over the requested uplink TBF. If the TBF request is not for an LLC PDU then this field shall be omitted.</w:t>
            </w:r>
          </w:p>
          <w:p w14:paraId="167DB9F7" w14:textId="77777777" w:rsidR="00711444" w:rsidRPr="004D0DAA" w:rsidRDefault="00711444" w:rsidP="00AA2A4C">
            <w:pPr>
              <w:keepLines/>
              <w:rPr>
                <w:b/>
              </w:rPr>
            </w:pPr>
            <w:r w:rsidRPr="004D0DAA">
              <w:t>0</w:t>
            </w:r>
            <w:r w:rsidRPr="004D0DAA">
              <w:tab/>
              <w:t>LLC PDU is SACK or ACK</w:t>
            </w:r>
            <w:r w:rsidRPr="004D0DAA">
              <w:br/>
              <w:t>1</w:t>
            </w:r>
            <w:r w:rsidRPr="004D0DAA">
              <w:tab/>
              <w:t>LLC PDU is not SACK or ACK</w:t>
            </w:r>
          </w:p>
        </w:tc>
      </w:tr>
    </w:tbl>
    <w:p w14:paraId="5ED2FC56" w14:textId="77777777" w:rsidR="00711444" w:rsidRPr="004D0DAA" w:rsidRDefault="00711444" w:rsidP="00711444">
      <w:pPr>
        <w:pStyle w:val="B1"/>
      </w:pPr>
    </w:p>
    <w:p w14:paraId="5F276973" w14:textId="77777777" w:rsidR="00711444" w:rsidRPr="004D0DAA" w:rsidRDefault="00711444" w:rsidP="00711444">
      <w:pPr>
        <w:pStyle w:val="Heading2"/>
      </w:pPr>
      <w:bookmarkStart w:id="774" w:name="_Toc516669950"/>
      <w:r w:rsidRPr="004D0DAA">
        <w:t>12.8</w:t>
      </w:r>
      <w:r w:rsidRPr="004D0DAA">
        <w:tab/>
        <w:t>Frequency Parameters</w:t>
      </w:r>
      <w:bookmarkEnd w:id="774"/>
    </w:p>
    <w:p w14:paraId="06054470" w14:textId="77777777" w:rsidR="00711444" w:rsidRPr="004D0DAA" w:rsidRDefault="00711444" w:rsidP="00711444">
      <w:pPr>
        <w:keepNext/>
        <w:keepLines/>
      </w:pPr>
      <w:r w:rsidRPr="004D0DAA">
        <w:t>The Frequency Parameters information element defines frequency parameters and a training sequence code (TSC), which may be allocated to a mobile station to define its channel configuration. All timeslots in the channel configuration of the mobile station shall use the same frequency parameters and training sequence code.</w:t>
      </w:r>
    </w:p>
    <w:p w14:paraId="131F2022" w14:textId="77777777" w:rsidR="00711444" w:rsidRPr="004D0DAA" w:rsidRDefault="00711444" w:rsidP="00711444">
      <w:pPr>
        <w:pStyle w:val="NO"/>
      </w:pPr>
      <w:r w:rsidRPr="004D0DAA">
        <w:t>NOTE:</w:t>
      </w:r>
      <w:r w:rsidRPr="004D0DAA">
        <w:tab/>
        <w:t>For COMPACT, for PDTCH/PACCH on primary and secondary carriers that are indicated in EXT_FREQUENCY_LIST by parameter INT_FREQUENCY (see 3GPP TS 45.008), the TSCs should be equal to the BCC, as defined in 3GPP TS 23.003, otherwise the accuracy of interference measurement reporting may be compromised.</w:t>
      </w:r>
    </w:p>
    <w:p w14:paraId="2C20689B" w14:textId="77777777" w:rsidR="00711444" w:rsidRPr="004D0DAA" w:rsidRDefault="00711444" w:rsidP="00711444">
      <w:pPr>
        <w:keepLines/>
      </w:pPr>
      <w:r w:rsidRPr="004D0DAA">
        <w:t>The frequency parameters may consist of an ARFCN, defining a non-hopping radio frequency channel. The indirect encoding, the direct encoding 1 and the direct encoding 2 defines a hopping radio frequency channel.</w:t>
      </w:r>
    </w:p>
    <w:p w14:paraId="7259DB3F" w14:textId="77777777" w:rsidR="00711444" w:rsidRPr="004D0DAA" w:rsidRDefault="00711444" w:rsidP="00711444">
      <w:pPr>
        <w:pStyle w:val="TH"/>
      </w:pPr>
      <w:r w:rsidRPr="004D0DAA">
        <w:lastRenderedPageBreak/>
        <w:t xml:space="preserve">Table 12.8.1: </w:t>
      </w:r>
      <w:r w:rsidRPr="004D0DAA">
        <w:rPr>
          <w:i/>
        </w:rPr>
        <w:t>Frequency Parameters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7B945F6" w14:textId="77777777" w:rsidTr="00AA2A4C">
        <w:tblPrEx>
          <w:tblCellMar>
            <w:top w:w="0" w:type="dxa"/>
            <w:bottom w:w="0" w:type="dxa"/>
          </w:tblCellMar>
        </w:tblPrEx>
        <w:trPr>
          <w:cantSplit/>
        </w:trPr>
        <w:tc>
          <w:tcPr>
            <w:tcW w:w="9848" w:type="dxa"/>
          </w:tcPr>
          <w:p w14:paraId="7C3CF106" w14:textId="77777777" w:rsidR="00711444" w:rsidRPr="004D0DAA" w:rsidRDefault="00711444" w:rsidP="00AA2A4C">
            <w:pPr>
              <w:pStyle w:val="TAL"/>
              <w:rPr>
                <w:lang w:eastAsia="en-US"/>
              </w:rPr>
            </w:pPr>
            <w:r w:rsidRPr="004D0DAA">
              <w:rPr>
                <w:lang w:eastAsia="en-US"/>
              </w:rPr>
              <w:t>&lt; Frequency Parameters IE &gt; ::=</w:t>
            </w:r>
          </w:p>
          <w:p w14:paraId="48F77E2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59B035B9" w14:textId="77777777" w:rsidR="00711444" w:rsidRPr="004D0DAA" w:rsidRDefault="00711444" w:rsidP="00AA2A4C">
            <w:pPr>
              <w:pStyle w:val="TAL"/>
              <w:rPr>
                <w:lang w:eastAsia="en-US"/>
              </w:rPr>
            </w:pPr>
            <w:r w:rsidRPr="004D0DAA">
              <w:rPr>
                <w:lang w:eastAsia="en-US"/>
              </w:rPr>
              <w:tab/>
              <w:t xml:space="preserve">{ 00 &lt; </w:t>
            </w:r>
            <w:r w:rsidRPr="004D0DAA">
              <w:rPr>
                <w:b/>
                <w:lang w:eastAsia="en-US"/>
              </w:rPr>
              <w:t>ARFCN</w:t>
            </w:r>
            <w:r w:rsidRPr="004D0DAA">
              <w:rPr>
                <w:lang w:eastAsia="en-US"/>
              </w:rPr>
              <w:t xml:space="preserve"> : bit (10) &gt;</w:t>
            </w:r>
          </w:p>
          <w:p w14:paraId="5809EEF2" w14:textId="77777777" w:rsidR="00711444" w:rsidRPr="004D0DAA" w:rsidRDefault="00711444" w:rsidP="00AA2A4C">
            <w:pPr>
              <w:pStyle w:val="TAL"/>
              <w:rPr>
                <w:lang w:eastAsia="en-US"/>
              </w:rPr>
            </w:pPr>
            <w:r w:rsidRPr="004D0DAA">
              <w:rPr>
                <w:lang w:eastAsia="en-US"/>
              </w:rPr>
              <w:tab/>
              <w:t xml:space="preserve">| 01 &lt; </w:t>
            </w:r>
            <w:r w:rsidRPr="004D0DAA">
              <w:rPr>
                <w:b/>
                <w:lang w:eastAsia="en-US"/>
              </w:rPr>
              <w:t>Indirect encoding</w:t>
            </w:r>
            <w:r w:rsidRPr="004D0DAA">
              <w:rPr>
                <w:lang w:eastAsia="en-US"/>
              </w:rPr>
              <w:t xml:space="preserve"> : &lt; Indirect encoding struct &gt; &gt;</w:t>
            </w:r>
          </w:p>
          <w:p w14:paraId="1020939B" w14:textId="77777777" w:rsidR="00711444" w:rsidRPr="004D0DAA" w:rsidRDefault="00711444" w:rsidP="00AA2A4C">
            <w:pPr>
              <w:pStyle w:val="TAL"/>
              <w:rPr>
                <w:lang w:eastAsia="en-US"/>
              </w:rPr>
            </w:pPr>
            <w:r w:rsidRPr="004D0DAA">
              <w:rPr>
                <w:lang w:eastAsia="en-US"/>
              </w:rPr>
              <w:tab/>
              <w:t xml:space="preserve">| 10 &lt; </w:t>
            </w:r>
            <w:r w:rsidRPr="004D0DAA">
              <w:rPr>
                <w:b/>
                <w:lang w:eastAsia="en-US"/>
              </w:rPr>
              <w:t>Direct encoding 1</w:t>
            </w:r>
            <w:r w:rsidRPr="004D0DAA">
              <w:rPr>
                <w:lang w:eastAsia="en-US"/>
              </w:rPr>
              <w:t xml:space="preserve"> : &lt; Direct encoding 1 struct &gt; &gt;</w:t>
            </w:r>
          </w:p>
          <w:p w14:paraId="4CCB650B" w14:textId="77777777" w:rsidR="00711444" w:rsidRPr="004D0DAA" w:rsidRDefault="00711444" w:rsidP="00AA2A4C">
            <w:pPr>
              <w:pStyle w:val="TAL"/>
              <w:rPr>
                <w:lang w:eastAsia="en-US"/>
              </w:rPr>
            </w:pPr>
            <w:r w:rsidRPr="004D0DAA">
              <w:rPr>
                <w:lang w:eastAsia="en-US"/>
              </w:rPr>
              <w:tab/>
              <w:t xml:space="preserve">| 11 &lt; </w:t>
            </w:r>
            <w:r w:rsidRPr="004D0DAA">
              <w:rPr>
                <w:b/>
                <w:lang w:eastAsia="en-US"/>
              </w:rPr>
              <w:t>Direct encoding 2</w:t>
            </w:r>
            <w:r w:rsidRPr="004D0DAA">
              <w:rPr>
                <w:lang w:eastAsia="en-US"/>
              </w:rPr>
              <w:t xml:space="preserve"> : &lt; Direct encoding 2 struct &gt; &gt; } ;</w:t>
            </w:r>
          </w:p>
          <w:p w14:paraId="31F038A1" w14:textId="77777777" w:rsidR="00711444" w:rsidRPr="004D0DAA" w:rsidRDefault="00711444" w:rsidP="00AA2A4C">
            <w:pPr>
              <w:pStyle w:val="TAL"/>
              <w:rPr>
                <w:lang w:eastAsia="en-US"/>
              </w:rPr>
            </w:pPr>
          </w:p>
        </w:tc>
      </w:tr>
      <w:tr w:rsidR="00711444" w:rsidRPr="004D0DAA" w14:paraId="497445DB" w14:textId="77777777" w:rsidTr="00AA2A4C">
        <w:tblPrEx>
          <w:tblCellMar>
            <w:top w:w="0" w:type="dxa"/>
            <w:bottom w:w="0" w:type="dxa"/>
          </w:tblCellMar>
        </w:tblPrEx>
        <w:trPr>
          <w:cantSplit/>
        </w:trPr>
        <w:tc>
          <w:tcPr>
            <w:tcW w:w="9848" w:type="dxa"/>
          </w:tcPr>
          <w:p w14:paraId="49BDE787" w14:textId="77777777" w:rsidR="00711444" w:rsidRPr="004D0DAA" w:rsidRDefault="00711444" w:rsidP="00AA2A4C">
            <w:pPr>
              <w:pStyle w:val="TAL"/>
              <w:rPr>
                <w:lang w:eastAsia="en-US"/>
              </w:rPr>
            </w:pPr>
            <w:r w:rsidRPr="004D0DAA">
              <w:rPr>
                <w:lang w:eastAsia="en-US"/>
              </w:rPr>
              <w:t>&lt; Indirect encoding struct &gt; ::=</w:t>
            </w:r>
          </w:p>
          <w:p w14:paraId="1567F4D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MAIO</w:t>
            </w:r>
            <w:r w:rsidRPr="004D0DAA">
              <w:rPr>
                <w:lang w:eastAsia="en-US"/>
              </w:rPr>
              <w:t xml:space="preserve"> : bit (6) &gt;</w:t>
            </w:r>
          </w:p>
          <w:p w14:paraId="5029C5C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MA_NUMBER</w:t>
            </w:r>
            <w:r w:rsidRPr="004D0DAA">
              <w:rPr>
                <w:lang w:eastAsia="en-US"/>
              </w:rPr>
              <w:t xml:space="preserve"> : bit (4) &gt;</w:t>
            </w:r>
          </w:p>
          <w:p w14:paraId="6D95816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CHANGE_MARK_1</w:t>
            </w:r>
            <w:r w:rsidRPr="004D0DAA">
              <w:rPr>
                <w:lang w:eastAsia="en-US"/>
              </w:rPr>
              <w:t xml:space="preserve"> : bit (2) &gt;</w:t>
            </w:r>
          </w:p>
          <w:p w14:paraId="1B91BD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CHANGE_MARK_2</w:t>
            </w:r>
            <w:r w:rsidRPr="004D0DAA">
              <w:rPr>
                <w:lang w:eastAsia="en-US"/>
              </w:rPr>
              <w:t xml:space="preserve"> : bit (2) &gt; } } ;</w:t>
            </w:r>
          </w:p>
          <w:p w14:paraId="4114790A" w14:textId="77777777" w:rsidR="00711444" w:rsidRPr="004D0DAA" w:rsidRDefault="00711444" w:rsidP="00AA2A4C">
            <w:pPr>
              <w:pStyle w:val="TAL"/>
              <w:rPr>
                <w:lang w:eastAsia="en-US"/>
              </w:rPr>
            </w:pPr>
          </w:p>
        </w:tc>
      </w:tr>
      <w:tr w:rsidR="00711444" w:rsidRPr="004D0DAA" w14:paraId="50F768C9" w14:textId="77777777" w:rsidTr="00AA2A4C">
        <w:tblPrEx>
          <w:tblCellMar>
            <w:top w:w="0" w:type="dxa"/>
            <w:bottom w:w="0" w:type="dxa"/>
          </w:tblCellMar>
        </w:tblPrEx>
        <w:trPr>
          <w:cantSplit/>
        </w:trPr>
        <w:tc>
          <w:tcPr>
            <w:tcW w:w="9848" w:type="dxa"/>
          </w:tcPr>
          <w:p w14:paraId="0CA8B881" w14:textId="77777777" w:rsidR="00711444" w:rsidRPr="004D0DAA" w:rsidRDefault="00711444" w:rsidP="00AA2A4C">
            <w:pPr>
              <w:pStyle w:val="TAL"/>
              <w:rPr>
                <w:lang w:eastAsia="en-US"/>
              </w:rPr>
            </w:pPr>
            <w:r w:rsidRPr="004D0DAA">
              <w:rPr>
                <w:lang w:eastAsia="en-US"/>
              </w:rPr>
              <w:t>&lt; Direct encoding 1 struct &gt; ::=</w:t>
            </w:r>
          </w:p>
          <w:p w14:paraId="3FBAED7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MAIO</w:t>
            </w:r>
            <w:r w:rsidRPr="004D0DAA">
              <w:rPr>
                <w:lang w:eastAsia="en-US"/>
              </w:rPr>
              <w:t xml:space="preserve"> : bit (6) &gt;</w:t>
            </w:r>
          </w:p>
          <w:p w14:paraId="013444A6"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GPRS Mobile Allocation</w:t>
            </w:r>
            <w:r w:rsidRPr="004D0DAA">
              <w:rPr>
                <w:lang w:val="fr-FR" w:eastAsia="en-US"/>
              </w:rPr>
              <w:t xml:space="preserve"> : &lt; GPRS Mobile Allocation IE &gt; &gt; ;</w:t>
            </w:r>
          </w:p>
          <w:p w14:paraId="4D3A4F0C" w14:textId="77777777" w:rsidR="00711444" w:rsidRPr="004D0DAA" w:rsidRDefault="00711444" w:rsidP="00AA2A4C">
            <w:pPr>
              <w:pStyle w:val="TAL"/>
              <w:rPr>
                <w:lang w:val="fr-FR" w:eastAsia="en-US"/>
              </w:rPr>
            </w:pPr>
          </w:p>
        </w:tc>
      </w:tr>
      <w:tr w:rsidR="00711444" w:rsidRPr="004D0DAA" w14:paraId="2364933B" w14:textId="77777777" w:rsidTr="00AA2A4C">
        <w:tblPrEx>
          <w:tblCellMar>
            <w:top w:w="0" w:type="dxa"/>
            <w:bottom w:w="0" w:type="dxa"/>
          </w:tblCellMar>
        </w:tblPrEx>
        <w:trPr>
          <w:cantSplit/>
        </w:trPr>
        <w:tc>
          <w:tcPr>
            <w:tcW w:w="9848" w:type="dxa"/>
          </w:tcPr>
          <w:p w14:paraId="3E7BBBC4" w14:textId="77777777" w:rsidR="00711444" w:rsidRPr="004D0DAA" w:rsidRDefault="00711444" w:rsidP="00AA2A4C">
            <w:pPr>
              <w:pStyle w:val="TAL"/>
              <w:rPr>
                <w:lang w:eastAsia="en-US"/>
              </w:rPr>
            </w:pPr>
            <w:r w:rsidRPr="004D0DAA">
              <w:rPr>
                <w:lang w:eastAsia="en-US"/>
              </w:rPr>
              <w:t>&lt; Direct encoding 2 struct &gt; ::=</w:t>
            </w:r>
          </w:p>
          <w:p w14:paraId="2BDF126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MAIO</w:t>
            </w:r>
            <w:r w:rsidRPr="004D0DAA">
              <w:rPr>
                <w:lang w:eastAsia="en-US"/>
              </w:rPr>
              <w:t xml:space="preserve"> : bit (6) &gt;</w:t>
            </w:r>
          </w:p>
          <w:p w14:paraId="27D1450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HSN</w:t>
            </w:r>
            <w:r w:rsidRPr="004D0DAA">
              <w:rPr>
                <w:lang w:eastAsia="en-US"/>
              </w:rPr>
              <w:t xml:space="preserve"> : bit (6) &gt;</w:t>
            </w:r>
          </w:p>
          <w:p w14:paraId="2252921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Length of MA Frequency List contents</w:t>
            </w:r>
            <w:r w:rsidRPr="004D0DAA">
              <w:rPr>
                <w:lang w:eastAsia="en-US"/>
              </w:rPr>
              <w:t xml:space="preserve"> : bit (4) &gt;</w:t>
            </w:r>
          </w:p>
          <w:p w14:paraId="54BC113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 Frequency List contents</w:t>
            </w:r>
            <w:r w:rsidRPr="004D0DAA">
              <w:rPr>
                <w:lang w:eastAsia="en-US"/>
              </w:rPr>
              <w:t xml:space="preserve"> : octet (val(Length of MA Frequency List contents) + 3) &gt; ;</w:t>
            </w:r>
          </w:p>
          <w:p w14:paraId="4DED4B0A" w14:textId="77777777" w:rsidR="00711444" w:rsidRPr="004D0DAA" w:rsidRDefault="00711444" w:rsidP="00AA2A4C">
            <w:pPr>
              <w:pStyle w:val="TAL"/>
              <w:rPr>
                <w:lang w:eastAsia="en-US"/>
              </w:rPr>
            </w:pPr>
          </w:p>
        </w:tc>
      </w:tr>
    </w:tbl>
    <w:p w14:paraId="6470F4AE" w14:textId="77777777" w:rsidR="00711444" w:rsidRPr="004D0DAA" w:rsidRDefault="00711444" w:rsidP="00711444"/>
    <w:p w14:paraId="5C67A488" w14:textId="77777777" w:rsidR="00711444" w:rsidRPr="004D0DAA" w:rsidRDefault="00711444" w:rsidP="00711444">
      <w:pPr>
        <w:pStyle w:val="TH"/>
      </w:pPr>
      <w:r w:rsidRPr="004D0DAA">
        <w:t xml:space="preserve">Table 12.8.2: </w:t>
      </w:r>
      <w:r w:rsidRPr="004D0DAA">
        <w:rPr>
          <w:i/>
        </w:rPr>
        <w:t>Frequency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27294A7" w14:textId="77777777" w:rsidTr="00AA2A4C">
        <w:tblPrEx>
          <w:tblCellMar>
            <w:top w:w="0" w:type="dxa"/>
            <w:bottom w:w="0" w:type="dxa"/>
          </w:tblCellMar>
        </w:tblPrEx>
        <w:trPr>
          <w:cantSplit/>
        </w:trPr>
        <w:tc>
          <w:tcPr>
            <w:tcW w:w="9848" w:type="dxa"/>
          </w:tcPr>
          <w:p w14:paraId="0F1FCFC6" w14:textId="77777777" w:rsidR="00711444" w:rsidRPr="004D0DAA" w:rsidRDefault="00711444" w:rsidP="00AA2A4C">
            <w:pPr>
              <w:keepLines/>
              <w:rPr>
                <w:b/>
              </w:rPr>
            </w:pPr>
            <w:r w:rsidRPr="004D0DAA">
              <w:rPr>
                <w:b/>
              </w:rPr>
              <w:t>TSC</w:t>
            </w:r>
            <w:r w:rsidRPr="004D0DAA">
              <w:t xml:space="preserve"> (3 bit field)</w:t>
            </w:r>
            <w:r w:rsidRPr="004D0DAA">
              <w:br/>
              <w:t>This field is the binary representation of the training sequence code, see 3GPP TS 45.002. Range: 0 to 7. A mobile station that supports the extended TSC sets (see 3GPP TS 45.002 [32]) shall associate this TSC with TSC set 1 unless otherwise indicated by the Primary TSC Set</w:t>
            </w:r>
            <w:r w:rsidRPr="004D0DAA">
              <w:rPr>
                <w:iCs/>
              </w:rPr>
              <w:t xml:space="preserve"> field within </w:t>
            </w:r>
            <w:r w:rsidRPr="004D0DAA">
              <w:t>an assignment message or a handover command.</w:t>
            </w:r>
          </w:p>
        </w:tc>
      </w:tr>
      <w:tr w:rsidR="00711444" w:rsidRPr="004D0DAA" w14:paraId="57B8B140" w14:textId="77777777" w:rsidTr="00AA2A4C">
        <w:tblPrEx>
          <w:tblCellMar>
            <w:top w:w="0" w:type="dxa"/>
            <w:bottom w:w="0" w:type="dxa"/>
          </w:tblCellMar>
        </w:tblPrEx>
        <w:trPr>
          <w:cantSplit/>
        </w:trPr>
        <w:tc>
          <w:tcPr>
            <w:tcW w:w="9848" w:type="dxa"/>
          </w:tcPr>
          <w:p w14:paraId="10BDAD94" w14:textId="77777777" w:rsidR="00711444" w:rsidRPr="004D0DAA" w:rsidRDefault="00711444" w:rsidP="00AA2A4C">
            <w:pPr>
              <w:keepLines/>
              <w:rPr>
                <w:b/>
              </w:rPr>
            </w:pPr>
            <w:r w:rsidRPr="004D0DAA">
              <w:rPr>
                <w:b/>
              </w:rPr>
              <w:t>ARFCN</w:t>
            </w:r>
            <w:r w:rsidRPr="004D0DAA">
              <w:t xml:space="preserve"> (10 bit field)</w:t>
            </w:r>
            <w:r w:rsidRPr="004D0DAA">
              <w:br/>
              <w:t>This field is the binary representation of the absolute radio frequency channel number (ARFCN) defined in 3GPP TS 45.005. Range 0 to 1023.</w:t>
            </w:r>
          </w:p>
        </w:tc>
      </w:tr>
      <w:tr w:rsidR="00711444" w:rsidRPr="004D0DAA" w14:paraId="109EEAAD" w14:textId="77777777" w:rsidTr="00AA2A4C">
        <w:tblPrEx>
          <w:tblCellMar>
            <w:top w:w="0" w:type="dxa"/>
            <w:bottom w:w="0" w:type="dxa"/>
          </w:tblCellMar>
        </w:tblPrEx>
        <w:trPr>
          <w:cantSplit/>
        </w:trPr>
        <w:tc>
          <w:tcPr>
            <w:tcW w:w="9848" w:type="dxa"/>
          </w:tcPr>
          <w:p w14:paraId="6374BDB6" w14:textId="77777777" w:rsidR="00711444" w:rsidRPr="004D0DAA" w:rsidRDefault="00711444" w:rsidP="00AA2A4C">
            <w:pPr>
              <w:keepLines/>
              <w:rPr>
                <w:b/>
              </w:rPr>
            </w:pPr>
            <w:r w:rsidRPr="004D0DAA">
              <w:rPr>
                <w:b/>
              </w:rPr>
              <w:t>MAIO</w:t>
            </w:r>
            <w:r w:rsidRPr="004D0DAA">
              <w:t xml:space="preserve"> (6 bit field)</w:t>
            </w:r>
            <w:r w:rsidRPr="004D0DAA">
              <w:br/>
              <w:t>This field is the binary representation of the mobile allocation index offset (MAIO), see 3GPP TS 45.002. Range 0 to 63.</w:t>
            </w:r>
          </w:p>
        </w:tc>
      </w:tr>
      <w:tr w:rsidR="00711444" w:rsidRPr="004D0DAA" w14:paraId="2C6E5909" w14:textId="77777777" w:rsidTr="00AA2A4C">
        <w:tblPrEx>
          <w:tblCellMar>
            <w:top w:w="0" w:type="dxa"/>
            <w:bottom w:w="0" w:type="dxa"/>
          </w:tblCellMar>
        </w:tblPrEx>
        <w:trPr>
          <w:cantSplit/>
        </w:trPr>
        <w:tc>
          <w:tcPr>
            <w:tcW w:w="9848" w:type="dxa"/>
          </w:tcPr>
          <w:p w14:paraId="3B9DB67B" w14:textId="77777777" w:rsidR="00711444" w:rsidRPr="004D0DAA" w:rsidRDefault="00711444" w:rsidP="00AA2A4C">
            <w:pPr>
              <w:keepLines/>
              <w:rPr>
                <w:b/>
              </w:rPr>
            </w:pPr>
            <w:r w:rsidRPr="004D0DAA">
              <w:rPr>
                <w:b/>
              </w:rPr>
              <w:t>MA_NUMBER</w:t>
            </w:r>
            <w:r w:rsidRPr="004D0DAA">
              <w:t xml:space="preserve"> (4 bit field)</w:t>
            </w:r>
            <w:r w:rsidRPr="004D0DAA">
              <w:br/>
              <w:t>This field is the binary reference to a GPRS mobile allocation received in either the PSI2 information, the SI13/PSI13 information or a previous assignment message, see sub-clause 5.5.1.6. Range: 0 to 15.</w:t>
            </w:r>
          </w:p>
        </w:tc>
      </w:tr>
      <w:tr w:rsidR="00711444" w:rsidRPr="004D0DAA" w14:paraId="4CAB85C4" w14:textId="77777777" w:rsidTr="00AA2A4C">
        <w:tblPrEx>
          <w:tblCellMar>
            <w:top w:w="0" w:type="dxa"/>
            <w:bottom w:w="0" w:type="dxa"/>
          </w:tblCellMar>
        </w:tblPrEx>
        <w:trPr>
          <w:cantSplit/>
        </w:trPr>
        <w:tc>
          <w:tcPr>
            <w:tcW w:w="9848" w:type="dxa"/>
          </w:tcPr>
          <w:p w14:paraId="205A8BA2" w14:textId="77777777" w:rsidR="00711444" w:rsidRPr="004D0DAA" w:rsidRDefault="00711444" w:rsidP="00AA2A4C">
            <w:pPr>
              <w:keepLines/>
              <w:rPr>
                <w:b/>
              </w:rPr>
            </w:pPr>
            <w:r w:rsidRPr="004D0DAA">
              <w:rPr>
                <w:b/>
              </w:rPr>
              <w:t>CHANGE_MARK_1</w:t>
            </w:r>
            <w:r w:rsidRPr="004D0DAA">
              <w:t xml:space="preserve"> (2 bit field)</w:t>
            </w:r>
            <w:r w:rsidRPr="004D0DAA">
              <w:br/>
            </w:r>
            <w:r w:rsidRPr="004D0DAA">
              <w:rPr>
                <w:b/>
              </w:rPr>
              <w:t>CHANGE_MARK_2</w:t>
            </w:r>
            <w:r w:rsidRPr="004D0DAA">
              <w:t xml:space="preserve"> (2 bit field)</w:t>
            </w:r>
            <w:r w:rsidRPr="004D0DAA">
              <w:br/>
              <w:t xml:space="preserve">These fields are the binary representations of the allowed values for the PSI or SI </w:t>
            </w:r>
            <w:r w:rsidRPr="004D0DAA">
              <w:rPr>
                <w:i/>
              </w:rPr>
              <w:t>change mark</w:t>
            </w:r>
            <w:r w:rsidRPr="004D0DAA">
              <w:t xml:space="preserve"> associated with the GPRS mobile allocation that the MA_NUMBER field refers to. Range: 0 to 3.</w:t>
            </w:r>
          </w:p>
        </w:tc>
      </w:tr>
      <w:tr w:rsidR="00711444" w:rsidRPr="004D0DAA" w14:paraId="4C5E7DAD" w14:textId="77777777" w:rsidTr="00AA2A4C">
        <w:tblPrEx>
          <w:tblCellMar>
            <w:top w:w="0" w:type="dxa"/>
            <w:bottom w:w="0" w:type="dxa"/>
          </w:tblCellMar>
        </w:tblPrEx>
        <w:trPr>
          <w:cantSplit/>
        </w:trPr>
        <w:tc>
          <w:tcPr>
            <w:tcW w:w="9848" w:type="dxa"/>
          </w:tcPr>
          <w:p w14:paraId="6B3787B8" w14:textId="77777777" w:rsidR="00711444" w:rsidRPr="004D0DAA" w:rsidRDefault="00711444" w:rsidP="00AA2A4C">
            <w:pPr>
              <w:keepLines/>
              <w:rPr>
                <w:b/>
              </w:rPr>
            </w:pPr>
            <w:r w:rsidRPr="004D0DAA">
              <w:rPr>
                <w:b/>
              </w:rPr>
              <w:t>GPRS Mobile Allocation</w:t>
            </w:r>
            <w:r w:rsidRPr="004D0DAA">
              <w:t xml:space="preserve"> (information element)</w:t>
            </w:r>
            <w:r w:rsidRPr="004D0DAA">
              <w:br/>
              <w:t xml:space="preserve">The </w:t>
            </w:r>
            <w:r w:rsidRPr="004D0DAA">
              <w:rPr>
                <w:i/>
              </w:rPr>
              <w:t>GPRS Mobile Allocation</w:t>
            </w:r>
            <w:r w:rsidRPr="004D0DAA">
              <w:t xml:space="preserve"> information element is defined in sub-clause 12.10a.</w:t>
            </w:r>
          </w:p>
        </w:tc>
      </w:tr>
      <w:tr w:rsidR="00711444" w:rsidRPr="004D0DAA" w14:paraId="36F1AF67" w14:textId="77777777" w:rsidTr="00AA2A4C">
        <w:tblPrEx>
          <w:tblCellMar>
            <w:top w:w="0" w:type="dxa"/>
            <w:bottom w:w="0" w:type="dxa"/>
          </w:tblCellMar>
        </w:tblPrEx>
        <w:trPr>
          <w:cantSplit/>
        </w:trPr>
        <w:tc>
          <w:tcPr>
            <w:tcW w:w="9848" w:type="dxa"/>
          </w:tcPr>
          <w:p w14:paraId="60083BF9" w14:textId="77777777" w:rsidR="00711444" w:rsidRPr="004D0DAA" w:rsidRDefault="00711444" w:rsidP="00AA2A4C">
            <w:pPr>
              <w:keepLines/>
              <w:rPr>
                <w:b/>
              </w:rPr>
            </w:pPr>
            <w:r w:rsidRPr="004D0DAA">
              <w:rPr>
                <w:b/>
              </w:rPr>
              <w:t>HSN</w:t>
            </w:r>
            <w:r w:rsidRPr="004D0DAA">
              <w:t xml:space="preserve"> (6 bit field)</w:t>
            </w:r>
            <w:r w:rsidRPr="004D0DAA">
              <w:br/>
              <w:t>This field is the binary representation of the hopping sequence number, see 3GPP TS 45.002. Range: 0 to 63.</w:t>
            </w:r>
          </w:p>
        </w:tc>
      </w:tr>
      <w:tr w:rsidR="00711444" w:rsidRPr="004D0DAA" w14:paraId="468B0B4B" w14:textId="77777777" w:rsidTr="00AA2A4C">
        <w:tblPrEx>
          <w:tblCellMar>
            <w:top w:w="0" w:type="dxa"/>
            <w:bottom w:w="0" w:type="dxa"/>
          </w:tblCellMar>
        </w:tblPrEx>
        <w:trPr>
          <w:cantSplit/>
        </w:trPr>
        <w:tc>
          <w:tcPr>
            <w:tcW w:w="9848" w:type="dxa"/>
          </w:tcPr>
          <w:p w14:paraId="70E2C421" w14:textId="77777777" w:rsidR="00711444" w:rsidRPr="004D0DAA" w:rsidRDefault="00711444" w:rsidP="00AA2A4C">
            <w:pPr>
              <w:keepLines/>
            </w:pPr>
            <w:r w:rsidRPr="004D0DAA">
              <w:rPr>
                <w:b/>
              </w:rPr>
              <w:t>MA Frequency List contents</w:t>
            </w:r>
            <w:r w:rsidRPr="004D0DAA">
              <w:t xml:space="preserve"> (variable length octet string)</w:t>
            </w:r>
            <w:r w:rsidRPr="004D0DAA">
              <w:br/>
              <w:t xml:space="preserve">This variable length octet string is the representation of a set of radio frequency channels defining a GPRS mobile allocation. The encoding of the octet string is defined by the </w:t>
            </w:r>
            <w:r w:rsidRPr="004D0DAA">
              <w:rPr>
                <w:i/>
              </w:rPr>
              <w:t>value part</w:t>
            </w:r>
            <w:r w:rsidRPr="004D0DAA">
              <w:t xml:space="preserve"> of the type 4 information element </w:t>
            </w:r>
            <w:r w:rsidRPr="004D0DAA">
              <w:rPr>
                <w:i/>
              </w:rPr>
              <w:t>Frequency List</w:t>
            </w:r>
            <w:r w:rsidRPr="004D0DAA">
              <w:t>,</w:t>
            </w:r>
            <w:r w:rsidRPr="004D0DAA">
              <w:rPr>
                <w:i/>
              </w:rPr>
              <w:t xml:space="preserve"> </w:t>
            </w:r>
            <w:r w:rsidRPr="004D0DAA">
              <w:t xml:space="preserve">defined in 3GPP TS 44.018. The allowed formats of the </w:t>
            </w:r>
            <w:r w:rsidRPr="004D0DAA">
              <w:rPr>
                <w:i/>
              </w:rPr>
              <w:t>Frequency List</w:t>
            </w:r>
            <w:r w:rsidRPr="004D0DAA">
              <w:t xml:space="preserve"> information element are the </w:t>
            </w:r>
            <w:r w:rsidRPr="004D0DAA">
              <w:rPr>
                <w:i/>
              </w:rPr>
              <w:t>bit map 0</w:t>
            </w:r>
            <w:r w:rsidRPr="004D0DAA">
              <w:t xml:space="preserve">, </w:t>
            </w:r>
            <w:r w:rsidRPr="004D0DAA">
              <w:rPr>
                <w:i/>
              </w:rPr>
              <w:t>1024 range</w:t>
            </w:r>
            <w:r w:rsidRPr="004D0DAA">
              <w:t xml:space="preserve">, </w:t>
            </w:r>
            <w:r w:rsidRPr="004D0DAA">
              <w:rPr>
                <w:i/>
              </w:rPr>
              <w:t>512 range</w:t>
            </w:r>
            <w:r w:rsidRPr="004D0DAA">
              <w:t xml:space="preserve">, </w:t>
            </w:r>
            <w:r w:rsidRPr="004D0DAA">
              <w:rPr>
                <w:i/>
              </w:rPr>
              <w:t>256 range</w:t>
            </w:r>
            <w:r w:rsidRPr="004D0DAA">
              <w:t xml:space="preserve">, </w:t>
            </w:r>
            <w:r w:rsidRPr="004D0DAA">
              <w:rPr>
                <w:i/>
              </w:rPr>
              <w:t>128 range</w:t>
            </w:r>
            <w:r w:rsidRPr="004D0DAA">
              <w:t xml:space="preserve"> and </w:t>
            </w:r>
            <w:r w:rsidRPr="004D0DAA">
              <w:rPr>
                <w:i/>
              </w:rPr>
              <w:t>variable bit map</w:t>
            </w:r>
            <w:r w:rsidRPr="004D0DAA">
              <w:t xml:space="preserve"> formats.</w:t>
            </w:r>
          </w:p>
        </w:tc>
      </w:tr>
    </w:tbl>
    <w:p w14:paraId="5F3D05E6" w14:textId="77777777" w:rsidR="00711444" w:rsidRPr="004D0DAA" w:rsidRDefault="00711444" w:rsidP="00711444"/>
    <w:p w14:paraId="43183799" w14:textId="77777777" w:rsidR="00711444" w:rsidRPr="004D0DAA" w:rsidRDefault="00711444" w:rsidP="00711444">
      <w:pPr>
        <w:pStyle w:val="Heading3"/>
      </w:pPr>
      <w:bookmarkStart w:id="775" w:name="_Toc516669951"/>
      <w:r w:rsidRPr="004D0DAA">
        <w:lastRenderedPageBreak/>
        <w:t>12.8.1</w:t>
      </w:r>
      <w:r w:rsidRPr="004D0DAA">
        <w:tab/>
        <w:t>Abnormal cases</w:t>
      </w:r>
      <w:bookmarkEnd w:id="775"/>
    </w:p>
    <w:p w14:paraId="1319C9C4" w14:textId="77777777" w:rsidR="00711444" w:rsidRPr="004D0DAA" w:rsidRDefault="00711444" w:rsidP="00711444">
      <w:r w:rsidRPr="004D0DAA">
        <w:t xml:space="preserve">If the indirect encoding is used, this information element may contain the CHANGE_MARK_1 and 2 fields. If one of these fields is present, the receiver shall verify the validity of the PSI or SI </w:t>
      </w:r>
      <w:r w:rsidRPr="004D0DAA">
        <w:rPr>
          <w:i/>
        </w:rPr>
        <w:t>change mark</w:t>
      </w:r>
      <w:r w:rsidRPr="004D0DAA">
        <w:t xml:space="preserve"> associated with the GPRS mobile allocation that the MA_NUMBER field refers to, see sub-clause 5.5.1.7. None of the CHANGE_MARK_1 and 2 fields shall be included if the MA_NUMBER refers to a GPRS mobile allocation received in a previous assignment message.</w:t>
      </w:r>
    </w:p>
    <w:p w14:paraId="5F5E2E3B" w14:textId="77777777" w:rsidR="00711444" w:rsidRPr="004D0DAA" w:rsidRDefault="00711444" w:rsidP="00711444">
      <w:r w:rsidRPr="004D0DAA">
        <w:t>If the receiver detects that an inconsistency is contained in this information element, the information element shall be regarded as invalid. Such inconsistency may be that:</w:t>
      </w:r>
    </w:p>
    <w:p w14:paraId="3B2078F5" w14:textId="77777777" w:rsidR="00711444" w:rsidRPr="004D0DAA" w:rsidRDefault="00711444" w:rsidP="00711444">
      <w:pPr>
        <w:pStyle w:val="B1"/>
      </w:pPr>
      <w:r w:rsidRPr="004D0DAA">
        <w:t>-</w:t>
      </w:r>
      <w:r w:rsidRPr="004D0DAA">
        <w:tab/>
        <w:t xml:space="preserve">an invalid PSI or SI </w:t>
      </w:r>
      <w:r w:rsidRPr="004D0DAA">
        <w:rPr>
          <w:i/>
        </w:rPr>
        <w:t>change mark</w:t>
      </w:r>
      <w:r w:rsidRPr="004D0DAA">
        <w:t xml:space="preserve"> is associated with the referred GPRS mobile allocation;</w:t>
      </w:r>
    </w:p>
    <w:p w14:paraId="67CD1B94" w14:textId="77777777" w:rsidR="00711444" w:rsidRPr="004D0DAA" w:rsidRDefault="00711444" w:rsidP="00711444">
      <w:pPr>
        <w:pStyle w:val="B1"/>
      </w:pPr>
      <w:r w:rsidRPr="004D0DAA">
        <w:t>-</w:t>
      </w:r>
      <w:r w:rsidRPr="004D0DAA">
        <w:tab/>
        <w:t>an CHANGE_MARK_1 or 2 field is included and the MA_NUMBER refers to a GPRS mobile allocation received in a previous assignment message; or</w:t>
      </w:r>
    </w:p>
    <w:p w14:paraId="42A7EF08" w14:textId="77777777" w:rsidR="00711444" w:rsidRPr="004D0DAA" w:rsidRDefault="00711444" w:rsidP="00711444">
      <w:pPr>
        <w:pStyle w:val="B1"/>
      </w:pPr>
      <w:r w:rsidRPr="004D0DAA">
        <w:t>-</w:t>
      </w:r>
      <w:r w:rsidRPr="004D0DAA">
        <w:tab/>
        <w:t>an undefined MA_NUMBER or an invalid GPRS Mobile Allocation is contained in this information element.</w:t>
      </w:r>
    </w:p>
    <w:p w14:paraId="3F89DFD2" w14:textId="77777777" w:rsidR="00711444" w:rsidRPr="004D0DAA" w:rsidRDefault="00711444" w:rsidP="00711444">
      <w:r w:rsidRPr="004D0DAA">
        <w:t xml:space="preserve">If the inconsistency is due to an invalid PSI or SI </w:t>
      </w:r>
      <w:r w:rsidRPr="004D0DAA">
        <w:rPr>
          <w:i/>
        </w:rPr>
        <w:t>change mark</w:t>
      </w:r>
      <w:r w:rsidRPr="004D0DAA">
        <w:t xml:space="preserve"> associated with the referred GPRS mobile allocation or an undefined MA_NUMBER in the range 0 ñ 14, the mobile station shall initiate a </w:t>
      </w:r>
      <w:r w:rsidRPr="004D0DAA">
        <w:rPr>
          <w:i/>
        </w:rPr>
        <w:t>partial acquisition</w:t>
      </w:r>
      <w:r w:rsidRPr="004D0DAA">
        <w:t xml:space="preserve"> of PBCCH or BCCH information (see sub-clause 5.5.1.4). It shall then obtain the PSI2 or SI13 information, which is concerned.</w:t>
      </w:r>
    </w:p>
    <w:p w14:paraId="275C53EE" w14:textId="77777777" w:rsidR="00711444" w:rsidRPr="004D0DAA" w:rsidRDefault="00711444" w:rsidP="00711444">
      <w:pPr>
        <w:pStyle w:val="Heading3"/>
      </w:pPr>
      <w:bookmarkStart w:id="776" w:name="_Toc516669952"/>
      <w:r w:rsidRPr="004D0DAA">
        <w:t>12.8.2</w:t>
      </w:r>
      <w:r w:rsidRPr="004D0DAA">
        <w:tab/>
        <w:t>Dual Carrier Frequency Parameters</w:t>
      </w:r>
      <w:bookmarkEnd w:id="776"/>
    </w:p>
    <w:p w14:paraId="1C0CA6BB" w14:textId="77777777" w:rsidR="00711444" w:rsidRPr="004D0DAA" w:rsidRDefault="00711444" w:rsidP="00711444">
      <w:pPr>
        <w:keepNext/>
        <w:keepLines/>
      </w:pPr>
      <w:r w:rsidRPr="004D0DAA">
        <w:t>The Dual Carrier Frequency Parameters information element is used to define the frequency parameters for both carriers in a dual carrier configuration. It defines frequency parameters and a training sequence code (TSC), which may be allocated to a mobile station to define its channel configuration. All timeslots on each radio frequency channel in the channel configuration of the mobile station shall use the same frequency parameters and training sequence code.</w:t>
      </w:r>
    </w:p>
    <w:p w14:paraId="2C652289" w14:textId="77777777" w:rsidR="00711444" w:rsidRPr="004D0DAA" w:rsidRDefault="00711444" w:rsidP="00711444">
      <w:pPr>
        <w:keepLines/>
      </w:pPr>
      <w:r w:rsidRPr="004D0DAA">
        <w:t>The dual carrier frequency parameters may consist of two ARFCNs, defining non-hopping radio frequency channels. The dual carrier indirect encoding, the dual carrier direct encoding 1 and the dual carrier direct encoding 2 define two hopping radio frequency channels.</w:t>
      </w:r>
    </w:p>
    <w:p w14:paraId="3EEAAA00" w14:textId="77777777" w:rsidR="00711444" w:rsidRPr="004D0DAA" w:rsidRDefault="00711444" w:rsidP="00711444">
      <w:pPr>
        <w:pStyle w:val="TH"/>
      </w:pPr>
      <w:r w:rsidRPr="004D0DAA">
        <w:t xml:space="preserve">Table 12.8.2.1: </w:t>
      </w:r>
      <w:r w:rsidRPr="004D0DAA">
        <w:rPr>
          <w:i/>
        </w:rPr>
        <w:t>Dual Carrier Frequency Parameters</w:t>
      </w:r>
      <w:r w:rsidRPr="004D0DAA">
        <w:t xml:space="preserve"> information elements</w:t>
      </w: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77C9D60" w14:textId="77777777" w:rsidTr="00AA2A4C">
        <w:tblPrEx>
          <w:tblCellMar>
            <w:top w:w="0" w:type="dxa"/>
            <w:bottom w:w="0" w:type="dxa"/>
          </w:tblCellMar>
        </w:tblPrEx>
        <w:trPr>
          <w:cantSplit/>
        </w:trPr>
        <w:tc>
          <w:tcPr>
            <w:tcW w:w="9848" w:type="dxa"/>
          </w:tcPr>
          <w:p w14:paraId="4B889FBC" w14:textId="77777777" w:rsidR="00711444" w:rsidRPr="004D0DAA" w:rsidRDefault="00711444" w:rsidP="00AA2A4C">
            <w:pPr>
              <w:pStyle w:val="TAL"/>
              <w:rPr>
                <w:lang w:eastAsia="en-US"/>
              </w:rPr>
            </w:pPr>
            <w:r w:rsidRPr="004D0DAA">
              <w:rPr>
                <w:lang w:eastAsia="en-US"/>
              </w:rPr>
              <w:t>&lt; Dual Carrier Frequency Parameters IE &gt; ::=</w:t>
            </w:r>
          </w:p>
          <w:p w14:paraId="5364D20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5DDB25FF" w14:textId="77777777" w:rsidR="00711444" w:rsidRPr="004D0DAA" w:rsidRDefault="00711444" w:rsidP="00AA2A4C">
            <w:pPr>
              <w:pStyle w:val="TAL"/>
              <w:rPr>
                <w:lang w:eastAsia="en-US"/>
              </w:rPr>
            </w:pPr>
            <w:r w:rsidRPr="004D0DAA">
              <w:rPr>
                <w:lang w:eastAsia="en-US"/>
              </w:rPr>
              <w:tab/>
              <w:t xml:space="preserve">{ 00 </w:t>
            </w:r>
          </w:p>
          <w:p w14:paraId="3B4D8958"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ARFCN1</w:t>
            </w:r>
            <w:r w:rsidRPr="004D0DAA">
              <w:rPr>
                <w:lang w:eastAsia="en-US"/>
              </w:rPr>
              <w:t xml:space="preserve"> : bit (10) &gt; </w:t>
            </w:r>
          </w:p>
          <w:p w14:paraId="289AC96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ARFCN2</w:t>
            </w:r>
            <w:r w:rsidRPr="004D0DAA">
              <w:rPr>
                <w:lang w:eastAsia="en-US"/>
              </w:rPr>
              <w:t xml:space="preserve"> : bit (10) &gt; }</w:t>
            </w:r>
            <w:r w:rsidRPr="004D0DAA">
              <w:rPr>
                <w:lang w:eastAsia="en-US"/>
              </w:rPr>
              <w:tab/>
            </w:r>
          </w:p>
          <w:p w14:paraId="552DB62E" w14:textId="77777777" w:rsidR="00711444" w:rsidRPr="004D0DAA" w:rsidRDefault="00711444" w:rsidP="00AA2A4C">
            <w:pPr>
              <w:pStyle w:val="TAL"/>
              <w:rPr>
                <w:lang w:eastAsia="en-US"/>
              </w:rPr>
            </w:pPr>
            <w:r w:rsidRPr="004D0DAA">
              <w:rPr>
                <w:lang w:eastAsia="en-US"/>
              </w:rPr>
              <w:tab/>
              <w:t xml:space="preserve">| 01 &lt; </w:t>
            </w:r>
            <w:r w:rsidRPr="004D0DAA">
              <w:rPr>
                <w:b/>
                <w:lang w:eastAsia="en-US"/>
              </w:rPr>
              <w:t>Indirect encoding</w:t>
            </w:r>
            <w:r w:rsidRPr="004D0DAA">
              <w:rPr>
                <w:lang w:eastAsia="en-US"/>
              </w:rPr>
              <w:t xml:space="preserve"> : &lt; Dual Carrier Indirect encoding struct &gt; &gt;</w:t>
            </w:r>
          </w:p>
          <w:p w14:paraId="55B2F846" w14:textId="77777777" w:rsidR="00711444" w:rsidRPr="004D0DAA" w:rsidRDefault="00711444" w:rsidP="00AA2A4C">
            <w:pPr>
              <w:pStyle w:val="TAL"/>
              <w:rPr>
                <w:lang w:eastAsia="en-US"/>
              </w:rPr>
            </w:pPr>
            <w:r w:rsidRPr="004D0DAA">
              <w:rPr>
                <w:lang w:eastAsia="en-US"/>
              </w:rPr>
              <w:tab/>
              <w:t xml:space="preserve">| 10 &lt; </w:t>
            </w:r>
            <w:r w:rsidRPr="004D0DAA">
              <w:rPr>
                <w:b/>
                <w:lang w:eastAsia="en-US"/>
              </w:rPr>
              <w:t>Direct encoding 1</w:t>
            </w:r>
            <w:r w:rsidRPr="004D0DAA">
              <w:rPr>
                <w:lang w:eastAsia="en-US"/>
              </w:rPr>
              <w:t xml:space="preserve"> : &lt; Dual Carrier Direct encoding 1 struct &gt; &gt;</w:t>
            </w:r>
          </w:p>
          <w:p w14:paraId="4DEB6F0B" w14:textId="77777777" w:rsidR="00711444" w:rsidRPr="004D0DAA" w:rsidRDefault="00711444" w:rsidP="00AA2A4C">
            <w:pPr>
              <w:pStyle w:val="TAL"/>
              <w:rPr>
                <w:lang w:eastAsia="en-US"/>
              </w:rPr>
            </w:pPr>
            <w:r w:rsidRPr="004D0DAA">
              <w:rPr>
                <w:lang w:eastAsia="en-US"/>
              </w:rPr>
              <w:tab/>
              <w:t xml:space="preserve">| 11 &lt; </w:t>
            </w:r>
            <w:r w:rsidRPr="004D0DAA">
              <w:rPr>
                <w:b/>
                <w:lang w:eastAsia="en-US"/>
              </w:rPr>
              <w:t>Direct encoding 2</w:t>
            </w:r>
            <w:r w:rsidRPr="004D0DAA">
              <w:rPr>
                <w:lang w:eastAsia="en-US"/>
              </w:rPr>
              <w:t xml:space="preserve"> : &lt; Dual Carrier Direct encoding 2 struct &gt; &gt; } ;</w:t>
            </w:r>
          </w:p>
          <w:p w14:paraId="5C0FDC20" w14:textId="77777777" w:rsidR="00711444" w:rsidRPr="004D0DAA" w:rsidRDefault="00711444" w:rsidP="00AA2A4C">
            <w:pPr>
              <w:pStyle w:val="TAL"/>
              <w:rPr>
                <w:lang w:eastAsia="en-US"/>
              </w:rPr>
            </w:pPr>
          </w:p>
        </w:tc>
      </w:tr>
      <w:tr w:rsidR="00711444" w:rsidRPr="004D0DAA" w14:paraId="55E44580" w14:textId="77777777" w:rsidTr="00AA2A4C">
        <w:tblPrEx>
          <w:tblCellMar>
            <w:top w:w="0" w:type="dxa"/>
            <w:bottom w:w="0" w:type="dxa"/>
          </w:tblCellMar>
        </w:tblPrEx>
        <w:trPr>
          <w:cantSplit/>
        </w:trPr>
        <w:tc>
          <w:tcPr>
            <w:tcW w:w="9848" w:type="dxa"/>
          </w:tcPr>
          <w:p w14:paraId="32AE5F57" w14:textId="77777777" w:rsidR="00711444" w:rsidRPr="004D0DAA" w:rsidRDefault="00711444" w:rsidP="00AA2A4C">
            <w:pPr>
              <w:pStyle w:val="TAL"/>
              <w:rPr>
                <w:lang w:eastAsia="en-US"/>
              </w:rPr>
            </w:pPr>
            <w:r w:rsidRPr="004D0DAA">
              <w:rPr>
                <w:lang w:eastAsia="en-US"/>
              </w:rPr>
              <w:t>&lt; Dual Carrier Direct encoding 1 struct &gt; ::=</w:t>
            </w:r>
          </w:p>
          <w:p w14:paraId="668C62E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MAIO1</w:t>
            </w:r>
            <w:r w:rsidRPr="004D0DAA">
              <w:rPr>
                <w:lang w:eastAsia="en-US"/>
              </w:rPr>
              <w:t xml:space="preserve"> : bit (6) &gt; }</w:t>
            </w:r>
          </w:p>
          <w:p w14:paraId="32BBDB2A"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MAIO2</w:t>
            </w:r>
            <w:r w:rsidRPr="004D0DAA">
              <w:rPr>
                <w:lang w:eastAsia="en-US"/>
              </w:rPr>
              <w:t xml:space="preserve"> : bit (6) &gt; }</w:t>
            </w:r>
          </w:p>
          <w:p w14:paraId="6BD3B58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 Mobile Allocation</w:t>
            </w:r>
            <w:r w:rsidRPr="004D0DAA">
              <w:rPr>
                <w:lang w:eastAsia="en-US"/>
              </w:rPr>
              <w:t xml:space="preserve"> : &lt; GPRS Mobile Allocation IE &gt; &gt; ;</w:t>
            </w:r>
          </w:p>
          <w:p w14:paraId="33E7924C" w14:textId="77777777" w:rsidR="00711444" w:rsidRPr="004D0DAA" w:rsidRDefault="00711444" w:rsidP="00AA2A4C">
            <w:pPr>
              <w:pStyle w:val="TAL"/>
              <w:rPr>
                <w:lang w:eastAsia="en-US"/>
              </w:rPr>
            </w:pPr>
          </w:p>
        </w:tc>
      </w:tr>
      <w:tr w:rsidR="00711444" w:rsidRPr="004D0DAA" w14:paraId="597344E0" w14:textId="77777777" w:rsidTr="00AA2A4C">
        <w:tblPrEx>
          <w:tblCellMar>
            <w:top w:w="0" w:type="dxa"/>
            <w:bottom w:w="0" w:type="dxa"/>
          </w:tblCellMar>
        </w:tblPrEx>
        <w:trPr>
          <w:cantSplit/>
        </w:trPr>
        <w:tc>
          <w:tcPr>
            <w:tcW w:w="9848" w:type="dxa"/>
          </w:tcPr>
          <w:p w14:paraId="314B1BD0" w14:textId="77777777" w:rsidR="00711444" w:rsidRPr="004D0DAA" w:rsidRDefault="00711444" w:rsidP="00AA2A4C">
            <w:pPr>
              <w:pStyle w:val="TAL"/>
              <w:rPr>
                <w:lang w:eastAsia="en-US"/>
              </w:rPr>
            </w:pPr>
            <w:r w:rsidRPr="004D0DAA">
              <w:rPr>
                <w:lang w:eastAsia="en-US"/>
              </w:rPr>
              <w:t>&lt; Dual Carrier Indirect encoding struct &gt; ::=</w:t>
            </w:r>
          </w:p>
          <w:p w14:paraId="2976CC0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MAIO1</w:t>
            </w:r>
            <w:r w:rsidRPr="004D0DAA">
              <w:rPr>
                <w:lang w:eastAsia="en-US"/>
              </w:rPr>
              <w:t xml:space="preserve"> : bit (6) &gt; }</w:t>
            </w:r>
          </w:p>
          <w:p w14:paraId="4D7D539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MAIO2</w:t>
            </w:r>
            <w:r w:rsidRPr="004D0DAA">
              <w:rPr>
                <w:lang w:eastAsia="en-US"/>
              </w:rPr>
              <w:t xml:space="preserve"> : bit (6) &gt; }</w:t>
            </w:r>
          </w:p>
          <w:p w14:paraId="5BFC08F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MA_NUMBER</w:t>
            </w:r>
            <w:r w:rsidRPr="004D0DAA">
              <w:rPr>
                <w:lang w:eastAsia="en-US"/>
              </w:rPr>
              <w:t xml:space="preserve"> : bit (4) &gt;</w:t>
            </w:r>
          </w:p>
          <w:p w14:paraId="6EF1C2E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CHANGE_MARK_1</w:t>
            </w:r>
            <w:r w:rsidRPr="004D0DAA">
              <w:rPr>
                <w:lang w:eastAsia="en-US"/>
              </w:rPr>
              <w:t xml:space="preserve"> : bit (2) &gt;</w:t>
            </w:r>
          </w:p>
          <w:p w14:paraId="4BCEEE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CHANGE_MARK_2</w:t>
            </w:r>
            <w:r w:rsidRPr="004D0DAA">
              <w:rPr>
                <w:lang w:eastAsia="en-US"/>
              </w:rPr>
              <w:t xml:space="preserve"> : bit (2) &gt; } } ;</w:t>
            </w:r>
          </w:p>
          <w:p w14:paraId="5C9EF6EA" w14:textId="77777777" w:rsidR="00711444" w:rsidRPr="004D0DAA" w:rsidRDefault="00711444" w:rsidP="00AA2A4C">
            <w:pPr>
              <w:pStyle w:val="TAL"/>
              <w:rPr>
                <w:lang w:eastAsia="en-US"/>
              </w:rPr>
            </w:pPr>
          </w:p>
        </w:tc>
      </w:tr>
      <w:tr w:rsidR="00711444" w:rsidRPr="004D0DAA" w14:paraId="0ADBD0DB" w14:textId="77777777" w:rsidTr="00AA2A4C">
        <w:tblPrEx>
          <w:tblCellMar>
            <w:top w:w="0" w:type="dxa"/>
            <w:bottom w:w="0" w:type="dxa"/>
          </w:tblCellMar>
        </w:tblPrEx>
        <w:trPr>
          <w:cantSplit/>
        </w:trPr>
        <w:tc>
          <w:tcPr>
            <w:tcW w:w="9848" w:type="dxa"/>
          </w:tcPr>
          <w:p w14:paraId="3626255C" w14:textId="77777777" w:rsidR="00711444" w:rsidRPr="004D0DAA" w:rsidRDefault="00711444" w:rsidP="00AA2A4C">
            <w:pPr>
              <w:pStyle w:val="TAL"/>
              <w:rPr>
                <w:lang w:eastAsia="en-US"/>
              </w:rPr>
            </w:pPr>
            <w:r w:rsidRPr="004D0DAA">
              <w:rPr>
                <w:lang w:eastAsia="en-US"/>
              </w:rPr>
              <w:t>&lt; Dual Carrier Direct encoding 2 struct &gt; ::=</w:t>
            </w:r>
          </w:p>
          <w:p w14:paraId="7074080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MAIO1</w:t>
            </w:r>
            <w:r w:rsidRPr="004D0DAA">
              <w:rPr>
                <w:lang w:eastAsia="en-US"/>
              </w:rPr>
              <w:t xml:space="preserve"> : bit (6) &gt; }</w:t>
            </w:r>
          </w:p>
          <w:p w14:paraId="2E65951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MAIO2</w:t>
            </w:r>
            <w:r w:rsidRPr="004D0DAA">
              <w:rPr>
                <w:lang w:eastAsia="en-US"/>
              </w:rPr>
              <w:t xml:space="preserve"> : bit (6) &gt; }</w:t>
            </w:r>
          </w:p>
          <w:p w14:paraId="0A15806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HSN</w:t>
            </w:r>
            <w:r w:rsidRPr="004D0DAA">
              <w:rPr>
                <w:lang w:eastAsia="en-US"/>
              </w:rPr>
              <w:t xml:space="preserve"> : bit (6) &gt;</w:t>
            </w:r>
          </w:p>
          <w:p w14:paraId="75EAC7B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Length of MA Frequency List contents</w:t>
            </w:r>
            <w:r w:rsidRPr="004D0DAA">
              <w:rPr>
                <w:lang w:eastAsia="en-US"/>
              </w:rPr>
              <w:t xml:space="preserve"> : bit (4) &gt;</w:t>
            </w:r>
          </w:p>
          <w:p w14:paraId="4AFD172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 Frequency List contents</w:t>
            </w:r>
            <w:r w:rsidRPr="004D0DAA">
              <w:rPr>
                <w:lang w:eastAsia="en-US"/>
              </w:rPr>
              <w:t xml:space="preserve"> : octet (val(Length of MA Frequency List contents) + 3) &gt; ;</w:t>
            </w:r>
          </w:p>
          <w:p w14:paraId="6A6DA18F" w14:textId="77777777" w:rsidR="00711444" w:rsidRPr="004D0DAA" w:rsidRDefault="00711444" w:rsidP="00AA2A4C">
            <w:pPr>
              <w:pStyle w:val="TAL"/>
              <w:rPr>
                <w:lang w:eastAsia="en-US"/>
              </w:rPr>
            </w:pPr>
          </w:p>
        </w:tc>
      </w:tr>
    </w:tbl>
    <w:p w14:paraId="2DE8163C" w14:textId="77777777" w:rsidR="00711444" w:rsidRPr="004D0DAA" w:rsidRDefault="00711444" w:rsidP="00711444"/>
    <w:p w14:paraId="3BA9C9DF" w14:textId="77777777" w:rsidR="00711444" w:rsidRPr="004D0DAA" w:rsidRDefault="00711444" w:rsidP="00711444">
      <w:pPr>
        <w:pStyle w:val="TH"/>
      </w:pPr>
      <w:r w:rsidRPr="004D0DAA">
        <w:lastRenderedPageBreak/>
        <w:t xml:space="preserve">Table 12.8.2.2: </w:t>
      </w:r>
      <w:r w:rsidRPr="004D0DAA">
        <w:rPr>
          <w:i/>
        </w:rPr>
        <w:t>Dual Carrier Frequency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354B006" w14:textId="77777777" w:rsidTr="00AA2A4C">
        <w:tblPrEx>
          <w:tblCellMar>
            <w:top w:w="0" w:type="dxa"/>
            <w:bottom w:w="0" w:type="dxa"/>
          </w:tblCellMar>
        </w:tblPrEx>
        <w:trPr>
          <w:cantSplit/>
        </w:trPr>
        <w:tc>
          <w:tcPr>
            <w:tcW w:w="9848" w:type="dxa"/>
          </w:tcPr>
          <w:p w14:paraId="7BB25430" w14:textId="77777777" w:rsidR="00711444" w:rsidRPr="004D0DAA" w:rsidRDefault="00711444" w:rsidP="00AA2A4C">
            <w:pPr>
              <w:keepLines/>
              <w:rPr>
                <w:b/>
              </w:rPr>
            </w:pPr>
            <w:r w:rsidRPr="004D0DAA">
              <w:rPr>
                <w:b/>
              </w:rPr>
              <w:t>TSC</w:t>
            </w:r>
            <w:r w:rsidRPr="004D0DAA">
              <w:t xml:space="preserve"> (3 bit field)</w:t>
            </w:r>
            <w:r w:rsidRPr="004D0DAA">
              <w:br/>
              <w:t>This field is the binary representation of the training sequence code, see 3GPP TS 45.002. Range: 0 to 7. A mobile station that supports the extended TSC sets (see 3GPP TS 45.002 [32]) shall associate this TSC with TSC set 1 unless otherwise indicated by the Primary TSC Set</w:t>
            </w:r>
            <w:r w:rsidRPr="004D0DAA">
              <w:rPr>
                <w:iCs/>
              </w:rPr>
              <w:t xml:space="preserve"> field within </w:t>
            </w:r>
            <w:r w:rsidRPr="004D0DAA">
              <w:t>an assignment message or a handover command.</w:t>
            </w:r>
          </w:p>
        </w:tc>
      </w:tr>
      <w:tr w:rsidR="00711444" w:rsidRPr="004D0DAA" w14:paraId="682C38D7" w14:textId="77777777" w:rsidTr="00AA2A4C">
        <w:tblPrEx>
          <w:tblCellMar>
            <w:top w:w="0" w:type="dxa"/>
            <w:bottom w:w="0" w:type="dxa"/>
          </w:tblCellMar>
        </w:tblPrEx>
        <w:trPr>
          <w:cantSplit/>
        </w:trPr>
        <w:tc>
          <w:tcPr>
            <w:tcW w:w="9848" w:type="dxa"/>
          </w:tcPr>
          <w:p w14:paraId="62F18FF3" w14:textId="77777777" w:rsidR="00711444" w:rsidRPr="004D0DAA" w:rsidRDefault="00711444" w:rsidP="00AA2A4C">
            <w:pPr>
              <w:keepLines/>
              <w:rPr>
                <w:b/>
              </w:rPr>
            </w:pPr>
            <w:r w:rsidRPr="004D0DAA">
              <w:rPr>
                <w:b/>
              </w:rPr>
              <w:t>ARFCN1</w:t>
            </w:r>
            <w:r w:rsidRPr="004D0DAA">
              <w:t xml:space="preserve"> (10 bit field)</w:t>
            </w:r>
            <w:r w:rsidRPr="004D0DAA">
              <w:br/>
              <w:t>This field is the binary representation of the absolute radio frequency channel number (ARFCN) tro be applied to carrier 1, as defined in 3GPP TS 45.005. Range 0 to 1023.</w:t>
            </w:r>
          </w:p>
        </w:tc>
      </w:tr>
      <w:tr w:rsidR="00711444" w:rsidRPr="004D0DAA" w14:paraId="6664F535" w14:textId="77777777" w:rsidTr="00AA2A4C">
        <w:tblPrEx>
          <w:tblCellMar>
            <w:top w:w="0" w:type="dxa"/>
            <w:bottom w:w="0" w:type="dxa"/>
          </w:tblCellMar>
        </w:tblPrEx>
        <w:trPr>
          <w:cantSplit/>
        </w:trPr>
        <w:tc>
          <w:tcPr>
            <w:tcW w:w="9848" w:type="dxa"/>
          </w:tcPr>
          <w:p w14:paraId="038D7F9A" w14:textId="77777777" w:rsidR="00711444" w:rsidRPr="004D0DAA" w:rsidRDefault="00711444" w:rsidP="00AA2A4C">
            <w:pPr>
              <w:keepLines/>
              <w:rPr>
                <w:b/>
              </w:rPr>
            </w:pPr>
            <w:r w:rsidRPr="004D0DAA">
              <w:rPr>
                <w:b/>
              </w:rPr>
              <w:t>ARFCN2</w:t>
            </w:r>
            <w:r w:rsidRPr="004D0DAA">
              <w:t xml:space="preserve"> (10 bit field)</w:t>
            </w:r>
            <w:r w:rsidRPr="004D0DAA">
              <w:br/>
              <w:t>This field is the binary representation of the absolute radio frequency channel number (ARFCN) tro be applied to carrier 2, as defined in 3GPP TS 45.005. Range 0 to 1023.</w:t>
            </w:r>
          </w:p>
        </w:tc>
      </w:tr>
      <w:tr w:rsidR="00711444" w:rsidRPr="004D0DAA" w14:paraId="4651E7ED" w14:textId="77777777" w:rsidTr="00AA2A4C">
        <w:tblPrEx>
          <w:tblCellMar>
            <w:top w:w="0" w:type="dxa"/>
            <w:bottom w:w="0" w:type="dxa"/>
          </w:tblCellMar>
        </w:tblPrEx>
        <w:trPr>
          <w:cantSplit/>
        </w:trPr>
        <w:tc>
          <w:tcPr>
            <w:tcW w:w="9848" w:type="dxa"/>
          </w:tcPr>
          <w:p w14:paraId="4A1FF048" w14:textId="77777777" w:rsidR="00711444" w:rsidRPr="004D0DAA" w:rsidRDefault="00711444" w:rsidP="00AA2A4C">
            <w:pPr>
              <w:keepLines/>
              <w:rPr>
                <w:b/>
              </w:rPr>
            </w:pPr>
            <w:r w:rsidRPr="004D0DAA">
              <w:rPr>
                <w:b/>
              </w:rPr>
              <w:t>MAIO1</w:t>
            </w:r>
            <w:r w:rsidRPr="004D0DAA">
              <w:t xml:space="preserve"> (6 bit field)</w:t>
            </w:r>
            <w:r w:rsidRPr="004D0DAA">
              <w:br/>
              <w:t>This field is the binary representation of the mobile allocation index offset (MAIO) to be applied to carrier 1, see 3GPP TS 45.002. Range 0 to 63.</w:t>
            </w:r>
          </w:p>
        </w:tc>
      </w:tr>
      <w:tr w:rsidR="00711444" w:rsidRPr="004D0DAA" w14:paraId="31024A02" w14:textId="77777777" w:rsidTr="00AA2A4C">
        <w:tblPrEx>
          <w:tblCellMar>
            <w:top w:w="0" w:type="dxa"/>
            <w:bottom w:w="0" w:type="dxa"/>
          </w:tblCellMar>
        </w:tblPrEx>
        <w:trPr>
          <w:cantSplit/>
        </w:trPr>
        <w:tc>
          <w:tcPr>
            <w:tcW w:w="9848" w:type="dxa"/>
          </w:tcPr>
          <w:p w14:paraId="4F3B4CE8" w14:textId="77777777" w:rsidR="00711444" w:rsidRPr="004D0DAA" w:rsidRDefault="00711444" w:rsidP="00AA2A4C">
            <w:pPr>
              <w:keepLines/>
              <w:rPr>
                <w:b/>
              </w:rPr>
            </w:pPr>
            <w:r w:rsidRPr="004D0DAA">
              <w:rPr>
                <w:b/>
              </w:rPr>
              <w:t>MAIO2</w:t>
            </w:r>
            <w:r w:rsidRPr="004D0DAA">
              <w:t xml:space="preserve"> (6 bit field)</w:t>
            </w:r>
            <w:r w:rsidRPr="004D0DAA">
              <w:br/>
              <w:t>This field is the binary representation of the mobile allocation index offset (MAIO) to be applied to carrier 2, see 3GPP TS 45.002. Range 0 to 63.</w:t>
            </w:r>
          </w:p>
        </w:tc>
      </w:tr>
      <w:tr w:rsidR="00711444" w:rsidRPr="004D0DAA" w14:paraId="3FEDC309" w14:textId="77777777" w:rsidTr="00AA2A4C">
        <w:tblPrEx>
          <w:tblCellMar>
            <w:top w:w="0" w:type="dxa"/>
            <w:bottom w:w="0" w:type="dxa"/>
          </w:tblCellMar>
        </w:tblPrEx>
        <w:trPr>
          <w:cantSplit/>
        </w:trPr>
        <w:tc>
          <w:tcPr>
            <w:tcW w:w="9848" w:type="dxa"/>
          </w:tcPr>
          <w:p w14:paraId="3FDDED84" w14:textId="77777777" w:rsidR="00711444" w:rsidRPr="004D0DAA" w:rsidRDefault="00711444" w:rsidP="00AA2A4C">
            <w:pPr>
              <w:keepLines/>
              <w:rPr>
                <w:b/>
              </w:rPr>
            </w:pPr>
            <w:r w:rsidRPr="004D0DAA">
              <w:rPr>
                <w:b/>
              </w:rPr>
              <w:t>MA_NUMBER</w:t>
            </w:r>
            <w:r w:rsidRPr="004D0DAA">
              <w:t xml:space="preserve"> (4 bit field)</w:t>
            </w:r>
            <w:r w:rsidRPr="004D0DAA">
              <w:br/>
              <w:t>This field is the binary reference to a GPRS mobile allocation received in either the PSI2 information, the SI13/PSI13 information or a previous assignment message, see sub-clause 5.5.1.6. Range: 0 to 15.</w:t>
            </w:r>
          </w:p>
        </w:tc>
      </w:tr>
      <w:tr w:rsidR="00711444" w:rsidRPr="004D0DAA" w14:paraId="411A953C" w14:textId="77777777" w:rsidTr="00AA2A4C">
        <w:tblPrEx>
          <w:tblCellMar>
            <w:top w:w="0" w:type="dxa"/>
            <w:bottom w:w="0" w:type="dxa"/>
          </w:tblCellMar>
        </w:tblPrEx>
        <w:trPr>
          <w:cantSplit/>
        </w:trPr>
        <w:tc>
          <w:tcPr>
            <w:tcW w:w="9848" w:type="dxa"/>
          </w:tcPr>
          <w:p w14:paraId="1F600132" w14:textId="77777777" w:rsidR="00711444" w:rsidRPr="004D0DAA" w:rsidRDefault="00711444" w:rsidP="00AA2A4C">
            <w:pPr>
              <w:keepLines/>
              <w:rPr>
                <w:b/>
              </w:rPr>
            </w:pPr>
            <w:r w:rsidRPr="004D0DAA">
              <w:rPr>
                <w:b/>
              </w:rPr>
              <w:t>CHANGE_MARK_1</w:t>
            </w:r>
            <w:r w:rsidRPr="004D0DAA">
              <w:t xml:space="preserve"> (2 bit field)</w:t>
            </w:r>
            <w:r w:rsidRPr="004D0DAA">
              <w:br/>
            </w:r>
            <w:r w:rsidRPr="004D0DAA">
              <w:rPr>
                <w:b/>
              </w:rPr>
              <w:t>CHANGE_MARK_2</w:t>
            </w:r>
            <w:r w:rsidRPr="004D0DAA">
              <w:t xml:space="preserve"> (2 bit field)</w:t>
            </w:r>
            <w:r w:rsidRPr="004D0DAA">
              <w:br/>
              <w:t xml:space="preserve">These fields are the binary representations of the allowed values for the PSI or SI </w:t>
            </w:r>
            <w:r w:rsidRPr="004D0DAA">
              <w:rPr>
                <w:i/>
              </w:rPr>
              <w:t>change mark</w:t>
            </w:r>
            <w:r w:rsidRPr="004D0DAA">
              <w:t xml:space="preserve"> associated with the GPRS mobile allocation that the MA_NUMBER field refers to. Range: 0 to 3.</w:t>
            </w:r>
          </w:p>
        </w:tc>
      </w:tr>
      <w:tr w:rsidR="00711444" w:rsidRPr="004D0DAA" w14:paraId="178E0605" w14:textId="77777777" w:rsidTr="00AA2A4C">
        <w:tblPrEx>
          <w:tblCellMar>
            <w:top w:w="0" w:type="dxa"/>
            <w:bottom w:w="0" w:type="dxa"/>
          </w:tblCellMar>
        </w:tblPrEx>
        <w:trPr>
          <w:cantSplit/>
        </w:trPr>
        <w:tc>
          <w:tcPr>
            <w:tcW w:w="9848" w:type="dxa"/>
          </w:tcPr>
          <w:p w14:paraId="33DBEFDF" w14:textId="77777777" w:rsidR="00711444" w:rsidRPr="004D0DAA" w:rsidRDefault="00711444" w:rsidP="00AA2A4C">
            <w:pPr>
              <w:keepLines/>
              <w:rPr>
                <w:b/>
              </w:rPr>
            </w:pPr>
            <w:r w:rsidRPr="004D0DAA">
              <w:rPr>
                <w:b/>
              </w:rPr>
              <w:t>GPRS Mobile Allocation</w:t>
            </w:r>
            <w:r w:rsidRPr="004D0DAA">
              <w:t xml:space="preserve"> (information element)</w:t>
            </w:r>
            <w:r w:rsidRPr="004D0DAA">
              <w:br/>
              <w:t xml:space="preserve">The </w:t>
            </w:r>
            <w:r w:rsidRPr="004D0DAA">
              <w:rPr>
                <w:i/>
              </w:rPr>
              <w:t>GPRS Mobile Allocation</w:t>
            </w:r>
            <w:r w:rsidRPr="004D0DAA">
              <w:t xml:space="preserve"> information element is defined in sub-clause 12.10a.</w:t>
            </w:r>
          </w:p>
        </w:tc>
      </w:tr>
      <w:tr w:rsidR="00711444" w:rsidRPr="004D0DAA" w14:paraId="4430C70F" w14:textId="77777777" w:rsidTr="00AA2A4C">
        <w:tblPrEx>
          <w:tblCellMar>
            <w:top w:w="0" w:type="dxa"/>
            <w:bottom w:w="0" w:type="dxa"/>
          </w:tblCellMar>
        </w:tblPrEx>
        <w:trPr>
          <w:cantSplit/>
        </w:trPr>
        <w:tc>
          <w:tcPr>
            <w:tcW w:w="9848" w:type="dxa"/>
          </w:tcPr>
          <w:p w14:paraId="3E89B6A6" w14:textId="77777777" w:rsidR="00711444" w:rsidRPr="004D0DAA" w:rsidRDefault="00711444" w:rsidP="00AA2A4C">
            <w:pPr>
              <w:keepLines/>
              <w:rPr>
                <w:b/>
              </w:rPr>
            </w:pPr>
            <w:r w:rsidRPr="004D0DAA">
              <w:rPr>
                <w:b/>
              </w:rPr>
              <w:t>HSN</w:t>
            </w:r>
            <w:r w:rsidRPr="004D0DAA">
              <w:t xml:space="preserve"> (6 bit field)</w:t>
            </w:r>
            <w:r w:rsidRPr="004D0DAA">
              <w:br/>
              <w:t>This field is the binary representation of the hopping sequence number, see 3GPP TS 45.002. Range: 0 to 63.</w:t>
            </w:r>
          </w:p>
        </w:tc>
      </w:tr>
      <w:tr w:rsidR="00711444" w:rsidRPr="004D0DAA" w14:paraId="35A643DB" w14:textId="77777777" w:rsidTr="00AA2A4C">
        <w:tblPrEx>
          <w:tblCellMar>
            <w:top w:w="0" w:type="dxa"/>
            <w:bottom w:w="0" w:type="dxa"/>
          </w:tblCellMar>
        </w:tblPrEx>
        <w:trPr>
          <w:cantSplit/>
        </w:trPr>
        <w:tc>
          <w:tcPr>
            <w:tcW w:w="9848" w:type="dxa"/>
          </w:tcPr>
          <w:p w14:paraId="1E51729A" w14:textId="77777777" w:rsidR="00711444" w:rsidRPr="004D0DAA" w:rsidRDefault="00711444" w:rsidP="00AA2A4C">
            <w:pPr>
              <w:keepLines/>
            </w:pPr>
            <w:r w:rsidRPr="004D0DAA">
              <w:rPr>
                <w:b/>
              </w:rPr>
              <w:t>MA Frequency List contents</w:t>
            </w:r>
            <w:r w:rsidRPr="004D0DAA">
              <w:t xml:space="preserve"> (variable length octet string)</w:t>
            </w:r>
            <w:r w:rsidRPr="004D0DAA">
              <w:br/>
              <w:t xml:space="preserve">This variable length octet string is the representation of a set of radio frequency channels defining a GPRS mobile allocation. The encoding of the octet string is defined by the </w:t>
            </w:r>
            <w:r w:rsidRPr="004D0DAA">
              <w:rPr>
                <w:i/>
              </w:rPr>
              <w:t>value part</w:t>
            </w:r>
            <w:r w:rsidRPr="004D0DAA">
              <w:t xml:space="preserve"> of the type 4 information element </w:t>
            </w:r>
            <w:r w:rsidRPr="004D0DAA">
              <w:rPr>
                <w:i/>
              </w:rPr>
              <w:t>Frequency List</w:t>
            </w:r>
            <w:r w:rsidRPr="004D0DAA">
              <w:t>,</w:t>
            </w:r>
            <w:r w:rsidRPr="004D0DAA">
              <w:rPr>
                <w:i/>
              </w:rPr>
              <w:t xml:space="preserve"> </w:t>
            </w:r>
            <w:r w:rsidRPr="004D0DAA">
              <w:t xml:space="preserve">defined in 3GPP TS 44.018. The allowed formats of the </w:t>
            </w:r>
            <w:r w:rsidRPr="004D0DAA">
              <w:rPr>
                <w:i/>
              </w:rPr>
              <w:t>Frequency List</w:t>
            </w:r>
            <w:r w:rsidRPr="004D0DAA">
              <w:t xml:space="preserve"> information element are the </w:t>
            </w:r>
            <w:r w:rsidRPr="004D0DAA">
              <w:rPr>
                <w:i/>
              </w:rPr>
              <w:t>bit map 0</w:t>
            </w:r>
            <w:r w:rsidRPr="004D0DAA">
              <w:t xml:space="preserve">, </w:t>
            </w:r>
            <w:r w:rsidRPr="004D0DAA">
              <w:rPr>
                <w:i/>
              </w:rPr>
              <w:t>1024 range</w:t>
            </w:r>
            <w:r w:rsidRPr="004D0DAA">
              <w:t xml:space="preserve">, </w:t>
            </w:r>
            <w:r w:rsidRPr="004D0DAA">
              <w:rPr>
                <w:i/>
              </w:rPr>
              <w:t>512 range</w:t>
            </w:r>
            <w:r w:rsidRPr="004D0DAA">
              <w:t xml:space="preserve">, </w:t>
            </w:r>
            <w:r w:rsidRPr="004D0DAA">
              <w:rPr>
                <w:i/>
              </w:rPr>
              <w:t>256 range</w:t>
            </w:r>
            <w:r w:rsidRPr="004D0DAA">
              <w:t xml:space="preserve">, </w:t>
            </w:r>
            <w:r w:rsidRPr="004D0DAA">
              <w:rPr>
                <w:i/>
              </w:rPr>
              <w:t>128 range</w:t>
            </w:r>
            <w:r w:rsidRPr="004D0DAA">
              <w:t xml:space="preserve"> and </w:t>
            </w:r>
            <w:r w:rsidRPr="004D0DAA">
              <w:rPr>
                <w:i/>
              </w:rPr>
              <w:t>variable bit map</w:t>
            </w:r>
            <w:r w:rsidRPr="004D0DAA">
              <w:t xml:space="preserve"> formats.</w:t>
            </w:r>
          </w:p>
        </w:tc>
      </w:tr>
    </w:tbl>
    <w:p w14:paraId="4685EE18" w14:textId="77777777" w:rsidR="00711444" w:rsidRPr="004D0DAA" w:rsidRDefault="00711444" w:rsidP="00711444"/>
    <w:p w14:paraId="1B0BD7C7" w14:textId="77777777" w:rsidR="00711444" w:rsidRPr="004D0DAA" w:rsidRDefault="00711444" w:rsidP="00711444">
      <w:pPr>
        <w:pStyle w:val="Heading3"/>
      </w:pPr>
      <w:bookmarkStart w:id="777" w:name="_Toc516669953"/>
      <w:r w:rsidRPr="004D0DAA">
        <w:t>12.8.3</w:t>
      </w:r>
      <w:r w:rsidRPr="004D0DAA">
        <w:tab/>
        <w:t>Pulse Format description</w:t>
      </w:r>
      <w:bookmarkEnd w:id="777"/>
    </w:p>
    <w:p w14:paraId="3061A497" w14:textId="77777777" w:rsidR="00711444" w:rsidRPr="004D0DAA" w:rsidRDefault="00711444" w:rsidP="00711444">
      <w:r w:rsidRPr="004D0DAA">
        <w:t xml:space="preserve">This information element specifies on which, if any, radio frequency channels the mobile station shall transmit using the narrow pulse shaping filter or shall otherwise transmit using the wide pulse shaping filter with a specified spectrum mask (see 3GPP TS 45.004, 3GPP TS 45.005). The content of this information element is applicable only when one of UBS-5 to UBS-12 modulation and coding schemes is used. </w:t>
      </w:r>
    </w:p>
    <w:p w14:paraId="2CF410A5" w14:textId="77777777" w:rsidR="00711444" w:rsidRPr="004D0DAA" w:rsidRDefault="00711444" w:rsidP="00711444">
      <w:r w:rsidRPr="004D0DAA">
        <w:t>If this information element is not included in an assignment message and the mobile station is required to transmit using EGPRS2-B modulation and coding schemes UBS-5 to UBS-12, the mobile station shall use the wide pulse shaping filter option without tight spectrum mask on all frequencies in the mobile allocation (if hopping) or on the single frequency assigned (if non-hopping).</w:t>
      </w:r>
    </w:p>
    <w:p w14:paraId="2A2F50FA" w14:textId="77777777" w:rsidR="00711444" w:rsidRPr="004D0DAA" w:rsidRDefault="00711444" w:rsidP="00711444">
      <w:pPr>
        <w:pStyle w:val="TH"/>
      </w:pPr>
      <w:r w:rsidRPr="004D0DAA">
        <w:lastRenderedPageBreak/>
        <w:t xml:space="preserve">Table 12.8.3.1: </w:t>
      </w:r>
      <w:r w:rsidRPr="004D0DAA">
        <w:rPr>
          <w:i/>
        </w:rPr>
        <w:t>Pulse Format</w:t>
      </w:r>
      <w:r w:rsidRPr="004D0DAA">
        <w:t xml:space="preserve"> information elements</w:t>
      </w: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6DA4AAB" w14:textId="77777777" w:rsidTr="00AA2A4C">
        <w:tblPrEx>
          <w:tblCellMar>
            <w:top w:w="0" w:type="dxa"/>
            <w:bottom w:w="0" w:type="dxa"/>
          </w:tblCellMar>
        </w:tblPrEx>
        <w:trPr>
          <w:cantSplit/>
        </w:trPr>
        <w:tc>
          <w:tcPr>
            <w:tcW w:w="9848" w:type="dxa"/>
          </w:tcPr>
          <w:p w14:paraId="744241C9" w14:textId="77777777" w:rsidR="00711444" w:rsidRPr="004D0DAA" w:rsidRDefault="00711444" w:rsidP="00AA2A4C">
            <w:pPr>
              <w:pStyle w:val="TAL"/>
              <w:rPr>
                <w:lang w:eastAsia="en-US"/>
              </w:rPr>
            </w:pPr>
            <w:r w:rsidRPr="004D0DAA">
              <w:rPr>
                <w:lang w:eastAsia="en-US"/>
              </w:rPr>
              <w:t>&lt; Pulse Format IE &gt; ::=</w:t>
            </w:r>
          </w:p>
          <w:p w14:paraId="2CE2BA5A" w14:textId="77777777" w:rsidR="00711444" w:rsidRPr="004D0DAA" w:rsidRDefault="00711444" w:rsidP="00AA2A4C">
            <w:pPr>
              <w:pStyle w:val="TAL"/>
              <w:rPr>
                <w:lang w:eastAsia="en-US"/>
              </w:rPr>
            </w:pPr>
            <w:r w:rsidRPr="004D0DAA">
              <w:rPr>
                <w:lang w:eastAsia="en-US"/>
              </w:rPr>
              <w:tab/>
              <w:t xml:space="preserve">{ 0 &lt; </w:t>
            </w:r>
            <w:r w:rsidRPr="004D0DAA">
              <w:rPr>
                <w:b/>
                <w:bCs/>
                <w:lang w:eastAsia="en-US"/>
              </w:rPr>
              <w:t xml:space="preserve">Pulse Format Coding 1 </w:t>
            </w:r>
            <w:r w:rsidRPr="004D0DAA">
              <w:rPr>
                <w:lang w:eastAsia="en-US"/>
              </w:rPr>
              <w:t>: bit (3) &gt;</w:t>
            </w:r>
          </w:p>
          <w:p w14:paraId="1113CBC4" w14:textId="77777777" w:rsidR="00711444" w:rsidRPr="004D0DAA" w:rsidRDefault="00711444" w:rsidP="00AA2A4C">
            <w:pPr>
              <w:pStyle w:val="TAL"/>
              <w:rPr>
                <w:lang w:eastAsia="en-US"/>
              </w:rPr>
            </w:pPr>
            <w:r w:rsidRPr="004D0DAA">
              <w:rPr>
                <w:lang w:eastAsia="en-US"/>
              </w:rPr>
              <w:tab/>
              <w:t xml:space="preserve">| 1 &lt; </w:t>
            </w:r>
            <w:r w:rsidRPr="004D0DAA">
              <w:rPr>
                <w:b/>
                <w:bCs/>
                <w:lang w:eastAsia="en-US"/>
              </w:rPr>
              <w:t>Pulse Format Coding 2</w:t>
            </w:r>
            <w:r w:rsidRPr="004D0DAA">
              <w:rPr>
                <w:lang w:eastAsia="en-US"/>
              </w:rPr>
              <w:t xml:space="preserve"> : </w:t>
            </w:r>
            <w:r w:rsidRPr="004D0DAA">
              <w:rPr>
                <w:rFonts w:cs="Arial"/>
                <w:szCs w:val="18"/>
                <w:lang w:eastAsia="de-DE"/>
              </w:rPr>
              <w:t xml:space="preserve">&lt; </w:t>
            </w:r>
            <w:r w:rsidRPr="004D0DAA">
              <w:rPr>
                <w:rFonts w:cs="Arial"/>
                <w:lang w:eastAsia="de-DE"/>
              </w:rPr>
              <w:t xml:space="preserve">Pulse Format Coding </w:t>
            </w:r>
            <w:r w:rsidRPr="004D0DAA">
              <w:rPr>
                <w:rFonts w:cs="Arial"/>
                <w:szCs w:val="18"/>
                <w:lang w:eastAsia="de-DE"/>
              </w:rPr>
              <w:t>2 struct &gt;</w:t>
            </w:r>
            <w:r w:rsidRPr="004D0DAA">
              <w:rPr>
                <w:lang w:eastAsia="en-US"/>
              </w:rPr>
              <w:t xml:space="preserve"> &gt; };</w:t>
            </w:r>
          </w:p>
          <w:p w14:paraId="3F7CD31A" w14:textId="77777777" w:rsidR="00711444" w:rsidRPr="004D0DAA" w:rsidRDefault="00711444" w:rsidP="00AA2A4C">
            <w:pPr>
              <w:pStyle w:val="TAL"/>
              <w:rPr>
                <w:lang w:eastAsia="en-US"/>
              </w:rPr>
            </w:pPr>
          </w:p>
          <w:p w14:paraId="32BB6F6D" w14:textId="77777777" w:rsidR="00711444" w:rsidRPr="004D0DAA" w:rsidRDefault="00711444" w:rsidP="00AA2A4C">
            <w:pPr>
              <w:pStyle w:val="TAL"/>
              <w:rPr>
                <w:lang w:eastAsia="de-DE"/>
              </w:rPr>
            </w:pPr>
            <w:r w:rsidRPr="004D0DAA">
              <w:rPr>
                <w:lang w:eastAsia="de-DE"/>
              </w:rPr>
              <w:t xml:space="preserve">&lt; Pulse Format Coding </w:t>
            </w:r>
            <w:r w:rsidRPr="004D0DAA">
              <w:rPr>
                <w:szCs w:val="18"/>
                <w:lang w:eastAsia="de-DE"/>
              </w:rPr>
              <w:t xml:space="preserve">2 struct </w:t>
            </w:r>
            <w:r w:rsidRPr="004D0DAA">
              <w:rPr>
                <w:lang w:eastAsia="de-DE"/>
              </w:rPr>
              <w:t>&gt; ::=</w:t>
            </w:r>
          </w:p>
          <w:p w14:paraId="5BAE806A" w14:textId="77777777" w:rsidR="00711444" w:rsidRPr="004D0DAA" w:rsidRDefault="00711444" w:rsidP="00AA2A4C">
            <w:pPr>
              <w:pStyle w:val="TAL"/>
              <w:rPr>
                <w:lang w:eastAsia="de-DE"/>
              </w:rPr>
            </w:pPr>
            <w:r w:rsidRPr="004D0DAA">
              <w:rPr>
                <w:lang w:eastAsia="de-DE"/>
              </w:rPr>
              <w:tab/>
              <w:t>{  0</w:t>
            </w:r>
            <w:r w:rsidRPr="004D0DAA">
              <w:rPr>
                <w:lang w:eastAsia="de-DE"/>
              </w:rPr>
              <w:tab/>
              <w:t xml:space="preserve">&lt; </w:t>
            </w:r>
            <w:r w:rsidRPr="004D0DAA">
              <w:rPr>
                <w:b/>
                <w:lang w:eastAsia="de-DE"/>
              </w:rPr>
              <w:t>Pulse Format Bitmap Length</w:t>
            </w:r>
            <w:r w:rsidRPr="004D0DAA">
              <w:rPr>
                <w:lang w:eastAsia="de-DE"/>
              </w:rPr>
              <w:t>: bit (7) &gt;</w:t>
            </w:r>
          </w:p>
          <w:p w14:paraId="508137DA" w14:textId="77777777" w:rsidR="00711444" w:rsidRPr="004D0DAA" w:rsidRDefault="00711444" w:rsidP="00AA2A4C">
            <w:pPr>
              <w:pStyle w:val="TAL"/>
              <w:rPr>
                <w:lang w:eastAsia="de-DE"/>
              </w:rPr>
            </w:pPr>
            <w:r w:rsidRPr="004D0DAA">
              <w:rPr>
                <w:lang w:eastAsia="de-DE"/>
              </w:rPr>
              <w:tab/>
            </w:r>
            <w:r w:rsidRPr="004D0DAA">
              <w:rPr>
                <w:lang w:eastAsia="de-DE"/>
              </w:rPr>
              <w:tab/>
              <w:t xml:space="preserve">&lt; </w:t>
            </w:r>
            <w:r w:rsidRPr="004D0DAA">
              <w:rPr>
                <w:b/>
                <w:lang w:eastAsia="de-DE"/>
              </w:rPr>
              <w:t>Pulse Format Bitmap</w:t>
            </w:r>
            <w:r w:rsidRPr="004D0DAA">
              <w:rPr>
                <w:lang w:eastAsia="de-DE"/>
              </w:rPr>
              <w:t xml:space="preserve">: </w:t>
            </w:r>
            <w:r w:rsidRPr="004D0DAA">
              <w:rPr>
                <w:lang w:eastAsia="de-DE"/>
              </w:rPr>
              <w:br/>
            </w:r>
            <w:r w:rsidRPr="004D0DAA">
              <w:rPr>
                <w:lang w:eastAsia="de-DE"/>
              </w:rPr>
              <w:tab/>
            </w:r>
            <w:r w:rsidRPr="004D0DAA">
              <w:rPr>
                <w:lang w:eastAsia="de-DE"/>
              </w:rPr>
              <w:tab/>
            </w:r>
            <w:r w:rsidRPr="004D0DAA">
              <w:rPr>
                <w:lang w:eastAsia="de-DE"/>
              </w:rPr>
              <w:tab/>
              <w:t>bit (val (</w:t>
            </w:r>
            <w:r w:rsidRPr="004D0DAA">
              <w:rPr>
                <w:b/>
                <w:lang w:eastAsia="de-DE"/>
              </w:rPr>
              <w:t>Pulse Format Bitmap Length</w:t>
            </w:r>
            <w:r w:rsidRPr="004D0DAA">
              <w:rPr>
                <w:lang w:eastAsia="de-DE"/>
              </w:rPr>
              <w:t>) + 1)</w:t>
            </w:r>
          </w:p>
          <w:p w14:paraId="08487BC4" w14:textId="77777777" w:rsidR="00711444" w:rsidRPr="004D0DAA" w:rsidRDefault="00711444" w:rsidP="00AA2A4C">
            <w:pPr>
              <w:pStyle w:val="TAL"/>
              <w:rPr>
                <w:lang w:eastAsia="en-US"/>
              </w:rPr>
            </w:pPr>
            <w:r w:rsidRPr="004D0DAA">
              <w:rPr>
                <w:lang w:eastAsia="de-DE"/>
              </w:rPr>
              <w:t xml:space="preserve"> </w:t>
            </w:r>
            <w:r w:rsidRPr="004D0DAA">
              <w:rPr>
                <w:lang w:eastAsia="de-DE"/>
              </w:rPr>
              <w:tab/>
            </w:r>
            <w:r w:rsidRPr="004D0DAA">
              <w:rPr>
                <w:lang w:eastAsia="en-US"/>
              </w:rPr>
              <w:tab/>
            </w:r>
            <w:r w:rsidRPr="004D0DAA">
              <w:rPr>
                <w:lang w:eastAsia="en-US"/>
              </w:rPr>
              <w:tab/>
              <w:t xml:space="preserve">&amp; { { </w:t>
            </w:r>
            <w:r w:rsidRPr="004D0DAA">
              <w:rPr>
                <w:b/>
                <w:lang w:eastAsia="en-US"/>
              </w:rPr>
              <w:t>1</w:t>
            </w:r>
            <w:r w:rsidRPr="004D0DAA">
              <w:rPr>
                <w:lang w:eastAsia="en-US"/>
              </w:rPr>
              <w:t xml:space="preserve"> | </w:t>
            </w:r>
            <w:r w:rsidRPr="004D0DAA">
              <w:rPr>
                <w:b/>
                <w:lang w:eastAsia="en-US"/>
              </w:rPr>
              <w:t>01</w:t>
            </w:r>
            <w:r w:rsidRPr="004D0DAA">
              <w:rPr>
                <w:lang w:eastAsia="en-US"/>
              </w:rPr>
              <w:t xml:space="preserve"> | </w:t>
            </w:r>
            <w:r w:rsidRPr="004D0DAA">
              <w:rPr>
                <w:b/>
                <w:lang w:eastAsia="en-US"/>
              </w:rPr>
              <w:t xml:space="preserve">00 </w:t>
            </w:r>
            <w:r w:rsidRPr="004D0DAA">
              <w:rPr>
                <w:lang w:eastAsia="en-US"/>
              </w:rPr>
              <w:t xml:space="preserve">} ** ! { bit** = &lt;no string&gt; } } </w:t>
            </w:r>
            <w:r w:rsidRPr="004D0DAA">
              <w:rPr>
                <w:lang w:eastAsia="de-DE"/>
              </w:rPr>
              <w:t xml:space="preserve">&gt; </w:t>
            </w:r>
          </w:p>
          <w:p w14:paraId="5FC0D250" w14:textId="77777777" w:rsidR="00711444" w:rsidRPr="004D0DAA" w:rsidRDefault="00711444" w:rsidP="00AA2A4C">
            <w:pPr>
              <w:pStyle w:val="TAL"/>
              <w:rPr>
                <w:lang w:eastAsia="de-DE"/>
              </w:rPr>
            </w:pPr>
            <w:r w:rsidRPr="004D0DAA">
              <w:rPr>
                <w:lang w:eastAsia="de-DE"/>
              </w:rPr>
              <w:tab/>
              <w:t>| 1</w:t>
            </w:r>
            <w:r w:rsidRPr="004D0DAA">
              <w:rPr>
                <w:lang w:eastAsia="de-DE"/>
              </w:rPr>
              <w:tab/>
              <w:t xml:space="preserve">&lt; </w:t>
            </w:r>
            <w:r w:rsidRPr="004D0DAA">
              <w:rPr>
                <w:b/>
                <w:lang w:eastAsia="de-DE"/>
              </w:rPr>
              <w:t xml:space="preserve">Non Hopping Carrier Pulse Format </w:t>
            </w:r>
            <w:r w:rsidRPr="004D0DAA">
              <w:rPr>
                <w:lang w:eastAsia="de-DE"/>
              </w:rPr>
              <w:t xml:space="preserve">: </w:t>
            </w:r>
            <w:r w:rsidRPr="004D0DAA">
              <w:rPr>
                <w:b/>
                <w:lang w:eastAsia="en-US"/>
              </w:rPr>
              <w:t>1</w:t>
            </w:r>
            <w:r w:rsidRPr="004D0DAA">
              <w:rPr>
                <w:lang w:eastAsia="en-US"/>
              </w:rPr>
              <w:t xml:space="preserve"> | </w:t>
            </w:r>
            <w:r w:rsidRPr="004D0DAA">
              <w:rPr>
                <w:b/>
                <w:lang w:eastAsia="en-US"/>
              </w:rPr>
              <w:t>01</w:t>
            </w:r>
            <w:r w:rsidRPr="004D0DAA">
              <w:rPr>
                <w:lang w:eastAsia="en-US"/>
              </w:rPr>
              <w:t xml:space="preserve"> | </w:t>
            </w:r>
            <w:r w:rsidRPr="004D0DAA">
              <w:rPr>
                <w:b/>
                <w:lang w:eastAsia="en-US"/>
              </w:rPr>
              <w:t xml:space="preserve">00 </w:t>
            </w:r>
            <w:r w:rsidRPr="004D0DAA">
              <w:rPr>
                <w:lang w:eastAsia="de-DE"/>
              </w:rPr>
              <w:t>&gt;</w:t>
            </w:r>
          </w:p>
          <w:p w14:paraId="0351252D" w14:textId="77777777" w:rsidR="00711444" w:rsidRPr="004D0DAA" w:rsidRDefault="00711444" w:rsidP="00AA2A4C">
            <w:pPr>
              <w:pStyle w:val="TAL"/>
              <w:rPr>
                <w:lang w:eastAsia="de-DE"/>
              </w:rPr>
            </w:pPr>
            <w:r w:rsidRPr="004D0DAA">
              <w:rPr>
                <w:lang w:eastAsia="de-DE"/>
              </w:rPr>
              <w:tab/>
              <w:t>} ;</w:t>
            </w:r>
          </w:p>
          <w:p w14:paraId="5B0BE838" w14:textId="77777777" w:rsidR="00711444" w:rsidRPr="004D0DAA" w:rsidRDefault="00711444" w:rsidP="00AA2A4C">
            <w:pPr>
              <w:pStyle w:val="TAL"/>
              <w:rPr>
                <w:lang w:eastAsia="en-US"/>
              </w:rPr>
            </w:pPr>
          </w:p>
          <w:p w14:paraId="72D88103" w14:textId="77777777" w:rsidR="00711444" w:rsidRPr="004D0DAA" w:rsidRDefault="00711444" w:rsidP="00AA2A4C">
            <w:pPr>
              <w:pStyle w:val="TAL"/>
              <w:rPr>
                <w:lang w:eastAsia="en-US"/>
              </w:rPr>
            </w:pPr>
          </w:p>
        </w:tc>
      </w:tr>
      <w:tr w:rsidR="00711444" w:rsidRPr="004D0DAA" w14:paraId="5E801F91" w14:textId="77777777" w:rsidTr="00AA2A4C">
        <w:tblPrEx>
          <w:tblCellMar>
            <w:top w:w="0" w:type="dxa"/>
            <w:bottom w:w="0" w:type="dxa"/>
          </w:tblCellMar>
        </w:tblPrEx>
        <w:trPr>
          <w:cantSplit/>
        </w:trPr>
        <w:tc>
          <w:tcPr>
            <w:tcW w:w="9848" w:type="dxa"/>
          </w:tcPr>
          <w:p w14:paraId="2F6F889E" w14:textId="77777777" w:rsidR="00711444" w:rsidRPr="004D0DAA" w:rsidRDefault="00711444" w:rsidP="00AA2A4C">
            <w:pPr>
              <w:pStyle w:val="TAL"/>
              <w:rPr>
                <w:lang w:eastAsia="en-US"/>
              </w:rPr>
            </w:pPr>
            <w:r w:rsidRPr="004D0DAA">
              <w:rPr>
                <w:b/>
                <w:bCs/>
                <w:lang w:eastAsia="en-US"/>
              </w:rPr>
              <w:t>Pulse Format Coding 1</w:t>
            </w:r>
          </w:p>
          <w:p w14:paraId="64D8F109" w14:textId="77777777" w:rsidR="00711444" w:rsidRPr="004D0DAA" w:rsidRDefault="00711444" w:rsidP="00AA2A4C">
            <w:pPr>
              <w:pStyle w:val="TAL"/>
              <w:rPr>
                <w:lang w:eastAsia="en-US"/>
              </w:rPr>
            </w:pPr>
          </w:p>
          <w:p w14:paraId="71A3C5BA" w14:textId="77777777" w:rsidR="00711444" w:rsidRPr="004D0DAA" w:rsidRDefault="00711444" w:rsidP="00AA2A4C">
            <w:pPr>
              <w:pStyle w:val="TAL"/>
              <w:rPr>
                <w:lang w:eastAsia="en-US"/>
              </w:rPr>
            </w:pPr>
            <w:r w:rsidRPr="004D0DAA">
              <w:rPr>
                <w:lang w:eastAsia="en-US"/>
              </w:rPr>
              <w:t>The pulse shaping filter format/spectrum mask to be used on the frequencies specified in the mobile allocation are as specified in the table below.  Frequency 1 is the lowest frequency, and Frequency n is the highest frequency (when ordered according to the value of their frequency in Hz).</w:t>
            </w:r>
          </w:p>
          <w:p w14:paraId="32E55A25" w14:textId="77777777" w:rsidR="00711444" w:rsidRPr="004D0DAA" w:rsidRDefault="00711444" w:rsidP="00AA2A4C">
            <w:pPr>
              <w:pStyle w:val="TAL"/>
              <w:rPr>
                <w:lang w:eastAsia="en-US"/>
              </w:rPr>
            </w:pPr>
          </w:p>
          <w:p w14:paraId="23C014BC" w14:textId="77777777" w:rsidR="00711444" w:rsidRPr="004D0DAA" w:rsidRDefault="00711444" w:rsidP="00AA2A4C">
            <w:pPr>
              <w:pStyle w:val="TAL"/>
              <w:rPr>
                <w:lang w:eastAsia="en-US"/>
              </w:rPr>
            </w:pPr>
            <w:r w:rsidRPr="004D0DAA">
              <w:rPr>
                <w:lang w:eastAsia="en-US"/>
              </w:rPr>
              <w:t>Where 'W' is indicated, the wideband pulse option applies.</w:t>
            </w:r>
          </w:p>
          <w:p w14:paraId="1AE83B3A" w14:textId="77777777" w:rsidR="00711444" w:rsidRPr="004D0DAA" w:rsidRDefault="00711444" w:rsidP="00AA2A4C">
            <w:pPr>
              <w:pStyle w:val="TAL"/>
              <w:rPr>
                <w:lang w:eastAsia="en-US"/>
              </w:rPr>
            </w:pPr>
            <w:r w:rsidRPr="004D0DAA">
              <w:rPr>
                <w:lang w:eastAsia="en-US"/>
              </w:rPr>
              <w:t>Where 'N' is indicated, the narrowband pulse option applies.</w:t>
            </w:r>
          </w:p>
          <w:p w14:paraId="5A34EC1F" w14:textId="77777777" w:rsidR="00711444" w:rsidRPr="004D0DAA" w:rsidRDefault="00711444" w:rsidP="00AA2A4C">
            <w:pPr>
              <w:pStyle w:val="TAL"/>
              <w:rPr>
                <w:lang w:eastAsia="en-US"/>
              </w:rPr>
            </w:pPr>
            <w:r w:rsidRPr="004D0DAA">
              <w:rPr>
                <w:lang w:eastAsia="en-US"/>
              </w:rPr>
              <w:t>Where 'W2' is indicated, the wideband pulse with tighter spectrum mask applies.</w:t>
            </w:r>
          </w:p>
          <w:p w14:paraId="3B53491D" w14:textId="77777777" w:rsidR="00711444" w:rsidRPr="004D0DAA" w:rsidRDefault="00711444" w:rsidP="00AA2A4C">
            <w:pPr>
              <w:pStyle w:val="TAL"/>
              <w:rPr>
                <w:lang w:eastAsia="en-US"/>
              </w:rPr>
            </w:pPr>
          </w:p>
          <w:p w14:paraId="0528ADF0" w14:textId="77777777" w:rsidR="00711444" w:rsidRPr="004D0DAA" w:rsidRDefault="00711444" w:rsidP="00AA2A4C">
            <w:pPr>
              <w:pStyle w:val="TAL"/>
              <w:rPr>
                <w:lang w:eastAsia="en-US"/>
              </w:rPr>
            </w:pPr>
            <w:r w:rsidRPr="004D0DAA">
              <w:rPr>
                <w:lang w:eastAsia="en-US"/>
              </w:rPr>
              <w:t>bit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Frequency</w:t>
            </w:r>
          </w:p>
          <w:p w14:paraId="04A57FD9" w14:textId="77777777" w:rsidR="00711444" w:rsidRPr="004D0DAA" w:rsidRDefault="00711444" w:rsidP="00AA2A4C">
            <w:pPr>
              <w:pStyle w:val="TAL"/>
              <w:rPr>
                <w:lang w:eastAsia="en-US"/>
              </w:rPr>
            </w:pPr>
            <w:r w:rsidRPr="004D0DAA">
              <w:rPr>
                <w:lang w:eastAsia="en-US"/>
              </w:rPr>
              <w:t>3 2 1</w:t>
            </w:r>
            <w:r w:rsidRPr="004D0DAA">
              <w:rPr>
                <w:lang w:eastAsia="en-US"/>
              </w:rPr>
              <w:tab/>
            </w:r>
            <w:r w:rsidRPr="004D0DAA">
              <w:rPr>
                <w:lang w:eastAsia="en-US"/>
              </w:rPr>
              <w:tab/>
              <w:t>1</w:t>
            </w:r>
            <w:r w:rsidRPr="004D0DAA">
              <w:rPr>
                <w:lang w:eastAsia="en-US"/>
              </w:rPr>
              <w:tab/>
            </w:r>
            <w:r w:rsidRPr="004D0DAA">
              <w:rPr>
                <w:lang w:eastAsia="en-US"/>
              </w:rPr>
              <w:tab/>
            </w:r>
            <w:r w:rsidRPr="004D0DAA">
              <w:rPr>
                <w:lang w:eastAsia="en-US"/>
              </w:rPr>
              <w:tab/>
              <w:t>2</w:t>
            </w:r>
            <w:r w:rsidRPr="004D0DAA">
              <w:rPr>
                <w:lang w:eastAsia="en-US"/>
              </w:rPr>
              <w:tab/>
            </w:r>
            <w:r w:rsidRPr="004D0DAA">
              <w:rPr>
                <w:lang w:eastAsia="en-US"/>
              </w:rPr>
              <w:tab/>
              <w:t>3..(n-2)</w:t>
            </w:r>
            <w:r w:rsidRPr="004D0DAA">
              <w:rPr>
                <w:lang w:eastAsia="en-US"/>
              </w:rPr>
              <w:tab/>
            </w:r>
            <w:r w:rsidRPr="004D0DAA">
              <w:rPr>
                <w:lang w:eastAsia="en-US"/>
              </w:rPr>
              <w:tab/>
              <w:t>n-1</w:t>
            </w:r>
            <w:r w:rsidRPr="004D0DAA">
              <w:rPr>
                <w:lang w:eastAsia="en-US"/>
              </w:rPr>
              <w:tab/>
            </w:r>
            <w:r w:rsidRPr="004D0DAA">
              <w:rPr>
                <w:lang w:eastAsia="en-US"/>
              </w:rPr>
              <w:tab/>
            </w:r>
            <w:r w:rsidRPr="004D0DAA">
              <w:rPr>
                <w:lang w:eastAsia="en-US"/>
              </w:rPr>
              <w:tab/>
              <w:t>n</w:t>
            </w:r>
          </w:p>
          <w:p w14:paraId="5C264906" w14:textId="77777777" w:rsidR="00711444" w:rsidRPr="004D0DAA" w:rsidRDefault="00711444" w:rsidP="00AA2A4C">
            <w:pPr>
              <w:pStyle w:val="TAL"/>
              <w:rPr>
                <w:lang w:eastAsia="en-US"/>
              </w:rPr>
            </w:pPr>
            <w:r w:rsidRPr="004D0DAA">
              <w:rPr>
                <w:lang w:eastAsia="en-US"/>
              </w:rPr>
              <w:t>0 0 0</w:t>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p>
          <w:p w14:paraId="43CC56ED" w14:textId="77777777" w:rsidR="00711444" w:rsidRPr="004D0DAA" w:rsidRDefault="00711444" w:rsidP="00AA2A4C">
            <w:pPr>
              <w:pStyle w:val="TAL"/>
              <w:rPr>
                <w:lang w:eastAsia="en-US"/>
              </w:rPr>
            </w:pPr>
            <w:r w:rsidRPr="004D0DAA">
              <w:rPr>
                <w:lang w:eastAsia="en-US"/>
              </w:rPr>
              <w:t>0 0 1</w:t>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N</w:t>
            </w:r>
          </w:p>
          <w:p w14:paraId="112FA395" w14:textId="77777777" w:rsidR="00711444" w:rsidRPr="004D0DAA" w:rsidRDefault="00711444" w:rsidP="00AA2A4C">
            <w:pPr>
              <w:pStyle w:val="TAL"/>
              <w:rPr>
                <w:lang w:eastAsia="en-US"/>
              </w:rPr>
            </w:pPr>
            <w:r w:rsidRPr="004D0DAA">
              <w:rPr>
                <w:lang w:eastAsia="en-US"/>
              </w:rPr>
              <w:t>0 1 0</w:t>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p>
          <w:p w14:paraId="6BA34AAA" w14:textId="77777777" w:rsidR="00711444" w:rsidRPr="004D0DAA" w:rsidRDefault="00711444" w:rsidP="00AA2A4C">
            <w:pPr>
              <w:pStyle w:val="TAL"/>
              <w:rPr>
                <w:lang w:eastAsia="en-US"/>
              </w:rPr>
            </w:pPr>
            <w:r w:rsidRPr="004D0DAA">
              <w:rPr>
                <w:lang w:eastAsia="en-US"/>
              </w:rPr>
              <w:t>0 1 1</w:t>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N</w:t>
            </w:r>
          </w:p>
          <w:p w14:paraId="72745D28" w14:textId="77777777" w:rsidR="00711444" w:rsidRPr="004D0DAA" w:rsidRDefault="00711444" w:rsidP="00AA2A4C">
            <w:pPr>
              <w:pStyle w:val="TAL"/>
              <w:rPr>
                <w:lang w:eastAsia="en-US"/>
              </w:rPr>
            </w:pPr>
            <w:r w:rsidRPr="004D0DAA">
              <w:rPr>
                <w:lang w:eastAsia="en-US"/>
              </w:rPr>
              <w:t xml:space="preserve">1 0 0 </w:t>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N</w:t>
            </w:r>
            <w:r w:rsidRPr="004D0DAA">
              <w:rPr>
                <w:lang w:eastAsia="en-US"/>
              </w:rPr>
              <w:tab/>
            </w:r>
            <w:r w:rsidRPr="004D0DAA">
              <w:rPr>
                <w:lang w:eastAsia="en-US"/>
              </w:rPr>
              <w:tab/>
            </w:r>
            <w:r w:rsidRPr="004D0DAA">
              <w:rPr>
                <w:lang w:eastAsia="en-US"/>
              </w:rPr>
              <w:tab/>
              <w:t>N</w:t>
            </w:r>
          </w:p>
          <w:p w14:paraId="7526BC0B" w14:textId="77777777" w:rsidR="00711444" w:rsidRPr="004D0DAA" w:rsidRDefault="00711444" w:rsidP="00AA2A4C">
            <w:pPr>
              <w:pStyle w:val="TAL"/>
              <w:rPr>
                <w:lang w:eastAsia="en-US"/>
              </w:rPr>
            </w:pPr>
            <w:r w:rsidRPr="004D0DAA">
              <w:rPr>
                <w:lang w:eastAsia="en-US"/>
              </w:rPr>
              <w:t>1 0 1</w:t>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W2</w:t>
            </w:r>
          </w:p>
          <w:p w14:paraId="6A08DD37" w14:textId="77777777" w:rsidR="00711444" w:rsidRPr="004D0DAA" w:rsidRDefault="00711444" w:rsidP="00AA2A4C">
            <w:pPr>
              <w:pStyle w:val="TAL"/>
              <w:rPr>
                <w:lang w:eastAsia="en-US"/>
              </w:rPr>
            </w:pPr>
            <w:r w:rsidRPr="004D0DAA">
              <w:rPr>
                <w:lang w:eastAsia="en-US"/>
              </w:rPr>
              <w:t>1 1 0</w:t>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p>
          <w:p w14:paraId="711B847C" w14:textId="77777777" w:rsidR="00711444" w:rsidRPr="004D0DAA" w:rsidRDefault="00711444" w:rsidP="00AA2A4C">
            <w:pPr>
              <w:pStyle w:val="TAL"/>
              <w:rPr>
                <w:lang w:eastAsia="en-US"/>
              </w:rPr>
            </w:pPr>
            <w:r w:rsidRPr="004D0DAA">
              <w:rPr>
                <w:lang w:eastAsia="en-US"/>
              </w:rPr>
              <w:t>1 1 1</w:t>
            </w:r>
            <w:r w:rsidRPr="004D0DAA">
              <w:rPr>
                <w:lang w:eastAsia="en-US"/>
              </w:rPr>
              <w:tab/>
            </w:r>
            <w:r w:rsidRPr="004D0DAA">
              <w:rPr>
                <w:lang w:eastAsia="en-US"/>
              </w:rPr>
              <w:tab/>
              <w:t>W2</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w:t>
            </w:r>
            <w:r w:rsidRPr="004D0DAA">
              <w:rPr>
                <w:lang w:eastAsia="en-US"/>
              </w:rPr>
              <w:tab/>
            </w:r>
            <w:r w:rsidRPr="004D0DAA">
              <w:rPr>
                <w:lang w:eastAsia="en-US"/>
              </w:rPr>
              <w:tab/>
            </w:r>
            <w:r w:rsidRPr="004D0DAA">
              <w:rPr>
                <w:lang w:eastAsia="en-US"/>
              </w:rPr>
              <w:tab/>
              <w:t>W2</w:t>
            </w:r>
          </w:p>
          <w:p w14:paraId="47B66C67" w14:textId="77777777" w:rsidR="00711444" w:rsidRPr="004D0DAA" w:rsidRDefault="00711444" w:rsidP="00AA2A4C">
            <w:pPr>
              <w:pStyle w:val="TAL"/>
              <w:rPr>
                <w:lang w:eastAsia="en-US"/>
              </w:rPr>
            </w:pPr>
          </w:p>
          <w:p w14:paraId="3C697FDD" w14:textId="77777777" w:rsidR="00711444" w:rsidRPr="004D0DAA" w:rsidRDefault="00711444" w:rsidP="00AA2A4C">
            <w:pPr>
              <w:pStyle w:val="TAL"/>
              <w:rPr>
                <w:lang w:eastAsia="en-US"/>
              </w:rPr>
            </w:pPr>
          </w:p>
          <w:p w14:paraId="365B0FF6" w14:textId="77777777" w:rsidR="00711444" w:rsidRPr="004D0DAA" w:rsidRDefault="00711444" w:rsidP="00AA2A4C">
            <w:pPr>
              <w:pStyle w:val="TAL"/>
              <w:rPr>
                <w:lang w:eastAsia="en-US"/>
              </w:rPr>
            </w:pPr>
          </w:p>
        </w:tc>
      </w:tr>
      <w:tr w:rsidR="00711444" w:rsidRPr="004D0DAA" w14:paraId="41C0B16F" w14:textId="77777777" w:rsidTr="00AA2A4C">
        <w:tblPrEx>
          <w:tblCellMar>
            <w:top w:w="0" w:type="dxa"/>
            <w:bottom w:w="0" w:type="dxa"/>
          </w:tblCellMar>
        </w:tblPrEx>
        <w:trPr>
          <w:cantSplit/>
        </w:trPr>
        <w:tc>
          <w:tcPr>
            <w:tcW w:w="9848" w:type="dxa"/>
          </w:tcPr>
          <w:p w14:paraId="7447D74A" w14:textId="77777777" w:rsidR="00711444" w:rsidRPr="004D0DAA" w:rsidRDefault="00711444" w:rsidP="00AA2A4C">
            <w:pPr>
              <w:pStyle w:val="TAL"/>
              <w:rPr>
                <w:lang w:eastAsia="en-US"/>
              </w:rPr>
            </w:pPr>
            <w:r w:rsidRPr="004D0DAA">
              <w:rPr>
                <w:b/>
                <w:bCs/>
                <w:lang w:eastAsia="en-US"/>
              </w:rPr>
              <w:t>Pulse Format Coding 2:</w:t>
            </w:r>
          </w:p>
          <w:p w14:paraId="031B1504" w14:textId="77777777" w:rsidR="00711444" w:rsidRPr="004D0DAA" w:rsidRDefault="00711444" w:rsidP="00AA2A4C">
            <w:pPr>
              <w:pStyle w:val="TAL"/>
              <w:rPr>
                <w:lang w:eastAsia="en-US"/>
              </w:rPr>
            </w:pPr>
          </w:p>
          <w:p w14:paraId="4101F9EB" w14:textId="77777777" w:rsidR="00711444" w:rsidRPr="004D0DAA" w:rsidRDefault="00711444" w:rsidP="00AA2A4C">
            <w:pPr>
              <w:pStyle w:val="TAL"/>
              <w:rPr>
                <w:lang w:eastAsia="en-US"/>
              </w:rPr>
            </w:pPr>
            <w:r w:rsidRPr="004D0DAA">
              <w:rPr>
                <w:b/>
                <w:lang w:eastAsia="de-DE"/>
              </w:rPr>
              <w:t>Pulse Format Bitmap Length</w:t>
            </w:r>
            <w:r w:rsidRPr="004D0DAA">
              <w:rPr>
                <w:bCs/>
                <w:lang w:eastAsia="en-US"/>
              </w:rPr>
              <w:t xml:space="preserve"> (7 bit field)</w:t>
            </w:r>
            <w:r w:rsidRPr="004D0DAA">
              <w:rPr>
                <w:b/>
                <w:lang w:eastAsia="en-US"/>
              </w:rPr>
              <w:t xml:space="preserve"> </w:t>
            </w:r>
            <w:r w:rsidRPr="004D0DAA">
              <w:rPr>
                <w:b/>
                <w:lang w:eastAsia="en-US"/>
              </w:rPr>
              <w:br/>
            </w:r>
            <w:r w:rsidRPr="004D0DAA">
              <w:rPr>
                <w:lang w:eastAsia="en-US"/>
              </w:rPr>
              <w:t>Range 0 to 127</w:t>
            </w:r>
            <w:r w:rsidRPr="004D0DAA">
              <w:rPr>
                <w:lang w:eastAsia="en-US"/>
              </w:rPr>
              <w:br/>
              <w:t xml:space="preserve">This field represents the length minus one of the </w:t>
            </w:r>
            <w:r w:rsidRPr="004D0DAA">
              <w:rPr>
                <w:b/>
                <w:lang w:eastAsia="de-DE"/>
              </w:rPr>
              <w:t>Pulse Format Bitmap</w:t>
            </w:r>
            <w:r w:rsidRPr="004D0DAA">
              <w:rPr>
                <w:lang w:eastAsia="en-US"/>
              </w:rPr>
              <w:t xml:space="preserve"> field.</w:t>
            </w:r>
          </w:p>
          <w:p w14:paraId="03DD8072" w14:textId="77777777" w:rsidR="00711444" w:rsidRPr="004D0DAA" w:rsidRDefault="00711444" w:rsidP="00AA2A4C">
            <w:pPr>
              <w:pStyle w:val="TAL"/>
              <w:rPr>
                <w:lang w:eastAsia="en-US"/>
              </w:rPr>
            </w:pPr>
          </w:p>
          <w:p w14:paraId="63955840" w14:textId="77777777" w:rsidR="00711444" w:rsidRPr="004D0DAA" w:rsidRDefault="00711444" w:rsidP="00AA2A4C">
            <w:pPr>
              <w:pStyle w:val="TAL"/>
              <w:rPr>
                <w:lang w:eastAsia="en-US"/>
              </w:rPr>
            </w:pPr>
            <w:r w:rsidRPr="004D0DAA">
              <w:rPr>
                <w:b/>
                <w:lang w:eastAsia="de-DE"/>
              </w:rPr>
              <w:t>Pulse Format Bitmap</w:t>
            </w:r>
            <w:r w:rsidRPr="004D0DAA">
              <w:rPr>
                <w:lang w:eastAsia="en-US"/>
              </w:rPr>
              <w:t xml:space="preserve"> (variable length bit field)</w:t>
            </w:r>
            <w:r w:rsidRPr="004D0DAA">
              <w:rPr>
                <w:lang w:eastAsia="en-US"/>
              </w:rPr>
              <w:br/>
            </w:r>
          </w:p>
          <w:p w14:paraId="736769FC" w14:textId="77777777" w:rsidR="00711444" w:rsidRPr="004D0DAA" w:rsidRDefault="00711444" w:rsidP="00AA2A4C">
            <w:pPr>
              <w:pStyle w:val="TAL"/>
              <w:rPr>
                <w:lang w:eastAsia="en-US"/>
              </w:rPr>
            </w:pPr>
            <w:r w:rsidRPr="004D0DAA">
              <w:rPr>
                <w:lang w:eastAsia="en-US"/>
              </w:rPr>
              <w:t>This field comprises a bitmap with each codeword (comprising 1 or 2 bits) corresponding to a frequency specified in the mobile allocation, in increasing order of ARFCN value (except that ARFCN = 0, if included, is put last).</w:t>
            </w:r>
          </w:p>
          <w:p w14:paraId="6159E779" w14:textId="77777777" w:rsidR="00711444" w:rsidRPr="004D0DAA" w:rsidRDefault="00711444" w:rsidP="00AA2A4C">
            <w:pPr>
              <w:pStyle w:val="TAL"/>
              <w:rPr>
                <w:lang w:eastAsia="en-US"/>
              </w:rPr>
            </w:pPr>
          </w:p>
          <w:p w14:paraId="511201C5" w14:textId="77777777" w:rsidR="00711444" w:rsidRPr="004D0DAA" w:rsidRDefault="00711444" w:rsidP="00AA2A4C">
            <w:pPr>
              <w:pStyle w:val="TAL"/>
              <w:rPr>
                <w:lang w:eastAsia="en-US"/>
              </w:rPr>
            </w:pPr>
            <w:r w:rsidRPr="004D0DAA">
              <w:rPr>
                <w:lang w:eastAsia="en-US"/>
              </w:rPr>
              <w:t>1</w:t>
            </w:r>
            <w:r w:rsidRPr="004D0DAA">
              <w:rPr>
                <w:lang w:eastAsia="en-US"/>
              </w:rPr>
              <w:tab/>
            </w:r>
            <w:r w:rsidRPr="004D0DAA">
              <w:rPr>
                <w:lang w:eastAsia="en-US"/>
              </w:rPr>
              <w:tab/>
              <w:t>Wide pulse shaping filter option without tight spectrum mask applies</w:t>
            </w:r>
          </w:p>
          <w:p w14:paraId="3ADAC339" w14:textId="77777777" w:rsidR="00711444" w:rsidRPr="004D0DAA" w:rsidRDefault="00711444" w:rsidP="00AA2A4C">
            <w:pPr>
              <w:pStyle w:val="TAL"/>
              <w:rPr>
                <w:lang w:eastAsia="en-US"/>
              </w:rPr>
            </w:pPr>
            <w:r w:rsidRPr="004D0DAA">
              <w:rPr>
                <w:lang w:eastAsia="en-US"/>
              </w:rPr>
              <w:t>0 1</w:t>
            </w:r>
            <w:r w:rsidRPr="004D0DAA">
              <w:rPr>
                <w:lang w:eastAsia="en-US"/>
              </w:rPr>
              <w:tab/>
            </w:r>
            <w:r w:rsidRPr="004D0DAA">
              <w:rPr>
                <w:lang w:eastAsia="en-US"/>
              </w:rPr>
              <w:tab/>
              <w:t>Wide pulse shaping filter option with tight spectrum mask applies</w:t>
            </w:r>
          </w:p>
          <w:p w14:paraId="758047AE" w14:textId="77777777" w:rsidR="00711444" w:rsidRPr="004D0DAA" w:rsidRDefault="00711444" w:rsidP="00AA2A4C">
            <w:pPr>
              <w:pStyle w:val="TAL"/>
              <w:rPr>
                <w:lang w:eastAsia="en-US"/>
              </w:rPr>
            </w:pPr>
            <w:r w:rsidRPr="004D0DAA">
              <w:rPr>
                <w:lang w:eastAsia="en-US"/>
              </w:rPr>
              <w:t>0 0</w:t>
            </w:r>
            <w:r w:rsidRPr="004D0DAA">
              <w:rPr>
                <w:lang w:eastAsia="en-US"/>
              </w:rPr>
              <w:tab/>
            </w:r>
            <w:r w:rsidRPr="004D0DAA">
              <w:rPr>
                <w:lang w:eastAsia="en-US"/>
              </w:rPr>
              <w:tab/>
              <w:t>Narrow pulse shaping filter option applies</w:t>
            </w:r>
          </w:p>
          <w:p w14:paraId="554AE694" w14:textId="77777777" w:rsidR="00711444" w:rsidRPr="004D0DAA" w:rsidRDefault="00711444" w:rsidP="00AA2A4C">
            <w:pPr>
              <w:pStyle w:val="TAL"/>
              <w:rPr>
                <w:lang w:eastAsia="en-US"/>
              </w:rPr>
            </w:pPr>
          </w:p>
          <w:p w14:paraId="357CAC16" w14:textId="77777777" w:rsidR="00711444" w:rsidRPr="004D0DAA" w:rsidRDefault="00711444" w:rsidP="00AA2A4C">
            <w:pPr>
              <w:pStyle w:val="TAL"/>
              <w:rPr>
                <w:lang w:eastAsia="en-US"/>
              </w:rPr>
            </w:pPr>
            <w:r w:rsidRPr="004D0DAA">
              <w:rPr>
                <w:lang w:eastAsia="en-US"/>
              </w:rPr>
              <w:t>If the number of codewords in the bitmap is greater than the number of frequencies specified in the mobile allocation, the extra codewords shall be ignored. If the number of codewords in the bitmap in lower than the number of frequencies specified in the mobile allocation, the wide pulse shaping filter without tight spectrum mask shall apply for any frequency with no corresponding codeword.</w:t>
            </w:r>
          </w:p>
          <w:p w14:paraId="0AE28630" w14:textId="77777777" w:rsidR="00711444" w:rsidRPr="004D0DAA" w:rsidRDefault="00711444" w:rsidP="00AA2A4C">
            <w:pPr>
              <w:pStyle w:val="TAL"/>
              <w:rPr>
                <w:lang w:eastAsia="en-US"/>
              </w:rPr>
            </w:pPr>
          </w:p>
          <w:p w14:paraId="2F4289C6" w14:textId="77777777" w:rsidR="00711444" w:rsidRPr="004D0DAA" w:rsidRDefault="00711444" w:rsidP="00AA2A4C">
            <w:pPr>
              <w:pStyle w:val="TAL"/>
              <w:rPr>
                <w:lang w:eastAsia="en-US"/>
              </w:rPr>
            </w:pPr>
            <w:r w:rsidRPr="004D0DAA">
              <w:rPr>
                <w:b/>
                <w:lang w:eastAsia="de-DE"/>
              </w:rPr>
              <w:t xml:space="preserve">Non Hopping Carrier </w:t>
            </w:r>
            <w:r w:rsidRPr="004D0DAA">
              <w:rPr>
                <w:b/>
                <w:bCs/>
                <w:lang w:eastAsia="en-US"/>
              </w:rPr>
              <w:t>Pulse Format</w:t>
            </w:r>
          </w:p>
          <w:p w14:paraId="26AC3C76" w14:textId="77777777" w:rsidR="00711444" w:rsidRPr="004D0DAA" w:rsidRDefault="00711444" w:rsidP="00AA2A4C">
            <w:pPr>
              <w:pStyle w:val="TAL"/>
              <w:rPr>
                <w:lang w:eastAsia="en-US"/>
              </w:rPr>
            </w:pPr>
          </w:p>
          <w:p w14:paraId="389831F1" w14:textId="77777777" w:rsidR="00711444" w:rsidRPr="004D0DAA" w:rsidRDefault="00711444" w:rsidP="00AA2A4C">
            <w:pPr>
              <w:pStyle w:val="TAL"/>
              <w:rPr>
                <w:lang w:eastAsia="en-US"/>
              </w:rPr>
            </w:pPr>
            <w:r w:rsidRPr="004D0DAA">
              <w:rPr>
                <w:lang w:eastAsia="en-US"/>
              </w:rPr>
              <w:t xml:space="preserve">In the case of a non-hopping carrier, this field contains a single codeword that indicates which pulse format shall be used on the carrier. The meaning of the codeword values is identical as specified for the </w:t>
            </w:r>
            <w:r w:rsidRPr="004D0DAA">
              <w:rPr>
                <w:i/>
                <w:lang w:eastAsia="en-US"/>
              </w:rPr>
              <w:t>Pulse Format Bitmap</w:t>
            </w:r>
            <w:r w:rsidRPr="004D0DAA">
              <w:rPr>
                <w:lang w:eastAsia="en-US"/>
              </w:rPr>
              <w:t>.</w:t>
            </w:r>
          </w:p>
        </w:tc>
      </w:tr>
    </w:tbl>
    <w:p w14:paraId="1863C2B9" w14:textId="77777777" w:rsidR="00711444" w:rsidRPr="004D0DAA" w:rsidRDefault="00711444" w:rsidP="00711444"/>
    <w:p w14:paraId="4631ED0D" w14:textId="77777777" w:rsidR="00711444" w:rsidRPr="004D0DAA" w:rsidRDefault="00711444" w:rsidP="00711444">
      <w:pPr>
        <w:pStyle w:val="Heading2"/>
        <w:ind w:left="0" w:firstLine="0"/>
      </w:pPr>
      <w:bookmarkStart w:id="778" w:name="_Toc516669954"/>
      <w:r w:rsidRPr="004D0DAA">
        <w:lastRenderedPageBreak/>
        <w:t>12.8.4</w:t>
      </w:r>
      <w:r w:rsidRPr="004D0DAA">
        <w:tab/>
      </w:r>
      <w:r w:rsidRPr="004D0DAA">
        <w:tab/>
        <w:t>DLMC Frequency Parameters</w:t>
      </w:r>
      <w:bookmarkEnd w:id="778"/>
    </w:p>
    <w:p w14:paraId="045FEE42" w14:textId="77777777" w:rsidR="00711444" w:rsidRPr="004D0DAA" w:rsidRDefault="00711444" w:rsidP="00711444">
      <w:pPr>
        <w:keepNext/>
        <w:keepLines/>
        <w:ind w:left="284"/>
      </w:pPr>
      <w:r w:rsidRPr="004D0DAA">
        <w:t xml:space="preserve">The DLMC Frequency Parameters information element defines frequency parameters allocated for a unique frequency parameter set associated with a DLMC configuration. </w:t>
      </w:r>
    </w:p>
    <w:p w14:paraId="6F4407FB" w14:textId="77777777" w:rsidR="00711444" w:rsidRPr="004D0DAA" w:rsidRDefault="00711444" w:rsidP="00711444">
      <w:pPr>
        <w:pStyle w:val="TH"/>
      </w:pPr>
      <w:r w:rsidRPr="004D0DAA">
        <w:t xml:space="preserve">Table 12.8.4.1: DLMC </w:t>
      </w:r>
      <w:r w:rsidRPr="004D0DAA">
        <w:rPr>
          <w:i/>
        </w:rPr>
        <w:t>Frequency Parameters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51C534B" w14:textId="77777777" w:rsidTr="00AA2A4C">
        <w:tblPrEx>
          <w:tblCellMar>
            <w:top w:w="0" w:type="dxa"/>
            <w:bottom w:w="0" w:type="dxa"/>
          </w:tblCellMar>
        </w:tblPrEx>
        <w:trPr>
          <w:cantSplit/>
        </w:trPr>
        <w:tc>
          <w:tcPr>
            <w:tcW w:w="9848" w:type="dxa"/>
          </w:tcPr>
          <w:p w14:paraId="1FF31641" w14:textId="77777777" w:rsidR="00711444" w:rsidRPr="004D0DAA" w:rsidRDefault="00711444" w:rsidP="00AA2A4C">
            <w:pPr>
              <w:pStyle w:val="TAL"/>
              <w:rPr>
                <w:lang w:eastAsia="en-US"/>
              </w:rPr>
            </w:pPr>
            <w:r w:rsidRPr="004D0DAA">
              <w:rPr>
                <w:lang w:eastAsia="en-US"/>
              </w:rPr>
              <w:t>&lt; DLMC Frequency Parameters IE &gt; ::=</w:t>
            </w:r>
          </w:p>
          <w:p w14:paraId="4BA98F0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TSC</w:t>
            </w:r>
            <w:r w:rsidRPr="004D0DAA">
              <w:rPr>
                <w:lang w:eastAsia="en-US"/>
              </w:rPr>
              <w:t xml:space="preserve"> : bit (3) &gt;</w:t>
            </w:r>
          </w:p>
          <w:p w14:paraId="42E01FEF" w14:textId="77777777" w:rsidR="00711444" w:rsidRPr="004D0DAA" w:rsidRDefault="00711444" w:rsidP="00AA2A4C">
            <w:pPr>
              <w:pStyle w:val="TAL"/>
              <w:rPr>
                <w:lang w:eastAsia="en-US"/>
              </w:rPr>
            </w:pPr>
            <w:r w:rsidRPr="004D0DAA">
              <w:rPr>
                <w:lang w:eastAsia="en-US"/>
              </w:rPr>
              <w:tab/>
              <w:t xml:space="preserve">{ 00 &lt; </w:t>
            </w:r>
            <w:r w:rsidRPr="004D0DAA">
              <w:rPr>
                <w:b/>
                <w:lang w:eastAsia="en-US"/>
              </w:rPr>
              <w:t>ARFCN</w:t>
            </w:r>
            <w:r w:rsidRPr="004D0DAA">
              <w:rPr>
                <w:lang w:eastAsia="en-US"/>
              </w:rPr>
              <w:t xml:space="preserve"> : bit (10) &gt;</w:t>
            </w:r>
          </w:p>
          <w:p w14:paraId="2B35F65B" w14:textId="77777777" w:rsidR="00711444" w:rsidRPr="004D0DAA" w:rsidRDefault="00711444" w:rsidP="00AA2A4C">
            <w:pPr>
              <w:pStyle w:val="TAL"/>
              <w:rPr>
                <w:lang w:eastAsia="en-US"/>
              </w:rPr>
            </w:pPr>
            <w:r w:rsidRPr="004D0DAA">
              <w:rPr>
                <w:lang w:eastAsia="en-US"/>
              </w:rPr>
              <w:tab/>
              <w:t xml:space="preserve">| 01 &lt; DLMC </w:t>
            </w:r>
            <w:r w:rsidRPr="004D0DAA">
              <w:rPr>
                <w:b/>
                <w:lang w:eastAsia="en-US"/>
              </w:rPr>
              <w:t>Indirect encoding</w:t>
            </w:r>
            <w:r w:rsidRPr="004D0DAA">
              <w:rPr>
                <w:lang w:eastAsia="en-US"/>
              </w:rPr>
              <w:t xml:space="preserve"> : &lt; DLMC Indirect encoding struct &gt; &gt;</w:t>
            </w:r>
          </w:p>
          <w:p w14:paraId="5038D56D" w14:textId="77777777" w:rsidR="00711444" w:rsidRPr="004D0DAA" w:rsidRDefault="00711444" w:rsidP="00AA2A4C">
            <w:pPr>
              <w:pStyle w:val="TAL"/>
              <w:rPr>
                <w:lang w:eastAsia="en-US"/>
              </w:rPr>
            </w:pPr>
            <w:r w:rsidRPr="004D0DAA">
              <w:rPr>
                <w:lang w:eastAsia="en-US"/>
              </w:rPr>
              <w:tab/>
              <w:t xml:space="preserve">| 10 &lt; DLMC </w:t>
            </w:r>
            <w:r w:rsidRPr="004D0DAA">
              <w:rPr>
                <w:b/>
                <w:lang w:eastAsia="en-US"/>
              </w:rPr>
              <w:t>Direct encoding 1</w:t>
            </w:r>
            <w:r w:rsidRPr="004D0DAA">
              <w:rPr>
                <w:lang w:eastAsia="en-US"/>
              </w:rPr>
              <w:t xml:space="preserve"> : &lt; DLMC Direct encoding 1 struct &gt; &gt;</w:t>
            </w:r>
          </w:p>
          <w:p w14:paraId="2F60A4AB" w14:textId="77777777" w:rsidR="00711444" w:rsidRPr="004D0DAA" w:rsidRDefault="00711444" w:rsidP="00AA2A4C">
            <w:pPr>
              <w:pStyle w:val="TAL"/>
              <w:rPr>
                <w:lang w:eastAsia="en-US"/>
              </w:rPr>
            </w:pPr>
            <w:r w:rsidRPr="004D0DAA">
              <w:rPr>
                <w:lang w:eastAsia="en-US"/>
              </w:rPr>
              <w:tab/>
              <w:t xml:space="preserve">| 11 &lt; DLMC </w:t>
            </w:r>
            <w:r w:rsidRPr="004D0DAA">
              <w:rPr>
                <w:b/>
                <w:lang w:eastAsia="en-US"/>
              </w:rPr>
              <w:t>Direct encoding 2</w:t>
            </w:r>
            <w:r w:rsidRPr="004D0DAA">
              <w:rPr>
                <w:lang w:eastAsia="en-US"/>
              </w:rPr>
              <w:t xml:space="preserve"> : &lt; DLMC Direct encoding 2 struct &gt; &gt; } ;</w:t>
            </w:r>
          </w:p>
          <w:p w14:paraId="299A0771" w14:textId="77777777" w:rsidR="00711444" w:rsidRPr="004D0DAA" w:rsidRDefault="00711444" w:rsidP="00AA2A4C">
            <w:pPr>
              <w:pStyle w:val="TAL"/>
              <w:rPr>
                <w:lang w:eastAsia="en-US"/>
              </w:rPr>
            </w:pPr>
          </w:p>
        </w:tc>
      </w:tr>
      <w:tr w:rsidR="00711444" w:rsidRPr="004D0DAA" w14:paraId="1E21325F" w14:textId="77777777" w:rsidTr="00AA2A4C">
        <w:tblPrEx>
          <w:tblCellMar>
            <w:top w:w="0" w:type="dxa"/>
            <w:bottom w:w="0" w:type="dxa"/>
          </w:tblCellMar>
        </w:tblPrEx>
        <w:trPr>
          <w:cantSplit/>
        </w:trPr>
        <w:tc>
          <w:tcPr>
            <w:tcW w:w="9848" w:type="dxa"/>
          </w:tcPr>
          <w:p w14:paraId="7AB42488" w14:textId="77777777" w:rsidR="00711444" w:rsidRPr="004D0DAA" w:rsidRDefault="00711444" w:rsidP="00AA2A4C">
            <w:pPr>
              <w:pStyle w:val="TAL"/>
              <w:rPr>
                <w:lang w:eastAsia="en-US"/>
              </w:rPr>
            </w:pPr>
            <w:r w:rsidRPr="004D0DAA">
              <w:rPr>
                <w:lang w:eastAsia="en-US"/>
              </w:rPr>
              <w:t>&lt; DLMC Indirect encoding struct &gt; ::=</w:t>
            </w:r>
          </w:p>
          <w:p w14:paraId="6BEA6FC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MA_NUMBER</w:t>
            </w:r>
            <w:r w:rsidRPr="004D0DAA">
              <w:rPr>
                <w:lang w:eastAsia="en-US"/>
              </w:rPr>
              <w:t xml:space="preserve"> : bit (4) &gt;</w:t>
            </w:r>
          </w:p>
          <w:p w14:paraId="1BCE7D8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CHANGE_MARK_1</w:t>
            </w:r>
            <w:r w:rsidRPr="004D0DAA">
              <w:rPr>
                <w:lang w:eastAsia="en-US"/>
              </w:rPr>
              <w:t xml:space="preserve"> : bit (2) &gt;</w:t>
            </w:r>
          </w:p>
          <w:p w14:paraId="5BB1ACD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CHANGE_MARK_2</w:t>
            </w:r>
            <w:r w:rsidRPr="004D0DAA">
              <w:rPr>
                <w:lang w:eastAsia="en-US"/>
              </w:rPr>
              <w:t xml:space="preserve"> : bit (2) &gt; } } ;</w:t>
            </w:r>
          </w:p>
          <w:p w14:paraId="4A404198" w14:textId="77777777" w:rsidR="00711444" w:rsidRPr="004D0DAA" w:rsidRDefault="00711444" w:rsidP="00AA2A4C">
            <w:pPr>
              <w:pStyle w:val="TAL"/>
              <w:rPr>
                <w:lang w:eastAsia="en-US"/>
              </w:rPr>
            </w:pPr>
          </w:p>
        </w:tc>
      </w:tr>
      <w:tr w:rsidR="00711444" w:rsidRPr="004D0DAA" w14:paraId="40CFA454" w14:textId="77777777" w:rsidTr="00AA2A4C">
        <w:tblPrEx>
          <w:tblCellMar>
            <w:top w:w="0" w:type="dxa"/>
            <w:bottom w:w="0" w:type="dxa"/>
          </w:tblCellMar>
        </w:tblPrEx>
        <w:trPr>
          <w:cantSplit/>
        </w:trPr>
        <w:tc>
          <w:tcPr>
            <w:tcW w:w="9848" w:type="dxa"/>
          </w:tcPr>
          <w:p w14:paraId="7A962B4B" w14:textId="77777777" w:rsidR="00711444" w:rsidRPr="004D0DAA" w:rsidRDefault="00711444" w:rsidP="00AA2A4C">
            <w:pPr>
              <w:pStyle w:val="TAL"/>
              <w:rPr>
                <w:lang w:eastAsia="en-US"/>
              </w:rPr>
            </w:pPr>
            <w:r w:rsidRPr="004D0DAA">
              <w:rPr>
                <w:lang w:eastAsia="en-US"/>
              </w:rPr>
              <w:t>&lt; DLMC Direct encoding 1 struct &gt; ::=</w:t>
            </w:r>
          </w:p>
          <w:p w14:paraId="6E07D2B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GPRS Mobile Allocation</w:t>
            </w:r>
            <w:r w:rsidRPr="004D0DAA">
              <w:rPr>
                <w:lang w:eastAsia="en-US"/>
              </w:rPr>
              <w:t xml:space="preserve"> : &lt; GPRS Mobile Allocation IE &gt; &gt; ;</w:t>
            </w:r>
          </w:p>
          <w:p w14:paraId="3D2B4A56" w14:textId="77777777" w:rsidR="00711444" w:rsidRPr="004D0DAA" w:rsidRDefault="00711444" w:rsidP="00AA2A4C">
            <w:pPr>
              <w:pStyle w:val="TAL"/>
              <w:rPr>
                <w:lang w:eastAsia="en-US"/>
              </w:rPr>
            </w:pPr>
          </w:p>
        </w:tc>
      </w:tr>
      <w:tr w:rsidR="00711444" w:rsidRPr="004D0DAA" w14:paraId="3E3C7C50" w14:textId="77777777" w:rsidTr="00AA2A4C">
        <w:tblPrEx>
          <w:tblCellMar>
            <w:top w:w="0" w:type="dxa"/>
            <w:bottom w:w="0" w:type="dxa"/>
          </w:tblCellMar>
        </w:tblPrEx>
        <w:trPr>
          <w:cantSplit/>
        </w:trPr>
        <w:tc>
          <w:tcPr>
            <w:tcW w:w="9848" w:type="dxa"/>
          </w:tcPr>
          <w:p w14:paraId="78DFF13F" w14:textId="77777777" w:rsidR="00711444" w:rsidRPr="004D0DAA" w:rsidRDefault="00711444" w:rsidP="00AA2A4C">
            <w:pPr>
              <w:pStyle w:val="TAL"/>
              <w:rPr>
                <w:lang w:eastAsia="en-US"/>
              </w:rPr>
            </w:pPr>
            <w:r w:rsidRPr="004D0DAA">
              <w:rPr>
                <w:lang w:eastAsia="en-US"/>
              </w:rPr>
              <w:t>&lt; DLMC Direct encoding 2 struct &gt; ::=</w:t>
            </w:r>
          </w:p>
          <w:p w14:paraId="4236E9B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HSN</w:t>
            </w:r>
            <w:r w:rsidRPr="004D0DAA">
              <w:rPr>
                <w:lang w:eastAsia="en-US"/>
              </w:rPr>
              <w:t xml:space="preserve"> : bit (6) &gt;</w:t>
            </w:r>
          </w:p>
          <w:p w14:paraId="4FB0AD4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Length of MA Frequency List contents</w:t>
            </w:r>
            <w:r w:rsidRPr="004D0DAA">
              <w:rPr>
                <w:lang w:eastAsia="en-US"/>
              </w:rPr>
              <w:t xml:space="preserve"> : bit (4) &gt;</w:t>
            </w:r>
          </w:p>
          <w:p w14:paraId="47F4658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 Frequency List contents</w:t>
            </w:r>
            <w:r w:rsidRPr="004D0DAA">
              <w:rPr>
                <w:lang w:eastAsia="en-US"/>
              </w:rPr>
              <w:t xml:space="preserve"> : octet (val(Length of MA Frequency List contents) + 3) &gt; ;</w:t>
            </w:r>
          </w:p>
          <w:p w14:paraId="05E85CCB" w14:textId="77777777" w:rsidR="00711444" w:rsidRPr="004D0DAA" w:rsidRDefault="00711444" w:rsidP="00AA2A4C">
            <w:pPr>
              <w:pStyle w:val="TAL"/>
              <w:rPr>
                <w:lang w:eastAsia="en-US"/>
              </w:rPr>
            </w:pPr>
          </w:p>
        </w:tc>
      </w:tr>
    </w:tbl>
    <w:p w14:paraId="3179D51E" w14:textId="77777777" w:rsidR="00711444" w:rsidRPr="004D0DAA" w:rsidRDefault="00711444" w:rsidP="00711444"/>
    <w:p w14:paraId="29F1A163" w14:textId="77777777" w:rsidR="00711444" w:rsidRPr="004D0DAA" w:rsidRDefault="00711444" w:rsidP="00711444">
      <w:pPr>
        <w:pStyle w:val="TH"/>
      </w:pPr>
      <w:r w:rsidRPr="004D0DAA">
        <w:t xml:space="preserve">Table 12.8.4.2: DLMC </w:t>
      </w:r>
      <w:r w:rsidRPr="004D0DAA">
        <w:rPr>
          <w:i/>
        </w:rPr>
        <w:t>Frequency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05E7CCF" w14:textId="77777777" w:rsidTr="00AA2A4C">
        <w:tblPrEx>
          <w:tblCellMar>
            <w:top w:w="0" w:type="dxa"/>
            <w:bottom w:w="0" w:type="dxa"/>
          </w:tblCellMar>
        </w:tblPrEx>
        <w:trPr>
          <w:cantSplit/>
        </w:trPr>
        <w:tc>
          <w:tcPr>
            <w:tcW w:w="9848" w:type="dxa"/>
          </w:tcPr>
          <w:p w14:paraId="35C9235D" w14:textId="77777777" w:rsidR="00711444" w:rsidRPr="004D0DAA" w:rsidRDefault="00711444" w:rsidP="00AA2A4C">
            <w:pPr>
              <w:keepLines/>
              <w:rPr>
                <w:b/>
              </w:rPr>
            </w:pPr>
            <w:r w:rsidRPr="004D0DAA">
              <w:rPr>
                <w:b/>
              </w:rPr>
              <w:t>TSC</w:t>
            </w:r>
            <w:r w:rsidRPr="004D0DAA">
              <w:t xml:space="preserve"> (3 bit field)</w:t>
            </w:r>
            <w:r w:rsidRPr="004D0DAA">
              <w:br/>
              <w:t>This field is the binary representation of the training sequence code, see 3GPP TS 45.002. Range: 0 to 7.</w:t>
            </w:r>
          </w:p>
        </w:tc>
      </w:tr>
      <w:tr w:rsidR="00711444" w:rsidRPr="004D0DAA" w14:paraId="04569215" w14:textId="77777777" w:rsidTr="00AA2A4C">
        <w:tblPrEx>
          <w:tblCellMar>
            <w:top w:w="0" w:type="dxa"/>
            <w:bottom w:w="0" w:type="dxa"/>
          </w:tblCellMar>
        </w:tblPrEx>
        <w:trPr>
          <w:cantSplit/>
        </w:trPr>
        <w:tc>
          <w:tcPr>
            <w:tcW w:w="9848" w:type="dxa"/>
          </w:tcPr>
          <w:p w14:paraId="43E6B264" w14:textId="77777777" w:rsidR="00711444" w:rsidRPr="004D0DAA" w:rsidRDefault="00711444" w:rsidP="00AA2A4C">
            <w:pPr>
              <w:keepLines/>
              <w:rPr>
                <w:b/>
              </w:rPr>
            </w:pPr>
            <w:r w:rsidRPr="004D0DAA">
              <w:rPr>
                <w:b/>
              </w:rPr>
              <w:t>ARFCN</w:t>
            </w:r>
            <w:r w:rsidRPr="004D0DAA">
              <w:t xml:space="preserve"> (10 bit field)</w:t>
            </w:r>
            <w:r w:rsidRPr="004D0DAA">
              <w:br/>
              <w:t>This field is the binary representation of the absolute radio frequency channel number (ARFCN) defined in 3GPP TS 45.005. Range 0 to 1023.</w:t>
            </w:r>
          </w:p>
        </w:tc>
      </w:tr>
      <w:tr w:rsidR="00711444" w:rsidRPr="004D0DAA" w14:paraId="0758B0AD" w14:textId="77777777" w:rsidTr="00AA2A4C">
        <w:tblPrEx>
          <w:tblCellMar>
            <w:top w:w="0" w:type="dxa"/>
            <w:bottom w:w="0" w:type="dxa"/>
          </w:tblCellMar>
        </w:tblPrEx>
        <w:trPr>
          <w:cantSplit/>
        </w:trPr>
        <w:tc>
          <w:tcPr>
            <w:tcW w:w="9848" w:type="dxa"/>
          </w:tcPr>
          <w:p w14:paraId="082ED2C6" w14:textId="77777777" w:rsidR="00711444" w:rsidRPr="004D0DAA" w:rsidRDefault="00711444" w:rsidP="00AA2A4C">
            <w:pPr>
              <w:keepLines/>
              <w:rPr>
                <w:b/>
              </w:rPr>
            </w:pPr>
            <w:r w:rsidRPr="004D0DAA">
              <w:rPr>
                <w:b/>
              </w:rPr>
              <w:t>MA_NUMBER</w:t>
            </w:r>
            <w:r w:rsidRPr="004D0DAA">
              <w:t xml:space="preserve"> (4 bit field)</w:t>
            </w:r>
            <w:r w:rsidRPr="004D0DAA">
              <w:br/>
              <w:t>This field is the binary reference to a GPRS mobile allocation received in either the PSI2 information, the SI13/PSI13 information or a previous assignment message, see sub-clause 5.5.1.6. Range: 0 to 15.</w:t>
            </w:r>
          </w:p>
        </w:tc>
      </w:tr>
      <w:tr w:rsidR="00711444" w:rsidRPr="004D0DAA" w14:paraId="44C976ED" w14:textId="77777777" w:rsidTr="00AA2A4C">
        <w:tblPrEx>
          <w:tblCellMar>
            <w:top w:w="0" w:type="dxa"/>
            <w:bottom w:w="0" w:type="dxa"/>
          </w:tblCellMar>
        </w:tblPrEx>
        <w:trPr>
          <w:cantSplit/>
        </w:trPr>
        <w:tc>
          <w:tcPr>
            <w:tcW w:w="9848" w:type="dxa"/>
          </w:tcPr>
          <w:p w14:paraId="707E9FE8" w14:textId="77777777" w:rsidR="00711444" w:rsidRPr="004D0DAA" w:rsidRDefault="00711444" w:rsidP="00AA2A4C">
            <w:pPr>
              <w:keepLines/>
              <w:rPr>
                <w:b/>
              </w:rPr>
            </w:pPr>
            <w:r w:rsidRPr="004D0DAA">
              <w:rPr>
                <w:b/>
              </w:rPr>
              <w:t>CHANGE_MARK_1</w:t>
            </w:r>
            <w:r w:rsidRPr="004D0DAA">
              <w:t xml:space="preserve"> (2 bit field)</w:t>
            </w:r>
            <w:r w:rsidRPr="004D0DAA">
              <w:br/>
            </w:r>
            <w:r w:rsidRPr="004D0DAA">
              <w:rPr>
                <w:b/>
              </w:rPr>
              <w:t>CHANGE_MARK_2</w:t>
            </w:r>
            <w:r w:rsidRPr="004D0DAA">
              <w:t xml:space="preserve"> (2 bit field)</w:t>
            </w:r>
            <w:r w:rsidRPr="004D0DAA">
              <w:br/>
              <w:t xml:space="preserve">These fields are the binary representations of the allowed values for the PSI or SI </w:t>
            </w:r>
            <w:r w:rsidRPr="004D0DAA">
              <w:rPr>
                <w:i/>
              </w:rPr>
              <w:t>change mark</w:t>
            </w:r>
            <w:r w:rsidRPr="004D0DAA">
              <w:t xml:space="preserve"> associated with the GPRS mobile allocation that the MA_NUMBER field refers to. Range: 0 to 3.</w:t>
            </w:r>
          </w:p>
        </w:tc>
      </w:tr>
      <w:tr w:rsidR="00711444" w:rsidRPr="004D0DAA" w14:paraId="6FD6CF23" w14:textId="77777777" w:rsidTr="00AA2A4C">
        <w:tblPrEx>
          <w:tblCellMar>
            <w:top w:w="0" w:type="dxa"/>
            <w:bottom w:w="0" w:type="dxa"/>
          </w:tblCellMar>
        </w:tblPrEx>
        <w:trPr>
          <w:cantSplit/>
        </w:trPr>
        <w:tc>
          <w:tcPr>
            <w:tcW w:w="9848" w:type="dxa"/>
          </w:tcPr>
          <w:p w14:paraId="7FE42E72" w14:textId="77777777" w:rsidR="00711444" w:rsidRPr="004D0DAA" w:rsidRDefault="00711444" w:rsidP="00AA2A4C">
            <w:pPr>
              <w:keepLines/>
              <w:rPr>
                <w:b/>
              </w:rPr>
            </w:pPr>
            <w:r w:rsidRPr="004D0DAA">
              <w:rPr>
                <w:b/>
              </w:rPr>
              <w:t>GPRS Mobile Allocation</w:t>
            </w:r>
            <w:r w:rsidRPr="004D0DAA">
              <w:t xml:space="preserve"> (information element)</w:t>
            </w:r>
            <w:r w:rsidRPr="004D0DAA">
              <w:br/>
              <w:t xml:space="preserve">The </w:t>
            </w:r>
            <w:r w:rsidRPr="004D0DAA">
              <w:rPr>
                <w:i/>
              </w:rPr>
              <w:t>GPRS Mobile Allocation</w:t>
            </w:r>
            <w:r w:rsidRPr="004D0DAA">
              <w:t xml:space="preserve"> information element is defined in sub-clause 12.10a.</w:t>
            </w:r>
          </w:p>
        </w:tc>
      </w:tr>
      <w:tr w:rsidR="00711444" w:rsidRPr="004D0DAA" w14:paraId="79A3429A" w14:textId="77777777" w:rsidTr="00AA2A4C">
        <w:tblPrEx>
          <w:tblCellMar>
            <w:top w:w="0" w:type="dxa"/>
            <w:bottom w:w="0" w:type="dxa"/>
          </w:tblCellMar>
        </w:tblPrEx>
        <w:trPr>
          <w:cantSplit/>
        </w:trPr>
        <w:tc>
          <w:tcPr>
            <w:tcW w:w="9848" w:type="dxa"/>
          </w:tcPr>
          <w:p w14:paraId="1ED55825" w14:textId="77777777" w:rsidR="00711444" w:rsidRPr="004D0DAA" w:rsidRDefault="00711444" w:rsidP="00AA2A4C">
            <w:pPr>
              <w:keepLines/>
              <w:rPr>
                <w:b/>
              </w:rPr>
            </w:pPr>
            <w:r w:rsidRPr="004D0DAA">
              <w:rPr>
                <w:b/>
              </w:rPr>
              <w:t>HSN</w:t>
            </w:r>
            <w:r w:rsidRPr="004D0DAA">
              <w:t xml:space="preserve"> (6 bit field)</w:t>
            </w:r>
            <w:r w:rsidRPr="004D0DAA">
              <w:br/>
              <w:t>This field is the binary representation of the hopping sequence number, see 3GPP TS 45.002. Range: 0 to 63.</w:t>
            </w:r>
          </w:p>
        </w:tc>
      </w:tr>
      <w:tr w:rsidR="00711444" w:rsidRPr="004D0DAA" w14:paraId="19C3B17B" w14:textId="77777777" w:rsidTr="00AA2A4C">
        <w:tblPrEx>
          <w:tblCellMar>
            <w:top w:w="0" w:type="dxa"/>
            <w:bottom w:w="0" w:type="dxa"/>
          </w:tblCellMar>
        </w:tblPrEx>
        <w:trPr>
          <w:cantSplit/>
        </w:trPr>
        <w:tc>
          <w:tcPr>
            <w:tcW w:w="9848" w:type="dxa"/>
          </w:tcPr>
          <w:p w14:paraId="073F12DF" w14:textId="77777777" w:rsidR="00711444" w:rsidRPr="004D0DAA" w:rsidRDefault="00711444" w:rsidP="00AA2A4C">
            <w:pPr>
              <w:keepLines/>
            </w:pPr>
            <w:r w:rsidRPr="004D0DAA">
              <w:rPr>
                <w:b/>
              </w:rPr>
              <w:t>MA Frequency List contents</w:t>
            </w:r>
            <w:r w:rsidRPr="004D0DAA">
              <w:t xml:space="preserve"> (variable length octet string)</w:t>
            </w:r>
            <w:r w:rsidRPr="004D0DAA">
              <w:br/>
              <w:t xml:space="preserve">This variable length octet string is the representation of a set of radio frequency channels defining a GPRS mobile allocation. The encoding of the octet string is defined by the </w:t>
            </w:r>
            <w:r w:rsidRPr="004D0DAA">
              <w:rPr>
                <w:i/>
              </w:rPr>
              <w:t>value part</w:t>
            </w:r>
            <w:r w:rsidRPr="004D0DAA">
              <w:t xml:space="preserve"> of the type 4 information element </w:t>
            </w:r>
            <w:r w:rsidRPr="004D0DAA">
              <w:rPr>
                <w:i/>
              </w:rPr>
              <w:t>Frequency List</w:t>
            </w:r>
            <w:r w:rsidRPr="004D0DAA">
              <w:t>,</w:t>
            </w:r>
            <w:r w:rsidRPr="004D0DAA">
              <w:rPr>
                <w:i/>
              </w:rPr>
              <w:t xml:space="preserve"> </w:t>
            </w:r>
            <w:r w:rsidRPr="004D0DAA">
              <w:t xml:space="preserve">defined in 3GPP TS 44.018. The allowed formats of the </w:t>
            </w:r>
            <w:r w:rsidRPr="004D0DAA">
              <w:rPr>
                <w:i/>
              </w:rPr>
              <w:t>Frequency List</w:t>
            </w:r>
            <w:r w:rsidRPr="004D0DAA">
              <w:t xml:space="preserve"> information element are the </w:t>
            </w:r>
            <w:r w:rsidRPr="004D0DAA">
              <w:rPr>
                <w:i/>
              </w:rPr>
              <w:t>bit map 0</w:t>
            </w:r>
            <w:r w:rsidRPr="004D0DAA">
              <w:t xml:space="preserve">, </w:t>
            </w:r>
            <w:r w:rsidRPr="004D0DAA">
              <w:rPr>
                <w:i/>
              </w:rPr>
              <w:t>1024 range</w:t>
            </w:r>
            <w:r w:rsidRPr="004D0DAA">
              <w:t xml:space="preserve">, </w:t>
            </w:r>
            <w:r w:rsidRPr="004D0DAA">
              <w:rPr>
                <w:i/>
              </w:rPr>
              <w:t>512 range</w:t>
            </w:r>
            <w:r w:rsidRPr="004D0DAA">
              <w:t xml:space="preserve">, </w:t>
            </w:r>
            <w:r w:rsidRPr="004D0DAA">
              <w:rPr>
                <w:i/>
              </w:rPr>
              <w:t>256 range</w:t>
            </w:r>
            <w:r w:rsidRPr="004D0DAA">
              <w:t xml:space="preserve">, </w:t>
            </w:r>
            <w:r w:rsidRPr="004D0DAA">
              <w:rPr>
                <w:i/>
              </w:rPr>
              <w:t>128 range</w:t>
            </w:r>
            <w:r w:rsidRPr="004D0DAA">
              <w:t xml:space="preserve"> and </w:t>
            </w:r>
            <w:r w:rsidRPr="004D0DAA">
              <w:rPr>
                <w:i/>
              </w:rPr>
              <w:t>variable bit map</w:t>
            </w:r>
            <w:r w:rsidRPr="004D0DAA">
              <w:t xml:space="preserve"> formats.</w:t>
            </w:r>
          </w:p>
        </w:tc>
      </w:tr>
    </w:tbl>
    <w:p w14:paraId="037C8591" w14:textId="77777777" w:rsidR="00711444" w:rsidRPr="004D0DAA" w:rsidRDefault="00711444" w:rsidP="00711444">
      <w:pPr>
        <w:ind w:right="1"/>
      </w:pPr>
    </w:p>
    <w:p w14:paraId="5B1CC2E6" w14:textId="77777777" w:rsidR="00711444" w:rsidRPr="004D0DAA" w:rsidRDefault="00711444" w:rsidP="00711444">
      <w:pPr>
        <w:pStyle w:val="Heading2"/>
      </w:pPr>
      <w:bookmarkStart w:id="779" w:name="_Toc516669955"/>
      <w:r w:rsidRPr="004D0DAA">
        <w:lastRenderedPageBreak/>
        <w:t>12.9</w:t>
      </w:r>
      <w:r w:rsidRPr="004D0DAA">
        <w:tab/>
        <w:t>Global Power Control Parameters</w:t>
      </w:r>
      <w:bookmarkEnd w:id="779"/>
    </w:p>
    <w:p w14:paraId="796DC65F" w14:textId="77777777" w:rsidR="00711444" w:rsidRPr="004D0DAA" w:rsidRDefault="00711444" w:rsidP="00711444">
      <w:pPr>
        <w:keepNext/>
        <w:keepLines/>
      </w:pPr>
      <w:r w:rsidRPr="004D0DAA">
        <w:t>The Global Power Control Parameters information element contains parameters the mobile station shall use to determine its TX power level. When provided, the MS shall use this information from the most recently received message.</w:t>
      </w:r>
    </w:p>
    <w:p w14:paraId="03601C08" w14:textId="77777777" w:rsidR="00711444" w:rsidRPr="004D0DAA" w:rsidRDefault="00711444" w:rsidP="00711444">
      <w:pPr>
        <w:pStyle w:val="TH"/>
      </w:pPr>
      <w:r w:rsidRPr="004D0DAA">
        <w:t xml:space="preserve">Table 12.9.1: </w:t>
      </w:r>
      <w:r w:rsidRPr="004D0DAA">
        <w:rPr>
          <w:i/>
        </w:rPr>
        <w:t xml:space="preserve">Global Power Control Parameters </w:t>
      </w:r>
      <w:r w:rsidRPr="004D0DAA">
        <w:t>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80773A0" w14:textId="77777777" w:rsidTr="00AA2A4C">
        <w:tblPrEx>
          <w:tblCellMar>
            <w:top w:w="0" w:type="dxa"/>
            <w:bottom w:w="0" w:type="dxa"/>
          </w:tblCellMar>
        </w:tblPrEx>
        <w:trPr>
          <w:cantSplit/>
        </w:trPr>
        <w:tc>
          <w:tcPr>
            <w:tcW w:w="9848" w:type="dxa"/>
          </w:tcPr>
          <w:p w14:paraId="19201994" w14:textId="77777777" w:rsidR="00711444" w:rsidRPr="004D0DAA" w:rsidRDefault="00711444" w:rsidP="00AA2A4C">
            <w:pPr>
              <w:pStyle w:val="TAL"/>
              <w:rPr>
                <w:lang w:eastAsia="en-US"/>
              </w:rPr>
            </w:pPr>
            <w:r w:rsidRPr="004D0DAA">
              <w:rPr>
                <w:lang w:eastAsia="en-US"/>
              </w:rPr>
              <w:t>&lt; Global Power Control Parameters IE &gt; ::=</w:t>
            </w:r>
          </w:p>
          <w:p w14:paraId="7F81FEDB"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 xml:space="preserve">ALPHA </w:t>
            </w:r>
            <w:r w:rsidRPr="004D0DAA">
              <w:rPr>
                <w:lang w:val="fr-FR" w:eastAsia="en-US"/>
              </w:rPr>
              <w:t>: bit (4) &gt;</w:t>
            </w:r>
          </w:p>
          <w:p w14:paraId="391B0B5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T_AVG_W </w:t>
            </w:r>
            <w:r w:rsidRPr="004D0DAA">
              <w:rPr>
                <w:lang w:val="fr-FR" w:eastAsia="en-US"/>
              </w:rPr>
              <w:t>: bit (5) &gt;</w:t>
            </w:r>
          </w:p>
          <w:p w14:paraId="5D8E3B0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T_AVG_T </w:t>
            </w:r>
            <w:r w:rsidRPr="004D0DAA">
              <w:rPr>
                <w:lang w:val="fr-FR" w:eastAsia="en-US"/>
              </w:rPr>
              <w:t>: bit (5) &gt;</w:t>
            </w:r>
          </w:p>
          <w:p w14:paraId="347C6200"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 xml:space="preserve">Pb </w:t>
            </w:r>
            <w:r w:rsidRPr="004D0DAA">
              <w:rPr>
                <w:lang w:val="fr-FR" w:eastAsia="en-US"/>
              </w:rPr>
              <w:t>: bit (4) &gt;</w:t>
            </w:r>
          </w:p>
          <w:p w14:paraId="22C872A4"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 xml:space="preserve">PC_MEAS_CHAN </w:t>
            </w:r>
            <w:r w:rsidRPr="004D0DAA">
              <w:rPr>
                <w:lang w:eastAsia="en-US"/>
              </w:rPr>
              <w:t>: bit (1) &gt;</w:t>
            </w:r>
          </w:p>
          <w:p w14:paraId="7EE2D2D8" w14:textId="77777777" w:rsidR="00711444" w:rsidRPr="004D0DAA" w:rsidRDefault="00711444" w:rsidP="00AA2A4C">
            <w:pPr>
              <w:pStyle w:val="TAL"/>
              <w:rPr>
                <w:lang w:eastAsia="en-US"/>
              </w:rPr>
            </w:pPr>
            <w:r w:rsidRPr="004D0DAA">
              <w:rPr>
                <w:lang w:eastAsia="en-US"/>
              </w:rPr>
              <w:tab/>
              <w:t>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The value '1' was allocated in an earlier version of the protocol and shall not be used. </w:t>
            </w:r>
          </w:p>
          <w:p w14:paraId="5EBF9D6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N_AVG_I </w:t>
            </w:r>
            <w:r w:rsidRPr="004D0DAA">
              <w:rPr>
                <w:lang w:eastAsia="en-US"/>
              </w:rPr>
              <w:t>: bit (4) &gt; ;</w:t>
            </w:r>
          </w:p>
        </w:tc>
      </w:tr>
    </w:tbl>
    <w:p w14:paraId="50EBCC31" w14:textId="77777777" w:rsidR="00711444" w:rsidRPr="004D0DAA" w:rsidRDefault="00711444" w:rsidP="00711444"/>
    <w:p w14:paraId="01055270" w14:textId="77777777" w:rsidR="00711444" w:rsidRPr="004D0DAA" w:rsidRDefault="00711444" w:rsidP="00711444">
      <w:pPr>
        <w:pStyle w:val="TH"/>
      </w:pPr>
      <w:r w:rsidRPr="004D0DAA">
        <w:t xml:space="preserve">Table 12.9.2: </w:t>
      </w:r>
      <w:r w:rsidRPr="004D0DAA">
        <w:rPr>
          <w:i/>
        </w:rPr>
        <w:t xml:space="preserve">Global Power Control Parameters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12FF840" w14:textId="77777777" w:rsidTr="00AA2A4C">
        <w:tblPrEx>
          <w:tblCellMar>
            <w:top w:w="0" w:type="dxa"/>
            <w:bottom w:w="0" w:type="dxa"/>
          </w:tblCellMar>
        </w:tblPrEx>
        <w:trPr>
          <w:cantSplit/>
        </w:trPr>
        <w:tc>
          <w:tcPr>
            <w:tcW w:w="9848" w:type="dxa"/>
          </w:tcPr>
          <w:p w14:paraId="443855F9" w14:textId="77777777" w:rsidR="00711444" w:rsidRPr="004D0DAA" w:rsidRDefault="00711444" w:rsidP="00AA2A4C">
            <w:r w:rsidRPr="004D0DAA">
              <w:rPr>
                <w:b/>
              </w:rPr>
              <w:t>ALPHA</w:t>
            </w:r>
            <w:r w:rsidRPr="004D0DAA">
              <w:t xml:space="preserve"> (4 bit field)</w:t>
            </w:r>
            <w:r w:rsidRPr="004D0DAA">
              <w:br/>
              <w:t xml:space="preserve">This field is the binary representation of the parameter </w:t>
            </w:r>
            <w:r w:rsidRPr="004D0DAA">
              <w:sym w:font="Symbol" w:char="F061"/>
            </w:r>
            <w:r w:rsidRPr="004D0DAA">
              <w:t xml:space="preserve"> for MS output power control in units of 0.1, see 3GPP TS 45.008.</w:t>
            </w:r>
            <w:r w:rsidRPr="004D0DAA">
              <w:br/>
              <w:t>Range: 0 to 10. The ALPHA power control parameter field is coded according to the following table:</w:t>
            </w:r>
          </w:p>
          <w:p w14:paraId="40470FA5" w14:textId="77777777" w:rsidR="00711444" w:rsidRPr="004D0DAA" w:rsidRDefault="00711444" w:rsidP="00AA2A4C">
            <w:pPr>
              <w:tabs>
                <w:tab w:val="left" w:pos="1134"/>
              </w:tabs>
              <w:rPr>
                <w:b/>
              </w:rPr>
            </w:pPr>
            <w:r w:rsidRPr="004D0DAA">
              <w:t>bit</w:t>
            </w:r>
            <w:r w:rsidRPr="004D0DAA">
              <w:br/>
              <w:t>4 3 2 1</w:t>
            </w:r>
            <w:r w:rsidRPr="004D0DAA">
              <w:br/>
              <w:t>0 0 0 0</w:t>
            </w:r>
            <w:r w:rsidRPr="004D0DAA">
              <w:tab/>
            </w:r>
            <w:r w:rsidRPr="004D0DAA">
              <w:fldChar w:fldCharType="begin"/>
            </w:r>
            <w:r w:rsidRPr="004D0DAA">
              <w:instrText>symbol 97 \f "Symbol" \s 10</w:instrText>
            </w:r>
            <w:r w:rsidRPr="004D0DAA">
              <w:fldChar w:fldCharType="separate"/>
            </w:r>
            <w:r w:rsidRPr="004D0DAA">
              <w:rPr>
                <w:rFonts w:ascii="Symbol" w:hAnsi="Symbol"/>
              </w:rPr>
              <w:t>a</w:t>
            </w:r>
            <w:r w:rsidRPr="004D0DAA">
              <w:fldChar w:fldCharType="end"/>
            </w:r>
            <w:r w:rsidRPr="004D0DAA">
              <w:t xml:space="preserve"> = 0.0</w:t>
            </w:r>
            <w:r w:rsidRPr="004D0DAA">
              <w:br/>
              <w:t>0 0 0 1</w:t>
            </w:r>
            <w:r w:rsidRPr="004D0DAA">
              <w:tab/>
            </w:r>
            <w:r w:rsidRPr="004D0DAA">
              <w:fldChar w:fldCharType="begin"/>
            </w:r>
            <w:r w:rsidRPr="004D0DAA">
              <w:instrText>symbol 97 \f "Symbol" \s 10</w:instrText>
            </w:r>
            <w:r w:rsidRPr="004D0DAA">
              <w:fldChar w:fldCharType="separate"/>
            </w:r>
            <w:r w:rsidRPr="004D0DAA">
              <w:rPr>
                <w:rFonts w:ascii="Symbol" w:hAnsi="Symbol"/>
              </w:rPr>
              <w:t>a</w:t>
            </w:r>
            <w:r w:rsidRPr="004D0DAA">
              <w:fldChar w:fldCharType="end"/>
            </w:r>
            <w:r w:rsidRPr="004D0DAA">
              <w:t xml:space="preserve"> = 0.1</w:t>
            </w:r>
            <w:r w:rsidRPr="004D0DAA">
              <w:br/>
              <w:t>0 0 1 0</w:t>
            </w:r>
            <w:r w:rsidRPr="004D0DAA">
              <w:tab/>
            </w:r>
            <w:r w:rsidRPr="004D0DAA">
              <w:fldChar w:fldCharType="begin"/>
            </w:r>
            <w:r w:rsidRPr="004D0DAA">
              <w:instrText>symbol 97 \f "Symbol" \s 10</w:instrText>
            </w:r>
            <w:r w:rsidRPr="004D0DAA">
              <w:fldChar w:fldCharType="separate"/>
            </w:r>
            <w:r w:rsidRPr="004D0DAA">
              <w:rPr>
                <w:rFonts w:ascii="Symbol" w:hAnsi="Symbol"/>
              </w:rPr>
              <w:t>a</w:t>
            </w:r>
            <w:r w:rsidRPr="004D0DAA">
              <w:fldChar w:fldCharType="end"/>
            </w:r>
            <w:r w:rsidRPr="004D0DAA">
              <w:t xml:space="preserve"> = 0.2</w:t>
            </w:r>
            <w:r w:rsidRPr="004D0DAA">
              <w:br/>
              <w:t>:</w:t>
            </w:r>
            <w:r w:rsidRPr="004D0DAA">
              <w:tab/>
              <w:t>:</w:t>
            </w:r>
            <w:r w:rsidRPr="004D0DAA">
              <w:br/>
              <w:t>1 0 0 1</w:t>
            </w:r>
            <w:r w:rsidRPr="004D0DAA">
              <w:tab/>
            </w:r>
            <w:r w:rsidRPr="004D0DAA">
              <w:fldChar w:fldCharType="begin"/>
            </w:r>
            <w:r w:rsidRPr="004D0DAA">
              <w:instrText>symbol 97 \f "Symbol" \s 10</w:instrText>
            </w:r>
            <w:r w:rsidRPr="004D0DAA">
              <w:fldChar w:fldCharType="separate"/>
            </w:r>
            <w:r w:rsidRPr="004D0DAA">
              <w:rPr>
                <w:rFonts w:ascii="Symbol" w:hAnsi="Symbol"/>
              </w:rPr>
              <w:t>a</w:t>
            </w:r>
            <w:r w:rsidRPr="004D0DAA">
              <w:fldChar w:fldCharType="end"/>
            </w:r>
            <w:r w:rsidRPr="004D0DAA">
              <w:t xml:space="preserve"> = 0.9</w:t>
            </w:r>
            <w:r w:rsidRPr="004D0DAA">
              <w:br/>
              <w:t>1 0 1 0</w:t>
            </w:r>
            <w:r w:rsidRPr="004D0DAA">
              <w:tab/>
            </w:r>
            <w:r w:rsidRPr="004D0DAA">
              <w:fldChar w:fldCharType="begin"/>
            </w:r>
            <w:r w:rsidRPr="004D0DAA">
              <w:instrText>symbol 97 \f "Symbol" \s 10</w:instrText>
            </w:r>
            <w:r w:rsidRPr="004D0DAA">
              <w:fldChar w:fldCharType="separate"/>
            </w:r>
            <w:r w:rsidRPr="004D0DAA">
              <w:rPr>
                <w:rFonts w:ascii="Symbol" w:hAnsi="Symbol"/>
              </w:rPr>
              <w:t>a</w:t>
            </w:r>
            <w:r w:rsidRPr="004D0DAA">
              <w:fldChar w:fldCharType="end"/>
            </w:r>
            <w:r w:rsidRPr="004D0DAA">
              <w:t xml:space="preserve"> = 1.0</w:t>
            </w:r>
            <w:r w:rsidRPr="004D0DAA">
              <w:br/>
              <w:t xml:space="preserve">All other values are reserved in this version of the protocol and shall be interpreted by the mobile station as </w:t>
            </w:r>
            <w:r w:rsidRPr="004D0DAA">
              <w:sym w:font="Symbol" w:char="F061"/>
            </w:r>
            <w:r w:rsidRPr="004D0DAA">
              <w:t xml:space="preserve"> = 1.0.</w:t>
            </w:r>
          </w:p>
        </w:tc>
      </w:tr>
      <w:tr w:rsidR="00711444" w:rsidRPr="004D0DAA" w14:paraId="1F67491F" w14:textId="77777777" w:rsidTr="00AA2A4C">
        <w:tblPrEx>
          <w:tblCellMar>
            <w:top w:w="0" w:type="dxa"/>
            <w:bottom w:w="0" w:type="dxa"/>
          </w:tblCellMar>
        </w:tblPrEx>
        <w:trPr>
          <w:cantSplit/>
        </w:trPr>
        <w:tc>
          <w:tcPr>
            <w:tcW w:w="9848" w:type="dxa"/>
          </w:tcPr>
          <w:p w14:paraId="2853516B" w14:textId="77777777" w:rsidR="00711444" w:rsidRPr="004D0DAA" w:rsidRDefault="00711444" w:rsidP="00AA2A4C">
            <w:pPr>
              <w:rPr>
                <w:b/>
              </w:rPr>
            </w:pPr>
            <w:r w:rsidRPr="004D0DAA">
              <w:rPr>
                <w:b/>
              </w:rPr>
              <w:t>T_AVG_W</w:t>
            </w:r>
            <w:r w:rsidRPr="004D0DAA">
              <w:t xml:space="preserve"> (5 bit field)</w:t>
            </w:r>
            <w:r w:rsidRPr="004D0DAA">
              <w:br/>
              <w:t>The T_AVG_W parameter is a signal strength filter period for power control in packet idle mode. 2</w:t>
            </w:r>
            <w:r w:rsidRPr="004D0DAA">
              <w:rPr>
                <w:vertAlign w:val="superscript"/>
              </w:rPr>
              <w:t>(k/2)</w:t>
            </w:r>
            <w:r w:rsidRPr="004D0DAA">
              <w:t xml:space="preserve"> / 6 multiframes, k = 0, 1, 2, ... 25 (see 3GPP TS 45.008). Values greater than 25 shall be interpreted as 25 by the mobile station.</w:t>
            </w:r>
          </w:p>
        </w:tc>
      </w:tr>
      <w:tr w:rsidR="00711444" w:rsidRPr="004D0DAA" w14:paraId="641A568A" w14:textId="77777777" w:rsidTr="00AA2A4C">
        <w:tblPrEx>
          <w:tblCellMar>
            <w:top w:w="0" w:type="dxa"/>
            <w:bottom w:w="0" w:type="dxa"/>
          </w:tblCellMar>
        </w:tblPrEx>
        <w:trPr>
          <w:cantSplit/>
        </w:trPr>
        <w:tc>
          <w:tcPr>
            <w:tcW w:w="9848" w:type="dxa"/>
          </w:tcPr>
          <w:p w14:paraId="586CE1AC" w14:textId="77777777" w:rsidR="00711444" w:rsidRPr="004D0DAA" w:rsidRDefault="00711444" w:rsidP="00AA2A4C">
            <w:pPr>
              <w:rPr>
                <w:b/>
              </w:rPr>
            </w:pPr>
            <w:r w:rsidRPr="004D0DAA">
              <w:rPr>
                <w:b/>
              </w:rPr>
              <w:t>T_AVG_T</w:t>
            </w:r>
            <w:r w:rsidRPr="004D0DAA">
              <w:t xml:space="preserve"> (5 bit field)</w:t>
            </w:r>
            <w:r w:rsidRPr="004D0DAA">
              <w:br/>
              <w:t>The T_AVG_T parameter is a signal strength filter period for power control in packet transfer mode. 2</w:t>
            </w:r>
            <w:r w:rsidRPr="004D0DAA">
              <w:rPr>
                <w:vertAlign w:val="superscript"/>
              </w:rPr>
              <w:t>(k/2)</w:t>
            </w:r>
            <w:r w:rsidRPr="004D0DAA">
              <w:t xml:space="preserve"> / 6 multiframes, k = 0, 1, 2, ..., 25 (see 3GPP TS 45.008). Values greater than 25 shall be interpreted as 25 by the mobile station.</w:t>
            </w:r>
          </w:p>
        </w:tc>
      </w:tr>
      <w:tr w:rsidR="00711444" w:rsidRPr="004D0DAA" w14:paraId="7FABC0D0" w14:textId="77777777" w:rsidTr="00AA2A4C">
        <w:tblPrEx>
          <w:tblCellMar>
            <w:top w:w="0" w:type="dxa"/>
            <w:bottom w:w="0" w:type="dxa"/>
          </w:tblCellMar>
        </w:tblPrEx>
        <w:trPr>
          <w:cantSplit/>
        </w:trPr>
        <w:tc>
          <w:tcPr>
            <w:tcW w:w="9848" w:type="dxa"/>
          </w:tcPr>
          <w:p w14:paraId="6176E690" w14:textId="77777777" w:rsidR="00711444" w:rsidRPr="004D0DAA" w:rsidRDefault="00711444" w:rsidP="00AA2A4C">
            <w:r w:rsidRPr="004D0DAA">
              <w:rPr>
                <w:b/>
              </w:rPr>
              <w:t>Pb</w:t>
            </w:r>
            <w:r w:rsidRPr="004D0DAA">
              <w:t xml:space="preserve"> (4 bit field)</w:t>
            </w:r>
            <w:r w:rsidRPr="004D0DAA">
              <w:br/>
              <w:t>The Pb parameter is a power reduction value used by the BTS on PBCCH blocks</w:t>
            </w:r>
            <w:r w:rsidRPr="004D0DAA">
              <w:rPr>
                <w:lang w:eastAsia="ko-KR"/>
              </w:rPr>
              <w:t xml:space="preserve"> and PCCCH blocks</w:t>
            </w:r>
            <w:r w:rsidRPr="004D0DAA">
              <w:t>, relative to the output power used on BCCH. The field is coded according to the following table:</w:t>
            </w:r>
          </w:p>
          <w:p w14:paraId="29781AE0" w14:textId="77777777" w:rsidR="00711444" w:rsidRPr="004D0DAA" w:rsidRDefault="00711444" w:rsidP="00AA2A4C">
            <w:pPr>
              <w:tabs>
                <w:tab w:val="left" w:pos="1134"/>
              </w:tabs>
              <w:rPr>
                <w:b/>
              </w:rPr>
            </w:pPr>
            <w:r w:rsidRPr="004D0DAA">
              <w:t>bit</w:t>
            </w:r>
            <w:r w:rsidRPr="004D0DAA">
              <w:br/>
              <w:t>4 3 2 1</w:t>
            </w:r>
            <w:r w:rsidRPr="004D0DAA">
              <w:br/>
              <w:t>0 0 0 0</w:t>
            </w:r>
            <w:r w:rsidRPr="004D0DAA">
              <w:tab/>
              <w:t>Pb = 0 dB</w:t>
            </w:r>
            <w:r w:rsidRPr="004D0DAA">
              <w:br/>
              <w:t>0 0 0 1</w:t>
            </w:r>
            <w:r w:rsidRPr="004D0DAA">
              <w:tab/>
              <w:t>Pb = -2 dB</w:t>
            </w:r>
            <w:r w:rsidRPr="004D0DAA">
              <w:br/>
              <w:t>0 0 1 0</w:t>
            </w:r>
            <w:r w:rsidRPr="004D0DAA">
              <w:tab/>
              <w:t>Pb = -4 dB</w:t>
            </w:r>
            <w:r w:rsidRPr="004D0DAA">
              <w:br/>
              <w:t>:</w:t>
            </w:r>
            <w:r w:rsidRPr="004D0DAA">
              <w:tab/>
              <w:t>:</w:t>
            </w:r>
            <w:r w:rsidRPr="004D0DAA">
              <w:br/>
              <w:t>1 1 1 1</w:t>
            </w:r>
            <w:r w:rsidRPr="004D0DAA">
              <w:tab/>
              <w:t>Pb = -30 dB</w:t>
            </w:r>
          </w:p>
        </w:tc>
      </w:tr>
      <w:tr w:rsidR="00711444" w:rsidRPr="004D0DAA" w14:paraId="1FB8A8C6" w14:textId="77777777" w:rsidTr="00AA2A4C">
        <w:tblPrEx>
          <w:tblCellMar>
            <w:top w:w="0" w:type="dxa"/>
            <w:bottom w:w="0" w:type="dxa"/>
          </w:tblCellMar>
        </w:tblPrEx>
        <w:trPr>
          <w:cantSplit/>
        </w:trPr>
        <w:tc>
          <w:tcPr>
            <w:tcW w:w="9848" w:type="dxa"/>
          </w:tcPr>
          <w:p w14:paraId="7B10E9AA" w14:textId="77777777" w:rsidR="00711444" w:rsidRPr="004D0DAA" w:rsidRDefault="00711444" w:rsidP="00AA2A4C">
            <w:r w:rsidRPr="004D0DAA">
              <w:rPr>
                <w:b/>
              </w:rPr>
              <w:t>PC_MEAS_CHAN</w:t>
            </w:r>
            <w:r w:rsidRPr="004D0DAA">
              <w:t xml:space="preserve"> (1 bit field)</w:t>
            </w:r>
            <w:r w:rsidRPr="004D0DAA">
              <w:br/>
              <w:t>The PC_MEAS_CHAN parameter indicates where the mobile station shall measure the received power level on the downlink for the purpose of the uplink power control.</w:t>
            </w:r>
          </w:p>
          <w:p w14:paraId="52E11392" w14:textId="77777777" w:rsidR="00711444" w:rsidRPr="004D0DAA" w:rsidRDefault="00711444" w:rsidP="00AA2A4C">
            <w:pPr>
              <w:rPr>
                <w:b/>
              </w:rPr>
            </w:pPr>
            <w:r w:rsidRPr="004D0DAA">
              <w:t>0</w:t>
            </w:r>
            <w:r w:rsidRPr="004D0DAA">
              <w:tab/>
              <w:t>downlink measurements for power control shall be made on BCCH</w:t>
            </w:r>
            <w:r w:rsidRPr="004D0DAA">
              <w:br/>
              <w:t>1</w:t>
            </w:r>
            <w:r w:rsidRPr="004D0DAA">
              <w:tab/>
              <w:t>downlink measurements for power control shall be made on PDCH</w:t>
            </w:r>
          </w:p>
        </w:tc>
      </w:tr>
      <w:tr w:rsidR="00711444" w:rsidRPr="004D0DAA" w14:paraId="5A7BD179" w14:textId="77777777" w:rsidTr="00AA2A4C">
        <w:tblPrEx>
          <w:tblCellMar>
            <w:top w:w="0" w:type="dxa"/>
            <w:bottom w:w="0" w:type="dxa"/>
          </w:tblCellMar>
        </w:tblPrEx>
        <w:trPr>
          <w:cantSplit/>
        </w:trPr>
        <w:tc>
          <w:tcPr>
            <w:tcW w:w="9848" w:type="dxa"/>
          </w:tcPr>
          <w:p w14:paraId="0A2F7A84" w14:textId="77777777" w:rsidR="00711444" w:rsidRPr="004D0DAA" w:rsidRDefault="00711444" w:rsidP="00AA2A4C">
            <w:pPr>
              <w:rPr>
                <w:b/>
              </w:rPr>
            </w:pPr>
            <w:r w:rsidRPr="004D0DAA">
              <w:rPr>
                <w:b/>
              </w:rPr>
              <w:lastRenderedPageBreak/>
              <w:t>N_AVG_I</w:t>
            </w:r>
            <w:r w:rsidRPr="004D0DAA">
              <w:t xml:space="preserve"> (4 bit field)</w:t>
            </w:r>
            <w:r w:rsidRPr="004D0DAA">
              <w:br/>
              <w:t>The N_AVG_I parameter is an interfering signal strength filter constant for power control 2</w:t>
            </w:r>
            <w:r w:rsidRPr="004D0DAA">
              <w:rPr>
                <w:vertAlign w:val="superscript"/>
              </w:rPr>
              <w:t>(k/2)</w:t>
            </w:r>
            <w:r w:rsidRPr="004D0DAA">
              <w:t>, k=0, 1, .., 15 (see 3GPP TS 45.008).</w:t>
            </w:r>
            <w:r w:rsidRPr="004D0DAA">
              <w:br/>
              <w:t>Range: 0 to 15</w:t>
            </w:r>
          </w:p>
        </w:tc>
      </w:tr>
    </w:tbl>
    <w:p w14:paraId="5B1FFFA6" w14:textId="77777777" w:rsidR="00711444" w:rsidRPr="004D0DAA" w:rsidRDefault="00711444" w:rsidP="00711444"/>
    <w:p w14:paraId="759F6455" w14:textId="77777777" w:rsidR="00711444" w:rsidRPr="004D0DAA" w:rsidRDefault="00711444" w:rsidP="00711444">
      <w:pPr>
        <w:pStyle w:val="Heading2"/>
      </w:pPr>
      <w:bookmarkStart w:id="780" w:name="_Toc516669956"/>
      <w:r w:rsidRPr="004D0DAA">
        <w:t>12.9a</w:t>
      </w:r>
      <w:r w:rsidRPr="004D0DAA">
        <w:tab/>
      </w:r>
      <w:r w:rsidRPr="004D0DAA">
        <w:rPr>
          <w:bCs/>
        </w:rPr>
        <w:t>GPRS Power Control Parameters</w:t>
      </w:r>
      <w:bookmarkEnd w:id="780"/>
    </w:p>
    <w:p w14:paraId="7ED919B2" w14:textId="77777777" w:rsidR="00711444" w:rsidRPr="004D0DAA" w:rsidRDefault="00711444" w:rsidP="00711444">
      <w:pPr>
        <w:keepNext/>
        <w:keepLines/>
      </w:pPr>
      <w:r w:rsidRPr="004D0DAA">
        <w:t xml:space="preserve">The </w:t>
      </w:r>
      <w:r w:rsidRPr="004D0DAA">
        <w:rPr>
          <w:bCs/>
          <w:i/>
          <w:iCs/>
        </w:rPr>
        <w:t>GPRS Power Control Parameters</w:t>
      </w:r>
      <w:r w:rsidRPr="004D0DAA">
        <w:t xml:space="preserve"> information element contains parameters the mobile station shall use to determine its TX power level.</w:t>
      </w:r>
    </w:p>
    <w:p w14:paraId="69BBB593" w14:textId="77777777" w:rsidR="00711444" w:rsidRPr="004D0DAA" w:rsidRDefault="00711444" w:rsidP="00711444">
      <w:pPr>
        <w:pStyle w:val="TH"/>
      </w:pPr>
      <w:r w:rsidRPr="004D0DAA">
        <w:t xml:space="preserve">Table 12.9a.1: </w:t>
      </w:r>
      <w:r w:rsidRPr="004D0DAA">
        <w:rPr>
          <w:bCs/>
          <w:i/>
          <w:iCs/>
        </w:rPr>
        <w:t>GPRS Power Control Parameters</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06D771F" w14:textId="77777777" w:rsidTr="00AA2A4C">
        <w:tblPrEx>
          <w:tblCellMar>
            <w:top w:w="0" w:type="dxa"/>
            <w:bottom w:w="0" w:type="dxa"/>
          </w:tblCellMar>
        </w:tblPrEx>
        <w:trPr>
          <w:cantSplit/>
        </w:trPr>
        <w:tc>
          <w:tcPr>
            <w:tcW w:w="9848" w:type="dxa"/>
          </w:tcPr>
          <w:p w14:paraId="6131C89A" w14:textId="77777777" w:rsidR="00711444" w:rsidRPr="004D0DAA" w:rsidRDefault="00711444" w:rsidP="00AA2A4C">
            <w:pPr>
              <w:pStyle w:val="TAL"/>
              <w:rPr>
                <w:lang w:eastAsia="en-US"/>
              </w:rPr>
            </w:pPr>
            <w:r w:rsidRPr="004D0DAA">
              <w:rPr>
                <w:lang w:eastAsia="en-US"/>
              </w:rPr>
              <w:t>&lt; GPRS Power Control Parameters IE &gt; ::=</w:t>
            </w:r>
          </w:p>
          <w:p w14:paraId="4DE9B3FB"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ALPHA</w:t>
            </w:r>
            <w:r w:rsidRPr="004D0DAA">
              <w:rPr>
                <w:lang w:val="fr-FR" w:eastAsia="en-US"/>
              </w:rPr>
              <w:t xml:space="preserve"> : bit (4) &gt;</w:t>
            </w:r>
          </w:p>
          <w:p w14:paraId="19AA7D93"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T_AVG_W</w:t>
            </w:r>
            <w:r w:rsidRPr="004D0DAA">
              <w:rPr>
                <w:lang w:val="fr-FR" w:eastAsia="en-US"/>
              </w:rPr>
              <w:t xml:space="preserve"> : bit (5) &gt;</w:t>
            </w:r>
          </w:p>
          <w:p w14:paraId="3CA03EA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T_AVG_T</w:t>
            </w:r>
            <w:r w:rsidRPr="004D0DAA">
              <w:rPr>
                <w:lang w:eastAsia="en-US"/>
              </w:rPr>
              <w:t xml:space="preserve"> : bit (5) &gt;</w:t>
            </w:r>
          </w:p>
          <w:p w14:paraId="6A8F723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PC_MEAS_CHAN</w:t>
            </w:r>
            <w:r w:rsidRPr="004D0DAA">
              <w:rPr>
                <w:lang w:eastAsia="en-US"/>
              </w:rPr>
              <w:t xml:space="preserve"> : bit &gt;</w:t>
            </w:r>
          </w:p>
          <w:p w14:paraId="1C1E80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N_AVG_I</w:t>
            </w:r>
            <w:r w:rsidRPr="004D0DAA">
              <w:rPr>
                <w:lang w:eastAsia="en-US"/>
              </w:rPr>
              <w:t xml:space="preserve"> : bit (4) &gt; ;</w:t>
            </w:r>
          </w:p>
          <w:p w14:paraId="59348F62" w14:textId="77777777" w:rsidR="00711444" w:rsidRPr="004D0DAA" w:rsidRDefault="00711444" w:rsidP="00AA2A4C">
            <w:pPr>
              <w:pStyle w:val="TAL"/>
              <w:rPr>
                <w:lang w:eastAsia="en-US"/>
              </w:rPr>
            </w:pPr>
          </w:p>
        </w:tc>
      </w:tr>
    </w:tbl>
    <w:p w14:paraId="127FB5E8" w14:textId="77777777" w:rsidR="00711444" w:rsidRPr="004D0DAA" w:rsidRDefault="00711444" w:rsidP="00711444"/>
    <w:p w14:paraId="4872505C" w14:textId="77777777" w:rsidR="00711444" w:rsidRPr="004D0DAA" w:rsidRDefault="00711444" w:rsidP="00711444">
      <w:pPr>
        <w:pStyle w:val="TH"/>
      </w:pPr>
      <w:r w:rsidRPr="004D0DAA">
        <w:t xml:space="preserve">Table 12.9a.2: </w:t>
      </w:r>
      <w:r w:rsidRPr="004D0DAA">
        <w:rPr>
          <w:bCs/>
          <w:i/>
          <w:iCs/>
        </w:rPr>
        <w:t>GPRS Power Control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ECCA2C0" w14:textId="77777777" w:rsidTr="00AA2A4C">
        <w:tblPrEx>
          <w:tblCellMar>
            <w:top w:w="0" w:type="dxa"/>
            <w:bottom w:w="0" w:type="dxa"/>
          </w:tblCellMar>
        </w:tblPrEx>
        <w:tc>
          <w:tcPr>
            <w:tcW w:w="9848" w:type="dxa"/>
          </w:tcPr>
          <w:p w14:paraId="6481B369" w14:textId="77777777" w:rsidR="00711444" w:rsidRPr="004D0DAA" w:rsidRDefault="00711444" w:rsidP="00AA2A4C">
            <w:pPr>
              <w:keepLines/>
            </w:pPr>
            <w:r w:rsidRPr="004D0DAA">
              <w:rPr>
                <w:b/>
              </w:rPr>
              <w:t>ALPHA</w:t>
            </w:r>
            <w:r w:rsidRPr="004D0DAA">
              <w:t xml:space="preserve"> (4 bit field), </w:t>
            </w:r>
            <w:r w:rsidRPr="004D0DAA">
              <w:br/>
            </w:r>
            <w:r w:rsidRPr="004D0DAA">
              <w:rPr>
                <w:b/>
              </w:rPr>
              <w:t>T_AVG_W</w:t>
            </w:r>
            <w:r w:rsidRPr="004D0DAA">
              <w:t xml:space="preserve"> (5 bit field), </w:t>
            </w:r>
            <w:r w:rsidRPr="004D0DAA">
              <w:br/>
            </w:r>
            <w:r w:rsidRPr="004D0DAA">
              <w:rPr>
                <w:b/>
              </w:rPr>
              <w:t>T_AVG_T</w:t>
            </w:r>
            <w:r w:rsidRPr="004D0DAA">
              <w:t xml:space="preserve"> (5 bit field), </w:t>
            </w:r>
            <w:r w:rsidRPr="004D0DAA">
              <w:br/>
            </w:r>
            <w:r w:rsidRPr="004D0DAA">
              <w:rPr>
                <w:b/>
              </w:rPr>
              <w:t>PC_MEAS_CHAN</w:t>
            </w:r>
            <w:r w:rsidRPr="004D0DAA">
              <w:t xml:space="preserve"> (1 bit field) and</w:t>
            </w:r>
            <w:r w:rsidRPr="004D0DAA">
              <w:br/>
            </w:r>
            <w:r w:rsidRPr="004D0DAA">
              <w:rPr>
                <w:b/>
              </w:rPr>
              <w:t>N_AVG_I</w:t>
            </w:r>
            <w:r w:rsidRPr="004D0DAA">
              <w:t xml:space="preserve"> (4 bit field)</w:t>
            </w:r>
            <w:r w:rsidRPr="004D0DAA">
              <w:br/>
              <w:t xml:space="preserve">These fields are defined in the </w:t>
            </w:r>
            <w:r w:rsidRPr="004D0DAA">
              <w:rPr>
                <w:i/>
              </w:rPr>
              <w:t>Global Power Control Parameters</w:t>
            </w:r>
            <w:r w:rsidRPr="004D0DAA">
              <w:t xml:space="preserve"> information element, see sub-clause 12.9.</w:t>
            </w:r>
          </w:p>
        </w:tc>
      </w:tr>
    </w:tbl>
    <w:p w14:paraId="6B8C9742" w14:textId="77777777" w:rsidR="00711444" w:rsidRPr="004D0DAA" w:rsidRDefault="00711444" w:rsidP="00711444"/>
    <w:p w14:paraId="0B93B451" w14:textId="77777777" w:rsidR="00711444" w:rsidRPr="004D0DAA" w:rsidRDefault="00711444" w:rsidP="00711444">
      <w:pPr>
        <w:pStyle w:val="Heading2"/>
      </w:pPr>
      <w:bookmarkStart w:id="781" w:name="_Toc516669957"/>
      <w:r w:rsidRPr="004D0DAA">
        <w:t>12.10</w:t>
      </w:r>
      <w:r w:rsidRPr="004D0DAA">
        <w:tab/>
        <w:t>Global TFI</w:t>
      </w:r>
      <w:bookmarkEnd w:id="781"/>
    </w:p>
    <w:p w14:paraId="3C794C49" w14:textId="77777777" w:rsidR="00711444" w:rsidRPr="004D0DAA" w:rsidRDefault="00711444" w:rsidP="00711444">
      <w:r w:rsidRPr="004D0DAA">
        <w:t>The Global TFI (Temporary Flow Identity) information element contains either an uplink TFI or a downlink TFI. The uplink or downlink TFI identifies a single Temporary Block Flow.</w:t>
      </w:r>
    </w:p>
    <w:p w14:paraId="14706397" w14:textId="77777777" w:rsidR="00711444" w:rsidRPr="004D0DAA" w:rsidRDefault="00711444" w:rsidP="00711444">
      <w:pPr>
        <w:pStyle w:val="TH"/>
      </w:pPr>
      <w:r w:rsidRPr="004D0DAA">
        <w:t xml:space="preserve">Table 12.10.1: </w:t>
      </w:r>
      <w:r w:rsidRPr="004D0DAA">
        <w:rPr>
          <w:i/>
        </w:rPr>
        <w:t>Global TFI</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C569CA3" w14:textId="77777777" w:rsidTr="00AA2A4C">
        <w:tblPrEx>
          <w:tblCellMar>
            <w:top w:w="0" w:type="dxa"/>
            <w:bottom w:w="0" w:type="dxa"/>
          </w:tblCellMar>
        </w:tblPrEx>
        <w:trPr>
          <w:cantSplit/>
        </w:trPr>
        <w:tc>
          <w:tcPr>
            <w:tcW w:w="9848" w:type="dxa"/>
          </w:tcPr>
          <w:p w14:paraId="36A94DE1" w14:textId="77777777" w:rsidR="00711444" w:rsidRPr="004D0DAA" w:rsidRDefault="00711444" w:rsidP="00AA2A4C">
            <w:pPr>
              <w:pStyle w:val="TAL"/>
              <w:rPr>
                <w:lang w:eastAsia="en-US"/>
              </w:rPr>
            </w:pPr>
            <w:r w:rsidRPr="004D0DAA">
              <w:rPr>
                <w:lang w:eastAsia="en-US"/>
              </w:rPr>
              <w:t>&lt; Global TFI IE &gt; ::=</w:t>
            </w:r>
          </w:p>
          <w:p w14:paraId="181D8928" w14:textId="77777777" w:rsidR="00711444" w:rsidRPr="004D0DAA" w:rsidRDefault="00711444" w:rsidP="00AA2A4C">
            <w:pPr>
              <w:pStyle w:val="TAL"/>
              <w:rPr>
                <w:lang w:eastAsia="en-US"/>
              </w:rPr>
            </w:pPr>
            <w:r w:rsidRPr="004D0DAA">
              <w:rPr>
                <w:lang w:eastAsia="en-US"/>
              </w:rPr>
              <w:tab/>
              <w:t xml:space="preserve">{ 0 &lt; </w:t>
            </w:r>
            <w:r w:rsidRPr="004D0DAA">
              <w:rPr>
                <w:b/>
                <w:lang w:eastAsia="en-US"/>
              </w:rPr>
              <w:t>UPLINK_TFI</w:t>
            </w:r>
            <w:r w:rsidRPr="004D0DAA">
              <w:rPr>
                <w:lang w:eastAsia="en-US"/>
              </w:rPr>
              <w:t xml:space="preserve"> : bit (5) &gt;</w:t>
            </w:r>
          </w:p>
          <w:p w14:paraId="402383E5"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DOWNLINK_TFI</w:t>
            </w:r>
            <w:r w:rsidRPr="004D0DAA">
              <w:rPr>
                <w:lang w:eastAsia="en-US"/>
              </w:rPr>
              <w:t xml:space="preserve"> : bit (5) &gt; } ;</w:t>
            </w:r>
          </w:p>
          <w:p w14:paraId="2D87C328" w14:textId="77777777" w:rsidR="00711444" w:rsidRPr="004D0DAA" w:rsidRDefault="00711444" w:rsidP="00AA2A4C">
            <w:pPr>
              <w:pStyle w:val="TAL"/>
              <w:rPr>
                <w:lang w:eastAsia="en-US"/>
              </w:rPr>
            </w:pPr>
          </w:p>
        </w:tc>
      </w:tr>
    </w:tbl>
    <w:p w14:paraId="31C40184" w14:textId="77777777" w:rsidR="00711444" w:rsidRPr="004D0DAA" w:rsidRDefault="00711444" w:rsidP="00711444"/>
    <w:p w14:paraId="477AF8CC" w14:textId="77777777" w:rsidR="00711444" w:rsidRPr="004D0DAA" w:rsidRDefault="00711444" w:rsidP="00711444">
      <w:pPr>
        <w:pStyle w:val="TH"/>
      </w:pPr>
      <w:r w:rsidRPr="004D0DAA">
        <w:t xml:space="preserve">Table 12.10.2: </w:t>
      </w:r>
      <w:r w:rsidRPr="004D0DAA">
        <w:rPr>
          <w:i/>
        </w:rPr>
        <w:t xml:space="preserve">Global TFI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01ABD58" w14:textId="77777777" w:rsidTr="00AA2A4C">
        <w:tblPrEx>
          <w:tblCellMar>
            <w:top w:w="0" w:type="dxa"/>
            <w:bottom w:w="0" w:type="dxa"/>
          </w:tblCellMar>
        </w:tblPrEx>
        <w:tc>
          <w:tcPr>
            <w:tcW w:w="9848" w:type="dxa"/>
          </w:tcPr>
          <w:p w14:paraId="53A78DC3" w14:textId="77777777" w:rsidR="00711444" w:rsidRPr="004D0DAA" w:rsidRDefault="00711444" w:rsidP="00AA2A4C">
            <w:pPr>
              <w:keepNext/>
              <w:keepLines/>
            </w:pPr>
            <w:r w:rsidRPr="004D0DAA">
              <w:rPr>
                <w:b/>
              </w:rPr>
              <w:t xml:space="preserve">UPLINK_TFI </w:t>
            </w:r>
            <w:r w:rsidRPr="004D0DAA">
              <w:t>(5 bit field)</w:t>
            </w:r>
            <w:r w:rsidRPr="004D0DAA">
              <w:br/>
              <w:t>This field identifies an uplink TBF. This field is coded the same as the TFI field defined in sub-clause 12.15.</w:t>
            </w:r>
          </w:p>
          <w:p w14:paraId="5DF66202" w14:textId="77777777" w:rsidR="00711444" w:rsidRPr="004D0DAA" w:rsidRDefault="00711444" w:rsidP="00AA2A4C">
            <w:pPr>
              <w:keepLines/>
            </w:pPr>
            <w:r w:rsidRPr="004D0DAA">
              <w:rPr>
                <w:b/>
              </w:rPr>
              <w:t xml:space="preserve">DOWNLINK_TFI </w:t>
            </w:r>
            <w:r w:rsidRPr="004D0DAA">
              <w:t>(5 bit field)</w:t>
            </w:r>
            <w:r w:rsidRPr="004D0DAA">
              <w:br/>
              <w:t>This field identifies a downlink TBF. This field is coded the same as the TFI field defined in sub-clause 12.15.</w:t>
            </w:r>
          </w:p>
        </w:tc>
      </w:tr>
    </w:tbl>
    <w:p w14:paraId="2CDEB1E9" w14:textId="77777777" w:rsidR="00711444" w:rsidRPr="004D0DAA" w:rsidRDefault="00711444" w:rsidP="00711444">
      <w:pPr>
        <w:pStyle w:val="FP"/>
      </w:pPr>
    </w:p>
    <w:p w14:paraId="765C026C" w14:textId="77777777" w:rsidR="00711444" w:rsidRPr="004D0DAA" w:rsidRDefault="00711444" w:rsidP="00711444">
      <w:pPr>
        <w:pStyle w:val="Heading2"/>
      </w:pPr>
      <w:bookmarkStart w:id="782" w:name="_Toc516669958"/>
      <w:r w:rsidRPr="004D0DAA">
        <w:t>12.10a</w:t>
      </w:r>
      <w:r w:rsidRPr="004D0DAA">
        <w:tab/>
        <w:t>GPRS Mobile Allocation</w:t>
      </w:r>
      <w:bookmarkEnd w:id="782"/>
    </w:p>
    <w:p w14:paraId="42D5CDB7" w14:textId="77777777" w:rsidR="00711444" w:rsidRPr="004D0DAA" w:rsidRDefault="00711444" w:rsidP="00711444">
      <w:r w:rsidRPr="004D0DAA">
        <w:t>The GPRS Mobile Allocation information element defines a set of radio frequency channels and a hopping sequence number (HSN), which may be allocated to a mobile station to define its channel configuration.</w:t>
      </w:r>
    </w:p>
    <w:p w14:paraId="1F41AF4A" w14:textId="77777777" w:rsidR="00711444" w:rsidRPr="004D0DAA" w:rsidRDefault="00711444" w:rsidP="00711444">
      <w:r w:rsidRPr="004D0DAA">
        <w:lastRenderedPageBreak/>
        <w:t>This information element may refer to a reference frequency list, or set of reference frequency lists defined in the PSI2 information. In case there is no such reference included in this information element, it refers to the cell allocation (CA) defined for the cell. The cell allocation is defined in the PSI2 information, if PBCCH is present in the cell, or in the SI1 information (see 3GPP TS 44.018), if PBCCH is not present in the cell.</w:t>
      </w:r>
    </w:p>
    <w:p w14:paraId="35EE5A23" w14:textId="77777777" w:rsidR="00711444" w:rsidRPr="004D0DAA" w:rsidRDefault="00711444" w:rsidP="00711444">
      <w:r w:rsidRPr="004D0DAA">
        <w:t>There are two alternative ways to encode the GPRS mobile allocation, using the MA_BITMAP or the ARFCN index list.</w:t>
      </w:r>
    </w:p>
    <w:p w14:paraId="1404C9A8" w14:textId="77777777" w:rsidR="00711444" w:rsidRPr="004D0DAA" w:rsidRDefault="00711444" w:rsidP="00711444">
      <w:pPr>
        <w:pStyle w:val="TH"/>
      </w:pPr>
      <w:r w:rsidRPr="004D0DAA">
        <w:t xml:space="preserve">Table 12.10a.1: </w:t>
      </w:r>
      <w:r w:rsidRPr="004D0DAA">
        <w:rPr>
          <w:i/>
        </w:rPr>
        <w:t>GPRS Mobile Allocation</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763CBBC" w14:textId="77777777" w:rsidTr="00AA2A4C">
        <w:tblPrEx>
          <w:tblCellMar>
            <w:top w:w="0" w:type="dxa"/>
            <w:bottom w:w="0" w:type="dxa"/>
          </w:tblCellMar>
        </w:tblPrEx>
        <w:trPr>
          <w:cantSplit/>
        </w:trPr>
        <w:tc>
          <w:tcPr>
            <w:tcW w:w="9848" w:type="dxa"/>
          </w:tcPr>
          <w:p w14:paraId="16B8FCD0" w14:textId="77777777" w:rsidR="00711444" w:rsidRPr="004D0DAA" w:rsidRDefault="00711444" w:rsidP="00AA2A4C">
            <w:pPr>
              <w:pStyle w:val="TAL"/>
              <w:rPr>
                <w:lang w:eastAsia="en-US"/>
              </w:rPr>
            </w:pPr>
            <w:r w:rsidRPr="004D0DAA">
              <w:rPr>
                <w:lang w:eastAsia="en-US"/>
              </w:rPr>
              <w:t>&lt; GPRS Mobile Allocation IE &gt; ::=</w:t>
            </w:r>
          </w:p>
          <w:p w14:paraId="51C775A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HSN</w:t>
            </w:r>
            <w:r w:rsidRPr="004D0DAA">
              <w:rPr>
                <w:lang w:eastAsia="en-US"/>
              </w:rPr>
              <w:t xml:space="preserve"> : bit (6) &gt;</w:t>
            </w:r>
          </w:p>
          <w:p w14:paraId="6BFA5DF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RFL number list</w:t>
            </w:r>
            <w:r w:rsidRPr="004D0DAA">
              <w:rPr>
                <w:lang w:eastAsia="en-US"/>
              </w:rPr>
              <w:t xml:space="preserve"> : &lt; RFL number list struct &gt; &gt; }</w:t>
            </w:r>
          </w:p>
          <w:p w14:paraId="7EF2B632"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MA_LENGTH</w:t>
            </w:r>
            <w:r w:rsidRPr="004D0DAA">
              <w:rPr>
                <w:lang w:eastAsia="en-US"/>
              </w:rPr>
              <w:t xml:space="preserve"> : bit (6) &gt;</w:t>
            </w:r>
          </w:p>
          <w:p w14:paraId="40449FA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MA_BITMAP</w:t>
            </w:r>
            <w:r w:rsidRPr="004D0DAA">
              <w:rPr>
                <w:lang w:eastAsia="en-US"/>
              </w:rPr>
              <w:t xml:space="preserve"> : bit (val(MA_LENGTH) + 1) &gt;</w:t>
            </w:r>
          </w:p>
          <w:p w14:paraId="23AE0E35" w14:textId="77777777" w:rsidR="00711444" w:rsidRPr="004D0DAA" w:rsidRDefault="00711444" w:rsidP="00AA2A4C">
            <w:pPr>
              <w:pStyle w:val="TAL"/>
              <w:rPr>
                <w:lang w:eastAsia="en-US"/>
              </w:rPr>
            </w:pPr>
            <w:r w:rsidRPr="004D0DAA">
              <w:rPr>
                <w:lang w:eastAsia="en-US"/>
              </w:rPr>
              <w:tab/>
              <w:t>| 1</w:t>
            </w:r>
            <w:r w:rsidRPr="004D0DAA">
              <w:rPr>
                <w:lang w:eastAsia="en-US"/>
              </w:rPr>
              <w:tab/>
              <w:t>{ 0 | 1</w:t>
            </w:r>
            <w:r w:rsidRPr="004D0DAA">
              <w:rPr>
                <w:lang w:eastAsia="en-US"/>
              </w:rPr>
              <w:tab/>
              <w:t xml:space="preserve">&lt; </w:t>
            </w:r>
            <w:r w:rsidRPr="004D0DAA">
              <w:rPr>
                <w:b/>
                <w:lang w:eastAsia="en-US"/>
              </w:rPr>
              <w:t>ARFCN index list</w:t>
            </w:r>
            <w:r w:rsidRPr="004D0DAA">
              <w:rPr>
                <w:lang w:eastAsia="en-US"/>
              </w:rPr>
              <w:t xml:space="preserve"> : &lt; ARFCN index list struct &gt; &gt; } } ;</w:t>
            </w:r>
          </w:p>
        </w:tc>
      </w:tr>
      <w:tr w:rsidR="00711444" w:rsidRPr="004D0DAA" w14:paraId="465FF721" w14:textId="77777777" w:rsidTr="00AA2A4C">
        <w:tblPrEx>
          <w:tblCellMar>
            <w:top w:w="0" w:type="dxa"/>
            <w:bottom w:w="0" w:type="dxa"/>
          </w:tblCellMar>
        </w:tblPrEx>
        <w:trPr>
          <w:cantSplit/>
        </w:trPr>
        <w:tc>
          <w:tcPr>
            <w:tcW w:w="9848" w:type="dxa"/>
          </w:tcPr>
          <w:p w14:paraId="7A8BEC3F" w14:textId="77777777" w:rsidR="00711444" w:rsidRPr="004D0DAA" w:rsidRDefault="00711444" w:rsidP="00AA2A4C">
            <w:pPr>
              <w:pStyle w:val="TAL"/>
              <w:rPr>
                <w:lang w:eastAsia="en-US"/>
              </w:rPr>
            </w:pPr>
            <w:r w:rsidRPr="004D0DAA">
              <w:rPr>
                <w:lang w:eastAsia="en-US"/>
              </w:rPr>
              <w:t>&lt; RFL number list struct &gt; ::=</w:t>
            </w:r>
          </w:p>
          <w:p w14:paraId="64F31DE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RFL_NUMBER</w:t>
            </w:r>
            <w:r w:rsidRPr="004D0DAA">
              <w:rPr>
                <w:lang w:eastAsia="en-US"/>
              </w:rPr>
              <w:t xml:space="preserve"> : bit (4) &gt;</w:t>
            </w:r>
          </w:p>
          <w:p w14:paraId="5DCE1747" w14:textId="77777777" w:rsidR="00711444" w:rsidRPr="004D0DAA" w:rsidRDefault="00711444" w:rsidP="00AA2A4C">
            <w:pPr>
              <w:pStyle w:val="TAL"/>
              <w:rPr>
                <w:lang w:eastAsia="en-US"/>
              </w:rPr>
            </w:pPr>
            <w:r w:rsidRPr="004D0DAA">
              <w:rPr>
                <w:lang w:eastAsia="en-US"/>
              </w:rPr>
              <w:tab/>
              <w:t>{ 0 | 1</w:t>
            </w:r>
            <w:r w:rsidRPr="004D0DAA">
              <w:rPr>
                <w:lang w:eastAsia="en-US"/>
              </w:rPr>
              <w:tab/>
              <w:t>&lt; RFL number list struct &gt; } ;</w:t>
            </w:r>
          </w:p>
        </w:tc>
      </w:tr>
      <w:tr w:rsidR="00711444" w:rsidRPr="004D0DAA" w14:paraId="43B3C036" w14:textId="77777777" w:rsidTr="00AA2A4C">
        <w:tblPrEx>
          <w:tblCellMar>
            <w:top w:w="0" w:type="dxa"/>
            <w:bottom w:w="0" w:type="dxa"/>
          </w:tblCellMar>
        </w:tblPrEx>
        <w:trPr>
          <w:cantSplit/>
        </w:trPr>
        <w:tc>
          <w:tcPr>
            <w:tcW w:w="9848" w:type="dxa"/>
          </w:tcPr>
          <w:p w14:paraId="6A987BE3" w14:textId="77777777" w:rsidR="00711444" w:rsidRPr="004D0DAA" w:rsidRDefault="00711444" w:rsidP="00AA2A4C">
            <w:pPr>
              <w:pStyle w:val="TAL"/>
              <w:rPr>
                <w:lang w:eastAsia="en-US"/>
              </w:rPr>
            </w:pPr>
            <w:r w:rsidRPr="004D0DAA">
              <w:rPr>
                <w:lang w:eastAsia="en-US"/>
              </w:rPr>
              <w:t>&lt; ARFCN index list struct &gt; ::=</w:t>
            </w:r>
          </w:p>
          <w:p w14:paraId="76D5979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ARFCN_INDEX</w:t>
            </w:r>
            <w:r w:rsidRPr="004D0DAA">
              <w:rPr>
                <w:lang w:eastAsia="en-US"/>
              </w:rPr>
              <w:t xml:space="preserve"> : bit (6) &gt;</w:t>
            </w:r>
          </w:p>
          <w:p w14:paraId="7B248949" w14:textId="77777777" w:rsidR="00711444" w:rsidRPr="004D0DAA" w:rsidRDefault="00711444" w:rsidP="00AA2A4C">
            <w:pPr>
              <w:pStyle w:val="TAL"/>
              <w:rPr>
                <w:lang w:eastAsia="en-US"/>
              </w:rPr>
            </w:pPr>
            <w:r w:rsidRPr="004D0DAA">
              <w:rPr>
                <w:lang w:eastAsia="en-US"/>
              </w:rPr>
              <w:tab/>
              <w:t>{ 0 | 1</w:t>
            </w:r>
            <w:r w:rsidRPr="004D0DAA">
              <w:rPr>
                <w:lang w:eastAsia="en-US"/>
              </w:rPr>
              <w:tab/>
              <w:t>&lt; ARFCN index list struct &gt; } ;</w:t>
            </w:r>
          </w:p>
        </w:tc>
      </w:tr>
    </w:tbl>
    <w:p w14:paraId="61E1B9D9" w14:textId="77777777" w:rsidR="00711444" w:rsidRPr="004D0DAA" w:rsidRDefault="00711444" w:rsidP="00711444"/>
    <w:p w14:paraId="2BA398B1" w14:textId="77777777" w:rsidR="00711444" w:rsidRPr="004D0DAA" w:rsidRDefault="00711444" w:rsidP="00711444">
      <w:pPr>
        <w:pStyle w:val="TH"/>
      </w:pPr>
      <w:r w:rsidRPr="004D0DAA">
        <w:t xml:space="preserve">Table 12.10a.2: </w:t>
      </w:r>
      <w:r w:rsidRPr="004D0DAA">
        <w:rPr>
          <w:i/>
        </w:rPr>
        <w:t>GPRS Mobile Allocation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30B3198" w14:textId="77777777" w:rsidTr="00AA2A4C">
        <w:tblPrEx>
          <w:tblCellMar>
            <w:top w:w="0" w:type="dxa"/>
            <w:bottom w:w="0" w:type="dxa"/>
          </w:tblCellMar>
        </w:tblPrEx>
        <w:trPr>
          <w:cantSplit/>
        </w:trPr>
        <w:tc>
          <w:tcPr>
            <w:tcW w:w="9848" w:type="dxa"/>
          </w:tcPr>
          <w:p w14:paraId="3E25967E" w14:textId="77777777" w:rsidR="00711444" w:rsidRPr="004D0DAA" w:rsidRDefault="00711444" w:rsidP="00AA2A4C">
            <w:pPr>
              <w:keepLines/>
              <w:rPr>
                <w:b/>
              </w:rPr>
            </w:pPr>
            <w:r w:rsidRPr="004D0DAA">
              <w:rPr>
                <w:b/>
              </w:rPr>
              <w:t>HSN</w:t>
            </w:r>
            <w:r w:rsidRPr="004D0DAA">
              <w:t xml:space="preserve"> (6 bit field)</w:t>
            </w:r>
            <w:r w:rsidRPr="004D0DAA">
              <w:br/>
              <w:t>This field is the binary representation of the hopping sequence number, see 3GPP TS 45.002. Range: 0 to 63.</w:t>
            </w:r>
          </w:p>
        </w:tc>
      </w:tr>
      <w:tr w:rsidR="00711444" w:rsidRPr="004D0DAA" w14:paraId="61E97DF8" w14:textId="77777777" w:rsidTr="00AA2A4C">
        <w:tblPrEx>
          <w:tblCellMar>
            <w:top w:w="0" w:type="dxa"/>
            <w:bottom w:w="0" w:type="dxa"/>
          </w:tblCellMar>
        </w:tblPrEx>
        <w:trPr>
          <w:cantSplit/>
        </w:trPr>
        <w:tc>
          <w:tcPr>
            <w:tcW w:w="9848" w:type="dxa"/>
          </w:tcPr>
          <w:p w14:paraId="1F7A7B8C" w14:textId="77777777" w:rsidR="00711444" w:rsidRPr="004D0DAA" w:rsidRDefault="00711444" w:rsidP="00AA2A4C">
            <w:pPr>
              <w:keepNext/>
              <w:keepLines/>
            </w:pPr>
            <w:r w:rsidRPr="004D0DAA">
              <w:rPr>
                <w:b/>
              </w:rPr>
              <w:t>RFL number list</w:t>
            </w:r>
            <w:r w:rsidRPr="004D0DAA">
              <w:t xml:space="preserve"> (construction)</w:t>
            </w:r>
            <w:r w:rsidRPr="004D0DAA">
              <w:br/>
              <w:t>This construction is a list specifying the referenced set of reference frequency lists for this information element. If the list is not included, this information element refers to the cell allocation defined for the cell.</w:t>
            </w:r>
          </w:p>
          <w:p w14:paraId="38E26FD8" w14:textId="77777777" w:rsidR="00711444" w:rsidRPr="004D0DAA" w:rsidRDefault="00711444" w:rsidP="00AA2A4C">
            <w:pPr>
              <w:keepLines/>
              <w:rPr>
                <w:b/>
              </w:rPr>
            </w:pPr>
            <w:r w:rsidRPr="004D0DAA">
              <w:t>The number of radio frequency channels included in the referenced set of reference frequency lists or the referenced cell allocation (excluding any duplication of radio frequency channels) is denoted NF. The radio frequency channels shall be arranged by the receiver of this information element in the order of ascending ARFCN, except for ARFCN = 0, if included, which shall be put last. Each radio frequency channel shall then be assigned an ARFCN_INDEX value, ranging from zero, for the first radio frequency channel, to NF-1, for the last radio frequency channel in the ordered set.</w:t>
            </w:r>
          </w:p>
        </w:tc>
      </w:tr>
      <w:tr w:rsidR="00711444" w:rsidRPr="004D0DAA" w14:paraId="6F9FE80C" w14:textId="77777777" w:rsidTr="00AA2A4C">
        <w:tblPrEx>
          <w:tblCellMar>
            <w:top w:w="0" w:type="dxa"/>
            <w:bottom w:w="0" w:type="dxa"/>
          </w:tblCellMar>
        </w:tblPrEx>
        <w:trPr>
          <w:cantSplit/>
        </w:trPr>
        <w:tc>
          <w:tcPr>
            <w:tcW w:w="9848" w:type="dxa"/>
          </w:tcPr>
          <w:p w14:paraId="55927E64" w14:textId="77777777" w:rsidR="00711444" w:rsidRPr="004D0DAA" w:rsidRDefault="00711444" w:rsidP="00AA2A4C">
            <w:pPr>
              <w:keepNext/>
              <w:keepLines/>
            </w:pPr>
            <w:r w:rsidRPr="004D0DAA">
              <w:rPr>
                <w:b/>
              </w:rPr>
              <w:t>MA_BITMAP</w:t>
            </w:r>
            <w:r w:rsidRPr="004D0DAA">
              <w:t xml:space="preserve"> (variable length, 1 to 64 bit, field)</w:t>
            </w:r>
            <w:r w:rsidRPr="004D0DAA">
              <w:br/>
              <w:t>This field is a bitmap representing the radio frequency channels belonging to the GPRS mobile allocation. The number of bit positions in MA_BITMAP shall equal NF. The first bit position in MA_BITMAP corresponds to ARFCN_INDEX = NF-1, the last position corresponds to ARFCN_INDEX = 0. Each bit position is coded:</w:t>
            </w:r>
          </w:p>
          <w:p w14:paraId="7007A05C" w14:textId="77777777" w:rsidR="00711444" w:rsidRPr="004D0DAA" w:rsidRDefault="00711444" w:rsidP="00AA2A4C">
            <w:pPr>
              <w:keepLines/>
              <w:rPr>
                <w:b/>
              </w:rPr>
            </w:pPr>
            <w:r w:rsidRPr="004D0DAA">
              <w:t>0</w:t>
            </w:r>
            <w:r w:rsidRPr="004D0DAA">
              <w:tab/>
              <w:t>the corresponding radio frequency channel does not belong to the GPRS mobile allocation;</w:t>
            </w:r>
            <w:r w:rsidRPr="004D0DAA">
              <w:br/>
              <w:t>1</w:t>
            </w:r>
            <w:r w:rsidRPr="004D0DAA">
              <w:tab/>
              <w:t>the corresponding radio frequency channel belongs to the GPRS mobile allocation.</w:t>
            </w:r>
          </w:p>
        </w:tc>
      </w:tr>
      <w:tr w:rsidR="00711444" w:rsidRPr="004D0DAA" w14:paraId="6C7D2B9C" w14:textId="77777777" w:rsidTr="00AA2A4C">
        <w:tblPrEx>
          <w:tblCellMar>
            <w:top w:w="0" w:type="dxa"/>
            <w:bottom w:w="0" w:type="dxa"/>
          </w:tblCellMar>
        </w:tblPrEx>
        <w:trPr>
          <w:cantSplit/>
        </w:trPr>
        <w:tc>
          <w:tcPr>
            <w:tcW w:w="9848" w:type="dxa"/>
          </w:tcPr>
          <w:p w14:paraId="649613A9" w14:textId="77777777" w:rsidR="00711444" w:rsidRPr="004D0DAA" w:rsidRDefault="00711444" w:rsidP="00AA2A4C">
            <w:pPr>
              <w:keepLines/>
              <w:rPr>
                <w:b/>
              </w:rPr>
            </w:pPr>
            <w:r w:rsidRPr="004D0DAA">
              <w:rPr>
                <w:b/>
              </w:rPr>
              <w:t>ARFCN index list</w:t>
            </w:r>
            <w:r w:rsidRPr="004D0DAA">
              <w:t xml:space="preserve"> (construction)</w:t>
            </w:r>
            <w:r w:rsidRPr="004D0DAA">
              <w:br/>
              <w:t>This construction is a list representing a set of radio frequency channels to be excluded from the definition of the GPRS mobile allocation. The GPRS mobile allocation is defined as consisting of the radio frequency channels included in the referenced set of reference frequency lists or the referenced cell allocation, except those represented by the ARFCN index list. If the list is not included, this information element defines a GPRS mobile allocation consisting of all radio frequency channels included in the referenced set of reference frequency lists or the referenced cell allocation, without exception.</w:t>
            </w:r>
          </w:p>
        </w:tc>
      </w:tr>
      <w:tr w:rsidR="00711444" w:rsidRPr="004D0DAA" w14:paraId="068ECA06" w14:textId="77777777" w:rsidTr="00AA2A4C">
        <w:tblPrEx>
          <w:tblCellMar>
            <w:top w:w="0" w:type="dxa"/>
            <w:bottom w:w="0" w:type="dxa"/>
          </w:tblCellMar>
        </w:tblPrEx>
        <w:trPr>
          <w:cantSplit/>
        </w:trPr>
        <w:tc>
          <w:tcPr>
            <w:tcW w:w="9848" w:type="dxa"/>
          </w:tcPr>
          <w:p w14:paraId="18FEEB1F" w14:textId="77777777" w:rsidR="00711444" w:rsidRPr="004D0DAA" w:rsidRDefault="00711444" w:rsidP="00AA2A4C">
            <w:pPr>
              <w:keepLines/>
              <w:rPr>
                <w:b/>
              </w:rPr>
            </w:pPr>
            <w:r w:rsidRPr="004D0DAA">
              <w:rPr>
                <w:b/>
              </w:rPr>
              <w:t>RFL_NUMBER</w:t>
            </w:r>
            <w:r w:rsidRPr="004D0DAA">
              <w:t xml:space="preserve"> (4 bit field)</w:t>
            </w:r>
            <w:r w:rsidRPr="004D0DAA">
              <w:br/>
              <w:t>This field is the binary reference to a reference frequency list provided in PSI2. Range 0 to 15.</w:t>
            </w:r>
          </w:p>
        </w:tc>
      </w:tr>
      <w:tr w:rsidR="00711444" w:rsidRPr="004D0DAA" w14:paraId="3BA94697" w14:textId="77777777" w:rsidTr="00AA2A4C">
        <w:tblPrEx>
          <w:tblCellMar>
            <w:top w:w="0" w:type="dxa"/>
            <w:bottom w:w="0" w:type="dxa"/>
          </w:tblCellMar>
        </w:tblPrEx>
        <w:trPr>
          <w:cantSplit/>
        </w:trPr>
        <w:tc>
          <w:tcPr>
            <w:tcW w:w="9848" w:type="dxa"/>
          </w:tcPr>
          <w:p w14:paraId="2EE8FFC7" w14:textId="77777777" w:rsidR="00711444" w:rsidRPr="004D0DAA" w:rsidRDefault="00711444" w:rsidP="00AA2A4C">
            <w:pPr>
              <w:keepLines/>
            </w:pPr>
            <w:r w:rsidRPr="004D0DAA">
              <w:rPr>
                <w:b/>
              </w:rPr>
              <w:t>ARFCN_INDEX</w:t>
            </w:r>
            <w:r w:rsidRPr="004D0DAA">
              <w:t xml:space="preserve"> (6 bit field)</w:t>
            </w:r>
            <w:r w:rsidRPr="004D0DAA">
              <w:br/>
              <w:t>This field is the binary reference to a radio frequency channels in the referenced set of reference frequency lists or the referenced cell allocation. Range: 0 to NF-1.</w:t>
            </w:r>
          </w:p>
        </w:tc>
      </w:tr>
    </w:tbl>
    <w:p w14:paraId="6805EBC4" w14:textId="77777777" w:rsidR="00711444" w:rsidRPr="004D0DAA" w:rsidRDefault="00711444" w:rsidP="00711444"/>
    <w:p w14:paraId="4632A109" w14:textId="77777777" w:rsidR="00711444" w:rsidRPr="004D0DAA" w:rsidRDefault="00711444" w:rsidP="00711444">
      <w:pPr>
        <w:pStyle w:val="Heading3"/>
      </w:pPr>
      <w:bookmarkStart w:id="783" w:name="_Toc516669959"/>
      <w:r w:rsidRPr="004D0DAA">
        <w:lastRenderedPageBreak/>
        <w:t>12.10a.1</w:t>
      </w:r>
      <w:r w:rsidRPr="004D0DAA">
        <w:tab/>
        <w:t>Abnormal cases</w:t>
      </w:r>
      <w:bookmarkEnd w:id="783"/>
    </w:p>
    <w:p w14:paraId="1F58A027" w14:textId="77777777" w:rsidR="00711444" w:rsidRPr="004D0DAA" w:rsidRDefault="00711444" w:rsidP="00711444">
      <w:r w:rsidRPr="004D0DAA">
        <w:t>If the receiver of this information element detects any inconsistency between the encoding of this information element and the referenced frequency information (i.e. an MA_BITMAP length or an ARFCN_INDEX value out of range, or an undefined RFL_NUMBER value), the information element shall be regarded as invalid.</w:t>
      </w:r>
    </w:p>
    <w:p w14:paraId="2604AF64" w14:textId="77777777" w:rsidR="00711444" w:rsidRPr="004D0DAA" w:rsidRDefault="00711444" w:rsidP="00711444">
      <w:pPr>
        <w:pStyle w:val="Heading2"/>
        <w:keepNext w:val="0"/>
        <w:keepLines w:val="0"/>
      </w:pPr>
      <w:bookmarkStart w:id="784" w:name="_Toc516669960"/>
      <w:r w:rsidRPr="004D0DAA">
        <w:t>12.10b</w:t>
      </w:r>
      <w:r w:rsidRPr="004D0DAA">
        <w:tab/>
        <w:t>(void)</w:t>
      </w:r>
      <w:bookmarkEnd w:id="784"/>
    </w:p>
    <w:p w14:paraId="1CC96426" w14:textId="77777777" w:rsidR="00711444" w:rsidRPr="004D0DAA" w:rsidRDefault="00711444" w:rsidP="00711444">
      <w:pPr>
        <w:pStyle w:val="Heading2"/>
        <w:keepNext w:val="0"/>
        <w:keepLines w:val="0"/>
      </w:pPr>
      <w:bookmarkStart w:id="785" w:name="_Toc516669961"/>
      <w:r w:rsidRPr="004D0DAA">
        <w:t>12.10c</w:t>
      </w:r>
      <w:r w:rsidRPr="004D0DAA">
        <w:tab/>
        <w:t>(void)</w:t>
      </w:r>
      <w:bookmarkEnd w:id="785"/>
    </w:p>
    <w:p w14:paraId="7513D0F4" w14:textId="77777777" w:rsidR="00711444" w:rsidRPr="004D0DAA" w:rsidRDefault="00711444" w:rsidP="00711444">
      <w:pPr>
        <w:pStyle w:val="Heading2"/>
      </w:pPr>
      <w:bookmarkStart w:id="786" w:name="_Toc516669962"/>
      <w:r w:rsidRPr="004D0DAA">
        <w:t>12.10d</w:t>
      </w:r>
      <w:r w:rsidRPr="004D0DAA">
        <w:tab/>
        <w:t>EGPRS Modulation and coding Scheme description</w:t>
      </w:r>
      <w:bookmarkEnd w:id="786"/>
    </w:p>
    <w:p w14:paraId="144427F7" w14:textId="77777777" w:rsidR="00711444" w:rsidRPr="004D0DAA" w:rsidRDefault="00711444" w:rsidP="00711444">
      <w:pPr>
        <w:keepNext/>
        <w:keepLines/>
      </w:pPr>
      <w:r w:rsidRPr="004D0DAA">
        <w:t>This information element defines the modulation and coding scheme to be used.</w:t>
      </w:r>
    </w:p>
    <w:p w14:paraId="15BDE402" w14:textId="77777777" w:rsidR="00711444" w:rsidRPr="004D0DAA" w:rsidRDefault="00711444" w:rsidP="00711444">
      <w:pPr>
        <w:pStyle w:val="TH"/>
      </w:pPr>
      <w:r w:rsidRPr="004D0DAA">
        <w:t xml:space="preserve">Table 12.10d.1: </w:t>
      </w:r>
      <w:r w:rsidRPr="004D0DAA">
        <w:rPr>
          <w:i/>
        </w:rPr>
        <w:t>EGPRS MCS</w:t>
      </w:r>
      <w:r w:rsidRPr="004D0DAA">
        <w:t xml:space="preserve"> information element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4678"/>
      </w:tblGrid>
      <w:tr w:rsidR="00711444" w:rsidRPr="004D0DAA" w14:paraId="3D1136DD" w14:textId="77777777" w:rsidTr="00AA2A4C">
        <w:tblPrEx>
          <w:tblCellMar>
            <w:top w:w="0" w:type="dxa"/>
            <w:bottom w:w="0" w:type="dxa"/>
          </w:tblCellMar>
        </w:tblPrEx>
        <w:trPr>
          <w:cantSplit/>
          <w:jc w:val="center"/>
        </w:trPr>
        <w:tc>
          <w:tcPr>
            <w:tcW w:w="5920" w:type="dxa"/>
            <w:gridSpan w:val="2"/>
          </w:tcPr>
          <w:p w14:paraId="30E0D9D3" w14:textId="77777777" w:rsidR="00711444" w:rsidRPr="004D0DAA" w:rsidRDefault="00711444" w:rsidP="00AA2A4C">
            <w:pPr>
              <w:pStyle w:val="TAH"/>
              <w:rPr>
                <w:lang w:eastAsia="en-US"/>
              </w:rPr>
            </w:pPr>
            <w:r w:rsidRPr="004D0DAA">
              <w:rPr>
                <w:lang w:eastAsia="en-US"/>
              </w:rPr>
              <w:t>EGPRS modulation and coding scheme information element</w:t>
            </w:r>
          </w:p>
        </w:tc>
      </w:tr>
      <w:tr w:rsidR="00711444" w:rsidRPr="004D0DAA" w14:paraId="6EE191D3" w14:textId="77777777" w:rsidTr="00AA2A4C">
        <w:tblPrEx>
          <w:tblCellMar>
            <w:top w:w="0" w:type="dxa"/>
            <w:bottom w:w="0" w:type="dxa"/>
          </w:tblCellMar>
        </w:tblPrEx>
        <w:trPr>
          <w:cantSplit/>
          <w:jc w:val="center"/>
        </w:trPr>
        <w:tc>
          <w:tcPr>
            <w:tcW w:w="1242" w:type="dxa"/>
          </w:tcPr>
          <w:p w14:paraId="58729380" w14:textId="77777777" w:rsidR="00711444" w:rsidRPr="004D0DAA" w:rsidRDefault="00711444" w:rsidP="00AA2A4C">
            <w:pPr>
              <w:pStyle w:val="TAH"/>
              <w:rPr>
                <w:lang w:eastAsia="en-US"/>
              </w:rPr>
            </w:pPr>
            <w:r w:rsidRPr="004D0DAA">
              <w:rPr>
                <w:lang w:eastAsia="en-US"/>
              </w:rPr>
              <w:t>bits</w:t>
            </w:r>
            <w:r w:rsidRPr="004D0DAA">
              <w:rPr>
                <w:lang w:eastAsia="en-US"/>
              </w:rPr>
              <w:br/>
              <w:t>4 3 2 1</w:t>
            </w:r>
          </w:p>
        </w:tc>
        <w:tc>
          <w:tcPr>
            <w:tcW w:w="4678" w:type="dxa"/>
          </w:tcPr>
          <w:p w14:paraId="3E917FD3" w14:textId="77777777" w:rsidR="00711444" w:rsidRPr="004D0DAA" w:rsidRDefault="00711444" w:rsidP="00AA2A4C">
            <w:pPr>
              <w:pStyle w:val="TAH"/>
              <w:rPr>
                <w:lang w:eastAsia="en-US"/>
              </w:rPr>
            </w:pPr>
            <w:r w:rsidRPr="004D0DAA">
              <w:rPr>
                <w:lang w:eastAsia="en-US"/>
              </w:rPr>
              <w:br/>
              <w:t>value</w:t>
            </w:r>
          </w:p>
        </w:tc>
      </w:tr>
      <w:tr w:rsidR="00711444" w:rsidRPr="004D0DAA" w14:paraId="29782AC7" w14:textId="77777777" w:rsidTr="00AA2A4C">
        <w:tblPrEx>
          <w:tblCellMar>
            <w:top w:w="0" w:type="dxa"/>
            <w:bottom w:w="0" w:type="dxa"/>
          </w:tblCellMar>
        </w:tblPrEx>
        <w:trPr>
          <w:cantSplit/>
          <w:jc w:val="center"/>
        </w:trPr>
        <w:tc>
          <w:tcPr>
            <w:tcW w:w="1242" w:type="dxa"/>
          </w:tcPr>
          <w:p w14:paraId="5EA43320" w14:textId="77777777" w:rsidR="00711444" w:rsidRPr="004D0DAA" w:rsidRDefault="00711444" w:rsidP="00AA2A4C">
            <w:pPr>
              <w:pStyle w:val="TAC"/>
              <w:rPr>
                <w:lang w:eastAsia="en-US"/>
              </w:rPr>
            </w:pPr>
            <w:r w:rsidRPr="004D0DAA">
              <w:rPr>
                <w:lang w:eastAsia="en-US"/>
              </w:rPr>
              <w:t>0 0 0 0</w:t>
            </w:r>
          </w:p>
        </w:tc>
        <w:tc>
          <w:tcPr>
            <w:tcW w:w="4678" w:type="dxa"/>
          </w:tcPr>
          <w:p w14:paraId="5C4A4CFB" w14:textId="77777777" w:rsidR="00711444" w:rsidRPr="004D0DAA" w:rsidRDefault="00711444" w:rsidP="00AA2A4C">
            <w:pPr>
              <w:pStyle w:val="TAC"/>
              <w:rPr>
                <w:lang w:eastAsia="en-US"/>
              </w:rPr>
            </w:pPr>
            <w:r w:rsidRPr="004D0DAA">
              <w:rPr>
                <w:lang w:eastAsia="en-US"/>
              </w:rPr>
              <w:t>MCS-1</w:t>
            </w:r>
          </w:p>
        </w:tc>
      </w:tr>
      <w:tr w:rsidR="00711444" w:rsidRPr="004D0DAA" w14:paraId="7FD39AFE" w14:textId="77777777" w:rsidTr="00AA2A4C">
        <w:tblPrEx>
          <w:tblCellMar>
            <w:top w:w="0" w:type="dxa"/>
            <w:bottom w:w="0" w:type="dxa"/>
          </w:tblCellMar>
        </w:tblPrEx>
        <w:trPr>
          <w:cantSplit/>
          <w:jc w:val="center"/>
        </w:trPr>
        <w:tc>
          <w:tcPr>
            <w:tcW w:w="1242" w:type="dxa"/>
          </w:tcPr>
          <w:p w14:paraId="020DD5DC" w14:textId="77777777" w:rsidR="00711444" w:rsidRPr="004D0DAA" w:rsidRDefault="00711444" w:rsidP="00AA2A4C">
            <w:pPr>
              <w:pStyle w:val="TAC"/>
              <w:rPr>
                <w:lang w:eastAsia="en-US"/>
              </w:rPr>
            </w:pPr>
            <w:r w:rsidRPr="004D0DAA">
              <w:rPr>
                <w:lang w:eastAsia="en-US"/>
              </w:rPr>
              <w:t>0 0 0 1</w:t>
            </w:r>
          </w:p>
        </w:tc>
        <w:tc>
          <w:tcPr>
            <w:tcW w:w="4678" w:type="dxa"/>
          </w:tcPr>
          <w:p w14:paraId="67D209EC" w14:textId="77777777" w:rsidR="00711444" w:rsidRPr="004D0DAA" w:rsidRDefault="00711444" w:rsidP="00AA2A4C">
            <w:pPr>
              <w:pStyle w:val="TAC"/>
              <w:rPr>
                <w:lang w:eastAsia="en-US"/>
              </w:rPr>
            </w:pPr>
            <w:r w:rsidRPr="004D0DAA">
              <w:rPr>
                <w:lang w:eastAsia="en-US"/>
              </w:rPr>
              <w:t>MCS-2</w:t>
            </w:r>
          </w:p>
        </w:tc>
      </w:tr>
      <w:tr w:rsidR="00711444" w:rsidRPr="004D0DAA" w14:paraId="1945912D" w14:textId="77777777" w:rsidTr="00AA2A4C">
        <w:tblPrEx>
          <w:tblCellMar>
            <w:top w:w="0" w:type="dxa"/>
            <w:bottom w:w="0" w:type="dxa"/>
          </w:tblCellMar>
        </w:tblPrEx>
        <w:trPr>
          <w:cantSplit/>
          <w:jc w:val="center"/>
        </w:trPr>
        <w:tc>
          <w:tcPr>
            <w:tcW w:w="1242" w:type="dxa"/>
          </w:tcPr>
          <w:p w14:paraId="73EE0791" w14:textId="77777777" w:rsidR="00711444" w:rsidRPr="004D0DAA" w:rsidRDefault="00711444" w:rsidP="00AA2A4C">
            <w:pPr>
              <w:pStyle w:val="TAC"/>
              <w:rPr>
                <w:lang w:eastAsia="en-US"/>
              </w:rPr>
            </w:pPr>
            <w:r w:rsidRPr="004D0DAA">
              <w:rPr>
                <w:lang w:eastAsia="en-US"/>
              </w:rPr>
              <w:t>0 0 1 0</w:t>
            </w:r>
          </w:p>
        </w:tc>
        <w:tc>
          <w:tcPr>
            <w:tcW w:w="4678" w:type="dxa"/>
          </w:tcPr>
          <w:p w14:paraId="0DA54B47" w14:textId="77777777" w:rsidR="00711444" w:rsidRPr="004D0DAA" w:rsidRDefault="00711444" w:rsidP="00AA2A4C">
            <w:pPr>
              <w:pStyle w:val="TAC"/>
              <w:rPr>
                <w:lang w:eastAsia="en-US"/>
              </w:rPr>
            </w:pPr>
            <w:r w:rsidRPr="004D0DAA">
              <w:rPr>
                <w:lang w:eastAsia="en-US"/>
              </w:rPr>
              <w:t>MCS-3</w:t>
            </w:r>
          </w:p>
        </w:tc>
      </w:tr>
      <w:tr w:rsidR="00711444" w:rsidRPr="004D0DAA" w14:paraId="6888C528" w14:textId="77777777" w:rsidTr="00AA2A4C">
        <w:tblPrEx>
          <w:tblCellMar>
            <w:top w:w="0" w:type="dxa"/>
            <w:bottom w:w="0" w:type="dxa"/>
          </w:tblCellMar>
        </w:tblPrEx>
        <w:trPr>
          <w:cantSplit/>
          <w:jc w:val="center"/>
        </w:trPr>
        <w:tc>
          <w:tcPr>
            <w:tcW w:w="1242" w:type="dxa"/>
          </w:tcPr>
          <w:p w14:paraId="1CDF2F89" w14:textId="77777777" w:rsidR="00711444" w:rsidRPr="004D0DAA" w:rsidRDefault="00711444" w:rsidP="00AA2A4C">
            <w:pPr>
              <w:pStyle w:val="TAC"/>
              <w:rPr>
                <w:lang w:eastAsia="en-US"/>
              </w:rPr>
            </w:pPr>
            <w:r w:rsidRPr="004D0DAA">
              <w:rPr>
                <w:lang w:eastAsia="en-US"/>
              </w:rPr>
              <w:t>0 0 1 1</w:t>
            </w:r>
          </w:p>
        </w:tc>
        <w:tc>
          <w:tcPr>
            <w:tcW w:w="4678" w:type="dxa"/>
          </w:tcPr>
          <w:p w14:paraId="392F597C" w14:textId="77777777" w:rsidR="00711444" w:rsidRPr="004D0DAA" w:rsidRDefault="00711444" w:rsidP="00AA2A4C">
            <w:pPr>
              <w:pStyle w:val="TAC"/>
              <w:rPr>
                <w:lang w:eastAsia="en-US"/>
              </w:rPr>
            </w:pPr>
            <w:r w:rsidRPr="004D0DAA">
              <w:rPr>
                <w:lang w:eastAsia="en-US"/>
              </w:rPr>
              <w:t>MCS-4</w:t>
            </w:r>
          </w:p>
        </w:tc>
      </w:tr>
      <w:tr w:rsidR="00711444" w:rsidRPr="004D0DAA" w14:paraId="0A0CBA7C" w14:textId="77777777" w:rsidTr="00AA2A4C">
        <w:tblPrEx>
          <w:tblCellMar>
            <w:top w:w="0" w:type="dxa"/>
            <w:bottom w:w="0" w:type="dxa"/>
          </w:tblCellMar>
        </w:tblPrEx>
        <w:trPr>
          <w:cantSplit/>
          <w:jc w:val="center"/>
        </w:trPr>
        <w:tc>
          <w:tcPr>
            <w:tcW w:w="1242" w:type="dxa"/>
          </w:tcPr>
          <w:p w14:paraId="62008AF0" w14:textId="77777777" w:rsidR="00711444" w:rsidRPr="004D0DAA" w:rsidRDefault="00711444" w:rsidP="00AA2A4C">
            <w:pPr>
              <w:pStyle w:val="TAC"/>
              <w:rPr>
                <w:lang w:eastAsia="en-US"/>
              </w:rPr>
            </w:pPr>
            <w:r w:rsidRPr="004D0DAA">
              <w:rPr>
                <w:lang w:eastAsia="en-US"/>
              </w:rPr>
              <w:t>0 1 0 0</w:t>
            </w:r>
          </w:p>
        </w:tc>
        <w:tc>
          <w:tcPr>
            <w:tcW w:w="4678" w:type="dxa"/>
          </w:tcPr>
          <w:p w14:paraId="49DEF93F" w14:textId="77777777" w:rsidR="00711444" w:rsidRPr="004D0DAA" w:rsidRDefault="00711444" w:rsidP="00AA2A4C">
            <w:pPr>
              <w:pStyle w:val="TAC"/>
              <w:rPr>
                <w:lang w:eastAsia="en-US"/>
              </w:rPr>
            </w:pPr>
            <w:r w:rsidRPr="004D0DAA">
              <w:rPr>
                <w:lang w:eastAsia="en-US"/>
              </w:rPr>
              <w:t>MCS-5</w:t>
            </w:r>
          </w:p>
        </w:tc>
      </w:tr>
      <w:tr w:rsidR="00711444" w:rsidRPr="004D0DAA" w14:paraId="55A65C0A" w14:textId="77777777" w:rsidTr="00AA2A4C">
        <w:tblPrEx>
          <w:tblCellMar>
            <w:top w:w="0" w:type="dxa"/>
            <w:bottom w:w="0" w:type="dxa"/>
          </w:tblCellMar>
        </w:tblPrEx>
        <w:trPr>
          <w:cantSplit/>
          <w:jc w:val="center"/>
        </w:trPr>
        <w:tc>
          <w:tcPr>
            <w:tcW w:w="1242" w:type="dxa"/>
          </w:tcPr>
          <w:p w14:paraId="255ADD4C" w14:textId="77777777" w:rsidR="00711444" w:rsidRPr="004D0DAA" w:rsidRDefault="00711444" w:rsidP="00AA2A4C">
            <w:pPr>
              <w:pStyle w:val="TAC"/>
              <w:rPr>
                <w:lang w:eastAsia="en-US"/>
              </w:rPr>
            </w:pPr>
            <w:r w:rsidRPr="004D0DAA">
              <w:rPr>
                <w:lang w:eastAsia="en-US"/>
              </w:rPr>
              <w:t>0 1 0 1</w:t>
            </w:r>
          </w:p>
        </w:tc>
        <w:tc>
          <w:tcPr>
            <w:tcW w:w="4678" w:type="dxa"/>
          </w:tcPr>
          <w:p w14:paraId="29E87391" w14:textId="77777777" w:rsidR="00711444" w:rsidRPr="004D0DAA" w:rsidRDefault="00711444" w:rsidP="00AA2A4C">
            <w:pPr>
              <w:pStyle w:val="TAC"/>
              <w:rPr>
                <w:lang w:eastAsia="en-US"/>
              </w:rPr>
            </w:pPr>
            <w:r w:rsidRPr="004D0DAA">
              <w:rPr>
                <w:lang w:eastAsia="en-US"/>
              </w:rPr>
              <w:t>MCS-6</w:t>
            </w:r>
          </w:p>
        </w:tc>
      </w:tr>
      <w:tr w:rsidR="00711444" w:rsidRPr="004D0DAA" w14:paraId="2ECE5699" w14:textId="77777777" w:rsidTr="00AA2A4C">
        <w:tblPrEx>
          <w:tblCellMar>
            <w:top w:w="0" w:type="dxa"/>
            <w:bottom w:w="0" w:type="dxa"/>
          </w:tblCellMar>
        </w:tblPrEx>
        <w:trPr>
          <w:cantSplit/>
          <w:jc w:val="center"/>
        </w:trPr>
        <w:tc>
          <w:tcPr>
            <w:tcW w:w="1242" w:type="dxa"/>
          </w:tcPr>
          <w:p w14:paraId="6A25C7B8" w14:textId="77777777" w:rsidR="00711444" w:rsidRPr="004D0DAA" w:rsidRDefault="00711444" w:rsidP="00AA2A4C">
            <w:pPr>
              <w:pStyle w:val="TAC"/>
              <w:rPr>
                <w:lang w:eastAsia="en-US"/>
              </w:rPr>
            </w:pPr>
            <w:r w:rsidRPr="004D0DAA">
              <w:rPr>
                <w:lang w:eastAsia="en-US"/>
              </w:rPr>
              <w:t>0 1 1 0</w:t>
            </w:r>
          </w:p>
        </w:tc>
        <w:tc>
          <w:tcPr>
            <w:tcW w:w="4678" w:type="dxa"/>
          </w:tcPr>
          <w:p w14:paraId="466BC0C0" w14:textId="77777777" w:rsidR="00711444" w:rsidRPr="004D0DAA" w:rsidRDefault="00711444" w:rsidP="00AA2A4C">
            <w:pPr>
              <w:pStyle w:val="TAC"/>
              <w:rPr>
                <w:lang w:eastAsia="en-US"/>
              </w:rPr>
            </w:pPr>
            <w:r w:rsidRPr="004D0DAA">
              <w:rPr>
                <w:lang w:eastAsia="en-US"/>
              </w:rPr>
              <w:t>MCS-7</w:t>
            </w:r>
          </w:p>
        </w:tc>
      </w:tr>
      <w:tr w:rsidR="00711444" w:rsidRPr="004D0DAA" w14:paraId="4C927938" w14:textId="77777777" w:rsidTr="00AA2A4C">
        <w:tblPrEx>
          <w:tblCellMar>
            <w:top w:w="0" w:type="dxa"/>
            <w:bottom w:w="0" w:type="dxa"/>
          </w:tblCellMar>
        </w:tblPrEx>
        <w:trPr>
          <w:cantSplit/>
          <w:jc w:val="center"/>
        </w:trPr>
        <w:tc>
          <w:tcPr>
            <w:tcW w:w="1242" w:type="dxa"/>
          </w:tcPr>
          <w:p w14:paraId="3CDD050C" w14:textId="77777777" w:rsidR="00711444" w:rsidRPr="004D0DAA" w:rsidRDefault="00711444" w:rsidP="00AA2A4C">
            <w:pPr>
              <w:pStyle w:val="TAC"/>
              <w:rPr>
                <w:lang w:eastAsia="en-US"/>
              </w:rPr>
            </w:pPr>
            <w:r w:rsidRPr="004D0DAA">
              <w:rPr>
                <w:lang w:eastAsia="en-US"/>
              </w:rPr>
              <w:t>0 1 1 1</w:t>
            </w:r>
          </w:p>
        </w:tc>
        <w:tc>
          <w:tcPr>
            <w:tcW w:w="4678" w:type="dxa"/>
          </w:tcPr>
          <w:p w14:paraId="0617728F" w14:textId="77777777" w:rsidR="00711444" w:rsidRPr="004D0DAA" w:rsidRDefault="00711444" w:rsidP="00AA2A4C">
            <w:pPr>
              <w:pStyle w:val="TAC"/>
              <w:rPr>
                <w:lang w:eastAsia="en-US"/>
              </w:rPr>
            </w:pPr>
            <w:r w:rsidRPr="004D0DAA">
              <w:rPr>
                <w:lang w:eastAsia="en-US"/>
              </w:rPr>
              <w:t>MCS-8</w:t>
            </w:r>
          </w:p>
        </w:tc>
      </w:tr>
      <w:tr w:rsidR="00711444" w:rsidRPr="004D0DAA" w14:paraId="375DFB75" w14:textId="77777777" w:rsidTr="00AA2A4C">
        <w:tblPrEx>
          <w:tblCellMar>
            <w:top w:w="0" w:type="dxa"/>
            <w:bottom w:w="0" w:type="dxa"/>
          </w:tblCellMar>
        </w:tblPrEx>
        <w:trPr>
          <w:cantSplit/>
          <w:jc w:val="center"/>
        </w:trPr>
        <w:tc>
          <w:tcPr>
            <w:tcW w:w="1242" w:type="dxa"/>
          </w:tcPr>
          <w:p w14:paraId="2A4125B3" w14:textId="77777777" w:rsidR="00711444" w:rsidRPr="004D0DAA" w:rsidRDefault="00711444" w:rsidP="00AA2A4C">
            <w:pPr>
              <w:pStyle w:val="TAC"/>
              <w:rPr>
                <w:lang w:eastAsia="en-US"/>
              </w:rPr>
            </w:pPr>
            <w:r w:rsidRPr="004D0DAA">
              <w:rPr>
                <w:lang w:eastAsia="en-US"/>
              </w:rPr>
              <w:t>1 0 0 0</w:t>
            </w:r>
          </w:p>
        </w:tc>
        <w:tc>
          <w:tcPr>
            <w:tcW w:w="4678" w:type="dxa"/>
          </w:tcPr>
          <w:p w14:paraId="204FFB07" w14:textId="77777777" w:rsidR="00711444" w:rsidRPr="004D0DAA" w:rsidRDefault="00711444" w:rsidP="00AA2A4C">
            <w:pPr>
              <w:pStyle w:val="TAC"/>
              <w:rPr>
                <w:lang w:eastAsia="en-US"/>
              </w:rPr>
            </w:pPr>
            <w:r w:rsidRPr="004D0DAA">
              <w:rPr>
                <w:lang w:eastAsia="en-US"/>
              </w:rPr>
              <w:t>MCS-9</w:t>
            </w:r>
          </w:p>
        </w:tc>
      </w:tr>
      <w:tr w:rsidR="00711444" w:rsidRPr="004D0DAA" w14:paraId="2E59D05C" w14:textId="77777777" w:rsidTr="00AA2A4C">
        <w:tblPrEx>
          <w:tblCellMar>
            <w:top w:w="0" w:type="dxa"/>
            <w:bottom w:w="0" w:type="dxa"/>
          </w:tblCellMar>
        </w:tblPrEx>
        <w:trPr>
          <w:cantSplit/>
          <w:jc w:val="center"/>
        </w:trPr>
        <w:tc>
          <w:tcPr>
            <w:tcW w:w="1242" w:type="dxa"/>
          </w:tcPr>
          <w:p w14:paraId="2B848F06" w14:textId="77777777" w:rsidR="00711444" w:rsidRPr="004D0DAA" w:rsidRDefault="00711444" w:rsidP="00AA2A4C">
            <w:pPr>
              <w:pStyle w:val="TAC"/>
              <w:rPr>
                <w:lang w:eastAsia="en-US"/>
              </w:rPr>
            </w:pPr>
            <w:r w:rsidRPr="004D0DAA">
              <w:rPr>
                <w:lang w:eastAsia="en-US"/>
              </w:rPr>
              <w:t>1 0 0 1</w:t>
            </w:r>
          </w:p>
        </w:tc>
        <w:tc>
          <w:tcPr>
            <w:tcW w:w="4678" w:type="dxa"/>
          </w:tcPr>
          <w:p w14:paraId="176F92A7" w14:textId="77777777" w:rsidR="00711444" w:rsidRPr="004D0DAA" w:rsidRDefault="00711444" w:rsidP="00AA2A4C">
            <w:pPr>
              <w:pStyle w:val="TAC"/>
              <w:rPr>
                <w:lang w:eastAsia="en-US"/>
              </w:rPr>
            </w:pPr>
            <w:r w:rsidRPr="004D0DAA">
              <w:rPr>
                <w:lang w:eastAsia="en-US"/>
              </w:rPr>
              <w:t xml:space="preserve">MCS-5-7 </w:t>
            </w:r>
          </w:p>
        </w:tc>
      </w:tr>
      <w:tr w:rsidR="00711444" w:rsidRPr="004D0DAA" w14:paraId="5F41095F" w14:textId="77777777" w:rsidTr="00AA2A4C">
        <w:tblPrEx>
          <w:tblCellMar>
            <w:top w:w="0" w:type="dxa"/>
            <w:bottom w:w="0" w:type="dxa"/>
          </w:tblCellMar>
        </w:tblPrEx>
        <w:trPr>
          <w:cantSplit/>
          <w:jc w:val="center"/>
        </w:trPr>
        <w:tc>
          <w:tcPr>
            <w:tcW w:w="1242" w:type="dxa"/>
          </w:tcPr>
          <w:p w14:paraId="469B1C08" w14:textId="77777777" w:rsidR="00711444" w:rsidRPr="004D0DAA" w:rsidRDefault="00711444" w:rsidP="00AA2A4C">
            <w:pPr>
              <w:pStyle w:val="TAC"/>
              <w:rPr>
                <w:lang w:eastAsia="en-US"/>
              </w:rPr>
            </w:pPr>
            <w:r w:rsidRPr="004D0DAA">
              <w:rPr>
                <w:lang w:eastAsia="en-US"/>
              </w:rPr>
              <w:t>1 0 1 0</w:t>
            </w:r>
          </w:p>
        </w:tc>
        <w:tc>
          <w:tcPr>
            <w:tcW w:w="4678" w:type="dxa"/>
          </w:tcPr>
          <w:p w14:paraId="478F4B1A" w14:textId="77777777" w:rsidR="00711444" w:rsidRPr="004D0DAA" w:rsidRDefault="00711444" w:rsidP="00AA2A4C">
            <w:pPr>
              <w:pStyle w:val="TAC"/>
              <w:rPr>
                <w:lang w:eastAsia="en-US"/>
              </w:rPr>
            </w:pPr>
            <w:r w:rsidRPr="004D0DAA">
              <w:rPr>
                <w:lang w:eastAsia="en-US"/>
              </w:rPr>
              <w:t>MCS-6-9</w:t>
            </w:r>
          </w:p>
        </w:tc>
      </w:tr>
      <w:tr w:rsidR="00711444" w:rsidRPr="004D0DAA" w14:paraId="254FC9E9" w14:textId="77777777" w:rsidTr="00AA2A4C">
        <w:tblPrEx>
          <w:tblCellMar>
            <w:top w:w="0" w:type="dxa"/>
            <w:bottom w:w="0" w:type="dxa"/>
          </w:tblCellMar>
        </w:tblPrEx>
        <w:trPr>
          <w:cantSplit/>
          <w:jc w:val="center"/>
        </w:trPr>
        <w:tc>
          <w:tcPr>
            <w:tcW w:w="1242" w:type="dxa"/>
          </w:tcPr>
          <w:p w14:paraId="5D11750D" w14:textId="77777777" w:rsidR="00711444" w:rsidRPr="004D0DAA" w:rsidRDefault="00711444" w:rsidP="00AA2A4C">
            <w:pPr>
              <w:pStyle w:val="TAC"/>
              <w:rPr>
                <w:lang w:eastAsia="en-US"/>
              </w:rPr>
            </w:pPr>
            <w:r w:rsidRPr="004D0DAA">
              <w:rPr>
                <w:lang w:eastAsia="en-US"/>
              </w:rPr>
              <w:t>1 0 1 1</w:t>
            </w:r>
            <w:r w:rsidRPr="004D0DAA">
              <w:rPr>
                <w:lang w:eastAsia="en-US"/>
              </w:rPr>
              <w:br/>
              <w:t>to</w:t>
            </w:r>
          </w:p>
          <w:p w14:paraId="01C45103" w14:textId="77777777" w:rsidR="00711444" w:rsidRPr="004D0DAA" w:rsidRDefault="00711444" w:rsidP="00AA2A4C">
            <w:pPr>
              <w:pStyle w:val="TAC"/>
              <w:rPr>
                <w:lang w:eastAsia="en-US"/>
              </w:rPr>
            </w:pPr>
            <w:r w:rsidRPr="004D0DAA">
              <w:rPr>
                <w:lang w:eastAsia="en-US"/>
              </w:rPr>
              <w:t>1 1 1 1</w:t>
            </w:r>
          </w:p>
        </w:tc>
        <w:tc>
          <w:tcPr>
            <w:tcW w:w="4678" w:type="dxa"/>
          </w:tcPr>
          <w:p w14:paraId="63649909" w14:textId="77777777" w:rsidR="00711444" w:rsidRPr="004D0DAA" w:rsidRDefault="00711444" w:rsidP="00AA2A4C">
            <w:pPr>
              <w:pStyle w:val="TAC"/>
              <w:rPr>
                <w:lang w:eastAsia="en-US"/>
              </w:rPr>
            </w:pPr>
            <w:r w:rsidRPr="004D0DAA">
              <w:rPr>
                <w:lang w:eastAsia="en-US"/>
              </w:rPr>
              <w:t>reserved</w:t>
            </w:r>
          </w:p>
        </w:tc>
      </w:tr>
    </w:tbl>
    <w:p w14:paraId="0101BFBF" w14:textId="77777777" w:rsidR="00711444" w:rsidRPr="004D0DAA" w:rsidRDefault="00711444" w:rsidP="00711444"/>
    <w:p w14:paraId="3B25BC88" w14:textId="77777777" w:rsidR="00711444" w:rsidRPr="004D0DAA" w:rsidRDefault="00711444" w:rsidP="00711444">
      <w:r w:rsidRPr="004D0DAA">
        <w:t>In EGPRS2, this information element defines the modulation and coding scheme to be used. The value depends on the assigned EGPRS level, see sub-clause 12.10f.</w:t>
      </w:r>
    </w:p>
    <w:p w14:paraId="31BE8573" w14:textId="77777777" w:rsidR="00711444" w:rsidRPr="004D0DAA" w:rsidRDefault="00711444" w:rsidP="00711444">
      <w:pPr>
        <w:pStyle w:val="TH"/>
      </w:pPr>
      <w:r w:rsidRPr="004D0DAA">
        <w:t xml:space="preserve"> Table 12.10d.2: </w:t>
      </w:r>
      <w:r w:rsidRPr="004D0DAA">
        <w:rPr>
          <w:i/>
        </w:rPr>
        <w:t>EGPRS MCS</w:t>
      </w:r>
      <w:r w:rsidRPr="004D0DAA">
        <w:t xml:space="preserve"> information element details (EGPRS2-A)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4678"/>
      </w:tblGrid>
      <w:tr w:rsidR="00711444" w:rsidRPr="004D0DAA" w14:paraId="5C651F2D" w14:textId="77777777" w:rsidTr="00AA2A4C">
        <w:tblPrEx>
          <w:tblCellMar>
            <w:top w:w="0" w:type="dxa"/>
            <w:bottom w:w="0" w:type="dxa"/>
          </w:tblCellMar>
        </w:tblPrEx>
        <w:trPr>
          <w:cantSplit/>
          <w:jc w:val="center"/>
        </w:trPr>
        <w:tc>
          <w:tcPr>
            <w:tcW w:w="5920" w:type="dxa"/>
            <w:gridSpan w:val="2"/>
          </w:tcPr>
          <w:p w14:paraId="75125C20" w14:textId="77777777" w:rsidR="00711444" w:rsidRPr="004D0DAA" w:rsidRDefault="00711444" w:rsidP="00AA2A4C">
            <w:pPr>
              <w:pStyle w:val="TAH"/>
              <w:rPr>
                <w:lang w:eastAsia="en-US"/>
              </w:rPr>
            </w:pPr>
            <w:r w:rsidRPr="004D0DAA">
              <w:rPr>
                <w:lang w:eastAsia="en-US"/>
              </w:rPr>
              <w:t>EGPRS modulation and coding scheme information element</w:t>
            </w:r>
          </w:p>
        </w:tc>
      </w:tr>
      <w:tr w:rsidR="00711444" w:rsidRPr="004D0DAA" w14:paraId="4AFAB3D0" w14:textId="77777777" w:rsidTr="00AA2A4C">
        <w:tblPrEx>
          <w:tblCellMar>
            <w:top w:w="0" w:type="dxa"/>
            <w:bottom w:w="0" w:type="dxa"/>
          </w:tblCellMar>
        </w:tblPrEx>
        <w:trPr>
          <w:cantSplit/>
          <w:jc w:val="center"/>
        </w:trPr>
        <w:tc>
          <w:tcPr>
            <w:tcW w:w="1242" w:type="dxa"/>
          </w:tcPr>
          <w:p w14:paraId="2E69DC63" w14:textId="77777777" w:rsidR="00711444" w:rsidRPr="004D0DAA" w:rsidRDefault="00711444" w:rsidP="00AA2A4C">
            <w:pPr>
              <w:pStyle w:val="TAH"/>
              <w:rPr>
                <w:lang w:eastAsia="en-US"/>
              </w:rPr>
            </w:pPr>
            <w:r w:rsidRPr="004D0DAA">
              <w:rPr>
                <w:lang w:eastAsia="en-US"/>
              </w:rPr>
              <w:t>bits</w:t>
            </w:r>
            <w:r w:rsidRPr="004D0DAA">
              <w:rPr>
                <w:lang w:eastAsia="en-US"/>
              </w:rPr>
              <w:br/>
              <w:t>4 3 2 1</w:t>
            </w:r>
          </w:p>
        </w:tc>
        <w:tc>
          <w:tcPr>
            <w:tcW w:w="4678" w:type="dxa"/>
          </w:tcPr>
          <w:p w14:paraId="2E38900B" w14:textId="77777777" w:rsidR="00711444" w:rsidRPr="004D0DAA" w:rsidRDefault="00711444" w:rsidP="00AA2A4C">
            <w:pPr>
              <w:pStyle w:val="TAH"/>
              <w:rPr>
                <w:lang w:eastAsia="en-US"/>
              </w:rPr>
            </w:pPr>
            <w:r w:rsidRPr="004D0DAA">
              <w:rPr>
                <w:lang w:eastAsia="en-US"/>
              </w:rPr>
              <w:br/>
              <w:t>value</w:t>
            </w:r>
          </w:p>
        </w:tc>
      </w:tr>
      <w:tr w:rsidR="00711444" w:rsidRPr="004D0DAA" w14:paraId="43574EF2" w14:textId="77777777" w:rsidTr="00AA2A4C">
        <w:tblPrEx>
          <w:tblCellMar>
            <w:top w:w="0" w:type="dxa"/>
            <w:bottom w:w="0" w:type="dxa"/>
          </w:tblCellMar>
        </w:tblPrEx>
        <w:trPr>
          <w:cantSplit/>
          <w:jc w:val="center"/>
        </w:trPr>
        <w:tc>
          <w:tcPr>
            <w:tcW w:w="1242" w:type="dxa"/>
          </w:tcPr>
          <w:p w14:paraId="0ED106C9" w14:textId="77777777" w:rsidR="00711444" w:rsidRPr="004D0DAA" w:rsidRDefault="00711444" w:rsidP="00AA2A4C">
            <w:pPr>
              <w:pStyle w:val="TAC"/>
              <w:rPr>
                <w:lang w:eastAsia="en-US"/>
              </w:rPr>
            </w:pPr>
            <w:r w:rsidRPr="004D0DAA">
              <w:rPr>
                <w:lang w:eastAsia="en-US"/>
              </w:rPr>
              <w:t>0 0 0 0</w:t>
            </w:r>
          </w:p>
        </w:tc>
        <w:tc>
          <w:tcPr>
            <w:tcW w:w="4678" w:type="dxa"/>
          </w:tcPr>
          <w:p w14:paraId="03FE06CB" w14:textId="77777777" w:rsidR="00711444" w:rsidRPr="004D0DAA" w:rsidRDefault="00711444" w:rsidP="00AA2A4C">
            <w:pPr>
              <w:pStyle w:val="TAC"/>
              <w:rPr>
                <w:lang w:eastAsia="en-US"/>
              </w:rPr>
            </w:pPr>
            <w:r w:rsidRPr="004D0DAA">
              <w:rPr>
                <w:lang w:eastAsia="en-US"/>
              </w:rPr>
              <w:t>MCS-1</w:t>
            </w:r>
          </w:p>
        </w:tc>
      </w:tr>
      <w:tr w:rsidR="00711444" w:rsidRPr="004D0DAA" w14:paraId="790C7A60" w14:textId="77777777" w:rsidTr="00AA2A4C">
        <w:tblPrEx>
          <w:tblCellMar>
            <w:top w:w="0" w:type="dxa"/>
            <w:bottom w:w="0" w:type="dxa"/>
          </w:tblCellMar>
        </w:tblPrEx>
        <w:trPr>
          <w:cantSplit/>
          <w:jc w:val="center"/>
        </w:trPr>
        <w:tc>
          <w:tcPr>
            <w:tcW w:w="1242" w:type="dxa"/>
          </w:tcPr>
          <w:p w14:paraId="077C7268" w14:textId="77777777" w:rsidR="00711444" w:rsidRPr="004D0DAA" w:rsidRDefault="00711444" w:rsidP="00AA2A4C">
            <w:pPr>
              <w:pStyle w:val="TAC"/>
              <w:rPr>
                <w:lang w:eastAsia="en-US"/>
              </w:rPr>
            </w:pPr>
            <w:r w:rsidRPr="004D0DAA">
              <w:rPr>
                <w:lang w:eastAsia="en-US"/>
              </w:rPr>
              <w:t>0 0 0 1</w:t>
            </w:r>
          </w:p>
        </w:tc>
        <w:tc>
          <w:tcPr>
            <w:tcW w:w="4678" w:type="dxa"/>
          </w:tcPr>
          <w:p w14:paraId="4C3DC71D" w14:textId="77777777" w:rsidR="00711444" w:rsidRPr="004D0DAA" w:rsidRDefault="00711444" w:rsidP="00AA2A4C">
            <w:pPr>
              <w:pStyle w:val="TAC"/>
              <w:rPr>
                <w:lang w:eastAsia="en-US"/>
              </w:rPr>
            </w:pPr>
            <w:r w:rsidRPr="004D0DAA">
              <w:rPr>
                <w:lang w:eastAsia="en-US"/>
              </w:rPr>
              <w:t>MCS-2</w:t>
            </w:r>
          </w:p>
        </w:tc>
      </w:tr>
      <w:tr w:rsidR="00711444" w:rsidRPr="004D0DAA" w14:paraId="4797E62E" w14:textId="77777777" w:rsidTr="00AA2A4C">
        <w:tblPrEx>
          <w:tblCellMar>
            <w:top w:w="0" w:type="dxa"/>
            <w:bottom w:w="0" w:type="dxa"/>
          </w:tblCellMar>
        </w:tblPrEx>
        <w:trPr>
          <w:cantSplit/>
          <w:jc w:val="center"/>
        </w:trPr>
        <w:tc>
          <w:tcPr>
            <w:tcW w:w="1242" w:type="dxa"/>
          </w:tcPr>
          <w:p w14:paraId="6EBFA2B8" w14:textId="77777777" w:rsidR="00711444" w:rsidRPr="004D0DAA" w:rsidRDefault="00711444" w:rsidP="00AA2A4C">
            <w:pPr>
              <w:pStyle w:val="TAC"/>
              <w:rPr>
                <w:lang w:eastAsia="en-US"/>
              </w:rPr>
            </w:pPr>
            <w:r w:rsidRPr="004D0DAA">
              <w:rPr>
                <w:lang w:eastAsia="en-US"/>
              </w:rPr>
              <w:t>0 0 1 0</w:t>
            </w:r>
          </w:p>
        </w:tc>
        <w:tc>
          <w:tcPr>
            <w:tcW w:w="4678" w:type="dxa"/>
          </w:tcPr>
          <w:p w14:paraId="48D251C6" w14:textId="77777777" w:rsidR="00711444" w:rsidRPr="004D0DAA" w:rsidRDefault="00711444" w:rsidP="00AA2A4C">
            <w:pPr>
              <w:pStyle w:val="TAC"/>
              <w:rPr>
                <w:lang w:eastAsia="en-US"/>
              </w:rPr>
            </w:pPr>
            <w:r w:rsidRPr="004D0DAA">
              <w:rPr>
                <w:lang w:eastAsia="en-US"/>
              </w:rPr>
              <w:t>MCS-3</w:t>
            </w:r>
          </w:p>
        </w:tc>
      </w:tr>
      <w:tr w:rsidR="00711444" w:rsidRPr="004D0DAA" w14:paraId="1C193F63" w14:textId="77777777" w:rsidTr="00AA2A4C">
        <w:tblPrEx>
          <w:tblCellMar>
            <w:top w:w="0" w:type="dxa"/>
            <w:bottom w:w="0" w:type="dxa"/>
          </w:tblCellMar>
        </w:tblPrEx>
        <w:trPr>
          <w:cantSplit/>
          <w:jc w:val="center"/>
        </w:trPr>
        <w:tc>
          <w:tcPr>
            <w:tcW w:w="1242" w:type="dxa"/>
          </w:tcPr>
          <w:p w14:paraId="296656F7" w14:textId="77777777" w:rsidR="00711444" w:rsidRPr="004D0DAA" w:rsidRDefault="00711444" w:rsidP="00AA2A4C">
            <w:pPr>
              <w:pStyle w:val="TAC"/>
              <w:rPr>
                <w:lang w:eastAsia="en-US"/>
              </w:rPr>
            </w:pPr>
            <w:r w:rsidRPr="004D0DAA">
              <w:rPr>
                <w:lang w:eastAsia="en-US"/>
              </w:rPr>
              <w:t>0 0 1 1</w:t>
            </w:r>
          </w:p>
        </w:tc>
        <w:tc>
          <w:tcPr>
            <w:tcW w:w="4678" w:type="dxa"/>
          </w:tcPr>
          <w:p w14:paraId="56231CEB" w14:textId="77777777" w:rsidR="00711444" w:rsidRPr="004D0DAA" w:rsidRDefault="00711444" w:rsidP="00AA2A4C">
            <w:pPr>
              <w:pStyle w:val="TAC"/>
              <w:rPr>
                <w:lang w:eastAsia="en-US"/>
              </w:rPr>
            </w:pPr>
            <w:r w:rsidRPr="004D0DAA">
              <w:rPr>
                <w:lang w:eastAsia="en-US"/>
              </w:rPr>
              <w:t>MCS-4</w:t>
            </w:r>
          </w:p>
        </w:tc>
      </w:tr>
      <w:tr w:rsidR="00711444" w:rsidRPr="004D0DAA" w14:paraId="75A4B388" w14:textId="77777777" w:rsidTr="00AA2A4C">
        <w:tblPrEx>
          <w:tblCellMar>
            <w:top w:w="0" w:type="dxa"/>
            <w:bottom w:w="0" w:type="dxa"/>
          </w:tblCellMar>
        </w:tblPrEx>
        <w:trPr>
          <w:cantSplit/>
          <w:jc w:val="center"/>
        </w:trPr>
        <w:tc>
          <w:tcPr>
            <w:tcW w:w="1242" w:type="dxa"/>
          </w:tcPr>
          <w:p w14:paraId="0FA16E8B" w14:textId="77777777" w:rsidR="00711444" w:rsidRPr="004D0DAA" w:rsidRDefault="00711444" w:rsidP="00AA2A4C">
            <w:pPr>
              <w:pStyle w:val="TAC"/>
              <w:rPr>
                <w:lang w:eastAsia="en-US"/>
              </w:rPr>
            </w:pPr>
            <w:r w:rsidRPr="004D0DAA">
              <w:rPr>
                <w:lang w:eastAsia="en-US"/>
              </w:rPr>
              <w:t>0 1 0 0</w:t>
            </w:r>
          </w:p>
        </w:tc>
        <w:tc>
          <w:tcPr>
            <w:tcW w:w="4678" w:type="dxa"/>
          </w:tcPr>
          <w:p w14:paraId="3F1A791A" w14:textId="77777777" w:rsidR="00711444" w:rsidRPr="004D0DAA" w:rsidRDefault="00711444" w:rsidP="00AA2A4C">
            <w:pPr>
              <w:pStyle w:val="TAC"/>
              <w:rPr>
                <w:lang w:eastAsia="en-US"/>
              </w:rPr>
            </w:pPr>
            <w:r w:rsidRPr="004D0DAA">
              <w:rPr>
                <w:lang w:eastAsia="en-US"/>
              </w:rPr>
              <w:t>MCS-5</w:t>
            </w:r>
          </w:p>
        </w:tc>
      </w:tr>
      <w:tr w:rsidR="00711444" w:rsidRPr="004D0DAA" w14:paraId="326DA700" w14:textId="77777777" w:rsidTr="00AA2A4C">
        <w:tblPrEx>
          <w:tblCellMar>
            <w:top w:w="0" w:type="dxa"/>
            <w:bottom w:w="0" w:type="dxa"/>
          </w:tblCellMar>
        </w:tblPrEx>
        <w:trPr>
          <w:cantSplit/>
          <w:jc w:val="center"/>
        </w:trPr>
        <w:tc>
          <w:tcPr>
            <w:tcW w:w="1242" w:type="dxa"/>
          </w:tcPr>
          <w:p w14:paraId="4A88677C" w14:textId="77777777" w:rsidR="00711444" w:rsidRPr="004D0DAA" w:rsidRDefault="00711444" w:rsidP="00AA2A4C">
            <w:pPr>
              <w:pStyle w:val="TAC"/>
              <w:rPr>
                <w:lang w:eastAsia="en-US"/>
              </w:rPr>
            </w:pPr>
            <w:r w:rsidRPr="004D0DAA">
              <w:rPr>
                <w:lang w:eastAsia="en-US"/>
              </w:rPr>
              <w:t>0 1 0 1</w:t>
            </w:r>
          </w:p>
        </w:tc>
        <w:tc>
          <w:tcPr>
            <w:tcW w:w="4678" w:type="dxa"/>
          </w:tcPr>
          <w:p w14:paraId="6DF6DC48" w14:textId="77777777" w:rsidR="00711444" w:rsidRPr="004D0DAA" w:rsidRDefault="00711444" w:rsidP="00AA2A4C">
            <w:pPr>
              <w:pStyle w:val="TAC"/>
              <w:rPr>
                <w:lang w:eastAsia="en-US"/>
              </w:rPr>
            </w:pPr>
            <w:r w:rsidRPr="004D0DAA">
              <w:rPr>
                <w:lang w:eastAsia="en-US"/>
              </w:rPr>
              <w:t>MCS-6</w:t>
            </w:r>
          </w:p>
        </w:tc>
      </w:tr>
      <w:tr w:rsidR="00711444" w:rsidRPr="004D0DAA" w14:paraId="5F0E459C" w14:textId="77777777" w:rsidTr="00AA2A4C">
        <w:tblPrEx>
          <w:tblCellMar>
            <w:top w:w="0" w:type="dxa"/>
            <w:bottom w:w="0" w:type="dxa"/>
          </w:tblCellMar>
        </w:tblPrEx>
        <w:trPr>
          <w:cantSplit/>
          <w:jc w:val="center"/>
        </w:trPr>
        <w:tc>
          <w:tcPr>
            <w:tcW w:w="1242" w:type="dxa"/>
          </w:tcPr>
          <w:p w14:paraId="33AC73C2" w14:textId="77777777" w:rsidR="00711444" w:rsidRPr="004D0DAA" w:rsidRDefault="00711444" w:rsidP="00AA2A4C">
            <w:pPr>
              <w:pStyle w:val="TAC"/>
              <w:rPr>
                <w:lang w:eastAsia="en-US"/>
              </w:rPr>
            </w:pPr>
            <w:r w:rsidRPr="004D0DAA">
              <w:rPr>
                <w:lang w:eastAsia="en-US"/>
              </w:rPr>
              <w:t>0 1 1 0</w:t>
            </w:r>
          </w:p>
        </w:tc>
        <w:tc>
          <w:tcPr>
            <w:tcW w:w="4678" w:type="dxa"/>
          </w:tcPr>
          <w:p w14:paraId="79E19B43" w14:textId="77777777" w:rsidR="00711444" w:rsidRPr="004D0DAA" w:rsidRDefault="00711444" w:rsidP="00AA2A4C">
            <w:pPr>
              <w:pStyle w:val="TAC"/>
              <w:rPr>
                <w:lang w:eastAsia="en-US"/>
              </w:rPr>
            </w:pPr>
            <w:r w:rsidRPr="004D0DAA">
              <w:rPr>
                <w:lang w:eastAsia="en-US"/>
              </w:rPr>
              <w:t>UAS-7</w:t>
            </w:r>
          </w:p>
        </w:tc>
      </w:tr>
      <w:tr w:rsidR="00711444" w:rsidRPr="004D0DAA" w14:paraId="39F5A745" w14:textId="77777777" w:rsidTr="00AA2A4C">
        <w:tblPrEx>
          <w:tblCellMar>
            <w:top w:w="0" w:type="dxa"/>
            <w:bottom w:w="0" w:type="dxa"/>
          </w:tblCellMar>
        </w:tblPrEx>
        <w:trPr>
          <w:cantSplit/>
          <w:jc w:val="center"/>
        </w:trPr>
        <w:tc>
          <w:tcPr>
            <w:tcW w:w="1242" w:type="dxa"/>
          </w:tcPr>
          <w:p w14:paraId="41915DA5" w14:textId="77777777" w:rsidR="00711444" w:rsidRPr="004D0DAA" w:rsidRDefault="00711444" w:rsidP="00AA2A4C">
            <w:pPr>
              <w:pStyle w:val="TAC"/>
              <w:rPr>
                <w:lang w:eastAsia="en-US"/>
              </w:rPr>
            </w:pPr>
            <w:r w:rsidRPr="004D0DAA">
              <w:rPr>
                <w:lang w:eastAsia="en-US"/>
              </w:rPr>
              <w:t>0 1 1 1</w:t>
            </w:r>
          </w:p>
        </w:tc>
        <w:tc>
          <w:tcPr>
            <w:tcW w:w="4678" w:type="dxa"/>
          </w:tcPr>
          <w:p w14:paraId="00C252F8" w14:textId="77777777" w:rsidR="00711444" w:rsidRPr="004D0DAA" w:rsidRDefault="00711444" w:rsidP="00AA2A4C">
            <w:pPr>
              <w:pStyle w:val="TAC"/>
              <w:rPr>
                <w:lang w:eastAsia="en-US"/>
              </w:rPr>
            </w:pPr>
            <w:r w:rsidRPr="004D0DAA">
              <w:rPr>
                <w:lang w:eastAsia="en-US"/>
              </w:rPr>
              <w:t>UAS-8</w:t>
            </w:r>
          </w:p>
        </w:tc>
      </w:tr>
      <w:tr w:rsidR="00711444" w:rsidRPr="004D0DAA" w14:paraId="4CC01CDA" w14:textId="77777777" w:rsidTr="00AA2A4C">
        <w:tblPrEx>
          <w:tblCellMar>
            <w:top w:w="0" w:type="dxa"/>
            <w:bottom w:w="0" w:type="dxa"/>
          </w:tblCellMar>
        </w:tblPrEx>
        <w:trPr>
          <w:cantSplit/>
          <w:jc w:val="center"/>
        </w:trPr>
        <w:tc>
          <w:tcPr>
            <w:tcW w:w="1242" w:type="dxa"/>
          </w:tcPr>
          <w:p w14:paraId="201EDE3B" w14:textId="77777777" w:rsidR="00711444" w:rsidRPr="004D0DAA" w:rsidRDefault="00711444" w:rsidP="00AA2A4C">
            <w:pPr>
              <w:pStyle w:val="TAC"/>
              <w:rPr>
                <w:lang w:eastAsia="en-US"/>
              </w:rPr>
            </w:pPr>
            <w:r w:rsidRPr="004D0DAA">
              <w:rPr>
                <w:lang w:eastAsia="en-US"/>
              </w:rPr>
              <w:t>1 0 0 0</w:t>
            </w:r>
          </w:p>
        </w:tc>
        <w:tc>
          <w:tcPr>
            <w:tcW w:w="4678" w:type="dxa"/>
          </w:tcPr>
          <w:p w14:paraId="5B404C68" w14:textId="77777777" w:rsidR="00711444" w:rsidRPr="004D0DAA" w:rsidRDefault="00711444" w:rsidP="00AA2A4C">
            <w:pPr>
              <w:pStyle w:val="TAC"/>
              <w:rPr>
                <w:lang w:eastAsia="en-US"/>
              </w:rPr>
            </w:pPr>
            <w:r w:rsidRPr="004D0DAA">
              <w:rPr>
                <w:lang w:eastAsia="en-US"/>
              </w:rPr>
              <w:t>UAS-9</w:t>
            </w:r>
          </w:p>
        </w:tc>
      </w:tr>
      <w:tr w:rsidR="00711444" w:rsidRPr="004D0DAA" w14:paraId="5D9EBC57" w14:textId="77777777" w:rsidTr="00AA2A4C">
        <w:tblPrEx>
          <w:tblCellMar>
            <w:top w:w="0" w:type="dxa"/>
            <w:bottom w:w="0" w:type="dxa"/>
          </w:tblCellMar>
        </w:tblPrEx>
        <w:trPr>
          <w:cantSplit/>
          <w:jc w:val="center"/>
        </w:trPr>
        <w:tc>
          <w:tcPr>
            <w:tcW w:w="1242" w:type="dxa"/>
          </w:tcPr>
          <w:p w14:paraId="011FC6B1" w14:textId="77777777" w:rsidR="00711444" w:rsidRPr="004D0DAA" w:rsidRDefault="00711444" w:rsidP="00AA2A4C">
            <w:pPr>
              <w:pStyle w:val="TAC"/>
              <w:rPr>
                <w:lang w:eastAsia="en-US"/>
              </w:rPr>
            </w:pPr>
            <w:r w:rsidRPr="004D0DAA">
              <w:rPr>
                <w:lang w:eastAsia="en-US"/>
              </w:rPr>
              <w:t>1 0 0 1</w:t>
            </w:r>
          </w:p>
        </w:tc>
        <w:tc>
          <w:tcPr>
            <w:tcW w:w="4678" w:type="dxa"/>
          </w:tcPr>
          <w:p w14:paraId="3B163291" w14:textId="77777777" w:rsidR="00711444" w:rsidRPr="004D0DAA" w:rsidRDefault="00711444" w:rsidP="00AA2A4C">
            <w:pPr>
              <w:pStyle w:val="TAC"/>
              <w:rPr>
                <w:lang w:eastAsia="en-US"/>
              </w:rPr>
            </w:pPr>
            <w:r w:rsidRPr="004D0DAA">
              <w:rPr>
                <w:lang w:eastAsia="en-US"/>
              </w:rPr>
              <w:t xml:space="preserve">UAS-10 </w:t>
            </w:r>
          </w:p>
        </w:tc>
      </w:tr>
      <w:tr w:rsidR="00711444" w:rsidRPr="004D0DAA" w14:paraId="6E5A4791" w14:textId="77777777" w:rsidTr="00AA2A4C">
        <w:tblPrEx>
          <w:tblCellMar>
            <w:top w:w="0" w:type="dxa"/>
            <w:bottom w:w="0" w:type="dxa"/>
          </w:tblCellMar>
        </w:tblPrEx>
        <w:trPr>
          <w:cantSplit/>
          <w:jc w:val="center"/>
        </w:trPr>
        <w:tc>
          <w:tcPr>
            <w:tcW w:w="1242" w:type="dxa"/>
          </w:tcPr>
          <w:p w14:paraId="2DAC4ED7" w14:textId="77777777" w:rsidR="00711444" w:rsidRPr="004D0DAA" w:rsidRDefault="00711444" w:rsidP="00AA2A4C">
            <w:pPr>
              <w:pStyle w:val="TAC"/>
              <w:rPr>
                <w:lang w:eastAsia="en-US"/>
              </w:rPr>
            </w:pPr>
            <w:r w:rsidRPr="004D0DAA">
              <w:rPr>
                <w:lang w:eastAsia="en-US"/>
              </w:rPr>
              <w:t>1 0 1 0</w:t>
            </w:r>
          </w:p>
        </w:tc>
        <w:tc>
          <w:tcPr>
            <w:tcW w:w="4678" w:type="dxa"/>
          </w:tcPr>
          <w:p w14:paraId="465963E6" w14:textId="77777777" w:rsidR="00711444" w:rsidRPr="004D0DAA" w:rsidRDefault="00711444" w:rsidP="00AA2A4C">
            <w:pPr>
              <w:pStyle w:val="TAC"/>
              <w:rPr>
                <w:lang w:eastAsia="en-US"/>
              </w:rPr>
            </w:pPr>
            <w:r w:rsidRPr="004D0DAA">
              <w:rPr>
                <w:lang w:eastAsia="en-US"/>
              </w:rPr>
              <w:t>UAS-11</w:t>
            </w:r>
          </w:p>
        </w:tc>
      </w:tr>
      <w:tr w:rsidR="00711444" w:rsidRPr="004D0DAA" w14:paraId="67A734FC" w14:textId="77777777" w:rsidTr="00AA2A4C">
        <w:tblPrEx>
          <w:tblCellMar>
            <w:top w:w="0" w:type="dxa"/>
            <w:bottom w:w="0" w:type="dxa"/>
          </w:tblCellMar>
        </w:tblPrEx>
        <w:trPr>
          <w:cantSplit/>
          <w:jc w:val="center"/>
        </w:trPr>
        <w:tc>
          <w:tcPr>
            <w:tcW w:w="1242" w:type="dxa"/>
          </w:tcPr>
          <w:p w14:paraId="18787DCA" w14:textId="77777777" w:rsidR="00711444" w:rsidRPr="004D0DAA" w:rsidRDefault="00711444" w:rsidP="00AA2A4C">
            <w:pPr>
              <w:pStyle w:val="TAC"/>
              <w:rPr>
                <w:lang w:eastAsia="en-US"/>
              </w:rPr>
            </w:pPr>
            <w:r w:rsidRPr="004D0DAA">
              <w:rPr>
                <w:lang w:eastAsia="en-US"/>
              </w:rPr>
              <w:t>1 0 1 1</w:t>
            </w:r>
            <w:r w:rsidRPr="004D0DAA">
              <w:rPr>
                <w:lang w:eastAsia="en-US"/>
              </w:rPr>
              <w:br/>
              <w:t>to</w:t>
            </w:r>
          </w:p>
          <w:p w14:paraId="617E6873" w14:textId="77777777" w:rsidR="00711444" w:rsidRPr="004D0DAA" w:rsidRDefault="00711444" w:rsidP="00AA2A4C">
            <w:pPr>
              <w:pStyle w:val="TAC"/>
              <w:rPr>
                <w:lang w:eastAsia="en-US"/>
              </w:rPr>
            </w:pPr>
            <w:r w:rsidRPr="004D0DAA">
              <w:rPr>
                <w:lang w:eastAsia="en-US"/>
              </w:rPr>
              <w:t>1 1 1 1</w:t>
            </w:r>
          </w:p>
        </w:tc>
        <w:tc>
          <w:tcPr>
            <w:tcW w:w="4678" w:type="dxa"/>
          </w:tcPr>
          <w:p w14:paraId="4979FB36" w14:textId="77777777" w:rsidR="00711444" w:rsidRPr="004D0DAA" w:rsidRDefault="00711444" w:rsidP="00AA2A4C">
            <w:pPr>
              <w:pStyle w:val="TAC"/>
              <w:rPr>
                <w:lang w:eastAsia="en-US"/>
              </w:rPr>
            </w:pPr>
            <w:r w:rsidRPr="004D0DAA">
              <w:rPr>
                <w:lang w:eastAsia="en-US"/>
              </w:rPr>
              <w:t>reserved</w:t>
            </w:r>
          </w:p>
        </w:tc>
      </w:tr>
    </w:tbl>
    <w:p w14:paraId="14A896BE" w14:textId="77777777" w:rsidR="00711444" w:rsidRPr="004D0DAA" w:rsidRDefault="00711444" w:rsidP="00711444"/>
    <w:p w14:paraId="22ABBFC8" w14:textId="77777777" w:rsidR="00711444" w:rsidRPr="004D0DAA" w:rsidRDefault="00711444" w:rsidP="00711444">
      <w:pPr>
        <w:pStyle w:val="TH"/>
      </w:pPr>
      <w:r w:rsidRPr="004D0DAA">
        <w:lastRenderedPageBreak/>
        <w:t xml:space="preserve">Table 12.10d.3: </w:t>
      </w:r>
      <w:r w:rsidRPr="004D0DAA">
        <w:rPr>
          <w:i/>
        </w:rPr>
        <w:t>EGPRS MCS</w:t>
      </w:r>
      <w:r w:rsidRPr="004D0DAA">
        <w:t xml:space="preserve"> information element details (EGPRS2-B)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4678"/>
      </w:tblGrid>
      <w:tr w:rsidR="00711444" w:rsidRPr="004D0DAA" w14:paraId="571B6452" w14:textId="77777777" w:rsidTr="00AA2A4C">
        <w:tblPrEx>
          <w:tblCellMar>
            <w:top w:w="0" w:type="dxa"/>
            <w:bottom w:w="0" w:type="dxa"/>
          </w:tblCellMar>
        </w:tblPrEx>
        <w:trPr>
          <w:cantSplit/>
          <w:jc w:val="center"/>
        </w:trPr>
        <w:tc>
          <w:tcPr>
            <w:tcW w:w="5920" w:type="dxa"/>
            <w:gridSpan w:val="2"/>
          </w:tcPr>
          <w:p w14:paraId="31E91D72" w14:textId="77777777" w:rsidR="00711444" w:rsidRPr="004D0DAA" w:rsidRDefault="00711444" w:rsidP="00AA2A4C">
            <w:pPr>
              <w:pStyle w:val="TAH"/>
              <w:rPr>
                <w:lang w:eastAsia="en-US"/>
              </w:rPr>
            </w:pPr>
            <w:r w:rsidRPr="004D0DAA">
              <w:rPr>
                <w:lang w:eastAsia="en-US"/>
              </w:rPr>
              <w:t>EGPRS modulation and coding scheme information element</w:t>
            </w:r>
          </w:p>
        </w:tc>
      </w:tr>
      <w:tr w:rsidR="00711444" w:rsidRPr="004D0DAA" w14:paraId="3BF106EF" w14:textId="77777777" w:rsidTr="00AA2A4C">
        <w:tblPrEx>
          <w:tblCellMar>
            <w:top w:w="0" w:type="dxa"/>
            <w:bottom w:w="0" w:type="dxa"/>
          </w:tblCellMar>
        </w:tblPrEx>
        <w:trPr>
          <w:cantSplit/>
          <w:jc w:val="center"/>
        </w:trPr>
        <w:tc>
          <w:tcPr>
            <w:tcW w:w="1242" w:type="dxa"/>
          </w:tcPr>
          <w:p w14:paraId="50E489AF" w14:textId="77777777" w:rsidR="00711444" w:rsidRPr="004D0DAA" w:rsidRDefault="00711444" w:rsidP="00AA2A4C">
            <w:pPr>
              <w:pStyle w:val="TAH"/>
              <w:rPr>
                <w:lang w:eastAsia="en-US"/>
              </w:rPr>
            </w:pPr>
            <w:r w:rsidRPr="004D0DAA">
              <w:rPr>
                <w:lang w:eastAsia="en-US"/>
              </w:rPr>
              <w:t>bits</w:t>
            </w:r>
            <w:r w:rsidRPr="004D0DAA">
              <w:rPr>
                <w:lang w:eastAsia="en-US"/>
              </w:rPr>
              <w:br/>
              <w:t>4 3 2 1</w:t>
            </w:r>
          </w:p>
        </w:tc>
        <w:tc>
          <w:tcPr>
            <w:tcW w:w="4678" w:type="dxa"/>
          </w:tcPr>
          <w:p w14:paraId="6A82EDFE" w14:textId="77777777" w:rsidR="00711444" w:rsidRPr="004D0DAA" w:rsidRDefault="00711444" w:rsidP="00AA2A4C">
            <w:pPr>
              <w:pStyle w:val="TAH"/>
              <w:rPr>
                <w:lang w:eastAsia="en-US"/>
              </w:rPr>
            </w:pPr>
            <w:r w:rsidRPr="004D0DAA">
              <w:rPr>
                <w:lang w:eastAsia="en-US"/>
              </w:rPr>
              <w:br/>
              <w:t>value</w:t>
            </w:r>
          </w:p>
        </w:tc>
      </w:tr>
      <w:tr w:rsidR="00711444" w:rsidRPr="004D0DAA" w14:paraId="616BED82" w14:textId="77777777" w:rsidTr="00AA2A4C">
        <w:tblPrEx>
          <w:tblCellMar>
            <w:top w:w="0" w:type="dxa"/>
            <w:bottom w:w="0" w:type="dxa"/>
          </w:tblCellMar>
        </w:tblPrEx>
        <w:trPr>
          <w:cantSplit/>
          <w:jc w:val="center"/>
        </w:trPr>
        <w:tc>
          <w:tcPr>
            <w:tcW w:w="1242" w:type="dxa"/>
          </w:tcPr>
          <w:p w14:paraId="28A3DA9D" w14:textId="77777777" w:rsidR="00711444" w:rsidRPr="004D0DAA" w:rsidRDefault="00711444" w:rsidP="00AA2A4C">
            <w:pPr>
              <w:pStyle w:val="TAC"/>
              <w:rPr>
                <w:lang w:eastAsia="en-US"/>
              </w:rPr>
            </w:pPr>
            <w:r w:rsidRPr="004D0DAA">
              <w:rPr>
                <w:lang w:eastAsia="en-US"/>
              </w:rPr>
              <w:t>0 0 0 0</w:t>
            </w:r>
          </w:p>
        </w:tc>
        <w:tc>
          <w:tcPr>
            <w:tcW w:w="4678" w:type="dxa"/>
          </w:tcPr>
          <w:p w14:paraId="31068012" w14:textId="77777777" w:rsidR="00711444" w:rsidRPr="004D0DAA" w:rsidRDefault="00711444" w:rsidP="00AA2A4C">
            <w:pPr>
              <w:pStyle w:val="TAC"/>
              <w:rPr>
                <w:lang w:eastAsia="en-US"/>
              </w:rPr>
            </w:pPr>
            <w:r w:rsidRPr="004D0DAA">
              <w:rPr>
                <w:lang w:eastAsia="en-US"/>
              </w:rPr>
              <w:t>MCS-1</w:t>
            </w:r>
          </w:p>
        </w:tc>
      </w:tr>
      <w:tr w:rsidR="00711444" w:rsidRPr="004D0DAA" w14:paraId="18172DF5" w14:textId="77777777" w:rsidTr="00AA2A4C">
        <w:tblPrEx>
          <w:tblCellMar>
            <w:top w:w="0" w:type="dxa"/>
            <w:bottom w:w="0" w:type="dxa"/>
          </w:tblCellMar>
        </w:tblPrEx>
        <w:trPr>
          <w:cantSplit/>
          <w:jc w:val="center"/>
        </w:trPr>
        <w:tc>
          <w:tcPr>
            <w:tcW w:w="1242" w:type="dxa"/>
          </w:tcPr>
          <w:p w14:paraId="04836C32" w14:textId="77777777" w:rsidR="00711444" w:rsidRPr="004D0DAA" w:rsidRDefault="00711444" w:rsidP="00AA2A4C">
            <w:pPr>
              <w:pStyle w:val="TAC"/>
              <w:rPr>
                <w:lang w:eastAsia="en-US"/>
              </w:rPr>
            </w:pPr>
            <w:r w:rsidRPr="004D0DAA">
              <w:rPr>
                <w:lang w:eastAsia="en-US"/>
              </w:rPr>
              <w:t>0 0 0 1</w:t>
            </w:r>
          </w:p>
        </w:tc>
        <w:tc>
          <w:tcPr>
            <w:tcW w:w="4678" w:type="dxa"/>
          </w:tcPr>
          <w:p w14:paraId="40DA7715" w14:textId="77777777" w:rsidR="00711444" w:rsidRPr="004D0DAA" w:rsidRDefault="00711444" w:rsidP="00AA2A4C">
            <w:pPr>
              <w:pStyle w:val="TAC"/>
              <w:rPr>
                <w:lang w:eastAsia="en-US"/>
              </w:rPr>
            </w:pPr>
            <w:r w:rsidRPr="004D0DAA">
              <w:rPr>
                <w:lang w:eastAsia="en-US"/>
              </w:rPr>
              <w:t>MCS-2</w:t>
            </w:r>
          </w:p>
        </w:tc>
      </w:tr>
      <w:tr w:rsidR="00711444" w:rsidRPr="004D0DAA" w14:paraId="1E6ECE16" w14:textId="77777777" w:rsidTr="00AA2A4C">
        <w:tblPrEx>
          <w:tblCellMar>
            <w:top w:w="0" w:type="dxa"/>
            <w:bottom w:w="0" w:type="dxa"/>
          </w:tblCellMar>
        </w:tblPrEx>
        <w:trPr>
          <w:cantSplit/>
          <w:jc w:val="center"/>
        </w:trPr>
        <w:tc>
          <w:tcPr>
            <w:tcW w:w="1242" w:type="dxa"/>
          </w:tcPr>
          <w:p w14:paraId="4C4AD4DD" w14:textId="77777777" w:rsidR="00711444" w:rsidRPr="004D0DAA" w:rsidRDefault="00711444" w:rsidP="00AA2A4C">
            <w:pPr>
              <w:pStyle w:val="TAC"/>
              <w:rPr>
                <w:lang w:eastAsia="en-US"/>
              </w:rPr>
            </w:pPr>
            <w:r w:rsidRPr="004D0DAA">
              <w:rPr>
                <w:lang w:eastAsia="en-US"/>
              </w:rPr>
              <w:t>0 0 1 0</w:t>
            </w:r>
          </w:p>
        </w:tc>
        <w:tc>
          <w:tcPr>
            <w:tcW w:w="4678" w:type="dxa"/>
          </w:tcPr>
          <w:p w14:paraId="6DD4F959" w14:textId="77777777" w:rsidR="00711444" w:rsidRPr="004D0DAA" w:rsidRDefault="00711444" w:rsidP="00AA2A4C">
            <w:pPr>
              <w:pStyle w:val="TAC"/>
              <w:rPr>
                <w:lang w:eastAsia="en-US"/>
              </w:rPr>
            </w:pPr>
            <w:r w:rsidRPr="004D0DAA">
              <w:rPr>
                <w:lang w:eastAsia="en-US"/>
              </w:rPr>
              <w:t>MCS-3</w:t>
            </w:r>
          </w:p>
        </w:tc>
      </w:tr>
      <w:tr w:rsidR="00711444" w:rsidRPr="004D0DAA" w14:paraId="09AE4E10" w14:textId="77777777" w:rsidTr="00AA2A4C">
        <w:tblPrEx>
          <w:tblCellMar>
            <w:top w:w="0" w:type="dxa"/>
            <w:bottom w:w="0" w:type="dxa"/>
          </w:tblCellMar>
        </w:tblPrEx>
        <w:trPr>
          <w:cantSplit/>
          <w:jc w:val="center"/>
        </w:trPr>
        <w:tc>
          <w:tcPr>
            <w:tcW w:w="1242" w:type="dxa"/>
          </w:tcPr>
          <w:p w14:paraId="1BE4D41F" w14:textId="77777777" w:rsidR="00711444" w:rsidRPr="004D0DAA" w:rsidRDefault="00711444" w:rsidP="00AA2A4C">
            <w:pPr>
              <w:pStyle w:val="TAC"/>
              <w:rPr>
                <w:lang w:eastAsia="en-US"/>
              </w:rPr>
            </w:pPr>
            <w:r w:rsidRPr="004D0DAA">
              <w:rPr>
                <w:lang w:eastAsia="en-US"/>
              </w:rPr>
              <w:t>0 0 1 1</w:t>
            </w:r>
          </w:p>
        </w:tc>
        <w:tc>
          <w:tcPr>
            <w:tcW w:w="4678" w:type="dxa"/>
          </w:tcPr>
          <w:p w14:paraId="34AA7098" w14:textId="77777777" w:rsidR="00711444" w:rsidRPr="004D0DAA" w:rsidRDefault="00711444" w:rsidP="00AA2A4C">
            <w:pPr>
              <w:pStyle w:val="TAC"/>
              <w:rPr>
                <w:lang w:eastAsia="en-US"/>
              </w:rPr>
            </w:pPr>
            <w:r w:rsidRPr="004D0DAA">
              <w:rPr>
                <w:lang w:eastAsia="en-US"/>
              </w:rPr>
              <w:t>MCS-4</w:t>
            </w:r>
          </w:p>
        </w:tc>
      </w:tr>
      <w:tr w:rsidR="00711444" w:rsidRPr="004D0DAA" w14:paraId="355900DC" w14:textId="77777777" w:rsidTr="00AA2A4C">
        <w:tblPrEx>
          <w:tblCellMar>
            <w:top w:w="0" w:type="dxa"/>
            <w:bottom w:w="0" w:type="dxa"/>
          </w:tblCellMar>
        </w:tblPrEx>
        <w:trPr>
          <w:cantSplit/>
          <w:jc w:val="center"/>
        </w:trPr>
        <w:tc>
          <w:tcPr>
            <w:tcW w:w="1242" w:type="dxa"/>
          </w:tcPr>
          <w:p w14:paraId="7EF5834A" w14:textId="77777777" w:rsidR="00711444" w:rsidRPr="004D0DAA" w:rsidRDefault="00711444" w:rsidP="00AA2A4C">
            <w:pPr>
              <w:pStyle w:val="TAC"/>
              <w:rPr>
                <w:lang w:eastAsia="en-US"/>
              </w:rPr>
            </w:pPr>
            <w:r w:rsidRPr="004D0DAA">
              <w:rPr>
                <w:lang w:eastAsia="en-US"/>
              </w:rPr>
              <w:t>0 1 0 0</w:t>
            </w:r>
          </w:p>
        </w:tc>
        <w:tc>
          <w:tcPr>
            <w:tcW w:w="4678" w:type="dxa"/>
          </w:tcPr>
          <w:p w14:paraId="2BBAB907" w14:textId="77777777" w:rsidR="00711444" w:rsidRPr="004D0DAA" w:rsidRDefault="00711444" w:rsidP="00AA2A4C">
            <w:pPr>
              <w:pStyle w:val="TAC"/>
              <w:rPr>
                <w:lang w:eastAsia="en-US"/>
              </w:rPr>
            </w:pPr>
            <w:r w:rsidRPr="004D0DAA">
              <w:rPr>
                <w:lang w:eastAsia="en-US"/>
              </w:rPr>
              <w:t>UBS-5</w:t>
            </w:r>
          </w:p>
        </w:tc>
      </w:tr>
      <w:tr w:rsidR="00711444" w:rsidRPr="004D0DAA" w14:paraId="188E6CBD" w14:textId="77777777" w:rsidTr="00AA2A4C">
        <w:tblPrEx>
          <w:tblCellMar>
            <w:top w:w="0" w:type="dxa"/>
            <w:bottom w:w="0" w:type="dxa"/>
          </w:tblCellMar>
        </w:tblPrEx>
        <w:trPr>
          <w:cantSplit/>
          <w:jc w:val="center"/>
        </w:trPr>
        <w:tc>
          <w:tcPr>
            <w:tcW w:w="1242" w:type="dxa"/>
          </w:tcPr>
          <w:p w14:paraId="3282BE0E" w14:textId="77777777" w:rsidR="00711444" w:rsidRPr="004D0DAA" w:rsidRDefault="00711444" w:rsidP="00AA2A4C">
            <w:pPr>
              <w:pStyle w:val="TAC"/>
              <w:rPr>
                <w:lang w:eastAsia="en-US"/>
              </w:rPr>
            </w:pPr>
            <w:r w:rsidRPr="004D0DAA">
              <w:rPr>
                <w:lang w:eastAsia="en-US"/>
              </w:rPr>
              <w:t>0 1 0 1</w:t>
            </w:r>
          </w:p>
        </w:tc>
        <w:tc>
          <w:tcPr>
            <w:tcW w:w="4678" w:type="dxa"/>
          </w:tcPr>
          <w:p w14:paraId="5CC1F986" w14:textId="77777777" w:rsidR="00711444" w:rsidRPr="004D0DAA" w:rsidRDefault="00711444" w:rsidP="00AA2A4C">
            <w:pPr>
              <w:pStyle w:val="TAC"/>
              <w:rPr>
                <w:lang w:eastAsia="en-US"/>
              </w:rPr>
            </w:pPr>
            <w:r w:rsidRPr="004D0DAA">
              <w:rPr>
                <w:lang w:eastAsia="en-US"/>
              </w:rPr>
              <w:t>UBS-6</w:t>
            </w:r>
          </w:p>
        </w:tc>
      </w:tr>
      <w:tr w:rsidR="00711444" w:rsidRPr="004D0DAA" w14:paraId="66FE9E23" w14:textId="77777777" w:rsidTr="00AA2A4C">
        <w:tblPrEx>
          <w:tblCellMar>
            <w:top w:w="0" w:type="dxa"/>
            <w:bottom w:w="0" w:type="dxa"/>
          </w:tblCellMar>
        </w:tblPrEx>
        <w:trPr>
          <w:cantSplit/>
          <w:jc w:val="center"/>
        </w:trPr>
        <w:tc>
          <w:tcPr>
            <w:tcW w:w="1242" w:type="dxa"/>
          </w:tcPr>
          <w:p w14:paraId="2AEE4715" w14:textId="77777777" w:rsidR="00711444" w:rsidRPr="004D0DAA" w:rsidRDefault="00711444" w:rsidP="00AA2A4C">
            <w:pPr>
              <w:pStyle w:val="TAC"/>
              <w:rPr>
                <w:lang w:eastAsia="en-US"/>
              </w:rPr>
            </w:pPr>
            <w:r w:rsidRPr="004D0DAA">
              <w:rPr>
                <w:lang w:eastAsia="en-US"/>
              </w:rPr>
              <w:t>0 1 1 0</w:t>
            </w:r>
          </w:p>
        </w:tc>
        <w:tc>
          <w:tcPr>
            <w:tcW w:w="4678" w:type="dxa"/>
          </w:tcPr>
          <w:p w14:paraId="1229C1DB" w14:textId="77777777" w:rsidR="00711444" w:rsidRPr="004D0DAA" w:rsidRDefault="00711444" w:rsidP="00AA2A4C">
            <w:pPr>
              <w:pStyle w:val="TAC"/>
              <w:rPr>
                <w:lang w:eastAsia="en-US"/>
              </w:rPr>
            </w:pPr>
            <w:r w:rsidRPr="004D0DAA">
              <w:rPr>
                <w:lang w:eastAsia="en-US"/>
              </w:rPr>
              <w:t>UBS-7</w:t>
            </w:r>
          </w:p>
        </w:tc>
      </w:tr>
      <w:tr w:rsidR="00711444" w:rsidRPr="004D0DAA" w14:paraId="15A8233C" w14:textId="77777777" w:rsidTr="00AA2A4C">
        <w:tblPrEx>
          <w:tblCellMar>
            <w:top w:w="0" w:type="dxa"/>
            <w:bottom w:w="0" w:type="dxa"/>
          </w:tblCellMar>
        </w:tblPrEx>
        <w:trPr>
          <w:cantSplit/>
          <w:jc w:val="center"/>
        </w:trPr>
        <w:tc>
          <w:tcPr>
            <w:tcW w:w="1242" w:type="dxa"/>
          </w:tcPr>
          <w:p w14:paraId="51058BAA" w14:textId="77777777" w:rsidR="00711444" w:rsidRPr="004D0DAA" w:rsidRDefault="00711444" w:rsidP="00AA2A4C">
            <w:pPr>
              <w:pStyle w:val="TAC"/>
              <w:rPr>
                <w:lang w:eastAsia="en-US"/>
              </w:rPr>
            </w:pPr>
            <w:r w:rsidRPr="004D0DAA">
              <w:rPr>
                <w:lang w:eastAsia="en-US"/>
              </w:rPr>
              <w:t>0 1 1 1</w:t>
            </w:r>
          </w:p>
        </w:tc>
        <w:tc>
          <w:tcPr>
            <w:tcW w:w="4678" w:type="dxa"/>
          </w:tcPr>
          <w:p w14:paraId="5CCBE8A0" w14:textId="77777777" w:rsidR="00711444" w:rsidRPr="004D0DAA" w:rsidRDefault="00711444" w:rsidP="00AA2A4C">
            <w:pPr>
              <w:pStyle w:val="TAC"/>
              <w:rPr>
                <w:lang w:eastAsia="en-US"/>
              </w:rPr>
            </w:pPr>
            <w:r w:rsidRPr="004D0DAA">
              <w:rPr>
                <w:lang w:eastAsia="en-US"/>
              </w:rPr>
              <w:t>UBS-8</w:t>
            </w:r>
          </w:p>
        </w:tc>
      </w:tr>
      <w:tr w:rsidR="00711444" w:rsidRPr="004D0DAA" w14:paraId="78CE233D" w14:textId="77777777" w:rsidTr="00AA2A4C">
        <w:tblPrEx>
          <w:tblCellMar>
            <w:top w:w="0" w:type="dxa"/>
            <w:bottom w:w="0" w:type="dxa"/>
          </w:tblCellMar>
        </w:tblPrEx>
        <w:trPr>
          <w:cantSplit/>
          <w:jc w:val="center"/>
        </w:trPr>
        <w:tc>
          <w:tcPr>
            <w:tcW w:w="1242" w:type="dxa"/>
          </w:tcPr>
          <w:p w14:paraId="6E5C77DB" w14:textId="77777777" w:rsidR="00711444" w:rsidRPr="004D0DAA" w:rsidRDefault="00711444" w:rsidP="00AA2A4C">
            <w:pPr>
              <w:pStyle w:val="TAC"/>
              <w:rPr>
                <w:lang w:eastAsia="en-US"/>
              </w:rPr>
            </w:pPr>
            <w:r w:rsidRPr="004D0DAA">
              <w:rPr>
                <w:lang w:eastAsia="en-US"/>
              </w:rPr>
              <w:t>1 0 0 0</w:t>
            </w:r>
          </w:p>
        </w:tc>
        <w:tc>
          <w:tcPr>
            <w:tcW w:w="4678" w:type="dxa"/>
          </w:tcPr>
          <w:p w14:paraId="6C6EFC33" w14:textId="77777777" w:rsidR="00711444" w:rsidRPr="004D0DAA" w:rsidRDefault="00711444" w:rsidP="00AA2A4C">
            <w:pPr>
              <w:pStyle w:val="TAC"/>
              <w:rPr>
                <w:lang w:eastAsia="en-US"/>
              </w:rPr>
            </w:pPr>
            <w:r w:rsidRPr="004D0DAA">
              <w:rPr>
                <w:lang w:eastAsia="en-US"/>
              </w:rPr>
              <w:t>UBS-9</w:t>
            </w:r>
          </w:p>
        </w:tc>
      </w:tr>
      <w:tr w:rsidR="00711444" w:rsidRPr="004D0DAA" w14:paraId="53082C84" w14:textId="77777777" w:rsidTr="00AA2A4C">
        <w:tblPrEx>
          <w:tblCellMar>
            <w:top w:w="0" w:type="dxa"/>
            <w:bottom w:w="0" w:type="dxa"/>
          </w:tblCellMar>
        </w:tblPrEx>
        <w:trPr>
          <w:cantSplit/>
          <w:jc w:val="center"/>
        </w:trPr>
        <w:tc>
          <w:tcPr>
            <w:tcW w:w="1242" w:type="dxa"/>
          </w:tcPr>
          <w:p w14:paraId="172ADEF6" w14:textId="77777777" w:rsidR="00711444" w:rsidRPr="004D0DAA" w:rsidRDefault="00711444" w:rsidP="00AA2A4C">
            <w:pPr>
              <w:pStyle w:val="TAC"/>
              <w:rPr>
                <w:lang w:eastAsia="en-US"/>
              </w:rPr>
            </w:pPr>
            <w:r w:rsidRPr="004D0DAA">
              <w:rPr>
                <w:lang w:eastAsia="en-US"/>
              </w:rPr>
              <w:t>1 0 0 1</w:t>
            </w:r>
          </w:p>
        </w:tc>
        <w:tc>
          <w:tcPr>
            <w:tcW w:w="4678" w:type="dxa"/>
          </w:tcPr>
          <w:p w14:paraId="62B84A53" w14:textId="77777777" w:rsidR="00711444" w:rsidRPr="004D0DAA" w:rsidRDefault="00711444" w:rsidP="00AA2A4C">
            <w:pPr>
              <w:pStyle w:val="TAC"/>
              <w:rPr>
                <w:lang w:eastAsia="en-US"/>
              </w:rPr>
            </w:pPr>
            <w:r w:rsidRPr="004D0DAA">
              <w:rPr>
                <w:lang w:eastAsia="en-US"/>
              </w:rPr>
              <w:t xml:space="preserve">UBS-10 </w:t>
            </w:r>
          </w:p>
        </w:tc>
      </w:tr>
      <w:tr w:rsidR="00711444" w:rsidRPr="004D0DAA" w14:paraId="1924B8FC" w14:textId="77777777" w:rsidTr="00AA2A4C">
        <w:tblPrEx>
          <w:tblCellMar>
            <w:top w:w="0" w:type="dxa"/>
            <w:bottom w:w="0" w:type="dxa"/>
          </w:tblCellMar>
        </w:tblPrEx>
        <w:trPr>
          <w:cantSplit/>
          <w:jc w:val="center"/>
        </w:trPr>
        <w:tc>
          <w:tcPr>
            <w:tcW w:w="1242" w:type="dxa"/>
          </w:tcPr>
          <w:p w14:paraId="7BA0A009" w14:textId="77777777" w:rsidR="00711444" w:rsidRPr="004D0DAA" w:rsidRDefault="00711444" w:rsidP="00AA2A4C">
            <w:pPr>
              <w:pStyle w:val="TAC"/>
              <w:rPr>
                <w:lang w:eastAsia="en-US"/>
              </w:rPr>
            </w:pPr>
            <w:r w:rsidRPr="004D0DAA">
              <w:rPr>
                <w:lang w:eastAsia="en-US"/>
              </w:rPr>
              <w:t>1 0 1 0</w:t>
            </w:r>
          </w:p>
        </w:tc>
        <w:tc>
          <w:tcPr>
            <w:tcW w:w="4678" w:type="dxa"/>
          </w:tcPr>
          <w:p w14:paraId="5C288289" w14:textId="77777777" w:rsidR="00711444" w:rsidRPr="004D0DAA" w:rsidRDefault="00711444" w:rsidP="00AA2A4C">
            <w:pPr>
              <w:pStyle w:val="TAC"/>
              <w:rPr>
                <w:lang w:eastAsia="en-US"/>
              </w:rPr>
            </w:pPr>
            <w:r w:rsidRPr="004D0DAA">
              <w:rPr>
                <w:lang w:eastAsia="en-US"/>
              </w:rPr>
              <w:t>UBS-11</w:t>
            </w:r>
          </w:p>
        </w:tc>
      </w:tr>
      <w:tr w:rsidR="00711444" w:rsidRPr="004D0DAA" w14:paraId="0BE4F523" w14:textId="77777777" w:rsidTr="00AA2A4C">
        <w:tblPrEx>
          <w:tblCellMar>
            <w:top w:w="0" w:type="dxa"/>
            <w:bottom w:w="0" w:type="dxa"/>
          </w:tblCellMar>
        </w:tblPrEx>
        <w:trPr>
          <w:cantSplit/>
          <w:jc w:val="center"/>
        </w:trPr>
        <w:tc>
          <w:tcPr>
            <w:tcW w:w="1242" w:type="dxa"/>
          </w:tcPr>
          <w:p w14:paraId="30D94EA6" w14:textId="77777777" w:rsidR="00711444" w:rsidRPr="004D0DAA" w:rsidRDefault="00711444" w:rsidP="00AA2A4C">
            <w:pPr>
              <w:pStyle w:val="TAC"/>
              <w:rPr>
                <w:lang w:eastAsia="en-US"/>
              </w:rPr>
            </w:pPr>
            <w:r w:rsidRPr="004D0DAA">
              <w:rPr>
                <w:lang w:eastAsia="en-US"/>
              </w:rPr>
              <w:t>1 0 1 1</w:t>
            </w:r>
          </w:p>
        </w:tc>
        <w:tc>
          <w:tcPr>
            <w:tcW w:w="4678" w:type="dxa"/>
          </w:tcPr>
          <w:p w14:paraId="1BAB0B80" w14:textId="77777777" w:rsidR="00711444" w:rsidRPr="004D0DAA" w:rsidRDefault="00711444" w:rsidP="00AA2A4C">
            <w:pPr>
              <w:pStyle w:val="TAC"/>
              <w:rPr>
                <w:lang w:eastAsia="en-US"/>
              </w:rPr>
            </w:pPr>
            <w:r w:rsidRPr="004D0DAA">
              <w:rPr>
                <w:lang w:eastAsia="en-US"/>
              </w:rPr>
              <w:t>UBS-12</w:t>
            </w:r>
          </w:p>
        </w:tc>
      </w:tr>
      <w:tr w:rsidR="00711444" w:rsidRPr="004D0DAA" w14:paraId="6FF6DF0E" w14:textId="77777777" w:rsidTr="00AA2A4C">
        <w:tblPrEx>
          <w:tblCellMar>
            <w:top w:w="0" w:type="dxa"/>
            <w:bottom w:w="0" w:type="dxa"/>
          </w:tblCellMar>
        </w:tblPrEx>
        <w:trPr>
          <w:cantSplit/>
          <w:jc w:val="center"/>
        </w:trPr>
        <w:tc>
          <w:tcPr>
            <w:tcW w:w="1242" w:type="dxa"/>
          </w:tcPr>
          <w:p w14:paraId="699CE5B4" w14:textId="77777777" w:rsidR="00711444" w:rsidRPr="004D0DAA" w:rsidRDefault="00711444" w:rsidP="00AA2A4C">
            <w:pPr>
              <w:pStyle w:val="TAC"/>
              <w:rPr>
                <w:lang w:eastAsia="en-US"/>
              </w:rPr>
            </w:pPr>
            <w:r w:rsidRPr="004D0DAA">
              <w:rPr>
                <w:lang w:eastAsia="en-US"/>
              </w:rPr>
              <w:t>1 1 0 0</w:t>
            </w:r>
            <w:r w:rsidRPr="004D0DAA">
              <w:rPr>
                <w:lang w:eastAsia="en-US"/>
              </w:rPr>
              <w:br/>
              <w:t>to</w:t>
            </w:r>
          </w:p>
          <w:p w14:paraId="432507C0" w14:textId="77777777" w:rsidR="00711444" w:rsidRPr="004D0DAA" w:rsidRDefault="00711444" w:rsidP="00AA2A4C">
            <w:pPr>
              <w:pStyle w:val="TAC"/>
              <w:rPr>
                <w:lang w:eastAsia="en-US"/>
              </w:rPr>
            </w:pPr>
            <w:r w:rsidRPr="004D0DAA">
              <w:rPr>
                <w:lang w:eastAsia="en-US"/>
              </w:rPr>
              <w:t>1 1 1 1</w:t>
            </w:r>
          </w:p>
        </w:tc>
        <w:tc>
          <w:tcPr>
            <w:tcW w:w="4678" w:type="dxa"/>
          </w:tcPr>
          <w:p w14:paraId="7EA73706" w14:textId="77777777" w:rsidR="00711444" w:rsidRPr="004D0DAA" w:rsidRDefault="00711444" w:rsidP="00AA2A4C">
            <w:pPr>
              <w:pStyle w:val="TAC"/>
              <w:rPr>
                <w:lang w:eastAsia="en-US"/>
              </w:rPr>
            </w:pPr>
            <w:r w:rsidRPr="004D0DAA">
              <w:rPr>
                <w:lang w:eastAsia="en-US"/>
              </w:rPr>
              <w:t>reserved</w:t>
            </w:r>
          </w:p>
        </w:tc>
      </w:tr>
    </w:tbl>
    <w:p w14:paraId="6CD82248" w14:textId="77777777" w:rsidR="00711444" w:rsidRPr="004D0DAA" w:rsidRDefault="00711444" w:rsidP="00711444"/>
    <w:p w14:paraId="3AA80A49" w14:textId="77777777" w:rsidR="00711444" w:rsidRPr="004D0DAA" w:rsidRDefault="00711444" w:rsidP="00711444">
      <w:pPr>
        <w:pStyle w:val="Heading2"/>
      </w:pPr>
      <w:bookmarkStart w:id="787" w:name="_Toc516669963"/>
      <w:r w:rsidRPr="004D0DAA">
        <w:t>12.10e</w:t>
      </w:r>
      <w:r w:rsidRPr="004D0DAA">
        <w:tab/>
        <w:t>RESEGMENT description</w:t>
      </w:r>
      <w:bookmarkEnd w:id="787"/>
    </w:p>
    <w:p w14:paraId="5B9F5C2C" w14:textId="77777777" w:rsidR="00711444" w:rsidRPr="004D0DAA" w:rsidRDefault="00711444" w:rsidP="00711444">
      <w:pPr>
        <w:keepLines/>
      </w:pPr>
      <w:r w:rsidRPr="004D0DAA">
        <w:t>The RESEGMENT field defines whether retransmitted uplink RLC data blocks shall be re-segmented or not.</w:t>
      </w:r>
    </w:p>
    <w:p w14:paraId="0B9FF308" w14:textId="77777777" w:rsidR="00711444" w:rsidRPr="004D0DAA" w:rsidRDefault="00711444" w:rsidP="00711444">
      <w:pPr>
        <w:pStyle w:val="TH"/>
        <w:keepNext w:val="0"/>
      </w:pPr>
      <w:r w:rsidRPr="004D0DAA">
        <w:t xml:space="preserve">Table 12.10e.1: </w:t>
      </w:r>
      <w:r w:rsidRPr="004D0DAA">
        <w:rPr>
          <w:i/>
        </w:rPr>
        <w:t>RESEGMENT</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4628D9A" w14:textId="77777777" w:rsidTr="00AA2A4C">
        <w:tblPrEx>
          <w:tblCellMar>
            <w:top w:w="0" w:type="dxa"/>
            <w:bottom w:w="0" w:type="dxa"/>
          </w:tblCellMar>
        </w:tblPrEx>
        <w:tc>
          <w:tcPr>
            <w:tcW w:w="9848" w:type="dxa"/>
          </w:tcPr>
          <w:p w14:paraId="123B34BA" w14:textId="77777777" w:rsidR="00711444" w:rsidRPr="004D0DAA" w:rsidRDefault="00711444" w:rsidP="00AA2A4C">
            <w:pPr>
              <w:keepLines/>
            </w:pPr>
            <w:r w:rsidRPr="004D0DAA">
              <w:rPr>
                <w:b/>
              </w:rPr>
              <w:t xml:space="preserve">RESEGMENT </w:t>
            </w:r>
            <w:r w:rsidRPr="004D0DAA">
              <w:t>(1 bit field)</w:t>
            </w:r>
            <w:r w:rsidRPr="004D0DAA">
              <w:br/>
              <w:t>0</w:t>
            </w:r>
            <w:r w:rsidRPr="004D0DAA">
              <w:tab/>
              <w:t>Retransmitted RLC data blocks shall not be re-segmented</w:t>
            </w:r>
            <w:r w:rsidRPr="004D0DAA">
              <w:br/>
              <w:t>1</w:t>
            </w:r>
            <w:r w:rsidRPr="004D0DAA">
              <w:tab/>
              <w:t>Retransmitted RLC data blocks shall be re-segmented according to commanded MCS</w:t>
            </w:r>
          </w:p>
        </w:tc>
      </w:tr>
    </w:tbl>
    <w:p w14:paraId="53DF121A" w14:textId="77777777" w:rsidR="00711444" w:rsidRPr="004D0DAA" w:rsidRDefault="00711444" w:rsidP="00711444"/>
    <w:p w14:paraId="2FC66263" w14:textId="77777777" w:rsidR="00711444" w:rsidRPr="004D0DAA" w:rsidRDefault="00711444" w:rsidP="00711444">
      <w:pPr>
        <w:pStyle w:val="Heading2"/>
      </w:pPr>
      <w:bookmarkStart w:id="788" w:name="_Toc516669964"/>
      <w:r w:rsidRPr="004D0DAA">
        <w:t>12.10f</w:t>
      </w:r>
      <w:r w:rsidRPr="004D0DAA">
        <w:tab/>
        <w:t>EGPRS Level description</w:t>
      </w:r>
      <w:bookmarkEnd w:id="788"/>
    </w:p>
    <w:p w14:paraId="68B93BDD" w14:textId="77777777" w:rsidR="00711444" w:rsidRPr="004D0DAA" w:rsidRDefault="00711444" w:rsidP="00711444">
      <w:r w:rsidRPr="004D0DAA">
        <w:t xml:space="preserve">This information element defines the EGPRS level for this TBF and consequently the the set of modulation and coding schemes which shall be used. </w:t>
      </w:r>
    </w:p>
    <w:p w14:paraId="253A8D90" w14:textId="77777777" w:rsidR="00711444" w:rsidRPr="004D0DAA" w:rsidRDefault="00711444" w:rsidP="00711444">
      <w:pPr>
        <w:pStyle w:val="TH"/>
      </w:pPr>
      <w:r w:rsidRPr="004D0DAA">
        <w:t xml:space="preserve">Table 12.10f.1: </w:t>
      </w:r>
      <w:r w:rsidRPr="004D0DAA">
        <w:rPr>
          <w:i/>
        </w:rPr>
        <w:t xml:space="preserve">EGPRS Level </w:t>
      </w:r>
      <w:r w:rsidRPr="004D0DAA">
        <w:t>information element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4678"/>
      </w:tblGrid>
      <w:tr w:rsidR="00711444" w:rsidRPr="004D0DAA" w14:paraId="3ACC56E9" w14:textId="77777777" w:rsidTr="00AA2A4C">
        <w:tblPrEx>
          <w:tblCellMar>
            <w:top w:w="0" w:type="dxa"/>
            <w:bottom w:w="0" w:type="dxa"/>
          </w:tblCellMar>
        </w:tblPrEx>
        <w:trPr>
          <w:cantSplit/>
          <w:jc w:val="center"/>
        </w:trPr>
        <w:tc>
          <w:tcPr>
            <w:tcW w:w="5920" w:type="dxa"/>
            <w:gridSpan w:val="2"/>
          </w:tcPr>
          <w:p w14:paraId="5255A5F4" w14:textId="77777777" w:rsidR="00711444" w:rsidRPr="004D0DAA" w:rsidRDefault="00711444" w:rsidP="00AA2A4C">
            <w:pPr>
              <w:pStyle w:val="TAH"/>
              <w:rPr>
                <w:lang w:eastAsia="en-US"/>
              </w:rPr>
            </w:pPr>
            <w:r w:rsidRPr="004D0DAA">
              <w:rPr>
                <w:lang w:eastAsia="en-US"/>
              </w:rPr>
              <w:t>EGPRS Level information element</w:t>
            </w:r>
          </w:p>
        </w:tc>
      </w:tr>
      <w:tr w:rsidR="00711444" w:rsidRPr="004D0DAA" w14:paraId="04D500A3" w14:textId="77777777" w:rsidTr="00AA2A4C">
        <w:tblPrEx>
          <w:tblCellMar>
            <w:top w:w="0" w:type="dxa"/>
            <w:bottom w:w="0" w:type="dxa"/>
          </w:tblCellMar>
        </w:tblPrEx>
        <w:trPr>
          <w:cantSplit/>
          <w:jc w:val="center"/>
        </w:trPr>
        <w:tc>
          <w:tcPr>
            <w:tcW w:w="1242" w:type="dxa"/>
          </w:tcPr>
          <w:p w14:paraId="4C2EF73E" w14:textId="77777777" w:rsidR="00711444" w:rsidRPr="004D0DAA" w:rsidRDefault="00711444" w:rsidP="00AA2A4C">
            <w:pPr>
              <w:pStyle w:val="TAH"/>
              <w:rPr>
                <w:lang w:eastAsia="en-US"/>
              </w:rPr>
            </w:pPr>
            <w:r w:rsidRPr="004D0DAA">
              <w:rPr>
                <w:lang w:eastAsia="en-US"/>
              </w:rPr>
              <w:t>bits</w:t>
            </w:r>
            <w:r w:rsidRPr="004D0DAA">
              <w:rPr>
                <w:lang w:eastAsia="en-US"/>
              </w:rPr>
              <w:br/>
              <w:t>2 1</w:t>
            </w:r>
          </w:p>
        </w:tc>
        <w:tc>
          <w:tcPr>
            <w:tcW w:w="4678" w:type="dxa"/>
          </w:tcPr>
          <w:p w14:paraId="40CFF41E" w14:textId="77777777" w:rsidR="00711444" w:rsidRPr="004D0DAA" w:rsidRDefault="00711444" w:rsidP="00AA2A4C">
            <w:pPr>
              <w:pStyle w:val="TAH"/>
              <w:rPr>
                <w:lang w:eastAsia="en-US"/>
              </w:rPr>
            </w:pPr>
            <w:r w:rsidRPr="004D0DAA">
              <w:rPr>
                <w:lang w:eastAsia="en-US"/>
              </w:rPr>
              <w:br/>
              <w:t>value</w:t>
            </w:r>
          </w:p>
        </w:tc>
      </w:tr>
      <w:tr w:rsidR="00711444" w:rsidRPr="004D0DAA" w14:paraId="2B111DE9" w14:textId="77777777" w:rsidTr="00AA2A4C">
        <w:tblPrEx>
          <w:tblCellMar>
            <w:top w:w="0" w:type="dxa"/>
            <w:bottom w:w="0" w:type="dxa"/>
          </w:tblCellMar>
        </w:tblPrEx>
        <w:trPr>
          <w:cantSplit/>
          <w:jc w:val="center"/>
        </w:trPr>
        <w:tc>
          <w:tcPr>
            <w:tcW w:w="1242" w:type="dxa"/>
          </w:tcPr>
          <w:p w14:paraId="7A86299B" w14:textId="77777777" w:rsidR="00711444" w:rsidRPr="004D0DAA" w:rsidRDefault="00711444" w:rsidP="00AA2A4C">
            <w:pPr>
              <w:pStyle w:val="TAC"/>
              <w:rPr>
                <w:lang w:eastAsia="en-US"/>
              </w:rPr>
            </w:pPr>
            <w:r w:rsidRPr="004D0DAA">
              <w:rPr>
                <w:lang w:eastAsia="en-US"/>
              </w:rPr>
              <w:t>0 0</w:t>
            </w:r>
          </w:p>
        </w:tc>
        <w:tc>
          <w:tcPr>
            <w:tcW w:w="4678" w:type="dxa"/>
          </w:tcPr>
          <w:p w14:paraId="07F70896" w14:textId="77777777" w:rsidR="00711444" w:rsidRPr="004D0DAA" w:rsidRDefault="00711444" w:rsidP="00AA2A4C">
            <w:pPr>
              <w:pStyle w:val="TAC"/>
              <w:rPr>
                <w:lang w:eastAsia="en-US"/>
              </w:rPr>
            </w:pPr>
            <w:r w:rsidRPr="004D0DAA">
              <w:rPr>
                <w:lang w:eastAsia="en-US"/>
              </w:rPr>
              <w:t>EGPRS</w:t>
            </w:r>
          </w:p>
        </w:tc>
      </w:tr>
      <w:tr w:rsidR="00711444" w:rsidRPr="004D0DAA" w14:paraId="1FAD9EF0" w14:textId="77777777" w:rsidTr="00AA2A4C">
        <w:tblPrEx>
          <w:tblCellMar>
            <w:top w:w="0" w:type="dxa"/>
            <w:bottom w:w="0" w:type="dxa"/>
          </w:tblCellMar>
        </w:tblPrEx>
        <w:trPr>
          <w:cantSplit/>
          <w:jc w:val="center"/>
        </w:trPr>
        <w:tc>
          <w:tcPr>
            <w:tcW w:w="1242" w:type="dxa"/>
          </w:tcPr>
          <w:p w14:paraId="4AB54F0F" w14:textId="77777777" w:rsidR="00711444" w:rsidRPr="004D0DAA" w:rsidRDefault="00711444" w:rsidP="00AA2A4C">
            <w:pPr>
              <w:pStyle w:val="TAC"/>
              <w:rPr>
                <w:lang w:eastAsia="en-US"/>
              </w:rPr>
            </w:pPr>
            <w:r w:rsidRPr="004D0DAA">
              <w:rPr>
                <w:lang w:eastAsia="en-US"/>
              </w:rPr>
              <w:t>0 1</w:t>
            </w:r>
          </w:p>
        </w:tc>
        <w:tc>
          <w:tcPr>
            <w:tcW w:w="4678" w:type="dxa"/>
          </w:tcPr>
          <w:p w14:paraId="28A6BD01" w14:textId="77777777" w:rsidR="00711444" w:rsidRPr="004D0DAA" w:rsidRDefault="00711444" w:rsidP="00AA2A4C">
            <w:pPr>
              <w:pStyle w:val="TAC"/>
              <w:rPr>
                <w:lang w:eastAsia="en-US"/>
              </w:rPr>
            </w:pPr>
            <w:r w:rsidRPr="004D0DAA">
              <w:rPr>
                <w:lang w:eastAsia="en-US"/>
              </w:rPr>
              <w:t>EGPRS2-A</w:t>
            </w:r>
          </w:p>
        </w:tc>
      </w:tr>
      <w:tr w:rsidR="00711444" w:rsidRPr="004D0DAA" w14:paraId="42C73DD6" w14:textId="77777777" w:rsidTr="00AA2A4C">
        <w:tblPrEx>
          <w:tblCellMar>
            <w:top w:w="0" w:type="dxa"/>
            <w:bottom w:w="0" w:type="dxa"/>
          </w:tblCellMar>
        </w:tblPrEx>
        <w:trPr>
          <w:cantSplit/>
          <w:jc w:val="center"/>
        </w:trPr>
        <w:tc>
          <w:tcPr>
            <w:tcW w:w="1242" w:type="dxa"/>
          </w:tcPr>
          <w:p w14:paraId="62B73347" w14:textId="77777777" w:rsidR="00711444" w:rsidRPr="004D0DAA" w:rsidRDefault="00711444" w:rsidP="00AA2A4C">
            <w:pPr>
              <w:pStyle w:val="TAC"/>
              <w:rPr>
                <w:lang w:eastAsia="en-US"/>
              </w:rPr>
            </w:pPr>
            <w:r w:rsidRPr="004D0DAA">
              <w:rPr>
                <w:lang w:eastAsia="en-US"/>
              </w:rPr>
              <w:t>1 0</w:t>
            </w:r>
          </w:p>
        </w:tc>
        <w:tc>
          <w:tcPr>
            <w:tcW w:w="4678" w:type="dxa"/>
          </w:tcPr>
          <w:p w14:paraId="29371FAF" w14:textId="77777777" w:rsidR="00711444" w:rsidRPr="004D0DAA" w:rsidRDefault="00711444" w:rsidP="00AA2A4C">
            <w:pPr>
              <w:pStyle w:val="TAC"/>
              <w:rPr>
                <w:lang w:eastAsia="en-US"/>
              </w:rPr>
            </w:pPr>
            <w:r w:rsidRPr="004D0DAA">
              <w:rPr>
                <w:lang w:eastAsia="en-US"/>
              </w:rPr>
              <w:t>EGPRS2-B</w:t>
            </w:r>
          </w:p>
        </w:tc>
      </w:tr>
      <w:tr w:rsidR="00711444" w:rsidRPr="004D0DAA" w14:paraId="572BF93D" w14:textId="77777777" w:rsidTr="00AA2A4C">
        <w:tblPrEx>
          <w:tblCellMar>
            <w:top w:w="0" w:type="dxa"/>
            <w:bottom w:w="0" w:type="dxa"/>
          </w:tblCellMar>
        </w:tblPrEx>
        <w:trPr>
          <w:cantSplit/>
          <w:jc w:val="center"/>
        </w:trPr>
        <w:tc>
          <w:tcPr>
            <w:tcW w:w="1242" w:type="dxa"/>
          </w:tcPr>
          <w:p w14:paraId="709C1C99" w14:textId="77777777" w:rsidR="00711444" w:rsidRPr="004D0DAA" w:rsidRDefault="00711444" w:rsidP="00AA2A4C">
            <w:pPr>
              <w:pStyle w:val="TAC"/>
              <w:rPr>
                <w:lang w:eastAsia="en-US"/>
              </w:rPr>
            </w:pPr>
            <w:r w:rsidRPr="004D0DAA">
              <w:rPr>
                <w:lang w:eastAsia="en-US"/>
              </w:rPr>
              <w:t>1 1</w:t>
            </w:r>
          </w:p>
        </w:tc>
        <w:tc>
          <w:tcPr>
            <w:tcW w:w="4678" w:type="dxa"/>
          </w:tcPr>
          <w:p w14:paraId="3001FBF7" w14:textId="77777777" w:rsidR="00711444" w:rsidRPr="004D0DAA" w:rsidRDefault="00711444" w:rsidP="00AA2A4C">
            <w:pPr>
              <w:pStyle w:val="TAC"/>
              <w:rPr>
                <w:lang w:eastAsia="en-US"/>
              </w:rPr>
            </w:pPr>
            <w:r w:rsidRPr="004D0DAA">
              <w:rPr>
                <w:lang w:eastAsia="en-US"/>
              </w:rPr>
              <w:t>reserved</w:t>
            </w:r>
          </w:p>
        </w:tc>
      </w:tr>
    </w:tbl>
    <w:p w14:paraId="4D057014" w14:textId="77777777" w:rsidR="00711444" w:rsidRPr="004D0DAA" w:rsidRDefault="00711444" w:rsidP="00711444"/>
    <w:p w14:paraId="64A97DB7" w14:textId="77777777" w:rsidR="00711444" w:rsidRPr="004D0DAA" w:rsidRDefault="00711444" w:rsidP="00711444">
      <w:pPr>
        <w:pStyle w:val="Heading2"/>
      </w:pPr>
      <w:bookmarkStart w:id="789" w:name="_Toc516669965"/>
      <w:r w:rsidRPr="004D0DAA">
        <w:lastRenderedPageBreak/>
        <w:t>12.11</w:t>
      </w:r>
      <w:r w:rsidRPr="004D0DAA">
        <w:tab/>
        <w:t>Packet Request Reference</w:t>
      </w:r>
      <w:bookmarkEnd w:id="789"/>
    </w:p>
    <w:p w14:paraId="5548B623" w14:textId="77777777" w:rsidR="00711444" w:rsidRPr="004D0DAA" w:rsidRDefault="00711444" w:rsidP="00711444">
      <w:pPr>
        <w:keepNext/>
        <w:keepLines/>
      </w:pPr>
      <w:r w:rsidRPr="004D0DAA">
        <w:t>The purpose of the Packet Request Reference information element is to provide the information field sent in the Packet Channel Request (i.e. the PACKET CHANNEL REQUEST or EGPRS PACKET CHANNEL REQUEST message) and the frame number, FN modulo 42432, in which the Packet Channel Request was received.</w:t>
      </w:r>
    </w:p>
    <w:p w14:paraId="618042B1" w14:textId="77777777" w:rsidR="00711444" w:rsidRPr="004D0DAA" w:rsidRDefault="00711444" w:rsidP="00711444">
      <w:pPr>
        <w:pStyle w:val="TH"/>
      </w:pPr>
      <w:r w:rsidRPr="004D0DAA">
        <w:t xml:space="preserve">Table 12.11.1: </w:t>
      </w:r>
      <w:r w:rsidRPr="004D0DAA">
        <w:rPr>
          <w:i/>
        </w:rPr>
        <w:t>Packet Request Reference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E473AA7" w14:textId="77777777" w:rsidTr="00AA2A4C">
        <w:tblPrEx>
          <w:tblCellMar>
            <w:top w:w="0" w:type="dxa"/>
            <w:bottom w:w="0" w:type="dxa"/>
          </w:tblCellMar>
        </w:tblPrEx>
        <w:trPr>
          <w:cantSplit/>
        </w:trPr>
        <w:tc>
          <w:tcPr>
            <w:tcW w:w="9848" w:type="dxa"/>
          </w:tcPr>
          <w:p w14:paraId="108B624F" w14:textId="77777777" w:rsidR="00711444" w:rsidRPr="004D0DAA" w:rsidRDefault="00711444" w:rsidP="00AA2A4C">
            <w:pPr>
              <w:pStyle w:val="TAL"/>
              <w:rPr>
                <w:lang w:eastAsia="en-US"/>
              </w:rPr>
            </w:pPr>
            <w:r w:rsidRPr="004D0DAA">
              <w:rPr>
                <w:lang w:eastAsia="en-US"/>
              </w:rPr>
              <w:t>&lt; Packet Request Reference IE &gt; ::=</w:t>
            </w:r>
            <w:r w:rsidRPr="004D0DAA">
              <w:rPr>
                <w:lang w:eastAsia="en-US"/>
              </w:rPr>
              <w:br/>
            </w:r>
            <w:r w:rsidRPr="004D0DAA">
              <w:rPr>
                <w:lang w:eastAsia="en-US"/>
              </w:rPr>
              <w:tab/>
              <w:t xml:space="preserve">&lt; </w:t>
            </w:r>
            <w:r w:rsidRPr="004D0DAA">
              <w:rPr>
                <w:b/>
                <w:lang w:eastAsia="en-US"/>
              </w:rPr>
              <w:t xml:space="preserve">RANDOM_ACCESS_INFORMATION value </w:t>
            </w:r>
            <w:r w:rsidRPr="004D0DAA">
              <w:rPr>
                <w:lang w:eastAsia="en-US"/>
              </w:rPr>
              <w:t>: bit (11) &gt;</w:t>
            </w:r>
            <w:r w:rsidRPr="004D0DAA">
              <w:rPr>
                <w:lang w:eastAsia="en-US"/>
              </w:rPr>
              <w:br/>
            </w:r>
            <w:r w:rsidRPr="004D0DAA">
              <w:rPr>
                <w:lang w:eastAsia="en-US"/>
              </w:rPr>
              <w:tab/>
              <w:t xml:space="preserve">&lt; </w:t>
            </w:r>
            <w:r w:rsidRPr="004D0DAA">
              <w:rPr>
                <w:b/>
                <w:lang w:eastAsia="en-US"/>
              </w:rPr>
              <w:t xml:space="preserve">FRAME_NUMBER </w:t>
            </w:r>
            <w:r w:rsidRPr="004D0DAA">
              <w:rPr>
                <w:lang w:eastAsia="en-US"/>
              </w:rPr>
              <w:t>: bit (16) &gt; ;</w:t>
            </w:r>
          </w:p>
        </w:tc>
      </w:tr>
    </w:tbl>
    <w:p w14:paraId="1DA1FD39" w14:textId="77777777" w:rsidR="00711444" w:rsidRPr="004D0DAA" w:rsidRDefault="00711444" w:rsidP="00711444"/>
    <w:p w14:paraId="6A7C4467" w14:textId="77777777" w:rsidR="00711444" w:rsidRPr="004D0DAA" w:rsidRDefault="00711444" w:rsidP="00711444">
      <w:pPr>
        <w:pStyle w:val="TH"/>
      </w:pPr>
      <w:r w:rsidRPr="004D0DAA">
        <w:t xml:space="preserve">Table 12.11.2: </w:t>
      </w:r>
      <w:r w:rsidRPr="004D0DAA">
        <w:rPr>
          <w:i/>
        </w:rPr>
        <w:t>Packet Request Reference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EC87ACB" w14:textId="77777777" w:rsidTr="00AA2A4C">
        <w:tblPrEx>
          <w:tblCellMar>
            <w:top w:w="0" w:type="dxa"/>
            <w:bottom w:w="0" w:type="dxa"/>
          </w:tblCellMar>
        </w:tblPrEx>
        <w:tc>
          <w:tcPr>
            <w:tcW w:w="9848" w:type="dxa"/>
          </w:tcPr>
          <w:p w14:paraId="3C59154F" w14:textId="77777777" w:rsidR="00711444" w:rsidRPr="004D0DAA" w:rsidRDefault="00711444" w:rsidP="00AA2A4C">
            <w:pPr>
              <w:keepNext/>
              <w:keepLines/>
            </w:pPr>
            <w:r w:rsidRPr="004D0DAA">
              <w:rPr>
                <w:b/>
              </w:rPr>
              <w:t xml:space="preserve">RANDOM_ACCESS_INFORMATION value </w:t>
            </w:r>
            <w:r w:rsidRPr="004D0DAA">
              <w:t>(11 bit field)</w:t>
            </w:r>
            <w:r w:rsidRPr="004D0DAA">
              <w:br/>
              <w:t>This is an unformatted 11 bit field. If the mobile station used the 11-bit message format in the Packet Channel Request, all 11 bits of this field are valid. Otherwise, only bits 8 through 1 are valid and bits 11 through 9 shall be set to '0'</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567"/>
              <w:gridCol w:w="567"/>
              <w:gridCol w:w="567"/>
              <w:gridCol w:w="567"/>
              <w:gridCol w:w="567"/>
              <w:gridCol w:w="567"/>
              <w:gridCol w:w="567"/>
              <w:gridCol w:w="567"/>
              <w:gridCol w:w="567"/>
              <w:gridCol w:w="567"/>
              <w:gridCol w:w="567"/>
            </w:tblGrid>
            <w:tr w:rsidR="00711444" w:rsidRPr="004D0DAA" w14:paraId="01DC4EFB" w14:textId="77777777" w:rsidTr="00AA2A4C">
              <w:tblPrEx>
                <w:tblCellMar>
                  <w:top w:w="0" w:type="dxa"/>
                  <w:bottom w:w="0" w:type="dxa"/>
                </w:tblCellMar>
              </w:tblPrEx>
              <w:trPr>
                <w:cantSplit/>
              </w:trPr>
              <w:tc>
                <w:tcPr>
                  <w:tcW w:w="1701" w:type="dxa"/>
                  <w:tcBorders>
                    <w:top w:val="nil"/>
                    <w:left w:val="nil"/>
                    <w:bottom w:val="nil"/>
                    <w:right w:val="single" w:sz="6" w:space="0" w:color="auto"/>
                  </w:tcBorders>
                </w:tcPr>
                <w:p w14:paraId="40935523" w14:textId="77777777" w:rsidR="00711444" w:rsidRPr="004D0DAA" w:rsidRDefault="00711444" w:rsidP="00AA2A4C"/>
              </w:tc>
              <w:tc>
                <w:tcPr>
                  <w:tcW w:w="6237" w:type="dxa"/>
                  <w:gridSpan w:val="11"/>
                  <w:tcBorders>
                    <w:left w:val="single" w:sz="6" w:space="0" w:color="auto"/>
                  </w:tcBorders>
                </w:tcPr>
                <w:p w14:paraId="6F35E698" w14:textId="77777777" w:rsidR="00711444" w:rsidRPr="004D0DAA" w:rsidRDefault="00711444" w:rsidP="00AA2A4C">
                  <w:pPr>
                    <w:pStyle w:val="TAC"/>
                    <w:rPr>
                      <w:lang w:eastAsia="en-US"/>
                    </w:rPr>
                  </w:pPr>
                  <w:r w:rsidRPr="004D0DAA">
                    <w:rPr>
                      <w:lang w:eastAsia="en-US"/>
                    </w:rPr>
                    <w:t>Bit</w:t>
                  </w:r>
                </w:p>
              </w:tc>
            </w:tr>
            <w:tr w:rsidR="00711444" w:rsidRPr="004D0DAA" w14:paraId="1991BA4F" w14:textId="77777777" w:rsidTr="00AA2A4C">
              <w:tblPrEx>
                <w:tblCellMar>
                  <w:top w:w="0" w:type="dxa"/>
                  <w:bottom w:w="0" w:type="dxa"/>
                </w:tblCellMar>
              </w:tblPrEx>
              <w:tc>
                <w:tcPr>
                  <w:tcW w:w="1701" w:type="dxa"/>
                  <w:tcBorders>
                    <w:top w:val="nil"/>
                    <w:left w:val="nil"/>
                    <w:bottom w:val="single" w:sz="6" w:space="0" w:color="auto"/>
                    <w:right w:val="single" w:sz="6" w:space="0" w:color="auto"/>
                  </w:tcBorders>
                </w:tcPr>
                <w:p w14:paraId="7BCEAD1A" w14:textId="77777777" w:rsidR="00711444" w:rsidRPr="004D0DAA" w:rsidRDefault="00711444" w:rsidP="00AA2A4C"/>
              </w:tc>
              <w:tc>
                <w:tcPr>
                  <w:tcW w:w="567" w:type="dxa"/>
                  <w:tcBorders>
                    <w:left w:val="single" w:sz="6" w:space="0" w:color="auto"/>
                  </w:tcBorders>
                </w:tcPr>
                <w:p w14:paraId="42D3A7F2" w14:textId="77777777" w:rsidR="00711444" w:rsidRPr="004D0DAA" w:rsidRDefault="00711444" w:rsidP="00AA2A4C">
                  <w:pPr>
                    <w:pStyle w:val="TAC"/>
                    <w:rPr>
                      <w:lang w:eastAsia="en-US"/>
                    </w:rPr>
                  </w:pPr>
                  <w:r w:rsidRPr="004D0DAA">
                    <w:rPr>
                      <w:lang w:eastAsia="en-US"/>
                    </w:rPr>
                    <w:t>11</w:t>
                  </w:r>
                </w:p>
              </w:tc>
              <w:tc>
                <w:tcPr>
                  <w:tcW w:w="567" w:type="dxa"/>
                </w:tcPr>
                <w:p w14:paraId="4CDED63D" w14:textId="77777777" w:rsidR="00711444" w:rsidRPr="004D0DAA" w:rsidRDefault="00711444" w:rsidP="00AA2A4C">
                  <w:pPr>
                    <w:pStyle w:val="TAC"/>
                    <w:rPr>
                      <w:lang w:eastAsia="en-US"/>
                    </w:rPr>
                  </w:pPr>
                  <w:r w:rsidRPr="004D0DAA">
                    <w:rPr>
                      <w:lang w:eastAsia="en-US"/>
                    </w:rPr>
                    <w:t>10</w:t>
                  </w:r>
                </w:p>
              </w:tc>
              <w:tc>
                <w:tcPr>
                  <w:tcW w:w="567" w:type="dxa"/>
                </w:tcPr>
                <w:p w14:paraId="1BCDCE82" w14:textId="77777777" w:rsidR="00711444" w:rsidRPr="004D0DAA" w:rsidRDefault="00711444" w:rsidP="00AA2A4C">
                  <w:pPr>
                    <w:pStyle w:val="TAC"/>
                    <w:rPr>
                      <w:lang w:eastAsia="en-US"/>
                    </w:rPr>
                  </w:pPr>
                  <w:r w:rsidRPr="004D0DAA">
                    <w:rPr>
                      <w:lang w:eastAsia="en-US"/>
                    </w:rPr>
                    <w:t>9</w:t>
                  </w:r>
                </w:p>
              </w:tc>
              <w:tc>
                <w:tcPr>
                  <w:tcW w:w="567" w:type="dxa"/>
                </w:tcPr>
                <w:p w14:paraId="41781DBB" w14:textId="77777777" w:rsidR="00711444" w:rsidRPr="004D0DAA" w:rsidRDefault="00711444" w:rsidP="00AA2A4C">
                  <w:pPr>
                    <w:pStyle w:val="TAC"/>
                    <w:rPr>
                      <w:lang w:eastAsia="en-US"/>
                    </w:rPr>
                  </w:pPr>
                  <w:r w:rsidRPr="004D0DAA">
                    <w:rPr>
                      <w:lang w:eastAsia="en-US"/>
                    </w:rPr>
                    <w:t>8</w:t>
                  </w:r>
                </w:p>
              </w:tc>
              <w:tc>
                <w:tcPr>
                  <w:tcW w:w="567" w:type="dxa"/>
                </w:tcPr>
                <w:p w14:paraId="381953DE" w14:textId="77777777" w:rsidR="00711444" w:rsidRPr="004D0DAA" w:rsidRDefault="00711444" w:rsidP="00AA2A4C">
                  <w:pPr>
                    <w:pStyle w:val="TAC"/>
                    <w:rPr>
                      <w:lang w:eastAsia="en-US"/>
                    </w:rPr>
                  </w:pPr>
                  <w:r w:rsidRPr="004D0DAA">
                    <w:rPr>
                      <w:lang w:eastAsia="en-US"/>
                    </w:rPr>
                    <w:t>7</w:t>
                  </w:r>
                </w:p>
              </w:tc>
              <w:tc>
                <w:tcPr>
                  <w:tcW w:w="567" w:type="dxa"/>
                </w:tcPr>
                <w:p w14:paraId="3EB349AF" w14:textId="77777777" w:rsidR="00711444" w:rsidRPr="004D0DAA" w:rsidRDefault="00711444" w:rsidP="00AA2A4C">
                  <w:pPr>
                    <w:pStyle w:val="TAC"/>
                    <w:rPr>
                      <w:lang w:eastAsia="en-US"/>
                    </w:rPr>
                  </w:pPr>
                  <w:r w:rsidRPr="004D0DAA">
                    <w:rPr>
                      <w:lang w:eastAsia="en-US"/>
                    </w:rPr>
                    <w:t>6</w:t>
                  </w:r>
                </w:p>
              </w:tc>
              <w:tc>
                <w:tcPr>
                  <w:tcW w:w="567" w:type="dxa"/>
                </w:tcPr>
                <w:p w14:paraId="7F1E96D6" w14:textId="77777777" w:rsidR="00711444" w:rsidRPr="004D0DAA" w:rsidRDefault="00711444" w:rsidP="00AA2A4C">
                  <w:pPr>
                    <w:pStyle w:val="TAC"/>
                    <w:rPr>
                      <w:lang w:eastAsia="en-US"/>
                    </w:rPr>
                  </w:pPr>
                  <w:r w:rsidRPr="004D0DAA">
                    <w:rPr>
                      <w:lang w:eastAsia="en-US"/>
                    </w:rPr>
                    <w:t>5</w:t>
                  </w:r>
                </w:p>
              </w:tc>
              <w:tc>
                <w:tcPr>
                  <w:tcW w:w="567" w:type="dxa"/>
                </w:tcPr>
                <w:p w14:paraId="538D8EE5" w14:textId="77777777" w:rsidR="00711444" w:rsidRPr="004D0DAA" w:rsidRDefault="00711444" w:rsidP="00AA2A4C">
                  <w:pPr>
                    <w:pStyle w:val="TAC"/>
                    <w:rPr>
                      <w:lang w:eastAsia="en-US"/>
                    </w:rPr>
                  </w:pPr>
                  <w:r w:rsidRPr="004D0DAA">
                    <w:rPr>
                      <w:lang w:eastAsia="en-US"/>
                    </w:rPr>
                    <w:t>4</w:t>
                  </w:r>
                </w:p>
              </w:tc>
              <w:tc>
                <w:tcPr>
                  <w:tcW w:w="567" w:type="dxa"/>
                </w:tcPr>
                <w:p w14:paraId="78AFCA78" w14:textId="77777777" w:rsidR="00711444" w:rsidRPr="004D0DAA" w:rsidRDefault="00711444" w:rsidP="00AA2A4C">
                  <w:pPr>
                    <w:pStyle w:val="TAC"/>
                    <w:rPr>
                      <w:lang w:eastAsia="en-US"/>
                    </w:rPr>
                  </w:pPr>
                  <w:r w:rsidRPr="004D0DAA">
                    <w:rPr>
                      <w:lang w:eastAsia="en-US"/>
                    </w:rPr>
                    <w:t>3</w:t>
                  </w:r>
                </w:p>
              </w:tc>
              <w:tc>
                <w:tcPr>
                  <w:tcW w:w="567" w:type="dxa"/>
                </w:tcPr>
                <w:p w14:paraId="0AF75149" w14:textId="77777777" w:rsidR="00711444" w:rsidRPr="004D0DAA" w:rsidRDefault="00711444" w:rsidP="00AA2A4C">
                  <w:pPr>
                    <w:pStyle w:val="TAC"/>
                    <w:rPr>
                      <w:lang w:eastAsia="en-US"/>
                    </w:rPr>
                  </w:pPr>
                  <w:r w:rsidRPr="004D0DAA">
                    <w:rPr>
                      <w:lang w:eastAsia="en-US"/>
                    </w:rPr>
                    <w:t>2</w:t>
                  </w:r>
                </w:p>
              </w:tc>
              <w:tc>
                <w:tcPr>
                  <w:tcW w:w="567" w:type="dxa"/>
                </w:tcPr>
                <w:p w14:paraId="4CF62261" w14:textId="77777777" w:rsidR="00711444" w:rsidRPr="004D0DAA" w:rsidRDefault="00711444" w:rsidP="00AA2A4C">
                  <w:pPr>
                    <w:pStyle w:val="TAC"/>
                    <w:rPr>
                      <w:lang w:eastAsia="en-US"/>
                    </w:rPr>
                  </w:pPr>
                  <w:r w:rsidRPr="004D0DAA">
                    <w:rPr>
                      <w:lang w:eastAsia="en-US"/>
                    </w:rPr>
                    <w:t>1</w:t>
                  </w:r>
                </w:p>
              </w:tc>
            </w:tr>
            <w:tr w:rsidR="00711444" w:rsidRPr="004D0DAA" w14:paraId="573C2573" w14:textId="77777777" w:rsidTr="00AA2A4C">
              <w:tblPrEx>
                <w:tblCellMar>
                  <w:top w:w="0" w:type="dxa"/>
                  <w:bottom w:w="0" w:type="dxa"/>
                </w:tblCellMar>
              </w:tblPrEx>
              <w:tc>
                <w:tcPr>
                  <w:tcW w:w="1701" w:type="dxa"/>
                  <w:tcBorders>
                    <w:top w:val="single" w:sz="6" w:space="0" w:color="auto"/>
                  </w:tcBorders>
                </w:tcPr>
                <w:p w14:paraId="06A51EBA" w14:textId="77777777" w:rsidR="00711444" w:rsidRPr="004D0DAA" w:rsidRDefault="00711444" w:rsidP="00AA2A4C">
                  <w:r w:rsidRPr="004D0DAA">
                    <w:t>11-bit message format used</w:t>
                  </w:r>
                </w:p>
              </w:tc>
              <w:tc>
                <w:tcPr>
                  <w:tcW w:w="567" w:type="dxa"/>
                </w:tcPr>
                <w:p w14:paraId="079877A0" w14:textId="77777777" w:rsidR="00711444" w:rsidRPr="004D0DAA" w:rsidRDefault="00711444" w:rsidP="00AA2A4C">
                  <w:pPr>
                    <w:pStyle w:val="TAC"/>
                    <w:rPr>
                      <w:lang w:eastAsia="en-US"/>
                    </w:rPr>
                  </w:pPr>
                  <w:r w:rsidRPr="004D0DAA">
                    <w:rPr>
                      <w:lang w:eastAsia="en-US"/>
                    </w:rPr>
                    <w:t>X</w:t>
                  </w:r>
                </w:p>
              </w:tc>
              <w:tc>
                <w:tcPr>
                  <w:tcW w:w="567" w:type="dxa"/>
                </w:tcPr>
                <w:p w14:paraId="7F31F57C" w14:textId="77777777" w:rsidR="00711444" w:rsidRPr="004D0DAA" w:rsidRDefault="00711444" w:rsidP="00AA2A4C">
                  <w:pPr>
                    <w:pStyle w:val="TAC"/>
                    <w:rPr>
                      <w:lang w:eastAsia="en-US"/>
                    </w:rPr>
                  </w:pPr>
                  <w:r w:rsidRPr="004D0DAA">
                    <w:rPr>
                      <w:lang w:eastAsia="en-US"/>
                    </w:rPr>
                    <w:t>X</w:t>
                  </w:r>
                </w:p>
              </w:tc>
              <w:tc>
                <w:tcPr>
                  <w:tcW w:w="567" w:type="dxa"/>
                </w:tcPr>
                <w:p w14:paraId="3AA39760" w14:textId="77777777" w:rsidR="00711444" w:rsidRPr="004D0DAA" w:rsidRDefault="00711444" w:rsidP="00AA2A4C">
                  <w:pPr>
                    <w:pStyle w:val="TAC"/>
                    <w:rPr>
                      <w:lang w:eastAsia="en-US"/>
                    </w:rPr>
                  </w:pPr>
                  <w:r w:rsidRPr="004D0DAA">
                    <w:rPr>
                      <w:lang w:eastAsia="en-US"/>
                    </w:rPr>
                    <w:t>X</w:t>
                  </w:r>
                </w:p>
              </w:tc>
              <w:tc>
                <w:tcPr>
                  <w:tcW w:w="567" w:type="dxa"/>
                </w:tcPr>
                <w:p w14:paraId="30F30522" w14:textId="77777777" w:rsidR="00711444" w:rsidRPr="004D0DAA" w:rsidRDefault="00711444" w:rsidP="00AA2A4C">
                  <w:pPr>
                    <w:pStyle w:val="TAC"/>
                    <w:rPr>
                      <w:lang w:eastAsia="en-US"/>
                    </w:rPr>
                  </w:pPr>
                  <w:r w:rsidRPr="004D0DAA">
                    <w:rPr>
                      <w:lang w:eastAsia="en-US"/>
                    </w:rPr>
                    <w:t>X</w:t>
                  </w:r>
                </w:p>
              </w:tc>
              <w:tc>
                <w:tcPr>
                  <w:tcW w:w="567" w:type="dxa"/>
                </w:tcPr>
                <w:p w14:paraId="7618B939" w14:textId="77777777" w:rsidR="00711444" w:rsidRPr="004D0DAA" w:rsidRDefault="00711444" w:rsidP="00AA2A4C">
                  <w:pPr>
                    <w:pStyle w:val="TAC"/>
                    <w:rPr>
                      <w:lang w:eastAsia="en-US"/>
                    </w:rPr>
                  </w:pPr>
                  <w:r w:rsidRPr="004D0DAA">
                    <w:rPr>
                      <w:lang w:eastAsia="en-US"/>
                    </w:rPr>
                    <w:t>X</w:t>
                  </w:r>
                </w:p>
              </w:tc>
              <w:tc>
                <w:tcPr>
                  <w:tcW w:w="567" w:type="dxa"/>
                </w:tcPr>
                <w:p w14:paraId="2D86B1AD" w14:textId="77777777" w:rsidR="00711444" w:rsidRPr="004D0DAA" w:rsidRDefault="00711444" w:rsidP="00AA2A4C">
                  <w:pPr>
                    <w:pStyle w:val="TAC"/>
                    <w:rPr>
                      <w:lang w:eastAsia="en-US"/>
                    </w:rPr>
                  </w:pPr>
                  <w:r w:rsidRPr="004D0DAA">
                    <w:rPr>
                      <w:lang w:eastAsia="en-US"/>
                    </w:rPr>
                    <w:t>X</w:t>
                  </w:r>
                </w:p>
              </w:tc>
              <w:tc>
                <w:tcPr>
                  <w:tcW w:w="567" w:type="dxa"/>
                </w:tcPr>
                <w:p w14:paraId="235AF7F7" w14:textId="77777777" w:rsidR="00711444" w:rsidRPr="004D0DAA" w:rsidRDefault="00711444" w:rsidP="00AA2A4C">
                  <w:pPr>
                    <w:pStyle w:val="TAC"/>
                    <w:rPr>
                      <w:lang w:eastAsia="en-US"/>
                    </w:rPr>
                  </w:pPr>
                  <w:r w:rsidRPr="004D0DAA">
                    <w:rPr>
                      <w:lang w:eastAsia="en-US"/>
                    </w:rPr>
                    <w:t>X</w:t>
                  </w:r>
                </w:p>
              </w:tc>
              <w:tc>
                <w:tcPr>
                  <w:tcW w:w="567" w:type="dxa"/>
                </w:tcPr>
                <w:p w14:paraId="73E78875" w14:textId="77777777" w:rsidR="00711444" w:rsidRPr="004D0DAA" w:rsidRDefault="00711444" w:rsidP="00AA2A4C">
                  <w:pPr>
                    <w:pStyle w:val="TAC"/>
                    <w:rPr>
                      <w:lang w:eastAsia="en-US"/>
                    </w:rPr>
                  </w:pPr>
                  <w:r w:rsidRPr="004D0DAA">
                    <w:rPr>
                      <w:lang w:eastAsia="en-US"/>
                    </w:rPr>
                    <w:t>X</w:t>
                  </w:r>
                </w:p>
              </w:tc>
              <w:tc>
                <w:tcPr>
                  <w:tcW w:w="567" w:type="dxa"/>
                </w:tcPr>
                <w:p w14:paraId="146AE685" w14:textId="77777777" w:rsidR="00711444" w:rsidRPr="004D0DAA" w:rsidRDefault="00711444" w:rsidP="00AA2A4C">
                  <w:pPr>
                    <w:pStyle w:val="TAC"/>
                    <w:rPr>
                      <w:lang w:eastAsia="en-US"/>
                    </w:rPr>
                  </w:pPr>
                  <w:r w:rsidRPr="004D0DAA">
                    <w:rPr>
                      <w:lang w:eastAsia="en-US"/>
                    </w:rPr>
                    <w:t>X</w:t>
                  </w:r>
                </w:p>
              </w:tc>
              <w:tc>
                <w:tcPr>
                  <w:tcW w:w="567" w:type="dxa"/>
                </w:tcPr>
                <w:p w14:paraId="641A3316" w14:textId="77777777" w:rsidR="00711444" w:rsidRPr="004D0DAA" w:rsidRDefault="00711444" w:rsidP="00AA2A4C">
                  <w:pPr>
                    <w:pStyle w:val="TAC"/>
                    <w:rPr>
                      <w:lang w:eastAsia="en-US"/>
                    </w:rPr>
                  </w:pPr>
                  <w:r w:rsidRPr="004D0DAA">
                    <w:rPr>
                      <w:lang w:eastAsia="en-US"/>
                    </w:rPr>
                    <w:t>X</w:t>
                  </w:r>
                </w:p>
              </w:tc>
              <w:tc>
                <w:tcPr>
                  <w:tcW w:w="567" w:type="dxa"/>
                </w:tcPr>
                <w:p w14:paraId="5C26CABA" w14:textId="77777777" w:rsidR="00711444" w:rsidRPr="004D0DAA" w:rsidRDefault="00711444" w:rsidP="00AA2A4C">
                  <w:pPr>
                    <w:pStyle w:val="TAC"/>
                    <w:rPr>
                      <w:lang w:eastAsia="en-US"/>
                    </w:rPr>
                  </w:pPr>
                  <w:r w:rsidRPr="004D0DAA">
                    <w:rPr>
                      <w:lang w:eastAsia="en-US"/>
                    </w:rPr>
                    <w:t>X</w:t>
                  </w:r>
                </w:p>
              </w:tc>
            </w:tr>
            <w:tr w:rsidR="00711444" w:rsidRPr="004D0DAA" w14:paraId="2D5571D7" w14:textId="77777777" w:rsidTr="00AA2A4C">
              <w:tblPrEx>
                <w:tblCellMar>
                  <w:top w:w="0" w:type="dxa"/>
                  <w:bottom w:w="0" w:type="dxa"/>
                </w:tblCellMar>
              </w:tblPrEx>
              <w:tc>
                <w:tcPr>
                  <w:tcW w:w="1701" w:type="dxa"/>
                </w:tcPr>
                <w:p w14:paraId="39758B7D" w14:textId="77777777" w:rsidR="00711444" w:rsidRPr="004D0DAA" w:rsidRDefault="00711444" w:rsidP="00AA2A4C">
                  <w:r w:rsidRPr="004D0DAA">
                    <w:t>8-bit message format used</w:t>
                  </w:r>
                </w:p>
              </w:tc>
              <w:tc>
                <w:tcPr>
                  <w:tcW w:w="567" w:type="dxa"/>
                </w:tcPr>
                <w:p w14:paraId="6D7504A9" w14:textId="77777777" w:rsidR="00711444" w:rsidRPr="004D0DAA" w:rsidRDefault="00711444" w:rsidP="00AA2A4C">
                  <w:pPr>
                    <w:pStyle w:val="TAC"/>
                    <w:rPr>
                      <w:lang w:eastAsia="en-US"/>
                    </w:rPr>
                  </w:pPr>
                  <w:r w:rsidRPr="004D0DAA">
                    <w:rPr>
                      <w:lang w:eastAsia="en-US"/>
                    </w:rPr>
                    <w:t>0</w:t>
                  </w:r>
                </w:p>
              </w:tc>
              <w:tc>
                <w:tcPr>
                  <w:tcW w:w="567" w:type="dxa"/>
                </w:tcPr>
                <w:p w14:paraId="3D40C7D2" w14:textId="77777777" w:rsidR="00711444" w:rsidRPr="004D0DAA" w:rsidRDefault="00711444" w:rsidP="00AA2A4C">
                  <w:pPr>
                    <w:pStyle w:val="TAC"/>
                    <w:rPr>
                      <w:lang w:eastAsia="en-US"/>
                    </w:rPr>
                  </w:pPr>
                  <w:r w:rsidRPr="004D0DAA">
                    <w:rPr>
                      <w:lang w:eastAsia="en-US"/>
                    </w:rPr>
                    <w:t>0</w:t>
                  </w:r>
                </w:p>
              </w:tc>
              <w:tc>
                <w:tcPr>
                  <w:tcW w:w="567" w:type="dxa"/>
                </w:tcPr>
                <w:p w14:paraId="793EAA03" w14:textId="77777777" w:rsidR="00711444" w:rsidRPr="004D0DAA" w:rsidRDefault="00711444" w:rsidP="00AA2A4C">
                  <w:pPr>
                    <w:pStyle w:val="TAC"/>
                    <w:rPr>
                      <w:lang w:eastAsia="en-US"/>
                    </w:rPr>
                  </w:pPr>
                  <w:r w:rsidRPr="004D0DAA">
                    <w:rPr>
                      <w:lang w:eastAsia="en-US"/>
                    </w:rPr>
                    <w:t>0</w:t>
                  </w:r>
                </w:p>
              </w:tc>
              <w:tc>
                <w:tcPr>
                  <w:tcW w:w="567" w:type="dxa"/>
                </w:tcPr>
                <w:p w14:paraId="740D366A" w14:textId="77777777" w:rsidR="00711444" w:rsidRPr="004D0DAA" w:rsidRDefault="00711444" w:rsidP="00AA2A4C">
                  <w:pPr>
                    <w:pStyle w:val="TAC"/>
                    <w:rPr>
                      <w:lang w:eastAsia="en-US"/>
                    </w:rPr>
                  </w:pPr>
                  <w:r w:rsidRPr="004D0DAA">
                    <w:rPr>
                      <w:lang w:eastAsia="en-US"/>
                    </w:rPr>
                    <w:t>X</w:t>
                  </w:r>
                </w:p>
              </w:tc>
              <w:tc>
                <w:tcPr>
                  <w:tcW w:w="567" w:type="dxa"/>
                </w:tcPr>
                <w:p w14:paraId="39ED6E21" w14:textId="77777777" w:rsidR="00711444" w:rsidRPr="004D0DAA" w:rsidRDefault="00711444" w:rsidP="00AA2A4C">
                  <w:pPr>
                    <w:pStyle w:val="TAC"/>
                    <w:rPr>
                      <w:lang w:eastAsia="en-US"/>
                    </w:rPr>
                  </w:pPr>
                  <w:r w:rsidRPr="004D0DAA">
                    <w:rPr>
                      <w:lang w:eastAsia="en-US"/>
                    </w:rPr>
                    <w:t>X</w:t>
                  </w:r>
                </w:p>
              </w:tc>
              <w:tc>
                <w:tcPr>
                  <w:tcW w:w="567" w:type="dxa"/>
                </w:tcPr>
                <w:p w14:paraId="64A6B7EF" w14:textId="77777777" w:rsidR="00711444" w:rsidRPr="004D0DAA" w:rsidRDefault="00711444" w:rsidP="00AA2A4C">
                  <w:pPr>
                    <w:pStyle w:val="TAC"/>
                    <w:rPr>
                      <w:lang w:eastAsia="en-US"/>
                    </w:rPr>
                  </w:pPr>
                  <w:r w:rsidRPr="004D0DAA">
                    <w:rPr>
                      <w:lang w:eastAsia="en-US"/>
                    </w:rPr>
                    <w:t>X</w:t>
                  </w:r>
                </w:p>
              </w:tc>
              <w:tc>
                <w:tcPr>
                  <w:tcW w:w="567" w:type="dxa"/>
                </w:tcPr>
                <w:p w14:paraId="6AEB44C2" w14:textId="77777777" w:rsidR="00711444" w:rsidRPr="004D0DAA" w:rsidRDefault="00711444" w:rsidP="00AA2A4C">
                  <w:pPr>
                    <w:pStyle w:val="TAC"/>
                    <w:rPr>
                      <w:lang w:eastAsia="en-US"/>
                    </w:rPr>
                  </w:pPr>
                  <w:r w:rsidRPr="004D0DAA">
                    <w:rPr>
                      <w:lang w:eastAsia="en-US"/>
                    </w:rPr>
                    <w:t>X</w:t>
                  </w:r>
                </w:p>
              </w:tc>
              <w:tc>
                <w:tcPr>
                  <w:tcW w:w="567" w:type="dxa"/>
                </w:tcPr>
                <w:p w14:paraId="5EB9A6C2" w14:textId="77777777" w:rsidR="00711444" w:rsidRPr="004D0DAA" w:rsidRDefault="00711444" w:rsidP="00AA2A4C">
                  <w:pPr>
                    <w:pStyle w:val="TAC"/>
                    <w:rPr>
                      <w:lang w:eastAsia="en-US"/>
                    </w:rPr>
                  </w:pPr>
                  <w:r w:rsidRPr="004D0DAA">
                    <w:rPr>
                      <w:lang w:eastAsia="en-US"/>
                    </w:rPr>
                    <w:t>X</w:t>
                  </w:r>
                </w:p>
              </w:tc>
              <w:tc>
                <w:tcPr>
                  <w:tcW w:w="567" w:type="dxa"/>
                </w:tcPr>
                <w:p w14:paraId="133F4A0E" w14:textId="77777777" w:rsidR="00711444" w:rsidRPr="004D0DAA" w:rsidRDefault="00711444" w:rsidP="00AA2A4C">
                  <w:pPr>
                    <w:pStyle w:val="TAC"/>
                    <w:rPr>
                      <w:lang w:eastAsia="en-US"/>
                    </w:rPr>
                  </w:pPr>
                  <w:r w:rsidRPr="004D0DAA">
                    <w:rPr>
                      <w:lang w:eastAsia="en-US"/>
                    </w:rPr>
                    <w:t>X</w:t>
                  </w:r>
                </w:p>
              </w:tc>
              <w:tc>
                <w:tcPr>
                  <w:tcW w:w="567" w:type="dxa"/>
                </w:tcPr>
                <w:p w14:paraId="7E08ABF0" w14:textId="77777777" w:rsidR="00711444" w:rsidRPr="004D0DAA" w:rsidRDefault="00711444" w:rsidP="00AA2A4C">
                  <w:pPr>
                    <w:pStyle w:val="TAC"/>
                    <w:rPr>
                      <w:lang w:eastAsia="en-US"/>
                    </w:rPr>
                  </w:pPr>
                  <w:r w:rsidRPr="004D0DAA">
                    <w:rPr>
                      <w:lang w:eastAsia="en-US"/>
                    </w:rPr>
                    <w:t>X</w:t>
                  </w:r>
                </w:p>
              </w:tc>
              <w:tc>
                <w:tcPr>
                  <w:tcW w:w="567" w:type="dxa"/>
                </w:tcPr>
                <w:p w14:paraId="2DB90083" w14:textId="77777777" w:rsidR="00711444" w:rsidRPr="004D0DAA" w:rsidRDefault="00711444" w:rsidP="00AA2A4C">
                  <w:pPr>
                    <w:pStyle w:val="TAC"/>
                    <w:rPr>
                      <w:lang w:eastAsia="en-US"/>
                    </w:rPr>
                  </w:pPr>
                  <w:r w:rsidRPr="004D0DAA">
                    <w:rPr>
                      <w:lang w:eastAsia="en-US"/>
                    </w:rPr>
                    <w:t>X</w:t>
                  </w:r>
                </w:p>
              </w:tc>
            </w:tr>
          </w:tbl>
          <w:p w14:paraId="41FD0D30" w14:textId="77777777" w:rsidR="00711444" w:rsidRPr="004D0DAA" w:rsidRDefault="00711444" w:rsidP="00AA2A4C">
            <w:pPr>
              <w:pStyle w:val="FP"/>
            </w:pPr>
          </w:p>
          <w:p w14:paraId="23EFBA3D" w14:textId="77777777" w:rsidR="00711444" w:rsidRPr="004D0DAA" w:rsidRDefault="00711444" w:rsidP="00AA2A4C">
            <w:pPr>
              <w:keepNext/>
              <w:keepLines/>
              <w:rPr>
                <w:b/>
              </w:rPr>
            </w:pPr>
          </w:p>
        </w:tc>
      </w:tr>
      <w:tr w:rsidR="00711444" w:rsidRPr="004D0DAA" w14:paraId="3BC68DD1" w14:textId="77777777" w:rsidTr="00AA2A4C">
        <w:tblPrEx>
          <w:tblCellMar>
            <w:top w:w="0" w:type="dxa"/>
            <w:bottom w:w="0" w:type="dxa"/>
          </w:tblCellMar>
        </w:tblPrEx>
        <w:tc>
          <w:tcPr>
            <w:tcW w:w="9848" w:type="dxa"/>
          </w:tcPr>
          <w:p w14:paraId="2C1BA646" w14:textId="77777777" w:rsidR="00711444" w:rsidRPr="004D0DAA" w:rsidRDefault="00711444" w:rsidP="00AA2A4C">
            <w:r w:rsidRPr="004D0DAA">
              <w:rPr>
                <w:b/>
              </w:rPr>
              <w:t>FRAME_NUMBER</w:t>
            </w:r>
            <w:r w:rsidRPr="004D0DAA">
              <w:t xml:space="preserve"> (16 bit field)</w:t>
            </w:r>
            <w:r w:rsidRPr="004D0DAA">
              <w:br/>
              <w:t>This field is encoded the same as the Starting Time information element defined in 3GPP TS 44.018.</w:t>
            </w:r>
          </w:p>
        </w:tc>
      </w:tr>
    </w:tbl>
    <w:p w14:paraId="4B3B6238" w14:textId="77777777" w:rsidR="00711444" w:rsidRPr="004D0DAA" w:rsidRDefault="00711444" w:rsidP="00711444"/>
    <w:p w14:paraId="4033C946" w14:textId="77777777" w:rsidR="00711444" w:rsidRPr="004D0DAA" w:rsidRDefault="00711444" w:rsidP="00711444">
      <w:pPr>
        <w:pStyle w:val="Heading2"/>
      </w:pPr>
      <w:bookmarkStart w:id="790" w:name="_Toc516669966"/>
      <w:r w:rsidRPr="004D0DAA">
        <w:t>12.12</w:t>
      </w:r>
      <w:r w:rsidRPr="004D0DAA">
        <w:tab/>
        <w:t>Packet Timing Advance</w:t>
      </w:r>
      <w:bookmarkEnd w:id="790"/>
    </w:p>
    <w:p w14:paraId="1DBD4E7C" w14:textId="77777777" w:rsidR="00711444" w:rsidRPr="004D0DAA" w:rsidRDefault="00711444" w:rsidP="00711444">
      <w:pPr>
        <w:keepNext/>
        <w:keepLines/>
      </w:pPr>
      <w:r w:rsidRPr="004D0DAA">
        <w:t>The Packet Timing Advance field describes the timing advance mode and timing advance value assigned to the mobile station.</w:t>
      </w:r>
    </w:p>
    <w:p w14:paraId="0278AC8A" w14:textId="77777777" w:rsidR="00711444" w:rsidRPr="004D0DAA" w:rsidRDefault="00711444" w:rsidP="00711444">
      <w:pPr>
        <w:pStyle w:val="TH"/>
      </w:pPr>
      <w:r w:rsidRPr="004D0DAA">
        <w:t xml:space="preserve">Table 12.12.1: </w:t>
      </w:r>
      <w:r w:rsidRPr="004D0DAA">
        <w:rPr>
          <w:i/>
        </w:rPr>
        <w:t>Packet Timing Advance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1A8FB13" w14:textId="77777777" w:rsidTr="00AA2A4C">
        <w:tblPrEx>
          <w:tblCellMar>
            <w:top w:w="0" w:type="dxa"/>
            <w:bottom w:w="0" w:type="dxa"/>
          </w:tblCellMar>
        </w:tblPrEx>
        <w:trPr>
          <w:cantSplit/>
        </w:trPr>
        <w:tc>
          <w:tcPr>
            <w:tcW w:w="9848" w:type="dxa"/>
          </w:tcPr>
          <w:p w14:paraId="6A7FD42A" w14:textId="77777777" w:rsidR="00711444" w:rsidRPr="004D0DAA" w:rsidRDefault="00711444" w:rsidP="00AA2A4C">
            <w:pPr>
              <w:pStyle w:val="TAL"/>
              <w:rPr>
                <w:lang w:eastAsia="en-US"/>
              </w:rPr>
            </w:pPr>
            <w:r w:rsidRPr="004D0DAA">
              <w:rPr>
                <w:lang w:eastAsia="en-US"/>
              </w:rPr>
              <w:t>&lt; Packet Timing Advance IE &gt; ::=</w:t>
            </w:r>
          </w:p>
          <w:p w14:paraId="44FB4BA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TIMING_ADVANCE_VALUE </w:t>
            </w:r>
            <w:r w:rsidRPr="004D0DAA">
              <w:rPr>
                <w:lang w:eastAsia="en-US"/>
              </w:rPr>
              <w:t>: bit (6) &gt; }</w:t>
            </w:r>
          </w:p>
          <w:p w14:paraId="7791B122"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TIMING_ADVANCE_INDEX </w:t>
            </w:r>
            <w:r w:rsidRPr="004D0DAA">
              <w:rPr>
                <w:lang w:eastAsia="en-US"/>
              </w:rPr>
              <w:t>: bit (4) &gt;</w:t>
            </w:r>
          </w:p>
          <w:p w14:paraId="2B456E6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 xml:space="preserve">TIMING_ADVANCE_TIMESLOT_NUMBER </w:t>
            </w:r>
            <w:r w:rsidRPr="004D0DAA">
              <w:rPr>
                <w:lang w:eastAsia="en-US"/>
              </w:rPr>
              <w:t>: bit (3) &gt; } ;</w:t>
            </w:r>
          </w:p>
        </w:tc>
      </w:tr>
    </w:tbl>
    <w:p w14:paraId="6AB4CE55" w14:textId="77777777" w:rsidR="00711444" w:rsidRPr="004D0DAA" w:rsidRDefault="00711444" w:rsidP="00711444"/>
    <w:p w14:paraId="355C8931" w14:textId="77777777" w:rsidR="00711444" w:rsidRPr="004D0DAA" w:rsidRDefault="00711444" w:rsidP="00711444">
      <w:pPr>
        <w:pStyle w:val="TH"/>
        <w:keepNext w:val="0"/>
      </w:pPr>
      <w:r w:rsidRPr="004D0DAA">
        <w:t>Table 12.12.2: Packet Timing Advance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D76EFCB" w14:textId="77777777" w:rsidTr="00AA2A4C">
        <w:tblPrEx>
          <w:tblCellMar>
            <w:top w:w="0" w:type="dxa"/>
            <w:bottom w:w="0" w:type="dxa"/>
          </w:tblCellMar>
        </w:tblPrEx>
        <w:trPr>
          <w:cantSplit/>
        </w:trPr>
        <w:tc>
          <w:tcPr>
            <w:tcW w:w="9848" w:type="dxa"/>
          </w:tcPr>
          <w:p w14:paraId="3A07EF5F" w14:textId="77777777" w:rsidR="00711444" w:rsidRPr="004D0DAA" w:rsidRDefault="00711444" w:rsidP="00AA2A4C">
            <w:pPr>
              <w:keepLines/>
              <w:rPr>
                <w:b/>
              </w:rPr>
            </w:pPr>
            <w:r w:rsidRPr="004D0DAA">
              <w:rPr>
                <w:b/>
              </w:rPr>
              <w:t>TIMING_ADVANCE_VALUE</w:t>
            </w:r>
            <w:r w:rsidRPr="004D0DAA">
              <w:t xml:space="preserve"> (6 bit field)</w:t>
            </w:r>
            <w:r w:rsidRPr="004D0DAA">
              <w:br/>
              <w:t>If the TIMING_ADVANCE_VALUE field is present, the mobile station shall use the value contained therein after time defined in 3GPP TS 45.010. If the TIMING_ADVANCE_VALUE field is not present the mobile station shall not change its timing advance value. The Timing Advance value field is encoded the same as the Timing Advance value of the Timing Advance information element defined in 3GPP TS 44.018</w:t>
            </w:r>
          </w:p>
        </w:tc>
      </w:tr>
      <w:tr w:rsidR="00711444" w:rsidRPr="004D0DAA" w14:paraId="6A46C922" w14:textId="77777777" w:rsidTr="00AA2A4C">
        <w:tblPrEx>
          <w:tblCellMar>
            <w:top w:w="0" w:type="dxa"/>
            <w:bottom w:w="0" w:type="dxa"/>
          </w:tblCellMar>
        </w:tblPrEx>
        <w:trPr>
          <w:cantSplit/>
        </w:trPr>
        <w:tc>
          <w:tcPr>
            <w:tcW w:w="9848" w:type="dxa"/>
          </w:tcPr>
          <w:p w14:paraId="36DA283F" w14:textId="77777777" w:rsidR="00711444" w:rsidRPr="004D0DAA" w:rsidRDefault="00711444" w:rsidP="00AA2A4C">
            <w:pPr>
              <w:keepLines/>
              <w:rPr>
                <w:b/>
              </w:rPr>
            </w:pPr>
            <w:r w:rsidRPr="004D0DAA">
              <w:rPr>
                <w:b/>
              </w:rPr>
              <w:lastRenderedPageBreak/>
              <w:t>TIMING_ADVANCE_INDEX</w:t>
            </w:r>
            <w:r w:rsidRPr="004D0DAA">
              <w:t xml:space="preserve"> (4 bit field)</w:t>
            </w:r>
            <w:r w:rsidRPr="004D0DAA">
              <w:br/>
              <w:t>If the TIMING_ADVANCE_INDEX and TIMING_ADVANCE_TIMESLOT_NUMBER fields are present the mobile station shall begin operation of the Continuous Timing Advance procedure at the point in time denoted by the TBF starting time if present, otherwise after the reaction time specified in 3GPP TS 45.010.. If these two fields are not present the mobile station shall stop operation of the Continuous Timing Advance procedure. This information field is encoded as a binary representation of the Timing Advance Index defined in 3GPP TS 45.002.</w:t>
            </w:r>
            <w:r w:rsidRPr="004D0DAA">
              <w:br/>
              <w:t>Range 0 to 15.</w:t>
            </w:r>
          </w:p>
        </w:tc>
      </w:tr>
      <w:tr w:rsidR="00711444" w:rsidRPr="004D0DAA" w14:paraId="489460E8" w14:textId="77777777" w:rsidTr="00AA2A4C">
        <w:tblPrEx>
          <w:tblCellMar>
            <w:top w:w="0" w:type="dxa"/>
            <w:bottom w:w="0" w:type="dxa"/>
          </w:tblCellMar>
        </w:tblPrEx>
        <w:trPr>
          <w:cantSplit/>
        </w:trPr>
        <w:tc>
          <w:tcPr>
            <w:tcW w:w="9848" w:type="dxa"/>
          </w:tcPr>
          <w:p w14:paraId="389F0BCC" w14:textId="77777777" w:rsidR="00711444" w:rsidRPr="004D0DAA" w:rsidRDefault="00711444" w:rsidP="00AA2A4C">
            <w:pPr>
              <w:keepLines/>
            </w:pPr>
            <w:r w:rsidRPr="004D0DAA">
              <w:rPr>
                <w:b/>
              </w:rPr>
              <w:t>TIMING_ADVANCE_TIMESLOT_NUMBER</w:t>
            </w:r>
            <w:r w:rsidRPr="004D0DAA">
              <w:t xml:space="preserve"> (3 bit field)</w:t>
            </w:r>
            <w:r w:rsidRPr="004D0DAA">
              <w:br/>
              <w:t>This field indicates the timeslot assigned for the Continuous Timing Advance procedure on the PTCCH. This field is coded as the binary representation of the timeslot number as defined in 3GPP TS 45.010.</w:t>
            </w:r>
            <w:r w:rsidRPr="004D0DAA">
              <w:br/>
              <w:t>Range 0 to 7</w:t>
            </w:r>
          </w:p>
        </w:tc>
      </w:tr>
    </w:tbl>
    <w:p w14:paraId="7F568F46" w14:textId="77777777" w:rsidR="00711444" w:rsidRPr="004D0DAA" w:rsidRDefault="00711444" w:rsidP="00711444"/>
    <w:p w14:paraId="36C37F52" w14:textId="77777777" w:rsidR="00711444" w:rsidRPr="004D0DAA" w:rsidRDefault="00711444" w:rsidP="00711444">
      <w:pPr>
        <w:pStyle w:val="Heading2"/>
      </w:pPr>
      <w:bookmarkStart w:id="791" w:name="_Toc516669967"/>
      <w:r w:rsidRPr="004D0DAA">
        <w:t>12.12a</w:t>
      </w:r>
      <w:r w:rsidRPr="004D0DAA">
        <w:tab/>
        <w:t>Global Packet Timing Advance</w:t>
      </w:r>
      <w:bookmarkEnd w:id="791"/>
    </w:p>
    <w:p w14:paraId="04F82F41" w14:textId="77777777" w:rsidR="00711444" w:rsidRPr="004D0DAA" w:rsidRDefault="00711444" w:rsidP="00711444">
      <w:pPr>
        <w:keepNext/>
        <w:keepLines/>
      </w:pPr>
      <w:r w:rsidRPr="004D0DAA">
        <w:t>The Global Packet Timing Advance field describes the timing advance mode and timing advance value assigned to the mobile station for uplink and/or downlink TBF.</w:t>
      </w:r>
    </w:p>
    <w:p w14:paraId="40398883" w14:textId="77777777" w:rsidR="00711444" w:rsidRPr="004D0DAA" w:rsidRDefault="00711444" w:rsidP="00711444">
      <w:pPr>
        <w:pStyle w:val="TH"/>
      </w:pPr>
      <w:r w:rsidRPr="004D0DAA">
        <w:t xml:space="preserve">Table 12.12a.1: </w:t>
      </w:r>
      <w:r w:rsidRPr="004D0DAA">
        <w:rPr>
          <w:i/>
        </w:rPr>
        <w:t>Global Packet Timing Advance</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A589EDB" w14:textId="77777777" w:rsidTr="00AA2A4C">
        <w:tblPrEx>
          <w:tblCellMar>
            <w:top w:w="0" w:type="dxa"/>
            <w:bottom w:w="0" w:type="dxa"/>
          </w:tblCellMar>
        </w:tblPrEx>
        <w:trPr>
          <w:cantSplit/>
        </w:trPr>
        <w:tc>
          <w:tcPr>
            <w:tcW w:w="9848" w:type="dxa"/>
          </w:tcPr>
          <w:p w14:paraId="7A36D065" w14:textId="77777777" w:rsidR="00711444" w:rsidRPr="004D0DAA" w:rsidRDefault="00711444" w:rsidP="00AA2A4C">
            <w:pPr>
              <w:pStyle w:val="TAL"/>
              <w:rPr>
                <w:lang w:eastAsia="en-US"/>
              </w:rPr>
            </w:pPr>
            <w:r w:rsidRPr="004D0DAA">
              <w:rPr>
                <w:lang w:eastAsia="en-US"/>
              </w:rPr>
              <w:t>&lt; Global Packet Timing Advance IE &gt; ::=</w:t>
            </w:r>
          </w:p>
          <w:p w14:paraId="23E5A57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 xml:space="preserve">TIMING_ADVANCE_VALUE </w:t>
            </w:r>
            <w:r w:rsidRPr="004D0DAA">
              <w:rPr>
                <w:lang w:eastAsia="en-US"/>
              </w:rPr>
              <w:t>: bit (6) &gt; }</w:t>
            </w:r>
          </w:p>
          <w:p w14:paraId="3C0A440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 xml:space="preserve">UPLINK_TIMING_ADVANCE_INDEX </w:t>
            </w:r>
            <w:r w:rsidRPr="004D0DAA">
              <w:rPr>
                <w:lang w:eastAsia="en-US"/>
              </w:rPr>
              <w:t>: bit (4) &gt;</w:t>
            </w:r>
          </w:p>
          <w:p w14:paraId="70E0093E"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UPLINK_TIMING_ADVANCE_TIMESLOT_NUMBER </w:t>
            </w:r>
            <w:r w:rsidRPr="004D0DAA">
              <w:rPr>
                <w:lang w:eastAsia="en-US"/>
              </w:rPr>
              <w:t>: bit (3) &gt; }</w:t>
            </w:r>
          </w:p>
          <w:p w14:paraId="5DCF8DC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 xml:space="preserve">DOWNLINK_TIMING_ADVANCE_INDEX </w:t>
            </w:r>
            <w:r w:rsidRPr="004D0DAA">
              <w:rPr>
                <w:lang w:eastAsia="en-US"/>
              </w:rPr>
              <w:t>: bit (4) &gt;</w:t>
            </w:r>
          </w:p>
          <w:p w14:paraId="7E7EE7A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 xml:space="preserve">DOWNLINK_TIMING_ADVANCE_TIMESLOT_NUMBER </w:t>
            </w:r>
            <w:r w:rsidRPr="004D0DAA">
              <w:rPr>
                <w:lang w:eastAsia="en-US"/>
              </w:rPr>
              <w:t>: bit (3) &gt; }</w:t>
            </w:r>
          </w:p>
          <w:p w14:paraId="658AD6A0" w14:textId="77777777" w:rsidR="00711444" w:rsidRPr="004D0DAA" w:rsidRDefault="00711444" w:rsidP="00AA2A4C">
            <w:pPr>
              <w:pStyle w:val="TAL"/>
              <w:rPr>
                <w:lang w:eastAsia="en-US"/>
              </w:rPr>
            </w:pPr>
          </w:p>
        </w:tc>
      </w:tr>
    </w:tbl>
    <w:p w14:paraId="54D2EC28" w14:textId="77777777" w:rsidR="00711444" w:rsidRPr="004D0DAA" w:rsidRDefault="00711444" w:rsidP="00711444"/>
    <w:p w14:paraId="3ABAA801" w14:textId="77777777" w:rsidR="00711444" w:rsidRPr="004D0DAA" w:rsidRDefault="00711444" w:rsidP="00711444">
      <w:pPr>
        <w:pStyle w:val="TH"/>
      </w:pPr>
      <w:r w:rsidRPr="004D0DAA">
        <w:t>Table 12.12a.2: Global Packet Timing Advance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BCE8DD2" w14:textId="77777777" w:rsidTr="00AA2A4C">
        <w:tblPrEx>
          <w:tblCellMar>
            <w:top w:w="0" w:type="dxa"/>
            <w:bottom w:w="0" w:type="dxa"/>
          </w:tblCellMar>
        </w:tblPrEx>
        <w:trPr>
          <w:cantSplit/>
        </w:trPr>
        <w:tc>
          <w:tcPr>
            <w:tcW w:w="9848" w:type="dxa"/>
          </w:tcPr>
          <w:p w14:paraId="25CBF04D" w14:textId="77777777" w:rsidR="00711444" w:rsidRPr="004D0DAA" w:rsidRDefault="00711444" w:rsidP="00AA2A4C">
            <w:pPr>
              <w:keepLines/>
              <w:rPr>
                <w:b/>
              </w:rPr>
            </w:pPr>
            <w:r w:rsidRPr="004D0DAA">
              <w:rPr>
                <w:b/>
              </w:rPr>
              <w:t>TIMING_ADVANCE_VALUE</w:t>
            </w:r>
            <w:r w:rsidRPr="004D0DAA">
              <w:t xml:space="preserve"> (6 bit field)</w:t>
            </w:r>
            <w:r w:rsidRPr="004D0DAA">
              <w:br/>
              <w:t>If the TIMING_ADVANCE_VALUE field is present, the mobile station shall use the value contained therein after time defined in 3GPP TS 45.010. If the TIMING_ADVANCE_VALUE field is not present the mobile station shall not change its timing advance value. The Timing Advance value field is encoded the same as the Timing Advance value of the Timing Advance information element defined in 3GPP TS 44.018</w:t>
            </w:r>
          </w:p>
        </w:tc>
      </w:tr>
      <w:tr w:rsidR="00711444" w:rsidRPr="004D0DAA" w14:paraId="105613F0" w14:textId="77777777" w:rsidTr="00AA2A4C">
        <w:tblPrEx>
          <w:tblCellMar>
            <w:top w:w="0" w:type="dxa"/>
            <w:bottom w:w="0" w:type="dxa"/>
          </w:tblCellMar>
        </w:tblPrEx>
        <w:trPr>
          <w:cantSplit/>
        </w:trPr>
        <w:tc>
          <w:tcPr>
            <w:tcW w:w="9848" w:type="dxa"/>
          </w:tcPr>
          <w:p w14:paraId="5E236E94" w14:textId="77777777" w:rsidR="00711444" w:rsidRPr="004D0DAA" w:rsidRDefault="00711444" w:rsidP="00AA2A4C">
            <w:pPr>
              <w:keepLines/>
              <w:rPr>
                <w:b/>
              </w:rPr>
            </w:pPr>
            <w:r w:rsidRPr="004D0DAA">
              <w:rPr>
                <w:b/>
              </w:rPr>
              <w:t>UPLINK_TIMING_ADVANCE_INDEX</w:t>
            </w:r>
            <w:r w:rsidRPr="004D0DAA">
              <w:t xml:space="preserve"> (4 bit field)</w:t>
            </w:r>
            <w:r w:rsidRPr="004D0DAA">
              <w:br/>
              <w:t>This field indicates the Timing Advance Index related to Uplink TBF. This information field is encoded as a binary representation of the Timing Advance Index defined in 3GPP TS 45.002.</w:t>
            </w:r>
            <w:r w:rsidRPr="004D0DAA">
              <w:br/>
              <w:t>Range 0 to 15.</w:t>
            </w:r>
          </w:p>
        </w:tc>
      </w:tr>
      <w:tr w:rsidR="00711444" w:rsidRPr="004D0DAA" w14:paraId="41305DFE" w14:textId="77777777" w:rsidTr="00AA2A4C">
        <w:tblPrEx>
          <w:tblCellMar>
            <w:top w:w="0" w:type="dxa"/>
            <w:bottom w:w="0" w:type="dxa"/>
          </w:tblCellMar>
        </w:tblPrEx>
        <w:trPr>
          <w:cantSplit/>
        </w:trPr>
        <w:tc>
          <w:tcPr>
            <w:tcW w:w="9848" w:type="dxa"/>
          </w:tcPr>
          <w:p w14:paraId="51478E71" w14:textId="77777777" w:rsidR="00711444" w:rsidRPr="004D0DAA" w:rsidRDefault="00711444" w:rsidP="00AA2A4C">
            <w:pPr>
              <w:keepLines/>
              <w:rPr>
                <w:b/>
              </w:rPr>
            </w:pPr>
            <w:r w:rsidRPr="004D0DAA">
              <w:rPr>
                <w:b/>
              </w:rPr>
              <w:t>UPLINK_TIMING_ADVANCE_TIMESLOT_NUMBER</w:t>
            </w:r>
            <w:r w:rsidRPr="004D0DAA">
              <w:t xml:space="preserve"> (3 bit field)</w:t>
            </w:r>
            <w:r w:rsidRPr="004D0DAA">
              <w:br/>
              <w:t>This field indicates the timeslot assigned for the Continuous Timing Advance procedure on the PTCCH related to Uplink TBF. This field is coded as the binary representation of the timeslot number as defined in 3GPP TS 45.010.</w:t>
            </w:r>
            <w:r w:rsidRPr="004D0DAA">
              <w:br/>
              <w:t>Range 0 to 7</w:t>
            </w:r>
          </w:p>
        </w:tc>
      </w:tr>
      <w:tr w:rsidR="00711444" w:rsidRPr="004D0DAA" w14:paraId="4FAC6B33" w14:textId="77777777" w:rsidTr="00AA2A4C">
        <w:tblPrEx>
          <w:tblCellMar>
            <w:top w:w="0" w:type="dxa"/>
            <w:bottom w:w="0" w:type="dxa"/>
          </w:tblCellMar>
        </w:tblPrEx>
        <w:trPr>
          <w:cantSplit/>
        </w:trPr>
        <w:tc>
          <w:tcPr>
            <w:tcW w:w="9848" w:type="dxa"/>
          </w:tcPr>
          <w:p w14:paraId="7792A40C" w14:textId="77777777" w:rsidR="00711444" w:rsidRPr="004D0DAA" w:rsidRDefault="00711444" w:rsidP="00AA2A4C">
            <w:pPr>
              <w:keepLines/>
              <w:rPr>
                <w:b/>
              </w:rPr>
            </w:pPr>
            <w:r w:rsidRPr="004D0DAA">
              <w:rPr>
                <w:b/>
              </w:rPr>
              <w:t>DOWNLINK_TIMING_ADVANCE_INDEX</w:t>
            </w:r>
            <w:r w:rsidRPr="004D0DAA">
              <w:t xml:space="preserve"> (4 bit field)</w:t>
            </w:r>
            <w:r w:rsidRPr="004D0DAA">
              <w:br/>
              <w:t>This field indicates the Timing Advance Index related to Downlink TBF. This information field is encoded as a binary representation of the Timing Advance Index defined in 3GPP TS 45.002.</w:t>
            </w:r>
            <w:r w:rsidRPr="004D0DAA">
              <w:br/>
              <w:t>Range 0 to 15.</w:t>
            </w:r>
          </w:p>
        </w:tc>
      </w:tr>
      <w:tr w:rsidR="00711444" w:rsidRPr="004D0DAA" w14:paraId="116CDADD" w14:textId="77777777" w:rsidTr="00AA2A4C">
        <w:tblPrEx>
          <w:tblCellMar>
            <w:top w:w="0" w:type="dxa"/>
            <w:bottom w:w="0" w:type="dxa"/>
          </w:tblCellMar>
        </w:tblPrEx>
        <w:trPr>
          <w:cantSplit/>
        </w:trPr>
        <w:tc>
          <w:tcPr>
            <w:tcW w:w="9848" w:type="dxa"/>
          </w:tcPr>
          <w:p w14:paraId="249973B2" w14:textId="77777777" w:rsidR="00711444" w:rsidRPr="004D0DAA" w:rsidRDefault="00711444" w:rsidP="00AA2A4C">
            <w:pPr>
              <w:keepNext/>
              <w:keepLines/>
            </w:pPr>
            <w:r w:rsidRPr="004D0DAA">
              <w:rPr>
                <w:b/>
              </w:rPr>
              <w:lastRenderedPageBreak/>
              <w:t>DOWNLINK_TIMING_ADVANCE_TIMESLOT_NUMBER</w:t>
            </w:r>
            <w:r w:rsidRPr="004D0DAA">
              <w:t xml:space="preserve"> (3 bit field)</w:t>
            </w:r>
            <w:r w:rsidRPr="004D0DAA">
              <w:br/>
              <w:t>This field indicates the timeslot assigned for the Continuous Timing Advance procedure on the PTCCH related to Downlink TBF. This field is coded as the binary representation of the timeslot number as defined in 3GPP TS 45.010.</w:t>
            </w:r>
            <w:r w:rsidRPr="004D0DAA">
              <w:br/>
              <w:t>Range 0 to 7</w:t>
            </w:r>
          </w:p>
          <w:p w14:paraId="2DF84A48" w14:textId="77777777" w:rsidR="00711444" w:rsidRPr="004D0DAA" w:rsidRDefault="00711444" w:rsidP="00AA2A4C">
            <w:r w:rsidRPr="004D0DAA">
              <w:t>If Timing Advance Index and Timing Advance Timeslot Number are present for any of the TBFs already existing or to be established with this message, the mobile station shall begin operation of the Continuous Timing Advance procedure at the point in time denoted by the TBF starting time if present, otherwise within the reaction time specified in 3GPP TS 45.010.</w:t>
            </w:r>
          </w:p>
          <w:p w14:paraId="29468519" w14:textId="77777777" w:rsidR="00711444" w:rsidRPr="004D0DAA" w:rsidRDefault="00711444" w:rsidP="00AA2A4C">
            <w:pPr>
              <w:keepLines/>
            </w:pPr>
            <w:r w:rsidRPr="004D0DAA">
              <w:t>If Timing Advance Index and Timing Advance Timeslot Number are not present for any of the TBFs already existing or to be established with this message, the mobile station shall stop operation of the Continuous Timing Advance procedure.</w:t>
            </w:r>
          </w:p>
        </w:tc>
      </w:tr>
    </w:tbl>
    <w:p w14:paraId="18150E67" w14:textId="77777777" w:rsidR="00711444" w:rsidRPr="004D0DAA" w:rsidRDefault="00711444" w:rsidP="00711444"/>
    <w:p w14:paraId="7AD64F25" w14:textId="77777777" w:rsidR="00711444" w:rsidRPr="004D0DAA" w:rsidRDefault="00711444" w:rsidP="00711444">
      <w:pPr>
        <w:pStyle w:val="Heading2"/>
      </w:pPr>
      <w:bookmarkStart w:id="792" w:name="_Toc516669968"/>
      <w:r w:rsidRPr="004D0DAA">
        <w:t>12.12b</w:t>
      </w:r>
      <w:r w:rsidRPr="004D0DAA">
        <w:tab/>
        <w:t>Packet Extended Timing Advance</w:t>
      </w:r>
      <w:bookmarkEnd w:id="792"/>
    </w:p>
    <w:p w14:paraId="0AA73475" w14:textId="77777777" w:rsidR="00711444" w:rsidRPr="004D0DAA" w:rsidRDefault="00711444" w:rsidP="00711444">
      <w:r w:rsidRPr="004D0DAA">
        <w:t>The Packet Extended Timing Advance field is a 2 bit field used to support Extended Timing Advance. These two bits represent the two most significant bits of the timing advance value to be applied by the mobile station. The coding of the timing advance value is defined in the Timing Advance IE defined in 3GPP TS 44.018. The mapping of the two bits of the Packet Extended Timing Advance field is defined as follows:</w:t>
      </w:r>
    </w:p>
    <w:p w14:paraId="4B942347" w14:textId="77777777" w:rsidR="00711444" w:rsidRPr="004D0DAA" w:rsidRDefault="00711444" w:rsidP="00711444">
      <w:pPr>
        <w:pStyle w:val="B1"/>
      </w:pPr>
      <w:r w:rsidRPr="004D0DAA">
        <w:t>Bit</w:t>
      </w:r>
      <w:r w:rsidRPr="004D0DAA">
        <w:rPr>
          <w:b/>
        </w:rPr>
        <w:br/>
      </w:r>
      <w:r w:rsidRPr="004D0DAA">
        <w:t>1</w:t>
      </w:r>
      <w:r w:rsidRPr="004D0DAA">
        <w:tab/>
        <w:t>bit 7 of the Timing Advance IE defined in 3GPP TS 44.018</w:t>
      </w:r>
      <w:r w:rsidRPr="004D0DAA">
        <w:rPr>
          <w:b/>
        </w:rPr>
        <w:br/>
      </w:r>
      <w:r w:rsidRPr="004D0DAA">
        <w:t>2</w:t>
      </w:r>
      <w:r w:rsidRPr="004D0DAA">
        <w:tab/>
        <w:t>bit 8 of the Timing Advance IE defined in 3GPP TS 44.018</w:t>
      </w:r>
    </w:p>
    <w:p w14:paraId="0D1A2C2B" w14:textId="77777777" w:rsidR="00711444" w:rsidRPr="004D0DAA" w:rsidRDefault="00711444" w:rsidP="00711444">
      <w:r w:rsidRPr="004D0DAA">
        <w:t>The least significant bits of a timing advance value is provided the TIMING_ADVANCE_VALUE field in either a Packet Timing Advance IE (sub-clause 12.12) or a Global Packet Timing Advance IE (sub-clause 12.12a). If the least significant bits of the timing advance value is not provided in the message, then the Packet Extended Timing Advance field shall be ignored.</w:t>
      </w:r>
    </w:p>
    <w:p w14:paraId="401D2B23" w14:textId="77777777" w:rsidR="00711444" w:rsidRPr="004D0DAA" w:rsidRDefault="00711444" w:rsidP="00711444">
      <w:pPr>
        <w:pStyle w:val="Heading2"/>
      </w:pPr>
      <w:bookmarkStart w:id="793" w:name="_Toc516669969"/>
      <w:r w:rsidRPr="004D0DAA">
        <w:t>12.13</w:t>
      </w:r>
      <w:r w:rsidRPr="004D0DAA">
        <w:tab/>
        <w:t>Power Control Parameters</w:t>
      </w:r>
      <w:bookmarkEnd w:id="793"/>
    </w:p>
    <w:p w14:paraId="3A0CBC6D" w14:textId="77777777" w:rsidR="00711444" w:rsidRPr="004D0DAA" w:rsidRDefault="00711444" w:rsidP="00711444">
      <w:pPr>
        <w:keepNext/>
        <w:keepLines/>
      </w:pPr>
      <w:r w:rsidRPr="004D0DAA">
        <w:t>The Power Control Parameters information element contains parameters the mobile station shall use to determine its TX power level.</w:t>
      </w:r>
    </w:p>
    <w:p w14:paraId="15A56BDB" w14:textId="77777777" w:rsidR="00711444" w:rsidRPr="004D0DAA" w:rsidRDefault="00711444" w:rsidP="00711444">
      <w:pPr>
        <w:pStyle w:val="TH"/>
      </w:pPr>
      <w:r w:rsidRPr="004D0DAA">
        <w:t xml:space="preserve">Table 12.13.1: </w:t>
      </w:r>
      <w:r w:rsidRPr="004D0DAA">
        <w:rPr>
          <w:i/>
        </w:rPr>
        <w:t xml:space="preserve">Power Control Parameters </w:t>
      </w:r>
      <w:r w:rsidRPr="004D0DAA">
        <w:t>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C995A82" w14:textId="77777777" w:rsidTr="00AA2A4C">
        <w:tblPrEx>
          <w:tblCellMar>
            <w:top w:w="0" w:type="dxa"/>
            <w:bottom w:w="0" w:type="dxa"/>
          </w:tblCellMar>
        </w:tblPrEx>
        <w:trPr>
          <w:cantSplit/>
        </w:trPr>
        <w:tc>
          <w:tcPr>
            <w:tcW w:w="9848" w:type="dxa"/>
          </w:tcPr>
          <w:p w14:paraId="06276443" w14:textId="77777777" w:rsidR="00711444" w:rsidRPr="004D0DAA" w:rsidRDefault="00711444" w:rsidP="00AA2A4C">
            <w:pPr>
              <w:pStyle w:val="TAL"/>
              <w:rPr>
                <w:lang w:eastAsia="en-US"/>
              </w:rPr>
            </w:pPr>
            <w:r w:rsidRPr="004D0DAA">
              <w:rPr>
                <w:lang w:eastAsia="en-US"/>
              </w:rPr>
              <w:t>&lt; Power Control Parameters IE &gt; ::=</w:t>
            </w:r>
          </w:p>
          <w:p w14:paraId="303E1E8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ALPHA </w:t>
            </w:r>
            <w:r w:rsidRPr="004D0DAA">
              <w:rPr>
                <w:lang w:eastAsia="en-US"/>
              </w:rPr>
              <w:t>: bit (4) &gt;</w:t>
            </w:r>
          </w:p>
          <w:p w14:paraId="5A26FA9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GAMMA_TN0 </w:t>
            </w:r>
            <w:r w:rsidRPr="004D0DAA">
              <w:rPr>
                <w:lang w:eastAsia="en-US"/>
              </w:rPr>
              <w:t>: bit (5) &gt; }</w:t>
            </w:r>
          </w:p>
          <w:p w14:paraId="2469286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GAMMA_TN1 </w:t>
            </w:r>
            <w:r w:rsidRPr="004D0DAA">
              <w:rPr>
                <w:lang w:eastAsia="en-US"/>
              </w:rPr>
              <w:t>: bit (5) &gt; }</w:t>
            </w:r>
          </w:p>
          <w:p w14:paraId="713F1F26"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GAMMA_TN2 </w:t>
            </w:r>
            <w:r w:rsidRPr="004D0DAA">
              <w:rPr>
                <w:lang w:eastAsia="en-US"/>
              </w:rPr>
              <w:t>: bit (5) &gt; }</w:t>
            </w:r>
          </w:p>
          <w:p w14:paraId="1D9AF60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GAMMA_TN3 </w:t>
            </w:r>
            <w:r w:rsidRPr="004D0DAA">
              <w:rPr>
                <w:lang w:eastAsia="en-US"/>
              </w:rPr>
              <w:t>: bit (5) &gt; }</w:t>
            </w:r>
          </w:p>
          <w:p w14:paraId="5CDE5DA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GAMMA_TN4 </w:t>
            </w:r>
            <w:r w:rsidRPr="004D0DAA">
              <w:rPr>
                <w:lang w:eastAsia="en-US"/>
              </w:rPr>
              <w:t>: bit (5) &gt; }</w:t>
            </w:r>
          </w:p>
          <w:p w14:paraId="59BC0FC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GAMMA_TN5 </w:t>
            </w:r>
            <w:r w:rsidRPr="004D0DAA">
              <w:rPr>
                <w:lang w:eastAsia="en-US"/>
              </w:rPr>
              <w:t>: bit (5) &gt; }</w:t>
            </w:r>
          </w:p>
          <w:p w14:paraId="1EB6615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GAMMA_TN6 </w:t>
            </w:r>
            <w:r w:rsidRPr="004D0DAA">
              <w:rPr>
                <w:lang w:eastAsia="en-US"/>
              </w:rPr>
              <w:t>: bit (5) &gt; }</w:t>
            </w:r>
          </w:p>
          <w:p w14:paraId="55C23AB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GAMMA_TN7 </w:t>
            </w:r>
            <w:r w:rsidRPr="004D0DAA">
              <w:rPr>
                <w:lang w:eastAsia="en-US"/>
              </w:rPr>
              <w:t>: bit (5) &gt; } ;</w:t>
            </w:r>
          </w:p>
          <w:p w14:paraId="1752BFEB" w14:textId="77777777" w:rsidR="00711444" w:rsidRPr="004D0DAA" w:rsidRDefault="00711444" w:rsidP="00AA2A4C">
            <w:pPr>
              <w:pStyle w:val="TAL"/>
              <w:rPr>
                <w:lang w:eastAsia="en-US"/>
              </w:rPr>
            </w:pPr>
          </w:p>
        </w:tc>
      </w:tr>
    </w:tbl>
    <w:p w14:paraId="023219A7" w14:textId="77777777" w:rsidR="00711444" w:rsidRPr="004D0DAA" w:rsidRDefault="00711444" w:rsidP="00711444"/>
    <w:p w14:paraId="570EC8C6" w14:textId="77777777" w:rsidR="00711444" w:rsidRPr="004D0DAA" w:rsidRDefault="00711444" w:rsidP="00711444">
      <w:pPr>
        <w:pStyle w:val="TH"/>
      </w:pPr>
      <w:r w:rsidRPr="004D0DAA">
        <w:lastRenderedPageBreak/>
        <w:t xml:space="preserve">Table 12.13.2: </w:t>
      </w:r>
      <w:r w:rsidRPr="004D0DAA">
        <w:rPr>
          <w:i/>
        </w:rPr>
        <w:t xml:space="preserve">Power Control Parameters </w:t>
      </w:r>
      <w:r w:rsidRPr="004D0DAA">
        <w:t>information element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22EFA8D9" w14:textId="77777777" w:rsidTr="00AA2A4C">
        <w:tblPrEx>
          <w:tblCellMar>
            <w:top w:w="0" w:type="dxa"/>
            <w:bottom w:w="0" w:type="dxa"/>
          </w:tblCellMar>
        </w:tblPrEx>
        <w:trPr>
          <w:cantSplit/>
        </w:trPr>
        <w:tc>
          <w:tcPr>
            <w:tcW w:w="9848" w:type="dxa"/>
          </w:tcPr>
          <w:p w14:paraId="6D393B1B" w14:textId="77777777" w:rsidR="00711444" w:rsidRPr="004D0DAA" w:rsidRDefault="00711444" w:rsidP="00AA2A4C">
            <w:pPr>
              <w:keepLines/>
            </w:pPr>
            <w:r w:rsidRPr="004D0DAA">
              <w:rPr>
                <w:b/>
              </w:rPr>
              <w:t>ALPHA</w:t>
            </w:r>
            <w:r w:rsidRPr="004D0DAA">
              <w:t xml:space="preserve"> (4 bit field)</w:t>
            </w:r>
            <w:r w:rsidRPr="004D0DAA">
              <w:br/>
              <w:t>For encoding and description see the Global Power Control Parameters IE.</w:t>
            </w:r>
          </w:p>
          <w:p w14:paraId="479D7039" w14:textId="77777777" w:rsidR="00711444" w:rsidRPr="004D0DAA" w:rsidRDefault="00711444" w:rsidP="00AA2A4C">
            <w:pPr>
              <w:keepNext/>
              <w:keepLines/>
            </w:pPr>
            <w:r w:rsidRPr="004D0DAA">
              <w:rPr>
                <w:b/>
              </w:rPr>
              <w:t>GAMMA_TN0</w:t>
            </w:r>
            <w:r w:rsidRPr="004D0DAA">
              <w:t xml:space="preserve"> (5 bit field)</w:t>
            </w:r>
            <w:r w:rsidRPr="004D0DAA">
              <w:br/>
            </w:r>
            <w:r w:rsidRPr="004D0DAA">
              <w:rPr>
                <w:b/>
              </w:rPr>
              <w:t>GAMMA_TN1</w:t>
            </w:r>
            <w:r w:rsidRPr="004D0DAA">
              <w:t xml:space="preserve"> (5 bit field)</w:t>
            </w:r>
            <w:r w:rsidRPr="004D0DAA">
              <w:br/>
            </w:r>
            <w:r w:rsidRPr="004D0DAA">
              <w:rPr>
                <w:b/>
              </w:rPr>
              <w:t>GAMMA_TN2</w:t>
            </w:r>
            <w:r w:rsidRPr="004D0DAA">
              <w:t xml:space="preserve"> (5 bit field)</w:t>
            </w:r>
            <w:r w:rsidRPr="004D0DAA">
              <w:br/>
            </w:r>
            <w:r w:rsidRPr="004D0DAA">
              <w:rPr>
                <w:b/>
              </w:rPr>
              <w:t>GAMMA_TN3</w:t>
            </w:r>
            <w:r w:rsidRPr="004D0DAA">
              <w:t xml:space="preserve"> (5 bit field)</w:t>
            </w:r>
            <w:r w:rsidRPr="004D0DAA">
              <w:br/>
            </w:r>
            <w:r w:rsidRPr="004D0DAA">
              <w:rPr>
                <w:b/>
              </w:rPr>
              <w:t>GAMMA_TN4</w:t>
            </w:r>
            <w:r w:rsidRPr="004D0DAA">
              <w:t xml:space="preserve"> (5 bit field)</w:t>
            </w:r>
            <w:r w:rsidRPr="004D0DAA">
              <w:br/>
            </w:r>
            <w:r w:rsidRPr="004D0DAA">
              <w:rPr>
                <w:b/>
              </w:rPr>
              <w:t>GAMMA_TN5</w:t>
            </w:r>
            <w:r w:rsidRPr="004D0DAA">
              <w:t xml:space="preserve"> (5 bit field)</w:t>
            </w:r>
            <w:r w:rsidRPr="004D0DAA">
              <w:br/>
            </w:r>
            <w:r w:rsidRPr="004D0DAA">
              <w:rPr>
                <w:b/>
              </w:rPr>
              <w:t>GAMMA_TN6</w:t>
            </w:r>
            <w:r w:rsidRPr="004D0DAA">
              <w:t xml:space="preserve"> (5 bit field)</w:t>
            </w:r>
            <w:r w:rsidRPr="004D0DAA">
              <w:br/>
            </w:r>
            <w:r w:rsidRPr="004D0DAA">
              <w:rPr>
                <w:b/>
              </w:rPr>
              <w:t>GAMMA_TN7</w:t>
            </w:r>
            <w:r w:rsidRPr="004D0DAA">
              <w:t xml:space="preserve"> (5 bit field)</w:t>
            </w:r>
            <w:r w:rsidRPr="004D0DAA">
              <w:br/>
              <w:t xml:space="preserve">The GAMMA_TN0..7 fields are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xml:space="preserve"> for MS output power control in units of 2 dB, see 3GPP TS 45.008. GAMMA_TN0 contains the gamma value for timeslot number 0, GAMMA_TN1 contains the gamma value for timeslot number 1, etc. The GAMMA_TN0..7 field is coded according to the following table:</w:t>
            </w:r>
          </w:p>
          <w:p w14:paraId="7DE70675" w14:textId="77777777" w:rsidR="00711444" w:rsidRPr="004D0DAA" w:rsidRDefault="00711444" w:rsidP="00AA2A4C">
            <w:pPr>
              <w:keepLines/>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rPr>
                <w:vertAlign w:val="subscript"/>
              </w:rPr>
              <w:t>CH</w:t>
            </w:r>
            <w:r w:rsidRPr="004D0DAA">
              <w:t> = 62 dB</w:t>
            </w:r>
          </w:p>
        </w:tc>
      </w:tr>
    </w:tbl>
    <w:p w14:paraId="5F2D4780" w14:textId="77777777" w:rsidR="00711444" w:rsidRPr="004D0DAA" w:rsidRDefault="00711444" w:rsidP="00711444">
      <w:pPr>
        <w:pStyle w:val="EW"/>
      </w:pPr>
    </w:p>
    <w:p w14:paraId="671CDBF4" w14:textId="77777777" w:rsidR="00711444" w:rsidRPr="004D0DAA" w:rsidRDefault="00711444" w:rsidP="00711444">
      <w:pPr>
        <w:pStyle w:val="Heading2"/>
      </w:pPr>
      <w:bookmarkStart w:id="794" w:name="_Toc516669970"/>
      <w:r w:rsidRPr="004D0DAA">
        <w:t>12.14</w:t>
      </w:r>
      <w:r w:rsidRPr="004D0DAA">
        <w:tab/>
        <w:t>PRACH Control Parameters</w:t>
      </w:r>
      <w:bookmarkEnd w:id="794"/>
    </w:p>
    <w:p w14:paraId="592F1367" w14:textId="77777777" w:rsidR="00711444" w:rsidRPr="004D0DAA" w:rsidRDefault="00711444" w:rsidP="00711444">
      <w:pPr>
        <w:keepNext/>
        <w:keepLines/>
      </w:pPr>
      <w:r w:rsidRPr="004D0DAA">
        <w:t>The purpose of the PRACH Control Parameters information element is to provide parameters used to control the PRACH utilization.</w:t>
      </w:r>
    </w:p>
    <w:p w14:paraId="7E08489B" w14:textId="77777777" w:rsidR="00711444" w:rsidRPr="004D0DAA" w:rsidRDefault="00711444" w:rsidP="00711444">
      <w:pPr>
        <w:pStyle w:val="TH"/>
      </w:pPr>
      <w:r w:rsidRPr="004D0DAA">
        <w:t xml:space="preserve">Table 12.14.1: </w:t>
      </w:r>
      <w:r w:rsidRPr="004D0DAA">
        <w:rPr>
          <w:i/>
        </w:rPr>
        <w:t>PRACH Control Parameters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B5166B4" w14:textId="77777777" w:rsidTr="00AA2A4C">
        <w:tblPrEx>
          <w:tblCellMar>
            <w:top w:w="0" w:type="dxa"/>
            <w:bottom w:w="0" w:type="dxa"/>
          </w:tblCellMar>
        </w:tblPrEx>
        <w:trPr>
          <w:cantSplit/>
        </w:trPr>
        <w:tc>
          <w:tcPr>
            <w:tcW w:w="9848" w:type="dxa"/>
          </w:tcPr>
          <w:p w14:paraId="1ED65B9F" w14:textId="77777777" w:rsidR="00711444" w:rsidRPr="004D0DAA" w:rsidRDefault="00711444" w:rsidP="00AA2A4C">
            <w:pPr>
              <w:pStyle w:val="TAL"/>
              <w:rPr>
                <w:lang w:eastAsia="en-US"/>
              </w:rPr>
            </w:pPr>
            <w:r w:rsidRPr="004D0DAA">
              <w:rPr>
                <w:lang w:eastAsia="en-US"/>
              </w:rPr>
              <w:t>&lt; PRACH Control Parameters IE &gt; ::=</w:t>
            </w:r>
          </w:p>
          <w:p w14:paraId="2085993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ACC_CONTR_CLASS</w:t>
            </w:r>
            <w:r w:rsidRPr="004D0DAA">
              <w:rPr>
                <w:lang w:eastAsia="en-US"/>
              </w:rPr>
              <w:t xml:space="preserve"> : bit (16) &gt;</w:t>
            </w:r>
          </w:p>
          <w:p w14:paraId="40546EA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MAX_RETRANS</w:t>
            </w:r>
            <w:r w:rsidRPr="004D0DAA">
              <w:rPr>
                <w:lang w:eastAsia="en-US"/>
              </w:rPr>
              <w:t xml:space="preserve"> : bit (2) &gt; * 4</w:t>
            </w:r>
          </w:p>
          <w:p w14:paraId="0226176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w:t>
            </w:r>
            <w:r w:rsidRPr="004D0DAA">
              <w:rPr>
                <w:lang w:eastAsia="en-US"/>
              </w:rPr>
              <w:t xml:space="preserve"> : bit (4) &gt;</w:t>
            </w:r>
          </w:p>
          <w:p w14:paraId="0A5C5AE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TX_INT</w:t>
            </w:r>
            <w:r w:rsidRPr="004D0DAA">
              <w:rPr>
                <w:lang w:eastAsia="en-US"/>
              </w:rPr>
              <w:t xml:space="preserve"> : bit (4) &gt;</w:t>
            </w:r>
          </w:p>
          <w:p w14:paraId="14182844"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PERSISTENCE_LEVEL</w:t>
            </w:r>
            <w:r w:rsidRPr="004D0DAA">
              <w:rPr>
                <w:lang w:eastAsia="en-US"/>
              </w:rPr>
              <w:t xml:space="preserve"> : bit (4) &gt; * 4 } ;</w:t>
            </w:r>
          </w:p>
          <w:p w14:paraId="7DCD62BA" w14:textId="77777777" w:rsidR="00711444" w:rsidRPr="004D0DAA" w:rsidRDefault="00711444" w:rsidP="00AA2A4C">
            <w:pPr>
              <w:pStyle w:val="TAL"/>
              <w:rPr>
                <w:lang w:eastAsia="en-US"/>
              </w:rPr>
            </w:pPr>
          </w:p>
        </w:tc>
      </w:tr>
    </w:tbl>
    <w:p w14:paraId="0CDDE3A1" w14:textId="77777777" w:rsidR="00711444" w:rsidRPr="004D0DAA" w:rsidRDefault="00711444" w:rsidP="00711444"/>
    <w:p w14:paraId="377261F8" w14:textId="77777777" w:rsidR="00711444" w:rsidRPr="004D0DAA" w:rsidRDefault="00711444" w:rsidP="00711444">
      <w:pPr>
        <w:pStyle w:val="TH"/>
      </w:pPr>
      <w:r w:rsidRPr="004D0DAA">
        <w:lastRenderedPageBreak/>
        <w:t xml:space="preserve">Table 12.14.2: </w:t>
      </w:r>
      <w:r w:rsidRPr="004D0DAA">
        <w:rPr>
          <w:i/>
        </w:rPr>
        <w:t>PRACH Control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812D8AD" w14:textId="77777777" w:rsidTr="00AA2A4C">
        <w:tblPrEx>
          <w:tblCellMar>
            <w:top w:w="0" w:type="dxa"/>
            <w:bottom w:w="0" w:type="dxa"/>
          </w:tblCellMar>
        </w:tblPrEx>
        <w:trPr>
          <w:cantSplit/>
        </w:trPr>
        <w:tc>
          <w:tcPr>
            <w:tcW w:w="9848" w:type="dxa"/>
          </w:tcPr>
          <w:p w14:paraId="3A252FB3" w14:textId="77777777" w:rsidR="00711444" w:rsidRPr="004D0DAA" w:rsidRDefault="00711444" w:rsidP="00AA2A4C">
            <w:pPr>
              <w:keepNext/>
              <w:keepLines/>
            </w:pPr>
            <w:r w:rsidRPr="004D0DAA">
              <w:rPr>
                <w:b/>
              </w:rPr>
              <w:t>TX_INT</w:t>
            </w:r>
            <w:r w:rsidRPr="004D0DAA">
              <w:t xml:space="preserve"> (4 bit field)</w:t>
            </w:r>
            <w:r w:rsidRPr="004D0DAA">
              <w:br/>
              <w:t>Number of slots to spread transmission of the random access. The field is coded according to the following table:</w:t>
            </w:r>
          </w:p>
          <w:p w14:paraId="3FA3C03E" w14:textId="77777777" w:rsidR="00711444" w:rsidRPr="004D0DAA" w:rsidRDefault="00711444" w:rsidP="00AA2A4C">
            <w:pPr>
              <w:keepNext/>
              <w:keepLines/>
              <w:tabs>
                <w:tab w:val="left" w:pos="993"/>
              </w:tabs>
              <w:rPr>
                <w:b/>
              </w:rPr>
            </w:pPr>
            <w:r w:rsidRPr="004D0DAA">
              <w:t>bit</w:t>
            </w:r>
            <w:r w:rsidRPr="004D0DAA">
              <w:br/>
              <w:t>4 3 2 1</w:t>
            </w:r>
            <w:r w:rsidRPr="004D0DAA">
              <w:br/>
              <w:t>0 0 0 0</w:t>
            </w:r>
            <w:r w:rsidRPr="004D0DAA">
              <w:tab/>
              <w:t>2slots used to spread transmission</w:t>
            </w:r>
            <w:r w:rsidRPr="004D0DAA">
              <w:br/>
              <w:t>0 0 0 1</w:t>
            </w:r>
            <w:r w:rsidRPr="004D0DAA">
              <w:tab/>
              <w:t>3 slots used to spread transmission</w:t>
            </w:r>
            <w:r w:rsidRPr="004D0DAA">
              <w:br/>
              <w:t>0 0 1 0</w:t>
            </w:r>
            <w:r w:rsidRPr="004D0DAA">
              <w:tab/>
              <w:t>4 slots used to spread transmission</w:t>
            </w:r>
            <w:r w:rsidRPr="004D0DAA">
              <w:br/>
              <w:t>0 0 1 1</w:t>
            </w:r>
            <w:r w:rsidRPr="004D0DAA">
              <w:tab/>
              <w:t>5 slots used to spread transmission</w:t>
            </w:r>
            <w:r w:rsidRPr="004D0DAA">
              <w:br/>
              <w:t>0 1 0 0</w:t>
            </w:r>
            <w:r w:rsidRPr="004D0DAA">
              <w:tab/>
              <w:t>6 slots used to spread transmission</w:t>
            </w:r>
            <w:r w:rsidRPr="004D0DAA">
              <w:br/>
              <w:t>0 1 0 1</w:t>
            </w:r>
            <w:r w:rsidRPr="004D0DAA">
              <w:tab/>
              <w:t>7 slots used to spread transmission</w:t>
            </w:r>
            <w:r w:rsidRPr="004D0DAA">
              <w:br/>
              <w:t>0 1 1 0</w:t>
            </w:r>
            <w:r w:rsidRPr="004D0DAA">
              <w:tab/>
              <w:t>8 slots used to spread transmission</w:t>
            </w:r>
            <w:r w:rsidRPr="004D0DAA">
              <w:br/>
              <w:t>0 1 1 1</w:t>
            </w:r>
            <w:r w:rsidRPr="004D0DAA">
              <w:tab/>
              <w:t>9 slots used to spread transmission</w:t>
            </w:r>
            <w:r w:rsidRPr="004D0DAA">
              <w:br/>
              <w:t>1 0 0 0</w:t>
            </w:r>
            <w:r w:rsidRPr="004D0DAA">
              <w:tab/>
              <w:t>10 slots used to spread transmission</w:t>
            </w:r>
            <w:r w:rsidRPr="004D0DAA">
              <w:br/>
              <w:t>1 0 0 1</w:t>
            </w:r>
            <w:r w:rsidRPr="004D0DAA">
              <w:tab/>
              <w:t>12 slots used to spread transmission</w:t>
            </w:r>
            <w:r w:rsidRPr="004D0DAA">
              <w:br/>
              <w:t>1 0 1 0</w:t>
            </w:r>
            <w:r w:rsidRPr="004D0DAA">
              <w:tab/>
              <w:t>14 slots used to spread transmission</w:t>
            </w:r>
            <w:r w:rsidRPr="004D0DAA">
              <w:br/>
              <w:t>1 0 1 1</w:t>
            </w:r>
            <w:r w:rsidRPr="004D0DAA">
              <w:tab/>
              <w:t>16 slots used to spread transmission</w:t>
            </w:r>
            <w:r w:rsidRPr="004D0DAA">
              <w:br/>
              <w:t>1 1 0 0</w:t>
            </w:r>
            <w:r w:rsidRPr="004D0DAA">
              <w:tab/>
              <w:t>20 slots used to spread transmission</w:t>
            </w:r>
            <w:r w:rsidRPr="004D0DAA">
              <w:br/>
              <w:t>1 1 0 1</w:t>
            </w:r>
            <w:r w:rsidRPr="004D0DAA">
              <w:tab/>
              <w:t>25 slots used to spread transmission</w:t>
            </w:r>
            <w:r w:rsidRPr="004D0DAA">
              <w:br/>
              <w:t>1 1 1 0</w:t>
            </w:r>
            <w:r w:rsidRPr="004D0DAA">
              <w:tab/>
              <w:t>32 slots used to spread transmission</w:t>
            </w:r>
            <w:r w:rsidRPr="004D0DAA">
              <w:br/>
              <w:t>1 1 1 1</w:t>
            </w:r>
            <w:r w:rsidRPr="004D0DAA">
              <w:tab/>
              <w:t>50 slots used to spread transmission</w:t>
            </w:r>
          </w:p>
        </w:tc>
      </w:tr>
      <w:tr w:rsidR="00711444" w:rsidRPr="004D0DAA" w14:paraId="531A79C9" w14:textId="77777777" w:rsidTr="00AA2A4C">
        <w:tblPrEx>
          <w:tblCellMar>
            <w:top w:w="0" w:type="dxa"/>
            <w:bottom w:w="0" w:type="dxa"/>
          </w:tblCellMar>
        </w:tblPrEx>
        <w:trPr>
          <w:cantSplit/>
        </w:trPr>
        <w:tc>
          <w:tcPr>
            <w:tcW w:w="9848" w:type="dxa"/>
          </w:tcPr>
          <w:p w14:paraId="560F29A1" w14:textId="77777777" w:rsidR="00711444" w:rsidRPr="004D0DAA" w:rsidRDefault="00711444" w:rsidP="00AA2A4C">
            <w:pPr>
              <w:keepLines/>
            </w:pPr>
            <w:r w:rsidRPr="004D0DAA">
              <w:rPr>
                <w:b/>
              </w:rPr>
              <w:t>S</w:t>
            </w:r>
            <w:r w:rsidRPr="004D0DAA">
              <w:t xml:space="preserve"> (4 bit field)</w:t>
            </w:r>
            <w:r w:rsidRPr="004D0DAA">
              <w:br/>
              <w:t>S is a parameter used for calculation of the minimum number of slots between two successive Channel request messages. The field is coded according to the following table:</w:t>
            </w:r>
          </w:p>
          <w:p w14:paraId="1EBCFBF4" w14:textId="77777777" w:rsidR="00711444" w:rsidRPr="004D0DAA" w:rsidRDefault="00711444" w:rsidP="00AA2A4C">
            <w:pPr>
              <w:keepLines/>
              <w:tabs>
                <w:tab w:val="left" w:pos="993"/>
              </w:tabs>
              <w:rPr>
                <w:b/>
              </w:rPr>
            </w:pPr>
            <w:r w:rsidRPr="004D0DAA">
              <w:t>bit</w:t>
            </w:r>
            <w:r w:rsidRPr="004D0DAA">
              <w:br/>
              <w:t>4 3 2 1</w:t>
            </w:r>
            <w:r w:rsidRPr="004D0DAA">
              <w:br/>
              <w:t>0 0 0 0</w:t>
            </w:r>
            <w:r w:rsidRPr="004D0DAA">
              <w:tab/>
              <w:t>S = 12</w:t>
            </w:r>
            <w:r w:rsidRPr="004D0DAA">
              <w:br/>
              <w:t>0 0 0 1</w:t>
            </w:r>
            <w:r w:rsidRPr="004D0DAA">
              <w:tab/>
              <w:t>S = 15</w:t>
            </w:r>
            <w:r w:rsidRPr="004D0DAA">
              <w:br/>
              <w:t>0 0 1 0</w:t>
            </w:r>
            <w:r w:rsidRPr="004D0DAA">
              <w:tab/>
              <w:t>S = 20</w:t>
            </w:r>
            <w:r w:rsidRPr="004D0DAA">
              <w:br/>
              <w:t>0 0 1 1</w:t>
            </w:r>
            <w:r w:rsidRPr="004D0DAA">
              <w:tab/>
              <w:t>S = 30</w:t>
            </w:r>
            <w:r w:rsidRPr="004D0DAA">
              <w:br/>
              <w:t>0 1 0 0</w:t>
            </w:r>
            <w:r w:rsidRPr="004D0DAA">
              <w:tab/>
              <w:t>S = 41</w:t>
            </w:r>
            <w:r w:rsidRPr="004D0DAA">
              <w:br/>
              <w:t>0 1 0 1</w:t>
            </w:r>
            <w:r w:rsidRPr="004D0DAA">
              <w:tab/>
              <w:t>S = 55</w:t>
            </w:r>
            <w:r w:rsidRPr="004D0DAA">
              <w:br/>
              <w:t>0 1 1 0</w:t>
            </w:r>
            <w:r w:rsidRPr="004D0DAA">
              <w:tab/>
              <w:t>S = 76</w:t>
            </w:r>
            <w:r w:rsidRPr="004D0DAA">
              <w:br/>
              <w:t>0 1 1 1</w:t>
            </w:r>
            <w:r w:rsidRPr="004D0DAA">
              <w:tab/>
              <w:t>S = 109</w:t>
            </w:r>
            <w:r w:rsidRPr="004D0DAA">
              <w:br/>
              <w:t>1 0 0 0</w:t>
            </w:r>
            <w:r w:rsidRPr="004D0DAA">
              <w:tab/>
              <w:t>S = 163</w:t>
            </w:r>
            <w:r w:rsidRPr="004D0DAA">
              <w:br/>
              <w:t>1 0 0 1</w:t>
            </w:r>
            <w:r w:rsidRPr="004D0DAA">
              <w:tab/>
              <w:t>S = 217</w:t>
            </w:r>
            <w:r w:rsidRPr="004D0DAA">
              <w:br/>
              <w:t>All other values reserved.</w:t>
            </w:r>
          </w:p>
        </w:tc>
      </w:tr>
      <w:tr w:rsidR="00711444" w:rsidRPr="004D0DAA" w14:paraId="0EE2CD3C" w14:textId="77777777" w:rsidTr="00AA2A4C">
        <w:tblPrEx>
          <w:tblCellMar>
            <w:top w:w="0" w:type="dxa"/>
            <w:bottom w:w="0" w:type="dxa"/>
          </w:tblCellMar>
        </w:tblPrEx>
        <w:trPr>
          <w:cantSplit/>
        </w:trPr>
        <w:tc>
          <w:tcPr>
            <w:tcW w:w="9848" w:type="dxa"/>
          </w:tcPr>
          <w:p w14:paraId="39BEEC10" w14:textId="77777777" w:rsidR="00711444" w:rsidRPr="004D0DAA" w:rsidRDefault="00711444" w:rsidP="00AA2A4C">
            <w:pPr>
              <w:keepNext/>
              <w:keepLines/>
            </w:pPr>
            <w:r w:rsidRPr="004D0DAA">
              <w:rPr>
                <w:b/>
              </w:rPr>
              <w:lastRenderedPageBreak/>
              <w:t>MAX_RETRANS</w:t>
            </w:r>
            <w:r w:rsidRPr="004D0DAA">
              <w:t xml:space="preserve"> (2 bit field for each Radio Priority 1..4)</w:t>
            </w:r>
            <w:r w:rsidRPr="004D0DAA">
              <w:br/>
              <w:t>Indicates for each Radio Priority level 1 to 4 the maximum number of retransmissions allowed. Radio Priority 1 represents the highest priority. The field is coded with two bits per Radio Priority level according to the following table where the first two bits refer to Radio Priority 1, the second two bits to Radio Priority 2, etc.:</w:t>
            </w:r>
          </w:p>
          <w:p w14:paraId="6C72E5B2" w14:textId="77777777" w:rsidR="00711444" w:rsidRPr="004D0DAA" w:rsidRDefault="00711444" w:rsidP="00AA2A4C">
            <w:pPr>
              <w:keepLines/>
              <w:tabs>
                <w:tab w:val="left" w:pos="993"/>
              </w:tabs>
              <w:rPr>
                <w:b/>
              </w:rPr>
            </w:pPr>
            <w:r w:rsidRPr="004D0DAA">
              <w:t>bit</w:t>
            </w:r>
            <w:r w:rsidRPr="004D0DAA">
              <w:br/>
              <w:t>2 1</w:t>
            </w:r>
            <w:r w:rsidRPr="004D0DAA">
              <w:br/>
              <w:t>0 0</w:t>
            </w:r>
            <w:r w:rsidRPr="004D0DAA">
              <w:tab/>
              <w:t>1 retransmission allowed</w:t>
            </w:r>
            <w:r w:rsidRPr="004D0DAA">
              <w:br/>
              <w:t>0 1</w:t>
            </w:r>
            <w:r w:rsidRPr="004D0DAA">
              <w:tab/>
              <w:t>2 retransmissions allowed</w:t>
            </w:r>
            <w:r w:rsidRPr="004D0DAA">
              <w:br/>
              <w:t>1 0</w:t>
            </w:r>
            <w:r w:rsidRPr="004D0DAA">
              <w:tab/>
              <w:t>4 retransmissions allowed</w:t>
            </w:r>
            <w:r w:rsidRPr="004D0DAA">
              <w:br/>
              <w:t>1 1</w:t>
            </w:r>
            <w:r w:rsidRPr="004D0DAA">
              <w:tab/>
              <w:t>7 retransmissions allowed</w:t>
            </w:r>
          </w:p>
        </w:tc>
      </w:tr>
      <w:tr w:rsidR="00711444" w:rsidRPr="004D0DAA" w14:paraId="3603DDD0" w14:textId="77777777" w:rsidTr="00AA2A4C">
        <w:tblPrEx>
          <w:tblCellMar>
            <w:top w:w="0" w:type="dxa"/>
            <w:bottom w:w="0" w:type="dxa"/>
          </w:tblCellMar>
        </w:tblPrEx>
        <w:trPr>
          <w:cantSplit/>
        </w:trPr>
        <w:tc>
          <w:tcPr>
            <w:tcW w:w="9848" w:type="dxa"/>
          </w:tcPr>
          <w:p w14:paraId="2DE83C1B" w14:textId="77777777" w:rsidR="00711444" w:rsidRPr="004D0DAA" w:rsidRDefault="00711444" w:rsidP="00AA2A4C">
            <w:pPr>
              <w:keepNext/>
              <w:keepLines/>
            </w:pPr>
            <w:r w:rsidRPr="004D0DAA">
              <w:rPr>
                <w:b/>
              </w:rPr>
              <w:t>PERSISTENCE_LEVEL</w:t>
            </w:r>
            <w:r w:rsidRPr="004D0DAA">
              <w:t xml:space="preserve"> (4 bit field for each Radio Priority 1..4)</w:t>
            </w:r>
            <w:r w:rsidRPr="004D0DAA">
              <w:br/>
              <w:t>The PERISTENCE_LEVEL field indicates the values of the access persistence level P(i) for each Radio Priority i (i = 1..4) where Radio Priority 1 represents the highest Radio Priority of an LLC PDU to be transmitted.</w:t>
            </w:r>
          </w:p>
          <w:p w14:paraId="4156B252" w14:textId="77777777" w:rsidR="00711444" w:rsidRPr="004D0DAA" w:rsidRDefault="00711444" w:rsidP="00AA2A4C">
            <w:pPr>
              <w:keepNext/>
              <w:keepLines/>
              <w:tabs>
                <w:tab w:val="left" w:pos="993"/>
              </w:tabs>
              <w:rPr>
                <w:b/>
              </w:rPr>
            </w:pPr>
            <w:r w:rsidRPr="004D0DAA">
              <w:t>bits</w:t>
            </w:r>
            <w:r w:rsidRPr="004D0DAA">
              <w:br/>
              <w:t>4 3 2 1</w:t>
            </w:r>
            <w:r w:rsidRPr="004D0DAA">
              <w:br/>
              <w:t>0 0 0 0</w:t>
            </w:r>
            <w:r w:rsidRPr="004D0DAA">
              <w:tab/>
              <w:t>persistence level 0</w:t>
            </w:r>
            <w:r w:rsidRPr="004D0DAA">
              <w:br/>
              <w:t>0 0 0 1</w:t>
            </w:r>
            <w:r w:rsidRPr="004D0DAA">
              <w:tab/>
              <w:t>persistence level 1</w:t>
            </w:r>
            <w:r w:rsidRPr="004D0DAA">
              <w:br/>
              <w:t>0 0 1 0</w:t>
            </w:r>
            <w:r w:rsidRPr="004D0DAA">
              <w:tab/>
              <w:t>persistence level 2</w:t>
            </w:r>
            <w:r w:rsidRPr="004D0DAA">
              <w:br/>
              <w:t>0 0 1 1</w:t>
            </w:r>
            <w:r w:rsidRPr="004D0DAA">
              <w:tab/>
              <w:t>persistence level 3</w:t>
            </w:r>
            <w:r w:rsidRPr="004D0DAA">
              <w:br/>
              <w:t>0 1</w:t>
            </w:r>
            <w:r w:rsidRPr="004D0DAA">
              <w:rPr>
                <w:rFonts w:hint="eastAsia"/>
                <w:lang w:eastAsia="ko-KR"/>
              </w:rPr>
              <w:t xml:space="preserve"> </w:t>
            </w:r>
            <w:r w:rsidRPr="004D0DAA">
              <w:t>0</w:t>
            </w:r>
            <w:r w:rsidRPr="004D0DAA">
              <w:rPr>
                <w:rFonts w:hint="eastAsia"/>
                <w:lang w:eastAsia="ko-KR"/>
              </w:rPr>
              <w:t xml:space="preserve"> </w:t>
            </w:r>
            <w:r w:rsidRPr="004D0DAA">
              <w:t>0</w:t>
            </w:r>
            <w:r w:rsidRPr="004D0DAA">
              <w:tab/>
              <w:t>persistence level 4</w:t>
            </w:r>
            <w:r w:rsidRPr="004D0DAA">
              <w:br/>
              <w:t>: : :</w:t>
            </w:r>
            <w:r w:rsidRPr="004D0DAA">
              <w:br/>
              <w:t>1 1 1 0</w:t>
            </w:r>
            <w:r w:rsidRPr="004D0DAA">
              <w:tab/>
              <w:t>persistence level 14</w:t>
            </w:r>
            <w:r w:rsidRPr="004D0DAA">
              <w:br/>
              <w:t>1 1 1 1</w:t>
            </w:r>
            <w:r w:rsidRPr="004D0DAA">
              <w:tab/>
              <w:t>persistence level 16</w:t>
            </w:r>
          </w:p>
        </w:tc>
      </w:tr>
      <w:tr w:rsidR="00711444" w:rsidRPr="004D0DAA" w14:paraId="6C1A4893" w14:textId="77777777" w:rsidTr="00AA2A4C">
        <w:tblPrEx>
          <w:tblCellMar>
            <w:top w:w="0" w:type="dxa"/>
            <w:bottom w:w="0" w:type="dxa"/>
          </w:tblCellMar>
        </w:tblPrEx>
        <w:trPr>
          <w:cantSplit/>
        </w:trPr>
        <w:tc>
          <w:tcPr>
            <w:tcW w:w="9848" w:type="dxa"/>
          </w:tcPr>
          <w:p w14:paraId="4D614F3A" w14:textId="77777777" w:rsidR="00711444" w:rsidRPr="004D0DAA" w:rsidRDefault="00711444" w:rsidP="00AA2A4C">
            <w:pPr>
              <w:keepNext/>
              <w:keepLines/>
            </w:pPr>
            <w:r w:rsidRPr="004D0DAA">
              <w:rPr>
                <w:b/>
              </w:rPr>
              <w:t>ACC_CONTR_CLASS</w:t>
            </w:r>
            <w:r w:rsidRPr="004D0DAA">
              <w:t xml:space="preserve"> ( 16 bit field)</w:t>
            </w:r>
            <w:r w:rsidRPr="004D0DAA">
              <w:br/>
              <w:t>Access Control Class N (bit 1-16) (see octet 3 and 4 of the RACH Control Parameters IE in 3GPP TS 44.018) . For a mobile station with Access Control Class =N access is not barred if the Access Control Class N bit is coded with a '0'; N = 0, 1,....9, 11,...,15. Bit 11= the EC bit is the Emergency Call Allowed coded as specified in 3GPP TS 44.018.</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510"/>
              <w:gridCol w:w="510"/>
              <w:gridCol w:w="510"/>
              <w:gridCol w:w="510"/>
              <w:gridCol w:w="510"/>
              <w:gridCol w:w="510"/>
              <w:gridCol w:w="510"/>
              <w:gridCol w:w="510"/>
              <w:gridCol w:w="510"/>
              <w:gridCol w:w="510"/>
              <w:gridCol w:w="510"/>
              <w:gridCol w:w="510"/>
              <w:gridCol w:w="510"/>
              <w:gridCol w:w="510"/>
              <w:gridCol w:w="510"/>
              <w:gridCol w:w="510"/>
            </w:tblGrid>
            <w:tr w:rsidR="00711444" w:rsidRPr="004D0DAA" w14:paraId="05262950" w14:textId="77777777" w:rsidTr="00AA2A4C">
              <w:tblPrEx>
                <w:tblCellMar>
                  <w:top w:w="0" w:type="dxa"/>
                  <w:bottom w:w="0" w:type="dxa"/>
                </w:tblCellMar>
              </w:tblPrEx>
              <w:tc>
                <w:tcPr>
                  <w:tcW w:w="1134" w:type="dxa"/>
                </w:tcPr>
                <w:p w14:paraId="292935AB" w14:textId="77777777" w:rsidR="00711444" w:rsidRPr="004D0DAA" w:rsidRDefault="00711444" w:rsidP="00AA2A4C">
                  <w:pPr>
                    <w:pStyle w:val="TAC"/>
                    <w:rPr>
                      <w:lang w:eastAsia="en-US"/>
                    </w:rPr>
                  </w:pPr>
                  <w:r w:rsidRPr="004D0DAA">
                    <w:rPr>
                      <w:lang w:eastAsia="en-US"/>
                    </w:rPr>
                    <w:t>Bits:</w:t>
                  </w:r>
                </w:p>
              </w:tc>
              <w:tc>
                <w:tcPr>
                  <w:tcW w:w="510" w:type="dxa"/>
                </w:tcPr>
                <w:p w14:paraId="2CFCB38B" w14:textId="77777777" w:rsidR="00711444" w:rsidRPr="004D0DAA" w:rsidRDefault="00711444" w:rsidP="00AA2A4C">
                  <w:pPr>
                    <w:pStyle w:val="TAC"/>
                    <w:rPr>
                      <w:lang w:eastAsia="en-US"/>
                    </w:rPr>
                  </w:pPr>
                  <w:r w:rsidRPr="004D0DAA">
                    <w:rPr>
                      <w:lang w:eastAsia="en-US"/>
                    </w:rPr>
                    <w:t>16</w:t>
                  </w:r>
                </w:p>
              </w:tc>
              <w:tc>
                <w:tcPr>
                  <w:tcW w:w="510" w:type="dxa"/>
                </w:tcPr>
                <w:p w14:paraId="7580ADD7" w14:textId="77777777" w:rsidR="00711444" w:rsidRPr="004D0DAA" w:rsidRDefault="00711444" w:rsidP="00AA2A4C">
                  <w:pPr>
                    <w:pStyle w:val="TAC"/>
                    <w:rPr>
                      <w:lang w:eastAsia="en-US"/>
                    </w:rPr>
                  </w:pPr>
                  <w:r w:rsidRPr="004D0DAA">
                    <w:rPr>
                      <w:lang w:eastAsia="en-US"/>
                    </w:rPr>
                    <w:t>15</w:t>
                  </w:r>
                </w:p>
              </w:tc>
              <w:tc>
                <w:tcPr>
                  <w:tcW w:w="510" w:type="dxa"/>
                </w:tcPr>
                <w:p w14:paraId="649A02D8" w14:textId="77777777" w:rsidR="00711444" w:rsidRPr="004D0DAA" w:rsidRDefault="00711444" w:rsidP="00AA2A4C">
                  <w:pPr>
                    <w:pStyle w:val="TAC"/>
                    <w:rPr>
                      <w:lang w:eastAsia="en-US"/>
                    </w:rPr>
                  </w:pPr>
                  <w:r w:rsidRPr="004D0DAA">
                    <w:rPr>
                      <w:lang w:eastAsia="en-US"/>
                    </w:rPr>
                    <w:t>14</w:t>
                  </w:r>
                </w:p>
              </w:tc>
              <w:tc>
                <w:tcPr>
                  <w:tcW w:w="510" w:type="dxa"/>
                </w:tcPr>
                <w:p w14:paraId="036C0E7C" w14:textId="77777777" w:rsidR="00711444" w:rsidRPr="004D0DAA" w:rsidRDefault="00711444" w:rsidP="00AA2A4C">
                  <w:pPr>
                    <w:pStyle w:val="TAC"/>
                    <w:rPr>
                      <w:lang w:eastAsia="en-US"/>
                    </w:rPr>
                  </w:pPr>
                  <w:r w:rsidRPr="004D0DAA">
                    <w:rPr>
                      <w:lang w:eastAsia="en-US"/>
                    </w:rPr>
                    <w:t>13</w:t>
                  </w:r>
                </w:p>
              </w:tc>
              <w:tc>
                <w:tcPr>
                  <w:tcW w:w="510" w:type="dxa"/>
                </w:tcPr>
                <w:p w14:paraId="637461BE" w14:textId="77777777" w:rsidR="00711444" w:rsidRPr="004D0DAA" w:rsidRDefault="00711444" w:rsidP="00AA2A4C">
                  <w:pPr>
                    <w:pStyle w:val="TAC"/>
                    <w:rPr>
                      <w:lang w:eastAsia="en-US"/>
                    </w:rPr>
                  </w:pPr>
                  <w:r w:rsidRPr="004D0DAA">
                    <w:rPr>
                      <w:lang w:eastAsia="en-US"/>
                    </w:rPr>
                    <w:t>12</w:t>
                  </w:r>
                </w:p>
              </w:tc>
              <w:tc>
                <w:tcPr>
                  <w:tcW w:w="510" w:type="dxa"/>
                </w:tcPr>
                <w:p w14:paraId="02D6A6CB" w14:textId="77777777" w:rsidR="00711444" w:rsidRPr="004D0DAA" w:rsidRDefault="00711444" w:rsidP="00AA2A4C">
                  <w:pPr>
                    <w:pStyle w:val="TAC"/>
                    <w:rPr>
                      <w:lang w:eastAsia="en-US"/>
                    </w:rPr>
                  </w:pPr>
                  <w:r w:rsidRPr="004D0DAA">
                    <w:rPr>
                      <w:lang w:eastAsia="en-US"/>
                    </w:rPr>
                    <w:t>11</w:t>
                  </w:r>
                </w:p>
              </w:tc>
              <w:tc>
                <w:tcPr>
                  <w:tcW w:w="510" w:type="dxa"/>
                </w:tcPr>
                <w:p w14:paraId="7FC97B61" w14:textId="77777777" w:rsidR="00711444" w:rsidRPr="004D0DAA" w:rsidRDefault="00711444" w:rsidP="00AA2A4C">
                  <w:pPr>
                    <w:pStyle w:val="TAC"/>
                    <w:rPr>
                      <w:lang w:eastAsia="en-US"/>
                    </w:rPr>
                  </w:pPr>
                  <w:r w:rsidRPr="004D0DAA">
                    <w:rPr>
                      <w:lang w:eastAsia="en-US"/>
                    </w:rPr>
                    <w:t>10</w:t>
                  </w:r>
                </w:p>
              </w:tc>
              <w:tc>
                <w:tcPr>
                  <w:tcW w:w="510" w:type="dxa"/>
                </w:tcPr>
                <w:p w14:paraId="6F8F3CF0" w14:textId="77777777" w:rsidR="00711444" w:rsidRPr="004D0DAA" w:rsidRDefault="00711444" w:rsidP="00AA2A4C">
                  <w:pPr>
                    <w:pStyle w:val="TAC"/>
                    <w:rPr>
                      <w:lang w:eastAsia="en-US"/>
                    </w:rPr>
                  </w:pPr>
                  <w:r w:rsidRPr="004D0DAA">
                    <w:rPr>
                      <w:lang w:eastAsia="en-US"/>
                    </w:rPr>
                    <w:t>9</w:t>
                  </w:r>
                </w:p>
              </w:tc>
              <w:tc>
                <w:tcPr>
                  <w:tcW w:w="510" w:type="dxa"/>
                </w:tcPr>
                <w:p w14:paraId="6521A7F7" w14:textId="77777777" w:rsidR="00711444" w:rsidRPr="004D0DAA" w:rsidRDefault="00711444" w:rsidP="00AA2A4C">
                  <w:pPr>
                    <w:pStyle w:val="TAC"/>
                    <w:rPr>
                      <w:lang w:eastAsia="en-US"/>
                    </w:rPr>
                  </w:pPr>
                  <w:r w:rsidRPr="004D0DAA">
                    <w:rPr>
                      <w:lang w:eastAsia="en-US"/>
                    </w:rPr>
                    <w:t>8</w:t>
                  </w:r>
                </w:p>
              </w:tc>
              <w:tc>
                <w:tcPr>
                  <w:tcW w:w="510" w:type="dxa"/>
                </w:tcPr>
                <w:p w14:paraId="57359468" w14:textId="77777777" w:rsidR="00711444" w:rsidRPr="004D0DAA" w:rsidRDefault="00711444" w:rsidP="00AA2A4C">
                  <w:pPr>
                    <w:pStyle w:val="TAC"/>
                    <w:rPr>
                      <w:lang w:eastAsia="en-US"/>
                    </w:rPr>
                  </w:pPr>
                  <w:r w:rsidRPr="004D0DAA">
                    <w:rPr>
                      <w:lang w:eastAsia="en-US"/>
                    </w:rPr>
                    <w:t>7</w:t>
                  </w:r>
                </w:p>
              </w:tc>
              <w:tc>
                <w:tcPr>
                  <w:tcW w:w="510" w:type="dxa"/>
                </w:tcPr>
                <w:p w14:paraId="3D8B4647" w14:textId="77777777" w:rsidR="00711444" w:rsidRPr="004D0DAA" w:rsidRDefault="00711444" w:rsidP="00AA2A4C">
                  <w:pPr>
                    <w:pStyle w:val="TAC"/>
                    <w:rPr>
                      <w:lang w:eastAsia="en-US"/>
                    </w:rPr>
                  </w:pPr>
                  <w:r w:rsidRPr="004D0DAA">
                    <w:rPr>
                      <w:lang w:eastAsia="en-US"/>
                    </w:rPr>
                    <w:t>6</w:t>
                  </w:r>
                </w:p>
              </w:tc>
              <w:tc>
                <w:tcPr>
                  <w:tcW w:w="510" w:type="dxa"/>
                </w:tcPr>
                <w:p w14:paraId="2313EC3C" w14:textId="77777777" w:rsidR="00711444" w:rsidRPr="004D0DAA" w:rsidRDefault="00711444" w:rsidP="00AA2A4C">
                  <w:pPr>
                    <w:pStyle w:val="TAC"/>
                    <w:rPr>
                      <w:lang w:eastAsia="en-US"/>
                    </w:rPr>
                  </w:pPr>
                  <w:r w:rsidRPr="004D0DAA">
                    <w:rPr>
                      <w:lang w:eastAsia="en-US"/>
                    </w:rPr>
                    <w:t>5</w:t>
                  </w:r>
                </w:p>
              </w:tc>
              <w:tc>
                <w:tcPr>
                  <w:tcW w:w="510" w:type="dxa"/>
                </w:tcPr>
                <w:p w14:paraId="4E5A767D" w14:textId="77777777" w:rsidR="00711444" w:rsidRPr="004D0DAA" w:rsidRDefault="00711444" w:rsidP="00AA2A4C">
                  <w:pPr>
                    <w:pStyle w:val="TAC"/>
                    <w:rPr>
                      <w:lang w:eastAsia="en-US"/>
                    </w:rPr>
                  </w:pPr>
                  <w:r w:rsidRPr="004D0DAA">
                    <w:rPr>
                      <w:lang w:eastAsia="en-US"/>
                    </w:rPr>
                    <w:t>4</w:t>
                  </w:r>
                </w:p>
              </w:tc>
              <w:tc>
                <w:tcPr>
                  <w:tcW w:w="510" w:type="dxa"/>
                </w:tcPr>
                <w:p w14:paraId="7F807831" w14:textId="77777777" w:rsidR="00711444" w:rsidRPr="004D0DAA" w:rsidRDefault="00711444" w:rsidP="00AA2A4C">
                  <w:pPr>
                    <w:pStyle w:val="TAC"/>
                    <w:rPr>
                      <w:lang w:eastAsia="en-US"/>
                    </w:rPr>
                  </w:pPr>
                  <w:r w:rsidRPr="004D0DAA">
                    <w:rPr>
                      <w:lang w:eastAsia="en-US"/>
                    </w:rPr>
                    <w:t>3</w:t>
                  </w:r>
                </w:p>
              </w:tc>
              <w:tc>
                <w:tcPr>
                  <w:tcW w:w="510" w:type="dxa"/>
                </w:tcPr>
                <w:p w14:paraId="7E8FE762" w14:textId="77777777" w:rsidR="00711444" w:rsidRPr="004D0DAA" w:rsidRDefault="00711444" w:rsidP="00AA2A4C">
                  <w:pPr>
                    <w:pStyle w:val="TAC"/>
                    <w:rPr>
                      <w:lang w:eastAsia="en-US"/>
                    </w:rPr>
                  </w:pPr>
                  <w:r w:rsidRPr="004D0DAA">
                    <w:rPr>
                      <w:lang w:eastAsia="en-US"/>
                    </w:rPr>
                    <w:t>2</w:t>
                  </w:r>
                </w:p>
              </w:tc>
              <w:tc>
                <w:tcPr>
                  <w:tcW w:w="510" w:type="dxa"/>
                </w:tcPr>
                <w:p w14:paraId="71AC96E8" w14:textId="77777777" w:rsidR="00711444" w:rsidRPr="004D0DAA" w:rsidRDefault="00711444" w:rsidP="00AA2A4C">
                  <w:pPr>
                    <w:pStyle w:val="TAC"/>
                    <w:rPr>
                      <w:lang w:eastAsia="en-US"/>
                    </w:rPr>
                  </w:pPr>
                  <w:r w:rsidRPr="004D0DAA">
                    <w:rPr>
                      <w:lang w:eastAsia="en-US"/>
                    </w:rPr>
                    <w:t>1</w:t>
                  </w:r>
                </w:p>
              </w:tc>
            </w:tr>
            <w:tr w:rsidR="00711444" w:rsidRPr="004D0DAA" w14:paraId="7D8FD369" w14:textId="77777777" w:rsidTr="00AA2A4C">
              <w:tblPrEx>
                <w:tblCellMar>
                  <w:top w:w="0" w:type="dxa"/>
                  <w:bottom w:w="0" w:type="dxa"/>
                </w:tblCellMar>
              </w:tblPrEx>
              <w:tc>
                <w:tcPr>
                  <w:tcW w:w="1134" w:type="dxa"/>
                </w:tcPr>
                <w:p w14:paraId="240B8C40" w14:textId="77777777" w:rsidR="00711444" w:rsidRPr="004D0DAA" w:rsidRDefault="00711444" w:rsidP="00AA2A4C">
                  <w:pPr>
                    <w:pStyle w:val="TAC"/>
                    <w:rPr>
                      <w:lang w:eastAsia="en-US"/>
                    </w:rPr>
                  </w:pPr>
                  <w:r w:rsidRPr="004D0DAA">
                    <w:rPr>
                      <w:lang w:eastAsia="en-US"/>
                    </w:rPr>
                    <w:t>Class N:</w:t>
                  </w:r>
                </w:p>
              </w:tc>
              <w:tc>
                <w:tcPr>
                  <w:tcW w:w="510" w:type="dxa"/>
                </w:tcPr>
                <w:p w14:paraId="6A1030D7" w14:textId="77777777" w:rsidR="00711444" w:rsidRPr="004D0DAA" w:rsidRDefault="00711444" w:rsidP="00AA2A4C">
                  <w:pPr>
                    <w:pStyle w:val="TAC"/>
                    <w:rPr>
                      <w:lang w:eastAsia="en-US"/>
                    </w:rPr>
                  </w:pPr>
                  <w:r w:rsidRPr="004D0DAA">
                    <w:rPr>
                      <w:lang w:eastAsia="en-US"/>
                    </w:rPr>
                    <w:t>15</w:t>
                  </w:r>
                </w:p>
              </w:tc>
              <w:tc>
                <w:tcPr>
                  <w:tcW w:w="510" w:type="dxa"/>
                </w:tcPr>
                <w:p w14:paraId="0A2E8DC9" w14:textId="77777777" w:rsidR="00711444" w:rsidRPr="004D0DAA" w:rsidRDefault="00711444" w:rsidP="00AA2A4C">
                  <w:pPr>
                    <w:pStyle w:val="TAC"/>
                    <w:rPr>
                      <w:lang w:eastAsia="en-US"/>
                    </w:rPr>
                  </w:pPr>
                  <w:r w:rsidRPr="004D0DAA">
                    <w:rPr>
                      <w:lang w:eastAsia="en-US"/>
                    </w:rPr>
                    <w:t>14</w:t>
                  </w:r>
                </w:p>
              </w:tc>
              <w:tc>
                <w:tcPr>
                  <w:tcW w:w="510" w:type="dxa"/>
                </w:tcPr>
                <w:p w14:paraId="37021E27" w14:textId="77777777" w:rsidR="00711444" w:rsidRPr="004D0DAA" w:rsidRDefault="00711444" w:rsidP="00AA2A4C">
                  <w:pPr>
                    <w:pStyle w:val="TAC"/>
                    <w:rPr>
                      <w:lang w:eastAsia="en-US"/>
                    </w:rPr>
                  </w:pPr>
                  <w:r w:rsidRPr="004D0DAA">
                    <w:rPr>
                      <w:lang w:eastAsia="en-US"/>
                    </w:rPr>
                    <w:t>13</w:t>
                  </w:r>
                </w:p>
              </w:tc>
              <w:tc>
                <w:tcPr>
                  <w:tcW w:w="510" w:type="dxa"/>
                </w:tcPr>
                <w:p w14:paraId="674B989B" w14:textId="77777777" w:rsidR="00711444" w:rsidRPr="004D0DAA" w:rsidRDefault="00711444" w:rsidP="00AA2A4C">
                  <w:pPr>
                    <w:pStyle w:val="TAC"/>
                    <w:rPr>
                      <w:lang w:eastAsia="en-US"/>
                    </w:rPr>
                  </w:pPr>
                  <w:r w:rsidRPr="004D0DAA">
                    <w:rPr>
                      <w:lang w:eastAsia="en-US"/>
                    </w:rPr>
                    <w:t>12</w:t>
                  </w:r>
                </w:p>
              </w:tc>
              <w:tc>
                <w:tcPr>
                  <w:tcW w:w="510" w:type="dxa"/>
                </w:tcPr>
                <w:p w14:paraId="5A2A555D" w14:textId="77777777" w:rsidR="00711444" w:rsidRPr="004D0DAA" w:rsidRDefault="00711444" w:rsidP="00AA2A4C">
                  <w:pPr>
                    <w:pStyle w:val="TAC"/>
                    <w:rPr>
                      <w:lang w:eastAsia="en-US"/>
                    </w:rPr>
                  </w:pPr>
                  <w:r w:rsidRPr="004D0DAA">
                    <w:rPr>
                      <w:lang w:eastAsia="en-US"/>
                    </w:rPr>
                    <w:t>11</w:t>
                  </w:r>
                </w:p>
              </w:tc>
              <w:tc>
                <w:tcPr>
                  <w:tcW w:w="510" w:type="dxa"/>
                </w:tcPr>
                <w:p w14:paraId="2519AF92" w14:textId="77777777" w:rsidR="00711444" w:rsidRPr="004D0DAA" w:rsidRDefault="00711444" w:rsidP="00AA2A4C">
                  <w:pPr>
                    <w:pStyle w:val="TAC"/>
                    <w:rPr>
                      <w:lang w:eastAsia="en-US"/>
                    </w:rPr>
                  </w:pPr>
                  <w:r w:rsidRPr="004D0DAA">
                    <w:rPr>
                      <w:lang w:eastAsia="en-US"/>
                    </w:rPr>
                    <w:t>EC</w:t>
                  </w:r>
                </w:p>
              </w:tc>
              <w:tc>
                <w:tcPr>
                  <w:tcW w:w="510" w:type="dxa"/>
                </w:tcPr>
                <w:p w14:paraId="65714542" w14:textId="77777777" w:rsidR="00711444" w:rsidRPr="004D0DAA" w:rsidRDefault="00711444" w:rsidP="00AA2A4C">
                  <w:pPr>
                    <w:pStyle w:val="TAC"/>
                    <w:rPr>
                      <w:lang w:eastAsia="en-US"/>
                    </w:rPr>
                  </w:pPr>
                  <w:r w:rsidRPr="004D0DAA">
                    <w:rPr>
                      <w:lang w:eastAsia="en-US"/>
                    </w:rPr>
                    <w:t>9</w:t>
                  </w:r>
                </w:p>
              </w:tc>
              <w:tc>
                <w:tcPr>
                  <w:tcW w:w="510" w:type="dxa"/>
                </w:tcPr>
                <w:p w14:paraId="457AF148" w14:textId="77777777" w:rsidR="00711444" w:rsidRPr="004D0DAA" w:rsidRDefault="00711444" w:rsidP="00AA2A4C">
                  <w:pPr>
                    <w:pStyle w:val="TAC"/>
                    <w:rPr>
                      <w:lang w:eastAsia="en-US"/>
                    </w:rPr>
                  </w:pPr>
                  <w:r w:rsidRPr="004D0DAA">
                    <w:rPr>
                      <w:lang w:eastAsia="en-US"/>
                    </w:rPr>
                    <w:t>8</w:t>
                  </w:r>
                </w:p>
              </w:tc>
              <w:tc>
                <w:tcPr>
                  <w:tcW w:w="510" w:type="dxa"/>
                </w:tcPr>
                <w:p w14:paraId="18873E1C" w14:textId="77777777" w:rsidR="00711444" w:rsidRPr="004D0DAA" w:rsidRDefault="00711444" w:rsidP="00AA2A4C">
                  <w:pPr>
                    <w:pStyle w:val="TAC"/>
                    <w:rPr>
                      <w:lang w:eastAsia="en-US"/>
                    </w:rPr>
                  </w:pPr>
                  <w:r w:rsidRPr="004D0DAA">
                    <w:rPr>
                      <w:lang w:eastAsia="en-US"/>
                    </w:rPr>
                    <w:t>7</w:t>
                  </w:r>
                </w:p>
              </w:tc>
              <w:tc>
                <w:tcPr>
                  <w:tcW w:w="510" w:type="dxa"/>
                </w:tcPr>
                <w:p w14:paraId="176681AE" w14:textId="77777777" w:rsidR="00711444" w:rsidRPr="004D0DAA" w:rsidRDefault="00711444" w:rsidP="00AA2A4C">
                  <w:pPr>
                    <w:pStyle w:val="TAC"/>
                    <w:rPr>
                      <w:lang w:eastAsia="en-US"/>
                    </w:rPr>
                  </w:pPr>
                  <w:r w:rsidRPr="004D0DAA">
                    <w:rPr>
                      <w:lang w:eastAsia="en-US"/>
                    </w:rPr>
                    <w:t>6</w:t>
                  </w:r>
                </w:p>
              </w:tc>
              <w:tc>
                <w:tcPr>
                  <w:tcW w:w="510" w:type="dxa"/>
                </w:tcPr>
                <w:p w14:paraId="5289AAF4" w14:textId="77777777" w:rsidR="00711444" w:rsidRPr="004D0DAA" w:rsidRDefault="00711444" w:rsidP="00AA2A4C">
                  <w:pPr>
                    <w:pStyle w:val="TAC"/>
                    <w:rPr>
                      <w:lang w:eastAsia="en-US"/>
                    </w:rPr>
                  </w:pPr>
                  <w:r w:rsidRPr="004D0DAA">
                    <w:rPr>
                      <w:lang w:eastAsia="en-US"/>
                    </w:rPr>
                    <w:t>5</w:t>
                  </w:r>
                </w:p>
              </w:tc>
              <w:tc>
                <w:tcPr>
                  <w:tcW w:w="510" w:type="dxa"/>
                </w:tcPr>
                <w:p w14:paraId="06703C12" w14:textId="77777777" w:rsidR="00711444" w:rsidRPr="004D0DAA" w:rsidRDefault="00711444" w:rsidP="00AA2A4C">
                  <w:pPr>
                    <w:pStyle w:val="TAC"/>
                    <w:rPr>
                      <w:lang w:eastAsia="en-US"/>
                    </w:rPr>
                  </w:pPr>
                  <w:r w:rsidRPr="004D0DAA">
                    <w:rPr>
                      <w:lang w:eastAsia="en-US"/>
                    </w:rPr>
                    <w:t>4</w:t>
                  </w:r>
                </w:p>
              </w:tc>
              <w:tc>
                <w:tcPr>
                  <w:tcW w:w="510" w:type="dxa"/>
                </w:tcPr>
                <w:p w14:paraId="1ABD2175" w14:textId="77777777" w:rsidR="00711444" w:rsidRPr="004D0DAA" w:rsidRDefault="00711444" w:rsidP="00AA2A4C">
                  <w:pPr>
                    <w:pStyle w:val="TAC"/>
                    <w:rPr>
                      <w:lang w:eastAsia="en-US"/>
                    </w:rPr>
                  </w:pPr>
                  <w:r w:rsidRPr="004D0DAA">
                    <w:rPr>
                      <w:lang w:eastAsia="en-US"/>
                    </w:rPr>
                    <w:t>3</w:t>
                  </w:r>
                </w:p>
              </w:tc>
              <w:tc>
                <w:tcPr>
                  <w:tcW w:w="510" w:type="dxa"/>
                </w:tcPr>
                <w:p w14:paraId="64B951B4" w14:textId="77777777" w:rsidR="00711444" w:rsidRPr="004D0DAA" w:rsidRDefault="00711444" w:rsidP="00AA2A4C">
                  <w:pPr>
                    <w:pStyle w:val="TAC"/>
                    <w:rPr>
                      <w:lang w:eastAsia="en-US"/>
                    </w:rPr>
                  </w:pPr>
                  <w:r w:rsidRPr="004D0DAA">
                    <w:rPr>
                      <w:lang w:eastAsia="en-US"/>
                    </w:rPr>
                    <w:t>2</w:t>
                  </w:r>
                </w:p>
              </w:tc>
              <w:tc>
                <w:tcPr>
                  <w:tcW w:w="510" w:type="dxa"/>
                </w:tcPr>
                <w:p w14:paraId="34805C2E" w14:textId="77777777" w:rsidR="00711444" w:rsidRPr="004D0DAA" w:rsidRDefault="00711444" w:rsidP="00AA2A4C">
                  <w:pPr>
                    <w:pStyle w:val="TAC"/>
                    <w:rPr>
                      <w:lang w:eastAsia="en-US"/>
                    </w:rPr>
                  </w:pPr>
                  <w:r w:rsidRPr="004D0DAA">
                    <w:rPr>
                      <w:lang w:eastAsia="en-US"/>
                    </w:rPr>
                    <w:t>1</w:t>
                  </w:r>
                </w:p>
              </w:tc>
              <w:tc>
                <w:tcPr>
                  <w:tcW w:w="510" w:type="dxa"/>
                </w:tcPr>
                <w:p w14:paraId="3B5D18DE" w14:textId="77777777" w:rsidR="00711444" w:rsidRPr="004D0DAA" w:rsidRDefault="00711444" w:rsidP="00AA2A4C">
                  <w:pPr>
                    <w:pStyle w:val="TAC"/>
                    <w:rPr>
                      <w:lang w:eastAsia="en-US"/>
                    </w:rPr>
                  </w:pPr>
                  <w:r w:rsidRPr="004D0DAA">
                    <w:rPr>
                      <w:lang w:eastAsia="en-US"/>
                    </w:rPr>
                    <w:t>0</w:t>
                  </w:r>
                </w:p>
              </w:tc>
            </w:tr>
          </w:tbl>
          <w:p w14:paraId="11AE7063" w14:textId="77777777" w:rsidR="00711444" w:rsidRPr="004D0DAA" w:rsidRDefault="00711444" w:rsidP="00AA2A4C">
            <w:pPr>
              <w:keepLines/>
              <w:tabs>
                <w:tab w:val="left" w:pos="851"/>
                <w:tab w:val="left" w:pos="1276"/>
                <w:tab w:val="left" w:pos="1701"/>
                <w:tab w:val="left" w:pos="2127"/>
                <w:tab w:val="left" w:pos="2552"/>
                <w:tab w:val="left" w:pos="2977"/>
                <w:tab w:val="left" w:pos="3402"/>
                <w:tab w:val="left" w:pos="3828"/>
                <w:tab w:val="left" w:pos="4253"/>
                <w:tab w:val="left" w:pos="4678"/>
                <w:tab w:val="left" w:pos="5103"/>
                <w:tab w:val="left" w:pos="5529"/>
                <w:tab w:val="left" w:pos="5954"/>
                <w:tab w:val="left" w:pos="6379"/>
                <w:tab w:val="left" w:pos="6804"/>
                <w:tab w:val="left" w:pos="7230"/>
                <w:tab w:val="left" w:pos="7655"/>
              </w:tabs>
            </w:pPr>
          </w:p>
        </w:tc>
      </w:tr>
    </w:tbl>
    <w:p w14:paraId="475F1B99" w14:textId="77777777" w:rsidR="00711444" w:rsidRPr="004D0DAA" w:rsidRDefault="00711444" w:rsidP="00711444"/>
    <w:p w14:paraId="26B2A183" w14:textId="77777777" w:rsidR="00711444" w:rsidRPr="004D0DAA" w:rsidRDefault="00711444" w:rsidP="00711444">
      <w:pPr>
        <w:pStyle w:val="Heading2"/>
      </w:pPr>
      <w:bookmarkStart w:id="795" w:name="_Toc516669971"/>
      <w:r w:rsidRPr="004D0DAA">
        <w:t>12.15</w:t>
      </w:r>
      <w:r w:rsidRPr="004D0DAA">
        <w:tab/>
        <w:t>Temporary Flow Identity (TFI)</w:t>
      </w:r>
      <w:bookmarkEnd w:id="795"/>
    </w:p>
    <w:p w14:paraId="2DEAEBC4" w14:textId="77777777" w:rsidR="00711444" w:rsidRPr="004D0DAA" w:rsidRDefault="00711444" w:rsidP="00711444">
      <w:pPr>
        <w:keepNext/>
        <w:keepLines/>
      </w:pPr>
      <w:r w:rsidRPr="004D0DAA">
        <w:t>The Temporary Flow Identity (TFI) uniquely identifies either a single uplink Temporary Block Flow (TBF) or a single downlink Temporary Block Flow (TBF).</w:t>
      </w:r>
    </w:p>
    <w:p w14:paraId="28639B7E" w14:textId="77777777" w:rsidR="00711444" w:rsidRPr="004D0DAA" w:rsidRDefault="00711444" w:rsidP="00711444">
      <w:pPr>
        <w:pStyle w:val="TH"/>
      </w:pPr>
      <w:r w:rsidRPr="004D0DAA">
        <w:t xml:space="preserve">Table 12.15.1: </w:t>
      </w:r>
      <w:r w:rsidRPr="004D0DAA">
        <w:rPr>
          <w:i/>
        </w:rPr>
        <w:t xml:space="preserve">UPLINK_TFI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BAF3524" w14:textId="77777777" w:rsidTr="00AA2A4C">
        <w:tblPrEx>
          <w:tblCellMar>
            <w:top w:w="0" w:type="dxa"/>
            <w:bottom w:w="0" w:type="dxa"/>
          </w:tblCellMar>
        </w:tblPrEx>
        <w:tc>
          <w:tcPr>
            <w:tcW w:w="9848" w:type="dxa"/>
          </w:tcPr>
          <w:p w14:paraId="1050E9B9" w14:textId="77777777" w:rsidR="00711444" w:rsidRPr="004D0DAA" w:rsidRDefault="00711444" w:rsidP="00AA2A4C">
            <w:r w:rsidRPr="004D0DAA">
              <w:rPr>
                <w:b/>
              </w:rPr>
              <w:t xml:space="preserve">UPLINK_TFI </w:t>
            </w:r>
            <w:r w:rsidRPr="004D0DAA">
              <w:t>(5 bit field)</w:t>
            </w:r>
            <w:r w:rsidRPr="004D0DAA">
              <w:br/>
              <w:t>The Temporary Flow Identity field identifies an uplink Temporary Block Flow (TBF). This field is encoded as a binary number.</w:t>
            </w:r>
            <w:r w:rsidRPr="004D0DAA">
              <w:br/>
              <w:t>Range 0 to 31</w:t>
            </w:r>
          </w:p>
          <w:p w14:paraId="0B23137C" w14:textId="77777777" w:rsidR="00711444" w:rsidRPr="004D0DAA" w:rsidRDefault="00711444" w:rsidP="00AA2A4C"/>
        </w:tc>
      </w:tr>
    </w:tbl>
    <w:p w14:paraId="6B968FA6" w14:textId="77777777" w:rsidR="00711444" w:rsidRPr="004D0DAA" w:rsidRDefault="00711444" w:rsidP="00711444"/>
    <w:p w14:paraId="0A11D0E3" w14:textId="77777777" w:rsidR="00711444" w:rsidRPr="004D0DAA" w:rsidRDefault="00711444" w:rsidP="00711444">
      <w:pPr>
        <w:pStyle w:val="TH"/>
      </w:pPr>
      <w:r w:rsidRPr="004D0DAA">
        <w:t xml:space="preserve">Table 12.15.2: </w:t>
      </w:r>
      <w:r w:rsidRPr="004D0DAA">
        <w:rPr>
          <w:i/>
        </w:rPr>
        <w:t xml:space="preserve">DOWNLINK_TFI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B581DC6" w14:textId="77777777" w:rsidTr="00AA2A4C">
        <w:tblPrEx>
          <w:tblCellMar>
            <w:top w:w="0" w:type="dxa"/>
            <w:bottom w:w="0" w:type="dxa"/>
          </w:tblCellMar>
        </w:tblPrEx>
        <w:tc>
          <w:tcPr>
            <w:tcW w:w="9848" w:type="dxa"/>
          </w:tcPr>
          <w:p w14:paraId="6887586C" w14:textId="77777777" w:rsidR="00711444" w:rsidRPr="004D0DAA" w:rsidRDefault="00711444" w:rsidP="00AA2A4C">
            <w:r w:rsidRPr="004D0DAA">
              <w:rPr>
                <w:b/>
              </w:rPr>
              <w:t xml:space="preserve">DOWNLINK_TFI </w:t>
            </w:r>
            <w:r w:rsidRPr="004D0DAA">
              <w:t>(5 bit field)</w:t>
            </w:r>
            <w:r w:rsidRPr="004D0DAA">
              <w:br/>
              <w:t>The Temporary Flow Identity field identifies a downlink Temporary Block Flow (TBF). This field is encoded as a binary number.</w:t>
            </w:r>
            <w:r w:rsidRPr="004D0DAA">
              <w:br/>
              <w:t>Range 0 to 31</w:t>
            </w:r>
          </w:p>
        </w:tc>
      </w:tr>
    </w:tbl>
    <w:p w14:paraId="6E7AF60A" w14:textId="77777777" w:rsidR="00711444" w:rsidRPr="004D0DAA" w:rsidRDefault="00711444" w:rsidP="00711444"/>
    <w:p w14:paraId="7E3DD7EA" w14:textId="77777777" w:rsidR="00711444" w:rsidRPr="004D0DAA" w:rsidRDefault="00711444" w:rsidP="00711444">
      <w:pPr>
        <w:pStyle w:val="Heading2"/>
      </w:pPr>
      <w:bookmarkStart w:id="796" w:name="_Toc516669972"/>
      <w:r w:rsidRPr="004D0DAA">
        <w:lastRenderedPageBreak/>
        <w:t>12.16</w:t>
      </w:r>
      <w:r w:rsidRPr="004D0DAA">
        <w:tab/>
        <w:t>Temporary Logical Link Identity (TLLI)/G-RNTI</w:t>
      </w:r>
      <w:bookmarkEnd w:id="796"/>
    </w:p>
    <w:p w14:paraId="259116A2" w14:textId="77777777" w:rsidR="00711444" w:rsidRPr="004D0DAA" w:rsidRDefault="00711444" w:rsidP="00711444">
      <w:pPr>
        <w:keepNext/>
        <w:keepLines/>
      </w:pPr>
      <w:r w:rsidRPr="004D0DAA">
        <w:t>The Temporary Logical Link Identity (TLLI) is associated with the GPRS subscriber. TLLI is defined in 3GPP TS 23.003.</w:t>
      </w:r>
    </w:p>
    <w:p w14:paraId="4A1E0A9C" w14:textId="77777777" w:rsidR="00711444" w:rsidRPr="004D0DAA" w:rsidRDefault="00711444" w:rsidP="00711444">
      <w:pPr>
        <w:keepNext/>
        <w:keepLines/>
      </w:pPr>
      <w:r w:rsidRPr="004D0DAA">
        <w:t>The TLLI codespace is re-used in some messages and contains the first 28 bits of the G-RNTI as defined in 3GPP TS 23.003.</w:t>
      </w:r>
    </w:p>
    <w:p w14:paraId="7D89E0A1" w14:textId="77777777" w:rsidR="00711444" w:rsidRPr="004D0DAA" w:rsidRDefault="00711444" w:rsidP="00711444">
      <w:pPr>
        <w:pStyle w:val="TH"/>
      </w:pPr>
      <w:r w:rsidRPr="004D0DAA">
        <w:t xml:space="preserve">Table 12.16.1: </w:t>
      </w:r>
      <w:r w:rsidRPr="004D0DAA">
        <w:rPr>
          <w:i/>
        </w:rPr>
        <w:t xml:space="preserve">TLLI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4BD26CA" w14:textId="77777777" w:rsidTr="00AA2A4C">
        <w:tblPrEx>
          <w:tblCellMar>
            <w:top w:w="0" w:type="dxa"/>
            <w:bottom w:w="0" w:type="dxa"/>
          </w:tblCellMar>
        </w:tblPrEx>
        <w:tc>
          <w:tcPr>
            <w:tcW w:w="9848" w:type="dxa"/>
          </w:tcPr>
          <w:p w14:paraId="2D7B7826" w14:textId="77777777" w:rsidR="00711444" w:rsidRPr="004D0DAA" w:rsidRDefault="00711444" w:rsidP="00AA2A4C">
            <w:pPr>
              <w:rPr>
                <w:b/>
              </w:rPr>
            </w:pPr>
            <w:r w:rsidRPr="004D0DAA">
              <w:rPr>
                <w:b/>
              </w:rPr>
              <w:t>TLLI /G-RNTI</w:t>
            </w:r>
            <w:r w:rsidRPr="004D0DAA">
              <w:t xml:space="preserve"> (32 bit field)</w:t>
            </w:r>
            <w:r w:rsidRPr="004D0DAA">
              <w:br/>
              <w:t>The TLLI / G-RNTI field is encoded as a binary number.</w:t>
            </w:r>
            <w:r w:rsidRPr="004D0DAA">
              <w:br/>
              <w:t>Range 0 to 4294967295</w:t>
            </w:r>
          </w:p>
        </w:tc>
      </w:tr>
    </w:tbl>
    <w:p w14:paraId="1785FD2F" w14:textId="77777777" w:rsidR="00711444" w:rsidRPr="004D0DAA" w:rsidRDefault="00711444" w:rsidP="00711444"/>
    <w:p w14:paraId="0A4EB9D6" w14:textId="77777777" w:rsidR="00711444" w:rsidRPr="004D0DAA" w:rsidRDefault="00711444" w:rsidP="00711444">
      <w:pPr>
        <w:pStyle w:val="Heading2"/>
      </w:pPr>
      <w:bookmarkStart w:id="797" w:name="_Toc516669973"/>
      <w:r w:rsidRPr="004D0DAA">
        <w:t>12.16a</w:t>
      </w:r>
      <w:r w:rsidRPr="004D0DAA">
        <w:tab/>
        <w:t>GERAN Radio Network Temporary Identity (G-RNTI)</w:t>
      </w:r>
      <w:bookmarkEnd w:id="797"/>
    </w:p>
    <w:p w14:paraId="093BFE58" w14:textId="77777777" w:rsidR="00711444" w:rsidRPr="004D0DAA" w:rsidRDefault="00711444" w:rsidP="00711444">
      <w:r w:rsidRPr="004D0DAA">
        <w:t>The G-RNTI (GERAN Radio Network Temporary Identity) is allocated to an MS at the RRC layer having a RRC connection and identifies the MS within GERAN. It is used by the RLC/MAC layer for contention resolution and to identify an MS.</w:t>
      </w:r>
    </w:p>
    <w:p w14:paraId="5D9920E7" w14:textId="77777777" w:rsidR="00711444" w:rsidRPr="004D0DAA" w:rsidRDefault="00711444" w:rsidP="00711444">
      <w:pPr>
        <w:pStyle w:val="NO"/>
      </w:pPr>
      <w:r w:rsidRPr="004D0DAA">
        <w:t>NOTE:</w:t>
      </w:r>
      <w:r w:rsidRPr="004D0DAA">
        <w:tab/>
        <w:t>The RRC layer uses the G-RNTI.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16219D8" w14:textId="77777777" w:rsidTr="00AA2A4C">
        <w:tblPrEx>
          <w:tblCellMar>
            <w:top w:w="0" w:type="dxa"/>
            <w:bottom w:w="0" w:type="dxa"/>
          </w:tblCellMar>
        </w:tblPrEx>
        <w:trPr>
          <w:cantSplit/>
        </w:trPr>
        <w:tc>
          <w:tcPr>
            <w:tcW w:w="9848" w:type="dxa"/>
          </w:tcPr>
          <w:p w14:paraId="56901AD4" w14:textId="77777777" w:rsidR="00711444" w:rsidRPr="004D0DAA" w:rsidRDefault="00711444" w:rsidP="00AA2A4C">
            <w:pPr>
              <w:pStyle w:val="TAL"/>
              <w:rPr>
                <w:lang w:eastAsia="en-US"/>
              </w:rPr>
            </w:pPr>
            <w:r w:rsidRPr="004D0DAA">
              <w:rPr>
                <w:lang w:eastAsia="en-US"/>
              </w:rPr>
              <w:t>&lt; G-RNTI IE &gt; ::=</w:t>
            </w:r>
            <w:r w:rsidRPr="004D0DAA">
              <w:rPr>
                <w:lang w:eastAsia="en-US"/>
              </w:rPr>
              <w:br/>
            </w:r>
            <w:r w:rsidRPr="004D0DAA">
              <w:rPr>
                <w:lang w:eastAsia="en-US"/>
              </w:rPr>
              <w:tab/>
              <w:t xml:space="preserve">&lt; </w:t>
            </w:r>
            <w:r w:rsidRPr="004D0DAA">
              <w:rPr>
                <w:b/>
                <w:lang w:eastAsia="en-US"/>
              </w:rPr>
              <w:t xml:space="preserve">S-RNTI </w:t>
            </w:r>
            <w:r w:rsidRPr="004D0DAA">
              <w:rPr>
                <w:lang w:eastAsia="en-US"/>
              </w:rPr>
              <w:t>: bit (20) &gt;</w:t>
            </w:r>
            <w:r w:rsidRPr="004D0DAA">
              <w:rPr>
                <w:lang w:eastAsia="en-US"/>
              </w:rPr>
              <w:br/>
            </w:r>
            <w:r w:rsidRPr="004D0DAA">
              <w:rPr>
                <w:lang w:eastAsia="en-US"/>
              </w:rPr>
              <w:tab/>
              <w:t xml:space="preserve">&lt; </w:t>
            </w:r>
            <w:r w:rsidRPr="004D0DAA">
              <w:rPr>
                <w:b/>
                <w:lang w:eastAsia="en-US"/>
              </w:rPr>
              <w:t xml:space="preserve">Serving BSC Identity </w:t>
            </w:r>
            <w:r w:rsidRPr="004D0DAA">
              <w:rPr>
                <w:lang w:eastAsia="en-US"/>
              </w:rPr>
              <w:t>: bit (12) &gt; ;</w:t>
            </w:r>
          </w:p>
        </w:tc>
      </w:tr>
    </w:tbl>
    <w:p w14:paraId="5B8663B6" w14:textId="77777777" w:rsidR="00711444" w:rsidRPr="004D0DAA" w:rsidRDefault="00711444" w:rsidP="00711444"/>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E8EFFF3" w14:textId="77777777" w:rsidTr="00AA2A4C">
        <w:tblPrEx>
          <w:tblCellMar>
            <w:top w:w="0" w:type="dxa"/>
            <w:bottom w:w="0" w:type="dxa"/>
          </w:tblCellMar>
        </w:tblPrEx>
        <w:tc>
          <w:tcPr>
            <w:tcW w:w="9848" w:type="dxa"/>
          </w:tcPr>
          <w:p w14:paraId="4DAC1ADA" w14:textId="77777777" w:rsidR="00711444" w:rsidRPr="004D0DAA" w:rsidRDefault="00711444" w:rsidP="00AA2A4C">
            <w:pPr>
              <w:rPr>
                <w:b/>
              </w:rPr>
            </w:pPr>
            <w:r w:rsidRPr="004D0DAA">
              <w:rPr>
                <w:b/>
              </w:rPr>
              <w:t>Serving BSC identity</w:t>
            </w:r>
            <w:r w:rsidRPr="004D0DAA">
              <w:t xml:space="preserve"> (12 bit field)</w:t>
            </w:r>
            <w:r w:rsidRPr="004D0DAA">
              <w:rPr>
                <w:b/>
              </w:rPr>
              <w:t xml:space="preserve"> </w:t>
            </w:r>
            <w:r w:rsidRPr="004D0DAA">
              <w:rPr>
                <w:b/>
              </w:rPr>
              <w:br/>
            </w:r>
            <w:r w:rsidRPr="004D0DAA">
              <w:t>This field identifies the mobile station's serving BSC in GERAN.</w:t>
            </w:r>
          </w:p>
        </w:tc>
      </w:tr>
      <w:tr w:rsidR="00711444" w:rsidRPr="004D0DAA" w14:paraId="5FE860ED" w14:textId="77777777" w:rsidTr="00AA2A4C">
        <w:tblPrEx>
          <w:tblCellMar>
            <w:top w:w="0" w:type="dxa"/>
            <w:bottom w:w="0" w:type="dxa"/>
          </w:tblCellMar>
        </w:tblPrEx>
        <w:tc>
          <w:tcPr>
            <w:tcW w:w="9848" w:type="dxa"/>
          </w:tcPr>
          <w:p w14:paraId="2EFDF68E" w14:textId="77777777" w:rsidR="00711444" w:rsidRPr="004D0DAA" w:rsidRDefault="00711444" w:rsidP="00AA2A4C">
            <w:pPr>
              <w:rPr>
                <w:b/>
              </w:rPr>
            </w:pPr>
            <w:r w:rsidRPr="004D0DAA">
              <w:rPr>
                <w:b/>
              </w:rPr>
              <w:t>S-RNTI</w:t>
            </w:r>
            <w:r w:rsidRPr="004D0DAA">
              <w:t xml:space="preserve"> (20 bit field)</w:t>
            </w:r>
            <w:r w:rsidRPr="004D0DAA">
              <w:rPr>
                <w:b/>
              </w:rPr>
              <w:t xml:space="preserve"> </w:t>
            </w:r>
            <w:r w:rsidRPr="004D0DAA">
              <w:rPr>
                <w:b/>
              </w:rPr>
              <w:br/>
            </w:r>
            <w:r w:rsidRPr="004D0DAA">
              <w:t>This field identifies the mobile station within the serving BSC.</w:t>
            </w:r>
          </w:p>
        </w:tc>
      </w:tr>
    </w:tbl>
    <w:p w14:paraId="70DB5EE7" w14:textId="77777777" w:rsidR="00711444" w:rsidRPr="004D0DAA" w:rsidRDefault="00711444" w:rsidP="00711444"/>
    <w:p w14:paraId="2AD4B8F5" w14:textId="77777777" w:rsidR="00711444" w:rsidRPr="004D0DAA" w:rsidRDefault="00711444" w:rsidP="00711444">
      <w:pPr>
        <w:pStyle w:val="Heading2"/>
      </w:pPr>
      <w:bookmarkStart w:id="798" w:name="_Toc516669974"/>
      <w:r w:rsidRPr="004D0DAA">
        <w:t>12.17</w:t>
      </w:r>
      <w:r w:rsidRPr="004D0DAA">
        <w:tab/>
        <w:t>Temporary Queueing Identifier (TQI)</w:t>
      </w:r>
      <w:bookmarkEnd w:id="798"/>
    </w:p>
    <w:p w14:paraId="3DC85E5A" w14:textId="77777777" w:rsidR="00711444" w:rsidRPr="004D0DAA" w:rsidRDefault="00711444" w:rsidP="00711444">
      <w:pPr>
        <w:keepNext/>
        <w:keepLines/>
      </w:pPr>
      <w:r w:rsidRPr="004D0DAA">
        <w:t>The Temporary Queueing Identifier (TQI) field identifies a mobile station during the queueing procedure. The contents of this field are operator defined.</w:t>
      </w:r>
    </w:p>
    <w:p w14:paraId="4AD88A3F" w14:textId="77777777" w:rsidR="00711444" w:rsidRPr="004D0DAA" w:rsidRDefault="00711444" w:rsidP="00711444">
      <w:pPr>
        <w:pStyle w:val="TH"/>
      </w:pPr>
      <w:r w:rsidRPr="004D0DAA">
        <w:t xml:space="preserve">Table 12.17.1: </w:t>
      </w:r>
      <w:r w:rsidRPr="004D0DAA">
        <w:rPr>
          <w:i/>
        </w:rPr>
        <w:t xml:space="preserve">TQI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94C2B6E" w14:textId="77777777" w:rsidTr="00AA2A4C">
        <w:tblPrEx>
          <w:tblCellMar>
            <w:top w:w="0" w:type="dxa"/>
            <w:bottom w:w="0" w:type="dxa"/>
          </w:tblCellMar>
        </w:tblPrEx>
        <w:tc>
          <w:tcPr>
            <w:tcW w:w="9848" w:type="dxa"/>
          </w:tcPr>
          <w:p w14:paraId="703C6DC6" w14:textId="77777777" w:rsidR="00711444" w:rsidRPr="004D0DAA" w:rsidRDefault="00711444" w:rsidP="00AA2A4C">
            <w:r w:rsidRPr="004D0DAA">
              <w:rPr>
                <w:b/>
              </w:rPr>
              <w:t>TQI</w:t>
            </w:r>
            <w:r w:rsidRPr="004D0DAA">
              <w:t xml:space="preserve"> (16 bit field)</w:t>
            </w:r>
            <w:r w:rsidRPr="004D0DAA">
              <w:br/>
              <w:t>The Temporary Queueing Identifier field is an unformatted field.</w:t>
            </w:r>
          </w:p>
        </w:tc>
      </w:tr>
    </w:tbl>
    <w:p w14:paraId="5A2B0762" w14:textId="77777777" w:rsidR="00711444" w:rsidRPr="004D0DAA" w:rsidRDefault="00711444" w:rsidP="00711444"/>
    <w:p w14:paraId="3FC70E12" w14:textId="77777777" w:rsidR="00711444" w:rsidRPr="004D0DAA" w:rsidRDefault="00711444" w:rsidP="00711444">
      <w:pPr>
        <w:pStyle w:val="Heading2"/>
      </w:pPr>
      <w:bookmarkStart w:id="799" w:name="_Toc516669975"/>
      <w:r w:rsidRPr="004D0DAA">
        <w:lastRenderedPageBreak/>
        <w:t>12.18</w:t>
      </w:r>
      <w:r w:rsidRPr="004D0DAA">
        <w:tab/>
        <w:t>TIMESLOT_ALLOCATION</w:t>
      </w:r>
      <w:bookmarkEnd w:id="799"/>
    </w:p>
    <w:p w14:paraId="5273AFB7" w14:textId="77777777" w:rsidR="00711444" w:rsidRPr="004D0DAA" w:rsidRDefault="00711444" w:rsidP="00711444">
      <w:pPr>
        <w:keepNext/>
        <w:keepLines/>
      </w:pPr>
      <w:r w:rsidRPr="004D0DAA">
        <w:t>The TIMESLOT_ALLOCATION field indicates the timeslots for use during a TBF, the timeslots carrying a PCCCH or the timeslots for which feedback is provided by a time-based encoded PAN field.</w:t>
      </w:r>
    </w:p>
    <w:p w14:paraId="3B28DDE4" w14:textId="77777777" w:rsidR="00711444" w:rsidRPr="004D0DAA" w:rsidRDefault="00711444" w:rsidP="00711444">
      <w:pPr>
        <w:pStyle w:val="TH"/>
      </w:pPr>
      <w:r w:rsidRPr="004D0DAA">
        <w:t xml:space="preserve">Table 12.18.1: </w:t>
      </w:r>
      <w:r w:rsidRPr="004D0DAA">
        <w:rPr>
          <w:i/>
        </w:rPr>
        <w:t xml:space="preserve">TIMESLOT_ALLOCATION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786A693" w14:textId="77777777" w:rsidTr="00AA2A4C">
        <w:tblPrEx>
          <w:tblCellMar>
            <w:top w:w="0" w:type="dxa"/>
            <w:bottom w:w="0" w:type="dxa"/>
          </w:tblCellMar>
        </w:tblPrEx>
        <w:trPr>
          <w:cantSplit/>
        </w:trPr>
        <w:tc>
          <w:tcPr>
            <w:tcW w:w="9848" w:type="dxa"/>
          </w:tcPr>
          <w:p w14:paraId="29D54893" w14:textId="77777777" w:rsidR="00711444" w:rsidRPr="004D0DAA" w:rsidRDefault="00711444" w:rsidP="00AA2A4C">
            <w:pPr>
              <w:keepLines/>
            </w:pPr>
            <w:r w:rsidRPr="004D0DAA">
              <w:rPr>
                <w:b/>
              </w:rPr>
              <w:t>TIMESLOT_ALLOCATION</w:t>
            </w:r>
            <w:r w:rsidRPr="004D0DAA">
              <w:t xml:space="preserve"> (8 bit field)</w:t>
            </w:r>
            <w:r w:rsidRPr="004D0DAA">
              <w:rPr>
                <w:b/>
              </w:rPr>
              <w:br/>
            </w:r>
            <w:r w:rsidRPr="004D0DAA">
              <w:t>This information field indicates the timeslots assigned for use during the TBF, the timeslots carrying a PCCCH or the timeslots for which feedback is provided by a time-based encoded PAN field. Bit 8 indicates the status of timeslot 0, bit 7 indicates the status of timeslot 1, etc. At least one timeslot must be assigned. When used to indicate the timeslots constituting PDCH-pairs for which feedback is provided by a time-based encoded PAN field (for TBFs in RTTI or MTTI configuration configuration) an even number of timeslots must be indicated.</w:t>
            </w:r>
          </w:p>
          <w:p w14:paraId="764DF396" w14:textId="77777777" w:rsidR="00711444" w:rsidRPr="004D0DAA" w:rsidRDefault="00711444" w:rsidP="00AA2A4C">
            <w:pPr>
              <w:keepLines/>
            </w:pPr>
            <w:r w:rsidRPr="004D0DAA">
              <w:t>0</w:t>
            </w:r>
            <w:r w:rsidRPr="004D0DAA">
              <w:tab/>
              <w:t>Timeslot is not assigned</w:t>
            </w:r>
            <w:r w:rsidRPr="004D0DAA">
              <w:br/>
              <w:t>1</w:t>
            </w:r>
            <w:r w:rsidRPr="004D0DAA">
              <w:tab/>
              <w:t>Timeslot is assigned</w:t>
            </w:r>
          </w:p>
        </w:tc>
      </w:tr>
    </w:tbl>
    <w:p w14:paraId="73B10A39" w14:textId="77777777" w:rsidR="00711444" w:rsidRPr="004D0DAA" w:rsidRDefault="00711444" w:rsidP="00711444"/>
    <w:p w14:paraId="69E22F14" w14:textId="77777777" w:rsidR="00711444" w:rsidRPr="004D0DAA" w:rsidRDefault="00711444" w:rsidP="00711444">
      <w:pPr>
        <w:pStyle w:val="Heading2"/>
      </w:pPr>
      <w:bookmarkStart w:id="800" w:name="_Toc516669976"/>
      <w:r w:rsidRPr="004D0DAA">
        <w:t>12.19</w:t>
      </w:r>
      <w:r w:rsidRPr="004D0DAA">
        <w:tab/>
        <w:t>(void)</w:t>
      </w:r>
      <w:bookmarkEnd w:id="800"/>
    </w:p>
    <w:p w14:paraId="25351491" w14:textId="77777777" w:rsidR="00711444" w:rsidRPr="004D0DAA" w:rsidRDefault="00711444" w:rsidP="00711444">
      <w:pPr>
        <w:pStyle w:val="Heading2"/>
      </w:pPr>
      <w:bookmarkStart w:id="801" w:name="_Toc516669977"/>
      <w:r w:rsidRPr="004D0DAA">
        <w:t>12.20</w:t>
      </w:r>
      <w:r w:rsidRPr="004D0DAA">
        <w:tab/>
        <w:t>PAGE_MODE</w:t>
      </w:r>
      <w:bookmarkEnd w:id="801"/>
    </w:p>
    <w:p w14:paraId="0062D3A6" w14:textId="77777777" w:rsidR="00711444" w:rsidRPr="004D0DAA" w:rsidRDefault="00711444" w:rsidP="00711444">
      <w:pPr>
        <w:keepNext/>
        <w:keepLines/>
      </w:pPr>
      <w:r w:rsidRPr="004D0DAA">
        <w:t>The PAGE_MODE field controls the action of the mobile station belonging to the paging subgroup corresponding to the paging subchannel.</w:t>
      </w:r>
    </w:p>
    <w:p w14:paraId="6A5E3A07" w14:textId="77777777" w:rsidR="00711444" w:rsidRPr="004D0DAA" w:rsidRDefault="00711444" w:rsidP="00711444">
      <w:pPr>
        <w:pStyle w:val="TH"/>
        <w:rPr>
          <w:lang w:val="fr-FR"/>
        </w:rPr>
      </w:pPr>
      <w:r w:rsidRPr="004D0DAA">
        <w:rPr>
          <w:lang w:val="fr-FR"/>
        </w:rPr>
        <w:t xml:space="preserve">Table 12.20.1 : </w:t>
      </w:r>
      <w:r w:rsidRPr="004D0DAA">
        <w:rPr>
          <w:i/>
          <w:lang w:val="fr-FR"/>
        </w:rPr>
        <w:t>PAGE_MODE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BF566A6" w14:textId="77777777" w:rsidTr="00AA2A4C">
        <w:tblPrEx>
          <w:tblCellMar>
            <w:top w:w="0" w:type="dxa"/>
            <w:bottom w:w="0" w:type="dxa"/>
          </w:tblCellMar>
        </w:tblPrEx>
        <w:tc>
          <w:tcPr>
            <w:tcW w:w="9848" w:type="dxa"/>
          </w:tcPr>
          <w:p w14:paraId="3BE51DA0" w14:textId="77777777" w:rsidR="00711444" w:rsidRPr="004D0DAA" w:rsidRDefault="00711444" w:rsidP="00AA2A4C">
            <w:pPr>
              <w:keepNext/>
              <w:keepLines/>
            </w:pPr>
            <w:r w:rsidRPr="004D0DAA">
              <w:rPr>
                <w:b/>
              </w:rPr>
              <w:t>PAGE_MODE</w:t>
            </w:r>
            <w:r w:rsidRPr="004D0DAA">
              <w:t xml:space="preserve"> (2 bit field)</w:t>
            </w:r>
          </w:p>
          <w:p w14:paraId="5FAE4762" w14:textId="77777777" w:rsidR="00711444" w:rsidRPr="004D0DAA" w:rsidRDefault="00711444" w:rsidP="00AA2A4C">
            <w:pPr>
              <w:keepLines/>
              <w:tabs>
                <w:tab w:val="left" w:pos="709"/>
              </w:tabs>
            </w:pPr>
            <w:r w:rsidRPr="004D0DAA">
              <w:t>bit</w:t>
            </w:r>
            <w:r w:rsidRPr="004D0DAA">
              <w:br/>
              <w:t>2 1</w:t>
            </w:r>
            <w:r w:rsidRPr="004D0DAA">
              <w:tab/>
              <w:t>value</w:t>
            </w:r>
            <w:r w:rsidRPr="004D0DAA">
              <w:br/>
              <w:t>0 0</w:t>
            </w:r>
            <w:r w:rsidRPr="004D0DAA">
              <w:tab/>
              <w:t>Normal Paging</w:t>
            </w:r>
            <w:r w:rsidRPr="004D0DAA">
              <w:br/>
              <w:t>0 1</w:t>
            </w:r>
            <w:r w:rsidRPr="004D0DAA">
              <w:tab/>
              <w:t>Extended Paging</w:t>
            </w:r>
            <w:r w:rsidRPr="004D0DAA">
              <w:br/>
              <w:t>1 0</w:t>
            </w:r>
            <w:r w:rsidRPr="004D0DAA">
              <w:tab/>
              <w:t>Paging Reorganization</w:t>
            </w:r>
            <w:r w:rsidRPr="004D0DAA">
              <w:br/>
              <w:t>1 1</w:t>
            </w:r>
            <w:r w:rsidRPr="004D0DAA">
              <w:tab/>
              <w:t>Same as before</w:t>
            </w:r>
          </w:p>
        </w:tc>
      </w:tr>
    </w:tbl>
    <w:p w14:paraId="506FC54C" w14:textId="77777777" w:rsidR="00711444" w:rsidRPr="004D0DAA" w:rsidRDefault="00711444" w:rsidP="00711444"/>
    <w:p w14:paraId="6AF0CA06" w14:textId="77777777" w:rsidR="00711444" w:rsidRPr="004D0DAA" w:rsidRDefault="00711444" w:rsidP="00711444">
      <w:pPr>
        <w:pStyle w:val="Heading2"/>
      </w:pPr>
      <w:bookmarkStart w:id="802" w:name="_Toc516669978"/>
      <w:r w:rsidRPr="004D0DAA">
        <w:t>12.21</w:t>
      </w:r>
      <w:r w:rsidRPr="004D0DAA">
        <w:tab/>
        <w:t>Starting Frame Number Description</w:t>
      </w:r>
      <w:bookmarkEnd w:id="802"/>
    </w:p>
    <w:p w14:paraId="32834B15" w14:textId="77777777" w:rsidR="00711444" w:rsidRPr="004D0DAA" w:rsidRDefault="00711444" w:rsidP="00711444">
      <w:pPr>
        <w:keepNext/>
        <w:keepLines/>
      </w:pPr>
      <w:r w:rsidRPr="004D0DAA">
        <w:t>There are two types of encoding for this IE : Relative Frame Number or Absolute Frame Number.</w:t>
      </w:r>
    </w:p>
    <w:p w14:paraId="71E424B1" w14:textId="77777777" w:rsidR="00711444" w:rsidRPr="004D0DAA" w:rsidRDefault="00711444" w:rsidP="00711444">
      <w:pPr>
        <w:pStyle w:val="TH"/>
      </w:pPr>
      <w:r w:rsidRPr="004D0DAA">
        <w:t xml:space="preserve">Table 12.21.1: </w:t>
      </w:r>
      <w:r w:rsidRPr="004D0DAA">
        <w:rPr>
          <w:i/>
        </w:rPr>
        <w:t>Starting Frame Number Description</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648A2B1" w14:textId="77777777" w:rsidTr="00AA2A4C">
        <w:tblPrEx>
          <w:tblCellMar>
            <w:top w:w="0" w:type="dxa"/>
            <w:bottom w:w="0" w:type="dxa"/>
          </w:tblCellMar>
        </w:tblPrEx>
        <w:trPr>
          <w:cantSplit/>
        </w:trPr>
        <w:tc>
          <w:tcPr>
            <w:tcW w:w="9848" w:type="dxa"/>
          </w:tcPr>
          <w:p w14:paraId="58607FC1" w14:textId="77777777" w:rsidR="00711444" w:rsidRPr="004D0DAA" w:rsidRDefault="00711444" w:rsidP="00AA2A4C">
            <w:pPr>
              <w:pStyle w:val="TAL"/>
              <w:rPr>
                <w:lang w:eastAsia="en-US"/>
              </w:rPr>
            </w:pPr>
            <w:r w:rsidRPr="004D0DAA">
              <w:rPr>
                <w:lang w:eastAsia="en-US"/>
              </w:rPr>
              <w:t>&lt; Starting Frame Number Description IE &gt; ::=</w:t>
            </w:r>
          </w:p>
          <w:p w14:paraId="0911E6DC" w14:textId="77777777" w:rsidR="00711444" w:rsidRPr="004D0DAA" w:rsidRDefault="00711444" w:rsidP="00AA2A4C">
            <w:pPr>
              <w:pStyle w:val="TAL"/>
              <w:rPr>
                <w:lang w:eastAsia="en-US"/>
              </w:rPr>
            </w:pPr>
            <w:r w:rsidRPr="004D0DAA">
              <w:rPr>
                <w:lang w:eastAsia="en-US"/>
              </w:rPr>
              <w:tab/>
              <w:t>{ 0 &lt; Absolute Frame Number Encoding &gt;</w:t>
            </w:r>
          </w:p>
          <w:p w14:paraId="0ED22DF0" w14:textId="77777777" w:rsidR="00711444" w:rsidRPr="004D0DAA" w:rsidRDefault="00711444" w:rsidP="00AA2A4C">
            <w:pPr>
              <w:pStyle w:val="TAL"/>
              <w:rPr>
                <w:lang w:eastAsia="en-US"/>
              </w:rPr>
            </w:pPr>
            <w:r w:rsidRPr="004D0DAA">
              <w:rPr>
                <w:lang w:eastAsia="en-US"/>
              </w:rPr>
              <w:tab/>
              <w:t>| 1 &lt; Relative Frame Number Encoding &gt; } ;</w:t>
            </w:r>
          </w:p>
          <w:p w14:paraId="30390384" w14:textId="77777777" w:rsidR="00711444" w:rsidRPr="004D0DAA" w:rsidRDefault="00711444" w:rsidP="00AA2A4C">
            <w:pPr>
              <w:pStyle w:val="TAL"/>
              <w:rPr>
                <w:lang w:eastAsia="en-US"/>
              </w:rPr>
            </w:pPr>
          </w:p>
        </w:tc>
      </w:tr>
    </w:tbl>
    <w:p w14:paraId="7B961B91" w14:textId="77777777" w:rsidR="00711444" w:rsidRPr="004D0DAA" w:rsidRDefault="00711444" w:rsidP="00711444"/>
    <w:p w14:paraId="48AC7D84" w14:textId="77777777" w:rsidR="00711444" w:rsidRPr="004D0DAA" w:rsidRDefault="00711444" w:rsidP="00711444">
      <w:r w:rsidRPr="004D0DAA">
        <w:t>If the mobile station is in packet transfer mode during the block immediately before the starting time and the lowest numbered PDCH assigned to the MS is different immediately before and after the starting time then the mobile station shall be ready to receive or transmit no later than one radio block from the starting time (see 3GPP TS 45.002).</w:t>
      </w:r>
    </w:p>
    <w:p w14:paraId="1C5803E7" w14:textId="77777777" w:rsidR="00711444" w:rsidRPr="004D0DAA" w:rsidRDefault="00711444" w:rsidP="00711444">
      <w:pPr>
        <w:pStyle w:val="Heading3"/>
      </w:pPr>
      <w:bookmarkStart w:id="803" w:name="_Toc516669979"/>
      <w:r w:rsidRPr="004D0DAA">
        <w:t>12.21.1</w:t>
      </w:r>
      <w:r w:rsidRPr="004D0DAA">
        <w:tab/>
        <w:t>Absolute Frame Number Encoding</w:t>
      </w:r>
      <w:bookmarkEnd w:id="803"/>
      <w:r w:rsidRPr="004D0DAA">
        <w:t xml:space="preserve"> </w:t>
      </w:r>
    </w:p>
    <w:p w14:paraId="779A6B50" w14:textId="77777777" w:rsidR="00711444" w:rsidRPr="004D0DAA" w:rsidRDefault="00711444" w:rsidP="00711444">
      <w:r w:rsidRPr="004D0DAA">
        <w:t>In this case, the field is encoded as the 16-bit Starting Time IE defined in 3GPP TS 44.018, and the value of the Starting FN is obtained directly.</w:t>
      </w:r>
    </w:p>
    <w:p w14:paraId="7A13D751" w14:textId="77777777" w:rsidR="00711444" w:rsidRPr="004D0DAA" w:rsidRDefault="00711444" w:rsidP="00711444">
      <w:r w:rsidRPr="004D0DAA">
        <w:lastRenderedPageBreak/>
        <w:t>If the Starting FN is not aligned to the start of a block period and the mobile station is in packet transfer mode during the TDMA immediately before the Starting FN, then the mobile station shall align the starting time to the next block boundary and continue to use the currently assigned allocation upto the next block boundary.</w:t>
      </w:r>
    </w:p>
    <w:p w14:paraId="663836FC" w14:textId="77777777" w:rsidR="00711444" w:rsidRPr="004D0DAA" w:rsidRDefault="00711444" w:rsidP="00711444">
      <w:pPr>
        <w:pStyle w:val="Heading3"/>
      </w:pPr>
      <w:bookmarkStart w:id="804" w:name="_Toc516669980"/>
      <w:r w:rsidRPr="004D0DAA">
        <w:t>12.21.2</w:t>
      </w:r>
      <w:r w:rsidRPr="004D0DAA">
        <w:tab/>
        <w:t>Relative Frame Number Encoding</w:t>
      </w:r>
      <w:bookmarkEnd w:id="804"/>
    </w:p>
    <w:p w14:paraId="15A2456E" w14:textId="77777777" w:rsidR="00711444" w:rsidRPr="004D0DAA" w:rsidRDefault="00711444" w:rsidP="00711444">
      <w:pPr>
        <w:keepNext/>
        <w:keepLines/>
      </w:pPr>
      <w:r w:rsidRPr="004D0DAA">
        <w:t>In this case, the field indicates the delay, relative to the first TDMA frame (N) of the RLC/MAC block containing the Starting Time field, before the assigned or requested resource becomes valid.</w:t>
      </w:r>
    </w:p>
    <w:p w14:paraId="0D4E454F" w14:textId="77777777" w:rsidR="00711444" w:rsidRPr="004D0DAA" w:rsidRDefault="00711444" w:rsidP="00711444">
      <w:pPr>
        <w:keepNext/>
        <w:keepLines/>
      </w:pPr>
      <w:r w:rsidRPr="004D0DAA">
        <w:t>The value of this field is the 13 bit binary representation of the integer k, from which the offset to be applied to N can be derived.</w:t>
      </w:r>
    </w:p>
    <w:p w14:paraId="0EC5B1F5" w14:textId="77777777" w:rsidR="00711444" w:rsidRPr="004D0DAA" w:rsidRDefault="00711444" w:rsidP="00711444">
      <w:pPr>
        <w:keepNext/>
        <w:keepLines/>
      </w:pPr>
      <w:r w:rsidRPr="004D0DAA">
        <w:t>The value of the Starting Frame Number is calculated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621"/>
      </w:tblGrid>
      <w:tr w:rsidR="00711444" w:rsidRPr="004D0DAA" w14:paraId="6DFAA91E" w14:textId="77777777" w:rsidTr="00AA2A4C">
        <w:tblPrEx>
          <w:tblCellMar>
            <w:top w:w="0" w:type="dxa"/>
            <w:bottom w:w="0" w:type="dxa"/>
          </w:tblCellMar>
        </w:tblPrEx>
        <w:tc>
          <w:tcPr>
            <w:tcW w:w="3227" w:type="dxa"/>
          </w:tcPr>
          <w:p w14:paraId="5148B7B4" w14:textId="77777777" w:rsidR="00711444" w:rsidRPr="004D0DAA" w:rsidRDefault="00711444" w:rsidP="00AA2A4C">
            <w:pPr>
              <w:pStyle w:val="TAH"/>
              <w:rPr>
                <w:lang w:eastAsia="en-US"/>
              </w:rPr>
            </w:pPr>
            <w:r w:rsidRPr="004D0DAA">
              <w:rPr>
                <w:lang w:eastAsia="en-US"/>
              </w:rPr>
              <w:t>For (k mod 3) equal to:</w:t>
            </w:r>
          </w:p>
        </w:tc>
        <w:tc>
          <w:tcPr>
            <w:tcW w:w="6621" w:type="dxa"/>
          </w:tcPr>
          <w:p w14:paraId="6DBC5AF7" w14:textId="77777777" w:rsidR="00711444" w:rsidRPr="004D0DAA" w:rsidRDefault="00711444" w:rsidP="00AA2A4C">
            <w:pPr>
              <w:pStyle w:val="TAH"/>
              <w:rPr>
                <w:lang w:eastAsia="en-US"/>
              </w:rPr>
            </w:pPr>
            <w:r w:rsidRPr="004D0DAA">
              <w:rPr>
                <w:lang w:eastAsia="en-US"/>
              </w:rPr>
              <w:t>The value of the Starting Frame Number is:</w:t>
            </w:r>
          </w:p>
        </w:tc>
      </w:tr>
      <w:tr w:rsidR="00711444" w:rsidRPr="004D0DAA" w14:paraId="4E3BCE77" w14:textId="77777777" w:rsidTr="00AA2A4C">
        <w:tblPrEx>
          <w:tblCellMar>
            <w:top w:w="0" w:type="dxa"/>
            <w:bottom w:w="0" w:type="dxa"/>
          </w:tblCellMar>
        </w:tblPrEx>
        <w:tc>
          <w:tcPr>
            <w:tcW w:w="3227" w:type="dxa"/>
          </w:tcPr>
          <w:p w14:paraId="4436D99C" w14:textId="77777777" w:rsidR="00711444" w:rsidRPr="004D0DAA" w:rsidRDefault="00711444" w:rsidP="00AA2A4C">
            <w:pPr>
              <w:pStyle w:val="TAC"/>
              <w:rPr>
                <w:lang w:eastAsia="en-US"/>
              </w:rPr>
            </w:pPr>
            <w:r w:rsidRPr="004D0DAA">
              <w:rPr>
                <w:lang w:eastAsia="en-US"/>
              </w:rPr>
              <w:t>0 or 1</w:t>
            </w:r>
          </w:p>
        </w:tc>
        <w:tc>
          <w:tcPr>
            <w:tcW w:w="6621" w:type="dxa"/>
          </w:tcPr>
          <w:p w14:paraId="07471D4D" w14:textId="77777777" w:rsidR="00711444" w:rsidRPr="004D0DAA" w:rsidRDefault="00711444" w:rsidP="00AA2A4C">
            <w:pPr>
              <w:pStyle w:val="TAL"/>
              <w:rPr>
                <w:lang w:eastAsia="en-US"/>
              </w:rPr>
            </w:pPr>
            <w:r w:rsidRPr="004D0DAA">
              <w:rPr>
                <w:lang w:eastAsia="en-US"/>
              </w:rPr>
              <w:t>N + 4 + 4 k + (k div3), N + 5 + 4k + (k div3)</w:t>
            </w:r>
            <w:r w:rsidRPr="004D0DAA">
              <w:rPr>
                <w:lang w:eastAsia="en-US"/>
              </w:rPr>
              <w:tab/>
              <w:t>(NOTE 1)</w:t>
            </w:r>
          </w:p>
        </w:tc>
      </w:tr>
      <w:tr w:rsidR="00711444" w:rsidRPr="004D0DAA" w14:paraId="6610798A" w14:textId="77777777" w:rsidTr="00AA2A4C">
        <w:tblPrEx>
          <w:tblCellMar>
            <w:top w:w="0" w:type="dxa"/>
            <w:bottom w:w="0" w:type="dxa"/>
          </w:tblCellMar>
        </w:tblPrEx>
        <w:tc>
          <w:tcPr>
            <w:tcW w:w="3227" w:type="dxa"/>
          </w:tcPr>
          <w:p w14:paraId="676C8D9C" w14:textId="77777777" w:rsidR="00711444" w:rsidRPr="004D0DAA" w:rsidRDefault="00711444" w:rsidP="00AA2A4C">
            <w:pPr>
              <w:pStyle w:val="TAC"/>
              <w:rPr>
                <w:lang w:eastAsia="en-US"/>
              </w:rPr>
            </w:pPr>
            <w:r w:rsidRPr="004D0DAA">
              <w:rPr>
                <w:lang w:eastAsia="en-US"/>
              </w:rPr>
              <w:t>2</w:t>
            </w:r>
          </w:p>
        </w:tc>
        <w:tc>
          <w:tcPr>
            <w:tcW w:w="6621" w:type="dxa"/>
          </w:tcPr>
          <w:p w14:paraId="4A818678" w14:textId="77777777" w:rsidR="00711444" w:rsidRPr="004D0DAA" w:rsidRDefault="00711444" w:rsidP="00AA2A4C">
            <w:pPr>
              <w:pStyle w:val="TAL"/>
              <w:rPr>
                <w:lang w:eastAsia="en-US"/>
              </w:rPr>
            </w:pPr>
            <w:r w:rsidRPr="004D0DAA">
              <w:rPr>
                <w:lang w:eastAsia="en-US"/>
              </w:rPr>
              <w:t>N + 5 + 4 k + (k div3)</w:t>
            </w:r>
          </w:p>
        </w:tc>
      </w:tr>
      <w:tr w:rsidR="00711444" w:rsidRPr="004D0DAA" w14:paraId="08571876" w14:textId="77777777" w:rsidTr="00AA2A4C">
        <w:tblPrEx>
          <w:tblCellMar>
            <w:top w:w="0" w:type="dxa"/>
            <w:bottom w:w="0" w:type="dxa"/>
          </w:tblCellMar>
        </w:tblPrEx>
        <w:trPr>
          <w:cantSplit/>
        </w:trPr>
        <w:tc>
          <w:tcPr>
            <w:tcW w:w="9848" w:type="dxa"/>
            <w:gridSpan w:val="2"/>
          </w:tcPr>
          <w:p w14:paraId="21139C12" w14:textId="77777777" w:rsidR="00711444" w:rsidRPr="004D0DAA" w:rsidRDefault="00711444" w:rsidP="00AA2A4C">
            <w:pPr>
              <w:pStyle w:val="TAN"/>
              <w:rPr>
                <w:lang w:eastAsia="en-US"/>
              </w:rPr>
            </w:pPr>
            <w:r w:rsidRPr="004D0DAA">
              <w:rPr>
                <w:lang w:eastAsia="en-US"/>
              </w:rPr>
              <w:t xml:space="preserve">0 </w:t>
            </w:r>
            <w:r w:rsidRPr="004D0DAA">
              <w:rPr>
                <w:lang w:eastAsia="en-US"/>
              </w:rPr>
              <w:fldChar w:fldCharType="begin"/>
            </w:r>
            <w:r w:rsidRPr="004D0DAA">
              <w:rPr>
                <w:lang w:eastAsia="en-US"/>
              </w:rPr>
              <w:instrText>symbol 163 \f "Symbol" \s 10</w:instrText>
            </w:r>
            <w:r w:rsidRPr="004D0DAA">
              <w:rPr>
                <w:lang w:eastAsia="en-US"/>
              </w:rPr>
              <w:fldChar w:fldCharType="separate"/>
            </w:r>
            <w:r w:rsidRPr="004D0DAA">
              <w:rPr>
                <w:rFonts w:ascii="Symbol" w:hAnsi="Symbol"/>
                <w:lang w:eastAsia="en-US"/>
              </w:rPr>
              <w:t>£</w:t>
            </w:r>
            <w:r w:rsidRPr="004D0DAA">
              <w:rPr>
                <w:lang w:eastAsia="en-US"/>
              </w:rPr>
              <w:fldChar w:fldCharType="end"/>
            </w:r>
            <w:r w:rsidRPr="004D0DAA">
              <w:rPr>
                <w:lang w:eastAsia="en-US"/>
              </w:rPr>
              <w:t xml:space="preserve"> k </w:t>
            </w:r>
            <w:r w:rsidRPr="004D0DAA">
              <w:rPr>
                <w:lang w:eastAsia="en-US"/>
              </w:rPr>
              <w:fldChar w:fldCharType="begin"/>
            </w:r>
            <w:r w:rsidRPr="004D0DAA">
              <w:rPr>
                <w:lang w:eastAsia="en-US"/>
              </w:rPr>
              <w:instrText>symbol 163 \f "Symbol" \s 10</w:instrText>
            </w:r>
            <w:r w:rsidRPr="004D0DAA">
              <w:rPr>
                <w:lang w:eastAsia="en-US"/>
              </w:rPr>
              <w:fldChar w:fldCharType="separate"/>
            </w:r>
            <w:r w:rsidRPr="004D0DAA">
              <w:rPr>
                <w:rFonts w:ascii="Symbol" w:hAnsi="Symbol"/>
                <w:lang w:eastAsia="en-US"/>
              </w:rPr>
              <w:t>£</w:t>
            </w:r>
            <w:r w:rsidRPr="004D0DAA">
              <w:rPr>
                <w:lang w:eastAsia="en-US"/>
              </w:rPr>
              <w:fldChar w:fldCharType="end"/>
            </w:r>
            <w:r w:rsidRPr="004D0DAA">
              <w:rPr>
                <w:lang w:eastAsia="en-US"/>
              </w:rPr>
              <w:t xml:space="preserve"> 8191</w:t>
            </w:r>
          </w:p>
        </w:tc>
      </w:tr>
    </w:tbl>
    <w:p w14:paraId="10522A02" w14:textId="77777777" w:rsidR="00711444" w:rsidRPr="004D0DAA" w:rsidRDefault="00711444" w:rsidP="00711444"/>
    <w:p w14:paraId="3B22389D" w14:textId="77777777" w:rsidR="00711444" w:rsidRPr="004D0DAA" w:rsidRDefault="00711444" w:rsidP="00711444">
      <w:pPr>
        <w:pStyle w:val="EX"/>
        <w:tabs>
          <w:tab w:val="left" w:pos="2410"/>
          <w:tab w:val="left" w:pos="4253"/>
        </w:tabs>
      </w:pPr>
      <w:r w:rsidRPr="004D0DAA">
        <w:t>EXAMPLE:</w:t>
      </w:r>
      <w:r w:rsidRPr="004D0DAA">
        <w:tab/>
        <w:t>Starting Frame Number Description (13-bit field):</w:t>
      </w:r>
      <w:r w:rsidRPr="004D0DAA">
        <w:br/>
        <w:t>k = 1</w:t>
      </w:r>
      <w:r w:rsidRPr="004D0DAA">
        <w:tab/>
        <w:t>0000000000001</w:t>
      </w:r>
      <w:r w:rsidRPr="004D0DAA">
        <w:tab/>
        <w:t>block with first TDMA frame number = N+8 or N+9</w:t>
      </w:r>
      <w:r w:rsidRPr="004D0DAA">
        <w:br/>
        <w:t>k = 2</w:t>
      </w:r>
      <w:r w:rsidRPr="004D0DAA">
        <w:tab/>
        <w:t>0000000000010</w:t>
      </w:r>
      <w:r w:rsidRPr="004D0DAA">
        <w:tab/>
        <w:t>block with first TDMA frame number = N+13</w:t>
      </w:r>
      <w:r w:rsidRPr="004D0DAA">
        <w:br/>
        <w:t>k = 3</w:t>
      </w:r>
      <w:r w:rsidRPr="004D0DAA">
        <w:tab/>
        <w:t>0000000000011</w:t>
      </w:r>
      <w:r w:rsidRPr="004D0DAA">
        <w:tab/>
        <w:t>block with first TDMA frame number = N+17 or N+18</w:t>
      </w:r>
    </w:p>
    <w:p w14:paraId="2AE2A71E" w14:textId="77777777" w:rsidR="00711444" w:rsidRPr="004D0DAA" w:rsidRDefault="00711444" w:rsidP="00711444">
      <w:pPr>
        <w:pStyle w:val="NO"/>
      </w:pPr>
      <w:r w:rsidRPr="004D0DAA">
        <w:t>NOTE 1:</w:t>
      </w:r>
      <w:r w:rsidRPr="004D0DAA">
        <w:tab/>
        <w:t>In these cases, only one of the frame numbers N+4+4k+kdiv3 or N+5+4k+kdiv3 is valid, because the other corresponds to an idle frame, depending on the position of the block in the multi-frame.</w:t>
      </w:r>
    </w:p>
    <w:p w14:paraId="5431F9B2" w14:textId="77777777" w:rsidR="00711444" w:rsidRPr="004D0DAA" w:rsidRDefault="00711444" w:rsidP="00711444">
      <w:pPr>
        <w:pStyle w:val="NO"/>
      </w:pPr>
      <w:r w:rsidRPr="004D0DAA">
        <w:t>NOTE 2:</w:t>
      </w:r>
      <w:r w:rsidRPr="004D0DAA">
        <w:tab/>
        <w:t>The value of (k+1) gives the number of relative blocks. The maximum number of relative blocks is therefore 8 192; this value was chosen according to the interval of time encoded by the Starting Time IE in 3GPP TS 44.018 (32 024 frames).</w:t>
      </w:r>
    </w:p>
    <w:p w14:paraId="1C450CAA" w14:textId="77777777" w:rsidR="00711444" w:rsidRPr="004D0DAA" w:rsidRDefault="00711444" w:rsidP="00711444">
      <w:pPr>
        <w:pStyle w:val="NO"/>
      </w:pPr>
      <w:r w:rsidRPr="004D0DAA">
        <w:t>NOTE 3:</w:t>
      </w:r>
      <w:r w:rsidRPr="004D0DAA">
        <w:tab/>
        <w:t>The value (k=0) should not be used, so as to leave time for the MS to analyse the message and get ready to receive or transmit.</w:t>
      </w:r>
    </w:p>
    <w:p w14:paraId="200397EC" w14:textId="77777777" w:rsidR="00711444" w:rsidRPr="004D0DAA" w:rsidRDefault="00711444" w:rsidP="00711444">
      <w:pPr>
        <w:pStyle w:val="Heading2"/>
      </w:pPr>
      <w:bookmarkStart w:id="805" w:name="_Toc516669981"/>
      <w:r w:rsidRPr="004D0DAA">
        <w:t>12.22</w:t>
      </w:r>
      <w:r w:rsidRPr="004D0DAA">
        <w:tab/>
        <w:t>(void)</w:t>
      </w:r>
      <w:bookmarkEnd w:id="805"/>
    </w:p>
    <w:p w14:paraId="44E7FB1F" w14:textId="77777777" w:rsidR="00711444" w:rsidRPr="004D0DAA" w:rsidRDefault="00711444" w:rsidP="00711444">
      <w:pPr>
        <w:pStyle w:val="Heading2"/>
      </w:pPr>
      <w:bookmarkStart w:id="806" w:name="_Toc516669982"/>
      <w:r w:rsidRPr="004D0DAA">
        <w:t>12.23</w:t>
      </w:r>
      <w:r w:rsidRPr="004D0DAA">
        <w:tab/>
        <w:t>Cell Identification</w:t>
      </w:r>
      <w:bookmarkEnd w:id="806"/>
    </w:p>
    <w:p w14:paraId="1299AB8E" w14:textId="77777777" w:rsidR="00711444" w:rsidRPr="004D0DAA" w:rsidRDefault="00711444" w:rsidP="00711444">
      <w:pPr>
        <w:keepNext/>
        <w:keepLines/>
      </w:pPr>
      <w:r w:rsidRPr="004D0DAA">
        <w:t xml:space="preserve">The </w:t>
      </w:r>
      <w:r w:rsidRPr="004D0DAA">
        <w:rPr>
          <w:i/>
        </w:rPr>
        <w:t>Cell Identification</w:t>
      </w:r>
      <w:r w:rsidRPr="004D0DAA">
        <w:t xml:space="preserve"> information element is used to uniquely identify the cell.</w:t>
      </w:r>
    </w:p>
    <w:p w14:paraId="2C573184" w14:textId="77777777" w:rsidR="00711444" w:rsidRPr="004D0DAA" w:rsidRDefault="00711444" w:rsidP="00711444">
      <w:pPr>
        <w:pStyle w:val="TH"/>
      </w:pPr>
      <w:r w:rsidRPr="004D0DAA">
        <w:t xml:space="preserve">Table 12.23.1: </w:t>
      </w:r>
      <w:r w:rsidRPr="004D0DAA">
        <w:rPr>
          <w:i/>
        </w:rPr>
        <w:t>Cell Identification</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C308428" w14:textId="77777777" w:rsidTr="00AA2A4C">
        <w:tblPrEx>
          <w:tblCellMar>
            <w:top w:w="0" w:type="dxa"/>
            <w:bottom w:w="0" w:type="dxa"/>
          </w:tblCellMar>
        </w:tblPrEx>
        <w:trPr>
          <w:cantSplit/>
        </w:trPr>
        <w:tc>
          <w:tcPr>
            <w:tcW w:w="9848" w:type="dxa"/>
          </w:tcPr>
          <w:p w14:paraId="28136102" w14:textId="77777777" w:rsidR="00711444" w:rsidRPr="004D0DAA" w:rsidRDefault="00711444" w:rsidP="00AA2A4C">
            <w:pPr>
              <w:pStyle w:val="TAL"/>
              <w:rPr>
                <w:lang w:eastAsia="en-US"/>
              </w:rPr>
            </w:pPr>
            <w:r w:rsidRPr="004D0DAA">
              <w:rPr>
                <w:lang w:eastAsia="en-US"/>
              </w:rPr>
              <w:t>&lt; Cell Identification IE &gt; ::=</w:t>
            </w:r>
          </w:p>
          <w:p w14:paraId="0A7D4B3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Location Area Identification IE</w:t>
            </w:r>
            <w:r w:rsidRPr="004D0DAA">
              <w:rPr>
                <w:lang w:eastAsia="en-US"/>
              </w:rPr>
              <w:t xml:space="preserve"> : octet (5) &gt;</w:t>
            </w:r>
            <w:r w:rsidRPr="004D0DAA">
              <w:rPr>
                <w:lang w:eastAsia="en-US"/>
              </w:rPr>
              <w:tab/>
            </w:r>
            <w:r w:rsidRPr="004D0DAA">
              <w:rPr>
                <w:lang w:eastAsia="en-US"/>
              </w:rPr>
              <w:tab/>
            </w:r>
            <w:r w:rsidRPr="004D0DAA">
              <w:rPr>
                <w:lang w:eastAsia="en-US"/>
              </w:rPr>
              <w:tab/>
              <w:t xml:space="preserve">-- </w:t>
            </w:r>
            <w:r w:rsidRPr="004D0DAA">
              <w:rPr>
                <w:i/>
                <w:lang w:eastAsia="en-US"/>
              </w:rPr>
              <w:t>3GPP TS 44.018</w:t>
            </w:r>
          </w:p>
          <w:p w14:paraId="03BB4D6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RAC</w:t>
            </w:r>
            <w:r w:rsidRPr="004D0DAA">
              <w:rPr>
                <w:lang w:eastAsia="en-US"/>
              </w:rPr>
              <w:t xml:space="preserve"> : bit (8) &gt;</w:t>
            </w:r>
          </w:p>
          <w:p w14:paraId="43945842" w14:textId="77777777" w:rsidR="00711444" w:rsidRPr="004D0DAA" w:rsidRDefault="00711444" w:rsidP="00AA2A4C">
            <w:pPr>
              <w:pStyle w:val="TAL"/>
              <w:rPr>
                <w:i/>
                <w:lang w:eastAsia="en-US"/>
              </w:rPr>
            </w:pPr>
            <w:r w:rsidRPr="004D0DAA">
              <w:rPr>
                <w:lang w:eastAsia="en-US"/>
              </w:rPr>
              <w:tab/>
              <w:t xml:space="preserve">&lt; </w:t>
            </w:r>
            <w:r w:rsidRPr="004D0DAA">
              <w:rPr>
                <w:b/>
                <w:lang w:eastAsia="en-US"/>
              </w:rPr>
              <w:t>Cell Identity IE</w:t>
            </w:r>
            <w:r w:rsidRPr="004D0DAA">
              <w:rPr>
                <w:lang w:eastAsia="en-US"/>
              </w:rPr>
              <w:t xml:space="preserve"> : octet (2)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3GPP TS 44.018</w:t>
            </w:r>
          </w:p>
          <w:p w14:paraId="2D0AA389" w14:textId="77777777" w:rsidR="00711444" w:rsidRPr="004D0DAA" w:rsidRDefault="00711444" w:rsidP="00AA2A4C">
            <w:pPr>
              <w:pStyle w:val="TAL"/>
              <w:rPr>
                <w:lang w:eastAsia="en-US"/>
              </w:rPr>
            </w:pPr>
          </w:p>
        </w:tc>
      </w:tr>
    </w:tbl>
    <w:p w14:paraId="3C4AADA6" w14:textId="77777777" w:rsidR="00711444" w:rsidRPr="004D0DAA" w:rsidRDefault="00711444" w:rsidP="00711444"/>
    <w:p w14:paraId="17F49F36" w14:textId="77777777" w:rsidR="00711444" w:rsidRPr="004D0DAA" w:rsidRDefault="00711444" w:rsidP="00711444">
      <w:pPr>
        <w:pStyle w:val="TH"/>
      </w:pPr>
      <w:r w:rsidRPr="004D0DAA">
        <w:lastRenderedPageBreak/>
        <w:t xml:space="preserve">Table 12.23.2: </w:t>
      </w:r>
      <w:r w:rsidRPr="004D0DAA">
        <w:rPr>
          <w:i/>
        </w:rPr>
        <w:t>Cell Identification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07BC550" w14:textId="77777777" w:rsidTr="00AA2A4C">
        <w:tblPrEx>
          <w:tblCellMar>
            <w:top w:w="0" w:type="dxa"/>
            <w:bottom w:w="0" w:type="dxa"/>
          </w:tblCellMar>
        </w:tblPrEx>
        <w:tc>
          <w:tcPr>
            <w:tcW w:w="9848" w:type="dxa"/>
          </w:tcPr>
          <w:p w14:paraId="1E8C8F4B" w14:textId="77777777" w:rsidR="00711444" w:rsidRPr="004D0DAA" w:rsidRDefault="00711444" w:rsidP="00AA2A4C">
            <w:pPr>
              <w:keepNext/>
              <w:keepLines/>
            </w:pPr>
            <w:r w:rsidRPr="004D0DAA">
              <w:rPr>
                <w:b/>
              </w:rPr>
              <w:t>Location Area Identity IE</w:t>
            </w:r>
            <w:r w:rsidRPr="004D0DAA">
              <w:t xml:space="preserve"> (5 octet field)</w:t>
            </w:r>
            <w:r w:rsidRPr="004D0DAA">
              <w:br/>
              <w:t xml:space="preserve">This field is coded using the V format of the type 3 information element </w:t>
            </w:r>
            <w:r w:rsidRPr="004D0DAA">
              <w:rPr>
                <w:i/>
              </w:rPr>
              <w:t>Location Area Identification</w:t>
            </w:r>
            <w:r w:rsidRPr="004D0DAA">
              <w:t xml:space="preserve"> defined in 3GPP TS 44.018.</w:t>
            </w:r>
          </w:p>
          <w:p w14:paraId="1161FE53" w14:textId="77777777" w:rsidR="00711444" w:rsidRPr="004D0DAA" w:rsidRDefault="00711444" w:rsidP="00AA2A4C">
            <w:pPr>
              <w:keepNext/>
              <w:keepLines/>
            </w:pPr>
            <w:r w:rsidRPr="004D0DAA">
              <w:rPr>
                <w:b/>
              </w:rPr>
              <w:t>RAC</w:t>
            </w:r>
            <w:r w:rsidRPr="004D0DAA">
              <w:t xml:space="preserve"> (8 bit field)</w:t>
            </w:r>
            <w:r w:rsidRPr="004D0DAA">
              <w:br/>
              <w:t>This field is the binary representation of the Routing Area Code, see 3GPP TS 23.003.</w:t>
            </w:r>
          </w:p>
          <w:p w14:paraId="776673F7" w14:textId="77777777" w:rsidR="00711444" w:rsidRPr="004D0DAA" w:rsidRDefault="00711444" w:rsidP="00AA2A4C">
            <w:pPr>
              <w:keepLines/>
            </w:pPr>
            <w:r w:rsidRPr="004D0DAA">
              <w:rPr>
                <w:b/>
              </w:rPr>
              <w:t>Cell Identity IE</w:t>
            </w:r>
            <w:r w:rsidRPr="004D0DAA">
              <w:t xml:space="preserve"> (2 octet field)</w:t>
            </w:r>
            <w:r w:rsidRPr="004D0DAA">
              <w:br/>
              <w:t xml:space="preserve">This field is coded using the V format of the type 3 information element </w:t>
            </w:r>
            <w:r w:rsidRPr="004D0DAA">
              <w:rPr>
                <w:i/>
              </w:rPr>
              <w:t>Cell Identity</w:t>
            </w:r>
            <w:r w:rsidRPr="004D0DAA">
              <w:t xml:space="preserve"> defined in 3GPP TS 44.018.</w:t>
            </w:r>
          </w:p>
        </w:tc>
      </w:tr>
    </w:tbl>
    <w:p w14:paraId="174D6E33" w14:textId="77777777" w:rsidR="00711444" w:rsidRPr="004D0DAA" w:rsidRDefault="00711444" w:rsidP="00711444"/>
    <w:p w14:paraId="10894FBB" w14:textId="77777777" w:rsidR="00711444" w:rsidRPr="004D0DAA" w:rsidRDefault="00711444" w:rsidP="00711444">
      <w:pPr>
        <w:pStyle w:val="Heading2"/>
      </w:pPr>
      <w:bookmarkStart w:id="807" w:name="_Toc516669983"/>
      <w:r w:rsidRPr="004D0DAA">
        <w:t>12.24</w:t>
      </w:r>
      <w:r w:rsidRPr="004D0DAA">
        <w:tab/>
        <w:t>GPRS Cell Options</w:t>
      </w:r>
      <w:bookmarkEnd w:id="807"/>
    </w:p>
    <w:p w14:paraId="7EC46B0F" w14:textId="77777777" w:rsidR="00711444" w:rsidRPr="004D0DAA" w:rsidRDefault="00711444" w:rsidP="00711444">
      <w:pPr>
        <w:keepNext/>
        <w:keepLines/>
      </w:pPr>
      <w:r w:rsidRPr="004D0DAA">
        <w:t xml:space="preserve">The </w:t>
      </w:r>
      <w:r w:rsidRPr="004D0DAA">
        <w:rPr>
          <w:i/>
        </w:rPr>
        <w:t>GPRS Cell Options</w:t>
      </w:r>
      <w:r w:rsidRPr="004D0DAA">
        <w:t xml:space="preserve"> information element is used to control a set of cell options related to GPRS.</w:t>
      </w:r>
    </w:p>
    <w:p w14:paraId="504C0C25" w14:textId="77777777" w:rsidR="00711444" w:rsidRPr="004D0DAA" w:rsidRDefault="00711444" w:rsidP="00711444">
      <w:pPr>
        <w:keepNext/>
        <w:keepLines/>
      </w:pPr>
      <w:r w:rsidRPr="004D0DAA">
        <w:t xml:space="preserve">This information element may include a nested </w:t>
      </w:r>
      <w:r w:rsidRPr="004D0DAA">
        <w:rPr>
          <w:i/>
        </w:rPr>
        <w:t>Extension Bit</w:t>
      </w:r>
      <w:r w:rsidRPr="004D0DAA">
        <w:t xml:space="preserve"> information element to allow future extension of cell option parameters.</w:t>
      </w:r>
    </w:p>
    <w:p w14:paraId="107ABE49" w14:textId="77777777" w:rsidR="00711444" w:rsidRPr="004D0DAA" w:rsidRDefault="00711444" w:rsidP="00711444">
      <w:pPr>
        <w:pStyle w:val="TH"/>
      </w:pPr>
      <w:r w:rsidRPr="004D0DAA">
        <w:t xml:space="preserve">Table 12.24.1: </w:t>
      </w:r>
      <w:r w:rsidRPr="004D0DAA">
        <w:rPr>
          <w:i/>
        </w:rPr>
        <w:t xml:space="preserve">GPRS Cell Options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B887554" w14:textId="77777777" w:rsidTr="00AA2A4C">
        <w:tblPrEx>
          <w:tblCellMar>
            <w:top w:w="0" w:type="dxa"/>
            <w:bottom w:w="0" w:type="dxa"/>
          </w:tblCellMar>
        </w:tblPrEx>
        <w:trPr>
          <w:cantSplit/>
        </w:trPr>
        <w:tc>
          <w:tcPr>
            <w:tcW w:w="9848" w:type="dxa"/>
          </w:tcPr>
          <w:p w14:paraId="4FE2BE00" w14:textId="77777777" w:rsidR="00711444" w:rsidRPr="004D0DAA" w:rsidRDefault="00711444" w:rsidP="00AA2A4C">
            <w:pPr>
              <w:pStyle w:val="TAL"/>
              <w:rPr>
                <w:lang w:eastAsia="en-US"/>
              </w:rPr>
            </w:pPr>
            <w:r w:rsidRPr="004D0DAA">
              <w:rPr>
                <w:lang w:eastAsia="en-US"/>
              </w:rPr>
              <w:t>&lt; GPRS Cell Options IE &gt; ::=</w:t>
            </w:r>
          </w:p>
          <w:p w14:paraId="489FEAC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NMO</w:t>
            </w:r>
            <w:r w:rsidRPr="004D0DAA">
              <w:rPr>
                <w:lang w:eastAsia="en-US"/>
              </w:rPr>
              <w:t xml:space="preserve"> : bit (2) &gt;</w:t>
            </w:r>
          </w:p>
          <w:p w14:paraId="39FEB9E5"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T3168</w:t>
            </w:r>
            <w:r w:rsidRPr="004D0DAA">
              <w:rPr>
                <w:lang w:val="fr-FR" w:eastAsia="en-US"/>
              </w:rPr>
              <w:t> : bit (3) &gt;</w:t>
            </w:r>
          </w:p>
          <w:p w14:paraId="7C2E6BB7"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T3192</w:t>
            </w:r>
            <w:r w:rsidRPr="004D0DAA">
              <w:rPr>
                <w:lang w:val="fr-FR" w:eastAsia="en-US"/>
              </w:rPr>
              <w:t xml:space="preserve"> : bit (3) &gt;</w:t>
            </w:r>
          </w:p>
          <w:p w14:paraId="1BE75068"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DRX_TIMER_MAX</w:t>
            </w:r>
            <w:r w:rsidRPr="004D0DAA">
              <w:rPr>
                <w:lang w:val="fr-FR" w:eastAsia="en-US"/>
              </w:rPr>
              <w:t xml:space="preserve"> : bit (3) &gt;</w:t>
            </w:r>
          </w:p>
          <w:p w14:paraId="1404624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lang w:eastAsia="en-US"/>
              </w:rPr>
              <w:t>ACCESS_BURST_TYPE</w:t>
            </w:r>
            <w:r w:rsidRPr="004D0DAA">
              <w:rPr>
                <w:lang w:eastAsia="en-US"/>
              </w:rPr>
              <w:t xml:space="preserve"> : bit &gt;</w:t>
            </w:r>
          </w:p>
          <w:p w14:paraId="0739FB2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CONTROL_ACK_TYPE</w:t>
            </w:r>
            <w:r w:rsidRPr="004D0DAA">
              <w:rPr>
                <w:lang w:eastAsia="en-US"/>
              </w:rPr>
              <w:t xml:space="preserve"> : bit &gt;</w:t>
            </w:r>
          </w:p>
          <w:p w14:paraId="5663FE9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BS_CV_MAX</w:t>
            </w:r>
            <w:r w:rsidRPr="004D0DAA">
              <w:rPr>
                <w:lang w:eastAsia="en-US"/>
              </w:rPr>
              <w:t xml:space="preserve"> : bit (4) &gt;</w:t>
            </w:r>
          </w:p>
          <w:p w14:paraId="552A223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PAN_DEC</w:t>
            </w:r>
            <w:r w:rsidRPr="004D0DAA">
              <w:rPr>
                <w:lang w:eastAsia="en-US"/>
              </w:rPr>
              <w:t xml:space="preserve"> : bit (3) &gt;</w:t>
            </w:r>
          </w:p>
          <w:p w14:paraId="4C6FAFD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PAN_INC</w:t>
            </w:r>
            <w:r w:rsidRPr="004D0DAA">
              <w:rPr>
                <w:lang w:eastAsia="en-US"/>
              </w:rPr>
              <w:t xml:space="preserve"> : bit (3) &gt;</w:t>
            </w:r>
          </w:p>
          <w:p w14:paraId="73BA6B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PAN_MAX</w:t>
            </w:r>
            <w:r w:rsidRPr="004D0DAA">
              <w:rPr>
                <w:lang w:eastAsia="en-US"/>
              </w:rPr>
              <w:t xml:space="preserve"> : bit (3) &gt; }</w:t>
            </w:r>
          </w:p>
          <w:p w14:paraId="51C9723A" w14:textId="77777777" w:rsidR="00711444" w:rsidRPr="004D0DAA" w:rsidRDefault="00711444" w:rsidP="00AA2A4C">
            <w:pPr>
              <w:pStyle w:val="TAL"/>
              <w:rPr>
                <w:lang w:eastAsia="en-US"/>
              </w:rPr>
            </w:pPr>
            <w:r w:rsidRPr="004D0DAA">
              <w:rPr>
                <w:lang w:eastAsia="en-US"/>
              </w:rPr>
              <w:tab/>
              <w:t xml:space="preserve">-- </w:t>
            </w:r>
            <w:r w:rsidRPr="004D0DAA">
              <w:rPr>
                <w:i/>
                <w:lang w:eastAsia="en-US"/>
              </w:rPr>
              <w:t>Optional extension information:</w:t>
            </w:r>
          </w:p>
          <w:p w14:paraId="382FECAB" w14:textId="77777777" w:rsidR="00711444" w:rsidRPr="004D0DAA" w:rsidRDefault="00711444" w:rsidP="00AA2A4C">
            <w:pPr>
              <w:pStyle w:val="TAL"/>
              <w:rPr>
                <w:lang w:eastAsia="en-US"/>
              </w:rPr>
            </w:pPr>
            <w:r w:rsidRPr="004D0DAA">
              <w:rPr>
                <w:lang w:eastAsia="en-US"/>
              </w:rPr>
              <w:tab/>
              <w:t>{ 0 | 1</w:t>
            </w:r>
            <w:r w:rsidRPr="004D0DAA">
              <w:rPr>
                <w:lang w:eastAsia="en-US"/>
              </w:rPr>
              <w:tab/>
              <w:t>&lt;Extension Length : bit (6)&gt;</w:t>
            </w:r>
          </w:p>
          <w:p w14:paraId="21972E8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bit (val(Extension Length) + 1)</w:t>
            </w:r>
          </w:p>
          <w:p w14:paraId="3FE15CD8"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t>&amp; { &lt;Extension Information &gt; ! { bit ** = &lt;no string&gt; } } &gt; } ;</w:t>
            </w:r>
          </w:p>
          <w:p w14:paraId="43B395D9" w14:textId="77777777" w:rsidR="00711444" w:rsidRPr="004D0DAA" w:rsidRDefault="00711444" w:rsidP="00AA2A4C">
            <w:pPr>
              <w:pStyle w:val="TAL"/>
              <w:rPr>
                <w:lang w:eastAsia="en-US"/>
              </w:rPr>
            </w:pPr>
          </w:p>
        </w:tc>
      </w:tr>
      <w:tr w:rsidR="00711444" w:rsidRPr="004D0DAA" w14:paraId="7000785C" w14:textId="77777777" w:rsidTr="00AA2A4C">
        <w:tblPrEx>
          <w:tblCellMar>
            <w:top w:w="0" w:type="dxa"/>
            <w:bottom w:w="0" w:type="dxa"/>
          </w:tblCellMar>
        </w:tblPrEx>
        <w:trPr>
          <w:cantSplit/>
        </w:trPr>
        <w:tc>
          <w:tcPr>
            <w:tcW w:w="9848" w:type="dxa"/>
          </w:tcPr>
          <w:p w14:paraId="1D0A0D01" w14:textId="77777777" w:rsidR="00711444" w:rsidRPr="004D0DAA" w:rsidRDefault="00711444" w:rsidP="00AA2A4C">
            <w:pPr>
              <w:pStyle w:val="TAL"/>
              <w:rPr>
                <w:lang w:eastAsia="en-US"/>
              </w:rPr>
            </w:pPr>
            <w:r w:rsidRPr="004D0DAA">
              <w:rPr>
                <w:lang w:eastAsia="en-US"/>
              </w:rPr>
              <w:t>&lt; Extension Information&gt; : : =</w:t>
            </w:r>
          </w:p>
          <w:p w14:paraId="25A1B203" w14:textId="77777777" w:rsidR="00711444" w:rsidRPr="004D0DAA" w:rsidRDefault="00711444" w:rsidP="00AA2A4C">
            <w:pPr>
              <w:pStyle w:val="TAL"/>
              <w:rPr>
                <w:lang w:eastAsia="en-US"/>
              </w:rPr>
            </w:pPr>
            <w:r w:rsidRPr="004D0DAA">
              <w:rPr>
                <w:lang w:eastAsia="en-US"/>
              </w:rPr>
              <w:tab/>
              <w:t>{ {</w:t>
            </w:r>
            <w:r w:rsidRPr="004D0DAA">
              <w:rPr>
                <w:lang w:eastAsia="en-US"/>
              </w:rPr>
              <w:tab/>
              <w:t xml:space="preserve">-- </w:t>
            </w:r>
            <w:r w:rsidRPr="004D0DAA">
              <w:rPr>
                <w:i/>
                <w:lang w:eastAsia="en-US"/>
              </w:rPr>
              <w:t>R99 extension:</w:t>
            </w:r>
          </w:p>
          <w:p w14:paraId="4736DDF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 </w:t>
            </w:r>
            <w:r w:rsidRPr="004D0DAA">
              <w:rPr>
                <w:i/>
                <w:lang w:eastAsia="en-US"/>
              </w:rPr>
              <w:t>EGPRS supported by the cell if the choice bit is set to '1'</w:t>
            </w:r>
          </w:p>
          <w:p w14:paraId="1EEEA53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EGPRS_PACKET_CHANNEL_REQUEST</w:t>
            </w:r>
            <w:r w:rsidRPr="004D0DAA">
              <w:rPr>
                <w:lang w:eastAsia="en-US"/>
              </w:rPr>
              <w:t xml:space="preserve"> : bit &gt;</w:t>
            </w:r>
          </w:p>
          <w:p w14:paraId="444466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BEP_PERIOD</w:t>
            </w:r>
            <w:r w:rsidRPr="004D0DAA">
              <w:rPr>
                <w:lang w:eastAsia="en-US"/>
              </w:rPr>
              <w:t xml:space="preserve"> : bit (4) &gt; }</w:t>
            </w:r>
          </w:p>
          <w:p w14:paraId="0F0FAAB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PFC_FEATURE_MODE</w:t>
            </w:r>
            <w:r w:rsidRPr="004D0DAA">
              <w:rPr>
                <w:lang w:eastAsia="en-US"/>
              </w:rPr>
              <w:t>: bit &gt;</w:t>
            </w:r>
          </w:p>
          <w:p w14:paraId="6715832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DTM_SUPPORT</w:t>
            </w:r>
            <w:r w:rsidRPr="004D0DAA">
              <w:rPr>
                <w:lang w:eastAsia="en-US"/>
              </w:rPr>
              <w:t>: bit &gt;</w:t>
            </w:r>
          </w:p>
          <w:p w14:paraId="3F544F7F"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BSS_PAGING_COORDINATION</w:t>
            </w:r>
            <w:r w:rsidRPr="004D0DAA">
              <w:rPr>
                <w:lang w:eastAsia="en-US"/>
              </w:rPr>
              <w:t>: bit &gt; }</w:t>
            </w:r>
          </w:p>
          <w:p w14:paraId="207A920E"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w:t>
            </w:r>
            <w:r w:rsidRPr="004D0DAA">
              <w:rPr>
                <w:i/>
                <w:lang w:eastAsia="en-US"/>
              </w:rPr>
              <w:t>REL</w:t>
            </w:r>
            <w:r w:rsidRPr="004D0DAA">
              <w:rPr>
                <w:i/>
                <w:lang w:eastAsia="en-US"/>
              </w:rPr>
              <w:noBreakHyphen/>
              <w:t>4 extension:</w:t>
            </w:r>
          </w:p>
          <w:p w14:paraId="1941F18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CCN_ACTIVE</w:t>
            </w:r>
            <w:r w:rsidRPr="004D0DAA">
              <w:rPr>
                <w:lang w:eastAsia="en-US"/>
              </w:rPr>
              <w:t xml:space="preserve"> : bit &gt;</w:t>
            </w:r>
          </w:p>
          <w:p w14:paraId="11DBF56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NW_EXT_UTBF</w:t>
            </w:r>
            <w:r w:rsidRPr="004D0DAA">
              <w:rPr>
                <w:lang w:eastAsia="en-US"/>
              </w:rPr>
              <w:t xml:space="preserve"> : bit &gt; }</w:t>
            </w:r>
          </w:p>
          <w:p w14:paraId="3E633C93"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w:t>
            </w:r>
            <w:r w:rsidRPr="004D0DAA">
              <w:rPr>
                <w:i/>
                <w:iCs/>
                <w:lang w:eastAsia="en-US"/>
              </w:rPr>
              <w:t>REL 6 extension:</w:t>
            </w:r>
          </w:p>
          <w:p w14:paraId="0017B56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MULTIPLE_TBF_CAPABILITY</w:t>
            </w:r>
            <w:r w:rsidRPr="004D0DAA">
              <w:rPr>
                <w:lang w:eastAsia="en-US"/>
              </w:rPr>
              <w:t xml:space="preserve"> : bit &gt; </w:t>
            </w:r>
          </w:p>
          <w:p w14:paraId="2897471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EXT_UTBF_NODATA</w:t>
            </w:r>
            <w:r w:rsidRPr="004D0DAA">
              <w:rPr>
                <w:lang w:eastAsia="en-US"/>
              </w:rPr>
              <w:t xml:space="preserve"> : bit &gt; </w:t>
            </w:r>
          </w:p>
          <w:p w14:paraId="4E8F6EA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DTM</w:t>
            </w:r>
            <w:r w:rsidRPr="004D0DAA">
              <w:rPr>
                <w:lang w:eastAsia="en-US"/>
              </w:rPr>
              <w:t>_</w:t>
            </w:r>
            <w:r w:rsidRPr="004D0DAA">
              <w:rPr>
                <w:b/>
                <w:bCs/>
                <w:lang w:eastAsia="en-US"/>
              </w:rPr>
              <w:t>ENHANCEMENTS_CAPABILITY</w:t>
            </w:r>
            <w:r w:rsidRPr="004D0DAA">
              <w:rPr>
                <w:lang w:eastAsia="en-US"/>
              </w:rPr>
              <w:t xml:space="preserve"> : bit &gt;</w:t>
            </w:r>
          </w:p>
          <w:p w14:paraId="6F94418C"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t xml:space="preserve">-- </w:t>
            </w:r>
            <w:r w:rsidRPr="004D0DAA">
              <w:rPr>
                <w:i/>
                <w:lang w:eastAsia="en-US"/>
              </w:rPr>
              <w:t>MBMS procedures not supported by the cell if the choice bit is set to '0'</w:t>
            </w:r>
          </w:p>
          <w:p w14:paraId="25A38C00"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t xml:space="preserve">-- </w:t>
            </w:r>
            <w:r w:rsidRPr="004D0DAA">
              <w:rPr>
                <w:i/>
                <w:lang w:eastAsia="en-US"/>
              </w:rPr>
              <w:t>MBMS procedures supported by the cell if the choice bit is set to '1'</w:t>
            </w:r>
          </w:p>
          <w:p w14:paraId="0E3EA4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DEDICATED</w:t>
            </w:r>
            <w:r w:rsidRPr="004D0DAA">
              <w:rPr>
                <w:lang w:eastAsia="en-US"/>
              </w:rPr>
              <w:t>_</w:t>
            </w:r>
            <w:r w:rsidRPr="004D0DAA">
              <w:rPr>
                <w:b/>
                <w:bCs/>
                <w:lang w:eastAsia="en-US"/>
              </w:rPr>
              <w:t>MODE</w:t>
            </w:r>
            <w:r w:rsidRPr="004D0DAA">
              <w:rPr>
                <w:lang w:eastAsia="en-US"/>
              </w:rPr>
              <w:t>_</w:t>
            </w:r>
            <w:r w:rsidRPr="004D0DAA">
              <w:rPr>
                <w:b/>
                <w:bCs/>
                <w:lang w:eastAsia="en-US"/>
              </w:rPr>
              <w:t>MBMS_NOTIFICATION</w:t>
            </w:r>
            <w:r w:rsidRPr="004D0DAA">
              <w:rPr>
                <w:lang w:eastAsia="en-US"/>
              </w:rPr>
              <w:t>_</w:t>
            </w:r>
            <w:r w:rsidRPr="004D0DAA">
              <w:rPr>
                <w:b/>
                <w:bCs/>
                <w:lang w:eastAsia="en-US"/>
              </w:rPr>
              <w:t>SUPPORT</w:t>
            </w:r>
            <w:r w:rsidRPr="004D0DAA">
              <w:rPr>
                <w:lang w:eastAsia="en-US"/>
              </w:rPr>
              <w:t xml:space="preserve">: bit &gt; </w:t>
            </w:r>
            <w:r w:rsidRPr="004D0DAA">
              <w:rPr>
                <w:lang w:eastAsia="en-US"/>
              </w:rPr>
              <w:tab/>
            </w:r>
          </w:p>
          <w:p w14:paraId="1437E8C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MNCI_SUPPORT </w:t>
            </w:r>
            <w:r w:rsidRPr="004D0DAA">
              <w:rPr>
                <w:lang w:eastAsia="en-US"/>
              </w:rPr>
              <w:t>: bit &gt; } }</w:t>
            </w:r>
          </w:p>
          <w:p w14:paraId="3FEA170D"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w:t>
            </w:r>
            <w:r w:rsidRPr="004D0DAA">
              <w:rPr>
                <w:i/>
                <w:iCs/>
                <w:lang w:eastAsia="en-US"/>
              </w:rPr>
              <w:t>Rel-7 extension:</w:t>
            </w:r>
          </w:p>
          <w:p w14:paraId="128311C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REDUCED_LATENCY_ACCESS</w:t>
            </w:r>
            <w:r w:rsidRPr="004D0DAA">
              <w:rPr>
                <w:lang w:eastAsia="en-US"/>
              </w:rPr>
              <w:t xml:space="preserve"> : bit &gt; }</w:t>
            </w:r>
          </w:p>
          <w:p w14:paraId="494D169E"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w:t>
            </w:r>
            <w:r w:rsidRPr="004D0DAA">
              <w:rPr>
                <w:i/>
                <w:iCs/>
                <w:lang w:eastAsia="en-US"/>
              </w:rPr>
              <w:t>Rel-10 extension:</w:t>
            </w:r>
          </w:p>
          <w:p w14:paraId="2D698EC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NMO_I_ALTERNATE</w:t>
            </w:r>
            <w:r w:rsidRPr="004D0DAA">
              <w:rPr>
                <w:lang w:eastAsia="en-US"/>
              </w:rPr>
              <w:t>: bit &gt; }</w:t>
            </w:r>
          </w:p>
          <w:p w14:paraId="45965668" w14:textId="77777777" w:rsidR="00711444" w:rsidRPr="004D0DAA" w:rsidRDefault="00711444" w:rsidP="00AA2A4C">
            <w:pPr>
              <w:pStyle w:val="TAL"/>
              <w:rPr>
                <w:i/>
                <w:lang w:eastAsia="en-US"/>
              </w:rPr>
            </w:pPr>
            <w:r w:rsidRPr="004D0DAA">
              <w:rPr>
                <w:lang w:eastAsia="en-US"/>
              </w:rPr>
              <w:tab/>
              <w:t>&lt; spare bit &gt; ** } // ;</w:t>
            </w:r>
            <w:r w:rsidRPr="004D0DAA">
              <w:rPr>
                <w:lang w:eastAsia="en-US"/>
              </w:rPr>
              <w:tab/>
            </w:r>
            <w:r w:rsidRPr="004D0DAA">
              <w:rPr>
                <w:lang w:eastAsia="en-US"/>
              </w:rPr>
              <w:tab/>
            </w:r>
            <w:r w:rsidRPr="004D0DAA">
              <w:rPr>
                <w:lang w:eastAsia="en-US"/>
              </w:rPr>
              <w:tab/>
              <w:t xml:space="preserve">-- </w:t>
            </w:r>
            <w:r w:rsidRPr="004D0DAA">
              <w:rPr>
                <w:i/>
                <w:lang w:eastAsia="en-US"/>
              </w:rPr>
              <w:t>Extension information may be truncated between released versions of the protocol.</w:t>
            </w:r>
          </w:p>
          <w:p w14:paraId="337DBAE2"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receiver shall assume the value zero for any truncated bit.</w:t>
            </w:r>
          </w:p>
          <w:p w14:paraId="7977478A" w14:textId="77777777" w:rsidR="00711444" w:rsidRPr="004D0DAA" w:rsidRDefault="00711444" w:rsidP="00AA2A4C">
            <w:pPr>
              <w:pStyle w:val="TAL"/>
              <w:rPr>
                <w:lang w:eastAsia="en-US"/>
              </w:rPr>
            </w:pPr>
          </w:p>
        </w:tc>
      </w:tr>
    </w:tbl>
    <w:p w14:paraId="5D164BBE" w14:textId="77777777" w:rsidR="00711444" w:rsidRPr="004D0DAA" w:rsidRDefault="00711444" w:rsidP="00711444"/>
    <w:p w14:paraId="3B64AEA3" w14:textId="77777777" w:rsidR="00711444" w:rsidRPr="004D0DAA" w:rsidRDefault="00711444" w:rsidP="00711444">
      <w:pPr>
        <w:pStyle w:val="TH"/>
      </w:pPr>
      <w:r w:rsidRPr="004D0DAA">
        <w:lastRenderedPageBreak/>
        <w:t xml:space="preserve">Table 12.24.2: </w:t>
      </w:r>
      <w:r w:rsidRPr="004D0DAA">
        <w:rPr>
          <w:i/>
        </w:rPr>
        <w:t xml:space="preserve">GPRS Cell Options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B80AC8" w14:textId="77777777" w:rsidTr="00AA2A4C">
        <w:tblPrEx>
          <w:tblCellMar>
            <w:top w:w="0" w:type="dxa"/>
            <w:bottom w:w="0" w:type="dxa"/>
          </w:tblCellMar>
        </w:tblPrEx>
        <w:trPr>
          <w:cantSplit/>
        </w:trPr>
        <w:tc>
          <w:tcPr>
            <w:tcW w:w="9848" w:type="dxa"/>
          </w:tcPr>
          <w:p w14:paraId="208C6B4C" w14:textId="77777777" w:rsidR="00711444" w:rsidRPr="004D0DAA" w:rsidRDefault="00711444" w:rsidP="00AA2A4C">
            <w:pPr>
              <w:keepNext/>
              <w:keepLines/>
            </w:pPr>
            <w:r w:rsidRPr="004D0DAA">
              <w:rPr>
                <w:b/>
              </w:rPr>
              <w:t>NMO</w:t>
            </w:r>
            <w:r w:rsidRPr="004D0DAA">
              <w:t xml:space="preserve"> (2 bit field)</w:t>
            </w:r>
            <w:r w:rsidRPr="004D0DAA">
              <w:br/>
              <w:t>This field is the binary representation of the Network Mode of Operation, see 3GPP TS 23.060:</w:t>
            </w:r>
          </w:p>
          <w:p w14:paraId="45FD1268" w14:textId="77777777" w:rsidR="00711444" w:rsidRPr="004D0DAA" w:rsidRDefault="00711444" w:rsidP="00AA2A4C">
            <w:pPr>
              <w:keepNext/>
              <w:keepLines/>
              <w:tabs>
                <w:tab w:val="left" w:pos="709"/>
              </w:tabs>
              <w:rPr>
                <w:b/>
              </w:rPr>
            </w:pPr>
            <w:r w:rsidRPr="004D0DAA">
              <w:t>Bit</w:t>
            </w:r>
            <w:r w:rsidRPr="004D0DAA">
              <w:br/>
              <w:t>2 1</w:t>
            </w:r>
            <w:r w:rsidRPr="004D0DAA">
              <w:br/>
              <w:t>0 0</w:t>
            </w:r>
            <w:r w:rsidRPr="004D0DAA">
              <w:tab/>
              <w:t>Network Mode of Operation I</w:t>
            </w:r>
            <w:r w:rsidRPr="004D0DAA">
              <w:br/>
              <w:t>0 1</w:t>
            </w:r>
            <w:r w:rsidRPr="004D0DAA">
              <w:tab/>
              <w:t>Network Mode of Operation II</w:t>
            </w:r>
            <w:r w:rsidRPr="004D0DAA">
              <w:br/>
              <w:t>1 0</w:t>
            </w:r>
            <w:r w:rsidRPr="004D0DAA">
              <w:tab/>
              <w:t>Network Mode of Operation III</w:t>
            </w:r>
            <w:r w:rsidRPr="004D0DAA">
              <w:br/>
              <w:t>1 1</w:t>
            </w:r>
            <w:r w:rsidRPr="004D0DAA">
              <w:tab/>
              <w:t>Reserved.</w:t>
            </w:r>
          </w:p>
        </w:tc>
      </w:tr>
      <w:tr w:rsidR="00711444" w:rsidRPr="004D0DAA" w14:paraId="0F2FA6AE" w14:textId="77777777" w:rsidTr="00AA2A4C">
        <w:tblPrEx>
          <w:tblCellMar>
            <w:top w:w="0" w:type="dxa"/>
            <w:bottom w:w="0" w:type="dxa"/>
          </w:tblCellMar>
        </w:tblPrEx>
        <w:trPr>
          <w:cantSplit/>
        </w:trPr>
        <w:tc>
          <w:tcPr>
            <w:tcW w:w="9848" w:type="dxa"/>
          </w:tcPr>
          <w:p w14:paraId="67825CD1" w14:textId="77777777" w:rsidR="00711444" w:rsidRPr="004D0DAA" w:rsidRDefault="00711444" w:rsidP="00AA2A4C">
            <w:pPr>
              <w:keepNext/>
              <w:keepLines/>
              <w:rPr>
                <w:b/>
              </w:rPr>
            </w:pPr>
            <w:r w:rsidRPr="004D0DAA">
              <w:rPr>
                <w:b/>
              </w:rPr>
              <w:t>T3168</w:t>
            </w:r>
            <w:r w:rsidRPr="004D0DAA">
              <w:t xml:space="preserve"> (3 bit field)</w:t>
            </w:r>
            <w:r w:rsidRPr="004D0DAA">
              <w:br/>
              <w:t>This field is the binary representation of the timeout value of timer T3168. Range: 0 to 7. The timeout value is given as the binary value plus one in units of 500 ms.</w:t>
            </w:r>
          </w:p>
        </w:tc>
      </w:tr>
      <w:tr w:rsidR="00711444" w:rsidRPr="004D0DAA" w14:paraId="278AAAC8" w14:textId="77777777" w:rsidTr="00AA2A4C">
        <w:tblPrEx>
          <w:tblCellMar>
            <w:top w:w="0" w:type="dxa"/>
            <w:bottom w:w="0" w:type="dxa"/>
          </w:tblCellMar>
        </w:tblPrEx>
        <w:trPr>
          <w:cantSplit/>
        </w:trPr>
        <w:tc>
          <w:tcPr>
            <w:tcW w:w="9848" w:type="dxa"/>
          </w:tcPr>
          <w:p w14:paraId="321A1224" w14:textId="77777777" w:rsidR="00711444" w:rsidRPr="004D0DAA" w:rsidRDefault="00711444" w:rsidP="00AA2A4C">
            <w:pPr>
              <w:keepLines/>
            </w:pPr>
            <w:r w:rsidRPr="004D0DAA">
              <w:rPr>
                <w:b/>
              </w:rPr>
              <w:t>T3192</w:t>
            </w:r>
            <w:r w:rsidRPr="004D0DAA">
              <w:t xml:space="preserve"> (3 bit field)</w:t>
            </w:r>
            <w:r w:rsidRPr="004D0DAA">
              <w:br/>
              <w:t>This field is the binary representation of the timeout value of timer T3192. Range: 0 to 7. The timeout value is given in the following table. In the case of 0 ms, the timer is not started and the mobile station shall consider T3192 as immediately expiring and follow procedures defined in sub-clauses 9.3.2.6 and 9.3.3.5:</w:t>
            </w:r>
          </w:p>
          <w:p w14:paraId="2D36BA02" w14:textId="77777777" w:rsidR="00711444" w:rsidRPr="004D0DAA" w:rsidRDefault="00711444" w:rsidP="00AA2A4C">
            <w:pPr>
              <w:keepNext/>
              <w:keepLines/>
              <w:tabs>
                <w:tab w:val="left" w:pos="709"/>
              </w:tabs>
              <w:rPr>
                <w:b/>
              </w:rPr>
            </w:pPr>
            <w:r w:rsidRPr="004D0DAA">
              <w:t>Bit</w:t>
            </w:r>
            <w:r w:rsidRPr="004D0DAA">
              <w:br/>
              <w:t>3 2 1</w:t>
            </w:r>
            <w:r w:rsidRPr="004D0DAA">
              <w:br/>
              <w:t>0 0 0</w:t>
            </w:r>
            <w:r w:rsidRPr="004D0DAA">
              <w:tab/>
              <w:t>500 ms</w:t>
            </w:r>
            <w:r w:rsidRPr="004D0DAA">
              <w:br/>
              <w:t>0 0 1</w:t>
            </w:r>
            <w:r w:rsidRPr="004D0DAA">
              <w:tab/>
              <w:t>1000 ms</w:t>
            </w:r>
            <w:r w:rsidRPr="004D0DAA">
              <w:br/>
              <w:t>0 1 0</w:t>
            </w:r>
            <w:r w:rsidRPr="004D0DAA">
              <w:tab/>
              <w:t>1500 ms</w:t>
            </w:r>
            <w:r w:rsidRPr="004D0DAA">
              <w:br/>
              <w:t>0 1 1</w:t>
            </w:r>
            <w:r w:rsidRPr="004D0DAA">
              <w:tab/>
              <w:t>0 ms</w:t>
            </w:r>
            <w:r w:rsidRPr="004D0DAA">
              <w:br/>
              <w:t>1 0 0</w:t>
            </w:r>
            <w:r w:rsidRPr="004D0DAA">
              <w:tab/>
              <w:t>80 ms</w:t>
            </w:r>
            <w:r w:rsidRPr="004D0DAA">
              <w:br/>
              <w:t>1 0 1</w:t>
            </w:r>
            <w:r w:rsidRPr="004D0DAA">
              <w:tab/>
              <w:t>120 ms</w:t>
            </w:r>
            <w:r w:rsidRPr="004D0DAA">
              <w:br/>
              <w:t>1 1 0</w:t>
            </w:r>
            <w:r w:rsidRPr="004D0DAA">
              <w:tab/>
              <w:t>160 ms</w:t>
            </w:r>
            <w:r w:rsidRPr="004D0DAA">
              <w:br/>
              <w:t>1 1 1</w:t>
            </w:r>
            <w:r w:rsidRPr="004D0DAA">
              <w:tab/>
              <w:t>200 ms</w:t>
            </w:r>
          </w:p>
        </w:tc>
      </w:tr>
      <w:tr w:rsidR="00711444" w:rsidRPr="004D0DAA" w14:paraId="129567D8" w14:textId="77777777" w:rsidTr="00AA2A4C">
        <w:tblPrEx>
          <w:tblCellMar>
            <w:top w:w="0" w:type="dxa"/>
            <w:bottom w:w="0" w:type="dxa"/>
          </w:tblCellMar>
        </w:tblPrEx>
        <w:trPr>
          <w:cantSplit/>
        </w:trPr>
        <w:tc>
          <w:tcPr>
            <w:tcW w:w="9848" w:type="dxa"/>
          </w:tcPr>
          <w:p w14:paraId="0DC67C26" w14:textId="77777777" w:rsidR="00711444" w:rsidRPr="004D0DAA" w:rsidRDefault="00711444" w:rsidP="00AA2A4C">
            <w:pPr>
              <w:keepNext/>
              <w:keepLines/>
              <w:rPr>
                <w:b/>
              </w:rPr>
            </w:pPr>
            <w:r w:rsidRPr="004D0DAA">
              <w:rPr>
                <w:b/>
              </w:rPr>
              <w:t>DRX_TIMER_MAX</w:t>
            </w:r>
            <w:r w:rsidRPr="004D0DAA">
              <w:t xml:space="preserve"> (3 bit field)</w:t>
            </w:r>
            <w:r w:rsidRPr="004D0DAA">
              <w:br/>
              <w:t>This field is the binary representation of the parameter DRX_TIMER_MAX. Range: 0 to 7. The parameter value is given as two taken to the power of the binary value minus one (2</w:t>
            </w:r>
            <w:r w:rsidRPr="004D0DAA">
              <w:rPr>
                <w:vertAlign w:val="superscript"/>
              </w:rPr>
              <w:t xml:space="preserve"> (bv - 1) </w:t>
            </w:r>
            <w:r w:rsidRPr="004D0DAA">
              <w:t>) in units of 1 second. The binary value zero indicates the parameter value zero (i.e, the parameter takes the values: 0, 1 s, 2 s, 4 s, .. 64 s.)</w:t>
            </w:r>
          </w:p>
        </w:tc>
      </w:tr>
      <w:tr w:rsidR="00711444" w:rsidRPr="004D0DAA" w14:paraId="12613876" w14:textId="77777777" w:rsidTr="00AA2A4C">
        <w:tblPrEx>
          <w:tblCellMar>
            <w:top w:w="0" w:type="dxa"/>
            <w:bottom w:w="0" w:type="dxa"/>
          </w:tblCellMar>
        </w:tblPrEx>
        <w:trPr>
          <w:cantSplit/>
        </w:trPr>
        <w:tc>
          <w:tcPr>
            <w:tcW w:w="9848" w:type="dxa"/>
          </w:tcPr>
          <w:p w14:paraId="08BD7920" w14:textId="77777777" w:rsidR="00711444" w:rsidRPr="004D0DAA" w:rsidRDefault="00711444" w:rsidP="00AA2A4C">
            <w:pPr>
              <w:keepNext/>
              <w:keepLines/>
            </w:pPr>
            <w:r w:rsidRPr="004D0DAA">
              <w:rPr>
                <w:b/>
              </w:rPr>
              <w:t>ACCESS_BURST_TYPE</w:t>
            </w:r>
            <w:r w:rsidRPr="004D0DAA">
              <w:t xml:space="preserve"> (1 bit field)</w:t>
            </w:r>
            <w:r w:rsidRPr="004D0DAA">
              <w:br/>
              <w:t>The ACCESS_BURST_TYPE field indicates if the 8 or 11 bit format shall be used in the PACKET CHANNEL REQUEST message, the PS HANDOVER ACCESS message, the PTCCH uplink block (3GPP TS 44.004) and in the PACKET CONTROL ACKNOWLEDGMENT message when the format is four access bursts. The field is coded according to the following table:</w:t>
            </w:r>
          </w:p>
          <w:p w14:paraId="67DC882E" w14:textId="77777777" w:rsidR="00711444" w:rsidRPr="004D0DAA" w:rsidRDefault="00711444" w:rsidP="00AA2A4C">
            <w:pPr>
              <w:keepNext/>
              <w:keepLines/>
              <w:rPr>
                <w:b/>
              </w:rPr>
            </w:pPr>
            <w:r w:rsidRPr="004D0DAA">
              <w:t>0</w:t>
            </w:r>
            <w:r w:rsidRPr="004D0DAA">
              <w:tab/>
              <w:t>8-bit format shall be used</w:t>
            </w:r>
            <w:r w:rsidRPr="004D0DAA">
              <w:br/>
              <w:t>1</w:t>
            </w:r>
            <w:r w:rsidRPr="004D0DAA">
              <w:tab/>
              <w:t>11-bit format shall be used</w:t>
            </w:r>
          </w:p>
        </w:tc>
      </w:tr>
      <w:tr w:rsidR="00711444" w:rsidRPr="004D0DAA" w14:paraId="0EA704D2" w14:textId="77777777" w:rsidTr="00AA2A4C">
        <w:tblPrEx>
          <w:tblCellMar>
            <w:top w:w="0" w:type="dxa"/>
            <w:bottom w:w="0" w:type="dxa"/>
          </w:tblCellMar>
        </w:tblPrEx>
        <w:trPr>
          <w:cantSplit/>
        </w:trPr>
        <w:tc>
          <w:tcPr>
            <w:tcW w:w="9848" w:type="dxa"/>
          </w:tcPr>
          <w:p w14:paraId="36BFC1FD" w14:textId="77777777" w:rsidR="00711444" w:rsidRPr="004D0DAA" w:rsidRDefault="00711444" w:rsidP="00AA2A4C">
            <w:pPr>
              <w:keepNext/>
              <w:keepLines/>
            </w:pPr>
            <w:r w:rsidRPr="004D0DAA">
              <w:rPr>
                <w:b/>
              </w:rPr>
              <w:t>CONTROL_ACK_TYPE</w:t>
            </w:r>
            <w:r w:rsidRPr="004D0DAA">
              <w:t xml:space="preserve"> (1 bit field)</w:t>
            </w:r>
            <w:r w:rsidRPr="004D0DAA">
              <w:br/>
              <w:t>This field is the binary representation of the default format of the PACKET CONTROL ACKNOWLEDGMENT message:</w:t>
            </w:r>
          </w:p>
          <w:p w14:paraId="7581C672" w14:textId="77777777" w:rsidR="00711444" w:rsidRPr="004D0DAA" w:rsidRDefault="00711444" w:rsidP="00AA2A4C">
            <w:pPr>
              <w:keepNext/>
              <w:keepLines/>
              <w:rPr>
                <w:b/>
              </w:rPr>
            </w:pPr>
            <w:r w:rsidRPr="004D0DAA">
              <w:t>0</w:t>
            </w:r>
            <w:r w:rsidRPr="004D0DAA">
              <w:tab/>
              <w:t>default format is four access bursts</w:t>
            </w:r>
            <w:r w:rsidRPr="004D0DAA">
              <w:br/>
              <w:t>1</w:t>
            </w:r>
            <w:r w:rsidRPr="004D0DAA">
              <w:tab/>
              <w:t>default format is RLC/MAC control block.</w:t>
            </w:r>
          </w:p>
        </w:tc>
      </w:tr>
      <w:tr w:rsidR="00711444" w:rsidRPr="004D0DAA" w14:paraId="51ED880D" w14:textId="77777777" w:rsidTr="00AA2A4C">
        <w:tblPrEx>
          <w:tblCellMar>
            <w:top w:w="0" w:type="dxa"/>
            <w:bottom w:w="0" w:type="dxa"/>
          </w:tblCellMar>
        </w:tblPrEx>
        <w:trPr>
          <w:cantSplit/>
        </w:trPr>
        <w:tc>
          <w:tcPr>
            <w:tcW w:w="9848" w:type="dxa"/>
          </w:tcPr>
          <w:p w14:paraId="38709414" w14:textId="77777777" w:rsidR="00711444" w:rsidRPr="004D0DAA" w:rsidRDefault="00711444" w:rsidP="00AA2A4C">
            <w:pPr>
              <w:keepLines/>
              <w:rPr>
                <w:b/>
              </w:rPr>
            </w:pPr>
            <w:r w:rsidRPr="004D0DAA">
              <w:rPr>
                <w:b/>
              </w:rPr>
              <w:t>BS_CV_MAX</w:t>
            </w:r>
            <w:r w:rsidRPr="004D0DAA">
              <w:t xml:space="preserve"> (4 bit field)</w:t>
            </w:r>
            <w:r w:rsidRPr="004D0DAA">
              <w:br/>
              <w:t>This field is the binary representation of the parameter BS_CV_MAX. Range: 0 to 15. The value BS_CV_MAX=0 shall be interpreted as value BS_CV_MAX=1 for calculation of T3200 and N3104max values.</w:t>
            </w:r>
          </w:p>
        </w:tc>
      </w:tr>
      <w:tr w:rsidR="00711444" w:rsidRPr="004D0DAA" w14:paraId="493C9ACC" w14:textId="77777777" w:rsidTr="00AA2A4C">
        <w:tblPrEx>
          <w:tblCellMar>
            <w:top w:w="0" w:type="dxa"/>
            <w:bottom w:w="0" w:type="dxa"/>
          </w:tblCellMar>
        </w:tblPrEx>
        <w:trPr>
          <w:cantSplit/>
        </w:trPr>
        <w:tc>
          <w:tcPr>
            <w:tcW w:w="9848" w:type="dxa"/>
          </w:tcPr>
          <w:p w14:paraId="20892AD3" w14:textId="77777777" w:rsidR="00711444" w:rsidRPr="004D0DAA" w:rsidRDefault="00711444" w:rsidP="00AA2A4C">
            <w:pPr>
              <w:keepLines/>
              <w:rPr>
                <w:b/>
              </w:rPr>
            </w:pPr>
            <w:r w:rsidRPr="004D0DAA">
              <w:rPr>
                <w:b/>
              </w:rPr>
              <w:t>PAN_DEC</w:t>
            </w:r>
            <w:r w:rsidRPr="004D0DAA">
              <w:t xml:space="preserve"> (3 bit field)</w:t>
            </w:r>
            <w:r w:rsidRPr="004D0DAA">
              <w:br/>
              <w:t>This field is the binary representation of the parameter PAN_DEC. If the field in not included, the default value 0 shall be used. Range: 0 to 7.</w:t>
            </w:r>
          </w:p>
        </w:tc>
      </w:tr>
      <w:tr w:rsidR="00711444" w:rsidRPr="004D0DAA" w14:paraId="0FDB080E" w14:textId="77777777" w:rsidTr="00AA2A4C">
        <w:tblPrEx>
          <w:tblCellMar>
            <w:top w:w="0" w:type="dxa"/>
            <w:bottom w:w="0" w:type="dxa"/>
          </w:tblCellMar>
        </w:tblPrEx>
        <w:trPr>
          <w:cantSplit/>
        </w:trPr>
        <w:tc>
          <w:tcPr>
            <w:tcW w:w="9848" w:type="dxa"/>
          </w:tcPr>
          <w:p w14:paraId="350B5C27" w14:textId="77777777" w:rsidR="00711444" w:rsidRPr="004D0DAA" w:rsidRDefault="00711444" w:rsidP="00AA2A4C">
            <w:pPr>
              <w:keepLines/>
              <w:rPr>
                <w:b/>
              </w:rPr>
            </w:pPr>
            <w:r w:rsidRPr="004D0DAA">
              <w:rPr>
                <w:b/>
              </w:rPr>
              <w:lastRenderedPageBreak/>
              <w:t>PAN_INC</w:t>
            </w:r>
            <w:r w:rsidRPr="004D0DAA">
              <w:t xml:space="preserve"> (3 bit field)</w:t>
            </w:r>
            <w:r w:rsidRPr="004D0DAA">
              <w:br/>
              <w:t>This field is the binary representation of the parameter PAN_INC. If the field in not included, the default value 0 shall be used. Range: 0 to 7.</w:t>
            </w:r>
          </w:p>
        </w:tc>
      </w:tr>
      <w:tr w:rsidR="00711444" w:rsidRPr="004D0DAA" w14:paraId="16741D38" w14:textId="77777777" w:rsidTr="00AA2A4C">
        <w:tblPrEx>
          <w:tblCellMar>
            <w:top w:w="0" w:type="dxa"/>
            <w:bottom w:w="0" w:type="dxa"/>
          </w:tblCellMar>
        </w:tblPrEx>
        <w:trPr>
          <w:cantSplit/>
        </w:trPr>
        <w:tc>
          <w:tcPr>
            <w:tcW w:w="9848" w:type="dxa"/>
          </w:tcPr>
          <w:p w14:paraId="60D0CA4A" w14:textId="77777777" w:rsidR="00711444" w:rsidRPr="004D0DAA" w:rsidRDefault="00711444" w:rsidP="00AA2A4C">
            <w:pPr>
              <w:keepNext/>
              <w:keepLines/>
            </w:pPr>
            <w:r w:rsidRPr="004D0DAA">
              <w:rPr>
                <w:b/>
              </w:rPr>
              <w:t>PAN_MAX</w:t>
            </w:r>
            <w:r w:rsidRPr="004D0DAA">
              <w:t xml:space="preserve"> (3 bit field)</w:t>
            </w:r>
            <w:r w:rsidRPr="004D0DAA">
              <w:br/>
              <w:t>This field defines the maximum value allowed for counter N3102.</w:t>
            </w:r>
          </w:p>
          <w:p w14:paraId="44ED647B" w14:textId="77777777" w:rsidR="00711444" w:rsidRPr="004D0DAA" w:rsidRDefault="00711444" w:rsidP="00AA2A4C">
            <w:pPr>
              <w:keepLines/>
              <w:tabs>
                <w:tab w:val="left" w:pos="709"/>
              </w:tabs>
            </w:pPr>
            <w:r w:rsidRPr="004D0DAA">
              <w:t>bit</w:t>
            </w:r>
            <w:r w:rsidRPr="004D0DAA">
              <w:br/>
              <w:t>3 2 1</w:t>
            </w:r>
            <w:r w:rsidRPr="004D0DAA">
              <w:br/>
              <w:t>0 0 0</w:t>
            </w:r>
            <w:r w:rsidRPr="004D0DAA">
              <w:tab/>
              <w:t>maximum value allowed for counter N3102 is 4</w:t>
            </w:r>
            <w:r w:rsidRPr="004D0DAA">
              <w:br/>
              <w:t>0 0 1</w:t>
            </w:r>
            <w:r w:rsidRPr="004D0DAA">
              <w:tab/>
              <w:t>maximum value allowed for counter N3102 is 8</w:t>
            </w:r>
            <w:r w:rsidRPr="004D0DAA">
              <w:br/>
              <w:t>. . .</w:t>
            </w:r>
            <w:r w:rsidRPr="004D0DAA">
              <w:br/>
              <w:t>1 1 1</w:t>
            </w:r>
            <w:r w:rsidRPr="004D0DAA">
              <w:tab/>
              <w:t>maximum value allowed for counter N3102 is 32</w:t>
            </w:r>
          </w:p>
          <w:p w14:paraId="6234963A" w14:textId="77777777" w:rsidR="00711444" w:rsidRPr="004D0DAA" w:rsidRDefault="00711444" w:rsidP="00AA2A4C">
            <w:pPr>
              <w:keepLines/>
              <w:rPr>
                <w:b/>
              </w:rPr>
            </w:pPr>
            <w:r w:rsidRPr="004D0DAA">
              <w:t>If the PAN_MAX field in not included, the default value 0 (i.e. N3102 max = 4) shall be used.</w:t>
            </w:r>
          </w:p>
        </w:tc>
      </w:tr>
      <w:tr w:rsidR="00711444" w:rsidRPr="004D0DAA" w14:paraId="3C69A0DC" w14:textId="77777777" w:rsidTr="00AA2A4C">
        <w:tblPrEx>
          <w:tblCellMar>
            <w:top w:w="0" w:type="dxa"/>
            <w:bottom w:w="0" w:type="dxa"/>
          </w:tblCellMar>
        </w:tblPrEx>
        <w:trPr>
          <w:cantSplit/>
        </w:trPr>
        <w:tc>
          <w:tcPr>
            <w:tcW w:w="9848" w:type="dxa"/>
          </w:tcPr>
          <w:p w14:paraId="7F91A144" w14:textId="77777777" w:rsidR="00711444" w:rsidRPr="004D0DAA" w:rsidRDefault="00711444" w:rsidP="00AA2A4C">
            <w:pPr>
              <w:keepNext/>
              <w:keepLines/>
              <w:spacing w:after="0"/>
              <w:ind w:left="288" w:hanging="288"/>
            </w:pPr>
            <w:r w:rsidRPr="004D0DAA">
              <w:rPr>
                <w:b/>
              </w:rPr>
              <w:t>EGPRS_PACKET_CHANNEL_REQUEST</w:t>
            </w:r>
            <w:r w:rsidRPr="004D0DAA">
              <w:t xml:space="preserve"> (1 bit field)</w:t>
            </w:r>
          </w:p>
          <w:p w14:paraId="10E4A930" w14:textId="77777777" w:rsidR="00711444" w:rsidRPr="004D0DAA" w:rsidRDefault="00711444" w:rsidP="00AA2A4C">
            <w:pPr>
              <w:keepNext/>
              <w:keepLines/>
              <w:spacing w:after="0"/>
              <w:ind w:left="288" w:hanging="288"/>
            </w:pPr>
          </w:p>
          <w:p w14:paraId="2F3B571A" w14:textId="77777777" w:rsidR="00711444" w:rsidRPr="004D0DAA" w:rsidRDefault="00711444" w:rsidP="00AA2A4C">
            <w:pPr>
              <w:ind w:left="284" w:hanging="284"/>
            </w:pPr>
            <w:r w:rsidRPr="004D0DAA">
              <w:t>0</w:t>
            </w:r>
            <w:r w:rsidRPr="004D0DAA">
              <w:tab/>
              <w:t>EGPRS capable MSs shall use EGPRS PACKET CHANNEL REQUEST message for uplink TBF establishment on the PRACH when there is a PBCCH in the cell or on the RACH when there is no PBCCH in the cell.</w:t>
            </w:r>
          </w:p>
          <w:p w14:paraId="128950EC" w14:textId="77777777" w:rsidR="00711444" w:rsidRPr="004D0DAA" w:rsidRDefault="00711444" w:rsidP="00AA2A4C">
            <w:pPr>
              <w:ind w:left="284" w:hanging="284"/>
            </w:pPr>
            <w:r w:rsidRPr="004D0DAA">
              <w:t>1</w:t>
            </w:r>
            <w:r w:rsidRPr="004D0DAA">
              <w:tab/>
              <w:t>EGPRS capable MSs shall use two phase packet access with PACKET CHANNEL REQUEST message on the PRACH for uplink TBF establishment when there is a PBCCH in the cell. EGPRS capable MSs shall use two phase packet access with CHANNEL REQUEST message on the RACH when there is no PBCCH in the cell.</w:t>
            </w:r>
          </w:p>
          <w:p w14:paraId="38F2245C" w14:textId="77777777" w:rsidR="00711444" w:rsidRPr="004D0DAA" w:rsidRDefault="00711444" w:rsidP="00AA2A4C">
            <w:pPr>
              <w:ind w:left="284" w:hanging="284"/>
              <w:rPr>
                <w:b/>
              </w:rPr>
            </w:pPr>
            <w:r w:rsidRPr="004D0DAA">
              <w:tab/>
              <w:t>As an exception, a mobile station that has enabled PEO (see 3GPP TS 43.064 [5]) shall always send an EGPRS PACKET CHANNEL REQUEST message with access type ‘PEO One Phase Access Request’ (see Table 11.2.5a.4) on the RACH regardless of the value of this field.</w:t>
            </w:r>
          </w:p>
        </w:tc>
      </w:tr>
      <w:tr w:rsidR="00711444" w:rsidRPr="004D0DAA" w14:paraId="0EE13A2D" w14:textId="77777777" w:rsidTr="00AA2A4C">
        <w:tblPrEx>
          <w:tblCellMar>
            <w:top w:w="0" w:type="dxa"/>
            <w:bottom w:w="0" w:type="dxa"/>
          </w:tblCellMar>
        </w:tblPrEx>
        <w:trPr>
          <w:cantSplit/>
        </w:trPr>
        <w:tc>
          <w:tcPr>
            <w:tcW w:w="9848" w:type="dxa"/>
          </w:tcPr>
          <w:p w14:paraId="3B4CDDAE" w14:textId="77777777" w:rsidR="00711444" w:rsidRPr="004D0DAA" w:rsidRDefault="00711444" w:rsidP="00AA2A4C">
            <w:pPr>
              <w:rPr>
                <w:b/>
              </w:rPr>
            </w:pPr>
            <w:r w:rsidRPr="004D0DAA">
              <w:rPr>
                <w:b/>
              </w:rPr>
              <w:t>BEP_PERIOD</w:t>
            </w:r>
            <w:r w:rsidRPr="004D0DAA">
              <w:t xml:space="preserve"> (4 bit field)</w:t>
            </w:r>
            <w:r w:rsidRPr="004D0DAA">
              <w:br/>
              <w:t xml:space="preserve">This field </w:t>
            </w:r>
            <w:r w:rsidRPr="004D0DAA">
              <w:rPr>
                <w:rFonts w:hint="eastAsia"/>
                <w:lang w:eastAsia="ko-KR"/>
              </w:rPr>
              <w:t>is applicable in EGPRS TBF mode. For the definition of this field</w:t>
            </w:r>
            <w:r w:rsidRPr="004D0DAA">
              <w:t>, refer to 3GPP TS 45.008.</w:t>
            </w:r>
          </w:p>
        </w:tc>
      </w:tr>
      <w:tr w:rsidR="00711444" w:rsidRPr="004D0DAA" w14:paraId="70E9AD01" w14:textId="77777777" w:rsidTr="00AA2A4C">
        <w:tblPrEx>
          <w:tblCellMar>
            <w:top w:w="0" w:type="dxa"/>
            <w:bottom w:w="0" w:type="dxa"/>
          </w:tblCellMar>
        </w:tblPrEx>
        <w:trPr>
          <w:cantSplit/>
        </w:trPr>
        <w:tc>
          <w:tcPr>
            <w:tcW w:w="9848" w:type="dxa"/>
          </w:tcPr>
          <w:p w14:paraId="71817B47" w14:textId="77777777" w:rsidR="00711444" w:rsidRPr="004D0DAA" w:rsidRDefault="00711444" w:rsidP="00AA2A4C">
            <w:r w:rsidRPr="004D0DAA">
              <w:rPr>
                <w:b/>
              </w:rPr>
              <w:t>PFC_FEATURE_MODE</w:t>
            </w:r>
            <w:r w:rsidRPr="004D0DAA">
              <w:t xml:space="preserve"> (1 bit field)</w:t>
            </w:r>
          </w:p>
          <w:p w14:paraId="0F635612" w14:textId="77777777" w:rsidR="00711444" w:rsidRPr="004D0DAA" w:rsidRDefault="00711444" w:rsidP="00AA2A4C">
            <w:r w:rsidRPr="004D0DAA">
              <w:t>0</w:t>
            </w:r>
            <w:r w:rsidRPr="004D0DAA">
              <w:tab/>
              <w:t xml:space="preserve">The network does not support packet flow context procedures. </w:t>
            </w:r>
            <w:r w:rsidRPr="004D0DAA">
              <w:br/>
              <w:t>1</w:t>
            </w:r>
            <w:r w:rsidRPr="004D0DAA">
              <w:tab/>
              <w:t>The network supports packet flow context procedures.</w:t>
            </w:r>
          </w:p>
        </w:tc>
      </w:tr>
      <w:tr w:rsidR="00711444" w:rsidRPr="004D0DAA" w14:paraId="7DF7E7C0" w14:textId="77777777" w:rsidTr="00AA2A4C">
        <w:tblPrEx>
          <w:tblCellMar>
            <w:top w:w="0" w:type="dxa"/>
            <w:bottom w:w="0" w:type="dxa"/>
          </w:tblCellMar>
        </w:tblPrEx>
        <w:trPr>
          <w:cantSplit/>
        </w:trPr>
        <w:tc>
          <w:tcPr>
            <w:tcW w:w="9848" w:type="dxa"/>
          </w:tcPr>
          <w:p w14:paraId="4F9EEF9B" w14:textId="77777777" w:rsidR="00711444" w:rsidRPr="004D0DAA" w:rsidRDefault="00711444" w:rsidP="00AA2A4C">
            <w:r w:rsidRPr="004D0DAA">
              <w:rPr>
                <w:b/>
              </w:rPr>
              <w:t xml:space="preserve">DTM_SUPPORT </w:t>
            </w:r>
            <w:r w:rsidRPr="004D0DAA">
              <w:t>(1 bit field)</w:t>
            </w:r>
            <w:r w:rsidRPr="004D0DAA">
              <w:br/>
              <w:t>This field indicates whether the cell supports DTM or not. It is coded as follows:</w:t>
            </w:r>
          </w:p>
          <w:p w14:paraId="1F5AEB0C" w14:textId="77777777" w:rsidR="00711444" w:rsidRPr="004D0DAA" w:rsidRDefault="00711444" w:rsidP="00AA2A4C">
            <w:pPr>
              <w:rPr>
                <w:b/>
              </w:rPr>
            </w:pPr>
            <w:r w:rsidRPr="004D0DAA">
              <w:t>0</w:t>
            </w:r>
            <w:r w:rsidRPr="004D0DAA">
              <w:tab/>
              <w:t xml:space="preserve">The cell does not support DTM procedures. </w:t>
            </w:r>
            <w:r w:rsidRPr="004D0DAA">
              <w:br/>
              <w:t>1</w:t>
            </w:r>
            <w:r w:rsidRPr="004D0DAA">
              <w:tab/>
              <w:t xml:space="preserve">The cell supports DTM procedures. </w:t>
            </w:r>
          </w:p>
        </w:tc>
      </w:tr>
      <w:tr w:rsidR="00711444" w:rsidRPr="004D0DAA" w14:paraId="2CF9EDC8" w14:textId="77777777" w:rsidTr="00AA2A4C">
        <w:tblPrEx>
          <w:tblCellMar>
            <w:top w:w="0" w:type="dxa"/>
            <w:bottom w:w="0" w:type="dxa"/>
          </w:tblCellMar>
        </w:tblPrEx>
        <w:trPr>
          <w:cantSplit/>
        </w:trPr>
        <w:tc>
          <w:tcPr>
            <w:tcW w:w="9848" w:type="dxa"/>
          </w:tcPr>
          <w:p w14:paraId="2A829A07" w14:textId="77777777" w:rsidR="00711444" w:rsidRPr="004D0DAA" w:rsidRDefault="00711444" w:rsidP="00AA2A4C">
            <w:r w:rsidRPr="004D0DAA">
              <w:rPr>
                <w:b/>
              </w:rPr>
              <w:t xml:space="preserve">CCN_ACTIVE </w:t>
            </w:r>
            <w:r w:rsidRPr="004D0DAA">
              <w:t>(1 bit field)</w:t>
            </w:r>
            <w:r w:rsidRPr="004D0DAA">
              <w:br/>
              <w:t>This field indicates whether CCN is enabled in the cell or not. It is coded as follows:</w:t>
            </w:r>
          </w:p>
          <w:p w14:paraId="6F5BB9F5" w14:textId="77777777" w:rsidR="00711444" w:rsidRPr="004D0DAA" w:rsidRDefault="00711444" w:rsidP="00AA2A4C">
            <w:r w:rsidRPr="004D0DAA">
              <w:t>0</w:t>
            </w:r>
            <w:r w:rsidRPr="004D0DAA">
              <w:tab/>
              <w:t xml:space="preserve">CCN is disabled in the cell. </w:t>
            </w:r>
            <w:r w:rsidRPr="004D0DAA">
              <w:br/>
              <w:t>1</w:t>
            </w:r>
            <w:r w:rsidRPr="004D0DAA">
              <w:tab/>
              <w:t>CCN is enabled in the cell.</w:t>
            </w:r>
          </w:p>
        </w:tc>
      </w:tr>
      <w:tr w:rsidR="00711444" w:rsidRPr="004D0DAA" w14:paraId="6889D4E4" w14:textId="77777777" w:rsidTr="00AA2A4C">
        <w:tblPrEx>
          <w:tblCellMar>
            <w:top w:w="0" w:type="dxa"/>
            <w:bottom w:w="0" w:type="dxa"/>
          </w:tblCellMar>
        </w:tblPrEx>
        <w:trPr>
          <w:cantSplit/>
        </w:trPr>
        <w:tc>
          <w:tcPr>
            <w:tcW w:w="9848" w:type="dxa"/>
          </w:tcPr>
          <w:p w14:paraId="0B23DC37" w14:textId="77777777" w:rsidR="00711444" w:rsidRPr="004D0DAA" w:rsidRDefault="00711444" w:rsidP="00AA2A4C">
            <w:r w:rsidRPr="004D0DAA">
              <w:rPr>
                <w:b/>
              </w:rPr>
              <w:t>NW_EXT_UTBF</w:t>
            </w:r>
            <w:r w:rsidRPr="004D0DAA">
              <w:t xml:space="preserve"> (1 bit field)</w:t>
            </w:r>
            <w:r w:rsidRPr="004D0DAA">
              <w:br/>
              <w:t xml:space="preserve">This field indicates whether the network supports the extended uplink TBF mode: </w:t>
            </w:r>
          </w:p>
          <w:p w14:paraId="79C3D330" w14:textId="77777777" w:rsidR="00711444" w:rsidRPr="004D0DAA" w:rsidRDefault="00711444" w:rsidP="00AA2A4C">
            <w:r w:rsidRPr="004D0DAA">
              <w:t>0</w:t>
            </w:r>
            <w:r w:rsidRPr="004D0DAA">
              <w:tab/>
              <w:t xml:space="preserve">The extended uplink TBF mode is not supported by the network. </w:t>
            </w:r>
            <w:r w:rsidRPr="004D0DAA">
              <w:br/>
              <w:t>1</w:t>
            </w:r>
            <w:r w:rsidRPr="004D0DAA">
              <w:tab/>
              <w:t>The extended uplink TBF mode is supported by the network.</w:t>
            </w:r>
          </w:p>
        </w:tc>
      </w:tr>
      <w:tr w:rsidR="00711444" w:rsidRPr="004D0DAA" w14:paraId="1AA9568F" w14:textId="77777777" w:rsidTr="00AA2A4C">
        <w:tblPrEx>
          <w:tblCellMar>
            <w:top w:w="0" w:type="dxa"/>
            <w:bottom w:w="0" w:type="dxa"/>
          </w:tblCellMar>
        </w:tblPrEx>
        <w:trPr>
          <w:cantSplit/>
        </w:trPr>
        <w:tc>
          <w:tcPr>
            <w:tcW w:w="9848" w:type="dxa"/>
          </w:tcPr>
          <w:p w14:paraId="0AB923CB" w14:textId="77777777" w:rsidR="00711444" w:rsidRPr="004D0DAA" w:rsidRDefault="00711444" w:rsidP="00AA2A4C">
            <w:r w:rsidRPr="004D0DAA">
              <w:rPr>
                <w:b/>
              </w:rPr>
              <w:t xml:space="preserve">BSS_PAGING_COORDINATION </w:t>
            </w:r>
            <w:r w:rsidRPr="004D0DAA">
              <w:t>(1 bit field)</w:t>
            </w:r>
            <w:r w:rsidRPr="004D0DAA">
              <w:br/>
              <w:t>This field indicates the network support of CS paging co-ordination in packet transfer mode during network mode of operation II and III. This field shall be ignored by the mobile station during network mode of operation I or by a mobile station capable of DTM in a cell supporting DTM procedures, in which cases Circuit-Switched paging coordination in packet transfer mode shall be provided by the network. It is coded as follows:</w:t>
            </w:r>
          </w:p>
          <w:p w14:paraId="7B9EEAF9" w14:textId="77777777" w:rsidR="00711444" w:rsidRPr="004D0DAA" w:rsidRDefault="00711444" w:rsidP="00AA2A4C">
            <w:pPr>
              <w:rPr>
                <w:b/>
              </w:rPr>
            </w:pPr>
            <w:r w:rsidRPr="004D0DAA">
              <w:t>0</w:t>
            </w:r>
            <w:r w:rsidRPr="004D0DAA">
              <w:tab/>
              <w:t xml:space="preserve">The cell does not support Circuit-Switched paging coordination </w:t>
            </w:r>
            <w:r w:rsidRPr="004D0DAA">
              <w:br/>
              <w:t>1</w:t>
            </w:r>
            <w:r w:rsidRPr="004D0DAA">
              <w:tab/>
              <w:t>The cell supports Circuit-Switched paging coordination</w:t>
            </w:r>
          </w:p>
        </w:tc>
      </w:tr>
      <w:tr w:rsidR="00711444" w:rsidRPr="004D0DAA" w14:paraId="4B21957C" w14:textId="77777777" w:rsidTr="00AA2A4C">
        <w:tblPrEx>
          <w:tblCellMar>
            <w:top w:w="0" w:type="dxa"/>
            <w:bottom w:w="0" w:type="dxa"/>
          </w:tblCellMar>
        </w:tblPrEx>
        <w:trPr>
          <w:cantSplit/>
        </w:trPr>
        <w:tc>
          <w:tcPr>
            <w:tcW w:w="9848" w:type="dxa"/>
          </w:tcPr>
          <w:p w14:paraId="6D6A686A" w14:textId="77777777" w:rsidR="00711444" w:rsidRPr="004D0DAA" w:rsidRDefault="00711444" w:rsidP="00AA2A4C">
            <w:r w:rsidRPr="004D0DAA">
              <w:rPr>
                <w:b/>
              </w:rPr>
              <w:lastRenderedPageBreak/>
              <w:t>MULTIPLE_TBF_CAPABILITY</w:t>
            </w:r>
            <w:r w:rsidRPr="004D0DAA">
              <w:t xml:space="preserve"> (1 bit field)</w:t>
            </w:r>
            <w:r w:rsidRPr="004D0DAA">
              <w:br/>
              <w:t xml:space="preserve">This field indicates whether or not the cell supports multiple TBF procedures for A/Gb mode: </w:t>
            </w:r>
          </w:p>
          <w:p w14:paraId="26349AC1" w14:textId="77777777" w:rsidR="00711444" w:rsidRPr="004D0DAA" w:rsidRDefault="00711444" w:rsidP="00AA2A4C">
            <w:pPr>
              <w:rPr>
                <w:b/>
              </w:rPr>
            </w:pPr>
            <w:r w:rsidRPr="004D0DAA">
              <w:t>0</w:t>
            </w:r>
            <w:r w:rsidRPr="004D0DAA">
              <w:tab/>
              <w:t xml:space="preserve">The cell does not support multiple TBF procedures. </w:t>
            </w:r>
            <w:r w:rsidRPr="004D0DAA">
              <w:br/>
              <w:t>1</w:t>
            </w:r>
            <w:r w:rsidRPr="004D0DAA">
              <w:tab/>
              <w:t>The cell supports multiple TBF procedures.</w:t>
            </w:r>
          </w:p>
        </w:tc>
      </w:tr>
      <w:tr w:rsidR="00711444" w:rsidRPr="004D0DAA" w14:paraId="775BAB29" w14:textId="77777777" w:rsidTr="00AA2A4C">
        <w:tblPrEx>
          <w:tblCellMar>
            <w:top w:w="0" w:type="dxa"/>
            <w:bottom w:w="0" w:type="dxa"/>
          </w:tblCellMar>
        </w:tblPrEx>
        <w:trPr>
          <w:cantSplit/>
        </w:trPr>
        <w:tc>
          <w:tcPr>
            <w:tcW w:w="9848" w:type="dxa"/>
          </w:tcPr>
          <w:p w14:paraId="627098CD" w14:textId="77777777" w:rsidR="00711444" w:rsidRPr="004D0DAA" w:rsidRDefault="00711444" w:rsidP="00AA2A4C">
            <w:r w:rsidRPr="004D0DAA">
              <w:rPr>
                <w:b/>
                <w:bCs/>
              </w:rPr>
              <w:t xml:space="preserve">EXT_UTBF_NODATA </w:t>
            </w:r>
            <w:r w:rsidRPr="004D0DAA">
              <w:t>(1 bit field)</w:t>
            </w:r>
            <w:r w:rsidRPr="004D0DAA">
              <w:br/>
              <w:t>This field indicates whether the mobile station during extended uplink TBF mode may refrain from sending PACKET UPLINK DUMMY CONTROL BLOCK messages when there is no other RLC/MAC block ready to send in an uplink radio block allocated by the network.</w:t>
            </w:r>
          </w:p>
          <w:p w14:paraId="14A2D9C0" w14:textId="77777777" w:rsidR="00711444" w:rsidRPr="004D0DAA" w:rsidRDefault="00711444" w:rsidP="00AA2A4C">
            <w:pPr>
              <w:pStyle w:val="B1"/>
              <w:rPr>
                <w:lang w:eastAsia="en-US"/>
              </w:rPr>
            </w:pPr>
            <w:r w:rsidRPr="004D0DAA">
              <w:rPr>
                <w:lang w:eastAsia="en-US"/>
              </w:rPr>
              <w:t>0</w:t>
            </w:r>
            <w:r w:rsidRPr="004D0DAA">
              <w:rPr>
                <w:lang w:eastAsia="en-US"/>
              </w:rPr>
              <w:tab/>
              <w:t>The mobile station shall send a PACKET UPLINK DUMMY CONTROL BLOCK message when there is no other RLC/MAC block ready to send in an uplink radio block allocated by the network.</w:t>
            </w:r>
          </w:p>
          <w:p w14:paraId="46885618" w14:textId="77777777" w:rsidR="00711444" w:rsidRPr="004D0DAA" w:rsidRDefault="00711444" w:rsidP="00AA2A4C">
            <w:pPr>
              <w:pStyle w:val="B1"/>
              <w:rPr>
                <w:b/>
                <w:lang w:eastAsia="en-US"/>
              </w:rPr>
            </w:pPr>
            <w:r w:rsidRPr="004D0DAA">
              <w:rPr>
                <w:lang w:eastAsia="en-US"/>
              </w:rPr>
              <w:t>1</w:t>
            </w:r>
            <w:r w:rsidRPr="004D0DAA">
              <w:rPr>
                <w:lang w:eastAsia="en-US"/>
              </w:rPr>
              <w:tab/>
              <w:t>The mobile station may refrain from sending a PACKET UPLINK DUMMY CONTROL BLOCK message when there is no other RLC/MAC block ready to send in an uplink radio block allocated by the network.</w:t>
            </w:r>
          </w:p>
        </w:tc>
      </w:tr>
      <w:tr w:rsidR="00711444" w:rsidRPr="004D0DAA" w14:paraId="1953978A" w14:textId="77777777" w:rsidTr="00AA2A4C">
        <w:tblPrEx>
          <w:tblCellMar>
            <w:top w:w="0" w:type="dxa"/>
            <w:bottom w:w="0" w:type="dxa"/>
          </w:tblCellMar>
        </w:tblPrEx>
        <w:trPr>
          <w:cantSplit/>
        </w:trPr>
        <w:tc>
          <w:tcPr>
            <w:tcW w:w="9848" w:type="dxa"/>
          </w:tcPr>
          <w:p w14:paraId="12C238F0" w14:textId="77777777" w:rsidR="00711444" w:rsidRPr="004D0DAA" w:rsidRDefault="00711444" w:rsidP="00AA2A4C">
            <w:r w:rsidRPr="004D0DAA">
              <w:rPr>
                <w:b/>
                <w:bCs/>
              </w:rPr>
              <w:t>DTM</w:t>
            </w:r>
            <w:r w:rsidRPr="004D0DAA">
              <w:t>_</w:t>
            </w:r>
            <w:r w:rsidRPr="004D0DAA">
              <w:rPr>
                <w:b/>
                <w:bCs/>
              </w:rPr>
              <w:t>ENHANCEMENTS_CAPABILITY</w:t>
            </w:r>
            <w:r w:rsidRPr="004D0DAA">
              <w:t xml:space="preserve"> (1 bit field) </w:t>
            </w:r>
            <w:r w:rsidRPr="004D0DAA">
              <w:br/>
              <w:t>This field indicates whether the cell supports enhanced DTM CS establishment and enhanced DTM CS release or not. It is coded as follows:</w:t>
            </w:r>
          </w:p>
          <w:p w14:paraId="400EF82C" w14:textId="77777777" w:rsidR="00711444" w:rsidRPr="004D0DAA" w:rsidRDefault="00711444" w:rsidP="00AA2A4C">
            <w:pPr>
              <w:rPr>
                <w:b/>
                <w:bCs/>
              </w:rPr>
            </w:pPr>
            <w:r w:rsidRPr="004D0DAA">
              <w:t>0</w:t>
            </w:r>
            <w:r w:rsidRPr="004D0DAA">
              <w:tab/>
              <w:t xml:space="preserve">The cell does not support enhanced DTM CS establishment and enhanced DTM CS release procedures. </w:t>
            </w:r>
            <w:r w:rsidRPr="004D0DAA">
              <w:br/>
              <w:t>1</w:t>
            </w:r>
            <w:r w:rsidRPr="004D0DAA">
              <w:tab/>
              <w:t>The cell supports enhanced DTM CS establishment and enhanced DTM CS release procedures.</w:t>
            </w:r>
          </w:p>
        </w:tc>
      </w:tr>
      <w:tr w:rsidR="00711444" w:rsidRPr="004D0DAA" w14:paraId="70F219D3" w14:textId="77777777" w:rsidTr="00AA2A4C">
        <w:tblPrEx>
          <w:tblCellMar>
            <w:top w:w="0" w:type="dxa"/>
            <w:bottom w:w="0" w:type="dxa"/>
          </w:tblCellMar>
        </w:tblPrEx>
        <w:trPr>
          <w:cantSplit/>
        </w:trPr>
        <w:tc>
          <w:tcPr>
            <w:tcW w:w="9848" w:type="dxa"/>
          </w:tcPr>
          <w:p w14:paraId="36E93DA9" w14:textId="77777777" w:rsidR="00711444" w:rsidRPr="004D0DAA" w:rsidRDefault="00711444" w:rsidP="00AA2A4C">
            <w:r w:rsidRPr="004D0DAA">
              <w:rPr>
                <w:b/>
                <w:bCs/>
              </w:rPr>
              <w:t>DEDICATED_MODE_MBMS_NOTIFICATION</w:t>
            </w:r>
            <w:r w:rsidRPr="004D0DAA">
              <w:t>_</w:t>
            </w:r>
            <w:r w:rsidRPr="004D0DAA">
              <w:rPr>
                <w:b/>
                <w:bCs/>
              </w:rPr>
              <w:t>SUPPORT</w:t>
            </w:r>
            <w:r w:rsidRPr="004D0DAA">
              <w:t xml:space="preserve"> (1 bit field) </w:t>
            </w:r>
            <w:r w:rsidRPr="004D0DAA">
              <w:br/>
              <w:t>This field indicates whether the cell supports Dedicated Mode MBMS Notification or not. It is coded as follows:</w:t>
            </w:r>
          </w:p>
          <w:p w14:paraId="2CEF3C89" w14:textId="77777777" w:rsidR="00711444" w:rsidRPr="004D0DAA" w:rsidRDefault="00711444" w:rsidP="00AA2A4C">
            <w:pPr>
              <w:rPr>
                <w:b/>
                <w:bCs/>
              </w:rPr>
            </w:pPr>
            <w:r w:rsidRPr="004D0DAA">
              <w:t>0</w:t>
            </w:r>
            <w:r w:rsidRPr="004D0DAA">
              <w:tab/>
              <w:t xml:space="preserve">The cell does not support the Dedicated Mode MBMS Notification procedures. </w:t>
            </w:r>
            <w:r w:rsidRPr="004D0DAA">
              <w:br/>
              <w:t>1</w:t>
            </w:r>
            <w:r w:rsidRPr="004D0DAA">
              <w:tab/>
              <w:t>The cell supports the Dedicated Mode MBMS Notification procedures.</w:t>
            </w:r>
          </w:p>
        </w:tc>
      </w:tr>
      <w:tr w:rsidR="00711444" w:rsidRPr="004D0DAA" w14:paraId="3F7109DC" w14:textId="77777777" w:rsidTr="00AA2A4C">
        <w:tblPrEx>
          <w:tblCellMar>
            <w:top w:w="0" w:type="dxa"/>
            <w:bottom w:w="0" w:type="dxa"/>
          </w:tblCellMar>
        </w:tblPrEx>
        <w:trPr>
          <w:cantSplit/>
        </w:trPr>
        <w:tc>
          <w:tcPr>
            <w:tcW w:w="9848" w:type="dxa"/>
          </w:tcPr>
          <w:p w14:paraId="12D5AD7D" w14:textId="77777777" w:rsidR="00711444" w:rsidRPr="004D0DAA" w:rsidRDefault="00711444" w:rsidP="00AA2A4C">
            <w:r w:rsidRPr="004D0DAA">
              <w:rPr>
                <w:b/>
                <w:bCs/>
              </w:rPr>
              <w:t xml:space="preserve">MNCI_SUPPORT </w:t>
            </w:r>
            <w:r w:rsidRPr="004D0DAA">
              <w:t>(1 bit field)</w:t>
            </w:r>
            <w:r w:rsidRPr="004D0DAA">
              <w:br/>
              <w:t>This field indicates whether the cell supports the distribution of MBMS NEIGHBOURING CELL INFORMATION messages. It is coded as follows:</w:t>
            </w:r>
          </w:p>
          <w:p w14:paraId="2A6D5560" w14:textId="77777777" w:rsidR="00711444" w:rsidRPr="004D0DAA" w:rsidRDefault="00711444" w:rsidP="00AA2A4C">
            <w:r w:rsidRPr="004D0DAA">
              <w:t>0</w:t>
            </w:r>
            <w:r w:rsidRPr="004D0DAA">
              <w:tab/>
              <w:t>The cell does not support the distribution of MBMS NEIGHBOURING CELL INFORMATION messages</w:t>
            </w:r>
            <w:r w:rsidRPr="004D0DAA">
              <w:br/>
              <w:t>1</w:t>
            </w:r>
            <w:r w:rsidRPr="004D0DAA">
              <w:tab/>
              <w:t>The cell supports the distribution of MBMS NEIGHBOURING CELL INFORMATION messages</w:t>
            </w:r>
          </w:p>
        </w:tc>
      </w:tr>
      <w:tr w:rsidR="00711444" w:rsidRPr="004D0DAA" w14:paraId="1A6FC272" w14:textId="77777777" w:rsidTr="00AA2A4C">
        <w:tblPrEx>
          <w:tblCellMar>
            <w:top w:w="0" w:type="dxa"/>
            <w:bottom w:w="0" w:type="dxa"/>
          </w:tblCellMar>
        </w:tblPrEx>
        <w:trPr>
          <w:cantSplit/>
        </w:trPr>
        <w:tc>
          <w:tcPr>
            <w:tcW w:w="9848" w:type="dxa"/>
          </w:tcPr>
          <w:p w14:paraId="6E94096C" w14:textId="77777777" w:rsidR="00711444" w:rsidRPr="004D0DAA" w:rsidRDefault="00711444" w:rsidP="00AA2A4C">
            <w:r w:rsidRPr="004D0DAA">
              <w:rPr>
                <w:b/>
                <w:bCs/>
              </w:rPr>
              <w:t>REDUCED_LATENCY</w:t>
            </w:r>
            <w:r w:rsidRPr="004D0DAA">
              <w:t xml:space="preserve"> </w:t>
            </w:r>
            <w:r w:rsidRPr="004D0DAA">
              <w:rPr>
                <w:b/>
              </w:rPr>
              <w:t>ACCESS</w:t>
            </w:r>
            <w:r w:rsidRPr="004D0DAA">
              <w:t xml:space="preserve"> (1 bit field)</w:t>
            </w:r>
            <w:r w:rsidRPr="004D0DAA">
              <w:br/>
              <w:t>This field indicates whether the cell supporting the EGPRS PACKET CHANNEL REQUEST message also supports "One Phase Access Request by Reduced Latency MS", see sub-clause 7.1.2.1.</w:t>
            </w:r>
          </w:p>
          <w:p w14:paraId="403A5F88" w14:textId="77777777" w:rsidR="00711444" w:rsidRPr="004D0DAA" w:rsidRDefault="00711444" w:rsidP="00AA2A4C">
            <w:r w:rsidRPr="004D0DAA">
              <w:t>0</w:t>
            </w:r>
            <w:r w:rsidRPr="004D0DAA">
              <w:tab/>
              <w:t>The cell does not support "One Phase Access Request by Reduced Latency MS".</w:t>
            </w:r>
            <w:r w:rsidRPr="004D0DAA">
              <w:br/>
              <w:t>1</w:t>
            </w:r>
            <w:r w:rsidRPr="004D0DAA">
              <w:tab/>
              <w:t>The cell supports "One Phase Access Request by Reduced Latency MS".</w:t>
            </w:r>
          </w:p>
        </w:tc>
      </w:tr>
      <w:tr w:rsidR="00711444" w:rsidRPr="004D0DAA" w14:paraId="219BB630" w14:textId="77777777" w:rsidTr="00AA2A4C">
        <w:tblPrEx>
          <w:tblCellMar>
            <w:top w:w="0" w:type="dxa"/>
            <w:bottom w:w="0" w:type="dxa"/>
          </w:tblCellMar>
        </w:tblPrEx>
        <w:trPr>
          <w:cantSplit/>
        </w:trPr>
        <w:tc>
          <w:tcPr>
            <w:tcW w:w="9848" w:type="dxa"/>
          </w:tcPr>
          <w:p w14:paraId="4C834151" w14:textId="77777777" w:rsidR="00711444" w:rsidRPr="004D0DAA" w:rsidRDefault="00711444" w:rsidP="00AA2A4C">
            <w:pPr>
              <w:keepNext/>
              <w:keepLines/>
              <w:tabs>
                <w:tab w:val="left" w:pos="709"/>
              </w:tabs>
            </w:pPr>
            <w:r w:rsidRPr="004D0DAA">
              <w:rPr>
                <w:b/>
              </w:rPr>
              <w:t xml:space="preserve">NMO_I_ALTERNATE </w:t>
            </w:r>
            <w:r w:rsidRPr="004D0DAA">
              <w:t>(1 bit field)</w:t>
            </w:r>
            <w:r w:rsidRPr="004D0DAA">
              <w:br/>
              <w:t>This field applies only to mobile stations which have the parameter “NMO_I_Behaviour” set to the value of "1" in the NAS configuration Management Object as specified in 3GPP TS 24.368 [50] or in the USIM file NAS</w:t>
            </w:r>
            <w:r w:rsidRPr="004D0DAA">
              <w:rPr>
                <w:vertAlign w:val="subscript"/>
              </w:rPr>
              <w:t>CONFIG</w:t>
            </w:r>
            <w:r w:rsidRPr="004D0DAA">
              <w:t xml:space="preserve"> as specified in </w:t>
            </w:r>
            <w:r w:rsidRPr="004D0DAA">
              <w:rPr>
                <w:snapToGrid w:val="0"/>
              </w:rPr>
              <w:t>3GPP TS 31.102 [51] (the USIM file having priority if both parameters exist).</w:t>
            </w:r>
            <w:r w:rsidRPr="004D0DAA">
              <w:t xml:space="preserve"> </w:t>
            </w:r>
          </w:p>
          <w:p w14:paraId="626D9937" w14:textId="77777777" w:rsidR="00711444" w:rsidRPr="004D0DAA" w:rsidRDefault="00711444" w:rsidP="00AA2A4C">
            <w:pPr>
              <w:rPr>
                <w:b/>
                <w:bCs/>
              </w:rPr>
            </w:pPr>
            <w:r w:rsidRPr="004D0DAA">
              <w:t>0</w:t>
            </w:r>
            <w:r w:rsidRPr="004D0DAA">
              <w:tab/>
              <w:t>The mobile station shall use the Network Mode of Operation indicated in the NMO field.</w:t>
            </w:r>
            <w:r w:rsidRPr="004D0DAA">
              <w:br/>
              <w:t>1</w:t>
            </w:r>
            <w:r w:rsidRPr="004D0DAA">
              <w:tab/>
              <w:t>The mobile station shall use Network Mode of Operation I irrespective of the value in the NMO field.</w:t>
            </w:r>
          </w:p>
        </w:tc>
      </w:tr>
    </w:tbl>
    <w:p w14:paraId="6DA915CB" w14:textId="77777777" w:rsidR="00711444" w:rsidRPr="004D0DAA" w:rsidRDefault="00711444" w:rsidP="00711444"/>
    <w:p w14:paraId="0AB5FC18" w14:textId="77777777" w:rsidR="00711444" w:rsidRPr="004D0DAA" w:rsidRDefault="00711444" w:rsidP="00711444">
      <w:pPr>
        <w:pStyle w:val="Heading2"/>
      </w:pPr>
      <w:bookmarkStart w:id="808" w:name="_Toc516669984"/>
      <w:r w:rsidRPr="004D0DAA">
        <w:lastRenderedPageBreak/>
        <w:t>12.25</w:t>
      </w:r>
      <w:r w:rsidRPr="004D0DAA">
        <w:tab/>
        <w:t>PCCCH Organization Parameters</w:t>
      </w:r>
      <w:bookmarkEnd w:id="808"/>
    </w:p>
    <w:p w14:paraId="0294D534" w14:textId="77777777" w:rsidR="00711444" w:rsidRPr="004D0DAA" w:rsidRDefault="00711444" w:rsidP="00711444">
      <w:pPr>
        <w:keepNext/>
        <w:keepLines/>
      </w:pPr>
      <w:r w:rsidRPr="004D0DAA">
        <w:t xml:space="preserve">The </w:t>
      </w:r>
      <w:r w:rsidRPr="004D0DAA">
        <w:rPr>
          <w:i/>
        </w:rPr>
        <w:t>PCCCH Organization Parameters</w:t>
      </w:r>
      <w:r w:rsidRPr="004D0DAA">
        <w:t xml:space="preserve"> information element is used to control the organization of PCCCHs present in the cell. This information element contains general PCCCH organization parameters.</w:t>
      </w:r>
    </w:p>
    <w:p w14:paraId="22C3CD03" w14:textId="77777777" w:rsidR="00711444" w:rsidRPr="004D0DAA" w:rsidRDefault="00711444" w:rsidP="00711444">
      <w:pPr>
        <w:pStyle w:val="TH"/>
      </w:pPr>
      <w:r w:rsidRPr="004D0DAA">
        <w:t xml:space="preserve">Table 12.25.1: </w:t>
      </w:r>
      <w:r w:rsidRPr="004D0DAA">
        <w:rPr>
          <w:i/>
        </w:rPr>
        <w:t>PCCCH Organization Parameters</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F91403B" w14:textId="77777777" w:rsidTr="00AA2A4C">
        <w:tblPrEx>
          <w:tblCellMar>
            <w:top w:w="0" w:type="dxa"/>
            <w:bottom w:w="0" w:type="dxa"/>
          </w:tblCellMar>
        </w:tblPrEx>
        <w:trPr>
          <w:cantSplit/>
        </w:trPr>
        <w:tc>
          <w:tcPr>
            <w:tcW w:w="9848" w:type="dxa"/>
          </w:tcPr>
          <w:p w14:paraId="4C9CAA82" w14:textId="77777777" w:rsidR="00711444" w:rsidRPr="004D0DAA" w:rsidRDefault="00711444" w:rsidP="00AA2A4C">
            <w:pPr>
              <w:pStyle w:val="TAL"/>
              <w:rPr>
                <w:lang w:eastAsia="en-US"/>
              </w:rPr>
            </w:pPr>
            <w:r w:rsidRPr="004D0DAA">
              <w:rPr>
                <w:lang w:eastAsia="en-US"/>
              </w:rPr>
              <w:t>&lt; PCCCH Organization Parameters IE &gt; ::=</w:t>
            </w:r>
          </w:p>
          <w:p w14:paraId="3146137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BS_PCC_REL</w:t>
            </w:r>
            <w:r w:rsidRPr="004D0DAA">
              <w:rPr>
                <w:lang w:eastAsia="en-US"/>
              </w:rPr>
              <w:t xml:space="preserve"> : bit &gt;</w:t>
            </w:r>
          </w:p>
          <w:p w14:paraId="6865BF0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BS_PBCCH_BLKS</w:t>
            </w:r>
            <w:r w:rsidRPr="004D0DAA">
              <w:rPr>
                <w:lang w:eastAsia="en-US"/>
              </w:rPr>
              <w:t xml:space="preserve"> : bit (2) &gt;</w:t>
            </w:r>
          </w:p>
          <w:p w14:paraId="225F5B7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BS_PAG_BLKS_RES</w:t>
            </w:r>
            <w:r w:rsidRPr="004D0DAA">
              <w:rPr>
                <w:lang w:eastAsia="en-US"/>
              </w:rPr>
              <w:t xml:space="preserve"> : bit (4) &gt;</w:t>
            </w:r>
          </w:p>
          <w:p w14:paraId="3F44ED3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BS_PRACH_BLKS</w:t>
            </w:r>
            <w:r w:rsidRPr="004D0DAA">
              <w:rPr>
                <w:lang w:eastAsia="en-US"/>
              </w:rPr>
              <w:t xml:space="preserve"> : bit (4) &gt; ;</w:t>
            </w:r>
          </w:p>
          <w:p w14:paraId="524C98DD" w14:textId="77777777" w:rsidR="00711444" w:rsidRPr="004D0DAA" w:rsidRDefault="00711444" w:rsidP="00AA2A4C">
            <w:pPr>
              <w:pStyle w:val="TAL"/>
              <w:rPr>
                <w:lang w:eastAsia="en-US"/>
              </w:rPr>
            </w:pPr>
          </w:p>
        </w:tc>
      </w:tr>
    </w:tbl>
    <w:p w14:paraId="625A117D" w14:textId="77777777" w:rsidR="00711444" w:rsidRPr="004D0DAA" w:rsidRDefault="00711444" w:rsidP="00711444"/>
    <w:p w14:paraId="345DE47E" w14:textId="77777777" w:rsidR="00711444" w:rsidRPr="004D0DAA" w:rsidRDefault="00711444" w:rsidP="00711444">
      <w:pPr>
        <w:pStyle w:val="TH"/>
      </w:pPr>
      <w:r w:rsidRPr="004D0DAA">
        <w:t xml:space="preserve">Table 12.25.2: </w:t>
      </w:r>
      <w:r w:rsidRPr="004D0DAA">
        <w:rPr>
          <w:i/>
        </w:rPr>
        <w:t>PCCCH Organization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54E5928" w14:textId="77777777" w:rsidTr="00AA2A4C">
        <w:tblPrEx>
          <w:tblCellMar>
            <w:top w:w="0" w:type="dxa"/>
            <w:bottom w:w="0" w:type="dxa"/>
          </w:tblCellMar>
        </w:tblPrEx>
        <w:trPr>
          <w:cantSplit/>
        </w:trPr>
        <w:tc>
          <w:tcPr>
            <w:tcW w:w="9848" w:type="dxa"/>
          </w:tcPr>
          <w:p w14:paraId="111387D3" w14:textId="77777777" w:rsidR="00711444" w:rsidRPr="004D0DAA" w:rsidRDefault="00711444" w:rsidP="00AA2A4C">
            <w:pPr>
              <w:keepLines/>
              <w:rPr>
                <w:b/>
              </w:rPr>
            </w:pPr>
            <w:r w:rsidRPr="004D0DAA">
              <w:rPr>
                <w:b/>
              </w:rPr>
              <w:t>BS_PCC_REL</w:t>
            </w:r>
            <w:r w:rsidRPr="004D0DAA">
              <w:t xml:space="preserve"> (1 bit field)</w:t>
            </w:r>
            <w:r w:rsidRPr="004D0DAA">
              <w:br/>
              <w:t>The BS_PCC_REL field indicates if set = 1 that the last PDCH carrying PCCCH and PBCCH will be released shortly. All mobile stations on PCCCH shall then as soon as this information has been received return to CCCH and there obey the information sent on BCCH as specified in 3GPP TS 44.018. If the field is set = 0, no channel release is pending.</w:t>
            </w:r>
          </w:p>
        </w:tc>
      </w:tr>
      <w:tr w:rsidR="00711444" w:rsidRPr="004D0DAA" w14:paraId="57281C94" w14:textId="77777777" w:rsidTr="00AA2A4C">
        <w:tblPrEx>
          <w:tblCellMar>
            <w:top w:w="0" w:type="dxa"/>
            <w:bottom w:w="0" w:type="dxa"/>
          </w:tblCellMar>
        </w:tblPrEx>
        <w:trPr>
          <w:cantSplit/>
        </w:trPr>
        <w:tc>
          <w:tcPr>
            <w:tcW w:w="9848" w:type="dxa"/>
          </w:tcPr>
          <w:p w14:paraId="19BF3384" w14:textId="77777777" w:rsidR="00711444" w:rsidRPr="004D0DAA" w:rsidRDefault="00711444" w:rsidP="00AA2A4C">
            <w:pPr>
              <w:keepLines/>
              <w:rPr>
                <w:b/>
              </w:rPr>
            </w:pPr>
            <w:r w:rsidRPr="004D0DAA">
              <w:rPr>
                <w:b/>
              </w:rPr>
              <w:t>BS_PBCCH_BLKS</w:t>
            </w:r>
            <w:r w:rsidRPr="004D0DAA">
              <w:t xml:space="preserve"> (2 bit field)</w:t>
            </w:r>
            <w:r w:rsidRPr="004D0DAA">
              <w:br/>
              <w:t>The BS_PBCCH_BLKS field indicates the number of blocks allocated to the PBCCH in the multiframe. The field is coded as the binary representation of BS_PBCCH_BLKS as defined in 3GPP TS 45.002 minus 1.</w:t>
            </w:r>
          </w:p>
        </w:tc>
      </w:tr>
      <w:tr w:rsidR="00711444" w:rsidRPr="004D0DAA" w14:paraId="1A1A0716" w14:textId="77777777" w:rsidTr="00AA2A4C">
        <w:tblPrEx>
          <w:tblCellMar>
            <w:top w:w="0" w:type="dxa"/>
            <w:bottom w:w="0" w:type="dxa"/>
          </w:tblCellMar>
        </w:tblPrEx>
        <w:trPr>
          <w:cantSplit/>
        </w:trPr>
        <w:tc>
          <w:tcPr>
            <w:tcW w:w="9848" w:type="dxa"/>
          </w:tcPr>
          <w:p w14:paraId="38DD3A80" w14:textId="77777777" w:rsidR="00711444" w:rsidRPr="004D0DAA" w:rsidRDefault="00711444" w:rsidP="00AA2A4C">
            <w:pPr>
              <w:keepLines/>
              <w:rPr>
                <w:b/>
              </w:rPr>
            </w:pPr>
            <w:r w:rsidRPr="004D0DAA">
              <w:rPr>
                <w:b/>
              </w:rPr>
              <w:t>BS_PAG_BLKS_RES</w:t>
            </w:r>
            <w:r w:rsidRPr="004D0DAA">
              <w:t xml:space="preserve"> (4 bit field)</w:t>
            </w:r>
            <w:r w:rsidRPr="004D0DAA">
              <w:br/>
              <w:t>The BS_PAG_BLKS_RES field indicates the number of blocks on each PDCH carrying the PCCCH per multiframe where neither PPCH nor PBCCH should appear. The field is coded as the binary representation of BS_PAG_BLKS_RES as defined in 3GPP TS 45.002. Range: 0-10. The BS_PAG_ BLKS_RES value shall fulfil the condition that is defined in 3GPP TS 45.002. If the condition is not fulfilled, then the behaviour of the mobile station is implementation dependent.</w:t>
            </w:r>
          </w:p>
        </w:tc>
      </w:tr>
      <w:tr w:rsidR="00711444" w:rsidRPr="004D0DAA" w14:paraId="3EFE2848" w14:textId="77777777" w:rsidTr="00AA2A4C">
        <w:tblPrEx>
          <w:tblCellMar>
            <w:top w:w="0" w:type="dxa"/>
            <w:bottom w:w="0" w:type="dxa"/>
          </w:tblCellMar>
        </w:tblPrEx>
        <w:trPr>
          <w:cantSplit/>
        </w:trPr>
        <w:tc>
          <w:tcPr>
            <w:tcW w:w="9848" w:type="dxa"/>
          </w:tcPr>
          <w:p w14:paraId="738E8E83" w14:textId="77777777" w:rsidR="00711444" w:rsidRPr="004D0DAA" w:rsidRDefault="00711444" w:rsidP="00AA2A4C">
            <w:pPr>
              <w:keepLines/>
            </w:pPr>
            <w:r w:rsidRPr="004D0DAA">
              <w:rPr>
                <w:b/>
              </w:rPr>
              <w:t>BS_PRACH_BLKS</w:t>
            </w:r>
            <w:r w:rsidRPr="004D0DAA">
              <w:t xml:space="preserve"> (4 bit field)</w:t>
            </w:r>
            <w:r w:rsidRPr="004D0DAA">
              <w:br/>
              <w:t>The BS_PRACH_BLKS field indicates the number of blocks reserved in a fixed way to the PRACH channel on any PDCH carrying PCCCH (see 3GPP TS 45.002). The field is coded as the binary representation of BS_PRACH_BLKS as defined in 3GPP TS 45.002. Range: 0-12. All other values are reserved and shall be interpreted as no Block reserved for PRACH.</w:t>
            </w:r>
          </w:p>
        </w:tc>
      </w:tr>
    </w:tbl>
    <w:p w14:paraId="375C3330" w14:textId="77777777" w:rsidR="00711444" w:rsidRPr="004D0DAA" w:rsidRDefault="00711444" w:rsidP="00711444"/>
    <w:p w14:paraId="67249AE4" w14:textId="77777777" w:rsidR="00711444" w:rsidRPr="004D0DAA" w:rsidRDefault="00711444" w:rsidP="00711444">
      <w:pPr>
        <w:pStyle w:val="Heading2"/>
      </w:pPr>
      <w:bookmarkStart w:id="809" w:name="_Toc516669985"/>
      <w:r w:rsidRPr="004D0DAA">
        <w:t>12.26</w:t>
      </w:r>
      <w:r w:rsidRPr="004D0DAA">
        <w:tab/>
        <w:t>Extension Bits IE</w:t>
      </w:r>
      <w:bookmarkEnd w:id="809"/>
    </w:p>
    <w:p w14:paraId="02571099" w14:textId="77777777" w:rsidR="00711444" w:rsidRPr="004D0DAA" w:rsidRDefault="00711444" w:rsidP="00711444">
      <w:pPr>
        <w:keepNext/>
        <w:keepLines/>
      </w:pPr>
      <w:r w:rsidRPr="004D0DAA">
        <w:t xml:space="preserve">The </w:t>
      </w:r>
      <w:r w:rsidRPr="004D0DAA">
        <w:rPr>
          <w:i/>
        </w:rPr>
        <w:t>Extension Bits</w:t>
      </w:r>
      <w:r w:rsidRPr="004D0DAA">
        <w:t xml:space="preserve"> information element is used to provide a generalized means for possible future extension within a message. This information element is variable length and contains the length indicator and spare bits.</w:t>
      </w:r>
    </w:p>
    <w:p w14:paraId="6124630B" w14:textId="77777777" w:rsidR="00711444" w:rsidRPr="004D0DAA" w:rsidRDefault="00711444" w:rsidP="00711444">
      <w:pPr>
        <w:pStyle w:val="TH"/>
      </w:pPr>
      <w:r w:rsidRPr="004D0DAA">
        <w:t xml:space="preserve">Table 12.26.1: </w:t>
      </w:r>
      <w:r w:rsidRPr="004D0DAA">
        <w:rPr>
          <w:i/>
        </w:rPr>
        <w:t>Extension Bits</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0E54F61" w14:textId="77777777" w:rsidTr="00AA2A4C">
        <w:tblPrEx>
          <w:tblCellMar>
            <w:top w:w="0" w:type="dxa"/>
            <w:bottom w:w="0" w:type="dxa"/>
          </w:tblCellMar>
        </w:tblPrEx>
        <w:trPr>
          <w:cantSplit/>
        </w:trPr>
        <w:tc>
          <w:tcPr>
            <w:tcW w:w="9848" w:type="dxa"/>
          </w:tcPr>
          <w:p w14:paraId="4BF8964F" w14:textId="77777777" w:rsidR="00711444" w:rsidRPr="004D0DAA" w:rsidRDefault="00711444" w:rsidP="00AA2A4C">
            <w:pPr>
              <w:pStyle w:val="TAL"/>
              <w:rPr>
                <w:lang w:eastAsia="en-US"/>
              </w:rPr>
            </w:pPr>
            <w:r w:rsidRPr="004D0DAA">
              <w:rPr>
                <w:lang w:eastAsia="en-US"/>
              </w:rPr>
              <w:t>&lt; Extension Bits IE &gt; ::=</w:t>
            </w:r>
          </w:p>
          <w:p w14:paraId="1AAB221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extension length</w:t>
            </w:r>
            <w:r w:rsidRPr="004D0DAA">
              <w:rPr>
                <w:lang w:eastAsia="en-US"/>
              </w:rPr>
              <w:t xml:space="preserve"> : bit (6) &gt;</w:t>
            </w:r>
          </w:p>
          <w:p w14:paraId="32480B46" w14:textId="77777777" w:rsidR="00711444" w:rsidRPr="004D0DAA" w:rsidRDefault="00711444" w:rsidP="00AA2A4C">
            <w:pPr>
              <w:pStyle w:val="TAL"/>
              <w:rPr>
                <w:lang w:eastAsia="en-US"/>
              </w:rPr>
            </w:pPr>
            <w:r w:rsidRPr="004D0DAA">
              <w:rPr>
                <w:lang w:eastAsia="en-US"/>
              </w:rPr>
              <w:tab/>
              <w:t>&lt; spare bit (val(extension length)+1) &gt; ;</w:t>
            </w:r>
          </w:p>
        </w:tc>
      </w:tr>
    </w:tbl>
    <w:p w14:paraId="4822F2A3" w14:textId="77777777" w:rsidR="00711444" w:rsidRPr="004D0DAA" w:rsidRDefault="00711444" w:rsidP="00711444"/>
    <w:p w14:paraId="7FC32C1B" w14:textId="77777777" w:rsidR="00711444" w:rsidRPr="004D0DAA" w:rsidRDefault="00711444" w:rsidP="00711444">
      <w:pPr>
        <w:pStyle w:val="Heading2"/>
      </w:pPr>
      <w:bookmarkStart w:id="810" w:name="_Toc516669986"/>
      <w:r w:rsidRPr="004D0DAA">
        <w:lastRenderedPageBreak/>
        <w:t>12.27</w:t>
      </w:r>
      <w:r w:rsidRPr="004D0DAA">
        <w:tab/>
        <w:t>Non GPRS Cell Options IE</w:t>
      </w:r>
      <w:bookmarkEnd w:id="810"/>
    </w:p>
    <w:p w14:paraId="7D80004A" w14:textId="77777777" w:rsidR="00711444" w:rsidRPr="004D0DAA" w:rsidRDefault="00711444" w:rsidP="00711444">
      <w:pPr>
        <w:keepNext/>
        <w:keepLines/>
      </w:pPr>
      <w:r w:rsidRPr="004D0DAA">
        <w:t xml:space="preserve">The </w:t>
      </w:r>
      <w:r w:rsidRPr="004D0DAA">
        <w:rPr>
          <w:i/>
        </w:rPr>
        <w:t xml:space="preserve">Non GPRS Cell Options IE </w:t>
      </w:r>
      <w:r w:rsidRPr="004D0DAA">
        <w:t>is used to provide mobile stations operating in mode A or B with a repeated subset of BCCH information required for entering dedicated, group receive or group transmit mode.</w:t>
      </w:r>
    </w:p>
    <w:p w14:paraId="32981A15" w14:textId="77777777" w:rsidR="00711444" w:rsidRPr="004D0DAA" w:rsidRDefault="00711444" w:rsidP="00711444">
      <w:pPr>
        <w:pStyle w:val="TH"/>
        <w:rPr>
          <w:lang w:val="fr-FR"/>
        </w:rPr>
      </w:pPr>
      <w:r w:rsidRPr="004D0DAA">
        <w:rPr>
          <w:lang w:val="fr-FR"/>
        </w:rPr>
        <w:t xml:space="preserve">Table 12.27.1: </w:t>
      </w:r>
      <w:r w:rsidRPr="004D0DAA">
        <w:rPr>
          <w:i/>
          <w:lang w:val="fr-FR"/>
        </w:rPr>
        <w:t xml:space="preserve">Non GPRS Cell Options </w:t>
      </w:r>
      <w:r w:rsidRPr="004D0DAA">
        <w:rPr>
          <w:lang w:val="fr-FR"/>
        </w:rPr>
        <w:t>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FBA0208" w14:textId="77777777" w:rsidTr="00AA2A4C">
        <w:tblPrEx>
          <w:tblCellMar>
            <w:top w:w="0" w:type="dxa"/>
            <w:bottom w:w="0" w:type="dxa"/>
          </w:tblCellMar>
        </w:tblPrEx>
        <w:trPr>
          <w:cantSplit/>
        </w:trPr>
        <w:tc>
          <w:tcPr>
            <w:tcW w:w="9848" w:type="dxa"/>
          </w:tcPr>
          <w:p w14:paraId="102D7392" w14:textId="77777777" w:rsidR="00711444" w:rsidRPr="004D0DAA" w:rsidRDefault="00711444" w:rsidP="00AA2A4C">
            <w:pPr>
              <w:pStyle w:val="TAL"/>
              <w:rPr>
                <w:lang w:val="fr-FR" w:eastAsia="en-US"/>
              </w:rPr>
            </w:pPr>
            <w:r w:rsidRPr="004D0DAA">
              <w:rPr>
                <w:lang w:val="fr-FR" w:eastAsia="en-US"/>
              </w:rPr>
              <w:t>&lt; Non GPRS Cell Options</w:t>
            </w:r>
            <w:r w:rsidRPr="004D0DAA">
              <w:rPr>
                <w:i/>
                <w:lang w:val="fr-FR" w:eastAsia="en-US"/>
              </w:rPr>
              <w:t xml:space="preserve"> </w:t>
            </w:r>
            <w:r w:rsidRPr="004D0DAA">
              <w:rPr>
                <w:lang w:val="fr-FR" w:eastAsia="en-US"/>
              </w:rPr>
              <w:t>IE &gt; ::=</w:t>
            </w:r>
          </w:p>
          <w:p w14:paraId="3AB756A5" w14:textId="77777777" w:rsidR="00711444" w:rsidRPr="004D0DAA" w:rsidRDefault="00711444" w:rsidP="00AA2A4C">
            <w:pPr>
              <w:pStyle w:val="TAL"/>
              <w:rPr>
                <w:i/>
                <w:lang w:eastAsia="en-US"/>
              </w:rPr>
            </w:pPr>
            <w:r w:rsidRPr="004D0DAA">
              <w:rPr>
                <w:lang w:val="fr-FR" w:eastAsia="en-US"/>
              </w:rPr>
              <w:tab/>
            </w:r>
            <w:r w:rsidRPr="004D0DAA">
              <w:rPr>
                <w:lang w:eastAsia="en-US"/>
              </w:rPr>
              <w:t xml:space="preserve">&lt; </w:t>
            </w:r>
            <w:r w:rsidRPr="004D0DAA">
              <w:rPr>
                <w:b/>
                <w:lang w:eastAsia="en-US"/>
              </w:rPr>
              <w:t>ATT</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Attach/Detach allowed</w:t>
            </w:r>
          </w:p>
          <w:p w14:paraId="2683D108"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T3212</w:t>
            </w:r>
            <w:r w:rsidRPr="004D0DAA">
              <w:rPr>
                <w:lang w:eastAsia="en-US"/>
              </w:rPr>
              <w:t xml:space="preserve"> : bit (8)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Time-out value for periodic update</w:t>
            </w:r>
          </w:p>
          <w:p w14:paraId="29F6F89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NECI</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Half rate support</w:t>
            </w:r>
          </w:p>
          <w:p w14:paraId="02ACC80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PWRC</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Power Control indicator</w:t>
            </w:r>
          </w:p>
          <w:p w14:paraId="3981727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DTX</w:t>
            </w:r>
            <w:r w:rsidRPr="004D0DAA">
              <w:rPr>
                <w:lang w:eastAsia="en-US"/>
              </w:rPr>
              <w:t xml:space="preserve"> : bit (2)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DTX indicator</w:t>
            </w:r>
          </w:p>
          <w:p w14:paraId="3611A14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RADIO-LINK-TIMEOUT</w:t>
            </w:r>
            <w:r w:rsidRPr="004D0DAA">
              <w:rPr>
                <w:lang w:eastAsia="en-US"/>
              </w:rPr>
              <w:t xml:space="preserve"> : bit (4) &gt;</w:t>
            </w:r>
            <w:r w:rsidRPr="004D0DAA">
              <w:rPr>
                <w:lang w:eastAsia="en-US"/>
              </w:rPr>
              <w:tab/>
            </w:r>
            <w:r w:rsidRPr="004D0DAA">
              <w:rPr>
                <w:lang w:eastAsia="en-US"/>
              </w:rPr>
              <w:tab/>
              <w:t xml:space="preserve">-- </w:t>
            </w:r>
            <w:r w:rsidRPr="004D0DAA">
              <w:rPr>
                <w:i/>
                <w:lang w:eastAsia="en-US"/>
              </w:rPr>
              <w:t>Supervisory timer for RR connection</w:t>
            </w:r>
          </w:p>
          <w:p w14:paraId="5D65851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BS-AG-BLKS-RES</w:t>
            </w:r>
            <w:r w:rsidRPr="004D0DAA">
              <w:rPr>
                <w:lang w:eastAsia="en-US"/>
              </w:rPr>
              <w:t xml:space="preserve"> : bit (3) &gt;</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number of blocks reserved for access grant</w:t>
            </w:r>
          </w:p>
          <w:p w14:paraId="1AAFFB8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CCCH-CONF</w:t>
            </w:r>
            <w:r w:rsidRPr="004D0DAA">
              <w:rPr>
                <w:lang w:eastAsia="en-US"/>
              </w:rPr>
              <w:t xml:space="preserve"> :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physical channel configuration for CCCH</w:t>
            </w:r>
          </w:p>
          <w:p w14:paraId="6C515603" w14:textId="77777777" w:rsidR="00711444" w:rsidRPr="004D0DAA" w:rsidRDefault="00711444" w:rsidP="00AA2A4C">
            <w:pPr>
              <w:pStyle w:val="TAL"/>
              <w:rPr>
                <w:i/>
                <w:lang w:eastAsia="en-US"/>
              </w:rPr>
            </w:pPr>
            <w:r w:rsidRPr="004D0DAA">
              <w:rPr>
                <w:lang w:eastAsia="en-US"/>
              </w:rPr>
              <w:tab/>
              <w:t xml:space="preserve">&lt; </w:t>
            </w:r>
            <w:r w:rsidRPr="004D0DAA">
              <w:rPr>
                <w:b/>
                <w:lang w:eastAsia="en-US"/>
              </w:rPr>
              <w:t>BS-PA-MFRMS</w:t>
            </w:r>
            <w:r w:rsidRPr="004D0DAA">
              <w:rPr>
                <w:lang w:eastAsia="en-US"/>
              </w:rPr>
              <w:t xml:space="preserve"> :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number of 51 multiframes between</w:t>
            </w:r>
          </w:p>
          <w:p w14:paraId="075DA77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transmission of paging messages</w:t>
            </w:r>
          </w:p>
          <w:p w14:paraId="2EEECCD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MAX-RETRANS</w:t>
            </w:r>
            <w:r w:rsidRPr="004D0DAA">
              <w:rPr>
                <w:lang w:eastAsia="en-US"/>
              </w:rPr>
              <w:t xml:space="preserve"> : bit (2)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maximum number of retransmissions</w:t>
            </w:r>
          </w:p>
          <w:p w14:paraId="1A35F01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TX-INTEGER</w:t>
            </w:r>
            <w:r w:rsidRPr="004D0DAA">
              <w:rPr>
                <w:lang w:eastAsia="en-US"/>
              </w:rPr>
              <w:t xml:space="preserve"> : bit (4)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number of slots to spread transmission</w:t>
            </w:r>
          </w:p>
          <w:p w14:paraId="22483F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EC</w:t>
            </w:r>
            <w:r w:rsidRPr="004D0DAA">
              <w:rPr>
                <w:lang w:eastAsia="en-US"/>
              </w:rPr>
              <w:t xml:space="preserve"> :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emergency call allowed</w:t>
            </w:r>
          </w:p>
          <w:p w14:paraId="48B9049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MS-TXPWR-MAX-CCCH</w:t>
            </w:r>
            <w:r w:rsidRPr="004D0DAA">
              <w:rPr>
                <w:lang w:eastAsia="en-US"/>
              </w:rPr>
              <w:t xml:space="preserve"> : bit (5) &gt;</w:t>
            </w:r>
            <w:r w:rsidRPr="004D0DAA">
              <w:rPr>
                <w:lang w:eastAsia="en-US"/>
              </w:rPr>
              <w:tab/>
            </w:r>
            <w:r w:rsidRPr="004D0DAA">
              <w:rPr>
                <w:lang w:eastAsia="en-US"/>
              </w:rPr>
              <w:tab/>
              <w:t xml:space="preserve">-- </w:t>
            </w:r>
            <w:r w:rsidRPr="004D0DAA">
              <w:rPr>
                <w:i/>
                <w:lang w:eastAsia="en-US"/>
              </w:rPr>
              <w:t>maximum Tx power level</w:t>
            </w:r>
          </w:p>
          <w:p w14:paraId="7CF1EEB1" w14:textId="77777777" w:rsidR="00711444" w:rsidRPr="004D0DAA" w:rsidRDefault="00711444" w:rsidP="00AA2A4C">
            <w:pPr>
              <w:pStyle w:val="TAL"/>
              <w:rPr>
                <w:i/>
                <w:lang w:eastAsia="en-US"/>
              </w:rPr>
            </w:pPr>
          </w:p>
          <w:p w14:paraId="685EF455" w14:textId="77777777" w:rsidR="00711444" w:rsidRPr="004D0DAA" w:rsidRDefault="00711444" w:rsidP="00AA2A4C">
            <w:pPr>
              <w:pStyle w:val="TAL"/>
              <w:rPr>
                <w:lang w:eastAsia="en-US"/>
              </w:rPr>
            </w:pPr>
            <w:r w:rsidRPr="004D0DAA">
              <w:rPr>
                <w:lang w:eastAsia="en-US"/>
              </w:rPr>
              <w:tab/>
              <w:t xml:space="preserve">-- </w:t>
            </w:r>
            <w:r w:rsidRPr="004D0DAA">
              <w:rPr>
                <w:i/>
                <w:lang w:eastAsia="en-US"/>
              </w:rPr>
              <w:t>Optional extension information:</w:t>
            </w:r>
          </w:p>
          <w:p w14:paraId="1DD060C9" w14:textId="77777777" w:rsidR="00711444" w:rsidRPr="004D0DAA" w:rsidRDefault="00711444" w:rsidP="00AA2A4C">
            <w:pPr>
              <w:pStyle w:val="TAL"/>
              <w:rPr>
                <w:lang w:eastAsia="en-US"/>
              </w:rPr>
            </w:pPr>
            <w:r w:rsidRPr="004D0DAA">
              <w:rPr>
                <w:lang w:eastAsia="en-US"/>
              </w:rPr>
              <w:tab/>
              <w:t>{ 0 | 1</w:t>
            </w:r>
            <w:r w:rsidRPr="004D0DAA">
              <w:rPr>
                <w:lang w:eastAsia="en-US"/>
              </w:rPr>
              <w:tab/>
              <w:t>&lt; Extension Length : bit (6) &gt;</w:t>
            </w:r>
          </w:p>
          <w:p w14:paraId="5E1DB4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bit (val(Extension Length) + 1)</w:t>
            </w:r>
          </w:p>
          <w:p w14:paraId="34AE9FC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&amp; { &lt;Extension Information &gt; ! { bit ** = &lt;no string&gt; } } &gt; } ;</w:t>
            </w:r>
          </w:p>
          <w:p w14:paraId="2A354833" w14:textId="77777777" w:rsidR="00711444" w:rsidRPr="004D0DAA" w:rsidRDefault="00711444" w:rsidP="00AA2A4C">
            <w:pPr>
              <w:pStyle w:val="TAL"/>
              <w:rPr>
                <w:i/>
                <w:lang w:eastAsia="en-US"/>
              </w:rPr>
            </w:pPr>
          </w:p>
          <w:p w14:paraId="591FA65D" w14:textId="77777777" w:rsidR="00711444" w:rsidRPr="004D0DAA" w:rsidRDefault="00711444" w:rsidP="00AA2A4C">
            <w:pPr>
              <w:pStyle w:val="TAL"/>
              <w:rPr>
                <w:lang w:eastAsia="en-US"/>
              </w:rPr>
            </w:pPr>
            <w:r w:rsidRPr="004D0DAA">
              <w:rPr>
                <w:lang w:eastAsia="en-US"/>
              </w:rPr>
              <w:t>&lt; Extension Information &gt; ::=</w:t>
            </w:r>
          </w:p>
          <w:p w14:paraId="2E3E35D2" w14:textId="77777777" w:rsidR="00711444" w:rsidRPr="004D0DAA" w:rsidRDefault="00711444" w:rsidP="00AA2A4C">
            <w:pPr>
              <w:pStyle w:val="TAL"/>
              <w:rPr>
                <w:i/>
                <w:lang w:eastAsia="en-US"/>
              </w:rPr>
            </w:pPr>
            <w:r w:rsidRPr="004D0DAA">
              <w:rPr>
                <w:lang w:eastAsia="en-US"/>
              </w:rPr>
              <w:tab/>
              <w:t xml:space="preserve">&lt; </w:t>
            </w:r>
            <w:r w:rsidRPr="004D0DAA">
              <w:rPr>
                <w:b/>
                <w:lang w:eastAsia="en-US"/>
              </w:rPr>
              <w:t>ECSC</w:t>
            </w:r>
            <w:r w:rsidRPr="004D0DAA">
              <w:rPr>
                <w:lang w:eastAsia="en-US"/>
              </w:rPr>
              <w:t>: bit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Early Classmark Sending Control</w:t>
            </w:r>
          </w:p>
          <w:p w14:paraId="23A392A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3G ECSR </w:t>
            </w:r>
            <w:r w:rsidRPr="004D0DAA">
              <w:rPr>
                <w:lang w:eastAsia="en-US"/>
              </w:rPr>
              <w:t>&gt;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3G Early Classmark Sending Restriction</w:t>
            </w:r>
          </w:p>
          <w:p w14:paraId="553EEB6F" w14:textId="77777777" w:rsidR="00711444" w:rsidRPr="004D0DAA" w:rsidRDefault="00711444" w:rsidP="00AA2A4C">
            <w:pPr>
              <w:pStyle w:val="TAL"/>
              <w:rPr>
                <w:lang w:eastAsia="en-US"/>
              </w:rPr>
            </w:pPr>
            <w:r w:rsidRPr="004D0DAA">
              <w:rPr>
                <w:lang w:eastAsia="en-US"/>
              </w:rPr>
              <w:tab/>
              <w:t>&lt; spare bit &gt; ** ;</w:t>
            </w:r>
          </w:p>
          <w:p w14:paraId="69DAF370" w14:textId="77777777" w:rsidR="00711444" w:rsidRPr="004D0DAA" w:rsidRDefault="00711444" w:rsidP="00AA2A4C">
            <w:pPr>
              <w:pStyle w:val="TAL"/>
              <w:rPr>
                <w:lang w:eastAsia="en-US"/>
              </w:rPr>
            </w:pPr>
          </w:p>
        </w:tc>
      </w:tr>
    </w:tbl>
    <w:p w14:paraId="6DECA76C" w14:textId="77777777" w:rsidR="00711444" w:rsidRPr="004D0DAA" w:rsidRDefault="00711444" w:rsidP="00711444"/>
    <w:p w14:paraId="2ADFD51E" w14:textId="77777777" w:rsidR="00711444" w:rsidRPr="004D0DAA" w:rsidRDefault="00711444" w:rsidP="00711444">
      <w:pPr>
        <w:pStyle w:val="TH"/>
      </w:pPr>
      <w:r w:rsidRPr="004D0DAA">
        <w:t xml:space="preserve">Table 12.27.2: </w:t>
      </w:r>
      <w:r w:rsidRPr="004D0DAA">
        <w:rPr>
          <w:i/>
        </w:rPr>
        <w:t xml:space="preserve">Non GPRS Cell Options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59C163" w14:textId="77777777" w:rsidTr="00AA2A4C">
        <w:tblPrEx>
          <w:tblCellMar>
            <w:top w:w="0" w:type="dxa"/>
            <w:bottom w:w="0" w:type="dxa"/>
          </w:tblCellMar>
        </w:tblPrEx>
        <w:tc>
          <w:tcPr>
            <w:tcW w:w="9848" w:type="dxa"/>
          </w:tcPr>
          <w:p w14:paraId="67FFB58A" w14:textId="77777777" w:rsidR="00711444" w:rsidRPr="004D0DAA" w:rsidRDefault="00711444" w:rsidP="00AA2A4C">
            <w:pPr>
              <w:keepLines/>
            </w:pPr>
            <w:r w:rsidRPr="004D0DAA">
              <w:t xml:space="preserve">For detailed descriptions of all elements see 3GPP TS 44.018. </w:t>
            </w:r>
          </w:p>
          <w:p w14:paraId="57E46093" w14:textId="77777777" w:rsidR="00711444" w:rsidRPr="004D0DAA" w:rsidRDefault="00711444" w:rsidP="00AA2A4C">
            <w:pPr>
              <w:keepLines/>
            </w:pPr>
            <w:r w:rsidRPr="004D0DAA">
              <w:t>If the optional T3212 parameter is not included, no periodic updating shall be performed.</w:t>
            </w:r>
          </w:p>
        </w:tc>
      </w:tr>
      <w:tr w:rsidR="00711444" w:rsidRPr="004D0DAA" w14:paraId="044DE938"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bottom w:val="nil"/>
            </w:tcBorders>
          </w:tcPr>
          <w:p w14:paraId="615CF8EF" w14:textId="77777777" w:rsidR="00711444" w:rsidRPr="004D0DAA" w:rsidRDefault="00711444" w:rsidP="00AA2A4C">
            <w:pPr>
              <w:keepNext/>
              <w:keepLines/>
            </w:pPr>
            <w:r w:rsidRPr="004D0DAA">
              <w:rPr>
                <w:b/>
              </w:rPr>
              <w:t>ECSC</w:t>
            </w:r>
            <w:r w:rsidRPr="004D0DAA">
              <w:t xml:space="preserve"> (1 bit field)</w:t>
            </w:r>
            <w:r w:rsidRPr="004D0DAA">
              <w:br/>
              <w:t>This field defines the Early Classmark Sending Control.</w:t>
            </w:r>
          </w:p>
          <w:p w14:paraId="46C6E056" w14:textId="77777777" w:rsidR="00711444" w:rsidRPr="004D0DAA" w:rsidRDefault="00711444" w:rsidP="00AA2A4C">
            <w:pPr>
              <w:spacing w:after="0"/>
              <w:ind w:left="567" w:hanging="567"/>
            </w:pPr>
            <w:r w:rsidRPr="004D0DAA">
              <w:t>0</w:t>
            </w:r>
            <w:r w:rsidRPr="004D0DAA">
              <w:tab/>
              <w:t>Early Classmark Sending is forbidden</w:t>
            </w:r>
          </w:p>
          <w:p w14:paraId="56991237" w14:textId="77777777" w:rsidR="00711444" w:rsidRPr="004D0DAA" w:rsidRDefault="00711444" w:rsidP="00AA2A4C">
            <w:pPr>
              <w:ind w:left="567" w:hanging="567"/>
            </w:pPr>
            <w:r w:rsidRPr="004D0DAA">
              <w:t>1</w:t>
            </w:r>
            <w:r w:rsidRPr="004D0DAA">
              <w:tab/>
              <w:t>Early Classmark Sending is allowed</w:t>
            </w:r>
          </w:p>
          <w:p w14:paraId="495CB30E" w14:textId="77777777" w:rsidR="00711444" w:rsidRPr="004D0DAA" w:rsidRDefault="00711444" w:rsidP="00AA2A4C">
            <w:pPr>
              <w:rPr>
                <w:b/>
              </w:rPr>
            </w:pPr>
            <w:r w:rsidRPr="004D0DAA">
              <w:t>If the optional ECSC parameter is not included, early classmark sending is allowed. For a detailed description see 3GPP TS 44.018.</w:t>
            </w:r>
          </w:p>
        </w:tc>
      </w:tr>
      <w:tr w:rsidR="00711444" w:rsidRPr="004D0DAA" w14:paraId="18181948"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top w:val="single" w:sz="4" w:space="0" w:color="auto"/>
              <w:bottom w:val="single" w:sz="4" w:space="0" w:color="auto"/>
            </w:tcBorders>
          </w:tcPr>
          <w:p w14:paraId="3BF8C79C" w14:textId="77777777" w:rsidR="00711444" w:rsidRPr="004D0DAA" w:rsidRDefault="00711444" w:rsidP="00AA2A4C">
            <w:pPr>
              <w:keepNext/>
              <w:keepLines/>
            </w:pPr>
            <w:r w:rsidRPr="004D0DAA">
              <w:rPr>
                <w:b/>
              </w:rPr>
              <w:t>3G ECSR</w:t>
            </w:r>
            <w:r w:rsidRPr="004D0DAA">
              <w:t xml:space="preserve"> (1 bit field)</w:t>
            </w:r>
            <w:r w:rsidRPr="004D0DAA">
              <w:br/>
              <w:t>This field defines the 3G Early Classmark Sending Restriction.</w:t>
            </w:r>
          </w:p>
          <w:p w14:paraId="520E8356" w14:textId="77777777" w:rsidR="00711444" w:rsidRPr="004D0DAA" w:rsidRDefault="00711444" w:rsidP="00AA2A4C">
            <w:pPr>
              <w:spacing w:after="0"/>
              <w:ind w:left="567" w:hanging="567"/>
            </w:pPr>
            <w:r w:rsidRPr="004D0DAA">
              <w:t>0</w:t>
            </w:r>
            <w:r w:rsidRPr="004D0DAA">
              <w:tab/>
              <w:t>Neither UTRAN nor cdma2000 classmark change message shall be sent with the Early Classmark Sending</w:t>
            </w:r>
          </w:p>
          <w:p w14:paraId="11D16804" w14:textId="77777777" w:rsidR="00711444" w:rsidRPr="004D0DAA" w:rsidRDefault="00711444" w:rsidP="00AA2A4C">
            <w:pPr>
              <w:ind w:left="567" w:hanging="567"/>
            </w:pPr>
            <w:r w:rsidRPr="004D0DAA">
              <w:t>1</w:t>
            </w:r>
            <w:r w:rsidRPr="004D0DAA">
              <w:tab/>
              <w:t>The sending of UTRAN and CDMA2000 Classmark Sending messages is controlled by the Early Classmark Sending Control parameter</w:t>
            </w:r>
          </w:p>
          <w:p w14:paraId="299018E7" w14:textId="77777777" w:rsidR="00711444" w:rsidRPr="004D0DAA" w:rsidRDefault="00711444" w:rsidP="00AA2A4C">
            <w:pPr>
              <w:rPr>
                <w:b/>
              </w:rPr>
            </w:pPr>
            <w:r w:rsidRPr="004D0DAA">
              <w:t>If the optional 3G Early Classmark Sending Restriction parameter is not included, the default value '0' shall be assumed. For a detailed description see 3GPP TS 44.018.</w:t>
            </w:r>
          </w:p>
        </w:tc>
      </w:tr>
    </w:tbl>
    <w:p w14:paraId="6F8E9DF2" w14:textId="77777777" w:rsidR="00711444" w:rsidRPr="004D0DAA" w:rsidRDefault="00711444" w:rsidP="00711444"/>
    <w:p w14:paraId="4D4E2EFF" w14:textId="77777777" w:rsidR="00711444" w:rsidRPr="004D0DAA" w:rsidRDefault="00711444" w:rsidP="00711444">
      <w:pPr>
        <w:pStyle w:val="Heading2"/>
      </w:pPr>
      <w:bookmarkStart w:id="811" w:name="_Toc516669987"/>
      <w:r w:rsidRPr="004D0DAA">
        <w:lastRenderedPageBreak/>
        <w:t>12.28</w:t>
      </w:r>
      <w:r w:rsidRPr="004D0DAA">
        <w:tab/>
        <w:t>LSA Parameters</w:t>
      </w:r>
      <w:bookmarkEnd w:id="811"/>
    </w:p>
    <w:p w14:paraId="4B6DBDA2" w14:textId="77777777" w:rsidR="00711444" w:rsidRPr="004D0DAA" w:rsidRDefault="00711444" w:rsidP="00711444">
      <w:pPr>
        <w:keepNext/>
        <w:keepLines/>
      </w:pPr>
      <w:r w:rsidRPr="004D0DAA">
        <w:t xml:space="preserve">The </w:t>
      </w:r>
      <w:r w:rsidRPr="004D0DAA">
        <w:rPr>
          <w:i/>
        </w:rPr>
        <w:t>LSA Parameters</w:t>
      </w:r>
      <w:r w:rsidRPr="004D0DAA">
        <w:t xml:space="preserve"> information element is used for cell reselection by SoLSA mobile stations. The IE contains a list of LSA_ID(s) corresponding either to the entries in the 'Add Frequency list struct' defined in the Packet Cell Change Order message and in Packet Measurement Order message or to the entries in the Neighbour Cell Parameters when used in the packet System Information 3 and 3bis messages. Some entries in the 'LSA parameters IE' may be empty. In case there are too few entries in the 'LSA parameters IE', empty entries shall be added at the end. In case there are too many entries in the 'LSA parameters IE', the last shall be discarded. </w:t>
      </w:r>
    </w:p>
    <w:p w14:paraId="4C10D741" w14:textId="77777777" w:rsidR="00711444" w:rsidRPr="004D0DAA" w:rsidRDefault="00711444" w:rsidP="00711444">
      <w:pPr>
        <w:pStyle w:val="TH"/>
      </w:pPr>
      <w:r w:rsidRPr="004D0DAA">
        <w:t xml:space="preserve">Table 12.28.1: </w:t>
      </w:r>
      <w:r w:rsidRPr="004D0DAA">
        <w:rPr>
          <w:i/>
        </w:rPr>
        <w:t xml:space="preserve">LSA Parameters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DEB28C2" w14:textId="77777777" w:rsidTr="00AA2A4C">
        <w:tblPrEx>
          <w:tblCellMar>
            <w:top w:w="0" w:type="dxa"/>
            <w:bottom w:w="0" w:type="dxa"/>
          </w:tblCellMar>
        </w:tblPrEx>
        <w:trPr>
          <w:cantSplit/>
        </w:trPr>
        <w:tc>
          <w:tcPr>
            <w:tcW w:w="9848" w:type="dxa"/>
          </w:tcPr>
          <w:p w14:paraId="3D1EA591" w14:textId="77777777" w:rsidR="00711444" w:rsidRPr="004D0DAA" w:rsidRDefault="00711444" w:rsidP="00AA2A4C">
            <w:pPr>
              <w:pStyle w:val="TAL"/>
              <w:rPr>
                <w:lang w:eastAsia="en-US"/>
              </w:rPr>
            </w:pPr>
            <w:r w:rsidRPr="004D0DAA">
              <w:rPr>
                <w:lang w:eastAsia="en-US"/>
              </w:rPr>
              <w:t>&lt; LSA Parameters IE &gt; ::=</w:t>
            </w:r>
          </w:p>
          <w:p w14:paraId="5BC2740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NR_OF_FREQ_OR_CELLS</w:t>
            </w:r>
            <w:r w:rsidRPr="004D0DAA">
              <w:rPr>
                <w:lang w:eastAsia="en-US"/>
              </w:rPr>
              <w:t xml:space="preserve"> : bit (5) &gt;:</w:t>
            </w:r>
            <w:r w:rsidRPr="004D0DAA">
              <w:rPr>
                <w:lang w:eastAsia="en-US"/>
              </w:rPr>
              <w:br/>
            </w:r>
            <w:r w:rsidRPr="004D0DAA">
              <w:rPr>
                <w:lang w:eastAsia="en-US"/>
              </w:rPr>
              <w:tab/>
              <w:t xml:space="preserve">{ &lt; </w:t>
            </w:r>
            <w:r w:rsidRPr="004D0DAA">
              <w:rPr>
                <w:b/>
                <w:lang w:eastAsia="en-US"/>
              </w:rPr>
              <w:t>LSA ID information</w:t>
            </w:r>
            <w:r w:rsidRPr="004D0DAA">
              <w:rPr>
                <w:lang w:eastAsia="en-US"/>
              </w:rPr>
              <w:t> : &lt; LSA ID information struct &gt;&gt; * (val(NR_OF_FREQ_OR_CELLS)) };</w:t>
            </w:r>
            <w:r w:rsidRPr="004D0DAA">
              <w:rPr>
                <w:lang w:eastAsia="en-US"/>
              </w:rPr>
              <w:br/>
            </w:r>
          </w:p>
        </w:tc>
      </w:tr>
      <w:tr w:rsidR="00711444" w:rsidRPr="004D0DAA" w14:paraId="09239B03" w14:textId="77777777" w:rsidTr="00AA2A4C">
        <w:tblPrEx>
          <w:tblCellMar>
            <w:top w:w="0" w:type="dxa"/>
            <w:bottom w:w="0" w:type="dxa"/>
          </w:tblCellMar>
        </w:tblPrEx>
        <w:trPr>
          <w:cantSplit/>
        </w:trPr>
        <w:tc>
          <w:tcPr>
            <w:tcW w:w="9848" w:type="dxa"/>
          </w:tcPr>
          <w:p w14:paraId="518774FD" w14:textId="77777777" w:rsidR="00711444" w:rsidRPr="004D0DAA" w:rsidRDefault="00711444" w:rsidP="00AA2A4C">
            <w:pPr>
              <w:pStyle w:val="TAL"/>
              <w:rPr>
                <w:lang w:eastAsia="en-US"/>
              </w:rPr>
            </w:pPr>
            <w:r w:rsidRPr="004D0DAA">
              <w:rPr>
                <w:lang w:eastAsia="en-US"/>
              </w:rPr>
              <w:t>&lt; LSA ID information struct &gt; ::=</w:t>
            </w:r>
            <w:r w:rsidRPr="004D0DAA">
              <w:rPr>
                <w:lang w:eastAsia="en-US"/>
              </w:rPr>
              <w:br/>
            </w:r>
            <w:r w:rsidRPr="004D0DAA">
              <w:rPr>
                <w:lang w:eastAsia="en-US"/>
              </w:rPr>
              <w:tab/>
              <w:t xml:space="preserve">{ 1 { 0 &lt; </w:t>
            </w:r>
            <w:r w:rsidRPr="004D0DAA">
              <w:rPr>
                <w:b/>
                <w:lang w:eastAsia="en-US"/>
              </w:rPr>
              <w:t>LSA_ID</w:t>
            </w:r>
            <w:r w:rsidRPr="004D0DAA">
              <w:rPr>
                <w:lang w:eastAsia="en-US"/>
              </w:rPr>
              <w:t xml:space="preserve"> : bit (24) &gt;</w:t>
            </w:r>
          </w:p>
          <w:p w14:paraId="549FF7EF" w14:textId="77777777" w:rsidR="00711444" w:rsidRPr="004D0DAA" w:rsidRDefault="00711444" w:rsidP="00AA2A4C">
            <w:pPr>
              <w:pStyle w:val="TAL"/>
              <w:rPr>
                <w:lang w:eastAsia="en-US"/>
              </w:rPr>
            </w:pPr>
            <w:r w:rsidRPr="004D0DAA">
              <w:rPr>
                <w:lang w:eastAsia="en-US"/>
              </w:rPr>
              <w:tab/>
            </w:r>
            <w:r w:rsidRPr="004D0DAA">
              <w:rPr>
                <w:lang w:eastAsia="en-US"/>
              </w:rPr>
              <w:tab/>
              <w:t xml:space="preserve">|1 &lt; </w:t>
            </w:r>
            <w:r w:rsidRPr="004D0DAA">
              <w:rPr>
                <w:b/>
                <w:lang w:eastAsia="en-US"/>
              </w:rPr>
              <w:t>ShortLSA_ID</w:t>
            </w:r>
            <w:r w:rsidRPr="004D0DAA">
              <w:rPr>
                <w:lang w:eastAsia="en-US"/>
              </w:rPr>
              <w:t> : bit (10) &gt;} } ** 0 ;</w:t>
            </w:r>
          </w:p>
          <w:p w14:paraId="17F7667D" w14:textId="77777777" w:rsidR="00711444" w:rsidRPr="004D0DAA" w:rsidRDefault="00711444" w:rsidP="00AA2A4C">
            <w:pPr>
              <w:pStyle w:val="TAL"/>
              <w:rPr>
                <w:lang w:eastAsia="en-US"/>
              </w:rPr>
            </w:pPr>
          </w:p>
        </w:tc>
      </w:tr>
    </w:tbl>
    <w:p w14:paraId="35FE6E26" w14:textId="77777777" w:rsidR="00711444" w:rsidRPr="004D0DAA" w:rsidRDefault="00711444" w:rsidP="00711444"/>
    <w:p w14:paraId="7CD47A26" w14:textId="77777777" w:rsidR="00711444" w:rsidRPr="004D0DAA" w:rsidRDefault="00711444" w:rsidP="00711444">
      <w:pPr>
        <w:pStyle w:val="TH"/>
      </w:pPr>
      <w:r w:rsidRPr="004D0DAA">
        <w:t xml:space="preserve">Table 12.28.2: </w:t>
      </w:r>
      <w:r w:rsidRPr="004D0DAA">
        <w:rPr>
          <w:i/>
        </w:rPr>
        <w:t>LSA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D2175D" w14:textId="77777777" w:rsidTr="00AA2A4C">
        <w:tblPrEx>
          <w:tblCellMar>
            <w:top w:w="0" w:type="dxa"/>
            <w:bottom w:w="0" w:type="dxa"/>
          </w:tblCellMar>
        </w:tblPrEx>
        <w:tc>
          <w:tcPr>
            <w:tcW w:w="9848" w:type="dxa"/>
          </w:tcPr>
          <w:p w14:paraId="7E5EF58B" w14:textId="77777777" w:rsidR="00711444" w:rsidRPr="004D0DAA" w:rsidRDefault="00711444" w:rsidP="00AA2A4C">
            <w:r w:rsidRPr="004D0DAA">
              <w:rPr>
                <w:b/>
              </w:rPr>
              <w:t>LSA_ID</w:t>
            </w:r>
            <w:r w:rsidRPr="004D0DAA">
              <w:t xml:space="preserve"> (24 bit field)</w:t>
            </w:r>
            <w:r w:rsidRPr="004D0DAA">
              <w:br/>
              <w:t>The purpose of the LSA_ID field is to identify a LSA. The LSA ID value field is coded as specified in 3GPP TS 23.003.</w:t>
            </w:r>
          </w:p>
          <w:p w14:paraId="1BFECB83" w14:textId="77777777" w:rsidR="00711444" w:rsidRPr="004D0DAA" w:rsidRDefault="00711444" w:rsidP="00AA2A4C">
            <w:r w:rsidRPr="004D0DAA">
              <w:rPr>
                <w:b/>
              </w:rPr>
              <w:t>Short LSA_ID</w:t>
            </w:r>
            <w:r w:rsidRPr="004D0DAA">
              <w:t xml:space="preserve"> (10 bit field)</w:t>
            </w:r>
            <w:r w:rsidRPr="004D0DAA">
              <w:br/>
              <w:t>The purpose of the Short LSA_ID field is to identify a LSA. The LSA ID defined by the Short LSA_ID is a LSA_ID as specified in 3GPP TS 23.003 with bit 0 set to "0" bit 1 to 10 set to the value of the Short LSA_ID field (LSB in bit 1, MSB in bit 10) and bit 11 to 23 set to "0".</w:t>
            </w:r>
          </w:p>
        </w:tc>
      </w:tr>
    </w:tbl>
    <w:p w14:paraId="4ED71C28" w14:textId="77777777" w:rsidR="00711444" w:rsidRPr="004D0DAA" w:rsidRDefault="00711444" w:rsidP="00711444"/>
    <w:p w14:paraId="2D600E6A" w14:textId="77777777" w:rsidR="00711444" w:rsidRPr="004D0DAA" w:rsidRDefault="00711444" w:rsidP="00711444">
      <w:pPr>
        <w:pStyle w:val="Heading2"/>
      </w:pPr>
      <w:bookmarkStart w:id="812" w:name="_Toc516669988"/>
      <w:r w:rsidRPr="004D0DAA">
        <w:t>12.29</w:t>
      </w:r>
      <w:r w:rsidRPr="004D0DAA">
        <w:tab/>
        <w:t>COMPACT reduced MA</w:t>
      </w:r>
      <w:bookmarkEnd w:id="812"/>
    </w:p>
    <w:p w14:paraId="5915B0DA" w14:textId="77777777" w:rsidR="00711444" w:rsidRPr="004D0DAA" w:rsidRDefault="00711444" w:rsidP="00711444">
      <w:pPr>
        <w:pStyle w:val="TH"/>
      </w:pPr>
      <w:r w:rsidRPr="004D0DAA">
        <w:t xml:space="preserve">Table 12.29.1: </w:t>
      </w:r>
      <w:r w:rsidRPr="004D0DAA">
        <w:rPr>
          <w:i/>
        </w:rPr>
        <w:t xml:space="preserve">COMPACT reduced MA </w:t>
      </w:r>
      <w:r w:rsidRPr="004D0DAA">
        <w:t>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3F83A39" w14:textId="77777777" w:rsidTr="00AA2A4C">
        <w:tblPrEx>
          <w:tblCellMar>
            <w:top w:w="0" w:type="dxa"/>
            <w:bottom w:w="0" w:type="dxa"/>
          </w:tblCellMar>
        </w:tblPrEx>
        <w:trPr>
          <w:cantSplit/>
        </w:trPr>
        <w:tc>
          <w:tcPr>
            <w:tcW w:w="9848" w:type="dxa"/>
          </w:tcPr>
          <w:p w14:paraId="302E8BD0" w14:textId="77777777" w:rsidR="00711444" w:rsidRPr="004D0DAA" w:rsidRDefault="00711444" w:rsidP="00AA2A4C">
            <w:pPr>
              <w:pStyle w:val="TAL"/>
              <w:rPr>
                <w:lang w:eastAsia="en-US"/>
              </w:rPr>
            </w:pPr>
            <w:r w:rsidRPr="004D0DAA">
              <w:rPr>
                <w:lang w:eastAsia="en-US"/>
              </w:rPr>
              <w:t>&lt; COMPACT reduced MA IE &gt; ::=</w:t>
            </w:r>
          </w:p>
          <w:p w14:paraId="04B684A1"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Length of Reduced MA bitmap </w:t>
            </w:r>
            <w:r w:rsidRPr="004D0DAA">
              <w:rPr>
                <w:lang w:eastAsia="en-US"/>
              </w:rPr>
              <w:t>: bit (7) &gt;</w:t>
            </w:r>
          </w:p>
          <w:p w14:paraId="690AD4B3" w14:textId="77777777" w:rsidR="00711444" w:rsidRPr="004D0DAA" w:rsidRDefault="00711444" w:rsidP="00AA2A4C">
            <w:pPr>
              <w:pStyle w:val="TAL"/>
              <w:rPr>
                <w:lang w:eastAsia="en-US"/>
              </w:rPr>
            </w:pPr>
            <w:r w:rsidRPr="004D0DAA">
              <w:rPr>
                <w:lang w:eastAsia="en-US"/>
              </w:rPr>
              <w:tab/>
              <w:t>&lt;</w:t>
            </w:r>
            <w:r w:rsidRPr="004D0DAA">
              <w:rPr>
                <w:b/>
                <w:lang w:eastAsia="en-US"/>
              </w:rPr>
              <w:t>Reduced MA bitmap</w:t>
            </w:r>
            <w:r w:rsidRPr="004D0DAA">
              <w:rPr>
                <w:lang w:eastAsia="en-US"/>
              </w:rPr>
              <w:t xml:space="preserve"> : bit( val( Length of Reduced MA bitmap ) ) &gt;</w:t>
            </w:r>
          </w:p>
          <w:p w14:paraId="5F8ECA6A" w14:textId="77777777" w:rsidR="00711444" w:rsidRPr="004D0DAA" w:rsidRDefault="00711444" w:rsidP="00AA2A4C">
            <w:pPr>
              <w:pStyle w:val="TAL"/>
              <w:rPr>
                <w:lang w:eastAsia="en-US"/>
              </w:rPr>
            </w:pPr>
            <w:r w:rsidRPr="004D0DAA">
              <w:rPr>
                <w:lang w:eastAsia="en-US"/>
              </w:rPr>
              <w:tab/>
              <w:t>{ 0 | 1 &lt;</w:t>
            </w:r>
            <w:r w:rsidRPr="004D0DAA">
              <w:rPr>
                <w:b/>
                <w:lang w:eastAsia="en-US"/>
              </w:rPr>
              <w:t>MAIO_2</w:t>
            </w:r>
            <w:r w:rsidRPr="004D0DAA">
              <w:rPr>
                <w:lang w:eastAsia="en-US"/>
              </w:rPr>
              <w:t xml:space="preserve"> : bit(6) &gt;};</w:t>
            </w:r>
          </w:p>
        </w:tc>
      </w:tr>
    </w:tbl>
    <w:p w14:paraId="64DE5DE5" w14:textId="77777777" w:rsidR="00711444" w:rsidRPr="004D0DAA" w:rsidRDefault="00711444" w:rsidP="00711444"/>
    <w:p w14:paraId="41C4F514" w14:textId="77777777" w:rsidR="00711444" w:rsidRPr="004D0DAA" w:rsidRDefault="00711444" w:rsidP="00711444">
      <w:pPr>
        <w:pStyle w:val="TH"/>
      </w:pPr>
      <w:r w:rsidRPr="004D0DAA">
        <w:t xml:space="preserve">Table 12.29.2: </w:t>
      </w:r>
      <w:r w:rsidRPr="004D0DAA">
        <w:rPr>
          <w:i/>
        </w:rPr>
        <w:t xml:space="preserve">COMPACT reduced MA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373D9A0" w14:textId="77777777" w:rsidTr="00AA2A4C">
        <w:tblPrEx>
          <w:tblCellMar>
            <w:top w:w="0" w:type="dxa"/>
            <w:bottom w:w="0" w:type="dxa"/>
          </w:tblCellMar>
        </w:tblPrEx>
        <w:trPr>
          <w:cantSplit/>
        </w:trPr>
        <w:tc>
          <w:tcPr>
            <w:tcW w:w="9848" w:type="dxa"/>
          </w:tcPr>
          <w:p w14:paraId="3BFAE6C5" w14:textId="77777777" w:rsidR="00711444" w:rsidRPr="004D0DAA" w:rsidRDefault="00711444" w:rsidP="00AA2A4C">
            <w:pPr>
              <w:keepLines/>
              <w:rPr>
                <w:b/>
              </w:rPr>
            </w:pPr>
            <w:r w:rsidRPr="004D0DAA">
              <w:rPr>
                <w:b/>
              </w:rPr>
              <w:t>Length of Reduced MA bitmap</w:t>
            </w:r>
            <w:r w:rsidRPr="004D0DAA">
              <w:t xml:space="preserve"> (7 bit field)</w:t>
            </w:r>
            <w:r w:rsidRPr="004D0DAA">
              <w:br/>
              <w:t>This field is the binary representation of the length (in bits) of the field Reduced MA bitmap.</w:t>
            </w:r>
            <w:r w:rsidRPr="004D0DAA">
              <w:br/>
              <w:t>If set to 0, then no reduced Mobile Allocation is used.</w:t>
            </w:r>
            <w:r w:rsidRPr="004D0DAA">
              <w:br/>
              <w:t>Range 0 to 127.</w:t>
            </w:r>
          </w:p>
        </w:tc>
      </w:tr>
      <w:tr w:rsidR="00711444" w:rsidRPr="004D0DAA" w14:paraId="019FDF31" w14:textId="77777777" w:rsidTr="00AA2A4C">
        <w:tblPrEx>
          <w:tblCellMar>
            <w:top w:w="0" w:type="dxa"/>
            <w:bottom w:w="0" w:type="dxa"/>
          </w:tblCellMar>
        </w:tblPrEx>
        <w:trPr>
          <w:cantSplit/>
        </w:trPr>
        <w:tc>
          <w:tcPr>
            <w:tcW w:w="9848" w:type="dxa"/>
          </w:tcPr>
          <w:p w14:paraId="2E70A299" w14:textId="77777777" w:rsidR="00711444" w:rsidRPr="004D0DAA" w:rsidRDefault="00711444" w:rsidP="00AA2A4C">
            <w:pPr>
              <w:keepNext/>
              <w:keepLines/>
            </w:pPr>
            <w:r w:rsidRPr="004D0DAA">
              <w:rPr>
                <w:b/>
              </w:rPr>
              <w:lastRenderedPageBreak/>
              <w:t>Reduced MA bitmap</w:t>
            </w:r>
            <w:r w:rsidRPr="004D0DAA">
              <w:t xml:space="preserve"> (bitmap)</w:t>
            </w:r>
            <w:r w:rsidRPr="004D0DAA">
              <w:br/>
              <w:t>This field gives the reduced Mobile Allocation.</w:t>
            </w:r>
            <w:r w:rsidRPr="004D0DAA">
              <w:br/>
              <w:t>This bitmap uses the list of frequencies given in the current Mobile Allocation, i.e. the Mobile Allocation used by the mobile for the assigned TBF. These radio frequency channels shall be arranged in the order of ascending ARFCN, except for ARFCN = 0, if included, which shall be put last.</w:t>
            </w:r>
          </w:p>
          <w:p w14:paraId="321A8865" w14:textId="77777777" w:rsidR="00711444" w:rsidRPr="004D0DAA" w:rsidRDefault="00711444" w:rsidP="00AA2A4C">
            <w:pPr>
              <w:keepNext/>
              <w:keepLines/>
            </w:pPr>
            <w:r w:rsidRPr="004D0DAA">
              <w:t>The first bit position in the reduced MA bitmap corresponds to the last ARFCN put in the list, the last bit position corresponds to the first ARFCN put in the list. Each bit position is coded:</w:t>
            </w:r>
          </w:p>
          <w:p w14:paraId="3EEF691A" w14:textId="77777777" w:rsidR="00711444" w:rsidRPr="004D0DAA" w:rsidRDefault="00711444" w:rsidP="00AA2A4C">
            <w:pPr>
              <w:keepLines/>
              <w:rPr>
                <w:b/>
              </w:rPr>
            </w:pPr>
            <w:r w:rsidRPr="004D0DAA">
              <w:t>0</w:t>
            </w:r>
            <w:r w:rsidRPr="004D0DAA">
              <w:tab/>
              <w:t>the corresponding radio frequency channel does not belong to the reduced MA;</w:t>
            </w:r>
            <w:r w:rsidRPr="004D0DAA">
              <w:br/>
              <w:t>1</w:t>
            </w:r>
            <w:r w:rsidRPr="004D0DAA">
              <w:tab/>
              <w:t>the corresponding radio frequency channel belongs to the reduced MA.</w:t>
            </w:r>
          </w:p>
        </w:tc>
      </w:tr>
      <w:tr w:rsidR="00711444" w:rsidRPr="004D0DAA" w14:paraId="1CAB8EA1" w14:textId="77777777" w:rsidTr="00AA2A4C">
        <w:tblPrEx>
          <w:tblCellMar>
            <w:top w:w="0" w:type="dxa"/>
            <w:bottom w:w="0" w:type="dxa"/>
          </w:tblCellMar>
        </w:tblPrEx>
        <w:trPr>
          <w:cantSplit/>
        </w:trPr>
        <w:tc>
          <w:tcPr>
            <w:tcW w:w="9848" w:type="dxa"/>
          </w:tcPr>
          <w:p w14:paraId="6D421EFC" w14:textId="77777777" w:rsidR="00711444" w:rsidRPr="004D0DAA" w:rsidRDefault="00711444" w:rsidP="00AA2A4C">
            <w:pPr>
              <w:keepLines/>
            </w:pPr>
            <w:r w:rsidRPr="004D0DAA">
              <w:rPr>
                <w:b/>
              </w:rPr>
              <w:t>MAIO_2</w:t>
            </w:r>
            <w:r w:rsidRPr="004D0DAA">
              <w:t xml:space="preserve"> (6 bit field)</w:t>
            </w:r>
            <w:r w:rsidRPr="004D0DAA">
              <w:br/>
              <w:t>This field is present when a reduced MA is used, indicating more than one frequency.</w:t>
            </w:r>
            <w:r w:rsidRPr="004D0DAA">
              <w:br/>
              <w:t>This parameter is the binary representation of the mobile allocation index offset (MAIO) to be used on blocks using a reduced Mobile Allocation.</w:t>
            </w:r>
            <w:r w:rsidRPr="004D0DAA">
              <w:br/>
              <w:t>Range 0 to 63.</w:t>
            </w:r>
          </w:p>
        </w:tc>
      </w:tr>
    </w:tbl>
    <w:p w14:paraId="7C8B76D9" w14:textId="77777777" w:rsidR="00711444" w:rsidRPr="004D0DAA" w:rsidRDefault="00711444" w:rsidP="00711444"/>
    <w:p w14:paraId="0D5B6429" w14:textId="77777777" w:rsidR="00711444" w:rsidRPr="004D0DAA" w:rsidRDefault="00711444" w:rsidP="00711444">
      <w:pPr>
        <w:pStyle w:val="Heading2"/>
      </w:pPr>
      <w:bookmarkStart w:id="813" w:name="_Toc516669989"/>
      <w:r w:rsidRPr="004D0DAA">
        <w:t>12.30</w:t>
      </w:r>
      <w:r w:rsidRPr="004D0DAA">
        <w:tab/>
        <w:t>MS Radio Access Capability 2</w:t>
      </w:r>
      <w:bookmarkEnd w:id="813"/>
    </w:p>
    <w:p w14:paraId="061E4028" w14:textId="77777777" w:rsidR="00711444" w:rsidRPr="004D0DAA" w:rsidRDefault="00711444" w:rsidP="00711444">
      <w:r w:rsidRPr="004D0DAA">
        <w:t>The MS Radio Access Capability 2 information element is used to provide the radio part of the network with information concerning radio aspects of the mobile station. The contents may affect the manner in which the network handles the operation of the mobile station.</w:t>
      </w:r>
    </w:p>
    <w:p w14:paraId="518FE80A" w14:textId="77777777" w:rsidR="00711444" w:rsidRPr="004D0DAA" w:rsidRDefault="00711444" w:rsidP="00711444">
      <w:r w:rsidRPr="004D0DAA">
        <w:t>For the indication of the radio access capabilities the following conditions shall apply (see 3GPP TS 24.008 for the definition of the parameters):</w:t>
      </w:r>
    </w:p>
    <w:p w14:paraId="18C5B99A" w14:textId="77777777" w:rsidR="00711444" w:rsidRPr="004D0DAA" w:rsidRDefault="00711444" w:rsidP="00711444">
      <w:pPr>
        <w:pStyle w:val="B1"/>
      </w:pPr>
      <w:r w:rsidRPr="004D0DAA">
        <w:t>-</w:t>
      </w:r>
      <w:r w:rsidRPr="004D0DAA">
        <w:tab/>
        <w:t xml:space="preserve">Among the three Access Technology Types GSM 900-P, GSM 900-E and GSM 900-R the MS shall include only one access technology type denoting the GSM 900 band it supports. </w:t>
      </w:r>
    </w:p>
    <w:p w14:paraId="746E06FC" w14:textId="77777777" w:rsidR="00711444" w:rsidRPr="004D0DAA" w:rsidRDefault="00711444" w:rsidP="00711444">
      <w:pPr>
        <w:pStyle w:val="B1"/>
      </w:pPr>
      <w:r w:rsidRPr="004D0DAA">
        <w:t>-</w:t>
      </w:r>
      <w:r w:rsidRPr="004D0DAA">
        <w:tab/>
        <w:t xml:space="preserve">Due to shared radio frequency channel numbers between GSM 1800 and GSM 1900, the mobile station should provide the relevant radio access capability for either GSM 1800 band OR GSM 1900 band, not both. </w:t>
      </w:r>
    </w:p>
    <w:p w14:paraId="3C0EDAAC" w14:textId="77777777" w:rsidR="00711444" w:rsidRPr="004D0DAA" w:rsidRDefault="00711444" w:rsidP="00711444">
      <w:pPr>
        <w:pStyle w:val="B1"/>
      </w:pPr>
      <w:r w:rsidRPr="004D0DAA">
        <w:t>-</w:t>
      </w:r>
      <w:r w:rsidRPr="004D0DAA">
        <w:tab/>
        <w:t xml:space="preserve">One of two different coding forms shall be used by the mobile station when indicating its radio access capabilities to the network: the regular coding is where all capabilities are indicated explicitly within an </w:t>
      </w:r>
      <w:r w:rsidRPr="004D0DAA">
        <w:rPr>
          <w:i/>
        </w:rPr>
        <w:t>Access capabilities struct</w:t>
      </w:r>
      <w:r w:rsidRPr="004D0DAA">
        <w:t xml:space="preserve"> for each signalled access technology and the alternative coding where access technologies with same capabilities are indicated within the </w:t>
      </w:r>
      <w:r w:rsidRPr="004D0DAA">
        <w:rPr>
          <w:i/>
        </w:rPr>
        <w:t xml:space="preserve">Additional access technologies struct </w:t>
      </w:r>
      <w:r w:rsidRPr="004D0DAA">
        <w:t>(see 3GPP TS 24.008).</w:t>
      </w:r>
    </w:p>
    <w:p w14:paraId="20E7CC55" w14:textId="77777777" w:rsidR="00711444" w:rsidRPr="004D0DAA" w:rsidRDefault="00711444" w:rsidP="00711444">
      <w:pPr>
        <w:pStyle w:val="B1"/>
      </w:pPr>
      <w:r w:rsidRPr="004D0DAA">
        <w:t>-</w:t>
      </w:r>
      <w:r w:rsidRPr="004D0DAA">
        <w:tab/>
        <w:t xml:space="preserve">If the alternative coding by using the Additional access technologies struct is chosen by the mobile station, the mobile station shall indicate its radio access capability for the serving BCCH frequency band in the first included </w:t>
      </w:r>
      <w:r w:rsidRPr="004D0DAA">
        <w:rPr>
          <w:i/>
        </w:rPr>
        <w:t xml:space="preserve">Access capabilities struct </w:t>
      </w:r>
      <w:r w:rsidRPr="004D0DAA">
        <w:t>if this information element is not sent in response to an Access Technologies Request from the network or if none of the requested Access Technology Types is supported by the mobile station - see note 3. Otherwise, the mobile station shall include the radio access capabilities for the frequency bands it supports in the order of priority requested by the network as specified in sub-clause 7.1.3.2.</w:t>
      </w:r>
    </w:p>
    <w:p w14:paraId="7796962B" w14:textId="77777777" w:rsidR="00711444" w:rsidRPr="004D0DAA" w:rsidRDefault="00711444" w:rsidP="00711444">
      <w:pPr>
        <w:pStyle w:val="B1"/>
      </w:pPr>
      <w:r w:rsidRPr="004D0DAA">
        <w:t>-</w:t>
      </w:r>
      <w:r w:rsidRPr="004D0DAA">
        <w:tab/>
        <w:t>If this information element is sent during a GPRS TBF establishment, the mobile station should indicate as many as possible of its supported Access Technology Types. The maximum number of indicated Access Technology Types depends on the remaining bits left in the RLC/MAC message containing the MS Radio Access Capability 2 IE. The radio access capability for the serving BCCH frequency band shall be part of the indicated technologies, the inclusion of any other radio access capability is a mobile station implementation option.</w:t>
      </w:r>
    </w:p>
    <w:p w14:paraId="670BDFC9" w14:textId="77777777" w:rsidR="00711444" w:rsidRPr="004D0DAA" w:rsidRDefault="00711444" w:rsidP="00711444">
      <w:pPr>
        <w:pStyle w:val="B1"/>
      </w:pPr>
      <w:r w:rsidRPr="004D0DAA">
        <w:t>-</w:t>
      </w:r>
      <w:r w:rsidRPr="004D0DAA">
        <w:tab/>
        <w:t>If this information element is sent during an EGPRS TBF establishment, the mobile station shall indicate its supported Access Technology Types within the ones that are requested by the network or the access technology of the serving BCCH frequency band, as specified by the relevant procedures.</w:t>
      </w:r>
    </w:p>
    <w:p w14:paraId="4D951F13" w14:textId="77777777" w:rsidR="00711444" w:rsidRPr="004D0DAA" w:rsidRDefault="00711444" w:rsidP="00711444">
      <w:pPr>
        <w:pStyle w:val="B1"/>
      </w:pPr>
      <w:r w:rsidRPr="004D0DAA">
        <w:t>-</w:t>
      </w:r>
      <w:r w:rsidRPr="004D0DAA">
        <w:tab/>
        <w:t xml:space="preserve">If the first instance of radio access capabilities information for a supported access technology type fits in its entirety using the </w:t>
      </w:r>
      <w:r w:rsidRPr="004D0DAA">
        <w:rPr>
          <w:bCs/>
          <w:i/>
          <w:iCs/>
        </w:rPr>
        <w:t>Access capabilities struct</w:t>
      </w:r>
      <w:r w:rsidRPr="004D0DAA">
        <w:t xml:space="preserve"> of the </w:t>
      </w:r>
      <w:r w:rsidRPr="004D0DAA">
        <w:rPr>
          <w:iCs/>
        </w:rPr>
        <w:t xml:space="preserve">MS Radio Access Capability 2 IE sent </w:t>
      </w:r>
      <w:r w:rsidRPr="004D0DAA">
        <w:t xml:space="preserve">within the PACKET RESOURCE REQUEST message, the mobile station may use the alternative coding for encoding other access technology types that are provided within either the PACKET RESOURCE REQUEST message or the </w:t>
      </w:r>
      <w:r w:rsidRPr="004D0DAA">
        <w:rPr>
          <w:bCs/>
        </w:rPr>
        <w:t xml:space="preserve">ADDITIONAL MS RADIO ACCESS CAPABILITIES </w:t>
      </w:r>
      <w:r w:rsidRPr="004D0DAA">
        <w:t xml:space="preserve">message. In the case where the </w:t>
      </w:r>
      <w:r w:rsidRPr="004D0DAA">
        <w:rPr>
          <w:bCs/>
        </w:rPr>
        <w:t xml:space="preserve">ADDITIONAL MS </w:t>
      </w:r>
      <w:r w:rsidRPr="004D0DAA">
        <w:rPr>
          <w:bCs/>
        </w:rPr>
        <w:lastRenderedPageBreak/>
        <w:t>RADIO ACCESS CAPABILITIES</w:t>
      </w:r>
      <w:r w:rsidRPr="004D0DAA">
        <w:t xml:space="preserve"> message is sent to the network, the first </w:t>
      </w:r>
      <w:r w:rsidRPr="004D0DAA">
        <w:rPr>
          <w:bCs/>
        </w:rPr>
        <w:t>Access Technology Type may be set to "1111".</w:t>
      </w:r>
    </w:p>
    <w:p w14:paraId="6CD5FBCF" w14:textId="77777777" w:rsidR="00711444" w:rsidRPr="004D0DAA" w:rsidRDefault="00711444" w:rsidP="00711444">
      <w:pPr>
        <w:pStyle w:val="B1"/>
      </w:pPr>
      <w:r w:rsidRPr="004D0DAA">
        <w:t>-</w:t>
      </w:r>
      <w:r w:rsidRPr="004D0DAA">
        <w:tab/>
        <w:t xml:space="preserve">If message size limitations prevent the first instance of access capabilities information for a supported access technology type from being provided in its entirety using the </w:t>
      </w:r>
      <w:r w:rsidRPr="004D0DAA">
        <w:rPr>
          <w:bCs/>
          <w:i/>
          <w:iCs/>
        </w:rPr>
        <w:t>Access capabilities struct</w:t>
      </w:r>
      <w:r w:rsidRPr="004D0DAA">
        <w:t xml:space="preserve"> of the </w:t>
      </w:r>
      <w:r w:rsidRPr="004D0DAA">
        <w:rPr>
          <w:iCs/>
        </w:rPr>
        <w:t xml:space="preserve">MS Radio Access Capability 2 IE sent </w:t>
      </w:r>
      <w:r w:rsidRPr="004D0DAA">
        <w:t>within the PACKET RESOURCE REQUEST message, the mobile station shall:</w:t>
      </w:r>
    </w:p>
    <w:p w14:paraId="682A2138" w14:textId="77777777" w:rsidR="00711444" w:rsidRPr="004D0DAA" w:rsidRDefault="00711444" w:rsidP="00711444">
      <w:pPr>
        <w:pStyle w:val="B2"/>
      </w:pPr>
      <w:r w:rsidRPr="004D0DAA">
        <w:t>-</w:t>
      </w:r>
      <w:r w:rsidRPr="004D0DAA">
        <w:tab/>
        <w:t xml:space="preserve">For this instance of access technology type, include as much of the access capabilities information as possible that can fit within the </w:t>
      </w:r>
      <w:r w:rsidRPr="004D0DAA">
        <w:rPr>
          <w:bCs/>
          <w:i/>
          <w:iCs/>
        </w:rPr>
        <w:t>Access capabilities struct</w:t>
      </w:r>
      <w:r w:rsidRPr="004D0DAA">
        <w:rPr>
          <w:i/>
          <w:iCs/>
        </w:rPr>
        <w:t xml:space="preserve"> </w:t>
      </w:r>
      <w:r w:rsidRPr="004D0DAA">
        <w:t xml:space="preserve">of the </w:t>
      </w:r>
      <w:r w:rsidRPr="004D0DAA">
        <w:rPr>
          <w:iCs/>
        </w:rPr>
        <w:t xml:space="preserve">MS Radio Access Capability 2 IE sent within </w:t>
      </w:r>
      <w:r w:rsidRPr="004D0DAA">
        <w:t xml:space="preserve">the PACKET RESOURCE REQUEST message. At minimum the mobile station shall provide up to and including its R99 access capabilities information within the </w:t>
      </w:r>
      <w:r w:rsidRPr="004D0DAA">
        <w:rPr>
          <w:bCs/>
          <w:i/>
          <w:iCs/>
        </w:rPr>
        <w:t>Access capabilities struct</w:t>
      </w:r>
      <w:r w:rsidRPr="004D0DAA">
        <w:t>. See note 1.</w:t>
      </w:r>
    </w:p>
    <w:p w14:paraId="33494646" w14:textId="77777777" w:rsidR="00711444" w:rsidRPr="004D0DAA" w:rsidRDefault="00711444" w:rsidP="00711444">
      <w:pPr>
        <w:pStyle w:val="B2"/>
      </w:pPr>
      <w:r w:rsidRPr="004D0DAA">
        <w:t>-</w:t>
      </w:r>
      <w:r w:rsidRPr="004D0DAA">
        <w:tab/>
        <w:t xml:space="preserve">For this instance of access technology type, include the entire access capabilities information using the </w:t>
      </w:r>
      <w:r w:rsidRPr="004D0DAA">
        <w:rPr>
          <w:bCs/>
          <w:i/>
          <w:iCs/>
        </w:rPr>
        <w:t>Access capabilities struct</w:t>
      </w:r>
      <w:r w:rsidRPr="004D0DAA">
        <w:t xml:space="preserve"> of the MS </w:t>
      </w:r>
      <w:r w:rsidRPr="004D0DAA">
        <w:rPr>
          <w:iCs/>
        </w:rPr>
        <w:t>Radio Access Capability 2 IE</w:t>
      </w:r>
      <w:r w:rsidRPr="004D0DAA">
        <w:t xml:space="preserve"> sent within the </w:t>
      </w:r>
      <w:r w:rsidRPr="004D0DAA">
        <w:rPr>
          <w:bCs/>
        </w:rPr>
        <w:t xml:space="preserve">ADDITIONAL MS RADIO ACCESS CAPABILITIES </w:t>
      </w:r>
      <w:r w:rsidRPr="004D0DAA">
        <w:t>message (if this message is sent to the network). See note 2.</w:t>
      </w:r>
    </w:p>
    <w:p w14:paraId="1D19B89C" w14:textId="77777777" w:rsidR="00711444" w:rsidRPr="004D0DAA" w:rsidRDefault="00711444" w:rsidP="00711444">
      <w:pPr>
        <w:pStyle w:val="NO"/>
      </w:pPr>
      <w:r w:rsidRPr="004D0DAA">
        <w:t>NOTE 1:</w:t>
      </w:r>
      <w:r w:rsidRPr="004D0DAA">
        <w:tab/>
        <w:t>The mobile station has to set the ADDITIONAL MS RAC INFORMATION AVAILABLE bit to 1 in the PACKET RESOURCE REQUEST message to signal that the instance of radio access capabilities provided in this message is incomplete - see sub-clauses 7.1.3.2 and 11.2.16.</w:t>
      </w:r>
    </w:p>
    <w:p w14:paraId="7ECBEF97" w14:textId="77777777" w:rsidR="00711444" w:rsidRPr="004D0DAA" w:rsidRDefault="00711444" w:rsidP="00711444">
      <w:pPr>
        <w:pStyle w:val="NO"/>
      </w:pPr>
      <w:r w:rsidRPr="004D0DAA">
        <w:t>NOTE 2:</w:t>
      </w:r>
      <w:r w:rsidRPr="004D0DAA">
        <w:tab/>
        <w:t xml:space="preserve">Additional instances of access capabilities information for other access technology types may be described using either the </w:t>
      </w:r>
      <w:r w:rsidRPr="004D0DAA">
        <w:rPr>
          <w:bCs/>
          <w:i/>
          <w:iCs/>
        </w:rPr>
        <w:t>Access capabilities struct</w:t>
      </w:r>
      <w:r w:rsidRPr="004D0DAA">
        <w:t xml:space="preserve"> (regular coding) or the </w:t>
      </w:r>
      <w:r w:rsidRPr="004D0DAA">
        <w:rPr>
          <w:bCs/>
          <w:i/>
          <w:iCs/>
        </w:rPr>
        <w:t>Additional access technologies struct</w:t>
      </w:r>
      <w:r w:rsidRPr="004D0DAA">
        <w:rPr>
          <w:bCs/>
        </w:rPr>
        <w:t xml:space="preserve"> </w:t>
      </w:r>
      <w:r w:rsidRPr="004D0DAA">
        <w:t>(alternative coding).</w:t>
      </w:r>
    </w:p>
    <w:p w14:paraId="70B37986" w14:textId="77777777" w:rsidR="00711444" w:rsidRPr="004D0DAA" w:rsidRDefault="00711444" w:rsidP="00711444">
      <w:pPr>
        <w:pStyle w:val="NO"/>
      </w:pPr>
      <w:r w:rsidRPr="004D0DAA">
        <w:t>NOTE 3:</w:t>
      </w:r>
      <w:r w:rsidRPr="004D0DAA">
        <w:tab/>
        <w:t xml:space="preserve">If the radio access capability for the serving BCCH frequency band has been included in its entirety in the PACKET RESOURCE REQUEST message, it should not be provided again in the </w:t>
      </w:r>
      <w:r w:rsidRPr="004D0DAA">
        <w:rPr>
          <w:bCs/>
        </w:rPr>
        <w:t xml:space="preserve">ADDITIONAL MS RADIO ACCESS CAPABILITIES </w:t>
      </w:r>
      <w:r w:rsidRPr="004D0DAA">
        <w:t>message, except in the cases specified in sub-clause 7.1.3.2.1 where this message is sent in response to a request from the network.</w:t>
      </w:r>
    </w:p>
    <w:p w14:paraId="304A0BAE" w14:textId="77777777" w:rsidR="00711444" w:rsidRPr="004D0DAA" w:rsidRDefault="00711444" w:rsidP="00711444">
      <w:pPr>
        <w:pStyle w:val="TH"/>
      </w:pPr>
      <w:r w:rsidRPr="004D0DAA">
        <w:t>Table 12.30.1: MS Radio Access Capability 2 information element</w:t>
      </w:r>
    </w:p>
    <w:tbl>
      <w:tblPr>
        <w:tblW w:w="98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A0BEBC6" w14:textId="77777777" w:rsidTr="00AA2A4C">
        <w:tblPrEx>
          <w:tblCellMar>
            <w:top w:w="0" w:type="dxa"/>
            <w:bottom w:w="0" w:type="dxa"/>
          </w:tblCellMar>
        </w:tblPrEx>
        <w:trPr>
          <w:cantSplit/>
        </w:trPr>
        <w:tc>
          <w:tcPr>
            <w:tcW w:w="9848" w:type="dxa"/>
          </w:tcPr>
          <w:p w14:paraId="23AEF1BF" w14:textId="77777777" w:rsidR="00711444" w:rsidRPr="004D0DAA" w:rsidRDefault="00711444" w:rsidP="00AA2A4C">
            <w:pPr>
              <w:pStyle w:val="TAL"/>
              <w:rPr>
                <w:lang w:eastAsia="en-US"/>
              </w:rPr>
            </w:pPr>
            <w:r w:rsidRPr="004D0DAA">
              <w:rPr>
                <w:lang w:eastAsia="en-US"/>
              </w:rPr>
              <w:t>&lt; MS Radio Access Capability 2 IE &gt; ::=</w:t>
            </w:r>
          </w:p>
          <w:p w14:paraId="097CF69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MS RA capability</w:t>
            </w:r>
            <w:r w:rsidRPr="004D0DAA">
              <w:rPr>
                <w:lang w:eastAsia="en-US"/>
              </w:rPr>
              <w:t xml:space="preserve"> : &lt; MS RA capability value part struct &gt; &gt; ;</w:t>
            </w:r>
          </w:p>
        </w:tc>
      </w:tr>
    </w:tbl>
    <w:p w14:paraId="5660CF43" w14:textId="77777777" w:rsidR="00711444" w:rsidRPr="004D0DAA" w:rsidRDefault="00711444" w:rsidP="00711444"/>
    <w:p w14:paraId="5AFC305A" w14:textId="77777777" w:rsidR="00711444" w:rsidRPr="004D0DAA" w:rsidRDefault="00711444" w:rsidP="00711444">
      <w:pPr>
        <w:pStyle w:val="TH"/>
      </w:pPr>
      <w:r w:rsidRPr="004D0DAA">
        <w:t>Table 12.30.2: MS Radio Access Capability 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09CB141" w14:textId="77777777" w:rsidTr="00AA2A4C">
        <w:tblPrEx>
          <w:tblCellMar>
            <w:top w:w="0" w:type="dxa"/>
            <w:bottom w:w="0" w:type="dxa"/>
          </w:tblCellMar>
        </w:tblPrEx>
        <w:tc>
          <w:tcPr>
            <w:tcW w:w="9848" w:type="dxa"/>
          </w:tcPr>
          <w:p w14:paraId="17D7E5EF" w14:textId="77777777" w:rsidR="00711444" w:rsidRPr="004D0DAA" w:rsidRDefault="00711444" w:rsidP="00AA2A4C">
            <w:r w:rsidRPr="004D0DAA">
              <w:rPr>
                <w:b/>
                <w:bCs/>
              </w:rPr>
              <w:t>MS RA capability</w:t>
            </w:r>
            <w:r w:rsidRPr="004D0DAA">
              <w:br/>
              <w:t xml:space="preserve">This information element is coded as defined by the </w:t>
            </w:r>
            <w:r w:rsidRPr="004D0DAA">
              <w:rPr>
                <w:i/>
              </w:rPr>
              <w:t>MS RA capability value part</w:t>
            </w:r>
            <w:r w:rsidRPr="004D0DAA">
              <w:t xml:space="preserve"> defined in the </w:t>
            </w:r>
            <w:r w:rsidRPr="004D0DAA">
              <w:rPr>
                <w:i/>
              </w:rPr>
              <w:t xml:space="preserve">MS Radio Access Capability </w:t>
            </w:r>
            <w:r w:rsidRPr="004D0DAA">
              <w:t>IE defined in 3GPP TS 24.008. When this information element is sent, all spare bits shall be suppressed by the transmitter.</w:t>
            </w:r>
          </w:p>
        </w:tc>
      </w:tr>
    </w:tbl>
    <w:p w14:paraId="2648E3A1" w14:textId="77777777" w:rsidR="00711444" w:rsidRPr="004D0DAA" w:rsidRDefault="00711444" w:rsidP="00711444"/>
    <w:p w14:paraId="5551693C" w14:textId="77777777" w:rsidR="00711444" w:rsidRPr="004D0DAA" w:rsidRDefault="00711444" w:rsidP="00711444">
      <w:pPr>
        <w:pStyle w:val="Heading2"/>
      </w:pPr>
      <w:bookmarkStart w:id="814" w:name="_Toc516669990"/>
      <w:r w:rsidRPr="004D0DAA">
        <w:t>12.31</w:t>
      </w:r>
      <w:r w:rsidRPr="004D0DAA">
        <w:tab/>
      </w:r>
      <w:r w:rsidRPr="004D0DAA">
        <w:rPr>
          <w:i/>
        </w:rPr>
        <w:t>UTRAN FDD Target cell</w:t>
      </w:r>
      <w:bookmarkEnd w:id="814"/>
    </w:p>
    <w:p w14:paraId="2F3F0328" w14:textId="77777777" w:rsidR="00711444" w:rsidRPr="004D0DAA" w:rsidRDefault="00711444" w:rsidP="00711444">
      <w:pPr>
        <w:keepNext/>
        <w:keepLines/>
      </w:pPr>
      <w:r w:rsidRPr="004D0DAA">
        <w:t xml:space="preserve">The </w:t>
      </w:r>
      <w:r w:rsidRPr="004D0DAA">
        <w:rPr>
          <w:i/>
        </w:rPr>
        <w:t>UTRAN FDD Target cell</w:t>
      </w:r>
      <w:r w:rsidRPr="004D0DAA">
        <w:t xml:space="preserve"> information element contains the description of a UTRAN FDD Target cell. </w:t>
      </w:r>
    </w:p>
    <w:p w14:paraId="1F68DFA3" w14:textId="77777777" w:rsidR="00711444" w:rsidRPr="004D0DAA" w:rsidRDefault="00711444" w:rsidP="00711444">
      <w:pPr>
        <w:pStyle w:val="TH"/>
      </w:pPr>
      <w:r w:rsidRPr="004D0DAA">
        <w:t xml:space="preserve">Table 12.31.1: </w:t>
      </w:r>
      <w:r w:rsidRPr="004D0DAA">
        <w:rPr>
          <w:i/>
        </w:rPr>
        <w:t>UTRAN FDD Target cell</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7ED51CC" w14:textId="77777777" w:rsidTr="00AA2A4C">
        <w:tblPrEx>
          <w:tblCellMar>
            <w:top w:w="0" w:type="dxa"/>
            <w:bottom w:w="0" w:type="dxa"/>
          </w:tblCellMar>
        </w:tblPrEx>
        <w:trPr>
          <w:cantSplit/>
        </w:trPr>
        <w:tc>
          <w:tcPr>
            <w:tcW w:w="9848" w:type="dxa"/>
          </w:tcPr>
          <w:p w14:paraId="15583C58" w14:textId="77777777" w:rsidR="00711444" w:rsidRPr="004D0DAA" w:rsidRDefault="00711444" w:rsidP="00AA2A4C">
            <w:pPr>
              <w:pStyle w:val="TAL"/>
              <w:rPr>
                <w:lang w:eastAsia="en-US"/>
              </w:rPr>
            </w:pPr>
            <w:r w:rsidRPr="004D0DAA">
              <w:rPr>
                <w:lang w:eastAsia="en-US"/>
              </w:rPr>
              <w:t>&lt; UTRAN FDD Target cell IE &gt; ::=</w:t>
            </w:r>
          </w:p>
          <w:p w14:paraId="750FC46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FDD-ARFCN</w:t>
            </w:r>
            <w:r w:rsidRPr="004D0DAA">
              <w:rPr>
                <w:lang w:eastAsia="en-US"/>
              </w:rPr>
              <w:t xml:space="preserve"> : bit (14) &gt;</w:t>
            </w:r>
          </w:p>
          <w:p w14:paraId="78EF55D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Diversity</w:t>
            </w:r>
            <w:r w:rsidRPr="004D0DAA">
              <w:rPr>
                <w:lang w:eastAsia="en-US"/>
              </w:rPr>
              <w:t xml:space="preserve"> : bit &gt;</w:t>
            </w:r>
          </w:p>
          <w:p w14:paraId="10BE48E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Bandwidth_FDD</w:t>
            </w:r>
            <w:r w:rsidRPr="004D0DAA">
              <w:rPr>
                <w:lang w:eastAsia="en-US"/>
              </w:rPr>
              <w:t xml:space="preserve"> : bit (3) &gt; }</w:t>
            </w:r>
          </w:p>
          <w:p w14:paraId="6F00316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SCRAMBLING_CODE</w:t>
            </w:r>
            <w:r w:rsidRPr="004D0DAA">
              <w:rPr>
                <w:lang w:eastAsia="en-US"/>
              </w:rPr>
              <w:t xml:space="preserve"> : bit (9) &gt; ;</w:t>
            </w:r>
          </w:p>
          <w:p w14:paraId="7574ABBC" w14:textId="77777777" w:rsidR="00711444" w:rsidRPr="004D0DAA" w:rsidRDefault="00711444" w:rsidP="00AA2A4C">
            <w:pPr>
              <w:pStyle w:val="TAL"/>
              <w:rPr>
                <w:lang w:eastAsia="en-US"/>
              </w:rPr>
            </w:pPr>
          </w:p>
        </w:tc>
      </w:tr>
    </w:tbl>
    <w:p w14:paraId="0667B463" w14:textId="77777777" w:rsidR="00711444" w:rsidRPr="004D0DAA" w:rsidRDefault="00711444" w:rsidP="00711444"/>
    <w:p w14:paraId="537FF30F" w14:textId="77777777" w:rsidR="00711444" w:rsidRPr="004D0DAA" w:rsidRDefault="00711444" w:rsidP="00711444">
      <w:pPr>
        <w:pStyle w:val="TH"/>
      </w:pPr>
      <w:r w:rsidRPr="004D0DAA">
        <w:t xml:space="preserve">Table 12.31.2: </w:t>
      </w:r>
      <w:r w:rsidRPr="004D0DAA">
        <w:rPr>
          <w:i/>
        </w:rPr>
        <w:t>UTRAN FDD Target cell</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2826D66" w14:textId="77777777" w:rsidTr="00AA2A4C">
        <w:tblPrEx>
          <w:tblCellMar>
            <w:top w:w="0" w:type="dxa"/>
            <w:bottom w:w="0" w:type="dxa"/>
          </w:tblCellMar>
        </w:tblPrEx>
        <w:trPr>
          <w:cantSplit/>
        </w:trPr>
        <w:tc>
          <w:tcPr>
            <w:tcW w:w="9848" w:type="dxa"/>
          </w:tcPr>
          <w:p w14:paraId="6E9C7005" w14:textId="77777777" w:rsidR="00711444" w:rsidRPr="004D0DAA" w:rsidRDefault="00711444" w:rsidP="00AA2A4C">
            <w:pPr>
              <w:keepLines/>
              <w:rPr>
                <w:b/>
              </w:rPr>
            </w:pPr>
            <w:r w:rsidRPr="004D0DAA">
              <w:rPr>
                <w:b/>
              </w:rPr>
              <w:t>FDD_ARFCN</w:t>
            </w:r>
            <w:r w:rsidRPr="004D0DAA">
              <w:t xml:space="preserve"> (14 bit field)</w:t>
            </w:r>
            <w:r w:rsidRPr="004D0DAA">
              <w:br/>
              <w:t>This information element is defined as the UARFCN in 3GPP TS 25.101.</w:t>
            </w:r>
          </w:p>
        </w:tc>
      </w:tr>
      <w:tr w:rsidR="00711444" w:rsidRPr="004D0DAA" w14:paraId="340CB7A1" w14:textId="77777777" w:rsidTr="00AA2A4C">
        <w:tblPrEx>
          <w:tblCellMar>
            <w:top w:w="0" w:type="dxa"/>
            <w:bottom w:w="0" w:type="dxa"/>
          </w:tblCellMar>
        </w:tblPrEx>
        <w:trPr>
          <w:cantSplit/>
        </w:trPr>
        <w:tc>
          <w:tcPr>
            <w:tcW w:w="9848" w:type="dxa"/>
          </w:tcPr>
          <w:p w14:paraId="60ABA603" w14:textId="77777777" w:rsidR="00711444" w:rsidRPr="004D0DAA" w:rsidRDefault="00711444" w:rsidP="00AA2A4C">
            <w:pPr>
              <w:keepLines/>
              <w:rPr>
                <w:b/>
              </w:rPr>
            </w:pPr>
            <w:r w:rsidRPr="004D0DAA">
              <w:rPr>
                <w:b/>
              </w:rPr>
              <w:lastRenderedPageBreak/>
              <w:t>Diversity</w:t>
            </w:r>
            <w:r w:rsidRPr="004D0DAA">
              <w:t xml:space="preserve"> (1 bit field)</w:t>
            </w:r>
            <w:r w:rsidRPr="004D0DAA">
              <w:br/>
              <w:t>This parameter indicates if diversity is applied for the cell:</w:t>
            </w:r>
            <w:r w:rsidRPr="004D0DAA">
              <w:br/>
              <w:t>Bit</w:t>
            </w:r>
            <w:r w:rsidRPr="004D0DAA">
              <w:br/>
              <w:t>0</w:t>
            </w:r>
            <w:r w:rsidRPr="004D0DAA">
              <w:tab/>
              <w:t>Diversity is not applied for this cell</w:t>
            </w:r>
            <w:r w:rsidRPr="004D0DAA">
              <w:br/>
              <w:t>1</w:t>
            </w:r>
            <w:r w:rsidRPr="004D0DAA">
              <w:tab/>
              <w:t>Diversity is applied for this cell.</w:t>
            </w:r>
          </w:p>
        </w:tc>
      </w:tr>
      <w:tr w:rsidR="00711444" w:rsidRPr="004D0DAA" w14:paraId="3E78CC2A" w14:textId="77777777" w:rsidTr="00AA2A4C">
        <w:tblPrEx>
          <w:tblCellMar>
            <w:top w:w="0" w:type="dxa"/>
            <w:bottom w:w="0" w:type="dxa"/>
          </w:tblCellMar>
        </w:tblPrEx>
        <w:trPr>
          <w:cantSplit/>
        </w:trPr>
        <w:tc>
          <w:tcPr>
            <w:tcW w:w="9848" w:type="dxa"/>
          </w:tcPr>
          <w:p w14:paraId="66ED739A" w14:textId="77777777" w:rsidR="00711444" w:rsidRPr="004D0DAA" w:rsidRDefault="00711444" w:rsidP="00AA2A4C">
            <w:pPr>
              <w:keepLines/>
              <w:rPr>
                <w:b/>
              </w:rPr>
            </w:pPr>
            <w:r w:rsidRPr="004D0DAA">
              <w:rPr>
                <w:b/>
              </w:rPr>
              <w:t xml:space="preserve">Bandwidth_FDD </w:t>
            </w:r>
            <w:r w:rsidRPr="004D0DAA">
              <w:t>(3 bit field)</w:t>
            </w:r>
            <w:r w:rsidRPr="004D0DAA">
              <w:br/>
              <w:t xml:space="preserve">This information element will be used for future releases. It shall not be sent in this version of the protocol. </w:t>
            </w:r>
            <w:r w:rsidRPr="004D0DAA">
              <w:br/>
              <w:t>When missing, this indicates the present FDD bandwidth. When present, this shall not be considered as an error; indices of the 3G Neighbour Cell list shall be incremented accordingly.</w:t>
            </w:r>
          </w:p>
        </w:tc>
      </w:tr>
      <w:tr w:rsidR="00711444" w:rsidRPr="004D0DAA" w14:paraId="34DAF194" w14:textId="77777777" w:rsidTr="00AA2A4C">
        <w:tblPrEx>
          <w:tblCellMar>
            <w:top w:w="0" w:type="dxa"/>
            <w:bottom w:w="0" w:type="dxa"/>
          </w:tblCellMar>
        </w:tblPrEx>
        <w:trPr>
          <w:cantSplit/>
        </w:trPr>
        <w:tc>
          <w:tcPr>
            <w:tcW w:w="9848" w:type="dxa"/>
          </w:tcPr>
          <w:p w14:paraId="3B3D2C58" w14:textId="77777777" w:rsidR="00711444" w:rsidRPr="004D0DAA" w:rsidRDefault="00711444" w:rsidP="00AA2A4C">
            <w:pPr>
              <w:keepLines/>
            </w:pPr>
            <w:r w:rsidRPr="004D0DAA">
              <w:rPr>
                <w:b/>
              </w:rPr>
              <w:t>Scrambling Codes</w:t>
            </w:r>
            <w:r w:rsidRPr="004D0DAA">
              <w:t xml:space="preserve"> (9 bit field)</w:t>
            </w:r>
            <w:r w:rsidRPr="004D0DAA">
              <w:br/>
              <w:t>This parameter indicates the Primary Scrambling Code as defined in 3GPP TS 25.331.</w:t>
            </w:r>
          </w:p>
        </w:tc>
      </w:tr>
    </w:tbl>
    <w:p w14:paraId="4E728ACA" w14:textId="77777777" w:rsidR="00711444" w:rsidRPr="004D0DAA" w:rsidRDefault="00711444" w:rsidP="00711444"/>
    <w:p w14:paraId="1B4340ED" w14:textId="77777777" w:rsidR="00711444" w:rsidRPr="004D0DAA" w:rsidRDefault="00711444" w:rsidP="00711444">
      <w:pPr>
        <w:pStyle w:val="Heading2"/>
      </w:pPr>
      <w:bookmarkStart w:id="815" w:name="_Toc516669991"/>
      <w:r w:rsidRPr="004D0DAA">
        <w:t>12.32</w:t>
      </w:r>
      <w:r w:rsidRPr="004D0DAA">
        <w:tab/>
      </w:r>
      <w:r w:rsidRPr="004D0DAA">
        <w:rPr>
          <w:i/>
        </w:rPr>
        <w:t>UTRAN TDD Target cell</w:t>
      </w:r>
      <w:bookmarkEnd w:id="815"/>
    </w:p>
    <w:p w14:paraId="7E1E79E5" w14:textId="77777777" w:rsidR="00711444" w:rsidRPr="004D0DAA" w:rsidRDefault="00711444" w:rsidP="00711444">
      <w:pPr>
        <w:keepNext/>
        <w:keepLines/>
      </w:pPr>
      <w:r w:rsidRPr="004D0DAA">
        <w:t xml:space="preserve">The </w:t>
      </w:r>
      <w:r w:rsidRPr="004D0DAA">
        <w:rPr>
          <w:i/>
        </w:rPr>
        <w:t>UTRAN TDD Target cell</w:t>
      </w:r>
      <w:r w:rsidRPr="004D0DAA">
        <w:t xml:space="preserve"> information element contains the description of a UTRAN TDD Target cell. </w:t>
      </w:r>
    </w:p>
    <w:p w14:paraId="72373010" w14:textId="77777777" w:rsidR="00711444" w:rsidRPr="004D0DAA" w:rsidRDefault="00711444" w:rsidP="00711444">
      <w:pPr>
        <w:pStyle w:val="TH"/>
      </w:pPr>
      <w:r w:rsidRPr="004D0DAA">
        <w:t xml:space="preserve">Table 12.32.1: </w:t>
      </w:r>
      <w:r w:rsidRPr="004D0DAA">
        <w:rPr>
          <w:i/>
        </w:rPr>
        <w:t>UTRAN TDD Target cell</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9EDD6BF" w14:textId="77777777" w:rsidTr="00AA2A4C">
        <w:tblPrEx>
          <w:tblCellMar>
            <w:top w:w="0" w:type="dxa"/>
            <w:bottom w:w="0" w:type="dxa"/>
          </w:tblCellMar>
        </w:tblPrEx>
        <w:trPr>
          <w:cantSplit/>
        </w:trPr>
        <w:tc>
          <w:tcPr>
            <w:tcW w:w="9848" w:type="dxa"/>
          </w:tcPr>
          <w:p w14:paraId="4A3BC8FA" w14:textId="77777777" w:rsidR="00711444" w:rsidRPr="004D0DAA" w:rsidRDefault="00711444" w:rsidP="00AA2A4C">
            <w:pPr>
              <w:pStyle w:val="TAL"/>
              <w:rPr>
                <w:lang w:eastAsia="en-US"/>
              </w:rPr>
            </w:pPr>
            <w:r w:rsidRPr="004D0DAA">
              <w:rPr>
                <w:lang w:eastAsia="en-US"/>
              </w:rPr>
              <w:t>&lt; UTRAN TDD Target cell IE &gt; ::=</w:t>
            </w:r>
          </w:p>
          <w:p w14:paraId="7299FFB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TDD-ARFCN</w:t>
            </w:r>
            <w:r w:rsidRPr="004D0DAA">
              <w:rPr>
                <w:lang w:eastAsia="en-US"/>
              </w:rPr>
              <w:t xml:space="preserve"> : bit (14) &gt;</w:t>
            </w:r>
          </w:p>
          <w:p w14:paraId="18F370E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Diversity TDD</w:t>
            </w:r>
            <w:r w:rsidRPr="004D0DAA">
              <w:rPr>
                <w:lang w:eastAsia="en-US"/>
              </w:rPr>
              <w:t xml:space="preserve"> : bit &gt;</w:t>
            </w:r>
          </w:p>
          <w:p w14:paraId="4E3F704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Bandwidth_TDD</w:t>
            </w:r>
            <w:r w:rsidRPr="004D0DAA">
              <w:rPr>
                <w:lang w:eastAsia="en-US"/>
              </w:rPr>
              <w:t xml:space="preserve"> : bit (3) &gt; }</w:t>
            </w:r>
          </w:p>
          <w:p w14:paraId="72C391F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Cell Parameter</w:t>
            </w:r>
            <w:r w:rsidRPr="004D0DAA">
              <w:rPr>
                <w:lang w:eastAsia="en-US"/>
              </w:rPr>
              <w:t xml:space="preserve"> : bit (7) &gt;</w:t>
            </w:r>
          </w:p>
          <w:p w14:paraId="53C3645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Sync Case TSTD</w:t>
            </w:r>
            <w:r w:rsidRPr="004D0DAA">
              <w:rPr>
                <w:lang w:eastAsia="en-US"/>
              </w:rPr>
              <w:t xml:space="preserve"> : bit &gt; ;</w:t>
            </w:r>
          </w:p>
        </w:tc>
      </w:tr>
    </w:tbl>
    <w:p w14:paraId="04540F25" w14:textId="77777777" w:rsidR="00711444" w:rsidRPr="004D0DAA" w:rsidRDefault="00711444" w:rsidP="00711444"/>
    <w:p w14:paraId="27D5A2EF" w14:textId="77777777" w:rsidR="00711444" w:rsidRPr="004D0DAA" w:rsidRDefault="00711444" w:rsidP="00711444">
      <w:pPr>
        <w:pStyle w:val="TH"/>
      </w:pPr>
      <w:r w:rsidRPr="004D0DAA">
        <w:t xml:space="preserve">Table 12.32.2: </w:t>
      </w:r>
      <w:r w:rsidRPr="004D0DAA">
        <w:rPr>
          <w:i/>
        </w:rPr>
        <w:t>UTRAN TDD Target cell</w:t>
      </w:r>
      <w:r w:rsidRPr="004D0DAA">
        <w:t xml:space="preserve"> 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F4A0342" w14:textId="77777777" w:rsidTr="00AA2A4C">
        <w:tblPrEx>
          <w:tblCellMar>
            <w:top w:w="0" w:type="dxa"/>
            <w:bottom w:w="0" w:type="dxa"/>
          </w:tblCellMar>
        </w:tblPrEx>
        <w:trPr>
          <w:cantSplit/>
        </w:trPr>
        <w:tc>
          <w:tcPr>
            <w:tcW w:w="9848" w:type="dxa"/>
          </w:tcPr>
          <w:p w14:paraId="49D86FE8" w14:textId="77777777" w:rsidR="00711444" w:rsidRPr="004D0DAA" w:rsidRDefault="00711444" w:rsidP="00AA2A4C">
            <w:pPr>
              <w:keepLines/>
              <w:rPr>
                <w:b/>
              </w:rPr>
            </w:pPr>
            <w:r w:rsidRPr="004D0DAA">
              <w:rPr>
                <w:b/>
              </w:rPr>
              <w:t>TDD_ARFCN</w:t>
            </w:r>
            <w:r w:rsidRPr="004D0DAA">
              <w:t xml:space="preserve"> (14 bit field)</w:t>
            </w:r>
            <w:r w:rsidRPr="004D0DAA">
              <w:br/>
              <w:t>This information element is defined as the UARFCN in 3GPP TS 25.102.</w:t>
            </w:r>
          </w:p>
        </w:tc>
      </w:tr>
      <w:tr w:rsidR="00711444" w:rsidRPr="004D0DAA" w14:paraId="2D97DAC1" w14:textId="77777777" w:rsidTr="00AA2A4C">
        <w:tblPrEx>
          <w:tblCellMar>
            <w:top w:w="0" w:type="dxa"/>
            <w:bottom w:w="0" w:type="dxa"/>
          </w:tblCellMar>
        </w:tblPrEx>
        <w:trPr>
          <w:cantSplit/>
        </w:trPr>
        <w:tc>
          <w:tcPr>
            <w:tcW w:w="9848" w:type="dxa"/>
          </w:tcPr>
          <w:p w14:paraId="256BA4A3" w14:textId="77777777" w:rsidR="00711444" w:rsidRPr="004D0DAA" w:rsidRDefault="00711444" w:rsidP="00AA2A4C">
            <w:pPr>
              <w:keepLines/>
              <w:rPr>
                <w:b/>
              </w:rPr>
            </w:pPr>
            <w:r w:rsidRPr="004D0DAA">
              <w:rPr>
                <w:b/>
              </w:rPr>
              <w:t xml:space="preserve">Bandwidth_TDD </w:t>
            </w:r>
            <w:r w:rsidRPr="004D0DAA">
              <w:t>(3bit field)</w:t>
            </w:r>
            <w:r w:rsidRPr="004D0DAA">
              <w:br/>
              <w:t>This information element refers to 3GPP TS 25.331.</w:t>
            </w:r>
            <w:r w:rsidRPr="004D0DAA">
              <w:br/>
              <w:t>Bit</w:t>
            </w:r>
            <w:r w:rsidRPr="004D0DAA">
              <w:br/>
              <w:t>321</w:t>
            </w:r>
            <w:r w:rsidRPr="004D0DAA">
              <w:br/>
              <w:t>000</w:t>
            </w:r>
            <w:r w:rsidRPr="004D0DAA">
              <w:tab/>
              <w:t>3.84Mcps</w:t>
            </w:r>
            <w:r w:rsidRPr="004D0DAA">
              <w:br/>
              <w:t>001</w:t>
            </w:r>
            <w:r w:rsidRPr="004D0DAA">
              <w:tab/>
              <w:t>1.28Mcps</w:t>
            </w:r>
            <w:r w:rsidRPr="004D0DAA">
              <w:br/>
              <w:t>All other values shall not be sent. All other values shall not be interpreted as an error; indices of the 3G Neighbour Cell list shall be incremented accordingly (but no reporting can be performed). When missing, this indicates 3,84 Mcps.</w:t>
            </w:r>
          </w:p>
        </w:tc>
      </w:tr>
      <w:tr w:rsidR="00711444" w:rsidRPr="004D0DAA" w14:paraId="3B21394E" w14:textId="77777777" w:rsidTr="00AA2A4C">
        <w:tblPrEx>
          <w:tblCellMar>
            <w:top w:w="0" w:type="dxa"/>
            <w:bottom w:w="0" w:type="dxa"/>
          </w:tblCellMar>
        </w:tblPrEx>
        <w:trPr>
          <w:cantSplit/>
        </w:trPr>
        <w:tc>
          <w:tcPr>
            <w:tcW w:w="9848" w:type="dxa"/>
          </w:tcPr>
          <w:p w14:paraId="35AFFA47" w14:textId="77777777" w:rsidR="00711444" w:rsidRPr="004D0DAA" w:rsidRDefault="00711444" w:rsidP="00AA2A4C">
            <w:pPr>
              <w:keepLines/>
              <w:rPr>
                <w:b/>
              </w:rPr>
            </w:pPr>
            <w:r w:rsidRPr="004D0DAA">
              <w:rPr>
                <w:b/>
              </w:rPr>
              <w:t>Diversity</w:t>
            </w:r>
            <w:r w:rsidRPr="004D0DAA">
              <w:rPr>
                <w:b/>
                <w:lang w:eastAsia="zh-CN"/>
              </w:rPr>
              <w:t xml:space="preserve"> TDD</w:t>
            </w:r>
            <w:r w:rsidRPr="004D0DAA">
              <w:t xml:space="preserve"> (1 bit field)</w:t>
            </w:r>
            <w:r w:rsidRPr="004D0DAA">
              <w:br/>
              <w:t xml:space="preserve">This parameter indicates if </w:t>
            </w:r>
            <w:r w:rsidRPr="004D0DAA">
              <w:rPr>
                <w:lang w:eastAsia="zh-CN"/>
              </w:rPr>
              <w:t xml:space="preserve">SCTD (see 3GPP TS 25.224) </w:t>
            </w:r>
            <w:r w:rsidRPr="004D0DAA">
              <w:t>is applied for the cell:</w:t>
            </w:r>
            <w:r w:rsidRPr="004D0DAA">
              <w:br/>
              <w:t>Bit</w:t>
            </w:r>
            <w:r w:rsidRPr="004D0DAA">
              <w:br/>
              <w:t>0</w:t>
            </w:r>
            <w:r w:rsidRPr="004D0DAA">
              <w:tab/>
            </w:r>
            <w:r w:rsidRPr="004D0DAA">
              <w:rPr>
                <w:lang w:eastAsia="zh-CN"/>
              </w:rPr>
              <w:t>SCTD</w:t>
            </w:r>
            <w:r w:rsidRPr="004D0DAA">
              <w:t xml:space="preserve"> is not applied for this cell</w:t>
            </w:r>
            <w:r w:rsidRPr="004D0DAA">
              <w:br/>
              <w:t>1</w:t>
            </w:r>
            <w:r w:rsidRPr="004D0DAA">
              <w:tab/>
            </w:r>
            <w:r w:rsidRPr="004D0DAA">
              <w:rPr>
                <w:lang w:eastAsia="zh-CN"/>
              </w:rPr>
              <w:t>SCTD</w:t>
            </w:r>
            <w:r w:rsidRPr="004D0DAA">
              <w:t xml:space="preserve"> is applied for this cell.</w:t>
            </w:r>
          </w:p>
        </w:tc>
      </w:tr>
      <w:tr w:rsidR="00711444" w:rsidRPr="004D0DAA" w14:paraId="10AD69A8" w14:textId="77777777" w:rsidTr="00AA2A4C">
        <w:tblPrEx>
          <w:tblCellMar>
            <w:top w:w="0" w:type="dxa"/>
            <w:bottom w:w="0" w:type="dxa"/>
          </w:tblCellMar>
        </w:tblPrEx>
        <w:trPr>
          <w:cantSplit/>
        </w:trPr>
        <w:tc>
          <w:tcPr>
            <w:tcW w:w="9848" w:type="dxa"/>
          </w:tcPr>
          <w:p w14:paraId="04A03211" w14:textId="77777777" w:rsidR="00711444" w:rsidRPr="004D0DAA" w:rsidRDefault="00711444" w:rsidP="00AA2A4C">
            <w:pPr>
              <w:keepLines/>
            </w:pPr>
            <w:r w:rsidRPr="004D0DAA">
              <w:rPr>
                <w:b/>
              </w:rPr>
              <w:t>Cell Parameter</w:t>
            </w:r>
            <w:r w:rsidRPr="004D0DAA">
              <w:t xml:space="preserve"> (7 bit field)</w:t>
            </w:r>
            <w:r w:rsidRPr="004D0DAA">
              <w:br/>
              <w:t>This parameter is defined in 3GPP TS 25.223.</w:t>
            </w:r>
          </w:p>
        </w:tc>
      </w:tr>
      <w:tr w:rsidR="00711444" w:rsidRPr="004D0DAA" w14:paraId="4E44611B" w14:textId="77777777" w:rsidTr="00AA2A4C">
        <w:tblPrEx>
          <w:tblCellMar>
            <w:top w:w="0" w:type="dxa"/>
            <w:bottom w:w="0" w:type="dxa"/>
          </w:tblCellMar>
        </w:tblPrEx>
        <w:trPr>
          <w:cantSplit/>
        </w:trPr>
        <w:tc>
          <w:tcPr>
            <w:tcW w:w="9848" w:type="dxa"/>
          </w:tcPr>
          <w:p w14:paraId="67BAFD56" w14:textId="77777777" w:rsidR="00711444" w:rsidRPr="004D0DAA" w:rsidRDefault="00711444" w:rsidP="00AA2A4C">
            <w:pPr>
              <w:keepLines/>
            </w:pPr>
            <w:r w:rsidRPr="004D0DAA">
              <w:rPr>
                <w:b/>
              </w:rPr>
              <w:lastRenderedPageBreak/>
              <w:t xml:space="preserve">Sync Case </w:t>
            </w:r>
            <w:r w:rsidRPr="004D0DAA">
              <w:rPr>
                <w:b/>
                <w:lang w:eastAsia="zh-CN"/>
              </w:rPr>
              <w:t>TSTD</w:t>
            </w:r>
            <w:r w:rsidRPr="004D0DAA">
              <w:rPr>
                <w:lang w:eastAsia="zh-CN"/>
              </w:rPr>
              <w:t xml:space="preserve"> </w:t>
            </w:r>
            <w:r w:rsidRPr="004D0DAA">
              <w:t>(1 bit field)</w:t>
            </w:r>
            <w:r w:rsidRPr="004D0DAA">
              <w:br/>
            </w:r>
            <w:r w:rsidRPr="004D0DAA">
              <w:rPr>
                <w:lang w:eastAsia="zh-CN"/>
              </w:rPr>
              <w:t>For 3.84 Mcps TDD, t</w:t>
            </w:r>
            <w:r w:rsidRPr="004D0DAA">
              <w:t>his parameter is defined in 3GPP TS 25.223.</w:t>
            </w:r>
          </w:p>
          <w:p w14:paraId="0B95CC00" w14:textId="77777777" w:rsidR="00711444" w:rsidRPr="004D0DAA" w:rsidRDefault="00711444" w:rsidP="00AA2A4C">
            <w:pPr>
              <w:keepLines/>
              <w:rPr>
                <w:lang w:eastAsia="zh-CN"/>
              </w:rPr>
            </w:pPr>
            <w:r w:rsidRPr="004D0DAA">
              <w:t>Bit</w:t>
            </w:r>
            <w:r w:rsidRPr="004D0DAA">
              <w:br/>
              <w:t>0</w:t>
            </w:r>
            <w:r w:rsidRPr="004D0DAA">
              <w:tab/>
              <w:t>Sync Case 1</w:t>
            </w:r>
            <w:r w:rsidRPr="004D0DAA">
              <w:br/>
              <w:t>1</w:t>
            </w:r>
            <w:r w:rsidRPr="004D0DAA">
              <w:tab/>
              <w:t>Sync Case 2</w:t>
            </w:r>
          </w:p>
          <w:p w14:paraId="0CBFC3DE" w14:textId="77777777" w:rsidR="00711444" w:rsidRPr="004D0DAA" w:rsidRDefault="00711444" w:rsidP="00AA2A4C">
            <w:pPr>
              <w:keepLines/>
              <w:spacing w:after="0"/>
              <w:rPr>
                <w:lang w:eastAsia="zh-CN"/>
              </w:rPr>
            </w:pPr>
            <w:r w:rsidRPr="004D0DAA">
              <w:rPr>
                <w:lang w:eastAsia="zh-CN"/>
              </w:rPr>
              <w:t>For 1.28 Mcps TDD, this parameter indicates if TSTD (see 3GPP TS 25.224) is applied for the cell:</w:t>
            </w:r>
          </w:p>
          <w:p w14:paraId="33C9C10A" w14:textId="77777777" w:rsidR="00711444" w:rsidRPr="004D0DAA" w:rsidRDefault="00711444" w:rsidP="00AA2A4C">
            <w:pPr>
              <w:keepLines/>
              <w:spacing w:after="0"/>
              <w:rPr>
                <w:lang w:eastAsia="zh-CN"/>
              </w:rPr>
            </w:pPr>
            <w:r w:rsidRPr="004D0DAA">
              <w:rPr>
                <w:lang w:eastAsia="zh-CN"/>
              </w:rPr>
              <w:t>Bit</w:t>
            </w:r>
          </w:p>
          <w:p w14:paraId="5DFF689C" w14:textId="77777777" w:rsidR="00711444" w:rsidRPr="004D0DAA" w:rsidRDefault="00711444" w:rsidP="00AA2A4C">
            <w:pPr>
              <w:keepLines/>
              <w:spacing w:after="0"/>
              <w:rPr>
                <w:lang w:eastAsia="zh-CN"/>
              </w:rPr>
            </w:pPr>
            <w:r w:rsidRPr="004D0DAA">
              <w:rPr>
                <w:lang w:eastAsia="zh-CN"/>
              </w:rPr>
              <w:t>0 TSTD is not applied for this cell</w:t>
            </w:r>
          </w:p>
          <w:p w14:paraId="2A5D098E" w14:textId="77777777" w:rsidR="00711444" w:rsidRPr="004D0DAA" w:rsidRDefault="00711444" w:rsidP="00AA2A4C">
            <w:pPr>
              <w:keepLines/>
            </w:pPr>
            <w:r w:rsidRPr="004D0DAA">
              <w:rPr>
                <w:lang w:eastAsia="zh-CN"/>
              </w:rPr>
              <w:t>1 TSTD is applied for this cell.</w:t>
            </w:r>
          </w:p>
        </w:tc>
      </w:tr>
    </w:tbl>
    <w:p w14:paraId="304E1E74" w14:textId="77777777" w:rsidR="00711444" w:rsidRPr="004D0DAA" w:rsidRDefault="00711444" w:rsidP="00711444"/>
    <w:p w14:paraId="3FF31338" w14:textId="77777777" w:rsidR="00711444" w:rsidRPr="004D0DAA" w:rsidRDefault="00711444" w:rsidP="00711444">
      <w:pPr>
        <w:pStyle w:val="Heading2"/>
      </w:pPr>
      <w:bookmarkStart w:id="816" w:name="_Toc516669992"/>
      <w:r w:rsidRPr="004D0DAA">
        <w:t>12.33</w:t>
      </w:r>
      <w:r w:rsidRPr="004D0DAA">
        <w:tab/>
        <w:t>Temporary Mobile Group Identity (TMGI)</w:t>
      </w:r>
      <w:bookmarkEnd w:id="816"/>
    </w:p>
    <w:p w14:paraId="6B352555" w14:textId="77777777" w:rsidR="00711444" w:rsidRPr="004D0DAA" w:rsidRDefault="00711444" w:rsidP="00711444">
      <w:pPr>
        <w:keepNext/>
        <w:keepLines/>
      </w:pPr>
      <w:r w:rsidRPr="004D0DAA">
        <w:t>The Temporary Mobile Group Identity (TMGI) identifies an MBMS service. The TMGI is defined in 3GPP TS 24.008.</w:t>
      </w:r>
    </w:p>
    <w:p w14:paraId="70E60D7C" w14:textId="77777777" w:rsidR="00711444" w:rsidRPr="004D0DAA" w:rsidRDefault="00711444" w:rsidP="00711444">
      <w:pPr>
        <w:keepNext/>
        <w:keepLines/>
      </w:pPr>
      <w:r w:rsidRPr="004D0DAA">
        <w:t>The Temporary Mobile Group Identity information element always contains an MBMS SERVICE ID. In case the TMGI originates from another PLMN than the local one, the MCC (Mobile Country Code) and the MNC (Mobile Network Code) of that originating PLMN shall also be present.</w:t>
      </w:r>
    </w:p>
    <w:p w14:paraId="44A0458F" w14:textId="77777777" w:rsidR="00711444" w:rsidRPr="004D0DAA" w:rsidRDefault="00711444" w:rsidP="00711444">
      <w:pPr>
        <w:pStyle w:val="TH"/>
      </w:pPr>
      <w:r w:rsidRPr="004D0DAA">
        <w:t xml:space="preserve">Table 12.33.1: </w:t>
      </w:r>
      <w:r w:rsidRPr="004D0DAA">
        <w:rPr>
          <w:i/>
        </w:rPr>
        <w:t xml:space="preserve">TMGI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E19870D" w14:textId="77777777" w:rsidTr="00AA2A4C">
        <w:tblPrEx>
          <w:tblCellMar>
            <w:top w:w="0" w:type="dxa"/>
            <w:bottom w:w="0" w:type="dxa"/>
          </w:tblCellMar>
        </w:tblPrEx>
        <w:trPr>
          <w:cantSplit/>
        </w:trPr>
        <w:tc>
          <w:tcPr>
            <w:tcW w:w="9848" w:type="dxa"/>
          </w:tcPr>
          <w:p w14:paraId="53994DFF" w14:textId="77777777" w:rsidR="00711444" w:rsidRPr="004D0DAA" w:rsidRDefault="00711444" w:rsidP="00AA2A4C">
            <w:pPr>
              <w:pStyle w:val="TAL"/>
              <w:rPr>
                <w:lang w:eastAsia="en-US"/>
              </w:rPr>
            </w:pPr>
            <w:r w:rsidRPr="004D0DAA">
              <w:rPr>
                <w:lang w:eastAsia="en-US"/>
              </w:rPr>
              <w:t>&lt; TMGI IE &gt; ::=</w:t>
            </w:r>
          </w:p>
          <w:p w14:paraId="3B5221AE"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MCC and MNC parameters</w:t>
            </w:r>
          </w:p>
          <w:p w14:paraId="58E2D53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MBMS SERVICE ID</w:t>
            </w:r>
            <w:r w:rsidRPr="004D0DAA">
              <w:rPr>
                <w:lang w:eastAsia="en-US"/>
              </w:rPr>
              <w:t xml:space="preserve"> : bit (24) &gt;</w:t>
            </w:r>
          </w:p>
          <w:p w14:paraId="111AAA5A"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MCC and MNC parameters</w:t>
            </w:r>
          </w:p>
          <w:p w14:paraId="4705EC7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MBMS SERVICE ID</w:t>
            </w:r>
            <w:r w:rsidRPr="004D0DAA">
              <w:rPr>
                <w:lang w:eastAsia="en-US"/>
              </w:rPr>
              <w:t xml:space="preserve"> : bit (24) &gt;</w:t>
            </w:r>
          </w:p>
          <w:p w14:paraId="494DDD7C"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MCC</w:t>
            </w:r>
            <w:r w:rsidRPr="004D0DAA">
              <w:rPr>
                <w:lang w:eastAsia="en-US"/>
              </w:rPr>
              <w:t xml:space="preserve"> : bit (12) &gt;</w:t>
            </w:r>
          </w:p>
          <w:p w14:paraId="4B36BDB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MNC</w:t>
            </w:r>
            <w:r w:rsidRPr="004D0DAA">
              <w:rPr>
                <w:lang w:eastAsia="en-US"/>
              </w:rPr>
              <w:t xml:space="preserve"> : bit (12) &gt; } ; </w:t>
            </w:r>
          </w:p>
        </w:tc>
      </w:tr>
    </w:tbl>
    <w:p w14:paraId="045EC894" w14:textId="77777777" w:rsidR="00711444" w:rsidRPr="004D0DAA" w:rsidRDefault="00711444" w:rsidP="00711444"/>
    <w:p w14:paraId="43419ADA" w14:textId="77777777" w:rsidR="00711444" w:rsidRPr="004D0DAA" w:rsidRDefault="00711444" w:rsidP="00711444">
      <w:pPr>
        <w:pStyle w:val="TH"/>
      </w:pPr>
      <w:r w:rsidRPr="004D0DAA">
        <w:t xml:space="preserve">Table 12.33.2: </w:t>
      </w:r>
      <w:r w:rsidRPr="004D0DAA">
        <w:rPr>
          <w:i/>
        </w:rPr>
        <w:t xml:space="preserve">TMGI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3730008" w14:textId="77777777" w:rsidTr="00AA2A4C">
        <w:tblPrEx>
          <w:tblCellMar>
            <w:top w:w="0" w:type="dxa"/>
            <w:bottom w:w="0" w:type="dxa"/>
          </w:tblCellMar>
        </w:tblPrEx>
        <w:tc>
          <w:tcPr>
            <w:tcW w:w="9848" w:type="dxa"/>
          </w:tcPr>
          <w:p w14:paraId="46DE62CE" w14:textId="77777777" w:rsidR="00711444" w:rsidRPr="004D0DAA" w:rsidRDefault="00711444" w:rsidP="00AA2A4C">
            <w:r w:rsidRPr="004D0DAA">
              <w:rPr>
                <w:b/>
              </w:rPr>
              <w:t xml:space="preserve">MBMS SERVICE ID </w:t>
            </w:r>
            <w:r w:rsidRPr="004D0DAA">
              <w:t>(24 bit field)</w:t>
            </w:r>
            <w:r w:rsidRPr="004D0DAA">
              <w:br/>
              <w:t>This field contains the identity of the MBMS service. The MBMS SERVICE ID is unique within a PLMN.</w:t>
            </w:r>
          </w:p>
          <w:p w14:paraId="5C8148DC" w14:textId="77777777" w:rsidR="00711444" w:rsidRPr="004D0DAA" w:rsidRDefault="00711444" w:rsidP="00AA2A4C">
            <w:r w:rsidRPr="004D0DAA">
              <w:rPr>
                <w:b/>
              </w:rPr>
              <w:t xml:space="preserve">MCC </w:t>
            </w:r>
            <w:r w:rsidRPr="004D0DAA">
              <w:t>(12 bit field)</w:t>
            </w:r>
            <w:r w:rsidRPr="004D0DAA">
              <w:br/>
              <w:t>This field contains the Mobile Country Code of the originating PLMN.</w:t>
            </w:r>
          </w:p>
          <w:p w14:paraId="66D4F976" w14:textId="77777777" w:rsidR="00711444" w:rsidRPr="004D0DAA" w:rsidRDefault="00711444" w:rsidP="00AA2A4C">
            <w:r w:rsidRPr="004D0DAA">
              <w:rPr>
                <w:b/>
              </w:rPr>
              <w:t xml:space="preserve">MNC </w:t>
            </w:r>
            <w:r w:rsidRPr="004D0DAA">
              <w:t>(12 bit field)</w:t>
            </w:r>
            <w:r w:rsidRPr="004D0DAA">
              <w:br/>
              <w:t>This field contains the Mobile Network Code of the originating PLMN.</w:t>
            </w:r>
          </w:p>
        </w:tc>
      </w:tr>
    </w:tbl>
    <w:p w14:paraId="3DD4F66B" w14:textId="77777777" w:rsidR="00711444" w:rsidRPr="004D0DAA" w:rsidRDefault="00711444" w:rsidP="00711444"/>
    <w:p w14:paraId="2DFE3399" w14:textId="77777777" w:rsidR="00711444" w:rsidRPr="004D0DAA" w:rsidRDefault="00711444" w:rsidP="00711444">
      <w:pPr>
        <w:pStyle w:val="Heading2"/>
      </w:pPr>
      <w:bookmarkStart w:id="817" w:name="_Toc516669993"/>
      <w:r w:rsidRPr="004D0DAA">
        <w:lastRenderedPageBreak/>
        <w:t>12.34</w:t>
      </w:r>
      <w:r w:rsidRPr="004D0DAA">
        <w:tab/>
        <w:t>MBMS Bearer Identity</w:t>
      </w:r>
      <w:bookmarkEnd w:id="817"/>
    </w:p>
    <w:p w14:paraId="0C0E4E6D" w14:textId="77777777" w:rsidR="00711444" w:rsidRPr="004D0DAA" w:rsidRDefault="00711444" w:rsidP="00711444">
      <w:pPr>
        <w:keepNext/>
        <w:keepLines/>
      </w:pPr>
      <w:r w:rsidRPr="004D0DAA">
        <w:t>The MBMS Bearer Identity uniquely identifies an MBMS radio bearer on a PDCH.</w:t>
      </w:r>
    </w:p>
    <w:p w14:paraId="1BE356E9" w14:textId="77777777" w:rsidR="00711444" w:rsidRPr="004D0DAA" w:rsidRDefault="00711444" w:rsidP="00711444">
      <w:pPr>
        <w:pStyle w:val="TH"/>
      </w:pPr>
      <w:r w:rsidRPr="004D0DAA">
        <w:t xml:space="preserve">Table 12.34.1: </w:t>
      </w:r>
      <w:r w:rsidRPr="004D0DAA">
        <w:rPr>
          <w:i/>
        </w:rPr>
        <w:t xml:space="preserve">MBMS Bearer Identity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783C1D" w14:textId="77777777" w:rsidTr="00AA2A4C">
        <w:tblPrEx>
          <w:tblCellMar>
            <w:top w:w="0" w:type="dxa"/>
            <w:bottom w:w="0" w:type="dxa"/>
          </w:tblCellMar>
        </w:tblPrEx>
        <w:trPr>
          <w:cantSplit/>
        </w:trPr>
        <w:tc>
          <w:tcPr>
            <w:tcW w:w="9848" w:type="dxa"/>
          </w:tcPr>
          <w:p w14:paraId="7B89DBAB" w14:textId="77777777" w:rsidR="00711444" w:rsidRPr="004D0DAA" w:rsidRDefault="00711444" w:rsidP="00AA2A4C">
            <w:r w:rsidRPr="004D0DAA">
              <w:rPr>
                <w:b/>
                <w:bCs/>
              </w:rPr>
              <w:t xml:space="preserve">MBMS Bearer Identity </w:t>
            </w:r>
            <w:r w:rsidRPr="004D0DAA">
              <w:t>(1-5 bit field)</w:t>
            </w:r>
            <w:r w:rsidRPr="004D0DAA">
              <w:br/>
              <w:t xml:space="preserve">The MBMS Bearer Identity field assigns a TFI value, or a subset of a TFI value, which identifies an MBMS radio bearer on a PDCH. In case only a subset of a TFI value is assigned for the MBMS radio bearer, that subset corresponds to the most significant bit(s) of the TFI field. The length of this field is defined by the value of the </w:t>
            </w:r>
            <w:r w:rsidRPr="004D0DAA">
              <w:rPr>
                <w:i/>
                <w:iCs/>
              </w:rPr>
              <w:t>Length of MBMS Bearer Identity</w:t>
            </w:r>
            <w:r w:rsidRPr="004D0DAA">
              <w:t xml:space="preserve"> field, whose value is defined by a 3 bit field (range 1 to 5). </w:t>
            </w:r>
          </w:p>
          <w:p w14:paraId="72BD23B5" w14:textId="77777777" w:rsidR="00711444" w:rsidRPr="004D0DAA" w:rsidRDefault="00711444" w:rsidP="00AA2A4C">
            <w:r w:rsidRPr="004D0DAA">
              <w:t>The MBMS Bearer Identity field is encoded as a binary number.</w:t>
            </w:r>
          </w:p>
          <w:p w14:paraId="5D0FC8DE" w14:textId="77777777" w:rsidR="00711444" w:rsidRPr="004D0DAA" w:rsidRDefault="00711444" w:rsidP="00AA2A4C">
            <w:r w:rsidRPr="004D0DAA">
              <w:t>Range:</w:t>
            </w:r>
          </w:p>
          <w:p w14:paraId="4199DF10" w14:textId="77777777" w:rsidR="00711444" w:rsidRPr="004D0DAA" w:rsidRDefault="00711444" w:rsidP="00AA2A4C">
            <w:pPr>
              <w:pStyle w:val="FP"/>
            </w:pPr>
            <w:r w:rsidRPr="004D0DAA">
              <w:t>1 bit field</w:t>
            </w:r>
            <w:r w:rsidRPr="004D0DAA">
              <w:tab/>
              <w:t>0 to 1</w:t>
            </w:r>
          </w:p>
          <w:p w14:paraId="470F50AA" w14:textId="77777777" w:rsidR="00711444" w:rsidRPr="004D0DAA" w:rsidRDefault="00711444" w:rsidP="00AA2A4C">
            <w:pPr>
              <w:pStyle w:val="FP"/>
            </w:pPr>
            <w:r w:rsidRPr="004D0DAA">
              <w:t>2 bit field</w:t>
            </w:r>
            <w:r w:rsidRPr="004D0DAA">
              <w:tab/>
              <w:t>0 to 3</w:t>
            </w:r>
          </w:p>
          <w:p w14:paraId="31965A28" w14:textId="77777777" w:rsidR="00711444" w:rsidRPr="004D0DAA" w:rsidRDefault="00711444" w:rsidP="00AA2A4C">
            <w:pPr>
              <w:pStyle w:val="FP"/>
            </w:pPr>
            <w:r w:rsidRPr="004D0DAA">
              <w:t>3 bit field</w:t>
            </w:r>
            <w:r w:rsidRPr="004D0DAA">
              <w:tab/>
              <w:t>0 to 7</w:t>
            </w:r>
          </w:p>
          <w:p w14:paraId="700D868C" w14:textId="77777777" w:rsidR="00711444" w:rsidRPr="004D0DAA" w:rsidRDefault="00711444" w:rsidP="00AA2A4C">
            <w:pPr>
              <w:pStyle w:val="FP"/>
            </w:pPr>
            <w:r w:rsidRPr="004D0DAA">
              <w:t>4 bit field</w:t>
            </w:r>
            <w:r w:rsidRPr="004D0DAA">
              <w:tab/>
              <w:t>0 to 15</w:t>
            </w:r>
          </w:p>
          <w:p w14:paraId="51EF96C7" w14:textId="77777777" w:rsidR="00711444" w:rsidRPr="004D0DAA" w:rsidRDefault="00711444" w:rsidP="00AA2A4C">
            <w:pPr>
              <w:pStyle w:val="FP"/>
            </w:pPr>
            <w:r w:rsidRPr="004D0DAA">
              <w:t>5 bit field</w:t>
            </w:r>
            <w:r w:rsidRPr="004D0DAA">
              <w:tab/>
              <w:t>0 to 31</w:t>
            </w:r>
          </w:p>
        </w:tc>
      </w:tr>
    </w:tbl>
    <w:p w14:paraId="72A70CFC" w14:textId="77777777" w:rsidR="00711444" w:rsidRPr="004D0DAA" w:rsidRDefault="00711444" w:rsidP="00711444"/>
    <w:p w14:paraId="0DAA017B" w14:textId="77777777" w:rsidR="00711444" w:rsidRPr="004D0DAA" w:rsidRDefault="00711444" w:rsidP="00711444">
      <w:pPr>
        <w:pStyle w:val="Heading2"/>
      </w:pPr>
      <w:bookmarkStart w:id="818" w:name="_Toc516669994"/>
      <w:r w:rsidRPr="004D0DAA">
        <w:t>12.35</w:t>
      </w:r>
      <w:r w:rsidRPr="004D0DAA">
        <w:tab/>
        <w:t>MS_ID</w:t>
      </w:r>
      <w:bookmarkEnd w:id="818"/>
    </w:p>
    <w:p w14:paraId="4E078EBE" w14:textId="77777777" w:rsidR="00711444" w:rsidRPr="004D0DAA" w:rsidRDefault="00711444" w:rsidP="00711444">
      <w:pPr>
        <w:keepNext/>
        <w:keepLines/>
      </w:pPr>
      <w:r w:rsidRPr="004D0DAA">
        <w:t>The MS_ID uniquely addresses a mobile station on an MBMS radio bearer with an assigned uplink feedback channel.</w:t>
      </w:r>
    </w:p>
    <w:p w14:paraId="12FBFEAB" w14:textId="77777777" w:rsidR="00711444" w:rsidRPr="004D0DAA" w:rsidRDefault="00711444" w:rsidP="00711444">
      <w:pPr>
        <w:pStyle w:val="TH"/>
      </w:pPr>
      <w:r w:rsidRPr="004D0DAA">
        <w:t xml:space="preserve">Table 12.35.1: </w:t>
      </w:r>
      <w:r w:rsidRPr="004D0DAA">
        <w:rPr>
          <w:i/>
        </w:rPr>
        <w:t xml:space="preserve">MS_ID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460E694" w14:textId="77777777" w:rsidTr="00AA2A4C">
        <w:tblPrEx>
          <w:tblCellMar>
            <w:top w:w="0" w:type="dxa"/>
            <w:bottom w:w="0" w:type="dxa"/>
          </w:tblCellMar>
        </w:tblPrEx>
        <w:tc>
          <w:tcPr>
            <w:tcW w:w="9848" w:type="dxa"/>
          </w:tcPr>
          <w:p w14:paraId="6865B252" w14:textId="77777777" w:rsidR="00711444" w:rsidRPr="004D0DAA" w:rsidRDefault="00711444" w:rsidP="00AA2A4C">
            <w:r w:rsidRPr="004D0DAA">
              <w:rPr>
                <w:b/>
                <w:bCs/>
              </w:rPr>
              <w:t xml:space="preserve">MS_ID </w:t>
            </w:r>
            <w:r w:rsidRPr="004D0DAA">
              <w:t>(1-4 bit field)</w:t>
            </w:r>
            <w:r w:rsidRPr="004D0DAA">
              <w:br/>
              <w:t xml:space="preserve">An MS_ID is assigned to a mobile station for a given MBMS radio bearer with an uplink feedback channel. The length of the MS_ID field is defined by the value, increased by 1, of the </w:t>
            </w:r>
            <w:r w:rsidRPr="004D0DAA">
              <w:rPr>
                <w:i/>
                <w:iCs/>
              </w:rPr>
              <w:t>Length Indicator of MS_ID</w:t>
            </w:r>
            <w:r w:rsidRPr="004D0DAA">
              <w:t xml:space="preserve"> field, whose value is defined by a 2 bit field (range 1 to 4). The sum of the length of the MBMS Bearer Identity field and of the length of the MS_ID field is equal to 5, i.e. the length of the TFI field. </w:t>
            </w:r>
          </w:p>
          <w:p w14:paraId="2076E994" w14:textId="77777777" w:rsidR="00711444" w:rsidRPr="004D0DAA" w:rsidRDefault="00711444" w:rsidP="00AA2A4C">
            <w:pPr>
              <w:pStyle w:val="FP"/>
            </w:pPr>
            <w:r w:rsidRPr="004D0DAA">
              <w:t>The MS_ID field is encoded as a binary number.</w:t>
            </w:r>
            <w:r w:rsidRPr="004D0DAA">
              <w:br/>
            </w:r>
          </w:p>
          <w:p w14:paraId="0CEB9AED" w14:textId="77777777" w:rsidR="00711444" w:rsidRPr="004D0DAA" w:rsidRDefault="00711444" w:rsidP="00AA2A4C">
            <w:pPr>
              <w:pStyle w:val="FP"/>
            </w:pPr>
            <w:r w:rsidRPr="004D0DAA">
              <w:t>Range:</w:t>
            </w:r>
          </w:p>
          <w:p w14:paraId="45A32680" w14:textId="77777777" w:rsidR="00711444" w:rsidRPr="004D0DAA" w:rsidRDefault="00711444" w:rsidP="00AA2A4C">
            <w:pPr>
              <w:pStyle w:val="FP"/>
            </w:pPr>
            <w:r w:rsidRPr="004D0DAA">
              <w:t>1 bit field</w:t>
            </w:r>
            <w:r w:rsidRPr="004D0DAA">
              <w:tab/>
              <w:t>0 to 1</w:t>
            </w:r>
          </w:p>
          <w:p w14:paraId="1F08E361" w14:textId="77777777" w:rsidR="00711444" w:rsidRPr="004D0DAA" w:rsidRDefault="00711444" w:rsidP="00AA2A4C">
            <w:pPr>
              <w:pStyle w:val="FP"/>
            </w:pPr>
            <w:r w:rsidRPr="004D0DAA">
              <w:t>2 bit field</w:t>
            </w:r>
            <w:r w:rsidRPr="004D0DAA">
              <w:tab/>
              <w:t>0 to 3</w:t>
            </w:r>
          </w:p>
          <w:p w14:paraId="3307C2C7" w14:textId="77777777" w:rsidR="00711444" w:rsidRPr="004D0DAA" w:rsidRDefault="00711444" w:rsidP="00AA2A4C">
            <w:pPr>
              <w:pStyle w:val="FP"/>
            </w:pPr>
            <w:r w:rsidRPr="004D0DAA">
              <w:t>3 bit field</w:t>
            </w:r>
            <w:r w:rsidRPr="004D0DAA">
              <w:tab/>
              <w:t>0 to 7</w:t>
            </w:r>
          </w:p>
          <w:p w14:paraId="4BC80B28" w14:textId="77777777" w:rsidR="00711444" w:rsidRPr="004D0DAA" w:rsidRDefault="00711444" w:rsidP="00AA2A4C">
            <w:pPr>
              <w:pStyle w:val="FP"/>
            </w:pPr>
            <w:r w:rsidRPr="004D0DAA">
              <w:t>4 bit field</w:t>
            </w:r>
            <w:r w:rsidRPr="004D0DAA">
              <w:tab/>
              <w:t>0 to 15</w:t>
            </w:r>
          </w:p>
        </w:tc>
      </w:tr>
    </w:tbl>
    <w:p w14:paraId="247AAEEF" w14:textId="77777777" w:rsidR="00711444" w:rsidRPr="004D0DAA" w:rsidRDefault="00711444" w:rsidP="00711444"/>
    <w:p w14:paraId="1195C145" w14:textId="77777777" w:rsidR="00711444" w:rsidRPr="004D0DAA" w:rsidRDefault="00711444" w:rsidP="00711444">
      <w:pPr>
        <w:pStyle w:val="Heading2"/>
      </w:pPr>
      <w:bookmarkStart w:id="819" w:name="_Toc516669995"/>
      <w:r w:rsidRPr="004D0DAA">
        <w:t>12.36</w:t>
      </w:r>
      <w:r w:rsidRPr="004D0DAA">
        <w:tab/>
        <w:t>MBMS Channel Parameters</w:t>
      </w:r>
      <w:bookmarkEnd w:id="819"/>
    </w:p>
    <w:p w14:paraId="3924419E" w14:textId="77777777" w:rsidR="00711444" w:rsidRPr="004D0DAA" w:rsidRDefault="00711444" w:rsidP="00711444">
      <w:r w:rsidRPr="004D0DAA">
        <w:t>The MBMS Channel Parameters contain various parameters applicable to one or more MBMS sessions.</w:t>
      </w:r>
    </w:p>
    <w:p w14:paraId="3EF6242A" w14:textId="77777777" w:rsidR="00711444" w:rsidRPr="004D0DAA" w:rsidRDefault="00711444" w:rsidP="00711444">
      <w:pPr>
        <w:pStyle w:val="TH"/>
      </w:pPr>
      <w:r w:rsidRPr="004D0DAA">
        <w:t xml:space="preserve">Table 12.36.1: </w:t>
      </w:r>
      <w:r w:rsidRPr="004D0DAA">
        <w:rPr>
          <w:i/>
          <w:iCs/>
        </w:rPr>
        <w:t>MBMS Channel Parameters</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94320FE" w14:textId="77777777" w:rsidTr="00AA2A4C">
        <w:tblPrEx>
          <w:tblCellMar>
            <w:top w:w="0" w:type="dxa"/>
            <w:bottom w:w="0" w:type="dxa"/>
          </w:tblCellMar>
        </w:tblPrEx>
        <w:trPr>
          <w:cantSplit/>
        </w:trPr>
        <w:tc>
          <w:tcPr>
            <w:tcW w:w="9848" w:type="dxa"/>
          </w:tcPr>
          <w:p w14:paraId="03D629F7" w14:textId="77777777" w:rsidR="00711444" w:rsidRPr="004D0DAA" w:rsidRDefault="00711444" w:rsidP="00AA2A4C">
            <w:pPr>
              <w:pStyle w:val="TAL"/>
              <w:rPr>
                <w:lang w:eastAsia="en-US"/>
              </w:rPr>
            </w:pPr>
            <w:r w:rsidRPr="004D0DAA">
              <w:rPr>
                <w:lang w:eastAsia="en-US"/>
              </w:rPr>
              <w:t>&lt; MBMS Channel Parameters IE &gt;::=</w:t>
            </w:r>
          </w:p>
          <w:p w14:paraId="4A149FE1"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counting is off</w:t>
            </w:r>
          </w:p>
          <w:p w14:paraId="14464897"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val="fr-FR" w:eastAsia="en-US"/>
              </w:rPr>
              <w:t>{ 0 | 1</w:t>
            </w:r>
            <w:r w:rsidRPr="004D0DAA">
              <w:rPr>
                <w:lang w:val="fr-FR" w:eastAsia="en-US"/>
              </w:rPr>
              <w:tab/>
              <w:t xml:space="preserve">&lt; </w:t>
            </w:r>
            <w:r w:rsidRPr="004D0DAA">
              <w:rPr>
                <w:b/>
                <w:bCs/>
                <w:lang w:val="fr-FR" w:eastAsia="en-US"/>
              </w:rPr>
              <w:t xml:space="preserve">MBMS p-t-m channel description </w:t>
            </w:r>
            <w:r w:rsidRPr="004D0DAA">
              <w:rPr>
                <w:lang w:val="fr-FR" w:eastAsia="en-US"/>
              </w:rPr>
              <w:t xml:space="preserve">: &lt; MBMS p-t-m channel description IE &gt; &gt; </w:t>
            </w:r>
          </w:p>
          <w:p w14:paraId="675B9821" w14:textId="77777777" w:rsidR="00711444" w:rsidRPr="004D0DAA" w:rsidRDefault="00711444" w:rsidP="00AA2A4C">
            <w:pPr>
              <w:pStyle w:val="TAL"/>
              <w:rPr>
                <w:i/>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&lt; </w:t>
            </w:r>
            <w:r w:rsidRPr="004D0DAA">
              <w:rPr>
                <w:b/>
                <w:bCs/>
                <w:lang w:eastAsia="en-US"/>
              </w:rPr>
              <w:t xml:space="preserve">MBMS Session Parameters List </w:t>
            </w:r>
            <w:r w:rsidRPr="004D0DAA">
              <w:rPr>
                <w:lang w:eastAsia="en-US"/>
              </w:rPr>
              <w:t>: &lt; MBMS Session Parameters List IE &gt;&gt; }</w:t>
            </w:r>
          </w:p>
          <w:p w14:paraId="3FE80A92"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counting is on</w:t>
            </w:r>
          </w:p>
          <w:p w14:paraId="43EA620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MPRACH description</w:t>
            </w:r>
            <w:r w:rsidRPr="004D0DAA">
              <w:rPr>
                <w:lang w:eastAsia="en-US"/>
              </w:rPr>
              <w:t xml:space="preserve"> : &lt; MPRACH description IE &gt; &gt; } };</w:t>
            </w:r>
          </w:p>
          <w:p w14:paraId="11C04C7D" w14:textId="77777777" w:rsidR="00711444" w:rsidRPr="004D0DAA" w:rsidRDefault="00711444" w:rsidP="00AA2A4C">
            <w:pPr>
              <w:pStyle w:val="TAL"/>
              <w:rPr>
                <w:lang w:eastAsia="en-US"/>
              </w:rPr>
            </w:pPr>
          </w:p>
        </w:tc>
      </w:tr>
    </w:tbl>
    <w:p w14:paraId="3F5571FC" w14:textId="77777777" w:rsidR="00711444" w:rsidRPr="004D0DAA" w:rsidRDefault="00711444" w:rsidP="00711444"/>
    <w:p w14:paraId="4C02B5D9" w14:textId="77777777" w:rsidR="00711444" w:rsidRPr="004D0DAA" w:rsidRDefault="00711444" w:rsidP="00711444">
      <w:pPr>
        <w:pStyle w:val="TH"/>
      </w:pPr>
      <w:r w:rsidRPr="004D0DAA">
        <w:lastRenderedPageBreak/>
        <w:t xml:space="preserve">Table 12.36.2: </w:t>
      </w:r>
      <w:r w:rsidRPr="004D0DAA">
        <w:rPr>
          <w:i/>
        </w:rPr>
        <w:t xml:space="preserve">MBMS Channel Parameters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D0FF60D" w14:textId="77777777" w:rsidTr="00AA2A4C">
        <w:tblPrEx>
          <w:tblCellMar>
            <w:top w:w="0" w:type="dxa"/>
            <w:bottom w:w="0" w:type="dxa"/>
          </w:tblCellMar>
        </w:tblPrEx>
        <w:tc>
          <w:tcPr>
            <w:tcW w:w="9848" w:type="dxa"/>
          </w:tcPr>
          <w:p w14:paraId="1F0735DA" w14:textId="77777777" w:rsidR="00711444" w:rsidRPr="004D0DAA" w:rsidRDefault="00711444" w:rsidP="00AA2A4C">
            <w:r w:rsidRPr="004D0DAA">
              <w:rPr>
                <w:b/>
                <w:bCs/>
              </w:rPr>
              <w:t>MBMS p-t-m channel description</w:t>
            </w:r>
            <w:r w:rsidRPr="004D0DAA">
              <w:rPr>
                <w:b/>
                <w:bCs/>
              </w:rPr>
              <w:br/>
            </w:r>
            <w:r w:rsidRPr="004D0DAA">
              <w:t>This information element contains the MBMS p-t-m channel description of one or more MBMS sessions. This information element is defined in sub-clause 12.37.</w:t>
            </w:r>
          </w:p>
          <w:p w14:paraId="72A9B4DF" w14:textId="77777777" w:rsidR="00711444" w:rsidRPr="004D0DAA" w:rsidRDefault="00711444" w:rsidP="00AA2A4C">
            <w:r w:rsidRPr="004D0DAA">
              <w:rPr>
                <w:b/>
                <w:bCs/>
              </w:rPr>
              <w:t>MBMS Session Parameters List</w:t>
            </w:r>
            <w:r w:rsidRPr="004D0DAA">
              <w:rPr>
                <w:b/>
                <w:bCs/>
              </w:rPr>
              <w:br/>
            </w:r>
            <w:r w:rsidRPr="004D0DAA">
              <w:t>This information element contains a list of MBMS Session Parameters to use on the MBMS p-t-m channel provided in the MBMS p-t-m channel description. Each entry in this list is associated with a notified MBMS session as identified in the MBMS Sessions List for this MBMS p-t-m channel. The n-th entry in the MBMS Session Parameters list corresponds to the n-th notified MBMS Session in the MBMS Sessions List. This information element is defined in sub-clause 12.40.</w:t>
            </w:r>
          </w:p>
          <w:p w14:paraId="738CD68E" w14:textId="77777777" w:rsidR="00711444" w:rsidRPr="004D0DAA" w:rsidRDefault="00711444" w:rsidP="00AA2A4C">
            <w:r w:rsidRPr="004D0DAA">
              <w:rPr>
                <w:b/>
                <w:bCs/>
              </w:rPr>
              <w:t>MPRACH description</w:t>
            </w:r>
            <w:r w:rsidRPr="004D0DAA">
              <w:rPr>
                <w:b/>
                <w:bCs/>
              </w:rPr>
              <w:br/>
            </w:r>
            <w:r w:rsidRPr="004D0DAA">
              <w:t>This information element contains the description of the MPRACH on which the MBMS packet access procedure is initiated (see sub-clause 7.7.1). This information element is defined in sub-clause 12.38.</w:t>
            </w:r>
          </w:p>
        </w:tc>
      </w:tr>
    </w:tbl>
    <w:p w14:paraId="685F4349" w14:textId="77777777" w:rsidR="00711444" w:rsidRPr="004D0DAA" w:rsidRDefault="00711444" w:rsidP="00711444"/>
    <w:p w14:paraId="29A53D62" w14:textId="77777777" w:rsidR="00711444" w:rsidRPr="004D0DAA" w:rsidRDefault="00711444" w:rsidP="00711444">
      <w:pPr>
        <w:pStyle w:val="Heading2"/>
        <w:rPr>
          <w:lang w:val="fr-FR"/>
        </w:rPr>
      </w:pPr>
      <w:bookmarkStart w:id="820" w:name="_Toc516669996"/>
      <w:r w:rsidRPr="004D0DAA">
        <w:rPr>
          <w:lang w:val="fr-FR"/>
        </w:rPr>
        <w:t>12.37</w:t>
      </w:r>
      <w:r w:rsidRPr="004D0DAA">
        <w:rPr>
          <w:lang w:val="fr-FR"/>
        </w:rPr>
        <w:tab/>
        <w:t>MBMS p-t-m channel description</w:t>
      </w:r>
      <w:bookmarkEnd w:id="820"/>
    </w:p>
    <w:p w14:paraId="4330A7BA" w14:textId="77777777" w:rsidR="00711444" w:rsidRPr="004D0DAA" w:rsidRDefault="00711444" w:rsidP="00711444">
      <w:r w:rsidRPr="004D0DAA">
        <w:t>The MBMS p-t-m channel description contains the p-t-m channel description for one or more MBMS sessions.</w:t>
      </w:r>
    </w:p>
    <w:p w14:paraId="3C9F5D37" w14:textId="77777777" w:rsidR="00711444" w:rsidRPr="004D0DAA" w:rsidRDefault="00711444" w:rsidP="00711444">
      <w:pPr>
        <w:pStyle w:val="TH"/>
        <w:rPr>
          <w:lang w:val="fr-FR"/>
        </w:rPr>
      </w:pPr>
      <w:r w:rsidRPr="004D0DAA">
        <w:t xml:space="preserve"> </w:t>
      </w:r>
      <w:r w:rsidRPr="004D0DAA">
        <w:rPr>
          <w:lang w:val="fr-FR"/>
        </w:rPr>
        <w:t xml:space="preserve">Table 12.37.1: </w:t>
      </w:r>
      <w:r w:rsidRPr="004D0DAA">
        <w:rPr>
          <w:i/>
          <w:iCs/>
          <w:lang w:val="fr-FR"/>
        </w:rPr>
        <w:t>MBMS p-t-m channel description</w:t>
      </w:r>
      <w:r w:rsidRPr="004D0DAA">
        <w:rPr>
          <w:i/>
          <w:lang w:val="fr-FR"/>
        </w:rPr>
        <w:t xml:space="preserve"> </w:t>
      </w:r>
      <w:r w:rsidRPr="004D0DAA">
        <w:rPr>
          <w:lang w:val="fr-FR"/>
        </w:rPr>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CADEF45" w14:textId="77777777" w:rsidTr="00AA2A4C">
        <w:tblPrEx>
          <w:tblCellMar>
            <w:top w:w="0" w:type="dxa"/>
            <w:bottom w:w="0" w:type="dxa"/>
          </w:tblCellMar>
        </w:tblPrEx>
        <w:trPr>
          <w:cantSplit/>
        </w:trPr>
        <w:tc>
          <w:tcPr>
            <w:tcW w:w="9848" w:type="dxa"/>
          </w:tcPr>
          <w:p w14:paraId="48C7EE3B" w14:textId="77777777" w:rsidR="00711444" w:rsidRPr="004D0DAA" w:rsidRDefault="00711444" w:rsidP="00AA2A4C">
            <w:pPr>
              <w:pStyle w:val="TAL"/>
              <w:rPr>
                <w:lang w:val="fr-FR" w:eastAsia="en-US"/>
              </w:rPr>
            </w:pPr>
            <w:r w:rsidRPr="004D0DAA">
              <w:rPr>
                <w:lang w:val="fr-FR" w:eastAsia="en-US"/>
              </w:rPr>
              <w:t>&lt; MBMS p-t-m channel description IE &gt; :: =</w:t>
            </w:r>
          </w:p>
          <w:p w14:paraId="390B32D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Frequency Parameters</w:t>
            </w:r>
            <w:r w:rsidRPr="004D0DAA">
              <w:rPr>
                <w:lang w:eastAsia="en-US"/>
              </w:rPr>
              <w:t xml:space="preserve"> : &lt; Frequency Parameters IE &gt; &gt; }</w:t>
            </w:r>
          </w:p>
          <w:p w14:paraId="7DA9262F"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DL_</w:t>
            </w:r>
            <w:r w:rsidRPr="004D0DAA">
              <w:rPr>
                <w:b/>
                <w:lang w:eastAsia="en-US"/>
              </w:rPr>
              <w:t xml:space="preserve">TIMESLOT_ALLOCATION </w:t>
            </w:r>
            <w:r w:rsidRPr="004D0DAA">
              <w:rPr>
                <w:lang w:eastAsia="en-US"/>
              </w:rPr>
              <w:t>: bit (8) &gt;;</w:t>
            </w:r>
          </w:p>
          <w:p w14:paraId="5D2AC3FF" w14:textId="77777777" w:rsidR="00711444" w:rsidRPr="004D0DAA" w:rsidRDefault="00711444" w:rsidP="00AA2A4C">
            <w:pPr>
              <w:pStyle w:val="TAL"/>
              <w:rPr>
                <w:lang w:eastAsia="en-US"/>
              </w:rPr>
            </w:pPr>
            <w:r w:rsidRPr="004D0DAA">
              <w:rPr>
                <w:lang w:eastAsia="en-US"/>
              </w:rPr>
              <w:t xml:space="preserve"> </w:t>
            </w:r>
          </w:p>
        </w:tc>
      </w:tr>
    </w:tbl>
    <w:p w14:paraId="47C0F78B" w14:textId="77777777" w:rsidR="00711444" w:rsidRPr="004D0DAA" w:rsidRDefault="00711444" w:rsidP="00711444">
      <w:pPr>
        <w:pStyle w:val="TH"/>
      </w:pPr>
    </w:p>
    <w:p w14:paraId="50E5624B" w14:textId="77777777" w:rsidR="00711444" w:rsidRPr="004D0DAA" w:rsidRDefault="00711444" w:rsidP="00711444">
      <w:pPr>
        <w:pStyle w:val="TH"/>
      </w:pPr>
      <w:r w:rsidRPr="004D0DAA">
        <w:t xml:space="preserve">Table 12.37.2: </w:t>
      </w:r>
      <w:r w:rsidRPr="004D0DAA">
        <w:rPr>
          <w:i/>
          <w:iCs/>
        </w:rPr>
        <w:t>MBMS p-t-m channel description</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007DDAE" w14:textId="77777777" w:rsidTr="00AA2A4C">
        <w:tblPrEx>
          <w:tblCellMar>
            <w:top w:w="0" w:type="dxa"/>
            <w:bottom w:w="0" w:type="dxa"/>
          </w:tblCellMar>
        </w:tblPrEx>
        <w:trPr>
          <w:cantSplit/>
        </w:trPr>
        <w:tc>
          <w:tcPr>
            <w:tcW w:w="9848" w:type="dxa"/>
          </w:tcPr>
          <w:p w14:paraId="0AF8A613" w14:textId="77777777" w:rsidR="00711444" w:rsidRPr="004D0DAA" w:rsidRDefault="00711444" w:rsidP="00AA2A4C">
            <w:pPr>
              <w:rPr>
                <w:b/>
              </w:rPr>
            </w:pPr>
            <w:r w:rsidRPr="004D0DAA">
              <w:rPr>
                <w:b/>
              </w:rPr>
              <w:t>Frequency Parameters</w:t>
            </w:r>
            <w:r w:rsidRPr="004D0DAA">
              <w:rPr>
                <w:bCs/>
              </w:rPr>
              <w:br/>
            </w:r>
            <w:r w:rsidRPr="004D0DAA">
              <w:t>If this information element is not present, the same frequency as for the PCCCH shall be used. This information element is defined in sub-clause 12.8.</w:t>
            </w:r>
          </w:p>
        </w:tc>
      </w:tr>
      <w:tr w:rsidR="00711444" w:rsidRPr="004D0DAA" w14:paraId="6FB1D339" w14:textId="77777777" w:rsidTr="00AA2A4C">
        <w:tblPrEx>
          <w:tblCellMar>
            <w:top w:w="0" w:type="dxa"/>
            <w:bottom w:w="0" w:type="dxa"/>
          </w:tblCellMar>
        </w:tblPrEx>
        <w:trPr>
          <w:cantSplit/>
        </w:trPr>
        <w:tc>
          <w:tcPr>
            <w:tcW w:w="9848" w:type="dxa"/>
          </w:tcPr>
          <w:p w14:paraId="48D00738" w14:textId="77777777" w:rsidR="00711444" w:rsidRPr="004D0DAA" w:rsidRDefault="00711444" w:rsidP="00AA2A4C">
            <w:pPr>
              <w:rPr>
                <w:b/>
              </w:rPr>
            </w:pPr>
            <w:r w:rsidRPr="004D0DAA">
              <w:rPr>
                <w:b/>
                <w:bCs/>
              </w:rPr>
              <w:t>DL_</w:t>
            </w:r>
            <w:r w:rsidRPr="004D0DAA">
              <w:rPr>
                <w:b/>
              </w:rPr>
              <w:t xml:space="preserve">TIMESLOT_ALLOCATION </w:t>
            </w:r>
            <w:r w:rsidRPr="004D0DAA">
              <w:t>(8 bit field)</w:t>
            </w:r>
            <w:r w:rsidRPr="004D0DAA">
              <w:rPr>
                <w:b/>
              </w:rPr>
              <w:br/>
            </w:r>
            <w:r w:rsidRPr="004D0DAA">
              <w:t>This field is defined in sub-clause 12.18.</w:t>
            </w:r>
          </w:p>
        </w:tc>
      </w:tr>
    </w:tbl>
    <w:p w14:paraId="14011E0E" w14:textId="77777777" w:rsidR="00711444" w:rsidRPr="004D0DAA" w:rsidRDefault="00711444" w:rsidP="00711444"/>
    <w:p w14:paraId="09EACBBE" w14:textId="77777777" w:rsidR="00711444" w:rsidRPr="004D0DAA" w:rsidRDefault="00711444" w:rsidP="00711444">
      <w:pPr>
        <w:pStyle w:val="Heading2"/>
      </w:pPr>
      <w:bookmarkStart w:id="821" w:name="_Toc516669997"/>
      <w:r w:rsidRPr="004D0DAA">
        <w:t>12.38</w:t>
      </w:r>
      <w:r w:rsidRPr="004D0DAA">
        <w:tab/>
        <w:t>MPRACH description</w:t>
      </w:r>
      <w:bookmarkEnd w:id="821"/>
    </w:p>
    <w:p w14:paraId="0F96E489" w14:textId="77777777" w:rsidR="00711444" w:rsidRPr="004D0DAA" w:rsidRDefault="00711444" w:rsidP="00711444">
      <w:r w:rsidRPr="004D0DAA">
        <w:t>The MPRACH description contains the MPRACH parameters to be used if MPRACH is indicated in an MBMS notification.</w:t>
      </w:r>
    </w:p>
    <w:p w14:paraId="2ACA0B33" w14:textId="77777777" w:rsidR="00711444" w:rsidRPr="004D0DAA" w:rsidRDefault="00711444" w:rsidP="00711444">
      <w:pPr>
        <w:pStyle w:val="TH"/>
      </w:pPr>
      <w:r w:rsidRPr="004D0DAA">
        <w:t xml:space="preserve">Table 12.38.1: </w:t>
      </w:r>
      <w:r w:rsidRPr="004D0DAA">
        <w:rPr>
          <w:i/>
          <w:iCs/>
        </w:rPr>
        <w:t>MPRACH description</w:t>
      </w:r>
      <w:r w:rsidRPr="004D0DAA">
        <w:rPr>
          <w:i/>
        </w:rPr>
        <w:t xml:space="preserve">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F020536" w14:textId="77777777" w:rsidTr="00AA2A4C">
        <w:tblPrEx>
          <w:tblCellMar>
            <w:top w:w="0" w:type="dxa"/>
            <w:bottom w:w="0" w:type="dxa"/>
          </w:tblCellMar>
        </w:tblPrEx>
        <w:trPr>
          <w:cantSplit/>
        </w:trPr>
        <w:tc>
          <w:tcPr>
            <w:tcW w:w="9848" w:type="dxa"/>
          </w:tcPr>
          <w:p w14:paraId="241C7C8B" w14:textId="77777777" w:rsidR="00711444" w:rsidRPr="004D0DAA" w:rsidRDefault="00711444" w:rsidP="00AA2A4C">
            <w:pPr>
              <w:pStyle w:val="TAL"/>
              <w:rPr>
                <w:lang w:eastAsia="en-US"/>
              </w:rPr>
            </w:pPr>
            <w:r w:rsidRPr="004D0DAA">
              <w:rPr>
                <w:lang w:eastAsia="en-US"/>
              </w:rPr>
              <w:t>&lt; MPRACH description IE &gt; :: =</w:t>
            </w:r>
          </w:p>
          <w:p w14:paraId="73E2B23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Frequency Parameters</w:t>
            </w:r>
            <w:r w:rsidRPr="004D0DAA">
              <w:rPr>
                <w:lang w:eastAsia="en-US"/>
              </w:rPr>
              <w:t xml:space="preserve"> : &lt; Frequency Parameters IE &gt; &gt; }</w:t>
            </w:r>
          </w:p>
          <w:p w14:paraId="5ADCD4E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MPRACH_</w:t>
            </w:r>
            <w:r w:rsidRPr="004D0DAA">
              <w:rPr>
                <w:b/>
                <w:lang w:eastAsia="en-US"/>
              </w:rPr>
              <w:t xml:space="preserve">TIMESLOT NUMBER </w:t>
            </w:r>
            <w:r w:rsidRPr="004D0DAA">
              <w:rPr>
                <w:lang w:eastAsia="en-US"/>
              </w:rPr>
              <w:t>: bit (3) &gt;</w:t>
            </w:r>
          </w:p>
          <w:p w14:paraId="64DFAC5B"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USF</w:t>
            </w:r>
            <w:r w:rsidRPr="004D0DAA">
              <w:rPr>
                <w:lang w:eastAsia="en-US"/>
              </w:rPr>
              <w:t xml:space="preserve"> : bit (3) &gt;</w:t>
            </w:r>
          </w:p>
          <w:p w14:paraId="73E3F91F"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lang w:eastAsia="en-US"/>
              </w:rPr>
              <w:tab/>
              <w:t xml:space="preserve">&lt; </w:t>
            </w:r>
            <w:r w:rsidRPr="004D0DAA">
              <w:rPr>
                <w:b/>
                <w:bCs/>
                <w:lang w:eastAsia="en-US"/>
              </w:rPr>
              <w:t xml:space="preserve">MPRACH Control Parameters </w:t>
            </w:r>
            <w:r w:rsidRPr="004D0DAA">
              <w:rPr>
                <w:lang w:eastAsia="en-US"/>
              </w:rPr>
              <w:t xml:space="preserve">: &lt; MPRACH Control Parameters IE &gt; &gt; } ; </w:t>
            </w:r>
          </w:p>
          <w:p w14:paraId="0BD900D8" w14:textId="77777777" w:rsidR="00711444" w:rsidRPr="004D0DAA" w:rsidRDefault="00711444" w:rsidP="00AA2A4C">
            <w:pPr>
              <w:pStyle w:val="TAL"/>
              <w:rPr>
                <w:lang w:eastAsia="en-US"/>
              </w:rPr>
            </w:pPr>
          </w:p>
        </w:tc>
      </w:tr>
    </w:tbl>
    <w:p w14:paraId="2B8E9893" w14:textId="77777777" w:rsidR="00711444" w:rsidRPr="004D0DAA" w:rsidRDefault="00711444" w:rsidP="00711444"/>
    <w:p w14:paraId="187FFC79" w14:textId="77777777" w:rsidR="00711444" w:rsidRPr="004D0DAA" w:rsidRDefault="00711444" w:rsidP="00711444">
      <w:pPr>
        <w:pStyle w:val="TH"/>
      </w:pPr>
      <w:r w:rsidRPr="004D0DAA">
        <w:lastRenderedPageBreak/>
        <w:t xml:space="preserve">Table 12.38.2: </w:t>
      </w:r>
      <w:r w:rsidRPr="004D0DAA">
        <w:rPr>
          <w:i/>
          <w:iCs/>
        </w:rPr>
        <w:t>MPRACH description</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6AE4E8A" w14:textId="77777777" w:rsidTr="00AA2A4C">
        <w:tblPrEx>
          <w:tblCellMar>
            <w:top w:w="0" w:type="dxa"/>
            <w:bottom w:w="0" w:type="dxa"/>
          </w:tblCellMar>
        </w:tblPrEx>
        <w:trPr>
          <w:cantSplit/>
        </w:trPr>
        <w:tc>
          <w:tcPr>
            <w:tcW w:w="9848" w:type="dxa"/>
          </w:tcPr>
          <w:p w14:paraId="010562DC" w14:textId="77777777" w:rsidR="00711444" w:rsidRPr="004D0DAA" w:rsidRDefault="00711444" w:rsidP="00AA2A4C">
            <w:pPr>
              <w:rPr>
                <w:b/>
              </w:rPr>
            </w:pPr>
            <w:r w:rsidRPr="004D0DAA">
              <w:rPr>
                <w:b/>
              </w:rPr>
              <w:t>Frequency Parameters</w:t>
            </w:r>
            <w:r w:rsidRPr="004D0DAA">
              <w:rPr>
                <w:bCs/>
              </w:rPr>
              <w:br/>
            </w:r>
            <w:r w:rsidRPr="004D0DAA">
              <w:t>If this information element is not present, the same frequency as for the PCCCH shall be used. This information element is defined in sub-clause 12.8.</w:t>
            </w:r>
          </w:p>
        </w:tc>
      </w:tr>
      <w:tr w:rsidR="00711444" w:rsidRPr="004D0DAA" w14:paraId="508DDA16" w14:textId="77777777" w:rsidTr="00AA2A4C">
        <w:tblPrEx>
          <w:tblCellMar>
            <w:top w:w="0" w:type="dxa"/>
            <w:bottom w:w="0" w:type="dxa"/>
          </w:tblCellMar>
        </w:tblPrEx>
        <w:trPr>
          <w:cantSplit/>
        </w:trPr>
        <w:tc>
          <w:tcPr>
            <w:tcW w:w="9848" w:type="dxa"/>
          </w:tcPr>
          <w:p w14:paraId="2807DBF4" w14:textId="77777777" w:rsidR="00711444" w:rsidRPr="004D0DAA" w:rsidRDefault="00711444" w:rsidP="00AA2A4C">
            <w:pPr>
              <w:rPr>
                <w:b/>
              </w:rPr>
            </w:pPr>
            <w:r w:rsidRPr="004D0DAA">
              <w:rPr>
                <w:b/>
                <w:bCs/>
              </w:rPr>
              <w:t>MPRACH_</w:t>
            </w:r>
            <w:r w:rsidRPr="004D0DAA">
              <w:rPr>
                <w:b/>
              </w:rPr>
              <w:t xml:space="preserve">TIMESLOT NUMBER </w:t>
            </w:r>
            <w:r w:rsidRPr="004D0DAA">
              <w:t>(3 bit field)</w:t>
            </w:r>
            <w:r w:rsidRPr="004D0DAA">
              <w:br/>
              <w:t>This field identifies the timeslot number of the PDCH where the MPRACH is located.</w:t>
            </w:r>
          </w:p>
        </w:tc>
      </w:tr>
      <w:tr w:rsidR="00711444" w:rsidRPr="004D0DAA" w14:paraId="7302ED42" w14:textId="77777777" w:rsidTr="00AA2A4C">
        <w:tblPrEx>
          <w:tblCellMar>
            <w:top w:w="0" w:type="dxa"/>
            <w:bottom w:w="0" w:type="dxa"/>
          </w:tblCellMar>
        </w:tblPrEx>
        <w:trPr>
          <w:cantSplit/>
        </w:trPr>
        <w:tc>
          <w:tcPr>
            <w:tcW w:w="9848" w:type="dxa"/>
          </w:tcPr>
          <w:p w14:paraId="6CF44B8A" w14:textId="77777777" w:rsidR="00711444" w:rsidRPr="004D0DAA" w:rsidRDefault="00711444" w:rsidP="00AA2A4C">
            <w:pPr>
              <w:rPr>
                <w:b/>
              </w:rPr>
            </w:pPr>
            <w:r w:rsidRPr="004D0DAA">
              <w:rPr>
                <w:b/>
                <w:bCs/>
              </w:rPr>
              <w:t>USF</w:t>
            </w:r>
            <w:r w:rsidRPr="004D0DAA">
              <w:rPr>
                <w:b/>
              </w:rPr>
              <w:t xml:space="preserve"> </w:t>
            </w:r>
            <w:r w:rsidRPr="004D0DAA">
              <w:t>(3 bit field)</w:t>
            </w:r>
            <w:r w:rsidRPr="004D0DAA">
              <w:br/>
              <w:t>This field identifies the USF value that identifies the MPRACH on the defined PDCH.</w:t>
            </w:r>
          </w:p>
        </w:tc>
      </w:tr>
      <w:tr w:rsidR="00711444" w:rsidRPr="004D0DAA" w14:paraId="1F42B953" w14:textId="77777777" w:rsidTr="00AA2A4C">
        <w:tblPrEx>
          <w:tblCellMar>
            <w:top w:w="0" w:type="dxa"/>
            <w:bottom w:w="0" w:type="dxa"/>
          </w:tblCellMar>
        </w:tblPrEx>
        <w:trPr>
          <w:cantSplit/>
        </w:trPr>
        <w:tc>
          <w:tcPr>
            <w:tcW w:w="9848" w:type="dxa"/>
          </w:tcPr>
          <w:p w14:paraId="5254EE31" w14:textId="77777777" w:rsidR="00711444" w:rsidRPr="004D0DAA" w:rsidRDefault="00711444" w:rsidP="00AA2A4C">
            <w:pPr>
              <w:rPr>
                <w:b/>
              </w:rPr>
            </w:pPr>
            <w:r w:rsidRPr="004D0DAA">
              <w:rPr>
                <w:b/>
              </w:rPr>
              <w:t>MPRACH Control Parameters</w:t>
            </w:r>
            <w:r w:rsidRPr="004D0DAA">
              <w:br/>
              <w:t>This information element, if present, defines the access control parameters to be used on the MPRACH. This information element is defined in sub-clause 12.41.</w:t>
            </w:r>
          </w:p>
        </w:tc>
      </w:tr>
    </w:tbl>
    <w:p w14:paraId="5DCC71BA" w14:textId="77777777" w:rsidR="00711444" w:rsidRPr="004D0DAA" w:rsidRDefault="00711444" w:rsidP="00711444"/>
    <w:p w14:paraId="0733DED7" w14:textId="77777777" w:rsidR="00711444" w:rsidRPr="004D0DAA" w:rsidRDefault="00711444" w:rsidP="00711444">
      <w:pPr>
        <w:pStyle w:val="Heading2"/>
      </w:pPr>
      <w:bookmarkStart w:id="822" w:name="_Toc516669998"/>
      <w:r w:rsidRPr="004D0DAA">
        <w:t>12.39</w:t>
      </w:r>
      <w:r w:rsidRPr="004D0DAA">
        <w:tab/>
        <w:t>MBMS Sessions List</w:t>
      </w:r>
      <w:bookmarkEnd w:id="822"/>
    </w:p>
    <w:p w14:paraId="6BF891A7" w14:textId="77777777" w:rsidR="00711444" w:rsidRPr="004D0DAA" w:rsidRDefault="00711444" w:rsidP="00711444">
      <w:r w:rsidRPr="004D0DAA">
        <w:t>The MBMS Session List contains a list of MBMS sessions, identified by their TMGI, and if available MBMS Session Identity.</w:t>
      </w:r>
    </w:p>
    <w:p w14:paraId="39F8B2AC" w14:textId="77777777" w:rsidR="00711444" w:rsidRPr="004D0DAA" w:rsidRDefault="00711444" w:rsidP="00711444">
      <w:pPr>
        <w:pStyle w:val="TH"/>
      </w:pPr>
      <w:r w:rsidRPr="004D0DAA">
        <w:t xml:space="preserve">Table 12.39.1: </w:t>
      </w:r>
      <w:r w:rsidRPr="004D0DAA">
        <w:rPr>
          <w:i/>
          <w:iCs/>
        </w:rPr>
        <w:t xml:space="preserve">MBMS Sessions List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15CBB0D" w14:textId="77777777" w:rsidTr="00AA2A4C">
        <w:tblPrEx>
          <w:tblCellMar>
            <w:top w:w="0" w:type="dxa"/>
            <w:bottom w:w="0" w:type="dxa"/>
          </w:tblCellMar>
        </w:tblPrEx>
        <w:trPr>
          <w:cantSplit/>
        </w:trPr>
        <w:tc>
          <w:tcPr>
            <w:tcW w:w="9848" w:type="dxa"/>
          </w:tcPr>
          <w:p w14:paraId="14EB45D5" w14:textId="77777777" w:rsidR="00711444" w:rsidRPr="004D0DAA" w:rsidRDefault="00711444" w:rsidP="00AA2A4C">
            <w:pPr>
              <w:pStyle w:val="TAL"/>
              <w:rPr>
                <w:lang w:eastAsia="en-US"/>
              </w:rPr>
            </w:pPr>
            <w:r w:rsidRPr="004D0DAA">
              <w:rPr>
                <w:lang w:eastAsia="en-US"/>
              </w:rPr>
              <w:t>&lt; MBMS Session List IE &gt; ::=</w:t>
            </w:r>
          </w:p>
          <w:p w14:paraId="20E2AB96"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bCs/>
                <w:lang w:eastAsia="en-US"/>
              </w:rPr>
              <w:t xml:space="preserve">TMGI </w:t>
            </w:r>
            <w:r w:rsidRPr="004D0DAA">
              <w:rPr>
                <w:lang w:eastAsia="en-US"/>
              </w:rPr>
              <w:t>: &lt; TMGI IE &gt;&gt;</w:t>
            </w:r>
          </w:p>
          <w:p w14:paraId="32DD5D9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MBMS Session Identity</w:t>
            </w:r>
            <w:r w:rsidRPr="004D0DAA">
              <w:rPr>
                <w:lang w:eastAsia="en-US"/>
              </w:rPr>
              <w:t xml:space="preserve"> : bit (8) &gt; } } ** 0; </w:t>
            </w:r>
          </w:p>
        </w:tc>
      </w:tr>
    </w:tbl>
    <w:p w14:paraId="0D80E753" w14:textId="77777777" w:rsidR="00711444" w:rsidRPr="004D0DAA" w:rsidRDefault="00711444" w:rsidP="00711444"/>
    <w:p w14:paraId="25370989" w14:textId="77777777" w:rsidR="00711444" w:rsidRPr="004D0DAA" w:rsidRDefault="00711444" w:rsidP="00711444">
      <w:pPr>
        <w:pStyle w:val="TH"/>
      </w:pPr>
      <w:r w:rsidRPr="004D0DAA">
        <w:t xml:space="preserve">Table 12.39.2: </w:t>
      </w:r>
      <w:r w:rsidRPr="004D0DAA">
        <w:rPr>
          <w:i/>
          <w:iCs/>
        </w:rPr>
        <w:t xml:space="preserve">MBMS Sessions List </w:t>
      </w:r>
      <w:r w:rsidRPr="004D0DAA">
        <w:t>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846C5B7" w14:textId="77777777" w:rsidTr="00AA2A4C">
        <w:tblPrEx>
          <w:tblCellMar>
            <w:top w:w="0" w:type="dxa"/>
            <w:bottom w:w="0" w:type="dxa"/>
          </w:tblCellMar>
        </w:tblPrEx>
        <w:trPr>
          <w:cantSplit/>
        </w:trPr>
        <w:tc>
          <w:tcPr>
            <w:tcW w:w="9848" w:type="dxa"/>
          </w:tcPr>
          <w:p w14:paraId="4B7590F4" w14:textId="77777777" w:rsidR="00711444" w:rsidRPr="004D0DAA" w:rsidRDefault="00711444" w:rsidP="00AA2A4C">
            <w:pPr>
              <w:rPr>
                <w:b/>
              </w:rPr>
            </w:pPr>
            <w:r w:rsidRPr="004D0DAA">
              <w:rPr>
                <w:b/>
              </w:rPr>
              <w:t>TMGI</w:t>
            </w:r>
            <w:r w:rsidRPr="004D0DAA">
              <w:br/>
              <w:t>This information element contains the Temporary Mobile Group Identity of an MBMS service. This information element is encoded as defined in sub-clause 12.33.</w:t>
            </w:r>
          </w:p>
        </w:tc>
      </w:tr>
      <w:tr w:rsidR="00711444" w:rsidRPr="004D0DAA" w14:paraId="2310D20D" w14:textId="77777777" w:rsidTr="00AA2A4C">
        <w:tblPrEx>
          <w:tblCellMar>
            <w:top w:w="0" w:type="dxa"/>
            <w:bottom w:w="0" w:type="dxa"/>
          </w:tblCellMar>
        </w:tblPrEx>
        <w:trPr>
          <w:cantSplit/>
        </w:trPr>
        <w:tc>
          <w:tcPr>
            <w:tcW w:w="9848" w:type="dxa"/>
          </w:tcPr>
          <w:p w14:paraId="4E1BFEF5" w14:textId="77777777" w:rsidR="00711444" w:rsidRPr="004D0DAA" w:rsidRDefault="00711444" w:rsidP="00AA2A4C">
            <w:pPr>
              <w:rPr>
                <w:b/>
              </w:rPr>
            </w:pPr>
            <w:r w:rsidRPr="004D0DAA">
              <w:rPr>
                <w:b/>
              </w:rPr>
              <w:t>MBMS Session Identity</w:t>
            </w:r>
            <w:r w:rsidRPr="004D0DAA">
              <w:rPr>
                <w:bCs/>
              </w:rPr>
              <w:t xml:space="preserve"> (8 bit field)</w:t>
            </w:r>
            <w:r w:rsidRPr="004D0DAA">
              <w:rPr>
                <w:bCs/>
              </w:rPr>
              <w:br/>
            </w:r>
            <w:r w:rsidRPr="004D0DAA">
              <w:t>This field contains the MBMS Session Identity of the concerned MBMS session.</w:t>
            </w:r>
          </w:p>
        </w:tc>
      </w:tr>
    </w:tbl>
    <w:p w14:paraId="5756F66B" w14:textId="77777777" w:rsidR="00711444" w:rsidRPr="004D0DAA" w:rsidRDefault="00711444" w:rsidP="00711444"/>
    <w:p w14:paraId="3E383B77" w14:textId="77777777" w:rsidR="00711444" w:rsidRPr="004D0DAA" w:rsidRDefault="00711444" w:rsidP="00711444">
      <w:pPr>
        <w:pStyle w:val="Heading2"/>
      </w:pPr>
      <w:bookmarkStart w:id="823" w:name="_Toc516669999"/>
      <w:r w:rsidRPr="004D0DAA">
        <w:t>12.40</w:t>
      </w:r>
      <w:r w:rsidRPr="004D0DAA">
        <w:tab/>
        <w:t>MBMS Session Parameters List</w:t>
      </w:r>
      <w:bookmarkEnd w:id="823"/>
    </w:p>
    <w:p w14:paraId="0E4E20D8" w14:textId="77777777" w:rsidR="00711444" w:rsidRPr="004D0DAA" w:rsidRDefault="00711444" w:rsidP="00711444">
      <w:r w:rsidRPr="004D0DAA">
        <w:t>The MBMS Session Parameters List contains a list of MBMS Bearer IDs, Estimated Session Durations, MBMS Radio Bearer Starting Times, EGPRS Windows Sizes and NPM Transfer Times.</w:t>
      </w:r>
    </w:p>
    <w:p w14:paraId="664EC56D" w14:textId="77777777" w:rsidR="00711444" w:rsidRPr="004D0DAA" w:rsidRDefault="00711444" w:rsidP="00711444">
      <w:pPr>
        <w:pStyle w:val="TH"/>
      </w:pPr>
      <w:r w:rsidRPr="004D0DAA">
        <w:t xml:space="preserve">Table 12.40.1: </w:t>
      </w:r>
      <w:r w:rsidRPr="004D0DAA">
        <w:rPr>
          <w:i/>
          <w:iCs/>
        </w:rPr>
        <w:t xml:space="preserve">MBMS Session Parameters List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2B5A3CE" w14:textId="77777777" w:rsidTr="00AA2A4C">
        <w:tblPrEx>
          <w:tblCellMar>
            <w:top w:w="0" w:type="dxa"/>
            <w:bottom w:w="0" w:type="dxa"/>
          </w:tblCellMar>
        </w:tblPrEx>
        <w:trPr>
          <w:cantSplit/>
        </w:trPr>
        <w:tc>
          <w:tcPr>
            <w:tcW w:w="9848" w:type="dxa"/>
          </w:tcPr>
          <w:p w14:paraId="76F8C0F5" w14:textId="77777777" w:rsidR="00711444" w:rsidRPr="004D0DAA" w:rsidRDefault="00711444" w:rsidP="00AA2A4C">
            <w:pPr>
              <w:pStyle w:val="TAL"/>
              <w:rPr>
                <w:lang w:eastAsia="en-US"/>
              </w:rPr>
            </w:pPr>
            <w:r w:rsidRPr="004D0DAA">
              <w:rPr>
                <w:lang w:eastAsia="en-US"/>
              </w:rPr>
              <w:t>&lt; MBMS Session Parameters List IE &gt; ::=</w:t>
            </w:r>
          </w:p>
          <w:p w14:paraId="400F7974"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Length of MBMS Bearer Identity</w:t>
            </w:r>
            <w:r w:rsidRPr="004D0DAA">
              <w:rPr>
                <w:lang w:eastAsia="en-US"/>
              </w:rPr>
              <w:t xml:space="preserve"> : bit (3) &gt; -- Configurations ’000’, ‘110’ and ‘111’ are reserved</w:t>
            </w:r>
          </w:p>
          <w:p w14:paraId="2CB33A1F"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lang w:eastAsia="en-US"/>
              </w:rPr>
              <w:t>MBMS Bearer Identity</w:t>
            </w:r>
            <w:r w:rsidRPr="004D0DAA">
              <w:rPr>
                <w:lang w:eastAsia="en-US"/>
              </w:rPr>
              <w:t xml:space="preserve"> : bit (val (Length of MBMS Bearer Identity)) &gt;</w:t>
            </w:r>
          </w:p>
          <w:p w14:paraId="72C98F13"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Estimated Session Duration</w:t>
            </w:r>
            <w:r w:rsidRPr="004D0DAA">
              <w:rPr>
                <w:lang w:eastAsia="en-US"/>
              </w:rPr>
              <w:t xml:space="preserve"> : bit (8) &gt;</w:t>
            </w:r>
          </w:p>
          <w:p w14:paraId="3982C79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MBMS Radio Bearer Starting Time</w:t>
            </w:r>
            <w:r w:rsidRPr="004D0DAA">
              <w:rPr>
                <w:lang w:eastAsia="en-US"/>
              </w:rPr>
              <w:t xml:space="preserve"> : bit (16) &gt; }</w:t>
            </w:r>
          </w:p>
          <w:p w14:paraId="6930815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EGPRS Window Size</w:t>
            </w:r>
            <w:r w:rsidRPr="004D0DAA">
              <w:rPr>
                <w:lang w:eastAsia="en-US"/>
              </w:rPr>
              <w:t> : &lt; EGPRS Window Size IE &gt;&gt; }</w:t>
            </w:r>
          </w:p>
          <w:p w14:paraId="04DDCB8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 } ** 0;</w:t>
            </w:r>
          </w:p>
          <w:p w14:paraId="4BD4EDDA" w14:textId="77777777" w:rsidR="00711444" w:rsidRPr="004D0DAA" w:rsidRDefault="00711444" w:rsidP="00AA2A4C">
            <w:pPr>
              <w:pStyle w:val="TAL"/>
              <w:rPr>
                <w:lang w:eastAsia="en-US"/>
              </w:rPr>
            </w:pPr>
          </w:p>
        </w:tc>
      </w:tr>
    </w:tbl>
    <w:p w14:paraId="4D59E6FC" w14:textId="77777777" w:rsidR="00711444" w:rsidRPr="004D0DAA" w:rsidRDefault="00711444" w:rsidP="00711444"/>
    <w:p w14:paraId="0CFF2086" w14:textId="77777777" w:rsidR="00711444" w:rsidRPr="004D0DAA" w:rsidRDefault="00711444" w:rsidP="00711444">
      <w:pPr>
        <w:pStyle w:val="TH"/>
      </w:pPr>
      <w:r w:rsidRPr="004D0DAA">
        <w:lastRenderedPageBreak/>
        <w:t xml:space="preserve">Table 12.40.2: </w:t>
      </w:r>
      <w:r w:rsidRPr="004D0DAA">
        <w:rPr>
          <w:i/>
          <w:iCs/>
        </w:rPr>
        <w:t xml:space="preserve">MBMS Session Parameters List </w:t>
      </w:r>
      <w:r w:rsidRPr="004D0DAA">
        <w:t>information element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3860D7B" w14:textId="77777777" w:rsidTr="00AA2A4C">
        <w:tblPrEx>
          <w:tblCellMar>
            <w:top w:w="0" w:type="dxa"/>
            <w:bottom w:w="0" w:type="dxa"/>
          </w:tblCellMar>
        </w:tblPrEx>
        <w:trPr>
          <w:cantSplit/>
        </w:trPr>
        <w:tc>
          <w:tcPr>
            <w:tcW w:w="9848" w:type="dxa"/>
          </w:tcPr>
          <w:p w14:paraId="328F7964" w14:textId="77777777" w:rsidR="00711444" w:rsidRPr="004D0DAA" w:rsidRDefault="00711444" w:rsidP="00AA2A4C">
            <w:pPr>
              <w:rPr>
                <w:b/>
              </w:rPr>
            </w:pPr>
            <w:r w:rsidRPr="004D0DAA">
              <w:rPr>
                <w:b/>
                <w:bCs/>
              </w:rPr>
              <w:t xml:space="preserve">Length of MBMS Bearer Identity </w:t>
            </w:r>
            <w:r w:rsidRPr="004D0DAA">
              <w:t xml:space="preserve">(3 bit field) </w:t>
            </w:r>
            <w:r w:rsidRPr="004D0DAA">
              <w:br/>
              <w:t>This field indicates the length of the MBMS Bearer Identity for the concerned MBMS session. Any value from 1 to 5 inclusive is allowed. All other values are reserved.</w:t>
            </w:r>
          </w:p>
          <w:p w14:paraId="4530BA75" w14:textId="77777777" w:rsidR="00711444" w:rsidRPr="004D0DAA" w:rsidRDefault="00711444" w:rsidP="00AA2A4C">
            <w:r w:rsidRPr="004D0DAA">
              <w:rPr>
                <w:b/>
              </w:rPr>
              <w:t xml:space="preserve">MBMS Bearer Identity </w:t>
            </w:r>
            <w:r w:rsidRPr="004D0DAA">
              <w:t>(1-5 bit field)</w:t>
            </w:r>
            <w:r w:rsidRPr="004D0DAA">
              <w:rPr>
                <w:bCs/>
              </w:rPr>
              <w:br/>
            </w:r>
            <w:r w:rsidRPr="004D0DAA">
              <w:t>This field contains the Bearer identity for the concerned MBMS session. This information element is defined in sub-clause 12.34.</w:t>
            </w:r>
          </w:p>
          <w:p w14:paraId="796DFF21" w14:textId="77777777" w:rsidR="00711444" w:rsidRPr="004D0DAA" w:rsidRDefault="00711444" w:rsidP="00AA2A4C">
            <w:r w:rsidRPr="004D0DAA">
              <w:rPr>
                <w:b/>
                <w:bCs/>
              </w:rPr>
              <w:t xml:space="preserve">Estimated Session Duration </w:t>
            </w:r>
            <w:r w:rsidRPr="004D0DAA">
              <w:rPr>
                <w:bCs/>
              </w:rPr>
              <w:t>(8 bit field)</w:t>
            </w:r>
            <w:r w:rsidRPr="004D0DAA">
              <w:rPr>
                <w:b/>
                <w:bCs/>
              </w:rPr>
              <w:br/>
            </w:r>
            <w:r w:rsidRPr="004D0DAA">
              <w:t>This field contains an estimation of either the duration for the concerned MBMS session or, if the MBMS session is ongoing, the remaining duration for the concerned MBMS session. This information element is defined in sub-clause 12.44.</w:t>
            </w:r>
          </w:p>
          <w:p w14:paraId="0BE19305" w14:textId="77777777" w:rsidR="00711444" w:rsidRPr="004D0DAA" w:rsidRDefault="00711444" w:rsidP="00AA2A4C">
            <w:r w:rsidRPr="004D0DAA">
              <w:rPr>
                <w:b/>
                <w:bCs/>
              </w:rPr>
              <w:t>MBMS Radio Bearer Starting Time</w:t>
            </w:r>
            <w:r w:rsidRPr="004D0DAA">
              <w:t xml:space="preserve"> (16 bit field)</w:t>
            </w:r>
            <w:r w:rsidRPr="004D0DAA">
              <w:br/>
              <w:t xml:space="preserve">This field contains a starting time that indicates the frame number from which the data transfer on the assigned MBMS radio bearer may start for the concerned MBMS session. The MBMS Radio Bearer Starting Time is encoded as the value part of the type 3 information element </w:t>
            </w:r>
            <w:r w:rsidRPr="004D0DAA">
              <w:rPr>
                <w:i/>
              </w:rPr>
              <w:t>Starting Time</w:t>
            </w:r>
            <w:r w:rsidRPr="004D0DAA">
              <w:t xml:space="preserve"> in 3GPP TS 44.018. </w:t>
            </w:r>
          </w:p>
          <w:p w14:paraId="67D1EE5F" w14:textId="77777777" w:rsidR="00711444" w:rsidRPr="004D0DAA" w:rsidRDefault="00711444" w:rsidP="00AA2A4C">
            <w:r w:rsidRPr="004D0DAA">
              <w:rPr>
                <w:b/>
              </w:rPr>
              <w:t>EGPRS Window Size</w:t>
            </w:r>
            <w:r w:rsidRPr="004D0DAA">
              <w:rPr>
                <w:b/>
              </w:rPr>
              <w:br/>
            </w:r>
            <w:r w:rsidRPr="004D0DAA">
              <w:t>This information element defines the EGPRS Window Size for the concerned MBMS session and is defined in sub-clause 12.5.2.</w:t>
            </w:r>
          </w:p>
          <w:p w14:paraId="7BB29E41"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0E6E2B76" w14:textId="77777777" w:rsidR="00711444" w:rsidRPr="004D0DAA" w:rsidRDefault="00711444" w:rsidP="00AA2A4C">
            <w:pPr>
              <w:rPr>
                <w:b/>
              </w:rPr>
            </w:pPr>
            <w:r w:rsidRPr="004D0DAA">
              <w:t>This field defines the NPM Transfer Time limitation for the concerned MBMS session and is defined in sub-clause 12.45a.</w:t>
            </w:r>
          </w:p>
        </w:tc>
      </w:tr>
    </w:tbl>
    <w:p w14:paraId="38C009B1" w14:textId="77777777" w:rsidR="00711444" w:rsidRPr="004D0DAA" w:rsidRDefault="00711444" w:rsidP="00711444"/>
    <w:p w14:paraId="3A409541" w14:textId="77777777" w:rsidR="00711444" w:rsidRPr="004D0DAA" w:rsidRDefault="00711444" w:rsidP="00711444">
      <w:pPr>
        <w:pStyle w:val="Heading2"/>
      </w:pPr>
      <w:bookmarkStart w:id="824" w:name="_Toc516670000"/>
      <w:r w:rsidRPr="004D0DAA">
        <w:t>12.41</w:t>
      </w:r>
      <w:r w:rsidRPr="004D0DAA">
        <w:tab/>
        <w:t>MPRACH Control Parameters</w:t>
      </w:r>
      <w:bookmarkEnd w:id="824"/>
    </w:p>
    <w:p w14:paraId="5AAAC32A" w14:textId="77777777" w:rsidR="00711444" w:rsidRPr="004D0DAA" w:rsidRDefault="00711444" w:rsidP="00711444">
      <w:pPr>
        <w:keepNext/>
        <w:keepLines/>
      </w:pPr>
      <w:r w:rsidRPr="004D0DAA">
        <w:t>The purpose of the MPRACH Control Parameters information element is to provide parameters used to control the MPRACH utilization.</w:t>
      </w:r>
    </w:p>
    <w:p w14:paraId="640E1951" w14:textId="77777777" w:rsidR="00711444" w:rsidRPr="004D0DAA" w:rsidRDefault="00711444" w:rsidP="00711444">
      <w:pPr>
        <w:pStyle w:val="TH"/>
      </w:pPr>
      <w:r w:rsidRPr="004D0DAA">
        <w:t xml:space="preserve">Table 12.41.1: </w:t>
      </w:r>
      <w:r w:rsidRPr="004D0DAA">
        <w:rPr>
          <w:i/>
          <w:iCs/>
        </w:rPr>
        <w:t>M</w:t>
      </w:r>
      <w:r w:rsidRPr="004D0DAA">
        <w:rPr>
          <w:i/>
        </w:rPr>
        <w:t>PRACH Control Parameters</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7430277" w14:textId="77777777" w:rsidTr="00AA2A4C">
        <w:tblPrEx>
          <w:tblCellMar>
            <w:top w:w="0" w:type="dxa"/>
            <w:bottom w:w="0" w:type="dxa"/>
          </w:tblCellMar>
        </w:tblPrEx>
        <w:trPr>
          <w:cantSplit/>
        </w:trPr>
        <w:tc>
          <w:tcPr>
            <w:tcW w:w="9848" w:type="dxa"/>
          </w:tcPr>
          <w:p w14:paraId="0BEE2A52" w14:textId="77777777" w:rsidR="00711444" w:rsidRPr="004D0DAA" w:rsidRDefault="00711444" w:rsidP="00AA2A4C">
            <w:pPr>
              <w:pStyle w:val="TAL"/>
              <w:rPr>
                <w:lang w:eastAsia="en-US"/>
              </w:rPr>
            </w:pPr>
            <w:r w:rsidRPr="004D0DAA">
              <w:rPr>
                <w:lang w:eastAsia="en-US"/>
              </w:rPr>
              <w:t>&lt; MPRACH Control Parameters IE &gt; ::=</w:t>
            </w:r>
          </w:p>
          <w:p w14:paraId="4ADA42DC" w14:textId="77777777" w:rsidR="00711444" w:rsidRPr="004D0DAA" w:rsidRDefault="00711444" w:rsidP="00AA2A4C">
            <w:pPr>
              <w:pStyle w:val="TAL"/>
              <w:rPr>
                <w:lang w:eastAsia="en-US"/>
              </w:rPr>
            </w:pPr>
            <w:r w:rsidRPr="004D0DAA">
              <w:rPr>
                <w:lang w:eastAsia="en-US"/>
              </w:rPr>
              <w:tab/>
              <w:t xml:space="preserve">{ 0 | 1&lt; </w:t>
            </w:r>
            <w:r w:rsidRPr="004D0DAA">
              <w:rPr>
                <w:b/>
                <w:lang w:eastAsia="en-US"/>
              </w:rPr>
              <w:t>ACC_CONTR_CLASS</w:t>
            </w:r>
            <w:r w:rsidRPr="004D0DAA">
              <w:rPr>
                <w:lang w:eastAsia="en-US"/>
              </w:rPr>
              <w:t xml:space="preserve"> : bit (16) &gt; } </w:t>
            </w:r>
          </w:p>
          <w:p w14:paraId="3243DF2B" w14:textId="77777777" w:rsidR="00711444" w:rsidRPr="004D0DAA" w:rsidRDefault="00711444" w:rsidP="00AA2A4C">
            <w:pPr>
              <w:pStyle w:val="TAL"/>
              <w:rPr>
                <w:lang w:eastAsia="en-US"/>
              </w:rPr>
            </w:pPr>
            <w:r w:rsidRPr="004D0DAA">
              <w:rPr>
                <w:lang w:eastAsia="en-US"/>
              </w:rPr>
              <w:tab/>
              <w:t xml:space="preserve">{ 0 | 1&lt; </w:t>
            </w:r>
            <w:r w:rsidRPr="004D0DAA">
              <w:rPr>
                <w:b/>
                <w:lang w:eastAsia="en-US"/>
              </w:rPr>
              <w:t>MAX_RETRANS</w:t>
            </w:r>
            <w:r w:rsidRPr="004D0DAA">
              <w:rPr>
                <w:lang w:eastAsia="en-US"/>
              </w:rPr>
              <w:t xml:space="preserve"> : bit (2) &gt; } </w:t>
            </w:r>
          </w:p>
          <w:p w14:paraId="70D548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w:t>
            </w:r>
            <w:r w:rsidRPr="004D0DAA">
              <w:rPr>
                <w:lang w:eastAsia="en-US"/>
              </w:rPr>
              <w:t xml:space="preserve"> : bit (4) &gt;</w:t>
            </w:r>
          </w:p>
          <w:p w14:paraId="4138A1A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TX_INT</w:t>
            </w:r>
            <w:r w:rsidRPr="004D0DAA">
              <w:rPr>
                <w:lang w:eastAsia="en-US"/>
              </w:rPr>
              <w:t xml:space="preserve"> : bit (4) &gt; } </w:t>
            </w:r>
          </w:p>
          <w:p w14:paraId="349EB2ED"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PERSISTENCE_LEVEL</w:t>
            </w:r>
            <w:r w:rsidRPr="004D0DAA">
              <w:rPr>
                <w:lang w:eastAsia="en-US"/>
              </w:rPr>
              <w:t xml:space="preserve"> : bit (4) &gt; } ;</w:t>
            </w:r>
            <w:r w:rsidRPr="004D0DAA">
              <w:rPr>
                <w:lang w:eastAsia="en-US"/>
              </w:rPr>
              <w:br/>
            </w:r>
          </w:p>
        </w:tc>
      </w:tr>
    </w:tbl>
    <w:p w14:paraId="70C27D4C" w14:textId="77777777" w:rsidR="00711444" w:rsidRPr="004D0DAA" w:rsidRDefault="00711444" w:rsidP="00711444"/>
    <w:p w14:paraId="704DC64A" w14:textId="77777777" w:rsidR="00711444" w:rsidRPr="004D0DAA" w:rsidRDefault="00711444" w:rsidP="00711444">
      <w:pPr>
        <w:pStyle w:val="TH"/>
      </w:pPr>
      <w:r w:rsidRPr="004D0DAA">
        <w:t xml:space="preserve">Table 12.41.2: </w:t>
      </w:r>
      <w:r w:rsidRPr="004D0DAA">
        <w:rPr>
          <w:i/>
          <w:iCs/>
        </w:rPr>
        <w:t>M</w:t>
      </w:r>
      <w:r w:rsidRPr="004D0DAA">
        <w:rPr>
          <w:i/>
        </w:rPr>
        <w:t>PRACH Control Parameters</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861EFC6" w14:textId="77777777" w:rsidTr="00AA2A4C">
        <w:tblPrEx>
          <w:tblCellMar>
            <w:top w:w="0" w:type="dxa"/>
            <w:bottom w:w="0" w:type="dxa"/>
          </w:tblCellMar>
        </w:tblPrEx>
        <w:trPr>
          <w:cantSplit/>
        </w:trPr>
        <w:tc>
          <w:tcPr>
            <w:tcW w:w="9848" w:type="dxa"/>
          </w:tcPr>
          <w:p w14:paraId="72BD047C" w14:textId="77777777" w:rsidR="00711444" w:rsidRPr="004D0DAA" w:rsidRDefault="00711444" w:rsidP="00AA2A4C">
            <w:pPr>
              <w:keepNext/>
              <w:keepLines/>
              <w:tabs>
                <w:tab w:val="left" w:pos="993"/>
              </w:tabs>
              <w:rPr>
                <w:b/>
              </w:rPr>
            </w:pPr>
            <w:r w:rsidRPr="004D0DAA">
              <w:rPr>
                <w:b/>
              </w:rPr>
              <w:t>TX_INT</w:t>
            </w:r>
            <w:r w:rsidRPr="004D0DAA">
              <w:t xml:space="preserve"> (4 bit field)</w:t>
            </w:r>
            <w:r w:rsidRPr="004D0DAA">
              <w:br/>
              <w:t>Number of slots to spread transmission of the random access. This information element is encoded as defined in sub-clause 12.14.</w:t>
            </w:r>
          </w:p>
        </w:tc>
      </w:tr>
      <w:tr w:rsidR="00711444" w:rsidRPr="004D0DAA" w14:paraId="4CE04D2B" w14:textId="77777777" w:rsidTr="00AA2A4C">
        <w:tblPrEx>
          <w:tblCellMar>
            <w:top w:w="0" w:type="dxa"/>
            <w:bottom w:w="0" w:type="dxa"/>
          </w:tblCellMar>
        </w:tblPrEx>
        <w:trPr>
          <w:cantSplit/>
        </w:trPr>
        <w:tc>
          <w:tcPr>
            <w:tcW w:w="9848" w:type="dxa"/>
          </w:tcPr>
          <w:p w14:paraId="403859F8" w14:textId="77777777" w:rsidR="00711444" w:rsidRPr="004D0DAA" w:rsidRDefault="00711444" w:rsidP="00AA2A4C">
            <w:pPr>
              <w:keepLines/>
              <w:tabs>
                <w:tab w:val="left" w:pos="993"/>
              </w:tabs>
              <w:rPr>
                <w:b/>
              </w:rPr>
            </w:pPr>
            <w:r w:rsidRPr="004D0DAA">
              <w:rPr>
                <w:b/>
              </w:rPr>
              <w:t>S</w:t>
            </w:r>
            <w:r w:rsidRPr="004D0DAA">
              <w:t xml:space="preserve"> (4 bit field)</w:t>
            </w:r>
            <w:r w:rsidRPr="004D0DAA">
              <w:br/>
              <w:t>S is a parameter used for calculation of the minimum number of slots between two successive Channel request messages. This information element is encoded as defined in sub-clause 12.14.</w:t>
            </w:r>
          </w:p>
        </w:tc>
      </w:tr>
      <w:tr w:rsidR="00711444" w:rsidRPr="004D0DAA" w14:paraId="37C4E2B1" w14:textId="77777777" w:rsidTr="00AA2A4C">
        <w:tblPrEx>
          <w:tblCellMar>
            <w:top w:w="0" w:type="dxa"/>
            <w:bottom w:w="0" w:type="dxa"/>
          </w:tblCellMar>
        </w:tblPrEx>
        <w:trPr>
          <w:cantSplit/>
        </w:trPr>
        <w:tc>
          <w:tcPr>
            <w:tcW w:w="9848" w:type="dxa"/>
          </w:tcPr>
          <w:p w14:paraId="53FD4ECD" w14:textId="77777777" w:rsidR="00711444" w:rsidRPr="004D0DAA" w:rsidRDefault="00711444" w:rsidP="00AA2A4C">
            <w:pPr>
              <w:keepLines/>
              <w:tabs>
                <w:tab w:val="left" w:pos="993"/>
              </w:tabs>
              <w:rPr>
                <w:b/>
              </w:rPr>
            </w:pPr>
            <w:r w:rsidRPr="004D0DAA">
              <w:rPr>
                <w:b/>
              </w:rPr>
              <w:t>MAX_RETRANS</w:t>
            </w:r>
            <w:r w:rsidRPr="004D0DAA">
              <w:t xml:space="preserve"> (2 bit field)</w:t>
            </w:r>
            <w:r w:rsidRPr="004D0DAA">
              <w:br/>
              <w:t>Indicates the maximum number of retransmissions allowed. This information element is encoded as defined in sub-clause 12.14.</w:t>
            </w:r>
          </w:p>
        </w:tc>
      </w:tr>
      <w:tr w:rsidR="00711444" w:rsidRPr="004D0DAA" w14:paraId="1400FDE4" w14:textId="77777777" w:rsidTr="00AA2A4C">
        <w:tblPrEx>
          <w:tblCellMar>
            <w:top w:w="0" w:type="dxa"/>
            <w:bottom w:w="0" w:type="dxa"/>
          </w:tblCellMar>
        </w:tblPrEx>
        <w:trPr>
          <w:cantSplit/>
        </w:trPr>
        <w:tc>
          <w:tcPr>
            <w:tcW w:w="9848" w:type="dxa"/>
          </w:tcPr>
          <w:p w14:paraId="17398070" w14:textId="77777777" w:rsidR="00711444" w:rsidRPr="004D0DAA" w:rsidRDefault="00711444" w:rsidP="00AA2A4C">
            <w:pPr>
              <w:keepNext/>
              <w:keepLines/>
              <w:tabs>
                <w:tab w:val="left" w:pos="993"/>
              </w:tabs>
              <w:rPr>
                <w:b/>
              </w:rPr>
            </w:pPr>
            <w:r w:rsidRPr="004D0DAA">
              <w:rPr>
                <w:b/>
              </w:rPr>
              <w:lastRenderedPageBreak/>
              <w:t>PERSISTENCE_LEVEL</w:t>
            </w:r>
            <w:r w:rsidRPr="004D0DAA">
              <w:t xml:space="preserve"> (4 bit field)</w:t>
            </w:r>
            <w:r w:rsidRPr="004D0DAA">
              <w:br/>
              <w:t>The PERISTENCE_LEVEL field indicates the values of the access persistence level. This information element is encoded as defined in sub-clause 12.14.</w:t>
            </w:r>
          </w:p>
        </w:tc>
      </w:tr>
      <w:tr w:rsidR="00711444" w:rsidRPr="004D0DAA" w14:paraId="226F0F56" w14:textId="77777777" w:rsidTr="00AA2A4C">
        <w:tblPrEx>
          <w:tblCellMar>
            <w:top w:w="0" w:type="dxa"/>
            <w:bottom w:w="0" w:type="dxa"/>
          </w:tblCellMar>
        </w:tblPrEx>
        <w:trPr>
          <w:cantSplit/>
        </w:trPr>
        <w:tc>
          <w:tcPr>
            <w:tcW w:w="9848" w:type="dxa"/>
          </w:tcPr>
          <w:p w14:paraId="0518C5F6" w14:textId="77777777" w:rsidR="00711444" w:rsidRPr="004D0DAA" w:rsidRDefault="00711444" w:rsidP="00AA2A4C">
            <w:pPr>
              <w:keepLines/>
              <w:tabs>
                <w:tab w:val="left" w:pos="851"/>
                <w:tab w:val="left" w:pos="1276"/>
                <w:tab w:val="left" w:pos="1701"/>
                <w:tab w:val="left" w:pos="2127"/>
                <w:tab w:val="left" w:pos="2552"/>
                <w:tab w:val="left" w:pos="2977"/>
                <w:tab w:val="left" w:pos="3402"/>
                <w:tab w:val="left" w:pos="3828"/>
                <w:tab w:val="left" w:pos="4253"/>
                <w:tab w:val="left" w:pos="4678"/>
                <w:tab w:val="left" w:pos="5103"/>
                <w:tab w:val="left" w:pos="5529"/>
                <w:tab w:val="left" w:pos="5954"/>
                <w:tab w:val="left" w:pos="6379"/>
                <w:tab w:val="left" w:pos="6804"/>
                <w:tab w:val="left" w:pos="7230"/>
                <w:tab w:val="left" w:pos="7655"/>
              </w:tabs>
            </w:pPr>
            <w:r w:rsidRPr="004D0DAA">
              <w:rPr>
                <w:b/>
              </w:rPr>
              <w:t>ACC_CONTR_CLASS</w:t>
            </w:r>
            <w:r w:rsidRPr="004D0DAA">
              <w:t xml:space="preserve"> ( 16 bit field)</w:t>
            </w:r>
            <w:r w:rsidRPr="004D0DAA">
              <w:br/>
              <w:t>Access Control Class N (bit 1-16) (see octet 3 and 4 of the RACH Control Parameters IE in 3GPP TS 44.018) . This information element is encoded as defined in sub-clause 12.14.</w:t>
            </w:r>
          </w:p>
        </w:tc>
      </w:tr>
    </w:tbl>
    <w:p w14:paraId="19AC2D16" w14:textId="77777777" w:rsidR="00711444" w:rsidRPr="004D0DAA" w:rsidRDefault="00711444" w:rsidP="00711444"/>
    <w:p w14:paraId="7D4A6C78" w14:textId="77777777" w:rsidR="00711444" w:rsidRPr="004D0DAA" w:rsidRDefault="00711444" w:rsidP="00711444">
      <w:pPr>
        <w:pStyle w:val="Heading2"/>
      </w:pPr>
      <w:bookmarkStart w:id="825" w:name="_Toc516670001"/>
      <w:r w:rsidRPr="004D0DAA">
        <w:t>12.42</w:t>
      </w:r>
      <w:r w:rsidRPr="004D0DAA">
        <w:tab/>
        <w:t>PS Handover Radio Resources</w:t>
      </w:r>
      <w:bookmarkEnd w:id="825"/>
    </w:p>
    <w:p w14:paraId="2B3042BD" w14:textId="77777777" w:rsidR="00711444" w:rsidRPr="004D0DAA" w:rsidRDefault="00711444" w:rsidP="00711444">
      <w:pPr>
        <w:ind w:right="1"/>
      </w:pPr>
      <w:r w:rsidRPr="004D0DAA">
        <w:t xml:space="preserve">This information element provides the radio resources assigned for PS services in the new cell and is included within the PS HANDOVER COMMAND message. </w:t>
      </w:r>
    </w:p>
    <w:p w14:paraId="757D0BF9" w14:textId="77777777" w:rsidR="00711444" w:rsidRPr="004D0DAA" w:rsidRDefault="00711444" w:rsidP="00711444">
      <w:pPr>
        <w:pStyle w:val="TH"/>
      </w:pPr>
      <w:r w:rsidRPr="004D0DAA">
        <w:lastRenderedPageBreak/>
        <w:t>Table 12.42.1: PS Handover Radio Resources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9D7FAE7" w14:textId="77777777" w:rsidTr="00AA2A4C">
        <w:tblPrEx>
          <w:tblCellMar>
            <w:top w:w="0" w:type="dxa"/>
            <w:bottom w:w="0" w:type="dxa"/>
          </w:tblCellMar>
        </w:tblPrEx>
        <w:trPr>
          <w:cantSplit/>
        </w:trPr>
        <w:tc>
          <w:tcPr>
            <w:tcW w:w="9848" w:type="dxa"/>
          </w:tcPr>
          <w:p w14:paraId="59413BF4" w14:textId="77777777" w:rsidR="00711444" w:rsidRPr="004D0DAA" w:rsidRDefault="00711444" w:rsidP="00AA2A4C">
            <w:pPr>
              <w:pStyle w:val="TAL"/>
              <w:rPr>
                <w:lang w:eastAsia="en-US"/>
              </w:rPr>
            </w:pPr>
            <w:r w:rsidRPr="004D0DAA">
              <w:rPr>
                <w:lang w:eastAsia="en-US"/>
              </w:rPr>
              <w:t>&lt; PS Handover Radio Resources IE &gt; ::=</w:t>
            </w:r>
          </w:p>
          <w:p w14:paraId="36A5DA14" w14:textId="77777777" w:rsidR="00711444" w:rsidRPr="004D0DAA" w:rsidRDefault="00711444" w:rsidP="00AA2A4C">
            <w:pPr>
              <w:pStyle w:val="TAL"/>
              <w:rPr>
                <w:strike/>
                <w:lang w:eastAsia="en-US"/>
              </w:rPr>
            </w:pPr>
            <w:r w:rsidRPr="004D0DAA">
              <w:rPr>
                <w:lang w:eastAsia="en-US"/>
              </w:rPr>
              <w:tab/>
              <w:t xml:space="preserve">{ 0 | 1 &lt; </w:t>
            </w:r>
            <w:r w:rsidRPr="004D0DAA">
              <w:rPr>
                <w:b/>
                <w:bCs/>
                <w:lang w:eastAsia="en-US"/>
              </w:rPr>
              <w:t>Handover Reference</w:t>
            </w:r>
            <w:r w:rsidRPr="004D0DAA">
              <w:rPr>
                <w:lang w:eastAsia="en-US"/>
              </w:rPr>
              <w:t xml:space="preserve"> : bit (8) &gt; }</w:t>
            </w:r>
          </w:p>
          <w:p w14:paraId="13AC145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w:t>
            </w:r>
            <w:r w:rsidRPr="004D0DAA">
              <w:rPr>
                <w:lang w:eastAsia="en-US"/>
              </w:rPr>
              <w:t xml:space="preserve"> : bit (10) &gt;</w:t>
            </w:r>
          </w:p>
          <w:p w14:paraId="4B946C93"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SI</w:t>
            </w:r>
            <w:r w:rsidRPr="004D0DAA">
              <w:rPr>
                <w:lang w:val="fr-FR" w:eastAsia="en-US"/>
              </w:rPr>
              <w:t xml:space="preserve"> : bit (2) &gt;</w:t>
            </w:r>
          </w:p>
          <w:p w14:paraId="181614A1"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NCI</w:t>
            </w:r>
            <w:r w:rsidRPr="004D0DAA">
              <w:rPr>
                <w:lang w:val="fr-FR" w:eastAsia="en-US"/>
              </w:rPr>
              <w:t xml:space="preserve"> : bit (1) &gt;</w:t>
            </w:r>
          </w:p>
          <w:p w14:paraId="22221412"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BSIC</w:t>
            </w:r>
            <w:r w:rsidRPr="004D0DAA">
              <w:rPr>
                <w:lang w:val="fr-FR" w:eastAsia="en-US"/>
              </w:rPr>
              <w:t xml:space="preserve"> : bit (6) &gt;</w:t>
            </w:r>
          </w:p>
          <w:p w14:paraId="1068B72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CCN_ACTIVE</w:t>
            </w:r>
            <w:r w:rsidRPr="004D0DAA">
              <w:rPr>
                <w:lang w:eastAsia="en-US"/>
              </w:rPr>
              <w:t xml:space="preserve"> : bit (1) &gt; }</w:t>
            </w:r>
          </w:p>
          <w:p w14:paraId="1C46367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3G_CCN_ACTIVE</w:t>
            </w:r>
            <w:r w:rsidRPr="004D0DAA">
              <w:rPr>
                <w:lang w:eastAsia="en-US"/>
              </w:rPr>
              <w:t xml:space="preserve"> : bit (1) &gt; }</w:t>
            </w:r>
          </w:p>
          <w:p w14:paraId="4CA560E1"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CCN Support Description</w:t>
            </w:r>
            <w:r w:rsidRPr="004D0DAA">
              <w:rPr>
                <w:lang w:val="fr-FR" w:eastAsia="en-US"/>
              </w:rPr>
              <w:t xml:space="preserve"> : &lt; CCN Support Description struct &gt;&gt; }</w:t>
            </w:r>
          </w:p>
          <w:p w14:paraId="7F828129"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Frequency Parameters</w:t>
            </w:r>
            <w:r w:rsidRPr="004D0DAA">
              <w:rPr>
                <w:lang w:eastAsia="en-US"/>
              </w:rPr>
              <w:t xml:space="preserve"> : &lt; Frequency Parameters IE &gt; &gt;</w:t>
            </w:r>
          </w:p>
          <w:p w14:paraId="4CA1F18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NETWORK_CONTROL_ORDER</w:t>
            </w:r>
            <w:r w:rsidRPr="004D0DAA">
              <w:rPr>
                <w:lang w:eastAsia="en-US"/>
              </w:rPr>
              <w:t xml:space="preserve"> : bit (2) &gt;</w:t>
            </w:r>
          </w:p>
          <w:p w14:paraId="7BBC077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Global</w:t>
            </w:r>
            <w:r w:rsidRPr="004D0DAA">
              <w:rPr>
                <w:lang w:eastAsia="en-US"/>
              </w:rPr>
              <w:t xml:space="preserve"> </w:t>
            </w:r>
            <w:r w:rsidRPr="004D0DAA">
              <w:rPr>
                <w:b/>
                <w:bCs/>
                <w:lang w:eastAsia="en-US"/>
              </w:rPr>
              <w:t>Packet Timing Advance</w:t>
            </w:r>
            <w:r w:rsidRPr="004D0DAA">
              <w:rPr>
                <w:lang w:eastAsia="en-US"/>
              </w:rPr>
              <w:t xml:space="preserve"> : &lt; Global Packet Timing Advance IE &gt; &gt;</w:t>
            </w:r>
          </w:p>
          <w:p w14:paraId="7777FD6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Packet Extended Timing Advance</w:t>
            </w:r>
            <w:r w:rsidRPr="004D0DAA">
              <w:rPr>
                <w:lang w:eastAsia="en-US"/>
              </w:rPr>
              <w:t xml:space="preserve"> : bit (2)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Only used in uplink</w:t>
            </w:r>
          </w:p>
          <w:p w14:paraId="51416535"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Only used in uplink</w:t>
            </w:r>
          </w:p>
          <w:p w14:paraId="54D487C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RLC_RESET</w:t>
            </w:r>
            <w:r w:rsidRPr="004D0DAA">
              <w:rPr>
                <w:lang w:eastAsia="en-US"/>
              </w:rPr>
              <w:t xml:space="preserve"> : bit (1) &gt; </w:t>
            </w:r>
          </w:p>
          <w:p w14:paraId="7869E236"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P0</w:t>
            </w:r>
            <w:r w:rsidRPr="004D0DAA">
              <w:rPr>
                <w:lang w:eastAsia="en-US"/>
              </w:rPr>
              <w:t xml:space="preserve"> : bit (4) &gt; </w:t>
            </w:r>
          </w:p>
          <w:p w14:paraId="11183AA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PR_MODE</w:t>
            </w:r>
            <w:r w:rsidRPr="004D0DAA">
              <w:rPr>
                <w:lang w:eastAsia="en-US"/>
              </w:rPr>
              <w:t> : bit (1) &gt; }</w:t>
            </w:r>
          </w:p>
          <w:p w14:paraId="698F47C6"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w:t>
            </w:r>
            <w:r w:rsidRPr="004D0DAA">
              <w:rPr>
                <w:lang w:eastAsia="en-US"/>
              </w:rPr>
              <w:t xml:space="preserve"> : bit (3) &gt; }</w:t>
            </w:r>
          </w:p>
          <w:p w14:paraId="38C163BA"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&lt; </w:t>
            </w:r>
            <w:r w:rsidRPr="004D0DAA">
              <w:rPr>
                <w:b/>
                <w:bCs/>
                <w:lang w:val="fr-FR" w:eastAsia="en-US"/>
              </w:rPr>
              <w:t>GPRS mode</w:t>
            </w:r>
            <w:r w:rsidRPr="004D0DAA">
              <w:rPr>
                <w:lang w:val="fr-FR" w:eastAsia="en-US"/>
              </w:rPr>
              <w:t xml:space="preserve"> : &lt; GPRS mode struct &gt; &gt;</w:t>
            </w:r>
          </w:p>
          <w:p w14:paraId="6E1BA684" w14:textId="77777777" w:rsidR="00711444" w:rsidRPr="004D0DAA" w:rsidRDefault="00711444" w:rsidP="00AA2A4C">
            <w:pPr>
              <w:pStyle w:val="TAL"/>
              <w:rPr>
                <w:lang w:val="fr-FR" w:eastAsia="en-US"/>
              </w:rPr>
            </w:pPr>
            <w:r w:rsidRPr="004D0DAA">
              <w:rPr>
                <w:lang w:val="fr-FR" w:eastAsia="en-US"/>
              </w:rPr>
              <w:tab/>
              <w:t xml:space="preserve"> | 1 &lt; </w:t>
            </w:r>
            <w:r w:rsidRPr="004D0DAA">
              <w:rPr>
                <w:b/>
                <w:bCs/>
                <w:lang w:val="fr-FR" w:eastAsia="en-US"/>
              </w:rPr>
              <w:t>EGPRS mode</w:t>
            </w:r>
            <w:r w:rsidRPr="004D0DAA">
              <w:rPr>
                <w:lang w:val="fr-FR" w:eastAsia="en-US"/>
              </w:rPr>
              <w:t xml:space="preserve"> : &lt; EGPRS mode struct &gt; &gt; } ;</w:t>
            </w:r>
          </w:p>
          <w:p w14:paraId="35D00EE3" w14:textId="77777777" w:rsidR="00711444" w:rsidRPr="004D0DAA" w:rsidRDefault="00711444" w:rsidP="00AA2A4C">
            <w:pPr>
              <w:pStyle w:val="TAL"/>
              <w:rPr>
                <w:lang w:val="fr-FR" w:eastAsia="en-US"/>
              </w:rPr>
            </w:pPr>
          </w:p>
        </w:tc>
      </w:tr>
      <w:tr w:rsidR="00711444" w:rsidRPr="004D0DAA" w14:paraId="64C782F7" w14:textId="77777777" w:rsidTr="00AA2A4C">
        <w:tblPrEx>
          <w:tblCellMar>
            <w:top w:w="0" w:type="dxa"/>
            <w:bottom w:w="0" w:type="dxa"/>
          </w:tblCellMar>
        </w:tblPrEx>
        <w:trPr>
          <w:cantSplit/>
        </w:trPr>
        <w:tc>
          <w:tcPr>
            <w:tcW w:w="9848" w:type="dxa"/>
          </w:tcPr>
          <w:p w14:paraId="3DC11AA1"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r>
            <w:r w:rsidRPr="004D0DAA">
              <w:rPr>
                <w:lang w:eastAsia="en-US"/>
              </w:rPr>
              <w:tab/>
              <w:t xml:space="preserve">&lt; </w:t>
            </w:r>
            <w:r w:rsidRPr="004D0DAA">
              <w:rPr>
                <w:b/>
                <w:lang w:eastAsia="en-US"/>
              </w:rPr>
              <w:t>Number_Cells</w:t>
            </w:r>
            <w:r w:rsidRPr="004D0DAA">
              <w:rPr>
                <w:lang w:eastAsia="en-US"/>
              </w:rPr>
              <w:t xml:space="preserve"> : bit (7) &gt;</w:t>
            </w:r>
            <w:r w:rsidRPr="004D0DAA">
              <w:rPr>
                <w:lang w:eastAsia="en-US"/>
              </w:rPr>
              <w:br/>
            </w:r>
            <w:r w:rsidRPr="004D0DAA">
              <w:rPr>
                <w:lang w:eastAsia="en-US"/>
              </w:rPr>
              <w:tab/>
              <w:t xml:space="preserve">{ </w:t>
            </w:r>
            <w:r w:rsidRPr="004D0DAA">
              <w:rPr>
                <w:b/>
                <w:lang w:eastAsia="en-US"/>
              </w:rPr>
              <w:t>CCN_SUPPORTED</w:t>
            </w:r>
            <w:r w:rsidRPr="004D0DAA">
              <w:rPr>
                <w:lang w:eastAsia="en-US"/>
              </w:rPr>
              <w:t xml:space="preserve"> : bit } * (val(Number_Cells)) ;</w:t>
            </w:r>
          </w:p>
          <w:p w14:paraId="34275A7F" w14:textId="77777777" w:rsidR="00711444" w:rsidRPr="004D0DAA" w:rsidRDefault="00711444" w:rsidP="00AA2A4C">
            <w:pPr>
              <w:pStyle w:val="TAL"/>
              <w:rPr>
                <w:lang w:eastAsia="en-US"/>
              </w:rPr>
            </w:pPr>
          </w:p>
        </w:tc>
      </w:tr>
      <w:tr w:rsidR="00711444" w:rsidRPr="004D0DAA" w14:paraId="18C5B5D5" w14:textId="77777777" w:rsidTr="00AA2A4C">
        <w:tblPrEx>
          <w:tblCellMar>
            <w:top w:w="0" w:type="dxa"/>
            <w:bottom w:w="0" w:type="dxa"/>
          </w:tblCellMar>
        </w:tblPrEx>
        <w:trPr>
          <w:cantSplit/>
        </w:trPr>
        <w:tc>
          <w:tcPr>
            <w:tcW w:w="9848" w:type="dxa"/>
          </w:tcPr>
          <w:p w14:paraId="54F82CD9" w14:textId="77777777" w:rsidR="00711444" w:rsidRPr="004D0DAA" w:rsidRDefault="00711444" w:rsidP="00AA2A4C">
            <w:pPr>
              <w:pStyle w:val="TAL"/>
              <w:rPr>
                <w:lang w:eastAsia="en-US"/>
              </w:rPr>
            </w:pPr>
            <w:r w:rsidRPr="004D0DAA">
              <w:rPr>
                <w:lang w:eastAsia="en-US"/>
              </w:rPr>
              <w:t>&lt; GPRS mode struct &gt; ::=</w:t>
            </w:r>
          </w:p>
          <w:p w14:paraId="4FDD68FB" w14:textId="77777777" w:rsidR="00711444" w:rsidRPr="004D0DAA" w:rsidRDefault="00711444" w:rsidP="00AA2A4C">
            <w:pPr>
              <w:pStyle w:val="TAL"/>
              <w:rPr>
                <w:lang w:eastAsia="en-US"/>
              </w:rPr>
            </w:pPr>
            <w:r w:rsidRPr="004D0DAA">
              <w:rPr>
                <w:lang w:eastAsia="en-US"/>
              </w:rPr>
              <w:tab/>
              <w:t>-- Uplink TBFs</w:t>
            </w:r>
          </w:p>
          <w:p w14:paraId="7C115174"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0 | 1 &lt; </w:t>
            </w:r>
            <w:r w:rsidRPr="004D0DAA">
              <w:rPr>
                <w:b/>
                <w:bCs/>
                <w:lang w:eastAsia="en-US"/>
              </w:rPr>
              <w:t>CHANNEL_CODING_COMMAND</w:t>
            </w:r>
            <w:r w:rsidRPr="004D0DAA">
              <w:rPr>
                <w:lang w:eastAsia="en-US"/>
              </w:rPr>
              <w:t xml:space="preserve"> : bit (2) &gt; }</w:t>
            </w:r>
          </w:p>
          <w:p w14:paraId="3F6EBB0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Global Timeslot description</w:t>
            </w:r>
            <w:r w:rsidRPr="004D0DAA">
              <w:rPr>
                <w:lang w:eastAsia="en-US"/>
              </w:rPr>
              <w:t xml:space="preserve"> : &lt; Timeslot description struct &gt; &gt;</w:t>
            </w:r>
          </w:p>
          <w:p w14:paraId="160A37B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Uplink Assignment</w:t>
            </w:r>
            <w:r w:rsidRPr="004D0DAA">
              <w:rPr>
                <w:lang w:eastAsia="en-US"/>
              </w:rPr>
              <w:t xml:space="preserve"> : &lt; Uplink TBF Assignment struct &gt; &gt; } ** 0 }</w:t>
            </w:r>
          </w:p>
          <w:p w14:paraId="2107389A" w14:textId="77777777" w:rsidR="00711444" w:rsidRPr="004D0DAA" w:rsidRDefault="00711444" w:rsidP="00AA2A4C">
            <w:pPr>
              <w:pStyle w:val="TAL"/>
              <w:rPr>
                <w:lang w:eastAsia="en-US"/>
              </w:rPr>
            </w:pPr>
            <w:r w:rsidRPr="004D0DAA">
              <w:rPr>
                <w:lang w:eastAsia="en-US"/>
              </w:rPr>
              <w:tab/>
              <w:t>-- Downlink TBFs</w:t>
            </w:r>
          </w:p>
          <w:p w14:paraId="2D13215F" w14:textId="77777777" w:rsidR="00711444" w:rsidRPr="004D0DAA" w:rsidRDefault="00711444" w:rsidP="00AA2A4C">
            <w:pPr>
              <w:pStyle w:val="TAL"/>
              <w:rPr>
                <w:lang w:eastAsia="en-US"/>
              </w:rPr>
            </w:pPr>
            <w:r w:rsidRPr="004D0DAA">
              <w:rPr>
                <w:lang w:eastAsia="en-US"/>
              </w:rPr>
              <w:tab/>
            </w:r>
            <w:r w:rsidRPr="004D0DAA">
              <w:rPr>
                <w:lang w:eastAsia="en-US"/>
              </w:rPr>
              <w:tab/>
              <w:t xml:space="preserve">{ 1 &lt; </w:t>
            </w:r>
            <w:r w:rsidRPr="004D0DAA">
              <w:rPr>
                <w:b/>
                <w:bCs/>
                <w:lang w:eastAsia="en-US"/>
              </w:rPr>
              <w:t>Downlink Assignment</w:t>
            </w:r>
            <w:r w:rsidRPr="004D0DAA">
              <w:rPr>
                <w:lang w:eastAsia="en-US"/>
              </w:rPr>
              <w:t xml:space="preserve"> : &lt; Downlink Assignment struct &gt; &gt; } ** 0 } ;</w:t>
            </w:r>
          </w:p>
          <w:p w14:paraId="51F4008B" w14:textId="77777777" w:rsidR="00711444" w:rsidRPr="004D0DAA" w:rsidRDefault="00711444" w:rsidP="00AA2A4C">
            <w:pPr>
              <w:pStyle w:val="TAL"/>
              <w:rPr>
                <w:lang w:eastAsia="en-US"/>
              </w:rPr>
            </w:pPr>
          </w:p>
        </w:tc>
      </w:tr>
      <w:tr w:rsidR="00711444" w:rsidRPr="004D0DAA" w14:paraId="3DE8DC79" w14:textId="77777777" w:rsidTr="00AA2A4C">
        <w:tblPrEx>
          <w:tblCellMar>
            <w:top w:w="0" w:type="dxa"/>
            <w:bottom w:w="0" w:type="dxa"/>
          </w:tblCellMar>
        </w:tblPrEx>
        <w:trPr>
          <w:cantSplit/>
        </w:trPr>
        <w:tc>
          <w:tcPr>
            <w:tcW w:w="9848" w:type="dxa"/>
          </w:tcPr>
          <w:p w14:paraId="73DD5DFB" w14:textId="77777777" w:rsidR="00711444" w:rsidRPr="004D0DAA" w:rsidRDefault="00711444" w:rsidP="00AA2A4C">
            <w:pPr>
              <w:pStyle w:val="TAL"/>
              <w:rPr>
                <w:lang w:eastAsia="en-US"/>
              </w:rPr>
            </w:pPr>
            <w:r w:rsidRPr="004D0DAA">
              <w:rPr>
                <w:lang w:eastAsia="en-US"/>
              </w:rPr>
              <w:t>&lt; EGPRS mode struct &gt; ::=</w:t>
            </w:r>
          </w:p>
          <w:p w14:paraId="0E6B4978" w14:textId="77777777" w:rsidR="00711444" w:rsidRPr="004D0DAA" w:rsidRDefault="00711444" w:rsidP="00AA2A4C">
            <w:pPr>
              <w:pStyle w:val="TAL"/>
              <w:rPr>
                <w:lang w:eastAsia="en-US"/>
              </w:rPr>
            </w:pPr>
            <w:r w:rsidRPr="004D0DAA">
              <w:rPr>
                <w:lang w:eastAsia="en-US"/>
              </w:rPr>
              <w:tab/>
              <w:t>-- Uplink TBFs</w:t>
            </w:r>
          </w:p>
          <w:p w14:paraId="44EE27A2" w14:textId="77777777" w:rsidR="00711444" w:rsidRPr="004D0DAA" w:rsidRDefault="00711444" w:rsidP="00AA2A4C">
            <w:pPr>
              <w:pStyle w:val="TAL"/>
              <w:rPr>
                <w:lang w:eastAsia="en-US"/>
              </w:rPr>
            </w:pPr>
            <w:r w:rsidRPr="004D0DAA">
              <w:rPr>
                <w:lang w:eastAsia="en-US"/>
              </w:rPr>
              <w:tab/>
              <w:t>{</w:t>
            </w: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7F733DAD"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03120F2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BEP_PERIOD2</w:t>
            </w:r>
            <w:r w:rsidRPr="004D0DAA">
              <w:rPr>
                <w:lang w:eastAsia="en-US"/>
              </w:rPr>
              <w:t xml:space="preserve"> : bit(4) &gt; }</w:t>
            </w:r>
          </w:p>
          <w:p w14:paraId="66DC4E5E"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Global Timeslot description</w:t>
            </w:r>
            <w:r w:rsidRPr="004D0DAA">
              <w:rPr>
                <w:lang w:eastAsia="en-US"/>
              </w:rPr>
              <w:t xml:space="preserve"> : &lt; Timeslot description struct &gt; &gt;</w:t>
            </w:r>
          </w:p>
          <w:p w14:paraId="2CB7480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Uplink Assignment</w:t>
            </w:r>
            <w:r w:rsidRPr="004D0DAA">
              <w:rPr>
                <w:lang w:eastAsia="en-US"/>
              </w:rPr>
              <w:t xml:space="preserve"> : &lt; Uplink TBF Assignment struct &gt; &gt; } ** 0 } }</w:t>
            </w:r>
          </w:p>
          <w:p w14:paraId="0E528019" w14:textId="77777777" w:rsidR="00711444" w:rsidRPr="004D0DAA" w:rsidRDefault="00711444" w:rsidP="00AA2A4C">
            <w:pPr>
              <w:pStyle w:val="TAL"/>
              <w:rPr>
                <w:lang w:eastAsia="en-US"/>
              </w:rPr>
            </w:pPr>
            <w:r w:rsidRPr="004D0DAA">
              <w:rPr>
                <w:lang w:eastAsia="en-US"/>
              </w:rPr>
              <w:tab/>
              <w:t>-- Downlink TBFs</w:t>
            </w:r>
          </w:p>
          <w:p w14:paraId="0E08ECDE" w14:textId="77777777" w:rsidR="00711444" w:rsidRPr="004D0DAA" w:rsidRDefault="00711444" w:rsidP="00AA2A4C">
            <w:pPr>
              <w:pStyle w:val="TAL"/>
              <w:rPr>
                <w:lang w:eastAsia="en-US"/>
              </w:rPr>
            </w:pPr>
            <w:r w:rsidRPr="004D0DAA">
              <w:rPr>
                <w:lang w:eastAsia="en-US"/>
              </w:rPr>
              <w:tab/>
              <w:t>{ 0 | 1</w:t>
            </w:r>
          </w:p>
          <w:p w14:paraId="0773B374"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 0 | 1 &lt; </w:t>
            </w:r>
            <w:r w:rsidRPr="004D0DAA">
              <w:rPr>
                <w:b/>
                <w:lang w:eastAsia="en-US"/>
              </w:rPr>
              <w:t>EGPRS Window Size</w:t>
            </w:r>
            <w:r w:rsidRPr="004D0DAA">
              <w:rPr>
                <w:lang w:eastAsia="en-US"/>
              </w:rPr>
              <w:t> : &lt; EGPRS Window Size IE &gt; &gt; }</w:t>
            </w:r>
          </w:p>
          <w:p w14:paraId="7CB822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3F0EE0F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 }</w:t>
            </w:r>
          </w:p>
          <w:p w14:paraId="38D9EE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Downlink Assignment</w:t>
            </w:r>
            <w:r w:rsidRPr="004D0DAA">
              <w:rPr>
                <w:lang w:eastAsia="en-US"/>
              </w:rPr>
              <w:t xml:space="preserve"> : &lt; Downlink Assignment struct &gt; &gt; } ** 0 } ;</w:t>
            </w:r>
          </w:p>
          <w:p w14:paraId="1B9BAA81" w14:textId="77777777" w:rsidR="00711444" w:rsidRPr="004D0DAA" w:rsidRDefault="00711444" w:rsidP="00AA2A4C">
            <w:pPr>
              <w:pStyle w:val="TAL"/>
              <w:rPr>
                <w:lang w:eastAsia="en-US"/>
              </w:rPr>
            </w:pPr>
            <w:r w:rsidRPr="004D0DAA">
              <w:rPr>
                <w:lang w:eastAsia="en-US"/>
              </w:rPr>
              <w:t xml:space="preserve"> </w:t>
            </w:r>
          </w:p>
        </w:tc>
      </w:tr>
      <w:tr w:rsidR="00711444" w:rsidRPr="004D0DAA" w14:paraId="46836DAE" w14:textId="77777777" w:rsidTr="00AA2A4C">
        <w:tblPrEx>
          <w:tblCellMar>
            <w:top w:w="0" w:type="dxa"/>
            <w:bottom w:w="0" w:type="dxa"/>
          </w:tblCellMar>
        </w:tblPrEx>
        <w:trPr>
          <w:cantSplit/>
        </w:trPr>
        <w:tc>
          <w:tcPr>
            <w:tcW w:w="9848" w:type="dxa"/>
          </w:tcPr>
          <w:p w14:paraId="295EDDFB" w14:textId="77777777" w:rsidR="00711444" w:rsidRPr="004D0DAA" w:rsidRDefault="00711444" w:rsidP="00AA2A4C">
            <w:pPr>
              <w:pStyle w:val="TAL"/>
              <w:rPr>
                <w:lang w:eastAsia="en-US"/>
              </w:rPr>
            </w:pPr>
            <w:r w:rsidRPr="004D0DAA">
              <w:rPr>
                <w:lang w:eastAsia="en-US"/>
              </w:rPr>
              <w:lastRenderedPageBreak/>
              <w:t>&lt;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Recursive for multiple TBFs</w:t>
            </w:r>
          </w:p>
          <w:p w14:paraId="3776BFB9" w14:textId="77777777" w:rsidR="00711444" w:rsidRPr="004D0DAA" w:rsidRDefault="00711444" w:rsidP="00AA2A4C">
            <w:pPr>
              <w:pStyle w:val="TAL"/>
              <w:rPr>
                <w:strike/>
                <w:lang w:val="fr-FR" w:eastAsia="en-US"/>
              </w:rPr>
            </w:pPr>
            <w:r w:rsidRPr="004D0DAA">
              <w:rPr>
                <w:lang w:eastAsia="en-US"/>
              </w:rPr>
              <w:tab/>
            </w:r>
            <w:r w:rsidRPr="004D0DAA">
              <w:rPr>
                <w:lang w:val="fr-FR" w:eastAsia="en-US"/>
              </w:rPr>
              <w:t xml:space="preserve">{ 0 | 1 &lt; </w:t>
            </w:r>
            <w:r w:rsidRPr="004D0DAA">
              <w:rPr>
                <w:b/>
                <w:bCs/>
                <w:lang w:val="fr-FR" w:eastAsia="en-US"/>
              </w:rPr>
              <w:t>PFI</w:t>
            </w:r>
            <w:r w:rsidRPr="004D0DAA">
              <w:rPr>
                <w:lang w:val="fr-FR" w:eastAsia="en-US"/>
              </w:rPr>
              <w:t xml:space="preserve"> : bit (7) &gt; }</w:t>
            </w:r>
            <w:r w:rsidRPr="004D0DAA">
              <w:rPr>
                <w:strike/>
                <w:lang w:val="fr-FR" w:eastAsia="en-US"/>
              </w:rPr>
              <w:t xml:space="preserve"> </w:t>
            </w:r>
          </w:p>
          <w:p w14:paraId="61A5F85E"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37361806"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TFI Assignment</w:t>
            </w:r>
            <w:r w:rsidRPr="004D0DAA">
              <w:rPr>
                <w:lang w:eastAsia="en-US"/>
              </w:rPr>
              <w:t xml:space="preserve"> : bit (5) &gt;</w:t>
            </w:r>
          </w:p>
          <w:p w14:paraId="31446AE8"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CHANNEL_CODING_COMMAND</w:t>
            </w:r>
            <w:r w:rsidRPr="004D0DAA">
              <w:rPr>
                <w:lang w:eastAsia="en-US"/>
              </w:rPr>
              <w:t xml:space="preserve"> : bit (2) &gt; }</w:t>
            </w:r>
          </w:p>
          <w:p w14:paraId="28C6201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53CB16E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313BA83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USF_GRANULARITY </w:t>
            </w:r>
            <w:r w:rsidRPr="004D0DAA">
              <w:rPr>
                <w:lang w:eastAsia="en-US"/>
              </w:rPr>
              <w:t>: bit (1) &gt;</w:t>
            </w:r>
          </w:p>
          <w:p w14:paraId="58B11434"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timeslots assigned to the TBF are all the timeslots assigned</w:t>
            </w:r>
          </w:p>
          <w:p w14:paraId="1C610102"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the Global Timeslot description</w:t>
            </w:r>
          </w:p>
          <w:p w14:paraId="507075B4"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&lt; </w:t>
            </w:r>
            <w:r w:rsidRPr="004D0DAA">
              <w:rPr>
                <w:b/>
                <w:bCs/>
                <w:lang w:eastAsia="en-US"/>
              </w:rPr>
              <w:t>TBF_TIMESLOT_ALLOCATION</w:t>
            </w:r>
            <w:r w:rsidRPr="004D0DAA">
              <w:rPr>
                <w:lang w:eastAsia="en-US"/>
              </w:rPr>
              <w:t xml:space="preserve"> : bit (N) &gt; }</w:t>
            </w:r>
            <w:r w:rsidRPr="004D0DAA">
              <w:rPr>
                <w:lang w:eastAsia="en-US"/>
              </w:rPr>
              <w:tab/>
              <w:t xml:space="preserve">-- </w:t>
            </w:r>
            <w:r w:rsidRPr="004D0DAA">
              <w:rPr>
                <w:i/>
                <w:iCs/>
                <w:lang w:eastAsia="en-US"/>
              </w:rPr>
              <w:t>The timeslots assigned to the TBF are a subset of all the</w:t>
            </w:r>
          </w:p>
          <w:p w14:paraId="05605B4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timeslots assigned in the Global Timeslot description. Where</w:t>
            </w:r>
          </w:p>
          <w:p w14:paraId="5C9A60F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N is the number of timeslots assigned to the MS in the Global </w:t>
            </w:r>
          </w:p>
          <w:p w14:paraId="29861FE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w:t>
            </w:r>
            <w:r w:rsidRPr="004D0DAA">
              <w:rPr>
                <w:i/>
                <w:iCs/>
                <w:u w:val="single"/>
                <w:lang w:eastAsia="en-US"/>
              </w:rPr>
              <w:t xml:space="preserve"> </w:t>
            </w:r>
            <w:r w:rsidRPr="004D0DAA">
              <w:rPr>
                <w:i/>
                <w:iCs/>
                <w:lang w:eastAsia="en-US"/>
              </w:rPr>
              <w:t>description</w:t>
            </w:r>
          </w:p>
          <w:p w14:paraId="19836BD1"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t xml:space="preserve">&lt; </w:t>
            </w:r>
            <w:r w:rsidRPr="004D0DAA">
              <w:rPr>
                <w:b/>
                <w:bCs/>
                <w:lang w:eastAsia="en-US"/>
              </w:rPr>
              <w:t>USF_ALLOCATION</w:t>
            </w:r>
            <w:r w:rsidRPr="004D0DAA">
              <w:rPr>
                <w:lang w:eastAsia="en-US"/>
              </w:rPr>
              <w:t xml:space="preserve"> : bit (3) &gt;</w:t>
            </w:r>
            <w:r w:rsidRPr="004D0DAA">
              <w:rPr>
                <w:lang w:eastAsia="en-US"/>
              </w:rPr>
              <w:tab/>
            </w:r>
            <w:r w:rsidRPr="004D0DAA">
              <w:rPr>
                <w:lang w:eastAsia="en-US"/>
              </w:rPr>
              <w:tab/>
            </w:r>
            <w:r w:rsidRPr="004D0DAA">
              <w:rPr>
                <w:lang w:eastAsia="en-US"/>
              </w:rPr>
              <w:tab/>
              <w:t xml:space="preserve">-- </w:t>
            </w:r>
            <w:r w:rsidRPr="004D0DAA">
              <w:rPr>
                <w:i/>
                <w:iCs/>
                <w:lang w:eastAsia="en-US"/>
              </w:rPr>
              <w:t>The same USF is valid on all timeslots assigned to the TBF</w:t>
            </w:r>
          </w:p>
          <w:p w14:paraId="61CBE48D"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Different USF(s) assigned</w:t>
            </w:r>
          </w:p>
          <w:p w14:paraId="660BD4D4"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USF_ALLOCATION </w:t>
            </w:r>
            <w:r w:rsidRPr="004D0DAA">
              <w:rPr>
                <w:lang w:eastAsia="en-US"/>
              </w:rPr>
              <w:t>: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assignment on the lowest numbered timeslot</w:t>
            </w:r>
          </w:p>
          <w:p w14:paraId="6EF0C086"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assigned to the TBF</w:t>
            </w:r>
          </w:p>
          <w:p w14:paraId="2516CA05"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USF_ALLOCATION</w:t>
            </w:r>
            <w:r w:rsidRPr="004D0DAA">
              <w:rPr>
                <w:lang w:eastAsia="en-US"/>
              </w:rPr>
              <w:t xml:space="preserve"> : bit (3) &gt; } * (M-1) } ;</w:t>
            </w:r>
            <w:r w:rsidRPr="004D0DAA">
              <w:rPr>
                <w:lang w:eastAsia="en-US"/>
              </w:rPr>
              <w:tab/>
              <w:t xml:space="preserve">-- </w:t>
            </w:r>
            <w:r w:rsidRPr="004D0DAA">
              <w:rPr>
                <w:i/>
                <w:iCs/>
                <w:lang w:eastAsia="en-US"/>
              </w:rPr>
              <w:t>USFs on subsequent timeslots assigned to the TBF:</w:t>
            </w:r>
          </w:p>
          <w:p w14:paraId="7650E6AC"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A ‘0’ (respectively a ‘1’ followed by a USF value) </w:t>
            </w:r>
          </w:p>
          <w:p w14:paraId="18AE51EB"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means same (respectively different) USF value as the</w:t>
            </w:r>
          </w:p>
          <w:p w14:paraId="72895A8B"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on the next lower numbered timeslot assigned to</w:t>
            </w:r>
          </w:p>
          <w:p w14:paraId="1A636CD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TBF.</w:t>
            </w:r>
            <w:r w:rsidRPr="004D0DAA">
              <w:rPr>
                <w:lang w:eastAsia="en-US"/>
              </w:rPr>
              <w:t xml:space="preserve"> </w:t>
            </w:r>
            <w:r w:rsidRPr="004D0DAA">
              <w:rPr>
                <w:i/>
                <w:iCs/>
                <w:lang w:eastAsia="en-US"/>
              </w:rPr>
              <w:t>Where M is the amount of timeslots assigned</w:t>
            </w:r>
          </w:p>
          <w:p w14:paraId="73539F77"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to the TBF in the TBF_TIMESLOT_ALLOCATION if </w:t>
            </w:r>
          </w:p>
          <w:p w14:paraId="6A1981E1"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present, else in the Global</w:t>
            </w:r>
            <w:r w:rsidRPr="004D0DAA">
              <w:rPr>
                <w:lang w:eastAsia="en-US"/>
              </w:rPr>
              <w:t xml:space="preserve"> </w:t>
            </w:r>
            <w:r w:rsidRPr="004D0DAA">
              <w:rPr>
                <w:i/>
                <w:iCs/>
                <w:lang w:eastAsia="en-US"/>
              </w:rPr>
              <w:t>Timeslot</w:t>
            </w:r>
            <w:r w:rsidRPr="004D0DAA">
              <w:rPr>
                <w:lang w:eastAsia="en-US"/>
              </w:rPr>
              <w:t xml:space="preserve"> </w:t>
            </w:r>
            <w:r w:rsidRPr="004D0DAA">
              <w:rPr>
                <w:i/>
                <w:iCs/>
                <w:lang w:eastAsia="en-US"/>
              </w:rPr>
              <w:t>description.</w:t>
            </w:r>
          </w:p>
          <w:p w14:paraId="6F987312" w14:textId="77777777" w:rsidR="00711444" w:rsidRPr="004D0DAA" w:rsidRDefault="00711444" w:rsidP="00AA2A4C">
            <w:pPr>
              <w:pStyle w:val="TAL"/>
              <w:rPr>
                <w:lang w:eastAsia="en-US"/>
              </w:rPr>
            </w:pPr>
          </w:p>
        </w:tc>
      </w:tr>
      <w:tr w:rsidR="00711444" w:rsidRPr="004D0DAA" w14:paraId="3493ACA7" w14:textId="77777777" w:rsidTr="00AA2A4C">
        <w:tblPrEx>
          <w:tblCellMar>
            <w:top w:w="0" w:type="dxa"/>
            <w:bottom w:w="0" w:type="dxa"/>
          </w:tblCellMar>
        </w:tblPrEx>
        <w:trPr>
          <w:cantSplit/>
        </w:trPr>
        <w:tc>
          <w:tcPr>
            <w:tcW w:w="9848" w:type="dxa"/>
          </w:tcPr>
          <w:p w14:paraId="3B1374AB" w14:textId="77777777" w:rsidR="00711444" w:rsidRPr="004D0DAA" w:rsidRDefault="00711444" w:rsidP="00AA2A4C">
            <w:pPr>
              <w:pStyle w:val="TAL"/>
              <w:rPr>
                <w:lang w:eastAsia="en-US"/>
              </w:rPr>
            </w:pPr>
            <w:r w:rsidRPr="004D0DAA">
              <w:rPr>
                <w:lang w:eastAsia="en-US"/>
              </w:rPr>
              <w:t xml:space="preserve">&lt; Downlink Assignment struct &gt; ::= </w:t>
            </w:r>
            <w:r w:rsidRPr="004D0DAA">
              <w:rPr>
                <w:lang w:eastAsia="en-US"/>
              </w:rPr>
              <w:tab/>
            </w:r>
            <w:r w:rsidRPr="004D0DAA">
              <w:rPr>
                <w:lang w:eastAsia="en-US"/>
              </w:rPr>
              <w:tab/>
              <w:t xml:space="preserve"> -- </w:t>
            </w:r>
            <w:r w:rsidRPr="004D0DAA">
              <w:rPr>
                <w:i/>
                <w:iCs/>
                <w:lang w:eastAsia="en-US"/>
              </w:rPr>
              <w:t>Recursive for multiple TBFs</w:t>
            </w:r>
          </w:p>
          <w:p w14:paraId="746F90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TIMESLOT_ALLOCATION </w:t>
            </w:r>
            <w:r w:rsidRPr="004D0DAA">
              <w:rPr>
                <w:lang w:eastAsia="en-US"/>
              </w:rPr>
              <w:t>: bit (8) &gt;</w:t>
            </w:r>
          </w:p>
          <w:p w14:paraId="77036F72" w14:textId="77777777" w:rsidR="00711444" w:rsidRPr="004D0DAA" w:rsidRDefault="00711444" w:rsidP="00AA2A4C">
            <w:pPr>
              <w:pStyle w:val="TAL"/>
              <w:rPr>
                <w:lang w:eastAsia="en-US"/>
              </w:rPr>
            </w:pPr>
            <w:r w:rsidRPr="004D0DAA">
              <w:rPr>
                <w:lang w:eastAsia="en-US"/>
              </w:rPr>
              <w:tab/>
              <w:t>{ &lt; Downlink TBF assignment : &lt; Downlink TBF assignment struct &gt; &gt; } ;</w:t>
            </w:r>
          </w:p>
          <w:p w14:paraId="59D752E3" w14:textId="77777777" w:rsidR="00711444" w:rsidRPr="004D0DAA" w:rsidRDefault="00711444" w:rsidP="00AA2A4C">
            <w:pPr>
              <w:pStyle w:val="TAL"/>
              <w:rPr>
                <w:lang w:eastAsia="en-US"/>
              </w:rPr>
            </w:pPr>
          </w:p>
        </w:tc>
      </w:tr>
      <w:tr w:rsidR="00711444" w:rsidRPr="004D0DAA" w14:paraId="0F137DC2" w14:textId="77777777" w:rsidTr="00AA2A4C">
        <w:tblPrEx>
          <w:tblCellMar>
            <w:top w:w="0" w:type="dxa"/>
            <w:bottom w:w="0" w:type="dxa"/>
          </w:tblCellMar>
        </w:tblPrEx>
        <w:trPr>
          <w:cantSplit/>
        </w:trPr>
        <w:tc>
          <w:tcPr>
            <w:tcW w:w="9848" w:type="dxa"/>
          </w:tcPr>
          <w:p w14:paraId="20534282" w14:textId="77777777" w:rsidR="00711444" w:rsidRPr="004D0DAA" w:rsidRDefault="00711444" w:rsidP="00AA2A4C">
            <w:pPr>
              <w:pStyle w:val="TAL"/>
              <w:rPr>
                <w:lang w:eastAsia="en-US"/>
              </w:rPr>
            </w:pPr>
            <w:r w:rsidRPr="004D0DAA">
              <w:rPr>
                <w:lang w:eastAsia="en-US"/>
              </w:rPr>
              <w:t>&lt; Downlink TBF assignment struct &gt; :: =</w:t>
            </w:r>
          </w:p>
          <w:p w14:paraId="352B45C7" w14:textId="77777777" w:rsidR="00711444" w:rsidRPr="004D0DAA" w:rsidRDefault="00711444" w:rsidP="00AA2A4C">
            <w:pPr>
              <w:pStyle w:val="TAL"/>
              <w:rPr>
                <w:lang w:eastAsia="en-US"/>
              </w:rPr>
            </w:pPr>
            <w:r w:rsidRPr="004D0DAA">
              <w:rPr>
                <w:lang w:eastAsia="en-US"/>
              </w:rPr>
              <w:t xml:space="preserve">{ 0 | 1 &lt; </w:t>
            </w:r>
            <w:r w:rsidRPr="004D0DAA">
              <w:rPr>
                <w:b/>
                <w:bCs/>
                <w:lang w:eastAsia="en-US"/>
              </w:rPr>
              <w:t>PFI</w:t>
            </w:r>
            <w:r w:rsidRPr="004D0DAA">
              <w:rPr>
                <w:lang w:eastAsia="en-US"/>
              </w:rPr>
              <w:t xml:space="preserve"> : bit (7) &gt; }</w:t>
            </w:r>
            <w:r w:rsidRPr="004D0DAA">
              <w:rPr>
                <w:lang w:eastAsia="en-US"/>
              </w:rPr>
              <w:tab/>
            </w:r>
          </w:p>
          <w:p w14:paraId="5820A0E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 </w:t>
            </w:r>
          </w:p>
          <w:p w14:paraId="76C8E3C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13D735C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423760D2" w14:textId="77777777" w:rsidR="00711444" w:rsidRPr="004D0DAA" w:rsidRDefault="00711444" w:rsidP="00AA2A4C">
            <w:pPr>
              <w:pStyle w:val="TAL"/>
              <w:rPr>
                <w:i/>
                <w:lang w:eastAsia="en-US"/>
              </w:rPr>
            </w:pPr>
            <w:r w:rsidRPr="004D0DAA">
              <w:rPr>
                <w:lang w:eastAsia="en-US"/>
              </w:rPr>
              <w:tab/>
              <w:t xml:space="preserve">{ 0 | 1 &lt; </w:t>
            </w:r>
            <w:r w:rsidRPr="004D0DAA">
              <w:rPr>
                <w:b/>
                <w:lang w:eastAsia="en-US"/>
              </w:rPr>
              <w:t>EGPRS Window Size</w:t>
            </w:r>
            <w:r w:rsidRPr="004D0DAA">
              <w:rPr>
                <w:lang w:eastAsia="en-US"/>
              </w:rPr>
              <w:t> : &lt; EGPRS Window Size IE &gt; &gt; } ;</w:t>
            </w:r>
          </w:p>
          <w:p w14:paraId="618A3B58" w14:textId="77777777" w:rsidR="00711444" w:rsidRPr="004D0DAA" w:rsidRDefault="00711444" w:rsidP="00AA2A4C">
            <w:pPr>
              <w:pStyle w:val="TAL"/>
              <w:rPr>
                <w:iCs/>
                <w:lang w:eastAsia="en-US"/>
              </w:rPr>
            </w:pPr>
          </w:p>
        </w:tc>
      </w:tr>
      <w:tr w:rsidR="00711444" w:rsidRPr="004D0DAA" w14:paraId="50DF6B2D" w14:textId="77777777" w:rsidTr="00AA2A4C">
        <w:tblPrEx>
          <w:tblCellMar>
            <w:top w:w="0" w:type="dxa"/>
            <w:bottom w:w="0" w:type="dxa"/>
          </w:tblCellMar>
        </w:tblPrEx>
        <w:trPr>
          <w:cantSplit/>
        </w:trPr>
        <w:tc>
          <w:tcPr>
            <w:tcW w:w="9848" w:type="dxa"/>
          </w:tcPr>
          <w:p w14:paraId="79CC2655" w14:textId="77777777" w:rsidR="00711444" w:rsidRPr="004D0DAA" w:rsidRDefault="00711444" w:rsidP="00AA2A4C">
            <w:pPr>
              <w:pStyle w:val="TAL"/>
              <w:rPr>
                <w:lang w:eastAsia="en-US"/>
              </w:rPr>
            </w:pPr>
            <w:r w:rsidRPr="004D0DAA">
              <w:rPr>
                <w:lang w:eastAsia="en-US"/>
              </w:rPr>
              <w:t>&lt; Timeslot description struct &gt; ::=</w:t>
            </w:r>
          </w:p>
          <w:p w14:paraId="27E78730"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7839FD19"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w:t>
            </w:r>
            <w:r w:rsidRPr="004D0DAA">
              <w:rPr>
                <w:lang w:eastAsia="en-US"/>
              </w:rPr>
              <w:t xml:space="preserve"> : bit (8) &gt;</w:t>
            </w:r>
          </w:p>
          <w:p w14:paraId="63AF9EEB"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power control params</w:t>
            </w:r>
          </w:p>
          <w:p w14:paraId="63707A81"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w:t>
            </w:r>
            <w:r w:rsidRPr="004D0DAA">
              <w:rPr>
                <w:lang w:eastAsia="en-US"/>
              </w:rPr>
              <w:t xml:space="preserve"> : bit (4) &gt;</w:t>
            </w:r>
            <w:r w:rsidRPr="004D0DAA">
              <w:rPr>
                <w:lang w:eastAsia="en-US"/>
              </w:rPr>
              <w:tab/>
            </w:r>
            <w:r w:rsidRPr="004D0DAA">
              <w:rPr>
                <w:lang w:eastAsia="en-US"/>
              </w:rPr>
              <w:tab/>
            </w:r>
          </w:p>
          <w:p w14:paraId="6D189E9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w:t>
            </w:r>
            <w:r w:rsidRPr="004D0DAA">
              <w:rPr>
                <w:lang w:eastAsia="en-US"/>
              </w:rPr>
              <w:t xml:space="preserve"> : bit (5) &gt; } </w:t>
            </w:r>
          </w:p>
          <w:p w14:paraId="6489377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w:t>
            </w:r>
            <w:r w:rsidRPr="004D0DAA">
              <w:rPr>
                <w:lang w:eastAsia="en-US"/>
              </w:rPr>
              <w:t xml:space="preserve"> : bit (5) &gt; }</w:t>
            </w:r>
          </w:p>
          <w:p w14:paraId="7F2188A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w:t>
            </w:r>
            <w:r w:rsidRPr="004D0DAA">
              <w:rPr>
                <w:lang w:eastAsia="en-US"/>
              </w:rPr>
              <w:t xml:space="preserve"> : bit (5) &gt; }</w:t>
            </w:r>
          </w:p>
          <w:p w14:paraId="44843FE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w:t>
            </w:r>
            <w:r w:rsidRPr="004D0DAA">
              <w:rPr>
                <w:lang w:eastAsia="en-US"/>
              </w:rPr>
              <w:t xml:space="preserve"> : bit (5) &gt; }</w:t>
            </w:r>
          </w:p>
          <w:p w14:paraId="2093E3C6"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w:t>
            </w:r>
            <w:r w:rsidRPr="004D0DAA">
              <w:rPr>
                <w:lang w:eastAsia="en-US"/>
              </w:rPr>
              <w:t xml:space="preserve"> : bit (5) &gt; }</w:t>
            </w:r>
          </w:p>
          <w:p w14:paraId="6495E38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w:t>
            </w:r>
            <w:r w:rsidRPr="004D0DAA">
              <w:rPr>
                <w:lang w:eastAsia="en-US"/>
              </w:rPr>
              <w:t xml:space="preserve"> : bit (5) &gt; }</w:t>
            </w:r>
          </w:p>
          <w:p w14:paraId="65462ED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w:t>
            </w:r>
            <w:r w:rsidRPr="004D0DAA">
              <w:rPr>
                <w:lang w:eastAsia="en-US"/>
              </w:rPr>
              <w:t xml:space="preserve"> : bit (5) &gt; }</w:t>
            </w:r>
          </w:p>
          <w:p w14:paraId="507F0F65"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w:t>
            </w:r>
            <w:r w:rsidRPr="004D0DAA">
              <w:rPr>
                <w:lang w:eastAsia="en-US"/>
              </w:rPr>
              <w:t xml:space="preserve"> : bit (5) &gt; } } ;</w:t>
            </w:r>
          </w:p>
          <w:p w14:paraId="357E7F1E" w14:textId="77777777" w:rsidR="00711444" w:rsidRPr="004D0DAA" w:rsidRDefault="00711444" w:rsidP="00AA2A4C">
            <w:pPr>
              <w:pStyle w:val="TAL"/>
              <w:rPr>
                <w:lang w:eastAsia="en-US"/>
              </w:rPr>
            </w:pPr>
          </w:p>
        </w:tc>
      </w:tr>
    </w:tbl>
    <w:p w14:paraId="261F8FEA" w14:textId="77777777" w:rsidR="00711444" w:rsidRPr="004D0DAA" w:rsidRDefault="00711444" w:rsidP="00711444"/>
    <w:p w14:paraId="23E0D36F" w14:textId="77777777" w:rsidR="00711444" w:rsidRPr="004D0DAA" w:rsidRDefault="00711444" w:rsidP="00711444">
      <w:pPr>
        <w:pStyle w:val="TH"/>
      </w:pPr>
      <w:r w:rsidRPr="004D0DAA">
        <w:t>Table 12.42.2: PS Handover Radio Resources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6D77273" w14:textId="77777777" w:rsidTr="00AA2A4C">
        <w:tblPrEx>
          <w:tblCellMar>
            <w:top w:w="0" w:type="dxa"/>
            <w:bottom w:w="0" w:type="dxa"/>
          </w:tblCellMar>
        </w:tblPrEx>
        <w:trPr>
          <w:cantSplit/>
        </w:trPr>
        <w:tc>
          <w:tcPr>
            <w:tcW w:w="9848" w:type="dxa"/>
          </w:tcPr>
          <w:p w14:paraId="031C117C" w14:textId="77777777" w:rsidR="00711444" w:rsidRPr="004D0DAA" w:rsidRDefault="00711444" w:rsidP="00AA2A4C">
            <w:pPr>
              <w:rPr>
                <w:b/>
              </w:rPr>
            </w:pPr>
            <w:r w:rsidRPr="004D0DAA">
              <w:rPr>
                <w:b/>
                <w:bCs/>
              </w:rPr>
              <w:t>Handover Reference</w:t>
            </w:r>
            <w:r w:rsidRPr="004D0DAA">
              <w:t xml:space="preserve"> (8 bit field)</w:t>
            </w:r>
            <w:r w:rsidRPr="004D0DAA">
              <w:br/>
              <w:t>This field contains the reference value to be used when performing PS Handover. The field is encoded as the contents of the Handover Reference information element as defined in 3GPP TS 44.018.</w:t>
            </w:r>
          </w:p>
        </w:tc>
      </w:tr>
      <w:tr w:rsidR="00711444" w:rsidRPr="004D0DAA" w14:paraId="4A76E292" w14:textId="77777777" w:rsidTr="00AA2A4C">
        <w:tblPrEx>
          <w:tblCellMar>
            <w:top w:w="0" w:type="dxa"/>
            <w:bottom w:w="0" w:type="dxa"/>
          </w:tblCellMar>
        </w:tblPrEx>
        <w:trPr>
          <w:cantSplit/>
        </w:trPr>
        <w:tc>
          <w:tcPr>
            <w:tcW w:w="9848" w:type="dxa"/>
          </w:tcPr>
          <w:p w14:paraId="724E8CA7" w14:textId="77777777" w:rsidR="00711444" w:rsidRPr="004D0DAA" w:rsidRDefault="00711444" w:rsidP="00AA2A4C">
            <w:pPr>
              <w:rPr>
                <w:b/>
              </w:rPr>
            </w:pPr>
            <w:r w:rsidRPr="004D0DAA">
              <w:rPr>
                <w:b/>
                <w:bCs/>
              </w:rPr>
              <w:lastRenderedPageBreak/>
              <w:t>SI</w:t>
            </w:r>
            <w:r w:rsidRPr="004D0DAA">
              <w:t xml:space="preserve"> (2 bit field)</w:t>
            </w:r>
            <w:r w:rsidRPr="004D0DAA">
              <w:br/>
              <w:t>The Synchronization Indication (SI) field indicates which type of PS Handover is to be performed.</w:t>
            </w:r>
            <w:r w:rsidRPr="004D0DAA">
              <w:br/>
            </w:r>
            <w:r w:rsidRPr="004D0DAA">
              <w:br/>
              <w:t>Bit</w:t>
            </w:r>
            <w:r w:rsidRPr="004D0DAA">
              <w:br/>
              <w:t>2 1</w:t>
            </w:r>
            <w:r w:rsidRPr="004D0DAA">
              <w:br/>
              <w:t>0 0</w:t>
            </w:r>
            <w:r w:rsidRPr="004D0DAA">
              <w:tab/>
              <w:t>Non-synchronized</w:t>
            </w:r>
            <w:r w:rsidRPr="004D0DAA">
              <w:br/>
              <w:t>0 1</w:t>
            </w:r>
            <w:r w:rsidRPr="004D0DAA">
              <w:tab/>
              <w:t>Synchronized</w:t>
            </w:r>
            <w:r w:rsidRPr="004D0DAA">
              <w:br/>
              <w:t>1 0</w:t>
            </w:r>
            <w:r w:rsidRPr="004D0DAA">
              <w:tab/>
              <w:t>Pre-synchronised</w:t>
            </w:r>
            <w:r w:rsidRPr="004D0DAA">
              <w:br/>
              <w:t>1 1</w:t>
            </w:r>
            <w:r w:rsidRPr="004D0DAA">
              <w:tab/>
              <w:t>reserved</w:t>
            </w:r>
          </w:p>
        </w:tc>
      </w:tr>
      <w:tr w:rsidR="00711444" w:rsidRPr="004D0DAA" w14:paraId="78F58945" w14:textId="77777777" w:rsidTr="00AA2A4C">
        <w:tblPrEx>
          <w:tblCellMar>
            <w:top w:w="0" w:type="dxa"/>
            <w:bottom w:w="0" w:type="dxa"/>
          </w:tblCellMar>
        </w:tblPrEx>
        <w:trPr>
          <w:cantSplit/>
        </w:trPr>
        <w:tc>
          <w:tcPr>
            <w:tcW w:w="9848" w:type="dxa"/>
          </w:tcPr>
          <w:p w14:paraId="4DDED746" w14:textId="77777777" w:rsidR="00711444" w:rsidRPr="004D0DAA" w:rsidRDefault="00711444" w:rsidP="00AA2A4C">
            <w:pPr>
              <w:rPr>
                <w:b/>
              </w:rPr>
            </w:pPr>
            <w:r w:rsidRPr="004D0DAA">
              <w:rPr>
                <w:b/>
                <w:bCs/>
              </w:rPr>
              <w:t>NCI</w:t>
            </w:r>
            <w:r w:rsidRPr="004D0DAA">
              <w:t xml:space="preserve"> (1 bit field)</w:t>
            </w:r>
            <w:r w:rsidRPr="004D0DAA">
              <w:br/>
              <w:t xml:space="preserve">The Normal Cell Indication (NCI) field indicates how the MS shall behave in case of out of range timing advance values. </w:t>
            </w:r>
            <w:r w:rsidRPr="004D0DAA">
              <w:br/>
            </w:r>
            <w:r w:rsidRPr="004D0DAA">
              <w:br/>
              <w:t>Bit</w:t>
            </w:r>
            <w:r w:rsidRPr="004D0DAA">
              <w:br/>
              <w:t>1</w:t>
            </w:r>
            <w:r w:rsidRPr="004D0DAA">
              <w:br/>
              <w:t>0</w:t>
            </w:r>
            <w:r w:rsidRPr="004D0DAA">
              <w:tab/>
              <w:t>Out of range timing advance is ignored</w:t>
            </w:r>
            <w:r w:rsidRPr="004D0DAA">
              <w:br/>
              <w:t>1</w:t>
            </w:r>
            <w:r w:rsidRPr="004D0DAA">
              <w:tab/>
              <w:t>Out of range timing advance shall trigger a handover failure procedure.</w:t>
            </w:r>
          </w:p>
        </w:tc>
      </w:tr>
      <w:tr w:rsidR="00711444" w:rsidRPr="004D0DAA" w14:paraId="65FBEC12" w14:textId="77777777" w:rsidTr="00AA2A4C">
        <w:tblPrEx>
          <w:tblCellMar>
            <w:top w:w="0" w:type="dxa"/>
            <w:bottom w:w="0" w:type="dxa"/>
          </w:tblCellMar>
        </w:tblPrEx>
        <w:trPr>
          <w:cantSplit/>
        </w:trPr>
        <w:tc>
          <w:tcPr>
            <w:tcW w:w="9848" w:type="dxa"/>
          </w:tcPr>
          <w:p w14:paraId="7EA00B08" w14:textId="77777777" w:rsidR="00711444" w:rsidRPr="004D0DAA" w:rsidRDefault="00711444" w:rsidP="00AA2A4C">
            <w:r w:rsidRPr="004D0DAA">
              <w:rPr>
                <w:b/>
              </w:rPr>
              <w:t>ARFCN</w:t>
            </w:r>
            <w:r w:rsidRPr="004D0DAA">
              <w:t xml:space="preserve"> (10 bit field)</w:t>
            </w:r>
          </w:p>
          <w:p w14:paraId="5CD4328F" w14:textId="77777777" w:rsidR="00711444" w:rsidRPr="004D0DAA" w:rsidRDefault="00711444" w:rsidP="00AA2A4C">
            <w:r w:rsidRPr="004D0DAA">
              <w:t>This field contains the BCCH frequency of the new cell. This field is encoded as the ARFCN defined in 3GPP TS 44.018.</w:t>
            </w:r>
          </w:p>
          <w:p w14:paraId="53A46D24" w14:textId="77777777" w:rsidR="00711444" w:rsidRPr="004D0DAA" w:rsidRDefault="00711444" w:rsidP="00AA2A4C">
            <w:r w:rsidRPr="004D0DAA">
              <w:t>Range: 0 to 1023.</w:t>
            </w:r>
          </w:p>
        </w:tc>
      </w:tr>
      <w:tr w:rsidR="00711444" w:rsidRPr="004D0DAA" w14:paraId="664BD7F9" w14:textId="77777777" w:rsidTr="00AA2A4C">
        <w:tblPrEx>
          <w:tblCellMar>
            <w:top w:w="0" w:type="dxa"/>
            <w:bottom w:w="0" w:type="dxa"/>
          </w:tblCellMar>
        </w:tblPrEx>
        <w:trPr>
          <w:cantSplit/>
        </w:trPr>
        <w:tc>
          <w:tcPr>
            <w:tcW w:w="9848" w:type="dxa"/>
          </w:tcPr>
          <w:p w14:paraId="0C9C6142" w14:textId="77777777" w:rsidR="00711444" w:rsidRPr="004D0DAA" w:rsidRDefault="00711444" w:rsidP="00AA2A4C">
            <w:pPr>
              <w:rPr>
                <w:b/>
              </w:rPr>
            </w:pPr>
            <w:r w:rsidRPr="004D0DAA">
              <w:rPr>
                <w:b/>
              </w:rPr>
              <w:t>BSIC</w:t>
            </w:r>
            <w:r w:rsidRPr="004D0DAA">
              <w:t xml:space="preserve"> (6 bit field)</w:t>
            </w:r>
            <w:r w:rsidRPr="004D0DAA">
              <w:br/>
              <w:t>This field contains the BSIC of the new cell. The BSIC field is coded as the "Base Station Identity Code" defined in 3GPP TS 23.003.</w:t>
            </w:r>
          </w:p>
        </w:tc>
      </w:tr>
      <w:tr w:rsidR="00711444" w:rsidRPr="004D0DAA" w14:paraId="28B170D1" w14:textId="77777777" w:rsidTr="00AA2A4C">
        <w:tblPrEx>
          <w:tblCellMar>
            <w:top w:w="0" w:type="dxa"/>
            <w:bottom w:w="0" w:type="dxa"/>
          </w:tblCellMar>
        </w:tblPrEx>
        <w:trPr>
          <w:cantSplit/>
        </w:trPr>
        <w:tc>
          <w:tcPr>
            <w:tcW w:w="9848" w:type="dxa"/>
          </w:tcPr>
          <w:p w14:paraId="06A951BD" w14:textId="77777777" w:rsidR="00711444" w:rsidRPr="004D0DAA" w:rsidRDefault="00711444" w:rsidP="00AA2A4C">
            <w:pPr>
              <w:rPr>
                <w:b/>
              </w:rPr>
            </w:pPr>
            <w:r w:rsidRPr="004D0DAA">
              <w:rPr>
                <w:b/>
              </w:rPr>
              <w:t xml:space="preserve">CCN_ACTIVE </w:t>
            </w:r>
            <w:r w:rsidRPr="004D0DAA">
              <w:t>(1 bit field)</w:t>
            </w:r>
            <w:r w:rsidRPr="004D0DAA">
              <w:br/>
              <w:t>For description and encoding, see the Packet Cell Change Order message.</w:t>
            </w:r>
          </w:p>
        </w:tc>
      </w:tr>
      <w:tr w:rsidR="00711444" w:rsidRPr="004D0DAA" w14:paraId="06BEF7BF" w14:textId="77777777" w:rsidTr="00AA2A4C">
        <w:tblPrEx>
          <w:tblCellMar>
            <w:top w:w="0" w:type="dxa"/>
            <w:bottom w:w="0" w:type="dxa"/>
          </w:tblCellMar>
        </w:tblPrEx>
        <w:trPr>
          <w:cantSplit/>
        </w:trPr>
        <w:tc>
          <w:tcPr>
            <w:tcW w:w="9848" w:type="dxa"/>
          </w:tcPr>
          <w:p w14:paraId="3A41BB65" w14:textId="77777777" w:rsidR="00711444" w:rsidRPr="004D0DAA" w:rsidRDefault="00711444" w:rsidP="00AA2A4C">
            <w:pPr>
              <w:rPr>
                <w:b/>
              </w:rPr>
            </w:pPr>
            <w:r w:rsidRPr="004D0DAA">
              <w:rPr>
                <w:b/>
              </w:rPr>
              <w:t xml:space="preserve">3G_CCN_ACTIVE </w:t>
            </w:r>
            <w:r w:rsidRPr="004D0DAA">
              <w:t>(1 bit field)</w:t>
            </w:r>
            <w:r w:rsidRPr="004D0DAA">
              <w:br/>
              <w:t>For description and encoding, see the Packet Cell Change Order message.</w:t>
            </w:r>
          </w:p>
        </w:tc>
      </w:tr>
      <w:tr w:rsidR="00711444" w:rsidRPr="004D0DAA" w14:paraId="3A99264F" w14:textId="77777777" w:rsidTr="00AA2A4C">
        <w:tblPrEx>
          <w:tblCellMar>
            <w:top w:w="0" w:type="dxa"/>
            <w:bottom w:w="0" w:type="dxa"/>
          </w:tblCellMar>
        </w:tblPrEx>
        <w:trPr>
          <w:cantSplit/>
        </w:trPr>
        <w:tc>
          <w:tcPr>
            <w:tcW w:w="9848" w:type="dxa"/>
          </w:tcPr>
          <w:p w14:paraId="67331CFF" w14:textId="77777777" w:rsidR="00711444" w:rsidRPr="004D0DAA" w:rsidRDefault="00711444" w:rsidP="00AA2A4C">
            <w:pPr>
              <w:spacing w:after="0"/>
            </w:pPr>
            <w:r w:rsidRPr="004D0DAA">
              <w:rPr>
                <w:b/>
                <w:i/>
              </w:rPr>
              <w:t>CCN Support Description</w:t>
            </w:r>
            <w:r w:rsidRPr="004D0DAA">
              <w:rPr>
                <w:b/>
              </w:rPr>
              <w:t xml:space="preserve"> </w:t>
            </w:r>
            <w:r w:rsidRPr="004D0DAA">
              <w:br/>
            </w:r>
            <w:r w:rsidRPr="004D0DAA">
              <w:br/>
            </w:r>
            <w:r w:rsidRPr="004D0DAA">
              <w:rPr>
                <w:b/>
              </w:rPr>
              <w:t>CCN_SUPPORTED</w:t>
            </w:r>
            <w:r w:rsidRPr="004D0DAA">
              <w:t xml:space="preserve"> (1 bit field)</w:t>
            </w:r>
          </w:p>
          <w:p w14:paraId="2EEC4ED6" w14:textId="77777777" w:rsidR="00711444" w:rsidRPr="004D0DAA" w:rsidRDefault="00711444" w:rsidP="00AA2A4C">
            <w:pPr>
              <w:rPr>
                <w:b/>
              </w:rPr>
            </w:pPr>
            <w:r w:rsidRPr="004D0DAA">
              <w:t>For description and encoding, see the Packet Cell Change Order message.</w:t>
            </w:r>
          </w:p>
        </w:tc>
      </w:tr>
      <w:tr w:rsidR="00711444" w:rsidRPr="004D0DAA" w14:paraId="08A07BAA" w14:textId="77777777" w:rsidTr="00AA2A4C">
        <w:tblPrEx>
          <w:tblCellMar>
            <w:top w:w="0" w:type="dxa"/>
            <w:bottom w:w="0" w:type="dxa"/>
          </w:tblCellMar>
        </w:tblPrEx>
        <w:trPr>
          <w:cantSplit/>
        </w:trPr>
        <w:tc>
          <w:tcPr>
            <w:tcW w:w="9848" w:type="dxa"/>
          </w:tcPr>
          <w:p w14:paraId="205F71E1" w14:textId="77777777" w:rsidR="00711444" w:rsidRPr="004D0DAA" w:rsidRDefault="00711444" w:rsidP="00AA2A4C">
            <w:pPr>
              <w:rPr>
                <w:b/>
              </w:rPr>
            </w:pPr>
            <w:r w:rsidRPr="004D0DAA">
              <w:rPr>
                <w:b/>
              </w:rPr>
              <w:t>Frequency Parameters</w:t>
            </w:r>
            <w:r w:rsidRPr="004D0DAA">
              <w:br/>
              <w:t>This information element is defined in sub-clause 12.8.</w:t>
            </w:r>
          </w:p>
        </w:tc>
      </w:tr>
      <w:tr w:rsidR="00711444" w:rsidRPr="004D0DAA" w14:paraId="29439208" w14:textId="77777777" w:rsidTr="00AA2A4C">
        <w:tblPrEx>
          <w:tblCellMar>
            <w:top w:w="0" w:type="dxa"/>
            <w:bottom w:w="0" w:type="dxa"/>
          </w:tblCellMar>
        </w:tblPrEx>
        <w:trPr>
          <w:cantSplit/>
        </w:trPr>
        <w:tc>
          <w:tcPr>
            <w:tcW w:w="9848" w:type="dxa"/>
          </w:tcPr>
          <w:p w14:paraId="0FB4E1B5" w14:textId="77777777" w:rsidR="00711444" w:rsidRPr="004D0DAA" w:rsidRDefault="00711444" w:rsidP="00AA2A4C">
            <w:pPr>
              <w:rPr>
                <w:b/>
              </w:rPr>
            </w:pPr>
            <w:r w:rsidRPr="004D0DAA">
              <w:rPr>
                <w:b/>
              </w:rPr>
              <w:t>EXTENDED_DYNAMIC_ALLOCATION</w:t>
            </w:r>
            <w:r w:rsidRPr="004D0DAA">
              <w:t xml:space="preserve"> (1 bit field)</w:t>
            </w:r>
            <w:r w:rsidRPr="004D0DAA">
              <w:br/>
              <w:t>For description and encoding, see the Multiple TBF Uplink Assignment message.</w:t>
            </w:r>
          </w:p>
        </w:tc>
      </w:tr>
      <w:tr w:rsidR="00711444" w:rsidRPr="004D0DAA" w14:paraId="36FB4793" w14:textId="77777777" w:rsidTr="00AA2A4C">
        <w:tblPrEx>
          <w:tblCellMar>
            <w:top w:w="0" w:type="dxa"/>
            <w:bottom w:w="0" w:type="dxa"/>
          </w:tblCellMar>
        </w:tblPrEx>
        <w:trPr>
          <w:cantSplit/>
        </w:trPr>
        <w:tc>
          <w:tcPr>
            <w:tcW w:w="9848" w:type="dxa"/>
          </w:tcPr>
          <w:p w14:paraId="2045F601" w14:textId="77777777" w:rsidR="00711444" w:rsidRPr="004D0DAA" w:rsidRDefault="00711444" w:rsidP="00AA2A4C">
            <w:pPr>
              <w:rPr>
                <w:b/>
              </w:rPr>
            </w:pPr>
            <w:r w:rsidRPr="004D0DAA">
              <w:rPr>
                <w:b/>
              </w:rPr>
              <w:t>NETWORK_CONTROL_ORDER</w:t>
            </w:r>
            <w:r w:rsidRPr="004D0DAA">
              <w:t xml:space="preserve"> (2 bit field)</w:t>
            </w:r>
            <w:r w:rsidRPr="004D0DAA">
              <w:br/>
              <w:t>For description and encoding, see the Packet Measurement Order message.</w:t>
            </w:r>
          </w:p>
        </w:tc>
      </w:tr>
      <w:tr w:rsidR="00711444" w:rsidRPr="004D0DAA" w14:paraId="4B78FCB9" w14:textId="77777777" w:rsidTr="00AA2A4C">
        <w:tblPrEx>
          <w:tblCellMar>
            <w:top w:w="0" w:type="dxa"/>
            <w:bottom w:w="0" w:type="dxa"/>
          </w:tblCellMar>
        </w:tblPrEx>
        <w:trPr>
          <w:cantSplit/>
        </w:trPr>
        <w:tc>
          <w:tcPr>
            <w:tcW w:w="9848" w:type="dxa"/>
          </w:tcPr>
          <w:p w14:paraId="60F5A99E" w14:textId="77777777" w:rsidR="00711444" w:rsidRPr="004D0DAA" w:rsidRDefault="00711444" w:rsidP="00AA2A4C">
            <w:pPr>
              <w:rPr>
                <w:b/>
                <w:bCs/>
              </w:rPr>
            </w:pPr>
            <w:r w:rsidRPr="004D0DAA">
              <w:rPr>
                <w:b/>
              </w:rPr>
              <w:t>P0</w:t>
            </w:r>
            <w:r w:rsidRPr="004D0DAA">
              <w:t xml:space="preserve"> (4 bit field)</w:t>
            </w:r>
            <w:r w:rsidRPr="004D0DAA">
              <w:br/>
              <w:t>For description and encoding, see the Multiple TBF Uplink Assignment message.</w:t>
            </w:r>
          </w:p>
        </w:tc>
      </w:tr>
      <w:tr w:rsidR="00711444" w:rsidRPr="004D0DAA" w14:paraId="153511B8" w14:textId="77777777" w:rsidTr="00AA2A4C">
        <w:tblPrEx>
          <w:tblCellMar>
            <w:top w:w="0" w:type="dxa"/>
            <w:bottom w:w="0" w:type="dxa"/>
          </w:tblCellMar>
        </w:tblPrEx>
        <w:trPr>
          <w:cantSplit/>
        </w:trPr>
        <w:tc>
          <w:tcPr>
            <w:tcW w:w="9848" w:type="dxa"/>
          </w:tcPr>
          <w:p w14:paraId="7B841561" w14:textId="77777777" w:rsidR="00711444" w:rsidRPr="004D0DAA" w:rsidRDefault="00711444" w:rsidP="00AA2A4C">
            <w:pPr>
              <w:rPr>
                <w:b/>
              </w:rPr>
            </w:pPr>
            <w:r w:rsidRPr="004D0DAA">
              <w:rPr>
                <w:b/>
              </w:rPr>
              <w:t>PR_MODE</w:t>
            </w:r>
            <w:r w:rsidRPr="004D0DAA">
              <w:t xml:space="preserve"> (1 bit field)</w:t>
            </w:r>
            <w:r w:rsidRPr="004D0DAA">
              <w:br/>
              <w:t>For description and encoding, see the Multiple TBF Uplink Assignment message.</w:t>
            </w:r>
          </w:p>
        </w:tc>
      </w:tr>
      <w:tr w:rsidR="00711444" w:rsidRPr="004D0DAA" w14:paraId="7575AC8C" w14:textId="77777777" w:rsidTr="00AA2A4C">
        <w:tblPrEx>
          <w:tblCellMar>
            <w:top w:w="0" w:type="dxa"/>
            <w:bottom w:w="0" w:type="dxa"/>
          </w:tblCellMar>
        </w:tblPrEx>
        <w:trPr>
          <w:cantSplit/>
        </w:trPr>
        <w:tc>
          <w:tcPr>
            <w:tcW w:w="9848" w:type="dxa"/>
          </w:tcPr>
          <w:p w14:paraId="2FF56D7A" w14:textId="77777777" w:rsidR="00711444" w:rsidRPr="004D0DAA" w:rsidRDefault="00711444" w:rsidP="00AA2A4C">
            <w:pPr>
              <w:rPr>
                <w:b/>
              </w:rPr>
            </w:pPr>
            <w:r w:rsidRPr="004D0DAA">
              <w:rPr>
                <w:b/>
              </w:rPr>
              <w:t>Global Packet Timing Advance</w:t>
            </w:r>
            <w:r w:rsidRPr="004D0DAA">
              <w:br/>
              <w:t>This information element is defined in sub-clause 12.12a</w:t>
            </w:r>
          </w:p>
        </w:tc>
      </w:tr>
      <w:tr w:rsidR="00711444" w:rsidRPr="004D0DAA" w14:paraId="18E85A14" w14:textId="77777777" w:rsidTr="00AA2A4C">
        <w:tblPrEx>
          <w:tblCellMar>
            <w:top w:w="0" w:type="dxa"/>
            <w:bottom w:w="0" w:type="dxa"/>
          </w:tblCellMar>
        </w:tblPrEx>
        <w:trPr>
          <w:cantSplit/>
        </w:trPr>
        <w:tc>
          <w:tcPr>
            <w:tcW w:w="9848" w:type="dxa"/>
          </w:tcPr>
          <w:p w14:paraId="3E695EC9" w14:textId="77777777" w:rsidR="00711444" w:rsidRPr="004D0DAA" w:rsidRDefault="00711444" w:rsidP="00AA2A4C">
            <w:pPr>
              <w:spacing w:after="0"/>
            </w:pPr>
            <w:r w:rsidRPr="004D0DAA">
              <w:rPr>
                <w:b/>
                <w:bCs/>
              </w:rPr>
              <w:lastRenderedPageBreak/>
              <w:t xml:space="preserve">RLC_RESET </w:t>
            </w:r>
            <w:r w:rsidRPr="004D0DAA">
              <w:t xml:space="preserve">(1 bit field) </w:t>
            </w:r>
          </w:p>
          <w:p w14:paraId="6B661C75" w14:textId="77777777" w:rsidR="00711444" w:rsidRPr="004D0DAA" w:rsidRDefault="00711444" w:rsidP="00AA2A4C">
            <w:pPr>
              <w:pStyle w:val="FP"/>
              <w:ind w:hanging="3"/>
            </w:pPr>
            <w:r w:rsidRPr="004D0DAA">
              <w:t xml:space="preserve">This information element indicates whether or not all RLC entities used to support the given TBFs in the old cell shall be reset to support the TBFs allocated for the corresponding PFCs in the new cell: </w:t>
            </w:r>
          </w:p>
          <w:p w14:paraId="475EB3BB" w14:textId="77777777" w:rsidR="00711444" w:rsidRPr="004D0DAA" w:rsidRDefault="00711444" w:rsidP="00AA2A4C">
            <w:pPr>
              <w:pStyle w:val="FP"/>
              <w:ind w:left="993" w:hanging="993"/>
            </w:pPr>
          </w:p>
          <w:p w14:paraId="1721F742" w14:textId="77777777" w:rsidR="00711444" w:rsidRPr="004D0DAA" w:rsidRDefault="00711444" w:rsidP="00AA2A4C">
            <w:pPr>
              <w:pStyle w:val="FP"/>
            </w:pPr>
            <w:r w:rsidRPr="004D0DAA">
              <w:t>0</w:t>
            </w:r>
            <w:r w:rsidRPr="004D0DAA">
              <w:tab/>
              <w:t>RLC is not reset (the RLC state machines are maintained across PS handover)</w:t>
            </w:r>
          </w:p>
          <w:p w14:paraId="0D176F27" w14:textId="77777777" w:rsidR="00711444" w:rsidRPr="004D0DAA" w:rsidRDefault="00711444" w:rsidP="00AA2A4C">
            <w:r w:rsidRPr="004D0DAA">
              <w:t>1</w:t>
            </w:r>
            <w:r w:rsidRPr="004D0DAA">
              <w:tab/>
              <w:t xml:space="preserve">RLC is reset (the RLC state machines are not maintained across PS handover) </w:t>
            </w:r>
          </w:p>
          <w:p w14:paraId="570FEC48" w14:textId="77777777" w:rsidR="00711444" w:rsidRPr="004D0DAA" w:rsidRDefault="00711444" w:rsidP="00AA2A4C">
            <w:pPr>
              <w:rPr>
                <w:b/>
              </w:rPr>
            </w:pPr>
            <w:r w:rsidRPr="004D0DAA">
              <w:t>If this field is set to '1', then after successful completion of the PS Handover procedure, the mobile shall consider all TBFs which were ongoing when the PS Handover Command message was received to have been implicitly released.</w:t>
            </w:r>
          </w:p>
        </w:tc>
      </w:tr>
      <w:tr w:rsidR="00711444" w:rsidRPr="004D0DAA" w14:paraId="05AD81BB" w14:textId="77777777" w:rsidTr="00AA2A4C">
        <w:tblPrEx>
          <w:tblCellMar>
            <w:top w:w="0" w:type="dxa"/>
            <w:bottom w:w="0" w:type="dxa"/>
          </w:tblCellMar>
        </w:tblPrEx>
        <w:trPr>
          <w:cantSplit/>
        </w:trPr>
        <w:tc>
          <w:tcPr>
            <w:tcW w:w="9848" w:type="dxa"/>
          </w:tcPr>
          <w:p w14:paraId="24D47587" w14:textId="77777777" w:rsidR="00711444" w:rsidRPr="004D0DAA" w:rsidRDefault="00711444" w:rsidP="00AA2A4C">
            <w:pPr>
              <w:rPr>
                <w:b/>
              </w:rPr>
            </w:pPr>
            <w:r w:rsidRPr="004D0DAA">
              <w:rPr>
                <w:b/>
              </w:rPr>
              <w:t>Packet Extended Timing Advance</w:t>
            </w:r>
            <w:r w:rsidRPr="004D0DAA">
              <w:t xml:space="preserve"> (2 bit field)</w:t>
            </w:r>
            <w:r w:rsidRPr="004D0DAA">
              <w:rPr>
                <w:b/>
              </w:rPr>
              <w:t xml:space="preserve"> </w:t>
            </w:r>
            <w:r w:rsidRPr="004D0DAA">
              <w:rPr>
                <w:b/>
              </w:rPr>
              <w:br/>
            </w:r>
            <w:r w:rsidRPr="004D0DAA">
              <w:t>This field is defined in sub-clause 12.12b.</w:t>
            </w:r>
          </w:p>
        </w:tc>
      </w:tr>
      <w:tr w:rsidR="00711444" w:rsidRPr="004D0DAA" w14:paraId="39BF7279" w14:textId="77777777" w:rsidTr="00AA2A4C">
        <w:tblPrEx>
          <w:tblCellMar>
            <w:top w:w="0" w:type="dxa"/>
            <w:bottom w:w="0" w:type="dxa"/>
          </w:tblCellMar>
        </w:tblPrEx>
        <w:trPr>
          <w:cantSplit/>
        </w:trPr>
        <w:tc>
          <w:tcPr>
            <w:tcW w:w="9848" w:type="dxa"/>
          </w:tcPr>
          <w:p w14:paraId="6C56938F" w14:textId="77777777" w:rsidR="00711444" w:rsidRPr="004D0DAA" w:rsidRDefault="00711444" w:rsidP="00AA2A4C">
            <w:pPr>
              <w:spacing w:after="0"/>
              <w:rPr>
                <w:bCs/>
              </w:rPr>
            </w:pPr>
            <w:r w:rsidRPr="004D0DAA">
              <w:rPr>
                <w:b/>
              </w:rPr>
              <w:t xml:space="preserve">Uplink Control Timeslot </w:t>
            </w:r>
            <w:r w:rsidRPr="004D0DAA">
              <w:rPr>
                <w:bCs/>
              </w:rPr>
              <w:t>(3 bit field)</w:t>
            </w:r>
          </w:p>
          <w:p w14:paraId="5067D0BB" w14:textId="77777777" w:rsidR="00711444" w:rsidRPr="004D0DAA" w:rsidRDefault="00711444" w:rsidP="00AA2A4C">
            <w:pPr>
              <w:rPr>
                <w:b/>
              </w:rPr>
            </w:pPr>
            <w:r w:rsidRPr="004D0DAA">
              <w:t>For description and encoding, see the Multiple TBF Uplink Assignment message.</w:t>
            </w:r>
          </w:p>
        </w:tc>
      </w:tr>
      <w:tr w:rsidR="00711444" w:rsidRPr="004D0DAA" w14:paraId="47496166" w14:textId="77777777" w:rsidTr="00AA2A4C">
        <w:tblPrEx>
          <w:tblCellMar>
            <w:top w:w="0" w:type="dxa"/>
            <w:bottom w:w="0" w:type="dxa"/>
          </w:tblCellMar>
        </w:tblPrEx>
        <w:trPr>
          <w:cantSplit/>
        </w:trPr>
        <w:tc>
          <w:tcPr>
            <w:tcW w:w="9848" w:type="dxa"/>
          </w:tcPr>
          <w:p w14:paraId="00974BF3" w14:textId="77777777" w:rsidR="00711444" w:rsidRPr="004D0DAA" w:rsidRDefault="00711444" w:rsidP="00AA2A4C">
            <w:pPr>
              <w:rPr>
                <w:b/>
              </w:rPr>
            </w:pPr>
            <w:r w:rsidRPr="004D0DAA">
              <w:rPr>
                <w:b/>
              </w:rPr>
              <w:t>CHANNEL_CODING_COMMAND</w:t>
            </w:r>
            <w:r w:rsidRPr="004D0DAA">
              <w:t xml:space="preserve"> (2 bit field)</w:t>
            </w:r>
            <w:r w:rsidRPr="004D0DAA">
              <w:br/>
              <w:t>For description and encoding, see the Multiple TBF Uplink Assignment message.</w:t>
            </w:r>
          </w:p>
        </w:tc>
      </w:tr>
      <w:tr w:rsidR="00711444" w:rsidRPr="004D0DAA" w14:paraId="25F58E19" w14:textId="77777777" w:rsidTr="00AA2A4C">
        <w:tblPrEx>
          <w:tblCellMar>
            <w:top w:w="0" w:type="dxa"/>
            <w:bottom w:w="0" w:type="dxa"/>
          </w:tblCellMar>
        </w:tblPrEx>
        <w:trPr>
          <w:cantSplit/>
        </w:trPr>
        <w:tc>
          <w:tcPr>
            <w:tcW w:w="9848" w:type="dxa"/>
          </w:tcPr>
          <w:p w14:paraId="652A61C4" w14:textId="77777777" w:rsidR="00711444" w:rsidRPr="004D0DAA" w:rsidRDefault="00711444" w:rsidP="00AA2A4C">
            <w:pPr>
              <w:rPr>
                <w:b/>
              </w:rPr>
            </w:pPr>
            <w:r w:rsidRPr="004D0DAA">
              <w:rPr>
                <w:b/>
              </w:rPr>
              <w:t>EGPRS Window Size</w:t>
            </w:r>
            <w:r w:rsidRPr="004D0DAA">
              <w:br/>
              <w:t>This information element is defined in sub-clause 12.5.2.</w:t>
            </w:r>
          </w:p>
        </w:tc>
      </w:tr>
      <w:tr w:rsidR="00711444" w:rsidRPr="004D0DAA" w14:paraId="49F2B2E7" w14:textId="77777777" w:rsidTr="00AA2A4C">
        <w:tblPrEx>
          <w:tblCellMar>
            <w:top w:w="0" w:type="dxa"/>
            <w:bottom w:w="0" w:type="dxa"/>
          </w:tblCellMar>
        </w:tblPrEx>
        <w:trPr>
          <w:cantSplit/>
        </w:trPr>
        <w:tc>
          <w:tcPr>
            <w:tcW w:w="9848" w:type="dxa"/>
          </w:tcPr>
          <w:p w14:paraId="58590C27" w14:textId="77777777" w:rsidR="00711444" w:rsidRPr="004D0DAA" w:rsidRDefault="00711444" w:rsidP="00AA2A4C">
            <w:pPr>
              <w:spacing w:after="0"/>
              <w:rPr>
                <w:b/>
                <w:bCs/>
              </w:rPr>
            </w:pPr>
            <w:r w:rsidRPr="004D0DAA">
              <w:rPr>
                <w:b/>
                <w:bCs/>
              </w:rPr>
              <w:t>EGPRS Modulation and Coding Scheme</w:t>
            </w:r>
          </w:p>
          <w:p w14:paraId="6B342169" w14:textId="77777777" w:rsidR="00711444" w:rsidRPr="004D0DAA" w:rsidRDefault="00711444" w:rsidP="00AA2A4C">
            <w:pPr>
              <w:rPr>
                <w:b/>
              </w:rPr>
            </w:pPr>
            <w:r w:rsidRPr="004D0DAA">
              <w:t>For description and encoding, see the Multiple TBF Uplink Assignment message.</w:t>
            </w:r>
          </w:p>
        </w:tc>
      </w:tr>
      <w:tr w:rsidR="00711444" w:rsidRPr="004D0DAA" w14:paraId="13011608" w14:textId="77777777" w:rsidTr="00AA2A4C">
        <w:tblPrEx>
          <w:tblCellMar>
            <w:top w:w="0" w:type="dxa"/>
            <w:bottom w:w="0" w:type="dxa"/>
          </w:tblCellMar>
        </w:tblPrEx>
        <w:trPr>
          <w:cantSplit/>
        </w:trPr>
        <w:tc>
          <w:tcPr>
            <w:tcW w:w="9848" w:type="dxa"/>
          </w:tcPr>
          <w:p w14:paraId="7EC62833" w14:textId="77777777" w:rsidR="00711444" w:rsidRPr="004D0DAA" w:rsidRDefault="00711444" w:rsidP="00AA2A4C">
            <w:pPr>
              <w:rPr>
                <w:b/>
              </w:rPr>
            </w:pPr>
            <w:r w:rsidRPr="004D0DAA">
              <w:rPr>
                <w:b/>
              </w:rPr>
              <w:t>BEP_PERIOD2</w:t>
            </w:r>
            <w:r w:rsidRPr="004D0DAA">
              <w:t xml:space="preserve"> (4 bit field)</w:t>
            </w:r>
            <w:r w:rsidRPr="004D0DAA">
              <w:br/>
              <w:t>For description and encoding, see the Multiple TBF Uplink Assignment message.</w:t>
            </w:r>
          </w:p>
        </w:tc>
      </w:tr>
      <w:tr w:rsidR="00711444" w:rsidRPr="004D0DAA" w14:paraId="41CA278F" w14:textId="77777777" w:rsidTr="00AA2A4C">
        <w:tblPrEx>
          <w:tblCellMar>
            <w:top w:w="0" w:type="dxa"/>
            <w:bottom w:w="0" w:type="dxa"/>
          </w:tblCellMar>
        </w:tblPrEx>
        <w:trPr>
          <w:cantSplit/>
        </w:trPr>
        <w:tc>
          <w:tcPr>
            <w:tcW w:w="9848" w:type="dxa"/>
          </w:tcPr>
          <w:p w14:paraId="2BB6DACB" w14:textId="77777777" w:rsidR="00711444" w:rsidRPr="004D0DAA" w:rsidRDefault="00711444" w:rsidP="00AA2A4C">
            <w:pPr>
              <w:spacing w:after="0"/>
            </w:pPr>
            <w:r w:rsidRPr="004D0DAA">
              <w:rPr>
                <w:b/>
              </w:rPr>
              <w:t>LINK_QUALITY_MEASUREMENT_MODE</w:t>
            </w:r>
            <w:r w:rsidRPr="004D0DAA">
              <w:t xml:space="preserve"> (2 bit field)</w:t>
            </w:r>
          </w:p>
          <w:p w14:paraId="20F465D4" w14:textId="77777777" w:rsidR="00711444" w:rsidRPr="004D0DAA" w:rsidRDefault="00711444" w:rsidP="00AA2A4C">
            <w:pPr>
              <w:spacing w:after="0"/>
              <w:ind w:left="432" w:hanging="432"/>
            </w:pPr>
            <w:r w:rsidRPr="004D0DAA">
              <w:t>For description and encoding, see the Multiple TBF Downlink Assignment message.</w:t>
            </w:r>
          </w:p>
          <w:p w14:paraId="5AF345D0" w14:textId="77777777" w:rsidR="00711444" w:rsidRPr="004D0DAA" w:rsidRDefault="00711444" w:rsidP="00AA2A4C">
            <w:pPr>
              <w:spacing w:after="0"/>
              <w:ind w:left="432" w:hanging="432"/>
              <w:rPr>
                <w:b/>
              </w:rPr>
            </w:pPr>
          </w:p>
        </w:tc>
      </w:tr>
      <w:tr w:rsidR="00711444" w:rsidRPr="004D0DAA" w14:paraId="3EC8E20C" w14:textId="77777777" w:rsidTr="00AA2A4C">
        <w:tblPrEx>
          <w:tblCellMar>
            <w:top w:w="0" w:type="dxa"/>
            <w:bottom w:w="0" w:type="dxa"/>
          </w:tblCellMar>
        </w:tblPrEx>
        <w:trPr>
          <w:cantSplit/>
        </w:trPr>
        <w:tc>
          <w:tcPr>
            <w:tcW w:w="9848" w:type="dxa"/>
          </w:tcPr>
          <w:p w14:paraId="035C817A" w14:textId="77777777" w:rsidR="00711444" w:rsidRPr="004D0DAA" w:rsidRDefault="00711444" w:rsidP="00AA2A4C">
            <w:pPr>
              <w:spacing w:after="0"/>
              <w:rPr>
                <w:b/>
              </w:rPr>
            </w:pPr>
            <w:r w:rsidRPr="004D0DAA">
              <w:rPr>
                <w:b/>
              </w:rPr>
              <w:t xml:space="preserve">PFI </w:t>
            </w:r>
            <w:r w:rsidRPr="004D0DAA">
              <w:rPr>
                <w:bCs/>
              </w:rPr>
              <w:t>(7 bit field)</w:t>
            </w:r>
          </w:p>
          <w:p w14:paraId="0EDFE7B6" w14:textId="77777777" w:rsidR="00711444" w:rsidRPr="004D0DAA" w:rsidRDefault="00711444" w:rsidP="00AA2A4C">
            <w:pPr>
              <w:spacing w:after="0"/>
              <w:rPr>
                <w:b/>
              </w:rPr>
            </w:pPr>
            <w:r w:rsidRPr="004D0DAA">
              <w:t>This field shall only be included for TBFs if both the network and the mobile station support multiple TBFs. This field contains the PFI parameter identifying a Packet Flow Context. The PFI parameter is encoded as the contents of the PFI information element as defined in 3GPP TS 44.01</w:t>
            </w:r>
          </w:p>
        </w:tc>
      </w:tr>
      <w:tr w:rsidR="00711444" w:rsidRPr="004D0DAA" w14:paraId="1BD5CBAD" w14:textId="77777777" w:rsidTr="00AA2A4C">
        <w:tblPrEx>
          <w:tblCellMar>
            <w:top w:w="0" w:type="dxa"/>
            <w:bottom w:w="0" w:type="dxa"/>
          </w:tblCellMar>
        </w:tblPrEx>
        <w:trPr>
          <w:cantSplit/>
        </w:trPr>
        <w:tc>
          <w:tcPr>
            <w:tcW w:w="9848" w:type="dxa"/>
          </w:tcPr>
          <w:p w14:paraId="3B94B14A" w14:textId="77777777" w:rsidR="00711444" w:rsidRPr="004D0DAA" w:rsidRDefault="00711444" w:rsidP="00AA2A4C">
            <w:pPr>
              <w:spacing w:after="0"/>
            </w:pPr>
            <w:r w:rsidRPr="004D0DAA">
              <w:rPr>
                <w:b/>
              </w:rPr>
              <w:t xml:space="preserve">TFI Assignment </w:t>
            </w:r>
            <w:r w:rsidRPr="004D0DAA">
              <w:t>(5 bit field)</w:t>
            </w:r>
            <w:r w:rsidRPr="004D0DAA">
              <w:br/>
              <w:t>For description and encoding, see the Multiple TBF Uplink Assignment message.</w:t>
            </w:r>
          </w:p>
          <w:p w14:paraId="52622FEF" w14:textId="77777777" w:rsidR="00711444" w:rsidRPr="004D0DAA" w:rsidRDefault="00711444" w:rsidP="00AA2A4C">
            <w:pPr>
              <w:spacing w:after="0"/>
              <w:rPr>
                <w:b/>
              </w:rPr>
            </w:pPr>
          </w:p>
        </w:tc>
      </w:tr>
      <w:tr w:rsidR="00711444" w:rsidRPr="004D0DAA" w14:paraId="116355D7" w14:textId="77777777" w:rsidTr="00AA2A4C">
        <w:tblPrEx>
          <w:tblCellMar>
            <w:top w:w="0" w:type="dxa"/>
            <w:bottom w:w="0" w:type="dxa"/>
          </w:tblCellMar>
        </w:tblPrEx>
        <w:trPr>
          <w:cantSplit/>
        </w:trPr>
        <w:tc>
          <w:tcPr>
            <w:tcW w:w="9848" w:type="dxa"/>
          </w:tcPr>
          <w:p w14:paraId="73F37C3E" w14:textId="77777777" w:rsidR="00711444" w:rsidRPr="004D0DAA" w:rsidRDefault="00711444" w:rsidP="00AA2A4C">
            <w:pPr>
              <w:spacing w:after="0"/>
            </w:pPr>
            <w:r w:rsidRPr="004D0DAA">
              <w:rPr>
                <w:b/>
              </w:rPr>
              <w:t>USF_GRANULARITY</w:t>
            </w:r>
            <w:r w:rsidRPr="004D0DAA">
              <w:t xml:space="preserve"> (1 bit field)</w:t>
            </w:r>
            <w:r w:rsidRPr="004D0DAA">
              <w:br/>
              <w:t>For description and encoding, see the Multiple TBF Uplink Assignment message.</w:t>
            </w:r>
          </w:p>
          <w:p w14:paraId="5EF252E7" w14:textId="77777777" w:rsidR="00711444" w:rsidRPr="004D0DAA" w:rsidRDefault="00711444" w:rsidP="00AA2A4C">
            <w:pPr>
              <w:spacing w:after="0"/>
              <w:rPr>
                <w:b/>
              </w:rPr>
            </w:pPr>
          </w:p>
        </w:tc>
      </w:tr>
      <w:tr w:rsidR="00711444" w:rsidRPr="004D0DAA" w14:paraId="77470ABA" w14:textId="77777777" w:rsidTr="00AA2A4C">
        <w:tblPrEx>
          <w:tblCellMar>
            <w:top w:w="0" w:type="dxa"/>
            <w:bottom w:w="0" w:type="dxa"/>
          </w:tblCellMar>
        </w:tblPrEx>
        <w:trPr>
          <w:cantSplit/>
        </w:trPr>
        <w:tc>
          <w:tcPr>
            <w:tcW w:w="9848" w:type="dxa"/>
          </w:tcPr>
          <w:p w14:paraId="2AE0DE7E" w14:textId="77777777" w:rsidR="00711444" w:rsidRPr="004D0DAA" w:rsidRDefault="00711444" w:rsidP="00AA2A4C">
            <w:pPr>
              <w:spacing w:after="0"/>
            </w:pPr>
            <w:r w:rsidRPr="004D0DAA">
              <w:rPr>
                <w:b/>
              </w:rPr>
              <w:t xml:space="preserve">TBF_TIMESLOT_ALLOCATION </w:t>
            </w:r>
            <w:r w:rsidRPr="004D0DAA">
              <w:rPr>
                <w:bCs/>
              </w:rPr>
              <w:t>(N bit field)</w:t>
            </w:r>
            <w:r w:rsidRPr="004D0DAA">
              <w:rPr>
                <w:bCs/>
              </w:rPr>
              <w:br/>
            </w:r>
            <w:r w:rsidRPr="004D0DAA">
              <w:t>For description and encoding, see the Multiple TBF Uplink Assignment message.</w:t>
            </w:r>
          </w:p>
          <w:p w14:paraId="0FC442E5" w14:textId="77777777" w:rsidR="00711444" w:rsidRPr="004D0DAA" w:rsidRDefault="00711444" w:rsidP="00AA2A4C">
            <w:pPr>
              <w:spacing w:after="0"/>
              <w:rPr>
                <w:b/>
              </w:rPr>
            </w:pPr>
          </w:p>
        </w:tc>
      </w:tr>
      <w:tr w:rsidR="00711444" w:rsidRPr="004D0DAA" w14:paraId="1F781D89" w14:textId="77777777" w:rsidTr="00AA2A4C">
        <w:tblPrEx>
          <w:tblCellMar>
            <w:top w:w="0" w:type="dxa"/>
            <w:bottom w:w="0" w:type="dxa"/>
          </w:tblCellMar>
        </w:tblPrEx>
        <w:trPr>
          <w:cantSplit/>
        </w:trPr>
        <w:tc>
          <w:tcPr>
            <w:tcW w:w="9848" w:type="dxa"/>
          </w:tcPr>
          <w:p w14:paraId="7B7382F8" w14:textId="77777777" w:rsidR="00711444" w:rsidRPr="004D0DAA" w:rsidRDefault="00711444" w:rsidP="00AA2A4C">
            <w:pPr>
              <w:spacing w:after="0"/>
            </w:pPr>
            <w:r w:rsidRPr="004D0DAA">
              <w:rPr>
                <w:b/>
              </w:rPr>
              <w:t>USF_ALLOCATION</w:t>
            </w:r>
            <w:r w:rsidRPr="004D0DAA">
              <w:t xml:space="preserve"> (3 bit field)</w:t>
            </w:r>
            <w:r w:rsidRPr="004D0DAA">
              <w:br/>
              <w:t>For description and encoding, see the Multiple TBF Uplink Assignment message.</w:t>
            </w:r>
          </w:p>
          <w:p w14:paraId="1974589C" w14:textId="77777777" w:rsidR="00711444" w:rsidRPr="004D0DAA" w:rsidRDefault="00711444" w:rsidP="00AA2A4C">
            <w:pPr>
              <w:spacing w:after="0"/>
              <w:rPr>
                <w:b/>
              </w:rPr>
            </w:pPr>
          </w:p>
        </w:tc>
      </w:tr>
      <w:tr w:rsidR="00711444" w:rsidRPr="004D0DAA" w14:paraId="057DD763" w14:textId="77777777" w:rsidTr="00AA2A4C">
        <w:tblPrEx>
          <w:tblCellMar>
            <w:top w:w="0" w:type="dxa"/>
            <w:bottom w:w="0" w:type="dxa"/>
          </w:tblCellMar>
        </w:tblPrEx>
        <w:trPr>
          <w:cantSplit/>
        </w:trPr>
        <w:tc>
          <w:tcPr>
            <w:tcW w:w="9848" w:type="dxa"/>
          </w:tcPr>
          <w:p w14:paraId="5E11C179" w14:textId="77777777" w:rsidR="00711444" w:rsidRPr="004D0DAA" w:rsidRDefault="00711444" w:rsidP="00AA2A4C">
            <w:pPr>
              <w:spacing w:after="0"/>
              <w:rPr>
                <w:bCs/>
              </w:rPr>
            </w:pPr>
            <w:r w:rsidRPr="004D0DAA">
              <w:rPr>
                <w:b/>
              </w:rPr>
              <w:t>RLC_MODE (1 bit field)</w:t>
            </w:r>
          </w:p>
          <w:p w14:paraId="6A381B57" w14:textId="77777777" w:rsidR="00711444" w:rsidRPr="004D0DAA" w:rsidRDefault="00711444" w:rsidP="00AA2A4C">
            <w:pPr>
              <w:tabs>
                <w:tab w:val="left" w:pos="6750"/>
              </w:tabs>
              <w:rPr>
                <w:b/>
              </w:rPr>
            </w:pPr>
            <w:r w:rsidRPr="004D0DAA">
              <w:t xml:space="preserve">For description and encoding, see the Multiple TBF Uplink Assignment message or the Multiple TBF Downlink Assignment message. If the </w:t>
            </w:r>
            <w:r w:rsidRPr="004D0DAA">
              <w:rPr>
                <w:b/>
                <w:bCs/>
              </w:rPr>
              <w:t>RLC_RESET</w:t>
            </w:r>
            <w:r w:rsidRPr="004D0DAA">
              <w:t xml:space="preserve"> field indicates that any given RLC entity is not reset across PS handover then the mobile station shall ignore this field and use the same RLC mode that was used for the corresponding PFC in the old cell.</w:t>
            </w:r>
          </w:p>
        </w:tc>
      </w:tr>
      <w:tr w:rsidR="00711444" w:rsidRPr="004D0DAA" w14:paraId="29BD9CAF" w14:textId="77777777" w:rsidTr="00AA2A4C">
        <w:tblPrEx>
          <w:tblCellMar>
            <w:top w:w="0" w:type="dxa"/>
            <w:bottom w:w="0" w:type="dxa"/>
          </w:tblCellMar>
        </w:tblPrEx>
        <w:trPr>
          <w:cantSplit/>
        </w:trPr>
        <w:tc>
          <w:tcPr>
            <w:tcW w:w="9848" w:type="dxa"/>
          </w:tcPr>
          <w:p w14:paraId="47BCB154" w14:textId="77777777" w:rsidR="00711444" w:rsidRPr="004D0DAA" w:rsidRDefault="00711444" w:rsidP="00AA2A4C">
            <w:pPr>
              <w:spacing w:after="0"/>
            </w:pPr>
            <w:r w:rsidRPr="004D0DAA">
              <w:rPr>
                <w:b/>
              </w:rPr>
              <w:t xml:space="preserve">CONTROL_ACK </w:t>
            </w:r>
            <w:r w:rsidRPr="004D0DAA">
              <w:t>(1 bit field)</w:t>
            </w:r>
            <w:r w:rsidRPr="004D0DAA">
              <w:br/>
              <w:t>If the RLC_RESET field indicates that RLC entities are reset, this field shall be set to '0'.</w:t>
            </w:r>
          </w:p>
          <w:p w14:paraId="2CEBBE7B" w14:textId="77777777" w:rsidR="00711444" w:rsidRPr="004D0DAA" w:rsidRDefault="00711444" w:rsidP="00AA2A4C">
            <w:pPr>
              <w:spacing w:after="0"/>
            </w:pPr>
            <w:r w:rsidRPr="004D0DAA">
              <w:t>If multiple TBFs are supported by both network and mobile station and the RLC_RESET field indicates that RLC entities are not reset, this field shall be coded as specified for the Multiple TBF Downlink Assignment message.</w:t>
            </w:r>
          </w:p>
          <w:p w14:paraId="6AF73BCA" w14:textId="77777777" w:rsidR="00711444" w:rsidRPr="004D0DAA" w:rsidRDefault="00711444" w:rsidP="00AA2A4C">
            <w:pPr>
              <w:rPr>
                <w:b/>
              </w:rPr>
            </w:pPr>
            <w:r w:rsidRPr="004D0DAA">
              <w:t>If either the network or the mobile station does not support the multiple TBF feature and the RLC_RESET field indicates that RLC entities are not reset, this field shall be set to '1' if the network establishes a new downlink TBF for the mobile station whose timer T3192 is running. Otherwise this field shall be set to '0'.</w:t>
            </w:r>
          </w:p>
        </w:tc>
      </w:tr>
      <w:tr w:rsidR="00711444" w:rsidRPr="004D0DAA" w14:paraId="6A462186" w14:textId="77777777" w:rsidTr="00AA2A4C">
        <w:tblPrEx>
          <w:tblCellMar>
            <w:top w:w="0" w:type="dxa"/>
            <w:bottom w:w="0" w:type="dxa"/>
          </w:tblCellMar>
        </w:tblPrEx>
        <w:trPr>
          <w:cantSplit/>
        </w:trPr>
        <w:tc>
          <w:tcPr>
            <w:tcW w:w="9848" w:type="dxa"/>
          </w:tcPr>
          <w:p w14:paraId="6A30B96B" w14:textId="77777777" w:rsidR="00711444" w:rsidRPr="004D0DAA" w:rsidRDefault="00711444" w:rsidP="00AA2A4C">
            <w:pPr>
              <w:rPr>
                <w:b/>
              </w:rPr>
            </w:pPr>
            <w:r w:rsidRPr="004D0DAA">
              <w:rPr>
                <w:b/>
              </w:rPr>
              <w:lastRenderedPageBreak/>
              <w:t>TIMESLOT_ALLOCATION</w:t>
            </w:r>
            <w:r w:rsidRPr="004D0DAA">
              <w:t xml:space="preserve"> (8 bit field)</w:t>
            </w:r>
            <w:r w:rsidRPr="004D0DAA">
              <w:rPr>
                <w:b/>
              </w:rPr>
              <w:br/>
            </w:r>
            <w:r w:rsidRPr="004D0DAA">
              <w:t>For description and encoding, see the Multiple TBF Downlink Assignment message.</w:t>
            </w:r>
          </w:p>
        </w:tc>
      </w:tr>
      <w:tr w:rsidR="00711444" w:rsidRPr="004D0DAA" w14:paraId="3330B873" w14:textId="77777777" w:rsidTr="00AA2A4C">
        <w:tblPrEx>
          <w:tblCellMar>
            <w:top w:w="0" w:type="dxa"/>
            <w:bottom w:w="0" w:type="dxa"/>
          </w:tblCellMar>
        </w:tblPrEx>
        <w:trPr>
          <w:cantSplit/>
        </w:trPr>
        <w:tc>
          <w:tcPr>
            <w:tcW w:w="9848" w:type="dxa"/>
          </w:tcPr>
          <w:p w14:paraId="1F8101DA" w14:textId="77777777" w:rsidR="00711444" w:rsidRPr="004D0DAA" w:rsidRDefault="00711444" w:rsidP="00AA2A4C">
            <w:pPr>
              <w:rPr>
                <w:b/>
              </w:rPr>
            </w:pPr>
            <w:r w:rsidRPr="004D0DAA">
              <w:rPr>
                <w:b/>
              </w:rPr>
              <w:t xml:space="preserve">MS_TIMESLOT_ALLOCATION </w:t>
            </w:r>
            <w:r w:rsidRPr="004D0DAA">
              <w:rPr>
                <w:bCs/>
              </w:rPr>
              <w:t>(8 bit field)</w:t>
            </w:r>
            <w:r w:rsidRPr="004D0DAA">
              <w:rPr>
                <w:bCs/>
              </w:rPr>
              <w:br/>
            </w:r>
            <w:r w:rsidRPr="004D0DAA">
              <w:t>For description and encoding, see the Multiple TBF Uplink Assignment message.</w:t>
            </w:r>
            <w:r w:rsidRPr="004D0DAA">
              <w:rPr>
                <w:lang w:eastAsia="ko-KR"/>
              </w:rPr>
              <w:t xml:space="preserve"> </w:t>
            </w:r>
            <w:r w:rsidRPr="004D0DAA">
              <w:rPr>
                <w:lang w:eastAsia="ko-KR"/>
              </w:rPr>
              <w:br/>
              <w:t>As the explicit power control parameters are omitted for the allocated timeslots in the new cell, the mobile station shall use the default values (see 3GPP TS 45.008) for the power control parameters.</w:t>
            </w:r>
          </w:p>
        </w:tc>
      </w:tr>
      <w:tr w:rsidR="00711444" w:rsidRPr="004D0DAA" w14:paraId="5D26199F" w14:textId="77777777" w:rsidTr="00AA2A4C">
        <w:tblPrEx>
          <w:tblCellMar>
            <w:top w:w="0" w:type="dxa"/>
            <w:bottom w:w="0" w:type="dxa"/>
          </w:tblCellMar>
        </w:tblPrEx>
        <w:trPr>
          <w:cantSplit/>
        </w:trPr>
        <w:tc>
          <w:tcPr>
            <w:tcW w:w="9848" w:type="dxa"/>
          </w:tcPr>
          <w:p w14:paraId="6F20ECB7" w14:textId="77777777" w:rsidR="00711444" w:rsidRPr="004D0DAA" w:rsidRDefault="00711444" w:rsidP="00AA2A4C">
            <w:pPr>
              <w:rPr>
                <w:b/>
              </w:rPr>
            </w:pPr>
            <w:r w:rsidRPr="004D0DAA">
              <w:rPr>
                <w:b/>
              </w:rPr>
              <w:t>ALPHA</w:t>
            </w:r>
            <w:r w:rsidRPr="004D0DAA">
              <w:t xml:space="preserve"> (4 bit field)</w:t>
            </w:r>
            <w:r w:rsidRPr="004D0DAA">
              <w:br/>
              <w:t>For encoding and description see the Global Power Control Parameters IE.</w:t>
            </w:r>
          </w:p>
        </w:tc>
      </w:tr>
      <w:tr w:rsidR="00711444" w:rsidRPr="004D0DAA" w14:paraId="55214CFE" w14:textId="77777777" w:rsidTr="00AA2A4C">
        <w:tblPrEx>
          <w:tblCellMar>
            <w:top w:w="0" w:type="dxa"/>
            <w:bottom w:w="0" w:type="dxa"/>
          </w:tblCellMar>
        </w:tblPrEx>
        <w:trPr>
          <w:cantSplit/>
        </w:trPr>
        <w:tc>
          <w:tcPr>
            <w:tcW w:w="9848" w:type="dxa"/>
          </w:tcPr>
          <w:p w14:paraId="19B1CD65" w14:textId="77777777" w:rsidR="00711444" w:rsidRPr="004D0DAA" w:rsidRDefault="00711444" w:rsidP="00AA2A4C">
            <w:pPr>
              <w:rPr>
                <w:b/>
              </w:rPr>
            </w:pPr>
            <w:r w:rsidRPr="004D0DAA">
              <w:rPr>
                <w:b/>
              </w:rPr>
              <w:t>GAMMA_TN</w:t>
            </w:r>
            <w:r w:rsidRPr="004D0DAA">
              <w:t xml:space="preserve"> (5 bit field)</w:t>
            </w:r>
            <w:r w:rsidRPr="004D0DAA">
              <w:br/>
              <w:t>For description and encoding, see the Multiple TBF Uplink Assignment message.</w:t>
            </w:r>
          </w:p>
        </w:tc>
      </w:tr>
      <w:tr w:rsidR="00711444" w:rsidRPr="004D0DAA" w14:paraId="29FA3F87" w14:textId="77777777" w:rsidTr="00AA2A4C">
        <w:tblPrEx>
          <w:tblCellMar>
            <w:top w:w="0" w:type="dxa"/>
            <w:bottom w:w="0" w:type="dxa"/>
          </w:tblCellMar>
        </w:tblPrEx>
        <w:trPr>
          <w:cantSplit/>
        </w:trPr>
        <w:tc>
          <w:tcPr>
            <w:tcW w:w="9848" w:type="dxa"/>
          </w:tcPr>
          <w:p w14:paraId="79939A0A"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2E8975CF" w14:textId="77777777" w:rsidR="00711444" w:rsidRPr="004D0DAA" w:rsidRDefault="00711444" w:rsidP="00AA2A4C">
            <w:pPr>
              <w:spacing w:after="0"/>
            </w:pPr>
            <w:r w:rsidRPr="004D0DAA">
              <w:t xml:space="preserve">This field contains the NPM Transfer Time limitation in case of RLC non-persistent mode. </w:t>
            </w:r>
          </w:p>
          <w:p w14:paraId="6A79498F" w14:textId="77777777" w:rsidR="00711444" w:rsidRPr="004D0DAA" w:rsidRDefault="00711444" w:rsidP="00AA2A4C">
            <w:pPr>
              <w:spacing w:after="0"/>
            </w:pPr>
          </w:p>
          <w:p w14:paraId="4A07D81A" w14:textId="77777777" w:rsidR="00711444" w:rsidRPr="004D0DAA" w:rsidRDefault="00711444" w:rsidP="00AA2A4C">
            <w:pPr>
              <w:spacing w:after="0"/>
            </w:pPr>
            <w:r w:rsidRPr="004D0DAA">
              <w:t>The list of NPM Transfer Time IEs in the Rel-7 additions is ordered as described by the loops in the earlier releases part. </w:t>
            </w:r>
          </w:p>
        </w:tc>
      </w:tr>
      <w:tr w:rsidR="00711444" w:rsidRPr="004D0DAA" w14:paraId="50966940" w14:textId="77777777" w:rsidTr="00AA2A4C">
        <w:tblPrEx>
          <w:tblCellMar>
            <w:top w:w="0" w:type="dxa"/>
            <w:bottom w:w="0" w:type="dxa"/>
          </w:tblCellMar>
        </w:tblPrEx>
        <w:trPr>
          <w:cantSplit/>
          <w:trHeight w:val="113"/>
        </w:trPr>
        <w:tc>
          <w:tcPr>
            <w:tcW w:w="9848" w:type="dxa"/>
            <w:shd w:val="clear" w:color="auto" w:fill="auto"/>
          </w:tcPr>
          <w:p w14:paraId="0063EEF8" w14:textId="77777777" w:rsidR="00711444" w:rsidRPr="004D0DAA" w:rsidRDefault="00711444" w:rsidP="00AA2A4C">
            <w:pPr>
              <w:spacing w:after="0"/>
            </w:pPr>
            <w:r w:rsidRPr="004D0DAA">
              <w:rPr>
                <w:b/>
              </w:rPr>
              <w:t>EVENT_BASED_FANR</w:t>
            </w:r>
            <w:r w:rsidRPr="004D0DAA">
              <w:t xml:space="preserve"> (1 bit field)</w:t>
            </w:r>
          </w:p>
          <w:p w14:paraId="14D35A2B" w14:textId="77777777" w:rsidR="00711444" w:rsidRPr="004D0DAA" w:rsidRDefault="00711444" w:rsidP="00AA2A4C">
            <w:pPr>
              <w:spacing w:after="0"/>
            </w:pPr>
            <w:r w:rsidRPr="004D0DAA">
              <w:t>For description and encoding, see the Multiple TBF Downlink Assignment message.</w:t>
            </w:r>
          </w:p>
          <w:p w14:paraId="0B36CE56" w14:textId="77777777" w:rsidR="00711444" w:rsidRPr="004D0DAA" w:rsidRDefault="00711444" w:rsidP="00AA2A4C">
            <w:pPr>
              <w:spacing w:after="0"/>
              <w:rPr>
                <w:b/>
              </w:rPr>
            </w:pPr>
          </w:p>
        </w:tc>
      </w:tr>
      <w:tr w:rsidR="00711444" w:rsidRPr="004D0DAA" w14:paraId="4CE3CA93" w14:textId="77777777" w:rsidTr="00AA2A4C">
        <w:tblPrEx>
          <w:tblCellMar>
            <w:top w:w="0" w:type="dxa"/>
            <w:bottom w:w="0" w:type="dxa"/>
          </w:tblCellMar>
        </w:tblPrEx>
        <w:trPr>
          <w:cantSplit/>
          <w:trHeight w:val="113"/>
        </w:trPr>
        <w:tc>
          <w:tcPr>
            <w:tcW w:w="9848" w:type="dxa"/>
            <w:shd w:val="clear" w:color="auto" w:fill="auto"/>
          </w:tcPr>
          <w:p w14:paraId="3550AE7F" w14:textId="77777777" w:rsidR="00711444" w:rsidRPr="004D0DAA" w:rsidRDefault="00711444" w:rsidP="00AA2A4C">
            <w:pPr>
              <w:spacing w:after="0"/>
            </w:pPr>
            <w:r w:rsidRPr="004D0DAA">
              <w:rPr>
                <w:b/>
              </w:rPr>
              <w:t>REPORTED TIMESLOTS</w:t>
            </w:r>
            <w:r w:rsidRPr="004D0DAA">
              <w:t xml:space="preserve"> (8 bit field)</w:t>
            </w:r>
          </w:p>
          <w:p w14:paraId="73431FEA" w14:textId="77777777" w:rsidR="00711444" w:rsidRPr="004D0DAA" w:rsidRDefault="00711444" w:rsidP="00AA2A4C">
            <w:pPr>
              <w:spacing w:after="0"/>
            </w:pPr>
            <w:r w:rsidRPr="004D0DAA">
              <w:t>For description and encoding, see the Multiple TBF Downlink Assignment message.</w:t>
            </w:r>
          </w:p>
          <w:p w14:paraId="712C55C8" w14:textId="77777777" w:rsidR="00711444" w:rsidRPr="004D0DAA" w:rsidRDefault="00711444" w:rsidP="00AA2A4C">
            <w:pPr>
              <w:spacing w:after="0"/>
              <w:rPr>
                <w:b/>
              </w:rPr>
            </w:pPr>
          </w:p>
        </w:tc>
      </w:tr>
      <w:tr w:rsidR="00711444" w:rsidRPr="004D0DAA" w14:paraId="069EDD6D" w14:textId="77777777" w:rsidTr="00AA2A4C">
        <w:tblPrEx>
          <w:tblCellMar>
            <w:top w:w="0" w:type="dxa"/>
            <w:bottom w:w="0" w:type="dxa"/>
          </w:tblCellMar>
        </w:tblPrEx>
        <w:trPr>
          <w:cantSplit/>
          <w:trHeight w:val="113"/>
        </w:trPr>
        <w:tc>
          <w:tcPr>
            <w:tcW w:w="9848" w:type="dxa"/>
            <w:shd w:val="clear" w:color="auto" w:fill="auto"/>
          </w:tcPr>
          <w:p w14:paraId="59DF390D" w14:textId="77777777" w:rsidR="00711444" w:rsidRPr="004D0DAA" w:rsidRDefault="00711444" w:rsidP="00AA2A4C">
            <w:pPr>
              <w:spacing w:after="0"/>
            </w:pPr>
            <w:r w:rsidRPr="004D0DAA">
              <w:rPr>
                <w:b/>
              </w:rPr>
              <w:t xml:space="preserve">TSH </w:t>
            </w:r>
            <w:r w:rsidRPr="004D0DAA">
              <w:t>(2 bit field)</w:t>
            </w:r>
          </w:p>
          <w:p w14:paraId="639C84C8" w14:textId="77777777" w:rsidR="00711444" w:rsidRPr="004D0DAA" w:rsidRDefault="00711444" w:rsidP="00AA2A4C">
            <w:pPr>
              <w:spacing w:after="0"/>
            </w:pPr>
            <w:r w:rsidRPr="004D0DAA">
              <w:t>For description and encoding, see the Multiple TBF Downlink Assignment message.</w:t>
            </w:r>
          </w:p>
        </w:tc>
      </w:tr>
    </w:tbl>
    <w:p w14:paraId="17A1603D" w14:textId="77777777" w:rsidR="00711444" w:rsidRPr="004D0DAA" w:rsidRDefault="00711444" w:rsidP="00711444"/>
    <w:p w14:paraId="24F5BC22" w14:textId="77777777" w:rsidR="00711444" w:rsidRPr="004D0DAA" w:rsidRDefault="00711444" w:rsidP="00711444">
      <w:pPr>
        <w:pStyle w:val="Heading2"/>
      </w:pPr>
      <w:bookmarkStart w:id="826" w:name="_Toc516670002"/>
      <w:r w:rsidRPr="004D0DAA">
        <w:t>12.42a</w:t>
      </w:r>
      <w:r w:rsidRPr="004D0DAA">
        <w:tab/>
        <w:t>PS Handover Radio Resources 2</w:t>
      </w:r>
      <w:bookmarkEnd w:id="826"/>
    </w:p>
    <w:p w14:paraId="023F3222" w14:textId="77777777" w:rsidR="00711444" w:rsidRPr="004D0DAA" w:rsidRDefault="00711444" w:rsidP="00711444">
      <w:pPr>
        <w:ind w:right="1"/>
      </w:pPr>
      <w:r w:rsidRPr="004D0DAA">
        <w:t xml:space="preserve">This information element provides the radio resources assigned for PS services for a dual carrier configuration or where the PS resources require the support of EGPRS2, Fast Ack/Nack Reporting or RTTI configurations in the new cell and is included within the PS HANDOVER COMMAND message. </w:t>
      </w:r>
    </w:p>
    <w:p w14:paraId="4D72E44B" w14:textId="77777777" w:rsidR="00711444" w:rsidRPr="004D0DAA" w:rsidRDefault="00711444" w:rsidP="00711444">
      <w:pPr>
        <w:pStyle w:val="TH"/>
      </w:pPr>
      <w:r w:rsidRPr="004D0DAA">
        <w:lastRenderedPageBreak/>
        <w:t>Table 12.42a.1: PS Handover Radio Resources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BDFD336" w14:textId="77777777" w:rsidTr="00AA2A4C">
        <w:tblPrEx>
          <w:tblCellMar>
            <w:top w:w="0" w:type="dxa"/>
            <w:bottom w:w="0" w:type="dxa"/>
          </w:tblCellMar>
        </w:tblPrEx>
        <w:trPr>
          <w:cantSplit/>
        </w:trPr>
        <w:tc>
          <w:tcPr>
            <w:tcW w:w="9848" w:type="dxa"/>
          </w:tcPr>
          <w:p w14:paraId="4BACF5F4" w14:textId="77777777" w:rsidR="00711444" w:rsidRPr="004D0DAA" w:rsidRDefault="00711444" w:rsidP="00AA2A4C">
            <w:pPr>
              <w:pStyle w:val="TAL"/>
              <w:rPr>
                <w:lang w:eastAsia="en-US"/>
              </w:rPr>
            </w:pPr>
            <w:r w:rsidRPr="004D0DAA">
              <w:rPr>
                <w:lang w:eastAsia="en-US"/>
              </w:rPr>
              <w:t>&lt; PS Handover Radio Resources 2 IE &gt; ::=</w:t>
            </w:r>
          </w:p>
          <w:p w14:paraId="456460EA" w14:textId="77777777" w:rsidR="00711444" w:rsidRPr="004D0DAA" w:rsidRDefault="00711444" w:rsidP="00AA2A4C">
            <w:pPr>
              <w:pStyle w:val="TAL"/>
              <w:rPr>
                <w:strike/>
                <w:lang w:eastAsia="en-US"/>
              </w:rPr>
            </w:pPr>
            <w:r w:rsidRPr="004D0DAA">
              <w:rPr>
                <w:lang w:eastAsia="en-US"/>
              </w:rPr>
              <w:tab/>
              <w:t xml:space="preserve">{ 0 | 1 &lt; </w:t>
            </w:r>
            <w:r w:rsidRPr="004D0DAA">
              <w:rPr>
                <w:b/>
                <w:bCs/>
                <w:lang w:eastAsia="en-US"/>
              </w:rPr>
              <w:t>Handover Reference</w:t>
            </w:r>
            <w:r w:rsidRPr="004D0DAA">
              <w:rPr>
                <w:lang w:eastAsia="en-US"/>
              </w:rPr>
              <w:t xml:space="preserve"> : bit (8) &gt; }</w:t>
            </w:r>
          </w:p>
          <w:p w14:paraId="36E6D19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ARFCN</w:t>
            </w:r>
            <w:r w:rsidRPr="004D0DAA">
              <w:rPr>
                <w:lang w:eastAsia="en-US"/>
              </w:rPr>
              <w:t xml:space="preserve"> : bit (10) &gt;</w:t>
            </w:r>
          </w:p>
          <w:p w14:paraId="50036CDD"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SI</w:t>
            </w:r>
            <w:r w:rsidRPr="004D0DAA">
              <w:rPr>
                <w:lang w:val="fr-FR" w:eastAsia="en-US"/>
              </w:rPr>
              <w:t xml:space="preserve"> : bit (2) &gt;</w:t>
            </w:r>
          </w:p>
          <w:p w14:paraId="2E74406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NCI</w:t>
            </w:r>
            <w:r w:rsidRPr="004D0DAA">
              <w:rPr>
                <w:lang w:val="fr-FR" w:eastAsia="en-US"/>
              </w:rPr>
              <w:t xml:space="preserve"> : bit (1) &gt;</w:t>
            </w:r>
          </w:p>
          <w:p w14:paraId="3CD7EC17"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BSIC</w:t>
            </w:r>
            <w:r w:rsidRPr="004D0DAA">
              <w:rPr>
                <w:lang w:val="fr-FR" w:eastAsia="en-US"/>
              </w:rPr>
              <w:t xml:space="preserve"> : bit (6) &gt;</w:t>
            </w:r>
          </w:p>
          <w:p w14:paraId="4288F011"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0 | 1 &lt; </w:t>
            </w:r>
            <w:r w:rsidRPr="004D0DAA">
              <w:rPr>
                <w:b/>
                <w:lang w:eastAsia="en-US"/>
              </w:rPr>
              <w:t>CCN_ACTIVE</w:t>
            </w:r>
            <w:r w:rsidRPr="004D0DAA">
              <w:rPr>
                <w:lang w:eastAsia="en-US"/>
              </w:rPr>
              <w:t xml:space="preserve"> : bit (1) &gt; }</w:t>
            </w:r>
          </w:p>
          <w:p w14:paraId="1A6EA17B"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3G_CCN_ACTIVE</w:t>
            </w:r>
            <w:r w:rsidRPr="004D0DAA">
              <w:rPr>
                <w:lang w:eastAsia="en-US"/>
              </w:rPr>
              <w:t xml:space="preserve"> : bit (1) &gt; }</w:t>
            </w:r>
          </w:p>
          <w:p w14:paraId="2135B557"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CCN Support Description</w:t>
            </w:r>
            <w:r w:rsidRPr="004D0DAA">
              <w:rPr>
                <w:lang w:val="fr-FR" w:eastAsia="en-US"/>
              </w:rPr>
              <w:t xml:space="preserve"> : &lt; CCN Support Description struct &gt;&gt; }</w:t>
            </w:r>
          </w:p>
          <w:p w14:paraId="247A934A" w14:textId="77777777" w:rsidR="00711444" w:rsidRPr="004D0DAA" w:rsidRDefault="00711444" w:rsidP="00AA2A4C">
            <w:pPr>
              <w:pStyle w:val="TAL"/>
              <w:rPr>
                <w:rFonts w:cs="Arial"/>
                <w:szCs w:val="18"/>
                <w:lang w:eastAsia="en-US"/>
              </w:rPr>
            </w:pPr>
            <w:r w:rsidRPr="004D0DAA">
              <w:rPr>
                <w:rFonts w:cs="Arial"/>
                <w:szCs w:val="18"/>
                <w:lang w:val="fr-FR" w:eastAsia="en-US"/>
              </w:rPr>
              <w:tab/>
            </w:r>
            <w:r w:rsidRPr="004D0DAA">
              <w:rPr>
                <w:rFonts w:cs="Arial"/>
                <w:szCs w:val="18"/>
                <w:lang w:eastAsia="en-US"/>
              </w:rPr>
              <w:t>{ 01</w:t>
            </w:r>
            <w:r w:rsidRPr="004D0DAA">
              <w:rPr>
                <w:rFonts w:cs="Arial"/>
                <w:szCs w:val="18"/>
                <w:lang w:eastAsia="en-US"/>
              </w:rPr>
              <w:tab/>
            </w:r>
            <w:r w:rsidRPr="004D0DAA">
              <w:rPr>
                <w:rFonts w:cs="Arial"/>
                <w:szCs w:val="18"/>
                <w:lang w:eastAsia="en-US"/>
              </w:rPr>
              <w:tab/>
              <w:t xml:space="preserve">-- </w:t>
            </w:r>
            <w:r w:rsidRPr="004D0DAA">
              <w:rPr>
                <w:rFonts w:cs="Arial"/>
                <w:i/>
                <w:szCs w:val="18"/>
                <w:lang w:eastAsia="en-US"/>
              </w:rPr>
              <w:t>Legacy IEs used</w:t>
            </w:r>
          </w:p>
          <w:p w14:paraId="0D7138B4"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t xml:space="preserve">&lt; </w:t>
            </w:r>
            <w:r w:rsidRPr="004D0DAA">
              <w:rPr>
                <w:rFonts w:cs="Arial"/>
                <w:b/>
                <w:bCs/>
                <w:szCs w:val="18"/>
                <w:lang w:eastAsia="en-US"/>
              </w:rPr>
              <w:t>Frequency Parameters C1 :</w:t>
            </w:r>
            <w:r w:rsidRPr="004D0DAA">
              <w:rPr>
                <w:rFonts w:cs="Arial"/>
                <w:szCs w:val="18"/>
                <w:lang w:eastAsia="en-US"/>
              </w:rPr>
              <w:t xml:space="preserve"> &lt; Frequency Parameters IE &gt; &gt;</w:t>
            </w:r>
          </w:p>
          <w:p w14:paraId="4B991B6B" w14:textId="77777777" w:rsidR="00711444" w:rsidRPr="004D0DAA" w:rsidRDefault="00711444" w:rsidP="00AA2A4C">
            <w:pPr>
              <w:pStyle w:val="TAL"/>
              <w:rPr>
                <w:rFonts w:cs="Arial"/>
                <w:b/>
                <w:bCs/>
                <w:szCs w:val="18"/>
                <w:lang w:eastAsia="en-US"/>
              </w:rPr>
            </w:pPr>
            <w:r w:rsidRPr="004D0DAA">
              <w:rPr>
                <w:rFonts w:cs="Arial"/>
                <w:szCs w:val="18"/>
                <w:lang w:eastAsia="en-US"/>
              </w:rPr>
              <w:tab/>
            </w:r>
            <w:r w:rsidRPr="004D0DAA">
              <w:rPr>
                <w:rFonts w:cs="Arial"/>
                <w:szCs w:val="18"/>
                <w:lang w:eastAsia="en-US"/>
              </w:rPr>
              <w:tab/>
              <w:t xml:space="preserve">{ 0 | 1 &lt; </w:t>
            </w:r>
            <w:r w:rsidRPr="004D0DAA">
              <w:rPr>
                <w:rFonts w:cs="Arial"/>
                <w:b/>
                <w:bCs/>
                <w:szCs w:val="18"/>
                <w:lang w:eastAsia="en-US"/>
              </w:rPr>
              <w:t>Frequency Parameters C2 :</w:t>
            </w:r>
            <w:r w:rsidRPr="004D0DAA">
              <w:rPr>
                <w:rFonts w:cs="Arial"/>
                <w:szCs w:val="18"/>
                <w:lang w:eastAsia="en-US"/>
              </w:rPr>
              <w:t xml:space="preserve"> &lt; Frequency Parameters IE &gt; &gt; }</w:t>
            </w:r>
          </w:p>
          <w:p w14:paraId="4BBDC365" w14:textId="77777777" w:rsidR="00711444" w:rsidRPr="004D0DAA" w:rsidRDefault="00711444" w:rsidP="00AA2A4C">
            <w:pPr>
              <w:pStyle w:val="TAL"/>
              <w:rPr>
                <w:rFonts w:cs="Arial"/>
                <w:szCs w:val="18"/>
                <w:lang w:eastAsia="en-US"/>
              </w:rPr>
            </w:pPr>
            <w:r w:rsidRPr="004D0DAA">
              <w:rPr>
                <w:rFonts w:cs="Arial"/>
                <w:szCs w:val="18"/>
                <w:lang w:eastAsia="en-US"/>
              </w:rPr>
              <w:tab/>
              <w:t>| 10</w:t>
            </w:r>
            <w:r w:rsidRPr="004D0DAA">
              <w:rPr>
                <w:rFonts w:cs="Arial"/>
                <w:szCs w:val="18"/>
                <w:lang w:eastAsia="en-US"/>
              </w:rPr>
              <w:tab/>
            </w:r>
            <w:r w:rsidRPr="004D0DAA">
              <w:rPr>
                <w:rFonts w:cs="Arial"/>
                <w:szCs w:val="18"/>
                <w:lang w:eastAsia="en-US"/>
              </w:rPr>
              <w:tab/>
              <w:t xml:space="preserve">-- </w:t>
            </w:r>
            <w:r w:rsidRPr="004D0DAA">
              <w:rPr>
                <w:rFonts w:cs="Arial"/>
                <w:i/>
                <w:szCs w:val="18"/>
                <w:lang w:eastAsia="en-US"/>
              </w:rPr>
              <w:t>Optimized Dual Carrier frequency parameters used</w:t>
            </w:r>
            <w:r w:rsidRPr="004D0DAA">
              <w:rPr>
                <w:rFonts w:cs="Arial"/>
                <w:szCs w:val="18"/>
                <w:lang w:eastAsia="en-US"/>
              </w:rPr>
              <w:t xml:space="preserve"> </w:t>
            </w:r>
          </w:p>
          <w:p w14:paraId="49FDC645"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Dual Carrier</w:t>
            </w:r>
            <w:r w:rsidRPr="004D0DAA">
              <w:rPr>
                <w:rFonts w:cs="Arial"/>
                <w:szCs w:val="18"/>
                <w:lang w:eastAsia="en-US"/>
              </w:rPr>
              <w:t xml:space="preserve"> </w:t>
            </w:r>
            <w:r w:rsidRPr="004D0DAA">
              <w:rPr>
                <w:rFonts w:cs="Arial"/>
                <w:b/>
                <w:szCs w:val="18"/>
                <w:lang w:eastAsia="en-US"/>
              </w:rPr>
              <w:t>Frequency Parameters</w:t>
            </w:r>
            <w:r w:rsidRPr="004D0DAA">
              <w:rPr>
                <w:rFonts w:cs="Arial"/>
                <w:szCs w:val="18"/>
                <w:lang w:eastAsia="en-US"/>
              </w:rPr>
              <w:t xml:space="preserve">: &lt; Dual Carrier Frequency Parameters IE &gt; &gt; </w:t>
            </w:r>
          </w:p>
          <w:p w14:paraId="27AC10F8" w14:textId="77777777" w:rsidR="00711444" w:rsidRPr="004D0DAA" w:rsidRDefault="00711444" w:rsidP="00AA2A4C">
            <w:pPr>
              <w:pStyle w:val="TAL"/>
              <w:rPr>
                <w:rFonts w:cs="Arial"/>
                <w:szCs w:val="18"/>
                <w:lang w:eastAsia="en-US"/>
              </w:rPr>
            </w:pPr>
            <w:r w:rsidRPr="004D0DAA">
              <w:rPr>
                <w:lang w:eastAsia="en-US"/>
              </w:rPr>
              <w:tab/>
              <w:t xml:space="preserve">! &lt; Frequency Parameters error: { 00 | 11 } bit(*) = &lt; no string&gt; &gt; } -- </w:t>
            </w:r>
            <w:r w:rsidRPr="004D0DAA">
              <w:rPr>
                <w:i/>
                <w:lang w:eastAsia="en-US"/>
              </w:rPr>
              <w:t>reserved for future use</w:t>
            </w:r>
          </w:p>
          <w:p w14:paraId="0F13D40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NETWORK_CONTROL_ORDER</w:t>
            </w:r>
            <w:r w:rsidRPr="004D0DAA">
              <w:rPr>
                <w:lang w:eastAsia="en-US"/>
              </w:rPr>
              <w:t xml:space="preserve"> : bit (2) &gt;</w:t>
            </w:r>
          </w:p>
          <w:p w14:paraId="06B9295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Global</w:t>
            </w:r>
            <w:r w:rsidRPr="004D0DAA">
              <w:rPr>
                <w:lang w:eastAsia="en-US"/>
              </w:rPr>
              <w:t xml:space="preserve"> </w:t>
            </w:r>
            <w:r w:rsidRPr="004D0DAA">
              <w:rPr>
                <w:b/>
                <w:bCs/>
                <w:lang w:eastAsia="en-US"/>
              </w:rPr>
              <w:t>Packet Timing Advance</w:t>
            </w:r>
            <w:r w:rsidRPr="004D0DAA">
              <w:rPr>
                <w:lang w:eastAsia="en-US"/>
              </w:rPr>
              <w:t xml:space="preserve"> : &lt; Global Packet Timing Advance IE &gt; &gt;</w:t>
            </w:r>
          </w:p>
          <w:p w14:paraId="0874D06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Packet Extended Timing Advance</w:t>
            </w:r>
            <w:r w:rsidRPr="004D0DAA">
              <w:rPr>
                <w:lang w:eastAsia="en-US"/>
              </w:rPr>
              <w:t xml:space="preserve"> : bit (2)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Only used in uplink</w:t>
            </w:r>
          </w:p>
          <w:p w14:paraId="046C677A"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&lt; </w:t>
            </w:r>
            <w:r w:rsidRPr="004D0DAA">
              <w:rPr>
                <w:b/>
                <w:lang w:val="fr-FR" w:eastAsia="en-US"/>
              </w:rPr>
              <w:t>RLC_RESET</w:t>
            </w:r>
            <w:r w:rsidRPr="004D0DAA">
              <w:rPr>
                <w:lang w:val="fr-FR" w:eastAsia="en-US"/>
              </w:rPr>
              <w:t xml:space="preserve"> : bit (1) &gt; </w:t>
            </w:r>
          </w:p>
          <w:p w14:paraId="4DCA5530" w14:textId="77777777" w:rsidR="00711444" w:rsidRPr="004D0DAA" w:rsidRDefault="00711444" w:rsidP="00AA2A4C">
            <w:pPr>
              <w:pStyle w:val="TAL"/>
              <w:rPr>
                <w:lang w:val="fr-FR" w:eastAsia="en-US"/>
              </w:rPr>
            </w:pPr>
            <w:r w:rsidRPr="004D0DAA">
              <w:rPr>
                <w:lang w:val="fr-FR" w:eastAsia="en-US"/>
              </w:rPr>
              <w:tab/>
              <w:t xml:space="preserve">&lt; </w:t>
            </w:r>
            <w:r w:rsidRPr="004D0DAA">
              <w:rPr>
                <w:b/>
                <w:bCs/>
                <w:lang w:val="fr-FR" w:eastAsia="en-US"/>
              </w:rPr>
              <w:t>EGPRS mode</w:t>
            </w:r>
            <w:r w:rsidRPr="004D0DAA">
              <w:rPr>
                <w:lang w:val="fr-FR" w:eastAsia="en-US"/>
              </w:rPr>
              <w:t xml:space="preserve"> : &lt; EGPRS mode 2 IE &gt; &gt;</w:t>
            </w:r>
          </w:p>
          <w:p w14:paraId="6632F02C" w14:textId="77777777" w:rsidR="00711444" w:rsidRPr="004D0DAA" w:rsidRDefault="00711444" w:rsidP="00AA2A4C">
            <w:pPr>
              <w:pStyle w:val="TAL"/>
              <w:rPr>
                <w:lang w:val="fr-FR" w:eastAsia="en-US"/>
              </w:rPr>
            </w:pPr>
          </w:p>
          <w:p w14:paraId="4B34AABD"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w:t>
            </w:r>
            <w:r w:rsidRPr="004D0DAA">
              <w:rPr>
                <w:i/>
                <w:lang w:eastAsia="en-US"/>
              </w:rPr>
              <w:t>Optional extension information:</w:t>
            </w:r>
          </w:p>
          <w:p w14:paraId="3E86FDEF" w14:textId="77777777" w:rsidR="00711444" w:rsidRPr="004D0DAA" w:rsidRDefault="00711444" w:rsidP="00AA2A4C">
            <w:pPr>
              <w:pStyle w:val="TAL"/>
              <w:rPr>
                <w:lang w:eastAsia="en-US"/>
              </w:rPr>
            </w:pPr>
            <w:r w:rsidRPr="004D0DAA">
              <w:rPr>
                <w:lang w:eastAsia="en-US"/>
              </w:rPr>
              <w:tab/>
              <w:t>{ 0 | 1</w:t>
            </w:r>
            <w:r w:rsidRPr="004D0DAA">
              <w:rPr>
                <w:lang w:eastAsia="en-US"/>
              </w:rPr>
              <w:tab/>
              <w:t>&lt; Extension Length : bit (6) &gt;</w:t>
            </w:r>
          </w:p>
          <w:p w14:paraId="5BC89B8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bit (val(Extension Length) + 1)</w:t>
            </w:r>
          </w:p>
          <w:p w14:paraId="3A0384D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&amp; { &lt;Extension Information &gt; ! { bit ** = &lt;no string&gt; } } &gt; } ;</w:t>
            </w:r>
          </w:p>
          <w:p w14:paraId="340C6DDF" w14:textId="77777777" w:rsidR="00711444" w:rsidRPr="004D0DAA" w:rsidRDefault="00711444" w:rsidP="00AA2A4C">
            <w:pPr>
              <w:pStyle w:val="TAL"/>
              <w:rPr>
                <w:lang w:eastAsia="en-US"/>
              </w:rPr>
            </w:pPr>
          </w:p>
        </w:tc>
      </w:tr>
      <w:tr w:rsidR="00711444" w:rsidRPr="004D0DAA" w14:paraId="45386411" w14:textId="77777777" w:rsidTr="00AA2A4C">
        <w:tblPrEx>
          <w:tblCellMar>
            <w:top w:w="0" w:type="dxa"/>
            <w:bottom w:w="0" w:type="dxa"/>
          </w:tblCellMar>
        </w:tblPrEx>
        <w:trPr>
          <w:cantSplit/>
        </w:trPr>
        <w:tc>
          <w:tcPr>
            <w:tcW w:w="9848" w:type="dxa"/>
          </w:tcPr>
          <w:p w14:paraId="34B6983C"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r>
            <w:r w:rsidRPr="004D0DAA">
              <w:rPr>
                <w:lang w:eastAsia="en-US"/>
              </w:rPr>
              <w:tab/>
              <w:t xml:space="preserve">&lt; </w:t>
            </w:r>
            <w:r w:rsidRPr="004D0DAA">
              <w:rPr>
                <w:b/>
                <w:lang w:eastAsia="en-US"/>
              </w:rPr>
              <w:t>Number_Cells</w:t>
            </w:r>
            <w:r w:rsidRPr="004D0DAA">
              <w:rPr>
                <w:lang w:eastAsia="en-US"/>
              </w:rPr>
              <w:t xml:space="preserve"> : bit (7) &gt;</w:t>
            </w:r>
            <w:r w:rsidRPr="004D0DAA">
              <w:rPr>
                <w:lang w:eastAsia="en-US"/>
              </w:rPr>
              <w:br/>
            </w:r>
            <w:r w:rsidRPr="004D0DAA">
              <w:rPr>
                <w:lang w:eastAsia="en-US"/>
              </w:rPr>
              <w:tab/>
              <w:t xml:space="preserve">{ </w:t>
            </w:r>
            <w:r w:rsidRPr="004D0DAA">
              <w:rPr>
                <w:b/>
                <w:lang w:eastAsia="en-US"/>
              </w:rPr>
              <w:t>CCN_SUPPORTED</w:t>
            </w:r>
            <w:r w:rsidRPr="004D0DAA">
              <w:rPr>
                <w:lang w:eastAsia="en-US"/>
              </w:rPr>
              <w:t xml:space="preserve"> : bit } * (val(Number_Cells)) ;</w:t>
            </w:r>
          </w:p>
          <w:p w14:paraId="5BFAF290" w14:textId="77777777" w:rsidR="00711444" w:rsidRPr="004D0DAA" w:rsidRDefault="00711444" w:rsidP="00AA2A4C">
            <w:pPr>
              <w:pStyle w:val="TAL"/>
              <w:rPr>
                <w:lang w:eastAsia="en-US"/>
              </w:rPr>
            </w:pPr>
          </w:p>
        </w:tc>
      </w:tr>
      <w:tr w:rsidR="00711444" w:rsidRPr="004D0DAA" w14:paraId="79700E34" w14:textId="77777777" w:rsidTr="00AA2A4C">
        <w:tblPrEx>
          <w:tblCellMar>
            <w:top w:w="0" w:type="dxa"/>
            <w:bottom w:w="0" w:type="dxa"/>
          </w:tblCellMar>
        </w:tblPrEx>
        <w:trPr>
          <w:cantSplit/>
        </w:trPr>
        <w:tc>
          <w:tcPr>
            <w:tcW w:w="9848" w:type="dxa"/>
          </w:tcPr>
          <w:p w14:paraId="1F63AD48" w14:textId="77777777" w:rsidR="00711444" w:rsidRPr="004D0DAA" w:rsidRDefault="00711444" w:rsidP="00AA2A4C">
            <w:pPr>
              <w:pStyle w:val="TAL"/>
              <w:rPr>
                <w:lang w:eastAsia="en-US"/>
              </w:rPr>
            </w:pPr>
            <w:r w:rsidRPr="004D0DAA">
              <w:rPr>
                <w:lang w:eastAsia="en-US"/>
              </w:rPr>
              <w:t>&lt; Extension Information &gt; ::=</w:t>
            </w:r>
          </w:p>
          <w:p w14:paraId="4DFB531C" w14:textId="77777777" w:rsidR="00711444" w:rsidRPr="004D0DAA" w:rsidRDefault="00711444" w:rsidP="00AA2A4C">
            <w:pPr>
              <w:pStyle w:val="TAL"/>
              <w:rPr>
                <w:i/>
                <w:lang w:eastAsia="en-US"/>
              </w:rPr>
            </w:pPr>
            <w:r w:rsidRPr="004D0DAA">
              <w:rPr>
                <w:i/>
                <w:lang w:eastAsia="en-US"/>
              </w:rPr>
              <w:tab/>
            </w:r>
            <w:r w:rsidRPr="004D0DAA">
              <w:rPr>
                <w:lang w:eastAsia="en-US"/>
              </w:rPr>
              <w:t xml:space="preserve">-- </w:t>
            </w:r>
            <w:r w:rsidRPr="004D0DAA">
              <w:rPr>
                <w:i/>
                <w:lang w:eastAsia="en-US"/>
              </w:rPr>
              <w:t>Additions for REL-9</w:t>
            </w:r>
          </w:p>
          <w:p w14:paraId="3DB03C9A" w14:textId="77777777" w:rsidR="00711444" w:rsidRPr="004D0DAA" w:rsidRDefault="00711444" w:rsidP="00AA2A4C">
            <w:pPr>
              <w:pStyle w:val="TAL"/>
              <w:rPr>
                <w:lang w:eastAsia="en-US"/>
              </w:rPr>
            </w:pPr>
            <w:r w:rsidRPr="004D0DAA">
              <w:rPr>
                <w:lang w:eastAsia="en-US"/>
              </w:rPr>
              <w:tab/>
              <w:t xml:space="preserve">{ 0 | 1 </w:t>
            </w:r>
            <w:r w:rsidRPr="004D0DAA">
              <w:rPr>
                <w:b/>
                <w:lang w:eastAsia="en-US"/>
              </w:rPr>
              <w:t xml:space="preserve">MTTI_DOWNLINK_ASSIGNMENT_C1 </w:t>
            </w:r>
            <w:r w:rsidRPr="004D0DAA">
              <w:rPr>
                <w:lang w:eastAsia="en-US"/>
              </w:rPr>
              <w:t>: bit (1) }</w:t>
            </w:r>
          </w:p>
          <w:p w14:paraId="2D11BB36" w14:textId="77777777" w:rsidR="00711444" w:rsidRPr="004D0DAA" w:rsidRDefault="00711444" w:rsidP="00AA2A4C">
            <w:pPr>
              <w:pStyle w:val="TAL"/>
              <w:rPr>
                <w:lang w:eastAsia="en-US"/>
              </w:rPr>
            </w:pPr>
            <w:r w:rsidRPr="004D0DAA">
              <w:rPr>
                <w:lang w:eastAsia="en-US"/>
              </w:rPr>
              <w:tab/>
              <w:t xml:space="preserve">{ 0 | 1 </w:t>
            </w:r>
            <w:r w:rsidRPr="004D0DAA">
              <w:rPr>
                <w:b/>
                <w:lang w:eastAsia="en-US"/>
              </w:rPr>
              <w:t xml:space="preserve">MTTI_DOWNLINK_ASSIGNMENT_C2 </w:t>
            </w:r>
            <w:r w:rsidRPr="004D0DAA">
              <w:rPr>
                <w:lang w:eastAsia="en-US"/>
              </w:rPr>
              <w:t>: bit (1) }</w:t>
            </w:r>
          </w:p>
          <w:p w14:paraId="1C47C33D" w14:textId="77777777" w:rsidR="00711444" w:rsidRPr="004D0DAA" w:rsidRDefault="00711444" w:rsidP="00AA2A4C">
            <w:pPr>
              <w:pStyle w:val="TAL"/>
              <w:rPr>
                <w:lang w:eastAsia="en-US"/>
              </w:rPr>
            </w:pPr>
            <w:r w:rsidRPr="004D0DAA">
              <w:rPr>
                <w:lang w:eastAsia="en-US"/>
              </w:rPr>
              <w:tab/>
              <w:t>{ 0 | 1</w:t>
            </w:r>
            <w:r w:rsidRPr="004D0DAA">
              <w:rPr>
                <w:b/>
                <w:lang w:eastAsia="en-US"/>
              </w:rPr>
              <w:t xml:space="preserve"> MTTI_UPLINK_ASSIGNMENT_C1 </w:t>
            </w:r>
            <w:r w:rsidRPr="004D0DAA">
              <w:rPr>
                <w:lang w:eastAsia="en-US"/>
              </w:rPr>
              <w:t>: bit(1) }</w:t>
            </w:r>
          </w:p>
          <w:p w14:paraId="0819AC9E" w14:textId="77777777" w:rsidR="00711444" w:rsidRPr="004D0DAA" w:rsidRDefault="00711444" w:rsidP="00AA2A4C">
            <w:pPr>
              <w:pStyle w:val="TAL"/>
              <w:rPr>
                <w:lang w:eastAsia="en-US"/>
              </w:rPr>
            </w:pPr>
            <w:r w:rsidRPr="004D0DAA">
              <w:rPr>
                <w:lang w:eastAsia="en-US"/>
              </w:rPr>
              <w:tab/>
              <w:t>{ 0 | 1</w:t>
            </w:r>
            <w:r w:rsidRPr="004D0DAA">
              <w:rPr>
                <w:b/>
                <w:lang w:eastAsia="en-US"/>
              </w:rPr>
              <w:t xml:space="preserve"> MTTI_UPLINK_ASSIGNMENT_C2 </w:t>
            </w:r>
            <w:r w:rsidRPr="004D0DAA">
              <w:rPr>
                <w:lang w:eastAsia="en-US"/>
              </w:rPr>
              <w:t>: bit(1) }</w:t>
            </w:r>
          </w:p>
          <w:p w14:paraId="5BFFD861" w14:textId="77777777" w:rsidR="00711444" w:rsidRPr="004D0DAA" w:rsidRDefault="00711444" w:rsidP="00AA2A4C">
            <w:pPr>
              <w:pStyle w:val="TAL"/>
              <w:rPr>
                <w:i/>
                <w:lang w:eastAsia="en-US"/>
              </w:rPr>
            </w:pPr>
            <w:r w:rsidRPr="004D0DAA">
              <w:rPr>
                <w:i/>
                <w:lang w:eastAsia="en-US"/>
              </w:rPr>
              <w:tab/>
            </w:r>
            <w:r w:rsidRPr="004D0DAA">
              <w:rPr>
                <w:lang w:eastAsia="en-US"/>
              </w:rPr>
              <w:t xml:space="preserve">-- </w:t>
            </w:r>
            <w:r w:rsidRPr="004D0DAA">
              <w:rPr>
                <w:i/>
                <w:lang w:eastAsia="en-US"/>
              </w:rPr>
              <w:t>Additions for REL-11</w:t>
            </w:r>
          </w:p>
          <w:p w14:paraId="011CD6D0" w14:textId="77777777" w:rsidR="00711444" w:rsidRPr="004D0DAA" w:rsidRDefault="00711444" w:rsidP="00AA2A4C">
            <w:pPr>
              <w:pStyle w:val="TAL"/>
              <w:rPr>
                <w:lang w:eastAsia="en-US"/>
              </w:rPr>
            </w:pPr>
            <w:r w:rsidRPr="004D0DAA">
              <w:rPr>
                <w:lang w:eastAsia="en-US"/>
              </w:rPr>
              <w:tab/>
              <w:t xml:space="preserve">{ &lt;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 }</w:t>
            </w:r>
          </w:p>
          <w:p w14:paraId="4A69874F" w14:textId="77777777" w:rsidR="00711444" w:rsidRPr="004D0DAA" w:rsidRDefault="00711444" w:rsidP="00AA2A4C">
            <w:pPr>
              <w:pStyle w:val="TAL"/>
              <w:rPr>
                <w:i/>
                <w:lang w:eastAsia="en-US"/>
              </w:rPr>
            </w:pPr>
            <w:r w:rsidRPr="004D0DAA">
              <w:rPr>
                <w:lang w:eastAsia="en-US"/>
              </w:rPr>
              <w:tab/>
              <w:t>&lt; spare bit &gt; ** // ;</w:t>
            </w:r>
            <w:r w:rsidRPr="004D0DAA">
              <w:rPr>
                <w:lang w:eastAsia="en-US"/>
              </w:rPr>
              <w:tab/>
            </w:r>
            <w:r w:rsidRPr="004D0DAA">
              <w:rPr>
                <w:lang w:eastAsia="en-US"/>
              </w:rPr>
              <w:tab/>
            </w:r>
            <w:r w:rsidRPr="004D0DAA">
              <w:rPr>
                <w:lang w:eastAsia="en-US"/>
              </w:rPr>
              <w:tab/>
              <w:t xml:space="preserve">-- </w:t>
            </w:r>
            <w:r w:rsidRPr="004D0DAA">
              <w:rPr>
                <w:i/>
                <w:lang w:eastAsia="en-US"/>
              </w:rPr>
              <w:t>Extension information may be truncated between released versions of the protocol.</w:t>
            </w:r>
          </w:p>
          <w:p w14:paraId="4D78BFCF"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receiver shall assume the value zero for any truncated bit.</w:t>
            </w:r>
          </w:p>
          <w:p w14:paraId="2C6352E6" w14:textId="77777777" w:rsidR="00711444" w:rsidRPr="004D0DAA" w:rsidRDefault="00711444" w:rsidP="00AA2A4C">
            <w:pPr>
              <w:pStyle w:val="TAL"/>
              <w:rPr>
                <w:lang w:eastAsia="en-US"/>
              </w:rPr>
            </w:pPr>
          </w:p>
        </w:tc>
      </w:tr>
    </w:tbl>
    <w:p w14:paraId="5ADDDA20" w14:textId="77777777" w:rsidR="00711444" w:rsidRPr="004D0DAA" w:rsidRDefault="00711444" w:rsidP="00711444"/>
    <w:p w14:paraId="0C05D392" w14:textId="77777777" w:rsidR="00711444" w:rsidRPr="004D0DAA" w:rsidRDefault="00711444" w:rsidP="00711444">
      <w:pPr>
        <w:pStyle w:val="TH"/>
      </w:pPr>
      <w:r w:rsidRPr="004D0DAA">
        <w:t>Table 12.42a.2: PS Handover Radio Resources 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4F911FE" w14:textId="77777777" w:rsidTr="00AA2A4C">
        <w:tblPrEx>
          <w:tblCellMar>
            <w:top w:w="0" w:type="dxa"/>
            <w:bottom w:w="0" w:type="dxa"/>
          </w:tblCellMar>
        </w:tblPrEx>
        <w:trPr>
          <w:cantSplit/>
          <w:trHeight w:val="113"/>
        </w:trPr>
        <w:tc>
          <w:tcPr>
            <w:tcW w:w="9848" w:type="dxa"/>
            <w:shd w:val="clear" w:color="auto" w:fill="auto"/>
          </w:tcPr>
          <w:p w14:paraId="569248A0" w14:textId="77777777" w:rsidR="00711444" w:rsidRPr="004D0DAA" w:rsidRDefault="00711444" w:rsidP="00AA2A4C">
            <w:pPr>
              <w:rPr>
                <w:b/>
              </w:rPr>
            </w:pPr>
            <w:r w:rsidRPr="004D0DAA">
              <w:rPr>
                <w:b/>
                <w:bCs/>
              </w:rPr>
              <w:t>Handover Reference</w:t>
            </w:r>
            <w:r w:rsidRPr="004D0DAA">
              <w:t xml:space="preserve"> (8 bit field)</w:t>
            </w:r>
            <w:r w:rsidRPr="004D0DAA">
              <w:br/>
              <w:t>This field contains the reference value to be used when performing PS Handover. The field is encoded as the contents of the Handover Reference information element as defined in 3GPP TS 44.018.</w:t>
            </w:r>
          </w:p>
        </w:tc>
      </w:tr>
      <w:tr w:rsidR="00711444" w:rsidRPr="004D0DAA" w14:paraId="3E1C3B0A"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2341E62" w14:textId="77777777" w:rsidR="00711444" w:rsidRPr="004D0DAA" w:rsidRDefault="00711444" w:rsidP="00AA2A4C">
            <w:r w:rsidRPr="004D0DAA">
              <w:rPr>
                <w:b/>
              </w:rPr>
              <w:t>ARFCN</w:t>
            </w:r>
            <w:r w:rsidRPr="004D0DAA">
              <w:t xml:space="preserve"> (10 bit field)</w:t>
            </w:r>
            <w:r w:rsidRPr="004D0DAA">
              <w:br/>
              <w:t>This field contains the BCCH frequency of the new cell. This field is encoded as the ARFCN defined in 3GPP TS 44.018.</w:t>
            </w:r>
          </w:p>
          <w:p w14:paraId="447E58AA" w14:textId="77777777" w:rsidR="00711444" w:rsidRPr="004D0DAA" w:rsidRDefault="00711444" w:rsidP="00AA2A4C">
            <w:r w:rsidRPr="004D0DAA">
              <w:t>Range: 0 to 1023.</w:t>
            </w:r>
          </w:p>
        </w:tc>
      </w:tr>
      <w:tr w:rsidR="00711444" w:rsidRPr="004D0DAA" w14:paraId="2F39732B" w14:textId="77777777" w:rsidTr="00AA2A4C">
        <w:tblPrEx>
          <w:tblCellMar>
            <w:top w:w="0" w:type="dxa"/>
            <w:bottom w:w="0" w:type="dxa"/>
          </w:tblCellMar>
        </w:tblPrEx>
        <w:trPr>
          <w:cantSplit/>
          <w:trHeight w:val="113"/>
        </w:trPr>
        <w:tc>
          <w:tcPr>
            <w:tcW w:w="9848" w:type="dxa"/>
            <w:shd w:val="clear" w:color="auto" w:fill="auto"/>
          </w:tcPr>
          <w:p w14:paraId="5C11BAD5" w14:textId="77777777" w:rsidR="00711444" w:rsidRPr="004D0DAA" w:rsidRDefault="00711444" w:rsidP="00AA2A4C">
            <w:pPr>
              <w:rPr>
                <w:b/>
              </w:rPr>
            </w:pPr>
            <w:r w:rsidRPr="004D0DAA">
              <w:rPr>
                <w:b/>
                <w:bCs/>
              </w:rPr>
              <w:t>SI</w:t>
            </w:r>
            <w:r w:rsidRPr="004D0DAA">
              <w:t xml:space="preserve"> (2 bit field)</w:t>
            </w:r>
            <w:r w:rsidRPr="004D0DAA">
              <w:br/>
              <w:t>The Synchronization Indication (SI) field indicates which type of PS Handover is to be performed.</w:t>
            </w:r>
            <w:r w:rsidRPr="004D0DAA">
              <w:br/>
            </w:r>
            <w:r w:rsidRPr="004D0DAA">
              <w:br/>
              <w:t>Bit</w:t>
            </w:r>
            <w:r w:rsidRPr="004D0DAA">
              <w:br/>
              <w:t>2 1</w:t>
            </w:r>
            <w:r w:rsidRPr="004D0DAA">
              <w:br/>
              <w:t>0 0</w:t>
            </w:r>
            <w:r w:rsidRPr="004D0DAA">
              <w:tab/>
              <w:t>Non-synchronized</w:t>
            </w:r>
            <w:r w:rsidRPr="004D0DAA">
              <w:br/>
              <w:t>0 1</w:t>
            </w:r>
            <w:r w:rsidRPr="004D0DAA">
              <w:tab/>
              <w:t>Synchronized</w:t>
            </w:r>
            <w:r w:rsidRPr="004D0DAA">
              <w:br/>
              <w:t>1 0</w:t>
            </w:r>
            <w:r w:rsidRPr="004D0DAA">
              <w:tab/>
              <w:t>Pre-synchronised</w:t>
            </w:r>
            <w:r w:rsidRPr="004D0DAA">
              <w:br/>
              <w:t>1 1</w:t>
            </w:r>
            <w:r w:rsidRPr="004D0DAA">
              <w:tab/>
              <w:t>reserved</w:t>
            </w:r>
          </w:p>
        </w:tc>
      </w:tr>
      <w:tr w:rsidR="00711444" w:rsidRPr="004D0DAA" w14:paraId="169EA910" w14:textId="77777777" w:rsidTr="00AA2A4C">
        <w:tblPrEx>
          <w:tblCellMar>
            <w:top w:w="0" w:type="dxa"/>
            <w:bottom w:w="0" w:type="dxa"/>
          </w:tblCellMar>
        </w:tblPrEx>
        <w:trPr>
          <w:cantSplit/>
          <w:trHeight w:val="113"/>
        </w:trPr>
        <w:tc>
          <w:tcPr>
            <w:tcW w:w="9848" w:type="dxa"/>
            <w:shd w:val="clear" w:color="auto" w:fill="auto"/>
          </w:tcPr>
          <w:p w14:paraId="4A0400C7" w14:textId="77777777" w:rsidR="00711444" w:rsidRPr="004D0DAA" w:rsidRDefault="00711444" w:rsidP="00AA2A4C">
            <w:pPr>
              <w:rPr>
                <w:b/>
              </w:rPr>
            </w:pPr>
            <w:r w:rsidRPr="004D0DAA">
              <w:rPr>
                <w:b/>
                <w:bCs/>
              </w:rPr>
              <w:lastRenderedPageBreak/>
              <w:t>NCI</w:t>
            </w:r>
            <w:r w:rsidRPr="004D0DAA">
              <w:t xml:space="preserve"> (1 bit field)</w:t>
            </w:r>
            <w:r w:rsidRPr="004D0DAA">
              <w:br/>
              <w:t xml:space="preserve">The Normal Cell Indication (NCI) field indicates how the MS shall behave in case of out of range timing advance values. </w:t>
            </w:r>
            <w:r w:rsidRPr="004D0DAA">
              <w:br/>
            </w:r>
            <w:r w:rsidRPr="004D0DAA">
              <w:br/>
              <w:t>Bit</w:t>
            </w:r>
            <w:r w:rsidRPr="004D0DAA">
              <w:br/>
              <w:t>1</w:t>
            </w:r>
            <w:r w:rsidRPr="004D0DAA">
              <w:br/>
              <w:t>0</w:t>
            </w:r>
            <w:r w:rsidRPr="004D0DAA">
              <w:tab/>
              <w:t>Out of range timing advance is ignored</w:t>
            </w:r>
            <w:r w:rsidRPr="004D0DAA">
              <w:br/>
              <w:t>1</w:t>
            </w:r>
            <w:r w:rsidRPr="004D0DAA">
              <w:tab/>
              <w:t>Out of range timing advance shall trigger a handover failure procedure.</w:t>
            </w:r>
          </w:p>
        </w:tc>
      </w:tr>
      <w:tr w:rsidR="00711444" w:rsidRPr="004D0DAA" w14:paraId="2B95D80E" w14:textId="77777777" w:rsidTr="00AA2A4C">
        <w:tblPrEx>
          <w:tblCellMar>
            <w:top w:w="0" w:type="dxa"/>
            <w:bottom w:w="0" w:type="dxa"/>
          </w:tblCellMar>
        </w:tblPrEx>
        <w:trPr>
          <w:cantSplit/>
          <w:trHeight w:val="113"/>
        </w:trPr>
        <w:tc>
          <w:tcPr>
            <w:tcW w:w="9848" w:type="dxa"/>
            <w:shd w:val="clear" w:color="auto" w:fill="auto"/>
          </w:tcPr>
          <w:p w14:paraId="5FC88B53" w14:textId="77777777" w:rsidR="00711444" w:rsidRPr="004D0DAA" w:rsidRDefault="00711444" w:rsidP="00AA2A4C">
            <w:pPr>
              <w:rPr>
                <w:b/>
              </w:rPr>
            </w:pPr>
            <w:r w:rsidRPr="004D0DAA">
              <w:rPr>
                <w:b/>
              </w:rPr>
              <w:t>BSIC</w:t>
            </w:r>
            <w:r w:rsidRPr="004D0DAA">
              <w:t xml:space="preserve"> (6 bit field)</w:t>
            </w:r>
            <w:r w:rsidRPr="004D0DAA">
              <w:br/>
              <w:t>This field contains the BSIC of the new cell. The BSIC field is coded as the "Base Station Identity Code" defined in 3GPP TS 23.003.</w:t>
            </w:r>
          </w:p>
        </w:tc>
      </w:tr>
      <w:tr w:rsidR="00711444" w:rsidRPr="004D0DAA" w14:paraId="249E0654" w14:textId="77777777" w:rsidTr="00AA2A4C">
        <w:tblPrEx>
          <w:tblCellMar>
            <w:top w:w="0" w:type="dxa"/>
            <w:bottom w:w="0" w:type="dxa"/>
          </w:tblCellMar>
        </w:tblPrEx>
        <w:trPr>
          <w:cantSplit/>
          <w:trHeight w:val="113"/>
        </w:trPr>
        <w:tc>
          <w:tcPr>
            <w:tcW w:w="9848" w:type="dxa"/>
            <w:shd w:val="clear" w:color="auto" w:fill="auto"/>
          </w:tcPr>
          <w:p w14:paraId="2E8E4FF4" w14:textId="77777777" w:rsidR="00711444" w:rsidRPr="004D0DAA" w:rsidRDefault="00711444" w:rsidP="00AA2A4C">
            <w:pPr>
              <w:rPr>
                <w:b/>
              </w:rPr>
            </w:pPr>
            <w:r w:rsidRPr="004D0DAA">
              <w:rPr>
                <w:b/>
              </w:rPr>
              <w:t xml:space="preserve">CCN_ACTIVE </w:t>
            </w:r>
            <w:r w:rsidRPr="004D0DAA">
              <w:t>(1 bit field)</w:t>
            </w:r>
            <w:r w:rsidRPr="004D0DAA">
              <w:br/>
              <w:t>For description and encoding, see the Packet Cell Change Order message.</w:t>
            </w:r>
          </w:p>
        </w:tc>
      </w:tr>
      <w:tr w:rsidR="00711444" w:rsidRPr="004D0DAA" w14:paraId="1C84B13C" w14:textId="77777777" w:rsidTr="00AA2A4C">
        <w:tblPrEx>
          <w:tblCellMar>
            <w:top w:w="0" w:type="dxa"/>
            <w:bottom w:w="0" w:type="dxa"/>
          </w:tblCellMar>
        </w:tblPrEx>
        <w:trPr>
          <w:cantSplit/>
          <w:trHeight w:val="113"/>
        </w:trPr>
        <w:tc>
          <w:tcPr>
            <w:tcW w:w="9848" w:type="dxa"/>
            <w:shd w:val="clear" w:color="auto" w:fill="auto"/>
          </w:tcPr>
          <w:p w14:paraId="5D659151" w14:textId="77777777" w:rsidR="00711444" w:rsidRPr="004D0DAA" w:rsidRDefault="00711444" w:rsidP="00AA2A4C">
            <w:pPr>
              <w:rPr>
                <w:b/>
              </w:rPr>
            </w:pPr>
            <w:r w:rsidRPr="004D0DAA">
              <w:rPr>
                <w:b/>
              </w:rPr>
              <w:t xml:space="preserve">3G_CCN_ACTIVE </w:t>
            </w:r>
            <w:r w:rsidRPr="004D0DAA">
              <w:t>(1 bit field)</w:t>
            </w:r>
            <w:r w:rsidRPr="004D0DAA">
              <w:br/>
              <w:t>For description and encoding, see the Packet Cell Change Order message.</w:t>
            </w:r>
          </w:p>
        </w:tc>
      </w:tr>
      <w:tr w:rsidR="00711444" w:rsidRPr="004D0DAA" w14:paraId="428ED1C9" w14:textId="77777777" w:rsidTr="00AA2A4C">
        <w:tblPrEx>
          <w:tblCellMar>
            <w:top w:w="0" w:type="dxa"/>
            <w:bottom w:w="0" w:type="dxa"/>
          </w:tblCellMar>
        </w:tblPrEx>
        <w:trPr>
          <w:cantSplit/>
          <w:trHeight w:val="113"/>
        </w:trPr>
        <w:tc>
          <w:tcPr>
            <w:tcW w:w="9848" w:type="dxa"/>
            <w:shd w:val="clear" w:color="auto" w:fill="auto"/>
          </w:tcPr>
          <w:p w14:paraId="29901859" w14:textId="77777777" w:rsidR="00711444" w:rsidRPr="004D0DAA" w:rsidRDefault="00711444" w:rsidP="00AA2A4C">
            <w:pPr>
              <w:spacing w:after="0"/>
            </w:pPr>
            <w:r w:rsidRPr="004D0DAA">
              <w:rPr>
                <w:b/>
                <w:i/>
              </w:rPr>
              <w:t>CCN Support Description</w:t>
            </w:r>
            <w:r w:rsidRPr="004D0DAA">
              <w:rPr>
                <w:b/>
              </w:rPr>
              <w:t xml:space="preserve"> </w:t>
            </w:r>
            <w:r w:rsidRPr="004D0DAA">
              <w:br/>
            </w:r>
            <w:r w:rsidRPr="004D0DAA">
              <w:br/>
            </w:r>
            <w:r w:rsidRPr="004D0DAA">
              <w:rPr>
                <w:b/>
              </w:rPr>
              <w:t>CCN_SUPPORTED</w:t>
            </w:r>
            <w:r w:rsidRPr="004D0DAA">
              <w:t xml:space="preserve"> (1 bit field)</w:t>
            </w:r>
          </w:p>
          <w:p w14:paraId="1802E819" w14:textId="77777777" w:rsidR="00711444" w:rsidRPr="004D0DAA" w:rsidRDefault="00711444" w:rsidP="00AA2A4C">
            <w:pPr>
              <w:rPr>
                <w:b/>
              </w:rPr>
            </w:pPr>
            <w:r w:rsidRPr="004D0DAA">
              <w:t>For description and encoding, see the Packet Cell Change Order message.</w:t>
            </w:r>
          </w:p>
        </w:tc>
      </w:tr>
      <w:tr w:rsidR="00711444" w:rsidRPr="004D0DAA" w14:paraId="6C11D2C7" w14:textId="77777777" w:rsidTr="00AA2A4C">
        <w:tblPrEx>
          <w:tblCellMar>
            <w:top w:w="0" w:type="dxa"/>
            <w:bottom w:w="0" w:type="dxa"/>
          </w:tblCellMar>
        </w:tblPrEx>
        <w:trPr>
          <w:cantSplit/>
          <w:trHeight w:val="113"/>
        </w:trPr>
        <w:tc>
          <w:tcPr>
            <w:tcW w:w="9848" w:type="dxa"/>
            <w:shd w:val="clear" w:color="auto" w:fill="auto"/>
          </w:tcPr>
          <w:p w14:paraId="7C12E987" w14:textId="77777777" w:rsidR="00711444" w:rsidRPr="004D0DAA" w:rsidRDefault="00711444" w:rsidP="00AA2A4C">
            <w:r w:rsidRPr="004D0DAA">
              <w:rPr>
                <w:b/>
              </w:rPr>
              <w:t>Frequency Parameters C1</w:t>
            </w:r>
            <w:r w:rsidRPr="004D0DAA">
              <w:br/>
              <w:t>This information element is defined in sub-clause 12.8.</w:t>
            </w:r>
          </w:p>
          <w:p w14:paraId="7C95D441" w14:textId="77777777" w:rsidR="00711444" w:rsidRPr="004D0DAA" w:rsidRDefault="00711444" w:rsidP="00AA2A4C">
            <w:r w:rsidRPr="004D0DAA">
              <w:rPr>
                <w:b/>
              </w:rPr>
              <w:t>Frequency Parameters C2</w:t>
            </w:r>
            <w:r w:rsidRPr="004D0DAA">
              <w:br/>
              <w:t>This information element is defined in sub-clause 12.8.</w:t>
            </w:r>
          </w:p>
          <w:p w14:paraId="1AFCB754" w14:textId="77777777" w:rsidR="00711444" w:rsidRPr="004D0DAA" w:rsidRDefault="00711444" w:rsidP="00AA2A4C">
            <w:r w:rsidRPr="004D0DAA">
              <w:rPr>
                <w:b/>
              </w:rPr>
              <w:t>Dual Carrier Frequency Parameters</w:t>
            </w:r>
            <w:r w:rsidRPr="004D0DAA">
              <w:br/>
              <w:t>This information element is defined in sub-clause 12.8.2.</w:t>
            </w:r>
          </w:p>
        </w:tc>
      </w:tr>
      <w:tr w:rsidR="00711444" w:rsidRPr="004D0DAA" w14:paraId="0055DA57" w14:textId="77777777" w:rsidTr="00AA2A4C">
        <w:tblPrEx>
          <w:tblCellMar>
            <w:top w:w="0" w:type="dxa"/>
            <w:bottom w:w="0" w:type="dxa"/>
          </w:tblCellMar>
        </w:tblPrEx>
        <w:trPr>
          <w:cantSplit/>
          <w:trHeight w:val="113"/>
        </w:trPr>
        <w:tc>
          <w:tcPr>
            <w:tcW w:w="9848" w:type="dxa"/>
            <w:shd w:val="clear" w:color="auto" w:fill="auto"/>
          </w:tcPr>
          <w:p w14:paraId="02CFFE27" w14:textId="77777777" w:rsidR="00711444" w:rsidRPr="004D0DAA" w:rsidRDefault="00711444" w:rsidP="00AA2A4C">
            <w:pPr>
              <w:rPr>
                <w:b/>
              </w:rPr>
            </w:pPr>
            <w:r w:rsidRPr="004D0DAA">
              <w:rPr>
                <w:b/>
              </w:rPr>
              <w:t>NETWORK_CONTROL_ORDER</w:t>
            </w:r>
            <w:r w:rsidRPr="004D0DAA">
              <w:t xml:space="preserve"> (2 bit field)</w:t>
            </w:r>
            <w:r w:rsidRPr="004D0DAA">
              <w:br/>
              <w:t>For description and encoding, see the Packet Measurement Order message.</w:t>
            </w:r>
          </w:p>
        </w:tc>
      </w:tr>
      <w:tr w:rsidR="00711444" w:rsidRPr="004D0DAA" w14:paraId="10000ABE" w14:textId="77777777" w:rsidTr="00AA2A4C">
        <w:tblPrEx>
          <w:tblCellMar>
            <w:top w:w="0" w:type="dxa"/>
            <w:bottom w:w="0" w:type="dxa"/>
          </w:tblCellMar>
        </w:tblPrEx>
        <w:trPr>
          <w:cantSplit/>
          <w:trHeight w:val="113"/>
        </w:trPr>
        <w:tc>
          <w:tcPr>
            <w:tcW w:w="9848" w:type="dxa"/>
            <w:shd w:val="clear" w:color="auto" w:fill="auto"/>
          </w:tcPr>
          <w:p w14:paraId="78A5E99C" w14:textId="77777777" w:rsidR="00711444" w:rsidRPr="004D0DAA" w:rsidRDefault="00711444" w:rsidP="00AA2A4C">
            <w:pPr>
              <w:rPr>
                <w:b/>
              </w:rPr>
            </w:pPr>
            <w:r w:rsidRPr="004D0DAA">
              <w:rPr>
                <w:b/>
              </w:rPr>
              <w:t>Global Packet Timing Advance</w:t>
            </w:r>
            <w:r w:rsidRPr="004D0DAA">
              <w:br/>
              <w:t>This information element is defined in sub-clause 12.12a</w:t>
            </w:r>
          </w:p>
        </w:tc>
      </w:tr>
      <w:tr w:rsidR="00711444" w:rsidRPr="004D0DAA" w14:paraId="2403CACB" w14:textId="77777777" w:rsidTr="00AA2A4C">
        <w:tblPrEx>
          <w:tblCellMar>
            <w:top w:w="0" w:type="dxa"/>
            <w:bottom w:w="0" w:type="dxa"/>
          </w:tblCellMar>
        </w:tblPrEx>
        <w:trPr>
          <w:cantSplit/>
          <w:trHeight w:val="113"/>
        </w:trPr>
        <w:tc>
          <w:tcPr>
            <w:tcW w:w="9848" w:type="dxa"/>
            <w:shd w:val="clear" w:color="auto" w:fill="auto"/>
          </w:tcPr>
          <w:p w14:paraId="6CA8D517" w14:textId="77777777" w:rsidR="00711444" w:rsidRPr="004D0DAA" w:rsidRDefault="00711444" w:rsidP="00AA2A4C">
            <w:pPr>
              <w:rPr>
                <w:b/>
              </w:rPr>
            </w:pPr>
            <w:r w:rsidRPr="004D0DAA">
              <w:rPr>
                <w:b/>
              </w:rPr>
              <w:t>Packet Extended Timing Advance</w:t>
            </w:r>
            <w:r w:rsidRPr="004D0DAA">
              <w:t xml:space="preserve"> (2 bit field)</w:t>
            </w:r>
            <w:r w:rsidRPr="004D0DAA">
              <w:rPr>
                <w:b/>
              </w:rPr>
              <w:t xml:space="preserve"> </w:t>
            </w:r>
            <w:r w:rsidRPr="004D0DAA">
              <w:rPr>
                <w:b/>
              </w:rPr>
              <w:br/>
            </w:r>
            <w:r w:rsidRPr="004D0DAA">
              <w:t>This field is defined in sub-clause 12.12b.</w:t>
            </w:r>
          </w:p>
        </w:tc>
      </w:tr>
      <w:tr w:rsidR="00711444" w:rsidRPr="004D0DAA" w14:paraId="75114173" w14:textId="77777777" w:rsidTr="00AA2A4C">
        <w:tblPrEx>
          <w:tblCellMar>
            <w:top w:w="0" w:type="dxa"/>
            <w:bottom w:w="0" w:type="dxa"/>
          </w:tblCellMar>
        </w:tblPrEx>
        <w:trPr>
          <w:cantSplit/>
          <w:trHeight w:val="113"/>
        </w:trPr>
        <w:tc>
          <w:tcPr>
            <w:tcW w:w="9848" w:type="dxa"/>
            <w:shd w:val="clear" w:color="auto" w:fill="auto"/>
          </w:tcPr>
          <w:p w14:paraId="408795E7" w14:textId="77777777" w:rsidR="00711444" w:rsidRPr="004D0DAA" w:rsidRDefault="00711444" w:rsidP="00AA2A4C">
            <w:pPr>
              <w:spacing w:after="0"/>
            </w:pPr>
            <w:r w:rsidRPr="004D0DAA">
              <w:rPr>
                <w:b/>
                <w:bCs/>
              </w:rPr>
              <w:t xml:space="preserve">RLC_RESET </w:t>
            </w:r>
            <w:r w:rsidRPr="004D0DAA">
              <w:t xml:space="preserve">(1 bit field) </w:t>
            </w:r>
          </w:p>
          <w:p w14:paraId="2C8E95B0" w14:textId="77777777" w:rsidR="00711444" w:rsidRPr="004D0DAA" w:rsidRDefault="00711444" w:rsidP="00AA2A4C">
            <w:pPr>
              <w:rPr>
                <w:b/>
              </w:rPr>
            </w:pPr>
            <w:r w:rsidRPr="004D0DAA">
              <w:t>This field is defined in sub-clause 12.42.</w:t>
            </w:r>
          </w:p>
        </w:tc>
      </w:tr>
      <w:tr w:rsidR="00711444" w:rsidRPr="004D0DAA" w14:paraId="53092171"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3208C1AE" w14:textId="77777777" w:rsidR="00711444" w:rsidRPr="004D0DAA" w:rsidRDefault="00711444" w:rsidP="00AA2A4C">
            <w:pPr>
              <w:spacing w:after="0"/>
              <w:rPr>
                <w:b/>
              </w:rPr>
            </w:pPr>
            <w:r w:rsidRPr="004D0DAA">
              <w:rPr>
                <w:b/>
              </w:rPr>
              <w:t>EGPRS mode 2 IE</w:t>
            </w:r>
          </w:p>
          <w:p w14:paraId="14FAEF14" w14:textId="77777777" w:rsidR="00711444" w:rsidRPr="004D0DAA" w:rsidRDefault="00711444" w:rsidP="00AA2A4C">
            <w:pPr>
              <w:spacing w:after="0"/>
            </w:pPr>
            <w:r w:rsidRPr="004D0DAA">
              <w:t>This information element is defined in sub-clause 12.48a.1.</w:t>
            </w:r>
          </w:p>
          <w:p w14:paraId="79B294F3" w14:textId="77777777" w:rsidR="00711444" w:rsidRPr="004D0DAA" w:rsidRDefault="00711444" w:rsidP="00AA2A4C">
            <w:pPr>
              <w:spacing w:after="0"/>
            </w:pPr>
          </w:p>
        </w:tc>
      </w:tr>
      <w:tr w:rsidR="00711444" w:rsidRPr="004D0DAA" w14:paraId="1EBA8E66"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054CCEF" w14:textId="77777777" w:rsidR="00711444" w:rsidRPr="004D0DAA" w:rsidRDefault="00711444" w:rsidP="00AA2A4C">
            <w:pPr>
              <w:spacing w:after="0"/>
            </w:pPr>
            <w:r w:rsidRPr="004D0DAA">
              <w:rPr>
                <w:b/>
              </w:rPr>
              <w:t>MTTI_DOWNLINK_ASSIGNMENT_C1</w:t>
            </w:r>
            <w:r w:rsidRPr="004D0DAA">
              <w:t xml:space="preserve"> (1 bit field)</w:t>
            </w:r>
          </w:p>
          <w:p w14:paraId="7046C157" w14:textId="77777777" w:rsidR="00711444" w:rsidRPr="004D0DAA" w:rsidRDefault="00711444" w:rsidP="00AA2A4C">
            <w:pPr>
              <w:spacing w:after="0"/>
            </w:pPr>
            <w:r w:rsidRPr="004D0DAA">
              <w:rPr>
                <w:b/>
              </w:rPr>
              <w:t xml:space="preserve">MTTI_DOWNLINK_ASSIGNMENT_C2 </w:t>
            </w:r>
            <w:r w:rsidRPr="004D0DAA">
              <w:t xml:space="preserve">(1 bit field) </w:t>
            </w:r>
          </w:p>
          <w:p w14:paraId="6574229C" w14:textId="77777777" w:rsidR="00711444" w:rsidRPr="004D0DAA" w:rsidRDefault="00711444" w:rsidP="00AA2A4C">
            <w:pPr>
              <w:spacing w:after="0"/>
            </w:pPr>
            <w:r w:rsidRPr="004D0DAA">
              <w:t>See sub-clause 11.2.7 (Packet Downlink Assignment message).</w:t>
            </w:r>
          </w:p>
          <w:p w14:paraId="3360AC30" w14:textId="77777777" w:rsidR="00711444" w:rsidRPr="004D0DAA" w:rsidRDefault="00711444" w:rsidP="00AA2A4C">
            <w:pPr>
              <w:spacing w:after="0"/>
            </w:pPr>
          </w:p>
        </w:tc>
      </w:tr>
      <w:tr w:rsidR="00711444" w:rsidRPr="004D0DAA" w14:paraId="229829D9" w14:textId="77777777" w:rsidTr="00AA2A4C">
        <w:tblPrEx>
          <w:tblCellMar>
            <w:top w:w="0" w:type="dxa"/>
            <w:bottom w:w="0" w:type="dxa"/>
          </w:tblCellMar>
        </w:tblPrEx>
        <w:trPr>
          <w:cantSplit/>
          <w:trHeight w:val="113"/>
        </w:trPr>
        <w:tc>
          <w:tcPr>
            <w:tcW w:w="9848" w:type="dxa"/>
            <w:shd w:val="clear" w:color="auto" w:fill="auto"/>
          </w:tcPr>
          <w:p w14:paraId="75F5942D" w14:textId="77777777" w:rsidR="00711444" w:rsidRPr="004D0DAA" w:rsidRDefault="00711444" w:rsidP="00AA2A4C">
            <w:pPr>
              <w:spacing w:after="0"/>
            </w:pPr>
            <w:r w:rsidRPr="004D0DAA">
              <w:rPr>
                <w:b/>
              </w:rPr>
              <w:t>MTTI_UPLINK_ASSIGNMENT_C1</w:t>
            </w:r>
            <w:r w:rsidRPr="004D0DAA">
              <w:t xml:space="preserve"> (1 bit field)</w:t>
            </w:r>
          </w:p>
          <w:p w14:paraId="69427A3B" w14:textId="77777777" w:rsidR="00711444" w:rsidRPr="004D0DAA" w:rsidRDefault="00711444" w:rsidP="00AA2A4C">
            <w:pPr>
              <w:spacing w:after="0"/>
            </w:pPr>
            <w:r w:rsidRPr="004D0DAA">
              <w:rPr>
                <w:b/>
              </w:rPr>
              <w:t>MTTI_UPLINK_ASSIGNMENT_C2</w:t>
            </w:r>
            <w:r w:rsidRPr="004D0DAA">
              <w:t xml:space="preserve"> (1 bit field) </w:t>
            </w:r>
          </w:p>
          <w:p w14:paraId="36581B40" w14:textId="77777777" w:rsidR="00711444" w:rsidRPr="004D0DAA" w:rsidRDefault="00711444" w:rsidP="00AA2A4C">
            <w:pPr>
              <w:spacing w:after="0"/>
            </w:pPr>
            <w:r w:rsidRPr="004D0DAA">
              <w:t>See sub-clause 11.2.29 (Packet Uplink Assignment message).</w:t>
            </w:r>
          </w:p>
          <w:p w14:paraId="6D1A3CB7" w14:textId="77777777" w:rsidR="00711444" w:rsidRPr="004D0DAA" w:rsidRDefault="00711444" w:rsidP="00AA2A4C">
            <w:pPr>
              <w:spacing w:after="0"/>
              <w:rPr>
                <w:b/>
              </w:rPr>
            </w:pPr>
          </w:p>
        </w:tc>
      </w:tr>
      <w:tr w:rsidR="00711444" w:rsidRPr="004D0DAA" w14:paraId="55AEBBB6" w14:textId="77777777" w:rsidTr="00AA2A4C">
        <w:tblPrEx>
          <w:tblCellMar>
            <w:top w:w="0" w:type="dxa"/>
            <w:bottom w:w="0" w:type="dxa"/>
          </w:tblCellMar>
        </w:tblPrEx>
        <w:trPr>
          <w:cantSplit/>
          <w:trHeight w:val="113"/>
        </w:trPr>
        <w:tc>
          <w:tcPr>
            <w:tcW w:w="9848" w:type="dxa"/>
            <w:shd w:val="clear" w:color="auto" w:fill="auto"/>
          </w:tcPr>
          <w:p w14:paraId="428A3CED"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4C503ACC" w14:textId="77777777" w:rsidR="00711444" w:rsidRPr="004D0DAA" w:rsidRDefault="00711444" w:rsidP="00AA2A4C">
            <w:pPr>
              <w:spacing w:after="0"/>
              <w:rPr>
                <w:b/>
                <w:bCs/>
              </w:rPr>
            </w:pPr>
            <w:r w:rsidRPr="004D0DAA">
              <w:t>See sub-clause 11.2.7 (Packet Downlink Assignment message).</w:t>
            </w:r>
          </w:p>
          <w:p w14:paraId="3CEC70C3" w14:textId="77777777" w:rsidR="00711444" w:rsidRPr="004D0DAA" w:rsidRDefault="00711444" w:rsidP="00AA2A4C">
            <w:pPr>
              <w:spacing w:after="0"/>
              <w:rPr>
                <w:b/>
              </w:rPr>
            </w:pPr>
          </w:p>
        </w:tc>
      </w:tr>
    </w:tbl>
    <w:p w14:paraId="2B640AE9" w14:textId="77777777" w:rsidR="00711444" w:rsidRPr="004D0DAA" w:rsidRDefault="00711444" w:rsidP="00711444"/>
    <w:p w14:paraId="380365A9" w14:textId="77777777" w:rsidR="00711444" w:rsidRPr="004D0DAA" w:rsidRDefault="00711444" w:rsidP="00711444">
      <w:pPr>
        <w:pStyle w:val="Heading2"/>
      </w:pPr>
      <w:bookmarkStart w:id="827" w:name="_Toc516670003"/>
      <w:r w:rsidRPr="004D0DAA">
        <w:lastRenderedPageBreak/>
        <w:t>12.42b</w:t>
      </w:r>
      <w:r w:rsidRPr="004D0DAA">
        <w:tab/>
        <w:t>PS Handover Radio Resources 3</w:t>
      </w:r>
      <w:bookmarkEnd w:id="827"/>
    </w:p>
    <w:p w14:paraId="755FD623" w14:textId="77777777" w:rsidR="00711444" w:rsidRPr="004D0DAA" w:rsidRDefault="00711444" w:rsidP="00711444">
      <w:pPr>
        <w:ind w:right="1"/>
      </w:pPr>
      <w:r w:rsidRPr="004D0DAA">
        <w:t xml:space="preserve">This information element provides the radio resources assigned for PS services for a DLMC configuration in the new cell and is included within the PS HANDOVER COMMAND message. </w:t>
      </w:r>
    </w:p>
    <w:p w14:paraId="78A7036F" w14:textId="77777777" w:rsidR="00711444" w:rsidRPr="004D0DAA" w:rsidRDefault="00711444" w:rsidP="00711444">
      <w:pPr>
        <w:pStyle w:val="TH"/>
      </w:pPr>
      <w:r w:rsidRPr="004D0DAA">
        <w:lastRenderedPageBreak/>
        <w:t>Table 12.42b.1: PS Handover Radio Resources 3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1964FBB" w14:textId="77777777" w:rsidTr="00AA2A4C">
        <w:tblPrEx>
          <w:tblCellMar>
            <w:top w:w="0" w:type="dxa"/>
            <w:bottom w:w="0" w:type="dxa"/>
          </w:tblCellMar>
        </w:tblPrEx>
        <w:trPr>
          <w:cantSplit/>
        </w:trPr>
        <w:tc>
          <w:tcPr>
            <w:tcW w:w="9848" w:type="dxa"/>
          </w:tcPr>
          <w:p w14:paraId="3A3BA9F1" w14:textId="77777777" w:rsidR="00711444" w:rsidRPr="004D0DAA" w:rsidRDefault="00711444" w:rsidP="00AA2A4C">
            <w:pPr>
              <w:pStyle w:val="TAL"/>
              <w:rPr>
                <w:lang w:eastAsia="en-US"/>
              </w:rPr>
            </w:pPr>
            <w:r w:rsidRPr="004D0DAA">
              <w:rPr>
                <w:lang w:eastAsia="en-US"/>
              </w:rPr>
              <w:t>&lt; PS Handover Radio Resources 3 IE &gt; ::=</w:t>
            </w:r>
          </w:p>
          <w:p w14:paraId="1DF35CB1" w14:textId="77777777" w:rsidR="00711444" w:rsidRPr="004D0DAA" w:rsidRDefault="00711444" w:rsidP="00AA2A4C">
            <w:pPr>
              <w:pStyle w:val="TAL"/>
              <w:rPr>
                <w:strike/>
                <w:lang w:eastAsia="en-US"/>
              </w:rPr>
            </w:pPr>
            <w:r w:rsidRPr="004D0DAA">
              <w:rPr>
                <w:lang w:eastAsia="en-US"/>
              </w:rPr>
              <w:tab/>
              <w:t xml:space="preserve">{ 0 | 1 &lt; </w:t>
            </w:r>
            <w:r w:rsidRPr="004D0DAA">
              <w:rPr>
                <w:b/>
                <w:bCs/>
                <w:lang w:eastAsia="en-US"/>
              </w:rPr>
              <w:t>Handover Reference</w:t>
            </w:r>
            <w:r w:rsidRPr="004D0DAA">
              <w:rPr>
                <w:lang w:eastAsia="en-US"/>
              </w:rPr>
              <w:t xml:space="preserve"> : bit (8) &gt; }</w:t>
            </w:r>
          </w:p>
          <w:p w14:paraId="1C37B97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SI</w:t>
            </w:r>
            <w:r w:rsidRPr="004D0DAA">
              <w:rPr>
                <w:lang w:eastAsia="en-US"/>
              </w:rPr>
              <w:t xml:space="preserve"> : bit (2) &gt;</w:t>
            </w:r>
          </w:p>
          <w:p w14:paraId="20D392F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NCI</w:t>
            </w:r>
            <w:r w:rsidRPr="004D0DAA">
              <w:rPr>
                <w:lang w:eastAsia="en-US"/>
              </w:rPr>
              <w:t xml:space="preserve"> : bit (1) &gt;</w:t>
            </w:r>
          </w:p>
          <w:p w14:paraId="6FB96A5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BSIC</w:t>
            </w:r>
            <w:r w:rsidRPr="004D0DAA">
              <w:rPr>
                <w:lang w:eastAsia="en-US"/>
              </w:rPr>
              <w:t xml:space="preserve"> : bit (6) &gt;</w:t>
            </w:r>
          </w:p>
          <w:p w14:paraId="373255D1"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CCN_ACTIVE</w:t>
            </w:r>
            <w:r w:rsidRPr="004D0DAA">
              <w:rPr>
                <w:lang w:eastAsia="en-US"/>
              </w:rPr>
              <w:t xml:space="preserve"> : bit (1) &gt; }</w:t>
            </w:r>
          </w:p>
          <w:p w14:paraId="2112F94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3G_CCN_ACTIVE</w:t>
            </w:r>
            <w:r w:rsidRPr="004D0DAA">
              <w:rPr>
                <w:lang w:eastAsia="en-US"/>
              </w:rPr>
              <w:t xml:space="preserve"> : bit (1) &gt; }</w:t>
            </w:r>
          </w:p>
          <w:p w14:paraId="6FF22E7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CCN Support Description</w:t>
            </w:r>
            <w:r w:rsidRPr="004D0DAA">
              <w:rPr>
                <w:lang w:eastAsia="en-US"/>
              </w:rPr>
              <w:t xml:space="preserve"> : &lt; CCN Support Description struct &gt;&gt; }</w:t>
            </w:r>
          </w:p>
          <w:p w14:paraId="38EEBB31" w14:textId="77777777" w:rsidR="00711444" w:rsidRPr="004D0DAA" w:rsidRDefault="00711444" w:rsidP="00AA2A4C">
            <w:pPr>
              <w:pStyle w:val="TAL"/>
              <w:rPr>
                <w:szCs w:val="18"/>
                <w:lang w:eastAsia="en-US"/>
              </w:rPr>
            </w:pPr>
            <w:r w:rsidRPr="004D0DAA">
              <w:rPr>
                <w:szCs w:val="18"/>
                <w:lang w:eastAsia="en-US"/>
              </w:rPr>
              <w:tab/>
              <w:t>{</w:t>
            </w:r>
            <w:r w:rsidRPr="004D0DAA">
              <w:rPr>
                <w:szCs w:val="18"/>
                <w:lang w:eastAsia="en-US"/>
              </w:rPr>
              <w:tab/>
              <w:t xml:space="preserve">&lt; </w:t>
            </w:r>
            <w:r w:rsidRPr="004D0DAA">
              <w:rPr>
                <w:b/>
                <w:szCs w:val="18"/>
                <w:lang w:eastAsia="en-US"/>
              </w:rPr>
              <w:t>DOWNLINK_RLC_MODE</w:t>
            </w:r>
            <w:r w:rsidRPr="004D0DAA">
              <w:rPr>
                <w:szCs w:val="18"/>
                <w:lang w:eastAsia="en-US"/>
              </w:rPr>
              <w:t xml:space="preserve"> : bit (1) &gt;</w:t>
            </w:r>
          </w:p>
          <w:p w14:paraId="399026C9" w14:textId="77777777" w:rsidR="00711444" w:rsidRPr="004D0DAA" w:rsidRDefault="00711444" w:rsidP="00AA2A4C">
            <w:pPr>
              <w:pStyle w:val="TAL"/>
              <w:rPr>
                <w:szCs w:val="18"/>
                <w:lang w:eastAsia="en-US"/>
              </w:rPr>
            </w:pPr>
            <w:r w:rsidRPr="004D0DAA">
              <w:rPr>
                <w:rFonts w:cs="Arial"/>
                <w:lang w:eastAsia="en-US"/>
              </w:rPr>
              <w:tab/>
            </w:r>
            <w:r w:rsidRPr="004D0DAA">
              <w:rPr>
                <w:rFonts w:cs="Arial"/>
                <w:lang w:eastAsia="en-US"/>
              </w:rPr>
              <w:tab/>
            </w:r>
            <w:r w:rsidRPr="004D0DAA">
              <w:rPr>
                <w:szCs w:val="18"/>
                <w:lang w:eastAsia="en-US"/>
              </w:rPr>
              <w:t xml:space="preserve">&lt; </w:t>
            </w:r>
            <w:r w:rsidRPr="004D0DAA">
              <w:rPr>
                <w:b/>
                <w:szCs w:val="18"/>
                <w:lang w:eastAsia="en-US"/>
              </w:rPr>
              <w:t>CONTROL_ACK</w:t>
            </w:r>
            <w:r w:rsidRPr="004D0DAA">
              <w:rPr>
                <w:szCs w:val="18"/>
                <w:lang w:eastAsia="en-US"/>
              </w:rPr>
              <w:t xml:space="preserve"> : bit (1) &gt; </w:t>
            </w:r>
          </w:p>
          <w:p w14:paraId="6A2CBAA5"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t xml:space="preserve">{ 1 </w:t>
            </w:r>
            <w:r w:rsidRPr="004D0DAA">
              <w:rPr>
                <w:lang w:eastAsia="en-US"/>
              </w:rPr>
              <w:t xml:space="preserve">&lt; </w:t>
            </w:r>
            <w:r w:rsidRPr="004D0DAA">
              <w:rPr>
                <w:b/>
                <w:lang w:eastAsia="en-US"/>
              </w:rPr>
              <w:t>UFPS</w:t>
            </w:r>
            <w:r w:rsidRPr="004D0DAA">
              <w:rPr>
                <w:lang w:eastAsia="en-US"/>
              </w:rPr>
              <w:t xml:space="preserve"> : &lt; UFPS struct &gt; &gt; } ** 0 </w:t>
            </w:r>
          </w:p>
          <w:p w14:paraId="51012CAC"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b/>
                <w:szCs w:val="18"/>
                <w:lang w:eastAsia="en-US"/>
              </w:rPr>
              <w:t>DLMC Measurement Type</w:t>
            </w:r>
            <w:r w:rsidRPr="004D0DAA">
              <w:rPr>
                <w:szCs w:val="18"/>
                <w:lang w:eastAsia="en-US"/>
              </w:rPr>
              <w:t xml:space="preserve"> : bit (1)</w:t>
            </w:r>
          </w:p>
          <w:p w14:paraId="351BAF6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LINK_QUALITY_MEASUREMENT_MODE</w:t>
            </w:r>
            <w:r w:rsidRPr="004D0DAA">
              <w:rPr>
                <w:lang w:eastAsia="en-US"/>
              </w:rPr>
              <w:t> : bit (2) &gt;</w:t>
            </w:r>
          </w:p>
          <w:p w14:paraId="0225ECDA" w14:textId="77777777" w:rsidR="00711444" w:rsidRPr="004D0DAA" w:rsidRDefault="00711444" w:rsidP="00AA2A4C">
            <w:pPr>
              <w:pStyle w:val="TAL"/>
              <w:rPr>
                <w:lang w:eastAsia="en-US"/>
              </w:rPr>
            </w:pPr>
            <w:r w:rsidRPr="004D0DAA">
              <w:rPr>
                <w:lang w:eastAsia="en-US"/>
              </w:rPr>
              <w:tab/>
            </w:r>
            <w:r w:rsidRPr="004D0DAA">
              <w:rPr>
                <w:szCs w:val="18"/>
                <w:lang w:eastAsia="en-US"/>
              </w:rPr>
              <w:tab/>
              <w:t>{ 0 | 1</w:t>
            </w:r>
            <w:r w:rsidRPr="004D0DAA">
              <w:rPr>
                <w:lang w:val="en-US" w:eastAsia="en-US"/>
              </w:rPr>
              <w:tab/>
            </w:r>
            <w:r w:rsidRPr="004D0DAA">
              <w:rPr>
                <w:lang w:eastAsia="en-US"/>
              </w:rPr>
              <w:t xml:space="preserve">&lt; </w:t>
            </w:r>
            <w:r w:rsidRPr="004D0DAA">
              <w:rPr>
                <w:b/>
                <w:lang w:eastAsia="en-US"/>
              </w:rPr>
              <w:t>Carrier for Interference Measurements</w:t>
            </w:r>
            <w:r w:rsidRPr="004D0DAA">
              <w:rPr>
                <w:lang w:eastAsia="en-US"/>
              </w:rPr>
              <w:t xml:space="preserve"> : bit (4) &gt; }</w:t>
            </w:r>
          </w:p>
          <w:p w14:paraId="03FC0B2A"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t xml:space="preserve">&lt; </w:t>
            </w:r>
            <w:r w:rsidRPr="004D0DAA">
              <w:rPr>
                <w:b/>
                <w:szCs w:val="18"/>
                <w:lang w:eastAsia="en-US"/>
              </w:rPr>
              <w:t xml:space="preserve">Global Packet Timing Advance </w:t>
            </w:r>
            <w:r w:rsidRPr="004D0DAA">
              <w:rPr>
                <w:szCs w:val="18"/>
                <w:lang w:eastAsia="en-US"/>
              </w:rPr>
              <w:t>: &lt; Global Packet Timing Advance IE &gt; &gt;</w:t>
            </w:r>
          </w:p>
          <w:p w14:paraId="774504ED"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Packet Extended Timing Advance</w:t>
            </w:r>
            <w:r w:rsidRPr="004D0DAA">
              <w:rPr>
                <w:lang w:eastAsia="en-US"/>
              </w:rPr>
              <w:t xml:space="preserve"> : bit (2) &gt; }</w:t>
            </w:r>
          </w:p>
          <w:p w14:paraId="2DDAF18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Cs w:val="18"/>
                <w:lang w:eastAsia="en-US"/>
              </w:rPr>
              <w:t xml:space="preserve">{ 0 | 1 &lt; </w:t>
            </w:r>
            <w:r w:rsidRPr="004D0DAA">
              <w:rPr>
                <w:b/>
                <w:lang w:eastAsia="en-US"/>
              </w:rPr>
              <w:t>PTCCH_CARRIER</w:t>
            </w:r>
            <w:r w:rsidRPr="004D0DAA">
              <w:rPr>
                <w:lang w:eastAsia="en-US"/>
              </w:rPr>
              <w:t xml:space="preserve"> : bit (4) &gt; </w:t>
            </w:r>
            <w:r w:rsidRPr="004D0DAA">
              <w:rPr>
                <w:szCs w:val="18"/>
                <w:lang w:eastAsia="en-US"/>
              </w:rPr>
              <w:t xml:space="preserve">} </w:t>
            </w:r>
          </w:p>
          <w:p w14:paraId="43716359"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t xml:space="preserve">&lt; </w:t>
            </w:r>
            <w:r w:rsidRPr="004D0DAA">
              <w:rPr>
                <w:b/>
                <w:szCs w:val="18"/>
                <w:lang w:eastAsia="en-US"/>
              </w:rPr>
              <w:t>PDAN Coding</w:t>
            </w:r>
            <w:r w:rsidRPr="004D0DAA">
              <w:rPr>
                <w:szCs w:val="18"/>
                <w:lang w:eastAsia="en-US"/>
              </w:rPr>
              <w:t xml:space="preserve"> : bit (1) &gt;</w:t>
            </w:r>
          </w:p>
          <w:p w14:paraId="6FFD1EDA"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t xml:space="preserve">&lt; </w:t>
            </w:r>
            <w:r w:rsidRPr="004D0DAA">
              <w:rPr>
                <w:b/>
                <w:szCs w:val="18"/>
                <w:lang w:eastAsia="en-US"/>
              </w:rPr>
              <w:t>Extended SNS</w:t>
            </w:r>
            <w:r w:rsidRPr="004D0DAA">
              <w:rPr>
                <w:szCs w:val="18"/>
                <w:lang w:eastAsia="en-US"/>
              </w:rPr>
              <w:t xml:space="preserve"> : bit (1) &gt;</w:t>
            </w:r>
          </w:p>
          <w:p w14:paraId="5C958303" w14:textId="77777777" w:rsidR="00711444" w:rsidRPr="004D0DAA" w:rsidRDefault="00711444" w:rsidP="00AA2A4C">
            <w:pPr>
              <w:pStyle w:val="TAL"/>
              <w:rPr>
                <w:lang w:eastAsia="en-US"/>
              </w:rPr>
            </w:pP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 </w:t>
            </w:r>
          </w:p>
          <w:p w14:paraId="6ECFE0A1"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val="en-US"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iCs/>
                <w:lang w:eastAsia="en-US"/>
              </w:rPr>
              <w:t>of downlink TBF</w:t>
            </w:r>
            <w:r w:rsidRPr="004D0DAA">
              <w:rPr>
                <w:iCs/>
                <w:lang w:eastAsia="en-US"/>
              </w:rPr>
              <w:t xml:space="preserve"> : bit (7) &gt;</w:t>
            </w:r>
            <w:r w:rsidRPr="004D0DAA">
              <w:rPr>
                <w:lang w:eastAsia="en-US"/>
              </w:rPr>
              <w:t xml:space="preserve"> }</w:t>
            </w:r>
          </w:p>
          <w:p w14:paraId="37E978D3"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val="en-US" w:eastAsia="en-US"/>
              </w:rPr>
              <w:tab/>
            </w:r>
            <w:r w:rsidRPr="004D0DAA">
              <w:rPr>
                <w:lang w:eastAsia="en-US"/>
              </w:rPr>
              <w:t xml:space="preserve">&lt; </w:t>
            </w:r>
            <w:r w:rsidRPr="004D0DAA">
              <w:rPr>
                <w:b/>
                <w:lang w:eastAsia="en-US"/>
              </w:rPr>
              <w:t xml:space="preserve">Downlink NPM Transfer Time </w:t>
            </w:r>
            <w:r w:rsidRPr="004D0DAA">
              <w:rPr>
                <w:lang w:eastAsia="en-US"/>
              </w:rPr>
              <w:t>: bit (5) &gt; }</w:t>
            </w:r>
          </w:p>
          <w:p w14:paraId="12CD05B4"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eastAsia="en-US"/>
              </w:rPr>
              <w:tab/>
            </w:r>
            <w:r w:rsidRPr="004D0DAA">
              <w:rPr>
                <w:lang w:eastAsia="en-US"/>
              </w:rPr>
              <w:tab/>
              <w:t>-- '</w:t>
            </w:r>
            <w:r w:rsidRPr="004D0DAA">
              <w:rPr>
                <w:i/>
                <w:iCs/>
                <w:lang w:eastAsia="en-US"/>
              </w:rPr>
              <w:t xml:space="preserve">1' indicates  </w:t>
            </w:r>
            <w:r w:rsidRPr="004D0DAA">
              <w:rPr>
                <w:i/>
                <w:lang w:eastAsia="en-US"/>
              </w:rPr>
              <w:t>Fast Ack/Nack Reporting is activated for downlink TBF</w:t>
            </w:r>
          </w:p>
          <w:p w14:paraId="5E60961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szCs w:val="18"/>
                <w:lang w:eastAsia="en-US"/>
              </w:rPr>
              <w:tab/>
            </w:r>
            <w:r w:rsidRPr="004D0DAA">
              <w:rPr>
                <w:lang w:eastAsia="en-US"/>
              </w:rPr>
              <w:t xml:space="preserve">&lt; </w:t>
            </w:r>
            <w:r w:rsidRPr="004D0DAA">
              <w:rPr>
                <w:b/>
                <w:lang w:eastAsia="en-US"/>
              </w:rPr>
              <w:t>EVENT_BASED_FANR</w:t>
            </w:r>
            <w:r w:rsidRPr="004D0DAA">
              <w:rPr>
                <w:lang w:eastAsia="en-US"/>
              </w:rPr>
              <w:t>: bit (1) &gt; }</w:t>
            </w:r>
          </w:p>
          <w:p w14:paraId="3A69F58C"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0DFDE0DE"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iCs/>
                <w:lang w:eastAsia="en-US"/>
              </w:rPr>
              <w:t xml:space="preserve">&lt; </w:t>
            </w:r>
            <w:r w:rsidRPr="004D0DAA">
              <w:rPr>
                <w:b/>
                <w:iCs/>
                <w:lang w:eastAsia="en-US"/>
              </w:rPr>
              <w:t xml:space="preserve">Indication of Upper Layer PDU Start for RLC UM </w:t>
            </w:r>
            <w:r w:rsidRPr="004D0DAA">
              <w:rPr>
                <w:iCs/>
                <w:lang w:eastAsia="en-US"/>
              </w:rPr>
              <w:t>: bit  &gt;</w:t>
            </w:r>
          </w:p>
          <w:p w14:paraId="5FA8526E"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xml:space="preserve">&lt; </w:t>
            </w:r>
            <w:r w:rsidRPr="004D0DAA">
              <w:rPr>
                <w:rFonts w:cs="Arial"/>
                <w:b/>
                <w:lang w:eastAsia="en-US"/>
              </w:rPr>
              <w:t>EGPRS Packet Downlink Ack/Nack Type 3</w:t>
            </w:r>
            <w:r w:rsidRPr="004D0DAA">
              <w:rPr>
                <w:lang w:eastAsia="en-US"/>
              </w:rPr>
              <w:t xml:space="preserve"> </w:t>
            </w:r>
            <w:r w:rsidRPr="004D0DAA">
              <w:rPr>
                <w:b/>
                <w:bCs/>
                <w:lang w:eastAsia="en-US"/>
              </w:rPr>
              <w:t>Support</w:t>
            </w:r>
            <w:r w:rsidRPr="004D0DAA">
              <w:rPr>
                <w:lang w:eastAsia="en-US"/>
              </w:rPr>
              <w:t xml:space="preserve"> : bit(1) &gt; </w:t>
            </w:r>
          </w:p>
          <w:p w14:paraId="576F1F2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EGPRS Channel Coding Command</w:t>
            </w:r>
            <w:r w:rsidRPr="004D0DAA">
              <w:rPr>
                <w:lang w:eastAsia="en-US"/>
              </w:rPr>
              <w:t xml:space="preserve"> : &lt; EGPRS Modulation and Coding Scheme IE &gt;&gt; </w:t>
            </w:r>
            <w:r w:rsidRPr="004D0DAA">
              <w:rPr>
                <w:szCs w:val="18"/>
                <w:lang w:eastAsia="en-US"/>
              </w:rPr>
              <w:t>}</w:t>
            </w:r>
          </w:p>
          <w:p w14:paraId="5D09EE4F" w14:textId="77777777" w:rsidR="00711444" w:rsidRPr="004D0DAA" w:rsidRDefault="00711444" w:rsidP="00AA2A4C">
            <w:pPr>
              <w:pStyle w:val="TAL"/>
              <w:rPr>
                <w:rFonts w:cs="Arial"/>
                <w:szCs w:val="18"/>
                <w:lang w:eastAsia="en-US"/>
              </w:rPr>
            </w:pPr>
            <w:r w:rsidRPr="004D0DAA">
              <w:rPr>
                <w:rFonts w:cs="Arial"/>
                <w:szCs w:val="18"/>
                <w:lang w:eastAsia="en-US"/>
              </w:rPr>
              <w:tab/>
              <w:t>{</w:t>
            </w:r>
            <w:r w:rsidRPr="004D0DAA">
              <w:rPr>
                <w:rFonts w:cs="Arial"/>
                <w:szCs w:val="18"/>
                <w:lang w:eastAsia="en-US"/>
              </w:rPr>
              <w:tab/>
              <w:t xml:space="preserve">&lt; </w:t>
            </w:r>
            <w:r w:rsidRPr="004D0DAA">
              <w:rPr>
                <w:rFonts w:cs="Arial"/>
                <w:b/>
                <w:szCs w:val="18"/>
                <w:lang w:eastAsia="en-US"/>
              </w:rPr>
              <w:t>RESEGMENT</w:t>
            </w:r>
            <w:r w:rsidRPr="004D0DAA">
              <w:rPr>
                <w:rFonts w:cs="Arial"/>
                <w:szCs w:val="18"/>
                <w:lang w:eastAsia="en-US"/>
              </w:rPr>
              <w:t> : bit (1) &gt;</w:t>
            </w:r>
          </w:p>
          <w:p w14:paraId="610824D0"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t xml:space="preserve">{ 1 </w:t>
            </w:r>
            <w:r w:rsidRPr="004D0DAA">
              <w:rPr>
                <w:lang w:eastAsia="en-US"/>
              </w:rPr>
              <w:t xml:space="preserve">&lt; </w:t>
            </w:r>
            <w:r w:rsidRPr="004D0DAA">
              <w:rPr>
                <w:rFonts w:cs="Arial"/>
                <w:szCs w:val="18"/>
                <w:lang w:eastAsia="en-US"/>
              </w:rPr>
              <w:t xml:space="preserve">&lt; </w:t>
            </w:r>
            <w:r w:rsidRPr="004D0DAA">
              <w:rPr>
                <w:rFonts w:cs="Arial"/>
                <w:b/>
                <w:szCs w:val="18"/>
                <w:lang w:eastAsia="en-US"/>
              </w:rPr>
              <w:t xml:space="preserve">DLMC UL Carrier Info : </w:t>
            </w:r>
            <w:r w:rsidRPr="004D0DAA">
              <w:rPr>
                <w:rFonts w:cs="Arial"/>
                <w:szCs w:val="18"/>
                <w:lang w:eastAsia="en-US"/>
              </w:rPr>
              <w:t>&lt; DLMC UL Carrier Info struct &gt;</w:t>
            </w:r>
            <w:r w:rsidRPr="004D0DAA">
              <w:rPr>
                <w:lang w:eastAsia="en-US"/>
              </w:rPr>
              <w:t xml:space="preserve"> &gt; } ** 0</w:t>
            </w:r>
          </w:p>
          <w:p w14:paraId="107930C8"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lang w:eastAsia="en-US"/>
              </w:rPr>
              <w:tab/>
              <w:t>{ 0 | 1</w:t>
            </w:r>
            <w:r w:rsidRPr="004D0DAA">
              <w:rPr>
                <w:lang w:val="en-US" w:eastAsia="en-US"/>
              </w:rPr>
              <w:tab/>
            </w:r>
            <w:r w:rsidRPr="004D0DAA">
              <w:rPr>
                <w:rFonts w:cs="Arial"/>
                <w:szCs w:val="18"/>
                <w:lang w:eastAsia="en-US"/>
              </w:rPr>
              <w:t xml:space="preserve">&lt; </w:t>
            </w:r>
            <w:r w:rsidRPr="004D0DAA">
              <w:rPr>
                <w:rFonts w:cs="Arial"/>
                <w:b/>
                <w:szCs w:val="18"/>
                <w:lang w:eastAsia="en-US"/>
              </w:rPr>
              <w:t>UPLINK EGPRS Window Size</w:t>
            </w:r>
            <w:r w:rsidRPr="004D0DAA">
              <w:rPr>
                <w:rFonts w:cs="Arial"/>
                <w:szCs w:val="18"/>
                <w:lang w:eastAsia="en-US"/>
              </w:rPr>
              <w:t> : &lt; EGPRS Window Size IE &gt; &gt; }</w:t>
            </w:r>
          </w:p>
          <w:p w14:paraId="14512DBE" w14:textId="77777777" w:rsidR="00711444" w:rsidRPr="004D0DAA" w:rsidRDefault="00711444" w:rsidP="00AA2A4C">
            <w:pPr>
              <w:pStyle w:val="TAL"/>
              <w:rPr>
                <w:lang w:eastAsia="en-US"/>
              </w:rPr>
            </w:pPr>
            <w:r w:rsidRPr="004D0DAA">
              <w:rPr>
                <w:lang w:eastAsia="en-US"/>
              </w:rPr>
              <w:tab/>
            </w:r>
            <w:r w:rsidRPr="004D0DAA">
              <w:rPr>
                <w:rFonts w:cs="Arial"/>
                <w:szCs w:val="18"/>
                <w:lang w:eastAsia="en-US"/>
              </w:rPr>
              <w:tab/>
            </w:r>
            <w:r w:rsidRPr="004D0DAA">
              <w:rPr>
                <w:lang w:eastAsia="en-US"/>
              </w:rPr>
              <w:t xml:space="preserve">&lt; </w:t>
            </w:r>
            <w:r w:rsidRPr="004D0DAA">
              <w:rPr>
                <w:b/>
                <w:lang w:eastAsia="en-US"/>
              </w:rPr>
              <w:t>UPLINK_TFI_ASSIGNMENT</w:t>
            </w:r>
            <w:r w:rsidRPr="004D0DAA">
              <w:rPr>
                <w:lang w:eastAsia="en-US"/>
              </w:rPr>
              <w:t xml:space="preserve"> : bit (5) &gt;</w:t>
            </w:r>
          </w:p>
          <w:p w14:paraId="095497A3"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val="en-US" w:eastAsia="en-US"/>
              </w:rPr>
              <w:tab/>
            </w:r>
            <w:r w:rsidRPr="004D0DAA">
              <w:rPr>
                <w:iCs/>
                <w:lang w:eastAsia="en-US"/>
              </w:rPr>
              <w:t xml:space="preserve">&lt; </w:t>
            </w:r>
            <w:r w:rsidRPr="004D0DAA">
              <w:rPr>
                <w:b/>
                <w:bCs/>
                <w:iCs/>
                <w:lang w:eastAsia="en-US"/>
              </w:rPr>
              <w:t>PFI</w:t>
            </w:r>
            <w:r w:rsidRPr="004D0DAA">
              <w:rPr>
                <w:iCs/>
                <w:lang w:eastAsia="en-US"/>
              </w:rPr>
              <w:t xml:space="preserve"> </w:t>
            </w:r>
            <w:r w:rsidRPr="004D0DAA">
              <w:rPr>
                <w:b/>
                <w:iCs/>
                <w:lang w:eastAsia="en-US"/>
              </w:rPr>
              <w:t>of uplink TBF</w:t>
            </w:r>
            <w:r w:rsidRPr="004D0DAA">
              <w:rPr>
                <w:iCs/>
                <w:lang w:eastAsia="en-US"/>
              </w:rPr>
              <w:t xml:space="preserve"> : bit (7) &gt;</w:t>
            </w:r>
            <w:r w:rsidRPr="004D0DAA">
              <w:rPr>
                <w:lang w:eastAsia="en-US"/>
              </w:rPr>
              <w:t xml:space="preserve"> }</w:t>
            </w:r>
          </w:p>
          <w:p w14:paraId="0D49F1E1" w14:textId="77777777" w:rsidR="00711444" w:rsidRPr="004D0DAA" w:rsidRDefault="00711444" w:rsidP="00AA2A4C">
            <w:pPr>
              <w:pStyle w:val="TAL"/>
              <w:rPr>
                <w:iCs/>
                <w:lang w:eastAsia="en-US"/>
              </w:rPr>
            </w:pPr>
            <w:r w:rsidRPr="004D0DAA">
              <w:rPr>
                <w:iCs/>
                <w:lang w:eastAsia="en-US"/>
              </w:rPr>
              <w:tab/>
            </w:r>
            <w:r w:rsidRPr="004D0DAA">
              <w:rPr>
                <w:iCs/>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UPLINK_RLC_MODE</w:t>
            </w:r>
            <w:r w:rsidRPr="004D0DAA">
              <w:rPr>
                <w:iCs/>
                <w:lang w:eastAsia="en-US"/>
              </w:rPr>
              <w:t xml:space="preserve"> : bit (1) &gt; }</w:t>
            </w:r>
          </w:p>
          <w:p w14:paraId="68D0F7E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Uplink NPM Transfer Time </w:t>
            </w:r>
            <w:r w:rsidRPr="004D0DAA">
              <w:rPr>
                <w:iCs/>
                <w:lang w:eastAsia="en-US"/>
              </w:rPr>
              <w:t>: bit (5) &gt;</w:t>
            </w:r>
            <w:r w:rsidRPr="004D0DAA">
              <w:rPr>
                <w:lang w:eastAsia="en-US"/>
              </w:rPr>
              <w:t xml:space="preserve"> }</w:t>
            </w:r>
          </w:p>
          <w:p w14:paraId="33C3A82C"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t xml:space="preserve">-- </w:t>
            </w:r>
            <w:r w:rsidRPr="004D0DAA">
              <w:rPr>
                <w:i/>
                <w:iCs/>
                <w:lang w:eastAsia="en-US"/>
              </w:rPr>
              <w:t>'1' indicates that FANR</w:t>
            </w:r>
            <w:r w:rsidRPr="004D0DAA">
              <w:rPr>
                <w:i/>
                <w:lang w:eastAsia="en-US"/>
              </w:rPr>
              <w:t xml:space="preserve"> is  activated</w:t>
            </w:r>
          </w:p>
          <w:p w14:paraId="7417637E"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t xml:space="preserve">{ 0 </w:t>
            </w:r>
            <w:r w:rsidRPr="004D0DAA">
              <w:rPr>
                <w:lang w:eastAsia="en-US"/>
              </w:rPr>
              <w:tab/>
            </w:r>
            <w:r w:rsidRPr="004D0DAA">
              <w:rPr>
                <w:lang w:eastAsia="en-US"/>
              </w:rPr>
              <w:tab/>
              <w:t xml:space="preserve">-- </w:t>
            </w:r>
            <w:r w:rsidRPr="004D0DAA">
              <w:rPr>
                <w:i/>
                <w:lang w:eastAsia="en-US"/>
              </w:rPr>
              <w:t>SSN-based encoding is selected</w:t>
            </w:r>
          </w:p>
          <w:p w14:paraId="4050CBDD"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lang w:eastAsia="en-US"/>
              </w:rPr>
              <w:tab/>
              <w:t xml:space="preserve">| 1 </w:t>
            </w:r>
            <w:r w:rsidRPr="004D0DAA">
              <w:rPr>
                <w:lang w:eastAsia="en-US"/>
              </w:rPr>
              <w:tab/>
            </w:r>
            <w:r w:rsidRPr="004D0DAA">
              <w:rPr>
                <w:lang w:eastAsia="en-US"/>
              </w:rPr>
              <w:tab/>
              <w:t xml:space="preserve">-- </w:t>
            </w:r>
            <w:r w:rsidRPr="004D0DAA">
              <w:rPr>
                <w:i/>
                <w:lang w:eastAsia="en-US"/>
              </w:rPr>
              <w:t>Time-based encoding is selected</w:t>
            </w:r>
          </w:p>
          <w:p w14:paraId="76A9B71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REPORTED TIMESLOTS</w:t>
            </w:r>
            <w:r w:rsidRPr="004D0DAA">
              <w:rPr>
                <w:lang w:eastAsia="en-US"/>
              </w:rPr>
              <w:t xml:space="preserve"> : bit (8) &gt;</w:t>
            </w:r>
            <w:r w:rsidRPr="004D0DAA">
              <w:rPr>
                <w:lang w:eastAsia="en-US"/>
              </w:rPr>
              <w:tab/>
            </w:r>
          </w:p>
          <w:p w14:paraId="67E3184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TSH</w:t>
            </w:r>
            <w:r w:rsidRPr="004D0DAA">
              <w:rPr>
                <w:lang w:eastAsia="en-US"/>
              </w:rPr>
              <w:t xml:space="preserve"> : bit (2) &gt; } } </w:t>
            </w:r>
          </w:p>
          <w:p w14:paraId="0E27F52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2DF48EF8"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Pulse Format</w:t>
            </w:r>
            <w:r w:rsidRPr="004D0DAA">
              <w:rPr>
                <w:lang w:eastAsia="en-US"/>
              </w:rPr>
              <w:t>: &lt; Pulse Format IE &gt; &gt; }</w:t>
            </w:r>
          </w:p>
          <w:p w14:paraId="1A1D839B"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lang w:eastAsia="en-US"/>
              </w:rPr>
              <w:t>{ 0 | 1</w:t>
            </w:r>
            <w:r w:rsidRPr="004D0DAA">
              <w:rPr>
                <w:lang w:eastAsia="en-US"/>
              </w:rPr>
              <w:tab/>
              <w:t xml:space="preserve">&lt; </w:t>
            </w:r>
            <w:r w:rsidRPr="004D0DAA">
              <w:rPr>
                <w:b/>
                <w:lang w:eastAsia="en-US"/>
              </w:rPr>
              <w:t>Uplink Control Timeslot</w:t>
            </w:r>
            <w:r w:rsidRPr="004D0DAA">
              <w:rPr>
                <w:lang w:eastAsia="en-US"/>
              </w:rPr>
              <w:t xml:space="preserve"> : bit (3) &gt; } </w:t>
            </w:r>
            <w:r w:rsidRPr="004D0DAA">
              <w:rPr>
                <w:rFonts w:cs="Arial"/>
                <w:szCs w:val="18"/>
                <w:lang w:eastAsia="en-US"/>
              </w:rPr>
              <w:t>}</w:t>
            </w:r>
          </w:p>
          <w:p w14:paraId="794E9E0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NETWORK_CONTROL_ORDER</w:t>
            </w:r>
            <w:r w:rsidRPr="004D0DAA">
              <w:rPr>
                <w:lang w:eastAsia="en-US"/>
              </w:rPr>
              <w:t xml:space="preserve"> : bit (2) &gt;</w:t>
            </w:r>
          </w:p>
          <w:p w14:paraId="5811991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RLC_RESET</w:t>
            </w:r>
            <w:r w:rsidRPr="004D0DAA">
              <w:rPr>
                <w:lang w:eastAsia="en-US"/>
              </w:rPr>
              <w:t xml:space="preserve"> : bit (1) &gt; ;</w:t>
            </w:r>
          </w:p>
          <w:p w14:paraId="362B98EB" w14:textId="77777777" w:rsidR="00711444" w:rsidRPr="004D0DAA" w:rsidRDefault="00711444" w:rsidP="00AA2A4C">
            <w:pPr>
              <w:pStyle w:val="TAL"/>
              <w:rPr>
                <w:lang w:eastAsia="en-US"/>
              </w:rPr>
            </w:pPr>
          </w:p>
        </w:tc>
      </w:tr>
      <w:tr w:rsidR="00711444" w:rsidRPr="004D0DAA" w14:paraId="05C01B4D" w14:textId="77777777" w:rsidTr="00AA2A4C">
        <w:tblPrEx>
          <w:tblCellMar>
            <w:top w:w="0" w:type="dxa"/>
            <w:bottom w:w="0" w:type="dxa"/>
          </w:tblCellMar>
        </w:tblPrEx>
        <w:trPr>
          <w:cantSplit/>
        </w:trPr>
        <w:tc>
          <w:tcPr>
            <w:tcW w:w="9848" w:type="dxa"/>
          </w:tcPr>
          <w:p w14:paraId="3E7D830A" w14:textId="77777777" w:rsidR="00711444" w:rsidRPr="004D0DAA" w:rsidRDefault="00711444" w:rsidP="00AA2A4C">
            <w:pPr>
              <w:pStyle w:val="TAL"/>
              <w:rPr>
                <w:lang w:eastAsia="en-US"/>
              </w:rPr>
            </w:pPr>
            <w:r w:rsidRPr="004D0DAA">
              <w:rPr>
                <w:lang w:eastAsia="en-US"/>
              </w:rPr>
              <w:t>&lt; CCN Support Description struct &gt; ::=</w:t>
            </w:r>
            <w:r w:rsidRPr="004D0DAA">
              <w:rPr>
                <w:lang w:eastAsia="en-US"/>
              </w:rPr>
              <w:br/>
            </w:r>
            <w:r w:rsidRPr="004D0DAA">
              <w:rPr>
                <w:lang w:eastAsia="en-US"/>
              </w:rPr>
              <w:tab/>
              <w:t xml:space="preserve">&lt; </w:t>
            </w:r>
            <w:r w:rsidRPr="004D0DAA">
              <w:rPr>
                <w:b/>
                <w:lang w:eastAsia="en-US"/>
              </w:rPr>
              <w:t>Number_Cells</w:t>
            </w:r>
            <w:r w:rsidRPr="004D0DAA">
              <w:rPr>
                <w:lang w:eastAsia="en-US"/>
              </w:rPr>
              <w:t xml:space="preserve"> : bit (7) &gt;</w:t>
            </w:r>
            <w:r w:rsidRPr="004D0DAA">
              <w:rPr>
                <w:lang w:eastAsia="en-US"/>
              </w:rPr>
              <w:br/>
            </w:r>
            <w:r w:rsidRPr="004D0DAA">
              <w:rPr>
                <w:lang w:eastAsia="en-US"/>
              </w:rPr>
              <w:tab/>
              <w:t xml:space="preserve">{ </w:t>
            </w:r>
            <w:r w:rsidRPr="004D0DAA">
              <w:rPr>
                <w:b/>
                <w:lang w:eastAsia="en-US"/>
              </w:rPr>
              <w:t>CCN_SUPPORTED</w:t>
            </w:r>
            <w:r w:rsidRPr="004D0DAA">
              <w:rPr>
                <w:lang w:eastAsia="en-US"/>
              </w:rPr>
              <w:t xml:space="preserve"> : bit } * (val(Number_Cells)) ;</w:t>
            </w:r>
          </w:p>
          <w:p w14:paraId="7018E2C2" w14:textId="77777777" w:rsidR="00711444" w:rsidRPr="004D0DAA" w:rsidRDefault="00711444" w:rsidP="00AA2A4C">
            <w:pPr>
              <w:pStyle w:val="TAL"/>
              <w:rPr>
                <w:lang w:eastAsia="en-US"/>
              </w:rPr>
            </w:pPr>
          </w:p>
        </w:tc>
      </w:tr>
      <w:tr w:rsidR="00711444" w:rsidRPr="004D0DAA" w14:paraId="644D22EE" w14:textId="77777777" w:rsidTr="00AA2A4C">
        <w:tblPrEx>
          <w:tblCellMar>
            <w:top w:w="0" w:type="dxa"/>
            <w:bottom w:w="0" w:type="dxa"/>
          </w:tblCellMar>
        </w:tblPrEx>
        <w:trPr>
          <w:cantSplit/>
        </w:trPr>
        <w:tc>
          <w:tcPr>
            <w:tcW w:w="9848" w:type="dxa"/>
          </w:tcPr>
          <w:p w14:paraId="35E3FEF6" w14:textId="77777777" w:rsidR="00711444" w:rsidRPr="004D0DAA" w:rsidRDefault="00711444" w:rsidP="00AA2A4C">
            <w:pPr>
              <w:pStyle w:val="TAL"/>
              <w:rPr>
                <w:lang w:eastAsia="en-US"/>
              </w:rPr>
            </w:pPr>
            <w:r w:rsidRPr="004D0DAA">
              <w:rPr>
                <w:lang w:eastAsia="en-US"/>
              </w:rPr>
              <w:lastRenderedPageBreak/>
              <w:t>&lt; UFPS struct &gt; ::=</w:t>
            </w:r>
          </w:p>
          <w:p w14:paraId="06B900BB"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released</w:t>
            </w:r>
          </w:p>
          <w:p w14:paraId="025DC5DA"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UFPS remains unchanged (</w:t>
            </w:r>
            <w:r w:rsidRPr="004D0DAA">
              <w:rPr>
                <w:i/>
                <w:iCs/>
                <w:szCs w:val="18"/>
                <w:lang w:eastAsia="en-US"/>
              </w:rPr>
              <w:t>no information provided)</w:t>
            </w:r>
          </w:p>
          <w:p w14:paraId="627BED59" w14:textId="77777777" w:rsidR="00711444" w:rsidRPr="004D0DAA" w:rsidRDefault="00711444" w:rsidP="00AA2A4C">
            <w:pPr>
              <w:pStyle w:val="TAL"/>
              <w:rPr>
                <w:lang w:eastAsia="en-US"/>
              </w:rPr>
            </w:pPr>
            <w:r w:rsidRPr="004D0DAA">
              <w:rPr>
                <w:lang w:eastAsia="en-US"/>
              </w:rPr>
              <w:tab/>
            </w:r>
            <w:r w:rsidRPr="004D0DAA">
              <w:rPr>
                <w:lang w:eastAsia="en-US"/>
              </w:rPr>
              <w:tab/>
              <w:t>| 10</w:t>
            </w:r>
            <w:r w:rsidRPr="004D0DAA">
              <w:rPr>
                <w:lang w:eastAsia="en-US"/>
              </w:rPr>
              <w:tab/>
            </w:r>
            <w:r w:rsidRPr="004D0DAA">
              <w:rPr>
                <w:lang w:eastAsia="en-US"/>
              </w:rPr>
              <w:tab/>
            </w:r>
            <w:r w:rsidRPr="004D0DAA">
              <w:rPr>
                <w:lang w:eastAsia="en-US"/>
              </w:rPr>
              <w:tab/>
            </w:r>
            <w:r w:rsidRPr="004D0DAA">
              <w:rPr>
                <w:i/>
                <w:szCs w:val="18"/>
                <w:lang w:eastAsia="en-US"/>
              </w:rPr>
              <w:t>-- Existing UFPS changed/new UFPS provided</w:t>
            </w:r>
          </w:p>
          <w:p w14:paraId="474D4F2B" w14:textId="77777777" w:rsidR="00711444" w:rsidRPr="004D0DAA" w:rsidRDefault="00711444" w:rsidP="00AA2A4C">
            <w:pPr>
              <w:pStyle w:val="TAL"/>
              <w:rPr>
                <w:i/>
                <w:szCs w:val="18"/>
                <w:lang w:eastAsia="en-US"/>
              </w:rPr>
            </w:pPr>
            <w:r w:rsidRPr="004D0DAA">
              <w:rPr>
                <w:lang w:eastAsia="en-US"/>
              </w:rPr>
              <w:tab/>
            </w:r>
            <w:r w:rsidRPr="004D0DAA">
              <w:rPr>
                <w:lang w:eastAsia="en-US"/>
              </w:rPr>
              <w:tab/>
            </w:r>
            <w:r w:rsidRPr="004D0DAA">
              <w:rPr>
                <w:lang w:eastAsia="en-US"/>
              </w:rPr>
              <w:tab/>
            </w:r>
            <w:r w:rsidRPr="004D0DAA">
              <w:rPr>
                <w:lang w:eastAsia="en-US"/>
              </w:rPr>
              <w:tab/>
              <w:t>{ 0</w:t>
            </w:r>
            <w:r w:rsidRPr="004D0DAA">
              <w:rPr>
                <w:szCs w:val="18"/>
                <w:lang w:eastAsia="en-US"/>
              </w:rPr>
              <w:tab/>
            </w:r>
            <w:r w:rsidRPr="004D0DAA">
              <w:rPr>
                <w:szCs w:val="18"/>
                <w:lang w:eastAsia="en-US"/>
              </w:rPr>
              <w:tab/>
            </w:r>
            <w:r w:rsidRPr="004D0DAA">
              <w:rPr>
                <w:i/>
                <w:szCs w:val="18"/>
                <w:lang w:eastAsia="en-US"/>
              </w:rPr>
              <w:t>-- Existing DLMC Frequency Parameters unchanged</w:t>
            </w:r>
          </w:p>
          <w:p w14:paraId="7BE2FB4F" w14:textId="77777777" w:rsidR="00711444" w:rsidRPr="004D0DAA" w:rsidRDefault="00711444" w:rsidP="00AA2A4C">
            <w:pPr>
              <w:spacing w:after="0"/>
              <w:rPr>
                <w:rFonts w:ascii="Arial" w:hAnsi="Arial" w:cs="Arial"/>
                <w:sz w:val="18"/>
              </w:rPr>
            </w:pPr>
            <w:r w:rsidRPr="004D0DAA">
              <w:tab/>
            </w:r>
            <w:r w:rsidRPr="004D0DAA">
              <w:tab/>
            </w:r>
            <w:r w:rsidRPr="004D0DAA">
              <w:tab/>
            </w:r>
            <w:r w:rsidRPr="004D0DAA">
              <w:tab/>
            </w:r>
            <w:r w:rsidRPr="004D0DAA">
              <w:tab/>
            </w:r>
            <w:r w:rsidRPr="004D0DAA">
              <w:rPr>
                <w:rFonts w:ascii="Arial" w:hAnsi="Arial" w:cs="Arial"/>
                <w:sz w:val="18"/>
              </w:rPr>
              <w:t>| 1</w:t>
            </w:r>
            <w:r w:rsidRPr="004D0DAA">
              <w:rPr>
                <w:rFonts w:ascii="Arial" w:hAnsi="Arial" w:cs="Arial"/>
                <w:sz w:val="18"/>
              </w:rPr>
              <w:tab/>
              <w:t xml:space="preserve">&lt; </w:t>
            </w:r>
            <w:r w:rsidRPr="004D0DAA">
              <w:rPr>
                <w:rFonts w:ascii="Arial" w:hAnsi="Arial" w:cs="Arial"/>
                <w:b/>
                <w:sz w:val="18"/>
              </w:rPr>
              <w:t>DLMC Frequency Parameters</w:t>
            </w:r>
            <w:r w:rsidRPr="004D0DAA">
              <w:rPr>
                <w:rFonts w:ascii="Arial" w:hAnsi="Arial" w:cs="Arial"/>
                <w:sz w:val="18"/>
              </w:rPr>
              <w:t xml:space="preserve"> : &lt; DLMC Frequency Parameters IE &gt; &gt; }</w:t>
            </w:r>
          </w:p>
          <w:p w14:paraId="4DD00BF8" w14:textId="77777777" w:rsidR="00711444" w:rsidRPr="004D0DAA" w:rsidRDefault="00711444" w:rsidP="00AA2A4C">
            <w:pPr>
              <w:spacing w:after="0"/>
              <w:rPr>
                <w:rFonts w:ascii="Arial" w:hAnsi="Arial" w:cs="Arial"/>
                <w:sz w:val="18"/>
              </w:rPr>
            </w:pPr>
            <w:r w:rsidRPr="004D0DAA">
              <w:rPr>
                <w:rFonts w:ascii="Arial" w:hAnsi="Arial" w:cs="Arial"/>
                <w:sz w:val="18"/>
              </w:rPr>
              <w:tab/>
            </w:r>
            <w:r w:rsidRPr="004D0DAA">
              <w:tab/>
            </w:r>
            <w:r w:rsidRPr="004D0DAA">
              <w:tab/>
            </w:r>
            <w:r w:rsidRPr="004D0DAA">
              <w:tab/>
            </w:r>
            <w:r w:rsidRPr="004D0DAA">
              <w:rPr>
                <w:rFonts w:ascii="Arial" w:hAnsi="Arial" w:cs="Arial"/>
                <w:sz w:val="18"/>
              </w:rPr>
              <w:t xml:space="preserve">{ 1 &lt; </w:t>
            </w:r>
            <w:r w:rsidRPr="004D0DAA">
              <w:rPr>
                <w:rFonts w:ascii="Arial" w:hAnsi="Arial" w:cs="Arial"/>
                <w:b/>
                <w:sz w:val="18"/>
              </w:rPr>
              <w:t>CARRIER_SPECIFIC_INFO</w:t>
            </w:r>
            <w:r w:rsidRPr="004D0DAA">
              <w:rPr>
                <w:rFonts w:ascii="Arial" w:hAnsi="Arial" w:cs="Arial"/>
                <w:sz w:val="18"/>
              </w:rPr>
              <w:t xml:space="preserve"> : &lt; Carrier Specific Info struct &gt; &gt; } ** 0</w:t>
            </w:r>
            <w:r w:rsidRPr="004D0DAA">
              <w:rPr>
                <w:rFonts w:ascii="Arial" w:hAnsi="Arial" w:cs="Arial"/>
                <w:sz w:val="18"/>
              </w:rPr>
              <w:tab/>
            </w:r>
          </w:p>
          <w:p w14:paraId="4168161D"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t>| 11</w:t>
            </w:r>
            <w:r w:rsidRPr="004D0DAA">
              <w:rPr>
                <w:rFonts w:cs="Arial"/>
                <w:lang w:eastAsia="en-US"/>
              </w:rPr>
              <w:tab/>
            </w:r>
            <w:r w:rsidRPr="004D0DAA">
              <w:rPr>
                <w:lang w:eastAsia="en-US"/>
              </w:rPr>
              <w:t>bit (*) = &lt; no string &gt;</w:t>
            </w:r>
            <w:r w:rsidRPr="004D0DAA">
              <w:rPr>
                <w:rFonts w:cs="Arial"/>
                <w:lang w:eastAsia="en-US"/>
              </w:rPr>
              <w:tab/>
            </w:r>
            <w:r w:rsidRPr="004D0DAA">
              <w:rPr>
                <w:rFonts w:cs="Arial"/>
                <w:lang w:eastAsia="en-US"/>
              </w:rPr>
              <w:tab/>
            </w:r>
            <w:r w:rsidRPr="004D0DAA">
              <w:rPr>
                <w:rFonts w:cs="Arial"/>
                <w:i/>
                <w:lang w:eastAsia="en-US"/>
              </w:rPr>
              <w:t>-- Reserved</w:t>
            </w:r>
          </w:p>
          <w:p w14:paraId="51253B63" w14:textId="77777777" w:rsidR="00711444" w:rsidRPr="004D0DAA" w:rsidRDefault="00711444" w:rsidP="00AA2A4C">
            <w:pPr>
              <w:rPr>
                <w:rFonts w:ascii="Arial" w:hAnsi="Arial" w:cs="Arial"/>
                <w:sz w:val="18"/>
              </w:rPr>
            </w:pPr>
            <w:r w:rsidRPr="004D0DAA">
              <w:rPr>
                <w:rFonts w:ascii="Arial" w:hAnsi="Arial" w:cs="Arial"/>
                <w:sz w:val="18"/>
              </w:rPr>
              <w:tab/>
              <w:t>};</w:t>
            </w:r>
          </w:p>
          <w:p w14:paraId="1C64318A" w14:textId="77777777" w:rsidR="00711444" w:rsidRPr="004D0DAA" w:rsidRDefault="00711444" w:rsidP="00AA2A4C">
            <w:pPr>
              <w:pStyle w:val="TAL"/>
              <w:rPr>
                <w:lang w:eastAsia="en-US"/>
              </w:rPr>
            </w:pPr>
            <w:r w:rsidRPr="004D0DAA">
              <w:rPr>
                <w:lang w:eastAsia="en-US"/>
              </w:rPr>
              <w:t>&lt; Carrier Specific Info struct &gt; ::=</w:t>
            </w:r>
          </w:p>
          <w:p w14:paraId="4ACD362D" w14:textId="77777777" w:rsidR="00711444" w:rsidRPr="004D0DAA" w:rsidRDefault="00711444" w:rsidP="00AA2A4C">
            <w:pPr>
              <w:pStyle w:val="TAL"/>
              <w:rPr>
                <w:i/>
                <w:iCs/>
                <w:szCs w:val="18"/>
                <w:lang w:eastAsia="en-US"/>
              </w:rPr>
            </w:pPr>
            <w:r w:rsidRPr="004D0DAA">
              <w:rPr>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Existing carrier released</w:t>
            </w:r>
          </w:p>
          <w:p w14:paraId="3DA43B48"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remains unchanged (</w:t>
            </w:r>
            <w:r w:rsidRPr="004D0DAA">
              <w:rPr>
                <w:i/>
                <w:iCs/>
                <w:szCs w:val="18"/>
                <w:lang w:eastAsia="en-US"/>
              </w:rPr>
              <w:t>no information provided)</w:t>
            </w:r>
          </w:p>
          <w:p w14:paraId="60831850" w14:textId="77777777" w:rsidR="00711444" w:rsidRPr="004D0DAA" w:rsidRDefault="00711444" w:rsidP="00AA2A4C">
            <w:pPr>
              <w:pStyle w:val="TAL"/>
              <w:rPr>
                <w:i/>
                <w:iCs/>
                <w:szCs w:val="18"/>
                <w:lang w:eastAsia="en-US"/>
              </w:rPr>
            </w:pPr>
            <w:r w:rsidRPr="004D0DAA">
              <w:rPr>
                <w:lang w:eastAsia="en-US"/>
              </w:rPr>
              <w:tab/>
            </w:r>
            <w:r w:rsidRPr="004D0DAA">
              <w:rPr>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i/>
                <w:szCs w:val="18"/>
                <w:lang w:eastAsia="en-US"/>
              </w:rPr>
              <w:t>-- Existing carrier changed/new carrier provided</w:t>
            </w:r>
          </w:p>
          <w:p w14:paraId="2048A92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w:t>
            </w:r>
            <w:r w:rsidRPr="004D0DAA">
              <w:rPr>
                <w:szCs w:val="18"/>
                <w:lang w:eastAsia="en-US"/>
              </w:rPr>
              <w:t xml:space="preserve"> 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BTTI mode</w:t>
            </w:r>
          </w:p>
          <w:p w14:paraId="1E8D185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timeslots as the lowest numbered carrier</w:t>
            </w:r>
          </w:p>
          <w:p w14:paraId="25EB10FB"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szCs w:val="18"/>
                <w:lang w:eastAsia="en-US"/>
              </w:rPr>
              <w:t xml:space="preserve">TIMESLOT_ALLOCATION </w:t>
            </w:r>
            <w:r w:rsidRPr="004D0DAA">
              <w:rPr>
                <w:szCs w:val="18"/>
                <w:lang w:eastAsia="en-US"/>
              </w:rPr>
              <w:t xml:space="preserve">: bit (8) &gt; } </w:t>
            </w:r>
          </w:p>
          <w:p w14:paraId="45F72514" w14:textId="77777777" w:rsidR="00711444" w:rsidRPr="004D0DAA" w:rsidRDefault="00711444" w:rsidP="00AA2A4C">
            <w:pPr>
              <w:pStyle w:val="TAL"/>
              <w:rPr>
                <w:szCs w:val="18"/>
                <w:lang w:eastAsia="en-US"/>
              </w:rPr>
            </w:pP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RTTI mode</w:t>
            </w:r>
          </w:p>
          <w:p w14:paraId="35565D7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0</w:t>
            </w:r>
            <w:r w:rsidRPr="004D0DAA">
              <w:rPr>
                <w:szCs w:val="18"/>
                <w:lang w:eastAsia="en-US"/>
              </w:rPr>
              <w:tab/>
            </w:r>
            <w:r w:rsidRPr="004D0DAA">
              <w:rPr>
                <w:szCs w:val="18"/>
                <w:lang w:eastAsia="en-US"/>
              </w:rPr>
              <w:tab/>
            </w:r>
            <w:r w:rsidRPr="004D0DAA">
              <w:rPr>
                <w:szCs w:val="18"/>
                <w:lang w:eastAsia="en-US"/>
              </w:rPr>
              <w:tab/>
            </w:r>
            <w:r w:rsidRPr="004D0DAA">
              <w:rPr>
                <w:rFonts w:cs="Arial"/>
                <w:lang w:eastAsia="en-US"/>
              </w:rPr>
              <w:tab/>
            </w:r>
            <w:r w:rsidRPr="004D0DAA">
              <w:rPr>
                <w:szCs w:val="18"/>
                <w:lang w:eastAsia="en-US"/>
              </w:rPr>
              <w:t xml:space="preserve">-- </w:t>
            </w:r>
            <w:r w:rsidRPr="004D0DAA">
              <w:rPr>
                <w:i/>
                <w:iCs/>
                <w:szCs w:val="18"/>
                <w:lang w:eastAsia="en-US"/>
              </w:rPr>
              <w:t>same PDCH-pairs as the lowest numbered carrier</w:t>
            </w:r>
          </w:p>
          <w:p w14:paraId="4D4B5E1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1</w:t>
            </w:r>
            <w:r w:rsidRPr="004D0DAA">
              <w:rPr>
                <w:szCs w:val="18"/>
                <w:lang w:eastAsia="en-US"/>
              </w:rPr>
              <w:tab/>
              <w:t xml:space="preserve">&lt; </w:t>
            </w:r>
            <w:r w:rsidRPr="004D0DAA">
              <w:rPr>
                <w:b/>
                <w:bCs/>
                <w:szCs w:val="18"/>
                <w:lang w:eastAsia="en-US"/>
              </w:rPr>
              <w:t xml:space="preserve">DOWNLINK_PDCH_PAIRS_DLMC </w:t>
            </w:r>
            <w:r w:rsidRPr="004D0DAA">
              <w:rPr>
                <w:szCs w:val="18"/>
                <w:lang w:eastAsia="en-US"/>
              </w:rPr>
              <w:t>: bit (8) &gt;</w:t>
            </w:r>
          </w:p>
          <w:p w14:paraId="5F6662DD" w14:textId="77777777" w:rsidR="00711444" w:rsidRPr="004D0DAA" w:rsidRDefault="00711444" w:rsidP="00AA2A4C">
            <w:pPr>
              <w:pStyle w:val="TAL"/>
              <w:rPr>
                <w:szCs w:val="18"/>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ab/>
            </w:r>
            <w:r w:rsidRPr="004D0DAA">
              <w:rPr>
                <w:lang w:eastAsia="en-US"/>
              </w:rPr>
              <w:tab/>
            </w:r>
            <w:r w:rsidRPr="004D0DAA">
              <w:rPr>
                <w:lang w:eastAsia="en-US"/>
              </w:rPr>
              <w:tab/>
            </w:r>
            <w:r w:rsidRPr="004D0DAA">
              <w:rPr>
                <w:szCs w:val="18"/>
                <w:lang w:eastAsia="en-US"/>
              </w:rPr>
              <w:t xml:space="preserve">&lt; </w:t>
            </w:r>
            <w:r w:rsidRPr="004D0DAA">
              <w:rPr>
                <w:b/>
                <w:bCs/>
                <w:szCs w:val="18"/>
                <w:lang w:eastAsia="en-US"/>
              </w:rPr>
              <w:t xml:space="preserve">RTTI_DOWNLINK_PDCH_PAIR_ASSIGNMENT_DLMC </w:t>
            </w:r>
            <w:r w:rsidRPr="004D0DAA">
              <w:rPr>
                <w:szCs w:val="18"/>
                <w:lang w:eastAsia="en-US"/>
              </w:rPr>
              <w:t>: bit (4) &gt; }</w:t>
            </w:r>
          </w:p>
          <w:p w14:paraId="75EB9A70" w14:textId="77777777" w:rsidR="00711444" w:rsidRPr="004D0DAA" w:rsidRDefault="00711444" w:rsidP="00AA2A4C">
            <w:pPr>
              <w:pStyle w:val="TAL"/>
              <w:rPr>
                <w:szCs w:val="18"/>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szCs w:val="18"/>
                <w:lang w:eastAsia="en-US"/>
              </w:rPr>
              <w:t>}</w:t>
            </w:r>
          </w:p>
          <w:p w14:paraId="6A90B8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b/>
                <w:lang w:val="en-US" w:eastAsia="en-US"/>
              </w:rPr>
              <w:tab/>
            </w:r>
            <w:r w:rsidRPr="004D0DAA">
              <w:rPr>
                <w:lang w:eastAsia="en-US"/>
              </w:rPr>
              <w:t xml:space="preserve">&lt; </w:t>
            </w:r>
            <w:r w:rsidRPr="004D0DAA">
              <w:rPr>
                <w:b/>
                <w:lang w:eastAsia="en-US"/>
              </w:rPr>
              <w:t>MAIO</w:t>
            </w:r>
            <w:r w:rsidRPr="004D0DAA">
              <w:rPr>
                <w:lang w:eastAsia="en-US"/>
              </w:rPr>
              <w:t xml:space="preserve"> : bit (6) &gt; }</w:t>
            </w:r>
          </w:p>
          <w:p w14:paraId="4D13D1F0"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en-US"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P0 and PR_MODE as the lowest numbered carrier</w:t>
            </w:r>
          </w:p>
          <w:p w14:paraId="0C69BC9B" w14:textId="77777777" w:rsidR="00711444" w:rsidRPr="004D0DAA" w:rsidRDefault="00711444" w:rsidP="00AA2A4C">
            <w:pPr>
              <w:pStyle w:val="TAL"/>
              <w:rPr>
                <w:lang w:val="fr-FR" w:eastAsia="en-US"/>
              </w:rPr>
            </w:pPr>
            <w:r w:rsidRPr="004D0DAA">
              <w:rPr>
                <w:lang w:val="en-US" w:eastAsia="en-US"/>
              </w:rPr>
              <w:t xml:space="preserve">                      </w:t>
            </w:r>
            <w:r w:rsidRPr="004D0DAA">
              <w:rPr>
                <w:lang w:eastAsia="en-US"/>
              </w:rPr>
              <w:tab/>
            </w:r>
            <w:r w:rsidRPr="004D0DAA">
              <w:rPr>
                <w:lang w:eastAsia="en-US"/>
              </w:rPr>
              <w:tab/>
            </w:r>
            <w:r w:rsidRPr="004D0DAA">
              <w:rPr>
                <w:lang w:val="fr-FR" w:eastAsia="en-US"/>
              </w:rPr>
              <w:t>| 1</w:t>
            </w:r>
            <w:r w:rsidRPr="004D0DAA">
              <w:rPr>
                <w:b/>
                <w:lang w:val="fr-FR" w:eastAsia="en-US"/>
              </w:rPr>
              <w:tab/>
            </w:r>
            <w:r w:rsidRPr="004D0DAA">
              <w:rPr>
                <w:lang w:val="fr-FR" w:eastAsia="en-US"/>
              </w:rPr>
              <w:t xml:space="preserve">&lt; </w:t>
            </w:r>
            <w:r w:rsidRPr="004D0DAA">
              <w:rPr>
                <w:b/>
                <w:lang w:val="fr-FR" w:eastAsia="en-US"/>
              </w:rPr>
              <w:t>P0</w:t>
            </w:r>
            <w:r w:rsidRPr="004D0DAA">
              <w:rPr>
                <w:lang w:val="fr-FR" w:eastAsia="en-US"/>
              </w:rPr>
              <w:t> : bit (4) &gt;</w:t>
            </w:r>
          </w:p>
          <w:p w14:paraId="4F7546AC"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r>
            <w:r w:rsidRPr="004D0DAA">
              <w:rPr>
                <w:lang w:val="sv-SE" w:eastAsia="en-US"/>
              </w:rPr>
              <w:tab/>
            </w:r>
            <w:r w:rsidRPr="004D0DAA">
              <w:rPr>
                <w:lang w:val="sv-SE" w:eastAsia="en-US"/>
              </w:rPr>
              <w:tab/>
            </w:r>
            <w:r w:rsidRPr="004D0DAA">
              <w:rPr>
                <w:lang w:val="fr-FR" w:eastAsia="en-US"/>
              </w:rPr>
              <w:t xml:space="preserve">&lt; </w:t>
            </w:r>
            <w:r w:rsidRPr="004D0DAA">
              <w:rPr>
                <w:b/>
                <w:lang w:val="fr-FR" w:eastAsia="en-US"/>
              </w:rPr>
              <w:t>PR_MODE</w:t>
            </w:r>
            <w:r w:rsidRPr="004D0DAA">
              <w:rPr>
                <w:lang w:val="fr-FR" w:eastAsia="en-US"/>
              </w:rPr>
              <w:t> : bit (1) &gt; }</w:t>
            </w:r>
          </w:p>
          <w:p w14:paraId="61250F72" w14:textId="77777777" w:rsidR="00711444" w:rsidRPr="004D0DAA" w:rsidRDefault="00711444" w:rsidP="00AA2A4C">
            <w:pPr>
              <w:pStyle w:val="TAL"/>
              <w:rPr>
                <w:lang w:val="en-US" w:eastAsia="en-US"/>
              </w:rPr>
            </w:pPr>
            <w:r w:rsidRPr="004D0DAA">
              <w:rPr>
                <w:lang w:val="fr-FR" w:eastAsia="en-US"/>
              </w:rPr>
              <w:tab/>
            </w:r>
            <w:r w:rsidRPr="004D0DAA">
              <w:rPr>
                <w:lang w:val="sv-SE" w:eastAsia="en-US"/>
              </w:rPr>
              <w:tab/>
            </w:r>
            <w:r w:rsidRPr="004D0DAA">
              <w:rPr>
                <w:lang w:val="sv-SE" w:eastAsia="en-US"/>
              </w:rPr>
              <w:tab/>
            </w:r>
            <w:r w:rsidRPr="004D0DAA">
              <w:rPr>
                <w:lang w:val="sv-SE" w:eastAsia="en-US"/>
              </w:rPr>
              <w:tab/>
            </w:r>
            <w:r w:rsidRPr="004D0DAA">
              <w:rPr>
                <w:lang w:eastAsia="en-US"/>
              </w:rPr>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DOWNLINK_TFI_ASSIGNMENT as the lowest numbered carrier</w:t>
            </w:r>
          </w:p>
          <w:p w14:paraId="65CE75E2"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 xml:space="preserve">&lt; </w:t>
            </w:r>
            <w:r w:rsidRPr="004D0DAA">
              <w:rPr>
                <w:b/>
                <w:lang w:eastAsia="en-US"/>
              </w:rPr>
              <w:t>DOWNLINK_TFI_ASSIGNMENT</w:t>
            </w:r>
            <w:r w:rsidRPr="004D0DAA">
              <w:rPr>
                <w:lang w:eastAsia="en-US"/>
              </w:rPr>
              <w:t xml:space="preserve"> : bit (5) &gt; </w:t>
            </w:r>
          </w:p>
          <w:p w14:paraId="3C8D476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DOWNLINK_eTFI_ASSIGNMENT</w:t>
            </w:r>
            <w:r w:rsidRPr="004D0DAA">
              <w:rPr>
                <w:lang w:eastAsia="en-US"/>
              </w:rPr>
              <w:t xml:space="preserve"> : bit (3) &gt; } }</w:t>
            </w:r>
          </w:p>
          <w:p w14:paraId="12F90E44" w14:textId="77777777" w:rsidR="00711444" w:rsidRPr="004D0DAA" w:rsidRDefault="00711444" w:rsidP="00AA2A4C">
            <w:pPr>
              <w:pStyle w:val="TAL"/>
              <w:rPr>
                <w:lang w:val="en-US" w:eastAsia="en-US"/>
              </w:rPr>
            </w:pPr>
            <w:r w:rsidRPr="004D0DAA">
              <w:rPr>
                <w:lang w:eastAsia="en-US"/>
              </w:rPr>
              <w:tab/>
            </w: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szCs w:val="18"/>
                <w:lang w:eastAsia="en-US"/>
              </w:rPr>
              <w:t xml:space="preserve">-- </w:t>
            </w:r>
            <w:r w:rsidRPr="004D0DAA">
              <w:rPr>
                <w:i/>
                <w:iCs/>
                <w:szCs w:val="18"/>
                <w:lang w:eastAsia="en-US"/>
              </w:rPr>
              <w:t>same Power Control Parameters as the lowest numbered carrier</w:t>
            </w:r>
          </w:p>
          <w:p w14:paraId="77A503FE" w14:textId="77777777" w:rsidR="00711444" w:rsidRPr="004D0DAA" w:rsidRDefault="00711444" w:rsidP="00AA2A4C">
            <w:pPr>
              <w:pStyle w:val="TAL"/>
              <w:rPr>
                <w:lang w:eastAsia="en-US"/>
              </w:rPr>
            </w:pPr>
            <w:r w:rsidRPr="004D0DAA">
              <w:rPr>
                <w:lang w:eastAsia="en-US"/>
              </w:rPr>
              <w:t xml:space="preserve">                      </w:t>
            </w:r>
            <w:r w:rsidRPr="004D0DAA">
              <w:rPr>
                <w:lang w:eastAsia="en-US"/>
              </w:rPr>
              <w:tab/>
            </w:r>
            <w:r w:rsidRPr="004D0DAA">
              <w:rPr>
                <w:lang w:eastAsia="en-US"/>
              </w:rPr>
              <w:tab/>
              <w:t>| 1</w:t>
            </w:r>
            <w:r w:rsidRPr="004D0DAA">
              <w:rPr>
                <w:lang w:val="en-US" w:eastAsia="en-US"/>
              </w:rPr>
              <w:tab/>
            </w:r>
            <w:r w:rsidRPr="004D0DAA">
              <w:rPr>
                <w:lang w:eastAsia="en-US"/>
              </w:rPr>
              <w:t>&lt;</w:t>
            </w:r>
            <w:r w:rsidRPr="004D0DAA">
              <w:rPr>
                <w:b/>
                <w:lang w:eastAsia="en-US"/>
              </w:rPr>
              <w:t xml:space="preserve"> Power Control Parameters</w:t>
            </w:r>
            <w:r w:rsidRPr="004D0DAA">
              <w:rPr>
                <w:lang w:eastAsia="en-US"/>
              </w:rPr>
              <w:t xml:space="preserve"> : &lt; Power Control Parameters IE &gt; &gt; }</w:t>
            </w:r>
          </w:p>
          <w:p w14:paraId="10971772"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0 </w:t>
            </w:r>
            <w:r w:rsidRPr="004D0DAA">
              <w:rPr>
                <w:lang w:eastAsia="en-US"/>
              </w:rPr>
              <w:tab/>
            </w:r>
            <w:r w:rsidRPr="004D0DAA">
              <w:rPr>
                <w:lang w:eastAsia="en-US"/>
              </w:rPr>
              <w:tab/>
              <w:t>--</w:t>
            </w:r>
            <w:r w:rsidRPr="004D0DAA">
              <w:rPr>
                <w:iCs/>
                <w:lang w:eastAsia="en-US"/>
              </w:rPr>
              <w:t xml:space="preserve"> EMST is not used on this carrier</w:t>
            </w:r>
          </w:p>
          <w:p w14:paraId="0F6B20B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p>
          <w:p w14:paraId="1BD3F8EF"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RLC Entity 2</w:t>
            </w:r>
            <w:r w:rsidRPr="004D0DAA">
              <w:rPr>
                <w:lang w:eastAsia="en-US"/>
              </w:rPr>
              <w:t xml:space="preserve"> : &lt; RLC Entity Struct &gt; &gt;</w:t>
            </w:r>
          </w:p>
          <w:p w14:paraId="2E01AF7C"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w:t>
            </w:r>
          </w:p>
          <w:p w14:paraId="11B5E68A"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0 | 1</w:t>
            </w:r>
            <w:r w:rsidRPr="004D0DAA">
              <w:rPr>
                <w:lang w:eastAsia="en-US"/>
              </w:rPr>
              <w:tab/>
              <w:t xml:space="preserve">&lt; </w:t>
            </w:r>
            <w:r w:rsidRPr="004D0DAA">
              <w:rPr>
                <w:b/>
                <w:bCs/>
                <w:lang w:eastAsia="en-US"/>
              </w:rPr>
              <w:t>RLC Entity 3</w:t>
            </w:r>
            <w:r w:rsidRPr="004D0DAA">
              <w:rPr>
                <w:lang w:eastAsia="en-US"/>
              </w:rPr>
              <w:t xml:space="preserve"> : &lt; RLC Entity Struct &gt; &gt; } </w:t>
            </w:r>
          </w:p>
          <w:p w14:paraId="0A5A0258"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w:t>
            </w:r>
          </w:p>
          <w:p w14:paraId="3A18A503"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5E7F4306"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533B1C56"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 </w:t>
            </w:r>
          </w:p>
          <w:p w14:paraId="1DBB034F" w14:textId="77777777" w:rsidR="00711444" w:rsidRPr="004D0DAA" w:rsidRDefault="00711444" w:rsidP="00AA2A4C">
            <w:pPr>
              <w:pStyle w:val="TAL"/>
              <w:ind w:left="570"/>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2A7AAF0A"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w:t>
            </w:r>
          </w:p>
          <w:p w14:paraId="3F99D518"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r w:rsidRPr="004D0DAA">
              <w:rPr>
                <w:lang w:eastAsia="en-US"/>
              </w:rPr>
              <w:tab/>
            </w:r>
          </w:p>
          <w:p w14:paraId="0B90D7FB"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w:t>
            </w:r>
          </w:p>
          <w:p w14:paraId="4EBA7EFE"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0 | 1 </w:t>
            </w:r>
            <w:r w:rsidRPr="004D0DAA">
              <w:rPr>
                <w:lang w:eastAsia="en-US"/>
              </w:rPr>
              <w:t xml:space="preserve"> &lt; </w:t>
            </w:r>
            <w:r w:rsidRPr="004D0DAA">
              <w:rPr>
                <w:b/>
                <w:lang w:eastAsia="en-US"/>
              </w:rPr>
              <w:t>DOWNLINK_eTFI_ASSIGNMENT</w:t>
            </w:r>
            <w:r w:rsidRPr="004D0DAA">
              <w:rPr>
                <w:lang w:eastAsia="en-US"/>
              </w:rPr>
              <w:t xml:space="preserve"> : bit (3) &gt; } } ** 0</w:t>
            </w:r>
          </w:p>
          <w:p w14:paraId="63A6A2B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w:t>
            </w:r>
          </w:p>
          <w:p w14:paraId="0ABC915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w:t>
            </w:r>
            <w:r w:rsidRPr="004D0DAA">
              <w:rPr>
                <w:iCs/>
                <w:lang w:eastAsia="en-US"/>
              </w:rPr>
              <w:t xml:space="preserve"> </w:t>
            </w:r>
            <w:r w:rsidRPr="004D0DAA">
              <w:rPr>
                <w:b/>
                <w:iCs/>
                <w:lang w:eastAsia="en-US"/>
              </w:rPr>
              <w:t>TSC Set</w:t>
            </w:r>
            <w:r w:rsidRPr="004D0DAA">
              <w:rPr>
                <w:iCs/>
                <w:lang w:eastAsia="en-US"/>
              </w:rPr>
              <w:t xml:space="preserve"> : bit (1) &gt;</w:t>
            </w:r>
          </w:p>
          <w:p w14:paraId="7F21323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37903FD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33EF2A66"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793A6378" w14:textId="77777777" w:rsidR="00711444" w:rsidRPr="004D0DAA" w:rsidRDefault="00711444" w:rsidP="00AA2A4C">
            <w:pPr>
              <w:pStyle w:val="TAL"/>
              <w:rPr>
                <w:lang w:eastAsia="en-US"/>
              </w:rPr>
            </w:pPr>
            <w:r w:rsidRPr="004D0DAA">
              <w:rPr>
                <w:lang w:eastAsia="en-US"/>
              </w:rPr>
              <w:tab/>
            </w:r>
            <w:r w:rsidRPr="004D0DAA">
              <w:rPr>
                <w:lang w:eastAsia="en-US"/>
              </w:rPr>
              <w:tab/>
              <w:t>| 11</w:t>
            </w:r>
            <w:r w:rsidRPr="004D0DAA">
              <w:rPr>
                <w:szCs w:val="18"/>
                <w:lang w:eastAsia="en-US"/>
              </w:rPr>
              <w:tab/>
            </w:r>
            <w:r w:rsidRPr="004D0DAA">
              <w:rPr>
                <w:lang w:eastAsia="en-US"/>
              </w:rPr>
              <w:t>bit (*) = &lt; no string &gt;</w:t>
            </w:r>
            <w:r w:rsidRPr="004D0DAA">
              <w:rPr>
                <w:szCs w:val="18"/>
                <w:lang w:eastAsia="en-US"/>
              </w:rPr>
              <w:tab/>
            </w:r>
            <w:r w:rsidRPr="004D0DAA">
              <w:rPr>
                <w:szCs w:val="18"/>
                <w:lang w:eastAsia="en-US"/>
              </w:rPr>
              <w:tab/>
            </w:r>
            <w:r w:rsidRPr="004D0DAA">
              <w:rPr>
                <w:i/>
                <w:szCs w:val="18"/>
                <w:lang w:eastAsia="en-US"/>
              </w:rPr>
              <w:t>-- Reserved</w:t>
            </w:r>
          </w:p>
          <w:p w14:paraId="5006D952" w14:textId="77777777" w:rsidR="00711444" w:rsidRPr="004D0DAA" w:rsidRDefault="00711444" w:rsidP="00AA2A4C">
            <w:pPr>
              <w:pStyle w:val="TAL"/>
              <w:rPr>
                <w:lang w:eastAsia="en-US"/>
              </w:rPr>
            </w:pPr>
            <w:r w:rsidRPr="004D0DAA">
              <w:rPr>
                <w:lang w:eastAsia="en-US"/>
              </w:rPr>
              <w:tab/>
              <w:t>};</w:t>
            </w:r>
          </w:p>
          <w:p w14:paraId="31CBF9D4" w14:textId="77777777" w:rsidR="00711444" w:rsidRPr="004D0DAA" w:rsidRDefault="00711444" w:rsidP="00AA2A4C">
            <w:pPr>
              <w:keepNext/>
              <w:keepLines/>
              <w:spacing w:after="0"/>
            </w:pPr>
          </w:p>
          <w:p w14:paraId="793C0816" w14:textId="77777777" w:rsidR="00711444" w:rsidRPr="004D0DAA" w:rsidRDefault="00711444" w:rsidP="00AA2A4C">
            <w:pPr>
              <w:pStyle w:val="TAL"/>
              <w:rPr>
                <w:i/>
                <w:lang w:eastAsia="en-US"/>
              </w:rPr>
            </w:pPr>
            <w:r w:rsidRPr="004D0DAA">
              <w:rPr>
                <w:lang w:eastAsia="en-US"/>
              </w:rPr>
              <w:t xml:space="preserve">&lt; DLMC UL Carrier Info struct &gt; ::= </w:t>
            </w:r>
          </w:p>
          <w:p w14:paraId="0F0F3E8A" w14:textId="77777777" w:rsidR="00711444" w:rsidRPr="004D0DAA" w:rsidRDefault="00711444" w:rsidP="00AA2A4C">
            <w:pPr>
              <w:pStyle w:val="TAL"/>
              <w:rPr>
                <w:i/>
                <w:iCs/>
                <w:szCs w:val="18"/>
                <w:lang w:val="en-US" w:eastAsia="en-US"/>
              </w:rPr>
            </w:pPr>
            <w:r w:rsidRPr="004D0DAA">
              <w:rPr>
                <w:rFonts w:cs="Arial"/>
                <w:szCs w:val="18"/>
                <w:lang w:eastAsia="en-US"/>
              </w:rPr>
              <w:tab/>
              <w:t xml:space="preserve">{ 00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released</w:t>
            </w:r>
          </w:p>
          <w:p w14:paraId="56DEE210"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01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Carrier remains unchanged (</w:t>
            </w:r>
            <w:r w:rsidRPr="004D0DAA">
              <w:rPr>
                <w:i/>
                <w:iCs/>
                <w:szCs w:val="18"/>
                <w:lang w:eastAsia="en-US"/>
              </w:rPr>
              <w:t>no information provided)</w:t>
            </w:r>
          </w:p>
          <w:p w14:paraId="3F9366EA"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t>| 10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szCs w:val="18"/>
                <w:lang w:eastAsia="en-US"/>
              </w:rPr>
              <w:t>Assigned carrier modified or new carrier assigned</w:t>
            </w:r>
          </w:p>
          <w:p w14:paraId="14DFF674" w14:textId="77777777" w:rsidR="00711444" w:rsidRPr="004D0DAA" w:rsidRDefault="00711444" w:rsidP="00AA2A4C">
            <w:pPr>
              <w:pStyle w:val="TAL"/>
              <w:rPr>
                <w:i/>
                <w:iCs/>
                <w:szCs w:val="18"/>
                <w:lang w:val="en-US"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szCs w:val="18"/>
                <w:lang w:val="en-US" w:eastAsia="en-US"/>
              </w:rPr>
              <w:t>{ 0</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BTTI mode</w:t>
            </w:r>
          </w:p>
          <w:p w14:paraId="6EFE72A4" w14:textId="77777777" w:rsidR="00711444" w:rsidRPr="004D0DAA" w:rsidRDefault="00711444" w:rsidP="00AA2A4C">
            <w:pPr>
              <w:pStyle w:val="TAL"/>
              <w:rPr>
                <w:szCs w:val="18"/>
                <w:lang w:eastAsia="en-US"/>
              </w:rPr>
            </w:pP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t xml:space="preserve">{ </w:t>
            </w:r>
            <w:r w:rsidRPr="004D0DAA">
              <w:rPr>
                <w:szCs w:val="18"/>
                <w:lang w:eastAsia="en-US"/>
              </w:rPr>
              <w:t>0</w:t>
            </w:r>
            <w:r w:rsidRPr="004D0DAA">
              <w:rPr>
                <w:szCs w:val="18"/>
                <w:lang w:eastAsia="en-US"/>
              </w:rPr>
              <w:tab/>
              <w:t>| 1</w:t>
            </w:r>
            <w:r w:rsidRPr="004D0DAA">
              <w:rPr>
                <w:szCs w:val="18"/>
                <w:lang w:eastAsia="en-US"/>
              </w:rPr>
              <w:tab/>
              <w:t xml:space="preserve">&lt; </w:t>
            </w:r>
            <w:r w:rsidRPr="004D0DAA">
              <w:rPr>
                <w:b/>
                <w:szCs w:val="18"/>
                <w:lang w:eastAsia="en-US"/>
              </w:rPr>
              <w:t xml:space="preserve">UPLINK_TIMESLOT_ALLOCATION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w:t>
            </w:r>
          </w:p>
          <w:p w14:paraId="3280E7C1"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 1</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RTTI mode</w:t>
            </w:r>
          </w:p>
          <w:p w14:paraId="1647996D" w14:textId="77777777" w:rsidR="00711444" w:rsidRPr="004D0DAA" w:rsidRDefault="00711444" w:rsidP="00AA2A4C">
            <w:pPr>
              <w:pStyle w:val="TAL"/>
              <w:rPr>
                <w:szCs w:val="18"/>
                <w:lang w:eastAsia="en-US"/>
              </w:rPr>
            </w:pPr>
            <w:r w:rsidRPr="004D0DAA">
              <w:rPr>
                <w:lang w:val="en-US" w:eastAsia="en-US"/>
              </w:rPr>
              <w:tab/>
            </w:r>
            <w:r w:rsidRPr="004D0DAA">
              <w:rPr>
                <w:lang w:val="en-US" w:eastAsia="en-US"/>
              </w:rPr>
              <w:tab/>
            </w:r>
            <w:r w:rsidRPr="004D0DAA">
              <w:rPr>
                <w:lang w:val="en-US" w:eastAsia="en-US"/>
              </w:rPr>
              <w:tab/>
            </w:r>
            <w:r w:rsidRPr="004D0DAA">
              <w:rPr>
                <w:rFonts w:cs="Arial"/>
                <w:szCs w:val="18"/>
                <w:lang w:eastAsia="en-US"/>
              </w:rPr>
              <w:tab/>
            </w:r>
            <w:r w:rsidRPr="004D0DAA">
              <w:rPr>
                <w:szCs w:val="18"/>
                <w:lang w:eastAsia="en-US"/>
              </w:rPr>
              <w:t>{ 0</w:t>
            </w:r>
            <w:r w:rsidRPr="004D0DAA">
              <w:rPr>
                <w:szCs w:val="18"/>
                <w:lang w:eastAsia="en-US"/>
              </w:rPr>
              <w:tab/>
              <w:t xml:space="preserve">| 1 &lt; </w:t>
            </w:r>
            <w:r w:rsidRPr="004D0DAA">
              <w:rPr>
                <w:b/>
                <w:bCs/>
                <w:szCs w:val="18"/>
                <w:lang w:eastAsia="en-US"/>
              </w:rPr>
              <w:t xml:space="preserve">UPLINK_PDCH_PAIRS_DLMC </w:t>
            </w:r>
            <w:r w:rsidRPr="004D0DAA">
              <w:rPr>
                <w:szCs w:val="18"/>
                <w:lang w:eastAsia="en-US"/>
              </w:rPr>
              <w:t>: bit (8) &gt; }</w:t>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r>
            <w:r w:rsidRPr="004D0DAA">
              <w:rPr>
                <w:szCs w:val="18"/>
                <w:lang w:val="en-US" w:eastAsia="en-US"/>
              </w:rPr>
              <w:tab/>
              <w:t xml:space="preserve">-- </w:t>
            </w:r>
            <w:r w:rsidRPr="004D0DAA">
              <w:rPr>
                <w:i/>
                <w:iCs/>
                <w:szCs w:val="18"/>
                <w:lang w:val="en-US" w:eastAsia="en-US"/>
              </w:rPr>
              <w:t>assigned PDCH-pairs</w:t>
            </w:r>
          </w:p>
          <w:p w14:paraId="53D5BAEB" w14:textId="77777777" w:rsidR="00711444" w:rsidRPr="004D0DAA" w:rsidRDefault="00711444" w:rsidP="00AA2A4C">
            <w:pPr>
              <w:pStyle w:val="TAL"/>
              <w:rPr>
                <w:szCs w:val="18"/>
                <w:lang w:val="en-US" w:eastAsia="en-US"/>
              </w:rPr>
            </w:pPr>
            <w:r w:rsidRPr="004D0DAA">
              <w:rPr>
                <w:szCs w:val="18"/>
                <w:lang w:val="en-US" w:eastAsia="en-US"/>
              </w:rPr>
              <w:tab/>
            </w:r>
            <w:r w:rsidRPr="004D0DAA">
              <w:rPr>
                <w:szCs w:val="18"/>
                <w:lang w:val="en-US" w:eastAsia="en-US"/>
              </w:rPr>
              <w:tab/>
            </w:r>
            <w:r w:rsidRPr="004D0DAA">
              <w:rPr>
                <w:rFonts w:cs="Arial"/>
                <w:szCs w:val="18"/>
                <w:lang w:eastAsia="en-US"/>
              </w:rPr>
              <w:tab/>
            </w:r>
            <w:r w:rsidRPr="004D0DAA">
              <w:rPr>
                <w:szCs w:val="18"/>
                <w:lang w:val="en-US" w:eastAsia="en-US"/>
              </w:rPr>
              <w:t>}</w:t>
            </w:r>
          </w:p>
          <w:p w14:paraId="4970BEC9" w14:textId="77777777" w:rsidR="00711444" w:rsidRPr="004D0DAA" w:rsidRDefault="00711444" w:rsidP="00AA2A4C">
            <w:pPr>
              <w:pStyle w:val="TAL"/>
              <w:rPr>
                <w:rFonts w:cs="Arial"/>
                <w:szCs w:val="18"/>
                <w:lang w:eastAsia="en-US"/>
              </w:rPr>
            </w:pPr>
            <w:r w:rsidRPr="004D0DAA">
              <w:rPr>
                <w:rFonts w:cs="Arial"/>
                <w:szCs w:val="18"/>
                <w:lang w:eastAsia="en-US"/>
              </w:rPr>
              <w:tab/>
            </w:r>
            <w:r w:rsidRPr="004D0DAA">
              <w:rPr>
                <w:rFonts w:cs="Arial"/>
                <w:szCs w:val="18"/>
                <w:lang w:eastAsia="en-US"/>
              </w:rPr>
              <w:tab/>
            </w:r>
            <w:r w:rsidRPr="004D0DAA">
              <w:rPr>
                <w:szCs w:val="18"/>
                <w:lang w:val="en-US" w:eastAsia="en-US"/>
              </w:rPr>
              <w:tab/>
            </w:r>
            <w:r w:rsidRPr="004D0DAA">
              <w:rPr>
                <w:rFonts w:cs="Arial"/>
                <w:szCs w:val="18"/>
                <w:lang w:eastAsia="en-US"/>
              </w:rPr>
              <w:t xml:space="preserve">&lt; </w:t>
            </w:r>
            <w:r w:rsidRPr="004D0DAA">
              <w:rPr>
                <w:rFonts w:cs="Arial"/>
                <w:b/>
                <w:szCs w:val="18"/>
                <w:lang w:eastAsia="en-US"/>
              </w:rPr>
              <w:t xml:space="preserve">Dynamic Allocation 3 : </w:t>
            </w:r>
            <w:r w:rsidRPr="004D0DAA">
              <w:rPr>
                <w:rFonts w:cs="Arial"/>
                <w:szCs w:val="18"/>
                <w:lang w:eastAsia="en-US"/>
              </w:rPr>
              <w:t xml:space="preserve">&lt; Dynamic Allocation 3 IE &gt; &gt; </w:t>
            </w:r>
          </w:p>
          <w:p w14:paraId="0553F0B3" w14:textId="77777777" w:rsidR="00711444" w:rsidRPr="004D0DAA" w:rsidRDefault="00711444" w:rsidP="00AA2A4C">
            <w:pPr>
              <w:pStyle w:val="TAL"/>
              <w:rPr>
                <w:lang w:eastAsia="en-US"/>
              </w:rPr>
            </w:pPr>
            <w:r w:rsidRPr="004D0DAA">
              <w:rPr>
                <w:rFonts w:cs="Arial"/>
                <w:szCs w:val="18"/>
                <w:lang w:eastAsia="en-US"/>
              </w:rPr>
              <w:t xml:space="preserve"> </w:t>
            </w:r>
            <w:r w:rsidRPr="004D0DAA">
              <w:rPr>
                <w:lang w:eastAsia="en-US"/>
              </w:rPr>
              <w:tab/>
            </w:r>
            <w:r w:rsidRPr="004D0DAA">
              <w:rPr>
                <w:lang w:eastAsia="en-US"/>
              </w:rPr>
              <w:tab/>
            </w:r>
            <w:r w:rsidRPr="004D0DAA">
              <w:rPr>
                <w:lang w:eastAsia="en-US"/>
              </w:rPr>
              <w:tab/>
              <w:t>{ 0</w:t>
            </w:r>
            <w:r w:rsidRPr="004D0DAA">
              <w:rPr>
                <w:rFonts w:cs="Arial"/>
                <w:szCs w:val="18"/>
                <w:lang w:eastAsia="en-US"/>
              </w:rPr>
              <w:tab/>
            </w:r>
            <w:r w:rsidRPr="004D0DAA">
              <w:rPr>
                <w:rFonts w:cs="Arial"/>
                <w:szCs w:val="18"/>
                <w:lang w:eastAsia="en-US"/>
              </w:rPr>
              <w:tab/>
            </w:r>
            <w:r w:rsidRPr="004D0DAA">
              <w:rPr>
                <w:lang w:eastAsia="en-US"/>
              </w:rPr>
              <w:t>--</w:t>
            </w:r>
            <w:r w:rsidRPr="004D0DAA">
              <w:rPr>
                <w:iCs/>
                <w:lang w:eastAsia="en-US"/>
              </w:rPr>
              <w:t xml:space="preserve"> EMST is not used on this carrier</w:t>
            </w:r>
          </w:p>
          <w:p w14:paraId="0045C80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w:t>
            </w:r>
            <w:r w:rsidRPr="004D0DAA">
              <w:rPr>
                <w:lang w:eastAsia="en-US"/>
              </w:rPr>
              <w:tab/>
              <w:t>--</w:t>
            </w:r>
            <w:r w:rsidRPr="004D0DAA">
              <w:rPr>
                <w:iCs/>
                <w:lang w:eastAsia="en-US"/>
              </w:rPr>
              <w:t xml:space="preserve"> EMST is used on this carrier</w:t>
            </w:r>
            <w:r w:rsidRPr="004D0DAA">
              <w:rPr>
                <w:lang w:eastAsia="en-US"/>
              </w:rPr>
              <w:t xml:space="preserve"> </w:t>
            </w:r>
          </w:p>
          <w:p w14:paraId="1017E647"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&lt; </w:t>
            </w:r>
            <w:r w:rsidRPr="004D0DAA">
              <w:rPr>
                <w:b/>
                <w:bCs/>
                <w:lang w:eastAsia="en-US"/>
              </w:rPr>
              <w:t>Uplink RLC Entity 2</w:t>
            </w:r>
            <w:r w:rsidRPr="004D0DAA">
              <w:rPr>
                <w:lang w:eastAsia="en-US"/>
              </w:rPr>
              <w:t xml:space="preserve"> : &lt; RLC Entity Struct &gt; </w:t>
            </w:r>
          </w:p>
          <w:p w14:paraId="7FE9DF9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bCs/>
                <w:lang w:eastAsia="en-US"/>
              </w:rPr>
              <w:t>Uplink RLC Entity 3</w:t>
            </w:r>
            <w:r w:rsidRPr="004D0DAA">
              <w:rPr>
                <w:lang w:eastAsia="en-US"/>
              </w:rPr>
              <w:t xml:space="preserve"> : &lt; RLC Entity Struct &gt; } }</w:t>
            </w:r>
          </w:p>
          <w:p w14:paraId="4A32F1EF"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t xml:space="preserve">{ 0 </w:t>
            </w:r>
            <w:r w:rsidRPr="004D0DAA">
              <w:rPr>
                <w:lang w:eastAsia="en-US"/>
              </w:rPr>
              <w:tab/>
            </w:r>
            <w:r w:rsidRPr="004D0DAA">
              <w:rPr>
                <w:lang w:eastAsia="en-US"/>
              </w:rPr>
              <w:tab/>
              <w:t>--</w:t>
            </w:r>
            <w:r w:rsidRPr="004D0DAA">
              <w:rPr>
                <w:iCs/>
                <w:lang w:eastAsia="en-US"/>
              </w:rPr>
              <w:t xml:space="preserve"> EMSR is not used on this carrier</w:t>
            </w:r>
          </w:p>
          <w:p w14:paraId="1F7840A8"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1</w:t>
            </w:r>
            <w:r w:rsidRPr="004D0DAA">
              <w:rPr>
                <w:szCs w:val="18"/>
                <w:lang w:eastAsia="en-US"/>
              </w:rPr>
              <w:tab/>
            </w:r>
            <w:r w:rsidRPr="004D0DAA">
              <w:rPr>
                <w:lang w:eastAsia="en-US"/>
              </w:rPr>
              <w:t>--</w:t>
            </w:r>
            <w:r w:rsidRPr="004D0DAA">
              <w:rPr>
                <w:iCs/>
                <w:lang w:eastAsia="en-US"/>
              </w:rPr>
              <w:t xml:space="preserve"> EMSR is used on this carrier</w:t>
            </w:r>
          </w:p>
          <w:p w14:paraId="635536E9"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1</w:t>
            </w:r>
            <w:r w:rsidRPr="004D0DAA">
              <w:rPr>
                <w:lang w:eastAsia="en-US"/>
              </w:rPr>
              <w:t xml:space="preserve"> : &lt; Additional PFCs struct &gt; &gt;</w:t>
            </w:r>
            <w:r w:rsidRPr="004D0DAA">
              <w:rPr>
                <w:szCs w:val="18"/>
                <w:lang w:eastAsia="en-US"/>
              </w:rPr>
              <w:t xml:space="preserve"> </w:t>
            </w:r>
            <w:r w:rsidRPr="004D0DAA">
              <w:rPr>
                <w:lang w:eastAsia="en-US"/>
              </w:rPr>
              <w:t>} ** 0</w:t>
            </w:r>
            <w:r w:rsidRPr="004D0DAA">
              <w:rPr>
                <w:lang w:eastAsia="en-US"/>
              </w:rPr>
              <w:tab/>
            </w:r>
          </w:p>
          <w:p w14:paraId="5728663B"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2</w:t>
            </w:r>
            <w:r w:rsidRPr="004D0DAA">
              <w:rPr>
                <w:lang w:eastAsia="en-US"/>
              </w:rPr>
              <w:t xml:space="preserve"> : &lt; Additional PFCs struct &gt; &gt; } ** 0</w:t>
            </w:r>
            <w:r w:rsidRPr="004D0DAA">
              <w:rPr>
                <w:lang w:eastAsia="en-US"/>
              </w:rPr>
              <w:tab/>
            </w:r>
          </w:p>
          <w:p w14:paraId="43E6BA41" w14:textId="77777777" w:rsidR="00711444" w:rsidRPr="004D0DAA" w:rsidRDefault="00711444" w:rsidP="00AA2A4C">
            <w:pPr>
              <w:pStyle w:val="TAL"/>
              <w:rPr>
                <w:lang w:eastAsia="en-US"/>
              </w:rPr>
            </w:pPr>
            <w:r w:rsidRPr="004D0DAA">
              <w:rPr>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iCs/>
                <w:lang w:eastAsia="en-US"/>
              </w:rPr>
              <w:t xml:space="preserve">{ 1 </w:t>
            </w:r>
            <w:r w:rsidRPr="004D0DAA">
              <w:rPr>
                <w:lang w:eastAsia="en-US"/>
              </w:rPr>
              <w:t xml:space="preserve">&lt; </w:t>
            </w:r>
            <w:r w:rsidRPr="004D0DAA">
              <w:rPr>
                <w:b/>
                <w:bCs/>
                <w:lang w:eastAsia="en-US"/>
              </w:rPr>
              <w:t xml:space="preserve">EMSR Additional PFCs </w:t>
            </w:r>
            <w:r w:rsidRPr="004D0DAA">
              <w:rPr>
                <w:b/>
                <w:lang w:eastAsia="en-US"/>
              </w:rPr>
              <w:t>3</w:t>
            </w:r>
            <w:r w:rsidRPr="004D0DAA">
              <w:rPr>
                <w:lang w:eastAsia="en-US"/>
              </w:rPr>
              <w:t xml:space="preserve"> : &lt; Additional PFCs struct &gt; &gt; } ** 0</w:t>
            </w:r>
          </w:p>
          <w:p w14:paraId="05841AC5" w14:textId="77777777" w:rsidR="00711444" w:rsidRPr="004D0DAA" w:rsidRDefault="00711444" w:rsidP="00AA2A4C">
            <w:pPr>
              <w:pStyle w:val="TAL"/>
              <w:rPr>
                <w:lang w:eastAsia="en-US"/>
              </w:rPr>
            </w:pPr>
            <w:r w:rsidRPr="004D0DAA">
              <w:rPr>
                <w:szCs w:val="18"/>
                <w:lang w:eastAsia="en-US"/>
              </w:rPr>
              <w:tab/>
            </w:r>
            <w:r w:rsidRPr="004D0DAA">
              <w:rPr>
                <w:szCs w:val="18"/>
                <w:lang w:eastAsia="en-US"/>
              </w:rPr>
              <w:tab/>
            </w:r>
            <w:r w:rsidRPr="004D0DAA">
              <w:rPr>
                <w:szCs w:val="18"/>
                <w:lang w:eastAsia="en-US"/>
              </w:rPr>
              <w:tab/>
              <w:t>}</w:t>
            </w:r>
          </w:p>
          <w:p w14:paraId="3803B22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0D6AA63" w14:textId="77777777" w:rsidR="00711444" w:rsidRPr="004D0DAA" w:rsidRDefault="00711444" w:rsidP="00AA2A4C">
            <w:pPr>
              <w:pStyle w:val="TAL"/>
              <w:rPr>
                <w:i/>
                <w:iCs/>
                <w:szCs w:val="18"/>
                <w:lang w:val="sv-SE" w:eastAsia="en-US"/>
              </w:rPr>
            </w:pPr>
            <w:r w:rsidRPr="004D0DAA">
              <w:rPr>
                <w:rFonts w:cs="Arial"/>
                <w:szCs w:val="18"/>
                <w:lang w:eastAsia="en-US"/>
              </w:rPr>
              <w:tab/>
            </w:r>
            <w:r w:rsidRPr="004D0DAA">
              <w:rPr>
                <w:rFonts w:cs="Arial"/>
                <w:szCs w:val="18"/>
                <w:lang w:eastAsia="en-US"/>
              </w:rPr>
              <w:tab/>
              <w:t>| 11</w:t>
            </w:r>
            <w:r w:rsidRPr="004D0DAA">
              <w:rPr>
                <w:szCs w:val="18"/>
                <w:lang w:eastAsia="en-US"/>
              </w:rPr>
              <w:t xml:space="preserve"> </w:t>
            </w:r>
            <w:r w:rsidRPr="004D0DAA">
              <w:rPr>
                <w:szCs w:val="18"/>
                <w:lang w:eastAsia="en-US"/>
              </w:rPr>
              <w:tab/>
            </w:r>
            <w:r w:rsidRPr="004D0DAA">
              <w:rPr>
                <w:lang w:eastAsia="en-US"/>
              </w:rPr>
              <w:t>bit (*) = &lt; no string &gt;</w:t>
            </w:r>
            <w:r w:rsidRPr="004D0DAA">
              <w:rPr>
                <w:szCs w:val="18"/>
                <w:lang w:eastAsia="en-US"/>
              </w:rPr>
              <w:tab/>
            </w:r>
            <w:r w:rsidRPr="004D0DAA">
              <w:rPr>
                <w:szCs w:val="18"/>
                <w:lang w:val="sv-SE" w:eastAsia="en-US"/>
              </w:rPr>
              <w:tab/>
            </w:r>
            <w:r w:rsidRPr="004D0DAA">
              <w:rPr>
                <w:szCs w:val="18"/>
                <w:lang w:val="sv-SE" w:eastAsia="en-US"/>
              </w:rPr>
              <w:tab/>
              <w:t xml:space="preserve">-- </w:t>
            </w:r>
            <w:r w:rsidRPr="004D0DAA">
              <w:rPr>
                <w:i/>
                <w:iCs/>
                <w:szCs w:val="18"/>
                <w:lang w:val="sv-SE" w:eastAsia="en-US"/>
              </w:rPr>
              <w:t>reserved</w:t>
            </w:r>
          </w:p>
          <w:p w14:paraId="46534320" w14:textId="77777777" w:rsidR="00711444" w:rsidRPr="004D0DAA" w:rsidRDefault="00711444" w:rsidP="00AA2A4C">
            <w:pPr>
              <w:pStyle w:val="TAL"/>
              <w:rPr>
                <w:szCs w:val="18"/>
                <w:lang w:eastAsia="en-US"/>
              </w:rPr>
            </w:pPr>
            <w:r w:rsidRPr="004D0DAA">
              <w:rPr>
                <w:rFonts w:cs="Arial"/>
                <w:szCs w:val="18"/>
                <w:lang w:eastAsia="en-US"/>
              </w:rPr>
              <w:tab/>
              <w:t>} ;</w:t>
            </w:r>
            <w:r w:rsidRPr="004D0DAA">
              <w:rPr>
                <w:rFonts w:eastAsia="SimSun" w:cs="Arial"/>
                <w:szCs w:val="18"/>
                <w:lang w:eastAsia="zh-CN"/>
              </w:rPr>
              <w:t xml:space="preserve"> </w:t>
            </w:r>
          </w:p>
          <w:p w14:paraId="0342EE15" w14:textId="77777777" w:rsidR="00711444" w:rsidRPr="004D0DAA" w:rsidRDefault="00711444" w:rsidP="00AA2A4C">
            <w:pPr>
              <w:pStyle w:val="TAL"/>
              <w:rPr>
                <w:lang w:eastAsia="en-US"/>
              </w:rPr>
            </w:pPr>
          </w:p>
          <w:p w14:paraId="39B45733" w14:textId="77777777" w:rsidR="00711444" w:rsidRPr="004D0DAA" w:rsidRDefault="00711444" w:rsidP="00AA2A4C">
            <w:pPr>
              <w:pStyle w:val="TAL"/>
              <w:rPr>
                <w:lang w:eastAsia="en-US"/>
              </w:rPr>
            </w:pPr>
            <w:r w:rsidRPr="004D0DAA">
              <w:rPr>
                <w:lang w:eastAsia="en-US"/>
              </w:rPr>
              <w:t>&lt; RLC Entity Struct &gt; :: =</w:t>
            </w:r>
          </w:p>
          <w:p w14:paraId="5682028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54A75B44"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33652D53"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EGPRS Window Size</w:t>
            </w:r>
            <w:r w:rsidRPr="004D0DAA">
              <w:rPr>
                <w:lang w:eastAsia="en-US"/>
              </w:rPr>
              <w:t> : &lt; EGPRS Window Size IE &gt; &gt; }</w:t>
            </w:r>
          </w:p>
          <w:p w14:paraId="4B889907"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p w14:paraId="52636D25" w14:textId="77777777" w:rsidR="00711444" w:rsidRPr="004D0DAA" w:rsidRDefault="00711444" w:rsidP="00AA2A4C">
            <w:pPr>
              <w:pStyle w:val="TAL"/>
              <w:rPr>
                <w:lang w:eastAsia="en-US"/>
              </w:rPr>
            </w:pPr>
          </w:p>
          <w:p w14:paraId="4B5F08D8" w14:textId="77777777" w:rsidR="00711444" w:rsidRPr="004D0DAA" w:rsidRDefault="00711444" w:rsidP="00AA2A4C">
            <w:pPr>
              <w:pStyle w:val="TAL"/>
              <w:rPr>
                <w:lang w:eastAsia="en-US"/>
              </w:rPr>
            </w:pPr>
            <w:r w:rsidRPr="004D0DAA">
              <w:rPr>
                <w:lang w:eastAsia="en-US"/>
              </w:rPr>
              <w:t>&lt; Additional PFCs struct &gt; ::=</w:t>
            </w:r>
          </w:p>
          <w:p w14:paraId="17E32F9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01A5ADFE" w14:textId="77777777" w:rsidR="00711444" w:rsidRPr="004D0DAA" w:rsidRDefault="00711444" w:rsidP="00AA2A4C">
            <w:pPr>
              <w:pStyle w:val="TAL"/>
              <w:rPr>
                <w:lang w:eastAsia="en-US"/>
              </w:rPr>
            </w:pPr>
            <w:r w:rsidRPr="004D0DAA">
              <w:rPr>
                <w:lang w:eastAsia="en-US"/>
              </w:rPr>
              <w:tab/>
              <w:t xml:space="preserve">{ 0 | 1 </w:t>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4C109F9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p w14:paraId="34C77E82" w14:textId="77777777" w:rsidR="00711444" w:rsidRPr="004D0DAA" w:rsidRDefault="00711444" w:rsidP="00AA2A4C">
            <w:pPr>
              <w:pStyle w:val="TAL"/>
              <w:rPr>
                <w:lang w:eastAsia="en-US"/>
              </w:rPr>
            </w:pPr>
          </w:p>
        </w:tc>
      </w:tr>
    </w:tbl>
    <w:p w14:paraId="7E41FF44" w14:textId="77777777" w:rsidR="00711444" w:rsidRPr="004D0DAA" w:rsidRDefault="00711444" w:rsidP="00711444"/>
    <w:p w14:paraId="44EAC8BE" w14:textId="77777777" w:rsidR="00711444" w:rsidRPr="004D0DAA" w:rsidRDefault="00711444" w:rsidP="00711444">
      <w:pPr>
        <w:pStyle w:val="TH"/>
      </w:pPr>
      <w:r w:rsidRPr="004D0DAA">
        <w:t>Table 12.42b.2: PS Handover Radio Resources 3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3C95410" w14:textId="77777777" w:rsidTr="00AA2A4C">
        <w:tblPrEx>
          <w:tblCellMar>
            <w:top w:w="0" w:type="dxa"/>
            <w:bottom w:w="0" w:type="dxa"/>
          </w:tblCellMar>
        </w:tblPrEx>
        <w:trPr>
          <w:cantSplit/>
          <w:trHeight w:val="113"/>
        </w:trPr>
        <w:tc>
          <w:tcPr>
            <w:tcW w:w="9848" w:type="dxa"/>
            <w:shd w:val="clear" w:color="auto" w:fill="auto"/>
          </w:tcPr>
          <w:p w14:paraId="7E23F05E" w14:textId="77777777" w:rsidR="00711444" w:rsidRPr="004D0DAA" w:rsidRDefault="00711444" w:rsidP="00AA2A4C">
            <w:pPr>
              <w:rPr>
                <w:b/>
              </w:rPr>
            </w:pPr>
            <w:r w:rsidRPr="004D0DAA">
              <w:rPr>
                <w:b/>
                <w:bCs/>
              </w:rPr>
              <w:t>Handover Reference</w:t>
            </w:r>
            <w:r w:rsidRPr="004D0DAA">
              <w:t xml:space="preserve"> (8 bit field)</w:t>
            </w:r>
            <w:r w:rsidRPr="004D0DAA">
              <w:br/>
              <w:t>This field contains the reference value to be used when performing PS Handover. The field is encoded as the contents of the Handover Reference information element as defined in 3GPP TS 44.018.</w:t>
            </w:r>
          </w:p>
        </w:tc>
      </w:tr>
      <w:tr w:rsidR="00711444" w:rsidRPr="004D0DAA" w14:paraId="3B4EAD45" w14:textId="77777777" w:rsidTr="00AA2A4C">
        <w:tblPrEx>
          <w:tblCellMar>
            <w:top w:w="0" w:type="dxa"/>
            <w:bottom w:w="0" w:type="dxa"/>
          </w:tblCellMar>
        </w:tblPrEx>
        <w:trPr>
          <w:cantSplit/>
          <w:trHeight w:val="113"/>
        </w:trPr>
        <w:tc>
          <w:tcPr>
            <w:tcW w:w="9848" w:type="dxa"/>
            <w:shd w:val="clear" w:color="auto" w:fill="auto"/>
          </w:tcPr>
          <w:p w14:paraId="1DAAC4DA" w14:textId="77777777" w:rsidR="00711444" w:rsidRPr="004D0DAA" w:rsidRDefault="00711444" w:rsidP="00AA2A4C">
            <w:pPr>
              <w:rPr>
                <w:b/>
              </w:rPr>
            </w:pPr>
            <w:r w:rsidRPr="004D0DAA">
              <w:rPr>
                <w:b/>
                <w:bCs/>
              </w:rPr>
              <w:t>SI</w:t>
            </w:r>
            <w:r w:rsidRPr="004D0DAA">
              <w:t xml:space="preserve"> (2 bit field)</w:t>
            </w:r>
            <w:r w:rsidRPr="004D0DAA">
              <w:br/>
              <w:t>The Synchronization Indication (SI) field indicates which type of PS Handover is to be performed.</w:t>
            </w:r>
            <w:r w:rsidRPr="004D0DAA">
              <w:br/>
            </w:r>
            <w:r w:rsidRPr="004D0DAA">
              <w:br/>
              <w:t>Bit</w:t>
            </w:r>
            <w:r w:rsidRPr="004D0DAA">
              <w:br/>
              <w:t>2 1</w:t>
            </w:r>
            <w:r w:rsidRPr="004D0DAA">
              <w:br/>
              <w:t>0 0</w:t>
            </w:r>
            <w:r w:rsidRPr="004D0DAA">
              <w:tab/>
              <w:t>Non-synchronized</w:t>
            </w:r>
            <w:r w:rsidRPr="004D0DAA">
              <w:br/>
              <w:t>0 1</w:t>
            </w:r>
            <w:r w:rsidRPr="004D0DAA">
              <w:tab/>
              <w:t>Synchronized</w:t>
            </w:r>
            <w:r w:rsidRPr="004D0DAA">
              <w:br/>
              <w:t>1 0</w:t>
            </w:r>
            <w:r w:rsidRPr="004D0DAA">
              <w:tab/>
              <w:t>Pre-synchronised</w:t>
            </w:r>
            <w:r w:rsidRPr="004D0DAA">
              <w:br/>
              <w:t>1 1</w:t>
            </w:r>
            <w:r w:rsidRPr="004D0DAA">
              <w:tab/>
              <w:t>reserved</w:t>
            </w:r>
          </w:p>
        </w:tc>
      </w:tr>
      <w:tr w:rsidR="00711444" w:rsidRPr="004D0DAA" w14:paraId="1EC7891C" w14:textId="77777777" w:rsidTr="00AA2A4C">
        <w:tblPrEx>
          <w:tblCellMar>
            <w:top w:w="0" w:type="dxa"/>
            <w:bottom w:w="0" w:type="dxa"/>
          </w:tblCellMar>
        </w:tblPrEx>
        <w:trPr>
          <w:cantSplit/>
          <w:trHeight w:val="113"/>
        </w:trPr>
        <w:tc>
          <w:tcPr>
            <w:tcW w:w="9848" w:type="dxa"/>
            <w:shd w:val="clear" w:color="auto" w:fill="auto"/>
          </w:tcPr>
          <w:p w14:paraId="545A143F" w14:textId="77777777" w:rsidR="00711444" w:rsidRPr="004D0DAA" w:rsidRDefault="00711444" w:rsidP="00AA2A4C">
            <w:pPr>
              <w:rPr>
                <w:b/>
              </w:rPr>
            </w:pPr>
            <w:r w:rsidRPr="004D0DAA">
              <w:rPr>
                <w:b/>
                <w:bCs/>
              </w:rPr>
              <w:t>NCI</w:t>
            </w:r>
            <w:r w:rsidRPr="004D0DAA">
              <w:t xml:space="preserve"> (1 bit field)</w:t>
            </w:r>
            <w:r w:rsidRPr="004D0DAA">
              <w:br/>
              <w:t xml:space="preserve">The Normal Cell Indication (NCI) field indicates how the MS shall behave in case of out of range timing advance values. </w:t>
            </w:r>
            <w:r w:rsidRPr="004D0DAA">
              <w:br/>
            </w:r>
            <w:r w:rsidRPr="004D0DAA">
              <w:br/>
              <w:t>Bit</w:t>
            </w:r>
            <w:r w:rsidRPr="004D0DAA">
              <w:br/>
              <w:t>1</w:t>
            </w:r>
            <w:r w:rsidRPr="004D0DAA">
              <w:br/>
              <w:t>0</w:t>
            </w:r>
            <w:r w:rsidRPr="004D0DAA">
              <w:tab/>
              <w:t>Out of range timing advance is ignored</w:t>
            </w:r>
            <w:r w:rsidRPr="004D0DAA">
              <w:br/>
              <w:t>1</w:t>
            </w:r>
            <w:r w:rsidRPr="004D0DAA">
              <w:tab/>
              <w:t>Out of range timing advance shall trigger a handover failure procedure.</w:t>
            </w:r>
          </w:p>
        </w:tc>
      </w:tr>
      <w:tr w:rsidR="00711444" w:rsidRPr="004D0DAA" w14:paraId="2507E91D" w14:textId="77777777" w:rsidTr="00AA2A4C">
        <w:tblPrEx>
          <w:tblCellMar>
            <w:top w:w="0" w:type="dxa"/>
            <w:bottom w:w="0" w:type="dxa"/>
          </w:tblCellMar>
        </w:tblPrEx>
        <w:trPr>
          <w:cantSplit/>
          <w:trHeight w:val="113"/>
        </w:trPr>
        <w:tc>
          <w:tcPr>
            <w:tcW w:w="9848" w:type="dxa"/>
            <w:shd w:val="clear" w:color="auto" w:fill="auto"/>
          </w:tcPr>
          <w:p w14:paraId="67E3B0F1" w14:textId="77777777" w:rsidR="00711444" w:rsidRPr="004D0DAA" w:rsidRDefault="00711444" w:rsidP="00AA2A4C">
            <w:pPr>
              <w:rPr>
                <w:b/>
              </w:rPr>
            </w:pPr>
            <w:r w:rsidRPr="004D0DAA">
              <w:rPr>
                <w:b/>
              </w:rPr>
              <w:t>BSIC</w:t>
            </w:r>
            <w:r w:rsidRPr="004D0DAA">
              <w:t xml:space="preserve"> (6 bit field)</w:t>
            </w:r>
            <w:r w:rsidRPr="004D0DAA">
              <w:br/>
              <w:t>This field contains the BSIC of the new cell. The BSIC field is coded as the "Base Station Identity Code" defined in 3GPP TS 23.003.</w:t>
            </w:r>
          </w:p>
        </w:tc>
      </w:tr>
      <w:tr w:rsidR="00711444" w:rsidRPr="004D0DAA" w14:paraId="3ECD91E0" w14:textId="77777777" w:rsidTr="00AA2A4C">
        <w:tblPrEx>
          <w:tblCellMar>
            <w:top w:w="0" w:type="dxa"/>
            <w:bottom w:w="0" w:type="dxa"/>
          </w:tblCellMar>
        </w:tblPrEx>
        <w:trPr>
          <w:cantSplit/>
          <w:trHeight w:val="113"/>
        </w:trPr>
        <w:tc>
          <w:tcPr>
            <w:tcW w:w="9848" w:type="dxa"/>
            <w:shd w:val="clear" w:color="auto" w:fill="auto"/>
          </w:tcPr>
          <w:p w14:paraId="3B86D607" w14:textId="77777777" w:rsidR="00711444" w:rsidRPr="004D0DAA" w:rsidRDefault="00711444" w:rsidP="00AA2A4C">
            <w:pPr>
              <w:rPr>
                <w:b/>
              </w:rPr>
            </w:pPr>
            <w:r w:rsidRPr="004D0DAA">
              <w:rPr>
                <w:b/>
              </w:rPr>
              <w:t xml:space="preserve">CCN_ACTIVE </w:t>
            </w:r>
            <w:r w:rsidRPr="004D0DAA">
              <w:t>(1 bit field)</w:t>
            </w:r>
            <w:r w:rsidRPr="004D0DAA">
              <w:br/>
              <w:t>This field is defined in sub-clause 11.2.4.</w:t>
            </w:r>
          </w:p>
        </w:tc>
      </w:tr>
      <w:tr w:rsidR="00711444" w:rsidRPr="004D0DAA" w14:paraId="20D4CCD4" w14:textId="77777777" w:rsidTr="00AA2A4C">
        <w:tblPrEx>
          <w:tblCellMar>
            <w:top w:w="0" w:type="dxa"/>
            <w:bottom w:w="0" w:type="dxa"/>
          </w:tblCellMar>
        </w:tblPrEx>
        <w:trPr>
          <w:cantSplit/>
          <w:trHeight w:val="113"/>
        </w:trPr>
        <w:tc>
          <w:tcPr>
            <w:tcW w:w="9848" w:type="dxa"/>
            <w:shd w:val="clear" w:color="auto" w:fill="auto"/>
          </w:tcPr>
          <w:p w14:paraId="6F621537" w14:textId="77777777" w:rsidR="00711444" w:rsidRPr="004D0DAA" w:rsidRDefault="00711444" w:rsidP="00AA2A4C">
            <w:r w:rsidRPr="004D0DAA">
              <w:rPr>
                <w:b/>
              </w:rPr>
              <w:t xml:space="preserve">3G_CCN_ACTIVE </w:t>
            </w:r>
            <w:r w:rsidRPr="004D0DAA">
              <w:t>(1 bit field)</w:t>
            </w:r>
            <w:r w:rsidRPr="004D0DAA">
              <w:br/>
              <w:t xml:space="preserve">This field is defined in sub-clause 11.2.4. </w:t>
            </w:r>
          </w:p>
        </w:tc>
      </w:tr>
      <w:tr w:rsidR="00711444" w:rsidRPr="004D0DAA" w14:paraId="24F361A0" w14:textId="77777777" w:rsidTr="00AA2A4C">
        <w:tblPrEx>
          <w:tblCellMar>
            <w:top w:w="0" w:type="dxa"/>
            <w:bottom w:w="0" w:type="dxa"/>
          </w:tblCellMar>
        </w:tblPrEx>
        <w:trPr>
          <w:cantSplit/>
          <w:trHeight w:val="113"/>
        </w:trPr>
        <w:tc>
          <w:tcPr>
            <w:tcW w:w="9848" w:type="dxa"/>
            <w:shd w:val="clear" w:color="auto" w:fill="auto"/>
          </w:tcPr>
          <w:p w14:paraId="1EC29F95" w14:textId="77777777" w:rsidR="00711444" w:rsidRPr="004D0DAA" w:rsidRDefault="00711444" w:rsidP="00AA2A4C">
            <w:pPr>
              <w:spacing w:after="0"/>
            </w:pPr>
            <w:r w:rsidRPr="004D0DAA">
              <w:rPr>
                <w:b/>
                <w:i/>
              </w:rPr>
              <w:t>CCN Support Description</w:t>
            </w:r>
            <w:r w:rsidRPr="004D0DAA">
              <w:rPr>
                <w:b/>
              </w:rPr>
              <w:t xml:space="preserve"> </w:t>
            </w:r>
            <w:r w:rsidRPr="004D0DAA">
              <w:br/>
            </w:r>
            <w:r w:rsidRPr="004D0DAA">
              <w:br/>
            </w:r>
            <w:r w:rsidRPr="004D0DAA">
              <w:rPr>
                <w:b/>
              </w:rPr>
              <w:t>CCN_SUPPORTED</w:t>
            </w:r>
            <w:r w:rsidRPr="004D0DAA">
              <w:t xml:space="preserve"> (1 bit field)</w:t>
            </w:r>
          </w:p>
          <w:p w14:paraId="2B70E44E" w14:textId="77777777" w:rsidR="00711444" w:rsidRPr="004D0DAA" w:rsidRDefault="00711444" w:rsidP="00AA2A4C">
            <w:pPr>
              <w:rPr>
                <w:b/>
              </w:rPr>
            </w:pPr>
            <w:r w:rsidRPr="004D0DAA">
              <w:t xml:space="preserve">This field is defined in sub-clause 11.2.4. </w:t>
            </w:r>
          </w:p>
        </w:tc>
      </w:tr>
      <w:tr w:rsidR="00711444" w:rsidRPr="004D0DAA" w14:paraId="3DCEF61B" w14:textId="77777777" w:rsidTr="00AA2A4C">
        <w:tblPrEx>
          <w:tblCellMar>
            <w:top w:w="0" w:type="dxa"/>
            <w:bottom w:w="0" w:type="dxa"/>
          </w:tblCellMar>
        </w:tblPrEx>
        <w:trPr>
          <w:cantSplit/>
          <w:trHeight w:val="113"/>
        </w:trPr>
        <w:tc>
          <w:tcPr>
            <w:tcW w:w="9848" w:type="dxa"/>
            <w:shd w:val="clear" w:color="auto" w:fill="auto"/>
          </w:tcPr>
          <w:p w14:paraId="27F4F013" w14:textId="77777777" w:rsidR="00711444" w:rsidRPr="004D0DAA" w:rsidRDefault="00711444" w:rsidP="00AA2A4C">
            <w:pPr>
              <w:spacing w:after="0"/>
            </w:pPr>
            <w:r w:rsidRPr="004D0DAA">
              <w:rPr>
                <w:b/>
              </w:rPr>
              <w:t xml:space="preserve">DOWNLINK_RLC_MODE </w:t>
            </w:r>
            <w:r w:rsidRPr="004D0DAA">
              <w:t>(1 bit field)</w:t>
            </w:r>
          </w:p>
          <w:p w14:paraId="7AAABE2C" w14:textId="77777777" w:rsidR="00711444" w:rsidRPr="004D0DAA" w:rsidRDefault="00711444" w:rsidP="00AA2A4C">
            <w:pPr>
              <w:spacing w:after="0"/>
            </w:pPr>
            <w:r w:rsidRPr="004D0DAA">
              <w:rPr>
                <w:b/>
              </w:rPr>
              <w:t xml:space="preserve">UPLINK_RLC_MODE </w:t>
            </w:r>
            <w:r w:rsidRPr="004D0DAA">
              <w:t>(1 bit field)</w:t>
            </w:r>
          </w:p>
          <w:p w14:paraId="034EA3CF" w14:textId="77777777" w:rsidR="00711444" w:rsidRPr="004D0DAA" w:rsidRDefault="00711444" w:rsidP="00AA2A4C">
            <w:pPr>
              <w:spacing w:after="0"/>
            </w:pPr>
            <w:r w:rsidRPr="004D0DAA">
              <w:t>This field is defined in sub-clause 11.2.31.</w:t>
            </w:r>
          </w:p>
          <w:p w14:paraId="7AEEFF8E" w14:textId="77777777" w:rsidR="00711444" w:rsidRPr="004D0DAA" w:rsidRDefault="00711444" w:rsidP="00AA2A4C">
            <w:pPr>
              <w:spacing w:after="0"/>
              <w:rPr>
                <w:b/>
                <w:i/>
              </w:rPr>
            </w:pPr>
          </w:p>
        </w:tc>
      </w:tr>
      <w:tr w:rsidR="00711444" w:rsidRPr="004D0DAA" w14:paraId="4DDE567D" w14:textId="77777777" w:rsidTr="00AA2A4C">
        <w:tblPrEx>
          <w:tblCellMar>
            <w:top w:w="0" w:type="dxa"/>
            <w:bottom w:w="0" w:type="dxa"/>
          </w:tblCellMar>
        </w:tblPrEx>
        <w:trPr>
          <w:cantSplit/>
          <w:trHeight w:val="113"/>
        </w:trPr>
        <w:tc>
          <w:tcPr>
            <w:tcW w:w="9848" w:type="dxa"/>
            <w:shd w:val="clear" w:color="auto" w:fill="auto"/>
          </w:tcPr>
          <w:p w14:paraId="47C43C9B" w14:textId="77777777" w:rsidR="00711444" w:rsidRPr="004D0DAA" w:rsidRDefault="00711444" w:rsidP="00AA2A4C">
            <w:pPr>
              <w:spacing w:after="0"/>
            </w:pPr>
            <w:r w:rsidRPr="004D0DAA">
              <w:rPr>
                <w:b/>
              </w:rPr>
              <w:t xml:space="preserve">CONTROL_ACK </w:t>
            </w:r>
            <w:r w:rsidRPr="004D0DAA">
              <w:t>(1 bit field)</w:t>
            </w:r>
            <w:r w:rsidRPr="004D0DAA">
              <w:br/>
              <w:t>See sub-clause 11.2.7 (Packet Downlink Assignment message).</w:t>
            </w:r>
          </w:p>
          <w:p w14:paraId="4E55D522" w14:textId="77777777" w:rsidR="00711444" w:rsidRPr="004D0DAA" w:rsidRDefault="00711444" w:rsidP="00AA2A4C">
            <w:pPr>
              <w:spacing w:after="0"/>
              <w:rPr>
                <w:b/>
              </w:rPr>
            </w:pPr>
          </w:p>
        </w:tc>
      </w:tr>
      <w:tr w:rsidR="00711444" w:rsidRPr="004D0DAA" w14:paraId="17783E8A" w14:textId="77777777" w:rsidTr="00AA2A4C">
        <w:tblPrEx>
          <w:tblCellMar>
            <w:top w:w="0" w:type="dxa"/>
            <w:bottom w:w="0" w:type="dxa"/>
          </w:tblCellMar>
        </w:tblPrEx>
        <w:trPr>
          <w:cantSplit/>
          <w:trHeight w:val="113"/>
        </w:trPr>
        <w:tc>
          <w:tcPr>
            <w:tcW w:w="9848" w:type="dxa"/>
            <w:shd w:val="clear" w:color="auto" w:fill="auto"/>
          </w:tcPr>
          <w:p w14:paraId="65A8CAC8" w14:textId="77777777" w:rsidR="00711444" w:rsidRPr="004D0DAA" w:rsidRDefault="00711444" w:rsidP="00AA2A4C">
            <w:pPr>
              <w:rPr>
                <w:b/>
              </w:rPr>
            </w:pPr>
            <w:r w:rsidRPr="004D0DAA">
              <w:rPr>
                <w:b/>
              </w:rPr>
              <w:t>NETWORK_CONTROL_ORDER</w:t>
            </w:r>
            <w:r w:rsidRPr="004D0DAA">
              <w:t xml:space="preserve"> (2 bit field)</w:t>
            </w:r>
            <w:r w:rsidRPr="004D0DAA">
              <w:br/>
              <w:t>This field is defined in sub-clause 11.2.9b.</w:t>
            </w:r>
          </w:p>
        </w:tc>
      </w:tr>
      <w:tr w:rsidR="00711444" w:rsidRPr="004D0DAA" w14:paraId="6093F4F0" w14:textId="77777777" w:rsidTr="00AA2A4C">
        <w:tblPrEx>
          <w:tblCellMar>
            <w:top w:w="0" w:type="dxa"/>
            <w:bottom w:w="0" w:type="dxa"/>
          </w:tblCellMar>
        </w:tblPrEx>
        <w:trPr>
          <w:cantSplit/>
          <w:trHeight w:val="113"/>
        </w:trPr>
        <w:tc>
          <w:tcPr>
            <w:tcW w:w="9848" w:type="dxa"/>
            <w:shd w:val="clear" w:color="auto" w:fill="auto"/>
          </w:tcPr>
          <w:p w14:paraId="7B03EC7A" w14:textId="77777777" w:rsidR="00711444" w:rsidRPr="004D0DAA" w:rsidRDefault="00711444" w:rsidP="00AA2A4C">
            <w:pPr>
              <w:rPr>
                <w:b/>
              </w:rPr>
            </w:pPr>
            <w:r w:rsidRPr="004D0DAA">
              <w:rPr>
                <w:b/>
              </w:rPr>
              <w:t>Global Packet Timing Advance</w:t>
            </w:r>
            <w:r w:rsidRPr="004D0DAA">
              <w:br/>
              <w:t>This information element is defined in sub-clause 12.12a</w:t>
            </w:r>
          </w:p>
        </w:tc>
      </w:tr>
      <w:tr w:rsidR="00711444" w:rsidRPr="004D0DAA" w14:paraId="5629DEB2" w14:textId="77777777" w:rsidTr="00AA2A4C">
        <w:tblPrEx>
          <w:tblCellMar>
            <w:top w:w="0" w:type="dxa"/>
            <w:bottom w:w="0" w:type="dxa"/>
          </w:tblCellMar>
        </w:tblPrEx>
        <w:trPr>
          <w:cantSplit/>
          <w:trHeight w:val="113"/>
        </w:trPr>
        <w:tc>
          <w:tcPr>
            <w:tcW w:w="9848" w:type="dxa"/>
            <w:shd w:val="clear" w:color="auto" w:fill="auto"/>
          </w:tcPr>
          <w:p w14:paraId="27287554" w14:textId="77777777" w:rsidR="00711444" w:rsidRPr="004D0DAA" w:rsidRDefault="00711444" w:rsidP="00AA2A4C">
            <w:pPr>
              <w:rPr>
                <w:b/>
              </w:rPr>
            </w:pPr>
            <w:r w:rsidRPr="004D0DAA">
              <w:rPr>
                <w:b/>
              </w:rPr>
              <w:t>Packet Extended Timing Advance</w:t>
            </w:r>
            <w:r w:rsidRPr="004D0DAA">
              <w:t xml:space="preserve"> (2 bit field)</w:t>
            </w:r>
            <w:r w:rsidRPr="004D0DAA">
              <w:rPr>
                <w:b/>
              </w:rPr>
              <w:t xml:space="preserve"> </w:t>
            </w:r>
            <w:r w:rsidRPr="004D0DAA">
              <w:rPr>
                <w:b/>
              </w:rPr>
              <w:br/>
            </w:r>
            <w:r w:rsidRPr="004D0DAA">
              <w:t>This field is defined in sub-clause 12.12b.</w:t>
            </w:r>
          </w:p>
        </w:tc>
      </w:tr>
      <w:tr w:rsidR="00711444" w:rsidRPr="004D0DAA" w14:paraId="465507E3" w14:textId="77777777" w:rsidTr="00AA2A4C">
        <w:tblPrEx>
          <w:tblCellMar>
            <w:top w:w="0" w:type="dxa"/>
            <w:bottom w:w="0" w:type="dxa"/>
          </w:tblCellMar>
        </w:tblPrEx>
        <w:trPr>
          <w:cantSplit/>
          <w:trHeight w:val="113"/>
        </w:trPr>
        <w:tc>
          <w:tcPr>
            <w:tcW w:w="9848" w:type="dxa"/>
            <w:shd w:val="clear" w:color="auto" w:fill="auto"/>
          </w:tcPr>
          <w:p w14:paraId="1F5141EF" w14:textId="77777777" w:rsidR="00711444" w:rsidRPr="004D0DAA" w:rsidRDefault="00711444" w:rsidP="00AA2A4C">
            <w:pPr>
              <w:spacing w:after="0"/>
            </w:pPr>
            <w:r w:rsidRPr="004D0DAA">
              <w:rPr>
                <w:b/>
                <w:bCs/>
              </w:rPr>
              <w:t xml:space="preserve">RLC_RESET </w:t>
            </w:r>
            <w:r w:rsidRPr="004D0DAA">
              <w:t xml:space="preserve">(1 bit field) </w:t>
            </w:r>
          </w:p>
          <w:p w14:paraId="0B5B3D8D" w14:textId="77777777" w:rsidR="00711444" w:rsidRPr="004D0DAA" w:rsidRDefault="00711444" w:rsidP="00AA2A4C">
            <w:pPr>
              <w:rPr>
                <w:b/>
              </w:rPr>
            </w:pPr>
            <w:r w:rsidRPr="004D0DAA">
              <w:t>This field is defined in sub-clause 12.42.</w:t>
            </w:r>
          </w:p>
        </w:tc>
      </w:tr>
      <w:tr w:rsidR="00711444" w:rsidRPr="004D0DAA" w14:paraId="1B1CDD05" w14:textId="77777777" w:rsidTr="00AA2A4C">
        <w:tblPrEx>
          <w:tblCellMar>
            <w:top w:w="0" w:type="dxa"/>
            <w:bottom w:w="0" w:type="dxa"/>
          </w:tblCellMar>
        </w:tblPrEx>
        <w:trPr>
          <w:cantSplit/>
          <w:trHeight w:val="113"/>
        </w:trPr>
        <w:tc>
          <w:tcPr>
            <w:tcW w:w="9848" w:type="dxa"/>
            <w:shd w:val="clear" w:color="auto" w:fill="auto"/>
          </w:tcPr>
          <w:p w14:paraId="471C7C1C" w14:textId="77777777" w:rsidR="00711444" w:rsidRPr="004D0DAA" w:rsidRDefault="00711444" w:rsidP="00AA2A4C">
            <w:pPr>
              <w:spacing w:after="0"/>
              <w:rPr>
                <w:b/>
              </w:rPr>
            </w:pPr>
            <w:r w:rsidRPr="004D0DAA">
              <w:rPr>
                <w:b/>
              </w:rPr>
              <w:lastRenderedPageBreak/>
              <w:t>UFPS</w:t>
            </w:r>
          </w:p>
          <w:p w14:paraId="2AD2268C" w14:textId="77777777" w:rsidR="00711444" w:rsidRPr="004D0DAA" w:rsidRDefault="00711444" w:rsidP="00AA2A4C">
            <w:pPr>
              <w:spacing w:after="0"/>
              <w:rPr>
                <w:b/>
              </w:rPr>
            </w:pPr>
            <w:r w:rsidRPr="004D0DAA">
              <w:t>This information element is used to identify the set of resources corresponding to each UFPS within the set of UFPS assigned for a DLMC configuration in the new cell. Each UFPS in the set of UFPS is numbered according to the scheme described in sub-clause 8.1.1.1.3.</w:t>
            </w:r>
            <w:r w:rsidRPr="004D0DAA">
              <w:rPr>
                <w:b/>
              </w:rPr>
              <w:t xml:space="preserve"> </w:t>
            </w:r>
          </w:p>
          <w:p w14:paraId="5B1DA3AC" w14:textId="77777777" w:rsidR="00711444" w:rsidRPr="004D0DAA" w:rsidRDefault="00711444" w:rsidP="00AA2A4C">
            <w:pPr>
              <w:spacing w:after="0"/>
              <w:rPr>
                <w:b/>
                <w:szCs w:val="18"/>
              </w:rPr>
            </w:pPr>
          </w:p>
        </w:tc>
      </w:tr>
      <w:tr w:rsidR="00711444" w:rsidRPr="004D0DAA" w14:paraId="31226E81" w14:textId="77777777" w:rsidTr="00AA2A4C">
        <w:tblPrEx>
          <w:tblCellMar>
            <w:top w:w="0" w:type="dxa"/>
            <w:bottom w:w="0" w:type="dxa"/>
          </w:tblCellMar>
        </w:tblPrEx>
        <w:trPr>
          <w:cantSplit/>
          <w:trHeight w:val="113"/>
        </w:trPr>
        <w:tc>
          <w:tcPr>
            <w:tcW w:w="9848" w:type="dxa"/>
            <w:shd w:val="clear" w:color="auto" w:fill="auto"/>
          </w:tcPr>
          <w:p w14:paraId="3D57D2FF" w14:textId="77777777" w:rsidR="00711444" w:rsidRPr="004D0DAA" w:rsidRDefault="00711444" w:rsidP="00AA2A4C">
            <w:pPr>
              <w:spacing w:after="0"/>
              <w:rPr>
                <w:b/>
                <w:szCs w:val="18"/>
              </w:rPr>
            </w:pPr>
            <w:r w:rsidRPr="004D0DAA">
              <w:rPr>
                <w:b/>
                <w:szCs w:val="18"/>
              </w:rPr>
              <w:t>DLMC Measurement Type</w:t>
            </w:r>
          </w:p>
          <w:p w14:paraId="6D4653BB" w14:textId="77777777" w:rsidR="00711444" w:rsidRPr="004D0DAA" w:rsidRDefault="00711444" w:rsidP="00AA2A4C">
            <w:pPr>
              <w:spacing w:after="0"/>
            </w:pPr>
            <w:r w:rsidRPr="004D0DAA">
              <w:t>See sub-clause 11.2.7.</w:t>
            </w:r>
          </w:p>
          <w:p w14:paraId="3E0717A2" w14:textId="77777777" w:rsidR="00711444" w:rsidRPr="004D0DAA" w:rsidRDefault="00711444" w:rsidP="00AA2A4C">
            <w:pPr>
              <w:spacing w:after="0"/>
              <w:rPr>
                <w:b/>
                <w:szCs w:val="18"/>
              </w:rPr>
            </w:pPr>
          </w:p>
        </w:tc>
      </w:tr>
      <w:tr w:rsidR="00711444" w:rsidRPr="004D0DAA" w14:paraId="754B7041" w14:textId="77777777" w:rsidTr="00AA2A4C">
        <w:tblPrEx>
          <w:tblCellMar>
            <w:top w:w="0" w:type="dxa"/>
            <w:bottom w:w="0" w:type="dxa"/>
          </w:tblCellMar>
        </w:tblPrEx>
        <w:trPr>
          <w:cantSplit/>
          <w:trHeight w:val="113"/>
        </w:trPr>
        <w:tc>
          <w:tcPr>
            <w:tcW w:w="9848" w:type="dxa"/>
            <w:shd w:val="clear" w:color="auto" w:fill="auto"/>
          </w:tcPr>
          <w:p w14:paraId="10F61DBD" w14:textId="77777777" w:rsidR="00711444" w:rsidRPr="004D0DAA" w:rsidRDefault="00711444" w:rsidP="00AA2A4C">
            <w:pPr>
              <w:spacing w:after="0"/>
            </w:pPr>
            <w:r w:rsidRPr="004D0DAA">
              <w:rPr>
                <w:b/>
              </w:rPr>
              <w:t>Carrier for Interference Measurements (4 bit field)</w:t>
            </w:r>
          </w:p>
          <w:p w14:paraId="4CDF8B17" w14:textId="77777777" w:rsidR="00711444" w:rsidRPr="004D0DAA" w:rsidRDefault="00711444" w:rsidP="00AA2A4C">
            <w:pPr>
              <w:spacing w:after="0"/>
            </w:pPr>
            <w:r w:rsidRPr="004D0DAA">
              <w:t>See sub-clause 11.2.7.</w:t>
            </w:r>
          </w:p>
          <w:p w14:paraId="36E7CA5F" w14:textId="77777777" w:rsidR="00711444" w:rsidRPr="004D0DAA" w:rsidRDefault="00711444" w:rsidP="00AA2A4C">
            <w:pPr>
              <w:spacing w:after="0"/>
              <w:rPr>
                <w:b/>
              </w:rPr>
            </w:pPr>
          </w:p>
        </w:tc>
      </w:tr>
      <w:tr w:rsidR="00711444" w:rsidRPr="004D0DAA" w14:paraId="033CDED7" w14:textId="77777777" w:rsidTr="00AA2A4C">
        <w:tblPrEx>
          <w:tblCellMar>
            <w:top w:w="0" w:type="dxa"/>
            <w:bottom w:w="0" w:type="dxa"/>
          </w:tblCellMar>
        </w:tblPrEx>
        <w:trPr>
          <w:cantSplit/>
          <w:trHeight w:val="113"/>
        </w:trPr>
        <w:tc>
          <w:tcPr>
            <w:tcW w:w="9848" w:type="dxa"/>
            <w:shd w:val="clear" w:color="auto" w:fill="auto"/>
          </w:tcPr>
          <w:p w14:paraId="6A1E7455" w14:textId="77777777" w:rsidR="00711444" w:rsidRPr="004D0DAA" w:rsidRDefault="00711444" w:rsidP="00AA2A4C">
            <w:pPr>
              <w:spacing w:after="0"/>
              <w:rPr>
                <w:b/>
                <w:szCs w:val="18"/>
              </w:rPr>
            </w:pPr>
            <w:r w:rsidRPr="004D0DAA">
              <w:rPr>
                <w:rFonts w:cs="Arial"/>
                <w:b/>
                <w:szCs w:val="18"/>
              </w:rPr>
              <w:t>UPLINK EGPRS Window Size</w:t>
            </w:r>
            <w:r w:rsidRPr="004D0DAA">
              <w:rPr>
                <w:rFonts w:cs="Arial"/>
                <w:szCs w:val="18"/>
              </w:rPr>
              <w:t> </w:t>
            </w:r>
            <w:r w:rsidRPr="004D0DAA">
              <w:rPr>
                <w:b/>
                <w:szCs w:val="18"/>
              </w:rPr>
              <w:t xml:space="preserve"> </w:t>
            </w:r>
          </w:p>
          <w:p w14:paraId="2D61D17F" w14:textId="77777777" w:rsidR="00711444" w:rsidRPr="004D0DAA" w:rsidRDefault="00711444" w:rsidP="00AA2A4C">
            <w:pPr>
              <w:spacing w:after="0"/>
              <w:rPr>
                <w:b/>
                <w:szCs w:val="18"/>
              </w:rPr>
            </w:pPr>
          </w:p>
          <w:p w14:paraId="1CAECF34" w14:textId="77777777" w:rsidR="00711444" w:rsidRPr="004D0DAA" w:rsidRDefault="00711444" w:rsidP="00AA2A4C">
            <w:pPr>
              <w:spacing w:after="0"/>
              <w:rPr>
                <w:b/>
                <w:szCs w:val="18"/>
              </w:rPr>
            </w:pPr>
            <w:r w:rsidRPr="004D0DAA">
              <w:rPr>
                <w:b/>
                <w:szCs w:val="18"/>
              </w:rPr>
              <w:t>EGPRS Window Size</w:t>
            </w:r>
          </w:p>
          <w:p w14:paraId="794FBE1A" w14:textId="77777777" w:rsidR="00711444" w:rsidRPr="004D0DAA" w:rsidRDefault="00711444" w:rsidP="00AA2A4C">
            <w:r w:rsidRPr="004D0DAA">
              <w:t xml:space="preserve">This field is defined in sub-clause 12.5.2. </w:t>
            </w:r>
          </w:p>
        </w:tc>
      </w:tr>
      <w:tr w:rsidR="00711444" w:rsidRPr="004D0DAA" w14:paraId="35A3176C" w14:textId="77777777" w:rsidTr="00AA2A4C">
        <w:tblPrEx>
          <w:tblCellMar>
            <w:top w:w="0" w:type="dxa"/>
            <w:bottom w:w="0" w:type="dxa"/>
          </w:tblCellMar>
        </w:tblPrEx>
        <w:trPr>
          <w:cantSplit/>
          <w:trHeight w:val="113"/>
        </w:trPr>
        <w:tc>
          <w:tcPr>
            <w:tcW w:w="9848" w:type="dxa"/>
            <w:shd w:val="clear" w:color="auto" w:fill="auto"/>
          </w:tcPr>
          <w:p w14:paraId="513D8717" w14:textId="77777777" w:rsidR="00711444" w:rsidRPr="004D0DAA" w:rsidRDefault="00711444" w:rsidP="00AA2A4C">
            <w:pPr>
              <w:spacing w:after="0"/>
            </w:pPr>
            <w:r w:rsidRPr="004D0DAA">
              <w:rPr>
                <w:b/>
              </w:rPr>
              <w:t>LINK_QUALITY_MEASUREMENT_MODE</w:t>
            </w:r>
            <w:r w:rsidRPr="004D0DAA">
              <w:t xml:space="preserve"> (2 bit field)</w:t>
            </w:r>
          </w:p>
          <w:p w14:paraId="407464E9" w14:textId="77777777" w:rsidR="00711444" w:rsidRPr="004D0DAA" w:rsidRDefault="00711444" w:rsidP="00AA2A4C">
            <w:pPr>
              <w:spacing w:after="0"/>
            </w:pPr>
            <w:r w:rsidRPr="004D0DAA">
              <w:t>This field is defined in sub-clause 11.2.7.</w:t>
            </w:r>
          </w:p>
          <w:p w14:paraId="4C500A2C" w14:textId="77777777" w:rsidR="00711444" w:rsidRPr="004D0DAA" w:rsidRDefault="00711444" w:rsidP="00AA2A4C">
            <w:pPr>
              <w:spacing w:after="0"/>
              <w:rPr>
                <w:b/>
                <w:szCs w:val="18"/>
              </w:rPr>
            </w:pPr>
          </w:p>
        </w:tc>
      </w:tr>
      <w:tr w:rsidR="00711444" w:rsidRPr="004D0DAA" w14:paraId="23118075" w14:textId="77777777" w:rsidTr="00AA2A4C">
        <w:tblPrEx>
          <w:tblCellMar>
            <w:top w:w="0" w:type="dxa"/>
            <w:bottom w:w="0" w:type="dxa"/>
          </w:tblCellMar>
        </w:tblPrEx>
        <w:trPr>
          <w:cantSplit/>
          <w:trHeight w:val="113"/>
        </w:trPr>
        <w:tc>
          <w:tcPr>
            <w:tcW w:w="9848" w:type="dxa"/>
            <w:shd w:val="clear" w:color="auto" w:fill="auto"/>
          </w:tcPr>
          <w:p w14:paraId="4CC6511E" w14:textId="77777777" w:rsidR="00711444" w:rsidRPr="004D0DAA" w:rsidRDefault="00711444" w:rsidP="00AA2A4C">
            <w:pPr>
              <w:spacing w:after="0"/>
            </w:pPr>
            <w:r w:rsidRPr="004D0DAA">
              <w:rPr>
                <w:b/>
              </w:rPr>
              <w:t>BEP_PERIOD2</w:t>
            </w:r>
            <w:r w:rsidRPr="004D0DAA">
              <w:t xml:space="preserve"> (4 bit field)</w:t>
            </w:r>
            <w:r w:rsidRPr="004D0DAA">
              <w:br/>
              <w:t>This field is defined in sub-clause 11.2.7.</w:t>
            </w:r>
          </w:p>
          <w:p w14:paraId="6F22BF4B" w14:textId="77777777" w:rsidR="00711444" w:rsidRPr="004D0DAA" w:rsidRDefault="00711444" w:rsidP="00AA2A4C">
            <w:pPr>
              <w:spacing w:after="0"/>
              <w:rPr>
                <w:b/>
              </w:rPr>
            </w:pPr>
          </w:p>
        </w:tc>
      </w:tr>
      <w:tr w:rsidR="00711444" w:rsidRPr="004D0DAA" w14:paraId="21A72E5A" w14:textId="77777777" w:rsidTr="00AA2A4C">
        <w:tblPrEx>
          <w:tblCellMar>
            <w:top w:w="0" w:type="dxa"/>
            <w:bottom w:w="0" w:type="dxa"/>
          </w:tblCellMar>
        </w:tblPrEx>
        <w:trPr>
          <w:cantSplit/>
          <w:trHeight w:val="113"/>
        </w:trPr>
        <w:tc>
          <w:tcPr>
            <w:tcW w:w="9848" w:type="dxa"/>
            <w:shd w:val="clear" w:color="auto" w:fill="auto"/>
          </w:tcPr>
          <w:p w14:paraId="7179C4AB" w14:textId="77777777" w:rsidR="00711444" w:rsidRPr="004D0DAA" w:rsidRDefault="00711444" w:rsidP="00AA2A4C">
            <w:pPr>
              <w:spacing w:after="0"/>
              <w:rPr>
                <w:iCs/>
              </w:rPr>
            </w:pPr>
            <w:r w:rsidRPr="004D0DAA">
              <w:rPr>
                <w:b/>
                <w:bCs/>
                <w:iCs/>
              </w:rPr>
              <w:t>PFI</w:t>
            </w:r>
            <w:r w:rsidRPr="004D0DAA">
              <w:rPr>
                <w:iCs/>
              </w:rPr>
              <w:t xml:space="preserve"> </w:t>
            </w:r>
            <w:r w:rsidRPr="004D0DAA">
              <w:rPr>
                <w:b/>
                <w:bCs/>
                <w:iCs/>
              </w:rPr>
              <w:t>of downlink TBF</w:t>
            </w:r>
            <w:r w:rsidRPr="004D0DAA">
              <w:rPr>
                <w:iCs/>
              </w:rPr>
              <w:t xml:space="preserve"> (7 bit field)</w:t>
            </w:r>
          </w:p>
          <w:p w14:paraId="677ACEDA" w14:textId="77777777" w:rsidR="00711444" w:rsidRPr="004D0DAA" w:rsidRDefault="00711444" w:rsidP="00AA2A4C">
            <w:pPr>
              <w:spacing w:after="0"/>
              <w:rPr>
                <w:iCs/>
              </w:rPr>
            </w:pPr>
            <w:r w:rsidRPr="004D0DAA">
              <w:rPr>
                <w:b/>
                <w:bCs/>
                <w:iCs/>
              </w:rPr>
              <w:t>PFI</w:t>
            </w:r>
            <w:r w:rsidRPr="004D0DAA">
              <w:rPr>
                <w:iCs/>
              </w:rPr>
              <w:t xml:space="preserve"> </w:t>
            </w:r>
            <w:r w:rsidRPr="004D0DAA">
              <w:rPr>
                <w:b/>
                <w:bCs/>
                <w:iCs/>
              </w:rPr>
              <w:t>of uplink TBF</w:t>
            </w:r>
            <w:r w:rsidRPr="004D0DAA">
              <w:rPr>
                <w:iCs/>
              </w:rPr>
              <w:t xml:space="preserve"> (7 bit field)</w:t>
            </w:r>
          </w:p>
          <w:p w14:paraId="6D5E6F6A" w14:textId="77777777" w:rsidR="00711444" w:rsidRPr="004D0DAA" w:rsidRDefault="00711444" w:rsidP="00AA2A4C">
            <w:pPr>
              <w:spacing w:after="0"/>
            </w:pPr>
            <w:r w:rsidRPr="004D0DAA">
              <w:t>This field is defined in sub-clause 11.2.31.</w:t>
            </w:r>
          </w:p>
          <w:p w14:paraId="5AE516C3" w14:textId="77777777" w:rsidR="00711444" w:rsidRPr="004D0DAA" w:rsidRDefault="00711444" w:rsidP="00AA2A4C">
            <w:pPr>
              <w:spacing w:after="0"/>
              <w:rPr>
                <w:b/>
              </w:rPr>
            </w:pPr>
          </w:p>
        </w:tc>
      </w:tr>
      <w:tr w:rsidR="00711444" w:rsidRPr="004D0DAA" w14:paraId="37B9AD0B" w14:textId="77777777" w:rsidTr="00AA2A4C">
        <w:tblPrEx>
          <w:tblCellMar>
            <w:top w:w="0" w:type="dxa"/>
            <w:bottom w:w="0" w:type="dxa"/>
          </w:tblCellMar>
        </w:tblPrEx>
        <w:trPr>
          <w:cantSplit/>
          <w:trHeight w:val="113"/>
        </w:trPr>
        <w:tc>
          <w:tcPr>
            <w:tcW w:w="9848" w:type="dxa"/>
            <w:shd w:val="clear" w:color="auto" w:fill="auto"/>
          </w:tcPr>
          <w:p w14:paraId="25AA01AC" w14:textId="77777777" w:rsidR="00711444" w:rsidRPr="004D0DAA" w:rsidRDefault="00711444" w:rsidP="00AA2A4C">
            <w:pPr>
              <w:spacing w:after="0"/>
              <w:rPr>
                <w:b/>
                <w:bCs/>
                <w:iCs/>
              </w:rPr>
            </w:pPr>
            <w:r w:rsidRPr="004D0DAA">
              <w:rPr>
                <w:b/>
              </w:rPr>
              <w:t>Downlink NPM Transfer Time</w:t>
            </w:r>
            <w:r w:rsidRPr="004D0DAA">
              <w:t xml:space="preserve"> (5 bit field)</w:t>
            </w:r>
          </w:p>
          <w:p w14:paraId="060EE833" w14:textId="77777777" w:rsidR="00711444" w:rsidRPr="004D0DAA" w:rsidRDefault="00711444" w:rsidP="00AA2A4C">
            <w:pPr>
              <w:spacing w:after="0"/>
              <w:rPr>
                <w:b/>
                <w:bCs/>
                <w:iCs/>
              </w:rPr>
            </w:pPr>
            <w:r w:rsidRPr="004D0DAA">
              <w:rPr>
                <w:b/>
              </w:rPr>
              <w:t>Uplink NPM Transfer Time</w:t>
            </w:r>
            <w:r w:rsidRPr="004D0DAA">
              <w:t xml:space="preserve"> (5 bit field)</w:t>
            </w:r>
          </w:p>
          <w:p w14:paraId="04EE8F4C" w14:textId="77777777" w:rsidR="00711444" w:rsidRPr="004D0DAA" w:rsidRDefault="00711444" w:rsidP="00AA2A4C">
            <w:pPr>
              <w:spacing w:after="0"/>
            </w:pPr>
            <w:r w:rsidRPr="004D0DAA">
              <w:t>This field is defined in sub-clause 11.2.31.</w:t>
            </w:r>
          </w:p>
          <w:p w14:paraId="4EFC14E0" w14:textId="77777777" w:rsidR="00711444" w:rsidRPr="004D0DAA" w:rsidRDefault="00711444" w:rsidP="00AA2A4C">
            <w:pPr>
              <w:spacing w:after="0"/>
              <w:rPr>
                <w:b/>
                <w:bCs/>
                <w:iCs/>
              </w:rPr>
            </w:pPr>
          </w:p>
        </w:tc>
      </w:tr>
      <w:tr w:rsidR="00711444" w:rsidRPr="004D0DAA" w14:paraId="3E9315FA" w14:textId="77777777" w:rsidTr="00AA2A4C">
        <w:tblPrEx>
          <w:tblCellMar>
            <w:top w:w="0" w:type="dxa"/>
            <w:bottom w:w="0" w:type="dxa"/>
          </w:tblCellMar>
        </w:tblPrEx>
        <w:trPr>
          <w:cantSplit/>
          <w:trHeight w:val="113"/>
        </w:trPr>
        <w:tc>
          <w:tcPr>
            <w:tcW w:w="9848" w:type="dxa"/>
            <w:shd w:val="clear" w:color="auto" w:fill="auto"/>
          </w:tcPr>
          <w:p w14:paraId="69304667" w14:textId="77777777" w:rsidR="00711444" w:rsidRPr="004D0DAA" w:rsidRDefault="00711444" w:rsidP="00AA2A4C">
            <w:pPr>
              <w:spacing w:after="0"/>
            </w:pPr>
            <w:r w:rsidRPr="004D0DAA">
              <w:rPr>
                <w:b/>
              </w:rPr>
              <w:t>EVENT_BASED_FANR</w:t>
            </w:r>
            <w:r w:rsidRPr="004D0DAA">
              <w:t xml:space="preserve"> (1 bit field)</w:t>
            </w:r>
          </w:p>
          <w:p w14:paraId="7C09BB3A" w14:textId="77777777" w:rsidR="00711444" w:rsidRPr="004D0DAA" w:rsidRDefault="00711444" w:rsidP="00AA2A4C">
            <w:pPr>
              <w:spacing w:after="0"/>
            </w:pPr>
            <w:r w:rsidRPr="004D0DAA">
              <w:t>This field is defined in sub-clause 11.2.31.</w:t>
            </w:r>
          </w:p>
          <w:p w14:paraId="1C6089CC" w14:textId="77777777" w:rsidR="00711444" w:rsidRPr="004D0DAA" w:rsidRDefault="00711444" w:rsidP="00AA2A4C">
            <w:pPr>
              <w:spacing w:after="0"/>
              <w:rPr>
                <w:b/>
              </w:rPr>
            </w:pPr>
          </w:p>
        </w:tc>
      </w:tr>
      <w:tr w:rsidR="00711444" w:rsidRPr="004D0DAA" w14:paraId="0BEEA3A8" w14:textId="77777777" w:rsidTr="00AA2A4C">
        <w:tblPrEx>
          <w:tblCellMar>
            <w:top w:w="0" w:type="dxa"/>
            <w:bottom w:w="0" w:type="dxa"/>
          </w:tblCellMar>
        </w:tblPrEx>
        <w:trPr>
          <w:cantSplit/>
          <w:trHeight w:val="113"/>
        </w:trPr>
        <w:tc>
          <w:tcPr>
            <w:tcW w:w="9848" w:type="dxa"/>
            <w:shd w:val="clear" w:color="auto" w:fill="auto"/>
          </w:tcPr>
          <w:p w14:paraId="2BBEDA82" w14:textId="77777777" w:rsidR="00711444" w:rsidRPr="004D0DAA" w:rsidRDefault="00711444" w:rsidP="00AA2A4C">
            <w:pPr>
              <w:spacing w:after="0"/>
              <w:rPr>
                <w:b/>
              </w:rPr>
            </w:pPr>
            <w:r w:rsidRPr="004D0DAA">
              <w:rPr>
                <w:b/>
              </w:rPr>
              <w:t xml:space="preserve">Uplink EGPRS Level </w:t>
            </w:r>
            <w:r w:rsidRPr="004D0DAA">
              <w:t>(2 bit field)</w:t>
            </w:r>
          </w:p>
          <w:p w14:paraId="53D17A07" w14:textId="77777777" w:rsidR="00711444" w:rsidRPr="004D0DAA" w:rsidRDefault="00711444" w:rsidP="00AA2A4C">
            <w:pPr>
              <w:spacing w:after="0"/>
            </w:pPr>
            <w:r w:rsidRPr="004D0DAA">
              <w:rPr>
                <w:b/>
              </w:rPr>
              <w:t>Downlink EGPRS Level</w:t>
            </w:r>
            <w:r w:rsidRPr="004D0DAA">
              <w:t xml:space="preserve"> (2 bit field)</w:t>
            </w:r>
          </w:p>
          <w:p w14:paraId="26433F5A" w14:textId="77777777" w:rsidR="00711444" w:rsidRPr="004D0DAA" w:rsidRDefault="00711444" w:rsidP="00AA2A4C">
            <w:pPr>
              <w:spacing w:after="0"/>
            </w:pPr>
            <w:r w:rsidRPr="004D0DAA">
              <w:t>These fields assign the group of modulation and coding schemes applicable to the uplink and downlink TBFs respectively and is defined in sub-clause 12.10f.</w:t>
            </w:r>
          </w:p>
          <w:p w14:paraId="7CE22D3E" w14:textId="77777777" w:rsidR="00711444" w:rsidRPr="004D0DAA" w:rsidRDefault="00711444" w:rsidP="00AA2A4C">
            <w:pPr>
              <w:spacing w:after="0"/>
              <w:rPr>
                <w:b/>
              </w:rPr>
            </w:pPr>
          </w:p>
        </w:tc>
      </w:tr>
      <w:tr w:rsidR="00711444" w:rsidRPr="004D0DAA" w14:paraId="263F9896" w14:textId="77777777" w:rsidTr="00AA2A4C">
        <w:tblPrEx>
          <w:tblCellMar>
            <w:top w:w="0" w:type="dxa"/>
            <w:bottom w:w="0" w:type="dxa"/>
          </w:tblCellMar>
        </w:tblPrEx>
        <w:trPr>
          <w:cantSplit/>
          <w:trHeight w:val="113"/>
        </w:trPr>
        <w:tc>
          <w:tcPr>
            <w:tcW w:w="9848" w:type="dxa"/>
            <w:shd w:val="clear" w:color="auto" w:fill="auto"/>
          </w:tcPr>
          <w:p w14:paraId="5D090885" w14:textId="77777777" w:rsidR="00711444" w:rsidRPr="004D0DAA" w:rsidRDefault="00711444" w:rsidP="00AA2A4C">
            <w:pPr>
              <w:spacing w:after="0"/>
              <w:rPr>
                <w:b/>
              </w:rPr>
            </w:pPr>
            <w:r w:rsidRPr="004D0DAA">
              <w:rPr>
                <w:b/>
              </w:rPr>
              <w:t xml:space="preserve">Indication of Upper Layer PDU Start for RLC UM </w:t>
            </w:r>
            <w:r w:rsidRPr="004D0DAA">
              <w:t>(1 bit field)</w:t>
            </w:r>
          </w:p>
          <w:p w14:paraId="3E98C1C4" w14:textId="77777777" w:rsidR="00711444" w:rsidRPr="004D0DAA" w:rsidRDefault="00711444" w:rsidP="00AA2A4C">
            <w:pPr>
              <w:spacing w:after="0"/>
            </w:pPr>
            <w:r w:rsidRPr="004D0DAA">
              <w:t>This field is defined in section 11.2.7.</w:t>
            </w:r>
          </w:p>
          <w:p w14:paraId="054E41D1" w14:textId="77777777" w:rsidR="00711444" w:rsidRPr="004D0DAA" w:rsidRDefault="00711444" w:rsidP="00AA2A4C">
            <w:pPr>
              <w:spacing w:after="0"/>
              <w:rPr>
                <w:b/>
              </w:rPr>
            </w:pPr>
          </w:p>
        </w:tc>
      </w:tr>
      <w:tr w:rsidR="00711444" w:rsidRPr="004D0DAA" w14:paraId="38B6E031" w14:textId="77777777" w:rsidTr="00AA2A4C">
        <w:tblPrEx>
          <w:tblCellMar>
            <w:top w:w="0" w:type="dxa"/>
            <w:bottom w:w="0" w:type="dxa"/>
          </w:tblCellMar>
        </w:tblPrEx>
        <w:trPr>
          <w:cantSplit/>
          <w:trHeight w:val="113"/>
        </w:trPr>
        <w:tc>
          <w:tcPr>
            <w:tcW w:w="9848" w:type="dxa"/>
            <w:shd w:val="clear" w:color="auto" w:fill="auto"/>
          </w:tcPr>
          <w:p w14:paraId="70CD8C07"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1881EB12" w14:textId="77777777" w:rsidR="00711444" w:rsidRPr="004D0DAA" w:rsidRDefault="00711444" w:rsidP="00AA2A4C">
            <w:pPr>
              <w:spacing w:after="0"/>
              <w:rPr>
                <w:b/>
                <w:bCs/>
              </w:rPr>
            </w:pPr>
            <w:r w:rsidRPr="004D0DAA">
              <w:t>See sub-clause 11.2.7.</w:t>
            </w:r>
          </w:p>
          <w:p w14:paraId="4B23D533" w14:textId="77777777" w:rsidR="00711444" w:rsidRPr="004D0DAA" w:rsidRDefault="00711444" w:rsidP="00AA2A4C">
            <w:pPr>
              <w:spacing w:after="0"/>
              <w:rPr>
                <w:b/>
              </w:rPr>
            </w:pPr>
          </w:p>
        </w:tc>
      </w:tr>
      <w:tr w:rsidR="00711444" w:rsidRPr="004D0DAA" w14:paraId="1A7AE07A" w14:textId="77777777" w:rsidTr="00AA2A4C">
        <w:tblPrEx>
          <w:tblCellMar>
            <w:top w:w="0" w:type="dxa"/>
            <w:bottom w:w="0" w:type="dxa"/>
          </w:tblCellMar>
        </w:tblPrEx>
        <w:trPr>
          <w:cantSplit/>
          <w:trHeight w:val="113"/>
        </w:trPr>
        <w:tc>
          <w:tcPr>
            <w:tcW w:w="9848" w:type="dxa"/>
            <w:shd w:val="clear" w:color="auto" w:fill="auto"/>
          </w:tcPr>
          <w:p w14:paraId="5AC38965" w14:textId="77777777" w:rsidR="00711444" w:rsidRPr="004D0DAA" w:rsidRDefault="00711444" w:rsidP="00AA2A4C">
            <w:r w:rsidRPr="004D0DAA">
              <w:rPr>
                <w:b/>
              </w:rPr>
              <w:t>EGPRS Modulation and Coding Scheme</w:t>
            </w:r>
            <w:r w:rsidRPr="004D0DAA">
              <w:br/>
              <w:t>This field is defined in sub-clause 12.10d. If this field is included in a Multi Carrier assignment, it shall specify the initial EGPRS Modulation and Coding Scheme to be used on all assigned carriers.</w:t>
            </w:r>
          </w:p>
        </w:tc>
      </w:tr>
      <w:tr w:rsidR="00711444" w:rsidRPr="004D0DAA" w14:paraId="08EB39DF" w14:textId="77777777" w:rsidTr="00AA2A4C">
        <w:tblPrEx>
          <w:tblCellMar>
            <w:top w:w="0" w:type="dxa"/>
            <w:bottom w:w="0" w:type="dxa"/>
          </w:tblCellMar>
        </w:tblPrEx>
        <w:trPr>
          <w:cantSplit/>
          <w:trHeight w:val="113"/>
        </w:trPr>
        <w:tc>
          <w:tcPr>
            <w:tcW w:w="9848" w:type="dxa"/>
            <w:shd w:val="clear" w:color="auto" w:fill="auto"/>
          </w:tcPr>
          <w:p w14:paraId="77027AAA" w14:textId="77777777" w:rsidR="00711444" w:rsidRPr="004D0DAA" w:rsidRDefault="00711444" w:rsidP="00AA2A4C">
            <w:pPr>
              <w:spacing w:after="0"/>
              <w:rPr>
                <w:b/>
              </w:rPr>
            </w:pPr>
            <w:r w:rsidRPr="004D0DAA">
              <w:rPr>
                <w:b/>
              </w:rPr>
              <w:t>CARRIER_SPECIFIC_INFO</w:t>
            </w:r>
          </w:p>
          <w:p w14:paraId="3528BD80" w14:textId="77777777" w:rsidR="00711444" w:rsidRPr="004D0DAA" w:rsidRDefault="00711444" w:rsidP="00AA2A4C">
            <w:pPr>
              <w:spacing w:after="0"/>
            </w:pPr>
            <w:r w:rsidRPr="004D0DAA">
              <w:t>See sub-clause 11.2.7.</w:t>
            </w:r>
          </w:p>
          <w:p w14:paraId="76FAA725" w14:textId="77777777" w:rsidR="00711444" w:rsidRPr="004D0DAA" w:rsidRDefault="00711444" w:rsidP="00AA2A4C">
            <w:pPr>
              <w:spacing w:after="0"/>
              <w:rPr>
                <w:b/>
                <w:bCs/>
              </w:rPr>
            </w:pPr>
          </w:p>
        </w:tc>
      </w:tr>
      <w:tr w:rsidR="00711444" w:rsidRPr="004D0DAA" w14:paraId="75D38152" w14:textId="77777777" w:rsidTr="00AA2A4C">
        <w:tblPrEx>
          <w:tblCellMar>
            <w:top w:w="0" w:type="dxa"/>
            <w:bottom w:w="0" w:type="dxa"/>
          </w:tblCellMar>
        </w:tblPrEx>
        <w:trPr>
          <w:cantSplit/>
          <w:trHeight w:val="113"/>
        </w:trPr>
        <w:tc>
          <w:tcPr>
            <w:tcW w:w="9848" w:type="dxa"/>
            <w:shd w:val="clear" w:color="auto" w:fill="auto"/>
          </w:tcPr>
          <w:p w14:paraId="4317C434" w14:textId="77777777" w:rsidR="00711444" w:rsidRPr="004D0DAA" w:rsidRDefault="00711444" w:rsidP="00AA2A4C">
            <w:pPr>
              <w:spacing w:after="0"/>
            </w:pPr>
            <w:r w:rsidRPr="004D0DAA">
              <w:rPr>
                <w:b/>
              </w:rPr>
              <w:t>DLMC Frequency Parameters</w:t>
            </w:r>
            <w:r w:rsidRPr="004D0DAA">
              <w:br/>
              <w:t>See sub-clause 11.2.7.</w:t>
            </w:r>
          </w:p>
          <w:p w14:paraId="01CECE78" w14:textId="77777777" w:rsidR="00711444" w:rsidRPr="004D0DAA" w:rsidRDefault="00711444" w:rsidP="00AA2A4C">
            <w:pPr>
              <w:spacing w:after="0"/>
              <w:rPr>
                <w:b/>
                <w:bCs/>
              </w:rPr>
            </w:pPr>
          </w:p>
        </w:tc>
      </w:tr>
      <w:tr w:rsidR="00711444" w:rsidRPr="004D0DAA" w14:paraId="47A892FB" w14:textId="77777777" w:rsidTr="00AA2A4C">
        <w:tblPrEx>
          <w:tblCellMar>
            <w:top w:w="0" w:type="dxa"/>
            <w:bottom w:w="0" w:type="dxa"/>
          </w:tblCellMar>
        </w:tblPrEx>
        <w:trPr>
          <w:cantSplit/>
          <w:trHeight w:val="113"/>
        </w:trPr>
        <w:tc>
          <w:tcPr>
            <w:tcW w:w="9848" w:type="dxa"/>
            <w:shd w:val="clear" w:color="auto" w:fill="auto"/>
          </w:tcPr>
          <w:p w14:paraId="4E151BAE" w14:textId="77777777" w:rsidR="00711444" w:rsidRPr="004D0DAA" w:rsidRDefault="00711444" w:rsidP="00AA2A4C">
            <w:pPr>
              <w:spacing w:after="0"/>
            </w:pPr>
            <w:r w:rsidRPr="004D0DAA">
              <w:rPr>
                <w:b/>
              </w:rPr>
              <w:t>DOWNLINK_TIMESLOT_ALLOCATION</w:t>
            </w:r>
            <w:r w:rsidRPr="004D0DAA">
              <w:t xml:space="preserve"> (8 bit field)</w:t>
            </w:r>
            <w:r w:rsidRPr="004D0DAA">
              <w:rPr>
                <w:b/>
              </w:rPr>
              <w:br/>
              <w:t xml:space="preserve">UPLINK_TIMESLOT_ALLOCATION </w:t>
            </w:r>
            <w:r w:rsidRPr="004D0DAA">
              <w:t>(8 bit field)</w:t>
            </w:r>
          </w:p>
          <w:p w14:paraId="1AD3BA8E" w14:textId="77777777" w:rsidR="00711444" w:rsidRPr="004D0DAA" w:rsidRDefault="00711444" w:rsidP="00AA2A4C">
            <w:r w:rsidRPr="004D0DAA">
              <w:t>This field is defined in sub-clause 12.18.</w:t>
            </w:r>
          </w:p>
        </w:tc>
      </w:tr>
      <w:tr w:rsidR="00711444" w:rsidRPr="004D0DAA" w14:paraId="446CF293" w14:textId="77777777" w:rsidTr="00AA2A4C">
        <w:tblPrEx>
          <w:tblCellMar>
            <w:top w:w="0" w:type="dxa"/>
            <w:bottom w:w="0" w:type="dxa"/>
          </w:tblCellMar>
        </w:tblPrEx>
        <w:trPr>
          <w:cantSplit/>
          <w:trHeight w:val="113"/>
        </w:trPr>
        <w:tc>
          <w:tcPr>
            <w:tcW w:w="9848" w:type="dxa"/>
            <w:shd w:val="clear" w:color="auto" w:fill="auto"/>
          </w:tcPr>
          <w:p w14:paraId="291B8645" w14:textId="77777777" w:rsidR="00711444" w:rsidRPr="004D0DAA" w:rsidRDefault="00711444" w:rsidP="00AA2A4C">
            <w:pPr>
              <w:spacing w:after="0"/>
              <w:rPr>
                <w:b/>
                <w:bCs/>
              </w:rPr>
            </w:pPr>
            <w:r w:rsidRPr="004D0DAA">
              <w:rPr>
                <w:b/>
                <w:bCs/>
              </w:rPr>
              <w:lastRenderedPageBreak/>
              <w:t>DOWNLINK_PDCH_PAIRS_DLMC</w:t>
            </w:r>
          </w:p>
          <w:p w14:paraId="1FFACBCD" w14:textId="77777777" w:rsidR="00711444" w:rsidRPr="004D0DAA" w:rsidRDefault="00711444" w:rsidP="00AA2A4C">
            <w:pPr>
              <w:spacing w:after="0"/>
              <w:rPr>
                <w:b/>
                <w:bCs/>
              </w:rPr>
            </w:pPr>
            <w:r w:rsidRPr="004D0DAA">
              <w:rPr>
                <w:b/>
                <w:bCs/>
              </w:rPr>
              <w:t>UPLINK_PDCH_PAIRS_DLMC</w:t>
            </w:r>
          </w:p>
          <w:p w14:paraId="73693CEE" w14:textId="77777777" w:rsidR="00711444" w:rsidRPr="004D0DAA" w:rsidRDefault="00711444" w:rsidP="00AA2A4C">
            <w:pPr>
              <w:spacing w:after="0"/>
            </w:pPr>
            <w:r w:rsidRPr="004D0DAA">
              <w:t>This field is defined in sub-clause 11.2.31.</w:t>
            </w:r>
          </w:p>
          <w:p w14:paraId="27535EEA" w14:textId="77777777" w:rsidR="00711444" w:rsidRPr="004D0DAA" w:rsidRDefault="00711444" w:rsidP="00AA2A4C">
            <w:pPr>
              <w:spacing w:after="0"/>
              <w:rPr>
                <w:b/>
              </w:rPr>
            </w:pPr>
          </w:p>
        </w:tc>
      </w:tr>
      <w:tr w:rsidR="00711444" w:rsidRPr="004D0DAA" w14:paraId="48F27DC9" w14:textId="77777777" w:rsidTr="00AA2A4C">
        <w:tblPrEx>
          <w:tblCellMar>
            <w:top w:w="0" w:type="dxa"/>
            <w:bottom w:w="0" w:type="dxa"/>
          </w:tblCellMar>
        </w:tblPrEx>
        <w:trPr>
          <w:cantSplit/>
          <w:trHeight w:val="113"/>
        </w:trPr>
        <w:tc>
          <w:tcPr>
            <w:tcW w:w="9848" w:type="dxa"/>
            <w:shd w:val="clear" w:color="auto" w:fill="auto"/>
          </w:tcPr>
          <w:p w14:paraId="22A2DAC1" w14:textId="77777777" w:rsidR="00711444" w:rsidRPr="004D0DAA" w:rsidRDefault="00711444" w:rsidP="00AA2A4C">
            <w:pPr>
              <w:spacing w:after="0"/>
              <w:rPr>
                <w:b/>
                <w:bCs/>
              </w:rPr>
            </w:pPr>
            <w:r w:rsidRPr="004D0DAA">
              <w:rPr>
                <w:b/>
                <w:bCs/>
                <w:szCs w:val="18"/>
              </w:rPr>
              <w:t>RTTI_DOWNLINK_PDCH_PAIR_ASSIGNMENT_DLMC</w:t>
            </w:r>
          </w:p>
          <w:p w14:paraId="5CAEE06C" w14:textId="77777777" w:rsidR="00711444" w:rsidRPr="004D0DAA" w:rsidRDefault="00711444" w:rsidP="00AA2A4C">
            <w:pPr>
              <w:spacing w:after="0"/>
            </w:pPr>
            <w:r w:rsidRPr="004D0DAA">
              <w:t>This field is defined in sub-clause 11.2.31.</w:t>
            </w:r>
          </w:p>
          <w:p w14:paraId="3BE485EC" w14:textId="77777777" w:rsidR="00711444" w:rsidRPr="004D0DAA" w:rsidRDefault="00711444" w:rsidP="00AA2A4C">
            <w:pPr>
              <w:spacing w:after="0"/>
              <w:rPr>
                <w:b/>
                <w:bCs/>
              </w:rPr>
            </w:pPr>
          </w:p>
        </w:tc>
      </w:tr>
      <w:tr w:rsidR="00711444" w:rsidRPr="004D0DAA" w14:paraId="57D8A146" w14:textId="77777777" w:rsidTr="00AA2A4C">
        <w:tblPrEx>
          <w:tblCellMar>
            <w:top w:w="0" w:type="dxa"/>
            <w:bottom w:w="0" w:type="dxa"/>
          </w:tblCellMar>
        </w:tblPrEx>
        <w:trPr>
          <w:cantSplit/>
          <w:trHeight w:val="113"/>
        </w:trPr>
        <w:tc>
          <w:tcPr>
            <w:tcW w:w="9848" w:type="dxa"/>
            <w:shd w:val="clear" w:color="auto" w:fill="auto"/>
          </w:tcPr>
          <w:p w14:paraId="19D053B3" w14:textId="77777777" w:rsidR="00711444" w:rsidRPr="004D0DAA" w:rsidRDefault="00711444" w:rsidP="00AA2A4C">
            <w:pPr>
              <w:spacing w:after="0"/>
            </w:pPr>
            <w:r w:rsidRPr="004D0DAA">
              <w:rPr>
                <w:b/>
              </w:rPr>
              <w:t>MAIO</w:t>
            </w:r>
            <w:r w:rsidRPr="004D0DAA">
              <w:t xml:space="preserve"> (6 bit field)</w:t>
            </w:r>
            <w:r w:rsidRPr="004D0DAA">
              <w:br/>
              <w:t>See sub-clause 11.2.7.</w:t>
            </w:r>
          </w:p>
          <w:p w14:paraId="6827BF09" w14:textId="77777777" w:rsidR="00711444" w:rsidRPr="004D0DAA" w:rsidRDefault="00711444" w:rsidP="00AA2A4C">
            <w:pPr>
              <w:spacing w:after="0"/>
              <w:rPr>
                <w:b/>
                <w:bCs/>
              </w:rPr>
            </w:pPr>
          </w:p>
        </w:tc>
      </w:tr>
      <w:tr w:rsidR="00711444" w:rsidRPr="004D0DAA" w14:paraId="49A9799D" w14:textId="77777777" w:rsidTr="00AA2A4C">
        <w:tblPrEx>
          <w:tblCellMar>
            <w:top w:w="0" w:type="dxa"/>
            <w:bottom w:w="0" w:type="dxa"/>
          </w:tblCellMar>
        </w:tblPrEx>
        <w:trPr>
          <w:cantSplit/>
          <w:trHeight w:val="113"/>
        </w:trPr>
        <w:tc>
          <w:tcPr>
            <w:tcW w:w="9848" w:type="dxa"/>
            <w:shd w:val="clear" w:color="auto" w:fill="auto"/>
          </w:tcPr>
          <w:p w14:paraId="2CAFCE93" w14:textId="77777777" w:rsidR="00711444" w:rsidRPr="004D0DAA" w:rsidRDefault="00711444" w:rsidP="00AA2A4C">
            <w:pPr>
              <w:spacing w:after="0"/>
            </w:pPr>
            <w:r w:rsidRPr="004D0DAA">
              <w:rPr>
                <w:b/>
              </w:rPr>
              <w:t>P0</w:t>
            </w:r>
            <w:r w:rsidRPr="004D0DAA">
              <w:t xml:space="preserve"> (4 bit field)</w:t>
            </w:r>
          </w:p>
          <w:p w14:paraId="6F94B690" w14:textId="77777777" w:rsidR="00711444" w:rsidRPr="004D0DAA" w:rsidRDefault="00711444" w:rsidP="00AA2A4C">
            <w:pPr>
              <w:spacing w:after="0"/>
            </w:pPr>
            <w:r w:rsidRPr="004D0DAA">
              <w:t>See sub-clause 11.2.7.</w:t>
            </w:r>
          </w:p>
          <w:p w14:paraId="372CB85C" w14:textId="77777777" w:rsidR="00711444" w:rsidRPr="004D0DAA" w:rsidRDefault="00711444" w:rsidP="00AA2A4C">
            <w:pPr>
              <w:spacing w:after="0"/>
              <w:rPr>
                <w:b/>
              </w:rPr>
            </w:pPr>
          </w:p>
        </w:tc>
      </w:tr>
      <w:tr w:rsidR="00711444" w:rsidRPr="004D0DAA" w14:paraId="34576348" w14:textId="77777777" w:rsidTr="00AA2A4C">
        <w:tblPrEx>
          <w:tblCellMar>
            <w:top w:w="0" w:type="dxa"/>
            <w:bottom w:w="0" w:type="dxa"/>
          </w:tblCellMar>
        </w:tblPrEx>
        <w:trPr>
          <w:cantSplit/>
          <w:trHeight w:val="113"/>
        </w:trPr>
        <w:tc>
          <w:tcPr>
            <w:tcW w:w="9848" w:type="dxa"/>
            <w:shd w:val="clear" w:color="auto" w:fill="auto"/>
          </w:tcPr>
          <w:p w14:paraId="05AB4DDC" w14:textId="77777777" w:rsidR="00711444" w:rsidRPr="004D0DAA" w:rsidRDefault="00711444" w:rsidP="00AA2A4C">
            <w:pPr>
              <w:spacing w:after="0"/>
            </w:pPr>
            <w:r w:rsidRPr="004D0DAA">
              <w:rPr>
                <w:b/>
              </w:rPr>
              <w:t>PR_MODE</w:t>
            </w:r>
            <w:r w:rsidRPr="004D0DAA">
              <w:t xml:space="preserve"> (1 bit field)</w:t>
            </w:r>
          </w:p>
          <w:p w14:paraId="17D6B1E3" w14:textId="77777777" w:rsidR="00711444" w:rsidRPr="004D0DAA" w:rsidRDefault="00711444" w:rsidP="00AA2A4C">
            <w:pPr>
              <w:spacing w:after="0"/>
            </w:pPr>
            <w:r w:rsidRPr="004D0DAA">
              <w:t>See sub-clause 11.2.7.</w:t>
            </w:r>
          </w:p>
          <w:p w14:paraId="22731773" w14:textId="77777777" w:rsidR="00711444" w:rsidRPr="004D0DAA" w:rsidRDefault="00711444" w:rsidP="00AA2A4C">
            <w:pPr>
              <w:spacing w:after="0"/>
              <w:rPr>
                <w:b/>
              </w:rPr>
            </w:pPr>
          </w:p>
        </w:tc>
      </w:tr>
      <w:tr w:rsidR="00711444" w:rsidRPr="004D0DAA" w14:paraId="20F11229" w14:textId="77777777" w:rsidTr="00AA2A4C">
        <w:tblPrEx>
          <w:tblCellMar>
            <w:top w:w="0" w:type="dxa"/>
            <w:bottom w:w="0" w:type="dxa"/>
          </w:tblCellMar>
        </w:tblPrEx>
        <w:trPr>
          <w:cantSplit/>
          <w:trHeight w:val="113"/>
        </w:trPr>
        <w:tc>
          <w:tcPr>
            <w:tcW w:w="9848" w:type="dxa"/>
            <w:shd w:val="clear" w:color="auto" w:fill="auto"/>
          </w:tcPr>
          <w:p w14:paraId="17888618" w14:textId="77777777" w:rsidR="00711444" w:rsidRPr="004D0DAA" w:rsidRDefault="00711444" w:rsidP="00AA2A4C">
            <w:pPr>
              <w:spacing w:after="0"/>
              <w:rPr>
                <w:b/>
              </w:rPr>
            </w:pPr>
            <w:r w:rsidRPr="004D0DAA">
              <w:rPr>
                <w:b/>
              </w:rPr>
              <w:t xml:space="preserve">DOWNLINK_TFI_ASSIGNMENT </w:t>
            </w:r>
            <w:r w:rsidRPr="004D0DAA">
              <w:t>(5 bit field)</w:t>
            </w:r>
          </w:p>
          <w:p w14:paraId="6B8CFE63" w14:textId="77777777" w:rsidR="00711444" w:rsidRPr="004D0DAA" w:rsidRDefault="00711444" w:rsidP="00AA2A4C">
            <w:pPr>
              <w:spacing w:after="0"/>
            </w:pPr>
            <w:r w:rsidRPr="004D0DAA">
              <w:t>See sub-clause 11.2.7.</w:t>
            </w:r>
          </w:p>
          <w:p w14:paraId="1B081A99" w14:textId="77777777" w:rsidR="00711444" w:rsidRPr="004D0DAA" w:rsidRDefault="00711444" w:rsidP="00AA2A4C">
            <w:pPr>
              <w:spacing w:after="0"/>
              <w:rPr>
                <w:b/>
              </w:rPr>
            </w:pPr>
          </w:p>
        </w:tc>
      </w:tr>
      <w:tr w:rsidR="00711444" w:rsidRPr="004D0DAA" w14:paraId="138F9077" w14:textId="77777777" w:rsidTr="00AA2A4C">
        <w:tblPrEx>
          <w:tblCellMar>
            <w:top w:w="0" w:type="dxa"/>
            <w:bottom w:w="0" w:type="dxa"/>
          </w:tblCellMar>
        </w:tblPrEx>
        <w:trPr>
          <w:cantSplit/>
          <w:trHeight w:val="113"/>
        </w:trPr>
        <w:tc>
          <w:tcPr>
            <w:tcW w:w="9848" w:type="dxa"/>
            <w:shd w:val="clear" w:color="auto" w:fill="auto"/>
          </w:tcPr>
          <w:p w14:paraId="5B5279AC" w14:textId="77777777" w:rsidR="00711444" w:rsidRPr="004D0DAA" w:rsidRDefault="00711444" w:rsidP="00AA2A4C">
            <w:pPr>
              <w:spacing w:after="0"/>
            </w:pPr>
            <w:r w:rsidRPr="004D0DAA">
              <w:rPr>
                <w:b/>
              </w:rPr>
              <w:t>UPLINK_TFI_ASSIGNMENT</w:t>
            </w:r>
            <w:r w:rsidRPr="004D0DAA">
              <w:t xml:space="preserve"> (5 bit field)</w:t>
            </w:r>
            <w:r w:rsidRPr="004D0DAA">
              <w:br/>
              <w:t>See sub-clause 11.2.29.</w:t>
            </w:r>
          </w:p>
          <w:p w14:paraId="06129FF8" w14:textId="77777777" w:rsidR="00711444" w:rsidRPr="004D0DAA" w:rsidRDefault="00711444" w:rsidP="00AA2A4C">
            <w:pPr>
              <w:spacing w:after="0"/>
              <w:rPr>
                <w:b/>
              </w:rPr>
            </w:pPr>
          </w:p>
        </w:tc>
      </w:tr>
      <w:tr w:rsidR="00711444" w:rsidRPr="004D0DAA" w14:paraId="58AC12DB" w14:textId="77777777" w:rsidTr="00AA2A4C">
        <w:tblPrEx>
          <w:tblCellMar>
            <w:top w:w="0" w:type="dxa"/>
            <w:bottom w:w="0" w:type="dxa"/>
          </w:tblCellMar>
        </w:tblPrEx>
        <w:trPr>
          <w:cantSplit/>
          <w:trHeight w:val="113"/>
        </w:trPr>
        <w:tc>
          <w:tcPr>
            <w:tcW w:w="9848" w:type="dxa"/>
            <w:shd w:val="clear" w:color="auto" w:fill="auto"/>
          </w:tcPr>
          <w:p w14:paraId="05A5CE85" w14:textId="77777777" w:rsidR="00711444" w:rsidRPr="004D0DAA" w:rsidRDefault="00711444" w:rsidP="00AA2A4C">
            <w:pPr>
              <w:spacing w:after="0"/>
            </w:pPr>
            <w:r w:rsidRPr="004D0DAA">
              <w:rPr>
                <w:b/>
              </w:rPr>
              <w:t>Power Control Parameters</w:t>
            </w:r>
            <w:r w:rsidRPr="004D0DAA">
              <w:rPr>
                <w:b/>
              </w:rPr>
              <w:br/>
            </w:r>
            <w:r w:rsidRPr="004D0DAA">
              <w:t>See sub-clause 11.2.7.</w:t>
            </w:r>
          </w:p>
          <w:p w14:paraId="44F07B04" w14:textId="77777777" w:rsidR="00711444" w:rsidRPr="004D0DAA" w:rsidRDefault="00711444" w:rsidP="00AA2A4C">
            <w:pPr>
              <w:spacing w:after="0"/>
            </w:pPr>
          </w:p>
        </w:tc>
      </w:tr>
      <w:tr w:rsidR="00711444" w:rsidRPr="004D0DAA" w14:paraId="681B2CEA" w14:textId="77777777" w:rsidTr="00AA2A4C">
        <w:tblPrEx>
          <w:tblCellMar>
            <w:top w:w="0" w:type="dxa"/>
            <w:bottom w:w="0" w:type="dxa"/>
          </w:tblCellMar>
        </w:tblPrEx>
        <w:trPr>
          <w:cantSplit/>
          <w:trHeight w:val="113"/>
        </w:trPr>
        <w:tc>
          <w:tcPr>
            <w:tcW w:w="9848" w:type="dxa"/>
            <w:shd w:val="clear" w:color="auto" w:fill="auto"/>
          </w:tcPr>
          <w:p w14:paraId="5C5C438F" w14:textId="77777777" w:rsidR="00711444" w:rsidRPr="004D0DAA" w:rsidRDefault="00711444" w:rsidP="00AA2A4C">
            <w:pPr>
              <w:spacing w:after="0"/>
              <w:rPr>
                <w:rFonts w:cs="Arial"/>
                <w:b/>
                <w:szCs w:val="18"/>
              </w:rPr>
            </w:pPr>
            <w:r w:rsidRPr="004D0DAA">
              <w:rPr>
                <w:rFonts w:cs="Arial"/>
                <w:b/>
                <w:szCs w:val="18"/>
              </w:rPr>
              <w:t>DLMC UL Carrier Info</w:t>
            </w:r>
          </w:p>
          <w:p w14:paraId="5A98A348" w14:textId="77777777" w:rsidR="00711444" w:rsidRPr="004D0DAA" w:rsidRDefault="00711444" w:rsidP="00AA2A4C">
            <w:pPr>
              <w:spacing w:after="0"/>
            </w:pPr>
            <w:r w:rsidRPr="004D0DAA">
              <w:t>See sub-clause 11.2.29.</w:t>
            </w:r>
          </w:p>
          <w:p w14:paraId="2CBCF54C" w14:textId="77777777" w:rsidR="00711444" w:rsidRPr="004D0DAA" w:rsidRDefault="00711444" w:rsidP="00AA2A4C">
            <w:pPr>
              <w:spacing w:after="0"/>
            </w:pPr>
          </w:p>
        </w:tc>
      </w:tr>
      <w:tr w:rsidR="00711444" w:rsidRPr="004D0DAA" w14:paraId="5590931C" w14:textId="77777777" w:rsidTr="00AA2A4C">
        <w:tblPrEx>
          <w:tblCellMar>
            <w:top w:w="0" w:type="dxa"/>
            <w:bottom w:w="0" w:type="dxa"/>
          </w:tblCellMar>
        </w:tblPrEx>
        <w:trPr>
          <w:cantSplit/>
          <w:trHeight w:val="113"/>
        </w:trPr>
        <w:tc>
          <w:tcPr>
            <w:tcW w:w="9848" w:type="dxa"/>
            <w:shd w:val="clear" w:color="auto" w:fill="auto"/>
          </w:tcPr>
          <w:p w14:paraId="7596F1B5" w14:textId="77777777" w:rsidR="00711444" w:rsidRPr="004D0DAA" w:rsidRDefault="00711444" w:rsidP="00AA2A4C">
            <w:pPr>
              <w:spacing w:after="0"/>
              <w:rPr>
                <w:b/>
              </w:rPr>
            </w:pPr>
            <w:r w:rsidRPr="004D0DAA">
              <w:rPr>
                <w:b/>
              </w:rPr>
              <w:t>REPORTED TIMESLOTS</w:t>
            </w:r>
          </w:p>
          <w:p w14:paraId="3AC3B1C1" w14:textId="77777777" w:rsidR="00711444" w:rsidRPr="004D0DAA" w:rsidRDefault="00711444" w:rsidP="00AA2A4C">
            <w:pPr>
              <w:spacing w:after="0"/>
            </w:pPr>
            <w:r w:rsidRPr="004D0DAA">
              <w:t>This field is defined in sub-clause 11.2.31.</w:t>
            </w:r>
          </w:p>
          <w:p w14:paraId="0086FC7A" w14:textId="77777777" w:rsidR="00711444" w:rsidRPr="004D0DAA" w:rsidRDefault="00711444" w:rsidP="00AA2A4C">
            <w:pPr>
              <w:spacing w:after="0"/>
              <w:rPr>
                <w:rFonts w:cs="Arial"/>
                <w:b/>
                <w:szCs w:val="18"/>
              </w:rPr>
            </w:pPr>
          </w:p>
        </w:tc>
      </w:tr>
      <w:tr w:rsidR="00711444" w:rsidRPr="004D0DAA" w14:paraId="726A923B" w14:textId="77777777" w:rsidTr="00AA2A4C">
        <w:tblPrEx>
          <w:tblCellMar>
            <w:top w:w="0" w:type="dxa"/>
            <w:bottom w:w="0" w:type="dxa"/>
          </w:tblCellMar>
        </w:tblPrEx>
        <w:trPr>
          <w:cantSplit/>
          <w:trHeight w:val="113"/>
        </w:trPr>
        <w:tc>
          <w:tcPr>
            <w:tcW w:w="9848" w:type="dxa"/>
            <w:shd w:val="clear" w:color="auto" w:fill="auto"/>
          </w:tcPr>
          <w:p w14:paraId="26687B42" w14:textId="77777777" w:rsidR="00711444" w:rsidRPr="004D0DAA" w:rsidRDefault="00711444" w:rsidP="00AA2A4C">
            <w:pPr>
              <w:spacing w:after="0"/>
            </w:pPr>
            <w:r w:rsidRPr="004D0DAA">
              <w:rPr>
                <w:b/>
              </w:rPr>
              <w:t xml:space="preserve">TSH </w:t>
            </w:r>
            <w:r w:rsidRPr="004D0DAA">
              <w:t>(2 bit field)</w:t>
            </w:r>
          </w:p>
          <w:p w14:paraId="114D4901" w14:textId="77777777" w:rsidR="00711444" w:rsidRPr="004D0DAA" w:rsidRDefault="00711444" w:rsidP="00AA2A4C">
            <w:pPr>
              <w:spacing w:after="0"/>
            </w:pPr>
            <w:r w:rsidRPr="004D0DAA">
              <w:t>This field is defined in sub-clause 11.2.31.</w:t>
            </w:r>
          </w:p>
          <w:p w14:paraId="5CF65D6A" w14:textId="77777777" w:rsidR="00711444" w:rsidRPr="004D0DAA" w:rsidRDefault="00711444" w:rsidP="00AA2A4C">
            <w:pPr>
              <w:spacing w:after="0"/>
              <w:rPr>
                <w:b/>
              </w:rPr>
            </w:pPr>
          </w:p>
        </w:tc>
      </w:tr>
      <w:tr w:rsidR="00711444" w:rsidRPr="004D0DAA" w14:paraId="6532627A" w14:textId="77777777" w:rsidTr="00AA2A4C">
        <w:tblPrEx>
          <w:tblCellMar>
            <w:top w:w="0" w:type="dxa"/>
            <w:bottom w:w="0" w:type="dxa"/>
          </w:tblCellMar>
        </w:tblPrEx>
        <w:trPr>
          <w:cantSplit/>
          <w:trHeight w:val="113"/>
        </w:trPr>
        <w:tc>
          <w:tcPr>
            <w:tcW w:w="9848" w:type="dxa"/>
            <w:shd w:val="clear" w:color="auto" w:fill="auto"/>
          </w:tcPr>
          <w:p w14:paraId="7D78E2C2" w14:textId="77777777" w:rsidR="00711444" w:rsidRPr="004D0DAA" w:rsidRDefault="00711444" w:rsidP="00AA2A4C">
            <w:pPr>
              <w:spacing w:after="0"/>
            </w:pPr>
            <w:r w:rsidRPr="004D0DAA">
              <w:rPr>
                <w:b/>
              </w:rPr>
              <w:t>Pulse Format</w:t>
            </w:r>
            <w:r w:rsidRPr="004D0DAA">
              <w:t xml:space="preserve"> (N bits field)</w:t>
            </w:r>
          </w:p>
          <w:p w14:paraId="21A01A19" w14:textId="77777777" w:rsidR="00711444" w:rsidRPr="004D0DAA" w:rsidRDefault="00711444" w:rsidP="00AA2A4C">
            <w:pPr>
              <w:spacing w:after="0"/>
            </w:pPr>
            <w:r w:rsidRPr="004D0DAA">
              <w:t>This information element, if assigned, specified on which radio frequency channel the mobile station shall transmit using the narrow-band pulse option. The information element is defined in sub-clause 12.8.3.</w:t>
            </w:r>
          </w:p>
          <w:p w14:paraId="16160109" w14:textId="77777777" w:rsidR="00711444" w:rsidRPr="004D0DAA" w:rsidRDefault="00711444" w:rsidP="00AA2A4C">
            <w:pPr>
              <w:spacing w:after="0"/>
              <w:rPr>
                <w:b/>
              </w:rPr>
            </w:pPr>
          </w:p>
        </w:tc>
      </w:tr>
      <w:tr w:rsidR="00711444" w:rsidRPr="004D0DAA" w14:paraId="0376E1D8" w14:textId="77777777" w:rsidTr="00AA2A4C">
        <w:tblPrEx>
          <w:tblCellMar>
            <w:top w:w="0" w:type="dxa"/>
            <w:bottom w:w="0" w:type="dxa"/>
          </w:tblCellMar>
        </w:tblPrEx>
        <w:trPr>
          <w:cantSplit/>
          <w:trHeight w:val="113"/>
        </w:trPr>
        <w:tc>
          <w:tcPr>
            <w:tcW w:w="9848" w:type="dxa"/>
            <w:shd w:val="clear" w:color="auto" w:fill="auto"/>
          </w:tcPr>
          <w:p w14:paraId="58F8C29A" w14:textId="77777777" w:rsidR="00711444" w:rsidRPr="004D0DAA" w:rsidRDefault="00711444" w:rsidP="00AA2A4C">
            <w:pPr>
              <w:spacing w:after="0"/>
              <w:rPr>
                <w:bCs/>
              </w:rPr>
            </w:pPr>
            <w:r w:rsidRPr="004D0DAA">
              <w:rPr>
                <w:b/>
              </w:rPr>
              <w:t xml:space="preserve">Uplink Control Timeslot </w:t>
            </w:r>
            <w:r w:rsidRPr="004D0DAA">
              <w:rPr>
                <w:bCs/>
              </w:rPr>
              <w:t>(3 bit field)</w:t>
            </w:r>
          </w:p>
          <w:p w14:paraId="5A4E7771" w14:textId="77777777" w:rsidR="00711444" w:rsidRPr="004D0DAA" w:rsidRDefault="00711444" w:rsidP="00AA2A4C">
            <w:pPr>
              <w:spacing w:after="0"/>
            </w:pPr>
            <w:r w:rsidRPr="004D0DAA">
              <w:t>This field is defined in sub-clause 11.2.29.</w:t>
            </w:r>
          </w:p>
          <w:p w14:paraId="0F4920AA" w14:textId="77777777" w:rsidR="00711444" w:rsidRPr="004D0DAA" w:rsidRDefault="00711444" w:rsidP="00AA2A4C">
            <w:pPr>
              <w:spacing w:after="0"/>
              <w:rPr>
                <w:b/>
              </w:rPr>
            </w:pPr>
          </w:p>
        </w:tc>
      </w:tr>
      <w:tr w:rsidR="00711444" w:rsidRPr="004D0DAA" w14:paraId="452C7226" w14:textId="77777777" w:rsidTr="00AA2A4C">
        <w:tblPrEx>
          <w:tblCellMar>
            <w:top w:w="0" w:type="dxa"/>
            <w:bottom w:w="0" w:type="dxa"/>
          </w:tblCellMar>
        </w:tblPrEx>
        <w:trPr>
          <w:cantSplit/>
          <w:trHeight w:val="113"/>
        </w:trPr>
        <w:tc>
          <w:tcPr>
            <w:tcW w:w="9848" w:type="dxa"/>
            <w:shd w:val="clear" w:color="auto" w:fill="auto"/>
          </w:tcPr>
          <w:p w14:paraId="02C2C4E8" w14:textId="77777777" w:rsidR="00711444" w:rsidRPr="004D0DAA" w:rsidRDefault="00711444" w:rsidP="00AA2A4C">
            <w:pPr>
              <w:spacing w:after="0"/>
              <w:rPr>
                <w:rFonts w:cs="Arial"/>
                <w:b/>
                <w:szCs w:val="18"/>
              </w:rPr>
            </w:pPr>
            <w:r w:rsidRPr="004D0DAA">
              <w:rPr>
                <w:rFonts w:cs="Arial"/>
                <w:b/>
                <w:szCs w:val="18"/>
              </w:rPr>
              <w:t>Dynamic Allocation 3</w:t>
            </w:r>
          </w:p>
          <w:p w14:paraId="0508BCEB" w14:textId="77777777" w:rsidR="00711444" w:rsidRPr="004D0DAA" w:rsidRDefault="00711444" w:rsidP="00AA2A4C">
            <w:pPr>
              <w:spacing w:after="0"/>
            </w:pPr>
            <w:r w:rsidRPr="004D0DAA">
              <w:t>This field is defined in sub-clause 11.2.29.</w:t>
            </w:r>
          </w:p>
          <w:p w14:paraId="3B444589" w14:textId="77777777" w:rsidR="00711444" w:rsidRPr="004D0DAA" w:rsidRDefault="00711444" w:rsidP="00AA2A4C">
            <w:pPr>
              <w:spacing w:after="0"/>
              <w:rPr>
                <w:b/>
                <w:bCs/>
              </w:rPr>
            </w:pPr>
          </w:p>
        </w:tc>
      </w:tr>
      <w:tr w:rsidR="00711444" w:rsidRPr="004D0DAA" w14:paraId="229B85B3" w14:textId="77777777" w:rsidTr="00AA2A4C">
        <w:tblPrEx>
          <w:tblCellMar>
            <w:top w:w="0" w:type="dxa"/>
            <w:bottom w:w="0" w:type="dxa"/>
          </w:tblCellMar>
        </w:tblPrEx>
        <w:trPr>
          <w:cantSplit/>
          <w:trHeight w:val="113"/>
        </w:trPr>
        <w:tc>
          <w:tcPr>
            <w:tcW w:w="9848" w:type="dxa"/>
            <w:shd w:val="clear" w:color="auto" w:fill="auto"/>
          </w:tcPr>
          <w:p w14:paraId="5524011B" w14:textId="77777777" w:rsidR="00711444" w:rsidRPr="004D0DAA" w:rsidRDefault="00711444" w:rsidP="00AA2A4C">
            <w:pPr>
              <w:spacing w:after="0"/>
            </w:pPr>
            <w:r w:rsidRPr="004D0DAA">
              <w:rPr>
                <w:b/>
              </w:rPr>
              <w:t xml:space="preserve">PTCCH_CARRIER </w:t>
            </w:r>
            <w:r w:rsidRPr="004D0DAA">
              <w:t xml:space="preserve"> (4 bit field)</w:t>
            </w:r>
            <w:r w:rsidRPr="004D0DAA">
              <w:br/>
              <w:t>See sub-clause 11.2.7.</w:t>
            </w:r>
          </w:p>
          <w:p w14:paraId="614B58D3" w14:textId="77777777" w:rsidR="00711444" w:rsidRPr="004D0DAA" w:rsidRDefault="00711444" w:rsidP="00AA2A4C">
            <w:pPr>
              <w:spacing w:after="0"/>
              <w:rPr>
                <w:rFonts w:cs="Arial"/>
                <w:b/>
                <w:szCs w:val="18"/>
              </w:rPr>
            </w:pPr>
          </w:p>
        </w:tc>
      </w:tr>
      <w:tr w:rsidR="00711444" w:rsidRPr="004D0DAA" w14:paraId="5E0BECFD" w14:textId="77777777" w:rsidTr="00AA2A4C">
        <w:tblPrEx>
          <w:tblCellMar>
            <w:top w:w="0" w:type="dxa"/>
            <w:bottom w:w="0" w:type="dxa"/>
          </w:tblCellMar>
        </w:tblPrEx>
        <w:trPr>
          <w:cantSplit/>
          <w:trHeight w:val="113"/>
        </w:trPr>
        <w:tc>
          <w:tcPr>
            <w:tcW w:w="9848" w:type="dxa"/>
            <w:shd w:val="clear" w:color="auto" w:fill="auto"/>
          </w:tcPr>
          <w:p w14:paraId="4364DED9" w14:textId="77777777" w:rsidR="00711444" w:rsidRPr="004D0DAA" w:rsidRDefault="00711444" w:rsidP="00AA2A4C">
            <w:pPr>
              <w:spacing w:after="0"/>
            </w:pPr>
            <w:r w:rsidRPr="004D0DAA">
              <w:rPr>
                <w:b/>
              </w:rPr>
              <w:t>PDAN Coding</w:t>
            </w:r>
            <w:r w:rsidRPr="004D0DAA">
              <w:t xml:space="preserve"> (1 bit field)</w:t>
            </w:r>
          </w:p>
          <w:p w14:paraId="0FC5F4DD" w14:textId="77777777" w:rsidR="00711444" w:rsidRPr="004D0DAA" w:rsidRDefault="00711444" w:rsidP="00AA2A4C">
            <w:pPr>
              <w:spacing w:after="0"/>
            </w:pPr>
            <w:r w:rsidRPr="004D0DAA">
              <w:t>See sub-clause 11.2.7.</w:t>
            </w:r>
          </w:p>
          <w:p w14:paraId="384F8772" w14:textId="77777777" w:rsidR="00711444" w:rsidRPr="004D0DAA" w:rsidRDefault="00711444" w:rsidP="00AA2A4C">
            <w:pPr>
              <w:spacing w:after="0"/>
              <w:rPr>
                <w:b/>
              </w:rPr>
            </w:pPr>
          </w:p>
        </w:tc>
      </w:tr>
      <w:tr w:rsidR="00711444" w:rsidRPr="004D0DAA" w14:paraId="4CBF6D41" w14:textId="77777777" w:rsidTr="00AA2A4C">
        <w:tblPrEx>
          <w:tblCellMar>
            <w:top w:w="0" w:type="dxa"/>
            <w:bottom w:w="0" w:type="dxa"/>
          </w:tblCellMar>
        </w:tblPrEx>
        <w:trPr>
          <w:cantSplit/>
          <w:trHeight w:val="113"/>
        </w:trPr>
        <w:tc>
          <w:tcPr>
            <w:tcW w:w="9848" w:type="dxa"/>
            <w:shd w:val="clear" w:color="auto" w:fill="auto"/>
          </w:tcPr>
          <w:p w14:paraId="0A8F982E" w14:textId="77777777" w:rsidR="00711444" w:rsidRPr="004D0DAA" w:rsidRDefault="00711444" w:rsidP="00AA2A4C">
            <w:pPr>
              <w:spacing w:after="0"/>
            </w:pPr>
            <w:r w:rsidRPr="004D0DAA">
              <w:rPr>
                <w:b/>
              </w:rPr>
              <w:t xml:space="preserve">DOWNLINK_eTFI_ASSIGNMENT </w:t>
            </w:r>
            <w:r w:rsidRPr="004D0DAA">
              <w:t>(3 bit field)</w:t>
            </w:r>
            <w:r w:rsidRPr="004D0DAA">
              <w:br/>
              <w:t>See sub-clause 11.2.7.</w:t>
            </w:r>
          </w:p>
          <w:p w14:paraId="41CDD043" w14:textId="77777777" w:rsidR="00711444" w:rsidRPr="004D0DAA" w:rsidRDefault="00711444" w:rsidP="00AA2A4C">
            <w:pPr>
              <w:spacing w:after="0"/>
            </w:pPr>
          </w:p>
          <w:p w14:paraId="0FBB72FC" w14:textId="77777777" w:rsidR="00711444" w:rsidRPr="004D0DAA" w:rsidRDefault="00711444" w:rsidP="00AA2A4C">
            <w:pPr>
              <w:spacing w:after="0"/>
            </w:pPr>
            <w:r w:rsidRPr="004D0DAA">
              <w:rPr>
                <w:b/>
              </w:rPr>
              <w:t>Extended SNS</w:t>
            </w:r>
            <w:r w:rsidRPr="004D0DAA">
              <w:t xml:space="preserve"> (1 bit field)</w:t>
            </w:r>
          </w:p>
          <w:p w14:paraId="2536DC74" w14:textId="77777777" w:rsidR="00711444" w:rsidRPr="004D0DAA" w:rsidRDefault="00711444" w:rsidP="00AA2A4C">
            <w:pPr>
              <w:spacing w:after="0"/>
            </w:pPr>
            <w:r w:rsidRPr="004D0DAA">
              <w:t>See sub-clause 11.2.7.</w:t>
            </w:r>
          </w:p>
          <w:p w14:paraId="44B41CBE" w14:textId="77777777" w:rsidR="00711444" w:rsidRPr="004D0DAA" w:rsidRDefault="00711444" w:rsidP="00AA2A4C">
            <w:pPr>
              <w:spacing w:after="0"/>
              <w:rPr>
                <w:b/>
              </w:rPr>
            </w:pPr>
          </w:p>
        </w:tc>
      </w:tr>
      <w:tr w:rsidR="00711444" w:rsidRPr="004D0DAA" w14:paraId="4A5E9788" w14:textId="77777777" w:rsidTr="00AA2A4C">
        <w:tblPrEx>
          <w:tblCellMar>
            <w:top w:w="0" w:type="dxa"/>
            <w:bottom w:w="0" w:type="dxa"/>
          </w:tblCellMar>
        </w:tblPrEx>
        <w:trPr>
          <w:cantSplit/>
          <w:trHeight w:val="113"/>
        </w:trPr>
        <w:tc>
          <w:tcPr>
            <w:tcW w:w="9848" w:type="dxa"/>
            <w:tcBorders>
              <w:top w:val="single" w:sz="4" w:space="0" w:color="auto"/>
              <w:left w:val="single" w:sz="4" w:space="0" w:color="auto"/>
              <w:bottom w:val="single" w:sz="4" w:space="0" w:color="auto"/>
              <w:right w:val="single" w:sz="4" w:space="0" w:color="auto"/>
            </w:tcBorders>
            <w:shd w:val="clear" w:color="auto" w:fill="auto"/>
          </w:tcPr>
          <w:p w14:paraId="66CF3459" w14:textId="77777777" w:rsidR="00711444" w:rsidRPr="004D0DAA" w:rsidRDefault="00711444" w:rsidP="00AA2A4C">
            <w:pPr>
              <w:spacing w:after="0"/>
              <w:rPr>
                <w:b/>
              </w:rPr>
            </w:pPr>
            <w:r w:rsidRPr="004D0DAA">
              <w:rPr>
                <w:b/>
              </w:rPr>
              <w:t>EMSR Additional PFCs 1</w:t>
            </w:r>
          </w:p>
          <w:p w14:paraId="36181D17" w14:textId="77777777" w:rsidR="00711444" w:rsidRPr="004D0DAA" w:rsidRDefault="00711444" w:rsidP="00AA2A4C">
            <w:pPr>
              <w:spacing w:after="0"/>
              <w:rPr>
                <w:b/>
              </w:rPr>
            </w:pPr>
            <w:r w:rsidRPr="004D0DAA">
              <w:rPr>
                <w:b/>
              </w:rPr>
              <w:t>EMSR Additional PFCs 2</w:t>
            </w:r>
          </w:p>
          <w:p w14:paraId="5620BE44" w14:textId="77777777" w:rsidR="00711444" w:rsidRPr="004D0DAA" w:rsidRDefault="00711444" w:rsidP="00AA2A4C">
            <w:pPr>
              <w:spacing w:after="0"/>
            </w:pPr>
            <w:r w:rsidRPr="004D0DAA">
              <w:rPr>
                <w:b/>
              </w:rPr>
              <w:t>EMSR Additional PFCs 3</w:t>
            </w:r>
          </w:p>
          <w:p w14:paraId="41301869" w14:textId="77777777" w:rsidR="00711444" w:rsidRPr="004D0DAA" w:rsidRDefault="00711444" w:rsidP="00AA2A4C">
            <w:pPr>
              <w:spacing w:after="0"/>
            </w:pPr>
            <w:r w:rsidRPr="004D0DAA">
              <w:t>These IEs are defined in section 11.2.7.</w:t>
            </w:r>
          </w:p>
          <w:p w14:paraId="6D254896" w14:textId="77777777" w:rsidR="00711444" w:rsidRPr="004D0DAA" w:rsidRDefault="00711444" w:rsidP="00AA2A4C">
            <w:pPr>
              <w:spacing w:after="0"/>
              <w:rPr>
                <w:b/>
              </w:rPr>
            </w:pPr>
          </w:p>
        </w:tc>
      </w:tr>
      <w:tr w:rsidR="00711444" w:rsidRPr="004D0DAA" w14:paraId="48F52EA5" w14:textId="77777777" w:rsidTr="00AA2A4C">
        <w:tblPrEx>
          <w:tblCellMar>
            <w:top w:w="0" w:type="dxa"/>
            <w:bottom w:w="0" w:type="dxa"/>
          </w:tblCellMar>
        </w:tblPrEx>
        <w:trPr>
          <w:cantSplit/>
          <w:trHeight w:val="113"/>
        </w:trPr>
        <w:tc>
          <w:tcPr>
            <w:tcW w:w="9848" w:type="dxa"/>
            <w:shd w:val="clear" w:color="auto" w:fill="auto"/>
          </w:tcPr>
          <w:p w14:paraId="29E80BC2" w14:textId="77777777" w:rsidR="00711444" w:rsidRPr="004D0DAA" w:rsidRDefault="00711444" w:rsidP="00AA2A4C">
            <w:pPr>
              <w:spacing w:after="0"/>
            </w:pPr>
            <w:r w:rsidRPr="004D0DAA">
              <w:rPr>
                <w:b/>
              </w:rPr>
              <w:lastRenderedPageBreak/>
              <w:t xml:space="preserve">Primary TSC Set </w:t>
            </w:r>
            <w:r w:rsidRPr="004D0DAA">
              <w:t>(1 bit field)</w:t>
            </w:r>
          </w:p>
          <w:p w14:paraId="4617D2AA" w14:textId="77777777" w:rsidR="00711444" w:rsidRPr="004D0DAA" w:rsidRDefault="00711444" w:rsidP="00AA2A4C">
            <w:pPr>
              <w:spacing w:after="0"/>
            </w:pPr>
            <w:r w:rsidRPr="004D0DAA">
              <w:t>See sub-clause 11.2.7 and 11.2.29.</w:t>
            </w:r>
          </w:p>
          <w:p w14:paraId="1AF99EA6" w14:textId="77777777" w:rsidR="00711444" w:rsidRPr="004D0DAA" w:rsidRDefault="00711444" w:rsidP="00AA2A4C">
            <w:pPr>
              <w:spacing w:after="0"/>
            </w:pPr>
          </w:p>
          <w:p w14:paraId="75480671" w14:textId="77777777" w:rsidR="00711444" w:rsidRPr="004D0DAA" w:rsidRDefault="00711444" w:rsidP="00AA2A4C">
            <w:pPr>
              <w:spacing w:after="0"/>
              <w:rPr>
                <w:b/>
              </w:rPr>
            </w:pPr>
            <w:r w:rsidRPr="004D0DAA">
              <w:rPr>
                <w:b/>
              </w:rPr>
              <w:t xml:space="preserve">Secondary DL TSC Set </w:t>
            </w:r>
            <w:r w:rsidRPr="004D0DAA">
              <w:t>(1 bit field)</w:t>
            </w:r>
          </w:p>
          <w:p w14:paraId="672C0978" w14:textId="77777777" w:rsidR="00711444" w:rsidRPr="004D0DAA" w:rsidRDefault="00711444" w:rsidP="00AA2A4C">
            <w:pPr>
              <w:spacing w:after="0"/>
            </w:pPr>
            <w:r w:rsidRPr="004D0DAA">
              <w:t>See sub-clause 11.2.7.</w:t>
            </w:r>
          </w:p>
          <w:p w14:paraId="1F743A81" w14:textId="77777777" w:rsidR="00711444" w:rsidRPr="004D0DAA" w:rsidRDefault="00711444" w:rsidP="00AA2A4C">
            <w:pPr>
              <w:spacing w:after="0"/>
              <w:rPr>
                <w:b/>
              </w:rPr>
            </w:pPr>
          </w:p>
        </w:tc>
      </w:tr>
      <w:tr w:rsidR="00711444" w:rsidRPr="004D0DAA" w14:paraId="70ABD939" w14:textId="77777777" w:rsidTr="00AA2A4C">
        <w:tblPrEx>
          <w:tblCellMar>
            <w:top w:w="0" w:type="dxa"/>
            <w:bottom w:w="0" w:type="dxa"/>
          </w:tblCellMar>
        </w:tblPrEx>
        <w:trPr>
          <w:cantSplit/>
          <w:trHeight w:val="113"/>
        </w:trPr>
        <w:tc>
          <w:tcPr>
            <w:tcW w:w="9848" w:type="dxa"/>
            <w:shd w:val="clear" w:color="auto" w:fill="auto"/>
          </w:tcPr>
          <w:p w14:paraId="010B4A3C" w14:textId="77777777" w:rsidR="00711444" w:rsidRPr="004D0DAA" w:rsidRDefault="00711444" w:rsidP="00AA2A4C">
            <w:pPr>
              <w:spacing w:after="0"/>
              <w:rPr>
                <w:b/>
              </w:rPr>
            </w:pPr>
            <w:r w:rsidRPr="004D0DAA">
              <w:rPr>
                <w:b/>
              </w:rPr>
              <w:t xml:space="preserve">Secondary DL TSC Value </w:t>
            </w:r>
            <w:r w:rsidRPr="004D0DAA">
              <w:t>(3 bit field)</w:t>
            </w:r>
          </w:p>
          <w:p w14:paraId="292B8E8E" w14:textId="77777777" w:rsidR="00711444" w:rsidRPr="004D0DAA" w:rsidRDefault="00711444" w:rsidP="00AA2A4C">
            <w:pPr>
              <w:spacing w:after="0"/>
            </w:pPr>
            <w:r w:rsidRPr="004D0DAA">
              <w:t>See sub-clause 11.2.7.</w:t>
            </w:r>
          </w:p>
          <w:p w14:paraId="07089E41" w14:textId="77777777" w:rsidR="00711444" w:rsidRPr="004D0DAA" w:rsidRDefault="00711444" w:rsidP="00AA2A4C">
            <w:pPr>
              <w:spacing w:after="0"/>
              <w:rPr>
                <w:b/>
              </w:rPr>
            </w:pPr>
          </w:p>
        </w:tc>
      </w:tr>
    </w:tbl>
    <w:p w14:paraId="0BB94B58" w14:textId="77777777" w:rsidR="00711444" w:rsidRPr="004D0DAA" w:rsidRDefault="00711444" w:rsidP="00711444"/>
    <w:p w14:paraId="5E8C32ED" w14:textId="77777777" w:rsidR="00711444" w:rsidRPr="004D0DAA" w:rsidRDefault="00711444" w:rsidP="00711444">
      <w:pPr>
        <w:pStyle w:val="Heading2"/>
      </w:pPr>
      <w:bookmarkStart w:id="828" w:name="_Toc516670004"/>
      <w:r w:rsidRPr="004D0DAA">
        <w:t>12.43</w:t>
      </w:r>
      <w:r w:rsidRPr="004D0DAA">
        <w:tab/>
        <w:t>NAS Container for PS Handover</w:t>
      </w:r>
      <w:bookmarkEnd w:id="828"/>
    </w:p>
    <w:p w14:paraId="438AA4A2" w14:textId="77777777" w:rsidR="00711444" w:rsidRPr="004D0DAA" w:rsidRDefault="00711444" w:rsidP="00711444">
      <w:pPr>
        <w:ind w:right="1"/>
      </w:pPr>
      <w:r w:rsidRPr="004D0DAA">
        <w:t xml:space="preserve">The purpose of the NAS Container for PS Handover information element (see Note 1) is to indicate the layer 3 information to be applied by the mobile station upon successful completion of PS handover or DTM handover to A/Gb mode. </w:t>
      </w:r>
    </w:p>
    <w:p w14:paraId="38DAC254" w14:textId="77777777" w:rsidR="00711444" w:rsidRPr="004D0DAA" w:rsidRDefault="00711444" w:rsidP="00711444">
      <w:pPr>
        <w:pStyle w:val="TH"/>
      </w:pPr>
      <w:r w:rsidRPr="004D0DAA">
        <w:t>Table 12.43.1: NAS Container for PS Handover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58B419A4" w14:textId="77777777" w:rsidTr="00AA2A4C">
        <w:tblPrEx>
          <w:tblCellMar>
            <w:top w:w="0" w:type="dxa"/>
            <w:bottom w:w="0" w:type="dxa"/>
          </w:tblCellMar>
        </w:tblPrEx>
        <w:trPr>
          <w:cantSplit/>
        </w:trPr>
        <w:tc>
          <w:tcPr>
            <w:tcW w:w="9848" w:type="dxa"/>
          </w:tcPr>
          <w:p w14:paraId="3B5DE470" w14:textId="77777777" w:rsidR="00711444" w:rsidRPr="004D0DAA" w:rsidRDefault="00711444" w:rsidP="00AA2A4C">
            <w:pPr>
              <w:pStyle w:val="TAL"/>
              <w:rPr>
                <w:lang w:eastAsia="en-US"/>
              </w:rPr>
            </w:pPr>
            <w:r w:rsidRPr="004D0DAA">
              <w:rPr>
                <w:lang w:eastAsia="en-US"/>
              </w:rPr>
              <w:t>&lt; NAS Container for PS Handover IE &gt; ::=</w:t>
            </w:r>
          </w:p>
          <w:p w14:paraId="1C1160F3"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NAS</w:t>
            </w:r>
            <w:r w:rsidRPr="004D0DAA">
              <w:rPr>
                <w:lang w:eastAsia="en-US"/>
              </w:rPr>
              <w:t>_</w:t>
            </w:r>
            <w:r w:rsidRPr="004D0DAA">
              <w:rPr>
                <w:b/>
                <w:lang w:eastAsia="en-US"/>
              </w:rPr>
              <w:t xml:space="preserve">CONTAINER_LENGTH </w:t>
            </w:r>
            <w:r w:rsidRPr="004D0DAA">
              <w:rPr>
                <w:lang w:eastAsia="en-US"/>
              </w:rPr>
              <w:t>: bit (7) &gt;</w:t>
            </w:r>
          </w:p>
          <w:p w14:paraId="61C10FF5" w14:textId="77777777" w:rsidR="00711444" w:rsidRPr="004D0DAA" w:rsidRDefault="00711444" w:rsidP="00AA2A4C">
            <w:pPr>
              <w:pStyle w:val="TAL"/>
              <w:rPr>
                <w:lang w:eastAsia="en-US"/>
              </w:rPr>
            </w:pPr>
            <w:r w:rsidRPr="004D0DAA">
              <w:rPr>
                <w:lang w:eastAsia="en-US"/>
              </w:rPr>
              <w:t xml:space="preserve"> &lt; </w:t>
            </w:r>
            <w:r w:rsidRPr="004D0DAA">
              <w:rPr>
                <w:b/>
                <w:bCs/>
                <w:lang w:eastAsia="en-US"/>
              </w:rPr>
              <w:t>NAS_CONTAINER_DATA</w:t>
            </w:r>
            <w:r w:rsidRPr="004D0DAA">
              <w:rPr>
                <w:lang w:eastAsia="en-US"/>
              </w:rPr>
              <w:t xml:space="preserve"> : octet (val(NAS_CONTAINER_LENGTH)) &gt;</w:t>
            </w:r>
          </w:p>
          <w:p w14:paraId="468E275C" w14:textId="77777777" w:rsidR="00711444" w:rsidRPr="004D0DAA" w:rsidRDefault="00711444" w:rsidP="00AA2A4C">
            <w:pPr>
              <w:pStyle w:val="TAL"/>
              <w:rPr>
                <w:lang w:eastAsia="en-US"/>
              </w:rPr>
            </w:pPr>
            <w:r w:rsidRPr="004D0DAA">
              <w:rPr>
                <w:lang w:eastAsia="en-US"/>
              </w:rPr>
              <w:t xml:space="preserve"> &lt; padding bits &gt; ;</w:t>
            </w:r>
            <w:r w:rsidRPr="004D0DAA">
              <w:rPr>
                <w:lang w:eastAsia="en-US"/>
              </w:rPr>
              <w:tab/>
            </w:r>
          </w:p>
          <w:p w14:paraId="5688C9D7" w14:textId="77777777" w:rsidR="00711444" w:rsidRPr="004D0DAA" w:rsidRDefault="00711444" w:rsidP="00AA2A4C">
            <w:pPr>
              <w:pStyle w:val="TAL"/>
              <w:rPr>
                <w:lang w:eastAsia="en-US"/>
              </w:rPr>
            </w:pPr>
          </w:p>
        </w:tc>
      </w:tr>
    </w:tbl>
    <w:p w14:paraId="10488EEF" w14:textId="77777777" w:rsidR="00711444" w:rsidRPr="004D0DAA" w:rsidRDefault="00711444" w:rsidP="00711444"/>
    <w:p w14:paraId="4AA01EF2" w14:textId="77777777" w:rsidR="00711444" w:rsidRPr="004D0DAA" w:rsidRDefault="00711444" w:rsidP="00711444">
      <w:pPr>
        <w:pStyle w:val="TH"/>
      </w:pPr>
      <w:r w:rsidRPr="004D0DAA">
        <w:t>Table 12.43.2: NAS Container for PS Handover information element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5CC53BF" w14:textId="77777777" w:rsidTr="00AA2A4C">
        <w:tblPrEx>
          <w:tblCellMar>
            <w:top w:w="0" w:type="dxa"/>
            <w:bottom w:w="0" w:type="dxa"/>
          </w:tblCellMar>
        </w:tblPrEx>
        <w:trPr>
          <w:cantSplit/>
        </w:trPr>
        <w:tc>
          <w:tcPr>
            <w:tcW w:w="9848" w:type="dxa"/>
          </w:tcPr>
          <w:p w14:paraId="7BD0059F" w14:textId="77777777" w:rsidR="00711444" w:rsidRPr="004D0DAA" w:rsidRDefault="00711444" w:rsidP="00AA2A4C">
            <w:pPr>
              <w:spacing w:after="0"/>
              <w:rPr>
                <w:bCs/>
              </w:rPr>
            </w:pPr>
            <w:r w:rsidRPr="004D0DAA">
              <w:rPr>
                <w:b/>
              </w:rPr>
              <w:t>NAS_CONTAINER_DATA (N octet field)</w:t>
            </w:r>
          </w:p>
          <w:p w14:paraId="7674B18D" w14:textId="77777777" w:rsidR="00711444" w:rsidRPr="004D0DAA" w:rsidRDefault="00711444" w:rsidP="00AA2A4C">
            <w:r w:rsidRPr="004D0DAA">
              <w:t xml:space="preserve">This contents of this information element is identical to the value part of the </w:t>
            </w:r>
            <w:r w:rsidRPr="004D0DAA">
              <w:rPr>
                <w:i/>
                <w:iCs/>
              </w:rPr>
              <w:t>NAS Container for PS Handover</w:t>
            </w:r>
            <w:r w:rsidRPr="004D0DAA">
              <w:t xml:space="preserve"> information element described in 3GPP TS 24.008 where N is the length of the value part of the </w:t>
            </w:r>
            <w:r w:rsidRPr="004D0DAA">
              <w:rPr>
                <w:i/>
                <w:iCs/>
              </w:rPr>
              <w:t>NAS Container for PS Handover</w:t>
            </w:r>
            <w:r w:rsidRPr="004D0DAA">
              <w:t xml:space="preserve"> information element.</w:t>
            </w:r>
          </w:p>
        </w:tc>
      </w:tr>
    </w:tbl>
    <w:p w14:paraId="3AB5CB63" w14:textId="77777777" w:rsidR="00711444" w:rsidRPr="004D0DAA" w:rsidRDefault="00711444" w:rsidP="00711444"/>
    <w:p w14:paraId="6B485853" w14:textId="77777777" w:rsidR="00711444" w:rsidRPr="004D0DAA" w:rsidRDefault="00711444" w:rsidP="00711444">
      <w:pPr>
        <w:pStyle w:val="Heading2"/>
      </w:pPr>
      <w:bookmarkStart w:id="829" w:name="_Toc516670005"/>
      <w:r w:rsidRPr="004D0DAA">
        <w:t>12.44</w:t>
      </w:r>
      <w:r w:rsidRPr="004D0DAA">
        <w:tab/>
        <w:t>Estimated Session Duration</w:t>
      </w:r>
      <w:bookmarkEnd w:id="829"/>
    </w:p>
    <w:p w14:paraId="51714D4E" w14:textId="77777777" w:rsidR="00711444" w:rsidRPr="004D0DAA" w:rsidRDefault="00711444" w:rsidP="00711444">
      <w:pPr>
        <w:keepNext/>
        <w:keepLines/>
      </w:pPr>
      <w:r w:rsidRPr="004D0DAA">
        <w:t xml:space="preserve">The Estimated Session Duration gives an estimation of the (remaining) duration for the MBMS session. The initial value is derived from the payload in the </w:t>
      </w:r>
      <w:r w:rsidRPr="004D0DAA">
        <w:rPr>
          <w:i/>
        </w:rPr>
        <w:t>MBMS Session Duration</w:t>
      </w:r>
      <w:r w:rsidRPr="004D0DAA">
        <w:t xml:space="preserve"> IE (see 3GPP TS 48.018), rounded up to the next higher value that can be signalled with the coding provided in Table 12.44.1. Any subsequent value for the remaining duration of the MBMS session is derived from the initial value, unless an up-to-date value is available in the </w:t>
      </w:r>
      <w:r w:rsidRPr="004D0DAA">
        <w:rPr>
          <w:i/>
        </w:rPr>
        <w:t>MBMS Session Duration</w:t>
      </w:r>
      <w:r w:rsidRPr="004D0DAA">
        <w:t xml:space="preserve"> IE.</w:t>
      </w:r>
    </w:p>
    <w:p w14:paraId="02AF8B92" w14:textId="77777777" w:rsidR="00711444" w:rsidRPr="004D0DAA" w:rsidRDefault="00711444" w:rsidP="00711444">
      <w:pPr>
        <w:pStyle w:val="TH"/>
      </w:pPr>
      <w:r w:rsidRPr="004D0DAA">
        <w:t>Table 12.44.1: Estimated Session Duration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D902131" w14:textId="77777777" w:rsidTr="00AA2A4C">
        <w:tblPrEx>
          <w:tblCellMar>
            <w:top w:w="0" w:type="dxa"/>
            <w:bottom w:w="0" w:type="dxa"/>
          </w:tblCellMar>
        </w:tblPrEx>
        <w:tc>
          <w:tcPr>
            <w:tcW w:w="9848" w:type="dxa"/>
          </w:tcPr>
          <w:p w14:paraId="238A1889" w14:textId="77777777" w:rsidR="00711444" w:rsidRPr="004D0DAA" w:rsidRDefault="00711444" w:rsidP="00AA2A4C">
            <w:r w:rsidRPr="004D0DAA">
              <w:rPr>
                <w:b/>
                <w:bCs/>
              </w:rPr>
              <w:t xml:space="preserve">Estimated Session Duration </w:t>
            </w:r>
            <w:r w:rsidRPr="004D0DAA">
              <w:t>(8 bit field)</w:t>
            </w:r>
            <w:r w:rsidRPr="004D0DAA">
              <w:br/>
              <w:t>The Estimated Session Duration information element is coded as follows:</w:t>
            </w:r>
          </w:p>
          <w:p w14:paraId="03DC17F7" w14:textId="77777777" w:rsidR="00711444" w:rsidRPr="004D0DAA" w:rsidRDefault="00711444" w:rsidP="00AA2A4C">
            <w:pPr>
              <w:keepLines/>
              <w:tabs>
                <w:tab w:val="left" w:pos="709"/>
              </w:tabs>
            </w:pPr>
            <w:r w:rsidRPr="004D0DAA">
              <w:t>bit</w:t>
            </w:r>
            <w:r w:rsidRPr="004D0DAA">
              <w:br/>
              <w:t>8 7 6 5 4 3 2 1</w:t>
            </w:r>
            <w:r w:rsidRPr="004D0DAA">
              <w:br/>
              <w:t>0 0 0 0 0 0 0 0</w:t>
            </w:r>
            <w:r w:rsidRPr="004D0DAA">
              <w:tab/>
              <w:t>5 seconds</w:t>
            </w:r>
            <w:r w:rsidRPr="004D0DAA">
              <w:br/>
              <w:t>0 0 0 0 0 0 0 1</w:t>
            </w:r>
            <w:r w:rsidRPr="004D0DAA">
              <w:tab/>
              <w:t>10 seconds</w:t>
            </w:r>
            <w:r w:rsidRPr="004D0DAA">
              <w:br/>
              <w:t xml:space="preserve">. . . </w:t>
            </w:r>
            <w:r w:rsidRPr="004D0DAA">
              <w:tab/>
            </w:r>
            <w:r w:rsidRPr="004D0DAA">
              <w:tab/>
            </w:r>
            <w:r w:rsidRPr="004D0DAA">
              <w:tab/>
            </w:r>
            <w:r w:rsidRPr="004D0DAA">
              <w:tab/>
            </w:r>
            <w:r w:rsidRPr="004D0DAA">
              <w:rPr>
                <w:i/>
                <w:iCs/>
              </w:rPr>
              <w:t>in 5s step</w:t>
            </w:r>
            <w:r w:rsidRPr="004D0DAA">
              <w:br/>
              <w:t>0 0 0 0 1 0 1 1</w:t>
            </w:r>
            <w:r w:rsidRPr="004D0DAA">
              <w:tab/>
              <w:t>1 minute</w:t>
            </w:r>
            <w:r w:rsidRPr="004D0DAA">
              <w:br/>
              <w:t>0 0 0 0 1 1 0 0</w:t>
            </w:r>
            <w:r w:rsidRPr="004D0DAA">
              <w:tab/>
              <w:t>1 minute 10 seconds</w:t>
            </w:r>
            <w:r w:rsidRPr="004D0DAA">
              <w:br/>
              <w:t xml:space="preserve">. . . </w:t>
            </w:r>
            <w:r w:rsidRPr="004D0DAA">
              <w:tab/>
            </w:r>
            <w:r w:rsidRPr="004D0DAA">
              <w:tab/>
            </w:r>
            <w:r w:rsidRPr="004D0DAA">
              <w:tab/>
            </w:r>
            <w:r w:rsidRPr="004D0DAA">
              <w:tab/>
            </w:r>
            <w:r w:rsidRPr="004D0DAA">
              <w:rPr>
                <w:i/>
                <w:iCs/>
              </w:rPr>
              <w:t>in 10s step</w:t>
            </w:r>
            <w:r w:rsidRPr="004D0DAA">
              <w:br/>
              <w:t>0 0 1 0 0 0 1 1</w:t>
            </w:r>
            <w:r w:rsidRPr="004D0DAA">
              <w:tab/>
              <w:t>5 minutes</w:t>
            </w:r>
            <w:r w:rsidRPr="004D0DAA">
              <w:br/>
              <w:t>0 0 1 0 0 1 0 0</w:t>
            </w:r>
            <w:r w:rsidRPr="004D0DAA">
              <w:tab/>
              <w:t>5 minutes 30 seconds</w:t>
            </w:r>
            <w:r w:rsidRPr="004D0DAA">
              <w:br/>
              <w:t xml:space="preserve">. . . </w:t>
            </w:r>
            <w:r w:rsidRPr="004D0DAA">
              <w:tab/>
            </w:r>
            <w:r w:rsidRPr="004D0DAA">
              <w:tab/>
            </w:r>
            <w:r w:rsidRPr="004D0DAA">
              <w:tab/>
            </w:r>
            <w:r w:rsidRPr="004D0DAA">
              <w:tab/>
            </w:r>
            <w:r w:rsidRPr="004D0DAA">
              <w:rPr>
                <w:i/>
                <w:iCs/>
              </w:rPr>
              <w:t>in 30s step</w:t>
            </w:r>
            <w:r w:rsidRPr="004D0DAA">
              <w:br/>
              <w:t>0 0 1 0 1 1 0 1</w:t>
            </w:r>
            <w:r w:rsidRPr="004D0DAA">
              <w:tab/>
              <w:t>10 minutes</w:t>
            </w:r>
            <w:r w:rsidRPr="004D0DAA">
              <w:br/>
              <w:t>0 0 1 0 1 1 1 0</w:t>
            </w:r>
            <w:r w:rsidRPr="004D0DAA">
              <w:tab/>
              <w:t>11 minutes</w:t>
            </w:r>
            <w:r w:rsidRPr="004D0DAA">
              <w:br/>
            </w:r>
            <w:r w:rsidRPr="004D0DAA">
              <w:lastRenderedPageBreak/>
              <w:t xml:space="preserve">. . . </w:t>
            </w:r>
            <w:r w:rsidRPr="004D0DAA">
              <w:tab/>
            </w:r>
            <w:r w:rsidRPr="004D0DAA">
              <w:tab/>
            </w:r>
            <w:r w:rsidRPr="004D0DAA">
              <w:tab/>
            </w:r>
            <w:r w:rsidRPr="004D0DAA">
              <w:tab/>
            </w:r>
            <w:r w:rsidRPr="004D0DAA">
              <w:rPr>
                <w:i/>
                <w:iCs/>
              </w:rPr>
              <w:t>in 1m step</w:t>
            </w:r>
            <w:r w:rsidRPr="004D0DAA">
              <w:br/>
              <w:t>0 1 0 1 1 1 1 1</w:t>
            </w:r>
            <w:r w:rsidRPr="004D0DAA">
              <w:tab/>
              <w:t xml:space="preserve">1 hour </w:t>
            </w:r>
            <w:r w:rsidRPr="004D0DAA">
              <w:br/>
              <w:t>0 1 1 0 0 0 0 0</w:t>
            </w:r>
            <w:r w:rsidRPr="004D0DAA">
              <w:tab/>
              <w:t>1 hour 5 minutes</w:t>
            </w:r>
            <w:r w:rsidRPr="004D0DAA">
              <w:br/>
              <w:t xml:space="preserve">. . . </w:t>
            </w:r>
            <w:r w:rsidRPr="004D0DAA">
              <w:tab/>
            </w:r>
            <w:r w:rsidRPr="004D0DAA">
              <w:tab/>
            </w:r>
            <w:r w:rsidRPr="004D0DAA">
              <w:tab/>
            </w:r>
            <w:r w:rsidRPr="004D0DAA">
              <w:tab/>
            </w:r>
            <w:r w:rsidRPr="004D0DAA">
              <w:rPr>
                <w:i/>
                <w:iCs/>
              </w:rPr>
              <w:t>in 5m step</w:t>
            </w:r>
            <w:r w:rsidRPr="004D0DAA">
              <w:br/>
              <w:t>1 0 0 0 1 1 1 1</w:t>
            </w:r>
            <w:r w:rsidRPr="004D0DAA">
              <w:tab/>
              <w:t>5 hours</w:t>
            </w:r>
            <w:r w:rsidRPr="004D0DAA">
              <w:br/>
              <w:t>1 0 0 1 0 0 0 0</w:t>
            </w:r>
            <w:r w:rsidRPr="004D0DAA">
              <w:tab/>
              <w:t>5 hours 15 minutes</w:t>
            </w:r>
            <w:r w:rsidRPr="004D0DAA">
              <w:br/>
              <w:t xml:space="preserve">. . . </w:t>
            </w:r>
            <w:r w:rsidRPr="004D0DAA">
              <w:tab/>
            </w:r>
            <w:r w:rsidRPr="004D0DAA">
              <w:tab/>
            </w:r>
            <w:r w:rsidRPr="004D0DAA">
              <w:tab/>
            </w:r>
            <w:r w:rsidRPr="004D0DAA">
              <w:tab/>
            </w:r>
            <w:r w:rsidRPr="004D0DAA">
              <w:rPr>
                <w:i/>
                <w:iCs/>
              </w:rPr>
              <w:t>in 15m step</w:t>
            </w:r>
            <w:r w:rsidRPr="004D0DAA">
              <w:br/>
              <w:t>1 0 1 0 0 0 1 1</w:t>
            </w:r>
            <w:r w:rsidRPr="004D0DAA">
              <w:tab/>
              <w:t>10 hours</w:t>
            </w:r>
            <w:r w:rsidRPr="004D0DAA">
              <w:br/>
              <w:t>1 0 1 0 0 1 0 0</w:t>
            </w:r>
            <w:r w:rsidRPr="004D0DAA">
              <w:tab/>
              <w:t>10 hours 30 minutes</w:t>
            </w:r>
            <w:r w:rsidRPr="004D0DAA">
              <w:br/>
              <w:t xml:space="preserve">. . . </w:t>
            </w:r>
            <w:r w:rsidRPr="004D0DAA">
              <w:tab/>
            </w:r>
            <w:r w:rsidRPr="004D0DAA">
              <w:tab/>
            </w:r>
            <w:r w:rsidRPr="004D0DAA">
              <w:tab/>
            </w:r>
            <w:r w:rsidRPr="004D0DAA">
              <w:tab/>
            </w:r>
            <w:r w:rsidRPr="004D0DAA">
              <w:rPr>
                <w:i/>
                <w:iCs/>
              </w:rPr>
              <w:t>in 30m step</w:t>
            </w:r>
            <w:r w:rsidRPr="004D0DAA">
              <w:br/>
              <w:t>1 0 1 1 1 1 1 1</w:t>
            </w:r>
            <w:r w:rsidRPr="004D0DAA">
              <w:tab/>
              <w:t xml:space="preserve">1 day </w:t>
            </w:r>
            <w:r w:rsidRPr="004D0DAA">
              <w:br/>
              <w:t>1 1 0 0 0 0 0 0</w:t>
            </w:r>
            <w:r w:rsidRPr="004D0DAA">
              <w:tab/>
              <w:t xml:space="preserve">1 day 3 hours </w:t>
            </w:r>
            <w:r w:rsidRPr="004D0DAA">
              <w:br/>
              <w:t xml:space="preserve">. . . </w:t>
            </w:r>
            <w:r w:rsidRPr="004D0DAA">
              <w:tab/>
            </w:r>
            <w:r w:rsidRPr="004D0DAA">
              <w:tab/>
            </w:r>
            <w:r w:rsidRPr="004D0DAA">
              <w:tab/>
            </w:r>
            <w:r w:rsidRPr="004D0DAA">
              <w:tab/>
            </w:r>
            <w:r w:rsidRPr="004D0DAA">
              <w:rPr>
                <w:i/>
                <w:iCs/>
              </w:rPr>
              <w:t>in 3h step</w:t>
            </w:r>
            <w:r w:rsidRPr="004D0DAA">
              <w:br/>
              <w:t>1 1 1 0 1 1 1 1</w:t>
            </w:r>
            <w:r w:rsidRPr="004D0DAA">
              <w:tab/>
              <w:t>7 days</w:t>
            </w:r>
            <w:r w:rsidRPr="004D0DAA">
              <w:br/>
              <w:t>1 1 1 1 0 0 0 0</w:t>
            </w:r>
            <w:r w:rsidRPr="004D0DAA">
              <w:tab/>
              <w:t xml:space="preserve">7 days 12 hours </w:t>
            </w:r>
            <w:r w:rsidRPr="004D0DAA">
              <w:br/>
              <w:t xml:space="preserve">. . . </w:t>
            </w:r>
            <w:r w:rsidRPr="004D0DAA">
              <w:tab/>
            </w:r>
            <w:r w:rsidRPr="004D0DAA">
              <w:tab/>
            </w:r>
            <w:r w:rsidRPr="004D0DAA">
              <w:tab/>
            </w:r>
            <w:r w:rsidRPr="004D0DAA">
              <w:tab/>
            </w:r>
            <w:r w:rsidRPr="004D0DAA">
              <w:rPr>
                <w:i/>
                <w:iCs/>
              </w:rPr>
              <w:t>in 12h step</w:t>
            </w:r>
            <w:r w:rsidRPr="004D0DAA">
              <w:br/>
              <w:t>1 1 1 1 0 1 0 1</w:t>
            </w:r>
            <w:r w:rsidRPr="004D0DAA">
              <w:tab/>
              <w:t>10 days</w:t>
            </w:r>
            <w:r w:rsidRPr="004D0DAA">
              <w:br/>
              <w:t>1 1 1 1 0 1 1 0</w:t>
            </w:r>
            <w:r w:rsidRPr="004D0DAA">
              <w:tab/>
              <w:t>11 days</w:t>
            </w:r>
            <w:r w:rsidRPr="004D0DAA">
              <w:br/>
              <w:t xml:space="preserve">. . . </w:t>
            </w:r>
            <w:r w:rsidRPr="004D0DAA">
              <w:tab/>
            </w:r>
            <w:r w:rsidRPr="004D0DAA">
              <w:tab/>
            </w:r>
            <w:r w:rsidRPr="004D0DAA">
              <w:tab/>
            </w:r>
            <w:r w:rsidRPr="004D0DAA">
              <w:tab/>
            </w:r>
            <w:r w:rsidRPr="004D0DAA">
              <w:rPr>
                <w:i/>
                <w:iCs/>
              </w:rPr>
              <w:t>in 1 day step</w:t>
            </w:r>
            <w:r w:rsidRPr="004D0DAA">
              <w:br/>
              <w:t>1 1 1 1 1 1 0 1</w:t>
            </w:r>
            <w:r w:rsidRPr="004D0DAA">
              <w:tab/>
              <w:t>18days</w:t>
            </w:r>
            <w:r w:rsidRPr="004D0DAA">
              <w:br/>
              <w:t>1 1 1 1 1 1 1 0</w:t>
            </w:r>
            <w:r w:rsidRPr="004D0DAA">
              <w:tab/>
              <w:t>19 days</w:t>
            </w:r>
            <w:r w:rsidRPr="004D0DAA">
              <w:br/>
              <w:t>1 1 1 1 1 1 1 1</w:t>
            </w:r>
            <w:r w:rsidRPr="004D0DAA">
              <w:tab/>
              <w:t>&gt;19 days</w:t>
            </w:r>
          </w:p>
        </w:tc>
      </w:tr>
    </w:tbl>
    <w:p w14:paraId="0D563310" w14:textId="77777777" w:rsidR="00711444" w:rsidRPr="004D0DAA" w:rsidRDefault="00711444" w:rsidP="00711444"/>
    <w:p w14:paraId="3EF1B39F" w14:textId="77777777" w:rsidR="00711444" w:rsidRPr="004D0DAA" w:rsidRDefault="00711444" w:rsidP="00711444">
      <w:pPr>
        <w:pStyle w:val="Heading2"/>
      </w:pPr>
      <w:bookmarkStart w:id="830" w:name="_Toc516670006"/>
      <w:r w:rsidRPr="004D0DAA">
        <w:t>12.45</w:t>
      </w:r>
      <w:r w:rsidRPr="004D0DAA">
        <w:tab/>
        <w:t>MBMS In-band Signalling Indicator</w:t>
      </w:r>
      <w:bookmarkEnd w:id="830"/>
    </w:p>
    <w:p w14:paraId="5984A730" w14:textId="77777777" w:rsidR="00711444" w:rsidRPr="004D0DAA" w:rsidRDefault="00711444" w:rsidP="00711444">
      <w:r w:rsidRPr="004D0DAA">
        <w:t>The MBMS In-band Signalling Indicator indicates whether the network sends system information messages and (for mobile stations with an assigned MS_ID on that MBMS radio bearer) paging messages on the PACCH.</w:t>
      </w:r>
    </w:p>
    <w:p w14:paraId="510EC0C4" w14:textId="77777777" w:rsidR="00711444" w:rsidRPr="004D0DAA" w:rsidRDefault="00711444" w:rsidP="00711444">
      <w:pPr>
        <w:pStyle w:val="TH"/>
      </w:pPr>
      <w:r w:rsidRPr="004D0DAA">
        <w:t xml:space="preserve">Table 12.45.1: </w:t>
      </w:r>
      <w:r w:rsidRPr="004D0DAA">
        <w:rPr>
          <w:i/>
          <w:iCs/>
        </w:rPr>
        <w:t>MBMS In-band Signalling Indicator</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81F1F60" w14:textId="77777777" w:rsidTr="00AA2A4C">
        <w:tblPrEx>
          <w:tblCellMar>
            <w:top w:w="0" w:type="dxa"/>
            <w:bottom w:w="0" w:type="dxa"/>
          </w:tblCellMar>
        </w:tblPrEx>
        <w:trPr>
          <w:cantSplit/>
        </w:trPr>
        <w:tc>
          <w:tcPr>
            <w:tcW w:w="9848" w:type="dxa"/>
          </w:tcPr>
          <w:p w14:paraId="3E06015C" w14:textId="77777777" w:rsidR="00711444" w:rsidRPr="004D0DAA" w:rsidRDefault="00711444" w:rsidP="00AA2A4C">
            <w:pPr>
              <w:pStyle w:val="TAL"/>
              <w:rPr>
                <w:lang w:eastAsia="en-US"/>
              </w:rPr>
            </w:pPr>
            <w:r w:rsidRPr="004D0DAA">
              <w:rPr>
                <w:lang w:eastAsia="en-US"/>
              </w:rPr>
              <w:t>&lt; MBMS In-band Signalling Indicator IE &gt; ::=</w:t>
            </w:r>
          </w:p>
          <w:p w14:paraId="076EFE5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MBMS In-band Signalling Indicator</w:t>
            </w:r>
            <w:r w:rsidRPr="004D0DAA">
              <w:rPr>
                <w:lang w:eastAsia="en-US"/>
              </w:rPr>
              <w:t>: bit (1) &gt;;</w:t>
            </w:r>
          </w:p>
        </w:tc>
      </w:tr>
    </w:tbl>
    <w:p w14:paraId="6D037752" w14:textId="77777777" w:rsidR="00711444" w:rsidRPr="004D0DAA" w:rsidRDefault="00711444" w:rsidP="00711444"/>
    <w:p w14:paraId="39056FA3" w14:textId="77777777" w:rsidR="00711444" w:rsidRPr="004D0DAA" w:rsidRDefault="00711444" w:rsidP="00711444">
      <w:pPr>
        <w:pStyle w:val="TH"/>
      </w:pPr>
      <w:r w:rsidRPr="004D0DAA">
        <w:t xml:space="preserve">Table 12.45.2: </w:t>
      </w:r>
      <w:r w:rsidRPr="004D0DAA">
        <w:rPr>
          <w:i/>
          <w:iCs/>
        </w:rPr>
        <w:t>MBMS In-band Signalling Indicator</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920CE8D" w14:textId="77777777" w:rsidTr="00AA2A4C">
        <w:tblPrEx>
          <w:tblCellMar>
            <w:top w:w="0" w:type="dxa"/>
            <w:bottom w:w="0" w:type="dxa"/>
          </w:tblCellMar>
        </w:tblPrEx>
        <w:tc>
          <w:tcPr>
            <w:tcW w:w="9848" w:type="dxa"/>
          </w:tcPr>
          <w:p w14:paraId="20989AF5" w14:textId="77777777" w:rsidR="00711444" w:rsidRPr="004D0DAA" w:rsidRDefault="00711444" w:rsidP="00AA2A4C">
            <w:r w:rsidRPr="004D0DAA">
              <w:rPr>
                <w:b/>
                <w:bCs/>
              </w:rPr>
              <w:t xml:space="preserve">MBMS In-band Signalling Indicator </w:t>
            </w:r>
            <w:r w:rsidRPr="004D0DAA">
              <w:t>(1 bit field)</w:t>
            </w:r>
            <w:r w:rsidRPr="004D0DAA">
              <w:br/>
              <w:t>The MBMS In-band Signalling Indicator information element is coded as follows:</w:t>
            </w:r>
          </w:p>
          <w:p w14:paraId="197D5B35" w14:textId="77777777" w:rsidR="00711444" w:rsidRPr="004D0DAA" w:rsidRDefault="00711444" w:rsidP="00AA2A4C">
            <w:pPr>
              <w:keepLines/>
              <w:tabs>
                <w:tab w:val="left" w:pos="709"/>
              </w:tabs>
            </w:pPr>
            <w:r w:rsidRPr="004D0DAA">
              <w:t>Bit</w:t>
            </w:r>
            <w:r w:rsidRPr="004D0DAA">
              <w:br/>
              <w:t>0</w:t>
            </w:r>
            <w:r w:rsidRPr="004D0DAA">
              <w:tab/>
              <w:t xml:space="preserve">System information and paging messages are not sent on the PACCH of the MBMS radio bearer. </w:t>
            </w:r>
            <w:r w:rsidRPr="004D0DAA">
              <w:br/>
              <w:t>1</w:t>
            </w:r>
            <w:r w:rsidRPr="004D0DAA">
              <w:tab/>
              <w:t>System information and paging messages are sent on the PACCH of the MBMS radio bearer.</w:t>
            </w:r>
          </w:p>
        </w:tc>
      </w:tr>
    </w:tbl>
    <w:p w14:paraId="7AA0F04E" w14:textId="77777777" w:rsidR="00711444" w:rsidRPr="004D0DAA" w:rsidRDefault="00711444" w:rsidP="00711444"/>
    <w:p w14:paraId="0B2FCE8F" w14:textId="77777777" w:rsidR="00711444" w:rsidRPr="004D0DAA" w:rsidRDefault="00711444" w:rsidP="00711444">
      <w:pPr>
        <w:pStyle w:val="Heading2"/>
        <w:tabs>
          <w:tab w:val="left" w:pos="11520"/>
        </w:tabs>
      </w:pPr>
      <w:bookmarkStart w:id="831" w:name="_Toc516670007"/>
      <w:r w:rsidRPr="004D0DAA">
        <w:t>12.45a</w:t>
      </w:r>
      <w:r w:rsidRPr="004D0DAA">
        <w:tab/>
        <w:t>NPM Transfer Time</w:t>
      </w:r>
      <w:bookmarkEnd w:id="831"/>
    </w:p>
    <w:p w14:paraId="4413FEEB" w14:textId="77777777" w:rsidR="00711444" w:rsidRPr="004D0DAA" w:rsidRDefault="00711444" w:rsidP="00711444">
      <w:pPr>
        <w:tabs>
          <w:tab w:val="left" w:pos="9630"/>
          <w:tab w:val="left" w:pos="11520"/>
        </w:tabs>
        <w:ind w:right="1"/>
      </w:pPr>
      <w:r w:rsidRPr="004D0DAA">
        <w:t>This information element defines the NPM Transfer Time limitation in case of RLC non-persistent mode and is derived from the Transfer Delay IE defined in 3GPP TS 24.008.</w:t>
      </w:r>
    </w:p>
    <w:p w14:paraId="4E275556" w14:textId="77777777" w:rsidR="00711444" w:rsidRPr="004D0DAA" w:rsidRDefault="00711444" w:rsidP="00711444">
      <w:pPr>
        <w:pStyle w:val="TH"/>
      </w:pPr>
      <w:r w:rsidRPr="004D0DAA">
        <w:lastRenderedPageBreak/>
        <w:t>Table 12.45a.1: NPM Transfer Time Information Elements details</w:t>
      </w:r>
    </w:p>
    <w:tbl>
      <w:tblPr>
        <w:tblW w:w="3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0"/>
        <w:gridCol w:w="2610"/>
      </w:tblGrid>
      <w:tr w:rsidR="00711444" w:rsidRPr="004D0DAA" w14:paraId="30224A96" w14:textId="77777777" w:rsidTr="00AA2A4C">
        <w:tblPrEx>
          <w:tblCellMar>
            <w:top w:w="0" w:type="dxa"/>
            <w:bottom w:w="0" w:type="dxa"/>
          </w:tblCellMar>
        </w:tblPrEx>
        <w:trPr>
          <w:cantSplit/>
          <w:jc w:val="center"/>
        </w:trPr>
        <w:tc>
          <w:tcPr>
            <w:tcW w:w="920" w:type="dxa"/>
          </w:tcPr>
          <w:p w14:paraId="5601A785" w14:textId="77777777" w:rsidR="00711444" w:rsidRPr="004D0DAA" w:rsidRDefault="00711444" w:rsidP="00AA2A4C">
            <w:pPr>
              <w:pStyle w:val="TAH"/>
              <w:rPr>
                <w:lang w:eastAsia="en-US"/>
              </w:rPr>
            </w:pPr>
            <w:r w:rsidRPr="004D0DAA">
              <w:rPr>
                <w:lang w:eastAsia="en-US"/>
              </w:rPr>
              <w:t>bit</w:t>
            </w:r>
            <w:r w:rsidRPr="004D0DAA">
              <w:rPr>
                <w:lang w:eastAsia="en-US"/>
              </w:rPr>
              <w:br/>
              <w:t>5 4 3 2 1</w:t>
            </w:r>
          </w:p>
        </w:tc>
        <w:tc>
          <w:tcPr>
            <w:tcW w:w="2610" w:type="dxa"/>
          </w:tcPr>
          <w:p w14:paraId="18848D02" w14:textId="77777777" w:rsidR="00711444" w:rsidRPr="004D0DAA" w:rsidRDefault="00711444" w:rsidP="00AA2A4C">
            <w:pPr>
              <w:pStyle w:val="TAH"/>
              <w:rPr>
                <w:lang w:eastAsia="en-US"/>
              </w:rPr>
            </w:pPr>
            <w:r w:rsidRPr="004D0DAA">
              <w:rPr>
                <w:lang w:eastAsia="en-US"/>
              </w:rPr>
              <w:t>NPM Transfer Time (in ms)</w:t>
            </w:r>
          </w:p>
        </w:tc>
      </w:tr>
      <w:tr w:rsidR="00711444" w:rsidRPr="004D0DAA" w14:paraId="168DA8A9" w14:textId="77777777" w:rsidTr="00AA2A4C">
        <w:tblPrEx>
          <w:tblCellMar>
            <w:top w:w="0" w:type="dxa"/>
            <w:bottom w:w="0" w:type="dxa"/>
          </w:tblCellMar>
        </w:tblPrEx>
        <w:trPr>
          <w:cantSplit/>
          <w:trHeight w:val="71"/>
          <w:jc w:val="center"/>
        </w:trPr>
        <w:tc>
          <w:tcPr>
            <w:tcW w:w="920" w:type="dxa"/>
          </w:tcPr>
          <w:p w14:paraId="2E94338F" w14:textId="77777777" w:rsidR="00711444" w:rsidRPr="004D0DAA" w:rsidRDefault="00711444" w:rsidP="00AA2A4C">
            <w:pPr>
              <w:pStyle w:val="TAC"/>
              <w:rPr>
                <w:lang w:eastAsia="en-US"/>
              </w:rPr>
            </w:pPr>
            <w:r w:rsidRPr="004D0DAA">
              <w:rPr>
                <w:lang w:eastAsia="en-US"/>
              </w:rPr>
              <w:t>0 0 0 0 0</w:t>
            </w:r>
          </w:p>
        </w:tc>
        <w:tc>
          <w:tcPr>
            <w:tcW w:w="2610" w:type="dxa"/>
          </w:tcPr>
          <w:p w14:paraId="068AD157" w14:textId="77777777" w:rsidR="00711444" w:rsidRPr="004D0DAA" w:rsidRDefault="00711444" w:rsidP="00AA2A4C">
            <w:pPr>
              <w:pStyle w:val="TAL"/>
              <w:rPr>
                <w:lang w:eastAsia="en-US"/>
              </w:rPr>
            </w:pPr>
            <w:r w:rsidRPr="004D0DAA">
              <w:rPr>
                <w:lang w:eastAsia="en-US"/>
              </w:rPr>
              <w:t>30</w:t>
            </w:r>
          </w:p>
        </w:tc>
      </w:tr>
      <w:tr w:rsidR="00711444" w:rsidRPr="004D0DAA" w14:paraId="60770228" w14:textId="77777777" w:rsidTr="00AA2A4C">
        <w:tblPrEx>
          <w:tblCellMar>
            <w:top w:w="0" w:type="dxa"/>
            <w:bottom w:w="0" w:type="dxa"/>
          </w:tblCellMar>
        </w:tblPrEx>
        <w:trPr>
          <w:cantSplit/>
          <w:jc w:val="center"/>
        </w:trPr>
        <w:tc>
          <w:tcPr>
            <w:tcW w:w="920" w:type="dxa"/>
          </w:tcPr>
          <w:p w14:paraId="538C1BC2" w14:textId="77777777" w:rsidR="00711444" w:rsidRPr="004D0DAA" w:rsidRDefault="00711444" w:rsidP="00AA2A4C">
            <w:pPr>
              <w:pStyle w:val="TAC"/>
              <w:rPr>
                <w:lang w:eastAsia="en-US"/>
              </w:rPr>
            </w:pPr>
            <w:r w:rsidRPr="004D0DAA">
              <w:rPr>
                <w:lang w:eastAsia="en-US"/>
              </w:rPr>
              <w:t>0 0 0 0 1</w:t>
            </w:r>
          </w:p>
        </w:tc>
        <w:tc>
          <w:tcPr>
            <w:tcW w:w="2610" w:type="dxa"/>
          </w:tcPr>
          <w:p w14:paraId="4111BC71" w14:textId="77777777" w:rsidR="00711444" w:rsidRPr="004D0DAA" w:rsidRDefault="00711444" w:rsidP="00AA2A4C">
            <w:pPr>
              <w:pStyle w:val="TAL"/>
              <w:rPr>
                <w:lang w:eastAsia="en-US"/>
              </w:rPr>
            </w:pPr>
            <w:r w:rsidRPr="004D0DAA">
              <w:rPr>
                <w:lang w:eastAsia="en-US"/>
              </w:rPr>
              <w:t>40</w:t>
            </w:r>
          </w:p>
        </w:tc>
      </w:tr>
      <w:tr w:rsidR="00711444" w:rsidRPr="004D0DAA" w14:paraId="7038715C" w14:textId="77777777" w:rsidTr="00AA2A4C">
        <w:tblPrEx>
          <w:tblCellMar>
            <w:top w:w="0" w:type="dxa"/>
            <w:bottom w:w="0" w:type="dxa"/>
          </w:tblCellMar>
        </w:tblPrEx>
        <w:trPr>
          <w:cantSplit/>
          <w:jc w:val="center"/>
        </w:trPr>
        <w:tc>
          <w:tcPr>
            <w:tcW w:w="920" w:type="dxa"/>
          </w:tcPr>
          <w:p w14:paraId="509AA0D5" w14:textId="77777777" w:rsidR="00711444" w:rsidRPr="004D0DAA" w:rsidRDefault="00711444" w:rsidP="00AA2A4C">
            <w:pPr>
              <w:pStyle w:val="TAC"/>
              <w:rPr>
                <w:lang w:eastAsia="en-US"/>
              </w:rPr>
            </w:pPr>
            <w:r w:rsidRPr="004D0DAA">
              <w:rPr>
                <w:lang w:eastAsia="en-US"/>
              </w:rPr>
              <w:t>0 0 0 1 0</w:t>
            </w:r>
          </w:p>
        </w:tc>
        <w:tc>
          <w:tcPr>
            <w:tcW w:w="2610" w:type="dxa"/>
          </w:tcPr>
          <w:p w14:paraId="5718DF39" w14:textId="77777777" w:rsidR="00711444" w:rsidRPr="004D0DAA" w:rsidRDefault="00711444" w:rsidP="00AA2A4C">
            <w:pPr>
              <w:pStyle w:val="TAL"/>
              <w:rPr>
                <w:lang w:eastAsia="en-US"/>
              </w:rPr>
            </w:pPr>
            <w:r w:rsidRPr="004D0DAA">
              <w:rPr>
                <w:lang w:eastAsia="en-US"/>
              </w:rPr>
              <w:t>50</w:t>
            </w:r>
          </w:p>
        </w:tc>
      </w:tr>
      <w:tr w:rsidR="00711444" w:rsidRPr="004D0DAA" w14:paraId="30A08BC5" w14:textId="77777777" w:rsidTr="00AA2A4C">
        <w:tblPrEx>
          <w:tblCellMar>
            <w:top w:w="0" w:type="dxa"/>
            <w:bottom w:w="0" w:type="dxa"/>
          </w:tblCellMar>
        </w:tblPrEx>
        <w:trPr>
          <w:cantSplit/>
          <w:jc w:val="center"/>
        </w:trPr>
        <w:tc>
          <w:tcPr>
            <w:tcW w:w="920" w:type="dxa"/>
          </w:tcPr>
          <w:p w14:paraId="4061C697" w14:textId="77777777" w:rsidR="00711444" w:rsidRPr="004D0DAA" w:rsidRDefault="00711444" w:rsidP="00AA2A4C">
            <w:pPr>
              <w:pStyle w:val="TAC"/>
              <w:rPr>
                <w:lang w:eastAsia="en-US"/>
              </w:rPr>
            </w:pPr>
            <w:r w:rsidRPr="004D0DAA">
              <w:rPr>
                <w:lang w:eastAsia="en-US"/>
              </w:rPr>
              <w:t>0 0 0 1 1</w:t>
            </w:r>
          </w:p>
        </w:tc>
        <w:tc>
          <w:tcPr>
            <w:tcW w:w="2610" w:type="dxa"/>
          </w:tcPr>
          <w:p w14:paraId="020C658D" w14:textId="77777777" w:rsidR="00711444" w:rsidRPr="004D0DAA" w:rsidRDefault="00711444" w:rsidP="00AA2A4C">
            <w:pPr>
              <w:pStyle w:val="TAL"/>
              <w:rPr>
                <w:lang w:eastAsia="en-US"/>
              </w:rPr>
            </w:pPr>
            <w:r w:rsidRPr="004D0DAA">
              <w:rPr>
                <w:lang w:eastAsia="en-US"/>
              </w:rPr>
              <w:t>60</w:t>
            </w:r>
          </w:p>
        </w:tc>
      </w:tr>
      <w:tr w:rsidR="00711444" w:rsidRPr="004D0DAA" w14:paraId="56E488D1" w14:textId="77777777" w:rsidTr="00AA2A4C">
        <w:tblPrEx>
          <w:tblCellMar>
            <w:top w:w="0" w:type="dxa"/>
            <w:bottom w:w="0" w:type="dxa"/>
          </w:tblCellMar>
        </w:tblPrEx>
        <w:trPr>
          <w:cantSplit/>
          <w:jc w:val="center"/>
        </w:trPr>
        <w:tc>
          <w:tcPr>
            <w:tcW w:w="920" w:type="dxa"/>
          </w:tcPr>
          <w:p w14:paraId="1A1ECB3B" w14:textId="77777777" w:rsidR="00711444" w:rsidRPr="004D0DAA" w:rsidRDefault="00711444" w:rsidP="00AA2A4C">
            <w:pPr>
              <w:pStyle w:val="TAC"/>
              <w:rPr>
                <w:lang w:eastAsia="en-US"/>
              </w:rPr>
            </w:pPr>
            <w:r w:rsidRPr="004D0DAA">
              <w:rPr>
                <w:lang w:eastAsia="en-US"/>
              </w:rPr>
              <w:t>0 0 1 0 0</w:t>
            </w:r>
          </w:p>
        </w:tc>
        <w:tc>
          <w:tcPr>
            <w:tcW w:w="2610" w:type="dxa"/>
          </w:tcPr>
          <w:p w14:paraId="2A674591" w14:textId="77777777" w:rsidR="00711444" w:rsidRPr="004D0DAA" w:rsidRDefault="00711444" w:rsidP="00AA2A4C">
            <w:pPr>
              <w:pStyle w:val="TAL"/>
              <w:rPr>
                <w:lang w:eastAsia="en-US"/>
              </w:rPr>
            </w:pPr>
            <w:r w:rsidRPr="004D0DAA">
              <w:rPr>
                <w:lang w:eastAsia="en-US"/>
              </w:rPr>
              <w:t>70</w:t>
            </w:r>
          </w:p>
        </w:tc>
      </w:tr>
      <w:tr w:rsidR="00711444" w:rsidRPr="004D0DAA" w14:paraId="56939985" w14:textId="77777777" w:rsidTr="00AA2A4C">
        <w:tblPrEx>
          <w:tblCellMar>
            <w:top w:w="0" w:type="dxa"/>
            <w:bottom w:w="0" w:type="dxa"/>
          </w:tblCellMar>
        </w:tblPrEx>
        <w:trPr>
          <w:cantSplit/>
          <w:jc w:val="center"/>
        </w:trPr>
        <w:tc>
          <w:tcPr>
            <w:tcW w:w="920" w:type="dxa"/>
          </w:tcPr>
          <w:p w14:paraId="18619C29" w14:textId="77777777" w:rsidR="00711444" w:rsidRPr="004D0DAA" w:rsidRDefault="00711444" w:rsidP="00AA2A4C">
            <w:pPr>
              <w:pStyle w:val="TAC"/>
              <w:rPr>
                <w:lang w:eastAsia="en-US"/>
              </w:rPr>
            </w:pPr>
            <w:r w:rsidRPr="004D0DAA">
              <w:rPr>
                <w:lang w:eastAsia="en-US"/>
              </w:rPr>
              <w:t>0 0 1 0 1</w:t>
            </w:r>
          </w:p>
        </w:tc>
        <w:tc>
          <w:tcPr>
            <w:tcW w:w="2610" w:type="dxa"/>
          </w:tcPr>
          <w:p w14:paraId="73B08963" w14:textId="77777777" w:rsidR="00711444" w:rsidRPr="004D0DAA" w:rsidRDefault="00711444" w:rsidP="00AA2A4C">
            <w:pPr>
              <w:pStyle w:val="TAL"/>
              <w:rPr>
                <w:lang w:eastAsia="en-US"/>
              </w:rPr>
            </w:pPr>
            <w:r w:rsidRPr="004D0DAA">
              <w:rPr>
                <w:lang w:eastAsia="en-US"/>
              </w:rPr>
              <w:t>80</w:t>
            </w:r>
          </w:p>
        </w:tc>
      </w:tr>
      <w:tr w:rsidR="00711444" w:rsidRPr="004D0DAA" w14:paraId="667160DE" w14:textId="77777777" w:rsidTr="00AA2A4C">
        <w:tblPrEx>
          <w:tblCellMar>
            <w:top w:w="0" w:type="dxa"/>
            <w:bottom w:w="0" w:type="dxa"/>
          </w:tblCellMar>
        </w:tblPrEx>
        <w:trPr>
          <w:cantSplit/>
          <w:jc w:val="center"/>
        </w:trPr>
        <w:tc>
          <w:tcPr>
            <w:tcW w:w="920" w:type="dxa"/>
          </w:tcPr>
          <w:p w14:paraId="77755536" w14:textId="77777777" w:rsidR="00711444" w:rsidRPr="004D0DAA" w:rsidRDefault="00711444" w:rsidP="00AA2A4C">
            <w:pPr>
              <w:pStyle w:val="TAC"/>
              <w:rPr>
                <w:lang w:eastAsia="en-US"/>
              </w:rPr>
            </w:pPr>
            <w:r w:rsidRPr="004D0DAA">
              <w:rPr>
                <w:lang w:eastAsia="en-US"/>
              </w:rPr>
              <w:t>0 0 1 1 0</w:t>
            </w:r>
          </w:p>
        </w:tc>
        <w:tc>
          <w:tcPr>
            <w:tcW w:w="2610" w:type="dxa"/>
          </w:tcPr>
          <w:p w14:paraId="6B52E6E9" w14:textId="77777777" w:rsidR="00711444" w:rsidRPr="004D0DAA" w:rsidRDefault="00711444" w:rsidP="00AA2A4C">
            <w:pPr>
              <w:pStyle w:val="TAL"/>
              <w:rPr>
                <w:lang w:eastAsia="en-US"/>
              </w:rPr>
            </w:pPr>
            <w:r w:rsidRPr="004D0DAA">
              <w:rPr>
                <w:lang w:eastAsia="en-US"/>
              </w:rPr>
              <w:t>90</w:t>
            </w:r>
          </w:p>
        </w:tc>
      </w:tr>
      <w:tr w:rsidR="00711444" w:rsidRPr="004D0DAA" w14:paraId="128B48D9" w14:textId="77777777" w:rsidTr="00AA2A4C">
        <w:tblPrEx>
          <w:tblCellMar>
            <w:top w:w="0" w:type="dxa"/>
            <w:bottom w:w="0" w:type="dxa"/>
          </w:tblCellMar>
        </w:tblPrEx>
        <w:trPr>
          <w:cantSplit/>
          <w:jc w:val="center"/>
        </w:trPr>
        <w:tc>
          <w:tcPr>
            <w:tcW w:w="920" w:type="dxa"/>
          </w:tcPr>
          <w:p w14:paraId="269E17F7" w14:textId="77777777" w:rsidR="00711444" w:rsidRPr="004D0DAA" w:rsidRDefault="00711444" w:rsidP="00AA2A4C">
            <w:pPr>
              <w:pStyle w:val="TAC"/>
              <w:rPr>
                <w:lang w:eastAsia="en-US"/>
              </w:rPr>
            </w:pPr>
            <w:r w:rsidRPr="004D0DAA">
              <w:rPr>
                <w:lang w:eastAsia="en-US"/>
              </w:rPr>
              <w:t>0 0 1 1 1</w:t>
            </w:r>
          </w:p>
        </w:tc>
        <w:tc>
          <w:tcPr>
            <w:tcW w:w="2610" w:type="dxa"/>
          </w:tcPr>
          <w:p w14:paraId="1A0A271D" w14:textId="77777777" w:rsidR="00711444" w:rsidRPr="004D0DAA" w:rsidRDefault="00711444" w:rsidP="00AA2A4C">
            <w:pPr>
              <w:pStyle w:val="TAL"/>
              <w:rPr>
                <w:lang w:eastAsia="en-US"/>
              </w:rPr>
            </w:pPr>
            <w:r w:rsidRPr="004D0DAA">
              <w:rPr>
                <w:lang w:eastAsia="en-US"/>
              </w:rPr>
              <w:t>100</w:t>
            </w:r>
          </w:p>
        </w:tc>
      </w:tr>
      <w:tr w:rsidR="00711444" w:rsidRPr="004D0DAA" w14:paraId="024B36EC" w14:textId="77777777" w:rsidTr="00AA2A4C">
        <w:tblPrEx>
          <w:tblCellMar>
            <w:top w:w="0" w:type="dxa"/>
            <w:bottom w:w="0" w:type="dxa"/>
          </w:tblCellMar>
        </w:tblPrEx>
        <w:trPr>
          <w:cantSplit/>
          <w:jc w:val="center"/>
        </w:trPr>
        <w:tc>
          <w:tcPr>
            <w:tcW w:w="920" w:type="dxa"/>
          </w:tcPr>
          <w:p w14:paraId="047660FC" w14:textId="77777777" w:rsidR="00711444" w:rsidRPr="004D0DAA" w:rsidRDefault="00711444" w:rsidP="00AA2A4C">
            <w:pPr>
              <w:pStyle w:val="TAC"/>
              <w:rPr>
                <w:lang w:eastAsia="en-US"/>
              </w:rPr>
            </w:pPr>
            <w:r w:rsidRPr="004D0DAA">
              <w:rPr>
                <w:lang w:eastAsia="en-US"/>
              </w:rPr>
              <w:t>0 1 0 0 0</w:t>
            </w:r>
          </w:p>
        </w:tc>
        <w:tc>
          <w:tcPr>
            <w:tcW w:w="2610" w:type="dxa"/>
          </w:tcPr>
          <w:p w14:paraId="4C736735" w14:textId="77777777" w:rsidR="00711444" w:rsidRPr="004D0DAA" w:rsidRDefault="00711444" w:rsidP="00AA2A4C">
            <w:pPr>
              <w:pStyle w:val="TAL"/>
              <w:rPr>
                <w:lang w:eastAsia="en-US"/>
              </w:rPr>
            </w:pPr>
            <w:r w:rsidRPr="004D0DAA">
              <w:rPr>
                <w:lang w:eastAsia="en-US"/>
              </w:rPr>
              <w:t>125</w:t>
            </w:r>
          </w:p>
        </w:tc>
      </w:tr>
      <w:tr w:rsidR="00711444" w:rsidRPr="004D0DAA" w14:paraId="7DF7934D" w14:textId="77777777" w:rsidTr="00AA2A4C">
        <w:tblPrEx>
          <w:tblCellMar>
            <w:top w:w="0" w:type="dxa"/>
            <w:bottom w:w="0" w:type="dxa"/>
          </w:tblCellMar>
        </w:tblPrEx>
        <w:trPr>
          <w:cantSplit/>
          <w:jc w:val="center"/>
        </w:trPr>
        <w:tc>
          <w:tcPr>
            <w:tcW w:w="920" w:type="dxa"/>
          </w:tcPr>
          <w:p w14:paraId="1A86A6F8" w14:textId="77777777" w:rsidR="00711444" w:rsidRPr="004D0DAA" w:rsidRDefault="00711444" w:rsidP="00AA2A4C">
            <w:pPr>
              <w:pStyle w:val="TAC"/>
              <w:rPr>
                <w:lang w:eastAsia="en-US"/>
              </w:rPr>
            </w:pPr>
            <w:r w:rsidRPr="004D0DAA">
              <w:rPr>
                <w:lang w:eastAsia="en-US"/>
              </w:rPr>
              <w:t>0 1 0 0 1</w:t>
            </w:r>
          </w:p>
        </w:tc>
        <w:tc>
          <w:tcPr>
            <w:tcW w:w="2610" w:type="dxa"/>
          </w:tcPr>
          <w:p w14:paraId="3AC04A85" w14:textId="77777777" w:rsidR="00711444" w:rsidRPr="004D0DAA" w:rsidRDefault="00711444" w:rsidP="00AA2A4C">
            <w:pPr>
              <w:pStyle w:val="TAL"/>
              <w:rPr>
                <w:lang w:eastAsia="en-US"/>
              </w:rPr>
            </w:pPr>
            <w:r w:rsidRPr="004D0DAA">
              <w:rPr>
                <w:lang w:eastAsia="en-US"/>
              </w:rPr>
              <w:t>150</w:t>
            </w:r>
          </w:p>
        </w:tc>
      </w:tr>
      <w:tr w:rsidR="00711444" w:rsidRPr="004D0DAA" w14:paraId="7A022068" w14:textId="77777777" w:rsidTr="00AA2A4C">
        <w:tblPrEx>
          <w:tblCellMar>
            <w:top w:w="0" w:type="dxa"/>
            <w:bottom w:w="0" w:type="dxa"/>
          </w:tblCellMar>
        </w:tblPrEx>
        <w:trPr>
          <w:cantSplit/>
          <w:jc w:val="center"/>
        </w:trPr>
        <w:tc>
          <w:tcPr>
            <w:tcW w:w="920" w:type="dxa"/>
          </w:tcPr>
          <w:p w14:paraId="1DDAD9A6" w14:textId="77777777" w:rsidR="00711444" w:rsidRPr="004D0DAA" w:rsidRDefault="00711444" w:rsidP="00AA2A4C">
            <w:pPr>
              <w:pStyle w:val="TAC"/>
              <w:rPr>
                <w:lang w:eastAsia="en-US"/>
              </w:rPr>
            </w:pPr>
            <w:r w:rsidRPr="004D0DAA">
              <w:rPr>
                <w:lang w:eastAsia="en-US"/>
              </w:rPr>
              <w:t>0 1 0 1 0</w:t>
            </w:r>
          </w:p>
        </w:tc>
        <w:tc>
          <w:tcPr>
            <w:tcW w:w="2610" w:type="dxa"/>
          </w:tcPr>
          <w:p w14:paraId="6FDC85B3" w14:textId="77777777" w:rsidR="00711444" w:rsidRPr="004D0DAA" w:rsidRDefault="00711444" w:rsidP="00AA2A4C">
            <w:pPr>
              <w:pStyle w:val="TAL"/>
              <w:rPr>
                <w:lang w:eastAsia="en-US"/>
              </w:rPr>
            </w:pPr>
            <w:r w:rsidRPr="004D0DAA">
              <w:rPr>
                <w:lang w:eastAsia="en-US"/>
              </w:rPr>
              <w:t>175</w:t>
            </w:r>
          </w:p>
        </w:tc>
      </w:tr>
      <w:tr w:rsidR="00711444" w:rsidRPr="004D0DAA" w14:paraId="5CF5EE48" w14:textId="77777777" w:rsidTr="00AA2A4C">
        <w:tblPrEx>
          <w:tblCellMar>
            <w:top w:w="0" w:type="dxa"/>
            <w:bottom w:w="0" w:type="dxa"/>
          </w:tblCellMar>
        </w:tblPrEx>
        <w:trPr>
          <w:cantSplit/>
          <w:jc w:val="center"/>
        </w:trPr>
        <w:tc>
          <w:tcPr>
            <w:tcW w:w="920" w:type="dxa"/>
          </w:tcPr>
          <w:p w14:paraId="3EA223B4" w14:textId="77777777" w:rsidR="00711444" w:rsidRPr="004D0DAA" w:rsidRDefault="00711444" w:rsidP="00AA2A4C">
            <w:pPr>
              <w:pStyle w:val="TAC"/>
              <w:rPr>
                <w:lang w:eastAsia="en-US"/>
              </w:rPr>
            </w:pPr>
            <w:r w:rsidRPr="004D0DAA">
              <w:rPr>
                <w:lang w:eastAsia="en-US"/>
              </w:rPr>
              <w:t>0 1 0 1 1</w:t>
            </w:r>
          </w:p>
        </w:tc>
        <w:tc>
          <w:tcPr>
            <w:tcW w:w="2610" w:type="dxa"/>
          </w:tcPr>
          <w:p w14:paraId="6D4075D9" w14:textId="77777777" w:rsidR="00711444" w:rsidRPr="004D0DAA" w:rsidRDefault="00711444" w:rsidP="00AA2A4C">
            <w:pPr>
              <w:pStyle w:val="TAL"/>
              <w:rPr>
                <w:lang w:eastAsia="en-US"/>
              </w:rPr>
            </w:pPr>
            <w:r w:rsidRPr="004D0DAA">
              <w:rPr>
                <w:lang w:eastAsia="en-US"/>
              </w:rPr>
              <w:t>200</w:t>
            </w:r>
          </w:p>
        </w:tc>
      </w:tr>
      <w:tr w:rsidR="00711444" w:rsidRPr="004D0DAA" w14:paraId="082AE549" w14:textId="77777777" w:rsidTr="00AA2A4C">
        <w:tblPrEx>
          <w:tblCellMar>
            <w:top w:w="0" w:type="dxa"/>
            <w:bottom w:w="0" w:type="dxa"/>
          </w:tblCellMar>
        </w:tblPrEx>
        <w:trPr>
          <w:cantSplit/>
          <w:jc w:val="center"/>
        </w:trPr>
        <w:tc>
          <w:tcPr>
            <w:tcW w:w="920" w:type="dxa"/>
          </w:tcPr>
          <w:p w14:paraId="61C32216" w14:textId="77777777" w:rsidR="00711444" w:rsidRPr="004D0DAA" w:rsidRDefault="00711444" w:rsidP="00AA2A4C">
            <w:pPr>
              <w:pStyle w:val="TAC"/>
              <w:rPr>
                <w:lang w:eastAsia="en-US"/>
              </w:rPr>
            </w:pPr>
            <w:r w:rsidRPr="004D0DAA">
              <w:rPr>
                <w:lang w:eastAsia="en-US"/>
              </w:rPr>
              <w:t>0 1 1 0 0</w:t>
            </w:r>
          </w:p>
        </w:tc>
        <w:tc>
          <w:tcPr>
            <w:tcW w:w="2610" w:type="dxa"/>
          </w:tcPr>
          <w:p w14:paraId="15FF8F58" w14:textId="77777777" w:rsidR="00711444" w:rsidRPr="004D0DAA" w:rsidRDefault="00711444" w:rsidP="00AA2A4C">
            <w:pPr>
              <w:pStyle w:val="TAL"/>
              <w:rPr>
                <w:lang w:eastAsia="en-US"/>
              </w:rPr>
            </w:pPr>
            <w:r w:rsidRPr="004D0DAA">
              <w:rPr>
                <w:lang w:eastAsia="en-US"/>
              </w:rPr>
              <w:t>225</w:t>
            </w:r>
          </w:p>
        </w:tc>
      </w:tr>
      <w:tr w:rsidR="00711444" w:rsidRPr="004D0DAA" w14:paraId="1B88840D" w14:textId="77777777" w:rsidTr="00AA2A4C">
        <w:tblPrEx>
          <w:tblCellMar>
            <w:top w:w="0" w:type="dxa"/>
            <w:bottom w:w="0" w:type="dxa"/>
          </w:tblCellMar>
        </w:tblPrEx>
        <w:trPr>
          <w:cantSplit/>
          <w:jc w:val="center"/>
        </w:trPr>
        <w:tc>
          <w:tcPr>
            <w:tcW w:w="920" w:type="dxa"/>
          </w:tcPr>
          <w:p w14:paraId="70AACB7A" w14:textId="77777777" w:rsidR="00711444" w:rsidRPr="004D0DAA" w:rsidRDefault="00711444" w:rsidP="00AA2A4C">
            <w:pPr>
              <w:pStyle w:val="TAC"/>
              <w:rPr>
                <w:lang w:eastAsia="en-US"/>
              </w:rPr>
            </w:pPr>
            <w:r w:rsidRPr="004D0DAA">
              <w:rPr>
                <w:lang w:eastAsia="en-US"/>
              </w:rPr>
              <w:t>0 1 1 0 1</w:t>
            </w:r>
          </w:p>
        </w:tc>
        <w:tc>
          <w:tcPr>
            <w:tcW w:w="2610" w:type="dxa"/>
          </w:tcPr>
          <w:p w14:paraId="634CFCBB" w14:textId="77777777" w:rsidR="00711444" w:rsidRPr="004D0DAA" w:rsidRDefault="00711444" w:rsidP="00AA2A4C">
            <w:pPr>
              <w:pStyle w:val="TAL"/>
              <w:rPr>
                <w:lang w:eastAsia="en-US"/>
              </w:rPr>
            </w:pPr>
            <w:r w:rsidRPr="004D0DAA">
              <w:rPr>
                <w:lang w:eastAsia="en-US"/>
              </w:rPr>
              <w:t>250</w:t>
            </w:r>
          </w:p>
        </w:tc>
      </w:tr>
      <w:tr w:rsidR="00711444" w:rsidRPr="004D0DAA" w14:paraId="3CD1882A" w14:textId="77777777" w:rsidTr="00AA2A4C">
        <w:tblPrEx>
          <w:tblCellMar>
            <w:top w:w="0" w:type="dxa"/>
            <w:bottom w:w="0" w:type="dxa"/>
          </w:tblCellMar>
        </w:tblPrEx>
        <w:trPr>
          <w:cantSplit/>
          <w:jc w:val="center"/>
        </w:trPr>
        <w:tc>
          <w:tcPr>
            <w:tcW w:w="920" w:type="dxa"/>
          </w:tcPr>
          <w:p w14:paraId="5F3EB2B3" w14:textId="77777777" w:rsidR="00711444" w:rsidRPr="004D0DAA" w:rsidRDefault="00711444" w:rsidP="00AA2A4C">
            <w:pPr>
              <w:pStyle w:val="TAC"/>
              <w:rPr>
                <w:lang w:eastAsia="en-US"/>
              </w:rPr>
            </w:pPr>
            <w:r w:rsidRPr="004D0DAA">
              <w:rPr>
                <w:lang w:eastAsia="en-US"/>
              </w:rPr>
              <w:t>0 1 1 1 0</w:t>
            </w:r>
          </w:p>
        </w:tc>
        <w:tc>
          <w:tcPr>
            <w:tcW w:w="2610" w:type="dxa"/>
          </w:tcPr>
          <w:p w14:paraId="035A5DEA" w14:textId="77777777" w:rsidR="00711444" w:rsidRPr="004D0DAA" w:rsidRDefault="00711444" w:rsidP="00AA2A4C">
            <w:pPr>
              <w:pStyle w:val="TAL"/>
              <w:rPr>
                <w:lang w:eastAsia="en-US"/>
              </w:rPr>
            </w:pPr>
            <w:r w:rsidRPr="004D0DAA">
              <w:rPr>
                <w:lang w:eastAsia="en-US"/>
              </w:rPr>
              <w:t>275</w:t>
            </w:r>
          </w:p>
        </w:tc>
      </w:tr>
      <w:tr w:rsidR="00711444" w:rsidRPr="004D0DAA" w14:paraId="3FD7A0A0" w14:textId="77777777" w:rsidTr="00AA2A4C">
        <w:tblPrEx>
          <w:tblCellMar>
            <w:top w:w="0" w:type="dxa"/>
            <w:bottom w:w="0" w:type="dxa"/>
          </w:tblCellMar>
        </w:tblPrEx>
        <w:trPr>
          <w:cantSplit/>
          <w:jc w:val="center"/>
        </w:trPr>
        <w:tc>
          <w:tcPr>
            <w:tcW w:w="920" w:type="dxa"/>
          </w:tcPr>
          <w:p w14:paraId="4D6188E6" w14:textId="77777777" w:rsidR="00711444" w:rsidRPr="004D0DAA" w:rsidRDefault="00711444" w:rsidP="00AA2A4C">
            <w:pPr>
              <w:pStyle w:val="TAC"/>
              <w:rPr>
                <w:lang w:eastAsia="en-US"/>
              </w:rPr>
            </w:pPr>
            <w:r w:rsidRPr="004D0DAA">
              <w:rPr>
                <w:lang w:eastAsia="en-US"/>
              </w:rPr>
              <w:t>0 1 1 1 1</w:t>
            </w:r>
          </w:p>
        </w:tc>
        <w:tc>
          <w:tcPr>
            <w:tcW w:w="2610" w:type="dxa"/>
          </w:tcPr>
          <w:p w14:paraId="31CDD0FF" w14:textId="77777777" w:rsidR="00711444" w:rsidRPr="004D0DAA" w:rsidRDefault="00711444" w:rsidP="00AA2A4C">
            <w:pPr>
              <w:pStyle w:val="TAL"/>
              <w:rPr>
                <w:lang w:eastAsia="en-US"/>
              </w:rPr>
            </w:pPr>
            <w:r w:rsidRPr="004D0DAA">
              <w:rPr>
                <w:lang w:eastAsia="en-US"/>
              </w:rPr>
              <w:t>300</w:t>
            </w:r>
          </w:p>
        </w:tc>
      </w:tr>
      <w:tr w:rsidR="00711444" w:rsidRPr="004D0DAA" w14:paraId="0DE94E64" w14:textId="77777777" w:rsidTr="00AA2A4C">
        <w:tblPrEx>
          <w:tblCellMar>
            <w:top w:w="0" w:type="dxa"/>
            <w:bottom w:w="0" w:type="dxa"/>
          </w:tblCellMar>
        </w:tblPrEx>
        <w:trPr>
          <w:cantSplit/>
          <w:jc w:val="center"/>
        </w:trPr>
        <w:tc>
          <w:tcPr>
            <w:tcW w:w="920" w:type="dxa"/>
          </w:tcPr>
          <w:p w14:paraId="4E39F9BC" w14:textId="77777777" w:rsidR="00711444" w:rsidRPr="004D0DAA" w:rsidRDefault="00711444" w:rsidP="00AA2A4C">
            <w:pPr>
              <w:pStyle w:val="TAC"/>
              <w:rPr>
                <w:lang w:eastAsia="en-US"/>
              </w:rPr>
            </w:pPr>
            <w:r w:rsidRPr="004D0DAA">
              <w:rPr>
                <w:lang w:eastAsia="en-US"/>
              </w:rPr>
              <w:t>1 0 0 0 0</w:t>
            </w:r>
          </w:p>
        </w:tc>
        <w:tc>
          <w:tcPr>
            <w:tcW w:w="2610" w:type="dxa"/>
          </w:tcPr>
          <w:p w14:paraId="212E7272" w14:textId="77777777" w:rsidR="00711444" w:rsidRPr="004D0DAA" w:rsidRDefault="00711444" w:rsidP="00AA2A4C">
            <w:pPr>
              <w:pStyle w:val="TAL"/>
              <w:rPr>
                <w:lang w:eastAsia="en-US"/>
              </w:rPr>
            </w:pPr>
            <w:r w:rsidRPr="004D0DAA">
              <w:rPr>
                <w:lang w:eastAsia="en-US"/>
              </w:rPr>
              <w:t>400</w:t>
            </w:r>
          </w:p>
        </w:tc>
      </w:tr>
      <w:tr w:rsidR="00711444" w:rsidRPr="004D0DAA" w14:paraId="27D05478" w14:textId="77777777" w:rsidTr="00AA2A4C">
        <w:tblPrEx>
          <w:tblCellMar>
            <w:top w:w="0" w:type="dxa"/>
            <w:bottom w:w="0" w:type="dxa"/>
          </w:tblCellMar>
        </w:tblPrEx>
        <w:trPr>
          <w:cantSplit/>
          <w:jc w:val="center"/>
        </w:trPr>
        <w:tc>
          <w:tcPr>
            <w:tcW w:w="920" w:type="dxa"/>
          </w:tcPr>
          <w:p w14:paraId="4A711709" w14:textId="77777777" w:rsidR="00711444" w:rsidRPr="004D0DAA" w:rsidRDefault="00711444" w:rsidP="00AA2A4C">
            <w:pPr>
              <w:pStyle w:val="TAC"/>
              <w:rPr>
                <w:lang w:eastAsia="en-US"/>
              </w:rPr>
            </w:pPr>
            <w:r w:rsidRPr="004D0DAA">
              <w:rPr>
                <w:lang w:eastAsia="en-US"/>
              </w:rPr>
              <w:t>1 0 0 0 1</w:t>
            </w:r>
          </w:p>
        </w:tc>
        <w:tc>
          <w:tcPr>
            <w:tcW w:w="2610" w:type="dxa"/>
          </w:tcPr>
          <w:p w14:paraId="6F8DA3C3" w14:textId="77777777" w:rsidR="00711444" w:rsidRPr="004D0DAA" w:rsidRDefault="00711444" w:rsidP="00AA2A4C">
            <w:pPr>
              <w:pStyle w:val="TAL"/>
              <w:rPr>
                <w:lang w:eastAsia="en-US"/>
              </w:rPr>
            </w:pPr>
            <w:r w:rsidRPr="004D0DAA">
              <w:rPr>
                <w:lang w:eastAsia="en-US"/>
              </w:rPr>
              <w:t>500</w:t>
            </w:r>
          </w:p>
        </w:tc>
      </w:tr>
      <w:tr w:rsidR="00711444" w:rsidRPr="004D0DAA" w14:paraId="026C233E" w14:textId="77777777" w:rsidTr="00AA2A4C">
        <w:tblPrEx>
          <w:tblCellMar>
            <w:top w:w="0" w:type="dxa"/>
            <w:bottom w:w="0" w:type="dxa"/>
          </w:tblCellMar>
        </w:tblPrEx>
        <w:trPr>
          <w:cantSplit/>
          <w:jc w:val="center"/>
        </w:trPr>
        <w:tc>
          <w:tcPr>
            <w:tcW w:w="920" w:type="dxa"/>
          </w:tcPr>
          <w:p w14:paraId="7E455755" w14:textId="77777777" w:rsidR="00711444" w:rsidRPr="004D0DAA" w:rsidRDefault="00711444" w:rsidP="00AA2A4C">
            <w:pPr>
              <w:pStyle w:val="TAC"/>
              <w:rPr>
                <w:lang w:eastAsia="en-US"/>
              </w:rPr>
            </w:pPr>
            <w:r w:rsidRPr="004D0DAA">
              <w:rPr>
                <w:lang w:eastAsia="en-US"/>
              </w:rPr>
              <w:t>1 0 0 1 0</w:t>
            </w:r>
          </w:p>
        </w:tc>
        <w:tc>
          <w:tcPr>
            <w:tcW w:w="2610" w:type="dxa"/>
          </w:tcPr>
          <w:p w14:paraId="45344C9E" w14:textId="77777777" w:rsidR="00711444" w:rsidRPr="004D0DAA" w:rsidRDefault="00711444" w:rsidP="00AA2A4C">
            <w:pPr>
              <w:pStyle w:val="TAL"/>
              <w:rPr>
                <w:lang w:eastAsia="en-US"/>
              </w:rPr>
            </w:pPr>
            <w:r w:rsidRPr="004D0DAA">
              <w:rPr>
                <w:lang w:eastAsia="en-US"/>
              </w:rPr>
              <w:t>600</w:t>
            </w:r>
          </w:p>
        </w:tc>
      </w:tr>
      <w:tr w:rsidR="00711444" w:rsidRPr="004D0DAA" w14:paraId="4518AAC9" w14:textId="77777777" w:rsidTr="00AA2A4C">
        <w:tblPrEx>
          <w:tblCellMar>
            <w:top w:w="0" w:type="dxa"/>
            <w:bottom w:w="0" w:type="dxa"/>
          </w:tblCellMar>
        </w:tblPrEx>
        <w:trPr>
          <w:cantSplit/>
          <w:jc w:val="center"/>
        </w:trPr>
        <w:tc>
          <w:tcPr>
            <w:tcW w:w="920" w:type="dxa"/>
          </w:tcPr>
          <w:p w14:paraId="0990ACD6" w14:textId="77777777" w:rsidR="00711444" w:rsidRPr="004D0DAA" w:rsidRDefault="00711444" w:rsidP="00AA2A4C">
            <w:pPr>
              <w:pStyle w:val="TAC"/>
              <w:rPr>
                <w:lang w:eastAsia="en-US"/>
              </w:rPr>
            </w:pPr>
            <w:r w:rsidRPr="004D0DAA">
              <w:rPr>
                <w:lang w:eastAsia="en-US"/>
              </w:rPr>
              <w:t>1 0 0 1 1</w:t>
            </w:r>
          </w:p>
        </w:tc>
        <w:tc>
          <w:tcPr>
            <w:tcW w:w="2610" w:type="dxa"/>
          </w:tcPr>
          <w:p w14:paraId="0E4340C6" w14:textId="77777777" w:rsidR="00711444" w:rsidRPr="004D0DAA" w:rsidRDefault="00711444" w:rsidP="00AA2A4C">
            <w:pPr>
              <w:pStyle w:val="TAL"/>
              <w:rPr>
                <w:lang w:eastAsia="en-US"/>
              </w:rPr>
            </w:pPr>
            <w:r w:rsidRPr="004D0DAA">
              <w:rPr>
                <w:lang w:eastAsia="en-US"/>
              </w:rPr>
              <w:t>700</w:t>
            </w:r>
          </w:p>
        </w:tc>
      </w:tr>
      <w:tr w:rsidR="00711444" w:rsidRPr="004D0DAA" w14:paraId="6199EA99" w14:textId="77777777" w:rsidTr="00AA2A4C">
        <w:tblPrEx>
          <w:tblCellMar>
            <w:top w:w="0" w:type="dxa"/>
            <w:bottom w:w="0" w:type="dxa"/>
          </w:tblCellMar>
        </w:tblPrEx>
        <w:trPr>
          <w:cantSplit/>
          <w:jc w:val="center"/>
        </w:trPr>
        <w:tc>
          <w:tcPr>
            <w:tcW w:w="920" w:type="dxa"/>
          </w:tcPr>
          <w:p w14:paraId="5E5CBAD2" w14:textId="77777777" w:rsidR="00711444" w:rsidRPr="004D0DAA" w:rsidRDefault="00711444" w:rsidP="00AA2A4C">
            <w:pPr>
              <w:pStyle w:val="TAC"/>
              <w:rPr>
                <w:lang w:eastAsia="en-US"/>
              </w:rPr>
            </w:pPr>
            <w:r w:rsidRPr="004D0DAA">
              <w:rPr>
                <w:lang w:eastAsia="en-US"/>
              </w:rPr>
              <w:t>1 0 1 0 0</w:t>
            </w:r>
          </w:p>
        </w:tc>
        <w:tc>
          <w:tcPr>
            <w:tcW w:w="2610" w:type="dxa"/>
          </w:tcPr>
          <w:p w14:paraId="2677EBB3" w14:textId="77777777" w:rsidR="00711444" w:rsidRPr="004D0DAA" w:rsidRDefault="00711444" w:rsidP="00AA2A4C">
            <w:pPr>
              <w:pStyle w:val="TAL"/>
              <w:rPr>
                <w:lang w:eastAsia="en-US"/>
              </w:rPr>
            </w:pPr>
            <w:r w:rsidRPr="004D0DAA">
              <w:rPr>
                <w:lang w:eastAsia="en-US"/>
              </w:rPr>
              <w:t>800</w:t>
            </w:r>
          </w:p>
        </w:tc>
      </w:tr>
      <w:tr w:rsidR="00711444" w:rsidRPr="004D0DAA" w14:paraId="0F13CCE9" w14:textId="77777777" w:rsidTr="00AA2A4C">
        <w:tblPrEx>
          <w:tblCellMar>
            <w:top w:w="0" w:type="dxa"/>
            <w:bottom w:w="0" w:type="dxa"/>
          </w:tblCellMar>
        </w:tblPrEx>
        <w:trPr>
          <w:cantSplit/>
          <w:jc w:val="center"/>
        </w:trPr>
        <w:tc>
          <w:tcPr>
            <w:tcW w:w="920" w:type="dxa"/>
          </w:tcPr>
          <w:p w14:paraId="68C9CEBD" w14:textId="77777777" w:rsidR="00711444" w:rsidRPr="004D0DAA" w:rsidRDefault="00711444" w:rsidP="00AA2A4C">
            <w:pPr>
              <w:pStyle w:val="TAC"/>
              <w:rPr>
                <w:lang w:eastAsia="en-US"/>
              </w:rPr>
            </w:pPr>
            <w:r w:rsidRPr="004D0DAA">
              <w:rPr>
                <w:lang w:eastAsia="en-US"/>
              </w:rPr>
              <w:t>1 0 1 0 1</w:t>
            </w:r>
          </w:p>
        </w:tc>
        <w:tc>
          <w:tcPr>
            <w:tcW w:w="2610" w:type="dxa"/>
          </w:tcPr>
          <w:p w14:paraId="210D1CBA" w14:textId="77777777" w:rsidR="00711444" w:rsidRPr="004D0DAA" w:rsidRDefault="00711444" w:rsidP="00AA2A4C">
            <w:pPr>
              <w:pStyle w:val="TAL"/>
              <w:rPr>
                <w:lang w:eastAsia="en-US"/>
              </w:rPr>
            </w:pPr>
            <w:r w:rsidRPr="004D0DAA">
              <w:rPr>
                <w:lang w:eastAsia="en-US"/>
              </w:rPr>
              <w:t>900</w:t>
            </w:r>
          </w:p>
        </w:tc>
      </w:tr>
      <w:tr w:rsidR="00711444" w:rsidRPr="004D0DAA" w14:paraId="77DB4C58" w14:textId="77777777" w:rsidTr="00AA2A4C">
        <w:tblPrEx>
          <w:tblCellMar>
            <w:top w:w="0" w:type="dxa"/>
            <w:bottom w:w="0" w:type="dxa"/>
          </w:tblCellMar>
        </w:tblPrEx>
        <w:trPr>
          <w:cantSplit/>
          <w:jc w:val="center"/>
        </w:trPr>
        <w:tc>
          <w:tcPr>
            <w:tcW w:w="920" w:type="dxa"/>
          </w:tcPr>
          <w:p w14:paraId="05A8C91C" w14:textId="77777777" w:rsidR="00711444" w:rsidRPr="004D0DAA" w:rsidRDefault="00711444" w:rsidP="00AA2A4C">
            <w:pPr>
              <w:pStyle w:val="TAC"/>
              <w:rPr>
                <w:lang w:eastAsia="en-US"/>
              </w:rPr>
            </w:pPr>
            <w:r w:rsidRPr="004D0DAA">
              <w:rPr>
                <w:lang w:eastAsia="en-US"/>
              </w:rPr>
              <w:t>1 0 1 1 0</w:t>
            </w:r>
          </w:p>
        </w:tc>
        <w:tc>
          <w:tcPr>
            <w:tcW w:w="2610" w:type="dxa"/>
          </w:tcPr>
          <w:p w14:paraId="3737EF12" w14:textId="77777777" w:rsidR="00711444" w:rsidRPr="004D0DAA" w:rsidRDefault="00711444" w:rsidP="00AA2A4C">
            <w:pPr>
              <w:pStyle w:val="TAL"/>
              <w:rPr>
                <w:lang w:eastAsia="en-US"/>
              </w:rPr>
            </w:pPr>
            <w:r w:rsidRPr="004D0DAA">
              <w:rPr>
                <w:lang w:eastAsia="en-US"/>
              </w:rPr>
              <w:t>1000</w:t>
            </w:r>
          </w:p>
        </w:tc>
      </w:tr>
      <w:tr w:rsidR="00711444" w:rsidRPr="004D0DAA" w14:paraId="73354CFD" w14:textId="77777777" w:rsidTr="00AA2A4C">
        <w:tblPrEx>
          <w:tblCellMar>
            <w:top w:w="0" w:type="dxa"/>
            <w:bottom w:w="0" w:type="dxa"/>
          </w:tblCellMar>
        </w:tblPrEx>
        <w:trPr>
          <w:cantSplit/>
          <w:jc w:val="center"/>
        </w:trPr>
        <w:tc>
          <w:tcPr>
            <w:tcW w:w="920" w:type="dxa"/>
          </w:tcPr>
          <w:p w14:paraId="330CBEC3" w14:textId="77777777" w:rsidR="00711444" w:rsidRPr="004D0DAA" w:rsidRDefault="00711444" w:rsidP="00AA2A4C">
            <w:pPr>
              <w:pStyle w:val="TAC"/>
              <w:rPr>
                <w:lang w:eastAsia="en-US"/>
              </w:rPr>
            </w:pPr>
            <w:r w:rsidRPr="004D0DAA">
              <w:rPr>
                <w:lang w:eastAsia="en-US"/>
              </w:rPr>
              <w:t>1 0 1 1 1</w:t>
            </w:r>
          </w:p>
        </w:tc>
        <w:tc>
          <w:tcPr>
            <w:tcW w:w="2610" w:type="dxa"/>
          </w:tcPr>
          <w:p w14:paraId="0AFEFCCF" w14:textId="77777777" w:rsidR="00711444" w:rsidRPr="004D0DAA" w:rsidRDefault="00711444" w:rsidP="00AA2A4C">
            <w:pPr>
              <w:pStyle w:val="TAL"/>
              <w:rPr>
                <w:lang w:eastAsia="en-US"/>
              </w:rPr>
            </w:pPr>
            <w:r w:rsidRPr="004D0DAA">
              <w:rPr>
                <w:lang w:eastAsia="en-US"/>
              </w:rPr>
              <w:t>1500</w:t>
            </w:r>
          </w:p>
        </w:tc>
      </w:tr>
      <w:tr w:rsidR="00711444" w:rsidRPr="004D0DAA" w14:paraId="588F615B" w14:textId="77777777" w:rsidTr="00AA2A4C">
        <w:tblPrEx>
          <w:tblCellMar>
            <w:top w:w="0" w:type="dxa"/>
            <w:bottom w:w="0" w:type="dxa"/>
          </w:tblCellMar>
        </w:tblPrEx>
        <w:trPr>
          <w:cantSplit/>
          <w:jc w:val="center"/>
        </w:trPr>
        <w:tc>
          <w:tcPr>
            <w:tcW w:w="920" w:type="dxa"/>
          </w:tcPr>
          <w:p w14:paraId="5ED7842A" w14:textId="77777777" w:rsidR="00711444" w:rsidRPr="004D0DAA" w:rsidRDefault="00711444" w:rsidP="00AA2A4C">
            <w:pPr>
              <w:pStyle w:val="TAC"/>
              <w:rPr>
                <w:lang w:eastAsia="en-US"/>
              </w:rPr>
            </w:pPr>
            <w:r w:rsidRPr="004D0DAA">
              <w:rPr>
                <w:lang w:eastAsia="en-US"/>
              </w:rPr>
              <w:t>1 1 0 0 0</w:t>
            </w:r>
          </w:p>
        </w:tc>
        <w:tc>
          <w:tcPr>
            <w:tcW w:w="2610" w:type="dxa"/>
          </w:tcPr>
          <w:p w14:paraId="0CF61BA6" w14:textId="77777777" w:rsidR="00711444" w:rsidRPr="004D0DAA" w:rsidRDefault="00711444" w:rsidP="00AA2A4C">
            <w:pPr>
              <w:pStyle w:val="TAL"/>
              <w:rPr>
                <w:lang w:eastAsia="en-US"/>
              </w:rPr>
            </w:pPr>
            <w:r w:rsidRPr="004D0DAA">
              <w:rPr>
                <w:lang w:eastAsia="en-US"/>
              </w:rPr>
              <w:t>2000</w:t>
            </w:r>
          </w:p>
        </w:tc>
      </w:tr>
      <w:tr w:rsidR="00711444" w:rsidRPr="004D0DAA" w14:paraId="225475A8" w14:textId="77777777" w:rsidTr="00AA2A4C">
        <w:tblPrEx>
          <w:tblCellMar>
            <w:top w:w="0" w:type="dxa"/>
            <w:bottom w:w="0" w:type="dxa"/>
          </w:tblCellMar>
        </w:tblPrEx>
        <w:trPr>
          <w:cantSplit/>
          <w:jc w:val="center"/>
        </w:trPr>
        <w:tc>
          <w:tcPr>
            <w:tcW w:w="920" w:type="dxa"/>
          </w:tcPr>
          <w:p w14:paraId="0F96C6CA" w14:textId="77777777" w:rsidR="00711444" w:rsidRPr="004D0DAA" w:rsidRDefault="00711444" w:rsidP="00AA2A4C">
            <w:pPr>
              <w:pStyle w:val="TAC"/>
              <w:rPr>
                <w:lang w:eastAsia="en-US"/>
              </w:rPr>
            </w:pPr>
            <w:r w:rsidRPr="004D0DAA">
              <w:rPr>
                <w:lang w:eastAsia="en-US"/>
              </w:rPr>
              <w:t>1 1 0 0 1</w:t>
            </w:r>
          </w:p>
        </w:tc>
        <w:tc>
          <w:tcPr>
            <w:tcW w:w="2610" w:type="dxa"/>
          </w:tcPr>
          <w:p w14:paraId="2654E7FC" w14:textId="77777777" w:rsidR="00711444" w:rsidRPr="004D0DAA" w:rsidRDefault="00711444" w:rsidP="00AA2A4C">
            <w:pPr>
              <w:pStyle w:val="TAL"/>
              <w:rPr>
                <w:lang w:eastAsia="en-US"/>
              </w:rPr>
            </w:pPr>
            <w:r w:rsidRPr="004D0DAA">
              <w:rPr>
                <w:lang w:eastAsia="en-US"/>
              </w:rPr>
              <w:t>2500</w:t>
            </w:r>
          </w:p>
        </w:tc>
      </w:tr>
      <w:tr w:rsidR="00711444" w:rsidRPr="004D0DAA" w14:paraId="6173EAD7" w14:textId="77777777" w:rsidTr="00AA2A4C">
        <w:tblPrEx>
          <w:tblCellMar>
            <w:top w:w="0" w:type="dxa"/>
            <w:bottom w:w="0" w:type="dxa"/>
          </w:tblCellMar>
        </w:tblPrEx>
        <w:trPr>
          <w:cantSplit/>
          <w:jc w:val="center"/>
        </w:trPr>
        <w:tc>
          <w:tcPr>
            <w:tcW w:w="920" w:type="dxa"/>
          </w:tcPr>
          <w:p w14:paraId="1D326FF8" w14:textId="77777777" w:rsidR="00711444" w:rsidRPr="004D0DAA" w:rsidRDefault="00711444" w:rsidP="00AA2A4C">
            <w:pPr>
              <w:pStyle w:val="TAC"/>
              <w:rPr>
                <w:lang w:eastAsia="en-US"/>
              </w:rPr>
            </w:pPr>
            <w:r w:rsidRPr="004D0DAA">
              <w:rPr>
                <w:lang w:eastAsia="en-US"/>
              </w:rPr>
              <w:t>1 1 0 1 0</w:t>
            </w:r>
          </w:p>
        </w:tc>
        <w:tc>
          <w:tcPr>
            <w:tcW w:w="2610" w:type="dxa"/>
          </w:tcPr>
          <w:p w14:paraId="32FE50F1" w14:textId="77777777" w:rsidR="00711444" w:rsidRPr="004D0DAA" w:rsidRDefault="00711444" w:rsidP="00AA2A4C">
            <w:pPr>
              <w:pStyle w:val="TAL"/>
              <w:rPr>
                <w:lang w:eastAsia="en-US"/>
              </w:rPr>
            </w:pPr>
            <w:r w:rsidRPr="004D0DAA">
              <w:rPr>
                <w:lang w:eastAsia="en-US"/>
              </w:rPr>
              <w:t>3000</w:t>
            </w:r>
          </w:p>
        </w:tc>
      </w:tr>
      <w:tr w:rsidR="00711444" w:rsidRPr="004D0DAA" w14:paraId="4210234D" w14:textId="77777777" w:rsidTr="00AA2A4C">
        <w:tblPrEx>
          <w:tblCellMar>
            <w:top w:w="0" w:type="dxa"/>
            <w:bottom w:w="0" w:type="dxa"/>
          </w:tblCellMar>
        </w:tblPrEx>
        <w:trPr>
          <w:cantSplit/>
          <w:jc w:val="center"/>
        </w:trPr>
        <w:tc>
          <w:tcPr>
            <w:tcW w:w="920" w:type="dxa"/>
          </w:tcPr>
          <w:p w14:paraId="37052A46" w14:textId="77777777" w:rsidR="00711444" w:rsidRPr="004D0DAA" w:rsidRDefault="00711444" w:rsidP="00AA2A4C">
            <w:pPr>
              <w:pStyle w:val="TAC"/>
              <w:rPr>
                <w:lang w:eastAsia="en-US"/>
              </w:rPr>
            </w:pPr>
            <w:r w:rsidRPr="004D0DAA">
              <w:rPr>
                <w:lang w:eastAsia="en-US"/>
              </w:rPr>
              <w:t>1 1 0 1 1</w:t>
            </w:r>
          </w:p>
        </w:tc>
        <w:tc>
          <w:tcPr>
            <w:tcW w:w="2610" w:type="dxa"/>
          </w:tcPr>
          <w:p w14:paraId="5C33960C" w14:textId="77777777" w:rsidR="00711444" w:rsidRPr="004D0DAA" w:rsidRDefault="00711444" w:rsidP="00AA2A4C">
            <w:pPr>
              <w:pStyle w:val="TAL"/>
              <w:rPr>
                <w:lang w:eastAsia="en-US"/>
              </w:rPr>
            </w:pPr>
            <w:r w:rsidRPr="004D0DAA">
              <w:rPr>
                <w:lang w:eastAsia="en-US"/>
              </w:rPr>
              <w:t>3500</w:t>
            </w:r>
          </w:p>
        </w:tc>
      </w:tr>
      <w:tr w:rsidR="00711444" w:rsidRPr="004D0DAA" w14:paraId="4F3B062A" w14:textId="77777777" w:rsidTr="00AA2A4C">
        <w:tblPrEx>
          <w:tblCellMar>
            <w:top w:w="0" w:type="dxa"/>
            <w:bottom w:w="0" w:type="dxa"/>
          </w:tblCellMar>
        </w:tblPrEx>
        <w:trPr>
          <w:cantSplit/>
          <w:jc w:val="center"/>
        </w:trPr>
        <w:tc>
          <w:tcPr>
            <w:tcW w:w="920" w:type="dxa"/>
          </w:tcPr>
          <w:p w14:paraId="00270BC1" w14:textId="77777777" w:rsidR="00711444" w:rsidRPr="004D0DAA" w:rsidRDefault="00711444" w:rsidP="00AA2A4C">
            <w:pPr>
              <w:pStyle w:val="TAC"/>
              <w:rPr>
                <w:lang w:eastAsia="en-US"/>
              </w:rPr>
            </w:pPr>
            <w:r w:rsidRPr="004D0DAA">
              <w:rPr>
                <w:lang w:eastAsia="en-US"/>
              </w:rPr>
              <w:t>1 1 1 0 0</w:t>
            </w:r>
          </w:p>
        </w:tc>
        <w:tc>
          <w:tcPr>
            <w:tcW w:w="2610" w:type="dxa"/>
          </w:tcPr>
          <w:p w14:paraId="74FAA93A" w14:textId="77777777" w:rsidR="00711444" w:rsidRPr="004D0DAA" w:rsidRDefault="00711444" w:rsidP="00AA2A4C">
            <w:pPr>
              <w:pStyle w:val="TAL"/>
              <w:rPr>
                <w:lang w:eastAsia="en-US"/>
              </w:rPr>
            </w:pPr>
            <w:r w:rsidRPr="004D0DAA">
              <w:rPr>
                <w:lang w:eastAsia="en-US"/>
              </w:rPr>
              <w:t>4000</w:t>
            </w:r>
          </w:p>
        </w:tc>
      </w:tr>
      <w:tr w:rsidR="00711444" w:rsidRPr="004D0DAA" w14:paraId="1F256A62" w14:textId="77777777" w:rsidTr="00AA2A4C">
        <w:tblPrEx>
          <w:tblCellMar>
            <w:top w:w="0" w:type="dxa"/>
            <w:bottom w:w="0" w:type="dxa"/>
          </w:tblCellMar>
        </w:tblPrEx>
        <w:trPr>
          <w:cantSplit/>
          <w:jc w:val="center"/>
        </w:trPr>
        <w:tc>
          <w:tcPr>
            <w:tcW w:w="920" w:type="dxa"/>
          </w:tcPr>
          <w:p w14:paraId="2668574B" w14:textId="77777777" w:rsidR="00711444" w:rsidRPr="004D0DAA" w:rsidRDefault="00711444" w:rsidP="00AA2A4C">
            <w:pPr>
              <w:pStyle w:val="TAC"/>
              <w:rPr>
                <w:lang w:eastAsia="en-US"/>
              </w:rPr>
            </w:pPr>
            <w:r w:rsidRPr="004D0DAA">
              <w:rPr>
                <w:lang w:eastAsia="en-US"/>
              </w:rPr>
              <w:t>1 1 1 0 1</w:t>
            </w:r>
          </w:p>
        </w:tc>
        <w:tc>
          <w:tcPr>
            <w:tcW w:w="2610" w:type="dxa"/>
          </w:tcPr>
          <w:p w14:paraId="0BE9B084" w14:textId="77777777" w:rsidR="00711444" w:rsidRPr="004D0DAA" w:rsidRDefault="00711444" w:rsidP="00AA2A4C">
            <w:pPr>
              <w:pStyle w:val="TAL"/>
              <w:rPr>
                <w:lang w:eastAsia="en-US"/>
              </w:rPr>
            </w:pPr>
            <w:r w:rsidRPr="004D0DAA">
              <w:rPr>
                <w:lang w:eastAsia="en-US"/>
              </w:rPr>
              <w:t>4500</w:t>
            </w:r>
          </w:p>
        </w:tc>
      </w:tr>
      <w:tr w:rsidR="00711444" w:rsidRPr="004D0DAA" w14:paraId="3353E1FC" w14:textId="77777777" w:rsidTr="00AA2A4C">
        <w:tblPrEx>
          <w:tblCellMar>
            <w:top w:w="0" w:type="dxa"/>
            <w:bottom w:w="0" w:type="dxa"/>
          </w:tblCellMar>
        </w:tblPrEx>
        <w:trPr>
          <w:cantSplit/>
          <w:jc w:val="center"/>
        </w:trPr>
        <w:tc>
          <w:tcPr>
            <w:tcW w:w="920" w:type="dxa"/>
          </w:tcPr>
          <w:p w14:paraId="796EEE71" w14:textId="77777777" w:rsidR="00711444" w:rsidRPr="004D0DAA" w:rsidRDefault="00711444" w:rsidP="00AA2A4C">
            <w:pPr>
              <w:pStyle w:val="TAC"/>
              <w:rPr>
                <w:lang w:eastAsia="en-US"/>
              </w:rPr>
            </w:pPr>
            <w:r w:rsidRPr="004D0DAA">
              <w:rPr>
                <w:lang w:eastAsia="en-US"/>
              </w:rPr>
              <w:t>1 1 1 1 0</w:t>
            </w:r>
          </w:p>
        </w:tc>
        <w:tc>
          <w:tcPr>
            <w:tcW w:w="2610" w:type="dxa"/>
          </w:tcPr>
          <w:p w14:paraId="2FBE51C6" w14:textId="77777777" w:rsidR="00711444" w:rsidRPr="004D0DAA" w:rsidRDefault="00711444" w:rsidP="00AA2A4C">
            <w:pPr>
              <w:pStyle w:val="TAL"/>
              <w:rPr>
                <w:lang w:eastAsia="en-US"/>
              </w:rPr>
            </w:pPr>
            <w:r w:rsidRPr="004D0DAA">
              <w:rPr>
                <w:lang w:eastAsia="en-US"/>
              </w:rPr>
              <w:t>5000</w:t>
            </w:r>
          </w:p>
        </w:tc>
      </w:tr>
      <w:tr w:rsidR="00711444" w:rsidRPr="004D0DAA" w14:paraId="5E13B407" w14:textId="77777777" w:rsidTr="00AA2A4C">
        <w:tblPrEx>
          <w:tblCellMar>
            <w:top w:w="0" w:type="dxa"/>
            <w:bottom w:w="0" w:type="dxa"/>
          </w:tblCellMar>
        </w:tblPrEx>
        <w:trPr>
          <w:cantSplit/>
          <w:jc w:val="center"/>
        </w:trPr>
        <w:tc>
          <w:tcPr>
            <w:tcW w:w="920" w:type="dxa"/>
          </w:tcPr>
          <w:p w14:paraId="34115E35" w14:textId="77777777" w:rsidR="00711444" w:rsidRPr="004D0DAA" w:rsidRDefault="00711444" w:rsidP="00AA2A4C">
            <w:pPr>
              <w:pStyle w:val="TAC"/>
              <w:rPr>
                <w:lang w:eastAsia="en-US"/>
              </w:rPr>
            </w:pPr>
            <w:r w:rsidRPr="004D0DAA">
              <w:rPr>
                <w:lang w:eastAsia="en-US"/>
              </w:rPr>
              <w:t>1 1 1 1 1</w:t>
            </w:r>
          </w:p>
        </w:tc>
        <w:tc>
          <w:tcPr>
            <w:tcW w:w="2610" w:type="dxa"/>
          </w:tcPr>
          <w:p w14:paraId="1957F30B" w14:textId="77777777" w:rsidR="00711444" w:rsidRPr="004D0DAA" w:rsidRDefault="00711444" w:rsidP="00AA2A4C">
            <w:pPr>
              <w:pStyle w:val="TAL"/>
              <w:rPr>
                <w:lang w:eastAsia="en-US"/>
              </w:rPr>
            </w:pPr>
            <w:r w:rsidRPr="004D0DAA">
              <w:rPr>
                <w:lang w:eastAsia="en-US"/>
              </w:rPr>
              <w:t>Reserved</w:t>
            </w:r>
          </w:p>
        </w:tc>
      </w:tr>
    </w:tbl>
    <w:p w14:paraId="34EE51E0" w14:textId="77777777" w:rsidR="00711444" w:rsidRPr="004D0DAA" w:rsidRDefault="00711444" w:rsidP="00711444">
      <w:pPr>
        <w:pStyle w:val="Heading2"/>
      </w:pPr>
      <w:bookmarkStart w:id="832" w:name="_Toc516670008"/>
      <w:r w:rsidRPr="004D0DAA">
        <w:t>12.45b</w:t>
      </w:r>
      <w:r w:rsidRPr="004D0DAA">
        <w:tab/>
        <w:t>RRC Container</w:t>
      </w:r>
      <w:bookmarkEnd w:id="832"/>
    </w:p>
    <w:p w14:paraId="35C7D657" w14:textId="77777777" w:rsidR="00711444" w:rsidRPr="004D0DAA" w:rsidRDefault="00711444" w:rsidP="00711444">
      <w:r w:rsidRPr="004D0DAA">
        <w:t xml:space="preserve">The RRC Container is used to contain an RRC message (e.g. HANDOVER TO UTRAN COMMAND or </w:t>
      </w:r>
      <w:r w:rsidRPr="004D0DAA">
        <w:rPr>
          <w:i/>
          <w:iCs/>
        </w:rPr>
        <w:t>DL-DCCH-Message</w:t>
      </w:r>
      <w:r w:rsidRPr="004D0DAA">
        <w:t xml:space="preserve"> including a </w:t>
      </w:r>
      <w:r w:rsidRPr="004D0DAA">
        <w:rPr>
          <w:i/>
        </w:rPr>
        <w:t>RRCConnectionReconfiguration</w:t>
      </w:r>
      <w:r w:rsidRPr="004D0DAA">
        <w:t>) as defined in 3GPP TS 25.331[20] or 3GPP TS 36.331[45].</w:t>
      </w:r>
    </w:p>
    <w:p w14:paraId="4E76AAE3" w14:textId="77777777" w:rsidR="00711444" w:rsidRPr="004D0DAA" w:rsidRDefault="00711444" w:rsidP="00711444">
      <w:pPr>
        <w:pStyle w:val="TH"/>
      </w:pPr>
      <w:r w:rsidRPr="004D0DAA">
        <w:t>Table 12.45b.1: RRC Container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192D39F" w14:textId="77777777" w:rsidTr="00AA2A4C">
        <w:tblPrEx>
          <w:tblCellMar>
            <w:top w:w="0" w:type="dxa"/>
            <w:bottom w:w="0" w:type="dxa"/>
          </w:tblCellMar>
        </w:tblPrEx>
        <w:trPr>
          <w:cantSplit/>
        </w:trPr>
        <w:tc>
          <w:tcPr>
            <w:tcW w:w="9848" w:type="dxa"/>
          </w:tcPr>
          <w:p w14:paraId="398693CB" w14:textId="77777777" w:rsidR="00711444" w:rsidRPr="004D0DAA" w:rsidRDefault="00711444" w:rsidP="00AA2A4C">
            <w:pPr>
              <w:pStyle w:val="TAL"/>
              <w:rPr>
                <w:lang w:eastAsia="en-US"/>
              </w:rPr>
            </w:pPr>
            <w:r w:rsidRPr="004D0DAA">
              <w:rPr>
                <w:lang w:eastAsia="en-US"/>
              </w:rPr>
              <w:t>&lt; RRC Container IE &gt; ::=</w:t>
            </w:r>
          </w:p>
          <w:p w14:paraId="7AE0979A" w14:textId="77777777" w:rsidR="00711444" w:rsidRPr="004D0DAA" w:rsidRDefault="00711444" w:rsidP="00AA2A4C">
            <w:pPr>
              <w:pStyle w:val="TAL"/>
              <w:rPr>
                <w:lang w:eastAsia="en-US"/>
              </w:rPr>
            </w:pPr>
            <w:r w:rsidRPr="004D0DAA">
              <w:rPr>
                <w:lang w:eastAsia="en-US"/>
              </w:rPr>
              <w:tab/>
              <w:t>&lt; RRC_CONTAINER_LENGTH : bit (8) &gt;</w:t>
            </w:r>
          </w:p>
          <w:p w14:paraId="1524EC61" w14:textId="77777777" w:rsidR="00711444" w:rsidRPr="004D0DAA" w:rsidRDefault="00711444" w:rsidP="00AA2A4C">
            <w:pPr>
              <w:pStyle w:val="TAL"/>
              <w:rPr>
                <w:lang w:eastAsia="en-US"/>
              </w:rPr>
            </w:pPr>
            <w:r w:rsidRPr="004D0DAA">
              <w:rPr>
                <w:lang w:eastAsia="en-US"/>
              </w:rPr>
              <w:tab/>
              <w:t>&lt; RRC_CONTAINER_DATA : octet (val(RRC_CONTAINER_LENGTH)) &gt;</w:t>
            </w:r>
          </w:p>
          <w:p w14:paraId="448CFB69" w14:textId="77777777" w:rsidR="00711444" w:rsidRPr="004D0DAA" w:rsidRDefault="00711444" w:rsidP="00AA2A4C">
            <w:pPr>
              <w:pStyle w:val="TAL"/>
              <w:rPr>
                <w:lang w:eastAsia="en-US"/>
              </w:rPr>
            </w:pPr>
            <w:r w:rsidRPr="004D0DAA">
              <w:rPr>
                <w:lang w:eastAsia="en-US"/>
              </w:rPr>
              <w:tab/>
              <w:t>&lt; padding bits &gt; ;</w:t>
            </w:r>
          </w:p>
          <w:p w14:paraId="6F95D17E" w14:textId="77777777" w:rsidR="00711444" w:rsidRPr="004D0DAA" w:rsidRDefault="00711444" w:rsidP="00AA2A4C">
            <w:pPr>
              <w:pStyle w:val="TAL"/>
              <w:rPr>
                <w:lang w:eastAsia="en-US"/>
              </w:rPr>
            </w:pPr>
          </w:p>
        </w:tc>
      </w:tr>
    </w:tbl>
    <w:p w14:paraId="58CD568C" w14:textId="77777777" w:rsidR="00711444" w:rsidRPr="004D0DAA" w:rsidRDefault="00711444" w:rsidP="00711444"/>
    <w:p w14:paraId="587E2641" w14:textId="77777777" w:rsidR="00711444" w:rsidRPr="004D0DAA" w:rsidRDefault="00711444" w:rsidP="00711444">
      <w:pPr>
        <w:pStyle w:val="TH"/>
      </w:pPr>
      <w:r w:rsidRPr="004D0DAA">
        <w:t>Table 12.45b.2: RRC Container information element details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0D9F7B3" w14:textId="77777777" w:rsidTr="00AA2A4C">
        <w:tblPrEx>
          <w:tblCellMar>
            <w:top w:w="0" w:type="dxa"/>
            <w:bottom w:w="0" w:type="dxa"/>
          </w:tblCellMar>
        </w:tblPrEx>
        <w:trPr>
          <w:cantSplit/>
        </w:trPr>
        <w:tc>
          <w:tcPr>
            <w:tcW w:w="9848" w:type="dxa"/>
          </w:tcPr>
          <w:p w14:paraId="7A8E6CF1" w14:textId="77777777" w:rsidR="00711444" w:rsidRPr="004D0DAA" w:rsidRDefault="00711444" w:rsidP="00AA2A4C">
            <w:r w:rsidRPr="004D0DAA">
              <w:rPr>
                <w:b/>
              </w:rPr>
              <w:t>RRC_CONTAINER_LENGTH</w:t>
            </w:r>
            <w:r w:rsidRPr="004D0DAA">
              <w:t xml:space="preserve"> (8 bit field)</w:t>
            </w:r>
            <w:r w:rsidRPr="004D0DAA">
              <w:br/>
              <w:t>This field indicates the number of octets in the RRC_CONTAINER_DATA.</w:t>
            </w:r>
          </w:p>
          <w:p w14:paraId="44F657E1" w14:textId="77777777" w:rsidR="00711444" w:rsidRPr="004D0DAA" w:rsidRDefault="00711444" w:rsidP="00AA2A4C">
            <w:pPr>
              <w:pStyle w:val="FP"/>
            </w:pPr>
            <w:r w:rsidRPr="004D0DAA">
              <w:t>bit</w:t>
            </w:r>
          </w:p>
          <w:p w14:paraId="3996362B" w14:textId="77777777" w:rsidR="00711444" w:rsidRPr="004D0DAA" w:rsidRDefault="00711444" w:rsidP="00AA2A4C">
            <w:pPr>
              <w:pStyle w:val="FP"/>
            </w:pPr>
            <w:r w:rsidRPr="004D0DAA">
              <w:t>8 7 6 5 4 3 2 1</w:t>
            </w:r>
          </w:p>
          <w:p w14:paraId="52A8EAE2" w14:textId="77777777" w:rsidR="00711444" w:rsidRPr="004D0DAA" w:rsidRDefault="00711444" w:rsidP="00AA2A4C">
            <w:pPr>
              <w:pStyle w:val="FP"/>
            </w:pPr>
            <w:r w:rsidRPr="004D0DAA">
              <w:t>0 0 0 0 0 0 0 0</w:t>
            </w:r>
            <w:r w:rsidRPr="004D0DAA">
              <w:tab/>
              <w:t>reserved for future use;</w:t>
            </w:r>
          </w:p>
          <w:p w14:paraId="3547C315" w14:textId="77777777" w:rsidR="00711444" w:rsidRPr="004D0DAA" w:rsidRDefault="00711444" w:rsidP="00AA2A4C">
            <w:pPr>
              <w:pStyle w:val="FP"/>
            </w:pPr>
            <w:r w:rsidRPr="004D0DAA">
              <w:t>0 0 0 0 0 0 0 1</w:t>
            </w:r>
            <w:r w:rsidRPr="004D0DAA">
              <w:tab/>
              <w:t>RRC_CONTAINER_DATA length = 1 octet;</w:t>
            </w:r>
          </w:p>
          <w:p w14:paraId="1D13D473" w14:textId="77777777" w:rsidR="00711444" w:rsidRPr="004D0DAA" w:rsidRDefault="00711444" w:rsidP="00AA2A4C">
            <w:pPr>
              <w:pStyle w:val="FP"/>
            </w:pPr>
            <w:r w:rsidRPr="004D0DAA">
              <w:t>0 0 0 0 0 0 1 0</w:t>
            </w:r>
            <w:r w:rsidRPr="004D0DAA">
              <w:tab/>
              <w:t>RRC_CONTAINER_DATA length = 2 octets;</w:t>
            </w:r>
          </w:p>
          <w:p w14:paraId="1CC9EEC3" w14:textId="77777777" w:rsidR="00711444" w:rsidRPr="004D0DAA" w:rsidRDefault="00711444" w:rsidP="00AA2A4C">
            <w:pPr>
              <w:pStyle w:val="FP"/>
            </w:pPr>
            <w:r w:rsidRPr="004D0DAA">
              <w:t>….</w:t>
            </w:r>
          </w:p>
          <w:p w14:paraId="09D95E0C" w14:textId="77777777" w:rsidR="00711444" w:rsidRPr="004D0DAA" w:rsidRDefault="00711444" w:rsidP="00AA2A4C">
            <w:pPr>
              <w:pStyle w:val="FP"/>
            </w:pPr>
            <w:r w:rsidRPr="004D0DAA">
              <w:t>1 1 1 1 1 1 1 1</w:t>
            </w:r>
            <w:r w:rsidRPr="004D0DAA">
              <w:tab/>
              <w:t>RRC_CONTAINER_DATA length = 255 octets;</w:t>
            </w:r>
          </w:p>
          <w:p w14:paraId="72F9B677" w14:textId="77777777" w:rsidR="00711444" w:rsidRPr="004D0DAA" w:rsidRDefault="00711444" w:rsidP="00AA2A4C">
            <w:pPr>
              <w:tabs>
                <w:tab w:val="left" w:pos="11520"/>
              </w:tabs>
              <w:spacing w:after="0"/>
              <w:rPr>
                <w:b/>
              </w:rPr>
            </w:pPr>
          </w:p>
        </w:tc>
      </w:tr>
      <w:tr w:rsidR="00711444" w:rsidRPr="004D0DAA" w14:paraId="651B7045" w14:textId="77777777" w:rsidTr="00AA2A4C">
        <w:tblPrEx>
          <w:tblCellMar>
            <w:top w:w="0" w:type="dxa"/>
            <w:bottom w:w="0" w:type="dxa"/>
          </w:tblCellMar>
        </w:tblPrEx>
        <w:trPr>
          <w:cantSplit/>
        </w:trPr>
        <w:tc>
          <w:tcPr>
            <w:tcW w:w="9848" w:type="dxa"/>
          </w:tcPr>
          <w:p w14:paraId="7500939F" w14:textId="77777777" w:rsidR="00711444" w:rsidRPr="004D0DAA" w:rsidRDefault="00711444" w:rsidP="00AA2A4C">
            <w:pPr>
              <w:tabs>
                <w:tab w:val="left" w:pos="11520"/>
              </w:tabs>
              <w:spacing w:after="0"/>
              <w:rPr>
                <w:bCs/>
              </w:rPr>
            </w:pPr>
            <w:r w:rsidRPr="004D0DAA">
              <w:rPr>
                <w:b/>
              </w:rPr>
              <w:lastRenderedPageBreak/>
              <w:t xml:space="preserve">RRC_CONTAINER_DATA </w:t>
            </w:r>
            <w:r w:rsidRPr="004D0DAA">
              <w:rPr>
                <w:bCs/>
              </w:rPr>
              <w:t xml:space="preserve">(N octet field) </w:t>
            </w:r>
          </w:p>
          <w:p w14:paraId="322C35DF" w14:textId="77777777" w:rsidR="00711444" w:rsidRPr="004D0DAA" w:rsidRDefault="00711444" w:rsidP="00AA2A4C">
            <w:r w:rsidRPr="004D0DAA">
              <w:t>This field contains an RRC Container as specified in 3GPP TS 25.331 [20] or as specified in 3GPP TS36.331 [45].</w:t>
            </w:r>
          </w:p>
        </w:tc>
      </w:tr>
    </w:tbl>
    <w:p w14:paraId="68AEF31C" w14:textId="77777777" w:rsidR="00711444" w:rsidRPr="004D0DAA" w:rsidRDefault="00711444" w:rsidP="00711444">
      <w:pPr>
        <w:pStyle w:val="Heading2"/>
        <w:tabs>
          <w:tab w:val="left" w:pos="10170"/>
        </w:tabs>
      </w:pPr>
      <w:bookmarkStart w:id="833" w:name="_Toc516670009"/>
      <w:r w:rsidRPr="004D0DAA">
        <w:t>12.46</w:t>
      </w:r>
      <w:r w:rsidRPr="004D0DAA">
        <w:tab/>
        <w:t>DTM Handover PS Radio Resources</w:t>
      </w:r>
      <w:bookmarkEnd w:id="833"/>
    </w:p>
    <w:p w14:paraId="1AB17688" w14:textId="77777777" w:rsidR="00711444" w:rsidRPr="004D0DAA" w:rsidRDefault="00711444" w:rsidP="00711444">
      <w:pPr>
        <w:tabs>
          <w:tab w:val="left" w:pos="10170"/>
        </w:tabs>
        <w:ind w:right="1"/>
      </w:pPr>
      <w:r w:rsidRPr="004D0DAA">
        <w:t xml:space="preserve">This information element provides the radio resources assigned for PS services in the new cell and is included within the DTM HANDOVER COMMAND message. </w:t>
      </w:r>
    </w:p>
    <w:p w14:paraId="251CEE77" w14:textId="77777777" w:rsidR="00711444" w:rsidRPr="004D0DAA" w:rsidRDefault="00711444" w:rsidP="00711444">
      <w:pPr>
        <w:pStyle w:val="TH"/>
      </w:pPr>
      <w:r w:rsidRPr="004D0DAA">
        <w:lastRenderedPageBreak/>
        <w:t>Table 12.46.1: DTM Handover PS Radio Resources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51AD47E" w14:textId="77777777" w:rsidTr="00AA2A4C">
        <w:tblPrEx>
          <w:tblCellMar>
            <w:top w:w="0" w:type="dxa"/>
            <w:bottom w:w="0" w:type="dxa"/>
          </w:tblCellMar>
        </w:tblPrEx>
        <w:trPr>
          <w:cantSplit/>
        </w:trPr>
        <w:tc>
          <w:tcPr>
            <w:tcW w:w="9848" w:type="dxa"/>
          </w:tcPr>
          <w:p w14:paraId="61F50167" w14:textId="77777777" w:rsidR="00711444" w:rsidRPr="004D0DAA" w:rsidRDefault="00711444" w:rsidP="00AA2A4C">
            <w:pPr>
              <w:pStyle w:val="TAL"/>
              <w:rPr>
                <w:lang w:eastAsia="en-US"/>
              </w:rPr>
            </w:pPr>
            <w:r w:rsidRPr="004D0DAA">
              <w:rPr>
                <w:lang w:eastAsia="en-US"/>
              </w:rPr>
              <w:t>&lt; DTM Handover PS Radio Resources IE &gt; ::=</w:t>
            </w:r>
          </w:p>
          <w:p w14:paraId="0F43B2C6"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szCs w:val="18"/>
                <w:lang w:eastAsia="zh-CN"/>
              </w:rPr>
              <w:t>Cell Identification</w:t>
            </w:r>
            <w:r w:rsidRPr="004D0DAA">
              <w:rPr>
                <w:rFonts w:eastAsia="SimSun" w:cs="Arial"/>
                <w:szCs w:val="18"/>
                <w:lang w:eastAsia="zh-CN"/>
              </w:rPr>
              <w:t xml:space="preserve"> : &lt; Cell Identification IE &gt;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i/>
                <w:iCs/>
                <w:szCs w:val="18"/>
                <w:lang w:eastAsia="zh-CN"/>
              </w:rPr>
              <w:t>-</w:t>
            </w:r>
            <w:r w:rsidRPr="004D0DAA">
              <w:rPr>
                <w:rFonts w:eastAsia="SimSun" w:cs="Arial"/>
                <w:iCs/>
                <w:szCs w:val="18"/>
                <w:lang w:eastAsia="zh-CN"/>
              </w:rPr>
              <w:t xml:space="preserve">-- </w:t>
            </w:r>
            <w:r w:rsidRPr="004D0DAA">
              <w:rPr>
                <w:rFonts w:eastAsia="SimSun" w:cs="Arial"/>
                <w:i/>
                <w:iCs/>
                <w:szCs w:val="18"/>
                <w:lang w:eastAsia="zh-CN"/>
              </w:rPr>
              <w:t>provided by SI/PSI for PS HO</w:t>
            </w:r>
          </w:p>
          <w:p w14:paraId="332E0E0D"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szCs w:val="18"/>
                <w:lang w:eastAsia="zh-CN"/>
              </w:rPr>
              <w:t>MAX_LAPDm</w:t>
            </w:r>
            <w:r w:rsidRPr="004D0DAA">
              <w:rPr>
                <w:rFonts w:eastAsia="SimSun" w:cs="Arial"/>
                <w:szCs w:val="18"/>
                <w:lang w:eastAsia="zh-CN"/>
              </w:rPr>
              <w:t xml:space="preserve"> : bit (3)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iCs/>
                <w:szCs w:val="18"/>
                <w:lang w:eastAsia="zh-CN"/>
              </w:rPr>
              <w:t>needed for DTM in new cell</w:t>
            </w:r>
          </w:p>
          <w:p w14:paraId="08DDE470"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szCs w:val="18"/>
                <w:lang w:eastAsia="zh-CN"/>
              </w:rPr>
              <w:t>GPRS_MS_TXPWR_MAX_CCH</w:t>
            </w:r>
            <w:r w:rsidRPr="004D0DAA">
              <w:rPr>
                <w:rFonts w:eastAsia="SimSun" w:cs="Arial"/>
                <w:szCs w:val="18"/>
                <w:lang w:eastAsia="zh-CN"/>
              </w:rPr>
              <w:t xml:space="preserve"> : bit (5)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iCs/>
                <w:szCs w:val="18"/>
                <w:lang w:eastAsia="zh-CN"/>
              </w:rPr>
              <w:t>needed for DTM in new cell</w:t>
            </w:r>
          </w:p>
          <w:p w14:paraId="43915CC0"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szCs w:val="18"/>
                <w:lang w:eastAsia="zh-CN"/>
              </w:rPr>
              <w:t>GPRS Cell Options</w:t>
            </w:r>
            <w:r w:rsidRPr="004D0DAA">
              <w:rPr>
                <w:rFonts w:eastAsia="SimSun" w:cs="Arial"/>
                <w:szCs w:val="18"/>
                <w:lang w:eastAsia="zh-CN"/>
              </w:rPr>
              <w:t xml:space="preserve"> : &lt; GPRS Cell Options IE &gt;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i/>
                <w:iCs/>
                <w:szCs w:val="18"/>
                <w:lang w:eastAsia="zh-CN"/>
              </w:rPr>
              <w:t>-</w:t>
            </w:r>
            <w:r w:rsidRPr="004D0DAA">
              <w:rPr>
                <w:rFonts w:eastAsia="SimSun" w:cs="Arial"/>
                <w:iCs/>
                <w:szCs w:val="18"/>
                <w:lang w:eastAsia="zh-CN"/>
              </w:rPr>
              <w:t xml:space="preserve">-- </w:t>
            </w:r>
            <w:r w:rsidRPr="004D0DAA">
              <w:rPr>
                <w:rFonts w:eastAsia="SimSun" w:cs="Arial"/>
                <w:i/>
                <w:iCs/>
                <w:szCs w:val="18"/>
                <w:lang w:eastAsia="zh-CN"/>
              </w:rPr>
              <w:t xml:space="preserve">provided by SI/PSI for PS HO </w:t>
            </w:r>
          </w:p>
          <w:p w14:paraId="3AA01734"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szCs w:val="18"/>
                <w:lang w:eastAsia="zh-CN"/>
              </w:rPr>
              <w:t>GPRS Power Control Parameters</w:t>
            </w:r>
            <w:r w:rsidRPr="004D0DAA">
              <w:rPr>
                <w:rFonts w:eastAsia="SimSun" w:cs="Arial"/>
                <w:szCs w:val="18"/>
                <w:lang w:eastAsia="zh-CN"/>
              </w:rPr>
              <w:t xml:space="preserve"> : &lt; GPRS Power Control Parameters IE &gt; &gt;</w:t>
            </w:r>
            <w:r w:rsidRPr="004D0DAA">
              <w:rPr>
                <w:rFonts w:eastAsia="SimSun" w:cs="Arial"/>
                <w:szCs w:val="18"/>
                <w:lang w:eastAsia="zh-CN"/>
              </w:rPr>
              <w:tab/>
            </w:r>
            <w:r w:rsidRPr="004D0DAA">
              <w:rPr>
                <w:rFonts w:eastAsia="SimSun" w:cs="Arial"/>
                <w:i/>
                <w:iCs/>
                <w:szCs w:val="18"/>
                <w:lang w:eastAsia="zh-CN"/>
              </w:rPr>
              <w:t>-</w:t>
            </w:r>
            <w:r w:rsidRPr="004D0DAA">
              <w:rPr>
                <w:rFonts w:eastAsia="SimSun" w:cs="Arial"/>
                <w:iCs/>
                <w:szCs w:val="18"/>
                <w:lang w:eastAsia="zh-CN"/>
              </w:rPr>
              <w:t xml:space="preserve">-- </w:t>
            </w:r>
            <w:r w:rsidRPr="004D0DAA">
              <w:rPr>
                <w:rFonts w:eastAsia="SimSun" w:cs="Arial"/>
                <w:i/>
                <w:iCs/>
                <w:szCs w:val="18"/>
                <w:lang w:eastAsia="zh-CN"/>
              </w:rPr>
              <w:t>provided by SI/PSIfor PS HO</w:t>
            </w:r>
          </w:p>
          <w:p w14:paraId="2AA6FD7C" w14:textId="77777777" w:rsidR="00711444" w:rsidRPr="004D0DAA" w:rsidRDefault="00711444" w:rsidP="00AA2A4C">
            <w:pPr>
              <w:pStyle w:val="TAL"/>
              <w:rPr>
                <w:i/>
                <w:iCs/>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only used in uplink</w:t>
            </w:r>
          </w:p>
          <w:p w14:paraId="63573E7C" w14:textId="77777777" w:rsidR="00711444" w:rsidRPr="004D0DAA" w:rsidRDefault="00711444" w:rsidP="00AA2A4C">
            <w:pPr>
              <w:pStyle w:val="TAL"/>
              <w:rPr>
                <w:rFonts w:eastAsia="SimSun" w:cs="Arial"/>
                <w:szCs w:val="18"/>
                <w:lang w:eastAsia="zh-CN"/>
              </w:rPr>
            </w:pPr>
            <w:r w:rsidRPr="004D0DAA">
              <w:rPr>
                <w:lang w:eastAsia="en-US"/>
              </w:rPr>
              <w:tab/>
              <w:t xml:space="preserve">&lt; </w:t>
            </w:r>
            <w:r w:rsidRPr="004D0DAA">
              <w:rPr>
                <w:b/>
                <w:lang w:eastAsia="en-US"/>
              </w:rPr>
              <w:t>RLC_RESET</w:t>
            </w:r>
            <w:r w:rsidRPr="004D0DAA">
              <w:rPr>
                <w:lang w:eastAsia="en-US"/>
              </w:rPr>
              <w:t xml:space="preserve"> : bit (1) &gt;</w:t>
            </w:r>
          </w:p>
          <w:p w14:paraId="2504FCF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P0</w:t>
            </w:r>
            <w:r w:rsidRPr="004D0DAA">
              <w:rPr>
                <w:lang w:eastAsia="en-US"/>
              </w:rPr>
              <w:t> : bit (4) &gt;</w:t>
            </w:r>
          </w:p>
          <w:p w14:paraId="4B69EC2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PR_MODE</w:t>
            </w:r>
            <w:r w:rsidRPr="004D0DAA">
              <w:rPr>
                <w:lang w:eastAsia="en-US"/>
              </w:rPr>
              <w:t> : bit (1) &gt; }</w:t>
            </w:r>
          </w:p>
          <w:p w14:paraId="3996164C"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w:t>
            </w:r>
            <w:r w:rsidRPr="004D0DAA">
              <w:rPr>
                <w:lang w:eastAsia="en-US"/>
              </w:rPr>
              <w:t xml:space="preserve"> : bit (3) &gt; }</w:t>
            </w:r>
          </w:p>
          <w:p w14:paraId="4DE231EF" w14:textId="77777777" w:rsidR="00711444" w:rsidRPr="004D0DAA" w:rsidRDefault="00711444" w:rsidP="00AA2A4C">
            <w:pPr>
              <w:pStyle w:val="TAL"/>
              <w:rPr>
                <w:lang w:val="fr-FR" w:eastAsia="en-US"/>
              </w:rPr>
            </w:pPr>
            <w:r w:rsidRPr="004D0DAA">
              <w:rPr>
                <w:lang w:eastAsia="en-US"/>
              </w:rPr>
              <w:tab/>
            </w:r>
            <w:r w:rsidRPr="004D0DAA">
              <w:rPr>
                <w:lang w:val="fr-FR" w:eastAsia="en-US"/>
              </w:rPr>
              <w:t>{</w:t>
            </w:r>
            <w:r w:rsidRPr="004D0DAA">
              <w:rPr>
                <w:lang w:val="fr-FR" w:eastAsia="en-US"/>
              </w:rPr>
              <w:tab/>
              <w:t>0</w:t>
            </w:r>
            <w:r w:rsidRPr="004D0DAA">
              <w:rPr>
                <w:lang w:val="fr-FR" w:eastAsia="en-US"/>
              </w:rPr>
              <w:tab/>
              <w:t xml:space="preserve">&lt; </w:t>
            </w:r>
            <w:r w:rsidRPr="004D0DAA">
              <w:rPr>
                <w:b/>
                <w:bCs/>
                <w:lang w:val="fr-FR" w:eastAsia="en-US"/>
              </w:rPr>
              <w:t>GPRS mode</w:t>
            </w:r>
            <w:r w:rsidRPr="004D0DAA">
              <w:rPr>
                <w:lang w:val="fr-FR" w:eastAsia="en-US"/>
              </w:rPr>
              <w:t xml:space="preserve"> : GPRS mode struct &gt; &gt;</w:t>
            </w:r>
          </w:p>
          <w:p w14:paraId="79A26CDF"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t>| 1</w:t>
            </w:r>
            <w:r w:rsidRPr="004D0DAA">
              <w:rPr>
                <w:lang w:val="fr-FR" w:eastAsia="en-US"/>
              </w:rPr>
              <w:tab/>
              <w:t xml:space="preserve">&lt; </w:t>
            </w:r>
            <w:r w:rsidRPr="004D0DAA">
              <w:rPr>
                <w:b/>
                <w:bCs/>
                <w:lang w:val="fr-FR" w:eastAsia="en-US"/>
              </w:rPr>
              <w:t>EGPRS mode</w:t>
            </w:r>
            <w:r w:rsidRPr="004D0DAA">
              <w:rPr>
                <w:lang w:val="fr-FR" w:eastAsia="en-US"/>
              </w:rPr>
              <w:t xml:space="preserve"> : EGPRS mode struct &gt; &gt; }</w:t>
            </w:r>
          </w:p>
          <w:p w14:paraId="6737990D" w14:textId="77777777" w:rsidR="00711444" w:rsidRPr="004D0DAA" w:rsidRDefault="00711444" w:rsidP="00AA2A4C">
            <w:pPr>
              <w:pStyle w:val="TAL"/>
              <w:rPr>
                <w:i/>
                <w:lang w:eastAsia="en-US"/>
              </w:rPr>
            </w:pPr>
            <w:r w:rsidRPr="004D0DAA">
              <w:rPr>
                <w:lang w:val="fr-FR" w:eastAsia="en-US"/>
              </w:rPr>
              <w:tab/>
            </w:r>
            <w:r w:rsidRPr="004D0DAA">
              <w:rPr>
                <w:lang w:val="fr-FR" w:eastAsia="en-US"/>
              </w:rPr>
              <w:tab/>
            </w:r>
            <w:r w:rsidRPr="004D0DAA">
              <w:rPr>
                <w:lang w:eastAsia="en-US"/>
              </w:rPr>
              <w:t xml:space="preserve">{ null | 0 bit** = &lt; no string &gt; </w:t>
            </w:r>
            <w:r w:rsidRPr="004D0DAA">
              <w:rPr>
                <w:i/>
                <w:lang w:eastAsia="en-US"/>
              </w:rPr>
              <w:t>-- Receiver backward compatible with earlier version</w:t>
            </w:r>
          </w:p>
          <w:p w14:paraId="5AF7733E" w14:textId="77777777" w:rsidR="00711444" w:rsidRPr="004D0DAA" w:rsidRDefault="00711444" w:rsidP="00AA2A4C">
            <w:pPr>
              <w:pStyle w:val="TAL"/>
              <w:rPr>
                <w:lang w:eastAsia="en-US"/>
              </w:rPr>
            </w:pPr>
            <w:r w:rsidRPr="004D0DAA">
              <w:rPr>
                <w:lang w:eastAsia="en-US"/>
              </w:rPr>
              <w:tab/>
            </w:r>
            <w:r w:rsidRPr="004D0DAA">
              <w:rPr>
                <w:lang w:eastAsia="en-US"/>
              </w:rPr>
              <w:tab/>
              <w:t xml:space="preserve">|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Additions for Rel-12</w:t>
            </w:r>
          </w:p>
          <w:p w14:paraId="620D047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Primary TSC Value assigned</w:t>
            </w:r>
          </w:p>
          <w:p w14:paraId="28711522"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1544934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Value</w:t>
            </w:r>
            <w:r w:rsidRPr="004D0DAA">
              <w:rPr>
                <w:iCs/>
                <w:lang w:eastAsia="en-US"/>
              </w:rPr>
              <w:t xml:space="preserve"> : bit (3) &gt; }</w:t>
            </w:r>
          </w:p>
          <w:p w14:paraId="02D2705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5E2CB53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7431B3C2"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31CA1F13" w14:textId="77777777" w:rsidR="00711444" w:rsidRPr="004D0DAA" w:rsidRDefault="00711444" w:rsidP="00AA2A4C">
            <w:pPr>
              <w:pStyle w:val="TAL"/>
              <w:rPr>
                <w:lang w:eastAsia="en-US"/>
              </w:rPr>
            </w:pPr>
            <w:r w:rsidRPr="004D0DAA">
              <w:rPr>
                <w:lang w:eastAsia="en-US"/>
              </w:rPr>
              <w:tab/>
              <w:t>&lt; padding bits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truncation at end of message allowed, bits '0' assumed</w:t>
            </w:r>
          </w:p>
          <w:p w14:paraId="3216F0A6" w14:textId="77777777" w:rsidR="00711444" w:rsidRPr="004D0DAA" w:rsidRDefault="00711444" w:rsidP="00AA2A4C">
            <w:pPr>
              <w:pStyle w:val="TAL"/>
              <w:rPr>
                <w:lang w:eastAsia="en-US"/>
              </w:rPr>
            </w:pPr>
          </w:p>
        </w:tc>
      </w:tr>
      <w:tr w:rsidR="00711444" w:rsidRPr="004D0DAA" w14:paraId="047DCB5A" w14:textId="77777777" w:rsidTr="00AA2A4C">
        <w:tblPrEx>
          <w:tblCellMar>
            <w:top w:w="0" w:type="dxa"/>
            <w:bottom w:w="0" w:type="dxa"/>
          </w:tblCellMar>
        </w:tblPrEx>
        <w:trPr>
          <w:cantSplit/>
        </w:trPr>
        <w:tc>
          <w:tcPr>
            <w:tcW w:w="9848" w:type="dxa"/>
          </w:tcPr>
          <w:p w14:paraId="6156A47D" w14:textId="77777777" w:rsidR="00711444" w:rsidRPr="004D0DAA" w:rsidRDefault="00711444" w:rsidP="00AA2A4C">
            <w:pPr>
              <w:pStyle w:val="TAL"/>
              <w:rPr>
                <w:lang w:eastAsia="en-US"/>
              </w:rPr>
            </w:pPr>
            <w:r w:rsidRPr="004D0DAA">
              <w:rPr>
                <w:lang w:eastAsia="en-US"/>
              </w:rPr>
              <w:t>&lt; GPRS mode struct &gt; ::=</w:t>
            </w:r>
          </w:p>
          <w:p w14:paraId="53F12A86" w14:textId="77777777" w:rsidR="00711444" w:rsidRPr="004D0DAA" w:rsidRDefault="00711444" w:rsidP="00AA2A4C">
            <w:pPr>
              <w:pStyle w:val="TAL"/>
              <w:rPr>
                <w:i/>
                <w:lang w:eastAsia="en-US"/>
              </w:rPr>
            </w:pPr>
            <w:r w:rsidRPr="004D0DAA">
              <w:rPr>
                <w:lang w:eastAsia="en-US"/>
              </w:rPr>
              <w:tab/>
              <w:t xml:space="preserve">-- </w:t>
            </w:r>
            <w:r w:rsidRPr="004D0DAA">
              <w:rPr>
                <w:i/>
                <w:lang w:eastAsia="en-US"/>
              </w:rPr>
              <w:t>Uplink TBFs</w:t>
            </w:r>
          </w:p>
          <w:p w14:paraId="65F92BB9" w14:textId="77777777" w:rsidR="00711444" w:rsidRPr="004D0DAA" w:rsidRDefault="00711444" w:rsidP="00AA2A4C">
            <w:pPr>
              <w:pStyle w:val="TAL"/>
              <w:rPr>
                <w:lang w:eastAsia="en-US"/>
              </w:rPr>
            </w:pPr>
            <w:r w:rsidRPr="004D0DAA">
              <w:rPr>
                <w:lang w:eastAsia="en-US"/>
              </w:rPr>
              <w:tab/>
              <w:t>{</w:t>
            </w:r>
            <w:r w:rsidRPr="004D0DAA">
              <w:rPr>
                <w:lang w:eastAsia="en-US"/>
              </w:rPr>
              <w:tab/>
              <w:t xml:space="preserve">{ 0 | 1 &lt; </w:t>
            </w:r>
            <w:r w:rsidRPr="004D0DAA">
              <w:rPr>
                <w:b/>
                <w:bCs/>
                <w:lang w:eastAsia="en-US"/>
              </w:rPr>
              <w:t>CHANNEL_CODING_COMMAND</w:t>
            </w:r>
            <w:r w:rsidRPr="004D0DAA">
              <w:rPr>
                <w:lang w:eastAsia="en-US"/>
              </w:rPr>
              <w:t xml:space="preserve"> : bit (2) &gt; }</w:t>
            </w:r>
          </w:p>
          <w:p w14:paraId="230F3844"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Global Timeslot description</w:t>
            </w:r>
            <w:r w:rsidRPr="004D0DAA">
              <w:rPr>
                <w:lang w:eastAsia="en-US"/>
              </w:rPr>
              <w:t xml:space="preserve"> : &lt; Timeslot description struct &gt; &gt;</w:t>
            </w:r>
          </w:p>
          <w:p w14:paraId="19EE5D4D"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Uplink Assignment</w:t>
            </w:r>
            <w:r w:rsidRPr="004D0DAA">
              <w:rPr>
                <w:lang w:eastAsia="en-US"/>
              </w:rPr>
              <w:t xml:space="preserve"> : &lt; Uplink TBF Assignment struct &gt; &gt; } ** 0 }</w:t>
            </w:r>
          </w:p>
          <w:p w14:paraId="687E0938" w14:textId="77777777" w:rsidR="00711444" w:rsidRPr="004D0DAA" w:rsidRDefault="00711444" w:rsidP="00AA2A4C">
            <w:pPr>
              <w:pStyle w:val="TAL"/>
              <w:rPr>
                <w:i/>
                <w:lang w:eastAsia="en-US"/>
              </w:rPr>
            </w:pPr>
            <w:r w:rsidRPr="004D0DAA">
              <w:rPr>
                <w:lang w:eastAsia="en-US"/>
              </w:rPr>
              <w:tab/>
              <w:t xml:space="preserve">-- </w:t>
            </w:r>
            <w:r w:rsidRPr="004D0DAA">
              <w:rPr>
                <w:i/>
                <w:lang w:eastAsia="en-US"/>
              </w:rPr>
              <w:t>Downlink TBFs</w:t>
            </w:r>
          </w:p>
          <w:p w14:paraId="463496AA" w14:textId="77777777" w:rsidR="00711444" w:rsidRPr="004D0DAA" w:rsidRDefault="00711444" w:rsidP="00AA2A4C">
            <w:pPr>
              <w:pStyle w:val="TAL"/>
              <w:rPr>
                <w:lang w:eastAsia="en-US"/>
              </w:rPr>
            </w:pPr>
            <w:r w:rsidRPr="004D0DAA">
              <w:rPr>
                <w:lang w:eastAsia="en-US"/>
              </w:rPr>
              <w:tab/>
            </w:r>
            <w:r w:rsidRPr="004D0DAA">
              <w:rPr>
                <w:lang w:eastAsia="en-US"/>
              </w:rPr>
              <w:tab/>
              <w:t xml:space="preserve">{ 1 &lt; </w:t>
            </w:r>
            <w:r w:rsidRPr="004D0DAA">
              <w:rPr>
                <w:b/>
                <w:bCs/>
                <w:lang w:eastAsia="en-US"/>
              </w:rPr>
              <w:t>Downlink Assignment</w:t>
            </w:r>
            <w:r w:rsidRPr="004D0DAA">
              <w:rPr>
                <w:lang w:eastAsia="en-US"/>
              </w:rPr>
              <w:t xml:space="preserve"> : &lt; Downlink Assignment struct &gt; &gt; } ** 0 } ;</w:t>
            </w:r>
          </w:p>
          <w:p w14:paraId="6A84D21E" w14:textId="77777777" w:rsidR="00711444" w:rsidRPr="004D0DAA" w:rsidRDefault="00711444" w:rsidP="00AA2A4C">
            <w:pPr>
              <w:pStyle w:val="TAL"/>
              <w:rPr>
                <w:lang w:eastAsia="en-US"/>
              </w:rPr>
            </w:pPr>
          </w:p>
        </w:tc>
      </w:tr>
      <w:tr w:rsidR="00711444" w:rsidRPr="004D0DAA" w14:paraId="69C6833A" w14:textId="77777777" w:rsidTr="00AA2A4C">
        <w:tblPrEx>
          <w:tblCellMar>
            <w:top w:w="0" w:type="dxa"/>
            <w:bottom w:w="0" w:type="dxa"/>
          </w:tblCellMar>
        </w:tblPrEx>
        <w:trPr>
          <w:cantSplit/>
        </w:trPr>
        <w:tc>
          <w:tcPr>
            <w:tcW w:w="9848" w:type="dxa"/>
          </w:tcPr>
          <w:p w14:paraId="68EEF83C" w14:textId="77777777" w:rsidR="00711444" w:rsidRPr="004D0DAA" w:rsidRDefault="00711444" w:rsidP="00AA2A4C">
            <w:pPr>
              <w:pStyle w:val="TAL"/>
              <w:rPr>
                <w:lang w:eastAsia="en-US"/>
              </w:rPr>
            </w:pPr>
            <w:r w:rsidRPr="004D0DAA">
              <w:rPr>
                <w:lang w:eastAsia="en-US"/>
              </w:rPr>
              <w:t>&lt; EGPRS mode struct &gt; ::=</w:t>
            </w:r>
          </w:p>
          <w:p w14:paraId="32B60D02" w14:textId="77777777" w:rsidR="00711444" w:rsidRPr="004D0DAA" w:rsidRDefault="00711444" w:rsidP="00AA2A4C">
            <w:pPr>
              <w:pStyle w:val="TAL"/>
              <w:rPr>
                <w:i/>
                <w:lang w:eastAsia="en-US"/>
              </w:rPr>
            </w:pPr>
            <w:r w:rsidRPr="004D0DAA">
              <w:rPr>
                <w:lang w:eastAsia="en-US"/>
              </w:rPr>
              <w:tab/>
              <w:t xml:space="preserve">-- </w:t>
            </w:r>
            <w:r w:rsidRPr="004D0DAA">
              <w:rPr>
                <w:i/>
                <w:lang w:eastAsia="en-US"/>
              </w:rPr>
              <w:t>Uplink TBFs</w:t>
            </w:r>
          </w:p>
          <w:p w14:paraId="0D1DDF32" w14:textId="77777777" w:rsidR="00711444" w:rsidRPr="004D0DAA" w:rsidRDefault="00711444" w:rsidP="00AA2A4C">
            <w:pPr>
              <w:pStyle w:val="TAL"/>
              <w:rPr>
                <w:lang w:eastAsia="en-US"/>
              </w:rPr>
            </w:pPr>
            <w:r w:rsidRPr="004D0DAA">
              <w:rPr>
                <w:lang w:eastAsia="en-US"/>
              </w:rPr>
              <w:tab/>
              <w:t>{</w:t>
            </w: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4E082FF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2B261145"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BEP_PERIOD2</w:t>
            </w:r>
            <w:r w:rsidRPr="004D0DAA">
              <w:rPr>
                <w:lang w:eastAsia="en-US"/>
              </w:rPr>
              <w:t xml:space="preserve"> : bit(4) &gt; }</w:t>
            </w:r>
          </w:p>
          <w:p w14:paraId="6E71506A"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bCs/>
                <w:lang w:eastAsia="en-US"/>
              </w:rPr>
              <w:t>Global Timeslot description</w:t>
            </w:r>
            <w:r w:rsidRPr="004D0DAA">
              <w:rPr>
                <w:lang w:eastAsia="en-US"/>
              </w:rPr>
              <w:t xml:space="preserve"> : &lt; Timeslot description struct &gt; &gt;</w:t>
            </w:r>
          </w:p>
          <w:p w14:paraId="0C26F63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Uplink Assignment</w:t>
            </w:r>
            <w:r w:rsidRPr="004D0DAA">
              <w:rPr>
                <w:lang w:eastAsia="en-US"/>
              </w:rPr>
              <w:t xml:space="preserve"> : &lt; Uplink TBF Assignment struct &gt; &gt; } ** 0 } }</w:t>
            </w:r>
          </w:p>
          <w:p w14:paraId="4DC11BDC" w14:textId="77777777" w:rsidR="00711444" w:rsidRPr="004D0DAA" w:rsidRDefault="00711444" w:rsidP="00AA2A4C">
            <w:pPr>
              <w:pStyle w:val="TAL"/>
              <w:rPr>
                <w:i/>
                <w:lang w:eastAsia="en-US"/>
              </w:rPr>
            </w:pPr>
            <w:r w:rsidRPr="004D0DAA">
              <w:rPr>
                <w:lang w:eastAsia="en-US"/>
              </w:rPr>
              <w:tab/>
              <w:t xml:space="preserve">-- </w:t>
            </w:r>
            <w:r w:rsidRPr="004D0DAA">
              <w:rPr>
                <w:i/>
                <w:lang w:eastAsia="en-US"/>
              </w:rPr>
              <w:t>Downlink TBFs</w:t>
            </w:r>
          </w:p>
          <w:p w14:paraId="0456AC61" w14:textId="77777777" w:rsidR="00711444" w:rsidRPr="004D0DAA" w:rsidRDefault="00711444" w:rsidP="00AA2A4C">
            <w:pPr>
              <w:pStyle w:val="TAL"/>
              <w:rPr>
                <w:lang w:eastAsia="en-US"/>
              </w:rPr>
            </w:pPr>
            <w:r w:rsidRPr="004D0DAA">
              <w:rPr>
                <w:lang w:eastAsia="en-US"/>
              </w:rPr>
              <w:tab/>
              <w:t>{ 0 | 1</w:t>
            </w:r>
          </w:p>
          <w:p w14:paraId="0C1FB678"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 0 | 1 &lt; </w:t>
            </w:r>
            <w:r w:rsidRPr="004D0DAA">
              <w:rPr>
                <w:b/>
                <w:lang w:eastAsia="en-US"/>
              </w:rPr>
              <w:t>EGPRS Window Size</w:t>
            </w:r>
            <w:r w:rsidRPr="004D0DAA">
              <w:rPr>
                <w:lang w:eastAsia="en-US"/>
              </w:rPr>
              <w:t> : &lt; EGPRS Window Size IE &gt; &gt; }</w:t>
            </w:r>
          </w:p>
          <w:p w14:paraId="37A7DA08"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LINK_QUALITY_MEASUREMENT_MODE</w:t>
            </w:r>
            <w:r w:rsidRPr="004D0DAA">
              <w:rPr>
                <w:lang w:eastAsia="en-US"/>
              </w:rPr>
              <w:t> : bit (2) &gt;</w:t>
            </w:r>
          </w:p>
          <w:p w14:paraId="3D6446D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 &lt;</w:t>
            </w:r>
            <w:r w:rsidRPr="004D0DAA">
              <w:rPr>
                <w:b/>
                <w:lang w:eastAsia="en-US"/>
              </w:rPr>
              <w:t xml:space="preserve"> BEP_PERIOD2</w:t>
            </w:r>
            <w:r w:rsidRPr="004D0DAA">
              <w:rPr>
                <w:lang w:eastAsia="en-US"/>
              </w:rPr>
              <w:t xml:space="preserve"> : bit(4) &gt; } }</w:t>
            </w:r>
          </w:p>
          <w:p w14:paraId="4AFE691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1 &lt; </w:t>
            </w:r>
            <w:r w:rsidRPr="004D0DAA">
              <w:rPr>
                <w:b/>
                <w:bCs/>
                <w:lang w:eastAsia="en-US"/>
              </w:rPr>
              <w:t>Downlink Assignment</w:t>
            </w:r>
            <w:r w:rsidRPr="004D0DAA">
              <w:rPr>
                <w:lang w:eastAsia="en-US"/>
              </w:rPr>
              <w:t xml:space="preserve"> : &lt; Downlink Assignment struct &gt; &gt; } ** 0 } ;</w:t>
            </w:r>
          </w:p>
          <w:p w14:paraId="1D128008" w14:textId="77777777" w:rsidR="00711444" w:rsidRPr="004D0DAA" w:rsidRDefault="00711444" w:rsidP="00AA2A4C">
            <w:pPr>
              <w:pStyle w:val="TAL"/>
              <w:rPr>
                <w:lang w:eastAsia="en-US"/>
              </w:rPr>
            </w:pPr>
          </w:p>
        </w:tc>
      </w:tr>
      <w:tr w:rsidR="00711444" w:rsidRPr="004D0DAA" w14:paraId="2BE4E40E" w14:textId="77777777" w:rsidTr="00AA2A4C">
        <w:tblPrEx>
          <w:tblCellMar>
            <w:top w:w="0" w:type="dxa"/>
            <w:bottom w:w="0" w:type="dxa"/>
          </w:tblCellMar>
        </w:tblPrEx>
        <w:trPr>
          <w:cantSplit/>
        </w:trPr>
        <w:tc>
          <w:tcPr>
            <w:tcW w:w="9848" w:type="dxa"/>
          </w:tcPr>
          <w:p w14:paraId="7FA53D7B" w14:textId="77777777" w:rsidR="00711444" w:rsidRPr="004D0DAA" w:rsidRDefault="00711444" w:rsidP="00AA2A4C">
            <w:pPr>
              <w:pStyle w:val="TAL"/>
              <w:rPr>
                <w:lang w:eastAsia="en-US"/>
              </w:rPr>
            </w:pPr>
            <w:r w:rsidRPr="004D0DAA">
              <w:rPr>
                <w:lang w:eastAsia="en-US"/>
              </w:rPr>
              <w:lastRenderedPageBreak/>
              <w:t>&lt;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Recursive for multiple TBFs</w:t>
            </w:r>
          </w:p>
          <w:p w14:paraId="013489BB" w14:textId="77777777" w:rsidR="00711444" w:rsidRPr="004D0DAA" w:rsidRDefault="00711444" w:rsidP="00AA2A4C">
            <w:pPr>
              <w:pStyle w:val="TAL"/>
              <w:rPr>
                <w:strike/>
                <w:lang w:val="fr-FR" w:eastAsia="en-US"/>
              </w:rPr>
            </w:pPr>
            <w:r w:rsidRPr="004D0DAA">
              <w:rPr>
                <w:lang w:eastAsia="en-US"/>
              </w:rPr>
              <w:tab/>
            </w:r>
            <w:r w:rsidRPr="004D0DAA">
              <w:rPr>
                <w:lang w:val="fr-FR" w:eastAsia="en-US"/>
              </w:rPr>
              <w:t xml:space="preserve">{ 0 | 1 &lt; </w:t>
            </w:r>
            <w:r w:rsidRPr="004D0DAA">
              <w:rPr>
                <w:b/>
                <w:bCs/>
                <w:lang w:val="fr-FR" w:eastAsia="en-US"/>
              </w:rPr>
              <w:t>PFI</w:t>
            </w:r>
            <w:r w:rsidRPr="004D0DAA">
              <w:rPr>
                <w:lang w:val="fr-FR" w:eastAsia="en-US"/>
              </w:rPr>
              <w:t xml:space="preserve"> : bit (7) &gt; }</w:t>
            </w:r>
            <w:r w:rsidRPr="004D0DAA">
              <w:rPr>
                <w:strike/>
                <w:lang w:val="fr-FR" w:eastAsia="en-US"/>
              </w:rPr>
              <w:t xml:space="preserve"> </w:t>
            </w:r>
          </w:p>
          <w:p w14:paraId="579469BA"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73A8F782"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&lt; </w:t>
            </w:r>
            <w:r w:rsidRPr="004D0DAA">
              <w:rPr>
                <w:b/>
                <w:bCs/>
                <w:lang w:eastAsia="en-US"/>
              </w:rPr>
              <w:t>TFI Assignment</w:t>
            </w:r>
            <w:r w:rsidRPr="004D0DAA">
              <w:rPr>
                <w:lang w:eastAsia="en-US"/>
              </w:rPr>
              <w:t xml:space="preserve"> : bit (5) &gt;</w:t>
            </w:r>
          </w:p>
          <w:p w14:paraId="342C33F5"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CHANNEL_CODING_COMMAND</w:t>
            </w:r>
            <w:r w:rsidRPr="004D0DAA">
              <w:rPr>
                <w:lang w:eastAsia="en-US"/>
              </w:rPr>
              <w:t xml:space="preserve"> : bit (2) &gt; }</w:t>
            </w:r>
          </w:p>
          <w:p w14:paraId="1ED2100E"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7BBE9896"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Window Size</w:t>
            </w:r>
            <w:r w:rsidRPr="004D0DAA">
              <w:rPr>
                <w:lang w:eastAsia="en-US"/>
              </w:rPr>
              <w:t> : &lt; EGPRS Window Size IE &gt; &gt; }</w:t>
            </w:r>
          </w:p>
          <w:p w14:paraId="59F0B8D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 xml:space="preserve">USF_GRANULARITY </w:t>
            </w:r>
            <w:r w:rsidRPr="004D0DAA">
              <w:rPr>
                <w:lang w:eastAsia="en-US"/>
              </w:rPr>
              <w:t>: bit (1) &gt;</w:t>
            </w:r>
          </w:p>
          <w:p w14:paraId="02EFDDCF" w14:textId="77777777" w:rsidR="00711444" w:rsidRPr="004D0DAA" w:rsidRDefault="00711444" w:rsidP="00AA2A4C">
            <w:pPr>
              <w:pStyle w:val="TAL"/>
              <w:rPr>
                <w:i/>
                <w:iCs/>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timeslots assigned to the TBF are all the timeslots assigned</w:t>
            </w:r>
          </w:p>
          <w:p w14:paraId="471D0F89"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in the Global Timeslot description</w:t>
            </w:r>
          </w:p>
          <w:p w14:paraId="40E9E399" w14:textId="77777777" w:rsidR="00711444" w:rsidRPr="004D0DAA" w:rsidRDefault="00711444" w:rsidP="00AA2A4C">
            <w:pPr>
              <w:pStyle w:val="TAL"/>
              <w:rPr>
                <w:i/>
                <w:iCs/>
                <w:lang w:eastAsia="en-US"/>
              </w:rPr>
            </w:pPr>
            <w:r w:rsidRPr="004D0DAA">
              <w:rPr>
                <w:lang w:eastAsia="en-US"/>
              </w:rPr>
              <w:tab/>
              <w:t>| 1</w:t>
            </w:r>
            <w:r w:rsidRPr="004D0DAA">
              <w:rPr>
                <w:lang w:eastAsia="en-US"/>
              </w:rPr>
              <w:tab/>
              <w:t xml:space="preserve">&lt; </w:t>
            </w:r>
            <w:r w:rsidRPr="004D0DAA">
              <w:rPr>
                <w:b/>
                <w:bCs/>
                <w:lang w:eastAsia="en-US"/>
              </w:rPr>
              <w:t>TBF_TIMESLOT_ALLOCATION</w:t>
            </w:r>
            <w:r w:rsidRPr="004D0DAA">
              <w:rPr>
                <w:lang w:eastAsia="en-US"/>
              </w:rPr>
              <w:t xml:space="preserve"> : bit (N) &gt; }</w:t>
            </w:r>
            <w:r w:rsidRPr="004D0DAA">
              <w:rPr>
                <w:lang w:eastAsia="en-US"/>
              </w:rPr>
              <w:tab/>
              <w:t xml:space="preserve">-- </w:t>
            </w:r>
            <w:r w:rsidRPr="004D0DAA">
              <w:rPr>
                <w:i/>
                <w:iCs/>
                <w:lang w:eastAsia="en-US"/>
              </w:rPr>
              <w:t>The timeslots assigned to the TBF are a subset of all the</w:t>
            </w:r>
          </w:p>
          <w:p w14:paraId="67CD337B"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timeslots assigned in the Global Timeslot description. Where</w:t>
            </w:r>
          </w:p>
          <w:p w14:paraId="463CD9C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N is the number of timeslots assigned to the MS in the Global </w:t>
            </w:r>
          </w:p>
          <w:p w14:paraId="277BE7A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Timeslot</w:t>
            </w:r>
            <w:r w:rsidRPr="004D0DAA">
              <w:rPr>
                <w:i/>
                <w:iCs/>
                <w:u w:val="single"/>
                <w:lang w:eastAsia="en-US"/>
              </w:rPr>
              <w:t xml:space="preserve"> </w:t>
            </w:r>
            <w:r w:rsidRPr="004D0DAA">
              <w:rPr>
                <w:i/>
                <w:iCs/>
                <w:lang w:eastAsia="en-US"/>
              </w:rPr>
              <w:t>description</w:t>
            </w:r>
          </w:p>
          <w:p w14:paraId="5772161B"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t xml:space="preserve">&lt; </w:t>
            </w:r>
            <w:r w:rsidRPr="004D0DAA">
              <w:rPr>
                <w:b/>
                <w:bCs/>
                <w:lang w:eastAsia="en-US"/>
              </w:rPr>
              <w:t>USF_ALLOCATION</w:t>
            </w:r>
            <w:r w:rsidRPr="004D0DAA">
              <w:rPr>
                <w:lang w:eastAsia="en-US"/>
              </w:rPr>
              <w:t xml:space="preserve"> : bit (3) &gt;</w:t>
            </w:r>
            <w:r w:rsidRPr="004D0DAA">
              <w:rPr>
                <w:lang w:eastAsia="en-US"/>
              </w:rPr>
              <w:tab/>
            </w:r>
            <w:r w:rsidRPr="004D0DAA">
              <w:rPr>
                <w:lang w:eastAsia="en-US"/>
              </w:rPr>
              <w:tab/>
            </w:r>
            <w:r w:rsidRPr="004D0DAA">
              <w:rPr>
                <w:lang w:eastAsia="en-US"/>
              </w:rPr>
              <w:tab/>
              <w:t xml:space="preserve">-- </w:t>
            </w:r>
            <w:r w:rsidRPr="004D0DAA">
              <w:rPr>
                <w:i/>
                <w:iCs/>
                <w:lang w:eastAsia="en-US"/>
              </w:rPr>
              <w:t>The same USF is valid on all timeslots assigned to the TBF</w:t>
            </w:r>
          </w:p>
          <w:p w14:paraId="4EC6E4FF"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Different USF(s) assigned</w:t>
            </w:r>
          </w:p>
          <w:p w14:paraId="3F4BE6A6"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 xml:space="preserve">USF_ALLOCATION </w:t>
            </w:r>
            <w:r w:rsidRPr="004D0DAA">
              <w:rPr>
                <w:lang w:eastAsia="en-US"/>
              </w:rPr>
              <w:t>: bit (3)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assignment on the lowest numbered timeslot</w:t>
            </w:r>
          </w:p>
          <w:p w14:paraId="5DDC4A3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assigned to the TBF</w:t>
            </w:r>
          </w:p>
          <w:p w14:paraId="6719017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USF_ALLOCATION</w:t>
            </w:r>
            <w:r w:rsidRPr="004D0DAA">
              <w:rPr>
                <w:lang w:eastAsia="en-US"/>
              </w:rPr>
              <w:t xml:space="preserve"> : bit (3) &gt; } * (M-1) } ;</w:t>
            </w:r>
            <w:r w:rsidRPr="004D0DAA">
              <w:rPr>
                <w:lang w:eastAsia="en-US"/>
              </w:rPr>
              <w:tab/>
              <w:t xml:space="preserve">-- </w:t>
            </w:r>
            <w:r w:rsidRPr="004D0DAA">
              <w:rPr>
                <w:i/>
                <w:iCs/>
                <w:lang w:eastAsia="en-US"/>
              </w:rPr>
              <w:t>USFs on subsequent timeslots assigned to the TBF:</w:t>
            </w:r>
          </w:p>
          <w:p w14:paraId="455B17D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A ‘0’ (respectively a ‘1’ followed by a USF value) </w:t>
            </w:r>
          </w:p>
          <w:p w14:paraId="52AF5200"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means same (respectively different) USF value as the</w:t>
            </w:r>
          </w:p>
          <w:p w14:paraId="2AE9A63D"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USF on the next lower numbered timeslot assigned to</w:t>
            </w:r>
          </w:p>
          <w:p w14:paraId="609B3CA3"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the TBF.</w:t>
            </w:r>
            <w:r w:rsidRPr="004D0DAA">
              <w:rPr>
                <w:lang w:eastAsia="en-US"/>
              </w:rPr>
              <w:t xml:space="preserve"> </w:t>
            </w:r>
            <w:r w:rsidRPr="004D0DAA">
              <w:rPr>
                <w:i/>
                <w:iCs/>
                <w:lang w:eastAsia="en-US"/>
              </w:rPr>
              <w:t>Where M is the amount of timeslots assigned</w:t>
            </w:r>
          </w:p>
          <w:p w14:paraId="3E72282F"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 xml:space="preserve">to the TBF in the TBF_TIMESLOT_ALLOCATION if </w:t>
            </w:r>
          </w:p>
          <w:p w14:paraId="3C7C6D4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present, else in the Global</w:t>
            </w:r>
            <w:r w:rsidRPr="004D0DAA">
              <w:rPr>
                <w:lang w:eastAsia="en-US"/>
              </w:rPr>
              <w:t xml:space="preserve"> </w:t>
            </w:r>
            <w:r w:rsidRPr="004D0DAA">
              <w:rPr>
                <w:i/>
                <w:iCs/>
                <w:lang w:eastAsia="en-US"/>
              </w:rPr>
              <w:t>Timeslot</w:t>
            </w:r>
            <w:r w:rsidRPr="004D0DAA">
              <w:rPr>
                <w:lang w:eastAsia="en-US"/>
              </w:rPr>
              <w:t xml:space="preserve"> </w:t>
            </w:r>
            <w:r w:rsidRPr="004D0DAA">
              <w:rPr>
                <w:i/>
                <w:iCs/>
                <w:lang w:eastAsia="en-US"/>
              </w:rPr>
              <w:t>description.</w:t>
            </w:r>
          </w:p>
          <w:p w14:paraId="0C797E09" w14:textId="77777777" w:rsidR="00711444" w:rsidRPr="004D0DAA" w:rsidRDefault="00711444" w:rsidP="00AA2A4C">
            <w:pPr>
              <w:pStyle w:val="TAL"/>
              <w:rPr>
                <w:lang w:eastAsia="en-US"/>
              </w:rPr>
            </w:pPr>
          </w:p>
        </w:tc>
      </w:tr>
      <w:tr w:rsidR="00711444" w:rsidRPr="004D0DAA" w14:paraId="1C0FB338" w14:textId="77777777" w:rsidTr="00AA2A4C">
        <w:tblPrEx>
          <w:tblCellMar>
            <w:top w:w="0" w:type="dxa"/>
            <w:bottom w:w="0" w:type="dxa"/>
          </w:tblCellMar>
        </w:tblPrEx>
        <w:trPr>
          <w:cantSplit/>
        </w:trPr>
        <w:tc>
          <w:tcPr>
            <w:tcW w:w="9848" w:type="dxa"/>
          </w:tcPr>
          <w:p w14:paraId="070DBD30" w14:textId="77777777" w:rsidR="00711444" w:rsidRPr="004D0DAA" w:rsidRDefault="00711444" w:rsidP="00AA2A4C">
            <w:pPr>
              <w:pStyle w:val="TAL"/>
              <w:rPr>
                <w:lang w:eastAsia="en-US"/>
              </w:rPr>
            </w:pPr>
            <w:r w:rsidRPr="004D0DAA">
              <w:rPr>
                <w:lang w:eastAsia="en-US"/>
              </w:rPr>
              <w:t>&lt; Downlink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 </w:t>
            </w:r>
            <w:r w:rsidRPr="004D0DAA">
              <w:rPr>
                <w:i/>
                <w:iCs/>
                <w:lang w:eastAsia="en-US"/>
              </w:rPr>
              <w:t>Recursive for multiple TBFs</w:t>
            </w:r>
          </w:p>
          <w:p w14:paraId="351F949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TIMESLOT_ALLOCATION </w:t>
            </w:r>
            <w:r w:rsidRPr="004D0DAA">
              <w:rPr>
                <w:lang w:eastAsia="en-US"/>
              </w:rPr>
              <w:t>: bit (8) &gt;</w:t>
            </w:r>
          </w:p>
          <w:p w14:paraId="1793F02C" w14:textId="77777777" w:rsidR="00711444" w:rsidRPr="004D0DAA" w:rsidRDefault="00711444" w:rsidP="00AA2A4C">
            <w:pPr>
              <w:pStyle w:val="TAL"/>
              <w:rPr>
                <w:lang w:eastAsia="en-US"/>
              </w:rPr>
            </w:pPr>
            <w:r w:rsidRPr="004D0DAA">
              <w:rPr>
                <w:lang w:eastAsia="en-US"/>
              </w:rPr>
              <w:tab/>
              <w:t xml:space="preserve">{ &lt; </w:t>
            </w:r>
            <w:r w:rsidRPr="004D0DAA">
              <w:rPr>
                <w:b/>
                <w:lang w:eastAsia="en-US"/>
              </w:rPr>
              <w:t xml:space="preserve">Downlink TBF assignment </w:t>
            </w:r>
            <w:r w:rsidRPr="004D0DAA">
              <w:rPr>
                <w:lang w:eastAsia="en-US"/>
              </w:rPr>
              <w:t>: &lt; Downlink TBF assignment struct &gt; &gt; } ;</w:t>
            </w:r>
          </w:p>
          <w:p w14:paraId="21718BDF" w14:textId="77777777" w:rsidR="00711444" w:rsidRPr="004D0DAA" w:rsidRDefault="00711444" w:rsidP="00AA2A4C">
            <w:pPr>
              <w:pStyle w:val="TAL"/>
              <w:rPr>
                <w:lang w:eastAsia="en-US"/>
              </w:rPr>
            </w:pPr>
          </w:p>
        </w:tc>
      </w:tr>
      <w:tr w:rsidR="00711444" w:rsidRPr="004D0DAA" w14:paraId="2F025381" w14:textId="77777777" w:rsidTr="00AA2A4C">
        <w:tblPrEx>
          <w:tblCellMar>
            <w:top w:w="0" w:type="dxa"/>
            <w:bottom w:w="0" w:type="dxa"/>
          </w:tblCellMar>
        </w:tblPrEx>
        <w:trPr>
          <w:cantSplit/>
        </w:trPr>
        <w:tc>
          <w:tcPr>
            <w:tcW w:w="9848" w:type="dxa"/>
          </w:tcPr>
          <w:p w14:paraId="215B3094" w14:textId="77777777" w:rsidR="00711444" w:rsidRPr="004D0DAA" w:rsidRDefault="00711444" w:rsidP="00AA2A4C">
            <w:pPr>
              <w:pStyle w:val="TAL"/>
              <w:rPr>
                <w:lang w:eastAsia="en-US"/>
              </w:rPr>
            </w:pPr>
            <w:r w:rsidRPr="004D0DAA">
              <w:rPr>
                <w:lang w:eastAsia="en-US"/>
              </w:rPr>
              <w:t>&lt; Downlink TBF assignment struct &gt; :: =</w:t>
            </w:r>
          </w:p>
          <w:p w14:paraId="42637150" w14:textId="77777777" w:rsidR="00711444" w:rsidRPr="004D0DAA" w:rsidRDefault="00711444" w:rsidP="00AA2A4C">
            <w:pPr>
              <w:pStyle w:val="TAL"/>
              <w:rPr>
                <w:strike/>
                <w:lang w:eastAsia="en-US"/>
              </w:rPr>
            </w:pPr>
            <w:r w:rsidRPr="004D0DAA">
              <w:rPr>
                <w:lang w:eastAsia="en-US"/>
              </w:rPr>
              <w:tab/>
              <w:t xml:space="preserve">{ 0 | 1 &lt; </w:t>
            </w:r>
            <w:r w:rsidRPr="004D0DAA">
              <w:rPr>
                <w:b/>
                <w:bCs/>
                <w:lang w:eastAsia="en-US"/>
              </w:rPr>
              <w:t>PFI</w:t>
            </w:r>
            <w:r w:rsidRPr="004D0DAA">
              <w:rPr>
                <w:lang w:eastAsia="en-US"/>
              </w:rPr>
              <w:t xml:space="preserve"> : bit (7) &gt; }</w:t>
            </w:r>
            <w:r w:rsidRPr="004D0DAA">
              <w:rPr>
                <w:strike/>
                <w:lang w:eastAsia="en-US"/>
              </w:rPr>
              <w:t xml:space="preserve"> </w:t>
            </w:r>
          </w:p>
          <w:p w14:paraId="7BFED1D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 </w:t>
            </w:r>
          </w:p>
          <w:p w14:paraId="79C525C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 Assignment</w:t>
            </w:r>
            <w:r w:rsidRPr="004D0DAA">
              <w:rPr>
                <w:lang w:eastAsia="en-US"/>
              </w:rPr>
              <w:t xml:space="preserve"> : bit (5) &gt;</w:t>
            </w:r>
          </w:p>
          <w:p w14:paraId="1B4658A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CONTROL_ACK</w:t>
            </w:r>
            <w:r w:rsidRPr="004D0DAA">
              <w:rPr>
                <w:lang w:eastAsia="en-US"/>
              </w:rPr>
              <w:t xml:space="preserve"> : bit (1) &gt;</w:t>
            </w:r>
          </w:p>
          <w:p w14:paraId="74C48630" w14:textId="77777777" w:rsidR="00711444" w:rsidRPr="004D0DAA" w:rsidRDefault="00711444" w:rsidP="00AA2A4C">
            <w:pPr>
              <w:pStyle w:val="TAL"/>
              <w:rPr>
                <w:i/>
                <w:lang w:eastAsia="en-US"/>
              </w:rPr>
            </w:pPr>
            <w:r w:rsidRPr="004D0DAA">
              <w:rPr>
                <w:lang w:eastAsia="en-US"/>
              </w:rPr>
              <w:tab/>
              <w:t xml:space="preserve">{ 0 | 1 &lt; </w:t>
            </w:r>
            <w:r w:rsidRPr="004D0DAA">
              <w:rPr>
                <w:b/>
                <w:lang w:eastAsia="en-US"/>
              </w:rPr>
              <w:t>EGPRS Window Size</w:t>
            </w:r>
            <w:r w:rsidRPr="004D0DAA">
              <w:rPr>
                <w:lang w:eastAsia="en-US"/>
              </w:rPr>
              <w:t> : &lt; EGPRS Window Size IE &gt; &gt; } ;</w:t>
            </w:r>
          </w:p>
          <w:p w14:paraId="325CD91F" w14:textId="77777777" w:rsidR="00711444" w:rsidRPr="004D0DAA" w:rsidRDefault="00711444" w:rsidP="00AA2A4C">
            <w:pPr>
              <w:pStyle w:val="TAL"/>
              <w:rPr>
                <w:iCs/>
                <w:lang w:eastAsia="en-US"/>
              </w:rPr>
            </w:pPr>
          </w:p>
        </w:tc>
      </w:tr>
      <w:tr w:rsidR="00711444" w:rsidRPr="004D0DAA" w14:paraId="61563EC1" w14:textId="77777777" w:rsidTr="00AA2A4C">
        <w:tblPrEx>
          <w:tblCellMar>
            <w:top w:w="0" w:type="dxa"/>
            <w:bottom w:w="0" w:type="dxa"/>
          </w:tblCellMar>
        </w:tblPrEx>
        <w:trPr>
          <w:cantSplit/>
        </w:trPr>
        <w:tc>
          <w:tcPr>
            <w:tcW w:w="9848" w:type="dxa"/>
          </w:tcPr>
          <w:p w14:paraId="074A3C28" w14:textId="77777777" w:rsidR="00711444" w:rsidRPr="004D0DAA" w:rsidRDefault="00711444" w:rsidP="00AA2A4C">
            <w:pPr>
              <w:pStyle w:val="TAL"/>
              <w:rPr>
                <w:lang w:eastAsia="en-US"/>
              </w:rPr>
            </w:pPr>
            <w:r w:rsidRPr="004D0DAA">
              <w:rPr>
                <w:lang w:eastAsia="en-US"/>
              </w:rPr>
              <w:t>&lt; Timeslot description struct &gt; ::=</w:t>
            </w:r>
          </w:p>
          <w:p w14:paraId="45F2782A"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params</w:t>
            </w:r>
          </w:p>
          <w:p w14:paraId="01F8AE7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MS_TIMESLOT_ALLOCATION</w:t>
            </w:r>
            <w:r w:rsidRPr="004D0DAA">
              <w:rPr>
                <w:lang w:eastAsia="en-US"/>
              </w:rPr>
              <w:t xml:space="preserve"> : bit (8) &gt;</w:t>
            </w:r>
          </w:p>
          <w:p w14:paraId="3C4AB2F9"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power control params</w:t>
            </w:r>
          </w:p>
          <w:p w14:paraId="18C0D1D4"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bCs/>
                <w:lang w:eastAsia="en-US"/>
              </w:rPr>
              <w:t>ALPHA</w:t>
            </w:r>
            <w:r w:rsidRPr="004D0DAA">
              <w:rPr>
                <w:lang w:eastAsia="en-US"/>
              </w:rPr>
              <w:t xml:space="preserve"> : bit (4) &gt;</w:t>
            </w:r>
            <w:r w:rsidRPr="004D0DAA">
              <w:rPr>
                <w:lang w:eastAsia="en-US"/>
              </w:rPr>
              <w:tab/>
            </w:r>
            <w:r w:rsidRPr="004D0DAA">
              <w:rPr>
                <w:lang w:eastAsia="en-US"/>
              </w:rPr>
              <w:tab/>
            </w:r>
          </w:p>
          <w:p w14:paraId="383E748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GAMMA_TN0</w:t>
            </w:r>
            <w:r w:rsidRPr="004D0DAA">
              <w:rPr>
                <w:lang w:eastAsia="en-US"/>
              </w:rPr>
              <w:t xml:space="preserve"> : bit (5) &gt; } </w:t>
            </w:r>
          </w:p>
          <w:p w14:paraId="4F0A2A7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GAMMA_TN1</w:t>
            </w:r>
            <w:r w:rsidRPr="004D0DAA">
              <w:rPr>
                <w:lang w:eastAsia="en-US"/>
              </w:rPr>
              <w:t xml:space="preserve"> : bit (5) &gt; }</w:t>
            </w:r>
          </w:p>
          <w:p w14:paraId="540B66D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GAMMA_TN2</w:t>
            </w:r>
            <w:r w:rsidRPr="004D0DAA">
              <w:rPr>
                <w:lang w:eastAsia="en-US"/>
              </w:rPr>
              <w:t xml:space="preserve"> : bit (5) &gt; }</w:t>
            </w:r>
          </w:p>
          <w:p w14:paraId="54749FD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GAMMA_TN3</w:t>
            </w:r>
            <w:r w:rsidRPr="004D0DAA">
              <w:rPr>
                <w:lang w:eastAsia="en-US"/>
              </w:rPr>
              <w:t xml:space="preserve"> : bit (5) &gt; }</w:t>
            </w:r>
          </w:p>
          <w:p w14:paraId="1923F5B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GAMMA_TN4</w:t>
            </w:r>
            <w:r w:rsidRPr="004D0DAA">
              <w:rPr>
                <w:lang w:eastAsia="en-US"/>
              </w:rPr>
              <w:t xml:space="preserve"> : bit (5) &gt; }</w:t>
            </w:r>
          </w:p>
          <w:p w14:paraId="1396FAD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GAMMA_TN5</w:t>
            </w:r>
            <w:r w:rsidRPr="004D0DAA">
              <w:rPr>
                <w:lang w:eastAsia="en-US"/>
              </w:rPr>
              <w:t xml:space="preserve"> : bit (5) &gt; }</w:t>
            </w:r>
          </w:p>
          <w:p w14:paraId="2222309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GAMMA_TN6</w:t>
            </w:r>
            <w:r w:rsidRPr="004D0DAA">
              <w:rPr>
                <w:lang w:eastAsia="en-US"/>
              </w:rPr>
              <w:t xml:space="preserve"> : bit (5) &gt; }</w:t>
            </w:r>
          </w:p>
          <w:p w14:paraId="14AF284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bCs/>
                <w:lang w:eastAsia="en-US"/>
              </w:rPr>
              <w:t>GAMMA_TN7</w:t>
            </w:r>
            <w:r w:rsidRPr="004D0DAA">
              <w:rPr>
                <w:lang w:eastAsia="en-US"/>
              </w:rPr>
              <w:t xml:space="preserve"> : bit (5) &gt; } } ;</w:t>
            </w:r>
          </w:p>
          <w:p w14:paraId="1EA95608" w14:textId="77777777" w:rsidR="00711444" w:rsidRPr="004D0DAA" w:rsidRDefault="00711444" w:rsidP="00AA2A4C">
            <w:pPr>
              <w:pStyle w:val="TAL"/>
              <w:rPr>
                <w:lang w:eastAsia="en-US"/>
              </w:rPr>
            </w:pPr>
          </w:p>
        </w:tc>
      </w:tr>
    </w:tbl>
    <w:p w14:paraId="44B267C0" w14:textId="77777777" w:rsidR="00711444" w:rsidRPr="004D0DAA" w:rsidRDefault="00711444" w:rsidP="00711444">
      <w:pPr>
        <w:tabs>
          <w:tab w:val="left" w:pos="11520"/>
        </w:tabs>
      </w:pPr>
    </w:p>
    <w:p w14:paraId="0B431156" w14:textId="77777777" w:rsidR="00711444" w:rsidRPr="004D0DAA" w:rsidRDefault="00711444" w:rsidP="00711444">
      <w:pPr>
        <w:pStyle w:val="TH"/>
      </w:pPr>
      <w:r w:rsidRPr="004D0DAA">
        <w:t>Table 12.46.2: DTM Handover PS Radio Resources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B39297" w14:textId="77777777" w:rsidTr="00AA2A4C">
        <w:tblPrEx>
          <w:tblCellMar>
            <w:top w:w="0" w:type="dxa"/>
            <w:bottom w:w="0" w:type="dxa"/>
          </w:tblCellMar>
        </w:tblPrEx>
        <w:trPr>
          <w:cantSplit/>
        </w:trPr>
        <w:tc>
          <w:tcPr>
            <w:tcW w:w="9848" w:type="dxa"/>
          </w:tcPr>
          <w:p w14:paraId="26FCC8E4" w14:textId="77777777" w:rsidR="00711444" w:rsidRPr="004D0DAA" w:rsidRDefault="00711444" w:rsidP="00AA2A4C">
            <w:r w:rsidRPr="004D0DAA">
              <w:rPr>
                <w:b/>
              </w:rPr>
              <w:t xml:space="preserve">Cell Identification </w:t>
            </w:r>
            <w:r w:rsidRPr="004D0DAA">
              <w:t>(information element)</w:t>
            </w:r>
            <w:r w:rsidRPr="004D0DAA">
              <w:br/>
              <w:t>This information element is defined in sub-clause 12.23.</w:t>
            </w:r>
          </w:p>
        </w:tc>
      </w:tr>
      <w:tr w:rsidR="00711444" w:rsidRPr="004D0DAA" w14:paraId="663E6C2F" w14:textId="77777777" w:rsidTr="00AA2A4C">
        <w:tblPrEx>
          <w:tblCellMar>
            <w:top w:w="0" w:type="dxa"/>
            <w:bottom w:w="0" w:type="dxa"/>
          </w:tblCellMar>
        </w:tblPrEx>
        <w:trPr>
          <w:cantSplit/>
        </w:trPr>
        <w:tc>
          <w:tcPr>
            <w:tcW w:w="9848" w:type="dxa"/>
          </w:tcPr>
          <w:p w14:paraId="660B9ACC" w14:textId="77777777" w:rsidR="00711444" w:rsidRPr="004D0DAA" w:rsidRDefault="00711444" w:rsidP="00AA2A4C">
            <w:r w:rsidRPr="004D0DAA">
              <w:rPr>
                <w:b/>
              </w:rPr>
              <w:t xml:space="preserve">MAX_LAPDm </w:t>
            </w:r>
            <w:r w:rsidRPr="004D0DAA">
              <w:t>(3 bit field)</w:t>
            </w:r>
            <w:r w:rsidRPr="004D0DAA">
              <w:br/>
              <w:t>This field indicates the maximum number of LAPDm frames on which a layer 3 can be segmented into and be sent on the main DCCH. It is coded as described in 3GPP TS 44.018.</w:t>
            </w:r>
          </w:p>
        </w:tc>
      </w:tr>
      <w:tr w:rsidR="00711444" w:rsidRPr="004D0DAA" w14:paraId="57B84EE4" w14:textId="77777777" w:rsidTr="00AA2A4C">
        <w:tblPrEx>
          <w:tblCellMar>
            <w:top w:w="0" w:type="dxa"/>
            <w:bottom w:w="0" w:type="dxa"/>
          </w:tblCellMar>
        </w:tblPrEx>
        <w:trPr>
          <w:cantSplit/>
        </w:trPr>
        <w:tc>
          <w:tcPr>
            <w:tcW w:w="9848" w:type="dxa"/>
          </w:tcPr>
          <w:p w14:paraId="03C92C62" w14:textId="77777777" w:rsidR="00711444" w:rsidRPr="004D0DAA" w:rsidRDefault="00711444" w:rsidP="00AA2A4C">
            <w:r w:rsidRPr="004D0DAA">
              <w:rPr>
                <w:b/>
              </w:rPr>
              <w:t>GPRS_MS_TXPWR_MAX_CCH</w:t>
            </w:r>
            <w:r w:rsidRPr="004D0DAA">
              <w:t xml:space="preserve"> (5 bit field)</w:t>
            </w:r>
            <w:r w:rsidRPr="004D0DAA">
              <w:br/>
              <w:t>The GPRS_MS_TXPWR_MAX_CCH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1C4B9F32" w14:textId="77777777" w:rsidTr="00AA2A4C">
        <w:tblPrEx>
          <w:tblCellMar>
            <w:top w:w="0" w:type="dxa"/>
            <w:bottom w:w="0" w:type="dxa"/>
          </w:tblCellMar>
        </w:tblPrEx>
        <w:trPr>
          <w:cantSplit/>
        </w:trPr>
        <w:tc>
          <w:tcPr>
            <w:tcW w:w="9848" w:type="dxa"/>
          </w:tcPr>
          <w:p w14:paraId="54B76FDF" w14:textId="77777777" w:rsidR="00711444" w:rsidRPr="004D0DAA" w:rsidRDefault="00711444" w:rsidP="00AA2A4C">
            <w:r w:rsidRPr="004D0DAA">
              <w:rPr>
                <w:b/>
              </w:rPr>
              <w:lastRenderedPageBreak/>
              <w:t>GPRS Cell Options</w:t>
            </w:r>
            <w:r w:rsidRPr="004D0DAA">
              <w:t xml:space="preserve"> (information element)</w:t>
            </w:r>
            <w:r w:rsidRPr="004D0DAA">
              <w:br/>
              <w:t>The GPRS Cell Option information element is defined in sub-clause 12.24.</w:t>
            </w:r>
          </w:p>
        </w:tc>
      </w:tr>
      <w:tr w:rsidR="00711444" w:rsidRPr="004D0DAA" w14:paraId="20E54253" w14:textId="77777777" w:rsidTr="00AA2A4C">
        <w:tblPrEx>
          <w:tblCellMar>
            <w:top w:w="0" w:type="dxa"/>
            <w:bottom w:w="0" w:type="dxa"/>
          </w:tblCellMar>
        </w:tblPrEx>
        <w:trPr>
          <w:cantSplit/>
        </w:trPr>
        <w:tc>
          <w:tcPr>
            <w:tcW w:w="9848" w:type="dxa"/>
          </w:tcPr>
          <w:p w14:paraId="1C270B32" w14:textId="77777777" w:rsidR="00711444" w:rsidRPr="004D0DAA" w:rsidRDefault="00711444" w:rsidP="00AA2A4C">
            <w:r w:rsidRPr="004D0DAA">
              <w:rPr>
                <w:b/>
              </w:rPr>
              <w:t>GPRS Power Control Parameters</w:t>
            </w:r>
            <w:r w:rsidRPr="004D0DAA">
              <w:rPr>
                <w:bCs/>
              </w:rPr>
              <w:t xml:space="preserve"> </w:t>
            </w:r>
            <w:r w:rsidRPr="004D0DAA">
              <w:t>(information element)</w:t>
            </w:r>
            <w:r w:rsidRPr="004D0DAA">
              <w:rPr>
                <w:b/>
              </w:rPr>
              <w:br/>
            </w:r>
            <w:r w:rsidRPr="004D0DAA">
              <w:t>The GPRS Power Control Parameters information element is defined in sub-clause 12.9a.</w:t>
            </w:r>
          </w:p>
        </w:tc>
      </w:tr>
      <w:tr w:rsidR="00711444" w:rsidRPr="004D0DAA" w14:paraId="05F66FD7" w14:textId="77777777" w:rsidTr="00AA2A4C">
        <w:tblPrEx>
          <w:tblCellMar>
            <w:top w:w="0" w:type="dxa"/>
            <w:bottom w:w="0" w:type="dxa"/>
          </w:tblCellMar>
        </w:tblPrEx>
        <w:trPr>
          <w:cantSplit/>
        </w:trPr>
        <w:tc>
          <w:tcPr>
            <w:tcW w:w="9848" w:type="dxa"/>
          </w:tcPr>
          <w:p w14:paraId="162E36BB" w14:textId="77777777" w:rsidR="00711444" w:rsidRPr="004D0DAA" w:rsidRDefault="00711444" w:rsidP="00AA2A4C">
            <w:pPr>
              <w:tabs>
                <w:tab w:val="left" w:pos="11520"/>
              </w:tabs>
              <w:rPr>
                <w:b/>
              </w:rPr>
            </w:pPr>
            <w:r w:rsidRPr="004D0DAA">
              <w:rPr>
                <w:b/>
              </w:rPr>
              <w:t>EXTENDED_DYNAMIC_ALLOCATION</w:t>
            </w:r>
            <w:r w:rsidRPr="004D0DAA">
              <w:t xml:space="preserve"> (1 bit field)</w:t>
            </w:r>
            <w:r w:rsidRPr="004D0DAA">
              <w:br/>
              <w:t>For description and encoding, see the Multiple TBF Uplink Assignment message.</w:t>
            </w:r>
          </w:p>
        </w:tc>
      </w:tr>
      <w:tr w:rsidR="00711444" w:rsidRPr="004D0DAA" w14:paraId="060F2CB8" w14:textId="77777777" w:rsidTr="00AA2A4C">
        <w:tblPrEx>
          <w:tblCellMar>
            <w:top w:w="0" w:type="dxa"/>
            <w:bottom w:w="0" w:type="dxa"/>
          </w:tblCellMar>
        </w:tblPrEx>
        <w:trPr>
          <w:cantSplit/>
        </w:trPr>
        <w:tc>
          <w:tcPr>
            <w:tcW w:w="9848" w:type="dxa"/>
          </w:tcPr>
          <w:p w14:paraId="5A2D3EA8" w14:textId="77777777" w:rsidR="00711444" w:rsidRPr="004D0DAA" w:rsidRDefault="00711444" w:rsidP="00AA2A4C">
            <w:pPr>
              <w:spacing w:after="0"/>
            </w:pPr>
            <w:r w:rsidRPr="004D0DAA">
              <w:rPr>
                <w:b/>
                <w:bCs/>
              </w:rPr>
              <w:t xml:space="preserve">RLC_RESET </w:t>
            </w:r>
            <w:r w:rsidRPr="004D0DAA">
              <w:t xml:space="preserve">(1 bit field) </w:t>
            </w:r>
          </w:p>
          <w:p w14:paraId="14C98BAD" w14:textId="77777777" w:rsidR="00711444" w:rsidRPr="004D0DAA" w:rsidRDefault="00711444" w:rsidP="00AA2A4C">
            <w:pPr>
              <w:tabs>
                <w:tab w:val="left" w:pos="11520"/>
              </w:tabs>
              <w:spacing w:after="0"/>
            </w:pPr>
            <w:r w:rsidRPr="004D0DAA">
              <w:t>For description and encoding, see sub-clause 12.42.</w:t>
            </w:r>
          </w:p>
          <w:p w14:paraId="13001AC1" w14:textId="77777777" w:rsidR="00711444" w:rsidRPr="004D0DAA" w:rsidRDefault="00711444" w:rsidP="00AA2A4C">
            <w:pPr>
              <w:tabs>
                <w:tab w:val="left" w:pos="11520"/>
              </w:tabs>
              <w:spacing w:after="0"/>
            </w:pPr>
          </w:p>
        </w:tc>
      </w:tr>
      <w:tr w:rsidR="00711444" w:rsidRPr="004D0DAA" w14:paraId="39E093DA" w14:textId="77777777" w:rsidTr="00AA2A4C">
        <w:tblPrEx>
          <w:tblCellMar>
            <w:top w:w="0" w:type="dxa"/>
            <w:bottom w:w="0" w:type="dxa"/>
          </w:tblCellMar>
        </w:tblPrEx>
        <w:trPr>
          <w:cantSplit/>
        </w:trPr>
        <w:tc>
          <w:tcPr>
            <w:tcW w:w="9848" w:type="dxa"/>
          </w:tcPr>
          <w:p w14:paraId="0F3330B7" w14:textId="77777777" w:rsidR="00711444" w:rsidRPr="004D0DAA" w:rsidRDefault="00711444" w:rsidP="00AA2A4C">
            <w:pPr>
              <w:tabs>
                <w:tab w:val="left" w:pos="11520"/>
              </w:tabs>
              <w:rPr>
                <w:b/>
                <w:bCs/>
              </w:rPr>
            </w:pPr>
            <w:r w:rsidRPr="004D0DAA">
              <w:rPr>
                <w:b/>
              </w:rPr>
              <w:t>P0</w:t>
            </w:r>
            <w:r w:rsidRPr="004D0DAA">
              <w:t xml:space="preserve"> (4 bit field)</w:t>
            </w:r>
            <w:r w:rsidRPr="004D0DAA">
              <w:br/>
              <w:t>For description and encoding, see the Multiple TBF Uplink Assignment message.</w:t>
            </w:r>
          </w:p>
        </w:tc>
      </w:tr>
      <w:tr w:rsidR="00711444" w:rsidRPr="004D0DAA" w14:paraId="2885F78E" w14:textId="77777777" w:rsidTr="00AA2A4C">
        <w:tblPrEx>
          <w:tblCellMar>
            <w:top w:w="0" w:type="dxa"/>
            <w:bottom w:w="0" w:type="dxa"/>
          </w:tblCellMar>
        </w:tblPrEx>
        <w:trPr>
          <w:cantSplit/>
        </w:trPr>
        <w:tc>
          <w:tcPr>
            <w:tcW w:w="9848" w:type="dxa"/>
          </w:tcPr>
          <w:p w14:paraId="7794F4F3" w14:textId="77777777" w:rsidR="00711444" w:rsidRPr="004D0DAA" w:rsidRDefault="00711444" w:rsidP="00AA2A4C">
            <w:pPr>
              <w:tabs>
                <w:tab w:val="left" w:pos="11520"/>
              </w:tabs>
              <w:rPr>
                <w:b/>
              </w:rPr>
            </w:pPr>
            <w:r w:rsidRPr="004D0DAA">
              <w:rPr>
                <w:b/>
              </w:rPr>
              <w:t>PR_MODE</w:t>
            </w:r>
            <w:r w:rsidRPr="004D0DAA">
              <w:t xml:space="preserve"> (1 bit field)</w:t>
            </w:r>
            <w:r w:rsidRPr="004D0DAA">
              <w:br/>
              <w:t>For description and encoding, see the Multiple TBF Uplink Assignment message.</w:t>
            </w:r>
          </w:p>
        </w:tc>
      </w:tr>
      <w:tr w:rsidR="00711444" w:rsidRPr="004D0DAA" w14:paraId="0C8B27DA" w14:textId="77777777" w:rsidTr="00AA2A4C">
        <w:tblPrEx>
          <w:tblCellMar>
            <w:top w:w="0" w:type="dxa"/>
            <w:bottom w:w="0" w:type="dxa"/>
          </w:tblCellMar>
        </w:tblPrEx>
        <w:trPr>
          <w:cantSplit/>
        </w:trPr>
        <w:tc>
          <w:tcPr>
            <w:tcW w:w="9848" w:type="dxa"/>
          </w:tcPr>
          <w:p w14:paraId="3676BE01" w14:textId="77777777" w:rsidR="00711444" w:rsidRPr="004D0DAA" w:rsidRDefault="00711444" w:rsidP="00AA2A4C">
            <w:pPr>
              <w:tabs>
                <w:tab w:val="left" w:pos="11520"/>
              </w:tabs>
              <w:spacing w:after="0"/>
              <w:rPr>
                <w:bCs/>
              </w:rPr>
            </w:pPr>
            <w:r w:rsidRPr="004D0DAA">
              <w:rPr>
                <w:b/>
              </w:rPr>
              <w:t xml:space="preserve">Uplink Control Timeslot </w:t>
            </w:r>
            <w:r w:rsidRPr="004D0DAA">
              <w:rPr>
                <w:bCs/>
              </w:rPr>
              <w:t>(3 bit field)</w:t>
            </w:r>
          </w:p>
          <w:p w14:paraId="046407C8" w14:textId="77777777" w:rsidR="00711444" w:rsidRPr="004D0DAA" w:rsidRDefault="00711444" w:rsidP="00AA2A4C">
            <w:pPr>
              <w:tabs>
                <w:tab w:val="left" w:pos="11520"/>
              </w:tabs>
              <w:rPr>
                <w:b/>
              </w:rPr>
            </w:pPr>
            <w:r w:rsidRPr="004D0DAA">
              <w:t>For description and encoding, see the Multiple TBF Uplink Assignment message.</w:t>
            </w:r>
          </w:p>
        </w:tc>
      </w:tr>
      <w:tr w:rsidR="00711444" w:rsidRPr="004D0DAA" w14:paraId="63188EDF" w14:textId="77777777" w:rsidTr="00AA2A4C">
        <w:tblPrEx>
          <w:tblCellMar>
            <w:top w:w="0" w:type="dxa"/>
            <w:bottom w:w="0" w:type="dxa"/>
          </w:tblCellMar>
        </w:tblPrEx>
        <w:trPr>
          <w:cantSplit/>
        </w:trPr>
        <w:tc>
          <w:tcPr>
            <w:tcW w:w="9848" w:type="dxa"/>
          </w:tcPr>
          <w:p w14:paraId="51847F68" w14:textId="77777777" w:rsidR="00711444" w:rsidRPr="004D0DAA" w:rsidRDefault="00711444" w:rsidP="00AA2A4C">
            <w:pPr>
              <w:tabs>
                <w:tab w:val="left" w:pos="11520"/>
              </w:tabs>
              <w:rPr>
                <w:b/>
              </w:rPr>
            </w:pPr>
            <w:r w:rsidRPr="004D0DAA">
              <w:rPr>
                <w:b/>
              </w:rPr>
              <w:t>CHANNEL_CODING_COMMAND</w:t>
            </w:r>
            <w:r w:rsidRPr="004D0DAA">
              <w:t xml:space="preserve"> (2 bit field)</w:t>
            </w:r>
            <w:r w:rsidRPr="004D0DAA">
              <w:br/>
              <w:t>For description and encoding, see the Multiple TBF Uplink Assignment message.</w:t>
            </w:r>
          </w:p>
        </w:tc>
      </w:tr>
      <w:tr w:rsidR="00711444" w:rsidRPr="004D0DAA" w14:paraId="3E3F602E" w14:textId="77777777" w:rsidTr="00AA2A4C">
        <w:tblPrEx>
          <w:tblCellMar>
            <w:top w:w="0" w:type="dxa"/>
            <w:bottom w:w="0" w:type="dxa"/>
          </w:tblCellMar>
        </w:tblPrEx>
        <w:trPr>
          <w:cantSplit/>
        </w:trPr>
        <w:tc>
          <w:tcPr>
            <w:tcW w:w="9848" w:type="dxa"/>
          </w:tcPr>
          <w:p w14:paraId="402DF5E6" w14:textId="77777777" w:rsidR="00711444" w:rsidRPr="004D0DAA" w:rsidRDefault="00711444" w:rsidP="00AA2A4C">
            <w:pPr>
              <w:tabs>
                <w:tab w:val="left" w:pos="11520"/>
              </w:tabs>
              <w:rPr>
                <w:b/>
              </w:rPr>
            </w:pPr>
            <w:r w:rsidRPr="004D0DAA">
              <w:rPr>
                <w:b/>
              </w:rPr>
              <w:t>EGPRS Window Size</w:t>
            </w:r>
            <w:r w:rsidRPr="004D0DAA">
              <w:br/>
              <w:t>This information element is defined in sub-clause 12.5.2.</w:t>
            </w:r>
          </w:p>
        </w:tc>
      </w:tr>
      <w:tr w:rsidR="00711444" w:rsidRPr="004D0DAA" w14:paraId="09E164E3" w14:textId="77777777" w:rsidTr="00AA2A4C">
        <w:tblPrEx>
          <w:tblCellMar>
            <w:top w:w="0" w:type="dxa"/>
            <w:bottom w:w="0" w:type="dxa"/>
          </w:tblCellMar>
        </w:tblPrEx>
        <w:trPr>
          <w:cantSplit/>
        </w:trPr>
        <w:tc>
          <w:tcPr>
            <w:tcW w:w="9848" w:type="dxa"/>
          </w:tcPr>
          <w:p w14:paraId="2059A692" w14:textId="77777777" w:rsidR="00711444" w:rsidRPr="004D0DAA" w:rsidRDefault="00711444" w:rsidP="00AA2A4C">
            <w:pPr>
              <w:tabs>
                <w:tab w:val="left" w:pos="11520"/>
              </w:tabs>
              <w:spacing w:after="0"/>
              <w:rPr>
                <w:b/>
                <w:bCs/>
              </w:rPr>
            </w:pPr>
            <w:r w:rsidRPr="004D0DAA">
              <w:rPr>
                <w:b/>
                <w:bCs/>
              </w:rPr>
              <w:t>EGPRS Modulation and Coding Scheme</w:t>
            </w:r>
          </w:p>
          <w:p w14:paraId="2A57EB0F" w14:textId="77777777" w:rsidR="00711444" w:rsidRPr="004D0DAA" w:rsidRDefault="00711444" w:rsidP="00AA2A4C">
            <w:pPr>
              <w:tabs>
                <w:tab w:val="left" w:pos="11520"/>
              </w:tabs>
              <w:rPr>
                <w:b/>
              </w:rPr>
            </w:pPr>
            <w:r w:rsidRPr="004D0DAA">
              <w:t>For description and encoding, see the Multiple TBF Uplink Assignment message.</w:t>
            </w:r>
          </w:p>
        </w:tc>
      </w:tr>
      <w:tr w:rsidR="00711444" w:rsidRPr="004D0DAA" w14:paraId="2DA37F4C" w14:textId="77777777" w:rsidTr="00AA2A4C">
        <w:tblPrEx>
          <w:tblCellMar>
            <w:top w:w="0" w:type="dxa"/>
            <w:bottom w:w="0" w:type="dxa"/>
          </w:tblCellMar>
        </w:tblPrEx>
        <w:trPr>
          <w:cantSplit/>
        </w:trPr>
        <w:tc>
          <w:tcPr>
            <w:tcW w:w="9848" w:type="dxa"/>
          </w:tcPr>
          <w:p w14:paraId="26E8020D" w14:textId="77777777" w:rsidR="00711444" w:rsidRPr="004D0DAA" w:rsidRDefault="00711444" w:rsidP="00AA2A4C">
            <w:pPr>
              <w:tabs>
                <w:tab w:val="left" w:pos="11520"/>
              </w:tabs>
              <w:rPr>
                <w:b/>
              </w:rPr>
            </w:pPr>
            <w:r w:rsidRPr="004D0DAA">
              <w:rPr>
                <w:b/>
              </w:rPr>
              <w:t>BEP_PERIOD2</w:t>
            </w:r>
            <w:r w:rsidRPr="004D0DAA">
              <w:t xml:space="preserve"> (4 bit field)</w:t>
            </w:r>
            <w:r w:rsidRPr="004D0DAA">
              <w:br/>
              <w:t>For description and encoding, see the Multiple TBF Uplink Assignment message.</w:t>
            </w:r>
          </w:p>
        </w:tc>
      </w:tr>
      <w:tr w:rsidR="00711444" w:rsidRPr="004D0DAA" w14:paraId="45077F78" w14:textId="77777777" w:rsidTr="00AA2A4C">
        <w:tblPrEx>
          <w:tblCellMar>
            <w:top w:w="0" w:type="dxa"/>
            <w:bottom w:w="0" w:type="dxa"/>
          </w:tblCellMar>
        </w:tblPrEx>
        <w:trPr>
          <w:cantSplit/>
        </w:trPr>
        <w:tc>
          <w:tcPr>
            <w:tcW w:w="9848" w:type="dxa"/>
          </w:tcPr>
          <w:p w14:paraId="74574087" w14:textId="77777777" w:rsidR="00711444" w:rsidRPr="004D0DAA" w:rsidRDefault="00711444" w:rsidP="00AA2A4C">
            <w:pPr>
              <w:tabs>
                <w:tab w:val="left" w:pos="11520"/>
              </w:tabs>
              <w:spacing w:after="0"/>
            </w:pPr>
            <w:r w:rsidRPr="004D0DAA">
              <w:rPr>
                <w:b/>
              </w:rPr>
              <w:t>LINK_QUALITY_MEASUREMENT_MODE</w:t>
            </w:r>
            <w:r w:rsidRPr="004D0DAA">
              <w:t xml:space="preserve"> (2 bit field)</w:t>
            </w:r>
          </w:p>
          <w:p w14:paraId="5253648B" w14:textId="77777777" w:rsidR="00711444" w:rsidRPr="004D0DAA" w:rsidRDefault="00711444" w:rsidP="00AA2A4C">
            <w:pPr>
              <w:tabs>
                <w:tab w:val="left" w:pos="11520"/>
              </w:tabs>
              <w:spacing w:after="0"/>
              <w:ind w:left="432" w:hanging="432"/>
            </w:pPr>
            <w:r w:rsidRPr="004D0DAA">
              <w:t>For description and encoding, see the Multiple TBF Downlink Assignment message.</w:t>
            </w:r>
          </w:p>
          <w:p w14:paraId="6444F8BE" w14:textId="77777777" w:rsidR="00711444" w:rsidRPr="004D0DAA" w:rsidRDefault="00711444" w:rsidP="00AA2A4C">
            <w:pPr>
              <w:tabs>
                <w:tab w:val="left" w:pos="11520"/>
              </w:tabs>
              <w:spacing w:after="0"/>
              <w:ind w:left="432" w:hanging="432"/>
              <w:rPr>
                <w:b/>
              </w:rPr>
            </w:pPr>
          </w:p>
        </w:tc>
      </w:tr>
      <w:tr w:rsidR="00711444" w:rsidRPr="004D0DAA" w14:paraId="1848D29A" w14:textId="77777777" w:rsidTr="00AA2A4C">
        <w:tblPrEx>
          <w:tblCellMar>
            <w:top w:w="0" w:type="dxa"/>
            <w:bottom w:w="0" w:type="dxa"/>
          </w:tblCellMar>
        </w:tblPrEx>
        <w:trPr>
          <w:cantSplit/>
        </w:trPr>
        <w:tc>
          <w:tcPr>
            <w:tcW w:w="9848" w:type="dxa"/>
          </w:tcPr>
          <w:p w14:paraId="4BB1EE64" w14:textId="77777777" w:rsidR="00711444" w:rsidRPr="004D0DAA" w:rsidRDefault="00711444" w:rsidP="00AA2A4C">
            <w:pPr>
              <w:tabs>
                <w:tab w:val="left" w:pos="11520"/>
              </w:tabs>
              <w:spacing w:after="0"/>
              <w:rPr>
                <w:b/>
              </w:rPr>
            </w:pPr>
            <w:r w:rsidRPr="004D0DAA">
              <w:rPr>
                <w:b/>
              </w:rPr>
              <w:t xml:space="preserve">PFI </w:t>
            </w:r>
            <w:r w:rsidRPr="004D0DAA">
              <w:rPr>
                <w:bCs/>
              </w:rPr>
              <w:t>(7 bit field)</w:t>
            </w:r>
          </w:p>
          <w:p w14:paraId="04135D54" w14:textId="77777777" w:rsidR="00711444" w:rsidRPr="004D0DAA" w:rsidRDefault="00711444" w:rsidP="00AA2A4C">
            <w:pPr>
              <w:pStyle w:val="Index1"/>
              <w:keepLines w:val="0"/>
              <w:tabs>
                <w:tab w:val="left" w:pos="11520"/>
              </w:tabs>
            </w:pPr>
            <w:r w:rsidRPr="004D0DAA">
              <w:t>This field shall only be included for TBFs if both the network and the mobile station support multiple TBFs.This field contains the PFI parameter identifying a Packet Flow Context. The PFI parameter is encoded as the contents of the PFI information element as defined in 3GPP TS 44.018.</w:t>
            </w:r>
          </w:p>
          <w:p w14:paraId="75F021AD" w14:textId="77777777" w:rsidR="00711444" w:rsidRPr="004D0DAA" w:rsidRDefault="00711444" w:rsidP="00AA2A4C">
            <w:pPr>
              <w:tabs>
                <w:tab w:val="left" w:pos="11520"/>
              </w:tabs>
              <w:spacing w:after="0"/>
              <w:rPr>
                <w:b/>
              </w:rPr>
            </w:pPr>
          </w:p>
        </w:tc>
      </w:tr>
      <w:tr w:rsidR="00711444" w:rsidRPr="004D0DAA" w14:paraId="3617EC39" w14:textId="77777777" w:rsidTr="00AA2A4C">
        <w:tblPrEx>
          <w:tblCellMar>
            <w:top w:w="0" w:type="dxa"/>
            <w:bottom w:w="0" w:type="dxa"/>
          </w:tblCellMar>
        </w:tblPrEx>
        <w:trPr>
          <w:cantSplit/>
        </w:trPr>
        <w:tc>
          <w:tcPr>
            <w:tcW w:w="9848" w:type="dxa"/>
          </w:tcPr>
          <w:p w14:paraId="3CC40F06" w14:textId="77777777" w:rsidR="00711444" w:rsidRPr="004D0DAA" w:rsidRDefault="00711444" w:rsidP="00AA2A4C">
            <w:pPr>
              <w:tabs>
                <w:tab w:val="left" w:pos="11520"/>
              </w:tabs>
              <w:spacing w:after="0"/>
              <w:rPr>
                <w:bCs/>
              </w:rPr>
            </w:pPr>
            <w:r w:rsidRPr="004D0DAA">
              <w:rPr>
                <w:b/>
              </w:rPr>
              <w:t>RLC_MODE (1 bit field)</w:t>
            </w:r>
          </w:p>
          <w:p w14:paraId="4881320B" w14:textId="77777777" w:rsidR="00711444" w:rsidRPr="004D0DAA" w:rsidRDefault="00711444" w:rsidP="00AA2A4C">
            <w:pPr>
              <w:tabs>
                <w:tab w:val="left" w:pos="11520"/>
              </w:tabs>
              <w:spacing w:after="0"/>
            </w:pPr>
            <w:r w:rsidRPr="004D0DAA">
              <w:t xml:space="preserve">For description and encoding, see the Multiple TBF Uplink Assignment message or the Multiple TBF Downlink Assignment message. If the </w:t>
            </w:r>
            <w:r w:rsidRPr="004D0DAA">
              <w:rPr>
                <w:b/>
                <w:bCs/>
              </w:rPr>
              <w:t>RLC_RESET</w:t>
            </w:r>
            <w:r w:rsidRPr="004D0DAA">
              <w:t xml:space="preserve"> field indicates that any given RLC entity is not reset across PS handover then the mobile station shall ignore this field and use the same RLC mode that was used for the corresponding PFC in the old cell.</w:t>
            </w:r>
          </w:p>
          <w:p w14:paraId="1F69BA2C" w14:textId="77777777" w:rsidR="00711444" w:rsidRPr="004D0DAA" w:rsidRDefault="00711444" w:rsidP="00AA2A4C">
            <w:pPr>
              <w:tabs>
                <w:tab w:val="left" w:pos="11520"/>
              </w:tabs>
              <w:spacing w:after="0"/>
              <w:rPr>
                <w:b/>
              </w:rPr>
            </w:pPr>
          </w:p>
        </w:tc>
      </w:tr>
      <w:tr w:rsidR="00711444" w:rsidRPr="004D0DAA" w14:paraId="23A476DA" w14:textId="77777777" w:rsidTr="00AA2A4C">
        <w:tblPrEx>
          <w:tblCellMar>
            <w:top w:w="0" w:type="dxa"/>
            <w:bottom w:w="0" w:type="dxa"/>
          </w:tblCellMar>
        </w:tblPrEx>
        <w:trPr>
          <w:cantSplit/>
        </w:trPr>
        <w:tc>
          <w:tcPr>
            <w:tcW w:w="9848" w:type="dxa"/>
          </w:tcPr>
          <w:p w14:paraId="4ECE1010" w14:textId="77777777" w:rsidR="00711444" w:rsidRPr="004D0DAA" w:rsidRDefault="00711444" w:rsidP="00AA2A4C">
            <w:pPr>
              <w:tabs>
                <w:tab w:val="left" w:pos="11520"/>
              </w:tabs>
              <w:spacing w:after="0"/>
            </w:pPr>
            <w:r w:rsidRPr="004D0DAA">
              <w:rPr>
                <w:b/>
              </w:rPr>
              <w:t xml:space="preserve">TFI Assignment </w:t>
            </w:r>
            <w:r w:rsidRPr="004D0DAA">
              <w:t>(5 bit field)</w:t>
            </w:r>
            <w:r w:rsidRPr="004D0DAA">
              <w:br/>
              <w:t>For description and encoding, see the Multiple TBF Uplink Assignment message.</w:t>
            </w:r>
          </w:p>
          <w:p w14:paraId="524B08FB" w14:textId="77777777" w:rsidR="00711444" w:rsidRPr="004D0DAA" w:rsidRDefault="00711444" w:rsidP="00AA2A4C">
            <w:pPr>
              <w:tabs>
                <w:tab w:val="left" w:pos="11520"/>
              </w:tabs>
              <w:spacing w:after="0"/>
              <w:rPr>
                <w:b/>
              </w:rPr>
            </w:pPr>
          </w:p>
        </w:tc>
      </w:tr>
      <w:tr w:rsidR="00711444" w:rsidRPr="004D0DAA" w14:paraId="255D6746" w14:textId="77777777" w:rsidTr="00AA2A4C">
        <w:tblPrEx>
          <w:tblCellMar>
            <w:top w:w="0" w:type="dxa"/>
            <w:bottom w:w="0" w:type="dxa"/>
          </w:tblCellMar>
        </w:tblPrEx>
        <w:trPr>
          <w:cantSplit/>
        </w:trPr>
        <w:tc>
          <w:tcPr>
            <w:tcW w:w="9848" w:type="dxa"/>
          </w:tcPr>
          <w:p w14:paraId="777051B9" w14:textId="77777777" w:rsidR="00711444" w:rsidRPr="004D0DAA" w:rsidRDefault="00711444" w:rsidP="00AA2A4C">
            <w:pPr>
              <w:tabs>
                <w:tab w:val="left" w:pos="11520"/>
              </w:tabs>
              <w:spacing w:after="0"/>
            </w:pPr>
            <w:r w:rsidRPr="004D0DAA">
              <w:rPr>
                <w:b/>
              </w:rPr>
              <w:t>USF_GRANULARITY</w:t>
            </w:r>
            <w:r w:rsidRPr="004D0DAA">
              <w:t xml:space="preserve"> (1 bit field)</w:t>
            </w:r>
            <w:r w:rsidRPr="004D0DAA">
              <w:br/>
              <w:t>For description and encoding, see the Multiple TBF Uplink Assignment message.</w:t>
            </w:r>
          </w:p>
          <w:p w14:paraId="2AFC1FD1" w14:textId="77777777" w:rsidR="00711444" w:rsidRPr="004D0DAA" w:rsidRDefault="00711444" w:rsidP="00AA2A4C">
            <w:pPr>
              <w:tabs>
                <w:tab w:val="left" w:pos="11520"/>
              </w:tabs>
              <w:spacing w:after="0"/>
              <w:rPr>
                <w:b/>
              </w:rPr>
            </w:pPr>
          </w:p>
        </w:tc>
      </w:tr>
      <w:tr w:rsidR="00711444" w:rsidRPr="004D0DAA" w14:paraId="41463127" w14:textId="77777777" w:rsidTr="00AA2A4C">
        <w:tblPrEx>
          <w:tblCellMar>
            <w:top w:w="0" w:type="dxa"/>
            <w:bottom w:w="0" w:type="dxa"/>
          </w:tblCellMar>
        </w:tblPrEx>
        <w:trPr>
          <w:cantSplit/>
        </w:trPr>
        <w:tc>
          <w:tcPr>
            <w:tcW w:w="9848" w:type="dxa"/>
          </w:tcPr>
          <w:p w14:paraId="0B4FB3D0" w14:textId="77777777" w:rsidR="00711444" w:rsidRPr="004D0DAA" w:rsidRDefault="00711444" w:rsidP="00AA2A4C">
            <w:pPr>
              <w:tabs>
                <w:tab w:val="left" w:pos="11520"/>
              </w:tabs>
              <w:spacing w:after="0"/>
            </w:pPr>
            <w:r w:rsidRPr="004D0DAA">
              <w:rPr>
                <w:b/>
              </w:rPr>
              <w:t xml:space="preserve">TBF_TIMESLOT_ALLOCATION </w:t>
            </w:r>
            <w:r w:rsidRPr="004D0DAA">
              <w:rPr>
                <w:bCs/>
              </w:rPr>
              <w:t>(N bit field)</w:t>
            </w:r>
            <w:r w:rsidRPr="004D0DAA">
              <w:rPr>
                <w:bCs/>
              </w:rPr>
              <w:br/>
            </w:r>
            <w:r w:rsidRPr="004D0DAA">
              <w:t>For description and encoding, see the Multiple TBF Uplink Assignment message.</w:t>
            </w:r>
          </w:p>
          <w:p w14:paraId="0BB1DBB4" w14:textId="77777777" w:rsidR="00711444" w:rsidRPr="004D0DAA" w:rsidRDefault="00711444" w:rsidP="00AA2A4C">
            <w:pPr>
              <w:tabs>
                <w:tab w:val="left" w:pos="11520"/>
              </w:tabs>
              <w:spacing w:after="0"/>
              <w:rPr>
                <w:b/>
              </w:rPr>
            </w:pPr>
          </w:p>
        </w:tc>
      </w:tr>
      <w:tr w:rsidR="00711444" w:rsidRPr="004D0DAA" w14:paraId="63AB09F0" w14:textId="77777777" w:rsidTr="00AA2A4C">
        <w:tblPrEx>
          <w:tblCellMar>
            <w:top w:w="0" w:type="dxa"/>
            <w:bottom w:w="0" w:type="dxa"/>
          </w:tblCellMar>
        </w:tblPrEx>
        <w:trPr>
          <w:cantSplit/>
        </w:trPr>
        <w:tc>
          <w:tcPr>
            <w:tcW w:w="9848" w:type="dxa"/>
          </w:tcPr>
          <w:p w14:paraId="3CD877D0" w14:textId="77777777" w:rsidR="00711444" w:rsidRPr="004D0DAA" w:rsidRDefault="00711444" w:rsidP="00AA2A4C">
            <w:pPr>
              <w:tabs>
                <w:tab w:val="left" w:pos="11520"/>
              </w:tabs>
              <w:spacing w:after="0"/>
            </w:pPr>
            <w:r w:rsidRPr="004D0DAA">
              <w:rPr>
                <w:b/>
              </w:rPr>
              <w:t>USF_ALLOCATION</w:t>
            </w:r>
            <w:r w:rsidRPr="004D0DAA">
              <w:t xml:space="preserve"> (3 bit field)</w:t>
            </w:r>
            <w:r w:rsidRPr="004D0DAA">
              <w:br/>
              <w:t>For description and encoding, see the Multiple TBF Uplink Assignment message.</w:t>
            </w:r>
          </w:p>
          <w:p w14:paraId="57794DD0" w14:textId="77777777" w:rsidR="00711444" w:rsidRPr="004D0DAA" w:rsidRDefault="00711444" w:rsidP="00AA2A4C">
            <w:pPr>
              <w:tabs>
                <w:tab w:val="left" w:pos="11520"/>
              </w:tabs>
              <w:spacing w:after="0"/>
              <w:rPr>
                <w:b/>
              </w:rPr>
            </w:pPr>
          </w:p>
        </w:tc>
      </w:tr>
      <w:tr w:rsidR="00711444" w:rsidRPr="004D0DAA" w14:paraId="7D1D09E7" w14:textId="77777777" w:rsidTr="00AA2A4C">
        <w:tblPrEx>
          <w:tblCellMar>
            <w:top w:w="0" w:type="dxa"/>
            <w:bottom w:w="0" w:type="dxa"/>
          </w:tblCellMar>
        </w:tblPrEx>
        <w:trPr>
          <w:cantSplit/>
        </w:trPr>
        <w:tc>
          <w:tcPr>
            <w:tcW w:w="9848" w:type="dxa"/>
          </w:tcPr>
          <w:p w14:paraId="33A9332D" w14:textId="77777777" w:rsidR="00711444" w:rsidRPr="004D0DAA" w:rsidRDefault="00711444" w:rsidP="00AA2A4C">
            <w:pPr>
              <w:tabs>
                <w:tab w:val="left" w:pos="11520"/>
              </w:tabs>
              <w:rPr>
                <w:b/>
              </w:rPr>
            </w:pPr>
            <w:r w:rsidRPr="004D0DAA">
              <w:rPr>
                <w:b/>
              </w:rPr>
              <w:t>TIMESLOT_ALLOCATION</w:t>
            </w:r>
            <w:r w:rsidRPr="004D0DAA">
              <w:t xml:space="preserve"> (8 bit field)</w:t>
            </w:r>
            <w:r w:rsidRPr="004D0DAA">
              <w:rPr>
                <w:b/>
              </w:rPr>
              <w:br/>
            </w:r>
            <w:r w:rsidRPr="004D0DAA">
              <w:t>For description and encoding, see the Multiple TBF Downlink Assignment message.</w:t>
            </w:r>
          </w:p>
        </w:tc>
      </w:tr>
      <w:tr w:rsidR="00711444" w:rsidRPr="004D0DAA" w14:paraId="706B00C3" w14:textId="77777777" w:rsidTr="00AA2A4C">
        <w:tblPrEx>
          <w:tblCellMar>
            <w:top w:w="0" w:type="dxa"/>
            <w:bottom w:w="0" w:type="dxa"/>
          </w:tblCellMar>
        </w:tblPrEx>
        <w:trPr>
          <w:cantSplit/>
        </w:trPr>
        <w:tc>
          <w:tcPr>
            <w:tcW w:w="9848" w:type="dxa"/>
          </w:tcPr>
          <w:p w14:paraId="5E11EAD6" w14:textId="77777777" w:rsidR="00711444" w:rsidRPr="004D0DAA" w:rsidRDefault="00711444" w:rsidP="00AA2A4C">
            <w:pPr>
              <w:tabs>
                <w:tab w:val="left" w:pos="11520"/>
              </w:tabs>
              <w:rPr>
                <w:b/>
              </w:rPr>
            </w:pPr>
            <w:r w:rsidRPr="004D0DAA">
              <w:rPr>
                <w:b/>
              </w:rPr>
              <w:lastRenderedPageBreak/>
              <w:t xml:space="preserve">CONTROL_ACK </w:t>
            </w:r>
            <w:r w:rsidRPr="004D0DAA">
              <w:t>(1 bit field)</w:t>
            </w:r>
            <w:r w:rsidRPr="004D0DAA">
              <w:br/>
              <w:t>For description and encoding, see sub-clause 12.42.</w:t>
            </w:r>
          </w:p>
        </w:tc>
      </w:tr>
      <w:tr w:rsidR="00711444" w:rsidRPr="004D0DAA" w14:paraId="7CC4FC05" w14:textId="77777777" w:rsidTr="00AA2A4C">
        <w:tblPrEx>
          <w:tblCellMar>
            <w:top w:w="0" w:type="dxa"/>
            <w:bottom w:w="0" w:type="dxa"/>
          </w:tblCellMar>
        </w:tblPrEx>
        <w:trPr>
          <w:cantSplit/>
        </w:trPr>
        <w:tc>
          <w:tcPr>
            <w:tcW w:w="9848" w:type="dxa"/>
          </w:tcPr>
          <w:p w14:paraId="54091DB1" w14:textId="77777777" w:rsidR="00711444" w:rsidRPr="004D0DAA" w:rsidRDefault="00711444" w:rsidP="00AA2A4C">
            <w:pPr>
              <w:tabs>
                <w:tab w:val="left" w:pos="11520"/>
              </w:tabs>
              <w:rPr>
                <w:b/>
              </w:rPr>
            </w:pPr>
            <w:r w:rsidRPr="004D0DAA">
              <w:rPr>
                <w:b/>
              </w:rPr>
              <w:t xml:space="preserve">MS_TIMESLOT_ALLOCATION </w:t>
            </w:r>
            <w:r w:rsidRPr="004D0DAA">
              <w:rPr>
                <w:bCs/>
              </w:rPr>
              <w:t>(8 bit field)</w:t>
            </w:r>
            <w:r w:rsidRPr="004D0DAA">
              <w:rPr>
                <w:bCs/>
              </w:rPr>
              <w:br/>
            </w:r>
            <w:r w:rsidRPr="004D0DAA">
              <w:t>For description and encoding, see the Multiple TBF Uplink Assignment message.</w:t>
            </w:r>
          </w:p>
        </w:tc>
      </w:tr>
      <w:tr w:rsidR="00711444" w:rsidRPr="004D0DAA" w14:paraId="5FBB6ABC" w14:textId="77777777" w:rsidTr="00AA2A4C">
        <w:tblPrEx>
          <w:tblCellMar>
            <w:top w:w="0" w:type="dxa"/>
            <w:bottom w:w="0" w:type="dxa"/>
          </w:tblCellMar>
        </w:tblPrEx>
        <w:trPr>
          <w:cantSplit/>
        </w:trPr>
        <w:tc>
          <w:tcPr>
            <w:tcW w:w="9848" w:type="dxa"/>
          </w:tcPr>
          <w:p w14:paraId="2C053B29" w14:textId="77777777" w:rsidR="00711444" w:rsidRPr="004D0DAA" w:rsidRDefault="00711444" w:rsidP="00AA2A4C">
            <w:pPr>
              <w:tabs>
                <w:tab w:val="left" w:pos="11520"/>
              </w:tabs>
              <w:rPr>
                <w:b/>
              </w:rPr>
            </w:pPr>
            <w:r w:rsidRPr="004D0DAA">
              <w:rPr>
                <w:b/>
              </w:rPr>
              <w:t>ALPHA</w:t>
            </w:r>
            <w:r w:rsidRPr="004D0DAA">
              <w:t xml:space="preserve"> (4 bit field)</w:t>
            </w:r>
            <w:r w:rsidRPr="004D0DAA">
              <w:br/>
              <w:t>For encoding and description see the Global Power Control Parameters IE.</w:t>
            </w:r>
          </w:p>
        </w:tc>
      </w:tr>
      <w:tr w:rsidR="00711444" w:rsidRPr="004D0DAA" w14:paraId="3044F5DC" w14:textId="77777777" w:rsidTr="00AA2A4C">
        <w:tblPrEx>
          <w:tblCellMar>
            <w:top w:w="0" w:type="dxa"/>
            <w:bottom w:w="0" w:type="dxa"/>
          </w:tblCellMar>
        </w:tblPrEx>
        <w:trPr>
          <w:cantSplit/>
        </w:trPr>
        <w:tc>
          <w:tcPr>
            <w:tcW w:w="9848" w:type="dxa"/>
          </w:tcPr>
          <w:p w14:paraId="33FA9C25" w14:textId="77777777" w:rsidR="00711444" w:rsidRPr="004D0DAA" w:rsidRDefault="00711444" w:rsidP="00AA2A4C">
            <w:pPr>
              <w:tabs>
                <w:tab w:val="left" w:pos="11520"/>
              </w:tabs>
              <w:rPr>
                <w:b/>
              </w:rPr>
            </w:pPr>
            <w:r w:rsidRPr="004D0DAA">
              <w:rPr>
                <w:b/>
              </w:rPr>
              <w:t>GAMMA_TN</w:t>
            </w:r>
            <w:r w:rsidRPr="004D0DAA">
              <w:t xml:space="preserve"> (5 bit field)</w:t>
            </w:r>
            <w:r w:rsidRPr="004D0DAA">
              <w:br/>
              <w:t>For description and encoding, see the Multiple TBF Uplink Assignment message.</w:t>
            </w:r>
          </w:p>
        </w:tc>
      </w:tr>
      <w:tr w:rsidR="00711444" w:rsidRPr="004D0DAA" w14:paraId="39F42EE8" w14:textId="77777777" w:rsidTr="00AA2A4C">
        <w:tblPrEx>
          <w:tblCellMar>
            <w:top w:w="0" w:type="dxa"/>
            <w:bottom w:w="0" w:type="dxa"/>
          </w:tblCellMar>
        </w:tblPrEx>
        <w:trPr>
          <w:cantSplit/>
        </w:trPr>
        <w:tc>
          <w:tcPr>
            <w:tcW w:w="9848" w:type="dxa"/>
          </w:tcPr>
          <w:p w14:paraId="6098B829" w14:textId="77777777" w:rsidR="00711444" w:rsidRPr="004D0DAA" w:rsidRDefault="00711444" w:rsidP="00AA2A4C">
            <w:pPr>
              <w:spacing w:after="0"/>
            </w:pPr>
            <w:r w:rsidRPr="004D0DAA">
              <w:rPr>
                <w:b/>
              </w:rPr>
              <w:t>Primary TSC Set</w:t>
            </w:r>
            <w:r w:rsidRPr="004D0DAA">
              <w:t xml:space="preserve"> (1 bit field)</w:t>
            </w:r>
          </w:p>
          <w:p w14:paraId="5DDDE26C" w14:textId="77777777" w:rsidR="00711444" w:rsidRPr="004D0DAA" w:rsidRDefault="00711444" w:rsidP="00AA2A4C">
            <w:r w:rsidRPr="004D0DAA">
              <w:t xml:space="preserve">If a mobile station supports the extended TSC sets (see 3GPP TS 45.002 [32]) then it shall use this field to identify the TSC set associated with the </w:t>
            </w:r>
            <w:r w:rsidRPr="004D0DAA">
              <w:rPr>
                <w:i/>
              </w:rPr>
              <w:t>Primary TSC Value</w:t>
            </w:r>
            <w:r w:rsidRPr="004D0DAA">
              <w:t xml:space="preserve"> field.  In the absence of this field the TSC set indicated by the </w:t>
            </w:r>
            <w:r w:rsidRPr="004D0DAA">
              <w:rPr>
                <w:i/>
              </w:rPr>
              <w:t>DTM Handover CS Radio Resources</w:t>
            </w:r>
            <w:r w:rsidRPr="004D0DAA">
              <w:t xml:space="preserve"> IE shall be used. </w:t>
            </w:r>
          </w:p>
          <w:p w14:paraId="244427CC" w14:textId="77777777" w:rsidR="00711444" w:rsidRPr="004D0DAA" w:rsidRDefault="00711444" w:rsidP="00AA2A4C">
            <w:pPr>
              <w:spacing w:after="0"/>
            </w:pPr>
            <w:r w:rsidRPr="004D0DAA">
              <w:rPr>
                <w:b/>
              </w:rPr>
              <w:t>Secondary DL TSC Set</w:t>
            </w:r>
            <w:r w:rsidRPr="004D0DAA">
              <w:t xml:space="preserve"> (1 bit field)</w:t>
            </w:r>
          </w:p>
          <w:p w14:paraId="65B7796D" w14:textId="77777777" w:rsidR="00711444" w:rsidRPr="004D0DAA" w:rsidRDefault="00711444" w:rsidP="00AA2A4C">
            <w:r w:rsidRPr="004D0DAA">
              <w:t xml:space="preserve">If a mobile station supports the extended TSC sets (see 3GPP TS 45.002 [32]) then it shall use this field to identify the TSC set associated with the </w:t>
            </w:r>
            <w:r w:rsidRPr="004D0DAA">
              <w:rPr>
                <w:i/>
              </w:rPr>
              <w:t xml:space="preserve">Secondary DL TSC Value </w:t>
            </w:r>
            <w:r w:rsidRPr="004D0DAA">
              <w:t xml:space="preserve">field. </w:t>
            </w:r>
          </w:p>
          <w:p w14:paraId="4ABA2CE7" w14:textId="77777777" w:rsidR="00711444" w:rsidRPr="004D0DAA" w:rsidRDefault="00711444" w:rsidP="00AA2A4C">
            <w:r w:rsidRPr="004D0DAA">
              <w:t>The Primary TSC Set and Secondary DL TSC Set fields are coded as follows:</w:t>
            </w:r>
          </w:p>
          <w:p w14:paraId="63597FBE" w14:textId="77777777" w:rsidR="00711444" w:rsidRPr="004D0DAA" w:rsidRDefault="00711444" w:rsidP="00AA2A4C">
            <w:pPr>
              <w:spacing w:before="60" w:after="0"/>
            </w:pPr>
            <w:r w:rsidRPr="004D0DAA">
              <w:t>0  TSC set 1</w:t>
            </w:r>
          </w:p>
          <w:p w14:paraId="7B869674" w14:textId="77777777" w:rsidR="00711444" w:rsidRPr="004D0DAA" w:rsidRDefault="00711444" w:rsidP="00AA2A4C">
            <w:pPr>
              <w:spacing w:before="60" w:after="0"/>
              <w:ind w:left="270" w:hanging="270"/>
            </w:pPr>
            <w:r w:rsidRPr="004D0DAA">
              <w:t xml:space="preserve">1   Indicates TSC set 2 for 8PSK, 16QAM and 32QAM modulation. For GMSK modulation it indicates TSC set 3 (which is identical to TSC set 3 used for the CS domain). </w:t>
            </w:r>
          </w:p>
          <w:p w14:paraId="7546D8B3" w14:textId="77777777" w:rsidR="00711444" w:rsidRPr="004D0DAA" w:rsidRDefault="00711444" w:rsidP="00AA2A4C">
            <w:pPr>
              <w:spacing w:before="60" w:after="0"/>
            </w:pPr>
          </w:p>
        </w:tc>
      </w:tr>
      <w:tr w:rsidR="00711444" w:rsidRPr="004D0DAA" w14:paraId="01B8C598" w14:textId="77777777" w:rsidTr="00AA2A4C">
        <w:tblPrEx>
          <w:tblCellMar>
            <w:top w:w="0" w:type="dxa"/>
            <w:bottom w:w="0" w:type="dxa"/>
          </w:tblCellMar>
        </w:tblPrEx>
        <w:trPr>
          <w:cantSplit/>
        </w:trPr>
        <w:tc>
          <w:tcPr>
            <w:tcW w:w="9848" w:type="dxa"/>
          </w:tcPr>
          <w:p w14:paraId="67B85910" w14:textId="77777777" w:rsidR="00711444" w:rsidRPr="004D0DAA" w:rsidRDefault="00711444" w:rsidP="00AA2A4C">
            <w:pPr>
              <w:spacing w:after="0"/>
              <w:rPr>
                <w:b/>
              </w:rPr>
            </w:pPr>
            <w:r w:rsidRPr="004D0DAA">
              <w:rPr>
                <w:b/>
              </w:rPr>
              <w:t xml:space="preserve">Primary TSC Value </w:t>
            </w:r>
            <w:r w:rsidRPr="004D0DAA">
              <w:t>(3 bit field)</w:t>
            </w:r>
          </w:p>
          <w:p w14:paraId="263DB266" w14:textId="77777777" w:rsidR="00711444" w:rsidRPr="004D0DAA" w:rsidRDefault="00711444" w:rsidP="00AA2A4C">
            <w:pPr>
              <w:spacing w:after="0"/>
            </w:pPr>
            <w:r w:rsidRPr="004D0DAA">
              <w:t xml:space="preserve">If a mobile station supports the extended TSC sets (see 3GPP TS 45.002 [32]) then it shall use this field to identify the primary TSC value to be used on the assigned uplink and downlink PS resources. In the absence of this field the TSC value indicated by the </w:t>
            </w:r>
            <w:r w:rsidRPr="004D0DAA">
              <w:rPr>
                <w:i/>
              </w:rPr>
              <w:t>DTM Handover CS Radio Resources</w:t>
            </w:r>
            <w:r w:rsidRPr="004D0DAA">
              <w:t xml:space="preserve"> IE shall be used as the Primary TSC value. It is coded as the binary representation of the Training Sequence code as defined in 3GPP TS 45.002. Range: 0 to 7.</w:t>
            </w:r>
          </w:p>
          <w:p w14:paraId="27F1C900" w14:textId="77777777" w:rsidR="00711444" w:rsidRPr="004D0DAA" w:rsidRDefault="00711444" w:rsidP="00AA2A4C">
            <w:pPr>
              <w:spacing w:after="0"/>
            </w:pPr>
          </w:p>
        </w:tc>
      </w:tr>
      <w:tr w:rsidR="00711444" w:rsidRPr="004D0DAA" w14:paraId="2201B253" w14:textId="77777777" w:rsidTr="00AA2A4C">
        <w:tblPrEx>
          <w:tblCellMar>
            <w:top w:w="0" w:type="dxa"/>
            <w:bottom w:w="0" w:type="dxa"/>
          </w:tblCellMar>
        </w:tblPrEx>
        <w:trPr>
          <w:cantSplit/>
        </w:trPr>
        <w:tc>
          <w:tcPr>
            <w:tcW w:w="9848" w:type="dxa"/>
          </w:tcPr>
          <w:p w14:paraId="2880FB5D" w14:textId="77777777" w:rsidR="00711444" w:rsidRPr="004D0DAA" w:rsidRDefault="00711444" w:rsidP="00AA2A4C">
            <w:pPr>
              <w:spacing w:after="0"/>
              <w:rPr>
                <w:b/>
              </w:rPr>
            </w:pPr>
            <w:r w:rsidRPr="004D0DAA">
              <w:rPr>
                <w:b/>
              </w:rPr>
              <w:t xml:space="preserve">Secondary DL TSC Value </w:t>
            </w:r>
            <w:r w:rsidRPr="004D0DAA">
              <w:t>(3 bit field)</w:t>
            </w:r>
          </w:p>
          <w:p w14:paraId="7737D987" w14:textId="77777777" w:rsidR="00711444" w:rsidRPr="004D0DAA" w:rsidRDefault="00711444" w:rsidP="00AA2A4C">
            <w:pPr>
              <w:spacing w:after="0"/>
            </w:pPr>
            <w:r w:rsidRPr="004D0DAA">
              <w:t>If a mobile station supports the extended TSC sets (see 3GPP TS 45.002 [32]) then it shall use this field to identify the secondary TSC value to be used on the assigned downlink PS resources. It is coded as the binary representation of the Training Sequence code as defined in 3GPP TS 45.002. Range: 0 to 7.</w:t>
            </w:r>
          </w:p>
          <w:p w14:paraId="34A11079" w14:textId="77777777" w:rsidR="00711444" w:rsidRPr="004D0DAA" w:rsidRDefault="00711444" w:rsidP="00AA2A4C">
            <w:pPr>
              <w:spacing w:after="0"/>
              <w:rPr>
                <w:b/>
              </w:rPr>
            </w:pPr>
          </w:p>
        </w:tc>
      </w:tr>
    </w:tbl>
    <w:p w14:paraId="3622CEC1" w14:textId="77777777" w:rsidR="00711444" w:rsidRPr="004D0DAA" w:rsidRDefault="00711444" w:rsidP="00711444">
      <w:pPr>
        <w:tabs>
          <w:tab w:val="left" w:pos="11520"/>
        </w:tabs>
      </w:pPr>
    </w:p>
    <w:p w14:paraId="70628938" w14:textId="77777777" w:rsidR="00711444" w:rsidRPr="004D0DAA" w:rsidRDefault="00711444" w:rsidP="00711444">
      <w:pPr>
        <w:pStyle w:val="Heading2"/>
        <w:tabs>
          <w:tab w:val="left" w:pos="11520"/>
        </w:tabs>
      </w:pPr>
      <w:bookmarkStart w:id="834" w:name="_Toc516670010"/>
      <w:r w:rsidRPr="004D0DAA">
        <w:t>12.47</w:t>
      </w:r>
      <w:r w:rsidRPr="004D0DAA">
        <w:tab/>
        <w:t>DTM Handover CS Radio Resources</w:t>
      </w:r>
      <w:bookmarkEnd w:id="834"/>
    </w:p>
    <w:p w14:paraId="0F3711A6" w14:textId="77777777" w:rsidR="00711444" w:rsidRPr="004D0DAA" w:rsidRDefault="00711444" w:rsidP="00711444">
      <w:pPr>
        <w:tabs>
          <w:tab w:val="left" w:pos="9630"/>
          <w:tab w:val="left" w:pos="11520"/>
        </w:tabs>
        <w:ind w:right="1"/>
      </w:pPr>
      <w:r w:rsidRPr="004D0DAA">
        <w:t xml:space="preserve">This information element provides the radio resources assigned for CS service in the new cell and is included within the DTM HANDOVER COMMAND message. </w:t>
      </w:r>
    </w:p>
    <w:p w14:paraId="4EACBAC9" w14:textId="77777777" w:rsidR="00711444" w:rsidRPr="004D0DAA" w:rsidRDefault="00711444" w:rsidP="00711444">
      <w:pPr>
        <w:tabs>
          <w:tab w:val="left" w:pos="11520"/>
        </w:tabs>
        <w:spacing w:after="0"/>
      </w:pPr>
    </w:p>
    <w:p w14:paraId="538694AC" w14:textId="77777777" w:rsidR="00711444" w:rsidRPr="004D0DAA" w:rsidRDefault="00711444" w:rsidP="00711444">
      <w:pPr>
        <w:pStyle w:val="TH"/>
      </w:pPr>
      <w:r w:rsidRPr="004D0DAA">
        <w:t>Table 12.47.1: DTM Handover CS Radio Resources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8C04F6C" w14:textId="77777777" w:rsidTr="00AA2A4C">
        <w:tblPrEx>
          <w:tblCellMar>
            <w:top w:w="0" w:type="dxa"/>
            <w:bottom w:w="0" w:type="dxa"/>
          </w:tblCellMar>
        </w:tblPrEx>
        <w:trPr>
          <w:cantSplit/>
        </w:trPr>
        <w:tc>
          <w:tcPr>
            <w:tcW w:w="9848" w:type="dxa"/>
          </w:tcPr>
          <w:p w14:paraId="6D027AA6" w14:textId="77777777" w:rsidR="00711444" w:rsidRPr="004D0DAA" w:rsidRDefault="00711444" w:rsidP="00AA2A4C">
            <w:pPr>
              <w:pStyle w:val="TAL"/>
              <w:rPr>
                <w:lang w:eastAsia="en-US"/>
              </w:rPr>
            </w:pPr>
            <w:r w:rsidRPr="004D0DAA">
              <w:rPr>
                <w:lang w:eastAsia="en-US"/>
              </w:rPr>
              <w:t>&lt; CS Handover Radio Resources IE &gt; ::=</w:t>
            </w:r>
          </w:p>
          <w:p w14:paraId="13282F4A" w14:textId="77777777" w:rsidR="00711444" w:rsidRPr="004D0DAA" w:rsidRDefault="00711444" w:rsidP="00AA2A4C">
            <w:pPr>
              <w:pStyle w:val="TAL"/>
              <w:rPr>
                <w:lang w:eastAsia="en-US"/>
              </w:rPr>
            </w:pPr>
            <w:r w:rsidRPr="004D0DAA">
              <w:rPr>
                <w:lang w:eastAsia="en-US"/>
              </w:rPr>
              <w:tab/>
              <w:t>&lt; CS_HANDOVER_RADIO_RESOURCES_LENGTH : bit (7) &gt;</w:t>
            </w:r>
          </w:p>
          <w:p w14:paraId="07AADC77" w14:textId="77777777" w:rsidR="00711444" w:rsidRPr="004D0DAA" w:rsidRDefault="00711444" w:rsidP="00AA2A4C">
            <w:pPr>
              <w:pStyle w:val="TAL"/>
              <w:rPr>
                <w:lang w:eastAsia="en-US"/>
              </w:rPr>
            </w:pPr>
            <w:r w:rsidRPr="004D0DAA">
              <w:rPr>
                <w:lang w:eastAsia="en-US"/>
              </w:rPr>
              <w:tab/>
              <w:t>&lt; CS_HANDOVER_RADIO_RESOURCES_DATA : octet (val(CS_HANDOVER_RADIO_RESOURCES_LENGTH)) &gt;</w:t>
            </w:r>
          </w:p>
          <w:p w14:paraId="40D865A5" w14:textId="77777777" w:rsidR="00711444" w:rsidRPr="004D0DAA" w:rsidRDefault="00711444" w:rsidP="00AA2A4C">
            <w:pPr>
              <w:pStyle w:val="TAL"/>
              <w:rPr>
                <w:lang w:eastAsia="en-US"/>
              </w:rPr>
            </w:pPr>
            <w:r w:rsidRPr="004D0DAA">
              <w:rPr>
                <w:lang w:eastAsia="en-US"/>
              </w:rPr>
              <w:tab/>
              <w:t>&lt; padding bits &gt; ;</w:t>
            </w:r>
          </w:p>
        </w:tc>
      </w:tr>
    </w:tbl>
    <w:p w14:paraId="14B3ABF7" w14:textId="77777777" w:rsidR="00711444" w:rsidRPr="004D0DAA" w:rsidRDefault="00711444" w:rsidP="00711444">
      <w:pPr>
        <w:tabs>
          <w:tab w:val="left" w:pos="11520"/>
        </w:tabs>
        <w:spacing w:after="0"/>
      </w:pPr>
    </w:p>
    <w:p w14:paraId="4BD8F261" w14:textId="77777777" w:rsidR="00711444" w:rsidRPr="004D0DAA" w:rsidRDefault="00711444" w:rsidP="00711444">
      <w:pPr>
        <w:pStyle w:val="TH"/>
      </w:pPr>
      <w:r w:rsidRPr="004D0DAA">
        <w:lastRenderedPageBreak/>
        <w:t>Table 12.47.2: DTM Handover CS Radio Resources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1CA2FE2" w14:textId="77777777" w:rsidTr="00AA2A4C">
        <w:tblPrEx>
          <w:tblCellMar>
            <w:top w:w="0" w:type="dxa"/>
            <w:bottom w:w="0" w:type="dxa"/>
          </w:tblCellMar>
        </w:tblPrEx>
        <w:trPr>
          <w:cantSplit/>
        </w:trPr>
        <w:tc>
          <w:tcPr>
            <w:tcW w:w="9848" w:type="dxa"/>
          </w:tcPr>
          <w:p w14:paraId="5CD7504C" w14:textId="77777777" w:rsidR="00711444" w:rsidRPr="004D0DAA" w:rsidRDefault="00711444" w:rsidP="00AA2A4C">
            <w:r w:rsidRPr="004D0DAA">
              <w:rPr>
                <w:b/>
              </w:rPr>
              <w:t>CS_HANDOVER_RADIO_RESOURCES_LENGTH</w:t>
            </w:r>
            <w:r w:rsidRPr="004D0DAA">
              <w:t xml:space="preserve"> (7 bit field)</w:t>
            </w:r>
            <w:r w:rsidRPr="004D0DAA">
              <w:br/>
              <w:t>This field indicates the number of CS_HANDOVER_RADIO_RESOURCES_DATA octets included in the CS Handover Radio Resources IE .</w:t>
            </w:r>
          </w:p>
          <w:p w14:paraId="4B306460" w14:textId="77777777" w:rsidR="00711444" w:rsidRPr="004D0DAA" w:rsidRDefault="00711444" w:rsidP="00AA2A4C">
            <w:pPr>
              <w:pStyle w:val="FP"/>
              <w:ind w:left="1276" w:hanging="1276"/>
            </w:pPr>
            <w:r w:rsidRPr="004D0DAA">
              <w:t>bit</w:t>
            </w:r>
          </w:p>
          <w:p w14:paraId="1A879EE1" w14:textId="77777777" w:rsidR="00711444" w:rsidRPr="004D0DAA" w:rsidRDefault="00711444" w:rsidP="00AA2A4C">
            <w:pPr>
              <w:pStyle w:val="FP"/>
              <w:ind w:left="1276" w:hanging="1276"/>
            </w:pPr>
            <w:r w:rsidRPr="004D0DAA">
              <w:t>7 6 5 4 3 2 1</w:t>
            </w:r>
          </w:p>
          <w:p w14:paraId="5FE6D5B5" w14:textId="77777777" w:rsidR="00711444" w:rsidRPr="004D0DAA" w:rsidRDefault="00711444" w:rsidP="00AA2A4C">
            <w:pPr>
              <w:pStyle w:val="FP"/>
              <w:ind w:left="1276" w:hanging="1276"/>
            </w:pPr>
            <w:r w:rsidRPr="004D0DAA">
              <w:t>0 0 0 0 0 0 0</w:t>
            </w:r>
            <w:r w:rsidRPr="004D0DAA">
              <w:tab/>
              <w:t>No CS_HANDOVER_RADIO_RESOURCES_DATA follows; Spare padding is used to fill the rest of the message;</w:t>
            </w:r>
          </w:p>
          <w:p w14:paraId="35A174E5" w14:textId="77777777" w:rsidR="00711444" w:rsidRPr="004D0DAA" w:rsidRDefault="00711444" w:rsidP="00AA2A4C">
            <w:pPr>
              <w:pStyle w:val="FP"/>
              <w:ind w:left="1276" w:hanging="1276"/>
            </w:pPr>
            <w:r w:rsidRPr="004D0DAA">
              <w:t>0 0 0 0 0 0 1</w:t>
            </w:r>
            <w:r w:rsidRPr="004D0DAA">
              <w:tab/>
              <w:t>CS_HANDOVER_RADIO_RESOURCES_DATA length = 1 octet;</w:t>
            </w:r>
          </w:p>
          <w:p w14:paraId="0E0E3D80" w14:textId="77777777" w:rsidR="00711444" w:rsidRPr="004D0DAA" w:rsidRDefault="00711444" w:rsidP="00AA2A4C">
            <w:pPr>
              <w:pStyle w:val="FP"/>
              <w:ind w:left="1276" w:hanging="1276"/>
            </w:pPr>
            <w:r w:rsidRPr="004D0DAA">
              <w:t>0 0 0 0 0 1 0</w:t>
            </w:r>
            <w:r w:rsidRPr="004D0DAA">
              <w:tab/>
              <w:t>CS_HANDOVER_RADIO_RESOURCES_DATA length = 2 octets;</w:t>
            </w:r>
          </w:p>
          <w:p w14:paraId="535A15D7" w14:textId="77777777" w:rsidR="00711444" w:rsidRPr="004D0DAA" w:rsidRDefault="00711444" w:rsidP="00AA2A4C">
            <w:pPr>
              <w:pStyle w:val="FP"/>
              <w:ind w:left="1276" w:hanging="1276"/>
            </w:pPr>
            <w:r w:rsidRPr="004D0DAA">
              <w:t>….</w:t>
            </w:r>
          </w:p>
          <w:p w14:paraId="4204B7BD" w14:textId="77777777" w:rsidR="00711444" w:rsidRPr="004D0DAA" w:rsidRDefault="00711444" w:rsidP="00AA2A4C">
            <w:r w:rsidRPr="004D0DAA">
              <w:t>1 1 1 1 1 1 1</w:t>
            </w:r>
            <w:r w:rsidRPr="004D0DAA">
              <w:tab/>
              <w:t>CS_HANDOVER_RADIO_RESOURCES_DATA length = 127 octets;</w:t>
            </w:r>
          </w:p>
          <w:p w14:paraId="4A09B74F" w14:textId="77777777" w:rsidR="00711444" w:rsidRPr="004D0DAA" w:rsidRDefault="00711444" w:rsidP="00AA2A4C">
            <w:pPr>
              <w:tabs>
                <w:tab w:val="left" w:pos="11520"/>
              </w:tabs>
              <w:spacing w:after="0"/>
              <w:rPr>
                <w:b/>
              </w:rPr>
            </w:pPr>
          </w:p>
        </w:tc>
      </w:tr>
      <w:tr w:rsidR="00711444" w:rsidRPr="004D0DAA" w14:paraId="1B2C1122" w14:textId="77777777" w:rsidTr="00AA2A4C">
        <w:tblPrEx>
          <w:tblCellMar>
            <w:top w:w="0" w:type="dxa"/>
            <w:bottom w:w="0" w:type="dxa"/>
          </w:tblCellMar>
        </w:tblPrEx>
        <w:trPr>
          <w:cantSplit/>
        </w:trPr>
        <w:tc>
          <w:tcPr>
            <w:tcW w:w="9848" w:type="dxa"/>
          </w:tcPr>
          <w:p w14:paraId="749BD74D" w14:textId="77777777" w:rsidR="00711444" w:rsidRPr="004D0DAA" w:rsidRDefault="00711444" w:rsidP="00AA2A4C">
            <w:pPr>
              <w:tabs>
                <w:tab w:val="left" w:pos="11520"/>
              </w:tabs>
              <w:spacing w:after="0"/>
              <w:rPr>
                <w:bCs/>
              </w:rPr>
            </w:pPr>
            <w:r w:rsidRPr="004D0DAA">
              <w:rPr>
                <w:b/>
              </w:rPr>
              <w:t xml:space="preserve">CS_HANDOVER_RADIO_RESOURCES_DATA </w:t>
            </w:r>
            <w:r w:rsidRPr="004D0DAA">
              <w:rPr>
                <w:bCs/>
              </w:rPr>
              <w:t xml:space="preserve">(N octet field) </w:t>
            </w:r>
          </w:p>
          <w:p w14:paraId="199F9BE3" w14:textId="77777777" w:rsidR="00711444" w:rsidRPr="004D0DAA" w:rsidRDefault="00711444" w:rsidP="00AA2A4C">
            <w:r w:rsidRPr="004D0DAA">
              <w:t xml:space="preserve">The contents of this information element are identical to the contents of the HANDOVER COMMAND (see 3GPP TS 44.018) except for the </w:t>
            </w:r>
            <w:r w:rsidRPr="004D0DAA">
              <w:rPr>
                <w:i/>
                <w:iCs/>
              </w:rPr>
              <w:t>RR management Protocol Discriminator</w:t>
            </w:r>
            <w:r w:rsidRPr="004D0DAA">
              <w:t xml:space="preserve"> IE, the </w:t>
            </w:r>
            <w:r w:rsidRPr="004D0DAA">
              <w:rPr>
                <w:i/>
                <w:iCs/>
              </w:rPr>
              <w:t>Skip Indicator</w:t>
            </w:r>
            <w:r w:rsidRPr="004D0DAA">
              <w:t xml:space="preserve"> IE and the </w:t>
            </w:r>
            <w:r w:rsidRPr="004D0DAA">
              <w:rPr>
                <w:i/>
                <w:iCs/>
              </w:rPr>
              <w:t>Handover Command Message Type</w:t>
            </w:r>
            <w:r w:rsidRPr="004D0DAA">
              <w:t xml:space="preserve"> IE which are not included. N is the combined length of the information elements from the HANDOVER COMMAND that are included within this IE.</w:t>
            </w:r>
          </w:p>
        </w:tc>
      </w:tr>
    </w:tbl>
    <w:p w14:paraId="049A0BA3" w14:textId="77777777" w:rsidR="00711444" w:rsidRPr="004D0DAA" w:rsidRDefault="00711444" w:rsidP="00711444"/>
    <w:p w14:paraId="24BD2E3B" w14:textId="77777777" w:rsidR="00711444" w:rsidRPr="004D0DAA" w:rsidRDefault="00711444" w:rsidP="00711444">
      <w:pPr>
        <w:pStyle w:val="Heading2"/>
        <w:tabs>
          <w:tab w:val="left" w:pos="10170"/>
        </w:tabs>
      </w:pPr>
      <w:bookmarkStart w:id="835" w:name="_Toc516670011"/>
      <w:r w:rsidRPr="004D0DAA">
        <w:t>12.48</w:t>
      </w:r>
      <w:r w:rsidRPr="004D0DAA">
        <w:tab/>
        <w:t>DTM Handover PS Radio Resources 2</w:t>
      </w:r>
      <w:bookmarkEnd w:id="835"/>
    </w:p>
    <w:p w14:paraId="08A341E3" w14:textId="77777777" w:rsidR="00711444" w:rsidRPr="004D0DAA" w:rsidRDefault="00711444" w:rsidP="00711444">
      <w:pPr>
        <w:tabs>
          <w:tab w:val="left" w:pos="10170"/>
        </w:tabs>
        <w:ind w:right="1"/>
      </w:pPr>
      <w:r w:rsidRPr="004D0DAA">
        <w:t xml:space="preserve">This information element provides the radio resources assigned for PS services in the new cell and is included within the DTM HANDOVER COMMAND message. </w:t>
      </w:r>
    </w:p>
    <w:p w14:paraId="7A235AA2" w14:textId="77777777" w:rsidR="00711444" w:rsidRPr="004D0DAA" w:rsidRDefault="00711444" w:rsidP="00711444">
      <w:pPr>
        <w:pStyle w:val="NO"/>
      </w:pPr>
      <w:r w:rsidRPr="004D0DAA">
        <w:t>NOTE:</w:t>
      </w:r>
      <w:r w:rsidRPr="004D0DAA">
        <w:tab/>
        <w:t xml:space="preserve">The maximum length (64 bits) of the </w:t>
      </w:r>
      <w:r w:rsidRPr="004D0DAA">
        <w:rPr>
          <w:i/>
        </w:rPr>
        <w:t>Extension Information</w:t>
      </w:r>
      <w:r w:rsidRPr="004D0DAA">
        <w:t xml:space="preserve"> </w:t>
      </w:r>
      <w:r w:rsidRPr="004D0DAA">
        <w:rPr>
          <w:lang w:eastAsia="zh-CN"/>
        </w:rPr>
        <w:t xml:space="preserve">IE </w:t>
      </w:r>
      <w:r w:rsidRPr="004D0DAA">
        <w:t xml:space="preserve">as defined in the present sub-clause may constrain the </w:t>
      </w:r>
      <w:r w:rsidRPr="004D0DAA">
        <w:rPr>
          <w:lang w:eastAsia="zh-CN"/>
        </w:rPr>
        <w:t>information that can be included in this IE.</w:t>
      </w:r>
    </w:p>
    <w:p w14:paraId="3958E965" w14:textId="77777777" w:rsidR="00711444" w:rsidRPr="004D0DAA" w:rsidRDefault="00711444" w:rsidP="00711444">
      <w:pPr>
        <w:pStyle w:val="TH"/>
      </w:pPr>
      <w:r w:rsidRPr="004D0DAA">
        <w:lastRenderedPageBreak/>
        <w:t>Table 12.48.1: DTM Handover PS Radio Resources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5707818" w14:textId="77777777" w:rsidTr="00AA2A4C">
        <w:tblPrEx>
          <w:tblCellMar>
            <w:top w:w="0" w:type="dxa"/>
            <w:bottom w:w="0" w:type="dxa"/>
          </w:tblCellMar>
        </w:tblPrEx>
        <w:trPr>
          <w:cantSplit/>
        </w:trPr>
        <w:tc>
          <w:tcPr>
            <w:tcW w:w="9848" w:type="dxa"/>
          </w:tcPr>
          <w:p w14:paraId="22FE9AF0" w14:textId="77777777" w:rsidR="00711444" w:rsidRPr="004D0DAA" w:rsidRDefault="00711444" w:rsidP="00AA2A4C">
            <w:pPr>
              <w:pStyle w:val="TAL"/>
              <w:rPr>
                <w:lang w:eastAsia="en-US"/>
              </w:rPr>
            </w:pPr>
            <w:r w:rsidRPr="004D0DAA">
              <w:rPr>
                <w:lang w:eastAsia="en-US"/>
              </w:rPr>
              <w:t>&lt; DTM Handover PS Radio Resources 2 IE &gt; ::=</w:t>
            </w:r>
          </w:p>
          <w:p w14:paraId="1C8ABB76" w14:textId="77777777" w:rsidR="00711444" w:rsidRPr="004D0DAA" w:rsidRDefault="00711444" w:rsidP="00AA2A4C">
            <w:pPr>
              <w:pStyle w:val="TAL"/>
              <w:rPr>
                <w:rFonts w:eastAsia="SimSun"/>
                <w:lang w:eastAsia="en-US"/>
              </w:rPr>
            </w:pPr>
            <w:r w:rsidRPr="004D0DAA">
              <w:rPr>
                <w:rFonts w:eastAsia="SimSun"/>
                <w:lang w:eastAsia="en-US"/>
              </w:rPr>
              <w:tab/>
              <w:t xml:space="preserve">&lt; </w:t>
            </w:r>
            <w:r w:rsidRPr="004D0DAA">
              <w:rPr>
                <w:rFonts w:eastAsia="SimSun"/>
                <w:b/>
                <w:bCs/>
                <w:lang w:eastAsia="en-US"/>
              </w:rPr>
              <w:t>Cell Identification</w:t>
            </w:r>
            <w:r w:rsidRPr="004D0DAA">
              <w:rPr>
                <w:rFonts w:eastAsia="SimSun"/>
                <w:lang w:eastAsia="en-US"/>
              </w:rPr>
              <w:t xml:space="preserve"> : &lt; Cell Identification IE &gt; &gt;</w:t>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i/>
                <w:iCs/>
                <w:lang w:eastAsia="en-US"/>
              </w:rPr>
              <w:t>-</w:t>
            </w:r>
            <w:r w:rsidRPr="004D0DAA">
              <w:rPr>
                <w:rFonts w:eastAsia="SimSun"/>
                <w:iCs/>
                <w:lang w:eastAsia="en-US"/>
              </w:rPr>
              <w:t xml:space="preserve">-- </w:t>
            </w:r>
            <w:r w:rsidRPr="004D0DAA">
              <w:rPr>
                <w:rFonts w:eastAsia="SimSun"/>
                <w:i/>
                <w:iCs/>
                <w:lang w:eastAsia="en-US"/>
              </w:rPr>
              <w:t>provided by SI/PSI for PS HO</w:t>
            </w:r>
          </w:p>
          <w:p w14:paraId="11466248" w14:textId="77777777" w:rsidR="00711444" w:rsidRPr="004D0DAA" w:rsidRDefault="00711444" w:rsidP="00AA2A4C">
            <w:pPr>
              <w:pStyle w:val="TAL"/>
              <w:rPr>
                <w:rFonts w:eastAsia="SimSun"/>
                <w:lang w:eastAsia="en-US"/>
              </w:rPr>
            </w:pPr>
            <w:r w:rsidRPr="004D0DAA">
              <w:rPr>
                <w:rFonts w:eastAsia="SimSun"/>
                <w:lang w:eastAsia="en-US"/>
              </w:rPr>
              <w:tab/>
              <w:t xml:space="preserve">&lt; </w:t>
            </w:r>
            <w:r w:rsidRPr="004D0DAA">
              <w:rPr>
                <w:rFonts w:eastAsia="SimSun"/>
                <w:b/>
                <w:bCs/>
                <w:lang w:eastAsia="en-US"/>
              </w:rPr>
              <w:t xml:space="preserve">MAX_LAPDm </w:t>
            </w:r>
            <w:r w:rsidRPr="004D0DAA">
              <w:rPr>
                <w:rFonts w:eastAsia="SimSun"/>
                <w:lang w:eastAsia="en-US"/>
              </w:rPr>
              <w:t>: bit (3) &gt;</w:t>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t xml:space="preserve">--- </w:t>
            </w:r>
            <w:r w:rsidRPr="004D0DAA">
              <w:rPr>
                <w:rFonts w:eastAsia="SimSun"/>
                <w:i/>
                <w:iCs/>
                <w:lang w:eastAsia="en-US"/>
              </w:rPr>
              <w:t>needed for DTM in new cell</w:t>
            </w:r>
          </w:p>
          <w:p w14:paraId="54351169" w14:textId="77777777" w:rsidR="00711444" w:rsidRPr="004D0DAA" w:rsidRDefault="00711444" w:rsidP="00AA2A4C">
            <w:pPr>
              <w:pStyle w:val="TAL"/>
              <w:rPr>
                <w:rFonts w:eastAsia="SimSun"/>
                <w:lang w:eastAsia="en-US"/>
              </w:rPr>
            </w:pPr>
            <w:r w:rsidRPr="004D0DAA">
              <w:rPr>
                <w:rFonts w:eastAsia="SimSun"/>
                <w:lang w:eastAsia="en-US"/>
              </w:rPr>
              <w:tab/>
              <w:t xml:space="preserve">&lt; </w:t>
            </w:r>
            <w:r w:rsidRPr="004D0DAA">
              <w:rPr>
                <w:rFonts w:eastAsia="SimSun"/>
                <w:b/>
                <w:bCs/>
                <w:lang w:eastAsia="en-US"/>
              </w:rPr>
              <w:t xml:space="preserve">GPRS_MS_TXPWR_MAX_CCH </w:t>
            </w:r>
            <w:r w:rsidRPr="004D0DAA">
              <w:rPr>
                <w:rFonts w:eastAsia="SimSun"/>
                <w:lang w:eastAsia="en-US"/>
              </w:rPr>
              <w:t>: bit (5) &gt;</w:t>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t xml:space="preserve">--- </w:t>
            </w:r>
            <w:r w:rsidRPr="004D0DAA">
              <w:rPr>
                <w:rFonts w:eastAsia="SimSun"/>
                <w:i/>
                <w:iCs/>
                <w:lang w:eastAsia="en-US"/>
              </w:rPr>
              <w:t>needed for DTM in new cell</w:t>
            </w:r>
          </w:p>
          <w:p w14:paraId="12E9DE43" w14:textId="77777777" w:rsidR="00711444" w:rsidRPr="004D0DAA" w:rsidRDefault="00711444" w:rsidP="00AA2A4C">
            <w:pPr>
              <w:pStyle w:val="TAL"/>
              <w:rPr>
                <w:rFonts w:eastAsia="SimSun"/>
                <w:lang w:eastAsia="en-US"/>
              </w:rPr>
            </w:pPr>
            <w:r w:rsidRPr="004D0DAA">
              <w:rPr>
                <w:rFonts w:eastAsia="SimSun"/>
                <w:lang w:eastAsia="en-US"/>
              </w:rPr>
              <w:tab/>
              <w:t xml:space="preserve">&lt; </w:t>
            </w:r>
            <w:r w:rsidRPr="004D0DAA">
              <w:rPr>
                <w:rFonts w:eastAsia="SimSun"/>
                <w:b/>
                <w:bCs/>
                <w:lang w:eastAsia="en-US"/>
              </w:rPr>
              <w:t xml:space="preserve">GPRS Cell Options </w:t>
            </w:r>
            <w:r w:rsidRPr="004D0DAA">
              <w:rPr>
                <w:rFonts w:eastAsia="SimSun"/>
                <w:lang w:eastAsia="en-US"/>
              </w:rPr>
              <w:t>: &lt; GPRS Cell Options IE &gt; &gt;</w:t>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lang w:eastAsia="en-US"/>
              </w:rPr>
              <w:tab/>
            </w:r>
            <w:r w:rsidRPr="004D0DAA">
              <w:rPr>
                <w:rFonts w:eastAsia="SimSun"/>
                <w:i/>
                <w:iCs/>
                <w:lang w:eastAsia="en-US"/>
              </w:rPr>
              <w:t>-</w:t>
            </w:r>
            <w:r w:rsidRPr="004D0DAA">
              <w:rPr>
                <w:rFonts w:eastAsia="SimSun"/>
                <w:iCs/>
                <w:lang w:eastAsia="en-US"/>
              </w:rPr>
              <w:t xml:space="preserve">-- </w:t>
            </w:r>
            <w:r w:rsidRPr="004D0DAA">
              <w:rPr>
                <w:rFonts w:eastAsia="SimSun"/>
                <w:i/>
                <w:iCs/>
                <w:lang w:eastAsia="en-US"/>
              </w:rPr>
              <w:t xml:space="preserve">provided by SI/PSI for PS HO </w:t>
            </w:r>
          </w:p>
          <w:p w14:paraId="31006025" w14:textId="77777777" w:rsidR="00711444" w:rsidRPr="004D0DAA" w:rsidRDefault="00711444" w:rsidP="00AA2A4C">
            <w:pPr>
              <w:pStyle w:val="TAL"/>
              <w:rPr>
                <w:rFonts w:eastAsia="SimSun"/>
                <w:lang w:eastAsia="en-US"/>
              </w:rPr>
            </w:pPr>
            <w:r w:rsidRPr="004D0DAA">
              <w:rPr>
                <w:rFonts w:eastAsia="SimSun"/>
                <w:lang w:eastAsia="en-US"/>
              </w:rPr>
              <w:tab/>
              <w:t xml:space="preserve">&lt; </w:t>
            </w:r>
            <w:r w:rsidRPr="004D0DAA">
              <w:rPr>
                <w:rFonts w:eastAsia="SimSun"/>
                <w:b/>
                <w:bCs/>
                <w:lang w:eastAsia="en-US"/>
              </w:rPr>
              <w:t xml:space="preserve">GPRS Power Control Parameters </w:t>
            </w:r>
            <w:r w:rsidRPr="004D0DAA">
              <w:rPr>
                <w:rFonts w:eastAsia="SimSun"/>
                <w:lang w:eastAsia="en-US"/>
              </w:rPr>
              <w:t>: &lt; GPRS Power Control Parameters IE &gt; &gt;</w:t>
            </w:r>
            <w:r w:rsidRPr="004D0DAA">
              <w:rPr>
                <w:rFonts w:eastAsia="SimSun"/>
                <w:lang w:eastAsia="en-US"/>
              </w:rPr>
              <w:tab/>
            </w:r>
            <w:r w:rsidRPr="004D0DAA">
              <w:rPr>
                <w:rFonts w:eastAsia="SimSun"/>
                <w:i/>
                <w:iCs/>
                <w:lang w:eastAsia="en-US"/>
              </w:rPr>
              <w:t>-</w:t>
            </w:r>
            <w:r w:rsidRPr="004D0DAA">
              <w:rPr>
                <w:rFonts w:eastAsia="SimSun"/>
                <w:iCs/>
                <w:lang w:eastAsia="en-US"/>
              </w:rPr>
              <w:t xml:space="preserve">-- </w:t>
            </w:r>
            <w:r w:rsidRPr="004D0DAA">
              <w:rPr>
                <w:rFonts w:eastAsia="SimSun"/>
                <w:i/>
                <w:iCs/>
                <w:lang w:eastAsia="en-US"/>
              </w:rPr>
              <w:t>provided by SI/PSI for PS HO</w:t>
            </w:r>
          </w:p>
          <w:p w14:paraId="767540EE" w14:textId="77777777" w:rsidR="00711444" w:rsidRPr="004D0DAA" w:rsidRDefault="00711444" w:rsidP="00AA2A4C">
            <w:pPr>
              <w:pStyle w:val="TAL"/>
              <w:rPr>
                <w:rFonts w:eastAsia="SimSun"/>
                <w:lang w:val="fr-FR" w:eastAsia="en-US"/>
              </w:rPr>
            </w:pPr>
            <w:r w:rsidRPr="004D0DAA">
              <w:rPr>
                <w:lang w:eastAsia="en-US"/>
              </w:rPr>
              <w:tab/>
            </w:r>
            <w:r w:rsidRPr="004D0DAA">
              <w:rPr>
                <w:lang w:val="fr-FR" w:eastAsia="en-US"/>
              </w:rPr>
              <w:t xml:space="preserve">&lt; </w:t>
            </w:r>
            <w:r w:rsidRPr="004D0DAA">
              <w:rPr>
                <w:b/>
                <w:lang w:val="fr-FR" w:eastAsia="en-US"/>
              </w:rPr>
              <w:t>RLC_RESET</w:t>
            </w:r>
            <w:r w:rsidRPr="004D0DAA">
              <w:rPr>
                <w:lang w:val="fr-FR" w:eastAsia="en-US"/>
              </w:rPr>
              <w:t xml:space="preserve"> : bit (1) &gt;</w:t>
            </w:r>
          </w:p>
          <w:p w14:paraId="0B48F455" w14:textId="77777777" w:rsidR="00711444" w:rsidRPr="004D0DAA" w:rsidRDefault="00711444" w:rsidP="00AA2A4C">
            <w:pPr>
              <w:pStyle w:val="TAL"/>
              <w:rPr>
                <w:lang w:val="fr-FR" w:eastAsia="en-US"/>
              </w:rPr>
            </w:pPr>
            <w:r w:rsidRPr="004D0DAA">
              <w:rPr>
                <w:lang w:val="fr-FR" w:eastAsia="en-US"/>
              </w:rPr>
              <w:tab/>
              <w:t xml:space="preserve">{ 00 &lt; </w:t>
            </w:r>
            <w:r w:rsidRPr="004D0DAA">
              <w:rPr>
                <w:b/>
                <w:lang w:val="fr-FR" w:eastAsia="en-US"/>
              </w:rPr>
              <w:t>EGPRS mode</w:t>
            </w:r>
            <w:r w:rsidRPr="004D0DAA">
              <w:rPr>
                <w:lang w:val="fr-FR" w:eastAsia="en-US"/>
              </w:rPr>
              <w:t> : &lt; EGPRS mode 2 IE &gt; &gt;</w:t>
            </w:r>
          </w:p>
          <w:p w14:paraId="08D21CC0" w14:textId="77777777" w:rsidR="00711444" w:rsidRPr="004D0DAA" w:rsidRDefault="00711444" w:rsidP="00AA2A4C">
            <w:pPr>
              <w:pStyle w:val="TAL"/>
              <w:rPr>
                <w:lang w:eastAsia="en-US"/>
              </w:rPr>
            </w:pPr>
            <w:r w:rsidRPr="004D0DAA">
              <w:rPr>
                <w:lang w:val="fr-FR" w:eastAsia="en-US"/>
              </w:rPr>
              <w:tab/>
            </w:r>
            <w:r w:rsidRPr="004D0DAA">
              <w:rPr>
                <w:lang w:eastAsia="en-US"/>
              </w:rPr>
              <w:t xml:space="preserve">! &lt; TBF mode error: { 01 | 10 | 11 } bit(*) = &lt; no string&gt; &gt; } -- </w:t>
            </w:r>
            <w:r w:rsidRPr="004D0DAA">
              <w:rPr>
                <w:i/>
                <w:lang w:eastAsia="en-US"/>
              </w:rPr>
              <w:t>reserved for future use</w:t>
            </w:r>
          </w:p>
          <w:p w14:paraId="7FA5AA3E" w14:textId="77777777" w:rsidR="00711444" w:rsidRPr="004D0DAA" w:rsidRDefault="00711444" w:rsidP="00AA2A4C">
            <w:pPr>
              <w:pStyle w:val="TAL"/>
              <w:rPr>
                <w:lang w:eastAsia="en-US"/>
              </w:rPr>
            </w:pPr>
          </w:p>
          <w:p w14:paraId="11810B15" w14:textId="77777777" w:rsidR="00711444" w:rsidRPr="004D0DAA" w:rsidRDefault="00711444" w:rsidP="00AA2A4C">
            <w:pPr>
              <w:pStyle w:val="TAL"/>
              <w:rPr>
                <w:lang w:eastAsia="en-US"/>
              </w:rPr>
            </w:pPr>
            <w:r w:rsidRPr="004D0DAA">
              <w:rPr>
                <w:lang w:eastAsia="en-US"/>
              </w:rPr>
              <w:tab/>
              <w:t xml:space="preserve">-- </w:t>
            </w:r>
            <w:r w:rsidRPr="004D0DAA">
              <w:rPr>
                <w:i/>
                <w:lang w:eastAsia="en-US"/>
              </w:rPr>
              <w:t>Optional extension information:</w:t>
            </w:r>
          </w:p>
          <w:p w14:paraId="1E92D02A" w14:textId="77777777" w:rsidR="00711444" w:rsidRPr="004D0DAA" w:rsidRDefault="00711444" w:rsidP="00AA2A4C">
            <w:pPr>
              <w:pStyle w:val="TAL"/>
              <w:rPr>
                <w:lang w:eastAsia="en-US"/>
              </w:rPr>
            </w:pPr>
            <w:r w:rsidRPr="004D0DAA">
              <w:rPr>
                <w:lang w:eastAsia="en-US"/>
              </w:rPr>
              <w:tab/>
              <w:t>{ 0 | 1</w:t>
            </w:r>
            <w:r w:rsidRPr="004D0DAA">
              <w:rPr>
                <w:lang w:eastAsia="en-US"/>
              </w:rPr>
              <w:tab/>
              <w:t>&lt; Extension Length : bit (6) &gt;</w:t>
            </w:r>
          </w:p>
          <w:p w14:paraId="0148A33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bit (val(Extension Length) + 1)</w:t>
            </w:r>
          </w:p>
          <w:p w14:paraId="5AA950A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&amp; { &lt;Extension Information &gt; ! { bit ** = &lt;no string&gt; } } &gt; } ;</w:t>
            </w:r>
          </w:p>
          <w:p w14:paraId="2C8856A3" w14:textId="77777777" w:rsidR="00711444" w:rsidRPr="004D0DAA" w:rsidRDefault="00711444" w:rsidP="00AA2A4C">
            <w:pPr>
              <w:pStyle w:val="TAL"/>
              <w:rPr>
                <w:rFonts w:ascii="Courier New" w:eastAsia="SimSun" w:hAnsi="Courier New" w:cs="Courier New"/>
                <w:lang w:eastAsia="zh-CN"/>
              </w:rPr>
            </w:pPr>
          </w:p>
        </w:tc>
      </w:tr>
      <w:tr w:rsidR="00711444" w:rsidRPr="004D0DAA" w14:paraId="551E4C0B" w14:textId="77777777" w:rsidTr="00AA2A4C">
        <w:tblPrEx>
          <w:tblCellMar>
            <w:top w:w="0" w:type="dxa"/>
            <w:bottom w:w="0" w:type="dxa"/>
          </w:tblCellMar>
        </w:tblPrEx>
        <w:trPr>
          <w:cantSplit/>
        </w:trPr>
        <w:tc>
          <w:tcPr>
            <w:tcW w:w="9848" w:type="dxa"/>
          </w:tcPr>
          <w:p w14:paraId="46BBF222" w14:textId="77777777" w:rsidR="00711444" w:rsidRPr="004D0DAA" w:rsidRDefault="00711444" w:rsidP="00AA2A4C">
            <w:pPr>
              <w:pStyle w:val="TAL"/>
              <w:rPr>
                <w:lang w:eastAsia="en-US"/>
              </w:rPr>
            </w:pPr>
            <w:r w:rsidRPr="004D0DAA">
              <w:rPr>
                <w:lang w:eastAsia="en-US"/>
              </w:rPr>
              <w:t>&lt; Extension Information &gt; ::=</w:t>
            </w:r>
          </w:p>
          <w:p w14:paraId="3344CBC8" w14:textId="77777777" w:rsidR="00711444" w:rsidRPr="004D0DAA" w:rsidRDefault="00711444" w:rsidP="00AA2A4C">
            <w:pPr>
              <w:pStyle w:val="TAL"/>
              <w:rPr>
                <w:lang w:eastAsia="en-US"/>
              </w:rPr>
            </w:pPr>
            <w:r w:rsidRPr="004D0DAA">
              <w:rPr>
                <w:lang w:eastAsia="en-US"/>
              </w:rPr>
              <w:tab/>
              <w:t>{ {</w:t>
            </w:r>
            <w:r w:rsidRPr="004D0DAA">
              <w:rPr>
                <w:lang w:eastAsia="en-US"/>
              </w:rPr>
              <w:tab/>
            </w:r>
            <w:r w:rsidRPr="004D0DAA">
              <w:rPr>
                <w:lang w:eastAsia="en-US"/>
              </w:rPr>
              <w:tab/>
              <w:t xml:space="preserve">-- </w:t>
            </w:r>
            <w:r w:rsidRPr="004D0DAA">
              <w:rPr>
                <w:i/>
                <w:iCs/>
                <w:lang w:eastAsia="en-US"/>
              </w:rPr>
              <w:t>Rel-9 extension:</w:t>
            </w:r>
          </w:p>
          <w:p w14:paraId="714A91CB"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 0 &lt; </w:t>
            </w:r>
            <w:r w:rsidRPr="004D0DAA">
              <w:rPr>
                <w:b/>
                <w:bCs/>
                <w:lang w:eastAsia="en-US"/>
              </w:rPr>
              <w:t>EMST_NW_Capability</w:t>
            </w:r>
            <w:r w:rsidRPr="004D0DAA">
              <w:rPr>
                <w:lang w:eastAsia="en-US"/>
              </w:rPr>
              <w:t xml:space="preserve"> : bit (1) &gt;</w:t>
            </w:r>
            <w:r w:rsidRPr="004D0DAA">
              <w:rPr>
                <w:lang w:eastAsia="en-US"/>
              </w:rPr>
              <w:tab/>
            </w:r>
            <w:r w:rsidRPr="004D0DAA">
              <w:rPr>
                <w:lang w:eastAsia="en-US"/>
              </w:rPr>
              <w:tab/>
              <w:t xml:space="preserve">-- </w:t>
            </w:r>
            <w:r w:rsidRPr="004D0DAA">
              <w:rPr>
                <w:i/>
                <w:iCs/>
                <w:lang w:eastAsia="en-US"/>
              </w:rPr>
              <w:t>EMST is not used</w:t>
            </w:r>
          </w:p>
          <w:p w14:paraId="54C8064A" w14:textId="77777777" w:rsidR="00711444" w:rsidRPr="004D0DAA" w:rsidRDefault="00711444" w:rsidP="00AA2A4C">
            <w:pPr>
              <w:pStyle w:val="TAL"/>
              <w:rPr>
                <w:i/>
                <w:iCs/>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EMST is used</w:t>
            </w:r>
          </w:p>
          <w:p w14:paraId="18A6344E"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0</w:t>
            </w:r>
          </w:p>
          <w:p w14:paraId="3B314BA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&lt;</w:t>
            </w:r>
            <w:r w:rsidRPr="004D0DAA">
              <w:rPr>
                <w:b/>
                <w:bCs/>
                <w:lang w:eastAsia="en-US"/>
              </w:rPr>
              <w:t xml:space="preserve"> Downlink RLC Entity 2</w:t>
            </w:r>
            <w:r w:rsidRPr="004D0DAA">
              <w:rPr>
                <w:lang w:eastAsia="en-US"/>
              </w:rPr>
              <w:t xml:space="preserve"> : &lt; RLC Entity struct &gt; </w:t>
            </w:r>
          </w:p>
          <w:p w14:paraId="6D2F61A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w:t>
            </w:r>
          </w:p>
          <w:p w14:paraId="4DC1979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1 &lt;</w:t>
            </w:r>
            <w:r w:rsidRPr="004D0DAA">
              <w:rPr>
                <w:b/>
                <w:bCs/>
                <w:lang w:eastAsia="en-US"/>
              </w:rPr>
              <w:t xml:space="preserve"> Downlink RLC Entity 3</w:t>
            </w:r>
            <w:r w:rsidRPr="004D0DAA">
              <w:rPr>
                <w:lang w:eastAsia="en-US"/>
              </w:rPr>
              <w:t xml:space="preserve"> : &lt; RLC Entity struct &gt; }</w:t>
            </w:r>
          </w:p>
          <w:p w14:paraId="16E21D0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7B7F875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w:t>
            </w:r>
          </w:p>
          <w:p w14:paraId="667784C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Uplink RLC Entity 2</w:t>
            </w:r>
            <w:r w:rsidRPr="004D0DAA">
              <w:rPr>
                <w:lang w:eastAsia="en-US"/>
              </w:rPr>
              <w:t xml:space="preserve"> : &lt; RLC Entity struct &gt; </w:t>
            </w:r>
          </w:p>
          <w:p w14:paraId="122E538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0</w:t>
            </w:r>
          </w:p>
          <w:p w14:paraId="1646946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1 &lt; </w:t>
            </w:r>
            <w:r w:rsidRPr="004D0DAA">
              <w:rPr>
                <w:b/>
                <w:bCs/>
                <w:lang w:eastAsia="en-US"/>
              </w:rPr>
              <w:t>Uplink RLC Entity 3</w:t>
            </w:r>
            <w:r w:rsidRPr="004D0DAA">
              <w:rPr>
                <w:lang w:eastAsia="en-US"/>
              </w:rPr>
              <w:t xml:space="preserve"> : &lt; RLC Entity struct &gt; }</w:t>
            </w:r>
          </w:p>
          <w:p w14:paraId="2CB89FD1"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41D7F1B0" w14:textId="77777777" w:rsidR="00711444" w:rsidRPr="004D0DAA" w:rsidRDefault="00711444" w:rsidP="00AA2A4C">
            <w:pPr>
              <w:pStyle w:val="TAL"/>
              <w:rPr>
                <w:lang w:eastAsia="en-US"/>
              </w:rPr>
            </w:pPr>
            <w:r w:rsidRPr="004D0DAA">
              <w:rPr>
                <w:b/>
                <w:bCs/>
                <w:lang w:eastAsia="en-US"/>
              </w:rPr>
              <w:tab/>
            </w:r>
            <w:r w:rsidRPr="004D0DAA">
              <w:rPr>
                <w:b/>
                <w:bCs/>
                <w:lang w:eastAsia="en-US"/>
              </w:rPr>
              <w:tab/>
            </w:r>
            <w:r w:rsidRPr="004D0DAA">
              <w:rPr>
                <w:lang w:eastAsia="en-US"/>
              </w:rPr>
              <w:t>}</w:t>
            </w:r>
          </w:p>
          <w:p w14:paraId="145FC1D6"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b/>
                <w:lang w:eastAsia="en-US"/>
              </w:rPr>
              <w:t xml:space="preserve">MTTI_DOWNLINK_ASSIGNMENT_C1 </w:t>
            </w:r>
            <w:r w:rsidRPr="004D0DAA">
              <w:rPr>
                <w:lang w:eastAsia="en-US"/>
              </w:rPr>
              <w:t>: bit (1) }</w:t>
            </w:r>
          </w:p>
          <w:p w14:paraId="389BDA80"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b/>
                <w:lang w:eastAsia="en-US"/>
              </w:rPr>
              <w:t xml:space="preserve">MTTI_DOWNLINK_ASSIGNMENT_C2 </w:t>
            </w:r>
            <w:r w:rsidRPr="004D0DAA">
              <w:rPr>
                <w:lang w:eastAsia="en-US"/>
              </w:rPr>
              <w:t>: bit (1) }</w:t>
            </w:r>
          </w:p>
          <w:p w14:paraId="4E1A3D56" w14:textId="77777777" w:rsidR="00711444" w:rsidRPr="004D0DAA" w:rsidRDefault="00711444" w:rsidP="00AA2A4C">
            <w:pPr>
              <w:pStyle w:val="TAL"/>
              <w:rPr>
                <w:b/>
                <w:lang w:eastAsia="en-US"/>
              </w:rPr>
            </w:pPr>
            <w:r w:rsidRPr="004D0DAA">
              <w:rPr>
                <w:b/>
                <w:lang w:eastAsia="en-US"/>
              </w:rPr>
              <w:tab/>
            </w:r>
            <w:r w:rsidRPr="004D0DAA">
              <w:rPr>
                <w:b/>
                <w:lang w:eastAsia="en-US"/>
              </w:rPr>
              <w:tab/>
            </w:r>
            <w:r w:rsidRPr="004D0DAA">
              <w:rPr>
                <w:lang w:eastAsia="en-US"/>
              </w:rPr>
              <w:t>{ 0 | 1</w:t>
            </w:r>
            <w:r w:rsidRPr="004D0DAA">
              <w:rPr>
                <w:b/>
                <w:lang w:eastAsia="en-US"/>
              </w:rPr>
              <w:t xml:space="preserve"> MTTI_UPLINK_ASSIGNMENT_C1 :</w:t>
            </w:r>
            <w:r w:rsidRPr="004D0DAA">
              <w:rPr>
                <w:lang w:eastAsia="en-US"/>
              </w:rPr>
              <w:t xml:space="preserve"> bit(1) }</w:t>
            </w:r>
          </w:p>
          <w:p w14:paraId="5FAFE81A" w14:textId="77777777" w:rsidR="00711444" w:rsidRPr="004D0DAA" w:rsidRDefault="00711444" w:rsidP="00AA2A4C">
            <w:pPr>
              <w:pStyle w:val="TAL"/>
              <w:rPr>
                <w:b/>
                <w:lang w:eastAsia="en-US"/>
              </w:rPr>
            </w:pPr>
            <w:r w:rsidRPr="004D0DAA">
              <w:rPr>
                <w:b/>
                <w:lang w:eastAsia="en-US"/>
              </w:rPr>
              <w:tab/>
            </w:r>
            <w:r w:rsidRPr="004D0DAA">
              <w:rPr>
                <w:b/>
                <w:lang w:eastAsia="en-US"/>
              </w:rPr>
              <w:tab/>
            </w:r>
            <w:r w:rsidRPr="004D0DAA">
              <w:rPr>
                <w:lang w:eastAsia="en-US"/>
              </w:rPr>
              <w:t>{ 0 | 1</w:t>
            </w:r>
            <w:r w:rsidRPr="004D0DAA">
              <w:rPr>
                <w:b/>
                <w:lang w:eastAsia="en-US"/>
              </w:rPr>
              <w:t xml:space="preserve"> MTTI_UPLINK_ASSIGNMENT_C2 :</w:t>
            </w:r>
            <w:r w:rsidRPr="004D0DAA">
              <w:rPr>
                <w:lang w:eastAsia="en-US"/>
              </w:rPr>
              <w:t xml:space="preserve"> bit(1) }</w:t>
            </w:r>
          </w:p>
          <w:p w14:paraId="7A6821CE" w14:textId="77777777" w:rsidR="00711444" w:rsidRPr="004D0DAA" w:rsidRDefault="00711444" w:rsidP="00AA2A4C">
            <w:pPr>
              <w:pStyle w:val="TAL"/>
              <w:rPr>
                <w:lang w:eastAsia="en-US"/>
              </w:rPr>
            </w:pPr>
            <w:r w:rsidRPr="004D0DAA">
              <w:rPr>
                <w:lang w:eastAsia="en-US"/>
              </w:rPr>
              <w:tab/>
              <w:t>}</w:t>
            </w:r>
          </w:p>
          <w:p w14:paraId="07E5DF6A" w14:textId="77777777" w:rsidR="00711444" w:rsidRPr="004D0DAA" w:rsidRDefault="00711444" w:rsidP="00AA2A4C">
            <w:pPr>
              <w:keepNext/>
              <w:keepLines/>
              <w:spacing w:after="0"/>
              <w:rPr>
                <w:rFonts w:ascii="Arial" w:hAnsi="Arial"/>
                <w:sz w:val="18"/>
              </w:rPr>
            </w:pPr>
            <w:r w:rsidRPr="004D0DAA">
              <w:rPr>
                <w:rFonts w:ascii="Arial" w:hAnsi="Arial"/>
                <w:sz w:val="18"/>
              </w:rPr>
              <w:tab/>
              <w: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w:t>
            </w:r>
            <w:r w:rsidRPr="004D0DAA">
              <w:rPr>
                <w:rFonts w:ascii="Arial" w:hAnsi="Arial"/>
                <w:i/>
                <w:iCs/>
                <w:sz w:val="18"/>
              </w:rPr>
              <w:t>Rel-11 extension:</w:t>
            </w:r>
          </w:p>
          <w:p w14:paraId="18B8977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cs="Arial"/>
                <w:b/>
                <w:sz w:val="18"/>
              </w:rPr>
              <w:t>EGPRS Packet Downlink Ack/Nack Type 3</w:t>
            </w:r>
            <w:r w:rsidRPr="004D0DAA">
              <w:rPr>
                <w:rFonts w:ascii="Arial" w:hAnsi="Arial"/>
                <w:sz w:val="18"/>
              </w:rPr>
              <w:t xml:space="preserve"> </w:t>
            </w:r>
            <w:r w:rsidRPr="004D0DAA">
              <w:rPr>
                <w:rFonts w:ascii="Arial" w:hAnsi="Arial"/>
                <w:b/>
                <w:bCs/>
                <w:sz w:val="18"/>
              </w:rPr>
              <w:t>Support</w:t>
            </w:r>
            <w:r w:rsidRPr="004D0DAA">
              <w:rPr>
                <w:rFonts w:ascii="Arial" w:hAnsi="Arial"/>
                <w:sz w:val="18"/>
              </w:rPr>
              <w:t xml:space="preserve"> : bit(1) &gt;</w:t>
            </w:r>
          </w:p>
          <w:p w14:paraId="7C984FCD" w14:textId="77777777" w:rsidR="00711444" w:rsidRPr="004D0DAA" w:rsidRDefault="00711444" w:rsidP="00AA2A4C">
            <w:pPr>
              <w:keepNext/>
              <w:keepLines/>
              <w:spacing w:after="0"/>
              <w:rPr>
                <w:rFonts w:ascii="Arial" w:hAnsi="Arial"/>
                <w:sz w:val="18"/>
              </w:rPr>
            </w:pPr>
            <w:r w:rsidRPr="004D0DAA">
              <w:rPr>
                <w:rFonts w:ascii="Arial" w:hAnsi="Arial"/>
                <w:sz w:val="18"/>
              </w:rPr>
              <w:tab/>
              <w:t>}</w:t>
            </w:r>
          </w:p>
          <w:p w14:paraId="7A3A70EB" w14:textId="77777777" w:rsidR="00711444" w:rsidRPr="004D0DAA" w:rsidRDefault="00711444" w:rsidP="00AA2A4C">
            <w:pPr>
              <w:keepNext/>
              <w:keepLines/>
              <w:spacing w:after="0"/>
              <w:rPr>
                <w:rFonts w:ascii="Arial" w:hAnsi="Arial"/>
                <w:sz w:val="18"/>
              </w:rPr>
            </w:pPr>
            <w:r w:rsidRPr="004D0DAA">
              <w:rPr>
                <w:rFonts w:ascii="Arial" w:hAnsi="Arial"/>
                <w:sz w:val="18"/>
              </w:rPr>
              <w:tab/>
              <w: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w:t>
            </w:r>
            <w:r w:rsidRPr="004D0DAA">
              <w:rPr>
                <w:rFonts w:ascii="Arial" w:hAnsi="Arial"/>
                <w:i/>
                <w:iCs/>
                <w:sz w:val="18"/>
              </w:rPr>
              <w:t>Rel-12 extension:</w:t>
            </w:r>
            <w:r w:rsidRPr="004D0DAA">
              <w:rPr>
                <w:rFonts w:ascii="Arial" w:hAnsi="Arial"/>
                <w:sz w:val="18"/>
              </w:rPr>
              <w:t xml:space="preserve"> </w:t>
            </w:r>
          </w:p>
          <w:p w14:paraId="2F0AD48B"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Primary DL TSC Value assigned</w:t>
            </w:r>
          </w:p>
          <w:p w14:paraId="4D88A4FF"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0E2EB5F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Value</w:t>
            </w:r>
            <w:r w:rsidRPr="004D0DAA">
              <w:rPr>
                <w:iCs/>
                <w:lang w:eastAsia="en-US"/>
              </w:rPr>
              <w:t xml:space="preserve"> : bit (3) &gt; }</w:t>
            </w:r>
          </w:p>
          <w:p w14:paraId="31066FD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5EFE233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5698C13A"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3D39B147" w14:textId="77777777" w:rsidR="00711444" w:rsidRPr="004D0DAA" w:rsidRDefault="00711444" w:rsidP="00AA2A4C">
            <w:pPr>
              <w:pStyle w:val="TAL"/>
              <w:rPr>
                <w:lang w:eastAsia="en-US"/>
              </w:rPr>
            </w:pPr>
            <w:r w:rsidRPr="004D0DAA">
              <w:rPr>
                <w:lang w:eastAsia="en-US"/>
              </w:rPr>
              <w:tab/>
            </w:r>
            <w:r w:rsidRPr="004D0DAA">
              <w:rPr>
                <w:iCs/>
                <w:lang w:eastAsia="en-US"/>
              </w:rPr>
              <w:t>}</w:t>
            </w:r>
          </w:p>
          <w:p w14:paraId="6952B726" w14:textId="77777777" w:rsidR="00711444" w:rsidRPr="004D0DAA" w:rsidRDefault="00711444" w:rsidP="00AA2A4C">
            <w:pPr>
              <w:pStyle w:val="TAL"/>
              <w:rPr>
                <w:i/>
                <w:lang w:eastAsia="en-US"/>
              </w:rPr>
            </w:pPr>
            <w:r w:rsidRPr="004D0DAA">
              <w:rPr>
                <w:lang w:eastAsia="en-US"/>
              </w:rPr>
              <w:tab/>
              <w:t>&lt; spare bit &gt; ** } // ;</w:t>
            </w:r>
            <w:r w:rsidRPr="004D0DAA">
              <w:rPr>
                <w:lang w:eastAsia="en-US"/>
              </w:rPr>
              <w:tab/>
            </w:r>
            <w:r w:rsidRPr="004D0DAA">
              <w:rPr>
                <w:lang w:eastAsia="en-US"/>
              </w:rPr>
              <w:tab/>
            </w:r>
            <w:r w:rsidRPr="004D0DAA">
              <w:rPr>
                <w:lang w:eastAsia="en-US"/>
              </w:rPr>
              <w:tab/>
              <w:t xml:space="preserve">-- </w:t>
            </w:r>
            <w:r w:rsidRPr="004D0DAA">
              <w:rPr>
                <w:i/>
                <w:lang w:eastAsia="en-US"/>
              </w:rPr>
              <w:t>Extension information may be truncated between released versions of the protocol.</w:t>
            </w:r>
          </w:p>
          <w:p w14:paraId="25491C26"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The receiver shall assume the value zero for any truncated bit.</w:t>
            </w:r>
          </w:p>
          <w:p w14:paraId="00C9B480" w14:textId="77777777" w:rsidR="00711444" w:rsidRPr="004D0DAA" w:rsidRDefault="00711444" w:rsidP="00AA2A4C">
            <w:pPr>
              <w:pStyle w:val="TAL"/>
              <w:rPr>
                <w:lang w:eastAsia="en-US"/>
              </w:rPr>
            </w:pPr>
          </w:p>
        </w:tc>
      </w:tr>
      <w:tr w:rsidR="00711444" w:rsidRPr="004D0DAA" w14:paraId="1142621E" w14:textId="77777777" w:rsidTr="00AA2A4C">
        <w:tblPrEx>
          <w:tblCellMar>
            <w:top w:w="0" w:type="dxa"/>
            <w:bottom w:w="0" w:type="dxa"/>
          </w:tblCellMar>
        </w:tblPrEx>
        <w:trPr>
          <w:cantSplit/>
        </w:trPr>
        <w:tc>
          <w:tcPr>
            <w:tcW w:w="9848" w:type="dxa"/>
          </w:tcPr>
          <w:p w14:paraId="06582F06" w14:textId="77777777" w:rsidR="00711444" w:rsidRPr="004D0DAA" w:rsidRDefault="00711444" w:rsidP="00AA2A4C">
            <w:pPr>
              <w:pStyle w:val="TAL"/>
              <w:rPr>
                <w:lang w:eastAsia="en-US"/>
              </w:rPr>
            </w:pPr>
            <w:r w:rsidRPr="004D0DAA">
              <w:rPr>
                <w:lang w:eastAsia="en-US"/>
              </w:rPr>
              <w:t>&lt; RLC Entity struct &gt; :: =</w:t>
            </w:r>
          </w:p>
          <w:p w14:paraId="00109CC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TFI</w:t>
            </w:r>
            <w:r w:rsidRPr="004D0DAA">
              <w:rPr>
                <w:lang w:eastAsia="en-US"/>
              </w:rPr>
              <w:t xml:space="preserve"> : bit (5) &gt;</w:t>
            </w:r>
          </w:p>
          <w:p w14:paraId="185B161F"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RLC_MODE</w:t>
            </w:r>
            <w:r w:rsidRPr="004D0DAA">
              <w:rPr>
                <w:lang w:eastAsia="en-US"/>
              </w:rPr>
              <w:t xml:space="preserve"> : bit (1) &gt;</w:t>
            </w:r>
          </w:p>
          <w:p w14:paraId="796C73F5"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EGPRS Window Size</w:t>
            </w:r>
            <w:r w:rsidRPr="004D0DAA">
              <w:rPr>
                <w:lang w:eastAsia="en-US"/>
              </w:rPr>
              <w:t> : &lt; EGPRS Window Size IE &gt; &gt; }</w:t>
            </w:r>
          </w:p>
          <w:p w14:paraId="50A97D8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PFI</w:t>
            </w:r>
            <w:r w:rsidRPr="004D0DAA">
              <w:rPr>
                <w:lang w:eastAsia="en-US"/>
              </w:rPr>
              <w:t xml:space="preserve"> : bit (7) &gt;;</w:t>
            </w:r>
          </w:p>
        </w:tc>
      </w:tr>
    </w:tbl>
    <w:p w14:paraId="3ABACED9" w14:textId="77777777" w:rsidR="00711444" w:rsidRPr="004D0DAA" w:rsidRDefault="00711444" w:rsidP="00711444">
      <w:pPr>
        <w:tabs>
          <w:tab w:val="left" w:pos="11520"/>
        </w:tabs>
      </w:pPr>
    </w:p>
    <w:p w14:paraId="2B9E2C48" w14:textId="77777777" w:rsidR="00711444" w:rsidRPr="004D0DAA" w:rsidRDefault="00711444" w:rsidP="00711444">
      <w:pPr>
        <w:pStyle w:val="TH"/>
      </w:pPr>
      <w:r w:rsidRPr="004D0DAA">
        <w:t>Table 12.48.2: DTM Handover PS Radio Resources 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B74902B" w14:textId="77777777" w:rsidTr="00AA2A4C">
        <w:tblPrEx>
          <w:tblCellMar>
            <w:top w:w="0" w:type="dxa"/>
            <w:bottom w:w="0" w:type="dxa"/>
          </w:tblCellMar>
        </w:tblPrEx>
        <w:trPr>
          <w:cantSplit/>
        </w:trPr>
        <w:tc>
          <w:tcPr>
            <w:tcW w:w="9848" w:type="dxa"/>
          </w:tcPr>
          <w:p w14:paraId="6E158AA3" w14:textId="77777777" w:rsidR="00711444" w:rsidRPr="004D0DAA" w:rsidRDefault="00711444" w:rsidP="00AA2A4C">
            <w:r w:rsidRPr="004D0DAA">
              <w:rPr>
                <w:b/>
              </w:rPr>
              <w:t xml:space="preserve">Cell Identification </w:t>
            </w:r>
            <w:r w:rsidRPr="004D0DAA">
              <w:t>(information element)</w:t>
            </w:r>
            <w:r w:rsidRPr="004D0DAA">
              <w:br/>
              <w:t>This information element is defined in sub-clause 12.23.</w:t>
            </w:r>
          </w:p>
        </w:tc>
      </w:tr>
      <w:tr w:rsidR="00711444" w:rsidRPr="004D0DAA" w14:paraId="08D329AB" w14:textId="77777777" w:rsidTr="00AA2A4C">
        <w:tblPrEx>
          <w:tblCellMar>
            <w:top w:w="0" w:type="dxa"/>
            <w:bottom w:w="0" w:type="dxa"/>
          </w:tblCellMar>
        </w:tblPrEx>
        <w:trPr>
          <w:cantSplit/>
        </w:trPr>
        <w:tc>
          <w:tcPr>
            <w:tcW w:w="9848" w:type="dxa"/>
          </w:tcPr>
          <w:p w14:paraId="51CB8C53" w14:textId="77777777" w:rsidR="00711444" w:rsidRPr="004D0DAA" w:rsidRDefault="00711444" w:rsidP="00AA2A4C">
            <w:r w:rsidRPr="004D0DAA">
              <w:rPr>
                <w:b/>
              </w:rPr>
              <w:t xml:space="preserve">MAX_LAPDm </w:t>
            </w:r>
            <w:r w:rsidRPr="004D0DAA">
              <w:t>(3 bit field)</w:t>
            </w:r>
            <w:r w:rsidRPr="004D0DAA">
              <w:br/>
              <w:t>This field indicates the maximum number of LAPDm frames into which a layer 3 message can be segmented sent on the main DCCH. It is coded as described in 3GPP TS 44.018.</w:t>
            </w:r>
          </w:p>
        </w:tc>
      </w:tr>
      <w:tr w:rsidR="00711444" w:rsidRPr="004D0DAA" w14:paraId="10A62BF3" w14:textId="77777777" w:rsidTr="00AA2A4C">
        <w:tblPrEx>
          <w:tblCellMar>
            <w:top w:w="0" w:type="dxa"/>
            <w:bottom w:w="0" w:type="dxa"/>
          </w:tblCellMar>
        </w:tblPrEx>
        <w:trPr>
          <w:cantSplit/>
        </w:trPr>
        <w:tc>
          <w:tcPr>
            <w:tcW w:w="9848" w:type="dxa"/>
          </w:tcPr>
          <w:p w14:paraId="27F22C9C" w14:textId="77777777" w:rsidR="00711444" w:rsidRPr="004D0DAA" w:rsidRDefault="00711444" w:rsidP="00AA2A4C">
            <w:r w:rsidRPr="004D0DAA">
              <w:rPr>
                <w:b/>
              </w:rPr>
              <w:lastRenderedPageBreak/>
              <w:t>GPRS_MS_TXPWR_MAX_CCH</w:t>
            </w:r>
            <w:r w:rsidRPr="004D0DAA">
              <w:t xml:space="preserve"> (5 bit field)</w:t>
            </w:r>
            <w:r w:rsidRPr="004D0DAA">
              <w:br/>
              <w:t>The GPRS_MS_TXPWR_MAX_CCH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1C88BE26" w14:textId="77777777" w:rsidTr="00AA2A4C">
        <w:tblPrEx>
          <w:tblCellMar>
            <w:top w:w="0" w:type="dxa"/>
            <w:bottom w:w="0" w:type="dxa"/>
          </w:tblCellMar>
        </w:tblPrEx>
        <w:trPr>
          <w:cantSplit/>
        </w:trPr>
        <w:tc>
          <w:tcPr>
            <w:tcW w:w="9848" w:type="dxa"/>
          </w:tcPr>
          <w:p w14:paraId="51F0C37F" w14:textId="77777777" w:rsidR="00711444" w:rsidRPr="004D0DAA" w:rsidRDefault="00711444" w:rsidP="00AA2A4C">
            <w:r w:rsidRPr="004D0DAA">
              <w:rPr>
                <w:b/>
              </w:rPr>
              <w:t>GPRS Cell Options</w:t>
            </w:r>
            <w:r w:rsidRPr="004D0DAA">
              <w:t xml:space="preserve"> (information element)</w:t>
            </w:r>
            <w:r w:rsidRPr="004D0DAA">
              <w:br/>
              <w:t>The GPRS Cell Option information element is defined in sub-clause 12.24.</w:t>
            </w:r>
          </w:p>
        </w:tc>
      </w:tr>
      <w:tr w:rsidR="00711444" w:rsidRPr="004D0DAA" w14:paraId="4B3EE59E" w14:textId="77777777" w:rsidTr="00AA2A4C">
        <w:tblPrEx>
          <w:tblCellMar>
            <w:top w:w="0" w:type="dxa"/>
            <w:bottom w:w="0" w:type="dxa"/>
          </w:tblCellMar>
        </w:tblPrEx>
        <w:trPr>
          <w:cantSplit/>
        </w:trPr>
        <w:tc>
          <w:tcPr>
            <w:tcW w:w="9848" w:type="dxa"/>
          </w:tcPr>
          <w:p w14:paraId="44F37792" w14:textId="77777777" w:rsidR="00711444" w:rsidRPr="004D0DAA" w:rsidRDefault="00711444" w:rsidP="00AA2A4C">
            <w:r w:rsidRPr="004D0DAA">
              <w:rPr>
                <w:b/>
              </w:rPr>
              <w:t>GPRS Power Control Parameters</w:t>
            </w:r>
            <w:r w:rsidRPr="004D0DAA">
              <w:rPr>
                <w:bCs/>
              </w:rPr>
              <w:t xml:space="preserve"> </w:t>
            </w:r>
            <w:r w:rsidRPr="004D0DAA">
              <w:t>(information element)</w:t>
            </w:r>
            <w:r w:rsidRPr="004D0DAA">
              <w:rPr>
                <w:b/>
              </w:rPr>
              <w:br/>
            </w:r>
            <w:r w:rsidRPr="004D0DAA">
              <w:t>The GPRS Power Control Parameters information element is defined in sub-clause 12.9a.</w:t>
            </w:r>
          </w:p>
        </w:tc>
      </w:tr>
      <w:tr w:rsidR="00711444" w:rsidRPr="004D0DAA" w14:paraId="09F20352" w14:textId="77777777" w:rsidTr="00AA2A4C">
        <w:tblPrEx>
          <w:tblCellMar>
            <w:top w:w="0" w:type="dxa"/>
            <w:bottom w:w="0" w:type="dxa"/>
          </w:tblCellMar>
        </w:tblPrEx>
        <w:trPr>
          <w:cantSplit/>
        </w:trPr>
        <w:tc>
          <w:tcPr>
            <w:tcW w:w="9848" w:type="dxa"/>
          </w:tcPr>
          <w:p w14:paraId="46FBC679" w14:textId="77777777" w:rsidR="00711444" w:rsidRPr="004D0DAA" w:rsidRDefault="00711444" w:rsidP="00AA2A4C">
            <w:pPr>
              <w:spacing w:after="0"/>
            </w:pPr>
            <w:r w:rsidRPr="004D0DAA">
              <w:rPr>
                <w:b/>
                <w:bCs/>
              </w:rPr>
              <w:t xml:space="preserve">RLC_RESET </w:t>
            </w:r>
            <w:r w:rsidRPr="004D0DAA">
              <w:t xml:space="preserve">(1 bit field) </w:t>
            </w:r>
          </w:p>
          <w:p w14:paraId="43F9F543" w14:textId="77777777" w:rsidR="00711444" w:rsidRPr="004D0DAA" w:rsidRDefault="00711444" w:rsidP="00AA2A4C">
            <w:pPr>
              <w:tabs>
                <w:tab w:val="left" w:pos="11520"/>
              </w:tabs>
              <w:spacing w:after="0"/>
            </w:pPr>
            <w:r w:rsidRPr="004D0DAA">
              <w:t>This field is defined in sub-clause 12.42.</w:t>
            </w:r>
          </w:p>
          <w:p w14:paraId="6742D4FE" w14:textId="77777777" w:rsidR="00711444" w:rsidRPr="004D0DAA" w:rsidRDefault="00711444" w:rsidP="00AA2A4C">
            <w:pPr>
              <w:tabs>
                <w:tab w:val="left" w:pos="11520"/>
              </w:tabs>
              <w:spacing w:after="0"/>
            </w:pPr>
          </w:p>
        </w:tc>
      </w:tr>
      <w:tr w:rsidR="00711444" w:rsidRPr="004D0DAA" w14:paraId="739374CC"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24761B9C" w14:textId="77777777" w:rsidR="00711444" w:rsidRPr="004D0DAA" w:rsidRDefault="00711444" w:rsidP="00AA2A4C">
            <w:pPr>
              <w:spacing w:after="0"/>
              <w:rPr>
                <w:b/>
              </w:rPr>
            </w:pPr>
            <w:r w:rsidRPr="004D0DAA">
              <w:rPr>
                <w:b/>
              </w:rPr>
              <w:t>EGPRS mode 2 IE</w:t>
            </w:r>
          </w:p>
          <w:p w14:paraId="620DF9B3" w14:textId="77777777" w:rsidR="00711444" w:rsidRPr="004D0DAA" w:rsidRDefault="00711444" w:rsidP="00AA2A4C">
            <w:pPr>
              <w:spacing w:after="0"/>
            </w:pPr>
            <w:r w:rsidRPr="004D0DAA">
              <w:t>This information element is defined in sub-clause 12.48a.1.</w:t>
            </w:r>
          </w:p>
          <w:p w14:paraId="4D31338D" w14:textId="77777777" w:rsidR="00711444" w:rsidRPr="004D0DAA" w:rsidRDefault="00711444" w:rsidP="00AA2A4C">
            <w:pPr>
              <w:spacing w:after="0"/>
            </w:pPr>
          </w:p>
        </w:tc>
      </w:tr>
      <w:tr w:rsidR="00711444" w:rsidRPr="004D0DAA" w14:paraId="011AB1F9" w14:textId="77777777" w:rsidTr="00AA2A4C">
        <w:tblPrEx>
          <w:tblCellMar>
            <w:top w:w="0" w:type="dxa"/>
            <w:bottom w:w="0" w:type="dxa"/>
          </w:tblCellMar>
        </w:tblPrEx>
        <w:trPr>
          <w:cantSplit/>
          <w:trHeight w:val="113"/>
        </w:trPr>
        <w:tc>
          <w:tcPr>
            <w:tcW w:w="9848" w:type="dxa"/>
            <w:shd w:val="clear" w:color="auto" w:fill="auto"/>
          </w:tcPr>
          <w:p w14:paraId="7AF4A85F" w14:textId="77777777" w:rsidR="00711444" w:rsidRPr="004D0DAA" w:rsidRDefault="00711444" w:rsidP="00AA2A4C">
            <w:pPr>
              <w:spacing w:after="0"/>
              <w:rPr>
                <w:bCs/>
              </w:rPr>
            </w:pPr>
            <w:r w:rsidRPr="004D0DAA">
              <w:rPr>
                <w:b/>
              </w:rPr>
              <w:t>EMST_NW_Capability</w:t>
            </w:r>
            <w:r w:rsidRPr="004D0DAA">
              <w:rPr>
                <w:bCs/>
              </w:rPr>
              <w:t xml:space="preserve"> (1 bit field)</w:t>
            </w:r>
          </w:p>
          <w:p w14:paraId="16EC44DE" w14:textId="77777777" w:rsidR="00711444" w:rsidRPr="004D0DAA" w:rsidRDefault="00711444" w:rsidP="00AA2A4C">
            <w:r w:rsidRPr="004D0DAA">
              <w:t>See sub-clause 11.2.29 (Packet Uplink Assignment message).</w:t>
            </w:r>
          </w:p>
        </w:tc>
      </w:tr>
      <w:tr w:rsidR="00711444" w:rsidRPr="004D0DAA" w14:paraId="11CC13A8" w14:textId="77777777" w:rsidTr="00AA2A4C">
        <w:tblPrEx>
          <w:tblCellMar>
            <w:top w:w="0" w:type="dxa"/>
            <w:bottom w:w="0" w:type="dxa"/>
          </w:tblCellMar>
        </w:tblPrEx>
        <w:trPr>
          <w:cantSplit/>
          <w:trHeight w:val="113"/>
        </w:trPr>
        <w:tc>
          <w:tcPr>
            <w:tcW w:w="9848" w:type="dxa"/>
            <w:shd w:val="clear" w:color="auto" w:fill="auto"/>
          </w:tcPr>
          <w:p w14:paraId="782A4F35" w14:textId="77777777" w:rsidR="00711444" w:rsidRPr="004D0DAA" w:rsidRDefault="00711444" w:rsidP="00AA2A4C">
            <w:pPr>
              <w:spacing w:after="0"/>
              <w:rPr>
                <w:bCs/>
              </w:rPr>
            </w:pPr>
            <w:r w:rsidRPr="004D0DAA">
              <w:rPr>
                <w:b/>
              </w:rPr>
              <w:t xml:space="preserve">TFI </w:t>
            </w:r>
            <w:r w:rsidRPr="004D0DAA">
              <w:rPr>
                <w:bCs/>
              </w:rPr>
              <w:t>(5 bit field)</w:t>
            </w:r>
          </w:p>
          <w:p w14:paraId="0A2D957A" w14:textId="77777777" w:rsidR="00711444" w:rsidRPr="004D0DAA" w:rsidRDefault="00711444" w:rsidP="00AA2A4C">
            <w:r w:rsidRPr="004D0DAA">
              <w:t>See sub-clause 11.2.31</w:t>
            </w:r>
            <w:r w:rsidRPr="004D0DAA">
              <w:rPr>
                <w:szCs w:val="18"/>
              </w:rPr>
              <w:t xml:space="preserve"> </w:t>
            </w:r>
            <w:r w:rsidRPr="004D0DAA">
              <w:t>(Packet Timeslot Reconfigure message).</w:t>
            </w:r>
          </w:p>
        </w:tc>
      </w:tr>
      <w:tr w:rsidR="00711444" w:rsidRPr="004D0DAA" w14:paraId="3E674261" w14:textId="77777777" w:rsidTr="00AA2A4C">
        <w:tblPrEx>
          <w:tblCellMar>
            <w:top w:w="0" w:type="dxa"/>
            <w:bottom w:w="0" w:type="dxa"/>
          </w:tblCellMar>
        </w:tblPrEx>
        <w:trPr>
          <w:cantSplit/>
        </w:trPr>
        <w:tc>
          <w:tcPr>
            <w:tcW w:w="9848" w:type="dxa"/>
          </w:tcPr>
          <w:p w14:paraId="5D1ADF8F" w14:textId="77777777" w:rsidR="00711444" w:rsidRPr="004D0DAA" w:rsidRDefault="00711444" w:rsidP="00AA2A4C">
            <w:pPr>
              <w:tabs>
                <w:tab w:val="left" w:pos="11520"/>
              </w:tabs>
              <w:spacing w:after="0"/>
              <w:rPr>
                <w:bCs/>
              </w:rPr>
            </w:pPr>
            <w:r w:rsidRPr="004D0DAA">
              <w:rPr>
                <w:b/>
              </w:rPr>
              <w:t xml:space="preserve">RLC_MODE </w:t>
            </w:r>
            <w:r w:rsidRPr="004D0DAA">
              <w:t>(1 bit field)</w:t>
            </w:r>
          </w:p>
          <w:p w14:paraId="6AFF4E62" w14:textId="77777777" w:rsidR="00711444" w:rsidRPr="004D0DAA" w:rsidRDefault="00711444" w:rsidP="00AA2A4C">
            <w:pPr>
              <w:tabs>
                <w:tab w:val="left" w:pos="11520"/>
              </w:tabs>
              <w:spacing w:after="0"/>
            </w:pPr>
            <w:r w:rsidRPr="004D0DAA">
              <w:t>See sub-clause 11.2.31</w:t>
            </w:r>
            <w:r w:rsidRPr="004D0DAA">
              <w:rPr>
                <w:szCs w:val="18"/>
              </w:rPr>
              <w:t xml:space="preserve"> </w:t>
            </w:r>
            <w:r w:rsidRPr="004D0DAA">
              <w:t xml:space="preserve">(Packet Timeslot Reconfigure message). If the </w:t>
            </w:r>
            <w:r w:rsidRPr="004D0DAA">
              <w:rPr>
                <w:b/>
                <w:bCs/>
              </w:rPr>
              <w:t>RLC_RESET</w:t>
            </w:r>
            <w:r w:rsidRPr="004D0DAA">
              <w:t xml:space="preserve"> field indicates that any given RLC entity is not reset across PS handover then the mobile station shall ignore this field and use the same RLC mode that was used for the corresponding PFC in the old cell.</w:t>
            </w:r>
          </w:p>
          <w:p w14:paraId="5F6EF2D8" w14:textId="77777777" w:rsidR="00711444" w:rsidRPr="004D0DAA" w:rsidRDefault="00711444" w:rsidP="00AA2A4C">
            <w:pPr>
              <w:tabs>
                <w:tab w:val="left" w:pos="11520"/>
              </w:tabs>
              <w:spacing w:after="0"/>
              <w:rPr>
                <w:b/>
              </w:rPr>
            </w:pPr>
          </w:p>
        </w:tc>
      </w:tr>
      <w:tr w:rsidR="00711444" w:rsidRPr="004D0DAA" w14:paraId="7ACCD91A" w14:textId="77777777" w:rsidTr="00AA2A4C">
        <w:tblPrEx>
          <w:tblCellMar>
            <w:top w:w="0" w:type="dxa"/>
            <w:bottom w:w="0" w:type="dxa"/>
          </w:tblCellMar>
        </w:tblPrEx>
        <w:trPr>
          <w:cantSplit/>
        </w:trPr>
        <w:tc>
          <w:tcPr>
            <w:tcW w:w="9848" w:type="dxa"/>
          </w:tcPr>
          <w:p w14:paraId="1A6A4B06" w14:textId="77777777" w:rsidR="00711444" w:rsidRPr="004D0DAA" w:rsidRDefault="00711444" w:rsidP="00AA2A4C">
            <w:pPr>
              <w:tabs>
                <w:tab w:val="left" w:pos="11520"/>
              </w:tabs>
              <w:rPr>
                <w:b/>
              </w:rPr>
            </w:pPr>
            <w:r w:rsidRPr="004D0DAA">
              <w:rPr>
                <w:b/>
              </w:rPr>
              <w:t>EGPRS Window Size</w:t>
            </w:r>
            <w:r w:rsidRPr="004D0DAA">
              <w:br/>
              <w:t>This information element is defined in sub-clause 12.5.2.</w:t>
            </w:r>
          </w:p>
        </w:tc>
      </w:tr>
      <w:tr w:rsidR="00711444" w:rsidRPr="004D0DAA" w14:paraId="1D81D438" w14:textId="77777777" w:rsidTr="00AA2A4C">
        <w:tblPrEx>
          <w:tblCellMar>
            <w:top w:w="0" w:type="dxa"/>
            <w:bottom w:w="0" w:type="dxa"/>
          </w:tblCellMar>
        </w:tblPrEx>
        <w:trPr>
          <w:cantSplit/>
        </w:trPr>
        <w:tc>
          <w:tcPr>
            <w:tcW w:w="9848" w:type="dxa"/>
          </w:tcPr>
          <w:p w14:paraId="1FB1B5EE" w14:textId="77777777" w:rsidR="00711444" w:rsidRPr="004D0DAA" w:rsidRDefault="00711444" w:rsidP="00AA2A4C">
            <w:pPr>
              <w:tabs>
                <w:tab w:val="left" w:pos="11520"/>
              </w:tabs>
              <w:spacing w:after="0"/>
              <w:rPr>
                <w:b/>
              </w:rPr>
            </w:pPr>
            <w:r w:rsidRPr="004D0DAA">
              <w:rPr>
                <w:b/>
              </w:rPr>
              <w:t xml:space="preserve">PFI </w:t>
            </w:r>
            <w:r w:rsidRPr="004D0DAA">
              <w:rPr>
                <w:bCs/>
              </w:rPr>
              <w:t>(7 bit field)</w:t>
            </w:r>
          </w:p>
          <w:p w14:paraId="7F9D2C1F" w14:textId="77777777" w:rsidR="00711444" w:rsidRPr="004D0DAA" w:rsidRDefault="00711444" w:rsidP="00AA2A4C">
            <w:pPr>
              <w:tabs>
                <w:tab w:val="left" w:pos="11520"/>
              </w:tabs>
              <w:spacing w:after="0"/>
            </w:pPr>
            <w:r w:rsidRPr="004D0DAA">
              <w:t>See sub-clause 11.2.31</w:t>
            </w:r>
            <w:r w:rsidRPr="004D0DAA">
              <w:rPr>
                <w:szCs w:val="18"/>
              </w:rPr>
              <w:t xml:space="preserve"> </w:t>
            </w:r>
            <w:r w:rsidRPr="004D0DAA">
              <w:t>(Packet Timeslot Reconfigure message).</w:t>
            </w:r>
          </w:p>
          <w:p w14:paraId="4BB29819" w14:textId="77777777" w:rsidR="00711444" w:rsidRPr="004D0DAA" w:rsidRDefault="00711444" w:rsidP="00AA2A4C">
            <w:pPr>
              <w:tabs>
                <w:tab w:val="left" w:pos="11520"/>
              </w:tabs>
              <w:spacing w:after="0"/>
              <w:rPr>
                <w:b/>
              </w:rPr>
            </w:pPr>
          </w:p>
        </w:tc>
      </w:tr>
      <w:tr w:rsidR="00711444" w:rsidRPr="004D0DAA" w14:paraId="4983D79B" w14:textId="77777777" w:rsidTr="00AA2A4C">
        <w:tblPrEx>
          <w:tblCellMar>
            <w:top w:w="0" w:type="dxa"/>
            <w:bottom w:w="0" w:type="dxa"/>
          </w:tblCellMar>
        </w:tblPrEx>
        <w:trPr>
          <w:cantSplit/>
        </w:trPr>
        <w:tc>
          <w:tcPr>
            <w:tcW w:w="9848" w:type="dxa"/>
          </w:tcPr>
          <w:p w14:paraId="18B739B8"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482E055C" w14:textId="77777777" w:rsidR="00711444" w:rsidRPr="004D0DAA" w:rsidRDefault="00711444" w:rsidP="00AA2A4C">
            <w:pPr>
              <w:spacing w:after="0"/>
            </w:pPr>
            <w:r w:rsidRPr="004D0DAA">
              <w:t>This field contains the NPM Transfer Time limitation for TBF or RLC entity assigned to operate in RLC non-persistent mode. If EMSR is supported this field contains the NPM Transfer Time limitation for a specific Packet Flow Context configured to use RLC non-persistent mode.</w:t>
            </w:r>
          </w:p>
          <w:p w14:paraId="28907922" w14:textId="77777777" w:rsidR="00711444" w:rsidRPr="004D0DAA" w:rsidRDefault="00711444" w:rsidP="00AA2A4C">
            <w:pPr>
              <w:spacing w:after="0"/>
            </w:pPr>
          </w:p>
        </w:tc>
      </w:tr>
      <w:tr w:rsidR="00711444" w:rsidRPr="004D0DAA" w14:paraId="0B789CE8" w14:textId="77777777" w:rsidTr="00AA2A4C">
        <w:tblPrEx>
          <w:tblCellMar>
            <w:top w:w="0" w:type="dxa"/>
            <w:bottom w:w="0" w:type="dxa"/>
          </w:tblCellMar>
        </w:tblPrEx>
        <w:trPr>
          <w:cantSplit/>
          <w:trHeight w:val="113"/>
        </w:trPr>
        <w:tc>
          <w:tcPr>
            <w:tcW w:w="9848" w:type="dxa"/>
            <w:shd w:val="clear" w:color="auto" w:fill="auto"/>
          </w:tcPr>
          <w:p w14:paraId="61F32F5F" w14:textId="77777777" w:rsidR="00711444" w:rsidRPr="004D0DAA" w:rsidRDefault="00711444" w:rsidP="00AA2A4C">
            <w:pPr>
              <w:spacing w:after="0"/>
            </w:pPr>
            <w:r w:rsidRPr="004D0DAA">
              <w:rPr>
                <w:b/>
              </w:rPr>
              <w:t>MTTI_DOWNLINK_ASSIGNMENT_C1</w:t>
            </w:r>
            <w:r w:rsidRPr="004D0DAA">
              <w:t xml:space="preserve"> (1 bit field)</w:t>
            </w:r>
          </w:p>
          <w:p w14:paraId="496D3617" w14:textId="77777777" w:rsidR="00711444" w:rsidRPr="004D0DAA" w:rsidRDefault="00711444" w:rsidP="00AA2A4C">
            <w:pPr>
              <w:spacing w:after="0"/>
            </w:pPr>
            <w:r w:rsidRPr="004D0DAA">
              <w:rPr>
                <w:b/>
              </w:rPr>
              <w:t xml:space="preserve">MTTI_DOWNLINK_ASSIGNMENT_C2 </w:t>
            </w:r>
            <w:r w:rsidRPr="004D0DAA">
              <w:t xml:space="preserve">(1 bit field) </w:t>
            </w:r>
          </w:p>
          <w:p w14:paraId="7DC0DD61" w14:textId="77777777" w:rsidR="00711444" w:rsidRPr="004D0DAA" w:rsidRDefault="00711444" w:rsidP="00AA2A4C">
            <w:pPr>
              <w:spacing w:after="0"/>
            </w:pPr>
            <w:r w:rsidRPr="004D0DAA">
              <w:t>See sub-clause 11.2.7 (Packet Downlink Assignment message).</w:t>
            </w:r>
          </w:p>
          <w:p w14:paraId="6AF9C7F3" w14:textId="77777777" w:rsidR="00711444" w:rsidRPr="004D0DAA" w:rsidRDefault="00711444" w:rsidP="00AA2A4C">
            <w:pPr>
              <w:spacing w:after="0"/>
              <w:rPr>
                <w:b/>
              </w:rPr>
            </w:pPr>
          </w:p>
        </w:tc>
      </w:tr>
      <w:tr w:rsidR="00711444" w:rsidRPr="004D0DAA" w14:paraId="799A49CD" w14:textId="77777777" w:rsidTr="00AA2A4C">
        <w:tblPrEx>
          <w:tblCellMar>
            <w:top w:w="0" w:type="dxa"/>
            <w:bottom w:w="0" w:type="dxa"/>
          </w:tblCellMar>
        </w:tblPrEx>
        <w:trPr>
          <w:cantSplit/>
          <w:trHeight w:val="113"/>
        </w:trPr>
        <w:tc>
          <w:tcPr>
            <w:tcW w:w="9848" w:type="dxa"/>
            <w:shd w:val="clear" w:color="auto" w:fill="auto"/>
          </w:tcPr>
          <w:p w14:paraId="2D282BDA" w14:textId="77777777" w:rsidR="00711444" w:rsidRPr="004D0DAA" w:rsidRDefault="00711444" w:rsidP="00AA2A4C">
            <w:pPr>
              <w:spacing w:after="0"/>
            </w:pPr>
            <w:r w:rsidRPr="004D0DAA">
              <w:rPr>
                <w:b/>
              </w:rPr>
              <w:t>MTTI_UPLINK_ASSIGNMENT_C1</w:t>
            </w:r>
            <w:r w:rsidRPr="004D0DAA">
              <w:t xml:space="preserve"> (1 bit field)</w:t>
            </w:r>
          </w:p>
          <w:p w14:paraId="79270D2E" w14:textId="77777777" w:rsidR="00711444" w:rsidRPr="004D0DAA" w:rsidRDefault="00711444" w:rsidP="00AA2A4C">
            <w:pPr>
              <w:spacing w:after="0"/>
            </w:pPr>
            <w:r w:rsidRPr="004D0DAA">
              <w:rPr>
                <w:b/>
              </w:rPr>
              <w:t>MTTI_UPLINK_ASSIGNMENT_C2</w:t>
            </w:r>
            <w:r w:rsidRPr="004D0DAA">
              <w:t xml:space="preserve"> (1 bit field) </w:t>
            </w:r>
          </w:p>
          <w:p w14:paraId="6A318662" w14:textId="77777777" w:rsidR="00711444" w:rsidRPr="004D0DAA" w:rsidRDefault="00711444" w:rsidP="00AA2A4C">
            <w:pPr>
              <w:spacing w:after="0"/>
            </w:pPr>
            <w:r w:rsidRPr="004D0DAA">
              <w:t>See sub-clause 11.2.29 (Packet Uplink Assignment message).</w:t>
            </w:r>
          </w:p>
          <w:p w14:paraId="08FD545E" w14:textId="77777777" w:rsidR="00711444" w:rsidRPr="004D0DAA" w:rsidRDefault="00711444" w:rsidP="00AA2A4C">
            <w:pPr>
              <w:spacing w:after="0"/>
              <w:rPr>
                <w:b/>
              </w:rPr>
            </w:pPr>
          </w:p>
        </w:tc>
      </w:tr>
      <w:tr w:rsidR="00711444" w:rsidRPr="004D0DAA" w14:paraId="1CC49066" w14:textId="77777777" w:rsidTr="00AA2A4C">
        <w:tblPrEx>
          <w:tblCellMar>
            <w:top w:w="0" w:type="dxa"/>
            <w:bottom w:w="0" w:type="dxa"/>
          </w:tblCellMar>
        </w:tblPrEx>
        <w:trPr>
          <w:cantSplit/>
          <w:trHeight w:val="113"/>
        </w:trPr>
        <w:tc>
          <w:tcPr>
            <w:tcW w:w="9848" w:type="dxa"/>
            <w:shd w:val="clear" w:color="auto" w:fill="auto"/>
          </w:tcPr>
          <w:p w14:paraId="2F0E2B65"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4DA38726" w14:textId="77777777" w:rsidR="00711444" w:rsidRPr="004D0DAA" w:rsidRDefault="00711444" w:rsidP="00AA2A4C">
            <w:pPr>
              <w:spacing w:after="0"/>
            </w:pPr>
            <w:r w:rsidRPr="004D0DAA">
              <w:t>See sub-clause 11.2.7 (Packet Downlink Assignment message).</w:t>
            </w:r>
          </w:p>
          <w:p w14:paraId="1584A542" w14:textId="77777777" w:rsidR="00711444" w:rsidRPr="004D0DAA" w:rsidRDefault="00711444" w:rsidP="00AA2A4C">
            <w:pPr>
              <w:spacing w:after="0"/>
              <w:rPr>
                <w:b/>
                <w:bCs/>
              </w:rPr>
            </w:pPr>
          </w:p>
        </w:tc>
      </w:tr>
      <w:tr w:rsidR="00711444" w:rsidRPr="004D0DAA" w14:paraId="00B32C7B" w14:textId="77777777" w:rsidTr="00AA2A4C">
        <w:tblPrEx>
          <w:tblCellMar>
            <w:top w:w="0" w:type="dxa"/>
            <w:bottom w:w="0" w:type="dxa"/>
          </w:tblCellMar>
        </w:tblPrEx>
        <w:trPr>
          <w:cantSplit/>
          <w:trHeight w:val="113"/>
        </w:trPr>
        <w:tc>
          <w:tcPr>
            <w:tcW w:w="9848" w:type="dxa"/>
            <w:shd w:val="clear" w:color="auto" w:fill="auto"/>
          </w:tcPr>
          <w:p w14:paraId="3BE44E1B" w14:textId="77777777" w:rsidR="00711444" w:rsidRPr="004D0DAA" w:rsidRDefault="00711444" w:rsidP="00AA2A4C">
            <w:pPr>
              <w:spacing w:after="0"/>
            </w:pPr>
            <w:r w:rsidRPr="004D0DAA">
              <w:rPr>
                <w:b/>
              </w:rPr>
              <w:t>Primary TSC Set</w:t>
            </w:r>
            <w:r w:rsidRPr="004D0DAA">
              <w:t xml:space="preserve"> (1 bit field)</w:t>
            </w:r>
          </w:p>
          <w:p w14:paraId="40952C5D" w14:textId="77777777" w:rsidR="00711444" w:rsidRPr="004D0DAA" w:rsidRDefault="00711444" w:rsidP="00AA2A4C">
            <w:pPr>
              <w:spacing w:after="0"/>
            </w:pPr>
            <w:r w:rsidRPr="004D0DAA">
              <w:rPr>
                <w:b/>
              </w:rPr>
              <w:t>Secondary DL TSC Set</w:t>
            </w:r>
            <w:r w:rsidRPr="004D0DAA">
              <w:t xml:space="preserve"> (1 bit field)</w:t>
            </w:r>
          </w:p>
          <w:p w14:paraId="35D3BB5C" w14:textId="77777777" w:rsidR="00711444" w:rsidRPr="004D0DAA" w:rsidRDefault="00711444" w:rsidP="00AA2A4C">
            <w:pPr>
              <w:spacing w:after="0"/>
            </w:pPr>
            <w:r w:rsidRPr="004D0DAA">
              <w:t>See sub-clause 12.46.</w:t>
            </w:r>
          </w:p>
          <w:p w14:paraId="16C78E84" w14:textId="77777777" w:rsidR="00711444" w:rsidRPr="004D0DAA" w:rsidRDefault="00711444" w:rsidP="00AA2A4C">
            <w:pPr>
              <w:spacing w:before="60" w:after="0"/>
            </w:pPr>
          </w:p>
        </w:tc>
      </w:tr>
      <w:tr w:rsidR="00711444" w:rsidRPr="004D0DAA" w14:paraId="4DD32BCB" w14:textId="77777777" w:rsidTr="00AA2A4C">
        <w:tblPrEx>
          <w:tblCellMar>
            <w:top w:w="0" w:type="dxa"/>
            <w:bottom w:w="0" w:type="dxa"/>
          </w:tblCellMar>
        </w:tblPrEx>
        <w:trPr>
          <w:cantSplit/>
          <w:trHeight w:val="113"/>
        </w:trPr>
        <w:tc>
          <w:tcPr>
            <w:tcW w:w="9848" w:type="dxa"/>
            <w:shd w:val="clear" w:color="auto" w:fill="auto"/>
          </w:tcPr>
          <w:p w14:paraId="74BE2BF1" w14:textId="77777777" w:rsidR="00711444" w:rsidRPr="004D0DAA" w:rsidRDefault="00711444" w:rsidP="00AA2A4C">
            <w:pPr>
              <w:spacing w:after="0"/>
              <w:rPr>
                <w:b/>
              </w:rPr>
            </w:pPr>
            <w:r w:rsidRPr="004D0DAA">
              <w:rPr>
                <w:b/>
              </w:rPr>
              <w:t xml:space="preserve">Primary TSC Value </w:t>
            </w:r>
            <w:r w:rsidRPr="004D0DAA">
              <w:t>(3 bit field)</w:t>
            </w:r>
          </w:p>
          <w:p w14:paraId="3EA8C4C6" w14:textId="77777777" w:rsidR="00711444" w:rsidRPr="004D0DAA" w:rsidRDefault="00711444" w:rsidP="00AA2A4C">
            <w:pPr>
              <w:spacing w:after="0"/>
            </w:pPr>
            <w:r w:rsidRPr="004D0DAA">
              <w:t>See sub-clause 12.46.</w:t>
            </w:r>
          </w:p>
          <w:p w14:paraId="6B91A77C" w14:textId="77777777" w:rsidR="00711444" w:rsidRPr="004D0DAA" w:rsidRDefault="00711444" w:rsidP="00AA2A4C">
            <w:pPr>
              <w:spacing w:after="0"/>
            </w:pPr>
          </w:p>
        </w:tc>
      </w:tr>
      <w:tr w:rsidR="00711444" w:rsidRPr="004D0DAA" w14:paraId="45B877B1" w14:textId="77777777" w:rsidTr="00AA2A4C">
        <w:tblPrEx>
          <w:tblCellMar>
            <w:top w:w="0" w:type="dxa"/>
            <w:bottom w:w="0" w:type="dxa"/>
          </w:tblCellMar>
        </w:tblPrEx>
        <w:trPr>
          <w:cantSplit/>
          <w:trHeight w:val="113"/>
        </w:trPr>
        <w:tc>
          <w:tcPr>
            <w:tcW w:w="9848" w:type="dxa"/>
            <w:shd w:val="clear" w:color="auto" w:fill="auto"/>
          </w:tcPr>
          <w:p w14:paraId="3943EC61" w14:textId="77777777" w:rsidR="00711444" w:rsidRPr="004D0DAA" w:rsidRDefault="00711444" w:rsidP="00AA2A4C">
            <w:pPr>
              <w:spacing w:after="0"/>
              <w:rPr>
                <w:b/>
              </w:rPr>
            </w:pPr>
            <w:r w:rsidRPr="004D0DAA">
              <w:rPr>
                <w:b/>
              </w:rPr>
              <w:t xml:space="preserve">Secondary DL TSC Value </w:t>
            </w:r>
            <w:r w:rsidRPr="004D0DAA">
              <w:t>(3 bit field)</w:t>
            </w:r>
          </w:p>
          <w:p w14:paraId="7DD012B6" w14:textId="77777777" w:rsidR="00711444" w:rsidRPr="004D0DAA" w:rsidRDefault="00711444" w:rsidP="00AA2A4C">
            <w:pPr>
              <w:spacing w:after="0"/>
            </w:pPr>
            <w:r w:rsidRPr="004D0DAA">
              <w:t>See sub-clause 12.46.</w:t>
            </w:r>
          </w:p>
          <w:p w14:paraId="326AC947" w14:textId="77777777" w:rsidR="00711444" w:rsidRPr="004D0DAA" w:rsidRDefault="00711444" w:rsidP="00AA2A4C">
            <w:pPr>
              <w:spacing w:after="0"/>
              <w:rPr>
                <w:b/>
              </w:rPr>
            </w:pPr>
          </w:p>
        </w:tc>
      </w:tr>
    </w:tbl>
    <w:p w14:paraId="50D4A567" w14:textId="77777777" w:rsidR="00711444" w:rsidRPr="004D0DAA" w:rsidRDefault="00711444" w:rsidP="00711444">
      <w:pPr>
        <w:tabs>
          <w:tab w:val="left" w:pos="11520"/>
        </w:tabs>
      </w:pPr>
    </w:p>
    <w:p w14:paraId="08DA5409" w14:textId="77777777" w:rsidR="00711444" w:rsidRPr="004D0DAA" w:rsidRDefault="00711444" w:rsidP="00711444">
      <w:pPr>
        <w:pStyle w:val="Heading2"/>
        <w:rPr>
          <w:lang w:val="fr-FR"/>
        </w:rPr>
      </w:pPr>
      <w:bookmarkStart w:id="836" w:name="_Toc516670012"/>
      <w:r w:rsidRPr="004D0DAA">
        <w:rPr>
          <w:lang w:val="fr-FR"/>
        </w:rPr>
        <w:lastRenderedPageBreak/>
        <w:t>12.48a</w:t>
      </w:r>
      <w:r w:rsidRPr="004D0DAA">
        <w:rPr>
          <w:lang w:val="fr-FR"/>
        </w:rPr>
        <w:tab/>
        <w:t>PS resources assignment information elements</w:t>
      </w:r>
      <w:bookmarkEnd w:id="836"/>
    </w:p>
    <w:p w14:paraId="3AD69B29" w14:textId="77777777" w:rsidR="00711444" w:rsidRPr="004D0DAA" w:rsidRDefault="00711444" w:rsidP="00711444">
      <w:pPr>
        <w:pStyle w:val="Heading3"/>
        <w:rPr>
          <w:lang w:val="fr-FR"/>
        </w:rPr>
      </w:pPr>
      <w:bookmarkStart w:id="837" w:name="_Toc516670013"/>
      <w:r w:rsidRPr="004D0DAA">
        <w:rPr>
          <w:lang w:val="fr-FR"/>
        </w:rPr>
        <w:t>12.48a.1</w:t>
      </w:r>
      <w:r w:rsidRPr="004D0DAA">
        <w:rPr>
          <w:lang w:val="fr-FR"/>
        </w:rPr>
        <w:tab/>
        <w:t>EGPRS mode 2</w:t>
      </w:r>
      <w:bookmarkEnd w:id="837"/>
    </w:p>
    <w:p w14:paraId="560B4F15" w14:textId="77777777" w:rsidR="00711444" w:rsidRPr="004D0DAA" w:rsidRDefault="00711444" w:rsidP="00711444">
      <w:r w:rsidRPr="004D0DAA">
        <w:t>This information element provides the description of uplink and / or downlink radio resources assigned for PS services in a dual carrier configuration or supporting EGPRS2, Fast Ack/Nack Reporting or RTTI configurations for single TBF or a multiple TBF capable mobile station.</w:t>
      </w:r>
    </w:p>
    <w:p w14:paraId="0AE5B4A5" w14:textId="77777777" w:rsidR="00711444" w:rsidRPr="004D0DAA" w:rsidRDefault="00711444" w:rsidP="00711444">
      <w:pPr>
        <w:pStyle w:val="TH"/>
        <w:rPr>
          <w:lang w:val="fr-FR"/>
        </w:rPr>
      </w:pPr>
      <w:r w:rsidRPr="004D0DAA">
        <w:rPr>
          <w:lang w:val="fr-FR"/>
        </w:rPr>
        <w:t>Table 12.48a.1.1: EGPRS mode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301CD19" w14:textId="77777777" w:rsidTr="00AA2A4C">
        <w:tblPrEx>
          <w:tblCellMar>
            <w:top w:w="0" w:type="dxa"/>
            <w:bottom w:w="0" w:type="dxa"/>
          </w:tblCellMar>
        </w:tblPrEx>
        <w:trPr>
          <w:cantSplit/>
        </w:trPr>
        <w:tc>
          <w:tcPr>
            <w:tcW w:w="9848" w:type="dxa"/>
          </w:tcPr>
          <w:p w14:paraId="294FD384" w14:textId="77777777" w:rsidR="00711444" w:rsidRPr="004D0DAA" w:rsidRDefault="00711444" w:rsidP="00AA2A4C">
            <w:pPr>
              <w:pStyle w:val="TAL"/>
              <w:rPr>
                <w:lang w:eastAsia="en-US"/>
              </w:rPr>
            </w:pPr>
            <w:r w:rsidRPr="004D0DAA">
              <w:rPr>
                <w:lang w:eastAsia="en-US"/>
              </w:rPr>
              <w:t>&lt; EGPRS mode 2 IE &gt; ::=</w:t>
            </w:r>
          </w:p>
          <w:p w14:paraId="767243EB" w14:textId="77777777" w:rsidR="00711444" w:rsidRPr="004D0DAA" w:rsidRDefault="00711444" w:rsidP="00AA2A4C">
            <w:pPr>
              <w:pStyle w:val="TAL"/>
              <w:rPr>
                <w:lang w:eastAsia="en-US"/>
              </w:rPr>
            </w:pPr>
            <w:r w:rsidRPr="004D0DAA">
              <w:rPr>
                <w:lang w:eastAsia="en-US"/>
              </w:rPr>
              <w:tab/>
              <w:t>{ 0 | 1</w:t>
            </w:r>
            <w:r w:rsidRPr="004D0DAA">
              <w:rPr>
                <w:lang w:eastAsia="en-US"/>
              </w:rPr>
              <w:tab/>
              <w:t>&lt;</w:t>
            </w:r>
            <w:r w:rsidRPr="004D0DAA">
              <w:rPr>
                <w:b/>
                <w:lang w:eastAsia="en-US"/>
              </w:rPr>
              <w:t xml:space="preserve"> BEP_PERIOD2</w:t>
            </w:r>
            <w:r w:rsidRPr="004D0DAA">
              <w:rPr>
                <w:lang w:eastAsia="en-US"/>
              </w:rPr>
              <w:t xml:space="preserve"> : bit(4) &gt; } </w:t>
            </w:r>
          </w:p>
          <w:p w14:paraId="18A48DD4" w14:textId="77777777" w:rsidR="00711444" w:rsidRPr="004D0DAA" w:rsidRDefault="00711444" w:rsidP="00AA2A4C">
            <w:pPr>
              <w:pStyle w:val="TAL"/>
              <w:rPr>
                <w:lang w:eastAsia="en-US"/>
              </w:rPr>
            </w:pPr>
            <w:r w:rsidRPr="004D0DAA">
              <w:rPr>
                <w:lang w:eastAsia="en-US"/>
              </w:rPr>
              <w:tab/>
              <w:t xml:space="preserve">{ 0 </w:t>
            </w:r>
            <w:r w:rsidRPr="004D0DAA">
              <w:rPr>
                <w:lang w:eastAsia="en-US"/>
              </w:rPr>
              <w:tab/>
            </w:r>
            <w:r w:rsidRPr="004D0DAA">
              <w:rPr>
                <w:lang w:eastAsia="en-US"/>
              </w:rPr>
              <w:tab/>
              <w:t xml:space="preserve">-- </w:t>
            </w:r>
            <w:r w:rsidRPr="004D0DAA">
              <w:rPr>
                <w:i/>
                <w:iCs/>
                <w:lang w:eastAsia="en-US"/>
              </w:rPr>
              <w:t>SINGLE TBF ASSIGNMENT</w:t>
            </w:r>
          </w:p>
          <w:p w14:paraId="7BE1B070"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xml:space="preserve">-- Single </w:t>
            </w:r>
            <w:r w:rsidRPr="004D0DAA">
              <w:rPr>
                <w:i/>
                <w:iCs/>
                <w:lang w:eastAsia="en-US"/>
              </w:rPr>
              <w:t>Downlink TBF</w:t>
            </w:r>
          </w:p>
          <w:p w14:paraId="1C3AC24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Downlink Assignment</w:t>
            </w:r>
            <w:r w:rsidRPr="004D0DAA">
              <w:rPr>
                <w:lang w:eastAsia="en-US"/>
              </w:rPr>
              <w:t xml:space="preserve"> : &lt; Single Downlink Assignment 2 IE &gt; &gt;</w:t>
            </w:r>
          </w:p>
          <w:p w14:paraId="153B2456"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18EDC03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xml:space="preserve">-- Single </w:t>
            </w:r>
            <w:r w:rsidRPr="004D0DAA">
              <w:rPr>
                <w:i/>
                <w:iCs/>
                <w:lang w:eastAsia="en-US"/>
              </w:rPr>
              <w:t>Uplink TBF</w:t>
            </w:r>
          </w:p>
          <w:p w14:paraId="73F4216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Uplink Assignment</w:t>
            </w:r>
            <w:r w:rsidRPr="004D0DAA">
              <w:rPr>
                <w:lang w:eastAsia="en-US"/>
              </w:rPr>
              <w:t xml:space="preserve"> : &lt; Single Uplink Assignment 2 IE &gt; &gt;</w:t>
            </w:r>
          </w:p>
          <w:p w14:paraId="77B225F6"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08673B64" w14:textId="77777777" w:rsidR="00711444" w:rsidRPr="004D0DAA" w:rsidRDefault="00711444" w:rsidP="00AA2A4C">
            <w:pPr>
              <w:pStyle w:val="TAL"/>
              <w:rPr>
                <w:i/>
                <w:iCs/>
                <w:lang w:eastAsia="en-US"/>
              </w:rPr>
            </w:pPr>
            <w:r w:rsidRPr="004D0DAA">
              <w:rPr>
                <w:lang w:eastAsia="en-US"/>
              </w:rPr>
              <w:tab/>
              <w:t xml:space="preserve">| 1 </w:t>
            </w:r>
            <w:r w:rsidRPr="004D0DAA">
              <w:rPr>
                <w:lang w:eastAsia="en-US"/>
              </w:rPr>
              <w:tab/>
            </w:r>
            <w:r w:rsidRPr="004D0DAA">
              <w:rPr>
                <w:lang w:eastAsia="en-US"/>
              </w:rPr>
              <w:tab/>
              <w:t xml:space="preserve">-- </w:t>
            </w:r>
            <w:r w:rsidRPr="004D0DAA">
              <w:rPr>
                <w:i/>
                <w:iCs/>
                <w:lang w:eastAsia="en-US"/>
              </w:rPr>
              <w:t>MULTIPLE TBF ASSIGNMENT</w:t>
            </w:r>
          </w:p>
          <w:p w14:paraId="7B5E29E4" w14:textId="77777777" w:rsidR="00711444" w:rsidRPr="004D0DAA" w:rsidRDefault="00711444" w:rsidP="00AA2A4C">
            <w:pPr>
              <w:pStyle w:val="TAL"/>
              <w:rPr>
                <w:b/>
                <w:lang w:eastAsia="en-US"/>
              </w:rPr>
            </w:pPr>
            <w:r w:rsidRPr="004D0DAA">
              <w:rPr>
                <w:b/>
                <w:lang w:eastAsia="en-US"/>
              </w:rPr>
              <w:tab/>
            </w:r>
            <w:r w:rsidRPr="004D0DAA">
              <w:rPr>
                <w:b/>
                <w:lang w:eastAsia="en-US"/>
              </w:rPr>
              <w:tab/>
            </w:r>
            <w:r w:rsidRPr="004D0DAA">
              <w:rPr>
                <w:b/>
                <w:lang w:eastAsia="en-US"/>
              </w:rPr>
              <w:tab/>
            </w:r>
            <w:r w:rsidRPr="004D0DAA">
              <w:rPr>
                <w:b/>
                <w:i/>
                <w:lang w:eastAsia="en-US"/>
              </w:rPr>
              <w:t xml:space="preserve">-- THIS ASSIGNMENT CHOICE SHALL ONLY BE SELECTED BY THE NETWORK </w:t>
            </w:r>
          </w:p>
          <w:p w14:paraId="667A035E" w14:textId="77777777" w:rsidR="00711444" w:rsidRPr="004D0DAA" w:rsidRDefault="00711444" w:rsidP="00AA2A4C">
            <w:pPr>
              <w:pStyle w:val="TAL"/>
              <w:rPr>
                <w:b/>
                <w:i/>
                <w:lang w:eastAsia="en-US"/>
              </w:rPr>
            </w:pPr>
            <w:r w:rsidRPr="004D0DAA">
              <w:rPr>
                <w:b/>
                <w:lang w:eastAsia="en-US"/>
              </w:rPr>
              <w:tab/>
            </w:r>
            <w:r w:rsidRPr="004D0DAA">
              <w:rPr>
                <w:b/>
                <w:lang w:eastAsia="en-US"/>
              </w:rPr>
              <w:tab/>
            </w:r>
            <w:r w:rsidRPr="004D0DAA">
              <w:rPr>
                <w:b/>
                <w:lang w:eastAsia="en-US"/>
              </w:rPr>
              <w:tab/>
            </w:r>
            <w:r w:rsidRPr="004D0DAA">
              <w:rPr>
                <w:b/>
                <w:i/>
                <w:lang w:eastAsia="en-US"/>
              </w:rPr>
              <w:t>-- FOR ASSIGNING RESOURCES TO A MOBILE STATION SUPPORTING</w:t>
            </w:r>
          </w:p>
          <w:p w14:paraId="71E00A95" w14:textId="77777777" w:rsidR="00711444" w:rsidRPr="004D0DAA" w:rsidRDefault="00711444" w:rsidP="00AA2A4C">
            <w:pPr>
              <w:pStyle w:val="TAL"/>
              <w:rPr>
                <w:b/>
                <w:i/>
                <w:lang w:eastAsia="en-US"/>
              </w:rPr>
            </w:pPr>
            <w:r w:rsidRPr="004D0DAA">
              <w:rPr>
                <w:b/>
                <w:lang w:eastAsia="en-US"/>
              </w:rPr>
              <w:tab/>
            </w:r>
            <w:r w:rsidRPr="004D0DAA">
              <w:rPr>
                <w:b/>
                <w:lang w:eastAsia="en-US"/>
              </w:rPr>
              <w:tab/>
            </w:r>
            <w:r w:rsidRPr="004D0DAA">
              <w:rPr>
                <w:b/>
                <w:lang w:eastAsia="en-US"/>
              </w:rPr>
              <w:tab/>
            </w:r>
            <w:r w:rsidRPr="004D0DAA">
              <w:rPr>
                <w:b/>
                <w:i/>
                <w:lang w:eastAsia="en-US"/>
              </w:rPr>
              <w:t>-- MULTIPLE TBF PROCEDURES IN A/GB MODE (see 3GPP TS 24.008)</w:t>
            </w:r>
          </w:p>
          <w:p w14:paraId="3B02E360"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Multiple downlink TBF(s)</w:t>
            </w:r>
          </w:p>
          <w:p w14:paraId="78D9AD6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Multiple</w:t>
            </w:r>
            <w:r w:rsidRPr="004D0DAA">
              <w:rPr>
                <w:lang w:eastAsia="en-US"/>
              </w:rPr>
              <w:t xml:space="preserve"> </w:t>
            </w:r>
            <w:r w:rsidRPr="004D0DAA">
              <w:rPr>
                <w:b/>
                <w:bCs/>
                <w:lang w:eastAsia="en-US"/>
              </w:rPr>
              <w:t>Downlink Assignment</w:t>
            </w:r>
            <w:r w:rsidRPr="004D0DAA">
              <w:rPr>
                <w:lang w:eastAsia="en-US"/>
              </w:rPr>
              <w:t xml:space="preserve"> : &lt; Multiple Downlink Assignment 2 IE &gt; &gt;</w:t>
            </w:r>
          </w:p>
          <w:p w14:paraId="51DED004"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6BDF03E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Multiple uplink TBF(s)</w:t>
            </w:r>
          </w:p>
          <w:p w14:paraId="65A524E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Multiple Uplink Assignment</w:t>
            </w:r>
            <w:r w:rsidRPr="004D0DAA">
              <w:rPr>
                <w:lang w:eastAsia="en-US"/>
              </w:rPr>
              <w:t xml:space="preserve"> : &lt; Multiple Uplink Assignment 2 IE &gt; &gt;</w:t>
            </w:r>
          </w:p>
          <w:p w14:paraId="0B84D10A"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0154256F" w14:textId="77777777" w:rsidR="00711444" w:rsidRPr="004D0DAA" w:rsidRDefault="00711444" w:rsidP="00AA2A4C">
            <w:pPr>
              <w:pStyle w:val="TAL"/>
              <w:rPr>
                <w:lang w:eastAsia="en-US"/>
              </w:rPr>
            </w:pPr>
            <w:r w:rsidRPr="004D0DAA">
              <w:rPr>
                <w:lang w:eastAsia="en-US"/>
              </w:rPr>
              <w:t xml:space="preserve"> </w:t>
            </w:r>
            <w:r w:rsidRPr="004D0DAA">
              <w:rPr>
                <w:lang w:eastAsia="en-US"/>
              </w:rPr>
              <w:tab/>
              <w:t>} ;</w:t>
            </w:r>
          </w:p>
          <w:p w14:paraId="142CBAAA" w14:textId="77777777" w:rsidR="00711444" w:rsidRPr="004D0DAA" w:rsidRDefault="00711444" w:rsidP="00AA2A4C">
            <w:pPr>
              <w:pStyle w:val="TAL"/>
              <w:rPr>
                <w:lang w:eastAsia="en-US"/>
              </w:rPr>
            </w:pPr>
          </w:p>
        </w:tc>
      </w:tr>
    </w:tbl>
    <w:p w14:paraId="4726060B" w14:textId="77777777" w:rsidR="00711444" w:rsidRPr="004D0DAA" w:rsidRDefault="00711444" w:rsidP="00711444"/>
    <w:p w14:paraId="18C2C0E8" w14:textId="77777777" w:rsidR="00711444" w:rsidRPr="004D0DAA" w:rsidRDefault="00711444" w:rsidP="00711444">
      <w:pPr>
        <w:pStyle w:val="TH"/>
      </w:pPr>
      <w:r w:rsidRPr="004D0DAA">
        <w:t>Table 12.48a.1.2: EGPRS mode 2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09665772" w14:textId="77777777" w:rsidTr="00AA2A4C">
        <w:tblPrEx>
          <w:tblCellMar>
            <w:top w:w="0" w:type="dxa"/>
            <w:bottom w:w="0" w:type="dxa"/>
          </w:tblCellMar>
        </w:tblPrEx>
        <w:trPr>
          <w:cantSplit/>
          <w:trHeight w:val="113"/>
        </w:trPr>
        <w:tc>
          <w:tcPr>
            <w:tcW w:w="9848" w:type="dxa"/>
            <w:shd w:val="clear" w:color="auto" w:fill="auto"/>
          </w:tcPr>
          <w:p w14:paraId="026F4B78" w14:textId="77777777" w:rsidR="00711444" w:rsidRPr="004D0DAA" w:rsidRDefault="00711444" w:rsidP="00AA2A4C">
            <w:pPr>
              <w:spacing w:after="0"/>
            </w:pPr>
            <w:r w:rsidRPr="004D0DAA">
              <w:rPr>
                <w:b/>
              </w:rPr>
              <w:t>BEP_PERIOD2</w:t>
            </w:r>
            <w:r w:rsidRPr="004D0DAA">
              <w:t xml:space="preserve"> (4 bit field)</w:t>
            </w:r>
            <w:r w:rsidRPr="004D0DAA">
              <w:br/>
              <w:t>See sub-clause 11.2.29 (Packet Uplink Assignment message).</w:t>
            </w:r>
          </w:p>
          <w:p w14:paraId="02AEDD24" w14:textId="77777777" w:rsidR="00711444" w:rsidRPr="004D0DAA" w:rsidRDefault="00711444" w:rsidP="00AA2A4C">
            <w:pPr>
              <w:spacing w:after="0"/>
            </w:pPr>
          </w:p>
        </w:tc>
      </w:tr>
      <w:tr w:rsidR="00711444" w:rsidRPr="004D0DAA" w14:paraId="5B4B9AB3"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Height w:val="113"/>
        </w:trPr>
        <w:tc>
          <w:tcPr>
            <w:tcW w:w="9848" w:type="dxa"/>
            <w:shd w:val="clear" w:color="auto" w:fill="auto"/>
          </w:tcPr>
          <w:p w14:paraId="36355EB7" w14:textId="77777777" w:rsidR="00711444" w:rsidRPr="004D0DAA" w:rsidRDefault="00711444" w:rsidP="00AA2A4C">
            <w:pPr>
              <w:spacing w:after="0"/>
              <w:rPr>
                <w:b/>
                <w:bCs/>
                <w:szCs w:val="18"/>
              </w:rPr>
            </w:pPr>
            <w:r w:rsidRPr="004D0DAA">
              <w:rPr>
                <w:b/>
              </w:rPr>
              <w:t>Single Downlink Assignment 2 IE</w:t>
            </w:r>
          </w:p>
          <w:p w14:paraId="387F6E70" w14:textId="77777777" w:rsidR="00711444" w:rsidRPr="004D0DAA" w:rsidRDefault="00711444" w:rsidP="00AA2A4C">
            <w:pPr>
              <w:spacing w:after="0"/>
            </w:pPr>
            <w:r w:rsidRPr="004D0DAA">
              <w:t>This information element is defined in sub-clause 12.48a.2.</w:t>
            </w:r>
          </w:p>
          <w:p w14:paraId="0BBC8BCB" w14:textId="77777777" w:rsidR="00711444" w:rsidRPr="004D0DAA" w:rsidRDefault="00711444" w:rsidP="00AA2A4C">
            <w:pPr>
              <w:spacing w:after="0"/>
              <w:rPr>
                <w:b/>
              </w:rPr>
            </w:pPr>
          </w:p>
        </w:tc>
      </w:tr>
      <w:tr w:rsidR="00711444" w:rsidRPr="004D0DAA" w14:paraId="19D79FA2"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Height w:val="113"/>
        </w:trPr>
        <w:tc>
          <w:tcPr>
            <w:tcW w:w="9848" w:type="dxa"/>
            <w:shd w:val="clear" w:color="auto" w:fill="auto"/>
          </w:tcPr>
          <w:p w14:paraId="7E7AA874" w14:textId="77777777" w:rsidR="00711444" w:rsidRPr="004D0DAA" w:rsidRDefault="00711444" w:rsidP="00AA2A4C">
            <w:pPr>
              <w:spacing w:after="0"/>
              <w:rPr>
                <w:b/>
                <w:bCs/>
                <w:szCs w:val="18"/>
              </w:rPr>
            </w:pPr>
            <w:r w:rsidRPr="004D0DAA">
              <w:rPr>
                <w:b/>
              </w:rPr>
              <w:t>Single Uplink Assignment 2 IE</w:t>
            </w:r>
          </w:p>
          <w:p w14:paraId="429D6BC4" w14:textId="77777777" w:rsidR="00711444" w:rsidRPr="004D0DAA" w:rsidRDefault="00711444" w:rsidP="00AA2A4C">
            <w:pPr>
              <w:spacing w:after="0"/>
            </w:pPr>
            <w:r w:rsidRPr="004D0DAA">
              <w:t>This information element is defined in sub-clause 12.48a.3.</w:t>
            </w:r>
          </w:p>
          <w:p w14:paraId="2C3C2156" w14:textId="77777777" w:rsidR="00711444" w:rsidRPr="004D0DAA" w:rsidRDefault="00711444" w:rsidP="00AA2A4C">
            <w:pPr>
              <w:spacing w:after="0"/>
              <w:rPr>
                <w:b/>
              </w:rPr>
            </w:pPr>
          </w:p>
        </w:tc>
      </w:tr>
      <w:tr w:rsidR="00711444" w:rsidRPr="004D0DAA" w14:paraId="26A8C13F"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Height w:val="113"/>
        </w:trPr>
        <w:tc>
          <w:tcPr>
            <w:tcW w:w="9848" w:type="dxa"/>
            <w:shd w:val="clear" w:color="auto" w:fill="auto"/>
          </w:tcPr>
          <w:p w14:paraId="0013D6F5" w14:textId="77777777" w:rsidR="00711444" w:rsidRPr="004D0DAA" w:rsidRDefault="00711444" w:rsidP="00AA2A4C">
            <w:pPr>
              <w:spacing w:after="0"/>
              <w:rPr>
                <w:b/>
                <w:bCs/>
                <w:szCs w:val="18"/>
              </w:rPr>
            </w:pPr>
            <w:r w:rsidRPr="004D0DAA">
              <w:rPr>
                <w:b/>
              </w:rPr>
              <w:t>Multiple Downlink Assignment 2 IE</w:t>
            </w:r>
          </w:p>
          <w:p w14:paraId="142A24F6" w14:textId="77777777" w:rsidR="00711444" w:rsidRPr="004D0DAA" w:rsidRDefault="00711444" w:rsidP="00AA2A4C">
            <w:pPr>
              <w:spacing w:after="0"/>
            </w:pPr>
            <w:r w:rsidRPr="004D0DAA">
              <w:t>This information element is defined in sub-clause 12.48a.5.</w:t>
            </w:r>
          </w:p>
          <w:p w14:paraId="2FD8AE70" w14:textId="77777777" w:rsidR="00711444" w:rsidRPr="004D0DAA" w:rsidRDefault="00711444" w:rsidP="00AA2A4C">
            <w:pPr>
              <w:spacing w:after="0"/>
              <w:rPr>
                <w:b/>
              </w:rPr>
            </w:pPr>
          </w:p>
        </w:tc>
      </w:tr>
      <w:tr w:rsidR="00711444" w:rsidRPr="004D0DAA" w14:paraId="2F1AE3F3"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Height w:val="113"/>
        </w:trPr>
        <w:tc>
          <w:tcPr>
            <w:tcW w:w="9848" w:type="dxa"/>
            <w:shd w:val="clear" w:color="auto" w:fill="auto"/>
          </w:tcPr>
          <w:p w14:paraId="330A44E3" w14:textId="77777777" w:rsidR="00711444" w:rsidRPr="004D0DAA" w:rsidRDefault="00711444" w:rsidP="00AA2A4C">
            <w:pPr>
              <w:spacing w:after="0"/>
              <w:rPr>
                <w:b/>
                <w:bCs/>
                <w:szCs w:val="18"/>
              </w:rPr>
            </w:pPr>
            <w:r w:rsidRPr="004D0DAA">
              <w:rPr>
                <w:b/>
              </w:rPr>
              <w:t>Multiple Uplink Assignment 2 IE</w:t>
            </w:r>
          </w:p>
          <w:p w14:paraId="2C017861" w14:textId="77777777" w:rsidR="00711444" w:rsidRPr="004D0DAA" w:rsidRDefault="00711444" w:rsidP="00AA2A4C">
            <w:pPr>
              <w:spacing w:after="0"/>
            </w:pPr>
            <w:r w:rsidRPr="004D0DAA">
              <w:t>This information element is defined in sub-clause 12.48a.6.</w:t>
            </w:r>
          </w:p>
          <w:p w14:paraId="4F73F8C1" w14:textId="77777777" w:rsidR="00711444" w:rsidRPr="004D0DAA" w:rsidRDefault="00711444" w:rsidP="00AA2A4C">
            <w:pPr>
              <w:spacing w:after="0"/>
              <w:rPr>
                <w:b/>
              </w:rPr>
            </w:pPr>
          </w:p>
        </w:tc>
      </w:tr>
    </w:tbl>
    <w:p w14:paraId="35A7A0F8" w14:textId="77777777" w:rsidR="00711444" w:rsidRPr="004D0DAA" w:rsidRDefault="00711444" w:rsidP="00711444"/>
    <w:p w14:paraId="7AD70CB4" w14:textId="77777777" w:rsidR="00711444" w:rsidRPr="004D0DAA" w:rsidRDefault="00711444" w:rsidP="00711444">
      <w:pPr>
        <w:pStyle w:val="Heading3"/>
      </w:pPr>
      <w:bookmarkStart w:id="838" w:name="_Toc516670014"/>
      <w:r w:rsidRPr="004D0DAA">
        <w:t>12.48a.2</w:t>
      </w:r>
      <w:r w:rsidRPr="004D0DAA">
        <w:tab/>
        <w:t>Single Downlink Assignment 2</w:t>
      </w:r>
      <w:bookmarkEnd w:id="838"/>
    </w:p>
    <w:p w14:paraId="270F4197" w14:textId="77777777" w:rsidR="00711444" w:rsidRPr="004D0DAA" w:rsidRDefault="00711444" w:rsidP="00711444">
      <w:pPr>
        <w:ind w:right="1"/>
      </w:pPr>
      <w:r w:rsidRPr="004D0DAA">
        <w:t>This information element provides the description of downlink radio resources assigned for PS services in a dual carrier configuration or supporting EGPRS2, Fast Ack/Nack Reporting or RTTI configurations for a single TBF.</w:t>
      </w:r>
    </w:p>
    <w:p w14:paraId="0F53FC6D" w14:textId="77777777" w:rsidR="00711444" w:rsidRPr="004D0DAA" w:rsidRDefault="00711444" w:rsidP="00711444">
      <w:pPr>
        <w:pStyle w:val="TH"/>
      </w:pPr>
      <w:r w:rsidRPr="004D0DAA">
        <w:lastRenderedPageBreak/>
        <w:t>Table 12.48a.2.1: Single Downlink Assignment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4CE2D6F3" w14:textId="77777777" w:rsidTr="00AA2A4C">
        <w:tblPrEx>
          <w:tblCellMar>
            <w:top w:w="0" w:type="dxa"/>
            <w:bottom w:w="0" w:type="dxa"/>
          </w:tblCellMar>
        </w:tblPrEx>
        <w:trPr>
          <w:cantSplit/>
        </w:trPr>
        <w:tc>
          <w:tcPr>
            <w:tcW w:w="9848" w:type="dxa"/>
          </w:tcPr>
          <w:p w14:paraId="2407886A" w14:textId="77777777" w:rsidR="00711444" w:rsidRPr="004D0DAA" w:rsidRDefault="00711444" w:rsidP="00AA2A4C">
            <w:pPr>
              <w:pStyle w:val="TAL"/>
              <w:rPr>
                <w:lang w:eastAsia="en-US"/>
              </w:rPr>
            </w:pPr>
            <w:r w:rsidRPr="004D0DAA">
              <w:rPr>
                <w:lang w:eastAsia="en-US"/>
              </w:rPr>
              <w:t>&lt; Single Downlink Assignment 2 IE &gt; ::=</w:t>
            </w:r>
          </w:p>
          <w:p w14:paraId="5009016E"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Downlink EGPRS Window Size</w:t>
            </w:r>
            <w:r w:rsidRPr="004D0DAA">
              <w:rPr>
                <w:bCs/>
                <w:lang w:eastAsia="en-US"/>
              </w:rPr>
              <w:t xml:space="preserve"> </w:t>
            </w:r>
            <w:r w:rsidRPr="004D0DAA">
              <w:rPr>
                <w:lang w:eastAsia="en-US"/>
              </w:rPr>
              <w:t>: &lt; EGPRS Window Size IE &gt; &gt; }</w:t>
            </w:r>
          </w:p>
          <w:p w14:paraId="0488B846"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LINK_QUALITY_MEASUREMENT_MODE</w:t>
            </w:r>
            <w:r w:rsidRPr="004D0DAA">
              <w:rPr>
                <w:lang w:eastAsia="en-US"/>
              </w:rPr>
              <w:t xml:space="preserve"> : bit (2) &gt;</w:t>
            </w:r>
          </w:p>
          <w:p w14:paraId="0C120AB5" w14:textId="77777777" w:rsidR="00711444" w:rsidRPr="004D0DAA" w:rsidRDefault="00711444" w:rsidP="00AA2A4C">
            <w:pPr>
              <w:pStyle w:val="TAL"/>
              <w:rPr>
                <w:iCs/>
                <w:lang w:eastAsia="en-US"/>
              </w:rPr>
            </w:pPr>
            <w:r w:rsidRPr="004D0DAA">
              <w:rPr>
                <w:lang w:eastAsia="en-US"/>
              </w:rPr>
              <w:tab/>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2B317ADA" w14:textId="77777777" w:rsidR="00711444" w:rsidRPr="004D0DAA" w:rsidRDefault="00711444" w:rsidP="00AA2A4C">
            <w:pPr>
              <w:pStyle w:val="TAL"/>
              <w:rPr>
                <w:i/>
                <w:lang w:eastAsia="en-US"/>
              </w:rPr>
            </w:pPr>
            <w:r w:rsidRPr="004D0DAA">
              <w:rPr>
                <w:lang w:eastAsia="en-US"/>
              </w:rPr>
              <w:tab/>
              <w:t xml:space="preserve">{ 0 </w:t>
            </w:r>
            <w:r w:rsidRPr="004D0DAA">
              <w:rPr>
                <w:lang w:eastAsia="en-US"/>
              </w:rPr>
              <w:tab/>
            </w:r>
            <w:r w:rsidRPr="004D0DAA">
              <w:rPr>
                <w:lang w:eastAsia="en-US"/>
              </w:rPr>
              <w:tab/>
            </w:r>
            <w:r w:rsidRPr="004D0DAA">
              <w:rPr>
                <w:rFonts w:cs="Arial"/>
                <w:szCs w:val="18"/>
                <w:lang w:eastAsia="en-US"/>
              </w:rPr>
              <w:t xml:space="preserve">-- </w:t>
            </w:r>
            <w:r w:rsidRPr="004D0DAA">
              <w:rPr>
                <w:i/>
                <w:lang w:eastAsia="en-US"/>
              </w:rPr>
              <w:t xml:space="preserve">Fast Ack/Nack Reporting is not activated  for the downlink TBF; </w:t>
            </w:r>
          </w:p>
          <w:p w14:paraId="2442C068"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t xml:space="preserve">-- </w:t>
            </w:r>
            <w:r w:rsidRPr="004D0DAA">
              <w:rPr>
                <w:i/>
                <w:lang w:eastAsia="en-US"/>
              </w:rPr>
              <w:t>Fast Ack/Nack Reporting is activated  for the downlink TBF</w:t>
            </w:r>
          </w:p>
          <w:p w14:paraId="2FDC2D00" w14:textId="77777777" w:rsidR="00711444" w:rsidRPr="004D0DAA" w:rsidRDefault="00711444" w:rsidP="00AA2A4C">
            <w:pPr>
              <w:pStyle w:val="TAL"/>
              <w:rPr>
                <w:i/>
                <w:lang w:eastAsia="en-US"/>
              </w:rPr>
            </w:pPr>
            <w:r w:rsidRPr="004D0DAA">
              <w:rPr>
                <w:lang w:eastAsia="en-US"/>
              </w:rPr>
              <w:tab/>
            </w:r>
            <w:r w:rsidRPr="004D0DAA">
              <w:rPr>
                <w:lang w:eastAsia="en-US"/>
              </w:rPr>
              <w:tab/>
              <w:t xml:space="preserve">&lt; </w:t>
            </w:r>
            <w:r w:rsidRPr="004D0DAA">
              <w:rPr>
                <w:b/>
                <w:lang w:eastAsia="en-US"/>
              </w:rPr>
              <w:t>EVENT_BASED_FANR</w:t>
            </w:r>
            <w:r w:rsidRPr="004D0DAA">
              <w:rPr>
                <w:lang w:eastAsia="en-US"/>
              </w:rPr>
              <w:t>: bit (1) &gt; }</w:t>
            </w:r>
          </w:p>
          <w:p w14:paraId="2CB71CF6"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BTTI mode</w:t>
            </w:r>
          </w:p>
          <w:p w14:paraId="07DED98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 xml:space="preserve">TIMESLOT_ALLOCATION_C1 </w:t>
            </w:r>
            <w:r w:rsidRPr="004D0DAA">
              <w:rPr>
                <w:lang w:eastAsia="en-US"/>
              </w:rPr>
              <w:t>: bit (8) &gt;</w:t>
            </w:r>
          </w:p>
          <w:p w14:paraId="0B4C6A9D"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 xml:space="preserve">TIMESLOT_ALLOCATION_C2 </w:t>
            </w:r>
            <w:r w:rsidRPr="004D0DAA">
              <w:rPr>
                <w:lang w:eastAsia="en-US"/>
              </w:rPr>
              <w:t>: bit (8) &gt; }</w:t>
            </w:r>
          </w:p>
          <w:p w14:paraId="0DA2B698" w14:textId="77777777" w:rsidR="00711444" w:rsidRPr="004D0DAA" w:rsidRDefault="00711444" w:rsidP="00AA2A4C">
            <w:pPr>
              <w:pStyle w:val="TAL"/>
              <w:rPr>
                <w:i/>
                <w:iCs/>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RTTI mode</w:t>
            </w:r>
          </w:p>
          <w:p w14:paraId="3643A97B" w14:textId="77777777" w:rsidR="00711444" w:rsidRPr="004D0DAA" w:rsidRDefault="00711444" w:rsidP="00AA2A4C">
            <w:pPr>
              <w:pStyle w:val="TAL"/>
              <w:rPr>
                <w:i/>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Single Carrier Assignment</w:t>
            </w:r>
          </w:p>
          <w:p w14:paraId="5CC9995E"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D</w:t>
            </w:r>
            <w:r w:rsidRPr="004D0DAA">
              <w:rPr>
                <w:i/>
                <w:iCs/>
                <w:szCs w:val="18"/>
                <w:lang w:eastAsia="en-US"/>
              </w:rPr>
              <w:t>efault PDCH-pair configuration</w:t>
            </w:r>
          </w:p>
          <w:p w14:paraId="3D0D822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 xml:space="preserve">Unchanged </w:t>
            </w:r>
          </w:p>
          <w:p w14:paraId="4A46747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0BF008A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128994D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431FB43A"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3251F0C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w:t>
            </w:r>
          </w:p>
          <w:p w14:paraId="0C8F0F1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RTTI_DOWNLINK_PDCH_PAIR_ASSIGNMENT_SC </w:t>
            </w:r>
            <w:r w:rsidRPr="004D0DAA">
              <w:rPr>
                <w:szCs w:val="18"/>
                <w:lang w:eastAsia="en-US"/>
              </w:rPr>
              <w:t>: bit (4) &gt;</w:t>
            </w:r>
          </w:p>
          <w:p w14:paraId="67427E14" w14:textId="77777777" w:rsidR="00711444" w:rsidRPr="004D0DAA" w:rsidRDefault="00711444" w:rsidP="00AA2A4C">
            <w:pPr>
              <w:pStyle w:val="TAL"/>
              <w:rPr>
                <w:i/>
                <w:lang w:eastAsia="en-US"/>
              </w:rPr>
            </w:pP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w:t>
            </w:r>
            <w:r w:rsidRPr="004D0DAA">
              <w:rPr>
                <w:i/>
                <w:lang w:eastAsia="en-US"/>
              </w:rPr>
              <w:t>Dual  Carrier Assignment</w:t>
            </w:r>
          </w:p>
          <w:p w14:paraId="7CEBC337"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Default PDCH pair configuration</w:t>
            </w:r>
          </w:p>
          <w:p w14:paraId="7BAD222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Unchanged</w:t>
            </w:r>
          </w:p>
          <w:p w14:paraId="3C03C76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780470EF"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5D6D7077"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4A8077F2"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3D865C4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668ECFB4"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0FC32A46" w14:textId="77777777" w:rsidR="00711444" w:rsidRPr="004D0DAA" w:rsidRDefault="00711444" w:rsidP="00AA2A4C">
            <w:pPr>
              <w:pStyle w:val="TAL"/>
              <w:rPr>
                <w:szCs w:val="18"/>
                <w:lang w:eastAsia="en-US"/>
              </w:rPr>
            </w:pPr>
            <w:r w:rsidRPr="004D0DAA">
              <w:rPr>
                <w:i/>
                <w:szCs w:val="18"/>
                <w:lang w:eastAsia="en-US"/>
              </w:rPr>
              <w:tab/>
            </w:r>
            <w:r w:rsidRPr="004D0DAA">
              <w:rPr>
                <w:i/>
                <w:szCs w:val="18"/>
                <w:lang w:eastAsia="en-US"/>
              </w:rPr>
              <w:tab/>
            </w:r>
            <w:r w:rsidRPr="004D0DAA">
              <w:rPr>
                <w:i/>
                <w:szCs w:val="18"/>
                <w:lang w:eastAsia="en-US"/>
              </w:rPr>
              <w:tab/>
            </w:r>
            <w:r w:rsidRPr="004D0DAA">
              <w:rPr>
                <w:szCs w:val="18"/>
                <w:lang w:eastAsia="en-US"/>
              </w:rPr>
              <w:t>}</w:t>
            </w:r>
          </w:p>
          <w:p w14:paraId="4D3978E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RTTI_DOWNLINK_PDCH_PAIR_ASSIGNMENT_DC </w:t>
            </w:r>
            <w:r w:rsidRPr="004D0DAA">
              <w:rPr>
                <w:szCs w:val="18"/>
                <w:lang w:eastAsia="en-US"/>
              </w:rPr>
              <w:t>: bit (8) &gt;</w:t>
            </w:r>
          </w:p>
          <w:p w14:paraId="30DFF59C" w14:textId="77777777" w:rsidR="00711444" w:rsidRPr="004D0DAA" w:rsidRDefault="00711444" w:rsidP="00AA2A4C">
            <w:pPr>
              <w:pStyle w:val="TAL"/>
              <w:rPr>
                <w:szCs w:val="18"/>
                <w:lang w:val="fr-FR" w:eastAsia="en-US"/>
              </w:rPr>
            </w:pPr>
            <w:r w:rsidRPr="004D0DAA">
              <w:rPr>
                <w:lang w:eastAsia="en-US"/>
              </w:rPr>
              <w:tab/>
            </w:r>
            <w:r w:rsidRPr="004D0DAA">
              <w:rPr>
                <w:lang w:eastAsia="en-US"/>
              </w:rPr>
              <w:tab/>
            </w:r>
            <w:r w:rsidRPr="004D0DAA">
              <w:rPr>
                <w:lang w:val="fr-FR" w:eastAsia="en-US"/>
              </w:rPr>
              <w:t>}</w:t>
            </w:r>
          </w:p>
          <w:p w14:paraId="1ADE2449" w14:textId="77777777" w:rsidR="00711444" w:rsidRPr="004D0DAA" w:rsidRDefault="00711444" w:rsidP="00AA2A4C">
            <w:pPr>
              <w:pStyle w:val="TAL"/>
              <w:rPr>
                <w:szCs w:val="18"/>
                <w:lang w:val="fr-FR" w:eastAsia="en-US"/>
              </w:rPr>
            </w:pPr>
            <w:r w:rsidRPr="004D0DAA">
              <w:rPr>
                <w:lang w:val="fr-FR" w:eastAsia="en-US"/>
              </w:rPr>
              <w:tab/>
              <w:t>}</w:t>
            </w:r>
          </w:p>
          <w:p w14:paraId="5722CA5A" w14:textId="77777777" w:rsidR="00711444" w:rsidRPr="004D0DAA" w:rsidRDefault="00711444" w:rsidP="00AA2A4C">
            <w:pPr>
              <w:pStyle w:val="TAL"/>
              <w:rPr>
                <w:lang w:val="fr-FR" w:eastAsia="en-US"/>
              </w:rPr>
            </w:pPr>
            <w:r w:rsidRPr="004D0DAA">
              <w:rPr>
                <w:lang w:val="fr-FR" w:eastAsia="en-US"/>
              </w:rPr>
              <w:tab/>
              <w:t xml:space="preserve">{ 0 | 1 &lt; </w:t>
            </w:r>
            <w:r w:rsidRPr="004D0DAA">
              <w:rPr>
                <w:b/>
                <w:bCs/>
                <w:iCs/>
                <w:lang w:val="fr-FR" w:eastAsia="en-US"/>
              </w:rPr>
              <w:t>PFI</w:t>
            </w:r>
            <w:r w:rsidRPr="004D0DAA">
              <w:rPr>
                <w:iCs/>
                <w:lang w:val="fr-FR" w:eastAsia="en-US"/>
              </w:rPr>
              <w:t xml:space="preserve"> </w:t>
            </w:r>
            <w:r w:rsidRPr="004D0DAA">
              <w:rPr>
                <w:lang w:val="fr-FR" w:eastAsia="en-US"/>
              </w:rPr>
              <w:t>: bit (7) &gt; }</w:t>
            </w:r>
          </w:p>
          <w:p w14:paraId="6CB9C39F" w14:textId="77777777" w:rsidR="00711444" w:rsidRPr="004D0DAA" w:rsidRDefault="00711444" w:rsidP="00AA2A4C">
            <w:pPr>
              <w:pStyle w:val="TAL"/>
              <w:rPr>
                <w:rFonts w:cs="Arial"/>
                <w:szCs w:val="18"/>
                <w:lang w:val="fr-FR" w:eastAsia="en-US"/>
              </w:rPr>
            </w:pPr>
            <w:r w:rsidRPr="004D0DAA">
              <w:rPr>
                <w:rFonts w:cs="Arial"/>
                <w:szCs w:val="18"/>
                <w:lang w:val="fr-FR" w:eastAsia="en-US"/>
              </w:rPr>
              <w:tab/>
              <w:t xml:space="preserve">&lt; </w:t>
            </w:r>
            <w:r w:rsidRPr="004D0DAA">
              <w:rPr>
                <w:rFonts w:cs="Arial"/>
                <w:b/>
                <w:szCs w:val="18"/>
                <w:lang w:val="fr-FR" w:eastAsia="en-US"/>
              </w:rPr>
              <w:t>RLC_MODE</w:t>
            </w:r>
            <w:r w:rsidRPr="004D0DAA">
              <w:rPr>
                <w:rFonts w:cs="Arial"/>
                <w:szCs w:val="18"/>
                <w:lang w:val="fr-FR" w:eastAsia="en-US"/>
              </w:rPr>
              <w:t xml:space="preserve"> : bit (1) &gt; </w:t>
            </w:r>
          </w:p>
          <w:p w14:paraId="2D929E4D" w14:textId="77777777" w:rsidR="00711444" w:rsidRPr="004D0DAA" w:rsidRDefault="00711444" w:rsidP="00AA2A4C">
            <w:pPr>
              <w:pStyle w:val="TAL"/>
              <w:rPr>
                <w:rFonts w:cs="Arial"/>
                <w:szCs w:val="18"/>
                <w:lang w:eastAsia="en-US"/>
              </w:rPr>
            </w:pPr>
            <w:r w:rsidRPr="004D0DAA">
              <w:rPr>
                <w:rFonts w:cs="Arial"/>
                <w:szCs w:val="18"/>
                <w:lang w:val="fr-FR" w:eastAsia="en-US"/>
              </w:rPr>
              <w:tab/>
            </w:r>
            <w:r w:rsidRPr="004D0DAA">
              <w:rPr>
                <w:rFonts w:cs="Arial"/>
                <w:szCs w:val="18"/>
                <w:lang w:eastAsia="en-US"/>
              </w:rPr>
              <w:t xml:space="preserve">&lt; </w:t>
            </w:r>
            <w:r w:rsidRPr="004D0DAA">
              <w:rPr>
                <w:rFonts w:cs="Arial"/>
                <w:b/>
                <w:szCs w:val="18"/>
                <w:lang w:eastAsia="en-US"/>
              </w:rPr>
              <w:t>DOWNLINK_TFI_ASSIGNMENT</w:t>
            </w:r>
            <w:r w:rsidRPr="004D0DAA">
              <w:rPr>
                <w:rFonts w:cs="Arial"/>
                <w:szCs w:val="18"/>
                <w:lang w:eastAsia="en-US"/>
              </w:rPr>
              <w:t xml:space="preserve"> : bit (5) &gt;</w:t>
            </w:r>
          </w:p>
          <w:p w14:paraId="6CCFCD68" w14:textId="77777777" w:rsidR="00711444" w:rsidRPr="004D0DAA" w:rsidRDefault="00711444" w:rsidP="00AA2A4C">
            <w:pPr>
              <w:pStyle w:val="TAL"/>
              <w:rPr>
                <w:rFonts w:cs="Arial"/>
                <w:szCs w:val="18"/>
                <w:lang w:eastAsia="en-US"/>
              </w:rPr>
            </w:pPr>
            <w:r w:rsidRPr="004D0DAA">
              <w:rPr>
                <w:rFonts w:cs="Arial"/>
                <w:szCs w:val="18"/>
                <w:lang w:eastAsia="en-US"/>
              </w:rPr>
              <w:tab/>
              <w:t xml:space="preserve">&lt; </w:t>
            </w:r>
            <w:r w:rsidRPr="004D0DAA">
              <w:rPr>
                <w:rFonts w:cs="Arial"/>
                <w:b/>
                <w:szCs w:val="18"/>
                <w:lang w:eastAsia="en-US"/>
              </w:rPr>
              <w:t>CONTROL_ACK</w:t>
            </w:r>
            <w:r w:rsidRPr="004D0DAA">
              <w:rPr>
                <w:rFonts w:cs="Arial"/>
                <w:szCs w:val="18"/>
                <w:lang w:eastAsia="en-US"/>
              </w:rPr>
              <w:t xml:space="preserve"> : bit (1) &gt;</w:t>
            </w:r>
          </w:p>
          <w:p w14:paraId="7B07FC06" w14:textId="77777777" w:rsidR="00711444" w:rsidRPr="004D0DAA" w:rsidRDefault="00711444" w:rsidP="00AA2A4C">
            <w:pPr>
              <w:pStyle w:val="TAL"/>
              <w:rPr>
                <w:lang w:eastAsia="en-US"/>
              </w:rPr>
            </w:pPr>
            <w:r w:rsidRPr="004D0DAA">
              <w:rPr>
                <w:rFonts w:cs="Arial"/>
                <w:szCs w:val="18"/>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7C5C6C16" w14:textId="77777777" w:rsidR="00711444" w:rsidRPr="004D0DAA" w:rsidRDefault="00711444" w:rsidP="00AA2A4C">
            <w:pPr>
              <w:pStyle w:val="TAL"/>
              <w:rPr>
                <w:lang w:eastAsia="en-US"/>
              </w:rPr>
            </w:pPr>
            <w:r w:rsidRPr="004D0DAA">
              <w:rPr>
                <w:lang w:eastAsia="en-US"/>
              </w:rPr>
              <w:tab/>
              <w:t>;</w:t>
            </w:r>
          </w:p>
          <w:p w14:paraId="00AB7637" w14:textId="77777777" w:rsidR="00711444" w:rsidRPr="004D0DAA" w:rsidRDefault="00711444" w:rsidP="00AA2A4C">
            <w:pPr>
              <w:pStyle w:val="TAL"/>
              <w:rPr>
                <w:lang w:eastAsia="en-US"/>
              </w:rPr>
            </w:pPr>
          </w:p>
        </w:tc>
      </w:tr>
    </w:tbl>
    <w:p w14:paraId="355D003F" w14:textId="77777777" w:rsidR="00711444" w:rsidRPr="004D0DAA" w:rsidRDefault="00711444" w:rsidP="00711444"/>
    <w:p w14:paraId="4BDF3944" w14:textId="77777777" w:rsidR="00711444" w:rsidRPr="004D0DAA" w:rsidRDefault="00711444" w:rsidP="00711444">
      <w:pPr>
        <w:pStyle w:val="TH"/>
      </w:pPr>
      <w:r w:rsidRPr="004D0DAA">
        <w:t>Table 12.48a.2.2: Single Downlink Assignment 2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47012A63" w14:textId="77777777" w:rsidTr="00AA2A4C">
        <w:tblPrEx>
          <w:tblCellMar>
            <w:top w:w="0" w:type="dxa"/>
            <w:bottom w:w="0" w:type="dxa"/>
          </w:tblCellMar>
        </w:tblPrEx>
        <w:trPr>
          <w:cantSplit/>
          <w:trHeight w:val="113"/>
        </w:trPr>
        <w:tc>
          <w:tcPr>
            <w:tcW w:w="9848" w:type="dxa"/>
            <w:shd w:val="clear" w:color="auto" w:fill="auto"/>
          </w:tcPr>
          <w:p w14:paraId="4DA4D160" w14:textId="77777777" w:rsidR="00711444" w:rsidRPr="004D0DAA" w:rsidRDefault="00711444" w:rsidP="00AA2A4C">
            <w:r w:rsidRPr="004D0DAA">
              <w:rPr>
                <w:b/>
              </w:rPr>
              <w:t>EGPRS Window Size IE (Downlink EGPRS Window Size)</w:t>
            </w:r>
            <w:r w:rsidRPr="004D0DAA">
              <w:br/>
              <w:t>This information element is defined in sub-clause 12.5.2.</w:t>
            </w:r>
          </w:p>
        </w:tc>
      </w:tr>
      <w:tr w:rsidR="00711444" w:rsidRPr="004D0DAA" w14:paraId="0617906D"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Pr>
          <w:p w14:paraId="12C401FE" w14:textId="77777777" w:rsidR="00711444" w:rsidRPr="004D0DAA" w:rsidRDefault="00711444" w:rsidP="00AA2A4C">
            <w:pPr>
              <w:tabs>
                <w:tab w:val="left" w:pos="11520"/>
              </w:tabs>
              <w:spacing w:after="0"/>
            </w:pPr>
            <w:r w:rsidRPr="004D0DAA">
              <w:rPr>
                <w:b/>
              </w:rPr>
              <w:t>LINK_QUALITY_MEASUREMENT_MODE</w:t>
            </w:r>
            <w:r w:rsidRPr="004D0DAA">
              <w:t xml:space="preserve"> (2 bit field)</w:t>
            </w:r>
          </w:p>
          <w:p w14:paraId="048D2194" w14:textId="77777777" w:rsidR="00711444" w:rsidRPr="004D0DAA" w:rsidRDefault="00711444" w:rsidP="00AA2A4C">
            <w:pPr>
              <w:tabs>
                <w:tab w:val="left" w:pos="11520"/>
              </w:tabs>
              <w:spacing w:after="0"/>
              <w:ind w:left="432" w:hanging="432"/>
            </w:pPr>
            <w:r w:rsidRPr="004D0DAA">
              <w:t>See sub-clause 11.2.7 (Packet Downlink Assignment message).</w:t>
            </w:r>
          </w:p>
          <w:p w14:paraId="354DD600" w14:textId="77777777" w:rsidR="00711444" w:rsidRPr="004D0DAA" w:rsidRDefault="00711444" w:rsidP="00AA2A4C">
            <w:pPr>
              <w:tabs>
                <w:tab w:val="left" w:pos="11520"/>
              </w:tabs>
              <w:spacing w:after="0"/>
              <w:ind w:left="432" w:hanging="432"/>
              <w:rPr>
                <w:b/>
              </w:rPr>
            </w:pPr>
          </w:p>
        </w:tc>
      </w:tr>
      <w:tr w:rsidR="00711444" w:rsidRPr="004D0DAA" w14:paraId="15DB7CB3" w14:textId="77777777" w:rsidTr="00AA2A4C">
        <w:tblPrEx>
          <w:tblCellMar>
            <w:top w:w="0" w:type="dxa"/>
            <w:bottom w:w="0" w:type="dxa"/>
          </w:tblCellMar>
        </w:tblPrEx>
        <w:trPr>
          <w:cantSplit/>
          <w:trHeight w:val="113"/>
        </w:trPr>
        <w:tc>
          <w:tcPr>
            <w:tcW w:w="9848" w:type="dxa"/>
            <w:shd w:val="clear" w:color="auto" w:fill="auto"/>
          </w:tcPr>
          <w:p w14:paraId="510C5194" w14:textId="77777777" w:rsidR="00711444" w:rsidRPr="004D0DAA" w:rsidRDefault="00711444" w:rsidP="00AA2A4C">
            <w:pPr>
              <w:spacing w:after="0"/>
            </w:pPr>
            <w:r w:rsidRPr="004D0DAA">
              <w:rPr>
                <w:b/>
              </w:rPr>
              <w:t>EGPRS Level IE (Downlink EGPRS Level)</w:t>
            </w:r>
          </w:p>
          <w:p w14:paraId="60A28C81" w14:textId="77777777" w:rsidR="00711444" w:rsidRPr="004D0DAA" w:rsidRDefault="00711444" w:rsidP="00AA2A4C">
            <w:pPr>
              <w:spacing w:after="0"/>
              <w:rPr>
                <w:szCs w:val="18"/>
              </w:rPr>
            </w:pPr>
            <w:r w:rsidRPr="004D0DAA">
              <w:t>This information element is defined in sub-clause 12.10f.</w:t>
            </w:r>
          </w:p>
          <w:p w14:paraId="56F526B9" w14:textId="77777777" w:rsidR="00711444" w:rsidRPr="004D0DAA" w:rsidRDefault="00711444" w:rsidP="00AA2A4C">
            <w:pPr>
              <w:spacing w:after="0"/>
              <w:rPr>
                <w:b/>
              </w:rPr>
            </w:pPr>
          </w:p>
        </w:tc>
      </w:tr>
      <w:tr w:rsidR="00711444" w:rsidRPr="004D0DAA" w14:paraId="11D0CCA8"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204B8B50" w14:textId="77777777" w:rsidR="00711444" w:rsidRPr="004D0DAA" w:rsidRDefault="00711444" w:rsidP="00AA2A4C">
            <w:pPr>
              <w:spacing w:after="0"/>
            </w:pPr>
            <w:r w:rsidRPr="004D0DAA">
              <w:rPr>
                <w:b/>
              </w:rPr>
              <w:t>EVENT_BASED_FANR</w:t>
            </w:r>
            <w:r w:rsidRPr="004D0DAA">
              <w:t xml:space="preserve"> (1 bit field)</w:t>
            </w:r>
          </w:p>
          <w:p w14:paraId="0D2C3CF4" w14:textId="77777777" w:rsidR="00711444" w:rsidRPr="004D0DAA" w:rsidRDefault="00711444" w:rsidP="00AA2A4C">
            <w:pPr>
              <w:spacing w:after="0"/>
            </w:pPr>
            <w:r w:rsidRPr="004D0DAA">
              <w:t>See sub-clause 11.2.7 (Packet Downlink Assignment message).</w:t>
            </w:r>
          </w:p>
          <w:p w14:paraId="752B1BA7" w14:textId="77777777" w:rsidR="00711444" w:rsidRPr="004D0DAA" w:rsidRDefault="00711444" w:rsidP="00AA2A4C">
            <w:pPr>
              <w:spacing w:after="0"/>
            </w:pPr>
          </w:p>
        </w:tc>
      </w:tr>
      <w:tr w:rsidR="00711444" w:rsidRPr="004D0DAA" w14:paraId="7B7A1803" w14:textId="77777777" w:rsidTr="00AA2A4C">
        <w:tblPrEx>
          <w:tblCellMar>
            <w:top w:w="0" w:type="dxa"/>
            <w:bottom w:w="0" w:type="dxa"/>
          </w:tblCellMar>
        </w:tblPrEx>
        <w:trPr>
          <w:cantSplit/>
          <w:trHeight w:val="113"/>
        </w:trPr>
        <w:tc>
          <w:tcPr>
            <w:tcW w:w="9848" w:type="dxa"/>
            <w:shd w:val="clear" w:color="auto" w:fill="auto"/>
          </w:tcPr>
          <w:p w14:paraId="12480D98" w14:textId="77777777" w:rsidR="00711444" w:rsidRPr="004D0DAA" w:rsidRDefault="00711444" w:rsidP="00AA2A4C">
            <w:pPr>
              <w:spacing w:after="0"/>
            </w:pPr>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See sub-clause 11.2.7 (Packet Downlink Assignment message).</w:t>
            </w:r>
          </w:p>
          <w:p w14:paraId="713E3B69" w14:textId="77777777" w:rsidR="00711444" w:rsidRPr="004D0DAA" w:rsidRDefault="00711444" w:rsidP="00AA2A4C">
            <w:pPr>
              <w:spacing w:after="0"/>
            </w:pPr>
          </w:p>
        </w:tc>
      </w:tr>
      <w:tr w:rsidR="00711444" w:rsidRPr="004D0DAA" w14:paraId="72FDD732" w14:textId="77777777" w:rsidTr="00AA2A4C">
        <w:tblPrEx>
          <w:tblCellMar>
            <w:top w:w="0" w:type="dxa"/>
            <w:bottom w:w="0" w:type="dxa"/>
          </w:tblCellMar>
        </w:tblPrEx>
        <w:trPr>
          <w:cantSplit/>
          <w:trHeight w:val="113"/>
        </w:trPr>
        <w:tc>
          <w:tcPr>
            <w:tcW w:w="9848" w:type="dxa"/>
            <w:shd w:val="clear" w:color="auto" w:fill="auto"/>
          </w:tcPr>
          <w:p w14:paraId="15F82873" w14:textId="77777777" w:rsidR="00711444" w:rsidRPr="004D0DAA" w:rsidRDefault="00711444" w:rsidP="00AA2A4C">
            <w:pPr>
              <w:spacing w:after="0"/>
              <w:rPr>
                <w:b/>
                <w:bCs/>
                <w:szCs w:val="18"/>
              </w:rPr>
            </w:pPr>
            <w:r w:rsidRPr="004D0DAA">
              <w:rPr>
                <w:b/>
                <w:bCs/>
                <w:szCs w:val="18"/>
              </w:rPr>
              <w:lastRenderedPageBreak/>
              <w:t>DOWNLINK_PDCH_PAIRS_C1</w:t>
            </w:r>
          </w:p>
          <w:p w14:paraId="6C3472E8" w14:textId="77777777" w:rsidR="00711444" w:rsidRPr="004D0DAA" w:rsidRDefault="00711444" w:rsidP="00AA2A4C">
            <w:pPr>
              <w:spacing w:after="0"/>
              <w:rPr>
                <w:b/>
                <w:bCs/>
                <w:szCs w:val="18"/>
              </w:rPr>
            </w:pPr>
            <w:r w:rsidRPr="004D0DAA">
              <w:rPr>
                <w:b/>
                <w:bCs/>
                <w:szCs w:val="18"/>
              </w:rPr>
              <w:t>DOWNLINK_PDCH_PAIRS_C2</w:t>
            </w:r>
          </w:p>
          <w:p w14:paraId="332911CA" w14:textId="77777777" w:rsidR="00711444" w:rsidRPr="004D0DAA" w:rsidRDefault="00711444" w:rsidP="00AA2A4C">
            <w:pPr>
              <w:spacing w:after="0"/>
              <w:rPr>
                <w:b/>
                <w:bCs/>
                <w:szCs w:val="18"/>
              </w:rPr>
            </w:pPr>
            <w:r w:rsidRPr="004D0DAA">
              <w:rPr>
                <w:b/>
                <w:bCs/>
                <w:szCs w:val="18"/>
              </w:rPr>
              <w:t>UPLINK_PDCH_PAIRS_C1</w:t>
            </w:r>
          </w:p>
          <w:p w14:paraId="499C2E40" w14:textId="77777777" w:rsidR="00711444" w:rsidRPr="004D0DAA" w:rsidRDefault="00711444" w:rsidP="00AA2A4C">
            <w:pPr>
              <w:spacing w:after="0"/>
              <w:rPr>
                <w:b/>
                <w:bCs/>
                <w:szCs w:val="18"/>
              </w:rPr>
            </w:pPr>
            <w:r w:rsidRPr="004D0DAA">
              <w:rPr>
                <w:b/>
                <w:bCs/>
                <w:szCs w:val="18"/>
              </w:rPr>
              <w:t>UPLINK_PDCH_PAIRS_C2</w:t>
            </w:r>
          </w:p>
          <w:p w14:paraId="07A72C1D" w14:textId="77777777" w:rsidR="00711444" w:rsidRPr="004D0DAA" w:rsidRDefault="00711444" w:rsidP="00AA2A4C">
            <w:pPr>
              <w:spacing w:after="0"/>
              <w:rPr>
                <w:b/>
                <w:bCs/>
                <w:szCs w:val="18"/>
              </w:rPr>
            </w:pPr>
            <w:r w:rsidRPr="004D0DAA">
              <w:rPr>
                <w:b/>
                <w:bCs/>
                <w:szCs w:val="18"/>
              </w:rPr>
              <w:t>RTTI_DOWNLINK_PDCH_PAIR_ASSIGNMENT_SC</w:t>
            </w:r>
          </w:p>
          <w:p w14:paraId="3354065D" w14:textId="77777777" w:rsidR="00711444" w:rsidRPr="004D0DAA" w:rsidRDefault="00711444" w:rsidP="00AA2A4C">
            <w:pPr>
              <w:spacing w:after="0"/>
              <w:rPr>
                <w:b/>
                <w:bCs/>
                <w:szCs w:val="18"/>
              </w:rPr>
            </w:pPr>
            <w:r w:rsidRPr="004D0DAA">
              <w:rPr>
                <w:b/>
                <w:bCs/>
                <w:szCs w:val="18"/>
              </w:rPr>
              <w:t>RTTI_DOWNLINK_PDCH_PAIR_ASSIGNMENT_DC</w:t>
            </w:r>
          </w:p>
          <w:p w14:paraId="3984EF9C" w14:textId="77777777" w:rsidR="00711444" w:rsidRPr="004D0DAA" w:rsidRDefault="00711444" w:rsidP="00AA2A4C">
            <w:pPr>
              <w:spacing w:after="0"/>
              <w:rPr>
                <w:szCs w:val="18"/>
              </w:rPr>
            </w:pPr>
            <w:r w:rsidRPr="004D0DAA">
              <w:rPr>
                <w:szCs w:val="18"/>
              </w:rPr>
              <w:t xml:space="preserve">See sub-clause 11.2.31 </w:t>
            </w:r>
            <w:r w:rsidRPr="004D0DAA">
              <w:t>(Packet Timeslot Reconfigure message).</w:t>
            </w:r>
          </w:p>
          <w:p w14:paraId="3BE8F4A3" w14:textId="77777777" w:rsidR="00711444" w:rsidRPr="004D0DAA" w:rsidRDefault="00711444" w:rsidP="00AA2A4C">
            <w:pPr>
              <w:spacing w:after="0"/>
              <w:rPr>
                <w:b/>
              </w:rPr>
            </w:pPr>
          </w:p>
        </w:tc>
      </w:tr>
      <w:tr w:rsidR="00711444" w:rsidRPr="004D0DAA" w14:paraId="75BB503B" w14:textId="77777777" w:rsidTr="00AA2A4C">
        <w:tblPrEx>
          <w:tblCellMar>
            <w:top w:w="0" w:type="dxa"/>
            <w:bottom w:w="0" w:type="dxa"/>
          </w:tblCellMar>
        </w:tblPrEx>
        <w:trPr>
          <w:cantSplit/>
          <w:trHeight w:val="113"/>
        </w:trPr>
        <w:tc>
          <w:tcPr>
            <w:tcW w:w="9848" w:type="dxa"/>
            <w:shd w:val="clear" w:color="auto" w:fill="auto"/>
          </w:tcPr>
          <w:p w14:paraId="0F358C08" w14:textId="77777777" w:rsidR="00711444" w:rsidRPr="004D0DAA" w:rsidRDefault="00711444" w:rsidP="00AA2A4C">
            <w:pPr>
              <w:spacing w:after="0"/>
              <w:rPr>
                <w:b/>
              </w:rPr>
            </w:pPr>
            <w:r w:rsidRPr="004D0DAA">
              <w:rPr>
                <w:b/>
              </w:rPr>
              <w:t xml:space="preserve">PFI </w:t>
            </w:r>
            <w:r w:rsidRPr="004D0DAA">
              <w:rPr>
                <w:bCs/>
              </w:rPr>
              <w:t>(7 bit field)</w:t>
            </w:r>
          </w:p>
          <w:p w14:paraId="1449D3EB" w14:textId="77777777" w:rsidR="00711444" w:rsidRPr="004D0DAA" w:rsidRDefault="00711444" w:rsidP="00AA2A4C">
            <w:pPr>
              <w:tabs>
                <w:tab w:val="left" w:pos="11520"/>
              </w:tabs>
              <w:spacing w:after="0"/>
              <w:ind w:left="432" w:hanging="432"/>
            </w:pPr>
            <w:r w:rsidRPr="004D0DAA">
              <w:t>See sub-clause 11.2.7 (Packet Downlink Assignment message).</w:t>
            </w:r>
          </w:p>
          <w:p w14:paraId="6F539D02" w14:textId="77777777" w:rsidR="00711444" w:rsidRPr="004D0DAA" w:rsidRDefault="00711444" w:rsidP="00AA2A4C">
            <w:pPr>
              <w:spacing w:after="0"/>
              <w:rPr>
                <w:b/>
              </w:rPr>
            </w:pPr>
          </w:p>
        </w:tc>
      </w:tr>
      <w:tr w:rsidR="00711444" w:rsidRPr="004D0DAA" w14:paraId="503A9519" w14:textId="77777777" w:rsidTr="00AA2A4C">
        <w:tblPrEx>
          <w:tblCellMar>
            <w:top w:w="0" w:type="dxa"/>
            <w:bottom w:w="0" w:type="dxa"/>
          </w:tblCellMar>
        </w:tblPrEx>
        <w:trPr>
          <w:cantSplit/>
          <w:trHeight w:val="113"/>
        </w:trPr>
        <w:tc>
          <w:tcPr>
            <w:tcW w:w="9848" w:type="dxa"/>
            <w:shd w:val="clear" w:color="auto" w:fill="auto"/>
          </w:tcPr>
          <w:p w14:paraId="2E01E70A" w14:textId="77777777" w:rsidR="00711444" w:rsidRPr="004D0DAA" w:rsidRDefault="00711444" w:rsidP="00AA2A4C">
            <w:pPr>
              <w:spacing w:after="0"/>
              <w:rPr>
                <w:bCs/>
              </w:rPr>
            </w:pPr>
            <w:r w:rsidRPr="004D0DAA">
              <w:rPr>
                <w:b/>
              </w:rPr>
              <w:t xml:space="preserve">RLC_MODE </w:t>
            </w:r>
            <w:r w:rsidRPr="004D0DAA">
              <w:t>(1 bit field)</w:t>
            </w:r>
          </w:p>
          <w:p w14:paraId="1A092B00" w14:textId="77777777" w:rsidR="00711444" w:rsidRPr="004D0DAA" w:rsidRDefault="00711444" w:rsidP="00AA2A4C">
            <w:r w:rsidRPr="004D0DAA">
              <w:t>This field contains the RLC mode to be used for the assigned TBF. If a new mode is assigned by the network for an already established TBF, the MS shall ignore the new assigned mode and shall maintain the TBF in the old mode. If the RLC_RESET field indicates that any given RLC entity is not reset across PS handover (see sub-clause 12.42a) or DTM handover (see sub-clause 12.48) then the mobile station shall ignore this field and use the same RLC mode that was used for the corresponding PFC in the old cell.</w:t>
            </w:r>
          </w:p>
          <w:p w14:paraId="6CC35399" w14:textId="77777777" w:rsidR="00711444" w:rsidRPr="004D0DAA" w:rsidRDefault="00711444" w:rsidP="00AA2A4C">
            <w:pPr>
              <w:spacing w:after="0"/>
            </w:pPr>
            <w:r w:rsidRPr="004D0DAA">
              <w:t>The encoding of this field is defined as in sub-clause 11.2.29 (Packet Uplink Assignment message).</w:t>
            </w:r>
          </w:p>
          <w:p w14:paraId="1C6B020E" w14:textId="77777777" w:rsidR="00711444" w:rsidRPr="004D0DAA" w:rsidRDefault="00711444" w:rsidP="00AA2A4C">
            <w:pPr>
              <w:spacing w:after="0"/>
              <w:rPr>
                <w:b/>
              </w:rPr>
            </w:pPr>
          </w:p>
        </w:tc>
      </w:tr>
      <w:tr w:rsidR="00711444" w:rsidRPr="004D0DAA" w14:paraId="48F723D3" w14:textId="77777777" w:rsidTr="00AA2A4C">
        <w:tblPrEx>
          <w:tblCellMar>
            <w:top w:w="0" w:type="dxa"/>
            <w:bottom w:w="0" w:type="dxa"/>
          </w:tblCellMar>
        </w:tblPrEx>
        <w:trPr>
          <w:cantSplit/>
          <w:trHeight w:val="113"/>
        </w:trPr>
        <w:tc>
          <w:tcPr>
            <w:tcW w:w="9848" w:type="dxa"/>
            <w:shd w:val="clear" w:color="auto" w:fill="auto"/>
          </w:tcPr>
          <w:p w14:paraId="7276BAE4" w14:textId="77777777" w:rsidR="00711444" w:rsidRPr="004D0DAA" w:rsidRDefault="00711444" w:rsidP="00AA2A4C">
            <w:pPr>
              <w:spacing w:after="0"/>
            </w:pPr>
            <w:r w:rsidRPr="004D0DAA">
              <w:rPr>
                <w:b/>
              </w:rPr>
              <w:t>DOWNLINK_TFI_ASSIGNMENT</w:t>
            </w:r>
            <w:r w:rsidRPr="004D0DAA">
              <w:t xml:space="preserve"> (5 bit field)</w:t>
            </w:r>
            <w:r w:rsidRPr="004D0DAA">
              <w:br/>
              <w:t>See sub-clause 11.2.7 (Packet Downlink Assignment message).</w:t>
            </w:r>
          </w:p>
          <w:p w14:paraId="4FECC2B9" w14:textId="77777777" w:rsidR="00711444" w:rsidRPr="004D0DAA" w:rsidRDefault="00711444" w:rsidP="00AA2A4C">
            <w:pPr>
              <w:spacing w:after="0"/>
              <w:rPr>
                <w:b/>
              </w:rPr>
            </w:pPr>
          </w:p>
        </w:tc>
      </w:tr>
      <w:tr w:rsidR="00711444" w:rsidRPr="004D0DAA" w14:paraId="00B51A7B"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4C262FB7" w14:textId="77777777" w:rsidR="00711444" w:rsidRPr="004D0DAA" w:rsidRDefault="00711444" w:rsidP="00AA2A4C">
            <w:pPr>
              <w:spacing w:after="0"/>
            </w:pPr>
            <w:r w:rsidRPr="004D0DAA">
              <w:rPr>
                <w:b/>
              </w:rPr>
              <w:t xml:space="preserve">CONTROL_ACK </w:t>
            </w:r>
            <w:r w:rsidRPr="004D0DAA">
              <w:t>(1 bit field)</w:t>
            </w:r>
            <w:r w:rsidRPr="004D0DAA">
              <w:br/>
              <w:t>See sub-clause 11.2.7 (Packet Downlink Assignment message).</w:t>
            </w:r>
          </w:p>
          <w:p w14:paraId="7001660E" w14:textId="77777777" w:rsidR="00711444" w:rsidRPr="004D0DAA" w:rsidRDefault="00711444" w:rsidP="00AA2A4C">
            <w:pPr>
              <w:spacing w:after="0"/>
            </w:pPr>
          </w:p>
        </w:tc>
      </w:tr>
      <w:tr w:rsidR="00711444" w:rsidRPr="004D0DAA" w14:paraId="2990183A"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bottom w:val="single" w:sz="4" w:space="0" w:color="auto"/>
            </w:tcBorders>
          </w:tcPr>
          <w:p w14:paraId="3EC589AB"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3B3F4CAC" w14:textId="77777777" w:rsidR="00711444" w:rsidRPr="004D0DAA" w:rsidRDefault="00711444" w:rsidP="00AA2A4C">
            <w:pPr>
              <w:spacing w:after="0"/>
            </w:pPr>
            <w:r w:rsidRPr="004D0DAA">
              <w:t>See sub-clause 11.2.7 (Packet Downlink Assignment message).</w:t>
            </w:r>
          </w:p>
          <w:p w14:paraId="066D48D7" w14:textId="77777777" w:rsidR="00711444" w:rsidRPr="004D0DAA" w:rsidRDefault="00711444" w:rsidP="00AA2A4C">
            <w:pPr>
              <w:spacing w:after="0"/>
            </w:pPr>
          </w:p>
        </w:tc>
      </w:tr>
    </w:tbl>
    <w:p w14:paraId="17FE44C9" w14:textId="77777777" w:rsidR="00711444" w:rsidRPr="004D0DAA" w:rsidRDefault="00711444" w:rsidP="00711444">
      <w:pPr>
        <w:ind w:right="1"/>
      </w:pPr>
    </w:p>
    <w:p w14:paraId="10A19316" w14:textId="77777777" w:rsidR="00711444" w:rsidRPr="004D0DAA" w:rsidRDefault="00711444" w:rsidP="00711444">
      <w:pPr>
        <w:pStyle w:val="Heading3"/>
      </w:pPr>
      <w:bookmarkStart w:id="839" w:name="_Toc516670015"/>
      <w:r w:rsidRPr="004D0DAA">
        <w:t>12.48a.3</w:t>
      </w:r>
      <w:r w:rsidRPr="004D0DAA">
        <w:tab/>
        <w:t>Single Uplink Assignment 2</w:t>
      </w:r>
      <w:bookmarkEnd w:id="839"/>
    </w:p>
    <w:p w14:paraId="21947216" w14:textId="77777777" w:rsidR="00711444" w:rsidRPr="004D0DAA" w:rsidRDefault="00711444" w:rsidP="00711444">
      <w:pPr>
        <w:ind w:right="1"/>
      </w:pPr>
      <w:r w:rsidRPr="004D0DAA">
        <w:t>This information element provides the description of uplink radio resources assigned for PS services in a dual carrier configuration or supporting EGPRS2, Fast Ack/Nack Reporting or RTTI configurations for a single TBF.</w:t>
      </w:r>
    </w:p>
    <w:p w14:paraId="56E96738" w14:textId="77777777" w:rsidR="00711444" w:rsidRPr="004D0DAA" w:rsidRDefault="00711444" w:rsidP="00711444">
      <w:pPr>
        <w:pStyle w:val="TH"/>
      </w:pPr>
      <w:r w:rsidRPr="004D0DAA">
        <w:t>Table 12.48a.3.1: Single Uplink Assignment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83C7894" w14:textId="77777777" w:rsidTr="00AA2A4C">
        <w:tblPrEx>
          <w:tblCellMar>
            <w:top w:w="0" w:type="dxa"/>
            <w:bottom w:w="0" w:type="dxa"/>
          </w:tblCellMar>
        </w:tblPrEx>
        <w:trPr>
          <w:cantSplit/>
        </w:trPr>
        <w:tc>
          <w:tcPr>
            <w:tcW w:w="9848" w:type="dxa"/>
          </w:tcPr>
          <w:p w14:paraId="5329B625" w14:textId="77777777" w:rsidR="00711444" w:rsidRPr="004D0DAA" w:rsidRDefault="00711444" w:rsidP="00AA2A4C">
            <w:pPr>
              <w:pStyle w:val="TAL"/>
              <w:rPr>
                <w:lang w:eastAsia="en-US"/>
              </w:rPr>
            </w:pPr>
            <w:r w:rsidRPr="004D0DAA">
              <w:rPr>
                <w:lang w:eastAsia="en-US"/>
              </w:rPr>
              <w:t>&lt; Single Uplink Assignment 2 IE &gt; ::=</w:t>
            </w:r>
          </w:p>
          <w:p w14:paraId="023D8B6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0E18A4D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RESEGMENT</w:t>
            </w:r>
            <w:r w:rsidRPr="004D0DAA">
              <w:rPr>
                <w:bCs/>
                <w:lang w:eastAsia="en-US"/>
              </w:rPr>
              <w:t xml:space="preserve"> </w:t>
            </w:r>
            <w:r w:rsidRPr="004D0DAA">
              <w:rPr>
                <w:lang w:eastAsia="en-US"/>
              </w:rPr>
              <w:t>: bit (1) &gt;</w:t>
            </w:r>
          </w:p>
          <w:p w14:paraId="6279749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Uplink</w:t>
            </w:r>
            <w:r w:rsidRPr="004D0DAA">
              <w:rPr>
                <w:lang w:eastAsia="en-US"/>
              </w:rPr>
              <w:t xml:space="preserve"> </w:t>
            </w:r>
            <w:r w:rsidRPr="004D0DAA">
              <w:rPr>
                <w:b/>
                <w:bCs/>
                <w:lang w:eastAsia="en-US"/>
              </w:rPr>
              <w:t>EGPRS Window Size</w:t>
            </w:r>
            <w:r w:rsidRPr="004D0DAA">
              <w:rPr>
                <w:lang w:eastAsia="en-US"/>
              </w:rPr>
              <w:t> : &lt; EGPRS Window Size IE &gt; &gt; }</w:t>
            </w:r>
          </w:p>
          <w:p w14:paraId="687AF8E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50ABC8A0" w14:textId="77777777" w:rsidR="00711444" w:rsidRPr="004D0DAA" w:rsidRDefault="00711444" w:rsidP="00AA2A4C">
            <w:pPr>
              <w:pStyle w:val="TAL"/>
              <w:rPr>
                <w:rFonts w:cs="Arial"/>
                <w:szCs w:val="18"/>
                <w:lang w:eastAsia="en-US"/>
              </w:rPr>
            </w:pPr>
            <w:r w:rsidRPr="004D0DAA">
              <w:rPr>
                <w:lang w:eastAsia="en-US"/>
              </w:rPr>
              <w:tab/>
            </w:r>
            <w:r w:rsidRPr="004D0DAA">
              <w:rPr>
                <w:rFonts w:cs="Arial"/>
                <w:szCs w:val="18"/>
                <w:lang w:eastAsia="en-US"/>
              </w:rPr>
              <w:t xml:space="preserve">{ 0 | 1 </w:t>
            </w:r>
            <w:r w:rsidRPr="004D0DAA">
              <w:rPr>
                <w:lang w:eastAsia="en-US"/>
              </w:rPr>
              <w:tab/>
            </w:r>
            <w:r w:rsidRPr="004D0DAA">
              <w:rPr>
                <w:rFonts w:cs="Arial"/>
                <w:szCs w:val="18"/>
                <w:lang w:eastAsia="en-US"/>
              </w:rPr>
              <w:t xml:space="preserve">-- </w:t>
            </w:r>
            <w:r w:rsidRPr="004D0DAA">
              <w:rPr>
                <w:rFonts w:cs="Arial"/>
                <w:i/>
                <w:iCs/>
                <w:szCs w:val="18"/>
                <w:lang w:eastAsia="en-US"/>
              </w:rPr>
              <w:t xml:space="preserve">'1' indicates that </w:t>
            </w:r>
            <w:r w:rsidRPr="004D0DAA">
              <w:rPr>
                <w:i/>
                <w:lang w:eastAsia="en-US"/>
              </w:rPr>
              <w:t>FANR is activated</w:t>
            </w:r>
          </w:p>
          <w:p w14:paraId="693C94FD"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rFonts w:cs="Arial"/>
                <w:szCs w:val="18"/>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542C9935" w14:textId="77777777" w:rsidR="00711444" w:rsidRPr="004D0DAA" w:rsidRDefault="00711444" w:rsidP="00AA2A4C">
            <w:pPr>
              <w:pStyle w:val="TAL"/>
              <w:rPr>
                <w:i/>
                <w:lang w:eastAsia="en-US"/>
              </w:rPr>
            </w:pPr>
            <w:r w:rsidRPr="004D0DAA">
              <w:rPr>
                <w:iCs/>
                <w:lang w:eastAsia="en-US"/>
              </w:rPr>
              <w:tab/>
            </w:r>
            <w:r w:rsidRPr="004D0DAA">
              <w:rPr>
                <w:iCs/>
                <w:lang w:eastAsia="en-US"/>
              </w:rPr>
              <w:tab/>
            </w:r>
            <w:r w:rsidRPr="004D0DAA">
              <w:rPr>
                <w:rFonts w:cs="Arial"/>
                <w:szCs w:val="18"/>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4DFE644A" w14:textId="77777777" w:rsidR="00711444" w:rsidRPr="004D0DAA" w:rsidRDefault="00711444" w:rsidP="00AA2A4C">
            <w:pPr>
              <w:pStyle w:val="TAL"/>
              <w:rPr>
                <w:i/>
                <w:iCs/>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REPORTED TIMESLOTS_C1</w:t>
            </w:r>
            <w:r w:rsidRPr="004D0DAA">
              <w:rPr>
                <w:lang w:eastAsia="en-US"/>
              </w:rPr>
              <w:t xml:space="preserve"> : bit (8) &gt; </w:t>
            </w:r>
            <w:r w:rsidRPr="004D0DAA">
              <w:rPr>
                <w:lang w:eastAsia="en-US"/>
              </w:rPr>
              <w:tab/>
            </w:r>
            <w:r w:rsidRPr="004D0DAA">
              <w:rPr>
                <w:lang w:eastAsia="en-US"/>
              </w:rPr>
              <w:tab/>
            </w:r>
            <w:r w:rsidRPr="004D0DAA">
              <w:rPr>
                <w:lang w:eastAsia="en-US"/>
              </w:rPr>
              <w:tab/>
              <w:t xml:space="preserve">-- </w:t>
            </w:r>
            <w:r w:rsidRPr="004D0DAA">
              <w:rPr>
                <w:i/>
                <w:iCs/>
                <w:lang w:eastAsia="en-US"/>
              </w:rPr>
              <w:t>Carrier 1 in Downlink Dual Carrier configuration</w:t>
            </w:r>
          </w:p>
          <w:p w14:paraId="335A432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iCs/>
                <w:lang w:eastAsia="en-US"/>
              </w:rPr>
              <w:t>Carrier 2 in Downlink Dual Carrier configuration</w:t>
            </w:r>
          </w:p>
          <w:p w14:paraId="28CEE199" w14:textId="77777777" w:rsidR="00711444" w:rsidRPr="004D0DAA" w:rsidRDefault="00711444" w:rsidP="00AA2A4C">
            <w:pPr>
              <w:pStyle w:val="TAL"/>
              <w:rPr>
                <w:lang w:val="fr-FR" w:eastAsia="en-US"/>
              </w:rPr>
            </w:pPr>
            <w:r w:rsidRPr="004D0DAA">
              <w:rPr>
                <w:iCs/>
                <w:lang w:eastAsia="en-US"/>
              </w:rPr>
              <w:tab/>
            </w:r>
            <w:r w:rsidRPr="004D0DAA">
              <w:rPr>
                <w:iCs/>
                <w:lang w:eastAsia="en-US"/>
              </w:rPr>
              <w:tab/>
            </w:r>
            <w:r w:rsidRPr="004D0DAA">
              <w:rPr>
                <w:iCs/>
                <w:lang w:eastAsia="en-US"/>
              </w:rPr>
              <w:tab/>
            </w:r>
            <w:r w:rsidRPr="004D0DAA">
              <w:rPr>
                <w:lang w:val="fr-FR" w:eastAsia="en-US"/>
              </w:rPr>
              <w:t xml:space="preserve">&lt; </w:t>
            </w:r>
            <w:r w:rsidRPr="004D0DAA">
              <w:rPr>
                <w:b/>
                <w:lang w:val="fr-FR" w:eastAsia="en-US"/>
              </w:rPr>
              <w:t>TSH</w:t>
            </w:r>
            <w:r w:rsidRPr="004D0DAA">
              <w:rPr>
                <w:lang w:val="fr-FR" w:eastAsia="en-US"/>
              </w:rPr>
              <w:t xml:space="preserve"> : bit (2) &gt;  } }</w:t>
            </w:r>
          </w:p>
          <w:p w14:paraId="23B1676D" w14:textId="77777777" w:rsidR="00711444" w:rsidRPr="004D0DAA" w:rsidRDefault="00711444" w:rsidP="00AA2A4C">
            <w:pPr>
              <w:pStyle w:val="TAL"/>
              <w:rPr>
                <w:lang w:val="fr-FR" w:eastAsia="en-US"/>
              </w:rPr>
            </w:pPr>
            <w:r w:rsidRPr="004D0DAA">
              <w:rPr>
                <w:lang w:val="fr-FR" w:eastAsia="en-US"/>
              </w:rPr>
              <w:tab/>
              <w:t>{ 0</w:t>
            </w:r>
            <w:r w:rsidRPr="004D0DAA">
              <w:rPr>
                <w:lang w:val="fr-FR" w:eastAsia="zh-CN"/>
              </w:rPr>
              <w:tab/>
            </w:r>
            <w:r w:rsidRPr="004D0DAA">
              <w:rPr>
                <w:lang w:val="fr-FR" w:eastAsia="en-US"/>
              </w:rPr>
              <w:t xml:space="preserve"> </w:t>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t>-- BTTI mode</w:t>
            </w:r>
          </w:p>
          <w:p w14:paraId="67D986F4" w14:textId="77777777" w:rsidR="00711444" w:rsidRPr="004D0DAA" w:rsidRDefault="00711444" w:rsidP="00AA2A4C">
            <w:pPr>
              <w:pStyle w:val="TAL"/>
              <w:rPr>
                <w:lang w:val="fr-FR" w:eastAsia="en-US"/>
              </w:rPr>
            </w:pPr>
            <w:r w:rsidRPr="004D0DAA">
              <w:rPr>
                <w:lang w:val="fr-FR" w:eastAsia="en-US"/>
              </w:rPr>
              <w:tab/>
              <w:t>| 1</w:t>
            </w:r>
            <w:r w:rsidRPr="004D0DAA">
              <w:rPr>
                <w:i/>
                <w:lang w:val="fr-FR" w:eastAsia="en-US"/>
              </w:rPr>
              <w:t xml:space="preserve"> </w:t>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r>
            <w:r w:rsidRPr="004D0DAA">
              <w:rPr>
                <w:i/>
                <w:lang w:val="fr-FR" w:eastAsia="en-US"/>
              </w:rPr>
              <w:tab/>
              <w:t>-- RTTI mode</w:t>
            </w:r>
          </w:p>
          <w:p w14:paraId="1F1B2DFD" w14:textId="77777777" w:rsidR="00711444" w:rsidRPr="004D0DAA" w:rsidRDefault="00711444" w:rsidP="00AA2A4C">
            <w:pPr>
              <w:pStyle w:val="TAL"/>
              <w:rPr>
                <w:szCs w:val="18"/>
                <w:lang w:eastAsia="en-US"/>
              </w:rPr>
            </w:pPr>
            <w:r w:rsidRPr="004D0DAA">
              <w:rPr>
                <w:szCs w:val="18"/>
                <w:lang w:val="fr-FR" w:eastAsia="en-US"/>
              </w:rPr>
              <w:tab/>
            </w:r>
            <w:r w:rsidRPr="004D0DAA">
              <w:rPr>
                <w:szCs w:val="18"/>
                <w:lang w:val="fr-FR" w:eastAsia="en-US"/>
              </w:rPr>
              <w:tab/>
            </w:r>
            <w:r w:rsidRPr="004D0DAA">
              <w:rPr>
                <w:szCs w:val="18"/>
                <w:lang w:eastAsia="en-US"/>
              </w:rPr>
              <w:t xml:space="preserve">&lt; </w:t>
            </w:r>
            <w:r w:rsidRPr="004D0DAA">
              <w:rPr>
                <w:b/>
                <w:bCs/>
                <w:szCs w:val="18"/>
                <w:lang w:eastAsia="en-US"/>
              </w:rPr>
              <w:t xml:space="preserve">RTTI_USF_MODE </w:t>
            </w:r>
            <w:r w:rsidRPr="004D0DAA">
              <w:rPr>
                <w:szCs w:val="18"/>
                <w:lang w:eastAsia="en-US"/>
              </w:rPr>
              <w:t>: bit (1) &gt;</w:t>
            </w:r>
          </w:p>
          <w:p w14:paraId="70BFF33C" w14:textId="77777777" w:rsidR="00711444" w:rsidRPr="004D0DAA" w:rsidRDefault="00711444" w:rsidP="00AA2A4C">
            <w:pPr>
              <w:pStyle w:val="TAL"/>
              <w:rPr>
                <w:rFonts w:cs="Arial"/>
                <w:i/>
                <w:szCs w:val="18"/>
                <w:lang w:eastAsia="en-US"/>
              </w:rPr>
            </w:pPr>
            <w:r w:rsidRPr="004D0DAA">
              <w:rPr>
                <w:rFonts w:cs="Arial"/>
                <w:i/>
                <w:szCs w:val="18"/>
                <w:lang w:eastAsia="en-US"/>
              </w:rPr>
              <w:tab/>
            </w:r>
            <w:r w:rsidRPr="004D0DAA">
              <w:rPr>
                <w:rFonts w:cs="Arial"/>
                <w:i/>
                <w:szCs w:val="18"/>
                <w:lang w:eastAsia="en-US"/>
              </w:rPr>
              <w:tab/>
              <w:t>-- The Uplink Assignment PDCH Pairs Description IE shall not ne included</w:t>
            </w:r>
          </w:p>
          <w:p w14:paraId="0EE34B12" w14:textId="77777777" w:rsidR="00711444" w:rsidRPr="004D0DAA" w:rsidRDefault="00711444" w:rsidP="00AA2A4C">
            <w:pPr>
              <w:pStyle w:val="TAL"/>
              <w:rPr>
                <w:rFonts w:cs="Arial"/>
                <w:i/>
                <w:szCs w:val="18"/>
                <w:lang w:eastAsia="en-US"/>
              </w:rPr>
            </w:pPr>
            <w:r w:rsidRPr="004D0DAA">
              <w:rPr>
                <w:rFonts w:cs="Arial"/>
                <w:i/>
                <w:szCs w:val="18"/>
                <w:lang w:eastAsia="en-US"/>
              </w:rPr>
              <w:tab/>
            </w:r>
            <w:r w:rsidRPr="004D0DAA">
              <w:rPr>
                <w:rFonts w:cs="Arial"/>
                <w:i/>
                <w:szCs w:val="18"/>
                <w:lang w:eastAsia="en-US"/>
              </w:rPr>
              <w:tab/>
              <w:t>-- when an RTTI configuration description for downlink TBF(s) is provided in the message</w:t>
            </w:r>
          </w:p>
          <w:p w14:paraId="40C3B832"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r w:rsidRPr="004D0DAA">
              <w:rPr>
                <w:lang w:eastAsia="zh-CN"/>
              </w:rPr>
              <w:t xml:space="preserve">0 </w:t>
            </w:r>
            <w:r w:rsidRPr="004D0DAA">
              <w:rPr>
                <w:lang w:eastAsia="en-US"/>
              </w:rPr>
              <w:t xml:space="preserve">| 1 &lt; </w:t>
            </w:r>
            <w:r w:rsidRPr="004D0DAA">
              <w:rPr>
                <w:b/>
                <w:lang w:eastAsia="en-US"/>
              </w:rPr>
              <w:t xml:space="preserve">Uplink Assignment </w:t>
            </w:r>
            <w:r w:rsidRPr="004D0DAA">
              <w:rPr>
                <w:b/>
                <w:bCs/>
                <w:lang w:eastAsia="en-US"/>
              </w:rPr>
              <w:t xml:space="preserve">PDCH Pairs Description </w:t>
            </w:r>
            <w:r w:rsidRPr="004D0DAA">
              <w:rPr>
                <w:lang w:eastAsia="en-US"/>
              </w:rPr>
              <w:t>: &lt; PDCH Pairs Description IE &gt; &gt; }</w:t>
            </w:r>
          </w:p>
          <w:p w14:paraId="2F7E3B05" w14:textId="77777777" w:rsidR="00711444" w:rsidRPr="004D0DAA" w:rsidRDefault="00711444" w:rsidP="00AA2A4C">
            <w:pPr>
              <w:pStyle w:val="TAL"/>
              <w:rPr>
                <w:lang w:eastAsia="en-US"/>
              </w:rPr>
            </w:pPr>
            <w:r w:rsidRPr="004D0DAA">
              <w:rPr>
                <w:lang w:eastAsia="zh-CN"/>
              </w:rPr>
              <w:tab/>
            </w:r>
            <w:r w:rsidRPr="004D0DAA">
              <w:rPr>
                <w:lang w:eastAsia="en-US"/>
              </w:rPr>
              <w:t xml:space="preserve">} </w:t>
            </w:r>
          </w:p>
          <w:p w14:paraId="18AAF507" w14:textId="77777777" w:rsidR="00711444" w:rsidRPr="004D0DAA" w:rsidRDefault="00711444" w:rsidP="00AA2A4C">
            <w:pPr>
              <w:pStyle w:val="TAL"/>
              <w:rPr>
                <w:lang w:eastAsia="en-US"/>
              </w:rPr>
            </w:pPr>
            <w:r w:rsidRPr="004D0DAA">
              <w:rPr>
                <w:rFonts w:cs="Arial"/>
                <w:szCs w:val="18"/>
                <w:lang w:eastAsia="en-US"/>
              </w:rPr>
              <w:tab/>
              <w:t xml:space="preserve">&lt; </w:t>
            </w:r>
            <w:r w:rsidRPr="004D0DAA">
              <w:rPr>
                <w:rFonts w:cs="Arial"/>
                <w:b/>
                <w:szCs w:val="18"/>
                <w:lang w:eastAsia="en-US"/>
              </w:rPr>
              <w:t xml:space="preserve">Dynamic Allocation 2 : </w:t>
            </w:r>
            <w:r w:rsidRPr="004D0DAA">
              <w:rPr>
                <w:rFonts w:cs="Arial"/>
                <w:szCs w:val="18"/>
                <w:lang w:eastAsia="en-US"/>
              </w:rPr>
              <w:t>&lt; Dynamic Allocation 2 IE &gt; &gt;</w:t>
            </w:r>
          </w:p>
          <w:p w14:paraId="7186C895"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PFI</w:t>
            </w:r>
            <w:r w:rsidRPr="004D0DAA">
              <w:rPr>
                <w:lang w:eastAsia="en-US"/>
              </w:rPr>
              <w:t xml:space="preserve"> : bit (7) &gt; }</w:t>
            </w:r>
          </w:p>
          <w:p w14:paraId="5ACA016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w:t>
            </w:r>
          </w:p>
          <w:p w14:paraId="12A591D6"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74D86D0C" w14:textId="77777777" w:rsidR="00711444" w:rsidRPr="004D0DAA" w:rsidRDefault="00711444" w:rsidP="00AA2A4C">
            <w:pPr>
              <w:pStyle w:val="TAL"/>
              <w:rPr>
                <w:lang w:eastAsia="en-US"/>
              </w:rPr>
            </w:pPr>
            <w:r w:rsidRPr="004D0DAA">
              <w:rPr>
                <w:szCs w:val="18"/>
                <w:lang w:eastAsia="en-US"/>
              </w:rPr>
              <w:tab/>
              <w:t xml:space="preserve">{ 0 | 1 &lt; </w:t>
            </w:r>
            <w:r w:rsidRPr="004D0DAA">
              <w:rPr>
                <w:b/>
                <w:szCs w:val="18"/>
                <w:lang w:eastAsia="en-US"/>
              </w:rPr>
              <w:t>Pulse Format</w:t>
            </w:r>
            <w:r w:rsidRPr="004D0DAA">
              <w:rPr>
                <w:szCs w:val="18"/>
                <w:lang w:eastAsia="en-US"/>
              </w:rPr>
              <w:t>: &lt; Pulse Format IE &gt; &gt; }</w:t>
            </w:r>
          </w:p>
          <w:p w14:paraId="2DDC48F1" w14:textId="77777777" w:rsidR="00711444" w:rsidRPr="004D0DAA" w:rsidRDefault="00711444" w:rsidP="00AA2A4C">
            <w:pPr>
              <w:pStyle w:val="TAL"/>
              <w:rPr>
                <w:lang w:eastAsia="zh-CN"/>
              </w:rPr>
            </w:pPr>
            <w:r w:rsidRPr="004D0DAA">
              <w:rPr>
                <w:lang w:eastAsia="en-US"/>
              </w:rPr>
              <w:tab/>
              <w:t>;</w:t>
            </w:r>
          </w:p>
          <w:p w14:paraId="76E70875" w14:textId="77777777" w:rsidR="00711444" w:rsidRPr="004D0DAA" w:rsidRDefault="00711444" w:rsidP="00AA2A4C">
            <w:pPr>
              <w:pStyle w:val="TAL"/>
              <w:rPr>
                <w:lang w:eastAsia="en-US"/>
              </w:rPr>
            </w:pPr>
          </w:p>
        </w:tc>
      </w:tr>
    </w:tbl>
    <w:p w14:paraId="62EA73D8" w14:textId="77777777" w:rsidR="00711444" w:rsidRPr="004D0DAA" w:rsidRDefault="00711444" w:rsidP="00711444"/>
    <w:p w14:paraId="576B1A81" w14:textId="77777777" w:rsidR="00711444" w:rsidRPr="004D0DAA" w:rsidRDefault="00711444" w:rsidP="00711444">
      <w:pPr>
        <w:pStyle w:val="TH"/>
      </w:pPr>
      <w:r w:rsidRPr="004D0DAA">
        <w:lastRenderedPageBreak/>
        <w:t>Table 12.48a.3.2: Single Uplink Assignment 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E9B3455" w14:textId="77777777" w:rsidTr="00AA2A4C">
        <w:tblPrEx>
          <w:tblCellMar>
            <w:top w:w="0" w:type="dxa"/>
            <w:bottom w:w="0" w:type="dxa"/>
          </w:tblCellMar>
        </w:tblPrEx>
        <w:trPr>
          <w:cantSplit/>
        </w:trPr>
        <w:tc>
          <w:tcPr>
            <w:tcW w:w="9848" w:type="dxa"/>
          </w:tcPr>
          <w:p w14:paraId="42E4BC6D" w14:textId="77777777" w:rsidR="00711444" w:rsidRPr="004D0DAA" w:rsidRDefault="00711444" w:rsidP="00AA2A4C">
            <w:pPr>
              <w:spacing w:after="0"/>
            </w:pPr>
            <w:r w:rsidRPr="004D0DAA">
              <w:rPr>
                <w:b/>
              </w:rPr>
              <w:t>EGPRS Modulation and Coding Scheme IE (EGPRS Channel Coding Command)</w:t>
            </w:r>
            <w:r w:rsidRPr="004D0DAA">
              <w:rPr>
                <w:b/>
              </w:rPr>
              <w:br/>
            </w:r>
            <w:r w:rsidRPr="004D0DAA">
              <w:t>This information element is defined in</w:t>
            </w:r>
            <w:r w:rsidRPr="004D0DAA">
              <w:rPr>
                <w:i/>
              </w:rPr>
              <w:t xml:space="preserve"> </w:t>
            </w:r>
            <w:r w:rsidRPr="004D0DAA">
              <w:t>sub-clause 12.10d.</w:t>
            </w:r>
          </w:p>
          <w:p w14:paraId="5C1D7B36" w14:textId="77777777" w:rsidR="00711444" w:rsidRPr="004D0DAA" w:rsidRDefault="00711444" w:rsidP="00AA2A4C">
            <w:pPr>
              <w:spacing w:after="0"/>
            </w:pPr>
          </w:p>
          <w:p w14:paraId="720CA9BF" w14:textId="77777777" w:rsidR="00711444" w:rsidRPr="004D0DAA" w:rsidRDefault="00711444" w:rsidP="00AA2A4C">
            <w:pPr>
              <w:spacing w:after="0"/>
            </w:pPr>
            <w:r w:rsidRPr="004D0DAA">
              <w:t>See sub-clause 11.2.29 (Packet Uplink Assignment message).</w:t>
            </w:r>
          </w:p>
          <w:p w14:paraId="6AD8EA23" w14:textId="77777777" w:rsidR="00711444" w:rsidRPr="004D0DAA" w:rsidRDefault="00711444" w:rsidP="00AA2A4C">
            <w:pPr>
              <w:spacing w:after="0"/>
            </w:pPr>
          </w:p>
        </w:tc>
      </w:tr>
      <w:tr w:rsidR="00711444" w:rsidRPr="004D0DAA" w14:paraId="03CFE005"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43335ED8" w14:textId="77777777" w:rsidR="00711444" w:rsidRPr="004D0DAA" w:rsidRDefault="00711444" w:rsidP="00AA2A4C">
            <w:pPr>
              <w:spacing w:after="0"/>
            </w:pPr>
            <w:r w:rsidRPr="004D0DAA">
              <w:rPr>
                <w:b/>
              </w:rPr>
              <w:t>RESEGMENT</w:t>
            </w:r>
            <w:r w:rsidRPr="004D0DAA">
              <w:rPr>
                <w:bCs/>
              </w:rPr>
              <w:t xml:space="preserve"> </w:t>
            </w:r>
            <w:r w:rsidRPr="004D0DAA">
              <w:t>(1 bit field)</w:t>
            </w:r>
            <w:r w:rsidRPr="004D0DAA">
              <w:br/>
              <w:t>This field is defined in sub-clause 12.10e.</w:t>
            </w:r>
          </w:p>
          <w:p w14:paraId="24CA66A0" w14:textId="77777777" w:rsidR="00711444" w:rsidRPr="004D0DAA" w:rsidRDefault="00711444" w:rsidP="00AA2A4C">
            <w:pPr>
              <w:spacing w:after="0"/>
              <w:rPr>
                <w:b/>
              </w:rPr>
            </w:pPr>
          </w:p>
        </w:tc>
      </w:tr>
      <w:tr w:rsidR="00711444" w:rsidRPr="004D0DAA" w14:paraId="4E9A7827"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58D1D5C3" w14:textId="77777777" w:rsidR="00711444" w:rsidRPr="004D0DAA" w:rsidRDefault="00711444" w:rsidP="00AA2A4C">
            <w:pPr>
              <w:spacing w:after="0"/>
            </w:pPr>
            <w:r w:rsidRPr="004D0DAA">
              <w:rPr>
                <w:b/>
              </w:rPr>
              <w:t>EGPRS Window Size IE (Uplink EGPRS Window Size)</w:t>
            </w:r>
            <w:r w:rsidRPr="004D0DAA">
              <w:br/>
              <w:t>This information element is defined in sub-clause 12.5.2.</w:t>
            </w:r>
          </w:p>
          <w:p w14:paraId="050291A7" w14:textId="77777777" w:rsidR="00711444" w:rsidRPr="004D0DAA" w:rsidRDefault="00711444" w:rsidP="00AA2A4C">
            <w:pPr>
              <w:spacing w:after="0"/>
            </w:pPr>
          </w:p>
        </w:tc>
      </w:tr>
      <w:tr w:rsidR="00711444" w:rsidRPr="004D0DAA" w14:paraId="3BA15FAB"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17004AC2" w14:textId="77777777" w:rsidR="00711444" w:rsidRPr="004D0DAA" w:rsidRDefault="00711444" w:rsidP="00AA2A4C">
            <w:pPr>
              <w:spacing w:after="0"/>
            </w:pPr>
            <w:r w:rsidRPr="004D0DAA">
              <w:rPr>
                <w:b/>
              </w:rPr>
              <w:t>EGPRS Level IE (Uplink EGPRS Level)</w:t>
            </w:r>
          </w:p>
          <w:p w14:paraId="0140BF1C" w14:textId="77777777" w:rsidR="00711444" w:rsidRPr="004D0DAA" w:rsidRDefault="00711444" w:rsidP="00AA2A4C">
            <w:pPr>
              <w:spacing w:after="0"/>
              <w:rPr>
                <w:szCs w:val="18"/>
              </w:rPr>
            </w:pPr>
            <w:r w:rsidRPr="004D0DAA">
              <w:t>This information element is defined in sub-clause 12.10f.</w:t>
            </w:r>
          </w:p>
          <w:p w14:paraId="2BF0455A" w14:textId="77777777" w:rsidR="00711444" w:rsidRPr="004D0DAA" w:rsidRDefault="00711444" w:rsidP="00AA2A4C">
            <w:pPr>
              <w:spacing w:after="0"/>
              <w:rPr>
                <w:b/>
              </w:rPr>
            </w:pPr>
          </w:p>
        </w:tc>
      </w:tr>
      <w:tr w:rsidR="00711444" w:rsidRPr="004D0DAA" w14:paraId="06CEEAE0"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38DFFD86" w14:textId="77777777" w:rsidR="00711444" w:rsidRPr="004D0DAA" w:rsidRDefault="00711444" w:rsidP="00AA2A4C">
            <w:pPr>
              <w:spacing w:after="0"/>
            </w:pPr>
            <w:r w:rsidRPr="004D0DAA">
              <w:rPr>
                <w:b/>
              </w:rPr>
              <w:t>REPORTED TIMESLOTS C1,</w:t>
            </w:r>
            <w:r w:rsidRPr="004D0DAA">
              <w:t xml:space="preserve"> </w:t>
            </w:r>
            <w:r w:rsidRPr="004D0DAA">
              <w:rPr>
                <w:b/>
              </w:rPr>
              <w:t>REPORTED TIMESLOTS C2</w:t>
            </w:r>
            <w:r w:rsidRPr="004D0DAA">
              <w:t xml:space="preserve"> (8 bit field)</w:t>
            </w:r>
          </w:p>
          <w:p w14:paraId="040DCA1C" w14:textId="77777777" w:rsidR="00711444" w:rsidRPr="004D0DAA" w:rsidRDefault="00711444" w:rsidP="00AA2A4C">
            <w:pPr>
              <w:spacing w:after="0"/>
            </w:pPr>
            <w:r w:rsidRPr="004D0DAA">
              <w:t>See sub-clause 11.2.29 (Packet Uplink Assignment message).</w:t>
            </w:r>
          </w:p>
          <w:p w14:paraId="200F5224" w14:textId="77777777" w:rsidR="00711444" w:rsidRPr="004D0DAA" w:rsidRDefault="00711444" w:rsidP="00AA2A4C">
            <w:pPr>
              <w:spacing w:after="0"/>
              <w:rPr>
                <w:b/>
              </w:rPr>
            </w:pPr>
          </w:p>
        </w:tc>
      </w:tr>
      <w:tr w:rsidR="00711444" w:rsidRPr="004D0DAA" w14:paraId="34DFC896"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4B1544E7" w14:textId="77777777" w:rsidR="00711444" w:rsidRPr="004D0DAA" w:rsidRDefault="00711444" w:rsidP="00AA2A4C">
            <w:pPr>
              <w:spacing w:after="0"/>
            </w:pPr>
            <w:r w:rsidRPr="004D0DAA">
              <w:rPr>
                <w:b/>
              </w:rPr>
              <w:t xml:space="preserve">TSH </w:t>
            </w:r>
            <w:r w:rsidRPr="004D0DAA">
              <w:t>(2 bit field)</w:t>
            </w:r>
          </w:p>
          <w:p w14:paraId="0A012E3C" w14:textId="77777777" w:rsidR="00711444" w:rsidRPr="004D0DAA" w:rsidRDefault="00711444" w:rsidP="00AA2A4C">
            <w:pPr>
              <w:spacing w:after="0"/>
            </w:pPr>
            <w:r w:rsidRPr="004D0DAA">
              <w:t>See sub-clause 11.2.29 (Packet Uplink Assignment message).</w:t>
            </w:r>
          </w:p>
          <w:p w14:paraId="6A575EE1" w14:textId="77777777" w:rsidR="00711444" w:rsidRPr="004D0DAA" w:rsidRDefault="00711444" w:rsidP="00AA2A4C">
            <w:pPr>
              <w:spacing w:after="0"/>
              <w:rPr>
                <w:b/>
              </w:rPr>
            </w:pPr>
          </w:p>
        </w:tc>
      </w:tr>
      <w:tr w:rsidR="00711444" w:rsidRPr="004D0DAA" w14:paraId="4AF4B34A"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081EFD16" w14:textId="77777777" w:rsidR="00711444" w:rsidRPr="004D0DAA" w:rsidRDefault="00711444" w:rsidP="00AA2A4C">
            <w:pPr>
              <w:spacing w:after="0"/>
            </w:pPr>
            <w:r w:rsidRPr="004D0DAA">
              <w:rPr>
                <w:b/>
                <w:bCs/>
                <w:szCs w:val="18"/>
              </w:rPr>
              <w:t xml:space="preserve">RTTI_USF_MODE </w:t>
            </w:r>
            <w:r w:rsidRPr="004D0DAA">
              <w:t>(1 bit field)</w:t>
            </w:r>
          </w:p>
          <w:p w14:paraId="27DFD942" w14:textId="77777777" w:rsidR="00711444" w:rsidRPr="004D0DAA" w:rsidRDefault="00711444" w:rsidP="00AA2A4C">
            <w:pPr>
              <w:spacing w:after="0"/>
            </w:pPr>
            <w:r w:rsidRPr="004D0DAA">
              <w:t>See sub-clause 11.2.29 (Packet Uplink Assignment message).</w:t>
            </w:r>
          </w:p>
          <w:p w14:paraId="519E8F85" w14:textId="77777777" w:rsidR="00711444" w:rsidRPr="004D0DAA" w:rsidRDefault="00711444" w:rsidP="00AA2A4C">
            <w:pPr>
              <w:spacing w:after="0"/>
              <w:rPr>
                <w:b/>
                <w:bCs/>
                <w:szCs w:val="18"/>
              </w:rPr>
            </w:pPr>
          </w:p>
        </w:tc>
      </w:tr>
      <w:tr w:rsidR="00711444" w:rsidRPr="004D0DAA" w14:paraId="4A75DC9C"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88EECC9" w14:textId="77777777" w:rsidR="00711444" w:rsidRPr="004D0DAA" w:rsidRDefault="00711444" w:rsidP="00AA2A4C">
            <w:pPr>
              <w:spacing w:after="0"/>
              <w:rPr>
                <w:b/>
                <w:bCs/>
                <w:szCs w:val="18"/>
              </w:rPr>
            </w:pPr>
            <w:r w:rsidRPr="004D0DAA">
              <w:rPr>
                <w:b/>
                <w:bCs/>
              </w:rPr>
              <w:t>PDCH Pairs Description IE (</w:t>
            </w:r>
            <w:r w:rsidRPr="004D0DAA">
              <w:rPr>
                <w:b/>
              </w:rPr>
              <w:t xml:space="preserve">Uplink Assignment </w:t>
            </w:r>
            <w:r w:rsidRPr="004D0DAA">
              <w:rPr>
                <w:b/>
                <w:bCs/>
              </w:rPr>
              <w:t>PDCH Pairs Description)</w:t>
            </w:r>
          </w:p>
          <w:p w14:paraId="0E1E98C4" w14:textId="77777777" w:rsidR="00711444" w:rsidRPr="004D0DAA" w:rsidRDefault="00711444" w:rsidP="00AA2A4C">
            <w:r w:rsidRPr="004D0DAA">
              <w:t>This information element is defined in sub-clause 12.5.5.</w:t>
            </w:r>
          </w:p>
          <w:p w14:paraId="46D73E17" w14:textId="77777777" w:rsidR="00711444" w:rsidRPr="004D0DAA" w:rsidRDefault="00711444" w:rsidP="00AA2A4C">
            <w:pPr>
              <w:rPr>
                <w:b/>
              </w:rPr>
            </w:pPr>
            <w:r w:rsidRPr="004D0DAA">
              <w:t>Specific conditions apply for the inclusion of this information element (see sub-clause 7.1.3.6).</w:t>
            </w:r>
          </w:p>
        </w:tc>
      </w:tr>
      <w:tr w:rsidR="00711444" w:rsidRPr="004D0DAA" w14:paraId="3856F2C3" w14:textId="77777777" w:rsidTr="00AA2A4C">
        <w:tblPrEx>
          <w:tblCellMar>
            <w:top w:w="0" w:type="dxa"/>
            <w:bottom w:w="0" w:type="dxa"/>
          </w:tblCellMar>
        </w:tblPrEx>
        <w:trPr>
          <w:cantSplit/>
          <w:trHeight w:val="113"/>
        </w:trPr>
        <w:tc>
          <w:tcPr>
            <w:tcW w:w="9848" w:type="dxa"/>
            <w:shd w:val="clear" w:color="auto" w:fill="auto"/>
          </w:tcPr>
          <w:p w14:paraId="269D27DD" w14:textId="77777777" w:rsidR="00711444" w:rsidRPr="004D0DAA" w:rsidRDefault="00711444" w:rsidP="00AA2A4C">
            <w:pPr>
              <w:spacing w:after="0"/>
              <w:rPr>
                <w:b/>
                <w:bCs/>
                <w:szCs w:val="18"/>
              </w:rPr>
            </w:pPr>
            <w:r w:rsidRPr="004D0DAA">
              <w:rPr>
                <w:b/>
              </w:rPr>
              <w:t>Dynamic Allocation 2 IE</w:t>
            </w:r>
          </w:p>
          <w:p w14:paraId="760EFEEE" w14:textId="77777777" w:rsidR="00711444" w:rsidRPr="004D0DAA" w:rsidRDefault="00711444" w:rsidP="00AA2A4C">
            <w:pPr>
              <w:rPr>
                <w:b/>
              </w:rPr>
            </w:pPr>
            <w:r w:rsidRPr="004D0DAA">
              <w:t>This information element is defined in sub-clause 12.48a.4.</w:t>
            </w:r>
          </w:p>
        </w:tc>
      </w:tr>
      <w:tr w:rsidR="00711444" w:rsidRPr="004D0DAA" w14:paraId="314CCDC4"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7AABF7E1" w14:textId="77777777" w:rsidR="00711444" w:rsidRPr="004D0DAA" w:rsidRDefault="00711444" w:rsidP="00AA2A4C">
            <w:pPr>
              <w:spacing w:after="0"/>
              <w:rPr>
                <w:b/>
              </w:rPr>
            </w:pPr>
            <w:r w:rsidRPr="004D0DAA">
              <w:rPr>
                <w:b/>
              </w:rPr>
              <w:t xml:space="preserve">PFI </w:t>
            </w:r>
            <w:r w:rsidRPr="004D0DAA">
              <w:rPr>
                <w:bCs/>
              </w:rPr>
              <w:t>(7 bit field)</w:t>
            </w:r>
          </w:p>
          <w:p w14:paraId="32517929" w14:textId="77777777" w:rsidR="00711444" w:rsidRPr="004D0DAA" w:rsidRDefault="00711444" w:rsidP="00AA2A4C">
            <w:pPr>
              <w:spacing w:after="0"/>
            </w:pPr>
            <w:r w:rsidRPr="004D0DAA">
              <w:t>See sub-clause 11.2.29 (Packet Uplink Assignment message).</w:t>
            </w:r>
          </w:p>
          <w:p w14:paraId="7AA1EEA3" w14:textId="77777777" w:rsidR="00711444" w:rsidRPr="004D0DAA" w:rsidRDefault="00711444" w:rsidP="00AA2A4C">
            <w:pPr>
              <w:spacing w:after="0"/>
              <w:rPr>
                <w:b/>
              </w:rPr>
            </w:pPr>
          </w:p>
        </w:tc>
      </w:tr>
      <w:tr w:rsidR="00711444" w:rsidRPr="004D0DAA" w14:paraId="057F84D3"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6A7E9711" w14:textId="77777777" w:rsidR="00711444" w:rsidRPr="004D0DAA" w:rsidRDefault="00711444" w:rsidP="00AA2A4C">
            <w:pPr>
              <w:spacing w:after="0"/>
              <w:rPr>
                <w:bCs/>
              </w:rPr>
            </w:pPr>
            <w:r w:rsidRPr="004D0DAA">
              <w:rPr>
                <w:b/>
              </w:rPr>
              <w:t xml:space="preserve">RLC_MODE </w:t>
            </w:r>
            <w:r w:rsidRPr="004D0DAA">
              <w:t>(1 bit field)</w:t>
            </w:r>
          </w:p>
          <w:p w14:paraId="1576503A" w14:textId="77777777" w:rsidR="00711444" w:rsidRPr="004D0DAA" w:rsidRDefault="00711444" w:rsidP="00AA2A4C">
            <w:pPr>
              <w:spacing w:after="0"/>
            </w:pPr>
            <w:r w:rsidRPr="004D0DAA">
              <w:t>See sub-clause 12.48a.2 (</w:t>
            </w:r>
            <w:r w:rsidRPr="004D0DAA">
              <w:rPr>
                <w:i/>
              </w:rPr>
              <w:t xml:space="preserve">Single Downlink Assignment 2 </w:t>
            </w:r>
            <w:r w:rsidRPr="004D0DAA">
              <w:t>information element).</w:t>
            </w:r>
          </w:p>
          <w:p w14:paraId="76F08DDE" w14:textId="77777777" w:rsidR="00711444" w:rsidRPr="004D0DAA" w:rsidRDefault="00711444" w:rsidP="00AA2A4C">
            <w:pPr>
              <w:spacing w:after="0"/>
            </w:pPr>
          </w:p>
        </w:tc>
      </w:tr>
      <w:tr w:rsidR="00711444" w:rsidRPr="004D0DAA" w14:paraId="69BB0110"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Pr>
          <w:p w14:paraId="081739D8"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7E12C6DE" w14:textId="77777777" w:rsidR="00711444" w:rsidRPr="004D0DAA" w:rsidRDefault="00711444" w:rsidP="00AA2A4C">
            <w:pPr>
              <w:spacing w:after="0"/>
            </w:pPr>
            <w:r w:rsidRPr="004D0DAA">
              <w:t>See sub-clause 11.2.29 (Packet Uplink Assignment message).</w:t>
            </w:r>
          </w:p>
          <w:p w14:paraId="316423B7" w14:textId="77777777" w:rsidR="00711444" w:rsidRPr="004D0DAA" w:rsidRDefault="00711444" w:rsidP="00AA2A4C">
            <w:pPr>
              <w:spacing w:after="0"/>
            </w:pPr>
          </w:p>
        </w:tc>
      </w:tr>
      <w:tr w:rsidR="00711444" w:rsidRPr="004D0DAA" w14:paraId="7C932D17"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top w:val="single" w:sz="4" w:space="0" w:color="auto"/>
              <w:bottom w:val="single" w:sz="4" w:space="0" w:color="auto"/>
            </w:tcBorders>
          </w:tcPr>
          <w:p w14:paraId="4624BDFF" w14:textId="77777777" w:rsidR="00711444" w:rsidRPr="004D0DAA" w:rsidRDefault="00711444" w:rsidP="00AA2A4C">
            <w:pPr>
              <w:spacing w:after="0"/>
            </w:pPr>
            <w:r w:rsidRPr="004D0DAA">
              <w:rPr>
                <w:b/>
              </w:rPr>
              <w:t>Pulse Format IE</w:t>
            </w:r>
          </w:p>
          <w:p w14:paraId="0A99AACB" w14:textId="77777777" w:rsidR="00711444" w:rsidRPr="004D0DAA" w:rsidRDefault="00711444" w:rsidP="00AA2A4C">
            <w:pPr>
              <w:spacing w:after="0"/>
            </w:pPr>
            <w:r w:rsidRPr="004D0DAA">
              <w:t>This information element is defined in sub-clause 12.8.3.</w:t>
            </w:r>
          </w:p>
          <w:p w14:paraId="4439E857" w14:textId="77777777" w:rsidR="00711444" w:rsidRPr="004D0DAA" w:rsidRDefault="00711444" w:rsidP="00AA2A4C">
            <w:pPr>
              <w:spacing w:after="0"/>
            </w:pPr>
          </w:p>
        </w:tc>
      </w:tr>
    </w:tbl>
    <w:p w14:paraId="3535C33E" w14:textId="77777777" w:rsidR="00711444" w:rsidRPr="004D0DAA" w:rsidRDefault="00711444" w:rsidP="00711444">
      <w:pPr>
        <w:tabs>
          <w:tab w:val="left" w:pos="11520"/>
        </w:tabs>
      </w:pPr>
    </w:p>
    <w:p w14:paraId="6A8FECF9" w14:textId="77777777" w:rsidR="00711444" w:rsidRPr="004D0DAA" w:rsidRDefault="00711444" w:rsidP="00711444">
      <w:pPr>
        <w:pStyle w:val="Heading3"/>
      </w:pPr>
      <w:bookmarkStart w:id="840" w:name="_Toc516670016"/>
      <w:r w:rsidRPr="004D0DAA">
        <w:t>12.48a.4</w:t>
      </w:r>
      <w:r w:rsidRPr="004D0DAA">
        <w:tab/>
        <w:t>Dynamic Allocation 2</w:t>
      </w:r>
      <w:bookmarkEnd w:id="840"/>
      <w:r w:rsidRPr="004D0DAA">
        <w:t xml:space="preserve"> </w:t>
      </w:r>
    </w:p>
    <w:p w14:paraId="2E83094A" w14:textId="77777777" w:rsidR="00711444" w:rsidRPr="004D0DAA" w:rsidRDefault="00711444" w:rsidP="00711444">
      <w:pPr>
        <w:ind w:right="1"/>
      </w:pPr>
      <w:r w:rsidRPr="004D0DAA">
        <w:t>This information element provides the description of the uplink dynamic allocation  information for a BTTI or an RTTI assignment in a single or a dual carrier configuration with or without power control parameters.</w:t>
      </w:r>
    </w:p>
    <w:p w14:paraId="740826E2" w14:textId="77777777" w:rsidR="00711444" w:rsidRPr="004D0DAA" w:rsidRDefault="00711444" w:rsidP="00711444">
      <w:pPr>
        <w:pStyle w:val="TH"/>
      </w:pPr>
      <w:r w:rsidRPr="004D0DAA">
        <w:lastRenderedPageBreak/>
        <w:t>Table 12.48a.4.1: Dynamic Allocation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ECD3906" w14:textId="77777777" w:rsidTr="00AA2A4C">
        <w:tblPrEx>
          <w:tblCellMar>
            <w:top w:w="0" w:type="dxa"/>
            <w:bottom w:w="0" w:type="dxa"/>
          </w:tblCellMar>
        </w:tblPrEx>
        <w:trPr>
          <w:cantSplit/>
        </w:trPr>
        <w:tc>
          <w:tcPr>
            <w:tcW w:w="9848" w:type="dxa"/>
          </w:tcPr>
          <w:p w14:paraId="77C8A57B" w14:textId="77777777" w:rsidR="00711444" w:rsidRPr="004D0DAA" w:rsidRDefault="00711444" w:rsidP="00AA2A4C">
            <w:pPr>
              <w:pStyle w:val="TAL"/>
              <w:rPr>
                <w:lang w:eastAsia="en-US"/>
              </w:rPr>
            </w:pPr>
            <w:r w:rsidRPr="004D0DAA">
              <w:rPr>
                <w:lang w:eastAsia="en-US"/>
              </w:rPr>
              <w:t xml:space="preserve">&lt; Dynamic Allocation 2 IE &gt; ::= </w:t>
            </w:r>
          </w:p>
          <w:p w14:paraId="678169C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EXTENDED_DYNAMIC_ALLOCATION</w:t>
            </w:r>
            <w:r w:rsidRPr="004D0DAA">
              <w:rPr>
                <w:lang w:eastAsia="en-US"/>
              </w:rPr>
              <w:t xml:space="preserve"> : bit (1) &gt;</w:t>
            </w:r>
          </w:p>
          <w:p w14:paraId="6AC3C82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P0_C1</w:t>
            </w:r>
            <w:r w:rsidRPr="004D0DAA">
              <w:rPr>
                <w:lang w:eastAsia="en-US"/>
              </w:rPr>
              <w:t xml:space="preserve"> : bit (4) &gt; </w:t>
            </w:r>
          </w:p>
          <w:p w14:paraId="73E1E68A"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val="fr-FR" w:eastAsia="en-US"/>
              </w:rPr>
              <w:t xml:space="preserve">&lt; </w:t>
            </w:r>
            <w:r w:rsidRPr="004D0DAA">
              <w:rPr>
                <w:b/>
                <w:lang w:val="fr-FR" w:eastAsia="en-US"/>
              </w:rPr>
              <w:t>PR_MODE_C1</w:t>
            </w:r>
            <w:r w:rsidRPr="004D0DAA">
              <w:rPr>
                <w:lang w:val="fr-FR" w:eastAsia="en-US"/>
              </w:rPr>
              <w:t xml:space="preserve"> : bit (1) &gt; </w:t>
            </w:r>
          </w:p>
          <w:p w14:paraId="3C5637B1"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0 | 1</w:t>
            </w:r>
            <w:r w:rsidRPr="004D0DAA">
              <w:rPr>
                <w:lang w:val="fr-FR" w:eastAsia="en-US"/>
              </w:rPr>
              <w:tab/>
              <w:t xml:space="preserve">&lt; </w:t>
            </w:r>
            <w:r w:rsidRPr="004D0DAA">
              <w:rPr>
                <w:b/>
                <w:lang w:val="fr-FR" w:eastAsia="en-US"/>
              </w:rPr>
              <w:t>P0_C2</w:t>
            </w:r>
            <w:r w:rsidRPr="004D0DAA">
              <w:rPr>
                <w:lang w:val="fr-FR" w:eastAsia="en-US"/>
              </w:rPr>
              <w:t xml:space="preserve"> : bit (4) &gt; </w:t>
            </w:r>
          </w:p>
          <w:p w14:paraId="52A34902"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&lt; </w:t>
            </w:r>
            <w:r w:rsidRPr="004D0DAA">
              <w:rPr>
                <w:b/>
                <w:lang w:eastAsia="en-US"/>
              </w:rPr>
              <w:t>PR_MODE_C2</w:t>
            </w:r>
            <w:r w:rsidRPr="004D0DAA">
              <w:rPr>
                <w:lang w:eastAsia="en-US"/>
              </w:rPr>
              <w:t xml:space="preserve"> : bit (1) &gt; } }</w:t>
            </w:r>
          </w:p>
          <w:p w14:paraId="5D34A50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USF_GRANULARITY</w:t>
            </w:r>
            <w:r w:rsidRPr="004D0DAA">
              <w:rPr>
                <w:lang w:eastAsia="en-US"/>
              </w:rPr>
              <w:t xml:space="preserve"> : bit (1) &gt;</w:t>
            </w:r>
          </w:p>
          <w:p w14:paraId="47AC9699"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UPLINK_TFI_ASSIGNMENT</w:t>
            </w:r>
            <w:r w:rsidRPr="004D0DAA">
              <w:rPr>
                <w:lang w:eastAsia="en-US"/>
              </w:rPr>
              <w:t xml:space="preserve"> : bit (5) &gt; }</w:t>
            </w:r>
          </w:p>
          <w:p w14:paraId="431A523C" w14:textId="77777777" w:rsidR="00711444" w:rsidRPr="004D0DAA" w:rsidRDefault="00711444" w:rsidP="00AA2A4C">
            <w:pPr>
              <w:pStyle w:val="TAL"/>
              <w:rPr>
                <w:rFonts w:cs="Arial"/>
                <w:lang w:eastAsia="en-US"/>
              </w:rPr>
            </w:pPr>
            <w:r w:rsidRPr="004D0DAA">
              <w:rPr>
                <w:rFonts w:cs="Arial"/>
                <w:lang w:eastAsia="en-US"/>
              </w:rPr>
              <w:tab/>
              <w:t>{ 0</w:t>
            </w:r>
            <w:r w:rsidRPr="004D0DAA">
              <w:rPr>
                <w:rFonts w:cs="Arial"/>
                <w:lang w:eastAsia="en-US"/>
              </w:rPr>
              <w:tab/>
            </w:r>
            <w:r w:rsidRPr="004D0DAA">
              <w:rPr>
                <w:rFonts w:cs="Arial"/>
                <w:lang w:eastAsia="en-US"/>
              </w:rPr>
              <w:tab/>
            </w:r>
            <w:r w:rsidRPr="004D0DAA">
              <w:rPr>
                <w:rFonts w:cs="Arial"/>
                <w:lang w:eastAsia="en-US"/>
              </w:rPr>
              <w:tab/>
              <w:t>-- Allocation without Power Control Parameters</w:t>
            </w:r>
          </w:p>
          <w:p w14:paraId="63D19BCA"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 xml:space="preserve">N_USF </w:t>
            </w:r>
            <w:r w:rsidRPr="004D0DAA">
              <w:rPr>
                <w:rFonts w:eastAsia="SimSun" w:cs="Arial"/>
                <w:szCs w:val="18"/>
                <w:lang w:eastAsia="zh-CN"/>
              </w:rPr>
              <w:t>: bit (4) &gt;</w:t>
            </w:r>
          </w:p>
          <w:p w14:paraId="7B5285F9"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 0 | 1 &lt; </w:t>
            </w:r>
            <w:r w:rsidRPr="004D0DAA">
              <w:rPr>
                <w:rFonts w:eastAsia="SimSun" w:cs="Arial"/>
                <w:b/>
                <w:bCs/>
                <w:szCs w:val="18"/>
                <w:lang w:eastAsia="zh-CN"/>
              </w:rPr>
              <w:t>USF</w:t>
            </w:r>
            <w:r w:rsidRPr="004D0DAA">
              <w:rPr>
                <w:rFonts w:eastAsia="SimSun" w:cs="Arial"/>
                <w:szCs w:val="18"/>
                <w:lang w:eastAsia="zh-CN"/>
              </w:rPr>
              <w:t xml:space="preserve"> : bit (3) &gt; } *( val(</w:t>
            </w:r>
            <w:r w:rsidRPr="004D0DAA">
              <w:rPr>
                <w:rFonts w:eastAsia="SimSun" w:cs="Arial"/>
                <w:b/>
                <w:bCs/>
                <w:szCs w:val="18"/>
                <w:lang w:eastAsia="zh-CN"/>
              </w:rPr>
              <w:t>N_USF</w:t>
            </w:r>
            <w:r w:rsidRPr="004D0DAA">
              <w:rPr>
                <w:rFonts w:eastAsia="SimSun" w:cs="Arial"/>
                <w:szCs w:val="18"/>
                <w:lang w:eastAsia="zh-CN"/>
              </w:rPr>
              <w:t>) + 1)</w:t>
            </w:r>
          </w:p>
          <w:p w14:paraId="27EA8962" w14:textId="77777777" w:rsidR="00711444" w:rsidRPr="004D0DAA" w:rsidRDefault="00711444" w:rsidP="00AA2A4C">
            <w:pPr>
              <w:pStyle w:val="TAL"/>
              <w:rPr>
                <w:rFonts w:cs="Arial"/>
                <w:lang w:eastAsia="en-US"/>
              </w:rPr>
            </w:pPr>
            <w:r w:rsidRPr="004D0DAA">
              <w:rPr>
                <w:rFonts w:cs="Arial"/>
                <w:lang w:eastAsia="en-US"/>
              </w:rPr>
              <w:tab/>
              <w:t>| 1</w:t>
            </w:r>
            <w:r w:rsidRPr="004D0DAA">
              <w:rPr>
                <w:rFonts w:cs="Arial"/>
                <w:lang w:eastAsia="en-US"/>
              </w:rPr>
              <w:tab/>
            </w:r>
            <w:r w:rsidRPr="004D0DAA">
              <w:rPr>
                <w:rFonts w:cs="Arial"/>
                <w:lang w:eastAsia="en-US"/>
              </w:rPr>
              <w:tab/>
            </w:r>
            <w:r w:rsidRPr="004D0DAA">
              <w:rPr>
                <w:rFonts w:cs="Arial"/>
                <w:lang w:eastAsia="en-US"/>
              </w:rPr>
              <w:tab/>
              <w:t>-- Allocation with Power Control Parameters</w:t>
            </w:r>
          </w:p>
          <w:p w14:paraId="6BA54C0A" w14:textId="77777777" w:rsidR="00711444" w:rsidRPr="004D0DAA" w:rsidRDefault="00711444" w:rsidP="00AA2A4C">
            <w:pPr>
              <w:pStyle w:val="TAL"/>
              <w:rPr>
                <w:rFonts w:cs="Arial"/>
                <w:lang w:eastAsia="en-US"/>
              </w:rPr>
            </w:pPr>
            <w:r w:rsidRPr="004D0DAA">
              <w:rPr>
                <w:rFonts w:cs="Arial"/>
                <w:lang w:eastAsia="en-US"/>
              </w:rPr>
              <w:tab/>
            </w:r>
            <w:r w:rsidRPr="004D0DAA">
              <w:rPr>
                <w:rFonts w:cs="Arial"/>
                <w:lang w:eastAsia="en-US"/>
              </w:rPr>
              <w:tab/>
              <w:t xml:space="preserve">&lt; </w:t>
            </w:r>
            <w:r w:rsidRPr="004D0DAA">
              <w:rPr>
                <w:rFonts w:cs="Arial"/>
                <w:b/>
                <w:lang w:eastAsia="en-US"/>
              </w:rPr>
              <w:t>ALPHA_C1</w:t>
            </w:r>
            <w:r w:rsidRPr="004D0DAA">
              <w:rPr>
                <w:rFonts w:cs="Arial"/>
                <w:lang w:eastAsia="en-US"/>
              </w:rPr>
              <w:t>: bit (4) &gt;</w:t>
            </w:r>
          </w:p>
          <w:p w14:paraId="3F631ADD" w14:textId="77777777" w:rsidR="00711444" w:rsidRPr="004D0DAA" w:rsidRDefault="00711444" w:rsidP="00AA2A4C">
            <w:pPr>
              <w:pStyle w:val="TAL"/>
              <w:rPr>
                <w:rFonts w:cs="Arial"/>
                <w:lang w:val="fr-FR" w:eastAsia="en-US"/>
              </w:rPr>
            </w:pPr>
            <w:r w:rsidRPr="004D0DAA">
              <w:rPr>
                <w:rFonts w:cs="Arial"/>
                <w:lang w:eastAsia="en-US"/>
              </w:rPr>
              <w:tab/>
            </w:r>
            <w:r w:rsidRPr="004D0DAA">
              <w:rPr>
                <w:rFonts w:cs="Arial"/>
                <w:lang w:eastAsia="en-US"/>
              </w:rPr>
              <w:tab/>
            </w:r>
            <w:r w:rsidRPr="004D0DAA">
              <w:rPr>
                <w:rFonts w:cs="Arial"/>
                <w:lang w:val="fr-FR" w:eastAsia="en-US"/>
              </w:rPr>
              <w:t xml:space="preserve">{ 0 | 1 &lt; </w:t>
            </w:r>
            <w:r w:rsidRPr="004D0DAA">
              <w:rPr>
                <w:rFonts w:cs="Arial"/>
                <w:b/>
                <w:lang w:val="fr-FR" w:eastAsia="en-US"/>
              </w:rPr>
              <w:t>ALPHA_C2</w:t>
            </w:r>
            <w:r w:rsidRPr="004D0DAA">
              <w:rPr>
                <w:rFonts w:cs="Arial"/>
                <w:lang w:val="fr-FR" w:eastAsia="en-US"/>
              </w:rPr>
              <w:t>: bit (4) &gt; }</w:t>
            </w:r>
          </w:p>
          <w:p w14:paraId="580A543E" w14:textId="77777777" w:rsidR="00711444" w:rsidRPr="004D0DAA" w:rsidRDefault="00711444" w:rsidP="00AA2A4C">
            <w:pPr>
              <w:pStyle w:val="TAL"/>
              <w:rPr>
                <w:rFonts w:eastAsia="SimSun" w:cs="Arial"/>
                <w:iCs/>
                <w:szCs w:val="18"/>
                <w:lang w:val="fr-FR" w:eastAsia="zh-CN"/>
              </w:rPr>
            </w:pPr>
            <w:r w:rsidRPr="004D0DAA">
              <w:rPr>
                <w:rFonts w:eastAsia="SimSun" w:cs="Arial"/>
                <w:szCs w:val="18"/>
                <w:lang w:val="fr-FR" w:eastAsia="zh-CN"/>
              </w:rPr>
              <w:tab/>
            </w:r>
            <w:r w:rsidRPr="004D0DAA">
              <w:rPr>
                <w:rFonts w:eastAsia="SimSun" w:cs="Arial"/>
                <w:szCs w:val="18"/>
                <w:lang w:val="fr-FR" w:eastAsia="zh-CN"/>
              </w:rPr>
              <w:tab/>
              <w:t>{ 0</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 </w:t>
            </w:r>
            <w:r w:rsidRPr="004D0DAA">
              <w:rPr>
                <w:rFonts w:eastAsia="SimSun" w:cs="Arial"/>
                <w:iCs/>
                <w:szCs w:val="18"/>
                <w:lang w:val="fr-FR" w:eastAsia="zh-CN"/>
              </w:rPr>
              <w:t>BTTI mode</w:t>
            </w:r>
          </w:p>
          <w:p w14:paraId="1F4EC510" w14:textId="77777777" w:rsidR="00711444" w:rsidRPr="004D0DAA" w:rsidRDefault="00711444" w:rsidP="00AA2A4C">
            <w:pPr>
              <w:pStyle w:val="TAL"/>
              <w:rPr>
                <w:rFonts w:eastAsia="SimSun" w:cs="Arial"/>
                <w:szCs w:val="18"/>
                <w:lang w:val="fr-FR"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&lt; </w:t>
            </w:r>
            <w:r w:rsidRPr="004D0DAA">
              <w:rPr>
                <w:rFonts w:eastAsia="SimSun" w:cs="Arial"/>
                <w:b/>
                <w:bCs/>
                <w:szCs w:val="18"/>
                <w:lang w:val="fr-FR" w:eastAsia="zh-CN"/>
              </w:rPr>
              <w:t xml:space="preserve">N_TS </w:t>
            </w:r>
            <w:r w:rsidRPr="004D0DAA">
              <w:rPr>
                <w:rFonts w:eastAsia="SimSun" w:cs="Arial"/>
                <w:szCs w:val="18"/>
                <w:lang w:val="fr-FR" w:eastAsia="zh-CN"/>
              </w:rPr>
              <w:t>: bit (4) &gt;</w:t>
            </w:r>
          </w:p>
          <w:p w14:paraId="2BEAB7ED" w14:textId="77777777" w:rsidR="00711444" w:rsidRPr="004D0DAA" w:rsidRDefault="00711444" w:rsidP="00AA2A4C">
            <w:pPr>
              <w:pStyle w:val="TAL"/>
              <w:rPr>
                <w:rFonts w:eastAsia="SimSun" w:cs="Arial"/>
                <w:szCs w:val="18"/>
                <w:lang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eastAsia="zh-CN"/>
              </w:rPr>
              <w:t xml:space="preserve">{ 0 | 1 </w:t>
            </w:r>
          </w:p>
          <w:p w14:paraId="669ED304"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USF</w:t>
            </w:r>
            <w:r w:rsidRPr="004D0DAA">
              <w:rPr>
                <w:rFonts w:eastAsia="SimSun" w:cs="Arial"/>
                <w:szCs w:val="18"/>
                <w:lang w:eastAsia="zh-CN"/>
              </w:rPr>
              <w:t xml:space="preserve"> : bit (3) &gt;</w:t>
            </w:r>
          </w:p>
          <w:p w14:paraId="76122B13" w14:textId="77777777" w:rsidR="00711444" w:rsidRPr="004D0DAA" w:rsidRDefault="00711444" w:rsidP="00AA2A4C">
            <w:pPr>
              <w:pStyle w:val="TAL"/>
              <w:rPr>
                <w:szCs w:val="18"/>
                <w:lang w:eastAsia="en-US"/>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cs="Arial"/>
                <w:szCs w:val="18"/>
                <w:lang w:eastAsia="en-US"/>
              </w:rPr>
              <w:t xml:space="preserve">&lt; </w:t>
            </w:r>
            <w:r w:rsidRPr="004D0DAA">
              <w:rPr>
                <w:rFonts w:cs="Arial"/>
                <w:b/>
                <w:szCs w:val="18"/>
                <w:lang w:eastAsia="en-US"/>
              </w:rPr>
              <w:t>GAMMA</w:t>
            </w:r>
            <w:r w:rsidRPr="004D0DAA">
              <w:rPr>
                <w:rFonts w:cs="Arial"/>
                <w:szCs w:val="18"/>
                <w:lang w:eastAsia="en-US"/>
              </w:rPr>
              <w:t>: bit (5) &gt;</w:t>
            </w:r>
            <w:r w:rsidRPr="004D0DAA">
              <w:rPr>
                <w:szCs w:val="18"/>
                <w:lang w:eastAsia="en-US"/>
              </w:rPr>
              <w:t xml:space="preserve"> </w:t>
            </w:r>
          </w:p>
          <w:p w14:paraId="320B63F3" w14:textId="77777777" w:rsidR="00711444" w:rsidRPr="004D0DAA" w:rsidRDefault="00711444" w:rsidP="00AA2A4C">
            <w:pPr>
              <w:pStyle w:val="TAL"/>
              <w:rPr>
                <w:rFonts w:eastAsia="SimSun" w:cs="Arial"/>
                <w:szCs w:val="18"/>
                <w:lang w:eastAsia="zh-CN"/>
              </w:rPr>
            </w:pPr>
            <w:r w:rsidRPr="004D0DAA">
              <w:rPr>
                <w:szCs w:val="18"/>
                <w:lang w:eastAsia="en-US"/>
              </w:rPr>
              <w:tab/>
            </w:r>
            <w:r w:rsidRPr="004D0DAA">
              <w:rPr>
                <w:szCs w:val="18"/>
                <w:lang w:eastAsia="en-US"/>
              </w:rPr>
              <w:tab/>
            </w:r>
            <w:r w:rsidRPr="004D0DAA">
              <w:rPr>
                <w:szCs w:val="18"/>
                <w:lang w:eastAsia="en-US"/>
              </w:rPr>
              <w:tab/>
            </w:r>
            <w:r w:rsidRPr="004D0DAA">
              <w:rPr>
                <w:rFonts w:eastAsia="SimSun" w:cs="Arial"/>
                <w:szCs w:val="18"/>
                <w:lang w:eastAsia="zh-CN"/>
              </w:rPr>
              <w:t>} * ( val(</w:t>
            </w:r>
            <w:r w:rsidRPr="004D0DAA">
              <w:rPr>
                <w:rFonts w:eastAsia="SimSun" w:cs="Arial"/>
                <w:b/>
                <w:bCs/>
                <w:szCs w:val="18"/>
                <w:lang w:eastAsia="zh-CN"/>
              </w:rPr>
              <w:t>N_TS</w:t>
            </w:r>
            <w:r w:rsidRPr="004D0DAA">
              <w:rPr>
                <w:rFonts w:eastAsia="SimSun" w:cs="Arial"/>
                <w:szCs w:val="18"/>
                <w:lang w:eastAsia="zh-CN"/>
              </w:rPr>
              <w:t>) + 1)</w:t>
            </w:r>
          </w:p>
          <w:p w14:paraId="7A06386A" w14:textId="77777777" w:rsidR="00711444" w:rsidRPr="004D0DAA" w:rsidRDefault="00711444" w:rsidP="00AA2A4C">
            <w:pPr>
              <w:pStyle w:val="TAL"/>
              <w:rPr>
                <w:rFonts w:eastAsia="SimSun" w:cs="Arial"/>
                <w:iCs/>
                <w:szCs w:val="18"/>
                <w:lang w:val="fr-FR"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val="fr-FR" w:eastAsia="zh-CN"/>
              </w:rPr>
              <w:t>| 1</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 </w:t>
            </w:r>
            <w:r w:rsidRPr="004D0DAA">
              <w:rPr>
                <w:rFonts w:eastAsia="SimSun" w:cs="Arial"/>
                <w:iCs/>
                <w:szCs w:val="18"/>
                <w:lang w:val="fr-FR" w:eastAsia="zh-CN"/>
              </w:rPr>
              <w:t>RTTI mode</w:t>
            </w:r>
          </w:p>
          <w:p w14:paraId="5BAF443A" w14:textId="77777777" w:rsidR="00711444" w:rsidRPr="004D0DAA" w:rsidRDefault="00711444" w:rsidP="00AA2A4C">
            <w:pPr>
              <w:pStyle w:val="TAL"/>
              <w:rPr>
                <w:rFonts w:eastAsia="SimSun" w:cs="Arial"/>
                <w:szCs w:val="18"/>
                <w:lang w:val="fr-FR"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t xml:space="preserve">&lt; </w:t>
            </w:r>
            <w:r w:rsidRPr="004D0DAA">
              <w:rPr>
                <w:rFonts w:eastAsia="SimSun" w:cs="Arial"/>
                <w:b/>
                <w:bCs/>
                <w:szCs w:val="18"/>
                <w:lang w:val="fr-FR" w:eastAsia="zh-CN"/>
              </w:rPr>
              <w:t xml:space="preserve">N_PAIRS </w:t>
            </w:r>
            <w:r w:rsidRPr="004D0DAA">
              <w:rPr>
                <w:rFonts w:eastAsia="SimSun" w:cs="Arial"/>
                <w:szCs w:val="18"/>
                <w:lang w:val="fr-FR" w:eastAsia="zh-CN"/>
              </w:rPr>
              <w:t>: bit (3) &gt;</w:t>
            </w:r>
          </w:p>
          <w:p w14:paraId="6DD93983" w14:textId="77777777" w:rsidR="00711444" w:rsidRPr="004D0DAA" w:rsidRDefault="00711444" w:rsidP="00AA2A4C">
            <w:pPr>
              <w:pStyle w:val="TAL"/>
              <w:rPr>
                <w:rFonts w:eastAsia="SimSun" w:cs="Arial"/>
                <w:szCs w:val="18"/>
                <w:lang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eastAsia="zh-CN"/>
              </w:rPr>
              <w:t>{ 0 | 1</w:t>
            </w:r>
          </w:p>
          <w:p w14:paraId="41804BA1"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USF</w:t>
            </w:r>
            <w:r w:rsidRPr="004D0DAA">
              <w:rPr>
                <w:rFonts w:eastAsia="SimSun" w:cs="Arial"/>
                <w:szCs w:val="18"/>
                <w:lang w:eastAsia="zh-CN"/>
              </w:rPr>
              <w:t xml:space="preserve"> : bit (3) &gt; </w:t>
            </w:r>
          </w:p>
          <w:p w14:paraId="71E22ED6"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szCs w:val="18"/>
                <w:lang w:eastAsia="zh-CN"/>
              </w:rPr>
              <w:t>GAMMA</w:t>
            </w:r>
            <w:r w:rsidRPr="004D0DAA">
              <w:rPr>
                <w:rFonts w:eastAsia="SimSun" w:cs="Arial"/>
                <w:szCs w:val="18"/>
                <w:lang w:eastAsia="zh-CN"/>
              </w:rPr>
              <w:t xml:space="preserve"> : bit (5) &gt; </w:t>
            </w:r>
          </w:p>
          <w:p w14:paraId="0D2BAF4C"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  (val(</w:t>
            </w:r>
            <w:r w:rsidRPr="004D0DAA">
              <w:rPr>
                <w:rFonts w:eastAsia="SimSun" w:cs="Arial"/>
                <w:b/>
                <w:bCs/>
                <w:szCs w:val="18"/>
                <w:lang w:eastAsia="zh-CN"/>
              </w:rPr>
              <w:t>N_PAIRS</w:t>
            </w:r>
            <w:r w:rsidRPr="004D0DAA">
              <w:rPr>
                <w:rFonts w:eastAsia="SimSun" w:cs="Arial"/>
                <w:szCs w:val="18"/>
                <w:lang w:eastAsia="zh-CN"/>
              </w:rPr>
              <w:t xml:space="preserve">) + 1) </w:t>
            </w:r>
          </w:p>
          <w:p w14:paraId="5FF0AB48"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0 </w:t>
            </w:r>
            <w:r w:rsidRPr="004D0DAA">
              <w:rPr>
                <w:rFonts w:eastAsia="SimSun" w:cs="Arial"/>
                <w:szCs w:val="18"/>
                <w:lang w:eastAsia="zh-CN"/>
              </w:rPr>
              <w:tab/>
            </w:r>
            <w:r w:rsidRPr="004D0DAA">
              <w:rPr>
                <w:rFonts w:eastAsia="SimSun" w:cs="Arial"/>
                <w:szCs w:val="18"/>
                <w:lang w:eastAsia="zh-CN"/>
              </w:rPr>
              <w:tab/>
              <w:t>-- RTTI USF</w:t>
            </w:r>
          </w:p>
          <w:p w14:paraId="2EE7DD99"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1</w:t>
            </w:r>
            <w:r w:rsidRPr="004D0DAA">
              <w:rPr>
                <w:rFonts w:eastAsia="SimSun" w:cs="Arial"/>
                <w:szCs w:val="18"/>
                <w:lang w:eastAsia="zh-CN"/>
              </w:rPr>
              <w:tab/>
            </w:r>
            <w:r w:rsidRPr="004D0DAA">
              <w:rPr>
                <w:rFonts w:eastAsia="SimSun" w:cs="Arial"/>
                <w:szCs w:val="18"/>
                <w:lang w:eastAsia="zh-CN"/>
              </w:rPr>
              <w:tab/>
              <w:t xml:space="preserve">-- BTTI USF </w:t>
            </w:r>
          </w:p>
          <w:p w14:paraId="102CF467"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0 | 1 &lt; </w:t>
            </w:r>
            <w:r w:rsidRPr="004D0DAA">
              <w:rPr>
                <w:rFonts w:eastAsia="SimSun" w:cs="Arial"/>
                <w:b/>
                <w:bCs/>
                <w:szCs w:val="18"/>
                <w:lang w:eastAsia="zh-CN"/>
              </w:rPr>
              <w:t>USF_2</w:t>
            </w:r>
            <w:r w:rsidRPr="004D0DAA">
              <w:rPr>
                <w:rFonts w:eastAsia="SimSun" w:cs="Arial"/>
                <w:szCs w:val="18"/>
                <w:lang w:eastAsia="zh-CN"/>
              </w:rPr>
              <w:t xml:space="preserve"> : bit (3) &gt; </w:t>
            </w:r>
          </w:p>
          <w:p w14:paraId="27A8C147"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0 | 1 &lt; </w:t>
            </w:r>
            <w:r w:rsidRPr="004D0DAA">
              <w:rPr>
                <w:rFonts w:eastAsia="SimSun" w:cs="Arial"/>
                <w:b/>
                <w:szCs w:val="18"/>
                <w:lang w:eastAsia="zh-CN"/>
              </w:rPr>
              <w:t xml:space="preserve">GAMMA </w:t>
            </w:r>
            <w:r w:rsidRPr="004D0DAA">
              <w:rPr>
                <w:rFonts w:eastAsia="SimSun" w:cs="Arial"/>
                <w:szCs w:val="18"/>
                <w:lang w:eastAsia="zh-CN"/>
              </w:rPr>
              <w:t xml:space="preserve">: bit (5) &gt; } </w:t>
            </w:r>
          </w:p>
          <w:p w14:paraId="100B7A91"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 (val(</w:t>
            </w:r>
            <w:r w:rsidRPr="004D0DAA">
              <w:rPr>
                <w:rFonts w:eastAsia="SimSun" w:cs="Arial"/>
                <w:b/>
                <w:bCs/>
                <w:szCs w:val="18"/>
                <w:lang w:eastAsia="zh-CN"/>
              </w:rPr>
              <w:t>N_PAIRS</w:t>
            </w:r>
            <w:r w:rsidRPr="004D0DAA">
              <w:rPr>
                <w:rFonts w:eastAsia="SimSun" w:cs="Arial"/>
                <w:szCs w:val="18"/>
                <w:lang w:eastAsia="zh-CN"/>
              </w:rPr>
              <w:t>) + 1)</w:t>
            </w:r>
          </w:p>
          <w:p w14:paraId="2369C1E0" w14:textId="77777777" w:rsidR="00711444" w:rsidRPr="004D0DAA" w:rsidRDefault="00711444" w:rsidP="00AA2A4C">
            <w:pPr>
              <w:pStyle w:val="TAL"/>
              <w:rPr>
                <w:rFonts w:eastAsia="SimSun" w:cs="Arial"/>
                <w:szCs w:val="18"/>
                <w:lang w:eastAsia="zh-CN"/>
              </w:rPr>
            </w:pPr>
            <w:r w:rsidRPr="004D0DAA">
              <w:rPr>
                <w:lang w:eastAsia="en-US"/>
              </w:rPr>
              <w:tab/>
            </w:r>
            <w:r w:rsidRPr="004D0DAA">
              <w:rPr>
                <w:lang w:eastAsia="en-US"/>
              </w:rPr>
              <w:tab/>
            </w:r>
            <w:r w:rsidRPr="004D0DAA">
              <w:rPr>
                <w:lang w:eastAsia="en-US"/>
              </w:rPr>
              <w:tab/>
              <w:t>}</w:t>
            </w:r>
          </w:p>
          <w:p w14:paraId="2B3F86DE"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w:t>
            </w:r>
          </w:p>
          <w:p w14:paraId="3F25B9FB" w14:textId="77777777" w:rsidR="00711444" w:rsidRPr="004D0DAA" w:rsidRDefault="00711444" w:rsidP="00AA2A4C">
            <w:pPr>
              <w:pStyle w:val="TAL"/>
              <w:rPr>
                <w:lang w:eastAsia="en-US"/>
              </w:rPr>
            </w:pPr>
            <w:r w:rsidRPr="004D0DAA">
              <w:rPr>
                <w:lang w:eastAsia="en-US"/>
              </w:rPr>
              <w:tab/>
              <w:t>} ;</w:t>
            </w:r>
          </w:p>
          <w:p w14:paraId="255CA907" w14:textId="77777777" w:rsidR="00711444" w:rsidRPr="004D0DAA" w:rsidRDefault="00711444" w:rsidP="00AA2A4C">
            <w:pPr>
              <w:pStyle w:val="TAL"/>
              <w:rPr>
                <w:lang w:eastAsia="en-US"/>
              </w:rPr>
            </w:pPr>
          </w:p>
        </w:tc>
      </w:tr>
    </w:tbl>
    <w:p w14:paraId="52117FF5" w14:textId="77777777" w:rsidR="00711444" w:rsidRPr="004D0DAA" w:rsidRDefault="00711444" w:rsidP="00711444"/>
    <w:p w14:paraId="0466BFB0" w14:textId="77777777" w:rsidR="00711444" w:rsidRPr="004D0DAA" w:rsidRDefault="00711444" w:rsidP="00711444">
      <w:pPr>
        <w:pStyle w:val="TH"/>
      </w:pPr>
      <w:r w:rsidRPr="004D0DAA">
        <w:t>Table 12.48a.4.2: Dynamic Allocation 2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12DB9432" w14:textId="77777777" w:rsidTr="00AA2A4C">
        <w:tblPrEx>
          <w:tblCellMar>
            <w:top w:w="0" w:type="dxa"/>
            <w:bottom w:w="0" w:type="dxa"/>
          </w:tblCellMar>
        </w:tblPrEx>
        <w:trPr>
          <w:cantSplit/>
          <w:trHeight w:val="113"/>
        </w:trPr>
        <w:tc>
          <w:tcPr>
            <w:tcW w:w="9848" w:type="dxa"/>
            <w:shd w:val="clear" w:color="auto" w:fill="auto"/>
          </w:tcPr>
          <w:p w14:paraId="74D462B4" w14:textId="77777777" w:rsidR="00711444" w:rsidRPr="004D0DAA" w:rsidRDefault="00711444" w:rsidP="00AA2A4C">
            <w:pPr>
              <w:rPr>
                <w:b/>
              </w:rPr>
            </w:pPr>
            <w:r w:rsidRPr="004D0DAA">
              <w:rPr>
                <w:b/>
              </w:rPr>
              <w:t>EXTENDED_DYNAMIC_ALLOCATION</w:t>
            </w:r>
            <w:r w:rsidRPr="004D0DAA">
              <w:t xml:space="preserve"> (1 bit field)</w:t>
            </w:r>
            <w:r w:rsidRPr="004D0DAA">
              <w:br/>
              <w:t>This information field indicates the medium access mode to be used during the TBF.</w:t>
            </w:r>
            <w:r w:rsidRPr="004D0DAA">
              <w:br/>
              <w:t>0</w:t>
            </w:r>
            <w:r w:rsidRPr="004D0DAA">
              <w:tab/>
              <w:t>Dynamic Allocation</w:t>
            </w:r>
            <w:r w:rsidRPr="004D0DAA">
              <w:br/>
              <w:t>1</w:t>
            </w:r>
            <w:r w:rsidRPr="004D0DAA">
              <w:tab/>
              <w:t>Extended Dynamic Allocation</w:t>
            </w:r>
          </w:p>
        </w:tc>
      </w:tr>
      <w:tr w:rsidR="00711444" w:rsidRPr="004D0DAA" w14:paraId="5A34363B" w14:textId="77777777" w:rsidTr="00AA2A4C">
        <w:tblPrEx>
          <w:tblCellMar>
            <w:top w:w="0" w:type="dxa"/>
            <w:bottom w:w="0" w:type="dxa"/>
          </w:tblCellMar>
        </w:tblPrEx>
        <w:trPr>
          <w:cantSplit/>
          <w:trHeight w:val="113"/>
        </w:trPr>
        <w:tc>
          <w:tcPr>
            <w:tcW w:w="9848" w:type="dxa"/>
            <w:shd w:val="clear" w:color="auto" w:fill="auto"/>
          </w:tcPr>
          <w:p w14:paraId="0CD0FEEF" w14:textId="77777777" w:rsidR="00711444" w:rsidRPr="004D0DAA" w:rsidRDefault="00711444" w:rsidP="00AA2A4C">
            <w:r w:rsidRPr="004D0DAA">
              <w:rPr>
                <w:b/>
              </w:rPr>
              <w:t>P0_C1, P0_C2</w:t>
            </w:r>
            <w:r w:rsidRPr="004D0DAA">
              <w:t xml:space="preserve"> (4 bit field)</w:t>
            </w:r>
            <w:r w:rsidRPr="004D0DAA">
              <w:br/>
              <w:t xml:space="preserve">These fields are optional downlink power control parameters. </w:t>
            </w:r>
          </w:p>
          <w:p w14:paraId="48D0D637" w14:textId="77777777" w:rsidR="00711444" w:rsidRPr="004D0DAA" w:rsidRDefault="00711444" w:rsidP="00AA2A4C">
            <w:r w:rsidRPr="004D0DAA">
              <w:t xml:space="preserve">If the Assignment Type field is present and indicates 'Dual Carrier assignment', P0_C1 and P0_C2 apply to carrier 1 and carrier 2, respectively. The presence of these parameters indicates that downlink power control is used for the indicated carrier; otherwise, downlink power control is not used for the indicated carrier. If the P0_C1 IE is present but the P0_C2 IE is absent, then the P0_C1 IE shall apply also to carrier 2. </w:t>
            </w:r>
          </w:p>
          <w:p w14:paraId="0EB6C916" w14:textId="77777777" w:rsidR="00711444" w:rsidRPr="004D0DAA" w:rsidRDefault="00711444" w:rsidP="00AA2A4C">
            <w:r w:rsidRPr="004D0DAA">
              <w:t>If the Assignment Type field is included and indicates 'Assignment on single carrier only' or 'Modification of existing assignment', then P0_C1 shall apply to the carrier specified in the Carrier ID field.</w:t>
            </w:r>
          </w:p>
          <w:p w14:paraId="154D00F3" w14:textId="77777777" w:rsidR="00711444" w:rsidRPr="004D0DAA" w:rsidRDefault="00711444" w:rsidP="00AA2A4C">
            <w:r w:rsidRPr="004D0DAA">
              <w:t>These fields are encoded as follows:</w:t>
            </w:r>
          </w:p>
          <w:p w14:paraId="462A2758" w14:textId="77777777" w:rsidR="00711444" w:rsidRPr="004D0DAA" w:rsidRDefault="00711444" w:rsidP="00AA2A4C">
            <w:pPr>
              <w:tabs>
                <w:tab w:val="left" w:pos="1134"/>
              </w:tabs>
              <w:rPr>
                <w:b/>
              </w:rPr>
            </w:pPr>
            <w:r w:rsidRPr="004D0DAA">
              <w:t>bit</w:t>
            </w:r>
            <w:r w:rsidRPr="004D0DAA">
              <w:br/>
              <w:t xml:space="preserve">4 3 2 1 </w:t>
            </w:r>
            <w:r w:rsidRPr="004D0DAA">
              <w:br/>
              <w:t>0 0 0 0</w:t>
            </w:r>
            <w:r w:rsidRPr="004D0DAA">
              <w:tab/>
              <w:t>P0 = 0 dB</w:t>
            </w:r>
            <w:r w:rsidRPr="004D0DAA">
              <w:br/>
              <w:t>0 0 0 1</w:t>
            </w:r>
            <w:r w:rsidRPr="004D0DAA">
              <w:tab/>
              <w:t>P0 = 2 dB</w:t>
            </w:r>
            <w:r w:rsidRPr="004D0DAA">
              <w:br/>
              <w:t>0 0 1 0</w:t>
            </w:r>
            <w:r w:rsidRPr="004D0DAA">
              <w:tab/>
              <w:t>P0 = 4 dB</w:t>
            </w:r>
            <w:r w:rsidRPr="004D0DAA">
              <w:br/>
              <w:t>:</w:t>
            </w:r>
            <w:r w:rsidRPr="004D0DAA">
              <w:br/>
              <w:t>1 1 1 1</w:t>
            </w:r>
            <w:r w:rsidRPr="004D0DAA">
              <w:tab/>
              <w:t>P0 = 30 dB</w:t>
            </w:r>
          </w:p>
        </w:tc>
      </w:tr>
      <w:tr w:rsidR="00711444" w:rsidRPr="004D0DAA" w14:paraId="5BBAEF7F" w14:textId="77777777" w:rsidTr="00AA2A4C">
        <w:tblPrEx>
          <w:tblCellMar>
            <w:top w:w="0" w:type="dxa"/>
            <w:bottom w:w="0" w:type="dxa"/>
          </w:tblCellMar>
        </w:tblPrEx>
        <w:trPr>
          <w:cantSplit/>
          <w:trHeight w:val="113"/>
        </w:trPr>
        <w:tc>
          <w:tcPr>
            <w:tcW w:w="9848" w:type="dxa"/>
            <w:shd w:val="clear" w:color="auto" w:fill="auto"/>
          </w:tcPr>
          <w:p w14:paraId="2011586B" w14:textId="77777777" w:rsidR="00711444" w:rsidRPr="004D0DAA" w:rsidRDefault="00711444" w:rsidP="00AA2A4C">
            <w:r w:rsidRPr="004D0DAA">
              <w:rPr>
                <w:b/>
              </w:rPr>
              <w:lastRenderedPageBreak/>
              <w:t xml:space="preserve">PR_MODE_C1, PR_MODE_C2 </w:t>
            </w:r>
            <w:r w:rsidRPr="004D0DAA">
              <w:t>(1 bit field)</w:t>
            </w:r>
            <w:r w:rsidRPr="004D0DAA">
              <w:br/>
              <w:t>These fields indicate the PR Management mode, as defined in 3GPP TS 45.008.</w:t>
            </w:r>
          </w:p>
          <w:p w14:paraId="5479B253" w14:textId="77777777" w:rsidR="00711444" w:rsidRPr="004D0DAA" w:rsidRDefault="00711444" w:rsidP="00AA2A4C">
            <w:pPr>
              <w:rPr>
                <w:b/>
              </w:rPr>
            </w:pPr>
            <w:r w:rsidRPr="004D0DAA">
              <w:t>If the Assignment Type field is included and indicates 'Assignment on single carrier only' or 'Modification of existing assignment', then PR_MODE_C1 shall apply to the carrier specified in the Carrier ID field. Otherwise, PR_MODE_C1 and PR_MODE_C2 shall apply to carrier 1 and carrier 2 respectively. If the Assignment Type field indicates 'Dual Carrier assignment and the PR_MODE_C1 IE is present but the PR_MODE_C2 IE is absent, then the PR_MODE_C1 IE shall apply also to carrier 2. It is encoded as follows:</w:t>
            </w:r>
            <w:r w:rsidRPr="004D0DAA">
              <w:br/>
              <w:t>0</w:t>
            </w:r>
            <w:r w:rsidRPr="004D0DAA">
              <w:tab/>
              <w:t>PR mode A: for one addressed MS</w:t>
            </w:r>
            <w:r w:rsidRPr="004D0DAA">
              <w:br/>
              <w:t>1</w:t>
            </w:r>
            <w:r w:rsidRPr="004D0DAA">
              <w:tab/>
              <w:t>PR mode B: for all MS</w:t>
            </w:r>
          </w:p>
        </w:tc>
      </w:tr>
      <w:tr w:rsidR="00711444" w:rsidRPr="004D0DAA" w14:paraId="6BE9A365" w14:textId="77777777" w:rsidTr="00AA2A4C">
        <w:tblPrEx>
          <w:tblCellMar>
            <w:top w:w="0" w:type="dxa"/>
            <w:bottom w:w="0" w:type="dxa"/>
          </w:tblCellMar>
        </w:tblPrEx>
        <w:trPr>
          <w:cantSplit/>
          <w:trHeight w:val="113"/>
        </w:trPr>
        <w:tc>
          <w:tcPr>
            <w:tcW w:w="9848" w:type="dxa"/>
            <w:shd w:val="clear" w:color="auto" w:fill="auto"/>
          </w:tcPr>
          <w:p w14:paraId="2D82B0B5"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09C1D3DE"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714AB0D7"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Pr>
        <w:tc>
          <w:tcPr>
            <w:tcW w:w="9848" w:type="dxa"/>
          </w:tcPr>
          <w:p w14:paraId="7D2E38EC" w14:textId="77777777" w:rsidR="00711444" w:rsidRPr="004D0DAA" w:rsidRDefault="00711444" w:rsidP="00AA2A4C">
            <w:pPr>
              <w:rPr>
                <w:b/>
              </w:rPr>
            </w:pPr>
            <w:r w:rsidRPr="004D0DAA">
              <w:rPr>
                <w:b/>
              </w:rPr>
              <w:t xml:space="preserve">UPLINK_TFI_ASSIGNMENT </w:t>
            </w:r>
            <w:r w:rsidRPr="004D0DAA">
              <w:t>(5 bit field)</w:t>
            </w:r>
            <w:r w:rsidRPr="004D0DAA">
              <w:br/>
              <w:t xml:space="preserve">This information element, if present, assigns the contained TFI to the mobile station to identify an uplink TBF described by this message. This field is coded the same as the TFI field defined in sub-clause 12.15. </w:t>
            </w:r>
          </w:p>
        </w:tc>
      </w:tr>
      <w:tr w:rsidR="00711444" w:rsidRPr="004D0DAA" w14:paraId="6E873E61"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Pr>
        <w:tc>
          <w:tcPr>
            <w:tcW w:w="9848" w:type="dxa"/>
          </w:tcPr>
          <w:p w14:paraId="596F12BA" w14:textId="77777777" w:rsidR="00711444" w:rsidRPr="004D0DAA" w:rsidRDefault="00711444" w:rsidP="00AA2A4C">
            <w:pPr>
              <w:spacing w:after="0"/>
            </w:pPr>
            <w:r w:rsidRPr="004D0DAA">
              <w:rPr>
                <w:b/>
              </w:rPr>
              <w:t xml:space="preserve">N_USF, N_TS </w:t>
            </w:r>
            <w:r w:rsidRPr="004D0DAA">
              <w:t>(4 bit field)</w:t>
            </w:r>
          </w:p>
          <w:p w14:paraId="152E55B2" w14:textId="77777777" w:rsidR="00711444" w:rsidRPr="004D0DAA" w:rsidRDefault="00711444" w:rsidP="00AA2A4C">
            <w:pPr>
              <w:spacing w:after="0"/>
            </w:pPr>
            <w:r w:rsidRPr="004D0DAA">
              <w:rPr>
                <w:b/>
              </w:rPr>
              <w:t>N_PAIRS</w:t>
            </w:r>
            <w:r w:rsidRPr="004D0DAA">
              <w:t xml:space="preserve"> (3 bit field)</w:t>
            </w:r>
          </w:p>
          <w:p w14:paraId="2D9A4543" w14:textId="77777777" w:rsidR="00711444" w:rsidRPr="004D0DAA" w:rsidRDefault="00711444" w:rsidP="00AA2A4C">
            <w:pPr>
              <w:spacing w:after="0"/>
            </w:pPr>
            <w:r w:rsidRPr="004D0DAA">
              <w:t>These fields indicate respectively the number of USF, timeslots or PDCH pairs assigned to a given uplink TBF. The number of timeslots or PDCH pairs is given as the binary value of the corresponding field plus one.</w:t>
            </w:r>
          </w:p>
          <w:p w14:paraId="125FECA4" w14:textId="77777777" w:rsidR="00711444" w:rsidRPr="004D0DAA" w:rsidRDefault="00711444" w:rsidP="00AA2A4C">
            <w:pPr>
              <w:spacing w:after="0"/>
            </w:pPr>
          </w:p>
          <w:p w14:paraId="05060621" w14:textId="77777777" w:rsidR="00711444" w:rsidRPr="004D0DAA" w:rsidRDefault="00711444" w:rsidP="00AA2A4C">
            <w:pPr>
              <w:spacing w:after="0"/>
            </w:pPr>
            <w:r w:rsidRPr="004D0DAA">
              <w:t>See Annex K for details of the coding of these fields.</w:t>
            </w:r>
          </w:p>
          <w:p w14:paraId="5325DC74" w14:textId="77777777" w:rsidR="00711444" w:rsidRPr="004D0DAA" w:rsidRDefault="00711444" w:rsidP="00AA2A4C">
            <w:pPr>
              <w:spacing w:after="0"/>
            </w:pPr>
          </w:p>
        </w:tc>
      </w:tr>
      <w:tr w:rsidR="00711444" w:rsidRPr="004D0DAA" w14:paraId="2812A801" w14:textId="77777777" w:rsidTr="00AA2A4C">
        <w:tblPrEx>
          <w:tblCellMar>
            <w:top w:w="0" w:type="dxa"/>
            <w:bottom w:w="0" w:type="dxa"/>
          </w:tblCellMar>
        </w:tblPrEx>
        <w:trPr>
          <w:cantSplit/>
          <w:trHeight w:val="113"/>
        </w:trPr>
        <w:tc>
          <w:tcPr>
            <w:tcW w:w="9848" w:type="dxa"/>
            <w:shd w:val="clear" w:color="auto" w:fill="auto"/>
          </w:tcPr>
          <w:p w14:paraId="55711330" w14:textId="77777777" w:rsidR="00711444" w:rsidRPr="004D0DAA" w:rsidRDefault="00711444" w:rsidP="00AA2A4C">
            <w:r w:rsidRPr="004D0DAA">
              <w:rPr>
                <w:b/>
              </w:rPr>
              <w:t>ALPHA_C1, ALPHA_C2</w:t>
            </w:r>
            <w:r w:rsidRPr="004D0DAA">
              <w:t xml:space="preserve"> (4 bit field)</w:t>
            </w:r>
            <w:r w:rsidRPr="004D0DAA">
              <w:br/>
              <w:t xml:space="preserve">If the Assignment Type field is included and indicates 'Assignment on single carrier only' or 'Modification of existing assignment', then ALPHA_C1 (if present) shall apply to the carrier specified in the Carrier ID field. </w:t>
            </w:r>
          </w:p>
          <w:p w14:paraId="6DF9ED54" w14:textId="77777777" w:rsidR="00711444" w:rsidRPr="004D0DAA" w:rsidRDefault="00711444" w:rsidP="00AA2A4C">
            <w:pPr>
              <w:rPr>
                <w:b/>
              </w:rPr>
            </w:pPr>
            <w:r w:rsidRPr="004D0DAA">
              <w:t>If the Assignment Type field is included and indicates 'Dual Carrier assignment', ALPHA_C1 and ALPHA_C2 indicate the value of the parameter alpha to be applied in power control on carrier 1 and carrier 2 respectively. For encoding and description see the Global Power Control Parameters IE. If ALPHA_C1 is present and ALPHA_C2 is absent, then ALPHA_C1 shall apply to carrier 2.</w:t>
            </w:r>
          </w:p>
        </w:tc>
      </w:tr>
      <w:tr w:rsidR="00711444" w:rsidRPr="004D0DAA" w14:paraId="31E44FAD" w14:textId="77777777" w:rsidTr="00AA2A4C">
        <w:tblPrEx>
          <w:tblCellMar>
            <w:top w:w="0" w:type="dxa"/>
            <w:bottom w:w="0" w:type="dxa"/>
          </w:tblCellMar>
        </w:tblPrEx>
        <w:trPr>
          <w:cantSplit/>
          <w:trHeight w:val="113"/>
        </w:trPr>
        <w:tc>
          <w:tcPr>
            <w:tcW w:w="9848" w:type="dxa"/>
            <w:shd w:val="clear" w:color="auto" w:fill="auto"/>
          </w:tcPr>
          <w:p w14:paraId="6EC3E4D5" w14:textId="77777777" w:rsidR="00711444" w:rsidRPr="004D0DAA" w:rsidRDefault="00711444" w:rsidP="00AA2A4C">
            <w:pPr>
              <w:spacing w:after="0"/>
              <w:rPr>
                <w:b/>
              </w:rPr>
            </w:pPr>
            <w:r w:rsidRPr="004D0DAA">
              <w:rPr>
                <w:b/>
              </w:rPr>
              <w:t xml:space="preserve">USF, USF_2 </w:t>
            </w:r>
            <w:r w:rsidRPr="004D0DAA">
              <w:t>(3 bit field)</w:t>
            </w:r>
          </w:p>
          <w:p w14:paraId="6C2EC19A" w14:textId="77777777" w:rsidR="00711444" w:rsidRPr="004D0DAA" w:rsidRDefault="00711444" w:rsidP="00AA2A4C">
            <w:pPr>
              <w:spacing w:after="0"/>
            </w:pPr>
            <w:r w:rsidRPr="004D0DAA">
              <w:t>These fields indicate the USF values assigned to a given TBF for the assigned timeslot or PDCH pair.</w:t>
            </w:r>
          </w:p>
          <w:p w14:paraId="58C62575" w14:textId="77777777" w:rsidR="00711444" w:rsidRPr="004D0DAA" w:rsidRDefault="00711444" w:rsidP="00AA2A4C">
            <w:pPr>
              <w:spacing w:after="0"/>
            </w:pPr>
          </w:p>
          <w:p w14:paraId="4497E4BA" w14:textId="77777777" w:rsidR="00711444" w:rsidRPr="004D0DAA" w:rsidRDefault="00711444" w:rsidP="00AA2A4C">
            <w:pPr>
              <w:spacing w:after="0"/>
            </w:pPr>
            <w:r w:rsidRPr="004D0DAA">
              <w:t>In the case of RTTI mode with BTTI USF, the USF value specified in the USF field (respectively USF_2 field) applies to the first two (respectively second two) TDMA frames of the following basic radio block period (see sub-clauses 8.1.1.1, 8.1.1.2.1).</w:t>
            </w:r>
          </w:p>
          <w:p w14:paraId="122E8AA4" w14:textId="77777777" w:rsidR="00711444" w:rsidRPr="004D0DAA" w:rsidRDefault="00711444" w:rsidP="00AA2A4C">
            <w:pPr>
              <w:spacing w:after="0"/>
            </w:pPr>
          </w:p>
          <w:p w14:paraId="1E896B9B" w14:textId="77777777" w:rsidR="00711444" w:rsidRPr="004D0DAA" w:rsidRDefault="00711444" w:rsidP="00AA2A4C">
            <w:pPr>
              <w:spacing w:after="0"/>
            </w:pPr>
            <w:r w:rsidRPr="004D0DAA">
              <w:t>These fields are encoded as a binary representation of the USF value as defined in sub-clause 10.4.1.</w:t>
            </w:r>
          </w:p>
          <w:p w14:paraId="18F1CB5D" w14:textId="77777777" w:rsidR="00711444" w:rsidRPr="004D0DAA" w:rsidRDefault="00711444" w:rsidP="00AA2A4C">
            <w:pPr>
              <w:spacing w:after="0"/>
            </w:pPr>
          </w:p>
          <w:p w14:paraId="0F136F27" w14:textId="77777777" w:rsidR="00711444" w:rsidRPr="004D0DAA" w:rsidRDefault="00711444" w:rsidP="00AA2A4C">
            <w:pPr>
              <w:spacing w:after="0"/>
            </w:pPr>
            <w:r w:rsidRPr="004D0DAA">
              <w:t>The order in which USF assignments are encoded and the meaning when the number of repetitions of the USF is lower than the maximum is described in Annex K.</w:t>
            </w:r>
          </w:p>
          <w:p w14:paraId="779BDFC4" w14:textId="77777777" w:rsidR="00711444" w:rsidRPr="004D0DAA" w:rsidRDefault="00711444" w:rsidP="00AA2A4C">
            <w:pPr>
              <w:spacing w:after="0"/>
            </w:pPr>
          </w:p>
        </w:tc>
      </w:tr>
      <w:tr w:rsidR="00711444" w:rsidRPr="004D0DAA" w14:paraId="0A9A7B90" w14:textId="77777777" w:rsidTr="00AA2A4C">
        <w:tblPrEx>
          <w:tblCellMar>
            <w:top w:w="0" w:type="dxa"/>
            <w:bottom w:w="0" w:type="dxa"/>
          </w:tblCellMar>
        </w:tblPrEx>
        <w:trPr>
          <w:cantSplit/>
          <w:trHeight w:val="113"/>
        </w:trPr>
        <w:tc>
          <w:tcPr>
            <w:tcW w:w="9848" w:type="dxa"/>
            <w:shd w:val="clear" w:color="auto" w:fill="auto"/>
          </w:tcPr>
          <w:p w14:paraId="1ED161DD" w14:textId="77777777" w:rsidR="00711444" w:rsidRPr="004D0DAA" w:rsidRDefault="00711444" w:rsidP="00AA2A4C">
            <w:r w:rsidRPr="004D0DAA">
              <w:rPr>
                <w:b/>
              </w:rPr>
              <w:lastRenderedPageBreak/>
              <w:t xml:space="preserve">GAMMA </w:t>
            </w:r>
            <w:r w:rsidRPr="004D0DAA">
              <w:t>(5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The field is coded according to the following table:</w:t>
            </w:r>
          </w:p>
          <w:p w14:paraId="61A40FBC"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p w14:paraId="6DFC7ED4" w14:textId="77777777" w:rsidR="00711444" w:rsidRPr="004D0DAA" w:rsidRDefault="00711444" w:rsidP="00AA2A4C">
            <w:pPr>
              <w:tabs>
                <w:tab w:val="left" w:pos="1134"/>
              </w:tabs>
              <w:rPr>
                <w:b/>
              </w:rPr>
            </w:pPr>
            <w:r w:rsidRPr="004D0DAA">
              <w:t xml:space="preserve">In the case of RTTI mode with BTTI USF, exactly one GAMMA field shall be included for each PDCH pair for which either one or two USF values are assigned. </w:t>
            </w:r>
          </w:p>
        </w:tc>
      </w:tr>
    </w:tbl>
    <w:p w14:paraId="6382F031" w14:textId="77777777" w:rsidR="00711444" w:rsidRPr="004D0DAA" w:rsidRDefault="00711444" w:rsidP="00711444">
      <w:pPr>
        <w:ind w:right="1"/>
      </w:pPr>
    </w:p>
    <w:p w14:paraId="31458070" w14:textId="77777777" w:rsidR="00711444" w:rsidRPr="004D0DAA" w:rsidRDefault="00711444" w:rsidP="00711444">
      <w:pPr>
        <w:pStyle w:val="Heading3"/>
      </w:pPr>
      <w:bookmarkStart w:id="841" w:name="_Toc516670017"/>
      <w:r w:rsidRPr="004D0DAA">
        <w:t>12.48a.5</w:t>
      </w:r>
      <w:r w:rsidRPr="004D0DAA">
        <w:tab/>
        <w:t>Multiple Downlink Assignment 2</w:t>
      </w:r>
      <w:bookmarkEnd w:id="841"/>
    </w:p>
    <w:p w14:paraId="525D0D19" w14:textId="77777777" w:rsidR="00711444" w:rsidRPr="004D0DAA" w:rsidRDefault="00711444" w:rsidP="00711444">
      <w:pPr>
        <w:ind w:right="1"/>
      </w:pPr>
      <w:r w:rsidRPr="004D0DAA">
        <w:t>This information element provides the description of downlink radio resources assigned for PS services in a dual carrier configuration or supporting EGPRS2, Fast Ack/Nack Reporting or RTTI configurations for a multiple TBF capable mobile station.</w:t>
      </w:r>
    </w:p>
    <w:p w14:paraId="56CC4BB3" w14:textId="77777777" w:rsidR="00711444" w:rsidRPr="004D0DAA" w:rsidRDefault="00711444" w:rsidP="00711444">
      <w:pPr>
        <w:ind w:right="1"/>
      </w:pPr>
      <w:r w:rsidRPr="004D0DAA">
        <w:t>This information element shall only be used by the network for assigning resources to a mobile station supporting  multiple TBF procedures in A/Gb mode (see sub-clauses 11.2.37, 12.42a and 12.48 and 3GPP TS 24.008).</w:t>
      </w:r>
    </w:p>
    <w:p w14:paraId="76810723" w14:textId="77777777" w:rsidR="00711444" w:rsidRPr="004D0DAA" w:rsidRDefault="00711444" w:rsidP="00711444">
      <w:pPr>
        <w:ind w:right="1"/>
      </w:pPr>
    </w:p>
    <w:p w14:paraId="4EFBC63F" w14:textId="77777777" w:rsidR="00711444" w:rsidRPr="004D0DAA" w:rsidRDefault="00711444" w:rsidP="00711444">
      <w:pPr>
        <w:pStyle w:val="TH"/>
      </w:pPr>
      <w:r w:rsidRPr="004D0DAA">
        <w:lastRenderedPageBreak/>
        <w:t>Table 12.48a.5.1: Multiple Downlink Assignment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0B71EBE" w14:textId="77777777" w:rsidTr="00AA2A4C">
        <w:tblPrEx>
          <w:tblCellMar>
            <w:top w:w="0" w:type="dxa"/>
            <w:bottom w:w="0" w:type="dxa"/>
          </w:tblCellMar>
        </w:tblPrEx>
        <w:trPr>
          <w:cantSplit/>
        </w:trPr>
        <w:tc>
          <w:tcPr>
            <w:tcW w:w="9848" w:type="dxa"/>
          </w:tcPr>
          <w:p w14:paraId="2BF13488" w14:textId="77777777" w:rsidR="00711444" w:rsidRPr="004D0DAA" w:rsidRDefault="00711444" w:rsidP="00AA2A4C">
            <w:pPr>
              <w:pStyle w:val="TAL"/>
              <w:rPr>
                <w:lang w:eastAsia="en-US"/>
              </w:rPr>
            </w:pPr>
            <w:r w:rsidRPr="004D0DAA">
              <w:rPr>
                <w:lang w:eastAsia="en-US"/>
              </w:rPr>
              <w:t>&lt; Multiple Downlink Assignment 2 IE &gt; ::=</w:t>
            </w:r>
          </w:p>
          <w:p w14:paraId="5F79107C"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Downlink EGPRS Window Size</w:t>
            </w:r>
            <w:r w:rsidRPr="004D0DAA">
              <w:rPr>
                <w:bCs/>
                <w:lang w:eastAsia="en-US"/>
              </w:rPr>
              <w:t xml:space="preserve"> </w:t>
            </w:r>
            <w:r w:rsidRPr="004D0DAA">
              <w:rPr>
                <w:lang w:eastAsia="en-US"/>
              </w:rPr>
              <w:t>: &lt; EGPRS Window Size IE &gt; &gt; }</w:t>
            </w:r>
          </w:p>
          <w:p w14:paraId="427A3F0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LINK_QUALITY_MEASUREMENT_MODE</w:t>
            </w:r>
            <w:r w:rsidRPr="004D0DAA">
              <w:rPr>
                <w:lang w:eastAsia="en-US"/>
              </w:rPr>
              <w:t xml:space="preserve"> : bit (2) &gt;</w:t>
            </w:r>
          </w:p>
          <w:p w14:paraId="66D11BE0" w14:textId="77777777" w:rsidR="00711444" w:rsidRPr="004D0DAA" w:rsidRDefault="00711444" w:rsidP="00AA2A4C">
            <w:pPr>
              <w:pStyle w:val="TAL"/>
              <w:rPr>
                <w:iCs/>
                <w:lang w:eastAsia="en-US"/>
              </w:rPr>
            </w:pPr>
            <w:r w:rsidRPr="004D0DAA">
              <w:rPr>
                <w:lang w:eastAsia="en-US"/>
              </w:rPr>
              <w:tab/>
              <w:t xml:space="preserve">&lt; </w:t>
            </w:r>
            <w:r w:rsidRPr="004D0DAA">
              <w:rPr>
                <w:b/>
                <w:lang w:eastAsia="en-US"/>
              </w:rPr>
              <w:t>Downlink</w:t>
            </w:r>
            <w:r w:rsidRPr="004D0DAA">
              <w:rPr>
                <w:lang w:eastAsia="en-US"/>
              </w:rPr>
              <w:t xml:space="preserve"> </w:t>
            </w:r>
            <w:r w:rsidRPr="004D0DAA">
              <w:rPr>
                <w:b/>
                <w:lang w:eastAsia="en-US"/>
              </w:rPr>
              <w:t>EGPRS Level</w:t>
            </w:r>
            <w:r w:rsidRPr="004D0DAA">
              <w:rPr>
                <w:lang w:eastAsia="en-US"/>
              </w:rPr>
              <w:t>: &lt; EGPRS Level IE &gt; &gt;</w:t>
            </w:r>
          </w:p>
          <w:p w14:paraId="7F2757E2" w14:textId="77777777" w:rsidR="00711444" w:rsidRPr="004D0DAA" w:rsidRDefault="00711444" w:rsidP="00AA2A4C">
            <w:pPr>
              <w:pStyle w:val="TAL"/>
              <w:rPr>
                <w:lang w:eastAsia="en-US"/>
              </w:rPr>
            </w:pPr>
            <w:r w:rsidRPr="004D0DAA">
              <w:rPr>
                <w:lang w:eastAsia="en-US"/>
              </w:rPr>
              <w:tab/>
              <w:t>{ 0</w:t>
            </w:r>
            <w:r w:rsidRPr="004D0DAA">
              <w:rPr>
                <w:rFonts w:hint="eastAsia"/>
                <w:lang w:eastAsia="zh-CN"/>
              </w:rPr>
              <w:t xml:space="preserve"> | 1</w:t>
            </w:r>
            <w:r w:rsidRPr="004D0DAA">
              <w:rPr>
                <w:lang w:eastAsia="en-US"/>
              </w:rPr>
              <w:tab/>
            </w:r>
            <w:r w:rsidRPr="004D0DAA">
              <w:rPr>
                <w:lang w:eastAsia="en-US"/>
              </w:rPr>
              <w:tab/>
            </w:r>
            <w:r w:rsidRPr="004D0DAA">
              <w:rPr>
                <w:lang w:eastAsia="en-US"/>
              </w:rPr>
              <w:tab/>
              <w:t xml:space="preserve">-- </w:t>
            </w:r>
            <w:r w:rsidRPr="004D0DAA">
              <w:rPr>
                <w:i/>
                <w:iCs/>
                <w:lang w:eastAsia="en-US"/>
              </w:rPr>
              <w:t>BTTI mode</w:t>
            </w:r>
          </w:p>
          <w:p w14:paraId="23636E71" w14:textId="77777777" w:rsidR="00711444" w:rsidRPr="004D0DAA" w:rsidRDefault="00711444" w:rsidP="00AA2A4C">
            <w:pPr>
              <w:pStyle w:val="TAL"/>
              <w:rPr>
                <w:rFonts w:hint="eastAsia"/>
                <w:lang w:eastAsia="ko-KR"/>
              </w:rPr>
            </w:pPr>
            <w:r w:rsidRPr="004D0DAA">
              <w:rPr>
                <w:lang w:eastAsia="en-US"/>
              </w:rPr>
              <w:tab/>
            </w:r>
            <w:r w:rsidRPr="004D0DAA">
              <w:rPr>
                <w:lang w:eastAsia="en-US"/>
              </w:rPr>
              <w:tab/>
              <w:t xml:space="preserve">&lt; </w:t>
            </w:r>
            <w:r w:rsidRPr="004D0DAA">
              <w:rPr>
                <w:b/>
                <w:lang w:eastAsia="en-US"/>
              </w:rPr>
              <w:t>FANR</w:t>
            </w:r>
            <w:r w:rsidRPr="004D0DAA">
              <w:rPr>
                <w:lang w:eastAsia="en-US"/>
              </w:rPr>
              <w:t>: bit (1) &gt;</w:t>
            </w:r>
          </w:p>
          <w:p w14:paraId="3890A9E9"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t xml:space="preserve">&lt; </w:t>
            </w:r>
            <w:r w:rsidRPr="004D0DAA">
              <w:rPr>
                <w:b/>
                <w:bCs/>
                <w:lang w:eastAsia="en-US"/>
              </w:rPr>
              <w:t>BTTI</w:t>
            </w:r>
            <w:r w:rsidRPr="004D0DAA">
              <w:rPr>
                <w:rFonts w:hint="eastAsia"/>
                <w:lang w:eastAsia="ko-KR"/>
              </w:rPr>
              <w:t xml:space="preserve"> </w:t>
            </w:r>
            <w:r w:rsidRPr="004D0DAA">
              <w:rPr>
                <w:b/>
                <w:bCs/>
                <w:lang w:eastAsia="en-US"/>
              </w:rPr>
              <w:t>Multiple Downlink Assignment</w:t>
            </w:r>
            <w:r w:rsidRPr="004D0DAA">
              <w:rPr>
                <w:lang w:eastAsia="en-US"/>
              </w:rPr>
              <w:t xml:space="preserve"> : &lt; BTTI Multiple Downlink Assignment struct &gt; &gt; } ** 0 </w:t>
            </w:r>
          </w:p>
          <w:p w14:paraId="20D326B7" w14:textId="77777777" w:rsidR="00711444" w:rsidRPr="004D0DAA" w:rsidRDefault="00711444" w:rsidP="00AA2A4C">
            <w:pPr>
              <w:pStyle w:val="TAL"/>
              <w:rPr>
                <w:lang w:eastAsia="en-US"/>
              </w:rPr>
            </w:pPr>
            <w:r w:rsidRPr="004D0DAA">
              <w:rPr>
                <w:lang w:eastAsia="en-US"/>
              </w:rPr>
              <w:tab/>
              <w:t>}</w:t>
            </w:r>
          </w:p>
          <w:p w14:paraId="5F80F081" w14:textId="77777777" w:rsidR="00711444" w:rsidRPr="004D0DAA" w:rsidRDefault="00711444" w:rsidP="00AA2A4C">
            <w:pPr>
              <w:pStyle w:val="TAL"/>
              <w:rPr>
                <w:i/>
                <w:iCs/>
                <w:lang w:eastAsia="en-US"/>
              </w:rPr>
            </w:pPr>
            <w:r w:rsidRPr="004D0DAA">
              <w:rPr>
                <w:lang w:eastAsia="en-US"/>
              </w:rPr>
              <w:tab/>
            </w:r>
            <w:r w:rsidRPr="004D0DAA">
              <w:rPr>
                <w:rFonts w:hint="eastAsia"/>
                <w:lang w:eastAsia="zh-CN"/>
              </w:rPr>
              <w:t xml:space="preserve">{ 0 </w:t>
            </w:r>
            <w:r w:rsidRPr="004D0DAA">
              <w:rPr>
                <w:lang w:eastAsia="en-US"/>
              </w:rPr>
              <w:t xml:space="preserve">| 1 </w:t>
            </w:r>
            <w:r w:rsidRPr="004D0DAA">
              <w:rPr>
                <w:lang w:eastAsia="en-US"/>
              </w:rPr>
              <w:tab/>
            </w:r>
            <w:r w:rsidRPr="004D0DAA">
              <w:rPr>
                <w:lang w:eastAsia="en-US"/>
              </w:rPr>
              <w:tab/>
            </w:r>
            <w:r w:rsidRPr="004D0DAA">
              <w:rPr>
                <w:lang w:eastAsia="en-US"/>
              </w:rPr>
              <w:tab/>
              <w:t xml:space="preserve">-- </w:t>
            </w:r>
            <w:r w:rsidRPr="004D0DAA">
              <w:rPr>
                <w:i/>
                <w:iCs/>
                <w:lang w:eastAsia="en-US"/>
              </w:rPr>
              <w:t>RTTI mode</w:t>
            </w:r>
          </w:p>
          <w:p w14:paraId="70975D47" w14:textId="77777777" w:rsidR="00711444" w:rsidRPr="004D0DAA" w:rsidRDefault="00711444" w:rsidP="00AA2A4C">
            <w:pPr>
              <w:pStyle w:val="TAL"/>
              <w:rPr>
                <w:i/>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lang w:eastAsia="en-US"/>
              </w:rPr>
              <w:t>Single Carrier Assignment</w:t>
            </w:r>
          </w:p>
          <w:p w14:paraId="79E2538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D</w:t>
            </w:r>
            <w:r w:rsidRPr="004D0DAA">
              <w:rPr>
                <w:i/>
                <w:iCs/>
                <w:szCs w:val="18"/>
                <w:lang w:eastAsia="en-US"/>
              </w:rPr>
              <w:t>efault PDCH-pair configuration</w:t>
            </w:r>
          </w:p>
          <w:p w14:paraId="7AAAF05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 xml:space="preserve">Unchanged </w:t>
            </w:r>
          </w:p>
          <w:p w14:paraId="0AD3A136"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73DC597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xml:space="preserve">: bit (8) &gt; </w:t>
            </w:r>
          </w:p>
          <w:p w14:paraId="67617463"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20BAD681"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3AC3D2D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w:t>
            </w:r>
          </w:p>
          <w:p w14:paraId="057CD3A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bCs/>
                <w:lang w:eastAsia="en-US"/>
              </w:rPr>
              <w:t>RTTI Multiple Downlink Assignment SC</w:t>
            </w:r>
            <w:r w:rsidRPr="004D0DAA">
              <w:rPr>
                <w:lang w:eastAsia="en-US"/>
              </w:rPr>
              <w:t xml:space="preserve"> : RTTI Multiple Downlink</w:t>
            </w:r>
            <w:r w:rsidRPr="004D0DAA">
              <w:rPr>
                <w:b/>
                <w:bCs/>
                <w:lang w:eastAsia="en-US"/>
              </w:rPr>
              <w:t xml:space="preserve"> </w:t>
            </w:r>
            <w:r w:rsidRPr="004D0DAA">
              <w:rPr>
                <w:lang w:eastAsia="en-US"/>
              </w:rPr>
              <w:t>Assignment SC struct &gt; &gt; } ** 0</w:t>
            </w:r>
          </w:p>
          <w:p w14:paraId="20D195ED" w14:textId="77777777" w:rsidR="00711444" w:rsidRPr="004D0DAA" w:rsidRDefault="00711444" w:rsidP="00AA2A4C">
            <w:pPr>
              <w:pStyle w:val="TAL"/>
              <w:rPr>
                <w:i/>
                <w:lang w:eastAsia="en-US"/>
              </w:rPr>
            </w:pPr>
            <w:r w:rsidRPr="004D0DAA">
              <w:rPr>
                <w:szCs w:val="18"/>
                <w:lang w:eastAsia="en-US"/>
              </w:rPr>
              <w:tab/>
            </w:r>
            <w:r w:rsidRPr="004D0DAA">
              <w:rPr>
                <w:szCs w:val="18"/>
                <w:lang w:eastAsia="en-US"/>
              </w:rPr>
              <w:tab/>
              <w:t>| 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r>
            <w:r w:rsidRPr="004D0DAA">
              <w:rPr>
                <w:lang w:eastAsia="en-US"/>
              </w:rPr>
              <w:t xml:space="preserve">-- </w:t>
            </w:r>
            <w:r w:rsidRPr="004D0DAA">
              <w:rPr>
                <w:i/>
                <w:lang w:eastAsia="en-US"/>
              </w:rPr>
              <w:t>Dual  Carrier Assignment</w:t>
            </w:r>
          </w:p>
          <w:p w14:paraId="2371652A"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00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Default PDCH pair configuration</w:t>
            </w:r>
          </w:p>
          <w:p w14:paraId="5042BB59"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01</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szCs w:val="18"/>
                <w:lang w:eastAsia="en-US"/>
              </w:rPr>
              <w:t>Unchanged</w:t>
            </w:r>
          </w:p>
          <w:p w14:paraId="2B1A1CE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t>| 10</w:t>
            </w: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 </w:t>
            </w:r>
            <w:r w:rsidRPr="004D0DAA">
              <w:rPr>
                <w:i/>
                <w:iCs/>
                <w:szCs w:val="18"/>
                <w:lang w:eastAsia="en-US"/>
              </w:rPr>
              <w:t>Explicit PDCH pair configuration</w:t>
            </w:r>
          </w:p>
          <w:p w14:paraId="23D4708A"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DOWNLINK_PDCH_PAIRS_C1 </w:t>
            </w:r>
            <w:r w:rsidRPr="004D0DAA">
              <w:rPr>
                <w:szCs w:val="18"/>
                <w:lang w:eastAsia="en-US"/>
              </w:rPr>
              <w:t>: bit (8) &gt;</w:t>
            </w:r>
          </w:p>
          <w:p w14:paraId="27EE19B4"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DOWNLINK_PDCH_PAIRS_C2</w:t>
            </w:r>
            <w:r w:rsidRPr="004D0DAA">
              <w:rPr>
                <w:szCs w:val="18"/>
                <w:lang w:eastAsia="en-US"/>
              </w:rPr>
              <w:t xml:space="preserve"> : bit (8) &gt;</w:t>
            </w:r>
          </w:p>
          <w:p w14:paraId="745CD160"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 xml:space="preserve">UPLINK_PDCH_PAIRS_C1 </w:t>
            </w:r>
            <w:r w:rsidRPr="004D0DAA">
              <w:rPr>
                <w:szCs w:val="18"/>
                <w:lang w:eastAsia="en-US"/>
              </w:rPr>
              <w:t>: bit (8) &gt;</w:t>
            </w:r>
          </w:p>
          <w:p w14:paraId="27D9388D" w14:textId="77777777" w:rsidR="00711444" w:rsidRPr="004D0DAA" w:rsidRDefault="00711444" w:rsidP="00AA2A4C">
            <w:pPr>
              <w:pStyle w:val="TAL"/>
              <w:rPr>
                <w:szCs w:val="18"/>
                <w:lang w:eastAsia="en-US"/>
              </w:rPr>
            </w:pPr>
            <w:r w:rsidRPr="004D0DAA">
              <w:rPr>
                <w:szCs w:val="18"/>
                <w:lang w:eastAsia="en-US"/>
              </w:rPr>
              <w:tab/>
            </w:r>
            <w:r w:rsidRPr="004D0DAA">
              <w:rPr>
                <w:szCs w:val="18"/>
                <w:lang w:eastAsia="en-US"/>
              </w:rPr>
              <w:tab/>
            </w:r>
            <w:r w:rsidRPr="004D0DAA">
              <w:rPr>
                <w:szCs w:val="18"/>
                <w:lang w:eastAsia="en-US"/>
              </w:rPr>
              <w:tab/>
            </w:r>
            <w:r w:rsidRPr="004D0DAA">
              <w:rPr>
                <w:szCs w:val="18"/>
                <w:lang w:eastAsia="en-US"/>
              </w:rPr>
              <w:tab/>
              <w:t xml:space="preserve">&lt; </w:t>
            </w:r>
            <w:r w:rsidRPr="004D0DAA">
              <w:rPr>
                <w:b/>
                <w:bCs/>
                <w:szCs w:val="18"/>
                <w:lang w:eastAsia="en-US"/>
              </w:rPr>
              <w:t>UPLINK_PDCH_PAIRS_C2</w:t>
            </w:r>
            <w:r w:rsidRPr="004D0DAA">
              <w:rPr>
                <w:szCs w:val="18"/>
                <w:lang w:eastAsia="en-US"/>
              </w:rPr>
              <w:t xml:space="preserve"> : bit (8) &gt;</w:t>
            </w:r>
          </w:p>
          <w:p w14:paraId="535B499F" w14:textId="77777777" w:rsidR="00711444" w:rsidRPr="004D0DAA" w:rsidRDefault="00711444" w:rsidP="00AA2A4C">
            <w:pPr>
              <w:pStyle w:val="TAL"/>
              <w:rPr>
                <w:i/>
                <w:iCs/>
                <w:szCs w:val="18"/>
                <w:lang w:eastAsia="en-US"/>
              </w:rPr>
            </w:pPr>
            <w:r w:rsidRPr="004D0DAA">
              <w:rPr>
                <w:szCs w:val="18"/>
                <w:lang w:eastAsia="en-US"/>
              </w:rPr>
              <w:tab/>
            </w:r>
            <w:r w:rsidRPr="004D0DAA">
              <w:rPr>
                <w:szCs w:val="18"/>
                <w:lang w:eastAsia="en-US"/>
              </w:rPr>
              <w:tab/>
            </w:r>
            <w:r w:rsidRPr="004D0DAA">
              <w:rPr>
                <w:szCs w:val="18"/>
                <w:lang w:eastAsia="en-US"/>
              </w:rPr>
              <w:tab/>
              <w:t xml:space="preserve">! &lt; PDCH pairs configuration error : { 1 1 } bit (*) = &lt; no string &gt; &gt;  </w:t>
            </w:r>
            <w:r w:rsidRPr="004D0DAA">
              <w:rPr>
                <w:szCs w:val="18"/>
                <w:lang w:eastAsia="en-US"/>
              </w:rPr>
              <w:tab/>
            </w:r>
            <w:r w:rsidRPr="004D0DAA">
              <w:rPr>
                <w:szCs w:val="18"/>
                <w:lang w:eastAsia="en-US"/>
              </w:rPr>
              <w:tab/>
              <w:t xml:space="preserve">-- </w:t>
            </w:r>
            <w:r w:rsidRPr="004D0DAA">
              <w:rPr>
                <w:i/>
                <w:iCs/>
                <w:szCs w:val="18"/>
                <w:lang w:eastAsia="en-US"/>
              </w:rPr>
              <w:t>reserved</w:t>
            </w:r>
          </w:p>
          <w:p w14:paraId="70242EC7" w14:textId="77777777" w:rsidR="00711444" w:rsidRPr="004D0DAA" w:rsidRDefault="00711444" w:rsidP="00AA2A4C">
            <w:pPr>
              <w:pStyle w:val="TAL"/>
              <w:rPr>
                <w:szCs w:val="18"/>
                <w:lang w:eastAsia="en-US"/>
              </w:rPr>
            </w:pPr>
            <w:r w:rsidRPr="004D0DAA">
              <w:rPr>
                <w:i/>
                <w:szCs w:val="18"/>
                <w:lang w:eastAsia="en-US"/>
              </w:rPr>
              <w:tab/>
            </w:r>
            <w:r w:rsidRPr="004D0DAA">
              <w:rPr>
                <w:i/>
                <w:szCs w:val="18"/>
                <w:lang w:eastAsia="en-US"/>
              </w:rPr>
              <w:tab/>
            </w:r>
            <w:r w:rsidRPr="004D0DAA">
              <w:rPr>
                <w:i/>
                <w:szCs w:val="18"/>
                <w:lang w:eastAsia="en-US"/>
              </w:rPr>
              <w:tab/>
            </w:r>
            <w:r w:rsidRPr="004D0DAA">
              <w:rPr>
                <w:szCs w:val="18"/>
                <w:lang w:eastAsia="en-US"/>
              </w:rPr>
              <w:t>}</w:t>
            </w:r>
          </w:p>
          <w:p w14:paraId="37237637" w14:textId="77777777" w:rsidR="00711444" w:rsidRPr="004D0DAA" w:rsidRDefault="00711444" w:rsidP="00AA2A4C">
            <w:pPr>
              <w:pStyle w:val="TAL"/>
              <w:rPr>
                <w:lang w:eastAsia="en-US"/>
              </w:rPr>
            </w:pPr>
            <w:r w:rsidRPr="004D0DAA">
              <w:rPr>
                <w:i/>
                <w:iCs/>
                <w:lang w:eastAsia="en-US"/>
              </w:rPr>
              <w:tab/>
            </w:r>
            <w:r w:rsidRPr="004D0DAA">
              <w:rPr>
                <w:i/>
                <w:iCs/>
                <w:lang w:eastAsia="en-US"/>
              </w:rPr>
              <w:tab/>
            </w:r>
            <w:r w:rsidRPr="004D0DAA">
              <w:rPr>
                <w:i/>
                <w:iCs/>
                <w:lang w:eastAsia="en-US"/>
              </w:rPr>
              <w:tab/>
            </w:r>
            <w:r w:rsidRPr="004D0DAA">
              <w:rPr>
                <w:lang w:eastAsia="en-US"/>
              </w:rPr>
              <w:t>{ 1</w:t>
            </w:r>
            <w:r w:rsidRPr="004D0DAA">
              <w:rPr>
                <w:lang w:eastAsia="en-US"/>
              </w:rPr>
              <w:tab/>
              <w:t xml:space="preserve">&lt; </w:t>
            </w:r>
            <w:r w:rsidRPr="004D0DAA">
              <w:rPr>
                <w:b/>
                <w:bCs/>
                <w:lang w:eastAsia="en-US"/>
              </w:rPr>
              <w:t>RTTI Multiple Downlink Assignment DC</w:t>
            </w:r>
            <w:r w:rsidRPr="004D0DAA">
              <w:rPr>
                <w:lang w:eastAsia="en-US"/>
              </w:rPr>
              <w:t xml:space="preserve"> : &lt; RTTI Multiple Downlink Assignment DC struct &gt; &gt; } ** 0</w:t>
            </w:r>
          </w:p>
          <w:p w14:paraId="667AE170" w14:textId="77777777" w:rsidR="00711444" w:rsidRPr="004D0DAA" w:rsidRDefault="00711444" w:rsidP="00AA2A4C">
            <w:pPr>
              <w:pStyle w:val="TAL"/>
              <w:rPr>
                <w:szCs w:val="18"/>
                <w:lang w:eastAsia="en-US"/>
              </w:rPr>
            </w:pPr>
            <w:r w:rsidRPr="004D0DAA">
              <w:rPr>
                <w:lang w:eastAsia="en-US"/>
              </w:rPr>
              <w:tab/>
            </w:r>
            <w:r w:rsidRPr="004D0DAA">
              <w:rPr>
                <w:lang w:eastAsia="en-US"/>
              </w:rPr>
              <w:tab/>
              <w:t>}</w:t>
            </w:r>
          </w:p>
          <w:p w14:paraId="13276E24" w14:textId="77777777" w:rsidR="00711444" w:rsidRPr="004D0DAA" w:rsidRDefault="00711444" w:rsidP="00AA2A4C">
            <w:pPr>
              <w:pStyle w:val="TAL"/>
              <w:rPr>
                <w:lang w:eastAsia="en-US"/>
              </w:rPr>
            </w:pPr>
            <w:r w:rsidRPr="004D0DAA">
              <w:rPr>
                <w:lang w:eastAsia="en-US"/>
              </w:rPr>
              <w:tab/>
              <w:t>} ;</w:t>
            </w:r>
          </w:p>
          <w:p w14:paraId="6AB9167E" w14:textId="77777777" w:rsidR="00711444" w:rsidRPr="004D0DAA" w:rsidRDefault="00711444" w:rsidP="00AA2A4C">
            <w:pPr>
              <w:pStyle w:val="TAL"/>
              <w:rPr>
                <w:lang w:eastAsia="en-US"/>
              </w:rPr>
            </w:pPr>
          </w:p>
          <w:p w14:paraId="59A0E18C" w14:textId="77777777" w:rsidR="00711444" w:rsidRPr="004D0DAA" w:rsidRDefault="00711444" w:rsidP="00AA2A4C">
            <w:pPr>
              <w:pStyle w:val="TAL"/>
              <w:rPr>
                <w:lang w:eastAsia="en-US"/>
              </w:rPr>
            </w:pPr>
            <w:r w:rsidRPr="004D0DAA">
              <w:rPr>
                <w:lang w:eastAsia="en-US"/>
              </w:rPr>
              <w:t>&lt; BTTI Multiple Downlink Assignment struct &gt; ::=</w:t>
            </w:r>
          </w:p>
          <w:p w14:paraId="0BF9A8C8"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TIMESLOT_ALLOCATION_C1 </w:t>
            </w:r>
            <w:r w:rsidRPr="004D0DAA">
              <w:rPr>
                <w:lang w:eastAsia="en-US"/>
              </w:rPr>
              <w:t>: bit (8) &gt;</w:t>
            </w:r>
          </w:p>
          <w:p w14:paraId="03CCA9DF"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 xml:space="preserve">TIMESLOT_ALLOCATION_C2 </w:t>
            </w:r>
            <w:r w:rsidRPr="004D0DAA">
              <w:rPr>
                <w:lang w:eastAsia="en-US"/>
              </w:rPr>
              <w:t>: bit (8) &gt; }</w:t>
            </w:r>
          </w:p>
          <w:p w14:paraId="5D9D7FBD"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7E3A6A8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2216647D"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5019CAFA" w14:textId="77777777" w:rsidR="00711444" w:rsidRPr="004D0DAA" w:rsidRDefault="00711444" w:rsidP="00AA2A4C">
            <w:pPr>
              <w:pStyle w:val="TAL"/>
              <w:rPr>
                <w:lang w:eastAsia="en-US"/>
              </w:rPr>
            </w:pPr>
          </w:p>
          <w:p w14:paraId="088CC22C" w14:textId="77777777" w:rsidR="00711444" w:rsidRPr="004D0DAA" w:rsidRDefault="00711444" w:rsidP="00AA2A4C">
            <w:pPr>
              <w:pStyle w:val="TAL"/>
              <w:rPr>
                <w:lang w:eastAsia="en-US"/>
              </w:rPr>
            </w:pPr>
            <w:r w:rsidRPr="004D0DAA">
              <w:rPr>
                <w:lang w:eastAsia="en-US"/>
              </w:rPr>
              <w:t>&lt; RTTI Multiple Downlink Assignment SC struct &gt; ::=</w:t>
            </w:r>
          </w:p>
          <w:p w14:paraId="1B01D44C"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RTTI_DOWNLINK_PDCH_PAIR_ASSIGNMENT_SC </w:t>
            </w:r>
            <w:r w:rsidRPr="004D0DAA">
              <w:rPr>
                <w:szCs w:val="18"/>
                <w:lang w:eastAsia="en-US"/>
              </w:rPr>
              <w:t>: bit (4) &gt;</w:t>
            </w:r>
          </w:p>
          <w:p w14:paraId="303A37EF"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44809AE0"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14C24F0E" w14:textId="77777777" w:rsidR="00711444" w:rsidRPr="004D0DAA" w:rsidRDefault="00711444" w:rsidP="00AA2A4C">
            <w:pPr>
              <w:pStyle w:val="TAL"/>
              <w:rPr>
                <w:lang w:eastAsia="en-US"/>
              </w:rPr>
            </w:pPr>
          </w:p>
          <w:p w14:paraId="7D5F9117" w14:textId="77777777" w:rsidR="00711444" w:rsidRPr="004D0DAA" w:rsidRDefault="00711444" w:rsidP="00AA2A4C">
            <w:pPr>
              <w:pStyle w:val="TAL"/>
              <w:rPr>
                <w:lang w:eastAsia="en-US"/>
              </w:rPr>
            </w:pPr>
            <w:r w:rsidRPr="004D0DAA">
              <w:rPr>
                <w:lang w:eastAsia="en-US"/>
              </w:rPr>
              <w:t>&lt; RTTI Multiple Downlink Assignment DC struct &gt; ::=</w:t>
            </w:r>
          </w:p>
          <w:p w14:paraId="564E2AB9" w14:textId="77777777" w:rsidR="00711444" w:rsidRPr="004D0DAA" w:rsidRDefault="00711444" w:rsidP="00AA2A4C">
            <w:pPr>
              <w:pStyle w:val="TAL"/>
              <w:rPr>
                <w:szCs w:val="18"/>
                <w:lang w:eastAsia="en-US"/>
              </w:rPr>
            </w:pPr>
            <w:r w:rsidRPr="004D0DAA">
              <w:rPr>
                <w:szCs w:val="18"/>
                <w:lang w:eastAsia="en-US"/>
              </w:rPr>
              <w:tab/>
              <w:t xml:space="preserve">&lt; </w:t>
            </w:r>
            <w:r w:rsidRPr="004D0DAA">
              <w:rPr>
                <w:b/>
                <w:bCs/>
                <w:szCs w:val="18"/>
                <w:lang w:eastAsia="en-US"/>
              </w:rPr>
              <w:t xml:space="preserve">RTTI_DOWNLINK_PDCH_PAIR_ASSIGNMENT_DC </w:t>
            </w:r>
            <w:r w:rsidRPr="004D0DAA">
              <w:rPr>
                <w:szCs w:val="18"/>
                <w:lang w:eastAsia="en-US"/>
              </w:rPr>
              <w:t>: bit (8) &gt;</w:t>
            </w:r>
          </w:p>
          <w:p w14:paraId="0FC9CF5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4C2488DC"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C2</w:t>
            </w:r>
            <w:r w:rsidRPr="004D0DAA">
              <w:rPr>
                <w:lang w:eastAsia="en-US"/>
              </w:rPr>
              <w:t xml:space="preserve"> : bit (3) &gt; }</w:t>
            </w:r>
          </w:p>
          <w:p w14:paraId="30A33F9B"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Downlink TBF assignment</w:t>
            </w:r>
            <w:r w:rsidRPr="004D0DAA">
              <w:rPr>
                <w:lang w:eastAsia="en-US"/>
              </w:rPr>
              <w:t xml:space="preserve"> : &lt; Downlink TBF assignment 2 struct &gt; &gt; } ** 0 ;</w:t>
            </w:r>
          </w:p>
          <w:p w14:paraId="01CBF56E" w14:textId="77777777" w:rsidR="00711444" w:rsidRPr="004D0DAA" w:rsidRDefault="00711444" w:rsidP="00AA2A4C">
            <w:pPr>
              <w:pStyle w:val="TAL"/>
              <w:rPr>
                <w:lang w:eastAsia="en-US"/>
              </w:rPr>
            </w:pPr>
          </w:p>
          <w:p w14:paraId="08932174" w14:textId="77777777" w:rsidR="00711444" w:rsidRPr="004D0DAA" w:rsidRDefault="00711444" w:rsidP="00AA2A4C">
            <w:pPr>
              <w:pStyle w:val="TAL"/>
              <w:rPr>
                <w:lang w:eastAsia="en-US"/>
              </w:rPr>
            </w:pPr>
            <w:r w:rsidRPr="004D0DAA">
              <w:rPr>
                <w:lang w:eastAsia="en-US"/>
              </w:rPr>
              <w:t>&lt; Downlink TBF assignment 2 struct &gt; :: =</w:t>
            </w:r>
          </w:p>
          <w:p w14:paraId="0F77243B"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PFI</w:t>
            </w:r>
            <w:r w:rsidRPr="004D0DAA">
              <w:rPr>
                <w:lang w:eastAsia="en-US"/>
              </w:rPr>
              <w:t xml:space="preserve"> : bit (7) &gt; }</w:t>
            </w:r>
          </w:p>
          <w:p w14:paraId="68B5A1A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RLC_MODE</w:t>
            </w:r>
            <w:r w:rsidRPr="004D0DAA">
              <w:rPr>
                <w:lang w:eastAsia="en-US"/>
              </w:rPr>
              <w:t xml:space="preserve"> : bit (1) &gt; </w:t>
            </w:r>
          </w:p>
          <w:p w14:paraId="1B08218F" w14:textId="77777777" w:rsidR="00711444" w:rsidRPr="004D0DAA" w:rsidRDefault="00711444" w:rsidP="00AA2A4C">
            <w:pPr>
              <w:pStyle w:val="TAL"/>
              <w:rPr>
                <w:lang w:eastAsia="en-US"/>
              </w:rPr>
            </w:pPr>
            <w:r w:rsidRPr="004D0DAA">
              <w:rPr>
                <w:lang w:eastAsia="en-US"/>
              </w:rPr>
              <w:tab/>
              <w:t xml:space="preserve">{ 0 | 1 &lt; </w:t>
            </w:r>
            <w:r w:rsidRPr="004D0DAA">
              <w:rPr>
                <w:b/>
                <w:bCs/>
                <w:lang w:eastAsia="en-US"/>
              </w:rPr>
              <w:t>Uplink Control Timeslot C1</w:t>
            </w:r>
            <w:r w:rsidRPr="004D0DAA">
              <w:rPr>
                <w:lang w:eastAsia="en-US"/>
              </w:rPr>
              <w:t xml:space="preserve"> : bit (3) &gt; }</w:t>
            </w:r>
          </w:p>
          <w:p w14:paraId="21FC337B" w14:textId="77777777" w:rsidR="00711444" w:rsidRPr="004D0DAA" w:rsidRDefault="00711444" w:rsidP="00AA2A4C">
            <w:pPr>
              <w:pStyle w:val="TAL"/>
              <w:rPr>
                <w:rFonts w:cs="Arial"/>
                <w:szCs w:val="18"/>
                <w:lang w:eastAsia="en-US"/>
              </w:rPr>
            </w:pPr>
            <w:r w:rsidRPr="004D0DAA">
              <w:rPr>
                <w:rFonts w:cs="Arial"/>
                <w:szCs w:val="18"/>
                <w:lang w:eastAsia="en-US"/>
              </w:rPr>
              <w:tab/>
              <w:t xml:space="preserve">{ 0 | 1 &lt; </w:t>
            </w:r>
            <w:r w:rsidRPr="004D0DAA">
              <w:rPr>
                <w:rFonts w:cs="Arial"/>
                <w:b/>
                <w:bCs/>
                <w:szCs w:val="18"/>
                <w:lang w:eastAsia="en-US"/>
              </w:rPr>
              <w:t>Uplink Control Timeslot C2</w:t>
            </w:r>
            <w:r w:rsidRPr="004D0DAA">
              <w:rPr>
                <w:rFonts w:cs="Arial"/>
                <w:szCs w:val="18"/>
                <w:lang w:eastAsia="en-US"/>
              </w:rPr>
              <w:t xml:space="preserve"> : bit (3) &gt; }</w:t>
            </w:r>
          </w:p>
          <w:p w14:paraId="634FC8ED" w14:textId="77777777" w:rsidR="00711444" w:rsidRPr="004D0DAA" w:rsidRDefault="00711444" w:rsidP="00AA2A4C">
            <w:pPr>
              <w:pStyle w:val="TAL"/>
              <w:rPr>
                <w:rFonts w:cs="Arial"/>
                <w:szCs w:val="18"/>
                <w:lang w:eastAsia="en-US"/>
              </w:rPr>
            </w:pPr>
            <w:r w:rsidRPr="004D0DAA">
              <w:rPr>
                <w:rFonts w:cs="Arial"/>
                <w:szCs w:val="18"/>
                <w:lang w:eastAsia="en-US"/>
              </w:rPr>
              <w:tab/>
              <w:t xml:space="preserve">&lt; </w:t>
            </w:r>
            <w:r w:rsidRPr="004D0DAA">
              <w:rPr>
                <w:b/>
                <w:bCs/>
                <w:lang w:eastAsia="en-US"/>
              </w:rPr>
              <w:t>TFI Assignment</w:t>
            </w:r>
            <w:r w:rsidRPr="004D0DAA">
              <w:rPr>
                <w:lang w:eastAsia="en-US"/>
              </w:rPr>
              <w:t xml:space="preserve"> </w:t>
            </w:r>
            <w:r w:rsidRPr="004D0DAA">
              <w:rPr>
                <w:rFonts w:cs="Arial"/>
                <w:szCs w:val="18"/>
                <w:lang w:eastAsia="en-US"/>
              </w:rPr>
              <w:t>: bit (5) &gt;</w:t>
            </w:r>
          </w:p>
          <w:p w14:paraId="06DC24BC" w14:textId="77777777" w:rsidR="00711444" w:rsidRPr="004D0DAA" w:rsidRDefault="00711444" w:rsidP="00AA2A4C">
            <w:pPr>
              <w:pStyle w:val="TAL"/>
              <w:rPr>
                <w:rFonts w:cs="Arial"/>
                <w:szCs w:val="18"/>
                <w:lang w:eastAsia="en-US"/>
              </w:rPr>
            </w:pPr>
            <w:r w:rsidRPr="004D0DAA">
              <w:rPr>
                <w:rFonts w:cs="Arial"/>
                <w:szCs w:val="18"/>
                <w:lang w:eastAsia="en-US"/>
              </w:rPr>
              <w:tab/>
              <w:t xml:space="preserve">&lt; </w:t>
            </w:r>
            <w:r w:rsidRPr="004D0DAA">
              <w:rPr>
                <w:rFonts w:cs="Arial"/>
                <w:b/>
                <w:szCs w:val="18"/>
                <w:lang w:eastAsia="en-US"/>
              </w:rPr>
              <w:t>CONTROL_ACK</w:t>
            </w:r>
            <w:r w:rsidRPr="004D0DAA">
              <w:rPr>
                <w:rFonts w:cs="Arial"/>
                <w:szCs w:val="18"/>
                <w:lang w:eastAsia="en-US"/>
              </w:rPr>
              <w:t xml:space="preserve"> : bit (1) &gt;</w:t>
            </w:r>
          </w:p>
          <w:p w14:paraId="467A04B5" w14:textId="77777777" w:rsidR="00711444" w:rsidRPr="004D0DAA" w:rsidRDefault="00711444" w:rsidP="00AA2A4C">
            <w:pPr>
              <w:pStyle w:val="TAL"/>
              <w:rPr>
                <w:lang w:eastAsia="en-US"/>
              </w:rPr>
            </w:pPr>
            <w:r w:rsidRPr="004D0DAA">
              <w:rPr>
                <w:rFonts w:cs="Arial"/>
                <w:szCs w:val="18"/>
                <w:lang w:eastAsia="en-US"/>
              </w:rPr>
              <w:tab/>
            </w:r>
            <w:r w:rsidRPr="004D0DAA">
              <w:rPr>
                <w:lang w:eastAsia="en-US"/>
              </w:rPr>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52136760" w14:textId="77777777" w:rsidR="00711444" w:rsidRPr="004D0DAA" w:rsidRDefault="00711444" w:rsidP="00AA2A4C">
            <w:pPr>
              <w:pStyle w:val="TAL"/>
              <w:rPr>
                <w:rFonts w:hint="eastAsia"/>
                <w:lang w:eastAsia="ko-KR"/>
              </w:rPr>
            </w:pPr>
            <w:r w:rsidRPr="004D0DAA">
              <w:rPr>
                <w:lang w:eastAsia="en-US"/>
              </w:rPr>
              <w:tab/>
              <w:t xml:space="preserve">&lt; </w:t>
            </w:r>
            <w:r w:rsidRPr="004D0DAA">
              <w:rPr>
                <w:b/>
                <w:lang w:eastAsia="en-US"/>
              </w:rPr>
              <w:t>EVENT_BASED_FANR</w:t>
            </w:r>
            <w:r w:rsidRPr="004D0DAA">
              <w:rPr>
                <w:lang w:eastAsia="en-US"/>
              </w:rPr>
              <w:t>: bit (1) &gt;</w:t>
            </w:r>
          </w:p>
          <w:p w14:paraId="4D719CA0"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Downlink EGPRS Window Size</w:t>
            </w:r>
            <w:r w:rsidRPr="004D0DAA">
              <w:rPr>
                <w:lang w:eastAsia="en-US"/>
              </w:rPr>
              <w:t> : &lt; EGPRS Window Size IE &gt; &gt; } ;</w:t>
            </w:r>
          </w:p>
          <w:p w14:paraId="1A927C4C" w14:textId="77777777" w:rsidR="00711444" w:rsidRPr="004D0DAA" w:rsidRDefault="00711444" w:rsidP="00AA2A4C">
            <w:pPr>
              <w:pStyle w:val="TAL"/>
              <w:rPr>
                <w:lang w:eastAsia="en-US"/>
              </w:rPr>
            </w:pPr>
          </w:p>
        </w:tc>
      </w:tr>
    </w:tbl>
    <w:p w14:paraId="0C231C2B" w14:textId="77777777" w:rsidR="00711444" w:rsidRPr="004D0DAA" w:rsidRDefault="00711444" w:rsidP="00711444"/>
    <w:p w14:paraId="39FC597E" w14:textId="77777777" w:rsidR="00711444" w:rsidRPr="004D0DAA" w:rsidRDefault="00711444" w:rsidP="00711444">
      <w:pPr>
        <w:pStyle w:val="TH"/>
      </w:pPr>
      <w:r w:rsidRPr="004D0DAA">
        <w:lastRenderedPageBreak/>
        <w:t>Table 12.48a.5.2: Multiple Downlink Assignment 2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2BAB7E15" w14:textId="77777777" w:rsidTr="00AA2A4C">
        <w:tblPrEx>
          <w:tblCellMar>
            <w:top w:w="0" w:type="dxa"/>
            <w:bottom w:w="0" w:type="dxa"/>
          </w:tblCellMar>
        </w:tblPrEx>
        <w:trPr>
          <w:cantSplit/>
          <w:trHeight w:val="113"/>
        </w:trPr>
        <w:tc>
          <w:tcPr>
            <w:tcW w:w="9848" w:type="dxa"/>
            <w:shd w:val="clear" w:color="auto" w:fill="auto"/>
          </w:tcPr>
          <w:p w14:paraId="2101FAC6" w14:textId="77777777" w:rsidR="00711444" w:rsidRPr="004D0DAA" w:rsidRDefault="00711444" w:rsidP="00AA2A4C">
            <w:r w:rsidRPr="004D0DAA">
              <w:rPr>
                <w:b/>
              </w:rPr>
              <w:t>EGPRS Window Size IE (Downlink EGPRS Window Size)</w:t>
            </w:r>
            <w:r w:rsidRPr="004D0DAA">
              <w:br/>
              <w:t>This information element is defined in sub-clause 12.5.2.</w:t>
            </w:r>
          </w:p>
          <w:p w14:paraId="63FE3E5E" w14:textId="77777777" w:rsidR="00711444" w:rsidRPr="004D0DAA" w:rsidRDefault="00711444" w:rsidP="00AA2A4C">
            <w:pPr>
              <w:rPr>
                <w:b/>
              </w:rPr>
            </w:pPr>
            <w:r w:rsidRPr="004D0DAA">
              <w:t>Specific conditions apply for the interpretation of this information element. See sub-clause 11.2.37 (Packet CS Release Indication message).</w:t>
            </w:r>
          </w:p>
        </w:tc>
      </w:tr>
      <w:tr w:rsidR="00711444" w:rsidRPr="004D0DAA" w14:paraId="05C628FA"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Pr>
          <w:p w14:paraId="6D10AE9D" w14:textId="77777777" w:rsidR="00711444" w:rsidRPr="004D0DAA" w:rsidRDefault="00711444" w:rsidP="00AA2A4C">
            <w:pPr>
              <w:tabs>
                <w:tab w:val="left" w:pos="11520"/>
              </w:tabs>
              <w:spacing w:after="0"/>
            </w:pPr>
            <w:r w:rsidRPr="004D0DAA">
              <w:rPr>
                <w:b/>
              </w:rPr>
              <w:t>LINK_QUALITY_MEASUREMENT_MODE</w:t>
            </w:r>
            <w:r w:rsidRPr="004D0DAA">
              <w:t xml:space="preserve"> (2 bit field)</w:t>
            </w:r>
          </w:p>
          <w:p w14:paraId="3407A5B6" w14:textId="77777777" w:rsidR="00711444" w:rsidRPr="004D0DAA" w:rsidRDefault="00711444" w:rsidP="00AA2A4C">
            <w:pPr>
              <w:tabs>
                <w:tab w:val="left" w:pos="11520"/>
              </w:tabs>
              <w:spacing w:after="0"/>
              <w:ind w:left="432" w:hanging="432"/>
            </w:pPr>
            <w:r w:rsidRPr="004D0DAA">
              <w:t>See sub-clause 11.2.7 (Packet Downlink Assignment message).</w:t>
            </w:r>
          </w:p>
          <w:p w14:paraId="246D0784" w14:textId="77777777" w:rsidR="00711444" w:rsidRPr="004D0DAA" w:rsidRDefault="00711444" w:rsidP="00AA2A4C">
            <w:pPr>
              <w:tabs>
                <w:tab w:val="left" w:pos="11520"/>
              </w:tabs>
              <w:spacing w:after="0"/>
              <w:ind w:left="432" w:hanging="432"/>
              <w:rPr>
                <w:b/>
              </w:rPr>
            </w:pPr>
          </w:p>
        </w:tc>
      </w:tr>
      <w:tr w:rsidR="00711444" w:rsidRPr="004D0DAA" w14:paraId="47F9A59C" w14:textId="77777777" w:rsidTr="00AA2A4C">
        <w:tblPrEx>
          <w:tblCellMar>
            <w:top w:w="0" w:type="dxa"/>
            <w:bottom w:w="0" w:type="dxa"/>
          </w:tblCellMar>
        </w:tblPrEx>
        <w:trPr>
          <w:cantSplit/>
          <w:trHeight w:val="113"/>
        </w:trPr>
        <w:tc>
          <w:tcPr>
            <w:tcW w:w="9848" w:type="dxa"/>
            <w:shd w:val="clear" w:color="auto" w:fill="auto"/>
          </w:tcPr>
          <w:p w14:paraId="1E1EA004" w14:textId="77777777" w:rsidR="00711444" w:rsidRPr="004D0DAA" w:rsidRDefault="00711444" w:rsidP="00AA2A4C">
            <w:pPr>
              <w:spacing w:after="0"/>
            </w:pPr>
            <w:r w:rsidRPr="004D0DAA">
              <w:rPr>
                <w:b/>
              </w:rPr>
              <w:t>EGPRS Level IE (Downlink EGPRS Level</w:t>
            </w:r>
            <w:r w:rsidRPr="004D0DAA">
              <w:t>)</w:t>
            </w:r>
          </w:p>
          <w:p w14:paraId="17ED7ED7" w14:textId="77777777" w:rsidR="00711444" w:rsidRPr="004D0DAA" w:rsidRDefault="00711444" w:rsidP="00AA2A4C">
            <w:pPr>
              <w:spacing w:after="0"/>
              <w:rPr>
                <w:szCs w:val="18"/>
              </w:rPr>
            </w:pPr>
            <w:r w:rsidRPr="004D0DAA">
              <w:t>This information element is defined in sub-clause 12.10f.</w:t>
            </w:r>
          </w:p>
          <w:p w14:paraId="0D27B93A" w14:textId="77777777" w:rsidR="00711444" w:rsidRPr="004D0DAA" w:rsidRDefault="00711444" w:rsidP="00AA2A4C">
            <w:pPr>
              <w:spacing w:after="0"/>
              <w:rPr>
                <w:b/>
              </w:rPr>
            </w:pPr>
          </w:p>
        </w:tc>
      </w:tr>
      <w:tr w:rsidR="00711444" w:rsidRPr="004D0DAA" w14:paraId="12897068" w14:textId="77777777" w:rsidTr="00AA2A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cantSplit/>
          <w:trHeight w:val="113"/>
        </w:trPr>
        <w:tc>
          <w:tcPr>
            <w:tcW w:w="9848" w:type="dxa"/>
            <w:shd w:val="clear" w:color="auto" w:fill="auto"/>
          </w:tcPr>
          <w:p w14:paraId="4F532CB6" w14:textId="77777777" w:rsidR="00711444" w:rsidRPr="004D0DAA" w:rsidRDefault="00711444" w:rsidP="00AA2A4C">
            <w:pPr>
              <w:spacing w:after="0"/>
              <w:rPr>
                <w:b/>
              </w:rPr>
            </w:pPr>
            <w:r w:rsidRPr="004D0DAA">
              <w:rPr>
                <w:b/>
              </w:rPr>
              <w:t xml:space="preserve">FANR </w:t>
            </w:r>
            <w:r w:rsidRPr="004D0DAA">
              <w:t>(1 bit field)</w:t>
            </w:r>
          </w:p>
          <w:p w14:paraId="44E71031" w14:textId="77777777" w:rsidR="00711444" w:rsidRPr="004D0DAA" w:rsidRDefault="00711444" w:rsidP="00AA2A4C">
            <w:pPr>
              <w:spacing w:after="0"/>
            </w:pPr>
            <w:r w:rsidRPr="004D0DAA">
              <w:t>See sub-clause 11.2.7a (Multiple TBF Downlink Assignment message).</w:t>
            </w:r>
          </w:p>
          <w:p w14:paraId="6F650BFA" w14:textId="77777777" w:rsidR="00711444" w:rsidRPr="004D0DAA" w:rsidRDefault="00711444" w:rsidP="00AA2A4C">
            <w:pPr>
              <w:spacing w:after="0"/>
              <w:rPr>
                <w:b/>
              </w:rPr>
            </w:pPr>
          </w:p>
        </w:tc>
      </w:tr>
      <w:tr w:rsidR="00711444" w:rsidRPr="004D0DAA" w14:paraId="49B32A57" w14:textId="77777777" w:rsidTr="00AA2A4C">
        <w:tblPrEx>
          <w:tblCellMar>
            <w:top w:w="0" w:type="dxa"/>
            <w:bottom w:w="0" w:type="dxa"/>
          </w:tblCellMar>
        </w:tblPrEx>
        <w:trPr>
          <w:cantSplit/>
          <w:trHeight w:val="113"/>
        </w:trPr>
        <w:tc>
          <w:tcPr>
            <w:tcW w:w="9848" w:type="dxa"/>
            <w:shd w:val="clear" w:color="auto" w:fill="auto"/>
          </w:tcPr>
          <w:p w14:paraId="3DA9FF8D" w14:textId="77777777" w:rsidR="00711444" w:rsidRPr="004D0DAA" w:rsidRDefault="00711444" w:rsidP="00AA2A4C">
            <w:pPr>
              <w:spacing w:after="0"/>
              <w:rPr>
                <w:b/>
                <w:bCs/>
                <w:szCs w:val="18"/>
              </w:rPr>
            </w:pPr>
            <w:r w:rsidRPr="004D0DAA">
              <w:rPr>
                <w:b/>
                <w:bCs/>
                <w:szCs w:val="18"/>
              </w:rPr>
              <w:t>DOWNLINK_PDCH_PAIRS_C1</w:t>
            </w:r>
          </w:p>
          <w:p w14:paraId="3DBD9FC9" w14:textId="77777777" w:rsidR="00711444" w:rsidRPr="004D0DAA" w:rsidRDefault="00711444" w:rsidP="00AA2A4C">
            <w:pPr>
              <w:spacing w:after="0"/>
              <w:rPr>
                <w:b/>
                <w:bCs/>
                <w:szCs w:val="18"/>
              </w:rPr>
            </w:pPr>
            <w:r w:rsidRPr="004D0DAA">
              <w:rPr>
                <w:b/>
                <w:bCs/>
                <w:szCs w:val="18"/>
              </w:rPr>
              <w:t>DOWNLINK_PDCH_PAIRS_C2</w:t>
            </w:r>
          </w:p>
          <w:p w14:paraId="2EA7BA83" w14:textId="77777777" w:rsidR="00711444" w:rsidRPr="004D0DAA" w:rsidRDefault="00711444" w:rsidP="00AA2A4C">
            <w:pPr>
              <w:spacing w:after="0"/>
              <w:rPr>
                <w:b/>
                <w:bCs/>
                <w:szCs w:val="18"/>
              </w:rPr>
            </w:pPr>
            <w:r w:rsidRPr="004D0DAA">
              <w:rPr>
                <w:b/>
                <w:bCs/>
                <w:szCs w:val="18"/>
              </w:rPr>
              <w:t>UPLINK_PDCH_PAIRS_C1</w:t>
            </w:r>
          </w:p>
          <w:p w14:paraId="73AAFAEB" w14:textId="77777777" w:rsidR="00711444" w:rsidRPr="004D0DAA" w:rsidRDefault="00711444" w:rsidP="00AA2A4C">
            <w:pPr>
              <w:spacing w:after="0"/>
              <w:rPr>
                <w:b/>
                <w:bCs/>
                <w:szCs w:val="18"/>
              </w:rPr>
            </w:pPr>
            <w:r w:rsidRPr="004D0DAA">
              <w:rPr>
                <w:b/>
                <w:bCs/>
                <w:szCs w:val="18"/>
              </w:rPr>
              <w:t>UPLINK_PDCH_PAIRS_C2</w:t>
            </w:r>
          </w:p>
          <w:p w14:paraId="01690695" w14:textId="77777777" w:rsidR="00711444" w:rsidRPr="004D0DAA" w:rsidRDefault="00711444" w:rsidP="00AA2A4C">
            <w:pPr>
              <w:spacing w:after="0"/>
              <w:rPr>
                <w:b/>
                <w:bCs/>
                <w:szCs w:val="18"/>
              </w:rPr>
            </w:pPr>
            <w:r w:rsidRPr="004D0DAA">
              <w:rPr>
                <w:b/>
                <w:bCs/>
                <w:szCs w:val="18"/>
              </w:rPr>
              <w:t>RTTI_DOWNLINK_PDCH_PAIR_ASSIGNMENT_SC</w:t>
            </w:r>
          </w:p>
          <w:p w14:paraId="352E2353" w14:textId="77777777" w:rsidR="00711444" w:rsidRPr="004D0DAA" w:rsidRDefault="00711444" w:rsidP="00AA2A4C">
            <w:pPr>
              <w:spacing w:after="0"/>
              <w:rPr>
                <w:b/>
                <w:bCs/>
                <w:szCs w:val="18"/>
              </w:rPr>
            </w:pPr>
            <w:r w:rsidRPr="004D0DAA">
              <w:rPr>
                <w:b/>
                <w:bCs/>
                <w:szCs w:val="18"/>
              </w:rPr>
              <w:t>RTTI_DOWNLINK_PDCH_PAIR_ASSIGNMENT_DC</w:t>
            </w:r>
          </w:p>
          <w:p w14:paraId="460DEC89" w14:textId="77777777" w:rsidR="00711444" w:rsidRPr="004D0DAA" w:rsidRDefault="00711444" w:rsidP="00AA2A4C">
            <w:pPr>
              <w:spacing w:after="0"/>
              <w:rPr>
                <w:szCs w:val="18"/>
              </w:rPr>
            </w:pPr>
            <w:r w:rsidRPr="004D0DAA">
              <w:rPr>
                <w:szCs w:val="18"/>
              </w:rPr>
              <w:t xml:space="preserve">See sub-clause 11.2.31 </w:t>
            </w:r>
            <w:r w:rsidRPr="004D0DAA">
              <w:t>(Packet Timeslot Reconfigure message).</w:t>
            </w:r>
          </w:p>
          <w:p w14:paraId="1F3830C1" w14:textId="77777777" w:rsidR="00711444" w:rsidRPr="004D0DAA" w:rsidRDefault="00711444" w:rsidP="00AA2A4C">
            <w:pPr>
              <w:spacing w:after="0"/>
              <w:rPr>
                <w:b/>
              </w:rPr>
            </w:pPr>
          </w:p>
        </w:tc>
      </w:tr>
      <w:tr w:rsidR="00711444" w:rsidRPr="004D0DAA" w14:paraId="31BB5A17" w14:textId="77777777" w:rsidTr="00AA2A4C">
        <w:tblPrEx>
          <w:tblCellMar>
            <w:top w:w="0" w:type="dxa"/>
            <w:bottom w:w="0" w:type="dxa"/>
          </w:tblCellMar>
        </w:tblPrEx>
        <w:trPr>
          <w:cantSplit/>
          <w:trHeight w:val="113"/>
        </w:trPr>
        <w:tc>
          <w:tcPr>
            <w:tcW w:w="9848" w:type="dxa"/>
            <w:shd w:val="clear" w:color="auto" w:fill="auto"/>
          </w:tcPr>
          <w:p w14:paraId="796C175B" w14:textId="77777777" w:rsidR="00711444" w:rsidRPr="004D0DAA" w:rsidRDefault="00711444" w:rsidP="00AA2A4C">
            <w:pPr>
              <w:spacing w:after="0"/>
            </w:pPr>
            <w:r w:rsidRPr="004D0DAA">
              <w:rPr>
                <w:b/>
              </w:rPr>
              <w:t>TIMESLOT_ALLOCATION_C1</w:t>
            </w:r>
            <w:r w:rsidRPr="004D0DAA">
              <w:t xml:space="preserve">, </w:t>
            </w:r>
            <w:r w:rsidRPr="004D0DAA">
              <w:rPr>
                <w:b/>
              </w:rPr>
              <w:t>TIMESLOT_ALLOCATION_C2</w:t>
            </w:r>
            <w:r w:rsidRPr="004D0DAA">
              <w:t xml:space="preserve"> (8 bit field)</w:t>
            </w:r>
            <w:r w:rsidRPr="004D0DAA">
              <w:rPr>
                <w:b/>
              </w:rPr>
              <w:br/>
            </w:r>
            <w:r w:rsidRPr="004D0DAA">
              <w:t>See sub-clause 11.2.7 (Packet Downlink Assignment message).</w:t>
            </w:r>
          </w:p>
          <w:p w14:paraId="42C8F066" w14:textId="77777777" w:rsidR="00711444" w:rsidRPr="004D0DAA" w:rsidRDefault="00711444" w:rsidP="00AA2A4C">
            <w:pPr>
              <w:spacing w:after="0"/>
            </w:pPr>
          </w:p>
        </w:tc>
      </w:tr>
      <w:tr w:rsidR="00711444" w:rsidRPr="004D0DAA" w14:paraId="09ED5FEC"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Pr>
          <w:p w14:paraId="7B7BE072" w14:textId="77777777" w:rsidR="00711444" w:rsidRPr="004D0DAA" w:rsidRDefault="00711444" w:rsidP="00AA2A4C">
            <w:pPr>
              <w:spacing w:after="0"/>
              <w:rPr>
                <w:bCs/>
              </w:rPr>
            </w:pPr>
            <w:r w:rsidRPr="004D0DAA">
              <w:rPr>
                <w:b/>
              </w:rPr>
              <w:t>Uplink Control Timeslot C1</w:t>
            </w:r>
            <w:r w:rsidRPr="004D0DAA">
              <w:t>,</w:t>
            </w:r>
            <w:r w:rsidRPr="004D0DAA">
              <w:rPr>
                <w:b/>
              </w:rPr>
              <w:t xml:space="preserve"> Uplink Control Timeslot C2 </w:t>
            </w:r>
            <w:r w:rsidRPr="004D0DAA">
              <w:rPr>
                <w:bCs/>
              </w:rPr>
              <w:t>(3 bit field)</w:t>
            </w:r>
          </w:p>
          <w:p w14:paraId="5A5E692D" w14:textId="77777777" w:rsidR="00711444" w:rsidRPr="004D0DAA" w:rsidRDefault="00711444" w:rsidP="00AA2A4C">
            <w:pPr>
              <w:spacing w:after="0"/>
            </w:pPr>
            <w:r w:rsidRPr="004D0DAA">
              <w:t>In case of a BTTI configuration, t</w:t>
            </w:r>
            <w:r w:rsidRPr="004D0DAA">
              <w:rPr>
                <w:bCs/>
              </w:rPr>
              <w:t xml:space="preserve">hese fields contain the timeslot number on carrier1 (respectively carrier 2) of the timeslot where the PACCH/U for the MS is located. </w:t>
            </w:r>
            <w:r w:rsidRPr="004D0DAA">
              <w:t xml:space="preserve">In case of an RTTI configuration, </w:t>
            </w:r>
            <w:r w:rsidRPr="004D0DAA">
              <w:rPr>
                <w:bCs/>
              </w:rPr>
              <w:t xml:space="preserve">these fields contain the timeslot number of the timeslot on carrier1 (respectively carrier 2) </w:t>
            </w:r>
            <w:r w:rsidRPr="004D0DAA">
              <w:t xml:space="preserve">belonging to the uplink PDCH pair </w:t>
            </w:r>
            <w:r w:rsidRPr="004D0DAA">
              <w:rPr>
                <w:bCs/>
              </w:rPr>
              <w:t>where the PACCH/U for the MS is located. They are encoded as the binary representation of the timeslot number as defined in 3GPP TS 45.002.</w:t>
            </w:r>
            <w:r w:rsidRPr="004D0DAA">
              <w:t xml:space="preserve"> </w:t>
            </w:r>
          </w:p>
          <w:p w14:paraId="72F5D59C" w14:textId="77777777" w:rsidR="00711444" w:rsidRPr="004D0DAA" w:rsidRDefault="00711444" w:rsidP="00AA2A4C">
            <w:pPr>
              <w:spacing w:after="0"/>
            </w:pPr>
          </w:p>
          <w:p w14:paraId="5C10C1F3" w14:textId="77777777" w:rsidR="00711444" w:rsidRPr="004D0DAA" w:rsidRDefault="00711444" w:rsidP="00AA2A4C">
            <w:pPr>
              <w:tabs>
                <w:tab w:val="left" w:pos="851"/>
              </w:tabs>
              <w:rPr>
                <w:b/>
              </w:rPr>
            </w:pPr>
            <w:r w:rsidRPr="004D0DAA">
              <w:t xml:space="preserve">If these fields are included in the </w:t>
            </w:r>
            <w:r w:rsidRPr="004D0DAA">
              <w:rPr>
                <w:rFonts w:hint="eastAsia"/>
                <w:i/>
                <w:lang w:eastAsia="ko-KR"/>
              </w:rPr>
              <w:t>BTTI Multiple Downlink Assignment</w:t>
            </w:r>
            <w:r w:rsidRPr="004D0DAA">
              <w:rPr>
                <w:rFonts w:hint="eastAsia"/>
                <w:lang w:eastAsia="ko-KR"/>
              </w:rPr>
              <w:t xml:space="preserve"> </w:t>
            </w:r>
            <w:r w:rsidRPr="004D0DAA">
              <w:rPr>
                <w:lang w:eastAsia="ko-KR"/>
              </w:rPr>
              <w:t>IE</w:t>
            </w:r>
            <w:r w:rsidRPr="004D0DAA">
              <w:rPr>
                <w:rFonts w:hint="eastAsia"/>
                <w:lang w:eastAsia="ko-KR"/>
              </w:rPr>
              <w:t xml:space="preserve"> </w:t>
            </w:r>
            <w:r w:rsidRPr="004D0DAA">
              <w:rPr>
                <w:lang w:eastAsia="ko-KR"/>
              </w:rPr>
              <w:t xml:space="preserve">or in the </w:t>
            </w:r>
            <w:r w:rsidRPr="004D0DAA">
              <w:rPr>
                <w:rFonts w:hint="eastAsia"/>
                <w:i/>
                <w:lang w:eastAsia="ko-KR"/>
              </w:rPr>
              <w:t xml:space="preserve">RTTI Multiple Downlink Assignment </w:t>
            </w:r>
            <w:r w:rsidRPr="004D0DAA">
              <w:rPr>
                <w:i/>
                <w:lang w:eastAsia="ko-KR"/>
              </w:rPr>
              <w:t>SC / DC</w:t>
            </w:r>
            <w:r w:rsidRPr="004D0DAA">
              <w:rPr>
                <w:lang w:eastAsia="ko-KR"/>
              </w:rPr>
              <w:t xml:space="preserve"> IE</w:t>
            </w:r>
            <w:r w:rsidRPr="004D0DAA">
              <w:t xml:space="preserve">, they shall refer to all downlink TBFs assigned in the message. If these fields are included in the </w:t>
            </w:r>
            <w:r w:rsidRPr="004D0DAA">
              <w:rPr>
                <w:rFonts w:hint="eastAsia"/>
                <w:i/>
                <w:lang w:eastAsia="ko-KR"/>
              </w:rPr>
              <w:t xml:space="preserve">Downlink TBF Assignment 2 </w:t>
            </w:r>
            <w:r w:rsidRPr="004D0DAA">
              <w:rPr>
                <w:lang w:eastAsia="ko-KR"/>
              </w:rPr>
              <w:t>IE</w:t>
            </w:r>
            <w:r w:rsidRPr="004D0DAA">
              <w:t xml:space="preserve">, they refer only to the TBF given by the TFI Assignment field (the specific values overrule any default values given in the </w:t>
            </w:r>
            <w:r w:rsidRPr="004D0DAA">
              <w:rPr>
                <w:rFonts w:hint="eastAsia"/>
                <w:i/>
                <w:lang w:eastAsia="ko-KR"/>
              </w:rPr>
              <w:t>BTTI Multiple Downlink Assignment</w:t>
            </w:r>
            <w:r w:rsidRPr="004D0DAA">
              <w:rPr>
                <w:rFonts w:hint="eastAsia"/>
                <w:lang w:eastAsia="ko-KR"/>
              </w:rPr>
              <w:t xml:space="preserve"> </w:t>
            </w:r>
            <w:r w:rsidRPr="004D0DAA">
              <w:rPr>
                <w:lang w:eastAsia="ko-KR"/>
              </w:rPr>
              <w:t xml:space="preserve">IE or in the </w:t>
            </w:r>
            <w:r w:rsidRPr="004D0DAA">
              <w:rPr>
                <w:rFonts w:hint="eastAsia"/>
                <w:i/>
                <w:lang w:eastAsia="ko-KR"/>
              </w:rPr>
              <w:t xml:space="preserve">RTTI Multiple Downlink Assignment </w:t>
            </w:r>
            <w:r w:rsidRPr="004D0DAA">
              <w:rPr>
                <w:i/>
                <w:lang w:eastAsia="ko-KR"/>
              </w:rPr>
              <w:t>SC / DC</w:t>
            </w:r>
            <w:r w:rsidRPr="004D0DAA">
              <w:rPr>
                <w:lang w:eastAsia="ko-KR"/>
              </w:rPr>
              <w:t xml:space="preserve"> IE</w:t>
            </w:r>
            <w:r w:rsidRPr="004D0DAA">
              <w:t xml:space="preserve">). If the </w:t>
            </w:r>
            <w:r w:rsidRPr="004D0DAA">
              <w:rPr>
                <w:i/>
              </w:rPr>
              <w:t>Uplink Control Timeslot C1</w:t>
            </w:r>
            <w:r w:rsidRPr="004D0DAA">
              <w:t xml:space="preserve"> / </w:t>
            </w:r>
            <w:r w:rsidRPr="004D0DAA">
              <w:rPr>
                <w:i/>
              </w:rPr>
              <w:t>Uplink Control Timeslot C2</w:t>
            </w:r>
            <w:r w:rsidRPr="004D0DAA">
              <w:t xml:space="preserve"> field is not included in the message at all, then the default rules for the location of PACCH/U apply.</w:t>
            </w:r>
          </w:p>
        </w:tc>
      </w:tr>
      <w:tr w:rsidR="00711444" w:rsidRPr="004D0DAA" w14:paraId="55E91428" w14:textId="77777777" w:rsidTr="00AA2A4C">
        <w:tblPrEx>
          <w:tblCellMar>
            <w:top w:w="0" w:type="dxa"/>
            <w:bottom w:w="0" w:type="dxa"/>
          </w:tblCellMar>
        </w:tblPrEx>
        <w:trPr>
          <w:cantSplit/>
          <w:trHeight w:val="113"/>
        </w:trPr>
        <w:tc>
          <w:tcPr>
            <w:tcW w:w="9848" w:type="dxa"/>
            <w:shd w:val="clear" w:color="auto" w:fill="auto"/>
          </w:tcPr>
          <w:p w14:paraId="72858FA3" w14:textId="77777777" w:rsidR="00711444" w:rsidRPr="004D0DAA" w:rsidRDefault="00711444" w:rsidP="00AA2A4C">
            <w:pPr>
              <w:spacing w:after="0"/>
              <w:rPr>
                <w:b/>
              </w:rPr>
            </w:pPr>
            <w:r w:rsidRPr="004D0DAA">
              <w:rPr>
                <w:b/>
              </w:rPr>
              <w:t xml:space="preserve">PFI </w:t>
            </w:r>
            <w:r w:rsidRPr="004D0DAA">
              <w:rPr>
                <w:bCs/>
              </w:rPr>
              <w:t>(7 bit field)</w:t>
            </w:r>
          </w:p>
          <w:p w14:paraId="08E4552E" w14:textId="77777777" w:rsidR="00711444" w:rsidRPr="004D0DAA" w:rsidRDefault="00711444" w:rsidP="00AA2A4C">
            <w:pPr>
              <w:spacing w:after="0"/>
            </w:pPr>
            <w:r w:rsidRPr="004D0DAA">
              <w:t>This field shall only be included for TBFs if both the network and the mobile station support multiple TBFs. This field contains the PFI parameter identifying a Packet Flow Context. The PFI parameter is encoded as the contents of the PFI information element as defined in 3GPP TS 44.018.</w:t>
            </w:r>
          </w:p>
          <w:p w14:paraId="3AA48E04" w14:textId="77777777" w:rsidR="00711444" w:rsidRPr="004D0DAA" w:rsidRDefault="00711444" w:rsidP="00AA2A4C">
            <w:pPr>
              <w:spacing w:after="0"/>
              <w:rPr>
                <w:b/>
              </w:rPr>
            </w:pPr>
          </w:p>
        </w:tc>
      </w:tr>
      <w:tr w:rsidR="00711444" w:rsidRPr="004D0DAA" w14:paraId="1E4C0E6F" w14:textId="77777777" w:rsidTr="00AA2A4C">
        <w:tblPrEx>
          <w:tblCellMar>
            <w:top w:w="0" w:type="dxa"/>
            <w:bottom w:w="0" w:type="dxa"/>
          </w:tblCellMar>
        </w:tblPrEx>
        <w:trPr>
          <w:cantSplit/>
          <w:trHeight w:val="113"/>
        </w:trPr>
        <w:tc>
          <w:tcPr>
            <w:tcW w:w="9848" w:type="dxa"/>
            <w:shd w:val="clear" w:color="auto" w:fill="auto"/>
          </w:tcPr>
          <w:p w14:paraId="69B7212A" w14:textId="77777777" w:rsidR="00711444" w:rsidRPr="004D0DAA" w:rsidRDefault="00711444" w:rsidP="00AA2A4C">
            <w:pPr>
              <w:spacing w:after="0"/>
              <w:rPr>
                <w:bCs/>
              </w:rPr>
            </w:pPr>
            <w:r w:rsidRPr="004D0DAA">
              <w:rPr>
                <w:b/>
              </w:rPr>
              <w:t xml:space="preserve">RLC_MODE </w:t>
            </w:r>
            <w:r w:rsidRPr="004D0DAA">
              <w:t>(1 bit field)</w:t>
            </w:r>
          </w:p>
          <w:p w14:paraId="318031E8" w14:textId="77777777" w:rsidR="00711444" w:rsidRPr="004D0DAA" w:rsidRDefault="00711444" w:rsidP="00AA2A4C">
            <w:pPr>
              <w:spacing w:after="0"/>
            </w:pPr>
            <w:r w:rsidRPr="004D0DAA">
              <w:t>See sub-clause 12.48a.2 (</w:t>
            </w:r>
            <w:r w:rsidRPr="004D0DAA">
              <w:rPr>
                <w:i/>
              </w:rPr>
              <w:t xml:space="preserve">Single Downlink Assignment 2 </w:t>
            </w:r>
            <w:r w:rsidRPr="004D0DAA">
              <w:t>information element).</w:t>
            </w:r>
          </w:p>
          <w:p w14:paraId="1E076F78" w14:textId="77777777" w:rsidR="00711444" w:rsidRPr="004D0DAA" w:rsidRDefault="00711444" w:rsidP="00AA2A4C">
            <w:pPr>
              <w:spacing w:after="0"/>
              <w:rPr>
                <w:b/>
              </w:rPr>
            </w:pPr>
          </w:p>
        </w:tc>
      </w:tr>
      <w:tr w:rsidR="00711444" w:rsidRPr="004D0DAA" w14:paraId="7C4D0768" w14:textId="77777777" w:rsidTr="00AA2A4C">
        <w:tblPrEx>
          <w:tblCellMar>
            <w:top w:w="0" w:type="dxa"/>
            <w:bottom w:w="0" w:type="dxa"/>
          </w:tblCellMar>
        </w:tblPrEx>
        <w:trPr>
          <w:cantSplit/>
          <w:trHeight w:val="113"/>
        </w:trPr>
        <w:tc>
          <w:tcPr>
            <w:tcW w:w="9848" w:type="dxa"/>
            <w:shd w:val="clear" w:color="auto" w:fill="auto"/>
          </w:tcPr>
          <w:p w14:paraId="66D288DF" w14:textId="77777777" w:rsidR="00711444" w:rsidRPr="004D0DAA" w:rsidRDefault="00711444" w:rsidP="00AA2A4C">
            <w:pPr>
              <w:spacing w:after="0"/>
            </w:pPr>
            <w:r w:rsidRPr="004D0DAA">
              <w:rPr>
                <w:b/>
              </w:rPr>
              <w:t>TFI Assignment</w:t>
            </w:r>
            <w:r w:rsidRPr="004D0DAA">
              <w:rPr>
                <w:rFonts w:ascii="Arial" w:hAnsi="Arial"/>
                <w:sz w:val="18"/>
              </w:rPr>
              <w:t xml:space="preserve"> </w:t>
            </w:r>
            <w:r w:rsidRPr="004D0DAA">
              <w:t>(5 bit field)</w:t>
            </w:r>
            <w:r w:rsidRPr="004D0DAA">
              <w:br/>
              <w:t>See sub-clause 11.2.7a (Multiple TBF Downlink Assignment message).</w:t>
            </w:r>
          </w:p>
          <w:p w14:paraId="35D9B6F8" w14:textId="77777777" w:rsidR="00711444" w:rsidRPr="004D0DAA" w:rsidRDefault="00711444" w:rsidP="00AA2A4C">
            <w:pPr>
              <w:spacing w:after="0"/>
              <w:rPr>
                <w:b/>
              </w:rPr>
            </w:pPr>
          </w:p>
        </w:tc>
      </w:tr>
      <w:tr w:rsidR="00711444" w:rsidRPr="004D0DAA" w14:paraId="22A7B57E"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32220D47" w14:textId="77777777" w:rsidR="00711444" w:rsidRPr="004D0DAA" w:rsidRDefault="00711444" w:rsidP="00AA2A4C">
            <w:pPr>
              <w:spacing w:after="0"/>
            </w:pPr>
            <w:r w:rsidRPr="004D0DAA">
              <w:rPr>
                <w:b/>
              </w:rPr>
              <w:t xml:space="preserve">CONTROL_ACK </w:t>
            </w:r>
            <w:r w:rsidRPr="004D0DAA">
              <w:t>(1 bit field)</w:t>
            </w:r>
            <w:r w:rsidRPr="004D0DAA">
              <w:br/>
              <w:t>See sub-clause 12.42 (</w:t>
            </w:r>
            <w:r w:rsidRPr="004D0DAA">
              <w:rPr>
                <w:i/>
              </w:rPr>
              <w:t>PS Handover Radio Resources</w:t>
            </w:r>
            <w:r w:rsidRPr="004D0DAA">
              <w:t xml:space="preserve"> information element).</w:t>
            </w:r>
          </w:p>
          <w:p w14:paraId="5F64373B" w14:textId="77777777" w:rsidR="00711444" w:rsidRPr="004D0DAA" w:rsidRDefault="00711444" w:rsidP="00AA2A4C">
            <w:pPr>
              <w:spacing w:after="0"/>
            </w:pPr>
          </w:p>
        </w:tc>
      </w:tr>
      <w:tr w:rsidR="00711444" w:rsidRPr="004D0DAA" w14:paraId="4C8F983B"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top w:val="single" w:sz="4" w:space="0" w:color="auto"/>
              <w:bottom w:val="single" w:sz="4" w:space="0" w:color="auto"/>
            </w:tcBorders>
          </w:tcPr>
          <w:p w14:paraId="16EA5B33"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37B95E63" w14:textId="77777777" w:rsidR="00711444" w:rsidRPr="004D0DAA" w:rsidRDefault="00711444" w:rsidP="00AA2A4C">
            <w:pPr>
              <w:spacing w:after="0"/>
            </w:pPr>
            <w:r w:rsidRPr="004D0DAA">
              <w:t>This field contains the NPM Transfer Time limitation in case of RLC non-persistent mode and is defined in</w:t>
            </w:r>
            <w:r w:rsidRPr="004D0DAA">
              <w:rPr>
                <w:i/>
              </w:rPr>
              <w:t xml:space="preserve"> </w:t>
            </w:r>
            <w:r w:rsidRPr="004D0DAA">
              <w:t>sub-clause 12.45a.</w:t>
            </w:r>
          </w:p>
          <w:p w14:paraId="5D66D1E8" w14:textId="77777777" w:rsidR="00711444" w:rsidRPr="004D0DAA" w:rsidRDefault="00711444" w:rsidP="00AA2A4C">
            <w:pPr>
              <w:spacing w:after="0"/>
            </w:pPr>
          </w:p>
        </w:tc>
      </w:tr>
      <w:tr w:rsidR="00711444" w:rsidRPr="004D0DAA" w14:paraId="45D19595" w14:textId="77777777" w:rsidTr="00AA2A4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3BCFFF4D" w14:textId="77777777" w:rsidR="00711444" w:rsidRPr="004D0DAA" w:rsidRDefault="00711444" w:rsidP="00AA2A4C">
            <w:pPr>
              <w:spacing w:after="0"/>
            </w:pPr>
            <w:r w:rsidRPr="004D0DAA">
              <w:rPr>
                <w:b/>
              </w:rPr>
              <w:t>EVENT_BASED_FANR</w:t>
            </w:r>
            <w:r w:rsidRPr="004D0DAA">
              <w:t xml:space="preserve"> (1 bit field)</w:t>
            </w:r>
          </w:p>
          <w:p w14:paraId="35820E15" w14:textId="77777777" w:rsidR="00711444" w:rsidRPr="004D0DAA" w:rsidRDefault="00711444" w:rsidP="00AA2A4C">
            <w:pPr>
              <w:spacing w:after="0"/>
            </w:pPr>
            <w:r w:rsidRPr="004D0DAA">
              <w:t>See sub-clause 11.2.7a (Multiple TBF Downlink Assignment message).</w:t>
            </w:r>
          </w:p>
          <w:p w14:paraId="5962FEB0" w14:textId="77777777" w:rsidR="00711444" w:rsidRPr="004D0DAA" w:rsidRDefault="00711444" w:rsidP="00AA2A4C">
            <w:pPr>
              <w:spacing w:after="0"/>
            </w:pPr>
          </w:p>
        </w:tc>
      </w:tr>
    </w:tbl>
    <w:p w14:paraId="14644155" w14:textId="77777777" w:rsidR="00711444" w:rsidRPr="004D0DAA" w:rsidRDefault="00711444" w:rsidP="00711444">
      <w:pPr>
        <w:ind w:right="1"/>
      </w:pPr>
    </w:p>
    <w:p w14:paraId="652B294D" w14:textId="77777777" w:rsidR="00711444" w:rsidRPr="004D0DAA" w:rsidRDefault="00711444" w:rsidP="00711444">
      <w:pPr>
        <w:pStyle w:val="Heading3"/>
      </w:pPr>
      <w:bookmarkStart w:id="842" w:name="_Toc516670018"/>
      <w:r w:rsidRPr="004D0DAA">
        <w:t>12.48a.6</w:t>
      </w:r>
      <w:r w:rsidRPr="004D0DAA">
        <w:tab/>
        <w:t>Multiple Uplink Assignment 2</w:t>
      </w:r>
      <w:bookmarkEnd w:id="842"/>
    </w:p>
    <w:p w14:paraId="43DC5D7E" w14:textId="77777777" w:rsidR="00711444" w:rsidRPr="004D0DAA" w:rsidRDefault="00711444" w:rsidP="00711444">
      <w:pPr>
        <w:ind w:right="1"/>
      </w:pPr>
      <w:r w:rsidRPr="004D0DAA">
        <w:t>This information element provides the description of uplink radio resources assigned for PS services in a dual carrier configuration or supporting EGPRS2, Fast Ack/Nack Reporting or RTTI configurations for a multiple TBF capable mobile station.</w:t>
      </w:r>
    </w:p>
    <w:p w14:paraId="77FB818A" w14:textId="77777777" w:rsidR="00711444" w:rsidRPr="004D0DAA" w:rsidRDefault="00711444" w:rsidP="00711444">
      <w:pPr>
        <w:ind w:right="1"/>
      </w:pPr>
      <w:r w:rsidRPr="004D0DAA">
        <w:t>This information element shall only be used by the network for assigning resources to a mobile station supporting  multiple TBF procedures in A/Gb mode (see sub-clauses 11.2.37, 12.42a and 12.48 and 3GPP TS 24.008).</w:t>
      </w:r>
    </w:p>
    <w:p w14:paraId="06A57203" w14:textId="77777777" w:rsidR="00711444" w:rsidRPr="004D0DAA" w:rsidRDefault="00711444" w:rsidP="00711444">
      <w:pPr>
        <w:ind w:right="1"/>
      </w:pPr>
    </w:p>
    <w:p w14:paraId="14139FB4" w14:textId="77777777" w:rsidR="00711444" w:rsidRPr="004D0DAA" w:rsidRDefault="00711444" w:rsidP="00711444">
      <w:pPr>
        <w:pStyle w:val="TH"/>
      </w:pPr>
      <w:r w:rsidRPr="004D0DAA">
        <w:lastRenderedPageBreak/>
        <w:t>Table 12.48a.6.1: Multiple Uplink Assignment 2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72EB9199" w14:textId="77777777" w:rsidTr="00AA2A4C">
        <w:tblPrEx>
          <w:tblCellMar>
            <w:top w:w="0" w:type="dxa"/>
            <w:bottom w:w="0" w:type="dxa"/>
          </w:tblCellMar>
        </w:tblPrEx>
        <w:trPr>
          <w:cantSplit/>
        </w:trPr>
        <w:tc>
          <w:tcPr>
            <w:tcW w:w="9848" w:type="dxa"/>
          </w:tcPr>
          <w:p w14:paraId="4FE28239" w14:textId="77777777" w:rsidR="00711444" w:rsidRPr="004D0DAA" w:rsidRDefault="00711444" w:rsidP="00AA2A4C">
            <w:pPr>
              <w:pStyle w:val="TAL"/>
              <w:rPr>
                <w:lang w:eastAsia="en-US"/>
              </w:rPr>
            </w:pPr>
            <w:r w:rsidRPr="004D0DAA">
              <w:rPr>
                <w:lang w:eastAsia="en-US"/>
              </w:rPr>
              <w:t>&lt; Multiple Uplink Assignment 2 IE &gt; ::=</w:t>
            </w:r>
          </w:p>
          <w:p w14:paraId="3FAAA9A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EGPRS Channel Coding Command</w:t>
            </w:r>
            <w:r w:rsidRPr="004D0DAA">
              <w:rPr>
                <w:lang w:eastAsia="en-US"/>
              </w:rPr>
              <w:t> : &lt; EGPRS Modulation and Coding Scheme IE &gt; &gt; }</w:t>
            </w:r>
          </w:p>
          <w:p w14:paraId="113A9F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RESEGMENT</w:t>
            </w:r>
            <w:r w:rsidRPr="004D0DAA">
              <w:rPr>
                <w:bCs/>
                <w:lang w:eastAsia="en-US"/>
              </w:rPr>
              <w:t xml:space="preserve"> </w:t>
            </w:r>
            <w:r w:rsidRPr="004D0DAA">
              <w:rPr>
                <w:lang w:eastAsia="en-US"/>
              </w:rPr>
              <w:t>: bit (1) &gt;</w:t>
            </w:r>
          </w:p>
          <w:p w14:paraId="11019C9E"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Uplink</w:t>
            </w:r>
            <w:r w:rsidRPr="004D0DAA">
              <w:rPr>
                <w:lang w:eastAsia="en-US"/>
              </w:rPr>
              <w:t xml:space="preserve"> </w:t>
            </w:r>
            <w:r w:rsidRPr="004D0DAA">
              <w:rPr>
                <w:b/>
                <w:bCs/>
                <w:lang w:eastAsia="en-US"/>
              </w:rPr>
              <w:t>EGPRS Window Size</w:t>
            </w:r>
            <w:r w:rsidRPr="004D0DAA">
              <w:rPr>
                <w:lang w:eastAsia="en-US"/>
              </w:rPr>
              <w:t> : &lt; EGPRS Window Size IE &gt; &gt; }</w:t>
            </w:r>
          </w:p>
          <w:p w14:paraId="05E21259"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EXTENDED_DYNAMIC_ALLOCATION</w:t>
            </w:r>
            <w:r w:rsidRPr="004D0DAA">
              <w:rPr>
                <w:lang w:eastAsia="en-US"/>
              </w:rPr>
              <w:t xml:space="preserve"> : bit (1) &gt;</w:t>
            </w:r>
          </w:p>
          <w:p w14:paraId="4CE6959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bCs/>
                <w:lang w:eastAsia="en-US"/>
              </w:rPr>
              <w:t>P0_C1</w:t>
            </w:r>
            <w:r w:rsidRPr="004D0DAA">
              <w:rPr>
                <w:lang w:eastAsia="en-US"/>
              </w:rPr>
              <w:t xml:space="preserve"> : bit (4) &gt; </w:t>
            </w:r>
          </w:p>
          <w:p w14:paraId="45063AC4" w14:textId="77777777" w:rsidR="00711444" w:rsidRPr="004D0DAA" w:rsidRDefault="00711444" w:rsidP="00AA2A4C">
            <w:pPr>
              <w:pStyle w:val="TAL"/>
              <w:rPr>
                <w:lang w:val="fr-FR" w:eastAsia="en-US"/>
              </w:rPr>
            </w:pPr>
            <w:r w:rsidRPr="004D0DAA">
              <w:rPr>
                <w:lang w:eastAsia="en-US"/>
              </w:rPr>
              <w:tab/>
            </w:r>
            <w:r w:rsidRPr="004D0DAA">
              <w:rPr>
                <w:lang w:eastAsia="en-US"/>
              </w:rPr>
              <w:tab/>
            </w:r>
            <w:r w:rsidRPr="004D0DAA">
              <w:rPr>
                <w:lang w:eastAsia="en-US"/>
              </w:rPr>
              <w:tab/>
            </w:r>
            <w:r w:rsidRPr="004D0DAA">
              <w:rPr>
                <w:lang w:val="fr-FR" w:eastAsia="en-US"/>
              </w:rPr>
              <w:t xml:space="preserve">&lt; </w:t>
            </w:r>
            <w:r w:rsidRPr="004D0DAA">
              <w:rPr>
                <w:b/>
                <w:bCs/>
                <w:lang w:val="fr-FR" w:eastAsia="en-US"/>
              </w:rPr>
              <w:t>PR_MODE_C1</w:t>
            </w:r>
            <w:r w:rsidRPr="004D0DAA">
              <w:rPr>
                <w:lang w:val="fr-FR" w:eastAsia="en-US"/>
              </w:rPr>
              <w:t xml:space="preserve"> : bit(1) &gt; </w:t>
            </w:r>
          </w:p>
          <w:p w14:paraId="1B095AC8" w14:textId="77777777" w:rsidR="00711444" w:rsidRPr="004D0DAA" w:rsidRDefault="00711444" w:rsidP="00AA2A4C">
            <w:pPr>
              <w:pStyle w:val="TAL"/>
              <w:rPr>
                <w:lang w:val="fr-FR" w:eastAsia="en-US"/>
              </w:rPr>
            </w:pPr>
            <w:r w:rsidRPr="004D0DAA">
              <w:rPr>
                <w:lang w:val="fr-FR" w:eastAsia="en-US"/>
              </w:rPr>
              <w:tab/>
            </w:r>
            <w:r w:rsidRPr="004D0DAA">
              <w:rPr>
                <w:lang w:val="fr-FR" w:eastAsia="en-US"/>
              </w:rPr>
              <w:tab/>
            </w:r>
            <w:r w:rsidRPr="004D0DAA">
              <w:rPr>
                <w:lang w:val="fr-FR" w:eastAsia="en-US"/>
              </w:rPr>
              <w:tab/>
              <w:t>{ 0 | 1</w:t>
            </w:r>
            <w:r w:rsidRPr="004D0DAA">
              <w:rPr>
                <w:lang w:val="fr-FR" w:eastAsia="en-US"/>
              </w:rPr>
              <w:tab/>
              <w:t xml:space="preserve">&lt; </w:t>
            </w:r>
            <w:r w:rsidRPr="004D0DAA">
              <w:rPr>
                <w:b/>
                <w:bCs/>
                <w:lang w:val="fr-FR" w:eastAsia="en-US"/>
              </w:rPr>
              <w:t>P0_C2</w:t>
            </w:r>
            <w:r w:rsidRPr="004D0DAA">
              <w:rPr>
                <w:lang w:val="fr-FR" w:eastAsia="en-US"/>
              </w:rPr>
              <w:t xml:space="preserve"> : bit (4) &gt; </w:t>
            </w:r>
          </w:p>
          <w:p w14:paraId="50EC5B82" w14:textId="77777777" w:rsidR="00711444" w:rsidRPr="004D0DAA" w:rsidRDefault="00711444" w:rsidP="00AA2A4C">
            <w:pPr>
              <w:pStyle w:val="TAL"/>
              <w:rPr>
                <w:lang w:eastAsia="en-US"/>
              </w:rPr>
            </w:pP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val="fr-FR" w:eastAsia="en-US"/>
              </w:rPr>
              <w:tab/>
            </w:r>
            <w:r w:rsidRPr="004D0DAA">
              <w:rPr>
                <w:lang w:eastAsia="en-US"/>
              </w:rPr>
              <w:t xml:space="preserve">&lt; </w:t>
            </w:r>
            <w:r w:rsidRPr="004D0DAA">
              <w:rPr>
                <w:b/>
                <w:bCs/>
                <w:lang w:eastAsia="en-US"/>
              </w:rPr>
              <w:t>PR_MODE_C2</w:t>
            </w:r>
            <w:r w:rsidRPr="004D0DAA">
              <w:rPr>
                <w:lang w:eastAsia="en-US"/>
              </w:rPr>
              <w:t> : bit(1) &gt; } }</w:t>
            </w:r>
          </w:p>
          <w:p w14:paraId="167F748D" w14:textId="77777777" w:rsidR="00711444" w:rsidRPr="004D0DAA" w:rsidRDefault="00711444" w:rsidP="00AA2A4C">
            <w:pPr>
              <w:pStyle w:val="TAL"/>
              <w:rPr>
                <w:rFonts w:cs="Arial"/>
                <w:szCs w:val="18"/>
                <w:lang w:eastAsia="en-US"/>
              </w:rPr>
            </w:pPr>
            <w:r w:rsidRPr="004D0DAA">
              <w:rPr>
                <w:lang w:eastAsia="en-US"/>
              </w:rPr>
              <w:tab/>
            </w:r>
            <w:r w:rsidRPr="004D0DAA">
              <w:rPr>
                <w:rFonts w:cs="Arial"/>
                <w:szCs w:val="18"/>
                <w:lang w:eastAsia="en-US"/>
              </w:rPr>
              <w:t xml:space="preserve">{ 0 | 1 </w:t>
            </w:r>
            <w:r w:rsidRPr="004D0DAA">
              <w:rPr>
                <w:lang w:eastAsia="en-US"/>
              </w:rPr>
              <w:tab/>
            </w:r>
            <w:r w:rsidRPr="004D0DAA">
              <w:rPr>
                <w:rFonts w:cs="Arial"/>
                <w:szCs w:val="18"/>
                <w:lang w:eastAsia="en-US"/>
              </w:rPr>
              <w:t xml:space="preserve">-- </w:t>
            </w:r>
            <w:r w:rsidRPr="004D0DAA">
              <w:rPr>
                <w:rFonts w:cs="Arial"/>
                <w:i/>
                <w:iCs/>
                <w:szCs w:val="18"/>
                <w:lang w:eastAsia="en-US"/>
              </w:rPr>
              <w:t xml:space="preserve">'1' indicates that </w:t>
            </w:r>
            <w:r w:rsidRPr="004D0DAA">
              <w:rPr>
                <w:i/>
                <w:lang w:eastAsia="en-US"/>
              </w:rPr>
              <w:t>FANR is activated</w:t>
            </w:r>
          </w:p>
          <w:p w14:paraId="32A71566" w14:textId="77777777" w:rsidR="00711444" w:rsidRPr="004D0DAA" w:rsidRDefault="00711444" w:rsidP="00AA2A4C">
            <w:pPr>
              <w:pStyle w:val="TAL"/>
              <w:rPr>
                <w:lang w:eastAsia="en-US"/>
              </w:rPr>
            </w:pPr>
            <w:r w:rsidRPr="004D0DAA">
              <w:rPr>
                <w:iCs/>
                <w:lang w:eastAsia="en-US"/>
              </w:rPr>
              <w:tab/>
            </w:r>
            <w:r w:rsidRPr="004D0DAA">
              <w:rPr>
                <w:iCs/>
                <w:lang w:eastAsia="en-US"/>
              </w:rPr>
              <w:tab/>
            </w:r>
            <w:r w:rsidRPr="004D0DAA">
              <w:rPr>
                <w:rFonts w:cs="Arial"/>
                <w:szCs w:val="18"/>
                <w:lang w:eastAsia="en-US"/>
              </w:rPr>
              <w:t xml:space="preserve">{ 0 </w:t>
            </w:r>
            <w:r w:rsidRPr="004D0DAA">
              <w:rPr>
                <w:lang w:eastAsia="en-US"/>
              </w:rPr>
              <w:tab/>
            </w:r>
            <w:r w:rsidRPr="004D0DAA">
              <w:rPr>
                <w:lang w:eastAsia="en-US"/>
              </w:rPr>
              <w:tab/>
              <w:t xml:space="preserve">-- </w:t>
            </w:r>
            <w:r w:rsidRPr="004D0DAA">
              <w:rPr>
                <w:i/>
                <w:lang w:eastAsia="en-US"/>
              </w:rPr>
              <w:t>SSN-based encoding is selected</w:t>
            </w:r>
          </w:p>
          <w:p w14:paraId="4EECAB2B" w14:textId="77777777" w:rsidR="00711444" w:rsidRPr="004D0DAA" w:rsidRDefault="00711444" w:rsidP="00AA2A4C">
            <w:pPr>
              <w:pStyle w:val="TAL"/>
              <w:rPr>
                <w:i/>
                <w:lang w:eastAsia="en-US"/>
              </w:rPr>
            </w:pPr>
            <w:r w:rsidRPr="004D0DAA">
              <w:rPr>
                <w:iCs/>
                <w:lang w:eastAsia="en-US"/>
              </w:rPr>
              <w:tab/>
            </w:r>
            <w:r w:rsidRPr="004D0DAA">
              <w:rPr>
                <w:iCs/>
                <w:lang w:eastAsia="en-US"/>
              </w:rPr>
              <w:tab/>
            </w:r>
            <w:r w:rsidRPr="004D0DAA">
              <w:rPr>
                <w:rFonts w:cs="Arial"/>
                <w:szCs w:val="18"/>
                <w:lang w:eastAsia="en-US"/>
              </w:rPr>
              <w:t xml:space="preserve">| 1 </w:t>
            </w:r>
            <w:r w:rsidRPr="004D0DAA">
              <w:rPr>
                <w:lang w:eastAsia="en-US"/>
              </w:rPr>
              <w:tab/>
            </w:r>
            <w:r w:rsidRPr="004D0DAA">
              <w:rPr>
                <w:lang w:eastAsia="en-US"/>
              </w:rPr>
              <w:tab/>
              <w:t xml:space="preserve">-- </w:t>
            </w:r>
            <w:r w:rsidRPr="004D0DAA">
              <w:rPr>
                <w:i/>
                <w:lang w:eastAsia="en-US"/>
              </w:rPr>
              <w:t>Time-based encoding is selected</w:t>
            </w:r>
          </w:p>
          <w:p w14:paraId="686F648A" w14:textId="77777777" w:rsidR="00711444" w:rsidRPr="004D0DAA" w:rsidRDefault="00711444" w:rsidP="00AA2A4C">
            <w:pPr>
              <w:pStyle w:val="TAL"/>
              <w:rPr>
                <w:rFonts w:cs="Arial"/>
                <w:szCs w:val="18"/>
                <w:lang w:eastAsia="en-US"/>
              </w:rPr>
            </w:pPr>
            <w:r w:rsidRPr="004D0DAA">
              <w:rPr>
                <w:iCs/>
                <w:lang w:eastAsia="en-US"/>
              </w:rPr>
              <w:tab/>
            </w:r>
            <w:r w:rsidRPr="004D0DAA">
              <w:rPr>
                <w:iCs/>
                <w:lang w:eastAsia="en-US"/>
              </w:rPr>
              <w:tab/>
            </w:r>
            <w:r w:rsidRPr="004D0DAA">
              <w:rPr>
                <w:iCs/>
                <w:lang w:eastAsia="en-US"/>
              </w:rPr>
              <w:tab/>
            </w:r>
            <w:r w:rsidRPr="004D0DAA">
              <w:rPr>
                <w:lang w:eastAsia="en-US"/>
              </w:rPr>
              <w:t xml:space="preserve">&lt; </w:t>
            </w:r>
            <w:r w:rsidRPr="004D0DAA">
              <w:rPr>
                <w:b/>
                <w:lang w:eastAsia="en-US"/>
              </w:rPr>
              <w:t>TSH</w:t>
            </w:r>
            <w:r w:rsidRPr="004D0DAA">
              <w:rPr>
                <w:lang w:eastAsia="en-US"/>
              </w:rPr>
              <w:t xml:space="preserve"> : bit (2) &gt;  } }</w:t>
            </w:r>
          </w:p>
          <w:p w14:paraId="1470ECC2" w14:textId="77777777" w:rsidR="00711444" w:rsidRPr="004D0DAA" w:rsidRDefault="00711444" w:rsidP="00AA2A4C">
            <w:pPr>
              <w:pStyle w:val="TAL"/>
              <w:rPr>
                <w:lang w:eastAsia="en-US"/>
              </w:rPr>
            </w:pPr>
            <w:r w:rsidRPr="004D0DAA">
              <w:rPr>
                <w:lang w:eastAsia="en-US"/>
              </w:rPr>
              <w:tab/>
              <w:t>{ 0</w:t>
            </w:r>
            <w:r w:rsidRPr="004D0DAA">
              <w:rPr>
                <w:rFonts w:hint="eastAsia"/>
                <w:lang w:eastAsia="zh-CN"/>
              </w:rPr>
              <w:t xml:space="preserve"> | 1</w:t>
            </w:r>
            <w:r w:rsidRPr="004D0DAA">
              <w:rPr>
                <w:lang w:eastAsia="en-US"/>
              </w:rPr>
              <w:t xml:space="preserve"> </w:t>
            </w:r>
            <w:r w:rsidRPr="004D0DAA">
              <w:rPr>
                <w:i/>
                <w:lang w:eastAsia="en-US"/>
              </w:rPr>
              <w:tab/>
            </w:r>
            <w:r w:rsidRPr="004D0DAA">
              <w:rPr>
                <w:i/>
                <w:lang w:eastAsia="en-US"/>
              </w:rPr>
              <w:tab/>
            </w:r>
            <w:r w:rsidRPr="004D0DAA">
              <w:rPr>
                <w:i/>
                <w:lang w:eastAsia="en-US"/>
              </w:rPr>
              <w:tab/>
            </w:r>
            <w:r w:rsidRPr="004D0DAA">
              <w:rPr>
                <w:i/>
                <w:lang w:eastAsia="en-US"/>
              </w:rPr>
              <w:tab/>
              <w:t>-- BTTI mode</w:t>
            </w:r>
          </w:p>
          <w:p w14:paraId="4B379429"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t xml:space="preserve">&lt; </w:t>
            </w:r>
            <w:r w:rsidRPr="004D0DAA">
              <w:rPr>
                <w:b/>
                <w:bCs/>
                <w:lang w:eastAsia="en-US"/>
              </w:rPr>
              <w:t>Global Timeslot description</w:t>
            </w:r>
            <w:r w:rsidRPr="004D0DAA">
              <w:rPr>
                <w:lang w:eastAsia="en-US"/>
              </w:rPr>
              <w:t xml:space="preserve"> : &lt; Timeslot description 2 struct &gt; &gt; </w:t>
            </w:r>
          </w:p>
          <w:p w14:paraId="2E3BBFE3" w14:textId="77777777" w:rsidR="00711444" w:rsidRPr="004D0DAA" w:rsidRDefault="00711444" w:rsidP="00AA2A4C">
            <w:pPr>
              <w:pStyle w:val="TAL"/>
              <w:rPr>
                <w:rFonts w:hint="eastAsia"/>
                <w:lang w:eastAsia="zh-CN"/>
              </w:rPr>
            </w:pPr>
            <w:r w:rsidRPr="004D0DAA">
              <w:rPr>
                <w:lang w:eastAsia="zh-CN"/>
              </w:rPr>
              <w:tab/>
            </w:r>
            <w:r w:rsidRPr="004D0DAA">
              <w:rPr>
                <w:lang w:eastAsia="zh-CN"/>
              </w:rPr>
              <w:tab/>
            </w:r>
            <w:r w:rsidRPr="004D0DAA">
              <w:rPr>
                <w:lang w:eastAsia="en-US"/>
              </w:rPr>
              <w:t xml:space="preserve">{ 1 &lt; </w:t>
            </w:r>
            <w:r w:rsidRPr="004D0DAA">
              <w:rPr>
                <w:b/>
                <w:lang w:eastAsia="en-US"/>
              </w:rPr>
              <w:t>BTTI</w:t>
            </w:r>
            <w:r w:rsidRPr="004D0DAA">
              <w:rPr>
                <w:lang w:eastAsia="en-US"/>
              </w:rPr>
              <w:t xml:space="preserve"> </w:t>
            </w:r>
            <w:r w:rsidRPr="004D0DAA">
              <w:rPr>
                <w:b/>
                <w:bCs/>
                <w:lang w:eastAsia="en-US"/>
              </w:rPr>
              <w:t>Uplink TBF Assignment</w:t>
            </w:r>
            <w:r w:rsidRPr="004D0DAA">
              <w:rPr>
                <w:lang w:eastAsia="en-US"/>
              </w:rPr>
              <w:t xml:space="preserve"> : &lt; BTTI Uplink TBF Assignment struct &gt; &gt; } ** 0</w:t>
            </w:r>
          </w:p>
          <w:p w14:paraId="453D3CE2" w14:textId="77777777" w:rsidR="00711444" w:rsidRPr="004D0DAA" w:rsidRDefault="00711444" w:rsidP="00AA2A4C">
            <w:pPr>
              <w:pStyle w:val="TAL"/>
              <w:rPr>
                <w:rFonts w:hint="eastAsia"/>
                <w:lang w:eastAsia="zh-CN"/>
              </w:rPr>
            </w:pPr>
            <w:r w:rsidRPr="004D0DAA">
              <w:rPr>
                <w:lang w:eastAsia="zh-CN"/>
              </w:rPr>
              <w:tab/>
            </w:r>
            <w:r w:rsidRPr="004D0DAA">
              <w:rPr>
                <w:rFonts w:hint="eastAsia"/>
                <w:lang w:eastAsia="zh-CN"/>
              </w:rPr>
              <w:t>}</w:t>
            </w:r>
          </w:p>
          <w:p w14:paraId="595586A3" w14:textId="77777777" w:rsidR="00711444" w:rsidRPr="004D0DAA" w:rsidRDefault="00711444" w:rsidP="00AA2A4C">
            <w:pPr>
              <w:pStyle w:val="TAL"/>
              <w:rPr>
                <w:lang w:eastAsia="en-US"/>
              </w:rPr>
            </w:pPr>
          </w:p>
          <w:p w14:paraId="411B0191" w14:textId="77777777" w:rsidR="00711444" w:rsidRPr="004D0DAA" w:rsidRDefault="00711444" w:rsidP="00AA2A4C">
            <w:pPr>
              <w:pStyle w:val="TAL"/>
              <w:rPr>
                <w:lang w:eastAsia="en-US"/>
              </w:rPr>
            </w:pPr>
            <w:r w:rsidRPr="004D0DAA">
              <w:rPr>
                <w:lang w:eastAsia="en-US"/>
              </w:rPr>
              <w:tab/>
            </w:r>
            <w:r w:rsidRPr="004D0DAA">
              <w:rPr>
                <w:rFonts w:hint="eastAsia"/>
                <w:lang w:eastAsia="zh-CN"/>
              </w:rPr>
              <w:t xml:space="preserve">{ 0 </w:t>
            </w:r>
            <w:r w:rsidRPr="004D0DAA">
              <w:rPr>
                <w:lang w:eastAsia="en-US"/>
              </w:rPr>
              <w:t>| 1</w:t>
            </w:r>
            <w:r w:rsidRPr="004D0DAA">
              <w:rPr>
                <w:i/>
                <w:lang w:eastAsia="en-US"/>
              </w:rPr>
              <w:t xml:space="preserve"> </w:t>
            </w:r>
            <w:r w:rsidRPr="004D0DAA">
              <w:rPr>
                <w:i/>
                <w:lang w:eastAsia="en-US"/>
              </w:rPr>
              <w:tab/>
            </w:r>
            <w:r w:rsidRPr="004D0DAA">
              <w:rPr>
                <w:i/>
                <w:lang w:eastAsia="en-US"/>
              </w:rPr>
              <w:tab/>
            </w:r>
            <w:r w:rsidRPr="004D0DAA">
              <w:rPr>
                <w:i/>
                <w:lang w:eastAsia="en-US"/>
              </w:rPr>
              <w:tab/>
            </w:r>
            <w:r w:rsidRPr="004D0DAA">
              <w:rPr>
                <w:i/>
                <w:lang w:eastAsia="en-US"/>
              </w:rPr>
              <w:tab/>
              <w:t>-- RTTI mode</w:t>
            </w:r>
          </w:p>
          <w:p w14:paraId="4417F629" w14:textId="77777777" w:rsidR="00711444" w:rsidRPr="004D0DAA" w:rsidRDefault="00711444" w:rsidP="00AA2A4C">
            <w:pPr>
              <w:pStyle w:val="TAL"/>
              <w:rPr>
                <w:lang w:eastAsia="en-US"/>
              </w:rPr>
            </w:pPr>
            <w:r w:rsidRPr="004D0DAA">
              <w:rPr>
                <w:lang w:eastAsia="en-US"/>
              </w:rPr>
              <w:tab/>
            </w:r>
            <w:r w:rsidRPr="004D0DAA">
              <w:rPr>
                <w:lang w:eastAsia="en-US"/>
              </w:rPr>
              <w:tab/>
            </w:r>
          </w:p>
          <w:p w14:paraId="664B5E9B" w14:textId="77777777" w:rsidR="00711444" w:rsidRPr="004D0DAA" w:rsidRDefault="00711444" w:rsidP="00AA2A4C">
            <w:pPr>
              <w:pStyle w:val="TAL"/>
              <w:rPr>
                <w:rFonts w:cs="Arial"/>
                <w:i/>
                <w:szCs w:val="18"/>
                <w:lang w:eastAsia="en-US"/>
              </w:rPr>
            </w:pPr>
            <w:r w:rsidRPr="004D0DAA">
              <w:rPr>
                <w:rFonts w:cs="Arial"/>
                <w:i/>
                <w:szCs w:val="18"/>
                <w:lang w:eastAsia="en-US"/>
              </w:rPr>
              <w:tab/>
            </w:r>
            <w:r w:rsidRPr="004D0DAA">
              <w:rPr>
                <w:rFonts w:cs="Arial"/>
                <w:i/>
                <w:szCs w:val="18"/>
                <w:lang w:eastAsia="en-US"/>
              </w:rPr>
              <w:tab/>
              <w:t>-- The Uplink Assignment PDCH Pairs Description IE shall not ne included</w:t>
            </w:r>
          </w:p>
          <w:p w14:paraId="747946BC" w14:textId="77777777" w:rsidR="00711444" w:rsidRPr="004D0DAA" w:rsidRDefault="00711444" w:rsidP="00AA2A4C">
            <w:pPr>
              <w:pStyle w:val="TAL"/>
              <w:rPr>
                <w:rFonts w:cs="Arial"/>
                <w:i/>
                <w:szCs w:val="18"/>
                <w:lang w:eastAsia="en-US"/>
              </w:rPr>
            </w:pPr>
            <w:r w:rsidRPr="004D0DAA">
              <w:rPr>
                <w:rFonts w:cs="Arial"/>
                <w:i/>
                <w:szCs w:val="18"/>
                <w:lang w:eastAsia="en-US"/>
              </w:rPr>
              <w:tab/>
            </w:r>
            <w:r w:rsidRPr="004D0DAA">
              <w:rPr>
                <w:rFonts w:cs="Arial"/>
                <w:i/>
                <w:szCs w:val="18"/>
                <w:lang w:eastAsia="en-US"/>
              </w:rPr>
              <w:tab/>
              <w:t>-- when an RTTI configuration description for downlink TBF(s) is provided in the message</w:t>
            </w:r>
          </w:p>
          <w:p w14:paraId="6B9B7FBF" w14:textId="77777777" w:rsidR="00711444" w:rsidRPr="004D0DAA" w:rsidRDefault="00711444" w:rsidP="00AA2A4C">
            <w:pPr>
              <w:pStyle w:val="TAL"/>
              <w:rPr>
                <w:lang w:eastAsia="en-US"/>
              </w:rPr>
            </w:pPr>
            <w:r w:rsidRPr="004D0DAA">
              <w:rPr>
                <w:lang w:eastAsia="en-US"/>
              </w:rPr>
              <w:tab/>
            </w:r>
            <w:r w:rsidRPr="004D0DAA">
              <w:rPr>
                <w:lang w:eastAsia="en-US"/>
              </w:rPr>
              <w:tab/>
              <w:t xml:space="preserve">{ </w:t>
            </w:r>
            <w:r w:rsidRPr="004D0DAA">
              <w:rPr>
                <w:lang w:eastAsia="zh-CN"/>
              </w:rPr>
              <w:t xml:space="preserve">0 </w:t>
            </w:r>
            <w:r w:rsidRPr="004D0DAA">
              <w:rPr>
                <w:lang w:eastAsia="en-US"/>
              </w:rPr>
              <w:t xml:space="preserve">| 1 &lt; </w:t>
            </w:r>
            <w:r w:rsidRPr="004D0DAA">
              <w:rPr>
                <w:b/>
                <w:lang w:eastAsia="en-US"/>
              </w:rPr>
              <w:t xml:space="preserve">Uplink Assignment </w:t>
            </w:r>
            <w:r w:rsidRPr="004D0DAA">
              <w:rPr>
                <w:b/>
                <w:bCs/>
                <w:lang w:eastAsia="en-US"/>
              </w:rPr>
              <w:t xml:space="preserve">PDCH Pairs Description </w:t>
            </w:r>
            <w:r w:rsidRPr="004D0DAA">
              <w:rPr>
                <w:lang w:eastAsia="en-US"/>
              </w:rPr>
              <w:t>: &lt; PDCH Pairs Description IE &gt; &gt; }</w:t>
            </w:r>
          </w:p>
          <w:p w14:paraId="4780C07E" w14:textId="77777777" w:rsidR="00711444" w:rsidRPr="004D0DAA" w:rsidRDefault="00711444" w:rsidP="00AA2A4C">
            <w:pPr>
              <w:pStyle w:val="TAL"/>
              <w:rPr>
                <w:lang w:eastAsia="en-US"/>
              </w:rPr>
            </w:pPr>
          </w:p>
          <w:p w14:paraId="31657039" w14:textId="77777777" w:rsidR="00711444" w:rsidRPr="004D0DAA" w:rsidRDefault="00711444" w:rsidP="00AA2A4C">
            <w:pPr>
              <w:pStyle w:val="TAL"/>
              <w:rPr>
                <w:rFonts w:eastAsia="SimSun" w:cs="Arial"/>
                <w:szCs w:val="18"/>
                <w:lang w:eastAsia="zh-CN"/>
              </w:rPr>
            </w:pPr>
            <w:r w:rsidRPr="004D0DAA">
              <w:rPr>
                <w:lang w:eastAsia="en-US"/>
              </w:rPr>
              <w:tab/>
            </w:r>
            <w:r w:rsidRPr="004D0DAA">
              <w:rPr>
                <w:lang w:eastAsia="en-US"/>
              </w:rPr>
              <w:tab/>
              <w:t xml:space="preserve">&lt; </w:t>
            </w:r>
            <w:r w:rsidRPr="004D0DAA">
              <w:rPr>
                <w:b/>
                <w:lang w:eastAsia="en-US"/>
              </w:rPr>
              <w:t>N_PAIRS</w:t>
            </w:r>
            <w:r w:rsidRPr="004D0DAA">
              <w:rPr>
                <w:lang w:eastAsia="en-US"/>
              </w:rPr>
              <w:t xml:space="preserve"> : bit (3) &gt; </w:t>
            </w:r>
            <w:r w:rsidRPr="004D0DAA">
              <w:rPr>
                <w:lang w:eastAsia="en-US"/>
              </w:rPr>
              <w:tab/>
            </w:r>
            <w:r w:rsidRPr="004D0DAA">
              <w:rPr>
                <w:lang w:eastAsia="en-US"/>
              </w:rPr>
              <w:tab/>
            </w:r>
            <w:r w:rsidRPr="004D0DAA">
              <w:rPr>
                <w:rFonts w:cs="Arial"/>
                <w:i/>
                <w:szCs w:val="18"/>
                <w:lang w:eastAsia="en-US"/>
              </w:rPr>
              <w:t>-- Number minus 1 of the uplink pairs of the PDCH pairs description</w:t>
            </w:r>
          </w:p>
          <w:p w14:paraId="1B8F1B5E"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assigned to the TBF</w:t>
            </w:r>
          </w:p>
          <w:p w14:paraId="5C19A4C3"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Without power control parameters</w:t>
            </w:r>
          </w:p>
          <w:p w14:paraId="5ED2AED8" w14:textId="77777777" w:rsidR="00711444" w:rsidRPr="004D0DAA" w:rsidRDefault="00711444" w:rsidP="00AA2A4C">
            <w:pPr>
              <w:pStyle w:val="TAL"/>
              <w:rPr>
                <w:lang w:eastAsia="en-US"/>
              </w:rPr>
            </w:pPr>
            <w:r w:rsidRPr="004D0DAA">
              <w:rPr>
                <w:lang w:eastAsia="en-US"/>
              </w:rPr>
              <w:tab/>
            </w: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xml:space="preserve">-- </w:t>
            </w:r>
            <w:r w:rsidRPr="004D0DAA">
              <w:rPr>
                <w:i/>
                <w:iCs/>
                <w:lang w:eastAsia="en-US"/>
              </w:rPr>
              <w:t>With power control parameters</w:t>
            </w:r>
          </w:p>
          <w:p w14:paraId="538A84C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bCs/>
                <w:lang w:eastAsia="en-US"/>
              </w:rPr>
              <w:t>ALPHA_C1</w:t>
            </w:r>
            <w:r w:rsidRPr="004D0DAA">
              <w:rPr>
                <w:lang w:eastAsia="en-US"/>
              </w:rPr>
              <w:t xml:space="preserve"> : bit (4) &gt;</w:t>
            </w:r>
          </w:p>
          <w:p w14:paraId="0414F794"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 1 &lt; </w:t>
            </w:r>
            <w:r w:rsidRPr="004D0DAA">
              <w:rPr>
                <w:b/>
                <w:bCs/>
                <w:lang w:eastAsia="en-US"/>
              </w:rPr>
              <w:t>ALPHA_C2</w:t>
            </w:r>
            <w:r w:rsidRPr="004D0DAA">
              <w:rPr>
                <w:lang w:eastAsia="en-US"/>
              </w:rPr>
              <w:t xml:space="preserve"> : bit (4) &gt; }</w:t>
            </w:r>
          </w:p>
          <w:p w14:paraId="336A931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0 | 1</w:t>
            </w:r>
            <w:r w:rsidRPr="004D0DAA">
              <w:rPr>
                <w:lang w:eastAsia="en-US"/>
              </w:rPr>
              <w:tab/>
              <w:t xml:space="preserve">&lt; </w:t>
            </w:r>
            <w:r w:rsidRPr="004D0DAA">
              <w:rPr>
                <w:b/>
                <w:lang w:eastAsia="en-US"/>
              </w:rPr>
              <w:t>GAMMA</w:t>
            </w:r>
            <w:r w:rsidRPr="004D0DAA">
              <w:rPr>
                <w:lang w:eastAsia="en-US"/>
              </w:rPr>
              <w:t xml:space="preserve"> : bit (5) &gt; } * (val (</w:t>
            </w:r>
            <w:r w:rsidRPr="004D0DAA">
              <w:rPr>
                <w:b/>
                <w:lang w:eastAsia="en-US"/>
              </w:rPr>
              <w:t>N_PAIRS</w:t>
            </w:r>
            <w:r w:rsidRPr="004D0DAA">
              <w:rPr>
                <w:lang w:eastAsia="en-US"/>
              </w:rPr>
              <w:t xml:space="preserve">) + 1) </w:t>
            </w:r>
          </w:p>
          <w:p w14:paraId="1A9A17FA"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 0 </w:t>
            </w:r>
            <w:r w:rsidRPr="004D0DAA">
              <w:rPr>
                <w:lang w:eastAsia="en-US"/>
              </w:rPr>
              <w:tab/>
            </w:r>
            <w:r w:rsidRPr="004D0DAA">
              <w:rPr>
                <w:lang w:eastAsia="en-US"/>
              </w:rPr>
              <w:tab/>
            </w:r>
            <w:r w:rsidRPr="004D0DAA">
              <w:rPr>
                <w:i/>
                <w:lang w:eastAsia="en-US"/>
              </w:rPr>
              <w:t>-- RTTI USF, or no second GAMMA values are given in case of RTTI mode with BTTI USF</w:t>
            </w:r>
          </w:p>
          <w:p w14:paraId="249688E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w:t>
            </w:r>
            <w:r w:rsidRPr="004D0DAA">
              <w:rPr>
                <w:lang w:eastAsia="en-US"/>
              </w:rPr>
              <w:tab/>
            </w:r>
            <w:r w:rsidRPr="004D0DAA">
              <w:rPr>
                <w:lang w:eastAsia="en-US"/>
              </w:rPr>
              <w:tab/>
            </w:r>
            <w:r w:rsidRPr="004D0DAA">
              <w:rPr>
                <w:i/>
                <w:lang w:eastAsia="en-US"/>
              </w:rPr>
              <w:t>-- Second GAMMA values are given in case of RTTI mode with BTTI USF</w:t>
            </w:r>
          </w:p>
          <w:p w14:paraId="3E0E801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 0 | 1 &lt; </w:t>
            </w:r>
            <w:r w:rsidRPr="004D0DAA">
              <w:rPr>
                <w:b/>
                <w:lang w:eastAsia="en-US"/>
              </w:rPr>
              <w:t>GAMMA</w:t>
            </w:r>
            <w:r w:rsidRPr="004D0DAA">
              <w:rPr>
                <w:lang w:eastAsia="en-US"/>
              </w:rPr>
              <w:t xml:space="preserve"> : bit (5) &gt; } * (val (</w:t>
            </w:r>
            <w:r w:rsidRPr="004D0DAA">
              <w:rPr>
                <w:b/>
                <w:lang w:eastAsia="en-US"/>
              </w:rPr>
              <w:t>N_PAIRS</w:t>
            </w:r>
            <w:r w:rsidRPr="004D0DAA">
              <w:rPr>
                <w:lang w:eastAsia="en-US"/>
              </w:rPr>
              <w:t>) + 1)</w:t>
            </w:r>
          </w:p>
          <w:p w14:paraId="4D542C4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31343FD2" w14:textId="77777777" w:rsidR="00711444" w:rsidRPr="004D0DAA" w:rsidRDefault="00711444" w:rsidP="00AA2A4C">
            <w:pPr>
              <w:pStyle w:val="TAL"/>
              <w:rPr>
                <w:lang w:eastAsia="en-US"/>
              </w:rPr>
            </w:pPr>
            <w:r w:rsidRPr="004D0DAA">
              <w:rPr>
                <w:lang w:eastAsia="en-US"/>
              </w:rPr>
              <w:tab/>
            </w:r>
            <w:r w:rsidRPr="004D0DAA">
              <w:rPr>
                <w:lang w:eastAsia="zh-CN"/>
              </w:rPr>
              <w:tab/>
            </w:r>
            <w:r w:rsidRPr="004D0DAA">
              <w:rPr>
                <w:lang w:eastAsia="en-US"/>
              </w:rPr>
              <w:t>}</w:t>
            </w:r>
          </w:p>
          <w:p w14:paraId="3C811775" w14:textId="77777777" w:rsidR="00711444" w:rsidRPr="004D0DAA" w:rsidRDefault="00711444" w:rsidP="00AA2A4C">
            <w:pPr>
              <w:pStyle w:val="TAL"/>
              <w:rPr>
                <w:szCs w:val="18"/>
                <w:lang w:eastAsia="zh-CN"/>
              </w:rPr>
            </w:pPr>
            <w:r w:rsidRPr="004D0DAA">
              <w:rPr>
                <w:lang w:eastAsia="en-US"/>
              </w:rPr>
              <w:tab/>
            </w:r>
            <w:r w:rsidRPr="004D0DAA">
              <w:rPr>
                <w:lang w:eastAsia="zh-CN"/>
              </w:rPr>
              <w:tab/>
            </w:r>
            <w:r w:rsidRPr="004D0DAA">
              <w:rPr>
                <w:lang w:eastAsia="en-US"/>
              </w:rPr>
              <w:t>{ 1</w:t>
            </w:r>
            <w:r w:rsidRPr="004D0DAA">
              <w:rPr>
                <w:lang w:eastAsia="zh-CN"/>
              </w:rPr>
              <w:tab/>
            </w:r>
            <w:r w:rsidRPr="004D0DAA">
              <w:rPr>
                <w:szCs w:val="18"/>
                <w:lang w:eastAsia="en-US"/>
              </w:rPr>
              <w:t xml:space="preserve">&lt; </w:t>
            </w:r>
            <w:r w:rsidRPr="004D0DAA">
              <w:rPr>
                <w:b/>
                <w:bCs/>
                <w:szCs w:val="18"/>
                <w:lang w:eastAsia="en-US"/>
              </w:rPr>
              <w:t xml:space="preserve">RTTI_USF_MODE </w:t>
            </w:r>
            <w:r w:rsidRPr="004D0DAA">
              <w:rPr>
                <w:szCs w:val="18"/>
                <w:lang w:eastAsia="en-US"/>
              </w:rPr>
              <w:t>: bit (1) &gt;</w:t>
            </w:r>
          </w:p>
          <w:p w14:paraId="3F6DB7E0" w14:textId="77777777" w:rsidR="00711444" w:rsidRPr="004D0DAA" w:rsidRDefault="00711444" w:rsidP="00AA2A4C">
            <w:pPr>
              <w:pStyle w:val="TAL"/>
              <w:rPr>
                <w:lang w:eastAsia="zh-CN"/>
              </w:rPr>
            </w:pPr>
            <w:r w:rsidRPr="004D0DAA">
              <w:rPr>
                <w:szCs w:val="18"/>
                <w:lang w:eastAsia="zh-CN"/>
              </w:rPr>
              <w:tab/>
            </w:r>
            <w:r w:rsidRPr="004D0DAA">
              <w:rPr>
                <w:szCs w:val="18"/>
                <w:lang w:eastAsia="zh-CN"/>
              </w:rPr>
              <w:tab/>
            </w:r>
            <w:r w:rsidRPr="004D0DAA">
              <w:rPr>
                <w:szCs w:val="18"/>
                <w:lang w:eastAsia="zh-CN"/>
              </w:rPr>
              <w:tab/>
            </w:r>
            <w:r w:rsidRPr="004D0DAA">
              <w:rPr>
                <w:lang w:eastAsia="en-US"/>
              </w:rPr>
              <w:t xml:space="preserve">&lt; </w:t>
            </w:r>
            <w:r w:rsidRPr="004D0DAA">
              <w:rPr>
                <w:b/>
                <w:lang w:eastAsia="en-US"/>
              </w:rPr>
              <w:t>RTTI</w:t>
            </w:r>
            <w:r w:rsidRPr="004D0DAA">
              <w:rPr>
                <w:lang w:eastAsia="en-US"/>
              </w:rPr>
              <w:t xml:space="preserve"> </w:t>
            </w:r>
            <w:r w:rsidRPr="004D0DAA">
              <w:rPr>
                <w:b/>
                <w:bCs/>
                <w:lang w:eastAsia="en-US"/>
              </w:rPr>
              <w:t>Uplink TBF Assignment</w:t>
            </w:r>
            <w:r w:rsidRPr="004D0DAA">
              <w:rPr>
                <w:lang w:eastAsia="en-US"/>
              </w:rPr>
              <w:t xml:space="preserve"> : &lt; RTTI Uplink TBF Assignment struct &gt; &gt;</w:t>
            </w:r>
          </w:p>
          <w:p w14:paraId="6F33D414" w14:textId="77777777" w:rsidR="00711444" w:rsidRPr="004D0DAA" w:rsidRDefault="00711444" w:rsidP="00AA2A4C">
            <w:pPr>
              <w:pStyle w:val="TAL"/>
              <w:rPr>
                <w:rFonts w:hint="eastAsia"/>
                <w:lang w:eastAsia="zh-CN"/>
              </w:rPr>
            </w:pPr>
            <w:r w:rsidRPr="004D0DAA">
              <w:rPr>
                <w:szCs w:val="18"/>
                <w:lang w:eastAsia="zh-CN"/>
              </w:rPr>
              <w:tab/>
            </w:r>
            <w:r w:rsidRPr="004D0DAA">
              <w:rPr>
                <w:rFonts w:hint="eastAsia"/>
                <w:szCs w:val="18"/>
                <w:lang w:eastAsia="zh-CN"/>
              </w:rPr>
              <w:t xml:space="preserve"> </w:t>
            </w:r>
            <w:r w:rsidRPr="004D0DAA">
              <w:rPr>
                <w:lang w:eastAsia="en-US"/>
              </w:rPr>
              <w:t xml:space="preserve"> </w:t>
            </w:r>
            <w:r w:rsidRPr="004D0DAA">
              <w:rPr>
                <w:lang w:eastAsia="en-US"/>
              </w:rPr>
              <w:tab/>
              <w:t xml:space="preserve">} ** 0 </w:t>
            </w:r>
          </w:p>
          <w:p w14:paraId="325BFCF3" w14:textId="77777777" w:rsidR="00711444" w:rsidRPr="004D0DAA" w:rsidRDefault="00711444" w:rsidP="00AA2A4C">
            <w:pPr>
              <w:pStyle w:val="TAL"/>
              <w:rPr>
                <w:lang w:eastAsia="en-US"/>
              </w:rPr>
            </w:pPr>
            <w:r w:rsidRPr="004D0DAA">
              <w:rPr>
                <w:lang w:eastAsia="zh-CN"/>
              </w:rPr>
              <w:tab/>
            </w:r>
            <w:r w:rsidRPr="004D0DAA">
              <w:rPr>
                <w:lang w:eastAsia="en-US"/>
              </w:rPr>
              <w:t xml:space="preserve">} </w:t>
            </w:r>
          </w:p>
          <w:p w14:paraId="0E03CF85" w14:textId="77777777" w:rsidR="00711444" w:rsidRPr="004D0DAA" w:rsidRDefault="00711444" w:rsidP="00AA2A4C">
            <w:pPr>
              <w:pStyle w:val="TAL"/>
              <w:rPr>
                <w:lang w:eastAsia="en-US"/>
              </w:rPr>
            </w:pPr>
          </w:p>
          <w:p w14:paraId="433CE19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Level</w:t>
            </w:r>
            <w:r w:rsidRPr="004D0DAA">
              <w:rPr>
                <w:lang w:eastAsia="en-US"/>
              </w:rPr>
              <w:t>: &lt; EGPRS Level IE &gt; &gt;</w:t>
            </w:r>
          </w:p>
          <w:p w14:paraId="11A7CB4E" w14:textId="77777777" w:rsidR="00711444" w:rsidRPr="004D0DAA" w:rsidRDefault="00711444" w:rsidP="00AA2A4C">
            <w:pPr>
              <w:pStyle w:val="TAL"/>
              <w:rPr>
                <w:lang w:eastAsia="en-US"/>
              </w:rPr>
            </w:pPr>
            <w:r w:rsidRPr="004D0DAA">
              <w:rPr>
                <w:szCs w:val="18"/>
                <w:lang w:eastAsia="en-US"/>
              </w:rPr>
              <w:tab/>
              <w:t xml:space="preserve">{ 0 | 1 &lt; </w:t>
            </w:r>
            <w:r w:rsidRPr="004D0DAA">
              <w:rPr>
                <w:b/>
                <w:szCs w:val="18"/>
                <w:lang w:eastAsia="en-US"/>
              </w:rPr>
              <w:t>Pulse Format</w:t>
            </w:r>
            <w:r w:rsidRPr="004D0DAA">
              <w:rPr>
                <w:szCs w:val="18"/>
                <w:lang w:eastAsia="en-US"/>
              </w:rPr>
              <w:t>: &lt; Pulse Format IE &gt; &gt; }</w:t>
            </w:r>
          </w:p>
          <w:p w14:paraId="6D2F3A90" w14:textId="77777777" w:rsidR="00711444" w:rsidRPr="004D0DAA" w:rsidRDefault="00711444" w:rsidP="00AA2A4C">
            <w:pPr>
              <w:pStyle w:val="TAL"/>
              <w:rPr>
                <w:lang w:eastAsia="zh-CN"/>
              </w:rPr>
            </w:pPr>
            <w:r w:rsidRPr="004D0DAA">
              <w:rPr>
                <w:lang w:eastAsia="en-US"/>
              </w:rPr>
              <w:tab/>
              <w:t>;</w:t>
            </w:r>
          </w:p>
          <w:p w14:paraId="47E68E3D" w14:textId="77777777" w:rsidR="00711444" w:rsidRPr="004D0DAA" w:rsidRDefault="00711444" w:rsidP="00AA2A4C">
            <w:pPr>
              <w:pStyle w:val="TAL"/>
              <w:rPr>
                <w:lang w:eastAsia="en-US"/>
              </w:rPr>
            </w:pPr>
          </w:p>
        </w:tc>
      </w:tr>
      <w:tr w:rsidR="00711444" w:rsidRPr="004D0DAA" w14:paraId="3CDE4F6B" w14:textId="77777777" w:rsidTr="00AA2A4C">
        <w:tblPrEx>
          <w:tblCellMar>
            <w:top w:w="0" w:type="dxa"/>
            <w:bottom w:w="0" w:type="dxa"/>
          </w:tblCellMar>
        </w:tblPrEx>
        <w:trPr>
          <w:cantSplit/>
        </w:trPr>
        <w:tc>
          <w:tcPr>
            <w:tcW w:w="9848" w:type="dxa"/>
            <w:tcBorders>
              <w:left w:val="single" w:sz="4" w:space="0" w:color="auto"/>
              <w:bottom w:val="single" w:sz="4" w:space="0" w:color="auto"/>
              <w:right w:val="single" w:sz="4" w:space="0" w:color="auto"/>
            </w:tcBorders>
          </w:tcPr>
          <w:p w14:paraId="523D99CF" w14:textId="77777777" w:rsidR="00711444" w:rsidRPr="004D0DAA" w:rsidRDefault="00711444" w:rsidP="00AA2A4C">
            <w:pPr>
              <w:pStyle w:val="TAL"/>
              <w:rPr>
                <w:lang w:eastAsia="en-US"/>
              </w:rPr>
            </w:pPr>
            <w:r w:rsidRPr="004D0DAA">
              <w:rPr>
                <w:lang w:eastAsia="en-US"/>
              </w:rPr>
              <w:lastRenderedPageBreak/>
              <w:t>&lt; BTTI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Recursive for multiple BTTI TBFs</w:t>
            </w:r>
          </w:p>
          <w:p w14:paraId="20428486"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PFI</w:t>
            </w:r>
            <w:r w:rsidRPr="004D0DAA">
              <w:rPr>
                <w:lang w:val="fr-FR" w:eastAsia="en-US"/>
              </w:rPr>
              <w:t xml:space="preserve"> : bit (7) &gt; }</w:t>
            </w:r>
          </w:p>
          <w:p w14:paraId="32E2D8DB" w14:textId="77777777" w:rsidR="00711444" w:rsidRPr="004D0DAA" w:rsidRDefault="00711444" w:rsidP="00AA2A4C">
            <w:pPr>
              <w:pStyle w:val="TAL"/>
              <w:rPr>
                <w:lang w:val="fr-FR" w:eastAsia="en-US"/>
              </w:rPr>
            </w:pPr>
            <w:r w:rsidRPr="004D0DAA">
              <w:rPr>
                <w:lang w:val="fr-FR" w:eastAsia="en-US"/>
              </w:rPr>
              <w:tab/>
              <w:t xml:space="preserve">&lt; </w:t>
            </w:r>
            <w:r w:rsidRPr="004D0DAA">
              <w:rPr>
                <w:b/>
                <w:lang w:val="fr-FR" w:eastAsia="en-US"/>
              </w:rPr>
              <w:t>RLC_MODE</w:t>
            </w:r>
            <w:r w:rsidRPr="004D0DAA">
              <w:rPr>
                <w:lang w:val="fr-FR" w:eastAsia="en-US"/>
              </w:rPr>
              <w:t xml:space="preserve"> : bit (1) &gt; </w:t>
            </w:r>
          </w:p>
          <w:p w14:paraId="43A60AAC" w14:textId="77777777" w:rsidR="00711444" w:rsidRPr="004D0DAA" w:rsidRDefault="00711444" w:rsidP="00AA2A4C">
            <w:pPr>
              <w:pStyle w:val="TAL"/>
              <w:rPr>
                <w:rFonts w:cs="Arial"/>
                <w:szCs w:val="18"/>
                <w:lang w:eastAsia="en-US"/>
              </w:rPr>
            </w:pPr>
            <w:r w:rsidRPr="004D0DAA">
              <w:rPr>
                <w:rFonts w:cs="Arial"/>
                <w:szCs w:val="18"/>
                <w:lang w:val="fr-FR" w:eastAsia="en-US"/>
              </w:rPr>
              <w:tab/>
            </w:r>
            <w:r w:rsidRPr="004D0DAA">
              <w:rPr>
                <w:rFonts w:cs="Arial"/>
                <w:szCs w:val="18"/>
                <w:lang w:eastAsia="en-US"/>
              </w:rPr>
              <w:t xml:space="preserve">&lt; </w:t>
            </w:r>
            <w:r w:rsidRPr="004D0DAA">
              <w:rPr>
                <w:b/>
                <w:bCs/>
                <w:lang w:eastAsia="en-US"/>
              </w:rPr>
              <w:t>TFI Assignment</w:t>
            </w:r>
            <w:r w:rsidRPr="004D0DAA">
              <w:rPr>
                <w:lang w:eastAsia="en-US"/>
              </w:rPr>
              <w:t xml:space="preserve"> </w:t>
            </w:r>
            <w:r w:rsidRPr="004D0DAA">
              <w:rPr>
                <w:rFonts w:cs="Arial"/>
                <w:szCs w:val="18"/>
                <w:lang w:eastAsia="en-US"/>
              </w:rPr>
              <w:t>: bit (5) &gt;</w:t>
            </w:r>
          </w:p>
          <w:p w14:paraId="53F43C67"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 &lt; EGPRS Modulation and Coding Scheme IE &gt; &gt; }</w:t>
            </w:r>
          </w:p>
          <w:p w14:paraId="5BBE260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Window Size</w:t>
            </w:r>
            <w:r w:rsidRPr="004D0DAA">
              <w:rPr>
                <w:lang w:eastAsia="en-US"/>
              </w:rPr>
              <w:t> : &lt; EGPRS Window Size IE &gt; &gt; }</w:t>
            </w:r>
          </w:p>
          <w:p w14:paraId="28C639AE"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579F9F34" w14:textId="77777777" w:rsidR="00711444" w:rsidRPr="004D0DAA" w:rsidRDefault="00711444" w:rsidP="00AA2A4C">
            <w:pPr>
              <w:pStyle w:val="TAL"/>
              <w:rPr>
                <w:rFonts w:cs="Arial"/>
                <w:szCs w:val="18"/>
                <w:lang w:eastAsia="en-US"/>
              </w:rPr>
            </w:pPr>
            <w:r w:rsidRPr="004D0DAA">
              <w:rPr>
                <w:lang w:eastAsia="en-US"/>
              </w:rPr>
              <w:tab/>
            </w:r>
            <w:r w:rsidRPr="004D0DAA">
              <w:rPr>
                <w:rFonts w:cs="Arial"/>
                <w:szCs w:val="18"/>
                <w:lang w:eastAsia="en-US"/>
              </w:rPr>
              <w:t xml:space="preserve">{ 0 | 1 </w:t>
            </w:r>
            <w:r w:rsidRPr="004D0DAA">
              <w:rPr>
                <w:lang w:eastAsia="en-US"/>
              </w:rPr>
              <w:tab/>
            </w:r>
            <w:r w:rsidRPr="004D0DAA">
              <w:rPr>
                <w:rFonts w:cs="Arial"/>
                <w:i/>
                <w:szCs w:val="18"/>
                <w:lang w:eastAsia="en-US"/>
              </w:rPr>
              <w:t>-- '1':</w:t>
            </w:r>
            <w:r w:rsidRPr="004D0DAA">
              <w:rPr>
                <w:rFonts w:cs="Arial"/>
                <w:szCs w:val="18"/>
                <w:lang w:eastAsia="en-US"/>
              </w:rPr>
              <w:t xml:space="preserve"> </w:t>
            </w:r>
            <w:r w:rsidRPr="004D0DAA">
              <w:rPr>
                <w:rFonts w:cs="Arial"/>
                <w:i/>
                <w:szCs w:val="18"/>
                <w:lang w:eastAsia="en-US"/>
              </w:rPr>
              <w:t>Time-based encoding</w:t>
            </w:r>
            <w:r w:rsidRPr="004D0DAA">
              <w:rPr>
                <w:rFonts w:cs="Arial"/>
                <w:szCs w:val="18"/>
                <w:lang w:eastAsia="en-US"/>
              </w:rPr>
              <w:t xml:space="preserve"> </w:t>
            </w:r>
            <w:r w:rsidRPr="004D0DAA">
              <w:rPr>
                <w:i/>
                <w:lang w:eastAsia="en-US"/>
              </w:rPr>
              <w:t>FANR is activated</w:t>
            </w:r>
          </w:p>
          <w:p w14:paraId="21AB6350"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lang w:eastAsia="en-US"/>
              </w:rPr>
              <w:t>REPORTED TIMESLOTS_C1</w:t>
            </w:r>
            <w:r w:rsidRPr="004D0DAA">
              <w:rPr>
                <w:lang w:eastAsia="en-US"/>
              </w:rPr>
              <w:t xml:space="preserve"> : bit (8) &gt; </w:t>
            </w:r>
            <w:r w:rsidRPr="004D0DAA">
              <w:rPr>
                <w:lang w:eastAsia="en-US"/>
              </w:rPr>
              <w:tab/>
            </w:r>
            <w:r w:rsidRPr="004D0DAA">
              <w:rPr>
                <w:lang w:eastAsia="en-US"/>
              </w:rPr>
              <w:tab/>
            </w:r>
            <w:r w:rsidRPr="004D0DAA">
              <w:rPr>
                <w:lang w:eastAsia="en-US"/>
              </w:rPr>
              <w:tab/>
              <w:t xml:space="preserve">-- </w:t>
            </w:r>
            <w:r w:rsidRPr="004D0DAA">
              <w:rPr>
                <w:i/>
                <w:iCs/>
                <w:lang w:eastAsia="en-US"/>
              </w:rPr>
              <w:t>Carrier 1 in Downlink Dual Carrier configuration</w:t>
            </w:r>
          </w:p>
          <w:p w14:paraId="470DAA3C"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iCs/>
                <w:lang w:eastAsia="en-US"/>
              </w:rPr>
              <w:t>Carrier 2 in Downlink Dual Carrier configuration</w:t>
            </w:r>
          </w:p>
          <w:p w14:paraId="7248A625" w14:textId="77777777" w:rsidR="00711444" w:rsidRPr="004D0DAA" w:rsidRDefault="00711444" w:rsidP="00AA2A4C">
            <w:pPr>
              <w:pStyle w:val="TAL"/>
              <w:rPr>
                <w:rFonts w:cs="Arial"/>
                <w:iCs/>
                <w:szCs w:val="18"/>
                <w:lang w:eastAsia="en-US"/>
              </w:rPr>
            </w:pPr>
            <w:r w:rsidRPr="004D0DAA">
              <w:rPr>
                <w:lang w:eastAsia="en-US"/>
              </w:rPr>
              <w:tab/>
              <w:t xml:space="preserve">} </w:t>
            </w:r>
          </w:p>
          <w:p w14:paraId="681ADE4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USF_GRANULARITY</w:t>
            </w:r>
            <w:r w:rsidRPr="004D0DAA">
              <w:rPr>
                <w:lang w:eastAsia="en-US"/>
              </w:rPr>
              <w:t xml:space="preserve"> : bit (1) &gt;</w:t>
            </w:r>
          </w:p>
          <w:p w14:paraId="69CE98AB" w14:textId="77777777" w:rsidR="00711444" w:rsidRPr="004D0DAA" w:rsidRDefault="00711444" w:rsidP="00AA2A4C">
            <w:pPr>
              <w:pStyle w:val="TAL"/>
              <w:rPr>
                <w:rFonts w:eastAsia="SimSun" w:cs="Arial"/>
                <w:szCs w:val="18"/>
                <w:lang w:eastAsia="zh-CN"/>
              </w:rPr>
            </w:pPr>
          </w:p>
          <w:p w14:paraId="35C3C584"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t xml:space="preserve">&lt; </w:t>
            </w:r>
            <w:r w:rsidRPr="004D0DAA">
              <w:rPr>
                <w:rFonts w:eastAsia="SimSun" w:cs="Arial"/>
                <w:b/>
                <w:bCs/>
                <w:szCs w:val="18"/>
                <w:lang w:eastAsia="zh-CN"/>
              </w:rPr>
              <w:t xml:space="preserve">N_TS </w:t>
            </w:r>
            <w:r w:rsidRPr="004D0DAA">
              <w:rPr>
                <w:rFonts w:eastAsia="SimSun" w:cs="Arial"/>
                <w:szCs w:val="18"/>
                <w:lang w:eastAsia="zh-CN"/>
              </w:rPr>
              <w:t>: bit (4)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Number minus 1 of the timeslots of the Global Timeslot description</w:t>
            </w:r>
          </w:p>
          <w:p w14:paraId="327D3A49"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assigned to the TBF</w:t>
            </w:r>
          </w:p>
          <w:p w14:paraId="0931DA7D" w14:textId="77777777" w:rsidR="00711444" w:rsidRPr="004D0DAA" w:rsidRDefault="00711444" w:rsidP="00AA2A4C">
            <w:pPr>
              <w:pStyle w:val="TAL"/>
              <w:rPr>
                <w:rFonts w:cs="Arial"/>
                <w:szCs w:val="18"/>
                <w:lang w:eastAsia="en-US"/>
              </w:rPr>
            </w:pPr>
            <w:r w:rsidRPr="004D0DAA">
              <w:rPr>
                <w:rFonts w:cs="Arial"/>
                <w:szCs w:val="18"/>
                <w:lang w:eastAsia="en-US"/>
              </w:rPr>
              <w:tab/>
              <w:t>{ 0</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i/>
                <w:szCs w:val="18"/>
                <w:lang w:eastAsia="en-US"/>
              </w:rPr>
              <w:t>-- 0: All timeslots in Global Timeslot description are assigned to the TBF</w:t>
            </w:r>
          </w:p>
          <w:p w14:paraId="5897AA53" w14:textId="77777777" w:rsidR="00711444" w:rsidRPr="004D0DAA" w:rsidRDefault="00711444" w:rsidP="00AA2A4C">
            <w:pPr>
              <w:pStyle w:val="TAL"/>
              <w:rPr>
                <w:rFonts w:cs="Arial"/>
                <w:szCs w:val="18"/>
                <w:lang w:eastAsia="en-US"/>
              </w:rPr>
            </w:pPr>
            <w:r w:rsidRPr="004D0DAA">
              <w:rPr>
                <w:rFonts w:cs="Arial"/>
                <w:szCs w:val="18"/>
                <w:lang w:eastAsia="en-US"/>
              </w:rPr>
              <w:tab/>
              <w:t>| 1</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i/>
                <w:szCs w:val="18"/>
                <w:lang w:eastAsia="en-US"/>
              </w:rPr>
              <w:t>-- 1: Only timeslots in TBF_TIMESLOT_ALLOCATION</w:t>
            </w:r>
            <w:r w:rsidRPr="004D0DAA">
              <w:rPr>
                <w:rFonts w:cs="Arial"/>
                <w:szCs w:val="18"/>
                <w:lang w:eastAsia="en-US"/>
              </w:rPr>
              <w:t xml:space="preserve"> </w:t>
            </w:r>
            <w:r w:rsidRPr="004D0DAA">
              <w:rPr>
                <w:rFonts w:cs="Arial"/>
                <w:i/>
                <w:szCs w:val="18"/>
                <w:lang w:eastAsia="en-US"/>
              </w:rPr>
              <w:t>are assigned to the TBF</w:t>
            </w:r>
          </w:p>
          <w:p w14:paraId="4D6E25D7" w14:textId="77777777" w:rsidR="00711444" w:rsidRPr="004D0DAA" w:rsidRDefault="00711444" w:rsidP="00AA2A4C">
            <w:pPr>
              <w:pStyle w:val="TAL"/>
              <w:rPr>
                <w:rFonts w:eastAsia="SimSun" w:cs="Arial"/>
                <w:szCs w:val="18"/>
                <w:lang w:eastAsia="zh-CN"/>
              </w:rPr>
            </w:pPr>
            <w:r w:rsidRPr="004D0DAA">
              <w:rPr>
                <w:rFonts w:cs="Arial"/>
                <w:szCs w:val="18"/>
                <w:lang w:eastAsia="en-US"/>
              </w:rPr>
              <w:tab/>
            </w:r>
            <w:r w:rsidRPr="004D0DAA">
              <w:rPr>
                <w:rFonts w:cs="Arial"/>
                <w:szCs w:val="18"/>
                <w:lang w:eastAsia="en-US"/>
              </w:rPr>
              <w:tab/>
              <w:t xml:space="preserve">&lt; </w:t>
            </w:r>
            <w:r w:rsidRPr="004D0DAA">
              <w:rPr>
                <w:rFonts w:cs="Arial"/>
                <w:b/>
                <w:szCs w:val="18"/>
                <w:lang w:eastAsia="en-US"/>
              </w:rPr>
              <w:t>TBF_TIMESLOT_ALLOCATION</w:t>
            </w:r>
            <w:r w:rsidRPr="004D0DAA">
              <w:rPr>
                <w:rFonts w:cs="Arial"/>
                <w:szCs w:val="18"/>
                <w:lang w:eastAsia="en-US"/>
              </w:rPr>
              <w:t xml:space="preserve"> : bit (val (</w:t>
            </w:r>
            <w:r w:rsidRPr="004D0DAA">
              <w:rPr>
                <w:rFonts w:eastAsia="SimSun" w:cs="Arial"/>
                <w:b/>
                <w:bCs/>
                <w:szCs w:val="18"/>
                <w:lang w:eastAsia="zh-CN"/>
              </w:rPr>
              <w:t>N_TS</w:t>
            </w:r>
            <w:r w:rsidRPr="004D0DAA">
              <w:rPr>
                <w:rFonts w:eastAsia="SimSun" w:cs="Arial"/>
                <w:bCs/>
                <w:szCs w:val="18"/>
                <w:lang w:eastAsia="zh-CN"/>
              </w:rPr>
              <w:t>) + 1</w:t>
            </w:r>
            <w:r w:rsidRPr="004D0DAA">
              <w:rPr>
                <w:rFonts w:cs="Arial"/>
                <w:szCs w:val="18"/>
                <w:lang w:eastAsia="en-US"/>
              </w:rPr>
              <w:t>) &gt; }</w:t>
            </w:r>
          </w:p>
          <w:p w14:paraId="15AE9455" w14:textId="77777777" w:rsidR="00711444" w:rsidRPr="004D0DAA" w:rsidRDefault="00711444" w:rsidP="00AA2A4C">
            <w:pPr>
              <w:pStyle w:val="TAL"/>
              <w:rPr>
                <w:rFonts w:cs="Arial"/>
                <w:szCs w:val="18"/>
                <w:lang w:eastAsia="en-US"/>
              </w:rPr>
            </w:pPr>
            <w:r w:rsidRPr="004D0DAA">
              <w:rPr>
                <w:rFonts w:cs="Arial"/>
                <w:szCs w:val="18"/>
                <w:lang w:eastAsia="en-US"/>
              </w:rPr>
              <w:tab/>
              <w:t>{ 0</w:t>
            </w:r>
            <w:r w:rsidRPr="004D0DAA">
              <w:rPr>
                <w:rFonts w:cs="Arial"/>
                <w:szCs w:val="18"/>
                <w:lang w:eastAsia="en-US"/>
              </w:rPr>
              <w:tab/>
              <w:t>&lt;</w:t>
            </w:r>
            <w:r w:rsidRPr="004D0DAA">
              <w:rPr>
                <w:rFonts w:cs="Arial"/>
                <w:b/>
                <w:szCs w:val="18"/>
                <w:lang w:eastAsia="en-US"/>
              </w:rPr>
              <w:t xml:space="preserve"> USF_C1</w:t>
            </w:r>
            <w:r w:rsidRPr="004D0DAA">
              <w:rPr>
                <w:rFonts w:cs="Arial"/>
                <w:szCs w:val="18"/>
                <w:lang w:eastAsia="en-US"/>
              </w:rPr>
              <w:t xml:space="preserve"> : bit (3) &gt;</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i/>
                <w:szCs w:val="18"/>
                <w:lang w:eastAsia="en-US"/>
              </w:rPr>
              <w:t>-- Same USF valid on all timeslots assigned to the TBF on the respective carriers</w:t>
            </w:r>
          </w:p>
          <w:p w14:paraId="657D3195" w14:textId="77777777" w:rsidR="00711444" w:rsidRPr="004D0DAA" w:rsidRDefault="00711444" w:rsidP="00AA2A4C">
            <w:pPr>
              <w:pStyle w:val="TAL"/>
              <w:rPr>
                <w:rFonts w:cs="Arial"/>
                <w:i/>
                <w:szCs w:val="18"/>
                <w:lang w:eastAsia="en-US"/>
              </w:rPr>
            </w:pPr>
            <w:r w:rsidRPr="004D0DAA">
              <w:rPr>
                <w:rFonts w:cs="Arial"/>
                <w:szCs w:val="18"/>
                <w:lang w:eastAsia="en-US"/>
              </w:rPr>
              <w:tab/>
            </w:r>
            <w:r w:rsidRPr="004D0DAA">
              <w:rPr>
                <w:rFonts w:cs="Arial"/>
                <w:szCs w:val="18"/>
                <w:lang w:eastAsia="en-US"/>
              </w:rPr>
              <w:tab/>
              <w:t xml:space="preserve">{ 0 | 1 &lt; </w:t>
            </w:r>
            <w:r w:rsidRPr="004D0DAA">
              <w:rPr>
                <w:rFonts w:cs="Arial"/>
                <w:b/>
                <w:szCs w:val="18"/>
                <w:lang w:eastAsia="en-US"/>
              </w:rPr>
              <w:t>USF_C2</w:t>
            </w:r>
            <w:r w:rsidRPr="004D0DAA">
              <w:rPr>
                <w:rFonts w:cs="Arial"/>
                <w:szCs w:val="18"/>
                <w:lang w:eastAsia="en-US"/>
              </w:rPr>
              <w:t xml:space="preserve"> : bit (3) }</w:t>
            </w:r>
          </w:p>
          <w:p w14:paraId="0EE3FD85" w14:textId="77777777" w:rsidR="00711444" w:rsidRPr="004D0DAA" w:rsidRDefault="00711444" w:rsidP="00AA2A4C">
            <w:pPr>
              <w:pStyle w:val="TAL"/>
              <w:rPr>
                <w:rFonts w:cs="Arial"/>
                <w:szCs w:val="18"/>
                <w:lang w:eastAsia="en-US"/>
              </w:rPr>
            </w:pPr>
            <w:r w:rsidRPr="004D0DAA">
              <w:rPr>
                <w:rFonts w:cs="Arial"/>
                <w:szCs w:val="18"/>
                <w:lang w:eastAsia="en-US"/>
              </w:rPr>
              <w:tab/>
              <w:t>| 1</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i/>
                <w:szCs w:val="18"/>
                <w:lang w:eastAsia="en-US"/>
              </w:rPr>
              <w:t>-- Different USF(s) assigned:</w:t>
            </w:r>
          </w:p>
          <w:p w14:paraId="5B81895E"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USF</w:t>
            </w:r>
            <w:r w:rsidRPr="004D0DAA">
              <w:rPr>
                <w:rFonts w:eastAsia="SimSun" w:cs="Arial"/>
                <w:szCs w:val="18"/>
                <w:lang w:eastAsia="zh-CN"/>
              </w:rPr>
              <w:t xml:space="preserve"> : bit (3)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szCs w:val="18"/>
                <w:lang w:eastAsia="zh-CN"/>
              </w:rPr>
              <w:t>USF for the first assigned timeslot</w:t>
            </w:r>
          </w:p>
          <w:p w14:paraId="137FC1E1"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cs="Arial"/>
                <w:szCs w:val="18"/>
                <w:lang w:eastAsia="en-US"/>
              </w:rPr>
              <w:t xml:space="preserve">{ 0 | 1 </w:t>
            </w:r>
            <w:r w:rsidRPr="004D0DAA">
              <w:rPr>
                <w:rFonts w:eastAsia="SimSun" w:cs="Arial"/>
                <w:szCs w:val="18"/>
                <w:lang w:eastAsia="zh-CN"/>
              </w:rPr>
              <w:t xml:space="preserve">&lt; </w:t>
            </w:r>
            <w:r w:rsidRPr="004D0DAA">
              <w:rPr>
                <w:rFonts w:eastAsia="SimSun" w:cs="Arial"/>
                <w:b/>
                <w:bCs/>
                <w:szCs w:val="18"/>
                <w:lang w:eastAsia="zh-CN"/>
              </w:rPr>
              <w:t>USF</w:t>
            </w:r>
            <w:r w:rsidRPr="004D0DAA">
              <w:rPr>
                <w:rFonts w:eastAsia="SimSun" w:cs="Arial"/>
                <w:szCs w:val="18"/>
                <w:lang w:eastAsia="zh-CN"/>
              </w:rPr>
              <w:t xml:space="preserve"> : bit (3) &gt; </w:t>
            </w:r>
            <w:r w:rsidRPr="004D0DAA">
              <w:rPr>
                <w:rFonts w:cs="Arial"/>
                <w:szCs w:val="18"/>
                <w:lang w:eastAsia="en-US"/>
              </w:rPr>
              <w:t xml:space="preserve">} </w:t>
            </w:r>
            <w:r w:rsidRPr="004D0DAA">
              <w:rPr>
                <w:rFonts w:eastAsia="SimSun" w:cs="Arial"/>
                <w:szCs w:val="18"/>
                <w:lang w:eastAsia="zh-CN"/>
              </w:rPr>
              <w:t>* (val (</w:t>
            </w:r>
            <w:r w:rsidRPr="004D0DAA">
              <w:rPr>
                <w:rFonts w:eastAsia="SimSun" w:cs="Arial"/>
                <w:b/>
                <w:bCs/>
                <w:szCs w:val="18"/>
                <w:lang w:eastAsia="zh-CN"/>
              </w:rPr>
              <w:t>N_TS</w:t>
            </w:r>
            <w:r w:rsidRPr="004D0DAA">
              <w:rPr>
                <w:rFonts w:eastAsia="SimSun" w:cs="Arial"/>
                <w:szCs w:val="18"/>
                <w:lang w:eastAsia="zh-CN"/>
              </w:rPr>
              <w:t>) + 1)</w:t>
            </w:r>
            <w:r w:rsidRPr="004D0DAA">
              <w:rPr>
                <w:rFonts w:eastAsia="SimSun" w:cs="Arial"/>
                <w:szCs w:val="18"/>
                <w:lang w:eastAsia="zh-CN"/>
              </w:rPr>
              <w:tab/>
              <w:t xml:space="preserve">-- </w:t>
            </w:r>
            <w:r w:rsidRPr="004D0DAA">
              <w:rPr>
                <w:rFonts w:eastAsia="SimSun" w:cs="Arial"/>
                <w:i/>
                <w:szCs w:val="18"/>
                <w:lang w:eastAsia="zh-CN"/>
              </w:rPr>
              <w:t>USF for next assigned timeslots (omitted=same as previous)</w:t>
            </w:r>
          </w:p>
          <w:p w14:paraId="273D8957" w14:textId="77777777" w:rsidR="00711444" w:rsidRPr="004D0DAA" w:rsidRDefault="00711444" w:rsidP="00AA2A4C">
            <w:pPr>
              <w:pStyle w:val="TAL"/>
              <w:rPr>
                <w:rFonts w:cs="Arial"/>
                <w:szCs w:val="18"/>
                <w:lang w:eastAsia="en-US"/>
              </w:rPr>
            </w:pPr>
            <w:r w:rsidRPr="004D0DAA">
              <w:rPr>
                <w:rFonts w:cs="Arial"/>
                <w:szCs w:val="18"/>
                <w:lang w:eastAsia="en-US"/>
              </w:rPr>
              <w:tab/>
              <w:t>} ;</w:t>
            </w:r>
          </w:p>
          <w:p w14:paraId="7ECA95B5" w14:textId="77777777" w:rsidR="00711444" w:rsidRPr="004D0DAA" w:rsidRDefault="00711444" w:rsidP="00AA2A4C">
            <w:pPr>
              <w:pStyle w:val="TAL"/>
              <w:rPr>
                <w:lang w:eastAsia="en-US"/>
              </w:rPr>
            </w:pPr>
          </w:p>
        </w:tc>
      </w:tr>
      <w:tr w:rsidR="00711444" w:rsidRPr="004D0DAA" w14:paraId="597005C7" w14:textId="77777777" w:rsidTr="00AA2A4C">
        <w:tblPrEx>
          <w:tblCellMar>
            <w:top w:w="0" w:type="dxa"/>
            <w:bottom w:w="0" w:type="dxa"/>
          </w:tblCellMar>
        </w:tblPrEx>
        <w:trPr>
          <w:cantSplit/>
        </w:trPr>
        <w:tc>
          <w:tcPr>
            <w:tcW w:w="9848" w:type="dxa"/>
            <w:tcBorders>
              <w:left w:val="single" w:sz="4" w:space="0" w:color="auto"/>
              <w:bottom w:val="single" w:sz="4" w:space="0" w:color="auto"/>
              <w:right w:val="single" w:sz="4" w:space="0" w:color="auto"/>
            </w:tcBorders>
          </w:tcPr>
          <w:p w14:paraId="37998FB7" w14:textId="77777777" w:rsidR="00711444" w:rsidRPr="004D0DAA" w:rsidRDefault="00711444" w:rsidP="00AA2A4C">
            <w:pPr>
              <w:pStyle w:val="TAL"/>
              <w:rPr>
                <w:lang w:eastAsia="en-US"/>
              </w:rPr>
            </w:pPr>
            <w:r w:rsidRPr="004D0DAA">
              <w:rPr>
                <w:lang w:eastAsia="en-US"/>
              </w:rPr>
              <w:t>&lt; RTTI Uplink TBF Assignment struct &gt; ::=</w:t>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Recursive for multiple RTTI TBFs</w:t>
            </w:r>
          </w:p>
          <w:p w14:paraId="192B4323" w14:textId="77777777" w:rsidR="00711444" w:rsidRPr="004D0DAA" w:rsidRDefault="00711444" w:rsidP="00AA2A4C">
            <w:pPr>
              <w:pStyle w:val="TAL"/>
              <w:rPr>
                <w:lang w:val="fr-FR" w:eastAsia="en-US"/>
              </w:rPr>
            </w:pPr>
            <w:r w:rsidRPr="004D0DAA">
              <w:rPr>
                <w:lang w:eastAsia="en-US"/>
              </w:rPr>
              <w:tab/>
            </w:r>
            <w:r w:rsidRPr="004D0DAA">
              <w:rPr>
                <w:lang w:val="fr-FR" w:eastAsia="en-US"/>
              </w:rPr>
              <w:t xml:space="preserve">{ 0 | 1 &lt; </w:t>
            </w:r>
            <w:r w:rsidRPr="004D0DAA">
              <w:rPr>
                <w:b/>
                <w:lang w:val="fr-FR" w:eastAsia="en-US"/>
              </w:rPr>
              <w:t>PFI</w:t>
            </w:r>
            <w:r w:rsidRPr="004D0DAA">
              <w:rPr>
                <w:lang w:val="fr-FR" w:eastAsia="en-US"/>
              </w:rPr>
              <w:t xml:space="preserve"> : bit (7) &gt; }</w:t>
            </w:r>
          </w:p>
          <w:p w14:paraId="2BBB5F85" w14:textId="77777777" w:rsidR="00711444" w:rsidRPr="004D0DAA" w:rsidRDefault="00711444" w:rsidP="00AA2A4C">
            <w:pPr>
              <w:pStyle w:val="TAL"/>
              <w:rPr>
                <w:rFonts w:cs="Arial"/>
                <w:szCs w:val="18"/>
                <w:lang w:val="fr-FR" w:eastAsia="en-US"/>
              </w:rPr>
            </w:pPr>
            <w:r w:rsidRPr="004D0DAA">
              <w:rPr>
                <w:rFonts w:cs="Arial"/>
                <w:szCs w:val="18"/>
                <w:lang w:val="fr-FR" w:eastAsia="en-US"/>
              </w:rPr>
              <w:tab/>
              <w:t xml:space="preserve">&lt; </w:t>
            </w:r>
            <w:r w:rsidRPr="004D0DAA">
              <w:rPr>
                <w:rFonts w:cs="Arial"/>
                <w:b/>
                <w:szCs w:val="18"/>
                <w:lang w:val="fr-FR" w:eastAsia="en-US"/>
              </w:rPr>
              <w:t>RLC_MODE</w:t>
            </w:r>
            <w:r w:rsidRPr="004D0DAA">
              <w:rPr>
                <w:rFonts w:cs="Arial"/>
                <w:szCs w:val="18"/>
                <w:lang w:val="fr-FR" w:eastAsia="en-US"/>
              </w:rPr>
              <w:t xml:space="preserve"> : bit (1) &gt; </w:t>
            </w:r>
          </w:p>
          <w:p w14:paraId="4E4C47EF" w14:textId="77777777" w:rsidR="00711444" w:rsidRPr="004D0DAA" w:rsidRDefault="00711444" w:rsidP="00AA2A4C">
            <w:pPr>
              <w:pStyle w:val="TAL"/>
              <w:rPr>
                <w:rFonts w:cs="Arial"/>
                <w:szCs w:val="18"/>
                <w:lang w:eastAsia="en-US"/>
              </w:rPr>
            </w:pPr>
            <w:r w:rsidRPr="004D0DAA">
              <w:rPr>
                <w:rFonts w:cs="Arial"/>
                <w:szCs w:val="18"/>
                <w:lang w:val="fr-FR" w:eastAsia="en-US"/>
              </w:rPr>
              <w:tab/>
            </w:r>
            <w:r w:rsidRPr="004D0DAA">
              <w:rPr>
                <w:rFonts w:cs="Arial"/>
                <w:szCs w:val="18"/>
                <w:lang w:eastAsia="en-US"/>
              </w:rPr>
              <w:t xml:space="preserve">&lt; </w:t>
            </w:r>
            <w:r w:rsidRPr="004D0DAA">
              <w:rPr>
                <w:b/>
                <w:bCs/>
                <w:lang w:eastAsia="en-US"/>
              </w:rPr>
              <w:t>TFI Assignment</w:t>
            </w:r>
            <w:r w:rsidRPr="004D0DAA">
              <w:rPr>
                <w:lang w:eastAsia="en-US"/>
              </w:rPr>
              <w:t xml:space="preserve"> </w:t>
            </w:r>
            <w:r w:rsidRPr="004D0DAA">
              <w:rPr>
                <w:rFonts w:cs="Arial"/>
                <w:szCs w:val="18"/>
                <w:lang w:eastAsia="en-US"/>
              </w:rPr>
              <w:t>: bit (5) &gt;</w:t>
            </w:r>
          </w:p>
          <w:p w14:paraId="5F7074C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EGPRS Channel Coding Command</w:t>
            </w:r>
            <w:r w:rsidRPr="004D0DAA">
              <w:rPr>
                <w:lang w:eastAsia="en-US"/>
              </w:rPr>
              <w:t> : &lt; EGPRS Modulation and Coding Scheme IE &gt; &gt; }</w:t>
            </w:r>
          </w:p>
          <w:p w14:paraId="783C4DF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Uplink</w:t>
            </w:r>
            <w:r w:rsidRPr="004D0DAA">
              <w:rPr>
                <w:lang w:eastAsia="en-US"/>
              </w:rPr>
              <w:t xml:space="preserve"> </w:t>
            </w:r>
            <w:r w:rsidRPr="004D0DAA">
              <w:rPr>
                <w:b/>
                <w:lang w:eastAsia="en-US"/>
              </w:rPr>
              <w:t>EGPRS Window Size</w:t>
            </w:r>
            <w:r w:rsidRPr="004D0DAA">
              <w:rPr>
                <w:lang w:eastAsia="en-US"/>
              </w:rPr>
              <w:t> : &lt; EGPRS Window Size IE &gt; &gt; }</w:t>
            </w:r>
          </w:p>
          <w:p w14:paraId="3C887AAA" w14:textId="77777777" w:rsidR="00711444" w:rsidRPr="004D0DAA" w:rsidRDefault="00711444" w:rsidP="00AA2A4C">
            <w:pPr>
              <w:pStyle w:val="TAL"/>
              <w:rPr>
                <w:lang w:eastAsia="en-US"/>
              </w:rPr>
            </w:pPr>
            <w:r w:rsidRPr="004D0DAA">
              <w:rPr>
                <w:lang w:eastAsia="en-US"/>
              </w:rPr>
              <w:tab/>
              <w:t>{ 0 | 1</w:t>
            </w:r>
            <w:r w:rsidRPr="004D0DAA">
              <w:rPr>
                <w:lang w:eastAsia="en-US"/>
              </w:rPr>
              <w:tab/>
            </w:r>
            <w:r w:rsidRPr="004D0DAA">
              <w:rPr>
                <w:iCs/>
                <w:lang w:eastAsia="en-US"/>
              </w:rPr>
              <w:t xml:space="preserve">&lt; </w:t>
            </w:r>
            <w:r w:rsidRPr="004D0DAA">
              <w:rPr>
                <w:b/>
                <w:iCs/>
                <w:lang w:eastAsia="en-US"/>
              </w:rPr>
              <w:t xml:space="preserve">NPM Transfer Time </w:t>
            </w:r>
            <w:r w:rsidRPr="004D0DAA">
              <w:rPr>
                <w:iCs/>
                <w:lang w:eastAsia="en-US"/>
              </w:rPr>
              <w:t>: bit (5) &gt;</w:t>
            </w:r>
            <w:r w:rsidRPr="004D0DAA">
              <w:rPr>
                <w:lang w:eastAsia="en-US"/>
              </w:rPr>
              <w:t xml:space="preserve"> }</w:t>
            </w:r>
          </w:p>
          <w:p w14:paraId="5AD69590" w14:textId="77777777" w:rsidR="00711444" w:rsidRPr="004D0DAA" w:rsidRDefault="00711444" w:rsidP="00AA2A4C">
            <w:pPr>
              <w:pStyle w:val="TAL"/>
              <w:rPr>
                <w:rFonts w:cs="Arial"/>
                <w:szCs w:val="18"/>
                <w:lang w:eastAsia="en-US"/>
              </w:rPr>
            </w:pPr>
            <w:r w:rsidRPr="004D0DAA">
              <w:rPr>
                <w:lang w:eastAsia="en-US"/>
              </w:rPr>
              <w:tab/>
            </w:r>
            <w:r w:rsidRPr="004D0DAA">
              <w:rPr>
                <w:rFonts w:cs="Arial"/>
                <w:szCs w:val="18"/>
                <w:lang w:eastAsia="en-US"/>
              </w:rPr>
              <w:t xml:space="preserve">{ 0 | 1 </w:t>
            </w:r>
            <w:r w:rsidRPr="004D0DAA">
              <w:rPr>
                <w:lang w:eastAsia="en-US"/>
              </w:rPr>
              <w:tab/>
            </w:r>
            <w:r w:rsidRPr="004D0DAA">
              <w:rPr>
                <w:rFonts w:cs="Arial"/>
                <w:i/>
                <w:szCs w:val="18"/>
                <w:lang w:eastAsia="en-US"/>
              </w:rPr>
              <w:t>-- '1':</w:t>
            </w:r>
            <w:r w:rsidRPr="004D0DAA">
              <w:rPr>
                <w:rFonts w:cs="Arial"/>
                <w:szCs w:val="18"/>
                <w:lang w:eastAsia="en-US"/>
              </w:rPr>
              <w:t xml:space="preserve"> </w:t>
            </w:r>
            <w:r w:rsidRPr="004D0DAA">
              <w:rPr>
                <w:rFonts w:cs="Arial"/>
                <w:i/>
                <w:szCs w:val="18"/>
                <w:lang w:eastAsia="en-US"/>
              </w:rPr>
              <w:t>Time-based encoding</w:t>
            </w:r>
            <w:r w:rsidRPr="004D0DAA">
              <w:rPr>
                <w:rFonts w:cs="Arial"/>
                <w:szCs w:val="18"/>
                <w:lang w:eastAsia="en-US"/>
              </w:rPr>
              <w:t xml:space="preserve"> </w:t>
            </w:r>
            <w:r w:rsidRPr="004D0DAA">
              <w:rPr>
                <w:i/>
                <w:lang w:eastAsia="en-US"/>
              </w:rPr>
              <w:t>FANR is activated</w:t>
            </w:r>
          </w:p>
          <w:p w14:paraId="75348BED" w14:textId="77777777" w:rsidR="00711444" w:rsidRPr="004D0DAA" w:rsidRDefault="00711444" w:rsidP="00AA2A4C">
            <w:pPr>
              <w:pStyle w:val="TAL"/>
              <w:rPr>
                <w:i/>
                <w:iCs/>
                <w:lang w:eastAsia="en-US"/>
              </w:rPr>
            </w:pPr>
            <w:r w:rsidRPr="004D0DAA">
              <w:rPr>
                <w:lang w:eastAsia="en-US"/>
              </w:rPr>
              <w:tab/>
            </w:r>
            <w:r w:rsidRPr="004D0DAA">
              <w:rPr>
                <w:lang w:eastAsia="en-US"/>
              </w:rPr>
              <w:tab/>
              <w:t xml:space="preserve">&lt; </w:t>
            </w:r>
            <w:r w:rsidRPr="004D0DAA">
              <w:rPr>
                <w:b/>
                <w:lang w:eastAsia="en-US"/>
              </w:rPr>
              <w:t>REPORTED TIMESLOTS_C1</w:t>
            </w:r>
            <w:r w:rsidRPr="004D0DAA">
              <w:rPr>
                <w:lang w:eastAsia="en-US"/>
              </w:rPr>
              <w:t xml:space="preserve"> : bit (8) &gt; </w:t>
            </w:r>
            <w:r w:rsidRPr="004D0DAA">
              <w:rPr>
                <w:lang w:eastAsia="en-US"/>
              </w:rPr>
              <w:tab/>
            </w:r>
            <w:r w:rsidRPr="004D0DAA">
              <w:rPr>
                <w:lang w:eastAsia="en-US"/>
              </w:rPr>
              <w:tab/>
            </w:r>
            <w:r w:rsidRPr="004D0DAA">
              <w:rPr>
                <w:lang w:eastAsia="en-US"/>
              </w:rPr>
              <w:tab/>
              <w:t xml:space="preserve">-- </w:t>
            </w:r>
            <w:r w:rsidRPr="004D0DAA">
              <w:rPr>
                <w:i/>
                <w:iCs/>
                <w:lang w:eastAsia="en-US"/>
              </w:rPr>
              <w:t>Carrier 1 in Downlink Dual Carrier configuration</w:t>
            </w:r>
          </w:p>
          <w:p w14:paraId="7BE90266"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REPORTED TIMESLOTS C2</w:t>
            </w:r>
            <w:r w:rsidRPr="004D0DAA">
              <w:rPr>
                <w:lang w:eastAsia="en-US"/>
              </w:rPr>
              <w:t xml:space="preserve"> : bit (8) &gt; }</w:t>
            </w:r>
            <w:r w:rsidRPr="004D0DAA">
              <w:rPr>
                <w:lang w:eastAsia="en-US"/>
              </w:rPr>
              <w:tab/>
              <w:t xml:space="preserve">-- </w:t>
            </w:r>
            <w:r w:rsidRPr="004D0DAA">
              <w:rPr>
                <w:i/>
                <w:iCs/>
                <w:lang w:eastAsia="en-US"/>
              </w:rPr>
              <w:t>Carrier 2 in Downlink Dual Carrier configuration</w:t>
            </w:r>
          </w:p>
          <w:p w14:paraId="350DF446" w14:textId="77777777" w:rsidR="00711444" w:rsidRPr="004D0DAA" w:rsidRDefault="00711444" w:rsidP="00AA2A4C">
            <w:pPr>
              <w:pStyle w:val="TAL"/>
              <w:rPr>
                <w:rFonts w:cs="Arial"/>
                <w:iCs/>
                <w:szCs w:val="18"/>
                <w:lang w:eastAsia="en-US"/>
              </w:rPr>
            </w:pPr>
            <w:r w:rsidRPr="004D0DAA">
              <w:rPr>
                <w:lang w:eastAsia="en-US"/>
              </w:rPr>
              <w:tab/>
              <w:t xml:space="preserve">} </w:t>
            </w:r>
          </w:p>
          <w:p w14:paraId="7360E69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USF_GRANULARITY</w:t>
            </w:r>
            <w:r w:rsidRPr="004D0DAA">
              <w:rPr>
                <w:lang w:eastAsia="en-US"/>
              </w:rPr>
              <w:t xml:space="preserve"> : bit (1) &gt;</w:t>
            </w:r>
          </w:p>
          <w:p w14:paraId="677AFB6E" w14:textId="77777777" w:rsidR="00711444" w:rsidRPr="004D0DAA" w:rsidRDefault="00711444" w:rsidP="00AA2A4C">
            <w:pPr>
              <w:pStyle w:val="TAL"/>
              <w:rPr>
                <w:rFonts w:eastAsia="SimSun" w:cs="Arial"/>
                <w:szCs w:val="18"/>
                <w:lang w:eastAsia="zh-CN"/>
              </w:rPr>
            </w:pPr>
          </w:p>
          <w:p w14:paraId="740C9D60"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The PDCH pairs assigned to the TBF are all the PDCH pairs described</w:t>
            </w:r>
          </w:p>
          <w:p w14:paraId="22FE53BA" w14:textId="77777777" w:rsidR="00711444" w:rsidRPr="004D0DAA" w:rsidRDefault="00711444" w:rsidP="00AA2A4C">
            <w:pPr>
              <w:pStyle w:val="TAL"/>
              <w:rPr>
                <w:i/>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in the PDCH pairs description</w:t>
            </w:r>
          </w:p>
          <w:p w14:paraId="11DED71F" w14:textId="77777777" w:rsidR="00711444" w:rsidRPr="004D0DAA" w:rsidRDefault="00711444" w:rsidP="00AA2A4C">
            <w:pPr>
              <w:pStyle w:val="TAL"/>
              <w:rPr>
                <w:rFonts w:eastAsia="SimSun" w:cs="Arial"/>
                <w:szCs w:val="18"/>
                <w:lang w:eastAsia="zh-CN"/>
              </w:rPr>
            </w:pPr>
            <w:r w:rsidRPr="004D0DAA">
              <w:rPr>
                <w:lang w:eastAsia="en-US"/>
              </w:rPr>
              <w:tab/>
              <w:t>| 1</w:t>
            </w:r>
            <w:r w:rsidRPr="004D0DAA">
              <w:rPr>
                <w:lang w:eastAsia="en-US"/>
              </w:rPr>
              <w:tab/>
              <w:t xml:space="preserve">&lt; </w:t>
            </w:r>
            <w:r w:rsidRPr="004D0DAA">
              <w:rPr>
                <w:b/>
                <w:lang w:eastAsia="en-US"/>
              </w:rPr>
              <w:t>TBF_UPLINK_PAIRS_ALLOCATION</w:t>
            </w:r>
            <w:r w:rsidRPr="004D0DAA">
              <w:rPr>
                <w:lang w:eastAsia="en-US"/>
              </w:rPr>
              <w:t xml:space="preserve"> : bit (val (</w:t>
            </w:r>
            <w:r w:rsidRPr="004D0DAA">
              <w:rPr>
                <w:rFonts w:eastAsia="SimSun" w:cs="Arial"/>
                <w:b/>
                <w:bCs/>
                <w:szCs w:val="18"/>
                <w:lang w:eastAsia="zh-CN"/>
              </w:rPr>
              <w:t>N_PAIRS</w:t>
            </w:r>
            <w:r w:rsidRPr="004D0DAA">
              <w:rPr>
                <w:rFonts w:eastAsia="SimSun" w:cs="Arial"/>
                <w:bCs/>
                <w:szCs w:val="18"/>
                <w:lang w:eastAsia="zh-CN"/>
              </w:rPr>
              <w:t>) + 1</w:t>
            </w:r>
            <w:r w:rsidRPr="004D0DAA">
              <w:rPr>
                <w:lang w:eastAsia="en-US"/>
              </w:rPr>
              <w:t>) &gt; }</w:t>
            </w:r>
          </w:p>
          <w:p w14:paraId="2CEF7DDB" w14:textId="77777777" w:rsidR="00711444" w:rsidRPr="004D0DAA" w:rsidRDefault="00711444" w:rsidP="00AA2A4C">
            <w:pPr>
              <w:pStyle w:val="TAL"/>
              <w:rPr>
                <w:lang w:eastAsia="en-US"/>
              </w:rPr>
            </w:pPr>
            <w:r w:rsidRPr="004D0DAA">
              <w:rPr>
                <w:lang w:eastAsia="en-US"/>
              </w:rPr>
              <w:tab/>
              <w:t>{ 0</w:t>
            </w:r>
            <w:r w:rsidRPr="004D0DAA">
              <w:rPr>
                <w:lang w:eastAsia="en-US"/>
              </w:rPr>
              <w:tab/>
              <w:t>&lt;</w:t>
            </w:r>
            <w:r w:rsidRPr="004D0DAA">
              <w:rPr>
                <w:b/>
                <w:lang w:eastAsia="en-US"/>
              </w:rPr>
              <w:t xml:space="preserve"> USF_C1</w:t>
            </w:r>
            <w:r w:rsidRPr="004D0DAA">
              <w:rPr>
                <w:lang w:eastAsia="en-US"/>
              </w:rPr>
              <w:t xml:space="preserve"> : bit (3) &gt;</w:t>
            </w:r>
          </w:p>
          <w:p w14:paraId="7ABBF9DF"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USF_C2</w:t>
            </w:r>
            <w:r w:rsidRPr="004D0DAA">
              <w:rPr>
                <w:lang w:eastAsia="en-US"/>
              </w:rPr>
              <w:t xml:space="preserve"> : bit (3) } </w:t>
            </w:r>
            <w:r w:rsidRPr="004D0DAA">
              <w:rPr>
                <w:lang w:eastAsia="en-US"/>
              </w:rPr>
              <w:tab/>
            </w:r>
            <w:r w:rsidRPr="004D0DAA">
              <w:rPr>
                <w:lang w:eastAsia="en-US"/>
              </w:rPr>
              <w:tab/>
            </w:r>
            <w:r w:rsidRPr="004D0DAA">
              <w:rPr>
                <w:i/>
                <w:lang w:eastAsia="en-US"/>
              </w:rPr>
              <w:t>-- Same USF valid on all pairs assigned to the TBF on the respective carriers</w:t>
            </w:r>
          </w:p>
          <w:p w14:paraId="186DCC83"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Different USF(s) assigned</w:t>
            </w:r>
          </w:p>
          <w:p w14:paraId="474B71AA"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xml:space="preserve">&lt; </w:t>
            </w:r>
            <w:r w:rsidRPr="004D0DAA">
              <w:rPr>
                <w:rFonts w:eastAsia="SimSun" w:cs="Arial"/>
                <w:b/>
                <w:bCs/>
                <w:szCs w:val="18"/>
                <w:lang w:eastAsia="zh-CN"/>
              </w:rPr>
              <w:t>USF</w:t>
            </w:r>
            <w:r w:rsidRPr="004D0DAA">
              <w:rPr>
                <w:rFonts w:eastAsia="SimSun" w:cs="Arial"/>
                <w:szCs w:val="18"/>
                <w:lang w:eastAsia="zh-CN"/>
              </w:rPr>
              <w:t xml:space="preserve"> : bit (3)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szCs w:val="18"/>
                <w:lang w:eastAsia="zh-CN"/>
              </w:rPr>
              <w:t>USF for the first assigned PDCH pair</w:t>
            </w:r>
          </w:p>
          <w:p w14:paraId="345469D0"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cs="Arial"/>
                <w:szCs w:val="18"/>
                <w:lang w:eastAsia="en-US"/>
              </w:rPr>
              <w:t xml:space="preserve">{ 0 | 1 </w:t>
            </w:r>
            <w:r w:rsidRPr="004D0DAA">
              <w:rPr>
                <w:rFonts w:eastAsia="SimSun" w:cs="Arial"/>
                <w:szCs w:val="18"/>
                <w:lang w:eastAsia="zh-CN"/>
              </w:rPr>
              <w:t xml:space="preserve">&lt; </w:t>
            </w:r>
            <w:r w:rsidRPr="004D0DAA">
              <w:rPr>
                <w:rFonts w:eastAsia="SimSun" w:cs="Arial"/>
                <w:b/>
                <w:bCs/>
                <w:szCs w:val="18"/>
                <w:lang w:eastAsia="zh-CN"/>
              </w:rPr>
              <w:t>USF</w:t>
            </w:r>
            <w:r w:rsidRPr="004D0DAA">
              <w:rPr>
                <w:rFonts w:eastAsia="SimSun" w:cs="Arial"/>
                <w:szCs w:val="18"/>
                <w:lang w:eastAsia="zh-CN"/>
              </w:rPr>
              <w:t xml:space="preserve"> : bit (3) &gt; </w:t>
            </w:r>
            <w:r w:rsidRPr="004D0DAA">
              <w:rPr>
                <w:rFonts w:cs="Arial"/>
                <w:szCs w:val="18"/>
                <w:lang w:eastAsia="en-US"/>
              </w:rPr>
              <w:t xml:space="preserve">} </w:t>
            </w:r>
            <w:r w:rsidRPr="004D0DAA">
              <w:rPr>
                <w:rFonts w:eastAsia="SimSun" w:cs="Arial"/>
                <w:szCs w:val="18"/>
                <w:lang w:eastAsia="zh-CN"/>
              </w:rPr>
              <w:t>* (val (</w:t>
            </w:r>
            <w:r w:rsidRPr="004D0DAA">
              <w:rPr>
                <w:rFonts w:eastAsia="SimSun" w:cs="Arial"/>
                <w:b/>
                <w:bCs/>
                <w:szCs w:val="18"/>
                <w:lang w:eastAsia="zh-CN"/>
              </w:rPr>
              <w:t>N_PAIRS</w:t>
            </w:r>
            <w:r w:rsidRPr="004D0DAA">
              <w:rPr>
                <w:rFonts w:eastAsia="SimSun" w:cs="Arial"/>
                <w:szCs w:val="18"/>
                <w:lang w:eastAsia="zh-CN"/>
              </w:rPr>
              <w: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szCs w:val="18"/>
                <w:lang w:eastAsia="zh-CN"/>
              </w:rPr>
              <w:t>Next assigned PDCH pairs (omitted=same as previous)</w:t>
            </w:r>
          </w:p>
          <w:p w14:paraId="256C2F59" w14:textId="77777777" w:rsidR="00711444" w:rsidRPr="004D0DAA" w:rsidRDefault="00711444" w:rsidP="00AA2A4C">
            <w:pPr>
              <w:pStyle w:val="TAL"/>
              <w:rPr>
                <w:rFonts w:eastAsia="SimSun" w:cs="Arial"/>
                <w:szCs w:val="18"/>
                <w:lang w:val="fr-FR"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val="fr-FR" w:eastAsia="zh-CN"/>
              </w:rPr>
              <w:t xml:space="preserve">{ 0 </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i/>
                <w:szCs w:val="18"/>
                <w:lang w:val="fr-FR" w:eastAsia="zh-CN"/>
              </w:rPr>
              <w:t>-- RTTI USF mode</w:t>
            </w:r>
          </w:p>
          <w:p w14:paraId="42613A8E" w14:textId="77777777" w:rsidR="00711444" w:rsidRPr="004D0DAA" w:rsidRDefault="00711444" w:rsidP="00AA2A4C">
            <w:pPr>
              <w:pStyle w:val="TAL"/>
              <w:rPr>
                <w:rFonts w:eastAsia="SimSun" w:cs="Arial"/>
                <w:szCs w:val="18"/>
                <w:lang w:val="fr-FR" w:eastAsia="zh-CN"/>
              </w:rPr>
            </w:pPr>
            <w:r w:rsidRPr="004D0DAA">
              <w:rPr>
                <w:rFonts w:eastAsia="SimSun" w:cs="Arial"/>
                <w:szCs w:val="18"/>
                <w:lang w:val="fr-FR" w:eastAsia="zh-CN"/>
              </w:rPr>
              <w:tab/>
            </w:r>
            <w:r w:rsidRPr="004D0DAA">
              <w:rPr>
                <w:rFonts w:eastAsia="SimSun" w:cs="Arial"/>
                <w:szCs w:val="18"/>
                <w:lang w:val="fr-FR" w:eastAsia="zh-CN"/>
              </w:rPr>
              <w:tab/>
              <w:t>| 1</w:t>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i/>
                <w:szCs w:val="18"/>
                <w:lang w:val="fr-FR" w:eastAsia="zh-CN"/>
              </w:rPr>
              <w:t>-- BTTI USF</w:t>
            </w:r>
            <w:r w:rsidRPr="004D0DAA">
              <w:rPr>
                <w:rFonts w:eastAsia="SimSun" w:cs="Arial"/>
                <w:szCs w:val="18"/>
                <w:lang w:val="fr-FR" w:eastAsia="zh-CN"/>
              </w:rPr>
              <w:t xml:space="preserve"> mode</w:t>
            </w:r>
            <w:r w:rsidRPr="004D0DAA">
              <w:rPr>
                <w:rFonts w:eastAsia="SimSun" w:cs="Arial"/>
                <w:i/>
                <w:szCs w:val="18"/>
                <w:lang w:val="fr-FR" w:eastAsia="zh-CN"/>
              </w:rPr>
              <w:t xml:space="preserve"> (second USF)</w:t>
            </w:r>
          </w:p>
          <w:p w14:paraId="27102F88" w14:textId="77777777" w:rsidR="00711444" w:rsidRPr="004D0DAA" w:rsidRDefault="00711444" w:rsidP="00AA2A4C">
            <w:pPr>
              <w:pStyle w:val="TAL"/>
              <w:rPr>
                <w:rFonts w:eastAsia="SimSun" w:cs="Arial"/>
                <w:szCs w:val="18"/>
                <w:lang w:eastAsia="zh-CN"/>
              </w:rPr>
            </w:pP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val="fr-FR" w:eastAsia="zh-CN"/>
              </w:rPr>
              <w:tab/>
            </w:r>
            <w:r w:rsidRPr="004D0DAA">
              <w:rPr>
                <w:rFonts w:eastAsia="SimSun" w:cs="Arial"/>
                <w:szCs w:val="18"/>
                <w:lang w:eastAsia="zh-CN"/>
              </w:rPr>
              <w:t xml:space="preserve">&lt; </w:t>
            </w:r>
            <w:r w:rsidRPr="004D0DAA">
              <w:rPr>
                <w:rFonts w:eastAsia="SimSun" w:cs="Arial"/>
                <w:b/>
                <w:bCs/>
                <w:szCs w:val="18"/>
                <w:lang w:eastAsia="zh-CN"/>
              </w:rPr>
              <w:t>USF_2</w:t>
            </w:r>
            <w:r w:rsidRPr="004D0DAA">
              <w:rPr>
                <w:rFonts w:eastAsia="SimSun" w:cs="Arial"/>
                <w:szCs w:val="18"/>
                <w:lang w:eastAsia="zh-CN"/>
              </w:rPr>
              <w:t xml:space="preserve"> : bit (3) &gt;</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
                <w:szCs w:val="18"/>
                <w:lang w:eastAsia="zh-CN"/>
              </w:rPr>
              <w:t>Second USF for</w:t>
            </w:r>
            <w:r w:rsidRPr="004D0DAA">
              <w:rPr>
                <w:rFonts w:eastAsia="SimSun" w:cs="Arial"/>
                <w:szCs w:val="18"/>
                <w:lang w:eastAsia="zh-CN"/>
              </w:rPr>
              <w:t xml:space="preserve"> </w:t>
            </w:r>
            <w:r w:rsidRPr="004D0DAA">
              <w:rPr>
                <w:rFonts w:eastAsia="SimSun" w:cs="Arial"/>
                <w:i/>
                <w:szCs w:val="18"/>
                <w:lang w:eastAsia="zh-CN"/>
              </w:rPr>
              <w:t>the first assigned PDCH pair</w:t>
            </w:r>
          </w:p>
          <w:p w14:paraId="32FC34FF"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cs="Arial"/>
                <w:szCs w:val="18"/>
                <w:lang w:eastAsia="en-US"/>
              </w:rPr>
              <w:t xml:space="preserve">{ 0 | 1 </w:t>
            </w:r>
            <w:r w:rsidRPr="004D0DAA">
              <w:rPr>
                <w:rFonts w:eastAsia="SimSun" w:cs="Arial"/>
                <w:szCs w:val="18"/>
                <w:lang w:eastAsia="zh-CN"/>
              </w:rPr>
              <w:t xml:space="preserve">&lt; </w:t>
            </w:r>
            <w:r w:rsidRPr="004D0DAA">
              <w:rPr>
                <w:rFonts w:eastAsia="SimSun" w:cs="Arial"/>
                <w:b/>
                <w:bCs/>
                <w:szCs w:val="18"/>
                <w:lang w:eastAsia="zh-CN"/>
              </w:rPr>
              <w:t>USF_2</w:t>
            </w:r>
            <w:r w:rsidRPr="004D0DAA">
              <w:rPr>
                <w:rFonts w:eastAsia="SimSun" w:cs="Arial"/>
                <w:szCs w:val="18"/>
                <w:lang w:eastAsia="zh-CN"/>
              </w:rPr>
              <w:t xml:space="preserve"> : bit (3) &gt; </w:t>
            </w:r>
            <w:r w:rsidRPr="004D0DAA">
              <w:rPr>
                <w:rFonts w:cs="Arial"/>
                <w:szCs w:val="18"/>
                <w:lang w:eastAsia="en-US"/>
              </w:rPr>
              <w:t xml:space="preserve">} </w:t>
            </w:r>
            <w:r w:rsidRPr="004D0DAA">
              <w:rPr>
                <w:rFonts w:eastAsia="SimSun" w:cs="Arial"/>
                <w:szCs w:val="18"/>
                <w:lang w:eastAsia="zh-CN"/>
              </w:rPr>
              <w:t>* (val (</w:t>
            </w:r>
            <w:r w:rsidRPr="004D0DAA">
              <w:rPr>
                <w:rFonts w:eastAsia="SimSun" w:cs="Arial"/>
                <w:b/>
                <w:bCs/>
                <w:szCs w:val="18"/>
                <w:lang w:eastAsia="zh-CN"/>
              </w:rPr>
              <w:t>N_PAIRS</w:t>
            </w:r>
            <w:r w:rsidRPr="004D0DAA">
              <w:rPr>
                <w:rFonts w:eastAsia="SimSun" w:cs="Arial"/>
                <w:szCs w:val="18"/>
                <w:lang w:eastAsia="zh-CN"/>
              </w:rPr>
              <w:t>))</w:t>
            </w:r>
            <w:r w:rsidRPr="004D0DAA">
              <w:rPr>
                <w:rFonts w:eastAsia="SimSun" w:cs="Arial"/>
                <w:szCs w:val="18"/>
                <w:lang w:eastAsia="zh-CN"/>
              </w:rPr>
              <w:tab/>
              <w:t xml:space="preserve">-- </w:t>
            </w:r>
            <w:r w:rsidRPr="004D0DAA">
              <w:rPr>
                <w:rFonts w:eastAsia="SimSun" w:cs="Arial"/>
                <w:i/>
                <w:szCs w:val="18"/>
                <w:lang w:eastAsia="zh-CN"/>
              </w:rPr>
              <w:t>Next assigned PDCH pairs (omitted=same as previous)</w:t>
            </w:r>
          </w:p>
          <w:p w14:paraId="1089E425" w14:textId="77777777" w:rsidR="00711444" w:rsidRPr="004D0DAA" w:rsidRDefault="00711444" w:rsidP="00AA2A4C">
            <w:pPr>
              <w:pStyle w:val="TAL"/>
              <w:rPr>
                <w:rFonts w:eastAsia="SimSun" w:cs="Arial"/>
                <w:szCs w:val="18"/>
                <w:lang w:eastAsia="zh-CN"/>
              </w:rPr>
            </w:pPr>
            <w:r w:rsidRPr="004D0DAA">
              <w:rPr>
                <w:lang w:eastAsia="en-US"/>
              </w:rPr>
              <w:tab/>
            </w:r>
            <w:r w:rsidRPr="004D0DAA">
              <w:rPr>
                <w:lang w:eastAsia="en-US"/>
              </w:rPr>
              <w:tab/>
              <w:t>}</w:t>
            </w:r>
          </w:p>
          <w:p w14:paraId="15021A30" w14:textId="77777777" w:rsidR="00711444" w:rsidRPr="004D0DAA" w:rsidRDefault="00711444" w:rsidP="00AA2A4C">
            <w:pPr>
              <w:pStyle w:val="TAL"/>
              <w:rPr>
                <w:lang w:eastAsia="en-US"/>
              </w:rPr>
            </w:pPr>
            <w:r w:rsidRPr="004D0DAA">
              <w:rPr>
                <w:lang w:eastAsia="en-US"/>
              </w:rPr>
              <w:tab/>
              <w:t>} ;</w:t>
            </w:r>
          </w:p>
          <w:p w14:paraId="0CB36680" w14:textId="77777777" w:rsidR="00711444" w:rsidRPr="004D0DAA" w:rsidRDefault="00711444" w:rsidP="00AA2A4C">
            <w:pPr>
              <w:pStyle w:val="TAL"/>
              <w:rPr>
                <w:lang w:eastAsia="en-US"/>
              </w:rPr>
            </w:pPr>
          </w:p>
        </w:tc>
      </w:tr>
      <w:tr w:rsidR="00711444" w:rsidRPr="004D0DAA" w14:paraId="63694119" w14:textId="77777777" w:rsidTr="00AA2A4C">
        <w:tblPrEx>
          <w:tblCellMar>
            <w:top w:w="0" w:type="dxa"/>
            <w:bottom w:w="0" w:type="dxa"/>
          </w:tblCellMar>
        </w:tblPrEx>
        <w:trPr>
          <w:cantSplit/>
        </w:trPr>
        <w:tc>
          <w:tcPr>
            <w:tcW w:w="9848" w:type="dxa"/>
            <w:tcBorders>
              <w:left w:val="single" w:sz="4" w:space="0" w:color="auto"/>
              <w:right w:val="single" w:sz="4" w:space="0" w:color="auto"/>
            </w:tcBorders>
          </w:tcPr>
          <w:p w14:paraId="399A95DC" w14:textId="77777777" w:rsidR="00711444" w:rsidRPr="004D0DAA" w:rsidRDefault="00711444" w:rsidP="00AA2A4C">
            <w:pPr>
              <w:pStyle w:val="TAL"/>
              <w:rPr>
                <w:lang w:eastAsia="en-US"/>
              </w:rPr>
            </w:pPr>
            <w:r w:rsidRPr="004D0DAA">
              <w:rPr>
                <w:lang w:eastAsia="en-US"/>
              </w:rPr>
              <w:lastRenderedPageBreak/>
              <w:t>&lt; Timeslot description 2 struct &gt; ::=</w:t>
            </w:r>
          </w:p>
          <w:p w14:paraId="7A73E858" w14:textId="77777777" w:rsidR="00711444" w:rsidRPr="004D0DAA" w:rsidRDefault="00711444" w:rsidP="00AA2A4C">
            <w:pPr>
              <w:pStyle w:val="TAL"/>
              <w:rPr>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Without power control parameters</w:t>
            </w:r>
          </w:p>
          <w:p w14:paraId="4BA5667D"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MS_TIMESLOT_ALLOCATION_C1</w:t>
            </w:r>
            <w:r w:rsidRPr="004D0DAA">
              <w:rPr>
                <w:lang w:eastAsia="en-US"/>
              </w:rPr>
              <w:t xml:space="preserve"> : bit (8) &gt;</w:t>
            </w:r>
          </w:p>
          <w:p w14:paraId="2359A041"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MS_TIMESLOT_ALLOCATION_C2</w:t>
            </w:r>
            <w:r w:rsidRPr="004D0DAA">
              <w:rPr>
                <w:lang w:eastAsia="en-US"/>
              </w:rPr>
              <w:t xml:space="preserve"> : bit (8) &gt; }</w:t>
            </w:r>
          </w:p>
          <w:p w14:paraId="4065A518"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With power control parameters</w:t>
            </w:r>
          </w:p>
          <w:p w14:paraId="167B6E80"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ALPHA_C1</w:t>
            </w:r>
            <w:r w:rsidRPr="004D0DAA">
              <w:rPr>
                <w:lang w:eastAsia="en-US"/>
              </w:rPr>
              <w:t xml:space="preserve"> : bit (4) &gt;</w:t>
            </w:r>
            <w:r w:rsidRPr="004D0DAA">
              <w:rPr>
                <w:lang w:eastAsia="en-US"/>
              </w:rPr>
              <w:tab/>
            </w:r>
            <w:r w:rsidRPr="004D0DAA">
              <w:rPr>
                <w:lang w:eastAsia="en-US"/>
              </w:rPr>
              <w:tab/>
            </w:r>
          </w:p>
          <w:p w14:paraId="184AE3BE"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GAMMA_TN0_C1</w:t>
            </w:r>
            <w:r w:rsidRPr="004D0DAA">
              <w:rPr>
                <w:lang w:eastAsia="en-US"/>
              </w:rPr>
              <w:t xml:space="preserve"> : bit (5) &gt; } </w:t>
            </w:r>
          </w:p>
          <w:p w14:paraId="0C0FAF3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GAMMA_TN1_C1</w:t>
            </w:r>
            <w:r w:rsidRPr="004D0DAA">
              <w:rPr>
                <w:lang w:eastAsia="en-US"/>
              </w:rPr>
              <w:t xml:space="preserve"> : bit (5) &gt; }</w:t>
            </w:r>
          </w:p>
          <w:p w14:paraId="50C0A2FF"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GAMMA_TN2_C1</w:t>
            </w:r>
            <w:r w:rsidRPr="004D0DAA">
              <w:rPr>
                <w:lang w:eastAsia="en-US"/>
              </w:rPr>
              <w:t xml:space="preserve"> : bit (5) &gt; }</w:t>
            </w:r>
          </w:p>
          <w:p w14:paraId="0939F35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GAMMA_TN3_C1</w:t>
            </w:r>
            <w:r w:rsidRPr="004D0DAA">
              <w:rPr>
                <w:lang w:eastAsia="en-US"/>
              </w:rPr>
              <w:t xml:space="preserve"> : bit (5) &gt; }</w:t>
            </w:r>
          </w:p>
          <w:p w14:paraId="0F384CBC"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GAMMA_TN4_C1</w:t>
            </w:r>
            <w:r w:rsidRPr="004D0DAA">
              <w:rPr>
                <w:lang w:eastAsia="en-US"/>
              </w:rPr>
              <w:t xml:space="preserve"> : bit (5) &gt; }</w:t>
            </w:r>
          </w:p>
          <w:p w14:paraId="7DE487C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GAMMA_TN5_C1</w:t>
            </w:r>
            <w:r w:rsidRPr="004D0DAA">
              <w:rPr>
                <w:lang w:eastAsia="en-US"/>
              </w:rPr>
              <w:t xml:space="preserve"> : bit (5) &gt; }</w:t>
            </w:r>
          </w:p>
          <w:p w14:paraId="433917E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GAMMA_TN6_C1</w:t>
            </w:r>
            <w:r w:rsidRPr="004D0DAA">
              <w:rPr>
                <w:lang w:eastAsia="en-US"/>
              </w:rPr>
              <w:t xml:space="preserve"> : bit (5) &gt; }</w:t>
            </w:r>
          </w:p>
          <w:p w14:paraId="005717FF"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GAMMA_TN7_C1</w:t>
            </w:r>
            <w:r w:rsidRPr="004D0DAA">
              <w:rPr>
                <w:lang w:eastAsia="en-US"/>
              </w:rPr>
              <w:t xml:space="preserve"> : bit (5) &gt; } </w:t>
            </w:r>
          </w:p>
          <w:p w14:paraId="284036A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ALPHA_C2</w:t>
            </w:r>
            <w:r w:rsidRPr="004D0DAA">
              <w:rPr>
                <w:lang w:eastAsia="en-US"/>
              </w:rPr>
              <w:t xml:space="preserve"> : bit (4) &gt; }</w:t>
            </w:r>
            <w:r w:rsidRPr="004D0DAA">
              <w:rPr>
                <w:lang w:eastAsia="en-US"/>
              </w:rPr>
              <w:tab/>
            </w:r>
            <w:r w:rsidRPr="004D0DAA">
              <w:rPr>
                <w:lang w:eastAsia="en-US"/>
              </w:rPr>
              <w:tab/>
            </w:r>
          </w:p>
          <w:p w14:paraId="427D742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GAMMA_TN0_C2</w:t>
            </w:r>
            <w:r w:rsidRPr="004D0DAA">
              <w:rPr>
                <w:lang w:eastAsia="en-US"/>
              </w:rPr>
              <w:t xml:space="preserve"> : bit (5) &gt; } </w:t>
            </w:r>
          </w:p>
          <w:p w14:paraId="61DE732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GAMMA_TN1_C2</w:t>
            </w:r>
            <w:r w:rsidRPr="004D0DAA">
              <w:rPr>
                <w:lang w:eastAsia="en-US"/>
              </w:rPr>
              <w:t xml:space="preserve"> : bit (5) &gt; }</w:t>
            </w:r>
          </w:p>
          <w:p w14:paraId="2DF3AD34"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GAMMA_TN2_C2</w:t>
            </w:r>
            <w:r w:rsidRPr="004D0DAA">
              <w:rPr>
                <w:lang w:eastAsia="en-US"/>
              </w:rPr>
              <w:t xml:space="preserve"> : bit (5) &gt; }</w:t>
            </w:r>
          </w:p>
          <w:p w14:paraId="78487329"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GAMMA_TN3_C2</w:t>
            </w:r>
            <w:r w:rsidRPr="004D0DAA">
              <w:rPr>
                <w:lang w:eastAsia="en-US"/>
              </w:rPr>
              <w:t xml:space="preserve"> : bit (5) &gt; }</w:t>
            </w:r>
          </w:p>
          <w:p w14:paraId="0E76F2D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GAMMA_TN4_C2</w:t>
            </w:r>
            <w:r w:rsidRPr="004D0DAA">
              <w:rPr>
                <w:lang w:eastAsia="en-US"/>
              </w:rPr>
              <w:t xml:space="preserve"> : bit (5) &gt; }</w:t>
            </w:r>
          </w:p>
          <w:p w14:paraId="044F013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GAMMA_TN5_C2</w:t>
            </w:r>
            <w:r w:rsidRPr="004D0DAA">
              <w:rPr>
                <w:lang w:eastAsia="en-US"/>
              </w:rPr>
              <w:t xml:space="preserve"> : bit (5) &gt; }</w:t>
            </w:r>
          </w:p>
          <w:p w14:paraId="65ED7B88"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GAMMA_TN6_C2</w:t>
            </w:r>
            <w:r w:rsidRPr="004D0DAA">
              <w:rPr>
                <w:lang w:eastAsia="en-US"/>
              </w:rPr>
              <w:t xml:space="preserve"> : bit (5) &gt; }</w:t>
            </w:r>
          </w:p>
          <w:p w14:paraId="62A8FC3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GAMMA_TN7_C2</w:t>
            </w:r>
            <w:r w:rsidRPr="004D0DAA">
              <w:rPr>
                <w:lang w:eastAsia="en-US"/>
              </w:rPr>
              <w:t xml:space="preserve"> : bit (5) &gt; } } ;</w:t>
            </w:r>
          </w:p>
          <w:p w14:paraId="07E12586" w14:textId="77777777" w:rsidR="00711444" w:rsidRPr="004D0DAA" w:rsidRDefault="00711444" w:rsidP="00AA2A4C">
            <w:pPr>
              <w:pStyle w:val="TAL"/>
              <w:rPr>
                <w:lang w:eastAsia="en-US"/>
              </w:rPr>
            </w:pPr>
          </w:p>
        </w:tc>
      </w:tr>
    </w:tbl>
    <w:p w14:paraId="57F3377E" w14:textId="77777777" w:rsidR="00711444" w:rsidRPr="004D0DAA" w:rsidRDefault="00711444" w:rsidP="00711444"/>
    <w:p w14:paraId="28A4CDB1" w14:textId="77777777" w:rsidR="00711444" w:rsidRPr="004D0DAA" w:rsidRDefault="00711444" w:rsidP="00711444">
      <w:pPr>
        <w:pStyle w:val="TH"/>
      </w:pPr>
      <w:r w:rsidRPr="004D0DAA">
        <w:t>Table 12.48a.6.2: Multiple Uplink Assignment 2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2746F31F" w14:textId="77777777" w:rsidTr="00AA2A4C">
        <w:tblPrEx>
          <w:tblCellMar>
            <w:top w:w="0" w:type="dxa"/>
            <w:bottom w:w="0" w:type="dxa"/>
          </w:tblCellMar>
        </w:tblPrEx>
        <w:trPr>
          <w:cantSplit/>
        </w:trPr>
        <w:tc>
          <w:tcPr>
            <w:tcW w:w="9848" w:type="dxa"/>
          </w:tcPr>
          <w:p w14:paraId="5573CEE0" w14:textId="77777777" w:rsidR="00711444" w:rsidRPr="004D0DAA" w:rsidRDefault="00711444" w:rsidP="00AA2A4C">
            <w:r w:rsidRPr="004D0DAA">
              <w:rPr>
                <w:b/>
              </w:rPr>
              <w:t>EGPRS Modulation and Coding Scheme IE (EGPRS Channel Coding Command)</w:t>
            </w:r>
            <w:r w:rsidRPr="004D0DAA">
              <w:rPr>
                <w:b/>
              </w:rPr>
              <w:br/>
            </w:r>
            <w:r w:rsidRPr="004D0DAA">
              <w:t>This information element is defined in</w:t>
            </w:r>
            <w:r w:rsidRPr="004D0DAA">
              <w:rPr>
                <w:i/>
              </w:rPr>
              <w:t xml:space="preserve"> </w:t>
            </w:r>
            <w:r w:rsidRPr="004D0DAA">
              <w:t>sub-clause 12.10d .</w:t>
            </w:r>
          </w:p>
          <w:p w14:paraId="56D43D77" w14:textId="77777777" w:rsidR="00711444" w:rsidRPr="004D0DAA" w:rsidRDefault="00711444" w:rsidP="00AA2A4C">
            <w:pPr>
              <w:rPr>
                <w:b/>
              </w:rPr>
            </w:pPr>
            <w:r w:rsidRPr="004D0DAA">
              <w:t>Specific conditions apply for the inclusion of this information element. See sub-clause 11.2.29a (Multiple TBF Uplink Assignment message).</w:t>
            </w:r>
          </w:p>
        </w:tc>
      </w:tr>
      <w:tr w:rsidR="00711444" w:rsidRPr="004D0DAA" w14:paraId="08D09D27"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bottom w:val="single" w:sz="4" w:space="0" w:color="auto"/>
            </w:tcBorders>
          </w:tcPr>
          <w:p w14:paraId="67E9AD86" w14:textId="77777777" w:rsidR="00711444" w:rsidRPr="004D0DAA" w:rsidRDefault="00711444" w:rsidP="00AA2A4C">
            <w:pPr>
              <w:spacing w:after="0"/>
            </w:pPr>
            <w:r w:rsidRPr="004D0DAA">
              <w:rPr>
                <w:b/>
              </w:rPr>
              <w:t>RESEGMENT</w:t>
            </w:r>
            <w:r w:rsidRPr="004D0DAA">
              <w:rPr>
                <w:bCs/>
              </w:rPr>
              <w:t xml:space="preserve"> </w:t>
            </w:r>
            <w:r w:rsidRPr="004D0DAA">
              <w:t>(1 bit field)</w:t>
            </w:r>
            <w:r w:rsidRPr="004D0DAA">
              <w:br/>
              <w:t>This field is defined in sub-clause 12.10e.</w:t>
            </w:r>
          </w:p>
          <w:p w14:paraId="0AB2CF8A" w14:textId="77777777" w:rsidR="00711444" w:rsidRPr="004D0DAA" w:rsidRDefault="00711444" w:rsidP="00AA2A4C">
            <w:pPr>
              <w:spacing w:after="0"/>
              <w:rPr>
                <w:b/>
              </w:rPr>
            </w:pPr>
          </w:p>
        </w:tc>
      </w:tr>
      <w:tr w:rsidR="00711444" w:rsidRPr="004D0DAA" w14:paraId="3AE9B9C3"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4629A79A" w14:textId="77777777" w:rsidR="00711444" w:rsidRPr="004D0DAA" w:rsidRDefault="00711444" w:rsidP="00AA2A4C">
            <w:pPr>
              <w:spacing w:after="0"/>
            </w:pPr>
            <w:r w:rsidRPr="004D0DAA">
              <w:rPr>
                <w:b/>
              </w:rPr>
              <w:t>EXTENDED_DYNAMIC_ALLOCATION</w:t>
            </w:r>
            <w:r w:rsidRPr="004D0DAA">
              <w:t xml:space="preserve"> (1 bit field)</w:t>
            </w:r>
            <w:r w:rsidRPr="004D0DAA">
              <w:br/>
              <w:t>See sub-clause 11.2.29 (Packet Uplink Assignment message).</w:t>
            </w:r>
          </w:p>
          <w:p w14:paraId="470F8EE5" w14:textId="77777777" w:rsidR="00711444" w:rsidRPr="004D0DAA" w:rsidRDefault="00711444" w:rsidP="00AA2A4C">
            <w:pPr>
              <w:spacing w:after="0"/>
            </w:pPr>
          </w:p>
        </w:tc>
      </w:tr>
      <w:tr w:rsidR="00711444" w:rsidRPr="004D0DAA" w14:paraId="5539DD16"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33884E20" w14:textId="77777777" w:rsidR="00711444" w:rsidRPr="004D0DAA" w:rsidRDefault="00711444" w:rsidP="00AA2A4C">
            <w:pPr>
              <w:spacing w:after="0"/>
            </w:pPr>
            <w:r w:rsidRPr="004D0DAA">
              <w:rPr>
                <w:b/>
              </w:rPr>
              <w:t>P0_C1, P0_C2</w:t>
            </w:r>
            <w:r w:rsidRPr="004D0DAA">
              <w:t xml:space="preserve"> (4 bit field)</w:t>
            </w:r>
            <w:r w:rsidRPr="004D0DAA">
              <w:br/>
              <w:t>See sub-clause 11.2.29 (Packet Uplink Assignment message).</w:t>
            </w:r>
          </w:p>
          <w:p w14:paraId="0F29E4C4" w14:textId="77777777" w:rsidR="00711444" w:rsidRPr="004D0DAA" w:rsidRDefault="00711444" w:rsidP="00AA2A4C">
            <w:pPr>
              <w:spacing w:after="0"/>
            </w:pPr>
          </w:p>
        </w:tc>
      </w:tr>
      <w:tr w:rsidR="00711444" w:rsidRPr="004D0DAA" w14:paraId="5FC8930B"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7E38370" w14:textId="77777777" w:rsidR="00711444" w:rsidRPr="004D0DAA" w:rsidRDefault="00711444" w:rsidP="00AA2A4C">
            <w:pPr>
              <w:spacing w:after="0"/>
            </w:pPr>
            <w:r w:rsidRPr="004D0DAA">
              <w:rPr>
                <w:b/>
              </w:rPr>
              <w:t>PR_MODE_C1, PR_MODE_C2</w:t>
            </w:r>
            <w:r w:rsidRPr="004D0DAA">
              <w:t xml:space="preserve"> (1 bit field)</w:t>
            </w:r>
            <w:r w:rsidRPr="004D0DAA">
              <w:br/>
              <w:t>See sub-clause 11.2.29 (Packet Uplink Assignment message).</w:t>
            </w:r>
          </w:p>
          <w:p w14:paraId="5E362F7C" w14:textId="77777777" w:rsidR="00711444" w:rsidRPr="004D0DAA" w:rsidRDefault="00711444" w:rsidP="00AA2A4C">
            <w:pPr>
              <w:spacing w:after="0"/>
            </w:pPr>
          </w:p>
        </w:tc>
      </w:tr>
      <w:tr w:rsidR="00711444" w:rsidRPr="004D0DAA" w14:paraId="63095585"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CBDF586" w14:textId="77777777" w:rsidR="00711444" w:rsidRPr="004D0DAA" w:rsidRDefault="00711444" w:rsidP="00AA2A4C">
            <w:pPr>
              <w:spacing w:after="0"/>
            </w:pPr>
            <w:r w:rsidRPr="004D0DAA">
              <w:rPr>
                <w:b/>
              </w:rPr>
              <w:t xml:space="preserve">TSH </w:t>
            </w:r>
            <w:r w:rsidRPr="004D0DAA">
              <w:t>(2 bit field)</w:t>
            </w:r>
          </w:p>
          <w:p w14:paraId="0E80D812" w14:textId="77777777" w:rsidR="00711444" w:rsidRPr="004D0DAA" w:rsidRDefault="00711444" w:rsidP="00AA2A4C">
            <w:pPr>
              <w:spacing w:after="0"/>
            </w:pPr>
            <w:r w:rsidRPr="004D0DAA">
              <w:t>See sub-clause 11.2.29 (Packet Uplink Assignment message).</w:t>
            </w:r>
          </w:p>
          <w:p w14:paraId="7FEDDB77" w14:textId="77777777" w:rsidR="00711444" w:rsidRPr="004D0DAA" w:rsidRDefault="00711444" w:rsidP="00AA2A4C">
            <w:pPr>
              <w:spacing w:after="0"/>
              <w:rPr>
                <w:b/>
              </w:rPr>
            </w:pPr>
          </w:p>
        </w:tc>
      </w:tr>
      <w:tr w:rsidR="00711444" w:rsidRPr="004D0DAA" w14:paraId="48C64BA1"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7822C1BB" w14:textId="77777777" w:rsidR="00711444" w:rsidRPr="004D0DAA" w:rsidRDefault="00711444" w:rsidP="00AA2A4C">
            <w:pPr>
              <w:spacing w:after="0"/>
              <w:rPr>
                <w:b/>
                <w:bCs/>
                <w:szCs w:val="18"/>
              </w:rPr>
            </w:pPr>
            <w:r w:rsidRPr="004D0DAA">
              <w:rPr>
                <w:b/>
              </w:rPr>
              <w:t xml:space="preserve">Uplink Assignment </w:t>
            </w:r>
            <w:r w:rsidRPr="004D0DAA">
              <w:rPr>
                <w:b/>
                <w:bCs/>
              </w:rPr>
              <w:t>PDCH Pairs Description</w:t>
            </w:r>
          </w:p>
          <w:p w14:paraId="686F0AC8" w14:textId="77777777" w:rsidR="00711444" w:rsidRPr="004D0DAA" w:rsidRDefault="00711444" w:rsidP="00AA2A4C">
            <w:r w:rsidRPr="004D0DAA">
              <w:t>This information element is defined in sub-clause 12.5.5.</w:t>
            </w:r>
          </w:p>
          <w:p w14:paraId="06FD9192" w14:textId="77777777" w:rsidR="00711444" w:rsidRPr="004D0DAA" w:rsidRDefault="00711444" w:rsidP="00AA2A4C">
            <w:pPr>
              <w:rPr>
                <w:b/>
              </w:rPr>
            </w:pPr>
            <w:r w:rsidRPr="004D0DAA">
              <w:t>Specific conditions apply for the inclusion of this information element (see sub-clause 7.1.3.6).</w:t>
            </w:r>
          </w:p>
        </w:tc>
      </w:tr>
      <w:tr w:rsidR="00711444" w:rsidRPr="004D0DAA" w14:paraId="6C366CE0" w14:textId="77777777" w:rsidTr="00AA2A4C">
        <w:tblPrEx>
          <w:tblCellMar>
            <w:top w:w="0" w:type="dxa"/>
            <w:bottom w:w="0" w:type="dxa"/>
          </w:tblCellMar>
        </w:tblPrEx>
        <w:trPr>
          <w:cantSplit/>
        </w:trPr>
        <w:tc>
          <w:tcPr>
            <w:tcW w:w="9848" w:type="dxa"/>
          </w:tcPr>
          <w:p w14:paraId="7A50452A" w14:textId="77777777" w:rsidR="00711444" w:rsidRPr="004D0DAA" w:rsidRDefault="00711444" w:rsidP="00AA2A4C">
            <w:pPr>
              <w:spacing w:after="0"/>
              <w:rPr>
                <w:b/>
                <w:bCs/>
              </w:rPr>
            </w:pPr>
            <w:r w:rsidRPr="004D0DAA">
              <w:rPr>
                <w:b/>
                <w:bCs/>
              </w:rPr>
              <w:t xml:space="preserve">N_TS, N_PAIRS, </w:t>
            </w:r>
          </w:p>
          <w:p w14:paraId="747A48C0" w14:textId="77777777" w:rsidR="00711444" w:rsidRPr="004D0DAA" w:rsidRDefault="00711444" w:rsidP="00AA2A4C">
            <w:pPr>
              <w:spacing w:after="0"/>
            </w:pPr>
            <w:r w:rsidRPr="004D0DAA">
              <w:t>These fields indicate respectively the number of timeslots or PDCH pairs assigned to a given uplink TBF. The number of timeslots or PDCH pairs is given as the binary value of the corresponding field plus one.</w:t>
            </w:r>
          </w:p>
          <w:p w14:paraId="1245EE8E" w14:textId="77777777" w:rsidR="00711444" w:rsidRPr="004D0DAA" w:rsidRDefault="00711444" w:rsidP="00AA2A4C">
            <w:pPr>
              <w:spacing w:after="0"/>
            </w:pPr>
          </w:p>
          <w:p w14:paraId="1FDD7A5B" w14:textId="77777777" w:rsidR="00711444" w:rsidRPr="004D0DAA" w:rsidRDefault="00711444" w:rsidP="00AA2A4C">
            <w:pPr>
              <w:spacing w:after="0"/>
            </w:pPr>
            <w:r w:rsidRPr="004D0DAA">
              <w:t>See Annex K for details of the coding of these fields.</w:t>
            </w:r>
          </w:p>
          <w:p w14:paraId="0EABB474" w14:textId="77777777" w:rsidR="00711444" w:rsidRPr="004D0DAA" w:rsidRDefault="00711444" w:rsidP="00AA2A4C">
            <w:pPr>
              <w:spacing w:after="0"/>
            </w:pPr>
          </w:p>
        </w:tc>
      </w:tr>
      <w:tr w:rsidR="00711444" w:rsidRPr="004D0DAA" w14:paraId="76CDC94A"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7EFBCA0D" w14:textId="77777777" w:rsidR="00711444" w:rsidRPr="004D0DAA" w:rsidRDefault="00711444" w:rsidP="00AA2A4C">
            <w:pPr>
              <w:spacing w:after="0"/>
            </w:pPr>
            <w:r w:rsidRPr="004D0DAA">
              <w:rPr>
                <w:b/>
              </w:rPr>
              <w:t>ALPHA_C1,</w:t>
            </w:r>
            <w:r w:rsidRPr="004D0DAA">
              <w:t xml:space="preserve"> </w:t>
            </w:r>
            <w:r w:rsidRPr="004D0DAA">
              <w:rPr>
                <w:b/>
              </w:rPr>
              <w:t>ALPHA_C2</w:t>
            </w:r>
            <w:r w:rsidRPr="004D0DAA">
              <w:t xml:space="preserve"> (4 bit field)</w:t>
            </w:r>
            <w:r w:rsidRPr="004D0DAA">
              <w:br/>
              <w:t>See sub-clause 11.2.29 (Packet Uplink Assignment message).</w:t>
            </w:r>
          </w:p>
          <w:p w14:paraId="1C835E85" w14:textId="77777777" w:rsidR="00711444" w:rsidRPr="004D0DAA" w:rsidRDefault="00711444" w:rsidP="00AA2A4C">
            <w:pPr>
              <w:spacing w:after="0"/>
            </w:pPr>
          </w:p>
        </w:tc>
      </w:tr>
      <w:tr w:rsidR="00711444" w:rsidRPr="004D0DAA" w14:paraId="31B4BF97"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4FB005D5" w14:textId="77777777" w:rsidR="00711444" w:rsidRPr="004D0DAA" w:rsidRDefault="00711444" w:rsidP="00AA2A4C">
            <w:r w:rsidRPr="004D0DAA">
              <w:rPr>
                <w:b/>
              </w:rPr>
              <w:lastRenderedPageBreak/>
              <w:t>GAMMA, GAMMA_TNx_C1, GAMMA_TNx_C2</w:t>
            </w:r>
            <w:r w:rsidRPr="004D0DAA">
              <w:t xml:space="preserve"> (5 bit field)</w:t>
            </w:r>
            <w:r w:rsidRPr="004D0DAA">
              <w:br/>
              <w:t xml:space="preserve">These fields are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w:t>
            </w:r>
          </w:p>
          <w:p w14:paraId="2EDC903A" w14:textId="77777777" w:rsidR="00711444" w:rsidRPr="004D0DAA" w:rsidRDefault="00711444" w:rsidP="00AA2A4C">
            <w:pPr>
              <w:spacing w:after="0"/>
            </w:pPr>
            <w:r w:rsidRPr="004D0DAA">
              <w:t>See sub-clause 11.2.29 (Packet Uplink Assignment message).</w:t>
            </w:r>
          </w:p>
          <w:p w14:paraId="5E95BE5C" w14:textId="77777777" w:rsidR="00711444" w:rsidRPr="004D0DAA" w:rsidRDefault="00711444" w:rsidP="00AA2A4C">
            <w:pPr>
              <w:spacing w:after="0"/>
            </w:pPr>
          </w:p>
        </w:tc>
      </w:tr>
      <w:tr w:rsidR="00711444" w:rsidRPr="004D0DAA" w14:paraId="2E0A073B"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7E26DA78" w14:textId="77777777" w:rsidR="00711444" w:rsidRPr="004D0DAA" w:rsidRDefault="00711444" w:rsidP="00AA2A4C">
            <w:pPr>
              <w:spacing w:after="0"/>
            </w:pPr>
            <w:r w:rsidRPr="004D0DAA">
              <w:rPr>
                <w:b/>
                <w:bCs/>
                <w:szCs w:val="18"/>
              </w:rPr>
              <w:t xml:space="preserve">RTTI_USF_MODE </w:t>
            </w:r>
            <w:r w:rsidRPr="004D0DAA">
              <w:t>(1 bit field)</w:t>
            </w:r>
          </w:p>
          <w:p w14:paraId="33982CE6" w14:textId="77777777" w:rsidR="00711444" w:rsidRPr="004D0DAA" w:rsidRDefault="00711444" w:rsidP="00AA2A4C">
            <w:pPr>
              <w:spacing w:after="0"/>
            </w:pPr>
            <w:r w:rsidRPr="004D0DAA">
              <w:t>See sub-clause 11.2.29 (Packet Uplink Assignment message).</w:t>
            </w:r>
          </w:p>
          <w:p w14:paraId="6FFF3E68" w14:textId="77777777" w:rsidR="00711444" w:rsidRPr="004D0DAA" w:rsidRDefault="00711444" w:rsidP="00AA2A4C">
            <w:pPr>
              <w:spacing w:after="0"/>
              <w:rPr>
                <w:b/>
                <w:bCs/>
                <w:szCs w:val="18"/>
              </w:rPr>
            </w:pPr>
          </w:p>
        </w:tc>
      </w:tr>
      <w:tr w:rsidR="00711444" w:rsidRPr="004D0DAA" w14:paraId="3FE722B4"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51C42831" w14:textId="77777777" w:rsidR="00711444" w:rsidRPr="004D0DAA" w:rsidRDefault="00711444" w:rsidP="00AA2A4C">
            <w:pPr>
              <w:spacing w:after="0"/>
            </w:pPr>
            <w:r w:rsidRPr="004D0DAA">
              <w:rPr>
                <w:b/>
              </w:rPr>
              <w:t>EGPRS Level IE (Uplink EGPRS Level</w:t>
            </w:r>
            <w:r w:rsidRPr="004D0DAA">
              <w:t>)</w:t>
            </w:r>
          </w:p>
          <w:p w14:paraId="6D46BDC2" w14:textId="77777777" w:rsidR="00711444" w:rsidRPr="004D0DAA" w:rsidRDefault="00711444" w:rsidP="00AA2A4C">
            <w:pPr>
              <w:spacing w:after="0"/>
              <w:rPr>
                <w:szCs w:val="18"/>
              </w:rPr>
            </w:pPr>
            <w:r w:rsidRPr="004D0DAA">
              <w:t>This information element is defined in sub-clause 12.10f.</w:t>
            </w:r>
          </w:p>
          <w:p w14:paraId="4DEAB323" w14:textId="77777777" w:rsidR="00711444" w:rsidRPr="004D0DAA" w:rsidRDefault="00711444" w:rsidP="00AA2A4C">
            <w:pPr>
              <w:spacing w:after="0"/>
              <w:rPr>
                <w:b/>
              </w:rPr>
            </w:pPr>
          </w:p>
        </w:tc>
      </w:tr>
      <w:tr w:rsidR="00711444" w:rsidRPr="004D0DAA" w14:paraId="68DA8920"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Borders>
              <w:top w:val="single" w:sz="4" w:space="0" w:color="auto"/>
              <w:bottom w:val="single" w:sz="4" w:space="0" w:color="auto"/>
            </w:tcBorders>
          </w:tcPr>
          <w:p w14:paraId="212B16D4" w14:textId="77777777" w:rsidR="00711444" w:rsidRPr="004D0DAA" w:rsidRDefault="00711444" w:rsidP="00AA2A4C">
            <w:pPr>
              <w:spacing w:after="0"/>
            </w:pPr>
            <w:r w:rsidRPr="004D0DAA">
              <w:rPr>
                <w:b/>
              </w:rPr>
              <w:t>Pulse Format</w:t>
            </w:r>
            <w:r w:rsidRPr="004D0DAA">
              <w:t xml:space="preserve"> IE</w:t>
            </w:r>
          </w:p>
          <w:p w14:paraId="0D1788C7" w14:textId="77777777" w:rsidR="00711444" w:rsidRPr="004D0DAA" w:rsidRDefault="00711444" w:rsidP="00AA2A4C">
            <w:pPr>
              <w:spacing w:after="0"/>
            </w:pPr>
            <w:r w:rsidRPr="004D0DAA">
              <w:t>This information element is defined in sub-clause 12.8.3.</w:t>
            </w:r>
          </w:p>
          <w:p w14:paraId="5AE6F1E3" w14:textId="77777777" w:rsidR="00711444" w:rsidRPr="004D0DAA" w:rsidRDefault="00711444" w:rsidP="00AA2A4C">
            <w:pPr>
              <w:spacing w:after="0"/>
            </w:pPr>
          </w:p>
        </w:tc>
      </w:tr>
      <w:tr w:rsidR="00711444" w:rsidRPr="004D0DAA" w14:paraId="4AA12063"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2CB6D8A" w14:textId="77777777" w:rsidR="00711444" w:rsidRPr="004D0DAA" w:rsidRDefault="00711444" w:rsidP="00AA2A4C">
            <w:pPr>
              <w:spacing w:after="0"/>
              <w:rPr>
                <w:b/>
              </w:rPr>
            </w:pPr>
            <w:r w:rsidRPr="004D0DAA">
              <w:rPr>
                <w:b/>
              </w:rPr>
              <w:t xml:space="preserve">PFI </w:t>
            </w:r>
            <w:r w:rsidRPr="004D0DAA">
              <w:rPr>
                <w:bCs/>
              </w:rPr>
              <w:t>(7 bit field)</w:t>
            </w:r>
          </w:p>
          <w:p w14:paraId="71360399" w14:textId="77777777" w:rsidR="00711444" w:rsidRPr="004D0DAA" w:rsidRDefault="00711444" w:rsidP="00AA2A4C">
            <w:pPr>
              <w:spacing w:after="0"/>
            </w:pPr>
            <w:r w:rsidRPr="004D0DAA">
              <w:t>This field shall only be included for TBFs if both the network and the mobile station support multiple TBFs. This field contains the PFI parameter identifying a Packet Flow Context. The PFI parameter is encoded as the contents of the PFI information element as defined in 3GPP TS 44.018.</w:t>
            </w:r>
          </w:p>
          <w:p w14:paraId="4034F4D3" w14:textId="77777777" w:rsidR="00711444" w:rsidRPr="004D0DAA" w:rsidRDefault="00711444" w:rsidP="00AA2A4C">
            <w:pPr>
              <w:spacing w:after="0"/>
              <w:rPr>
                <w:b/>
              </w:rPr>
            </w:pPr>
          </w:p>
        </w:tc>
      </w:tr>
      <w:tr w:rsidR="00711444" w:rsidRPr="004D0DAA" w14:paraId="57BF02C0"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26458B9" w14:textId="77777777" w:rsidR="00711444" w:rsidRPr="004D0DAA" w:rsidRDefault="00711444" w:rsidP="00AA2A4C">
            <w:pPr>
              <w:spacing w:after="0"/>
              <w:rPr>
                <w:bCs/>
              </w:rPr>
            </w:pPr>
            <w:r w:rsidRPr="004D0DAA">
              <w:rPr>
                <w:b/>
              </w:rPr>
              <w:t xml:space="preserve">RLC_MODE </w:t>
            </w:r>
            <w:r w:rsidRPr="004D0DAA">
              <w:t>(1 bit field)</w:t>
            </w:r>
          </w:p>
          <w:p w14:paraId="7EAC741D" w14:textId="77777777" w:rsidR="00711444" w:rsidRPr="004D0DAA" w:rsidRDefault="00711444" w:rsidP="00AA2A4C">
            <w:pPr>
              <w:spacing w:after="0"/>
            </w:pPr>
            <w:r w:rsidRPr="004D0DAA">
              <w:t>See sub-clause 12.48a.2 (</w:t>
            </w:r>
            <w:r w:rsidRPr="004D0DAA">
              <w:rPr>
                <w:i/>
              </w:rPr>
              <w:t xml:space="preserve">Single Downlink Assignment 2 </w:t>
            </w:r>
            <w:r w:rsidRPr="004D0DAA">
              <w:t>information element).</w:t>
            </w:r>
          </w:p>
          <w:p w14:paraId="38EF849B" w14:textId="77777777" w:rsidR="00711444" w:rsidRPr="004D0DAA" w:rsidRDefault="00711444" w:rsidP="00AA2A4C">
            <w:pPr>
              <w:spacing w:after="0"/>
            </w:pPr>
          </w:p>
        </w:tc>
      </w:tr>
      <w:tr w:rsidR="00711444" w:rsidRPr="004D0DAA" w14:paraId="5D2185BE"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55D974C9" w14:textId="77777777" w:rsidR="00711444" w:rsidRPr="004D0DAA" w:rsidRDefault="00711444" w:rsidP="00AA2A4C">
            <w:pPr>
              <w:spacing w:after="0"/>
            </w:pPr>
            <w:r w:rsidRPr="004D0DAA">
              <w:rPr>
                <w:b/>
              </w:rPr>
              <w:t>TFI Assignment</w:t>
            </w:r>
            <w:r w:rsidRPr="004D0DAA">
              <w:rPr>
                <w:rFonts w:ascii="Arial" w:hAnsi="Arial"/>
                <w:sz w:val="18"/>
              </w:rPr>
              <w:t xml:space="preserve"> </w:t>
            </w:r>
            <w:r w:rsidRPr="004D0DAA">
              <w:t>(5 bit field)</w:t>
            </w:r>
            <w:r w:rsidRPr="004D0DAA">
              <w:br/>
              <w:t>See sub-clause 11.2.29a (Multiple TBF Uplink Assignment message).</w:t>
            </w:r>
          </w:p>
          <w:p w14:paraId="12623896" w14:textId="77777777" w:rsidR="00711444" w:rsidRPr="004D0DAA" w:rsidRDefault="00711444" w:rsidP="00AA2A4C">
            <w:pPr>
              <w:spacing w:after="0"/>
              <w:rPr>
                <w:b/>
              </w:rPr>
            </w:pPr>
          </w:p>
        </w:tc>
      </w:tr>
      <w:tr w:rsidR="00711444" w:rsidRPr="004D0DAA" w14:paraId="5A01A8D6"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6A14AD27" w14:textId="77777777" w:rsidR="00711444" w:rsidRPr="004D0DAA" w:rsidRDefault="00711444" w:rsidP="00AA2A4C">
            <w:r w:rsidRPr="004D0DAA">
              <w:rPr>
                <w:b/>
              </w:rPr>
              <w:t>EGPRS Window Size IE (Uplink EGPRS Window Size)</w:t>
            </w:r>
            <w:r w:rsidRPr="004D0DAA">
              <w:br/>
              <w:t>This information element is defined in sub-clause 12.5.2.</w:t>
            </w:r>
          </w:p>
          <w:p w14:paraId="364396EC" w14:textId="77777777" w:rsidR="00711444" w:rsidRPr="004D0DAA" w:rsidRDefault="00711444" w:rsidP="00AA2A4C">
            <w:pPr>
              <w:rPr>
                <w:b/>
              </w:rPr>
            </w:pPr>
            <w:r w:rsidRPr="004D0DAA">
              <w:t>Specific conditions apply for the interpretation of this information element. See sub-clause 11.2.37 (Packet CS Release Indication message).</w:t>
            </w:r>
          </w:p>
        </w:tc>
      </w:tr>
      <w:tr w:rsidR="00711444" w:rsidRPr="004D0DAA" w14:paraId="28D8ABFB" w14:textId="77777777" w:rsidTr="00AA2A4C">
        <w:tblPrEx>
          <w:tblBorders>
            <w:insideH w:val="none" w:sz="0" w:space="0" w:color="auto"/>
            <w:insideV w:val="none" w:sz="0" w:space="0" w:color="auto"/>
          </w:tblBorders>
          <w:tblCellMar>
            <w:top w:w="0" w:type="dxa"/>
            <w:bottom w:w="0" w:type="dxa"/>
          </w:tblCellMar>
        </w:tblPrEx>
        <w:trPr>
          <w:cantSplit/>
        </w:trPr>
        <w:tc>
          <w:tcPr>
            <w:tcW w:w="9848" w:type="dxa"/>
          </w:tcPr>
          <w:p w14:paraId="0CB6F010"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612452E1" w14:textId="77777777" w:rsidR="00711444" w:rsidRPr="004D0DAA" w:rsidRDefault="00711444" w:rsidP="00AA2A4C">
            <w:pPr>
              <w:spacing w:after="0"/>
            </w:pPr>
            <w:r w:rsidRPr="004D0DAA">
              <w:t>This field contains the NPM Transfer Time limitation in case of RLC non-persistent mode and is defined in</w:t>
            </w:r>
            <w:r w:rsidRPr="004D0DAA">
              <w:rPr>
                <w:i/>
              </w:rPr>
              <w:t xml:space="preserve"> </w:t>
            </w:r>
            <w:r w:rsidRPr="004D0DAA">
              <w:t>sub-clause 12.45a.</w:t>
            </w:r>
          </w:p>
          <w:p w14:paraId="498C5D00" w14:textId="77777777" w:rsidR="00711444" w:rsidRPr="004D0DAA" w:rsidRDefault="00711444" w:rsidP="00AA2A4C">
            <w:pPr>
              <w:spacing w:after="0"/>
            </w:pPr>
          </w:p>
        </w:tc>
      </w:tr>
      <w:tr w:rsidR="00711444" w:rsidRPr="004D0DAA" w14:paraId="39BC643E"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1B4A9401" w14:textId="77777777" w:rsidR="00711444" w:rsidRPr="004D0DAA" w:rsidRDefault="00711444" w:rsidP="00AA2A4C">
            <w:pPr>
              <w:spacing w:after="0"/>
            </w:pPr>
            <w:r w:rsidRPr="004D0DAA">
              <w:rPr>
                <w:b/>
              </w:rPr>
              <w:t>REPORTED TIMESLOTS C1,</w:t>
            </w:r>
            <w:r w:rsidRPr="004D0DAA">
              <w:t xml:space="preserve"> </w:t>
            </w:r>
            <w:r w:rsidRPr="004D0DAA">
              <w:rPr>
                <w:b/>
              </w:rPr>
              <w:t>REPORTED TIMESLOTS C2</w:t>
            </w:r>
            <w:r w:rsidRPr="004D0DAA">
              <w:t xml:space="preserve"> (8 bit field)</w:t>
            </w:r>
          </w:p>
          <w:p w14:paraId="171C9959" w14:textId="77777777" w:rsidR="00711444" w:rsidRPr="004D0DAA" w:rsidRDefault="00711444" w:rsidP="00AA2A4C">
            <w:pPr>
              <w:spacing w:after="0"/>
            </w:pPr>
            <w:r w:rsidRPr="004D0DAA">
              <w:t>See sub-clause 11.2.7a (Multiple TBF Downlink Assignment message).</w:t>
            </w:r>
          </w:p>
          <w:p w14:paraId="3F339A8A" w14:textId="77777777" w:rsidR="00711444" w:rsidRPr="004D0DAA" w:rsidRDefault="00711444" w:rsidP="00AA2A4C">
            <w:pPr>
              <w:spacing w:after="0"/>
              <w:rPr>
                <w:b/>
              </w:rPr>
            </w:pPr>
          </w:p>
        </w:tc>
      </w:tr>
      <w:tr w:rsidR="00711444" w:rsidRPr="004D0DAA" w14:paraId="2DEE4AAA"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0B5E7CA3" w14:textId="77777777" w:rsidR="00711444" w:rsidRPr="004D0DAA" w:rsidRDefault="00711444" w:rsidP="00AA2A4C">
            <w:pPr>
              <w:spacing w:after="0"/>
            </w:pPr>
            <w:r w:rsidRPr="004D0DAA">
              <w:rPr>
                <w:b/>
              </w:rPr>
              <w:t>USF_GRANULARITY</w:t>
            </w:r>
            <w:r w:rsidRPr="004D0DAA">
              <w:t xml:space="preserve"> (1 bit field)</w:t>
            </w:r>
            <w:r w:rsidRPr="004D0DAA">
              <w:br/>
              <w:t>See sub-clause 11.2.29 (Packet Uplink Assignment message).</w:t>
            </w:r>
          </w:p>
          <w:p w14:paraId="42E03216" w14:textId="77777777" w:rsidR="00711444" w:rsidRPr="004D0DAA" w:rsidRDefault="00711444" w:rsidP="00AA2A4C">
            <w:pPr>
              <w:spacing w:after="0"/>
              <w:rPr>
                <w:b/>
              </w:rPr>
            </w:pPr>
          </w:p>
        </w:tc>
      </w:tr>
      <w:tr w:rsidR="00711444" w:rsidRPr="004D0DAA" w14:paraId="52071963"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9B318FA" w14:textId="77777777" w:rsidR="00711444" w:rsidRPr="004D0DAA" w:rsidRDefault="00711444" w:rsidP="00AA2A4C">
            <w:pPr>
              <w:spacing w:after="0"/>
              <w:rPr>
                <w:bCs/>
              </w:rPr>
            </w:pPr>
            <w:r w:rsidRPr="004D0DAA">
              <w:rPr>
                <w:b/>
              </w:rPr>
              <w:t xml:space="preserve">TBF_TIMESLOT_ALLOCATION </w:t>
            </w:r>
            <w:r w:rsidRPr="004D0DAA">
              <w:rPr>
                <w:bCs/>
              </w:rPr>
              <w:t>(N_TS+1 bit field)</w:t>
            </w:r>
          </w:p>
          <w:p w14:paraId="56D1F1A8" w14:textId="77777777" w:rsidR="00711444" w:rsidRPr="004D0DAA" w:rsidRDefault="00711444" w:rsidP="00AA2A4C">
            <w:pPr>
              <w:rPr>
                <w:bCs/>
              </w:rPr>
            </w:pPr>
            <w:r w:rsidRPr="004D0DAA">
              <w:rPr>
                <w:bCs/>
              </w:rPr>
              <w:t xml:space="preserve">This field indicates the timeslots assigned to a particular uplink TBF, within the timeslots assigned to the mobile station in the </w:t>
            </w:r>
            <w:r w:rsidRPr="004D0DAA">
              <w:rPr>
                <w:bCs/>
                <w:i/>
              </w:rPr>
              <w:t>Global Timeslot description</w:t>
            </w:r>
            <w:r w:rsidRPr="004D0DAA">
              <w:rPr>
                <w:bCs/>
              </w:rPr>
              <w:t xml:space="preserve">. This field contains as many bits as there are timeslots assigned to the mobile station in the </w:t>
            </w:r>
            <w:r w:rsidRPr="004D0DAA">
              <w:rPr>
                <w:bCs/>
                <w:i/>
              </w:rPr>
              <w:t>Global Timeslot description</w:t>
            </w:r>
            <w:r w:rsidRPr="004D0DAA">
              <w:rPr>
                <w:bCs/>
              </w:rPr>
              <w:t>. Bit N_TS+1 corresponds to the lowest numbered timeslot in the timeslots assigned to the mobile station; bit N_TS (if any) corresponds to the next lowest numbered timeslot, etc. At least one timeslot must be assigned per TBF.</w:t>
            </w:r>
          </w:p>
          <w:p w14:paraId="4F3094C5" w14:textId="77777777" w:rsidR="00711444" w:rsidRPr="004D0DAA" w:rsidRDefault="00711444" w:rsidP="00AA2A4C">
            <w:pPr>
              <w:spacing w:after="0"/>
              <w:rPr>
                <w:bCs/>
              </w:rPr>
            </w:pPr>
            <w:r w:rsidRPr="004D0DAA">
              <w:rPr>
                <w:bCs/>
              </w:rPr>
              <w:t>0</w:t>
            </w:r>
            <w:r w:rsidRPr="004D0DAA">
              <w:rPr>
                <w:bCs/>
              </w:rPr>
              <w:tab/>
              <w:t>Timeslot not assigned</w:t>
            </w:r>
            <w:r w:rsidRPr="004D0DAA">
              <w:rPr>
                <w:bCs/>
              </w:rPr>
              <w:br/>
              <w:t>1</w:t>
            </w:r>
            <w:r w:rsidRPr="004D0DAA">
              <w:rPr>
                <w:bCs/>
              </w:rPr>
              <w:tab/>
              <w:t>Timeslot assigned</w:t>
            </w:r>
          </w:p>
          <w:p w14:paraId="15C82222" w14:textId="77777777" w:rsidR="00711444" w:rsidRPr="004D0DAA" w:rsidRDefault="00711444" w:rsidP="00AA2A4C">
            <w:pPr>
              <w:spacing w:after="0"/>
            </w:pPr>
            <w:r w:rsidRPr="004D0DAA">
              <w:rPr>
                <w:bCs/>
              </w:rPr>
              <w:br/>
            </w:r>
            <w:r w:rsidRPr="004D0DAA">
              <w:t xml:space="preserve">If the TBF_TIMESLOT_ALLOCATION bitmap is present, then the timeslots assigned to the TBF are a subset of all the timeslots assigned in the </w:t>
            </w:r>
            <w:r w:rsidRPr="004D0DAA">
              <w:rPr>
                <w:i/>
              </w:rPr>
              <w:t>Global Timeslot description</w:t>
            </w:r>
            <w:r w:rsidRPr="004D0DAA">
              <w:t xml:space="preserve">, otherwise all timeslots in the </w:t>
            </w:r>
            <w:r w:rsidRPr="004D0DAA">
              <w:rPr>
                <w:i/>
              </w:rPr>
              <w:t>Global Timeslot description</w:t>
            </w:r>
            <w:r w:rsidRPr="004D0DAA">
              <w:t xml:space="preserve"> are assigned to the TBF.</w:t>
            </w:r>
          </w:p>
          <w:p w14:paraId="39D240A7" w14:textId="77777777" w:rsidR="00711444" w:rsidRPr="004D0DAA" w:rsidRDefault="00711444" w:rsidP="00AA2A4C">
            <w:pPr>
              <w:spacing w:after="0"/>
            </w:pPr>
          </w:p>
        </w:tc>
      </w:tr>
      <w:tr w:rsidR="00711444" w:rsidRPr="004D0DAA" w14:paraId="22CA8507"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7565D92E" w14:textId="77777777" w:rsidR="00711444" w:rsidRPr="004D0DAA" w:rsidRDefault="00711444" w:rsidP="00AA2A4C">
            <w:pPr>
              <w:spacing w:after="0"/>
            </w:pPr>
            <w:r w:rsidRPr="004D0DAA">
              <w:rPr>
                <w:b/>
              </w:rPr>
              <w:lastRenderedPageBreak/>
              <w:t>TBF_UPLINK_PAIRS_ALLOCATION</w:t>
            </w:r>
            <w:r w:rsidRPr="004D0DAA">
              <w:t xml:space="preserve"> (N_PAIRS+1 bit field)</w:t>
            </w:r>
          </w:p>
          <w:p w14:paraId="5F49C154" w14:textId="77777777" w:rsidR="00711444" w:rsidRPr="004D0DAA" w:rsidRDefault="00711444" w:rsidP="00AA2A4C">
            <w:pPr>
              <w:rPr>
                <w:bCs/>
              </w:rPr>
            </w:pPr>
            <w:r w:rsidRPr="004D0DAA">
              <w:rPr>
                <w:bCs/>
              </w:rPr>
              <w:t xml:space="preserve">This field indicates the PDCH pairs assigned to a particular uplink TBF within the uplink PDCH pairs assigned to the mobile station, i.e. within the </w:t>
            </w:r>
            <w:r w:rsidRPr="004D0DAA">
              <w:t xml:space="preserve">RTTI configuration description for downlink TBF(s) if provided, otherwise </w:t>
            </w:r>
            <w:r w:rsidRPr="004D0DAA">
              <w:rPr>
                <w:bCs/>
              </w:rPr>
              <w:t xml:space="preserve"> within the </w:t>
            </w:r>
            <w:r w:rsidRPr="004D0DAA">
              <w:rPr>
                <w:i/>
              </w:rPr>
              <w:t>Uplink Assignment PDCH Pairs Description</w:t>
            </w:r>
            <w:r w:rsidRPr="004D0DAA">
              <w:t xml:space="preserve"> IE (see sub-clause 7.1.3.6)</w:t>
            </w:r>
            <w:r w:rsidRPr="004D0DAA">
              <w:rPr>
                <w:bCs/>
              </w:rPr>
              <w:t xml:space="preserve">. This field contains as many bits as there are uplink PDCH pairs assigned to the mobile station. Bit N_TS+1 corresponds to the lowest numbered uplink PDCH pair assigned to the mobile station; bit N_TS (if any) corresponds to the next lowest numbered </w:t>
            </w:r>
            <w:r w:rsidRPr="004D0DAA">
              <w:t>PDCH pair</w:t>
            </w:r>
            <w:r w:rsidRPr="004D0DAA">
              <w:rPr>
                <w:bCs/>
              </w:rPr>
              <w:t>, etc. (</w:t>
            </w:r>
            <w:r w:rsidRPr="004D0DAA">
              <w:t>PDCH pairs numbering should be understood as defined in Annex K</w:t>
            </w:r>
            <w:r w:rsidRPr="004D0DAA">
              <w:rPr>
                <w:bCs/>
              </w:rPr>
              <w:t>). At least one PDCH pair must be assigned per TBF.</w:t>
            </w:r>
          </w:p>
          <w:p w14:paraId="2B8AAB07" w14:textId="77777777" w:rsidR="00711444" w:rsidRPr="004D0DAA" w:rsidRDefault="00711444" w:rsidP="00AA2A4C">
            <w:pPr>
              <w:spacing w:after="0"/>
              <w:rPr>
                <w:bCs/>
              </w:rPr>
            </w:pPr>
            <w:r w:rsidRPr="004D0DAA">
              <w:rPr>
                <w:bCs/>
              </w:rPr>
              <w:t>0</w:t>
            </w:r>
            <w:r w:rsidRPr="004D0DAA">
              <w:rPr>
                <w:bCs/>
              </w:rPr>
              <w:tab/>
              <w:t>PDCH pair not assigned</w:t>
            </w:r>
            <w:r w:rsidRPr="004D0DAA">
              <w:rPr>
                <w:bCs/>
              </w:rPr>
              <w:br/>
              <w:t>1</w:t>
            </w:r>
            <w:r w:rsidRPr="004D0DAA">
              <w:rPr>
                <w:bCs/>
              </w:rPr>
              <w:tab/>
              <w:t>PDCH pair assigned</w:t>
            </w:r>
          </w:p>
          <w:p w14:paraId="01CFFA86" w14:textId="77777777" w:rsidR="00711444" w:rsidRPr="004D0DAA" w:rsidRDefault="00711444" w:rsidP="00AA2A4C">
            <w:r w:rsidRPr="004D0DAA">
              <w:rPr>
                <w:bCs/>
              </w:rPr>
              <w:br/>
            </w:r>
            <w:r w:rsidRPr="004D0DAA">
              <w:t>If the TBF_UPLINK_PAIRS_ALLOCATION</w:t>
            </w:r>
            <w:r w:rsidRPr="004D0DAA">
              <w:rPr>
                <w:b/>
              </w:rPr>
              <w:t xml:space="preserve"> </w:t>
            </w:r>
            <w:r w:rsidRPr="004D0DAA">
              <w:t xml:space="preserve">bitmap is present, then the </w:t>
            </w:r>
            <w:r w:rsidRPr="004D0DAA">
              <w:rPr>
                <w:bCs/>
              </w:rPr>
              <w:t xml:space="preserve">PDCH pairs </w:t>
            </w:r>
            <w:r w:rsidRPr="004D0DAA">
              <w:t xml:space="preserve">assigned to the TBF are a subset of all the uplink </w:t>
            </w:r>
            <w:r w:rsidRPr="004D0DAA">
              <w:rPr>
                <w:bCs/>
              </w:rPr>
              <w:t xml:space="preserve">PDCH pairs </w:t>
            </w:r>
            <w:r w:rsidRPr="004D0DAA">
              <w:t xml:space="preserve">assigned to the mobile station, otherwise all uplink </w:t>
            </w:r>
            <w:r w:rsidRPr="004D0DAA">
              <w:rPr>
                <w:bCs/>
              </w:rPr>
              <w:t xml:space="preserve">PDCH pairs assigned to the mobile station </w:t>
            </w:r>
            <w:r w:rsidRPr="004D0DAA">
              <w:t>are assigned to the TBF.</w:t>
            </w:r>
          </w:p>
        </w:tc>
      </w:tr>
      <w:tr w:rsidR="00711444" w:rsidRPr="004D0DAA" w14:paraId="7C854F50"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4E5E26AD" w14:textId="77777777" w:rsidR="00711444" w:rsidRPr="004D0DAA" w:rsidRDefault="00711444" w:rsidP="00AA2A4C">
            <w:pPr>
              <w:spacing w:after="0"/>
            </w:pPr>
            <w:r w:rsidRPr="004D0DAA">
              <w:rPr>
                <w:b/>
                <w:bCs/>
              </w:rPr>
              <w:t xml:space="preserve">USF_C1, USF_C2 </w:t>
            </w:r>
            <w:r w:rsidRPr="004D0DAA">
              <w:t>(3 bit field)</w:t>
            </w:r>
          </w:p>
          <w:p w14:paraId="0CFE901F" w14:textId="77777777" w:rsidR="00711444" w:rsidRPr="004D0DAA" w:rsidRDefault="00711444" w:rsidP="00AA2A4C">
            <w:pPr>
              <w:spacing w:after="0"/>
            </w:pPr>
            <w:r w:rsidRPr="004D0DAA">
              <w:t>These fields indicate the USF value assigned to a given TBF for all timeslots or PDCH pairs on the relevant carrier.</w:t>
            </w:r>
          </w:p>
          <w:p w14:paraId="1CEB9D80" w14:textId="77777777" w:rsidR="00711444" w:rsidRPr="004D0DAA" w:rsidRDefault="00711444" w:rsidP="00AA2A4C">
            <w:pPr>
              <w:spacing w:after="0"/>
            </w:pPr>
          </w:p>
          <w:p w14:paraId="1605FFBC" w14:textId="77777777" w:rsidR="00711444" w:rsidRPr="004D0DAA" w:rsidRDefault="00711444" w:rsidP="00AA2A4C">
            <w:pPr>
              <w:spacing w:after="0"/>
            </w:pPr>
            <w:r w:rsidRPr="004D0DAA">
              <w:t>If the Assignment Type field is present and indicates 'Dual Carrier assignment', USF_C1 applies to carrier 1, otherwise it applies to the carrier identified by the Carrier ID field.</w:t>
            </w:r>
          </w:p>
          <w:p w14:paraId="7F3086AA" w14:textId="77777777" w:rsidR="00711444" w:rsidRPr="004D0DAA" w:rsidRDefault="00711444" w:rsidP="00AA2A4C">
            <w:pPr>
              <w:spacing w:after="0"/>
            </w:pPr>
          </w:p>
          <w:p w14:paraId="03AB30E1" w14:textId="77777777" w:rsidR="00711444" w:rsidRPr="004D0DAA" w:rsidRDefault="00711444" w:rsidP="00AA2A4C">
            <w:pPr>
              <w:spacing w:after="0"/>
            </w:pPr>
            <w:r w:rsidRPr="004D0DAA">
              <w:t>If the Assignment Type field is present and indicates 'Dual Carrier assignment', and USF_C1 is present and USF_C2 is absent, the value specified by USF_C1 applies to timeslots assigned on both carriers.</w:t>
            </w:r>
          </w:p>
          <w:p w14:paraId="597EEACC" w14:textId="77777777" w:rsidR="00711444" w:rsidRPr="004D0DAA" w:rsidRDefault="00711444" w:rsidP="00AA2A4C">
            <w:pPr>
              <w:spacing w:after="0"/>
            </w:pPr>
          </w:p>
          <w:p w14:paraId="750283C0" w14:textId="77777777" w:rsidR="00711444" w:rsidRPr="004D0DAA" w:rsidRDefault="00711444" w:rsidP="00AA2A4C">
            <w:r w:rsidRPr="004D0DAA">
              <w:t>These fields are encoded as a binary representation of the USF value as defined in sub-clause 10.4.1.</w:t>
            </w:r>
          </w:p>
        </w:tc>
      </w:tr>
      <w:tr w:rsidR="00711444" w:rsidRPr="004D0DAA" w14:paraId="4EF01C67"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2140A5ED" w14:textId="77777777" w:rsidR="00711444" w:rsidRPr="004D0DAA" w:rsidRDefault="00711444" w:rsidP="00AA2A4C">
            <w:pPr>
              <w:spacing w:after="0"/>
              <w:rPr>
                <w:b/>
              </w:rPr>
            </w:pPr>
            <w:r w:rsidRPr="004D0DAA">
              <w:rPr>
                <w:b/>
              </w:rPr>
              <w:t xml:space="preserve">USF, USF_2 </w:t>
            </w:r>
            <w:r w:rsidRPr="004D0DAA">
              <w:t>(3 bit field)</w:t>
            </w:r>
          </w:p>
          <w:p w14:paraId="482A444C" w14:textId="77777777" w:rsidR="00711444" w:rsidRPr="004D0DAA" w:rsidRDefault="00711444" w:rsidP="00AA2A4C">
            <w:pPr>
              <w:spacing w:after="0"/>
            </w:pPr>
            <w:r w:rsidRPr="004D0DAA">
              <w:t>These fields indicate the USF values assigned to a given TBF for the assigned timeslot or PDCH pair.</w:t>
            </w:r>
          </w:p>
          <w:p w14:paraId="188AF13A" w14:textId="77777777" w:rsidR="00711444" w:rsidRPr="004D0DAA" w:rsidRDefault="00711444" w:rsidP="00AA2A4C">
            <w:pPr>
              <w:spacing w:after="0"/>
            </w:pPr>
          </w:p>
          <w:p w14:paraId="2554FAD7" w14:textId="77777777" w:rsidR="00711444" w:rsidRPr="004D0DAA" w:rsidRDefault="00711444" w:rsidP="00AA2A4C">
            <w:pPr>
              <w:spacing w:after="0"/>
            </w:pPr>
            <w:r w:rsidRPr="004D0DAA">
              <w:t>In the case of RTTI mode with BTTI USF, the USF value specified in the USF field (respectively USF_2 field) applies to the first two (respectively second two) TDMA frames of the following basic radio block period (see sub-clauses 8.1.1.1, 8.1.1.2.1).</w:t>
            </w:r>
          </w:p>
          <w:p w14:paraId="4827C97F" w14:textId="77777777" w:rsidR="00711444" w:rsidRPr="004D0DAA" w:rsidRDefault="00711444" w:rsidP="00AA2A4C">
            <w:pPr>
              <w:spacing w:after="0"/>
            </w:pPr>
          </w:p>
          <w:p w14:paraId="3969DA3D" w14:textId="77777777" w:rsidR="00711444" w:rsidRPr="004D0DAA" w:rsidRDefault="00711444" w:rsidP="00AA2A4C">
            <w:pPr>
              <w:spacing w:after="0"/>
            </w:pPr>
            <w:r w:rsidRPr="004D0DAA">
              <w:t>These fields are encoded as a binary representation of the USF value as defined in sub-clause 10.4.1.</w:t>
            </w:r>
          </w:p>
          <w:p w14:paraId="2CE62C7B" w14:textId="77777777" w:rsidR="00711444" w:rsidRPr="004D0DAA" w:rsidRDefault="00711444" w:rsidP="00AA2A4C">
            <w:pPr>
              <w:spacing w:after="0"/>
            </w:pPr>
          </w:p>
          <w:p w14:paraId="154527C1" w14:textId="77777777" w:rsidR="00711444" w:rsidRPr="004D0DAA" w:rsidRDefault="00711444" w:rsidP="00AA2A4C">
            <w:pPr>
              <w:spacing w:after="0"/>
            </w:pPr>
            <w:r w:rsidRPr="004D0DAA">
              <w:t>If no USF is specified for a given timeslot or PDCH pair assigned to a TBF, then the USF value is the same as the previously indicated USF value.</w:t>
            </w:r>
          </w:p>
          <w:p w14:paraId="1912CC04" w14:textId="77777777" w:rsidR="00711444" w:rsidRPr="004D0DAA" w:rsidRDefault="00711444" w:rsidP="00AA2A4C">
            <w:pPr>
              <w:spacing w:after="0"/>
            </w:pPr>
          </w:p>
          <w:p w14:paraId="01297213" w14:textId="77777777" w:rsidR="00711444" w:rsidRPr="004D0DAA" w:rsidRDefault="00711444" w:rsidP="00AA2A4C">
            <w:pPr>
              <w:spacing w:after="0"/>
            </w:pPr>
            <w:r w:rsidRPr="004D0DAA">
              <w:t>The order in which USF assignments are encoded is described in Annex K.</w:t>
            </w:r>
          </w:p>
          <w:p w14:paraId="2E09F45B" w14:textId="77777777" w:rsidR="00711444" w:rsidRPr="004D0DAA" w:rsidRDefault="00711444" w:rsidP="00AA2A4C">
            <w:pPr>
              <w:spacing w:after="0"/>
            </w:pPr>
          </w:p>
        </w:tc>
      </w:tr>
      <w:tr w:rsidR="00711444" w:rsidRPr="004D0DAA" w14:paraId="44C81C83"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shd w:val="clear" w:color="auto" w:fill="auto"/>
          </w:tcPr>
          <w:p w14:paraId="6C7E7C7C" w14:textId="77777777" w:rsidR="00711444" w:rsidRPr="004D0DAA" w:rsidRDefault="00711444" w:rsidP="00AA2A4C">
            <w:pPr>
              <w:spacing w:after="0"/>
            </w:pPr>
            <w:r w:rsidRPr="004D0DAA">
              <w:rPr>
                <w:b/>
              </w:rPr>
              <w:t>MS_TIMESLOT_ALLOCATION_C1</w:t>
            </w:r>
            <w:r w:rsidRPr="004D0DAA">
              <w:rPr>
                <w:bCs/>
              </w:rPr>
              <w:t xml:space="preserve">, </w:t>
            </w:r>
            <w:r w:rsidRPr="004D0DAA">
              <w:rPr>
                <w:b/>
              </w:rPr>
              <w:t>MS_TIMESLOT_ALLOCATION_C2</w:t>
            </w:r>
            <w:r w:rsidRPr="004D0DAA">
              <w:rPr>
                <w:bCs/>
              </w:rPr>
              <w:br/>
            </w:r>
            <w:r w:rsidRPr="004D0DAA">
              <w:t>See sub-clause 11.2.29a (Multiple TBF Uplink Assignment message).</w:t>
            </w:r>
          </w:p>
          <w:p w14:paraId="4B7A9A21" w14:textId="77777777" w:rsidR="00711444" w:rsidRPr="004D0DAA" w:rsidRDefault="00711444" w:rsidP="00AA2A4C">
            <w:pPr>
              <w:spacing w:after="0"/>
            </w:pPr>
          </w:p>
          <w:p w14:paraId="3977D235" w14:textId="77777777" w:rsidR="00711444" w:rsidRPr="004D0DAA" w:rsidRDefault="00711444" w:rsidP="00AA2A4C">
            <w:pPr>
              <w:rPr>
                <w:lang w:eastAsia="ko-KR"/>
              </w:rPr>
            </w:pPr>
            <w:r w:rsidRPr="004D0DAA">
              <w:rPr>
                <w:lang w:eastAsia="ko-KR"/>
              </w:rPr>
              <w:t>As the explicit power control parameters are omitted for the allocated timeslots in the new cell, the mobile station shall use the default values (see 3GPP TS 45.008) for the power control parameters.</w:t>
            </w:r>
          </w:p>
        </w:tc>
      </w:tr>
    </w:tbl>
    <w:p w14:paraId="4BFA9E96" w14:textId="77777777" w:rsidR="00711444" w:rsidRPr="004D0DAA" w:rsidRDefault="00711444" w:rsidP="00711444"/>
    <w:p w14:paraId="68A2C7E4" w14:textId="77777777" w:rsidR="00711444" w:rsidRPr="004D0DAA" w:rsidRDefault="00711444" w:rsidP="00711444">
      <w:pPr>
        <w:pStyle w:val="Heading2"/>
        <w:tabs>
          <w:tab w:val="left" w:pos="11520"/>
        </w:tabs>
      </w:pPr>
      <w:bookmarkStart w:id="843" w:name="_Toc516670019"/>
      <w:r w:rsidRPr="004D0DAA">
        <w:t>12.49</w:t>
      </w:r>
      <w:r w:rsidRPr="004D0DAA">
        <w:tab/>
        <w:t>E-UTRAN Target Cell</w:t>
      </w:r>
      <w:bookmarkEnd w:id="843"/>
    </w:p>
    <w:p w14:paraId="47DB6925" w14:textId="77777777" w:rsidR="00711444" w:rsidRPr="004D0DAA" w:rsidRDefault="00711444" w:rsidP="00711444">
      <w:pPr>
        <w:keepNext/>
        <w:keepLines/>
      </w:pPr>
      <w:r w:rsidRPr="004D0DAA">
        <w:t xml:space="preserve">The </w:t>
      </w:r>
      <w:r w:rsidRPr="004D0DAA">
        <w:rPr>
          <w:i/>
        </w:rPr>
        <w:t>E-UTRAN Target cell</w:t>
      </w:r>
      <w:r w:rsidRPr="004D0DAA">
        <w:t xml:space="preserve"> information element contains the description of an E-UTRAN Target cell.</w:t>
      </w:r>
    </w:p>
    <w:p w14:paraId="475D78D2" w14:textId="77777777" w:rsidR="00711444" w:rsidRPr="004D0DAA" w:rsidRDefault="00711444" w:rsidP="00711444">
      <w:pPr>
        <w:pStyle w:val="TH"/>
      </w:pPr>
      <w:r w:rsidRPr="004D0DAA">
        <w:t xml:space="preserve">Table 12.49.1: </w:t>
      </w:r>
      <w:r w:rsidRPr="004D0DAA">
        <w:rPr>
          <w:i/>
        </w:rPr>
        <w:t>E-UTRAN Target cell</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5D5254A" w14:textId="77777777" w:rsidTr="00AA2A4C">
        <w:tblPrEx>
          <w:tblCellMar>
            <w:top w:w="0" w:type="dxa"/>
            <w:bottom w:w="0" w:type="dxa"/>
          </w:tblCellMar>
        </w:tblPrEx>
        <w:trPr>
          <w:cantSplit/>
        </w:trPr>
        <w:tc>
          <w:tcPr>
            <w:tcW w:w="9848" w:type="dxa"/>
          </w:tcPr>
          <w:p w14:paraId="67F0FBF5" w14:textId="77777777" w:rsidR="00711444" w:rsidRPr="004D0DAA" w:rsidRDefault="00711444" w:rsidP="00AA2A4C">
            <w:pPr>
              <w:pStyle w:val="TAL"/>
              <w:rPr>
                <w:lang w:eastAsia="en-US"/>
              </w:rPr>
            </w:pPr>
            <w:r w:rsidRPr="004D0DAA">
              <w:rPr>
                <w:lang w:eastAsia="en-US"/>
              </w:rPr>
              <w:t>&lt; E-UTRAN Target cell IE &gt; ::=</w:t>
            </w:r>
          </w:p>
          <w:p w14:paraId="22FEE6E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EARFCN</w:t>
            </w:r>
            <w:r w:rsidRPr="004D0DAA">
              <w:rPr>
                <w:lang w:eastAsia="en-US"/>
              </w:rPr>
              <w:t xml:space="preserve"> : bit (16) &gt;</w:t>
            </w:r>
          </w:p>
          <w:p w14:paraId="27EC2FC3"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Measurement Bandwidth</w:t>
            </w:r>
            <w:r w:rsidRPr="004D0DAA">
              <w:rPr>
                <w:lang w:eastAsia="en-US"/>
              </w:rPr>
              <w:t>: bit (3) &gt; }</w:t>
            </w:r>
          </w:p>
          <w:p w14:paraId="2AF126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Physical Layer Cell Identity</w:t>
            </w:r>
            <w:r w:rsidRPr="004D0DAA">
              <w:rPr>
                <w:lang w:eastAsia="en-US"/>
              </w:rPr>
              <w:t xml:space="preserve"> : bit (9) &gt; ;</w:t>
            </w:r>
          </w:p>
          <w:p w14:paraId="005EF477" w14:textId="77777777" w:rsidR="00711444" w:rsidRPr="004D0DAA" w:rsidRDefault="00711444" w:rsidP="00AA2A4C">
            <w:pPr>
              <w:pStyle w:val="TAL"/>
              <w:rPr>
                <w:lang w:eastAsia="en-US"/>
              </w:rPr>
            </w:pPr>
          </w:p>
        </w:tc>
      </w:tr>
    </w:tbl>
    <w:p w14:paraId="6D045A3A" w14:textId="77777777" w:rsidR="00711444" w:rsidRPr="004D0DAA" w:rsidRDefault="00711444" w:rsidP="00711444"/>
    <w:p w14:paraId="5B066332" w14:textId="77777777" w:rsidR="00711444" w:rsidRPr="004D0DAA" w:rsidRDefault="00711444" w:rsidP="00711444">
      <w:pPr>
        <w:pStyle w:val="TH"/>
      </w:pPr>
      <w:r w:rsidRPr="004D0DAA">
        <w:lastRenderedPageBreak/>
        <w:t xml:space="preserve">Table 12.49.2: </w:t>
      </w:r>
      <w:r w:rsidRPr="004D0DAA">
        <w:rPr>
          <w:i/>
        </w:rPr>
        <w:t>E-UTRAN Target cell</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61C82B0" w14:textId="77777777" w:rsidTr="00AA2A4C">
        <w:tblPrEx>
          <w:tblCellMar>
            <w:top w:w="0" w:type="dxa"/>
            <w:bottom w:w="0" w:type="dxa"/>
          </w:tblCellMar>
        </w:tblPrEx>
        <w:trPr>
          <w:cantSplit/>
        </w:trPr>
        <w:tc>
          <w:tcPr>
            <w:tcW w:w="9848" w:type="dxa"/>
          </w:tcPr>
          <w:p w14:paraId="1F186662" w14:textId="77777777" w:rsidR="00711444" w:rsidRPr="004D0DAA" w:rsidRDefault="00711444" w:rsidP="00AA2A4C">
            <w:pPr>
              <w:keepLines/>
              <w:rPr>
                <w:b/>
              </w:rPr>
            </w:pPr>
            <w:r w:rsidRPr="004D0DAA">
              <w:rPr>
                <w:b/>
              </w:rPr>
              <w:t>EARFCN</w:t>
            </w:r>
            <w:r w:rsidRPr="004D0DAA">
              <w:t xml:space="preserve"> (16 bit field)</w:t>
            </w:r>
            <w:r w:rsidRPr="004D0DAA">
              <w:br/>
              <w:t>This information element is defined as the EARFCN in 3GPP TS 36.104.</w:t>
            </w:r>
          </w:p>
        </w:tc>
      </w:tr>
      <w:tr w:rsidR="00711444" w:rsidRPr="004D0DAA" w14:paraId="1E344DE3" w14:textId="77777777" w:rsidTr="00AA2A4C">
        <w:tblPrEx>
          <w:tblCellMar>
            <w:top w:w="0" w:type="dxa"/>
            <w:bottom w:w="0" w:type="dxa"/>
          </w:tblCellMar>
        </w:tblPrEx>
        <w:trPr>
          <w:cantSplit/>
        </w:trPr>
        <w:tc>
          <w:tcPr>
            <w:tcW w:w="9848" w:type="dxa"/>
          </w:tcPr>
          <w:p w14:paraId="0ECE5F8D" w14:textId="77777777" w:rsidR="00711444" w:rsidRPr="004D0DAA" w:rsidRDefault="00711444" w:rsidP="00AA2A4C">
            <w:pPr>
              <w:keepLines/>
              <w:rPr>
                <w:b/>
              </w:rPr>
            </w:pPr>
            <w:r w:rsidRPr="004D0DAA">
              <w:rPr>
                <w:b/>
              </w:rPr>
              <w:t xml:space="preserve">Measurement Bandwidth </w:t>
            </w:r>
            <w:r w:rsidRPr="004D0DAA">
              <w:t>(3 bit field)</w:t>
            </w:r>
            <w:r w:rsidRPr="004D0DAA">
              <w:br/>
              <w:t>This optional field describes the bandwidth of the E-UTRAN cell for measurement purposes. The coding of this field is as specified in sub-clause 12.53.</w:t>
            </w:r>
          </w:p>
        </w:tc>
      </w:tr>
      <w:tr w:rsidR="00711444" w:rsidRPr="004D0DAA" w14:paraId="31315FBE" w14:textId="77777777" w:rsidTr="00AA2A4C">
        <w:tblPrEx>
          <w:tblCellMar>
            <w:top w:w="0" w:type="dxa"/>
            <w:bottom w:w="0" w:type="dxa"/>
          </w:tblCellMar>
        </w:tblPrEx>
        <w:trPr>
          <w:cantSplit/>
        </w:trPr>
        <w:tc>
          <w:tcPr>
            <w:tcW w:w="9848" w:type="dxa"/>
          </w:tcPr>
          <w:p w14:paraId="579CB0A4" w14:textId="77777777" w:rsidR="00711444" w:rsidRPr="004D0DAA" w:rsidRDefault="00711444" w:rsidP="00AA2A4C">
            <w:pPr>
              <w:keepLines/>
            </w:pPr>
            <w:r w:rsidRPr="004D0DAA">
              <w:rPr>
                <w:b/>
              </w:rPr>
              <w:t>Physical Layer Cell Identity</w:t>
            </w:r>
            <w:r w:rsidRPr="004D0DAA">
              <w:t xml:space="preserve"> (9 bit field)</w:t>
            </w:r>
            <w:r w:rsidRPr="004D0DAA">
              <w:br/>
              <w:t>This field indicates the physical layer cell identity as defined in 3GPP TS 36.211.</w:t>
            </w:r>
          </w:p>
        </w:tc>
      </w:tr>
    </w:tbl>
    <w:p w14:paraId="4E32BF89" w14:textId="77777777" w:rsidR="00711444" w:rsidRPr="004D0DAA" w:rsidRDefault="00711444" w:rsidP="00711444">
      <w:pPr>
        <w:pStyle w:val="Heading2"/>
        <w:tabs>
          <w:tab w:val="left" w:pos="10170"/>
        </w:tabs>
        <w:rPr>
          <w:rFonts w:hint="eastAsia"/>
        </w:rPr>
      </w:pPr>
      <w:bookmarkStart w:id="844" w:name="_Toc516670020"/>
      <w:r w:rsidRPr="004D0DAA">
        <w:t>12.</w:t>
      </w:r>
      <w:r w:rsidRPr="004D0DAA">
        <w:rPr>
          <w:rFonts w:hint="eastAsia"/>
        </w:rPr>
        <w:t>50</w:t>
      </w:r>
      <w:r w:rsidRPr="004D0DAA">
        <w:tab/>
      </w:r>
      <w:r w:rsidRPr="004D0DAA">
        <w:rPr>
          <w:rFonts w:hint="eastAsia"/>
        </w:rPr>
        <w:t>Individual Priorities</w:t>
      </w:r>
      <w:bookmarkEnd w:id="844"/>
    </w:p>
    <w:p w14:paraId="0BEAB780" w14:textId="77777777" w:rsidR="00711444" w:rsidRPr="004D0DAA" w:rsidRDefault="00711444" w:rsidP="00711444">
      <w:pPr>
        <w:rPr>
          <w:rFonts w:hint="eastAsia"/>
          <w:lang w:eastAsia="zh-CN"/>
        </w:rPr>
      </w:pPr>
      <w:r w:rsidRPr="004D0DAA">
        <w:t>T</w:t>
      </w:r>
      <w:r w:rsidRPr="004D0DAA">
        <w:rPr>
          <w:rFonts w:hint="eastAsia"/>
        </w:rPr>
        <w:t xml:space="preserve">his information element </w:t>
      </w:r>
      <w:r w:rsidRPr="004D0DAA">
        <w:rPr>
          <w:rFonts w:hint="eastAsia"/>
          <w:lang w:eastAsia="zh-CN"/>
        </w:rPr>
        <w:t xml:space="preserve">is sent to provide MS-specific priorities for priority-based cell reselection </w:t>
      </w:r>
      <w:r w:rsidRPr="004D0DAA">
        <w:rPr>
          <w:lang w:eastAsia="zh-CN"/>
        </w:rPr>
        <w:t>(</w:t>
      </w:r>
      <w:r w:rsidRPr="004D0DAA">
        <w:rPr>
          <w:rFonts w:hint="eastAsia"/>
          <w:lang w:eastAsia="zh-CN"/>
        </w:rPr>
        <w:t>see</w:t>
      </w:r>
      <w:r w:rsidRPr="004D0DAA">
        <w:rPr>
          <w:lang w:eastAsia="zh-CN"/>
        </w:rPr>
        <w:t xml:space="preserve"> 3GPP TS 45.008</w:t>
      </w:r>
      <w:r w:rsidRPr="004D0DAA">
        <w:rPr>
          <w:rFonts w:hint="eastAsia"/>
          <w:lang w:eastAsia="zh-CN"/>
        </w:rPr>
        <w:t>)</w:t>
      </w:r>
      <w:r w:rsidRPr="004D0DAA">
        <w:rPr>
          <w:rFonts w:hint="eastAsia"/>
        </w:rPr>
        <w:t>. The individual priorit</w:t>
      </w:r>
      <w:r w:rsidRPr="004D0DAA">
        <w:rPr>
          <w:rFonts w:hint="eastAsia"/>
          <w:lang w:eastAsia="zh-CN"/>
        </w:rPr>
        <w:t>ies</w:t>
      </w:r>
      <w:r w:rsidRPr="004D0DAA">
        <w:rPr>
          <w:rFonts w:hint="eastAsia"/>
        </w:rPr>
        <w:t xml:space="preserve"> </w:t>
      </w:r>
      <w:r w:rsidRPr="004D0DAA">
        <w:t>shall</w:t>
      </w:r>
      <w:r w:rsidRPr="004D0DAA">
        <w:rPr>
          <w:rFonts w:hint="eastAsia"/>
        </w:rPr>
        <w:t xml:space="preserve"> override the priorit</w:t>
      </w:r>
      <w:r w:rsidRPr="004D0DAA">
        <w:rPr>
          <w:rFonts w:hint="eastAsia"/>
          <w:lang w:eastAsia="zh-CN"/>
        </w:rPr>
        <w:t>ies</w:t>
      </w:r>
      <w:r w:rsidRPr="004D0DAA">
        <w:rPr>
          <w:rFonts w:hint="eastAsia"/>
        </w:rPr>
        <w:t xml:space="preserve"> </w:t>
      </w:r>
      <w:r w:rsidRPr="004D0DAA">
        <w:t xml:space="preserve">received through </w:t>
      </w:r>
      <w:r w:rsidRPr="004D0DAA">
        <w:rPr>
          <w:rFonts w:hint="eastAsia"/>
          <w:lang w:eastAsia="zh-CN"/>
        </w:rPr>
        <w:t xml:space="preserve">system </w:t>
      </w:r>
      <w:r w:rsidRPr="004D0DAA">
        <w:t xml:space="preserve">information </w:t>
      </w:r>
      <w:r w:rsidRPr="004D0DAA">
        <w:rPr>
          <w:rFonts w:hint="eastAsia"/>
        </w:rPr>
        <w:t xml:space="preserve">or </w:t>
      </w:r>
      <w:r w:rsidRPr="004D0DAA">
        <w:rPr>
          <w:rFonts w:hint="eastAsia"/>
          <w:lang w:eastAsia="zh-CN"/>
        </w:rPr>
        <w:t>previously</w:t>
      </w:r>
      <w:r w:rsidRPr="004D0DAA">
        <w:rPr>
          <w:rFonts w:hint="eastAsia"/>
        </w:rPr>
        <w:t xml:space="preserve"> </w:t>
      </w:r>
      <w:r w:rsidRPr="004D0DAA">
        <w:rPr>
          <w:rFonts w:hint="eastAsia"/>
          <w:lang w:eastAsia="zh-CN"/>
        </w:rPr>
        <w:t xml:space="preserve">received </w:t>
      </w:r>
      <w:r w:rsidRPr="004D0DAA">
        <w:rPr>
          <w:rFonts w:hint="eastAsia"/>
        </w:rPr>
        <w:t>individual priorit</w:t>
      </w:r>
      <w:r w:rsidRPr="004D0DAA">
        <w:rPr>
          <w:rFonts w:hint="eastAsia"/>
          <w:lang w:eastAsia="zh-CN"/>
        </w:rPr>
        <w:t xml:space="preserve">ies. </w:t>
      </w:r>
      <w:r w:rsidRPr="004D0DAA">
        <w:rPr>
          <w:lang w:eastAsia="zh-CN"/>
        </w:rPr>
        <w:t>T</w:t>
      </w:r>
      <w:r w:rsidRPr="004D0DAA">
        <w:rPr>
          <w:rFonts w:hint="eastAsia"/>
          <w:lang w:eastAsia="zh-CN"/>
        </w:rPr>
        <w:t xml:space="preserve">he timer T3230 is used to control the validity of the </w:t>
      </w:r>
      <w:r w:rsidRPr="004D0DAA">
        <w:rPr>
          <w:rFonts w:hint="eastAsia"/>
        </w:rPr>
        <w:t>individual pri</w:t>
      </w:r>
      <w:r w:rsidRPr="004D0DAA">
        <w:rPr>
          <w:rFonts w:hint="eastAsia"/>
          <w:lang w:eastAsia="zh-CN"/>
        </w:rPr>
        <w:t>orities.</w:t>
      </w:r>
    </w:p>
    <w:p w14:paraId="468E5CFA" w14:textId="77777777" w:rsidR="00711444" w:rsidRPr="004D0DAA" w:rsidRDefault="00711444" w:rsidP="00711444">
      <w:pPr>
        <w:pStyle w:val="TH"/>
      </w:pPr>
      <w:r w:rsidRPr="004D0DAA">
        <w:t>Table </w:t>
      </w:r>
      <w:r w:rsidRPr="004D0DAA">
        <w:rPr>
          <w:rFonts w:hint="eastAsia"/>
          <w:lang w:eastAsia="zh-CN"/>
        </w:rPr>
        <w:t>12.50.1</w:t>
      </w:r>
      <w:r w:rsidRPr="004D0DAA">
        <w:t>: </w:t>
      </w:r>
      <w:r w:rsidRPr="004D0DAA">
        <w:rPr>
          <w:i/>
        </w:rPr>
        <w:t>I</w:t>
      </w:r>
      <w:r w:rsidRPr="004D0DAA">
        <w:rPr>
          <w:rFonts w:hint="eastAsia"/>
          <w:i/>
        </w:rPr>
        <w:t>ndividual priorities</w:t>
      </w:r>
      <w:r w:rsidRPr="004D0DAA">
        <w:rPr>
          <w:i/>
        </w:rPr>
        <w:t xml:space="preserve">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58EC3331" w14:textId="77777777" w:rsidTr="00AA2A4C">
        <w:tblPrEx>
          <w:tblCellMar>
            <w:top w:w="0" w:type="dxa"/>
            <w:bottom w:w="0" w:type="dxa"/>
          </w:tblCellMar>
        </w:tblPrEx>
        <w:trPr>
          <w:cantSplit/>
          <w:jc w:val="center"/>
        </w:trPr>
        <w:tc>
          <w:tcPr>
            <w:tcW w:w="9463" w:type="dxa"/>
            <w:tcMar>
              <w:top w:w="57" w:type="dxa"/>
            </w:tcMar>
            <w:vAlign w:val="center"/>
          </w:tcPr>
          <w:p w14:paraId="5E91B47E" w14:textId="77777777" w:rsidR="00711444" w:rsidRPr="004D0DAA" w:rsidRDefault="00711444" w:rsidP="00AA2A4C">
            <w:pPr>
              <w:pStyle w:val="TAL"/>
              <w:rPr>
                <w:rFonts w:hint="eastAsia"/>
                <w:lang w:eastAsia="ja-JP"/>
              </w:rPr>
            </w:pPr>
            <w:r w:rsidRPr="004D0DAA">
              <w:rPr>
                <w:lang w:eastAsia="en-US"/>
              </w:rPr>
              <w:t>&lt; I</w:t>
            </w:r>
            <w:r w:rsidRPr="004D0DAA">
              <w:rPr>
                <w:rFonts w:hint="eastAsia"/>
                <w:lang w:eastAsia="en-US"/>
              </w:rPr>
              <w:t>ndividual priorities</w:t>
            </w:r>
            <w:r w:rsidRPr="004D0DAA">
              <w:rPr>
                <w:lang w:eastAsia="en-US"/>
              </w:rPr>
              <w:t xml:space="preserve"> IE &gt; ::=</w:t>
            </w:r>
          </w:p>
          <w:p w14:paraId="16C61F2A" w14:textId="77777777" w:rsidR="00711444" w:rsidRPr="004D0DAA" w:rsidRDefault="00711444" w:rsidP="00AA2A4C">
            <w:pPr>
              <w:pStyle w:val="TAL"/>
              <w:rPr>
                <w:rFonts w:hint="eastAsia"/>
                <w:lang w:eastAsia="ja-JP"/>
              </w:rPr>
            </w:pPr>
            <w:r w:rsidRPr="004D0DAA">
              <w:rPr>
                <w:lang w:eastAsia="en-US"/>
              </w:rPr>
              <w:tab/>
            </w:r>
            <w:r w:rsidRPr="004D0DAA">
              <w:rPr>
                <w:rFonts w:hint="eastAsia"/>
                <w:lang w:eastAsia="ja-JP"/>
              </w:rPr>
              <w:t>{ 0 |</w:t>
            </w:r>
            <w:r w:rsidRPr="004D0DAA">
              <w:rPr>
                <w:lang w:eastAsia="en-US"/>
              </w:rPr>
              <w:tab/>
            </w:r>
            <w:r w:rsidRPr="004D0DAA">
              <w:rPr>
                <w:lang w:eastAsia="en-US"/>
              </w:rPr>
              <w:tab/>
            </w:r>
            <w:r w:rsidRPr="004D0DAA">
              <w:rPr>
                <w:rFonts w:hint="eastAsia"/>
                <w:lang w:eastAsia="ja-JP"/>
              </w:rPr>
              <w:t>-- delete all stored individual priorities</w:t>
            </w:r>
          </w:p>
          <w:p w14:paraId="49A65C7C" w14:textId="77777777" w:rsidR="00711444" w:rsidRPr="004D0DAA" w:rsidRDefault="00711444" w:rsidP="00AA2A4C">
            <w:pPr>
              <w:pStyle w:val="TAL"/>
              <w:rPr>
                <w:rFonts w:hint="eastAsia"/>
                <w:lang w:eastAsia="ja-JP"/>
              </w:rPr>
            </w:pPr>
            <w:r w:rsidRPr="004D0DAA">
              <w:rPr>
                <w:lang w:eastAsia="en-US"/>
              </w:rPr>
              <w:tab/>
            </w:r>
            <w:r w:rsidRPr="004D0DAA">
              <w:rPr>
                <w:rFonts w:hint="eastAsia"/>
                <w:lang w:eastAsia="ja-JP"/>
              </w:rPr>
              <w:t xml:space="preserve">  1</w:t>
            </w:r>
            <w:r w:rsidRPr="004D0DAA">
              <w:rPr>
                <w:lang w:eastAsia="en-US"/>
              </w:rPr>
              <w:tab/>
            </w:r>
            <w:r w:rsidRPr="004D0DAA">
              <w:rPr>
                <w:lang w:eastAsia="en-US"/>
              </w:rPr>
              <w:tab/>
            </w:r>
            <w:r w:rsidRPr="004D0DAA">
              <w:rPr>
                <w:lang w:eastAsia="en-US"/>
              </w:rPr>
              <w:tab/>
            </w:r>
            <w:r w:rsidRPr="004D0DAA">
              <w:rPr>
                <w:rFonts w:hint="eastAsia"/>
                <w:lang w:eastAsia="ja-JP"/>
              </w:rPr>
              <w:t>-- provide individual priorities</w:t>
            </w:r>
          </w:p>
          <w:p w14:paraId="0E36CCC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GERAN_PRIORITY</w:t>
            </w:r>
            <w:r w:rsidRPr="004D0DAA">
              <w:rPr>
                <w:lang w:eastAsia="en-US"/>
              </w:rPr>
              <w:t xml:space="preserve"> : bit(3) &gt;</w:t>
            </w:r>
          </w:p>
          <w:p w14:paraId="675BA07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3G I</w:t>
            </w:r>
            <w:r w:rsidRPr="004D0DAA">
              <w:rPr>
                <w:rFonts w:hint="eastAsia"/>
                <w:b/>
                <w:lang w:eastAsia="en-US"/>
              </w:rPr>
              <w:t xml:space="preserve">ndividual </w:t>
            </w:r>
            <w:r w:rsidRPr="004D0DAA">
              <w:rPr>
                <w:b/>
                <w:lang w:eastAsia="en-US"/>
              </w:rPr>
              <w:t>Priority Parameters Description</w:t>
            </w:r>
            <w:r w:rsidRPr="004D0DAA">
              <w:rPr>
                <w:lang w:eastAsia="en-US"/>
              </w:rPr>
              <w:t xml:space="preserve"> :</w:t>
            </w:r>
          </w:p>
          <w:p w14:paraId="41273CA9"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r>
            <w:r w:rsidRPr="004D0DAA">
              <w:rPr>
                <w:lang w:eastAsia="en-US"/>
              </w:rPr>
              <w:tab/>
            </w:r>
            <w:r w:rsidRPr="004D0DAA">
              <w:rPr>
                <w:lang w:eastAsia="en-US"/>
              </w:rPr>
              <w:tab/>
              <w:t>&lt; 3G I</w:t>
            </w:r>
            <w:r w:rsidRPr="004D0DAA">
              <w:rPr>
                <w:rFonts w:hint="eastAsia"/>
                <w:lang w:eastAsia="en-US"/>
              </w:rPr>
              <w:t xml:space="preserve">ndividual </w:t>
            </w:r>
            <w:r w:rsidRPr="004D0DAA">
              <w:rPr>
                <w:lang w:eastAsia="en-US"/>
              </w:rPr>
              <w:t>Priority Parameters Description struct &gt;&gt; }</w:t>
            </w:r>
          </w:p>
          <w:p w14:paraId="194EF3E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&lt;</w:t>
            </w:r>
            <w:r w:rsidRPr="004D0DAA">
              <w:rPr>
                <w:b/>
                <w:lang w:eastAsia="en-US"/>
              </w:rPr>
              <w:t xml:space="preserve"> </w:t>
            </w:r>
            <w:r w:rsidRPr="004D0DAA">
              <w:rPr>
                <w:rFonts w:hint="eastAsia"/>
                <w:b/>
                <w:lang w:eastAsia="en-US"/>
              </w:rPr>
              <w:t>E-UTRAN</w:t>
            </w:r>
            <w:r w:rsidRPr="004D0DAA">
              <w:rPr>
                <w:b/>
                <w:lang w:eastAsia="en-US"/>
              </w:rPr>
              <w:t xml:space="preserve"> I</w:t>
            </w:r>
            <w:r w:rsidRPr="004D0DAA">
              <w:rPr>
                <w:rFonts w:hint="eastAsia"/>
                <w:b/>
                <w:lang w:eastAsia="en-US"/>
              </w:rPr>
              <w:t xml:space="preserve">ndividual </w:t>
            </w:r>
            <w:r w:rsidRPr="004D0DAA">
              <w:rPr>
                <w:b/>
                <w:lang w:eastAsia="en-US"/>
              </w:rPr>
              <w:t>Priority Parameters Description</w:t>
            </w:r>
            <w:r w:rsidRPr="004D0DAA">
              <w:rPr>
                <w:lang w:eastAsia="en-US"/>
              </w:rPr>
              <w:t xml:space="preserve"> :</w:t>
            </w:r>
          </w:p>
          <w:p w14:paraId="04F02DA8"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rFonts w:hint="eastAsia"/>
                <w:lang w:eastAsia="en-US"/>
              </w:rPr>
              <w:t>E-UTRAN</w:t>
            </w:r>
            <w:r w:rsidRPr="004D0DAA">
              <w:rPr>
                <w:lang w:eastAsia="en-US"/>
              </w:rPr>
              <w:t xml:space="preserve"> I</w:t>
            </w:r>
            <w:r w:rsidRPr="004D0DAA">
              <w:rPr>
                <w:rFonts w:hint="eastAsia"/>
                <w:lang w:eastAsia="en-US"/>
              </w:rPr>
              <w:t xml:space="preserve">ndividual </w:t>
            </w:r>
            <w:r w:rsidRPr="004D0DAA">
              <w:rPr>
                <w:lang w:eastAsia="en-US"/>
              </w:rPr>
              <w:t>Priority Parameters Description struct &gt;&gt; }</w:t>
            </w:r>
          </w:p>
          <w:p w14:paraId="0D142AC0" w14:textId="77777777" w:rsidR="00711444" w:rsidRPr="004D0DAA" w:rsidRDefault="00711444" w:rsidP="00AA2A4C">
            <w:pPr>
              <w:pStyle w:val="TAL"/>
              <w:rPr>
                <w:rFonts w:hint="eastAsia"/>
                <w:lang w:eastAsia="ja-JP"/>
              </w:rPr>
            </w:pPr>
            <w:r w:rsidRPr="004D0DAA">
              <w:rPr>
                <w:lang w:eastAsia="en-US"/>
              </w:rPr>
              <w:tab/>
            </w:r>
            <w:r w:rsidRPr="004D0DAA">
              <w:rPr>
                <w:lang w:eastAsia="en-US"/>
              </w:rPr>
              <w:tab/>
            </w:r>
            <w:r w:rsidRPr="004D0DAA">
              <w:rPr>
                <w:rFonts w:hint="eastAsia"/>
                <w:lang w:eastAsia="en-US"/>
              </w:rPr>
              <w:t>{</w:t>
            </w:r>
            <w:r w:rsidRPr="004D0DAA">
              <w:rPr>
                <w:lang w:eastAsia="en-US"/>
              </w:rPr>
              <w:t xml:space="preserve"> 0 | 1</w:t>
            </w:r>
            <w:r w:rsidRPr="004D0DAA">
              <w:rPr>
                <w:lang w:eastAsia="en-US"/>
              </w:rPr>
              <w:tab/>
              <w:t>&lt;</w:t>
            </w:r>
            <w:r w:rsidRPr="004D0DAA">
              <w:rPr>
                <w:b/>
                <w:lang w:eastAsia="en-US"/>
              </w:rPr>
              <w:t xml:space="preserve"> T3230 timeout value </w:t>
            </w:r>
            <w:r w:rsidRPr="004D0DAA">
              <w:rPr>
                <w:rFonts w:hint="eastAsia"/>
                <w:lang w:eastAsia="en-US"/>
              </w:rPr>
              <w:t>:</w:t>
            </w:r>
            <w:r w:rsidRPr="004D0DAA">
              <w:rPr>
                <w:rFonts w:hint="eastAsia"/>
                <w:b/>
                <w:lang w:eastAsia="zh-CN"/>
              </w:rPr>
              <w:t xml:space="preserve"> </w:t>
            </w:r>
            <w:r w:rsidRPr="004D0DAA">
              <w:rPr>
                <w:lang w:eastAsia="en-US"/>
              </w:rPr>
              <w:t xml:space="preserve">bit (3) </w:t>
            </w:r>
            <w:r w:rsidRPr="004D0DAA">
              <w:rPr>
                <w:rFonts w:hint="eastAsia"/>
                <w:lang w:eastAsia="en-US"/>
              </w:rPr>
              <w:t>&gt;</w:t>
            </w:r>
            <w:r w:rsidRPr="004D0DAA">
              <w:rPr>
                <w:lang w:eastAsia="en-US"/>
              </w:rPr>
              <w:t xml:space="preserve"> </w:t>
            </w:r>
            <w:r w:rsidRPr="004D0DAA">
              <w:rPr>
                <w:rFonts w:hint="eastAsia"/>
                <w:lang w:eastAsia="en-US"/>
              </w:rPr>
              <w:t>}</w:t>
            </w:r>
          </w:p>
          <w:p w14:paraId="59B8BB60" w14:textId="77777777" w:rsidR="00711444" w:rsidRPr="004D0DAA" w:rsidRDefault="00711444" w:rsidP="00AA2A4C">
            <w:pPr>
              <w:pStyle w:val="TAL"/>
              <w:rPr>
                <w:rFonts w:hint="eastAsia"/>
                <w:lang w:eastAsia="ja-JP"/>
              </w:rPr>
            </w:pPr>
            <w:r w:rsidRPr="004D0DAA">
              <w:rPr>
                <w:rFonts w:hint="eastAsia"/>
                <w:lang w:eastAsia="ja-JP"/>
              </w:rPr>
              <w:t>};</w:t>
            </w:r>
          </w:p>
          <w:p w14:paraId="1EF9317C" w14:textId="77777777" w:rsidR="00711444" w:rsidRPr="004D0DAA" w:rsidRDefault="00711444" w:rsidP="00AA2A4C">
            <w:pPr>
              <w:pStyle w:val="TAL"/>
              <w:rPr>
                <w:rFonts w:hint="eastAsia"/>
                <w:lang w:eastAsia="zh-CN"/>
              </w:rPr>
            </w:pPr>
          </w:p>
        </w:tc>
      </w:tr>
      <w:tr w:rsidR="00711444" w:rsidRPr="004D0DAA" w14:paraId="0A618FC7" w14:textId="77777777" w:rsidTr="00AA2A4C">
        <w:tblPrEx>
          <w:tblCellMar>
            <w:top w:w="0" w:type="dxa"/>
            <w:bottom w:w="0" w:type="dxa"/>
          </w:tblCellMar>
        </w:tblPrEx>
        <w:trPr>
          <w:cantSplit/>
          <w:jc w:val="center"/>
        </w:trPr>
        <w:tc>
          <w:tcPr>
            <w:tcW w:w="9463" w:type="dxa"/>
            <w:tcMar>
              <w:top w:w="57" w:type="dxa"/>
            </w:tcMar>
            <w:vAlign w:val="center"/>
          </w:tcPr>
          <w:p w14:paraId="7874D423" w14:textId="77777777" w:rsidR="00711444" w:rsidRPr="004D0DAA" w:rsidRDefault="00711444" w:rsidP="00AA2A4C">
            <w:pPr>
              <w:pStyle w:val="TAL"/>
              <w:rPr>
                <w:lang w:eastAsia="en-US"/>
              </w:rPr>
            </w:pPr>
            <w:r w:rsidRPr="004D0DAA">
              <w:rPr>
                <w:lang w:eastAsia="en-US"/>
              </w:rPr>
              <w:t>&lt; 3G I</w:t>
            </w:r>
            <w:r w:rsidRPr="004D0DAA">
              <w:rPr>
                <w:rFonts w:hint="eastAsia"/>
                <w:lang w:eastAsia="en-US"/>
              </w:rPr>
              <w:t xml:space="preserve">ndividual </w:t>
            </w:r>
            <w:r w:rsidRPr="004D0DAA">
              <w:rPr>
                <w:lang w:eastAsia="en-US"/>
              </w:rPr>
              <w:t>Priority Parameters Description struct &gt; ::=</w:t>
            </w:r>
          </w:p>
          <w:p w14:paraId="34FB2DC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DEFAULT_UTRAN_PRIORITY</w:t>
            </w:r>
            <w:r w:rsidRPr="004D0DAA">
              <w:rPr>
                <w:lang w:eastAsia="en-US"/>
              </w:rPr>
              <w:t xml:space="preserve"> : bit(3) &gt; }</w:t>
            </w:r>
          </w:p>
          <w:p w14:paraId="23186797"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Repeated I</w:t>
            </w:r>
            <w:r w:rsidRPr="004D0DAA">
              <w:rPr>
                <w:rFonts w:hint="eastAsia"/>
                <w:b/>
                <w:lang w:eastAsia="en-US"/>
              </w:rPr>
              <w:t>ndividual U</w:t>
            </w:r>
            <w:r w:rsidRPr="004D0DAA">
              <w:rPr>
                <w:b/>
                <w:lang w:eastAsia="en-US"/>
              </w:rPr>
              <w:t>TRAN Priority Parameters</w:t>
            </w:r>
            <w:r w:rsidRPr="004D0DAA">
              <w:rPr>
                <w:lang w:eastAsia="en-US"/>
              </w:rPr>
              <w:t xml:space="preserve"> : </w:t>
            </w:r>
          </w:p>
          <w:p w14:paraId="7A4AD116"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t>&lt; Repeated I</w:t>
            </w:r>
            <w:r w:rsidRPr="004D0DAA">
              <w:rPr>
                <w:rFonts w:hint="eastAsia"/>
                <w:lang w:eastAsia="en-US"/>
              </w:rPr>
              <w:t xml:space="preserve">ndividual </w:t>
            </w:r>
            <w:r w:rsidRPr="004D0DAA">
              <w:rPr>
                <w:lang w:eastAsia="en-US"/>
              </w:rPr>
              <w:t>UTRAN Priority Parameters struct &gt;&gt; } ** 0 ;</w:t>
            </w:r>
          </w:p>
          <w:p w14:paraId="234432E7" w14:textId="77777777" w:rsidR="00711444" w:rsidRPr="004D0DAA" w:rsidRDefault="00711444" w:rsidP="00AA2A4C">
            <w:pPr>
              <w:pStyle w:val="TAL"/>
              <w:rPr>
                <w:lang w:eastAsia="en-US"/>
              </w:rPr>
            </w:pPr>
          </w:p>
        </w:tc>
      </w:tr>
      <w:tr w:rsidR="00711444" w:rsidRPr="004D0DAA" w14:paraId="00867411" w14:textId="77777777" w:rsidTr="00AA2A4C">
        <w:tblPrEx>
          <w:tblCellMar>
            <w:top w:w="0" w:type="dxa"/>
            <w:bottom w:w="0" w:type="dxa"/>
          </w:tblCellMar>
        </w:tblPrEx>
        <w:trPr>
          <w:cantSplit/>
          <w:jc w:val="center"/>
        </w:trPr>
        <w:tc>
          <w:tcPr>
            <w:tcW w:w="9463" w:type="dxa"/>
            <w:tcMar>
              <w:top w:w="57" w:type="dxa"/>
            </w:tcMar>
            <w:vAlign w:val="center"/>
          </w:tcPr>
          <w:p w14:paraId="5BD5802F" w14:textId="77777777" w:rsidR="00711444" w:rsidRPr="004D0DAA" w:rsidRDefault="00711444" w:rsidP="00AA2A4C">
            <w:pPr>
              <w:pStyle w:val="TAL"/>
              <w:rPr>
                <w:rFonts w:hint="eastAsia"/>
                <w:lang w:eastAsia="zh-CN"/>
              </w:rPr>
            </w:pPr>
            <w:r w:rsidRPr="004D0DAA">
              <w:rPr>
                <w:lang w:eastAsia="en-US"/>
              </w:rPr>
              <w:t>&lt; Repeated I</w:t>
            </w:r>
            <w:r w:rsidRPr="004D0DAA">
              <w:rPr>
                <w:rFonts w:hint="eastAsia"/>
                <w:lang w:eastAsia="en-US"/>
              </w:rPr>
              <w:t xml:space="preserve">ndividual </w:t>
            </w:r>
            <w:r w:rsidRPr="004D0DAA">
              <w:rPr>
                <w:lang w:eastAsia="en-US"/>
              </w:rPr>
              <w:t>UTRAN Priority Parameters struct &gt; ::=</w:t>
            </w:r>
          </w:p>
          <w:p w14:paraId="28A38270" w14:textId="77777777" w:rsidR="00711444" w:rsidRPr="004D0DAA" w:rsidRDefault="00711444" w:rsidP="00AA2A4C">
            <w:pPr>
              <w:pStyle w:val="TAL"/>
              <w:rPr>
                <w:rFonts w:hint="eastAsia"/>
                <w:lang w:eastAsia="zh-CN"/>
              </w:rPr>
            </w:pPr>
            <w:r w:rsidRPr="004D0DAA">
              <w:rPr>
                <w:lang w:eastAsia="en-US"/>
              </w:rPr>
              <w:tab/>
            </w:r>
            <w:r w:rsidRPr="004D0DAA">
              <w:rPr>
                <w:lang w:eastAsia="zh-CN"/>
              </w:rPr>
              <w:t xml:space="preserve">{ 0 </w:t>
            </w:r>
            <w:r w:rsidRPr="004D0DAA">
              <w:rPr>
                <w:rFonts w:hint="eastAsia"/>
                <w:lang w:eastAsia="zh-CN"/>
              </w:rPr>
              <w:t xml:space="preserve">{ 1 </w:t>
            </w:r>
            <w:r w:rsidRPr="004D0DAA">
              <w:rPr>
                <w:lang w:eastAsia="en-US"/>
              </w:rPr>
              <w:t xml:space="preserve">&lt; </w:t>
            </w:r>
            <w:r w:rsidRPr="004D0DAA">
              <w:rPr>
                <w:b/>
                <w:lang w:eastAsia="en-US"/>
              </w:rPr>
              <w:t>FDD-ARFCN</w:t>
            </w:r>
            <w:r w:rsidRPr="004D0DAA">
              <w:rPr>
                <w:lang w:eastAsia="en-US"/>
              </w:rPr>
              <w:t xml:space="preserve"> : bit (</w:t>
            </w:r>
            <w:r w:rsidRPr="004D0DAA">
              <w:rPr>
                <w:rFonts w:hint="eastAsia"/>
                <w:lang w:eastAsia="zh-CN"/>
              </w:rPr>
              <w:t>14</w:t>
            </w:r>
            <w:r w:rsidRPr="004D0DAA">
              <w:rPr>
                <w:lang w:eastAsia="en-US"/>
              </w:rPr>
              <w:t>) &gt;</w:t>
            </w:r>
            <w:r w:rsidRPr="004D0DAA">
              <w:rPr>
                <w:rFonts w:hint="eastAsia"/>
                <w:lang w:eastAsia="zh-CN"/>
              </w:rPr>
              <w:t xml:space="preserve"> } ** 0</w:t>
            </w:r>
            <w:r w:rsidRPr="004D0DAA">
              <w:rPr>
                <w:lang w:eastAsia="zh-CN"/>
              </w:rPr>
              <w:t xml:space="preserve"> | 1 </w:t>
            </w:r>
            <w:r w:rsidRPr="004D0DAA">
              <w:rPr>
                <w:rFonts w:hint="eastAsia"/>
                <w:lang w:eastAsia="zh-CN"/>
              </w:rPr>
              <w:t xml:space="preserve">{ 1 </w:t>
            </w:r>
            <w:r w:rsidRPr="004D0DAA">
              <w:rPr>
                <w:lang w:eastAsia="en-US"/>
              </w:rPr>
              <w:t xml:space="preserve">&lt; </w:t>
            </w:r>
            <w:r w:rsidRPr="004D0DAA">
              <w:rPr>
                <w:b/>
                <w:lang w:eastAsia="en-US"/>
              </w:rPr>
              <w:t>TDD-ARFCN</w:t>
            </w:r>
            <w:r w:rsidRPr="004D0DAA">
              <w:rPr>
                <w:lang w:eastAsia="en-US"/>
              </w:rPr>
              <w:t xml:space="preserve"> : bit (</w:t>
            </w:r>
            <w:r w:rsidRPr="004D0DAA">
              <w:rPr>
                <w:rFonts w:hint="eastAsia"/>
                <w:lang w:eastAsia="zh-CN"/>
              </w:rPr>
              <w:t>14</w:t>
            </w:r>
            <w:r w:rsidRPr="004D0DAA">
              <w:rPr>
                <w:lang w:eastAsia="en-US"/>
              </w:rPr>
              <w:t>) &gt;</w:t>
            </w:r>
            <w:r w:rsidRPr="004D0DAA">
              <w:rPr>
                <w:rFonts w:hint="eastAsia"/>
                <w:lang w:eastAsia="zh-CN"/>
              </w:rPr>
              <w:t xml:space="preserve"> } ** 0</w:t>
            </w:r>
            <w:r w:rsidRPr="004D0DAA">
              <w:rPr>
                <w:lang w:eastAsia="zh-CN"/>
              </w:rPr>
              <w:t xml:space="preserve"> }</w:t>
            </w:r>
          </w:p>
          <w:p w14:paraId="23CFC3BA" w14:textId="77777777" w:rsidR="00711444" w:rsidRPr="004D0DAA" w:rsidRDefault="00711444" w:rsidP="00AA2A4C">
            <w:pPr>
              <w:pStyle w:val="TAL"/>
              <w:rPr>
                <w:rFonts w:hint="eastAsia"/>
                <w:lang w:eastAsia="zh-CN"/>
              </w:rPr>
            </w:pPr>
            <w:r w:rsidRPr="004D0DAA">
              <w:rPr>
                <w:lang w:eastAsia="en-US"/>
              </w:rPr>
              <w:tab/>
              <w:t xml:space="preserve">&lt; </w:t>
            </w:r>
            <w:r w:rsidRPr="004D0DAA">
              <w:rPr>
                <w:b/>
                <w:lang w:eastAsia="en-US"/>
              </w:rPr>
              <w:t>UTRAN</w:t>
            </w:r>
            <w:r w:rsidRPr="004D0DAA">
              <w:rPr>
                <w:rFonts w:hint="eastAsia"/>
                <w:b/>
                <w:lang w:eastAsia="zh-CN"/>
              </w:rPr>
              <w:t>_</w:t>
            </w:r>
            <w:r w:rsidRPr="004D0DAA">
              <w:rPr>
                <w:b/>
                <w:lang w:eastAsia="en-US"/>
              </w:rPr>
              <w:t>PRIORITY</w:t>
            </w:r>
            <w:r w:rsidRPr="004D0DAA">
              <w:rPr>
                <w:lang w:eastAsia="en-US"/>
              </w:rPr>
              <w:t xml:space="preserve"> : bit(3) &gt; ;</w:t>
            </w:r>
          </w:p>
          <w:p w14:paraId="74948385" w14:textId="77777777" w:rsidR="00711444" w:rsidRPr="004D0DAA" w:rsidRDefault="00711444" w:rsidP="00AA2A4C">
            <w:pPr>
              <w:pStyle w:val="TAL"/>
              <w:rPr>
                <w:rFonts w:hint="eastAsia"/>
                <w:lang w:eastAsia="zh-CN"/>
              </w:rPr>
            </w:pPr>
          </w:p>
        </w:tc>
      </w:tr>
      <w:tr w:rsidR="00711444" w:rsidRPr="004D0DAA" w14:paraId="6310B314" w14:textId="77777777" w:rsidTr="00AA2A4C">
        <w:tblPrEx>
          <w:tblCellMar>
            <w:top w:w="0" w:type="dxa"/>
            <w:bottom w:w="0" w:type="dxa"/>
          </w:tblCellMar>
        </w:tblPrEx>
        <w:trPr>
          <w:cantSplit/>
          <w:jc w:val="center"/>
        </w:trPr>
        <w:tc>
          <w:tcPr>
            <w:tcW w:w="9463" w:type="dxa"/>
            <w:tcMar>
              <w:top w:w="57" w:type="dxa"/>
            </w:tcMar>
            <w:vAlign w:val="center"/>
          </w:tcPr>
          <w:p w14:paraId="411F4F45" w14:textId="77777777" w:rsidR="00711444" w:rsidRPr="004D0DAA" w:rsidRDefault="00711444" w:rsidP="00AA2A4C">
            <w:pPr>
              <w:pStyle w:val="TAL"/>
              <w:rPr>
                <w:lang w:eastAsia="en-US"/>
              </w:rPr>
            </w:pPr>
            <w:r w:rsidRPr="004D0DAA">
              <w:rPr>
                <w:lang w:eastAsia="en-US"/>
              </w:rPr>
              <w:t xml:space="preserve">&lt; </w:t>
            </w:r>
            <w:r w:rsidRPr="004D0DAA">
              <w:rPr>
                <w:rFonts w:hint="eastAsia"/>
                <w:lang w:eastAsia="en-US"/>
              </w:rPr>
              <w:t>E-UTRAN</w:t>
            </w:r>
            <w:r w:rsidRPr="004D0DAA">
              <w:rPr>
                <w:lang w:eastAsia="en-US"/>
              </w:rPr>
              <w:t xml:space="preserve"> I</w:t>
            </w:r>
            <w:r w:rsidRPr="004D0DAA">
              <w:rPr>
                <w:rFonts w:hint="eastAsia"/>
                <w:lang w:eastAsia="en-US"/>
              </w:rPr>
              <w:t xml:space="preserve">ndividual </w:t>
            </w:r>
            <w:r w:rsidRPr="004D0DAA">
              <w:rPr>
                <w:lang w:eastAsia="en-US"/>
              </w:rPr>
              <w:t>Priority Parameters Description struct &gt; ::=</w:t>
            </w:r>
          </w:p>
          <w:p w14:paraId="6930F28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DEFAULT_E-UTRAN_PRIORITY</w:t>
            </w:r>
            <w:r w:rsidRPr="004D0DAA">
              <w:rPr>
                <w:lang w:eastAsia="en-US"/>
              </w:rPr>
              <w:t xml:space="preserve"> : bit(3) &gt; }</w:t>
            </w:r>
          </w:p>
          <w:p w14:paraId="15D49F34"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Repeated I</w:t>
            </w:r>
            <w:r w:rsidRPr="004D0DAA">
              <w:rPr>
                <w:rFonts w:hint="eastAsia"/>
                <w:b/>
                <w:lang w:eastAsia="en-US"/>
              </w:rPr>
              <w:t xml:space="preserve">ndividual </w:t>
            </w:r>
            <w:r w:rsidRPr="004D0DAA">
              <w:rPr>
                <w:b/>
                <w:lang w:eastAsia="en-US"/>
              </w:rPr>
              <w:t>E-</w:t>
            </w:r>
            <w:r w:rsidRPr="004D0DAA">
              <w:rPr>
                <w:rFonts w:hint="eastAsia"/>
                <w:b/>
                <w:lang w:eastAsia="en-US"/>
              </w:rPr>
              <w:t>U</w:t>
            </w:r>
            <w:r w:rsidRPr="004D0DAA">
              <w:rPr>
                <w:b/>
                <w:lang w:eastAsia="en-US"/>
              </w:rPr>
              <w:t>TRAN Priority Parameters</w:t>
            </w:r>
            <w:r w:rsidRPr="004D0DAA">
              <w:rPr>
                <w:lang w:eastAsia="en-US"/>
              </w:rPr>
              <w:t xml:space="preserve"> : </w:t>
            </w:r>
          </w:p>
          <w:p w14:paraId="18EC3AED"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t>&lt; Repeated I</w:t>
            </w:r>
            <w:r w:rsidRPr="004D0DAA">
              <w:rPr>
                <w:rFonts w:hint="eastAsia"/>
                <w:lang w:eastAsia="en-US"/>
              </w:rPr>
              <w:t xml:space="preserve">ndividual </w:t>
            </w:r>
            <w:r w:rsidRPr="004D0DAA">
              <w:rPr>
                <w:lang w:eastAsia="en-US"/>
              </w:rPr>
              <w:t>E-UTRAN Priority Parameters struct &gt;&gt; } ** 0 ;</w:t>
            </w:r>
          </w:p>
          <w:p w14:paraId="399D4FF1" w14:textId="77777777" w:rsidR="00711444" w:rsidRPr="004D0DAA" w:rsidRDefault="00711444" w:rsidP="00AA2A4C">
            <w:pPr>
              <w:pStyle w:val="TAL"/>
              <w:rPr>
                <w:rFonts w:hint="eastAsia"/>
                <w:lang w:eastAsia="zh-CN"/>
              </w:rPr>
            </w:pPr>
          </w:p>
        </w:tc>
      </w:tr>
      <w:tr w:rsidR="00711444" w:rsidRPr="004D0DAA" w14:paraId="533974BB" w14:textId="77777777" w:rsidTr="00AA2A4C">
        <w:tblPrEx>
          <w:tblCellMar>
            <w:top w:w="0" w:type="dxa"/>
            <w:bottom w:w="0" w:type="dxa"/>
          </w:tblCellMar>
        </w:tblPrEx>
        <w:trPr>
          <w:cantSplit/>
          <w:jc w:val="center"/>
        </w:trPr>
        <w:tc>
          <w:tcPr>
            <w:tcW w:w="9463" w:type="dxa"/>
            <w:tcMar>
              <w:top w:w="57" w:type="dxa"/>
            </w:tcMar>
            <w:vAlign w:val="center"/>
          </w:tcPr>
          <w:p w14:paraId="12B30100" w14:textId="77777777" w:rsidR="00711444" w:rsidRPr="004D0DAA" w:rsidRDefault="00711444" w:rsidP="00AA2A4C">
            <w:pPr>
              <w:pStyle w:val="TAL"/>
              <w:rPr>
                <w:lang w:eastAsia="en-US"/>
              </w:rPr>
            </w:pPr>
            <w:r w:rsidRPr="004D0DAA">
              <w:rPr>
                <w:lang w:eastAsia="en-US"/>
              </w:rPr>
              <w:t>&lt; Repeated I</w:t>
            </w:r>
            <w:r w:rsidRPr="004D0DAA">
              <w:rPr>
                <w:rFonts w:hint="eastAsia"/>
                <w:lang w:eastAsia="en-US"/>
              </w:rPr>
              <w:t xml:space="preserve">ndividual </w:t>
            </w:r>
            <w:r w:rsidRPr="004D0DAA">
              <w:rPr>
                <w:lang w:eastAsia="en-US"/>
              </w:rPr>
              <w:t>E-UTRAN Priority Parameters struct &gt; ::=</w:t>
            </w:r>
          </w:p>
          <w:p w14:paraId="783A24B4" w14:textId="77777777" w:rsidR="00711444" w:rsidRPr="004D0DAA" w:rsidRDefault="00711444" w:rsidP="00AA2A4C">
            <w:pPr>
              <w:pStyle w:val="TAL"/>
              <w:rPr>
                <w:lang w:eastAsia="en-US"/>
              </w:rPr>
            </w:pPr>
            <w:r w:rsidRPr="004D0DAA">
              <w:rPr>
                <w:lang w:eastAsia="en-US"/>
              </w:rPr>
              <w:tab/>
            </w:r>
            <w:r w:rsidRPr="004D0DAA">
              <w:rPr>
                <w:rFonts w:hint="eastAsia"/>
                <w:lang w:eastAsia="zh-CN"/>
              </w:rPr>
              <w:t xml:space="preserve">{ 1 </w:t>
            </w:r>
            <w:r w:rsidRPr="004D0DAA">
              <w:rPr>
                <w:lang w:eastAsia="en-US"/>
              </w:rPr>
              <w:t>&lt;</w:t>
            </w:r>
            <w:r w:rsidRPr="004D0DAA">
              <w:rPr>
                <w:b/>
                <w:lang w:eastAsia="en-US"/>
              </w:rPr>
              <w:t xml:space="preserve"> EARFCN</w:t>
            </w:r>
            <w:r w:rsidRPr="004D0DAA">
              <w:rPr>
                <w:lang w:eastAsia="en-US"/>
              </w:rPr>
              <w:t xml:space="preserve"> : bit (</w:t>
            </w:r>
            <w:r w:rsidRPr="004D0DAA">
              <w:rPr>
                <w:rFonts w:hint="eastAsia"/>
                <w:lang w:eastAsia="en-US"/>
              </w:rPr>
              <w:t>16</w:t>
            </w:r>
            <w:r w:rsidRPr="004D0DAA">
              <w:rPr>
                <w:lang w:eastAsia="en-US"/>
              </w:rPr>
              <w:t>) &gt;</w:t>
            </w:r>
            <w:r w:rsidRPr="004D0DAA">
              <w:rPr>
                <w:rFonts w:hint="eastAsia"/>
                <w:lang w:eastAsia="zh-CN"/>
              </w:rPr>
              <w:t xml:space="preserve"> } ** 0</w:t>
            </w:r>
          </w:p>
          <w:p w14:paraId="699F0712" w14:textId="77777777" w:rsidR="00711444" w:rsidRPr="004D0DAA" w:rsidRDefault="00711444" w:rsidP="00AA2A4C">
            <w:pPr>
              <w:pStyle w:val="TAL"/>
              <w:rPr>
                <w:lang w:eastAsia="en-US"/>
              </w:rPr>
            </w:pPr>
            <w:r w:rsidRPr="004D0DAA">
              <w:rPr>
                <w:lang w:eastAsia="en-US"/>
              </w:rPr>
              <w:tab/>
              <w:t>&lt;</w:t>
            </w:r>
            <w:r w:rsidRPr="004D0DAA">
              <w:rPr>
                <w:b/>
                <w:lang w:eastAsia="en-US"/>
              </w:rPr>
              <w:t xml:space="preserve"> </w:t>
            </w:r>
            <w:r w:rsidRPr="004D0DAA">
              <w:rPr>
                <w:rFonts w:hint="eastAsia"/>
                <w:b/>
                <w:lang w:eastAsia="en-US"/>
              </w:rPr>
              <w:t>E-</w:t>
            </w:r>
            <w:r w:rsidRPr="004D0DAA">
              <w:rPr>
                <w:b/>
                <w:lang w:eastAsia="en-US"/>
              </w:rPr>
              <w:t>UTRAN_PRIORITY</w:t>
            </w:r>
            <w:r w:rsidRPr="004D0DAA">
              <w:rPr>
                <w:lang w:eastAsia="en-US"/>
              </w:rPr>
              <w:t xml:space="preserve"> : bit(3) &gt; ;</w:t>
            </w:r>
          </w:p>
          <w:p w14:paraId="14DF3D25" w14:textId="77777777" w:rsidR="00711444" w:rsidRPr="004D0DAA" w:rsidRDefault="00711444" w:rsidP="00AA2A4C">
            <w:pPr>
              <w:pStyle w:val="TAL"/>
              <w:rPr>
                <w:lang w:eastAsia="en-US"/>
              </w:rPr>
            </w:pPr>
          </w:p>
        </w:tc>
      </w:tr>
    </w:tbl>
    <w:p w14:paraId="5E3FFDED" w14:textId="77777777" w:rsidR="00711444" w:rsidRPr="004D0DAA" w:rsidRDefault="00711444" w:rsidP="00711444">
      <w:pPr>
        <w:rPr>
          <w:rFonts w:hint="eastAsia"/>
          <w:lang w:eastAsia="zh-CN"/>
        </w:rPr>
      </w:pPr>
    </w:p>
    <w:p w14:paraId="57FD5EB0" w14:textId="77777777" w:rsidR="00711444" w:rsidRPr="004D0DAA" w:rsidRDefault="00711444" w:rsidP="00711444">
      <w:pPr>
        <w:pStyle w:val="TH"/>
        <w:rPr>
          <w:rFonts w:hint="eastAsia"/>
          <w:lang w:eastAsia="zh-CN"/>
        </w:rPr>
      </w:pPr>
      <w:r w:rsidRPr="004D0DAA">
        <w:lastRenderedPageBreak/>
        <w:t>Table 1</w:t>
      </w:r>
      <w:r w:rsidRPr="004D0DAA">
        <w:rPr>
          <w:rFonts w:hint="eastAsia"/>
          <w:lang w:eastAsia="zh-CN"/>
        </w:rPr>
        <w:t>2.50.2</w:t>
      </w:r>
      <w:r w:rsidRPr="004D0DAA">
        <w:t>: </w:t>
      </w:r>
      <w:r w:rsidRPr="004D0DAA">
        <w:rPr>
          <w:rFonts w:hint="eastAsia"/>
          <w:i/>
        </w:rPr>
        <w:t xml:space="preserve"> Individual priorities</w:t>
      </w:r>
      <w:r w:rsidRPr="004D0DAA">
        <w:rPr>
          <w:i/>
        </w:rPr>
        <w:t xml:space="preserve">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16F06A39" w14:textId="77777777" w:rsidTr="00AA2A4C">
        <w:tblPrEx>
          <w:tblCellMar>
            <w:top w:w="0" w:type="dxa"/>
            <w:bottom w:w="0" w:type="dxa"/>
          </w:tblCellMar>
        </w:tblPrEx>
        <w:trPr>
          <w:cantSplit/>
          <w:jc w:val="center"/>
        </w:trPr>
        <w:tc>
          <w:tcPr>
            <w:tcW w:w="9463" w:type="dxa"/>
            <w:tcMar>
              <w:top w:w="57" w:type="dxa"/>
            </w:tcMar>
            <w:vAlign w:val="center"/>
          </w:tcPr>
          <w:p w14:paraId="2E266DDD" w14:textId="77777777" w:rsidR="00711444" w:rsidRPr="004D0DAA" w:rsidRDefault="00711444" w:rsidP="00AA2A4C">
            <w:pPr>
              <w:pStyle w:val="TAL"/>
              <w:rPr>
                <w:rFonts w:hint="eastAsia"/>
                <w:lang w:eastAsia="zh-CN"/>
              </w:rPr>
            </w:pPr>
            <w:r w:rsidRPr="004D0DAA">
              <w:rPr>
                <w:b/>
                <w:lang w:eastAsia="en-US"/>
              </w:rPr>
              <w:t>GERAN_PRIORITY</w:t>
            </w:r>
            <w:r w:rsidRPr="004D0DAA">
              <w:rPr>
                <w:rFonts w:hint="eastAsia"/>
                <w:lang w:eastAsia="zh-CN"/>
              </w:rPr>
              <w:t xml:space="preserve"> </w:t>
            </w:r>
            <w:r w:rsidRPr="004D0DAA">
              <w:rPr>
                <w:lang w:eastAsia="en-US"/>
              </w:rPr>
              <w:t xml:space="preserve">(3 bit field) </w:t>
            </w:r>
          </w:p>
          <w:p w14:paraId="13518EA8" w14:textId="77777777" w:rsidR="00711444" w:rsidRPr="004D0DAA" w:rsidRDefault="00711444" w:rsidP="00AA2A4C">
            <w:pPr>
              <w:pStyle w:val="TAL"/>
              <w:rPr>
                <w:rFonts w:hint="eastAsia"/>
                <w:lang w:eastAsia="zh-CN"/>
              </w:rPr>
            </w:pPr>
            <w:r w:rsidRPr="004D0DAA">
              <w:rPr>
                <w:b/>
                <w:lang w:eastAsia="en-US"/>
              </w:rPr>
              <w:t>UTRAN_PRIORITY</w:t>
            </w:r>
            <w:r w:rsidRPr="004D0DAA">
              <w:rPr>
                <w:lang w:eastAsia="en-US"/>
              </w:rPr>
              <w:t xml:space="preserve"> (3 bit field)</w:t>
            </w:r>
          </w:p>
          <w:p w14:paraId="3ADA6E91" w14:textId="77777777" w:rsidR="00711444" w:rsidRPr="004D0DAA" w:rsidRDefault="00711444" w:rsidP="00AA2A4C">
            <w:pPr>
              <w:pStyle w:val="TAL"/>
              <w:rPr>
                <w:rFonts w:hint="eastAsia"/>
                <w:lang w:eastAsia="zh-CN"/>
              </w:rPr>
            </w:pPr>
            <w:r w:rsidRPr="004D0DAA">
              <w:rPr>
                <w:rFonts w:hint="eastAsia"/>
                <w:b/>
                <w:lang w:eastAsia="en-US"/>
              </w:rPr>
              <w:t>E-</w:t>
            </w:r>
            <w:r w:rsidRPr="004D0DAA">
              <w:rPr>
                <w:b/>
                <w:lang w:eastAsia="en-US"/>
              </w:rPr>
              <w:t>UTRAN_PRIORITY</w:t>
            </w:r>
            <w:r w:rsidRPr="004D0DAA">
              <w:rPr>
                <w:lang w:eastAsia="en-US"/>
              </w:rPr>
              <w:t xml:space="preserve"> (3 bit field)</w:t>
            </w:r>
          </w:p>
          <w:p w14:paraId="68D0789B" w14:textId="77777777" w:rsidR="00711444" w:rsidRPr="004D0DAA" w:rsidRDefault="00711444" w:rsidP="00AA2A4C">
            <w:pPr>
              <w:pStyle w:val="TAL"/>
              <w:rPr>
                <w:rFonts w:hint="eastAsia"/>
                <w:lang w:eastAsia="zh-CN"/>
              </w:rPr>
            </w:pPr>
            <w:r w:rsidRPr="004D0DAA">
              <w:rPr>
                <w:lang w:eastAsia="en-US"/>
              </w:rPr>
              <w:t xml:space="preserve">These fields </w:t>
            </w:r>
            <w:r w:rsidRPr="004D0DAA">
              <w:rPr>
                <w:lang w:eastAsia="zh-CN"/>
              </w:rPr>
              <w:t>are used</w:t>
            </w:r>
            <w:r w:rsidRPr="004D0DAA">
              <w:rPr>
                <w:lang w:eastAsia="en-US"/>
              </w:rPr>
              <w:t xml:space="preserve"> for the inter-RAT cell re-selection algorithm based on priority information, see sub-clauses</w:t>
            </w:r>
            <w:r w:rsidRPr="004D0DAA">
              <w:rPr>
                <w:rFonts w:hint="eastAsia"/>
                <w:lang w:eastAsia="en-US"/>
              </w:rPr>
              <w:t xml:space="preserve"> </w:t>
            </w:r>
            <w:r w:rsidRPr="004D0DAA">
              <w:rPr>
                <w:lang w:eastAsia="zh-CN"/>
              </w:rPr>
              <w:t>12.51, 12.52 and 12.53</w:t>
            </w:r>
            <w:r w:rsidRPr="004D0DAA">
              <w:rPr>
                <w:rFonts w:hint="eastAsia"/>
                <w:lang w:eastAsia="en-US"/>
              </w:rPr>
              <w:t>.</w:t>
            </w:r>
          </w:p>
          <w:p w14:paraId="20AFBA89" w14:textId="77777777" w:rsidR="00711444" w:rsidRPr="004D0DAA" w:rsidRDefault="00711444" w:rsidP="00AA2A4C">
            <w:pPr>
              <w:pStyle w:val="TAL"/>
              <w:rPr>
                <w:lang w:eastAsia="zh-CN"/>
              </w:rPr>
            </w:pPr>
          </w:p>
          <w:p w14:paraId="1093E6A6" w14:textId="77777777" w:rsidR="00711444" w:rsidRPr="004D0DAA" w:rsidRDefault="00711444" w:rsidP="00AA2A4C">
            <w:pPr>
              <w:pStyle w:val="TAL"/>
              <w:rPr>
                <w:rFonts w:hint="eastAsia"/>
                <w:lang w:eastAsia="zh-CN"/>
              </w:rPr>
            </w:pPr>
            <w:r w:rsidRPr="004D0DAA">
              <w:rPr>
                <w:b/>
                <w:lang w:eastAsia="en-US"/>
              </w:rPr>
              <w:t>DEFAULT_UTRAN_PRIORITY</w:t>
            </w:r>
            <w:r w:rsidRPr="004D0DAA">
              <w:rPr>
                <w:lang w:eastAsia="en-US"/>
              </w:rPr>
              <w:t xml:space="preserve"> </w:t>
            </w:r>
            <w:r w:rsidRPr="004D0DAA">
              <w:rPr>
                <w:rFonts w:hint="eastAsia"/>
                <w:lang w:eastAsia="zh-CN"/>
              </w:rPr>
              <w:t>(</w:t>
            </w:r>
            <w:r w:rsidRPr="004D0DAA">
              <w:rPr>
                <w:lang w:eastAsia="zh-CN"/>
              </w:rPr>
              <w:t>3 bit field</w:t>
            </w:r>
            <w:r w:rsidRPr="004D0DAA">
              <w:rPr>
                <w:rFonts w:hint="eastAsia"/>
                <w:lang w:eastAsia="zh-CN"/>
              </w:rPr>
              <w:t>)</w:t>
            </w:r>
          </w:p>
          <w:p w14:paraId="15042FB8" w14:textId="77777777" w:rsidR="00711444" w:rsidRPr="004D0DAA" w:rsidRDefault="00711444" w:rsidP="00AA2A4C">
            <w:pPr>
              <w:pStyle w:val="TAL"/>
              <w:rPr>
                <w:rFonts w:hint="eastAsia"/>
                <w:lang w:eastAsia="zh-CN"/>
              </w:rPr>
            </w:pPr>
            <w:r w:rsidRPr="004D0DAA">
              <w:rPr>
                <w:b/>
                <w:lang w:eastAsia="en-US"/>
              </w:rPr>
              <w:t>DEFAULT_E-UTRAN_PRIORITY</w:t>
            </w:r>
            <w:r w:rsidRPr="004D0DAA">
              <w:rPr>
                <w:lang w:eastAsia="en-US"/>
              </w:rPr>
              <w:t xml:space="preserve"> </w:t>
            </w:r>
            <w:r w:rsidRPr="004D0DAA">
              <w:rPr>
                <w:rFonts w:hint="eastAsia"/>
                <w:lang w:eastAsia="zh-CN"/>
              </w:rPr>
              <w:t>(</w:t>
            </w:r>
            <w:r w:rsidRPr="004D0DAA">
              <w:rPr>
                <w:lang w:eastAsia="zh-CN"/>
              </w:rPr>
              <w:t>3 bit field</w:t>
            </w:r>
            <w:r w:rsidRPr="004D0DAA">
              <w:rPr>
                <w:rFonts w:hint="eastAsia"/>
                <w:lang w:eastAsia="zh-CN"/>
              </w:rPr>
              <w:t>)</w:t>
            </w:r>
          </w:p>
          <w:p w14:paraId="5CA76F46" w14:textId="77777777" w:rsidR="00711444" w:rsidRPr="004D0DAA" w:rsidRDefault="00711444" w:rsidP="00AA2A4C">
            <w:pPr>
              <w:pStyle w:val="TAL"/>
              <w:rPr>
                <w:rFonts w:hint="eastAsia"/>
                <w:lang w:eastAsia="zh-CN"/>
              </w:rPr>
            </w:pPr>
            <w:r w:rsidRPr="004D0DAA">
              <w:rPr>
                <w:lang w:eastAsia="en-US"/>
              </w:rPr>
              <w:t xml:space="preserve">The DEFAULT_UTRAN_PRIORITY field is encoded as the UTRAN_PRIORITY field; the DEFAULT_E-UTRAN_PRIORITY field is encoded as the E-UTRAN_PRIORITY field. Any UTRAN frequency contained in the 3G Frequency list and not explicitly listed in any occurrence of the </w:t>
            </w:r>
            <w:r w:rsidRPr="004D0DAA">
              <w:rPr>
                <w:i/>
                <w:lang w:eastAsia="en-US"/>
              </w:rPr>
              <w:t>Repeated Individual UTRAN Priority Parameters</w:t>
            </w:r>
            <w:r w:rsidRPr="004D0DAA">
              <w:rPr>
                <w:lang w:eastAsia="en-US"/>
              </w:rPr>
              <w:t xml:space="preserve"> IE or any E-UTRAN frequency contained in the E-UTRAN Neighbour Cell list and not explicitly listed in any occurrence of the </w:t>
            </w:r>
            <w:r w:rsidRPr="004D0DAA">
              <w:rPr>
                <w:i/>
                <w:lang w:eastAsia="en-US"/>
              </w:rPr>
              <w:t>Repeated Individual E-UTRAN Priority Parameters</w:t>
            </w:r>
            <w:r w:rsidRPr="004D0DAA">
              <w:rPr>
                <w:lang w:eastAsia="en-US"/>
              </w:rPr>
              <w:t xml:space="preserve"> IE shall be assigned the corresponding default value. If the </w:t>
            </w:r>
            <w:r w:rsidRPr="004D0DAA">
              <w:rPr>
                <w:i/>
                <w:lang w:eastAsia="en-US"/>
              </w:rPr>
              <w:t>Repeated Individual UTRAN Priority Parameters</w:t>
            </w:r>
            <w:r w:rsidRPr="004D0DAA">
              <w:rPr>
                <w:lang w:eastAsia="en-US"/>
              </w:rPr>
              <w:t xml:space="preserve"> IE is not present, every UTRAN frequency in the 3G Frequency list for the serving cell shall be assigned the default value. If the </w:t>
            </w:r>
            <w:r w:rsidRPr="004D0DAA">
              <w:rPr>
                <w:i/>
                <w:lang w:eastAsia="en-US"/>
              </w:rPr>
              <w:t>Repeated Individual E-UTRAN Priority Parameters</w:t>
            </w:r>
            <w:r w:rsidRPr="004D0DAA">
              <w:rPr>
                <w:lang w:eastAsia="en-US"/>
              </w:rPr>
              <w:t xml:space="preserve"> IE is not present, every E-UTRAN frequency in the E-UTRAN Neighbour Cell list for the serving cell shall be assigned the default value.</w:t>
            </w:r>
          </w:p>
          <w:p w14:paraId="1E64AA92" w14:textId="77777777" w:rsidR="00711444" w:rsidRPr="004D0DAA" w:rsidRDefault="00711444" w:rsidP="00AA2A4C">
            <w:pPr>
              <w:pStyle w:val="TAL"/>
              <w:rPr>
                <w:rFonts w:hint="eastAsia"/>
                <w:lang w:eastAsia="zh-CN"/>
              </w:rPr>
            </w:pPr>
          </w:p>
        </w:tc>
      </w:tr>
      <w:tr w:rsidR="00711444" w:rsidRPr="004D0DAA" w14:paraId="46017CCB" w14:textId="77777777" w:rsidTr="00AA2A4C">
        <w:tblPrEx>
          <w:tblCellMar>
            <w:top w:w="0" w:type="dxa"/>
            <w:bottom w:w="0" w:type="dxa"/>
          </w:tblCellMar>
        </w:tblPrEx>
        <w:trPr>
          <w:cantSplit/>
          <w:jc w:val="center"/>
        </w:trPr>
        <w:tc>
          <w:tcPr>
            <w:tcW w:w="9463" w:type="dxa"/>
            <w:tcMar>
              <w:top w:w="57" w:type="dxa"/>
            </w:tcMar>
            <w:vAlign w:val="center"/>
          </w:tcPr>
          <w:p w14:paraId="2027D59D" w14:textId="77777777" w:rsidR="00711444" w:rsidRPr="004D0DAA" w:rsidRDefault="00711444" w:rsidP="00AA2A4C">
            <w:pPr>
              <w:pStyle w:val="TAL"/>
              <w:rPr>
                <w:rFonts w:hint="eastAsia"/>
                <w:lang w:eastAsia="zh-CN"/>
              </w:rPr>
            </w:pPr>
            <w:r w:rsidRPr="004D0DAA">
              <w:rPr>
                <w:b/>
                <w:lang w:eastAsia="en-US"/>
              </w:rPr>
              <w:t>FDD-ARFCN</w:t>
            </w:r>
            <w:r w:rsidRPr="004D0DAA">
              <w:rPr>
                <w:lang w:eastAsia="en-US"/>
              </w:rPr>
              <w:t xml:space="preserve"> (</w:t>
            </w:r>
            <w:r w:rsidRPr="004D0DAA">
              <w:rPr>
                <w:rFonts w:hint="eastAsia"/>
                <w:lang w:eastAsia="zh-CN"/>
              </w:rPr>
              <w:t>14</w:t>
            </w:r>
            <w:r w:rsidRPr="004D0DAA">
              <w:rPr>
                <w:lang w:eastAsia="en-US"/>
              </w:rPr>
              <w:t xml:space="preserve"> bit field)</w:t>
            </w:r>
          </w:p>
          <w:p w14:paraId="333AB7C3" w14:textId="77777777" w:rsidR="00711444" w:rsidRPr="004D0DAA" w:rsidRDefault="00711444" w:rsidP="00AA2A4C">
            <w:pPr>
              <w:pStyle w:val="TAL"/>
              <w:rPr>
                <w:rFonts w:hint="eastAsia"/>
                <w:lang w:eastAsia="zh-CN"/>
              </w:rPr>
            </w:pPr>
            <w:r w:rsidRPr="004D0DAA">
              <w:rPr>
                <w:b/>
                <w:lang w:eastAsia="en-US"/>
              </w:rPr>
              <w:t>TDD-ARFCN</w:t>
            </w:r>
            <w:r w:rsidRPr="004D0DAA">
              <w:rPr>
                <w:lang w:eastAsia="en-US"/>
              </w:rPr>
              <w:t xml:space="preserve"> (</w:t>
            </w:r>
            <w:r w:rsidRPr="004D0DAA">
              <w:rPr>
                <w:rFonts w:hint="eastAsia"/>
                <w:lang w:eastAsia="zh-CN"/>
              </w:rPr>
              <w:t>14</w:t>
            </w:r>
            <w:r w:rsidRPr="004D0DAA">
              <w:rPr>
                <w:lang w:eastAsia="en-US"/>
              </w:rPr>
              <w:t xml:space="preserve"> bit field)</w:t>
            </w:r>
          </w:p>
          <w:p w14:paraId="6EA87181" w14:textId="77777777" w:rsidR="00711444" w:rsidRPr="004D0DAA" w:rsidRDefault="00711444" w:rsidP="00AA2A4C">
            <w:pPr>
              <w:pStyle w:val="TAL"/>
              <w:rPr>
                <w:lang w:eastAsia="en-US"/>
              </w:rPr>
            </w:pPr>
            <w:r w:rsidRPr="004D0DAA">
              <w:rPr>
                <w:b/>
                <w:lang w:eastAsia="en-US"/>
              </w:rPr>
              <w:t>EARFCN</w:t>
            </w:r>
            <w:r w:rsidRPr="004D0DAA">
              <w:rPr>
                <w:lang w:eastAsia="en-US"/>
              </w:rPr>
              <w:t xml:space="preserve"> (</w:t>
            </w:r>
            <w:r w:rsidRPr="004D0DAA">
              <w:rPr>
                <w:rFonts w:hint="eastAsia"/>
                <w:lang w:eastAsia="zh-CN"/>
              </w:rPr>
              <w:t>16</w:t>
            </w:r>
            <w:r w:rsidRPr="004D0DAA">
              <w:rPr>
                <w:lang w:eastAsia="en-US"/>
              </w:rPr>
              <w:t xml:space="preserve"> bit field)</w:t>
            </w:r>
          </w:p>
          <w:p w14:paraId="4F174E82" w14:textId="77777777" w:rsidR="00711444" w:rsidRPr="004D0DAA" w:rsidRDefault="00711444" w:rsidP="00AA2A4C">
            <w:pPr>
              <w:pStyle w:val="TAL"/>
              <w:rPr>
                <w:rFonts w:hint="eastAsia"/>
                <w:lang w:eastAsia="zh-CN"/>
              </w:rPr>
            </w:pPr>
          </w:p>
          <w:p w14:paraId="4C2BB9C0" w14:textId="77777777" w:rsidR="00711444" w:rsidRPr="004D0DAA" w:rsidRDefault="00711444" w:rsidP="00AA2A4C">
            <w:pPr>
              <w:pStyle w:val="TAL"/>
              <w:rPr>
                <w:rFonts w:hint="eastAsia"/>
                <w:lang w:eastAsia="zh-CN"/>
              </w:rPr>
            </w:pPr>
            <w:r w:rsidRPr="004D0DAA">
              <w:rPr>
                <w:lang w:eastAsia="en-US"/>
              </w:rPr>
              <w:t xml:space="preserve">These fields </w:t>
            </w:r>
            <w:r w:rsidRPr="004D0DAA">
              <w:rPr>
                <w:lang w:eastAsia="zh-CN"/>
              </w:rPr>
              <w:t>are used</w:t>
            </w:r>
            <w:r w:rsidRPr="004D0DAA">
              <w:rPr>
                <w:lang w:eastAsia="en-US"/>
              </w:rPr>
              <w:t xml:space="preserve"> to indicate the frequencies for which priorities are provided, see sub-clauses</w:t>
            </w:r>
            <w:r w:rsidRPr="004D0DAA">
              <w:rPr>
                <w:rFonts w:hint="eastAsia"/>
                <w:lang w:eastAsia="en-US"/>
              </w:rPr>
              <w:t xml:space="preserve"> </w:t>
            </w:r>
            <w:r w:rsidRPr="004D0DAA">
              <w:rPr>
                <w:rFonts w:hint="eastAsia"/>
                <w:lang w:eastAsia="zh-CN"/>
              </w:rPr>
              <w:t>11.2.21b</w:t>
            </w:r>
            <w:r w:rsidRPr="004D0DAA">
              <w:rPr>
                <w:lang w:eastAsia="zh-CN"/>
              </w:rPr>
              <w:t xml:space="preserve"> and 12.53</w:t>
            </w:r>
            <w:r w:rsidRPr="004D0DAA">
              <w:rPr>
                <w:rFonts w:hint="eastAsia"/>
                <w:lang w:eastAsia="en-US"/>
              </w:rPr>
              <w:t>.</w:t>
            </w:r>
          </w:p>
          <w:p w14:paraId="4481E380" w14:textId="77777777" w:rsidR="00711444" w:rsidRPr="004D0DAA" w:rsidRDefault="00711444" w:rsidP="00AA2A4C">
            <w:pPr>
              <w:pStyle w:val="TAL"/>
              <w:rPr>
                <w:rFonts w:hint="eastAsia"/>
                <w:lang w:eastAsia="zh-CN"/>
              </w:rPr>
            </w:pPr>
          </w:p>
        </w:tc>
      </w:tr>
      <w:tr w:rsidR="00711444" w:rsidRPr="004D0DAA" w14:paraId="03099D2D" w14:textId="77777777" w:rsidTr="00AA2A4C">
        <w:tblPrEx>
          <w:tblCellMar>
            <w:top w:w="0" w:type="dxa"/>
            <w:bottom w:w="0" w:type="dxa"/>
          </w:tblCellMar>
        </w:tblPrEx>
        <w:trPr>
          <w:cantSplit/>
          <w:jc w:val="center"/>
        </w:trPr>
        <w:tc>
          <w:tcPr>
            <w:tcW w:w="9463" w:type="dxa"/>
            <w:tcMar>
              <w:top w:w="57" w:type="dxa"/>
            </w:tcMar>
            <w:vAlign w:val="center"/>
          </w:tcPr>
          <w:p w14:paraId="421D42AD" w14:textId="77777777" w:rsidR="00711444" w:rsidRPr="004D0DAA" w:rsidRDefault="00711444" w:rsidP="00AA2A4C">
            <w:pPr>
              <w:pStyle w:val="TAL"/>
              <w:rPr>
                <w:rFonts w:hint="eastAsia"/>
                <w:lang w:eastAsia="zh-CN"/>
              </w:rPr>
            </w:pPr>
            <w:r w:rsidRPr="004D0DAA">
              <w:rPr>
                <w:rFonts w:hint="eastAsia"/>
                <w:b/>
                <w:lang w:eastAsia="zh-CN"/>
              </w:rPr>
              <w:t xml:space="preserve">T3230 timeout value </w:t>
            </w:r>
            <w:r w:rsidRPr="004D0DAA">
              <w:rPr>
                <w:lang w:eastAsia="en-US"/>
              </w:rPr>
              <w:t>(3 bit field)</w:t>
            </w:r>
            <w:r w:rsidRPr="004D0DAA">
              <w:rPr>
                <w:rFonts w:hint="eastAsia"/>
                <w:lang w:eastAsia="zh-CN"/>
              </w:rPr>
              <w:t xml:space="preserve"> </w:t>
            </w:r>
          </w:p>
          <w:p w14:paraId="7793B2E6" w14:textId="77777777" w:rsidR="00711444" w:rsidRPr="004D0DAA" w:rsidRDefault="00711444" w:rsidP="00AA2A4C">
            <w:pPr>
              <w:pStyle w:val="TAL"/>
              <w:rPr>
                <w:lang w:eastAsia="en-US"/>
              </w:rPr>
            </w:pPr>
            <w:r w:rsidRPr="004D0DAA">
              <w:rPr>
                <w:lang w:eastAsia="en-US"/>
              </w:rPr>
              <w:t>T</w:t>
            </w:r>
            <w:r w:rsidRPr="004D0DAA">
              <w:rPr>
                <w:rFonts w:hint="eastAsia"/>
                <w:lang w:eastAsia="en-US"/>
              </w:rPr>
              <w:t xml:space="preserve">he timer uses 3 bits to indicate </w:t>
            </w:r>
            <w:r w:rsidRPr="004D0DAA">
              <w:rPr>
                <w:lang w:eastAsia="en-US"/>
              </w:rPr>
              <w:t xml:space="preserve">the time for which the </w:t>
            </w:r>
            <w:r w:rsidRPr="004D0DAA">
              <w:rPr>
                <w:rFonts w:hint="eastAsia"/>
                <w:lang w:eastAsia="en-US"/>
              </w:rPr>
              <w:t>signalled individual</w:t>
            </w:r>
            <w:r w:rsidRPr="004D0DAA">
              <w:rPr>
                <w:lang w:eastAsia="en-US"/>
              </w:rPr>
              <w:t xml:space="preserve"> priorities are valid</w:t>
            </w:r>
            <w:r w:rsidRPr="004D0DAA">
              <w:rPr>
                <w:rFonts w:hint="eastAsia"/>
                <w:lang w:eastAsia="en-US"/>
              </w:rPr>
              <w:t>:</w:t>
            </w:r>
          </w:p>
          <w:p w14:paraId="78430967" w14:textId="77777777" w:rsidR="00711444" w:rsidRPr="004D0DAA" w:rsidRDefault="00711444" w:rsidP="00AA2A4C">
            <w:pPr>
              <w:pStyle w:val="TAL"/>
              <w:rPr>
                <w:lang w:eastAsia="en-US"/>
              </w:rPr>
            </w:pPr>
          </w:p>
          <w:p w14:paraId="3ECCAB54" w14:textId="77777777" w:rsidR="00711444" w:rsidRPr="004D0DAA" w:rsidRDefault="00711444" w:rsidP="00AA2A4C">
            <w:pPr>
              <w:pStyle w:val="EW"/>
              <w:rPr>
                <w:lang w:eastAsia="en-US"/>
              </w:rPr>
            </w:pPr>
            <w:r w:rsidRPr="004D0DAA">
              <w:rPr>
                <w:lang w:eastAsia="en-US"/>
              </w:rPr>
              <w:t>0 0 0</w:t>
            </w:r>
            <w:r w:rsidRPr="004D0DAA">
              <w:rPr>
                <w:lang w:eastAsia="en-US"/>
              </w:rPr>
              <w:tab/>
              <w:t>5 minute timeout;</w:t>
            </w:r>
          </w:p>
          <w:p w14:paraId="4CD5998B" w14:textId="77777777" w:rsidR="00711444" w:rsidRPr="004D0DAA" w:rsidRDefault="00711444" w:rsidP="00AA2A4C">
            <w:pPr>
              <w:pStyle w:val="EW"/>
              <w:rPr>
                <w:lang w:eastAsia="en-US"/>
              </w:rPr>
            </w:pPr>
            <w:r w:rsidRPr="004D0DAA">
              <w:rPr>
                <w:lang w:eastAsia="en-US"/>
              </w:rPr>
              <w:t>0 0 1</w:t>
            </w:r>
            <w:r w:rsidRPr="004D0DAA">
              <w:rPr>
                <w:lang w:eastAsia="en-US"/>
              </w:rPr>
              <w:tab/>
              <w:t>10 minute timeout;</w:t>
            </w:r>
          </w:p>
          <w:p w14:paraId="39705625" w14:textId="77777777" w:rsidR="00711444" w:rsidRPr="004D0DAA" w:rsidRDefault="00711444" w:rsidP="00AA2A4C">
            <w:pPr>
              <w:pStyle w:val="EW"/>
              <w:rPr>
                <w:lang w:eastAsia="en-US"/>
              </w:rPr>
            </w:pPr>
            <w:r w:rsidRPr="004D0DAA">
              <w:rPr>
                <w:lang w:eastAsia="en-US"/>
              </w:rPr>
              <w:t>0 1 0</w:t>
            </w:r>
            <w:r w:rsidRPr="004D0DAA">
              <w:rPr>
                <w:lang w:eastAsia="en-US"/>
              </w:rPr>
              <w:tab/>
              <w:t>20 minute timeout;</w:t>
            </w:r>
          </w:p>
          <w:p w14:paraId="25A58B75" w14:textId="77777777" w:rsidR="00711444" w:rsidRPr="004D0DAA" w:rsidRDefault="00711444" w:rsidP="00AA2A4C">
            <w:pPr>
              <w:pStyle w:val="EW"/>
              <w:rPr>
                <w:lang w:eastAsia="en-US"/>
              </w:rPr>
            </w:pPr>
            <w:r w:rsidRPr="004D0DAA">
              <w:rPr>
                <w:lang w:eastAsia="en-US"/>
              </w:rPr>
              <w:t>0 1 1</w:t>
            </w:r>
            <w:r w:rsidRPr="004D0DAA">
              <w:rPr>
                <w:lang w:eastAsia="en-US"/>
              </w:rPr>
              <w:tab/>
              <w:t>30 minute timeout;</w:t>
            </w:r>
          </w:p>
          <w:p w14:paraId="5AE3BBF4" w14:textId="77777777" w:rsidR="00711444" w:rsidRPr="004D0DAA" w:rsidRDefault="00711444" w:rsidP="00AA2A4C">
            <w:pPr>
              <w:pStyle w:val="EW"/>
              <w:rPr>
                <w:lang w:eastAsia="en-US"/>
              </w:rPr>
            </w:pPr>
            <w:r w:rsidRPr="004D0DAA">
              <w:rPr>
                <w:lang w:eastAsia="en-US"/>
              </w:rPr>
              <w:t>1 0 0</w:t>
            </w:r>
            <w:r w:rsidRPr="004D0DAA">
              <w:rPr>
                <w:lang w:eastAsia="en-US"/>
              </w:rPr>
              <w:tab/>
              <w:t>60 minute timeout;</w:t>
            </w:r>
          </w:p>
          <w:p w14:paraId="6DAE5F2C" w14:textId="77777777" w:rsidR="00711444" w:rsidRPr="004D0DAA" w:rsidRDefault="00711444" w:rsidP="00AA2A4C">
            <w:pPr>
              <w:pStyle w:val="EW"/>
              <w:rPr>
                <w:lang w:eastAsia="en-US"/>
              </w:rPr>
            </w:pPr>
            <w:r w:rsidRPr="004D0DAA">
              <w:rPr>
                <w:lang w:eastAsia="en-US"/>
              </w:rPr>
              <w:t>1 0 1</w:t>
            </w:r>
            <w:r w:rsidRPr="004D0DAA">
              <w:rPr>
                <w:lang w:eastAsia="en-US"/>
              </w:rPr>
              <w:tab/>
              <w:t>120 minute timeout;</w:t>
            </w:r>
          </w:p>
          <w:p w14:paraId="55860B87" w14:textId="77777777" w:rsidR="00711444" w:rsidRPr="004D0DAA" w:rsidRDefault="00711444" w:rsidP="00AA2A4C">
            <w:pPr>
              <w:pStyle w:val="EW"/>
              <w:rPr>
                <w:lang w:eastAsia="en-US"/>
              </w:rPr>
            </w:pPr>
            <w:r w:rsidRPr="004D0DAA">
              <w:rPr>
                <w:lang w:eastAsia="en-US"/>
              </w:rPr>
              <w:t>1 1 0</w:t>
            </w:r>
            <w:r w:rsidRPr="004D0DAA">
              <w:rPr>
                <w:lang w:eastAsia="en-US"/>
              </w:rPr>
              <w:tab/>
              <w:t>180 minute timeout;</w:t>
            </w:r>
          </w:p>
          <w:p w14:paraId="12750D4B" w14:textId="77777777" w:rsidR="00711444" w:rsidRPr="004D0DAA" w:rsidRDefault="00711444" w:rsidP="00AA2A4C">
            <w:pPr>
              <w:pStyle w:val="EW"/>
              <w:rPr>
                <w:rFonts w:hint="eastAsia"/>
                <w:lang w:eastAsia="zh-CN"/>
              </w:rPr>
            </w:pPr>
            <w:r w:rsidRPr="004D0DAA">
              <w:rPr>
                <w:lang w:eastAsia="en-US"/>
              </w:rPr>
              <w:t>1 1 1</w:t>
            </w:r>
            <w:r w:rsidRPr="004D0DAA">
              <w:rPr>
                <w:lang w:eastAsia="en-US"/>
              </w:rPr>
              <w:tab/>
              <w:t>reserved for future use</w:t>
            </w:r>
            <w:r w:rsidRPr="004D0DAA">
              <w:rPr>
                <w:rFonts w:hint="eastAsia"/>
                <w:lang w:eastAsia="zh-CN"/>
              </w:rPr>
              <w:t xml:space="preserve">; if received, it shall be interpreted by the mobile station as </w:t>
            </w:r>
            <w:r w:rsidRPr="004D0DAA">
              <w:rPr>
                <w:lang w:eastAsia="en-US"/>
              </w:rPr>
              <w:t>"</w:t>
            </w:r>
            <w:r w:rsidRPr="004D0DAA">
              <w:rPr>
                <w:rFonts w:hint="eastAsia"/>
                <w:lang w:eastAsia="zh-CN"/>
              </w:rPr>
              <w:t>110</w:t>
            </w:r>
            <w:r w:rsidRPr="004D0DAA">
              <w:rPr>
                <w:lang w:eastAsia="en-US"/>
              </w:rPr>
              <w:t>";</w:t>
            </w:r>
          </w:p>
          <w:p w14:paraId="2F8BA228" w14:textId="77777777" w:rsidR="00711444" w:rsidRPr="004D0DAA" w:rsidRDefault="00711444" w:rsidP="00AA2A4C">
            <w:pPr>
              <w:pStyle w:val="TAL"/>
              <w:rPr>
                <w:lang w:eastAsia="zh-CN"/>
              </w:rPr>
            </w:pPr>
          </w:p>
          <w:p w14:paraId="1AD89CF2" w14:textId="77777777" w:rsidR="00711444" w:rsidRPr="004D0DAA" w:rsidRDefault="00711444" w:rsidP="00AA2A4C">
            <w:pPr>
              <w:pStyle w:val="TAL"/>
              <w:rPr>
                <w:rFonts w:hint="eastAsia"/>
                <w:lang w:eastAsia="zh-CN"/>
              </w:rPr>
            </w:pPr>
            <w:r w:rsidRPr="004D0DAA">
              <w:rPr>
                <w:lang w:eastAsia="zh-CN"/>
              </w:rPr>
              <w:t xml:space="preserve">If this information element is not present, the mobile station shall consider the </w:t>
            </w:r>
            <w:r w:rsidRPr="004D0DAA">
              <w:rPr>
                <w:rFonts w:hint="eastAsia"/>
                <w:lang w:eastAsia="zh-CN"/>
              </w:rPr>
              <w:t>signalled individual</w:t>
            </w:r>
            <w:r w:rsidRPr="004D0DAA">
              <w:rPr>
                <w:lang w:eastAsia="zh-CN"/>
              </w:rPr>
              <w:t xml:space="preserve"> priorities to be valid until the occurrence of one of the conditions specified in subclause </w:t>
            </w:r>
            <w:r w:rsidRPr="004D0DAA">
              <w:rPr>
                <w:rFonts w:hint="eastAsia"/>
                <w:lang w:eastAsia="zh-CN"/>
              </w:rPr>
              <w:t>5.5.1.1</w:t>
            </w:r>
            <w:r w:rsidRPr="004D0DAA">
              <w:rPr>
                <w:lang w:eastAsia="zh-CN"/>
              </w:rPr>
              <w:t>c.3.</w:t>
            </w:r>
          </w:p>
        </w:tc>
      </w:tr>
    </w:tbl>
    <w:p w14:paraId="22DF6FBC" w14:textId="77777777" w:rsidR="00711444" w:rsidRPr="004D0DAA" w:rsidRDefault="00711444" w:rsidP="00711444">
      <w:pPr>
        <w:rPr>
          <w:lang w:eastAsia="zh-CN"/>
        </w:rPr>
      </w:pPr>
    </w:p>
    <w:p w14:paraId="70CE5577" w14:textId="77777777" w:rsidR="00711444" w:rsidRPr="004D0DAA" w:rsidRDefault="00711444" w:rsidP="00711444">
      <w:pPr>
        <w:pStyle w:val="Heading2"/>
        <w:tabs>
          <w:tab w:val="left" w:pos="10170"/>
        </w:tabs>
        <w:rPr>
          <w:rFonts w:hint="eastAsia"/>
        </w:rPr>
      </w:pPr>
      <w:bookmarkStart w:id="845" w:name="_Toc516670021"/>
      <w:r w:rsidRPr="004D0DAA">
        <w:t>12.51</w:t>
      </w:r>
      <w:r w:rsidRPr="004D0DAA">
        <w:tab/>
        <w:t>GSM Priority</w:t>
      </w:r>
      <w:r w:rsidRPr="004D0DAA">
        <w:rPr>
          <w:rFonts w:hint="eastAsia"/>
        </w:rPr>
        <w:t xml:space="preserve"> </w:t>
      </w:r>
      <w:r w:rsidRPr="004D0DAA">
        <w:t>Parameters</w:t>
      </w:r>
      <w:bookmarkEnd w:id="845"/>
    </w:p>
    <w:p w14:paraId="36B1A2BA" w14:textId="77777777" w:rsidR="00711444" w:rsidRPr="004D0DAA" w:rsidRDefault="00711444" w:rsidP="00711444">
      <w:pPr>
        <w:rPr>
          <w:lang w:eastAsia="zh-CN"/>
        </w:rPr>
      </w:pPr>
      <w:r w:rsidRPr="004D0DAA">
        <w:t>T</w:t>
      </w:r>
      <w:r w:rsidRPr="004D0DAA">
        <w:rPr>
          <w:rFonts w:hint="eastAsia"/>
        </w:rPr>
        <w:t xml:space="preserve">his information element </w:t>
      </w:r>
      <w:r w:rsidRPr="004D0DAA">
        <w:rPr>
          <w:rFonts w:hint="eastAsia"/>
          <w:lang w:eastAsia="zh-CN"/>
        </w:rPr>
        <w:t xml:space="preserve">is sent to provide </w:t>
      </w:r>
      <w:r w:rsidRPr="004D0DAA">
        <w:rPr>
          <w:lang w:eastAsia="zh-CN"/>
        </w:rPr>
        <w:t>priority information about the serving cell and other GSM cells.</w:t>
      </w:r>
    </w:p>
    <w:p w14:paraId="57BC9402" w14:textId="77777777" w:rsidR="00711444" w:rsidRPr="004D0DAA" w:rsidRDefault="00711444" w:rsidP="00711444">
      <w:pPr>
        <w:pStyle w:val="TH"/>
      </w:pPr>
      <w:r w:rsidRPr="004D0DAA">
        <w:t>Table </w:t>
      </w:r>
      <w:r w:rsidRPr="004D0DAA">
        <w:rPr>
          <w:rFonts w:hint="eastAsia"/>
          <w:lang w:eastAsia="zh-CN"/>
        </w:rPr>
        <w:t>12.51.1</w:t>
      </w:r>
      <w:r w:rsidRPr="004D0DAA">
        <w:t>:</w:t>
      </w:r>
      <w:r w:rsidRPr="004D0DAA">
        <w:rPr>
          <w:rFonts w:hint="eastAsia"/>
          <w:i/>
        </w:rPr>
        <w:t xml:space="preserve"> </w:t>
      </w:r>
      <w:r w:rsidRPr="004D0DAA">
        <w:rPr>
          <w:i/>
        </w:rPr>
        <w:t xml:space="preserve">GSM </w:t>
      </w:r>
      <w:r w:rsidRPr="004D0DAA">
        <w:rPr>
          <w:rFonts w:hint="eastAsia"/>
          <w:i/>
        </w:rPr>
        <w:t>priorit</w:t>
      </w:r>
      <w:r w:rsidRPr="004D0DAA">
        <w:rPr>
          <w:i/>
        </w:rPr>
        <w:t xml:space="preserve">y parameters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40735A1E" w14:textId="77777777" w:rsidTr="00AA2A4C">
        <w:tblPrEx>
          <w:tblCellMar>
            <w:top w:w="0" w:type="dxa"/>
            <w:bottom w:w="0" w:type="dxa"/>
          </w:tblCellMar>
        </w:tblPrEx>
        <w:trPr>
          <w:cantSplit/>
          <w:jc w:val="center"/>
        </w:trPr>
        <w:tc>
          <w:tcPr>
            <w:tcW w:w="9463" w:type="dxa"/>
            <w:tcMar>
              <w:top w:w="57" w:type="dxa"/>
            </w:tcMar>
            <w:vAlign w:val="center"/>
          </w:tcPr>
          <w:p w14:paraId="7886F3C7" w14:textId="77777777" w:rsidR="00711444" w:rsidRPr="004D0DAA" w:rsidRDefault="00711444" w:rsidP="00AA2A4C">
            <w:pPr>
              <w:pStyle w:val="TAL"/>
              <w:rPr>
                <w:lang w:eastAsia="en-US"/>
              </w:rPr>
            </w:pPr>
            <w:r w:rsidRPr="004D0DAA">
              <w:rPr>
                <w:lang w:eastAsia="en-US"/>
              </w:rPr>
              <w:t>&lt; GSM Priority Parameters IE &gt; ::=</w:t>
            </w:r>
          </w:p>
          <w:p w14:paraId="6C431E7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GERAN_PRIORITY</w:t>
            </w:r>
            <w:r w:rsidRPr="004D0DAA">
              <w:rPr>
                <w:lang w:eastAsia="en-US"/>
              </w:rPr>
              <w:t xml:space="preserve"> : bit(3) &gt;</w:t>
            </w:r>
          </w:p>
          <w:p w14:paraId="65F3A65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THRESH_Priority_Search</w:t>
            </w:r>
            <w:r w:rsidRPr="004D0DAA">
              <w:rPr>
                <w:lang w:eastAsia="en-US"/>
              </w:rPr>
              <w:t xml:space="preserve"> : bit(4) &gt;</w:t>
            </w:r>
          </w:p>
          <w:p w14:paraId="4F41815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THRESH_GSM_low</w:t>
            </w:r>
            <w:r w:rsidRPr="004D0DAA">
              <w:rPr>
                <w:lang w:eastAsia="en-US"/>
              </w:rPr>
              <w:t xml:space="preserve"> : bit(4) &gt;</w:t>
            </w:r>
          </w:p>
          <w:p w14:paraId="1F0AEA3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H_PRIO</w:t>
            </w:r>
            <w:r w:rsidRPr="004D0DAA">
              <w:rPr>
                <w:lang w:eastAsia="en-US"/>
              </w:rPr>
              <w:t xml:space="preserve"> : bit(2) &gt;</w:t>
            </w:r>
          </w:p>
          <w:p w14:paraId="00C878D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T_Reselection</w:t>
            </w:r>
            <w:r w:rsidRPr="004D0DAA">
              <w:rPr>
                <w:lang w:eastAsia="en-US"/>
              </w:rPr>
              <w:t xml:space="preserve"> : bit(2) &gt;;</w:t>
            </w:r>
          </w:p>
          <w:p w14:paraId="25D03AFA" w14:textId="77777777" w:rsidR="00711444" w:rsidRPr="004D0DAA" w:rsidRDefault="00711444" w:rsidP="00AA2A4C">
            <w:pPr>
              <w:pStyle w:val="TAL"/>
              <w:rPr>
                <w:lang w:eastAsia="zh-CN"/>
              </w:rPr>
            </w:pPr>
          </w:p>
        </w:tc>
      </w:tr>
    </w:tbl>
    <w:p w14:paraId="24551950" w14:textId="77777777" w:rsidR="00711444" w:rsidRPr="004D0DAA" w:rsidRDefault="00711444" w:rsidP="00711444">
      <w:pPr>
        <w:rPr>
          <w:rFonts w:hint="eastAsia"/>
          <w:lang w:eastAsia="zh-CN"/>
        </w:rPr>
      </w:pPr>
    </w:p>
    <w:p w14:paraId="6FB8DD23" w14:textId="77777777" w:rsidR="00711444" w:rsidRPr="004D0DAA" w:rsidRDefault="00711444" w:rsidP="00711444">
      <w:pPr>
        <w:pStyle w:val="TH"/>
        <w:rPr>
          <w:rFonts w:hint="eastAsia"/>
          <w:lang w:eastAsia="zh-CN"/>
        </w:rPr>
      </w:pPr>
      <w:r w:rsidRPr="004D0DAA">
        <w:lastRenderedPageBreak/>
        <w:t>Table 1</w:t>
      </w:r>
      <w:r w:rsidRPr="004D0DAA">
        <w:rPr>
          <w:rFonts w:hint="eastAsia"/>
          <w:lang w:eastAsia="zh-CN"/>
        </w:rPr>
        <w:t>2.51.2</w:t>
      </w:r>
      <w:r w:rsidRPr="004D0DAA">
        <w:t>: </w:t>
      </w:r>
      <w:r w:rsidRPr="004D0DAA">
        <w:rPr>
          <w:rFonts w:hint="eastAsia"/>
          <w:i/>
        </w:rPr>
        <w:t xml:space="preserve"> </w:t>
      </w:r>
      <w:r w:rsidRPr="004D0DAA">
        <w:rPr>
          <w:i/>
        </w:rPr>
        <w:t xml:space="preserve">GSM </w:t>
      </w:r>
      <w:r w:rsidRPr="004D0DAA">
        <w:rPr>
          <w:rFonts w:hint="eastAsia"/>
          <w:i/>
        </w:rPr>
        <w:t>priorit</w:t>
      </w:r>
      <w:r w:rsidRPr="004D0DAA">
        <w:rPr>
          <w:i/>
        </w:rPr>
        <w:t xml:space="preserve">y parameters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463"/>
      </w:tblGrid>
      <w:tr w:rsidR="00711444" w:rsidRPr="004D0DAA" w14:paraId="36C4770A" w14:textId="77777777" w:rsidTr="00AA2A4C">
        <w:tblPrEx>
          <w:tblCellMar>
            <w:top w:w="0" w:type="dxa"/>
            <w:bottom w:w="0" w:type="dxa"/>
          </w:tblCellMar>
        </w:tblPrEx>
        <w:trPr>
          <w:cantSplit/>
          <w:jc w:val="center"/>
        </w:trPr>
        <w:tc>
          <w:tcPr>
            <w:tcW w:w="9463" w:type="dxa"/>
            <w:tcMar>
              <w:top w:w="57" w:type="dxa"/>
            </w:tcMar>
            <w:vAlign w:val="center"/>
          </w:tcPr>
          <w:p w14:paraId="22088812" w14:textId="77777777" w:rsidR="00711444" w:rsidRPr="004D0DAA" w:rsidRDefault="00711444" w:rsidP="00AA2A4C">
            <w:pPr>
              <w:pStyle w:val="TAL"/>
              <w:rPr>
                <w:lang w:eastAsia="zh-CN"/>
              </w:rPr>
            </w:pPr>
            <w:r w:rsidRPr="004D0DAA">
              <w:rPr>
                <w:b/>
                <w:bCs/>
                <w:lang w:eastAsia="en-US"/>
              </w:rPr>
              <w:t>GERAN_PRIORITY</w:t>
            </w:r>
            <w:r w:rsidRPr="004D0DAA">
              <w:rPr>
                <w:lang w:eastAsia="en-US"/>
              </w:rPr>
              <w:t xml:space="preserve"> (3 bit field)</w:t>
            </w:r>
            <w:r w:rsidRPr="004D0DAA">
              <w:rPr>
                <w:lang w:eastAsia="en-US"/>
              </w:rPr>
              <w:br/>
            </w:r>
            <w:r w:rsidRPr="004D0DAA">
              <w:rPr>
                <w:b/>
                <w:bCs/>
                <w:lang w:eastAsia="en-US"/>
              </w:rPr>
              <w:t>THRESH_Priority_Search</w:t>
            </w:r>
            <w:r w:rsidRPr="004D0DAA">
              <w:rPr>
                <w:lang w:eastAsia="en-US"/>
              </w:rPr>
              <w:t xml:space="preserve"> (4 bit field)</w:t>
            </w:r>
            <w:r w:rsidRPr="004D0DAA">
              <w:rPr>
                <w:lang w:eastAsia="en-US"/>
              </w:rPr>
              <w:br/>
            </w:r>
            <w:r w:rsidRPr="004D0DAA">
              <w:rPr>
                <w:b/>
                <w:bCs/>
                <w:lang w:eastAsia="en-US"/>
              </w:rPr>
              <w:t>THRESH_GSM_low</w:t>
            </w:r>
            <w:r w:rsidRPr="004D0DAA">
              <w:rPr>
                <w:lang w:eastAsia="en-US"/>
              </w:rPr>
              <w:t xml:space="preserve"> (4 bit field)</w:t>
            </w:r>
            <w:r w:rsidRPr="004D0DAA">
              <w:rPr>
                <w:lang w:eastAsia="en-US"/>
              </w:rPr>
              <w:br/>
            </w:r>
            <w:r w:rsidRPr="004D0DAA">
              <w:rPr>
                <w:b/>
                <w:bCs/>
                <w:lang w:eastAsia="en-US"/>
              </w:rPr>
              <w:t>H_PRIO</w:t>
            </w:r>
            <w:r w:rsidRPr="004D0DAA">
              <w:rPr>
                <w:lang w:eastAsia="en-US"/>
              </w:rPr>
              <w:t xml:space="preserve"> (2 bit field)</w:t>
            </w:r>
            <w:r w:rsidRPr="004D0DAA">
              <w:rPr>
                <w:lang w:eastAsia="en-US"/>
              </w:rPr>
              <w:br/>
            </w:r>
            <w:r w:rsidRPr="004D0DAA">
              <w:rPr>
                <w:b/>
                <w:bCs/>
                <w:lang w:eastAsia="en-US"/>
              </w:rPr>
              <w:t>T_Reselection</w:t>
            </w:r>
            <w:r w:rsidRPr="004D0DAA">
              <w:rPr>
                <w:lang w:eastAsia="en-US"/>
              </w:rPr>
              <w:t xml:space="preserve"> (2 bit field)</w:t>
            </w:r>
            <w:r w:rsidRPr="004D0DAA">
              <w:rPr>
                <w:lang w:eastAsia="en-US"/>
              </w:rPr>
              <w:br/>
              <w:t xml:space="preserve">These fields </w:t>
            </w:r>
            <w:r w:rsidRPr="004D0DAA">
              <w:rPr>
                <w:lang w:eastAsia="zh-CN"/>
              </w:rPr>
              <w:t xml:space="preserve">are used for the </w:t>
            </w:r>
            <w:r w:rsidRPr="004D0DAA">
              <w:rPr>
                <w:lang w:eastAsia="en-US"/>
              </w:rPr>
              <w:t>inter-RAT cell re-selection algorithm based on priority</w:t>
            </w:r>
            <w:r w:rsidRPr="004D0DAA">
              <w:rPr>
                <w:lang w:eastAsia="zh-CN"/>
              </w:rPr>
              <w:t>, as defined in 3GPP TS 45.008.</w:t>
            </w:r>
          </w:p>
          <w:p w14:paraId="3C58D3DC" w14:textId="77777777" w:rsidR="00711444" w:rsidRPr="004D0DAA" w:rsidRDefault="00711444" w:rsidP="00AA2A4C">
            <w:pPr>
              <w:pStyle w:val="TAL"/>
              <w:rPr>
                <w:b/>
                <w:lang w:eastAsia="en-US"/>
              </w:rPr>
            </w:pPr>
          </w:p>
        </w:tc>
      </w:tr>
    </w:tbl>
    <w:p w14:paraId="2A17857D" w14:textId="77777777" w:rsidR="00711444" w:rsidRPr="004D0DAA" w:rsidRDefault="00711444" w:rsidP="00711444">
      <w:pPr>
        <w:rPr>
          <w:rFonts w:hint="eastAsia"/>
          <w:lang w:eastAsia="zh-CN"/>
        </w:rPr>
      </w:pPr>
    </w:p>
    <w:p w14:paraId="6368D17E" w14:textId="77777777" w:rsidR="00711444" w:rsidRPr="004D0DAA" w:rsidRDefault="00711444" w:rsidP="00711444">
      <w:pPr>
        <w:pStyle w:val="Heading2"/>
        <w:tabs>
          <w:tab w:val="left" w:pos="10170"/>
        </w:tabs>
        <w:rPr>
          <w:rFonts w:hint="eastAsia"/>
        </w:rPr>
      </w:pPr>
      <w:bookmarkStart w:id="846" w:name="_Toc516670022"/>
      <w:r w:rsidRPr="004D0DAA">
        <w:t>12.52</w:t>
      </w:r>
      <w:r w:rsidRPr="004D0DAA">
        <w:tab/>
        <w:t>3G Priority</w:t>
      </w:r>
      <w:r w:rsidRPr="004D0DAA">
        <w:rPr>
          <w:rFonts w:hint="eastAsia"/>
        </w:rPr>
        <w:t xml:space="preserve"> </w:t>
      </w:r>
      <w:r w:rsidRPr="004D0DAA">
        <w:t>Parameters</w:t>
      </w:r>
      <w:bookmarkEnd w:id="846"/>
    </w:p>
    <w:p w14:paraId="4739BABF" w14:textId="77777777" w:rsidR="00711444" w:rsidRPr="004D0DAA" w:rsidRDefault="00711444" w:rsidP="00711444">
      <w:pPr>
        <w:rPr>
          <w:lang w:eastAsia="zh-CN"/>
        </w:rPr>
      </w:pPr>
      <w:r w:rsidRPr="004D0DAA">
        <w:t>T</w:t>
      </w:r>
      <w:r w:rsidRPr="004D0DAA">
        <w:rPr>
          <w:rFonts w:hint="eastAsia"/>
        </w:rPr>
        <w:t xml:space="preserve">his information element </w:t>
      </w:r>
      <w:r w:rsidRPr="004D0DAA">
        <w:rPr>
          <w:rFonts w:hint="eastAsia"/>
          <w:lang w:eastAsia="zh-CN"/>
        </w:rPr>
        <w:t xml:space="preserve">is sent to provide </w:t>
      </w:r>
      <w:r w:rsidRPr="004D0DAA">
        <w:rPr>
          <w:lang w:eastAsia="zh-CN"/>
        </w:rPr>
        <w:t>priority information about neighbouring UTRAN cells.</w:t>
      </w:r>
    </w:p>
    <w:p w14:paraId="0CBE016A" w14:textId="77777777" w:rsidR="00711444" w:rsidRPr="004D0DAA" w:rsidRDefault="00711444" w:rsidP="00711444">
      <w:pPr>
        <w:pStyle w:val="TH"/>
      </w:pPr>
      <w:r w:rsidRPr="004D0DAA">
        <w:t>Table </w:t>
      </w:r>
      <w:r w:rsidRPr="004D0DAA">
        <w:rPr>
          <w:rFonts w:hint="eastAsia"/>
          <w:lang w:eastAsia="zh-CN"/>
        </w:rPr>
        <w:t>12.52.1</w:t>
      </w:r>
      <w:r w:rsidRPr="004D0DAA">
        <w:t>:</w:t>
      </w:r>
      <w:r w:rsidRPr="004D0DAA">
        <w:rPr>
          <w:rFonts w:hint="eastAsia"/>
          <w:i/>
        </w:rPr>
        <w:t xml:space="preserve"> </w:t>
      </w:r>
      <w:r w:rsidRPr="004D0DAA">
        <w:rPr>
          <w:i/>
        </w:rPr>
        <w:t xml:space="preserve">3G </w:t>
      </w:r>
      <w:r w:rsidRPr="004D0DAA">
        <w:rPr>
          <w:rFonts w:hint="eastAsia"/>
          <w:i/>
        </w:rPr>
        <w:t>priorit</w:t>
      </w:r>
      <w:r w:rsidRPr="004D0DAA">
        <w:rPr>
          <w:i/>
        </w:rPr>
        <w:t xml:space="preserve">y parameters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163A30FA" w14:textId="77777777" w:rsidTr="00AA2A4C">
        <w:tblPrEx>
          <w:tblCellMar>
            <w:top w:w="0" w:type="dxa"/>
            <w:bottom w:w="0" w:type="dxa"/>
          </w:tblCellMar>
        </w:tblPrEx>
        <w:trPr>
          <w:cantSplit/>
          <w:jc w:val="center"/>
        </w:trPr>
        <w:tc>
          <w:tcPr>
            <w:tcW w:w="9463" w:type="dxa"/>
            <w:tcMar>
              <w:top w:w="57" w:type="dxa"/>
            </w:tcMar>
            <w:vAlign w:val="center"/>
          </w:tcPr>
          <w:p w14:paraId="7048F2AE" w14:textId="77777777" w:rsidR="00711444" w:rsidRPr="004D0DAA" w:rsidRDefault="00711444" w:rsidP="00AA2A4C">
            <w:pPr>
              <w:pStyle w:val="TAL"/>
              <w:rPr>
                <w:lang w:eastAsia="en-US"/>
              </w:rPr>
            </w:pPr>
            <w:r w:rsidRPr="004D0DAA">
              <w:rPr>
                <w:lang w:eastAsia="en-US"/>
              </w:rPr>
              <w:t xml:space="preserve">&lt; 3G Priority Parameters IE &gt; ::= </w:t>
            </w:r>
          </w:p>
          <w:p w14:paraId="3992FFBD"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DEFAULT_UTRAN_PRIORITY</w:t>
            </w:r>
            <w:r w:rsidRPr="004D0DAA">
              <w:rPr>
                <w:lang w:eastAsia="en-US"/>
              </w:rPr>
              <w:t xml:space="preserve"> : bit(3) &gt;</w:t>
            </w:r>
          </w:p>
          <w:p w14:paraId="5769B95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DEFAULT_THRESH_UTRAN</w:t>
            </w:r>
            <w:r w:rsidRPr="004D0DAA">
              <w:rPr>
                <w:lang w:eastAsia="en-US"/>
              </w:rPr>
              <w:t xml:space="preserve">: bit(5) &gt; </w:t>
            </w:r>
          </w:p>
          <w:p w14:paraId="0DF7597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DEFAULT_UTRAN_QRXLEVMIN</w:t>
            </w:r>
            <w:r w:rsidRPr="004D0DAA">
              <w:rPr>
                <w:lang w:eastAsia="en-US"/>
              </w:rPr>
              <w:t>: bit(5) }</w:t>
            </w:r>
          </w:p>
          <w:p w14:paraId="652F88BC"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Repeated UTRAN Priority Parameters</w:t>
            </w:r>
            <w:r w:rsidRPr="004D0DAA">
              <w:rPr>
                <w:lang w:eastAsia="en-US"/>
              </w:rPr>
              <w:t xml:space="preserve"> : &lt; Repeated UTRAN Priority Parameters struct &gt;&gt; } ** 0 ;</w:t>
            </w:r>
          </w:p>
          <w:p w14:paraId="6B9D8D14" w14:textId="77777777" w:rsidR="00711444" w:rsidRPr="004D0DAA" w:rsidRDefault="00711444" w:rsidP="00AA2A4C">
            <w:pPr>
              <w:pStyle w:val="TAL"/>
              <w:rPr>
                <w:lang w:eastAsia="zh-CN"/>
              </w:rPr>
            </w:pPr>
          </w:p>
        </w:tc>
      </w:tr>
      <w:tr w:rsidR="00711444" w:rsidRPr="004D0DAA" w14:paraId="50073F6D" w14:textId="77777777" w:rsidTr="00AA2A4C">
        <w:tblPrEx>
          <w:tblCellMar>
            <w:top w:w="0" w:type="dxa"/>
            <w:bottom w:w="0" w:type="dxa"/>
          </w:tblCellMar>
        </w:tblPrEx>
        <w:trPr>
          <w:cantSplit/>
          <w:jc w:val="center"/>
        </w:trPr>
        <w:tc>
          <w:tcPr>
            <w:tcW w:w="9463" w:type="dxa"/>
            <w:tcMar>
              <w:top w:w="57" w:type="dxa"/>
            </w:tcMar>
            <w:vAlign w:val="center"/>
          </w:tcPr>
          <w:p w14:paraId="5175B246" w14:textId="77777777" w:rsidR="00711444" w:rsidRPr="004D0DAA" w:rsidRDefault="00711444" w:rsidP="00AA2A4C">
            <w:pPr>
              <w:pStyle w:val="TAL"/>
              <w:rPr>
                <w:lang w:eastAsia="en-US"/>
              </w:rPr>
            </w:pPr>
            <w:r w:rsidRPr="004D0DAA">
              <w:rPr>
                <w:lang w:eastAsia="en-US"/>
              </w:rPr>
              <w:t>&lt; Repeated UTRAN Priority Parameters struct &gt; ::=</w:t>
            </w:r>
            <w:r w:rsidRPr="004D0DAA">
              <w:rPr>
                <w:lang w:eastAsia="en-US"/>
              </w:rPr>
              <w:br/>
            </w:r>
            <w:r w:rsidRPr="004D0DAA">
              <w:rPr>
                <w:lang w:eastAsia="en-US"/>
              </w:rPr>
              <w:tab/>
              <w:t xml:space="preserve">{ 1 &lt; </w:t>
            </w:r>
            <w:r w:rsidRPr="004D0DAA">
              <w:rPr>
                <w:b/>
                <w:lang w:eastAsia="en-US"/>
              </w:rPr>
              <w:t>UTRAN_FREQUENCY_INDEX</w:t>
            </w:r>
            <w:r w:rsidRPr="004D0DAA">
              <w:rPr>
                <w:lang w:eastAsia="en-US"/>
              </w:rPr>
              <w:t xml:space="preserve"> : bit (5) &gt; } ** 0</w:t>
            </w:r>
          </w:p>
          <w:p w14:paraId="2B44FDE6" w14:textId="77777777" w:rsidR="00711444" w:rsidRPr="004D0DAA" w:rsidRDefault="00711444" w:rsidP="00AA2A4C">
            <w:pPr>
              <w:pStyle w:val="TAL"/>
              <w:rPr>
                <w:lang w:eastAsia="en-US"/>
              </w:rPr>
            </w:pPr>
            <w:r w:rsidRPr="004D0DAA">
              <w:rPr>
                <w:lang w:eastAsia="en-US"/>
              </w:rPr>
              <w:tab/>
            </w:r>
            <w:r w:rsidRPr="004D0DAA">
              <w:rPr>
                <w:rFonts w:hint="eastAsia"/>
                <w:lang w:eastAsia="ja-JP"/>
              </w:rPr>
              <w:t xml:space="preserve">{ 0 | 1  </w:t>
            </w:r>
            <w:r w:rsidRPr="004D0DAA">
              <w:rPr>
                <w:lang w:eastAsia="en-US"/>
              </w:rPr>
              <w:t xml:space="preserve">&lt; </w:t>
            </w:r>
            <w:r w:rsidRPr="004D0DAA">
              <w:rPr>
                <w:b/>
                <w:lang w:eastAsia="en-US"/>
              </w:rPr>
              <w:t>UTRAN_PRIORITY</w:t>
            </w:r>
            <w:r w:rsidRPr="004D0DAA">
              <w:rPr>
                <w:lang w:eastAsia="en-US"/>
              </w:rPr>
              <w:t xml:space="preserve"> : bit(3) &gt;</w:t>
            </w:r>
            <w:r w:rsidRPr="004D0DAA">
              <w:rPr>
                <w:rFonts w:hint="eastAsia"/>
                <w:lang w:eastAsia="ja-JP"/>
              </w:rPr>
              <w:t xml:space="preserve"> }</w:t>
            </w:r>
          </w:p>
          <w:p w14:paraId="10CD2B9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THRESH_UTRAN_high</w:t>
            </w:r>
            <w:r w:rsidRPr="004D0DAA">
              <w:rPr>
                <w:lang w:eastAsia="en-US"/>
              </w:rPr>
              <w:t>: bit(5) &gt;</w:t>
            </w:r>
          </w:p>
          <w:p w14:paraId="2A0CDFF9"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THRESH_UTRAN_low</w:t>
            </w:r>
            <w:r w:rsidRPr="004D0DAA">
              <w:rPr>
                <w:lang w:eastAsia="en-US"/>
              </w:rPr>
              <w:t>: bit(5) &gt; }</w:t>
            </w:r>
          </w:p>
          <w:p w14:paraId="4AF910D3"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UTRAN_QRXLEVMIN</w:t>
            </w:r>
            <w:r w:rsidRPr="004D0DAA">
              <w:rPr>
                <w:lang w:eastAsia="en-US"/>
              </w:rPr>
              <w:t>: bit(5) &gt; } ;</w:t>
            </w:r>
          </w:p>
        </w:tc>
      </w:tr>
    </w:tbl>
    <w:p w14:paraId="41190B18" w14:textId="77777777" w:rsidR="00711444" w:rsidRPr="004D0DAA" w:rsidRDefault="00711444" w:rsidP="00711444">
      <w:pPr>
        <w:rPr>
          <w:rFonts w:hint="eastAsia"/>
          <w:lang w:eastAsia="zh-CN"/>
        </w:rPr>
      </w:pPr>
    </w:p>
    <w:p w14:paraId="78CB7108" w14:textId="77777777" w:rsidR="00711444" w:rsidRPr="004D0DAA" w:rsidRDefault="00711444" w:rsidP="00711444">
      <w:pPr>
        <w:pStyle w:val="TH"/>
        <w:rPr>
          <w:rFonts w:hint="eastAsia"/>
          <w:lang w:eastAsia="zh-CN"/>
        </w:rPr>
      </w:pPr>
      <w:r w:rsidRPr="004D0DAA">
        <w:t>Table 1</w:t>
      </w:r>
      <w:r w:rsidRPr="004D0DAA">
        <w:rPr>
          <w:rFonts w:hint="eastAsia"/>
          <w:lang w:eastAsia="zh-CN"/>
        </w:rPr>
        <w:t>2.52.2</w:t>
      </w:r>
      <w:r w:rsidRPr="004D0DAA">
        <w:t>: </w:t>
      </w:r>
      <w:r w:rsidRPr="004D0DAA">
        <w:rPr>
          <w:i/>
        </w:rPr>
        <w:t xml:space="preserve">3G </w:t>
      </w:r>
      <w:r w:rsidRPr="004D0DAA">
        <w:rPr>
          <w:rFonts w:hint="eastAsia"/>
          <w:i/>
        </w:rPr>
        <w:t>priorit</w:t>
      </w:r>
      <w:r w:rsidRPr="004D0DAA">
        <w:rPr>
          <w:i/>
        </w:rPr>
        <w:t xml:space="preserve">y parameters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612B63FD" w14:textId="77777777" w:rsidTr="00AA2A4C">
        <w:tblPrEx>
          <w:tblCellMar>
            <w:top w:w="0" w:type="dxa"/>
            <w:bottom w:w="0" w:type="dxa"/>
          </w:tblCellMar>
        </w:tblPrEx>
        <w:trPr>
          <w:cantSplit/>
          <w:jc w:val="center"/>
        </w:trPr>
        <w:tc>
          <w:tcPr>
            <w:tcW w:w="9463" w:type="dxa"/>
            <w:tcMar>
              <w:top w:w="57" w:type="dxa"/>
            </w:tcMar>
            <w:vAlign w:val="center"/>
          </w:tcPr>
          <w:p w14:paraId="2FBC2D87" w14:textId="77777777" w:rsidR="00711444" w:rsidRPr="004D0DAA" w:rsidRDefault="00711444" w:rsidP="00AA2A4C">
            <w:r w:rsidRPr="004D0DAA">
              <w:rPr>
                <w:b/>
                <w:lang w:eastAsia="zh-CN"/>
              </w:rPr>
              <w:t>DEFAULT_</w:t>
            </w:r>
            <w:r w:rsidRPr="004D0DAA">
              <w:rPr>
                <w:b/>
              </w:rPr>
              <w:t xml:space="preserve">UTRAN_PRIORITY </w:t>
            </w:r>
            <w:r w:rsidRPr="004D0DAA">
              <w:t>(3 bit field)</w:t>
            </w:r>
            <w:r w:rsidRPr="004D0DAA">
              <w:br/>
            </w:r>
            <w:r w:rsidRPr="004D0DAA">
              <w:rPr>
                <w:b/>
                <w:lang w:eastAsia="zh-CN"/>
              </w:rPr>
              <w:t>DEFAULT_</w:t>
            </w:r>
            <w:r w:rsidRPr="004D0DAA">
              <w:rPr>
                <w:b/>
              </w:rPr>
              <w:t xml:space="preserve">THRESH_UTRAN </w:t>
            </w:r>
            <w:r w:rsidRPr="004D0DAA">
              <w:t>(5 bit field)</w:t>
            </w:r>
            <w:r w:rsidRPr="004D0DAA">
              <w:br/>
            </w:r>
            <w:r w:rsidRPr="004D0DAA">
              <w:rPr>
                <w:b/>
              </w:rPr>
              <w:t>DEFAULT_UTRAN_QRXLEVMIN</w:t>
            </w:r>
            <w:r w:rsidRPr="004D0DAA">
              <w:t xml:space="preserve"> (5 bit field)</w:t>
            </w:r>
            <w:r w:rsidRPr="004D0DAA">
              <w:br/>
              <w:t xml:space="preserve">These fields </w:t>
            </w:r>
            <w:r w:rsidRPr="004D0DAA">
              <w:rPr>
                <w:lang w:eastAsia="zh-CN"/>
              </w:rPr>
              <w:t xml:space="preserve">are used for the </w:t>
            </w:r>
            <w:r w:rsidRPr="004D0DAA">
              <w:t>inter-RAT cell re-selection algorithm based on priority</w:t>
            </w:r>
            <w:r w:rsidRPr="004D0DAA">
              <w:rPr>
                <w:lang w:eastAsia="zh-CN"/>
              </w:rPr>
              <w:t xml:space="preserve">, as defined in 3GPP TS 45.008. </w:t>
            </w:r>
            <w:r w:rsidRPr="004D0DAA">
              <w:t>Any UTRAN frequency added or modified in the Packet Measurement Order message (full set of instances) and not explicitly listed in the Repeated UTRAN Priority Parameters structure shall be assigned these default parameter values. The value of DEFAULT_THRESH_UTRAN shall apply to both THRESH_UTRAN_high and THRESH_UTRAN_low.</w:t>
            </w:r>
          </w:p>
        </w:tc>
      </w:tr>
      <w:tr w:rsidR="00711444" w:rsidRPr="004D0DAA" w14:paraId="2853C52C" w14:textId="77777777" w:rsidTr="00AA2A4C">
        <w:tblPrEx>
          <w:tblCellMar>
            <w:top w:w="0" w:type="dxa"/>
            <w:bottom w:w="0" w:type="dxa"/>
          </w:tblCellMar>
        </w:tblPrEx>
        <w:trPr>
          <w:cantSplit/>
          <w:jc w:val="center"/>
        </w:trPr>
        <w:tc>
          <w:tcPr>
            <w:tcW w:w="9463" w:type="dxa"/>
            <w:tcMar>
              <w:top w:w="57" w:type="dxa"/>
            </w:tcMar>
            <w:vAlign w:val="center"/>
          </w:tcPr>
          <w:p w14:paraId="58A7D9D8" w14:textId="77777777" w:rsidR="00711444" w:rsidRPr="004D0DAA" w:rsidRDefault="00711444" w:rsidP="00AA2A4C">
            <w:pPr>
              <w:spacing w:after="60"/>
              <w:rPr>
                <w:b/>
                <w:lang w:eastAsia="zh-CN"/>
              </w:rPr>
            </w:pPr>
            <w:r w:rsidRPr="004D0DAA">
              <w:rPr>
                <w:b/>
                <w:lang w:eastAsia="zh-CN"/>
              </w:rPr>
              <w:t>Repeated UTRAN Priority Parameters</w:t>
            </w:r>
          </w:p>
          <w:p w14:paraId="3A5D13C1" w14:textId="77777777" w:rsidR="00711444" w:rsidRPr="004D0DAA" w:rsidRDefault="00711444" w:rsidP="00AA2A4C">
            <w:r w:rsidRPr="004D0DAA">
              <w:rPr>
                <w:b/>
              </w:rPr>
              <w:t>UTRAN_FREQUENCY_INDEX</w:t>
            </w:r>
            <w:r w:rsidRPr="004D0DAA">
              <w:t xml:space="preserve"> (5 bit field)</w:t>
            </w:r>
            <w:r w:rsidRPr="004D0DAA">
              <w:br/>
              <w:t>This field is an index into the 3G Frequency list (see sub-clause 5.6.3.7b).</w:t>
            </w:r>
          </w:p>
          <w:p w14:paraId="1FCB9640" w14:textId="77777777" w:rsidR="00711444" w:rsidRPr="004D0DAA" w:rsidRDefault="00711444" w:rsidP="00AA2A4C">
            <w:r w:rsidRPr="004D0DAA">
              <w:rPr>
                <w:b/>
              </w:rPr>
              <w:t xml:space="preserve">UTRAN_PRIORITY </w:t>
            </w:r>
            <w:r w:rsidRPr="004D0DAA">
              <w:t>(3 bit field)</w:t>
            </w:r>
            <w:r w:rsidRPr="004D0DAA">
              <w:br/>
            </w:r>
            <w:r w:rsidRPr="004D0DAA">
              <w:rPr>
                <w:b/>
              </w:rPr>
              <w:t xml:space="preserve">THRESH_UTRAN_high </w:t>
            </w:r>
            <w:r w:rsidRPr="004D0DAA">
              <w:t>(5 bit field)</w:t>
            </w:r>
            <w:r w:rsidRPr="004D0DAA">
              <w:br/>
            </w:r>
            <w:r w:rsidRPr="004D0DAA">
              <w:rPr>
                <w:b/>
              </w:rPr>
              <w:t xml:space="preserve">THRESH_UTRAN_low </w:t>
            </w:r>
            <w:r w:rsidRPr="004D0DAA">
              <w:t>(5 bit field)</w:t>
            </w:r>
            <w:r w:rsidRPr="004D0DAA">
              <w:br/>
            </w:r>
            <w:r w:rsidRPr="004D0DAA">
              <w:rPr>
                <w:b/>
              </w:rPr>
              <w:t>UTRAN_QRXLEVMIN</w:t>
            </w:r>
            <w:r w:rsidRPr="004D0DAA">
              <w:t xml:space="preserve"> (5 bit field)</w:t>
            </w:r>
          </w:p>
          <w:p w14:paraId="604FE57F" w14:textId="77777777" w:rsidR="00711444" w:rsidRPr="004D0DAA" w:rsidRDefault="00711444" w:rsidP="00AA2A4C">
            <w:pPr>
              <w:rPr>
                <w:lang w:eastAsia="zh-CN"/>
              </w:rPr>
            </w:pPr>
            <w:r w:rsidRPr="004D0DAA">
              <w:t xml:space="preserve">These fields </w:t>
            </w:r>
            <w:r w:rsidRPr="004D0DAA">
              <w:rPr>
                <w:lang w:eastAsia="zh-CN"/>
              </w:rPr>
              <w:t xml:space="preserve">are used for the </w:t>
            </w:r>
            <w:r w:rsidRPr="004D0DAA">
              <w:t>inter-RAT cell re-selection algorithm based on priority</w:t>
            </w:r>
            <w:r w:rsidRPr="004D0DAA">
              <w:rPr>
                <w:lang w:eastAsia="zh-CN"/>
              </w:rPr>
              <w:t>, as defined in 3GPP TS 45.008.</w:t>
            </w:r>
            <w:r w:rsidRPr="004D0DAA">
              <w:rPr>
                <w:rFonts w:hint="eastAsia"/>
                <w:lang w:eastAsia="zh-CN"/>
              </w:rPr>
              <w:t xml:space="preserve"> </w:t>
            </w:r>
            <w:r w:rsidRPr="004D0DAA">
              <w:t>These parameters apply to each UTRAN frequency indexed within the structure.</w:t>
            </w:r>
          </w:p>
          <w:p w14:paraId="74242794" w14:textId="77777777" w:rsidR="00711444" w:rsidRPr="004D0DAA" w:rsidRDefault="00711444" w:rsidP="00AA2A4C">
            <w:r w:rsidRPr="004D0DAA">
              <w:t>If THRESH_UTRAN_low is not present, then THRESH_UTRAN_low shall take on the same value as THRESH_UTRAN_high.</w:t>
            </w:r>
          </w:p>
          <w:p w14:paraId="2A0F4EEE" w14:textId="77777777" w:rsidR="00711444" w:rsidRPr="004D0DAA" w:rsidRDefault="00711444" w:rsidP="00AA2A4C">
            <w:pPr>
              <w:spacing w:after="60"/>
              <w:rPr>
                <w:b/>
              </w:rPr>
            </w:pPr>
            <w:r w:rsidRPr="004D0DAA">
              <w:rPr>
                <w:lang w:eastAsia="zh-CN"/>
              </w:rPr>
              <w:t>Any parameter present overwrites any old data held by the mobile station for these parameters.</w:t>
            </w:r>
          </w:p>
        </w:tc>
      </w:tr>
    </w:tbl>
    <w:p w14:paraId="30BFF21E" w14:textId="77777777" w:rsidR="00711444" w:rsidRPr="004D0DAA" w:rsidRDefault="00711444" w:rsidP="00711444"/>
    <w:p w14:paraId="4EB8272A" w14:textId="77777777" w:rsidR="00711444" w:rsidRPr="004D0DAA" w:rsidRDefault="00711444" w:rsidP="00711444">
      <w:pPr>
        <w:pStyle w:val="Heading2"/>
        <w:tabs>
          <w:tab w:val="left" w:pos="10170"/>
        </w:tabs>
        <w:rPr>
          <w:rFonts w:hint="eastAsia"/>
        </w:rPr>
      </w:pPr>
      <w:bookmarkStart w:id="847" w:name="_Toc516670023"/>
      <w:r w:rsidRPr="004D0DAA">
        <w:lastRenderedPageBreak/>
        <w:t>12.53</w:t>
      </w:r>
      <w:r w:rsidRPr="004D0DAA">
        <w:tab/>
        <w:t>E-UTRAN Parameters</w:t>
      </w:r>
      <w:bookmarkEnd w:id="847"/>
    </w:p>
    <w:p w14:paraId="09C34DED" w14:textId="77777777" w:rsidR="00711444" w:rsidRPr="004D0DAA" w:rsidRDefault="00711444" w:rsidP="00711444">
      <w:pPr>
        <w:rPr>
          <w:lang w:eastAsia="zh-CN"/>
        </w:rPr>
      </w:pPr>
      <w:r w:rsidRPr="004D0DAA">
        <w:t>T</w:t>
      </w:r>
      <w:r w:rsidRPr="004D0DAA">
        <w:rPr>
          <w:rFonts w:hint="eastAsia"/>
        </w:rPr>
        <w:t xml:space="preserve">his information element </w:t>
      </w:r>
      <w:r w:rsidRPr="004D0DAA">
        <w:rPr>
          <w:rFonts w:hint="eastAsia"/>
          <w:lang w:eastAsia="zh-CN"/>
        </w:rPr>
        <w:t xml:space="preserve">is sent to provide </w:t>
      </w:r>
      <w:r w:rsidRPr="004D0DAA">
        <w:rPr>
          <w:lang w:eastAsia="zh-CN"/>
        </w:rPr>
        <w:t>information about E-UTRAN frequencies and priority information about neighbouring E-UTRAN cells.</w:t>
      </w:r>
    </w:p>
    <w:p w14:paraId="24914482" w14:textId="77777777" w:rsidR="00711444" w:rsidRPr="004D0DAA" w:rsidRDefault="00711444" w:rsidP="00711444">
      <w:pPr>
        <w:pStyle w:val="TH"/>
      </w:pPr>
      <w:r w:rsidRPr="004D0DAA">
        <w:t>Table </w:t>
      </w:r>
      <w:r w:rsidRPr="004D0DAA">
        <w:rPr>
          <w:rFonts w:hint="eastAsia"/>
          <w:lang w:eastAsia="zh-CN"/>
        </w:rPr>
        <w:t>12.53.1</w:t>
      </w:r>
      <w:r w:rsidRPr="004D0DAA">
        <w:t>:</w:t>
      </w:r>
      <w:r w:rsidRPr="004D0DAA">
        <w:rPr>
          <w:rFonts w:hint="eastAsia"/>
          <w:i/>
        </w:rPr>
        <w:t xml:space="preserve"> </w:t>
      </w:r>
      <w:r w:rsidRPr="004D0DAA">
        <w:rPr>
          <w:i/>
        </w:rPr>
        <w:t xml:space="preserve">E-UTRAN parameters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09E72E20" w14:textId="77777777" w:rsidTr="00AA2A4C">
        <w:tblPrEx>
          <w:tblCellMar>
            <w:top w:w="0" w:type="dxa"/>
            <w:bottom w:w="0" w:type="dxa"/>
          </w:tblCellMar>
        </w:tblPrEx>
        <w:trPr>
          <w:cantSplit/>
          <w:jc w:val="center"/>
        </w:trPr>
        <w:tc>
          <w:tcPr>
            <w:tcW w:w="9463" w:type="dxa"/>
            <w:tcMar>
              <w:top w:w="57" w:type="dxa"/>
            </w:tcMar>
          </w:tcPr>
          <w:p w14:paraId="73FDE6AC" w14:textId="77777777" w:rsidR="00711444" w:rsidRPr="004D0DAA" w:rsidRDefault="00711444" w:rsidP="00AA2A4C">
            <w:pPr>
              <w:pStyle w:val="TAL"/>
              <w:rPr>
                <w:lang w:eastAsia="en-US"/>
              </w:rPr>
            </w:pPr>
            <w:r w:rsidRPr="004D0DAA">
              <w:rPr>
                <w:lang w:eastAsia="en-US"/>
              </w:rPr>
              <w:t xml:space="preserve">&lt; E-UTRAN Parameters IE &gt; ::= </w:t>
            </w:r>
          </w:p>
          <w:p w14:paraId="6E873E3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E-UTRAN_CCN_ACTIVE</w:t>
            </w:r>
            <w:r w:rsidRPr="004D0DAA">
              <w:rPr>
                <w:lang w:eastAsia="en-US"/>
              </w:rPr>
              <w:t xml:space="preserve"> : bit &gt;</w:t>
            </w:r>
          </w:p>
          <w:p w14:paraId="556A5C7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GPRS E-UTRAN Measurement Parameters</w:t>
            </w:r>
            <w:r w:rsidRPr="004D0DAA">
              <w:rPr>
                <w:lang w:eastAsia="en-US"/>
              </w:rPr>
              <w:t xml:space="preserve"> :</w:t>
            </w:r>
          </w:p>
          <w:p w14:paraId="6C6AC3CE" w14:textId="77777777" w:rsidR="00711444" w:rsidRPr="004D0DAA" w:rsidRDefault="00711444" w:rsidP="00AA2A4C">
            <w:pPr>
              <w:pStyle w:val="TAL"/>
              <w:rPr>
                <w:rFonts w:hint="eastAsia"/>
                <w:lang w:eastAsia="ko-KR"/>
              </w:rPr>
            </w:pPr>
            <w:r w:rsidRPr="004D0DAA">
              <w:rPr>
                <w:lang w:eastAsia="en-US"/>
              </w:rPr>
              <w:tab/>
            </w:r>
            <w:r w:rsidRPr="004D0DAA">
              <w:rPr>
                <w:lang w:eastAsia="en-US"/>
              </w:rPr>
              <w:tab/>
            </w:r>
            <w:r w:rsidRPr="004D0DAA">
              <w:rPr>
                <w:lang w:eastAsia="en-US"/>
              </w:rPr>
              <w:tab/>
              <w:t>&lt; GPRS E-UTRAN Measurement Parameters struct &gt;&gt; }</w:t>
            </w:r>
          </w:p>
          <w:p w14:paraId="56E6AFF8" w14:textId="77777777" w:rsidR="00711444" w:rsidRPr="004D0DAA" w:rsidRDefault="00711444" w:rsidP="00AA2A4C">
            <w:pPr>
              <w:pStyle w:val="TAL"/>
              <w:rPr>
                <w:rFonts w:hint="eastAsia"/>
                <w:lang w:eastAsia="ko-KR"/>
              </w:rPr>
            </w:pPr>
            <w:r w:rsidRPr="004D0DAA">
              <w:rPr>
                <w:lang w:eastAsia="en-US"/>
              </w:rPr>
              <w:tab/>
              <w:t xml:space="preserve">{ 1 &lt; </w:t>
            </w:r>
            <w:r w:rsidRPr="004D0DAA">
              <w:rPr>
                <w:b/>
                <w:lang w:eastAsia="en-US"/>
              </w:rPr>
              <w:t>Repeated E-UTRAN Neighbour Cells</w:t>
            </w:r>
            <w:r w:rsidRPr="004D0DAA">
              <w:rPr>
                <w:lang w:eastAsia="en-US"/>
              </w:rPr>
              <w:t xml:space="preserve"> : &lt; Repeated E-UTRAN Neighbour Cells struct &gt;&gt; } ** 0</w:t>
            </w:r>
          </w:p>
          <w:p w14:paraId="6AF999ED" w14:textId="77777777" w:rsidR="00711444" w:rsidRPr="004D0DAA" w:rsidRDefault="00711444" w:rsidP="00AA2A4C">
            <w:pPr>
              <w:pStyle w:val="TAL"/>
              <w:rPr>
                <w:rFonts w:hint="eastAsia"/>
                <w:lang w:eastAsia="ko-KR"/>
              </w:rPr>
            </w:pPr>
            <w:r w:rsidRPr="004D0DAA">
              <w:rPr>
                <w:lang w:eastAsia="en-US"/>
              </w:rPr>
              <w:tab/>
              <w:t>{ 1 &lt;</w:t>
            </w:r>
            <w:r w:rsidRPr="004D0DAA">
              <w:rPr>
                <w:rFonts w:hint="eastAsia"/>
                <w:lang w:eastAsia="ko-KR"/>
              </w:rPr>
              <w:t xml:space="preserve"> </w:t>
            </w:r>
            <w:r w:rsidRPr="004D0DAA">
              <w:rPr>
                <w:b/>
                <w:lang w:eastAsia="en-US"/>
              </w:rPr>
              <w:t xml:space="preserve">Repeated </w:t>
            </w:r>
            <w:r w:rsidRPr="004D0DAA">
              <w:rPr>
                <w:rFonts w:hint="eastAsia"/>
                <w:b/>
                <w:lang w:eastAsia="ko-KR"/>
              </w:rPr>
              <w:t>E-UTRAN Not Allowed Cells</w:t>
            </w:r>
            <w:r w:rsidRPr="004D0DAA">
              <w:rPr>
                <w:rFonts w:hint="eastAsia"/>
                <w:lang w:eastAsia="ko-KR"/>
              </w:rPr>
              <w:t xml:space="preserve"> : &lt; </w:t>
            </w:r>
            <w:r w:rsidRPr="004D0DAA">
              <w:rPr>
                <w:lang w:eastAsia="en-US"/>
              </w:rPr>
              <w:t xml:space="preserve">Repeated </w:t>
            </w:r>
            <w:r w:rsidRPr="004D0DAA">
              <w:rPr>
                <w:rFonts w:hint="eastAsia"/>
                <w:lang w:eastAsia="ko-KR"/>
              </w:rPr>
              <w:t>E-UTRAN Not Allowed Cells struct &gt;&gt; } ** 0</w:t>
            </w:r>
          </w:p>
          <w:p w14:paraId="04931B54" w14:textId="77777777" w:rsidR="00711444" w:rsidRPr="004D0DAA" w:rsidRDefault="00711444" w:rsidP="00AA2A4C">
            <w:pPr>
              <w:pStyle w:val="TAL"/>
              <w:rPr>
                <w:lang w:eastAsia="en-US"/>
              </w:rPr>
            </w:pPr>
            <w:r w:rsidRPr="004D0DAA">
              <w:rPr>
                <w:lang w:eastAsia="en-US"/>
              </w:rPr>
              <w:tab/>
              <w:t>{ 1 &lt;</w:t>
            </w:r>
            <w:r w:rsidRPr="004D0DAA">
              <w:rPr>
                <w:rFonts w:hint="eastAsia"/>
                <w:lang w:eastAsia="ko-KR"/>
              </w:rPr>
              <w:t xml:space="preserve"> </w:t>
            </w:r>
            <w:r w:rsidRPr="004D0DAA">
              <w:rPr>
                <w:b/>
                <w:lang w:eastAsia="en-US"/>
              </w:rPr>
              <w:t xml:space="preserve">Repeated </w:t>
            </w:r>
            <w:r w:rsidRPr="004D0DAA">
              <w:rPr>
                <w:rFonts w:hint="eastAsia"/>
                <w:b/>
                <w:lang w:eastAsia="ko-KR"/>
              </w:rPr>
              <w:t xml:space="preserve">E-UTRAN </w:t>
            </w:r>
            <w:r w:rsidRPr="004D0DAA">
              <w:rPr>
                <w:b/>
                <w:lang w:eastAsia="ko-KR"/>
              </w:rPr>
              <w:t>PCID to TA mapping</w:t>
            </w:r>
            <w:r w:rsidRPr="004D0DAA">
              <w:rPr>
                <w:rFonts w:hint="eastAsia"/>
                <w:lang w:eastAsia="ko-KR"/>
              </w:rPr>
              <w:t xml:space="preserve"> : &lt; </w:t>
            </w:r>
            <w:r w:rsidRPr="004D0DAA">
              <w:rPr>
                <w:lang w:eastAsia="en-US"/>
              </w:rPr>
              <w:t xml:space="preserve">Repeated </w:t>
            </w:r>
            <w:r w:rsidRPr="004D0DAA">
              <w:rPr>
                <w:rFonts w:hint="eastAsia"/>
                <w:lang w:eastAsia="ko-KR"/>
              </w:rPr>
              <w:t xml:space="preserve">E-UTRAN </w:t>
            </w:r>
            <w:r w:rsidRPr="004D0DAA">
              <w:rPr>
                <w:lang w:eastAsia="ko-KR"/>
              </w:rPr>
              <w:t>PCID to TA mapping</w:t>
            </w:r>
            <w:r w:rsidRPr="004D0DAA">
              <w:rPr>
                <w:rFonts w:hint="eastAsia"/>
                <w:lang w:eastAsia="ko-KR"/>
              </w:rPr>
              <w:t xml:space="preserve"> struct &gt;&gt; } ** 0</w:t>
            </w:r>
            <w:r w:rsidRPr="004D0DAA">
              <w:rPr>
                <w:lang w:eastAsia="ko-KR"/>
              </w:rPr>
              <w:t xml:space="preserve"> ;</w:t>
            </w:r>
          </w:p>
          <w:p w14:paraId="1A8C0D4E" w14:textId="77777777" w:rsidR="00711444" w:rsidRPr="004D0DAA" w:rsidRDefault="00711444" w:rsidP="00AA2A4C">
            <w:pPr>
              <w:pStyle w:val="TAL"/>
              <w:rPr>
                <w:lang w:eastAsia="zh-CN"/>
              </w:rPr>
            </w:pPr>
          </w:p>
        </w:tc>
      </w:tr>
      <w:tr w:rsidR="00711444" w:rsidRPr="004D0DAA" w14:paraId="7DCFA357" w14:textId="77777777" w:rsidTr="00AA2A4C">
        <w:tblPrEx>
          <w:tblCellMar>
            <w:top w:w="0" w:type="dxa"/>
            <w:bottom w:w="0" w:type="dxa"/>
          </w:tblCellMar>
        </w:tblPrEx>
        <w:trPr>
          <w:cantSplit/>
          <w:jc w:val="center"/>
        </w:trPr>
        <w:tc>
          <w:tcPr>
            <w:tcW w:w="9463" w:type="dxa"/>
            <w:tcMar>
              <w:top w:w="57" w:type="dxa"/>
            </w:tcMar>
          </w:tcPr>
          <w:p w14:paraId="04E12B5D" w14:textId="77777777" w:rsidR="00711444" w:rsidRPr="004D0DAA" w:rsidRDefault="00711444" w:rsidP="00AA2A4C">
            <w:pPr>
              <w:keepNext/>
              <w:keepLines/>
              <w:spacing w:after="0"/>
              <w:rPr>
                <w:rFonts w:ascii="Arial" w:hAnsi="Arial"/>
                <w:sz w:val="18"/>
              </w:rPr>
            </w:pPr>
            <w:r w:rsidRPr="004D0DAA">
              <w:rPr>
                <w:rFonts w:ascii="Arial" w:hAnsi="Arial"/>
                <w:sz w:val="18"/>
              </w:rPr>
              <w:t>&lt; GPRS E-UTRAN Measurement Parameters struct &gt; ::=</w:t>
            </w:r>
          </w:p>
          <w:p w14:paraId="4D4948EE"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Qsearch_P_E-UTRAN</w:t>
            </w:r>
            <w:r w:rsidRPr="004D0DAA">
              <w:rPr>
                <w:rFonts w:ascii="Arial" w:hAnsi="Arial"/>
                <w:sz w:val="18"/>
              </w:rPr>
              <w:t xml:space="preserve"> : bit(</w:t>
            </w:r>
            <w:r w:rsidRPr="004D0DAA">
              <w:rPr>
                <w:rFonts w:ascii="Arial" w:hAnsi="Arial" w:hint="eastAsia"/>
                <w:sz w:val="18"/>
                <w:lang w:eastAsia="zh-CN"/>
              </w:rPr>
              <w:t>4</w:t>
            </w:r>
            <w:r w:rsidRPr="004D0DAA">
              <w:rPr>
                <w:rFonts w:ascii="Arial" w:hAnsi="Arial"/>
                <w:sz w:val="18"/>
              </w:rPr>
              <w:t>) &gt;</w:t>
            </w:r>
          </w:p>
          <w:p w14:paraId="0F7FAA81"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sz w:val="18"/>
              </w:rPr>
              <w:t>E-UTRAN_REP_QUANT</w:t>
            </w:r>
            <w:r w:rsidRPr="004D0DAA">
              <w:rPr>
                <w:rFonts w:ascii="Arial" w:hAnsi="Arial"/>
                <w:sz w:val="18"/>
              </w:rPr>
              <w:t xml:space="preserve"> : bit &gt;</w:t>
            </w:r>
          </w:p>
          <w:p w14:paraId="2FBCDAC0" w14:textId="77777777" w:rsidR="00711444" w:rsidRPr="004D0DAA" w:rsidRDefault="00711444" w:rsidP="00AA2A4C">
            <w:pPr>
              <w:keepNext/>
              <w:keepLines/>
              <w:spacing w:after="0"/>
              <w:rPr>
                <w:rFonts w:ascii="Arial" w:hAnsi="Arial" w:hint="eastAsia"/>
                <w:sz w:val="18"/>
                <w:lang w:eastAsia="ko-KR"/>
              </w:rPr>
            </w:pPr>
            <w:r w:rsidRPr="004D0DAA">
              <w:rPr>
                <w:rFonts w:ascii="Arial" w:hAnsi="Arial"/>
                <w:sz w:val="18"/>
              </w:rPr>
              <w:tab/>
              <w:t xml:space="preserve">&lt; </w:t>
            </w:r>
            <w:r w:rsidRPr="004D0DAA">
              <w:rPr>
                <w:rFonts w:ascii="Arial" w:hAnsi="Arial"/>
                <w:b/>
                <w:sz w:val="18"/>
              </w:rPr>
              <w:t>E-UTRAN_MULTIRAT_REPORTING</w:t>
            </w:r>
            <w:r w:rsidRPr="004D0DAA">
              <w:rPr>
                <w:rFonts w:ascii="Arial" w:hAnsi="Arial"/>
                <w:sz w:val="18"/>
              </w:rPr>
              <w:t xml:space="preserve"> : bit(2) &gt;</w:t>
            </w:r>
          </w:p>
          <w:p w14:paraId="7B20C0F4"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E-UTRAN_FDD_REPORTING_THRESHOLD</w:t>
            </w:r>
            <w:r w:rsidRPr="004D0DAA">
              <w:rPr>
                <w:rFonts w:ascii="Arial" w:hAnsi="Arial"/>
                <w:sz w:val="18"/>
              </w:rPr>
              <w:t xml:space="preserve"> : bit(3) &gt;</w:t>
            </w:r>
          </w:p>
          <w:p w14:paraId="32973C3D" w14:textId="77777777" w:rsidR="00711444" w:rsidRPr="004D0DAA" w:rsidRDefault="00711444" w:rsidP="00AA2A4C">
            <w:pPr>
              <w:keepNext/>
              <w:keepLines/>
              <w:spacing w:after="0"/>
              <w:rPr>
                <w:rFonts w:ascii="Arial" w:hAnsi="Arial" w:hint="eastAsia"/>
                <w:sz w:val="18"/>
                <w:lang w:eastAsia="ko-KR"/>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E-UTRAN_FDD_REPORTING_THRESHOLD_2</w:t>
            </w:r>
            <w:r w:rsidRPr="004D0DAA">
              <w:rPr>
                <w:rFonts w:ascii="Arial" w:hAnsi="Arial"/>
                <w:sz w:val="18"/>
              </w:rPr>
              <w:t xml:space="preserve"> : bit(6) &gt; }</w:t>
            </w:r>
          </w:p>
          <w:p w14:paraId="6EEEC3B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E-UTRAN_FDD_REPORTING_</w:t>
            </w:r>
            <w:r w:rsidRPr="004D0DAA">
              <w:rPr>
                <w:rFonts w:ascii="Arial" w:hAnsi="Arial" w:hint="eastAsia"/>
                <w:b/>
                <w:sz w:val="18"/>
              </w:rPr>
              <w:t>OFFSET</w:t>
            </w:r>
            <w:r w:rsidRPr="004D0DAA">
              <w:rPr>
                <w:rFonts w:ascii="Arial" w:hAnsi="Arial"/>
                <w:sz w:val="18"/>
              </w:rPr>
              <w:t xml:space="preserve"> : bit(</w:t>
            </w:r>
            <w:r w:rsidRPr="004D0DAA">
              <w:rPr>
                <w:rFonts w:ascii="Arial" w:hAnsi="Arial" w:hint="eastAsia"/>
                <w:sz w:val="18"/>
              </w:rPr>
              <w:t>3</w:t>
            </w:r>
            <w:r w:rsidRPr="004D0DAA">
              <w:rPr>
                <w:rFonts w:ascii="Arial" w:hAnsi="Arial"/>
                <w:sz w:val="18"/>
              </w:rPr>
              <w:t>) &gt; } }</w:t>
            </w:r>
          </w:p>
          <w:p w14:paraId="58D6BE89"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E-UTRAN_TDD_REPORTING_THRESHOLD</w:t>
            </w:r>
            <w:r w:rsidRPr="004D0DAA">
              <w:rPr>
                <w:rFonts w:ascii="Arial" w:hAnsi="Arial"/>
                <w:sz w:val="18"/>
              </w:rPr>
              <w:t xml:space="preserve"> : bit(3) &gt; </w:t>
            </w:r>
          </w:p>
          <w:p w14:paraId="41586835" w14:textId="77777777" w:rsidR="00711444" w:rsidRPr="004D0DAA" w:rsidRDefault="00711444" w:rsidP="00AA2A4C">
            <w:pPr>
              <w:keepNext/>
              <w:keepLines/>
              <w:spacing w:after="0"/>
              <w:rPr>
                <w:rFonts w:ascii="Arial" w:hAnsi="Arial" w:hint="eastAsia"/>
                <w:sz w:val="18"/>
                <w:lang w:eastAsia="ko-KR"/>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E-UTRAN_TDD_REPORTING_THRESHOLD_2</w:t>
            </w:r>
            <w:r w:rsidRPr="004D0DAA">
              <w:rPr>
                <w:rFonts w:ascii="Arial" w:hAnsi="Arial"/>
                <w:sz w:val="18"/>
              </w:rPr>
              <w:t xml:space="preserve"> : bit(6) &gt; }</w:t>
            </w:r>
          </w:p>
          <w:p w14:paraId="77A29C4E"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 | 1</w:t>
            </w:r>
            <w:r w:rsidRPr="004D0DAA">
              <w:rPr>
                <w:rFonts w:ascii="Arial" w:hAnsi="Arial"/>
                <w:sz w:val="18"/>
              </w:rPr>
              <w:tab/>
              <w:t xml:space="preserve">&lt; </w:t>
            </w:r>
            <w:r w:rsidRPr="004D0DAA">
              <w:rPr>
                <w:rFonts w:ascii="Arial" w:hAnsi="Arial"/>
                <w:b/>
                <w:sz w:val="18"/>
              </w:rPr>
              <w:t>E-UTRAN_TDD_REPORTING_OFFSET</w:t>
            </w:r>
            <w:r w:rsidRPr="004D0DAA">
              <w:rPr>
                <w:rFonts w:ascii="Arial" w:hAnsi="Arial"/>
                <w:sz w:val="18"/>
              </w:rPr>
              <w:t xml:space="preserve"> : bit(3) &gt; } } ;</w:t>
            </w:r>
          </w:p>
          <w:p w14:paraId="3453617C" w14:textId="77777777" w:rsidR="00711444" w:rsidRPr="004D0DAA" w:rsidRDefault="00711444" w:rsidP="00AA2A4C">
            <w:pPr>
              <w:pStyle w:val="TAL"/>
              <w:rPr>
                <w:lang w:eastAsia="zh-CN"/>
              </w:rPr>
            </w:pPr>
          </w:p>
        </w:tc>
      </w:tr>
      <w:tr w:rsidR="00711444" w:rsidRPr="004D0DAA" w14:paraId="20BE3F7C" w14:textId="77777777" w:rsidTr="00AA2A4C">
        <w:tblPrEx>
          <w:tblCellMar>
            <w:top w:w="0" w:type="dxa"/>
            <w:bottom w:w="0" w:type="dxa"/>
          </w:tblCellMar>
        </w:tblPrEx>
        <w:trPr>
          <w:cantSplit/>
          <w:jc w:val="center"/>
        </w:trPr>
        <w:tc>
          <w:tcPr>
            <w:tcW w:w="9463" w:type="dxa"/>
            <w:tcMar>
              <w:top w:w="57" w:type="dxa"/>
            </w:tcMar>
          </w:tcPr>
          <w:p w14:paraId="21BA43E2" w14:textId="77777777" w:rsidR="00711444" w:rsidRPr="004D0DAA" w:rsidRDefault="00711444" w:rsidP="00AA2A4C">
            <w:pPr>
              <w:pStyle w:val="TAL"/>
              <w:rPr>
                <w:lang w:eastAsia="en-US"/>
              </w:rPr>
            </w:pPr>
            <w:r w:rsidRPr="004D0DAA">
              <w:rPr>
                <w:lang w:eastAsia="en-US"/>
              </w:rPr>
              <w:t>&lt; Repeated E-UTRAN Neighbour Cells struct &gt; ::=</w:t>
            </w:r>
            <w:r w:rsidRPr="004D0DAA">
              <w:rPr>
                <w:lang w:eastAsia="en-US"/>
              </w:rPr>
              <w:br/>
            </w:r>
            <w:r w:rsidRPr="004D0DAA">
              <w:rPr>
                <w:lang w:eastAsia="en-US"/>
              </w:rPr>
              <w:tab/>
              <w:t xml:space="preserve">{ 1 &lt; </w:t>
            </w:r>
            <w:r w:rsidRPr="004D0DAA">
              <w:rPr>
                <w:b/>
                <w:lang w:eastAsia="en-US"/>
              </w:rPr>
              <w:t>EARFCN</w:t>
            </w:r>
            <w:r w:rsidRPr="004D0DAA">
              <w:rPr>
                <w:lang w:eastAsia="en-US"/>
              </w:rPr>
              <w:t xml:space="preserve"> : bit (16) &gt;</w:t>
            </w:r>
          </w:p>
          <w:p w14:paraId="01CAF193"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Measurement Bandwidth</w:t>
            </w:r>
            <w:r w:rsidRPr="004D0DAA">
              <w:rPr>
                <w:lang w:eastAsia="en-US"/>
              </w:rPr>
              <w:t xml:space="preserve"> : bit (3) &gt; } } ** 0</w:t>
            </w:r>
          </w:p>
          <w:p w14:paraId="61A237EB" w14:textId="77777777" w:rsidR="00711444" w:rsidRPr="004D0DAA" w:rsidRDefault="00711444" w:rsidP="00AA2A4C">
            <w:pPr>
              <w:pStyle w:val="TAL"/>
              <w:rPr>
                <w:lang w:eastAsia="en-US"/>
              </w:rPr>
            </w:pPr>
            <w:r w:rsidRPr="004D0DAA">
              <w:rPr>
                <w:lang w:eastAsia="en-US"/>
              </w:rPr>
              <w:tab/>
            </w:r>
            <w:r w:rsidRPr="004D0DAA">
              <w:rPr>
                <w:rFonts w:hint="eastAsia"/>
                <w:lang w:eastAsia="ja-JP"/>
              </w:rPr>
              <w:t xml:space="preserve">{ 0 | 1  </w:t>
            </w:r>
            <w:r w:rsidRPr="004D0DAA">
              <w:rPr>
                <w:lang w:eastAsia="en-US"/>
              </w:rPr>
              <w:t xml:space="preserve">&lt; </w:t>
            </w:r>
            <w:r w:rsidRPr="004D0DAA">
              <w:rPr>
                <w:b/>
                <w:lang w:eastAsia="en-US"/>
              </w:rPr>
              <w:t>E-UTRAN_PRIORITY</w:t>
            </w:r>
            <w:r w:rsidRPr="004D0DAA">
              <w:rPr>
                <w:lang w:eastAsia="en-US"/>
              </w:rPr>
              <w:t xml:space="preserve"> : bit(3) &gt;</w:t>
            </w:r>
            <w:r w:rsidRPr="004D0DAA">
              <w:rPr>
                <w:rFonts w:hint="eastAsia"/>
                <w:lang w:eastAsia="ja-JP"/>
              </w:rPr>
              <w:t xml:space="preserve"> }</w:t>
            </w:r>
          </w:p>
          <w:p w14:paraId="27480FF6" w14:textId="77777777" w:rsidR="00711444" w:rsidRPr="004D0DAA" w:rsidRDefault="00711444" w:rsidP="00AA2A4C">
            <w:pPr>
              <w:pStyle w:val="TAL"/>
              <w:rPr>
                <w:lang w:eastAsia="en-US"/>
              </w:rPr>
            </w:pPr>
            <w:r w:rsidRPr="004D0DAA">
              <w:rPr>
                <w:i/>
                <w:lang w:eastAsia="en-US"/>
              </w:rPr>
              <w:tab/>
            </w:r>
            <w:r w:rsidRPr="004D0DAA">
              <w:rPr>
                <w:lang w:eastAsia="en-US"/>
              </w:rPr>
              <w:t xml:space="preserve">&lt; </w:t>
            </w:r>
            <w:r w:rsidRPr="004D0DAA">
              <w:rPr>
                <w:b/>
                <w:lang w:eastAsia="en-US"/>
              </w:rPr>
              <w:t xml:space="preserve">THRESH_E-UTRAN_high </w:t>
            </w:r>
            <w:r w:rsidRPr="004D0DAA">
              <w:rPr>
                <w:lang w:eastAsia="en-US"/>
              </w:rPr>
              <w:t>: bit(5) &gt;</w:t>
            </w:r>
          </w:p>
          <w:p w14:paraId="129915D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THRESH_E-UTRAN_low </w:t>
            </w:r>
            <w:r w:rsidRPr="004D0DAA">
              <w:rPr>
                <w:lang w:eastAsia="en-US"/>
              </w:rPr>
              <w:t>: bit(5) &gt; }</w:t>
            </w:r>
          </w:p>
          <w:p w14:paraId="15E7281B"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 xml:space="preserve">E-UTRAN_QRXLEVMIN </w:t>
            </w:r>
            <w:r w:rsidRPr="004D0DAA">
              <w:rPr>
                <w:lang w:eastAsia="en-US"/>
              </w:rPr>
              <w:t>: bit(5) &gt; } ;</w:t>
            </w:r>
          </w:p>
          <w:p w14:paraId="5FFA4F3A" w14:textId="77777777" w:rsidR="00711444" w:rsidRPr="004D0DAA" w:rsidRDefault="00711444" w:rsidP="00AA2A4C">
            <w:pPr>
              <w:pStyle w:val="TAL"/>
              <w:rPr>
                <w:lang w:eastAsia="en-US"/>
              </w:rPr>
            </w:pPr>
          </w:p>
        </w:tc>
      </w:tr>
      <w:tr w:rsidR="00711444" w:rsidRPr="004D0DAA" w14:paraId="10B3DEC0" w14:textId="77777777" w:rsidTr="00AA2A4C">
        <w:tblPrEx>
          <w:tblCellMar>
            <w:top w:w="0" w:type="dxa"/>
            <w:bottom w:w="0" w:type="dxa"/>
          </w:tblCellMar>
        </w:tblPrEx>
        <w:trPr>
          <w:cantSplit/>
          <w:jc w:val="center"/>
        </w:trPr>
        <w:tc>
          <w:tcPr>
            <w:tcW w:w="9463" w:type="dxa"/>
            <w:tcMar>
              <w:top w:w="57" w:type="dxa"/>
            </w:tcMar>
          </w:tcPr>
          <w:p w14:paraId="3D96429A" w14:textId="77777777" w:rsidR="00711444" w:rsidRPr="004D0DAA" w:rsidRDefault="00711444" w:rsidP="00AA2A4C">
            <w:pPr>
              <w:pStyle w:val="TAL"/>
              <w:rPr>
                <w:rFonts w:hint="eastAsia"/>
                <w:lang w:eastAsia="ko-KR"/>
              </w:rPr>
            </w:pPr>
            <w:r w:rsidRPr="004D0DAA">
              <w:rPr>
                <w:rFonts w:hint="eastAsia"/>
                <w:lang w:eastAsia="ko-KR"/>
              </w:rPr>
              <w:t xml:space="preserve">&lt; </w:t>
            </w:r>
            <w:r w:rsidRPr="004D0DAA">
              <w:rPr>
                <w:lang w:eastAsia="en-US"/>
              </w:rPr>
              <w:t xml:space="preserve">Repeated </w:t>
            </w:r>
            <w:r w:rsidRPr="004D0DAA">
              <w:rPr>
                <w:rFonts w:hint="eastAsia"/>
                <w:lang w:eastAsia="ko-KR"/>
              </w:rPr>
              <w:t>E-UTRAN Not Allowed Cells struct &gt; ::=</w:t>
            </w:r>
          </w:p>
          <w:p w14:paraId="4885DD85" w14:textId="77777777" w:rsidR="00711444" w:rsidRPr="004D0DAA" w:rsidRDefault="00711444" w:rsidP="00AA2A4C">
            <w:pPr>
              <w:pStyle w:val="TAL"/>
              <w:rPr>
                <w:lang w:eastAsia="ko-KR"/>
              </w:rPr>
            </w:pPr>
            <w:r w:rsidRPr="004D0DAA">
              <w:rPr>
                <w:lang w:eastAsia="en-US"/>
              </w:rPr>
              <w:tab/>
            </w:r>
            <w:r w:rsidRPr="004D0DAA">
              <w:rPr>
                <w:rFonts w:hint="eastAsia"/>
                <w:lang w:eastAsia="ko-KR"/>
              </w:rPr>
              <w:t xml:space="preserve">&lt; </w:t>
            </w:r>
            <w:r w:rsidRPr="004D0DAA">
              <w:rPr>
                <w:b/>
                <w:lang w:eastAsia="ko-KR"/>
              </w:rPr>
              <w:t>Not Allowed Cells</w:t>
            </w:r>
            <w:r w:rsidRPr="004D0DAA">
              <w:rPr>
                <w:rFonts w:hint="eastAsia"/>
                <w:b/>
                <w:lang w:eastAsia="ko-KR"/>
              </w:rPr>
              <w:t xml:space="preserve"> </w:t>
            </w:r>
            <w:r w:rsidRPr="004D0DAA">
              <w:rPr>
                <w:rFonts w:hint="eastAsia"/>
                <w:lang w:eastAsia="ko-KR"/>
              </w:rPr>
              <w:t xml:space="preserve">: &lt; </w:t>
            </w:r>
            <w:r w:rsidRPr="004D0DAA">
              <w:rPr>
                <w:lang w:eastAsia="ko-KR"/>
              </w:rPr>
              <w:t>PCID Group IE</w:t>
            </w:r>
            <w:r w:rsidRPr="004D0DAA">
              <w:rPr>
                <w:rFonts w:hint="eastAsia"/>
                <w:lang w:eastAsia="ko-KR"/>
              </w:rPr>
              <w:t xml:space="preserve"> &gt;&gt;</w:t>
            </w:r>
          </w:p>
          <w:p w14:paraId="52900D69" w14:textId="77777777" w:rsidR="00711444" w:rsidRPr="004D0DAA" w:rsidRDefault="00711444" w:rsidP="00AA2A4C">
            <w:pPr>
              <w:pStyle w:val="TAL"/>
              <w:rPr>
                <w:lang w:eastAsia="ko-KR"/>
              </w:rPr>
            </w:pPr>
            <w:r w:rsidRPr="004D0DAA">
              <w:rPr>
                <w:lang w:eastAsia="ko-KR"/>
              </w:rPr>
              <w:tab/>
            </w:r>
            <w:r w:rsidRPr="004D0DAA">
              <w:rPr>
                <w:lang w:eastAsia="en-US"/>
              </w:rPr>
              <w:t>{</w:t>
            </w:r>
            <w:r w:rsidRPr="004D0DAA">
              <w:rPr>
                <w:rFonts w:hint="eastAsia"/>
                <w:lang w:eastAsia="ko-KR"/>
              </w:rPr>
              <w:t xml:space="preserve"> 1 &lt; </w:t>
            </w:r>
            <w:r w:rsidRPr="004D0DAA">
              <w:rPr>
                <w:rFonts w:hint="eastAsia"/>
                <w:b/>
                <w:lang w:eastAsia="ko-KR"/>
              </w:rPr>
              <w:t xml:space="preserve">E-UTRAN_FREQUENCY_INDEX </w:t>
            </w:r>
            <w:r w:rsidRPr="004D0DAA">
              <w:rPr>
                <w:rFonts w:hint="eastAsia"/>
                <w:lang w:eastAsia="ko-KR"/>
              </w:rPr>
              <w:t>: bit(3) &gt; } ** 0 ;</w:t>
            </w:r>
          </w:p>
          <w:p w14:paraId="7B5F43AB" w14:textId="77777777" w:rsidR="00711444" w:rsidRPr="004D0DAA" w:rsidRDefault="00711444" w:rsidP="00AA2A4C">
            <w:pPr>
              <w:pStyle w:val="TAL"/>
              <w:rPr>
                <w:lang w:eastAsia="en-US"/>
              </w:rPr>
            </w:pPr>
          </w:p>
        </w:tc>
      </w:tr>
      <w:tr w:rsidR="00711444" w:rsidRPr="004D0DAA" w14:paraId="058545BF" w14:textId="77777777" w:rsidTr="00AA2A4C">
        <w:tblPrEx>
          <w:tblCellMar>
            <w:top w:w="0" w:type="dxa"/>
            <w:bottom w:w="0" w:type="dxa"/>
          </w:tblCellMar>
        </w:tblPrEx>
        <w:trPr>
          <w:cantSplit/>
          <w:jc w:val="center"/>
        </w:trPr>
        <w:tc>
          <w:tcPr>
            <w:tcW w:w="9463" w:type="dxa"/>
            <w:tcMar>
              <w:top w:w="57" w:type="dxa"/>
            </w:tcMar>
          </w:tcPr>
          <w:p w14:paraId="5F752751" w14:textId="77777777" w:rsidR="00711444" w:rsidRPr="004D0DAA" w:rsidRDefault="00711444" w:rsidP="00AA2A4C">
            <w:pPr>
              <w:pStyle w:val="TAL"/>
              <w:rPr>
                <w:rFonts w:hint="eastAsia"/>
                <w:lang w:eastAsia="ko-KR"/>
              </w:rPr>
            </w:pPr>
            <w:r w:rsidRPr="004D0DAA">
              <w:rPr>
                <w:rFonts w:hint="eastAsia"/>
                <w:lang w:eastAsia="ko-KR"/>
              </w:rPr>
              <w:t xml:space="preserve">&lt; </w:t>
            </w:r>
            <w:r w:rsidRPr="004D0DAA">
              <w:rPr>
                <w:lang w:eastAsia="en-US"/>
              </w:rPr>
              <w:t xml:space="preserve">Repeated </w:t>
            </w:r>
            <w:r w:rsidRPr="004D0DAA">
              <w:rPr>
                <w:rFonts w:hint="eastAsia"/>
                <w:lang w:eastAsia="ko-KR"/>
              </w:rPr>
              <w:t xml:space="preserve">E-UTRAN </w:t>
            </w:r>
            <w:r w:rsidRPr="004D0DAA">
              <w:rPr>
                <w:lang w:eastAsia="ko-KR"/>
              </w:rPr>
              <w:t>PCID to TA mapping</w:t>
            </w:r>
            <w:r w:rsidRPr="004D0DAA">
              <w:rPr>
                <w:rFonts w:hint="eastAsia"/>
                <w:lang w:eastAsia="ko-KR"/>
              </w:rPr>
              <w:t xml:space="preserve"> struct &gt; ::=</w:t>
            </w:r>
          </w:p>
          <w:p w14:paraId="2C7237C7" w14:textId="77777777" w:rsidR="00711444" w:rsidRPr="004D0DAA" w:rsidRDefault="00711444" w:rsidP="00AA2A4C">
            <w:pPr>
              <w:pStyle w:val="TAL"/>
              <w:rPr>
                <w:szCs w:val="18"/>
                <w:lang w:eastAsia="en-US"/>
              </w:rPr>
            </w:pPr>
            <w:r w:rsidRPr="004D0DAA">
              <w:rPr>
                <w:szCs w:val="18"/>
                <w:lang w:eastAsia="en-US"/>
              </w:rPr>
              <w:tab/>
            </w:r>
            <w:r w:rsidRPr="004D0DAA">
              <w:rPr>
                <w:rFonts w:cs="Arial"/>
                <w:szCs w:val="18"/>
                <w:lang w:eastAsia="en-US"/>
              </w:rPr>
              <w:t>{ 1</w:t>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rFonts w:cs="Arial"/>
                <w:szCs w:val="18"/>
                <w:lang w:eastAsia="en-US"/>
              </w:rPr>
              <w:tab/>
            </w:r>
            <w:r w:rsidRPr="004D0DAA">
              <w:rPr>
                <w:lang w:eastAsia="en-US"/>
              </w:rPr>
              <w:t xml:space="preserve">-- </w:t>
            </w:r>
            <w:r w:rsidRPr="004D0DAA">
              <w:rPr>
                <w:rFonts w:cs="Arial"/>
                <w:szCs w:val="18"/>
                <w:lang w:eastAsia="en-US"/>
              </w:rPr>
              <w:t>each repetition corresponds to a different TA</w:t>
            </w:r>
          </w:p>
          <w:p w14:paraId="34D28F9B" w14:textId="77777777" w:rsidR="00711444" w:rsidRPr="004D0DAA" w:rsidRDefault="00711444" w:rsidP="00AA2A4C">
            <w:pPr>
              <w:pStyle w:val="TAL"/>
              <w:rPr>
                <w:lang w:eastAsia="ko-KR"/>
              </w:rPr>
            </w:pPr>
            <w:r w:rsidRPr="004D0DAA">
              <w:rPr>
                <w:lang w:eastAsia="en-US"/>
              </w:rPr>
              <w:tab/>
            </w:r>
            <w:r w:rsidRPr="004D0DAA">
              <w:rPr>
                <w:lang w:eastAsia="en-US"/>
              </w:rPr>
              <w:tab/>
            </w:r>
            <w:r w:rsidRPr="004D0DAA">
              <w:rPr>
                <w:rFonts w:hint="eastAsia"/>
                <w:lang w:eastAsia="ko-KR"/>
              </w:rPr>
              <w:t xml:space="preserve">&lt; </w:t>
            </w:r>
            <w:r w:rsidRPr="004D0DAA">
              <w:rPr>
                <w:b/>
                <w:lang w:eastAsia="ko-KR"/>
              </w:rPr>
              <w:t>PCID to TA mapping</w:t>
            </w:r>
            <w:r w:rsidRPr="004D0DAA">
              <w:rPr>
                <w:rFonts w:hint="eastAsia"/>
                <w:b/>
                <w:lang w:eastAsia="ko-KR"/>
              </w:rPr>
              <w:t xml:space="preserve"> </w:t>
            </w:r>
            <w:r w:rsidRPr="004D0DAA">
              <w:rPr>
                <w:rFonts w:hint="eastAsia"/>
                <w:lang w:eastAsia="ko-KR"/>
              </w:rPr>
              <w:t xml:space="preserve">: &lt; </w:t>
            </w:r>
            <w:r w:rsidRPr="004D0DAA">
              <w:rPr>
                <w:lang w:eastAsia="ko-KR"/>
              </w:rPr>
              <w:t>PCID Group IE</w:t>
            </w:r>
            <w:r w:rsidRPr="004D0DAA">
              <w:rPr>
                <w:rFonts w:hint="eastAsia"/>
                <w:lang w:eastAsia="ko-KR"/>
              </w:rPr>
              <w:t xml:space="preserve"> &gt;&gt;</w:t>
            </w:r>
            <w:r w:rsidRPr="004D0DAA">
              <w:rPr>
                <w:lang w:eastAsia="en-US"/>
              </w:rPr>
              <w:tab/>
            </w:r>
            <w:r w:rsidRPr="004D0DAA">
              <w:rPr>
                <w:lang w:eastAsia="en-US"/>
              </w:rPr>
              <w:tab/>
            </w:r>
            <w:r w:rsidRPr="004D0DAA">
              <w:rPr>
                <w:lang w:eastAsia="en-US"/>
              </w:rPr>
              <w:tab/>
            </w:r>
            <w:r w:rsidRPr="004D0DAA">
              <w:rPr>
                <w:lang w:eastAsia="en-US"/>
              </w:rPr>
              <w:tab/>
              <w:t>-- group of PCIDs belonging to the same TA</w:t>
            </w:r>
          </w:p>
          <w:p w14:paraId="0CDBFDA3" w14:textId="77777777" w:rsidR="00711444" w:rsidRPr="004D0DAA" w:rsidRDefault="00711444" w:rsidP="00AA2A4C">
            <w:pPr>
              <w:spacing w:after="0"/>
              <w:rPr>
                <w:sz w:val="18"/>
                <w:szCs w:val="18"/>
              </w:rPr>
            </w:pPr>
            <w:r w:rsidRPr="004D0DAA">
              <w:rPr>
                <w:rFonts w:ascii="Arial" w:hAnsi="Arial" w:cs="Arial"/>
                <w:sz w:val="18"/>
                <w:szCs w:val="18"/>
              </w:rPr>
              <w:tab/>
              <w:t>} ** 0</w:t>
            </w:r>
          </w:p>
          <w:p w14:paraId="6E9DFEE6" w14:textId="77777777" w:rsidR="00711444" w:rsidRPr="004D0DAA" w:rsidRDefault="00711444" w:rsidP="00AA2A4C">
            <w:pPr>
              <w:pStyle w:val="TAL"/>
              <w:rPr>
                <w:lang w:eastAsia="ko-KR"/>
              </w:rPr>
            </w:pPr>
            <w:r w:rsidRPr="004D0DAA">
              <w:rPr>
                <w:lang w:eastAsia="ko-KR"/>
              </w:rPr>
              <w:tab/>
              <w:t>{</w:t>
            </w:r>
            <w:r w:rsidRPr="004D0DAA">
              <w:rPr>
                <w:rFonts w:hint="eastAsia"/>
                <w:lang w:eastAsia="ko-KR"/>
              </w:rPr>
              <w:t xml:space="preserve"> 1 &lt; </w:t>
            </w:r>
            <w:r w:rsidRPr="004D0DAA">
              <w:rPr>
                <w:rFonts w:hint="eastAsia"/>
                <w:b/>
                <w:lang w:eastAsia="ko-KR"/>
              </w:rPr>
              <w:t xml:space="preserve">E-UTRAN_FREQUENCY_INDEX </w:t>
            </w:r>
            <w:r w:rsidRPr="004D0DAA">
              <w:rPr>
                <w:rFonts w:hint="eastAsia"/>
                <w:lang w:eastAsia="ko-KR"/>
              </w:rPr>
              <w:t>: bit(3) &gt; } ** 0 ;</w:t>
            </w:r>
          </w:p>
          <w:p w14:paraId="3E48AF99" w14:textId="77777777" w:rsidR="00711444" w:rsidRPr="004D0DAA" w:rsidRDefault="00711444" w:rsidP="00AA2A4C">
            <w:pPr>
              <w:pStyle w:val="TAL"/>
              <w:rPr>
                <w:szCs w:val="18"/>
                <w:lang w:eastAsia="en-US"/>
              </w:rPr>
            </w:pPr>
          </w:p>
        </w:tc>
      </w:tr>
    </w:tbl>
    <w:p w14:paraId="64D15699" w14:textId="77777777" w:rsidR="00711444" w:rsidRPr="004D0DAA" w:rsidRDefault="00711444" w:rsidP="00711444">
      <w:pPr>
        <w:rPr>
          <w:rFonts w:hint="eastAsia"/>
          <w:lang w:eastAsia="zh-CN"/>
        </w:rPr>
      </w:pPr>
    </w:p>
    <w:p w14:paraId="4DF41DD9" w14:textId="77777777" w:rsidR="00711444" w:rsidRPr="004D0DAA" w:rsidRDefault="00711444" w:rsidP="00711444">
      <w:pPr>
        <w:pStyle w:val="TH"/>
        <w:rPr>
          <w:rFonts w:hint="eastAsia"/>
          <w:lang w:eastAsia="zh-CN"/>
        </w:rPr>
      </w:pPr>
      <w:r w:rsidRPr="004D0DAA">
        <w:t>Table 1</w:t>
      </w:r>
      <w:r w:rsidRPr="004D0DAA">
        <w:rPr>
          <w:rFonts w:hint="eastAsia"/>
          <w:lang w:eastAsia="zh-CN"/>
        </w:rPr>
        <w:t>2.53.2</w:t>
      </w:r>
      <w:r w:rsidRPr="004D0DAA">
        <w:t>: </w:t>
      </w:r>
      <w:r w:rsidRPr="004D0DAA">
        <w:rPr>
          <w:i/>
        </w:rPr>
        <w:t xml:space="preserve">E-UTRAN parameters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670D7229" w14:textId="77777777" w:rsidTr="00AA2A4C">
        <w:tblPrEx>
          <w:tblCellMar>
            <w:top w:w="0" w:type="dxa"/>
            <w:bottom w:w="0" w:type="dxa"/>
          </w:tblCellMar>
        </w:tblPrEx>
        <w:trPr>
          <w:cantSplit/>
          <w:jc w:val="center"/>
        </w:trPr>
        <w:tc>
          <w:tcPr>
            <w:tcW w:w="9463" w:type="dxa"/>
            <w:tcMar>
              <w:top w:w="57" w:type="dxa"/>
            </w:tcMar>
            <w:vAlign w:val="center"/>
          </w:tcPr>
          <w:p w14:paraId="2929E7BF" w14:textId="77777777" w:rsidR="00711444" w:rsidRPr="004D0DAA" w:rsidRDefault="00711444" w:rsidP="00AA2A4C">
            <w:pPr>
              <w:spacing w:after="60"/>
              <w:rPr>
                <w:lang w:eastAsia="zh-CN"/>
              </w:rPr>
            </w:pPr>
            <w:r w:rsidRPr="004D0DAA">
              <w:rPr>
                <w:b/>
                <w:lang w:eastAsia="zh-CN"/>
              </w:rPr>
              <w:t xml:space="preserve">E-UTRAN_CCN_ACTIVE </w:t>
            </w:r>
            <w:r w:rsidRPr="004D0DAA">
              <w:rPr>
                <w:lang w:eastAsia="zh-CN"/>
              </w:rPr>
              <w:t>(1 bit field)</w:t>
            </w:r>
            <w:r w:rsidRPr="004D0DAA">
              <w:rPr>
                <w:lang w:eastAsia="zh-CN"/>
              </w:rPr>
              <w:br/>
              <w:t>This field indicates whether CCN is enabled towards E-UTRAN neighbouring cells. It is coded as follows:</w:t>
            </w:r>
          </w:p>
          <w:p w14:paraId="47AC6307" w14:textId="77777777" w:rsidR="00711444" w:rsidRPr="004D0DAA" w:rsidRDefault="00711444" w:rsidP="00AA2A4C">
            <w:pPr>
              <w:spacing w:after="60"/>
              <w:rPr>
                <w:lang w:eastAsia="zh-CN"/>
              </w:rPr>
            </w:pPr>
            <w:r w:rsidRPr="004D0DAA">
              <w:rPr>
                <w:lang w:eastAsia="zh-CN"/>
              </w:rPr>
              <w:t>0</w:t>
            </w:r>
            <w:r w:rsidRPr="004D0DAA">
              <w:rPr>
                <w:lang w:eastAsia="zh-CN"/>
              </w:rPr>
              <w:tab/>
              <w:t xml:space="preserve">The broadcast E-UTRAN_CCN_ACTIVE parameter shall apply if available. Otherwise, CCN towards E-UTRAN cells is disabled in the cell. </w:t>
            </w:r>
          </w:p>
          <w:p w14:paraId="3B5FD8D0" w14:textId="77777777" w:rsidR="00711444" w:rsidRPr="004D0DAA" w:rsidRDefault="00711444" w:rsidP="00AA2A4C">
            <w:r w:rsidRPr="004D0DAA">
              <w:rPr>
                <w:lang w:eastAsia="zh-CN"/>
              </w:rPr>
              <w:t>1</w:t>
            </w:r>
            <w:r w:rsidRPr="004D0DAA">
              <w:rPr>
                <w:lang w:eastAsia="zh-CN"/>
              </w:rPr>
              <w:tab/>
              <w:t>CCN towards E-UTRAN cells is enabled in the cell.</w:t>
            </w:r>
            <w:r w:rsidRPr="004D0DAA">
              <w:t xml:space="preserve"> </w:t>
            </w:r>
          </w:p>
        </w:tc>
      </w:tr>
      <w:tr w:rsidR="00711444" w:rsidRPr="004D0DAA" w14:paraId="24077D65" w14:textId="77777777" w:rsidTr="00AA2A4C">
        <w:tblPrEx>
          <w:tblCellMar>
            <w:top w:w="0" w:type="dxa"/>
            <w:bottom w:w="0" w:type="dxa"/>
          </w:tblCellMar>
        </w:tblPrEx>
        <w:trPr>
          <w:cantSplit/>
          <w:jc w:val="center"/>
        </w:trPr>
        <w:tc>
          <w:tcPr>
            <w:tcW w:w="9463" w:type="dxa"/>
            <w:tcMar>
              <w:top w:w="57" w:type="dxa"/>
            </w:tcMar>
            <w:vAlign w:val="center"/>
          </w:tcPr>
          <w:p w14:paraId="09E17D7E" w14:textId="77777777" w:rsidR="00711444" w:rsidRPr="004D0DAA" w:rsidRDefault="00711444" w:rsidP="00AA2A4C">
            <w:pPr>
              <w:spacing w:after="60"/>
            </w:pPr>
            <w:r w:rsidRPr="004D0DAA">
              <w:rPr>
                <w:b/>
              </w:rPr>
              <w:lastRenderedPageBreak/>
              <w:t>GPRS E-UTRAN Measurement Parameters</w:t>
            </w:r>
          </w:p>
          <w:p w14:paraId="2A980226" w14:textId="77777777" w:rsidR="00711444" w:rsidRPr="004D0DAA" w:rsidRDefault="00711444" w:rsidP="00AA2A4C">
            <w:pPr>
              <w:rPr>
                <w:lang w:eastAsia="zh-CN"/>
              </w:rPr>
            </w:pPr>
            <w:r w:rsidRPr="004D0DAA">
              <w:rPr>
                <w:b/>
              </w:rPr>
              <w:t>Qsearch_P_E-UTRAN</w:t>
            </w:r>
            <w:r w:rsidRPr="004D0DAA">
              <w:t xml:space="preserve"> (4 bit field)</w:t>
            </w:r>
            <w:r w:rsidRPr="004D0DAA">
              <w:br/>
            </w:r>
            <w:r w:rsidRPr="004D0DAA">
              <w:rPr>
                <w:b/>
              </w:rPr>
              <w:t xml:space="preserve">E-UTRAN_REP_QUANT </w:t>
            </w:r>
            <w:r w:rsidRPr="004D0DAA">
              <w:t>(1 bit field)</w:t>
            </w:r>
            <w:r w:rsidRPr="004D0DAA">
              <w:rPr>
                <w:b/>
              </w:rPr>
              <w:br/>
              <w:t xml:space="preserve">E-UTRAN_MULTIRAT_REPORTING </w:t>
            </w:r>
            <w:r w:rsidRPr="004D0DAA">
              <w:t>(2 bit field)</w:t>
            </w:r>
            <w:r w:rsidRPr="004D0DAA">
              <w:br/>
            </w:r>
            <w:r w:rsidRPr="004D0DAA">
              <w:rPr>
                <w:b/>
              </w:rPr>
              <w:t xml:space="preserve">E-UTRAN_FDD_REPORTING_THRESHOLD </w:t>
            </w:r>
            <w:r w:rsidRPr="004D0DAA">
              <w:t>(3 bit field)</w:t>
            </w:r>
            <w:r w:rsidRPr="004D0DAA">
              <w:rPr>
                <w:b/>
              </w:rPr>
              <w:br/>
              <w:t xml:space="preserve">E-UTRAN_FDD_REPORTING_THRESHOLD_2 </w:t>
            </w:r>
            <w:r w:rsidRPr="004D0DAA">
              <w:t>(6 bit field)</w:t>
            </w:r>
            <w:r w:rsidRPr="004D0DAA">
              <w:rPr>
                <w:b/>
              </w:rPr>
              <w:br/>
              <w:t>E-UTRAN_FDD_REPORTING_</w:t>
            </w:r>
            <w:r w:rsidRPr="004D0DAA">
              <w:rPr>
                <w:rFonts w:hint="eastAsia"/>
                <w:b/>
                <w:lang w:eastAsia="ko-KR"/>
              </w:rPr>
              <w:t>OFFSET</w:t>
            </w:r>
            <w:r w:rsidRPr="004D0DAA">
              <w:rPr>
                <w:b/>
              </w:rPr>
              <w:t xml:space="preserve"> </w:t>
            </w:r>
            <w:r w:rsidRPr="004D0DAA">
              <w:t>(</w:t>
            </w:r>
            <w:r w:rsidRPr="004D0DAA">
              <w:rPr>
                <w:rFonts w:hint="eastAsia"/>
                <w:lang w:eastAsia="ko-KR"/>
              </w:rPr>
              <w:t>3</w:t>
            </w:r>
            <w:r w:rsidRPr="004D0DAA">
              <w:t xml:space="preserve"> bit field)</w:t>
            </w:r>
            <w:r w:rsidRPr="004D0DAA">
              <w:rPr>
                <w:b/>
              </w:rPr>
              <w:br/>
              <w:t xml:space="preserve">E-UTRAN_TDD_REPORTING_THRESHOLD </w:t>
            </w:r>
            <w:r w:rsidRPr="004D0DAA">
              <w:t>(3 bit field)</w:t>
            </w:r>
            <w:r w:rsidRPr="004D0DAA">
              <w:br/>
            </w:r>
            <w:r w:rsidRPr="004D0DAA">
              <w:rPr>
                <w:b/>
              </w:rPr>
              <w:t xml:space="preserve">E-UTRAN_TDD_REPORTING_THRESHOLD_2 </w:t>
            </w:r>
            <w:r w:rsidRPr="004D0DAA">
              <w:t>(6 bit field)</w:t>
            </w:r>
            <w:r w:rsidRPr="004D0DAA">
              <w:rPr>
                <w:b/>
              </w:rPr>
              <w:br/>
              <w:t>E-UTRAN_</w:t>
            </w:r>
            <w:r w:rsidRPr="004D0DAA">
              <w:rPr>
                <w:rFonts w:hint="eastAsia"/>
                <w:b/>
                <w:lang w:eastAsia="ko-KR"/>
              </w:rPr>
              <w:t>T</w:t>
            </w:r>
            <w:r w:rsidRPr="004D0DAA">
              <w:rPr>
                <w:b/>
              </w:rPr>
              <w:t>DD_REPORTING_</w:t>
            </w:r>
            <w:r w:rsidRPr="004D0DAA">
              <w:rPr>
                <w:rFonts w:hint="eastAsia"/>
                <w:b/>
                <w:lang w:eastAsia="ko-KR"/>
              </w:rPr>
              <w:t>OFFSET</w:t>
            </w:r>
            <w:r w:rsidRPr="004D0DAA">
              <w:rPr>
                <w:b/>
              </w:rPr>
              <w:t xml:space="preserve"> </w:t>
            </w:r>
            <w:r w:rsidRPr="004D0DAA">
              <w:t>(</w:t>
            </w:r>
            <w:r w:rsidRPr="004D0DAA">
              <w:rPr>
                <w:rFonts w:hint="eastAsia"/>
                <w:lang w:eastAsia="ko-KR"/>
              </w:rPr>
              <w:t>3</w:t>
            </w:r>
            <w:r w:rsidRPr="004D0DAA">
              <w:t xml:space="preserve"> bit field)</w:t>
            </w:r>
            <w:r w:rsidRPr="004D0DAA">
              <w:rPr>
                <w:b/>
              </w:rPr>
              <w:br/>
            </w:r>
            <w:r w:rsidRPr="004D0DAA">
              <w:t xml:space="preserve">These fields control the measurement and reporting of E-UTRAN cells, </w:t>
            </w:r>
            <w:r w:rsidRPr="004D0DAA">
              <w:rPr>
                <w:lang w:eastAsia="zh-CN"/>
              </w:rPr>
              <w:t>as defined in 3GPP TS 45.008.</w:t>
            </w:r>
          </w:p>
          <w:p w14:paraId="24972833" w14:textId="77777777" w:rsidR="00711444" w:rsidRPr="004D0DAA" w:rsidRDefault="00711444" w:rsidP="00AA2A4C">
            <w:r w:rsidRPr="004D0DAA">
              <w:t>If both TDD and FDD frequencies are provided in the Repeated E-UTRAN Neighbour Cells IE and the E-UTRAN reporting thresholds are present for only one mode (i.e. TDD or FDD), then the parameter values for both modes shall be interpreted as having the same values.</w:t>
            </w:r>
          </w:p>
          <w:p w14:paraId="55EDEF70" w14:textId="77777777" w:rsidR="00711444" w:rsidRPr="004D0DAA" w:rsidRDefault="00711444" w:rsidP="00AA2A4C">
            <w:r w:rsidRPr="004D0DAA">
              <w:t xml:space="preserve">If any of these parameters is included in more than one instance of the PACKET MEASUREMENT ORDER message, the value of the </w:t>
            </w:r>
            <w:r w:rsidRPr="004D0DAA">
              <w:rPr>
                <w:iCs/>
              </w:rPr>
              <w:t>parameter in</w:t>
            </w:r>
            <w:r w:rsidRPr="004D0DAA">
              <w:t xml:space="preserve"> the instance with the highest PMO_INDEX shall be used.</w:t>
            </w:r>
          </w:p>
        </w:tc>
      </w:tr>
      <w:tr w:rsidR="00711444" w:rsidRPr="004D0DAA" w14:paraId="157925DB" w14:textId="77777777" w:rsidTr="00AA2A4C">
        <w:tblPrEx>
          <w:tblCellMar>
            <w:top w:w="0" w:type="dxa"/>
            <w:bottom w:w="0" w:type="dxa"/>
          </w:tblCellMar>
        </w:tblPrEx>
        <w:trPr>
          <w:cantSplit/>
          <w:jc w:val="center"/>
        </w:trPr>
        <w:tc>
          <w:tcPr>
            <w:tcW w:w="9463" w:type="dxa"/>
            <w:tcMar>
              <w:top w:w="57" w:type="dxa"/>
            </w:tcMar>
            <w:vAlign w:val="center"/>
          </w:tcPr>
          <w:p w14:paraId="4E626023" w14:textId="77777777" w:rsidR="00711444" w:rsidRPr="004D0DAA" w:rsidRDefault="00711444" w:rsidP="00AA2A4C">
            <w:pPr>
              <w:spacing w:after="60"/>
              <w:rPr>
                <w:b/>
                <w:lang w:eastAsia="zh-CN"/>
              </w:rPr>
            </w:pPr>
            <w:r w:rsidRPr="004D0DAA">
              <w:rPr>
                <w:b/>
              </w:rPr>
              <w:t>Repeated E-UTRAN Neighbour Cells</w:t>
            </w:r>
          </w:p>
          <w:p w14:paraId="2F0EED64" w14:textId="77777777" w:rsidR="00711444" w:rsidRPr="004D0DAA" w:rsidRDefault="00711444" w:rsidP="00AA2A4C">
            <w:r w:rsidRPr="004D0DAA">
              <w:rPr>
                <w:lang w:eastAsia="zh-CN"/>
              </w:rPr>
              <w:t xml:space="preserve">If E-UTRAN </w:t>
            </w:r>
            <w:r w:rsidRPr="004D0DAA">
              <w:t>cells or frequencies are included in the neighbour cell list, this information element may be included in the message.</w:t>
            </w:r>
          </w:p>
          <w:p w14:paraId="6AB5E486" w14:textId="77777777" w:rsidR="00711444" w:rsidRPr="004D0DAA" w:rsidRDefault="00711444" w:rsidP="00AA2A4C">
            <w:r w:rsidRPr="004D0DAA">
              <w:rPr>
                <w:b/>
              </w:rPr>
              <w:t>EARFCN</w:t>
            </w:r>
            <w:r w:rsidRPr="004D0DAA">
              <w:t xml:space="preserve"> (16 bit field)</w:t>
            </w:r>
            <w:r w:rsidRPr="004D0DAA">
              <w:br/>
              <w:t>This field specifies the E-UTRA Absolute Radio Frequency Channel Number as defined in 3GPP</w:t>
            </w:r>
            <w:r w:rsidRPr="004D0DAA">
              <w:rPr>
                <w:lang w:eastAsia="zh-CN"/>
              </w:rPr>
              <w:t> </w:t>
            </w:r>
            <w:r w:rsidRPr="004D0DAA">
              <w:t>TS</w:t>
            </w:r>
            <w:r w:rsidRPr="004D0DAA">
              <w:rPr>
                <w:lang w:eastAsia="zh-CN"/>
              </w:rPr>
              <w:t> </w:t>
            </w:r>
            <w:r w:rsidRPr="004D0DAA">
              <w:t>36.104.</w:t>
            </w:r>
          </w:p>
          <w:p w14:paraId="5F0CE8A8" w14:textId="77777777" w:rsidR="00711444" w:rsidRPr="004D0DAA" w:rsidRDefault="00711444" w:rsidP="00AA2A4C">
            <w:r w:rsidRPr="004D0DAA">
              <w:rPr>
                <w:b/>
              </w:rPr>
              <w:t xml:space="preserve">Measurement Bandwidth </w:t>
            </w:r>
            <w:r w:rsidRPr="004D0DAA">
              <w:t>(3 bit field)</w:t>
            </w:r>
            <w:r w:rsidRPr="004D0DAA">
              <w:rPr>
                <w:b/>
              </w:rPr>
              <w:br/>
            </w:r>
            <w:r w:rsidRPr="004D0DAA">
              <w:t>This field specifies the minimum value of the channel bandwidth of all valid E-UTRAN cells on the specified EARFCN. It is defined by the parameter Transmission Bandwidth Configuration, N</w:t>
            </w:r>
            <w:r w:rsidRPr="004D0DAA">
              <w:rPr>
                <w:vertAlign w:val="subscript"/>
              </w:rPr>
              <w:t>RB</w:t>
            </w:r>
            <w:r w:rsidRPr="004D0DAA">
              <w:t xml:space="preserve"> (see 3GPP TS 36.104). The values indicate the number of resource blocks over which the mobile station could measure if the mobile station does not support wideband RSRQ measurements (see 3GPP TS 24.008). A mobile station supporting wideband RSRQ measurements shall measure over the indicated number of resource blocks. The field is coded according to the following table:</w:t>
            </w:r>
          </w:p>
          <w:p w14:paraId="0D46582A" w14:textId="77777777" w:rsidR="00711444" w:rsidRPr="004D0DAA" w:rsidRDefault="00711444" w:rsidP="00AA2A4C">
            <w:pPr>
              <w:tabs>
                <w:tab w:val="left" w:pos="1134"/>
              </w:tabs>
            </w:pPr>
            <w:r w:rsidRPr="004D0DAA">
              <w:t>bit</w:t>
            </w:r>
            <w:r w:rsidRPr="004D0DAA">
              <w:br/>
              <w:t>3 2 1</w:t>
            </w:r>
            <w:r w:rsidRPr="004D0DAA">
              <w:br/>
              <w:t>0 0 0</w:t>
            </w:r>
            <w:r w:rsidRPr="004D0DAA">
              <w:tab/>
              <w:t>N</w:t>
            </w:r>
            <w:r w:rsidRPr="004D0DAA">
              <w:rPr>
                <w:vertAlign w:val="subscript"/>
              </w:rPr>
              <w:t>RB</w:t>
            </w:r>
            <w:r w:rsidRPr="004D0DAA">
              <w:t xml:space="preserve"> = 6</w:t>
            </w:r>
            <w:r w:rsidRPr="004D0DAA">
              <w:br/>
              <w:t>0 0 1</w:t>
            </w:r>
            <w:r w:rsidRPr="004D0DAA">
              <w:tab/>
              <w:t>N</w:t>
            </w:r>
            <w:r w:rsidRPr="004D0DAA">
              <w:rPr>
                <w:vertAlign w:val="subscript"/>
              </w:rPr>
              <w:t>RB</w:t>
            </w:r>
            <w:r w:rsidRPr="004D0DAA">
              <w:t xml:space="preserve"> = 15</w:t>
            </w:r>
            <w:r w:rsidRPr="004D0DAA">
              <w:br/>
              <w:t>0 1 0</w:t>
            </w:r>
            <w:r w:rsidRPr="004D0DAA">
              <w:tab/>
              <w:t>N</w:t>
            </w:r>
            <w:r w:rsidRPr="004D0DAA">
              <w:rPr>
                <w:vertAlign w:val="subscript"/>
              </w:rPr>
              <w:t>RB</w:t>
            </w:r>
            <w:r w:rsidRPr="004D0DAA">
              <w:t xml:space="preserve"> = 25</w:t>
            </w:r>
            <w:r w:rsidRPr="004D0DAA">
              <w:br/>
              <w:t>0 1 1</w:t>
            </w:r>
            <w:r w:rsidRPr="004D0DAA">
              <w:tab/>
              <w:t>N</w:t>
            </w:r>
            <w:r w:rsidRPr="004D0DAA">
              <w:rPr>
                <w:vertAlign w:val="subscript"/>
              </w:rPr>
              <w:t>RB</w:t>
            </w:r>
            <w:r w:rsidRPr="004D0DAA">
              <w:t xml:space="preserve"> = 50</w:t>
            </w:r>
            <w:r w:rsidRPr="004D0DAA">
              <w:br/>
              <w:t>1 0 0</w:t>
            </w:r>
            <w:r w:rsidRPr="004D0DAA">
              <w:tab/>
              <w:t>N</w:t>
            </w:r>
            <w:r w:rsidRPr="004D0DAA">
              <w:rPr>
                <w:vertAlign w:val="subscript"/>
              </w:rPr>
              <w:t>RB</w:t>
            </w:r>
            <w:r w:rsidRPr="004D0DAA">
              <w:t xml:space="preserve"> = 75</w:t>
            </w:r>
            <w:r w:rsidRPr="004D0DAA">
              <w:br/>
              <w:t>1 0 1</w:t>
            </w:r>
            <w:r w:rsidRPr="004D0DAA">
              <w:tab/>
              <w:t>N</w:t>
            </w:r>
            <w:r w:rsidRPr="004D0DAA">
              <w:rPr>
                <w:vertAlign w:val="subscript"/>
              </w:rPr>
              <w:t>RB</w:t>
            </w:r>
            <w:r w:rsidRPr="004D0DAA">
              <w:t xml:space="preserve"> = 100</w:t>
            </w:r>
            <w:r w:rsidRPr="004D0DAA">
              <w:br/>
              <w:t>All others</w:t>
            </w:r>
            <w:r w:rsidRPr="004D0DAA">
              <w:tab/>
              <w:t>Reserved for future use. If received by the mobile station, it shall be interpreted as '101'.</w:t>
            </w:r>
          </w:p>
          <w:p w14:paraId="5EB102A5" w14:textId="77777777" w:rsidR="00711444" w:rsidRPr="004D0DAA" w:rsidRDefault="00711444" w:rsidP="00AA2A4C">
            <w:pPr>
              <w:spacing w:after="60"/>
            </w:pPr>
            <w:r w:rsidRPr="004D0DAA">
              <w:t>When missing, this indicates N</w:t>
            </w:r>
            <w:r w:rsidRPr="004D0DAA">
              <w:rPr>
                <w:vertAlign w:val="subscript"/>
              </w:rPr>
              <w:t>RB</w:t>
            </w:r>
            <w:r w:rsidRPr="004D0DAA">
              <w:t xml:space="preserve"> = 6.</w:t>
            </w:r>
          </w:p>
          <w:p w14:paraId="47BF6768" w14:textId="77777777" w:rsidR="00711444" w:rsidRPr="004D0DAA" w:rsidRDefault="00711444" w:rsidP="00AA2A4C">
            <w:pPr>
              <w:spacing w:after="60"/>
            </w:pPr>
          </w:p>
          <w:p w14:paraId="14EED71A" w14:textId="77777777" w:rsidR="00711444" w:rsidRPr="004D0DAA" w:rsidRDefault="00711444" w:rsidP="00AA2A4C">
            <w:r w:rsidRPr="004D0DAA">
              <w:rPr>
                <w:b/>
              </w:rPr>
              <w:t xml:space="preserve">E-UTRAN_PRIORITY </w:t>
            </w:r>
            <w:r w:rsidRPr="004D0DAA">
              <w:t>(3 bit field)</w:t>
            </w:r>
            <w:r w:rsidRPr="004D0DAA">
              <w:br/>
            </w:r>
            <w:r w:rsidRPr="004D0DAA">
              <w:rPr>
                <w:b/>
              </w:rPr>
              <w:t xml:space="preserve">THRESH_E-UTRAN_high </w:t>
            </w:r>
            <w:r w:rsidRPr="004D0DAA">
              <w:t>(5 bit field)</w:t>
            </w:r>
            <w:r w:rsidRPr="004D0DAA">
              <w:br/>
            </w:r>
            <w:r w:rsidRPr="004D0DAA">
              <w:rPr>
                <w:b/>
              </w:rPr>
              <w:t xml:space="preserve">THRESH_E-UTRAN_low </w:t>
            </w:r>
            <w:r w:rsidRPr="004D0DAA">
              <w:t>(5 bit field)</w:t>
            </w:r>
            <w:r w:rsidRPr="004D0DAA">
              <w:br/>
              <w:t>If THRESH_E-UTRAN_low is not present, then THRESH_E-UTRAN_low shall take on the same value as THRESH_E-UTRAN_high.</w:t>
            </w:r>
            <w:r w:rsidRPr="004D0DAA">
              <w:br/>
            </w:r>
            <w:r w:rsidRPr="004D0DAA">
              <w:rPr>
                <w:b/>
              </w:rPr>
              <w:t>E-UTRAN_QRXLEVMIN</w:t>
            </w:r>
            <w:r w:rsidRPr="004D0DAA">
              <w:t xml:space="preserve"> (5 bit field)</w:t>
            </w:r>
          </w:p>
          <w:p w14:paraId="29BEBD83" w14:textId="77777777" w:rsidR="00711444" w:rsidRPr="004D0DAA" w:rsidRDefault="00711444" w:rsidP="00AA2A4C">
            <w:pPr>
              <w:spacing w:after="60"/>
            </w:pPr>
            <w:r w:rsidRPr="004D0DAA">
              <w:t xml:space="preserve">These fields </w:t>
            </w:r>
            <w:r w:rsidRPr="004D0DAA">
              <w:rPr>
                <w:lang w:eastAsia="zh-CN"/>
              </w:rPr>
              <w:t xml:space="preserve">are used for the </w:t>
            </w:r>
            <w:r w:rsidRPr="004D0DAA">
              <w:t>inter-RAT cell re-selection algorithm based on priority</w:t>
            </w:r>
            <w:r w:rsidRPr="004D0DAA">
              <w:rPr>
                <w:lang w:eastAsia="zh-CN"/>
              </w:rPr>
              <w:t>, as defined in 3GPP TS 45.008. These values apply to each of the EARFCN values listed within this structure.</w:t>
            </w:r>
          </w:p>
        </w:tc>
      </w:tr>
      <w:tr w:rsidR="00711444" w:rsidRPr="004D0DAA" w14:paraId="459E6E10" w14:textId="77777777" w:rsidTr="00AA2A4C">
        <w:tblPrEx>
          <w:tblCellMar>
            <w:top w:w="0" w:type="dxa"/>
            <w:bottom w:w="0" w:type="dxa"/>
          </w:tblCellMar>
        </w:tblPrEx>
        <w:trPr>
          <w:cantSplit/>
          <w:jc w:val="center"/>
        </w:trPr>
        <w:tc>
          <w:tcPr>
            <w:tcW w:w="9463" w:type="dxa"/>
            <w:tcMar>
              <w:top w:w="57" w:type="dxa"/>
            </w:tcMar>
            <w:vAlign w:val="center"/>
          </w:tcPr>
          <w:p w14:paraId="63ADFF2C" w14:textId="77777777" w:rsidR="00711444" w:rsidRPr="004D0DAA" w:rsidRDefault="00711444" w:rsidP="00AA2A4C">
            <w:pPr>
              <w:spacing w:after="60"/>
              <w:rPr>
                <w:rFonts w:hint="eastAsia"/>
                <w:b/>
                <w:lang w:eastAsia="ko-KR"/>
              </w:rPr>
            </w:pPr>
            <w:r w:rsidRPr="004D0DAA">
              <w:rPr>
                <w:b/>
              </w:rPr>
              <w:lastRenderedPageBreak/>
              <w:t xml:space="preserve">Repeated </w:t>
            </w:r>
            <w:r w:rsidRPr="004D0DAA">
              <w:rPr>
                <w:rFonts w:hint="eastAsia"/>
                <w:b/>
                <w:lang w:eastAsia="ko-KR"/>
              </w:rPr>
              <w:t xml:space="preserve">E-UTRAN </w:t>
            </w:r>
            <w:r w:rsidRPr="004D0DAA">
              <w:rPr>
                <w:b/>
                <w:lang w:eastAsia="zh-CN"/>
              </w:rPr>
              <w:t>Not Allowed Cells struct</w:t>
            </w:r>
          </w:p>
          <w:p w14:paraId="2523392A" w14:textId="77777777" w:rsidR="00711444" w:rsidRPr="004D0DAA" w:rsidRDefault="00711444" w:rsidP="00AA2A4C">
            <w:pPr>
              <w:spacing w:after="60"/>
              <w:rPr>
                <w:rFonts w:hint="eastAsia"/>
                <w:lang w:eastAsia="ko-KR"/>
              </w:rPr>
            </w:pPr>
            <w:r w:rsidRPr="004D0DAA">
              <w:rPr>
                <w:lang w:eastAsia="zh-CN"/>
              </w:rPr>
              <w:t xml:space="preserve">This structure identifies </w:t>
            </w:r>
            <w:r w:rsidRPr="004D0DAA">
              <w:rPr>
                <w:rFonts w:hint="eastAsia"/>
                <w:lang w:eastAsia="ko-KR"/>
              </w:rPr>
              <w:t xml:space="preserve">Not Allowed Cells with zero or more corresponding E-UTRAN frequency indices. If </w:t>
            </w:r>
            <w:r w:rsidRPr="004D0DAA">
              <w:rPr>
                <w:lang w:eastAsia="ko-KR"/>
              </w:rPr>
              <w:t xml:space="preserve">no </w:t>
            </w:r>
            <w:r w:rsidRPr="004D0DAA">
              <w:rPr>
                <w:rFonts w:hint="eastAsia"/>
                <w:lang w:eastAsia="ko-KR"/>
              </w:rPr>
              <w:t>E-UTRAN_FREQUENCY_INDEX is present, the Not Allowed Cells IE is applicable to all E-UTRAN frequencies specified in the Repeated E-UTRAN Neighbour Cells struct</w:t>
            </w:r>
            <w:r w:rsidRPr="004D0DAA">
              <w:rPr>
                <w:lang w:eastAsia="ko-KR"/>
              </w:rPr>
              <w:t>(s)</w:t>
            </w:r>
            <w:r w:rsidRPr="004D0DAA">
              <w:rPr>
                <w:rFonts w:hint="eastAsia"/>
                <w:lang w:eastAsia="ko-KR"/>
              </w:rPr>
              <w:t>.</w:t>
            </w:r>
          </w:p>
          <w:p w14:paraId="5354D59A" w14:textId="77777777" w:rsidR="00711444" w:rsidRPr="004D0DAA" w:rsidRDefault="00711444" w:rsidP="00AA2A4C">
            <w:pPr>
              <w:spacing w:after="60"/>
              <w:rPr>
                <w:rFonts w:hint="eastAsia"/>
                <w:b/>
                <w:lang w:eastAsia="ko-KR"/>
              </w:rPr>
            </w:pPr>
          </w:p>
          <w:p w14:paraId="78934A83" w14:textId="77777777" w:rsidR="00711444" w:rsidRPr="004D0DAA" w:rsidRDefault="00711444" w:rsidP="00AA2A4C">
            <w:pPr>
              <w:spacing w:after="60"/>
              <w:rPr>
                <w:b/>
              </w:rPr>
            </w:pPr>
            <w:r w:rsidRPr="004D0DAA">
              <w:rPr>
                <w:rFonts w:hint="eastAsia"/>
                <w:b/>
                <w:lang w:eastAsia="ko-KR"/>
              </w:rPr>
              <w:t xml:space="preserve">E-UTRAN_FREQUENCY_INDEX </w:t>
            </w:r>
            <w:r w:rsidRPr="004D0DAA">
              <w:rPr>
                <w:rFonts w:hint="eastAsia"/>
                <w:lang w:eastAsia="ko-KR"/>
              </w:rPr>
              <w:t>(3 bit field)</w:t>
            </w:r>
            <w:r w:rsidRPr="004D0DAA">
              <w:rPr>
                <w:lang w:eastAsia="ko-KR"/>
              </w:rPr>
              <w:br/>
            </w:r>
            <w:r w:rsidRPr="004D0DAA">
              <w:t>This field contains the index into the frequencies specified as part of the E-UTRAN Neighbour Cell list. A value of 0 refers to the first E-UTRAN frequency (EARFCN) defined in the list. A value of 1 refers to the second defined frequency and so on.</w:t>
            </w:r>
          </w:p>
        </w:tc>
      </w:tr>
      <w:tr w:rsidR="00711444" w:rsidRPr="004D0DAA" w14:paraId="5F60F5A7" w14:textId="77777777" w:rsidTr="00AA2A4C">
        <w:tblPrEx>
          <w:tblCellMar>
            <w:top w:w="0" w:type="dxa"/>
            <w:bottom w:w="0" w:type="dxa"/>
          </w:tblCellMar>
        </w:tblPrEx>
        <w:trPr>
          <w:cantSplit/>
          <w:jc w:val="center"/>
        </w:trPr>
        <w:tc>
          <w:tcPr>
            <w:tcW w:w="9463" w:type="dxa"/>
            <w:tcMar>
              <w:top w:w="57" w:type="dxa"/>
            </w:tcMar>
            <w:vAlign w:val="center"/>
          </w:tcPr>
          <w:p w14:paraId="69F139FF" w14:textId="77777777" w:rsidR="00711444" w:rsidRPr="004D0DAA" w:rsidRDefault="00711444" w:rsidP="00AA2A4C">
            <w:pPr>
              <w:spacing w:after="60"/>
              <w:rPr>
                <w:lang w:eastAsia="zh-CN"/>
              </w:rPr>
            </w:pPr>
            <w:r w:rsidRPr="004D0DAA">
              <w:rPr>
                <w:b/>
                <w:lang w:eastAsia="zh-CN"/>
              </w:rPr>
              <w:t>Not Allowed Cells</w:t>
            </w:r>
            <w:r w:rsidRPr="004D0DAA">
              <w:br/>
            </w:r>
            <w:r w:rsidRPr="004D0DAA">
              <w:rPr>
                <w:lang w:eastAsia="zh-CN"/>
              </w:rPr>
              <w:t>This information element identifies one or more E-UTRAN cells by means of their physical layer cell identities (see 3GPP TS 36.211). The mobile station shall not perform measurements or attempt reselection to these cells. This information element is defined as the PCID Group IE described in subclause 12.57.</w:t>
            </w:r>
          </w:p>
          <w:p w14:paraId="664AD1D6" w14:textId="77777777" w:rsidR="00711444" w:rsidRPr="004D0DAA" w:rsidRDefault="00711444" w:rsidP="00AA2A4C">
            <w:pPr>
              <w:spacing w:after="60"/>
              <w:rPr>
                <w:b/>
              </w:rPr>
            </w:pPr>
          </w:p>
        </w:tc>
      </w:tr>
      <w:tr w:rsidR="00711444" w:rsidRPr="004D0DAA" w14:paraId="566F7E83" w14:textId="77777777" w:rsidTr="00AA2A4C">
        <w:tblPrEx>
          <w:tblCellMar>
            <w:top w:w="0" w:type="dxa"/>
            <w:bottom w:w="0" w:type="dxa"/>
          </w:tblCellMar>
        </w:tblPrEx>
        <w:trPr>
          <w:cantSplit/>
          <w:jc w:val="center"/>
        </w:trPr>
        <w:tc>
          <w:tcPr>
            <w:tcW w:w="9463" w:type="dxa"/>
            <w:tcMar>
              <w:top w:w="57" w:type="dxa"/>
            </w:tcMar>
            <w:vAlign w:val="center"/>
          </w:tcPr>
          <w:p w14:paraId="25BCEBA0" w14:textId="77777777" w:rsidR="00711444" w:rsidRPr="004D0DAA" w:rsidRDefault="00711444" w:rsidP="00AA2A4C">
            <w:pPr>
              <w:spacing w:after="60"/>
              <w:rPr>
                <w:lang w:eastAsia="zh-CN"/>
              </w:rPr>
            </w:pPr>
            <w:r w:rsidRPr="004D0DAA">
              <w:rPr>
                <w:b/>
                <w:bCs/>
                <w:szCs w:val="18"/>
              </w:rPr>
              <w:t>PCID to TA mapping</w:t>
            </w:r>
            <w:r w:rsidRPr="004D0DAA">
              <w:br/>
            </w:r>
            <w:r w:rsidRPr="004D0DAA">
              <w:rPr>
                <w:lang w:eastAsia="zh-CN"/>
              </w:rPr>
              <w:t>This information element identifies, on the frequency or frequencies that this information element is associated with, one or more E-UTRAN cells by means of their physical layer cell identities (see 3GPP TS 36.211) that belong to the same Tracking Area. If no PCIDs or groups of PCIDs are indicated within this structure, then all PCIDs belong to the same Tracking Area.</w:t>
            </w:r>
          </w:p>
          <w:p w14:paraId="5BA81870" w14:textId="77777777" w:rsidR="00711444" w:rsidRPr="004D0DAA" w:rsidRDefault="00711444" w:rsidP="00AA2A4C">
            <w:pPr>
              <w:spacing w:after="60"/>
              <w:rPr>
                <w:lang w:eastAsia="zh-CN"/>
              </w:rPr>
            </w:pPr>
            <w:r w:rsidRPr="004D0DAA">
              <w:rPr>
                <w:lang w:eastAsia="zh-CN"/>
              </w:rPr>
              <w:t>This information element is defined as the PCID Group IE described in 3GPP TS 44.060.</w:t>
            </w:r>
          </w:p>
          <w:p w14:paraId="5ABE6D2F" w14:textId="77777777" w:rsidR="00711444" w:rsidRPr="004D0DAA" w:rsidRDefault="00711444" w:rsidP="00AA2A4C">
            <w:pPr>
              <w:spacing w:after="60"/>
              <w:rPr>
                <w:b/>
                <w:lang w:eastAsia="zh-CN"/>
              </w:rPr>
            </w:pPr>
          </w:p>
        </w:tc>
      </w:tr>
    </w:tbl>
    <w:p w14:paraId="0E554AA6" w14:textId="77777777" w:rsidR="00711444" w:rsidRPr="004D0DAA" w:rsidRDefault="00711444" w:rsidP="00711444"/>
    <w:p w14:paraId="791D7AB9" w14:textId="77777777" w:rsidR="00711444" w:rsidRPr="004D0DAA" w:rsidRDefault="00711444" w:rsidP="00711444">
      <w:pPr>
        <w:rPr>
          <w:lang w:eastAsia="zh-CN"/>
        </w:rPr>
      </w:pPr>
    </w:p>
    <w:p w14:paraId="7AFA02CA" w14:textId="77777777" w:rsidR="00711444" w:rsidRPr="004D0DAA" w:rsidRDefault="00711444" w:rsidP="00711444">
      <w:pPr>
        <w:pStyle w:val="Heading2"/>
        <w:tabs>
          <w:tab w:val="left" w:pos="11520"/>
        </w:tabs>
      </w:pPr>
      <w:bookmarkStart w:id="848" w:name="_Toc516670024"/>
      <w:r w:rsidRPr="004D0DAA">
        <w:t>12.</w:t>
      </w:r>
      <w:r w:rsidRPr="004D0DAA">
        <w:rPr>
          <w:rFonts w:hint="eastAsia"/>
          <w:lang w:eastAsia="zh-CN"/>
        </w:rPr>
        <w:t>54</w:t>
      </w:r>
      <w:r w:rsidRPr="004D0DAA">
        <w:tab/>
        <w:t>3G CSG Description</w:t>
      </w:r>
      <w:bookmarkEnd w:id="848"/>
    </w:p>
    <w:p w14:paraId="6449FBB0" w14:textId="77777777" w:rsidR="00711444" w:rsidRPr="004D0DAA" w:rsidRDefault="00711444" w:rsidP="00711444">
      <w:pPr>
        <w:keepNext/>
        <w:keepLines/>
      </w:pPr>
      <w:r w:rsidRPr="004D0DAA">
        <w:t xml:space="preserve">The </w:t>
      </w:r>
      <w:r w:rsidRPr="004D0DAA">
        <w:rPr>
          <w:i/>
        </w:rPr>
        <w:t>3G CSG Description</w:t>
      </w:r>
      <w:r w:rsidRPr="004D0DAA">
        <w:t xml:space="preserve"> information element contains the description of </w:t>
      </w:r>
      <w:r w:rsidRPr="004D0DAA">
        <w:rPr>
          <w:rFonts w:hint="eastAsia"/>
          <w:lang w:eastAsia="zh-CN"/>
        </w:rPr>
        <w:t>3G CSG cells</w:t>
      </w:r>
      <w:r w:rsidRPr="004D0DAA">
        <w:t>. The fields of this description are used for inter-RAT cell reselection to UTRAN CSG cells as defined in 3GPP TS 45.008.</w:t>
      </w:r>
    </w:p>
    <w:p w14:paraId="054975F8" w14:textId="77777777" w:rsidR="00711444" w:rsidRPr="004D0DAA" w:rsidRDefault="00711444" w:rsidP="00711444">
      <w:pPr>
        <w:pStyle w:val="TH"/>
      </w:pPr>
      <w:r w:rsidRPr="004D0DAA">
        <w:t>Table 12.</w:t>
      </w:r>
      <w:r w:rsidRPr="004D0DAA">
        <w:rPr>
          <w:rFonts w:hint="eastAsia"/>
          <w:lang w:eastAsia="zh-CN"/>
        </w:rPr>
        <w:t>54</w:t>
      </w:r>
      <w:r w:rsidRPr="004D0DAA">
        <w:t xml:space="preserve">.1: </w:t>
      </w:r>
      <w:r w:rsidRPr="004D0DAA">
        <w:rPr>
          <w:rFonts w:hint="eastAsia"/>
          <w:i/>
          <w:lang w:eastAsia="zh-CN"/>
        </w:rPr>
        <w:t>3G CSG</w:t>
      </w:r>
      <w:r w:rsidRPr="004D0DAA">
        <w:rPr>
          <w:i/>
          <w:lang w:eastAsia="zh-CN"/>
        </w:rPr>
        <w:t xml:space="preserve"> Descriptio</w:t>
      </w:r>
      <w:r w:rsidRPr="004D0DAA">
        <w:rPr>
          <w:rFonts w:hint="eastAsia"/>
          <w:i/>
          <w:lang w:eastAsia="zh-CN"/>
        </w:rPr>
        <w:t>n</w:t>
      </w:r>
      <w:r w:rsidRPr="004D0DAA">
        <w:rPr>
          <w:rFonts w:hint="eastAsia"/>
          <w:b w:val="0"/>
          <w:i/>
          <w:lang w:eastAsia="zh-CN"/>
        </w:rPr>
        <w:t xml:space="preserve"> </w:t>
      </w:r>
      <w:r w:rsidRPr="004D0DAA">
        <w:t>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1E1A82A9" w14:textId="77777777" w:rsidTr="00AA2A4C">
        <w:tblPrEx>
          <w:tblCellMar>
            <w:top w:w="0" w:type="dxa"/>
            <w:bottom w:w="0" w:type="dxa"/>
          </w:tblCellMar>
        </w:tblPrEx>
        <w:trPr>
          <w:cantSplit/>
        </w:trPr>
        <w:tc>
          <w:tcPr>
            <w:tcW w:w="9848" w:type="dxa"/>
          </w:tcPr>
          <w:p w14:paraId="6E3F5533" w14:textId="77777777" w:rsidR="00711444" w:rsidRPr="004D0DAA" w:rsidRDefault="00711444" w:rsidP="00AA2A4C">
            <w:pPr>
              <w:pStyle w:val="TAL"/>
              <w:rPr>
                <w:lang w:eastAsia="en-US"/>
              </w:rPr>
            </w:pPr>
            <w:r w:rsidRPr="004D0DAA">
              <w:rPr>
                <w:lang w:eastAsia="en-US"/>
              </w:rPr>
              <w:t xml:space="preserve">&lt; 3G CSG Description </w:t>
            </w:r>
            <w:r w:rsidRPr="004D0DAA">
              <w:rPr>
                <w:rFonts w:hint="eastAsia"/>
                <w:lang w:eastAsia="zh-CN"/>
              </w:rPr>
              <w:t>IE</w:t>
            </w:r>
            <w:r w:rsidRPr="004D0DAA">
              <w:rPr>
                <w:lang w:eastAsia="en-US"/>
              </w:rPr>
              <w:t xml:space="preserve"> &gt; ::= </w:t>
            </w:r>
          </w:p>
          <w:p w14:paraId="0EB488E1"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CSG_PSC_SPLIT</w:t>
            </w:r>
            <w:r w:rsidRPr="004D0DAA">
              <w:rPr>
                <w:lang w:eastAsia="en-US"/>
              </w:rPr>
              <w:t xml:space="preserve"> : &lt; PSC Group IE &gt;&gt;</w:t>
            </w:r>
          </w:p>
          <w:p w14:paraId="3EF3E340"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lang w:eastAsia="en-US"/>
              </w:rPr>
              <w:t>UTRAN_FREQUENCY_INDEX</w:t>
            </w:r>
            <w:r w:rsidRPr="004D0DAA">
              <w:rPr>
                <w:lang w:eastAsia="en-US"/>
              </w:rPr>
              <w:t xml:space="preserve"> : bit (5) &gt; } ** 0 }</w:t>
            </w:r>
            <w:r w:rsidRPr="004D0DAA">
              <w:rPr>
                <w:rFonts w:hint="eastAsia"/>
                <w:lang w:eastAsia="zh-CN"/>
              </w:rPr>
              <w:t xml:space="preserve"> ** 0</w:t>
            </w:r>
            <w:r w:rsidRPr="004D0DAA">
              <w:rPr>
                <w:lang w:eastAsia="zh-CN"/>
              </w:rPr>
              <w:t xml:space="preserve"> ;</w:t>
            </w:r>
          </w:p>
          <w:p w14:paraId="2D61DAFA" w14:textId="77777777" w:rsidR="00711444" w:rsidRPr="004D0DAA" w:rsidRDefault="00711444" w:rsidP="00AA2A4C">
            <w:pPr>
              <w:pStyle w:val="TAL"/>
              <w:rPr>
                <w:szCs w:val="18"/>
                <w:lang w:eastAsia="en-US"/>
              </w:rPr>
            </w:pPr>
          </w:p>
        </w:tc>
      </w:tr>
    </w:tbl>
    <w:p w14:paraId="7A135F10" w14:textId="77777777" w:rsidR="00711444" w:rsidRPr="004D0DAA" w:rsidRDefault="00711444" w:rsidP="00711444"/>
    <w:p w14:paraId="5432E890" w14:textId="77777777" w:rsidR="00711444" w:rsidRPr="004D0DAA" w:rsidRDefault="00711444" w:rsidP="00711444">
      <w:pPr>
        <w:pStyle w:val="TH"/>
      </w:pPr>
      <w:r w:rsidRPr="004D0DAA">
        <w:t>Table 12.</w:t>
      </w:r>
      <w:r w:rsidRPr="004D0DAA">
        <w:rPr>
          <w:rFonts w:hint="eastAsia"/>
          <w:lang w:eastAsia="zh-CN"/>
        </w:rPr>
        <w:t>54</w:t>
      </w:r>
      <w:r w:rsidRPr="004D0DAA">
        <w:t xml:space="preserve">.2: </w:t>
      </w:r>
      <w:r w:rsidRPr="004D0DAA">
        <w:rPr>
          <w:rFonts w:hint="eastAsia"/>
          <w:i/>
          <w:lang w:eastAsia="zh-CN"/>
        </w:rPr>
        <w:t>3G CSG</w:t>
      </w:r>
      <w:r w:rsidRPr="004D0DAA">
        <w:rPr>
          <w:i/>
          <w:lang w:eastAsia="zh-CN"/>
        </w:rPr>
        <w:t xml:space="preserve"> Descriptio</w:t>
      </w:r>
      <w:r w:rsidRPr="004D0DAA">
        <w:rPr>
          <w:rFonts w:hint="eastAsia"/>
          <w:i/>
          <w:lang w:eastAsia="zh-CN"/>
        </w:rPr>
        <w:t>n</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02DD98A" w14:textId="77777777" w:rsidTr="00AA2A4C">
        <w:tblPrEx>
          <w:tblCellMar>
            <w:top w:w="0" w:type="dxa"/>
            <w:bottom w:w="0" w:type="dxa"/>
          </w:tblCellMar>
        </w:tblPrEx>
        <w:trPr>
          <w:cantSplit/>
        </w:trPr>
        <w:tc>
          <w:tcPr>
            <w:tcW w:w="9848" w:type="dxa"/>
          </w:tcPr>
          <w:p w14:paraId="4010D0FA" w14:textId="77777777" w:rsidR="00711444" w:rsidRPr="004D0DAA" w:rsidRDefault="00711444" w:rsidP="00AA2A4C">
            <w:pPr>
              <w:rPr>
                <w:b/>
              </w:rPr>
            </w:pPr>
            <w:r w:rsidRPr="004D0DAA">
              <w:rPr>
                <w:b/>
              </w:rPr>
              <w:t>UTRAN_FREQUENCY_INDEX (5 bit field)</w:t>
            </w:r>
            <w:r w:rsidRPr="004D0DAA">
              <w:rPr>
                <w:b/>
              </w:rPr>
              <w:br/>
            </w:r>
            <w:r w:rsidRPr="004D0DAA">
              <w:t xml:space="preserve">Each instance of this field describes a UTRAN frequency in the 3G Neighbour Cell list where the CSG PSC SPLIT is valid. If the CSG_PSC_SPLIT IE is present but there are no instances of this field present in the message, then the CSG PSC SPLIT shall apply to all UTRAN frequencies in the 3G Neighbour Cell list. This field is described in sub-clause </w:t>
            </w:r>
            <w:r w:rsidRPr="004D0DAA">
              <w:rPr>
                <w:rFonts w:hint="eastAsia"/>
                <w:lang w:eastAsia="zh-CN"/>
              </w:rPr>
              <w:t>12.52</w:t>
            </w:r>
            <w:r w:rsidRPr="004D0DAA">
              <w:t>.</w:t>
            </w:r>
          </w:p>
        </w:tc>
      </w:tr>
      <w:tr w:rsidR="00711444" w:rsidRPr="004D0DAA" w14:paraId="37AC6AF4" w14:textId="77777777" w:rsidTr="00AA2A4C">
        <w:tblPrEx>
          <w:tblCellMar>
            <w:top w:w="0" w:type="dxa"/>
            <w:bottom w:w="0" w:type="dxa"/>
          </w:tblCellMar>
        </w:tblPrEx>
        <w:trPr>
          <w:cantSplit/>
        </w:trPr>
        <w:tc>
          <w:tcPr>
            <w:tcW w:w="9848" w:type="dxa"/>
          </w:tcPr>
          <w:p w14:paraId="59FF715A" w14:textId="77777777" w:rsidR="00711444" w:rsidRPr="004D0DAA" w:rsidRDefault="00711444" w:rsidP="00AA2A4C">
            <w:pPr>
              <w:rPr>
                <w:b/>
              </w:rPr>
            </w:pPr>
            <w:r w:rsidRPr="004D0DAA">
              <w:rPr>
                <w:b/>
              </w:rPr>
              <w:t>CSG_PSC_SPLIT</w:t>
            </w:r>
            <w:r w:rsidRPr="004D0DAA">
              <w:rPr>
                <w:lang w:eastAsia="zh-CN"/>
              </w:rPr>
              <w:br/>
            </w:r>
            <w:r w:rsidRPr="004D0DAA">
              <w:t xml:space="preserve">This information element identifies one or more primary scrambling code values for UTRAN FDD cells (see 3GPP TS </w:t>
            </w:r>
            <w:r w:rsidRPr="004D0DAA">
              <w:rPr>
                <w:rFonts w:hint="eastAsia"/>
                <w:lang w:eastAsia="ja-JP"/>
              </w:rPr>
              <w:t>25.213</w:t>
            </w:r>
            <w:r w:rsidRPr="004D0DAA">
              <w:t xml:space="preserve">) </w:t>
            </w:r>
            <w:r w:rsidRPr="004D0DAA">
              <w:rPr>
                <w:lang w:eastAsia="zh-CN"/>
              </w:rPr>
              <w:t xml:space="preserve">or cell parameter values for UTRAN TDD cells (see 3GPP TS 25.223) </w:t>
            </w:r>
            <w:r w:rsidRPr="004D0DAA">
              <w:t>as being reserved for CSG cells. The range of reserved primary scrambling codes or cell parameters applies to all UTRAN frequencies specified in the list of frequencies.</w:t>
            </w:r>
            <w:r w:rsidRPr="004D0DAA">
              <w:rPr>
                <w:lang w:eastAsia="zh-CN"/>
              </w:rPr>
              <w:br/>
            </w:r>
            <w:r w:rsidRPr="004D0DAA">
              <w:t>This information element is defined as the PSC Group IE described in subclause 12.58.</w:t>
            </w:r>
          </w:p>
        </w:tc>
      </w:tr>
    </w:tbl>
    <w:p w14:paraId="6C8FE3A3" w14:textId="77777777" w:rsidR="00711444" w:rsidRPr="004D0DAA" w:rsidRDefault="00711444" w:rsidP="00711444">
      <w:pPr>
        <w:rPr>
          <w:rFonts w:hint="eastAsia"/>
          <w:lang w:eastAsia="zh-CN"/>
        </w:rPr>
      </w:pPr>
    </w:p>
    <w:p w14:paraId="671CCB9D" w14:textId="77777777" w:rsidR="00711444" w:rsidRPr="004D0DAA" w:rsidRDefault="00711444" w:rsidP="00711444">
      <w:pPr>
        <w:pStyle w:val="Heading2"/>
        <w:tabs>
          <w:tab w:val="left" w:pos="11520"/>
        </w:tabs>
      </w:pPr>
      <w:bookmarkStart w:id="849" w:name="_Toc516670025"/>
      <w:r w:rsidRPr="004D0DAA">
        <w:lastRenderedPageBreak/>
        <w:t>12.</w:t>
      </w:r>
      <w:r w:rsidRPr="004D0DAA">
        <w:rPr>
          <w:rFonts w:hint="eastAsia"/>
          <w:lang w:eastAsia="zh-CN"/>
        </w:rPr>
        <w:t>55</w:t>
      </w:r>
      <w:r w:rsidRPr="004D0DAA">
        <w:tab/>
        <w:t>E-UTRAN CSG Description</w:t>
      </w:r>
      <w:bookmarkEnd w:id="849"/>
    </w:p>
    <w:p w14:paraId="56BC3959" w14:textId="77777777" w:rsidR="00711444" w:rsidRPr="004D0DAA" w:rsidRDefault="00711444" w:rsidP="00711444">
      <w:pPr>
        <w:keepNext/>
        <w:keepLines/>
        <w:rPr>
          <w:rFonts w:hint="eastAsia"/>
          <w:lang w:eastAsia="zh-CN"/>
        </w:rPr>
      </w:pPr>
      <w:r w:rsidRPr="004D0DAA">
        <w:t xml:space="preserve">The </w:t>
      </w:r>
      <w:r w:rsidRPr="004D0DAA">
        <w:rPr>
          <w:rFonts w:hint="eastAsia"/>
          <w:i/>
          <w:lang w:eastAsia="zh-CN"/>
        </w:rPr>
        <w:t>E-UTRAN</w:t>
      </w:r>
      <w:r w:rsidRPr="004D0DAA">
        <w:rPr>
          <w:i/>
        </w:rPr>
        <w:t xml:space="preserve"> CSG Description</w:t>
      </w:r>
      <w:r w:rsidRPr="004D0DAA">
        <w:t xml:space="preserve"> information element contains the description of E-UTRAN </w:t>
      </w:r>
      <w:r w:rsidRPr="004D0DAA">
        <w:rPr>
          <w:rFonts w:hint="eastAsia"/>
          <w:lang w:eastAsia="zh-CN"/>
        </w:rPr>
        <w:t>CSG</w:t>
      </w:r>
      <w:r w:rsidRPr="004D0DAA">
        <w:t xml:space="preserve"> cell</w:t>
      </w:r>
      <w:r w:rsidRPr="004D0DAA">
        <w:rPr>
          <w:rFonts w:hint="eastAsia"/>
          <w:lang w:eastAsia="zh-CN"/>
        </w:rPr>
        <w:t>s</w:t>
      </w:r>
      <w:r w:rsidRPr="004D0DAA">
        <w:t>.</w:t>
      </w:r>
      <w:r w:rsidRPr="004D0DAA">
        <w:rPr>
          <w:rFonts w:hint="eastAsia"/>
          <w:lang w:eastAsia="zh-CN"/>
        </w:rPr>
        <w:t xml:space="preserve"> </w:t>
      </w:r>
      <w:r w:rsidRPr="004D0DAA">
        <w:t>The fields of this description are used for inter-RAT cell reselection to E-UTRAN CSG cells as defined in 3GPP TS 45.008.</w:t>
      </w:r>
    </w:p>
    <w:p w14:paraId="0DF0FA14" w14:textId="77777777" w:rsidR="00711444" w:rsidRPr="004D0DAA" w:rsidRDefault="00711444" w:rsidP="00711444">
      <w:pPr>
        <w:pStyle w:val="TH"/>
      </w:pPr>
      <w:r w:rsidRPr="004D0DAA">
        <w:t>Table 12.</w:t>
      </w:r>
      <w:r w:rsidRPr="004D0DAA">
        <w:rPr>
          <w:rFonts w:hint="eastAsia"/>
          <w:lang w:eastAsia="zh-CN"/>
        </w:rPr>
        <w:t>55</w:t>
      </w:r>
      <w:r w:rsidRPr="004D0DAA">
        <w:t xml:space="preserve">.1: </w:t>
      </w:r>
      <w:r w:rsidRPr="004D0DAA">
        <w:rPr>
          <w:i/>
        </w:rPr>
        <w:t xml:space="preserve">E-UTRAN </w:t>
      </w:r>
      <w:r w:rsidRPr="004D0DAA">
        <w:rPr>
          <w:rFonts w:hint="eastAsia"/>
          <w:i/>
          <w:lang w:eastAsia="zh-CN"/>
        </w:rPr>
        <w:t>CSG description</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60694A4" w14:textId="77777777" w:rsidTr="00AA2A4C">
        <w:tblPrEx>
          <w:tblCellMar>
            <w:top w:w="0" w:type="dxa"/>
            <w:bottom w:w="0" w:type="dxa"/>
          </w:tblCellMar>
        </w:tblPrEx>
        <w:trPr>
          <w:cantSplit/>
        </w:trPr>
        <w:tc>
          <w:tcPr>
            <w:tcW w:w="9848" w:type="dxa"/>
          </w:tcPr>
          <w:p w14:paraId="70B69692" w14:textId="77777777" w:rsidR="00711444" w:rsidRPr="004D0DAA" w:rsidRDefault="00711444" w:rsidP="00AA2A4C">
            <w:pPr>
              <w:pStyle w:val="TAL"/>
              <w:rPr>
                <w:rFonts w:hint="eastAsia"/>
                <w:lang w:val="fr-FR" w:eastAsia="zh-CN"/>
              </w:rPr>
            </w:pPr>
            <w:r w:rsidRPr="004D0DAA">
              <w:rPr>
                <w:lang w:val="fr-FR" w:eastAsia="en-US"/>
              </w:rPr>
              <w:t xml:space="preserve">&lt; E-UTRAN CSG Description </w:t>
            </w:r>
            <w:r w:rsidRPr="004D0DAA">
              <w:rPr>
                <w:rFonts w:hint="eastAsia"/>
                <w:lang w:val="fr-FR" w:eastAsia="zh-CN"/>
              </w:rPr>
              <w:t>IE</w:t>
            </w:r>
            <w:r w:rsidRPr="004D0DAA">
              <w:rPr>
                <w:lang w:val="fr-FR" w:eastAsia="en-US"/>
              </w:rPr>
              <w:t xml:space="preserve"> &gt; ::=</w:t>
            </w:r>
          </w:p>
          <w:p w14:paraId="27BB5FEB" w14:textId="77777777" w:rsidR="00711444" w:rsidRPr="004D0DAA" w:rsidRDefault="00711444" w:rsidP="00AA2A4C">
            <w:pPr>
              <w:pStyle w:val="TAL"/>
              <w:rPr>
                <w:lang w:eastAsia="en-US"/>
              </w:rPr>
            </w:pPr>
            <w:r w:rsidRPr="004D0DAA">
              <w:rPr>
                <w:lang w:val="fr-FR" w:eastAsia="en-US"/>
              </w:rPr>
              <w:tab/>
            </w:r>
            <w:r w:rsidRPr="004D0DAA">
              <w:rPr>
                <w:lang w:eastAsia="en-US"/>
              </w:rPr>
              <w:t>{ 1</w:t>
            </w:r>
            <w:r w:rsidRPr="004D0DAA">
              <w:rPr>
                <w:lang w:eastAsia="en-US"/>
              </w:rPr>
              <w:tab/>
              <w:t xml:space="preserve">&lt; </w:t>
            </w:r>
            <w:r w:rsidRPr="004D0DAA">
              <w:rPr>
                <w:b/>
                <w:lang w:eastAsia="en-US"/>
              </w:rPr>
              <w:t>CSG_PCI_SPLIT</w:t>
            </w:r>
            <w:r w:rsidRPr="004D0DAA">
              <w:rPr>
                <w:lang w:eastAsia="en-US"/>
              </w:rPr>
              <w:t xml:space="preserve"> : &lt; PCID Group IE &gt;&gt;</w:t>
            </w:r>
          </w:p>
          <w:p w14:paraId="5A5B7E08" w14:textId="77777777" w:rsidR="00711444" w:rsidRPr="004D0DAA" w:rsidRDefault="00711444" w:rsidP="00AA2A4C">
            <w:pPr>
              <w:pStyle w:val="TAL"/>
              <w:rPr>
                <w:lang w:eastAsia="zh-CN"/>
              </w:rPr>
            </w:pPr>
            <w:r w:rsidRPr="004D0DAA">
              <w:rPr>
                <w:lang w:eastAsia="en-US"/>
              </w:rPr>
              <w:tab/>
            </w:r>
            <w:r w:rsidRPr="004D0DAA">
              <w:rPr>
                <w:lang w:eastAsia="en-US"/>
              </w:rPr>
              <w:tab/>
            </w:r>
            <w:r w:rsidRPr="004D0DAA">
              <w:rPr>
                <w:lang w:eastAsia="en-US"/>
              </w:rPr>
              <w:tab/>
              <w:t>{ 1</w:t>
            </w:r>
            <w:r w:rsidRPr="004D0DAA">
              <w:rPr>
                <w:lang w:eastAsia="en-US"/>
              </w:rPr>
              <w:tab/>
              <w:t xml:space="preserve">&lt; </w:t>
            </w:r>
            <w:r w:rsidRPr="004D0DAA">
              <w:rPr>
                <w:b/>
                <w:lang w:eastAsia="en-US"/>
              </w:rPr>
              <w:t>E-UTRAN_FREQUENCY_INDEX</w:t>
            </w:r>
            <w:r w:rsidRPr="004D0DAA">
              <w:rPr>
                <w:lang w:eastAsia="en-US"/>
              </w:rPr>
              <w:t xml:space="preserve"> : bit (3) &gt; } ** 0 }</w:t>
            </w:r>
            <w:r w:rsidRPr="004D0DAA">
              <w:rPr>
                <w:rFonts w:hint="eastAsia"/>
                <w:lang w:eastAsia="zh-CN"/>
              </w:rPr>
              <w:t xml:space="preserve"> ** 0</w:t>
            </w:r>
            <w:r w:rsidRPr="004D0DAA">
              <w:rPr>
                <w:lang w:eastAsia="zh-CN"/>
              </w:rPr>
              <w:t xml:space="preserve"> ;</w:t>
            </w:r>
          </w:p>
          <w:p w14:paraId="02FED393" w14:textId="77777777" w:rsidR="00711444" w:rsidRPr="004D0DAA" w:rsidRDefault="00711444" w:rsidP="00AA2A4C">
            <w:pPr>
              <w:pStyle w:val="TAL"/>
              <w:rPr>
                <w:lang w:eastAsia="en-US"/>
              </w:rPr>
            </w:pPr>
          </w:p>
          <w:p w14:paraId="050759A4" w14:textId="77777777" w:rsidR="00711444" w:rsidRPr="004D0DAA" w:rsidRDefault="00711444" w:rsidP="00AA2A4C">
            <w:pPr>
              <w:pStyle w:val="TAL"/>
              <w:rPr>
                <w:szCs w:val="18"/>
                <w:lang w:eastAsia="en-US"/>
              </w:rPr>
            </w:pPr>
          </w:p>
        </w:tc>
      </w:tr>
    </w:tbl>
    <w:p w14:paraId="45811A8E" w14:textId="77777777" w:rsidR="00711444" w:rsidRPr="004D0DAA" w:rsidRDefault="00711444" w:rsidP="00711444"/>
    <w:p w14:paraId="04E49302" w14:textId="77777777" w:rsidR="00711444" w:rsidRPr="004D0DAA" w:rsidRDefault="00711444" w:rsidP="00711444">
      <w:pPr>
        <w:pStyle w:val="TH"/>
      </w:pPr>
      <w:r w:rsidRPr="004D0DAA">
        <w:t>Table 12.</w:t>
      </w:r>
      <w:r w:rsidRPr="004D0DAA">
        <w:rPr>
          <w:rFonts w:hint="eastAsia"/>
          <w:lang w:eastAsia="zh-CN"/>
        </w:rPr>
        <w:t>55</w:t>
      </w:r>
      <w:r w:rsidRPr="004D0DAA">
        <w:t xml:space="preserve">.2: </w:t>
      </w:r>
      <w:r w:rsidRPr="004D0DAA">
        <w:rPr>
          <w:i/>
        </w:rPr>
        <w:t xml:space="preserve">E-UTRAN </w:t>
      </w:r>
      <w:r w:rsidRPr="004D0DAA">
        <w:rPr>
          <w:rFonts w:hint="eastAsia"/>
          <w:i/>
          <w:lang w:eastAsia="zh-CN"/>
        </w:rPr>
        <w:t>CSG description</w:t>
      </w:r>
      <w:r w:rsidRPr="004D0DAA">
        <w:t xml:space="preserve"> information element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gridCol w:w="7"/>
      </w:tblGrid>
      <w:tr w:rsidR="00711444" w:rsidRPr="004D0DAA" w14:paraId="212B0ECF" w14:textId="77777777" w:rsidTr="00AA2A4C">
        <w:tblPrEx>
          <w:tblCellMar>
            <w:top w:w="0" w:type="dxa"/>
            <w:bottom w:w="0" w:type="dxa"/>
          </w:tblCellMar>
        </w:tblPrEx>
        <w:trPr>
          <w:cantSplit/>
          <w:jc w:val="center"/>
        </w:trPr>
        <w:tc>
          <w:tcPr>
            <w:tcW w:w="9855" w:type="dxa"/>
            <w:gridSpan w:val="2"/>
          </w:tcPr>
          <w:p w14:paraId="4FE86301" w14:textId="77777777" w:rsidR="00711444" w:rsidRPr="004D0DAA" w:rsidRDefault="00711444" w:rsidP="00AA2A4C">
            <w:pPr>
              <w:rPr>
                <w:b/>
              </w:rPr>
            </w:pPr>
            <w:r w:rsidRPr="004D0DAA">
              <w:rPr>
                <w:b/>
              </w:rPr>
              <w:t>E-UTRAN_FREQUENCY_INDEX (3 bit field)</w:t>
            </w:r>
            <w:r w:rsidRPr="004D0DAA">
              <w:rPr>
                <w:b/>
              </w:rPr>
              <w:br/>
            </w:r>
            <w:r w:rsidRPr="004D0DAA">
              <w:t xml:space="preserve">Each instance of this field describes an E-UTRAN frequency in the E-UTRAN Neighbour Cell list where the CSG PCI SPLIT is valid. If the CSG_PCI_SPLIT information element is present but there are no instances of this field present in the message, then the CSG PCI SPLIT shall apply to all E-UTRAN frequencies in the E-UTRAN Neighbour Cell list. This field is described in sub-clause </w:t>
            </w:r>
            <w:r w:rsidRPr="004D0DAA">
              <w:rPr>
                <w:rFonts w:hint="eastAsia"/>
                <w:lang w:eastAsia="zh-CN"/>
              </w:rPr>
              <w:t>12.53</w:t>
            </w:r>
            <w:r w:rsidRPr="004D0DAA">
              <w:t>.</w:t>
            </w:r>
          </w:p>
        </w:tc>
      </w:tr>
      <w:tr w:rsidR="00711444" w:rsidRPr="004D0DAA" w14:paraId="3D825443" w14:textId="77777777" w:rsidTr="00AA2A4C">
        <w:tblPrEx>
          <w:jc w:val="left"/>
          <w:tblCellMar>
            <w:top w:w="0" w:type="dxa"/>
            <w:bottom w:w="0" w:type="dxa"/>
          </w:tblCellMar>
        </w:tblPrEx>
        <w:trPr>
          <w:gridAfter w:val="1"/>
          <w:wAfter w:w="7" w:type="dxa"/>
          <w:cantSplit/>
        </w:trPr>
        <w:tc>
          <w:tcPr>
            <w:tcW w:w="9848" w:type="dxa"/>
          </w:tcPr>
          <w:p w14:paraId="0BE3CED4" w14:textId="77777777" w:rsidR="00711444" w:rsidRPr="004D0DAA" w:rsidRDefault="00711444" w:rsidP="00AA2A4C">
            <w:pPr>
              <w:rPr>
                <w:b/>
              </w:rPr>
            </w:pPr>
            <w:r w:rsidRPr="004D0DAA">
              <w:rPr>
                <w:b/>
              </w:rPr>
              <w:t>CSG_PCI_SPLIT</w:t>
            </w:r>
            <w:r w:rsidRPr="004D0DAA">
              <w:rPr>
                <w:lang w:eastAsia="zh-CN"/>
              </w:rPr>
              <w:br/>
            </w:r>
            <w:r w:rsidRPr="004D0DAA">
              <w:t>This information element identifies one or more E-UTRAN physical layer cell identities (see 3GPP TS 36.211) as being reserved for CSG cells. The range of reserved physical layer cell identities applies to all E-UTRAN frequencies specified in the list of frequencies.</w:t>
            </w:r>
            <w:r w:rsidRPr="004D0DAA">
              <w:rPr>
                <w:rFonts w:hint="eastAsia"/>
              </w:rPr>
              <w:t xml:space="preserve"> </w:t>
            </w:r>
            <w:r w:rsidRPr="004D0DAA">
              <w:rPr>
                <w:lang w:eastAsia="zh-CN"/>
              </w:rPr>
              <w:t xml:space="preserve">This information element is defined as the PCID Group IE </w:t>
            </w:r>
            <w:r w:rsidRPr="004D0DAA">
              <w:t xml:space="preserve">in sub-clause </w:t>
            </w:r>
            <w:r w:rsidRPr="004D0DAA">
              <w:rPr>
                <w:rFonts w:hint="eastAsia"/>
                <w:lang w:eastAsia="zh-CN"/>
              </w:rPr>
              <w:t>12.5</w:t>
            </w:r>
            <w:r w:rsidRPr="004D0DAA">
              <w:rPr>
                <w:lang w:eastAsia="zh-CN"/>
              </w:rPr>
              <w:t>7.</w:t>
            </w:r>
          </w:p>
        </w:tc>
      </w:tr>
    </w:tbl>
    <w:p w14:paraId="4BE75F7D" w14:textId="77777777" w:rsidR="00711444" w:rsidRPr="004D0DAA" w:rsidRDefault="00711444" w:rsidP="00711444">
      <w:pPr>
        <w:rPr>
          <w:lang w:eastAsia="zh-CN"/>
        </w:rPr>
      </w:pPr>
    </w:p>
    <w:p w14:paraId="06470D63" w14:textId="77777777" w:rsidR="00711444" w:rsidRPr="004D0DAA" w:rsidRDefault="00711444" w:rsidP="00711444">
      <w:pPr>
        <w:pStyle w:val="Heading2"/>
        <w:tabs>
          <w:tab w:val="left" w:pos="11520"/>
        </w:tabs>
      </w:pPr>
      <w:bookmarkStart w:id="850" w:name="_Toc516670026"/>
      <w:r w:rsidRPr="004D0DAA">
        <w:t>12.</w:t>
      </w:r>
      <w:r w:rsidRPr="004D0DAA">
        <w:rPr>
          <w:rFonts w:hint="eastAsia"/>
          <w:lang w:eastAsia="zh-CN"/>
        </w:rPr>
        <w:t>56</w:t>
      </w:r>
      <w:r w:rsidRPr="004D0DAA">
        <w:tab/>
      </w:r>
      <w:r w:rsidRPr="004D0DAA">
        <w:rPr>
          <w:rFonts w:hint="eastAsia"/>
          <w:lang w:eastAsia="zh-CN"/>
        </w:rPr>
        <w:t>Measurement Control Parameters</w:t>
      </w:r>
      <w:r w:rsidRPr="004D0DAA">
        <w:t xml:space="preserve"> Description</w:t>
      </w:r>
      <w:bookmarkEnd w:id="850"/>
    </w:p>
    <w:p w14:paraId="6ED953AC" w14:textId="77777777" w:rsidR="00711444" w:rsidRPr="004D0DAA" w:rsidRDefault="00711444" w:rsidP="00711444">
      <w:pPr>
        <w:keepNext/>
        <w:keepLines/>
        <w:rPr>
          <w:rFonts w:hint="eastAsia"/>
          <w:lang w:eastAsia="zh-CN"/>
        </w:rPr>
      </w:pPr>
      <w:r w:rsidRPr="004D0DAA">
        <w:rPr>
          <w:rFonts w:hint="eastAsia"/>
          <w:lang w:eastAsia="zh-CN"/>
        </w:rPr>
        <w:t xml:space="preserve">This information element is sent to provide the measurement control information about UTRAN frequencies and E-UTRAN frequencies. </w:t>
      </w:r>
      <w:r w:rsidRPr="004D0DAA">
        <w:t xml:space="preserve">The fields of this description are used for inter-RAT cell </w:t>
      </w:r>
      <w:r w:rsidRPr="004D0DAA">
        <w:rPr>
          <w:rFonts w:hint="eastAsia"/>
          <w:lang w:eastAsia="zh-CN"/>
        </w:rPr>
        <w:t>measurement</w:t>
      </w:r>
      <w:r w:rsidRPr="004D0DAA">
        <w:t>.</w:t>
      </w:r>
    </w:p>
    <w:p w14:paraId="226BDCFB" w14:textId="77777777" w:rsidR="00711444" w:rsidRPr="004D0DAA" w:rsidRDefault="00711444" w:rsidP="00711444">
      <w:pPr>
        <w:pStyle w:val="TH"/>
      </w:pPr>
      <w:r w:rsidRPr="004D0DAA">
        <w:t>Table 12.</w:t>
      </w:r>
      <w:r w:rsidRPr="004D0DAA">
        <w:rPr>
          <w:rFonts w:hint="eastAsia"/>
          <w:lang w:eastAsia="zh-CN"/>
        </w:rPr>
        <w:t>56</w:t>
      </w:r>
      <w:r w:rsidRPr="004D0DAA">
        <w:t xml:space="preserve">.1: </w:t>
      </w:r>
      <w:r w:rsidRPr="004D0DAA">
        <w:rPr>
          <w:rFonts w:hint="eastAsia"/>
          <w:i/>
          <w:lang w:eastAsia="zh-CN"/>
        </w:rPr>
        <w:t>Measurement control parameters description</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EEC2706" w14:textId="77777777" w:rsidTr="00AA2A4C">
        <w:tblPrEx>
          <w:tblCellMar>
            <w:top w:w="0" w:type="dxa"/>
            <w:bottom w:w="0" w:type="dxa"/>
          </w:tblCellMar>
        </w:tblPrEx>
        <w:trPr>
          <w:cantSplit/>
        </w:trPr>
        <w:tc>
          <w:tcPr>
            <w:tcW w:w="9848" w:type="dxa"/>
          </w:tcPr>
          <w:p w14:paraId="1F094774" w14:textId="77777777" w:rsidR="00711444" w:rsidRPr="004D0DAA" w:rsidRDefault="00711444" w:rsidP="00AA2A4C">
            <w:pPr>
              <w:pStyle w:val="TAL"/>
              <w:rPr>
                <w:rFonts w:hint="eastAsia"/>
                <w:lang w:eastAsia="zh-CN"/>
              </w:rPr>
            </w:pPr>
            <w:r w:rsidRPr="004D0DAA">
              <w:rPr>
                <w:rFonts w:hint="eastAsia"/>
                <w:lang w:eastAsia="zh-CN"/>
              </w:rPr>
              <w:t>&lt; Measurement Control Parameters Description&gt; :: =</w:t>
            </w:r>
          </w:p>
          <w:p w14:paraId="4206DE72" w14:textId="77777777" w:rsidR="00711444" w:rsidRPr="004D0DAA" w:rsidRDefault="00711444" w:rsidP="00AA2A4C">
            <w:pPr>
              <w:pStyle w:val="TAL"/>
              <w:rPr>
                <w:rFonts w:cs="Arial"/>
                <w:iCs/>
                <w:szCs w:val="18"/>
                <w:lang w:eastAsia="en-US"/>
              </w:rPr>
            </w:pPr>
            <w:r w:rsidRPr="004D0DAA">
              <w:rPr>
                <w:iCs/>
                <w:lang w:eastAsia="zh-CN"/>
              </w:rPr>
              <w:tab/>
            </w:r>
            <w:r w:rsidRPr="004D0DAA">
              <w:rPr>
                <w:lang w:eastAsia="en-US"/>
              </w:rPr>
              <w:t>{ 0 | 1</w:t>
            </w:r>
            <w:r w:rsidRPr="004D0DAA">
              <w:rPr>
                <w:lang w:eastAsia="en-US"/>
              </w:rPr>
              <w:tab/>
            </w:r>
            <w:r w:rsidRPr="004D0DAA">
              <w:rPr>
                <w:rFonts w:cs="Arial"/>
                <w:iCs/>
                <w:szCs w:val="18"/>
                <w:lang w:eastAsia="en-US"/>
              </w:rPr>
              <w:t xml:space="preserve">&lt; </w:t>
            </w:r>
            <w:r w:rsidRPr="004D0DAA">
              <w:rPr>
                <w:rFonts w:cs="Arial"/>
                <w:b/>
                <w:iCs/>
                <w:szCs w:val="18"/>
                <w:lang w:eastAsia="en-US"/>
              </w:rPr>
              <w:t xml:space="preserve">Measurement_Control_E-UTRAN </w:t>
            </w:r>
            <w:r w:rsidRPr="004D0DAA">
              <w:rPr>
                <w:rFonts w:cs="Arial"/>
                <w:iCs/>
                <w:szCs w:val="18"/>
                <w:lang w:eastAsia="en-US"/>
              </w:rPr>
              <w:t>: bit(1) &gt;</w:t>
            </w:r>
          </w:p>
          <w:p w14:paraId="1C9082D3" w14:textId="77777777" w:rsidR="00711444" w:rsidRPr="004D0DAA" w:rsidRDefault="00711444" w:rsidP="00AA2A4C">
            <w:pPr>
              <w:pStyle w:val="TAL"/>
              <w:rPr>
                <w:lang w:eastAsia="en-US"/>
              </w:rPr>
            </w:pPr>
            <w:r w:rsidRPr="004D0DAA">
              <w:rPr>
                <w:rFonts w:cs="Arial"/>
                <w:iCs/>
                <w:szCs w:val="18"/>
                <w:lang w:eastAsia="en-US"/>
              </w:rPr>
              <w:tab/>
            </w:r>
            <w:r w:rsidRPr="004D0DAA">
              <w:rPr>
                <w:rFonts w:cs="Arial"/>
                <w:iCs/>
                <w:szCs w:val="18"/>
                <w:lang w:eastAsia="en-US"/>
              </w:rPr>
              <w:tab/>
            </w:r>
            <w:r w:rsidRPr="004D0DAA">
              <w:rPr>
                <w:rFonts w:cs="Arial"/>
                <w:iCs/>
                <w:szCs w:val="18"/>
                <w:lang w:eastAsia="en-US"/>
              </w:rPr>
              <w:tab/>
            </w:r>
            <w:r w:rsidRPr="004D0DAA">
              <w:rPr>
                <w:lang w:eastAsia="en-US"/>
              </w:rPr>
              <w:t>&lt;</w:t>
            </w:r>
            <w:r w:rsidRPr="004D0DAA">
              <w:rPr>
                <w:b/>
                <w:iCs/>
                <w:lang w:eastAsia="en-US"/>
              </w:rPr>
              <w:t xml:space="preserve"> </w:t>
            </w:r>
            <w:r w:rsidRPr="004D0DAA">
              <w:rPr>
                <w:b/>
                <w:lang w:eastAsia="en-US"/>
              </w:rPr>
              <w:t>E-UTRAN_FREQUENCY_INDEX</w:t>
            </w:r>
            <w:r w:rsidRPr="004D0DAA">
              <w:rPr>
                <w:lang w:eastAsia="en-US"/>
              </w:rPr>
              <w:t xml:space="preserve"> : bit (3) &gt;</w:t>
            </w:r>
          </w:p>
          <w:p w14:paraId="6EF79019"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1 &lt;</w:t>
            </w:r>
            <w:r w:rsidRPr="004D0DAA">
              <w:rPr>
                <w:b/>
                <w:iCs/>
                <w:lang w:eastAsia="en-US"/>
              </w:rPr>
              <w:t xml:space="preserve"> </w:t>
            </w:r>
            <w:r w:rsidRPr="004D0DAA">
              <w:rPr>
                <w:b/>
                <w:lang w:eastAsia="en-US"/>
              </w:rPr>
              <w:t>E-UTRAN_FREQUENCY_INDEX</w:t>
            </w:r>
            <w:r w:rsidRPr="004D0DAA">
              <w:rPr>
                <w:lang w:eastAsia="en-US"/>
              </w:rPr>
              <w:t xml:space="preserve"> : bit (3) &gt; } ** 0</w:t>
            </w:r>
          </w:p>
          <w:p w14:paraId="2A5FF8CF" w14:textId="77777777" w:rsidR="00711444" w:rsidRPr="004D0DAA" w:rsidRDefault="00711444" w:rsidP="00AA2A4C">
            <w:pPr>
              <w:pStyle w:val="TAL"/>
              <w:rPr>
                <w:lang w:eastAsia="en-US"/>
              </w:rPr>
            </w:pPr>
            <w:r w:rsidRPr="004D0DAA">
              <w:rPr>
                <w:lang w:eastAsia="en-US"/>
              </w:rPr>
              <w:tab/>
              <w:t>}</w:t>
            </w:r>
          </w:p>
          <w:p w14:paraId="3ED8DC11" w14:textId="77777777" w:rsidR="00711444" w:rsidRPr="004D0DAA" w:rsidRDefault="00711444" w:rsidP="00AA2A4C">
            <w:pPr>
              <w:pStyle w:val="TAL"/>
              <w:rPr>
                <w:rFonts w:cs="Arial"/>
                <w:iCs/>
                <w:szCs w:val="18"/>
                <w:lang w:eastAsia="en-US"/>
              </w:rPr>
            </w:pPr>
            <w:r w:rsidRPr="004D0DAA">
              <w:rPr>
                <w:lang w:eastAsia="en-US"/>
              </w:rPr>
              <w:tab/>
              <w:t>{ 0 | 1</w:t>
            </w:r>
            <w:r w:rsidRPr="004D0DAA">
              <w:rPr>
                <w:rFonts w:hint="eastAsia"/>
                <w:lang w:eastAsia="zh-CN"/>
              </w:rPr>
              <w:tab/>
            </w:r>
            <w:r w:rsidRPr="004D0DAA">
              <w:rPr>
                <w:rFonts w:cs="Arial"/>
                <w:iCs/>
                <w:szCs w:val="18"/>
                <w:lang w:eastAsia="en-US"/>
              </w:rPr>
              <w:t xml:space="preserve">&lt; </w:t>
            </w:r>
            <w:r w:rsidRPr="004D0DAA">
              <w:rPr>
                <w:rFonts w:cs="Arial"/>
                <w:b/>
                <w:iCs/>
                <w:szCs w:val="18"/>
                <w:lang w:eastAsia="en-US"/>
              </w:rPr>
              <w:t xml:space="preserve">Measurement_Control_UTRAN </w:t>
            </w:r>
            <w:r w:rsidRPr="004D0DAA">
              <w:rPr>
                <w:rFonts w:cs="Arial"/>
                <w:iCs/>
                <w:szCs w:val="18"/>
                <w:lang w:eastAsia="en-US"/>
              </w:rPr>
              <w:t>: bit(1) &gt;</w:t>
            </w:r>
          </w:p>
          <w:p w14:paraId="207F3ADD" w14:textId="77777777" w:rsidR="00711444" w:rsidRPr="004D0DAA" w:rsidRDefault="00711444" w:rsidP="00AA2A4C">
            <w:pPr>
              <w:pStyle w:val="TAL"/>
              <w:rPr>
                <w:lang w:eastAsia="en-US"/>
              </w:rPr>
            </w:pPr>
            <w:r w:rsidRPr="004D0DAA">
              <w:rPr>
                <w:rFonts w:cs="Arial" w:hint="eastAsia"/>
                <w:iCs/>
                <w:szCs w:val="18"/>
                <w:lang w:eastAsia="zh-CN"/>
              </w:rPr>
              <w:tab/>
            </w:r>
            <w:r w:rsidRPr="004D0DAA">
              <w:rPr>
                <w:rFonts w:cs="Arial"/>
                <w:iCs/>
                <w:szCs w:val="18"/>
                <w:lang w:eastAsia="zh-CN"/>
              </w:rPr>
              <w:tab/>
            </w:r>
            <w:r w:rsidRPr="004D0DAA">
              <w:rPr>
                <w:rFonts w:cs="Arial" w:hint="eastAsia"/>
                <w:iCs/>
                <w:szCs w:val="18"/>
                <w:lang w:eastAsia="zh-CN"/>
              </w:rPr>
              <w:tab/>
            </w:r>
            <w:r w:rsidRPr="004D0DAA">
              <w:rPr>
                <w:lang w:eastAsia="en-US"/>
              </w:rPr>
              <w:t>&lt;</w:t>
            </w:r>
            <w:r w:rsidRPr="004D0DAA">
              <w:rPr>
                <w:b/>
                <w:iCs/>
                <w:lang w:eastAsia="en-US"/>
              </w:rPr>
              <w:t xml:space="preserve"> </w:t>
            </w:r>
            <w:r w:rsidRPr="004D0DAA">
              <w:rPr>
                <w:b/>
                <w:lang w:eastAsia="en-US"/>
              </w:rPr>
              <w:t>UTRAN_FREQUENCY_INDEX</w:t>
            </w:r>
            <w:r w:rsidRPr="004D0DAA">
              <w:rPr>
                <w:lang w:eastAsia="en-US"/>
              </w:rPr>
              <w:t xml:space="preserve"> : bit (5) &gt;</w:t>
            </w:r>
          </w:p>
          <w:p w14:paraId="4C01FD16" w14:textId="77777777" w:rsidR="00711444" w:rsidRPr="004D0DAA" w:rsidRDefault="00711444" w:rsidP="00AA2A4C">
            <w:pPr>
              <w:pStyle w:val="TAL"/>
              <w:rPr>
                <w:rFonts w:hint="eastAsia"/>
                <w:lang w:eastAsia="zh-CN"/>
              </w:rPr>
            </w:pPr>
            <w:r w:rsidRPr="004D0DAA">
              <w:rPr>
                <w:rFonts w:hint="eastAsia"/>
                <w:lang w:eastAsia="zh-CN"/>
              </w:rPr>
              <w:tab/>
            </w:r>
            <w:r w:rsidRPr="004D0DAA">
              <w:rPr>
                <w:lang w:eastAsia="zh-CN"/>
              </w:rPr>
              <w:tab/>
            </w:r>
            <w:r w:rsidRPr="004D0DAA">
              <w:rPr>
                <w:rFonts w:hint="eastAsia"/>
                <w:lang w:eastAsia="zh-CN"/>
              </w:rPr>
              <w:tab/>
            </w:r>
            <w:r w:rsidRPr="004D0DAA">
              <w:rPr>
                <w:lang w:eastAsia="en-US"/>
              </w:rPr>
              <w:t>{ 1 &lt;</w:t>
            </w:r>
            <w:r w:rsidRPr="004D0DAA">
              <w:rPr>
                <w:b/>
                <w:iCs/>
                <w:lang w:eastAsia="en-US"/>
              </w:rPr>
              <w:t xml:space="preserve"> </w:t>
            </w:r>
            <w:r w:rsidRPr="004D0DAA">
              <w:rPr>
                <w:b/>
                <w:lang w:eastAsia="en-US"/>
              </w:rPr>
              <w:t>UTRAN_FREQUENCY_INDEX</w:t>
            </w:r>
            <w:r w:rsidRPr="004D0DAA">
              <w:rPr>
                <w:lang w:eastAsia="en-US"/>
              </w:rPr>
              <w:t xml:space="preserve"> : bit (5) &gt; } ** 0</w:t>
            </w:r>
          </w:p>
          <w:p w14:paraId="035715CE" w14:textId="77777777" w:rsidR="00711444" w:rsidRPr="004D0DAA" w:rsidRDefault="00711444" w:rsidP="00AA2A4C">
            <w:pPr>
              <w:pStyle w:val="TAL"/>
              <w:rPr>
                <w:szCs w:val="18"/>
                <w:lang w:eastAsia="en-US"/>
              </w:rPr>
            </w:pPr>
            <w:r w:rsidRPr="004D0DAA">
              <w:rPr>
                <w:lang w:eastAsia="en-US"/>
              </w:rPr>
              <w:tab/>
              <w:t>}</w:t>
            </w:r>
            <w:r w:rsidRPr="004D0DAA">
              <w:rPr>
                <w:rFonts w:hint="eastAsia"/>
                <w:lang w:eastAsia="zh-CN"/>
              </w:rPr>
              <w:t xml:space="preserve"> ;</w:t>
            </w:r>
          </w:p>
        </w:tc>
      </w:tr>
    </w:tbl>
    <w:p w14:paraId="04A1EAF3" w14:textId="77777777" w:rsidR="00711444" w:rsidRPr="004D0DAA" w:rsidRDefault="00711444" w:rsidP="00711444">
      <w:pPr>
        <w:rPr>
          <w:rFonts w:hint="eastAsia"/>
          <w:lang w:eastAsia="zh-CN"/>
        </w:rPr>
      </w:pPr>
    </w:p>
    <w:p w14:paraId="52BF109E" w14:textId="77777777" w:rsidR="00711444" w:rsidRPr="004D0DAA" w:rsidRDefault="00711444" w:rsidP="00711444">
      <w:pPr>
        <w:pStyle w:val="TH"/>
      </w:pPr>
      <w:r w:rsidRPr="004D0DAA">
        <w:t>Table 12.</w:t>
      </w:r>
      <w:r w:rsidRPr="004D0DAA">
        <w:rPr>
          <w:rFonts w:hint="eastAsia"/>
          <w:lang w:eastAsia="zh-CN"/>
        </w:rPr>
        <w:t>56</w:t>
      </w:r>
      <w:r w:rsidRPr="004D0DAA">
        <w:t xml:space="preserve">.2: </w:t>
      </w:r>
      <w:r w:rsidRPr="004D0DAA">
        <w:rPr>
          <w:rFonts w:hint="eastAsia"/>
          <w:i/>
          <w:lang w:eastAsia="zh-CN"/>
        </w:rPr>
        <w:t>Measurement control parameters description</w:t>
      </w:r>
      <w:r w:rsidRPr="004D0DAA">
        <w:t xml:space="preserve"> information element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5"/>
      </w:tblGrid>
      <w:tr w:rsidR="00711444" w:rsidRPr="004D0DAA" w14:paraId="62935969" w14:textId="77777777" w:rsidTr="00AA2A4C">
        <w:tblPrEx>
          <w:tblCellMar>
            <w:top w:w="0" w:type="dxa"/>
            <w:bottom w:w="0" w:type="dxa"/>
          </w:tblCellMar>
        </w:tblPrEx>
        <w:trPr>
          <w:cantSplit/>
          <w:jc w:val="center"/>
        </w:trPr>
        <w:tc>
          <w:tcPr>
            <w:tcW w:w="9855" w:type="dxa"/>
          </w:tcPr>
          <w:p w14:paraId="06ED5AEA" w14:textId="77777777" w:rsidR="00711444" w:rsidRPr="004D0DAA" w:rsidRDefault="00711444" w:rsidP="00AA2A4C">
            <w:pPr>
              <w:rPr>
                <w:lang w:eastAsia="zh-CN"/>
              </w:rPr>
            </w:pPr>
            <w:r w:rsidRPr="004D0DAA">
              <w:rPr>
                <w:b/>
                <w:iCs/>
              </w:rPr>
              <w:t>Measurement_Control_E-UTRAN</w:t>
            </w:r>
            <w:r w:rsidRPr="004D0DAA">
              <w:t xml:space="preserve"> (1 bit field)</w:t>
            </w:r>
            <w:r w:rsidRPr="004D0DAA">
              <w:br/>
              <w:t>This field control</w:t>
            </w:r>
            <w:r w:rsidRPr="004D0DAA">
              <w:rPr>
                <w:rFonts w:hint="eastAsia"/>
                <w:lang w:eastAsia="zh-CN"/>
              </w:rPr>
              <w:t>s</w:t>
            </w:r>
            <w:r w:rsidRPr="004D0DAA">
              <w:t xml:space="preserve"> the measurement of E-UTRAN cells for the specified EARFCNs indicated by the E-UTRAN_FREQUENCY_INDEX values, </w:t>
            </w:r>
            <w:r w:rsidRPr="004D0DAA">
              <w:rPr>
                <w:lang w:eastAsia="zh-CN"/>
              </w:rPr>
              <w:t>as defined in 3GPP TS 45.008.</w:t>
            </w:r>
            <w:r w:rsidRPr="004D0DAA">
              <w:rPr>
                <w:rFonts w:hint="eastAsia"/>
                <w:lang w:eastAsia="zh-CN"/>
              </w:rPr>
              <w:t xml:space="preserve"> If this field is not present, all EARFCNs </w:t>
            </w:r>
            <w:r w:rsidRPr="004D0DAA">
              <w:rPr>
                <w:lang w:eastAsia="zh-CN"/>
              </w:rPr>
              <w:t xml:space="preserve">in the E-UTRAN </w:t>
            </w:r>
            <w:r w:rsidRPr="004D0DAA">
              <w:rPr>
                <w:rFonts w:hint="eastAsia"/>
                <w:lang w:eastAsia="zh-CN"/>
              </w:rPr>
              <w:t>N</w:t>
            </w:r>
            <w:r w:rsidRPr="004D0DAA">
              <w:rPr>
                <w:lang w:eastAsia="zh-CN"/>
              </w:rPr>
              <w:t xml:space="preserve">eighbour </w:t>
            </w:r>
            <w:r w:rsidRPr="004D0DAA">
              <w:rPr>
                <w:rFonts w:hint="eastAsia"/>
                <w:lang w:eastAsia="zh-CN"/>
              </w:rPr>
              <w:t>C</w:t>
            </w:r>
            <w:r w:rsidRPr="004D0DAA">
              <w:rPr>
                <w:lang w:eastAsia="zh-CN"/>
              </w:rPr>
              <w:t xml:space="preserve">ell list </w:t>
            </w:r>
            <w:r w:rsidRPr="004D0DAA">
              <w:rPr>
                <w:rFonts w:hint="eastAsia"/>
                <w:lang w:eastAsia="zh-CN"/>
              </w:rPr>
              <w:t xml:space="preserve">shall behave according to the behaviour </w:t>
            </w:r>
            <w:r w:rsidRPr="004D0DAA">
              <w:rPr>
                <w:lang w:eastAsia="zh-CN"/>
              </w:rPr>
              <w:t>controlled</w:t>
            </w:r>
            <w:r w:rsidRPr="004D0DAA">
              <w:rPr>
                <w:rFonts w:hint="eastAsia"/>
                <w:lang w:eastAsia="zh-CN"/>
              </w:rPr>
              <w:t xml:space="preserve"> by the Qsearch_P_E-UTRAN.</w:t>
            </w:r>
          </w:p>
          <w:p w14:paraId="5AC56A7E" w14:textId="77777777" w:rsidR="00711444" w:rsidRPr="004D0DAA" w:rsidRDefault="00711444" w:rsidP="00AA2A4C">
            <w:pPr>
              <w:rPr>
                <w:b/>
                <w:iCs/>
              </w:rPr>
            </w:pPr>
            <w:r w:rsidRPr="004D0DAA">
              <w:rPr>
                <w:lang w:eastAsia="zh-CN"/>
              </w:rPr>
              <w:t>All E-UTRAN frequency indices received in this instance of the information element shall take the value of parameter Measurement_Control_E-UTRAN. All other E-UTRAN frequency ind</w:t>
            </w:r>
            <w:r w:rsidRPr="004D0DAA">
              <w:rPr>
                <w:rFonts w:hint="eastAsia"/>
                <w:lang w:eastAsia="zh-CN"/>
              </w:rPr>
              <w:t>ic</w:t>
            </w:r>
            <w:r w:rsidRPr="004D0DAA">
              <w:rPr>
                <w:lang w:eastAsia="zh-CN"/>
              </w:rPr>
              <w:t xml:space="preserve">es in the E-UTRAN </w:t>
            </w:r>
            <w:r w:rsidRPr="004D0DAA">
              <w:rPr>
                <w:rFonts w:hint="eastAsia"/>
                <w:lang w:eastAsia="zh-CN"/>
              </w:rPr>
              <w:t>N</w:t>
            </w:r>
            <w:r w:rsidRPr="004D0DAA">
              <w:rPr>
                <w:lang w:eastAsia="zh-CN"/>
              </w:rPr>
              <w:t xml:space="preserve">eighbour </w:t>
            </w:r>
            <w:r w:rsidRPr="004D0DAA">
              <w:rPr>
                <w:rFonts w:hint="eastAsia"/>
                <w:lang w:eastAsia="zh-CN"/>
              </w:rPr>
              <w:t>C</w:t>
            </w:r>
            <w:r w:rsidRPr="004D0DAA">
              <w:rPr>
                <w:lang w:eastAsia="zh-CN"/>
              </w:rPr>
              <w:t>ell list shall take the opp</w:t>
            </w:r>
            <w:r w:rsidRPr="004D0DAA">
              <w:rPr>
                <w:rFonts w:hint="eastAsia"/>
                <w:lang w:eastAsia="zh-CN"/>
              </w:rPr>
              <w:t>o</w:t>
            </w:r>
            <w:r w:rsidRPr="004D0DAA">
              <w:rPr>
                <w:lang w:eastAsia="zh-CN"/>
              </w:rPr>
              <w:t>site value to that of the received Measurement_Control_E-UTRAN</w:t>
            </w:r>
            <w:r w:rsidRPr="004D0DAA">
              <w:rPr>
                <w:rFonts w:hint="eastAsia"/>
                <w:lang w:eastAsia="zh-CN"/>
              </w:rPr>
              <w:t>.</w:t>
            </w:r>
          </w:p>
        </w:tc>
      </w:tr>
      <w:tr w:rsidR="00711444" w:rsidRPr="004D0DAA" w14:paraId="491B4B94" w14:textId="77777777" w:rsidTr="00AA2A4C">
        <w:tblPrEx>
          <w:tblCellMar>
            <w:top w:w="0" w:type="dxa"/>
            <w:bottom w:w="0" w:type="dxa"/>
          </w:tblCellMar>
        </w:tblPrEx>
        <w:trPr>
          <w:cantSplit/>
          <w:jc w:val="center"/>
        </w:trPr>
        <w:tc>
          <w:tcPr>
            <w:tcW w:w="9855" w:type="dxa"/>
          </w:tcPr>
          <w:p w14:paraId="49D9F1BA" w14:textId="77777777" w:rsidR="00711444" w:rsidRPr="004D0DAA" w:rsidRDefault="00711444" w:rsidP="00AA2A4C">
            <w:pPr>
              <w:rPr>
                <w:b/>
                <w:iCs/>
              </w:rPr>
            </w:pPr>
            <w:r w:rsidRPr="004D0DAA">
              <w:rPr>
                <w:b/>
              </w:rPr>
              <w:t>E-UTRAN_FREQUENCY_INDEX</w:t>
            </w:r>
            <w:r w:rsidRPr="004D0DAA">
              <w:t xml:space="preserve"> (3 bit field)</w:t>
            </w:r>
            <w:r w:rsidRPr="004D0DAA">
              <w:br/>
              <w:t xml:space="preserve">This field </w:t>
            </w:r>
            <w:r w:rsidRPr="004D0DAA">
              <w:rPr>
                <w:rFonts w:hint="eastAsia"/>
                <w:lang w:eastAsia="zh-CN"/>
              </w:rPr>
              <w:t xml:space="preserve">is </w:t>
            </w:r>
            <w:r w:rsidRPr="004D0DAA">
              <w:rPr>
                <w:lang w:eastAsia="zh-CN"/>
              </w:rPr>
              <w:t>described in sub</w:t>
            </w:r>
            <w:r w:rsidRPr="004D0DAA">
              <w:rPr>
                <w:rFonts w:hint="eastAsia"/>
                <w:lang w:eastAsia="zh-CN"/>
              </w:rPr>
              <w:t>-</w:t>
            </w:r>
            <w:r w:rsidRPr="004D0DAA">
              <w:rPr>
                <w:lang w:eastAsia="zh-CN"/>
              </w:rPr>
              <w:t>clause 12.53</w:t>
            </w:r>
            <w:r w:rsidRPr="004D0DAA">
              <w:t>.</w:t>
            </w:r>
          </w:p>
        </w:tc>
      </w:tr>
      <w:tr w:rsidR="00711444" w:rsidRPr="004D0DAA" w14:paraId="6AD441A4" w14:textId="77777777" w:rsidTr="00AA2A4C">
        <w:tblPrEx>
          <w:tblCellMar>
            <w:top w:w="0" w:type="dxa"/>
            <w:bottom w:w="0" w:type="dxa"/>
          </w:tblCellMar>
        </w:tblPrEx>
        <w:trPr>
          <w:cantSplit/>
          <w:jc w:val="center"/>
        </w:trPr>
        <w:tc>
          <w:tcPr>
            <w:tcW w:w="9855" w:type="dxa"/>
          </w:tcPr>
          <w:p w14:paraId="372F52E5" w14:textId="77777777" w:rsidR="00711444" w:rsidRPr="004D0DAA" w:rsidRDefault="00711444" w:rsidP="00AA2A4C">
            <w:pPr>
              <w:rPr>
                <w:rFonts w:hint="eastAsia"/>
                <w:lang w:eastAsia="zh-CN"/>
              </w:rPr>
            </w:pPr>
            <w:r w:rsidRPr="004D0DAA">
              <w:rPr>
                <w:b/>
                <w:iCs/>
              </w:rPr>
              <w:lastRenderedPageBreak/>
              <w:t>Measurement_Control_UTRAN</w:t>
            </w:r>
            <w:r w:rsidRPr="004D0DAA">
              <w:t xml:space="preserve"> (1 bit field) </w:t>
            </w:r>
            <w:r w:rsidRPr="004D0DAA">
              <w:br/>
              <w:t>This field control</w:t>
            </w:r>
            <w:r w:rsidRPr="004D0DAA">
              <w:rPr>
                <w:rFonts w:hint="eastAsia"/>
                <w:lang w:eastAsia="zh-CN"/>
              </w:rPr>
              <w:t>s</w:t>
            </w:r>
            <w:r w:rsidRPr="004D0DAA">
              <w:t xml:space="preserve"> the measurement of UTRAN cells for the specified </w:t>
            </w:r>
            <w:r w:rsidRPr="004D0DAA">
              <w:rPr>
                <w:rFonts w:hint="eastAsia"/>
                <w:lang w:eastAsia="zh-CN"/>
              </w:rPr>
              <w:t>U</w:t>
            </w:r>
            <w:r w:rsidRPr="004D0DAA">
              <w:t xml:space="preserve">ARFCNs indicated by the UTRAN_FREQUENCY_INDEX values, </w:t>
            </w:r>
            <w:r w:rsidRPr="004D0DAA">
              <w:rPr>
                <w:lang w:eastAsia="zh-CN"/>
              </w:rPr>
              <w:t>as defined in 3GPP TS 45.008.</w:t>
            </w:r>
            <w:r w:rsidRPr="004D0DAA">
              <w:rPr>
                <w:rFonts w:hint="eastAsia"/>
                <w:lang w:eastAsia="zh-CN"/>
              </w:rPr>
              <w:t xml:space="preserve"> If this field is not present, all UARFCNs in 3G Neighbour Cell list shall behave according to the behaviour </w:t>
            </w:r>
            <w:r w:rsidRPr="004D0DAA">
              <w:rPr>
                <w:lang w:eastAsia="zh-CN"/>
              </w:rPr>
              <w:t>controlled</w:t>
            </w:r>
            <w:r w:rsidRPr="004D0DAA">
              <w:rPr>
                <w:rFonts w:hint="eastAsia"/>
                <w:lang w:eastAsia="zh-CN"/>
              </w:rPr>
              <w:t xml:space="preserve"> by the Qsearch_P.</w:t>
            </w:r>
          </w:p>
          <w:p w14:paraId="2D8BE4C6" w14:textId="77777777" w:rsidR="00711444" w:rsidRPr="004D0DAA" w:rsidRDefault="00711444" w:rsidP="00AA2A4C">
            <w:pPr>
              <w:rPr>
                <w:rFonts w:hint="eastAsia"/>
                <w:b/>
              </w:rPr>
            </w:pPr>
            <w:r w:rsidRPr="004D0DAA">
              <w:rPr>
                <w:lang w:eastAsia="zh-CN"/>
              </w:rPr>
              <w:t>All UTRAN frequency ind</w:t>
            </w:r>
            <w:r w:rsidRPr="004D0DAA">
              <w:rPr>
                <w:rFonts w:hint="eastAsia"/>
                <w:lang w:eastAsia="zh-CN"/>
              </w:rPr>
              <w:t>ices</w:t>
            </w:r>
            <w:r w:rsidRPr="004D0DAA">
              <w:rPr>
                <w:lang w:eastAsia="zh-CN"/>
              </w:rPr>
              <w:t xml:space="preserve"> received in this instance of the information element shall take the value of parameter Measurement_Control_UTRAN. All other UTRAN frequency ind</w:t>
            </w:r>
            <w:r w:rsidRPr="004D0DAA">
              <w:rPr>
                <w:rFonts w:hint="eastAsia"/>
                <w:lang w:eastAsia="zh-CN"/>
              </w:rPr>
              <w:t>ices</w:t>
            </w:r>
            <w:r w:rsidRPr="004D0DAA">
              <w:rPr>
                <w:lang w:eastAsia="zh-CN"/>
              </w:rPr>
              <w:t xml:space="preserve"> in the</w:t>
            </w:r>
            <w:r w:rsidRPr="004D0DAA">
              <w:rPr>
                <w:rFonts w:hint="eastAsia"/>
                <w:lang w:eastAsia="zh-CN"/>
              </w:rPr>
              <w:t xml:space="preserve"> 3G</w:t>
            </w:r>
            <w:r w:rsidRPr="004D0DAA">
              <w:rPr>
                <w:lang w:eastAsia="zh-CN"/>
              </w:rPr>
              <w:t xml:space="preserve"> Neighbour Cell list shall take the opp</w:t>
            </w:r>
            <w:r w:rsidRPr="004D0DAA">
              <w:rPr>
                <w:rFonts w:hint="eastAsia"/>
                <w:lang w:eastAsia="zh-CN"/>
              </w:rPr>
              <w:t>o</w:t>
            </w:r>
            <w:r w:rsidRPr="004D0DAA">
              <w:rPr>
                <w:lang w:eastAsia="zh-CN"/>
              </w:rPr>
              <w:t>site value to that of the received Measurement_Control_UTRAN</w:t>
            </w:r>
            <w:r w:rsidRPr="004D0DAA">
              <w:rPr>
                <w:rFonts w:hint="eastAsia"/>
                <w:lang w:eastAsia="zh-CN"/>
              </w:rPr>
              <w:t>.</w:t>
            </w:r>
          </w:p>
        </w:tc>
      </w:tr>
      <w:tr w:rsidR="00711444" w:rsidRPr="004D0DAA" w14:paraId="1B3F48C2" w14:textId="77777777" w:rsidTr="00AA2A4C">
        <w:tblPrEx>
          <w:tblCellMar>
            <w:top w:w="0" w:type="dxa"/>
            <w:bottom w:w="0" w:type="dxa"/>
          </w:tblCellMar>
        </w:tblPrEx>
        <w:trPr>
          <w:cantSplit/>
          <w:jc w:val="center"/>
        </w:trPr>
        <w:tc>
          <w:tcPr>
            <w:tcW w:w="9855" w:type="dxa"/>
          </w:tcPr>
          <w:p w14:paraId="6BE715E1" w14:textId="77777777" w:rsidR="00711444" w:rsidRPr="004D0DAA" w:rsidRDefault="00711444" w:rsidP="00AA2A4C">
            <w:pPr>
              <w:rPr>
                <w:b/>
                <w:iCs/>
              </w:rPr>
            </w:pPr>
            <w:r w:rsidRPr="004D0DAA">
              <w:rPr>
                <w:b/>
              </w:rPr>
              <w:t xml:space="preserve">UTRAN_FREQUENCY_INDEX </w:t>
            </w:r>
            <w:r w:rsidRPr="004D0DAA">
              <w:t>(5 bit field)</w:t>
            </w:r>
            <w:r w:rsidRPr="004D0DAA">
              <w:br/>
              <w:t xml:space="preserve">This field is </w:t>
            </w:r>
            <w:r w:rsidRPr="004D0DAA">
              <w:rPr>
                <w:lang w:eastAsia="zh-CN"/>
              </w:rPr>
              <w:t>described in sub</w:t>
            </w:r>
            <w:r w:rsidRPr="004D0DAA">
              <w:rPr>
                <w:rFonts w:hint="eastAsia"/>
                <w:lang w:eastAsia="zh-CN"/>
              </w:rPr>
              <w:t>-</w:t>
            </w:r>
            <w:r w:rsidRPr="004D0DAA">
              <w:rPr>
                <w:lang w:eastAsia="zh-CN"/>
              </w:rPr>
              <w:t>clause 12.5</w:t>
            </w:r>
            <w:r w:rsidRPr="004D0DAA">
              <w:rPr>
                <w:rFonts w:hint="eastAsia"/>
                <w:lang w:eastAsia="zh-CN"/>
              </w:rPr>
              <w:t>2</w:t>
            </w:r>
            <w:r w:rsidRPr="004D0DAA">
              <w:t>.</w:t>
            </w:r>
          </w:p>
        </w:tc>
      </w:tr>
    </w:tbl>
    <w:p w14:paraId="65D7033B" w14:textId="77777777" w:rsidR="00711444" w:rsidRPr="004D0DAA" w:rsidRDefault="00711444" w:rsidP="00711444">
      <w:pPr>
        <w:rPr>
          <w:lang w:eastAsia="zh-CN"/>
        </w:rPr>
      </w:pPr>
    </w:p>
    <w:p w14:paraId="04A3D696" w14:textId="77777777" w:rsidR="00711444" w:rsidRPr="004D0DAA" w:rsidRDefault="00711444" w:rsidP="00711444">
      <w:pPr>
        <w:pStyle w:val="Heading2"/>
        <w:tabs>
          <w:tab w:val="left" w:pos="11520"/>
        </w:tabs>
      </w:pPr>
      <w:bookmarkStart w:id="851" w:name="_Toc516670027"/>
      <w:r w:rsidRPr="004D0DAA">
        <w:t>12.</w:t>
      </w:r>
      <w:r w:rsidRPr="004D0DAA">
        <w:rPr>
          <w:rFonts w:hint="eastAsia"/>
          <w:lang w:eastAsia="zh-CN"/>
        </w:rPr>
        <w:t>5</w:t>
      </w:r>
      <w:r w:rsidRPr="004D0DAA">
        <w:rPr>
          <w:lang w:eastAsia="zh-CN"/>
        </w:rPr>
        <w:t>7</w:t>
      </w:r>
      <w:r w:rsidRPr="004D0DAA">
        <w:tab/>
        <w:t>PCID Group</w:t>
      </w:r>
      <w:bookmarkEnd w:id="851"/>
    </w:p>
    <w:p w14:paraId="1C6BFE67" w14:textId="77777777" w:rsidR="00711444" w:rsidRPr="004D0DAA" w:rsidRDefault="00711444" w:rsidP="00711444">
      <w:pPr>
        <w:keepNext/>
        <w:keepLines/>
        <w:rPr>
          <w:rFonts w:hint="eastAsia"/>
          <w:lang w:eastAsia="zh-CN"/>
        </w:rPr>
      </w:pPr>
      <w:r w:rsidRPr="004D0DAA">
        <w:t xml:space="preserve">The </w:t>
      </w:r>
      <w:r w:rsidRPr="004D0DAA">
        <w:rPr>
          <w:i/>
          <w:lang w:eastAsia="zh-CN"/>
        </w:rPr>
        <w:t>PCID Group</w:t>
      </w:r>
      <w:r w:rsidRPr="004D0DAA">
        <w:t xml:space="preserve"> information element contains the description of a group of one or more physical layer cell identities for E-UTRAN cells (see 3GPP TS 36.211).</w:t>
      </w:r>
    </w:p>
    <w:p w14:paraId="760B7AF3" w14:textId="77777777" w:rsidR="00711444" w:rsidRPr="004D0DAA" w:rsidRDefault="00711444" w:rsidP="00711444">
      <w:pPr>
        <w:pStyle w:val="TH"/>
      </w:pPr>
      <w:r w:rsidRPr="004D0DAA">
        <w:t>Table 12.</w:t>
      </w:r>
      <w:r w:rsidRPr="004D0DAA">
        <w:rPr>
          <w:rFonts w:hint="eastAsia"/>
          <w:lang w:eastAsia="zh-CN"/>
        </w:rPr>
        <w:t>5</w:t>
      </w:r>
      <w:r w:rsidRPr="004D0DAA">
        <w:rPr>
          <w:lang w:eastAsia="zh-CN"/>
        </w:rPr>
        <w:t>7</w:t>
      </w:r>
      <w:r w:rsidRPr="004D0DAA">
        <w:t xml:space="preserve">.1: </w:t>
      </w:r>
      <w:r w:rsidRPr="004D0DAA">
        <w:rPr>
          <w:i/>
        </w:rPr>
        <w:t>PCID Group</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605735CD" w14:textId="77777777" w:rsidTr="00AA2A4C">
        <w:tblPrEx>
          <w:tblCellMar>
            <w:top w:w="0" w:type="dxa"/>
            <w:bottom w:w="0" w:type="dxa"/>
          </w:tblCellMar>
        </w:tblPrEx>
        <w:trPr>
          <w:cantSplit/>
        </w:trPr>
        <w:tc>
          <w:tcPr>
            <w:tcW w:w="9848" w:type="dxa"/>
          </w:tcPr>
          <w:p w14:paraId="3178ABB2" w14:textId="77777777" w:rsidR="00711444" w:rsidRPr="004D0DAA" w:rsidRDefault="00711444" w:rsidP="00AA2A4C">
            <w:pPr>
              <w:pStyle w:val="TAL"/>
              <w:rPr>
                <w:lang w:eastAsia="en-US"/>
              </w:rPr>
            </w:pPr>
            <w:r w:rsidRPr="004D0DAA">
              <w:rPr>
                <w:lang w:eastAsia="en-US"/>
              </w:rPr>
              <w:t>&lt; PCID Group IE &gt; ::=</w:t>
            </w:r>
          </w:p>
          <w:p w14:paraId="7D5FA965"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PCID</w:t>
            </w:r>
            <w:r w:rsidRPr="004D0DAA">
              <w:rPr>
                <w:lang w:eastAsia="en-US"/>
              </w:rPr>
              <w:t xml:space="preserve"> : bit (9) &gt; } ** 0   -- explicit PCID coding</w:t>
            </w:r>
          </w:p>
          <w:p w14:paraId="59F290CF"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PCID_BITMAP_GROUP</w:t>
            </w:r>
            <w:r w:rsidRPr="004D0DAA">
              <w:rPr>
                <w:lang w:eastAsia="en-US"/>
              </w:rPr>
              <w:t xml:space="preserve"> : bit (6) &gt; }</w:t>
            </w:r>
          </w:p>
          <w:p w14:paraId="49AA3EA0"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PCID_Pattern_length</w:t>
            </w:r>
            <w:r w:rsidRPr="004D0DAA">
              <w:rPr>
                <w:lang w:eastAsia="en-US"/>
              </w:rPr>
              <w:t xml:space="preserve"> : bit (3) &gt;</w:t>
            </w:r>
          </w:p>
          <w:p w14:paraId="23314968"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PCID_Pattern</w:t>
            </w:r>
            <w:r w:rsidRPr="004D0DAA">
              <w:rPr>
                <w:lang w:eastAsia="en-US"/>
              </w:rPr>
              <w:t xml:space="preserve"> : bit (val(PCID_Pattern_length + 1)) &gt;</w:t>
            </w:r>
          </w:p>
          <w:p w14:paraId="34D9E6FC" w14:textId="77777777" w:rsidR="00711444" w:rsidRPr="004D0DAA" w:rsidRDefault="00711444" w:rsidP="00AA2A4C">
            <w:pPr>
              <w:pStyle w:val="TAL"/>
              <w:rPr>
                <w:rFonts w:hint="eastAsia"/>
                <w:lang w:eastAsia="zh-CN"/>
              </w:rPr>
            </w:pPr>
            <w:r w:rsidRPr="004D0DAA">
              <w:rPr>
                <w:lang w:eastAsia="en-US"/>
              </w:rPr>
              <w:tab/>
            </w:r>
            <w:r w:rsidRPr="004D0DAA">
              <w:rPr>
                <w:lang w:eastAsia="en-US"/>
              </w:rPr>
              <w:tab/>
              <w:t xml:space="preserve">&lt; </w:t>
            </w:r>
            <w:r w:rsidRPr="004D0DAA">
              <w:rPr>
                <w:b/>
                <w:lang w:eastAsia="en-US"/>
              </w:rPr>
              <w:t>PCID_pattern_sense</w:t>
            </w:r>
            <w:r w:rsidRPr="004D0DAA">
              <w:rPr>
                <w:lang w:eastAsia="en-US"/>
              </w:rPr>
              <w:t xml:space="preserve"> : bit (1) &gt;</w:t>
            </w:r>
          </w:p>
          <w:p w14:paraId="267F20F9" w14:textId="77777777" w:rsidR="00711444" w:rsidRPr="004D0DAA" w:rsidRDefault="00711444" w:rsidP="00AA2A4C">
            <w:pPr>
              <w:pStyle w:val="TAL"/>
              <w:rPr>
                <w:rFonts w:hint="eastAsia"/>
                <w:lang w:eastAsia="zh-CN"/>
              </w:rPr>
            </w:pPr>
            <w:r w:rsidRPr="004D0DAA">
              <w:rPr>
                <w:lang w:eastAsia="en-US"/>
              </w:rPr>
              <w:tab/>
              <w:t>} ** 0</w:t>
            </w:r>
            <w:r w:rsidRPr="004D0DAA">
              <w:rPr>
                <w:rFonts w:hint="eastAsia"/>
                <w:lang w:eastAsia="zh-CN"/>
              </w:rPr>
              <w:t xml:space="preserve"> </w:t>
            </w:r>
            <w:r w:rsidRPr="004D0DAA">
              <w:rPr>
                <w:lang w:eastAsia="en-US"/>
              </w:rPr>
              <w:t>;</w:t>
            </w:r>
          </w:p>
          <w:p w14:paraId="7620B89C" w14:textId="77777777" w:rsidR="00711444" w:rsidRPr="004D0DAA" w:rsidRDefault="00711444" w:rsidP="00AA2A4C">
            <w:pPr>
              <w:pStyle w:val="TAL"/>
              <w:rPr>
                <w:szCs w:val="18"/>
                <w:lang w:eastAsia="en-US"/>
              </w:rPr>
            </w:pPr>
          </w:p>
        </w:tc>
      </w:tr>
    </w:tbl>
    <w:p w14:paraId="0CB7E081" w14:textId="77777777" w:rsidR="00711444" w:rsidRPr="004D0DAA" w:rsidRDefault="00711444" w:rsidP="00711444"/>
    <w:p w14:paraId="052C5EFA" w14:textId="77777777" w:rsidR="00711444" w:rsidRPr="004D0DAA" w:rsidRDefault="00711444" w:rsidP="00711444">
      <w:pPr>
        <w:pStyle w:val="TH"/>
      </w:pPr>
      <w:r w:rsidRPr="004D0DAA">
        <w:t>Table 12.</w:t>
      </w:r>
      <w:r w:rsidRPr="004D0DAA">
        <w:rPr>
          <w:rFonts w:hint="eastAsia"/>
          <w:lang w:eastAsia="zh-CN"/>
        </w:rPr>
        <w:t>5</w:t>
      </w:r>
      <w:r w:rsidRPr="004D0DAA">
        <w:rPr>
          <w:lang w:eastAsia="zh-CN"/>
        </w:rPr>
        <w:t>7</w:t>
      </w:r>
      <w:r w:rsidRPr="004D0DAA">
        <w:t xml:space="preserve">.2: </w:t>
      </w:r>
      <w:r w:rsidRPr="004D0DAA">
        <w:rPr>
          <w:i/>
        </w:rPr>
        <w:t>PCID Group</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41FFD9" w14:textId="77777777" w:rsidTr="00AA2A4C">
        <w:tblPrEx>
          <w:tblCellMar>
            <w:top w:w="0" w:type="dxa"/>
            <w:bottom w:w="0" w:type="dxa"/>
          </w:tblCellMar>
        </w:tblPrEx>
        <w:trPr>
          <w:cantSplit/>
        </w:trPr>
        <w:tc>
          <w:tcPr>
            <w:tcW w:w="9848" w:type="dxa"/>
          </w:tcPr>
          <w:p w14:paraId="12445372" w14:textId="77777777" w:rsidR="00711444" w:rsidRPr="004D0DAA" w:rsidRDefault="00711444" w:rsidP="00AA2A4C">
            <w:pPr>
              <w:spacing w:after="60"/>
              <w:rPr>
                <w:lang w:eastAsia="zh-CN"/>
              </w:rPr>
            </w:pPr>
            <w:r w:rsidRPr="004D0DAA">
              <w:rPr>
                <w:b/>
                <w:lang w:eastAsia="zh-CN"/>
              </w:rPr>
              <w:t xml:space="preserve">PCID </w:t>
            </w:r>
            <w:r w:rsidRPr="004D0DAA">
              <w:rPr>
                <w:lang w:eastAsia="zh-CN"/>
              </w:rPr>
              <w:t>(9 bit field)</w:t>
            </w:r>
            <w:r w:rsidRPr="004D0DAA">
              <w:br/>
            </w:r>
            <w:r w:rsidRPr="004D0DAA">
              <w:rPr>
                <w:lang w:eastAsia="zh-CN"/>
              </w:rPr>
              <w:t>This field specifies the physical layer cell identity of a single E-UTRAN cell.</w:t>
            </w:r>
          </w:p>
        </w:tc>
      </w:tr>
      <w:tr w:rsidR="00711444" w:rsidRPr="004D0DAA" w14:paraId="6EA02627" w14:textId="77777777" w:rsidTr="00AA2A4C">
        <w:tblPrEx>
          <w:tblCellMar>
            <w:top w:w="0" w:type="dxa"/>
            <w:bottom w:w="0" w:type="dxa"/>
          </w:tblCellMar>
        </w:tblPrEx>
        <w:trPr>
          <w:cantSplit/>
        </w:trPr>
        <w:tc>
          <w:tcPr>
            <w:tcW w:w="9848" w:type="dxa"/>
          </w:tcPr>
          <w:p w14:paraId="190113F5" w14:textId="77777777" w:rsidR="00711444" w:rsidRPr="004D0DAA" w:rsidRDefault="00711444" w:rsidP="00AA2A4C">
            <w:pPr>
              <w:spacing w:after="60"/>
              <w:rPr>
                <w:rFonts w:hint="eastAsia"/>
                <w:lang w:eastAsia="zh-CN"/>
              </w:rPr>
            </w:pPr>
            <w:r w:rsidRPr="004D0DAA">
              <w:rPr>
                <w:b/>
                <w:lang w:eastAsia="zh-CN"/>
              </w:rPr>
              <w:t>PCID_BITMAP_GROUP</w:t>
            </w:r>
            <w:r w:rsidRPr="004D0DAA">
              <w:rPr>
                <w:lang w:eastAsia="zh-CN"/>
              </w:rPr>
              <w:t xml:space="preserve"> (6 bit field)</w:t>
            </w:r>
            <w:r w:rsidRPr="004D0DAA">
              <w:br/>
            </w:r>
            <w:r w:rsidRPr="004D0DAA">
              <w:rPr>
                <w:rFonts w:hint="eastAsia"/>
                <w:lang w:eastAsia="zh-CN"/>
              </w:rPr>
              <w:t>Each</w:t>
            </w:r>
            <w:r w:rsidRPr="004D0DAA">
              <w:rPr>
                <w:lang w:eastAsia="zh-CN"/>
              </w:rPr>
              <w:t xml:space="preserve"> bit number n, where n can take the value from 1 to 6, represents the</w:t>
            </w:r>
            <w:r w:rsidRPr="004D0DAA">
              <w:t xml:space="preserve"> group of</w:t>
            </w:r>
            <w:r w:rsidRPr="004D0DAA">
              <w:rPr>
                <w:lang w:eastAsia="zh-CN"/>
              </w:rPr>
              <w:t xml:space="preserve"> PCID values in the range (n-1) * 84 to (n*84)-1 inclusive.</w:t>
            </w:r>
          </w:p>
          <w:p w14:paraId="59675599" w14:textId="77777777" w:rsidR="00711444" w:rsidRPr="004D0DAA" w:rsidRDefault="00711444" w:rsidP="00AA2A4C">
            <w:pPr>
              <w:spacing w:after="60"/>
              <w:rPr>
                <w:lang w:eastAsia="zh-CN"/>
              </w:rPr>
            </w:pPr>
            <w:r w:rsidRPr="004D0DAA">
              <w:rPr>
                <w:lang w:eastAsia="zh-CN"/>
              </w:rPr>
              <w:t>When this field is received as part of the Not Allowed Cells</w:t>
            </w:r>
            <w:r w:rsidRPr="004D0DAA">
              <w:rPr>
                <w:rFonts w:hint="eastAsia"/>
                <w:lang w:eastAsia="zh-CN"/>
              </w:rPr>
              <w:t xml:space="preserve"> IE</w:t>
            </w:r>
            <w:r w:rsidRPr="004D0DAA">
              <w:rPr>
                <w:lang w:eastAsia="zh-CN"/>
              </w:rPr>
              <w:t xml:space="preserve">, if bit number n is set to '1', then all cells </w:t>
            </w:r>
            <w:r w:rsidRPr="004D0DAA">
              <w:rPr>
                <w:rFonts w:hint="eastAsia"/>
                <w:lang w:eastAsia="zh-CN"/>
              </w:rPr>
              <w:t xml:space="preserve">whose PCID </w:t>
            </w:r>
            <w:r w:rsidRPr="004D0DAA">
              <w:rPr>
                <w:lang w:eastAsia="zh-CN"/>
              </w:rPr>
              <w:t>belong</w:t>
            </w:r>
            <w:r w:rsidRPr="004D0DAA">
              <w:rPr>
                <w:rFonts w:hint="eastAsia"/>
                <w:lang w:eastAsia="zh-CN"/>
              </w:rPr>
              <w:t>s</w:t>
            </w:r>
            <w:r w:rsidRPr="004D0DAA">
              <w:rPr>
                <w:lang w:eastAsia="zh-CN"/>
              </w:rPr>
              <w:t xml:space="preserve"> to the group identified by that bit are not allowed; correspondingly, if bit number n is set to '0', then all cells </w:t>
            </w:r>
            <w:r w:rsidRPr="004D0DAA">
              <w:rPr>
                <w:rFonts w:hint="eastAsia"/>
                <w:lang w:eastAsia="zh-CN"/>
              </w:rPr>
              <w:t xml:space="preserve">whose PCID </w:t>
            </w:r>
            <w:r w:rsidRPr="004D0DAA">
              <w:rPr>
                <w:lang w:eastAsia="zh-CN"/>
              </w:rPr>
              <w:t>belong</w:t>
            </w:r>
            <w:r w:rsidRPr="004D0DAA">
              <w:rPr>
                <w:rFonts w:hint="eastAsia"/>
                <w:lang w:eastAsia="zh-CN"/>
              </w:rPr>
              <w:t>s</w:t>
            </w:r>
            <w:r w:rsidRPr="004D0DAA">
              <w:rPr>
                <w:lang w:eastAsia="zh-CN"/>
              </w:rPr>
              <w:t xml:space="preserve"> to that group are allowed.</w:t>
            </w:r>
          </w:p>
          <w:p w14:paraId="6C4BC63D" w14:textId="77777777" w:rsidR="00711444" w:rsidRPr="004D0DAA" w:rsidRDefault="00711444" w:rsidP="00AA2A4C">
            <w:pPr>
              <w:spacing w:after="60"/>
              <w:rPr>
                <w:rFonts w:hint="eastAsia"/>
                <w:lang w:eastAsia="zh-CN"/>
              </w:rPr>
            </w:pPr>
            <w:r w:rsidRPr="004D0DAA">
              <w:rPr>
                <w:lang w:eastAsia="zh-CN"/>
              </w:rPr>
              <w:t xml:space="preserve">When this field is received as part of the CSG_PCI_SPLIT </w:t>
            </w:r>
            <w:r w:rsidRPr="004D0DAA">
              <w:rPr>
                <w:rFonts w:hint="eastAsia"/>
                <w:lang w:eastAsia="zh-CN"/>
              </w:rPr>
              <w:t>IE</w:t>
            </w:r>
            <w:r w:rsidRPr="004D0DAA">
              <w:rPr>
                <w:lang w:eastAsia="zh-CN"/>
              </w:rPr>
              <w:t xml:space="preserve">, if bit number n is set to '1', then all </w:t>
            </w:r>
            <w:r w:rsidRPr="004D0DAA">
              <w:rPr>
                <w:rFonts w:hint="eastAsia"/>
                <w:lang w:eastAsia="zh-CN"/>
              </w:rPr>
              <w:t xml:space="preserve">cells whose PCID </w:t>
            </w:r>
            <w:r w:rsidRPr="004D0DAA">
              <w:rPr>
                <w:lang w:eastAsia="zh-CN"/>
              </w:rPr>
              <w:t>belong</w:t>
            </w:r>
            <w:r w:rsidRPr="004D0DAA">
              <w:rPr>
                <w:rFonts w:hint="eastAsia"/>
                <w:lang w:eastAsia="zh-CN"/>
              </w:rPr>
              <w:t>s</w:t>
            </w:r>
            <w:r w:rsidRPr="004D0DAA">
              <w:rPr>
                <w:lang w:eastAsia="zh-CN"/>
              </w:rPr>
              <w:t xml:space="preserve"> to the group </w:t>
            </w:r>
            <w:r w:rsidRPr="004D0DAA">
              <w:rPr>
                <w:rFonts w:hint="eastAsia"/>
                <w:lang w:eastAsia="zh-CN"/>
              </w:rPr>
              <w:t>identified by</w:t>
            </w:r>
            <w:r w:rsidRPr="004D0DAA">
              <w:rPr>
                <w:lang w:eastAsia="zh-CN"/>
              </w:rPr>
              <w:t xml:space="preserve"> that bit are</w:t>
            </w:r>
            <w:r w:rsidRPr="004D0DAA">
              <w:rPr>
                <w:rFonts w:hint="eastAsia"/>
                <w:lang w:eastAsia="zh-CN"/>
              </w:rPr>
              <w:t xml:space="preserve"> part of the CSG</w:t>
            </w:r>
            <w:r w:rsidRPr="004D0DAA">
              <w:rPr>
                <w:lang w:eastAsia="zh-CN"/>
              </w:rPr>
              <w:t xml:space="preserve">; correspondingly, if bit number n is set to '0', then all </w:t>
            </w:r>
            <w:r w:rsidRPr="004D0DAA">
              <w:rPr>
                <w:rFonts w:hint="eastAsia"/>
                <w:lang w:eastAsia="zh-CN"/>
              </w:rPr>
              <w:t xml:space="preserve">cells whose PCID </w:t>
            </w:r>
            <w:r w:rsidRPr="004D0DAA">
              <w:rPr>
                <w:lang w:eastAsia="zh-CN"/>
              </w:rPr>
              <w:t>belong</w:t>
            </w:r>
            <w:r w:rsidRPr="004D0DAA">
              <w:rPr>
                <w:rFonts w:hint="eastAsia"/>
                <w:lang w:eastAsia="zh-CN"/>
              </w:rPr>
              <w:t>s</w:t>
            </w:r>
            <w:r w:rsidRPr="004D0DAA">
              <w:rPr>
                <w:lang w:eastAsia="zh-CN"/>
              </w:rPr>
              <w:t xml:space="preserve"> to that group </w:t>
            </w:r>
            <w:r w:rsidRPr="004D0DAA">
              <w:rPr>
                <w:rFonts w:hint="eastAsia"/>
                <w:lang w:eastAsia="zh-CN"/>
              </w:rPr>
              <w:t>are not part of the CSG</w:t>
            </w:r>
            <w:r w:rsidRPr="004D0DAA">
              <w:rPr>
                <w:lang w:eastAsia="zh-CN"/>
              </w:rPr>
              <w:t>.</w:t>
            </w:r>
          </w:p>
          <w:p w14:paraId="32011570" w14:textId="77777777" w:rsidR="00711444" w:rsidRPr="004D0DAA" w:rsidRDefault="00711444" w:rsidP="00AA2A4C">
            <w:pPr>
              <w:spacing w:after="60"/>
              <w:rPr>
                <w:lang w:eastAsia="zh-CN"/>
              </w:rPr>
            </w:pPr>
            <w:r w:rsidRPr="004D0DAA">
              <w:rPr>
                <w:lang w:eastAsia="zh-CN"/>
              </w:rPr>
              <w:t xml:space="preserve">When this field is received as part of the PCID to TA mapping </w:t>
            </w:r>
            <w:r w:rsidRPr="004D0DAA">
              <w:rPr>
                <w:rFonts w:hint="eastAsia"/>
                <w:lang w:eastAsia="zh-CN"/>
              </w:rPr>
              <w:t>IE</w:t>
            </w:r>
            <w:r w:rsidRPr="004D0DAA">
              <w:rPr>
                <w:lang w:eastAsia="zh-CN"/>
              </w:rPr>
              <w:t xml:space="preserve">, if bit number n is set to '1', then all </w:t>
            </w:r>
            <w:r w:rsidRPr="004D0DAA">
              <w:rPr>
                <w:rFonts w:hint="eastAsia"/>
                <w:lang w:eastAsia="zh-CN"/>
              </w:rPr>
              <w:t>cells whose PCID</w:t>
            </w:r>
            <w:r w:rsidRPr="004D0DAA">
              <w:rPr>
                <w:lang w:eastAsia="zh-CN"/>
              </w:rPr>
              <w:t xml:space="preserve"> belong</w:t>
            </w:r>
            <w:r w:rsidRPr="004D0DAA">
              <w:rPr>
                <w:rFonts w:hint="eastAsia"/>
                <w:lang w:eastAsia="zh-CN"/>
              </w:rPr>
              <w:t>s t</w:t>
            </w:r>
            <w:r w:rsidRPr="004D0DAA">
              <w:rPr>
                <w:lang w:eastAsia="zh-CN"/>
              </w:rPr>
              <w:t xml:space="preserve">o the group </w:t>
            </w:r>
            <w:r w:rsidRPr="004D0DAA">
              <w:rPr>
                <w:rFonts w:hint="eastAsia"/>
                <w:lang w:eastAsia="zh-CN"/>
              </w:rPr>
              <w:t xml:space="preserve">identified by </w:t>
            </w:r>
            <w:r w:rsidRPr="004D0DAA">
              <w:rPr>
                <w:lang w:eastAsia="zh-CN"/>
              </w:rPr>
              <w:t xml:space="preserve">that bit are </w:t>
            </w:r>
            <w:r w:rsidRPr="004D0DAA">
              <w:rPr>
                <w:rFonts w:hint="eastAsia"/>
                <w:lang w:eastAsia="zh-CN"/>
              </w:rPr>
              <w:t xml:space="preserve">part of the same TA, </w:t>
            </w:r>
            <w:r w:rsidRPr="004D0DAA">
              <w:rPr>
                <w:lang w:eastAsia="zh-CN"/>
              </w:rPr>
              <w:t xml:space="preserve">correspondingly, if bit number n is set to '0', then all </w:t>
            </w:r>
            <w:r w:rsidRPr="004D0DAA">
              <w:rPr>
                <w:rFonts w:hint="eastAsia"/>
                <w:lang w:eastAsia="zh-CN"/>
              </w:rPr>
              <w:t>cells</w:t>
            </w:r>
            <w:r w:rsidRPr="004D0DAA">
              <w:rPr>
                <w:lang w:eastAsia="zh-CN"/>
              </w:rPr>
              <w:t xml:space="preserve"> </w:t>
            </w:r>
            <w:r w:rsidRPr="004D0DAA">
              <w:rPr>
                <w:rFonts w:hint="eastAsia"/>
                <w:lang w:eastAsia="zh-CN"/>
              </w:rPr>
              <w:t xml:space="preserve">whose PCID </w:t>
            </w:r>
            <w:r w:rsidRPr="004D0DAA">
              <w:rPr>
                <w:lang w:eastAsia="zh-CN"/>
              </w:rPr>
              <w:t>belong</w:t>
            </w:r>
            <w:r w:rsidRPr="004D0DAA">
              <w:rPr>
                <w:rFonts w:hint="eastAsia"/>
                <w:lang w:eastAsia="zh-CN"/>
              </w:rPr>
              <w:t>s</w:t>
            </w:r>
            <w:r w:rsidRPr="004D0DAA">
              <w:rPr>
                <w:lang w:eastAsia="zh-CN"/>
              </w:rPr>
              <w:t xml:space="preserve"> to that group </w:t>
            </w:r>
            <w:r w:rsidRPr="004D0DAA">
              <w:rPr>
                <w:rFonts w:hint="eastAsia"/>
                <w:lang w:eastAsia="zh-CN"/>
              </w:rPr>
              <w:t xml:space="preserve">are not part of the </w:t>
            </w:r>
            <w:r w:rsidRPr="004D0DAA">
              <w:rPr>
                <w:lang w:eastAsia="zh-CN"/>
              </w:rPr>
              <w:t>same TA.</w:t>
            </w:r>
          </w:p>
        </w:tc>
      </w:tr>
      <w:tr w:rsidR="00711444" w:rsidRPr="004D0DAA" w14:paraId="2C6B17E2" w14:textId="77777777" w:rsidTr="00AA2A4C">
        <w:tblPrEx>
          <w:tblCellMar>
            <w:top w:w="0" w:type="dxa"/>
            <w:bottom w:w="0" w:type="dxa"/>
          </w:tblCellMar>
        </w:tblPrEx>
        <w:trPr>
          <w:cantSplit/>
        </w:trPr>
        <w:tc>
          <w:tcPr>
            <w:tcW w:w="9848" w:type="dxa"/>
          </w:tcPr>
          <w:p w14:paraId="10E4966A" w14:textId="77777777" w:rsidR="00711444" w:rsidRPr="004D0DAA" w:rsidRDefault="00711444" w:rsidP="00AA2A4C">
            <w:pPr>
              <w:spacing w:after="60"/>
              <w:rPr>
                <w:b/>
                <w:lang w:eastAsia="zh-CN"/>
              </w:rPr>
            </w:pPr>
            <w:r w:rsidRPr="004D0DAA">
              <w:rPr>
                <w:b/>
                <w:lang w:eastAsia="zh-CN"/>
              </w:rPr>
              <w:t xml:space="preserve">PCID_Pattern_length </w:t>
            </w:r>
            <w:r w:rsidRPr="004D0DAA">
              <w:rPr>
                <w:lang w:eastAsia="zh-CN"/>
              </w:rPr>
              <w:t>(3 bit field)</w:t>
            </w:r>
            <w:r w:rsidRPr="004D0DAA">
              <w:br/>
            </w:r>
            <w:r w:rsidRPr="004D0DAA">
              <w:rPr>
                <w:b/>
                <w:lang w:eastAsia="zh-CN"/>
              </w:rPr>
              <w:t>PCID_Pattern</w:t>
            </w:r>
            <w:r w:rsidRPr="004D0DAA">
              <w:br/>
            </w:r>
            <w:r w:rsidRPr="004D0DAA">
              <w:rPr>
                <w:b/>
                <w:lang w:eastAsia="zh-CN"/>
              </w:rPr>
              <w:t xml:space="preserve">PCID_pattern_sense </w:t>
            </w:r>
            <w:r w:rsidRPr="004D0DAA">
              <w:rPr>
                <w:lang w:eastAsia="zh-CN"/>
              </w:rPr>
              <w:t>(1 bit field)</w:t>
            </w:r>
            <w:r w:rsidRPr="004D0DAA">
              <w:br/>
              <w:t xml:space="preserve">If the PCID_pattern_sense bit is equal to '0' then the group of identified cells are those where </w:t>
            </w:r>
            <w:r w:rsidRPr="004D0DAA">
              <w:rPr>
                <w:lang w:eastAsia="zh-CN"/>
              </w:rPr>
              <w:t>the most significant bits of the physical layer cell identity are equal to "PCID_pattern"</w:t>
            </w:r>
            <w:r w:rsidRPr="004D0DAA">
              <w:t>. If the PCID_pattern_sense bit is equal to '1' then the group of identified cells is all those where the most significant bits of the physical layer cell identity are not equal to the PCID_pattern.</w:t>
            </w:r>
          </w:p>
        </w:tc>
      </w:tr>
    </w:tbl>
    <w:p w14:paraId="237FF57F" w14:textId="77777777" w:rsidR="00711444" w:rsidRPr="004D0DAA" w:rsidRDefault="00711444" w:rsidP="00711444"/>
    <w:p w14:paraId="7EF9CC0B" w14:textId="77777777" w:rsidR="00711444" w:rsidRPr="004D0DAA" w:rsidRDefault="00711444" w:rsidP="00711444">
      <w:pPr>
        <w:pStyle w:val="Heading2"/>
        <w:tabs>
          <w:tab w:val="left" w:pos="11520"/>
        </w:tabs>
      </w:pPr>
      <w:bookmarkStart w:id="852" w:name="_Toc516670028"/>
      <w:r w:rsidRPr="004D0DAA">
        <w:lastRenderedPageBreak/>
        <w:t>12.58</w:t>
      </w:r>
      <w:r w:rsidRPr="004D0DAA">
        <w:tab/>
        <w:t>PSC Group</w:t>
      </w:r>
      <w:bookmarkEnd w:id="852"/>
    </w:p>
    <w:p w14:paraId="5015CA11" w14:textId="77777777" w:rsidR="00711444" w:rsidRPr="004D0DAA" w:rsidRDefault="00711444" w:rsidP="00711444">
      <w:pPr>
        <w:keepNext/>
        <w:keepLines/>
        <w:rPr>
          <w:rFonts w:hint="eastAsia"/>
          <w:lang w:eastAsia="zh-CN"/>
        </w:rPr>
      </w:pPr>
      <w:r w:rsidRPr="004D0DAA">
        <w:t xml:space="preserve">The </w:t>
      </w:r>
      <w:r w:rsidRPr="004D0DAA">
        <w:rPr>
          <w:i/>
          <w:lang w:eastAsia="zh-CN"/>
        </w:rPr>
        <w:t>PSC Group</w:t>
      </w:r>
      <w:r w:rsidRPr="004D0DAA">
        <w:t xml:space="preserve"> information element contains the description of a group of one or more </w:t>
      </w:r>
      <w:r w:rsidRPr="004D0DAA">
        <w:rPr>
          <w:lang w:eastAsia="zh-CN"/>
        </w:rPr>
        <w:t xml:space="preserve">primary scrambling codes for UTRAN FDD cells (see 3GPP TS </w:t>
      </w:r>
      <w:r w:rsidRPr="004D0DAA">
        <w:rPr>
          <w:rFonts w:hint="eastAsia"/>
          <w:lang w:eastAsia="ja-JP"/>
        </w:rPr>
        <w:t>25.213</w:t>
      </w:r>
      <w:r w:rsidRPr="004D0DAA">
        <w:rPr>
          <w:lang w:eastAsia="zh-CN"/>
        </w:rPr>
        <w:t xml:space="preserve">) or </w:t>
      </w:r>
      <w:r w:rsidRPr="004D0DAA">
        <w:t xml:space="preserve">a group of one or more </w:t>
      </w:r>
      <w:r w:rsidRPr="004D0DAA">
        <w:rPr>
          <w:lang w:eastAsia="zh-CN"/>
        </w:rPr>
        <w:t>cell parameters for UTRAN TDD cells (see 3GPP TS 25.223)</w:t>
      </w:r>
      <w:r w:rsidRPr="004D0DAA">
        <w:t>.</w:t>
      </w:r>
    </w:p>
    <w:p w14:paraId="6EF5C29E" w14:textId="77777777" w:rsidR="00711444" w:rsidRPr="004D0DAA" w:rsidRDefault="00711444" w:rsidP="00711444">
      <w:pPr>
        <w:pStyle w:val="TH"/>
      </w:pPr>
      <w:r w:rsidRPr="004D0DAA">
        <w:t xml:space="preserve">Table 12.58.1: </w:t>
      </w:r>
      <w:r w:rsidRPr="004D0DAA">
        <w:rPr>
          <w:i/>
        </w:rPr>
        <w:t>PSC Group</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8CDCDCE" w14:textId="77777777" w:rsidTr="00AA2A4C">
        <w:tblPrEx>
          <w:tblCellMar>
            <w:top w:w="0" w:type="dxa"/>
            <w:bottom w:w="0" w:type="dxa"/>
          </w:tblCellMar>
        </w:tblPrEx>
        <w:trPr>
          <w:cantSplit/>
        </w:trPr>
        <w:tc>
          <w:tcPr>
            <w:tcW w:w="9848" w:type="dxa"/>
          </w:tcPr>
          <w:p w14:paraId="65381C6F" w14:textId="77777777" w:rsidR="00711444" w:rsidRPr="004D0DAA" w:rsidRDefault="00711444" w:rsidP="00AA2A4C">
            <w:pPr>
              <w:pStyle w:val="TAL"/>
              <w:rPr>
                <w:lang w:eastAsia="en-US"/>
              </w:rPr>
            </w:pPr>
            <w:r w:rsidRPr="004D0DAA">
              <w:rPr>
                <w:lang w:eastAsia="en-US"/>
              </w:rPr>
              <w:t>&lt; PSC Group IE &gt; ::=</w:t>
            </w:r>
          </w:p>
          <w:p w14:paraId="34A7C40A"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PSC</w:t>
            </w:r>
            <w:r w:rsidRPr="004D0DAA">
              <w:rPr>
                <w:lang w:eastAsia="en-US"/>
              </w:rPr>
              <w:t xml:space="preserve"> : bit (9) &gt; } ** 0</w:t>
            </w:r>
            <w:r w:rsidRPr="004D0DAA">
              <w:rPr>
                <w:lang w:eastAsia="en-US"/>
              </w:rPr>
              <w:tab/>
            </w:r>
            <w:r w:rsidRPr="004D0DAA">
              <w:rPr>
                <w:lang w:eastAsia="en-US"/>
              </w:rPr>
              <w:tab/>
            </w:r>
            <w:r w:rsidRPr="004D0DAA">
              <w:rPr>
                <w:lang w:eastAsia="en-US"/>
              </w:rPr>
              <w:tab/>
            </w:r>
            <w:r w:rsidRPr="004D0DAA">
              <w:rPr>
                <w:lang w:eastAsia="en-US"/>
              </w:rPr>
              <w:tab/>
              <w:t>-- explicit PSC coding</w:t>
            </w:r>
          </w:p>
          <w:p w14:paraId="231874D3"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PSC_Pattern_length</w:t>
            </w:r>
            <w:r w:rsidRPr="004D0DAA">
              <w:rPr>
                <w:lang w:eastAsia="en-US"/>
              </w:rPr>
              <w:t xml:space="preserve"> : bit (3) &gt;</w:t>
            </w:r>
          </w:p>
          <w:p w14:paraId="7C46772C"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PSC_Pattern</w:t>
            </w:r>
            <w:r w:rsidRPr="004D0DAA">
              <w:rPr>
                <w:lang w:eastAsia="en-US"/>
              </w:rPr>
              <w:t xml:space="preserve"> : bit (val(PSC_Pattern_length + 1)) &gt;</w:t>
            </w:r>
          </w:p>
          <w:p w14:paraId="3656DFDA"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PSC_pattern_sense</w:t>
            </w:r>
            <w:r w:rsidRPr="004D0DAA">
              <w:rPr>
                <w:lang w:eastAsia="en-US"/>
              </w:rPr>
              <w:t xml:space="preserve"> : bit (1) &gt;</w:t>
            </w:r>
          </w:p>
          <w:p w14:paraId="3DD67441" w14:textId="77777777" w:rsidR="00711444" w:rsidRPr="004D0DAA" w:rsidRDefault="00711444" w:rsidP="00AA2A4C">
            <w:pPr>
              <w:pStyle w:val="TAL"/>
              <w:rPr>
                <w:lang w:eastAsia="en-US"/>
              </w:rPr>
            </w:pPr>
            <w:r w:rsidRPr="004D0DAA">
              <w:rPr>
                <w:lang w:eastAsia="en-US"/>
              </w:rPr>
              <w:tab/>
              <w:t>} ** 0 ;</w:t>
            </w:r>
          </w:p>
          <w:p w14:paraId="6736B515" w14:textId="77777777" w:rsidR="00711444" w:rsidRPr="004D0DAA" w:rsidRDefault="00711444" w:rsidP="00AA2A4C">
            <w:pPr>
              <w:pStyle w:val="TAL"/>
              <w:rPr>
                <w:szCs w:val="18"/>
                <w:lang w:eastAsia="en-US"/>
              </w:rPr>
            </w:pPr>
          </w:p>
        </w:tc>
      </w:tr>
    </w:tbl>
    <w:p w14:paraId="4A5D363F" w14:textId="77777777" w:rsidR="00711444" w:rsidRPr="004D0DAA" w:rsidRDefault="00711444" w:rsidP="00711444"/>
    <w:p w14:paraId="74F6E3A1" w14:textId="77777777" w:rsidR="00711444" w:rsidRPr="004D0DAA" w:rsidRDefault="00711444" w:rsidP="00711444">
      <w:pPr>
        <w:pStyle w:val="TH"/>
      </w:pPr>
      <w:r w:rsidRPr="004D0DAA">
        <w:t xml:space="preserve">Table 12.58.2: </w:t>
      </w:r>
      <w:r w:rsidRPr="004D0DAA">
        <w:rPr>
          <w:i/>
        </w:rPr>
        <w:t>PSC Group</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F94787F" w14:textId="77777777" w:rsidTr="00AA2A4C">
        <w:tblPrEx>
          <w:tblCellMar>
            <w:top w:w="0" w:type="dxa"/>
            <w:bottom w:w="0" w:type="dxa"/>
          </w:tblCellMar>
        </w:tblPrEx>
        <w:trPr>
          <w:cantSplit/>
        </w:trPr>
        <w:tc>
          <w:tcPr>
            <w:tcW w:w="9848" w:type="dxa"/>
          </w:tcPr>
          <w:p w14:paraId="3E878209" w14:textId="77777777" w:rsidR="00711444" w:rsidRPr="004D0DAA" w:rsidRDefault="00711444" w:rsidP="00AA2A4C">
            <w:pPr>
              <w:spacing w:after="60"/>
              <w:rPr>
                <w:lang w:eastAsia="zh-CN"/>
              </w:rPr>
            </w:pPr>
            <w:r w:rsidRPr="004D0DAA">
              <w:rPr>
                <w:b/>
                <w:lang w:eastAsia="zh-CN"/>
              </w:rPr>
              <w:t xml:space="preserve">PSC </w:t>
            </w:r>
            <w:r w:rsidRPr="004D0DAA">
              <w:rPr>
                <w:lang w:eastAsia="zh-CN"/>
              </w:rPr>
              <w:t>(9 bit field)</w:t>
            </w:r>
            <w:r w:rsidRPr="004D0DAA">
              <w:rPr>
                <w:lang w:eastAsia="zh-CN"/>
              </w:rPr>
              <w:br/>
              <w:t>This field specifies the primary scrambling code of a single FDD cell or the cell parameter of a single TDD cell. For TDD cells, the Cell Parameter is contained in the 7 least significant bits of the field; the 2 most significant bits are ignored.</w:t>
            </w:r>
          </w:p>
        </w:tc>
      </w:tr>
      <w:tr w:rsidR="00711444" w:rsidRPr="004D0DAA" w14:paraId="739EC363" w14:textId="77777777" w:rsidTr="00AA2A4C">
        <w:tblPrEx>
          <w:tblCellMar>
            <w:top w:w="0" w:type="dxa"/>
            <w:bottom w:w="0" w:type="dxa"/>
          </w:tblCellMar>
        </w:tblPrEx>
        <w:trPr>
          <w:cantSplit/>
        </w:trPr>
        <w:tc>
          <w:tcPr>
            <w:tcW w:w="9848" w:type="dxa"/>
          </w:tcPr>
          <w:p w14:paraId="2DDF8930" w14:textId="77777777" w:rsidR="00711444" w:rsidRPr="004D0DAA" w:rsidRDefault="00711444" w:rsidP="00AA2A4C">
            <w:pPr>
              <w:spacing w:after="60"/>
              <w:rPr>
                <w:b/>
                <w:lang w:eastAsia="zh-CN"/>
              </w:rPr>
            </w:pPr>
            <w:r w:rsidRPr="004D0DAA">
              <w:rPr>
                <w:b/>
                <w:lang w:eastAsia="zh-CN"/>
              </w:rPr>
              <w:t xml:space="preserve">PSC_Pattern_length </w:t>
            </w:r>
            <w:r w:rsidRPr="004D0DAA">
              <w:rPr>
                <w:lang w:eastAsia="zh-CN"/>
              </w:rPr>
              <w:t>(3 bit field)</w:t>
            </w:r>
            <w:r w:rsidRPr="004D0DAA">
              <w:br/>
            </w:r>
            <w:r w:rsidRPr="004D0DAA">
              <w:rPr>
                <w:b/>
                <w:lang w:eastAsia="zh-CN"/>
              </w:rPr>
              <w:t>PSC_Pattern</w:t>
            </w:r>
            <w:r w:rsidRPr="004D0DAA">
              <w:br/>
            </w:r>
            <w:r w:rsidRPr="004D0DAA">
              <w:rPr>
                <w:b/>
                <w:lang w:eastAsia="zh-CN"/>
              </w:rPr>
              <w:t xml:space="preserve">PSC_pattern_sense </w:t>
            </w:r>
            <w:r w:rsidRPr="004D0DAA">
              <w:rPr>
                <w:lang w:eastAsia="zh-CN"/>
              </w:rPr>
              <w:t>(1 bit field)</w:t>
            </w:r>
            <w:r w:rsidRPr="004D0DAA">
              <w:br/>
              <w:t xml:space="preserve">If the PSC_pattern_sense bit is equal to '0' then the group of identified codes are those where </w:t>
            </w:r>
            <w:r w:rsidRPr="004D0DAA">
              <w:rPr>
                <w:lang w:eastAsia="zh-CN"/>
              </w:rPr>
              <w:t>the most significant bits of the primary scrambling code or the cell parameter are equal to "PSC_pattern"</w:t>
            </w:r>
            <w:r w:rsidRPr="004D0DAA">
              <w:t xml:space="preserve">. If the PSC_pattern_sense bit is equal to '1' then the group of identified codes is all those where the most significant bits of the </w:t>
            </w:r>
            <w:r w:rsidRPr="004D0DAA">
              <w:rPr>
                <w:lang w:eastAsia="zh-CN"/>
              </w:rPr>
              <w:t xml:space="preserve">primary scrambling code or cell parameter </w:t>
            </w:r>
            <w:r w:rsidRPr="004D0DAA">
              <w:t>are not equal to the PSC_pattern. For TDD frequencies, if the pattern contains more than 6 bits only the most significant 6 bits shall be used.</w:t>
            </w:r>
          </w:p>
        </w:tc>
      </w:tr>
    </w:tbl>
    <w:p w14:paraId="2CBA9BB6" w14:textId="77777777" w:rsidR="00711444" w:rsidRPr="004D0DAA" w:rsidRDefault="00711444" w:rsidP="00711444">
      <w:pPr>
        <w:rPr>
          <w:lang w:eastAsia="zh-CN"/>
        </w:rPr>
      </w:pPr>
    </w:p>
    <w:p w14:paraId="0DF45A94" w14:textId="77777777" w:rsidR="00711444" w:rsidRPr="004D0DAA" w:rsidRDefault="00711444" w:rsidP="00711444">
      <w:pPr>
        <w:pStyle w:val="Heading2"/>
        <w:tabs>
          <w:tab w:val="left" w:pos="10170"/>
        </w:tabs>
        <w:rPr>
          <w:rFonts w:hint="eastAsia"/>
        </w:rPr>
      </w:pPr>
      <w:bookmarkStart w:id="853" w:name="_Toc516670029"/>
      <w:r w:rsidRPr="004D0DAA">
        <w:t>12.59</w:t>
      </w:r>
      <w:r w:rsidRPr="004D0DAA">
        <w:tab/>
        <w:t>Enhanced Cell Reselection Parameters</w:t>
      </w:r>
      <w:bookmarkEnd w:id="853"/>
    </w:p>
    <w:p w14:paraId="7243A1DA" w14:textId="77777777" w:rsidR="00711444" w:rsidRPr="004D0DAA" w:rsidRDefault="00711444" w:rsidP="00711444">
      <w:pPr>
        <w:rPr>
          <w:lang w:eastAsia="zh-CN"/>
        </w:rPr>
      </w:pPr>
      <w:r w:rsidRPr="004D0DAA">
        <w:t>T</w:t>
      </w:r>
      <w:r w:rsidRPr="004D0DAA">
        <w:rPr>
          <w:rFonts w:hint="eastAsia"/>
        </w:rPr>
        <w:t xml:space="preserve">his information element </w:t>
      </w:r>
      <w:r w:rsidRPr="004D0DAA">
        <w:rPr>
          <w:rFonts w:hint="eastAsia"/>
          <w:lang w:eastAsia="zh-CN"/>
        </w:rPr>
        <w:t xml:space="preserve">is sent to provide </w:t>
      </w:r>
      <w:r w:rsidRPr="004D0DAA">
        <w:rPr>
          <w:lang w:eastAsia="zh-CN"/>
        </w:rPr>
        <w:t xml:space="preserve">information about parameters for enhanced cell reselection procedures </w:t>
      </w:r>
      <w:r w:rsidRPr="004D0DAA">
        <w:rPr>
          <w:bCs/>
        </w:rPr>
        <w:t>towards E-UTRAN cells</w:t>
      </w:r>
      <w:r w:rsidRPr="004D0DAA">
        <w:rPr>
          <w:lang w:eastAsia="zh-CN"/>
        </w:rPr>
        <w:t>, see 3GPP TS 45.008.</w:t>
      </w:r>
    </w:p>
    <w:p w14:paraId="27A509FB" w14:textId="77777777" w:rsidR="00711444" w:rsidRPr="004D0DAA" w:rsidRDefault="00711444" w:rsidP="00711444">
      <w:pPr>
        <w:pStyle w:val="TH"/>
      </w:pPr>
      <w:r w:rsidRPr="004D0DAA">
        <w:t>Table </w:t>
      </w:r>
      <w:r w:rsidRPr="004D0DAA">
        <w:rPr>
          <w:rFonts w:hint="eastAsia"/>
          <w:lang w:eastAsia="zh-CN"/>
        </w:rPr>
        <w:t>12.</w:t>
      </w:r>
      <w:r w:rsidRPr="004D0DAA">
        <w:rPr>
          <w:lang w:eastAsia="zh-CN"/>
        </w:rPr>
        <w:t>59</w:t>
      </w:r>
      <w:r w:rsidRPr="004D0DAA">
        <w:rPr>
          <w:rFonts w:hint="eastAsia"/>
          <w:lang w:eastAsia="zh-CN"/>
        </w:rPr>
        <w:t>.1</w:t>
      </w:r>
      <w:r w:rsidRPr="004D0DAA">
        <w:t>:</w:t>
      </w:r>
      <w:r w:rsidRPr="004D0DAA">
        <w:rPr>
          <w:rFonts w:hint="eastAsia"/>
          <w:i/>
        </w:rPr>
        <w:t xml:space="preserve"> </w:t>
      </w:r>
      <w:r w:rsidRPr="004D0DAA">
        <w:rPr>
          <w:i/>
        </w:rPr>
        <w:t xml:space="preserve">Enhanced Cell Reselection Parameters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41621FDD" w14:textId="77777777" w:rsidTr="00AA2A4C">
        <w:tblPrEx>
          <w:tblCellMar>
            <w:top w:w="0" w:type="dxa"/>
            <w:bottom w:w="0" w:type="dxa"/>
          </w:tblCellMar>
        </w:tblPrEx>
        <w:trPr>
          <w:cantSplit/>
          <w:jc w:val="center"/>
        </w:trPr>
        <w:tc>
          <w:tcPr>
            <w:tcW w:w="9463" w:type="dxa"/>
            <w:tcMar>
              <w:top w:w="57" w:type="dxa"/>
            </w:tcMar>
          </w:tcPr>
          <w:p w14:paraId="017C9750" w14:textId="77777777" w:rsidR="00711444" w:rsidRPr="004D0DAA" w:rsidRDefault="00711444" w:rsidP="00AA2A4C">
            <w:pPr>
              <w:pStyle w:val="TAL"/>
              <w:rPr>
                <w:lang w:eastAsia="en-US"/>
              </w:rPr>
            </w:pPr>
            <w:r w:rsidRPr="004D0DAA">
              <w:rPr>
                <w:lang w:eastAsia="en-US"/>
              </w:rPr>
              <w:t>&lt; Enhanced Cell Reselection Parameters IE &gt; ::=</w:t>
            </w:r>
            <w:r w:rsidRPr="004D0DAA">
              <w:rPr>
                <w:lang w:eastAsia="en-US"/>
              </w:rPr>
              <w:br/>
            </w:r>
            <w:r w:rsidRPr="004D0DAA">
              <w:rPr>
                <w:lang w:eastAsia="en-US"/>
              </w:rPr>
              <w:tab/>
              <w:t>{ 1</w:t>
            </w:r>
            <w:r w:rsidRPr="004D0DAA">
              <w:rPr>
                <w:lang w:eastAsia="en-US"/>
              </w:rPr>
              <w:tab/>
              <w:t xml:space="preserve">&lt; </w:t>
            </w:r>
            <w:r w:rsidRPr="004D0DAA">
              <w:rPr>
                <w:b/>
                <w:lang w:eastAsia="en-US"/>
              </w:rPr>
              <w:t>Repeated E-UTRAN Enhanced Cell Reselection Parameters</w:t>
            </w:r>
            <w:r w:rsidRPr="004D0DAA">
              <w:rPr>
                <w:lang w:eastAsia="en-US"/>
              </w:rPr>
              <w:t xml:space="preserve"> :</w:t>
            </w:r>
          </w:p>
          <w:p w14:paraId="23C58339" w14:textId="77777777" w:rsidR="00711444" w:rsidRPr="004D0DAA" w:rsidRDefault="00711444" w:rsidP="00AA2A4C">
            <w:pPr>
              <w:pStyle w:val="TAL"/>
              <w:rPr>
                <w:lang w:eastAsia="en-US"/>
              </w:rPr>
            </w:pPr>
            <w:r w:rsidRPr="004D0DAA">
              <w:rPr>
                <w:lang w:eastAsia="en-US"/>
              </w:rPr>
              <w:tab/>
            </w:r>
            <w:r w:rsidRPr="004D0DAA">
              <w:rPr>
                <w:lang w:eastAsia="en-US"/>
              </w:rPr>
              <w:tab/>
              <w:t>&lt; Repeated E-UTRAN Enhanced Cell Reselection Parameters struct &gt;&gt; } ** 0 ;</w:t>
            </w:r>
          </w:p>
          <w:p w14:paraId="6B47ED29" w14:textId="77777777" w:rsidR="00711444" w:rsidRPr="004D0DAA" w:rsidRDefault="00711444" w:rsidP="00AA2A4C">
            <w:pPr>
              <w:pStyle w:val="TAL"/>
              <w:rPr>
                <w:lang w:eastAsia="zh-CN"/>
              </w:rPr>
            </w:pPr>
          </w:p>
        </w:tc>
      </w:tr>
      <w:tr w:rsidR="00711444" w:rsidRPr="004D0DAA" w14:paraId="7659EA86" w14:textId="77777777" w:rsidTr="00AA2A4C">
        <w:tblPrEx>
          <w:tblCellMar>
            <w:top w:w="0" w:type="dxa"/>
            <w:bottom w:w="0" w:type="dxa"/>
          </w:tblCellMar>
        </w:tblPrEx>
        <w:trPr>
          <w:cantSplit/>
          <w:jc w:val="center"/>
        </w:trPr>
        <w:tc>
          <w:tcPr>
            <w:tcW w:w="9463" w:type="dxa"/>
            <w:tcMar>
              <w:top w:w="57" w:type="dxa"/>
            </w:tcMar>
          </w:tcPr>
          <w:p w14:paraId="6C6D3AF9" w14:textId="77777777" w:rsidR="00711444" w:rsidRPr="004D0DAA" w:rsidRDefault="00711444" w:rsidP="00AA2A4C">
            <w:pPr>
              <w:pStyle w:val="TAL"/>
              <w:rPr>
                <w:lang w:eastAsia="en-US"/>
              </w:rPr>
            </w:pPr>
            <w:r w:rsidRPr="004D0DAA">
              <w:rPr>
                <w:lang w:eastAsia="en-US"/>
              </w:rPr>
              <w:t>&lt; Repeated E-UTRAN Enhanced Cell Reselection Parameters struct &gt; ::=</w:t>
            </w:r>
            <w:r w:rsidRPr="004D0DAA">
              <w:rPr>
                <w:lang w:eastAsia="en-US"/>
              </w:rPr>
              <w:br/>
            </w:r>
            <w:r w:rsidRPr="004D0DAA">
              <w:rPr>
                <w:lang w:eastAsia="en-US"/>
              </w:rPr>
              <w:tab/>
              <w:t>{ 1</w:t>
            </w:r>
            <w:r w:rsidRPr="004D0DAA">
              <w:rPr>
                <w:lang w:eastAsia="en-US"/>
              </w:rPr>
              <w:tab/>
              <w:t xml:space="preserve">&lt; </w:t>
            </w:r>
            <w:r w:rsidRPr="004D0DAA">
              <w:rPr>
                <w:b/>
                <w:lang w:eastAsia="en-US"/>
              </w:rPr>
              <w:t>E-UTRAN_FREQUENCY_INDEX</w:t>
            </w:r>
            <w:r w:rsidRPr="004D0DAA">
              <w:rPr>
                <w:lang w:eastAsia="en-US"/>
              </w:rPr>
              <w:t xml:space="preserve"> : bit (3) &gt; } ** 0</w:t>
            </w:r>
          </w:p>
          <w:p w14:paraId="357C4C8E" w14:textId="77777777" w:rsidR="00711444" w:rsidRPr="004D0DAA" w:rsidRDefault="00711444" w:rsidP="00AA2A4C">
            <w:pPr>
              <w:pStyle w:val="TAL"/>
              <w:rPr>
                <w:i/>
                <w:lang w:eastAsia="en-US"/>
              </w:rPr>
            </w:pPr>
            <w:r w:rsidRPr="004D0DAA">
              <w:rPr>
                <w:lang w:eastAsia="en-US"/>
              </w:rPr>
              <w:tab/>
              <w:t>{ 0</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reselection based on target cell RSRP (RSRQ checked for suitability)</w:t>
            </w:r>
          </w:p>
          <w:p w14:paraId="7C91C537"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E-UTRAN_Qmin</w:t>
            </w:r>
            <w:r w:rsidRPr="004D0DAA">
              <w:rPr>
                <w:lang w:eastAsia="en-US"/>
              </w:rPr>
              <w:t>: bit(4) &gt;</w:t>
            </w:r>
          </w:p>
          <w:p w14:paraId="7F47C2D1"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reselection based on target cell RSRQ (RSRP checked for suitability)</w:t>
            </w:r>
          </w:p>
          <w:p w14:paraId="7F09C53B"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THRESH_E-UTRAN_high_Q</w:t>
            </w:r>
            <w:r w:rsidRPr="004D0DAA">
              <w:rPr>
                <w:lang w:eastAsia="en-US"/>
              </w:rPr>
              <w:t>: bit(5) &gt;</w:t>
            </w:r>
          </w:p>
          <w:p w14:paraId="34E06BA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THRESH_E-UTRAN_low_Q</w:t>
            </w:r>
            <w:r w:rsidRPr="004D0DAA">
              <w:rPr>
                <w:lang w:eastAsia="en-US"/>
              </w:rPr>
              <w:t>: bit(5) &gt; }</w:t>
            </w:r>
          </w:p>
          <w:p w14:paraId="208E01C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E-UTRAN_QQUALMIN</w:t>
            </w:r>
            <w:r w:rsidRPr="004D0DAA">
              <w:rPr>
                <w:lang w:eastAsia="en-US"/>
              </w:rPr>
              <w:t xml:space="preserve"> : bit(4) &gt; }</w:t>
            </w:r>
          </w:p>
          <w:p w14:paraId="02E7775B"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E-UTRAN_RSRPmin</w:t>
            </w:r>
            <w:r w:rsidRPr="004D0DAA">
              <w:rPr>
                <w:lang w:eastAsia="en-US"/>
              </w:rPr>
              <w:t xml:space="preserve"> : bit(5) &gt; }</w:t>
            </w:r>
          </w:p>
          <w:p w14:paraId="04DA90CA" w14:textId="77777777" w:rsidR="00711444" w:rsidRPr="004D0DAA" w:rsidRDefault="00711444" w:rsidP="00AA2A4C">
            <w:pPr>
              <w:pStyle w:val="TAL"/>
              <w:rPr>
                <w:lang w:eastAsia="en-US"/>
              </w:rPr>
            </w:pPr>
            <w:r w:rsidRPr="004D0DAA">
              <w:rPr>
                <w:lang w:eastAsia="en-US"/>
              </w:rPr>
              <w:tab/>
              <w:t>} ;</w:t>
            </w:r>
          </w:p>
          <w:p w14:paraId="4FF147BC" w14:textId="77777777" w:rsidR="00711444" w:rsidRPr="004D0DAA" w:rsidRDefault="00711444" w:rsidP="00AA2A4C">
            <w:pPr>
              <w:pStyle w:val="TAL"/>
              <w:rPr>
                <w:lang w:eastAsia="en-US"/>
              </w:rPr>
            </w:pPr>
          </w:p>
        </w:tc>
      </w:tr>
    </w:tbl>
    <w:p w14:paraId="72871588" w14:textId="77777777" w:rsidR="00711444" w:rsidRPr="004D0DAA" w:rsidRDefault="00711444" w:rsidP="00711444">
      <w:pPr>
        <w:rPr>
          <w:lang w:eastAsia="zh-CN"/>
        </w:rPr>
      </w:pPr>
    </w:p>
    <w:p w14:paraId="4351F02D" w14:textId="77777777" w:rsidR="00711444" w:rsidRPr="004D0DAA" w:rsidRDefault="00711444" w:rsidP="00711444">
      <w:pPr>
        <w:pStyle w:val="TH"/>
        <w:rPr>
          <w:rFonts w:hint="eastAsia"/>
          <w:lang w:eastAsia="zh-CN"/>
        </w:rPr>
      </w:pPr>
      <w:r w:rsidRPr="004D0DAA">
        <w:lastRenderedPageBreak/>
        <w:t>Table 1</w:t>
      </w:r>
      <w:r w:rsidRPr="004D0DAA">
        <w:rPr>
          <w:rFonts w:hint="eastAsia"/>
          <w:lang w:eastAsia="zh-CN"/>
        </w:rPr>
        <w:t>2.</w:t>
      </w:r>
      <w:r w:rsidRPr="004D0DAA">
        <w:rPr>
          <w:lang w:eastAsia="zh-CN"/>
        </w:rPr>
        <w:t>59</w:t>
      </w:r>
      <w:r w:rsidRPr="004D0DAA">
        <w:rPr>
          <w:rFonts w:hint="eastAsia"/>
          <w:lang w:eastAsia="zh-CN"/>
        </w:rPr>
        <w:t>.2</w:t>
      </w:r>
      <w:r w:rsidRPr="004D0DAA">
        <w:t>: </w:t>
      </w:r>
      <w:r w:rsidRPr="004D0DAA">
        <w:rPr>
          <w:i/>
        </w:rPr>
        <w:t xml:space="preserve">Enhanced Cell Reselection Parameters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463"/>
      </w:tblGrid>
      <w:tr w:rsidR="00711444" w:rsidRPr="004D0DAA" w14:paraId="0E7B6636" w14:textId="77777777" w:rsidTr="00AA2A4C">
        <w:tblPrEx>
          <w:tblCellMar>
            <w:top w:w="0" w:type="dxa"/>
            <w:bottom w:w="0" w:type="dxa"/>
          </w:tblCellMar>
        </w:tblPrEx>
        <w:trPr>
          <w:cantSplit/>
          <w:jc w:val="center"/>
        </w:trPr>
        <w:tc>
          <w:tcPr>
            <w:tcW w:w="9463" w:type="dxa"/>
            <w:tcMar>
              <w:top w:w="57" w:type="dxa"/>
            </w:tcMar>
            <w:vAlign w:val="center"/>
          </w:tcPr>
          <w:p w14:paraId="3977CC3C" w14:textId="77777777" w:rsidR="00711444" w:rsidRPr="004D0DAA" w:rsidRDefault="00711444" w:rsidP="00AA2A4C">
            <w:pPr>
              <w:spacing w:after="60"/>
              <w:rPr>
                <w:b/>
                <w:lang w:eastAsia="zh-CN"/>
              </w:rPr>
            </w:pPr>
            <w:r w:rsidRPr="004D0DAA">
              <w:rPr>
                <w:b/>
                <w:lang w:eastAsia="zh-CN"/>
              </w:rPr>
              <w:t>Repeated E-UTRAN Enhanced Cell Reselection Parameters struct</w:t>
            </w:r>
          </w:p>
          <w:p w14:paraId="43E2E420" w14:textId="77777777" w:rsidR="00711444" w:rsidRPr="004D0DAA" w:rsidRDefault="00711444" w:rsidP="00AA2A4C">
            <w:r w:rsidRPr="004D0DAA">
              <w:rPr>
                <w:b/>
              </w:rPr>
              <w:t>E-UTRAN_FREQUENCY_INDEX</w:t>
            </w:r>
            <w:r w:rsidRPr="004D0DAA">
              <w:t xml:space="preserve"> (3 bit field)</w:t>
            </w:r>
            <w:r w:rsidRPr="004D0DAA">
              <w:br/>
              <w:t>This field is defined in sub-clause 12.53.</w:t>
            </w:r>
          </w:p>
          <w:p w14:paraId="725680A8" w14:textId="77777777" w:rsidR="00711444" w:rsidRPr="004D0DAA" w:rsidRDefault="00711444" w:rsidP="00AA2A4C">
            <w:pPr>
              <w:spacing w:after="60"/>
              <w:rPr>
                <w:lang w:eastAsia="zh-CN"/>
              </w:rPr>
            </w:pPr>
            <w:r w:rsidRPr="004D0DAA">
              <w:rPr>
                <w:b/>
                <w:lang w:eastAsia="zh-CN"/>
              </w:rPr>
              <w:t>E-UTRAN_Qmin</w:t>
            </w:r>
            <w:r w:rsidRPr="004D0DAA">
              <w:rPr>
                <w:lang w:eastAsia="zh-CN"/>
              </w:rPr>
              <w:t xml:space="preserve"> (4 bit field)</w:t>
            </w:r>
            <w:r w:rsidRPr="004D0DAA">
              <w:rPr>
                <w:lang w:eastAsia="zh-CN"/>
              </w:rPr>
              <w:br/>
            </w:r>
            <w:r w:rsidRPr="004D0DAA">
              <w:rPr>
                <w:b/>
                <w:lang w:eastAsia="zh-CN"/>
              </w:rPr>
              <w:t>E-UTRAN_QQUALMIN</w:t>
            </w:r>
            <w:r w:rsidRPr="004D0DAA">
              <w:rPr>
                <w:lang w:eastAsia="zh-CN"/>
              </w:rPr>
              <w:t xml:space="preserve"> (4 bit field)</w:t>
            </w:r>
            <w:r w:rsidRPr="004D0DAA">
              <w:rPr>
                <w:lang w:eastAsia="zh-CN"/>
              </w:rPr>
              <w:br/>
            </w:r>
            <w:r w:rsidRPr="004D0DAA">
              <w:rPr>
                <w:b/>
                <w:lang w:eastAsia="zh-CN"/>
              </w:rPr>
              <w:t>E-UTRAN_RSRPmin</w:t>
            </w:r>
            <w:r w:rsidRPr="004D0DAA">
              <w:rPr>
                <w:lang w:eastAsia="zh-CN"/>
              </w:rPr>
              <w:t xml:space="preserve"> (5 bit field)</w:t>
            </w:r>
            <w:r w:rsidRPr="004D0DAA">
              <w:rPr>
                <w:lang w:eastAsia="zh-CN"/>
              </w:rPr>
              <w:br/>
            </w:r>
            <w:r w:rsidRPr="004D0DAA">
              <w:rPr>
                <w:b/>
                <w:lang w:eastAsia="zh-CN"/>
              </w:rPr>
              <w:t>THRESH_E-UTRAN_high_Q</w:t>
            </w:r>
            <w:r w:rsidRPr="004D0DAA">
              <w:rPr>
                <w:lang w:eastAsia="zh-CN"/>
              </w:rPr>
              <w:t xml:space="preserve"> (5 bit field)</w:t>
            </w:r>
            <w:r w:rsidRPr="004D0DAA">
              <w:rPr>
                <w:lang w:eastAsia="zh-CN"/>
              </w:rPr>
              <w:br/>
            </w:r>
            <w:r w:rsidRPr="004D0DAA">
              <w:rPr>
                <w:b/>
                <w:lang w:eastAsia="zh-CN"/>
              </w:rPr>
              <w:t>THRESH_E-UTRAN_low_Q</w:t>
            </w:r>
            <w:r w:rsidRPr="004D0DAA">
              <w:rPr>
                <w:lang w:eastAsia="zh-CN"/>
              </w:rPr>
              <w:t xml:space="preserve"> (5 bit field)</w:t>
            </w:r>
          </w:p>
          <w:p w14:paraId="7B928F7C" w14:textId="77777777" w:rsidR="00711444" w:rsidRPr="004D0DAA" w:rsidRDefault="00711444" w:rsidP="00AA2A4C">
            <w:pPr>
              <w:spacing w:after="60"/>
              <w:rPr>
                <w:lang w:eastAsia="zh-CN"/>
              </w:rPr>
            </w:pPr>
            <w:r w:rsidRPr="004D0DAA">
              <w:t xml:space="preserve">These fields </w:t>
            </w:r>
            <w:r w:rsidRPr="004D0DAA">
              <w:rPr>
                <w:lang w:eastAsia="zh-CN"/>
              </w:rPr>
              <w:t xml:space="preserve">are used for the </w:t>
            </w:r>
            <w:r w:rsidRPr="004D0DAA">
              <w:t>inter-RAT cell re-selection algorithm based on priority</w:t>
            </w:r>
            <w:r w:rsidRPr="004D0DAA">
              <w:rPr>
                <w:lang w:eastAsia="zh-CN"/>
              </w:rPr>
              <w:t xml:space="preserve">, as defined in 3GPP TS 45.008. </w:t>
            </w:r>
            <w:r w:rsidRPr="004D0DAA">
              <w:t xml:space="preserve">The parameters apply to each E-UTRAN frequency indexed within this structure. </w:t>
            </w:r>
            <w:r w:rsidRPr="004D0DAA">
              <w:rPr>
                <w:lang w:eastAsia="zh-CN"/>
              </w:rPr>
              <w:t>Any parameter present overwrites any old data held by the mobile station for these parameters.</w:t>
            </w:r>
          </w:p>
          <w:p w14:paraId="40977BF6" w14:textId="77777777" w:rsidR="00711444" w:rsidRPr="004D0DAA" w:rsidRDefault="00711444" w:rsidP="00AA2A4C">
            <w:r w:rsidRPr="004D0DAA">
              <w:t>If THRESH_E-UTRAN_low_Q is not present, then THRESH_E-UTRAN_low_Q shall take on the same value as THRESH_E-UTRAN_high_Q.</w:t>
            </w:r>
          </w:p>
        </w:tc>
      </w:tr>
    </w:tbl>
    <w:p w14:paraId="2F0CD0ED" w14:textId="77777777" w:rsidR="00711444" w:rsidRPr="004D0DAA" w:rsidRDefault="00711444" w:rsidP="00711444">
      <w:pPr>
        <w:rPr>
          <w:lang w:eastAsia="zh-CN"/>
        </w:rPr>
      </w:pPr>
    </w:p>
    <w:p w14:paraId="19B7ED7D" w14:textId="77777777" w:rsidR="00711444" w:rsidRPr="004D0DAA" w:rsidRDefault="00711444" w:rsidP="00711444">
      <w:pPr>
        <w:pStyle w:val="Heading2"/>
      </w:pPr>
      <w:bookmarkStart w:id="854" w:name="_Toc516670030"/>
      <w:r w:rsidRPr="004D0DAA">
        <w:t>12.60</w:t>
      </w:r>
      <w:r w:rsidRPr="004D0DAA">
        <w:tab/>
      </w:r>
      <w:r w:rsidRPr="004D0DAA">
        <w:rPr>
          <w:i/>
        </w:rPr>
        <w:t>E-UTRAN CSG Measurement Report</w:t>
      </w:r>
      <w:bookmarkEnd w:id="854"/>
    </w:p>
    <w:p w14:paraId="401EA2A3" w14:textId="77777777" w:rsidR="00711444" w:rsidRPr="004D0DAA" w:rsidRDefault="00711444" w:rsidP="00711444">
      <w:pPr>
        <w:keepNext/>
        <w:keepLines/>
      </w:pPr>
      <w:r w:rsidRPr="004D0DAA">
        <w:t xml:space="preserve">The </w:t>
      </w:r>
      <w:r w:rsidRPr="004D0DAA">
        <w:rPr>
          <w:i/>
        </w:rPr>
        <w:t>E-UTRAN CSG Measurement Report</w:t>
      </w:r>
      <w:r w:rsidRPr="004D0DAA">
        <w:t xml:space="preserve"> information element contains measurement results for one E-UTRAN CSG or hybrid neighbour cell identified via its Cell Identity.</w:t>
      </w:r>
    </w:p>
    <w:p w14:paraId="725212F7" w14:textId="77777777" w:rsidR="00711444" w:rsidRPr="004D0DAA" w:rsidRDefault="00711444" w:rsidP="00711444">
      <w:pPr>
        <w:pStyle w:val="TH"/>
      </w:pPr>
      <w:r w:rsidRPr="004D0DAA">
        <w:t xml:space="preserve">Table 12.60.1: </w:t>
      </w:r>
      <w:r w:rsidRPr="004D0DAA">
        <w:rPr>
          <w:i/>
        </w:rPr>
        <w:t>E</w:t>
      </w:r>
      <w:r w:rsidRPr="004D0DAA">
        <w:t>-</w:t>
      </w:r>
      <w:r w:rsidRPr="004D0DAA">
        <w:rPr>
          <w:i/>
        </w:rPr>
        <w:t>UTRAN CSG Measurement Report</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Change w:id="855">
          <w:tblGrid>
            <w:gridCol w:w="9848"/>
          </w:tblGrid>
        </w:tblGridChange>
      </w:tblGrid>
      <w:tr w:rsidR="00711444" w:rsidRPr="004D0DAA" w14:paraId="58A7F8FB" w14:textId="77777777" w:rsidTr="00AA2A4C">
        <w:tblPrEx>
          <w:tblCellMar>
            <w:top w:w="0" w:type="dxa"/>
            <w:bottom w:w="0" w:type="dxa"/>
          </w:tblCellMar>
        </w:tblPrEx>
        <w:trPr>
          <w:cantSplit/>
          <w:trHeight w:val="1297"/>
        </w:trPr>
        <w:tc>
          <w:tcPr>
            <w:tcW w:w="9848" w:type="dxa"/>
            <w:tcBorders>
              <w:bottom w:val="nil"/>
            </w:tcBorders>
          </w:tcPr>
          <w:p w14:paraId="51AE8012" w14:textId="77777777" w:rsidR="00711444" w:rsidRPr="004D0DAA" w:rsidRDefault="00711444" w:rsidP="00AA2A4C">
            <w:pPr>
              <w:pStyle w:val="TAL"/>
              <w:rPr>
                <w:lang w:eastAsia="en-US"/>
              </w:rPr>
            </w:pPr>
            <w:r w:rsidRPr="004D0DAA">
              <w:rPr>
                <w:lang w:eastAsia="en-US"/>
              </w:rPr>
              <w:t>&lt; E-UTRAN CSG Measurement Report IE &gt; ::=</w:t>
            </w:r>
          </w:p>
          <w:p w14:paraId="2E74139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E-UTRAN CI</w:t>
            </w:r>
            <w:r w:rsidRPr="004D0DAA">
              <w:rPr>
                <w:lang w:eastAsia="en-US"/>
              </w:rPr>
              <w:t xml:space="preserve"> : bit (28) &gt;</w:t>
            </w:r>
          </w:p>
          <w:p w14:paraId="361FAA7F"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Tracking Area Code</w:t>
            </w:r>
            <w:r w:rsidRPr="004D0DAA">
              <w:rPr>
                <w:lang w:eastAsia="en-US"/>
              </w:rPr>
              <w:t xml:space="preserve"> : bit (16) &gt;</w:t>
            </w:r>
          </w:p>
          <w:p w14:paraId="77DC9789" w14:textId="77777777" w:rsidR="00711444" w:rsidRPr="004D0DAA" w:rsidRDefault="00711444" w:rsidP="00AA2A4C">
            <w:pPr>
              <w:pStyle w:val="TAL"/>
              <w:rPr>
                <w:lang w:eastAsia="en-US"/>
              </w:rPr>
            </w:pPr>
            <w:r w:rsidRPr="004D0DAA">
              <w:rPr>
                <w:lang w:eastAsia="en-US"/>
              </w:rPr>
              <w:tab/>
              <w:t>{ 0</w:t>
            </w:r>
            <w:r w:rsidRPr="004D0DAA">
              <w:rPr>
                <w:lang w:eastAsia="en-US"/>
              </w:rPr>
              <w:tab/>
              <w:t>| 1</w:t>
            </w:r>
            <w:r w:rsidRPr="004D0DAA">
              <w:rPr>
                <w:lang w:eastAsia="en-US"/>
              </w:rPr>
              <w:tab/>
              <w:t xml:space="preserve">&lt; </w:t>
            </w:r>
            <w:r w:rsidRPr="004D0DAA">
              <w:rPr>
                <w:b/>
                <w:lang w:eastAsia="en-US"/>
              </w:rPr>
              <w:t>PLMN-ID</w:t>
            </w:r>
            <w:r w:rsidRPr="004D0DAA">
              <w:rPr>
                <w:lang w:eastAsia="en-US"/>
              </w:rPr>
              <w:t xml:space="preserve"> : &lt; PLMN-ID struct &gt; &gt; }</w:t>
            </w:r>
          </w:p>
          <w:p w14:paraId="64AE54F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CSG-ID</w:t>
            </w:r>
            <w:r w:rsidRPr="004D0DAA">
              <w:rPr>
                <w:lang w:eastAsia="en-US"/>
              </w:rPr>
              <w:t xml:space="preserve"> : bit (27) &gt;</w:t>
            </w:r>
          </w:p>
          <w:p w14:paraId="0EFE345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Access Mode</w:t>
            </w:r>
            <w:r w:rsidRPr="004D0DAA">
              <w:rPr>
                <w:lang w:eastAsia="en-US"/>
              </w:rPr>
              <w:t xml:space="preserve"> : bit (1) &gt;</w:t>
            </w:r>
          </w:p>
          <w:p w14:paraId="4929BDD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REPORTING_QUANTITY</w:t>
            </w:r>
            <w:r w:rsidRPr="004D0DAA">
              <w:rPr>
                <w:lang w:eastAsia="en-US"/>
              </w:rPr>
              <w:t xml:space="preserve"> : bit (6) &gt; ;</w:t>
            </w:r>
          </w:p>
          <w:p w14:paraId="61641C8B" w14:textId="77777777" w:rsidR="00711444" w:rsidRPr="004D0DAA" w:rsidRDefault="00711444" w:rsidP="00AA2A4C">
            <w:pPr>
              <w:pStyle w:val="TAL"/>
              <w:rPr>
                <w:lang w:eastAsia="en-US"/>
              </w:rPr>
            </w:pPr>
          </w:p>
        </w:tc>
      </w:tr>
      <w:tr w:rsidR="00711444" w:rsidRPr="004D0DAA" w14:paraId="1CED235C" w14:textId="77777777" w:rsidTr="00AA2A4C">
        <w:tblPrEx>
          <w:tblCellMar>
            <w:top w:w="0" w:type="dxa"/>
            <w:bottom w:w="0" w:type="dxa"/>
          </w:tblCellMar>
        </w:tblPrEx>
        <w:trPr>
          <w:cantSplit/>
        </w:trPr>
        <w:tc>
          <w:tcPr>
            <w:tcW w:w="9848" w:type="dxa"/>
            <w:tcBorders>
              <w:top w:val="nil"/>
            </w:tcBorders>
          </w:tcPr>
          <w:p w14:paraId="3F079205" w14:textId="77777777" w:rsidR="00711444" w:rsidRPr="004D0DAA" w:rsidRDefault="00711444" w:rsidP="00AA2A4C">
            <w:pPr>
              <w:pStyle w:val="TAL"/>
              <w:rPr>
                <w:lang w:eastAsia="en-US"/>
              </w:rPr>
            </w:pPr>
            <w:r w:rsidRPr="004D0DAA">
              <w:rPr>
                <w:lang w:eastAsia="en-US"/>
              </w:rPr>
              <w:t>&lt; PLMN-ID struct &gt; ::=</w:t>
            </w:r>
          </w:p>
          <w:p w14:paraId="2079A5AE"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MCC</w:t>
            </w:r>
            <w:r w:rsidRPr="004D0DAA">
              <w:rPr>
                <w:lang w:eastAsia="en-US"/>
              </w:rPr>
              <w:t xml:space="preserve"> : bit (12) &gt;</w:t>
            </w:r>
          </w:p>
          <w:p w14:paraId="75D5D235"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MNC</w:t>
            </w:r>
            <w:r w:rsidRPr="004D0DAA">
              <w:rPr>
                <w:lang w:eastAsia="en-US"/>
              </w:rPr>
              <w:t xml:space="preserve"> : bit (12) &gt; ;</w:t>
            </w:r>
          </w:p>
          <w:p w14:paraId="26EE3ED4" w14:textId="77777777" w:rsidR="00711444" w:rsidRPr="004D0DAA" w:rsidRDefault="00711444" w:rsidP="00AA2A4C">
            <w:pPr>
              <w:pStyle w:val="TAL"/>
              <w:rPr>
                <w:lang w:eastAsia="en-US"/>
              </w:rPr>
            </w:pPr>
          </w:p>
        </w:tc>
      </w:tr>
    </w:tbl>
    <w:p w14:paraId="507239D1" w14:textId="77777777" w:rsidR="00711444" w:rsidRPr="004D0DAA" w:rsidRDefault="00711444" w:rsidP="00711444"/>
    <w:p w14:paraId="4920E602" w14:textId="77777777" w:rsidR="00711444" w:rsidRPr="004D0DAA" w:rsidRDefault="00711444" w:rsidP="00711444">
      <w:pPr>
        <w:pStyle w:val="TH"/>
      </w:pPr>
      <w:r w:rsidRPr="004D0DAA">
        <w:lastRenderedPageBreak/>
        <w:t xml:space="preserve">Table 12.60.2: </w:t>
      </w:r>
      <w:r w:rsidRPr="004D0DAA">
        <w:rPr>
          <w:i/>
        </w:rPr>
        <w:t>E</w:t>
      </w:r>
      <w:r w:rsidRPr="004D0DAA">
        <w:t>-</w:t>
      </w:r>
      <w:r w:rsidRPr="004D0DAA">
        <w:rPr>
          <w:i/>
        </w:rPr>
        <w:t>UTRAN CSG Measurement Report</w:t>
      </w:r>
      <w:r w:rsidRPr="004D0DAA">
        <w:t xml:space="preserve"> 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B48621A" w14:textId="77777777" w:rsidTr="00AA2A4C">
        <w:tblPrEx>
          <w:tblCellMar>
            <w:top w:w="0" w:type="dxa"/>
            <w:bottom w:w="0" w:type="dxa"/>
          </w:tblCellMar>
        </w:tblPrEx>
        <w:trPr>
          <w:cantSplit/>
        </w:trPr>
        <w:tc>
          <w:tcPr>
            <w:tcW w:w="9848" w:type="dxa"/>
          </w:tcPr>
          <w:p w14:paraId="0E24C7D3" w14:textId="77777777" w:rsidR="00711444" w:rsidRPr="004D0DAA" w:rsidRDefault="00711444" w:rsidP="00AA2A4C">
            <w:r w:rsidRPr="004D0DAA">
              <w:rPr>
                <w:b/>
              </w:rPr>
              <w:t>E-UTRAN CGI</w:t>
            </w:r>
            <w:r w:rsidRPr="004D0DAA">
              <w:t xml:space="preserve"> (28 bit field)</w:t>
            </w:r>
            <w:r w:rsidRPr="004D0DAA">
              <w:br/>
              <w:t>This field contains the E-UTRAN Cell Identity (as defined in 3GPP</w:t>
            </w:r>
            <w:r w:rsidRPr="004D0DAA">
              <w:rPr>
                <w:lang w:eastAsia="zh-CN"/>
              </w:rPr>
              <w:t> </w:t>
            </w:r>
            <w:r w:rsidRPr="004D0DAA">
              <w:t>TS</w:t>
            </w:r>
            <w:r w:rsidRPr="004D0DAA">
              <w:rPr>
                <w:lang w:eastAsia="zh-CN"/>
              </w:rPr>
              <w:t> </w:t>
            </w:r>
            <w:r w:rsidRPr="004D0DAA">
              <w:t>23</w:t>
            </w:r>
            <w:r w:rsidRPr="004D0DAA">
              <w:rPr>
                <w:lang w:eastAsia="zh-CN"/>
              </w:rPr>
              <w:t>.</w:t>
            </w:r>
            <w:r w:rsidRPr="004D0DAA">
              <w:t>003) of the cell being reported.</w:t>
            </w:r>
          </w:p>
          <w:p w14:paraId="3412AF1D" w14:textId="77777777" w:rsidR="00711444" w:rsidRPr="004D0DAA" w:rsidRDefault="00711444" w:rsidP="00AA2A4C">
            <w:r w:rsidRPr="004D0DAA">
              <w:rPr>
                <w:b/>
              </w:rPr>
              <w:t>Tracking Area Code</w:t>
            </w:r>
            <w:r w:rsidRPr="004D0DAA">
              <w:t xml:space="preserve"> (16 bit field)</w:t>
            </w:r>
            <w:r w:rsidRPr="004D0DAA">
              <w:br/>
              <w:t>This field contains the tracking area code (as defined in 3GPP</w:t>
            </w:r>
            <w:r w:rsidRPr="004D0DAA">
              <w:rPr>
                <w:lang w:eastAsia="zh-CN"/>
              </w:rPr>
              <w:t> </w:t>
            </w:r>
            <w:r w:rsidRPr="004D0DAA">
              <w:t>TS</w:t>
            </w:r>
            <w:r w:rsidRPr="004D0DAA">
              <w:rPr>
                <w:lang w:eastAsia="zh-CN"/>
              </w:rPr>
              <w:t> </w:t>
            </w:r>
            <w:r w:rsidRPr="004D0DAA">
              <w:t>24</w:t>
            </w:r>
            <w:r w:rsidRPr="004D0DAA">
              <w:rPr>
                <w:lang w:eastAsia="zh-CN"/>
              </w:rPr>
              <w:t>.</w:t>
            </w:r>
            <w:r w:rsidRPr="004D0DAA">
              <w:t>301) of the cell being reported.</w:t>
            </w:r>
          </w:p>
          <w:p w14:paraId="4BD4AD9F" w14:textId="77777777" w:rsidR="00711444" w:rsidRPr="004D0DAA" w:rsidRDefault="00711444" w:rsidP="00AA2A4C">
            <w:r w:rsidRPr="004D0DAA">
              <w:rPr>
                <w:b/>
              </w:rPr>
              <w:t>PLMN-ID</w:t>
            </w:r>
            <w:r w:rsidRPr="004D0DAA">
              <w:br/>
              <w:t>This information element contains the primary PLMN-ID of the cell being reported (as defined in 3GPP TS 36.331). If this field is not present then the PLMN-ID of the target cell is the same as that of the serving cell.</w:t>
            </w:r>
          </w:p>
          <w:p w14:paraId="39158E8B" w14:textId="77777777" w:rsidR="00711444" w:rsidRPr="004D0DAA" w:rsidRDefault="00711444" w:rsidP="00AA2A4C">
            <w:r w:rsidRPr="004D0DAA">
              <w:rPr>
                <w:b/>
              </w:rPr>
              <w:t>CSG-ID</w:t>
            </w:r>
            <w:r w:rsidRPr="004D0DAA">
              <w:t xml:space="preserve"> (27 bit field)</w:t>
            </w:r>
            <w:r w:rsidRPr="004D0DAA">
              <w:br/>
              <w:t>This field contains the CSG identity (as defined in 3GPP</w:t>
            </w:r>
            <w:r w:rsidRPr="004D0DAA">
              <w:rPr>
                <w:lang w:eastAsia="zh-CN"/>
              </w:rPr>
              <w:t> </w:t>
            </w:r>
            <w:r w:rsidRPr="004D0DAA">
              <w:t>TS</w:t>
            </w:r>
            <w:r w:rsidRPr="004D0DAA">
              <w:rPr>
                <w:lang w:eastAsia="zh-CN"/>
              </w:rPr>
              <w:t> </w:t>
            </w:r>
            <w:r w:rsidRPr="004D0DAA">
              <w:t>23</w:t>
            </w:r>
            <w:r w:rsidRPr="004D0DAA">
              <w:rPr>
                <w:lang w:eastAsia="zh-CN"/>
              </w:rPr>
              <w:t>.</w:t>
            </w:r>
            <w:r w:rsidRPr="004D0DAA">
              <w:t>003) of the cell being reported.</w:t>
            </w:r>
          </w:p>
          <w:p w14:paraId="0B0A45EA" w14:textId="77777777" w:rsidR="00711444" w:rsidRPr="004D0DAA" w:rsidRDefault="00711444" w:rsidP="00AA2A4C">
            <w:r w:rsidRPr="004D0DAA">
              <w:rPr>
                <w:b/>
              </w:rPr>
              <w:t>Access Mode</w:t>
            </w:r>
            <w:r w:rsidRPr="004D0DAA">
              <w:t xml:space="preserve"> (1 bit field)</w:t>
            </w:r>
            <w:r w:rsidRPr="004D0DAA">
              <w:br/>
              <w:t>This field indicates the access mode of the reported cell. It is coded as follows:</w:t>
            </w:r>
            <w:r w:rsidRPr="004D0DAA">
              <w:br/>
              <w:t>0</w:t>
            </w:r>
            <w:r w:rsidRPr="004D0DAA">
              <w:tab/>
              <w:t>The reported cell is a closed access mode cell.</w:t>
            </w:r>
            <w:r w:rsidRPr="004D0DAA">
              <w:br/>
              <w:t>1</w:t>
            </w:r>
            <w:r w:rsidRPr="004D0DAA">
              <w:tab/>
              <w:t>The reported cell is a hybrid access mode cell.</w:t>
            </w:r>
          </w:p>
          <w:p w14:paraId="2428C633" w14:textId="77777777" w:rsidR="00711444" w:rsidRPr="004D0DAA" w:rsidRDefault="00711444" w:rsidP="00AA2A4C">
            <w:r w:rsidRPr="004D0DAA">
              <w:rPr>
                <w:b/>
              </w:rPr>
              <w:t>REPORTING_QUANTITY</w:t>
            </w:r>
            <w:r w:rsidRPr="004D0DAA">
              <w:t xml:space="preserve"> (6 bit field)</w:t>
            </w:r>
            <w:r w:rsidRPr="004D0DAA">
              <w:br/>
              <w:t>This is the reporting quantity for E-UTRAN cell identified by the E-UTRAN Global Cell Identity. The quantities are defined in 3GPP TS 45.008 for the respective Radio Access mode.</w:t>
            </w:r>
          </w:p>
        </w:tc>
      </w:tr>
      <w:tr w:rsidR="00711444" w:rsidRPr="004D0DAA" w14:paraId="38BB57E3" w14:textId="77777777" w:rsidTr="00AA2A4C">
        <w:tblPrEx>
          <w:tblCellMar>
            <w:top w:w="0" w:type="dxa"/>
            <w:bottom w:w="0" w:type="dxa"/>
          </w:tblCellMar>
        </w:tblPrEx>
        <w:trPr>
          <w:cantSplit/>
        </w:trPr>
        <w:tc>
          <w:tcPr>
            <w:tcW w:w="9848" w:type="dxa"/>
          </w:tcPr>
          <w:p w14:paraId="32E8558A" w14:textId="77777777" w:rsidR="00711444" w:rsidRPr="004D0DAA" w:rsidRDefault="00711444" w:rsidP="00AA2A4C">
            <w:pPr>
              <w:rPr>
                <w:b/>
                <w:i/>
              </w:rPr>
            </w:pPr>
            <w:r w:rsidRPr="004D0DAA">
              <w:rPr>
                <w:b/>
                <w:i/>
              </w:rPr>
              <w:t>PLMN-ID struct</w:t>
            </w:r>
          </w:p>
          <w:p w14:paraId="16265DA9" w14:textId="77777777" w:rsidR="00711444" w:rsidRPr="004D0DAA" w:rsidRDefault="00711444" w:rsidP="00AA2A4C">
            <w:r w:rsidRPr="004D0DAA">
              <w:rPr>
                <w:b/>
              </w:rPr>
              <w:t xml:space="preserve">MCC </w:t>
            </w:r>
            <w:r w:rsidRPr="004D0DAA">
              <w:t>(12 bit field)</w:t>
            </w:r>
            <w:r w:rsidRPr="004D0DAA">
              <w:br/>
              <w:t>This field contains the Mobile Country Code of the PLMN of the cell being reported.</w:t>
            </w:r>
          </w:p>
          <w:p w14:paraId="58E3DDA8" w14:textId="77777777" w:rsidR="00711444" w:rsidRPr="004D0DAA" w:rsidRDefault="00711444" w:rsidP="00AA2A4C">
            <w:pPr>
              <w:keepLines/>
              <w:rPr>
                <w:b/>
              </w:rPr>
            </w:pPr>
            <w:r w:rsidRPr="004D0DAA">
              <w:rPr>
                <w:b/>
              </w:rPr>
              <w:t xml:space="preserve">MNC </w:t>
            </w:r>
            <w:r w:rsidRPr="004D0DAA">
              <w:t>(12 bit field)</w:t>
            </w:r>
            <w:r w:rsidRPr="004D0DAA">
              <w:br/>
              <w:t>This field contains the Mobile Network Code of the PLMN of the cell being reported.</w:t>
            </w:r>
          </w:p>
        </w:tc>
      </w:tr>
    </w:tbl>
    <w:p w14:paraId="062781D9" w14:textId="77777777" w:rsidR="00711444" w:rsidRPr="004D0DAA" w:rsidRDefault="00711444" w:rsidP="00711444"/>
    <w:p w14:paraId="34AD2844" w14:textId="77777777" w:rsidR="00711444" w:rsidRPr="004D0DAA" w:rsidRDefault="00711444" w:rsidP="00711444">
      <w:pPr>
        <w:pStyle w:val="Heading2"/>
      </w:pPr>
      <w:bookmarkStart w:id="856" w:name="_Toc516670031"/>
      <w:r w:rsidRPr="004D0DAA">
        <w:t>12.61</w:t>
      </w:r>
      <w:r w:rsidRPr="004D0DAA">
        <w:tab/>
      </w:r>
      <w:r w:rsidRPr="004D0DAA">
        <w:rPr>
          <w:i/>
        </w:rPr>
        <w:t>UTRAN CSG Measurement Report</w:t>
      </w:r>
      <w:bookmarkEnd w:id="856"/>
    </w:p>
    <w:p w14:paraId="71EE88A6" w14:textId="77777777" w:rsidR="00711444" w:rsidRPr="004D0DAA" w:rsidRDefault="00711444" w:rsidP="00711444">
      <w:pPr>
        <w:keepNext/>
        <w:keepLines/>
      </w:pPr>
      <w:r w:rsidRPr="004D0DAA">
        <w:t xml:space="preserve">The </w:t>
      </w:r>
      <w:r w:rsidRPr="004D0DAA">
        <w:rPr>
          <w:i/>
        </w:rPr>
        <w:t>UTRAN CSG Measurement Report</w:t>
      </w:r>
      <w:r w:rsidRPr="004D0DAA">
        <w:t xml:space="preserve"> information element contains measurement results for a single UTRAN CSG or hybrid neighbour cell identified via its Cell Global Identity.</w:t>
      </w:r>
    </w:p>
    <w:p w14:paraId="66FD413D" w14:textId="77777777" w:rsidR="00711444" w:rsidRPr="004D0DAA" w:rsidRDefault="00711444" w:rsidP="00711444">
      <w:pPr>
        <w:pStyle w:val="TH"/>
      </w:pPr>
      <w:r w:rsidRPr="004D0DAA">
        <w:t xml:space="preserve">Table 12.61.1: </w:t>
      </w:r>
      <w:r w:rsidRPr="004D0DAA">
        <w:rPr>
          <w:i/>
        </w:rPr>
        <w:t>UTRAN CSG Measurement Report</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Change w:id="857">
          <w:tblGrid>
            <w:gridCol w:w="9848"/>
          </w:tblGrid>
        </w:tblGridChange>
      </w:tblGrid>
      <w:tr w:rsidR="00711444" w:rsidRPr="004D0DAA" w14:paraId="36A155A4" w14:textId="77777777" w:rsidTr="00AA2A4C">
        <w:tblPrEx>
          <w:tblCellMar>
            <w:top w:w="0" w:type="dxa"/>
            <w:bottom w:w="0" w:type="dxa"/>
          </w:tblCellMar>
        </w:tblPrEx>
        <w:trPr>
          <w:cantSplit/>
        </w:trPr>
        <w:tc>
          <w:tcPr>
            <w:tcW w:w="9848" w:type="dxa"/>
            <w:tcBorders>
              <w:bottom w:val="nil"/>
            </w:tcBorders>
          </w:tcPr>
          <w:p w14:paraId="1CBCA198" w14:textId="77777777" w:rsidR="00711444" w:rsidRPr="004D0DAA" w:rsidRDefault="00711444" w:rsidP="00AA2A4C">
            <w:pPr>
              <w:pStyle w:val="TAL"/>
              <w:rPr>
                <w:lang w:eastAsia="en-US"/>
              </w:rPr>
            </w:pPr>
            <w:r w:rsidRPr="004D0DAA">
              <w:rPr>
                <w:lang w:eastAsia="en-US"/>
              </w:rPr>
              <w:t>&lt; UTRAN CSG Measurement Report IE &gt; ::=</w:t>
            </w:r>
          </w:p>
          <w:p w14:paraId="0B90154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UTRAN CGI</w:t>
            </w:r>
            <w:r w:rsidRPr="004D0DAA">
              <w:rPr>
                <w:lang w:eastAsia="en-US"/>
              </w:rPr>
              <w:t xml:space="preserve"> : bit (28) &gt;</w:t>
            </w:r>
          </w:p>
          <w:p w14:paraId="318DA641" w14:textId="77777777" w:rsidR="00711444" w:rsidRPr="004D0DAA" w:rsidRDefault="00711444" w:rsidP="00AA2A4C">
            <w:pPr>
              <w:pStyle w:val="TAL"/>
              <w:rPr>
                <w:lang w:eastAsia="en-US"/>
              </w:rPr>
            </w:pPr>
            <w:r w:rsidRPr="004D0DAA">
              <w:rPr>
                <w:lang w:eastAsia="en-US"/>
              </w:rPr>
              <w:tab/>
              <w:t>{ 0</w:t>
            </w:r>
            <w:r w:rsidRPr="004D0DAA">
              <w:rPr>
                <w:lang w:eastAsia="en-US"/>
              </w:rPr>
              <w:tab/>
              <w:t>| 1</w:t>
            </w:r>
            <w:r w:rsidRPr="004D0DAA">
              <w:rPr>
                <w:lang w:eastAsia="en-US"/>
              </w:rPr>
              <w:tab/>
              <w:t xml:space="preserve">&lt; </w:t>
            </w:r>
            <w:r w:rsidRPr="004D0DAA">
              <w:rPr>
                <w:b/>
                <w:lang w:eastAsia="en-US"/>
              </w:rPr>
              <w:t>PLMN-ID</w:t>
            </w:r>
            <w:r w:rsidRPr="004D0DAA">
              <w:rPr>
                <w:lang w:eastAsia="en-US"/>
              </w:rPr>
              <w:t xml:space="preserve"> : &lt; PLMN-ID struct &gt; &gt; }</w:t>
            </w:r>
          </w:p>
          <w:p w14:paraId="222FD472"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CSG-ID</w:t>
            </w:r>
            <w:r w:rsidRPr="004D0DAA">
              <w:rPr>
                <w:lang w:eastAsia="en-US"/>
              </w:rPr>
              <w:t xml:space="preserve"> : bit (27) &gt;</w:t>
            </w:r>
          </w:p>
          <w:p w14:paraId="1FF5E22C"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Access Mode</w:t>
            </w:r>
            <w:r w:rsidRPr="004D0DAA">
              <w:rPr>
                <w:lang w:eastAsia="en-US"/>
              </w:rPr>
              <w:t xml:space="preserve"> : bit (1) &gt;</w:t>
            </w:r>
          </w:p>
          <w:p w14:paraId="36F273C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REPORTING_QUANTITY</w:t>
            </w:r>
            <w:r w:rsidRPr="004D0DAA">
              <w:rPr>
                <w:lang w:eastAsia="en-US"/>
              </w:rPr>
              <w:t xml:space="preserve"> : bit (6) &gt; ;</w:t>
            </w:r>
          </w:p>
          <w:p w14:paraId="0E5038D7" w14:textId="77777777" w:rsidR="00711444" w:rsidRPr="004D0DAA" w:rsidRDefault="00711444" w:rsidP="00AA2A4C">
            <w:pPr>
              <w:pStyle w:val="TAL"/>
              <w:rPr>
                <w:lang w:eastAsia="en-US"/>
              </w:rPr>
            </w:pPr>
          </w:p>
        </w:tc>
      </w:tr>
      <w:tr w:rsidR="00711444" w:rsidRPr="004D0DAA" w14:paraId="4AD6CE45" w14:textId="77777777" w:rsidTr="00AA2A4C">
        <w:tblPrEx>
          <w:tblCellMar>
            <w:top w:w="0" w:type="dxa"/>
            <w:bottom w:w="0" w:type="dxa"/>
          </w:tblCellMar>
        </w:tblPrEx>
        <w:trPr>
          <w:cantSplit/>
        </w:trPr>
        <w:tc>
          <w:tcPr>
            <w:tcW w:w="9848" w:type="dxa"/>
            <w:tcBorders>
              <w:top w:val="nil"/>
            </w:tcBorders>
          </w:tcPr>
          <w:p w14:paraId="665F3DA2" w14:textId="77777777" w:rsidR="00711444" w:rsidRPr="004D0DAA" w:rsidRDefault="00711444" w:rsidP="00AA2A4C">
            <w:pPr>
              <w:pStyle w:val="TAL"/>
              <w:rPr>
                <w:lang w:eastAsia="en-US"/>
              </w:rPr>
            </w:pPr>
            <w:r w:rsidRPr="004D0DAA">
              <w:rPr>
                <w:lang w:eastAsia="en-US"/>
              </w:rPr>
              <w:t>&lt; PLMN-ID struct &gt; ::=</w:t>
            </w:r>
          </w:p>
          <w:p w14:paraId="6ECC4D82"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MCC</w:t>
            </w:r>
            <w:r w:rsidRPr="004D0DAA">
              <w:rPr>
                <w:lang w:eastAsia="en-US"/>
              </w:rPr>
              <w:t xml:space="preserve"> : bit (12) &gt;</w:t>
            </w:r>
          </w:p>
          <w:p w14:paraId="2EC67661"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MNC</w:t>
            </w:r>
            <w:r w:rsidRPr="004D0DAA">
              <w:rPr>
                <w:lang w:eastAsia="en-US"/>
              </w:rPr>
              <w:t xml:space="preserve"> : bit (12) &gt; ;</w:t>
            </w:r>
          </w:p>
          <w:p w14:paraId="0EB82E59" w14:textId="77777777" w:rsidR="00711444" w:rsidRPr="004D0DAA" w:rsidRDefault="00711444" w:rsidP="00AA2A4C">
            <w:pPr>
              <w:pStyle w:val="TAL"/>
              <w:rPr>
                <w:lang w:eastAsia="en-US"/>
              </w:rPr>
            </w:pPr>
          </w:p>
        </w:tc>
      </w:tr>
    </w:tbl>
    <w:p w14:paraId="2DB400EA" w14:textId="77777777" w:rsidR="00711444" w:rsidRPr="004D0DAA" w:rsidRDefault="00711444" w:rsidP="00711444"/>
    <w:p w14:paraId="6D93CE4C" w14:textId="77777777" w:rsidR="00711444" w:rsidRPr="004D0DAA" w:rsidRDefault="00711444" w:rsidP="00711444">
      <w:pPr>
        <w:pStyle w:val="TH"/>
      </w:pPr>
      <w:r w:rsidRPr="004D0DAA">
        <w:lastRenderedPageBreak/>
        <w:t xml:space="preserve">Table 12.61.2: </w:t>
      </w:r>
      <w:r w:rsidRPr="004D0DAA">
        <w:rPr>
          <w:i/>
        </w:rPr>
        <w:t>UTRAN CSG Measurement Report</w:t>
      </w:r>
      <w:r w:rsidRPr="004D0DAA">
        <w:t xml:space="preserve"> 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59123F5" w14:textId="77777777" w:rsidTr="00AA2A4C">
        <w:tblPrEx>
          <w:tblCellMar>
            <w:top w:w="0" w:type="dxa"/>
            <w:bottom w:w="0" w:type="dxa"/>
          </w:tblCellMar>
        </w:tblPrEx>
        <w:trPr>
          <w:cantSplit/>
        </w:trPr>
        <w:tc>
          <w:tcPr>
            <w:tcW w:w="9848" w:type="dxa"/>
          </w:tcPr>
          <w:p w14:paraId="5A5E29C7" w14:textId="77777777" w:rsidR="00711444" w:rsidRPr="004D0DAA" w:rsidRDefault="00711444" w:rsidP="00AA2A4C">
            <w:r w:rsidRPr="004D0DAA">
              <w:rPr>
                <w:b/>
              </w:rPr>
              <w:t>UTRAN CI</w:t>
            </w:r>
            <w:r w:rsidRPr="004D0DAA">
              <w:t xml:space="preserve"> (28 bit field)</w:t>
            </w:r>
            <w:r w:rsidRPr="004D0DAA">
              <w:br/>
              <w:t>This field contains the Cell Identity (as defined in 3GPP</w:t>
            </w:r>
            <w:r w:rsidRPr="004D0DAA">
              <w:rPr>
                <w:lang w:eastAsia="zh-CN"/>
              </w:rPr>
              <w:t> </w:t>
            </w:r>
            <w:r w:rsidRPr="004D0DAA">
              <w:t>TS</w:t>
            </w:r>
            <w:r w:rsidRPr="004D0DAA">
              <w:rPr>
                <w:lang w:eastAsia="zh-CN"/>
              </w:rPr>
              <w:t> 25.</w:t>
            </w:r>
            <w:r w:rsidRPr="004D0DAA">
              <w:t>331) of the cell being reported.</w:t>
            </w:r>
          </w:p>
          <w:p w14:paraId="69758DFC" w14:textId="77777777" w:rsidR="00711444" w:rsidRPr="004D0DAA" w:rsidRDefault="00711444" w:rsidP="00AA2A4C">
            <w:r w:rsidRPr="004D0DAA">
              <w:rPr>
                <w:b/>
              </w:rPr>
              <w:t>PLMN-ID</w:t>
            </w:r>
            <w:r w:rsidRPr="004D0DAA">
              <w:t xml:space="preserve"> </w:t>
            </w:r>
            <w:r w:rsidRPr="004D0DAA">
              <w:br/>
              <w:t>This information element contains the primary PLMN-ID of the cell being reported (as defined in 3GPP</w:t>
            </w:r>
            <w:r w:rsidRPr="004D0DAA">
              <w:rPr>
                <w:lang w:eastAsia="zh-CN"/>
              </w:rPr>
              <w:t> </w:t>
            </w:r>
            <w:r w:rsidRPr="004D0DAA">
              <w:t>TS</w:t>
            </w:r>
            <w:r w:rsidRPr="004D0DAA">
              <w:rPr>
                <w:lang w:eastAsia="zh-CN"/>
              </w:rPr>
              <w:t> 25.</w:t>
            </w:r>
            <w:r w:rsidRPr="004D0DAA">
              <w:t>331). If this field is not present then the PLMN-ID of the target cell is the same as that of the serving cell.</w:t>
            </w:r>
          </w:p>
          <w:p w14:paraId="5DD4DC74" w14:textId="77777777" w:rsidR="00711444" w:rsidRPr="004D0DAA" w:rsidRDefault="00711444" w:rsidP="00AA2A4C">
            <w:r w:rsidRPr="004D0DAA">
              <w:rPr>
                <w:b/>
              </w:rPr>
              <w:t>CSG-ID</w:t>
            </w:r>
            <w:r w:rsidRPr="004D0DAA">
              <w:t xml:space="preserve"> (27 bit field)</w:t>
            </w:r>
            <w:r w:rsidRPr="004D0DAA">
              <w:br/>
              <w:t>This field contains the CSG identity (as defined in 3GPP</w:t>
            </w:r>
            <w:r w:rsidRPr="004D0DAA">
              <w:rPr>
                <w:lang w:eastAsia="zh-CN"/>
              </w:rPr>
              <w:t> </w:t>
            </w:r>
            <w:r w:rsidRPr="004D0DAA">
              <w:t>TS</w:t>
            </w:r>
            <w:r w:rsidRPr="004D0DAA">
              <w:rPr>
                <w:lang w:eastAsia="zh-CN"/>
              </w:rPr>
              <w:t> </w:t>
            </w:r>
            <w:r w:rsidRPr="004D0DAA">
              <w:t>23</w:t>
            </w:r>
            <w:r w:rsidRPr="004D0DAA">
              <w:rPr>
                <w:lang w:eastAsia="zh-CN"/>
              </w:rPr>
              <w:t>.</w:t>
            </w:r>
            <w:r w:rsidRPr="004D0DAA">
              <w:t>003) of the cell being reported.</w:t>
            </w:r>
          </w:p>
          <w:p w14:paraId="4A1A3B29" w14:textId="77777777" w:rsidR="00711444" w:rsidRPr="004D0DAA" w:rsidRDefault="00711444" w:rsidP="00AA2A4C">
            <w:r w:rsidRPr="004D0DAA">
              <w:rPr>
                <w:b/>
              </w:rPr>
              <w:t>Access Mode</w:t>
            </w:r>
            <w:r w:rsidRPr="004D0DAA">
              <w:t xml:space="preserve"> (1 bit field)</w:t>
            </w:r>
            <w:r w:rsidRPr="004D0DAA">
              <w:br/>
              <w:t>This field indicates the access mode of the reported cell. It is coded as follows:</w:t>
            </w:r>
            <w:r w:rsidRPr="004D0DAA">
              <w:br/>
              <w:t>0</w:t>
            </w:r>
            <w:r w:rsidRPr="004D0DAA">
              <w:tab/>
              <w:t>The reported cell is a closed access mode cell.</w:t>
            </w:r>
            <w:r w:rsidRPr="004D0DAA">
              <w:br/>
              <w:t>1</w:t>
            </w:r>
            <w:r w:rsidRPr="004D0DAA">
              <w:tab/>
              <w:t>The reported cell is a hybrid access mode cell.</w:t>
            </w:r>
          </w:p>
          <w:p w14:paraId="6B5C78BF" w14:textId="77777777" w:rsidR="00711444" w:rsidRPr="004D0DAA" w:rsidRDefault="00711444" w:rsidP="00AA2A4C">
            <w:r w:rsidRPr="004D0DAA">
              <w:rPr>
                <w:b/>
              </w:rPr>
              <w:t>REPORTING_QUANTITY</w:t>
            </w:r>
            <w:r w:rsidRPr="004D0DAA">
              <w:t xml:space="preserve"> (6 bit field)</w:t>
            </w:r>
            <w:r w:rsidRPr="004D0DAA">
              <w:br/>
              <w:t>This is the reporting quantity for UTRAN cell identified by the UTRAN Global Cell Identity. The quantities are defined in 3GPP TS 45.008 for the respective Radio Access mode.</w:t>
            </w:r>
          </w:p>
        </w:tc>
      </w:tr>
      <w:tr w:rsidR="00711444" w:rsidRPr="004D0DAA" w14:paraId="0A505781" w14:textId="77777777" w:rsidTr="00AA2A4C">
        <w:tblPrEx>
          <w:tblCellMar>
            <w:top w:w="0" w:type="dxa"/>
            <w:bottom w:w="0" w:type="dxa"/>
          </w:tblCellMar>
        </w:tblPrEx>
        <w:trPr>
          <w:cantSplit/>
        </w:trPr>
        <w:tc>
          <w:tcPr>
            <w:tcW w:w="9848" w:type="dxa"/>
          </w:tcPr>
          <w:p w14:paraId="3C1D4F7C" w14:textId="77777777" w:rsidR="00711444" w:rsidRPr="004D0DAA" w:rsidRDefault="00711444" w:rsidP="00AA2A4C">
            <w:pPr>
              <w:rPr>
                <w:b/>
                <w:i/>
              </w:rPr>
            </w:pPr>
            <w:r w:rsidRPr="004D0DAA">
              <w:rPr>
                <w:b/>
                <w:i/>
              </w:rPr>
              <w:t>PLMN-ID struct</w:t>
            </w:r>
          </w:p>
          <w:p w14:paraId="4B7F2DF3" w14:textId="77777777" w:rsidR="00711444" w:rsidRPr="004D0DAA" w:rsidRDefault="00711444" w:rsidP="00AA2A4C">
            <w:r w:rsidRPr="004D0DAA">
              <w:rPr>
                <w:b/>
              </w:rPr>
              <w:t xml:space="preserve">MCC </w:t>
            </w:r>
            <w:r w:rsidRPr="004D0DAA">
              <w:t>(12 bit field)</w:t>
            </w:r>
            <w:r w:rsidRPr="004D0DAA">
              <w:br/>
              <w:t>This field contains the Mobile Country Code of the PLMN of the cell being reported.</w:t>
            </w:r>
          </w:p>
          <w:p w14:paraId="69129E50" w14:textId="77777777" w:rsidR="00711444" w:rsidRPr="004D0DAA" w:rsidRDefault="00711444" w:rsidP="00AA2A4C">
            <w:pPr>
              <w:keepLines/>
              <w:rPr>
                <w:b/>
              </w:rPr>
            </w:pPr>
            <w:r w:rsidRPr="004D0DAA">
              <w:rPr>
                <w:b/>
              </w:rPr>
              <w:t xml:space="preserve">MNC </w:t>
            </w:r>
            <w:r w:rsidRPr="004D0DAA">
              <w:t>(12 bit field)</w:t>
            </w:r>
            <w:r w:rsidRPr="004D0DAA">
              <w:br/>
              <w:t>This field contains the Mobile Network Code of the PLMN of the cell being reported.</w:t>
            </w:r>
          </w:p>
        </w:tc>
      </w:tr>
    </w:tbl>
    <w:p w14:paraId="4739ADAE" w14:textId="77777777" w:rsidR="00711444" w:rsidRPr="004D0DAA" w:rsidRDefault="00711444" w:rsidP="00711444"/>
    <w:p w14:paraId="0AC8C06F" w14:textId="77777777" w:rsidR="00711444" w:rsidRPr="004D0DAA" w:rsidRDefault="00711444" w:rsidP="00711444">
      <w:pPr>
        <w:pStyle w:val="Heading2"/>
      </w:pPr>
      <w:bookmarkStart w:id="858" w:name="_Toc516670032"/>
      <w:r w:rsidRPr="004D0DAA">
        <w:t>12.62</w:t>
      </w:r>
      <w:r w:rsidRPr="004D0DAA">
        <w:tab/>
        <w:t>E-UTRAN CSG Target cell</w:t>
      </w:r>
      <w:bookmarkEnd w:id="858"/>
    </w:p>
    <w:p w14:paraId="528B1C18" w14:textId="77777777" w:rsidR="00711444" w:rsidRPr="004D0DAA" w:rsidRDefault="00711444" w:rsidP="00711444">
      <w:pPr>
        <w:keepNext/>
        <w:keepLines/>
      </w:pPr>
      <w:r w:rsidRPr="004D0DAA">
        <w:t xml:space="preserve">The </w:t>
      </w:r>
      <w:r w:rsidRPr="004D0DAA">
        <w:rPr>
          <w:i/>
        </w:rPr>
        <w:t>E-UTRAN CSG Target cell</w:t>
      </w:r>
      <w:r w:rsidRPr="004D0DAA">
        <w:t xml:space="preserve"> information element contains the description of an E-UTRAN CSG Target cell.</w:t>
      </w:r>
    </w:p>
    <w:p w14:paraId="3DC1A048" w14:textId="77777777" w:rsidR="00711444" w:rsidRPr="004D0DAA" w:rsidRDefault="00711444" w:rsidP="00711444">
      <w:pPr>
        <w:pStyle w:val="TH"/>
      </w:pPr>
      <w:r w:rsidRPr="004D0DAA">
        <w:t xml:space="preserve">Table 12.62.1: </w:t>
      </w:r>
      <w:r w:rsidRPr="004D0DAA">
        <w:rPr>
          <w:i/>
        </w:rPr>
        <w:t>E-UTRAN CSG Target cell</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7BDB781" w14:textId="77777777" w:rsidTr="00AA2A4C">
        <w:tblPrEx>
          <w:tblCellMar>
            <w:top w:w="0" w:type="dxa"/>
            <w:bottom w:w="0" w:type="dxa"/>
          </w:tblCellMar>
        </w:tblPrEx>
        <w:trPr>
          <w:cantSplit/>
        </w:trPr>
        <w:tc>
          <w:tcPr>
            <w:tcW w:w="9848" w:type="dxa"/>
          </w:tcPr>
          <w:p w14:paraId="482EC2A5" w14:textId="77777777" w:rsidR="00711444" w:rsidRPr="004D0DAA" w:rsidRDefault="00711444" w:rsidP="00AA2A4C">
            <w:pPr>
              <w:pStyle w:val="TAL"/>
              <w:rPr>
                <w:lang w:eastAsia="en-US"/>
              </w:rPr>
            </w:pPr>
            <w:r w:rsidRPr="004D0DAA">
              <w:rPr>
                <w:lang w:eastAsia="en-US"/>
              </w:rPr>
              <w:t>&lt; E-UTRAN CSG Target cell IE &gt; ::=</w:t>
            </w:r>
          </w:p>
          <w:p w14:paraId="44EE21A3" w14:textId="77777777" w:rsidR="00711444" w:rsidRPr="004D0DAA" w:rsidRDefault="00711444" w:rsidP="00AA2A4C">
            <w:pPr>
              <w:pStyle w:val="TAL"/>
              <w:rPr>
                <w:lang w:eastAsia="en-US"/>
              </w:rPr>
            </w:pPr>
            <w:r w:rsidRPr="004D0DAA">
              <w:rPr>
                <w:lang w:eastAsia="en-US"/>
              </w:rPr>
              <w:tab/>
            </w:r>
            <w:r w:rsidRPr="004D0DAA">
              <w:rPr>
                <w:lang w:eastAsia="en-US"/>
              </w:rPr>
              <w:tab/>
              <w:t>&lt;</w:t>
            </w:r>
            <w:r w:rsidRPr="004D0DAA">
              <w:rPr>
                <w:b/>
                <w:lang w:eastAsia="en-US"/>
              </w:rPr>
              <w:t>E-</w:t>
            </w:r>
            <w:r w:rsidRPr="004D0DAA">
              <w:rPr>
                <w:lang w:eastAsia="en-US"/>
              </w:rPr>
              <w:t xml:space="preserve"> </w:t>
            </w:r>
            <w:r w:rsidRPr="004D0DAA">
              <w:rPr>
                <w:b/>
                <w:lang w:eastAsia="en-US"/>
              </w:rPr>
              <w:t>UTRAN CI</w:t>
            </w:r>
            <w:r w:rsidRPr="004D0DAA">
              <w:rPr>
                <w:lang w:eastAsia="en-US"/>
              </w:rPr>
              <w:t xml:space="preserve"> : bit (28) &gt;</w:t>
            </w:r>
          </w:p>
          <w:p w14:paraId="7E8D410E"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Tracking Area Code</w:t>
            </w:r>
            <w:r w:rsidRPr="004D0DAA">
              <w:rPr>
                <w:lang w:eastAsia="en-US"/>
              </w:rPr>
              <w:t xml:space="preserve"> : bit (16) &gt;</w:t>
            </w:r>
          </w:p>
          <w:p w14:paraId="0C05A3EF"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1</w:t>
            </w:r>
            <w:r w:rsidRPr="004D0DAA">
              <w:rPr>
                <w:lang w:eastAsia="en-US"/>
              </w:rPr>
              <w:tab/>
              <w:t xml:space="preserve">&lt; </w:t>
            </w:r>
            <w:r w:rsidRPr="004D0DAA">
              <w:rPr>
                <w:b/>
                <w:lang w:eastAsia="en-US"/>
              </w:rPr>
              <w:t>PLMN-ID</w:t>
            </w:r>
            <w:r w:rsidRPr="004D0DAA">
              <w:rPr>
                <w:lang w:eastAsia="en-US"/>
              </w:rPr>
              <w:t xml:space="preserve"> : &lt; PLMN-ID struct &gt; &gt; } ;</w:t>
            </w:r>
          </w:p>
          <w:p w14:paraId="4F6EC664" w14:textId="77777777" w:rsidR="00711444" w:rsidRPr="004D0DAA" w:rsidRDefault="00711444" w:rsidP="00AA2A4C">
            <w:pPr>
              <w:pStyle w:val="TAL"/>
              <w:rPr>
                <w:lang w:eastAsia="en-US"/>
              </w:rPr>
            </w:pPr>
          </w:p>
        </w:tc>
      </w:tr>
      <w:tr w:rsidR="00711444" w:rsidRPr="004D0DAA" w14:paraId="38D1F9A0" w14:textId="77777777" w:rsidTr="00AA2A4C">
        <w:tblPrEx>
          <w:tblCellMar>
            <w:top w:w="0" w:type="dxa"/>
            <w:bottom w:w="0" w:type="dxa"/>
          </w:tblCellMar>
        </w:tblPrEx>
        <w:trPr>
          <w:cantSplit/>
        </w:trPr>
        <w:tc>
          <w:tcPr>
            <w:tcW w:w="9848" w:type="dxa"/>
          </w:tcPr>
          <w:p w14:paraId="7435AD25" w14:textId="77777777" w:rsidR="00711444" w:rsidRPr="004D0DAA" w:rsidRDefault="00711444" w:rsidP="00AA2A4C">
            <w:pPr>
              <w:pStyle w:val="TAL"/>
              <w:rPr>
                <w:lang w:eastAsia="en-US"/>
              </w:rPr>
            </w:pPr>
            <w:r w:rsidRPr="004D0DAA">
              <w:rPr>
                <w:lang w:eastAsia="en-US"/>
              </w:rPr>
              <w:t>&lt; PLMN-ID struct &gt; ::=</w:t>
            </w:r>
          </w:p>
          <w:p w14:paraId="4A406A1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MCC</w:t>
            </w:r>
            <w:r w:rsidRPr="004D0DAA">
              <w:rPr>
                <w:lang w:eastAsia="en-US"/>
              </w:rPr>
              <w:t xml:space="preserve"> : bit (12) &gt;</w:t>
            </w:r>
          </w:p>
          <w:p w14:paraId="2433B62D"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MNC</w:t>
            </w:r>
            <w:r w:rsidRPr="004D0DAA">
              <w:rPr>
                <w:lang w:eastAsia="en-US"/>
              </w:rPr>
              <w:t xml:space="preserve"> : bit (12) &gt; ;</w:t>
            </w:r>
          </w:p>
          <w:p w14:paraId="6EE09571" w14:textId="77777777" w:rsidR="00711444" w:rsidRPr="004D0DAA" w:rsidRDefault="00711444" w:rsidP="00AA2A4C">
            <w:pPr>
              <w:pStyle w:val="TAL"/>
              <w:rPr>
                <w:lang w:eastAsia="en-US"/>
              </w:rPr>
            </w:pPr>
          </w:p>
        </w:tc>
      </w:tr>
    </w:tbl>
    <w:p w14:paraId="6A62466A" w14:textId="77777777" w:rsidR="00711444" w:rsidRPr="004D0DAA" w:rsidRDefault="00711444" w:rsidP="00711444"/>
    <w:p w14:paraId="573441CC" w14:textId="77777777" w:rsidR="00711444" w:rsidRPr="004D0DAA" w:rsidRDefault="00711444" w:rsidP="00711444">
      <w:pPr>
        <w:pStyle w:val="TH"/>
      </w:pPr>
      <w:r w:rsidRPr="004D0DAA">
        <w:t xml:space="preserve">Table 12.62.2: </w:t>
      </w:r>
      <w:r w:rsidRPr="004D0DAA">
        <w:rPr>
          <w:i/>
        </w:rPr>
        <w:t>E-UTRAN CSG Target cell</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A8BF987" w14:textId="77777777" w:rsidTr="00AA2A4C">
        <w:tblPrEx>
          <w:tblCellMar>
            <w:top w:w="0" w:type="dxa"/>
            <w:bottom w:w="0" w:type="dxa"/>
          </w:tblCellMar>
        </w:tblPrEx>
        <w:trPr>
          <w:cantSplit/>
        </w:trPr>
        <w:tc>
          <w:tcPr>
            <w:tcW w:w="9848" w:type="dxa"/>
          </w:tcPr>
          <w:p w14:paraId="0ACD2187" w14:textId="77777777" w:rsidR="00711444" w:rsidRPr="004D0DAA" w:rsidRDefault="00711444" w:rsidP="00AA2A4C">
            <w:pPr>
              <w:keepLines/>
              <w:rPr>
                <w:b/>
              </w:rPr>
            </w:pPr>
            <w:r w:rsidRPr="004D0DAA">
              <w:rPr>
                <w:b/>
              </w:rPr>
              <w:t>E-UTRAN CI</w:t>
            </w:r>
            <w:r w:rsidRPr="004D0DAA">
              <w:t xml:space="preserve"> (28 bit field)</w:t>
            </w:r>
            <w:r w:rsidRPr="004D0DAA">
              <w:br/>
              <w:t>This field contains the E-UTRAN Cell Identity (as defined in 3GPP</w:t>
            </w:r>
            <w:r w:rsidRPr="004D0DAA">
              <w:rPr>
                <w:lang w:eastAsia="zh-CN"/>
              </w:rPr>
              <w:t> </w:t>
            </w:r>
            <w:r w:rsidRPr="004D0DAA">
              <w:t>TS</w:t>
            </w:r>
            <w:r w:rsidRPr="004D0DAA">
              <w:rPr>
                <w:lang w:eastAsia="zh-CN"/>
              </w:rPr>
              <w:t> </w:t>
            </w:r>
            <w:r w:rsidRPr="004D0DAA">
              <w:t>23</w:t>
            </w:r>
            <w:r w:rsidRPr="004D0DAA">
              <w:rPr>
                <w:lang w:eastAsia="zh-CN"/>
              </w:rPr>
              <w:t>.</w:t>
            </w:r>
            <w:r w:rsidRPr="004D0DAA">
              <w:t>003) of the target cell.</w:t>
            </w:r>
          </w:p>
        </w:tc>
      </w:tr>
      <w:tr w:rsidR="00711444" w:rsidRPr="004D0DAA" w14:paraId="393C02EE" w14:textId="77777777" w:rsidTr="00AA2A4C">
        <w:tblPrEx>
          <w:tblCellMar>
            <w:top w:w="0" w:type="dxa"/>
            <w:bottom w:w="0" w:type="dxa"/>
          </w:tblCellMar>
        </w:tblPrEx>
        <w:trPr>
          <w:cantSplit/>
        </w:trPr>
        <w:tc>
          <w:tcPr>
            <w:tcW w:w="9848" w:type="dxa"/>
          </w:tcPr>
          <w:p w14:paraId="66F0A6CD" w14:textId="77777777" w:rsidR="00711444" w:rsidRPr="004D0DAA" w:rsidRDefault="00711444" w:rsidP="00AA2A4C">
            <w:pPr>
              <w:keepLines/>
              <w:rPr>
                <w:b/>
              </w:rPr>
            </w:pPr>
            <w:r w:rsidRPr="004D0DAA">
              <w:rPr>
                <w:b/>
              </w:rPr>
              <w:t>Tracking Area Code</w:t>
            </w:r>
            <w:r w:rsidRPr="004D0DAA">
              <w:t xml:space="preserve"> (16 bit field)</w:t>
            </w:r>
            <w:r w:rsidRPr="004D0DAA">
              <w:br/>
              <w:t>This field contains the tracking area code (as defined in 3GPP</w:t>
            </w:r>
            <w:r w:rsidRPr="004D0DAA">
              <w:rPr>
                <w:lang w:eastAsia="zh-CN"/>
              </w:rPr>
              <w:t> </w:t>
            </w:r>
            <w:r w:rsidRPr="004D0DAA">
              <w:t>TS</w:t>
            </w:r>
            <w:r w:rsidRPr="004D0DAA">
              <w:rPr>
                <w:lang w:eastAsia="zh-CN"/>
              </w:rPr>
              <w:t> </w:t>
            </w:r>
            <w:r w:rsidRPr="004D0DAA">
              <w:t>24</w:t>
            </w:r>
            <w:r w:rsidRPr="004D0DAA">
              <w:rPr>
                <w:lang w:eastAsia="zh-CN"/>
              </w:rPr>
              <w:t>.</w:t>
            </w:r>
            <w:r w:rsidRPr="004D0DAA">
              <w:t>301) of the target cell.</w:t>
            </w:r>
          </w:p>
        </w:tc>
      </w:tr>
      <w:tr w:rsidR="00711444" w:rsidRPr="004D0DAA" w14:paraId="6935D52C" w14:textId="77777777" w:rsidTr="00AA2A4C">
        <w:tblPrEx>
          <w:tblCellMar>
            <w:top w:w="0" w:type="dxa"/>
            <w:bottom w:w="0" w:type="dxa"/>
          </w:tblCellMar>
        </w:tblPrEx>
        <w:trPr>
          <w:cantSplit/>
        </w:trPr>
        <w:tc>
          <w:tcPr>
            <w:tcW w:w="9848" w:type="dxa"/>
          </w:tcPr>
          <w:p w14:paraId="4E4932FC" w14:textId="77777777" w:rsidR="00711444" w:rsidRPr="004D0DAA" w:rsidRDefault="00711444" w:rsidP="00AA2A4C">
            <w:pPr>
              <w:keepLines/>
            </w:pPr>
            <w:r w:rsidRPr="004D0DAA">
              <w:rPr>
                <w:b/>
              </w:rPr>
              <w:t>PLMN-ID</w:t>
            </w:r>
            <w:r w:rsidRPr="004D0DAA">
              <w:br/>
              <w:t>This information element contains the PLMN-ID of the target cell. If this field is not present then the PLMN-ID of the target cell is the same as that of the serving cell.</w:t>
            </w:r>
          </w:p>
        </w:tc>
      </w:tr>
      <w:tr w:rsidR="00711444" w:rsidRPr="004D0DAA" w14:paraId="51EFB76B" w14:textId="77777777" w:rsidTr="00AA2A4C">
        <w:tblPrEx>
          <w:tblCellMar>
            <w:top w:w="0" w:type="dxa"/>
            <w:bottom w:w="0" w:type="dxa"/>
          </w:tblCellMar>
        </w:tblPrEx>
        <w:trPr>
          <w:cantSplit/>
        </w:trPr>
        <w:tc>
          <w:tcPr>
            <w:tcW w:w="9848" w:type="dxa"/>
          </w:tcPr>
          <w:p w14:paraId="513FDAD7" w14:textId="77777777" w:rsidR="00711444" w:rsidRPr="004D0DAA" w:rsidRDefault="00711444" w:rsidP="00AA2A4C">
            <w:pPr>
              <w:rPr>
                <w:b/>
                <w:i/>
              </w:rPr>
            </w:pPr>
            <w:r w:rsidRPr="004D0DAA">
              <w:rPr>
                <w:b/>
                <w:i/>
              </w:rPr>
              <w:lastRenderedPageBreak/>
              <w:t>PLMN-ID struct</w:t>
            </w:r>
          </w:p>
          <w:p w14:paraId="19BB4C7D" w14:textId="77777777" w:rsidR="00711444" w:rsidRPr="004D0DAA" w:rsidRDefault="00711444" w:rsidP="00AA2A4C">
            <w:r w:rsidRPr="004D0DAA">
              <w:rPr>
                <w:b/>
              </w:rPr>
              <w:t xml:space="preserve">MCC </w:t>
            </w:r>
            <w:r w:rsidRPr="004D0DAA">
              <w:t>(12 bit field)</w:t>
            </w:r>
            <w:r w:rsidRPr="004D0DAA">
              <w:br/>
              <w:t>This field contains the Mobile Country Code of the PLMN of the cell being reported.</w:t>
            </w:r>
          </w:p>
          <w:p w14:paraId="41721DD8" w14:textId="77777777" w:rsidR="00711444" w:rsidRPr="004D0DAA" w:rsidRDefault="00711444" w:rsidP="00AA2A4C">
            <w:pPr>
              <w:keepLines/>
              <w:rPr>
                <w:b/>
              </w:rPr>
            </w:pPr>
            <w:r w:rsidRPr="004D0DAA">
              <w:rPr>
                <w:b/>
              </w:rPr>
              <w:t xml:space="preserve">MNC </w:t>
            </w:r>
            <w:r w:rsidRPr="004D0DAA">
              <w:t>(12 bit field)</w:t>
            </w:r>
            <w:r w:rsidRPr="004D0DAA">
              <w:br/>
              <w:t>This field contains the Mobile Network Code of the PLMN of the cell being reported.</w:t>
            </w:r>
          </w:p>
        </w:tc>
      </w:tr>
    </w:tbl>
    <w:p w14:paraId="745C5670" w14:textId="77777777" w:rsidR="00711444" w:rsidRPr="004D0DAA" w:rsidRDefault="00711444" w:rsidP="00711444"/>
    <w:p w14:paraId="156D0D56" w14:textId="77777777" w:rsidR="00711444" w:rsidRPr="004D0DAA" w:rsidRDefault="00711444" w:rsidP="00711444">
      <w:pPr>
        <w:pStyle w:val="Heading2"/>
      </w:pPr>
      <w:bookmarkStart w:id="859" w:name="_Toc516670033"/>
      <w:r w:rsidRPr="004D0DAA">
        <w:t>12.63</w:t>
      </w:r>
      <w:r w:rsidRPr="004D0DAA">
        <w:tab/>
        <w:t>UTRAN CSG Target cell</w:t>
      </w:r>
      <w:bookmarkEnd w:id="859"/>
    </w:p>
    <w:p w14:paraId="13A55F75" w14:textId="77777777" w:rsidR="00711444" w:rsidRPr="004D0DAA" w:rsidRDefault="00711444" w:rsidP="00711444">
      <w:pPr>
        <w:keepNext/>
        <w:keepLines/>
      </w:pPr>
      <w:r w:rsidRPr="004D0DAA">
        <w:t xml:space="preserve">The </w:t>
      </w:r>
      <w:r w:rsidRPr="004D0DAA">
        <w:rPr>
          <w:i/>
        </w:rPr>
        <w:t>UTRAN CSG Target cell</w:t>
      </w:r>
      <w:r w:rsidRPr="004D0DAA">
        <w:t xml:space="preserve"> information element contains the description of a UTRAN CSG Target cell.</w:t>
      </w:r>
    </w:p>
    <w:p w14:paraId="4A4BBC5B" w14:textId="77777777" w:rsidR="00711444" w:rsidRPr="004D0DAA" w:rsidRDefault="00711444" w:rsidP="00711444">
      <w:pPr>
        <w:pStyle w:val="TH"/>
      </w:pPr>
      <w:r w:rsidRPr="004D0DAA">
        <w:t xml:space="preserve">Table 12.63.1: </w:t>
      </w:r>
      <w:r w:rsidRPr="004D0DAA">
        <w:rPr>
          <w:i/>
        </w:rPr>
        <w:t>UTRAN CSG Target cell</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95AF1A6" w14:textId="77777777" w:rsidTr="00AA2A4C">
        <w:tblPrEx>
          <w:tblCellMar>
            <w:top w:w="0" w:type="dxa"/>
            <w:bottom w:w="0" w:type="dxa"/>
          </w:tblCellMar>
        </w:tblPrEx>
        <w:trPr>
          <w:cantSplit/>
        </w:trPr>
        <w:tc>
          <w:tcPr>
            <w:tcW w:w="9848" w:type="dxa"/>
          </w:tcPr>
          <w:p w14:paraId="5685D961" w14:textId="77777777" w:rsidR="00711444" w:rsidRPr="004D0DAA" w:rsidRDefault="00711444" w:rsidP="00AA2A4C">
            <w:pPr>
              <w:pStyle w:val="TAL"/>
              <w:rPr>
                <w:lang w:eastAsia="en-US"/>
              </w:rPr>
            </w:pPr>
            <w:r w:rsidRPr="004D0DAA">
              <w:rPr>
                <w:lang w:eastAsia="en-US"/>
              </w:rPr>
              <w:t>&lt; UTRAN CSG Target cell IE &gt; ::=</w:t>
            </w:r>
          </w:p>
          <w:p w14:paraId="67F154C6" w14:textId="77777777" w:rsidR="00711444" w:rsidRPr="004D0DAA" w:rsidRDefault="00711444" w:rsidP="00AA2A4C">
            <w:pPr>
              <w:pStyle w:val="TAL"/>
              <w:rPr>
                <w:lang w:eastAsia="en-US"/>
              </w:rPr>
            </w:pPr>
            <w:r w:rsidRPr="004D0DAA">
              <w:rPr>
                <w:lang w:eastAsia="en-US"/>
              </w:rPr>
              <w:tab/>
            </w:r>
            <w:r w:rsidRPr="004D0DAA">
              <w:rPr>
                <w:lang w:eastAsia="en-US"/>
              </w:rPr>
              <w:tab/>
              <w:t xml:space="preserve">&lt; </w:t>
            </w:r>
            <w:r w:rsidRPr="004D0DAA">
              <w:rPr>
                <w:b/>
                <w:lang w:eastAsia="en-US"/>
              </w:rPr>
              <w:t>UTRAN CI</w:t>
            </w:r>
            <w:r w:rsidRPr="004D0DAA">
              <w:rPr>
                <w:lang w:eastAsia="en-US"/>
              </w:rPr>
              <w:t xml:space="preserve"> : bit (28) &gt;</w:t>
            </w:r>
          </w:p>
          <w:p w14:paraId="304E1768" w14:textId="77777777" w:rsidR="00711444" w:rsidRPr="004D0DAA" w:rsidRDefault="00711444" w:rsidP="00AA2A4C">
            <w:pPr>
              <w:pStyle w:val="TAL"/>
              <w:rPr>
                <w:lang w:eastAsia="en-US"/>
              </w:rPr>
            </w:pPr>
            <w:r w:rsidRPr="004D0DAA">
              <w:rPr>
                <w:lang w:eastAsia="en-US"/>
              </w:rPr>
              <w:tab/>
            </w:r>
            <w:r w:rsidRPr="004D0DAA">
              <w:rPr>
                <w:lang w:eastAsia="en-US"/>
              </w:rPr>
              <w:tab/>
              <w:t>{ 0</w:t>
            </w:r>
            <w:r w:rsidRPr="004D0DAA">
              <w:rPr>
                <w:lang w:eastAsia="en-US"/>
              </w:rPr>
              <w:tab/>
              <w:t>| 1</w:t>
            </w:r>
            <w:r w:rsidRPr="004D0DAA">
              <w:rPr>
                <w:lang w:eastAsia="en-US"/>
              </w:rPr>
              <w:tab/>
              <w:t xml:space="preserve">&lt; </w:t>
            </w:r>
            <w:r w:rsidRPr="004D0DAA">
              <w:rPr>
                <w:b/>
                <w:lang w:eastAsia="en-US"/>
              </w:rPr>
              <w:t>PLMN-ID</w:t>
            </w:r>
            <w:r w:rsidRPr="004D0DAA">
              <w:rPr>
                <w:lang w:eastAsia="en-US"/>
              </w:rPr>
              <w:t xml:space="preserve"> : &lt; PLMN-ID struct &gt; &gt; } ;</w:t>
            </w:r>
          </w:p>
          <w:p w14:paraId="3EE4C4B4" w14:textId="77777777" w:rsidR="00711444" w:rsidRPr="004D0DAA" w:rsidRDefault="00711444" w:rsidP="00AA2A4C">
            <w:pPr>
              <w:pStyle w:val="TAL"/>
              <w:rPr>
                <w:lang w:eastAsia="en-US"/>
              </w:rPr>
            </w:pPr>
          </w:p>
        </w:tc>
      </w:tr>
      <w:tr w:rsidR="00711444" w:rsidRPr="004D0DAA" w14:paraId="31FFB592" w14:textId="77777777" w:rsidTr="00AA2A4C">
        <w:tblPrEx>
          <w:tblCellMar>
            <w:top w:w="0" w:type="dxa"/>
            <w:bottom w:w="0" w:type="dxa"/>
          </w:tblCellMar>
        </w:tblPrEx>
        <w:trPr>
          <w:cantSplit/>
        </w:trPr>
        <w:tc>
          <w:tcPr>
            <w:tcW w:w="9848" w:type="dxa"/>
          </w:tcPr>
          <w:p w14:paraId="60F55959" w14:textId="77777777" w:rsidR="00711444" w:rsidRPr="004D0DAA" w:rsidRDefault="00711444" w:rsidP="00AA2A4C">
            <w:pPr>
              <w:pStyle w:val="TAL"/>
              <w:rPr>
                <w:lang w:eastAsia="en-US"/>
              </w:rPr>
            </w:pPr>
            <w:r w:rsidRPr="004D0DAA">
              <w:rPr>
                <w:lang w:eastAsia="en-US"/>
              </w:rPr>
              <w:t>&lt; PLMN-ID struct &gt; ::=</w:t>
            </w:r>
          </w:p>
          <w:p w14:paraId="3F71A8B0"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MCC</w:t>
            </w:r>
            <w:r w:rsidRPr="004D0DAA">
              <w:rPr>
                <w:lang w:eastAsia="en-US"/>
              </w:rPr>
              <w:t xml:space="preserve"> : bit (12) &gt;</w:t>
            </w:r>
          </w:p>
          <w:p w14:paraId="06613D5C" w14:textId="77777777" w:rsidR="00711444" w:rsidRPr="004D0DAA" w:rsidRDefault="00711444" w:rsidP="00AA2A4C">
            <w:pPr>
              <w:pStyle w:val="TAL"/>
              <w:rPr>
                <w:lang w:eastAsia="en-US"/>
              </w:rPr>
            </w:pPr>
            <w:r w:rsidRPr="004D0DAA">
              <w:rPr>
                <w:lang w:eastAsia="en-US"/>
              </w:rPr>
              <w:tab/>
              <w:t xml:space="preserve">&lt; </w:t>
            </w:r>
            <w:r w:rsidRPr="004D0DAA">
              <w:rPr>
                <w:b/>
                <w:bCs/>
                <w:lang w:eastAsia="en-US"/>
              </w:rPr>
              <w:t>MNC</w:t>
            </w:r>
            <w:r w:rsidRPr="004D0DAA">
              <w:rPr>
                <w:lang w:eastAsia="en-US"/>
              </w:rPr>
              <w:t xml:space="preserve"> : bit (12) &gt; ;</w:t>
            </w:r>
          </w:p>
          <w:p w14:paraId="5B7BA898" w14:textId="77777777" w:rsidR="00711444" w:rsidRPr="004D0DAA" w:rsidRDefault="00711444" w:rsidP="00AA2A4C">
            <w:pPr>
              <w:pStyle w:val="TAL"/>
              <w:rPr>
                <w:lang w:eastAsia="en-US"/>
              </w:rPr>
            </w:pPr>
          </w:p>
        </w:tc>
      </w:tr>
    </w:tbl>
    <w:p w14:paraId="39E58086" w14:textId="77777777" w:rsidR="00711444" w:rsidRPr="004D0DAA" w:rsidRDefault="00711444" w:rsidP="00711444"/>
    <w:p w14:paraId="34807065" w14:textId="77777777" w:rsidR="00711444" w:rsidRPr="004D0DAA" w:rsidRDefault="00711444" w:rsidP="00711444">
      <w:pPr>
        <w:pStyle w:val="TH"/>
      </w:pPr>
      <w:r w:rsidRPr="004D0DAA">
        <w:t xml:space="preserve">Table 12.63.2: </w:t>
      </w:r>
      <w:r w:rsidRPr="004D0DAA">
        <w:rPr>
          <w:i/>
        </w:rPr>
        <w:t>UTRAN CSG Target cell</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35EDB91" w14:textId="77777777" w:rsidTr="00AA2A4C">
        <w:tblPrEx>
          <w:tblCellMar>
            <w:top w:w="0" w:type="dxa"/>
            <w:bottom w:w="0" w:type="dxa"/>
          </w:tblCellMar>
        </w:tblPrEx>
        <w:trPr>
          <w:cantSplit/>
        </w:trPr>
        <w:tc>
          <w:tcPr>
            <w:tcW w:w="9848" w:type="dxa"/>
          </w:tcPr>
          <w:p w14:paraId="3E6492C1" w14:textId="77777777" w:rsidR="00711444" w:rsidRPr="004D0DAA" w:rsidRDefault="00711444" w:rsidP="00AA2A4C">
            <w:pPr>
              <w:keepLines/>
              <w:rPr>
                <w:b/>
              </w:rPr>
            </w:pPr>
            <w:r w:rsidRPr="004D0DAA">
              <w:rPr>
                <w:b/>
              </w:rPr>
              <w:t>UTRAN CI</w:t>
            </w:r>
            <w:r w:rsidRPr="004D0DAA">
              <w:t xml:space="preserve"> (28 bit field)</w:t>
            </w:r>
            <w:r w:rsidRPr="004D0DAA">
              <w:br/>
              <w:t>This field contains the Cell Identity (as defined in 3GPP</w:t>
            </w:r>
            <w:r w:rsidRPr="004D0DAA">
              <w:rPr>
                <w:lang w:eastAsia="zh-CN"/>
              </w:rPr>
              <w:t> </w:t>
            </w:r>
            <w:r w:rsidRPr="004D0DAA">
              <w:t>TS</w:t>
            </w:r>
            <w:r w:rsidRPr="004D0DAA">
              <w:rPr>
                <w:lang w:eastAsia="zh-CN"/>
              </w:rPr>
              <w:t> 25.</w:t>
            </w:r>
            <w:r w:rsidRPr="004D0DAA">
              <w:t>331) of the target cell.</w:t>
            </w:r>
          </w:p>
        </w:tc>
      </w:tr>
      <w:tr w:rsidR="00711444" w:rsidRPr="004D0DAA" w14:paraId="5A7B1481" w14:textId="77777777" w:rsidTr="00AA2A4C">
        <w:tblPrEx>
          <w:tblCellMar>
            <w:top w:w="0" w:type="dxa"/>
            <w:bottom w:w="0" w:type="dxa"/>
          </w:tblCellMar>
        </w:tblPrEx>
        <w:trPr>
          <w:cantSplit/>
        </w:trPr>
        <w:tc>
          <w:tcPr>
            <w:tcW w:w="9848" w:type="dxa"/>
          </w:tcPr>
          <w:p w14:paraId="591A2144" w14:textId="77777777" w:rsidR="00711444" w:rsidRPr="004D0DAA" w:rsidRDefault="00711444" w:rsidP="00AA2A4C">
            <w:pPr>
              <w:keepLines/>
            </w:pPr>
            <w:r w:rsidRPr="004D0DAA">
              <w:rPr>
                <w:b/>
              </w:rPr>
              <w:t>PLMN-ID</w:t>
            </w:r>
            <w:r w:rsidRPr="004D0DAA">
              <w:br/>
              <w:t>This information element contains the PLMN-ID of the target cell. If this field is not present then the PLMN-ID of the target cell is the same as that of the serving cell.</w:t>
            </w:r>
          </w:p>
        </w:tc>
      </w:tr>
      <w:tr w:rsidR="00711444" w:rsidRPr="004D0DAA" w14:paraId="385FEF04" w14:textId="77777777" w:rsidTr="00AA2A4C">
        <w:tblPrEx>
          <w:tblCellMar>
            <w:top w:w="0" w:type="dxa"/>
            <w:bottom w:w="0" w:type="dxa"/>
          </w:tblCellMar>
        </w:tblPrEx>
        <w:trPr>
          <w:cantSplit/>
        </w:trPr>
        <w:tc>
          <w:tcPr>
            <w:tcW w:w="9848" w:type="dxa"/>
          </w:tcPr>
          <w:p w14:paraId="3ECE7ACC" w14:textId="77777777" w:rsidR="00711444" w:rsidRPr="004D0DAA" w:rsidRDefault="00711444" w:rsidP="00AA2A4C">
            <w:pPr>
              <w:rPr>
                <w:b/>
                <w:i/>
              </w:rPr>
            </w:pPr>
            <w:r w:rsidRPr="004D0DAA">
              <w:rPr>
                <w:b/>
                <w:i/>
              </w:rPr>
              <w:t>PLMN-ID struct</w:t>
            </w:r>
          </w:p>
          <w:p w14:paraId="1249A719" w14:textId="77777777" w:rsidR="00711444" w:rsidRPr="004D0DAA" w:rsidRDefault="00711444" w:rsidP="00AA2A4C">
            <w:r w:rsidRPr="004D0DAA">
              <w:rPr>
                <w:b/>
              </w:rPr>
              <w:t xml:space="preserve">MCC </w:t>
            </w:r>
            <w:r w:rsidRPr="004D0DAA">
              <w:t>(12 bit field)</w:t>
            </w:r>
            <w:r w:rsidRPr="004D0DAA">
              <w:br/>
              <w:t>This field contains the Mobile Country Code of the PLMN of the cell being reported.</w:t>
            </w:r>
          </w:p>
          <w:p w14:paraId="2E9C2C65" w14:textId="77777777" w:rsidR="00711444" w:rsidRPr="004D0DAA" w:rsidRDefault="00711444" w:rsidP="00AA2A4C">
            <w:pPr>
              <w:keepLines/>
              <w:rPr>
                <w:b/>
              </w:rPr>
            </w:pPr>
            <w:r w:rsidRPr="004D0DAA">
              <w:rPr>
                <w:b/>
              </w:rPr>
              <w:t xml:space="preserve">MNC </w:t>
            </w:r>
            <w:r w:rsidRPr="004D0DAA">
              <w:t>(12 bit field)</w:t>
            </w:r>
            <w:r w:rsidRPr="004D0DAA">
              <w:br/>
              <w:t>This field contains the Mobile Network Code of the PLMN of the cell being reported.</w:t>
            </w:r>
          </w:p>
        </w:tc>
      </w:tr>
    </w:tbl>
    <w:p w14:paraId="53613B80" w14:textId="77777777" w:rsidR="00711444" w:rsidRPr="004D0DAA" w:rsidRDefault="00711444" w:rsidP="00711444"/>
    <w:p w14:paraId="54348F8A" w14:textId="77777777" w:rsidR="00711444" w:rsidRPr="004D0DAA" w:rsidRDefault="00711444" w:rsidP="00711444">
      <w:pPr>
        <w:pStyle w:val="Heading2"/>
        <w:rPr>
          <w:rFonts w:hint="eastAsia"/>
          <w:lang w:eastAsia="zh-CN"/>
        </w:rPr>
      </w:pPr>
      <w:bookmarkStart w:id="860" w:name="_Toc516670034"/>
      <w:r w:rsidRPr="004D0DAA">
        <w:t>12.</w:t>
      </w:r>
      <w:r w:rsidRPr="004D0DAA">
        <w:rPr>
          <w:rFonts w:hint="eastAsia"/>
          <w:lang w:eastAsia="zh-CN"/>
        </w:rPr>
        <w:t>64</w:t>
      </w:r>
      <w:r w:rsidRPr="004D0DAA">
        <w:tab/>
        <w:t xml:space="preserve">DTM Handover PS Radio Resources </w:t>
      </w:r>
      <w:r w:rsidRPr="004D0DAA">
        <w:rPr>
          <w:rFonts w:hint="eastAsia"/>
          <w:lang w:eastAsia="zh-CN"/>
        </w:rPr>
        <w:t>3</w:t>
      </w:r>
      <w:bookmarkEnd w:id="860"/>
    </w:p>
    <w:p w14:paraId="7F738C80" w14:textId="77777777" w:rsidR="00711444" w:rsidRPr="004D0DAA" w:rsidRDefault="00711444" w:rsidP="00711444">
      <w:pPr>
        <w:tabs>
          <w:tab w:val="left" w:pos="10170"/>
        </w:tabs>
        <w:ind w:right="1"/>
        <w:rPr>
          <w:rFonts w:hint="eastAsia"/>
          <w:lang w:eastAsia="zh-CN"/>
        </w:rPr>
      </w:pPr>
      <w:r w:rsidRPr="004D0DAA">
        <w:t>This information element provides the radio resources assigned for PS services in the new cell and is included within the DTM HANDOVER COMMAND message</w:t>
      </w:r>
      <w:r w:rsidRPr="004D0DAA">
        <w:rPr>
          <w:rFonts w:hint="eastAsia"/>
          <w:lang w:eastAsia="zh-CN"/>
        </w:rPr>
        <w:t xml:space="preserve"> </w:t>
      </w:r>
      <w:r w:rsidRPr="004D0DAA">
        <w:rPr>
          <w:lang w:eastAsia="zh-CN"/>
        </w:rPr>
        <w:t xml:space="preserve">and can </w:t>
      </w:r>
      <w:r w:rsidRPr="004D0DAA">
        <w:rPr>
          <w:rFonts w:hint="eastAsia"/>
          <w:lang w:eastAsia="zh-CN"/>
        </w:rPr>
        <w:t xml:space="preserve">only </w:t>
      </w:r>
      <w:r w:rsidRPr="004D0DAA">
        <w:rPr>
          <w:lang w:eastAsia="zh-CN"/>
        </w:rPr>
        <w:t xml:space="preserve">be used </w:t>
      </w:r>
      <w:r w:rsidRPr="004D0DAA">
        <w:t xml:space="preserve">when </w:t>
      </w:r>
      <w:r w:rsidRPr="004D0DAA">
        <w:rPr>
          <w:rFonts w:hint="eastAsia"/>
          <w:lang w:eastAsia="zh-CN"/>
        </w:rPr>
        <w:t xml:space="preserve">EMSR </w:t>
      </w:r>
      <w:r w:rsidRPr="004D0DAA">
        <w:t xml:space="preserve">or extended TSC sets (see 3GPP TS 45.002 [32]) </w:t>
      </w:r>
      <w:r w:rsidRPr="004D0DAA">
        <w:rPr>
          <w:rFonts w:hint="eastAsia"/>
          <w:lang w:eastAsia="zh-CN"/>
        </w:rPr>
        <w:t>is supported by the mobile station</w:t>
      </w:r>
      <w:r w:rsidRPr="004D0DAA">
        <w:t xml:space="preserve">. </w:t>
      </w:r>
    </w:p>
    <w:p w14:paraId="0EE215DF" w14:textId="77777777" w:rsidR="00711444" w:rsidRPr="004D0DAA" w:rsidRDefault="00711444" w:rsidP="00711444">
      <w:pPr>
        <w:pStyle w:val="TH"/>
      </w:pPr>
      <w:r w:rsidRPr="004D0DAA">
        <w:lastRenderedPageBreak/>
        <w:t>Table 12.</w:t>
      </w:r>
      <w:r w:rsidRPr="004D0DAA">
        <w:rPr>
          <w:rFonts w:hint="eastAsia"/>
          <w:lang w:eastAsia="zh-CN"/>
        </w:rPr>
        <w:t>64</w:t>
      </w:r>
      <w:r w:rsidRPr="004D0DAA">
        <w:t xml:space="preserve">.1: DTM Handover PS Radio Resources </w:t>
      </w:r>
      <w:r w:rsidRPr="004D0DAA">
        <w:rPr>
          <w:rFonts w:hint="eastAsia"/>
          <w:lang w:eastAsia="zh-CN"/>
        </w:rPr>
        <w:t>3</w:t>
      </w:r>
      <w:r w:rsidRPr="004D0DAA">
        <w:t xml:space="preserve">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7D83F47" w14:textId="77777777" w:rsidTr="00AA2A4C">
        <w:tblPrEx>
          <w:tblCellMar>
            <w:top w:w="0" w:type="dxa"/>
            <w:bottom w:w="0" w:type="dxa"/>
          </w:tblCellMar>
        </w:tblPrEx>
        <w:trPr>
          <w:cantSplit/>
        </w:trPr>
        <w:tc>
          <w:tcPr>
            <w:tcW w:w="9848" w:type="dxa"/>
          </w:tcPr>
          <w:p w14:paraId="126DB9CC" w14:textId="77777777" w:rsidR="00711444" w:rsidRPr="004D0DAA" w:rsidRDefault="00711444" w:rsidP="00AA2A4C">
            <w:pPr>
              <w:keepNext/>
              <w:keepLines/>
              <w:spacing w:after="0"/>
              <w:rPr>
                <w:rFonts w:ascii="Arial" w:hAnsi="Arial"/>
                <w:sz w:val="18"/>
              </w:rPr>
            </w:pPr>
            <w:r w:rsidRPr="004D0DAA">
              <w:rPr>
                <w:rFonts w:ascii="Arial" w:hAnsi="Arial"/>
                <w:sz w:val="18"/>
              </w:rPr>
              <w:t xml:space="preserve">&lt; DTM Handover PS Radio Resources </w:t>
            </w:r>
            <w:r w:rsidRPr="004D0DAA">
              <w:rPr>
                <w:rFonts w:ascii="Arial" w:hAnsi="Arial" w:hint="eastAsia"/>
                <w:sz w:val="18"/>
                <w:lang w:eastAsia="zh-CN"/>
              </w:rPr>
              <w:t>3</w:t>
            </w:r>
            <w:r w:rsidRPr="004D0DAA">
              <w:rPr>
                <w:rFonts w:ascii="Arial" w:hAnsi="Arial"/>
                <w:sz w:val="18"/>
              </w:rPr>
              <w:t xml:space="preserve"> IE &gt; ::=</w:t>
            </w:r>
          </w:p>
          <w:p w14:paraId="167D79EA"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Cell Identification</w:t>
            </w:r>
            <w:r w:rsidRPr="004D0DAA">
              <w:rPr>
                <w:rFonts w:ascii="Arial" w:hAnsi="Arial"/>
                <w:sz w:val="18"/>
              </w:rPr>
              <w:t xml:space="preserve"> : &lt; Cell Identification IE &gt; &gt;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
                <w:iCs/>
                <w:sz w:val="18"/>
              </w:rPr>
              <w:t>-</w:t>
            </w:r>
            <w:r w:rsidRPr="004D0DAA">
              <w:rPr>
                <w:rFonts w:ascii="Arial" w:hAnsi="Arial"/>
                <w:iCs/>
                <w:sz w:val="18"/>
              </w:rPr>
              <w:t xml:space="preserve">-- </w:t>
            </w:r>
            <w:r w:rsidRPr="004D0DAA">
              <w:rPr>
                <w:rFonts w:ascii="Arial" w:hAnsi="Arial"/>
                <w:i/>
                <w:iCs/>
                <w:sz w:val="18"/>
              </w:rPr>
              <w:t>provided by SI/PSI for PS HO</w:t>
            </w:r>
          </w:p>
          <w:p w14:paraId="66BABF53"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 xml:space="preserve">MAX_LAPDm </w:t>
            </w:r>
            <w:r w:rsidRPr="004D0DAA">
              <w:rPr>
                <w:rFonts w:ascii="Arial" w:hAnsi="Arial"/>
                <w:sz w:val="18"/>
              </w:rPr>
              <w:t>: bit (3) &gt;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needed for DTM in new cell</w:t>
            </w:r>
          </w:p>
          <w:p w14:paraId="254AD1A2"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 xml:space="preserve">GPRS_MS_TXPWR_MAX_CCH </w:t>
            </w:r>
            <w:r w:rsidRPr="004D0DAA">
              <w:rPr>
                <w:rFonts w:ascii="Arial" w:hAnsi="Arial"/>
                <w:sz w:val="18"/>
              </w:rPr>
              <w:t>: bit (5) &gt;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needed for DTM in new cell</w:t>
            </w:r>
          </w:p>
          <w:p w14:paraId="4258FEB5"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 xml:space="preserve">GPRS Cell Options </w:t>
            </w:r>
            <w:r w:rsidRPr="004D0DAA">
              <w:rPr>
                <w:rFonts w:ascii="Arial" w:hAnsi="Arial"/>
                <w:sz w:val="18"/>
              </w:rPr>
              <w:t>: &lt; GPRS Cell Options IE &gt; &gt;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
                <w:iCs/>
                <w:sz w:val="18"/>
              </w:rPr>
              <w:t>-</w:t>
            </w:r>
            <w:r w:rsidRPr="004D0DAA">
              <w:rPr>
                <w:rFonts w:ascii="Arial" w:hAnsi="Arial"/>
                <w:iCs/>
                <w:sz w:val="18"/>
              </w:rPr>
              <w:t xml:space="preserve">-- </w:t>
            </w:r>
            <w:r w:rsidRPr="004D0DAA">
              <w:rPr>
                <w:rFonts w:ascii="Arial" w:hAnsi="Arial"/>
                <w:i/>
                <w:iCs/>
                <w:sz w:val="18"/>
              </w:rPr>
              <w:t xml:space="preserve">provided by SI/PSI for PS HO </w:t>
            </w:r>
          </w:p>
          <w:p w14:paraId="6B302AD6"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 xml:space="preserve">GPRS Power Control Parameters </w:t>
            </w:r>
            <w:r w:rsidRPr="004D0DAA">
              <w:rPr>
                <w:rFonts w:ascii="Arial" w:hAnsi="Arial"/>
                <w:sz w:val="18"/>
              </w:rPr>
              <w:t>: &lt; GPRS Power Control Parameters IE &gt; &gt;</w:t>
            </w:r>
            <w:r w:rsidRPr="004D0DAA">
              <w:rPr>
                <w:rFonts w:ascii="Arial" w:hAnsi="Arial"/>
                <w:sz w:val="18"/>
              </w:rPr>
              <w:tab/>
            </w:r>
            <w:r w:rsidRPr="004D0DAA">
              <w:rPr>
                <w:rFonts w:ascii="Arial" w:hAnsi="Arial"/>
                <w:i/>
                <w:iCs/>
                <w:sz w:val="18"/>
              </w:rPr>
              <w:t>-</w:t>
            </w:r>
            <w:r w:rsidRPr="004D0DAA">
              <w:rPr>
                <w:rFonts w:ascii="Arial" w:hAnsi="Arial"/>
                <w:iCs/>
                <w:sz w:val="18"/>
              </w:rPr>
              <w:t xml:space="preserve">-- </w:t>
            </w:r>
            <w:r w:rsidRPr="004D0DAA">
              <w:rPr>
                <w:rFonts w:ascii="Arial" w:hAnsi="Arial"/>
                <w:i/>
                <w:iCs/>
                <w:sz w:val="18"/>
              </w:rPr>
              <w:t>provided by SI/PSI for PS HO</w:t>
            </w:r>
          </w:p>
          <w:p w14:paraId="31E83FB7" w14:textId="77777777" w:rsidR="00711444" w:rsidRPr="004D0DAA" w:rsidRDefault="00711444" w:rsidP="00AA2A4C">
            <w:pPr>
              <w:keepNext/>
              <w:keepLines/>
              <w:spacing w:after="0"/>
              <w:rPr>
                <w:rFonts w:ascii="Arial" w:hAnsi="Arial"/>
                <w:sz w:val="18"/>
                <w:lang w:val="fr-FR"/>
              </w:rPr>
            </w:pPr>
            <w:r w:rsidRPr="004D0DAA">
              <w:rPr>
                <w:rFonts w:ascii="Arial" w:hAnsi="Arial"/>
                <w:sz w:val="18"/>
              </w:rPr>
              <w:tab/>
            </w:r>
            <w:r w:rsidRPr="004D0DAA">
              <w:rPr>
                <w:rFonts w:ascii="Arial" w:hAnsi="Arial"/>
                <w:sz w:val="18"/>
                <w:lang w:val="fr-FR"/>
              </w:rPr>
              <w:t xml:space="preserve">&lt; </w:t>
            </w:r>
            <w:r w:rsidRPr="004D0DAA">
              <w:rPr>
                <w:rFonts w:ascii="Arial" w:hAnsi="Arial"/>
                <w:b/>
                <w:sz w:val="18"/>
                <w:lang w:val="fr-FR"/>
              </w:rPr>
              <w:t>RLC_RESET</w:t>
            </w:r>
            <w:r w:rsidRPr="004D0DAA">
              <w:rPr>
                <w:rFonts w:ascii="Arial" w:hAnsi="Arial"/>
                <w:sz w:val="18"/>
                <w:lang w:val="fr-FR"/>
              </w:rPr>
              <w:t xml:space="preserve"> : bit (1) &gt;</w:t>
            </w:r>
          </w:p>
          <w:p w14:paraId="35E11F94" w14:textId="77777777" w:rsidR="00711444" w:rsidRPr="004D0DAA" w:rsidRDefault="00711444" w:rsidP="00AA2A4C">
            <w:pPr>
              <w:keepNext/>
              <w:keepLines/>
              <w:spacing w:after="0"/>
              <w:rPr>
                <w:rFonts w:ascii="Arial" w:hAnsi="Arial"/>
                <w:sz w:val="18"/>
                <w:lang w:val="fr-FR"/>
              </w:rPr>
            </w:pPr>
            <w:r w:rsidRPr="004D0DAA">
              <w:rPr>
                <w:rFonts w:ascii="Arial" w:hAnsi="Arial"/>
                <w:sz w:val="18"/>
                <w:lang w:val="fr-FR"/>
              </w:rPr>
              <w:tab/>
              <w:t xml:space="preserve">{ 00 &lt; </w:t>
            </w:r>
            <w:r w:rsidRPr="004D0DAA">
              <w:rPr>
                <w:rFonts w:ascii="Arial" w:hAnsi="Arial"/>
                <w:b/>
                <w:sz w:val="18"/>
                <w:lang w:val="fr-FR"/>
              </w:rPr>
              <w:t>EGPRS mode</w:t>
            </w:r>
            <w:r w:rsidRPr="004D0DAA">
              <w:rPr>
                <w:rFonts w:ascii="Arial" w:hAnsi="Arial"/>
                <w:sz w:val="18"/>
                <w:lang w:val="fr-FR"/>
              </w:rPr>
              <w:t> : &lt; EGPRS mode 2 IE &gt; &gt;</w:t>
            </w:r>
          </w:p>
          <w:p w14:paraId="18855147" w14:textId="77777777" w:rsidR="00711444" w:rsidRPr="004D0DAA" w:rsidRDefault="00711444" w:rsidP="00AA2A4C">
            <w:pPr>
              <w:keepNext/>
              <w:keepLines/>
              <w:spacing w:after="0"/>
              <w:rPr>
                <w:rFonts w:ascii="Arial" w:hAnsi="Arial"/>
                <w:sz w:val="18"/>
              </w:rPr>
            </w:pPr>
            <w:r w:rsidRPr="004D0DAA">
              <w:rPr>
                <w:rFonts w:ascii="Arial" w:hAnsi="Arial"/>
                <w:sz w:val="18"/>
                <w:lang w:val="fr-FR"/>
              </w:rPr>
              <w:tab/>
            </w:r>
            <w:r w:rsidRPr="004D0DAA">
              <w:rPr>
                <w:rFonts w:ascii="Arial" w:hAnsi="Arial"/>
                <w:sz w:val="18"/>
              </w:rPr>
              <w:t xml:space="preserve">! &lt; TBF mode error: { 01 | 10 | 11 } bit(*) = &lt; no string&gt; &gt; } -- </w:t>
            </w:r>
            <w:r w:rsidRPr="004D0DAA">
              <w:rPr>
                <w:rFonts w:ascii="Arial" w:hAnsi="Arial"/>
                <w:i/>
                <w:sz w:val="18"/>
              </w:rPr>
              <w:t>reserved for future use</w:t>
            </w:r>
          </w:p>
          <w:p w14:paraId="4D8BC278" w14:textId="77777777" w:rsidR="00711444" w:rsidRPr="004D0DAA" w:rsidRDefault="00711444" w:rsidP="00AA2A4C">
            <w:pPr>
              <w:keepNext/>
              <w:keepLines/>
              <w:spacing w:after="0"/>
              <w:rPr>
                <w:rFonts w:ascii="Arial" w:hAnsi="Arial"/>
                <w:sz w:val="18"/>
              </w:rPr>
            </w:pPr>
          </w:p>
          <w:p w14:paraId="05B05FD9"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w:t>
            </w:r>
            <w:r w:rsidRPr="004D0DAA">
              <w:rPr>
                <w:rFonts w:ascii="Arial" w:hAnsi="Arial"/>
                <w:i/>
                <w:sz w:val="18"/>
              </w:rPr>
              <w:t>Optional extension information:</w:t>
            </w:r>
          </w:p>
          <w:p w14:paraId="5A59AAAC" w14:textId="77777777" w:rsidR="00711444" w:rsidRPr="004D0DAA" w:rsidRDefault="00711444" w:rsidP="00AA2A4C">
            <w:pPr>
              <w:keepNext/>
              <w:keepLines/>
              <w:spacing w:after="0"/>
              <w:rPr>
                <w:rFonts w:ascii="Arial" w:hAnsi="Arial"/>
                <w:sz w:val="18"/>
              </w:rPr>
            </w:pPr>
            <w:r w:rsidRPr="004D0DAA">
              <w:rPr>
                <w:rFonts w:ascii="Arial" w:hAnsi="Arial"/>
                <w:sz w:val="18"/>
              </w:rPr>
              <w:tab/>
              <w:t>{ 0 | 1</w:t>
            </w:r>
            <w:r w:rsidRPr="004D0DAA">
              <w:rPr>
                <w:rFonts w:ascii="Arial" w:hAnsi="Arial"/>
                <w:sz w:val="18"/>
              </w:rPr>
              <w:tab/>
              <w:t>&lt; Extension Length : bit (</w:t>
            </w:r>
            <w:r w:rsidRPr="004D0DAA">
              <w:rPr>
                <w:rFonts w:ascii="Arial" w:hAnsi="Arial" w:hint="eastAsia"/>
                <w:sz w:val="18"/>
                <w:lang w:eastAsia="zh-CN"/>
              </w:rPr>
              <w:t>8</w:t>
            </w:r>
            <w:r w:rsidRPr="004D0DAA">
              <w:rPr>
                <w:rFonts w:ascii="Arial" w:hAnsi="Arial"/>
                <w:sz w:val="18"/>
              </w:rPr>
              <w:t>) &gt;</w:t>
            </w:r>
          </w:p>
          <w:p w14:paraId="3CF5741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&lt; bit (val(Extension Length) + 1)</w:t>
            </w:r>
          </w:p>
          <w:p w14:paraId="2F731D2D" w14:textId="77777777" w:rsidR="00711444" w:rsidRPr="004D0DAA" w:rsidRDefault="00711444" w:rsidP="00AA2A4C">
            <w:pPr>
              <w:keepNext/>
              <w:keepLines/>
              <w:spacing w:after="0"/>
              <w:rPr>
                <w:rFonts w:ascii="Arial" w:hAnsi="Arial" w:hint="eastAsia"/>
                <w:sz w:val="18"/>
                <w:lang w:eastAsia="zh-CN"/>
              </w:rPr>
            </w:pPr>
            <w:r w:rsidRPr="004D0DAA">
              <w:rPr>
                <w:rFonts w:ascii="Arial" w:hAnsi="Arial"/>
                <w:sz w:val="18"/>
              </w:rPr>
              <w:tab/>
            </w:r>
            <w:r w:rsidRPr="004D0DAA">
              <w:rPr>
                <w:rFonts w:ascii="Arial" w:hAnsi="Arial"/>
                <w:sz w:val="18"/>
              </w:rPr>
              <w:tab/>
            </w:r>
            <w:r w:rsidRPr="004D0DAA">
              <w:rPr>
                <w:rFonts w:ascii="Arial" w:hAnsi="Arial"/>
                <w:sz w:val="18"/>
              </w:rPr>
              <w:tab/>
              <w:t>&amp; { &lt;Extension Information &gt; ! { bit ** = &lt;no string&gt; } } &gt; } ;</w:t>
            </w:r>
          </w:p>
          <w:p w14:paraId="6E330F20" w14:textId="77777777" w:rsidR="00711444" w:rsidRPr="004D0DAA" w:rsidRDefault="00711444" w:rsidP="00AA2A4C">
            <w:pPr>
              <w:keepNext/>
              <w:keepLines/>
              <w:spacing w:after="0"/>
              <w:rPr>
                <w:rFonts w:ascii="Courier New" w:hAnsi="Courier New" w:cs="Courier New"/>
                <w:sz w:val="18"/>
                <w:lang w:eastAsia="zh-CN"/>
              </w:rPr>
            </w:pPr>
          </w:p>
        </w:tc>
      </w:tr>
      <w:tr w:rsidR="00711444" w:rsidRPr="004D0DAA" w14:paraId="5F8A91BC" w14:textId="77777777" w:rsidTr="00AA2A4C">
        <w:tblPrEx>
          <w:tblCellMar>
            <w:top w:w="0" w:type="dxa"/>
            <w:bottom w:w="0" w:type="dxa"/>
          </w:tblCellMar>
        </w:tblPrEx>
        <w:trPr>
          <w:cantSplit/>
        </w:trPr>
        <w:tc>
          <w:tcPr>
            <w:tcW w:w="9848" w:type="dxa"/>
          </w:tcPr>
          <w:p w14:paraId="7E005BFC" w14:textId="77777777" w:rsidR="00711444" w:rsidRPr="004D0DAA" w:rsidRDefault="00711444" w:rsidP="00AA2A4C">
            <w:pPr>
              <w:keepNext/>
              <w:keepLines/>
              <w:spacing w:after="0"/>
              <w:rPr>
                <w:rFonts w:ascii="Arial" w:hAnsi="Arial"/>
                <w:sz w:val="18"/>
              </w:rPr>
            </w:pPr>
            <w:r w:rsidRPr="004D0DAA">
              <w:rPr>
                <w:rFonts w:ascii="Arial" w:hAnsi="Arial"/>
                <w:sz w:val="18"/>
              </w:rPr>
              <w:t>&lt; Extension Information &gt; ::=</w:t>
            </w:r>
          </w:p>
          <w:p w14:paraId="6ED5C08A" w14:textId="77777777" w:rsidR="00711444" w:rsidRPr="004D0DAA" w:rsidRDefault="00711444" w:rsidP="00AA2A4C">
            <w:pPr>
              <w:keepNext/>
              <w:keepLines/>
              <w:spacing w:after="0"/>
              <w:rPr>
                <w:rFonts w:ascii="Arial" w:hAnsi="Arial"/>
                <w:sz w:val="18"/>
              </w:rPr>
            </w:pPr>
            <w:r w:rsidRPr="004D0DAA">
              <w:rPr>
                <w:rFonts w:ascii="Arial" w:hAnsi="Arial"/>
                <w:sz w:val="18"/>
              </w:rPr>
              <w:tab/>
              <w:t>{ {</w:t>
            </w:r>
            <w:r w:rsidRPr="004D0DAA">
              <w:rPr>
                <w:rFonts w:ascii="Arial" w:hAnsi="Arial"/>
                <w:sz w:val="18"/>
              </w:rPr>
              <w:tab/>
            </w:r>
            <w:r w:rsidRPr="004D0DAA">
              <w:rPr>
                <w:rFonts w:ascii="Arial" w:hAnsi="Arial"/>
                <w:sz w:val="18"/>
              </w:rPr>
              <w:tab/>
              <w:t xml:space="preserve">-- </w:t>
            </w:r>
            <w:r w:rsidRPr="004D0DAA">
              <w:rPr>
                <w:rFonts w:ascii="Arial" w:hAnsi="Arial"/>
                <w:i/>
                <w:iCs/>
                <w:sz w:val="18"/>
              </w:rPr>
              <w:t>Rel-</w:t>
            </w:r>
            <w:r w:rsidRPr="004D0DAA">
              <w:rPr>
                <w:rFonts w:ascii="Arial" w:hAnsi="Arial" w:hint="eastAsia"/>
                <w:i/>
                <w:iCs/>
                <w:sz w:val="18"/>
                <w:lang w:eastAsia="zh-CN"/>
              </w:rPr>
              <w:t>10</w:t>
            </w:r>
            <w:r w:rsidRPr="004D0DAA">
              <w:rPr>
                <w:rFonts w:ascii="Arial" w:hAnsi="Arial"/>
                <w:i/>
                <w:iCs/>
                <w:sz w:val="18"/>
              </w:rPr>
              <w:t xml:space="preserve"> extension:</w:t>
            </w:r>
          </w:p>
          <w:p w14:paraId="194860DA"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t xml:space="preserve">{ 0 &lt; </w:t>
            </w:r>
            <w:r w:rsidRPr="004D0DAA">
              <w:rPr>
                <w:rFonts w:ascii="Arial" w:hAnsi="Arial"/>
                <w:b/>
                <w:bCs/>
                <w:sz w:val="18"/>
              </w:rPr>
              <w:t>EMST_NW_Capability</w:t>
            </w:r>
            <w:r w:rsidRPr="004D0DAA">
              <w:rPr>
                <w:rFonts w:ascii="Arial" w:hAnsi="Arial"/>
                <w:sz w:val="18"/>
              </w:rPr>
              <w:t xml:space="preserve"> : bit (1) &gt;</w:t>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not used</w:t>
            </w:r>
          </w:p>
          <w:p w14:paraId="08B84245"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iCs/>
                <w:sz w:val="18"/>
              </w:rPr>
              <w:t>EMST is used</w:t>
            </w:r>
          </w:p>
          <w:p w14:paraId="1FD317F3"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r>
            <w:r w:rsidRPr="004D0DAA">
              <w:rPr>
                <w:rFonts w:ascii="Arial" w:hAnsi="Arial"/>
                <w:sz w:val="18"/>
              </w:rPr>
              <w:tab/>
              <w:t>{ 0</w:t>
            </w:r>
          </w:p>
          <w:p w14:paraId="004A98AD"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&lt;</w:t>
            </w:r>
            <w:r w:rsidRPr="004D0DAA">
              <w:rPr>
                <w:rFonts w:ascii="Arial" w:hAnsi="Arial"/>
                <w:b/>
                <w:bCs/>
                <w:sz w:val="18"/>
              </w:rPr>
              <w:t xml:space="preserve"> Downlink RLC Entity 2</w:t>
            </w:r>
            <w:r w:rsidRPr="004D0DAA">
              <w:rPr>
                <w:rFonts w:ascii="Arial" w:hAnsi="Arial"/>
                <w:sz w:val="18"/>
              </w:rPr>
              <w:t xml:space="preserve"> : &lt; RLC Entity struct&gt; </w:t>
            </w:r>
          </w:p>
          <w:p w14:paraId="48CFDEB1"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699F0ED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1 &lt;</w:t>
            </w:r>
            <w:r w:rsidRPr="004D0DAA">
              <w:rPr>
                <w:rFonts w:ascii="Arial" w:hAnsi="Arial"/>
                <w:b/>
                <w:bCs/>
                <w:sz w:val="18"/>
              </w:rPr>
              <w:t xml:space="preserve"> Downlink RLC Entity 3</w:t>
            </w:r>
            <w:r w:rsidRPr="004D0DAA">
              <w:rPr>
                <w:rFonts w:ascii="Arial" w:hAnsi="Arial"/>
                <w:sz w:val="18"/>
              </w:rPr>
              <w:t xml:space="preserve"> : &lt; RLC Entity struct&gt; }</w:t>
            </w:r>
          </w:p>
          <w:p w14:paraId="1608E42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w:t>
            </w:r>
          </w:p>
          <w:p w14:paraId="6E24D5A0"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0</w:t>
            </w:r>
          </w:p>
          <w:p w14:paraId="16243CD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 1</w:t>
            </w:r>
            <w:r w:rsidRPr="004D0DAA">
              <w:rPr>
                <w:rFonts w:ascii="Arial" w:hAnsi="Arial"/>
                <w:sz w:val="18"/>
              </w:rPr>
              <w:tab/>
              <w:t xml:space="preserve">&lt; </w:t>
            </w:r>
            <w:r w:rsidRPr="004D0DAA">
              <w:rPr>
                <w:rFonts w:ascii="Arial" w:hAnsi="Arial"/>
                <w:b/>
                <w:bCs/>
                <w:sz w:val="18"/>
              </w:rPr>
              <w:t>Uplink RLC Entity 2</w:t>
            </w:r>
            <w:r w:rsidRPr="004D0DAA">
              <w:rPr>
                <w:rFonts w:ascii="Arial" w:hAnsi="Arial"/>
                <w:sz w:val="18"/>
              </w:rPr>
              <w:t xml:space="preserve"> : &lt; RLC Entity struct&gt; </w:t>
            </w:r>
          </w:p>
          <w:p w14:paraId="073E8BD4"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0</w:t>
            </w:r>
          </w:p>
          <w:p w14:paraId="0586EC55"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1 &lt; </w:t>
            </w:r>
            <w:r w:rsidRPr="004D0DAA">
              <w:rPr>
                <w:rFonts w:ascii="Arial" w:hAnsi="Arial"/>
                <w:b/>
                <w:bCs/>
                <w:sz w:val="18"/>
              </w:rPr>
              <w:t>Uplink RLC Entity 3</w:t>
            </w:r>
            <w:r w:rsidRPr="004D0DAA">
              <w:rPr>
                <w:rFonts w:ascii="Arial" w:hAnsi="Arial"/>
                <w:sz w:val="18"/>
              </w:rPr>
              <w:t xml:space="preserve"> : &lt; RLC Entity struct&gt; }</w:t>
            </w:r>
          </w:p>
          <w:p w14:paraId="242521B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t>}</w:t>
            </w:r>
          </w:p>
          <w:p w14:paraId="3F8B4318" w14:textId="77777777" w:rsidR="00711444" w:rsidRPr="004D0DAA" w:rsidRDefault="00711444" w:rsidP="00AA2A4C">
            <w:pPr>
              <w:keepNext/>
              <w:keepLines/>
              <w:spacing w:after="0"/>
              <w:rPr>
                <w:rFonts w:ascii="Arial" w:hAnsi="Arial"/>
                <w:sz w:val="18"/>
              </w:rPr>
            </w:pPr>
            <w:r w:rsidRPr="004D0DAA">
              <w:rPr>
                <w:rFonts w:ascii="Arial" w:hAnsi="Arial"/>
                <w:b/>
                <w:bCs/>
                <w:sz w:val="18"/>
              </w:rPr>
              <w:tab/>
            </w:r>
            <w:r w:rsidRPr="004D0DAA">
              <w:rPr>
                <w:rFonts w:ascii="Arial" w:hAnsi="Arial"/>
                <w:b/>
                <w:bCs/>
                <w:sz w:val="18"/>
              </w:rPr>
              <w:tab/>
            </w:r>
            <w:r w:rsidRPr="004D0DAA">
              <w:rPr>
                <w:rFonts w:ascii="Arial" w:hAnsi="Arial"/>
                <w:sz w:val="18"/>
              </w:rPr>
              <w:t>}</w:t>
            </w:r>
          </w:p>
          <w:p w14:paraId="5C99D2D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 0 | 1 </w:t>
            </w:r>
            <w:r w:rsidRPr="004D0DAA">
              <w:rPr>
                <w:rFonts w:ascii="Arial" w:hAnsi="Arial"/>
                <w:b/>
                <w:sz w:val="18"/>
              </w:rPr>
              <w:t xml:space="preserve">MTTI_DOWNLINK_ASSIGNMENT_C1 </w:t>
            </w:r>
            <w:r w:rsidRPr="004D0DAA">
              <w:rPr>
                <w:rFonts w:ascii="Arial" w:hAnsi="Arial"/>
                <w:sz w:val="18"/>
              </w:rPr>
              <w:t>: bit (1) }</w:t>
            </w:r>
          </w:p>
          <w:p w14:paraId="143AB49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 0 | 1 </w:t>
            </w:r>
            <w:r w:rsidRPr="004D0DAA">
              <w:rPr>
                <w:rFonts w:ascii="Arial" w:hAnsi="Arial"/>
                <w:b/>
                <w:sz w:val="18"/>
              </w:rPr>
              <w:t xml:space="preserve">MTTI_DOWNLINK_ASSIGNMENT_C2 </w:t>
            </w:r>
            <w:r w:rsidRPr="004D0DAA">
              <w:rPr>
                <w:rFonts w:ascii="Arial" w:hAnsi="Arial"/>
                <w:sz w:val="18"/>
              </w:rPr>
              <w:t>: bit (1) }</w:t>
            </w:r>
          </w:p>
          <w:p w14:paraId="2B2EAB98"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b/>
                <w:sz w:val="18"/>
              </w:rPr>
              <w:t xml:space="preserve"> MTTI_UPLINK_ASSIGNMENT_C1 </w:t>
            </w:r>
            <w:r w:rsidRPr="004D0DAA">
              <w:rPr>
                <w:rFonts w:ascii="Arial" w:hAnsi="Arial"/>
                <w:sz w:val="18"/>
              </w:rPr>
              <w:t>: bit(1) }</w:t>
            </w:r>
          </w:p>
          <w:p w14:paraId="3879BC8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 | 1</w:t>
            </w:r>
            <w:r w:rsidRPr="004D0DAA">
              <w:rPr>
                <w:rFonts w:ascii="Arial" w:hAnsi="Arial"/>
                <w:b/>
                <w:sz w:val="18"/>
              </w:rPr>
              <w:t xml:space="preserve"> MTTI_UPLINK_ASSIGNMENT_C2 </w:t>
            </w:r>
            <w:r w:rsidRPr="004D0DAA">
              <w:rPr>
                <w:rFonts w:ascii="Arial" w:hAnsi="Arial"/>
                <w:sz w:val="18"/>
              </w:rPr>
              <w:t>: bit(1) }</w:t>
            </w:r>
          </w:p>
          <w:p w14:paraId="3142B733"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downlink</w:t>
            </w:r>
          </w:p>
          <w:p w14:paraId="677AFACA"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downlink</w:t>
            </w:r>
          </w:p>
          <w:p w14:paraId="73F3FA5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71D89999"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1D897E4B"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3EBEB287"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w:t>
            </w:r>
          </w:p>
          <w:p w14:paraId="34D3B01F"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0</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not enabled in uplink</w:t>
            </w:r>
          </w:p>
          <w:p w14:paraId="38186F40" w14:textId="77777777" w:rsidR="00711444" w:rsidRPr="004D0DAA" w:rsidRDefault="00711444" w:rsidP="00AA2A4C">
            <w:pPr>
              <w:keepNext/>
              <w:keepLines/>
              <w:spacing w:after="0"/>
              <w:rPr>
                <w:rFonts w:ascii="Arial" w:hAnsi="Arial"/>
                <w:i/>
                <w:iCs/>
                <w:sz w:val="18"/>
              </w:rPr>
            </w:pPr>
            <w:r w:rsidRPr="004D0DAA">
              <w:rPr>
                <w:rFonts w:ascii="Arial" w:hAnsi="Arial"/>
                <w:sz w:val="18"/>
              </w:rPr>
              <w:tab/>
            </w:r>
            <w:r w:rsidRPr="004D0DAA">
              <w:rPr>
                <w:rFonts w:ascii="Arial" w:hAnsi="Arial"/>
                <w:sz w:val="18"/>
              </w:rPr>
              <w:tab/>
              <w:t>| 1</w:t>
            </w:r>
            <w:r w:rsidRPr="004D0DAA">
              <w:rPr>
                <w:rFonts w:ascii="Arial" w:hAnsi="Arial"/>
                <w:sz w:val="18"/>
              </w:rPr>
              <w:tab/>
            </w:r>
            <w:r w:rsidRPr="004D0DAA">
              <w:rPr>
                <w:rFonts w:ascii="Arial" w:hAnsi="Arial"/>
                <w:sz w:val="18"/>
              </w:rPr>
              <w:tab/>
              <w:t xml:space="preserve">-- </w:t>
            </w:r>
            <w:r w:rsidRPr="004D0DAA">
              <w:rPr>
                <w:rFonts w:ascii="Arial" w:hAnsi="Arial"/>
                <w:i/>
                <w:iCs/>
                <w:sz w:val="18"/>
              </w:rPr>
              <w:t>EMSR is enabled in uplink</w:t>
            </w:r>
          </w:p>
          <w:p w14:paraId="1C70C9DC"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1</w:t>
            </w:r>
            <w:r w:rsidRPr="004D0DAA">
              <w:rPr>
                <w:rFonts w:ascii="Arial" w:hAnsi="Arial"/>
                <w:sz w:val="18"/>
              </w:rPr>
              <w:t xml:space="preserve"> : &lt; Additional PFCs struct &gt; &gt; } ** 0</w:t>
            </w:r>
            <w:r w:rsidRPr="004D0DAA">
              <w:rPr>
                <w:rFonts w:ascii="Arial" w:hAnsi="Arial"/>
                <w:sz w:val="18"/>
              </w:rPr>
              <w:tab/>
            </w:r>
          </w:p>
          <w:p w14:paraId="2DFCCE12"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2</w:t>
            </w:r>
            <w:r w:rsidRPr="004D0DAA">
              <w:rPr>
                <w:rFonts w:ascii="Arial" w:hAnsi="Arial"/>
                <w:sz w:val="18"/>
              </w:rPr>
              <w:t xml:space="preserve"> : &lt; Additional PFCs struct &gt; &gt; } ** 0</w:t>
            </w:r>
            <w:r w:rsidRPr="004D0DAA">
              <w:rPr>
                <w:rFonts w:ascii="Arial" w:hAnsi="Arial"/>
                <w:sz w:val="18"/>
              </w:rPr>
              <w:tab/>
            </w:r>
          </w:p>
          <w:p w14:paraId="567A5783"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1 </w:t>
            </w:r>
            <w:r w:rsidRPr="004D0DAA">
              <w:rPr>
                <w:rFonts w:ascii="Arial" w:hAnsi="Arial"/>
                <w:sz w:val="18"/>
              </w:rPr>
              <w:t xml:space="preserve">&lt; </w:t>
            </w:r>
            <w:r w:rsidRPr="004D0DAA">
              <w:rPr>
                <w:rFonts w:ascii="Arial" w:hAnsi="Arial"/>
                <w:b/>
                <w:bCs/>
                <w:sz w:val="18"/>
              </w:rPr>
              <w:t>EMSR Additional PFCs</w:t>
            </w:r>
            <w:r w:rsidRPr="004D0DAA">
              <w:rPr>
                <w:rFonts w:ascii="Arial" w:hAnsi="Arial"/>
                <w:sz w:val="18"/>
              </w:rPr>
              <w:t xml:space="preserve"> </w:t>
            </w:r>
            <w:r w:rsidRPr="004D0DAA">
              <w:rPr>
                <w:rFonts w:ascii="Arial" w:hAnsi="Arial"/>
                <w:b/>
                <w:sz w:val="18"/>
              </w:rPr>
              <w:t>3</w:t>
            </w:r>
            <w:r w:rsidRPr="004D0DAA">
              <w:rPr>
                <w:rFonts w:ascii="Arial" w:hAnsi="Arial"/>
                <w:sz w:val="18"/>
              </w:rPr>
              <w:t xml:space="preserve"> : &lt; Additional PFCs struct &gt; &gt; } ** 0</w:t>
            </w:r>
          </w:p>
          <w:p w14:paraId="2E7C27AA" w14:textId="77777777" w:rsidR="00711444" w:rsidRPr="004D0DAA" w:rsidRDefault="00711444" w:rsidP="00AA2A4C">
            <w:pPr>
              <w:keepNext/>
              <w:keepLines/>
              <w:spacing w:after="0"/>
              <w:rPr>
                <w:rFonts w:ascii="Arial" w:hAnsi="Arial" w:hint="eastAsia"/>
                <w:sz w:val="18"/>
                <w:lang w:eastAsia="zh-CN"/>
              </w:rPr>
            </w:pPr>
            <w:r w:rsidRPr="004D0DAA">
              <w:rPr>
                <w:rFonts w:ascii="Arial" w:hAnsi="Arial"/>
                <w:sz w:val="18"/>
              </w:rPr>
              <w:tab/>
            </w:r>
            <w:r w:rsidRPr="004D0DAA">
              <w:rPr>
                <w:rFonts w:ascii="Arial" w:hAnsi="Arial"/>
                <w:sz w:val="18"/>
              </w:rPr>
              <w:tab/>
              <w:t>}</w:t>
            </w:r>
          </w:p>
          <w:p w14:paraId="6C0A6DE3" w14:textId="77777777" w:rsidR="00711444" w:rsidRPr="004D0DAA" w:rsidRDefault="00711444" w:rsidP="00AA2A4C">
            <w:pPr>
              <w:keepNext/>
              <w:keepLines/>
              <w:spacing w:after="0"/>
              <w:rPr>
                <w:rFonts w:ascii="Arial" w:hAnsi="Arial" w:hint="eastAsia"/>
                <w:sz w:val="18"/>
                <w:lang w:eastAsia="zh-CN"/>
              </w:rPr>
            </w:pPr>
            <w:r w:rsidRPr="004D0DAA">
              <w:rPr>
                <w:rFonts w:ascii="Arial" w:hAnsi="Arial"/>
                <w:b/>
                <w:bCs/>
                <w:sz w:val="18"/>
              </w:rPr>
              <w:tab/>
            </w:r>
            <w:r w:rsidRPr="004D0DAA">
              <w:rPr>
                <w:rFonts w:ascii="Arial" w:hAnsi="Arial"/>
                <w:sz w:val="18"/>
              </w:rPr>
              <w:t>}</w:t>
            </w:r>
          </w:p>
          <w:p w14:paraId="67268217" w14:textId="77777777" w:rsidR="00711444" w:rsidRPr="004D0DAA" w:rsidRDefault="00711444" w:rsidP="00AA2A4C">
            <w:pPr>
              <w:keepNext/>
              <w:keepLines/>
              <w:spacing w:after="0"/>
              <w:rPr>
                <w:rFonts w:ascii="Arial" w:hAnsi="Arial"/>
                <w:sz w:val="18"/>
              </w:rPr>
            </w:pPr>
            <w:r w:rsidRPr="004D0DAA">
              <w:rPr>
                <w:rFonts w:ascii="Arial" w:hAnsi="Arial"/>
                <w:sz w:val="18"/>
              </w:rPr>
              <w:tab/>
              <w: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w:t>
            </w:r>
            <w:r w:rsidRPr="004D0DAA">
              <w:rPr>
                <w:rFonts w:ascii="Arial" w:hAnsi="Arial"/>
                <w:i/>
                <w:iCs/>
                <w:sz w:val="18"/>
              </w:rPr>
              <w:t>Rel-11 extension:</w:t>
            </w:r>
          </w:p>
          <w:p w14:paraId="4B59AA76" w14:textId="77777777" w:rsidR="00711444" w:rsidRPr="004D0DAA" w:rsidRDefault="00711444" w:rsidP="00AA2A4C">
            <w:pPr>
              <w:keepNext/>
              <w:keepLines/>
              <w:spacing w:after="0"/>
              <w:rPr>
                <w:rFonts w:ascii="Arial" w:hAnsi="Arial"/>
                <w:sz w:val="18"/>
              </w:rPr>
            </w:pPr>
            <w:r w:rsidRPr="004D0DAA">
              <w:rPr>
                <w:rFonts w:ascii="Arial" w:hAnsi="Arial"/>
                <w:sz w:val="18"/>
              </w:rPr>
              <w:tab/>
            </w:r>
            <w:r w:rsidRPr="004D0DAA">
              <w:rPr>
                <w:rFonts w:ascii="Arial" w:hAnsi="Arial"/>
                <w:sz w:val="18"/>
              </w:rPr>
              <w:tab/>
              <w:t xml:space="preserve">&lt; </w:t>
            </w:r>
            <w:r w:rsidRPr="004D0DAA">
              <w:rPr>
                <w:rFonts w:ascii="Arial" w:hAnsi="Arial" w:cs="Arial"/>
                <w:b/>
                <w:sz w:val="18"/>
              </w:rPr>
              <w:t>EGPRS Packet Downlink Ack/Nack Type 3</w:t>
            </w:r>
            <w:r w:rsidRPr="004D0DAA">
              <w:rPr>
                <w:rFonts w:ascii="Arial" w:hAnsi="Arial"/>
                <w:sz w:val="18"/>
              </w:rPr>
              <w:t xml:space="preserve"> </w:t>
            </w:r>
            <w:r w:rsidRPr="004D0DAA">
              <w:rPr>
                <w:rFonts w:ascii="Arial" w:hAnsi="Arial"/>
                <w:b/>
                <w:bCs/>
                <w:sz w:val="18"/>
              </w:rPr>
              <w:t>Support</w:t>
            </w:r>
            <w:r w:rsidRPr="004D0DAA">
              <w:rPr>
                <w:rFonts w:ascii="Arial" w:hAnsi="Arial"/>
                <w:sz w:val="18"/>
              </w:rPr>
              <w:t xml:space="preserve"> : bit(1) &gt;</w:t>
            </w:r>
          </w:p>
          <w:p w14:paraId="49ED3F3E" w14:textId="77777777" w:rsidR="00711444" w:rsidRPr="004D0DAA" w:rsidRDefault="00711444" w:rsidP="00AA2A4C">
            <w:pPr>
              <w:keepNext/>
              <w:keepLines/>
              <w:spacing w:after="0"/>
              <w:rPr>
                <w:rFonts w:ascii="Arial" w:hAnsi="Arial"/>
                <w:sz w:val="18"/>
              </w:rPr>
            </w:pPr>
            <w:r w:rsidRPr="004D0DAA">
              <w:rPr>
                <w:rFonts w:ascii="Arial" w:hAnsi="Arial"/>
                <w:sz w:val="18"/>
              </w:rPr>
              <w:tab/>
              <w:t>}</w:t>
            </w:r>
          </w:p>
          <w:p w14:paraId="2DA00737" w14:textId="77777777" w:rsidR="00711444" w:rsidRPr="004D0DAA" w:rsidRDefault="00711444" w:rsidP="00AA2A4C">
            <w:pPr>
              <w:keepNext/>
              <w:keepLines/>
              <w:spacing w:after="0"/>
              <w:rPr>
                <w:rFonts w:ascii="Arial" w:hAnsi="Arial"/>
                <w:sz w:val="18"/>
              </w:rPr>
            </w:pPr>
            <w:r w:rsidRPr="004D0DAA">
              <w:rPr>
                <w:rFonts w:ascii="Arial" w:hAnsi="Arial"/>
                <w:sz w:val="18"/>
              </w:rPr>
              <w:tab/>
              <w:t>{</w:t>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iCs/>
                <w:sz w:val="18"/>
              </w:rPr>
              <w:t xml:space="preserve">-- </w:t>
            </w:r>
            <w:r w:rsidRPr="004D0DAA">
              <w:rPr>
                <w:rFonts w:ascii="Arial" w:hAnsi="Arial"/>
                <w:i/>
                <w:iCs/>
                <w:sz w:val="18"/>
              </w:rPr>
              <w:t>Rel-12 extension:</w:t>
            </w:r>
            <w:r w:rsidRPr="004D0DAA">
              <w:rPr>
                <w:rFonts w:ascii="Arial" w:hAnsi="Arial"/>
                <w:sz w:val="18"/>
              </w:rPr>
              <w:t xml:space="preserve"> </w:t>
            </w:r>
          </w:p>
          <w:p w14:paraId="6F418CB7"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Primary DL TSC Value assigned</w:t>
            </w:r>
          </w:p>
          <w:p w14:paraId="40C02A1D"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Set</w:t>
            </w:r>
            <w:r w:rsidRPr="004D0DAA">
              <w:rPr>
                <w:iCs/>
                <w:lang w:eastAsia="en-US"/>
              </w:rPr>
              <w:t xml:space="preserve"> : bit (1) &gt;</w:t>
            </w:r>
          </w:p>
          <w:p w14:paraId="271C681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Primary TSC Value</w:t>
            </w:r>
            <w:r w:rsidRPr="004D0DAA">
              <w:rPr>
                <w:iCs/>
                <w:lang w:eastAsia="en-US"/>
              </w:rPr>
              <w:t xml:space="preserve"> : bit (3) &gt; }</w:t>
            </w:r>
          </w:p>
          <w:p w14:paraId="07D1EDC3"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
                <w:lang w:eastAsia="en-US"/>
              </w:rPr>
              <w:t>-- Secondary DL TSC Value assigned</w:t>
            </w:r>
          </w:p>
          <w:p w14:paraId="1B9AF62F"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Set</w:t>
            </w:r>
            <w:r w:rsidRPr="004D0DAA">
              <w:rPr>
                <w:iCs/>
                <w:lang w:eastAsia="en-US"/>
              </w:rPr>
              <w:t xml:space="preserve"> : bit (1) &gt;</w:t>
            </w:r>
          </w:p>
          <w:p w14:paraId="22E32039"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iCs/>
                <w:lang w:eastAsia="en-US"/>
              </w:rPr>
              <w:t xml:space="preserve">&lt; </w:t>
            </w:r>
            <w:r w:rsidRPr="004D0DAA">
              <w:rPr>
                <w:b/>
                <w:iCs/>
                <w:lang w:eastAsia="en-US"/>
              </w:rPr>
              <w:t>Secondary DL TSC Value</w:t>
            </w:r>
            <w:r w:rsidRPr="004D0DAA">
              <w:rPr>
                <w:iCs/>
                <w:lang w:eastAsia="en-US"/>
              </w:rPr>
              <w:t xml:space="preserve"> : bit (3) &gt; }</w:t>
            </w:r>
          </w:p>
          <w:p w14:paraId="7E57F88E" w14:textId="77777777" w:rsidR="00711444" w:rsidRPr="004D0DAA" w:rsidRDefault="00711444" w:rsidP="00AA2A4C">
            <w:pPr>
              <w:pStyle w:val="TAL"/>
              <w:rPr>
                <w:rFonts w:hint="eastAsia"/>
                <w:lang w:eastAsia="en-US"/>
              </w:rPr>
            </w:pPr>
            <w:r w:rsidRPr="004D0DAA">
              <w:rPr>
                <w:lang w:eastAsia="en-US"/>
              </w:rPr>
              <w:tab/>
            </w:r>
            <w:r w:rsidRPr="004D0DAA">
              <w:rPr>
                <w:iCs/>
                <w:lang w:eastAsia="en-US"/>
              </w:rPr>
              <w:t>}</w:t>
            </w:r>
          </w:p>
          <w:p w14:paraId="0FE7553A" w14:textId="77777777" w:rsidR="00711444" w:rsidRPr="004D0DAA" w:rsidRDefault="00711444" w:rsidP="00AA2A4C">
            <w:pPr>
              <w:keepNext/>
              <w:keepLines/>
              <w:spacing w:after="0"/>
              <w:rPr>
                <w:rFonts w:ascii="Arial" w:hAnsi="Arial"/>
                <w:i/>
                <w:sz w:val="18"/>
              </w:rPr>
            </w:pPr>
            <w:r w:rsidRPr="004D0DAA">
              <w:rPr>
                <w:rFonts w:ascii="Arial" w:hAnsi="Arial"/>
                <w:sz w:val="18"/>
              </w:rPr>
              <w:tab/>
              <w:t>&lt; spare bit &gt; ** } // ;</w:t>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Extension information may be truncated between released versions of the protocol.</w:t>
            </w:r>
          </w:p>
          <w:p w14:paraId="38BD4C71" w14:textId="77777777" w:rsidR="00711444" w:rsidRPr="004D0DAA" w:rsidRDefault="00711444" w:rsidP="00AA2A4C">
            <w:pPr>
              <w:keepNext/>
              <w:keepLines/>
              <w:spacing w:after="0"/>
              <w:rPr>
                <w:rFonts w:ascii="Arial" w:hAnsi="Arial"/>
                <w:i/>
                <w:sz w:val="18"/>
              </w:rPr>
            </w:pP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r>
            <w:r w:rsidRPr="004D0DAA">
              <w:rPr>
                <w:rFonts w:ascii="Arial" w:hAnsi="Arial"/>
                <w:sz w:val="18"/>
              </w:rPr>
              <w:tab/>
              <w:t xml:space="preserve">-- </w:t>
            </w:r>
            <w:r w:rsidRPr="004D0DAA">
              <w:rPr>
                <w:rFonts w:ascii="Arial" w:hAnsi="Arial"/>
                <w:i/>
                <w:sz w:val="18"/>
              </w:rPr>
              <w:t>The receiver shall assume the value zero for any truncated bit.</w:t>
            </w:r>
          </w:p>
          <w:p w14:paraId="512A51A2" w14:textId="77777777" w:rsidR="00711444" w:rsidRPr="004D0DAA" w:rsidRDefault="00711444" w:rsidP="00AA2A4C">
            <w:pPr>
              <w:keepNext/>
              <w:keepLines/>
              <w:spacing w:after="0"/>
              <w:rPr>
                <w:rFonts w:ascii="Arial" w:hAnsi="Arial"/>
                <w:sz w:val="18"/>
              </w:rPr>
            </w:pPr>
          </w:p>
        </w:tc>
      </w:tr>
      <w:tr w:rsidR="00711444" w:rsidRPr="004D0DAA" w14:paraId="32D036DF" w14:textId="77777777" w:rsidTr="00AA2A4C">
        <w:tblPrEx>
          <w:tblCellMar>
            <w:top w:w="0" w:type="dxa"/>
            <w:bottom w:w="0" w:type="dxa"/>
          </w:tblCellMar>
        </w:tblPrEx>
        <w:trPr>
          <w:cantSplit/>
        </w:trPr>
        <w:tc>
          <w:tcPr>
            <w:tcW w:w="9848" w:type="dxa"/>
          </w:tcPr>
          <w:p w14:paraId="6205C9FD" w14:textId="77777777" w:rsidR="00711444" w:rsidRPr="004D0DAA" w:rsidRDefault="00711444" w:rsidP="00AA2A4C">
            <w:pPr>
              <w:keepNext/>
              <w:keepLines/>
              <w:spacing w:after="0"/>
              <w:rPr>
                <w:rFonts w:ascii="Arial" w:hAnsi="Arial"/>
                <w:sz w:val="18"/>
              </w:rPr>
            </w:pPr>
            <w:r w:rsidRPr="004D0DAA">
              <w:rPr>
                <w:rFonts w:ascii="Arial" w:hAnsi="Arial"/>
                <w:sz w:val="18"/>
              </w:rPr>
              <w:t>&lt; RLC Entity struct &gt; :: =</w:t>
            </w:r>
          </w:p>
          <w:p w14:paraId="1322CFF2"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TFI</w:t>
            </w:r>
            <w:r w:rsidRPr="004D0DAA">
              <w:rPr>
                <w:rFonts w:ascii="Arial" w:hAnsi="Arial"/>
                <w:sz w:val="18"/>
              </w:rPr>
              <w:t xml:space="preserve"> : bit (5) &gt;</w:t>
            </w:r>
          </w:p>
          <w:p w14:paraId="39903302"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RLC_MODE</w:t>
            </w:r>
            <w:r w:rsidRPr="004D0DAA">
              <w:rPr>
                <w:rFonts w:ascii="Arial" w:hAnsi="Arial"/>
                <w:sz w:val="18"/>
              </w:rPr>
              <w:t xml:space="preserve"> : bit (1) &gt;</w:t>
            </w:r>
          </w:p>
          <w:p w14:paraId="6C01A120"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 0 | 1 &lt; </w:t>
            </w:r>
            <w:r w:rsidRPr="004D0DAA">
              <w:rPr>
                <w:rFonts w:ascii="Arial" w:hAnsi="Arial"/>
                <w:b/>
                <w:bCs/>
                <w:sz w:val="18"/>
              </w:rPr>
              <w:t>EGPRS Window Size</w:t>
            </w:r>
            <w:r w:rsidRPr="004D0DAA">
              <w:rPr>
                <w:rFonts w:ascii="Arial" w:hAnsi="Arial"/>
                <w:sz w:val="18"/>
              </w:rPr>
              <w:t> : &lt; EGPRS Window Size IE &gt; &gt; }</w:t>
            </w:r>
          </w:p>
          <w:p w14:paraId="158F3AD2"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PFI</w:t>
            </w:r>
            <w:r w:rsidRPr="004D0DAA">
              <w:rPr>
                <w:rFonts w:ascii="Arial" w:hAnsi="Arial"/>
                <w:sz w:val="18"/>
              </w:rPr>
              <w:t xml:space="preserve"> : bit (7) &gt;;</w:t>
            </w:r>
          </w:p>
        </w:tc>
      </w:tr>
      <w:tr w:rsidR="00711444" w:rsidRPr="004D0DAA" w14:paraId="7E3F71F4" w14:textId="77777777" w:rsidTr="00AA2A4C">
        <w:tblPrEx>
          <w:tblCellMar>
            <w:top w:w="0" w:type="dxa"/>
            <w:bottom w:w="0" w:type="dxa"/>
          </w:tblCellMar>
        </w:tblPrEx>
        <w:trPr>
          <w:cantSplit/>
        </w:trPr>
        <w:tc>
          <w:tcPr>
            <w:tcW w:w="9848" w:type="dxa"/>
          </w:tcPr>
          <w:p w14:paraId="78D5E5C5" w14:textId="77777777" w:rsidR="00711444" w:rsidRPr="004D0DAA" w:rsidRDefault="00711444" w:rsidP="00AA2A4C">
            <w:pPr>
              <w:keepNext/>
              <w:keepLines/>
              <w:spacing w:after="0"/>
              <w:rPr>
                <w:rFonts w:ascii="Arial" w:hAnsi="Arial"/>
                <w:sz w:val="18"/>
              </w:rPr>
            </w:pPr>
            <w:r w:rsidRPr="004D0DAA">
              <w:rPr>
                <w:rFonts w:ascii="Arial" w:hAnsi="Arial"/>
                <w:sz w:val="18"/>
              </w:rPr>
              <w:lastRenderedPageBreak/>
              <w:t>&lt; Additional PFCs struct &gt; ::=</w:t>
            </w:r>
          </w:p>
          <w:p w14:paraId="40DCB1D3"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TFI</w:t>
            </w:r>
            <w:r w:rsidRPr="004D0DAA">
              <w:rPr>
                <w:rFonts w:ascii="Arial" w:hAnsi="Arial"/>
                <w:sz w:val="18"/>
              </w:rPr>
              <w:t xml:space="preserve"> : bit (5) &gt;</w:t>
            </w:r>
          </w:p>
          <w:p w14:paraId="6D9EBDD9" w14:textId="77777777" w:rsidR="00711444" w:rsidRPr="004D0DAA" w:rsidRDefault="00711444" w:rsidP="00AA2A4C">
            <w:pPr>
              <w:keepNext/>
              <w:keepLines/>
              <w:spacing w:after="0"/>
              <w:rPr>
                <w:rFonts w:ascii="Arial" w:hAnsi="Arial"/>
                <w:sz w:val="18"/>
              </w:rPr>
            </w:pPr>
            <w:r w:rsidRPr="004D0DAA">
              <w:rPr>
                <w:rFonts w:ascii="Arial" w:hAnsi="Arial"/>
                <w:sz w:val="18"/>
              </w:rPr>
              <w:t xml:space="preserve">      { 0 | 1 </w:t>
            </w:r>
            <w:r w:rsidRPr="004D0DAA">
              <w:rPr>
                <w:rFonts w:ascii="Arial" w:hAnsi="Arial"/>
                <w:iCs/>
                <w:sz w:val="18"/>
              </w:rPr>
              <w:t xml:space="preserve">&lt; </w:t>
            </w:r>
            <w:r w:rsidRPr="004D0DAA">
              <w:rPr>
                <w:rFonts w:ascii="Arial" w:hAnsi="Arial"/>
                <w:b/>
                <w:iCs/>
                <w:sz w:val="18"/>
              </w:rPr>
              <w:t xml:space="preserve">NPM Transfer Time </w:t>
            </w:r>
            <w:r w:rsidRPr="004D0DAA">
              <w:rPr>
                <w:rFonts w:ascii="Arial" w:hAnsi="Arial"/>
                <w:iCs/>
                <w:sz w:val="18"/>
              </w:rPr>
              <w:t>: bit (5) &gt;</w:t>
            </w:r>
            <w:r w:rsidRPr="004D0DAA">
              <w:rPr>
                <w:rFonts w:ascii="Arial" w:hAnsi="Arial"/>
                <w:sz w:val="18"/>
              </w:rPr>
              <w:t xml:space="preserve"> }</w:t>
            </w:r>
          </w:p>
          <w:p w14:paraId="7DE611A2" w14:textId="77777777" w:rsidR="00711444" w:rsidRPr="004D0DAA" w:rsidRDefault="00711444" w:rsidP="00AA2A4C">
            <w:pPr>
              <w:keepNext/>
              <w:keepLines/>
              <w:spacing w:after="0"/>
              <w:rPr>
                <w:rFonts w:ascii="Arial" w:hAnsi="Arial"/>
                <w:sz w:val="18"/>
              </w:rPr>
            </w:pPr>
            <w:r w:rsidRPr="004D0DAA">
              <w:rPr>
                <w:rFonts w:ascii="Arial" w:hAnsi="Arial"/>
                <w:sz w:val="18"/>
              </w:rPr>
              <w:tab/>
              <w:t xml:space="preserve">&lt; </w:t>
            </w:r>
            <w:r w:rsidRPr="004D0DAA">
              <w:rPr>
                <w:rFonts w:ascii="Arial" w:hAnsi="Arial"/>
                <w:b/>
                <w:bCs/>
                <w:sz w:val="18"/>
              </w:rPr>
              <w:t>PFI</w:t>
            </w:r>
            <w:r w:rsidRPr="004D0DAA">
              <w:rPr>
                <w:rFonts w:ascii="Arial" w:hAnsi="Arial"/>
                <w:sz w:val="18"/>
              </w:rPr>
              <w:t xml:space="preserve"> : bit (7) &gt;;</w:t>
            </w:r>
          </w:p>
        </w:tc>
      </w:tr>
    </w:tbl>
    <w:p w14:paraId="63039274" w14:textId="77777777" w:rsidR="00711444" w:rsidRPr="004D0DAA" w:rsidRDefault="00711444" w:rsidP="00711444">
      <w:pPr>
        <w:tabs>
          <w:tab w:val="left" w:pos="11520"/>
        </w:tabs>
      </w:pPr>
    </w:p>
    <w:p w14:paraId="1B164CE0" w14:textId="77777777" w:rsidR="00711444" w:rsidRPr="004D0DAA" w:rsidRDefault="00711444" w:rsidP="00711444">
      <w:pPr>
        <w:pStyle w:val="TH"/>
      </w:pPr>
      <w:r w:rsidRPr="004D0DAA">
        <w:t>Table 12.</w:t>
      </w:r>
      <w:r w:rsidRPr="004D0DAA">
        <w:rPr>
          <w:rFonts w:hint="eastAsia"/>
          <w:lang w:eastAsia="zh-CN"/>
        </w:rPr>
        <w:t>64</w:t>
      </w:r>
      <w:r w:rsidRPr="004D0DAA">
        <w:t xml:space="preserve">.2: DTM Handover PS Radio Resources </w:t>
      </w:r>
      <w:r w:rsidRPr="004D0DAA">
        <w:rPr>
          <w:rFonts w:hint="eastAsia"/>
          <w:lang w:eastAsia="zh-CN"/>
        </w:rPr>
        <w:t>3</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8EDBE4" w14:textId="77777777" w:rsidTr="00AA2A4C">
        <w:tblPrEx>
          <w:tblCellMar>
            <w:top w:w="0" w:type="dxa"/>
            <w:bottom w:w="0" w:type="dxa"/>
          </w:tblCellMar>
        </w:tblPrEx>
        <w:trPr>
          <w:cantSplit/>
        </w:trPr>
        <w:tc>
          <w:tcPr>
            <w:tcW w:w="9848" w:type="dxa"/>
          </w:tcPr>
          <w:p w14:paraId="418FF3F5" w14:textId="77777777" w:rsidR="00711444" w:rsidRPr="004D0DAA" w:rsidRDefault="00711444" w:rsidP="00AA2A4C">
            <w:r w:rsidRPr="004D0DAA">
              <w:rPr>
                <w:b/>
              </w:rPr>
              <w:t xml:space="preserve">Cell Identification </w:t>
            </w:r>
            <w:r w:rsidRPr="004D0DAA">
              <w:t>(information element)</w:t>
            </w:r>
            <w:r w:rsidRPr="004D0DAA">
              <w:br/>
              <w:t>This information element is defined in sub-clause 12.23.</w:t>
            </w:r>
          </w:p>
        </w:tc>
      </w:tr>
      <w:tr w:rsidR="00711444" w:rsidRPr="004D0DAA" w14:paraId="5A58D390" w14:textId="77777777" w:rsidTr="00AA2A4C">
        <w:tblPrEx>
          <w:tblCellMar>
            <w:top w:w="0" w:type="dxa"/>
            <w:bottom w:w="0" w:type="dxa"/>
          </w:tblCellMar>
        </w:tblPrEx>
        <w:trPr>
          <w:cantSplit/>
        </w:trPr>
        <w:tc>
          <w:tcPr>
            <w:tcW w:w="9848" w:type="dxa"/>
          </w:tcPr>
          <w:p w14:paraId="65968428" w14:textId="77777777" w:rsidR="00711444" w:rsidRPr="004D0DAA" w:rsidRDefault="00711444" w:rsidP="00AA2A4C">
            <w:r w:rsidRPr="004D0DAA">
              <w:rPr>
                <w:b/>
              </w:rPr>
              <w:t xml:space="preserve">MAX_LAPDm </w:t>
            </w:r>
            <w:r w:rsidRPr="004D0DAA">
              <w:t>(3 bit field)</w:t>
            </w:r>
            <w:r w:rsidRPr="004D0DAA">
              <w:br/>
              <w:t>This field indicates the maximum number of LAPDm frames into which a layer 3 message can be segmented sent on the main DCCH. It is coded as described in 3GPP TS 44.018.</w:t>
            </w:r>
          </w:p>
        </w:tc>
      </w:tr>
      <w:tr w:rsidR="00711444" w:rsidRPr="004D0DAA" w14:paraId="04B7DBF9" w14:textId="77777777" w:rsidTr="00AA2A4C">
        <w:tblPrEx>
          <w:tblCellMar>
            <w:top w:w="0" w:type="dxa"/>
            <w:bottom w:w="0" w:type="dxa"/>
          </w:tblCellMar>
        </w:tblPrEx>
        <w:trPr>
          <w:cantSplit/>
        </w:trPr>
        <w:tc>
          <w:tcPr>
            <w:tcW w:w="9848" w:type="dxa"/>
          </w:tcPr>
          <w:p w14:paraId="1CB91DC5" w14:textId="77777777" w:rsidR="00711444" w:rsidRPr="004D0DAA" w:rsidRDefault="00711444" w:rsidP="00AA2A4C">
            <w:r w:rsidRPr="004D0DAA">
              <w:rPr>
                <w:b/>
              </w:rPr>
              <w:t>GPRS_MS_TXPWR_MAX_CCH</w:t>
            </w:r>
            <w:r w:rsidRPr="004D0DAA">
              <w:t xml:space="preserve"> (5 bit field)</w:t>
            </w:r>
            <w:r w:rsidRPr="004D0DAA">
              <w:br/>
              <w:t>The GPRS_MS_TXPWR_MAX_CCH field is coded as the binary representation of the 'power control level' in 3GPP TS 45.005 corresponding to the maximum TX power level a mobile station may use when accessing on a packet control channel. This value shall be used by the mobile station according to 3GPP TS 45.008.</w:t>
            </w:r>
          </w:p>
        </w:tc>
      </w:tr>
      <w:tr w:rsidR="00711444" w:rsidRPr="004D0DAA" w14:paraId="3CBE24AE" w14:textId="77777777" w:rsidTr="00AA2A4C">
        <w:tblPrEx>
          <w:tblCellMar>
            <w:top w:w="0" w:type="dxa"/>
            <w:bottom w:w="0" w:type="dxa"/>
          </w:tblCellMar>
        </w:tblPrEx>
        <w:trPr>
          <w:cantSplit/>
        </w:trPr>
        <w:tc>
          <w:tcPr>
            <w:tcW w:w="9848" w:type="dxa"/>
          </w:tcPr>
          <w:p w14:paraId="1C7E84EC" w14:textId="77777777" w:rsidR="00711444" w:rsidRPr="004D0DAA" w:rsidRDefault="00711444" w:rsidP="00AA2A4C">
            <w:r w:rsidRPr="004D0DAA">
              <w:rPr>
                <w:b/>
              </w:rPr>
              <w:t>GPRS Cell Options</w:t>
            </w:r>
            <w:r w:rsidRPr="004D0DAA">
              <w:t xml:space="preserve"> (information element)</w:t>
            </w:r>
            <w:r w:rsidRPr="004D0DAA">
              <w:br/>
              <w:t>The GPRS Cell Option information element is defined in sub-clause 12.24.</w:t>
            </w:r>
          </w:p>
        </w:tc>
      </w:tr>
      <w:tr w:rsidR="00711444" w:rsidRPr="004D0DAA" w14:paraId="2DAF3C5A" w14:textId="77777777" w:rsidTr="00AA2A4C">
        <w:tblPrEx>
          <w:tblCellMar>
            <w:top w:w="0" w:type="dxa"/>
            <w:bottom w:w="0" w:type="dxa"/>
          </w:tblCellMar>
        </w:tblPrEx>
        <w:trPr>
          <w:cantSplit/>
        </w:trPr>
        <w:tc>
          <w:tcPr>
            <w:tcW w:w="9848" w:type="dxa"/>
          </w:tcPr>
          <w:p w14:paraId="659203F8" w14:textId="77777777" w:rsidR="00711444" w:rsidRPr="004D0DAA" w:rsidRDefault="00711444" w:rsidP="00AA2A4C">
            <w:r w:rsidRPr="004D0DAA">
              <w:rPr>
                <w:b/>
              </w:rPr>
              <w:t>GPRS Power Control Parameters</w:t>
            </w:r>
            <w:r w:rsidRPr="004D0DAA">
              <w:rPr>
                <w:bCs/>
              </w:rPr>
              <w:t xml:space="preserve"> </w:t>
            </w:r>
            <w:r w:rsidRPr="004D0DAA">
              <w:t>(information element)</w:t>
            </w:r>
            <w:r w:rsidRPr="004D0DAA">
              <w:rPr>
                <w:b/>
              </w:rPr>
              <w:br/>
            </w:r>
            <w:r w:rsidRPr="004D0DAA">
              <w:t>The GPRS Power Control Parameters information element is defined in sub-clause 12.9a.</w:t>
            </w:r>
          </w:p>
        </w:tc>
      </w:tr>
      <w:tr w:rsidR="00711444" w:rsidRPr="004D0DAA" w14:paraId="29B6AB65" w14:textId="77777777" w:rsidTr="00AA2A4C">
        <w:tblPrEx>
          <w:tblCellMar>
            <w:top w:w="0" w:type="dxa"/>
            <w:bottom w:w="0" w:type="dxa"/>
          </w:tblCellMar>
        </w:tblPrEx>
        <w:trPr>
          <w:cantSplit/>
        </w:trPr>
        <w:tc>
          <w:tcPr>
            <w:tcW w:w="9848" w:type="dxa"/>
          </w:tcPr>
          <w:p w14:paraId="36AB1AD1" w14:textId="77777777" w:rsidR="00711444" w:rsidRPr="004D0DAA" w:rsidRDefault="00711444" w:rsidP="00AA2A4C">
            <w:pPr>
              <w:spacing w:after="0"/>
            </w:pPr>
            <w:r w:rsidRPr="004D0DAA">
              <w:rPr>
                <w:b/>
                <w:bCs/>
              </w:rPr>
              <w:t xml:space="preserve">RLC_RESET </w:t>
            </w:r>
            <w:r w:rsidRPr="004D0DAA">
              <w:t xml:space="preserve">(1 bit field) </w:t>
            </w:r>
          </w:p>
          <w:p w14:paraId="5D30A0C3" w14:textId="77777777" w:rsidR="00711444" w:rsidRPr="004D0DAA" w:rsidRDefault="00711444" w:rsidP="00AA2A4C">
            <w:pPr>
              <w:tabs>
                <w:tab w:val="left" w:pos="11520"/>
              </w:tabs>
              <w:spacing w:after="0"/>
            </w:pPr>
            <w:r w:rsidRPr="004D0DAA">
              <w:t>This field is defined in sub-clause 12.42.</w:t>
            </w:r>
          </w:p>
          <w:p w14:paraId="2D9434B4" w14:textId="77777777" w:rsidR="00711444" w:rsidRPr="004D0DAA" w:rsidRDefault="00711444" w:rsidP="00AA2A4C">
            <w:pPr>
              <w:tabs>
                <w:tab w:val="left" w:pos="11520"/>
              </w:tabs>
              <w:spacing w:after="0"/>
            </w:pPr>
          </w:p>
        </w:tc>
      </w:tr>
      <w:tr w:rsidR="00711444" w:rsidRPr="004D0DAA" w14:paraId="27D3B691" w14:textId="77777777" w:rsidTr="00AA2A4C">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0" w:type="dxa"/>
            <w:bottom w:w="0" w:type="dxa"/>
          </w:tblCellMar>
        </w:tblPrEx>
        <w:trPr>
          <w:cantSplit/>
          <w:trHeight w:val="113"/>
        </w:trPr>
        <w:tc>
          <w:tcPr>
            <w:tcW w:w="9848" w:type="dxa"/>
            <w:tcBorders>
              <w:top w:val="single" w:sz="2" w:space="0" w:color="auto"/>
              <w:left w:val="single" w:sz="2" w:space="0" w:color="auto"/>
              <w:bottom w:val="single" w:sz="2" w:space="0" w:color="auto"/>
              <w:right w:val="single" w:sz="2" w:space="0" w:color="auto"/>
            </w:tcBorders>
            <w:shd w:val="clear" w:color="auto" w:fill="auto"/>
          </w:tcPr>
          <w:p w14:paraId="5FD9F88A" w14:textId="77777777" w:rsidR="00711444" w:rsidRPr="004D0DAA" w:rsidRDefault="00711444" w:rsidP="00AA2A4C">
            <w:pPr>
              <w:spacing w:after="0"/>
              <w:rPr>
                <w:b/>
              </w:rPr>
            </w:pPr>
            <w:r w:rsidRPr="004D0DAA">
              <w:rPr>
                <w:b/>
              </w:rPr>
              <w:t>EGPRS mode 2 IE</w:t>
            </w:r>
          </w:p>
          <w:p w14:paraId="48209E79" w14:textId="77777777" w:rsidR="00711444" w:rsidRPr="004D0DAA" w:rsidRDefault="00711444" w:rsidP="00AA2A4C">
            <w:pPr>
              <w:spacing w:after="0"/>
            </w:pPr>
            <w:r w:rsidRPr="004D0DAA">
              <w:t>This information element is defined in sub-clause 12.48a.1.</w:t>
            </w:r>
          </w:p>
          <w:p w14:paraId="266C67B8" w14:textId="77777777" w:rsidR="00711444" w:rsidRPr="004D0DAA" w:rsidRDefault="00711444" w:rsidP="00AA2A4C">
            <w:pPr>
              <w:spacing w:after="0"/>
            </w:pPr>
          </w:p>
        </w:tc>
      </w:tr>
      <w:tr w:rsidR="00711444" w:rsidRPr="004D0DAA" w14:paraId="654BB065" w14:textId="77777777" w:rsidTr="00AA2A4C">
        <w:tblPrEx>
          <w:tblCellMar>
            <w:top w:w="0" w:type="dxa"/>
            <w:bottom w:w="0" w:type="dxa"/>
          </w:tblCellMar>
        </w:tblPrEx>
        <w:trPr>
          <w:cantSplit/>
          <w:trHeight w:val="113"/>
        </w:trPr>
        <w:tc>
          <w:tcPr>
            <w:tcW w:w="9848" w:type="dxa"/>
            <w:shd w:val="clear" w:color="auto" w:fill="auto"/>
          </w:tcPr>
          <w:p w14:paraId="000F9F6A" w14:textId="77777777" w:rsidR="00711444" w:rsidRPr="004D0DAA" w:rsidRDefault="00711444" w:rsidP="00AA2A4C">
            <w:pPr>
              <w:spacing w:after="0"/>
              <w:rPr>
                <w:bCs/>
              </w:rPr>
            </w:pPr>
            <w:r w:rsidRPr="004D0DAA">
              <w:rPr>
                <w:b/>
              </w:rPr>
              <w:t>EMST_NW_Capability</w:t>
            </w:r>
            <w:r w:rsidRPr="004D0DAA">
              <w:rPr>
                <w:bCs/>
              </w:rPr>
              <w:t xml:space="preserve"> (1 bit field)</w:t>
            </w:r>
          </w:p>
          <w:p w14:paraId="7263449A" w14:textId="77777777" w:rsidR="00711444" w:rsidRPr="004D0DAA" w:rsidRDefault="00711444" w:rsidP="00AA2A4C">
            <w:pPr>
              <w:rPr>
                <w:rFonts w:hint="eastAsia"/>
                <w:lang w:eastAsia="zh-CN"/>
              </w:rPr>
            </w:pPr>
            <w:r w:rsidRPr="004D0DAA">
              <w:t>See sub-clause 11.2.29 (Packet Uplink Assignment message).</w:t>
            </w:r>
          </w:p>
        </w:tc>
      </w:tr>
      <w:tr w:rsidR="00711444" w:rsidRPr="004D0DAA" w14:paraId="71749FF2" w14:textId="77777777" w:rsidTr="00AA2A4C">
        <w:tblPrEx>
          <w:tblCellMar>
            <w:top w:w="0" w:type="dxa"/>
            <w:bottom w:w="0" w:type="dxa"/>
          </w:tblCellMar>
        </w:tblPrEx>
        <w:trPr>
          <w:cantSplit/>
          <w:trHeight w:val="113"/>
        </w:trPr>
        <w:tc>
          <w:tcPr>
            <w:tcW w:w="9848" w:type="dxa"/>
            <w:shd w:val="clear" w:color="auto" w:fill="auto"/>
          </w:tcPr>
          <w:p w14:paraId="23BB0243" w14:textId="77777777" w:rsidR="00711444" w:rsidRPr="004D0DAA" w:rsidRDefault="00711444" w:rsidP="00AA2A4C">
            <w:pPr>
              <w:spacing w:after="0"/>
              <w:rPr>
                <w:bCs/>
              </w:rPr>
            </w:pPr>
            <w:r w:rsidRPr="004D0DAA">
              <w:rPr>
                <w:b/>
              </w:rPr>
              <w:t xml:space="preserve">TFI </w:t>
            </w:r>
            <w:r w:rsidRPr="004D0DAA">
              <w:rPr>
                <w:bCs/>
              </w:rPr>
              <w:t>(5 bit field)</w:t>
            </w:r>
          </w:p>
          <w:p w14:paraId="58528993" w14:textId="77777777" w:rsidR="00711444" w:rsidRPr="004D0DAA" w:rsidRDefault="00711444" w:rsidP="00AA2A4C">
            <w:r w:rsidRPr="004D0DAA">
              <w:t>See sub-clause 11.2.31</w:t>
            </w:r>
            <w:r w:rsidRPr="004D0DAA">
              <w:rPr>
                <w:szCs w:val="18"/>
              </w:rPr>
              <w:t xml:space="preserve"> </w:t>
            </w:r>
            <w:r w:rsidRPr="004D0DAA">
              <w:t>(Packet Timeslot Reconfigure message).</w:t>
            </w:r>
          </w:p>
        </w:tc>
      </w:tr>
      <w:tr w:rsidR="00711444" w:rsidRPr="004D0DAA" w14:paraId="15F9221B" w14:textId="77777777" w:rsidTr="00AA2A4C">
        <w:tblPrEx>
          <w:tblCellMar>
            <w:top w:w="0" w:type="dxa"/>
            <w:bottom w:w="0" w:type="dxa"/>
          </w:tblCellMar>
        </w:tblPrEx>
        <w:trPr>
          <w:cantSplit/>
        </w:trPr>
        <w:tc>
          <w:tcPr>
            <w:tcW w:w="9848" w:type="dxa"/>
          </w:tcPr>
          <w:p w14:paraId="2228F510" w14:textId="77777777" w:rsidR="00711444" w:rsidRPr="004D0DAA" w:rsidRDefault="00711444" w:rsidP="00AA2A4C">
            <w:pPr>
              <w:tabs>
                <w:tab w:val="left" w:pos="11520"/>
              </w:tabs>
              <w:spacing w:after="0"/>
              <w:rPr>
                <w:bCs/>
              </w:rPr>
            </w:pPr>
            <w:r w:rsidRPr="004D0DAA">
              <w:rPr>
                <w:b/>
              </w:rPr>
              <w:t xml:space="preserve">RLC_MODE </w:t>
            </w:r>
            <w:r w:rsidRPr="004D0DAA">
              <w:t>(1 bit field)</w:t>
            </w:r>
          </w:p>
          <w:p w14:paraId="184E1AE4" w14:textId="77777777" w:rsidR="00711444" w:rsidRPr="004D0DAA" w:rsidRDefault="00711444" w:rsidP="00AA2A4C">
            <w:pPr>
              <w:tabs>
                <w:tab w:val="left" w:pos="11520"/>
              </w:tabs>
              <w:spacing w:after="0"/>
            </w:pPr>
            <w:r w:rsidRPr="004D0DAA">
              <w:t>See sub-clause 11.2.31</w:t>
            </w:r>
            <w:r w:rsidRPr="004D0DAA">
              <w:rPr>
                <w:szCs w:val="18"/>
              </w:rPr>
              <w:t xml:space="preserve"> </w:t>
            </w:r>
            <w:r w:rsidRPr="004D0DAA">
              <w:t xml:space="preserve">(Packet Timeslot Reconfigure message). If the </w:t>
            </w:r>
            <w:r w:rsidRPr="004D0DAA">
              <w:rPr>
                <w:b/>
                <w:bCs/>
              </w:rPr>
              <w:t>RLC_RESET</w:t>
            </w:r>
            <w:r w:rsidRPr="004D0DAA">
              <w:t xml:space="preserve"> field indicates that any given RLC entity is not reset across PS handover then the mobile station shall ignore this field and use the same RLC mode that was used for the corresponding PFC in the old cell.</w:t>
            </w:r>
          </w:p>
          <w:p w14:paraId="076A5986" w14:textId="77777777" w:rsidR="00711444" w:rsidRPr="004D0DAA" w:rsidRDefault="00711444" w:rsidP="00AA2A4C">
            <w:pPr>
              <w:tabs>
                <w:tab w:val="left" w:pos="11520"/>
              </w:tabs>
              <w:spacing w:after="0"/>
              <w:rPr>
                <w:b/>
              </w:rPr>
            </w:pPr>
          </w:p>
        </w:tc>
      </w:tr>
      <w:tr w:rsidR="00711444" w:rsidRPr="004D0DAA" w14:paraId="77F24610" w14:textId="77777777" w:rsidTr="00AA2A4C">
        <w:tblPrEx>
          <w:tblCellMar>
            <w:top w:w="0" w:type="dxa"/>
            <w:bottom w:w="0" w:type="dxa"/>
          </w:tblCellMar>
        </w:tblPrEx>
        <w:trPr>
          <w:cantSplit/>
        </w:trPr>
        <w:tc>
          <w:tcPr>
            <w:tcW w:w="9848" w:type="dxa"/>
          </w:tcPr>
          <w:p w14:paraId="119E10AC" w14:textId="77777777" w:rsidR="00711444" w:rsidRPr="004D0DAA" w:rsidRDefault="00711444" w:rsidP="00AA2A4C">
            <w:pPr>
              <w:tabs>
                <w:tab w:val="left" w:pos="11520"/>
              </w:tabs>
              <w:rPr>
                <w:b/>
              </w:rPr>
            </w:pPr>
            <w:r w:rsidRPr="004D0DAA">
              <w:rPr>
                <w:b/>
              </w:rPr>
              <w:t>EGPRS Window Size</w:t>
            </w:r>
            <w:r w:rsidRPr="004D0DAA">
              <w:br/>
              <w:t>This information element is defined in sub-clause 12.5.2.</w:t>
            </w:r>
          </w:p>
        </w:tc>
      </w:tr>
      <w:tr w:rsidR="00711444" w:rsidRPr="004D0DAA" w14:paraId="5685BF47" w14:textId="77777777" w:rsidTr="00AA2A4C">
        <w:tblPrEx>
          <w:tblCellMar>
            <w:top w:w="0" w:type="dxa"/>
            <w:bottom w:w="0" w:type="dxa"/>
          </w:tblCellMar>
        </w:tblPrEx>
        <w:trPr>
          <w:cantSplit/>
        </w:trPr>
        <w:tc>
          <w:tcPr>
            <w:tcW w:w="9848" w:type="dxa"/>
          </w:tcPr>
          <w:p w14:paraId="2476BAC4" w14:textId="77777777" w:rsidR="00711444" w:rsidRPr="004D0DAA" w:rsidRDefault="00711444" w:rsidP="00AA2A4C">
            <w:pPr>
              <w:tabs>
                <w:tab w:val="left" w:pos="11520"/>
              </w:tabs>
              <w:spacing w:after="0"/>
              <w:rPr>
                <w:b/>
              </w:rPr>
            </w:pPr>
            <w:r w:rsidRPr="004D0DAA">
              <w:rPr>
                <w:b/>
              </w:rPr>
              <w:t xml:space="preserve">PFI </w:t>
            </w:r>
            <w:r w:rsidRPr="004D0DAA">
              <w:rPr>
                <w:bCs/>
              </w:rPr>
              <w:t>(7 bit field)</w:t>
            </w:r>
          </w:p>
          <w:p w14:paraId="79E7BADB" w14:textId="77777777" w:rsidR="00711444" w:rsidRPr="004D0DAA" w:rsidRDefault="00711444" w:rsidP="00AA2A4C">
            <w:pPr>
              <w:tabs>
                <w:tab w:val="left" w:pos="11520"/>
              </w:tabs>
              <w:spacing w:after="0"/>
            </w:pPr>
            <w:r w:rsidRPr="004D0DAA">
              <w:t>See sub-clause 11.2.31</w:t>
            </w:r>
            <w:r w:rsidRPr="004D0DAA">
              <w:rPr>
                <w:szCs w:val="18"/>
              </w:rPr>
              <w:t xml:space="preserve"> </w:t>
            </w:r>
            <w:r w:rsidRPr="004D0DAA">
              <w:t>(Packet Timeslot Reconfigure message).</w:t>
            </w:r>
          </w:p>
          <w:p w14:paraId="49F8529A" w14:textId="77777777" w:rsidR="00711444" w:rsidRPr="004D0DAA" w:rsidRDefault="00711444" w:rsidP="00AA2A4C">
            <w:pPr>
              <w:tabs>
                <w:tab w:val="left" w:pos="11520"/>
              </w:tabs>
              <w:spacing w:after="0"/>
              <w:rPr>
                <w:b/>
              </w:rPr>
            </w:pPr>
          </w:p>
        </w:tc>
      </w:tr>
      <w:tr w:rsidR="00711444" w:rsidRPr="004D0DAA" w14:paraId="5CE559B2" w14:textId="77777777" w:rsidTr="00AA2A4C">
        <w:tblPrEx>
          <w:tblCellMar>
            <w:top w:w="0" w:type="dxa"/>
            <w:bottom w:w="0" w:type="dxa"/>
          </w:tblCellMar>
        </w:tblPrEx>
        <w:trPr>
          <w:cantSplit/>
        </w:trPr>
        <w:tc>
          <w:tcPr>
            <w:tcW w:w="9848" w:type="dxa"/>
          </w:tcPr>
          <w:p w14:paraId="6407DEC2" w14:textId="77777777" w:rsidR="00711444" w:rsidRPr="004D0DAA" w:rsidRDefault="00711444" w:rsidP="00AA2A4C">
            <w:pPr>
              <w:spacing w:after="0"/>
              <w:rPr>
                <w:iCs/>
              </w:rPr>
            </w:pPr>
            <w:r w:rsidRPr="004D0DAA">
              <w:rPr>
                <w:b/>
                <w:iCs/>
              </w:rPr>
              <w:t>NPM Transfer Time</w:t>
            </w:r>
            <w:r w:rsidRPr="004D0DAA">
              <w:rPr>
                <w:iCs/>
              </w:rPr>
              <w:t xml:space="preserve"> (5 bit field)</w:t>
            </w:r>
          </w:p>
          <w:p w14:paraId="1CF99BC2" w14:textId="77777777" w:rsidR="00711444" w:rsidRPr="004D0DAA" w:rsidRDefault="00711444" w:rsidP="00AA2A4C">
            <w:pPr>
              <w:spacing w:after="0"/>
            </w:pPr>
            <w:r w:rsidRPr="004D0DAA">
              <w:t>This field contains the NPM Transfer Time limitation for TBF or RLC entity assigned to operate in RLC non-persistent mode. If EMSR is supported this field contains the NPM Transfer Time limitation for a specific Packet Flow Context configured to use RLC non-persistent mode.</w:t>
            </w:r>
          </w:p>
          <w:p w14:paraId="2ED92ECE" w14:textId="77777777" w:rsidR="00711444" w:rsidRPr="004D0DAA" w:rsidRDefault="00711444" w:rsidP="00AA2A4C">
            <w:pPr>
              <w:spacing w:after="0"/>
            </w:pPr>
          </w:p>
        </w:tc>
      </w:tr>
      <w:tr w:rsidR="00711444" w:rsidRPr="004D0DAA" w14:paraId="51C7495C" w14:textId="77777777" w:rsidTr="00AA2A4C">
        <w:tblPrEx>
          <w:tblCellMar>
            <w:top w:w="0" w:type="dxa"/>
            <w:bottom w:w="0" w:type="dxa"/>
          </w:tblCellMar>
        </w:tblPrEx>
        <w:trPr>
          <w:cantSplit/>
          <w:trHeight w:val="113"/>
        </w:trPr>
        <w:tc>
          <w:tcPr>
            <w:tcW w:w="9848" w:type="dxa"/>
            <w:shd w:val="clear" w:color="auto" w:fill="auto"/>
          </w:tcPr>
          <w:p w14:paraId="65AED8BB" w14:textId="77777777" w:rsidR="00711444" w:rsidRPr="004D0DAA" w:rsidRDefault="00711444" w:rsidP="00AA2A4C">
            <w:pPr>
              <w:spacing w:after="0"/>
            </w:pPr>
            <w:r w:rsidRPr="004D0DAA">
              <w:rPr>
                <w:b/>
              </w:rPr>
              <w:t>MTTI_DOWNLINK_ASSIGNMENT_C1</w:t>
            </w:r>
            <w:r w:rsidRPr="004D0DAA">
              <w:t xml:space="preserve"> (1 bit field)</w:t>
            </w:r>
          </w:p>
          <w:p w14:paraId="7FBD5A51" w14:textId="77777777" w:rsidR="00711444" w:rsidRPr="004D0DAA" w:rsidRDefault="00711444" w:rsidP="00AA2A4C">
            <w:pPr>
              <w:spacing w:after="0"/>
            </w:pPr>
            <w:r w:rsidRPr="004D0DAA">
              <w:rPr>
                <w:b/>
              </w:rPr>
              <w:t xml:space="preserve">MTTI_DOWNLINK_ASSIGNMENT_C2 </w:t>
            </w:r>
            <w:r w:rsidRPr="004D0DAA">
              <w:t xml:space="preserve">(1 bit field) </w:t>
            </w:r>
          </w:p>
          <w:p w14:paraId="1E3ED435" w14:textId="77777777" w:rsidR="00711444" w:rsidRPr="004D0DAA" w:rsidRDefault="00711444" w:rsidP="00AA2A4C">
            <w:pPr>
              <w:spacing w:after="0"/>
            </w:pPr>
            <w:r w:rsidRPr="004D0DAA">
              <w:t>See sub-clause 11.2.7 (Packet Downlink Assignment message).</w:t>
            </w:r>
          </w:p>
          <w:p w14:paraId="6B5FB59D" w14:textId="77777777" w:rsidR="00711444" w:rsidRPr="004D0DAA" w:rsidRDefault="00711444" w:rsidP="00AA2A4C">
            <w:pPr>
              <w:spacing w:after="0"/>
              <w:rPr>
                <w:b/>
              </w:rPr>
            </w:pPr>
          </w:p>
        </w:tc>
      </w:tr>
      <w:tr w:rsidR="00711444" w:rsidRPr="004D0DAA" w14:paraId="4D9C3BD0" w14:textId="77777777" w:rsidTr="00AA2A4C">
        <w:tblPrEx>
          <w:tblCellMar>
            <w:top w:w="0" w:type="dxa"/>
            <w:bottom w:w="0" w:type="dxa"/>
          </w:tblCellMar>
        </w:tblPrEx>
        <w:trPr>
          <w:cantSplit/>
          <w:trHeight w:val="113"/>
        </w:trPr>
        <w:tc>
          <w:tcPr>
            <w:tcW w:w="9848" w:type="dxa"/>
            <w:shd w:val="clear" w:color="auto" w:fill="auto"/>
          </w:tcPr>
          <w:p w14:paraId="65563C0A" w14:textId="77777777" w:rsidR="00711444" w:rsidRPr="004D0DAA" w:rsidRDefault="00711444" w:rsidP="00AA2A4C">
            <w:pPr>
              <w:spacing w:after="0"/>
            </w:pPr>
            <w:r w:rsidRPr="004D0DAA">
              <w:rPr>
                <w:b/>
              </w:rPr>
              <w:t>MTTI_UPLINK_ASSIGNMENT_C1</w:t>
            </w:r>
            <w:r w:rsidRPr="004D0DAA">
              <w:t xml:space="preserve"> (1 bit field)</w:t>
            </w:r>
          </w:p>
          <w:p w14:paraId="384A41DF" w14:textId="77777777" w:rsidR="00711444" w:rsidRPr="004D0DAA" w:rsidRDefault="00711444" w:rsidP="00AA2A4C">
            <w:pPr>
              <w:spacing w:after="0"/>
            </w:pPr>
            <w:r w:rsidRPr="004D0DAA">
              <w:rPr>
                <w:b/>
              </w:rPr>
              <w:t>MTTI_UPLINK_ASSIGNMENT_C2</w:t>
            </w:r>
            <w:r w:rsidRPr="004D0DAA">
              <w:t xml:space="preserve"> (1 bit field) </w:t>
            </w:r>
          </w:p>
          <w:p w14:paraId="13CDD39E" w14:textId="77777777" w:rsidR="00711444" w:rsidRPr="004D0DAA" w:rsidRDefault="00711444" w:rsidP="00AA2A4C">
            <w:pPr>
              <w:spacing w:after="0"/>
            </w:pPr>
            <w:r w:rsidRPr="004D0DAA">
              <w:t>See sub-clause 11.2.29 (Packet Uplink Assignment message).</w:t>
            </w:r>
          </w:p>
          <w:p w14:paraId="5A3C1270" w14:textId="77777777" w:rsidR="00711444" w:rsidRPr="004D0DAA" w:rsidRDefault="00711444" w:rsidP="00AA2A4C">
            <w:pPr>
              <w:spacing w:after="0"/>
              <w:rPr>
                <w:b/>
              </w:rPr>
            </w:pPr>
          </w:p>
        </w:tc>
      </w:tr>
      <w:tr w:rsidR="00711444" w:rsidRPr="004D0DAA" w14:paraId="72398123" w14:textId="77777777" w:rsidTr="00AA2A4C">
        <w:tblPrEx>
          <w:tblCellMar>
            <w:top w:w="0" w:type="dxa"/>
            <w:bottom w:w="0" w:type="dxa"/>
          </w:tblCellMar>
        </w:tblPrEx>
        <w:trPr>
          <w:cantSplit/>
          <w:trHeight w:val="113"/>
        </w:trPr>
        <w:tc>
          <w:tcPr>
            <w:tcW w:w="9848" w:type="dxa"/>
            <w:shd w:val="clear" w:color="auto" w:fill="auto"/>
          </w:tcPr>
          <w:p w14:paraId="7DAF6E54" w14:textId="77777777" w:rsidR="00711444" w:rsidRPr="004D0DAA" w:rsidRDefault="00711444" w:rsidP="00AA2A4C">
            <w:pPr>
              <w:spacing w:after="0"/>
              <w:rPr>
                <w:b/>
                <w:bCs/>
              </w:rPr>
            </w:pPr>
            <w:r w:rsidRPr="004D0DAA">
              <w:rPr>
                <w:b/>
                <w:bCs/>
              </w:rPr>
              <w:lastRenderedPageBreak/>
              <w:t>EMSR Additional PFCs 1</w:t>
            </w:r>
          </w:p>
          <w:p w14:paraId="4E288F91" w14:textId="77777777" w:rsidR="00711444" w:rsidRPr="004D0DAA" w:rsidRDefault="00711444" w:rsidP="00AA2A4C">
            <w:pPr>
              <w:spacing w:after="0"/>
              <w:rPr>
                <w:b/>
                <w:bCs/>
              </w:rPr>
            </w:pPr>
            <w:r w:rsidRPr="004D0DAA">
              <w:rPr>
                <w:b/>
                <w:bCs/>
              </w:rPr>
              <w:t>EMSR Additional PFCs 2</w:t>
            </w:r>
          </w:p>
          <w:p w14:paraId="05187BAE" w14:textId="77777777" w:rsidR="00711444" w:rsidRPr="004D0DAA" w:rsidRDefault="00711444" w:rsidP="00AA2A4C">
            <w:pPr>
              <w:spacing w:after="0"/>
              <w:rPr>
                <w:b/>
                <w:bCs/>
              </w:rPr>
            </w:pPr>
            <w:r w:rsidRPr="004D0DAA">
              <w:rPr>
                <w:b/>
                <w:bCs/>
              </w:rPr>
              <w:t>EMSR Additional PFCs 3</w:t>
            </w:r>
          </w:p>
          <w:p w14:paraId="174D7910" w14:textId="77777777" w:rsidR="00711444" w:rsidRPr="004D0DAA" w:rsidRDefault="00711444" w:rsidP="00AA2A4C">
            <w:pPr>
              <w:spacing w:after="0"/>
            </w:pPr>
            <w:r w:rsidRPr="004D0DAA">
              <w:t>See sub-clause 11.2.7 (Packet Downlink Assignment message).</w:t>
            </w:r>
          </w:p>
          <w:p w14:paraId="122A0CCB" w14:textId="77777777" w:rsidR="00711444" w:rsidRPr="004D0DAA" w:rsidRDefault="00711444" w:rsidP="00AA2A4C">
            <w:pPr>
              <w:spacing w:after="0"/>
              <w:rPr>
                <w:b/>
              </w:rPr>
            </w:pPr>
          </w:p>
        </w:tc>
      </w:tr>
      <w:tr w:rsidR="00711444" w:rsidRPr="004D0DAA" w14:paraId="575EB746" w14:textId="77777777" w:rsidTr="00AA2A4C">
        <w:tblPrEx>
          <w:tblCellMar>
            <w:top w:w="0" w:type="dxa"/>
            <w:bottom w:w="0" w:type="dxa"/>
          </w:tblCellMar>
        </w:tblPrEx>
        <w:trPr>
          <w:cantSplit/>
          <w:trHeight w:val="113"/>
        </w:trPr>
        <w:tc>
          <w:tcPr>
            <w:tcW w:w="9848" w:type="dxa"/>
            <w:shd w:val="clear" w:color="auto" w:fill="auto"/>
          </w:tcPr>
          <w:p w14:paraId="231C212A" w14:textId="77777777" w:rsidR="00711444" w:rsidRPr="004D0DAA" w:rsidRDefault="00711444" w:rsidP="00AA2A4C">
            <w:pPr>
              <w:spacing w:after="0"/>
              <w:rPr>
                <w:b/>
              </w:rPr>
            </w:pPr>
            <w:r w:rsidRPr="004D0DAA">
              <w:rPr>
                <w:b/>
              </w:rPr>
              <w:t>EGPRS Packet Downlink Ack/Nack Type 3 Support</w:t>
            </w:r>
            <w:r w:rsidRPr="004D0DAA">
              <w:t xml:space="preserve"> (1 bit field)</w:t>
            </w:r>
          </w:p>
          <w:p w14:paraId="09310F12" w14:textId="77777777" w:rsidR="00711444" w:rsidRPr="004D0DAA" w:rsidRDefault="00711444" w:rsidP="00AA2A4C">
            <w:pPr>
              <w:spacing w:after="0"/>
            </w:pPr>
            <w:r w:rsidRPr="004D0DAA">
              <w:t>See sub-clause 11.2.7 (Packet Downlink Assignment message).</w:t>
            </w:r>
          </w:p>
          <w:p w14:paraId="3A1BCB9A" w14:textId="77777777" w:rsidR="00711444" w:rsidRPr="004D0DAA" w:rsidRDefault="00711444" w:rsidP="00AA2A4C">
            <w:pPr>
              <w:spacing w:after="0"/>
              <w:rPr>
                <w:b/>
                <w:bCs/>
              </w:rPr>
            </w:pPr>
          </w:p>
        </w:tc>
      </w:tr>
      <w:tr w:rsidR="00711444" w:rsidRPr="004D0DAA" w14:paraId="58701DFD" w14:textId="77777777" w:rsidTr="00AA2A4C">
        <w:tblPrEx>
          <w:tblCellMar>
            <w:top w:w="0" w:type="dxa"/>
            <w:bottom w:w="0" w:type="dxa"/>
          </w:tblCellMar>
        </w:tblPrEx>
        <w:trPr>
          <w:cantSplit/>
          <w:trHeight w:val="113"/>
        </w:trPr>
        <w:tc>
          <w:tcPr>
            <w:tcW w:w="9848" w:type="dxa"/>
            <w:shd w:val="clear" w:color="auto" w:fill="auto"/>
          </w:tcPr>
          <w:p w14:paraId="67A9DA95" w14:textId="77777777" w:rsidR="00711444" w:rsidRPr="004D0DAA" w:rsidRDefault="00711444" w:rsidP="00AA2A4C">
            <w:pPr>
              <w:spacing w:after="0"/>
            </w:pPr>
            <w:r w:rsidRPr="004D0DAA">
              <w:rPr>
                <w:b/>
              </w:rPr>
              <w:t>Primary TSC Set</w:t>
            </w:r>
            <w:r w:rsidRPr="004D0DAA">
              <w:t xml:space="preserve"> (1 bit field)</w:t>
            </w:r>
          </w:p>
          <w:p w14:paraId="7A338461" w14:textId="77777777" w:rsidR="00711444" w:rsidRPr="004D0DAA" w:rsidRDefault="00711444" w:rsidP="00AA2A4C">
            <w:pPr>
              <w:spacing w:after="0"/>
            </w:pPr>
            <w:r w:rsidRPr="004D0DAA">
              <w:rPr>
                <w:b/>
              </w:rPr>
              <w:t>Secondary DL TSC Set</w:t>
            </w:r>
            <w:r w:rsidRPr="004D0DAA">
              <w:t xml:space="preserve"> (1 bit field)</w:t>
            </w:r>
          </w:p>
          <w:p w14:paraId="256A7FEA" w14:textId="77777777" w:rsidR="00711444" w:rsidRPr="004D0DAA" w:rsidRDefault="00711444" w:rsidP="00AA2A4C">
            <w:pPr>
              <w:spacing w:after="0"/>
            </w:pPr>
            <w:r w:rsidRPr="004D0DAA">
              <w:t>See sub-clause 12.46.</w:t>
            </w:r>
          </w:p>
          <w:p w14:paraId="01BA0576" w14:textId="77777777" w:rsidR="00711444" w:rsidRPr="004D0DAA" w:rsidRDefault="00711444" w:rsidP="00AA2A4C">
            <w:pPr>
              <w:keepNext/>
              <w:keepLines/>
              <w:spacing w:after="0"/>
              <w:rPr>
                <w:b/>
              </w:rPr>
            </w:pPr>
          </w:p>
        </w:tc>
      </w:tr>
      <w:tr w:rsidR="00711444" w:rsidRPr="004D0DAA" w14:paraId="2CF7D9D0" w14:textId="77777777" w:rsidTr="00AA2A4C">
        <w:tblPrEx>
          <w:tblCellMar>
            <w:top w:w="0" w:type="dxa"/>
            <w:bottom w:w="0" w:type="dxa"/>
          </w:tblCellMar>
        </w:tblPrEx>
        <w:trPr>
          <w:cantSplit/>
          <w:trHeight w:val="113"/>
        </w:trPr>
        <w:tc>
          <w:tcPr>
            <w:tcW w:w="9848" w:type="dxa"/>
            <w:shd w:val="clear" w:color="auto" w:fill="auto"/>
          </w:tcPr>
          <w:p w14:paraId="603B4D80" w14:textId="77777777" w:rsidR="00711444" w:rsidRPr="004D0DAA" w:rsidRDefault="00711444" w:rsidP="00AA2A4C">
            <w:pPr>
              <w:spacing w:after="0"/>
              <w:rPr>
                <w:b/>
              </w:rPr>
            </w:pPr>
            <w:r w:rsidRPr="004D0DAA">
              <w:rPr>
                <w:b/>
              </w:rPr>
              <w:t xml:space="preserve">Primary TSC Value </w:t>
            </w:r>
            <w:r w:rsidRPr="004D0DAA">
              <w:t>(3 bit field)</w:t>
            </w:r>
          </w:p>
          <w:p w14:paraId="5E190921" w14:textId="77777777" w:rsidR="00711444" w:rsidRPr="004D0DAA" w:rsidRDefault="00711444" w:rsidP="00AA2A4C">
            <w:pPr>
              <w:spacing w:after="0"/>
            </w:pPr>
            <w:r w:rsidRPr="004D0DAA">
              <w:t>See sub-clause 12.46.</w:t>
            </w:r>
          </w:p>
          <w:p w14:paraId="01802AD5" w14:textId="77777777" w:rsidR="00711444" w:rsidRPr="004D0DAA" w:rsidRDefault="00711444" w:rsidP="00AA2A4C">
            <w:pPr>
              <w:keepNext/>
              <w:keepLines/>
              <w:spacing w:after="0"/>
              <w:rPr>
                <w:b/>
              </w:rPr>
            </w:pPr>
          </w:p>
        </w:tc>
      </w:tr>
      <w:tr w:rsidR="00711444" w:rsidRPr="004D0DAA" w14:paraId="5335D7F5" w14:textId="77777777" w:rsidTr="00AA2A4C">
        <w:tblPrEx>
          <w:tblCellMar>
            <w:top w:w="0" w:type="dxa"/>
            <w:bottom w:w="0" w:type="dxa"/>
          </w:tblCellMar>
        </w:tblPrEx>
        <w:trPr>
          <w:cantSplit/>
          <w:trHeight w:val="113"/>
        </w:trPr>
        <w:tc>
          <w:tcPr>
            <w:tcW w:w="9848" w:type="dxa"/>
            <w:shd w:val="clear" w:color="auto" w:fill="auto"/>
          </w:tcPr>
          <w:p w14:paraId="3B6BCF64" w14:textId="77777777" w:rsidR="00711444" w:rsidRPr="004D0DAA" w:rsidRDefault="00711444" w:rsidP="00AA2A4C">
            <w:pPr>
              <w:spacing w:after="0"/>
              <w:rPr>
                <w:b/>
              </w:rPr>
            </w:pPr>
            <w:r w:rsidRPr="004D0DAA">
              <w:rPr>
                <w:b/>
              </w:rPr>
              <w:t xml:space="preserve">Secondary DL TSC Value </w:t>
            </w:r>
            <w:r w:rsidRPr="004D0DAA">
              <w:t>(3 bit field)</w:t>
            </w:r>
          </w:p>
          <w:p w14:paraId="31FFF19A" w14:textId="77777777" w:rsidR="00711444" w:rsidRPr="004D0DAA" w:rsidRDefault="00711444" w:rsidP="00AA2A4C">
            <w:pPr>
              <w:spacing w:after="0"/>
            </w:pPr>
            <w:r w:rsidRPr="004D0DAA">
              <w:t>See sub-clause 12.46.</w:t>
            </w:r>
          </w:p>
          <w:p w14:paraId="42E48101" w14:textId="77777777" w:rsidR="00711444" w:rsidRPr="004D0DAA" w:rsidRDefault="00711444" w:rsidP="00AA2A4C">
            <w:pPr>
              <w:keepNext/>
              <w:keepLines/>
              <w:spacing w:after="0"/>
              <w:rPr>
                <w:b/>
              </w:rPr>
            </w:pPr>
          </w:p>
        </w:tc>
      </w:tr>
    </w:tbl>
    <w:p w14:paraId="53AAAE9D" w14:textId="77777777" w:rsidR="00711444" w:rsidRPr="004D0DAA" w:rsidRDefault="00711444" w:rsidP="00711444"/>
    <w:p w14:paraId="55F9AA5B" w14:textId="77777777" w:rsidR="00711444" w:rsidRPr="004D0DAA" w:rsidRDefault="00711444" w:rsidP="00711444">
      <w:pPr>
        <w:pStyle w:val="Heading2"/>
      </w:pPr>
      <w:bookmarkStart w:id="861" w:name="_Toc516670035"/>
      <w:r w:rsidRPr="004D0DAA">
        <w:t>12.65</w:t>
      </w:r>
      <w:r w:rsidRPr="004D0DAA">
        <w:tab/>
        <w:t>Dynamic Allocation 3</w:t>
      </w:r>
      <w:bookmarkEnd w:id="861"/>
      <w:r w:rsidRPr="004D0DAA">
        <w:t xml:space="preserve"> </w:t>
      </w:r>
    </w:p>
    <w:p w14:paraId="66093F6C" w14:textId="77777777" w:rsidR="00711444" w:rsidRPr="004D0DAA" w:rsidRDefault="00711444" w:rsidP="00711444">
      <w:pPr>
        <w:ind w:right="1"/>
      </w:pPr>
      <w:r w:rsidRPr="004D0DAA">
        <w:t>This information element provides the description of the uplink dynamic allocation  information for a BTTI or an RTTI assignment in a DLMC configuration with or without power control parameters.</w:t>
      </w:r>
    </w:p>
    <w:p w14:paraId="0BD2EE53" w14:textId="77777777" w:rsidR="00711444" w:rsidRPr="004D0DAA" w:rsidRDefault="00711444" w:rsidP="00711444">
      <w:pPr>
        <w:pStyle w:val="TH"/>
      </w:pPr>
      <w:r w:rsidRPr="004D0DAA">
        <w:t>Table 12.65.1: Dynamic Allocation 3 information element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3F07D098" w14:textId="77777777" w:rsidTr="00AA2A4C">
        <w:tblPrEx>
          <w:tblCellMar>
            <w:top w:w="0" w:type="dxa"/>
            <w:bottom w:w="0" w:type="dxa"/>
          </w:tblCellMar>
        </w:tblPrEx>
        <w:trPr>
          <w:cantSplit/>
        </w:trPr>
        <w:tc>
          <w:tcPr>
            <w:tcW w:w="9848" w:type="dxa"/>
          </w:tcPr>
          <w:p w14:paraId="360DA2B2" w14:textId="77777777" w:rsidR="00711444" w:rsidRPr="004D0DAA" w:rsidRDefault="00711444" w:rsidP="00AA2A4C">
            <w:pPr>
              <w:pStyle w:val="TAL"/>
              <w:rPr>
                <w:lang w:eastAsia="en-US"/>
              </w:rPr>
            </w:pPr>
            <w:r w:rsidRPr="004D0DAA">
              <w:rPr>
                <w:lang w:eastAsia="en-US"/>
              </w:rPr>
              <w:t xml:space="preserve">&lt; Dynamic Allocation 3 IE &gt; ::= </w:t>
            </w:r>
          </w:p>
          <w:p w14:paraId="4427578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EXTENDED_DYNAMIC_ALLOCATION</w:t>
            </w:r>
            <w:r w:rsidRPr="004D0DAA">
              <w:rPr>
                <w:lang w:eastAsia="en-US"/>
              </w:rPr>
              <w:t xml:space="preserve"> : bit (1) &gt;</w:t>
            </w:r>
          </w:p>
          <w:p w14:paraId="3455160E"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USF_GRANULARITY</w:t>
            </w:r>
            <w:r w:rsidRPr="004D0DAA">
              <w:rPr>
                <w:lang w:eastAsia="en-US"/>
              </w:rPr>
              <w:t xml:space="preserve"> : bit (1) &gt;</w:t>
            </w:r>
          </w:p>
          <w:p w14:paraId="3F3BEC48" w14:textId="77777777" w:rsidR="00711444" w:rsidRPr="004D0DAA" w:rsidRDefault="00711444" w:rsidP="00AA2A4C">
            <w:pPr>
              <w:pStyle w:val="TAL"/>
              <w:rPr>
                <w:rFonts w:cs="Arial"/>
                <w:lang w:eastAsia="en-US"/>
              </w:rPr>
            </w:pPr>
            <w:r w:rsidRPr="004D0DAA">
              <w:rPr>
                <w:rFonts w:cs="Arial"/>
                <w:lang w:eastAsia="en-US"/>
              </w:rPr>
              <w:tab/>
              <w:t xml:space="preserve">{ 0 | 1 &lt; </w:t>
            </w:r>
            <w:r w:rsidRPr="004D0DAA">
              <w:rPr>
                <w:rFonts w:cs="Arial"/>
                <w:b/>
                <w:lang w:eastAsia="en-US"/>
              </w:rPr>
              <w:t xml:space="preserve">ALPHA </w:t>
            </w:r>
            <w:r w:rsidRPr="004D0DAA">
              <w:rPr>
                <w:rFonts w:cs="Arial"/>
                <w:lang w:eastAsia="en-US"/>
              </w:rPr>
              <w:t>: bit (4) &gt; }</w:t>
            </w:r>
          </w:p>
          <w:p w14:paraId="78E44DC9" w14:textId="77777777" w:rsidR="00711444" w:rsidRPr="004D0DAA" w:rsidRDefault="00711444" w:rsidP="00AA2A4C">
            <w:pPr>
              <w:pStyle w:val="TAL"/>
              <w:rPr>
                <w:lang w:eastAsia="en-US"/>
              </w:rPr>
            </w:pPr>
            <w:r w:rsidRPr="004D0DAA">
              <w:rPr>
                <w:lang w:eastAsia="en-US"/>
              </w:rPr>
              <w:tab/>
            </w:r>
            <w:r w:rsidRPr="004D0DAA">
              <w:rPr>
                <w:rFonts w:cs="Arial"/>
                <w:lang w:eastAsia="en-US"/>
              </w:rPr>
              <w:t xml:space="preserve">{ 0 | 1 </w:t>
            </w:r>
            <w:r w:rsidRPr="004D0DAA">
              <w:rPr>
                <w:lang w:eastAsia="en-US"/>
              </w:rPr>
              <w:t xml:space="preserve">&lt; </w:t>
            </w:r>
            <w:r w:rsidRPr="004D0DAA">
              <w:rPr>
                <w:b/>
                <w:lang w:eastAsia="en-US"/>
              </w:rPr>
              <w:t>TSC</w:t>
            </w:r>
            <w:r w:rsidRPr="004D0DAA">
              <w:rPr>
                <w:lang w:eastAsia="en-US"/>
              </w:rPr>
              <w:t xml:space="preserve"> : bit (3) &gt; }</w:t>
            </w:r>
          </w:p>
          <w:p w14:paraId="69890ABC" w14:textId="77777777" w:rsidR="00711444" w:rsidRPr="004D0DAA" w:rsidRDefault="00711444" w:rsidP="00AA2A4C">
            <w:pPr>
              <w:pStyle w:val="TAL"/>
              <w:rPr>
                <w:rFonts w:eastAsia="SimSun" w:cs="Arial"/>
                <w:iCs/>
                <w:szCs w:val="18"/>
                <w:lang w:eastAsia="zh-CN"/>
              </w:rPr>
            </w:pPr>
            <w:r w:rsidRPr="004D0DAA">
              <w:rPr>
                <w:rFonts w:eastAsia="SimSun" w:cs="Arial"/>
                <w:szCs w:val="18"/>
                <w:lang w:eastAsia="zh-CN"/>
              </w:rPr>
              <w:tab/>
              <w:t>{ 0</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w:t>
            </w:r>
            <w:r w:rsidRPr="004D0DAA">
              <w:rPr>
                <w:rFonts w:eastAsia="SimSun" w:cs="Arial"/>
                <w:iCs/>
                <w:szCs w:val="18"/>
                <w:lang w:eastAsia="zh-CN"/>
              </w:rPr>
              <w:t>BTTI mode</w:t>
            </w:r>
          </w:p>
          <w:p w14:paraId="496DABBB"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t>{ 1 { 0 | 1</w:t>
            </w:r>
            <w:r w:rsidRPr="004D0DAA">
              <w:rPr>
                <w:rFonts w:eastAsia="SimSun" w:cs="Arial"/>
                <w:szCs w:val="18"/>
                <w:lang w:eastAsia="zh-CN"/>
              </w:rPr>
              <w:tab/>
              <w:t xml:space="preserve">&lt; </w:t>
            </w:r>
            <w:r w:rsidRPr="004D0DAA">
              <w:rPr>
                <w:rFonts w:eastAsia="SimSun" w:cs="Arial"/>
                <w:b/>
                <w:bCs/>
                <w:szCs w:val="18"/>
                <w:lang w:eastAsia="zh-CN"/>
              </w:rPr>
              <w:t>USF</w:t>
            </w:r>
            <w:r w:rsidRPr="004D0DAA">
              <w:rPr>
                <w:rFonts w:eastAsia="SimSun" w:cs="Arial"/>
                <w:szCs w:val="18"/>
                <w:lang w:eastAsia="zh-CN"/>
              </w:rPr>
              <w:t xml:space="preserve"> : bit (3) &gt;</w:t>
            </w:r>
          </w:p>
          <w:p w14:paraId="0F62122F"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cs="Arial"/>
                <w:szCs w:val="18"/>
                <w:lang w:eastAsia="en-US"/>
              </w:rPr>
              <w:t xml:space="preserve">&lt; </w:t>
            </w:r>
            <w:r w:rsidRPr="004D0DAA">
              <w:rPr>
                <w:rFonts w:cs="Arial"/>
                <w:b/>
                <w:szCs w:val="18"/>
                <w:lang w:eastAsia="en-US"/>
              </w:rPr>
              <w:t>GAMMA</w:t>
            </w:r>
            <w:r w:rsidRPr="004D0DAA">
              <w:rPr>
                <w:rFonts w:cs="Arial"/>
                <w:szCs w:val="18"/>
                <w:lang w:eastAsia="en-US"/>
              </w:rPr>
              <w:t>: bit (5) &gt;</w:t>
            </w:r>
            <w:r w:rsidRPr="004D0DAA">
              <w:rPr>
                <w:szCs w:val="18"/>
                <w:lang w:eastAsia="en-US"/>
              </w:rPr>
              <w:t xml:space="preserve"> } </w:t>
            </w:r>
            <w:r w:rsidRPr="004D0DAA">
              <w:rPr>
                <w:rFonts w:eastAsia="SimSun" w:cs="Arial"/>
                <w:szCs w:val="18"/>
                <w:lang w:eastAsia="zh-CN"/>
              </w:rPr>
              <w:t>} ** 0</w:t>
            </w:r>
            <w:r w:rsidRPr="004D0DAA">
              <w:rPr>
                <w:rFonts w:eastAsia="SimSun" w:cs="Arial"/>
                <w:szCs w:val="18"/>
                <w:lang w:eastAsia="zh-CN"/>
              </w:rPr>
              <w:tab/>
            </w:r>
            <w:r w:rsidRPr="004D0DAA">
              <w:rPr>
                <w:rFonts w:eastAsia="SimSun" w:cs="Arial"/>
                <w:szCs w:val="18"/>
                <w:lang w:eastAsia="zh-CN"/>
              </w:rPr>
              <w:tab/>
            </w:r>
            <w:r w:rsidRPr="004D0DAA">
              <w:rPr>
                <w:i/>
                <w:szCs w:val="18"/>
                <w:lang w:eastAsia="en-US"/>
              </w:rPr>
              <w:t>-- one instance provided for each assigned PDCH</w:t>
            </w:r>
          </w:p>
          <w:p w14:paraId="4060421B" w14:textId="77777777" w:rsidR="00711444" w:rsidRPr="004D0DAA" w:rsidRDefault="00711444" w:rsidP="00AA2A4C">
            <w:pPr>
              <w:pStyle w:val="TAL"/>
              <w:rPr>
                <w:rFonts w:eastAsia="SimSun" w:cs="Arial"/>
                <w:iCs/>
                <w:szCs w:val="18"/>
                <w:lang w:val="sv-SE" w:eastAsia="zh-CN"/>
              </w:rPr>
            </w:pPr>
            <w:r w:rsidRPr="004D0DAA">
              <w:rPr>
                <w:rFonts w:eastAsia="SimSun" w:cs="Arial"/>
                <w:szCs w:val="18"/>
                <w:lang w:eastAsia="zh-CN"/>
              </w:rPr>
              <w:tab/>
            </w:r>
            <w:r w:rsidRPr="004D0DAA">
              <w:rPr>
                <w:rFonts w:eastAsia="SimSun" w:cs="Arial"/>
                <w:szCs w:val="18"/>
                <w:lang w:val="sv-SE" w:eastAsia="zh-CN"/>
              </w:rPr>
              <w:t>| 1</w:t>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w:t>
            </w:r>
            <w:r w:rsidRPr="004D0DAA">
              <w:rPr>
                <w:rFonts w:eastAsia="SimSun" w:cs="Arial"/>
                <w:iCs/>
                <w:szCs w:val="18"/>
                <w:lang w:val="sv-SE" w:eastAsia="zh-CN"/>
              </w:rPr>
              <w:t>RTTI mode</w:t>
            </w:r>
          </w:p>
          <w:p w14:paraId="47D4E604"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t>{ 1 { 0</w:t>
            </w:r>
            <w:r w:rsidRPr="004D0DAA">
              <w:rPr>
                <w:szCs w:val="18"/>
                <w:lang w:val="sv-SE" w:eastAsia="en-US"/>
              </w:rPr>
              <w:tab/>
            </w:r>
            <w:r w:rsidRPr="004D0DAA">
              <w:rPr>
                <w:rFonts w:eastAsia="SimSun" w:cs="Arial"/>
                <w:szCs w:val="18"/>
                <w:lang w:val="sv-SE" w:eastAsia="zh-CN"/>
              </w:rPr>
              <w:t>| 1</w:t>
            </w:r>
            <w:r w:rsidRPr="004D0DAA">
              <w:rPr>
                <w:rFonts w:eastAsia="SimSun" w:cs="Arial"/>
                <w:szCs w:val="18"/>
                <w:lang w:val="sv-SE" w:eastAsia="zh-CN"/>
              </w:rPr>
              <w:tab/>
              <w:t xml:space="preserve">&lt; </w:t>
            </w:r>
            <w:r w:rsidRPr="004D0DAA">
              <w:rPr>
                <w:rFonts w:eastAsia="SimSun" w:cs="Arial"/>
                <w:b/>
                <w:bCs/>
                <w:szCs w:val="18"/>
                <w:lang w:val="sv-SE" w:eastAsia="zh-CN"/>
              </w:rPr>
              <w:t>USF</w:t>
            </w:r>
            <w:r w:rsidRPr="004D0DAA">
              <w:rPr>
                <w:rFonts w:eastAsia="SimSun" w:cs="Arial"/>
                <w:szCs w:val="18"/>
                <w:lang w:val="sv-SE" w:eastAsia="zh-CN"/>
              </w:rPr>
              <w:t xml:space="preserve"> : bit (3) &gt; </w:t>
            </w:r>
          </w:p>
          <w:p w14:paraId="4D8909FC"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&lt; </w:t>
            </w:r>
            <w:r w:rsidRPr="004D0DAA">
              <w:rPr>
                <w:rFonts w:eastAsia="SimSun" w:cs="Arial"/>
                <w:b/>
                <w:szCs w:val="18"/>
                <w:lang w:val="sv-SE" w:eastAsia="zh-CN"/>
              </w:rPr>
              <w:t>GAMMA</w:t>
            </w:r>
            <w:r w:rsidRPr="004D0DAA">
              <w:rPr>
                <w:rFonts w:eastAsia="SimSun" w:cs="Arial"/>
                <w:szCs w:val="18"/>
                <w:lang w:val="sv-SE" w:eastAsia="zh-CN"/>
              </w:rPr>
              <w:t xml:space="preserve"> : bit (5) &gt; </w:t>
            </w:r>
          </w:p>
          <w:p w14:paraId="1D50DCEB" w14:textId="77777777" w:rsidR="00711444" w:rsidRPr="004D0DAA" w:rsidRDefault="00711444" w:rsidP="00AA2A4C">
            <w:pPr>
              <w:pStyle w:val="TAL"/>
              <w:rPr>
                <w:rFonts w:eastAsia="SimSun" w:cs="Arial"/>
                <w:i/>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xml:space="preserve">{ 0 </w:t>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i/>
                <w:szCs w:val="18"/>
                <w:lang w:val="sv-SE" w:eastAsia="zh-CN"/>
              </w:rPr>
              <w:t>-- RTTI USF mode</w:t>
            </w:r>
          </w:p>
          <w:p w14:paraId="4237EB14" w14:textId="77777777" w:rsidR="00711444" w:rsidRPr="004D0DAA" w:rsidRDefault="00711444" w:rsidP="00AA2A4C">
            <w:pPr>
              <w:pStyle w:val="TAL"/>
              <w:rPr>
                <w:rFonts w:eastAsia="SimSun" w:cs="Arial"/>
                <w:szCs w:val="18"/>
                <w:lang w:val="sv-SE"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t>| 1</w:t>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i/>
                <w:szCs w:val="18"/>
                <w:lang w:val="sv-SE" w:eastAsia="zh-CN"/>
              </w:rPr>
              <w:t>-- BTTI USF mode</w:t>
            </w:r>
          </w:p>
          <w:p w14:paraId="76423195" w14:textId="77777777" w:rsidR="00711444" w:rsidRPr="004D0DAA" w:rsidRDefault="00711444" w:rsidP="00AA2A4C">
            <w:pPr>
              <w:pStyle w:val="TAL"/>
              <w:rPr>
                <w:rFonts w:eastAsia="SimSun" w:cs="Arial"/>
                <w:szCs w:val="18"/>
                <w:lang w:eastAsia="zh-CN"/>
              </w:rPr>
            </w:pP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val="sv-SE" w:eastAsia="zh-CN"/>
              </w:rPr>
              <w:tab/>
            </w:r>
            <w:r w:rsidRPr="004D0DAA">
              <w:rPr>
                <w:rFonts w:eastAsia="SimSun" w:cs="Arial"/>
                <w:szCs w:val="18"/>
                <w:lang w:eastAsia="zh-CN"/>
              </w:rPr>
              <w:t xml:space="preserve">{ 0 </w:t>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i/>
                <w:szCs w:val="18"/>
                <w:lang w:eastAsia="zh-CN"/>
              </w:rPr>
              <w:t>-- same BTTI USF for each RTTI block</w:t>
            </w:r>
          </w:p>
          <w:p w14:paraId="647520BB"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xml:space="preserve">| 1 &lt; </w:t>
            </w:r>
            <w:r w:rsidRPr="004D0DAA">
              <w:rPr>
                <w:rFonts w:eastAsia="SimSun" w:cs="Arial"/>
                <w:b/>
                <w:bCs/>
                <w:szCs w:val="18"/>
                <w:lang w:eastAsia="zh-CN"/>
              </w:rPr>
              <w:t>USF_2</w:t>
            </w:r>
            <w:r w:rsidRPr="004D0DAA">
              <w:rPr>
                <w:rFonts w:eastAsia="SimSun" w:cs="Arial"/>
                <w:szCs w:val="18"/>
                <w:lang w:eastAsia="zh-CN"/>
              </w:rPr>
              <w:t xml:space="preserve"> : bit (3) &gt; } </w:t>
            </w:r>
            <w:r w:rsidRPr="004D0DAA">
              <w:rPr>
                <w:rFonts w:eastAsia="SimSun" w:cs="Arial"/>
                <w:szCs w:val="18"/>
                <w:lang w:eastAsia="zh-CN"/>
              </w:rPr>
              <w:tab/>
            </w:r>
            <w:r w:rsidRPr="004D0DAA">
              <w:rPr>
                <w:rFonts w:eastAsia="SimSun" w:cs="Arial"/>
                <w:szCs w:val="18"/>
                <w:lang w:eastAsia="zh-CN"/>
              </w:rPr>
              <w:tab/>
            </w:r>
            <w:r w:rsidRPr="004D0DAA">
              <w:rPr>
                <w:rFonts w:eastAsia="SimSun" w:cs="Arial"/>
                <w:i/>
                <w:szCs w:val="18"/>
                <w:lang w:eastAsia="zh-CN"/>
              </w:rPr>
              <w:t>-- BTTI USF for the 2nd RTTI block</w:t>
            </w:r>
          </w:p>
          <w:p w14:paraId="7C758CA8" w14:textId="77777777" w:rsidR="00711444" w:rsidRPr="004D0DAA" w:rsidRDefault="00711444" w:rsidP="00AA2A4C">
            <w:pPr>
              <w:pStyle w:val="TAL"/>
              <w:rPr>
                <w:rFonts w:eastAsia="SimSun" w:cs="Arial"/>
                <w:szCs w:val="18"/>
                <w:lang w:eastAsia="zh-CN"/>
              </w:rPr>
            </w:pP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r>
            <w:r w:rsidRPr="004D0DAA">
              <w:rPr>
                <w:rFonts w:eastAsia="SimSun" w:cs="Arial"/>
                <w:szCs w:val="18"/>
                <w:lang w:eastAsia="zh-CN"/>
              </w:rPr>
              <w:tab/>
              <w:t>} } } ** 0</w:t>
            </w:r>
            <w:r w:rsidRPr="004D0DAA">
              <w:rPr>
                <w:rFonts w:eastAsia="SimSun" w:cs="Arial"/>
                <w:szCs w:val="18"/>
                <w:lang w:eastAsia="zh-CN"/>
              </w:rPr>
              <w:tab/>
            </w:r>
            <w:r w:rsidRPr="004D0DAA">
              <w:rPr>
                <w:rFonts w:eastAsia="SimSun" w:cs="Arial"/>
                <w:szCs w:val="18"/>
                <w:lang w:eastAsia="zh-CN"/>
              </w:rPr>
              <w:tab/>
            </w:r>
            <w:r w:rsidRPr="004D0DAA">
              <w:rPr>
                <w:i/>
                <w:szCs w:val="18"/>
                <w:lang w:eastAsia="en-US"/>
              </w:rPr>
              <w:t>-- one instance provided for each assigned PDCH-pair</w:t>
            </w:r>
          </w:p>
          <w:p w14:paraId="44A20A5C" w14:textId="77777777" w:rsidR="00711444" w:rsidRPr="004D0DAA" w:rsidRDefault="00711444" w:rsidP="00AA2A4C">
            <w:pPr>
              <w:pStyle w:val="TAL"/>
              <w:rPr>
                <w:lang w:eastAsia="en-US"/>
              </w:rPr>
            </w:pPr>
            <w:r w:rsidRPr="004D0DAA">
              <w:rPr>
                <w:lang w:eastAsia="en-US"/>
              </w:rPr>
              <w:tab/>
              <w:t>} ;</w:t>
            </w:r>
          </w:p>
          <w:p w14:paraId="177432AE" w14:textId="77777777" w:rsidR="00711444" w:rsidRPr="004D0DAA" w:rsidRDefault="00711444" w:rsidP="00AA2A4C">
            <w:pPr>
              <w:pStyle w:val="TAL"/>
              <w:rPr>
                <w:lang w:eastAsia="en-US"/>
              </w:rPr>
            </w:pPr>
          </w:p>
          <w:p w14:paraId="5FC90D15" w14:textId="77777777" w:rsidR="00711444" w:rsidRPr="004D0DAA" w:rsidRDefault="00711444" w:rsidP="00AA2A4C">
            <w:pPr>
              <w:pStyle w:val="TAL"/>
              <w:rPr>
                <w:lang w:eastAsia="en-US"/>
              </w:rPr>
            </w:pPr>
          </w:p>
        </w:tc>
      </w:tr>
    </w:tbl>
    <w:p w14:paraId="29DA3BA0" w14:textId="77777777" w:rsidR="00711444" w:rsidRPr="004D0DAA" w:rsidRDefault="00711444" w:rsidP="00711444"/>
    <w:p w14:paraId="342E2BE3" w14:textId="77777777" w:rsidR="00711444" w:rsidRPr="004D0DAA" w:rsidRDefault="00711444" w:rsidP="00711444">
      <w:pPr>
        <w:pStyle w:val="TH"/>
      </w:pPr>
      <w:r w:rsidRPr="004D0DAA">
        <w:t>Table 12.65.2: Dynamic Allocation 3 information element details</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
      <w:tr w:rsidR="00711444" w:rsidRPr="004D0DAA" w14:paraId="1229157C" w14:textId="77777777" w:rsidTr="00AA2A4C">
        <w:tblPrEx>
          <w:tblCellMar>
            <w:top w:w="0" w:type="dxa"/>
            <w:bottom w:w="0" w:type="dxa"/>
          </w:tblCellMar>
        </w:tblPrEx>
        <w:trPr>
          <w:cantSplit/>
          <w:trHeight w:val="113"/>
        </w:trPr>
        <w:tc>
          <w:tcPr>
            <w:tcW w:w="9848" w:type="dxa"/>
            <w:shd w:val="clear" w:color="auto" w:fill="auto"/>
          </w:tcPr>
          <w:p w14:paraId="6A56773B" w14:textId="77777777" w:rsidR="00711444" w:rsidRPr="004D0DAA" w:rsidRDefault="00711444" w:rsidP="00AA2A4C">
            <w:pPr>
              <w:rPr>
                <w:b/>
              </w:rPr>
            </w:pPr>
            <w:r w:rsidRPr="004D0DAA">
              <w:rPr>
                <w:b/>
              </w:rPr>
              <w:t>EXTENDED_DYNAMIC_ALLOCATION</w:t>
            </w:r>
            <w:r w:rsidRPr="004D0DAA">
              <w:t xml:space="preserve"> (1 bit field)</w:t>
            </w:r>
            <w:r w:rsidRPr="004D0DAA">
              <w:br/>
              <w:t>This information field indicates the medium access mode to be used during the TBF.</w:t>
            </w:r>
            <w:r w:rsidRPr="004D0DAA">
              <w:br/>
              <w:t>0</w:t>
            </w:r>
            <w:r w:rsidRPr="004D0DAA">
              <w:tab/>
              <w:t>Dynamic Allocation</w:t>
            </w:r>
            <w:r w:rsidRPr="004D0DAA">
              <w:br/>
              <w:t>1</w:t>
            </w:r>
            <w:r w:rsidRPr="004D0DAA">
              <w:tab/>
              <w:t>Extended Dynamic Allocation</w:t>
            </w:r>
          </w:p>
        </w:tc>
      </w:tr>
      <w:tr w:rsidR="00711444" w:rsidRPr="004D0DAA" w14:paraId="4536D87D" w14:textId="77777777" w:rsidTr="00AA2A4C">
        <w:tblPrEx>
          <w:tblCellMar>
            <w:top w:w="0" w:type="dxa"/>
            <w:bottom w:w="0" w:type="dxa"/>
          </w:tblCellMar>
        </w:tblPrEx>
        <w:trPr>
          <w:cantSplit/>
          <w:trHeight w:val="113"/>
        </w:trPr>
        <w:tc>
          <w:tcPr>
            <w:tcW w:w="9848" w:type="dxa"/>
            <w:shd w:val="clear" w:color="auto" w:fill="auto"/>
          </w:tcPr>
          <w:p w14:paraId="4D2A03F9" w14:textId="77777777" w:rsidR="00711444" w:rsidRPr="004D0DAA" w:rsidRDefault="00711444" w:rsidP="00AA2A4C">
            <w:r w:rsidRPr="004D0DAA">
              <w:rPr>
                <w:b/>
              </w:rPr>
              <w:t>USF_GRANULARITY</w:t>
            </w:r>
            <w:r w:rsidRPr="004D0DAA">
              <w:t xml:space="preserve"> (1 bit field)</w:t>
            </w:r>
            <w:r w:rsidRPr="004D0DAA">
              <w:br/>
              <w:t>This information field indicates the USF granularity to be applied by the mobile station when it is assigned a TBF using Dynamic Allocation or Extended Dynamic Allocation.</w:t>
            </w:r>
          </w:p>
          <w:p w14:paraId="5FE73DB3" w14:textId="77777777" w:rsidR="00711444" w:rsidRPr="004D0DAA" w:rsidRDefault="00711444" w:rsidP="00AA2A4C">
            <w:pPr>
              <w:rPr>
                <w:b/>
              </w:rPr>
            </w:pPr>
            <w:r w:rsidRPr="004D0DAA">
              <w:t>0</w:t>
            </w:r>
            <w:r w:rsidRPr="004D0DAA">
              <w:tab/>
              <w:t>the mobile station shall transmit one RLC/MAC block</w:t>
            </w:r>
            <w:r w:rsidRPr="004D0DAA">
              <w:br/>
              <w:t>1</w:t>
            </w:r>
            <w:r w:rsidRPr="004D0DAA">
              <w:tab/>
              <w:t>the mobile station shall transmit four consecutive RLC/MAC blocks</w:t>
            </w:r>
          </w:p>
        </w:tc>
      </w:tr>
      <w:tr w:rsidR="00711444" w:rsidRPr="004D0DAA" w14:paraId="2409D85B" w14:textId="77777777" w:rsidTr="00AA2A4C">
        <w:tblPrEx>
          <w:tblCellMar>
            <w:top w:w="0" w:type="dxa"/>
            <w:bottom w:w="0" w:type="dxa"/>
          </w:tblCellMar>
        </w:tblPrEx>
        <w:trPr>
          <w:cantSplit/>
          <w:trHeight w:val="113"/>
        </w:trPr>
        <w:tc>
          <w:tcPr>
            <w:tcW w:w="9848" w:type="dxa"/>
            <w:shd w:val="clear" w:color="auto" w:fill="auto"/>
          </w:tcPr>
          <w:p w14:paraId="641C12CB" w14:textId="77777777" w:rsidR="00711444" w:rsidRPr="004D0DAA" w:rsidRDefault="00711444" w:rsidP="00AA2A4C">
            <w:r w:rsidRPr="004D0DAA">
              <w:rPr>
                <w:b/>
              </w:rPr>
              <w:lastRenderedPageBreak/>
              <w:t>ALPHA</w:t>
            </w:r>
            <w:r w:rsidRPr="004D0DAA">
              <w:t xml:space="preserve"> (4 bit field)</w:t>
            </w:r>
            <w:r w:rsidRPr="004D0DAA">
              <w:br/>
              <w:t>For encoding and description see the Global Power Control Parameters IE.</w:t>
            </w:r>
          </w:p>
        </w:tc>
      </w:tr>
      <w:tr w:rsidR="00711444" w:rsidRPr="004D0DAA" w14:paraId="14E2ACDC" w14:textId="77777777" w:rsidTr="00AA2A4C">
        <w:tblPrEx>
          <w:tblCellMar>
            <w:top w:w="0" w:type="dxa"/>
            <w:bottom w:w="0" w:type="dxa"/>
          </w:tblCellMar>
        </w:tblPrEx>
        <w:trPr>
          <w:cantSplit/>
          <w:trHeight w:val="113"/>
        </w:trPr>
        <w:tc>
          <w:tcPr>
            <w:tcW w:w="9848" w:type="dxa"/>
            <w:shd w:val="clear" w:color="auto" w:fill="auto"/>
          </w:tcPr>
          <w:p w14:paraId="28BDD009" w14:textId="77777777" w:rsidR="00711444" w:rsidRPr="004D0DAA" w:rsidRDefault="00711444" w:rsidP="00AA2A4C">
            <w:pPr>
              <w:rPr>
                <w:b/>
              </w:rPr>
            </w:pPr>
            <w:r w:rsidRPr="004D0DAA">
              <w:rPr>
                <w:b/>
              </w:rPr>
              <w:t>TSC</w:t>
            </w:r>
            <w:r w:rsidRPr="004D0DAA">
              <w:t xml:space="preserve"> (3 bit field)</w:t>
            </w:r>
            <w:r w:rsidRPr="004D0DAA">
              <w:br/>
              <w:t>This field is the binary representation of the training sequence code, see 3GPP TS 45.002. Range: 0 to 7. In the absence of this field the applicable TSC shall be the same as the corresponding downlink carrier.</w:t>
            </w:r>
          </w:p>
        </w:tc>
      </w:tr>
      <w:tr w:rsidR="00711444" w:rsidRPr="004D0DAA" w14:paraId="0EEC623E" w14:textId="77777777" w:rsidTr="00AA2A4C">
        <w:tblPrEx>
          <w:tblCellMar>
            <w:top w:w="0" w:type="dxa"/>
            <w:bottom w:w="0" w:type="dxa"/>
          </w:tblCellMar>
        </w:tblPrEx>
        <w:trPr>
          <w:cantSplit/>
          <w:trHeight w:val="113"/>
        </w:trPr>
        <w:tc>
          <w:tcPr>
            <w:tcW w:w="9848" w:type="dxa"/>
            <w:shd w:val="clear" w:color="auto" w:fill="auto"/>
          </w:tcPr>
          <w:p w14:paraId="570E2141" w14:textId="77777777" w:rsidR="00711444" w:rsidRPr="004D0DAA" w:rsidRDefault="00711444" w:rsidP="00AA2A4C">
            <w:pPr>
              <w:spacing w:after="0"/>
              <w:rPr>
                <w:b/>
              </w:rPr>
            </w:pPr>
            <w:r w:rsidRPr="004D0DAA">
              <w:rPr>
                <w:b/>
              </w:rPr>
              <w:t xml:space="preserve">USF, USF_2 </w:t>
            </w:r>
            <w:r w:rsidRPr="004D0DAA">
              <w:t>(3 bit field)</w:t>
            </w:r>
          </w:p>
          <w:p w14:paraId="541E9055" w14:textId="77777777" w:rsidR="00711444" w:rsidRPr="004D0DAA" w:rsidRDefault="00711444" w:rsidP="00AA2A4C">
            <w:pPr>
              <w:spacing w:after="0"/>
            </w:pPr>
            <w:r w:rsidRPr="004D0DAA">
              <w:t>These fields indicate the USF values assigned to a given TBF for the assigned timeslot or PDCH pair.</w:t>
            </w:r>
          </w:p>
          <w:p w14:paraId="3393DEED" w14:textId="77777777" w:rsidR="00711444" w:rsidRPr="004D0DAA" w:rsidRDefault="00711444" w:rsidP="00AA2A4C">
            <w:pPr>
              <w:spacing w:after="0"/>
            </w:pPr>
          </w:p>
          <w:p w14:paraId="4ADBFFF7" w14:textId="77777777" w:rsidR="00711444" w:rsidRPr="004D0DAA" w:rsidRDefault="00711444" w:rsidP="00AA2A4C">
            <w:pPr>
              <w:spacing w:after="0"/>
            </w:pPr>
            <w:r w:rsidRPr="004D0DAA">
              <w:t>In the case of RTTI mode with BTTI USF, the USF value specified in the USF field (respectively USF_2 field) applies to the first two (respectively second two) TDMA frames of the following basic radio block period (see sub-clauses 8.1.1.1, 8.1.1.2.1).</w:t>
            </w:r>
          </w:p>
          <w:p w14:paraId="74F786B6" w14:textId="77777777" w:rsidR="00711444" w:rsidRPr="004D0DAA" w:rsidRDefault="00711444" w:rsidP="00AA2A4C">
            <w:pPr>
              <w:spacing w:after="0"/>
            </w:pPr>
          </w:p>
          <w:p w14:paraId="56F7E81B" w14:textId="77777777" w:rsidR="00711444" w:rsidRPr="004D0DAA" w:rsidRDefault="00711444" w:rsidP="00AA2A4C">
            <w:pPr>
              <w:spacing w:after="0"/>
            </w:pPr>
            <w:r w:rsidRPr="004D0DAA">
              <w:t>These fields are encoded as a binary representation of the USF value as defined in sub-clause 10.4.1.</w:t>
            </w:r>
          </w:p>
          <w:p w14:paraId="7F90348A" w14:textId="77777777" w:rsidR="00711444" w:rsidRPr="004D0DAA" w:rsidRDefault="00711444" w:rsidP="00AA2A4C">
            <w:pPr>
              <w:spacing w:after="0"/>
            </w:pPr>
          </w:p>
          <w:p w14:paraId="5A3C7F14" w14:textId="77777777" w:rsidR="00711444" w:rsidRPr="004D0DAA" w:rsidRDefault="00711444" w:rsidP="00AA2A4C">
            <w:pPr>
              <w:spacing w:after="0"/>
            </w:pPr>
            <w:r w:rsidRPr="004D0DAA">
              <w:t>The order in which USF assignments are encoded and the meaning when the number of repetitions of the USF is lower than the maximum is described in Annex K.</w:t>
            </w:r>
          </w:p>
          <w:p w14:paraId="5DE4004D" w14:textId="77777777" w:rsidR="00711444" w:rsidRPr="004D0DAA" w:rsidRDefault="00711444" w:rsidP="00AA2A4C">
            <w:pPr>
              <w:spacing w:after="0"/>
            </w:pPr>
          </w:p>
        </w:tc>
      </w:tr>
      <w:tr w:rsidR="00711444" w:rsidRPr="004D0DAA" w14:paraId="4248D0C3" w14:textId="77777777" w:rsidTr="00AA2A4C">
        <w:tblPrEx>
          <w:tblCellMar>
            <w:top w:w="0" w:type="dxa"/>
            <w:bottom w:w="0" w:type="dxa"/>
          </w:tblCellMar>
        </w:tblPrEx>
        <w:trPr>
          <w:cantSplit/>
          <w:trHeight w:val="113"/>
        </w:trPr>
        <w:tc>
          <w:tcPr>
            <w:tcW w:w="9848" w:type="dxa"/>
            <w:shd w:val="clear" w:color="auto" w:fill="auto"/>
          </w:tcPr>
          <w:p w14:paraId="1D8196F4" w14:textId="77777777" w:rsidR="00711444" w:rsidRPr="004D0DAA" w:rsidRDefault="00711444" w:rsidP="00AA2A4C">
            <w:r w:rsidRPr="004D0DAA">
              <w:rPr>
                <w:b/>
              </w:rPr>
              <w:t xml:space="preserve">GAMMA </w:t>
            </w:r>
            <w:r w:rsidRPr="004D0DAA">
              <w:t>(5 bit field)</w:t>
            </w:r>
            <w:r w:rsidRPr="004D0DAA">
              <w:br/>
              <w:t xml:space="preserve">This  field is the binary representation of the parameter </w:t>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for MS output power control in units of 2 dB, see 3GPP TS 45.008 [15]. The field is coded according to the following table:</w:t>
            </w:r>
          </w:p>
          <w:p w14:paraId="0F88CB7C" w14:textId="77777777" w:rsidR="00711444" w:rsidRPr="004D0DAA" w:rsidRDefault="00711444" w:rsidP="00AA2A4C">
            <w:pPr>
              <w:tabs>
                <w:tab w:val="left" w:pos="1134"/>
              </w:tabs>
            </w:pPr>
            <w:r w:rsidRPr="004D0DAA">
              <w:t>bit</w:t>
            </w:r>
            <w:r w:rsidRPr="004D0DAA">
              <w:br/>
              <w:t>5 4 3 2 1</w:t>
            </w:r>
            <w:r w:rsidRPr="004D0DAA">
              <w:br/>
              <w:t>0 0 0 0 0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0 dB</w:t>
            </w:r>
            <w:r w:rsidRPr="004D0DAA">
              <w:br/>
              <w:t>0 0 0 0 1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2 dB</w:t>
            </w:r>
            <w:r w:rsidRPr="004D0DAA">
              <w:br/>
              <w:t>: : : :</w:t>
            </w:r>
            <w:r w:rsidRPr="004D0DAA">
              <w:br/>
              <w:t>1 1 1 1 0</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60 dB</w:t>
            </w:r>
            <w:r w:rsidRPr="004D0DAA">
              <w:br/>
              <w:t>1 1 1 1 1</w:t>
            </w:r>
            <w:r w:rsidRPr="004D0DAA">
              <w:tab/>
            </w:r>
            <w:r w:rsidRPr="004D0DAA">
              <w:fldChar w:fldCharType="begin"/>
            </w:r>
            <w:r w:rsidRPr="004D0DAA">
              <w:instrText>symbol 71 \f "Symbol" \s 10</w:instrText>
            </w:r>
            <w:r w:rsidRPr="004D0DAA">
              <w:fldChar w:fldCharType="separate"/>
            </w:r>
            <w:r w:rsidRPr="004D0DAA">
              <w:rPr>
                <w:rFonts w:ascii="Symbol" w:hAnsi="Symbol"/>
              </w:rPr>
              <w:t>G</w:t>
            </w:r>
            <w:r w:rsidRPr="004D0DAA">
              <w:fldChar w:fldCharType="end"/>
            </w:r>
            <w:r w:rsidRPr="004D0DAA">
              <w:t>CH = 62 dB</w:t>
            </w:r>
          </w:p>
          <w:p w14:paraId="0DF31A68" w14:textId="77777777" w:rsidR="00711444" w:rsidRPr="004D0DAA" w:rsidRDefault="00711444" w:rsidP="00AA2A4C">
            <w:pPr>
              <w:tabs>
                <w:tab w:val="left" w:pos="1134"/>
              </w:tabs>
              <w:rPr>
                <w:b/>
              </w:rPr>
            </w:pPr>
            <w:r w:rsidRPr="004D0DAA">
              <w:t xml:space="preserve">In the case of RTTI mode with BTTI USF, exactly one GAMMA field shall be included for each PDCH pair for which either one or two USF values are assigned. </w:t>
            </w:r>
          </w:p>
        </w:tc>
      </w:tr>
    </w:tbl>
    <w:p w14:paraId="7E7D9F87" w14:textId="77777777" w:rsidR="00711444" w:rsidRPr="004D0DAA" w:rsidRDefault="00711444" w:rsidP="00711444">
      <w:pPr>
        <w:ind w:right="1"/>
      </w:pPr>
    </w:p>
    <w:p w14:paraId="345E0451" w14:textId="77777777" w:rsidR="00711444" w:rsidRPr="004D0DAA" w:rsidRDefault="00711444" w:rsidP="00711444">
      <w:pPr>
        <w:pStyle w:val="Heading2"/>
      </w:pPr>
      <w:bookmarkStart w:id="862" w:name="_Toc516670036"/>
      <w:r w:rsidRPr="004D0DAA">
        <w:t>12.66</w:t>
      </w:r>
      <w:r w:rsidRPr="004D0DAA">
        <w:tab/>
        <w:t>DLMC Channel Quality Report</w:t>
      </w:r>
      <w:bookmarkEnd w:id="862"/>
    </w:p>
    <w:p w14:paraId="15D85E16" w14:textId="77777777" w:rsidR="00711444" w:rsidRPr="004D0DAA" w:rsidRDefault="00711444" w:rsidP="00711444">
      <w:r w:rsidRPr="004D0DAA">
        <w:t>This Information Element provides channel quality report information which may include UFPS, carrier or timeslot based measurement information for a mobile station in a DLMC configuration.</w:t>
      </w:r>
      <w:r w:rsidRPr="004D0DAA">
        <w:rPr>
          <w:rFonts w:hint="eastAsia"/>
          <w:lang w:eastAsia="ko-KR"/>
        </w:rPr>
        <w:t xml:space="preserve"> The i</w:t>
      </w:r>
      <w:r w:rsidRPr="004D0DAA">
        <w:t>nformation to be included within this IE depends on the setting of the ES/P field</w:t>
      </w:r>
      <w:r w:rsidRPr="004D0DAA">
        <w:rPr>
          <w:rFonts w:hint="eastAsia"/>
          <w:lang w:eastAsia="ko-KR"/>
        </w:rPr>
        <w:t xml:space="preserve"> </w:t>
      </w:r>
      <w:r w:rsidRPr="004D0DAA">
        <w:rPr>
          <w:lang w:eastAsia="ko-KR"/>
        </w:rPr>
        <w:t>and</w:t>
      </w:r>
      <w:r w:rsidRPr="004D0DAA">
        <w:rPr>
          <w:rFonts w:hint="eastAsia"/>
          <w:lang w:eastAsia="ko-KR"/>
        </w:rPr>
        <w:t xml:space="preserve"> CES/P field</w:t>
      </w:r>
      <w:r w:rsidRPr="004D0DAA">
        <w:rPr>
          <w:lang w:eastAsia="ko-KR"/>
        </w:rPr>
        <w:t xml:space="preserve"> (see sub-clause </w:t>
      </w:r>
      <w:r w:rsidRPr="004D0DAA">
        <w:t>9.1.8.2.1), the most recently received LINK_QUALITY_MEASUREMENT_MODE field (see sub-clause 11.2.7) and the most recently received DLMC Measurement Type field (see sub-clause 11.2.7).</w:t>
      </w:r>
    </w:p>
    <w:p w14:paraId="289E307C" w14:textId="77777777" w:rsidR="00711444" w:rsidRPr="004D0DAA" w:rsidRDefault="00711444" w:rsidP="00711444">
      <w:pPr>
        <w:pStyle w:val="TH"/>
      </w:pPr>
      <w:r w:rsidRPr="004D0DAA">
        <w:lastRenderedPageBreak/>
        <w:t>Table 12.66.1: DLMC Channel Quality Report information element</w:t>
      </w:r>
    </w:p>
    <w:tbl>
      <w:tblPr>
        <w:tblW w:w="97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0"/>
      </w:tblGrid>
      <w:tr w:rsidR="00711444" w:rsidRPr="004D0DAA" w14:paraId="65F887AB" w14:textId="77777777" w:rsidTr="00AA2A4C">
        <w:tblPrEx>
          <w:tblCellMar>
            <w:top w:w="0" w:type="dxa"/>
            <w:bottom w:w="0" w:type="dxa"/>
          </w:tblCellMar>
        </w:tblPrEx>
        <w:trPr>
          <w:cantSplit/>
        </w:trPr>
        <w:tc>
          <w:tcPr>
            <w:tcW w:w="9740" w:type="dxa"/>
          </w:tcPr>
          <w:p w14:paraId="57B6CB41" w14:textId="77777777" w:rsidR="00711444" w:rsidRPr="004D0DAA" w:rsidRDefault="00711444" w:rsidP="00AA2A4C">
            <w:pPr>
              <w:pStyle w:val="TAL"/>
              <w:rPr>
                <w:lang w:eastAsia="en-US"/>
              </w:rPr>
            </w:pPr>
            <w:r w:rsidRPr="004D0DAA">
              <w:rPr>
                <w:lang w:eastAsia="en-US"/>
              </w:rPr>
              <w:t xml:space="preserve">&lt; DLMC Channel Quality Report </w:t>
            </w:r>
            <w:r w:rsidRPr="004D0DAA">
              <w:rPr>
                <w:rFonts w:hint="eastAsia"/>
                <w:lang w:eastAsia="ko-KR"/>
              </w:rPr>
              <w:t>IE</w:t>
            </w:r>
            <w:r w:rsidRPr="004D0DAA">
              <w:rPr>
                <w:lang w:eastAsia="ko-KR"/>
              </w:rPr>
              <w:t xml:space="preserve"> </w:t>
            </w:r>
            <w:r w:rsidRPr="004D0DAA">
              <w:rPr>
                <w:lang w:eastAsia="en-US"/>
              </w:rPr>
              <w:t>&gt; ::=</w:t>
            </w:r>
          </w:p>
          <w:p w14:paraId="1AA05E06" w14:textId="77777777" w:rsidR="00711444" w:rsidRPr="004D0DAA" w:rsidRDefault="00711444" w:rsidP="00AA2A4C">
            <w:pPr>
              <w:pStyle w:val="TAL"/>
              <w:rPr>
                <w:lang w:eastAsia="en-US"/>
              </w:rPr>
            </w:pPr>
            <w:r w:rsidRPr="004D0DAA">
              <w:rPr>
                <w:lang w:eastAsia="en-US"/>
              </w:rPr>
              <w:tab/>
            </w:r>
            <w:r w:rsidRPr="004D0DAA">
              <w:rPr>
                <w:b/>
                <w:lang w:eastAsia="en-US"/>
              </w:rPr>
              <w:t>C_VALUE</w:t>
            </w:r>
            <w:r w:rsidRPr="004D0DAA">
              <w:rPr>
                <w:lang w:eastAsia="en-US"/>
              </w:rPr>
              <w:t xml:space="preserve"> : bit (6)</w:t>
            </w:r>
          </w:p>
          <w:p w14:paraId="1543C4C1" w14:textId="77777777" w:rsidR="00711444" w:rsidRPr="004D0DAA" w:rsidRDefault="00711444" w:rsidP="00AA2A4C">
            <w:pPr>
              <w:pStyle w:val="TAL"/>
              <w:rPr>
                <w:lang w:eastAsia="en-US"/>
              </w:rPr>
            </w:pPr>
            <w:r w:rsidRPr="004D0DAA">
              <w:rPr>
                <w:lang w:eastAsia="en-US"/>
              </w:rPr>
              <w:tab/>
              <w:t xml:space="preserve">{ 0 | 1 &lt; </w:t>
            </w:r>
            <w:r w:rsidRPr="004D0DAA">
              <w:rPr>
                <w:b/>
                <w:lang w:eastAsia="en-US"/>
              </w:rPr>
              <w:t>DLMC Interference Measurements</w:t>
            </w:r>
            <w:r w:rsidRPr="004D0DAA">
              <w:rPr>
                <w:lang w:eastAsia="en-US"/>
              </w:rPr>
              <w:t xml:space="preserve"> : &lt; DLMC Interference Measurement Report struct &gt;&gt; }</w:t>
            </w:r>
          </w:p>
          <w:p w14:paraId="63DFD8E8" w14:textId="77777777" w:rsidR="00711444" w:rsidRPr="004D0DAA" w:rsidRDefault="00711444" w:rsidP="00AA2A4C">
            <w:pPr>
              <w:pStyle w:val="TAL"/>
              <w:rPr>
                <w:lang w:eastAsia="en-US"/>
              </w:rPr>
            </w:pPr>
            <w:r w:rsidRPr="004D0DAA">
              <w:rPr>
                <w:lang w:eastAsia="en-US"/>
              </w:rPr>
              <w:tab/>
              <w:t>{ 1</w:t>
            </w:r>
            <w:r w:rsidRPr="004D0DAA">
              <w:rPr>
                <w:lang w:eastAsia="en-US"/>
              </w:rPr>
              <w:tab/>
              <w:t xml:space="preserve">&lt; </w:t>
            </w:r>
            <w:r w:rsidRPr="004D0DAA">
              <w:rPr>
                <w:b/>
                <w:lang w:eastAsia="en-US"/>
              </w:rPr>
              <w:t>DLMC BEP Link Quality Measurements</w:t>
            </w:r>
            <w:r w:rsidRPr="004D0DAA">
              <w:rPr>
                <w:lang w:eastAsia="en-US"/>
              </w:rPr>
              <w:t xml:space="preserve"> : &lt; DLMC BEP Link Quality Measurements struct &gt;&gt; </w:t>
            </w:r>
          </w:p>
          <w:p w14:paraId="1D913059" w14:textId="77777777" w:rsidR="00711444" w:rsidRPr="004D0DAA" w:rsidRDefault="00711444" w:rsidP="00AA2A4C">
            <w:pPr>
              <w:pStyle w:val="TAL"/>
              <w:rPr>
                <w:lang w:eastAsia="en-US"/>
              </w:rPr>
            </w:pPr>
            <w:r w:rsidRPr="004D0DAA">
              <w:rPr>
                <w:lang w:eastAsia="en-US"/>
              </w:rPr>
              <w:tab/>
            </w:r>
            <w:r w:rsidRPr="004D0DAA">
              <w:rPr>
                <w:lang w:eastAsia="en-US"/>
              </w:rPr>
              <w:tab/>
              <w:t xml:space="preserve">{ 0 | 1 &lt; </w:t>
            </w:r>
            <w:r w:rsidRPr="004D0DAA">
              <w:rPr>
                <w:b/>
                <w:lang w:eastAsia="en-US"/>
              </w:rPr>
              <w:t>DLMC BEP_MEASUREMENTS</w:t>
            </w:r>
            <w:r w:rsidRPr="004D0DAA">
              <w:rPr>
                <w:lang w:eastAsia="en-US"/>
              </w:rPr>
              <w:t xml:space="preserve"> : &lt; DLMC BEP Measurements Struct &gt;&gt; } } ** 0;</w:t>
            </w:r>
          </w:p>
        </w:tc>
      </w:tr>
      <w:tr w:rsidR="00711444" w:rsidRPr="004D0DAA" w14:paraId="0594FEFA" w14:textId="77777777" w:rsidTr="00AA2A4C">
        <w:tblPrEx>
          <w:tblCellMar>
            <w:top w:w="0" w:type="dxa"/>
            <w:bottom w:w="0" w:type="dxa"/>
          </w:tblCellMar>
        </w:tblPrEx>
        <w:trPr>
          <w:cantSplit/>
        </w:trPr>
        <w:tc>
          <w:tcPr>
            <w:tcW w:w="9740" w:type="dxa"/>
            <w:tcBorders>
              <w:bottom w:val="single" w:sz="4" w:space="0" w:color="auto"/>
            </w:tcBorders>
          </w:tcPr>
          <w:p w14:paraId="0A7993F3" w14:textId="77777777" w:rsidR="00711444" w:rsidRPr="004D0DAA" w:rsidRDefault="00711444" w:rsidP="00AA2A4C">
            <w:pPr>
              <w:pStyle w:val="TAL"/>
              <w:rPr>
                <w:lang w:eastAsia="en-US"/>
              </w:rPr>
            </w:pPr>
            <w:r w:rsidRPr="004D0DAA">
              <w:rPr>
                <w:lang w:eastAsia="en-US"/>
              </w:rPr>
              <w:t>&lt; DLMC Interference Measurement Report Struct &gt; ::=</w:t>
            </w:r>
          </w:p>
          <w:p w14:paraId="752D892C"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I_LEVEL_TN0 </w:t>
            </w:r>
            <w:r w:rsidRPr="004D0DAA">
              <w:rPr>
                <w:lang w:eastAsia="en-US"/>
              </w:rPr>
              <w:t>: bit (4) &gt; }</w:t>
            </w:r>
          </w:p>
          <w:p w14:paraId="6EF44A27"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I_LEVEL_TN1 </w:t>
            </w:r>
            <w:r w:rsidRPr="004D0DAA">
              <w:rPr>
                <w:lang w:eastAsia="en-US"/>
              </w:rPr>
              <w:t>: bit (4) &gt; }</w:t>
            </w:r>
          </w:p>
          <w:p w14:paraId="2CCDAD09"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I_LEVEL_TN2 </w:t>
            </w:r>
            <w:r w:rsidRPr="004D0DAA">
              <w:rPr>
                <w:lang w:eastAsia="en-US"/>
              </w:rPr>
              <w:t>: bit (4) &gt; }</w:t>
            </w:r>
          </w:p>
          <w:p w14:paraId="6973F747"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I_LEVEL_TN3 </w:t>
            </w:r>
            <w:r w:rsidRPr="004D0DAA">
              <w:rPr>
                <w:lang w:eastAsia="en-US"/>
              </w:rPr>
              <w:t>: bit (4) &gt; }</w:t>
            </w:r>
          </w:p>
          <w:p w14:paraId="20E243CC"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I_LEVEL_TN4 </w:t>
            </w:r>
            <w:r w:rsidRPr="004D0DAA">
              <w:rPr>
                <w:lang w:eastAsia="en-US"/>
              </w:rPr>
              <w:t>: bit (4) &gt; }</w:t>
            </w:r>
          </w:p>
          <w:p w14:paraId="234FBD42"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I_LEVEL_TN5 </w:t>
            </w:r>
            <w:r w:rsidRPr="004D0DAA">
              <w:rPr>
                <w:lang w:eastAsia="en-US"/>
              </w:rPr>
              <w:t>: bit (4) &gt; }</w:t>
            </w:r>
          </w:p>
          <w:p w14:paraId="451C3FC7"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I_LEVEL_TN6 </w:t>
            </w:r>
            <w:r w:rsidRPr="004D0DAA">
              <w:rPr>
                <w:lang w:eastAsia="en-US"/>
              </w:rPr>
              <w:t>: bit (4) &gt; }</w:t>
            </w:r>
          </w:p>
          <w:p w14:paraId="67C794F9" w14:textId="77777777" w:rsidR="00711444" w:rsidRPr="004D0DAA" w:rsidRDefault="00711444" w:rsidP="00AA2A4C">
            <w:pPr>
              <w:pStyle w:val="TAL"/>
              <w:rPr>
                <w:lang w:eastAsia="en-US"/>
              </w:rPr>
            </w:pPr>
            <w:r w:rsidRPr="004D0DAA">
              <w:rPr>
                <w:lang w:eastAsia="en-US"/>
              </w:rPr>
              <w:t xml:space="preserve">{ 0 | 1 &lt; </w:t>
            </w:r>
            <w:r w:rsidRPr="004D0DAA">
              <w:rPr>
                <w:b/>
                <w:lang w:eastAsia="en-US"/>
              </w:rPr>
              <w:t xml:space="preserve">I_LEVEL_TN7 </w:t>
            </w:r>
            <w:r w:rsidRPr="004D0DAA">
              <w:rPr>
                <w:lang w:eastAsia="en-US"/>
              </w:rPr>
              <w:t>: bit (4) &gt; };</w:t>
            </w:r>
          </w:p>
          <w:p w14:paraId="6EAB12EF" w14:textId="77777777" w:rsidR="00711444" w:rsidRPr="004D0DAA" w:rsidRDefault="00711444" w:rsidP="00AA2A4C">
            <w:pPr>
              <w:pStyle w:val="TAL"/>
              <w:rPr>
                <w:lang w:eastAsia="en-US"/>
              </w:rPr>
            </w:pPr>
          </w:p>
          <w:p w14:paraId="34024C0B" w14:textId="77777777" w:rsidR="00711444" w:rsidRPr="004D0DAA" w:rsidRDefault="00711444" w:rsidP="00AA2A4C">
            <w:pPr>
              <w:pStyle w:val="TAL"/>
              <w:rPr>
                <w:lang w:eastAsia="en-US"/>
              </w:rPr>
            </w:pPr>
            <w:r w:rsidRPr="004D0DAA">
              <w:rPr>
                <w:lang w:eastAsia="en-US"/>
              </w:rPr>
              <w:t>&lt; DLMC BEP Link Quality Measurements struct &gt; ::=</w:t>
            </w:r>
          </w:p>
          <w:p w14:paraId="572C0727" w14:textId="77777777" w:rsidR="00711444" w:rsidRPr="004D0DAA" w:rsidRDefault="00711444" w:rsidP="00AA2A4C">
            <w:pPr>
              <w:pStyle w:val="TAL"/>
              <w:rPr>
                <w:lang w:eastAsia="en-US"/>
              </w:rPr>
            </w:pPr>
            <w:r w:rsidRPr="004D0DAA">
              <w:rPr>
                <w:lang w:eastAsia="en-US"/>
              </w:rPr>
              <w:tab/>
              <w:t>{</w:t>
            </w:r>
            <w:r w:rsidRPr="004D0DAA">
              <w:rPr>
                <w:rFonts w:hint="eastAsia"/>
                <w:lang w:eastAsia="zh-CN"/>
              </w:rPr>
              <w:t xml:space="preserve"> </w:t>
            </w:r>
            <w:r w:rsidRPr="004D0DAA">
              <w:rPr>
                <w:lang w:eastAsia="en-US"/>
              </w:rPr>
              <w:t xml:space="preserve">   { 0 | 1</w:t>
            </w:r>
            <w:r w:rsidRPr="004D0DAA">
              <w:rPr>
                <w:lang w:eastAsia="en-US"/>
              </w:rPr>
              <w:tab/>
              <w:t xml:space="preserve">&lt; </w:t>
            </w:r>
            <w:r w:rsidRPr="004D0DAA">
              <w:rPr>
                <w:b/>
                <w:lang w:eastAsia="en-US"/>
              </w:rPr>
              <w:t>GMSK</w:t>
            </w:r>
            <w:r w:rsidRPr="004D0DAA">
              <w:rPr>
                <w:lang w:eastAsia="en-US"/>
              </w:rPr>
              <w:t>_</w:t>
            </w:r>
            <w:r w:rsidRPr="004D0DAA">
              <w:rPr>
                <w:b/>
                <w:lang w:eastAsia="en-US"/>
              </w:rPr>
              <w:t>MEAN_BEP</w:t>
            </w:r>
            <w:r w:rsidRPr="004D0DAA">
              <w:rPr>
                <w:lang w:eastAsia="en-US"/>
              </w:rPr>
              <w:t xml:space="preserve"> : bit (5) &gt;</w:t>
            </w:r>
          </w:p>
          <w:p w14:paraId="4F1B561B"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GMSK</w:t>
            </w:r>
            <w:r w:rsidRPr="004D0DAA">
              <w:rPr>
                <w:lang w:eastAsia="en-US"/>
              </w:rPr>
              <w:t>_</w:t>
            </w:r>
            <w:r w:rsidRPr="004D0DAA">
              <w:rPr>
                <w:b/>
                <w:lang w:eastAsia="en-US"/>
              </w:rPr>
              <w:t>CV_BEP</w:t>
            </w:r>
            <w:r w:rsidRPr="004D0DAA">
              <w:rPr>
                <w:lang w:eastAsia="en-US"/>
              </w:rPr>
              <w:t xml:space="preserve"> : bit (3) &gt;}</w:t>
            </w:r>
          </w:p>
          <w:p w14:paraId="66C33C1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8PSK</w:t>
            </w:r>
            <w:r w:rsidRPr="004D0DAA">
              <w:rPr>
                <w:lang w:eastAsia="en-US"/>
              </w:rPr>
              <w:t>_</w:t>
            </w:r>
            <w:r w:rsidRPr="004D0DAA">
              <w:rPr>
                <w:b/>
                <w:lang w:eastAsia="en-US"/>
              </w:rPr>
              <w:t>MEAN_BEP</w:t>
            </w:r>
            <w:r w:rsidRPr="004D0DAA">
              <w:rPr>
                <w:lang w:eastAsia="en-US"/>
              </w:rPr>
              <w:t xml:space="preserve"> : bit (5) &gt;</w:t>
            </w:r>
          </w:p>
          <w:p w14:paraId="6AE47ED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8PSK</w:t>
            </w:r>
            <w:r w:rsidRPr="004D0DAA">
              <w:rPr>
                <w:lang w:eastAsia="en-US"/>
              </w:rPr>
              <w:t>_</w:t>
            </w:r>
            <w:r w:rsidRPr="004D0DAA">
              <w:rPr>
                <w:b/>
                <w:lang w:eastAsia="en-US"/>
              </w:rPr>
              <w:t>CV_BEP</w:t>
            </w:r>
            <w:r w:rsidRPr="004D0DAA">
              <w:rPr>
                <w:lang w:eastAsia="en-US"/>
              </w:rPr>
              <w:t xml:space="preserve"> : bit (3) &gt; }</w:t>
            </w:r>
          </w:p>
          <w:p w14:paraId="5AE1F09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16QAM</w:t>
            </w:r>
            <w:r w:rsidRPr="004D0DAA">
              <w:rPr>
                <w:lang w:eastAsia="en-US"/>
              </w:rPr>
              <w:t>_</w:t>
            </w:r>
            <w:r w:rsidRPr="004D0DAA">
              <w:rPr>
                <w:b/>
                <w:lang w:eastAsia="en-US"/>
              </w:rPr>
              <w:t xml:space="preserve"> NSR_MEAN_BEP</w:t>
            </w:r>
            <w:r w:rsidRPr="004D0DAA">
              <w:rPr>
                <w:lang w:eastAsia="en-US"/>
              </w:rPr>
              <w:t xml:space="preserve"> : bit (5) &gt;</w:t>
            </w:r>
          </w:p>
          <w:p w14:paraId="28D6C005"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r>
            <w:r w:rsidRPr="004D0DAA">
              <w:rPr>
                <w:lang w:eastAsia="en-US"/>
              </w:rPr>
              <w:tab/>
              <w:t xml:space="preserve">&lt; </w:t>
            </w:r>
            <w:r w:rsidRPr="004D0DAA">
              <w:rPr>
                <w:b/>
                <w:lang w:eastAsia="en-US"/>
              </w:rPr>
              <w:t>16QAM</w:t>
            </w:r>
            <w:r w:rsidRPr="004D0DAA">
              <w:rPr>
                <w:lang w:eastAsia="en-US"/>
              </w:rPr>
              <w:t>_</w:t>
            </w:r>
            <w:r w:rsidRPr="004D0DAA">
              <w:rPr>
                <w:b/>
                <w:lang w:eastAsia="en-US"/>
              </w:rPr>
              <w:t xml:space="preserve"> NSR_CV_BEP</w:t>
            </w:r>
            <w:r w:rsidRPr="004D0DAA">
              <w:rPr>
                <w:lang w:eastAsia="en-US"/>
              </w:rPr>
              <w:t xml:space="preserve"> : bit (3) &gt; }</w:t>
            </w:r>
          </w:p>
          <w:p w14:paraId="51915562"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 xml:space="preserve">&lt; </w:t>
            </w:r>
            <w:r w:rsidRPr="004D0DAA">
              <w:rPr>
                <w:b/>
                <w:lang w:eastAsia="en-US"/>
              </w:rPr>
              <w:t>32QAM</w:t>
            </w:r>
            <w:r w:rsidRPr="004D0DAA">
              <w:rPr>
                <w:lang w:eastAsia="en-US"/>
              </w:rPr>
              <w:t>_</w:t>
            </w:r>
            <w:r w:rsidRPr="004D0DAA">
              <w:rPr>
                <w:b/>
                <w:lang w:eastAsia="en-US"/>
              </w:rPr>
              <w:t xml:space="preserve"> NSR_MEAN_BEP</w:t>
            </w:r>
            <w:r w:rsidRPr="004D0DAA">
              <w:rPr>
                <w:lang w:eastAsia="en-US"/>
              </w:rPr>
              <w:t xml:space="preserve"> : bit (5) &gt;</w:t>
            </w:r>
          </w:p>
          <w:p w14:paraId="4F857B13" w14:textId="77777777" w:rsidR="00711444" w:rsidRPr="004D0DAA" w:rsidRDefault="00711444" w:rsidP="00AA2A4C">
            <w:pPr>
              <w:pStyle w:val="TAL"/>
              <w:rPr>
                <w:lang w:val="sv-SE"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val="sv-SE" w:eastAsia="en-US"/>
              </w:rPr>
              <w:t xml:space="preserve">&lt; </w:t>
            </w:r>
            <w:r w:rsidRPr="004D0DAA">
              <w:rPr>
                <w:b/>
                <w:lang w:val="sv-SE" w:eastAsia="en-US"/>
              </w:rPr>
              <w:t>32QAM</w:t>
            </w:r>
            <w:r w:rsidRPr="004D0DAA">
              <w:rPr>
                <w:lang w:val="sv-SE" w:eastAsia="en-US"/>
              </w:rPr>
              <w:t>_</w:t>
            </w:r>
            <w:r w:rsidRPr="004D0DAA">
              <w:rPr>
                <w:b/>
                <w:lang w:val="sv-SE" w:eastAsia="en-US"/>
              </w:rPr>
              <w:t xml:space="preserve"> NSR_CV_BEP</w:t>
            </w:r>
            <w:r w:rsidRPr="004D0DAA">
              <w:rPr>
                <w:lang w:val="sv-SE" w:eastAsia="en-US"/>
              </w:rPr>
              <w:t xml:space="preserve"> : bit (3) &gt; }</w:t>
            </w:r>
          </w:p>
          <w:p w14:paraId="4ECF6603" w14:textId="77777777" w:rsidR="00711444" w:rsidRPr="004D0DAA" w:rsidRDefault="00711444" w:rsidP="00AA2A4C">
            <w:pPr>
              <w:keepNext/>
              <w:keepLines/>
              <w:spacing w:after="0"/>
              <w:rPr>
                <w:rFonts w:ascii="Arial" w:hAnsi="Arial"/>
                <w:sz w:val="18"/>
                <w:lang w:eastAsia="zh-CN"/>
              </w:rPr>
            </w:pPr>
            <w:r w:rsidRPr="004D0DAA">
              <w:rPr>
                <w:rFonts w:ascii="Arial" w:hAnsi="Arial"/>
                <w:sz w:val="18"/>
                <w:lang w:val="sv-SE"/>
              </w:rPr>
              <w:tab/>
            </w:r>
            <w:r w:rsidRPr="004D0DAA">
              <w:rPr>
                <w:rFonts w:ascii="Arial" w:hAnsi="Arial"/>
                <w:sz w:val="18"/>
              </w:rPr>
              <w:t>};</w:t>
            </w:r>
            <w:r w:rsidRPr="004D0DAA">
              <w:rPr>
                <w:rFonts w:ascii="Arial" w:hAnsi="Arial" w:hint="eastAsia"/>
                <w:sz w:val="18"/>
                <w:lang w:eastAsia="zh-CN"/>
              </w:rPr>
              <w:tab/>
            </w:r>
          </w:p>
          <w:p w14:paraId="05896054" w14:textId="77777777" w:rsidR="00711444" w:rsidRPr="004D0DAA" w:rsidRDefault="00711444" w:rsidP="00AA2A4C">
            <w:pPr>
              <w:pStyle w:val="TAL"/>
              <w:rPr>
                <w:lang w:eastAsia="en-US"/>
              </w:rPr>
            </w:pPr>
          </w:p>
          <w:p w14:paraId="024124D3" w14:textId="77777777" w:rsidR="00711444" w:rsidRPr="004D0DAA" w:rsidRDefault="00711444" w:rsidP="00AA2A4C">
            <w:pPr>
              <w:pStyle w:val="TAL"/>
              <w:rPr>
                <w:lang w:eastAsia="en-US"/>
              </w:rPr>
            </w:pPr>
            <w:r w:rsidRPr="004D0DAA">
              <w:rPr>
                <w:lang w:eastAsia="en-US"/>
              </w:rPr>
              <w:t>&lt; DLMC BEP Measurements Struct &gt; ::=</w:t>
            </w:r>
          </w:p>
          <w:p w14:paraId="182E6FDF" w14:textId="77777777" w:rsidR="00711444" w:rsidRPr="004D0DAA" w:rsidRDefault="00711444" w:rsidP="00AA2A4C">
            <w:pPr>
              <w:pStyle w:val="TAL"/>
              <w:rPr>
                <w:rFonts w:hint="eastAsia"/>
                <w:lang w:eastAsia="ko-KR"/>
              </w:rPr>
            </w:pPr>
            <w:r w:rsidRPr="004D0DAA">
              <w:rPr>
                <w:lang w:eastAsia="en-US"/>
              </w:rPr>
              <w:tab/>
              <w:t xml:space="preserve">{ 0 </w:t>
            </w:r>
          </w:p>
          <w:p w14:paraId="488680DA"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6B09F692"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MEAN_BEP_TN0</w:t>
            </w:r>
            <w:r w:rsidRPr="004D0DAA">
              <w:rPr>
                <w:lang w:eastAsia="en-US"/>
              </w:rPr>
              <w:t xml:space="preserve"> : bit (4) &gt;</w:t>
            </w:r>
          </w:p>
          <w:p w14:paraId="784534E6" w14:textId="77777777" w:rsidR="00711444" w:rsidRPr="004D0DAA" w:rsidRDefault="00711444" w:rsidP="00AA2A4C">
            <w:pPr>
              <w:pStyle w:val="TAL"/>
              <w:rPr>
                <w:lang w:eastAsia="ko-KR"/>
              </w:rPr>
            </w:pPr>
            <w:r w:rsidRPr="004D0DAA">
              <w:rPr>
                <w:lang w:eastAsia="en-US"/>
              </w:rPr>
              <w:tab/>
              <w:t>}</w:t>
            </w:r>
          </w:p>
          <w:p w14:paraId="120B511F" w14:textId="77777777" w:rsidR="00711444" w:rsidRPr="004D0DAA" w:rsidRDefault="00711444" w:rsidP="00AA2A4C">
            <w:pPr>
              <w:pStyle w:val="TAL"/>
              <w:rPr>
                <w:rFonts w:hint="eastAsia"/>
                <w:lang w:eastAsia="ko-KR"/>
              </w:rPr>
            </w:pPr>
            <w:r w:rsidRPr="004D0DAA">
              <w:rPr>
                <w:lang w:eastAsia="en-US"/>
              </w:rPr>
              <w:tab/>
              <w:t xml:space="preserve">{ 0 </w:t>
            </w:r>
          </w:p>
          <w:p w14:paraId="5733C596"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782FF596"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1</w:t>
            </w:r>
            <w:r w:rsidRPr="004D0DAA">
              <w:rPr>
                <w:lang w:eastAsia="en-US"/>
              </w:rPr>
              <w:t xml:space="preserve"> : bit (4) &gt;</w:t>
            </w:r>
          </w:p>
          <w:p w14:paraId="62ED837C" w14:textId="77777777" w:rsidR="00711444" w:rsidRPr="004D0DAA" w:rsidRDefault="00711444" w:rsidP="00AA2A4C">
            <w:pPr>
              <w:pStyle w:val="TAL"/>
              <w:rPr>
                <w:lang w:eastAsia="ko-KR"/>
              </w:rPr>
            </w:pPr>
            <w:r w:rsidRPr="004D0DAA">
              <w:rPr>
                <w:lang w:eastAsia="en-US"/>
              </w:rPr>
              <w:tab/>
              <w:t>}</w:t>
            </w:r>
          </w:p>
          <w:p w14:paraId="4CDA1FF6" w14:textId="77777777" w:rsidR="00711444" w:rsidRPr="004D0DAA" w:rsidRDefault="00711444" w:rsidP="00AA2A4C">
            <w:pPr>
              <w:pStyle w:val="TAL"/>
              <w:rPr>
                <w:rFonts w:hint="eastAsia"/>
                <w:lang w:eastAsia="ko-KR"/>
              </w:rPr>
            </w:pPr>
            <w:r w:rsidRPr="004D0DAA">
              <w:rPr>
                <w:lang w:eastAsia="en-US"/>
              </w:rPr>
              <w:tab/>
              <w:t xml:space="preserve">{ 0 </w:t>
            </w:r>
          </w:p>
          <w:p w14:paraId="6708FA21"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5E70B50E"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2</w:t>
            </w:r>
            <w:r w:rsidRPr="004D0DAA">
              <w:rPr>
                <w:lang w:eastAsia="en-US"/>
              </w:rPr>
              <w:t xml:space="preserve"> : bit (4) &gt;</w:t>
            </w:r>
          </w:p>
          <w:p w14:paraId="24DEB799" w14:textId="77777777" w:rsidR="00711444" w:rsidRPr="004D0DAA" w:rsidRDefault="00711444" w:rsidP="00AA2A4C">
            <w:pPr>
              <w:pStyle w:val="TAL"/>
              <w:rPr>
                <w:lang w:eastAsia="ko-KR"/>
              </w:rPr>
            </w:pPr>
            <w:r w:rsidRPr="004D0DAA">
              <w:rPr>
                <w:lang w:eastAsia="en-US"/>
              </w:rPr>
              <w:tab/>
              <w:t>}</w:t>
            </w:r>
          </w:p>
          <w:p w14:paraId="0F363670" w14:textId="77777777" w:rsidR="00711444" w:rsidRPr="004D0DAA" w:rsidRDefault="00711444" w:rsidP="00AA2A4C">
            <w:pPr>
              <w:pStyle w:val="TAL"/>
              <w:rPr>
                <w:rFonts w:hint="eastAsia"/>
                <w:lang w:eastAsia="ko-KR"/>
              </w:rPr>
            </w:pPr>
            <w:r w:rsidRPr="004D0DAA">
              <w:rPr>
                <w:lang w:eastAsia="en-US"/>
              </w:rPr>
              <w:tab/>
              <w:t xml:space="preserve">{ 0 </w:t>
            </w:r>
          </w:p>
          <w:p w14:paraId="2DD30F9A"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150A412B"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3</w:t>
            </w:r>
            <w:r w:rsidRPr="004D0DAA">
              <w:rPr>
                <w:lang w:eastAsia="en-US"/>
              </w:rPr>
              <w:t xml:space="preserve"> : bit (4) &gt;</w:t>
            </w:r>
          </w:p>
          <w:p w14:paraId="4572C744" w14:textId="77777777" w:rsidR="00711444" w:rsidRPr="004D0DAA" w:rsidRDefault="00711444" w:rsidP="00AA2A4C">
            <w:pPr>
              <w:pStyle w:val="TAL"/>
              <w:rPr>
                <w:lang w:eastAsia="ko-KR"/>
              </w:rPr>
            </w:pPr>
            <w:r w:rsidRPr="004D0DAA">
              <w:rPr>
                <w:lang w:eastAsia="en-US"/>
              </w:rPr>
              <w:tab/>
              <w:t>}</w:t>
            </w:r>
          </w:p>
          <w:p w14:paraId="5F5361D4" w14:textId="77777777" w:rsidR="00711444" w:rsidRPr="004D0DAA" w:rsidRDefault="00711444" w:rsidP="00AA2A4C">
            <w:pPr>
              <w:pStyle w:val="TAL"/>
              <w:rPr>
                <w:rFonts w:hint="eastAsia"/>
                <w:lang w:eastAsia="ko-KR"/>
              </w:rPr>
            </w:pPr>
            <w:r w:rsidRPr="004D0DAA">
              <w:rPr>
                <w:lang w:eastAsia="en-US"/>
              </w:rPr>
              <w:tab/>
              <w:t xml:space="preserve">{ 0 </w:t>
            </w:r>
          </w:p>
          <w:p w14:paraId="1CDCF1F6"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633B2C14"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4</w:t>
            </w:r>
            <w:r w:rsidRPr="004D0DAA">
              <w:rPr>
                <w:lang w:eastAsia="en-US"/>
              </w:rPr>
              <w:t xml:space="preserve"> : bit (4) &gt;</w:t>
            </w:r>
          </w:p>
          <w:p w14:paraId="7016E091" w14:textId="77777777" w:rsidR="00711444" w:rsidRPr="004D0DAA" w:rsidRDefault="00711444" w:rsidP="00AA2A4C">
            <w:pPr>
              <w:pStyle w:val="TAL"/>
              <w:rPr>
                <w:lang w:eastAsia="ko-KR"/>
              </w:rPr>
            </w:pPr>
            <w:r w:rsidRPr="004D0DAA">
              <w:rPr>
                <w:lang w:eastAsia="en-US"/>
              </w:rPr>
              <w:tab/>
              <w:t>}</w:t>
            </w:r>
          </w:p>
          <w:p w14:paraId="38B20AB2" w14:textId="77777777" w:rsidR="00711444" w:rsidRPr="004D0DAA" w:rsidRDefault="00711444" w:rsidP="00AA2A4C">
            <w:pPr>
              <w:pStyle w:val="TAL"/>
              <w:rPr>
                <w:rFonts w:hint="eastAsia"/>
                <w:lang w:eastAsia="ko-KR"/>
              </w:rPr>
            </w:pPr>
            <w:r w:rsidRPr="004D0DAA">
              <w:rPr>
                <w:lang w:eastAsia="en-US"/>
              </w:rPr>
              <w:tab/>
              <w:t xml:space="preserve">{ 0 </w:t>
            </w:r>
          </w:p>
          <w:p w14:paraId="2151176C"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3EFC4C06"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5</w:t>
            </w:r>
            <w:r w:rsidRPr="004D0DAA">
              <w:rPr>
                <w:lang w:eastAsia="en-US"/>
              </w:rPr>
              <w:t xml:space="preserve"> : bit (4) &gt;</w:t>
            </w:r>
          </w:p>
          <w:p w14:paraId="6FFD4816" w14:textId="77777777" w:rsidR="00711444" w:rsidRPr="004D0DAA" w:rsidRDefault="00711444" w:rsidP="00AA2A4C">
            <w:pPr>
              <w:pStyle w:val="TAL"/>
              <w:rPr>
                <w:lang w:eastAsia="ko-KR"/>
              </w:rPr>
            </w:pPr>
            <w:r w:rsidRPr="004D0DAA">
              <w:rPr>
                <w:lang w:eastAsia="en-US"/>
              </w:rPr>
              <w:tab/>
              <w:t>}</w:t>
            </w:r>
          </w:p>
          <w:p w14:paraId="62C35FE3" w14:textId="77777777" w:rsidR="00711444" w:rsidRPr="004D0DAA" w:rsidRDefault="00711444" w:rsidP="00AA2A4C">
            <w:pPr>
              <w:pStyle w:val="TAL"/>
              <w:rPr>
                <w:rFonts w:hint="eastAsia"/>
                <w:lang w:eastAsia="ko-KR"/>
              </w:rPr>
            </w:pPr>
            <w:r w:rsidRPr="004D0DAA">
              <w:rPr>
                <w:lang w:eastAsia="en-US"/>
              </w:rPr>
              <w:tab/>
              <w:t xml:space="preserve">{ 0 </w:t>
            </w:r>
          </w:p>
          <w:p w14:paraId="7C4276E1"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1CD799C4"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6</w:t>
            </w:r>
            <w:r w:rsidRPr="004D0DAA">
              <w:rPr>
                <w:lang w:eastAsia="en-US"/>
              </w:rPr>
              <w:t xml:space="preserve"> : bit (4) &gt;</w:t>
            </w:r>
          </w:p>
          <w:p w14:paraId="1632A9C8" w14:textId="77777777" w:rsidR="00711444" w:rsidRPr="004D0DAA" w:rsidRDefault="00711444" w:rsidP="00AA2A4C">
            <w:pPr>
              <w:pStyle w:val="TAL"/>
              <w:rPr>
                <w:lang w:eastAsia="ko-KR"/>
              </w:rPr>
            </w:pPr>
            <w:r w:rsidRPr="004D0DAA">
              <w:rPr>
                <w:lang w:eastAsia="en-US"/>
              </w:rPr>
              <w:tab/>
              <w:t>}</w:t>
            </w:r>
          </w:p>
          <w:p w14:paraId="30A80C43" w14:textId="77777777" w:rsidR="00711444" w:rsidRPr="004D0DAA" w:rsidRDefault="00711444" w:rsidP="00AA2A4C">
            <w:pPr>
              <w:pStyle w:val="TAL"/>
              <w:rPr>
                <w:rFonts w:hint="eastAsia"/>
                <w:lang w:eastAsia="ko-KR"/>
              </w:rPr>
            </w:pPr>
            <w:r w:rsidRPr="004D0DAA">
              <w:rPr>
                <w:lang w:eastAsia="en-US"/>
              </w:rPr>
              <w:tab/>
              <w:t xml:space="preserve">{ 0 </w:t>
            </w:r>
          </w:p>
          <w:p w14:paraId="39EB3F6E" w14:textId="77777777" w:rsidR="00711444" w:rsidRPr="004D0DAA" w:rsidRDefault="00711444" w:rsidP="00AA2A4C">
            <w:pPr>
              <w:pStyle w:val="TAL"/>
              <w:rPr>
                <w:lang w:eastAsia="en-US"/>
              </w:rPr>
            </w:pPr>
            <w:r w:rsidRPr="004D0DAA">
              <w:rPr>
                <w:lang w:eastAsia="en-US"/>
              </w:rPr>
              <w:tab/>
              <w:t>| 1</w:t>
            </w:r>
            <w:r w:rsidRPr="004D0DAA">
              <w:rPr>
                <w:rFonts w:hint="eastAsia"/>
                <w:lang w:eastAsia="ko-KR"/>
              </w:rPr>
              <w:t xml:space="preserve"> </w:t>
            </w:r>
            <w:r w:rsidRPr="004D0DAA">
              <w:rPr>
                <w:lang w:eastAsia="en-US"/>
              </w:rPr>
              <w:t>&lt;</w:t>
            </w:r>
            <w:r w:rsidRPr="004D0DAA">
              <w:rPr>
                <w:rFonts w:hint="eastAsia"/>
                <w:b/>
                <w:lang w:eastAsia="ko-KR"/>
              </w:rPr>
              <w:t xml:space="preserve"> REPORTED_MODULATION</w:t>
            </w:r>
            <w:r w:rsidRPr="004D0DAA">
              <w:rPr>
                <w:lang w:eastAsia="en-US"/>
              </w:rPr>
              <w:t xml:space="preserve"> : bit (</w:t>
            </w:r>
            <w:r w:rsidRPr="004D0DAA">
              <w:rPr>
                <w:rFonts w:hint="eastAsia"/>
                <w:lang w:eastAsia="ko-KR"/>
              </w:rPr>
              <w:t>2</w:t>
            </w:r>
            <w:r w:rsidRPr="004D0DAA">
              <w:rPr>
                <w:lang w:eastAsia="en-US"/>
              </w:rPr>
              <w:t>) &gt;</w:t>
            </w:r>
            <w:r w:rsidRPr="004D0DAA">
              <w:rPr>
                <w:rFonts w:hint="eastAsia"/>
                <w:lang w:eastAsia="ko-KR"/>
              </w:rPr>
              <w:t xml:space="preserve"> </w:t>
            </w:r>
          </w:p>
          <w:p w14:paraId="10ED37AE" w14:textId="77777777" w:rsidR="00711444" w:rsidRPr="004D0DAA" w:rsidRDefault="00711444" w:rsidP="00AA2A4C">
            <w:pPr>
              <w:pStyle w:val="TAL"/>
              <w:rPr>
                <w:rFonts w:hint="eastAsia"/>
                <w:lang w:eastAsia="ko-KR"/>
              </w:rPr>
            </w:pPr>
            <w:r w:rsidRPr="004D0DAA">
              <w:rPr>
                <w:lang w:eastAsia="en-US"/>
              </w:rPr>
              <w:tab/>
            </w:r>
            <w:r w:rsidRPr="004D0DAA">
              <w:rPr>
                <w:lang w:eastAsia="ko-KR"/>
              </w:rPr>
              <w:tab/>
            </w:r>
            <w:r w:rsidRPr="004D0DAA">
              <w:rPr>
                <w:rFonts w:hint="eastAsia"/>
                <w:lang w:eastAsia="ko-KR"/>
              </w:rPr>
              <w:t>&lt;</w:t>
            </w:r>
            <w:r w:rsidRPr="004D0DAA">
              <w:rPr>
                <w:b/>
                <w:lang w:eastAsia="en-US"/>
              </w:rPr>
              <w:t>MEAN_BEP_TN</w:t>
            </w:r>
            <w:r w:rsidRPr="004D0DAA">
              <w:rPr>
                <w:rFonts w:hint="eastAsia"/>
                <w:b/>
                <w:lang w:eastAsia="ko-KR"/>
              </w:rPr>
              <w:t>7</w:t>
            </w:r>
            <w:r w:rsidRPr="004D0DAA">
              <w:rPr>
                <w:lang w:eastAsia="en-US"/>
              </w:rPr>
              <w:t xml:space="preserve"> : bit (4) &gt;</w:t>
            </w:r>
          </w:p>
          <w:p w14:paraId="777DC415" w14:textId="77777777" w:rsidR="00711444" w:rsidRPr="004D0DAA" w:rsidRDefault="00711444" w:rsidP="00AA2A4C">
            <w:pPr>
              <w:pStyle w:val="TAL"/>
              <w:rPr>
                <w:rFonts w:hint="eastAsia"/>
                <w:lang w:eastAsia="ko-KR"/>
              </w:rPr>
            </w:pPr>
            <w:r w:rsidRPr="004D0DAA">
              <w:rPr>
                <w:lang w:eastAsia="en-US"/>
              </w:rPr>
              <w:tab/>
              <w:t>};</w:t>
            </w:r>
          </w:p>
          <w:p w14:paraId="2ED84A79" w14:textId="77777777" w:rsidR="00711444" w:rsidRPr="004D0DAA" w:rsidRDefault="00711444" w:rsidP="00AA2A4C">
            <w:pPr>
              <w:pStyle w:val="TAL"/>
              <w:rPr>
                <w:lang w:eastAsia="en-US"/>
              </w:rPr>
            </w:pPr>
          </w:p>
          <w:p w14:paraId="3AADCCB7" w14:textId="77777777" w:rsidR="00711444" w:rsidRPr="004D0DAA" w:rsidRDefault="00711444" w:rsidP="00AA2A4C">
            <w:pPr>
              <w:pStyle w:val="TAL"/>
              <w:rPr>
                <w:lang w:eastAsia="en-US"/>
              </w:rPr>
            </w:pPr>
          </w:p>
          <w:p w14:paraId="38934A45" w14:textId="77777777" w:rsidR="00711444" w:rsidRPr="004D0DAA" w:rsidRDefault="00711444" w:rsidP="00AA2A4C">
            <w:pPr>
              <w:pStyle w:val="TAL"/>
              <w:rPr>
                <w:lang w:eastAsia="en-US"/>
              </w:rPr>
            </w:pPr>
          </w:p>
        </w:tc>
      </w:tr>
    </w:tbl>
    <w:p w14:paraId="4006825B" w14:textId="77777777" w:rsidR="00711444" w:rsidRPr="004D0DAA" w:rsidRDefault="00711444" w:rsidP="00711444">
      <w:pPr>
        <w:ind w:right="1"/>
      </w:pPr>
    </w:p>
    <w:p w14:paraId="54C3A61D" w14:textId="77777777" w:rsidR="00711444" w:rsidRPr="004D0DAA" w:rsidRDefault="00711444" w:rsidP="00711444">
      <w:pPr>
        <w:pStyle w:val="TH"/>
      </w:pPr>
      <w:r w:rsidRPr="004D0DAA">
        <w:lastRenderedPageBreak/>
        <w:t>Table 12.66.2: DLMC Channel Quality Report information element details</w:t>
      </w:r>
    </w:p>
    <w:tbl>
      <w:tblPr>
        <w:tblW w:w="984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9848"/>
        <w:tblGridChange w:id="863">
          <w:tblGrid>
            <w:gridCol w:w="9848"/>
          </w:tblGrid>
        </w:tblGridChange>
      </w:tblGrid>
      <w:tr w:rsidR="00711444" w:rsidRPr="004D0DAA" w14:paraId="25B997B0" w14:textId="77777777" w:rsidTr="00AA2A4C">
        <w:tblPrEx>
          <w:tblCellMar>
            <w:top w:w="0" w:type="dxa"/>
            <w:bottom w:w="0" w:type="dxa"/>
          </w:tblCellMar>
        </w:tblPrEx>
        <w:trPr>
          <w:cantSplit/>
          <w:trHeight w:val="113"/>
        </w:trPr>
        <w:tc>
          <w:tcPr>
            <w:tcW w:w="9848" w:type="dxa"/>
          </w:tcPr>
          <w:p w14:paraId="70C88431" w14:textId="77777777" w:rsidR="00711444" w:rsidRPr="004D0DAA" w:rsidRDefault="00711444" w:rsidP="00AA2A4C">
            <w:pPr>
              <w:spacing w:after="0"/>
              <w:rPr>
                <w:b/>
              </w:rPr>
            </w:pPr>
            <w:r w:rsidRPr="004D0DAA">
              <w:rPr>
                <w:b/>
              </w:rPr>
              <w:t>DLMC Interference Measurements</w:t>
            </w:r>
          </w:p>
          <w:p w14:paraId="57844DF3" w14:textId="77777777" w:rsidR="00711444" w:rsidRPr="004D0DAA" w:rsidRDefault="00711444" w:rsidP="00AA2A4C">
            <w:pPr>
              <w:spacing w:after="0"/>
            </w:pPr>
            <w:r w:rsidRPr="004D0DAA">
              <w:t>These information elements provide interference measurement information for a MS in a DLMC configuration. The MS provides this information for the downlink carrier indicated by the assignment message or the lowest numbered downlink carrier if carrier information for interference measurements is not provided by the assignment message.</w:t>
            </w:r>
          </w:p>
          <w:p w14:paraId="09AF50C0" w14:textId="77777777" w:rsidR="00711444" w:rsidRPr="004D0DAA" w:rsidRDefault="00711444" w:rsidP="00AA2A4C">
            <w:pPr>
              <w:spacing w:after="0"/>
              <w:rPr>
                <w:b/>
              </w:rPr>
            </w:pPr>
          </w:p>
        </w:tc>
      </w:tr>
      <w:tr w:rsidR="00711444" w:rsidRPr="004D0DAA" w14:paraId="46860B44" w14:textId="77777777" w:rsidTr="00AA2A4C">
        <w:tblPrEx>
          <w:tblCellMar>
            <w:top w:w="0" w:type="dxa"/>
            <w:bottom w:w="0" w:type="dxa"/>
          </w:tblCellMar>
        </w:tblPrEx>
        <w:trPr>
          <w:cantSplit/>
          <w:trHeight w:val="113"/>
        </w:trPr>
        <w:tc>
          <w:tcPr>
            <w:tcW w:w="9848" w:type="dxa"/>
          </w:tcPr>
          <w:p w14:paraId="5BFD0EC8" w14:textId="77777777" w:rsidR="00711444" w:rsidRPr="004D0DAA" w:rsidRDefault="00711444" w:rsidP="00AA2A4C">
            <w:pPr>
              <w:pStyle w:val="TAL"/>
              <w:rPr>
                <w:b/>
                <w:lang w:eastAsia="en-US"/>
              </w:rPr>
            </w:pPr>
            <w:r w:rsidRPr="004D0DAA">
              <w:rPr>
                <w:b/>
                <w:lang w:eastAsia="en-US"/>
              </w:rPr>
              <w:t>C_VALUE</w:t>
            </w:r>
          </w:p>
          <w:p w14:paraId="162CF250" w14:textId="77777777" w:rsidR="00711444" w:rsidRPr="004D0DAA" w:rsidRDefault="00711444" w:rsidP="00AA2A4C">
            <w:pPr>
              <w:spacing w:after="0"/>
            </w:pPr>
            <w:r w:rsidRPr="004D0DAA">
              <w:t>If the parameter PC_MEAS_CHAN (see sub-clause 12.9) indicates downlink measurements for power control shall be made on BCCH, a single instance of this field shall be reported using BCCH Carrier measurements (see 3GPP TS 45.008 [15] regarding C_VALUE determination). If PC_MEAS_CHAN indicates that the downlink measurements for power control shall be made on PDCH, a single instance of this field shall be reported for the carrier/UFPS</w:t>
            </w:r>
            <w:r w:rsidRPr="004D0DAA">
              <w:rPr>
                <w:rFonts w:cs="Calibri"/>
                <w:bCs/>
                <w:kern w:val="32"/>
                <w:szCs w:val="18"/>
              </w:rPr>
              <w:t xml:space="preserve"> on which the MS was polled</w:t>
            </w:r>
            <w:r w:rsidRPr="004D0DAA">
              <w:t>.</w:t>
            </w:r>
          </w:p>
          <w:p w14:paraId="5558B0DE" w14:textId="77777777" w:rsidR="00711444" w:rsidRPr="004D0DAA" w:rsidRDefault="00711444" w:rsidP="00AA2A4C">
            <w:pPr>
              <w:spacing w:after="0"/>
              <w:rPr>
                <w:b/>
              </w:rPr>
            </w:pPr>
          </w:p>
        </w:tc>
      </w:tr>
      <w:tr w:rsidR="00711444" w:rsidRPr="004D0DAA" w14:paraId="06E3EDC1" w14:textId="77777777" w:rsidTr="00AA2A4C">
        <w:tblPrEx>
          <w:tblCellMar>
            <w:top w:w="0" w:type="dxa"/>
            <w:bottom w:w="0" w:type="dxa"/>
          </w:tblCellMar>
        </w:tblPrEx>
        <w:trPr>
          <w:cantSplit/>
          <w:trHeight w:val="3715"/>
        </w:trPr>
        <w:tc>
          <w:tcPr>
            <w:tcW w:w="9848" w:type="dxa"/>
          </w:tcPr>
          <w:p w14:paraId="1F6B08A5" w14:textId="77777777" w:rsidR="00711444" w:rsidRPr="004D0DAA" w:rsidRDefault="00711444" w:rsidP="00AA2A4C">
            <w:pPr>
              <w:spacing w:after="0"/>
              <w:rPr>
                <w:b/>
              </w:rPr>
            </w:pPr>
            <w:r w:rsidRPr="004D0DAA">
              <w:rPr>
                <w:b/>
              </w:rPr>
              <w:t>DLMC BEP Link Quality Measurements</w:t>
            </w:r>
          </w:p>
          <w:p w14:paraId="68376CB8" w14:textId="77777777" w:rsidR="00711444" w:rsidRPr="004D0DAA" w:rsidRDefault="00711444" w:rsidP="00AA2A4C">
            <w:r w:rsidRPr="004D0DAA">
              <w:t xml:space="preserve">If the DLMC Measurement Type field (see sub-clause 11.2.7) in the last received assignment message indicates measurement information is to be reported on a per UFPS basis the measurements are reported starting with the UFPS on which the MS was polled followed by additional higher numbered UFPS (if any) beginning with the next in sequence UFPS. </w:t>
            </w:r>
          </w:p>
          <w:p w14:paraId="3152B353" w14:textId="77777777" w:rsidR="00711444" w:rsidRPr="004D0DAA" w:rsidRDefault="00711444" w:rsidP="00AA2A4C">
            <w:r w:rsidRPr="004D0DAA">
              <w:t xml:space="preserve">If the DLMC Measurement Type field (see sub-clause 11.2.7) in the last received assignment message indicates measurement information is to be reported on a per carrier basis the measurements are reported starting with the carrier on which the MS was polled followed by additional higher numbered carriers (if any) beginning with the next in sequence carrier. </w:t>
            </w:r>
          </w:p>
          <w:p w14:paraId="4CB640E2" w14:textId="77777777" w:rsidR="00711444" w:rsidRPr="004D0DAA" w:rsidRDefault="00711444" w:rsidP="00AA2A4C">
            <w:r w:rsidRPr="004D0DAA">
              <w:t>The number of UFPS/carriers reported is determined by the space available in the reporting message (see sub-clause 9.1.8.2.1). If RLC/MAC blocks have not been received on a given UFPS/carrier since the last reporting period it shall still be listed in but no measurement results shall be included.</w:t>
            </w:r>
          </w:p>
        </w:tc>
      </w:tr>
      <w:tr w:rsidR="00711444" w:rsidRPr="004D0DAA" w14:paraId="02642725" w14:textId="77777777" w:rsidTr="00AA2A4C">
        <w:tblPrEx>
          <w:tblCellMar>
            <w:top w:w="0" w:type="dxa"/>
            <w:bottom w:w="0" w:type="dxa"/>
          </w:tblCellMar>
        </w:tblPrEx>
        <w:trPr>
          <w:cantSplit/>
          <w:trHeight w:val="113"/>
        </w:trPr>
        <w:tc>
          <w:tcPr>
            <w:tcW w:w="9848" w:type="dxa"/>
          </w:tcPr>
          <w:p w14:paraId="7124BBCF" w14:textId="77777777" w:rsidR="00711444" w:rsidRPr="004D0DAA" w:rsidRDefault="00711444" w:rsidP="00AA2A4C">
            <w:pPr>
              <w:spacing w:after="0"/>
            </w:pPr>
            <w:r w:rsidRPr="004D0DAA">
              <w:rPr>
                <w:b/>
              </w:rPr>
              <w:t>DLMC BEP_MEASUREMENTS</w:t>
            </w:r>
          </w:p>
          <w:p w14:paraId="2945E4F8" w14:textId="77777777" w:rsidR="00711444" w:rsidRPr="004D0DAA" w:rsidRDefault="00711444" w:rsidP="00AA2A4C">
            <w:pPr>
              <w:spacing w:after="0"/>
              <w:rPr>
                <w:lang w:eastAsia="ko-KR"/>
              </w:rPr>
            </w:pPr>
            <w:r w:rsidRPr="004D0DAA">
              <w:t xml:space="preserve">This field is included when the DLMC Measurement Type field (see sub-clause 11.2.7) in the last received assignment message indicates measurement information is to be reported on a per carrier basis and the  LINK_QUALITY_MEASUREMNT_MODE field (see sub-clause 11.2.7) received in the same assignment message indicates the </w:t>
            </w:r>
            <w:r w:rsidRPr="004D0DAA">
              <w:rPr>
                <w:rFonts w:hint="eastAsia"/>
                <w:lang w:eastAsia="ko-KR"/>
              </w:rPr>
              <w:t>mobile station</w:t>
            </w:r>
            <w:r w:rsidRPr="004D0DAA">
              <w:t xml:space="preserve"> shall report </w:t>
            </w:r>
            <w:r w:rsidRPr="004D0DAA">
              <w:rPr>
                <w:rFonts w:hint="eastAsia"/>
                <w:lang w:eastAsia="ko-KR"/>
              </w:rPr>
              <w:t xml:space="preserve">the </w:t>
            </w:r>
            <w:r w:rsidRPr="004D0DAA">
              <w:t xml:space="preserve">mean BEP on each assigned time slot. When included </w:t>
            </w:r>
            <w:r w:rsidRPr="004D0DAA">
              <w:rPr>
                <w:lang w:eastAsia="zh-CN"/>
              </w:rPr>
              <w:t xml:space="preserve">it only provides information </w:t>
            </w:r>
            <w:r w:rsidRPr="004D0DAA">
              <w:t>for each timeslot assigned to the carrier on which the MS was polled.</w:t>
            </w:r>
          </w:p>
          <w:p w14:paraId="796DBFCD" w14:textId="77777777" w:rsidR="00711444" w:rsidRPr="004D0DAA" w:rsidRDefault="00711444" w:rsidP="00AA2A4C">
            <w:pPr>
              <w:spacing w:after="0"/>
              <w:rPr>
                <w:b/>
              </w:rPr>
            </w:pPr>
          </w:p>
        </w:tc>
      </w:tr>
      <w:tr w:rsidR="00711444" w:rsidRPr="004D0DAA" w14:paraId="5C751789" w14:textId="77777777" w:rsidTr="00AA2A4C">
        <w:tblPrEx>
          <w:tblCellMar>
            <w:top w:w="0" w:type="dxa"/>
            <w:bottom w:w="0" w:type="dxa"/>
          </w:tblCellMar>
        </w:tblPrEx>
        <w:trPr>
          <w:cantSplit/>
          <w:trHeight w:val="113"/>
        </w:trPr>
        <w:tc>
          <w:tcPr>
            <w:tcW w:w="9848" w:type="dxa"/>
          </w:tcPr>
          <w:p w14:paraId="573E59BB" w14:textId="77777777" w:rsidR="00711444" w:rsidRPr="004D0DAA" w:rsidRDefault="00711444" w:rsidP="00AA2A4C">
            <w:pPr>
              <w:spacing w:after="0"/>
            </w:pPr>
            <w:r w:rsidRPr="004D0DAA">
              <w:rPr>
                <w:b/>
              </w:rPr>
              <w:t>I_LEVEL_TN0</w:t>
            </w:r>
            <w:r w:rsidRPr="004D0DAA">
              <w:t xml:space="preserve"> (4 bit field)</w:t>
            </w:r>
          </w:p>
          <w:p w14:paraId="0E0549FC" w14:textId="77777777" w:rsidR="00711444" w:rsidRPr="004D0DAA" w:rsidRDefault="00711444" w:rsidP="00AA2A4C">
            <w:pPr>
              <w:spacing w:after="0"/>
            </w:pPr>
            <w:r w:rsidRPr="004D0DAA">
              <w:rPr>
                <w:b/>
              </w:rPr>
              <w:t>I_LEVEL_TN1</w:t>
            </w:r>
            <w:r w:rsidRPr="004D0DAA">
              <w:t xml:space="preserve"> (4 bit field)</w:t>
            </w:r>
          </w:p>
          <w:p w14:paraId="7BF3F401" w14:textId="77777777" w:rsidR="00711444" w:rsidRPr="004D0DAA" w:rsidRDefault="00711444" w:rsidP="00AA2A4C">
            <w:pPr>
              <w:spacing w:after="0"/>
            </w:pPr>
            <w:r w:rsidRPr="004D0DAA">
              <w:rPr>
                <w:b/>
              </w:rPr>
              <w:t>I_LEVEL_TN2</w:t>
            </w:r>
            <w:r w:rsidRPr="004D0DAA">
              <w:t xml:space="preserve"> (4 bit field)</w:t>
            </w:r>
          </w:p>
          <w:p w14:paraId="58E4B1B0" w14:textId="77777777" w:rsidR="00711444" w:rsidRPr="004D0DAA" w:rsidRDefault="00711444" w:rsidP="00AA2A4C">
            <w:pPr>
              <w:spacing w:after="0"/>
            </w:pPr>
            <w:r w:rsidRPr="004D0DAA">
              <w:rPr>
                <w:b/>
              </w:rPr>
              <w:t>I_LEVEL_TN3</w:t>
            </w:r>
            <w:r w:rsidRPr="004D0DAA">
              <w:t xml:space="preserve"> (4 bit field)</w:t>
            </w:r>
          </w:p>
          <w:p w14:paraId="5881995C" w14:textId="77777777" w:rsidR="00711444" w:rsidRPr="004D0DAA" w:rsidRDefault="00711444" w:rsidP="00AA2A4C">
            <w:pPr>
              <w:spacing w:after="0"/>
            </w:pPr>
            <w:r w:rsidRPr="004D0DAA">
              <w:rPr>
                <w:b/>
              </w:rPr>
              <w:t>I_LEVEL_TN4</w:t>
            </w:r>
            <w:r w:rsidRPr="004D0DAA">
              <w:t xml:space="preserve"> (4 bit field)</w:t>
            </w:r>
          </w:p>
          <w:p w14:paraId="7EE531E3" w14:textId="77777777" w:rsidR="00711444" w:rsidRPr="004D0DAA" w:rsidRDefault="00711444" w:rsidP="00AA2A4C">
            <w:pPr>
              <w:spacing w:after="0"/>
            </w:pPr>
            <w:r w:rsidRPr="004D0DAA">
              <w:rPr>
                <w:b/>
              </w:rPr>
              <w:t>I_LEVEL_TN5</w:t>
            </w:r>
            <w:r w:rsidRPr="004D0DAA">
              <w:t xml:space="preserve"> (4 bit field)</w:t>
            </w:r>
          </w:p>
          <w:p w14:paraId="39B7DF01" w14:textId="77777777" w:rsidR="00711444" w:rsidRPr="004D0DAA" w:rsidRDefault="00711444" w:rsidP="00AA2A4C">
            <w:pPr>
              <w:spacing w:after="0"/>
            </w:pPr>
            <w:r w:rsidRPr="004D0DAA">
              <w:rPr>
                <w:b/>
              </w:rPr>
              <w:t>I_LEVEL_TN6</w:t>
            </w:r>
            <w:r w:rsidRPr="004D0DAA">
              <w:t xml:space="preserve"> (4 bit field)</w:t>
            </w:r>
          </w:p>
          <w:p w14:paraId="5DF307D9" w14:textId="77777777" w:rsidR="00711444" w:rsidRPr="004D0DAA" w:rsidRDefault="00711444" w:rsidP="00AA2A4C">
            <w:pPr>
              <w:spacing w:after="0"/>
            </w:pPr>
            <w:r w:rsidRPr="004D0DAA">
              <w:rPr>
                <w:b/>
              </w:rPr>
              <w:t>I_LEVEL_TN7</w:t>
            </w:r>
            <w:r w:rsidRPr="004D0DAA">
              <w:t xml:space="preserve"> (4 bit field)</w:t>
            </w:r>
          </w:p>
          <w:p w14:paraId="4F80EB8B" w14:textId="77777777" w:rsidR="00711444" w:rsidRPr="004D0DAA" w:rsidRDefault="00711444" w:rsidP="00AA2A4C">
            <w:pPr>
              <w:spacing w:after="0"/>
            </w:pPr>
          </w:p>
          <w:p w14:paraId="1FD919ED" w14:textId="77777777" w:rsidR="00711444" w:rsidRPr="004D0DAA" w:rsidRDefault="00711444" w:rsidP="00AA2A4C">
            <w:pPr>
              <w:spacing w:after="0"/>
            </w:pPr>
            <w:r w:rsidRPr="004D0DAA">
              <w:t xml:space="preserve">These fields contain the </w:t>
            </w:r>
            <w:r w:rsidRPr="004D0DAA">
              <w:rPr>
                <w:rFonts w:ascii="Symbol" w:hAnsi="Symbol"/>
              </w:rPr>
              <w:t></w:t>
            </w:r>
            <w:r w:rsidRPr="004D0DAA">
              <w:t xml:space="preserve"> value calculated on timeslots 0 through 7, respectively. The </w:t>
            </w:r>
            <w:r w:rsidRPr="004D0DAA">
              <w:rPr>
                <w:rFonts w:ascii="Symbol" w:hAnsi="Symbol"/>
              </w:rPr>
              <w:t></w:t>
            </w:r>
            <w:r w:rsidRPr="004D0DAA">
              <w:t xml:space="preserve"> value is defined in 3GPP TS 45.008. These fields are encoded relative to the applicable C_VALUE (see C_VALUE field description above) as defined for the mapping defined in 3GPP TS 45.008 [15] for interference level (I_LEVEL):</w:t>
            </w:r>
          </w:p>
          <w:p w14:paraId="66C4582F" w14:textId="77777777" w:rsidR="00711444" w:rsidRPr="004D0DAA" w:rsidRDefault="00711444" w:rsidP="00AA2A4C">
            <w:pPr>
              <w:spacing w:after="0"/>
            </w:pPr>
          </w:p>
          <w:p w14:paraId="15780108" w14:textId="77777777" w:rsidR="00711444" w:rsidRPr="004D0DAA" w:rsidRDefault="00711444" w:rsidP="00AA2A4C">
            <w:pPr>
              <w:tabs>
                <w:tab w:val="left" w:pos="851"/>
              </w:tabs>
              <w:spacing w:after="0"/>
            </w:pPr>
            <w:r w:rsidRPr="004D0DAA">
              <w:t>bit</w:t>
            </w:r>
          </w:p>
          <w:p w14:paraId="37CC5058" w14:textId="77777777" w:rsidR="00711444" w:rsidRPr="004D0DAA" w:rsidRDefault="00711444" w:rsidP="00AA2A4C">
            <w:pPr>
              <w:tabs>
                <w:tab w:val="left" w:pos="851"/>
              </w:tabs>
              <w:spacing w:after="0"/>
            </w:pPr>
            <w:r w:rsidRPr="004D0DAA">
              <w:t>4 3 2 1</w:t>
            </w:r>
          </w:p>
          <w:p w14:paraId="343321E7" w14:textId="77777777" w:rsidR="00711444" w:rsidRPr="004D0DAA" w:rsidRDefault="00711444" w:rsidP="00AA2A4C">
            <w:pPr>
              <w:tabs>
                <w:tab w:val="left" w:pos="851"/>
              </w:tabs>
              <w:spacing w:after="0"/>
            </w:pPr>
            <w:r w:rsidRPr="004D0DAA">
              <w:t>0 0 0 0</w:t>
            </w:r>
            <w:r w:rsidRPr="004D0DAA">
              <w:tab/>
              <w:t>I_LEVEL 0</w:t>
            </w:r>
          </w:p>
          <w:p w14:paraId="28A85DE8" w14:textId="77777777" w:rsidR="00711444" w:rsidRPr="004D0DAA" w:rsidRDefault="00711444" w:rsidP="00AA2A4C">
            <w:pPr>
              <w:tabs>
                <w:tab w:val="left" w:pos="851"/>
              </w:tabs>
              <w:spacing w:after="0"/>
            </w:pPr>
            <w:r w:rsidRPr="004D0DAA">
              <w:t>0 0 0 1</w:t>
            </w:r>
            <w:r w:rsidRPr="004D0DAA">
              <w:tab/>
              <w:t>I_LEVEL 1</w:t>
            </w:r>
          </w:p>
          <w:p w14:paraId="5E274F97" w14:textId="77777777" w:rsidR="00711444" w:rsidRPr="004D0DAA" w:rsidRDefault="00711444" w:rsidP="00AA2A4C">
            <w:pPr>
              <w:tabs>
                <w:tab w:val="left" w:pos="851"/>
              </w:tabs>
              <w:spacing w:after="0"/>
            </w:pPr>
            <w:r w:rsidRPr="004D0DAA">
              <w:t>...</w:t>
            </w:r>
          </w:p>
          <w:p w14:paraId="25254A8B" w14:textId="77777777" w:rsidR="00711444" w:rsidRPr="004D0DAA" w:rsidRDefault="00711444" w:rsidP="00AA2A4C">
            <w:pPr>
              <w:tabs>
                <w:tab w:val="left" w:pos="851"/>
              </w:tabs>
              <w:spacing w:after="0"/>
            </w:pPr>
            <w:r w:rsidRPr="004D0DAA">
              <w:t>1 1 1 0</w:t>
            </w:r>
            <w:r w:rsidRPr="004D0DAA">
              <w:tab/>
              <w:t>I_LEVEL 14</w:t>
            </w:r>
          </w:p>
          <w:p w14:paraId="22A9858C" w14:textId="77777777" w:rsidR="00711444" w:rsidRPr="004D0DAA" w:rsidRDefault="00711444" w:rsidP="00AA2A4C">
            <w:pPr>
              <w:rPr>
                <w:b/>
              </w:rPr>
            </w:pPr>
            <w:r w:rsidRPr="004D0DAA">
              <w:t>1 1 1 1</w:t>
            </w:r>
            <w:r w:rsidRPr="004D0DAA">
              <w:tab/>
              <w:t>I_LEVEL 15</w:t>
            </w:r>
          </w:p>
        </w:tc>
      </w:tr>
      <w:tr w:rsidR="00711444" w:rsidRPr="004D0DAA" w14:paraId="311C99C6" w14:textId="77777777" w:rsidTr="00AA2A4C">
        <w:tblPrEx>
          <w:tblCellMar>
            <w:top w:w="0" w:type="dxa"/>
            <w:bottom w:w="0" w:type="dxa"/>
          </w:tblCellMar>
        </w:tblPrEx>
        <w:trPr>
          <w:cantSplit/>
          <w:trHeight w:val="113"/>
        </w:trPr>
        <w:tc>
          <w:tcPr>
            <w:tcW w:w="9848" w:type="dxa"/>
          </w:tcPr>
          <w:p w14:paraId="1314CE25" w14:textId="77777777" w:rsidR="00711444" w:rsidRPr="004D0DAA" w:rsidRDefault="00711444" w:rsidP="00AA2A4C">
            <w:pPr>
              <w:rPr>
                <w:b/>
              </w:rPr>
            </w:pPr>
            <w:r w:rsidRPr="004D0DAA">
              <w:rPr>
                <w:b/>
              </w:rPr>
              <w:lastRenderedPageBreak/>
              <w:t>GMSK</w:t>
            </w:r>
            <w:r w:rsidRPr="004D0DAA">
              <w:t>_</w:t>
            </w:r>
            <w:r w:rsidRPr="004D0DAA">
              <w:rPr>
                <w:b/>
              </w:rPr>
              <w:t>MEAN_BEP</w:t>
            </w:r>
            <w:r w:rsidRPr="004D0DAA">
              <w:t xml:space="preserve"> (5 bit field)</w:t>
            </w:r>
            <w:r w:rsidRPr="004D0DAA">
              <w:br/>
            </w:r>
            <w:r w:rsidRPr="004D0DAA">
              <w:rPr>
                <w:b/>
              </w:rPr>
              <w:t>8PSK_MEAN_BEP</w:t>
            </w:r>
            <w:r w:rsidRPr="004D0DAA">
              <w:t xml:space="preserve"> (5 bit field)</w:t>
            </w:r>
            <w:r w:rsidRPr="004D0DAA">
              <w:br/>
            </w:r>
            <w:r w:rsidRPr="004D0DAA">
              <w:rPr>
                <w:b/>
              </w:rPr>
              <w:t>16QAM</w:t>
            </w:r>
            <w:r w:rsidRPr="004D0DAA">
              <w:t>_</w:t>
            </w:r>
            <w:r w:rsidRPr="004D0DAA">
              <w:rPr>
                <w:b/>
              </w:rPr>
              <w:t xml:space="preserve"> NSR_MEAN_BEP </w:t>
            </w:r>
            <w:r w:rsidRPr="004D0DAA">
              <w:t xml:space="preserve">(5 bit field) </w:t>
            </w:r>
            <w:r w:rsidRPr="004D0DAA">
              <w:br/>
            </w:r>
            <w:r w:rsidRPr="004D0DAA">
              <w:rPr>
                <w:b/>
                <w:bCs/>
              </w:rPr>
              <w:t>32</w:t>
            </w:r>
            <w:r w:rsidRPr="004D0DAA">
              <w:rPr>
                <w:b/>
              </w:rPr>
              <w:t>QAM</w:t>
            </w:r>
            <w:r w:rsidRPr="004D0DAA">
              <w:t>_</w:t>
            </w:r>
            <w:r w:rsidRPr="004D0DAA">
              <w:rPr>
                <w:b/>
              </w:rPr>
              <w:t xml:space="preserve"> NSR_MEAN_BEP </w:t>
            </w:r>
            <w:r w:rsidRPr="004D0DAA">
              <w:t>(5 bit field)</w:t>
            </w:r>
          </w:p>
          <w:p w14:paraId="20352015" w14:textId="77777777" w:rsidR="00711444" w:rsidRPr="004D0DAA" w:rsidRDefault="00711444" w:rsidP="00AA2A4C">
            <w:pPr>
              <w:rPr>
                <w:b/>
              </w:rPr>
            </w:pPr>
            <w:r w:rsidRPr="004D0DAA">
              <w:t xml:space="preserve">These fields contain the mean value of the Bit Error Probability of the channel averaged over all timeslots in the UFPS for the relevant modulation scheme, refer to 3GPP TS 45.008 [15]. </w:t>
            </w:r>
          </w:p>
        </w:tc>
      </w:tr>
      <w:tr w:rsidR="00711444" w:rsidRPr="004D0DAA" w14:paraId="1CA9EA68" w14:textId="77777777" w:rsidTr="00AA2A4C">
        <w:tblPrEx>
          <w:tblCellMar>
            <w:top w:w="0" w:type="dxa"/>
            <w:bottom w:w="0" w:type="dxa"/>
          </w:tblCellMar>
        </w:tblPrEx>
        <w:trPr>
          <w:cantSplit/>
          <w:trHeight w:val="113"/>
        </w:trPr>
        <w:tc>
          <w:tcPr>
            <w:tcW w:w="9848" w:type="dxa"/>
          </w:tcPr>
          <w:p w14:paraId="31441A18" w14:textId="77777777" w:rsidR="00711444" w:rsidRPr="004D0DAA" w:rsidRDefault="00711444" w:rsidP="00AA2A4C">
            <w:pPr>
              <w:rPr>
                <w:b/>
              </w:rPr>
            </w:pPr>
            <w:r w:rsidRPr="004D0DAA">
              <w:rPr>
                <w:b/>
              </w:rPr>
              <w:t xml:space="preserve">GMSK_CV_BEP </w:t>
            </w:r>
            <w:r w:rsidRPr="004D0DAA">
              <w:t>(3 bit field)</w:t>
            </w:r>
            <w:r w:rsidRPr="004D0DAA">
              <w:br/>
            </w:r>
            <w:r w:rsidRPr="004D0DAA">
              <w:rPr>
                <w:b/>
              </w:rPr>
              <w:t xml:space="preserve">8PSK_CV_BEP </w:t>
            </w:r>
            <w:r w:rsidRPr="004D0DAA">
              <w:t>(3 bit field)</w:t>
            </w:r>
            <w:r w:rsidRPr="004D0DAA">
              <w:br/>
            </w:r>
            <w:r w:rsidRPr="004D0DAA">
              <w:rPr>
                <w:b/>
                <w:bCs/>
              </w:rPr>
              <w:t>16QAM</w:t>
            </w:r>
            <w:r w:rsidRPr="004D0DAA">
              <w:rPr>
                <w:b/>
              </w:rPr>
              <w:t xml:space="preserve">_ NSR_CV_BEP </w:t>
            </w:r>
            <w:r w:rsidRPr="004D0DAA">
              <w:t>(3 bit field)</w:t>
            </w:r>
            <w:r w:rsidRPr="004D0DAA">
              <w:br/>
            </w:r>
            <w:r w:rsidRPr="004D0DAA">
              <w:rPr>
                <w:b/>
                <w:bCs/>
              </w:rPr>
              <w:t>32QAM</w:t>
            </w:r>
            <w:r w:rsidRPr="004D0DAA">
              <w:rPr>
                <w:b/>
              </w:rPr>
              <w:t xml:space="preserve">_ NSR_CV_BEP </w:t>
            </w:r>
            <w:r w:rsidRPr="004D0DAA">
              <w:t>(3 bit field)</w:t>
            </w:r>
            <w:r w:rsidRPr="004D0DAA">
              <w:br/>
            </w:r>
            <w:r w:rsidRPr="004D0DAA">
              <w:br/>
              <w:t>These fields contain the variation coefficient for the Bit Error Probability averaged over all timeslots of the UFPS for the relevant modulation scheme, refer to 3GPP TS 45.008 [15].</w:t>
            </w:r>
            <w:r w:rsidRPr="004D0DAA">
              <w:rPr>
                <w:b/>
              </w:rPr>
              <w:t xml:space="preserve">  </w:t>
            </w:r>
          </w:p>
        </w:tc>
      </w:tr>
      <w:tr w:rsidR="00711444" w:rsidRPr="004D0DAA" w14:paraId="41D2E4F8" w14:textId="77777777" w:rsidTr="00AA2A4C">
        <w:tblPrEx>
          <w:tblCellMar>
            <w:top w:w="0" w:type="dxa"/>
            <w:bottom w:w="0" w:type="dxa"/>
          </w:tblCellMar>
        </w:tblPrEx>
        <w:trPr>
          <w:cantSplit/>
          <w:trHeight w:val="113"/>
        </w:trPr>
        <w:tc>
          <w:tcPr>
            <w:tcW w:w="9848" w:type="dxa"/>
          </w:tcPr>
          <w:p w14:paraId="3D924989" w14:textId="77777777" w:rsidR="00711444" w:rsidRPr="004D0DAA" w:rsidRDefault="00711444" w:rsidP="00AA2A4C">
            <w:pPr>
              <w:rPr>
                <w:b/>
                <w:bCs/>
              </w:rPr>
            </w:pPr>
            <w:r w:rsidRPr="004D0DAA">
              <w:rPr>
                <w:rFonts w:hint="eastAsia"/>
                <w:b/>
                <w:lang w:eastAsia="ko-KR"/>
              </w:rPr>
              <w:t>REPORTED_MODULATION</w:t>
            </w:r>
            <w:r w:rsidRPr="004D0DAA">
              <w:rPr>
                <w:b/>
                <w:bCs/>
              </w:rPr>
              <w:t xml:space="preserve">  </w:t>
            </w:r>
            <w:r w:rsidRPr="004D0DAA">
              <w:t>(</w:t>
            </w:r>
            <w:r w:rsidRPr="004D0DAA">
              <w:rPr>
                <w:rFonts w:hint="eastAsia"/>
                <w:lang w:eastAsia="ko-KR"/>
              </w:rPr>
              <w:t>2</w:t>
            </w:r>
            <w:r w:rsidRPr="004D0DAA">
              <w:t xml:space="preserve"> bit field)</w:t>
            </w:r>
          </w:p>
          <w:p w14:paraId="301BD7A0" w14:textId="77777777" w:rsidR="00711444" w:rsidRPr="004D0DAA" w:rsidRDefault="00711444" w:rsidP="00AA2A4C">
            <w:pPr>
              <w:rPr>
                <w:rFonts w:hint="eastAsia"/>
                <w:lang w:eastAsia="ko-KR"/>
              </w:rPr>
            </w:pPr>
            <w:r w:rsidRPr="004D0DAA">
              <w:t xml:space="preserve">The mobile </w:t>
            </w:r>
            <w:r w:rsidRPr="004D0DAA">
              <w:rPr>
                <w:rFonts w:hint="eastAsia"/>
                <w:lang w:eastAsia="ko-KR"/>
              </w:rPr>
              <w:t xml:space="preserve">station </w:t>
            </w:r>
            <w:r w:rsidRPr="004D0DAA">
              <w:t>shall</w:t>
            </w:r>
            <w:r w:rsidRPr="004D0DAA">
              <w:rPr>
                <w:rFonts w:hint="eastAsia"/>
                <w:lang w:eastAsia="ko-KR"/>
              </w:rPr>
              <w:t xml:space="preserve"> </w:t>
            </w:r>
            <w:r w:rsidRPr="004D0DAA">
              <w:t xml:space="preserve">report the </w:t>
            </w:r>
            <w:r w:rsidRPr="004D0DAA">
              <w:rPr>
                <w:rFonts w:hint="eastAsia"/>
                <w:lang w:eastAsia="ko-KR"/>
              </w:rPr>
              <w:t>modulation scheme (indicated using the REPORTED_MODULATION field) with which it has received the largest number of blocks since the last report and shall report the MEAN_BEP_TNx of that modulation scheme (see 3GPP TS 45.008).</w:t>
            </w:r>
            <w:r w:rsidRPr="004D0DAA">
              <w:t xml:space="preserve"> The mapping of </w:t>
            </w:r>
            <w:r w:rsidRPr="004D0DAA">
              <w:rPr>
                <w:rFonts w:hint="eastAsia"/>
                <w:lang w:eastAsia="ko-KR"/>
              </w:rPr>
              <w:t>the modulation scheme is</w:t>
            </w:r>
            <w:r w:rsidRPr="004D0DAA">
              <w:t xml:space="preserve"> as follows</w:t>
            </w:r>
            <w:r w:rsidRPr="004D0DAA">
              <w:rPr>
                <w:rFonts w:hint="eastAsia"/>
                <w:lang w:eastAsia="ko-KR"/>
              </w:rPr>
              <w:t>.</w:t>
            </w:r>
          </w:p>
          <w:p w14:paraId="372BDA36" w14:textId="77777777" w:rsidR="00711444" w:rsidRPr="004D0DAA" w:rsidRDefault="00711444" w:rsidP="00AA2A4C">
            <w:pPr>
              <w:pStyle w:val="FP"/>
            </w:pPr>
            <w:r w:rsidRPr="004D0DAA">
              <w:t>bit</w:t>
            </w:r>
          </w:p>
          <w:p w14:paraId="285F0F3A" w14:textId="77777777" w:rsidR="00711444" w:rsidRPr="004D0DAA" w:rsidRDefault="00711444" w:rsidP="00AA2A4C">
            <w:pPr>
              <w:pStyle w:val="TAL"/>
              <w:rPr>
                <w:lang w:eastAsia="en-US"/>
              </w:rPr>
            </w:pPr>
            <w:r w:rsidRPr="004D0DAA">
              <w:rPr>
                <w:lang w:eastAsia="en-US"/>
              </w:rPr>
              <w:t>2 1</w:t>
            </w:r>
          </w:p>
          <w:p w14:paraId="61D7F418" w14:textId="77777777" w:rsidR="00711444" w:rsidRPr="004D0DAA" w:rsidRDefault="00711444" w:rsidP="00AA2A4C">
            <w:pPr>
              <w:pStyle w:val="TAL"/>
              <w:rPr>
                <w:lang w:eastAsia="en-US"/>
              </w:rPr>
            </w:pPr>
            <w:r w:rsidRPr="004D0DAA">
              <w:rPr>
                <w:lang w:eastAsia="en-US"/>
              </w:rPr>
              <w:t>0</w:t>
            </w:r>
            <w:r w:rsidRPr="004D0DAA">
              <w:rPr>
                <w:lang w:eastAsia="ko-KR"/>
              </w:rPr>
              <w:t xml:space="preserve"> </w:t>
            </w:r>
            <w:r w:rsidRPr="004D0DAA">
              <w:rPr>
                <w:lang w:eastAsia="en-US"/>
              </w:rPr>
              <w:t>0</w:t>
            </w:r>
            <w:r w:rsidRPr="004D0DAA">
              <w:rPr>
                <w:lang w:eastAsia="en-US"/>
              </w:rPr>
              <w:tab/>
            </w:r>
            <w:r w:rsidRPr="004D0DAA">
              <w:rPr>
                <w:lang w:eastAsia="en-US"/>
              </w:rPr>
              <w:tab/>
              <w:t>GMSK</w:t>
            </w:r>
          </w:p>
          <w:p w14:paraId="34BC1642" w14:textId="77777777" w:rsidR="00711444" w:rsidRPr="004D0DAA" w:rsidRDefault="00711444" w:rsidP="00AA2A4C">
            <w:pPr>
              <w:pStyle w:val="TAL"/>
              <w:rPr>
                <w:lang w:eastAsia="ko-KR"/>
              </w:rPr>
            </w:pPr>
            <w:r w:rsidRPr="004D0DAA">
              <w:rPr>
                <w:lang w:eastAsia="en-US"/>
              </w:rPr>
              <w:t>0 1</w:t>
            </w:r>
            <w:r w:rsidRPr="004D0DAA">
              <w:rPr>
                <w:lang w:eastAsia="en-US"/>
              </w:rPr>
              <w:tab/>
            </w:r>
            <w:r w:rsidRPr="004D0DAA">
              <w:rPr>
                <w:lang w:eastAsia="en-US"/>
              </w:rPr>
              <w:tab/>
            </w:r>
            <w:r w:rsidRPr="004D0DAA">
              <w:rPr>
                <w:lang w:eastAsia="ko-KR"/>
              </w:rPr>
              <w:t>8PSK</w:t>
            </w:r>
          </w:p>
          <w:p w14:paraId="2EAEBE24" w14:textId="77777777" w:rsidR="00711444" w:rsidRPr="004D0DAA" w:rsidRDefault="00711444" w:rsidP="00AA2A4C">
            <w:pPr>
              <w:pStyle w:val="TAL"/>
              <w:rPr>
                <w:rFonts w:hint="eastAsia"/>
                <w:lang w:eastAsia="ko-KR"/>
              </w:rPr>
            </w:pPr>
            <w:r w:rsidRPr="004D0DAA">
              <w:rPr>
                <w:lang w:eastAsia="en-US"/>
              </w:rPr>
              <w:t>1 0</w:t>
            </w:r>
            <w:r w:rsidRPr="004D0DAA">
              <w:rPr>
                <w:lang w:eastAsia="en-US"/>
              </w:rPr>
              <w:tab/>
            </w:r>
            <w:r w:rsidRPr="004D0DAA">
              <w:rPr>
                <w:lang w:eastAsia="en-US"/>
              </w:rPr>
              <w:tab/>
            </w:r>
            <w:r w:rsidRPr="004D0DAA">
              <w:rPr>
                <w:lang w:eastAsia="ko-KR"/>
              </w:rPr>
              <w:t>16QAM</w:t>
            </w:r>
          </w:p>
          <w:p w14:paraId="00C12E98" w14:textId="77777777" w:rsidR="00711444" w:rsidRPr="004D0DAA" w:rsidRDefault="00711444" w:rsidP="00AA2A4C">
            <w:pPr>
              <w:pStyle w:val="TAL"/>
              <w:rPr>
                <w:rFonts w:hint="eastAsia"/>
                <w:lang w:eastAsia="ko-KR"/>
              </w:rPr>
            </w:pPr>
            <w:r w:rsidRPr="004D0DAA">
              <w:rPr>
                <w:lang w:eastAsia="en-US"/>
              </w:rPr>
              <w:t>1 1</w:t>
            </w:r>
            <w:r w:rsidRPr="004D0DAA">
              <w:rPr>
                <w:lang w:eastAsia="en-US"/>
              </w:rPr>
              <w:tab/>
            </w:r>
            <w:r w:rsidRPr="004D0DAA">
              <w:rPr>
                <w:lang w:eastAsia="en-US"/>
              </w:rPr>
              <w:tab/>
            </w:r>
            <w:r w:rsidRPr="004D0DAA">
              <w:rPr>
                <w:lang w:eastAsia="ko-KR"/>
              </w:rPr>
              <w:t>32QAM</w:t>
            </w:r>
          </w:p>
          <w:p w14:paraId="0E252396" w14:textId="77777777" w:rsidR="00711444" w:rsidRPr="004D0DAA" w:rsidRDefault="00711444" w:rsidP="00AA2A4C">
            <w:pPr>
              <w:rPr>
                <w:b/>
              </w:rPr>
            </w:pPr>
          </w:p>
        </w:tc>
      </w:tr>
      <w:tr w:rsidR="00711444" w:rsidRPr="004D0DAA" w14:paraId="15BFE759" w14:textId="77777777" w:rsidTr="00AA2A4C">
        <w:tblPrEx>
          <w:tblCellMar>
            <w:top w:w="0" w:type="dxa"/>
            <w:bottom w:w="0" w:type="dxa"/>
          </w:tblCellMar>
        </w:tblPrEx>
        <w:trPr>
          <w:cantSplit/>
          <w:trHeight w:val="113"/>
        </w:trPr>
        <w:tc>
          <w:tcPr>
            <w:tcW w:w="9848" w:type="dxa"/>
          </w:tcPr>
          <w:p w14:paraId="52A6DB44" w14:textId="77777777" w:rsidR="00711444" w:rsidRPr="004D0DAA" w:rsidRDefault="00711444" w:rsidP="00AA2A4C">
            <w:r w:rsidRPr="004D0DAA">
              <w:rPr>
                <w:b/>
              </w:rPr>
              <w:t>MEAN_BEP_TN0</w:t>
            </w:r>
            <w:r w:rsidRPr="004D0DAA">
              <w:t xml:space="preserve"> (4 bit field)</w:t>
            </w:r>
            <w:r w:rsidRPr="004D0DAA">
              <w:br/>
            </w:r>
            <w:r w:rsidRPr="004D0DAA">
              <w:rPr>
                <w:b/>
              </w:rPr>
              <w:t>MEAN_BEP_TN1</w:t>
            </w:r>
            <w:r w:rsidRPr="004D0DAA">
              <w:t xml:space="preserve"> (4 bit field)</w:t>
            </w:r>
            <w:r w:rsidRPr="004D0DAA">
              <w:br/>
            </w:r>
            <w:r w:rsidRPr="004D0DAA">
              <w:rPr>
                <w:b/>
              </w:rPr>
              <w:t>MEAN_BEP_TN2</w:t>
            </w:r>
            <w:r w:rsidRPr="004D0DAA">
              <w:t xml:space="preserve"> (4 bit field)</w:t>
            </w:r>
            <w:r w:rsidRPr="004D0DAA">
              <w:br/>
            </w:r>
            <w:r w:rsidRPr="004D0DAA">
              <w:rPr>
                <w:b/>
              </w:rPr>
              <w:t>MEAN_BEP_TN3</w:t>
            </w:r>
            <w:r w:rsidRPr="004D0DAA">
              <w:t xml:space="preserve"> (4 bit field)</w:t>
            </w:r>
            <w:r w:rsidRPr="004D0DAA">
              <w:br/>
            </w:r>
            <w:r w:rsidRPr="004D0DAA">
              <w:rPr>
                <w:b/>
              </w:rPr>
              <w:t>MEAN_BEP_TN4</w:t>
            </w:r>
            <w:r w:rsidRPr="004D0DAA">
              <w:t xml:space="preserve"> (4 bit field)</w:t>
            </w:r>
            <w:r w:rsidRPr="004D0DAA">
              <w:br/>
            </w:r>
            <w:r w:rsidRPr="004D0DAA">
              <w:rPr>
                <w:b/>
              </w:rPr>
              <w:t>MEAN_BEP_TN5</w:t>
            </w:r>
            <w:r w:rsidRPr="004D0DAA">
              <w:t xml:space="preserve"> (4 bit field)</w:t>
            </w:r>
            <w:r w:rsidRPr="004D0DAA">
              <w:br/>
            </w:r>
            <w:r w:rsidRPr="004D0DAA">
              <w:rPr>
                <w:b/>
              </w:rPr>
              <w:t>MEAN_BEP_TN6</w:t>
            </w:r>
            <w:r w:rsidRPr="004D0DAA">
              <w:t xml:space="preserve"> (4 bit field)</w:t>
            </w:r>
            <w:r w:rsidRPr="004D0DAA">
              <w:br/>
            </w:r>
            <w:r w:rsidRPr="004D0DAA">
              <w:rPr>
                <w:b/>
              </w:rPr>
              <w:t>MEAN_BEP_TN7</w:t>
            </w:r>
            <w:r w:rsidRPr="004D0DAA">
              <w:t xml:space="preserve"> (4 bit field)</w:t>
            </w:r>
          </w:p>
          <w:p w14:paraId="6636A7B4" w14:textId="77777777" w:rsidR="00711444" w:rsidRPr="004D0DAA" w:rsidRDefault="00711444" w:rsidP="00AA2A4C">
            <w:pPr>
              <w:spacing w:after="0"/>
              <w:rPr>
                <w:lang w:eastAsia="zh-CN"/>
              </w:rPr>
            </w:pPr>
            <w:r w:rsidRPr="004D0DAA">
              <w:t xml:space="preserve">These fields contain the mean bit error probability value calculated on timeslots 0 through 7 for the modulation scheme indicated </w:t>
            </w:r>
            <w:r w:rsidRPr="004D0DAA">
              <w:rPr>
                <w:rFonts w:hint="eastAsia"/>
                <w:bCs/>
                <w:lang w:eastAsia="ko-KR"/>
              </w:rPr>
              <w:t>using the REPORTED_MODULATION field</w:t>
            </w:r>
            <w:r w:rsidRPr="004D0DAA">
              <w:t>. For the calculation of the mean bit error probability, refer to 3GPP TS 45.008. These fields are transferred only when the mobile station is in packet transfer mode.</w:t>
            </w:r>
            <w:r w:rsidRPr="004D0DAA">
              <w:rPr>
                <w:rFonts w:hint="eastAsia"/>
                <w:lang w:eastAsia="zh-CN"/>
              </w:rPr>
              <w:t xml:space="preserve"> </w:t>
            </w:r>
            <w:r w:rsidRPr="004D0DAA">
              <w:rPr>
                <w:lang w:eastAsia="zh-CN"/>
              </w:rPr>
              <w:t>I</w:t>
            </w:r>
            <w:r w:rsidRPr="004D0DAA">
              <w:rPr>
                <w:rFonts w:hint="eastAsia"/>
                <w:lang w:eastAsia="zh-CN"/>
              </w:rPr>
              <w:t xml:space="preserve">n RTTI configuration, the mean bit error </w:t>
            </w:r>
            <w:r w:rsidRPr="004D0DAA">
              <w:t>probability value</w:t>
            </w:r>
            <w:r w:rsidRPr="004D0DAA">
              <w:rPr>
                <w:rFonts w:hint="eastAsia"/>
                <w:lang w:eastAsia="zh-CN"/>
              </w:rPr>
              <w:t xml:space="preserve"> </w:t>
            </w:r>
            <w:r w:rsidRPr="004D0DAA">
              <w:t>calculated</w:t>
            </w:r>
            <w:r w:rsidRPr="004D0DAA">
              <w:rPr>
                <w:rFonts w:hint="eastAsia"/>
                <w:lang w:eastAsia="zh-CN"/>
              </w:rPr>
              <w:t xml:space="preserve"> on per timeslot pair shall be reported on </w:t>
            </w:r>
            <w:r w:rsidRPr="004D0DAA">
              <w:rPr>
                <w:b/>
              </w:rPr>
              <w:t>MODULATION_</w:t>
            </w:r>
            <w:r w:rsidRPr="004D0DAA">
              <w:rPr>
                <w:rFonts w:hint="eastAsia"/>
                <w:b/>
                <w:lang w:eastAsia="zh-CN"/>
              </w:rPr>
              <w:t>1</w:t>
            </w:r>
            <w:r w:rsidRPr="004D0DAA">
              <w:rPr>
                <w:b/>
              </w:rPr>
              <w:t xml:space="preserve"> _MEAN_BEP_TN</w:t>
            </w:r>
            <w:r w:rsidRPr="004D0DAA">
              <w:rPr>
                <w:rFonts w:hint="eastAsia"/>
                <w:b/>
                <w:lang w:eastAsia="zh-CN"/>
              </w:rPr>
              <w:t>x</w:t>
            </w:r>
            <w:r w:rsidRPr="004D0DAA">
              <w:rPr>
                <w:b/>
              </w:rPr>
              <w:t xml:space="preserve"> </w:t>
            </w:r>
            <w:r w:rsidRPr="004D0DAA">
              <w:rPr>
                <w:rFonts w:hint="eastAsia"/>
                <w:b/>
                <w:lang w:eastAsia="zh-CN"/>
              </w:rPr>
              <w:t>/</w:t>
            </w:r>
            <w:r w:rsidRPr="004D0DAA">
              <w:rPr>
                <w:b/>
              </w:rPr>
              <w:t>MODULATION_2 _MEAN_BEP_TN</w:t>
            </w:r>
            <w:r w:rsidRPr="004D0DAA">
              <w:rPr>
                <w:rFonts w:hint="eastAsia"/>
                <w:b/>
                <w:lang w:eastAsia="zh-CN"/>
              </w:rPr>
              <w:t>x</w:t>
            </w:r>
            <w:r w:rsidRPr="004D0DAA">
              <w:rPr>
                <w:rFonts w:hint="eastAsia"/>
                <w:lang w:eastAsia="zh-CN"/>
              </w:rPr>
              <w:t xml:space="preserve"> where TNx is the lower numbered timeslot of each reported timeslot pair.</w:t>
            </w:r>
          </w:p>
          <w:p w14:paraId="59CC82B9" w14:textId="77777777" w:rsidR="00711444" w:rsidRPr="004D0DAA" w:rsidRDefault="00711444" w:rsidP="00AA2A4C">
            <w:pPr>
              <w:spacing w:after="0"/>
              <w:rPr>
                <w:b/>
              </w:rPr>
            </w:pPr>
          </w:p>
        </w:tc>
      </w:tr>
    </w:tbl>
    <w:p w14:paraId="7E1B09A2" w14:textId="77777777" w:rsidR="00711444" w:rsidRPr="004D0DAA" w:rsidRDefault="00711444" w:rsidP="00711444">
      <w:pPr>
        <w:ind w:right="1"/>
      </w:pPr>
    </w:p>
    <w:p w14:paraId="6E4D96EA" w14:textId="77777777" w:rsidR="00711444" w:rsidRPr="004D0DAA" w:rsidRDefault="00711444" w:rsidP="00711444">
      <w:pPr>
        <w:pStyle w:val="Heading2"/>
      </w:pPr>
      <w:bookmarkStart w:id="864" w:name="_Toc516670037"/>
      <w:r w:rsidRPr="004D0DAA">
        <w:t>12.67</w:t>
      </w:r>
      <w:r w:rsidRPr="004D0DAA">
        <w:tab/>
        <w:t>DOWNLINK_eTFI_ASSIGNMENT</w:t>
      </w:r>
      <w:bookmarkEnd w:id="864"/>
      <w:r w:rsidRPr="004D0DAA">
        <w:t xml:space="preserve"> </w:t>
      </w:r>
    </w:p>
    <w:p w14:paraId="31A39402" w14:textId="77777777" w:rsidR="00711444" w:rsidRPr="004D0DAA" w:rsidRDefault="00711444" w:rsidP="00711444">
      <w:pPr>
        <w:keepNext/>
        <w:keepLines/>
      </w:pPr>
      <w:r w:rsidRPr="004D0DAA">
        <w:t xml:space="preserve">This information element is only used for a DLMC configuration and identifies the extended TFI (eTFI) that along with the TFI is unique to the PDCHs resources assigned to a MS on a given downlink carrier of a downlink Temporary Block Flow (TBF). The eTFI and TFI values assigned for a given downlink carrier may be different from those assigned for any other carrier on which it has been assigned PDCH resources for its downlink TBF. </w:t>
      </w:r>
    </w:p>
    <w:p w14:paraId="6B71D416" w14:textId="77777777" w:rsidR="00711444" w:rsidRPr="004D0DAA" w:rsidRDefault="00711444" w:rsidP="00711444">
      <w:pPr>
        <w:pStyle w:val="TH"/>
      </w:pPr>
      <w:r w:rsidRPr="004D0DAA">
        <w:t>Table 12.67.1: DOWNLINK_eTFI_ASSIGNMENT</w:t>
      </w:r>
      <w:r w:rsidRPr="004D0DAA">
        <w:rPr>
          <w:i/>
        </w:rPr>
        <w:t xml:space="preserv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91DAEAC" w14:textId="77777777" w:rsidTr="00AA2A4C">
        <w:tblPrEx>
          <w:tblCellMar>
            <w:top w:w="0" w:type="dxa"/>
            <w:bottom w:w="0" w:type="dxa"/>
          </w:tblCellMar>
        </w:tblPrEx>
        <w:tc>
          <w:tcPr>
            <w:tcW w:w="9848" w:type="dxa"/>
          </w:tcPr>
          <w:p w14:paraId="08E23526" w14:textId="77777777" w:rsidR="00711444" w:rsidRPr="004D0DAA" w:rsidRDefault="00711444" w:rsidP="00AA2A4C">
            <w:r w:rsidRPr="004D0DAA">
              <w:rPr>
                <w:b/>
              </w:rPr>
              <w:t xml:space="preserve">DOWNLINK_eTFI_ASSIGNMENT </w:t>
            </w:r>
            <w:r w:rsidRPr="004D0DAA">
              <w:t>(3 bit field)</w:t>
            </w:r>
            <w:r w:rsidRPr="004D0DAA">
              <w:br/>
              <w:t>This field is encoded as a binary number.</w:t>
            </w:r>
            <w:r w:rsidRPr="004D0DAA">
              <w:br/>
              <w:t>Range 0 to 7</w:t>
            </w:r>
          </w:p>
        </w:tc>
      </w:tr>
    </w:tbl>
    <w:p w14:paraId="32C2DB58" w14:textId="77777777" w:rsidR="00711444" w:rsidRPr="004D0DAA" w:rsidRDefault="00711444" w:rsidP="00711444">
      <w:pPr>
        <w:rPr>
          <w:lang w:eastAsia="en-GB"/>
        </w:rPr>
      </w:pPr>
    </w:p>
    <w:p w14:paraId="78659728" w14:textId="77777777" w:rsidR="00711444" w:rsidRPr="004D0DAA" w:rsidRDefault="00711444" w:rsidP="00711444">
      <w:pPr>
        <w:pStyle w:val="Heading2"/>
        <w:rPr>
          <w:lang w:eastAsia="en-GB"/>
        </w:rPr>
      </w:pPr>
      <w:bookmarkStart w:id="865" w:name="_Toc516670038"/>
      <w:r w:rsidRPr="004D0DAA">
        <w:rPr>
          <w:lang w:eastAsia="en-GB"/>
        </w:rPr>
        <w:lastRenderedPageBreak/>
        <w:t>12.68</w:t>
      </w:r>
      <w:r w:rsidRPr="004D0DAA">
        <w:rPr>
          <w:lang w:eastAsia="en-GB"/>
        </w:rPr>
        <w:tab/>
        <w:t>E-UTRAN Target Cell with extended EARFCN</w:t>
      </w:r>
      <w:bookmarkEnd w:id="865"/>
    </w:p>
    <w:p w14:paraId="6C64D1B7" w14:textId="77777777" w:rsidR="00711444" w:rsidRPr="004D0DAA" w:rsidRDefault="00711444" w:rsidP="00711444">
      <w:pPr>
        <w:keepNext/>
        <w:keepLines/>
        <w:rPr>
          <w:lang w:eastAsia="en-GB"/>
        </w:rPr>
      </w:pPr>
      <w:r w:rsidRPr="004D0DAA">
        <w:rPr>
          <w:lang w:eastAsia="en-GB"/>
        </w:rPr>
        <w:t xml:space="preserve">The </w:t>
      </w:r>
      <w:r w:rsidRPr="004D0DAA">
        <w:rPr>
          <w:i/>
          <w:lang w:eastAsia="en-GB"/>
        </w:rPr>
        <w:t>E-UTRAN Target cell with extended EARFCN</w:t>
      </w:r>
      <w:r w:rsidRPr="004D0DAA">
        <w:rPr>
          <w:lang w:eastAsia="en-GB"/>
        </w:rPr>
        <w:t xml:space="preserve"> information element contains the description of an E-UTRAN Target cell.</w:t>
      </w:r>
    </w:p>
    <w:p w14:paraId="72CE40CE" w14:textId="77777777" w:rsidR="00711444" w:rsidRPr="004D0DAA" w:rsidRDefault="00711444" w:rsidP="00711444">
      <w:pPr>
        <w:pStyle w:val="TH"/>
      </w:pPr>
      <w:r w:rsidRPr="004D0DAA">
        <w:t>Table 12.68.1: E-UTRAN Target cell with extended EARFCN information 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2D3189" w14:textId="77777777" w:rsidTr="00AA2A4C">
        <w:tblPrEx>
          <w:tblCellMar>
            <w:top w:w="0" w:type="dxa"/>
            <w:bottom w:w="0" w:type="dxa"/>
          </w:tblCellMar>
        </w:tblPrEx>
        <w:trPr>
          <w:cantSplit/>
        </w:trPr>
        <w:tc>
          <w:tcPr>
            <w:tcW w:w="9848" w:type="dxa"/>
          </w:tcPr>
          <w:p w14:paraId="6D990B41"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&lt; E-UTRAN Target cell</w:t>
            </w:r>
            <w:r w:rsidRPr="004D0DAA">
              <w:t xml:space="preserve"> </w:t>
            </w:r>
            <w:r w:rsidRPr="004D0DAA">
              <w:rPr>
                <w:rFonts w:ascii="Arial" w:hAnsi="Arial"/>
                <w:sz w:val="18"/>
                <w:lang w:eastAsia="en-GB"/>
              </w:rPr>
              <w:t>with extended EARFCN IE &gt; ::=</w:t>
            </w:r>
          </w:p>
          <w:p w14:paraId="2351B686"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&lt; </w:t>
            </w:r>
            <w:r w:rsidRPr="004D0DAA">
              <w:rPr>
                <w:rFonts w:ascii="Arial" w:hAnsi="Arial"/>
                <w:b/>
                <w:sz w:val="18"/>
                <w:lang w:eastAsia="en-GB"/>
              </w:rPr>
              <w:t>EARFCN_extended</w:t>
            </w:r>
            <w:r w:rsidRPr="004D0DAA">
              <w:rPr>
                <w:rFonts w:ascii="Arial" w:hAnsi="Arial"/>
                <w:sz w:val="18"/>
                <w:lang w:eastAsia="en-GB"/>
              </w:rPr>
              <w:t xml:space="preserve"> : bit (18) &gt;</w:t>
            </w:r>
          </w:p>
          <w:p w14:paraId="10D3FA8A"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 0 | 1 &lt; </w:t>
            </w:r>
            <w:r w:rsidRPr="004D0DAA">
              <w:rPr>
                <w:rFonts w:ascii="Arial" w:hAnsi="Arial"/>
                <w:b/>
                <w:sz w:val="18"/>
                <w:lang w:eastAsia="en-GB"/>
              </w:rPr>
              <w:t>Measurement Bandwidth</w:t>
            </w:r>
            <w:r w:rsidRPr="004D0DAA">
              <w:rPr>
                <w:rFonts w:ascii="Arial" w:hAnsi="Arial"/>
                <w:sz w:val="18"/>
                <w:lang w:eastAsia="en-GB"/>
              </w:rPr>
              <w:t>: bit (3) &gt; }</w:t>
            </w:r>
          </w:p>
          <w:p w14:paraId="2F3F3B07"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&lt; </w:t>
            </w:r>
            <w:r w:rsidRPr="004D0DAA">
              <w:rPr>
                <w:rFonts w:ascii="Arial" w:hAnsi="Arial"/>
                <w:b/>
                <w:sz w:val="18"/>
                <w:lang w:eastAsia="en-GB"/>
              </w:rPr>
              <w:t>Physical Layer Cell Identity</w:t>
            </w:r>
            <w:r w:rsidRPr="004D0DAA">
              <w:rPr>
                <w:rFonts w:ascii="Arial" w:hAnsi="Arial"/>
                <w:sz w:val="18"/>
                <w:lang w:eastAsia="en-GB"/>
              </w:rPr>
              <w:t xml:space="preserve"> : bit (9) &gt; ;</w:t>
            </w:r>
          </w:p>
          <w:p w14:paraId="27C84C8B" w14:textId="77777777" w:rsidR="00711444" w:rsidRPr="004D0DAA" w:rsidRDefault="00711444" w:rsidP="00AA2A4C">
            <w:pPr>
              <w:keepNext/>
              <w:keepLines/>
              <w:spacing w:after="0"/>
              <w:rPr>
                <w:rFonts w:ascii="Arial" w:hAnsi="Arial"/>
                <w:sz w:val="18"/>
                <w:lang w:eastAsia="en-GB"/>
              </w:rPr>
            </w:pPr>
          </w:p>
        </w:tc>
      </w:tr>
    </w:tbl>
    <w:p w14:paraId="42D221B9" w14:textId="77777777" w:rsidR="00711444" w:rsidRPr="004D0DAA" w:rsidRDefault="00711444" w:rsidP="00711444">
      <w:pPr>
        <w:rPr>
          <w:lang w:eastAsia="en-GB"/>
        </w:rPr>
      </w:pPr>
    </w:p>
    <w:p w14:paraId="12647E97" w14:textId="77777777" w:rsidR="00711444" w:rsidRPr="004D0DAA" w:rsidRDefault="00711444" w:rsidP="00711444">
      <w:pPr>
        <w:pStyle w:val="TH"/>
        <w:rPr>
          <w:lang w:eastAsia="en-GB"/>
        </w:rPr>
      </w:pPr>
      <w:r w:rsidRPr="004D0DAA">
        <w:rPr>
          <w:lang w:eastAsia="en-GB"/>
        </w:rPr>
        <w:t xml:space="preserve">Table 12.68.2: </w:t>
      </w:r>
      <w:r w:rsidRPr="004D0DAA">
        <w:rPr>
          <w:i/>
          <w:lang w:eastAsia="en-GB"/>
        </w:rPr>
        <w:t>E-</w:t>
      </w:r>
      <w:r w:rsidRPr="004D0DAA">
        <w:t>UTRAN</w:t>
      </w:r>
      <w:r w:rsidRPr="004D0DAA">
        <w:rPr>
          <w:i/>
          <w:lang w:eastAsia="en-GB"/>
        </w:rPr>
        <w:t xml:space="preserve"> Target cell</w:t>
      </w:r>
      <w:r w:rsidRPr="004D0DAA">
        <w:rPr>
          <w:lang w:eastAsia="en-GB"/>
        </w:rPr>
        <w:t xml:space="preserve"> </w:t>
      </w:r>
      <w:r w:rsidRPr="004D0DAA">
        <w:rPr>
          <w:i/>
          <w:lang w:eastAsia="en-GB"/>
        </w:rPr>
        <w:t>with extended EARFCN</w:t>
      </w:r>
      <w:r w:rsidRPr="004D0DAA">
        <w:rPr>
          <w:lang w:eastAsia="en-GB"/>
        </w:rPr>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C0021C5" w14:textId="77777777" w:rsidTr="00AA2A4C">
        <w:tblPrEx>
          <w:tblCellMar>
            <w:top w:w="0" w:type="dxa"/>
            <w:bottom w:w="0" w:type="dxa"/>
          </w:tblCellMar>
        </w:tblPrEx>
        <w:trPr>
          <w:cantSplit/>
        </w:trPr>
        <w:tc>
          <w:tcPr>
            <w:tcW w:w="9848" w:type="dxa"/>
          </w:tcPr>
          <w:p w14:paraId="34592C2A" w14:textId="77777777" w:rsidR="00711444" w:rsidRPr="004D0DAA" w:rsidRDefault="00711444" w:rsidP="00AA2A4C">
            <w:pPr>
              <w:keepLines/>
              <w:rPr>
                <w:b/>
                <w:lang w:eastAsia="en-GB"/>
              </w:rPr>
            </w:pPr>
            <w:r w:rsidRPr="004D0DAA">
              <w:rPr>
                <w:b/>
                <w:lang w:eastAsia="en-GB"/>
              </w:rPr>
              <w:t>EARFCN_extended</w:t>
            </w:r>
            <w:r w:rsidRPr="004D0DAA">
              <w:rPr>
                <w:lang w:eastAsia="en-GB"/>
              </w:rPr>
              <w:t xml:space="preserve"> (18 bit field)</w:t>
            </w:r>
            <w:r w:rsidRPr="004D0DAA">
              <w:rPr>
                <w:lang w:eastAsia="en-GB"/>
              </w:rPr>
              <w:br/>
              <w:t>This field is defined in sub-clause 12.70.</w:t>
            </w:r>
          </w:p>
        </w:tc>
      </w:tr>
      <w:tr w:rsidR="00711444" w:rsidRPr="004D0DAA" w14:paraId="397EB785" w14:textId="77777777" w:rsidTr="00AA2A4C">
        <w:tblPrEx>
          <w:tblCellMar>
            <w:top w:w="0" w:type="dxa"/>
            <w:bottom w:w="0" w:type="dxa"/>
          </w:tblCellMar>
        </w:tblPrEx>
        <w:trPr>
          <w:cantSplit/>
        </w:trPr>
        <w:tc>
          <w:tcPr>
            <w:tcW w:w="9848" w:type="dxa"/>
          </w:tcPr>
          <w:p w14:paraId="0C1C6C98" w14:textId="77777777" w:rsidR="00711444" w:rsidRPr="004D0DAA" w:rsidRDefault="00711444" w:rsidP="00AA2A4C">
            <w:pPr>
              <w:keepLines/>
              <w:rPr>
                <w:b/>
                <w:lang w:eastAsia="en-GB"/>
              </w:rPr>
            </w:pPr>
            <w:r w:rsidRPr="004D0DAA">
              <w:rPr>
                <w:b/>
                <w:lang w:eastAsia="en-GB"/>
              </w:rPr>
              <w:t xml:space="preserve">Measurement Bandwidth </w:t>
            </w:r>
            <w:r w:rsidRPr="004D0DAA">
              <w:rPr>
                <w:lang w:eastAsia="en-GB"/>
              </w:rPr>
              <w:t>(3 bit field)</w:t>
            </w:r>
            <w:r w:rsidRPr="004D0DAA">
              <w:rPr>
                <w:lang w:eastAsia="en-GB"/>
              </w:rPr>
              <w:br/>
              <w:t>This optional field describes the bandwidth of the E-UTRAN cell for measurement purposes. The coding of this field is as specified in sub-clause 12.53.</w:t>
            </w:r>
          </w:p>
        </w:tc>
      </w:tr>
      <w:tr w:rsidR="00711444" w:rsidRPr="004D0DAA" w14:paraId="0D07F56F" w14:textId="77777777" w:rsidTr="00AA2A4C">
        <w:tblPrEx>
          <w:tblCellMar>
            <w:top w:w="0" w:type="dxa"/>
            <w:bottom w:w="0" w:type="dxa"/>
          </w:tblCellMar>
        </w:tblPrEx>
        <w:trPr>
          <w:cantSplit/>
        </w:trPr>
        <w:tc>
          <w:tcPr>
            <w:tcW w:w="9848" w:type="dxa"/>
          </w:tcPr>
          <w:p w14:paraId="4D533AEA" w14:textId="77777777" w:rsidR="00711444" w:rsidRPr="004D0DAA" w:rsidRDefault="00711444" w:rsidP="00AA2A4C">
            <w:pPr>
              <w:keepLines/>
              <w:rPr>
                <w:lang w:eastAsia="en-GB"/>
              </w:rPr>
            </w:pPr>
            <w:r w:rsidRPr="004D0DAA">
              <w:rPr>
                <w:b/>
                <w:lang w:eastAsia="en-GB"/>
              </w:rPr>
              <w:t>Physical Layer Cell Identity</w:t>
            </w:r>
            <w:r w:rsidRPr="004D0DAA">
              <w:rPr>
                <w:lang w:eastAsia="en-GB"/>
              </w:rPr>
              <w:t xml:space="preserve"> (9 bit field)</w:t>
            </w:r>
            <w:r w:rsidRPr="004D0DAA">
              <w:rPr>
                <w:lang w:eastAsia="en-GB"/>
              </w:rPr>
              <w:br/>
              <w:t>This field indicates the physical layer cell identity as defined in 3GPP TS 36.211.</w:t>
            </w:r>
          </w:p>
        </w:tc>
      </w:tr>
    </w:tbl>
    <w:p w14:paraId="055F4F50" w14:textId="77777777" w:rsidR="00711444" w:rsidRPr="004D0DAA" w:rsidRDefault="00711444" w:rsidP="00711444">
      <w:pPr>
        <w:pStyle w:val="NO"/>
        <w:ind w:left="0" w:firstLine="0"/>
        <w:rPr>
          <w:noProof/>
        </w:rPr>
      </w:pPr>
    </w:p>
    <w:p w14:paraId="34725514" w14:textId="77777777" w:rsidR="00711444" w:rsidRPr="004D0DAA" w:rsidRDefault="00711444" w:rsidP="00711444">
      <w:pPr>
        <w:pStyle w:val="Heading2"/>
        <w:rPr>
          <w:rFonts w:hint="eastAsia"/>
          <w:lang w:eastAsia="en-GB"/>
        </w:rPr>
      </w:pPr>
      <w:bookmarkStart w:id="866" w:name="_Toc516670039"/>
      <w:r w:rsidRPr="004D0DAA">
        <w:rPr>
          <w:lang w:eastAsia="en-GB"/>
        </w:rPr>
        <w:t>12.69</w:t>
      </w:r>
      <w:r w:rsidRPr="004D0DAA">
        <w:rPr>
          <w:lang w:eastAsia="en-GB"/>
        </w:rPr>
        <w:tab/>
        <w:t xml:space="preserve">E-UTRAN </w:t>
      </w:r>
      <w:r w:rsidRPr="004D0DAA">
        <w:rPr>
          <w:rFonts w:hint="eastAsia"/>
          <w:lang w:eastAsia="en-GB"/>
        </w:rPr>
        <w:t>IP</w:t>
      </w:r>
      <w:r w:rsidRPr="004D0DAA">
        <w:rPr>
          <w:lang w:eastAsia="en-GB"/>
        </w:rPr>
        <w:t>P with extended EARFCNs</w:t>
      </w:r>
      <w:bookmarkEnd w:id="866"/>
    </w:p>
    <w:p w14:paraId="2136AFC4" w14:textId="77777777" w:rsidR="00711444" w:rsidRPr="004D0DAA" w:rsidRDefault="00711444" w:rsidP="00711444">
      <w:pPr>
        <w:rPr>
          <w:rFonts w:hint="eastAsia"/>
          <w:lang w:eastAsia="zh-CN"/>
        </w:rPr>
      </w:pPr>
      <w:r w:rsidRPr="004D0DAA">
        <w:rPr>
          <w:lang w:eastAsia="en-GB"/>
        </w:rPr>
        <w:t>T</w:t>
      </w:r>
      <w:r w:rsidRPr="004D0DAA">
        <w:rPr>
          <w:rFonts w:hint="eastAsia"/>
          <w:lang w:eastAsia="en-GB"/>
        </w:rPr>
        <w:t xml:space="preserve">his information element </w:t>
      </w:r>
      <w:r w:rsidRPr="004D0DAA">
        <w:rPr>
          <w:rFonts w:hint="eastAsia"/>
          <w:lang w:eastAsia="zh-CN"/>
        </w:rPr>
        <w:t xml:space="preserve">is sent to provide MS-specific </w:t>
      </w:r>
      <w:r w:rsidRPr="004D0DAA">
        <w:rPr>
          <w:lang w:eastAsia="zh-CN"/>
        </w:rPr>
        <w:t xml:space="preserve">E-UTRAN </w:t>
      </w:r>
      <w:r w:rsidRPr="004D0DAA">
        <w:rPr>
          <w:rFonts w:hint="eastAsia"/>
          <w:lang w:eastAsia="zh-CN"/>
        </w:rPr>
        <w:t xml:space="preserve">priorities for priority-based cell reselection </w:t>
      </w:r>
      <w:r w:rsidRPr="004D0DAA">
        <w:rPr>
          <w:lang w:eastAsia="zh-CN"/>
        </w:rPr>
        <w:t>(</w:t>
      </w:r>
      <w:r w:rsidRPr="004D0DAA">
        <w:rPr>
          <w:rFonts w:hint="eastAsia"/>
          <w:lang w:eastAsia="zh-CN"/>
        </w:rPr>
        <w:t>see</w:t>
      </w:r>
      <w:r w:rsidRPr="004D0DAA">
        <w:rPr>
          <w:lang w:eastAsia="zh-CN"/>
        </w:rPr>
        <w:t xml:space="preserve"> 3GPP TS 45.008</w:t>
      </w:r>
      <w:r w:rsidRPr="004D0DAA">
        <w:rPr>
          <w:rFonts w:hint="eastAsia"/>
          <w:lang w:eastAsia="zh-CN"/>
        </w:rPr>
        <w:t>)</w:t>
      </w:r>
      <w:r w:rsidRPr="004D0DAA">
        <w:rPr>
          <w:rFonts w:hint="eastAsia"/>
          <w:lang w:eastAsia="en-GB"/>
        </w:rPr>
        <w:t xml:space="preserve">. The </w:t>
      </w:r>
      <w:r w:rsidRPr="004D0DAA">
        <w:rPr>
          <w:lang w:eastAsia="en-GB"/>
        </w:rPr>
        <w:t>MS-specific</w:t>
      </w:r>
      <w:r w:rsidRPr="004D0DAA">
        <w:rPr>
          <w:rFonts w:hint="eastAsia"/>
          <w:lang w:eastAsia="en-GB"/>
        </w:rPr>
        <w:t xml:space="preserve"> </w:t>
      </w:r>
      <w:r w:rsidRPr="004D0DAA">
        <w:rPr>
          <w:lang w:eastAsia="en-GB"/>
        </w:rPr>
        <w:t xml:space="preserve">E-UTRAN </w:t>
      </w:r>
      <w:r w:rsidRPr="004D0DAA">
        <w:rPr>
          <w:rFonts w:hint="eastAsia"/>
          <w:lang w:eastAsia="en-GB"/>
        </w:rPr>
        <w:t>priorit</w:t>
      </w:r>
      <w:r w:rsidRPr="004D0DAA">
        <w:rPr>
          <w:rFonts w:hint="eastAsia"/>
          <w:lang w:eastAsia="zh-CN"/>
        </w:rPr>
        <w:t>ies</w:t>
      </w:r>
      <w:r w:rsidRPr="004D0DAA">
        <w:rPr>
          <w:rFonts w:hint="eastAsia"/>
          <w:lang w:eastAsia="en-GB"/>
        </w:rPr>
        <w:t xml:space="preserve"> </w:t>
      </w:r>
      <w:r w:rsidRPr="004D0DAA">
        <w:rPr>
          <w:lang w:eastAsia="en-GB"/>
        </w:rPr>
        <w:t>provided by this IE shall</w:t>
      </w:r>
      <w:r w:rsidRPr="004D0DAA">
        <w:rPr>
          <w:rFonts w:hint="eastAsia"/>
          <w:lang w:eastAsia="en-GB"/>
        </w:rPr>
        <w:t xml:space="preserve"> override the </w:t>
      </w:r>
      <w:r w:rsidRPr="004D0DAA">
        <w:rPr>
          <w:lang w:eastAsia="en-GB"/>
        </w:rPr>
        <w:t xml:space="preserve">E-UTRAN </w:t>
      </w:r>
      <w:r w:rsidRPr="004D0DAA">
        <w:rPr>
          <w:rFonts w:hint="eastAsia"/>
          <w:lang w:eastAsia="en-GB"/>
        </w:rPr>
        <w:t>priorit</w:t>
      </w:r>
      <w:r w:rsidRPr="004D0DAA">
        <w:rPr>
          <w:rFonts w:hint="eastAsia"/>
          <w:lang w:eastAsia="zh-CN"/>
        </w:rPr>
        <w:t>ies</w:t>
      </w:r>
      <w:r w:rsidRPr="004D0DAA">
        <w:rPr>
          <w:rFonts w:hint="eastAsia"/>
          <w:lang w:eastAsia="en-GB"/>
        </w:rPr>
        <w:t xml:space="preserve"> </w:t>
      </w:r>
      <w:r w:rsidRPr="004D0DAA">
        <w:rPr>
          <w:lang w:eastAsia="en-GB"/>
        </w:rPr>
        <w:t xml:space="preserve">received through </w:t>
      </w:r>
      <w:r w:rsidRPr="004D0DAA">
        <w:rPr>
          <w:rFonts w:hint="eastAsia"/>
          <w:lang w:eastAsia="zh-CN"/>
        </w:rPr>
        <w:t xml:space="preserve">system </w:t>
      </w:r>
      <w:r w:rsidRPr="004D0DAA">
        <w:rPr>
          <w:lang w:eastAsia="en-GB"/>
        </w:rPr>
        <w:t xml:space="preserve">information </w:t>
      </w:r>
      <w:r w:rsidRPr="004D0DAA">
        <w:rPr>
          <w:rFonts w:hint="eastAsia"/>
          <w:lang w:eastAsia="en-GB"/>
        </w:rPr>
        <w:t xml:space="preserve">or </w:t>
      </w:r>
      <w:r w:rsidRPr="004D0DAA">
        <w:rPr>
          <w:rFonts w:hint="eastAsia"/>
          <w:lang w:eastAsia="zh-CN"/>
        </w:rPr>
        <w:t>previously</w:t>
      </w:r>
      <w:r w:rsidRPr="004D0DAA">
        <w:rPr>
          <w:rFonts w:hint="eastAsia"/>
          <w:lang w:eastAsia="en-GB"/>
        </w:rPr>
        <w:t xml:space="preserve"> </w:t>
      </w:r>
      <w:r w:rsidRPr="004D0DAA">
        <w:rPr>
          <w:rFonts w:hint="eastAsia"/>
          <w:lang w:eastAsia="zh-CN"/>
        </w:rPr>
        <w:t xml:space="preserve">received </w:t>
      </w:r>
      <w:r w:rsidRPr="004D0DAA">
        <w:rPr>
          <w:lang w:eastAsia="en-GB"/>
        </w:rPr>
        <w:t xml:space="preserve">E-UTRAN </w:t>
      </w:r>
      <w:r w:rsidRPr="004D0DAA">
        <w:rPr>
          <w:rFonts w:hint="eastAsia"/>
          <w:lang w:eastAsia="en-GB"/>
        </w:rPr>
        <w:t>individual priorit</w:t>
      </w:r>
      <w:r w:rsidRPr="004D0DAA">
        <w:rPr>
          <w:rFonts w:hint="eastAsia"/>
          <w:lang w:eastAsia="zh-CN"/>
        </w:rPr>
        <w:t>ies.</w:t>
      </w:r>
    </w:p>
    <w:p w14:paraId="4A01C154" w14:textId="77777777" w:rsidR="00711444" w:rsidRPr="004D0DAA" w:rsidRDefault="00711444" w:rsidP="00711444">
      <w:pPr>
        <w:pStyle w:val="TH"/>
      </w:pPr>
      <w:r w:rsidRPr="004D0DAA">
        <w:t>Table </w:t>
      </w:r>
      <w:r w:rsidRPr="004D0DAA">
        <w:rPr>
          <w:rFonts w:hint="eastAsia"/>
          <w:lang w:eastAsia="zh-CN"/>
        </w:rPr>
        <w:t>12.</w:t>
      </w:r>
      <w:r w:rsidRPr="004D0DAA">
        <w:rPr>
          <w:lang w:eastAsia="zh-CN"/>
        </w:rPr>
        <w:t>69</w:t>
      </w:r>
      <w:r w:rsidRPr="004D0DAA">
        <w:rPr>
          <w:rFonts w:hint="eastAsia"/>
          <w:lang w:eastAsia="zh-CN"/>
        </w:rPr>
        <w:t>.1</w:t>
      </w:r>
      <w:r w:rsidRPr="004D0DAA">
        <w:t>: </w:t>
      </w:r>
      <w:r w:rsidRPr="004D0DAA">
        <w:rPr>
          <w:i/>
        </w:rPr>
        <w:t xml:space="preserve">E-UTRAN IPP with extended EARFCNs </w:t>
      </w:r>
      <w:r w:rsidRPr="004D0DAA">
        <w:t>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60E88F3B" w14:textId="77777777" w:rsidTr="00AA2A4C">
        <w:tblPrEx>
          <w:tblCellMar>
            <w:top w:w="0" w:type="dxa"/>
            <w:bottom w:w="0" w:type="dxa"/>
          </w:tblCellMar>
        </w:tblPrEx>
        <w:trPr>
          <w:cantSplit/>
          <w:jc w:val="center"/>
        </w:trPr>
        <w:tc>
          <w:tcPr>
            <w:tcW w:w="9463" w:type="dxa"/>
            <w:tcMar>
              <w:top w:w="57" w:type="dxa"/>
            </w:tcMar>
            <w:vAlign w:val="center"/>
          </w:tcPr>
          <w:p w14:paraId="40628629" w14:textId="77777777" w:rsidR="00711444" w:rsidRPr="004D0DAA" w:rsidRDefault="00711444" w:rsidP="00AA2A4C">
            <w:pPr>
              <w:keepNext/>
              <w:keepLines/>
              <w:spacing w:after="0"/>
              <w:rPr>
                <w:rFonts w:ascii="Arial" w:hAnsi="Arial" w:hint="eastAsia"/>
                <w:sz w:val="18"/>
                <w:lang w:eastAsia="ja-JP"/>
              </w:rPr>
            </w:pPr>
            <w:r w:rsidRPr="004D0DAA">
              <w:rPr>
                <w:rFonts w:ascii="Arial" w:hAnsi="Arial"/>
                <w:sz w:val="18"/>
                <w:lang w:eastAsia="en-GB"/>
              </w:rPr>
              <w:t>&lt; E-UTRAN IPP with extended EARFCNs IE &gt; ::=</w:t>
            </w:r>
          </w:p>
          <w:p w14:paraId="1EC1BA26"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 0 | 1</w:t>
            </w:r>
            <w:r w:rsidRPr="004D0DAA">
              <w:rPr>
                <w:rFonts w:ascii="Arial" w:hAnsi="Arial"/>
                <w:sz w:val="18"/>
                <w:lang w:eastAsia="en-GB"/>
              </w:rPr>
              <w:tab/>
              <w:t xml:space="preserve">&lt; </w:t>
            </w:r>
            <w:r w:rsidRPr="004D0DAA">
              <w:rPr>
                <w:rFonts w:ascii="Arial" w:hAnsi="Arial"/>
                <w:b/>
                <w:sz w:val="18"/>
                <w:lang w:eastAsia="en-GB"/>
              </w:rPr>
              <w:t>DEFAULT_E-UTRAN_PRIORITY</w:t>
            </w:r>
            <w:r w:rsidRPr="004D0DAA">
              <w:rPr>
                <w:rFonts w:ascii="Arial" w:hAnsi="Arial"/>
                <w:sz w:val="18"/>
                <w:lang w:eastAsia="en-GB"/>
              </w:rPr>
              <w:t xml:space="preserve"> : bit(3) &gt; }</w:t>
            </w:r>
          </w:p>
          <w:p w14:paraId="090F02D3"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1</w:t>
            </w:r>
            <w:r w:rsidRPr="004D0DAA">
              <w:rPr>
                <w:rFonts w:ascii="Arial" w:hAnsi="Arial"/>
                <w:sz w:val="18"/>
                <w:lang w:eastAsia="en-GB"/>
              </w:rPr>
              <w:tab/>
              <w:t xml:space="preserve">&lt; </w:t>
            </w:r>
            <w:r w:rsidRPr="004D0DAA">
              <w:rPr>
                <w:rFonts w:ascii="Arial" w:hAnsi="Arial"/>
                <w:b/>
                <w:sz w:val="18"/>
                <w:lang w:eastAsia="en-GB"/>
              </w:rPr>
              <w:t>Repeated I</w:t>
            </w:r>
            <w:r w:rsidRPr="004D0DAA">
              <w:rPr>
                <w:rFonts w:ascii="Arial" w:hAnsi="Arial" w:hint="eastAsia"/>
                <w:b/>
                <w:sz w:val="18"/>
                <w:lang w:eastAsia="en-GB"/>
              </w:rPr>
              <w:t xml:space="preserve">ndividual </w:t>
            </w:r>
            <w:r w:rsidRPr="004D0DAA">
              <w:rPr>
                <w:rFonts w:ascii="Arial" w:hAnsi="Arial"/>
                <w:b/>
                <w:sz w:val="18"/>
                <w:lang w:eastAsia="en-GB"/>
              </w:rPr>
              <w:t>E-</w:t>
            </w:r>
            <w:r w:rsidRPr="004D0DAA">
              <w:rPr>
                <w:rFonts w:ascii="Arial" w:hAnsi="Arial" w:hint="eastAsia"/>
                <w:b/>
                <w:sz w:val="18"/>
                <w:lang w:eastAsia="en-GB"/>
              </w:rPr>
              <w:t>U</w:t>
            </w:r>
            <w:r w:rsidRPr="004D0DAA">
              <w:rPr>
                <w:rFonts w:ascii="Arial" w:hAnsi="Arial"/>
                <w:b/>
                <w:sz w:val="18"/>
                <w:lang w:eastAsia="en-GB"/>
              </w:rPr>
              <w:t>TRAN PP with extended EARFCNs</w:t>
            </w:r>
            <w:r w:rsidRPr="004D0DAA">
              <w:rPr>
                <w:rFonts w:ascii="Arial" w:hAnsi="Arial"/>
                <w:sz w:val="18"/>
                <w:lang w:eastAsia="en-GB"/>
              </w:rPr>
              <w:t xml:space="preserve">: </w:t>
            </w:r>
          </w:p>
          <w:p w14:paraId="1FEC02EA" w14:textId="77777777" w:rsidR="00711444" w:rsidRPr="004D0DAA" w:rsidRDefault="00711444" w:rsidP="00AA2A4C">
            <w:pPr>
              <w:keepNext/>
              <w:keepLines/>
              <w:spacing w:after="0"/>
              <w:rPr>
                <w:rFonts w:ascii="Arial" w:hAnsi="Arial" w:hint="eastAsia"/>
                <w:sz w:val="18"/>
                <w:lang w:eastAsia="ja-JP"/>
              </w:rPr>
            </w:pPr>
            <w:r w:rsidRPr="004D0DAA">
              <w:rPr>
                <w:rFonts w:ascii="Arial" w:hAnsi="Arial"/>
                <w:sz w:val="18"/>
                <w:lang w:eastAsia="en-GB"/>
              </w:rPr>
              <w:tab/>
            </w:r>
            <w:r w:rsidRPr="004D0DAA">
              <w:rPr>
                <w:rFonts w:ascii="Arial" w:hAnsi="Arial"/>
                <w:sz w:val="18"/>
                <w:lang w:eastAsia="en-GB"/>
              </w:rPr>
              <w:tab/>
              <w:t>&lt; Repeated I</w:t>
            </w:r>
            <w:r w:rsidRPr="004D0DAA">
              <w:rPr>
                <w:rFonts w:ascii="Arial" w:hAnsi="Arial" w:hint="eastAsia"/>
                <w:sz w:val="18"/>
                <w:lang w:eastAsia="en-GB"/>
              </w:rPr>
              <w:t xml:space="preserve">ndividual </w:t>
            </w:r>
            <w:r w:rsidRPr="004D0DAA">
              <w:rPr>
                <w:rFonts w:ascii="Arial" w:hAnsi="Arial"/>
                <w:sz w:val="18"/>
                <w:lang w:eastAsia="en-GB"/>
              </w:rPr>
              <w:t>E-UTRAN PP with extended EARFCNs struct &gt;&gt; } ** 0 ;</w:t>
            </w:r>
          </w:p>
          <w:p w14:paraId="3C388F91" w14:textId="77777777" w:rsidR="00711444" w:rsidRPr="004D0DAA" w:rsidRDefault="00711444" w:rsidP="00AA2A4C">
            <w:pPr>
              <w:keepNext/>
              <w:keepLines/>
              <w:spacing w:after="0"/>
              <w:rPr>
                <w:rFonts w:ascii="Arial" w:hAnsi="Arial" w:hint="eastAsia"/>
                <w:sz w:val="18"/>
                <w:lang w:eastAsia="zh-CN"/>
              </w:rPr>
            </w:pPr>
          </w:p>
        </w:tc>
      </w:tr>
      <w:tr w:rsidR="00711444" w:rsidRPr="004D0DAA" w14:paraId="19034593" w14:textId="77777777" w:rsidTr="00AA2A4C">
        <w:tblPrEx>
          <w:tblCellMar>
            <w:top w:w="0" w:type="dxa"/>
            <w:bottom w:w="0" w:type="dxa"/>
          </w:tblCellMar>
        </w:tblPrEx>
        <w:trPr>
          <w:cantSplit/>
          <w:jc w:val="center"/>
        </w:trPr>
        <w:tc>
          <w:tcPr>
            <w:tcW w:w="9463" w:type="dxa"/>
            <w:tcMar>
              <w:top w:w="57" w:type="dxa"/>
            </w:tcMar>
            <w:vAlign w:val="center"/>
          </w:tcPr>
          <w:p w14:paraId="54CBB74E"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&lt; Repeated I</w:t>
            </w:r>
            <w:r w:rsidRPr="004D0DAA">
              <w:rPr>
                <w:rFonts w:ascii="Arial" w:hAnsi="Arial" w:hint="eastAsia"/>
                <w:sz w:val="18"/>
                <w:lang w:eastAsia="en-GB"/>
              </w:rPr>
              <w:t xml:space="preserve">ndividual </w:t>
            </w:r>
            <w:r w:rsidRPr="004D0DAA">
              <w:rPr>
                <w:rFonts w:ascii="Arial" w:hAnsi="Arial"/>
                <w:sz w:val="18"/>
                <w:lang w:eastAsia="en-GB"/>
              </w:rPr>
              <w:t>E-UTRAN PP with extended EARFCNs struct &gt; ::=</w:t>
            </w:r>
          </w:p>
          <w:p w14:paraId="26440241"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hint="eastAsia"/>
                <w:sz w:val="18"/>
                <w:lang w:eastAsia="zh-CN"/>
              </w:rPr>
              <w:t xml:space="preserve">{ 1 </w:t>
            </w:r>
            <w:r w:rsidRPr="004D0DAA">
              <w:rPr>
                <w:rFonts w:ascii="Arial" w:hAnsi="Arial"/>
                <w:sz w:val="18"/>
                <w:lang w:eastAsia="en-GB"/>
              </w:rPr>
              <w:t>&lt;</w:t>
            </w:r>
            <w:r w:rsidRPr="004D0DAA">
              <w:rPr>
                <w:rFonts w:ascii="Arial" w:hAnsi="Arial"/>
                <w:b/>
                <w:sz w:val="18"/>
                <w:lang w:eastAsia="en-GB"/>
              </w:rPr>
              <w:t xml:space="preserve"> EARFCN_extended</w:t>
            </w:r>
            <w:r w:rsidRPr="004D0DAA">
              <w:rPr>
                <w:rFonts w:ascii="Arial" w:hAnsi="Arial"/>
                <w:sz w:val="18"/>
                <w:lang w:eastAsia="en-GB"/>
              </w:rPr>
              <w:t xml:space="preserve"> : bit (</w:t>
            </w:r>
            <w:r w:rsidRPr="004D0DAA">
              <w:rPr>
                <w:rFonts w:ascii="Arial" w:hAnsi="Arial" w:hint="eastAsia"/>
                <w:sz w:val="18"/>
                <w:lang w:eastAsia="en-GB"/>
              </w:rPr>
              <w:t>1</w:t>
            </w:r>
            <w:r w:rsidRPr="004D0DAA">
              <w:rPr>
                <w:rFonts w:ascii="Arial" w:hAnsi="Arial"/>
                <w:sz w:val="18"/>
                <w:lang w:eastAsia="en-GB"/>
              </w:rPr>
              <w:t>8) &gt;</w:t>
            </w:r>
            <w:r w:rsidRPr="004D0DAA">
              <w:rPr>
                <w:rFonts w:ascii="Arial" w:hAnsi="Arial" w:hint="eastAsia"/>
                <w:sz w:val="18"/>
                <w:lang w:eastAsia="zh-CN"/>
              </w:rPr>
              <w:t xml:space="preserve"> } ** 0</w:t>
            </w:r>
          </w:p>
          <w:p w14:paraId="1A174611"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&lt;</w:t>
            </w:r>
            <w:r w:rsidRPr="004D0DAA">
              <w:rPr>
                <w:rFonts w:ascii="Arial" w:hAnsi="Arial"/>
                <w:b/>
                <w:sz w:val="18"/>
                <w:lang w:eastAsia="en-GB"/>
              </w:rPr>
              <w:t xml:space="preserve"> </w:t>
            </w:r>
            <w:r w:rsidRPr="004D0DAA">
              <w:rPr>
                <w:rFonts w:ascii="Arial" w:hAnsi="Arial" w:hint="eastAsia"/>
                <w:b/>
                <w:sz w:val="18"/>
                <w:lang w:eastAsia="en-GB"/>
              </w:rPr>
              <w:t>E-</w:t>
            </w:r>
            <w:r w:rsidRPr="004D0DAA">
              <w:rPr>
                <w:rFonts w:ascii="Arial" w:hAnsi="Arial"/>
                <w:b/>
                <w:sz w:val="18"/>
                <w:lang w:eastAsia="en-GB"/>
              </w:rPr>
              <w:t>UTRAN_PRIORITY</w:t>
            </w:r>
            <w:r w:rsidRPr="004D0DAA">
              <w:rPr>
                <w:rFonts w:ascii="Arial" w:hAnsi="Arial"/>
                <w:sz w:val="18"/>
                <w:lang w:eastAsia="en-GB"/>
              </w:rPr>
              <w:t xml:space="preserve"> : bit(3) &gt; ;</w:t>
            </w:r>
          </w:p>
          <w:p w14:paraId="09E7B479" w14:textId="77777777" w:rsidR="00711444" w:rsidRPr="004D0DAA" w:rsidRDefault="00711444" w:rsidP="00AA2A4C">
            <w:pPr>
              <w:keepNext/>
              <w:keepLines/>
              <w:spacing w:after="0"/>
              <w:rPr>
                <w:rFonts w:ascii="Arial" w:hAnsi="Arial"/>
                <w:sz w:val="18"/>
                <w:lang w:eastAsia="en-GB"/>
              </w:rPr>
            </w:pPr>
          </w:p>
        </w:tc>
      </w:tr>
    </w:tbl>
    <w:p w14:paraId="2D90D40C" w14:textId="77777777" w:rsidR="00711444" w:rsidRPr="004D0DAA" w:rsidRDefault="00711444" w:rsidP="00711444">
      <w:pPr>
        <w:rPr>
          <w:rFonts w:hint="eastAsia"/>
          <w:lang w:eastAsia="zh-CN"/>
        </w:rPr>
      </w:pPr>
    </w:p>
    <w:p w14:paraId="28239A51" w14:textId="77777777" w:rsidR="00711444" w:rsidRPr="004D0DAA" w:rsidRDefault="00711444" w:rsidP="00711444">
      <w:pPr>
        <w:pStyle w:val="TH"/>
        <w:rPr>
          <w:rFonts w:hint="eastAsia"/>
          <w:lang w:eastAsia="zh-CN"/>
        </w:rPr>
      </w:pPr>
      <w:r w:rsidRPr="004D0DAA">
        <w:lastRenderedPageBreak/>
        <w:t>Table 1</w:t>
      </w:r>
      <w:r w:rsidRPr="004D0DAA">
        <w:rPr>
          <w:rFonts w:hint="eastAsia"/>
          <w:lang w:eastAsia="zh-CN"/>
        </w:rPr>
        <w:t>2.</w:t>
      </w:r>
      <w:r w:rsidRPr="004D0DAA">
        <w:rPr>
          <w:lang w:eastAsia="zh-CN"/>
        </w:rPr>
        <w:t>69</w:t>
      </w:r>
      <w:r w:rsidRPr="004D0DAA">
        <w:rPr>
          <w:rFonts w:hint="eastAsia"/>
          <w:lang w:eastAsia="zh-CN"/>
        </w:rPr>
        <w:t>.2</w:t>
      </w:r>
      <w:r w:rsidRPr="004D0DAA">
        <w:t>: </w:t>
      </w:r>
      <w:r w:rsidRPr="004D0DAA">
        <w:rPr>
          <w:rFonts w:hint="eastAsia"/>
          <w:i/>
        </w:rPr>
        <w:t xml:space="preserve"> </w:t>
      </w:r>
      <w:r w:rsidRPr="004D0DAA">
        <w:rPr>
          <w:i/>
        </w:rPr>
        <w:t xml:space="preserve">E-UTRAN IPP with extended EARFCNs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48888443" w14:textId="77777777" w:rsidTr="00AA2A4C">
        <w:tblPrEx>
          <w:tblCellMar>
            <w:top w:w="0" w:type="dxa"/>
            <w:bottom w:w="0" w:type="dxa"/>
          </w:tblCellMar>
        </w:tblPrEx>
        <w:trPr>
          <w:cantSplit/>
          <w:jc w:val="center"/>
        </w:trPr>
        <w:tc>
          <w:tcPr>
            <w:tcW w:w="9463" w:type="dxa"/>
            <w:tcMar>
              <w:top w:w="57" w:type="dxa"/>
            </w:tcMar>
            <w:vAlign w:val="center"/>
          </w:tcPr>
          <w:p w14:paraId="78E3D39D" w14:textId="77777777" w:rsidR="00711444" w:rsidRPr="004D0DAA" w:rsidRDefault="00711444" w:rsidP="00AA2A4C">
            <w:pPr>
              <w:keepNext/>
              <w:keepLines/>
              <w:spacing w:after="0"/>
              <w:rPr>
                <w:lang w:eastAsia="zh-CN"/>
              </w:rPr>
            </w:pPr>
            <w:r w:rsidRPr="004D0DAA">
              <w:rPr>
                <w:b/>
                <w:lang w:eastAsia="en-GB"/>
              </w:rPr>
              <w:t>E-UTRAN_PRIORITY</w:t>
            </w:r>
            <w:r w:rsidRPr="004D0DAA">
              <w:rPr>
                <w:lang w:eastAsia="en-GB"/>
              </w:rPr>
              <w:t xml:space="preserve"> (3 bit field)</w:t>
            </w:r>
          </w:p>
          <w:p w14:paraId="573A2518" w14:textId="77777777" w:rsidR="00711444" w:rsidRPr="004D0DAA" w:rsidRDefault="00711444" w:rsidP="00AA2A4C">
            <w:pPr>
              <w:keepNext/>
              <w:keepLines/>
              <w:spacing w:after="0"/>
              <w:rPr>
                <w:lang w:eastAsia="zh-CN"/>
              </w:rPr>
            </w:pPr>
            <w:r w:rsidRPr="004D0DAA">
              <w:rPr>
                <w:lang w:eastAsia="en-GB"/>
              </w:rPr>
              <w:t xml:space="preserve">This field </w:t>
            </w:r>
            <w:r w:rsidRPr="004D0DAA">
              <w:rPr>
                <w:lang w:eastAsia="zh-CN"/>
              </w:rPr>
              <w:t>is used</w:t>
            </w:r>
            <w:r w:rsidRPr="004D0DAA">
              <w:rPr>
                <w:lang w:eastAsia="en-GB"/>
              </w:rPr>
              <w:t xml:space="preserve"> for the inter-RAT cell re-selection algorithm based on priority information, see sub-clause </w:t>
            </w:r>
            <w:r w:rsidRPr="004D0DAA">
              <w:rPr>
                <w:lang w:eastAsia="zh-CN"/>
              </w:rPr>
              <w:t>12.53</w:t>
            </w:r>
            <w:r w:rsidRPr="004D0DAA">
              <w:rPr>
                <w:lang w:eastAsia="en-GB"/>
              </w:rPr>
              <w:t>.</w:t>
            </w:r>
          </w:p>
          <w:p w14:paraId="6CADFBAF" w14:textId="77777777" w:rsidR="00711444" w:rsidRPr="004D0DAA" w:rsidRDefault="00711444" w:rsidP="00AA2A4C">
            <w:pPr>
              <w:keepNext/>
              <w:keepLines/>
              <w:spacing w:after="0"/>
              <w:rPr>
                <w:lang w:eastAsia="zh-CN"/>
              </w:rPr>
            </w:pPr>
          </w:p>
          <w:p w14:paraId="699D4CFA" w14:textId="77777777" w:rsidR="00711444" w:rsidRPr="004D0DAA" w:rsidRDefault="00711444" w:rsidP="00AA2A4C">
            <w:pPr>
              <w:keepNext/>
              <w:keepLines/>
              <w:spacing w:after="0"/>
              <w:rPr>
                <w:lang w:eastAsia="zh-CN"/>
              </w:rPr>
            </w:pPr>
            <w:r w:rsidRPr="004D0DAA">
              <w:rPr>
                <w:b/>
                <w:lang w:eastAsia="en-GB"/>
              </w:rPr>
              <w:t>DEFAULT_E-UTRAN_PRIORITY</w:t>
            </w:r>
            <w:r w:rsidRPr="004D0DAA">
              <w:rPr>
                <w:lang w:eastAsia="en-GB"/>
              </w:rPr>
              <w:t xml:space="preserve"> </w:t>
            </w:r>
            <w:r w:rsidRPr="004D0DAA">
              <w:rPr>
                <w:lang w:eastAsia="zh-CN"/>
              </w:rPr>
              <w:t>(3 bit field)</w:t>
            </w:r>
          </w:p>
          <w:p w14:paraId="529EFBF2" w14:textId="77777777" w:rsidR="00711444" w:rsidRPr="004D0DAA" w:rsidRDefault="00711444" w:rsidP="00AA2A4C">
            <w:pPr>
              <w:keepNext/>
              <w:keepLines/>
              <w:spacing w:after="0"/>
              <w:rPr>
                <w:lang w:eastAsia="zh-CN"/>
              </w:rPr>
            </w:pPr>
            <w:r w:rsidRPr="004D0DAA">
              <w:rPr>
                <w:lang w:eastAsia="en-GB"/>
              </w:rPr>
              <w:t xml:space="preserve">The DEFAULT_E-UTRAN_PRIORITY field is encoded as the E-UTRAN_PRIORITY field. Any E-UTRAN frequency contained in the E-UTRAN Neighbour Cell list and not explicitly listed in any occurrence of the </w:t>
            </w:r>
            <w:r w:rsidRPr="004D0DAA">
              <w:rPr>
                <w:i/>
                <w:lang w:eastAsia="en-GB"/>
              </w:rPr>
              <w:t>Repeated Individual E-UTRAN PP with extended EARFCNs</w:t>
            </w:r>
            <w:r w:rsidRPr="004D0DAA">
              <w:rPr>
                <w:lang w:eastAsia="en-GB"/>
              </w:rPr>
              <w:t xml:space="preserve"> IE shall be assigned the corresponding default value. If the </w:t>
            </w:r>
            <w:r w:rsidRPr="004D0DAA">
              <w:rPr>
                <w:i/>
                <w:lang w:eastAsia="en-GB"/>
              </w:rPr>
              <w:t>Repeated Individual E-UTRAN PP with extended EARFCNs</w:t>
            </w:r>
            <w:r w:rsidRPr="004D0DAA">
              <w:rPr>
                <w:lang w:eastAsia="en-GB"/>
              </w:rPr>
              <w:t xml:space="preserve"> IE is not present, every E-UTRAN frequency in the E-UTRAN Neighbour Cell list for the serving cell shall be assigned the default value.</w:t>
            </w:r>
          </w:p>
          <w:p w14:paraId="383446AF" w14:textId="77777777" w:rsidR="00711444" w:rsidRPr="004D0DAA" w:rsidRDefault="00711444" w:rsidP="00AA2A4C">
            <w:pPr>
              <w:keepNext/>
              <w:keepLines/>
              <w:spacing w:after="0"/>
              <w:rPr>
                <w:lang w:eastAsia="zh-CN"/>
              </w:rPr>
            </w:pPr>
          </w:p>
        </w:tc>
      </w:tr>
      <w:tr w:rsidR="00711444" w:rsidRPr="004D0DAA" w14:paraId="11F79443" w14:textId="77777777" w:rsidTr="00AA2A4C">
        <w:tblPrEx>
          <w:tblCellMar>
            <w:top w:w="0" w:type="dxa"/>
            <w:bottom w:w="0" w:type="dxa"/>
          </w:tblCellMar>
        </w:tblPrEx>
        <w:trPr>
          <w:cantSplit/>
          <w:jc w:val="center"/>
        </w:trPr>
        <w:tc>
          <w:tcPr>
            <w:tcW w:w="9463" w:type="dxa"/>
            <w:tcMar>
              <w:top w:w="57" w:type="dxa"/>
            </w:tcMar>
            <w:vAlign w:val="center"/>
          </w:tcPr>
          <w:p w14:paraId="3846CC44" w14:textId="77777777" w:rsidR="00711444" w:rsidRPr="004D0DAA" w:rsidRDefault="00711444" w:rsidP="00AA2A4C">
            <w:pPr>
              <w:keepNext/>
              <w:keepLines/>
              <w:spacing w:after="0"/>
              <w:rPr>
                <w:lang w:eastAsia="en-GB"/>
              </w:rPr>
            </w:pPr>
            <w:r w:rsidRPr="004D0DAA">
              <w:rPr>
                <w:b/>
                <w:lang w:eastAsia="en-GB"/>
              </w:rPr>
              <w:t>EARFCN_extended</w:t>
            </w:r>
            <w:r w:rsidRPr="004D0DAA">
              <w:rPr>
                <w:lang w:eastAsia="en-GB"/>
              </w:rPr>
              <w:t xml:space="preserve"> (</w:t>
            </w:r>
            <w:r w:rsidRPr="004D0DAA">
              <w:rPr>
                <w:lang w:eastAsia="zh-CN"/>
              </w:rPr>
              <w:t>18</w:t>
            </w:r>
            <w:r w:rsidRPr="004D0DAA">
              <w:rPr>
                <w:lang w:eastAsia="en-GB"/>
              </w:rPr>
              <w:t xml:space="preserve"> bit field)</w:t>
            </w:r>
          </w:p>
          <w:p w14:paraId="0F1722F3" w14:textId="77777777" w:rsidR="00711444" w:rsidRPr="004D0DAA" w:rsidRDefault="00711444" w:rsidP="00AA2A4C">
            <w:pPr>
              <w:keepNext/>
              <w:keepLines/>
              <w:spacing w:after="0"/>
              <w:rPr>
                <w:lang w:eastAsia="zh-CN"/>
              </w:rPr>
            </w:pPr>
            <w:r w:rsidRPr="004D0DAA">
              <w:rPr>
                <w:bCs/>
                <w:lang w:eastAsia="zh-CN"/>
              </w:rPr>
              <w:t>This field is defined in sub-clause 12.70</w:t>
            </w:r>
            <w:r w:rsidRPr="004D0DAA">
              <w:rPr>
                <w:lang w:eastAsia="zh-CN"/>
              </w:rPr>
              <w:t>.</w:t>
            </w:r>
          </w:p>
          <w:p w14:paraId="05A47A61" w14:textId="77777777" w:rsidR="00711444" w:rsidRPr="004D0DAA" w:rsidRDefault="00711444" w:rsidP="00AA2A4C">
            <w:pPr>
              <w:keepNext/>
              <w:keepLines/>
              <w:spacing w:after="0"/>
              <w:rPr>
                <w:lang w:eastAsia="zh-CN"/>
              </w:rPr>
            </w:pPr>
          </w:p>
        </w:tc>
      </w:tr>
    </w:tbl>
    <w:p w14:paraId="61FF8A95" w14:textId="77777777" w:rsidR="00711444" w:rsidRPr="004D0DAA" w:rsidRDefault="00711444" w:rsidP="00711444">
      <w:pPr>
        <w:pStyle w:val="NO"/>
        <w:ind w:left="0" w:firstLine="0"/>
        <w:rPr>
          <w:noProof/>
          <w:sz w:val="40"/>
          <w:szCs w:val="40"/>
          <w:lang w:eastAsia="ja-JP"/>
        </w:rPr>
      </w:pPr>
    </w:p>
    <w:p w14:paraId="23745178" w14:textId="77777777" w:rsidR="00711444" w:rsidRPr="004D0DAA" w:rsidRDefault="00711444" w:rsidP="00711444">
      <w:pPr>
        <w:pStyle w:val="Heading2"/>
        <w:rPr>
          <w:rFonts w:hint="eastAsia"/>
          <w:lang w:eastAsia="en-GB"/>
        </w:rPr>
      </w:pPr>
      <w:bookmarkStart w:id="867" w:name="_Toc516670040"/>
      <w:r w:rsidRPr="004D0DAA">
        <w:rPr>
          <w:lang w:eastAsia="en-GB"/>
        </w:rPr>
        <w:t>12.70</w:t>
      </w:r>
      <w:r w:rsidRPr="004D0DAA">
        <w:rPr>
          <w:lang w:eastAsia="en-GB"/>
        </w:rPr>
        <w:tab/>
        <w:t>E-UTRAN NC with extended EARFCNs</w:t>
      </w:r>
      <w:bookmarkEnd w:id="867"/>
    </w:p>
    <w:p w14:paraId="40662C2E" w14:textId="77777777" w:rsidR="00711444" w:rsidRPr="004D0DAA" w:rsidRDefault="00711444" w:rsidP="00711444">
      <w:pPr>
        <w:rPr>
          <w:lang w:eastAsia="zh-CN"/>
        </w:rPr>
      </w:pPr>
      <w:r w:rsidRPr="004D0DAA">
        <w:rPr>
          <w:lang w:eastAsia="en-GB"/>
        </w:rPr>
        <w:t>T</w:t>
      </w:r>
      <w:r w:rsidRPr="004D0DAA">
        <w:rPr>
          <w:rFonts w:hint="eastAsia"/>
          <w:lang w:eastAsia="en-GB"/>
        </w:rPr>
        <w:t xml:space="preserve">his information element </w:t>
      </w:r>
      <w:r w:rsidRPr="004D0DAA">
        <w:rPr>
          <w:rFonts w:hint="eastAsia"/>
          <w:lang w:eastAsia="zh-CN"/>
        </w:rPr>
        <w:t xml:space="preserve">is sent to provide </w:t>
      </w:r>
      <w:r w:rsidRPr="004D0DAA">
        <w:rPr>
          <w:lang w:eastAsia="zh-CN"/>
        </w:rPr>
        <w:t>information about E-UTRAN frequencies and priority information for neighbouring E-UTRAN cells</w:t>
      </w:r>
      <w:r w:rsidRPr="004D0DAA">
        <w:rPr>
          <w:bCs/>
          <w:szCs w:val="18"/>
          <w:lang w:eastAsia="en-GB"/>
        </w:rPr>
        <w:t>.</w:t>
      </w:r>
    </w:p>
    <w:p w14:paraId="2AB9B468" w14:textId="77777777" w:rsidR="00711444" w:rsidRPr="004D0DAA" w:rsidRDefault="00711444" w:rsidP="00711444">
      <w:pPr>
        <w:pStyle w:val="TH"/>
      </w:pPr>
      <w:r w:rsidRPr="004D0DAA">
        <w:t>Table </w:t>
      </w:r>
      <w:r w:rsidRPr="004D0DAA">
        <w:rPr>
          <w:rFonts w:hint="eastAsia"/>
          <w:lang w:eastAsia="zh-CN"/>
        </w:rPr>
        <w:t>12.</w:t>
      </w:r>
      <w:r w:rsidRPr="004D0DAA">
        <w:rPr>
          <w:lang w:eastAsia="zh-CN"/>
        </w:rPr>
        <w:t>70</w:t>
      </w:r>
      <w:r w:rsidRPr="004D0DAA">
        <w:rPr>
          <w:rFonts w:hint="eastAsia"/>
          <w:lang w:eastAsia="zh-CN"/>
        </w:rPr>
        <w:t>.1</w:t>
      </w:r>
      <w:r w:rsidRPr="004D0DAA">
        <w:t>:</w:t>
      </w:r>
      <w:r w:rsidRPr="004D0DAA">
        <w:rPr>
          <w:rFonts w:hint="eastAsia"/>
        </w:rPr>
        <w:t xml:space="preserve"> </w:t>
      </w:r>
      <w:r w:rsidRPr="004D0DAA">
        <w:t>E-UTRAN NC with extended EARFCNs information element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3861C736" w14:textId="77777777" w:rsidTr="00AA2A4C">
        <w:tblPrEx>
          <w:tblCellMar>
            <w:top w:w="0" w:type="dxa"/>
            <w:bottom w:w="0" w:type="dxa"/>
          </w:tblCellMar>
        </w:tblPrEx>
        <w:trPr>
          <w:cantSplit/>
          <w:jc w:val="center"/>
        </w:trPr>
        <w:tc>
          <w:tcPr>
            <w:tcW w:w="9463" w:type="dxa"/>
            <w:tcMar>
              <w:top w:w="57" w:type="dxa"/>
            </w:tcMar>
          </w:tcPr>
          <w:p w14:paraId="314ACF80" w14:textId="77777777" w:rsidR="00711444" w:rsidRPr="004D0DAA" w:rsidRDefault="00711444" w:rsidP="00AA2A4C">
            <w:pPr>
              <w:keepNext/>
              <w:keepLines/>
              <w:spacing w:after="0"/>
              <w:rPr>
                <w:rFonts w:ascii="Arial" w:hAnsi="Arial" w:hint="eastAsia"/>
                <w:sz w:val="18"/>
                <w:lang w:eastAsia="en-GB"/>
              </w:rPr>
            </w:pPr>
            <w:r w:rsidRPr="004D0DAA">
              <w:rPr>
                <w:rFonts w:ascii="Arial" w:hAnsi="Arial"/>
                <w:sz w:val="18"/>
                <w:lang w:eastAsia="en-GB"/>
              </w:rPr>
              <w:t xml:space="preserve">&lt; E-UTRAN NC with extended EARFCNs IE &gt; ::= </w:t>
            </w:r>
          </w:p>
          <w:p w14:paraId="1E07338D"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xml:space="preserve">{ 1 &lt; </w:t>
            </w:r>
            <w:r w:rsidRPr="004D0DAA">
              <w:rPr>
                <w:rFonts w:ascii="Arial" w:hAnsi="Arial"/>
                <w:b/>
                <w:sz w:val="18"/>
                <w:lang w:eastAsia="en-GB"/>
              </w:rPr>
              <w:t>Repeated E-UTRAN NC with extended EARFCNs</w:t>
            </w:r>
            <w:r w:rsidRPr="004D0DAA">
              <w:rPr>
                <w:rFonts w:ascii="Arial" w:hAnsi="Arial"/>
                <w:sz w:val="18"/>
                <w:lang w:eastAsia="en-GB"/>
              </w:rPr>
              <w:t xml:space="preserve"> :</w:t>
            </w:r>
          </w:p>
          <w:p w14:paraId="155157BB" w14:textId="77777777" w:rsidR="00711444" w:rsidRPr="004D0DAA" w:rsidRDefault="00711444" w:rsidP="00AA2A4C">
            <w:pPr>
              <w:keepNext/>
              <w:keepLines/>
              <w:spacing w:after="0"/>
              <w:rPr>
                <w:rFonts w:ascii="Arial" w:hAnsi="Arial"/>
                <w:sz w:val="18"/>
                <w:lang w:eastAsia="ko-KR"/>
              </w:rPr>
            </w:pPr>
            <w:r w:rsidRPr="004D0DAA">
              <w:rPr>
                <w:rFonts w:ascii="Arial" w:hAnsi="Arial"/>
                <w:sz w:val="18"/>
                <w:lang w:eastAsia="en-GB"/>
              </w:rPr>
              <w:tab/>
            </w:r>
            <w:r w:rsidRPr="004D0DAA">
              <w:rPr>
                <w:rFonts w:ascii="Arial" w:hAnsi="Arial"/>
                <w:sz w:val="18"/>
                <w:lang w:eastAsia="en-GB"/>
              </w:rPr>
              <w:tab/>
              <w:t>&lt; Repeated E-UTRAN NC with extended EARFCNs struct &gt;&gt; } ** 0</w:t>
            </w:r>
            <w:r w:rsidRPr="004D0DAA">
              <w:rPr>
                <w:rFonts w:ascii="Arial" w:hAnsi="Arial"/>
                <w:sz w:val="18"/>
                <w:lang w:eastAsia="ko-KR"/>
              </w:rPr>
              <w:t>;</w:t>
            </w:r>
          </w:p>
          <w:p w14:paraId="6C9F5A8D" w14:textId="77777777" w:rsidR="00711444" w:rsidRPr="004D0DAA" w:rsidRDefault="00711444" w:rsidP="00AA2A4C">
            <w:pPr>
              <w:keepNext/>
              <w:keepLines/>
              <w:spacing w:after="0"/>
              <w:rPr>
                <w:rFonts w:ascii="Arial" w:hAnsi="Arial"/>
                <w:sz w:val="18"/>
                <w:lang w:eastAsia="zh-CN"/>
              </w:rPr>
            </w:pPr>
          </w:p>
        </w:tc>
      </w:tr>
      <w:tr w:rsidR="00711444" w:rsidRPr="004D0DAA" w14:paraId="25543A73" w14:textId="77777777" w:rsidTr="00AA2A4C">
        <w:tblPrEx>
          <w:tblCellMar>
            <w:top w:w="0" w:type="dxa"/>
            <w:bottom w:w="0" w:type="dxa"/>
          </w:tblCellMar>
        </w:tblPrEx>
        <w:trPr>
          <w:cantSplit/>
          <w:jc w:val="center"/>
        </w:trPr>
        <w:tc>
          <w:tcPr>
            <w:tcW w:w="9463" w:type="dxa"/>
            <w:tcMar>
              <w:top w:w="57" w:type="dxa"/>
            </w:tcMar>
          </w:tcPr>
          <w:p w14:paraId="1A24435A"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&lt; Repeated E-UTRAN NC with extended EARFCNs struct &gt; ::=</w:t>
            </w:r>
            <w:r w:rsidRPr="004D0DAA">
              <w:rPr>
                <w:rFonts w:ascii="Arial" w:hAnsi="Arial"/>
                <w:sz w:val="18"/>
                <w:lang w:eastAsia="en-GB"/>
              </w:rPr>
              <w:br/>
            </w:r>
            <w:r w:rsidRPr="004D0DAA">
              <w:rPr>
                <w:rFonts w:ascii="Arial" w:hAnsi="Arial"/>
                <w:sz w:val="18"/>
                <w:lang w:eastAsia="en-GB"/>
              </w:rPr>
              <w:tab/>
              <w:t xml:space="preserve">{ 1 &lt; </w:t>
            </w:r>
            <w:r w:rsidRPr="004D0DAA">
              <w:rPr>
                <w:rFonts w:ascii="Arial" w:hAnsi="Arial"/>
                <w:b/>
                <w:sz w:val="18"/>
                <w:lang w:eastAsia="en-GB"/>
              </w:rPr>
              <w:t>EARFCN_extended</w:t>
            </w:r>
            <w:r w:rsidRPr="004D0DAA">
              <w:rPr>
                <w:rFonts w:ascii="Arial" w:hAnsi="Arial"/>
                <w:sz w:val="18"/>
                <w:lang w:eastAsia="en-GB"/>
              </w:rPr>
              <w:t xml:space="preserve"> : bit (18) &gt;</w:t>
            </w:r>
          </w:p>
          <w:p w14:paraId="7C389A46"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sz w:val="18"/>
                <w:lang w:eastAsia="en-GB"/>
              </w:rPr>
              <w:tab/>
              <w:t xml:space="preserve">{ 0 | 1 &lt; </w:t>
            </w:r>
            <w:r w:rsidRPr="004D0DAA">
              <w:rPr>
                <w:rFonts w:ascii="Arial" w:hAnsi="Arial"/>
                <w:b/>
                <w:sz w:val="18"/>
                <w:lang w:eastAsia="en-GB"/>
              </w:rPr>
              <w:t>Measurement Bandwidth</w:t>
            </w:r>
            <w:r w:rsidRPr="004D0DAA">
              <w:rPr>
                <w:rFonts w:ascii="Arial" w:hAnsi="Arial"/>
                <w:sz w:val="18"/>
                <w:lang w:eastAsia="en-GB"/>
              </w:rPr>
              <w:t xml:space="preserve"> : bit (3) &gt; } } ** 0</w:t>
            </w:r>
          </w:p>
          <w:p w14:paraId="228373AE"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r>
            <w:r w:rsidRPr="004D0DAA">
              <w:rPr>
                <w:rFonts w:ascii="Arial" w:hAnsi="Arial" w:hint="eastAsia"/>
                <w:sz w:val="18"/>
                <w:lang w:eastAsia="ja-JP"/>
              </w:rPr>
              <w:t xml:space="preserve">{ 0 | 1  </w:t>
            </w:r>
            <w:r w:rsidRPr="004D0DAA">
              <w:rPr>
                <w:rFonts w:ascii="Arial" w:hAnsi="Arial"/>
                <w:sz w:val="18"/>
                <w:lang w:eastAsia="en-GB"/>
              </w:rPr>
              <w:t xml:space="preserve">&lt; </w:t>
            </w:r>
            <w:r w:rsidRPr="004D0DAA">
              <w:rPr>
                <w:rFonts w:ascii="Arial" w:hAnsi="Arial"/>
                <w:b/>
                <w:sz w:val="18"/>
                <w:lang w:eastAsia="en-GB"/>
              </w:rPr>
              <w:t>E-UTRAN_PRIORITY</w:t>
            </w:r>
            <w:r w:rsidRPr="004D0DAA">
              <w:rPr>
                <w:rFonts w:ascii="Arial" w:hAnsi="Arial"/>
                <w:sz w:val="18"/>
                <w:lang w:eastAsia="en-GB"/>
              </w:rPr>
              <w:t xml:space="preserve"> : bit(3) &gt;</w:t>
            </w:r>
            <w:r w:rsidRPr="004D0DAA">
              <w:rPr>
                <w:rFonts w:ascii="Arial" w:hAnsi="Arial" w:hint="eastAsia"/>
                <w:sz w:val="18"/>
                <w:lang w:eastAsia="ja-JP"/>
              </w:rPr>
              <w:t xml:space="preserve"> }</w:t>
            </w:r>
          </w:p>
          <w:p w14:paraId="27F9A49E" w14:textId="77777777" w:rsidR="00711444" w:rsidRPr="004D0DAA" w:rsidRDefault="00711444" w:rsidP="00AA2A4C">
            <w:pPr>
              <w:keepNext/>
              <w:keepLines/>
              <w:spacing w:after="0"/>
              <w:rPr>
                <w:rFonts w:ascii="Arial" w:hAnsi="Arial"/>
                <w:sz w:val="18"/>
                <w:lang w:eastAsia="en-GB"/>
              </w:rPr>
            </w:pPr>
            <w:r w:rsidRPr="004D0DAA">
              <w:rPr>
                <w:rFonts w:ascii="Arial" w:hAnsi="Arial"/>
                <w:i/>
                <w:sz w:val="18"/>
                <w:lang w:eastAsia="en-GB"/>
              </w:rPr>
              <w:tab/>
            </w:r>
            <w:r w:rsidRPr="004D0DAA">
              <w:rPr>
                <w:rFonts w:ascii="Arial" w:hAnsi="Arial"/>
                <w:sz w:val="18"/>
                <w:lang w:eastAsia="en-GB"/>
              </w:rPr>
              <w:t xml:space="preserve">&lt; </w:t>
            </w:r>
            <w:r w:rsidRPr="004D0DAA">
              <w:rPr>
                <w:rFonts w:ascii="Arial" w:hAnsi="Arial"/>
                <w:b/>
                <w:sz w:val="18"/>
                <w:lang w:eastAsia="en-GB"/>
              </w:rPr>
              <w:t xml:space="preserve">THRESH_E-UTRAN_high </w:t>
            </w:r>
            <w:r w:rsidRPr="004D0DAA">
              <w:rPr>
                <w:rFonts w:ascii="Arial" w:hAnsi="Arial"/>
                <w:sz w:val="18"/>
                <w:lang w:eastAsia="en-GB"/>
              </w:rPr>
              <w:t>: bit(5) &gt;</w:t>
            </w:r>
          </w:p>
          <w:p w14:paraId="2F2D0309"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0 | 1</w:t>
            </w:r>
            <w:r w:rsidRPr="004D0DAA">
              <w:rPr>
                <w:rFonts w:ascii="Arial" w:hAnsi="Arial"/>
                <w:sz w:val="18"/>
                <w:lang w:eastAsia="en-GB"/>
              </w:rPr>
              <w:tab/>
              <w:t xml:space="preserve">&lt; </w:t>
            </w:r>
            <w:r w:rsidRPr="004D0DAA">
              <w:rPr>
                <w:rFonts w:ascii="Arial" w:hAnsi="Arial"/>
                <w:b/>
                <w:sz w:val="18"/>
                <w:lang w:eastAsia="en-GB"/>
              </w:rPr>
              <w:t xml:space="preserve">THRESH_E-UTRAN_low </w:t>
            </w:r>
            <w:r w:rsidRPr="004D0DAA">
              <w:rPr>
                <w:rFonts w:ascii="Arial" w:hAnsi="Arial"/>
                <w:sz w:val="18"/>
                <w:lang w:eastAsia="en-GB"/>
              </w:rPr>
              <w:t>: bit(5) &gt; }</w:t>
            </w:r>
          </w:p>
          <w:p w14:paraId="6CDA4E9A" w14:textId="77777777" w:rsidR="00711444" w:rsidRPr="004D0DAA" w:rsidRDefault="00711444" w:rsidP="00AA2A4C">
            <w:pPr>
              <w:keepNext/>
              <w:keepLines/>
              <w:spacing w:after="0"/>
              <w:rPr>
                <w:rFonts w:ascii="Arial" w:hAnsi="Arial"/>
                <w:sz w:val="18"/>
                <w:lang w:eastAsia="en-GB"/>
              </w:rPr>
            </w:pPr>
            <w:r w:rsidRPr="004D0DAA">
              <w:rPr>
                <w:rFonts w:ascii="Arial" w:hAnsi="Arial"/>
                <w:sz w:val="18"/>
                <w:lang w:eastAsia="en-GB"/>
              </w:rPr>
              <w:tab/>
              <w:t>{ 0 | 1</w:t>
            </w:r>
            <w:r w:rsidRPr="004D0DAA">
              <w:rPr>
                <w:rFonts w:ascii="Arial" w:hAnsi="Arial"/>
                <w:sz w:val="18"/>
                <w:lang w:eastAsia="en-GB"/>
              </w:rPr>
              <w:tab/>
              <w:t xml:space="preserve">&lt; </w:t>
            </w:r>
            <w:r w:rsidRPr="004D0DAA">
              <w:rPr>
                <w:rFonts w:ascii="Arial" w:hAnsi="Arial"/>
                <w:b/>
                <w:sz w:val="18"/>
                <w:lang w:eastAsia="en-GB"/>
              </w:rPr>
              <w:t xml:space="preserve">E-UTRAN_QRXLEVMIN </w:t>
            </w:r>
            <w:r w:rsidRPr="004D0DAA">
              <w:rPr>
                <w:rFonts w:ascii="Arial" w:hAnsi="Arial"/>
                <w:sz w:val="18"/>
                <w:lang w:eastAsia="en-GB"/>
              </w:rPr>
              <w:t>: bit(5) &gt; } ;</w:t>
            </w:r>
          </w:p>
          <w:p w14:paraId="0E065E16" w14:textId="77777777" w:rsidR="00711444" w:rsidRPr="004D0DAA" w:rsidRDefault="00711444" w:rsidP="00AA2A4C">
            <w:pPr>
              <w:keepNext/>
              <w:keepLines/>
              <w:spacing w:after="0"/>
              <w:rPr>
                <w:rFonts w:ascii="Arial" w:hAnsi="Arial"/>
                <w:sz w:val="18"/>
                <w:lang w:eastAsia="en-GB"/>
              </w:rPr>
            </w:pPr>
          </w:p>
        </w:tc>
      </w:tr>
    </w:tbl>
    <w:p w14:paraId="2B531A0E" w14:textId="77777777" w:rsidR="00711444" w:rsidRPr="004D0DAA" w:rsidRDefault="00711444" w:rsidP="00711444">
      <w:pPr>
        <w:rPr>
          <w:rFonts w:hint="eastAsia"/>
          <w:lang w:eastAsia="zh-CN"/>
        </w:rPr>
      </w:pPr>
    </w:p>
    <w:p w14:paraId="2E1B617B" w14:textId="77777777" w:rsidR="00711444" w:rsidRPr="004D0DAA" w:rsidRDefault="00711444" w:rsidP="00711444">
      <w:pPr>
        <w:pStyle w:val="TH"/>
        <w:rPr>
          <w:rFonts w:hint="eastAsia"/>
          <w:lang w:eastAsia="zh-CN"/>
        </w:rPr>
      </w:pPr>
      <w:r w:rsidRPr="004D0DAA">
        <w:lastRenderedPageBreak/>
        <w:t>Table 1</w:t>
      </w:r>
      <w:r w:rsidRPr="004D0DAA">
        <w:rPr>
          <w:rFonts w:hint="eastAsia"/>
          <w:lang w:eastAsia="zh-CN"/>
        </w:rPr>
        <w:t>2.</w:t>
      </w:r>
      <w:r w:rsidRPr="004D0DAA">
        <w:rPr>
          <w:lang w:eastAsia="zh-CN"/>
        </w:rPr>
        <w:t>70</w:t>
      </w:r>
      <w:r w:rsidRPr="004D0DAA">
        <w:rPr>
          <w:rFonts w:hint="eastAsia"/>
          <w:lang w:eastAsia="zh-CN"/>
        </w:rPr>
        <w:t>.2</w:t>
      </w:r>
      <w:r w:rsidRPr="004D0DAA">
        <w:t>: </w:t>
      </w:r>
      <w:r w:rsidRPr="004D0DAA">
        <w:rPr>
          <w:i/>
        </w:rPr>
        <w:t xml:space="preserve">E-UTRAN NC with extended EARFCNs </w:t>
      </w:r>
      <w:r w:rsidRPr="004D0DAA">
        <w:t>information element</w:t>
      </w:r>
      <w:r w:rsidRPr="004D0DAA">
        <w:rPr>
          <w:rFonts w:hint="eastAsia"/>
          <w:lang w:eastAsia="zh-CN"/>
        </w:rPr>
        <w:t xml:space="preserve">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63"/>
      </w:tblGrid>
      <w:tr w:rsidR="00711444" w:rsidRPr="004D0DAA" w14:paraId="0BA45CC2" w14:textId="77777777" w:rsidTr="00AA2A4C">
        <w:tblPrEx>
          <w:tblCellMar>
            <w:top w:w="0" w:type="dxa"/>
            <w:bottom w:w="0" w:type="dxa"/>
          </w:tblCellMar>
        </w:tblPrEx>
        <w:trPr>
          <w:cantSplit/>
          <w:jc w:val="center"/>
        </w:trPr>
        <w:tc>
          <w:tcPr>
            <w:tcW w:w="9463" w:type="dxa"/>
            <w:tcMar>
              <w:top w:w="57" w:type="dxa"/>
            </w:tcMar>
            <w:vAlign w:val="center"/>
          </w:tcPr>
          <w:p w14:paraId="6B776FB7" w14:textId="77777777" w:rsidR="00711444" w:rsidRPr="004D0DAA" w:rsidRDefault="00711444" w:rsidP="00AA2A4C">
            <w:pPr>
              <w:rPr>
                <w:lang w:eastAsia="en-GB"/>
              </w:rPr>
            </w:pPr>
            <w:r w:rsidRPr="004D0DAA">
              <w:rPr>
                <w:rFonts w:eastAsia="SimSun"/>
                <w:b/>
              </w:rPr>
              <w:t>E-UTRAN NC with extended EARFCNs</w:t>
            </w:r>
            <w:r w:rsidRPr="004D0DAA">
              <w:rPr>
                <w:rFonts w:eastAsia="SimSun"/>
                <w:b/>
              </w:rPr>
              <w:br/>
            </w:r>
            <w:r w:rsidRPr="004D0DAA">
              <w:t>This information element is included in the message</w:t>
            </w:r>
            <w:r w:rsidRPr="004D0DAA">
              <w:rPr>
                <w:lang w:eastAsia="zh-CN"/>
              </w:rPr>
              <w:t xml:space="preserve"> to provide</w:t>
            </w:r>
            <w:r w:rsidRPr="004D0DAA">
              <w:rPr>
                <w:rFonts w:eastAsia="SimSun"/>
              </w:rPr>
              <w:t xml:space="preserve"> E-UTRAN frequencies and priority information for a mobile station supporting extended EARFCNs (see 3GPP TS 24.008).</w:t>
            </w:r>
          </w:p>
          <w:p w14:paraId="6005BCFC" w14:textId="77777777" w:rsidR="00711444" w:rsidRPr="004D0DAA" w:rsidRDefault="00711444" w:rsidP="00AA2A4C">
            <w:pPr>
              <w:spacing w:after="60"/>
              <w:rPr>
                <w:rFonts w:eastAsia="SimSun"/>
                <w:b/>
                <w:lang w:eastAsia="zh-CN"/>
              </w:rPr>
            </w:pPr>
            <w:r w:rsidRPr="004D0DAA">
              <w:rPr>
                <w:b/>
                <w:lang w:eastAsia="en-GB"/>
              </w:rPr>
              <w:t>Repeated E-UTRAN NC with extended EARFCNs</w:t>
            </w:r>
          </w:p>
          <w:p w14:paraId="572FF2FA" w14:textId="77777777" w:rsidR="00711444" w:rsidRPr="004D0DAA" w:rsidRDefault="00711444" w:rsidP="00AA2A4C">
            <w:pPr>
              <w:rPr>
                <w:lang w:eastAsia="en-GB"/>
              </w:rPr>
            </w:pPr>
            <w:r w:rsidRPr="004D0DAA">
              <w:rPr>
                <w:b/>
                <w:lang w:eastAsia="en-GB"/>
              </w:rPr>
              <w:t>EARFCN_extended</w:t>
            </w:r>
            <w:r w:rsidRPr="004D0DAA">
              <w:rPr>
                <w:lang w:eastAsia="en-GB"/>
              </w:rPr>
              <w:t xml:space="preserve"> (18 bit field)</w:t>
            </w:r>
            <w:r w:rsidRPr="004D0DAA">
              <w:rPr>
                <w:lang w:eastAsia="en-GB"/>
              </w:rPr>
              <w:br/>
            </w:r>
            <w:r w:rsidRPr="004D0DAA">
              <w:rPr>
                <w:bCs/>
                <w:lang w:eastAsia="zh-CN"/>
              </w:rPr>
              <w:t xml:space="preserve">This field specifies the E-UTRA Absolute Radio Frequency Channel Number as defined in 3GPP TS 36.104. For an E-UTRAN frequency for which the corresponding EARFCN has a value below 65535, the two most significant bits (bit 17 and 18) shall be set to </w:t>
            </w:r>
            <w:r w:rsidRPr="004D0DAA">
              <w:rPr>
                <w:lang w:eastAsia="zh-CN"/>
              </w:rPr>
              <w:t>0</w:t>
            </w:r>
            <w:r w:rsidRPr="004D0DAA">
              <w:rPr>
                <w:bCs/>
                <w:lang w:eastAsia="en-GB"/>
              </w:rPr>
              <w:t>.</w:t>
            </w:r>
          </w:p>
          <w:p w14:paraId="65893C15" w14:textId="77777777" w:rsidR="00711444" w:rsidRPr="004D0DAA" w:rsidRDefault="00711444" w:rsidP="00AA2A4C">
            <w:pPr>
              <w:rPr>
                <w:lang w:eastAsia="en-GB"/>
              </w:rPr>
            </w:pPr>
            <w:r w:rsidRPr="004D0DAA">
              <w:rPr>
                <w:b/>
                <w:lang w:eastAsia="en-GB"/>
              </w:rPr>
              <w:t xml:space="preserve">Measurement Bandwidth </w:t>
            </w:r>
            <w:r w:rsidRPr="004D0DAA">
              <w:rPr>
                <w:lang w:eastAsia="en-GB"/>
              </w:rPr>
              <w:t>(3 bit field)</w:t>
            </w:r>
            <w:r w:rsidRPr="004D0DAA">
              <w:rPr>
                <w:b/>
                <w:lang w:eastAsia="en-GB"/>
              </w:rPr>
              <w:br/>
            </w:r>
            <w:r w:rsidRPr="004D0DAA">
              <w:rPr>
                <w:lang w:eastAsia="en-GB"/>
              </w:rPr>
              <w:t>This field specifies the minimum value of the channel bandwidth of all valid E-UTRAN cells on the specified EARFCN, as defined in sub-clause 12.53.</w:t>
            </w:r>
          </w:p>
          <w:p w14:paraId="5CD2D49C" w14:textId="77777777" w:rsidR="00711444" w:rsidRPr="004D0DAA" w:rsidRDefault="00711444" w:rsidP="00AA2A4C">
            <w:pPr>
              <w:rPr>
                <w:lang w:eastAsia="en-GB"/>
              </w:rPr>
            </w:pPr>
            <w:r w:rsidRPr="004D0DAA">
              <w:rPr>
                <w:b/>
                <w:lang w:eastAsia="en-GB"/>
              </w:rPr>
              <w:t xml:space="preserve">E-UTRAN_PRIORITY </w:t>
            </w:r>
            <w:r w:rsidRPr="004D0DAA">
              <w:rPr>
                <w:lang w:eastAsia="en-GB"/>
              </w:rPr>
              <w:t>(3 bit field)</w:t>
            </w:r>
            <w:r w:rsidRPr="004D0DAA">
              <w:rPr>
                <w:lang w:eastAsia="en-GB"/>
              </w:rPr>
              <w:br/>
            </w:r>
            <w:r w:rsidRPr="004D0DAA">
              <w:rPr>
                <w:b/>
                <w:lang w:eastAsia="en-GB"/>
              </w:rPr>
              <w:t xml:space="preserve">THRESH_E-UTRAN_high </w:t>
            </w:r>
            <w:r w:rsidRPr="004D0DAA">
              <w:rPr>
                <w:lang w:eastAsia="en-GB"/>
              </w:rPr>
              <w:t>(5 bit field)</w:t>
            </w:r>
            <w:r w:rsidRPr="004D0DAA">
              <w:rPr>
                <w:lang w:eastAsia="en-GB"/>
              </w:rPr>
              <w:br/>
            </w:r>
            <w:r w:rsidRPr="004D0DAA">
              <w:rPr>
                <w:b/>
                <w:lang w:eastAsia="en-GB"/>
              </w:rPr>
              <w:t xml:space="preserve">THRESH_E-UTRAN_low </w:t>
            </w:r>
            <w:r w:rsidRPr="004D0DAA">
              <w:rPr>
                <w:lang w:eastAsia="en-GB"/>
              </w:rPr>
              <w:t>(5 bit field)</w:t>
            </w:r>
            <w:r w:rsidRPr="004D0DAA">
              <w:rPr>
                <w:lang w:eastAsia="en-GB"/>
              </w:rPr>
              <w:br/>
              <w:t>If THRESH_E-UTRAN_low is not present, then THRESH_E-UTRAN_low shall take on the same value as THRESH_E-UTRAN_high.</w:t>
            </w:r>
            <w:r w:rsidRPr="004D0DAA">
              <w:rPr>
                <w:lang w:eastAsia="en-GB"/>
              </w:rPr>
              <w:br/>
            </w:r>
            <w:r w:rsidRPr="004D0DAA">
              <w:rPr>
                <w:b/>
                <w:lang w:eastAsia="en-GB"/>
              </w:rPr>
              <w:t>E-UTRAN_QRXLEVMIN</w:t>
            </w:r>
            <w:r w:rsidRPr="004D0DAA">
              <w:rPr>
                <w:lang w:eastAsia="en-GB"/>
              </w:rPr>
              <w:t xml:space="preserve"> (5 bit field)</w:t>
            </w:r>
          </w:p>
          <w:p w14:paraId="1F333C7D" w14:textId="77777777" w:rsidR="00711444" w:rsidRPr="004D0DAA" w:rsidRDefault="00711444" w:rsidP="00AA2A4C">
            <w:pPr>
              <w:spacing w:after="60"/>
              <w:rPr>
                <w:lang w:eastAsia="en-GB"/>
              </w:rPr>
            </w:pPr>
            <w:r w:rsidRPr="004D0DAA">
              <w:rPr>
                <w:lang w:eastAsia="en-GB"/>
              </w:rPr>
              <w:t xml:space="preserve">These fields </w:t>
            </w:r>
            <w:r w:rsidRPr="004D0DAA">
              <w:rPr>
                <w:lang w:eastAsia="zh-CN"/>
              </w:rPr>
              <w:t xml:space="preserve">are used for the </w:t>
            </w:r>
            <w:r w:rsidRPr="004D0DAA">
              <w:rPr>
                <w:lang w:eastAsia="en-GB"/>
              </w:rPr>
              <w:t>inter-RAT cell re-selection algorithm based on priority</w:t>
            </w:r>
            <w:r w:rsidRPr="004D0DAA">
              <w:rPr>
                <w:lang w:eastAsia="zh-CN"/>
              </w:rPr>
              <w:t>, as defined in 3GPP TS 45.008. These values apply to each of the EARFCN values listed within this structure.</w:t>
            </w:r>
          </w:p>
        </w:tc>
      </w:tr>
    </w:tbl>
    <w:p w14:paraId="3B872DAF" w14:textId="77777777" w:rsidR="00711444" w:rsidRPr="004D0DAA" w:rsidRDefault="00711444" w:rsidP="00711444">
      <w:pPr>
        <w:pStyle w:val="NO"/>
        <w:ind w:left="0" w:firstLine="0"/>
        <w:rPr>
          <w:noProof/>
        </w:rPr>
      </w:pPr>
    </w:p>
    <w:p w14:paraId="4BF056AF" w14:textId="77777777" w:rsidR="00711444" w:rsidRPr="004D0DAA" w:rsidRDefault="00711444" w:rsidP="00711444">
      <w:pPr>
        <w:pStyle w:val="Heading2"/>
      </w:pPr>
      <w:bookmarkStart w:id="868" w:name="_Toc516670041"/>
      <w:r w:rsidRPr="004D0DAA">
        <w:t>12.71</w:t>
      </w:r>
      <w:r w:rsidRPr="004D0DAA">
        <w:tab/>
        <w:t>Used DL Coverage Class</w:t>
      </w:r>
      <w:bookmarkEnd w:id="868"/>
    </w:p>
    <w:p w14:paraId="5E3A55AF" w14:textId="77777777" w:rsidR="00711444" w:rsidRPr="004D0DAA" w:rsidRDefault="00711444" w:rsidP="00711444">
      <w:pPr>
        <w:keepNext/>
        <w:keepLines/>
      </w:pPr>
      <w:r w:rsidRPr="004D0DAA">
        <w:t>The Used DL Coverage Class indicates the DL Coverage Class, and thus the number of blind physical layer transmissions, that the current RLC/MAC message is being transmitted with.</w:t>
      </w:r>
    </w:p>
    <w:p w14:paraId="7EF5F9CE" w14:textId="77777777" w:rsidR="00711444" w:rsidRPr="004D0DAA" w:rsidRDefault="00711444" w:rsidP="00711444">
      <w:pPr>
        <w:pStyle w:val="TH"/>
      </w:pPr>
      <w:r w:rsidRPr="004D0DAA">
        <w:t xml:space="preserve">Table 12.71.1: </w:t>
      </w:r>
      <w:r w:rsidRPr="004D0DAA">
        <w:rPr>
          <w:i/>
        </w:rPr>
        <w:t xml:space="preserve">Used DL Coverage Class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5EC4CA2" w14:textId="77777777" w:rsidTr="00AA2A4C">
        <w:tblPrEx>
          <w:tblCellMar>
            <w:top w:w="0" w:type="dxa"/>
            <w:bottom w:w="0" w:type="dxa"/>
          </w:tblCellMar>
        </w:tblPrEx>
        <w:tc>
          <w:tcPr>
            <w:tcW w:w="9848" w:type="dxa"/>
          </w:tcPr>
          <w:p w14:paraId="3D7D4EDE" w14:textId="77777777" w:rsidR="00711444" w:rsidRPr="004D0DAA" w:rsidRDefault="00711444" w:rsidP="00AA2A4C">
            <w:r w:rsidRPr="004D0DAA">
              <w:rPr>
                <w:b/>
                <w:bCs/>
              </w:rPr>
              <w:t xml:space="preserve">Used DL Coverage Class </w:t>
            </w:r>
            <w:r w:rsidRPr="004D0DAA">
              <w:t>(2 bit field)</w:t>
            </w:r>
            <w:r w:rsidRPr="004D0DAA">
              <w:br/>
              <w:t>An RLC/MAC control message on the EC-PACCH is sent with one or several blind physical layer transmissions, depending on the assigned DL Coverage Class for the mobile station that the message is being sent to. The USED_DL_COVERAGE_CLASS IE is included in order to inform other mobile stations about the DL Coverage Class, and thus the number of blind physical layer transmissions, that are being used when transmitting the current RLC/MAC message on the EC-PACCH. Other mobile stations, with a lower CC, can thus avoid monitoring the corresponding downlink resources while remaining transmissions of the message, if any, are being performed.</w:t>
            </w:r>
          </w:p>
          <w:p w14:paraId="0B477E62" w14:textId="77777777" w:rsidR="00711444" w:rsidRPr="004D0DAA" w:rsidRDefault="00711444" w:rsidP="00AA2A4C">
            <w:r w:rsidRPr="004D0DAA">
              <w:t>If the field EC_Reduced_PDCH_Allocation is set to 1 in the EC SYSTEM INFORMATION TYPE 2 message, (see 3GPP TS 44.018) and if the parameter Used DL Coverage Class</w:t>
            </w:r>
            <w:r w:rsidRPr="004D0DAA">
              <w:rPr>
                <w:b/>
              </w:rPr>
              <w:t xml:space="preserve"> </w:t>
            </w:r>
            <w:r w:rsidRPr="004D0DAA">
              <w:t>is other than CC1, the mapping used for the DL control blocks (EC-PACCH/D) onto physical channels shall be as specified in 3GPP TS 45.002.</w:t>
            </w:r>
          </w:p>
          <w:p w14:paraId="50C82003" w14:textId="77777777" w:rsidR="00711444" w:rsidRPr="004D0DAA" w:rsidRDefault="00711444" w:rsidP="00AA2A4C">
            <w:pPr>
              <w:pStyle w:val="FP"/>
            </w:pPr>
            <w:r w:rsidRPr="004D0DAA">
              <w:t>The USED_DL_COVERAGE_CLASS field is encoded according to the following table:</w:t>
            </w:r>
            <w:r w:rsidRPr="004D0DAA">
              <w:br/>
            </w:r>
          </w:p>
          <w:p w14:paraId="2880E596" w14:textId="77777777" w:rsidR="00711444" w:rsidRPr="004D0DAA" w:rsidRDefault="00711444" w:rsidP="00AA2A4C">
            <w:pPr>
              <w:pStyle w:val="FP"/>
              <w:tabs>
                <w:tab w:val="left" w:pos="567"/>
              </w:tabs>
              <w:ind w:left="567" w:hanging="567"/>
            </w:pPr>
            <w:r w:rsidRPr="004D0DAA">
              <w:t>bit</w:t>
            </w:r>
          </w:p>
          <w:p w14:paraId="73F484CE" w14:textId="77777777" w:rsidR="00711444" w:rsidRPr="004D0DAA" w:rsidRDefault="00711444" w:rsidP="00AA2A4C">
            <w:pPr>
              <w:pStyle w:val="FP"/>
              <w:tabs>
                <w:tab w:val="left" w:pos="567"/>
              </w:tabs>
              <w:ind w:left="567" w:hanging="567"/>
            </w:pPr>
            <w:r w:rsidRPr="004D0DAA">
              <w:t>2 1</w:t>
            </w:r>
          </w:p>
          <w:p w14:paraId="0697C076" w14:textId="77777777" w:rsidR="00711444" w:rsidRPr="004D0DAA" w:rsidRDefault="00711444" w:rsidP="00AA2A4C">
            <w:pPr>
              <w:pStyle w:val="FP"/>
              <w:tabs>
                <w:tab w:val="left" w:pos="567"/>
              </w:tabs>
              <w:ind w:left="567" w:hanging="567"/>
            </w:pPr>
            <w:r w:rsidRPr="004D0DAA">
              <w:t xml:space="preserve">0 0 </w:t>
            </w:r>
            <w:r w:rsidRPr="004D0DAA">
              <w:tab/>
              <w:t>DL Coverage Class = CC1</w:t>
            </w:r>
          </w:p>
          <w:p w14:paraId="06BF1875" w14:textId="77777777" w:rsidR="00711444" w:rsidRPr="004D0DAA" w:rsidRDefault="00711444" w:rsidP="00AA2A4C">
            <w:pPr>
              <w:pStyle w:val="FP"/>
              <w:tabs>
                <w:tab w:val="left" w:pos="567"/>
              </w:tabs>
              <w:ind w:left="567" w:hanging="567"/>
            </w:pPr>
            <w:r w:rsidRPr="004D0DAA">
              <w:t xml:space="preserve">0 1 </w:t>
            </w:r>
            <w:r w:rsidRPr="004D0DAA">
              <w:tab/>
              <w:t>DL Coverage Class = CC2</w:t>
            </w:r>
          </w:p>
          <w:p w14:paraId="6C19ECB6" w14:textId="77777777" w:rsidR="00711444" w:rsidRPr="004D0DAA" w:rsidRDefault="00711444" w:rsidP="00AA2A4C">
            <w:pPr>
              <w:pStyle w:val="FP"/>
              <w:tabs>
                <w:tab w:val="left" w:pos="567"/>
              </w:tabs>
              <w:ind w:left="567" w:hanging="567"/>
            </w:pPr>
            <w:r w:rsidRPr="004D0DAA">
              <w:t xml:space="preserve">1 0 </w:t>
            </w:r>
            <w:r w:rsidRPr="004D0DAA">
              <w:tab/>
              <w:t>DL Coverage Class = CC3</w:t>
            </w:r>
          </w:p>
          <w:p w14:paraId="399AE267" w14:textId="77777777" w:rsidR="00711444" w:rsidRPr="004D0DAA" w:rsidRDefault="00711444" w:rsidP="00AA2A4C">
            <w:pPr>
              <w:pStyle w:val="FP"/>
            </w:pPr>
            <w:r w:rsidRPr="004D0DAA">
              <w:t xml:space="preserve">1 1 </w:t>
            </w:r>
            <w:r w:rsidRPr="004D0DAA">
              <w:tab/>
              <w:t>DL Coverage Class = CC4</w:t>
            </w:r>
          </w:p>
        </w:tc>
      </w:tr>
    </w:tbl>
    <w:p w14:paraId="554493B4" w14:textId="77777777" w:rsidR="00711444" w:rsidRPr="004D0DAA" w:rsidRDefault="00711444" w:rsidP="00711444">
      <w:pPr>
        <w:rPr>
          <w:lang w:eastAsia="zh-CN"/>
        </w:rPr>
      </w:pPr>
    </w:p>
    <w:p w14:paraId="42E34AB7" w14:textId="77777777" w:rsidR="00711444" w:rsidRPr="004D0DAA" w:rsidRDefault="00711444" w:rsidP="00711444">
      <w:pPr>
        <w:pStyle w:val="Heading2"/>
      </w:pPr>
      <w:bookmarkStart w:id="869" w:name="_Toc516670042"/>
      <w:r w:rsidRPr="004D0DAA">
        <w:lastRenderedPageBreak/>
        <w:t>12.72</w:t>
      </w:r>
      <w:r w:rsidRPr="004D0DAA">
        <w:tab/>
        <w:t>EC Ack/Nack Description</w:t>
      </w:r>
      <w:bookmarkEnd w:id="869"/>
    </w:p>
    <w:p w14:paraId="24B61EA8" w14:textId="77777777" w:rsidR="00711444" w:rsidRPr="004D0DAA" w:rsidRDefault="00711444" w:rsidP="00711444">
      <w:pPr>
        <w:keepNext/>
        <w:keepLines/>
      </w:pPr>
      <w:r w:rsidRPr="004D0DAA">
        <w:t>The EC Ack/Nack Description information element contains the RLC parameters used to acknowledge or negatively acknowledge a group of RLC data blocks.</w:t>
      </w:r>
    </w:p>
    <w:p w14:paraId="79C2D424" w14:textId="77777777" w:rsidR="00711444" w:rsidRPr="004D0DAA" w:rsidRDefault="00711444" w:rsidP="00711444">
      <w:pPr>
        <w:pStyle w:val="TH"/>
      </w:pPr>
      <w:r w:rsidRPr="004D0DAA">
        <w:t xml:space="preserve">Table 12.72.1: </w:t>
      </w:r>
      <w:r w:rsidRPr="004D0DAA">
        <w:rPr>
          <w:i/>
        </w:rPr>
        <w:t xml:space="preserve">EC Ack/Nack Description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784C468" w14:textId="77777777" w:rsidTr="00AA2A4C">
        <w:tc>
          <w:tcPr>
            <w:tcW w:w="9848" w:type="dxa"/>
          </w:tcPr>
          <w:p w14:paraId="4251635C" w14:textId="77777777" w:rsidR="00711444" w:rsidRPr="004D0DAA" w:rsidRDefault="00711444" w:rsidP="00AA2A4C">
            <w:pPr>
              <w:pStyle w:val="TAL"/>
              <w:rPr>
                <w:lang w:eastAsia="en-US"/>
              </w:rPr>
            </w:pPr>
            <w:r w:rsidRPr="004D0DAA">
              <w:rPr>
                <w:lang w:eastAsia="en-US"/>
              </w:rPr>
              <w:t>&lt; EC Ack/Nack Description IE &gt; ::=</w:t>
            </w:r>
          </w:p>
          <w:p w14:paraId="475DAB0B"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STARTING_SEQUENCE_NUMBER</w:t>
            </w:r>
            <w:r w:rsidRPr="004D0DAA">
              <w:rPr>
                <w:lang w:eastAsia="en-US"/>
              </w:rPr>
              <w:t xml:space="preserve"> : bit (5) &gt;</w:t>
            </w:r>
          </w:p>
          <w:p w14:paraId="6F77B10A"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RECEIVED_BLOCK_BITMAP</w:t>
            </w:r>
            <w:r w:rsidRPr="004D0DAA">
              <w:rPr>
                <w:lang w:eastAsia="en-US"/>
              </w:rPr>
              <w:t xml:space="preserve"> : bit (16) &gt;;</w:t>
            </w:r>
          </w:p>
          <w:p w14:paraId="5DCFC9FD" w14:textId="77777777" w:rsidR="00711444" w:rsidRPr="004D0DAA" w:rsidRDefault="00711444" w:rsidP="00AA2A4C">
            <w:pPr>
              <w:pStyle w:val="TAL"/>
              <w:rPr>
                <w:lang w:eastAsia="en-US"/>
              </w:rPr>
            </w:pPr>
          </w:p>
        </w:tc>
      </w:tr>
    </w:tbl>
    <w:p w14:paraId="0B6F86ED" w14:textId="77777777" w:rsidR="00711444" w:rsidRPr="004D0DAA" w:rsidRDefault="00711444" w:rsidP="00711444"/>
    <w:p w14:paraId="5097EDF7" w14:textId="77777777" w:rsidR="00711444" w:rsidRPr="004D0DAA" w:rsidRDefault="00711444" w:rsidP="00711444">
      <w:pPr>
        <w:pStyle w:val="Heading2"/>
      </w:pPr>
      <w:bookmarkStart w:id="870" w:name="_Toc516670043"/>
      <w:r w:rsidRPr="004D0DAA">
        <w:t>12.73</w:t>
      </w:r>
      <w:r w:rsidRPr="004D0DAA">
        <w:tab/>
        <w:t>EC Primary Ack/Nack Description</w:t>
      </w:r>
      <w:bookmarkEnd w:id="870"/>
    </w:p>
    <w:p w14:paraId="6F90FB96" w14:textId="77777777" w:rsidR="00711444" w:rsidRPr="004D0DAA" w:rsidRDefault="00711444" w:rsidP="00711444">
      <w:pPr>
        <w:keepNext/>
        <w:keepLines/>
      </w:pPr>
      <w:r w:rsidRPr="004D0DAA">
        <w:t xml:space="preserve">The EC Primary Ack/Nack Description information element contains the RLC parameters used to acknowledge or negatively acknowledge a group of RLC data blocks in an EC Packet Uplink Ack/Nack message, including the TLLI or the rTLLI (for contention resolution), or in an EC Packet Uplink Ack/Nack and Contention Resolution message. </w:t>
      </w:r>
    </w:p>
    <w:p w14:paraId="2810A80C" w14:textId="77777777" w:rsidR="00711444" w:rsidRPr="004D0DAA" w:rsidRDefault="00711444" w:rsidP="00711444">
      <w:pPr>
        <w:pStyle w:val="TH"/>
      </w:pPr>
      <w:r w:rsidRPr="004D0DAA">
        <w:t xml:space="preserve">Table 12.73.1: </w:t>
      </w:r>
      <w:r w:rsidRPr="004D0DAA">
        <w:rPr>
          <w:i/>
        </w:rPr>
        <w:t xml:space="preserve">EC Primary Ack/Nack Description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83ADE60" w14:textId="77777777" w:rsidTr="00AA2A4C">
        <w:tc>
          <w:tcPr>
            <w:tcW w:w="9848" w:type="dxa"/>
          </w:tcPr>
          <w:p w14:paraId="220BA642" w14:textId="77777777" w:rsidR="00711444" w:rsidRPr="004D0DAA" w:rsidRDefault="00711444" w:rsidP="00AA2A4C">
            <w:pPr>
              <w:pStyle w:val="TAL"/>
              <w:rPr>
                <w:lang w:eastAsia="en-US"/>
              </w:rPr>
            </w:pPr>
            <w:r w:rsidRPr="004D0DAA">
              <w:rPr>
                <w:lang w:eastAsia="en-US"/>
              </w:rPr>
              <w:t>&lt; EC Primary Ack/Nack Description IE &gt; ::=</w:t>
            </w:r>
          </w:p>
          <w:p w14:paraId="33F5F9E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STARTING_SEQUENCE_NUMBER</w:t>
            </w:r>
            <w:r w:rsidRPr="004D0DAA">
              <w:rPr>
                <w:lang w:eastAsia="en-US"/>
              </w:rPr>
              <w:t xml:space="preserve"> : bit (5) &gt;</w:t>
            </w:r>
          </w:p>
          <w:p w14:paraId="7E81218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RECEIVED_BLOCK_BITMAP</w:t>
            </w:r>
            <w:r w:rsidRPr="004D0DAA">
              <w:rPr>
                <w:lang w:eastAsia="en-US"/>
              </w:rPr>
              <w:t xml:space="preserve"> : bit (8) &gt;;</w:t>
            </w:r>
          </w:p>
          <w:p w14:paraId="3AEF451B" w14:textId="77777777" w:rsidR="00711444" w:rsidRPr="004D0DAA" w:rsidRDefault="00711444" w:rsidP="00AA2A4C">
            <w:pPr>
              <w:pStyle w:val="TAL"/>
              <w:rPr>
                <w:lang w:eastAsia="en-US"/>
              </w:rPr>
            </w:pPr>
          </w:p>
        </w:tc>
      </w:tr>
    </w:tbl>
    <w:p w14:paraId="5571B9E1" w14:textId="77777777" w:rsidR="00711444" w:rsidRPr="004D0DAA" w:rsidRDefault="00711444" w:rsidP="00711444"/>
    <w:p w14:paraId="06F4BEA4" w14:textId="77777777" w:rsidR="00711444" w:rsidRPr="004D0DAA" w:rsidRDefault="00711444" w:rsidP="00711444">
      <w:pPr>
        <w:pStyle w:val="Heading2"/>
      </w:pPr>
      <w:bookmarkStart w:id="871" w:name="_Toc516670044"/>
      <w:r w:rsidRPr="004D0DAA">
        <w:t>12.74</w:t>
      </w:r>
      <w:r w:rsidRPr="004D0DAA">
        <w:tab/>
        <w:t>EC Packet Timing Advance</w:t>
      </w:r>
      <w:bookmarkEnd w:id="871"/>
    </w:p>
    <w:p w14:paraId="76423B25" w14:textId="77777777" w:rsidR="00711444" w:rsidRPr="004D0DAA" w:rsidRDefault="00711444" w:rsidP="00711444">
      <w:pPr>
        <w:keepNext/>
        <w:keepLines/>
      </w:pPr>
      <w:r w:rsidRPr="004D0DAA">
        <w:t>The EC Packet Timing Advance field describes the timing advance value assigned to the mobile station for use during an uplink or downlink EC TBF.</w:t>
      </w:r>
    </w:p>
    <w:p w14:paraId="65E3E2AA" w14:textId="77777777" w:rsidR="00711444" w:rsidRPr="004D0DAA" w:rsidRDefault="00711444" w:rsidP="00711444">
      <w:pPr>
        <w:pStyle w:val="TH"/>
      </w:pPr>
      <w:r w:rsidRPr="004D0DAA">
        <w:t xml:space="preserve">Table 12.74.1: </w:t>
      </w:r>
      <w:r w:rsidRPr="004D0DAA">
        <w:rPr>
          <w:i/>
        </w:rPr>
        <w:t xml:space="preserve">EC Packet Timing Advance </w:t>
      </w:r>
      <w:r w:rsidRPr="004D0DAA">
        <w:t>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2B12C45" w14:textId="77777777" w:rsidTr="00AA2A4C">
        <w:tc>
          <w:tcPr>
            <w:tcW w:w="9848" w:type="dxa"/>
          </w:tcPr>
          <w:p w14:paraId="727B8712" w14:textId="77777777" w:rsidR="00711444" w:rsidRPr="004D0DAA" w:rsidRDefault="00711444" w:rsidP="00AA2A4C">
            <w:pPr>
              <w:pStyle w:val="TAL"/>
              <w:rPr>
                <w:lang w:eastAsia="en-US"/>
              </w:rPr>
            </w:pPr>
            <w:r w:rsidRPr="004D0DAA">
              <w:rPr>
                <w:lang w:eastAsia="en-US"/>
              </w:rPr>
              <w:t>&lt; EC Packet Timing Advance IE &gt; ::=</w:t>
            </w:r>
          </w:p>
          <w:p w14:paraId="07F9AC49"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 xml:space="preserve">TIMING_ADVANCE_VALUE </w:t>
            </w:r>
            <w:r w:rsidRPr="004D0DAA">
              <w:rPr>
                <w:lang w:eastAsia="en-US"/>
              </w:rPr>
              <w:t>: bit (6) &gt;;</w:t>
            </w:r>
          </w:p>
          <w:p w14:paraId="105331FB" w14:textId="77777777" w:rsidR="00711444" w:rsidRPr="004D0DAA" w:rsidRDefault="00711444" w:rsidP="00AA2A4C">
            <w:pPr>
              <w:pStyle w:val="TAL"/>
              <w:rPr>
                <w:lang w:eastAsia="en-US"/>
              </w:rPr>
            </w:pPr>
          </w:p>
        </w:tc>
      </w:tr>
    </w:tbl>
    <w:p w14:paraId="41FC34D9" w14:textId="77777777" w:rsidR="00711444" w:rsidRPr="004D0DAA" w:rsidRDefault="00711444" w:rsidP="00711444">
      <w:pPr>
        <w:rPr>
          <w:lang w:eastAsia="en-GB"/>
        </w:rPr>
      </w:pPr>
    </w:p>
    <w:p w14:paraId="03844440" w14:textId="77777777" w:rsidR="00711444" w:rsidRPr="004D0DAA" w:rsidRDefault="00711444" w:rsidP="00711444">
      <w:pPr>
        <w:pStyle w:val="TH"/>
      </w:pPr>
      <w:r w:rsidRPr="004D0DAA">
        <w:t xml:space="preserve">Table 12.74.2: </w:t>
      </w:r>
      <w:r w:rsidRPr="004D0DAA">
        <w:rPr>
          <w:i/>
        </w:rPr>
        <w:t>EC Packet Timing Advance</w:t>
      </w:r>
      <w:r w:rsidRPr="004D0DAA">
        <w:t xml:space="preserve"> information element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400919F" w14:textId="77777777" w:rsidTr="00AA2A4C">
        <w:trPr>
          <w:cantSplit/>
        </w:trPr>
        <w:tc>
          <w:tcPr>
            <w:tcW w:w="9848" w:type="dxa"/>
          </w:tcPr>
          <w:p w14:paraId="043AEF72" w14:textId="77777777" w:rsidR="00711444" w:rsidRPr="004D0DAA" w:rsidRDefault="00711444" w:rsidP="00AA2A4C">
            <w:pPr>
              <w:keepLines/>
              <w:rPr>
                <w:b/>
              </w:rPr>
            </w:pPr>
            <w:r w:rsidRPr="004D0DAA">
              <w:rPr>
                <w:b/>
              </w:rPr>
              <w:t>TIMING_ADVANCE_VALUE</w:t>
            </w:r>
            <w:r w:rsidRPr="004D0DAA">
              <w:t xml:space="preserve"> (6 bit field)</w:t>
            </w:r>
            <w:r w:rsidRPr="004D0DAA">
              <w:br/>
              <w:t>The Timing Advance value field is encoded the same as the Timing Advance value of the Timing Advance information element defined in 3GPP TS 44.018, with the value range 0 to 63.</w:t>
            </w:r>
          </w:p>
        </w:tc>
      </w:tr>
    </w:tbl>
    <w:p w14:paraId="04DF7D39" w14:textId="77777777" w:rsidR="00711444" w:rsidRPr="004D0DAA" w:rsidRDefault="00711444" w:rsidP="00711444"/>
    <w:p w14:paraId="0CD39BDF" w14:textId="77777777" w:rsidR="00711444" w:rsidRPr="004D0DAA" w:rsidRDefault="00711444" w:rsidP="00711444">
      <w:pPr>
        <w:pStyle w:val="Heading2"/>
      </w:pPr>
      <w:bookmarkStart w:id="872" w:name="_Toc516670045"/>
      <w:r w:rsidRPr="004D0DAA">
        <w:t>12.75</w:t>
      </w:r>
      <w:r w:rsidRPr="004D0DAA">
        <w:tab/>
        <w:t>EC Channel Quality Report</w:t>
      </w:r>
      <w:bookmarkEnd w:id="872"/>
    </w:p>
    <w:p w14:paraId="2D0F7B47" w14:textId="77777777" w:rsidR="00711444" w:rsidRPr="004D0DAA" w:rsidRDefault="00711444" w:rsidP="00711444">
      <w:r w:rsidRPr="004D0DAA">
        <w:t>The EC Channel Quality Report information element is defined in tables 12.75.1 and 12.75.2.</w:t>
      </w:r>
    </w:p>
    <w:p w14:paraId="45F90E49" w14:textId="77777777" w:rsidR="00711444" w:rsidRPr="004D0DAA" w:rsidRDefault="00711444" w:rsidP="00711444">
      <w:pPr>
        <w:pStyle w:val="TH"/>
      </w:pPr>
      <w:r w:rsidRPr="004D0DAA">
        <w:t xml:space="preserve">Table 12.75.1: </w:t>
      </w:r>
      <w:r w:rsidRPr="004D0DAA">
        <w:rPr>
          <w:i/>
        </w:rPr>
        <w:t>EC Channel Quality Report</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F5A42D6" w14:textId="77777777" w:rsidTr="00AA2A4C">
        <w:trPr>
          <w:cantSplit/>
        </w:trPr>
        <w:tc>
          <w:tcPr>
            <w:tcW w:w="9848" w:type="dxa"/>
          </w:tcPr>
          <w:p w14:paraId="7EA5E8E6" w14:textId="77777777" w:rsidR="00711444" w:rsidRPr="004D0DAA" w:rsidRDefault="00711444" w:rsidP="00AA2A4C">
            <w:pPr>
              <w:pStyle w:val="TAL"/>
              <w:rPr>
                <w:lang w:eastAsia="en-US"/>
              </w:rPr>
            </w:pPr>
            <w:r w:rsidRPr="004D0DAA">
              <w:rPr>
                <w:lang w:eastAsia="en-US"/>
              </w:rPr>
              <w:t xml:space="preserve">&lt; EC Channel Quality Report </w:t>
            </w:r>
            <w:r w:rsidRPr="004D0DAA">
              <w:rPr>
                <w:lang w:eastAsia="ko-KR"/>
              </w:rPr>
              <w:t>IE</w:t>
            </w:r>
            <w:r w:rsidRPr="004D0DAA">
              <w:rPr>
                <w:lang w:eastAsia="en-US"/>
              </w:rPr>
              <w:t>&gt; ::=</w:t>
            </w:r>
          </w:p>
          <w:p w14:paraId="3DE4AC5A"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GMSK</w:t>
            </w:r>
            <w:r w:rsidRPr="004D0DAA">
              <w:rPr>
                <w:lang w:eastAsia="en-US"/>
              </w:rPr>
              <w:t>_</w:t>
            </w:r>
            <w:r w:rsidRPr="004D0DAA">
              <w:rPr>
                <w:b/>
                <w:lang w:eastAsia="en-US"/>
              </w:rPr>
              <w:t>MEAN_BEP</w:t>
            </w:r>
            <w:r w:rsidRPr="004D0DAA">
              <w:rPr>
                <w:lang w:eastAsia="en-US"/>
              </w:rPr>
              <w:t xml:space="preserve"> : bit (5) &gt;</w:t>
            </w:r>
          </w:p>
          <w:p w14:paraId="08B4C8A6"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GMSK</w:t>
            </w:r>
            <w:r w:rsidRPr="004D0DAA">
              <w:rPr>
                <w:lang w:eastAsia="en-US"/>
              </w:rPr>
              <w:t>_</w:t>
            </w:r>
            <w:r w:rsidRPr="004D0DAA">
              <w:rPr>
                <w:b/>
                <w:lang w:eastAsia="en-US"/>
              </w:rPr>
              <w:t>CV_BEP</w:t>
            </w:r>
            <w:r w:rsidRPr="004D0DAA">
              <w:rPr>
                <w:lang w:eastAsia="en-US"/>
              </w:rPr>
              <w:t xml:space="preserve"> : bit (3) &gt; }</w:t>
            </w:r>
          </w:p>
          <w:p w14:paraId="1A823484"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8PSK</w:t>
            </w:r>
            <w:r w:rsidRPr="004D0DAA">
              <w:rPr>
                <w:lang w:eastAsia="en-US"/>
              </w:rPr>
              <w:t>_</w:t>
            </w:r>
            <w:r w:rsidRPr="004D0DAA">
              <w:rPr>
                <w:b/>
                <w:lang w:eastAsia="en-US"/>
              </w:rPr>
              <w:t>MEAN_BEP</w:t>
            </w:r>
            <w:r w:rsidRPr="004D0DAA">
              <w:rPr>
                <w:lang w:eastAsia="en-US"/>
              </w:rPr>
              <w:t xml:space="preserve"> : bit (5) &gt;</w:t>
            </w:r>
          </w:p>
          <w:p w14:paraId="102565E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8PSK</w:t>
            </w:r>
            <w:r w:rsidRPr="004D0DAA">
              <w:rPr>
                <w:lang w:eastAsia="en-US"/>
              </w:rPr>
              <w:t>_</w:t>
            </w:r>
            <w:r w:rsidRPr="004D0DAA">
              <w:rPr>
                <w:b/>
                <w:lang w:eastAsia="en-US"/>
              </w:rPr>
              <w:t>CV_BEP</w:t>
            </w:r>
            <w:r w:rsidRPr="004D0DAA">
              <w:rPr>
                <w:lang w:eastAsia="en-US"/>
              </w:rPr>
              <w:t xml:space="preserve"> : bit (3) &gt; };</w:t>
            </w:r>
          </w:p>
          <w:p w14:paraId="05C20584"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C_VALUE</w:t>
            </w:r>
            <w:r w:rsidRPr="004D0DAA">
              <w:rPr>
                <w:lang w:eastAsia="en-US"/>
              </w:rPr>
              <w:t xml:space="preserve"> : bit (6) &gt;;</w:t>
            </w:r>
          </w:p>
        </w:tc>
      </w:tr>
    </w:tbl>
    <w:p w14:paraId="44C2FA30" w14:textId="77777777" w:rsidR="00711444" w:rsidRPr="004D0DAA" w:rsidRDefault="00711444" w:rsidP="00711444"/>
    <w:p w14:paraId="0704D364" w14:textId="77777777" w:rsidR="00711444" w:rsidRPr="004D0DAA" w:rsidRDefault="00711444" w:rsidP="00711444">
      <w:pPr>
        <w:pStyle w:val="TH"/>
      </w:pPr>
      <w:r w:rsidRPr="004D0DAA">
        <w:lastRenderedPageBreak/>
        <w:t xml:space="preserve">Table 12.75.2: </w:t>
      </w:r>
      <w:r w:rsidRPr="004D0DAA">
        <w:rPr>
          <w:i/>
        </w:rPr>
        <w:t>EC Channel Quality Report</w:t>
      </w:r>
      <w:r w:rsidRPr="004D0DAA">
        <w:t xml:space="preserve"> Information Elements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0EAE1B0E" w14:textId="77777777" w:rsidTr="00AA2A4C">
        <w:tc>
          <w:tcPr>
            <w:tcW w:w="9848" w:type="dxa"/>
          </w:tcPr>
          <w:p w14:paraId="5F2E4F89" w14:textId="77777777" w:rsidR="00711444" w:rsidRPr="004D0DAA" w:rsidRDefault="00711444" w:rsidP="00AA2A4C">
            <w:pPr>
              <w:spacing w:after="0"/>
            </w:pPr>
            <w:r w:rsidRPr="004D0DAA">
              <w:rPr>
                <w:b/>
              </w:rPr>
              <w:t>GMSK</w:t>
            </w:r>
            <w:r w:rsidRPr="004D0DAA">
              <w:t>_</w:t>
            </w:r>
            <w:r w:rsidRPr="004D0DAA">
              <w:rPr>
                <w:b/>
              </w:rPr>
              <w:t>MEAN_BEP</w:t>
            </w:r>
            <w:r w:rsidRPr="004D0DAA">
              <w:t xml:space="preserve"> (5 bit field)</w:t>
            </w:r>
            <w:r w:rsidRPr="004D0DAA">
              <w:br/>
              <w:t>This field contains the mean value of the Bit Error Probability of the channel averaged over all time slots in the TBF for GMSK, refer to 3GPP TS 45.008.</w:t>
            </w:r>
          </w:p>
        </w:tc>
      </w:tr>
      <w:tr w:rsidR="00711444" w:rsidRPr="004D0DAA" w14:paraId="59C579F4" w14:textId="77777777" w:rsidTr="00AA2A4C">
        <w:tc>
          <w:tcPr>
            <w:tcW w:w="9848" w:type="dxa"/>
          </w:tcPr>
          <w:p w14:paraId="4850AB39" w14:textId="77777777" w:rsidR="00711444" w:rsidRPr="004D0DAA" w:rsidRDefault="00711444" w:rsidP="00AA2A4C">
            <w:pPr>
              <w:spacing w:after="0"/>
              <w:rPr>
                <w:b/>
              </w:rPr>
            </w:pPr>
            <w:r w:rsidRPr="004D0DAA">
              <w:rPr>
                <w:b/>
              </w:rPr>
              <w:t xml:space="preserve">GMSK_CV_BEP </w:t>
            </w:r>
            <w:r w:rsidRPr="004D0DAA">
              <w:t>(3 bit field)</w:t>
            </w:r>
            <w:r w:rsidRPr="004D0DAA">
              <w:rPr>
                <w:b/>
              </w:rPr>
              <w:br/>
            </w:r>
            <w:r w:rsidRPr="004D0DAA">
              <w:t>This field contains the variation co-efficient for the Bit Error Probability averaged over all time slots of the TBF for GMSK, refer to 3GPP TS 45.008.</w:t>
            </w:r>
          </w:p>
        </w:tc>
      </w:tr>
      <w:tr w:rsidR="00711444" w:rsidRPr="004D0DAA" w14:paraId="62463FCA" w14:textId="77777777" w:rsidTr="00AA2A4C">
        <w:tc>
          <w:tcPr>
            <w:tcW w:w="9848" w:type="dxa"/>
          </w:tcPr>
          <w:p w14:paraId="07E47417" w14:textId="77777777" w:rsidR="00711444" w:rsidRPr="004D0DAA" w:rsidRDefault="00711444" w:rsidP="00AA2A4C">
            <w:pPr>
              <w:spacing w:after="0"/>
            </w:pPr>
            <w:r w:rsidRPr="004D0DAA">
              <w:rPr>
                <w:b/>
              </w:rPr>
              <w:t>8PSK_MEAN_BEP</w:t>
            </w:r>
            <w:r w:rsidRPr="004D0DAA">
              <w:t xml:space="preserve"> (5 bit field)</w:t>
            </w:r>
            <w:r w:rsidRPr="004D0DAA">
              <w:br/>
              <w:t>This field contains the mean value of the Bit Error Probability of the channel averaged over all time slots in the TBF for 8 PSK, refer to 3GPP TS 45.008.</w:t>
            </w:r>
          </w:p>
        </w:tc>
      </w:tr>
      <w:tr w:rsidR="00711444" w:rsidRPr="004D0DAA" w14:paraId="699658C3" w14:textId="77777777" w:rsidTr="00AA2A4C">
        <w:tc>
          <w:tcPr>
            <w:tcW w:w="9848" w:type="dxa"/>
          </w:tcPr>
          <w:p w14:paraId="3C0A1362" w14:textId="77777777" w:rsidR="00711444" w:rsidRPr="004D0DAA" w:rsidRDefault="00711444" w:rsidP="00AA2A4C">
            <w:pPr>
              <w:spacing w:after="0"/>
              <w:rPr>
                <w:b/>
              </w:rPr>
            </w:pPr>
            <w:r w:rsidRPr="004D0DAA">
              <w:rPr>
                <w:b/>
              </w:rPr>
              <w:t xml:space="preserve">8PSK_CV_BEP </w:t>
            </w:r>
            <w:r w:rsidRPr="004D0DAA">
              <w:t>(3 bit field)</w:t>
            </w:r>
            <w:r w:rsidRPr="004D0DAA">
              <w:rPr>
                <w:b/>
              </w:rPr>
              <w:br/>
            </w:r>
            <w:r w:rsidRPr="004D0DAA">
              <w:t>This field contains the variation co-efficient for the Bit Error Probability averaged over all time slots of the TBF for 8 PSK, refer to 3GPP TS 45.008.</w:t>
            </w:r>
          </w:p>
        </w:tc>
      </w:tr>
      <w:tr w:rsidR="00711444" w:rsidRPr="004D0DAA" w14:paraId="485A8D26" w14:textId="77777777" w:rsidTr="00AA2A4C">
        <w:tc>
          <w:tcPr>
            <w:tcW w:w="9848" w:type="dxa"/>
          </w:tcPr>
          <w:p w14:paraId="47D81997" w14:textId="77777777" w:rsidR="00711444" w:rsidRPr="004D0DAA" w:rsidRDefault="00711444" w:rsidP="00AA2A4C">
            <w:pPr>
              <w:spacing w:after="0"/>
              <w:rPr>
                <w:b/>
              </w:rPr>
            </w:pPr>
            <w:r w:rsidRPr="004D0DAA">
              <w:rPr>
                <w:b/>
              </w:rPr>
              <w:t xml:space="preserve">C_VALUE </w:t>
            </w:r>
            <w:r w:rsidRPr="004D0DAA">
              <w:t>(6 bits)</w:t>
            </w:r>
            <w:r w:rsidRPr="004D0DAA">
              <w:rPr>
                <w:b/>
              </w:rPr>
              <w:br/>
            </w:r>
            <w:r w:rsidRPr="004D0DAA">
              <w:t>This field contains the value of the C parameter calculated by the mobile station (see 3GPP TS 45.008). This field is encoded as the binary representation of the C value parameter value defined in 3GPP TS 45.008.</w:t>
            </w:r>
            <w:r w:rsidRPr="004D0DAA">
              <w:br/>
              <w:t>Range 0 to 63</w:t>
            </w:r>
          </w:p>
        </w:tc>
      </w:tr>
    </w:tbl>
    <w:p w14:paraId="54E5B5BB" w14:textId="77777777" w:rsidR="00711444" w:rsidRPr="004D0DAA" w:rsidRDefault="00711444" w:rsidP="00711444"/>
    <w:p w14:paraId="0B79B95A" w14:textId="77777777" w:rsidR="00711444" w:rsidRPr="004D0DAA" w:rsidRDefault="00711444" w:rsidP="00711444">
      <w:pPr>
        <w:pStyle w:val="Heading2"/>
      </w:pPr>
      <w:bookmarkStart w:id="873" w:name="_Toc516670046"/>
      <w:r w:rsidRPr="004D0DAA">
        <w:t>12.76</w:t>
      </w:r>
      <w:r w:rsidRPr="004D0DAA">
        <w:tab/>
        <w:t>EC Channel Quality Report Higher CC</w:t>
      </w:r>
      <w:bookmarkEnd w:id="873"/>
    </w:p>
    <w:p w14:paraId="57C8732E" w14:textId="77777777" w:rsidR="00711444" w:rsidRPr="004D0DAA" w:rsidRDefault="00711444" w:rsidP="00711444">
      <w:r w:rsidRPr="004D0DAA">
        <w:t>The EC Channel Quality Report Higher CC information element is defined in tables 12.76.1 and 12.76.2.</w:t>
      </w:r>
    </w:p>
    <w:p w14:paraId="3FF7A279" w14:textId="77777777" w:rsidR="00711444" w:rsidRPr="004D0DAA" w:rsidRDefault="00711444" w:rsidP="00711444">
      <w:pPr>
        <w:pStyle w:val="TH"/>
      </w:pPr>
      <w:r w:rsidRPr="004D0DAA">
        <w:t xml:space="preserve">Table 12.76.1: </w:t>
      </w:r>
      <w:r w:rsidRPr="004D0DAA">
        <w:rPr>
          <w:i/>
        </w:rPr>
        <w:t>EC Channel Quality Report</w:t>
      </w:r>
      <w:r w:rsidRPr="004D0DAA">
        <w:t xml:space="preserve"> </w:t>
      </w:r>
      <w:r w:rsidRPr="004D0DAA">
        <w:rPr>
          <w:i/>
        </w:rPr>
        <w:t>Higher CC</w:t>
      </w:r>
      <w:r w:rsidRPr="004D0DAA">
        <w:t xml:space="preserve"> Information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8A2C62C" w14:textId="77777777" w:rsidTr="00AA2A4C">
        <w:trPr>
          <w:cantSplit/>
        </w:trPr>
        <w:tc>
          <w:tcPr>
            <w:tcW w:w="9848" w:type="dxa"/>
          </w:tcPr>
          <w:p w14:paraId="1A20D1FA" w14:textId="77777777" w:rsidR="00711444" w:rsidRPr="004D0DAA" w:rsidRDefault="00711444" w:rsidP="00AA2A4C">
            <w:pPr>
              <w:pStyle w:val="TAL"/>
              <w:rPr>
                <w:lang w:eastAsia="en-US"/>
              </w:rPr>
            </w:pPr>
            <w:r w:rsidRPr="004D0DAA">
              <w:rPr>
                <w:lang w:eastAsia="en-US"/>
              </w:rPr>
              <w:t xml:space="preserve">&lt; EC Channel Quality Report Higher CC </w:t>
            </w:r>
            <w:r w:rsidRPr="004D0DAA">
              <w:rPr>
                <w:lang w:eastAsia="ko-KR"/>
              </w:rPr>
              <w:t>IE</w:t>
            </w:r>
            <w:r w:rsidRPr="004D0DAA">
              <w:rPr>
                <w:lang w:eastAsia="en-US"/>
              </w:rPr>
              <w:t>&gt; ::=</w:t>
            </w:r>
          </w:p>
          <w:p w14:paraId="78242B60" w14:textId="77777777" w:rsidR="00711444" w:rsidRPr="004D0DAA" w:rsidRDefault="00711444" w:rsidP="00AA2A4C">
            <w:pPr>
              <w:pStyle w:val="TAL"/>
              <w:rPr>
                <w:lang w:eastAsia="en-US"/>
              </w:rPr>
            </w:pPr>
            <w:r w:rsidRPr="004D0DAA">
              <w:rPr>
                <w:lang w:eastAsia="en-US"/>
              </w:rPr>
              <w:tab/>
              <w:t>{ 0 | 1</w:t>
            </w:r>
            <w:r w:rsidRPr="004D0DAA">
              <w:rPr>
                <w:lang w:eastAsia="en-US"/>
              </w:rPr>
              <w:tab/>
              <w:t xml:space="preserve">&lt; </w:t>
            </w:r>
            <w:r w:rsidRPr="004D0DAA">
              <w:rPr>
                <w:b/>
                <w:lang w:eastAsia="en-US"/>
              </w:rPr>
              <w:t>GMSK</w:t>
            </w:r>
            <w:r w:rsidRPr="004D0DAA">
              <w:rPr>
                <w:lang w:eastAsia="en-US"/>
              </w:rPr>
              <w:t>_</w:t>
            </w:r>
            <w:r w:rsidRPr="004D0DAA">
              <w:rPr>
                <w:b/>
                <w:lang w:eastAsia="en-US"/>
              </w:rPr>
              <w:t>MEAN_BEP</w:t>
            </w:r>
            <w:r w:rsidRPr="004D0DAA">
              <w:rPr>
                <w:lang w:eastAsia="en-US"/>
              </w:rPr>
              <w:t xml:space="preserve"> : bit (5) &gt;</w:t>
            </w:r>
          </w:p>
          <w:p w14:paraId="1EA0EDA0"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 xml:space="preserve">&lt; </w:t>
            </w:r>
            <w:r w:rsidRPr="004D0DAA">
              <w:rPr>
                <w:b/>
                <w:lang w:eastAsia="en-US"/>
              </w:rPr>
              <w:t>GMSK</w:t>
            </w:r>
            <w:r w:rsidRPr="004D0DAA">
              <w:rPr>
                <w:lang w:eastAsia="en-US"/>
              </w:rPr>
              <w:t>_</w:t>
            </w:r>
            <w:r w:rsidRPr="004D0DAA">
              <w:rPr>
                <w:b/>
                <w:lang w:eastAsia="en-US"/>
              </w:rPr>
              <w:t>CV_BEP</w:t>
            </w:r>
            <w:r w:rsidRPr="004D0DAA">
              <w:rPr>
                <w:lang w:eastAsia="en-US"/>
              </w:rPr>
              <w:t xml:space="preserve"> : bit (3) &gt; }</w:t>
            </w:r>
          </w:p>
          <w:p w14:paraId="1EC8CE65"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C_VALUE</w:t>
            </w:r>
            <w:r w:rsidRPr="004D0DAA">
              <w:rPr>
                <w:lang w:eastAsia="en-US"/>
              </w:rPr>
              <w:t xml:space="preserve"> : bit (6) &gt;;</w:t>
            </w:r>
          </w:p>
        </w:tc>
      </w:tr>
    </w:tbl>
    <w:p w14:paraId="3799326B" w14:textId="77777777" w:rsidR="00711444" w:rsidRPr="004D0DAA" w:rsidRDefault="00711444" w:rsidP="00711444"/>
    <w:p w14:paraId="0B3001B3" w14:textId="77777777" w:rsidR="00711444" w:rsidRPr="004D0DAA" w:rsidRDefault="00711444" w:rsidP="00711444">
      <w:pPr>
        <w:pStyle w:val="TH"/>
      </w:pPr>
      <w:r w:rsidRPr="004D0DAA">
        <w:t xml:space="preserve">Table 12.76.2: </w:t>
      </w:r>
      <w:r w:rsidRPr="004D0DAA">
        <w:rPr>
          <w:i/>
        </w:rPr>
        <w:t>EC Channel Quality Report</w:t>
      </w:r>
      <w:r w:rsidRPr="004D0DAA">
        <w:t xml:space="preserve"> </w:t>
      </w:r>
      <w:r w:rsidRPr="004D0DAA">
        <w:rPr>
          <w:i/>
        </w:rPr>
        <w:t>Higher CC</w:t>
      </w:r>
      <w:r w:rsidRPr="004D0DAA">
        <w:t xml:space="preserve"> Information element details</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F4C17D8" w14:textId="77777777" w:rsidTr="00AA2A4C">
        <w:tc>
          <w:tcPr>
            <w:tcW w:w="9848" w:type="dxa"/>
          </w:tcPr>
          <w:p w14:paraId="4BBDE6CD" w14:textId="77777777" w:rsidR="00711444" w:rsidRPr="004D0DAA" w:rsidRDefault="00711444" w:rsidP="00AA2A4C">
            <w:pPr>
              <w:spacing w:after="0"/>
            </w:pPr>
            <w:r w:rsidRPr="004D0DAA">
              <w:rPr>
                <w:b/>
              </w:rPr>
              <w:t>GMSK</w:t>
            </w:r>
            <w:r w:rsidRPr="004D0DAA">
              <w:t>_</w:t>
            </w:r>
            <w:r w:rsidRPr="004D0DAA">
              <w:rPr>
                <w:b/>
              </w:rPr>
              <w:t>MEAN_BEP</w:t>
            </w:r>
            <w:r w:rsidRPr="004D0DAA">
              <w:t xml:space="preserve"> (5 bit field)</w:t>
            </w:r>
            <w:r w:rsidRPr="004D0DAA">
              <w:br/>
              <w:t>This field contains the mean value of the Bit Error Probability of the channel averaged over all time slots in the TBF for GMSK, refer to 3GPP TS 45.008.</w:t>
            </w:r>
          </w:p>
        </w:tc>
      </w:tr>
      <w:tr w:rsidR="00711444" w:rsidRPr="004D0DAA" w14:paraId="4B103E0B" w14:textId="77777777" w:rsidTr="00AA2A4C">
        <w:tc>
          <w:tcPr>
            <w:tcW w:w="9848" w:type="dxa"/>
          </w:tcPr>
          <w:p w14:paraId="353B9D59" w14:textId="77777777" w:rsidR="00711444" w:rsidRPr="004D0DAA" w:rsidRDefault="00711444" w:rsidP="00AA2A4C">
            <w:pPr>
              <w:spacing w:after="0"/>
              <w:rPr>
                <w:b/>
              </w:rPr>
            </w:pPr>
            <w:r w:rsidRPr="004D0DAA">
              <w:rPr>
                <w:b/>
              </w:rPr>
              <w:t xml:space="preserve">GMSK_CV_BEP </w:t>
            </w:r>
            <w:r w:rsidRPr="004D0DAA">
              <w:t>(3 bit field)</w:t>
            </w:r>
            <w:r w:rsidRPr="004D0DAA">
              <w:rPr>
                <w:b/>
              </w:rPr>
              <w:br/>
            </w:r>
            <w:r w:rsidRPr="004D0DAA">
              <w:t>This field contains the variation co-efficient for the Bit Error Probability averaged over all time slots of the TBF for GMSK, refer to 3GPP TS 45.008.</w:t>
            </w:r>
          </w:p>
        </w:tc>
      </w:tr>
      <w:tr w:rsidR="00711444" w:rsidRPr="004D0DAA" w14:paraId="437BCF50" w14:textId="77777777" w:rsidTr="00AA2A4C">
        <w:tc>
          <w:tcPr>
            <w:tcW w:w="9848" w:type="dxa"/>
          </w:tcPr>
          <w:p w14:paraId="4928F640" w14:textId="77777777" w:rsidR="00711444" w:rsidRPr="004D0DAA" w:rsidRDefault="00711444" w:rsidP="00AA2A4C">
            <w:pPr>
              <w:spacing w:after="0"/>
              <w:rPr>
                <w:b/>
              </w:rPr>
            </w:pPr>
            <w:r w:rsidRPr="004D0DAA">
              <w:rPr>
                <w:b/>
              </w:rPr>
              <w:t xml:space="preserve">C_VALUE </w:t>
            </w:r>
            <w:r w:rsidRPr="004D0DAA">
              <w:t>(6 bits)</w:t>
            </w:r>
            <w:r w:rsidRPr="004D0DAA">
              <w:rPr>
                <w:b/>
              </w:rPr>
              <w:br/>
            </w:r>
            <w:r w:rsidRPr="004D0DAA">
              <w:t>This field contains the value of the C parameter calculated by the mobile station (see 3GPP TS 45.008). This field is encoded as the binary representation of the C value parameter value defined in 3GPP TS 45.008.</w:t>
            </w:r>
            <w:r w:rsidRPr="004D0DAA">
              <w:br/>
              <w:t>Range 0 to 63</w:t>
            </w:r>
          </w:p>
        </w:tc>
      </w:tr>
    </w:tbl>
    <w:p w14:paraId="7FCD16A3" w14:textId="77777777" w:rsidR="00711444" w:rsidRPr="004D0DAA" w:rsidRDefault="00711444" w:rsidP="00711444"/>
    <w:p w14:paraId="79EA5E9A" w14:textId="77777777" w:rsidR="00711444" w:rsidRPr="004D0DAA" w:rsidRDefault="00711444" w:rsidP="00711444">
      <w:pPr>
        <w:pStyle w:val="TH"/>
        <w:sectPr w:rsidR="00711444" w:rsidRPr="004D0DAA" w:rsidSect="0074398B">
          <w:headerReference w:type="default" r:id="rId22"/>
          <w:footerReference w:type="default" r:id="rId23"/>
          <w:footnotePr>
            <w:numRestart w:val="eachSect"/>
          </w:footnotePr>
          <w:pgSz w:w="11907" w:h="16840" w:code="9"/>
          <w:pgMar w:top="1418" w:right="1134" w:bottom="1134" w:left="1134" w:header="851" w:footer="340" w:gutter="0"/>
          <w:cols w:space="720"/>
        </w:sectPr>
      </w:pPr>
    </w:p>
    <w:p w14:paraId="2F3C2FA9" w14:textId="77777777" w:rsidR="00711444" w:rsidRPr="004D0DAA" w:rsidRDefault="00711444" w:rsidP="00711444">
      <w:pPr>
        <w:pStyle w:val="Heading1"/>
      </w:pPr>
      <w:bookmarkStart w:id="874" w:name="_Toc516670047"/>
      <w:r w:rsidRPr="004D0DAA">
        <w:lastRenderedPageBreak/>
        <w:t>13</w:t>
      </w:r>
      <w:r w:rsidRPr="004D0DAA">
        <w:tab/>
        <w:t>Timers and counters</w:t>
      </w:r>
      <w:bookmarkEnd w:id="874"/>
    </w:p>
    <w:p w14:paraId="32FD27A8" w14:textId="77777777" w:rsidR="00711444" w:rsidRPr="004D0DAA" w:rsidRDefault="00711444" w:rsidP="00711444">
      <w:r w:rsidRPr="004D0DAA">
        <w:t>The tables in sub-clause 13.1 and 13.2 specify the timers used in RLC/MAC protocol signalling. The denotation of columns is defined as follows:</w:t>
      </w:r>
    </w:p>
    <w:p w14:paraId="34E739E3" w14:textId="77777777" w:rsidR="00711444" w:rsidRPr="004D0DAA" w:rsidRDefault="00711444" w:rsidP="00711444">
      <w:pPr>
        <w:pStyle w:val="EX"/>
        <w:ind w:left="2268" w:hanging="1984"/>
      </w:pPr>
      <w:r w:rsidRPr="004D0DAA">
        <w:t>timer ::=</w:t>
      </w:r>
      <w:r w:rsidRPr="004D0DAA">
        <w:tab/>
      </w:r>
      <w:r w:rsidRPr="004D0DAA">
        <w:tab/>
        <w:t>name of the timer;</w:t>
      </w:r>
    </w:p>
    <w:p w14:paraId="25A49BD9" w14:textId="77777777" w:rsidR="00711444" w:rsidRPr="004D0DAA" w:rsidRDefault="00711444" w:rsidP="00711444">
      <w:pPr>
        <w:pStyle w:val="EX"/>
        <w:ind w:left="2268" w:hanging="1984"/>
      </w:pPr>
      <w:r w:rsidRPr="004D0DAA">
        <w:t>started ::=</w:t>
      </w:r>
      <w:r w:rsidRPr="004D0DAA">
        <w:tab/>
      </w:r>
      <w:r w:rsidRPr="004D0DAA">
        <w:tab/>
        <w:t>under which conditions the timer is started;</w:t>
      </w:r>
    </w:p>
    <w:p w14:paraId="36FB9A44" w14:textId="77777777" w:rsidR="00711444" w:rsidRPr="004D0DAA" w:rsidRDefault="00711444" w:rsidP="00711444">
      <w:pPr>
        <w:pStyle w:val="EX"/>
        <w:ind w:left="2268" w:hanging="1984"/>
      </w:pPr>
      <w:r w:rsidRPr="004D0DAA">
        <w:t>stopped ::=</w:t>
      </w:r>
      <w:r w:rsidRPr="004D0DAA">
        <w:tab/>
      </w:r>
      <w:r w:rsidRPr="004D0DAA">
        <w:tab/>
        <w:t>under which conditions the timer is stopped;</w:t>
      </w:r>
    </w:p>
    <w:p w14:paraId="6D59F2A6" w14:textId="77777777" w:rsidR="00711444" w:rsidRPr="004D0DAA" w:rsidRDefault="00711444" w:rsidP="00711444">
      <w:pPr>
        <w:pStyle w:val="EX"/>
        <w:ind w:left="2268" w:hanging="1984"/>
      </w:pPr>
      <w:r w:rsidRPr="004D0DAA">
        <w:t>action at expiry ::=</w:t>
      </w:r>
      <w:r w:rsidRPr="004D0DAA">
        <w:tab/>
        <w:t>which actions the GPRS entity shall perform at expiry;</w:t>
      </w:r>
    </w:p>
    <w:p w14:paraId="2EBEC33E" w14:textId="77777777" w:rsidR="00711444" w:rsidRPr="004D0DAA" w:rsidRDefault="00711444" w:rsidP="00711444">
      <w:pPr>
        <w:pStyle w:val="EX"/>
        <w:ind w:left="2268" w:hanging="1984"/>
      </w:pPr>
      <w:r w:rsidRPr="004D0DAA">
        <w:t>value ::=</w:t>
      </w:r>
      <w:r w:rsidRPr="004D0DAA">
        <w:tab/>
      </w:r>
      <w:r w:rsidRPr="004D0DAA">
        <w:tab/>
        <w:t>the duration between setting the timer and expiry of the timer ("s" denotes</w:t>
      </w:r>
      <w:r w:rsidRPr="004D0DAA">
        <w:br/>
      </w:r>
      <w:r w:rsidRPr="004D0DAA">
        <w:tab/>
        <w:t>"second(s)" "xx - yy" means that any value between xx and yy is permitted).</w:t>
      </w:r>
    </w:p>
    <w:p w14:paraId="6754DB97" w14:textId="77777777" w:rsidR="00711444" w:rsidRPr="004D0DAA" w:rsidRDefault="00711444" w:rsidP="00711444">
      <w:pPr>
        <w:pStyle w:val="Heading2"/>
        <w:sectPr w:rsidR="00711444" w:rsidRPr="004D0DAA" w:rsidSect="0074398B">
          <w:headerReference w:type="default" r:id="rId24"/>
          <w:footnotePr>
            <w:numRestart w:val="eachSect"/>
          </w:footnotePr>
          <w:pgSz w:w="11907" w:h="16840" w:code="9"/>
          <w:pgMar w:top="1416" w:right="1133" w:bottom="1133" w:left="1133" w:header="850" w:footer="340" w:gutter="0"/>
          <w:cols w:space="720"/>
          <w:formProt w:val="0"/>
        </w:sectPr>
      </w:pPr>
    </w:p>
    <w:p w14:paraId="3D79274B" w14:textId="77777777" w:rsidR="00711444" w:rsidRPr="004D0DAA" w:rsidRDefault="00711444" w:rsidP="00711444">
      <w:pPr>
        <w:pStyle w:val="Heading2"/>
        <w:spacing w:before="140" w:after="140"/>
      </w:pPr>
      <w:bookmarkStart w:id="875" w:name="_Toc516670048"/>
      <w:r w:rsidRPr="004D0DAA">
        <w:lastRenderedPageBreak/>
        <w:t>13.1</w:t>
      </w:r>
      <w:r w:rsidRPr="004D0DAA">
        <w:tab/>
        <w:t>Timers on the Mobile Station side</w:t>
      </w:r>
      <w:bookmarkEnd w:id="875"/>
    </w:p>
    <w:p w14:paraId="6BE53040" w14:textId="77777777" w:rsidR="00711444" w:rsidRPr="004D0DAA" w:rsidRDefault="00711444" w:rsidP="00711444">
      <w:r w:rsidRPr="004D0DAA">
        <w:t>For each timer, it is shown whether one timer instance is needed per MS, per TBF/MBMS radio bearer, per MS_ID or per RLC/MAC control message.</w:t>
      </w:r>
    </w:p>
    <w:p w14:paraId="5278F671" w14:textId="77777777" w:rsidR="00711444" w:rsidRPr="004D0DAA" w:rsidRDefault="00711444" w:rsidP="00711444">
      <w:r w:rsidRPr="004D0DAA">
        <w:t>For EC-GSM-IoT, where blind physical layer transmissions are used, if a timer expires during an ongoing transmission opportunity, that transmission opportunity shall be considered as having occurred prior to the expiry of the timer.</w:t>
      </w:r>
    </w:p>
    <w:p w14:paraId="05933C2C" w14:textId="77777777" w:rsidR="00711444" w:rsidRPr="004D0DAA" w:rsidRDefault="00711444" w:rsidP="00711444">
      <w:pPr>
        <w:pStyle w:val="TH"/>
        <w:spacing w:before="40" w:after="140"/>
      </w:pPr>
      <w:r w:rsidRPr="004D0DAA">
        <w:lastRenderedPageBreak/>
        <w:t>Table 13.1.1: Specification of timers used in GPRS on the Mobile Station side</w:t>
      </w:r>
    </w:p>
    <w:tbl>
      <w:tblPr>
        <w:tblW w:w="14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79"/>
        <w:gridCol w:w="3640"/>
        <w:gridCol w:w="4156"/>
        <w:gridCol w:w="4111"/>
        <w:gridCol w:w="1558"/>
      </w:tblGrid>
      <w:tr w:rsidR="00711444" w:rsidRPr="004D0DAA" w14:paraId="399090A8" w14:textId="77777777" w:rsidTr="00AA2A4C">
        <w:tblPrEx>
          <w:tblCellMar>
            <w:top w:w="0" w:type="dxa"/>
            <w:bottom w:w="0" w:type="dxa"/>
          </w:tblCellMar>
        </w:tblPrEx>
        <w:trPr>
          <w:cantSplit/>
          <w:tblHeader/>
          <w:jc w:val="center"/>
        </w:trPr>
        <w:tc>
          <w:tcPr>
            <w:tcW w:w="879" w:type="dxa"/>
          </w:tcPr>
          <w:p w14:paraId="7C7825C5" w14:textId="77777777" w:rsidR="00711444" w:rsidRPr="004D0DAA" w:rsidRDefault="00711444" w:rsidP="00AA2A4C">
            <w:pPr>
              <w:pStyle w:val="TAH"/>
              <w:rPr>
                <w:lang w:eastAsia="en-US"/>
              </w:rPr>
            </w:pPr>
            <w:r w:rsidRPr="004D0DAA">
              <w:rPr>
                <w:lang w:eastAsia="en-US"/>
              </w:rPr>
              <w:t>timer</w:t>
            </w:r>
          </w:p>
        </w:tc>
        <w:tc>
          <w:tcPr>
            <w:tcW w:w="3640" w:type="dxa"/>
          </w:tcPr>
          <w:p w14:paraId="284DE2D7" w14:textId="77777777" w:rsidR="00711444" w:rsidRPr="004D0DAA" w:rsidRDefault="00711444" w:rsidP="00AA2A4C">
            <w:pPr>
              <w:pStyle w:val="TAH"/>
              <w:rPr>
                <w:lang w:eastAsia="en-US"/>
              </w:rPr>
            </w:pPr>
            <w:r w:rsidRPr="004D0DAA">
              <w:rPr>
                <w:lang w:eastAsia="en-US"/>
              </w:rPr>
              <w:t>started</w:t>
            </w:r>
          </w:p>
        </w:tc>
        <w:tc>
          <w:tcPr>
            <w:tcW w:w="4156" w:type="dxa"/>
          </w:tcPr>
          <w:p w14:paraId="4F0417B7" w14:textId="77777777" w:rsidR="00711444" w:rsidRPr="004D0DAA" w:rsidRDefault="00711444" w:rsidP="00AA2A4C">
            <w:pPr>
              <w:pStyle w:val="TAH"/>
              <w:rPr>
                <w:lang w:eastAsia="en-US"/>
              </w:rPr>
            </w:pPr>
            <w:r w:rsidRPr="004D0DAA">
              <w:rPr>
                <w:lang w:eastAsia="en-US"/>
              </w:rPr>
              <w:t>stopped</w:t>
            </w:r>
          </w:p>
        </w:tc>
        <w:tc>
          <w:tcPr>
            <w:tcW w:w="4111" w:type="dxa"/>
          </w:tcPr>
          <w:p w14:paraId="6B0E9780" w14:textId="77777777" w:rsidR="00711444" w:rsidRPr="004D0DAA" w:rsidRDefault="00711444" w:rsidP="00AA2A4C">
            <w:pPr>
              <w:pStyle w:val="TAH"/>
              <w:rPr>
                <w:lang w:eastAsia="en-US"/>
              </w:rPr>
            </w:pPr>
            <w:r w:rsidRPr="004D0DAA">
              <w:rPr>
                <w:lang w:eastAsia="en-US"/>
              </w:rPr>
              <w:t>action at expiry</w:t>
            </w:r>
          </w:p>
        </w:tc>
        <w:tc>
          <w:tcPr>
            <w:tcW w:w="1558" w:type="dxa"/>
          </w:tcPr>
          <w:p w14:paraId="29D70967" w14:textId="77777777" w:rsidR="00711444" w:rsidRPr="004D0DAA" w:rsidRDefault="00711444" w:rsidP="00AA2A4C">
            <w:pPr>
              <w:pStyle w:val="TAH"/>
              <w:rPr>
                <w:lang w:eastAsia="en-US"/>
              </w:rPr>
            </w:pPr>
            <w:r w:rsidRPr="004D0DAA">
              <w:rPr>
                <w:lang w:eastAsia="en-US"/>
              </w:rPr>
              <w:t>value</w:t>
            </w:r>
          </w:p>
        </w:tc>
      </w:tr>
      <w:tr w:rsidR="00711444" w:rsidRPr="004D0DAA" w14:paraId="12FB4BBB" w14:textId="77777777" w:rsidTr="00AA2A4C">
        <w:tblPrEx>
          <w:tblCellMar>
            <w:top w:w="0" w:type="dxa"/>
            <w:bottom w:w="0" w:type="dxa"/>
          </w:tblCellMar>
        </w:tblPrEx>
        <w:trPr>
          <w:cantSplit/>
          <w:jc w:val="center"/>
        </w:trPr>
        <w:tc>
          <w:tcPr>
            <w:tcW w:w="879" w:type="dxa"/>
          </w:tcPr>
          <w:p w14:paraId="7A0A4782" w14:textId="77777777" w:rsidR="00711444" w:rsidRPr="004D0DAA" w:rsidRDefault="00711444" w:rsidP="00AA2A4C">
            <w:pPr>
              <w:pStyle w:val="TAC"/>
              <w:rPr>
                <w:lang w:eastAsia="en-US"/>
              </w:rPr>
            </w:pPr>
            <w:r w:rsidRPr="004D0DAA">
              <w:rPr>
                <w:lang w:eastAsia="en-US"/>
              </w:rPr>
              <w:t>T3158 (per MS)</w:t>
            </w:r>
          </w:p>
        </w:tc>
        <w:tc>
          <w:tcPr>
            <w:tcW w:w="3640" w:type="dxa"/>
          </w:tcPr>
          <w:p w14:paraId="77663531" w14:textId="77777777" w:rsidR="00711444" w:rsidRPr="004D0DAA" w:rsidRDefault="00711444" w:rsidP="00AA2A4C">
            <w:pPr>
              <w:pStyle w:val="TAL"/>
              <w:rPr>
                <w:lang w:eastAsia="en-US"/>
              </w:rPr>
            </w:pPr>
            <w:r w:rsidRPr="004D0DAA">
              <w:rPr>
                <w:lang w:eastAsia="en-US"/>
              </w:rPr>
              <w:t xml:space="preserve">Started when ordered by a NETWORK_CONTROL_ORDER and then restarted each time a Network Controlled (NC) Measurement is performed in MM Ready state and in packet idle or packet transfer mode in </w:t>
            </w:r>
            <w:r w:rsidRPr="004D0DAA">
              <w:rPr>
                <w:i/>
                <w:iCs/>
                <w:lang w:eastAsia="en-US"/>
              </w:rPr>
              <w:t>A/Gb mode</w:t>
            </w:r>
            <w:r w:rsidRPr="004D0DAA">
              <w:rPr>
                <w:lang w:eastAsia="en-US"/>
              </w:rPr>
              <w:t xml:space="preserve"> and in RRC-Cell_Shared state and MAC-Idle or MAC-Shared state in </w:t>
            </w:r>
            <w:r w:rsidRPr="004D0DAA">
              <w:rPr>
                <w:i/>
                <w:iCs/>
                <w:lang w:eastAsia="en-US"/>
              </w:rPr>
              <w:t>Iu mode</w:t>
            </w:r>
            <w:r w:rsidRPr="004D0DAA">
              <w:rPr>
                <w:lang w:eastAsia="en-US"/>
              </w:rPr>
              <w:t>.</w:t>
            </w:r>
          </w:p>
        </w:tc>
        <w:tc>
          <w:tcPr>
            <w:tcW w:w="4156" w:type="dxa"/>
          </w:tcPr>
          <w:p w14:paraId="27139974" w14:textId="77777777" w:rsidR="00711444" w:rsidRPr="004D0DAA" w:rsidRDefault="00711444" w:rsidP="00AA2A4C">
            <w:pPr>
              <w:pStyle w:val="TAL"/>
              <w:rPr>
                <w:lang w:eastAsia="en-US"/>
              </w:rPr>
            </w:pPr>
            <w:r w:rsidRPr="004D0DAA">
              <w:rPr>
                <w:lang w:eastAsia="en-US"/>
              </w:rPr>
              <w:t>See 3GPP TS 45.008</w:t>
            </w:r>
          </w:p>
        </w:tc>
        <w:tc>
          <w:tcPr>
            <w:tcW w:w="4111" w:type="dxa"/>
          </w:tcPr>
          <w:p w14:paraId="35F2CC56" w14:textId="77777777" w:rsidR="00711444" w:rsidRPr="004D0DAA" w:rsidRDefault="00711444" w:rsidP="00AA2A4C">
            <w:pPr>
              <w:pStyle w:val="TAL"/>
              <w:rPr>
                <w:lang w:eastAsia="en-US"/>
              </w:rPr>
            </w:pPr>
            <w:r w:rsidRPr="004D0DAA">
              <w:rPr>
                <w:lang w:eastAsia="en-US"/>
              </w:rPr>
              <w:t>Restart the timer, perform the measurement and send a NC Measurement report. The timer shall be restarted with either of the parameters NC_REPORTING_PERIOD_I when in packet idle mode or MAC-Idle state or with the parameter NC_REPORTING_PERIOD_T when in packet transfer mode or MAC-Shared state</w:t>
            </w:r>
          </w:p>
        </w:tc>
        <w:tc>
          <w:tcPr>
            <w:tcW w:w="1558" w:type="dxa"/>
          </w:tcPr>
          <w:p w14:paraId="3E95C6E0" w14:textId="77777777" w:rsidR="00711444" w:rsidRPr="004D0DAA" w:rsidRDefault="00711444" w:rsidP="00AA2A4C">
            <w:pPr>
              <w:pStyle w:val="TAL"/>
              <w:rPr>
                <w:lang w:eastAsia="en-US"/>
              </w:rPr>
            </w:pPr>
            <w:r w:rsidRPr="004D0DAA">
              <w:rPr>
                <w:lang w:eastAsia="en-US"/>
              </w:rPr>
              <w:t>Defined by the parameter or by a random value (see 3GPP TS 45.008)</w:t>
            </w:r>
          </w:p>
        </w:tc>
      </w:tr>
      <w:tr w:rsidR="00711444" w:rsidRPr="004D0DAA" w14:paraId="61D752D1" w14:textId="77777777" w:rsidTr="00AA2A4C">
        <w:tblPrEx>
          <w:tblCellMar>
            <w:top w:w="0" w:type="dxa"/>
            <w:bottom w:w="0" w:type="dxa"/>
          </w:tblCellMar>
        </w:tblPrEx>
        <w:trPr>
          <w:cantSplit/>
          <w:jc w:val="center"/>
        </w:trPr>
        <w:tc>
          <w:tcPr>
            <w:tcW w:w="879" w:type="dxa"/>
          </w:tcPr>
          <w:p w14:paraId="4D94FBEE" w14:textId="77777777" w:rsidR="00711444" w:rsidRPr="004D0DAA" w:rsidRDefault="00711444" w:rsidP="00AA2A4C">
            <w:pPr>
              <w:pStyle w:val="TAC"/>
              <w:rPr>
                <w:lang w:eastAsia="en-US"/>
              </w:rPr>
            </w:pPr>
            <w:r w:rsidRPr="004D0DAA">
              <w:rPr>
                <w:lang w:eastAsia="en-US"/>
              </w:rPr>
              <w:t>T3162 (per MS)</w:t>
            </w:r>
          </w:p>
        </w:tc>
        <w:tc>
          <w:tcPr>
            <w:tcW w:w="3640" w:type="dxa"/>
          </w:tcPr>
          <w:p w14:paraId="6791BFBC" w14:textId="77777777" w:rsidR="00711444" w:rsidRPr="004D0DAA" w:rsidRDefault="00711444" w:rsidP="00AA2A4C">
            <w:pPr>
              <w:pStyle w:val="TAL"/>
              <w:rPr>
                <w:lang w:eastAsia="en-US"/>
              </w:rPr>
            </w:pPr>
            <w:r w:rsidRPr="004D0DAA">
              <w:rPr>
                <w:lang w:eastAsia="en-US"/>
              </w:rPr>
              <w:t>On receipt of a PACKET QUEUING NOTIFICATION</w:t>
            </w:r>
          </w:p>
        </w:tc>
        <w:tc>
          <w:tcPr>
            <w:tcW w:w="4156" w:type="dxa"/>
          </w:tcPr>
          <w:p w14:paraId="5D758D2D" w14:textId="77777777" w:rsidR="00711444" w:rsidRPr="004D0DAA" w:rsidRDefault="00711444" w:rsidP="00AA2A4C">
            <w:pPr>
              <w:pStyle w:val="TAL"/>
              <w:rPr>
                <w:lang w:eastAsia="en-US"/>
              </w:rPr>
            </w:pPr>
            <w:r w:rsidRPr="004D0DAA">
              <w:rPr>
                <w:lang w:eastAsia="en-US"/>
              </w:rPr>
              <w:t>On receipt of a PACKET UPLINK ASSIGNMENT</w:t>
            </w:r>
          </w:p>
        </w:tc>
        <w:tc>
          <w:tcPr>
            <w:tcW w:w="4111" w:type="dxa"/>
          </w:tcPr>
          <w:p w14:paraId="01B5D72F" w14:textId="77777777" w:rsidR="00711444" w:rsidRPr="004D0DAA" w:rsidRDefault="00711444" w:rsidP="00AA2A4C">
            <w:pPr>
              <w:pStyle w:val="TAL"/>
              <w:rPr>
                <w:lang w:eastAsia="en-US"/>
              </w:rPr>
            </w:pPr>
            <w:r w:rsidRPr="004D0DAA">
              <w:rPr>
                <w:lang w:eastAsia="en-US"/>
              </w:rPr>
              <w:t xml:space="preserve">Abort </w:t>
            </w:r>
            <w:r w:rsidRPr="004D0DAA">
              <w:rPr>
                <w:lang w:eastAsia="ko-KR"/>
              </w:rPr>
              <w:t>p</w:t>
            </w:r>
            <w:r w:rsidRPr="004D0DAA">
              <w:rPr>
                <w:lang w:eastAsia="en-US"/>
              </w:rPr>
              <w:t xml:space="preserve">acket access procedure; indicate </w:t>
            </w:r>
            <w:r w:rsidRPr="004D0DAA">
              <w:rPr>
                <w:lang w:eastAsia="ko-KR"/>
              </w:rPr>
              <w:t>p</w:t>
            </w:r>
            <w:r w:rsidRPr="004D0DAA">
              <w:rPr>
                <w:lang w:eastAsia="en-US"/>
              </w:rPr>
              <w:t xml:space="preserve">acket access failure to upper layers and </w:t>
            </w:r>
            <w:r w:rsidRPr="004D0DAA">
              <w:rPr>
                <w:lang w:eastAsia="ko-KR"/>
              </w:rPr>
              <w:t>r</w:t>
            </w:r>
            <w:r w:rsidRPr="004D0DAA">
              <w:rPr>
                <w:lang w:eastAsia="en-US"/>
              </w:rPr>
              <w:t>eturn to packet idle mode or MAC-Idle state listening to its paging subchannel</w:t>
            </w:r>
          </w:p>
        </w:tc>
        <w:tc>
          <w:tcPr>
            <w:tcW w:w="1558" w:type="dxa"/>
          </w:tcPr>
          <w:p w14:paraId="380CE5C4" w14:textId="77777777" w:rsidR="00711444" w:rsidRPr="004D0DAA" w:rsidRDefault="00711444" w:rsidP="00AA2A4C">
            <w:pPr>
              <w:pStyle w:val="TAL"/>
              <w:rPr>
                <w:lang w:eastAsia="en-US"/>
              </w:rPr>
            </w:pPr>
            <w:r w:rsidRPr="004D0DAA">
              <w:rPr>
                <w:lang w:eastAsia="en-US"/>
              </w:rPr>
              <w:t>5 s</w:t>
            </w:r>
          </w:p>
        </w:tc>
      </w:tr>
      <w:tr w:rsidR="00711444" w:rsidRPr="004D0DAA" w14:paraId="64F71BE6" w14:textId="77777777" w:rsidTr="00AA2A4C">
        <w:tblPrEx>
          <w:tblCellMar>
            <w:top w:w="0" w:type="dxa"/>
            <w:bottom w:w="0" w:type="dxa"/>
          </w:tblCellMar>
        </w:tblPrEx>
        <w:trPr>
          <w:cantSplit/>
          <w:jc w:val="center"/>
        </w:trPr>
        <w:tc>
          <w:tcPr>
            <w:tcW w:w="879" w:type="dxa"/>
          </w:tcPr>
          <w:p w14:paraId="1C90F8C4" w14:textId="77777777" w:rsidR="00711444" w:rsidRPr="004D0DAA" w:rsidRDefault="00711444" w:rsidP="00AA2A4C">
            <w:pPr>
              <w:pStyle w:val="TAC"/>
              <w:rPr>
                <w:lang w:eastAsia="en-US"/>
              </w:rPr>
            </w:pPr>
            <w:r w:rsidRPr="004D0DAA">
              <w:rPr>
                <w:lang w:eastAsia="en-US"/>
              </w:rPr>
              <w:t>T3164 (per TBF)</w:t>
            </w:r>
          </w:p>
        </w:tc>
        <w:tc>
          <w:tcPr>
            <w:tcW w:w="3640" w:type="dxa"/>
          </w:tcPr>
          <w:p w14:paraId="00A42CB5" w14:textId="77777777" w:rsidR="00711444" w:rsidRPr="004D0DAA" w:rsidRDefault="00711444" w:rsidP="00AA2A4C">
            <w:pPr>
              <w:pStyle w:val="TAL"/>
              <w:rPr>
                <w:lang w:eastAsia="en-US"/>
              </w:rPr>
            </w:pPr>
            <w:r w:rsidRPr="004D0DAA">
              <w:rPr>
                <w:lang w:eastAsia="en-US"/>
              </w:rPr>
              <w:t>On receipt of a PACKET UPLINK ASSIGNMENT or MULTIPLE TBF UPLINK ASSIGNMENT message. A separate instance of T3164 is started for each TBF for which resources were assigned.</w:t>
            </w:r>
          </w:p>
        </w:tc>
        <w:tc>
          <w:tcPr>
            <w:tcW w:w="4156" w:type="dxa"/>
          </w:tcPr>
          <w:p w14:paraId="3553C364" w14:textId="77777777" w:rsidR="00711444" w:rsidRPr="004D0DAA" w:rsidRDefault="00711444" w:rsidP="00AA2A4C">
            <w:pPr>
              <w:pStyle w:val="TAL"/>
              <w:rPr>
                <w:lang w:eastAsia="en-US"/>
              </w:rPr>
            </w:pPr>
            <w:r w:rsidRPr="004D0DAA">
              <w:rPr>
                <w:lang w:eastAsia="en-US"/>
              </w:rPr>
              <w:t>At sending of the first RLC/MAC block</w:t>
            </w:r>
          </w:p>
        </w:tc>
        <w:tc>
          <w:tcPr>
            <w:tcW w:w="4111" w:type="dxa"/>
          </w:tcPr>
          <w:p w14:paraId="697BB08A" w14:textId="77777777" w:rsidR="00711444" w:rsidRPr="004D0DAA" w:rsidRDefault="00711444" w:rsidP="00AA2A4C">
            <w:pPr>
              <w:pStyle w:val="TAL"/>
              <w:rPr>
                <w:lang w:eastAsia="en-US"/>
              </w:rPr>
            </w:pPr>
            <w:r w:rsidRPr="004D0DAA">
              <w:rPr>
                <w:lang w:eastAsia="en-US"/>
              </w:rPr>
              <w:t>See sub-clause 7.1.4. (A/Gb mode).</w:t>
            </w:r>
          </w:p>
        </w:tc>
        <w:tc>
          <w:tcPr>
            <w:tcW w:w="1558" w:type="dxa"/>
          </w:tcPr>
          <w:p w14:paraId="493081F9" w14:textId="77777777" w:rsidR="00711444" w:rsidRPr="004D0DAA" w:rsidRDefault="00711444" w:rsidP="00AA2A4C">
            <w:pPr>
              <w:pStyle w:val="TAL"/>
              <w:rPr>
                <w:lang w:eastAsia="en-US"/>
              </w:rPr>
            </w:pPr>
            <w:r w:rsidRPr="004D0DAA">
              <w:rPr>
                <w:lang w:eastAsia="en-US"/>
              </w:rPr>
              <w:t>5 s</w:t>
            </w:r>
          </w:p>
        </w:tc>
      </w:tr>
      <w:tr w:rsidR="00711444" w:rsidRPr="004D0DAA" w14:paraId="4FACA8E2" w14:textId="77777777" w:rsidTr="00AA2A4C">
        <w:tblPrEx>
          <w:tblCellMar>
            <w:top w:w="0" w:type="dxa"/>
            <w:bottom w:w="0" w:type="dxa"/>
          </w:tblCellMar>
        </w:tblPrEx>
        <w:trPr>
          <w:cantSplit/>
          <w:jc w:val="center"/>
        </w:trPr>
        <w:tc>
          <w:tcPr>
            <w:tcW w:w="879" w:type="dxa"/>
          </w:tcPr>
          <w:p w14:paraId="76F63CB7" w14:textId="77777777" w:rsidR="00711444" w:rsidRPr="004D0DAA" w:rsidRDefault="00711444" w:rsidP="00AA2A4C">
            <w:pPr>
              <w:pStyle w:val="TAC"/>
              <w:rPr>
                <w:lang w:eastAsia="en-US"/>
              </w:rPr>
            </w:pPr>
            <w:r w:rsidRPr="004D0DAA">
              <w:rPr>
                <w:lang w:eastAsia="en-US"/>
              </w:rPr>
              <w:t>T3166 (per MS)</w:t>
            </w:r>
          </w:p>
        </w:tc>
        <w:tc>
          <w:tcPr>
            <w:tcW w:w="3640" w:type="dxa"/>
          </w:tcPr>
          <w:p w14:paraId="5F84237A" w14:textId="77777777" w:rsidR="00711444" w:rsidRPr="004D0DAA" w:rsidRDefault="00711444" w:rsidP="00AA2A4C">
            <w:pPr>
              <w:pStyle w:val="TAL"/>
              <w:rPr>
                <w:lang w:eastAsia="en-US"/>
              </w:rPr>
            </w:pPr>
            <w:r w:rsidRPr="004D0DAA">
              <w:rPr>
                <w:lang w:eastAsia="en-US"/>
              </w:rPr>
              <w:t>At sending of the first RLC/MAC block at one phase access</w:t>
            </w:r>
          </w:p>
        </w:tc>
        <w:tc>
          <w:tcPr>
            <w:tcW w:w="4156" w:type="dxa"/>
          </w:tcPr>
          <w:p w14:paraId="6B51E7D8" w14:textId="77777777" w:rsidR="00711444" w:rsidRPr="004D0DAA" w:rsidRDefault="00711444" w:rsidP="00AA2A4C">
            <w:pPr>
              <w:pStyle w:val="TAL"/>
              <w:rPr>
                <w:lang w:eastAsia="en-US"/>
              </w:rPr>
            </w:pPr>
            <w:r w:rsidRPr="004D0DAA">
              <w:rPr>
                <w:lang w:eastAsia="en-US"/>
              </w:rPr>
              <w:t>On receipt of a PACKET UPLINK ACK/NACK</w:t>
            </w:r>
          </w:p>
        </w:tc>
        <w:tc>
          <w:tcPr>
            <w:tcW w:w="4111" w:type="dxa"/>
          </w:tcPr>
          <w:p w14:paraId="40383238" w14:textId="77777777" w:rsidR="00711444" w:rsidRPr="004D0DAA" w:rsidRDefault="00711444" w:rsidP="00AA2A4C">
            <w:pPr>
              <w:pStyle w:val="TAL"/>
              <w:rPr>
                <w:lang w:eastAsia="en-US"/>
              </w:rPr>
            </w:pPr>
            <w:r w:rsidRPr="004D0DAA">
              <w:rPr>
                <w:lang w:eastAsia="en-US"/>
              </w:rPr>
              <w:t>Immediately stop transmitting on the assigned TBF; a TBF establishment failure has occurred or the contention resolution procedures has failed</w:t>
            </w:r>
          </w:p>
        </w:tc>
        <w:tc>
          <w:tcPr>
            <w:tcW w:w="1558" w:type="dxa"/>
          </w:tcPr>
          <w:p w14:paraId="46EB65C9" w14:textId="77777777" w:rsidR="00711444" w:rsidRPr="004D0DAA" w:rsidRDefault="00711444" w:rsidP="00AA2A4C">
            <w:pPr>
              <w:pStyle w:val="TAL"/>
              <w:rPr>
                <w:lang w:eastAsia="en-US"/>
              </w:rPr>
            </w:pPr>
            <w:r w:rsidRPr="004D0DAA">
              <w:rPr>
                <w:lang w:eastAsia="en-US"/>
              </w:rPr>
              <w:t>5 s</w:t>
            </w:r>
          </w:p>
        </w:tc>
      </w:tr>
      <w:tr w:rsidR="00711444" w:rsidRPr="004D0DAA" w14:paraId="7A973C7C" w14:textId="77777777" w:rsidTr="00AA2A4C">
        <w:tblPrEx>
          <w:tblCellMar>
            <w:top w:w="0" w:type="dxa"/>
            <w:bottom w:w="0" w:type="dxa"/>
          </w:tblCellMar>
        </w:tblPrEx>
        <w:trPr>
          <w:cantSplit/>
          <w:jc w:val="center"/>
        </w:trPr>
        <w:tc>
          <w:tcPr>
            <w:tcW w:w="879" w:type="dxa"/>
          </w:tcPr>
          <w:p w14:paraId="2DD7D047" w14:textId="77777777" w:rsidR="00711444" w:rsidRPr="004D0DAA" w:rsidRDefault="00711444" w:rsidP="00AA2A4C">
            <w:pPr>
              <w:pStyle w:val="TAC"/>
              <w:rPr>
                <w:lang w:eastAsia="en-US"/>
              </w:rPr>
            </w:pPr>
            <w:r w:rsidRPr="004D0DAA">
              <w:rPr>
                <w:lang w:eastAsia="en-US"/>
              </w:rPr>
              <w:lastRenderedPageBreak/>
              <w:t>T3168 (per TBF)</w:t>
            </w:r>
          </w:p>
        </w:tc>
        <w:tc>
          <w:tcPr>
            <w:tcW w:w="3640" w:type="dxa"/>
          </w:tcPr>
          <w:p w14:paraId="4B5DF607" w14:textId="77777777" w:rsidR="00711444" w:rsidRPr="004D0DAA" w:rsidRDefault="00711444" w:rsidP="00AA2A4C">
            <w:pPr>
              <w:pStyle w:val="TAL"/>
              <w:rPr>
                <w:lang w:eastAsia="en-US"/>
              </w:rPr>
            </w:pPr>
            <w:r w:rsidRPr="004D0DAA">
              <w:rPr>
                <w:lang w:eastAsia="en-US"/>
              </w:rPr>
              <w:t>At sending the PACKET RESOURCE REQUEST message, (Extended) Channel Request Description IE in  PACKET DOWNLINK ACK/NACK or the PACKET CONTROL ACKNOWLEDGEMENT message requesting new TBF. A separate instance of T3168 is started for each TBF for which resources were requested.</w:t>
            </w:r>
          </w:p>
          <w:p w14:paraId="6EB45A42" w14:textId="77777777" w:rsidR="00711444" w:rsidRPr="004D0DAA" w:rsidRDefault="00711444" w:rsidP="00AA2A4C">
            <w:pPr>
              <w:pStyle w:val="TAL"/>
              <w:rPr>
                <w:lang w:eastAsia="en-US"/>
              </w:rPr>
            </w:pPr>
          </w:p>
          <w:p w14:paraId="17F78F83" w14:textId="77777777" w:rsidR="00711444" w:rsidRPr="004D0DAA" w:rsidRDefault="00711444" w:rsidP="00AA2A4C">
            <w:pPr>
              <w:pStyle w:val="TAL"/>
              <w:rPr>
                <w:lang w:eastAsia="en-US"/>
              </w:rPr>
            </w:pPr>
            <w:r w:rsidRPr="004D0DAA">
              <w:rPr>
                <w:lang w:eastAsia="en-US"/>
              </w:rPr>
              <w:t>For an EC TBF, started at sending the EC PACKET DOWNLINK ACK/NACK or EC PACKET DOWNLINK ACK/NACK HIGHER CC  message with the EC Channel Request Description IE.</w:t>
            </w:r>
          </w:p>
        </w:tc>
        <w:tc>
          <w:tcPr>
            <w:tcW w:w="4156" w:type="dxa"/>
          </w:tcPr>
          <w:p w14:paraId="0F49600C" w14:textId="77777777" w:rsidR="00711444" w:rsidRPr="004D0DAA" w:rsidRDefault="00711444" w:rsidP="00AA2A4C">
            <w:pPr>
              <w:pStyle w:val="TAL"/>
              <w:rPr>
                <w:lang w:eastAsia="en-US"/>
              </w:rPr>
            </w:pPr>
            <w:r w:rsidRPr="004D0DAA">
              <w:rPr>
                <w:lang w:eastAsia="en-US"/>
              </w:rPr>
              <w:t>On receipt of a PACKET UPLINK ASSIGNMENT, EC PACKET UPLINK ASSIGNMENT, MULTIPLE TBF UPLINK ASSIGNMENT, PACKET TIMESLOT RECONFIGURE or a MULTIPLE TBF TIMESLOT RECONFIGURE message that assigns resources to an uplink TBF for which T3168 is running. On receipt of a PACKET ACCESS REJECT or EC PACKET ACCESS REJECT message that rejects one or more uplink TBFs for which T3168 is running.</w:t>
            </w:r>
          </w:p>
          <w:p w14:paraId="0CF65C77" w14:textId="77777777" w:rsidR="00711444" w:rsidRPr="004D0DAA" w:rsidRDefault="00711444" w:rsidP="00AA2A4C">
            <w:pPr>
              <w:pStyle w:val="TAL"/>
              <w:rPr>
                <w:lang w:eastAsia="en-US"/>
              </w:rPr>
            </w:pPr>
          </w:p>
          <w:p w14:paraId="62460C3B" w14:textId="77777777" w:rsidR="00711444" w:rsidRPr="004D0DAA" w:rsidRDefault="00711444" w:rsidP="00AA2A4C">
            <w:pPr>
              <w:pStyle w:val="TAL"/>
              <w:rPr>
                <w:lang w:eastAsia="en-US"/>
              </w:rPr>
            </w:pPr>
            <w:r w:rsidRPr="004D0DAA">
              <w:rPr>
                <w:lang w:eastAsia="en-US"/>
              </w:rPr>
              <w:t>For an EC TBF, restarted at a new transmission of an EC PACKET DOWNLINK ACK/NACK or EC PACKET DOWNLINK ACK/NACK HIGHER CC message with the EC Channel Request Description IE.</w:t>
            </w:r>
          </w:p>
        </w:tc>
        <w:tc>
          <w:tcPr>
            <w:tcW w:w="4111" w:type="dxa"/>
          </w:tcPr>
          <w:p w14:paraId="34502CD2" w14:textId="77777777" w:rsidR="00711444" w:rsidRPr="004D0DAA" w:rsidRDefault="00711444" w:rsidP="00AA2A4C">
            <w:pPr>
              <w:pStyle w:val="TAL"/>
              <w:rPr>
                <w:rFonts w:cs="Arial"/>
                <w:szCs w:val="18"/>
                <w:lang w:eastAsia="en-US"/>
              </w:rPr>
            </w:pPr>
            <w:r w:rsidRPr="004D0DAA">
              <w:rPr>
                <w:lang w:eastAsia="en-US"/>
              </w:rPr>
              <w:t>Reinitiate the packet access procedure or retransmit the PACKET RESOURCE REQUEST or PACKET DOWNLINK ACK/NACK for the TBFs that have not been assigned resources.</w:t>
            </w:r>
            <w:r w:rsidRPr="004D0DAA">
              <w:rPr>
                <w:rFonts w:cs="Arial"/>
                <w:szCs w:val="18"/>
                <w:lang w:eastAsia="en-US"/>
              </w:rPr>
              <w:t xml:space="preserve"> </w:t>
            </w:r>
          </w:p>
          <w:p w14:paraId="02D431A9" w14:textId="77777777" w:rsidR="00711444" w:rsidRPr="004D0DAA" w:rsidRDefault="00711444" w:rsidP="00AA2A4C">
            <w:pPr>
              <w:pStyle w:val="TAL"/>
              <w:rPr>
                <w:rFonts w:cs="Arial"/>
                <w:szCs w:val="18"/>
                <w:lang w:eastAsia="en-US"/>
              </w:rPr>
            </w:pPr>
          </w:p>
          <w:p w14:paraId="2181CACE" w14:textId="77777777" w:rsidR="00711444" w:rsidRPr="004D0DAA" w:rsidRDefault="00711444" w:rsidP="00AA2A4C">
            <w:pPr>
              <w:pStyle w:val="TAL"/>
              <w:rPr>
                <w:lang w:eastAsia="en-US"/>
              </w:rPr>
            </w:pPr>
            <w:r w:rsidRPr="004D0DAA">
              <w:rPr>
                <w:lang w:eastAsia="en-US"/>
              </w:rPr>
              <w:t>A mobile station in EC operation may again include the EC Channel Request Description IE in an EC PACKET DOWNLINK ACK/NACK or EC PACKET DOWNLINK ACK/NACK HIGHER CC message. The EC Channel Request Description IE may however be included in an EC PACKET DOWNLINK ACK/NACK or EC PACKET DOWNLINK ACK/NACK HIGHER CC message with the Final Ack Indicator bit set to '1' even if timer T3168 is still running.</w:t>
            </w:r>
          </w:p>
          <w:p w14:paraId="0B4E1356" w14:textId="77777777" w:rsidR="00711444" w:rsidRPr="004D0DAA" w:rsidRDefault="00711444" w:rsidP="00AA2A4C">
            <w:pPr>
              <w:pStyle w:val="TAL"/>
              <w:rPr>
                <w:lang w:eastAsia="en-US"/>
              </w:rPr>
            </w:pPr>
          </w:p>
          <w:p w14:paraId="4D489432" w14:textId="77777777" w:rsidR="00711444" w:rsidRPr="004D0DAA" w:rsidRDefault="00711444" w:rsidP="00AA2A4C">
            <w:pPr>
              <w:pStyle w:val="TAL"/>
              <w:rPr>
                <w:lang w:eastAsia="en-US"/>
              </w:rPr>
            </w:pPr>
            <w:r w:rsidRPr="004D0DAA">
              <w:rPr>
                <w:lang w:eastAsia="en-US"/>
              </w:rPr>
              <w:t>For a mobile station in EC operation that has included the EC Channel Request Description IE in an EC PACKET DOWNLINK ACK/NACK message with the Final Ack Indicator bit set to '1', release the TBF resources, unless timer T3192 is still running. The packet access procedure may then be reinitiated on the (EC-)CCCH.</w:t>
            </w:r>
          </w:p>
        </w:tc>
        <w:tc>
          <w:tcPr>
            <w:tcW w:w="1558" w:type="dxa"/>
          </w:tcPr>
          <w:p w14:paraId="746A26B7" w14:textId="77777777" w:rsidR="00711444" w:rsidRPr="004D0DAA" w:rsidRDefault="00711444" w:rsidP="00AA2A4C">
            <w:pPr>
              <w:pStyle w:val="TAL"/>
              <w:rPr>
                <w:lang w:eastAsia="en-US"/>
              </w:rPr>
            </w:pPr>
            <w:r w:rsidRPr="004D0DAA">
              <w:rPr>
                <w:lang w:eastAsia="en-US"/>
              </w:rPr>
              <w:t>Set to 2 times the value of T3168 sent as part of system broadcast information if the total number of TBFs requested is greater than 1. Otherwise, it shall be set to the value of T3168 sent as part of system broadcast information (on BCCH or EC-BCCH).</w:t>
            </w:r>
          </w:p>
          <w:p w14:paraId="275C318B" w14:textId="77777777" w:rsidR="00711444" w:rsidRPr="004D0DAA" w:rsidRDefault="00711444" w:rsidP="00AA2A4C">
            <w:pPr>
              <w:pStyle w:val="TAL"/>
              <w:rPr>
                <w:lang w:eastAsia="en-US"/>
              </w:rPr>
            </w:pPr>
          </w:p>
          <w:p w14:paraId="16E56D1A" w14:textId="77777777" w:rsidR="00711444" w:rsidRPr="004D0DAA" w:rsidRDefault="00711444" w:rsidP="00AA2A4C">
            <w:pPr>
              <w:pStyle w:val="TAL"/>
              <w:rPr>
                <w:lang w:eastAsia="en-US"/>
              </w:rPr>
            </w:pPr>
            <w:r w:rsidRPr="004D0DAA">
              <w:rPr>
                <w:lang w:eastAsia="en-US"/>
              </w:rPr>
              <w:t>For a mobile station in EC operation, if the value of T3168 was not provided in the EC SI, the value 0 (500 ms) shall be used.</w:t>
            </w:r>
          </w:p>
        </w:tc>
      </w:tr>
      <w:tr w:rsidR="00711444" w:rsidRPr="004D0DAA" w14:paraId="4DD15570" w14:textId="77777777" w:rsidTr="00AA2A4C">
        <w:tblPrEx>
          <w:tblCellMar>
            <w:top w:w="0" w:type="dxa"/>
            <w:bottom w:w="0" w:type="dxa"/>
          </w:tblCellMar>
        </w:tblPrEx>
        <w:trPr>
          <w:cantSplit/>
          <w:jc w:val="center"/>
        </w:trPr>
        <w:tc>
          <w:tcPr>
            <w:tcW w:w="879" w:type="dxa"/>
          </w:tcPr>
          <w:p w14:paraId="16F84A2D" w14:textId="77777777" w:rsidR="00711444" w:rsidRPr="004D0DAA" w:rsidRDefault="00711444" w:rsidP="00AA2A4C">
            <w:pPr>
              <w:pStyle w:val="TAC"/>
              <w:rPr>
                <w:lang w:eastAsia="en-US"/>
              </w:rPr>
            </w:pPr>
            <w:r w:rsidRPr="004D0DAA">
              <w:rPr>
                <w:lang w:eastAsia="en-US"/>
              </w:rPr>
              <w:t>T3170 (per MS)</w:t>
            </w:r>
          </w:p>
        </w:tc>
        <w:tc>
          <w:tcPr>
            <w:tcW w:w="3640" w:type="dxa"/>
          </w:tcPr>
          <w:p w14:paraId="4E424DD4" w14:textId="77777777" w:rsidR="00711444" w:rsidRPr="004D0DAA" w:rsidRDefault="00711444" w:rsidP="00AA2A4C">
            <w:pPr>
              <w:pStyle w:val="TAL"/>
              <w:rPr>
                <w:lang w:eastAsia="en-US"/>
              </w:rPr>
            </w:pPr>
            <w:r w:rsidRPr="004D0DAA">
              <w:rPr>
                <w:lang w:eastAsia="en-US"/>
              </w:rPr>
              <w:t>After having made M + 1 attempts to send a PACKET CHANNEL REQUEST or EGPRS PACKET CHANNEL REQUEST or MPRACH PACKET CHANNEL REQUEST message (if at least one message was transmitted by the mobile station), or on receipt of a PACKET ACCESS REJECT message.</w:t>
            </w:r>
          </w:p>
        </w:tc>
        <w:tc>
          <w:tcPr>
            <w:tcW w:w="4156" w:type="dxa"/>
          </w:tcPr>
          <w:p w14:paraId="60B0A1AB" w14:textId="77777777" w:rsidR="00711444" w:rsidRPr="004D0DAA" w:rsidRDefault="00711444" w:rsidP="00AA2A4C">
            <w:pPr>
              <w:pStyle w:val="TAL"/>
              <w:rPr>
                <w:lang w:eastAsia="en-US"/>
              </w:rPr>
            </w:pPr>
            <w:r w:rsidRPr="004D0DAA">
              <w:rPr>
                <w:lang w:eastAsia="en-US"/>
              </w:rPr>
              <w:t>On receipt of a PACKET UPLINK ASSIGNMENT or PACKET DOWNLINK ASSIGNMENT or PACKET QUEUING NOTIFICATION message.</w:t>
            </w:r>
          </w:p>
        </w:tc>
        <w:tc>
          <w:tcPr>
            <w:tcW w:w="4111" w:type="dxa"/>
          </w:tcPr>
          <w:p w14:paraId="73370D49" w14:textId="77777777" w:rsidR="00711444" w:rsidRPr="004D0DAA" w:rsidRDefault="00711444" w:rsidP="00AA2A4C">
            <w:pPr>
              <w:pStyle w:val="TAL"/>
              <w:rPr>
                <w:lang w:eastAsia="en-US"/>
              </w:rPr>
            </w:pPr>
            <w:r w:rsidRPr="004D0DAA">
              <w:rPr>
                <w:lang w:eastAsia="en-US"/>
              </w:rPr>
              <w:t xml:space="preserve">Abort </w:t>
            </w:r>
            <w:r w:rsidRPr="004D0DAA">
              <w:rPr>
                <w:lang w:eastAsia="ko-KR"/>
              </w:rPr>
              <w:t>p</w:t>
            </w:r>
            <w:r w:rsidRPr="004D0DAA">
              <w:rPr>
                <w:lang w:eastAsia="en-US"/>
              </w:rPr>
              <w:t>acket access procedure.</w:t>
            </w:r>
            <w:r w:rsidRPr="004D0DAA">
              <w:rPr>
                <w:lang w:eastAsia="ko-KR"/>
              </w:rPr>
              <w:t xml:space="preserve"> In case of the expiry after having made M+1 attempts to send a PACKET </w:t>
            </w:r>
            <w:r w:rsidRPr="004D0DAA">
              <w:rPr>
                <w:lang w:eastAsia="en-US"/>
              </w:rPr>
              <w:t>CHANNEL REQUEST or EGPRS PACKET CHANNEL REQUEST or MPRACH PACKET CHANNEL REQUEST message</w:t>
            </w:r>
            <w:r w:rsidRPr="004D0DAA">
              <w:rPr>
                <w:lang w:eastAsia="ko-KR"/>
              </w:rPr>
              <w:t xml:space="preserve">, </w:t>
            </w:r>
            <w:r w:rsidRPr="004D0DAA">
              <w:rPr>
                <w:lang w:eastAsia="en-US"/>
              </w:rPr>
              <w:t>indicate a random access failure to upper layers and perform autonomous cell re-selection.</w:t>
            </w:r>
            <w:r w:rsidRPr="004D0DAA">
              <w:rPr>
                <w:lang w:eastAsia="ko-KR"/>
              </w:rPr>
              <w:t xml:space="preserve"> In case of the expiry following the receipt of a PACKET ACCESS REJECT message, indicate a packet access failure to upper layers and return to packet idle mode or MAC-Idle state.</w:t>
            </w:r>
          </w:p>
        </w:tc>
        <w:tc>
          <w:tcPr>
            <w:tcW w:w="1558" w:type="dxa"/>
          </w:tcPr>
          <w:p w14:paraId="2205A681" w14:textId="77777777" w:rsidR="00711444" w:rsidRPr="004D0DAA" w:rsidRDefault="00711444" w:rsidP="00AA2A4C">
            <w:pPr>
              <w:pStyle w:val="TAL"/>
              <w:rPr>
                <w:lang w:eastAsia="en-US"/>
              </w:rPr>
            </w:pPr>
            <w:r w:rsidRPr="004D0DAA">
              <w:rPr>
                <w:lang w:eastAsia="en-US"/>
              </w:rPr>
              <w:t>Defined by parameters TX_INT and S</w:t>
            </w:r>
          </w:p>
        </w:tc>
      </w:tr>
      <w:tr w:rsidR="00711444" w:rsidRPr="004D0DAA" w14:paraId="373ABEDA" w14:textId="77777777" w:rsidTr="00AA2A4C">
        <w:tblPrEx>
          <w:tblCellMar>
            <w:top w:w="0" w:type="dxa"/>
            <w:bottom w:w="0" w:type="dxa"/>
          </w:tblCellMar>
        </w:tblPrEx>
        <w:trPr>
          <w:cantSplit/>
          <w:jc w:val="center"/>
        </w:trPr>
        <w:tc>
          <w:tcPr>
            <w:tcW w:w="879" w:type="dxa"/>
          </w:tcPr>
          <w:p w14:paraId="72C79AD4" w14:textId="77777777" w:rsidR="00711444" w:rsidRPr="004D0DAA" w:rsidRDefault="00711444" w:rsidP="00AA2A4C">
            <w:pPr>
              <w:pStyle w:val="TAC"/>
              <w:rPr>
                <w:lang w:eastAsia="en-US"/>
              </w:rPr>
            </w:pPr>
            <w:r w:rsidRPr="004D0DAA">
              <w:rPr>
                <w:lang w:eastAsia="en-US"/>
              </w:rPr>
              <w:t>T3172 (per TBF)</w:t>
            </w:r>
          </w:p>
        </w:tc>
        <w:tc>
          <w:tcPr>
            <w:tcW w:w="3640" w:type="dxa"/>
          </w:tcPr>
          <w:p w14:paraId="6E8B9B7E" w14:textId="77777777" w:rsidR="00711444" w:rsidRPr="004D0DAA" w:rsidRDefault="00711444" w:rsidP="00AA2A4C">
            <w:pPr>
              <w:pStyle w:val="TAL"/>
              <w:rPr>
                <w:lang w:eastAsia="en-US"/>
              </w:rPr>
            </w:pPr>
            <w:r w:rsidRPr="004D0DAA">
              <w:rPr>
                <w:lang w:eastAsia="en-US"/>
              </w:rPr>
              <w:t>On receipt of an (EC) PACKET ACCESS REJECT message an instance of T3172 is started for each of the TBFs that have been rejected.</w:t>
            </w:r>
          </w:p>
        </w:tc>
        <w:tc>
          <w:tcPr>
            <w:tcW w:w="4156" w:type="dxa"/>
          </w:tcPr>
          <w:p w14:paraId="7CD920F0" w14:textId="77777777" w:rsidR="00711444" w:rsidRPr="004D0DAA" w:rsidRDefault="00711444" w:rsidP="00AA2A4C">
            <w:pPr>
              <w:pStyle w:val="TAL"/>
              <w:rPr>
                <w:lang w:eastAsia="en-US"/>
              </w:rPr>
            </w:pPr>
            <w:r w:rsidRPr="004D0DAA">
              <w:rPr>
                <w:lang w:eastAsia="en-US"/>
              </w:rPr>
              <w:t>On receipt of a PACKET UPLINK ASSIGNMENT, EC PACKET UPLINK ASSIGNMENT message or MULTIPLE TBF UPLINK ASSIGNMENT that assigns resources to the TBF for which T3172 is running.</w:t>
            </w:r>
          </w:p>
        </w:tc>
        <w:tc>
          <w:tcPr>
            <w:tcW w:w="4111" w:type="dxa"/>
          </w:tcPr>
          <w:p w14:paraId="30D1943E" w14:textId="77777777" w:rsidR="00711444" w:rsidRPr="004D0DAA" w:rsidRDefault="00711444" w:rsidP="00AA2A4C">
            <w:pPr>
              <w:pStyle w:val="TAL"/>
              <w:rPr>
                <w:lang w:eastAsia="en-US"/>
              </w:rPr>
            </w:pPr>
            <w:r w:rsidRPr="004D0DAA">
              <w:rPr>
                <w:lang w:eastAsia="en-US"/>
              </w:rPr>
              <w:t>Packet Access in the cell no longer prohibited</w:t>
            </w:r>
          </w:p>
        </w:tc>
        <w:tc>
          <w:tcPr>
            <w:tcW w:w="1558" w:type="dxa"/>
          </w:tcPr>
          <w:p w14:paraId="7330EE81" w14:textId="77777777" w:rsidR="00711444" w:rsidRPr="004D0DAA" w:rsidRDefault="00711444" w:rsidP="00AA2A4C">
            <w:pPr>
              <w:pStyle w:val="TAL"/>
              <w:rPr>
                <w:lang w:eastAsia="en-US"/>
              </w:rPr>
            </w:pPr>
            <w:r w:rsidRPr="004D0DAA">
              <w:rPr>
                <w:lang w:eastAsia="en-US"/>
              </w:rPr>
              <w:t>assigned in message</w:t>
            </w:r>
          </w:p>
        </w:tc>
      </w:tr>
      <w:tr w:rsidR="00711444" w:rsidRPr="004D0DAA" w14:paraId="032D53BC" w14:textId="77777777" w:rsidTr="00AA2A4C">
        <w:tblPrEx>
          <w:tblCellMar>
            <w:top w:w="0" w:type="dxa"/>
            <w:bottom w:w="0" w:type="dxa"/>
          </w:tblCellMar>
        </w:tblPrEx>
        <w:trPr>
          <w:cantSplit/>
          <w:jc w:val="center"/>
        </w:trPr>
        <w:tc>
          <w:tcPr>
            <w:tcW w:w="879" w:type="dxa"/>
          </w:tcPr>
          <w:p w14:paraId="63B891ED" w14:textId="77777777" w:rsidR="00711444" w:rsidRPr="004D0DAA" w:rsidRDefault="00711444" w:rsidP="00AA2A4C">
            <w:pPr>
              <w:pStyle w:val="TAC"/>
              <w:rPr>
                <w:lang w:eastAsia="en-US"/>
              </w:rPr>
            </w:pPr>
            <w:r w:rsidRPr="004D0DAA">
              <w:rPr>
                <w:lang w:eastAsia="en-US"/>
              </w:rPr>
              <w:t>T3174 (per MS)</w:t>
            </w:r>
          </w:p>
        </w:tc>
        <w:tc>
          <w:tcPr>
            <w:tcW w:w="3640" w:type="dxa"/>
          </w:tcPr>
          <w:p w14:paraId="3AC31E0B" w14:textId="77777777" w:rsidR="00711444" w:rsidRPr="004D0DAA" w:rsidRDefault="00711444" w:rsidP="00AA2A4C">
            <w:pPr>
              <w:pStyle w:val="TAL"/>
              <w:rPr>
                <w:lang w:eastAsia="en-US"/>
              </w:rPr>
            </w:pPr>
            <w:r w:rsidRPr="004D0DAA">
              <w:rPr>
                <w:lang w:eastAsia="en-US"/>
              </w:rPr>
              <w:t>On receipt of a PACKET CELL CHANGE ORDER message</w:t>
            </w:r>
          </w:p>
        </w:tc>
        <w:tc>
          <w:tcPr>
            <w:tcW w:w="4156" w:type="dxa"/>
          </w:tcPr>
          <w:p w14:paraId="6A6469E1" w14:textId="77777777" w:rsidR="00711444" w:rsidRPr="004D0DAA" w:rsidRDefault="00711444" w:rsidP="00AA2A4C">
            <w:pPr>
              <w:pStyle w:val="TAL"/>
              <w:rPr>
                <w:lang w:eastAsia="en-US"/>
              </w:rPr>
            </w:pPr>
            <w:r w:rsidRPr="004D0DAA">
              <w:rPr>
                <w:lang w:eastAsia="en-US"/>
              </w:rPr>
              <w:t>On the successful completion or the occurrence of an abnormal condition in the network controlled cell reselection procedure</w:t>
            </w:r>
          </w:p>
        </w:tc>
        <w:tc>
          <w:tcPr>
            <w:tcW w:w="4111" w:type="dxa"/>
          </w:tcPr>
          <w:p w14:paraId="293ECD6F" w14:textId="77777777" w:rsidR="00711444" w:rsidRPr="004D0DAA" w:rsidRDefault="00711444" w:rsidP="00AA2A4C">
            <w:pPr>
              <w:pStyle w:val="TAL"/>
              <w:rPr>
                <w:lang w:eastAsia="en-US"/>
              </w:rPr>
            </w:pPr>
            <w:r w:rsidRPr="004D0DAA">
              <w:rPr>
                <w:lang w:eastAsia="en-US"/>
              </w:rPr>
              <w:t>Return to old cell, perform cell update (or other GMM specific procedure) and send PACKET CELL CHANGE FAILURE</w:t>
            </w:r>
          </w:p>
        </w:tc>
        <w:tc>
          <w:tcPr>
            <w:tcW w:w="1558" w:type="dxa"/>
          </w:tcPr>
          <w:p w14:paraId="695BD5FE" w14:textId="77777777" w:rsidR="00711444" w:rsidRPr="004D0DAA" w:rsidRDefault="00711444" w:rsidP="00AA2A4C">
            <w:pPr>
              <w:pStyle w:val="TAL"/>
              <w:rPr>
                <w:lang w:eastAsia="en-US"/>
              </w:rPr>
            </w:pPr>
            <w:r w:rsidRPr="004D0DAA">
              <w:rPr>
                <w:lang w:eastAsia="en-US"/>
              </w:rPr>
              <w:t>15 s</w:t>
            </w:r>
          </w:p>
        </w:tc>
      </w:tr>
      <w:tr w:rsidR="00711444" w:rsidRPr="004D0DAA" w14:paraId="2C7ABE4B" w14:textId="77777777" w:rsidTr="00AA2A4C">
        <w:tblPrEx>
          <w:tblCellMar>
            <w:top w:w="0" w:type="dxa"/>
            <w:bottom w:w="0" w:type="dxa"/>
          </w:tblCellMar>
        </w:tblPrEx>
        <w:trPr>
          <w:cantSplit/>
          <w:jc w:val="center"/>
        </w:trPr>
        <w:tc>
          <w:tcPr>
            <w:tcW w:w="879" w:type="dxa"/>
          </w:tcPr>
          <w:p w14:paraId="7CF1FA55" w14:textId="77777777" w:rsidR="00711444" w:rsidRPr="004D0DAA" w:rsidRDefault="00711444" w:rsidP="00AA2A4C">
            <w:pPr>
              <w:pStyle w:val="TAC"/>
              <w:rPr>
                <w:lang w:eastAsia="en-US"/>
              </w:rPr>
            </w:pPr>
            <w:r w:rsidRPr="004D0DAA">
              <w:rPr>
                <w:lang w:eastAsia="en-US"/>
              </w:rPr>
              <w:lastRenderedPageBreak/>
              <w:t>T3176 (per MS)</w:t>
            </w:r>
          </w:p>
        </w:tc>
        <w:tc>
          <w:tcPr>
            <w:tcW w:w="3640" w:type="dxa"/>
          </w:tcPr>
          <w:p w14:paraId="6A1D8112" w14:textId="77777777" w:rsidR="00711444" w:rsidRPr="004D0DAA" w:rsidRDefault="00711444" w:rsidP="00AA2A4C">
            <w:pPr>
              <w:pStyle w:val="TAL"/>
              <w:rPr>
                <w:lang w:eastAsia="en-US"/>
              </w:rPr>
            </w:pPr>
            <w:r w:rsidRPr="004D0DAA">
              <w:rPr>
                <w:lang w:eastAsia="en-US"/>
              </w:rPr>
              <w:t>Expiry of T3174 or other abnormal condition in the network controlled cell reselection procedure</w:t>
            </w:r>
          </w:p>
        </w:tc>
        <w:tc>
          <w:tcPr>
            <w:tcW w:w="4156" w:type="dxa"/>
          </w:tcPr>
          <w:p w14:paraId="08ED7991" w14:textId="77777777" w:rsidR="00711444" w:rsidRPr="004D0DAA" w:rsidRDefault="00711444" w:rsidP="00AA2A4C">
            <w:pPr>
              <w:pStyle w:val="TAL"/>
              <w:rPr>
                <w:lang w:eastAsia="en-US"/>
              </w:rPr>
            </w:pPr>
            <w:r w:rsidRPr="004D0DAA">
              <w:rPr>
                <w:lang w:eastAsia="en-US"/>
              </w:rPr>
              <w:t>After sending of PACKET CELL CHANGE FAILURE message</w:t>
            </w:r>
          </w:p>
        </w:tc>
        <w:tc>
          <w:tcPr>
            <w:tcW w:w="4111" w:type="dxa"/>
          </w:tcPr>
          <w:p w14:paraId="195D63FA" w14:textId="77777777" w:rsidR="00711444" w:rsidRPr="004D0DAA" w:rsidRDefault="00711444" w:rsidP="00AA2A4C">
            <w:pPr>
              <w:pStyle w:val="TAL"/>
              <w:rPr>
                <w:lang w:eastAsia="en-US"/>
              </w:rPr>
            </w:pPr>
            <w:r w:rsidRPr="004D0DAA">
              <w:rPr>
                <w:lang w:eastAsia="en-US"/>
              </w:rPr>
              <w:t>Stop handling of abnormal condition in the network controlled cell reselection procedure.</w:t>
            </w:r>
          </w:p>
        </w:tc>
        <w:tc>
          <w:tcPr>
            <w:tcW w:w="1558" w:type="dxa"/>
          </w:tcPr>
          <w:p w14:paraId="2ED13F6B" w14:textId="77777777" w:rsidR="00711444" w:rsidRPr="004D0DAA" w:rsidRDefault="00711444" w:rsidP="00AA2A4C">
            <w:pPr>
              <w:pStyle w:val="TAL"/>
              <w:rPr>
                <w:lang w:eastAsia="en-US"/>
              </w:rPr>
            </w:pPr>
            <w:r w:rsidRPr="004D0DAA">
              <w:rPr>
                <w:lang w:eastAsia="en-US"/>
              </w:rPr>
              <w:t>15 s</w:t>
            </w:r>
          </w:p>
        </w:tc>
      </w:tr>
      <w:tr w:rsidR="00711444" w:rsidRPr="004D0DAA" w14:paraId="71948821" w14:textId="77777777" w:rsidTr="00AA2A4C">
        <w:tblPrEx>
          <w:tblCellMar>
            <w:top w:w="0" w:type="dxa"/>
            <w:bottom w:w="0" w:type="dxa"/>
          </w:tblCellMar>
        </w:tblPrEx>
        <w:trPr>
          <w:cantSplit/>
          <w:jc w:val="center"/>
        </w:trPr>
        <w:tc>
          <w:tcPr>
            <w:tcW w:w="879" w:type="dxa"/>
          </w:tcPr>
          <w:p w14:paraId="7BE31597" w14:textId="77777777" w:rsidR="00711444" w:rsidRPr="004D0DAA" w:rsidRDefault="00711444" w:rsidP="00AA2A4C">
            <w:pPr>
              <w:pStyle w:val="TAC"/>
              <w:rPr>
                <w:lang w:eastAsia="en-US"/>
              </w:rPr>
            </w:pPr>
            <w:r w:rsidRPr="004D0DAA">
              <w:rPr>
                <w:lang w:eastAsia="en-US"/>
              </w:rPr>
              <w:t>T3180 (per TBF)</w:t>
            </w:r>
          </w:p>
        </w:tc>
        <w:tc>
          <w:tcPr>
            <w:tcW w:w="3640" w:type="dxa"/>
          </w:tcPr>
          <w:p w14:paraId="51C03399" w14:textId="77777777" w:rsidR="00711444" w:rsidRPr="004D0DAA" w:rsidRDefault="00711444" w:rsidP="00AA2A4C">
            <w:pPr>
              <w:pStyle w:val="TAL"/>
              <w:rPr>
                <w:lang w:eastAsia="en-US"/>
              </w:rPr>
            </w:pPr>
            <w:r w:rsidRPr="004D0DAA">
              <w:rPr>
                <w:lang w:eastAsia="en-US"/>
              </w:rPr>
              <w:t xml:space="preserve">When transmitting an RLC/MAC block to the network an instance of T3180 is started for the TBF for which the block was intended. It is also started for each uplink TBF allocated by the PS HANDOVER COMMAND message/DTM HANDOVER COMMAND message upon successful completion of the PS handover/DTM handover from </w:t>
            </w:r>
            <w:r w:rsidRPr="004D0DAA">
              <w:rPr>
                <w:i/>
                <w:iCs/>
                <w:lang w:eastAsia="en-US"/>
              </w:rPr>
              <w:t>Iu mode</w:t>
            </w:r>
            <w:r w:rsidRPr="004D0DAA">
              <w:rPr>
                <w:lang w:eastAsia="en-US"/>
              </w:rPr>
              <w:t xml:space="preserve"> to </w:t>
            </w:r>
            <w:r w:rsidRPr="004D0DAA">
              <w:rPr>
                <w:i/>
                <w:iCs/>
                <w:lang w:eastAsia="en-US"/>
              </w:rPr>
              <w:t>A/Gb mode</w:t>
            </w:r>
            <w:r w:rsidRPr="004D0DAA">
              <w:rPr>
                <w:lang w:eastAsia="en-US"/>
              </w:rPr>
              <w:t>.</w:t>
            </w:r>
          </w:p>
        </w:tc>
        <w:tc>
          <w:tcPr>
            <w:tcW w:w="4156" w:type="dxa"/>
          </w:tcPr>
          <w:p w14:paraId="5588443B" w14:textId="77777777" w:rsidR="00711444" w:rsidRPr="004D0DAA" w:rsidRDefault="00711444" w:rsidP="00AA2A4C">
            <w:pPr>
              <w:pStyle w:val="TAL"/>
              <w:rPr>
                <w:lang w:eastAsia="en-US"/>
              </w:rPr>
            </w:pPr>
            <w:r w:rsidRPr="004D0DAA">
              <w:rPr>
                <w:lang w:eastAsia="en-US"/>
              </w:rPr>
              <w:t>When detecting an assigned USF value on assigned PDCH</w:t>
            </w:r>
          </w:p>
        </w:tc>
        <w:tc>
          <w:tcPr>
            <w:tcW w:w="4111" w:type="dxa"/>
          </w:tcPr>
          <w:p w14:paraId="67AE687E" w14:textId="77777777" w:rsidR="00711444" w:rsidRPr="004D0DAA" w:rsidRDefault="00711444" w:rsidP="00AA2A4C">
            <w:pPr>
              <w:pStyle w:val="TAL"/>
              <w:rPr>
                <w:lang w:eastAsia="en-US"/>
              </w:rPr>
            </w:pPr>
            <w:r w:rsidRPr="004D0DAA">
              <w:rPr>
                <w:lang w:eastAsia="en-US"/>
              </w:rPr>
              <w:t>Abnormal release with access retry may be performed under certain conditions (see sub-clause 8.1.1.1)</w:t>
            </w:r>
          </w:p>
        </w:tc>
        <w:tc>
          <w:tcPr>
            <w:tcW w:w="1558" w:type="dxa"/>
          </w:tcPr>
          <w:p w14:paraId="28EB9A8B" w14:textId="77777777" w:rsidR="00711444" w:rsidRPr="004D0DAA" w:rsidRDefault="00711444" w:rsidP="00AA2A4C">
            <w:pPr>
              <w:pStyle w:val="TAL"/>
              <w:rPr>
                <w:lang w:eastAsia="en-US"/>
              </w:rPr>
            </w:pPr>
            <w:r w:rsidRPr="004D0DAA">
              <w:rPr>
                <w:lang w:eastAsia="en-US"/>
              </w:rPr>
              <w:t>5 s</w:t>
            </w:r>
          </w:p>
        </w:tc>
      </w:tr>
      <w:tr w:rsidR="00711444" w:rsidRPr="004D0DAA" w14:paraId="15BCF620" w14:textId="77777777" w:rsidTr="00AA2A4C">
        <w:tblPrEx>
          <w:tblCellMar>
            <w:top w:w="0" w:type="dxa"/>
            <w:bottom w:w="0" w:type="dxa"/>
          </w:tblCellMar>
        </w:tblPrEx>
        <w:trPr>
          <w:cantSplit/>
          <w:jc w:val="center"/>
        </w:trPr>
        <w:tc>
          <w:tcPr>
            <w:tcW w:w="879" w:type="dxa"/>
          </w:tcPr>
          <w:p w14:paraId="6A375EAF" w14:textId="77777777" w:rsidR="00711444" w:rsidRPr="004D0DAA" w:rsidRDefault="00711444" w:rsidP="00AA2A4C">
            <w:pPr>
              <w:pStyle w:val="TAC"/>
              <w:rPr>
                <w:lang w:eastAsia="en-US"/>
              </w:rPr>
            </w:pPr>
            <w:r w:rsidRPr="004D0DAA">
              <w:rPr>
                <w:lang w:eastAsia="en-US"/>
              </w:rPr>
              <w:t>T3182 (per TBF)</w:t>
            </w:r>
          </w:p>
        </w:tc>
        <w:tc>
          <w:tcPr>
            <w:tcW w:w="3640" w:type="dxa"/>
          </w:tcPr>
          <w:p w14:paraId="693853C9" w14:textId="77777777" w:rsidR="00711444" w:rsidRPr="004D0DAA" w:rsidRDefault="00711444" w:rsidP="00AA2A4C">
            <w:pPr>
              <w:pStyle w:val="TAL"/>
              <w:rPr>
                <w:lang w:eastAsia="en-US"/>
              </w:rPr>
            </w:pPr>
            <w:r w:rsidRPr="004D0DAA">
              <w:rPr>
                <w:lang w:eastAsia="en-US"/>
              </w:rPr>
              <w:t>After sending the last data block (with CV = 0), or upon detecting a transmit window stall condition an instance of T3182 is started for the TBF for which the condition has occurred.</w:t>
            </w:r>
          </w:p>
        </w:tc>
        <w:tc>
          <w:tcPr>
            <w:tcW w:w="4156" w:type="dxa"/>
          </w:tcPr>
          <w:p w14:paraId="30F33BA8" w14:textId="77777777" w:rsidR="00711444" w:rsidRPr="004D0DAA" w:rsidRDefault="00711444" w:rsidP="00AA2A4C">
            <w:pPr>
              <w:pStyle w:val="TAL"/>
              <w:rPr>
                <w:lang w:eastAsia="en-US"/>
              </w:rPr>
            </w:pPr>
            <w:r w:rsidRPr="004D0DAA">
              <w:rPr>
                <w:lang w:eastAsia="en-US"/>
              </w:rPr>
              <w:t>On receipt of the PACKET UPLINK ACK/NACK message</w:t>
            </w:r>
          </w:p>
        </w:tc>
        <w:tc>
          <w:tcPr>
            <w:tcW w:w="4111" w:type="dxa"/>
          </w:tcPr>
          <w:p w14:paraId="7E447C9C" w14:textId="77777777" w:rsidR="00711444" w:rsidRPr="004D0DAA" w:rsidRDefault="00711444" w:rsidP="00AA2A4C">
            <w:pPr>
              <w:pStyle w:val="TAL"/>
              <w:rPr>
                <w:lang w:eastAsia="en-US"/>
              </w:rPr>
            </w:pPr>
            <w:r w:rsidRPr="004D0DAA">
              <w:rPr>
                <w:lang w:eastAsia="en-US"/>
              </w:rPr>
              <w:t>Abnormal release with access retry may be performed under certain conditions (see sub-clauses 9.3.2.3 and 9.3.3.3)</w:t>
            </w:r>
          </w:p>
        </w:tc>
        <w:tc>
          <w:tcPr>
            <w:tcW w:w="1558" w:type="dxa"/>
          </w:tcPr>
          <w:p w14:paraId="246D720C" w14:textId="77777777" w:rsidR="00711444" w:rsidRPr="004D0DAA" w:rsidRDefault="00711444" w:rsidP="00AA2A4C">
            <w:pPr>
              <w:pStyle w:val="TAL"/>
              <w:rPr>
                <w:lang w:eastAsia="en-US"/>
              </w:rPr>
            </w:pPr>
            <w:r w:rsidRPr="004D0DAA">
              <w:rPr>
                <w:lang w:eastAsia="en-US"/>
              </w:rPr>
              <w:t>5 s</w:t>
            </w:r>
          </w:p>
        </w:tc>
      </w:tr>
      <w:tr w:rsidR="00711444" w:rsidRPr="004D0DAA" w14:paraId="26BCD77A" w14:textId="77777777" w:rsidTr="00AA2A4C">
        <w:tblPrEx>
          <w:tblCellMar>
            <w:top w:w="0" w:type="dxa"/>
            <w:bottom w:w="0" w:type="dxa"/>
          </w:tblCellMar>
        </w:tblPrEx>
        <w:trPr>
          <w:cantSplit/>
          <w:jc w:val="center"/>
        </w:trPr>
        <w:tc>
          <w:tcPr>
            <w:tcW w:w="879" w:type="dxa"/>
          </w:tcPr>
          <w:p w14:paraId="0D3AF335" w14:textId="77777777" w:rsidR="00711444" w:rsidRPr="004D0DAA" w:rsidRDefault="00711444" w:rsidP="00AA2A4C">
            <w:pPr>
              <w:pStyle w:val="TAC"/>
              <w:rPr>
                <w:lang w:eastAsia="en-US"/>
              </w:rPr>
            </w:pPr>
            <w:r w:rsidRPr="004D0DAA">
              <w:rPr>
                <w:lang w:eastAsia="en-US"/>
              </w:rPr>
              <w:t>T3184 (per TBF)</w:t>
            </w:r>
          </w:p>
        </w:tc>
        <w:tc>
          <w:tcPr>
            <w:tcW w:w="3640" w:type="dxa"/>
          </w:tcPr>
          <w:p w14:paraId="2990F9F8" w14:textId="77777777" w:rsidR="00711444" w:rsidRPr="004D0DAA" w:rsidRDefault="00711444" w:rsidP="00AA2A4C">
            <w:pPr>
              <w:pStyle w:val="TAL"/>
              <w:rPr>
                <w:lang w:eastAsia="en-US"/>
              </w:rPr>
            </w:pPr>
            <w:r w:rsidRPr="004D0DAA">
              <w:rPr>
                <w:lang w:eastAsia="en-US"/>
              </w:rPr>
              <w:t>On receipt of a PACKET UPLINK ACK/NACK message (in exclusive allocation)</w:t>
            </w:r>
          </w:p>
        </w:tc>
        <w:tc>
          <w:tcPr>
            <w:tcW w:w="4156" w:type="dxa"/>
          </w:tcPr>
          <w:p w14:paraId="39D25E09" w14:textId="77777777" w:rsidR="00711444" w:rsidRPr="004D0DAA" w:rsidRDefault="00711444" w:rsidP="00AA2A4C">
            <w:pPr>
              <w:pStyle w:val="TAL"/>
              <w:rPr>
                <w:lang w:eastAsia="en-US"/>
              </w:rPr>
            </w:pPr>
            <w:r w:rsidRPr="004D0DAA">
              <w:rPr>
                <w:lang w:eastAsia="en-US"/>
              </w:rPr>
              <w:t xml:space="preserve">On receipt of PACKET UPLINK ACK/NACK message </w:t>
            </w:r>
            <w:r w:rsidRPr="004D0DAA">
              <w:rPr>
                <w:lang w:eastAsia="en-US"/>
              </w:rPr>
              <w:br/>
              <w:t>(T3184 is also restarted)</w:t>
            </w:r>
          </w:p>
        </w:tc>
        <w:tc>
          <w:tcPr>
            <w:tcW w:w="4111" w:type="dxa"/>
          </w:tcPr>
          <w:p w14:paraId="566E48EC" w14:textId="77777777" w:rsidR="00711444" w:rsidRPr="004D0DAA" w:rsidRDefault="00711444" w:rsidP="00AA2A4C">
            <w:pPr>
              <w:pStyle w:val="TAL"/>
              <w:rPr>
                <w:lang w:eastAsia="en-US"/>
              </w:rPr>
            </w:pPr>
            <w:r w:rsidRPr="004D0DAA">
              <w:rPr>
                <w:lang w:eastAsia="en-US"/>
              </w:rPr>
              <w:t>Abnormal release with access retry may be performed under certain conditions (see sub-clause 8.1.1.3a.2).</w:t>
            </w:r>
          </w:p>
        </w:tc>
        <w:tc>
          <w:tcPr>
            <w:tcW w:w="1558" w:type="dxa"/>
          </w:tcPr>
          <w:p w14:paraId="5FF074C7" w14:textId="77777777" w:rsidR="00711444" w:rsidRPr="004D0DAA" w:rsidRDefault="00711444" w:rsidP="00AA2A4C">
            <w:pPr>
              <w:pStyle w:val="TAL"/>
              <w:rPr>
                <w:lang w:eastAsia="en-US"/>
              </w:rPr>
            </w:pPr>
            <w:r w:rsidRPr="004D0DAA">
              <w:rPr>
                <w:lang w:eastAsia="en-US"/>
              </w:rPr>
              <w:t>5 s</w:t>
            </w:r>
          </w:p>
        </w:tc>
      </w:tr>
      <w:tr w:rsidR="00711444" w:rsidRPr="004D0DAA" w14:paraId="34FAA1B3" w14:textId="77777777" w:rsidTr="00AA2A4C">
        <w:tblPrEx>
          <w:tblCellMar>
            <w:top w:w="0" w:type="dxa"/>
            <w:bottom w:w="0" w:type="dxa"/>
          </w:tblCellMar>
        </w:tblPrEx>
        <w:trPr>
          <w:cantSplit/>
          <w:jc w:val="center"/>
        </w:trPr>
        <w:tc>
          <w:tcPr>
            <w:tcW w:w="879" w:type="dxa"/>
          </w:tcPr>
          <w:p w14:paraId="35A32D5A" w14:textId="77777777" w:rsidR="00711444" w:rsidRPr="004D0DAA" w:rsidRDefault="00711444" w:rsidP="00AA2A4C">
            <w:pPr>
              <w:pStyle w:val="TAC"/>
              <w:rPr>
                <w:lang w:eastAsia="en-US"/>
              </w:rPr>
            </w:pPr>
            <w:r w:rsidRPr="004D0DAA">
              <w:rPr>
                <w:lang w:eastAsia="en-US"/>
              </w:rPr>
              <w:t>T3186 (per MS)</w:t>
            </w:r>
          </w:p>
        </w:tc>
        <w:tc>
          <w:tcPr>
            <w:tcW w:w="3640" w:type="dxa"/>
          </w:tcPr>
          <w:p w14:paraId="500F9ADA" w14:textId="77777777" w:rsidR="00711444" w:rsidRPr="004D0DAA" w:rsidRDefault="00711444" w:rsidP="00AA2A4C">
            <w:pPr>
              <w:pStyle w:val="TAL"/>
              <w:rPr>
                <w:lang w:eastAsia="en-US"/>
              </w:rPr>
            </w:pPr>
            <w:r w:rsidRPr="004D0DAA">
              <w:rPr>
                <w:lang w:eastAsia="en-US"/>
              </w:rPr>
              <w:t xml:space="preserve">When packet access procedure is started </w:t>
            </w:r>
          </w:p>
        </w:tc>
        <w:tc>
          <w:tcPr>
            <w:tcW w:w="4156" w:type="dxa"/>
          </w:tcPr>
          <w:p w14:paraId="01B49024" w14:textId="77777777" w:rsidR="00711444" w:rsidRPr="004D0DAA" w:rsidRDefault="00711444" w:rsidP="00AA2A4C">
            <w:pPr>
              <w:pStyle w:val="TAL"/>
              <w:rPr>
                <w:lang w:eastAsia="en-US"/>
              </w:rPr>
            </w:pPr>
            <w:r w:rsidRPr="004D0DAA">
              <w:rPr>
                <w:lang w:eastAsia="en-US"/>
              </w:rPr>
              <w:t>Either stopped when receiving any message from the network in response to the (EGPRS) PACKET CHANNEL REQUEST message or after M+1 attempts to send (EGPRS) PACKET CHANNEL REQUEST messages on the PRACH channel or</w:t>
            </w:r>
            <w:r w:rsidRPr="004D0DAA">
              <w:rPr>
                <w:lang w:eastAsia="en-US"/>
              </w:rPr>
              <w:br/>
              <w:t>stopped when receiving any message from the network in response to the MPRACH PACKET CHANNEL REQUEST message or after M+1 attempts to send MPRACH PACKET CHANNEL REQUEST messages on the uplink PDCH channel</w:t>
            </w:r>
          </w:p>
        </w:tc>
        <w:tc>
          <w:tcPr>
            <w:tcW w:w="4111" w:type="dxa"/>
          </w:tcPr>
          <w:p w14:paraId="070A5A9F" w14:textId="77777777" w:rsidR="00711444" w:rsidRPr="004D0DAA" w:rsidRDefault="00711444" w:rsidP="00AA2A4C">
            <w:pPr>
              <w:pStyle w:val="TAL"/>
              <w:rPr>
                <w:lang w:eastAsia="en-US"/>
              </w:rPr>
            </w:pPr>
            <w:r w:rsidRPr="004D0DAA">
              <w:rPr>
                <w:lang w:eastAsia="en-US"/>
              </w:rPr>
              <w:t xml:space="preserve">Abort packet access procedure. If at least one message was transmitted by the mobile station, indicate random access failure to upper layers and </w:t>
            </w:r>
            <w:r w:rsidRPr="004D0DAA">
              <w:rPr>
                <w:lang w:eastAsia="ko-KR"/>
              </w:rPr>
              <w:t>perform autonomous cell re-selection; otherwise, indicate packet access failure to upper layers and return to packet idle mode or MAC-Idle state.</w:t>
            </w:r>
          </w:p>
        </w:tc>
        <w:tc>
          <w:tcPr>
            <w:tcW w:w="1558" w:type="dxa"/>
          </w:tcPr>
          <w:p w14:paraId="33433951" w14:textId="77777777" w:rsidR="00711444" w:rsidRPr="004D0DAA" w:rsidRDefault="00711444" w:rsidP="00AA2A4C">
            <w:pPr>
              <w:pStyle w:val="TAL"/>
              <w:rPr>
                <w:lang w:eastAsia="en-US"/>
              </w:rPr>
            </w:pPr>
            <w:r w:rsidRPr="004D0DAA">
              <w:rPr>
                <w:lang w:eastAsia="en-US"/>
              </w:rPr>
              <w:t>5 s</w:t>
            </w:r>
          </w:p>
        </w:tc>
      </w:tr>
      <w:tr w:rsidR="00711444" w:rsidRPr="004D0DAA" w14:paraId="6F3B6F07" w14:textId="77777777" w:rsidTr="00AA2A4C">
        <w:tblPrEx>
          <w:tblCellMar>
            <w:top w:w="0" w:type="dxa"/>
            <w:bottom w:w="0" w:type="dxa"/>
          </w:tblCellMar>
        </w:tblPrEx>
        <w:trPr>
          <w:cantSplit/>
          <w:jc w:val="center"/>
        </w:trPr>
        <w:tc>
          <w:tcPr>
            <w:tcW w:w="879" w:type="dxa"/>
          </w:tcPr>
          <w:p w14:paraId="0E1A0CFC" w14:textId="77777777" w:rsidR="00711444" w:rsidRPr="004D0DAA" w:rsidRDefault="00711444" w:rsidP="00AA2A4C">
            <w:pPr>
              <w:pStyle w:val="TAC"/>
              <w:rPr>
                <w:lang w:eastAsia="en-US"/>
              </w:rPr>
            </w:pPr>
            <w:r w:rsidRPr="004D0DAA">
              <w:rPr>
                <w:lang w:eastAsia="en-US"/>
              </w:rPr>
              <w:t>T3188</w:t>
            </w:r>
          </w:p>
        </w:tc>
        <w:tc>
          <w:tcPr>
            <w:tcW w:w="3640" w:type="dxa"/>
          </w:tcPr>
          <w:p w14:paraId="1870DD2E" w14:textId="77777777" w:rsidR="00711444" w:rsidRPr="004D0DAA" w:rsidRDefault="00711444" w:rsidP="00AA2A4C">
            <w:pPr>
              <w:pStyle w:val="TAL"/>
              <w:rPr>
                <w:lang w:eastAsia="en-US"/>
              </w:rPr>
            </w:pPr>
            <w:r w:rsidRPr="004D0DAA">
              <w:rPr>
                <w:lang w:eastAsia="en-US"/>
              </w:rPr>
              <w:t>When a mobile station that supports multiple TBF procedures requests two or more uplink TBFs in a Packet Resource Request message during a two-phase access.</w:t>
            </w:r>
          </w:p>
        </w:tc>
        <w:tc>
          <w:tcPr>
            <w:tcW w:w="4156" w:type="dxa"/>
          </w:tcPr>
          <w:p w14:paraId="3CE1DD54" w14:textId="77777777" w:rsidR="00711444" w:rsidRPr="004D0DAA" w:rsidRDefault="00711444" w:rsidP="00AA2A4C">
            <w:pPr>
              <w:pStyle w:val="TAL"/>
              <w:rPr>
                <w:lang w:eastAsia="en-US"/>
              </w:rPr>
            </w:pPr>
            <w:r w:rsidRPr="004D0DAA">
              <w:rPr>
                <w:lang w:eastAsia="en-US"/>
              </w:rPr>
              <w:t xml:space="preserve">When a mobile station that supports multiple TBF procedures receives a MULTIPLE TBF UPLINK ASSIGNMENT message. </w:t>
            </w:r>
          </w:p>
        </w:tc>
        <w:tc>
          <w:tcPr>
            <w:tcW w:w="4111" w:type="dxa"/>
          </w:tcPr>
          <w:p w14:paraId="3FF4B6C5" w14:textId="77777777" w:rsidR="00711444" w:rsidRPr="004D0DAA" w:rsidRDefault="00711444" w:rsidP="00AA2A4C">
            <w:pPr>
              <w:pStyle w:val="TAL"/>
              <w:rPr>
                <w:lang w:eastAsia="en-US"/>
              </w:rPr>
            </w:pPr>
            <w:r w:rsidRPr="004D0DAA">
              <w:rPr>
                <w:lang w:eastAsia="en-US"/>
              </w:rPr>
              <w:t>A mobile station that supports multiple TBF procedures considers its’ two-phase access to have failed</w:t>
            </w:r>
          </w:p>
        </w:tc>
        <w:tc>
          <w:tcPr>
            <w:tcW w:w="1558" w:type="dxa"/>
          </w:tcPr>
          <w:p w14:paraId="2A147E3B" w14:textId="77777777" w:rsidR="00711444" w:rsidRPr="004D0DAA" w:rsidRDefault="00711444" w:rsidP="00AA2A4C">
            <w:pPr>
              <w:pStyle w:val="TAL"/>
              <w:rPr>
                <w:lang w:eastAsia="en-US"/>
              </w:rPr>
            </w:pPr>
            <w:r w:rsidRPr="004D0DAA">
              <w:rPr>
                <w:lang w:eastAsia="en-US"/>
              </w:rPr>
              <w:t>Set to the value of T3168 included as part of system broadcast information.</w:t>
            </w:r>
          </w:p>
        </w:tc>
      </w:tr>
      <w:tr w:rsidR="00711444" w:rsidRPr="004D0DAA" w14:paraId="6BE3429B" w14:textId="77777777" w:rsidTr="00AA2A4C">
        <w:tblPrEx>
          <w:tblCellMar>
            <w:top w:w="0" w:type="dxa"/>
            <w:bottom w:w="0" w:type="dxa"/>
          </w:tblCellMar>
        </w:tblPrEx>
        <w:trPr>
          <w:cantSplit/>
          <w:jc w:val="center"/>
        </w:trPr>
        <w:tc>
          <w:tcPr>
            <w:tcW w:w="879" w:type="dxa"/>
          </w:tcPr>
          <w:p w14:paraId="561F5854" w14:textId="77777777" w:rsidR="00711444" w:rsidRPr="004D0DAA" w:rsidRDefault="00711444" w:rsidP="00AA2A4C">
            <w:pPr>
              <w:pStyle w:val="TAC"/>
              <w:rPr>
                <w:lang w:eastAsia="en-US"/>
              </w:rPr>
            </w:pPr>
            <w:r w:rsidRPr="004D0DAA">
              <w:rPr>
                <w:lang w:eastAsia="en-US"/>
              </w:rPr>
              <w:t>T3190 (per TBF/ MBMS radio bearer)</w:t>
            </w:r>
          </w:p>
        </w:tc>
        <w:tc>
          <w:tcPr>
            <w:tcW w:w="3640" w:type="dxa"/>
          </w:tcPr>
          <w:p w14:paraId="0B8C60DE" w14:textId="77777777" w:rsidR="00711444" w:rsidRPr="004D0DAA" w:rsidRDefault="00711444" w:rsidP="00AA2A4C">
            <w:pPr>
              <w:pStyle w:val="TAL"/>
              <w:rPr>
                <w:lang w:eastAsia="en-US"/>
              </w:rPr>
            </w:pPr>
            <w:r w:rsidRPr="004D0DAA">
              <w:rPr>
                <w:lang w:eastAsia="en-US"/>
              </w:rPr>
              <w:t xml:space="preserve">At reception of a downlink assignment message an instance of T3190 is started for each TBF/MBMS radio bearer that has been assigned resources. It is also started for each downlink TBF allocated by the PS HANDOVER COMMAND message/DTM HANDOVER COMMAND message upon successful completion of the PS handover/DTM handover from </w:t>
            </w:r>
            <w:r w:rsidRPr="004D0DAA">
              <w:rPr>
                <w:i/>
                <w:iCs/>
                <w:lang w:eastAsia="en-US"/>
              </w:rPr>
              <w:t>Iu mode</w:t>
            </w:r>
            <w:r w:rsidRPr="004D0DAA">
              <w:rPr>
                <w:lang w:eastAsia="en-US"/>
              </w:rPr>
              <w:t xml:space="preserve"> to </w:t>
            </w:r>
            <w:r w:rsidRPr="004D0DAA">
              <w:rPr>
                <w:i/>
                <w:iCs/>
                <w:lang w:eastAsia="en-US"/>
              </w:rPr>
              <w:t>A/Gb mode</w:t>
            </w:r>
            <w:r w:rsidRPr="004D0DAA">
              <w:rPr>
                <w:lang w:eastAsia="en-US"/>
              </w:rPr>
              <w:t>.</w:t>
            </w:r>
          </w:p>
        </w:tc>
        <w:tc>
          <w:tcPr>
            <w:tcW w:w="4156" w:type="dxa"/>
          </w:tcPr>
          <w:p w14:paraId="236CC9AA" w14:textId="77777777" w:rsidR="00711444" w:rsidRPr="004D0DAA" w:rsidRDefault="00711444" w:rsidP="00AA2A4C">
            <w:pPr>
              <w:pStyle w:val="TAL"/>
              <w:rPr>
                <w:lang w:eastAsia="en-US"/>
              </w:rPr>
            </w:pPr>
            <w:r w:rsidRPr="004D0DAA">
              <w:rPr>
                <w:lang w:eastAsia="en-US"/>
              </w:rPr>
              <w:t>Restarted on receipt of data on the TBF/MBMS radio bearer</w:t>
            </w:r>
          </w:p>
        </w:tc>
        <w:tc>
          <w:tcPr>
            <w:tcW w:w="4111" w:type="dxa"/>
          </w:tcPr>
          <w:p w14:paraId="1F814E42" w14:textId="77777777" w:rsidR="00711444" w:rsidRPr="004D0DAA" w:rsidRDefault="00711444" w:rsidP="00AA2A4C">
            <w:pPr>
              <w:pStyle w:val="TAL"/>
              <w:rPr>
                <w:lang w:eastAsia="en-US"/>
              </w:rPr>
            </w:pPr>
            <w:r w:rsidRPr="004D0DAA">
              <w:rPr>
                <w:lang w:eastAsia="en-US"/>
              </w:rPr>
              <w:t>Abnormal release without retry may be performed under certain conditions (see sub-clauses 8.1.2.1 and 8.1.2.4).</w:t>
            </w:r>
          </w:p>
          <w:p w14:paraId="3EA4091A" w14:textId="77777777" w:rsidR="00711444" w:rsidRPr="004D0DAA" w:rsidRDefault="00711444" w:rsidP="00AA2A4C">
            <w:pPr>
              <w:pStyle w:val="TAL"/>
              <w:rPr>
                <w:lang w:eastAsia="en-US"/>
              </w:rPr>
            </w:pPr>
            <w:r w:rsidRPr="004D0DAA">
              <w:rPr>
                <w:lang w:eastAsia="en-US"/>
              </w:rPr>
              <w:t>The MBMS packet access procedure may be initiated as specified in sub-clause 7.7.1.</w:t>
            </w:r>
          </w:p>
        </w:tc>
        <w:tc>
          <w:tcPr>
            <w:tcW w:w="1558" w:type="dxa"/>
          </w:tcPr>
          <w:p w14:paraId="35FDFD18" w14:textId="77777777" w:rsidR="00711444" w:rsidRPr="004D0DAA" w:rsidRDefault="00711444" w:rsidP="00AA2A4C">
            <w:pPr>
              <w:pStyle w:val="TAL"/>
              <w:rPr>
                <w:lang w:eastAsia="en-US"/>
              </w:rPr>
            </w:pPr>
            <w:r w:rsidRPr="004D0DAA">
              <w:rPr>
                <w:lang w:eastAsia="en-US"/>
              </w:rPr>
              <w:t>5 s</w:t>
            </w:r>
          </w:p>
        </w:tc>
      </w:tr>
      <w:tr w:rsidR="00711444" w:rsidRPr="004D0DAA" w14:paraId="01008161" w14:textId="77777777" w:rsidTr="00AA2A4C">
        <w:tblPrEx>
          <w:tblCellMar>
            <w:top w:w="0" w:type="dxa"/>
            <w:bottom w:w="0" w:type="dxa"/>
          </w:tblCellMar>
        </w:tblPrEx>
        <w:trPr>
          <w:cantSplit/>
          <w:jc w:val="center"/>
        </w:trPr>
        <w:tc>
          <w:tcPr>
            <w:tcW w:w="879" w:type="dxa"/>
          </w:tcPr>
          <w:p w14:paraId="087F19B1" w14:textId="77777777" w:rsidR="00711444" w:rsidRPr="004D0DAA" w:rsidRDefault="00711444" w:rsidP="00AA2A4C">
            <w:pPr>
              <w:pStyle w:val="TAC"/>
              <w:rPr>
                <w:lang w:eastAsia="en-US"/>
              </w:rPr>
            </w:pPr>
            <w:r w:rsidRPr="004D0DAA">
              <w:rPr>
                <w:lang w:eastAsia="en-US"/>
              </w:rPr>
              <w:lastRenderedPageBreak/>
              <w:t>T3192 (per TBF/ per RLC (NOTE 1))</w:t>
            </w:r>
          </w:p>
        </w:tc>
        <w:tc>
          <w:tcPr>
            <w:tcW w:w="3640" w:type="dxa"/>
          </w:tcPr>
          <w:p w14:paraId="0F0945A3" w14:textId="77777777" w:rsidR="00711444" w:rsidRPr="004D0DAA" w:rsidRDefault="00711444" w:rsidP="00AA2A4C">
            <w:pPr>
              <w:pStyle w:val="TAL"/>
              <w:rPr>
                <w:lang w:eastAsia="en-US"/>
              </w:rPr>
            </w:pPr>
            <w:r w:rsidRPr="004D0DAA">
              <w:rPr>
                <w:lang w:eastAsia="en-US"/>
              </w:rPr>
              <w:t>At sending the (EC) PACKET DOWNLINK ACK/NACK with the Final Ack Indicator=1, or at sending the PACKET CONTROL ACK as a response to final RLC data block in unacknowledged mode.</w:t>
            </w:r>
          </w:p>
        </w:tc>
        <w:tc>
          <w:tcPr>
            <w:tcW w:w="4156" w:type="dxa"/>
          </w:tcPr>
          <w:p w14:paraId="71C149BD" w14:textId="77777777" w:rsidR="00711444" w:rsidRPr="004D0DAA" w:rsidRDefault="00711444" w:rsidP="00AA2A4C">
            <w:pPr>
              <w:pStyle w:val="TAL"/>
              <w:rPr>
                <w:lang w:eastAsia="en-US"/>
              </w:rPr>
            </w:pPr>
            <w:r w:rsidRPr="004D0DAA">
              <w:rPr>
                <w:lang w:eastAsia="en-US"/>
              </w:rPr>
              <w:t>Restarted at sending the (EC) PACKET DOWNLINK ACK/NACK with the Final Ack Indicator=1, or at sending the PACKET CONTROL ACK as a response to final RLC data block in unacknowledged mode.</w:t>
            </w:r>
            <w:r w:rsidRPr="004D0DAA">
              <w:rPr>
                <w:lang w:eastAsia="en-US"/>
              </w:rPr>
              <w:br/>
            </w:r>
            <w:r w:rsidRPr="004D0DAA">
              <w:rPr>
                <w:lang w:eastAsia="en-US"/>
              </w:rPr>
              <w:br/>
              <w:t>Stopped at the reception of a PACKET DOWNLINK ASSIGNMENT, MULTIPLE TBF DOWNLINK ASSIGNMENT, PACKET TIMESLOT RECONFIGURE, MULTIPLE TBF TIMESLOT RECONFIGURE or PACKET CS RELEASE INDICATION message that assigns resources to the TBF for which T3192 was started.</w:t>
            </w:r>
          </w:p>
          <w:p w14:paraId="1F36DB76" w14:textId="77777777" w:rsidR="00711444" w:rsidRPr="004D0DAA" w:rsidRDefault="00711444" w:rsidP="00AA2A4C">
            <w:pPr>
              <w:pStyle w:val="TAL"/>
              <w:rPr>
                <w:lang w:eastAsia="en-US"/>
              </w:rPr>
            </w:pPr>
          </w:p>
          <w:p w14:paraId="168E04D4" w14:textId="77777777" w:rsidR="00711444" w:rsidRPr="004D0DAA" w:rsidRDefault="00711444" w:rsidP="00AA2A4C">
            <w:pPr>
              <w:pStyle w:val="TAL"/>
              <w:rPr>
                <w:lang w:eastAsia="en-US"/>
              </w:rPr>
            </w:pPr>
            <w:r w:rsidRPr="004D0DAA">
              <w:rPr>
                <w:lang w:eastAsia="en-US"/>
              </w:rPr>
              <w:t>For an EC TBF, stopped at the reception of an EC PACKET DOWNLINK ASSIGNMENT or EC PACKET UPLINK ASSIGNMENT message.</w:t>
            </w:r>
          </w:p>
        </w:tc>
        <w:tc>
          <w:tcPr>
            <w:tcW w:w="4111" w:type="dxa"/>
          </w:tcPr>
          <w:p w14:paraId="615BED04" w14:textId="77777777" w:rsidR="00711444" w:rsidRPr="004D0DAA" w:rsidRDefault="00711444" w:rsidP="00AA2A4C">
            <w:pPr>
              <w:pStyle w:val="TAL"/>
              <w:rPr>
                <w:lang w:eastAsia="en-US"/>
              </w:rPr>
            </w:pPr>
            <w:r w:rsidRPr="004D0DAA">
              <w:rPr>
                <w:lang w:eastAsia="en-US"/>
              </w:rPr>
              <w:t>If the mobile station is in packet transfer mode or MAC-Shared state it shall release the resources, stop monitoring the PDCHs, and begin to monitor the paging channel if there are no other ongoing TBFs. The mobile station in dual transfer mode respectively MAC-DTM state shall return to dedicated mode or MAC-Dedicated state. (see sub-clauses 9.3.2.6 and 9.3.3.5).</w:t>
            </w:r>
          </w:p>
          <w:p w14:paraId="1EA08E8B" w14:textId="77777777" w:rsidR="00711444" w:rsidRPr="004D0DAA" w:rsidRDefault="00711444" w:rsidP="00AA2A4C">
            <w:pPr>
              <w:pStyle w:val="TAL"/>
              <w:rPr>
                <w:lang w:eastAsia="en-US"/>
              </w:rPr>
            </w:pPr>
          </w:p>
          <w:p w14:paraId="1089270B" w14:textId="77777777" w:rsidR="00711444" w:rsidRPr="004D0DAA" w:rsidRDefault="00711444" w:rsidP="00AA2A4C">
            <w:pPr>
              <w:pStyle w:val="TAL"/>
              <w:rPr>
                <w:lang w:eastAsia="en-US"/>
              </w:rPr>
            </w:pPr>
            <w:r w:rsidRPr="004D0DAA">
              <w:rPr>
                <w:lang w:eastAsia="en-US"/>
              </w:rPr>
              <w:t>A mobile station with an EC TBF shall release the resources, stop monitoring the EC-PDTCH(s)/EC-PACCH(s) and return to packet idle mode, unless timer T3168 is still running.</w:t>
            </w:r>
          </w:p>
        </w:tc>
        <w:tc>
          <w:tcPr>
            <w:tcW w:w="1558" w:type="dxa"/>
          </w:tcPr>
          <w:p w14:paraId="78AB7B7A" w14:textId="77777777" w:rsidR="00711444" w:rsidRPr="004D0DAA" w:rsidRDefault="00711444" w:rsidP="00AA2A4C">
            <w:pPr>
              <w:pStyle w:val="TAL"/>
              <w:rPr>
                <w:lang w:eastAsia="en-US"/>
              </w:rPr>
            </w:pPr>
            <w:r w:rsidRPr="004D0DAA">
              <w:rPr>
                <w:lang w:eastAsia="en-US"/>
              </w:rPr>
              <w:t>assigned in system information</w:t>
            </w:r>
          </w:p>
          <w:p w14:paraId="65ACF725" w14:textId="77777777" w:rsidR="00711444" w:rsidRPr="004D0DAA" w:rsidRDefault="00711444" w:rsidP="00AA2A4C">
            <w:pPr>
              <w:pStyle w:val="TAL"/>
              <w:rPr>
                <w:lang w:eastAsia="en-US"/>
              </w:rPr>
            </w:pPr>
          </w:p>
          <w:p w14:paraId="37924226" w14:textId="77777777" w:rsidR="00711444" w:rsidRPr="004D0DAA" w:rsidRDefault="00711444" w:rsidP="00AA2A4C">
            <w:pPr>
              <w:pStyle w:val="TAL"/>
              <w:rPr>
                <w:lang w:eastAsia="en-US"/>
              </w:rPr>
            </w:pPr>
            <w:r w:rsidRPr="004D0DAA">
              <w:rPr>
                <w:lang w:eastAsia="en-US"/>
              </w:rPr>
              <w:t>For a mobile station in EC operation, if the value of T3192 was not provided in the EC SI, the timer shall be set to 0 ms.</w:t>
            </w:r>
          </w:p>
        </w:tc>
      </w:tr>
      <w:tr w:rsidR="00711444" w:rsidRPr="004D0DAA" w14:paraId="25F5A8A0" w14:textId="77777777" w:rsidTr="00AA2A4C">
        <w:tblPrEx>
          <w:tblCellMar>
            <w:top w:w="0" w:type="dxa"/>
            <w:bottom w:w="0" w:type="dxa"/>
          </w:tblCellMar>
        </w:tblPrEx>
        <w:trPr>
          <w:cantSplit/>
          <w:jc w:val="center"/>
        </w:trPr>
        <w:tc>
          <w:tcPr>
            <w:tcW w:w="879" w:type="dxa"/>
          </w:tcPr>
          <w:p w14:paraId="0B7003FD" w14:textId="77777777" w:rsidR="00711444" w:rsidRPr="004D0DAA" w:rsidRDefault="00711444" w:rsidP="00AA2A4C">
            <w:pPr>
              <w:pStyle w:val="TAC"/>
              <w:rPr>
                <w:lang w:eastAsia="en-US"/>
              </w:rPr>
            </w:pPr>
            <w:r w:rsidRPr="004D0DAA">
              <w:rPr>
                <w:lang w:eastAsia="en-US"/>
              </w:rPr>
              <w:t>T3194 (per TBF)</w:t>
            </w:r>
          </w:p>
        </w:tc>
        <w:tc>
          <w:tcPr>
            <w:tcW w:w="3640" w:type="dxa"/>
          </w:tcPr>
          <w:p w14:paraId="6355B8A8" w14:textId="77777777" w:rsidR="00711444" w:rsidRPr="004D0DAA" w:rsidRDefault="00711444" w:rsidP="00AA2A4C">
            <w:pPr>
              <w:pStyle w:val="TAL"/>
              <w:rPr>
                <w:lang w:eastAsia="en-US"/>
              </w:rPr>
            </w:pPr>
            <w:r w:rsidRPr="004D0DAA">
              <w:rPr>
                <w:lang w:eastAsia="en-US"/>
              </w:rPr>
              <w:t>At the sending of a RLC data block on a radio block that has been stolen (i.e. intended for a different radio bearer).</w:t>
            </w:r>
          </w:p>
        </w:tc>
        <w:tc>
          <w:tcPr>
            <w:tcW w:w="4156" w:type="dxa"/>
          </w:tcPr>
          <w:p w14:paraId="6A99EFC4" w14:textId="77777777" w:rsidR="00711444" w:rsidRPr="004D0DAA" w:rsidRDefault="00711444" w:rsidP="00AA2A4C">
            <w:pPr>
              <w:pStyle w:val="TAL"/>
              <w:rPr>
                <w:lang w:eastAsia="en-US"/>
              </w:rPr>
            </w:pPr>
            <w:r w:rsidRPr="004D0DAA">
              <w:rPr>
                <w:lang w:eastAsia="en-US"/>
              </w:rPr>
              <w:t>On receipt of the USF for the radio bearer for which the radio block was stolen.</w:t>
            </w:r>
          </w:p>
        </w:tc>
        <w:tc>
          <w:tcPr>
            <w:tcW w:w="4111" w:type="dxa"/>
          </w:tcPr>
          <w:p w14:paraId="2E90158F" w14:textId="77777777" w:rsidR="00711444" w:rsidRPr="004D0DAA" w:rsidRDefault="00711444" w:rsidP="00AA2A4C">
            <w:pPr>
              <w:pStyle w:val="TAL"/>
              <w:rPr>
                <w:lang w:eastAsia="en-US"/>
              </w:rPr>
            </w:pPr>
            <w:r w:rsidRPr="004D0DAA">
              <w:rPr>
                <w:lang w:eastAsia="en-US"/>
              </w:rPr>
              <w:t>Restart the timer unless it has expired four times, in which case a link failure is reported to the RRC layer.</w:t>
            </w:r>
          </w:p>
        </w:tc>
        <w:tc>
          <w:tcPr>
            <w:tcW w:w="1558" w:type="dxa"/>
          </w:tcPr>
          <w:p w14:paraId="6897E33E" w14:textId="77777777" w:rsidR="00711444" w:rsidRPr="004D0DAA" w:rsidRDefault="00711444" w:rsidP="00AA2A4C">
            <w:pPr>
              <w:pStyle w:val="TAL"/>
              <w:rPr>
                <w:lang w:eastAsia="en-US"/>
              </w:rPr>
            </w:pPr>
            <w:r w:rsidRPr="004D0DAA">
              <w:rPr>
                <w:lang w:eastAsia="en-US"/>
              </w:rPr>
              <w:t>200 ms</w:t>
            </w:r>
          </w:p>
        </w:tc>
      </w:tr>
      <w:tr w:rsidR="00711444" w:rsidRPr="004D0DAA" w14:paraId="49FB098F" w14:textId="77777777" w:rsidTr="00AA2A4C">
        <w:tblPrEx>
          <w:tblCellMar>
            <w:top w:w="0" w:type="dxa"/>
            <w:bottom w:w="0" w:type="dxa"/>
          </w:tblCellMar>
        </w:tblPrEx>
        <w:trPr>
          <w:cantSplit/>
          <w:jc w:val="center"/>
        </w:trPr>
        <w:tc>
          <w:tcPr>
            <w:tcW w:w="879" w:type="dxa"/>
          </w:tcPr>
          <w:p w14:paraId="5C52D991" w14:textId="77777777" w:rsidR="00711444" w:rsidRPr="004D0DAA" w:rsidRDefault="00711444" w:rsidP="00AA2A4C">
            <w:pPr>
              <w:pStyle w:val="TAC"/>
              <w:rPr>
                <w:lang w:eastAsia="en-US"/>
              </w:rPr>
            </w:pPr>
            <w:r w:rsidRPr="004D0DAA">
              <w:rPr>
                <w:lang w:eastAsia="en-US"/>
              </w:rPr>
              <w:t>T3196</w:t>
            </w:r>
          </w:p>
        </w:tc>
        <w:tc>
          <w:tcPr>
            <w:tcW w:w="3640" w:type="dxa"/>
          </w:tcPr>
          <w:p w14:paraId="7171688A" w14:textId="77777777" w:rsidR="00711444" w:rsidRPr="004D0DAA" w:rsidRDefault="00711444" w:rsidP="00AA2A4C">
            <w:pPr>
              <w:pStyle w:val="TAL"/>
              <w:rPr>
                <w:lang w:eastAsia="en-US"/>
              </w:rPr>
            </w:pPr>
            <w:r w:rsidRPr="004D0DAA">
              <w:rPr>
                <w:lang w:eastAsia="en-US"/>
              </w:rPr>
              <w:t>When the RR connection request is received from the upper layer.</w:t>
            </w:r>
          </w:p>
        </w:tc>
        <w:tc>
          <w:tcPr>
            <w:tcW w:w="4156" w:type="dxa"/>
          </w:tcPr>
          <w:p w14:paraId="26C4604F" w14:textId="77777777" w:rsidR="00711444" w:rsidRPr="004D0DAA" w:rsidRDefault="00711444" w:rsidP="00AA2A4C">
            <w:pPr>
              <w:pStyle w:val="TAL"/>
              <w:rPr>
                <w:lang w:eastAsia="en-US"/>
              </w:rPr>
            </w:pPr>
            <w:r w:rsidRPr="004D0DAA">
              <w:rPr>
                <w:lang w:eastAsia="en-US"/>
              </w:rPr>
              <w:t>Upon receipt of the PACKET CS COMMAND message.</w:t>
            </w:r>
          </w:p>
        </w:tc>
        <w:tc>
          <w:tcPr>
            <w:tcW w:w="4111" w:type="dxa"/>
          </w:tcPr>
          <w:p w14:paraId="56AF7902" w14:textId="77777777" w:rsidR="00711444" w:rsidRPr="004D0DAA" w:rsidRDefault="00711444" w:rsidP="00AA2A4C">
            <w:pPr>
              <w:pStyle w:val="TAL"/>
              <w:rPr>
                <w:lang w:eastAsia="en-US"/>
              </w:rPr>
            </w:pPr>
            <w:r w:rsidRPr="004D0DAA">
              <w:rPr>
                <w:lang w:eastAsia="en-US"/>
              </w:rPr>
              <w:t>Release of all ongoing TBFs and start RR connection establishment as specified in 3GPP TS 44.018.</w:t>
            </w:r>
          </w:p>
        </w:tc>
        <w:tc>
          <w:tcPr>
            <w:tcW w:w="1558" w:type="dxa"/>
          </w:tcPr>
          <w:p w14:paraId="24C2386A" w14:textId="77777777" w:rsidR="00711444" w:rsidRPr="004D0DAA" w:rsidRDefault="00711444" w:rsidP="00AA2A4C">
            <w:pPr>
              <w:pStyle w:val="TAL"/>
              <w:rPr>
                <w:lang w:eastAsia="en-US"/>
              </w:rPr>
            </w:pPr>
            <w:r w:rsidRPr="004D0DAA">
              <w:rPr>
                <w:lang w:eastAsia="en-US"/>
              </w:rPr>
              <w:t>1.5 s</w:t>
            </w:r>
          </w:p>
        </w:tc>
      </w:tr>
      <w:tr w:rsidR="00711444" w:rsidRPr="004D0DAA" w14:paraId="28713EB2" w14:textId="77777777" w:rsidTr="00AA2A4C">
        <w:tblPrEx>
          <w:tblCellMar>
            <w:top w:w="0" w:type="dxa"/>
            <w:bottom w:w="0" w:type="dxa"/>
          </w:tblCellMar>
        </w:tblPrEx>
        <w:trPr>
          <w:cantSplit/>
          <w:jc w:val="center"/>
        </w:trPr>
        <w:tc>
          <w:tcPr>
            <w:tcW w:w="879" w:type="dxa"/>
          </w:tcPr>
          <w:p w14:paraId="3EAA7EA1" w14:textId="77777777" w:rsidR="00711444" w:rsidRPr="004D0DAA" w:rsidRDefault="00711444" w:rsidP="00AA2A4C">
            <w:pPr>
              <w:pStyle w:val="TAC"/>
              <w:rPr>
                <w:lang w:eastAsia="en-US"/>
              </w:rPr>
            </w:pPr>
            <w:r w:rsidRPr="004D0DAA">
              <w:rPr>
                <w:lang w:eastAsia="en-US"/>
              </w:rPr>
              <w:t>T3200 (per RLC/MAC control message)</w:t>
            </w:r>
          </w:p>
        </w:tc>
        <w:tc>
          <w:tcPr>
            <w:tcW w:w="3640" w:type="dxa"/>
          </w:tcPr>
          <w:p w14:paraId="2DC8AB80" w14:textId="77777777" w:rsidR="00711444" w:rsidRPr="004D0DAA" w:rsidRDefault="00711444" w:rsidP="00AA2A4C">
            <w:pPr>
              <w:pStyle w:val="TAL"/>
              <w:rPr>
                <w:lang w:eastAsia="en-US"/>
              </w:rPr>
            </w:pPr>
            <w:r w:rsidRPr="004D0DAA">
              <w:rPr>
                <w:lang w:eastAsia="en-US"/>
              </w:rPr>
              <w:t>On receipt of an RLC/MAC control block containing a segment of an RLC/MAC control message</w:t>
            </w:r>
          </w:p>
        </w:tc>
        <w:tc>
          <w:tcPr>
            <w:tcW w:w="4156" w:type="dxa"/>
          </w:tcPr>
          <w:p w14:paraId="06680C25" w14:textId="77777777" w:rsidR="00711444" w:rsidRPr="004D0DAA" w:rsidRDefault="00711444" w:rsidP="00AA2A4C">
            <w:pPr>
              <w:pStyle w:val="TAL"/>
              <w:rPr>
                <w:lang w:eastAsia="en-US"/>
              </w:rPr>
            </w:pPr>
            <w:r w:rsidRPr="004D0DAA">
              <w:rPr>
                <w:lang w:eastAsia="en-US"/>
              </w:rPr>
              <w:t>On receipt of an RLC/MAC control block containing a segment of an RLC/MAC control message such that the mobile station now has the complete control message</w:t>
            </w:r>
          </w:p>
        </w:tc>
        <w:tc>
          <w:tcPr>
            <w:tcW w:w="4111" w:type="dxa"/>
          </w:tcPr>
          <w:p w14:paraId="60A69539" w14:textId="77777777" w:rsidR="00711444" w:rsidRPr="004D0DAA" w:rsidRDefault="00711444" w:rsidP="00AA2A4C">
            <w:pPr>
              <w:pStyle w:val="TAL"/>
              <w:rPr>
                <w:lang w:eastAsia="en-US"/>
              </w:rPr>
            </w:pPr>
            <w:r w:rsidRPr="004D0DAA">
              <w:rPr>
                <w:lang w:eastAsia="en-US"/>
              </w:rPr>
              <w:t>Discard and ignore all segments of the partially received RLC/MAC control message</w:t>
            </w:r>
          </w:p>
        </w:tc>
        <w:tc>
          <w:tcPr>
            <w:tcW w:w="1558" w:type="dxa"/>
          </w:tcPr>
          <w:p w14:paraId="71B784DE" w14:textId="77777777" w:rsidR="00711444" w:rsidRPr="004D0DAA" w:rsidRDefault="00711444" w:rsidP="00AA2A4C">
            <w:pPr>
              <w:pStyle w:val="TAL"/>
              <w:rPr>
                <w:lang w:eastAsia="en-US"/>
              </w:rPr>
            </w:pPr>
            <w:r w:rsidRPr="004D0DAA">
              <w:rPr>
                <w:lang w:eastAsia="en-US"/>
              </w:rPr>
              <w:t>see sub-clause 9.1.12b</w:t>
            </w:r>
            <w:r w:rsidRPr="004D0DAA">
              <w:rPr>
                <w:lang w:eastAsia="en-US"/>
              </w:rPr>
              <w:br/>
              <w:t>For EC-GSM-IoT: 1200ms</w:t>
            </w:r>
          </w:p>
        </w:tc>
      </w:tr>
      <w:tr w:rsidR="00711444" w:rsidRPr="004D0DAA" w14:paraId="1553EE62" w14:textId="77777777" w:rsidTr="00AA2A4C">
        <w:tblPrEx>
          <w:tblCellMar>
            <w:top w:w="0" w:type="dxa"/>
            <w:bottom w:w="0" w:type="dxa"/>
          </w:tblCellMar>
        </w:tblPrEx>
        <w:trPr>
          <w:cantSplit/>
          <w:jc w:val="center"/>
        </w:trPr>
        <w:tc>
          <w:tcPr>
            <w:tcW w:w="879" w:type="dxa"/>
          </w:tcPr>
          <w:p w14:paraId="1B7F0ADB" w14:textId="77777777" w:rsidR="00711444" w:rsidRPr="004D0DAA" w:rsidRDefault="00711444" w:rsidP="00AA2A4C">
            <w:pPr>
              <w:pStyle w:val="TAC"/>
              <w:rPr>
                <w:lang w:eastAsia="en-US"/>
              </w:rPr>
            </w:pPr>
            <w:r w:rsidRPr="004D0DAA">
              <w:rPr>
                <w:lang w:eastAsia="en-US"/>
              </w:rPr>
              <w:t>T3204 (per MS)</w:t>
            </w:r>
          </w:p>
        </w:tc>
        <w:tc>
          <w:tcPr>
            <w:tcW w:w="3640" w:type="dxa"/>
          </w:tcPr>
          <w:p w14:paraId="73D04561" w14:textId="77777777" w:rsidR="00711444" w:rsidRPr="004D0DAA" w:rsidRDefault="00711444" w:rsidP="00AA2A4C">
            <w:pPr>
              <w:pStyle w:val="TAL"/>
              <w:rPr>
                <w:lang w:eastAsia="en-US"/>
              </w:rPr>
            </w:pPr>
            <w:r w:rsidRPr="004D0DAA">
              <w:rPr>
                <w:lang w:eastAsia="en-US"/>
              </w:rPr>
              <w:t>The first attempt to send a PACKET CHANNEL REQUEST during a packet access procedure. The PACKET CHANNEL REQUEST was attempted indicating 'Single block without TBF establishment' and the purpose of the packet access procedure is to send a PACKET PAUSE message.</w:t>
            </w:r>
          </w:p>
        </w:tc>
        <w:tc>
          <w:tcPr>
            <w:tcW w:w="4156" w:type="dxa"/>
          </w:tcPr>
          <w:p w14:paraId="18028191" w14:textId="77777777" w:rsidR="00711444" w:rsidRPr="004D0DAA" w:rsidRDefault="00711444" w:rsidP="00AA2A4C">
            <w:pPr>
              <w:pStyle w:val="TAL"/>
              <w:rPr>
                <w:lang w:eastAsia="en-US"/>
              </w:rPr>
            </w:pPr>
            <w:r w:rsidRPr="004D0DAA">
              <w:rPr>
                <w:lang w:eastAsia="en-US"/>
              </w:rPr>
              <w:t>Upon receipt of a PACKET UPLINK ASSIGHNMENT.</w:t>
            </w:r>
          </w:p>
        </w:tc>
        <w:tc>
          <w:tcPr>
            <w:tcW w:w="4111" w:type="dxa"/>
          </w:tcPr>
          <w:p w14:paraId="33315DBC" w14:textId="77777777" w:rsidR="00711444" w:rsidRPr="004D0DAA" w:rsidRDefault="00711444" w:rsidP="00AA2A4C">
            <w:pPr>
              <w:pStyle w:val="TAL"/>
              <w:rPr>
                <w:lang w:eastAsia="en-US"/>
              </w:rPr>
            </w:pPr>
            <w:r w:rsidRPr="004D0DAA">
              <w:rPr>
                <w:lang w:eastAsia="en-US"/>
              </w:rPr>
              <w:t>The packet pause procedure (sub-clause 7.6) is aborted (A/Gb mode only).</w:t>
            </w:r>
          </w:p>
        </w:tc>
        <w:tc>
          <w:tcPr>
            <w:tcW w:w="1558" w:type="dxa"/>
          </w:tcPr>
          <w:p w14:paraId="07E5C8C5" w14:textId="77777777" w:rsidR="00711444" w:rsidRPr="004D0DAA" w:rsidRDefault="00711444" w:rsidP="00AA2A4C">
            <w:pPr>
              <w:pStyle w:val="TAL"/>
              <w:rPr>
                <w:lang w:eastAsia="en-US"/>
              </w:rPr>
            </w:pPr>
            <w:r w:rsidRPr="004D0DAA">
              <w:rPr>
                <w:lang w:eastAsia="en-US"/>
              </w:rPr>
              <w:t>1 s</w:t>
            </w:r>
          </w:p>
        </w:tc>
      </w:tr>
      <w:tr w:rsidR="00711444" w:rsidRPr="004D0DAA" w14:paraId="2B018DD1" w14:textId="77777777" w:rsidTr="00AA2A4C">
        <w:tblPrEx>
          <w:tblCellMar>
            <w:top w:w="0" w:type="dxa"/>
            <w:bottom w:w="0" w:type="dxa"/>
          </w:tblCellMar>
        </w:tblPrEx>
        <w:trPr>
          <w:cantSplit/>
          <w:jc w:val="center"/>
        </w:trPr>
        <w:tc>
          <w:tcPr>
            <w:tcW w:w="879" w:type="dxa"/>
          </w:tcPr>
          <w:p w14:paraId="4FECDDA6" w14:textId="77777777" w:rsidR="00711444" w:rsidRPr="004D0DAA" w:rsidRDefault="00711444" w:rsidP="00AA2A4C">
            <w:pPr>
              <w:pStyle w:val="TAC"/>
              <w:rPr>
                <w:lang w:eastAsia="en-US"/>
              </w:rPr>
            </w:pPr>
            <w:r w:rsidRPr="004D0DAA">
              <w:rPr>
                <w:lang w:eastAsia="en-US"/>
              </w:rPr>
              <w:t>T3206 (per MS)</w:t>
            </w:r>
          </w:p>
        </w:tc>
        <w:tc>
          <w:tcPr>
            <w:tcW w:w="3640" w:type="dxa"/>
          </w:tcPr>
          <w:p w14:paraId="4CFFFE0C" w14:textId="77777777" w:rsidR="00711444" w:rsidRPr="004D0DAA" w:rsidRDefault="00711444" w:rsidP="00AA2A4C">
            <w:pPr>
              <w:pStyle w:val="TAL"/>
              <w:rPr>
                <w:lang w:eastAsia="en-US"/>
              </w:rPr>
            </w:pPr>
            <w:r w:rsidRPr="004D0DAA">
              <w:rPr>
                <w:lang w:eastAsia="en-US"/>
              </w:rPr>
              <w:t>When entering CCN mode</w:t>
            </w:r>
          </w:p>
        </w:tc>
        <w:tc>
          <w:tcPr>
            <w:tcW w:w="4156" w:type="dxa"/>
          </w:tcPr>
          <w:p w14:paraId="13C1FCE9" w14:textId="77777777" w:rsidR="00711444" w:rsidRPr="004D0DAA" w:rsidRDefault="00711444" w:rsidP="00AA2A4C">
            <w:pPr>
              <w:pStyle w:val="TAL"/>
              <w:rPr>
                <w:lang w:eastAsia="en-US"/>
              </w:rPr>
            </w:pPr>
            <w:r w:rsidRPr="004D0DAA">
              <w:rPr>
                <w:lang w:eastAsia="en-US"/>
              </w:rPr>
              <w:t>When the PACKET CELL CHANGE NOTIFICATION message is transmitted or when CCN is no longer enabled.</w:t>
            </w:r>
          </w:p>
        </w:tc>
        <w:tc>
          <w:tcPr>
            <w:tcW w:w="4111" w:type="dxa"/>
          </w:tcPr>
          <w:p w14:paraId="1410355D" w14:textId="77777777" w:rsidR="00711444" w:rsidRPr="004D0DAA" w:rsidRDefault="00711444" w:rsidP="00AA2A4C">
            <w:pPr>
              <w:pStyle w:val="TAL"/>
              <w:rPr>
                <w:lang w:eastAsia="en-US"/>
              </w:rPr>
            </w:pPr>
            <w:r w:rsidRPr="004D0DAA">
              <w:rPr>
                <w:lang w:eastAsia="en-US"/>
              </w:rPr>
              <w:t>Leave CCN mode and continue according to current NC mode</w:t>
            </w:r>
          </w:p>
        </w:tc>
        <w:tc>
          <w:tcPr>
            <w:tcW w:w="1558" w:type="dxa"/>
          </w:tcPr>
          <w:p w14:paraId="4CDBE589" w14:textId="77777777" w:rsidR="00711444" w:rsidRPr="004D0DAA" w:rsidRDefault="00711444" w:rsidP="00AA2A4C">
            <w:pPr>
              <w:pStyle w:val="TAL"/>
              <w:rPr>
                <w:lang w:eastAsia="en-US"/>
              </w:rPr>
            </w:pPr>
            <w:r w:rsidRPr="004D0DAA">
              <w:rPr>
                <w:lang w:eastAsia="en-US"/>
              </w:rPr>
              <w:t>400 ms</w:t>
            </w:r>
          </w:p>
        </w:tc>
      </w:tr>
      <w:tr w:rsidR="00711444" w:rsidRPr="004D0DAA" w14:paraId="5F415FDF" w14:textId="77777777" w:rsidTr="00AA2A4C">
        <w:tblPrEx>
          <w:tblCellMar>
            <w:top w:w="0" w:type="dxa"/>
            <w:bottom w:w="0" w:type="dxa"/>
          </w:tblCellMar>
        </w:tblPrEx>
        <w:trPr>
          <w:cantSplit/>
          <w:jc w:val="center"/>
        </w:trPr>
        <w:tc>
          <w:tcPr>
            <w:tcW w:w="879" w:type="dxa"/>
          </w:tcPr>
          <w:p w14:paraId="75AA449E" w14:textId="77777777" w:rsidR="00711444" w:rsidRPr="004D0DAA" w:rsidRDefault="00711444" w:rsidP="00AA2A4C">
            <w:pPr>
              <w:pStyle w:val="TAC"/>
              <w:rPr>
                <w:lang w:eastAsia="en-US"/>
              </w:rPr>
            </w:pPr>
            <w:r w:rsidRPr="004D0DAA">
              <w:rPr>
                <w:lang w:eastAsia="en-US"/>
              </w:rPr>
              <w:t>T3208 (per MS)</w:t>
            </w:r>
          </w:p>
        </w:tc>
        <w:tc>
          <w:tcPr>
            <w:tcW w:w="3640" w:type="dxa"/>
          </w:tcPr>
          <w:p w14:paraId="20175C5C" w14:textId="77777777" w:rsidR="00711444" w:rsidRPr="004D0DAA" w:rsidRDefault="00711444" w:rsidP="00AA2A4C">
            <w:pPr>
              <w:pStyle w:val="TAL"/>
              <w:rPr>
                <w:lang w:eastAsia="en-US"/>
              </w:rPr>
            </w:pPr>
            <w:r w:rsidRPr="004D0DAA">
              <w:rPr>
                <w:lang w:eastAsia="en-US"/>
              </w:rPr>
              <w:t>When the PACKET CELL CHANGE NOTIFICATION message is transmitted for the first time</w:t>
            </w:r>
          </w:p>
        </w:tc>
        <w:tc>
          <w:tcPr>
            <w:tcW w:w="4156" w:type="dxa"/>
          </w:tcPr>
          <w:p w14:paraId="3B3EEBBF" w14:textId="77777777" w:rsidR="00711444" w:rsidRPr="004D0DAA" w:rsidRDefault="00711444" w:rsidP="00AA2A4C">
            <w:pPr>
              <w:pStyle w:val="TAL"/>
              <w:rPr>
                <w:lang w:eastAsia="en-US"/>
              </w:rPr>
            </w:pPr>
            <w:r w:rsidRPr="004D0DAA">
              <w:rPr>
                <w:lang w:eastAsia="en-US"/>
              </w:rPr>
              <w:t>Upon receipt of a PACKET CELL CHANGE CONTINUE or a PACKET CELL CHANGE ORDER message or when CCN is no longer enabled..</w:t>
            </w:r>
          </w:p>
        </w:tc>
        <w:tc>
          <w:tcPr>
            <w:tcW w:w="4111" w:type="dxa"/>
          </w:tcPr>
          <w:p w14:paraId="77E6CC4F" w14:textId="77777777" w:rsidR="00711444" w:rsidRPr="004D0DAA" w:rsidRDefault="00711444" w:rsidP="00AA2A4C">
            <w:pPr>
              <w:pStyle w:val="TAL"/>
              <w:rPr>
                <w:lang w:eastAsia="en-US"/>
              </w:rPr>
            </w:pPr>
            <w:r w:rsidRPr="004D0DAA">
              <w:rPr>
                <w:lang w:eastAsia="en-US"/>
              </w:rPr>
              <w:t>Leave CCN mode and continue according to current NC mode</w:t>
            </w:r>
          </w:p>
        </w:tc>
        <w:tc>
          <w:tcPr>
            <w:tcW w:w="1558" w:type="dxa"/>
          </w:tcPr>
          <w:p w14:paraId="6C38EF4D" w14:textId="77777777" w:rsidR="00711444" w:rsidRPr="004D0DAA" w:rsidRDefault="00711444" w:rsidP="00AA2A4C">
            <w:pPr>
              <w:pStyle w:val="TAL"/>
              <w:rPr>
                <w:lang w:eastAsia="en-US"/>
              </w:rPr>
            </w:pPr>
            <w:r w:rsidRPr="004D0DAA">
              <w:rPr>
                <w:lang w:eastAsia="en-US"/>
              </w:rPr>
              <w:t>0,96 s</w:t>
            </w:r>
          </w:p>
        </w:tc>
      </w:tr>
      <w:tr w:rsidR="00711444" w:rsidRPr="004D0DAA" w14:paraId="709BFA1B" w14:textId="77777777" w:rsidTr="00AA2A4C">
        <w:tblPrEx>
          <w:tblCellMar>
            <w:top w:w="0" w:type="dxa"/>
            <w:bottom w:w="0" w:type="dxa"/>
          </w:tblCellMar>
        </w:tblPrEx>
        <w:trPr>
          <w:cantSplit/>
          <w:jc w:val="center"/>
        </w:trPr>
        <w:tc>
          <w:tcPr>
            <w:tcW w:w="879" w:type="dxa"/>
          </w:tcPr>
          <w:p w14:paraId="6A07D470" w14:textId="77777777" w:rsidR="00711444" w:rsidRPr="004D0DAA" w:rsidRDefault="00711444" w:rsidP="00AA2A4C">
            <w:pPr>
              <w:pStyle w:val="TAC"/>
              <w:rPr>
                <w:lang w:eastAsia="en-US"/>
              </w:rPr>
            </w:pPr>
            <w:r w:rsidRPr="004D0DAA">
              <w:rPr>
                <w:lang w:eastAsia="en-US"/>
              </w:rPr>
              <w:lastRenderedPageBreak/>
              <w:t>T3210 (per MS)</w:t>
            </w:r>
          </w:p>
        </w:tc>
        <w:tc>
          <w:tcPr>
            <w:tcW w:w="3640" w:type="dxa"/>
          </w:tcPr>
          <w:p w14:paraId="496DB224" w14:textId="77777777" w:rsidR="00711444" w:rsidRPr="004D0DAA" w:rsidRDefault="00711444" w:rsidP="00AA2A4C">
            <w:pPr>
              <w:pStyle w:val="TAL"/>
              <w:rPr>
                <w:lang w:eastAsia="en-US"/>
              </w:rPr>
            </w:pPr>
            <w:r w:rsidRPr="004D0DAA">
              <w:rPr>
                <w:lang w:eastAsia="en-US"/>
              </w:rPr>
              <w:t>When the PACKET CELL CHANGE NOTIFICATION message is transmitted for the first time</w:t>
            </w:r>
          </w:p>
        </w:tc>
        <w:tc>
          <w:tcPr>
            <w:tcW w:w="4156" w:type="dxa"/>
          </w:tcPr>
          <w:p w14:paraId="1057E6AC" w14:textId="77777777" w:rsidR="00711444" w:rsidRPr="004D0DAA" w:rsidRDefault="00711444" w:rsidP="00AA2A4C">
            <w:pPr>
              <w:pStyle w:val="TAL"/>
              <w:rPr>
                <w:lang w:eastAsia="en-US"/>
              </w:rPr>
            </w:pPr>
            <w:r w:rsidRPr="004D0DAA">
              <w:rPr>
                <w:lang w:eastAsia="en-US"/>
              </w:rPr>
              <w:t>Upon receipt of a PACKET NEIGHBOUR CELL DATA message, or a PACKET CELL CHANGE CONTINUE message or a PACKET CELL CHANGE ORDER message or when CCN is no longer enabled.</w:t>
            </w:r>
          </w:p>
        </w:tc>
        <w:tc>
          <w:tcPr>
            <w:tcW w:w="4111" w:type="dxa"/>
          </w:tcPr>
          <w:p w14:paraId="173914ED" w14:textId="77777777" w:rsidR="00711444" w:rsidRPr="004D0DAA" w:rsidRDefault="00711444" w:rsidP="00AA2A4C">
            <w:pPr>
              <w:pStyle w:val="TAL"/>
              <w:rPr>
                <w:lang w:eastAsia="en-US"/>
              </w:rPr>
            </w:pPr>
            <w:r w:rsidRPr="004D0DAA">
              <w:rPr>
                <w:lang w:eastAsia="en-US"/>
              </w:rPr>
              <w:t xml:space="preserve">Retransmit the PACKET CELL CHANGE NOTIFICATION message at the first uplink opportunity. </w:t>
            </w:r>
          </w:p>
        </w:tc>
        <w:tc>
          <w:tcPr>
            <w:tcW w:w="1558" w:type="dxa"/>
          </w:tcPr>
          <w:p w14:paraId="03E483AB" w14:textId="77777777" w:rsidR="00711444" w:rsidRPr="004D0DAA" w:rsidRDefault="00711444" w:rsidP="00AA2A4C">
            <w:pPr>
              <w:pStyle w:val="TAL"/>
              <w:rPr>
                <w:lang w:eastAsia="en-US"/>
              </w:rPr>
            </w:pPr>
            <w:r w:rsidRPr="004D0DAA">
              <w:rPr>
                <w:lang w:eastAsia="en-US"/>
              </w:rPr>
              <w:t>0,3 s</w:t>
            </w:r>
          </w:p>
        </w:tc>
      </w:tr>
      <w:tr w:rsidR="00711444" w:rsidRPr="004D0DAA" w14:paraId="1270D6D3"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2AD6C67C" w14:textId="77777777" w:rsidR="00711444" w:rsidRPr="004D0DAA" w:rsidRDefault="00711444" w:rsidP="00AA2A4C">
            <w:pPr>
              <w:pStyle w:val="TAC"/>
              <w:rPr>
                <w:lang w:eastAsia="en-US"/>
              </w:rPr>
            </w:pPr>
            <w:r w:rsidRPr="004D0DAA">
              <w:rPr>
                <w:lang w:eastAsia="en-US"/>
              </w:rPr>
              <w:t>T3214</w:t>
            </w:r>
          </w:p>
        </w:tc>
        <w:tc>
          <w:tcPr>
            <w:tcW w:w="3640" w:type="dxa"/>
            <w:tcBorders>
              <w:top w:val="single" w:sz="4" w:space="0" w:color="auto"/>
              <w:left w:val="single" w:sz="4" w:space="0" w:color="auto"/>
              <w:bottom w:val="single" w:sz="4" w:space="0" w:color="auto"/>
              <w:right w:val="single" w:sz="4" w:space="0" w:color="auto"/>
            </w:tcBorders>
          </w:tcPr>
          <w:p w14:paraId="0C895373" w14:textId="77777777" w:rsidR="00711444" w:rsidRPr="004D0DAA" w:rsidRDefault="00711444" w:rsidP="00AA2A4C">
            <w:pPr>
              <w:pStyle w:val="TAL"/>
              <w:rPr>
                <w:lang w:eastAsia="en-US"/>
              </w:rPr>
            </w:pPr>
            <w:r w:rsidRPr="004D0DAA">
              <w:rPr>
                <w:lang w:eastAsia="en-US"/>
              </w:rPr>
              <w:t>When the MBMS SERVICE REQUEST message is transmitted or when receiving MBMS notification, for an MBMS session the mobile station is required to receive, with no MBMS p-t-m channel description and indicating that no counting shall be performed.</w:t>
            </w:r>
          </w:p>
        </w:tc>
        <w:tc>
          <w:tcPr>
            <w:tcW w:w="4156" w:type="dxa"/>
            <w:tcBorders>
              <w:top w:val="single" w:sz="4" w:space="0" w:color="auto"/>
              <w:left w:val="single" w:sz="4" w:space="0" w:color="auto"/>
              <w:bottom w:val="single" w:sz="4" w:space="0" w:color="auto"/>
              <w:right w:val="single" w:sz="4" w:space="0" w:color="auto"/>
            </w:tcBorders>
          </w:tcPr>
          <w:p w14:paraId="0B53126F" w14:textId="77777777" w:rsidR="00711444" w:rsidRPr="004D0DAA" w:rsidRDefault="00711444" w:rsidP="00AA2A4C">
            <w:pPr>
              <w:pStyle w:val="TAL"/>
              <w:rPr>
                <w:lang w:eastAsia="en-US"/>
              </w:rPr>
            </w:pPr>
            <w:r w:rsidRPr="004D0DAA">
              <w:rPr>
                <w:lang w:eastAsia="en-US"/>
              </w:rPr>
              <w:t>Upon receipt of the MBMS ASSIGNMENT message addressing the same session that started this timer or a</w:t>
            </w:r>
            <w:r w:rsidRPr="004D0DAA">
              <w:rPr>
                <w:lang w:eastAsia="ko-KR"/>
              </w:rPr>
              <w:t>ny other procedure on (P)CCCH not related to MBMS is triggered or a notification is received for a higher priority session.</w:t>
            </w:r>
          </w:p>
        </w:tc>
        <w:tc>
          <w:tcPr>
            <w:tcW w:w="4111" w:type="dxa"/>
            <w:tcBorders>
              <w:top w:val="single" w:sz="4" w:space="0" w:color="auto"/>
              <w:left w:val="single" w:sz="4" w:space="0" w:color="auto"/>
              <w:bottom w:val="single" w:sz="4" w:space="0" w:color="auto"/>
              <w:right w:val="single" w:sz="4" w:space="0" w:color="auto"/>
            </w:tcBorders>
          </w:tcPr>
          <w:p w14:paraId="0CF6F3E2" w14:textId="77777777" w:rsidR="00711444" w:rsidRPr="004D0DAA" w:rsidRDefault="00711444" w:rsidP="00AA2A4C">
            <w:pPr>
              <w:pStyle w:val="TAL"/>
              <w:rPr>
                <w:lang w:eastAsia="en-US"/>
              </w:rPr>
            </w:pPr>
            <w:r w:rsidRPr="004D0DAA">
              <w:rPr>
                <w:lang w:eastAsia="en-US"/>
              </w:rPr>
              <w:t xml:space="preserve">Mobile station in packet idle mode or MAC-Idle state: Return to DRX mode. </w:t>
            </w:r>
          </w:p>
          <w:p w14:paraId="78F6EA7B" w14:textId="77777777" w:rsidR="00711444" w:rsidRPr="004D0DAA" w:rsidRDefault="00711444" w:rsidP="00AA2A4C">
            <w:pPr>
              <w:pStyle w:val="TAL"/>
              <w:rPr>
                <w:lang w:eastAsia="en-US"/>
              </w:rPr>
            </w:pPr>
          </w:p>
          <w:p w14:paraId="338E7888" w14:textId="77777777" w:rsidR="00711444" w:rsidRPr="004D0DAA" w:rsidRDefault="00711444" w:rsidP="00AA2A4C">
            <w:pPr>
              <w:pStyle w:val="TAL"/>
              <w:rPr>
                <w:lang w:eastAsia="en-US"/>
              </w:rPr>
            </w:pPr>
            <w:r w:rsidRPr="004D0DAA">
              <w:rPr>
                <w:lang w:eastAsia="en-US"/>
              </w:rPr>
              <w:t>Mobile station in broadcast/multicast receive mode: Remain in broadcast/multicast receive mode</w:t>
            </w:r>
          </w:p>
        </w:tc>
        <w:tc>
          <w:tcPr>
            <w:tcW w:w="1558" w:type="dxa"/>
            <w:tcBorders>
              <w:top w:val="single" w:sz="4" w:space="0" w:color="auto"/>
              <w:left w:val="single" w:sz="4" w:space="0" w:color="auto"/>
              <w:bottom w:val="single" w:sz="4" w:space="0" w:color="auto"/>
              <w:right w:val="single" w:sz="4" w:space="0" w:color="auto"/>
            </w:tcBorders>
          </w:tcPr>
          <w:p w14:paraId="7BB2B904" w14:textId="77777777" w:rsidR="00711444" w:rsidRPr="004D0DAA" w:rsidRDefault="00711444" w:rsidP="00AA2A4C">
            <w:pPr>
              <w:pStyle w:val="TAL"/>
              <w:rPr>
                <w:lang w:eastAsia="en-US"/>
              </w:rPr>
            </w:pPr>
            <w:r w:rsidRPr="004D0DAA">
              <w:rPr>
                <w:lang w:eastAsia="en-US"/>
              </w:rPr>
              <w:t>60 s</w:t>
            </w:r>
          </w:p>
        </w:tc>
      </w:tr>
      <w:tr w:rsidR="00711444" w:rsidRPr="004D0DAA" w14:paraId="45DD877D"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0DEE269C" w14:textId="77777777" w:rsidR="00711444" w:rsidRPr="004D0DAA" w:rsidRDefault="00711444" w:rsidP="00AA2A4C">
            <w:pPr>
              <w:pStyle w:val="TAC"/>
              <w:rPr>
                <w:lang w:eastAsia="en-US"/>
              </w:rPr>
            </w:pPr>
            <w:r w:rsidRPr="004D0DAA">
              <w:rPr>
                <w:lang w:eastAsia="en-US"/>
              </w:rPr>
              <w:t>T3216 (per MS)</w:t>
            </w:r>
          </w:p>
        </w:tc>
        <w:tc>
          <w:tcPr>
            <w:tcW w:w="3640" w:type="dxa"/>
            <w:tcBorders>
              <w:top w:val="single" w:sz="4" w:space="0" w:color="auto"/>
              <w:left w:val="single" w:sz="4" w:space="0" w:color="auto"/>
              <w:bottom w:val="single" w:sz="4" w:space="0" w:color="auto"/>
              <w:right w:val="single" w:sz="4" w:space="0" w:color="auto"/>
            </w:tcBorders>
          </w:tcPr>
          <w:p w14:paraId="044BECDE" w14:textId="77777777" w:rsidR="00711444" w:rsidRPr="004D0DAA" w:rsidRDefault="00711444" w:rsidP="00AA2A4C">
            <w:pPr>
              <w:pStyle w:val="TAL"/>
              <w:rPr>
                <w:lang w:eastAsia="en-US"/>
              </w:rPr>
            </w:pPr>
            <w:r w:rsidRPr="004D0DAA">
              <w:rPr>
                <w:lang w:eastAsia="en-US"/>
              </w:rPr>
              <w:t>Upon transmission of the PS HANDOVER ACCESS message (see sub-clause 8.10.4.4.4).</w:t>
            </w:r>
          </w:p>
        </w:tc>
        <w:tc>
          <w:tcPr>
            <w:tcW w:w="4156" w:type="dxa"/>
            <w:tcBorders>
              <w:top w:val="single" w:sz="4" w:space="0" w:color="auto"/>
              <w:left w:val="single" w:sz="4" w:space="0" w:color="auto"/>
              <w:bottom w:val="single" w:sz="4" w:space="0" w:color="auto"/>
              <w:right w:val="single" w:sz="4" w:space="0" w:color="auto"/>
            </w:tcBorders>
          </w:tcPr>
          <w:p w14:paraId="6FCAAAFB" w14:textId="77777777" w:rsidR="00711444" w:rsidRPr="004D0DAA" w:rsidRDefault="00711444" w:rsidP="00AA2A4C">
            <w:pPr>
              <w:pStyle w:val="TAL"/>
              <w:rPr>
                <w:lang w:eastAsia="en-US"/>
              </w:rPr>
            </w:pPr>
            <w:r w:rsidRPr="004D0DAA">
              <w:rPr>
                <w:lang w:eastAsia="en-US"/>
              </w:rPr>
              <w:t>Upon receipt of the PACKET PHYSICAL INFORMATION message</w:t>
            </w:r>
          </w:p>
        </w:tc>
        <w:tc>
          <w:tcPr>
            <w:tcW w:w="4111" w:type="dxa"/>
            <w:tcBorders>
              <w:top w:val="single" w:sz="4" w:space="0" w:color="auto"/>
              <w:left w:val="single" w:sz="4" w:space="0" w:color="auto"/>
              <w:bottom w:val="single" w:sz="4" w:space="0" w:color="auto"/>
              <w:right w:val="single" w:sz="4" w:space="0" w:color="auto"/>
            </w:tcBorders>
          </w:tcPr>
          <w:p w14:paraId="4D0E5113" w14:textId="77777777" w:rsidR="00711444" w:rsidRPr="004D0DAA" w:rsidRDefault="00711444" w:rsidP="00AA2A4C">
            <w:pPr>
              <w:pStyle w:val="TAL"/>
              <w:rPr>
                <w:lang w:eastAsia="ko-KR"/>
              </w:rPr>
            </w:pPr>
            <w:r w:rsidRPr="004D0DAA">
              <w:rPr>
                <w:lang w:eastAsia="ko-KR"/>
              </w:rPr>
              <w:t>The MS returns to the old cell and attempts to resume packet data transmission (see sub-clause 8.10.5).</w:t>
            </w:r>
          </w:p>
        </w:tc>
        <w:tc>
          <w:tcPr>
            <w:tcW w:w="1558" w:type="dxa"/>
            <w:tcBorders>
              <w:top w:val="single" w:sz="4" w:space="0" w:color="auto"/>
              <w:left w:val="single" w:sz="4" w:space="0" w:color="auto"/>
              <w:bottom w:val="single" w:sz="4" w:space="0" w:color="auto"/>
              <w:right w:val="single" w:sz="4" w:space="0" w:color="auto"/>
            </w:tcBorders>
          </w:tcPr>
          <w:p w14:paraId="39492357" w14:textId="77777777" w:rsidR="00711444" w:rsidRPr="004D0DAA" w:rsidRDefault="00711444" w:rsidP="00AA2A4C">
            <w:pPr>
              <w:pStyle w:val="TAL"/>
              <w:rPr>
                <w:lang w:eastAsia="ko-KR"/>
              </w:rPr>
            </w:pPr>
            <w:r w:rsidRPr="004D0DAA">
              <w:rPr>
                <w:lang w:eastAsia="ko-KR"/>
              </w:rPr>
              <w:t>1 s</w:t>
            </w:r>
          </w:p>
        </w:tc>
      </w:tr>
      <w:tr w:rsidR="00711444" w:rsidRPr="004D0DAA" w14:paraId="7DABD65F"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5EA399CE" w14:textId="77777777" w:rsidR="00711444" w:rsidRPr="004D0DAA" w:rsidRDefault="00711444" w:rsidP="00AA2A4C">
            <w:pPr>
              <w:pStyle w:val="TAC"/>
              <w:rPr>
                <w:lang w:eastAsia="en-US"/>
              </w:rPr>
            </w:pPr>
            <w:r w:rsidRPr="004D0DAA">
              <w:rPr>
                <w:lang w:eastAsia="en-US"/>
              </w:rPr>
              <w:t>T</w:t>
            </w:r>
            <w:r w:rsidRPr="004D0DAA">
              <w:rPr>
                <w:lang w:eastAsia="zh-CN"/>
              </w:rPr>
              <w:t>3218</w:t>
            </w:r>
            <w:r w:rsidRPr="004D0DAA">
              <w:rPr>
                <w:lang w:eastAsia="en-US"/>
              </w:rPr>
              <w:t xml:space="preserve"> (per </w:t>
            </w:r>
            <w:r w:rsidRPr="004D0DAA">
              <w:rPr>
                <w:lang w:eastAsia="zh-CN"/>
              </w:rPr>
              <w:t>MS</w:t>
            </w:r>
            <w:r w:rsidRPr="004D0DAA">
              <w:rPr>
                <w:lang w:eastAsia="en-US"/>
              </w:rPr>
              <w:t>)</w:t>
            </w:r>
          </w:p>
        </w:tc>
        <w:tc>
          <w:tcPr>
            <w:tcW w:w="3640" w:type="dxa"/>
            <w:tcBorders>
              <w:top w:val="single" w:sz="4" w:space="0" w:color="auto"/>
              <w:left w:val="single" w:sz="4" w:space="0" w:color="auto"/>
              <w:bottom w:val="single" w:sz="4" w:space="0" w:color="auto"/>
              <w:right w:val="single" w:sz="4" w:space="0" w:color="auto"/>
            </w:tcBorders>
          </w:tcPr>
          <w:p w14:paraId="4550540B" w14:textId="77777777" w:rsidR="00711444" w:rsidRPr="004D0DAA" w:rsidRDefault="00711444" w:rsidP="00AA2A4C">
            <w:pPr>
              <w:pStyle w:val="TAL"/>
              <w:rPr>
                <w:lang w:eastAsia="en-US"/>
              </w:rPr>
            </w:pPr>
            <w:r w:rsidRPr="004D0DAA">
              <w:rPr>
                <w:lang w:eastAsia="en-US"/>
              </w:rPr>
              <w:t xml:space="preserve">On receipt of </w:t>
            </w:r>
            <w:r w:rsidRPr="004D0DAA">
              <w:rPr>
                <w:lang w:eastAsia="zh-CN"/>
              </w:rPr>
              <w:t xml:space="preserve">PS HANDOVER COMMAND message </w:t>
            </w:r>
            <w:r w:rsidRPr="004D0DAA">
              <w:rPr>
                <w:szCs w:val="24"/>
                <w:lang w:eastAsia="en-US"/>
              </w:rPr>
              <w:t xml:space="preserve">or Handover from UTRAN Command message or </w:t>
            </w:r>
            <w:r w:rsidRPr="004D0DAA">
              <w:rPr>
                <w:i/>
                <w:iCs/>
                <w:lang w:eastAsia="en-US"/>
              </w:rPr>
              <w:t>MobilityFromEUTRACommand</w:t>
            </w:r>
            <w:r w:rsidRPr="004D0DAA">
              <w:rPr>
                <w:lang w:eastAsia="en-US"/>
              </w:rPr>
              <w:t xml:space="preserve"> message.</w:t>
            </w:r>
          </w:p>
        </w:tc>
        <w:tc>
          <w:tcPr>
            <w:tcW w:w="4156" w:type="dxa"/>
            <w:tcBorders>
              <w:top w:val="single" w:sz="4" w:space="0" w:color="auto"/>
              <w:left w:val="single" w:sz="4" w:space="0" w:color="auto"/>
              <w:bottom w:val="single" w:sz="4" w:space="0" w:color="auto"/>
              <w:right w:val="single" w:sz="4" w:space="0" w:color="auto"/>
            </w:tcBorders>
          </w:tcPr>
          <w:p w14:paraId="35B50C87" w14:textId="77777777" w:rsidR="00711444" w:rsidRPr="004D0DAA" w:rsidRDefault="00711444" w:rsidP="00AA2A4C">
            <w:pPr>
              <w:pStyle w:val="TAL"/>
              <w:rPr>
                <w:lang w:eastAsia="en-US"/>
              </w:rPr>
            </w:pPr>
            <w:r w:rsidRPr="004D0DAA">
              <w:rPr>
                <w:lang w:eastAsia="en-US"/>
              </w:rPr>
              <w:t xml:space="preserve">Upon detecting of the first </w:t>
            </w:r>
            <w:r w:rsidRPr="004D0DAA">
              <w:rPr>
                <w:lang w:eastAsia="zh-CN"/>
              </w:rPr>
              <w:t>USF for any uplink TBF assigned to the MS in the new cell.</w:t>
            </w:r>
          </w:p>
        </w:tc>
        <w:tc>
          <w:tcPr>
            <w:tcW w:w="4111" w:type="dxa"/>
            <w:tcBorders>
              <w:top w:val="single" w:sz="4" w:space="0" w:color="auto"/>
              <w:left w:val="single" w:sz="4" w:space="0" w:color="auto"/>
              <w:bottom w:val="single" w:sz="4" w:space="0" w:color="auto"/>
              <w:right w:val="single" w:sz="4" w:space="0" w:color="auto"/>
            </w:tcBorders>
          </w:tcPr>
          <w:p w14:paraId="7DAE6B69" w14:textId="77777777" w:rsidR="00711444" w:rsidRPr="004D0DAA" w:rsidRDefault="00711444" w:rsidP="00AA2A4C">
            <w:pPr>
              <w:pStyle w:val="TAL"/>
              <w:rPr>
                <w:lang w:eastAsia="en-US"/>
              </w:rPr>
            </w:pPr>
            <w:r w:rsidRPr="004D0DAA">
              <w:rPr>
                <w:szCs w:val="24"/>
                <w:lang w:eastAsia="en-US"/>
              </w:rPr>
              <w:t>The MS returns to the old cell and attempts to resume packet data transmission (see sub-clause 8.10.5).</w:t>
            </w:r>
          </w:p>
        </w:tc>
        <w:tc>
          <w:tcPr>
            <w:tcW w:w="1558" w:type="dxa"/>
            <w:tcBorders>
              <w:top w:val="single" w:sz="4" w:space="0" w:color="auto"/>
              <w:left w:val="single" w:sz="4" w:space="0" w:color="auto"/>
              <w:bottom w:val="single" w:sz="4" w:space="0" w:color="auto"/>
              <w:right w:val="single" w:sz="4" w:space="0" w:color="auto"/>
            </w:tcBorders>
          </w:tcPr>
          <w:p w14:paraId="275B8937" w14:textId="77777777" w:rsidR="00711444" w:rsidRPr="004D0DAA" w:rsidRDefault="00711444" w:rsidP="00AA2A4C">
            <w:pPr>
              <w:pStyle w:val="TAL"/>
              <w:rPr>
                <w:lang w:eastAsia="en-US"/>
              </w:rPr>
            </w:pPr>
            <w:r w:rsidRPr="004D0DAA">
              <w:rPr>
                <w:lang w:eastAsia="zh-CN"/>
              </w:rPr>
              <w:t xml:space="preserve">1 </w:t>
            </w:r>
            <w:r w:rsidRPr="004D0DAA">
              <w:rPr>
                <w:lang w:eastAsia="en-US"/>
              </w:rPr>
              <w:t>s</w:t>
            </w:r>
          </w:p>
        </w:tc>
      </w:tr>
      <w:tr w:rsidR="00711444" w:rsidRPr="004D0DAA" w14:paraId="7D3EB8E2"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444C0115" w14:textId="77777777" w:rsidR="00711444" w:rsidRPr="004D0DAA" w:rsidRDefault="00711444" w:rsidP="00AA2A4C">
            <w:pPr>
              <w:pStyle w:val="TAC"/>
              <w:rPr>
                <w:lang w:eastAsia="en-US"/>
              </w:rPr>
            </w:pPr>
            <w:r w:rsidRPr="004D0DAA">
              <w:rPr>
                <w:lang w:eastAsia="en-US"/>
              </w:rPr>
              <w:t>T3220</w:t>
            </w:r>
          </w:p>
        </w:tc>
        <w:tc>
          <w:tcPr>
            <w:tcW w:w="3640" w:type="dxa"/>
            <w:tcBorders>
              <w:top w:val="single" w:sz="4" w:space="0" w:color="auto"/>
              <w:left w:val="single" w:sz="4" w:space="0" w:color="auto"/>
              <w:bottom w:val="single" w:sz="4" w:space="0" w:color="auto"/>
              <w:right w:val="single" w:sz="4" w:space="0" w:color="auto"/>
            </w:tcBorders>
          </w:tcPr>
          <w:p w14:paraId="32D26529" w14:textId="77777777" w:rsidR="00711444" w:rsidRPr="004D0DAA" w:rsidRDefault="00711444" w:rsidP="00AA2A4C">
            <w:pPr>
              <w:pStyle w:val="TAL"/>
              <w:rPr>
                <w:lang w:eastAsia="en-US"/>
              </w:rPr>
            </w:pPr>
            <w:r w:rsidRPr="004D0DAA">
              <w:rPr>
                <w:lang w:eastAsia="en-US"/>
              </w:rPr>
              <w:t>When the PACKET PAGING REQUEST message containing MBMS pre-notification parameters, for an MBMS session the mobile station is required to receive, is received.</w:t>
            </w:r>
          </w:p>
        </w:tc>
        <w:tc>
          <w:tcPr>
            <w:tcW w:w="4156" w:type="dxa"/>
            <w:tcBorders>
              <w:top w:val="single" w:sz="4" w:space="0" w:color="auto"/>
              <w:left w:val="single" w:sz="4" w:space="0" w:color="auto"/>
              <w:bottom w:val="single" w:sz="4" w:space="0" w:color="auto"/>
              <w:right w:val="single" w:sz="4" w:space="0" w:color="auto"/>
            </w:tcBorders>
          </w:tcPr>
          <w:p w14:paraId="4C7FAA43" w14:textId="77777777" w:rsidR="00711444" w:rsidRPr="004D0DAA" w:rsidRDefault="00711444" w:rsidP="00AA2A4C">
            <w:pPr>
              <w:pStyle w:val="TAL"/>
              <w:rPr>
                <w:lang w:eastAsia="en-US"/>
              </w:rPr>
            </w:pPr>
            <w:r w:rsidRPr="004D0DAA">
              <w:rPr>
                <w:lang w:eastAsia="en-US"/>
              </w:rPr>
              <w:t xml:space="preserve">Upon receipt of the PACKET PAGING REQUEST message containing MBMS notification parameters of the same session that started this timer or </w:t>
            </w:r>
            <w:r w:rsidRPr="004D0DAA">
              <w:rPr>
                <w:lang w:eastAsia="ko-KR"/>
              </w:rPr>
              <w:t>any other procedure on PCCCH not related to MBMS is triggered or a notification is received for a higher priority session.</w:t>
            </w:r>
          </w:p>
        </w:tc>
        <w:tc>
          <w:tcPr>
            <w:tcW w:w="4111" w:type="dxa"/>
            <w:tcBorders>
              <w:top w:val="single" w:sz="4" w:space="0" w:color="auto"/>
              <w:left w:val="single" w:sz="4" w:space="0" w:color="auto"/>
              <w:bottom w:val="single" w:sz="4" w:space="0" w:color="auto"/>
              <w:right w:val="single" w:sz="4" w:space="0" w:color="auto"/>
            </w:tcBorders>
          </w:tcPr>
          <w:p w14:paraId="58B3BA69" w14:textId="77777777" w:rsidR="00711444" w:rsidRPr="004D0DAA" w:rsidRDefault="00711444" w:rsidP="00AA2A4C">
            <w:pPr>
              <w:pStyle w:val="TAL"/>
              <w:rPr>
                <w:lang w:eastAsia="en-US"/>
              </w:rPr>
            </w:pPr>
            <w:r w:rsidRPr="004D0DAA">
              <w:rPr>
                <w:lang w:eastAsia="en-US"/>
              </w:rPr>
              <w:t xml:space="preserve">Mobile station in packet idle mode or MAC-Idle state: Return to DRX mode. </w:t>
            </w:r>
          </w:p>
          <w:p w14:paraId="02032178" w14:textId="77777777" w:rsidR="00711444" w:rsidRPr="004D0DAA" w:rsidRDefault="00711444" w:rsidP="00AA2A4C">
            <w:pPr>
              <w:pStyle w:val="TAL"/>
              <w:rPr>
                <w:lang w:eastAsia="en-US"/>
              </w:rPr>
            </w:pPr>
          </w:p>
          <w:p w14:paraId="4D27AB78" w14:textId="77777777" w:rsidR="00711444" w:rsidRPr="004D0DAA" w:rsidRDefault="00711444" w:rsidP="00AA2A4C">
            <w:pPr>
              <w:pStyle w:val="TAL"/>
              <w:rPr>
                <w:lang w:eastAsia="en-US"/>
              </w:rPr>
            </w:pPr>
            <w:r w:rsidRPr="004D0DAA">
              <w:rPr>
                <w:lang w:eastAsia="en-US"/>
              </w:rPr>
              <w:t>Mobile station in broadcast/multicast receive mode: Remain in broadcast/multicast receive mode</w:t>
            </w:r>
          </w:p>
        </w:tc>
        <w:tc>
          <w:tcPr>
            <w:tcW w:w="1558" w:type="dxa"/>
            <w:tcBorders>
              <w:top w:val="single" w:sz="4" w:space="0" w:color="auto"/>
              <w:left w:val="single" w:sz="4" w:space="0" w:color="auto"/>
              <w:bottom w:val="single" w:sz="4" w:space="0" w:color="auto"/>
              <w:right w:val="single" w:sz="4" w:space="0" w:color="auto"/>
            </w:tcBorders>
          </w:tcPr>
          <w:p w14:paraId="05EA0140" w14:textId="77777777" w:rsidR="00711444" w:rsidRPr="004D0DAA" w:rsidRDefault="00711444" w:rsidP="00AA2A4C">
            <w:pPr>
              <w:pStyle w:val="TAL"/>
              <w:rPr>
                <w:lang w:eastAsia="en-US"/>
              </w:rPr>
            </w:pPr>
            <w:r w:rsidRPr="004D0DAA">
              <w:rPr>
                <w:lang w:eastAsia="en-US"/>
              </w:rPr>
              <w:t>46 s</w:t>
            </w:r>
          </w:p>
        </w:tc>
      </w:tr>
      <w:tr w:rsidR="00711444" w:rsidRPr="004D0DAA" w14:paraId="2BCF8042"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6A479EA0" w14:textId="77777777" w:rsidR="00711444" w:rsidRPr="004D0DAA" w:rsidRDefault="00711444" w:rsidP="00AA2A4C">
            <w:pPr>
              <w:pStyle w:val="TAR"/>
              <w:keepNext w:val="0"/>
              <w:jc w:val="left"/>
              <w:rPr>
                <w:lang w:eastAsia="en-US"/>
              </w:rPr>
            </w:pPr>
            <w:r w:rsidRPr="004D0DAA">
              <w:rPr>
                <w:lang w:eastAsia="en-US"/>
              </w:rPr>
              <w:t>T3222</w:t>
            </w:r>
          </w:p>
        </w:tc>
        <w:tc>
          <w:tcPr>
            <w:tcW w:w="3640" w:type="dxa"/>
            <w:tcBorders>
              <w:top w:val="single" w:sz="4" w:space="0" w:color="auto"/>
              <w:left w:val="single" w:sz="4" w:space="0" w:color="auto"/>
              <w:bottom w:val="single" w:sz="4" w:space="0" w:color="auto"/>
              <w:right w:val="single" w:sz="4" w:space="0" w:color="auto"/>
            </w:tcBorders>
          </w:tcPr>
          <w:p w14:paraId="589D48F3" w14:textId="77777777" w:rsidR="00711444" w:rsidRPr="004D0DAA" w:rsidRDefault="00711444" w:rsidP="00AA2A4C">
            <w:pPr>
              <w:pStyle w:val="TAL"/>
              <w:rPr>
                <w:lang w:eastAsia="en-US"/>
              </w:rPr>
            </w:pPr>
            <w:r w:rsidRPr="004D0DAA">
              <w:rPr>
                <w:lang w:eastAsia="en-US"/>
              </w:rPr>
              <w:t>When the PACKET MBMS ANNOUNCEMENT message is received indicating an MBMS broadcast service or an MBMS multicast service to which the mobile station has subscribed and an MBMS session the mobile station has not received, and including the Restriction Timer or the Estimated Session Duration.</w:t>
            </w:r>
          </w:p>
        </w:tc>
        <w:tc>
          <w:tcPr>
            <w:tcW w:w="4156" w:type="dxa"/>
            <w:tcBorders>
              <w:top w:val="single" w:sz="4" w:space="0" w:color="auto"/>
              <w:left w:val="single" w:sz="4" w:space="0" w:color="auto"/>
              <w:bottom w:val="single" w:sz="4" w:space="0" w:color="auto"/>
              <w:right w:val="single" w:sz="4" w:space="0" w:color="auto"/>
            </w:tcBorders>
          </w:tcPr>
          <w:p w14:paraId="2504708A" w14:textId="77777777" w:rsidR="00711444" w:rsidRPr="004D0DAA" w:rsidRDefault="00711444" w:rsidP="00AA2A4C">
            <w:pPr>
              <w:pStyle w:val="TAL"/>
              <w:rPr>
                <w:lang w:eastAsia="en-US"/>
              </w:rPr>
            </w:pPr>
            <w:r w:rsidRPr="004D0DAA">
              <w:rPr>
                <w:lang w:eastAsia="en-US"/>
              </w:rPr>
              <w:t>When the mobile station enters packet idle mode, if the PACKET MBMS ANNOUNCEMENT message included the Estimated Session Duration.</w:t>
            </w:r>
          </w:p>
          <w:p w14:paraId="365E24F1" w14:textId="77777777" w:rsidR="00711444" w:rsidRPr="004D0DAA" w:rsidRDefault="00711444" w:rsidP="00AA2A4C">
            <w:pPr>
              <w:pStyle w:val="TAL"/>
              <w:rPr>
                <w:lang w:eastAsia="en-US"/>
              </w:rPr>
            </w:pPr>
          </w:p>
          <w:p w14:paraId="54BBFDFA" w14:textId="77777777" w:rsidR="00711444" w:rsidRPr="004D0DAA" w:rsidRDefault="00711444" w:rsidP="00AA2A4C">
            <w:pPr>
              <w:pStyle w:val="TAL"/>
              <w:rPr>
                <w:lang w:eastAsia="en-US"/>
              </w:rPr>
            </w:pPr>
            <w:r w:rsidRPr="004D0DAA">
              <w:rPr>
                <w:lang w:eastAsia="en-US"/>
              </w:rPr>
              <w:t>When the mobile station enters packet idle mode and completes the Transfer non-DRX mode period, if the PACKET MBMS ANNOUNCEMENT message included the Restriction Timer.</w:t>
            </w:r>
          </w:p>
        </w:tc>
        <w:tc>
          <w:tcPr>
            <w:tcW w:w="4111" w:type="dxa"/>
            <w:tcBorders>
              <w:top w:val="single" w:sz="4" w:space="0" w:color="auto"/>
              <w:left w:val="single" w:sz="4" w:space="0" w:color="auto"/>
              <w:bottom w:val="single" w:sz="4" w:space="0" w:color="auto"/>
              <w:right w:val="single" w:sz="4" w:space="0" w:color="auto"/>
            </w:tcBorders>
          </w:tcPr>
          <w:p w14:paraId="4B0B4426" w14:textId="77777777" w:rsidR="00711444" w:rsidRPr="004D0DAA" w:rsidRDefault="00711444" w:rsidP="00AA2A4C">
            <w:pPr>
              <w:pStyle w:val="TAL"/>
              <w:rPr>
                <w:lang w:eastAsia="en-US"/>
              </w:rPr>
            </w:pPr>
            <w:r w:rsidRPr="004D0DAA">
              <w:rPr>
                <w:lang w:eastAsia="en-US"/>
              </w:rPr>
              <w:t>The MBMS related information stored upon receipt of the corresponding PACKET MBMS ANNOUNCEMENT message is deleted.</w:t>
            </w:r>
          </w:p>
        </w:tc>
        <w:tc>
          <w:tcPr>
            <w:tcW w:w="1558" w:type="dxa"/>
            <w:tcBorders>
              <w:top w:val="single" w:sz="4" w:space="0" w:color="auto"/>
              <w:left w:val="single" w:sz="4" w:space="0" w:color="auto"/>
              <w:bottom w:val="single" w:sz="4" w:space="0" w:color="auto"/>
              <w:right w:val="single" w:sz="4" w:space="0" w:color="auto"/>
            </w:tcBorders>
          </w:tcPr>
          <w:p w14:paraId="0A4247F7" w14:textId="77777777" w:rsidR="00711444" w:rsidRPr="004D0DAA" w:rsidRDefault="00711444" w:rsidP="00AA2A4C">
            <w:pPr>
              <w:pStyle w:val="TAL"/>
              <w:rPr>
                <w:lang w:eastAsia="en-US"/>
              </w:rPr>
            </w:pPr>
            <w:r w:rsidRPr="004D0DAA">
              <w:rPr>
                <w:lang w:eastAsia="en-US"/>
              </w:rPr>
              <w:t>See sub-clause 6.3.2.2</w:t>
            </w:r>
          </w:p>
        </w:tc>
      </w:tr>
      <w:tr w:rsidR="00711444" w:rsidRPr="004D0DAA" w14:paraId="4766092A"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5278404A" w14:textId="77777777" w:rsidR="00711444" w:rsidRPr="004D0DAA" w:rsidRDefault="00711444" w:rsidP="00AA2A4C">
            <w:pPr>
              <w:pStyle w:val="TAC"/>
              <w:rPr>
                <w:lang w:eastAsia="en-US"/>
              </w:rPr>
            </w:pPr>
            <w:r w:rsidRPr="004D0DAA">
              <w:rPr>
                <w:lang w:eastAsia="en-US"/>
              </w:rPr>
              <w:lastRenderedPageBreak/>
              <w:t>T3226</w:t>
            </w:r>
          </w:p>
        </w:tc>
        <w:tc>
          <w:tcPr>
            <w:tcW w:w="3640" w:type="dxa"/>
            <w:tcBorders>
              <w:top w:val="single" w:sz="4" w:space="0" w:color="auto"/>
              <w:left w:val="single" w:sz="4" w:space="0" w:color="auto"/>
              <w:bottom w:val="single" w:sz="4" w:space="0" w:color="auto"/>
              <w:right w:val="single" w:sz="4" w:space="0" w:color="auto"/>
            </w:tcBorders>
          </w:tcPr>
          <w:p w14:paraId="6A472854" w14:textId="77777777" w:rsidR="00711444" w:rsidRPr="004D0DAA" w:rsidRDefault="00711444" w:rsidP="00AA2A4C">
            <w:pPr>
              <w:pStyle w:val="TAL"/>
              <w:rPr>
                <w:lang w:eastAsia="en-US"/>
              </w:rPr>
            </w:pPr>
            <w:r w:rsidRPr="004D0DAA">
              <w:rPr>
                <w:lang w:eastAsia="en-US"/>
              </w:rPr>
              <w:t>When the last allocated RLC data block has been transmitted according to a fixed uplink allocation (as received in an EC IMMEDIATE ASSIGNMENT, EC PACKET UPLINK ACK/NACK, EC PACKET UPLINK ACK/NACK AND CONTENTION RESOLUTION or EC PACKET UPLINK ASSIGNMENT message).</w:t>
            </w:r>
          </w:p>
        </w:tc>
        <w:tc>
          <w:tcPr>
            <w:tcW w:w="4156" w:type="dxa"/>
            <w:tcBorders>
              <w:top w:val="single" w:sz="4" w:space="0" w:color="auto"/>
              <w:left w:val="single" w:sz="4" w:space="0" w:color="auto"/>
              <w:bottom w:val="single" w:sz="4" w:space="0" w:color="auto"/>
              <w:right w:val="single" w:sz="4" w:space="0" w:color="auto"/>
            </w:tcBorders>
          </w:tcPr>
          <w:p w14:paraId="46E3095D" w14:textId="77777777" w:rsidR="00711444" w:rsidRPr="004D0DAA" w:rsidRDefault="00711444" w:rsidP="00AA2A4C">
            <w:pPr>
              <w:pStyle w:val="TAL"/>
              <w:rPr>
                <w:lang w:eastAsia="en-US"/>
              </w:rPr>
            </w:pPr>
            <w:r w:rsidRPr="004D0DAA">
              <w:rPr>
                <w:lang w:eastAsia="en-US"/>
              </w:rPr>
              <w:t>None</w:t>
            </w:r>
          </w:p>
        </w:tc>
        <w:tc>
          <w:tcPr>
            <w:tcW w:w="4111" w:type="dxa"/>
            <w:tcBorders>
              <w:top w:val="single" w:sz="4" w:space="0" w:color="auto"/>
              <w:left w:val="single" w:sz="4" w:space="0" w:color="auto"/>
              <w:bottom w:val="single" w:sz="4" w:space="0" w:color="auto"/>
              <w:right w:val="single" w:sz="4" w:space="0" w:color="auto"/>
            </w:tcBorders>
          </w:tcPr>
          <w:p w14:paraId="0EEB0F60" w14:textId="77777777" w:rsidR="00711444" w:rsidRPr="004D0DAA" w:rsidRDefault="00711444" w:rsidP="00AA2A4C">
            <w:pPr>
              <w:pStyle w:val="TAL"/>
              <w:rPr>
                <w:lang w:eastAsia="en-US"/>
              </w:rPr>
            </w:pPr>
            <w:r w:rsidRPr="004D0DAA">
              <w:rPr>
                <w:lang w:eastAsia="en-US"/>
              </w:rPr>
              <w:t>Timer T3228 is started and the mobile station starts to continuously read the downlink EC-PACCH for reception of an RLC/MAC control message.</w:t>
            </w:r>
          </w:p>
        </w:tc>
        <w:tc>
          <w:tcPr>
            <w:tcW w:w="1558" w:type="dxa"/>
            <w:tcBorders>
              <w:top w:val="single" w:sz="4" w:space="0" w:color="auto"/>
              <w:left w:val="single" w:sz="4" w:space="0" w:color="auto"/>
              <w:bottom w:val="single" w:sz="4" w:space="0" w:color="auto"/>
              <w:right w:val="single" w:sz="4" w:space="0" w:color="auto"/>
            </w:tcBorders>
          </w:tcPr>
          <w:p w14:paraId="6AB9A080" w14:textId="77777777" w:rsidR="00711444" w:rsidRPr="004D0DAA" w:rsidRDefault="00711444" w:rsidP="00AA2A4C">
            <w:pPr>
              <w:pStyle w:val="TAL"/>
              <w:rPr>
                <w:lang w:eastAsia="en-US"/>
              </w:rPr>
            </w:pPr>
            <w:r w:rsidRPr="004D0DAA">
              <w:rPr>
                <w:lang w:eastAsia="en-US"/>
              </w:rPr>
              <w:t>assigned in EC system information</w:t>
            </w:r>
          </w:p>
          <w:p w14:paraId="6E4F4B67" w14:textId="77777777" w:rsidR="00711444" w:rsidRPr="004D0DAA" w:rsidRDefault="00711444" w:rsidP="00AA2A4C">
            <w:pPr>
              <w:pStyle w:val="TAL"/>
              <w:rPr>
                <w:lang w:eastAsia="en-US"/>
              </w:rPr>
            </w:pPr>
          </w:p>
          <w:p w14:paraId="730CA6C0" w14:textId="77777777" w:rsidR="00711444" w:rsidRPr="004D0DAA" w:rsidRDefault="00711444" w:rsidP="00AA2A4C">
            <w:pPr>
              <w:pStyle w:val="TAL"/>
              <w:rPr>
                <w:lang w:eastAsia="en-US"/>
              </w:rPr>
            </w:pPr>
            <w:r w:rsidRPr="004D0DAA">
              <w:rPr>
                <w:lang w:eastAsia="en-US"/>
              </w:rPr>
              <w:t>If the value of T3226 was not provided in the EC SI, the timer shall be set to 0 ms in EC operation</w:t>
            </w:r>
          </w:p>
        </w:tc>
      </w:tr>
      <w:tr w:rsidR="00711444" w:rsidRPr="004D0DAA" w14:paraId="05BB97A7"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307A5C03" w14:textId="77777777" w:rsidR="00711444" w:rsidRPr="004D0DAA" w:rsidRDefault="00711444" w:rsidP="00AA2A4C">
            <w:pPr>
              <w:pStyle w:val="TAC"/>
              <w:rPr>
                <w:lang w:eastAsia="en-US"/>
              </w:rPr>
            </w:pPr>
            <w:r w:rsidRPr="004D0DAA">
              <w:rPr>
                <w:lang w:eastAsia="en-US"/>
              </w:rPr>
              <w:t>T3228</w:t>
            </w:r>
          </w:p>
        </w:tc>
        <w:tc>
          <w:tcPr>
            <w:tcW w:w="3640" w:type="dxa"/>
            <w:tcBorders>
              <w:top w:val="single" w:sz="4" w:space="0" w:color="auto"/>
              <w:left w:val="single" w:sz="4" w:space="0" w:color="auto"/>
              <w:bottom w:val="single" w:sz="4" w:space="0" w:color="auto"/>
              <w:right w:val="single" w:sz="4" w:space="0" w:color="auto"/>
            </w:tcBorders>
          </w:tcPr>
          <w:p w14:paraId="6128AB11" w14:textId="77777777" w:rsidR="00711444" w:rsidRPr="004D0DAA" w:rsidRDefault="00711444" w:rsidP="00AA2A4C">
            <w:pPr>
              <w:pStyle w:val="TAL"/>
              <w:rPr>
                <w:lang w:eastAsia="en-US"/>
              </w:rPr>
            </w:pPr>
            <w:r w:rsidRPr="004D0DAA">
              <w:rPr>
                <w:lang w:eastAsia="en-US"/>
              </w:rPr>
              <w:t>At expiry of timer T3226.</w:t>
            </w:r>
          </w:p>
        </w:tc>
        <w:tc>
          <w:tcPr>
            <w:tcW w:w="4156" w:type="dxa"/>
            <w:tcBorders>
              <w:top w:val="single" w:sz="4" w:space="0" w:color="auto"/>
              <w:left w:val="single" w:sz="4" w:space="0" w:color="auto"/>
              <w:bottom w:val="single" w:sz="4" w:space="0" w:color="auto"/>
              <w:right w:val="single" w:sz="4" w:space="0" w:color="auto"/>
            </w:tcBorders>
          </w:tcPr>
          <w:p w14:paraId="70378C0E" w14:textId="77777777" w:rsidR="00711444" w:rsidRPr="004D0DAA" w:rsidRDefault="00711444" w:rsidP="00AA2A4C">
            <w:pPr>
              <w:pStyle w:val="TAL"/>
              <w:rPr>
                <w:lang w:eastAsia="en-US"/>
              </w:rPr>
            </w:pPr>
            <w:r w:rsidRPr="004D0DAA">
              <w:rPr>
                <w:lang w:eastAsia="en-US"/>
              </w:rPr>
              <w:t>Upon receipt of an EC PACKET UPLINK ACK/NACK or EC PACKET UPLINK ACK/NACK AND CONTENTION RESOLUTION message addressing the mobile station with the TFI value associated with the uplink TBF.</w:t>
            </w:r>
          </w:p>
        </w:tc>
        <w:tc>
          <w:tcPr>
            <w:tcW w:w="4111" w:type="dxa"/>
            <w:tcBorders>
              <w:top w:val="single" w:sz="4" w:space="0" w:color="auto"/>
              <w:left w:val="single" w:sz="4" w:space="0" w:color="auto"/>
              <w:bottom w:val="single" w:sz="4" w:space="0" w:color="auto"/>
              <w:right w:val="single" w:sz="4" w:space="0" w:color="auto"/>
            </w:tcBorders>
          </w:tcPr>
          <w:p w14:paraId="1E04EFF9" w14:textId="77777777" w:rsidR="00711444" w:rsidRPr="004D0DAA" w:rsidRDefault="00711444" w:rsidP="00AA2A4C">
            <w:pPr>
              <w:pStyle w:val="TAL"/>
              <w:rPr>
                <w:lang w:eastAsia="en-US"/>
              </w:rPr>
            </w:pPr>
            <w:r w:rsidRPr="004D0DAA">
              <w:rPr>
                <w:lang w:eastAsia="en-US"/>
              </w:rPr>
              <w:t>The TBF shall be released and abnormal release with access retry may be performed, unless T3248 is used, i.e. it has a value &gt; 0.</w:t>
            </w:r>
          </w:p>
          <w:p w14:paraId="3E76D2BD" w14:textId="77777777" w:rsidR="00711444" w:rsidRPr="004D0DAA" w:rsidRDefault="00711444" w:rsidP="00AA2A4C">
            <w:pPr>
              <w:pStyle w:val="TAL"/>
              <w:rPr>
                <w:lang w:eastAsia="en-US"/>
              </w:rPr>
            </w:pPr>
            <w:r w:rsidRPr="004D0DAA">
              <w:rPr>
                <w:lang w:eastAsia="en-US"/>
              </w:rPr>
              <w:t>If timer T3248 is used, it shall be started at expiry of T3228. The next higher CC shall then be used when monitoring the DL EC-PACCH, as long as T3248 is running.</w:t>
            </w:r>
          </w:p>
        </w:tc>
        <w:tc>
          <w:tcPr>
            <w:tcW w:w="1558" w:type="dxa"/>
            <w:tcBorders>
              <w:top w:val="single" w:sz="4" w:space="0" w:color="auto"/>
              <w:left w:val="single" w:sz="4" w:space="0" w:color="auto"/>
              <w:bottom w:val="single" w:sz="4" w:space="0" w:color="auto"/>
              <w:right w:val="single" w:sz="4" w:space="0" w:color="auto"/>
            </w:tcBorders>
          </w:tcPr>
          <w:p w14:paraId="6F7F67BC" w14:textId="77777777" w:rsidR="00711444" w:rsidRPr="004D0DAA" w:rsidRDefault="00711444" w:rsidP="00AA2A4C">
            <w:pPr>
              <w:pStyle w:val="TAL"/>
              <w:rPr>
                <w:lang w:eastAsia="en-US"/>
              </w:rPr>
            </w:pPr>
            <w:r w:rsidRPr="004D0DAA">
              <w:rPr>
                <w:lang w:eastAsia="en-US"/>
              </w:rPr>
              <w:t>5 s minus the value for T3248 timer</w:t>
            </w:r>
          </w:p>
        </w:tc>
      </w:tr>
      <w:tr w:rsidR="00711444" w:rsidRPr="004D0DAA" w14:paraId="1A4C96F7"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08B59AFE" w14:textId="77777777" w:rsidR="00711444" w:rsidRPr="004D0DAA" w:rsidRDefault="00711444" w:rsidP="00AA2A4C">
            <w:pPr>
              <w:pStyle w:val="TAC"/>
              <w:rPr>
                <w:lang w:eastAsia="en-US"/>
              </w:rPr>
            </w:pPr>
            <w:r w:rsidRPr="004D0DAA">
              <w:rPr>
                <w:lang w:eastAsia="en-US"/>
              </w:rPr>
              <w:t>T3238</w:t>
            </w:r>
          </w:p>
        </w:tc>
        <w:tc>
          <w:tcPr>
            <w:tcW w:w="3640" w:type="dxa"/>
            <w:tcBorders>
              <w:top w:val="single" w:sz="4" w:space="0" w:color="auto"/>
              <w:left w:val="single" w:sz="4" w:space="0" w:color="auto"/>
              <w:bottom w:val="single" w:sz="4" w:space="0" w:color="auto"/>
              <w:right w:val="single" w:sz="4" w:space="0" w:color="auto"/>
            </w:tcBorders>
          </w:tcPr>
          <w:p w14:paraId="3A07B407" w14:textId="77777777" w:rsidR="00711444" w:rsidRPr="004D0DAA" w:rsidRDefault="00711444" w:rsidP="00AA2A4C">
            <w:pPr>
              <w:pStyle w:val="TAL"/>
              <w:rPr>
                <w:lang w:eastAsia="en-US"/>
              </w:rPr>
            </w:pPr>
            <w:r w:rsidRPr="004D0DAA">
              <w:rPr>
                <w:lang w:eastAsia="en-US"/>
              </w:rPr>
              <w:t>At reception of an EC PACKET UPLINK ACK/NACK message with the Final Ack Indicator bit set to '1’ and indicating that the mobile station shall continue monitoring the EC-PACCH.</w:t>
            </w:r>
          </w:p>
        </w:tc>
        <w:tc>
          <w:tcPr>
            <w:tcW w:w="4156" w:type="dxa"/>
            <w:tcBorders>
              <w:top w:val="single" w:sz="4" w:space="0" w:color="auto"/>
              <w:left w:val="single" w:sz="4" w:space="0" w:color="auto"/>
              <w:bottom w:val="single" w:sz="4" w:space="0" w:color="auto"/>
              <w:right w:val="single" w:sz="4" w:space="0" w:color="auto"/>
            </w:tcBorders>
          </w:tcPr>
          <w:p w14:paraId="54923B65" w14:textId="77777777" w:rsidR="00711444" w:rsidRPr="004D0DAA" w:rsidRDefault="00711444" w:rsidP="00AA2A4C">
            <w:pPr>
              <w:pStyle w:val="TAL"/>
              <w:rPr>
                <w:lang w:eastAsia="en-US"/>
              </w:rPr>
            </w:pPr>
            <w:r w:rsidRPr="004D0DAA">
              <w:rPr>
                <w:lang w:eastAsia="en-US"/>
              </w:rPr>
              <w:t>At reception of an EC PACKET DOWNLINK ASSIGNMENT message addressing the mobile station, or at reception of another RLC/MAC control message triggering the release of the uplink TBF.</w:t>
            </w:r>
          </w:p>
        </w:tc>
        <w:tc>
          <w:tcPr>
            <w:tcW w:w="4111" w:type="dxa"/>
            <w:tcBorders>
              <w:top w:val="single" w:sz="4" w:space="0" w:color="auto"/>
              <w:left w:val="single" w:sz="4" w:space="0" w:color="auto"/>
              <w:bottom w:val="single" w:sz="4" w:space="0" w:color="auto"/>
              <w:right w:val="single" w:sz="4" w:space="0" w:color="auto"/>
            </w:tcBorders>
          </w:tcPr>
          <w:p w14:paraId="08FD7D24" w14:textId="77777777" w:rsidR="00711444" w:rsidRPr="004D0DAA" w:rsidRDefault="00711444" w:rsidP="00AA2A4C">
            <w:pPr>
              <w:pStyle w:val="TAL"/>
              <w:rPr>
                <w:lang w:eastAsia="en-US"/>
              </w:rPr>
            </w:pPr>
            <w:r w:rsidRPr="004D0DAA">
              <w:rPr>
                <w:lang w:eastAsia="en-US"/>
              </w:rPr>
              <w:t xml:space="preserve">The mobile station shall leave the uplink TBF and return to packet idle mode. </w:t>
            </w:r>
          </w:p>
        </w:tc>
        <w:tc>
          <w:tcPr>
            <w:tcW w:w="1558" w:type="dxa"/>
            <w:tcBorders>
              <w:top w:val="single" w:sz="4" w:space="0" w:color="auto"/>
              <w:left w:val="single" w:sz="4" w:space="0" w:color="auto"/>
              <w:bottom w:val="single" w:sz="4" w:space="0" w:color="auto"/>
              <w:right w:val="single" w:sz="4" w:space="0" w:color="auto"/>
            </w:tcBorders>
          </w:tcPr>
          <w:p w14:paraId="7FB693AF" w14:textId="77777777" w:rsidR="00711444" w:rsidRPr="004D0DAA" w:rsidRDefault="00711444" w:rsidP="00AA2A4C">
            <w:pPr>
              <w:pStyle w:val="TAL"/>
              <w:rPr>
                <w:lang w:eastAsia="zh-CN"/>
              </w:rPr>
            </w:pPr>
            <w:r w:rsidRPr="004D0DAA">
              <w:rPr>
                <w:lang w:eastAsia="zh-CN"/>
              </w:rPr>
              <w:t>Assigned in message</w:t>
            </w:r>
          </w:p>
        </w:tc>
      </w:tr>
      <w:tr w:rsidR="00711444" w:rsidRPr="004D0DAA" w14:paraId="2D2A096E"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074834E9" w14:textId="77777777" w:rsidR="00711444" w:rsidRPr="004D0DAA" w:rsidRDefault="00711444" w:rsidP="00AA2A4C">
            <w:pPr>
              <w:pStyle w:val="TAC"/>
              <w:rPr>
                <w:lang w:eastAsia="en-US"/>
              </w:rPr>
            </w:pPr>
            <w:r w:rsidRPr="004D0DAA">
              <w:rPr>
                <w:lang w:eastAsia="en-US"/>
              </w:rPr>
              <w:t>T3248</w:t>
            </w:r>
          </w:p>
        </w:tc>
        <w:tc>
          <w:tcPr>
            <w:tcW w:w="3640" w:type="dxa"/>
            <w:tcBorders>
              <w:top w:val="single" w:sz="4" w:space="0" w:color="auto"/>
              <w:left w:val="single" w:sz="4" w:space="0" w:color="auto"/>
              <w:bottom w:val="single" w:sz="4" w:space="0" w:color="auto"/>
              <w:right w:val="single" w:sz="4" w:space="0" w:color="auto"/>
            </w:tcBorders>
          </w:tcPr>
          <w:p w14:paraId="78228471" w14:textId="77777777" w:rsidR="00711444" w:rsidRPr="004D0DAA" w:rsidRDefault="00711444" w:rsidP="00AA2A4C">
            <w:pPr>
              <w:pStyle w:val="TAL"/>
              <w:rPr>
                <w:lang w:eastAsia="en-US"/>
              </w:rPr>
            </w:pPr>
            <w:r w:rsidRPr="004D0DAA">
              <w:rPr>
                <w:lang w:eastAsia="en-US"/>
              </w:rPr>
              <w:t>At expiry of timer T3228.</w:t>
            </w:r>
          </w:p>
        </w:tc>
        <w:tc>
          <w:tcPr>
            <w:tcW w:w="4156" w:type="dxa"/>
            <w:tcBorders>
              <w:top w:val="single" w:sz="4" w:space="0" w:color="auto"/>
              <w:left w:val="single" w:sz="4" w:space="0" w:color="auto"/>
              <w:bottom w:val="single" w:sz="4" w:space="0" w:color="auto"/>
              <w:right w:val="single" w:sz="4" w:space="0" w:color="auto"/>
            </w:tcBorders>
          </w:tcPr>
          <w:p w14:paraId="5F3FCCEC" w14:textId="77777777" w:rsidR="00711444" w:rsidRPr="004D0DAA" w:rsidRDefault="00711444" w:rsidP="00AA2A4C">
            <w:pPr>
              <w:pStyle w:val="TAL"/>
              <w:rPr>
                <w:lang w:eastAsia="en-US"/>
              </w:rPr>
            </w:pPr>
            <w:r w:rsidRPr="004D0DAA">
              <w:rPr>
                <w:lang w:eastAsia="en-US"/>
              </w:rPr>
              <w:t>Upon receipt of an EC PACKET UPLINK ACK/NACK or EC PACKET UPLINK ACK/NACK AND CONTENTION RESOLUTION message addressing the mobile station with the TFI value associated with the uplink TBF.</w:t>
            </w:r>
          </w:p>
        </w:tc>
        <w:tc>
          <w:tcPr>
            <w:tcW w:w="4111" w:type="dxa"/>
            <w:tcBorders>
              <w:top w:val="single" w:sz="4" w:space="0" w:color="auto"/>
              <w:left w:val="single" w:sz="4" w:space="0" w:color="auto"/>
              <w:bottom w:val="single" w:sz="4" w:space="0" w:color="auto"/>
              <w:right w:val="single" w:sz="4" w:space="0" w:color="auto"/>
            </w:tcBorders>
          </w:tcPr>
          <w:p w14:paraId="2DA56CE7" w14:textId="77777777" w:rsidR="00711444" w:rsidRPr="004D0DAA" w:rsidRDefault="00711444" w:rsidP="00AA2A4C">
            <w:pPr>
              <w:pStyle w:val="TAL"/>
              <w:rPr>
                <w:lang w:eastAsia="en-US"/>
              </w:rPr>
            </w:pPr>
            <w:r w:rsidRPr="004D0DAA">
              <w:rPr>
                <w:lang w:eastAsia="en-US"/>
              </w:rPr>
              <w:t>The TBF shall be released. Abnormal release with access retry may be performed.</w:t>
            </w:r>
          </w:p>
        </w:tc>
        <w:tc>
          <w:tcPr>
            <w:tcW w:w="1558" w:type="dxa"/>
            <w:tcBorders>
              <w:top w:val="single" w:sz="4" w:space="0" w:color="auto"/>
              <w:left w:val="single" w:sz="4" w:space="0" w:color="auto"/>
              <w:bottom w:val="single" w:sz="4" w:space="0" w:color="auto"/>
              <w:right w:val="single" w:sz="4" w:space="0" w:color="auto"/>
            </w:tcBorders>
          </w:tcPr>
          <w:p w14:paraId="3E4F945D" w14:textId="77777777" w:rsidR="00711444" w:rsidRPr="004D0DAA" w:rsidRDefault="00711444" w:rsidP="00AA2A4C">
            <w:pPr>
              <w:pStyle w:val="TAL"/>
              <w:rPr>
                <w:lang w:eastAsia="en-US"/>
              </w:rPr>
            </w:pPr>
            <w:r w:rsidRPr="004D0DAA">
              <w:rPr>
                <w:lang w:eastAsia="en-US"/>
              </w:rPr>
              <w:t>assigned in EC system information (EC SI)</w:t>
            </w:r>
          </w:p>
          <w:p w14:paraId="0DFB8157" w14:textId="77777777" w:rsidR="00711444" w:rsidRPr="004D0DAA" w:rsidRDefault="00711444" w:rsidP="00AA2A4C">
            <w:pPr>
              <w:pStyle w:val="TAL"/>
              <w:rPr>
                <w:lang w:eastAsia="en-US"/>
              </w:rPr>
            </w:pPr>
          </w:p>
          <w:p w14:paraId="049D9A03" w14:textId="77777777" w:rsidR="00711444" w:rsidRPr="004D0DAA" w:rsidRDefault="00711444" w:rsidP="00AA2A4C">
            <w:pPr>
              <w:pStyle w:val="TAL"/>
              <w:rPr>
                <w:lang w:eastAsia="en-US"/>
              </w:rPr>
            </w:pPr>
            <w:r w:rsidRPr="004D0DAA">
              <w:rPr>
                <w:lang w:eastAsia="en-US"/>
              </w:rPr>
              <w:t>If assignment of timer value is not included in EC SI it has the value 0 and is thus not used</w:t>
            </w:r>
          </w:p>
        </w:tc>
      </w:tr>
      <w:tr w:rsidR="00711444" w:rsidRPr="004D0DAA" w14:paraId="79DA9F34"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40B89E79" w14:textId="77777777" w:rsidR="00711444" w:rsidRPr="004D0DAA" w:rsidRDefault="00711444" w:rsidP="00AA2A4C">
            <w:pPr>
              <w:pStyle w:val="TAC"/>
              <w:rPr>
                <w:lang w:eastAsia="en-US"/>
              </w:rPr>
            </w:pPr>
            <w:r w:rsidRPr="004D0DAA">
              <w:rPr>
                <w:lang w:eastAsia="en-US"/>
              </w:rPr>
              <w:t>T3290 (per MS_ID on an MBMS radio bearer)</w:t>
            </w:r>
          </w:p>
        </w:tc>
        <w:tc>
          <w:tcPr>
            <w:tcW w:w="3640" w:type="dxa"/>
            <w:tcBorders>
              <w:top w:val="single" w:sz="4" w:space="0" w:color="auto"/>
              <w:left w:val="single" w:sz="4" w:space="0" w:color="auto"/>
              <w:bottom w:val="single" w:sz="4" w:space="0" w:color="auto"/>
              <w:right w:val="single" w:sz="4" w:space="0" w:color="auto"/>
            </w:tcBorders>
          </w:tcPr>
          <w:p w14:paraId="05A455D0" w14:textId="77777777" w:rsidR="00711444" w:rsidRPr="004D0DAA" w:rsidRDefault="00711444" w:rsidP="00AA2A4C">
            <w:pPr>
              <w:pStyle w:val="TAL"/>
              <w:rPr>
                <w:lang w:eastAsia="en-US"/>
              </w:rPr>
            </w:pPr>
            <w:r w:rsidRPr="004D0DAA">
              <w:rPr>
                <w:lang w:eastAsia="en-US"/>
              </w:rPr>
              <w:t>At reception of a downlink assignment (i.e. MBMS ASSIGNMENT, MBMS MS_ID ASSIGNMENT) message assigning an MS_ID to a mobile station receiving an MBMS radio bearer.</w:t>
            </w:r>
          </w:p>
        </w:tc>
        <w:tc>
          <w:tcPr>
            <w:tcW w:w="4156" w:type="dxa"/>
            <w:tcBorders>
              <w:top w:val="single" w:sz="4" w:space="0" w:color="auto"/>
              <w:left w:val="single" w:sz="4" w:space="0" w:color="auto"/>
              <w:bottom w:val="single" w:sz="4" w:space="0" w:color="auto"/>
              <w:right w:val="single" w:sz="4" w:space="0" w:color="auto"/>
            </w:tcBorders>
          </w:tcPr>
          <w:p w14:paraId="0C7CB57A" w14:textId="77777777" w:rsidR="00711444" w:rsidRPr="004D0DAA" w:rsidRDefault="00711444" w:rsidP="00AA2A4C">
            <w:pPr>
              <w:pStyle w:val="TAL"/>
              <w:rPr>
                <w:lang w:eastAsia="en-US"/>
              </w:rPr>
            </w:pPr>
            <w:r w:rsidRPr="004D0DAA">
              <w:rPr>
                <w:lang w:eastAsia="en-US"/>
              </w:rPr>
              <w:t>Restarted on receipt of an RLC/MAC block including the corresponding MBMS Bearer Identity and the MS_ID in the TFI field.</w:t>
            </w:r>
          </w:p>
        </w:tc>
        <w:tc>
          <w:tcPr>
            <w:tcW w:w="4111" w:type="dxa"/>
            <w:tcBorders>
              <w:top w:val="single" w:sz="4" w:space="0" w:color="auto"/>
              <w:left w:val="single" w:sz="4" w:space="0" w:color="auto"/>
              <w:bottom w:val="single" w:sz="4" w:space="0" w:color="auto"/>
              <w:right w:val="single" w:sz="4" w:space="0" w:color="auto"/>
            </w:tcBorders>
          </w:tcPr>
          <w:p w14:paraId="274AC38B" w14:textId="77777777" w:rsidR="00711444" w:rsidRPr="004D0DAA" w:rsidRDefault="00711444" w:rsidP="00AA2A4C">
            <w:pPr>
              <w:pStyle w:val="TAL"/>
              <w:rPr>
                <w:lang w:eastAsia="en-US"/>
              </w:rPr>
            </w:pPr>
            <w:r w:rsidRPr="004D0DAA">
              <w:rPr>
                <w:lang w:eastAsia="en-US"/>
              </w:rPr>
              <w:t>The mobile station considers the MS_ID as released, i.e. it no longer answers when polled with the MS_ID.</w:t>
            </w:r>
          </w:p>
        </w:tc>
        <w:tc>
          <w:tcPr>
            <w:tcW w:w="1558" w:type="dxa"/>
            <w:tcBorders>
              <w:top w:val="single" w:sz="4" w:space="0" w:color="auto"/>
              <w:left w:val="single" w:sz="4" w:space="0" w:color="auto"/>
              <w:bottom w:val="single" w:sz="4" w:space="0" w:color="auto"/>
              <w:right w:val="single" w:sz="4" w:space="0" w:color="auto"/>
            </w:tcBorders>
          </w:tcPr>
          <w:p w14:paraId="7A3C6423" w14:textId="77777777" w:rsidR="00711444" w:rsidRPr="004D0DAA" w:rsidRDefault="00711444" w:rsidP="00AA2A4C">
            <w:pPr>
              <w:pStyle w:val="TAL"/>
              <w:rPr>
                <w:lang w:eastAsia="en-US"/>
              </w:rPr>
            </w:pPr>
            <w:r w:rsidRPr="004D0DAA">
              <w:rPr>
                <w:lang w:eastAsia="en-US"/>
              </w:rPr>
              <w:t>5 s</w:t>
            </w:r>
          </w:p>
        </w:tc>
      </w:tr>
      <w:tr w:rsidR="00711444" w:rsidRPr="004D0DAA" w14:paraId="69F384CD"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531A7DE8" w14:textId="77777777" w:rsidR="00711444" w:rsidRPr="004D0DAA" w:rsidRDefault="00711444" w:rsidP="00AA2A4C">
            <w:pPr>
              <w:pStyle w:val="TAC"/>
              <w:rPr>
                <w:rFonts w:hint="eastAsia"/>
                <w:lang w:eastAsia="en-US"/>
              </w:rPr>
            </w:pPr>
            <w:r w:rsidRPr="004D0DAA">
              <w:rPr>
                <w:rFonts w:hint="eastAsia"/>
                <w:lang w:eastAsia="en-US"/>
              </w:rPr>
              <w:t>T3230</w:t>
            </w:r>
            <w:r w:rsidRPr="004D0DAA">
              <w:rPr>
                <w:lang w:eastAsia="en-US"/>
              </w:rPr>
              <w:t xml:space="preserve"> </w:t>
            </w:r>
            <w:r w:rsidRPr="004D0DAA">
              <w:rPr>
                <w:rFonts w:hint="eastAsia"/>
                <w:lang w:eastAsia="en-US"/>
              </w:rPr>
              <w:t>(per MS)</w:t>
            </w:r>
          </w:p>
        </w:tc>
        <w:tc>
          <w:tcPr>
            <w:tcW w:w="3640" w:type="dxa"/>
            <w:tcBorders>
              <w:top w:val="single" w:sz="4" w:space="0" w:color="auto"/>
              <w:left w:val="single" w:sz="4" w:space="0" w:color="auto"/>
              <w:bottom w:val="single" w:sz="4" w:space="0" w:color="auto"/>
              <w:right w:val="single" w:sz="4" w:space="0" w:color="auto"/>
            </w:tcBorders>
          </w:tcPr>
          <w:p w14:paraId="3A5D1C67" w14:textId="77777777" w:rsidR="00711444" w:rsidRPr="004D0DAA" w:rsidRDefault="00711444" w:rsidP="00AA2A4C">
            <w:pPr>
              <w:pStyle w:val="TAL"/>
              <w:rPr>
                <w:rFonts w:hint="eastAsia"/>
                <w:lang w:eastAsia="en-US"/>
              </w:rPr>
            </w:pPr>
            <w:r w:rsidRPr="004D0DAA">
              <w:rPr>
                <w:rFonts w:hint="eastAsia"/>
                <w:lang w:eastAsia="en-US"/>
              </w:rPr>
              <w:t xml:space="preserve">When </w:t>
            </w:r>
            <w:r w:rsidRPr="004D0DAA">
              <w:rPr>
                <w:lang w:eastAsia="en-US"/>
              </w:rPr>
              <w:t xml:space="preserve">the PACKET </w:t>
            </w:r>
            <w:r w:rsidRPr="004D0DAA">
              <w:rPr>
                <w:rFonts w:hint="eastAsia"/>
                <w:lang w:eastAsia="en-US"/>
              </w:rPr>
              <w:t xml:space="preserve">CELL CHANGE </w:t>
            </w:r>
            <w:r w:rsidRPr="004D0DAA">
              <w:rPr>
                <w:lang w:eastAsia="en-US"/>
              </w:rPr>
              <w:t>ORDER or</w:t>
            </w:r>
            <w:r w:rsidRPr="004D0DAA">
              <w:rPr>
                <w:rFonts w:hint="eastAsia"/>
                <w:lang w:eastAsia="en-US"/>
              </w:rPr>
              <w:t xml:space="preserve"> PACKET MEASUREMENT ORDER</w:t>
            </w:r>
            <w:r w:rsidRPr="004D0DAA">
              <w:rPr>
                <w:lang w:eastAsia="en-US"/>
              </w:rPr>
              <w:t xml:space="preserve"> message containing </w:t>
            </w:r>
            <w:r w:rsidRPr="004D0DAA">
              <w:rPr>
                <w:rFonts w:hint="eastAsia"/>
                <w:lang w:eastAsia="en-US"/>
              </w:rPr>
              <w:t>individual priorities</w:t>
            </w:r>
            <w:r w:rsidRPr="004D0DAA">
              <w:rPr>
                <w:lang w:eastAsia="en-US"/>
              </w:rPr>
              <w:t>, is received.</w:t>
            </w:r>
          </w:p>
        </w:tc>
        <w:tc>
          <w:tcPr>
            <w:tcW w:w="4156" w:type="dxa"/>
            <w:tcBorders>
              <w:top w:val="single" w:sz="4" w:space="0" w:color="auto"/>
              <w:left w:val="single" w:sz="4" w:space="0" w:color="auto"/>
              <w:bottom w:val="single" w:sz="4" w:space="0" w:color="auto"/>
              <w:right w:val="single" w:sz="4" w:space="0" w:color="auto"/>
            </w:tcBorders>
          </w:tcPr>
          <w:p w14:paraId="21175D35" w14:textId="77777777" w:rsidR="00711444" w:rsidRPr="004D0DAA" w:rsidRDefault="00711444" w:rsidP="00AA2A4C">
            <w:pPr>
              <w:pStyle w:val="TAL"/>
              <w:rPr>
                <w:rFonts w:hint="eastAsia"/>
                <w:lang w:eastAsia="zh-CN"/>
              </w:rPr>
            </w:pPr>
            <w:r w:rsidRPr="004D0DAA">
              <w:rPr>
                <w:lang w:eastAsia="en-US"/>
              </w:rPr>
              <w:t>Upon occurrence of one of the conditions specified in subclause 5.5.1.1c.3</w:t>
            </w:r>
            <w:r w:rsidRPr="004D0DAA">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185F802A" w14:textId="77777777" w:rsidR="00711444" w:rsidRPr="004D0DAA" w:rsidRDefault="00711444" w:rsidP="00AA2A4C">
            <w:pPr>
              <w:pStyle w:val="TAL"/>
              <w:rPr>
                <w:rFonts w:hint="eastAsia"/>
                <w:lang w:eastAsia="en-US"/>
              </w:rPr>
            </w:pPr>
            <w:r w:rsidRPr="004D0DAA">
              <w:rPr>
                <w:rFonts w:hint="eastAsia"/>
                <w:lang w:eastAsia="en-US"/>
              </w:rPr>
              <w:t>The MS shall delete the individual priorities value.</w:t>
            </w:r>
          </w:p>
        </w:tc>
        <w:tc>
          <w:tcPr>
            <w:tcW w:w="1558" w:type="dxa"/>
            <w:tcBorders>
              <w:top w:val="single" w:sz="4" w:space="0" w:color="auto"/>
              <w:left w:val="single" w:sz="4" w:space="0" w:color="auto"/>
              <w:bottom w:val="single" w:sz="4" w:space="0" w:color="auto"/>
              <w:right w:val="single" w:sz="4" w:space="0" w:color="auto"/>
            </w:tcBorders>
          </w:tcPr>
          <w:p w14:paraId="22C490CB" w14:textId="77777777" w:rsidR="00711444" w:rsidRPr="004D0DAA" w:rsidRDefault="00711444" w:rsidP="00AA2A4C">
            <w:pPr>
              <w:pStyle w:val="TAL"/>
              <w:rPr>
                <w:lang w:eastAsia="en-US"/>
              </w:rPr>
            </w:pPr>
            <w:r w:rsidRPr="004D0DAA">
              <w:rPr>
                <w:rFonts w:hint="eastAsia"/>
                <w:lang w:eastAsia="zh-CN"/>
              </w:rPr>
              <w:t>A</w:t>
            </w:r>
            <w:r w:rsidRPr="004D0DAA">
              <w:rPr>
                <w:lang w:eastAsia="en-US"/>
              </w:rPr>
              <w:t>ssigned in message</w:t>
            </w:r>
          </w:p>
        </w:tc>
      </w:tr>
      <w:tr w:rsidR="00711444" w:rsidRPr="004D0DAA" w14:paraId="595D6DEF" w14:textId="77777777" w:rsidTr="00AA2A4C">
        <w:tblPrEx>
          <w:tblCellMar>
            <w:top w:w="0" w:type="dxa"/>
            <w:bottom w:w="0" w:type="dxa"/>
          </w:tblCellMar>
        </w:tblPrEx>
        <w:trPr>
          <w:cantSplit/>
          <w:jc w:val="center"/>
        </w:trPr>
        <w:tc>
          <w:tcPr>
            <w:tcW w:w="879" w:type="dxa"/>
            <w:tcBorders>
              <w:top w:val="single" w:sz="4" w:space="0" w:color="auto"/>
              <w:left w:val="single" w:sz="4" w:space="0" w:color="auto"/>
              <w:bottom w:val="single" w:sz="4" w:space="0" w:color="auto"/>
              <w:right w:val="single" w:sz="4" w:space="0" w:color="auto"/>
            </w:tcBorders>
          </w:tcPr>
          <w:p w14:paraId="3E3A8A22" w14:textId="77777777" w:rsidR="00711444" w:rsidRPr="004D0DAA" w:rsidRDefault="00711444" w:rsidP="00AA2A4C">
            <w:pPr>
              <w:pStyle w:val="TAC"/>
              <w:rPr>
                <w:lang w:eastAsia="en-US"/>
              </w:rPr>
            </w:pPr>
            <w:r w:rsidRPr="004D0DAA">
              <w:rPr>
                <w:lang w:eastAsia="en-US"/>
              </w:rPr>
              <w:lastRenderedPageBreak/>
              <w:t>T3232 (per MS)</w:t>
            </w:r>
          </w:p>
        </w:tc>
        <w:tc>
          <w:tcPr>
            <w:tcW w:w="3640" w:type="dxa"/>
            <w:tcBorders>
              <w:top w:val="single" w:sz="4" w:space="0" w:color="auto"/>
              <w:left w:val="single" w:sz="4" w:space="0" w:color="auto"/>
              <w:bottom w:val="single" w:sz="4" w:space="0" w:color="auto"/>
              <w:right w:val="single" w:sz="4" w:space="0" w:color="auto"/>
            </w:tcBorders>
          </w:tcPr>
          <w:p w14:paraId="66D21623" w14:textId="77777777" w:rsidR="00711444" w:rsidRPr="004D0DAA" w:rsidRDefault="00711444" w:rsidP="00AA2A4C">
            <w:pPr>
              <w:pStyle w:val="TAL"/>
              <w:rPr>
                <w:lang w:eastAsia="en-US"/>
              </w:rPr>
            </w:pPr>
            <w:r w:rsidRPr="004D0DAA">
              <w:rPr>
                <w:lang w:eastAsia="en-US"/>
              </w:rPr>
              <w:t>At reception of a PACKET PAGING REQUEST message on the PPCH carrying a segment of an ETWS Primary Notification message.</w:t>
            </w:r>
          </w:p>
        </w:tc>
        <w:tc>
          <w:tcPr>
            <w:tcW w:w="4156" w:type="dxa"/>
            <w:tcBorders>
              <w:top w:val="single" w:sz="4" w:space="0" w:color="auto"/>
              <w:left w:val="single" w:sz="4" w:space="0" w:color="auto"/>
              <w:bottom w:val="single" w:sz="4" w:space="0" w:color="auto"/>
              <w:right w:val="single" w:sz="4" w:space="0" w:color="auto"/>
            </w:tcBorders>
          </w:tcPr>
          <w:p w14:paraId="24A82A1D" w14:textId="77777777" w:rsidR="00711444" w:rsidRPr="004D0DAA" w:rsidRDefault="00711444" w:rsidP="00AA2A4C">
            <w:pPr>
              <w:pStyle w:val="TAL"/>
              <w:rPr>
                <w:lang w:eastAsia="en-US"/>
              </w:rPr>
            </w:pPr>
            <w:r w:rsidRPr="004D0DAA">
              <w:rPr>
                <w:lang w:eastAsia="en-US"/>
              </w:rPr>
              <w:t>At reception of the complete ETWS Primary Notification message or upon initiating cell reselection or connection establishment procedures.</w:t>
            </w:r>
          </w:p>
          <w:p w14:paraId="62645580" w14:textId="77777777" w:rsidR="00711444" w:rsidRPr="004D0DAA" w:rsidRDefault="00711444" w:rsidP="00AA2A4C"/>
        </w:tc>
        <w:tc>
          <w:tcPr>
            <w:tcW w:w="4111" w:type="dxa"/>
            <w:tcBorders>
              <w:top w:val="single" w:sz="4" w:space="0" w:color="auto"/>
              <w:left w:val="single" w:sz="4" w:space="0" w:color="auto"/>
              <w:bottom w:val="single" w:sz="4" w:space="0" w:color="auto"/>
              <w:right w:val="single" w:sz="4" w:space="0" w:color="auto"/>
            </w:tcBorders>
          </w:tcPr>
          <w:p w14:paraId="3E310DD4" w14:textId="77777777" w:rsidR="00711444" w:rsidRPr="004D0DAA" w:rsidRDefault="00711444" w:rsidP="00AA2A4C">
            <w:pPr>
              <w:pStyle w:val="TAL"/>
              <w:rPr>
                <w:lang w:eastAsia="en-US"/>
              </w:rPr>
            </w:pPr>
            <w:r w:rsidRPr="004D0DAA">
              <w:rPr>
                <w:lang w:eastAsia="en-US"/>
              </w:rPr>
              <w:t>The mobile station shall enter DRX mode.</w:t>
            </w:r>
          </w:p>
        </w:tc>
        <w:tc>
          <w:tcPr>
            <w:tcW w:w="1558" w:type="dxa"/>
            <w:tcBorders>
              <w:top w:val="single" w:sz="4" w:space="0" w:color="auto"/>
              <w:left w:val="single" w:sz="4" w:space="0" w:color="auto"/>
              <w:bottom w:val="single" w:sz="4" w:space="0" w:color="auto"/>
              <w:right w:val="single" w:sz="4" w:space="0" w:color="auto"/>
            </w:tcBorders>
          </w:tcPr>
          <w:p w14:paraId="7AEC614B" w14:textId="77777777" w:rsidR="00711444" w:rsidRPr="004D0DAA" w:rsidRDefault="00711444" w:rsidP="00AA2A4C">
            <w:pPr>
              <w:pStyle w:val="TAL"/>
              <w:rPr>
                <w:lang w:eastAsia="zh-CN"/>
              </w:rPr>
            </w:pPr>
            <w:r w:rsidRPr="004D0DAA">
              <w:rPr>
                <w:lang w:eastAsia="zh-CN"/>
              </w:rPr>
              <w:t>5 s</w:t>
            </w:r>
          </w:p>
        </w:tc>
      </w:tr>
      <w:tr w:rsidR="00711444" w:rsidRPr="004D0DAA" w14:paraId="2E7E846D" w14:textId="77777777" w:rsidTr="00AA2A4C">
        <w:tblPrEx>
          <w:tblCellMar>
            <w:top w:w="0" w:type="dxa"/>
            <w:bottom w:w="0" w:type="dxa"/>
          </w:tblCellMar>
        </w:tblPrEx>
        <w:trPr>
          <w:cantSplit/>
          <w:jc w:val="center"/>
        </w:trPr>
        <w:tc>
          <w:tcPr>
            <w:tcW w:w="14344" w:type="dxa"/>
            <w:gridSpan w:val="5"/>
            <w:tcBorders>
              <w:top w:val="single" w:sz="4" w:space="0" w:color="auto"/>
              <w:left w:val="single" w:sz="4" w:space="0" w:color="auto"/>
              <w:bottom w:val="single" w:sz="4" w:space="0" w:color="auto"/>
              <w:right w:val="single" w:sz="4" w:space="0" w:color="auto"/>
            </w:tcBorders>
          </w:tcPr>
          <w:p w14:paraId="704F550B" w14:textId="77777777" w:rsidR="00711444" w:rsidRPr="004D0DAA" w:rsidRDefault="00711444" w:rsidP="00AA2A4C">
            <w:pPr>
              <w:pStyle w:val="TAN"/>
              <w:rPr>
                <w:lang w:eastAsia="en-US"/>
              </w:rPr>
            </w:pPr>
            <w:r w:rsidRPr="004D0DAA">
              <w:rPr>
                <w:lang w:eastAsia="en-US"/>
              </w:rPr>
              <w:t xml:space="preserve">NOTE 1: </w:t>
            </w:r>
            <w:r w:rsidRPr="004D0DAA">
              <w:rPr>
                <w:lang w:eastAsia="en-US"/>
              </w:rPr>
              <w:tab/>
              <w:t>Timer per RLC entity if EMST is used.</w:t>
            </w:r>
          </w:p>
        </w:tc>
      </w:tr>
    </w:tbl>
    <w:p w14:paraId="46AB2622" w14:textId="77777777" w:rsidR="00711444" w:rsidRPr="004D0DAA" w:rsidRDefault="00711444" w:rsidP="00711444"/>
    <w:p w14:paraId="2EE2CCB4" w14:textId="77777777" w:rsidR="00711444" w:rsidRPr="004D0DAA" w:rsidRDefault="00711444" w:rsidP="00711444">
      <w:pPr>
        <w:pStyle w:val="EX"/>
        <w:keepLines w:val="0"/>
        <w:ind w:left="1699" w:hanging="1411"/>
      </w:pPr>
      <w:r w:rsidRPr="004D0DAA">
        <w:rPr>
          <w:b/>
        </w:rPr>
        <w:t>T3158</w:t>
      </w:r>
      <w:r w:rsidRPr="004D0DAA">
        <w:t>:</w:t>
      </w:r>
      <w:r w:rsidRPr="004D0DAA">
        <w:tab/>
        <w:t>Wait for sending measurement reports for network controlled cell reselection.</w:t>
      </w:r>
    </w:p>
    <w:p w14:paraId="4DD3F3E0" w14:textId="77777777" w:rsidR="00711444" w:rsidRPr="004D0DAA" w:rsidRDefault="00711444" w:rsidP="00711444">
      <w:pPr>
        <w:pStyle w:val="EX"/>
        <w:keepLines w:val="0"/>
        <w:ind w:firstLine="0"/>
      </w:pPr>
      <w:r w:rsidRPr="004D0DAA">
        <w:t xml:space="preserve">This timer is used on the mobile station side to define the period for performing NC-measurements and send measurement reports in either packet idle or packet transfer mode in </w:t>
      </w:r>
      <w:r w:rsidRPr="004D0DAA">
        <w:rPr>
          <w:i/>
          <w:iCs/>
        </w:rPr>
        <w:t>A/Gb mode</w:t>
      </w:r>
      <w:r w:rsidRPr="004D0DAA">
        <w:t xml:space="preserve"> and MAC-Idle or MAC-Shared state in </w:t>
      </w:r>
      <w:r w:rsidRPr="004D0DAA">
        <w:rPr>
          <w:i/>
          <w:iCs/>
        </w:rPr>
        <w:t>Iu mode</w:t>
      </w:r>
      <w:r w:rsidRPr="004D0DAA">
        <w:t xml:space="preserve"> (see 3GPP TS 45.008).</w:t>
      </w:r>
    </w:p>
    <w:p w14:paraId="573FB416" w14:textId="77777777" w:rsidR="00711444" w:rsidRPr="004D0DAA" w:rsidRDefault="00711444" w:rsidP="00711444">
      <w:pPr>
        <w:pStyle w:val="EX"/>
        <w:keepLines w:val="0"/>
        <w:ind w:left="1699" w:hanging="1411"/>
      </w:pPr>
      <w:r w:rsidRPr="004D0DAA">
        <w:rPr>
          <w:b/>
        </w:rPr>
        <w:t>T3162:</w:t>
      </w:r>
      <w:r w:rsidRPr="004D0DAA">
        <w:tab/>
        <w:t xml:space="preserve">Wait for Packet Uplink Assignment after reception of Packet Queuing Notification </w:t>
      </w:r>
    </w:p>
    <w:p w14:paraId="41EC966B" w14:textId="77777777" w:rsidR="00711444" w:rsidRPr="004D0DAA" w:rsidRDefault="00711444" w:rsidP="00711444">
      <w:pPr>
        <w:pStyle w:val="EX"/>
        <w:keepLines w:val="0"/>
        <w:ind w:firstLine="0"/>
      </w:pPr>
      <w:r w:rsidRPr="004D0DAA">
        <w:t>This timer is used on the mobile station side after received Packet Queuing Notification to define when to stop waiting for a Packet Uplink Assignment.</w:t>
      </w:r>
    </w:p>
    <w:p w14:paraId="2C536C53" w14:textId="77777777" w:rsidR="00711444" w:rsidRPr="004D0DAA" w:rsidRDefault="00711444" w:rsidP="00711444">
      <w:pPr>
        <w:pStyle w:val="EX"/>
        <w:keepLines w:val="0"/>
        <w:ind w:left="1699" w:hanging="1411"/>
      </w:pPr>
      <w:r w:rsidRPr="004D0DAA">
        <w:rPr>
          <w:b/>
        </w:rPr>
        <w:t>T3164:</w:t>
      </w:r>
      <w:r w:rsidRPr="004D0DAA">
        <w:tab/>
        <w:t>Wait for Uplink State Flag After Assignment</w:t>
      </w:r>
    </w:p>
    <w:p w14:paraId="176F83BF" w14:textId="77777777" w:rsidR="00711444" w:rsidRPr="004D0DAA" w:rsidRDefault="00711444" w:rsidP="00711444">
      <w:pPr>
        <w:pStyle w:val="EX"/>
        <w:keepLines w:val="0"/>
        <w:ind w:firstLine="0"/>
      </w:pPr>
      <w:r w:rsidRPr="004D0DAA">
        <w:t>This timer is used on the mobile station side to define when to stop waiting for the USF determining the assigned portion of the uplink channel and repeat the procedure for random access. In multislot operation, it is enough that the assigned USF is noted on one of the uplink PDCHs.</w:t>
      </w:r>
    </w:p>
    <w:p w14:paraId="2C1DF6D4" w14:textId="77777777" w:rsidR="00711444" w:rsidRPr="004D0DAA" w:rsidRDefault="00711444" w:rsidP="00711444">
      <w:pPr>
        <w:pStyle w:val="EX"/>
        <w:keepLines w:val="0"/>
        <w:ind w:left="1699" w:hanging="1411"/>
      </w:pPr>
      <w:r w:rsidRPr="004D0DAA">
        <w:rPr>
          <w:b/>
        </w:rPr>
        <w:t>T3166:</w:t>
      </w:r>
      <w:r w:rsidRPr="004D0DAA">
        <w:tab/>
        <w:t>Wait for Packet Uplink ACK/NACK after sending of first data block</w:t>
      </w:r>
    </w:p>
    <w:p w14:paraId="1492DE96" w14:textId="77777777" w:rsidR="00711444" w:rsidRPr="004D0DAA" w:rsidRDefault="00711444" w:rsidP="00711444">
      <w:pPr>
        <w:pStyle w:val="EX"/>
        <w:keepLines w:val="0"/>
        <w:ind w:firstLine="0"/>
      </w:pPr>
      <w:r w:rsidRPr="004D0DAA">
        <w:t>This timer is used on the mobile station side to define when to stop waiting for a Packet Uplink ACK/NACK after sending of the first data block.</w:t>
      </w:r>
    </w:p>
    <w:p w14:paraId="6171E37A" w14:textId="77777777" w:rsidR="00711444" w:rsidRPr="004D0DAA" w:rsidRDefault="00711444" w:rsidP="00711444">
      <w:pPr>
        <w:pStyle w:val="EX"/>
        <w:keepLines w:val="0"/>
        <w:ind w:left="1699" w:hanging="1411"/>
      </w:pPr>
      <w:r w:rsidRPr="004D0DAA">
        <w:rPr>
          <w:b/>
        </w:rPr>
        <w:t>T3168:</w:t>
      </w:r>
      <w:r w:rsidRPr="004D0DAA">
        <w:tab/>
        <w:t>Wait for PACKET UPLINK ASSIGNMENT, EC PACKET UPLINK ASSIGNMENT,</w:t>
      </w:r>
      <w:r w:rsidRPr="004D0DAA">
        <w:rPr>
          <w:caps/>
        </w:rPr>
        <w:t xml:space="preserve"> Multiple TBF Uplink Assignment, </w:t>
      </w:r>
      <w:r w:rsidRPr="004D0DAA">
        <w:t>PACKET TIMESLOT RECONFIGURE or a MULTIPLE TBF TIMESLOT RECONFIGURE message</w:t>
      </w:r>
    </w:p>
    <w:p w14:paraId="6930A7FE" w14:textId="77777777" w:rsidR="00711444" w:rsidRPr="004D0DAA" w:rsidRDefault="00711444" w:rsidP="00711444">
      <w:pPr>
        <w:pStyle w:val="EX"/>
        <w:keepLines w:val="0"/>
        <w:ind w:firstLine="0"/>
      </w:pPr>
      <w:r w:rsidRPr="004D0DAA">
        <w:t xml:space="preserve">This timer is used on the mobile station side to define when to stop waiting for a </w:t>
      </w:r>
      <w:r w:rsidRPr="004D0DAA">
        <w:rPr>
          <w:caps/>
        </w:rPr>
        <w:t>Packet Uplink Assignment,</w:t>
      </w:r>
      <w:r w:rsidRPr="004D0DAA">
        <w:t xml:space="preserve"> EC PACKET UPLINK ASSIGNMENT, </w:t>
      </w:r>
      <w:r w:rsidRPr="004D0DAA">
        <w:rPr>
          <w:caps/>
        </w:rPr>
        <w:t>Multiple TBF Uplink Assignment,</w:t>
      </w:r>
      <w:r w:rsidRPr="004D0DAA">
        <w:t xml:space="preserve"> PACKET TIMESLOT RECONFIGURE or a MULTIPLE TBF TIMESLOT RECONFIGURE message after sending of a </w:t>
      </w:r>
      <w:r w:rsidRPr="004D0DAA">
        <w:rPr>
          <w:caps/>
        </w:rPr>
        <w:t>Packet Resource request</w:t>
      </w:r>
      <w:r w:rsidRPr="004D0DAA">
        <w:t xml:space="preserve"> message, a PACKET DOWNLINK ACK/NACK message, an EC PACKET DOWNLINK ACK/NACK or EC PACKET DOWNLINK ACK/NACK  HIGHER CC message or a PACKET CONTROL ACKNOWLEDGEMENT message requesting new TBF.</w:t>
      </w:r>
    </w:p>
    <w:p w14:paraId="0AA9B1F7" w14:textId="77777777" w:rsidR="00711444" w:rsidRPr="004D0DAA" w:rsidRDefault="00711444" w:rsidP="00711444">
      <w:pPr>
        <w:pStyle w:val="EX"/>
        <w:keepLines w:val="0"/>
        <w:ind w:left="1699" w:hanging="1411"/>
      </w:pPr>
      <w:r w:rsidRPr="004D0DAA">
        <w:rPr>
          <w:b/>
        </w:rPr>
        <w:t>T3170</w:t>
      </w:r>
      <w:r w:rsidRPr="004D0DAA">
        <w:t>:</w:t>
      </w:r>
      <w:r w:rsidRPr="004D0DAA">
        <w:tab/>
        <w:t xml:space="preserve">Wait for </w:t>
      </w:r>
      <w:r w:rsidRPr="004D0DAA">
        <w:rPr>
          <w:caps/>
        </w:rPr>
        <w:t xml:space="preserve">Packet Uplink Assignment </w:t>
      </w:r>
      <w:r w:rsidRPr="004D0DAA">
        <w:t>message</w:t>
      </w:r>
      <w:r w:rsidRPr="004D0DAA">
        <w:rPr>
          <w:caps/>
        </w:rPr>
        <w:t xml:space="preserve"> </w:t>
      </w:r>
      <w:r w:rsidRPr="004D0DAA">
        <w:t>after having done (M+1) Packet Channel Requests or after reception of a PACKET ACCESS REJECT message.</w:t>
      </w:r>
    </w:p>
    <w:p w14:paraId="2B1CF96B" w14:textId="77777777" w:rsidR="00711444" w:rsidRPr="004D0DAA" w:rsidRDefault="00711444" w:rsidP="00711444">
      <w:pPr>
        <w:pStyle w:val="EX"/>
        <w:keepLines w:val="0"/>
        <w:ind w:firstLine="0"/>
        <w:rPr>
          <w:lang w:eastAsia="ko-KR"/>
        </w:rPr>
      </w:pPr>
      <w:r w:rsidRPr="004D0DAA">
        <w:t xml:space="preserve">This timer is used on the mobile station side when having made M + 1 attempts to send a </w:t>
      </w:r>
      <w:r w:rsidRPr="004D0DAA">
        <w:rPr>
          <w:caps/>
        </w:rPr>
        <w:t>Packet Channel Request</w:t>
      </w:r>
      <w:r w:rsidRPr="004D0DAA">
        <w:t xml:space="preserve"> or EGPRS </w:t>
      </w:r>
      <w:r w:rsidRPr="004D0DAA">
        <w:rPr>
          <w:caps/>
        </w:rPr>
        <w:t>Packet Channel Request</w:t>
      </w:r>
      <w:r w:rsidRPr="004D0DAA">
        <w:t xml:space="preserve"> or MPRACH PACKET CHANNEL REQUEST message (if at least one message was transmitted by the mobile station) or after reception of a PACKET ACCESS REJECT message. At expiry of timer T3170</w:t>
      </w:r>
      <w:r w:rsidRPr="004D0DAA">
        <w:rPr>
          <w:lang w:eastAsia="ko-KR"/>
        </w:rPr>
        <w:t xml:space="preserve"> when having made M+1 attempts to send a PACKET CHANNEL REQUEST or </w:t>
      </w:r>
      <w:r w:rsidRPr="004D0DAA">
        <w:t xml:space="preserve">EGPRS </w:t>
      </w:r>
      <w:r w:rsidRPr="004D0DAA">
        <w:rPr>
          <w:caps/>
        </w:rPr>
        <w:t>Packet Channel Request</w:t>
      </w:r>
      <w:r w:rsidRPr="004D0DAA">
        <w:t xml:space="preserve"> or </w:t>
      </w:r>
      <w:r w:rsidRPr="004D0DAA">
        <w:rPr>
          <w:lang w:eastAsia="ko-KR"/>
        </w:rPr>
        <w:t>MPRACH PACKET CHANNEL REQUEST message</w:t>
      </w:r>
      <w:r w:rsidRPr="004D0DAA">
        <w:t>, the mobile station shall abort the packet access procedure, indicate a random access failure to upper layers and perform autonomous cell re-selection according to 3GPP TS 43.022.</w:t>
      </w:r>
      <w:r w:rsidRPr="004D0DAA">
        <w:rPr>
          <w:lang w:eastAsia="ko-KR"/>
        </w:rPr>
        <w:t xml:space="preserve"> At expiry of </w:t>
      </w:r>
      <w:r w:rsidRPr="004D0DAA">
        <w:rPr>
          <w:lang w:eastAsia="ko-KR"/>
        </w:rPr>
        <w:lastRenderedPageBreak/>
        <w:t>timer T3170 after receiving a PACKET ACCESS REJECT message, the mobile station shall abort the packet access procedure, indicate a packet access failure to upper layers and return to packet idle mode or MAC-Idle state.</w:t>
      </w:r>
    </w:p>
    <w:p w14:paraId="1199498D" w14:textId="77777777" w:rsidR="00711444" w:rsidRPr="004D0DAA" w:rsidRDefault="00711444" w:rsidP="00711444">
      <w:pPr>
        <w:pStyle w:val="EX"/>
        <w:keepLines w:val="0"/>
        <w:ind w:firstLine="0"/>
      </w:pPr>
      <w:r w:rsidRPr="004D0DAA">
        <w:t>The value of this timer is equal to the time taken by T+2S TDMA frames, T and S are defined in sub-clause 7.1.2.1.1.</w:t>
      </w:r>
    </w:p>
    <w:p w14:paraId="40A76B3B" w14:textId="77777777" w:rsidR="00711444" w:rsidRPr="004D0DAA" w:rsidRDefault="00711444" w:rsidP="00711444">
      <w:pPr>
        <w:pStyle w:val="EX"/>
        <w:keepLines w:val="0"/>
        <w:ind w:left="1699" w:hanging="1411"/>
      </w:pPr>
      <w:r w:rsidRPr="004D0DAA">
        <w:rPr>
          <w:b/>
        </w:rPr>
        <w:t>T3172:</w:t>
      </w:r>
      <w:r w:rsidRPr="004D0DAA">
        <w:tab/>
        <w:t xml:space="preserve">Prohibit packet access in the cell after (EC) </w:t>
      </w:r>
      <w:r w:rsidRPr="004D0DAA">
        <w:rPr>
          <w:caps/>
        </w:rPr>
        <w:t>Packet Access Reject</w:t>
      </w:r>
      <w:r w:rsidRPr="004D0DAA">
        <w:t xml:space="preserve"> message has been received.</w:t>
      </w:r>
    </w:p>
    <w:p w14:paraId="71C99B6F" w14:textId="77777777" w:rsidR="00711444" w:rsidRPr="004D0DAA" w:rsidRDefault="00711444" w:rsidP="00711444">
      <w:pPr>
        <w:pStyle w:val="EX"/>
        <w:keepLines w:val="0"/>
        <w:ind w:firstLine="0"/>
      </w:pPr>
      <w:r w:rsidRPr="004D0DAA">
        <w:t xml:space="preserve">This timer is used on the mobile station side on receipt of a </w:t>
      </w:r>
      <w:r w:rsidRPr="004D0DAA">
        <w:rPr>
          <w:caps/>
        </w:rPr>
        <w:t>Packet Access Reject</w:t>
      </w:r>
      <w:r w:rsidRPr="004D0DAA">
        <w:t xml:space="preserve"> message corresponding to one of the mobile station's 3 last </w:t>
      </w:r>
      <w:r w:rsidRPr="004D0DAA">
        <w:rPr>
          <w:caps/>
        </w:rPr>
        <w:t>Packet Channel Request</w:t>
      </w:r>
      <w:r w:rsidRPr="004D0DAA">
        <w:t xml:space="preserve"> messages. If T3172 expires before receiving an assignment message, the mobile station returns to packet idle mode or MAC-Idle state.</w:t>
      </w:r>
    </w:p>
    <w:p w14:paraId="5E5CEBD5" w14:textId="77777777" w:rsidR="00711444" w:rsidRPr="004D0DAA" w:rsidRDefault="00711444" w:rsidP="00711444">
      <w:pPr>
        <w:pStyle w:val="EX"/>
        <w:keepLines w:val="0"/>
        <w:ind w:firstLine="0"/>
      </w:pPr>
      <w:r w:rsidRPr="004D0DAA">
        <w:t xml:space="preserve">After T3172 expiry packet Access is no longer prohibited in the cell but no Channel Request message shall be sent as a response to a page until a </w:t>
      </w:r>
      <w:r w:rsidRPr="004D0DAA">
        <w:rPr>
          <w:caps/>
        </w:rPr>
        <w:t>Paging Request</w:t>
      </w:r>
      <w:r w:rsidRPr="004D0DAA">
        <w:t xml:space="preserve"> message for the mobile station is received.</w:t>
      </w:r>
    </w:p>
    <w:p w14:paraId="2DD0239F" w14:textId="77777777" w:rsidR="00711444" w:rsidRPr="004D0DAA" w:rsidRDefault="00711444" w:rsidP="00711444">
      <w:pPr>
        <w:pStyle w:val="EX"/>
        <w:keepLines w:val="0"/>
        <w:ind w:left="1699" w:hanging="1411"/>
      </w:pPr>
      <w:r w:rsidRPr="004D0DAA">
        <w:rPr>
          <w:b/>
        </w:rPr>
        <w:t>T3174:</w:t>
      </w:r>
      <w:r w:rsidRPr="004D0DAA">
        <w:tab/>
        <w:t>Wait for successful packet access in new cell after Packet Cell Change Order.</w:t>
      </w:r>
    </w:p>
    <w:p w14:paraId="24F34B0D" w14:textId="77777777" w:rsidR="00711444" w:rsidRPr="004D0DAA" w:rsidRDefault="00711444" w:rsidP="00711444">
      <w:pPr>
        <w:pStyle w:val="EX"/>
        <w:keepLines w:val="0"/>
        <w:ind w:firstLine="0"/>
      </w:pPr>
      <w:r w:rsidRPr="004D0DAA">
        <w:t>This timer is used on the mobile station side on receipt of a PACKET CELL CHANGE ORDER message. The timer is stopped upon successful completion of packet access in the new cell. On expiry, the mobile station returns to the old cell, performs cell update (or other GMM specific procedure) and sends PACKET CELL CHANGE FAILURE message.</w:t>
      </w:r>
    </w:p>
    <w:p w14:paraId="249305B8" w14:textId="77777777" w:rsidR="00711444" w:rsidRPr="004D0DAA" w:rsidRDefault="00711444" w:rsidP="00711444">
      <w:pPr>
        <w:pStyle w:val="EX"/>
        <w:keepLines w:val="0"/>
        <w:ind w:left="1699" w:hanging="1411"/>
      </w:pPr>
      <w:r w:rsidRPr="004D0DAA">
        <w:rPr>
          <w:b/>
        </w:rPr>
        <w:t>T3176:</w:t>
      </w:r>
      <w:r w:rsidRPr="004D0DAA">
        <w:tab/>
        <w:t>Stop handling of abnormal condition in the network controlled cell reselection procedure.</w:t>
      </w:r>
    </w:p>
    <w:p w14:paraId="374F2F13" w14:textId="77777777" w:rsidR="00711444" w:rsidRPr="004D0DAA" w:rsidRDefault="00711444" w:rsidP="00711444">
      <w:pPr>
        <w:pStyle w:val="EX"/>
        <w:keepLines w:val="0"/>
        <w:ind w:firstLine="0"/>
      </w:pPr>
      <w:r w:rsidRPr="004D0DAA">
        <w:t>This timer is started when T3174 expires or another abnormal condition occurs in the network controlled cell reselection procedure. The timer is stopped upon transmission of the PACKET CELL CHANGE FAILURE message. On expiry, the mobile station stops handling of abnormal condition in the network controlled cell reselection procedure.</w:t>
      </w:r>
    </w:p>
    <w:p w14:paraId="73CDAD76" w14:textId="77777777" w:rsidR="00711444" w:rsidRPr="004D0DAA" w:rsidRDefault="00711444" w:rsidP="00711444">
      <w:pPr>
        <w:pStyle w:val="EX"/>
        <w:keepLines w:val="0"/>
        <w:ind w:left="1699" w:hanging="1411"/>
      </w:pPr>
      <w:r w:rsidRPr="004D0DAA">
        <w:rPr>
          <w:b/>
        </w:rPr>
        <w:t>T3180:</w:t>
      </w:r>
      <w:r w:rsidRPr="004D0DAA">
        <w:tab/>
        <w:t>Wait for Uplink State Flag After Data Block</w:t>
      </w:r>
    </w:p>
    <w:p w14:paraId="34848599" w14:textId="77777777" w:rsidR="00711444" w:rsidRPr="004D0DAA" w:rsidRDefault="00711444" w:rsidP="00711444">
      <w:pPr>
        <w:pStyle w:val="EX"/>
        <w:keepLines w:val="0"/>
        <w:ind w:firstLine="0"/>
      </w:pPr>
      <w:r w:rsidRPr="004D0DAA">
        <w:t>This timer is used on the mobile station side to define when to stop waiting for the USF determining the assigned portion of the uplink channel after the previous RLC/MAC block is sent. In multislot operation, it is enough that the assigned USF is noted on one of the uplink PDCHs. If expired, the mobile station repeats the procedure for random access if there are no remaining TBFs. If it expires and there are one or more remaining TBFs the MS may reattempt the establishment of the corresponding uplink TBF.</w:t>
      </w:r>
    </w:p>
    <w:p w14:paraId="5B0610A1" w14:textId="77777777" w:rsidR="00711444" w:rsidRPr="004D0DAA" w:rsidRDefault="00711444" w:rsidP="00711444">
      <w:pPr>
        <w:pStyle w:val="EX"/>
        <w:keepLines w:val="0"/>
        <w:ind w:left="1699" w:hanging="1411"/>
      </w:pPr>
      <w:r w:rsidRPr="004D0DAA">
        <w:rPr>
          <w:b/>
        </w:rPr>
        <w:t>T3182:</w:t>
      </w:r>
      <w:r w:rsidRPr="004D0DAA">
        <w:tab/>
        <w:t>Wait for Acknowledgement</w:t>
      </w:r>
    </w:p>
    <w:p w14:paraId="12B8C65C" w14:textId="77777777" w:rsidR="00711444" w:rsidRPr="004D0DAA" w:rsidRDefault="00711444" w:rsidP="00711444">
      <w:pPr>
        <w:pStyle w:val="EX"/>
        <w:keepLines w:val="0"/>
        <w:ind w:firstLine="0"/>
      </w:pPr>
      <w:r w:rsidRPr="004D0DAA">
        <w:t>This timer is used on the mobile station side to define when to stop waiting for temporary Packet Uplink Ack/Nack after the last RLC data block has been sent for the current send window or for the entire Temporary Block Flow.</w:t>
      </w:r>
    </w:p>
    <w:p w14:paraId="559E710A" w14:textId="77777777" w:rsidR="00711444" w:rsidRPr="004D0DAA" w:rsidRDefault="00711444" w:rsidP="00711444">
      <w:pPr>
        <w:pStyle w:val="EX"/>
        <w:keepLines w:val="0"/>
        <w:ind w:left="1699" w:hanging="1411"/>
      </w:pPr>
      <w:r w:rsidRPr="004D0DAA">
        <w:rPr>
          <w:b/>
        </w:rPr>
        <w:t>T3184:</w:t>
      </w:r>
      <w:r w:rsidRPr="004D0DAA">
        <w:tab/>
        <w:t>No Ack/Nack Received</w:t>
      </w:r>
    </w:p>
    <w:p w14:paraId="3A63809F" w14:textId="77777777" w:rsidR="00711444" w:rsidRPr="004D0DAA" w:rsidRDefault="00711444" w:rsidP="00711444">
      <w:pPr>
        <w:pStyle w:val="EX"/>
        <w:keepLines w:val="0"/>
        <w:ind w:firstLine="0"/>
      </w:pPr>
      <w:r w:rsidRPr="004D0DAA">
        <w:t>At exclusive allocation, this timer is used to detect a radio link failure condition. If expired, the mobile station performs an abnormal release with access retry.</w:t>
      </w:r>
    </w:p>
    <w:p w14:paraId="164A347F" w14:textId="77777777" w:rsidR="00711444" w:rsidRPr="004D0DAA" w:rsidRDefault="00711444" w:rsidP="00711444">
      <w:pPr>
        <w:pStyle w:val="EX"/>
        <w:keepLines w:val="0"/>
        <w:ind w:left="1699" w:hanging="1411"/>
      </w:pPr>
      <w:r w:rsidRPr="004D0DAA">
        <w:rPr>
          <w:b/>
        </w:rPr>
        <w:t>T3186:</w:t>
      </w:r>
      <w:r w:rsidRPr="004D0DAA">
        <w:tab/>
        <w:t>Supervision of the random access procedure</w:t>
      </w:r>
    </w:p>
    <w:p w14:paraId="37CCB2B8" w14:textId="77777777" w:rsidR="00711444" w:rsidRPr="004D0DAA" w:rsidRDefault="00711444" w:rsidP="00711444">
      <w:pPr>
        <w:pStyle w:val="EX"/>
        <w:keepLines w:val="0"/>
        <w:ind w:firstLine="0"/>
        <w:rPr>
          <w:lang w:eastAsia="ko-KR"/>
        </w:rPr>
      </w:pPr>
      <w:r w:rsidRPr="004D0DAA">
        <w:lastRenderedPageBreak/>
        <w:t xml:space="preserve">This timer is used on the mobile station side to define the maximum allowed time to repeat the sending of all PACKET CHANNEL REQUEST or EGPRS PACKET CHANNEL REQUEST or MPRACH PACKET CHANNEL REQUEST messages. At expiry of timer T3186, the mobile station shall abort the packet access procedure. If at least one message was transmitted by the mobile station, it shall indicate a random access failure to upper layers and perform autonomous cell re-selection according to 3GPP TS 43.022; otherwise, it shall indicate a packet access failure to upper layers and return to packet idle mode or MAC-Idle state. </w:t>
      </w:r>
    </w:p>
    <w:p w14:paraId="42F11ABB" w14:textId="77777777" w:rsidR="00711444" w:rsidRPr="004D0DAA" w:rsidRDefault="00711444" w:rsidP="00711444">
      <w:pPr>
        <w:pStyle w:val="EX"/>
        <w:keepLines w:val="0"/>
        <w:ind w:left="1699" w:hanging="1411"/>
      </w:pPr>
      <w:r w:rsidRPr="004D0DAA">
        <w:rPr>
          <w:b/>
        </w:rPr>
        <w:t>T3188:</w:t>
      </w:r>
      <w:r w:rsidRPr="004D0DAA">
        <w:rPr>
          <w:b/>
        </w:rPr>
        <w:tab/>
      </w:r>
      <w:r w:rsidRPr="004D0DAA">
        <w:t xml:space="preserve">This timer is used by a mobile station that supports multiple TBF procedures to define when to stop waiting for a MULTIPLE TBF UPLINK ASSIGNMENT message after sending a </w:t>
      </w:r>
      <w:r w:rsidRPr="004D0DAA">
        <w:rPr>
          <w:caps/>
        </w:rPr>
        <w:t>Packet Resource request</w:t>
      </w:r>
      <w:r w:rsidRPr="004D0DAA">
        <w:t xml:space="preserve"> message during a two-phase access that requests two or more uplink TBFs.</w:t>
      </w:r>
    </w:p>
    <w:p w14:paraId="369B4243" w14:textId="77777777" w:rsidR="00711444" w:rsidRPr="004D0DAA" w:rsidRDefault="00711444" w:rsidP="00711444">
      <w:pPr>
        <w:pStyle w:val="EX"/>
        <w:keepLines w:val="0"/>
        <w:ind w:left="1699" w:hanging="1411"/>
      </w:pPr>
      <w:r w:rsidRPr="004D0DAA">
        <w:rPr>
          <w:b/>
        </w:rPr>
        <w:t>T3190</w:t>
      </w:r>
      <w:r w:rsidRPr="004D0DAA">
        <w:t>:</w:t>
      </w:r>
      <w:r w:rsidRPr="004D0DAA">
        <w:tab/>
        <w:t>Wait for Valid Downlink Data Received from the Network</w:t>
      </w:r>
    </w:p>
    <w:p w14:paraId="7D49E55E" w14:textId="77777777" w:rsidR="00711444" w:rsidRPr="004D0DAA" w:rsidRDefault="00711444" w:rsidP="00711444">
      <w:pPr>
        <w:pStyle w:val="EX"/>
        <w:keepLines w:val="0"/>
        <w:ind w:firstLine="0"/>
      </w:pPr>
      <w:r w:rsidRPr="004D0DAA">
        <w:t>This timer is used on the mobile station side to stop waiting for the valid data from the network side either following the initial Packet Downlink Assignment/MBMS Assignment or after some previous downlink RLC data block.</w:t>
      </w:r>
    </w:p>
    <w:p w14:paraId="16F14FF8" w14:textId="77777777" w:rsidR="00711444" w:rsidRPr="004D0DAA" w:rsidRDefault="00711444" w:rsidP="00711444">
      <w:pPr>
        <w:pStyle w:val="EX"/>
        <w:keepLines w:val="0"/>
        <w:ind w:left="1699" w:hanging="1411"/>
      </w:pPr>
      <w:r w:rsidRPr="004D0DAA">
        <w:rPr>
          <w:b/>
        </w:rPr>
        <w:t>T3192</w:t>
      </w:r>
      <w:r w:rsidRPr="004D0DAA">
        <w:t>:</w:t>
      </w:r>
      <w:r w:rsidRPr="004D0DAA">
        <w:tab/>
        <w:t>Wait for release of the TBF after reception of the final block</w:t>
      </w:r>
    </w:p>
    <w:p w14:paraId="4295AAA5" w14:textId="77777777" w:rsidR="00711444" w:rsidRPr="004D0DAA" w:rsidRDefault="00711444" w:rsidP="00711444">
      <w:pPr>
        <w:pStyle w:val="EX"/>
        <w:keepLines w:val="0"/>
        <w:ind w:firstLine="0"/>
      </w:pPr>
      <w:r w:rsidRPr="004D0DAA">
        <w:t>This timer is used on the mobile station side when the mobile station has received all of the RLC data blocks. When timer T3192 expires the mobile station shall release the resources associated with the TBF (e.g. TFI) and begin to monitor its paging channel, except if the mobile station is in EC operation with timer T3168 running.</w:t>
      </w:r>
    </w:p>
    <w:p w14:paraId="02C055B6" w14:textId="77777777" w:rsidR="00711444" w:rsidRPr="004D0DAA" w:rsidRDefault="00711444" w:rsidP="00711444">
      <w:pPr>
        <w:pStyle w:val="EX"/>
        <w:keepLines w:val="0"/>
      </w:pPr>
      <w:r w:rsidRPr="004D0DAA">
        <w:rPr>
          <w:b/>
        </w:rPr>
        <w:t>T3194:</w:t>
      </w:r>
      <w:r w:rsidRPr="004D0DAA">
        <w:tab/>
        <w:t>Minimum time between stolen radio blocks for a given radio bearer.</w:t>
      </w:r>
    </w:p>
    <w:p w14:paraId="27A4CB76" w14:textId="77777777" w:rsidR="00711444" w:rsidRPr="004D0DAA" w:rsidRDefault="00711444" w:rsidP="00711444">
      <w:pPr>
        <w:pStyle w:val="EX"/>
        <w:keepLines w:val="0"/>
      </w:pPr>
      <w:r w:rsidRPr="004D0DAA">
        <w:tab/>
        <w:t>Following stealing a radio block for a given radio bearer, the mobile station shall expect to have this radio bearer scheduled via its USF within an interval defined by four times the duration of T3194, else link failure is reported to RRC.</w:t>
      </w:r>
    </w:p>
    <w:p w14:paraId="781E2503" w14:textId="77777777" w:rsidR="00711444" w:rsidRPr="004D0DAA" w:rsidRDefault="00711444" w:rsidP="00711444">
      <w:pPr>
        <w:pStyle w:val="EX"/>
        <w:keepLines w:val="0"/>
        <w:rPr>
          <w:caps/>
        </w:rPr>
      </w:pPr>
      <w:r w:rsidRPr="004D0DAA">
        <w:rPr>
          <w:b/>
          <w:bCs/>
        </w:rPr>
        <w:t>T3196</w:t>
      </w:r>
      <w:r w:rsidRPr="004D0DAA">
        <w:rPr>
          <w:b/>
          <w:bCs/>
        </w:rPr>
        <w:tab/>
      </w:r>
      <w:r w:rsidRPr="004D0DAA">
        <w:t xml:space="preserve">Wait for </w:t>
      </w:r>
      <w:r w:rsidRPr="004D0DAA">
        <w:rPr>
          <w:caps/>
        </w:rPr>
        <w:t xml:space="preserve">Packet CS COMMAND </w:t>
      </w:r>
      <w:r w:rsidRPr="004D0DAA">
        <w:t>message</w:t>
      </w:r>
      <w:r w:rsidRPr="004D0DAA">
        <w:rPr>
          <w:caps/>
        </w:rPr>
        <w:t>.</w:t>
      </w:r>
    </w:p>
    <w:p w14:paraId="377EEF4F" w14:textId="77777777" w:rsidR="00711444" w:rsidRPr="004D0DAA" w:rsidRDefault="00711444" w:rsidP="00711444">
      <w:pPr>
        <w:pStyle w:val="EX"/>
        <w:keepLines w:val="0"/>
      </w:pPr>
      <w:r w:rsidRPr="004D0DAA">
        <w:tab/>
        <w:t>This timer is used on the mobile station side to define when to stop waiting for the Packet CS COMMAND message. At expiry of timer T3196, the mobile station shall release all ongoing TBFs and start RR connection establishment as specified in 3GPP TS 44.018.</w:t>
      </w:r>
    </w:p>
    <w:p w14:paraId="1BAF700F" w14:textId="77777777" w:rsidR="00711444" w:rsidRPr="004D0DAA" w:rsidRDefault="00711444" w:rsidP="00711444">
      <w:pPr>
        <w:pStyle w:val="EX"/>
        <w:keepLines w:val="0"/>
        <w:ind w:left="1699" w:hanging="1411"/>
      </w:pPr>
      <w:r w:rsidRPr="004D0DAA">
        <w:rPr>
          <w:b/>
        </w:rPr>
        <w:t>T3200</w:t>
      </w:r>
      <w:r w:rsidRPr="004D0DAA">
        <w:tab/>
        <w:t>RLC/MAC control message reassembly guard</w:t>
      </w:r>
    </w:p>
    <w:p w14:paraId="346AB86E" w14:textId="77777777" w:rsidR="00711444" w:rsidRPr="004D0DAA" w:rsidRDefault="00711444" w:rsidP="00711444">
      <w:pPr>
        <w:pStyle w:val="EX"/>
        <w:keepLines w:val="0"/>
      </w:pPr>
      <w:r w:rsidRPr="004D0DAA">
        <w:tab/>
        <w:t>T3200 is used by the mobile station to control when it will discard segments of a partially received RLC/MAC control message. The mobile station shall have one instance of timer T3200 for each segmented RLC/MAC control message that the mobile station is capable of receiving in parallel.</w:t>
      </w:r>
    </w:p>
    <w:p w14:paraId="7D322AA6" w14:textId="77777777" w:rsidR="00711444" w:rsidRPr="004D0DAA" w:rsidRDefault="00711444" w:rsidP="00711444">
      <w:pPr>
        <w:pStyle w:val="EX"/>
        <w:keepLines w:val="0"/>
        <w:ind w:left="1699" w:hanging="1411"/>
      </w:pPr>
      <w:r w:rsidRPr="004D0DAA">
        <w:rPr>
          <w:b/>
        </w:rPr>
        <w:t>T3204</w:t>
      </w:r>
      <w:r w:rsidRPr="004D0DAA">
        <w:t>:</w:t>
      </w:r>
      <w:r w:rsidRPr="004D0DAA">
        <w:tab/>
        <w:t>Wait for Packet Uplink Assignment after the first attempt to send a Packet Channel Request during a packet access procedure. The Packet Channel Request was attempted indicating 'Single block without TBF establishment' and the purpose of the packet access procedure is to send a PACKET PAUSE message.</w:t>
      </w:r>
    </w:p>
    <w:p w14:paraId="089B2894" w14:textId="77777777" w:rsidR="00711444" w:rsidRPr="004D0DAA" w:rsidRDefault="00711444" w:rsidP="00711444">
      <w:pPr>
        <w:pStyle w:val="EX"/>
        <w:keepLines w:val="0"/>
        <w:ind w:hanging="1414"/>
      </w:pPr>
      <w:r w:rsidRPr="004D0DAA">
        <w:tab/>
        <w:t>This timer is used by a mobile station with non-GSM capabilities to stop waiting for a PACKET UPLINK ASSIGNMENT message. At expiry of timer T3204, the Packet Pause procedure (sub-clause 7.6) is aborted.</w:t>
      </w:r>
    </w:p>
    <w:p w14:paraId="43707C6C" w14:textId="77777777" w:rsidR="00711444" w:rsidRPr="004D0DAA" w:rsidRDefault="00711444" w:rsidP="00711444">
      <w:pPr>
        <w:pStyle w:val="EX"/>
        <w:keepLines w:val="0"/>
        <w:ind w:left="1699" w:hanging="1411"/>
      </w:pPr>
      <w:r w:rsidRPr="004D0DAA">
        <w:rPr>
          <w:b/>
        </w:rPr>
        <w:t>T3206</w:t>
      </w:r>
      <w:r w:rsidRPr="004D0DAA">
        <w:tab/>
        <w:t>Wait for sending of the PACKET CELL CHANGE NOTIFICATION message after entering CCN mode</w:t>
      </w:r>
    </w:p>
    <w:p w14:paraId="4D622016" w14:textId="77777777" w:rsidR="00711444" w:rsidRPr="004D0DAA" w:rsidRDefault="00711444" w:rsidP="00711444">
      <w:pPr>
        <w:pStyle w:val="EX"/>
        <w:keepLines w:val="0"/>
      </w:pPr>
      <w:r w:rsidRPr="004D0DAA">
        <w:tab/>
        <w:t xml:space="preserve">This timer is used to control that the MS in CCN mode is not prevented to proceed with a cell re-selection for too long if it cannot send the PACKET CELL CHANGE NOTIFICATION message (e.g. T3192 is running and there is no uplink block granted to the MS). </w:t>
      </w:r>
    </w:p>
    <w:p w14:paraId="4875D890" w14:textId="77777777" w:rsidR="00711444" w:rsidRPr="004D0DAA" w:rsidRDefault="00711444" w:rsidP="00711444">
      <w:pPr>
        <w:pStyle w:val="EX"/>
        <w:keepLines w:val="0"/>
        <w:ind w:left="1699" w:hanging="1411"/>
      </w:pPr>
      <w:r w:rsidRPr="004D0DAA">
        <w:rPr>
          <w:b/>
        </w:rPr>
        <w:lastRenderedPageBreak/>
        <w:t>T3208</w:t>
      </w:r>
      <w:r w:rsidRPr="004D0DAA">
        <w:tab/>
        <w:t>Maximum delay of the MS initiated cell re-selection after the point in time when the MS has sent the PACKET CELL CHANGE NOTIFICATION message in CCN mode.</w:t>
      </w:r>
    </w:p>
    <w:p w14:paraId="6C01EDB8" w14:textId="77777777" w:rsidR="00711444" w:rsidRPr="004D0DAA" w:rsidRDefault="00711444" w:rsidP="00711444">
      <w:pPr>
        <w:pStyle w:val="EX"/>
        <w:keepLines w:val="0"/>
      </w:pPr>
      <w:r w:rsidRPr="004D0DAA">
        <w:tab/>
        <w:t xml:space="preserve">T3208 is used by the mobile station in CCN mode to decide when to stop waiting for network assistance for the cell reselection (see sub-clause 5.5.1.1a). </w:t>
      </w:r>
    </w:p>
    <w:p w14:paraId="21098AC8" w14:textId="77777777" w:rsidR="00711444" w:rsidRPr="004D0DAA" w:rsidRDefault="00711444" w:rsidP="00711444">
      <w:pPr>
        <w:pStyle w:val="EX"/>
        <w:keepLines w:val="0"/>
        <w:ind w:left="1699" w:hanging="1411"/>
      </w:pPr>
      <w:r w:rsidRPr="004D0DAA">
        <w:rPr>
          <w:b/>
        </w:rPr>
        <w:t>T3210</w:t>
      </w:r>
      <w:r w:rsidRPr="004D0DAA">
        <w:tab/>
        <w:t>Wait for retransmitting the PACKET CELL CHANGE NOTIFICATION message after having sent the PACKET CELL CHANGE NOTIFICATION message for the first time (see sub-clause 5.5.1.1a).</w:t>
      </w:r>
    </w:p>
    <w:p w14:paraId="061DD388" w14:textId="77777777" w:rsidR="00711444" w:rsidRPr="004D0DAA" w:rsidRDefault="00711444" w:rsidP="00711444">
      <w:pPr>
        <w:pStyle w:val="EX"/>
        <w:keepLines w:val="0"/>
      </w:pPr>
      <w:r w:rsidRPr="004D0DAA">
        <w:tab/>
        <w:t>This timer is used to request the mobile station to retransmit the PACKET CELL CHANGE NOTIFICATION message in the case it has not received any PACKET NEIGHBOUR CELL DATA message nor PACKET CELL CHANGE CONTINUE message nor PACKET CELL CHANGE ORDER message nor the PS HANDOVER COMMAND message in response to the sending of the PACKET CELL CHANGE NOTIFICATION message sent for the first time. It can reduce the cell re-selection delay implied by entering CCN mode in case the first PACKET CELL CHANGE NOTIFICATION message was not received by the network.</w:t>
      </w:r>
    </w:p>
    <w:p w14:paraId="4148B6B6" w14:textId="77777777" w:rsidR="00711444" w:rsidRPr="004D0DAA" w:rsidRDefault="00711444" w:rsidP="00711444">
      <w:pPr>
        <w:pStyle w:val="EX"/>
        <w:keepNext/>
        <w:keepLines w:val="0"/>
        <w:rPr>
          <w:caps/>
        </w:rPr>
      </w:pPr>
      <w:r w:rsidRPr="004D0DAA">
        <w:rPr>
          <w:b/>
          <w:bCs/>
        </w:rPr>
        <w:t>T3214</w:t>
      </w:r>
      <w:r w:rsidRPr="004D0DAA">
        <w:rPr>
          <w:b/>
          <w:bCs/>
        </w:rPr>
        <w:tab/>
      </w:r>
      <w:r w:rsidRPr="004D0DAA">
        <w:t xml:space="preserve">Wait for </w:t>
      </w:r>
      <w:r w:rsidRPr="004D0DAA">
        <w:rPr>
          <w:caps/>
        </w:rPr>
        <w:t xml:space="preserve">MBMS ASSIGNMENT </w:t>
      </w:r>
      <w:r w:rsidRPr="004D0DAA">
        <w:t>message</w:t>
      </w:r>
      <w:r w:rsidRPr="004D0DAA">
        <w:rPr>
          <w:caps/>
        </w:rPr>
        <w:t>.</w:t>
      </w:r>
    </w:p>
    <w:p w14:paraId="1D9647B3" w14:textId="77777777" w:rsidR="00711444" w:rsidRPr="004D0DAA" w:rsidRDefault="00711444" w:rsidP="00711444">
      <w:pPr>
        <w:pStyle w:val="EX"/>
        <w:keepLines w:val="0"/>
      </w:pPr>
      <w:r w:rsidRPr="004D0DAA">
        <w:tab/>
        <w:t>This timer is used on the mobile station side to define when to stop waiting for the MBMS ASSIGNMENT message. At expiry of timer T3214, a mobile station in packet idle mode or MAC-Idle state shall return to DRX mode. A mobile station in broadcast/multicast receive mode shall remain in broadcast/multicast receive mode.</w:t>
      </w:r>
    </w:p>
    <w:p w14:paraId="294960DD" w14:textId="77777777" w:rsidR="00711444" w:rsidRPr="004D0DAA" w:rsidRDefault="00711444" w:rsidP="00711444">
      <w:pPr>
        <w:pStyle w:val="EX"/>
        <w:rPr>
          <w:caps/>
        </w:rPr>
      </w:pPr>
      <w:r w:rsidRPr="004D0DAA">
        <w:rPr>
          <w:b/>
        </w:rPr>
        <w:t>T3216</w:t>
      </w:r>
      <w:r w:rsidRPr="004D0DAA">
        <w:rPr>
          <w:b/>
          <w:bCs/>
        </w:rPr>
        <w:tab/>
      </w:r>
      <w:r w:rsidRPr="004D0DAA">
        <w:t xml:space="preserve">Wait for the PACKET PHYSICAL INFORMATION message. </w:t>
      </w:r>
    </w:p>
    <w:p w14:paraId="7F15D905" w14:textId="77777777" w:rsidR="00711444" w:rsidRPr="004D0DAA" w:rsidRDefault="00711444" w:rsidP="00711444">
      <w:pPr>
        <w:pStyle w:val="EX"/>
        <w:rPr>
          <w:szCs w:val="24"/>
        </w:rPr>
      </w:pPr>
      <w:r w:rsidRPr="004D0DAA">
        <w:tab/>
        <w:t xml:space="preserve">This timer is used on the mobile station side to define when to stop waiting for the PACKET PHYSICAL INFORMATION message in the non-synchronized cell PS handover case (see sub-clause 8.10.4.4.4). At expiry of timer T3216, the mobile station shall abort the PS handover procedure, return to the old cell, send a </w:t>
      </w:r>
      <w:r w:rsidRPr="004D0DAA">
        <w:rPr>
          <w:caps/>
          <w:szCs w:val="24"/>
        </w:rPr>
        <w:t>Packet Cell Change Failure</w:t>
      </w:r>
      <w:r w:rsidRPr="004D0DAA">
        <w:t xml:space="preserve"> message using the first available uplink transmission opportunity (if PS handover from </w:t>
      </w:r>
      <w:r w:rsidRPr="004D0DAA">
        <w:rPr>
          <w:i/>
          <w:iCs/>
        </w:rPr>
        <w:t>A/Gb mode</w:t>
      </w:r>
      <w:r w:rsidRPr="004D0DAA">
        <w:t xml:space="preserve"> was attempted) and attempt to continue all TBFs/RABs that were ongoing prior to the reception of the </w:t>
      </w:r>
      <w:r w:rsidRPr="004D0DAA">
        <w:rPr>
          <w:szCs w:val="24"/>
        </w:rPr>
        <w:t>PS HANDOVER COMMAND message/Handover from UTRAN Command message or</w:t>
      </w:r>
      <w:r w:rsidRPr="004D0DAA">
        <w:rPr>
          <w:iCs/>
        </w:rPr>
        <w:t xml:space="preserve"> </w:t>
      </w:r>
      <w:r w:rsidRPr="004D0DAA">
        <w:rPr>
          <w:i/>
          <w:iCs/>
        </w:rPr>
        <w:t>MobilityFromEUTRACommand</w:t>
      </w:r>
      <w:r w:rsidRPr="004D0DAA">
        <w:t xml:space="preserve"> message</w:t>
      </w:r>
      <w:r w:rsidRPr="004D0DAA">
        <w:rPr>
          <w:szCs w:val="24"/>
        </w:rPr>
        <w:t xml:space="preserve"> (see sub-clause 8.10.5).</w:t>
      </w:r>
    </w:p>
    <w:p w14:paraId="043393C0" w14:textId="77777777" w:rsidR="00711444" w:rsidRPr="004D0DAA" w:rsidRDefault="00711444" w:rsidP="00711444">
      <w:pPr>
        <w:pStyle w:val="EX"/>
        <w:keepNext/>
        <w:ind w:left="1699" w:hanging="1411"/>
      </w:pPr>
      <w:r w:rsidRPr="004D0DAA">
        <w:rPr>
          <w:b/>
        </w:rPr>
        <w:t>T</w:t>
      </w:r>
      <w:r w:rsidRPr="004D0DAA">
        <w:rPr>
          <w:b/>
          <w:lang w:eastAsia="zh-CN"/>
        </w:rPr>
        <w:t>3218</w:t>
      </w:r>
      <w:r w:rsidRPr="004D0DAA">
        <w:tab/>
        <w:t xml:space="preserve">Wait for </w:t>
      </w:r>
      <w:r w:rsidRPr="004D0DAA">
        <w:rPr>
          <w:lang w:eastAsia="zh-CN"/>
        </w:rPr>
        <w:t>the first USF for any uplink TBF assigned to the MS after receiving the PS HANDOVER COMMAND message</w:t>
      </w:r>
      <w:r w:rsidRPr="004D0DAA">
        <w:rPr>
          <w:szCs w:val="24"/>
        </w:rPr>
        <w:t xml:space="preserve"> or Handover from UTRAN Command message or </w:t>
      </w:r>
      <w:r w:rsidRPr="004D0DAA">
        <w:rPr>
          <w:i/>
          <w:iCs/>
        </w:rPr>
        <w:t>MobilityFromEUTRACommand</w:t>
      </w:r>
      <w:r w:rsidRPr="004D0DAA">
        <w:t xml:space="preserve"> message</w:t>
      </w:r>
      <w:r w:rsidRPr="004D0DAA">
        <w:rPr>
          <w:lang w:eastAsia="zh-CN"/>
        </w:rPr>
        <w:t>.</w:t>
      </w:r>
    </w:p>
    <w:p w14:paraId="49B7D4D6" w14:textId="77777777" w:rsidR="00711444" w:rsidRPr="004D0DAA" w:rsidRDefault="00711444" w:rsidP="00711444">
      <w:pPr>
        <w:pStyle w:val="EX"/>
        <w:rPr>
          <w:szCs w:val="24"/>
          <w:lang w:eastAsia="zh-CN"/>
        </w:rPr>
      </w:pPr>
      <w:r w:rsidRPr="004D0DAA">
        <w:tab/>
        <w:t>This timer is used on the mobile station side to define when to stop waiting for a USF of any uplink TBF</w:t>
      </w:r>
      <w:r w:rsidRPr="004D0DAA">
        <w:rPr>
          <w:lang w:eastAsia="zh-CN"/>
        </w:rPr>
        <w:t xml:space="preserve"> assigned to the MS in the new cell. </w:t>
      </w:r>
      <w:r w:rsidRPr="004D0DAA">
        <w:rPr>
          <w:lang w:eastAsia="zh-CN"/>
        </w:rPr>
        <w:br/>
      </w:r>
      <w:r w:rsidRPr="004D0DAA">
        <w:rPr>
          <w:lang w:eastAsia="zh-CN"/>
        </w:rPr>
        <w:br/>
      </w:r>
      <w:r w:rsidRPr="004D0DAA">
        <w:tab/>
        <w:t>At expiry of timer T</w:t>
      </w:r>
      <w:r w:rsidRPr="004D0DAA">
        <w:rPr>
          <w:lang w:eastAsia="zh-CN"/>
        </w:rPr>
        <w:t>3218</w:t>
      </w:r>
      <w:r w:rsidRPr="004D0DAA">
        <w:t>, the mobile station shall abort the PS handover procedure, return to the old cell</w:t>
      </w:r>
      <w:r w:rsidRPr="004D0DAA">
        <w:rPr>
          <w:lang w:eastAsia="zh-CN"/>
        </w:rPr>
        <w:t>,</w:t>
      </w:r>
      <w:r w:rsidRPr="004D0DAA">
        <w:t xml:space="preserve"> send a </w:t>
      </w:r>
      <w:r w:rsidRPr="004D0DAA">
        <w:rPr>
          <w:caps/>
          <w:szCs w:val="24"/>
        </w:rPr>
        <w:t>Packet Cell Change Failure</w:t>
      </w:r>
      <w:r w:rsidRPr="004D0DAA">
        <w:t xml:space="preserve"> message using the first available uplink transmission opportunity (if PS handover from </w:t>
      </w:r>
      <w:r w:rsidRPr="004D0DAA">
        <w:rPr>
          <w:i/>
          <w:iCs/>
        </w:rPr>
        <w:t>A/Gb mode</w:t>
      </w:r>
      <w:r w:rsidRPr="004D0DAA">
        <w:t xml:space="preserve"> was attempted) and attempt to continue all TBFs or RABs that were ongoing prior to the reception of the </w:t>
      </w:r>
      <w:r w:rsidRPr="004D0DAA">
        <w:rPr>
          <w:szCs w:val="24"/>
        </w:rPr>
        <w:t xml:space="preserve">PS HANDOVER COMMAND message or Handover from UTRAN Command message or </w:t>
      </w:r>
      <w:r w:rsidRPr="004D0DAA">
        <w:rPr>
          <w:i/>
          <w:iCs/>
        </w:rPr>
        <w:t>MobilityFromEUTRACommand</w:t>
      </w:r>
      <w:r w:rsidRPr="004D0DAA">
        <w:t xml:space="preserve"> message</w:t>
      </w:r>
      <w:r w:rsidRPr="004D0DAA">
        <w:rPr>
          <w:i/>
          <w:iCs/>
        </w:rPr>
        <w:t xml:space="preserve"> </w:t>
      </w:r>
      <w:r w:rsidRPr="004D0DAA">
        <w:rPr>
          <w:szCs w:val="24"/>
        </w:rPr>
        <w:t>(see sub-clause 8.10.5).</w:t>
      </w:r>
    </w:p>
    <w:p w14:paraId="2C6CF667" w14:textId="77777777" w:rsidR="00711444" w:rsidRPr="004D0DAA" w:rsidRDefault="00711444" w:rsidP="00711444">
      <w:pPr>
        <w:pStyle w:val="EX"/>
        <w:keepLines w:val="0"/>
      </w:pPr>
      <w:r w:rsidRPr="004D0DAA">
        <w:rPr>
          <w:b/>
        </w:rPr>
        <w:t>T3220</w:t>
      </w:r>
      <w:r w:rsidRPr="004D0DAA">
        <w:tab/>
        <w:t>Wait for PACKET PAGING REQUEST message.</w:t>
      </w:r>
    </w:p>
    <w:p w14:paraId="6B358D08" w14:textId="77777777" w:rsidR="00711444" w:rsidRPr="004D0DAA" w:rsidRDefault="00711444" w:rsidP="00711444">
      <w:pPr>
        <w:pStyle w:val="EX"/>
        <w:keepLines w:val="0"/>
      </w:pPr>
      <w:r w:rsidRPr="004D0DAA">
        <w:tab/>
        <w:t>This timer is used to ensure that the mobile station stops waiting for a PACKET PAGING REQUEST message containing an MBMS notification part. At expiry of the T3220, the mobile station in packet idle mode or MAC-Idle state shall return to DRX mode unless it is already engaged in any other MBMS session and remaining in broadcast/multicast receive mode.</w:t>
      </w:r>
    </w:p>
    <w:p w14:paraId="00704DEB" w14:textId="77777777" w:rsidR="00711444" w:rsidRPr="004D0DAA" w:rsidRDefault="00711444" w:rsidP="00711444">
      <w:pPr>
        <w:pStyle w:val="EX"/>
      </w:pPr>
      <w:r w:rsidRPr="004D0DAA">
        <w:rPr>
          <w:b/>
        </w:rPr>
        <w:lastRenderedPageBreak/>
        <w:t>T3222</w:t>
      </w:r>
      <w:r w:rsidRPr="004D0DAA">
        <w:tab/>
        <w:t>An instance of the timer may be used during the notification of MBMS for mobile stations in packet transfer mode or in dual transfer mode. An instance of this timer may be started at the receipt of a PACKET MBMS ANNOUNCEMENT message when in packet transfer mode or in dual transfer mode.</w:t>
      </w:r>
    </w:p>
    <w:p w14:paraId="6F69D3F6" w14:textId="77777777" w:rsidR="00711444" w:rsidRPr="004D0DAA" w:rsidRDefault="00711444" w:rsidP="00711444">
      <w:pPr>
        <w:pStyle w:val="EX"/>
      </w:pPr>
      <w:r w:rsidRPr="004D0DAA">
        <w:tab/>
        <w:t>The instance of this timer is stopped either when the mobile station enters packet idle mode, if the PACKET MBMS ANNOUNCEMENT message included the Estimated Session Duration, or when the mobile station enters packet idle mode and completes the Transfer non-DRX mode period, if the PACKET MBMS ANNOUNCEMENT message included the Restriction Timer.</w:t>
      </w:r>
    </w:p>
    <w:p w14:paraId="49F568EC" w14:textId="77777777" w:rsidR="00711444" w:rsidRPr="004D0DAA" w:rsidRDefault="00711444" w:rsidP="00711444">
      <w:pPr>
        <w:pStyle w:val="EX"/>
        <w:keepLines w:val="0"/>
      </w:pPr>
      <w:r w:rsidRPr="004D0DAA">
        <w:tab/>
        <w:t>At expiry of an instance of this timer, the mobile station discards the MBMS related information stored upon receipt of the corresponding PACKET MBMS ANNOUNCEMENT message.</w:t>
      </w:r>
    </w:p>
    <w:p w14:paraId="66C701F8" w14:textId="77777777" w:rsidR="00711444" w:rsidRPr="004D0DAA" w:rsidRDefault="00711444" w:rsidP="00711444">
      <w:pPr>
        <w:pStyle w:val="EX"/>
        <w:keepNext/>
        <w:ind w:left="1699" w:hanging="1411"/>
      </w:pPr>
      <w:r w:rsidRPr="004D0DAA">
        <w:rPr>
          <w:b/>
        </w:rPr>
        <w:t>T3226</w:t>
      </w:r>
      <w:r w:rsidRPr="004D0DAA">
        <w:tab/>
        <w:t>The timer is used to determine how long the mobile station may wait, after the last allocation in a fixed uplink allocation received in an uplink EC TBF, before starting to monitor the DL EC-PACCH for an RLC/MAC control message.</w:t>
      </w:r>
    </w:p>
    <w:p w14:paraId="7BA377EF" w14:textId="77777777" w:rsidR="00711444" w:rsidRPr="004D0DAA" w:rsidRDefault="00711444" w:rsidP="00711444">
      <w:pPr>
        <w:pStyle w:val="EX"/>
      </w:pPr>
      <w:r w:rsidRPr="004D0DAA">
        <w:tab/>
        <w:t>At expiry the mobile station shall start timer T3228 and start monitoring the DL EC-PACCH for reception of an RLC/MAC control message.</w:t>
      </w:r>
    </w:p>
    <w:p w14:paraId="493CFACB" w14:textId="77777777" w:rsidR="00711444" w:rsidRPr="004D0DAA" w:rsidRDefault="00711444" w:rsidP="00711444">
      <w:pPr>
        <w:pStyle w:val="EX"/>
        <w:keepLines w:val="0"/>
      </w:pPr>
      <w:r w:rsidRPr="004D0DAA">
        <w:rPr>
          <w:rFonts w:hint="eastAsia"/>
          <w:b/>
        </w:rPr>
        <w:t>T32</w:t>
      </w:r>
      <w:r w:rsidRPr="004D0DAA">
        <w:rPr>
          <w:b/>
        </w:rPr>
        <w:t>28</w:t>
      </w:r>
      <w:r w:rsidRPr="004D0DAA">
        <w:tab/>
      </w:r>
      <w:r w:rsidRPr="004D0DAA">
        <w:rPr>
          <w:rFonts w:hint="eastAsia"/>
        </w:rPr>
        <w:t>The timer is used</w:t>
      </w:r>
      <w:r w:rsidRPr="004D0DAA">
        <w:t xml:space="preserve"> to control the time period during which the mobile station shall monitor the DL EC-PACCH for reception of an EC PACKET UPLINK ACK/NACK or an EC PACKET UPLINK ACK/NACK AND CONTENTION RESOLUTION message, following a fixed uplink allocation</w:t>
      </w:r>
      <w:r w:rsidRPr="004D0DAA">
        <w:rPr>
          <w:rFonts w:hint="eastAsia"/>
        </w:rPr>
        <w:t>.</w:t>
      </w:r>
    </w:p>
    <w:p w14:paraId="436E1809" w14:textId="77777777" w:rsidR="00711444" w:rsidRPr="004D0DAA" w:rsidRDefault="00711444" w:rsidP="00711444">
      <w:pPr>
        <w:pStyle w:val="EX"/>
        <w:keepLines w:val="0"/>
        <w:ind w:firstLine="0"/>
        <w:rPr>
          <w:lang w:eastAsia="zh-CN"/>
        </w:rPr>
      </w:pPr>
      <w:r w:rsidRPr="004D0DAA">
        <w:rPr>
          <w:lang w:eastAsia="zh-CN"/>
        </w:rPr>
        <w:t>W</w:t>
      </w:r>
      <w:r w:rsidRPr="004D0DAA">
        <w:rPr>
          <w:rFonts w:hint="eastAsia"/>
          <w:lang w:eastAsia="zh-CN"/>
        </w:rPr>
        <w:t xml:space="preserve">hen </w:t>
      </w:r>
      <w:r w:rsidRPr="004D0DAA">
        <w:rPr>
          <w:lang w:eastAsia="zh-CN"/>
        </w:rPr>
        <w:t xml:space="preserve">the mobile station receives an </w:t>
      </w:r>
      <w:r w:rsidRPr="004D0DAA">
        <w:t>EC PACKET UPLINK ACK/NACK or an EC PACKET UPLINK ACK/NACK AND CONTENTION RESOLUTION message addressing the mobile station with the TFI value associated with its uplink TBF</w:t>
      </w:r>
      <w:r w:rsidRPr="004D0DAA">
        <w:rPr>
          <w:rFonts w:hint="eastAsia"/>
          <w:lang w:eastAsia="zh-CN"/>
        </w:rPr>
        <w:t xml:space="preserve">, </w:t>
      </w:r>
      <w:r w:rsidRPr="004D0DAA">
        <w:rPr>
          <w:lang w:eastAsia="zh-CN"/>
        </w:rPr>
        <w:t xml:space="preserve">it </w:t>
      </w:r>
      <w:r w:rsidRPr="004D0DAA">
        <w:rPr>
          <w:rFonts w:hint="eastAsia"/>
          <w:lang w:eastAsia="zh-CN"/>
        </w:rPr>
        <w:t xml:space="preserve">shall </w:t>
      </w:r>
      <w:r w:rsidRPr="004D0DAA">
        <w:rPr>
          <w:lang w:eastAsia="zh-CN"/>
        </w:rPr>
        <w:t>stop T3228.</w:t>
      </w:r>
    </w:p>
    <w:p w14:paraId="719CE663" w14:textId="77777777" w:rsidR="00711444" w:rsidRPr="004D0DAA" w:rsidRDefault="00711444" w:rsidP="00711444">
      <w:pPr>
        <w:pStyle w:val="EX"/>
        <w:keepLines w:val="0"/>
        <w:ind w:firstLine="0"/>
        <w:rPr>
          <w:b/>
        </w:rPr>
      </w:pPr>
      <w:r w:rsidRPr="004D0DAA">
        <w:t>A</w:t>
      </w:r>
      <w:r w:rsidRPr="004D0DAA">
        <w:rPr>
          <w:rFonts w:hint="eastAsia"/>
        </w:rPr>
        <w:t>t expiry the mobile station shall</w:t>
      </w:r>
      <w:r w:rsidRPr="004D0DAA">
        <w:t xml:space="preserve"> release the ongoing uplink TBF and may perform an abnormal release with access retry, unless timer T3248 (sent in EC SI) is used</w:t>
      </w:r>
      <w:r w:rsidRPr="004D0DAA">
        <w:rPr>
          <w:rFonts w:hint="eastAsia"/>
        </w:rPr>
        <w:t>.</w:t>
      </w:r>
      <w:r w:rsidRPr="004D0DAA">
        <w:t xml:space="preserve"> If T3248 is used, i.e. it has a timer value &gt; 0, the mobile station shall instead start timer T3248 and continue to monitor the DL EC-PACCH. The next higher DL Coverage Class shall then be used, if such exists.</w:t>
      </w:r>
    </w:p>
    <w:p w14:paraId="2B3F4AFE" w14:textId="77777777" w:rsidR="00711444" w:rsidRPr="004D0DAA" w:rsidRDefault="00711444" w:rsidP="00711444">
      <w:pPr>
        <w:pStyle w:val="EX"/>
      </w:pPr>
      <w:r w:rsidRPr="004D0DAA">
        <w:rPr>
          <w:rFonts w:hint="eastAsia"/>
          <w:b/>
        </w:rPr>
        <w:t>T323</w:t>
      </w:r>
      <w:r w:rsidRPr="004D0DAA">
        <w:rPr>
          <w:b/>
        </w:rPr>
        <w:t>8</w:t>
      </w:r>
      <w:r w:rsidRPr="004D0DAA">
        <w:tab/>
      </w:r>
      <w:r w:rsidRPr="004D0DAA">
        <w:rPr>
          <w:rFonts w:hint="eastAsia"/>
        </w:rPr>
        <w:t>The timer is used</w:t>
      </w:r>
      <w:r w:rsidRPr="004D0DAA">
        <w:t xml:space="preserve"> to control the length of the period where the mobile station monitors the EC-PACCH of its uplink EC TBF after reception of the EC PACKET UPLINK ACK/NACK message with Final Ack Indicator set to ‘1’, with an indication that the mobile station shall continue monitoring the EC-PACCH. The uplink EC TBF is then kept during this time interval.</w:t>
      </w:r>
    </w:p>
    <w:p w14:paraId="362CC2D3" w14:textId="77777777" w:rsidR="00711444" w:rsidRPr="004D0DAA" w:rsidRDefault="00711444" w:rsidP="00711444">
      <w:pPr>
        <w:pStyle w:val="EX"/>
        <w:ind w:hanging="1"/>
      </w:pPr>
      <w:r w:rsidRPr="004D0DAA">
        <w:rPr>
          <w:rFonts w:hint="eastAsia"/>
        </w:rPr>
        <w:t xml:space="preserve">It is stopped </w:t>
      </w:r>
      <w:r w:rsidRPr="004D0DAA">
        <w:t>at reception of an EC PACKET DOWNLINK ASSIGNMENT message addressing the mobile station, or at reception of another RLC/MAC control message triggering the release of the uplink TBF.</w:t>
      </w:r>
    </w:p>
    <w:p w14:paraId="6E3AD63E" w14:textId="77777777" w:rsidR="00711444" w:rsidRPr="004D0DAA" w:rsidRDefault="00711444" w:rsidP="00711444">
      <w:pPr>
        <w:pStyle w:val="EX"/>
        <w:ind w:hanging="1"/>
        <w:rPr>
          <w:lang w:eastAsia="zh-CN"/>
        </w:rPr>
      </w:pPr>
      <w:r w:rsidRPr="004D0DAA">
        <w:rPr>
          <w:lang w:eastAsia="zh-CN"/>
        </w:rPr>
        <w:t>A</w:t>
      </w:r>
      <w:r w:rsidRPr="004D0DAA">
        <w:rPr>
          <w:rFonts w:hint="eastAsia"/>
          <w:lang w:eastAsia="zh-CN"/>
        </w:rPr>
        <w:t>t expiry the mobile station shall</w:t>
      </w:r>
      <w:r w:rsidRPr="004D0DAA">
        <w:rPr>
          <w:lang w:eastAsia="zh-CN"/>
        </w:rPr>
        <w:t xml:space="preserve"> leave the uplink TBF and return to packet idle mode.</w:t>
      </w:r>
    </w:p>
    <w:p w14:paraId="6239EE33" w14:textId="77777777" w:rsidR="00711444" w:rsidRPr="004D0DAA" w:rsidRDefault="00711444" w:rsidP="00711444">
      <w:pPr>
        <w:pStyle w:val="EX"/>
        <w:keepNext/>
        <w:ind w:left="1699" w:hanging="1411"/>
      </w:pPr>
      <w:r w:rsidRPr="004D0DAA">
        <w:rPr>
          <w:b/>
        </w:rPr>
        <w:t>T3248</w:t>
      </w:r>
      <w:r w:rsidRPr="004D0DAA">
        <w:tab/>
      </w:r>
      <w:r w:rsidRPr="004D0DAA">
        <w:rPr>
          <w:rFonts w:hint="eastAsia"/>
        </w:rPr>
        <w:t>The timer is used</w:t>
      </w:r>
      <w:r w:rsidRPr="004D0DAA">
        <w:t xml:space="preserve"> to control the time period during which the mobile station shall monitor the DL EC-PACCH for reception of an EC PACKET UPLINK ACK/NACK or an EC PACKET UPLINK ACK/NACK AND CONTENTION RESOLUTION message, following a fixed uplink allocation. The next higher Coverage Class compared to the assigned DL CC shall then be used, if such exists. The timer is started at expiry of timer T3228.</w:t>
      </w:r>
    </w:p>
    <w:p w14:paraId="63740719" w14:textId="77777777" w:rsidR="00711444" w:rsidRPr="004D0DAA" w:rsidRDefault="00711444" w:rsidP="00711444">
      <w:pPr>
        <w:pStyle w:val="EX"/>
      </w:pPr>
      <w:r w:rsidRPr="004D0DAA">
        <w:tab/>
      </w:r>
      <w:r w:rsidRPr="004D0DAA">
        <w:rPr>
          <w:lang w:eastAsia="zh-CN"/>
        </w:rPr>
        <w:t>W</w:t>
      </w:r>
      <w:r w:rsidRPr="004D0DAA">
        <w:rPr>
          <w:rFonts w:hint="eastAsia"/>
          <w:lang w:eastAsia="zh-CN"/>
        </w:rPr>
        <w:t xml:space="preserve">hen </w:t>
      </w:r>
      <w:r w:rsidRPr="004D0DAA">
        <w:rPr>
          <w:lang w:eastAsia="zh-CN"/>
        </w:rPr>
        <w:t xml:space="preserve">the mobile station receives an </w:t>
      </w:r>
      <w:r w:rsidRPr="004D0DAA">
        <w:t>EC PACKET UPLINK ACK/NACK or an EC PACKET UPLINK ACK/NACK AND CONTENTION RESOLUTION message addressing the mobile station with the TFI value associated with its uplink TBF</w:t>
      </w:r>
      <w:r w:rsidRPr="004D0DAA">
        <w:rPr>
          <w:rFonts w:hint="eastAsia"/>
          <w:lang w:eastAsia="zh-CN"/>
        </w:rPr>
        <w:t xml:space="preserve">, </w:t>
      </w:r>
      <w:r w:rsidRPr="004D0DAA">
        <w:rPr>
          <w:lang w:eastAsia="zh-CN"/>
        </w:rPr>
        <w:t xml:space="preserve">it </w:t>
      </w:r>
      <w:r w:rsidRPr="004D0DAA">
        <w:rPr>
          <w:rFonts w:hint="eastAsia"/>
          <w:lang w:eastAsia="zh-CN"/>
        </w:rPr>
        <w:t xml:space="preserve">shall </w:t>
      </w:r>
      <w:r w:rsidRPr="004D0DAA">
        <w:rPr>
          <w:lang w:eastAsia="zh-CN"/>
        </w:rPr>
        <w:t>stop T3248.</w:t>
      </w:r>
    </w:p>
    <w:p w14:paraId="75412B7C" w14:textId="77777777" w:rsidR="00711444" w:rsidRPr="004D0DAA" w:rsidRDefault="00711444" w:rsidP="00711444">
      <w:pPr>
        <w:pStyle w:val="EX"/>
      </w:pPr>
      <w:r w:rsidRPr="004D0DAA">
        <w:tab/>
        <w:t>A</w:t>
      </w:r>
      <w:r w:rsidRPr="004D0DAA">
        <w:rPr>
          <w:rFonts w:hint="eastAsia"/>
        </w:rPr>
        <w:t>t expiry the mobile station shall</w:t>
      </w:r>
      <w:r w:rsidRPr="004D0DAA">
        <w:t xml:space="preserve"> release the ongoing uplink TBF. Abnormal release with access retry may be performed.</w:t>
      </w:r>
    </w:p>
    <w:p w14:paraId="602E3958" w14:textId="77777777" w:rsidR="00711444" w:rsidRPr="004D0DAA" w:rsidRDefault="00711444" w:rsidP="00711444">
      <w:pPr>
        <w:pStyle w:val="EX"/>
        <w:keepNext/>
        <w:ind w:left="1699" w:hanging="1411"/>
      </w:pPr>
      <w:r w:rsidRPr="004D0DAA">
        <w:rPr>
          <w:b/>
        </w:rPr>
        <w:lastRenderedPageBreak/>
        <w:t>T3290</w:t>
      </w:r>
      <w:r w:rsidRPr="004D0DAA">
        <w:tab/>
        <w:t>Wait for Downlink Data identified with the assigned MS_ID during an MBMS radio bearer.</w:t>
      </w:r>
    </w:p>
    <w:p w14:paraId="685AC433" w14:textId="77777777" w:rsidR="00711444" w:rsidRPr="004D0DAA" w:rsidRDefault="00711444" w:rsidP="00711444">
      <w:pPr>
        <w:pStyle w:val="EX"/>
      </w:pPr>
      <w:r w:rsidRPr="004D0DAA">
        <w:tab/>
        <w:t>This timer is used on the mobile station side to stop answering to polling during an MBMS radio bearer.</w:t>
      </w:r>
    </w:p>
    <w:p w14:paraId="7D25D38E" w14:textId="77777777" w:rsidR="00711444" w:rsidRPr="004D0DAA" w:rsidRDefault="00711444" w:rsidP="00711444">
      <w:pPr>
        <w:pStyle w:val="EX"/>
      </w:pPr>
      <w:r w:rsidRPr="004D0DAA">
        <w:tab/>
        <w:t>T3290 has the same value as the one specified for T3190.</w:t>
      </w:r>
    </w:p>
    <w:p w14:paraId="2F31F888" w14:textId="77777777" w:rsidR="00711444" w:rsidRPr="004D0DAA" w:rsidRDefault="00711444" w:rsidP="00711444">
      <w:pPr>
        <w:pStyle w:val="EX"/>
        <w:keepLines w:val="0"/>
        <w:rPr>
          <w:rFonts w:hint="eastAsia"/>
        </w:rPr>
      </w:pPr>
      <w:r w:rsidRPr="004D0DAA">
        <w:rPr>
          <w:rFonts w:hint="eastAsia"/>
          <w:b/>
        </w:rPr>
        <w:t>T3230</w:t>
      </w:r>
      <w:r w:rsidRPr="004D0DAA">
        <w:tab/>
      </w:r>
      <w:r w:rsidRPr="004D0DAA">
        <w:rPr>
          <w:rFonts w:hint="eastAsia"/>
        </w:rPr>
        <w:t xml:space="preserve">The timer is used to control the </w:t>
      </w:r>
      <w:r w:rsidRPr="004D0DAA">
        <w:t xml:space="preserve">validity </w:t>
      </w:r>
      <w:r w:rsidRPr="004D0DAA">
        <w:rPr>
          <w:rFonts w:hint="eastAsia"/>
          <w:lang w:eastAsia="zh-CN"/>
        </w:rPr>
        <w:t xml:space="preserve">period </w:t>
      </w:r>
      <w:r w:rsidRPr="004D0DAA">
        <w:rPr>
          <w:rFonts w:hint="eastAsia"/>
        </w:rPr>
        <w:t xml:space="preserve">of the individual priorities. </w:t>
      </w:r>
      <w:r w:rsidRPr="004D0DAA">
        <w:t>I</w:t>
      </w:r>
      <w:r w:rsidRPr="004D0DAA">
        <w:rPr>
          <w:rFonts w:hint="eastAsia"/>
        </w:rPr>
        <w:t>t is started o</w:t>
      </w:r>
      <w:r w:rsidRPr="004D0DAA">
        <w:t xml:space="preserve">n receipt of </w:t>
      </w:r>
      <w:r w:rsidRPr="004D0DAA">
        <w:rPr>
          <w:rFonts w:hint="eastAsia"/>
        </w:rPr>
        <w:t>the individual priorities</w:t>
      </w:r>
      <w:r w:rsidRPr="004D0DAA">
        <w:rPr>
          <w:rFonts w:hint="eastAsia"/>
          <w:lang w:eastAsia="zh-CN"/>
        </w:rPr>
        <w:t xml:space="preserve"> included in the </w:t>
      </w:r>
      <w:r w:rsidRPr="004D0DAA">
        <w:t xml:space="preserve">PACKET </w:t>
      </w:r>
      <w:r w:rsidRPr="004D0DAA">
        <w:rPr>
          <w:rFonts w:hint="eastAsia"/>
          <w:lang w:eastAsia="zh-CN"/>
        </w:rPr>
        <w:t xml:space="preserve">CELL CHANGE </w:t>
      </w:r>
      <w:r w:rsidRPr="004D0DAA">
        <w:rPr>
          <w:lang w:eastAsia="zh-CN"/>
        </w:rPr>
        <w:t>ORDER or</w:t>
      </w:r>
      <w:r w:rsidRPr="004D0DAA">
        <w:rPr>
          <w:rFonts w:hint="eastAsia"/>
          <w:lang w:eastAsia="zh-CN"/>
        </w:rPr>
        <w:t xml:space="preserve"> PACKET MEASUREMENT ORDER</w:t>
      </w:r>
      <w:r w:rsidRPr="004D0DAA">
        <w:t xml:space="preserve"> message</w:t>
      </w:r>
      <w:r w:rsidRPr="004D0DAA">
        <w:rPr>
          <w:rFonts w:hint="eastAsia"/>
        </w:rPr>
        <w:t xml:space="preserve"> for cell reselection or on inter-RAT</w:t>
      </w:r>
      <w:r w:rsidRPr="004D0DAA">
        <w:rPr>
          <w:rFonts w:hint="eastAsia"/>
          <w:lang w:eastAsia="zh-CN"/>
        </w:rPr>
        <w:t xml:space="preserve"> reselection to GERAN if the corresponding timer in the source RA</w:t>
      </w:r>
      <w:r w:rsidRPr="004D0DAA">
        <w:rPr>
          <w:rFonts w:hint="eastAsia"/>
        </w:rPr>
        <w:t>T (i.e, T320 in E-UTRA, T322 in UTRA) was running when reselection occurred.</w:t>
      </w:r>
    </w:p>
    <w:p w14:paraId="2B183C52" w14:textId="77777777" w:rsidR="00711444" w:rsidRPr="004D0DAA" w:rsidRDefault="00711444" w:rsidP="00711444">
      <w:pPr>
        <w:pStyle w:val="EX"/>
        <w:keepLines w:val="0"/>
        <w:ind w:firstLine="0"/>
        <w:rPr>
          <w:rFonts w:hint="eastAsia"/>
          <w:lang w:eastAsia="zh-CN"/>
        </w:rPr>
      </w:pPr>
      <w:r w:rsidRPr="004D0DAA">
        <w:rPr>
          <w:lang w:eastAsia="zh-CN"/>
        </w:rPr>
        <w:t>W</w:t>
      </w:r>
      <w:r w:rsidRPr="004D0DAA">
        <w:rPr>
          <w:rFonts w:hint="eastAsia"/>
          <w:lang w:eastAsia="zh-CN"/>
        </w:rPr>
        <w:t xml:space="preserve">hen </w:t>
      </w:r>
      <w:r w:rsidRPr="004D0DAA">
        <w:rPr>
          <w:lang w:eastAsia="zh-CN"/>
        </w:rPr>
        <w:t>one of the conditions specified in subclause 5.5.1.1c.3 is met</w:t>
      </w:r>
      <w:r w:rsidRPr="004D0DAA">
        <w:rPr>
          <w:rFonts w:hint="eastAsia"/>
          <w:lang w:eastAsia="zh-CN"/>
        </w:rPr>
        <w:t xml:space="preserve">, the MS shall </w:t>
      </w:r>
      <w:r w:rsidRPr="004D0DAA">
        <w:rPr>
          <w:lang w:eastAsia="zh-CN"/>
        </w:rPr>
        <w:t xml:space="preserve">stop T3230 and </w:t>
      </w:r>
      <w:r w:rsidRPr="004D0DAA">
        <w:rPr>
          <w:rFonts w:hint="eastAsia"/>
          <w:lang w:eastAsia="zh-CN"/>
        </w:rPr>
        <w:t xml:space="preserve">delete the </w:t>
      </w:r>
      <w:r w:rsidRPr="004D0DAA">
        <w:rPr>
          <w:lang w:eastAsia="zh-CN"/>
        </w:rPr>
        <w:t xml:space="preserve">corresponding </w:t>
      </w:r>
      <w:r w:rsidRPr="004D0DAA">
        <w:rPr>
          <w:rFonts w:hint="eastAsia"/>
          <w:lang w:eastAsia="zh-CN"/>
        </w:rPr>
        <w:t>individual priorities</w:t>
      </w:r>
      <w:r w:rsidRPr="004D0DAA">
        <w:rPr>
          <w:lang w:eastAsia="zh-CN"/>
        </w:rPr>
        <w:t>.</w:t>
      </w:r>
    </w:p>
    <w:p w14:paraId="5BCED122" w14:textId="77777777" w:rsidR="00711444" w:rsidRPr="004D0DAA" w:rsidRDefault="00711444" w:rsidP="00711444">
      <w:pPr>
        <w:pStyle w:val="EX"/>
        <w:keepLines w:val="0"/>
        <w:ind w:firstLine="0"/>
      </w:pPr>
      <w:r w:rsidRPr="004D0DAA">
        <w:t>A</w:t>
      </w:r>
      <w:r w:rsidRPr="004D0DAA">
        <w:rPr>
          <w:rFonts w:hint="eastAsia"/>
        </w:rPr>
        <w:t>t expiry the mobile station shall delete the</w:t>
      </w:r>
      <w:r w:rsidRPr="004D0DAA">
        <w:rPr>
          <w:rFonts w:hint="eastAsia"/>
          <w:lang w:eastAsia="zh-CN"/>
        </w:rPr>
        <w:t xml:space="preserve"> </w:t>
      </w:r>
      <w:r w:rsidRPr="004D0DAA">
        <w:t>corresponding</w:t>
      </w:r>
      <w:r w:rsidRPr="004D0DAA">
        <w:rPr>
          <w:rFonts w:hint="eastAsia"/>
        </w:rPr>
        <w:t xml:space="preserve"> individual priorities.</w:t>
      </w:r>
    </w:p>
    <w:p w14:paraId="2839D9CC" w14:textId="77777777" w:rsidR="00711444" w:rsidRPr="004D0DAA" w:rsidRDefault="00711444" w:rsidP="00711444">
      <w:pPr>
        <w:pStyle w:val="EX"/>
      </w:pPr>
      <w:r w:rsidRPr="004D0DAA">
        <w:rPr>
          <w:rFonts w:hint="eastAsia"/>
          <w:b/>
        </w:rPr>
        <w:t>T323</w:t>
      </w:r>
      <w:r w:rsidRPr="004D0DAA">
        <w:rPr>
          <w:b/>
        </w:rPr>
        <w:t>2</w:t>
      </w:r>
      <w:r w:rsidRPr="004D0DAA">
        <w:tab/>
      </w:r>
      <w:r w:rsidRPr="004D0DAA">
        <w:rPr>
          <w:rFonts w:hint="eastAsia"/>
        </w:rPr>
        <w:t>The timer is used</w:t>
      </w:r>
      <w:r w:rsidRPr="004D0DAA">
        <w:t xml:space="preserve"> to control the length of the non-DRX mode period in which the mobile station is acquiring an ETWS Primary Notification message. It is started when receiving a PACKET PAGING REQUEST message on the PPCH carrying a segment of an ETWS Primary Notification message.</w:t>
      </w:r>
    </w:p>
    <w:p w14:paraId="4E6535C9" w14:textId="77777777" w:rsidR="00711444" w:rsidRPr="004D0DAA" w:rsidRDefault="00711444" w:rsidP="00711444">
      <w:pPr>
        <w:pStyle w:val="EX"/>
        <w:ind w:hanging="1"/>
      </w:pPr>
      <w:r w:rsidRPr="004D0DAA">
        <w:rPr>
          <w:rFonts w:hint="eastAsia"/>
        </w:rPr>
        <w:t xml:space="preserve">It is stopped </w:t>
      </w:r>
      <w:r w:rsidRPr="004D0DAA">
        <w:t>at reception of the complete ETWS Primary Notification message or upon initiating cell reselection or connection establishment procedures.</w:t>
      </w:r>
    </w:p>
    <w:p w14:paraId="1BCD2F39" w14:textId="77777777" w:rsidR="00711444" w:rsidRPr="004D0DAA" w:rsidRDefault="00711444" w:rsidP="00711444">
      <w:pPr>
        <w:pStyle w:val="EX"/>
        <w:ind w:hanging="1"/>
        <w:rPr>
          <w:lang w:eastAsia="zh-CN"/>
        </w:rPr>
      </w:pPr>
      <w:r w:rsidRPr="004D0DAA">
        <w:rPr>
          <w:lang w:eastAsia="zh-CN"/>
        </w:rPr>
        <w:t>A</w:t>
      </w:r>
      <w:r w:rsidRPr="004D0DAA">
        <w:rPr>
          <w:rFonts w:hint="eastAsia"/>
          <w:lang w:eastAsia="zh-CN"/>
        </w:rPr>
        <w:t>t expiry the mobile station shall</w:t>
      </w:r>
      <w:r w:rsidRPr="004D0DAA">
        <w:rPr>
          <w:lang w:eastAsia="zh-CN"/>
        </w:rPr>
        <w:t xml:space="preserve"> enter DRX mode.</w:t>
      </w:r>
    </w:p>
    <w:p w14:paraId="299950F6" w14:textId="77777777" w:rsidR="00711444" w:rsidRPr="004D0DAA" w:rsidRDefault="00711444" w:rsidP="00711444">
      <w:pPr>
        <w:pStyle w:val="Heading2"/>
        <w:sectPr w:rsidR="00711444" w:rsidRPr="004D0DAA" w:rsidSect="0074398B">
          <w:footnotePr>
            <w:numRestart w:val="eachSect"/>
          </w:footnotePr>
          <w:pgSz w:w="16840" w:h="11907" w:orient="landscape" w:code="9"/>
          <w:pgMar w:top="1134" w:right="1418" w:bottom="1134" w:left="1134" w:header="851" w:footer="340" w:gutter="0"/>
          <w:cols w:space="720"/>
          <w:formProt w:val="0"/>
        </w:sectPr>
      </w:pPr>
    </w:p>
    <w:p w14:paraId="79C3AA21" w14:textId="77777777" w:rsidR="00711444" w:rsidRPr="004D0DAA" w:rsidRDefault="00711444" w:rsidP="00711444">
      <w:pPr>
        <w:pStyle w:val="Heading2"/>
      </w:pPr>
      <w:bookmarkStart w:id="876" w:name="_Toc516670049"/>
      <w:r w:rsidRPr="004D0DAA">
        <w:lastRenderedPageBreak/>
        <w:t>13.2</w:t>
      </w:r>
      <w:r w:rsidRPr="004D0DAA">
        <w:tab/>
        <w:t>Timers on the network side</w:t>
      </w:r>
      <w:bookmarkEnd w:id="876"/>
    </w:p>
    <w:p w14:paraId="6262C01A" w14:textId="77777777" w:rsidR="00711444" w:rsidRPr="004D0DAA" w:rsidRDefault="00711444" w:rsidP="00711444">
      <w:pPr>
        <w:keepNext/>
      </w:pPr>
      <w:r w:rsidRPr="004D0DAA">
        <w:t>For each timer, it is shown whether one timer instance is needed per MS, per TBF/MBMS radio bearer, per MS_ID or per RLC/MAC control message.</w:t>
      </w:r>
    </w:p>
    <w:p w14:paraId="01709910" w14:textId="77777777" w:rsidR="00711444" w:rsidRPr="004D0DAA" w:rsidRDefault="00711444" w:rsidP="00711444">
      <w:pPr>
        <w:keepNext/>
      </w:pPr>
      <w:r w:rsidRPr="004D0DAA">
        <w:t>For EC-GSM-IoT, where blind physical layer transmissions are used, if a timer expires during an ongoing transmission opportunity, that transmission opportunity shall be considered as having occurred prior to the expiry of the timer.</w:t>
      </w:r>
    </w:p>
    <w:p w14:paraId="57ACB8B4" w14:textId="77777777" w:rsidR="00711444" w:rsidRPr="004D0DAA" w:rsidRDefault="00711444" w:rsidP="00711444">
      <w:pPr>
        <w:pStyle w:val="TH"/>
      </w:pPr>
      <w:r w:rsidRPr="004D0DAA">
        <w:t>Table 13.2.1: Specification of timers used in GPRS on the Network side</w:t>
      </w:r>
    </w:p>
    <w:tbl>
      <w:tblPr>
        <w:tblW w:w="986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907"/>
        <w:gridCol w:w="2665"/>
        <w:gridCol w:w="2665"/>
        <w:gridCol w:w="2665"/>
        <w:gridCol w:w="964"/>
      </w:tblGrid>
      <w:tr w:rsidR="00711444" w:rsidRPr="004D0DAA" w14:paraId="58233A66" w14:textId="77777777" w:rsidTr="00AA2A4C">
        <w:tblPrEx>
          <w:tblCellMar>
            <w:top w:w="0" w:type="dxa"/>
            <w:bottom w:w="0" w:type="dxa"/>
          </w:tblCellMar>
        </w:tblPrEx>
        <w:trPr>
          <w:cantSplit/>
          <w:jc w:val="center"/>
        </w:trPr>
        <w:tc>
          <w:tcPr>
            <w:tcW w:w="907" w:type="dxa"/>
          </w:tcPr>
          <w:p w14:paraId="1836AC95" w14:textId="77777777" w:rsidR="00711444" w:rsidRPr="004D0DAA" w:rsidRDefault="00711444" w:rsidP="00AA2A4C">
            <w:pPr>
              <w:pStyle w:val="TAH"/>
              <w:rPr>
                <w:lang w:eastAsia="en-US"/>
              </w:rPr>
            </w:pPr>
            <w:r w:rsidRPr="004D0DAA">
              <w:rPr>
                <w:lang w:eastAsia="en-US"/>
              </w:rPr>
              <w:t>timer</w:t>
            </w:r>
          </w:p>
        </w:tc>
        <w:tc>
          <w:tcPr>
            <w:tcW w:w="2665" w:type="dxa"/>
            <w:tcBorders>
              <w:left w:val="single" w:sz="6" w:space="0" w:color="auto"/>
            </w:tcBorders>
          </w:tcPr>
          <w:p w14:paraId="0487913F" w14:textId="77777777" w:rsidR="00711444" w:rsidRPr="004D0DAA" w:rsidRDefault="00711444" w:rsidP="00AA2A4C">
            <w:pPr>
              <w:pStyle w:val="TAH"/>
              <w:rPr>
                <w:lang w:eastAsia="en-US"/>
              </w:rPr>
            </w:pPr>
            <w:r w:rsidRPr="004D0DAA">
              <w:rPr>
                <w:lang w:eastAsia="en-US"/>
              </w:rPr>
              <w:t>started</w:t>
            </w:r>
          </w:p>
        </w:tc>
        <w:tc>
          <w:tcPr>
            <w:tcW w:w="2665" w:type="dxa"/>
            <w:tcBorders>
              <w:left w:val="single" w:sz="6" w:space="0" w:color="auto"/>
            </w:tcBorders>
          </w:tcPr>
          <w:p w14:paraId="5FDBCB71" w14:textId="77777777" w:rsidR="00711444" w:rsidRPr="004D0DAA" w:rsidRDefault="00711444" w:rsidP="00AA2A4C">
            <w:pPr>
              <w:pStyle w:val="TAH"/>
              <w:rPr>
                <w:lang w:eastAsia="en-US"/>
              </w:rPr>
            </w:pPr>
            <w:r w:rsidRPr="004D0DAA">
              <w:rPr>
                <w:lang w:eastAsia="en-US"/>
              </w:rPr>
              <w:t>stopped</w:t>
            </w:r>
          </w:p>
        </w:tc>
        <w:tc>
          <w:tcPr>
            <w:tcW w:w="2665" w:type="dxa"/>
            <w:tcBorders>
              <w:left w:val="single" w:sz="6" w:space="0" w:color="auto"/>
            </w:tcBorders>
          </w:tcPr>
          <w:p w14:paraId="0E1898AD" w14:textId="77777777" w:rsidR="00711444" w:rsidRPr="004D0DAA" w:rsidRDefault="00711444" w:rsidP="00AA2A4C">
            <w:pPr>
              <w:pStyle w:val="TAH"/>
              <w:rPr>
                <w:lang w:eastAsia="en-US"/>
              </w:rPr>
            </w:pPr>
            <w:r w:rsidRPr="004D0DAA">
              <w:rPr>
                <w:lang w:eastAsia="en-US"/>
              </w:rPr>
              <w:t>action at expiry</w:t>
            </w:r>
          </w:p>
        </w:tc>
        <w:tc>
          <w:tcPr>
            <w:tcW w:w="964" w:type="dxa"/>
            <w:tcBorders>
              <w:left w:val="single" w:sz="6" w:space="0" w:color="auto"/>
            </w:tcBorders>
          </w:tcPr>
          <w:p w14:paraId="60A5EA88" w14:textId="77777777" w:rsidR="00711444" w:rsidRPr="004D0DAA" w:rsidRDefault="00711444" w:rsidP="00AA2A4C">
            <w:pPr>
              <w:pStyle w:val="TAH"/>
              <w:rPr>
                <w:lang w:eastAsia="en-US"/>
              </w:rPr>
            </w:pPr>
            <w:r w:rsidRPr="004D0DAA">
              <w:rPr>
                <w:lang w:eastAsia="en-US"/>
              </w:rPr>
              <w:t>typical value</w:t>
            </w:r>
          </w:p>
        </w:tc>
      </w:tr>
      <w:tr w:rsidR="00711444" w:rsidRPr="004D0DAA" w14:paraId="06E6F980" w14:textId="77777777" w:rsidTr="00AA2A4C">
        <w:tblPrEx>
          <w:tblCellMar>
            <w:top w:w="0" w:type="dxa"/>
            <w:bottom w:w="0" w:type="dxa"/>
          </w:tblCellMar>
        </w:tblPrEx>
        <w:trPr>
          <w:cantSplit/>
          <w:jc w:val="center"/>
        </w:trPr>
        <w:tc>
          <w:tcPr>
            <w:tcW w:w="907" w:type="dxa"/>
          </w:tcPr>
          <w:p w14:paraId="5A843079" w14:textId="77777777" w:rsidR="00711444" w:rsidRPr="004D0DAA" w:rsidRDefault="00711444" w:rsidP="00AA2A4C">
            <w:pPr>
              <w:pStyle w:val="TAC"/>
              <w:rPr>
                <w:lang w:eastAsia="en-US"/>
              </w:rPr>
            </w:pPr>
            <w:r w:rsidRPr="004D0DAA">
              <w:rPr>
                <w:lang w:eastAsia="en-US"/>
              </w:rPr>
              <w:t>T3169 (per TBF)</w:t>
            </w:r>
          </w:p>
        </w:tc>
        <w:tc>
          <w:tcPr>
            <w:tcW w:w="2665" w:type="dxa"/>
            <w:tcBorders>
              <w:left w:val="single" w:sz="6" w:space="0" w:color="auto"/>
            </w:tcBorders>
          </w:tcPr>
          <w:p w14:paraId="1C446E7F" w14:textId="77777777" w:rsidR="00711444" w:rsidRPr="004D0DAA" w:rsidRDefault="00711444" w:rsidP="00AA2A4C">
            <w:pPr>
              <w:pStyle w:val="TAL"/>
              <w:rPr>
                <w:lang w:eastAsia="en-US"/>
              </w:rPr>
            </w:pPr>
            <w:r w:rsidRPr="004D0DAA">
              <w:rPr>
                <w:lang w:eastAsia="en-US"/>
              </w:rPr>
              <w:t>If counter N3101 = N3101_MAX, or if counter N3103 = N3103_MAX an instance of T3169 is started for this TBF</w:t>
            </w:r>
          </w:p>
          <w:p w14:paraId="084FBE21" w14:textId="77777777" w:rsidR="00711444" w:rsidRPr="004D0DAA" w:rsidRDefault="00711444" w:rsidP="00AA2A4C"/>
        </w:tc>
        <w:tc>
          <w:tcPr>
            <w:tcW w:w="2665" w:type="dxa"/>
            <w:tcBorders>
              <w:left w:val="single" w:sz="6" w:space="0" w:color="auto"/>
            </w:tcBorders>
          </w:tcPr>
          <w:p w14:paraId="763DB01B" w14:textId="77777777" w:rsidR="00711444" w:rsidRPr="004D0DAA" w:rsidRDefault="00711444" w:rsidP="00AA2A4C">
            <w:pPr>
              <w:pStyle w:val="TAL"/>
              <w:rPr>
                <w:lang w:eastAsia="en-US"/>
              </w:rPr>
            </w:pPr>
            <w:r w:rsidRPr="004D0DAA">
              <w:rPr>
                <w:lang w:eastAsia="en-US"/>
              </w:rPr>
              <w:t>None</w:t>
            </w:r>
          </w:p>
        </w:tc>
        <w:tc>
          <w:tcPr>
            <w:tcW w:w="2665" w:type="dxa"/>
            <w:tcBorders>
              <w:left w:val="single" w:sz="6" w:space="0" w:color="auto"/>
            </w:tcBorders>
          </w:tcPr>
          <w:p w14:paraId="3799FDE3" w14:textId="77777777" w:rsidR="00711444" w:rsidRPr="004D0DAA" w:rsidRDefault="00711444" w:rsidP="00AA2A4C">
            <w:pPr>
              <w:pStyle w:val="TAL"/>
              <w:rPr>
                <w:lang w:eastAsia="en-US"/>
              </w:rPr>
            </w:pPr>
            <w:r w:rsidRPr="004D0DAA">
              <w:rPr>
                <w:lang w:eastAsia="en-US"/>
              </w:rPr>
              <w:t>The network releases USF and TFI resources.</w:t>
            </w:r>
          </w:p>
        </w:tc>
        <w:tc>
          <w:tcPr>
            <w:tcW w:w="964" w:type="dxa"/>
            <w:tcBorders>
              <w:left w:val="single" w:sz="6" w:space="0" w:color="auto"/>
            </w:tcBorders>
          </w:tcPr>
          <w:p w14:paraId="29ADAD88" w14:textId="77777777" w:rsidR="00711444" w:rsidRPr="004D0DAA" w:rsidRDefault="00711444" w:rsidP="00AA2A4C">
            <w:pPr>
              <w:pStyle w:val="TAL"/>
              <w:rPr>
                <w:lang w:eastAsia="en-US"/>
              </w:rPr>
            </w:pPr>
            <w:r w:rsidRPr="004D0DAA">
              <w:rPr>
                <w:lang w:eastAsia="en-US"/>
              </w:rPr>
              <w:t>5 s</w:t>
            </w:r>
          </w:p>
        </w:tc>
      </w:tr>
      <w:tr w:rsidR="00711444" w:rsidRPr="004D0DAA" w14:paraId="27788E93" w14:textId="77777777" w:rsidTr="00AA2A4C">
        <w:tblPrEx>
          <w:tblCellMar>
            <w:top w:w="0" w:type="dxa"/>
            <w:bottom w:w="0" w:type="dxa"/>
          </w:tblCellMar>
        </w:tblPrEx>
        <w:trPr>
          <w:cantSplit/>
          <w:jc w:val="center"/>
        </w:trPr>
        <w:tc>
          <w:tcPr>
            <w:tcW w:w="907" w:type="dxa"/>
          </w:tcPr>
          <w:p w14:paraId="65FE54BA" w14:textId="77777777" w:rsidR="00711444" w:rsidRPr="004D0DAA" w:rsidRDefault="00711444" w:rsidP="00AA2A4C">
            <w:pPr>
              <w:pStyle w:val="TAC"/>
              <w:rPr>
                <w:lang w:eastAsia="en-US"/>
              </w:rPr>
            </w:pPr>
            <w:r w:rsidRPr="004D0DAA">
              <w:rPr>
                <w:lang w:eastAsia="en-US"/>
              </w:rPr>
              <w:t>T3191 (per TBF/ per RLC (NOTE 1))</w:t>
            </w:r>
          </w:p>
          <w:p w14:paraId="69054A5F" w14:textId="77777777" w:rsidR="00711444" w:rsidRPr="004D0DAA" w:rsidRDefault="00711444" w:rsidP="00AA2A4C">
            <w:pPr>
              <w:pStyle w:val="TAC"/>
              <w:rPr>
                <w:lang w:eastAsia="en-US"/>
              </w:rPr>
            </w:pPr>
          </w:p>
          <w:p w14:paraId="0B030072" w14:textId="77777777" w:rsidR="00711444" w:rsidRPr="004D0DAA" w:rsidRDefault="00711444" w:rsidP="00AA2A4C">
            <w:pPr>
              <w:pStyle w:val="TAC"/>
              <w:rPr>
                <w:lang w:eastAsia="en-US"/>
              </w:rPr>
            </w:pPr>
          </w:p>
          <w:p w14:paraId="0D34D867" w14:textId="77777777" w:rsidR="00711444" w:rsidRPr="004D0DAA" w:rsidRDefault="00711444" w:rsidP="00AA2A4C">
            <w:pPr>
              <w:pStyle w:val="TAC"/>
              <w:rPr>
                <w:lang w:eastAsia="en-US"/>
              </w:rPr>
            </w:pPr>
          </w:p>
          <w:p w14:paraId="3F5EA9BB" w14:textId="77777777" w:rsidR="00711444" w:rsidRPr="004D0DAA" w:rsidRDefault="00711444" w:rsidP="00AA2A4C">
            <w:pPr>
              <w:pStyle w:val="TAC"/>
              <w:rPr>
                <w:lang w:eastAsia="en-US"/>
              </w:rPr>
            </w:pPr>
          </w:p>
          <w:p w14:paraId="2DA23B42" w14:textId="77777777" w:rsidR="00711444" w:rsidRPr="004D0DAA" w:rsidRDefault="00711444" w:rsidP="00AA2A4C">
            <w:pPr>
              <w:pStyle w:val="TAC"/>
              <w:rPr>
                <w:lang w:eastAsia="en-US"/>
              </w:rPr>
            </w:pPr>
          </w:p>
          <w:p w14:paraId="43C82207" w14:textId="77777777" w:rsidR="00711444" w:rsidRPr="004D0DAA" w:rsidRDefault="00711444" w:rsidP="00AA2A4C">
            <w:pPr>
              <w:pStyle w:val="TAC"/>
              <w:rPr>
                <w:lang w:eastAsia="en-US"/>
              </w:rPr>
            </w:pPr>
          </w:p>
          <w:p w14:paraId="6FCE3238" w14:textId="77777777" w:rsidR="00711444" w:rsidRPr="004D0DAA" w:rsidRDefault="00711444" w:rsidP="00AA2A4C">
            <w:pPr>
              <w:pStyle w:val="TAC"/>
              <w:rPr>
                <w:lang w:eastAsia="en-US"/>
              </w:rPr>
            </w:pPr>
          </w:p>
          <w:p w14:paraId="546979B7" w14:textId="77777777" w:rsidR="00711444" w:rsidRPr="004D0DAA" w:rsidRDefault="00711444" w:rsidP="00AA2A4C">
            <w:pPr>
              <w:pStyle w:val="TAC"/>
              <w:rPr>
                <w:lang w:eastAsia="en-US"/>
              </w:rPr>
            </w:pPr>
          </w:p>
          <w:p w14:paraId="6D6F468E" w14:textId="77777777" w:rsidR="00711444" w:rsidRPr="004D0DAA" w:rsidRDefault="00711444" w:rsidP="00AA2A4C">
            <w:pPr>
              <w:pStyle w:val="TAC"/>
              <w:rPr>
                <w:lang w:eastAsia="en-US"/>
              </w:rPr>
            </w:pPr>
            <w:r w:rsidRPr="004D0DAA">
              <w:rPr>
                <w:lang w:eastAsia="en-US"/>
              </w:rPr>
              <w:t>(per MBMS radio bearer)</w:t>
            </w:r>
          </w:p>
        </w:tc>
        <w:tc>
          <w:tcPr>
            <w:tcW w:w="2665" w:type="dxa"/>
            <w:tcBorders>
              <w:left w:val="single" w:sz="6" w:space="0" w:color="auto"/>
            </w:tcBorders>
          </w:tcPr>
          <w:p w14:paraId="60F2B70F" w14:textId="77777777" w:rsidR="00711444" w:rsidRPr="004D0DAA" w:rsidRDefault="00711444" w:rsidP="00AA2A4C">
            <w:pPr>
              <w:pStyle w:val="TAL"/>
              <w:rPr>
                <w:lang w:eastAsia="en-US"/>
              </w:rPr>
            </w:pPr>
            <w:r w:rsidRPr="004D0DAA">
              <w:rPr>
                <w:lang w:eastAsia="en-US"/>
              </w:rPr>
              <w:t>When the last RLC data block is sent with the FBI bit set to '1' an instance of T3191 is started for this TBF</w:t>
            </w:r>
          </w:p>
          <w:p w14:paraId="5A65B5DB" w14:textId="77777777" w:rsidR="00711444" w:rsidRPr="004D0DAA" w:rsidRDefault="00711444" w:rsidP="00AA2A4C">
            <w:pPr>
              <w:pStyle w:val="TAL"/>
              <w:rPr>
                <w:lang w:eastAsia="en-US"/>
              </w:rPr>
            </w:pPr>
          </w:p>
          <w:p w14:paraId="0AFE729F" w14:textId="77777777" w:rsidR="00711444" w:rsidRPr="004D0DAA" w:rsidRDefault="00711444" w:rsidP="00AA2A4C">
            <w:pPr>
              <w:pStyle w:val="TAL"/>
              <w:rPr>
                <w:lang w:eastAsia="en-US"/>
              </w:rPr>
            </w:pPr>
          </w:p>
          <w:p w14:paraId="5E7FEBFE" w14:textId="77777777" w:rsidR="00711444" w:rsidRPr="004D0DAA" w:rsidRDefault="00711444" w:rsidP="00AA2A4C">
            <w:pPr>
              <w:pStyle w:val="TAL"/>
              <w:rPr>
                <w:lang w:eastAsia="en-US"/>
              </w:rPr>
            </w:pPr>
          </w:p>
          <w:p w14:paraId="6C8D4BE2" w14:textId="77777777" w:rsidR="00711444" w:rsidRPr="004D0DAA" w:rsidRDefault="00711444" w:rsidP="00AA2A4C">
            <w:pPr>
              <w:pStyle w:val="TAL"/>
              <w:rPr>
                <w:lang w:eastAsia="en-US"/>
              </w:rPr>
            </w:pPr>
          </w:p>
          <w:p w14:paraId="03A50A6D" w14:textId="77777777" w:rsidR="00711444" w:rsidRPr="004D0DAA" w:rsidRDefault="00711444" w:rsidP="00AA2A4C">
            <w:pPr>
              <w:pStyle w:val="TAL"/>
              <w:rPr>
                <w:lang w:eastAsia="en-US"/>
              </w:rPr>
            </w:pPr>
          </w:p>
          <w:p w14:paraId="6D8DABAC" w14:textId="77777777" w:rsidR="00711444" w:rsidRPr="004D0DAA" w:rsidRDefault="00711444" w:rsidP="00AA2A4C">
            <w:pPr>
              <w:pStyle w:val="TAL"/>
              <w:rPr>
                <w:lang w:eastAsia="en-US"/>
              </w:rPr>
            </w:pPr>
          </w:p>
          <w:p w14:paraId="6EFFC889" w14:textId="77777777" w:rsidR="00711444" w:rsidRPr="004D0DAA" w:rsidRDefault="00711444" w:rsidP="00AA2A4C">
            <w:pPr>
              <w:pStyle w:val="TAL"/>
              <w:rPr>
                <w:lang w:eastAsia="en-US"/>
              </w:rPr>
            </w:pPr>
            <w:r w:rsidRPr="004D0DAA">
              <w:rPr>
                <w:lang w:eastAsia="en-US"/>
              </w:rPr>
              <w:t>When the PACKET TBF RELEASE message is sent</w:t>
            </w:r>
          </w:p>
        </w:tc>
        <w:tc>
          <w:tcPr>
            <w:tcW w:w="2665" w:type="dxa"/>
            <w:tcBorders>
              <w:left w:val="single" w:sz="6" w:space="0" w:color="auto"/>
            </w:tcBorders>
          </w:tcPr>
          <w:p w14:paraId="65BD3511" w14:textId="77777777" w:rsidR="00711444" w:rsidRPr="004D0DAA" w:rsidRDefault="00711444" w:rsidP="00AA2A4C">
            <w:pPr>
              <w:pStyle w:val="TAL"/>
              <w:rPr>
                <w:lang w:eastAsia="en-US"/>
              </w:rPr>
            </w:pPr>
            <w:r w:rsidRPr="004D0DAA">
              <w:rPr>
                <w:lang w:eastAsia="en-US"/>
              </w:rPr>
              <w:t>When the final (EC) PACKET DOWNLINK ACK/NACK or PACKET CONTROL ACKNOWLEDGEMENT is received</w:t>
            </w:r>
          </w:p>
          <w:p w14:paraId="26A9AC69" w14:textId="77777777" w:rsidR="00711444" w:rsidRPr="004D0DAA" w:rsidRDefault="00711444" w:rsidP="00AA2A4C">
            <w:pPr>
              <w:pStyle w:val="TAL"/>
              <w:rPr>
                <w:lang w:eastAsia="en-US"/>
              </w:rPr>
            </w:pPr>
          </w:p>
          <w:p w14:paraId="56480CD0" w14:textId="77777777" w:rsidR="00711444" w:rsidRPr="004D0DAA" w:rsidRDefault="00711444" w:rsidP="00AA2A4C">
            <w:pPr>
              <w:pStyle w:val="TAL"/>
              <w:rPr>
                <w:lang w:eastAsia="en-US"/>
              </w:rPr>
            </w:pPr>
            <w:r w:rsidRPr="004D0DAA">
              <w:rPr>
                <w:lang w:eastAsia="en-US"/>
              </w:rPr>
              <w:t>Restarted at the transmission of an RLC data block with the FBI bit set to '1'.</w:t>
            </w:r>
          </w:p>
          <w:p w14:paraId="25206B25" w14:textId="77777777" w:rsidR="00711444" w:rsidRPr="004D0DAA" w:rsidRDefault="00711444" w:rsidP="00AA2A4C">
            <w:pPr>
              <w:pStyle w:val="TAL"/>
              <w:rPr>
                <w:lang w:eastAsia="en-US"/>
              </w:rPr>
            </w:pPr>
          </w:p>
          <w:p w14:paraId="67BB2D46" w14:textId="77777777" w:rsidR="00711444" w:rsidRPr="004D0DAA" w:rsidRDefault="00711444" w:rsidP="00AA2A4C">
            <w:pPr>
              <w:pStyle w:val="TAL"/>
              <w:rPr>
                <w:lang w:eastAsia="en-US"/>
              </w:rPr>
            </w:pPr>
            <w:r w:rsidRPr="004D0DAA">
              <w:rPr>
                <w:lang w:eastAsia="en-US"/>
              </w:rPr>
              <w:t>Restarted at the transmission of a further PACKET TBF RELEASE message</w:t>
            </w:r>
          </w:p>
        </w:tc>
        <w:tc>
          <w:tcPr>
            <w:tcW w:w="2665" w:type="dxa"/>
            <w:tcBorders>
              <w:left w:val="single" w:sz="6" w:space="0" w:color="auto"/>
            </w:tcBorders>
          </w:tcPr>
          <w:p w14:paraId="12C4D789" w14:textId="77777777" w:rsidR="00711444" w:rsidRPr="004D0DAA" w:rsidRDefault="00711444" w:rsidP="00AA2A4C">
            <w:pPr>
              <w:pStyle w:val="TAL"/>
              <w:rPr>
                <w:lang w:eastAsia="en-US"/>
              </w:rPr>
            </w:pPr>
            <w:r w:rsidRPr="004D0DAA">
              <w:rPr>
                <w:lang w:eastAsia="en-US"/>
              </w:rPr>
              <w:t>The network releases TFI resources.</w:t>
            </w:r>
          </w:p>
          <w:p w14:paraId="248D54F9" w14:textId="77777777" w:rsidR="00711444" w:rsidRPr="004D0DAA" w:rsidRDefault="00711444" w:rsidP="00AA2A4C">
            <w:pPr>
              <w:pStyle w:val="TAL"/>
              <w:rPr>
                <w:lang w:eastAsia="en-US"/>
              </w:rPr>
            </w:pPr>
          </w:p>
          <w:p w14:paraId="5D01A2C1" w14:textId="77777777" w:rsidR="00711444" w:rsidRPr="004D0DAA" w:rsidRDefault="00711444" w:rsidP="00AA2A4C">
            <w:pPr>
              <w:pStyle w:val="TAL"/>
              <w:rPr>
                <w:lang w:eastAsia="en-US"/>
              </w:rPr>
            </w:pPr>
          </w:p>
          <w:p w14:paraId="22CDBF33" w14:textId="77777777" w:rsidR="00711444" w:rsidRPr="004D0DAA" w:rsidRDefault="00711444" w:rsidP="00AA2A4C">
            <w:pPr>
              <w:pStyle w:val="TAL"/>
              <w:rPr>
                <w:lang w:eastAsia="en-US"/>
              </w:rPr>
            </w:pPr>
          </w:p>
          <w:p w14:paraId="4A2CCF62" w14:textId="77777777" w:rsidR="00711444" w:rsidRPr="004D0DAA" w:rsidRDefault="00711444" w:rsidP="00AA2A4C">
            <w:pPr>
              <w:pStyle w:val="TAL"/>
              <w:rPr>
                <w:lang w:eastAsia="en-US"/>
              </w:rPr>
            </w:pPr>
          </w:p>
          <w:p w14:paraId="341CC3DC" w14:textId="77777777" w:rsidR="00711444" w:rsidRPr="004D0DAA" w:rsidRDefault="00711444" w:rsidP="00AA2A4C">
            <w:pPr>
              <w:pStyle w:val="TAL"/>
              <w:rPr>
                <w:lang w:eastAsia="en-US"/>
              </w:rPr>
            </w:pPr>
          </w:p>
          <w:p w14:paraId="4E929FEB" w14:textId="77777777" w:rsidR="00711444" w:rsidRPr="004D0DAA" w:rsidRDefault="00711444" w:rsidP="00AA2A4C">
            <w:pPr>
              <w:pStyle w:val="TAL"/>
              <w:rPr>
                <w:lang w:eastAsia="en-US"/>
              </w:rPr>
            </w:pPr>
          </w:p>
          <w:p w14:paraId="6A0DE1C5" w14:textId="77777777" w:rsidR="00711444" w:rsidRPr="004D0DAA" w:rsidRDefault="00711444" w:rsidP="00AA2A4C">
            <w:pPr>
              <w:pStyle w:val="TAL"/>
              <w:rPr>
                <w:lang w:eastAsia="en-US"/>
              </w:rPr>
            </w:pPr>
          </w:p>
          <w:p w14:paraId="319B35E2" w14:textId="77777777" w:rsidR="00711444" w:rsidRPr="004D0DAA" w:rsidRDefault="00711444" w:rsidP="00AA2A4C">
            <w:pPr>
              <w:pStyle w:val="TAL"/>
              <w:rPr>
                <w:lang w:eastAsia="en-US"/>
              </w:rPr>
            </w:pPr>
          </w:p>
          <w:p w14:paraId="2A6EE77C" w14:textId="77777777" w:rsidR="00711444" w:rsidRPr="004D0DAA" w:rsidRDefault="00711444" w:rsidP="00AA2A4C">
            <w:pPr>
              <w:pStyle w:val="TAL"/>
              <w:rPr>
                <w:lang w:eastAsia="en-US"/>
              </w:rPr>
            </w:pPr>
            <w:r w:rsidRPr="004D0DAA">
              <w:rPr>
                <w:lang w:eastAsia="en-US"/>
              </w:rPr>
              <w:t>The network releases all the TFIs related to the MBMS radio bearer</w:t>
            </w:r>
          </w:p>
        </w:tc>
        <w:tc>
          <w:tcPr>
            <w:tcW w:w="964" w:type="dxa"/>
            <w:tcBorders>
              <w:left w:val="single" w:sz="6" w:space="0" w:color="auto"/>
            </w:tcBorders>
          </w:tcPr>
          <w:p w14:paraId="7BB3455A" w14:textId="77777777" w:rsidR="00711444" w:rsidRPr="004D0DAA" w:rsidRDefault="00711444" w:rsidP="00AA2A4C">
            <w:pPr>
              <w:pStyle w:val="TAL"/>
              <w:rPr>
                <w:lang w:eastAsia="en-US"/>
              </w:rPr>
            </w:pPr>
            <w:r w:rsidRPr="004D0DAA">
              <w:rPr>
                <w:lang w:eastAsia="en-US"/>
              </w:rPr>
              <w:t>5 s</w:t>
            </w:r>
          </w:p>
        </w:tc>
      </w:tr>
      <w:tr w:rsidR="00711444" w:rsidRPr="004D0DAA" w14:paraId="02D02642" w14:textId="77777777" w:rsidTr="00AA2A4C">
        <w:tblPrEx>
          <w:tblCellMar>
            <w:top w:w="0" w:type="dxa"/>
            <w:bottom w:w="0" w:type="dxa"/>
          </w:tblCellMar>
        </w:tblPrEx>
        <w:trPr>
          <w:cantSplit/>
          <w:jc w:val="center"/>
        </w:trPr>
        <w:tc>
          <w:tcPr>
            <w:tcW w:w="907" w:type="dxa"/>
          </w:tcPr>
          <w:p w14:paraId="57026110" w14:textId="77777777" w:rsidR="00711444" w:rsidRPr="004D0DAA" w:rsidRDefault="00711444" w:rsidP="00AA2A4C">
            <w:pPr>
              <w:pStyle w:val="TAC"/>
              <w:rPr>
                <w:lang w:eastAsia="en-US"/>
              </w:rPr>
            </w:pPr>
            <w:r w:rsidRPr="004D0DAA">
              <w:rPr>
                <w:lang w:eastAsia="en-US"/>
              </w:rPr>
              <w:t>T3193 (per TBF/ per RLC (NOTE 1))</w:t>
            </w:r>
          </w:p>
        </w:tc>
        <w:tc>
          <w:tcPr>
            <w:tcW w:w="2665" w:type="dxa"/>
            <w:tcBorders>
              <w:left w:val="single" w:sz="6" w:space="0" w:color="auto"/>
            </w:tcBorders>
          </w:tcPr>
          <w:p w14:paraId="11527D7B" w14:textId="77777777" w:rsidR="00711444" w:rsidRPr="004D0DAA" w:rsidRDefault="00711444" w:rsidP="00AA2A4C">
            <w:pPr>
              <w:pStyle w:val="TAL"/>
              <w:rPr>
                <w:lang w:eastAsia="en-US"/>
              </w:rPr>
            </w:pPr>
            <w:r w:rsidRPr="004D0DAA">
              <w:rPr>
                <w:lang w:eastAsia="en-US"/>
              </w:rPr>
              <w:t>When the final (EC) PACKET DOWNLINK ACK/NACK or PACKET CONTROL ACKNOWLEDGEMENT is received an instance of T3193 is started for this TBF</w:t>
            </w:r>
          </w:p>
        </w:tc>
        <w:tc>
          <w:tcPr>
            <w:tcW w:w="2665" w:type="dxa"/>
            <w:tcBorders>
              <w:left w:val="single" w:sz="6" w:space="0" w:color="auto"/>
            </w:tcBorders>
          </w:tcPr>
          <w:p w14:paraId="24A482EB" w14:textId="77777777" w:rsidR="00711444" w:rsidRPr="004D0DAA" w:rsidRDefault="00711444" w:rsidP="00AA2A4C">
            <w:pPr>
              <w:pStyle w:val="TAL"/>
              <w:rPr>
                <w:lang w:eastAsia="en-US"/>
              </w:rPr>
            </w:pPr>
            <w:r w:rsidRPr="004D0DAA">
              <w:rPr>
                <w:lang w:eastAsia="en-US"/>
              </w:rPr>
              <w:t xml:space="preserve">Stopped when the network establishes a new downlink TBF using the same TFI value. </w:t>
            </w:r>
            <w:r w:rsidRPr="004D0DAA">
              <w:rPr>
                <w:lang w:eastAsia="en-US"/>
              </w:rPr>
              <w:br/>
            </w:r>
          </w:p>
          <w:p w14:paraId="563F43CB" w14:textId="77777777" w:rsidR="00711444" w:rsidRPr="004D0DAA" w:rsidRDefault="00711444" w:rsidP="00AA2A4C">
            <w:pPr>
              <w:pStyle w:val="TAL"/>
              <w:rPr>
                <w:lang w:eastAsia="en-US"/>
              </w:rPr>
            </w:pPr>
            <w:r w:rsidRPr="004D0DAA">
              <w:rPr>
                <w:lang w:eastAsia="en-US"/>
              </w:rPr>
              <w:t>For an EC TBF, stopped when the network establishes a new downlink EC TBF or a new uplink EC TBF.</w:t>
            </w:r>
          </w:p>
          <w:p w14:paraId="54189517" w14:textId="77777777" w:rsidR="00711444" w:rsidRPr="004D0DAA" w:rsidRDefault="00711444" w:rsidP="00AA2A4C">
            <w:pPr>
              <w:pStyle w:val="TAL"/>
              <w:rPr>
                <w:lang w:eastAsia="en-US"/>
              </w:rPr>
            </w:pPr>
            <w:r w:rsidRPr="004D0DAA">
              <w:rPr>
                <w:lang w:eastAsia="en-US"/>
              </w:rPr>
              <w:br/>
              <w:t>Restarted at the reception of the final (EC) PACKET DOWNLINK ACK/NACK or PACKET CONTROL ACKNOWLEDGEMENT.</w:t>
            </w:r>
          </w:p>
        </w:tc>
        <w:tc>
          <w:tcPr>
            <w:tcW w:w="2665" w:type="dxa"/>
            <w:tcBorders>
              <w:left w:val="single" w:sz="6" w:space="0" w:color="auto"/>
            </w:tcBorders>
          </w:tcPr>
          <w:p w14:paraId="4E1C8519" w14:textId="77777777" w:rsidR="00711444" w:rsidRPr="004D0DAA" w:rsidRDefault="00711444" w:rsidP="00AA2A4C">
            <w:pPr>
              <w:pStyle w:val="TAL"/>
              <w:rPr>
                <w:lang w:eastAsia="en-US"/>
              </w:rPr>
            </w:pPr>
            <w:r w:rsidRPr="004D0DAA">
              <w:rPr>
                <w:lang w:eastAsia="en-US"/>
              </w:rPr>
              <w:t>The network releases TFI resources.</w:t>
            </w:r>
          </w:p>
        </w:tc>
        <w:tc>
          <w:tcPr>
            <w:tcW w:w="964" w:type="dxa"/>
            <w:tcBorders>
              <w:left w:val="single" w:sz="6" w:space="0" w:color="auto"/>
            </w:tcBorders>
          </w:tcPr>
          <w:p w14:paraId="372ADF95" w14:textId="77777777" w:rsidR="00711444" w:rsidRPr="004D0DAA" w:rsidRDefault="00711444" w:rsidP="00AA2A4C">
            <w:pPr>
              <w:pStyle w:val="TAL"/>
              <w:rPr>
                <w:lang w:eastAsia="en-US"/>
              </w:rPr>
            </w:pPr>
            <w:r w:rsidRPr="004D0DAA">
              <w:rPr>
                <w:lang w:eastAsia="en-US"/>
              </w:rPr>
              <w:t>Greater than T3192</w:t>
            </w:r>
          </w:p>
        </w:tc>
      </w:tr>
      <w:tr w:rsidR="00711444" w:rsidRPr="004D0DAA" w14:paraId="40961B89" w14:textId="77777777" w:rsidTr="00AA2A4C">
        <w:tblPrEx>
          <w:tblCellMar>
            <w:top w:w="0" w:type="dxa"/>
            <w:bottom w:w="0" w:type="dxa"/>
          </w:tblCellMar>
        </w:tblPrEx>
        <w:trPr>
          <w:cantSplit/>
          <w:jc w:val="center"/>
        </w:trPr>
        <w:tc>
          <w:tcPr>
            <w:tcW w:w="907" w:type="dxa"/>
          </w:tcPr>
          <w:p w14:paraId="06585E43" w14:textId="77777777" w:rsidR="00711444" w:rsidRPr="004D0DAA" w:rsidRDefault="00711444" w:rsidP="00AA2A4C">
            <w:pPr>
              <w:pStyle w:val="TAC"/>
              <w:rPr>
                <w:lang w:eastAsia="en-US"/>
              </w:rPr>
            </w:pPr>
            <w:r w:rsidRPr="004D0DAA">
              <w:rPr>
                <w:lang w:eastAsia="en-US"/>
              </w:rPr>
              <w:t>T3195 (per TBF)</w:t>
            </w:r>
          </w:p>
          <w:p w14:paraId="0724F13C" w14:textId="77777777" w:rsidR="00711444" w:rsidRPr="004D0DAA" w:rsidRDefault="00711444" w:rsidP="00AA2A4C">
            <w:pPr>
              <w:pStyle w:val="TAC"/>
              <w:rPr>
                <w:lang w:eastAsia="en-US"/>
              </w:rPr>
            </w:pPr>
          </w:p>
          <w:p w14:paraId="2F473A71" w14:textId="77777777" w:rsidR="00711444" w:rsidRPr="004D0DAA" w:rsidRDefault="00711444" w:rsidP="00AA2A4C">
            <w:pPr>
              <w:pStyle w:val="TAC"/>
              <w:rPr>
                <w:lang w:eastAsia="en-US"/>
              </w:rPr>
            </w:pPr>
          </w:p>
          <w:p w14:paraId="5A99DFB6" w14:textId="77777777" w:rsidR="00711444" w:rsidRPr="004D0DAA" w:rsidRDefault="00711444" w:rsidP="00AA2A4C">
            <w:pPr>
              <w:pStyle w:val="TAC"/>
              <w:rPr>
                <w:lang w:eastAsia="en-US"/>
              </w:rPr>
            </w:pPr>
            <w:r w:rsidRPr="004D0DAA">
              <w:rPr>
                <w:lang w:eastAsia="en-US"/>
              </w:rPr>
              <w:t>(per MS_ID on an MBMS radio bearer)</w:t>
            </w:r>
          </w:p>
        </w:tc>
        <w:tc>
          <w:tcPr>
            <w:tcW w:w="2665" w:type="dxa"/>
            <w:tcBorders>
              <w:left w:val="single" w:sz="6" w:space="0" w:color="auto"/>
            </w:tcBorders>
          </w:tcPr>
          <w:p w14:paraId="5C283A2F" w14:textId="77777777" w:rsidR="00711444" w:rsidRPr="004D0DAA" w:rsidRDefault="00711444" w:rsidP="00AA2A4C">
            <w:pPr>
              <w:pStyle w:val="TAL"/>
              <w:rPr>
                <w:lang w:eastAsia="en-US"/>
              </w:rPr>
            </w:pPr>
            <w:r w:rsidRPr="004D0DAA">
              <w:rPr>
                <w:lang w:eastAsia="en-US"/>
              </w:rPr>
              <w:t>If counter N3105 = N3105_MAX an instance of T3195 is started for this TBF</w:t>
            </w:r>
          </w:p>
          <w:p w14:paraId="0E4CFA97" w14:textId="77777777" w:rsidR="00711444" w:rsidRPr="004D0DAA" w:rsidRDefault="00711444" w:rsidP="00AA2A4C">
            <w:pPr>
              <w:pStyle w:val="TAL"/>
              <w:rPr>
                <w:lang w:eastAsia="en-US"/>
              </w:rPr>
            </w:pPr>
          </w:p>
          <w:p w14:paraId="3A361A58" w14:textId="77777777" w:rsidR="00711444" w:rsidRPr="004D0DAA" w:rsidRDefault="00711444" w:rsidP="00AA2A4C">
            <w:pPr>
              <w:pStyle w:val="TAL"/>
              <w:rPr>
                <w:lang w:eastAsia="en-US"/>
              </w:rPr>
            </w:pPr>
            <w:r w:rsidRPr="004D0DAA">
              <w:rPr>
                <w:lang w:eastAsia="en-US"/>
              </w:rPr>
              <w:t>If counter N3105 = N3105_MBMS_MAX an instance of T3195 is started</w:t>
            </w:r>
          </w:p>
          <w:p w14:paraId="489D713E" w14:textId="77777777" w:rsidR="00711444" w:rsidRPr="004D0DAA" w:rsidRDefault="00711444" w:rsidP="00AA2A4C"/>
        </w:tc>
        <w:tc>
          <w:tcPr>
            <w:tcW w:w="2665" w:type="dxa"/>
            <w:tcBorders>
              <w:left w:val="single" w:sz="6" w:space="0" w:color="auto"/>
            </w:tcBorders>
          </w:tcPr>
          <w:p w14:paraId="5B0E381B" w14:textId="77777777" w:rsidR="00711444" w:rsidRPr="004D0DAA" w:rsidRDefault="00711444" w:rsidP="00AA2A4C">
            <w:pPr>
              <w:pStyle w:val="TAL"/>
              <w:rPr>
                <w:lang w:eastAsia="en-US"/>
              </w:rPr>
            </w:pPr>
            <w:r w:rsidRPr="004D0DAA">
              <w:rPr>
                <w:lang w:eastAsia="en-US"/>
              </w:rPr>
              <w:t>None</w:t>
            </w:r>
          </w:p>
        </w:tc>
        <w:tc>
          <w:tcPr>
            <w:tcW w:w="2665" w:type="dxa"/>
            <w:tcBorders>
              <w:left w:val="single" w:sz="6" w:space="0" w:color="auto"/>
            </w:tcBorders>
          </w:tcPr>
          <w:p w14:paraId="4B8B42D1" w14:textId="77777777" w:rsidR="00711444" w:rsidRPr="004D0DAA" w:rsidRDefault="00711444" w:rsidP="00AA2A4C">
            <w:pPr>
              <w:pStyle w:val="TAL"/>
              <w:rPr>
                <w:lang w:eastAsia="en-US"/>
              </w:rPr>
            </w:pPr>
            <w:r w:rsidRPr="004D0DAA">
              <w:rPr>
                <w:lang w:eastAsia="en-US"/>
              </w:rPr>
              <w:t>The network</w:t>
            </w:r>
            <w:r w:rsidRPr="004D0DAA">
              <w:rPr>
                <w:lang w:eastAsia="zh-CN"/>
              </w:rPr>
              <w:t xml:space="preserve"> may reuse the</w:t>
            </w:r>
            <w:r w:rsidRPr="004D0DAA">
              <w:rPr>
                <w:lang w:eastAsia="en-US"/>
              </w:rPr>
              <w:t xml:space="preserve"> TFI resources.</w:t>
            </w:r>
          </w:p>
          <w:p w14:paraId="388F320E" w14:textId="77777777" w:rsidR="00711444" w:rsidRPr="004D0DAA" w:rsidRDefault="00711444" w:rsidP="00AA2A4C">
            <w:pPr>
              <w:pStyle w:val="TAL"/>
              <w:rPr>
                <w:lang w:eastAsia="en-US"/>
              </w:rPr>
            </w:pPr>
          </w:p>
          <w:p w14:paraId="68800CAA" w14:textId="77777777" w:rsidR="00711444" w:rsidRPr="004D0DAA" w:rsidRDefault="00711444" w:rsidP="00AA2A4C">
            <w:pPr>
              <w:pStyle w:val="TAL"/>
              <w:rPr>
                <w:lang w:eastAsia="en-US"/>
              </w:rPr>
            </w:pPr>
          </w:p>
          <w:p w14:paraId="1372BDD6" w14:textId="77777777" w:rsidR="00711444" w:rsidRPr="004D0DAA" w:rsidRDefault="00711444" w:rsidP="00AA2A4C">
            <w:pPr>
              <w:pStyle w:val="TAL"/>
              <w:rPr>
                <w:lang w:eastAsia="en-US"/>
              </w:rPr>
            </w:pPr>
            <w:r w:rsidRPr="004D0DAA">
              <w:rPr>
                <w:lang w:eastAsia="en-US"/>
              </w:rPr>
              <w:t xml:space="preserve">The network may reuse the MS_ID on the corresponding MBMS radio bearer. </w:t>
            </w:r>
          </w:p>
        </w:tc>
        <w:tc>
          <w:tcPr>
            <w:tcW w:w="964" w:type="dxa"/>
            <w:tcBorders>
              <w:left w:val="single" w:sz="6" w:space="0" w:color="auto"/>
            </w:tcBorders>
          </w:tcPr>
          <w:p w14:paraId="33E979AF" w14:textId="77777777" w:rsidR="00711444" w:rsidRPr="004D0DAA" w:rsidRDefault="00711444" w:rsidP="00AA2A4C">
            <w:pPr>
              <w:pStyle w:val="TAL"/>
              <w:rPr>
                <w:lang w:eastAsia="en-US"/>
              </w:rPr>
            </w:pPr>
            <w:r w:rsidRPr="004D0DAA">
              <w:rPr>
                <w:lang w:eastAsia="en-US"/>
              </w:rPr>
              <w:t>5 s</w:t>
            </w:r>
          </w:p>
          <w:p w14:paraId="1EEDF83B" w14:textId="77777777" w:rsidR="00711444" w:rsidRPr="004D0DAA" w:rsidRDefault="00711444" w:rsidP="00AA2A4C">
            <w:pPr>
              <w:pStyle w:val="TAL"/>
              <w:rPr>
                <w:lang w:eastAsia="en-US"/>
              </w:rPr>
            </w:pPr>
          </w:p>
          <w:p w14:paraId="2A58B81E" w14:textId="77777777" w:rsidR="00711444" w:rsidRPr="004D0DAA" w:rsidRDefault="00711444" w:rsidP="00AA2A4C">
            <w:pPr>
              <w:pStyle w:val="TAL"/>
              <w:rPr>
                <w:lang w:eastAsia="en-US"/>
              </w:rPr>
            </w:pPr>
          </w:p>
          <w:p w14:paraId="289C11B8" w14:textId="77777777" w:rsidR="00711444" w:rsidRPr="004D0DAA" w:rsidRDefault="00711444" w:rsidP="00AA2A4C">
            <w:pPr>
              <w:pStyle w:val="TAL"/>
              <w:rPr>
                <w:lang w:eastAsia="en-US"/>
              </w:rPr>
            </w:pPr>
          </w:p>
          <w:p w14:paraId="066089E0" w14:textId="77777777" w:rsidR="00711444" w:rsidRPr="004D0DAA" w:rsidRDefault="00711444" w:rsidP="00AA2A4C">
            <w:pPr>
              <w:pStyle w:val="TAL"/>
              <w:rPr>
                <w:lang w:eastAsia="en-US"/>
              </w:rPr>
            </w:pPr>
          </w:p>
        </w:tc>
      </w:tr>
      <w:tr w:rsidR="00711444" w:rsidRPr="004D0DAA" w14:paraId="2FDE4323" w14:textId="77777777" w:rsidTr="00AA2A4C">
        <w:tblPrEx>
          <w:tblCellMar>
            <w:top w:w="0" w:type="dxa"/>
            <w:bottom w:w="0" w:type="dxa"/>
          </w:tblCellMar>
        </w:tblPrEx>
        <w:trPr>
          <w:cantSplit/>
          <w:jc w:val="center"/>
        </w:trPr>
        <w:tc>
          <w:tcPr>
            <w:tcW w:w="907" w:type="dxa"/>
          </w:tcPr>
          <w:p w14:paraId="59AB2358" w14:textId="77777777" w:rsidR="00711444" w:rsidRPr="004D0DAA" w:rsidRDefault="00711444" w:rsidP="00AA2A4C">
            <w:pPr>
              <w:pStyle w:val="TAC"/>
              <w:rPr>
                <w:lang w:eastAsia="en-US"/>
              </w:rPr>
            </w:pPr>
            <w:r w:rsidRPr="004D0DAA">
              <w:rPr>
                <w:lang w:eastAsia="en-US"/>
              </w:rPr>
              <w:t>T3197</w:t>
            </w:r>
          </w:p>
        </w:tc>
        <w:tc>
          <w:tcPr>
            <w:tcW w:w="2665" w:type="dxa"/>
            <w:tcBorders>
              <w:left w:val="single" w:sz="6" w:space="0" w:color="auto"/>
            </w:tcBorders>
          </w:tcPr>
          <w:p w14:paraId="1577D93D" w14:textId="77777777" w:rsidR="00711444" w:rsidRPr="004D0DAA" w:rsidRDefault="00711444" w:rsidP="00AA2A4C">
            <w:pPr>
              <w:pStyle w:val="TAL"/>
              <w:rPr>
                <w:lang w:eastAsia="en-US"/>
              </w:rPr>
            </w:pPr>
            <w:r w:rsidRPr="004D0DAA">
              <w:rPr>
                <w:lang w:eastAsia="en-US"/>
              </w:rPr>
              <w:t>When PACKET CS RELEASE INDICATION message is transmitted.</w:t>
            </w:r>
          </w:p>
        </w:tc>
        <w:tc>
          <w:tcPr>
            <w:tcW w:w="2665" w:type="dxa"/>
            <w:tcBorders>
              <w:left w:val="single" w:sz="6" w:space="0" w:color="auto"/>
            </w:tcBorders>
          </w:tcPr>
          <w:p w14:paraId="31D5ACB6" w14:textId="77777777" w:rsidR="00711444" w:rsidRPr="004D0DAA" w:rsidRDefault="00711444" w:rsidP="00AA2A4C">
            <w:pPr>
              <w:pStyle w:val="TAL"/>
              <w:rPr>
                <w:lang w:eastAsia="en-US"/>
              </w:rPr>
            </w:pPr>
            <w:r w:rsidRPr="004D0DAA">
              <w:rPr>
                <w:lang w:eastAsia="en-US"/>
              </w:rPr>
              <w:t>On receipt of PACKET SI STATUS or PACKET PSI STATUS message indicating that the mobile station has received system information to maintain its radio resources after the release of the RR connection.</w:t>
            </w:r>
          </w:p>
        </w:tc>
        <w:tc>
          <w:tcPr>
            <w:tcW w:w="2665" w:type="dxa"/>
            <w:tcBorders>
              <w:left w:val="single" w:sz="6" w:space="0" w:color="auto"/>
            </w:tcBorders>
          </w:tcPr>
          <w:p w14:paraId="6D4F9AC1" w14:textId="77777777" w:rsidR="00711444" w:rsidRPr="004D0DAA" w:rsidRDefault="00711444" w:rsidP="00AA2A4C">
            <w:pPr>
              <w:pStyle w:val="TAL"/>
              <w:rPr>
                <w:lang w:eastAsia="en-US"/>
              </w:rPr>
            </w:pPr>
            <w:r w:rsidRPr="004D0DAA">
              <w:rPr>
                <w:lang w:eastAsia="en-US"/>
              </w:rPr>
              <w:t>The network shall send CHANNEL RELEASE message (specified in 3GPP TS 44.018) to the mobile station.</w:t>
            </w:r>
          </w:p>
        </w:tc>
        <w:tc>
          <w:tcPr>
            <w:tcW w:w="964" w:type="dxa"/>
            <w:tcBorders>
              <w:left w:val="single" w:sz="6" w:space="0" w:color="auto"/>
            </w:tcBorders>
          </w:tcPr>
          <w:p w14:paraId="21F0D9BF" w14:textId="77777777" w:rsidR="00711444" w:rsidRPr="004D0DAA" w:rsidRDefault="00711444" w:rsidP="00AA2A4C">
            <w:pPr>
              <w:pStyle w:val="TAL"/>
              <w:rPr>
                <w:lang w:eastAsia="en-US"/>
              </w:rPr>
            </w:pPr>
            <w:r w:rsidRPr="004D0DAA">
              <w:rPr>
                <w:lang w:eastAsia="en-US"/>
              </w:rPr>
              <w:t>2 s</w:t>
            </w:r>
          </w:p>
        </w:tc>
      </w:tr>
      <w:tr w:rsidR="00711444" w:rsidRPr="004D0DAA" w14:paraId="3E1D80CA" w14:textId="77777777" w:rsidTr="00AA2A4C">
        <w:tblPrEx>
          <w:tblCellMar>
            <w:top w:w="0" w:type="dxa"/>
            <w:bottom w:w="0" w:type="dxa"/>
          </w:tblCellMar>
        </w:tblPrEx>
        <w:trPr>
          <w:cantSplit/>
          <w:jc w:val="center"/>
        </w:trPr>
        <w:tc>
          <w:tcPr>
            <w:tcW w:w="907" w:type="dxa"/>
            <w:tcBorders>
              <w:top w:val="single" w:sz="6" w:space="0" w:color="auto"/>
              <w:left w:val="single" w:sz="6" w:space="0" w:color="000000"/>
              <w:bottom w:val="single" w:sz="6" w:space="0" w:color="000000"/>
              <w:right w:val="single" w:sz="6" w:space="0" w:color="auto"/>
            </w:tcBorders>
          </w:tcPr>
          <w:p w14:paraId="7CC26BE1" w14:textId="77777777" w:rsidR="00711444" w:rsidRPr="004D0DAA" w:rsidRDefault="00711444" w:rsidP="00AA2A4C">
            <w:pPr>
              <w:pStyle w:val="TAC"/>
              <w:rPr>
                <w:lang w:eastAsia="en-US"/>
              </w:rPr>
            </w:pPr>
            <w:r w:rsidRPr="004D0DAA">
              <w:rPr>
                <w:lang w:eastAsia="en-US"/>
              </w:rPr>
              <w:lastRenderedPageBreak/>
              <w:t>T3199</w:t>
            </w:r>
          </w:p>
          <w:p w14:paraId="49B19298" w14:textId="77777777" w:rsidR="00711444" w:rsidRPr="004D0DAA" w:rsidRDefault="00711444" w:rsidP="00AA2A4C">
            <w:pPr>
              <w:pStyle w:val="TAC"/>
              <w:rPr>
                <w:lang w:eastAsia="en-US"/>
              </w:rPr>
            </w:pPr>
            <w:r w:rsidRPr="004D0DAA">
              <w:rPr>
                <w:lang w:eastAsia="en-US"/>
              </w:rPr>
              <w:t>(per MS_ID on an MBMS radio bearer)</w:t>
            </w:r>
          </w:p>
        </w:tc>
        <w:tc>
          <w:tcPr>
            <w:tcW w:w="2665" w:type="dxa"/>
            <w:tcBorders>
              <w:top w:val="single" w:sz="6" w:space="0" w:color="auto"/>
              <w:left w:val="single" w:sz="6" w:space="0" w:color="auto"/>
              <w:bottom w:val="single" w:sz="6" w:space="0" w:color="000000"/>
              <w:right w:val="single" w:sz="6" w:space="0" w:color="auto"/>
            </w:tcBorders>
          </w:tcPr>
          <w:p w14:paraId="3C51B4CD" w14:textId="77777777" w:rsidR="00711444" w:rsidRPr="004D0DAA" w:rsidRDefault="00711444" w:rsidP="00AA2A4C">
            <w:pPr>
              <w:pStyle w:val="TAL"/>
              <w:rPr>
                <w:lang w:eastAsia="en-US"/>
              </w:rPr>
            </w:pPr>
            <w:r w:rsidRPr="004D0DAA">
              <w:rPr>
                <w:lang w:eastAsia="en-US"/>
              </w:rPr>
              <w:t>If counter N3109 = N3109_MAX an instance of T3199 is started for this MS_ID.</w:t>
            </w:r>
          </w:p>
          <w:p w14:paraId="2591DF50" w14:textId="77777777" w:rsidR="00711444" w:rsidRPr="004D0DAA" w:rsidRDefault="00711444" w:rsidP="00AA2A4C">
            <w:pPr>
              <w:pStyle w:val="TAL"/>
              <w:rPr>
                <w:lang w:eastAsia="en-US"/>
              </w:rPr>
            </w:pPr>
          </w:p>
          <w:p w14:paraId="6830B46F" w14:textId="77777777" w:rsidR="00711444" w:rsidRPr="004D0DAA" w:rsidRDefault="00711444" w:rsidP="00AA2A4C">
            <w:pPr>
              <w:pStyle w:val="TAL"/>
              <w:rPr>
                <w:lang w:eastAsia="en-US"/>
              </w:rPr>
            </w:pPr>
            <w:r w:rsidRPr="004D0DAA">
              <w:rPr>
                <w:lang w:eastAsia="en-US"/>
              </w:rPr>
              <w:t>At the point in time denoted by the Current MS_ID Expiry Time while no PACKET CONTROL ACKNOWLEDGEMENT message has been received, an instance of T3199 is started for this MS_ID.</w:t>
            </w:r>
          </w:p>
        </w:tc>
        <w:tc>
          <w:tcPr>
            <w:tcW w:w="2665" w:type="dxa"/>
            <w:tcBorders>
              <w:top w:val="single" w:sz="6" w:space="0" w:color="auto"/>
              <w:left w:val="single" w:sz="6" w:space="0" w:color="auto"/>
              <w:bottom w:val="single" w:sz="6" w:space="0" w:color="000000"/>
              <w:right w:val="single" w:sz="6" w:space="0" w:color="auto"/>
            </w:tcBorders>
          </w:tcPr>
          <w:p w14:paraId="2F870541" w14:textId="77777777" w:rsidR="00711444" w:rsidRPr="004D0DAA" w:rsidRDefault="00711444" w:rsidP="00AA2A4C">
            <w:pPr>
              <w:pStyle w:val="TAL"/>
              <w:rPr>
                <w:lang w:eastAsia="en-US"/>
              </w:rPr>
            </w:pPr>
            <w:r w:rsidRPr="004D0DAA">
              <w:rPr>
                <w:lang w:eastAsia="en-US"/>
              </w:rPr>
              <w:t>None</w:t>
            </w:r>
          </w:p>
        </w:tc>
        <w:tc>
          <w:tcPr>
            <w:tcW w:w="2665" w:type="dxa"/>
            <w:tcBorders>
              <w:top w:val="single" w:sz="6" w:space="0" w:color="auto"/>
              <w:left w:val="single" w:sz="6" w:space="0" w:color="auto"/>
              <w:bottom w:val="single" w:sz="6" w:space="0" w:color="000000"/>
              <w:right w:val="single" w:sz="6" w:space="0" w:color="auto"/>
            </w:tcBorders>
          </w:tcPr>
          <w:p w14:paraId="69E15CE9" w14:textId="77777777" w:rsidR="00711444" w:rsidRPr="004D0DAA" w:rsidRDefault="00711444" w:rsidP="00AA2A4C">
            <w:pPr>
              <w:pStyle w:val="TAL"/>
              <w:rPr>
                <w:lang w:eastAsia="en-US"/>
              </w:rPr>
            </w:pPr>
            <w:r w:rsidRPr="004D0DAA">
              <w:rPr>
                <w:lang w:eastAsia="en-US"/>
              </w:rPr>
              <w:t>The network releases the MS_ID on the corresponding MBMS radio bearer.</w:t>
            </w:r>
          </w:p>
        </w:tc>
        <w:tc>
          <w:tcPr>
            <w:tcW w:w="964" w:type="dxa"/>
            <w:tcBorders>
              <w:top w:val="single" w:sz="6" w:space="0" w:color="auto"/>
              <w:left w:val="single" w:sz="6" w:space="0" w:color="auto"/>
              <w:bottom w:val="single" w:sz="6" w:space="0" w:color="000000"/>
              <w:right w:val="single" w:sz="6" w:space="0" w:color="000000"/>
            </w:tcBorders>
          </w:tcPr>
          <w:p w14:paraId="05B64FBC" w14:textId="77777777" w:rsidR="00711444" w:rsidRPr="004D0DAA" w:rsidRDefault="00711444" w:rsidP="00AA2A4C">
            <w:pPr>
              <w:pStyle w:val="TAL"/>
              <w:rPr>
                <w:lang w:eastAsia="en-US"/>
              </w:rPr>
            </w:pPr>
            <w:r w:rsidRPr="004D0DAA">
              <w:rPr>
                <w:b/>
                <w:lang w:eastAsia="en-US"/>
              </w:rPr>
              <w:t>5 s</w:t>
            </w:r>
          </w:p>
        </w:tc>
      </w:tr>
      <w:tr w:rsidR="00711444" w:rsidRPr="004D0DAA" w14:paraId="4CF6341A" w14:textId="77777777" w:rsidTr="00AA2A4C">
        <w:tblPrEx>
          <w:tblCellMar>
            <w:top w:w="0" w:type="dxa"/>
            <w:bottom w:w="0" w:type="dxa"/>
          </w:tblCellMar>
        </w:tblPrEx>
        <w:trPr>
          <w:cantSplit/>
          <w:jc w:val="center"/>
        </w:trPr>
        <w:tc>
          <w:tcPr>
            <w:tcW w:w="907" w:type="dxa"/>
            <w:tcBorders>
              <w:top w:val="single" w:sz="6" w:space="0" w:color="auto"/>
              <w:left w:val="single" w:sz="6" w:space="0" w:color="000000"/>
              <w:bottom w:val="single" w:sz="6" w:space="0" w:color="000000"/>
              <w:right w:val="single" w:sz="6" w:space="0" w:color="auto"/>
            </w:tcBorders>
          </w:tcPr>
          <w:p w14:paraId="0CE2A6A5" w14:textId="77777777" w:rsidR="00711444" w:rsidRPr="004D0DAA" w:rsidRDefault="00711444" w:rsidP="00AA2A4C">
            <w:pPr>
              <w:pStyle w:val="TAC"/>
              <w:rPr>
                <w:lang w:eastAsia="en-US"/>
              </w:rPr>
            </w:pPr>
            <w:r w:rsidRPr="004D0DAA">
              <w:rPr>
                <w:lang w:eastAsia="en-US"/>
              </w:rPr>
              <w:t>T3227</w:t>
            </w:r>
          </w:p>
        </w:tc>
        <w:tc>
          <w:tcPr>
            <w:tcW w:w="2665" w:type="dxa"/>
            <w:tcBorders>
              <w:top w:val="single" w:sz="6" w:space="0" w:color="auto"/>
              <w:left w:val="single" w:sz="6" w:space="0" w:color="auto"/>
              <w:bottom w:val="single" w:sz="6" w:space="0" w:color="000000"/>
              <w:right w:val="single" w:sz="6" w:space="0" w:color="auto"/>
            </w:tcBorders>
          </w:tcPr>
          <w:p w14:paraId="6E1FB293" w14:textId="77777777" w:rsidR="00711444" w:rsidRPr="004D0DAA" w:rsidRDefault="00711444" w:rsidP="00AA2A4C">
            <w:pPr>
              <w:pStyle w:val="TAL"/>
              <w:rPr>
                <w:lang w:eastAsia="en-US"/>
              </w:rPr>
            </w:pPr>
            <w:r w:rsidRPr="004D0DAA">
              <w:rPr>
                <w:lang w:eastAsia="en-US"/>
              </w:rPr>
              <w:t>After the last allocated RLC data block of a fixed uplink allocation.</w:t>
            </w:r>
          </w:p>
          <w:p w14:paraId="511298CD" w14:textId="77777777" w:rsidR="00711444" w:rsidRPr="004D0DAA" w:rsidRDefault="00711444" w:rsidP="00AA2A4C">
            <w:pPr>
              <w:pStyle w:val="TAL"/>
              <w:rPr>
                <w:lang w:eastAsia="en-US"/>
              </w:rPr>
            </w:pPr>
            <w:r w:rsidRPr="004D0DAA">
              <w:rPr>
                <w:lang w:eastAsia="en-US"/>
              </w:rPr>
              <w:t>In case more than one blind physical layer transmission is used on the uplink EC-PDTCH, the timer shall be started after the last of those transmissions.</w:t>
            </w:r>
          </w:p>
        </w:tc>
        <w:tc>
          <w:tcPr>
            <w:tcW w:w="2665" w:type="dxa"/>
            <w:tcBorders>
              <w:top w:val="single" w:sz="6" w:space="0" w:color="auto"/>
              <w:left w:val="single" w:sz="6" w:space="0" w:color="auto"/>
              <w:bottom w:val="single" w:sz="6" w:space="0" w:color="000000"/>
              <w:right w:val="single" w:sz="6" w:space="0" w:color="auto"/>
            </w:tcBorders>
          </w:tcPr>
          <w:p w14:paraId="517CE3C9" w14:textId="77777777" w:rsidR="00711444" w:rsidRPr="004D0DAA" w:rsidRDefault="00711444" w:rsidP="00AA2A4C">
            <w:pPr>
              <w:pStyle w:val="TAL"/>
              <w:rPr>
                <w:lang w:eastAsia="en-US"/>
              </w:rPr>
            </w:pPr>
            <w:r w:rsidRPr="004D0DAA">
              <w:rPr>
                <w:lang w:eastAsia="en-US"/>
              </w:rPr>
              <w:t>None</w:t>
            </w:r>
          </w:p>
        </w:tc>
        <w:tc>
          <w:tcPr>
            <w:tcW w:w="2665" w:type="dxa"/>
            <w:tcBorders>
              <w:top w:val="single" w:sz="6" w:space="0" w:color="auto"/>
              <w:left w:val="single" w:sz="6" w:space="0" w:color="auto"/>
              <w:bottom w:val="single" w:sz="6" w:space="0" w:color="000000"/>
              <w:right w:val="single" w:sz="6" w:space="0" w:color="auto"/>
            </w:tcBorders>
          </w:tcPr>
          <w:p w14:paraId="3F3B84C4" w14:textId="77777777" w:rsidR="00711444" w:rsidRPr="004D0DAA" w:rsidRDefault="00711444" w:rsidP="00AA2A4C">
            <w:pPr>
              <w:pStyle w:val="TAL"/>
              <w:rPr>
                <w:lang w:eastAsia="en-US"/>
              </w:rPr>
            </w:pPr>
            <w:r w:rsidRPr="004D0DAA">
              <w:rPr>
                <w:lang w:eastAsia="en-US"/>
              </w:rPr>
              <w:t>Timer T3229 is started and the network may transmit DL RLC/MAC control messages to the mobile station on the EC-PACCH.</w:t>
            </w:r>
          </w:p>
        </w:tc>
        <w:tc>
          <w:tcPr>
            <w:tcW w:w="964" w:type="dxa"/>
            <w:tcBorders>
              <w:top w:val="single" w:sz="6" w:space="0" w:color="auto"/>
              <w:left w:val="single" w:sz="6" w:space="0" w:color="auto"/>
              <w:bottom w:val="single" w:sz="6" w:space="0" w:color="000000"/>
              <w:right w:val="single" w:sz="6" w:space="0" w:color="000000"/>
            </w:tcBorders>
          </w:tcPr>
          <w:p w14:paraId="69611882" w14:textId="77777777" w:rsidR="00711444" w:rsidRPr="004D0DAA" w:rsidRDefault="00711444" w:rsidP="00AA2A4C">
            <w:pPr>
              <w:pStyle w:val="TAL"/>
              <w:rPr>
                <w:b/>
                <w:lang w:eastAsia="en-US"/>
              </w:rPr>
            </w:pPr>
            <w:r w:rsidRPr="004D0DAA">
              <w:rPr>
                <w:b/>
                <w:lang w:eastAsia="en-US"/>
              </w:rPr>
              <w:t>Same as T3226</w:t>
            </w:r>
          </w:p>
        </w:tc>
      </w:tr>
      <w:tr w:rsidR="00711444" w:rsidRPr="004D0DAA" w14:paraId="1FDABBF1" w14:textId="77777777" w:rsidTr="00AA2A4C">
        <w:tblPrEx>
          <w:tblCellMar>
            <w:top w:w="0" w:type="dxa"/>
            <w:bottom w:w="0" w:type="dxa"/>
          </w:tblCellMar>
        </w:tblPrEx>
        <w:trPr>
          <w:cantSplit/>
          <w:jc w:val="center"/>
        </w:trPr>
        <w:tc>
          <w:tcPr>
            <w:tcW w:w="907" w:type="dxa"/>
            <w:tcBorders>
              <w:top w:val="single" w:sz="6" w:space="0" w:color="auto"/>
              <w:left w:val="single" w:sz="6" w:space="0" w:color="000000"/>
              <w:bottom w:val="single" w:sz="6" w:space="0" w:color="000000"/>
              <w:right w:val="single" w:sz="6" w:space="0" w:color="auto"/>
            </w:tcBorders>
          </w:tcPr>
          <w:p w14:paraId="1C39B379" w14:textId="77777777" w:rsidR="00711444" w:rsidRPr="004D0DAA" w:rsidRDefault="00711444" w:rsidP="00AA2A4C">
            <w:pPr>
              <w:pStyle w:val="TAC"/>
              <w:rPr>
                <w:lang w:eastAsia="en-US"/>
              </w:rPr>
            </w:pPr>
            <w:r w:rsidRPr="004D0DAA">
              <w:rPr>
                <w:lang w:eastAsia="en-US"/>
              </w:rPr>
              <w:t>T3229</w:t>
            </w:r>
          </w:p>
        </w:tc>
        <w:tc>
          <w:tcPr>
            <w:tcW w:w="2665" w:type="dxa"/>
            <w:tcBorders>
              <w:top w:val="single" w:sz="6" w:space="0" w:color="auto"/>
              <w:left w:val="single" w:sz="6" w:space="0" w:color="auto"/>
              <w:bottom w:val="single" w:sz="6" w:space="0" w:color="000000"/>
              <w:right w:val="single" w:sz="6" w:space="0" w:color="auto"/>
            </w:tcBorders>
          </w:tcPr>
          <w:p w14:paraId="6CA6DD41" w14:textId="77777777" w:rsidR="00711444" w:rsidRPr="004D0DAA" w:rsidRDefault="00711444" w:rsidP="00AA2A4C">
            <w:pPr>
              <w:pStyle w:val="TAL"/>
              <w:rPr>
                <w:lang w:eastAsia="en-US"/>
              </w:rPr>
            </w:pPr>
            <w:r w:rsidRPr="004D0DAA">
              <w:rPr>
                <w:lang w:eastAsia="en-US"/>
              </w:rPr>
              <w:t>At expiry of timer T3227.</w:t>
            </w:r>
          </w:p>
        </w:tc>
        <w:tc>
          <w:tcPr>
            <w:tcW w:w="2665" w:type="dxa"/>
            <w:tcBorders>
              <w:top w:val="single" w:sz="6" w:space="0" w:color="auto"/>
              <w:left w:val="single" w:sz="6" w:space="0" w:color="auto"/>
              <w:bottom w:val="single" w:sz="6" w:space="0" w:color="000000"/>
              <w:right w:val="single" w:sz="6" w:space="0" w:color="auto"/>
            </w:tcBorders>
          </w:tcPr>
          <w:p w14:paraId="5882FE93" w14:textId="77777777" w:rsidR="00711444" w:rsidRPr="004D0DAA" w:rsidRDefault="00711444" w:rsidP="00AA2A4C">
            <w:pPr>
              <w:pStyle w:val="TAL"/>
              <w:rPr>
                <w:lang w:eastAsia="en-US"/>
              </w:rPr>
            </w:pPr>
            <w:r w:rsidRPr="004D0DAA">
              <w:rPr>
                <w:lang w:eastAsia="en-US"/>
              </w:rPr>
              <w:t>On receipt of uplink data on the resources that are part of the fixed uplink allocation, which were allocated in an EC PACKET UPLINK ACK/NACK or an EC PACKET UPLINK ACK/NACK AND CONTENTION RESOLUTION message sent to the mobile station while timer T3229 was running.</w:t>
            </w:r>
          </w:p>
        </w:tc>
        <w:tc>
          <w:tcPr>
            <w:tcW w:w="2665" w:type="dxa"/>
            <w:tcBorders>
              <w:top w:val="single" w:sz="6" w:space="0" w:color="auto"/>
              <w:left w:val="single" w:sz="6" w:space="0" w:color="auto"/>
              <w:bottom w:val="single" w:sz="6" w:space="0" w:color="000000"/>
              <w:right w:val="single" w:sz="6" w:space="0" w:color="auto"/>
            </w:tcBorders>
          </w:tcPr>
          <w:p w14:paraId="346D1FE6" w14:textId="77777777" w:rsidR="00711444" w:rsidRPr="004D0DAA" w:rsidRDefault="00711444" w:rsidP="00AA2A4C">
            <w:pPr>
              <w:pStyle w:val="TAL"/>
              <w:rPr>
                <w:lang w:eastAsia="en-US"/>
              </w:rPr>
            </w:pPr>
            <w:r w:rsidRPr="004D0DAA">
              <w:rPr>
                <w:lang w:eastAsia="en-US"/>
              </w:rPr>
              <w:t>If timer T3249 is not used, i.e. it has the value = 0, the network may release the TBF and reuse the TFI resource if no uplink data is received in fixed uplink allocations, which were allocated in EC PACKET UPLINK ACK/NACK or EC PACKET UPLINK ACK/NACK AND CONTENTION RESOLUTION messages sent to the mobile station before expiry of timer T3229.</w:t>
            </w:r>
          </w:p>
          <w:p w14:paraId="596D93DE" w14:textId="77777777" w:rsidR="00711444" w:rsidRPr="004D0DAA" w:rsidRDefault="00711444" w:rsidP="00AA2A4C">
            <w:pPr>
              <w:pStyle w:val="TAL"/>
              <w:rPr>
                <w:lang w:eastAsia="en-US"/>
              </w:rPr>
            </w:pPr>
            <w:r w:rsidRPr="004D0DAA">
              <w:rPr>
                <w:lang w:eastAsia="en-US"/>
              </w:rPr>
              <w:t>If timer T3249 is used, i.e. it has a value &gt; 0, the network shall start timer T3249 and use the next higher CC, if such exists, on the DL EC-PACCH, as long as T3249 is running.</w:t>
            </w:r>
          </w:p>
        </w:tc>
        <w:tc>
          <w:tcPr>
            <w:tcW w:w="964" w:type="dxa"/>
            <w:tcBorders>
              <w:top w:val="single" w:sz="6" w:space="0" w:color="auto"/>
              <w:left w:val="single" w:sz="6" w:space="0" w:color="auto"/>
              <w:bottom w:val="single" w:sz="6" w:space="0" w:color="000000"/>
              <w:right w:val="single" w:sz="6" w:space="0" w:color="000000"/>
            </w:tcBorders>
          </w:tcPr>
          <w:p w14:paraId="5BCE9944" w14:textId="77777777" w:rsidR="00711444" w:rsidRPr="004D0DAA" w:rsidRDefault="00711444" w:rsidP="00AA2A4C">
            <w:pPr>
              <w:pStyle w:val="TAL"/>
              <w:rPr>
                <w:b/>
                <w:lang w:eastAsia="en-US"/>
              </w:rPr>
            </w:pPr>
            <w:r w:rsidRPr="004D0DAA">
              <w:rPr>
                <w:b/>
                <w:lang w:eastAsia="en-US"/>
              </w:rPr>
              <w:t>Same as T3228</w:t>
            </w:r>
          </w:p>
        </w:tc>
      </w:tr>
      <w:tr w:rsidR="00711444" w:rsidRPr="004D0DAA" w14:paraId="48BD075C" w14:textId="77777777" w:rsidTr="00AA2A4C">
        <w:tblPrEx>
          <w:tblCellMar>
            <w:top w:w="0" w:type="dxa"/>
            <w:bottom w:w="0" w:type="dxa"/>
          </w:tblCellMar>
        </w:tblPrEx>
        <w:trPr>
          <w:cantSplit/>
          <w:jc w:val="center"/>
        </w:trPr>
        <w:tc>
          <w:tcPr>
            <w:tcW w:w="907" w:type="dxa"/>
            <w:tcBorders>
              <w:top w:val="single" w:sz="6" w:space="0" w:color="auto"/>
              <w:left w:val="single" w:sz="6" w:space="0" w:color="000000"/>
              <w:bottom w:val="single" w:sz="6" w:space="0" w:color="000000"/>
              <w:right w:val="single" w:sz="6" w:space="0" w:color="auto"/>
            </w:tcBorders>
          </w:tcPr>
          <w:p w14:paraId="2568D828" w14:textId="77777777" w:rsidR="00711444" w:rsidRPr="004D0DAA" w:rsidRDefault="00711444" w:rsidP="00AA2A4C">
            <w:pPr>
              <w:pStyle w:val="TAC"/>
              <w:rPr>
                <w:lang w:eastAsia="en-US"/>
              </w:rPr>
            </w:pPr>
            <w:r w:rsidRPr="004D0DAA">
              <w:rPr>
                <w:lang w:eastAsia="en-US"/>
              </w:rPr>
              <w:t>T3237</w:t>
            </w:r>
          </w:p>
        </w:tc>
        <w:tc>
          <w:tcPr>
            <w:tcW w:w="2665" w:type="dxa"/>
            <w:tcBorders>
              <w:top w:val="single" w:sz="6" w:space="0" w:color="auto"/>
              <w:left w:val="single" w:sz="6" w:space="0" w:color="auto"/>
              <w:bottom w:val="single" w:sz="6" w:space="0" w:color="000000"/>
              <w:right w:val="single" w:sz="6" w:space="0" w:color="auto"/>
            </w:tcBorders>
          </w:tcPr>
          <w:p w14:paraId="42393492" w14:textId="77777777" w:rsidR="00711444" w:rsidRPr="004D0DAA" w:rsidRDefault="00711444" w:rsidP="00AA2A4C">
            <w:pPr>
              <w:pStyle w:val="TAL"/>
              <w:rPr>
                <w:lang w:eastAsia="en-US"/>
              </w:rPr>
            </w:pPr>
            <w:r w:rsidRPr="004D0DAA">
              <w:rPr>
                <w:lang w:eastAsia="en-US"/>
              </w:rPr>
              <w:t>The timer shall be (re)started at transmission of an EC PACKET UPLINK ACK/NACK message with the Final Ack Indicator bit set to '1’ and indicating that the mobile station shall continue monitoring the EC-PACCH</w:t>
            </w:r>
          </w:p>
        </w:tc>
        <w:tc>
          <w:tcPr>
            <w:tcW w:w="2665" w:type="dxa"/>
            <w:tcBorders>
              <w:top w:val="single" w:sz="6" w:space="0" w:color="auto"/>
              <w:left w:val="single" w:sz="6" w:space="0" w:color="auto"/>
              <w:bottom w:val="single" w:sz="6" w:space="0" w:color="000000"/>
              <w:right w:val="single" w:sz="6" w:space="0" w:color="auto"/>
            </w:tcBorders>
          </w:tcPr>
          <w:p w14:paraId="27A2AE2A" w14:textId="77777777" w:rsidR="00711444" w:rsidRPr="004D0DAA" w:rsidRDefault="00711444" w:rsidP="00AA2A4C">
            <w:pPr>
              <w:pStyle w:val="TAL"/>
              <w:rPr>
                <w:lang w:eastAsia="en-US"/>
              </w:rPr>
            </w:pPr>
            <w:r w:rsidRPr="004D0DAA">
              <w:rPr>
                <w:lang w:eastAsia="en-US"/>
              </w:rPr>
              <w:t>None</w:t>
            </w:r>
          </w:p>
        </w:tc>
        <w:tc>
          <w:tcPr>
            <w:tcW w:w="2665" w:type="dxa"/>
            <w:tcBorders>
              <w:top w:val="single" w:sz="6" w:space="0" w:color="auto"/>
              <w:left w:val="single" w:sz="6" w:space="0" w:color="auto"/>
              <w:bottom w:val="single" w:sz="6" w:space="0" w:color="000000"/>
              <w:right w:val="single" w:sz="6" w:space="0" w:color="auto"/>
            </w:tcBorders>
          </w:tcPr>
          <w:p w14:paraId="27005508" w14:textId="77777777" w:rsidR="00711444" w:rsidRPr="004D0DAA" w:rsidRDefault="00711444" w:rsidP="00AA2A4C">
            <w:pPr>
              <w:pStyle w:val="TAL"/>
              <w:rPr>
                <w:lang w:eastAsia="en-US"/>
              </w:rPr>
            </w:pPr>
            <w:r w:rsidRPr="004D0DAA">
              <w:rPr>
                <w:lang w:eastAsia="en-US"/>
              </w:rPr>
              <w:t>The network may release the TBF and reuse the TFI resource.</w:t>
            </w:r>
          </w:p>
        </w:tc>
        <w:tc>
          <w:tcPr>
            <w:tcW w:w="964" w:type="dxa"/>
            <w:tcBorders>
              <w:top w:val="single" w:sz="6" w:space="0" w:color="auto"/>
              <w:left w:val="single" w:sz="6" w:space="0" w:color="auto"/>
              <w:bottom w:val="single" w:sz="6" w:space="0" w:color="000000"/>
              <w:right w:val="single" w:sz="6" w:space="0" w:color="000000"/>
            </w:tcBorders>
          </w:tcPr>
          <w:p w14:paraId="52CACA3A" w14:textId="77777777" w:rsidR="00711444" w:rsidRPr="004D0DAA" w:rsidRDefault="00711444" w:rsidP="00AA2A4C">
            <w:pPr>
              <w:pStyle w:val="TAL"/>
              <w:rPr>
                <w:b/>
                <w:lang w:eastAsia="en-US"/>
              </w:rPr>
            </w:pPr>
            <w:r w:rsidRPr="004D0DAA">
              <w:rPr>
                <w:b/>
                <w:lang w:eastAsia="en-US"/>
              </w:rPr>
              <w:t>6 s</w:t>
            </w:r>
          </w:p>
        </w:tc>
      </w:tr>
      <w:tr w:rsidR="00711444" w:rsidRPr="004D0DAA" w14:paraId="3F6D7186" w14:textId="77777777" w:rsidTr="00AA2A4C">
        <w:tblPrEx>
          <w:tblCellMar>
            <w:top w:w="0" w:type="dxa"/>
            <w:bottom w:w="0" w:type="dxa"/>
          </w:tblCellMar>
        </w:tblPrEx>
        <w:trPr>
          <w:cantSplit/>
          <w:jc w:val="center"/>
        </w:trPr>
        <w:tc>
          <w:tcPr>
            <w:tcW w:w="907" w:type="dxa"/>
            <w:tcBorders>
              <w:top w:val="single" w:sz="6" w:space="0" w:color="auto"/>
              <w:left w:val="single" w:sz="6" w:space="0" w:color="000000"/>
              <w:bottom w:val="single" w:sz="6" w:space="0" w:color="000000"/>
              <w:right w:val="single" w:sz="6" w:space="0" w:color="auto"/>
            </w:tcBorders>
          </w:tcPr>
          <w:p w14:paraId="16D02AAB" w14:textId="77777777" w:rsidR="00711444" w:rsidRPr="004D0DAA" w:rsidRDefault="00711444" w:rsidP="00AA2A4C">
            <w:pPr>
              <w:pStyle w:val="TAC"/>
              <w:rPr>
                <w:lang w:eastAsia="en-US"/>
              </w:rPr>
            </w:pPr>
            <w:r w:rsidRPr="004D0DAA">
              <w:rPr>
                <w:lang w:eastAsia="en-US"/>
              </w:rPr>
              <w:t>T3249</w:t>
            </w:r>
          </w:p>
        </w:tc>
        <w:tc>
          <w:tcPr>
            <w:tcW w:w="2665" w:type="dxa"/>
            <w:tcBorders>
              <w:top w:val="single" w:sz="6" w:space="0" w:color="auto"/>
              <w:left w:val="single" w:sz="6" w:space="0" w:color="auto"/>
              <w:bottom w:val="single" w:sz="6" w:space="0" w:color="000000"/>
              <w:right w:val="single" w:sz="6" w:space="0" w:color="auto"/>
            </w:tcBorders>
          </w:tcPr>
          <w:p w14:paraId="4B019838" w14:textId="77777777" w:rsidR="00711444" w:rsidRPr="004D0DAA" w:rsidRDefault="00711444" w:rsidP="00AA2A4C">
            <w:pPr>
              <w:pStyle w:val="TAL"/>
              <w:rPr>
                <w:lang w:eastAsia="en-US"/>
              </w:rPr>
            </w:pPr>
            <w:r w:rsidRPr="004D0DAA">
              <w:rPr>
                <w:lang w:eastAsia="en-US"/>
              </w:rPr>
              <w:t>At expiry of timer T3229.</w:t>
            </w:r>
          </w:p>
        </w:tc>
        <w:tc>
          <w:tcPr>
            <w:tcW w:w="2665" w:type="dxa"/>
            <w:tcBorders>
              <w:top w:val="single" w:sz="6" w:space="0" w:color="auto"/>
              <w:left w:val="single" w:sz="6" w:space="0" w:color="auto"/>
              <w:bottom w:val="single" w:sz="6" w:space="0" w:color="000000"/>
              <w:right w:val="single" w:sz="6" w:space="0" w:color="auto"/>
            </w:tcBorders>
          </w:tcPr>
          <w:p w14:paraId="17397BBB" w14:textId="77777777" w:rsidR="00711444" w:rsidRPr="004D0DAA" w:rsidRDefault="00711444" w:rsidP="00AA2A4C">
            <w:pPr>
              <w:pStyle w:val="TAL"/>
              <w:rPr>
                <w:lang w:eastAsia="en-US"/>
              </w:rPr>
            </w:pPr>
            <w:r w:rsidRPr="004D0DAA">
              <w:rPr>
                <w:lang w:eastAsia="en-US"/>
              </w:rPr>
              <w:t>On receipt of uplink data on the resources that are part of the fixed uplink allocation, which were allocated in an EC PACKET UPLINK ACK/NACK or an EC PACKET UPLINK ACK/NACK AND CONTENTION RESOLUTION message sent to the mobile station while timer T3249 (or preceding T3229) was running.</w:t>
            </w:r>
          </w:p>
        </w:tc>
        <w:tc>
          <w:tcPr>
            <w:tcW w:w="2665" w:type="dxa"/>
            <w:tcBorders>
              <w:top w:val="single" w:sz="6" w:space="0" w:color="auto"/>
              <w:left w:val="single" w:sz="6" w:space="0" w:color="auto"/>
              <w:bottom w:val="single" w:sz="6" w:space="0" w:color="000000"/>
              <w:right w:val="single" w:sz="6" w:space="0" w:color="auto"/>
            </w:tcBorders>
          </w:tcPr>
          <w:p w14:paraId="134C712E" w14:textId="77777777" w:rsidR="00711444" w:rsidRPr="004D0DAA" w:rsidRDefault="00711444" w:rsidP="00AA2A4C">
            <w:pPr>
              <w:pStyle w:val="TAL"/>
              <w:rPr>
                <w:lang w:eastAsia="en-US"/>
              </w:rPr>
            </w:pPr>
            <w:r w:rsidRPr="004D0DAA">
              <w:rPr>
                <w:lang w:eastAsia="en-US"/>
              </w:rPr>
              <w:t>The network may release the TBF and reuse the TFI resource if no uplink data is received in fixed uplink allocations, which were allocated in EC PACKET UPLINK ACK/NACK or EC PACKET UPLINK ACK/NACK AND CONTENTION RESOLUTION messages sent to the mobile station before expiry of timer T3249 (or preceding T3229).</w:t>
            </w:r>
          </w:p>
        </w:tc>
        <w:tc>
          <w:tcPr>
            <w:tcW w:w="964" w:type="dxa"/>
            <w:tcBorders>
              <w:top w:val="single" w:sz="6" w:space="0" w:color="auto"/>
              <w:left w:val="single" w:sz="6" w:space="0" w:color="auto"/>
              <w:bottom w:val="single" w:sz="6" w:space="0" w:color="000000"/>
              <w:right w:val="single" w:sz="6" w:space="0" w:color="000000"/>
            </w:tcBorders>
          </w:tcPr>
          <w:p w14:paraId="769EA6AF" w14:textId="77777777" w:rsidR="00711444" w:rsidRPr="004D0DAA" w:rsidRDefault="00711444" w:rsidP="00AA2A4C">
            <w:pPr>
              <w:pStyle w:val="TAL"/>
              <w:rPr>
                <w:b/>
                <w:lang w:eastAsia="en-US"/>
              </w:rPr>
            </w:pPr>
            <w:r w:rsidRPr="004D0DAA">
              <w:rPr>
                <w:b/>
                <w:lang w:eastAsia="en-US"/>
              </w:rPr>
              <w:t>Same as T3248</w:t>
            </w:r>
          </w:p>
        </w:tc>
      </w:tr>
      <w:tr w:rsidR="00711444" w:rsidRPr="004D0DAA" w14:paraId="40DFF956" w14:textId="77777777" w:rsidTr="00AA2A4C">
        <w:tblPrEx>
          <w:tblCellMar>
            <w:top w:w="0" w:type="dxa"/>
            <w:bottom w:w="0" w:type="dxa"/>
          </w:tblCellMar>
        </w:tblPrEx>
        <w:trPr>
          <w:cantSplit/>
          <w:jc w:val="center"/>
        </w:trPr>
        <w:tc>
          <w:tcPr>
            <w:tcW w:w="9866" w:type="dxa"/>
            <w:gridSpan w:val="5"/>
            <w:tcBorders>
              <w:top w:val="single" w:sz="6" w:space="0" w:color="auto"/>
              <w:left w:val="single" w:sz="6" w:space="0" w:color="000000"/>
              <w:bottom w:val="single" w:sz="6" w:space="0" w:color="000000"/>
              <w:right w:val="single" w:sz="6" w:space="0" w:color="000000"/>
            </w:tcBorders>
          </w:tcPr>
          <w:p w14:paraId="64A8F586" w14:textId="77777777" w:rsidR="00711444" w:rsidRPr="004D0DAA" w:rsidRDefault="00711444" w:rsidP="00AA2A4C">
            <w:pPr>
              <w:pStyle w:val="TAN"/>
              <w:rPr>
                <w:lang w:eastAsia="en-US"/>
              </w:rPr>
            </w:pPr>
            <w:r w:rsidRPr="004D0DAA">
              <w:rPr>
                <w:lang w:eastAsia="en-US"/>
              </w:rPr>
              <w:t xml:space="preserve">NOTE 1: </w:t>
            </w:r>
            <w:r w:rsidRPr="004D0DAA">
              <w:rPr>
                <w:lang w:eastAsia="en-US"/>
              </w:rPr>
              <w:tab/>
              <w:t>Timer per RLC entity if EMST is used.</w:t>
            </w:r>
          </w:p>
        </w:tc>
      </w:tr>
    </w:tbl>
    <w:p w14:paraId="6B6D220B" w14:textId="77777777" w:rsidR="00711444" w:rsidRPr="004D0DAA" w:rsidRDefault="00711444" w:rsidP="00711444"/>
    <w:p w14:paraId="54BFFCFA" w14:textId="77777777" w:rsidR="00711444" w:rsidRPr="004D0DAA" w:rsidRDefault="00711444" w:rsidP="00711444">
      <w:pPr>
        <w:pStyle w:val="EX"/>
        <w:keepNext/>
        <w:ind w:left="1699" w:hanging="1411"/>
      </w:pPr>
      <w:r w:rsidRPr="004D0DAA">
        <w:rPr>
          <w:b/>
        </w:rPr>
        <w:t>T3169:</w:t>
      </w:r>
      <w:r w:rsidRPr="004D0DAA">
        <w:tab/>
        <w:t>Wait for Reuse of USF and TFI(s) after the mobile station uplink assignment for this TBF is invalid</w:t>
      </w:r>
    </w:p>
    <w:p w14:paraId="6458DBC2" w14:textId="77777777" w:rsidR="00711444" w:rsidRPr="004D0DAA" w:rsidRDefault="00711444" w:rsidP="00711444">
      <w:pPr>
        <w:pStyle w:val="EX"/>
        <w:ind w:firstLine="0"/>
      </w:pPr>
      <w:r w:rsidRPr="004D0DAA">
        <w:t xml:space="preserve">This timer is used on the network side to define when the current uplink assignment for this TBF is surely invalid on the mobile station side so that the assigned USF(s) and TFI can be reused on the uplink. During that period the corresponding USF(s) is not broadcast. </w:t>
      </w:r>
    </w:p>
    <w:p w14:paraId="3FF3929E" w14:textId="77777777" w:rsidR="00711444" w:rsidRPr="004D0DAA" w:rsidRDefault="00711444" w:rsidP="00711444">
      <w:pPr>
        <w:pStyle w:val="EX"/>
        <w:keepNext/>
      </w:pPr>
      <w:r w:rsidRPr="004D0DAA">
        <w:lastRenderedPageBreak/>
        <w:tab/>
        <w:t>Its value is network dependent. The value of T3169 should be greater than T3180, T3182 and (for exclusive allocation) T3184.</w:t>
      </w:r>
    </w:p>
    <w:p w14:paraId="7E4C9BE0" w14:textId="77777777" w:rsidR="00711444" w:rsidRPr="004D0DAA" w:rsidRDefault="00711444" w:rsidP="00711444">
      <w:pPr>
        <w:pStyle w:val="EX"/>
        <w:keepNext/>
        <w:ind w:left="1699" w:hanging="1411"/>
      </w:pPr>
      <w:r w:rsidRPr="004D0DAA">
        <w:rPr>
          <w:b/>
        </w:rPr>
        <w:t>T3191:</w:t>
      </w:r>
      <w:r w:rsidRPr="004D0DAA">
        <w:tab/>
        <w:t>Wait for reuse of TFI(s) after sending of the last RLC Data Block on this TBF. Wait for reuse of TFI(s) after sending the PACKET TBF RELEASE for an MBMS radio bearer.</w:t>
      </w:r>
    </w:p>
    <w:p w14:paraId="5C04D077" w14:textId="77777777" w:rsidR="00711444" w:rsidRPr="004D0DAA" w:rsidRDefault="00711444" w:rsidP="00711444">
      <w:pPr>
        <w:pStyle w:val="EX"/>
        <w:ind w:firstLine="0"/>
      </w:pPr>
      <w:r w:rsidRPr="004D0DAA">
        <w:t>This timer is used on the network side to define when the current assignment for this TBF/MBMS is surely invalid on the mobile station side so that the TFI(s) can be reused.</w:t>
      </w:r>
    </w:p>
    <w:p w14:paraId="3FBE5B3E" w14:textId="77777777" w:rsidR="00711444" w:rsidRPr="004D0DAA" w:rsidRDefault="00711444" w:rsidP="00711444">
      <w:pPr>
        <w:pStyle w:val="EX"/>
        <w:keepNext/>
      </w:pPr>
      <w:r w:rsidRPr="004D0DAA">
        <w:tab/>
        <w:t>Its value is network dependent.</w:t>
      </w:r>
    </w:p>
    <w:p w14:paraId="04BF3697" w14:textId="77777777" w:rsidR="00711444" w:rsidRPr="004D0DAA" w:rsidRDefault="00711444" w:rsidP="00711444">
      <w:pPr>
        <w:pStyle w:val="EX"/>
        <w:keepNext/>
        <w:ind w:left="1699" w:hanging="1411"/>
      </w:pPr>
      <w:r w:rsidRPr="004D0DAA">
        <w:rPr>
          <w:b/>
        </w:rPr>
        <w:t>T3193:</w:t>
      </w:r>
      <w:r w:rsidRPr="004D0DAA">
        <w:tab/>
        <w:t>Wait for reuse of TFI(s) after reception of the final (EC) PACKET DOWNLINK ACK/NACK from the mobile station for this TBF.</w:t>
      </w:r>
    </w:p>
    <w:p w14:paraId="369DE2E6" w14:textId="77777777" w:rsidR="00711444" w:rsidRPr="004D0DAA" w:rsidRDefault="00711444" w:rsidP="00711444">
      <w:pPr>
        <w:pStyle w:val="EX"/>
        <w:keepNext/>
        <w:ind w:left="1699" w:firstLine="0"/>
      </w:pPr>
      <w:r w:rsidRPr="004D0DAA">
        <w:t>This timer is used on the network side to define when timer T3192 on the mobile station side has surely expired so that the TFI can be reused.</w:t>
      </w:r>
    </w:p>
    <w:p w14:paraId="62165331" w14:textId="77777777" w:rsidR="00711444" w:rsidRPr="004D0DAA" w:rsidRDefault="00711444" w:rsidP="00711444">
      <w:pPr>
        <w:pStyle w:val="EX"/>
        <w:ind w:firstLine="0"/>
      </w:pPr>
      <w:r w:rsidRPr="004D0DAA">
        <w:t>Its value is network dependent.</w:t>
      </w:r>
    </w:p>
    <w:p w14:paraId="0D825D24" w14:textId="77777777" w:rsidR="00711444" w:rsidRPr="004D0DAA" w:rsidRDefault="00711444" w:rsidP="00711444">
      <w:pPr>
        <w:pStyle w:val="EX"/>
        <w:keepNext/>
        <w:ind w:left="1699" w:hanging="1411"/>
      </w:pPr>
      <w:r w:rsidRPr="004D0DAA">
        <w:rPr>
          <w:b/>
        </w:rPr>
        <w:t>T3195:</w:t>
      </w:r>
      <w:r w:rsidRPr="004D0DAA">
        <w:tab/>
        <w:t>Wait for reuse of TFI(s) when there is no response from the MS (radio failure or cell change) for this TBF/MBMS radio bearer.</w:t>
      </w:r>
    </w:p>
    <w:p w14:paraId="5D3BD57D" w14:textId="77777777" w:rsidR="00711444" w:rsidRPr="004D0DAA" w:rsidRDefault="00711444" w:rsidP="00711444">
      <w:pPr>
        <w:pStyle w:val="EX"/>
        <w:keepNext/>
        <w:ind w:left="1699" w:firstLine="0"/>
      </w:pPr>
      <w:r w:rsidRPr="004D0DAA">
        <w:t>This timer is used on the network side to define when the current assignment for this TBF/MS_ID on an MBMS radio bearer is surely invalid on the mobile station side so that the TFI can be reused.</w:t>
      </w:r>
    </w:p>
    <w:p w14:paraId="5B7A0B14" w14:textId="77777777" w:rsidR="00711444" w:rsidRPr="004D0DAA" w:rsidRDefault="00711444" w:rsidP="00711444">
      <w:pPr>
        <w:pStyle w:val="EX"/>
        <w:ind w:left="1699" w:hanging="1411"/>
      </w:pPr>
      <w:r w:rsidRPr="004D0DAA">
        <w:tab/>
        <w:t>Its value is network dependent.</w:t>
      </w:r>
    </w:p>
    <w:p w14:paraId="7407E2F7" w14:textId="77777777" w:rsidR="00711444" w:rsidRPr="004D0DAA" w:rsidRDefault="00711444" w:rsidP="00711444">
      <w:pPr>
        <w:ind w:left="1701" w:hanging="1417"/>
      </w:pPr>
      <w:r w:rsidRPr="004D0DAA">
        <w:rPr>
          <w:b/>
          <w:bCs/>
        </w:rPr>
        <w:t>T3197:</w:t>
      </w:r>
      <w:r w:rsidRPr="004D0DAA">
        <w:rPr>
          <w:b/>
          <w:bCs/>
        </w:rPr>
        <w:tab/>
      </w:r>
      <w:r w:rsidRPr="004D0DAA">
        <w:t>Wait for the indication from the mobile station that it has received needed system information messages.</w:t>
      </w:r>
    </w:p>
    <w:p w14:paraId="6D9B22BA" w14:textId="77777777" w:rsidR="00711444" w:rsidRPr="004D0DAA" w:rsidRDefault="00711444" w:rsidP="00711444">
      <w:pPr>
        <w:ind w:left="1701"/>
      </w:pPr>
      <w:r w:rsidRPr="004D0DAA">
        <w:t>This timer is used on the network side to delay the release of RR connection release in order to maintain radio resources before the mobile station has indicated the receipt of system information messages specified in sub-clause 5.5.1.2 or 5.5.1.3.</w:t>
      </w:r>
    </w:p>
    <w:p w14:paraId="7390234B" w14:textId="77777777" w:rsidR="00711444" w:rsidRPr="004D0DAA" w:rsidRDefault="00711444" w:rsidP="00711444">
      <w:pPr>
        <w:pStyle w:val="EX"/>
        <w:keepNext/>
        <w:ind w:left="1699" w:hanging="1411"/>
      </w:pPr>
      <w:r w:rsidRPr="004D0DAA">
        <w:rPr>
          <w:b/>
        </w:rPr>
        <w:t>T3199:</w:t>
      </w:r>
      <w:r w:rsidRPr="004D0DAA">
        <w:tab/>
        <w:t>Wait for reuse of MS_ID on an MBMS radio bearer.</w:t>
      </w:r>
    </w:p>
    <w:p w14:paraId="7BA6D979" w14:textId="77777777" w:rsidR="00711444" w:rsidRPr="004D0DAA" w:rsidRDefault="00711444" w:rsidP="00711444">
      <w:pPr>
        <w:pStyle w:val="EX"/>
        <w:ind w:firstLine="0"/>
      </w:pPr>
      <w:r w:rsidRPr="004D0DAA">
        <w:t>This timer is used on the network side to define for a given MBMS radio bearer when a(n) (re)assigned MS_ID is surely invalid on the mobile station side so that this MS_ID can be reused. During that period the corresponding MS_ID is not used.</w:t>
      </w:r>
    </w:p>
    <w:p w14:paraId="4AF1E015" w14:textId="77777777" w:rsidR="00711444" w:rsidRPr="004D0DAA" w:rsidRDefault="00711444" w:rsidP="00711444">
      <w:pPr>
        <w:ind w:left="1420"/>
      </w:pPr>
      <w:r w:rsidRPr="004D0DAA">
        <w:tab/>
        <w:t>Its value is network dependent.</w:t>
      </w:r>
    </w:p>
    <w:p w14:paraId="3C2E5979" w14:textId="77777777" w:rsidR="00711444" w:rsidRPr="004D0DAA" w:rsidRDefault="00711444" w:rsidP="00711444">
      <w:pPr>
        <w:ind w:left="1701" w:hanging="1417"/>
      </w:pPr>
      <w:r w:rsidRPr="004D0DAA">
        <w:rPr>
          <w:b/>
          <w:bCs/>
        </w:rPr>
        <w:t>T3227:</w:t>
      </w:r>
      <w:r w:rsidRPr="004D0DAA">
        <w:rPr>
          <w:b/>
          <w:bCs/>
        </w:rPr>
        <w:tab/>
      </w:r>
      <w:r w:rsidRPr="004D0DAA">
        <w:t>Wait for mobile station to be reachable on the DL EC-PACCH.</w:t>
      </w:r>
    </w:p>
    <w:p w14:paraId="592B5A9C" w14:textId="77777777" w:rsidR="00711444" w:rsidRPr="004D0DAA" w:rsidRDefault="00711444" w:rsidP="00711444">
      <w:pPr>
        <w:ind w:left="1701"/>
      </w:pPr>
      <w:r w:rsidRPr="004D0DAA">
        <w:t>This timer is used on the network side to determine when the mobile station can be reached on the DL EC-PACCH following a fixed uplink allocation. The mobile station is not reachable while the timer is running. When the timer expires, timer T3229 is started and the network may transmit RLC/MAC control messages to the mobile station on the DL EC-PACCH.</w:t>
      </w:r>
    </w:p>
    <w:p w14:paraId="6F4002D6" w14:textId="77777777" w:rsidR="00711444" w:rsidRPr="004D0DAA" w:rsidRDefault="00711444" w:rsidP="00711444">
      <w:pPr>
        <w:ind w:left="1701"/>
      </w:pPr>
      <w:r w:rsidRPr="004D0DAA">
        <w:t>Its value is network dependent.</w:t>
      </w:r>
    </w:p>
    <w:p w14:paraId="05B9C8BA" w14:textId="77777777" w:rsidR="00711444" w:rsidRPr="004D0DAA" w:rsidRDefault="00711444" w:rsidP="00711444">
      <w:pPr>
        <w:pStyle w:val="EX"/>
        <w:keepNext/>
        <w:ind w:left="1699" w:hanging="1411"/>
      </w:pPr>
      <w:r w:rsidRPr="004D0DAA">
        <w:rPr>
          <w:b/>
        </w:rPr>
        <w:t>T3229:</w:t>
      </w:r>
      <w:r w:rsidRPr="004D0DAA">
        <w:tab/>
        <w:t>This timer is used on the network side to determine how long the mobile station is reachable on the DL EC-PACCH following a fixed uplink allocation and the corresponding expiry of timer T3227. When the timer expires, the mobile station is no longer reachable on the DL EC-PACCH based on the corresponding fixed uplink allocation, unless timer T3249 is used, i.e. it has a timer value &gt; 0. At transmission of an EC PACKET UPLINK ACK/NACK or an EC PACKET UPLINK ACK/NACK AND CONTENTION RESOLUTION message, containing a new fixed uplink allocation, to the mobile station while timer T3229 is running, timers T3227 and T3229 will be started following that fixed uplink allocation.</w:t>
      </w:r>
    </w:p>
    <w:p w14:paraId="43563A26" w14:textId="77777777" w:rsidR="00711444" w:rsidRPr="004D0DAA" w:rsidRDefault="00711444" w:rsidP="00711444">
      <w:pPr>
        <w:pStyle w:val="EX"/>
        <w:ind w:firstLine="0"/>
      </w:pPr>
      <w:r w:rsidRPr="004D0DAA">
        <w:t>Its value is network dependent.</w:t>
      </w:r>
    </w:p>
    <w:p w14:paraId="5E018E95" w14:textId="77777777" w:rsidR="00711444" w:rsidRPr="004D0DAA" w:rsidRDefault="00711444" w:rsidP="00711444">
      <w:pPr>
        <w:pStyle w:val="EX"/>
        <w:keepNext/>
        <w:ind w:left="1699" w:hanging="1411"/>
      </w:pPr>
      <w:r w:rsidRPr="004D0DAA">
        <w:rPr>
          <w:b/>
        </w:rPr>
        <w:lastRenderedPageBreak/>
        <w:t>T3237:</w:t>
      </w:r>
      <w:r w:rsidRPr="004D0DAA">
        <w:tab/>
        <w:t>Wait for reuse of the TFI for the uplink EC TBF.</w:t>
      </w:r>
    </w:p>
    <w:p w14:paraId="7CC7CE9B" w14:textId="77777777" w:rsidR="00711444" w:rsidRPr="004D0DAA" w:rsidRDefault="00711444" w:rsidP="00711444">
      <w:pPr>
        <w:pStyle w:val="EX"/>
        <w:ind w:firstLine="0"/>
      </w:pPr>
      <w:r w:rsidRPr="004D0DAA">
        <w:t>This timer is used on the network side to control the length of the period where the mobile station monitors the EC-PACCH of the uplink EC TBF after transmission of the EC PACKET UPLINK ACK/NACK</w:t>
      </w:r>
      <w:r w:rsidRPr="004D0DAA">
        <w:tab/>
        <w:t>message with Final Ack Indicator set to ‘1’ and with an indication that the mobile station shall continue monitoring the EC-PACCH. The uplink EC TBF shall be kept during this time interval.</w:t>
      </w:r>
    </w:p>
    <w:p w14:paraId="184E0067" w14:textId="77777777" w:rsidR="00711444" w:rsidRPr="004D0DAA" w:rsidRDefault="00711444" w:rsidP="00711444">
      <w:pPr>
        <w:ind w:left="1420"/>
      </w:pPr>
      <w:r w:rsidRPr="004D0DAA">
        <w:tab/>
        <w:t>Its value is network dependent.</w:t>
      </w:r>
    </w:p>
    <w:p w14:paraId="03723F12" w14:textId="77777777" w:rsidR="00711444" w:rsidRPr="004D0DAA" w:rsidRDefault="00711444" w:rsidP="00711444">
      <w:pPr>
        <w:pStyle w:val="EX"/>
        <w:keepNext/>
        <w:ind w:left="1699" w:hanging="1411"/>
      </w:pPr>
      <w:r w:rsidRPr="004D0DAA">
        <w:rPr>
          <w:b/>
        </w:rPr>
        <w:t>T3249:</w:t>
      </w:r>
      <w:r w:rsidRPr="004D0DAA">
        <w:tab/>
        <w:t>This timer is used on the network side to determine how long the mobile station is reachable on the DL EC-PACCH after expiry of timer T3229. The mobile station is then reachable using the next higher DL Coverage Class, compared to the assigned one, if such exists. When the timer expires, the mobile station is no longer reachable on the DL EC-PACCH based on the corresponding fixed uplink allocation.</w:t>
      </w:r>
    </w:p>
    <w:p w14:paraId="50EA4C3C" w14:textId="77777777" w:rsidR="00711444" w:rsidRPr="004D0DAA" w:rsidRDefault="00711444" w:rsidP="00711444">
      <w:pPr>
        <w:pStyle w:val="EX"/>
        <w:ind w:firstLine="0"/>
      </w:pPr>
      <w:r w:rsidRPr="004D0DAA">
        <w:t>Its value is network dependent.</w:t>
      </w:r>
    </w:p>
    <w:p w14:paraId="477B8A90" w14:textId="77777777" w:rsidR="00711444" w:rsidRPr="004D0DAA" w:rsidRDefault="00711444" w:rsidP="00711444">
      <w:pPr>
        <w:pStyle w:val="Heading2"/>
      </w:pPr>
      <w:bookmarkStart w:id="877" w:name="_Toc516670050"/>
      <w:r w:rsidRPr="004D0DAA">
        <w:t>13.3</w:t>
      </w:r>
      <w:r w:rsidRPr="004D0DAA">
        <w:tab/>
        <w:t>Counters on the Mobile Station side</w:t>
      </w:r>
      <w:bookmarkEnd w:id="877"/>
    </w:p>
    <w:p w14:paraId="697F9E50" w14:textId="77777777" w:rsidR="00711444" w:rsidRPr="004D0DAA" w:rsidRDefault="00711444" w:rsidP="00711444">
      <w:pPr>
        <w:pStyle w:val="EX"/>
        <w:keepNext/>
        <w:ind w:left="1699" w:hanging="1411"/>
      </w:pPr>
      <w:r w:rsidRPr="004D0DAA">
        <w:rPr>
          <w:b/>
        </w:rPr>
        <w:t>N3102</w:t>
      </w:r>
      <w:r w:rsidRPr="004D0DAA">
        <w:tab/>
        <w:t xml:space="preserve">At each cell reselection the mobile station shall set the counter N3102 to the value defined by the optional broadcast parameter PAN_MAX. Whenever the mobile station receives a Packet Ack/Nack that allows the advancement of V(S), the mobile station shall increment N3102 by the broadcast value PAN_INC, however N3102 shall never exceed the value PAN_MAX. Each time T3182 expires the mobile station shall decrement N3102 by the broadcast value PAN_DEC. When N3102 </w:t>
      </w:r>
      <w:r w:rsidRPr="004D0DAA">
        <w:fldChar w:fldCharType="begin"/>
      </w:r>
      <w:r w:rsidRPr="004D0DAA">
        <w:instrText>symbol 163 \f "Symbol" \s 10</w:instrText>
      </w:r>
      <w:r w:rsidRPr="004D0DAA">
        <w:fldChar w:fldCharType="separate"/>
      </w:r>
      <w:r w:rsidRPr="004D0DAA">
        <w:rPr>
          <w:rFonts w:ascii="Symbol" w:hAnsi="Symbol"/>
        </w:rPr>
        <w:t>£</w:t>
      </w:r>
      <w:r w:rsidRPr="004D0DAA">
        <w:fldChar w:fldCharType="end"/>
      </w:r>
      <w:r w:rsidRPr="004D0DAA">
        <w:t xml:space="preserve"> 0 is reached, the mobile station shall perform an abnormal release with cell re-selection.</w:t>
      </w:r>
    </w:p>
    <w:p w14:paraId="5FE94165" w14:textId="77777777" w:rsidR="00711444" w:rsidRPr="004D0DAA" w:rsidRDefault="00711444" w:rsidP="00711444">
      <w:pPr>
        <w:pStyle w:val="EX"/>
        <w:keepNext/>
        <w:ind w:left="1699" w:hanging="1411"/>
      </w:pPr>
      <w:r w:rsidRPr="004D0DAA">
        <w:rPr>
          <w:b/>
        </w:rPr>
        <w:t>N3104</w:t>
      </w:r>
      <w:r w:rsidRPr="004D0DAA">
        <w:tab/>
        <w:t>When the mobile station sends the first RLC/MAC block the counter N3104 shall be initialized to 1. For each new RLC/MAC block the mobile station sends it shall increment N3104 by 1 until the first correct PACKET UPLINK ACK/NACK message is received. Then N3104 shall not be further incremented. If the N3104 counter is equal to N3104_MAX and no correct PACKET UPLINK ACK/NACK message has been received, the contention resolution fails and the mobile station behaves as specified in sub-clause 7.1.2.3.</w:t>
      </w:r>
    </w:p>
    <w:p w14:paraId="127EB3D5" w14:textId="77777777" w:rsidR="00711444" w:rsidRPr="004D0DAA" w:rsidRDefault="00711444" w:rsidP="00711444">
      <w:pPr>
        <w:pStyle w:val="EX"/>
        <w:ind w:left="1699" w:firstLine="0"/>
      </w:pPr>
      <w:r w:rsidRPr="004D0DAA">
        <w:t>N3104_MAX shall have the value:</w:t>
      </w:r>
    </w:p>
    <w:p w14:paraId="21C5BAB0" w14:textId="77777777" w:rsidR="00711444" w:rsidRPr="004D0DAA" w:rsidRDefault="00711444" w:rsidP="00711444">
      <w:pPr>
        <w:pStyle w:val="EX"/>
        <w:ind w:left="1699" w:firstLine="0"/>
      </w:pPr>
      <w:r w:rsidRPr="004D0DAA">
        <w:t>N3104_MAX = 3 * (BS_CV_MAX + 3) * number of uplink timeslots assigned.</w:t>
      </w:r>
    </w:p>
    <w:p w14:paraId="3997B047" w14:textId="77777777" w:rsidR="00711444" w:rsidRPr="004D0DAA" w:rsidRDefault="00711444" w:rsidP="00711444">
      <w:pPr>
        <w:pStyle w:val="EX"/>
        <w:keepNext/>
        <w:ind w:left="1699" w:hanging="1411"/>
      </w:pPr>
      <w:r w:rsidRPr="004D0DAA">
        <w:rPr>
          <w:b/>
        </w:rPr>
        <w:t>N3106</w:t>
      </w:r>
      <w:r w:rsidRPr="004D0DAA">
        <w:tab/>
        <w:t xml:space="preserve">N3106 is used in </w:t>
      </w:r>
      <w:r w:rsidRPr="004D0DAA">
        <w:rPr>
          <w:i/>
          <w:iCs/>
        </w:rPr>
        <w:t>Iu mode</w:t>
      </w:r>
      <w:r w:rsidRPr="004D0DAA">
        <w:t xml:space="preserve"> on the mobile station side to detect link failures that may occur for a given uplink RLC entity and shall be reported to the RRC layer. It is incremented each time a response to a given request is not received before a specified response time. It is reset upon reception of a response within the response time requirements. If the counter N3106 is equal to N3106max, a link failure has occurred that shall be reported to the RRC layer. There is one N3106 instance per uplink RLC entity in TCH or DCCH TBF mode.</w:t>
      </w:r>
    </w:p>
    <w:p w14:paraId="0B52726E" w14:textId="77777777" w:rsidR="00711444" w:rsidRPr="004D0DAA" w:rsidRDefault="00711444" w:rsidP="00711444">
      <w:pPr>
        <w:pStyle w:val="EX"/>
        <w:ind w:left="1699" w:firstLine="0"/>
      </w:pPr>
      <w:r w:rsidRPr="004D0DAA">
        <w:t>N3106max shall have the value: 5.</w:t>
      </w:r>
    </w:p>
    <w:p w14:paraId="74FCA93E" w14:textId="77777777" w:rsidR="00711444" w:rsidRPr="004D0DAA" w:rsidRDefault="00711444" w:rsidP="00711444">
      <w:pPr>
        <w:pStyle w:val="Heading2"/>
      </w:pPr>
      <w:bookmarkStart w:id="878" w:name="_Toc516670051"/>
      <w:r w:rsidRPr="004D0DAA">
        <w:lastRenderedPageBreak/>
        <w:t>13.4</w:t>
      </w:r>
      <w:r w:rsidRPr="004D0DAA">
        <w:tab/>
        <w:t>Counters on the Network side</w:t>
      </w:r>
      <w:bookmarkEnd w:id="878"/>
    </w:p>
    <w:p w14:paraId="1BF5B413" w14:textId="77777777" w:rsidR="00711444" w:rsidRPr="004D0DAA" w:rsidRDefault="00711444" w:rsidP="00711444">
      <w:pPr>
        <w:pStyle w:val="EX"/>
        <w:keepNext/>
        <w:ind w:left="1699" w:hanging="1411"/>
      </w:pPr>
      <w:r w:rsidRPr="004D0DAA">
        <w:rPr>
          <w:b/>
        </w:rPr>
        <w:t>N3101:</w:t>
      </w:r>
      <w:r w:rsidRPr="004D0DAA">
        <w:tab/>
        <w:t>When the network after setting USF for a given TBF, receives a valid data block of this TBF from the mobile station in a block assigned for this USF, it will reset counter N3101. If PS Handover is not ongoing, the network will increment counter N3101 for each USF for which no data is received for this TBF. N3101max shall be greater than 8. If N3101 = N3101max, the network shall stop the scheduling of RLC/MAC blocks from the mobile station for this USF and start timer T3169.</w:t>
      </w:r>
    </w:p>
    <w:p w14:paraId="3C09FCD1" w14:textId="77777777" w:rsidR="00711444" w:rsidRPr="004D0DAA" w:rsidRDefault="00711444" w:rsidP="00711444">
      <w:pPr>
        <w:pStyle w:val="EX"/>
        <w:keepNext/>
        <w:ind w:left="1699" w:hanging="1411"/>
      </w:pPr>
      <w:r w:rsidRPr="004D0DAA">
        <w:tab/>
        <w:t>During extended uplink TBF mode, counter N3101 shall not be incremented if the network does not require a mobile station to send PACKET UPLINK DUMMY CONTROL BLOCK messages when there is no other RLC/MAC block ready to send for this TBF in uplink radio blocks allocated by the network (see sub-clause 9.3.1b.2).</w:t>
      </w:r>
    </w:p>
    <w:p w14:paraId="6634B571" w14:textId="77777777" w:rsidR="00711444" w:rsidRPr="004D0DAA" w:rsidRDefault="00711444" w:rsidP="00711444">
      <w:pPr>
        <w:pStyle w:val="EX"/>
        <w:keepNext/>
        <w:ind w:left="1699" w:hanging="1411"/>
      </w:pPr>
      <w:r w:rsidRPr="004D0DAA">
        <w:tab/>
        <w:t>The use of N3101 during PS Handover is implementation specific.</w:t>
      </w:r>
    </w:p>
    <w:p w14:paraId="0F218FE3" w14:textId="77777777" w:rsidR="00711444" w:rsidRPr="004D0DAA" w:rsidRDefault="00711444" w:rsidP="00711444">
      <w:pPr>
        <w:pStyle w:val="EX"/>
        <w:keepNext/>
        <w:ind w:left="1699" w:hanging="1411"/>
      </w:pPr>
      <w:r w:rsidRPr="004D0DAA">
        <w:rPr>
          <w:b/>
        </w:rPr>
        <w:t>N3103:</w:t>
      </w:r>
      <w:r w:rsidRPr="004D0DAA">
        <w:tab/>
        <w:t>N3103 is reset when transmitting the final (EC) PACKET UPLINK ACK/NACK message within a TBF (final ack indicator set to 1). If the network does not receive the (EC) PACKET CONTROL ACKNOWLEDGEMENT message in the scheduled block for this TBF, it shall increment counter N3103 and retransmit the (EC) PACKET UPLINK ACK/NACK message. If counter N3103 exceeds its limit, the network shall start timer T3169.</w:t>
      </w:r>
    </w:p>
    <w:p w14:paraId="1599B728" w14:textId="77777777" w:rsidR="00711444" w:rsidRPr="004D0DAA" w:rsidRDefault="00711444" w:rsidP="00711444">
      <w:pPr>
        <w:pStyle w:val="EX"/>
        <w:keepLines w:val="0"/>
        <w:ind w:left="1699" w:hanging="1411"/>
        <w:rPr>
          <w:b/>
        </w:rPr>
      </w:pPr>
      <w:r w:rsidRPr="004D0DAA">
        <w:rPr>
          <w:b/>
        </w:rPr>
        <w:t>N3105:</w:t>
      </w:r>
      <w:r w:rsidRPr="004D0DAA">
        <w:tab/>
        <w:t xml:space="preserve">When the network after sending a RRBP field in the downlink RLC data block or in </w:t>
      </w:r>
      <w:r w:rsidRPr="004D0DAA">
        <w:rPr>
          <w:i/>
          <w:iCs/>
        </w:rPr>
        <w:t xml:space="preserve">Iu mode </w:t>
      </w:r>
      <w:r w:rsidRPr="004D0DAA">
        <w:t>also RLC/MAC control block, receives a valid RLC/MAC control message from the mobile station, it will reset counter N3105. The network will increment counter N3105 for each allocated data block for which no RLC/MAC control message is received for this TBF. The value of N3105max is network dependent.</w:t>
      </w:r>
      <w:r w:rsidRPr="004D0DAA">
        <w:rPr>
          <w:b/>
        </w:rPr>
        <w:t xml:space="preserve"> </w:t>
      </w:r>
    </w:p>
    <w:p w14:paraId="45143C24" w14:textId="77777777" w:rsidR="00711444" w:rsidRPr="004D0DAA" w:rsidRDefault="00711444" w:rsidP="00711444">
      <w:pPr>
        <w:pStyle w:val="EX"/>
        <w:keepLines w:val="0"/>
        <w:ind w:left="1699" w:hanging="1411"/>
      </w:pPr>
      <w:r w:rsidRPr="004D0DAA">
        <w:tab/>
        <w:t>During an MBMS data transfer, whenever the network receives a valid RLC/MAC control message from a mobile station identified by a given MS_ID value, it shall reset the counter N3105 for that MS_ID. The network shall increment the counter N3105 for a given MS_ID for each radio block, allocated via the polling procedure to the mobile station identified by that MS_ID value, for which no RLC/MAC control message is received. The value of N3105_MBMS_MAX is network dependent</w:t>
      </w:r>
    </w:p>
    <w:p w14:paraId="34541D47" w14:textId="77777777" w:rsidR="00711444" w:rsidRPr="004D0DAA" w:rsidRDefault="00711444" w:rsidP="00711444">
      <w:pPr>
        <w:pStyle w:val="EX"/>
        <w:keepNext/>
        <w:ind w:left="1699" w:hanging="1411"/>
      </w:pPr>
      <w:r w:rsidRPr="004D0DAA">
        <w:rPr>
          <w:b/>
        </w:rPr>
        <w:t>N3107</w:t>
      </w:r>
      <w:r w:rsidRPr="004D0DAA">
        <w:tab/>
        <w:t xml:space="preserve">N3107 is used in </w:t>
      </w:r>
      <w:r w:rsidRPr="004D0DAA">
        <w:rPr>
          <w:i/>
          <w:iCs/>
        </w:rPr>
        <w:t>Iu mode</w:t>
      </w:r>
      <w:r w:rsidRPr="004D0DAA">
        <w:t xml:space="preserve"> on the network side to detect link failures that may occur for a given RLC entity and that shall be reported to the RRC layer. It is incremented each time a response to a given request is not received before a specified response time. It is reset upon reception of a response within the response time requirements. If the counter N3107 is equal to N3107max, a link failure has occurred that shall be reported to the RRC layer. There is one N3107 instance per downlink RLC entity in TCH or DCCH TBF mode. The value of N3107max is network dependent. </w:t>
      </w:r>
    </w:p>
    <w:p w14:paraId="19F3EB5C" w14:textId="77777777" w:rsidR="00711444" w:rsidRPr="004D0DAA" w:rsidRDefault="00711444" w:rsidP="00711444">
      <w:pPr>
        <w:pStyle w:val="EX"/>
        <w:keepNext/>
        <w:ind w:left="1695" w:hanging="1411"/>
      </w:pPr>
      <w:r w:rsidRPr="004D0DAA">
        <w:rPr>
          <w:b/>
        </w:rPr>
        <w:t>N3109:</w:t>
      </w:r>
      <w:r w:rsidRPr="004D0DAA">
        <w:tab/>
        <w:t>N3109 for a given MS_ID on an MBMS radio bearer is reset when transmitting for the first time the MBMS MS_ID ASSIGNMENT message including a polling request. If the network does not receive the PACKET CONTROL ACKNOWLEDGEMENT message in the scheduled block, it shall increment counter N3109 for that MS_ID and may retransmit the MBMS MS_ID ASSIGNMENT message. If counter N3109 = N3109_MAX, the network shall start timer T3199 for that MS_ID. The value of N3109_MAX is network dependent.</w:t>
      </w:r>
    </w:p>
    <w:p w14:paraId="3D98F599" w14:textId="77777777" w:rsidR="00711444" w:rsidRPr="004D0DAA" w:rsidRDefault="00711444" w:rsidP="00711444">
      <w:pPr>
        <w:pStyle w:val="Heading8"/>
        <w:keepNext w:val="0"/>
        <w:keepLines w:val="0"/>
      </w:pPr>
      <w:r w:rsidRPr="004D0DAA">
        <w:br w:type="page"/>
      </w:r>
      <w:bookmarkStart w:id="879" w:name="_Toc516670052"/>
      <w:r w:rsidRPr="004D0DAA">
        <w:lastRenderedPageBreak/>
        <w:t>Annex A (informative):</w:t>
      </w:r>
      <w:r w:rsidRPr="004D0DAA">
        <w:br/>
        <w:t>Bibliography</w:t>
      </w:r>
      <w:bookmarkEnd w:id="879"/>
    </w:p>
    <w:p w14:paraId="3012CBDE" w14:textId="77777777" w:rsidR="00711444" w:rsidRPr="004D0DAA" w:rsidRDefault="00711444" w:rsidP="00711444">
      <w:pPr>
        <w:pStyle w:val="B1"/>
      </w:pPr>
      <w:r w:rsidRPr="004D0DAA">
        <w:t>1)</w:t>
      </w:r>
      <w:r w:rsidRPr="004D0DAA">
        <w:tab/>
        <w:t>ITU-T Recommendation I.130: "Method for the characterization of telecommunication services supported by an ISDN and network capabilities of an ISDN".</w:t>
      </w:r>
    </w:p>
    <w:p w14:paraId="5C23E2F5" w14:textId="77777777" w:rsidR="00711444" w:rsidRPr="004D0DAA" w:rsidRDefault="00711444" w:rsidP="00711444">
      <w:pPr>
        <w:pStyle w:val="B1"/>
      </w:pPr>
      <w:r w:rsidRPr="004D0DAA">
        <w:t>2)</w:t>
      </w:r>
      <w:r w:rsidRPr="004D0DAA">
        <w:tab/>
        <w:t>ITU-T Recommendation Q.65: "The unified functional methodology for the characterization of services and network capabilities".</w:t>
      </w:r>
    </w:p>
    <w:p w14:paraId="67C6ACA4" w14:textId="77777777" w:rsidR="00711444" w:rsidRPr="004D0DAA" w:rsidRDefault="00711444" w:rsidP="00711444">
      <w:pPr>
        <w:pStyle w:val="B1"/>
      </w:pPr>
      <w:r w:rsidRPr="004D0DAA">
        <w:t>3)</w:t>
      </w:r>
      <w:r w:rsidRPr="004D0DAA">
        <w:tab/>
        <w:t>ISO/IEC 8886: "Information technology - Open Systems Interconnection - Data link service definition".</w:t>
      </w:r>
    </w:p>
    <w:p w14:paraId="4BD9EF09" w14:textId="77777777" w:rsidR="00711444" w:rsidRPr="004D0DAA" w:rsidRDefault="00711444" w:rsidP="00711444">
      <w:pPr>
        <w:pStyle w:val="B1"/>
      </w:pPr>
      <w:r w:rsidRPr="004D0DAA">
        <w:t>4)</w:t>
      </w:r>
      <w:r w:rsidRPr="004D0DAA">
        <w:tab/>
        <w:t>ISO/IEC 10022: "Information technology - Open Systems Interconnection - Physical Service Definition".</w:t>
      </w:r>
    </w:p>
    <w:p w14:paraId="02B415D9" w14:textId="77777777" w:rsidR="00711444" w:rsidRPr="004D0DAA" w:rsidRDefault="00711444" w:rsidP="00711444">
      <w:pPr>
        <w:pStyle w:val="B1"/>
      </w:pPr>
      <w:r w:rsidRPr="004D0DAA">
        <w:t>5)</w:t>
      </w:r>
      <w:r w:rsidRPr="004D0DAA">
        <w:tab/>
        <w:t>ISO/IEC 10039: "Information technology - Open Systems Interconnection - Local area networks - Medium Access Control (MAC) service definition".</w:t>
      </w:r>
    </w:p>
    <w:p w14:paraId="51B6D6AF" w14:textId="77777777" w:rsidR="00711444" w:rsidRPr="004D0DAA" w:rsidRDefault="00711444" w:rsidP="00711444">
      <w:pPr>
        <w:pStyle w:val="B1"/>
      </w:pPr>
      <w:r w:rsidRPr="004D0DAA">
        <w:t>6)</w:t>
      </w:r>
      <w:r w:rsidRPr="004D0DAA">
        <w:tab/>
        <w:t>ISO/IEC 4335: "Information technology - Telecommunications and information exchange between systems - High</w:t>
      </w:r>
      <w:r w:rsidRPr="004D0DAA">
        <w:noBreakHyphen/>
        <w:t>level data link control (HDLC) procedures - Elements of procedures".</w:t>
      </w:r>
    </w:p>
    <w:p w14:paraId="6E56E1E6" w14:textId="77777777" w:rsidR="00711444" w:rsidRPr="004D0DAA" w:rsidRDefault="00711444" w:rsidP="00711444">
      <w:pPr>
        <w:pStyle w:val="B1"/>
      </w:pPr>
      <w:r w:rsidRPr="004D0DAA">
        <w:t>7)</w:t>
      </w:r>
      <w:r w:rsidRPr="004D0DAA">
        <w:tab/>
        <w:t>ISO/IEC 7478: "Information processing systems - Data communication - Multilink procedures".</w:t>
      </w:r>
    </w:p>
    <w:p w14:paraId="16251BBC" w14:textId="77777777" w:rsidR="00711444" w:rsidRPr="004D0DAA" w:rsidRDefault="00711444" w:rsidP="00711444">
      <w:pPr>
        <w:pStyle w:val="B1"/>
      </w:pPr>
      <w:r w:rsidRPr="004D0DAA">
        <w:t>8)</w:t>
      </w:r>
      <w:r w:rsidRPr="004D0DAA">
        <w:tab/>
        <w:t>ISO/IEC 7498: "Information technology - Open Systems Interconnection - Basic Reference Model".</w:t>
      </w:r>
    </w:p>
    <w:p w14:paraId="28A5B36B" w14:textId="77777777" w:rsidR="00711444" w:rsidRPr="004D0DAA" w:rsidRDefault="00711444" w:rsidP="00711444">
      <w:pPr>
        <w:pStyle w:val="Heading8"/>
        <w:keepNext w:val="0"/>
        <w:keepLines w:val="0"/>
      </w:pPr>
      <w:r w:rsidRPr="004D0DAA">
        <w:br w:type="page"/>
      </w:r>
      <w:bookmarkStart w:id="880" w:name="_Toc516670053"/>
      <w:r w:rsidRPr="004D0DAA">
        <w:lastRenderedPageBreak/>
        <w:t>Annex B (informative):</w:t>
      </w:r>
      <w:r w:rsidRPr="004D0DAA">
        <w:br/>
        <w:t>RLC data block encoding</w:t>
      </w:r>
      <w:bookmarkEnd w:id="880"/>
    </w:p>
    <w:p w14:paraId="77E0EB95" w14:textId="77777777" w:rsidR="00711444" w:rsidRPr="004D0DAA" w:rsidRDefault="00711444" w:rsidP="00711444">
      <w:pPr>
        <w:pStyle w:val="Heading2"/>
      </w:pPr>
      <w:bookmarkStart w:id="881" w:name="_Toc516670054"/>
      <w:r w:rsidRPr="004D0DAA">
        <w:t>B.1</w:t>
      </w:r>
      <w:r w:rsidRPr="004D0DAA">
        <w:tab/>
        <w:t>Example 1</w:t>
      </w:r>
      <w:bookmarkEnd w:id="881"/>
    </w:p>
    <w:p w14:paraId="0ABA998F" w14:textId="77777777" w:rsidR="00711444" w:rsidRPr="004D0DAA" w:rsidRDefault="00711444" w:rsidP="00711444">
      <w:r w:rsidRPr="004D0DAA">
        <w:t>Figure B.1 provides an example of the use of the Length indicator in conjunction with the M and E bits. In the example, LLC PDU 1 continues from a previous RLC data block and ends in the RLC data block shown. LLC PDU 2 follows LLC PDU 1 and is completely contained within the RLC data block. LLC PDU 3 follows LLC PDU 2, beginning in the RLC data block shown, and continues into the next RLC data block.</w:t>
      </w:r>
    </w:p>
    <w:tbl>
      <w:tblPr>
        <w:tblW w:w="0" w:type="auto"/>
        <w:tblInd w:w="851" w:type="dxa"/>
        <w:tblLayout w:type="fixed"/>
        <w:tblCellMar>
          <w:left w:w="37" w:type="dxa"/>
          <w:right w:w="37" w:type="dxa"/>
        </w:tblCellMar>
        <w:tblLook w:val="0000" w:firstRow="0" w:lastRow="0" w:firstColumn="0" w:lastColumn="0" w:noHBand="0" w:noVBand="0"/>
      </w:tblPr>
      <w:tblGrid>
        <w:gridCol w:w="624"/>
        <w:gridCol w:w="624"/>
        <w:gridCol w:w="624"/>
        <w:gridCol w:w="624"/>
        <w:gridCol w:w="624"/>
        <w:gridCol w:w="624"/>
        <w:gridCol w:w="624"/>
        <w:gridCol w:w="624"/>
        <w:gridCol w:w="1701"/>
        <w:gridCol w:w="1567"/>
      </w:tblGrid>
      <w:tr w:rsidR="00711444" w:rsidRPr="004D0DAA" w14:paraId="2932D35D" w14:textId="77777777" w:rsidTr="00AA2A4C">
        <w:tblPrEx>
          <w:tblCellMar>
            <w:top w:w="0" w:type="dxa"/>
            <w:bottom w:w="0" w:type="dxa"/>
          </w:tblCellMar>
        </w:tblPrEx>
        <w:trPr>
          <w:cantSplit/>
        </w:trPr>
        <w:tc>
          <w:tcPr>
            <w:tcW w:w="4992" w:type="dxa"/>
            <w:gridSpan w:val="8"/>
          </w:tcPr>
          <w:p w14:paraId="33A1C21D" w14:textId="77777777" w:rsidR="00711444" w:rsidRPr="004D0DAA" w:rsidRDefault="00711444" w:rsidP="00AA2A4C">
            <w:pPr>
              <w:pStyle w:val="TAC"/>
              <w:rPr>
                <w:lang w:eastAsia="en-US"/>
              </w:rPr>
            </w:pPr>
            <w:r w:rsidRPr="004D0DAA">
              <w:rPr>
                <w:lang w:eastAsia="en-US"/>
              </w:rPr>
              <w:t>Bit</w:t>
            </w:r>
          </w:p>
        </w:tc>
        <w:tc>
          <w:tcPr>
            <w:tcW w:w="1701" w:type="dxa"/>
          </w:tcPr>
          <w:p w14:paraId="5FA0B118" w14:textId="77777777" w:rsidR="00711444" w:rsidRPr="004D0DAA" w:rsidRDefault="00711444" w:rsidP="00AA2A4C"/>
        </w:tc>
        <w:tc>
          <w:tcPr>
            <w:tcW w:w="1567" w:type="dxa"/>
            <w:tcBorders>
              <w:left w:val="single" w:sz="6" w:space="0" w:color="auto"/>
              <w:right w:val="single" w:sz="6" w:space="0" w:color="auto"/>
            </w:tcBorders>
          </w:tcPr>
          <w:p w14:paraId="32B6C867" w14:textId="77777777" w:rsidR="00711444" w:rsidRPr="004D0DAA" w:rsidRDefault="00711444" w:rsidP="00AA2A4C">
            <w:pPr>
              <w:pStyle w:val="TAC"/>
              <w:rPr>
                <w:lang w:eastAsia="en-US"/>
              </w:rPr>
            </w:pPr>
          </w:p>
        </w:tc>
      </w:tr>
      <w:tr w:rsidR="00711444" w:rsidRPr="004D0DAA" w14:paraId="5B39FA4C" w14:textId="77777777" w:rsidTr="00AA2A4C">
        <w:tblPrEx>
          <w:tblCellMar>
            <w:top w:w="0" w:type="dxa"/>
            <w:bottom w:w="0" w:type="dxa"/>
          </w:tblCellMar>
        </w:tblPrEx>
        <w:trPr>
          <w:cantSplit/>
        </w:trPr>
        <w:tc>
          <w:tcPr>
            <w:tcW w:w="624" w:type="dxa"/>
          </w:tcPr>
          <w:p w14:paraId="1DE35640" w14:textId="77777777" w:rsidR="00711444" w:rsidRPr="004D0DAA" w:rsidRDefault="00711444" w:rsidP="00AA2A4C">
            <w:pPr>
              <w:pStyle w:val="TAC"/>
              <w:rPr>
                <w:lang w:eastAsia="en-US"/>
              </w:rPr>
            </w:pPr>
            <w:r w:rsidRPr="004D0DAA">
              <w:rPr>
                <w:lang w:eastAsia="en-US"/>
              </w:rPr>
              <w:t>8</w:t>
            </w:r>
          </w:p>
        </w:tc>
        <w:tc>
          <w:tcPr>
            <w:tcW w:w="624" w:type="dxa"/>
          </w:tcPr>
          <w:p w14:paraId="3570A952" w14:textId="77777777" w:rsidR="00711444" w:rsidRPr="004D0DAA" w:rsidRDefault="00711444" w:rsidP="00AA2A4C">
            <w:pPr>
              <w:pStyle w:val="TAC"/>
              <w:rPr>
                <w:lang w:eastAsia="en-US"/>
              </w:rPr>
            </w:pPr>
            <w:r w:rsidRPr="004D0DAA">
              <w:rPr>
                <w:lang w:eastAsia="en-US"/>
              </w:rPr>
              <w:t>7</w:t>
            </w:r>
          </w:p>
        </w:tc>
        <w:tc>
          <w:tcPr>
            <w:tcW w:w="624" w:type="dxa"/>
          </w:tcPr>
          <w:p w14:paraId="3E1C80FC" w14:textId="77777777" w:rsidR="00711444" w:rsidRPr="004D0DAA" w:rsidRDefault="00711444" w:rsidP="00AA2A4C">
            <w:pPr>
              <w:pStyle w:val="TAC"/>
              <w:rPr>
                <w:lang w:eastAsia="en-US"/>
              </w:rPr>
            </w:pPr>
            <w:r w:rsidRPr="004D0DAA">
              <w:rPr>
                <w:lang w:eastAsia="en-US"/>
              </w:rPr>
              <w:t>6</w:t>
            </w:r>
          </w:p>
        </w:tc>
        <w:tc>
          <w:tcPr>
            <w:tcW w:w="624" w:type="dxa"/>
          </w:tcPr>
          <w:p w14:paraId="668D2759" w14:textId="77777777" w:rsidR="00711444" w:rsidRPr="004D0DAA" w:rsidRDefault="00711444" w:rsidP="00AA2A4C">
            <w:pPr>
              <w:pStyle w:val="TAC"/>
              <w:rPr>
                <w:lang w:eastAsia="en-US"/>
              </w:rPr>
            </w:pPr>
            <w:r w:rsidRPr="004D0DAA">
              <w:rPr>
                <w:lang w:eastAsia="en-US"/>
              </w:rPr>
              <w:t>5</w:t>
            </w:r>
          </w:p>
        </w:tc>
        <w:tc>
          <w:tcPr>
            <w:tcW w:w="624" w:type="dxa"/>
          </w:tcPr>
          <w:p w14:paraId="502B7F70" w14:textId="77777777" w:rsidR="00711444" w:rsidRPr="004D0DAA" w:rsidRDefault="00711444" w:rsidP="00AA2A4C">
            <w:pPr>
              <w:pStyle w:val="TAC"/>
              <w:rPr>
                <w:lang w:eastAsia="en-US"/>
              </w:rPr>
            </w:pPr>
            <w:r w:rsidRPr="004D0DAA">
              <w:rPr>
                <w:lang w:eastAsia="en-US"/>
              </w:rPr>
              <w:t>4</w:t>
            </w:r>
          </w:p>
        </w:tc>
        <w:tc>
          <w:tcPr>
            <w:tcW w:w="624" w:type="dxa"/>
          </w:tcPr>
          <w:p w14:paraId="2FC4BA10" w14:textId="77777777" w:rsidR="00711444" w:rsidRPr="004D0DAA" w:rsidRDefault="00711444" w:rsidP="00AA2A4C">
            <w:pPr>
              <w:pStyle w:val="TAC"/>
              <w:rPr>
                <w:lang w:eastAsia="en-US"/>
              </w:rPr>
            </w:pPr>
            <w:r w:rsidRPr="004D0DAA">
              <w:rPr>
                <w:lang w:eastAsia="en-US"/>
              </w:rPr>
              <w:t>3</w:t>
            </w:r>
          </w:p>
        </w:tc>
        <w:tc>
          <w:tcPr>
            <w:tcW w:w="624" w:type="dxa"/>
          </w:tcPr>
          <w:p w14:paraId="2922D181" w14:textId="77777777" w:rsidR="00711444" w:rsidRPr="004D0DAA" w:rsidRDefault="00711444" w:rsidP="00AA2A4C">
            <w:pPr>
              <w:pStyle w:val="TAC"/>
              <w:rPr>
                <w:lang w:eastAsia="en-US"/>
              </w:rPr>
            </w:pPr>
            <w:r w:rsidRPr="004D0DAA">
              <w:rPr>
                <w:lang w:eastAsia="en-US"/>
              </w:rPr>
              <w:t>2</w:t>
            </w:r>
          </w:p>
        </w:tc>
        <w:tc>
          <w:tcPr>
            <w:tcW w:w="624" w:type="dxa"/>
          </w:tcPr>
          <w:p w14:paraId="37CC0599" w14:textId="77777777" w:rsidR="00711444" w:rsidRPr="004D0DAA" w:rsidRDefault="00711444" w:rsidP="00AA2A4C">
            <w:pPr>
              <w:pStyle w:val="TAC"/>
              <w:rPr>
                <w:lang w:eastAsia="en-US"/>
              </w:rPr>
            </w:pPr>
            <w:r w:rsidRPr="004D0DAA">
              <w:rPr>
                <w:lang w:eastAsia="en-US"/>
              </w:rPr>
              <w:t>1</w:t>
            </w:r>
          </w:p>
        </w:tc>
        <w:tc>
          <w:tcPr>
            <w:tcW w:w="1701" w:type="dxa"/>
          </w:tcPr>
          <w:p w14:paraId="28FFA037" w14:textId="77777777" w:rsidR="00711444" w:rsidRPr="004D0DAA" w:rsidRDefault="00711444" w:rsidP="00AA2A4C"/>
        </w:tc>
        <w:tc>
          <w:tcPr>
            <w:tcW w:w="1567" w:type="dxa"/>
            <w:tcBorders>
              <w:left w:val="single" w:sz="6" w:space="0" w:color="auto"/>
              <w:right w:val="single" w:sz="6" w:space="0" w:color="auto"/>
            </w:tcBorders>
          </w:tcPr>
          <w:p w14:paraId="71B22B74" w14:textId="77777777" w:rsidR="00711444" w:rsidRPr="004D0DAA" w:rsidRDefault="00711444" w:rsidP="00AA2A4C">
            <w:pPr>
              <w:pStyle w:val="TAC"/>
              <w:rPr>
                <w:lang w:eastAsia="en-US"/>
              </w:rPr>
            </w:pPr>
          </w:p>
        </w:tc>
      </w:tr>
      <w:tr w:rsidR="00711444" w:rsidRPr="004D0DAA" w14:paraId="40AD0DE7"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5A442ADF"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042D911F"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6324F926"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1C770B10" w14:textId="77777777" w:rsidR="00711444" w:rsidRPr="004D0DAA" w:rsidRDefault="00711444" w:rsidP="00AA2A4C"/>
        </w:tc>
        <w:tc>
          <w:tcPr>
            <w:tcW w:w="624" w:type="dxa"/>
            <w:tcBorders>
              <w:top w:val="single" w:sz="6" w:space="0" w:color="auto"/>
              <w:bottom w:val="single" w:sz="6" w:space="0" w:color="auto"/>
            </w:tcBorders>
          </w:tcPr>
          <w:p w14:paraId="1DF019A4"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1F145E3B" w14:textId="77777777" w:rsidR="00711444" w:rsidRPr="004D0DAA" w:rsidRDefault="00711444" w:rsidP="00AA2A4C"/>
        </w:tc>
        <w:tc>
          <w:tcPr>
            <w:tcW w:w="1701" w:type="dxa"/>
          </w:tcPr>
          <w:p w14:paraId="6B6FB301"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373328B2" w14:textId="77777777" w:rsidR="00711444" w:rsidRPr="004D0DAA" w:rsidRDefault="00711444" w:rsidP="00AA2A4C">
            <w:pPr>
              <w:pStyle w:val="TAC"/>
              <w:rPr>
                <w:lang w:eastAsia="en-US"/>
              </w:rPr>
            </w:pPr>
          </w:p>
        </w:tc>
      </w:tr>
      <w:tr w:rsidR="00711444" w:rsidRPr="004D0DAA" w14:paraId="14E1419D" w14:textId="77777777" w:rsidTr="00AA2A4C">
        <w:tblPrEx>
          <w:tblCellMar>
            <w:top w:w="0" w:type="dxa"/>
            <w:bottom w:w="0" w:type="dxa"/>
          </w:tblCellMar>
        </w:tblPrEx>
        <w:trPr>
          <w:cantSplit/>
        </w:trPr>
        <w:tc>
          <w:tcPr>
            <w:tcW w:w="1248" w:type="dxa"/>
            <w:gridSpan w:val="2"/>
            <w:tcBorders>
              <w:top w:val="single" w:sz="6" w:space="0" w:color="auto"/>
              <w:left w:val="single" w:sz="6" w:space="0" w:color="auto"/>
              <w:right w:val="single" w:sz="6" w:space="0" w:color="auto"/>
            </w:tcBorders>
          </w:tcPr>
          <w:p w14:paraId="49FB3D92" w14:textId="77777777" w:rsidR="00711444" w:rsidRPr="004D0DAA" w:rsidRDefault="00711444" w:rsidP="00AA2A4C">
            <w:pPr>
              <w:pStyle w:val="TAC"/>
              <w:rPr>
                <w:lang w:eastAsia="en-US"/>
              </w:rPr>
            </w:pPr>
            <w:r w:rsidRPr="004D0DAA">
              <w:rPr>
                <w:lang w:eastAsia="en-US"/>
              </w:rPr>
              <w:t>PR</w:t>
            </w:r>
          </w:p>
        </w:tc>
        <w:tc>
          <w:tcPr>
            <w:tcW w:w="3120" w:type="dxa"/>
            <w:gridSpan w:val="5"/>
            <w:tcBorders>
              <w:top w:val="single" w:sz="6" w:space="0" w:color="auto"/>
            </w:tcBorders>
          </w:tcPr>
          <w:p w14:paraId="4675DE09"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left w:val="single" w:sz="6" w:space="0" w:color="auto"/>
              <w:bottom w:val="single" w:sz="6" w:space="0" w:color="auto"/>
              <w:right w:val="single" w:sz="6" w:space="0" w:color="auto"/>
            </w:tcBorders>
          </w:tcPr>
          <w:p w14:paraId="32D3CA80" w14:textId="77777777" w:rsidR="00711444" w:rsidRPr="004D0DAA" w:rsidRDefault="00711444" w:rsidP="00AA2A4C">
            <w:pPr>
              <w:pStyle w:val="TAC"/>
              <w:rPr>
                <w:lang w:eastAsia="en-US"/>
              </w:rPr>
            </w:pPr>
            <w:r w:rsidRPr="004D0DAA">
              <w:rPr>
                <w:lang w:eastAsia="en-US"/>
              </w:rPr>
              <w:t>FBI</w:t>
            </w:r>
          </w:p>
        </w:tc>
        <w:tc>
          <w:tcPr>
            <w:tcW w:w="1701" w:type="dxa"/>
          </w:tcPr>
          <w:p w14:paraId="020C5211"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2DB5072E" w14:textId="77777777" w:rsidR="00711444" w:rsidRPr="004D0DAA" w:rsidRDefault="00711444" w:rsidP="00AA2A4C">
            <w:pPr>
              <w:pStyle w:val="TAC"/>
              <w:rPr>
                <w:lang w:eastAsia="en-US"/>
              </w:rPr>
            </w:pPr>
          </w:p>
        </w:tc>
      </w:tr>
      <w:tr w:rsidR="00711444" w:rsidRPr="004D0DAA" w14:paraId="08C6ACFD"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209EDC9C" w14:textId="77777777" w:rsidR="00711444" w:rsidRPr="004D0DAA" w:rsidRDefault="00711444" w:rsidP="00AA2A4C"/>
        </w:tc>
        <w:tc>
          <w:tcPr>
            <w:tcW w:w="624" w:type="dxa"/>
            <w:tcBorders>
              <w:top w:val="single" w:sz="6" w:space="0" w:color="auto"/>
            </w:tcBorders>
          </w:tcPr>
          <w:p w14:paraId="09820579" w14:textId="77777777" w:rsidR="00711444" w:rsidRPr="004D0DAA" w:rsidRDefault="00711444" w:rsidP="00AA2A4C"/>
        </w:tc>
        <w:tc>
          <w:tcPr>
            <w:tcW w:w="624" w:type="dxa"/>
            <w:tcBorders>
              <w:top w:val="single" w:sz="6" w:space="0" w:color="auto"/>
            </w:tcBorders>
          </w:tcPr>
          <w:p w14:paraId="5C189A4B" w14:textId="77777777" w:rsidR="00711444" w:rsidRPr="004D0DAA" w:rsidRDefault="00711444" w:rsidP="00AA2A4C"/>
        </w:tc>
        <w:tc>
          <w:tcPr>
            <w:tcW w:w="624" w:type="dxa"/>
            <w:tcBorders>
              <w:top w:val="single" w:sz="6" w:space="0" w:color="auto"/>
            </w:tcBorders>
          </w:tcPr>
          <w:p w14:paraId="36E416F3"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67512ABD" w14:textId="77777777" w:rsidR="00711444" w:rsidRPr="004D0DAA" w:rsidRDefault="00711444" w:rsidP="00AA2A4C"/>
        </w:tc>
        <w:tc>
          <w:tcPr>
            <w:tcW w:w="624" w:type="dxa"/>
            <w:tcBorders>
              <w:top w:val="single" w:sz="6" w:space="0" w:color="auto"/>
            </w:tcBorders>
          </w:tcPr>
          <w:p w14:paraId="2FE172EC"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77028E8A"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382336EC" w14:textId="77777777" w:rsidR="00711444" w:rsidRPr="004D0DAA" w:rsidRDefault="00711444" w:rsidP="00AA2A4C">
            <w:pPr>
              <w:pStyle w:val="TAC"/>
              <w:rPr>
                <w:lang w:eastAsia="en-US"/>
              </w:rPr>
            </w:pPr>
            <w:r w:rsidRPr="004D0DAA">
              <w:rPr>
                <w:lang w:eastAsia="en-US"/>
              </w:rPr>
              <w:t>E = 0</w:t>
            </w:r>
          </w:p>
        </w:tc>
        <w:tc>
          <w:tcPr>
            <w:tcW w:w="1701" w:type="dxa"/>
          </w:tcPr>
          <w:p w14:paraId="39FEE010"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01E6A7F9" w14:textId="77777777" w:rsidR="00711444" w:rsidRPr="004D0DAA" w:rsidRDefault="00711444" w:rsidP="00AA2A4C">
            <w:pPr>
              <w:pStyle w:val="TAC"/>
              <w:rPr>
                <w:lang w:eastAsia="en-US"/>
              </w:rPr>
            </w:pPr>
          </w:p>
        </w:tc>
      </w:tr>
      <w:tr w:rsidR="00711444" w:rsidRPr="004D0DAA" w14:paraId="6C3D56ED" w14:textId="77777777" w:rsidTr="00AA2A4C">
        <w:tblPrEx>
          <w:tblCellMar>
            <w:top w:w="0" w:type="dxa"/>
            <w:bottom w:w="0" w:type="dxa"/>
          </w:tblCellMar>
        </w:tblPrEx>
        <w:trPr>
          <w:cantSplit/>
        </w:trPr>
        <w:tc>
          <w:tcPr>
            <w:tcW w:w="3744" w:type="dxa"/>
            <w:gridSpan w:val="6"/>
            <w:tcBorders>
              <w:top w:val="single" w:sz="6" w:space="0" w:color="auto"/>
              <w:left w:val="single" w:sz="6" w:space="0" w:color="auto"/>
            </w:tcBorders>
          </w:tcPr>
          <w:p w14:paraId="48E71BDC" w14:textId="77777777" w:rsidR="00711444" w:rsidRPr="004D0DAA" w:rsidRDefault="00711444" w:rsidP="00AA2A4C">
            <w:pPr>
              <w:pStyle w:val="TAC"/>
              <w:rPr>
                <w:lang w:eastAsia="en-US"/>
              </w:rPr>
            </w:pPr>
            <w:r w:rsidRPr="004D0DAA">
              <w:rPr>
                <w:lang w:eastAsia="en-US"/>
              </w:rPr>
              <w:t>Length indicator = 11</w:t>
            </w:r>
          </w:p>
        </w:tc>
        <w:tc>
          <w:tcPr>
            <w:tcW w:w="624" w:type="dxa"/>
            <w:tcBorders>
              <w:top w:val="single" w:sz="6" w:space="0" w:color="auto"/>
              <w:left w:val="single" w:sz="6" w:space="0" w:color="auto"/>
              <w:bottom w:val="single" w:sz="6" w:space="0" w:color="auto"/>
              <w:right w:val="single" w:sz="6" w:space="0" w:color="auto"/>
            </w:tcBorders>
          </w:tcPr>
          <w:p w14:paraId="6524AF5C" w14:textId="77777777" w:rsidR="00711444" w:rsidRPr="004D0DAA" w:rsidRDefault="00711444" w:rsidP="00AA2A4C">
            <w:pPr>
              <w:pStyle w:val="TAC"/>
              <w:rPr>
                <w:lang w:eastAsia="en-US"/>
              </w:rPr>
            </w:pPr>
            <w:r w:rsidRPr="004D0DAA">
              <w:rPr>
                <w:lang w:eastAsia="en-US"/>
              </w:rPr>
              <w:t>M = 1</w:t>
            </w:r>
          </w:p>
        </w:tc>
        <w:tc>
          <w:tcPr>
            <w:tcW w:w="624" w:type="dxa"/>
            <w:tcBorders>
              <w:top w:val="single" w:sz="6" w:space="0" w:color="auto"/>
              <w:left w:val="single" w:sz="6" w:space="0" w:color="auto"/>
              <w:bottom w:val="single" w:sz="6" w:space="0" w:color="auto"/>
              <w:right w:val="single" w:sz="6" w:space="0" w:color="auto"/>
            </w:tcBorders>
          </w:tcPr>
          <w:p w14:paraId="4B685548" w14:textId="77777777" w:rsidR="00711444" w:rsidRPr="004D0DAA" w:rsidRDefault="00711444" w:rsidP="00AA2A4C">
            <w:pPr>
              <w:pStyle w:val="TAC"/>
              <w:rPr>
                <w:lang w:eastAsia="en-US"/>
              </w:rPr>
            </w:pPr>
            <w:r w:rsidRPr="004D0DAA">
              <w:rPr>
                <w:lang w:eastAsia="en-US"/>
              </w:rPr>
              <w:t>E = 0</w:t>
            </w:r>
          </w:p>
        </w:tc>
        <w:tc>
          <w:tcPr>
            <w:tcW w:w="1701" w:type="dxa"/>
            <w:tcBorders>
              <w:left w:val="single" w:sz="6" w:space="0" w:color="auto"/>
            </w:tcBorders>
          </w:tcPr>
          <w:p w14:paraId="7C9C8478"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1B92DD37" w14:textId="77777777" w:rsidR="00711444" w:rsidRPr="004D0DAA" w:rsidRDefault="00711444" w:rsidP="00AA2A4C">
            <w:pPr>
              <w:pStyle w:val="TAC"/>
              <w:rPr>
                <w:lang w:eastAsia="en-US"/>
              </w:rPr>
            </w:pPr>
            <w:r w:rsidRPr="004D0DAA">
              <w:rPr>
                <w:lang w:eastAsia="en-US"/>
              </w:rPr>
              <w:t>LLC PDU 1</w:t>
            </w:r>
          </w:p>
        </w:tc>
      </w:tr>
      <w:tr w:rsidR="00711444" w:rsidRPr="004D0DAA" w14:paraId="5824B71A" w14:textId="77777777" w:rsidTr="00AA2A4C">
        <w:tblPrEx>
          <w:tblCellMar>
            <w:top w:w="0" w:type="dxa"/>
            <w:bottom w:w="0" w:type="dxa"/>
          </w:tblCellMar>
        </w:tblPrEx>
        <w:trPr>
          <w:cantSplit/>
        </w:trPr>
        <w:tc>
          <w:tcPr>
            <w:tcW w:w="3744" w:type="dxa"/>
            <w:gridSpan w:val="6"/>
            <w:tcBorders>
              <w:top w:val="single" w:sz="6" w:space="0" w:color="auto"/>
              <w:left w:val="single" w:sz="6" w:space="0" w:color="auto"/>
              <w:bottom w:val="single" w:sz="6" w:space="0" w:color="auto"/>
            </w:tcBorders>
          </w:tcPr>
          <w:p w14:paraId="083CBB09" w14:textId="77777777" w:rsidR="00711444" w:rsidRPr="004D0DAA" w:rsidRDefault="00711444" w:rsidP="00AA2A4C">
            <w:pPr>
              <w:pStyle w:val="TAC"/>
              <w:rPr>
                <w:lang w:eastAsia="en-US"/>
              </w:rPr>
            </w:pPr>
            <w:r w:rsidRPr="004D0DAA">
              <w:rPr>
                <w:lang w:eastAsia="en-US"/>
              </w:rPr>
              <w:t>Length indicator = 26</w:t>
            </w:r>
          </w:p>
        </w:tc>
        <w:tc>
          <w:tcPr>
            <w:tcW w:w="624" w:type="dxa"/>
            <w:tcBorders>
              <w:top w:val="single" w:sz="6" w:space="0" w:color="auto"/>
              <w:left w:val="single" w:sz="6" w:space="0" w:color="auto"/>
              <w:bottom w:val="single" w:sz="6" w:space="0" w:color="auto"/>
              <w:right w:val="single" w:sz="6" w:space="0" w:color="auto"/>
            </w:tcBorders>
          </w:tcPr>
          <w:p w14:paraId="1CE00257" w14:textId="77777777" w:rsidR="00711444" w:rsidRPr="004D0DAA" w:rsidRDefault="00711444" w:rsidP="00AA2A4C">
            <w:pPr>
              <w:pStyle w:val="TAC"/>
              <w:rPr>
                <w:lang w:eastAsia="en-US"/>
              </w:rPr>
            </w:pPr>
            <w:r w:rsidRPr="004D0DAA">
              <w:rPr>
                <w:lang w:eastAsia="en-US"/>
              </w:rPr>
              <w:t>M = 1</w:t>
            </w:r>
          </w:p>
        </w:tc>
        <w:tc>
          <w:tcPr>
            <w:tcW w:w="624" w:type="dxa"/>
            <w:tcBorders>
              <w:top w:val="single" w:sz="6" w:space="0" w:color="auto"/>
              <w:left w:val="single" w:sz="6" w:space="0" w:color="auto"/>
              <w:bottom w:val="single" w:sz="6" w:space="0" w:color="auto"/>
              <w:right w:val="single" w:sz="6" w:space="0" w:color="auto"/>
            </w:tcBorders>
          </w:tcPr>
          <w:p w14:paraId="58C694AD"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55429F37"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77E2F02C" w14:textId="77777777" w:rsidR="00711444" w:rsidRPr="004D0DAA" w:rsidRDefault="00711444" w:rsidP="00AA2A4C">
            <w:pPr>
              <w:pStyle w:val="TAC"/>
              <w:rPr>
                <w:lang w:eastAsia="en-US"/>
              </w:rPr>
            </w:pPr>
          </w:p>
        </w:tc>
      </w:tr>
      <w:tr w:rsidR="00711444" w:rsidRPr="004D0DAA" w14:paraId="6E623EF4" w14:textId="77777777" w:rsidTr="00AA2A4C">
        <w:tblPrEx>
          <w:tblCellMar>
            <w:top w:w="0" w:type="dxa"/>
            <w:bottom w:w="0" w:type="dxa"/>
          </w:tblCellMar>
        </w:tblPrEx>
        <w:trPr>
          <w:cantSplit/>
        </w:trPr>
        <w:tc>
          <w:tcPr>
            <w:tcW w:w="624" w:type="dxa"/>
            <w:tcBorders>
              <w:left w:val="single" w:sz="6" w:space="0" w:color="auto"/>
            </w:tcBorders>
          </w:tcPr>
          <w:p w14:paraId="139148AC" w14:textId="77777777" w:rsidR="00711444" w:rsidRPr="004D0DAA" w:rsidRDefault="00711444" w:rsidP="00AA2A4C"/>
        </w:tc>
        <w:tc>
          <w:tcPr>
            <w:tcW w:w="624" w:type="dxa"/>
          </w:tcPr>
          <w:p w14:paraId="479DBB5C" w14:textId="77777777" w:rsidR="00711444" w:rsidRPr="004D0DAA" w:rsidRDefault="00711444" w:rsidP="00AA2A4C"/>
        </w:tc>
        <w:tc>
          <w:tcPr>
            <w:tcW w:w="624" w:type="dxa"/>
          </w:tcPr>
          <w:p w14:paraId="0929A034" w14:textId="77777777" w:rsidR="00711444" w:rsidRPr="004D0DAA" w:rsidRDefault="00711444" w:rsidP="00AA2A4C"/>
        </w:tc>
        <w:tc>
          <w:tcPr>
            <w:tcW w:w="624" w:type="dxa"/>
          </w:tcPr>
          <w:p w14:paraId="1CF38DF6" w14:textId="77777777" w:rsidR="00711444" w:rsidRPr="004D0DAA" w:rsidRDefault="00711444" w:rsidP="00AA2A4C"/>
        </w:tc>
        <w:tc>
          <w:tcPr>
            <w:tcW w:w="624" w:type="dxa"/>
          </w:tcPr>
          <w:p w14:paraId="4699CA24" w14:textId="77777777" w:rsidR="00711444" w:rsidRPr="004D0DAA" w:rsidRDefault="00711444" w:rsidP="00AA2A4C"/>
        </w:tc>
        <w:tc>
          <w:tcPr>
            <w:tcW w:w="624" w:type="dxa"/>
          </w:tcPr>
          <w:p w14:paraId="14ECB4A0" w14:textId="77777777" w:rsidR="00711444" w:rsidRPr="004D0DAA" w:rsidRDefault="00711444" w:rsidP="00AA2A4C"/>
        </w:tc>
        <w:tc>
          <w:tcPr>
            <w:tcW w:w="624" w:type="dxa"/>
          </w:tcPr>
          <w:p w14:paraId="57DA2707" w14:textId="77777777" w:rsidR="00711444" w:rsidRPr="004D0DAA" w:rsidRDefault="00711444" w:rsidP="00AA2A4C"/>
        </w:tc>
        <w:tc>
          <w:tcPr>
            <w:tcW w:w="624" w:type="dxa"/>
            <w:tcBorders>
              <w:right w:val="single" w:sz="6" w:space="0" w:color="auto"/>
            </w:tcBorders>
          </w:tcPr>
          <w:p w14:paraId="67182DA1" w14:textId="77777777" w:rsidR="00711444" w:rsidRPr="004D0DAA" w:rsidRDefault="00711444" w:rsidP="00AA2A4C"/>
        </w:tc>
        <w:tc>
          <w:tcPr>
            <w:tcW w:w="1701" w:type="dxa"/>
          </w:tcPr>
          <w:p w14:paraId="259B5D85" w14:textId="77777777" w:rsidR="00711444" w:rsidRPr="004D0DAA" w:rsidRDefault="00711444" w:rsidP="00AA2A4C">
            <w:pPr>
              <w:pStyle w:val="TAC"/>
              <w:rPr>
                <w:lang w:eastAsia="en-US"/>
              </w:rPr>
            </w:pPr>
            <w:r w:rsidRPr="004D0DAA">
              <w:rPr>
                <w:lang w:eastAsia="en-US"/>
              </w:rPr>
              <w:t>Octet 5</w:t>
            </w:r>
          </w:p>
        </w:tc>
        <w:tc>
          <w:tcPr>
            <w:tcW w:w="1567" w:type="dxa"/>
            <w:tcBorders>
              <w:left w:val="single" w:sz="6" w:space="0" w:color="auto"/>
              <w:right w:val="single" w:sz="6" w:space="0" w:color="auto"/>
            </w:tcBorders>
          </w:tcPr>
          <w:p w14:paraId="545F7D99" w14:textId="77777777" w:rsidR="00711444" w:rsidRPr="004D0DAA" w:rsidRDefault="00711444" w:rsidP="00AA2A4C">
            <w:pPr>
              <w:pStyle w:val="TAC"/>
              <w:rPr>
                <w:lang w:eastAsia="en-US"/>
              </w:rPr>
            </w:pPr>
          </w:p>
        </w:tc>
      </w:tr>
      <w:tr w:rsidR="00711444" w:rsidRPr="004D0DAA" w14:paraId="389720C2"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4A1617D1" w14:textId="77777777" w:rsidR="00711444" w:rsidRPr="004D0DAA" w:rsidRDefault="00711444" w:rsidP="00AA2A4C">
            <w:pPr>
              <w:pStyle w:val="TAC"/>
              <w:rPr>
                <w:lang w:eastAsia="en-US"/>
              </w:rPr>
            </w:pPr>
            <w:r w:rsidRPr="004D0DAA">
              <w:rPr>
                <w:lang w:eastAsia="en-US"/>
              </w:rPr>
              <w:br/>
              <w:t>LLC PDU 1 (cont)</w:t>
            </w:r>
          </w:p>
        </w:tc>
        <w:tc>
          <w:tcPr>
            <w:tcW w:w="1701" w:type="dxa"/>
          </w:tcPr>
          <w:p w14:paraId="4C9C8C75" w14:textId="77777777" w:rsidR="00711444" w:rsidRPr="004D0DAA" w:rsidRDefault="00711444" w:rsidP="00AA2A4C">
            <w:pPr>
              <w:pStyle w:val="TAC"/>
              <w:rPr>
                <w:lang w:eastAsia="en-US"/>
              </w:rPr>
            </w:pPr>
            <w:r w:rsidRPr="004D0DAA">
              <w:rPr>
                <w:lang w:eastAsia="en-US"/>
              </w:rPr>
              <w:t>.</w:t>
            </w:r>
          </w:p>
          <w:p w14:paraId="2CC5550C" w14:textId="77777777" w:rsidR="00711444" w:rsidRPr="004D0DAA" w:rsidRDefault="00711444" w:rsidP="00AA2A4C">
            <w:pPr>
              <w:pStyle w:val="TAC"/>
              <w:rPr>
                <w:lang w:eastAsia="en-US"/>
              </w:rPr>
            </w:pPr>
            <w:r w:rsidRPr="004D0DAA">
              <w:rPr>
                <w:lang w:eastAsia="en-US"/>
              </w:rPr>
              <w:t>.</w:t>
            </w:r>
          </w:p>
          <w:p w14:paraId="295C8075"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5CB8CCD6" w14:textId="77777777" w:rsidR="00711444" w:rsidRPr="004D0DAA" w:rsidRDefault="00711444" w:rsidP="00AA2A4C">
            <w:pPr>
              <w:pStyle w:val="TAC"/>
              <w:rPr>
                <w:lang w:eastAsia="en-US"/>
              </w:rPr>
            </w:pPr>
          </w:p>
        </w:tc>
      </w:tr>
      <w:tr w:rsidR="00711444" w:rsidRPr="004D0DAA" w14:paraId="3C49688D"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18D0855A" w14:textId="77777777" w:rsidR="00711444" w:rsidRPr="004D0DAA" w:rsidRDefault="00711444" w:rsidP="00AA2A4C"/>
        </w:tc>
        <w:tc>
          <w:tcPr>
            <w:tcW w:w="624" w:type="dxa"/>
            <w:tcBorders>
              <w:bottom w:val="single" w:sz="6" w:space="0" w:color="auto"/>
            </w:tcBorders>
          </w:tcPr>
          <w:p w14:paraId="12987D21" w14:textId="77777777" w:rsidR="00711444" w:rsidRPr="004D0DAA" w:rsidRDefault="00711444" w:rsidP="00AA2A4C"/>
        </w:tc>
        <w:tc>
          <w:tcPr>
            <w:tcW w:w="624" w:type="dxa"/>
            <w:tcBorders>
              <w:bottom w:val="single" w:sz="6" w:space="0" w:color="auto"/>
            </w:tcBorders>
          </w:tcPr>
          <w:p w14:paraId="7F050DA3" w14:textId="77777777" w:rsidR="00711444" w:rsidRPr="004D0DAA" w:rsidRDefault="00711444" w:rsidP="00AA2A4C"/>
        </w:tc>
        <w:tc>
          <w:tcPr>
            <w:tcW w:w="624" w:type="dxa"/>
            <w:tcBorders>
              <w:bottom w:val="single" w:sz="6" w:space="0" w:color="auto"/>
            </w:tcBorders>
          </w:tcPr>
          <w:p w14:paraId="7FE91E52" w14:textId="77777777" w:rsidR="00711444" w:rsidRPr="004D0DAA" w:rsidRDefault="00711444" w:rsidP="00AA2A4C"/>
        </w:tc>
        <w:tc>
          <w:tcPr>
            <w:tcW w:w="624" w:type="dxa"/>
            <w:tcBorders>
              <w:bottom w:val="single" w:sz="6" w:space="0" w:color="auto"/>
            </w:tcBorders>
          </w:tcPr>
          <w:p w14:paraId="2D3D3696" w14:textId="77777777" w:rsidR="00711444" w:rsidRPr="004D0DAA" w:rsidRDefault="00711444" w:rsidP="00AA2A4C"/>
        </w:tc>
        <w:tc>
          <w:tcPr>
            <w:tcW w:w="624" w:type="dxa"/>
            <w:tcBorders>
              <w:bottom w:val="single" w:sz="6" w:space="0" w:color="auto"/>
            </w:tcBorders>
          </w:tcPr>
          <w:p w14:paraId="2063E9A4" w14:textId="77777777" w:rsidR="00711444" w:rsidRPr="004D0DAA" w:rsidRDefault="00711444" w:rsidP="00AA2A4C"/>
        </w:tc>
        <w:tc>
          <w:tcPr>
            <w:tcW w:w="624" w:type="dxa"/>
            <w:tcBorders>
              <w:bottom w:val="single" w:sz="6" w:space="0" w:color="auto"/>
            </w:tcBorders>
          </w:tcPr>
          <w:p w14:paraId="3407078E" w14:textId="77777777" w:rsidR="00711444" w:rsidRPr="004D0DAA" w:rsidRDefault="00711444" w:rsidP="00AA2A4C"/>
        </w:tc>
        <w:tc>
          <w:tcPr>
            <w:tcW w:w="624" w:type="dxa"/>
            <w:tcBorders>
              <w:bottom w:val="single" w:sz="6" w:space="0" w:color="auto"/>
              <w:right w:val="single" w:sz="6" w:space="0" w:color="auto"/>
            </w:tcBorders>
          </w:tcPr>
          <w:p w14:paraId="0CB9974C" w14:textId="77777777" w:rsidR="00711444" w:rsidRPr="004D0DAA" w:rsidRDefault="00711444" w:rsidP="00AA2A4C"/>
        </w:tc>
        <w:tc>
          <w:tcPr>
            <w:tcW w:w="1701" w:type="dxa"/>
          </w:tcPr>
          <w:p w14:paraId="46EE07BD" w14:textId="77777777" w:rsidR="00711444" w:rsidRPr="004D0DAA" w:rsidRDefault="00711444" w:rsidP="00AA2A4C">
            <w:pPr>
              <w:pStyle w:val="TAC"/>
              <w:rPr>
                <w:lang w:eastAsia="en-US"/>
              </w:rPr>
            </w:pPr>
            <w:r w:rsidRPr="004D0DAA">
              <w:rPr>
                <w:lang w:eastAsia="en-US"/>
              </w:rPr>
              <w:t>Octet 15</w:t>
            </w:r>
          </w:p>
        </w:tc>
        <w:tc>
          <w:tcPr>
            <w:tcW w:w="1567" w:type="dxa"/>
            <w:tcBorders>
              <w:left w:val="single" w:sz="6" w:space="0" w:color="auto"/>
              <w:right w:val="single" w:sz="6" w:space="0" w:color="auto"/>
            </w:tcBorders>
          </w:tcPr>
          <w:p w14:paraId="34ABC24A" w14:textId="77777777" w:rsidR="00711444" w:rsidRPr="004D0DAA" w:rsidRDefault="00711444" w:rsidP="00AA2A4C">
            <w:pPr>
              <w:pStyle w:val="TAC"/>
              <w:rPr>
                <w:lang w:eastAsia="en-US"/>
              </w:rPr>
            </w:pPr>
          </w:p>
        </w:tc>
      </w:tr>
      <w:tr w:rsidR="00711444" w:rsidRPr="004D0DAA" w14:paraId="546CC8D2" w14:textId="77777777" w:rsidTr="00AA2A4C">
        <w:tblPrEx>
          <w:tblCellMar>
            <w:top w:w="0" w:type="dxa"/>
            <w:bottom w:w="0" w:type="dxa"/>
          </w:tblCellMar>
        </w:tblPrEx>
        <w:trPr>
          <w:cantSplit/>
        </w:trPr>
        <w:tc>
          <w:tcPr>
            <w:tcW w:w="624" w:type="dxa"/>
            <w:tcBorders>
              <w:left w:val="single" w:sz="6" w:space="0" w:color="auto"/>
            </w:tcBorders>
          </w:tcPr>
          <w:p w14:paraId="673CB0A1" w14:textId="77777777" w:rsidR="00711444" w:rsidRPr="004D0DAA" w:rsidRDefault="00711444" w:rsidP="00AA2A4C"/>
        </w:tc>
        <w:tc>
          <w:tcPr>
            <w:tcW w:w="624" w:type="dxa"/>
          </w:tcPr>
          <w:p w14:paraId="1E50EE4D" w14:textId="77777777" w:rsidR="00711444" w:rsidRPr="004D0DAA" w:rsidRDefault="00711444" w:rsidP="00AA2A4C"/>
        </w:tc>
        <w:tc>
          <w:tcPr>
            <w:tcW w:w="624" w:type="dxa"/>
          </w:tcPr>
          <w:p w14:paraId="21D2C356" w14:textId="77777777" w:rsidR="00711444" w:rsidRPr="004D0DAA" w:rsidRDefault="00711444" w:rsidP="00AA2A4C"/>
        </w:tc>
        <w:tc>
          <w:tcPr>
            <w:tcW w:w="624" w:type="dxa"/>
          </w:tcPr>
          <w:p w14:paraId="2D9C7909" w14:textId="77777777" w:rsidR="00711444" w:rsidRPr="004D0DAA" w:rsidRDefault="00711444" w:rsidP="00AA2A4C"/>
        </w:tc>
        <w:tc>
          <w:tcPr>
            <w:tcW w:w="624" w:type="dxa"/>
          </w:tcPr>
          <w:p w14:paraId="66DC09FC" w14:textId="77777777" w:rsidR="00711444" w:rsidRPr="004D0DAA" w:rsidRDefault="00711444" w:rsidP="00AA2A4C"/>
        </w:tc>
        <w:tc>
          <w:tcPr>
            <w:tcW w:w="624" w:type="dxa"/>
          </w:tcPr>
          <w:p w14:paraId="2277FFD6" w14:textId="77777777" w:rsidR="00711444" w:rsidRPr="004D0DAA" w:rsidRDefault="00711444" w:rsidP="00AA2A4C"/>
        </w:tc>
        <w:tc>
          <w:tcPr>
            <w:tcW w:w="624" w:type="dxa"/>
          </w:tcPr>
          <w:p w14:paraId="709E6ECF" w14:textId="77777777" w:rsidR="00711444" w:rsidRPr="004D0DAA" w:rsidRDefault="00711444" w:rsidP="00AA2A4C"/>
        </w:tc>
        <w:tc>
          <w:tcPr>
            <w:tcW w:w="624" w:type="dxa"/>
            <w:tcBorders>
              <w:right w:val="single" w:sz="6" w:space="0" w:color="auto"/>
            </w:tcBorders>
          </w:tcPr>
          <w:p w14:paraId="090DF2A3" w14:textId="77777777" w:rsidR="00711444" w:rsidRPr="004D0DAA" w:rsidRDefault="00711444" w:rsidP="00AA2A4C"/>
        </w:tc>
        <w:tc>
          <w:tcPr>
            <w:tcW w:w="1701" w:type="dxa"/>
          </w:tcPr>
          <w:p w14:paraId="77221F5E" w14:textId="77777777" w:rsidR="00711444" w:rsidRPr="004D0DAA" w:rsidRDefault="00711444" w:rsidP="00AA2A4C">
            <w:pPr>
              <w:pStyle w:val="TAC"/>
              <w:rPr>
                <w:lang w:eastAsia="en-US"/>
              </w:rPr>
            </w:pPr>
            <w:r w:rsidRPr="004D0DAA">
              <w:rPr>
                <w:lang w:eastAsia="en-US"/>
              </w:rPr>
              <w:t>Octet 16</w:t>
            </w:r>
          </w:p>
        </w:tc>
        <w:tc>
          <w:tcPr>
            <w:tcW w:w="1567" w:type="dxa"/>
            <w:tcBorders>
              <w:top w:val="single" w:sz="6" w:space="0" w:color="auto"/>
              <w:left w:val="single" w:sz="6" w:space="0" w:color="auto"/>
              <w:right w:val="single" w:sz="6" w:space="0" w:color="auto"/>
            </w:tcBorders>
          </w:tcPr>
          <w:p w14:paraId="731A5647" w14:textId="77777777" w:rsidR="00711444" w:rsidRPr="004D0DAA" w:rsidRDefault="00711444" w:rsidP="00AA2A4C">
            <w:pPr>
              <w:pStyle w:val="TAC"/>
              <w:rPr>
                <w:lang w:eastAsia="en-US"/>
              </w:rPr>
            </w:pPr>
          </w:p>
        </w:tc>
      </w:tr>
      <w:tr w:rsidR="00711444" w:rsidRPr="004D0DAA" w14:paraId="2C49E435" w14:textId="77777777" w:rsidTr="00AA2A4C">
        <w:tblPrEx>
          <w:tblCellMar>
            <w:top w:w="0" w:type="dxa"/>
            <w:bottom w:w="0" w:type="dxa"/>
          </w:tblCellMar>
        </w:tblPrEx>
        <w:trPr>
          <w:cantSplit/>
        </w:trPr>
        <w:tc>
          <w:tcPr>
            <w:tcW w:w="624" w:type="dxa"/>
            <w:tcBorders>
              <w:left w:val="single" w:sz="6" w:space="0" w:color="auto"/>
            </w:tcBorders>
          </w:tcPr>
          <w:p w14:paraId="6C60F0D6" w14:textId="77777777" w:rsidR="00711444" w:rsidRPr="004D0DAA" w:rsidRDefault="00711444" w:rsidP="00AA2A4C"/>
        </w:tc>
        <w:tc>
          <w:tcPr>
            <w:tcW w:w="624" w:type="dxa"/>
          </w:tcPr>
          <w:p w14:paraId="5E0425B2" w14:textId="77777777" w:rsidR="00711444" w:rsidRPr="004D0DAA" w:rsidRDefault="00711444" w:rsidP="00AA2A4C"/>
        </w:tc>
        <w:tc>
          <w:tcPr>
            <w:tcW w:w="624" w:type="dxa"/>
          </w:tcPr>
          <w:p w14:paraId="6027037D" w14:textId="77777777" w:rsidR="00711444" w:rsidRPr="004D0DAA" w:rsidRDefault="00711444" w:rsidP="00AA2A4C"/>
        </w:tc>
        <w:tc>
          <w:tcPr>
            <w:tcW w:w="624" w:type="dxa"/>
          </w:tcPr>
          <w:p w14:paraId="53BDCCD8" w14:textId="77777777" w:rsidR="00711444" w:rsidRPr="004D0DAA" w:rsidRDefault="00711444" w:rsidP="00AA2A4C"/>
        </w:tc>
        <w:tc>
          <w:tcPr>
            <w:tcW w:w="624" w:type="dxa"/>
          </w:tcPr>
          <w:p w14:paraId="33684CAB" w14:textId="77777777" w:rsidR="00711444" w:rsidRPr="004D0DAA" w:rsidRDefault="00711444" w:rsidP="00AA2A4C"/>
        </w:tc>
        <w:tc>
          <w:tcPr>
            <w:tcW w:w="624" w:type="dxa"/>
          </w:tcPr>
          <w:p w14:paraId="4351F990" w14:textId="77777777" w:rsidR="00711444" w:rsidRPr="004D0DAA" w:rsidRDefault="00711444" w:rsidP="00AA2A4C"/>
        </w:tc>
        <w:tc>
          <w:tcPr>
            <w:tcW w:w="624" w:type="dxa"/>
          </w:tcPr>
          <w:p w14:paraId="3ADFE10E" w14:textId="77777777" w:rsidR="00711444" w:rsidRPr="004D0DAA" w:rsidRDefault="00711444" w:rsidP="00AA2A4C"/>
        </w:tc>
        <w:tc>
          <w:tcPr>
            <w:tcW w:w="624" w:type="dxa"/>
            <w:tcBorders>
              <w:right w:val="single" w:sz="6" w:space="0" w:color="auto"/>
            </w:tcBorders>
          </w:tcPr>
          <w:p w14:paraId="39C9A476" w14:textId="77777777" w:rsidR="00711444" w:rsidRPr="004D0DAA" w:rsidRDefault="00711444" w:rsidP="00AA2A4C"/>
        </w:tc>
        <w:tc>
          <w:tcPr>
            <w:tcW w:w="1701" w:type="dxa"/>
          </w:tcPr>
          <w:p w14:paraId="07B71C8F" w14:textId="77777777" w:rsidR="00711444" w:rsidRPr="004D0DAA" w:rsidRDefault="00711444" w:rsidP="00AA2A4C">
            <w:pPr>
              <w:pStyle w:val="TAC"/>
              <w:rPr>
                <w:lang w:eastAsia="en-US"/>
              </w:rPr>
            </w:pPr>
            <w:r w:rsidRPr="004D0DAA">
              <w:rPr>
                <w:lang w:eastAsia="en-US"/>
              </w:rPr>
              <w:t>Octet 17</w:t>
            </w:r>
          </w:p>
        </w:tc>
        <w:tc>
          <w:tcPr>
            <w:tcW w:w="1567" w:type="dxa"/>
            <w:tcBorders>
              <w:left w:val="single" w:sz="6" w:space="0" w:color="auto"/>
              <w:right w:val="single" w:sz="6" w:space="0" w:color="auto"/>
            </w:tcBorders>
          </w:tcPr>
          <w:p w14:paraId="16CF5DB0" w14:textId="77777777" w:rsidR="00711444" w:rsidRPr="004D0DAA" w:rsidRDefault="00711444" w:rsidP="00AA2A4C">
            <w:pPr>
              <w:pStyle w:val="TAC"/>
              <w:rPr>
                <w:lang w:eastAsia="en-US"/>
              </w:rPr>
            </w:pPr>
          </w:p>
        </w:tc>
      </w:tr>
      <w:tr w:rsidR="00711444" w:rsidRPr="004D0DAA" w14:paraId="7D9FBEA8"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29C492BB" w14:textId="77777777" w:rsidR="00711444" w:rsidRPr="004D0DAA" w:rsidRDefault="00711444" w:rsidP="00AA2A4C">
            <w:pPr>
              <w:pStyle w:val="TAC"/>
              <w:rPr>
                <w:lang w:eastAsia="en-US"/>
              </w:rPr>
            </w:pPr>
            <w:r w:rsidRPr="004D0DAA">
              <w:rPr>
                <w:lang w:eastAsia="en-US"/>
              </w:rPr>
              <w:t>LLC PDU 2</w:t>
            </w:r>
          </w:p>
        </w:tc>
        <w:tc>
          <w:tcPr>
            <w:tcW w:w="1701" w:type="dxa"/>
          </w:tcPr>
          <w:p w14:paraId="753DE2BA" w14:textId="77777777" w:rsidR="00711444" w:rsidRPr="004D0DAA" w:rsidRDefault="00711444" w:rsidP="00AA2A4C">
            <w:pPr>
              <w:pStyle w:val="TAC"/>
              <w:rPr>
                <w:lang w:eastAsia="en-US"/>
              </w:rPr>
            </w:pPr>
            <w:r w:rsidRPr="004D0DAA">
              <w:rPr>
                <w:lang w:eastAsia="en-US"/>
              </w:rPr>
              <w:t>.</w:t>
            </w:r>
          </w:p>
          <w:p w14:paraId="622FEEC2" w14:textId="77777777" w:rsidR="00711444" w:rsidRPr="004D0DAA" w:rsidRDefault="00711444" w:rsidP="00AA2A4C">
            <w:pPr>
              <w:pStyle w:val="TAC"/>
              <w:rPr>
                <w:lang w:eastAsia="en-US"/>
              </w:rPr>
            </w:pPr>
            <w:r w:rsidRPr="004D0DAA">
              <w:rPr>
                <w:lang w:eastAsia="en-US"/>
              </w:rPr>
              <w:t>.</w:t>
            </w:r>
          </w:p>
          <w:p w14:paraId="63E7659C"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3F320968" w14:textId="77777777" w:rsidR="00711444" w:rsidRPr="004D0DAA" w:rsidRDefault="00711444" w:rsidP="00AA2A4C">
            <w:pPr>
              <w:pStyle w:val="TAC"/>
              <w:rPr>
                <w:lang w:eastAsia="en-US"/>
              </w:rPr>
            </w:pPr>
            <w:r w:rsidRPr="004D0DAA">
              <w:rPr>
                <w:lang w:eastAsia="en-US"/>
              </w:rPr>
              <w:t>LLC PDU 2</w:t>
            </w:r>
          </w:p>
        </w:tc>
      </w:tr>
      <w:tr w:rsidR="00711444" w:rsidRPr="004D0DAA" w14:paraId="76A26E91"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7462381A" w14:textId="77777777" w:rsidR="00711444" w:rsidRPr="004D0DAA" w:rsidRDefault="00711444" w:rsidP="00AA2A4C"/>
        </w:tc>
        <w:tc>
          <w:tcPr>
            <w:tcW w:w="624" w:type="dxa"/>
            <w:tcBorders>
              <w:bottom w:val="single" w:sz="6" w:space="0" w:color="auto"/>
            </w:tcBorders>
          </w:tcPr>
          <w:p w14:paraId="770F2E0F" w14:textId="77777777" w:rsidR="00711444" w:rsidRPr="004D0DAA" w:rsidRDefault="00711444" w:rsidP="00AA2A4C"/>
        </w:tc>
        <w:tc>
          <w:tcPr>
            <w:tcW w:w="624" w:type="dxa"/>
            <w:tcBorders>
              <w:bottom w:val="single" w:sz="6" w:space="0" w:color="auto"/>
            </w:tcBorders>
          </w:tcPr>
          <w:p w14:paraId="1C66F5F4" w14:textId="77777777" w:rsidR="00711444" w:rsidRPr="004D0DAA" w:rsidRDefault="00711444" w:rsidP="00AA2A4C"/>
        </w:tc>
        <w:tc>
          <w:tcPr>
            <w:tcW w:w="624" w:type="dxa"/>
            <w:tcBorders>
              <w:bottom w:val="single" w:sz="6" w:space="0" w:color="auto"/>
            </w:tcBorders>
          </w:tcPr>
          <w:p w14:paraId="34F658E6" w14:textId="77777777" w:rsidR="00711444" w:rsidRPr="004D0DAA" w:rsidRDefault="00711444" w:rsidP="00AA2A4C"/>
        </w:tc>
        <w:tc>
          <w:tcPr>
            <w:tcW w:w="624" w:type="dxa"/>
            <w:tcBorders>
              <w:bottom w:val="single" w:sz="6" w:space="0" w:color="auto"/>
            </w:tcBorders>
          </w:tcPr>
          <w:p w14:paraId="69BD3F6D" w14:textId="77777777" w:rsidR="00711444" w:rsidRPr="004D0DAA" w:rsidRDefault="00711444" w:rsidP="00AA2A4C"/>
        </w:tc>
        <w:tc>
          <w:tcPr>
            <w:tcW w:w="624" w:type="dxa"/>
            <w:tcBorders>
              <w:bottom w:val="single" w:sz="6" w:space="0" w:color="auto"/>
            </w:tcBorders>
          </w:tcPr>
          <w:p w14:paraId="1C372A91" w14:textId="77777777" w:rsidR="00711444" w:rsidRPr="004D0DAA" w:rsidRDefault="00711444" w:rsidP="00AA2A4C"/>
        </w:tc>
        <w:tc>
          <w:tcPr>
            <w:tcW w:w="624" w:type="dxa"/>
            <w:tcBorders>
              <w:bottom w:val="single" w:sz="6" w:space="0" w:color="auto"/>
            </w:tcBorders>
          </w:tcPr>
          <w:p w14:paraId="0B68BAB8" w14:textId="77777777" w:rsidR="00711444" w:rsidRPr="004D0DAA" w:rsidRDefault="00711444" w:rsidP="00AA2A4C"/>
        </w:tc>
        <w:tc>
          <w:tcPr>
            <w:tcW w:w="624" w:type="dxa"/>
            <w:tcBorders>
              <w:bottom w:val="single" w:sz="6" w:space="0" w:color="auto"/>
              <w:right w:val="single" w:sz="6" w:space="0" w:color="auto"/>
            </w:tcBorders>
          </w:tcPr>
          <w:p w14:paraId="4BCFE79B" w14:textId="77777777" w:rsidR="00711444" w:rsidRPr="004D0DAA" w:rsidRDefault="00711444" w:rsidP="00AA2A4C"/>
        </w:tc>
        <w:tc>
          <w:tcPr>
            <w:tcW w:w="1701" w:type="dxa"/>
          </w:tcPr>
          <w:p w14:paraId="01F4F915" w14:textId="77777777" w:rsidR="00711444" w:rsidRPr="004D0DAA" w:rsidRDefault="00711444" w:rsidP="00AA2A4C">
            <w:pPr>
              <w:pStyle w:val="TAC"/>
              <w:rPr>
                <w:lang w:eastAsia="en-US"/>
              </w:rPr>
            </w:pPr>
            <w:r w:rsidRPr="004D0DAA">
              <w:rPr>
                <w:lang w:eastAsia="en-US"/>
              </w:rPr>
              <w:t>Octet 41</w:t>
            </w:r>
          </w:p>
        </w:tc>
        <w:tc>
          <w:tcPr>
            <w:tcW w:w="1567" w:type="dxa"/>
            <w:tcBorders>
              <w:left w:val="single" w:sz="6" w:space="0" w:color="auto"/>
              <w:right w:val="single" w:sz="6" w:space="0" w:color="auto"/>
            </w:tcBorders>
          </w:tcPr>
          <w:p w14:paraId="2E0450F4" w14:textId="77777777" w:rsidR="00711444" w:rsidRPr="004D0DAA" w:rsidRDefault="00711444" w:rsidP="00AA2A4C">
            <w:pPr>
              <w:pStyle w:val="TAC"/>
              <w:rPr>
                <w:lang w:eastAsia="en-US"/>
              </w:rPr>
            </w:pPr>
          </w:p>
        </w:tc>
      </w:tr>
      <w:tr w:rsidR="00711444" w:rsidRPr="004D0DAA" w14:paraId="7581297C" w14:textId="77777777" w:rsidTr="00AA2A4C">
        <w:tblPrEx>
          <w:tblCellMar>
            <w:top w:w="0" w:type="dxa"/>
            <w:bottom w:w="0" w:type="dxa"/>
          </w:tblCellMar>
        </w:tblPrEx>
        <w:trPr>
          <w:cantSplit/>
        </w:trPr>
        <w:tc>
          <w:tcPr>
            <w:tcW w:w="624" w:type="dxa"/>
            <w:tcBorders>
              <w:left w:val="single" w:sz="6" w:space="0" w:color="auto"/>
            </w:tcBorders>
          </w:tcPr>
          <w:p w14:paraId="50789DEC" w14:textId="77777777" w:rsidR="00711444" w:rsidRPr="004D0DAA" w:rsidRDefault="00711444" w:rsidP="00AA2A4C"/>
        </w:tc>
        <w:tc>
          <w:tcPr>
            <w:tcW w:w="624" w:type="dxa"/>
          </w:tcPr>
          <w:p w14:paraId="3E4F3A48" w14:textId="77777777" w:rsidR="00711444" w:rsidRPr="004D0DAA" w:rsidRDefault="00711444" w:rsidP="00AA2A4C"/>
        </w:tc>
        <w:tc>
          <w:tcPr>
            <w:tcW w:w="624" w:type="dxa"/>
          </w:tcPr>
          <w:p w14:paraId="007BA3F1" w14:textId="77777777" w:rsidR="00711444" w:rsidRPr="004D0DAA" w:rsidRDefault="00711444" w:rsidP="00AA2A4C"/>
        </w:tc>
        <w:tc>
          <w:tcPr>
            <w:tcW w:w="624" w:type="dxa"/>
          </w:tcPr>
          <w:p w14:paraId="224D087A" w14:textId="77777777" w:rsidR="00711444" w:rsidRPr="004D0DAA" w:rsidRDefault="00711444" w:rsidP="00AA2A4C"/>
        </w:tc>
        <w:tc>
          <w:tcPr>
            <w:tcW w:w="624" w:type="dxa"/>
          </w:tcPr>
          <w:p w14:paraId="004B0572" w14:textId="77777777" w:rsidR="00711444" w:rsidRPr="004D0DAA" w:rsidRDefault="00711444" w:rsidP="00AA2A4C"/>
        </w:tc>
        <w:tc>
          <w:tcPr>
            <w:tcW w:w="624" w:type="dxa"/>
          </w:tcPr>
          <w:p w14:paraId="591C8C37" w14:textId="77777777" w:rsidR="00711444" w:rsidRPr="004D0DAA" w:rsidRDefault="00711444" w:rsidP="00AA2A4C"/>
        </w:tc>
        <w:tc>
          <w:tcPr>
            <w:tcW w:w="624" w:type="dxa"/>
          </w:tcPr>
          <w:p w14:paraId="373BF91B" w14:textId="77777777" w:rsidR="00711444" w:rsidRPr="004D0DAA" w:rsidRDefault="00711444" w:rsidP="00AA2A4C"/>
        </w:tc>
        <w:tc>
          <w:tcPr>
            <w:tcW w:w="624" w:type="dxa"/>
            <w:tcBorders>
              <w:right w:val="single" w:sz="6" w:space="0" w:color="auto"/>
            </w:tcBorders>
          </w:tcPr>
          <w:p w14:paraId="12D04632" w14:textId="77777777" w:rsidR="00711444" w:rsidRPr="004D0DAA" w:rsidRDefault="00711444" w:rsidP="00AA2A4C"/>
        </w:tc>
        <w:tc>
          <w:tcPr>
            <w:tcW w:w="1701" w:type="dxa"/>
          </w:tcPr>
          <w:p w14:paraId="5B21A748" w14:textId="77777777" w:rsidR="00711444" w:rsidRPr="004D0DAA" w:rsidRDefault="00711444" w:rsidP="00AA2A4C">
            <w:pPr>
              <w:pStyle w:val="TAC"/>
              <w:rPr>
                <w:lang w:eastAsia="en-US"/>
              </w:rPr>
            </w:pPr>
            <w:r w:rsidRPr="004D0DAA">
              <w:rPr>
                <w:lang w:eastAsia="en-US"/>
              </w:rPr>
              <w:t>Octet 42</w:t>
            </w:r>
          </w:p>
        </w:tc>
        <w:tc>
          <w:tcPr>
            <w:tcW w:w="1567" w:type="dxa"/>
            <w:tcBorders>
              <w:top w:val="single" w:sz="6" w:space="0" w:color="auto"/>
              <w:left w:val="single" w:sz="6" w:space="0" w:color="auto"/>
              <w:right w:val="single" w:sz="6" w:space="0" w:color="auto"/>
            </w:tcBorders>
          </w:tcPr>
          <w:p w14:paraId="351B5B0F" w14:textId="77777777" w:rsidR="00711444" w:rsidRPr="004D0DAA" w:rsidRDefault="00711444" w:rsidP="00AA2A4C">
            <w:pPr>
              <w:pStyle w:val="TAC"/>
              <w:rPr>
                <w:lang w:eastAsia="en-US"/>
              </w:rPr>
            </w:pPr>
          </w:p>
        </w:tc>
      </w:tr>
      <w:tr w:rsidR="00711444" w:rsidRPr="004D0DAA" w14:paraId="58D924D9" w14:textId="77777777" w:rsidTr="00AA2A4C">
        <w:tblPrEx>
          <w:tblCellMar>
            <w:top w:w="0" w:type="dxa"/>
            <w:bottom w:w="0" w:type="dxa"/>
          </w:tblCellMar>
        </w:tblPrEx>
        <w:trPr>
          <w:cantSplit/>
        </w:trPr>
        <w:tc>
          <w:tcPr>
            <w:tcW w:w="624" w:type="dxa"/>
            <w:tcBorders>
              <w:left w:val="single" w:sz="6" w:space="0" w:color="auto"/>
            </w:tcBorders>
          </w:tcPr>
          <w:p w14:paraId="77216E7B" w14:textId="77777777" w:rsidR="00711444" w:rsidRPr="004D0DAA" w:rsidRDefault="00711444" w:rsidP="00AA2A4C"/>
        </w:tc>
        <w:tc>
          <w:tcPr>
            <w:tcW w:w="624" w:type="dxa"/>
          </w:tcPr>
          <w:p w14:paraId="58986F60" w14:textId="77777777" w:rsidR="00711444" w:rsidRPr="004D0DAA" w:rsidRDefault="00711444" w:rsidP="00AA2A4C"/>
        </w:tc>
        <w:tc>
          <w:tcPr>
            <w:tcW w:w="624" w:type="dxa"/>
          </w:tcPr>
          <w:p w14:paraId="6AF5981B" w14:textId="77777777" w:rsidR="00711444" w:rsidRPr="004D0DAA" w:rsidRDefault="00711444" w:rsidP="00AA2A4C"/>
        </w:tc>
        <w:tc>
          <w:tcPr>
            <w:tcW w:w="624" w:type="dxa"/>
          </w:tcPr>
          <w:p w14:paraId="6AD922AA" w14:textId="77777777" w:rsidR="00711444" w:rsidRPr="004D0DAA" w:rsidRDefault="00711444" w:rsidP="00AA2A4C"/>
        </w:tc>
        <w:tc>
          <w:tcPr>
            <w:tcW w:w="624" w:type="dxa"/>
          </w:tcPr>
          <w:p w14:paraId="2713D277" w14:textId="77777777" w:rsidR="00711444" w:rsidRPr="004D0DAA" w:rsidRDefault="00711444" w:rsidP="00AA2A4C"/>
        </w:tc>
        <w:tc>
          <w:tcPr>
            <w:tcW w:w="624" w:type="dxa"/>
          </w:tcPr>
          <w:p w14:paraId="3E7DD8B3" w14:textId="77777777" w:rsidR="00711444" w:rsidRPr="004D0DAA" w:rsidRDefault="00711444" w:rsidP="00AA2A4C"/>
        </w:tc>
        <w:tc>
          <w:tcPr>
            <w:tcW w:w="624" w:type="dxa"/>
          </w:tcPr>
          <w:p w14:paraId="7CEF3114" w14:textId="77777777" w:rsidR="00711444" w:rsidRPr="004D0DAA" w:rsidRDefault="00711444" w:rsidP="00AA2A4C"/>
        </w:tc>
        <w:tc>
          <w:tcPr>
            <w:tcW w:w="624" w:type="dxa"/>
            <w:tcBorders>
              <w:right w:val="single" w:sz="6" w:space="0" w:color="auto"/>
            </w:tcBorders>
          </w:tcPr>
          <w:p w14:paraId="7F3AB53D" w14:textId="77777777" w:rsidR="00711444" w:rsidRPr="004D0DAA" w:rsidRDefault="00711444" w:rsidP="00AA2A4C"/>
        </w:tc>
        <w:tc>
          <w:tcPr>
            <w:tcW w:w="1701" w:type="dxa"/>
          </w:tcPr>
          <w:p w14:paraId="0A47D16F" w14:textId="77777777" w:rsidR="00711444" w:rsidRPr="004D0DAA" w:rsidRDefault="00711444" w:rsidP="00AA2A4C">
            <w:pPr>
              <w:pStyle w:val="TAC"/>
              <w:rPr>
                <w:lang w:eastAsia="en-US"/>
              </w:rPr>
            </w:pPr>
            <w:r w:rsidRPr="004D0DAA">
              <w:rPr>
                <w:lang w:eastAsia="en-US"/>
              </w:rPr>
              <w:t>Octet 43</w:t>
            </w:r>
          </w:p>
        </w:tc>
        <w:tc>
          <w:tcPr>
            <w:tcW w:w="1567" w:type="dxa"/>
            <w:tcBorders>
              <w:left w:val="single" w:sz="6" w:space="0" w:color="auto"/>
              <w:right w:val="single" w:sz="6" w:space="0" w:color="auto"/>
            </w:tcBorders>
          </w:tcPr>
          <w:p w14:paraId="003A54F0" w14:textId="77777777" w:rsidR="00711444" w:rsidRPr="004D0DAA" w:rsidRDefault="00711444" w:rsidP="00AA2A4C">
            <w:pPr>
              <w:pStyle w:val="TAC"/>
              <w:rPr>
                <w:lang w:eastAsia="en-US"/>
              </w:rPr>
            </w:pPr>
          </w:p>
        </w:tc>
      </w:tr>
      <w:tr w:rsidR="00711444" w:rsidRPr="004D0DAA" w14:paraId="0247E98A"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1D677260" w14:textId="77777777" w:rsidR="00711444" w:rsidRPr="004D0DAA" w:rsidRDefault="00711444" w:rsidP="00AA2A4C">
            <w:pPr>
              <w:pStyle w:val="TAC"/>
              <w:rPr>
                <w:lang w:eastAsia="en-US"/>
              </w:rPr>
            </w:pPr>
            <w:r w:rsidRPr="004D0DAA">
              <w:rPr>
                <w:lang w:eastAsia="en-US"/>
              </w:rPr>
              <w:br/>
              <w:t>LLC PDU 3</w:t>
            </w:r>
          </w:p>
        </w:tc>
        <w:tc>
          <w:tcPr>
            <w:tcW w:w="1701" w:type="dxa"/>
          </w:tcPr>
          <w:p w14:paraId="249B9110" w14:textId="77777777" w:rsidR="00711444" w:rsidRPr="004D0DAA" w:rsidRDefault="00711444" w:rsidP="00AA2A4C">
            <w:pPr>
              <w:pStyle w:val="TAC"/>
              <w:rPr>
                <w:lang w:eastAsia="en-US"/>
              </w:rPr>
            </w:pPr>
            <w:r w:rsidRPr="004D0DAA">
              <w:rPr>
                <w:lang w:eastAsia="en-US"/>
              </w:rPr>
              <w:t>.</w:t>
            </w:r>
          </w:p>
          <w:p w14:paraId="7F18D186" w14:textId="77777777" w:rsidR="00711444" w:rsidRPr="004D0DAA" w:rsidRDefault="00711444" w:rsidP="00AA2A4C">
            <w:pPr>
              <w:pStyle w:val="TAC"/>
              <w:rPr>
                <w:lang w:eastAsia="en-US"/>
              </w:rPr>
            </w:pPr>
            <w:r w:rsidRPr="004D0DAA">
              <w:rPr>
                <w:lang w:eastAsia="en-US"/>
              </w:rPr>
              <w:t>.</w:t>
            </w:r>
          </w:p>
          <w:p w14:paraId="762B0327"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B24EA93" w14:textId="77777777" w:rsidR="00711444" w:rsidRPr="004D0DAA" w:rsidRDefault="00711444" w:rsidP="00AA2A4C">
            <w:pPr>
              <w:pStyle w:val="TAC"/>
              <w:rPr>
                <w:lang w:eastAsia="en-US"/>
              </w:rPr>
            </w:pPr>
            <w:r w:rsidRPr="004D0DAA">
              <w:rPr>
                <w:lang w:eastAsia="en-US"/>
              </w:rPr>
              <w:br/>
              <w:t>LLC PDU 3</w:t>
            </w:r>
          </w:p>
        </w:tc>
      </w:tr>
      <w:tr w:rsidR="00711444" w:rsidRPr="004D0DAA" w14:paraId="4F606C78" w14:textId="77777777" w:rsidTr="00AA2A4C">
        <w:tblPrEx>
          <w:tblCellMar>
            <w:top w:w="0" w:type="dxa"/>
            <w:bottom w:w="0" w:type="dxa"/>
          </w:tblCellMar>
        </w:tblPrEx>
        <w:trPr>
          <w:cantSplit/>
        </w:trPr>
        <w:tc>
          <w:tcPr>
            <w:tcW w:w="624" w:type="dxa"/>
            <w:tcBorders>
              <w:left w:val="single" w:sz="6" w:space="0" w:color="auto"/>
            </w:tcBorders>
          </w:tcPr>
          <w:p w14:paraId="1BD70869" w14:textId="77777777" w:rsidR="00711444" w:rsidRPr="004D0DAA" w:rsidRDefault="00711444" w:rsidP="00AA2A4C"/>
        </w:tc>
        <w:tc>
          <w:tcPr>
            <w:tcW w:w="624" w:type="dxa"/>
          </w:tcPr>
          <w:p w14:paraId="236A5D3F" w14:textId="77777777" w:rsidR="00711444" w:rsidRPr="004D0DAA" w:rsidRDefault="00711444" w:rsidP="00AA2A4C"/>
        </w:tc>
        <w:tc>
          <w:tcPr>
            <w:tcW w:w="624" w:type="dxa"/>
          </w:tcPr>
          <w:p w14:paraId="4287EDBD" w14:textId="77777777" w:rsidR="00711444" w:rsidRPr="004D0DAA" w:rsidRDefault="00711444" w:rsidP="00AA2A4C"/>
        </w:tc>
        <w:tc>
          <w:tcPr>
            <w:tcW w:w="624" w:type="dxa"/>
          </w:tcPr>
          <w:p w14:paraId="73B839CF" w14:textId="77777777" w:rsidR="00711444" w:rsidRPr="004D0DAA" w:rsidRDefault="00711444" w:rsidP="00AA2A4C"/>
        </w:tc>
        <w:tc>
          <w:tcPr>
            <w:tcW w:w="624" w:type="dxa"/>
          </w:tcPr>
          <w:p w14:paraId="7D8EA558" w14:textId="77777777" w:rsidR="00711444" w:rsidRPr="004D0DAA" w:rsidRDefault="00711444" w:rsidP="00AA2A4C"/>
        </w:tc>
        <w:tc>
          <w:tcPr>
            <w:tcW w:w="624" w:type="dxa"/>
          </w:tcPr>
          <w:p w14:paraId="646A1794" w14:textId="77777777" w:rsidR="00711444" w:rsidRPr="004D0DAA" w:rsidRDefault="00711444" w:rsidP="00AA2A4C"/>
        </w:tc>
        <w:tc>
          <w:tcPr>
            <w:tcW w:w="624" w:type="dxa"/>
          </w:tcPr>
          <w:p w14:paraId="55177749" w14:textId="77777777" w:rsidR="00711444" w:rsidRPr="004D0DAA" w:rsidRDefault="00711444" w:rsidP="00AA2A4C"/>
        </w:tc>
        <w:tc>
          <w:tcPr>
            <w:tcW w:w="624" w:type="dxa"/>
            <w:tcBorders>
              <w:right w:val="single" w:sz="6" w:space="0" w:color="auto"/>
            </w:tcBorders>
          </w:tcPr>
          <w:p w14:paraId="0048024A" w14:textId="77777777" w:rsidR="00711444" w:rsidRPr="004D0DAA" w:rsidRDefault="00711444" w:rsidP="00AA2A4C"/>
        </w:tc>
        <w:tc>
          <w:tcPr>
            <w:tcW w:w="1701" w:type="dxa"/>
          </w:tcPr>
          <w:p w14:paraId="658C9165" w14:textId="77777777" w:rsidR="00711444" w:rsidRPr="004D0DAA" w:rsidRDefault="00711444" w:rsidP="00AA2A4C">
            <w:pPr>
              <w:pStyle w:val="TAC"/>
              <w:rPr>
                <w:lang w:eastAsia="en-US"/>
              </w:rPr>
            </w:pPr>
            <w:r w:rsidRPr="004D0DAA">
              <w:rPr>
                <w:lang w:eastAsia="en-US"/>
              </w:rPr>
              <w:t>Octet N-1</w:t>
            </w:r>
          </w:p>
        </w:tc>
        <w:tc>
          <w:tcPr>
            <w:tcW w:w="1567" w:type="dxa"/>
            <w:tcBorders>
              <w:left w:val="single" w:sz="6" w:space="0" w:color="auto"/>
              <w:right w:val="single" w:sz="6" w:space="0" w:color="auto"/>
            </w:tcBorders>
          </w:tcPr>
          <w:p w14:paraId="5CB2B897" w14:textId="77777777" w:rsidR="00711444" w:rsidRPr="004D0DAA" w:rsidRDefault="00711444" w:rsidP="00AA2A4C">
            <w:pPr>
              <w:pStyle w:val="TAC"/>
              <w:rPr>
                <w:lang w:eastAsia="en-US"/>
              </w:rPr>
            </w:pPr>
          </w:p>
        </w:tc>
      </w:tr>
      <w:tr w:rsidR="00711444" w:rsidRPr="004D0DAA" w14:paraId="5FAAA807" w14:textId="77777777" w:rsidTr="00AA2A4C">
        <w:tblPrEx>
          <w:tblCellMar>
            <w:top w:w="0" w:type="dxa"/>
            <w:bottom w:w="0" w:type="dxa"/>
          </w:tblCellMar>
        </w:tblPrEx>
        <w:trPr>
          <w:cantSplit/>
        </w:trPr>
        <w:tc>
          <w:tcPr>
            <w:tcW w:w="624" w:type="dxa"/>
            <w:tcBorders>
              <w:left w:val="single" w:sz="6" w:space="0" w:color="auto"/>
            </w:tcBorders>
          </w:tcPr>
          <w:p w14:paraId="412E1BD9" w14:textId="77777777" w:rsidR="00711444" w:rsidRPr="004D0DAA" w:rsidRDefault="00711444" w:rsidP="00AA2A4C"/>
        </w:tc>
        <w:tc>
          <w:tcPr>
            <w:tcW w:w="624" w:type="dxa"/>
          </w:tcPr>
          <w:p w14:paraId="20EF2F06" w14:textId="77777777" w:rsidR="00711444" w:rsidRPr="004D0DAA" w:rsidRDefault="00711444" w:rsidP="00AA2A4C"/>
        </w:tc>
        <w:tc>
          <w:tcPr>
            <w:tcW w:w="624" w:type="dxa"/>
          </w:tcPr>
          <w:p w14:paraId="12EBAED5" w14:textId="77777777" w:rsidR="00711444" w:rsidRPr="004D0DAA" w:rsidRDefault="00711444" w:rsidP="00AA2A4C"/>
        </w:tc>
        <w:tc>
          <w:tcPr>
            <w:tcW w:w="624" w:type="dxa"/>
          </w:tcPr>
          <w:p w14:paraId="769ED6F3" w14:textId="77777777" w:rsidR="00711444" w:rsidRPr="004D0DAA" w:rsidRDefault="00711444" w:rsidP="00AA2A4C"/>
        </w:tc>
        <w:tc>
          <w:tcPr>
            <w:tcW w:w="624" w:type="dxa"/>
          </w:tcPr>
          <w:p w14:paraId="46A9239C" w14:textId="77777777" w:rsidR="00711444" w:rsidRPr="004D0DAA" w:rsidRDefault="00711444" w:rsidP="00AA2A4C"/>
        </w:tc>
        <w:tc>
          <w:tcPr>
            <w:tcW w:w="624" w:type="dxa"/>
          </w:tcPr>
          <w:p w14:paraId="61C7F0E9" w14:textId="77777777" w:rsidR="00711444" w:rsidRPr="004D0DAA" w:rsidRDefault="00711444" w:rsidP="00AA2A4C"/>
        </w:tc>
        <w:tc>
          <w:tcPr>
            <w:tcW w:w="624" w:type="dxa"/>
          </w:tcPr>
          <w:p w14:paraId="4E72014C" w14:textId="77777777" w:rsidR="00711444" w:rsidRPr="004D0DAA" w:rsidRDefault="00711444" w:rsidP="00AA2A4C"/>
        </w:tc>
        <w:tc>
          <w:tcPr>
            <w:tcW w:w="624" w:type="dxa"/>
            <w:tcBorders>
              <w:right w:val="single" w:sz="6" w:space="0" w:color="auto"/>
            </w:tcBorders>
          </w:tcPr>
          <w:p w14:paraId="06A8949C" w14:textId="77777777" w:rsidR="00711444" w:rsidRPr="004D0DAA" w:rsidRDefault="00711444" w:rsidP="00AA2A4C"/>
        </w:tc>
        <w:tc>
          <w:tcPr>
            <w:tcW w:w="1701" w:type="dxa"/>
          </w:tcPr>
          <w:p w14:paraId="0C59C98A" w14:textId="77777777" w:rsidR="00711444" w:rsidRPr="004D0DAA" w:rsidRDefault="00711444" w:rsidP="00AA2A4C">
            <w:pPr>
              <w:pStyle w:val="TAC"/>
              <w:rPr>
                <w:lang w:eastAsia="en-US"/>
              </w:rPr>
            </w:pPr>
            <w:r w:rsidRPr="004D0DAA">
              <w:rPr>
                <w:lang w:eastAsia="en-US"/>
              </w:rPr>
              <w:t>Octet N</w:t>
            </w:r>
          </w:p>
        </w:tc>
        <w:tc>
          <w:tcPr>
            <w:tcW w:w="1567" w:type="dxa"/>
            <w:tcBorders>
              <w:left w:val="single" w:sz="6" w:space="0" w:color="auto"/>
              <w:right w:val="single" w:sz="6" w:space="0" w:color="auto"/>
            </w:tcBorders>
          </w:tcPr>
          <w:p w14:paraId="6B9574B1" w14:textId="77777777" w:rsidR="00711444" w:rsidRPr="004D0DAA" w:rsidRDefault="00711444" w:rsidP="00AA2A4C">
            <w:pPr>
              <w:pStyle w:val="TAC"/>
              <w:rPr>
                <w:lang w:eastAsia="en-US"/>
              </w:rPr>
            </w:pPr>
          </w:p>
        </w:tc>
      </w:tr>
      <w:tr w:rsidR="00711444" w:rsidRPr="004D0DAA" w14:paraId="67BD9E76" w14:textId="77777777" w:rsidTr="00AA2A4C">
        <w:tblPrEx>
          <w:tblCellMar>
            <w:top w:w="0" w:type="dxa"/>
            <w:bottom w:w="0" w:type="dxa"/>
          </w:tblCellMar>
        </w:tblPrEx>
        <w:trPr>
          <w:cantSplit/>
        </w:trPr>
        <w:tc>
          <w:tcPr>
            <w:tcW w:w="624" w:type="dxa"/>
            <w:tcBorders>
              <w:top w:val="single" w:sz="6" w:space="0" w:color="auto"/>
            </w:tcBorders>
          </w:tcPr>
          <w:p w14:paraId="30FD0CF4" w14:textId="77777777" w:rsidR="00711444" w:rsidRPr="004D0DAA" w:rsidRDefault="00711444" w:rsidP="00AA2A4C"/>
        </w:tc>
        <w:tc>
          <w:tcPr>
            <w:tcW w:w="624" w:type="dxa"/>
            <w:tcBorders>
              <w:top w:val="single" w:sz="6" w:space="0" w:color="auto"/>
            </w:tcBorders>
          </w:tcPr>
          <w:p w14:paraId="76E6C281" w14:textId="77777777" w:rsidR="00711444" w:rsidRPr="004D0DAA" w:rsidRDefault="00711444" w:rsidP="00AA2A4C"/>
        </w:tc>
        <w:tc>
          <w:tcPr>
            <w:tcW w:w="624" w:type="dxa"/>
            <w:tcBorders>
              <w:top w:val="single" w:sz="6" w:space="0" w:color="auto"/>
            </w:tcBorders>
          </w:tcPr>
          <w:p w14:paraId="0DC0D537" w14:textId="77777777" w:rsidR="00711444" w:rsidRPr="004D0DAA" w:rsidRDefault="00711444" w:rsidP="00AA2A4C"/>
        </w:tc>
        <w:tc>
          <w:tcPr>
            <w:tcW w:w="624" w:type="dxa"/>
            <w:tcBorders>
              <w:top w:val="single" w:sz="6" w:space="0" w:color="auto"/>
            </w:tcBorders>
          </w:tcPr>
          <w:p w14:paraId="39C04652" w14:textId="77777777" w:rsidR="00711444" w:rsidRPr="004D0DAA" w:rsidRDefault="00711444" w:rsidP="00AA2A4C"/>
        </w:tc>
        <w:tc>
          <w:tcPr>
            <w:tcW w:w="624" w:type="dxa"/>
            <w:tcBorders>
              <w:top w:val="single" w:sz="6" w:space="0" w:color="auto"/>
            </w:tcBorders>
          </w:tcPr>
          <w:p w14:paraId="20567921" w14:textId="77777777" w:rsidR="00711444" w:rsidRPr="004D0DAA" w:rsidRDefault="00711444" w:rsidP="00AA2A4C"/>
        </w:tc>
        <w:tc>
          <w:tcPr>
            <w:tcW w:w="624" w:type="dxa"/>
            <w:tcBorders>
              <w:top w:val="single" w:sz="6" w:space="0" w:color="auto"/>
            </w:tcBorders>
          </w:tcPr>
          <w:p w14:paraId="3071A973" w14:textId="77777777" w:rsidR="00711444" w:rsidRPr="004D0DAA" w:rsidRDefault="00711444" w:rsidP="00AA2A4C"/>
        </w:tc>
        <w:tc>
          <w:tcPr>
            <w:tcW w:w="624" w:type="dxa"/>
            <w:tcBorders>
              <w:top w:val="single" w:sz="6" w:space="0" w:color="auto"/>
            </w:tcBorders>
          </w:tcPr>
          <w:p w14:paraId="137E7F0A" w14:textId="77777777" w:rsidR="00711444" w:rsidRPr="004D0DAA" w:rsidRDefault="00711444" w:rsidP="00AA2A4C"/>
        </w:tc>
        <w:tc>
          <w:tcPr>
            <w:tcW w:w="624" w:type="dxa"/>
            <w:tcBorders>
              <w:top w:val="single" w:sz="6" w:space="0" w:color="auto"/>
            </w:tcBorders>
          </w:tcPr>
          <w:p w14:paraId="76DC6970" w14:textId="77777777" w:rsidR="00711444" w:rsidRPr="004D0DAA" w:rsidRDefault="00711444" w:rsidP="00AA2A4C"/>
        </w:tc>
        <w:tc>
          <w:tcPr>
            <w:tcW w:w="1701" w:type="dxa"/>
          </w:tcPr>
          <w:p w14:paraId="00C5E07B" w14:textId="77777777" w:rsidR="00711444" w:rsidRPr="004D0DAA" w:rsidRDefault="00711444" w:rsidP="00AA2A4C"/>
        </w:tc>
        <w:tc>
          <w:tcPr>
            <w:tcW w:w="1567" w:type="dxa"/>
            <w:tcBorders>
              <w:left w:val="single" w:sz="6" w:space="0" w:color="auto"/>
              <w:right w:val="single" w:sz="6" w:space="0" w:color="auto"/>
            </w:tcBorders>
          </w:tcPr>
          <w:p w14:paraId="42418CA6" w14:textId="77777777" w:rsidR="00711444" w:rsidRPr="004D0DAA" w:rsidRDefault="00711444" w:rsidP="00AA2A4C">
            <w:pPr>
              <w:pStyle w:val="TAC"/>
              <w:rPr>
                <w:lang w:eastAsia="en-US"/>
              </w:rPr>
            </w:pPr>
          </w:p>
        </w:tc>
      </w:tr>
      <w:tr w:rsidR="00711444" w:rsidRPr="004D0DAA" w14:paraId="160FC9C0" w14:textId="77777777" w:rsidTr="00AA2A4C">
        <w:tblPrEx>
          <w:tblCellMar>
            <w:top w:w="0" w:type="dxa"/>
            <w:bottom w:w="0" w:type="dxa"/>
          </w:tblCellMar>
        </w:tblPrEx>
        <w:trPr>
          <w:cantSplit/>
        </w:trPr>
        <w:tc>
          <w:tcPr>
            <w:tcW w:w="624" w:type="dxa"/>
          </w:tcPr>
          <w:p w14:paraId="7074F838" w14:textId="77777777" w:rsidR="00711444" w:rsidRPr="004D0DAA" w:rsidRDefault="00711444" w:rsidP="00AA2A4C"/>
        </w:tc>
        <w:tc>
          <w:tcPr>
            <w:tcW w:w="624" w:type="dxa"/>
          </w:tcPr>
          <w:p w14:paraId="52637700" w14:textId="77777777" w:rsidR="00711444" w:rsidRPr="004D0DAA" w:rsidRDefault="00711444" w:rsidP="00AA2A4C"/>
        </w:tc>
        <w:tc>
          <w:tcPr>
            <w:tcW w:w="624" w:type="dxa"/>
          </w:tcPr>
          <w:p w14:paraId="4CD9222D" w14:textId="77777777" w:rsidR="00711444" w:rsidRPr="004D0DAA" w:rsidRDefault="00711444" w:rsidP="00AA2A4C"/>
        </w:tc>
        <w:tc>
          <w:tcPr>
            <w:tcW w:w="624" w:type="dxa"/>
          </w:tcPr>
          <w:p w14:paraId="4100F6C2" w14:textId="77777777" w:rsidR="00711444" w:rsidRPr="004D0DAA" w:rsidRDefault="00711444" w:rsidP="00AA2A4C"/>
        </w:tc>
        <w:tc>
          <w:tcPr>
            <w:tcW w:w="624" w:type="dxa"/>
          </w:tcPr>
          <w:p w14:paraId="5D074538" w14:textId="77777777" w:rsidR="00711444" w:rsidRPr="004D0DAA" w:rsidRDefault="00711444" w:rsidP="00AA2A4C"/>
        </w:tc>
        <w:tc>
          <w:tcPr>
            <w:tcW w:w="624" w:type="dxa"/>
          </w:tcPr>
          <w:p w14:paraId="7AF75FE3" w14:textId="77777777" w:rsidR="00711444" w:rsidRPr="004D0DAA" w:rsidRDefault="00711444" w:rsidP="00AA2A4C"/>
        </w:tc>
        <w:tc>
          <w:tcPr>
            <w:tcW w:w="624" w:type="dxa"/>
          </w:tcPr>
          <w:p w14:paraId="7F2692E7" w14:textId="77777777" w:rsidR="00711444" w:rsidRPr="004D0DAA" w:rsidRDefault="00711444" w:rsidP="00AA2A4C"/>
        </w:tc>
        <w:tc>
          <w:tcPr>
            <w:tcW w:w="624" w:type="dxa"/>
          </w:tcPr>
          <w:p w14:paraId="05DEA979" w14:textId="77777777" w:rsidR="00711444" w:rsidRPr="004D0DAA" w:rsidRDefault="00711444" w:rsidP="00AA2A4C"/>
        </w:tc>
        <w:tc>
          <w:tcPr>
            <w:tcW w:w="1701" w:type="dxa"/>
          </w:tcPr>
          <w:p w14:paraId="4A183CAE" w14:textId="77777777" w:rsidR="00711444" w:rsidRPr="004D0DAA" w:rsidRDefault="00711444" w:rsidP="00AA2A4C"/>
        </w:tc>
        <w:tc>
          <w:tcPr>
            <w:tcW w:w="1567" w:type="dxa"/>
            <w:tcBorders>
              <w:left w:val="single" w:sz="6" w:space="0" w:color="auto"/>
              <w:right w:val="single" w:sz="6" w:space="0" w:color="auto"/>
            </w:tcBorders>
          </w:tcPr>
          <w:p w14:paraId="1EDCC21E" w14:textId="77777777" w:rsidR="00711444" w:rsidRPr="004D0DAA" w:rsidRDefault="00711444" w:rsidP="00AA2A4C">
            <w:pPr>
              <w:pStyle w:val="TAC"/>
              <w:rPr>
                <w:lang w:eastAsia="en-US"/>
              </w:rPr>
            </w:pPr>
          </w:p>
        </w:tc>
      </w:tr>
    </w:tbl>
    <w:p w14:paraId="76BB7DD9" w14:textId="77777777" w:rsidR="00711444" w:rsidRPr="004D0DAA" w:rsidRDefault="00711444" w:rsidP="00711444">
      <w:pPr>
        <w:pStyle w:val="TAC"/>
      </w:pPr>
    </w:p>
    <w:p w14:paraId="11D7E964" w14:textId="77777777" w:rsidR="00711444" w:rsidRPr="004D0DAA" w:rsidRDefault="00711444" w:rsidP="00711444">
      <w:pPr>
        <w:pStyle w:val="TF"/>
      </w:pPr>
      <w:r w:rsidRPr="004D0DAA">
        <w:t>Figure B.1: Length indicator (LI) example</w:t>
      </w:r>
    </w:p>
    <w:p w14:paraId="23216909" w14:textId="77777777" w:rsidR="00711444" w:rsidRPr="004D0DAA" w:rsidRDefault="00711444" w:rsidP="00711444">
      <w:pPr>
        <w:pStyle w:val="Heading2"/>
      </w:pPr>
      <w:bookmarkStart w:id="882" w:name="_Toc516670055"/>
      <w:r w:rsidRPr="004D0DAA">
        <w:t>B.2</w:t>
      </w:r>
      <w:r w:rsidRPr="004D0DAA">
        <w:tab/>
        <w:t>Example 2</w:t>
      </w:r>
      <w:bookmarkEnd w:id="882"/>
    </w:p>
    <w:p w14:paraId="53C75197" w14:textId="77777777" w:rsidR="00711444" w:rsidRPr="004D0DAA" w:rsidRDefault="00711444" w:rsidP="00711444">
      <w:pPr>
        <w:keepNext/>
      </w:pPr>
      <w:r w:rsidRPr="004D0DAA">
        <w:t xml:space="preserve">Figure B.2 provides an example of the use of the Length indicator when the end of an LLC PDU would fit within an RLC data block but the addition of the length indicator octet (to indicate the LLC PDU boundary) causes the LLC PDU to extend into another RLC data block. In the example, LLC PDU 1 continues from a previous RLC data block and has </w:t>
      </w:r>
      <w:r w:rsidRPr="004D0DAA">
        <w:lastRenderedPageBreak/>
        <w:t>20 remaining octets. The first 19 octets are placed into RLC data block N, the Length Indicator is set to 0 (to indicate that the LLC PDU does not end within the current RLC data block), and the 20</w:t>
      </w:r>
      <w:r w:rsidRPr="004D0DAA">
        <w:rPr>
          <w:vertAlign w:val="superscript"/>
        </w:rPr>
        <w:t>th</w:t>
      </w:r>
      <w:r w:rsidRPr="004D0DAA">
        <w:t xml:space="preserve"> octet is placed in RLC data block N+1.</w:t>
      </w:r>
    </w:p>
    <w:tbl>
      <w:tblPr>
        <w:tblW w:w="0" w:type="auto"/>
        <w:tblInd w:w="851" w:type="dxa"/>
        <w:tblLayout w:type="fixed"/>
        <w:tblCellMar>
          <w:left w:w="37" w:type="dxa"/>
          <w:right w:w="37" w:type="dxa"/>
        </w:tblCellMar>
        <w:tblLook w:val="0000" w:firstRow="0" w:lastRow="0" w:firstColumn="0" w:lastColumn="0" w:noHBand="0" w:noVBand="0"/>
      </w:tblPr>
      <w:tblGrid>
        <w:gridCol w:w="624"/>
        <w:gridCol w:w="624"/>
        <w:gridCol w:w="624"/>
        <w:gridCol w:w="624"/>
        <w:gridCol w:w="624"/>
        <w:gridCol w:w="624"/>
        <w:gridCol w:w="624"/>
        <w:gridCol w:w="624"/>
        <w:gridCol w:w="1701"/>
        <w:gridCol w:w="1567"/>
      </w:tblGrid>
      <w:tr w:rsidR="00711444" w:rsidRPr="004D0DAA" w14:paraId="2B5D5075" w14:textId="77777777" w:rsidTr="00AA2A4C">
        <w:tblPrEx>
          <w:tblCellMar>
            <w:top w:w="0" w:type="dxa"/>
            <w:bottom w:w="0" w:type="dxa"/>
          </w:tblCellMar>
        </w:tblPrEx>
        <w:trPr>
          <w:cantSplit/>
        </w:trPr>
        <w:tc>
          <w:tcPr>
            <w:tcW w:w="4992" w:type="dxa"/>
            <w:gridSpan w:val="8"/>
          </w:tcPr>
          <w:p w14:paraId="2091E719" w14:textId="77777777" w:rsidR="00711444" w:rsidRPr="004D0DAA" w:rsidRDefault="00711444" w:rsidP="00AA2A4C">
            <w:pPr>
              <w:pStyle w:val="TAC"/>
              <w:rPr>
                <w:lang w:eastAsia="en-US"/>
              </w:rPr>
            </w:pPr>
            <w:r w:rsidRPr="004D0DAA">
              <w:rPr>
                <w:lang w:eastAsia="en-US"/>
              </w:rPr>
              <w:t>RLC data block N</w:t>
            </w:r>
          </w:p>
        </w:tc>
        <w:tc>
          <w:tcPr>
            <w:tcW w:w="1701" w:type="dxa"/>
          </w:tcPr>
          <w:p w14:paraId="185B6A60" w14:textId="77777777" w:rsidR="00711444" w:rsidRPr="004D0DAA" w:rsidRDefault="00711444" w:rsidP="00AA2A4C"/>
        </w:tc>
        <w:tc>
          <w:tcPr>
            <w:tcW w:w="1567" w:type="dxa"/>
            <w:tcBorders>
              <w:left w:val="single" w:sz="6" w:space="0" w:color="auto"/>
              <w:right w:val="single" w:sz="6" w:space="0" w:color="auto"/>
            </w:tcBorders>
          </w:tcPr>
          <w:p w14:paraId="060C9283" w14:textId="77777777" w:rsidR="00711444" w:rsidRPr="004D0DAA" w:rsidRDefault="00711444" w:rsidP="00AA2A4C">
            <w:pPr>
              <w:pStyle w:val="TAC"/>
              <w:rPr>
                <w:lang w:eastAsia="en-US"/>
              </w:rPr>
            </w:pPr>
          </w:p>
        </w:tc>
      </w:tr>
      <w:tr w:rsidR="00711444" w:rsidRPr="004D0DAA" w14:paraId="0EEAB5A0" w14:textId="77777777" w:rsidTr="00AA2A4C">
        <w:tblPrEx>
          <w:tblCellMar>
            <w:top w:w="0" w:type="dxa"/>
            <w:bottom w:w="0" w:type="dxa"/>
          </w:tblCellMar>
        </w:tblPrEx>
        <w:trPr>
          <w:cantSplit/>
        </w:trPr>
        <w:tc>
          <w:tcPr>
            <w:tcW w:w="4992" w:type="dxa"/>
            <w:gridSpan w:val="8"/>
          </w:tcPr>
          <w:p w14:paraId="35E45A11" w14:textId="77777777" w:rsidR="00711444" w:rsidRPr="004D0DAA" w:rsidRDefault="00711444" w:rsidP="00AA2A4C">
            <w:pPr>
              <w:pStyle w:val="TAC"/>
              <w:rPr>
                <w:lang w:eastAsia="en-US"/>
              </w:rPr>
            </w:pPr>
            <w:r w:rsidRPr="004D0DAA">
              <w:rPr>
                <w:lang w:eastAsia="en-US"/>
              </w:rPr>
              <w:t>bit</w:t>
            </w:r>
          </w:p>
        </w:tc>
        <w:tc>
          <w:tcPr>
            <w:tcW w:w="1701" w:type="dxa"/>
          </w:tcPr>
          <w:p w14:paraId="1460158C" w14:textId="77777777" w:rsidR="00711444" w:rsidRPr="004D0DAA" w:rsidRDefault="00711444" w:rsidP="00AA2A4C"/>
        </w:tc>
        <w:tc>
          <w:tcPr>
            <w:tcW w:w="1567" w:type="dxa"/>
            <w:tcBorders>
              <w:left w:val="single" w:sz="6" w:space="0" w:color="auto"/>
              <w:right w:val="single" w:sz="6" w:space="0" w:color="auto"/>
            </w:tcBorders>
          </w:tcPr>
          <w:p w14:paraId="45274765" w14:textId="77777777" w:rsidR="00711444" w:rsidRPr="004D0DAA" w:rsidRDefault="00711444" w:rsidP="00AA2A4C">
            <w:pPr>
              <w:pStyle w:val="TAC"/>
              <w:rPr>
                <w:lang w:eastAsia="en-US"/>
              </w:rPr>
            </w:pPr>
          </w:p>
        </w:tc>
      </w:tr>
      <w:tr w:rsidR="00711444" w:rsidRPr="004D0DAA" w14:paraId="769000D4" w14:textId="77777777" w:rsidTr="00AA2A4C">
        <w:tblPrEx>
          <w:tblCellMar>
            <w:top w:w="0" w:type="dxa"/>
            <w:bottom w:w="0" w:type="dxa"/>
          </w:tblCellMar>
        </w:tblPrEx>
        <w:trPr>
          <w:cantSplit/>
        </w:trPr>
        <w:tc>
          <w:tcPr>
            <w:tcW w:w="624" w:type="dxa"/>
          </w:tcPr>
          <w:p w14:paraId="5D467CFC" w14:textId="77777777" w:rsidR="00711444" w:rsidRPr="004D0DAA" w:rsidRDefault="00711444" w:rsidP="00AA2A4C">
            <w:pPr>
              <w:pStyle w:val="TAC"/>
              <w:rPr>
                <w:lang w:eastAsia="en-US"/>
              </w:rPr>
            </w:pPr>
            <w:r w:rsidRPr="004D0DAA">
              <w:rPr>
                <w:lang w:eastAsia="en-US"/>
              </w:rPr>
              <w:t>8</w:t>
            </w:r>
          </w:p>
        </w:tc>
        <w:tc>
          <w:tcPr>
            <w:tcW w:w="624" w:type="dxa"/>
          </w:tcPr>
          <w:p w14:paraId="7435C2C9" w14:textId="77777777" w:rsidR="00711444" w:rsidRPr="004D0DAA" w:rsidRDefault="00711444" w:rsidP="00AA2A4C">
            <w:pPr>
              <w:pStyle w:val="TAC"/>
              <w:rPr>
                <w:lang w:eastAsia="en-US"/>
              </w:rPr>
            </w:pPr>
            <w:r w:rsidRPr="004D0DAA">
              <w:rPr>
                <w:lang w:eastAsia="en-US"/>
              </w:rPr>
              <w:t>7</w:t>
            </w:r>
          </w:p>
        </w:tc>
        <w:tc>
          <w:tcPr>
            <w:tcW w:w="624" w:type="dxa"/>
          </w:tcPr>
          <w:p w14:paraId="4D7E80CB" w14:textId="77777777" w:rsidR="00711444" w:rsidRPr="004D0DAA" w:rsidRDefault="00711444" w:rsidP="00AA2A4C">
            <w:pPr>
              <w:pStyle w:val="TAC"/>
              <w:rPr>
                <w:lang w:eastAsia="en-US"/>
              </w:rPr>
            </w:pPr>
            <w:r w:rsidRPr="004D0DAA">
              <w:rPr>
                <w:lang w:eastAsia="en-US"/>
              </w:rPr>
              <w:t>6</w:t>
            </w:r>
          </w:p>
        </w:tc>
        <w:tc>
          <w:tcPr>
            <w:tcW w:w="624" w:type="dxa"/>
          </w:tcPr>
          <w:p w14:paraId="091FDB9E" w14:textId="77777777" w:rsidR="00711444" w:rsidRPr="004D0DAA" w:rsidRDefault="00711444" w:rsidP="00AA2A4C">
            <w:pPr>
              <w:pStyle w:val="TAC"/>
              <w:rPr>
                <w:lang w:eastAsia="en-US"/>
              </w:rPr>
            </w:pPr>
            <w:r w:rsidRPr="004D0DAA">
              <w:rPr>
                <w:lang w:eastAsia="en-US"/>
              </w:rPr>
              <w:t>5</w:t>
            </w:r>
          </w:p>
        </w:tc>
        <w:tc>
          <w:tcPr>
            <w:tcW w:w="624" w:type="dxa"/>
          </w:tcPr>
          <w:p w14:paraId="2638F725" w14:textId="77777777" w:rsidR="00711444" w:rsidRPr="004D0DAA" w:rsidRDefault="00711444" w:rsidP="00AA2A4C">
            <w:pPr>
              <w:pStyle w:val="TAC"/>
              <w:rPr>
                <w:lang w:eastAsia="en-US"/>
              </w:rPr>
            </w:pPr>
            <w:r w:rsidRPr="004D0DAA">
              <w:rPr>
                <w:lang w:eastAsia="en-US"/>
              </w:rPr>
              <w:t>4</w:t>
            </w:r>
          </w:p>
        </w:tc>
        <w:tc>
          <w:tcPr>
            <w:tcW w:w="624" w:type="dxa"/>
          </w:tcPr>
          <w:p w14:paraId="726E0980" w14:textId="77777777" w:rsidR="00711444" w:rsidRPr="004D0DAA" w:rsidRDefault="00711444" w:rsidP="00AA2A4C">
            <w:pPr>
              <w:pStyle w:val="TAC"/>
              <w:rPr>
                <w:lang w:eastAsia="en-US"/>
              </w:rPr>
            </w:pPr>
            <w:r w:rsidRPr="004D0DAA">
              <w:rPr>
                <w:lang w:eastAsia="en-US"/>
              </w:rPr>
              <w:t>3</w:t>
            </w:r>
          </w:p>
        </w:tc>
        <w:tc>
          <w:tcPr>
            <w:tcW w:w="624" w:type="dxa"/>
          </w:tcPr>
          <w:p w14:paraId="026F6326" w14:textId="77777777" w:rsidR="00711444" w:rsidRPr="004D0DAA" w:rsidRDefault="00711444" w:rsidP="00AA2A4C">
            <w:pPr>
              <w:pStyle w:val="TAC"/>
              <w:rPr>
                <w:lang w:eastAsia="en-US"/>
              </w:rPr>
            </w:pPr>
            <w:r w:rsidRPr="004D0DAA">
              <w:rPr>
                <w:lang w:eastAsia="en-US"/>
              </w:rPr>
              <w:t>2</w:t>
            </w:r>
          </w:p>
        </w:tc>
        <w:tc>
          <w:tcPr>
            <w:tcW w:w="624" w:type="dxa"/>
          </w:tcPr>
          <w:p w14:paraId="063B4ECC" w14:textId="77777777" w:rsidR="00711444" w:rsidRPr="004D0DAA" w:rsidRDefault="00711444" w:rsidP="00AA2A4C">
            <w:pPr>
              <w:pStyle w:val="TAC"/>
              <w:rPr>
                <w:lang w:eastAsia="en-US"/>
              </w:rPr>
            </w:pPr>
            <w:r w:rsidRPr="004D0DAA">
              <w:rPr>
                <w:lang w:eastAsia="en-US"/>
              </w:rPr>
              <w:t>1</w:t>
            </w:r>
          </w:p>
        </w:tc>
        <w:tc>
          <w:tcPr>
            <w:tcW w:w="1701" w:type="dxa"/>
          </w:tcPr>
          <w:p w14:paraId="2C4A9F1C" w14:textId="77777777" w:rsidR="00711444" w:rsidRPr="004D0DAA" w:rsidRDefault="00711444" w:rsidP="00AA2A4C"/>
        </w:tc>
        <w:tc>
          <w:tcPr>
            <w:tcW w:w="1567" w:type="dxa"/>
            <w:tcBorders>
              <w:left w:val="single" w:sz="6" w:space="0" w:color="auto"/>
              <w:right w:val="single" w:sz="6" w:space="0" w:color="auto"/>
            </w:tcBorders>
          </w:tcPr>
          <w:p w14:paraId="45C6CC14" w14:textId="77777777" w:rsidR="00711444" w:rsidRPr="004D0DAA" w:rsidRDefault="00711444" w:rsidP="00AA2A4C">
            <w:pPr>
              <w:pStyle w:val="TAC"/>
              <w:rPr>
                <w:lang w:eastAsia="en-US"/>
              </w:rPr>
            </w:pPr>
          </w:p>
        </w:tc>
      </w:tr>
      <w:tr w:rsidR="00711444" w:rsidRPr="004D0DAA" w14:paraId="11AAEFBC"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0D7CBA35"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05003A08"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74BEEFEA"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5C06C7E3" w14:textId="77777777" w:rsidR="00711444" w:rsidRPr="004D0DAA" w:rsidRDefault="00711444" w:rsidP="00AA2A4C"/>
        </w:tc>
        <w:tc>
          <w:tcPr>
            <w:tcW w:w="624" w:type="dxa"/>
            <w:tcBorders>
              <w:top w:val="single" w:sz="6" w:space="0" w:color="auto"/>
              <w:bottom w:val="single" w:sz="6" w:space="0" w:color="auto"/>
            </w:tcBorders>
          </w:tcPr>
          <w:p w14:paraId="0B2F2E41"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2C0E1E79" w14:textId="77777777" w:rsidR="00711444" w:rsidRPr="004D0DAA" w:rsidRDefault="00711444" w:rsidP="00AA2A4C"/>
        </w:tc>
        <w:tc>
          <w:tcPr>
            <w:tcW w:w="1701" w:type="dxa"/>
          </w:tcPr>
          <w:p w14:paraId="34B3DDE7"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7354A781" w14:textId="77777777" w:rsidR="00711444" w:rsidRPr="004D0DAA" w:rsidRDefault="00711444" w:rsidP="00AA2A4C">
            <w:pPr>
              <w:pStyle w:val="TAC"/>
              <w:rPr>
                <w:lang w:eastAsia="en-US"/>
              </w:rPr>
            </w:pPr>
          </w:p>
        </w:tc>
      </w:tr>
      <w:tr w:rsidR="00711444" w:rsidRPr="004D0DAA" w14:paraId="5169E508"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65BBBA1D" w14:textId="77777777" w:rsidR="00711444" w:rsidRPr="004D0DAA" w:rsidRDefault="00711444" w:rsidP="00AA2A4C">
            <w:pPr>
              <w:pStyle w:val="TAC"/>
              <w:rPr>
                <w:lang w:eastAsia="en-US"/>
              </w:rPr>
            </w:pPr>
            <w:r w:rsidRPr="004D0DAA">
              <w:rPr>
                <w:lang w:eastAsia="en-US"/>
              </w:rPr>
              <w:t>PR</w:t>
            </w:r>
          </w:p>
        </w:tc>
        <w:tc>
          <w:tcPr>
            <w:tcW w:w="3120" w:type="dxa"/>
            <w:gridSpan w:val="5"/>
            <w:tcBorders>
              <w:top w:val="single" w:sz="6" w:space="0" w:color="auto"/>
              <w:left w:val="single" w:sz="6" w:space="0" w:color="auto"/>
              <w:bottom w:val="single" w:sz="6" w:space="0" w:color="auto"/>
              <w:right w:val="single" w:sz="6" w:space="0" w:color="auto"/>
            </w:tcBorders>
          </w:tcPr>
          <w:p w14:paraId="6DDFDAED"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right w:val="single" w:sz="6" w:space="0" w:color="auto"/>
            </w:tcBorders>
          </w:tcPr>
          <w:p w14:paraId="3FDEA19F" w14:textId="77777777" w:rsidR="00711444" w:rsidRPr="004D0DAA" w:rsidRDefault="00711444" w:rsidP="00AA2A4C">
            <w:pPr>
              <w:pStyle w:val="TAC"/>
              <w:rPr>
                <w:lang w:eastAsia="en-US"/>
              </w:rPr>
            </w:pPr>
            <w:r w:rsidRPr="004D0DAA">
              <w:rPr>
                <w:lang w:eastAsia="en-US"/>
              </w:rPr>
              <w:t>FBI</w:t>
            </w:r>
          </w:p>
        </w:tc>
        <w:tc>
          <w:tcPr>
            <w:tcW w:w="1701" w:type="dxa"/>
          </w:tcPr>
          <w:p w14:paraId="5AEB1D69"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08D43E62" w14:textId="77777777" w:rsidR="00711444" w:rsidRPr="004D0DAA" w:rsidRDefault="00711444" w:rsidP="00AA2A4C">
            <w:pPr>
              <w:pStyle w:val="TAC"/>
              <w:rPr>
                <w:lang w:eastAsia="en-US"/>
              </w:rPr>
            </w:pPr>
          </w:p>
        </w:tc>
      </w:tr>
      <w:tr w:rsidR="00711444" w:rsidRPr="004D0DAA" w14:paraId="08CF71F5"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66843CEB" w14:textId="77777777" w:rsidR="00711444" w:rsidRPr="004D0DAA" w:rsidRDefault="00711444" w:rsidP="00AA2A4C"/>
        </w:tc>
        <w:tc>
          <w:tcPr>
            <w:tcW w:w="624" w:type="dxa"/>
            <w:tcBorders>
              <w:top w:val="single" w:sz="6" w:space="0" w:color="auto"/>
            </w:tcBorders>
          </w:tcPr>
          <w:p w14:paraId="7A21FB7A" w14:textId="77777777" w:rsidR="00711444" w:rsidRPr="004D0DAA" w:rsidRDefault="00711444" w:rsidP="00AA2A4C"/>
        </w:tc>
        <w:tc>
          <w:tcPr>
            <w:tcW w:w="624" w:type="dxa"/>
            <w:tcBorders>
              <w:top w:val="single" w:sz="6" w:space="0" w:color="auto"/>
            </w:tcBorders>
          </w:tcPr>
          <w:p w14:paraId="04B97E0C" w14:textId="77777777" w:rsidR="00711444" w:rsidRPr="004D0DAA" w:rsidRDefault="00711444" w:rsidP="00AA2A4C"/>
        </w:tc>
        <w:tc>
          <w:tcPr>
            <w:tcW w:w="624" w:type="dxa"/>
            <w:tcBorders>
              <w:top w:val="single" w:sz="6" w:space="0" w:color="auto"/>
            </w:tcBorders>
          </w:tcPr>
          <w:p w14:paraId="5B253640"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3D9F0F50" w14:textId="77777777" w:rsidR="00711444" w:rsidRPr="004D0DAA" w:rsidRDefault="00711444" w:rsidP="00AA2A4C"/>
        </w:tc>
        <w:tc>
          <w:tcPr>
            <w:tcW w:w="624" w:type="dxa"/>
            <w:tcBorders>
              <w:top w:val="single" w:sz="6" w:space="0" w:color="auto"/>
            </w:tcBorders>
          </w:tcPr>
          <w:p w14:paraId="1A1B56A4"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25D79E9B"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5BEC6FA8" w14:textId="77777777" w:rsidR="00711444" w:rsidRPr="004D0DAA" w:rsidRDefault="00711444" w:rsidP="00AA2A4C">
            <w:pPr>
              <w:pStyle w:val="TAC"/>
              <w:rPr>
                <w:lang w:eastAsia="en-US"/>
              </w:rPr>
            </w:pPr>
            <w:r w:rsidRPr="004D0DAA">
              <w:rPr>
                <w:lang w:eastAsia="en-US"/>
              </w:rPr>
              <w:t>E = 0</w:t>
            </w:r>
          </w:p>
        </w:tc>
        <w:tc>
          <w:tcPr>
            <w:tcW w:w="1701" w:type="dxa"/>
          </w:tcPr>
          <w:p w14:paraId="18846796"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2A869A05" w14:textId="77777777" w:rsidR="00711444" w:rsidRPr="004D0DAA" w:rsidRDefault="00711444" w:rsidP="00AA2A4C">
            <w:pPr>
              <w:pStyle w:val="TAC"/>
              <w:rPr>
                <w:lang w:eastAsia="en-US"/>
              </w:rPr>
            </w:pPr>
          </w:p>
        </w:tc>
      </w:tr>
      <w:tr w:rsidR="00711444" w:rsidRPr="004D0DAA" w14:paraId="2F0AB6C0" w14:textId="77777777" w:rsidTr="00AA2A4C">
        <w:tblPrEx>
          <w:tblCellMar>
            <w:top w:w="0" w:type="dxa"/>
            <w:bottom w:w="0" w:type="dxa"/>
          </w:tblCellMar>
        </w:tblPrEx>
        <w:trPr>
          <w:cantSplit/>
        </w:trPr>
        <w:tc>
          <w:tcPr>
            <w:tcW w:w="3744" w:type="dxa"/>
            <w:gridSpan w:val="6"/>
            <w:tcBorders>
              <w:top w:val="single" w:sz="6" w:space="0" w:color="auto"/>
              <w:left w:val="single" w:sz="6" w:space="0" w:color="auto"/>
              <w:bottom w:val="single" w:sz="6" w:space="0" w:color="auto"/>
            </w:tcBorders>
          </w:tcPr>
          <w:p w14:paraId="19538A11" w14:textId="77777777" w:rsidR="00711444" w:rsidRPr="004D0DAA" w:rsidRDefault="00711444" w:rsidP="00AA2A4C">
            <w:pPr>
              <w:pStyle w:val="TAC"/>
              <w:rPr>
                <w:lang w:eastAsia="en-US"/>
              </w:rPr>
            </w:pPr>
            <w:r w:rsidRPr="004D0DAA">
              <w:rPr>
                <w:lang w:eastAsia="en-US"/>
              </w:rPr>
              <w:t>Length indicator = 0</w:t>
            </w:r>
          </w:p>
        </w:tc>
        <w:tc>
          <w:tcPr>
            <w:tcW w:w="624" w:type="dxa"/>
            <w:tcBorders>
              <w:top w:val="single" w:sz="6" w:space="0" w:color="auto"/>
              <w:left w:val="single" w:sz="6" w:space="0" w:color="auto"/>
              <w:bottom w:val="single" w:sz="6" w:space="0" w:color="auto"/>
              <w:right w:val="single" w:sz="6" w:space="0" w:color="auto"/>
            </w:tcBorders>
          </w:tcPr>
          <w:p w14:paraId="34E45B49" w14:textId="77777777" w:rsidR="00711444" w:rsidRPr="004D0DAA" w:rsidRDefault="00711444" w:rsidP="00AA2A4C">
            <w:pPr>
              <w:pStyle w:val="TAC"/>
              <w:rPr>
                <w:lang w:eastAsia="en-US"/>
              </w:rPr>
            </w:pPr>
            <w:r w:rsidRPr="004D0DAA">
              <w:rPr>
                <w:lang w:eastAsia="en-US"/>
              </w:rPr>
              <w:t>M = 0</w:t>
            </w:r>
          </w:p>
        </w:tc>
        <w:tc>
          <w:tcPr>
            <w:tcW w:w="624" w:type="dxa"/>
            <w:tcBorders>
              <w:top w:val="single" w:sz="6" w:space="0" w:color="auto"/>
              <w:left w:val="single" w:sz="6" w:space="0" w:color="auto"/>
              <w:bottom w:val="single" w:sz="6" w:space="0" w:color="auto"/>
              <w:right w:val="single" w:sz="6" w:space="0" w:color="auto"/>
            </w:tcBorders>
          </w:tcPr>
          <w:p w14:paraId="378EC055"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7A755B49"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033BFAA1" w14:textId="77777777" w:rsidR="00711444" w:rsidRPr="004D0DAA" w:rsidRDefault="00711444" w:rsidP="00AA2A4C">
            <w:pPr>
              <w:pStyle w:val="TAC"/>
              <w:rPr>
                <w:lang w:eastAsia="en-US"/>
              </w:rPr>
            </w:pPr>
          </w:p>
        </w:tc>
      </w:tr>
      <w:tr w:rsidR="00711444" w:rsidRPr="004D0DAA" w14:paraId="7E2A1211" w14:textId="77777777" w:rsidTr="00AA2A4C">
        <w:tblPrEx>
          <w:tblCellMar>
            <w:top w:w="0" w:type="dxa"/>
            <w:bottom w:w="0" w:type="dxa"/>
          </w:tblCellMar>
        </w:tblPrEx>
        <w:trPr>
          <w:cantSplit/>
        </w:trPr>
        <w:tc>
          <w:tcPr>
            <w:tcW w:w="624" w:type="dxa"/>
            <w:tcBorders>
              <w:left w:val="single" w:sz="6" w:space="0" w:color="auto"/>
            </w:tcBorders>
          </w:tcPr>
          <w:p w14:paraId="4911A96F" w14:textId="77777777" w:rsidR="00711444" w:rsidRPr="004D0DAA" w:rsidRDefault="00711444" w:rsidP="00AA2A4C"/>
        </w:tc>
        <w:tc>
          <w:tcPr>
            <w:tcW w:w="624" w:type="dxa"/>
          </w:tcPr>
          <w:p w14:paraId="459DF552" w14:textId="77777777" w:rsidR="00711444" w:rsidRPr="004D0DAA" w:rsidRDefault="00711444" w:rsidP="00AA2A4C"/>
        </w:tc>
        <w:tc>
          <w:tcPr>
            <w:tcW w:w="624" w:type="dxa"/>
          </w:tcPr>
          <w:p w14:paraId="57D91724" w14:textId="77777777" w:rsidR="00711444" w:rsidRPr="004D0DAA" w:rsidRDefault="00711444" w:rsidP="00AA2A4C"/>
        </w:tc>
        <w:tc>
          <w:tcPr>
            <w:tcW w:w="624" w:type="dxa"/>
          </w:tcPr>
          <w:p w14:paraId="3E599D70" w14:textId="77777777" w:rsidR="00711444" w:rsidRPr="004D0DAA" w:rsidRDefault="00711444" w:rsidP="00AA2A4C"/>
        </w:tc>
        <w:tc>
          <w:tcPr>
            <w:tcW w:w="624" w:type="dxa"/>
          </w:tcPr>
          <w:p w14:paraId="0EF9B7F8" w14:textId="77777777" w:rsidR="00711444" w:rsidRPr="004D0DAA" w:rsidRDefault="00711444" w:rsidP="00AA2A4C"/>
        </w:tc>
        <w:tc>
          <w:tcPr>
            <w:tcW w:w="624" w:type="dxa"/>
          </w:tcPr>
          <w:p w14:paraId="1D135640" w14:textId="77777777" w:rsidR="00711444" w:rsidRPr="004D0DAA" w:rsidRDefault="00711444" w:rsidP="00AA2A4C"/>
        </w:tc>
        <w:tc>
          <w:tcPr>
            <w:tcW w:w="624" w:type="dxa"/>
          </w:tcPr>
          <w:p w14:paraId="09E08EB9" w14:textId="77777777" w:rsidR="00711444" w:rsidRPr="004D0DAA" w:rsidRDefault="00711444" w:rsidP="00AA2A4C"/>
        </w:tc>
        <w:tc>
          <w:tcPr>
            <w:tcW w:w="624" w:type="dxa"/>
            <w:tcBorders>
              <w:right w:val="single" w:sz="6" w:space="0" w:color="auto"/>
            </w:tcBorders>
          </w:tcPr>
          <w:p w14:paraId="06D00EE6" w14:textId="77777777" w:rsidR="00711444" w:rsidRPr="004D0DAA" w:rsidRDefault="00711444" w:rsidP="00AA2A4C"/>
        </w:tc>
        <w:tc>
          <w:tcPr>
            <w:tcW w:w="1701" w:type="dxa"/>
          </w:tcPr>
          <w:p w14:paraId="76D8502A"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63884774" w14:textId="77777777" w:rsidR="00711444" w:rsidRPr="004D0DAA" w:rsidRDefault="00711444" w:rsidP="00AA2A4C">
            <w:pPr>
              <w:pStyle w:val="TAC"/>
              <w:rPr>
                <w:lang w:eastAsia="en-US"/>
              </w:rPr>
            </w:pPr>
          </w:p>
        </w:tc>
      </w:tr>
      <w:tr w:rsidR="00711444" w:rsidRPr="004D0DAA" w14:paraId="7D416C5A"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2F0409B7" w14:textId="77777777" w:rsidR="00711444" w:rsidRPr="004D0DAA" w:rsidRDefault="00711444" w:rsidP="00AA2A4C">
            <w:pPr>
              <w:pStyle w:val="TAC"/>
              <w:rPr>
                <w:lang w:eastAsia="en-US"/>
              </w:rPr>
            </w:pPr>
            <w:r w:rsidRPr="004D0DAA">
              <w:rPr>
                <w:lang w:eastAsia="en-US"/>
              </w:rPr>
              <w:br/>
              <w:t>LLC PDU 1 (cont)</w:t>
            </w:r>
          </w:p>
        </w:tc>
        <w:tc>
          <w:tcPr>
            <w:tcW w:w="1701" w:type="dxa"/>
          </w:tcPr>
          <w:p w14:paraId="48F58EEA" w14:textId="77777777" w:rsidR="00711444" w:rsidRPr="004D0DAA" w:rsidRDefault="00711444" w:rsidP="00AA2A4C">
            <w:pPr>
              <w:pStyle w:val="TAC"/>
              <w:rPr>
                <w:lang w:eastAsia="en-US"/>
              </w:rPr>
            </w:pPr>
            <w:r w:rsidRPr="004D0DAA">
              <w:rPr>
                <w:lang w:eastAsia="en-US"/>
              </w:rPr>
              <w:t>.</w:t>
            </w:r>
          </w:p>
          <w:p w14:paraId="0F789442" w14:textId="77777777" w:rsidR="00711444" w:rsidRPr="004D0DAA" w:rsidRDefault="00711444" w:rsidP="00AA2A4C">
            <w:pPr>
              <w:pStyle w:val="TAC"/>
              <w:rPr>
                <w:lang w:eastAsia="en-US"/>
              </w:rPr>
            </w:pPr>
            <w:r w:rsidRPr="004D0DAA">
              <w:rPr>
                <w:lang w:eastAsia="en-US"/>
              </w:rPr>
              <w:t>.</w:t>
            </w:r>
          </w:p>
          <w:p w14:paraId="1FDC5503"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2B60DEF" w14:textId="77777777" w:rsidR="00711444" w:rsidRPr="004D0DAA" w:rsidRDefault="00711444" w:rsidP="00AA2A4C">
            <w:pPr>
              <w:pStyle w:val="TAC"/>
              <w:rPr>
                <w:lang w:eastAsia="en-US"/>
              </w:rPr>
            </w:pPr>
            <w:r w:rsidRPr="004D0DAA">
              <w:rPr>
                <w:lang w:eastAsia="en-US"/>
              </w:rPr>
              <w:t>LLC PDU 1</w:t>
            </w:r>
          </w:p>
        </w:tc>
      </w:tr>
      <w:tr w:rsidR="00711444" w:rsidRPr="004D0DAA" w14:paraId="3D7F6AD4"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51E6B36D" w14:textId="77777777" w:rsidR="00711444" w:rsidRPr="004D0DAA" w:rsidRDefault="00711444" w:rsidP="00AA2A4C"/>
        </w:tc>
        <w:tc>
          <w:tcPr>
            <w:tcW w:w="624" w:type="dxa"/>
            <w:tcBorders>
              <w:bottom w:val="single" w:sz="6" w:space="0" w:color="auto"/>
            </w:tcBorders>
          </w:tcPr>
          <w:p w14:paraId="1A7E4AD2" w14:textId="77777777" w:rsidR="00711444" w:rsidRPr="004D0DAA" w:rsidRDefault="00711444" w:rsidP="00AA2A4C"/>
        </w:tc>
        <w:tc>
          <w:tcPr>
            <w:tcW w:w="624" w:type="dxa"/>
            <w:tcBorders>
              <w:bottom w:val="single" w:sz="6" w:space="0" w:color="auto"/>
            </w:tcBorders>
          </w:tcPr>
          <w:p w14:paraId="7A09152E" w14:textId="77777777" w:rsidR="00711444" w:rsidRPr="004D0DAA" w:rsidRDefault="00711444" w:rsidP="00AA2A4C"/>
        </w:tc>
        <w:tc>
          <w:tcPr>
            <w:tcW w:w="624" w:type="dxa"/>
            <w:tcBorders>
              <w:bottom w:val="single" w:sz="6" w:space="0" w:color="auto"/>
            </w:tcBorders>
          </w:tcPr>
          <w:p w14:paraId="497E7D12" w14:textId="77777777" w:rsidR="00711444" w:rsidRPr="004D0DAA" w:rsidRDefault="00711444" w:rsidP="00AA2A4C"/>
        </w:tc>
        <w:tc>
          <w:tcPr>
            <w:tcW w:w="624" w:type="dxa"/>
            <w:tcBorders>
              <w:bottom w:val="single" w:sz="6" w:space="0" w:color="auto"/>
            </w:tcBorders>
          </w:tcPr>
          <w:p w14:paraId="14910305" w14:textId="77777777" w:rsidR="00711444" w:rsidRPr="004D0DAA" w:rsidRDefault="00711444" w:rsidP="00AA2A4C"/>
        </w:tc>
        <w:tc>
          <w:tcPr>
            <w:tcW w:w="624" w:type="dxa"/>
            <w:tcBorders>
              <w:bottom w:val="single" w:sz="6" w:space="0" w:color="auto"/>
            </w:tcBorders>
          </w:tcPr>
          <w:p w14:paraId="1A2D8460" w14:textId="77777777" w:rsidR="00711444" w:rsidRPr="004D0DAA" w:rsidRDefault="00711444" w:rsidP="00AA2A4C"/>
        </w:tc>
        <w:tc>
          <w:tcPr>
            <w:tcW w:w="624" w:type="dxa"/>
            <w:tcBorders>
              <w:bottom w:val="single" w:sz="6" w:space="0" w:color="auto"/>
            </w:tcBorders>
          </w:tcPr>
          <w:p w14:paraId="5F3C1B22" w14:textId="77777777" w:rsidR="00711444" w:rsidRPr="004D0DAA" w:rsidRDefault="00711444" w:rsidP="00AA2A4C"/>
        </w:tc>
        <w:tc>
          <w:tcPr>
            <w:tcW w:w="624" w:type="dxa"/>
            <w:tcBorders>
              <w:bottom w:val="single" w:sz="6" w:space="0" w:color="auto"/>
              <w:right w:val="single" w:sz="6" w:space="0" w:color="auto"/>
            </w:tcBorders>
          </w:tcPr>
          <w:p w14:paraId="1FE9D367" w14:textId="77777777" w:rsidR="00711444" w:rsidRPr="004D0DAA" w:rsidRDefault="00711444" w:rsidP="00AA2A4C"/>
        </w:tc>
        <w:tc>
          <w:tcPr>
            <w:tcW w:w="1701" w:type="dxa"/>
          </w:tcPr>
          <w:p w14:paraId="685FC70B"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3D63ECC7" w14:textId="77777777" w:rsidR="00711444" w:rsidRPr="004D0DAA" w:rsidRDefault="00711444" w:rsidP="00AA2A4C">
            <w:pPr>
              <w:pStyle w:val="TAC"/>
              <w:rPr>
                <w:lang w:eastAsia="en-US"/>
              </w:rPr>
            </w:pPr>
          </w:p>
        </w:tc>
      </w:tr>
      <w:tr w:rsidR="00711444" w:rsidRPr="004D0DAA" w14:paraId="4C1C49BD" w14:textId="77777777" w:rsidTr="00AA2A4C">
        <w:tblPrEx>
          <w:tblCellMar>
            <w:top w:w="0" w:type="dxa"/>
            <w:bottom w:w="0" w:type="dxa"/>
          </w:tblCellMar>
        </w:tblPrEx>
        <w:trPr>
          <w:cantSplit/>
        </w:trPr>
        <w:tc>
          <w:tcPr>
            <w:tcW w:w="4992" w:type="dxa"/>
            <w:gridSpan w:val="8"/>
          </w:tcPr>
          <w:p w14:paraId="5C322D5E" w14:textId="77777777" w:rsidR="00711444" w:rsidRPr="004D0DAA" w:rsidRDefault="00711444" w:rsidP="00AA2A4C"/>
        </w:tc>
        <w:tc>
          <w:tcPr>
            <w:tcW w:w="1701" w:type="dxa"/>
          </w:tcPr>
          <w:p w14:paraId="0C034DA3" w14:textId="77777777" w:rsidR="00711444" w:rsidRPr="004D0DAA" w:rsidRDefault="00711444" w:rsidP="00AA2A4C"/>
        </w:tc>
        <w:tc>
          <w:tcPr>
            <w:tcW w:w="1567" w:type="dxa"/>
            <w:tcBorders>
              <w:left w:val="single" w:sz="6" w:space="0" w:color="auto"/>
              <w:right w:val="single" w:sz="6" w:space="0" w:color="auto"/>
            </w:tcBorders>
          </w:tcPr>
          <w:p w14:paraId="75C61B90" w14:textId="77777777" w:rsidR="00711444" w:rsidRPr="004D0DAA" w:rsidRDefault="00711444" w:rsidP="00AA2A4C">
            <w:pPr>
              <w:pStyle w:val="TAC"/>
              <w:rPr>
                <w:lang w:eastAsia="en-US"/>
              </w:rPr>
            </w:pPr>
          </w:p>
        </w:tc>
      </w:tr>
      <w:tr w:rsidR="00711444" w:rsidRPr="004D0DAA" w14:paraId="5D3C5279" w14:textId="77777777" w:rsidTr="00AA2A4C">
        <w:tblPrEx>
          <w:tblCellMar>
            <w:top w:w="0" w:type="dxa"/>
            <w:bottom w:w="0" w:type="dxa"/>
          </w:tblCellMar>
        </w:tblPrEx>
        <w:trPr>
          <w:cantSplit/>
        </w:trPr>
        <w:tc>
          <w:tcPr>
            <w:tcW w:w="4992" w:type="dxa"/>
            <w:gridSpan w:val="8"/>
          </w:tcPr>
          <w:p w14:paraId="7445BD2F" w14:textId="77777777" w:rsidR="00711444" w:rsidRPr="004D0DAA" w:rsidRDefault="00711444" w:rsidP="00AA2A4C">
            <w:pPr>
              <w:pStyle w:val="TAC"/>
              <w:rPr>
                <w:lang w:eastAsia="en-US"/>
              </w:rPr>
            </w:pPr>
            <w:r w:rsidRPr="004D0DAA">
              <w:rPr>
                <w:lang w:eastAsia="en-US"/>
              </w:rPr>
              <w:t>RLC data block N + 1</w:t>
            </w:r>
          </w:p>
        </w:tc>
        <w:tc>
          <w:tcPr>
            <w:tcW w:w="1701" w:type="dxa"/>
          </w:tcPr>
          <w:p w14:paraId="3277B900" w14:textId="77777777" w:rsidR="00711444" w:rsidRPr="004D0DAA" w:rsidRDefault="00711444" w:rsidP="00AA2A4C"/>
        </w:tc>
        <w:tc>
          <w:tcPr>
            <w:tcW w:w="1567" w:type="dxa"/>
            <w:tcBorders>
              <w:left w:val="single" w:sz="6" w:space="0" w:color="auto"/>
              <w:right w:val="single" w:sz="6" w:space="0" w:color="auto"/>
            </w:tcBorders>
          </w:tcPr>
          <w:p w14:paraId="3600F178" w14:textId="77777777" w:rsidR="00711444" w:rsidRPr="004D0DAA" w:rsidRDefault="00711444" w:rsidP="00AA2A4C">
            <w:pPr>
              <w:pStyle w:val="TAC"/>
              <w:rPr>
                <w:lang w:eastAsia="en-US"/>
              </w:rPr>
            </w:pPr>
          </w:p>
        </w:tc>
      </w:tr>
      <w:tr w:rsidR="00711444" w:rsidRPr="004D0DAA" w14:paraId="2A53C235" w14:textId="77777777" w:rsidTr="00AA2A4C">
        <w:tblPrEx>
          <w:tblCellMar>
            <w:top w:w="0" w:type="dxa"/>
            <w:bottom w:w="0" w:type="dxa"/>
          </w:tblCellMar>
        </w:tblPrEx>
        <w:trPr>
          <w:cantSplit/>
        </w:trPr>
        <w:tc>
          <w:tcPr>
            <w:tcW w:w="624" w:type="dxa"/>
          </w:tcPr>
          <w:p w14:paraId="6E34C98A" w14:textId="77777777" w:rsidR="00711444" w:rsidRPr="004D0DAA" w:rsidRDefault="00711444" w:rsidP="00AA2A4C">
            <w:pPr>
              <w:pStyle w:val="TAC"/>
              <w:rPr>
                <w:lang w:eastAsia="en-US"/>
              </w:rPr>
            </w:pPr>
            <w:r w:rsidRPr="004D0DAA">
              <w:rPr>
                <w:lang w:eastAsia="en-US"/>
              </w:rPr>
              <w:t>8</w:t>
            </w:r>
          </w:p>
        </w:tc>
        <w:tc>
          <w:tcPr>
            <w:tcW w:w="624" w:type="dxa"/>
          </w:tcPr>
          <w:p w14:paraId="7A24AE50" w14:textId="77777777" w:rsidR="00711444" w:rsidRPr="004D0DAA" w:rsidRDefault="00711444" w:rsidP="00AA2A4C">
            <w:pPr>
              <w:pStyle w:val="TAC"/>
              <w:rPr>
                <w:lang w:eastAsia="en-US"/>
              </w:rPr>
            </w:pPr>
            <w:r w:rsidRPr="004D0DAA">
              <w:rPr>
                <w:lang w:eastAsia="en-US"/>
              </w:rPr>
              <w:t>7</w:t>
            </w:r>
          </w:p>
        </w:tc>
        <w:tc>
          <w:tcPr>
            <w:tcW w:w="624" w:type="dxa"/>
          </w:tcPr>
          <w:p w14:paraId="6C402494" w14:textId="77777777" w:rsidR="00711444" w:rsidRPr="004D0DAA" w:rsidRDefault="00711444" w:rsidP="00AA2A4C">
            <w:pPr>
              <w:pStyle w:val="TAC"/>
              <w:rPr>
                <w:lang w:eastAsia="en-US"/>
              </w:rPr>
            </w:pPr>
            <w:r w:rsidRPr="004D0DAA">
              <w:rPr>
                <w:lang w:eastAsia="en-US"/>
              </w:rPr>
              <w:t>6</w:t>
            </w:r>
          </w:p>
        </w:tc>
        <w:tc>
          <w:tcPr>
            <w:tcW w:w="624" w:type="dxa"/>
          </w:tcPr>
          <w:p w14:paraId="73C822CC" w14:textId="77777777" w:rsidR="00711444" w:rsidRPr="004D0DAA" w:rsidRDefault="00711444" w:rsidP="00AA2A4C">
            <w:pPr>
              <w:pStyle w:val="TAC"/>
              <w:rPr>
                <w:lang w:eastAsia="en-US"/>
              </w:rPr>
            </w:pPr>
            <w:r w:rsidRPr="004D0DAA">
              <w:rPr>
                <w:lang w:eastAsia="en-US"/>
              </w:rPr>
              <w:t>5</w:t>
            </w:r>
          </w:p>
        </w:tc>
        <w:tc>
          <w:tcPr>
            <w:tcW w:w="624" w:type="dxa"/>
          </w:tcPr>
          <w:p w14:paraId="5FEBCEA3" w14:textId="77777777" w:rsidR="00711444" w:rsidRPr="004D0DAA" w:rsidRDefault="00711444" w:rsidP="00AA2A4C">
            <w:pPr>
              <w:pStyle w:val="TAC"/>
              <w:rPr>
                <w:lang w:eastAsia="en-US"/>
              </w:rPr>
            </w:pPr>
            <w:r w:rsidRPr="004D0DAA">
              <w:rPr>
                <w:lang w:eastAsia="en-US"/>
              </w:rPr>
              <w:t>4</w:t>
            </w:r>
          </w:p>
        </w:tc>
        <w:tc>
          <w:tcPr>
            <w:tcW w:w="624" w:type="dxa"/>
          </w:tcPr>
          <w:p w14:paraId="74633E05" w14:textId="77777777" w:rsidR="00711444" w:rsidRPr="004D0DAA" w:rsidRDefault="00711444" w:rsidP="00AA2A4C">
            <w:pPr>
              <w:pStyle w:val="TAC"/>
              <w:rPr>
                <w:lang w:eastAsia="en-US"/>
              </w:rPr>
            </w:pPr>
            <w:r w:rsidRPr="004D0DAA">
              <w:rPr>
                <w:lang w:eastAsia="en-US"/>
              </w:rPr>
              <w:t>3</w:t>
            </w:r>
          </w:p>
        </w:tc>
        <w:tc>
          <w:tcPr>
            <w:tcW w:w="624" w:type="dxa"/>
          </w:tcPr>
          <w:p w14:paraId="1E4F3ADB" w14:textId="77777777" w:rsidR="00711444" w:rsidRPr="004D0DAA" w:rsidRDefault="00711444" w:rsidP="00AA2A4C">
            <w:pPr>
              <w:pStyle w:val="TAC"/>
              <w:rPr>
                <w:lang w:eastAsia="en-US"/>
              </w:rPr>
            </w:pPr>
            <w:r w:rsidRPr="004D0DAA">
              <w:rPr>
                <w:lang w:eastAsia="en-US"/>
              </w:rPr>
              <w:t>2</w:t>
            </w:r>
          </w:p>
        </w:tc>
        <w:tc>
          <w:tcPr>
            <w:tcW w:w="624" w:type="dxa"/>
          </w:tcPr>
          <w:p w14:paraId="6091B2E8" w14:textId="77777777" w:rsidR="00711444" w:rsidRPr="004D0DAA" w:rsidRDefault="00711444" w:rsidP="00AA2A4C">
            <w:pPr>
              <w:pStyle w:val="TAC"/>
              <w:rPr>
                <w:lang w:eastAsia="en-US"/>
              </w:rPr>
            </w:pPr>
            <w:r w:rsidRPr="004D0DAA">
              <w:rPr>
                <w:lang w:eastAsia="en-US"/>
              </w:rPr>
              <w:t>1</w:t>
            </w:r>
          </w:p>
        </w:tc>
        <w:tc>
          <w:tcPr>
            <w:tcW w:w="1701" w:type="dxa"/>
          </w:tcPr>
          <w:p w14:paraId="508955D5" w14:textId="77777777" w:rsidR="00711444" w:rsidRPr="004D0DAA" w:rsidRDefault="00711444" w:rsidP="00AA2A4C"/>
        </w:tc>
        <w:tc>
          <w:tcPr>
            <w:tcW w:w="1567" w:type="dxa"/>
            <w:tcBorders>
              <w:left w:val="single" w:sz="6" w:space="0" w:color="auto"/>
              <w:right w:val="single" w:sz="6" w:space="0" w:color="auto"/>
            </w:tcBorders>
          </w:tcPr>
          <w:p w14:paraId="3FAEA744" w14:textId="77777777" w:rsidR="00711444" w:rsidRPr="004D0DAA" w:rsidRDefault="00711444" w:rsidP="00AA2A4C">
            <w:pPr>
              <w:pStyle w:val="TAC"/>
              <w:rPr>
                <w:lang w:eastAsia="en-US"/>
              </w:rPr>
            </w:pPr>
          </w:p>
        </w:tc>
      </w:tr>
      <w:tr w:rsidR="00711444" w:rsidRPr="004D0DAA" w14:paraId="22D4BA01"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6A4E314F"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54C69D88"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62965195"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3BC49F8A" w14:textId="77777777" w:rsidR="00711444" w:rsidRPr="004D0DAA" w:rsidRDefault="00711444" w:rsidP="00AA2A4C"/>
        </w:tc>
        <w:tc>
          <w:tcPr>
            <w:tcW w:w="624" w:type="dxa"/>
            <w:tcBorders>
              <w:top w:val="single" w:sz="6" w:space="0" w:color="auto"/>
              <w:bottom w:val="single" w:sz="6" w:space="0" w:color="auto"/>
            </w:tcBorders>
          </w:tcPr>
          <w:p w14:paraId="012945E2"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276A8CED" w14:textId="77777777" w:rsidR="00711444" w:rsidRPr="004D0DAA" w:rsidRDefault="00711444" w:rsidP="00AA2A4C"/>
        </w:tc>
        <w:tc>
          <w:tcPr>
            <w:tcW w:w="1701" w:type="dxa"/>
          </w:tcPr>
          <w:p w14:paraId="3DAD1ED0"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3583F82E" w14:textId="77777777" w:rsidR="00711444" w:rsidRPr="004D0DAA" w:rsidRDefault="00711444" w:rsidP="00AA2A4C">
            <w:pPr>
              <w:pStyle w:val="TAC"/>
              <w:rPr>
                <w:lang w:eastAsia="en-US"/>
              </w:rPr>
            </w:pPr>
          </w:p>
        </w:tc>
      </w:tr>
      <w:tr w:rsidR="00711444" w:rsidRPr="004D0DAA" w14:paraId="2D0A36DA"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55F0822B" w14:textId="77777777" w:rsidR="00711444" w:rsidRPr="004D0DAA" w:rsidRDefault="00711444" w:rsidP="00AA2A4C"/>
        </w:tc>
        <w:tc>
          <w:tcPr>
            <w:tcW w:w="624" w:type="dxa"/>
            <w:tcBorders>
              <w:top w:val="single" w:sz="6" w:space="0" w:color="auto"/>
            </w:tcBorders>
          </w:tcPr>
          <w:p w14:paraId="06BE823E" w14:textId="77777777" w:rsidR="00711444" w:rsidRPr="004D0DAA" w:rsidRDefault="00711444" w:rsidP="00AA2A4C"/>
        </w:tc>
        <w:tc>
          <w:tcPr>
            <w:tcW w:w="624" w:type="dxa"/>
            <w:tcBorders>
              <w:top w:val="single" w:sz="6" w:space="0" w:color="auto"/>
            </w:tcBorders>
          </w:tcPr>
          <w:p w14:paraId="55973719" w14:textId="77777777" w:rsidR="00711444" w:rsidRPr="004D0DAA" w:rsidRDefault="00711444" w:rsidP="00AA2A4C"/>
        </w:tc>
        <w:tc>
          <w:tcPr>
            <w:tcW w:w="624" w:type="dxa"/>
            <w:tcBorders>
              <w:top w:val="single" w:sz="6" w:space="0" w:color="auto"/>
            </w:tcBorders>
          </w:tcPr>
          <w:p w14:paraId="2529AB3A"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tcBorders>
          </w:tcPr>
          <w:p w14:paraId="4A9A8E30" w14:textId="77777777" w:rsidR="00711444" w:rsidRPr="004D0DAA" w:rsidRDefault="00711444" w:rsidP="00AA2A4C"/>
        </w:tc>
        <w:tc>
          <w:tcPr>
            <w:tcW w:w="624" w:type="dxa"/>
            <w:tcBorders>
              <w:top w:val="single" w:sz="6" w:space="0" w:color="auto"/>
            </w:tcBorders>
          </w:tcPr>
          <w:p w14:paraId="264D912B"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08C6EE46" w14:textId="77777777" w:rsidR="00711444" w:rsidRPr="004D0DAA" w:rsidRDefault="00711444" w:rsidP="00AA2A4C"/>
        </w:tc>
        <w:tc>
          <w:tcPr>
            <w:tcW w:w="624" w:type="dxa"/>
            <w:tcBorders>
              <w:top w:val="single" w:sz="6" w:space="0" w:color="auto"/>
              <w:right w:val="single" w:sz="6" w:space="0" w:color="auto"/>
            </w:tcBorders>
          </w:tcPr>
          <w:p w14:paraId="52AFAA20" w14:textId="77777777" w:rsidR="00711444" w:rsidRPr="004D0DAA" w:rsidRDefault="00711444" w:rsidP="00AA2A4C">
            <w:pPr>
              <w:pStyle w:val="TAC"/>
              <w:rPr>
                <w:lang w:eastAsia="en-US"/>
              </w:rPr>
            </w:pPr>
            <w:r w:rsidRPr="004D0DAA">
              <w:rPr>
                <w:lang w:eastAsia="en-US"/>
              </w:rPr>
              <w:t>FBI</w:t>
            </w:r>
          </w:p>
        </w:tc>
        <w:tc>
          <w:tcPr>
            <w:tcW w:w="1701" w:type="dxa"/>
          </w:tcPr>
          <w:p w14:paraId="381E7E65"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04E3AA55" w14:textId="77777777" w:rsidR="00711444" w:rsidRPr="004D0DAA" w:rsidRDefault="00711444" w:rsidP="00AA2A4C">
            <w:pPr>
              <w:pStyle w:val="TAC"/>
              <w:rPr>
                <w:lang w:eastAsia="en-US"/>
              </w:rPr>
            </w:pPr>
          </w:p>
        </w:tc>
      </w:tr>
      <w:tr w:rsidR="00711444" w:rsidRPr="004D0DAA" w14:paraId="0D2BCD43"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7BE716F8" w14:textId="77777777" w:rsidR="00711444" w:rsidRPr="004D0DAA" w:rsidRDefault="00711444" w:rsidP="00AA2A4C"/>
        </w:tc>
        <w:tc>
          <w:tcPr>
            <w:tcW w:w="624" w:type="dxa"/>
            <w:tcBorders>
              <w:top w:val="single" w:sz="6" w:space="0" w:color="auto"/>
            </w:tcBorders>
          </w:tcPr>
          <w:p w14:paraId="6B6916C3" w14:textId="77777777" w:rsidR="00711444" w:rsidRPr="004D0DAA" w:rsidRDefault="00711444" w:rsidP="00AA2A4C"/>
        </w:tc>
        <w:tc>
          <w:tcPr>
            <w:tcW w:w="624" w:type="dxa"/>
            <w:tcBorders>
              <w:top w:val="single" w:sz="6" w:space="0" w:color="auto"/>
            </w:tcBorders>
          </w:tcPr>
          <w:p w14:paraId="399B1B9E" w14:textId="77777777" w:rsidR="00711444" w:rsidRPr="004D0DAA" w:rsidRDefault="00711444" w:rsidP="00AA2A4C"/>
        </w:tc>
        <w:tc>
          <w:tcPr>
            <w:tcW w:w="624" w:type="dxa"/>
            <w:tcBorders>
              <w:top w:val="single" w:sz="6" w:space="0" w:color="auto"/>
            </w:tcBorders>
          </w:tcPr>
          <w:p w14:paraId="0E7F6214"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47E25F66" w14:textId="77777777" w:rsidR="00711444" w:rsidRPr="004D0DAA" w:rsidRDefault="00711444" w:rsidP="00AA2A4C"/>
        </w:tc>
        <w:tc>
          <w:tcPr>
            <w:tcW w:w="624" w:type="dxa"/>
            <w:tcBorders>
              <w:top w:val="single" w:sz="6" w:space="0" w:color="auto"/>
            </w:tcBorders>
          </w:tcPr>
          <w:p w14:paraId="5272A67E"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136A12D5"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67612DCC" w14:textId="77777777" w:rsidR="00711444" w:rsidRPr="004D0DAA" w:rsidRDefault="00711444" w:rsidP="00AA2A4C">
            <w:pPr>
              <w:pStyle w:val="TAC"/>
              <w:rPr>
                <w:lang w:eastAsia="en-US"/>
              </w:rPr>
            </w:pPr>
            <w:r w:rsidRPr="004D0DAA">
              <w:rPr>
                <w:lang w:eastAsia="en-US"/>
              </w:rPr>
              <w:t>E = 0</w:t>
            </w:r>
          </w:p>
        </w:tc>
        <w:tc>
          <w:tcPr>
            <w:tcW w:w="1701" w:type="dxa"/>
          </w:tcPr>
          <w:p w14:paraId="1626E2B3"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6CD39C9B" w14:textId="77777777" w:rsidR="00711444" w:rsidRPr="004D0DAA" w:rsidRDefault="00711444" w:rsidP="00AA2A4C">
            <w:pPr>
              <w:pStyle w:val="TAC"/>
              <w:rPr>
                <w:lang w:eastAsia="en-US"/>
              </w:rPr>
            </w:pPr>
          </w:p>
        </w:tc>
      </w:tr>
      <w:tr w:rsidR="00711444" w:rsidRPr="004D0DAA" w14:paraId="3F37F6B1" w14:textId="77777777" w:rsidTr="00AA2A4C">
        <w:tblPrEx>
          <w:tblCellMar>
            <w:top w:w="0" w:type="dxa"/>
            <w:bottom w:w="0" w:type="dxa"/>
          </w:tblCellMar>
        </w:tblPrEx>
        <w:trPr>
          <w:cantSplit/>
        </w:trPr>
        <w:tc>
          <w:tcPr>
            <w:tcW w:w="3744" w:type="dxa"/>
            <w:gridSpan w:val="6"/>
            <w:tcBorders>
              <w:top w:val="single" w:sz="6" w:space="0" w:color="auto"/>
              <w:left w:val="single" w:sz="6" w:space="0" w:color="auto"/>
              <w:bottom w:val="single" w:sz="6" w:space="0" w:color="auto"/>
            </w:tcBorders>
          </w:tcPr>
          <w:p w14:paraId="646E4CFE" w14:textId="77777777" w:rsidR="00711444" w:rsidRPr="004D0DAA" w:rsidRDefault="00711444" w:rsidP="00AA2A4C">
            <w:pPr>
              <w:pStyle w:val="TAC"/>
              <w:rPr>
                <w:lang w:eastAsia="en-US"/>
              </w:rPr>
            </w:pPr>
            <w:r w:rsidRPr="004D0DAA">
              <w:rPr>
                <w:lang w:eastAsia="en-US"/>
              </w:rPr>
              <w:t>Length indicator = 1</w:t>
            </w:r>
          </w:p>
        </w:tc>
        <w:tc>
          <w:tcPr>
            <w:tcW w:w="624" w:type="dxa"/>
            <w:tcBorders>
              <w:top w:val="single" w:sz="6" w:space="0" w:color="auto"/>
              <w:left w:val="single" w:sz="6" w:space="0" w:color="auto"/>
              <w:bottom w:val="single" w:sz="6" w:space="0" w:color="auto"/>
              <w:right w:val="single" w:sz="6" w:space="0" w:color="auto"/>
            </w:tcBorders>
          </w:tcPr>
          <w:p w14:paraId="768C9B50" w14:textId="77777777" w:rsidR="00711444" w:rsidRPr="004D0DAA" w:rsidRDefault="00711444" w:rsidP="00AA2A4C">
            <w:pPr>
              <w:pStyle w:val="TAC"/>
              <w:rPr>
                <w:lang w:eastAsia="en-US"/>
              </w:rPr>
            </w:pPr>
            <w:r w:rsidRPr="004D0DAA">
              <w:rPr>
                <w:lang w:eastAsia="en-US"/>
              </w:rPr>
              <w:t>M = 1</w:t>
            </w:r>
          </w:p>
        </w:tc>
        <w:tc>
          <w:tcPr>
            <w:tcW w:w="624" w:type="dxa"/>
            <w:tcBorders>
              <w:top w:val="single" w:sz="6" w:space="0" w:color="auto"/>
              <w:left w:val="single" w:sz="6" w:space="0" w:color="auto"/>
              <w:bottom w:val="single" w:sz="6" w:space="0" w:color="auto"/>
              <w:right w:val="single" w:sz="6" w:space="0" w:color="auto"/>
            </w:tcBorders>
          </w:tcPr>
          <w:p w14:paraId="0B2F539D"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31A751C7" w14:textId="77777777" w:rsidR="00711444" w:rsidRPr="004D0DAA" w:rsidRDefault="00711444" w:rsidP="00AA2A4C">
            <w:pPr>
              <w:pStyle w:val="TAC"/>
              <w:rPr>
                <w:lang w:eastAsia="en-US"/>
              </w:rPr>
            </w:pPr>
            <w:r w:rsidRPr="004D0DAA">
              <w:rPr>
                <w:lang w:eastAsia="en-US"/>
              </w:rPr>
              <w:t>Octet 3 (optional)</w:t>
            </w:r>
          </w:p>
        </w:tc>
        <w:tc>
          <w:tcPr>
            <w:tcW w:w="1567" w:type="dxa"/>
            <w:tcBorders>
              <w:left w:val="single" w:sz="6" w:space="0" w:color="auto"/>
              <w:right w:val="single" w:sz="6" w:space="0" w:color="auto"/>
            </w:tcBorders>
          </w:tcPr>
          <w:p w14:paraId="7AF90B6B" w14:textId="77777777" w:rsidR="00711444" w:rsidRPr="004D0DAA" w:rsidRDefault="00711444" w:rsidP="00AA2A4C">
            <w:pPr>
              <w:pStyle w:val="TAC"/>
              <w:rPr>
                <w:lang w:eastAsia="en-US"/>
              </w:rPr>
            </w:pPr>
          </w:p>
        </w:tc>
      </w:tr>
      <w:tr w:rsidR="00711444" w:rsidRPr="004D0DAA" w14:paraId="1DBBADCF" w14:textId="77777777" w:rsidTr="00AA2A4C">
        <w:tblPrEx>
          <w:tblCellMar>
            <w:top w:w="0" w:type="dxa"/>
            <w:bottom w:w="0" w:type="dxa"/>
          </w:tblCellMar>
        </w:tblPrEx>
        <w:trPr>
          <w:cantSplit/>
        </w:trPr>
        <w:tc>
          <w:tcPr>
            <w:tcW w:w="4992" w:type="dxa"/>
            <w:gridSpan w:val="8"/>
            <w:tcBorders>
              <w:left w:val="single" w:sz="6" w:space="0" w:color="auto"/>
              <w:bottom w:val="single" w:sz="6" w:space="0" w:color="auto"/>
              <w:right w:val="single" w:sz="6" w:space="0" w:color="auto"/>
            </w:tcBorders>
          </w:tcPr>
          <w:p w14:paraId="60FFB0A7" w14:textId="77777777" w:rsidR="00711444" w:rsidRPr="004D0DAA" w:rsidRDefault="00711444" w:rsidP="00AA2A4C">
            <w:pPr>
              <w:pStyle w:val="TAC"/>
              <w:rPr>
                <w:lang w:eastAsia="en-US"/>
              </w:rPr>
            </w:pPr>
            <w:r w:rsidRPr="004D0DAA">
              <w:rPr>
                <w:lang w:eastAsia="en-US"/>
              </w:rPr>
              <w:t>LLC PDU 1 (cont)</w:t>
            </w:r>
          </w:p>
        </w:tc>
        <w:tc>
          <w:tcPr>
            <w:tcW w:w="1701" w:type="dxa"/>
          </w:tcPr>
          <w:p w14:paraId="4C28D407"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bottom w:val="single" w:sz="6" w:space="0" w:color="auto"/>
              <w:right w:val="single" w:sz="6" w:space="0" w:color="auto"/>
            </w:tcBorders>
          </w:tcPr>
          <w:p w14:paraId="555AF6D2" w14:textId="77777777" w:rsidR="00711444" w:rsidRPr="004D0DAA" w:rsidRDefault="00711444" w:rsidP="00AA2A4C">
            <w:pPr>
              <w:pStyle w:val="TAC"/>
              <w:rPr>
                <w:lang w:eastAsia="en-US"/>
              </w:rPr>
            </w:pPr>
          </w:p>
        </w:tc>
      </w:tr>
      <w:tr w:rsidR="00711444" w:rsidRPr="004D0DAA" w14:paraId="662A3092"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440797AB" w14:textId="77777777" w:rsidR="00711444" w:rsidRPr="004D0DAA" w:rsidRDefault="00711444" w:rsidP="00AA2A4C">
            <w:pPr>
              <w:pStyle w:val="TAC"/>
              <w:rPr>
                <w:lang w:eastAsia="en-US"/>
              </w:rPr>
            </w:pPr>
            <w:r w:rsidRPr="004D0DAA">
              <w:rPr>
                <w:lang w:eastAsia="en-US"/>
              </w:rPr>
              <w:br/>
              <w:t>LLC PDU 2</w:t>
            </w:r>
          </w:p>
        </w:tc>
        <w:tc>
          <w:tcPr>
            <w:tcW w:w="1701" w:type="dxa"/>
          </w:tcPr>
          <w:p w14:paraId="7252612C" w14:textId="77777777" w:rsidR="00711444" w:rsidRPr="004D0DAA" w:rsidRDefault="00711444" w:rsidP="00AA2A4C">
            <w:pPr>
              <w:pStyle w:val="TAC"/>
              <w:rPr>
                <w:lang w:eastAsia="en-US"/>
              </w:rPr>
            </w:pPr>
            <w:r w:rsidRPr="004D0DAA">
              <w:rPr>
                <w:lang w:eastAsia="en-US"/>
              </w:rPr>
              <w:t>.</w:t>
            </w:r>
          </w:p>
          <w:p w14:paraId="5D66BDF5" w14:textId="77777777" w:rsidR="00711444" w:rsidRPr="004D0DAA" w:rsidRDefault="00711444" w:rsidP="00AA2A4C">
            <w:pPr>
              <w:pStyle w:val="TAC"/>
              <w:rPr>
                <w:lang w:eastAsia="en-US"/>
              </w:rPr>
            </w:pPr>
            <w:r w:rsidRPr="004D0DAA">
              <w:rPr>
                <w:lang w:eastAsia="en-US"/>
              </w:rPr>
              <w:t>.</w:t>
            </w:r>
          </w:p>
          <w:p w14:paraId="49924C46"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0C850554" w14:textId="77777777" w:rsidR="00711444" w:rsidRPr="004D0DAA" w:rsidRDefault="00711444" w:rsidP="00AA2A4C">
            <w:pPr>
              <w:pStyle w:val="TAC"/>
              <w:rPr>
                <w:lang w:eastAsia="en-US"/>
              </w:rPr>
            </w:pPr>
            <w:r w:rsidRPr="004D0DAA">
              <w:rPr>
                <w:lang w:eastAsia="en-US"/>
              </w:rPr>
              <w:br/>
              <w:t>LLC PDU 2</w:t>
            </w:r>
          </w:p>
        </w:tc>
      </w:tr>
      <w:tr w:rsidR="00711444" w:rsidRPr="004D0DAA" w14:paraId="4C1E153B" w14:textId="77777777" w:rsidTr="00AA2A4C">
        <w:tblPrEx>
          <w:tblCellMar>
            <w:top w:w="0" w:type="dxa"/>
            <w:bottom w:w="0" w:type="dxa"/>
          </w:tblCellMar>
        </w:tblPrEx>
        <w:trPr>
          <w:cantSplit/>
        </w:trPr>
        <w:tc>
          <w:tcPr>
            <w:tcW w:w="624" w:type="dxa"/>
            <w:tcBorders>
              <w:left w:val="single" w:sz="6" w:space="0" w:color="auto"/>
              <w:bottom w:val="single" w:sz="4" w:space="0" w:color="auto"/>
            </w:tcBorders>
          </w:tcPr>
          <w:p w14:paraId="7B962EB2" w14:textId="77777777" w:rsidR="00711444" w:rsidRPr="004D0DAA" w:rsidRDefault="00711444" w:rsidP="00AA2A4C"/>
        </w:tc>
        <w:tc>
          <w:tcPr>
            <w:tcW w:w="624" w:type="dxa"/>
            <w:tcBorders>
              <w:bottom w:val="single" w:sz="4" w:space="0" w:color="auto"/>
            </w:tcBorders>
          </w:tcPr>
          <w:p w14:paraId="4B8A64D0" w14:textId="77777777" w:rsidR="00711444" w:rsidRPr="004D0DAA" w:rsidRDefault="00711444" w:rsidP="00AA2A4C"/>
        </w:tc>
        <w:tc>
          <w:tcPr>
            <w:tcW w:w="624" w:type="dxa"/>
            <w:tcBorders>
              <w:bottom w:val="single" w:sz="4" w:space="0" w:color="auto"/>
            </w:tcBorders>
          </w:tcPr>
          <w:p w14:paraId="174A6D09" w14:textId="77777777" w:rsidR="00711444" w:rsidRPr="004D0DAA" w:rsidRDefault="00711444" w:rsidP="00AA2A4C"/>
        </w:tc>
        <w:tc>
          <w:tcPr>
            <w:tcW w:w="624" w:type="dxa"/>
            <w:tcBorders>
              <w:bottom w:val="single" w:sz="4" w:space="0" w:color="auto"/>
            </w:tcBorders>
          </w:tcPr>
          <w:p w14:paraId="1D45B435" w14:textId="77777777" w:rsidR="00711444" w:rsidRPr="004D0DAA" w:rsidRDefault="00711444" w:rsidP="00AA2A4C"/>
        </w:tc>
        <w:tc>
          <w:tcPr>
            <w:tcW w:w="624" w:type="dxa"/>
            <w:tcBorders>
              <w:bottom w:val="single" w:sz="4" w:space="0" w:color="auto"/>
            </w:tcBorders>
          </w:tcPr>
          <w:p w14:paraId="161F291A" w14:textId="77777777" w:rsidR="00711444" w:rsidRPr="004D0DAA" w:rsidRDefault="00711444" w:rsidP="00AA2A4C"/>
        </w:tc>
        <w:tc>
          <w:tcPr>
            <w:tcW w:w="624" w:type="dxa"/>
            <w:tcBorders>
              <w:bottom w:val="single" w:sz="4" w:space="0" w:color="auto"/>
            </w:tcBorders>
          </w:tcPr>
          <w:p w14:paraId="447887BD" w14:textId="77777777" w:rsidR="00711444" w:rsidRPr="004D0DAA" w:rsidRDefault="00711444" w:rsidP="00AA2A4C"/>
        </w:tc>
        <w:tc>
          <w:tcPr>
            <w:tcW w:w="624" w:type="dxa"/>
            <w:tcBorders>
              <w:bottom w:val="single" w:sz="4" w:space="0" w:color="auto"/>
            </w:tcBorders>
          </w:tcPr>
          <w:p w14:paraId="5EFC2777" w14:textId="77777777" w:rsidR="00711444" w:rsidRPr="004D0DAA" w:rsidRDefault="00711444" w:rsidP="00AA2A4C"/>
        </w:tc>
        <w:tc>
          <w:tcPr>
            <w:tcW w:w="624" w:type="dxa"/>
            <w:tcBorders>
              <w:bottom w:val="single" w:sz="4" w:space="0" w:color="auto"/>
              <w:right w:val="single" w:sz="6" w:space="0" w:color="auto"/>
            </w:tcBorders>
          </w:tcPr>
          <w:p w14:paraId="0A82D6DA" w14:textId="77777777" w:rsidR="00711444" w:rsidRPr="004D0DAA" w:rsidRDefault="00711444" w:rsidP="00AA2A4C"/>
        </w:tc>
        <w:tc>
          <w:tcPr>
            <w:tcW w:w="1701" w:type="dxa"/>
          </w:tcPr>
          <w:p w14:paraId="58791BC5"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392B45B5" w14:textId="77777777" w:rsidR="00711444" w:rsidRPr="004D0DAA" w:rsidRDefault="00711444" w:rsidP="00AA2A4C">
            <w:pPr>
              <w:pStyle w:val="TAC"/>
              <w:rPr>
                <w:lang w:eastAsia="en-US"/>
              </w:rPr>
            </w:pPr>
          </w:p>
        </w:tc>
      </w:tr>
    </w:tbl>
    <w:p w14:paraId="39216887" w14:textId="77777777" w:rsidR="00711444" w:rsidRPr="004D0DAA" w:rsidRDefault="00711444" w:rsidP="00711444">
      <w:pPr>
        <w:pStyle w:val="TAC"/>
      </w:pPr>
    </w:p>
    <w:p w14:paraId="51B3D2B1" w14:textId="77777777" w:rsidR="00711444" w:rsidRPr="004D0DAA" w:rsidRDefault="00711444" w:rsidP="00711444">
      <w:pPr>
        <w:pStyle w:val="TF"/>
      </w:pPr>
      <w:r w:rsidRPr="004D0DAA">
        <w:t>Figure B.2: Length indicator (LI) example</w:t>
      </w:r>
    </w:p>
    <w:p w14:paraId="7AA6AD5C" w14:textId="77777777" w:rsidR="00711444" w:rsidRPr="004D0DAA" w:rsidRDefault="00711444" w:rsidP="00711444">
      <w:pPr>
        <w:pStyle w:val="Heading2"/>
      </w:pPr>
      <w:bookmarkStart w:id="883" w:name="_Toc516670056"/>
      <w:r w:rsidRPr="004D0DAA">
        <w:t>B.3</w:t>
      </w:r>
      <w:r w:rsidRPr="004D0DAA">
        <w:tab/>
        <w:t>Example 3</w:t>
      </w:r>
      <w:bookmarkEnd w:id="883"/>
    </w:p>
    <w:p w14:paraId="67559330" w14:textId="77777777" w:rsidR="00711444" w:rsidRPr="004D0DAA" w:rsidRDefault="00711444" w:rsidP="00711444">
      <w:r w:rsidRPr="004D0DAA">
        <w:t>Figure B.3 provides an example of the use of the Length indicator when the end of an LLC PDU fits precisely into an RLC data block. In the example, LLC PDU 1 continues from a previous RLC data block and ends in the RLC data block shown. LLC PDU 2 follows LLC PDU 1 and fills precisely the RLC data block shown.</w:t>
      </w:r>
    </w:p>
    <w:tbl>
      <w:tblPr>
        <w:tblW w:w="0" w:type="auto"/>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438B7583" w14:textId="77777777" w:rsidTr="00AA2A4C">
        <w:tblPrEx>
          <w:tblCellMar>
            <w:top w:w="0" w:type="dxa"/>
            <w:bottom w:w="0" w:type="dxa"/>
          </w:tblCellMar>
        </w:tblPrEx>
        <w:trPr>
          <w:cantSplit/>
        </w:trPr>
        <w:tc>
          <w:tcPr>
            <w:tcW w:w="5239" w:type="dxa"/>
            <w:gridSpan w:val="8"/>
          </w:tcPr>
          <w:p w14:paraId="58FC8083" w14:textId="77777777" w:rsidR="00711444" w:rsidRPr="004D0DAA" w:rsidRDefault="00711444" w:rsidP="00AA2A4C">
            <w:pPr>
              <w:pStyle w:val="TAC"/>
              <w:rPr>
                <w:lang w:eastAsia="en-US"/>
              </w:rPr>
            </w:pPr>
            <w:r w:rsidRPr="004D0DAA">
              <w:rPr>
                <w:lang w:eastAsia="en-US"/>
              </w:rPr>
              <w:t>Bit</w:t>
            </w:r>
          </w:p>
        </w:tc>
        <w:tc>
          <w:tcPr>
            <w:tcW w:w="1701" w:type="dxa"/>
          </w:tcPr>
          <w:p w14:paraId="69DB06E4" w14:textId="77777777" w:rsidR="00711444" w:rsidRPr="004D0DAA" w:rsidRDefault="00711444" w:rsidP="00AA2A4C"/>
        </w:tc>
        <w:tc>
          <w:tcPr>
            <w:tcW w:w="1567" w:type="dxa"/>
            <w:tcBorders>
              <w:left w:val="single" w:sz="6" w:space="0" w:color="auto"/>
              <w:right w:val="single" w:sz="6" w:space="0" w:color="auto"/>
            </w:tcBorders>
          </w:tcPr>
          <w:p w14:paraId="12A448D9" w14:textId="77777777" w:rsidR="00711444" w:rsidRPr="004D0DAA" w:rsidRDefault="00711444" w:rsidP="00AA2A4C">
            <w:pPr>
              <w:pStyle w:val="TAC"/>
              <w:rPr>
                <w:lang w:eastAsia="en-US"/>
              </w:rPr>
            </w:pPr>
          </w:p>
        </w:tc>
      </w:tr>
      <w:tr w:rsidR="00711444" w:rsidRPr="004D0DAA" w14:paraId="7EA1306C" w14:textId="77777777" w:rsidTr="00AA2A4C">
        <w:tblPrEx>
          <w:tblCellMar>
            <w:top w:w="0" w:type="dxa"/>
            <w:bottom w:w="0" w:type="dxa"/>
          </w:tblCellMar>
        </w:tblPrEx>
        <w:trPr>
          <w:cantSplit/>
        </w:trPr>
        <w:tc>
          <w:tcPr>
            <w:tcW w:w="871" w:type="dxa"/>
          </w:tcPr>
          <w:p w14:paraId="582803C5" w14:textId="77777777" w:rsidR="00711444" w:rsidRPr="004D0DAA" w:rsidRDefault="00711444" w:rsidP="00AA2A4C">
            <w:pPr>
              <w:pStyle w:val="TAC"/>
              <w:rPr>
                <w:lang w:eastAsia="en-US"/>
              </w:rPr>
            </w:pPr>
            <w:r w:rsidRPr="004D0DAA">
              <w:rPr>
                <w:lang w:eastAsia="en-US"/>
              </w:rPr>
              <w:t>8</w:t>
            </w:r>
          </w:p>
        </w:tc>
        <w:tc>
          <w:tcPr>
            <w:tcW w:w="624" w:type="dxa"/>
          </w:tcPr>
          <w:p w14:paraId="12258CF6" w14:textId="77777777" w:rsidR="00711444" w:rsidRPr="004D0DAA" w:rsidRDefault="00711444" w:rsidP="00AA2A4C">
            <w:pPr>
              <w:pStyle w:val="TAC"/>
              <w:rPr>
                <w:lang w:eastAsia="en-US"/>
              </w:rPr>
            </w:pPr>
            <w:r w:rsidRPr="004D0DAA">
              <w:rPr>
                <w:lang w:eastAsia="en-US"/>
              </w:rPr>
              <w:t>7</w:t>
            </w:r>
          </w:p>
        </w:tc>
        <w:tc>
          <w:tcPr>
            <w:tcW w:w="624" w:type="dxa"/>
          </w:tcPr>
          <w:p w14:paraId="459D7E87" w14:textId="77777777" w:rsidR="00711444" w:rsidRPr="004D0DAA" w:rsidRDefault="00711444" w:rsidP="00AA2A4C">
            <w:pPr>
              <w:pStyle w:val="TAC"/>
              <w:rPr>
                <w:lang w:eastAsia="en-US"/>
              </w:rPr>
            </w:pPr>
            <w:r w:rsidRPr="004D0DAA">
              <w:rPr>
                <w:lang w:eastAsia="en-US"/>
              </w:rPr>
              <w:t>6</w:t>
            </w:r>
          </w:p>
        </w:tc>
        <w:tc>
          <w:tcPr>
            <w:tcW w:w="624" w:type="dxa"/>
          </w:tcPr>
          <w:p w14:paraId="460BCD9F" w14:textId="77777777" w:rsidR="00711444" w:rsidRPr="004D0DAA" w:rsidRDefault="00711444" w:rsidP="00AA2A4C">
            <w:pPr>
              <w:pStyle w:val="TAC"/>
              <w:rPr>
                <w:lang w:eastAsia="en-US"/>
              </w:rPr>
            </w:pPr>
            <w:r w:rsidRPr="004D0DAA">
              <w:rPr>
                <w:lang w:eastAsia="en-US"/>
              </w:rPr>
              <w:t>5</w:t>
            </w:r>
          </w:p>
        </w:tc>
        <w:tc>
          <w:tcPr>
            <w:tcW w:w="624" w:type="dxa"/>
          </w:tcPr>
          <w:p w14:paraId="4DDC18AA" w14:textId="77777777" w:rsidR="00711444" w:rsidRPr="004D0DAA" w:rsidRDefault="00711444" w:rsidP="00AA2A4C">
            <w:pPr>
              <w:pStyle w:val="TAC"/>
              <w:rPr>
                <w:lang w:eastAsia="en-US"/>
              </w:rPr>
            </w:pPr>
            <w:r w:rsidRPr="004D0DAA">
              <w:rPr>
                <w:lang w:eastAsia="en-US"/>
              </w:rPr>
              <w:t>4</w:t>
            </w:r>
          </w:p>
        </w:tc>
        <w:tc>
          <w:tcPr>
            <w:tcW w:w="624" w:type="dxa"/>
          </w:tcPr>
          <w:p w14:paraId="0FAB0BAD" w14:textId="77777777" w:rsidR="00711444" w:rsidRPr="004D0DAA" w:rsidRDefault="00711444" w:rsidP="00AA2A4C">
            <w:pPr>
              <w:pStyle w:val="TAC"/>
              <w:rPr>
                <w:lang w:eastAsia="en-US"/>
              </w:rPr>
            </w:pPr>
            <w:r w:rsidRPr="004D0DAA">
              <w:rPr>
                <w:lang w:eastAsia="en-US"/>
              </w:rPr>
              <w:t>3</w:t>
            </w:r>
          </w:p>
        </w:tc>
        <w:tc>
          <w:tcPr>
            <w:tcW w:w="624" w:type="dxa"/>
          </w:tcPr>
          <w:p w14:paraId="2FEB9E20" w14:textId="77777777" w:rsidR="00711444" w:rsidRPr="004D0DAA" w:rsidRDefault="00711444" w:rsidP="00AA2A4C">
            <w:pPr>
              <w:pStyle w:val="TAC"/>
              <w:rPr>
                <w:lang w:eastAsia="en-US"/>
              </w:rPr>
            </w:pPr>
            <w:r w:rsidRPr="004D0DAA">
              <w:rPr>
                <w:lang w:eastAsia="en-US"/>
              </w:rPr>
              <w:t>2</w:t>
            </w:r>
          </w:p>
        </w:tc>
        <w:tc>
          <w:tcPr>
            <w:tcW w:w="624" w:type="dxa"/>
          </w:tcPr>
          <w:p w14:paraId="7D1E06E4" w14:textId="77777777" w:rsidR="00711444" w:rsidRPr="004D0DAA" w:rsidRDefault="00711444" w:rsidP="00AA2A4C">
            <w:pPr>
              <w:pStyle w:val="TAC"/>
              <w:rPr>
                <w:lang w:eastAsia="en-US"/>
              </w:rPr>
            </w:pPr>
            <w:r w:rsidRPr="004D0DAA">
              <w:rPr>
                <w:lang w:eastAsia="en-US"/>
              </w:rPr>
              <w:t>1</w:t>
            </w:r>
          </w:p>
        </w:tc>
        <w:tc>
          <w:tcPr>
            <w:tcW w:w="1701" w:type="dxa"/>
          </w:tcPr>
          <w:p w14:paraId="03FB4DCC" w14:textId="77777777" w:rsidR="00711444" w:rsidRPr="004D0DAA" w:rsidRDefault="00711444" w:rsidP="00AA2A4C"/>
        </w:tc>
        <w:tc>
          <w:tcPr>
            <w:tcW w:w="1567" w:type="dxa"/>
            <w:tcBorders>
              <w:left w:val="single" w:sz="6" w:space="0" w:color="auto"/>
              <w:right w:val="single" w:sz="6" w:space="0" w:color="auto"/>
            </w:tcBorders>
          </w:tcPr>
          <w:p w14:paraId="5AE42D0D" w14:textId="77777777" w:rsidR="00711444" w:rsidRPr="004D0DAA" w:rsidRDefault="00711444" w:rsidP="00AA2A4C">
            <w:pPr>
              <w:pStyle w:val="TAC"/>
              <w:rPr>
                <w:lang w:eastAsia="en-US"/>
              </w:rPr>
            </w:pPr>
          </w:p>
        </w:tc>
      </w:tr>
      <w:tr w:rsidR="00711444" w:rsidRPr="004D0DAA" w14:paraId="44139800"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08CBA43C"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07685529"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4897C4AF"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01614FA9" w14:textId="77777777" w:rsidR="00711444" w:rsidRPr="004D0DAA" w:rsidRDefault="00711444" w:rsidP="00AA2A4C"/>
        </w:tc>
        <w:tc>
          <w:tcPr>
            <w:tcW w:w="624" w:type="dxa"/>
            <w:tcBorders>
              <w:top w:val="single" w:sz="6" w:space="0" w:color="auto"/>
              <w:bottom w:val="single" w:sz="6" w:space="0" w:color="auto"/>
            </w:tcBorders>
          </w:tcPr>
          <w:p w14:paraId="0D39B0F5"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79466112" w14:textId="77777777" w:rsidR="00711444" w:rsidRPr="004D0DAA" w:rsidRDefault="00711444" w:rsidP="00AA2A4C"/>
        </w:tc>
        <w:tc>
          <w:tcPr>
            <w:tcW w:w="1701" w:type="dxa"/>
          </w:tcPr>
          <w:p w14:paraId="1C06F27B"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51910903" w14:textId="77777777" w:rsidR="00711444" w:rsidRPr="004D0DAA" w:rsidRDefault="00711444" w:rsidP="00AA2A4C">
            <w:pPr>
              <w:pStyle w:val="TAC"/>
              <w:rPr>
                <w:lang w:eastAsia="en-US"/>
              </w:rPr>
            </w:pPr>
          </w:p>
        </w:tc>
      </w:tr>
      <w:tr w:rsidR="00711444" w:rsidRPr="004D0DAA" w14:paraId="22847500"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3EBAFEA8" w14:textId="77777777" w:rsidR="00711444" w:rsidRPr="004D0DAA" w:rsidRDefault="00711444" w:rsidP="00AA2A4C">
            <w:pPr>
              <w:pStyle w:val="TAC"/>
              <w:rPr>
                <w:lang w:eastAsia="en-US"/>
              </w:rPr>
            </w:pPr>
            <w:r w:rsidRPr="004D0DAA">
              <w:rPr>
                <w:lang w:eastAsia="en-US"/>
              </w:rPr>
              <w:t>PR</w:t>
            </w:r>
          </w:p>
        </w:tc>
        <w:tc>
          <w:tcPr>
            <w:tcW w:w="3120" w:type="dxa"/>
            <w:gridSpan w:val="5"/>
            <w:tcBorders>
              <w:top w:val="single" w:sz="6" w:space="0" w:color="auto"/>
              <w:left w:val="single" w:sz="6" w:space="0" w:color="auto"/>
              <w:bottom w:val="single" w:sz="6" w:space="0" w:color="auto"/>
              <w:right w:val="single" w:sz="6" w:space="0" w:color="auto"/>
            </w:tcBorders>
          </w:tcPr>
          <w:p w14:paraId="26C857E3"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right w:val="single" w:sz="6" w:space="0" w:color="auto"/>
            </w:tcBorders>
          </w:tcPr>
          <w:p w14:paraId="6EE065AC" w14:textId="77777777" w:rsidR="00711444" w:rsidRPr="004D0DAA" w:rsidRDefault="00711444" w:rsidP="00AA2A4C">
            <w:pPr>
              <w:pStyle w:val="TAC"/>
              <w:rPr>
                <w:lang w:eastAsia="en-US"/>
              </w:rPr>
            </w:pPr>
            <w:r w:rsidRPr="004D0DAA">
              <w:rPr>
                <w:lang w:eastAsia="en-US"/>
              </w:rPr>
              <w:t>FBI</w:t>
            </w:r>
          </w:p>
        </w:tc>
        <w:tc>
          <w:tcPr>
            <w:tcW w:w="1701" w:type="dxa"/>
          </w:tcPr>
          <w:p w14:paraId="31A958E4"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48C401C3" w14:textId="77777777" w:rsidR="00711444" w:rsidRPr="004D0DAA" w:rsidRDefault="00711444" w:rsidP="00AA2A4C">
            <w:pPr>
              <w:pStyle w:val="TAC"/>
              <w:rPr>
                <w:lang w:eastAsia="en-US"/>
              </w:rPr>
            </w:pPr>
          </w:p>
        </w:tc>
      </w:tr>
      <w:tr w:rsidR="00711444" w:rsidRPr="004D0DAA" w14:paraId="49A99F3A"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4E894EB3" w14:textId="77777777" w:rsidR="00711444" w:rsidRPr="004D0DAA" w:rsidRDefault="00711444" w:rsidP="00AA2A4C"/>
        </w:tc>
        <w:tc>
          <w:tcPr>
            <w:tcW w:w="624" w:type="dxa"/>
            <w:tcBorders>
              <w:top w:val="single" w:sz="6" w:space="0" w:color="auto"/>
            </w:tcBorders>
          </w:tcPr>
          <w:p w14:paraId="049D10BB" w14:textId="77777777" w:rsidR="00711444" w:rsidRPr="004D0DAA" w:rsidRDefault="00711444" w:rsidP="00AA2A4C"/>
        </w:tc>
        <w:tc>
          <w:tcPr>
            <w:tcW w:w="624" w:type="dxa"/>
            <w:tcBorders>
              <w:top w:val="single" w:sz="6" w:space="0" w:color="auto"/>
            </w:tcBorders>
          </w:tcPr>
          <w:p w14:paraId="18979866" w14:textId="77777777" w:rsidR="00711444" w:rsidRPr="004D0DAA" w:rsidRDefault="00711444" w:rsidP="00AA2A4C"/>
        </w:tc>
        <w:tc>
          <w:tcPr>
            <w:tcW w:w="624" w:type="dxa"/>
            <w:tcBorders>
              <w:top w:val="single" w:sz="6" w:space="0" w:color="auto"/>
            </w:tcBorders>
          </w:tcPr>
          <w:p w14:paraId="0ABE38F4"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3E9BAF73" w14:textId="77777777" w:rsidR="00711444" w:rsidRPr="004D0DAA" w:rsidRDefault="00711444" w:rsidP="00AA2A4C"/>
        </w:tc>
        <w:tc>
          <w:tcPr>
            <w:tcW w:w="624" w:type="dxa"/>
            <w:tcBorders>
              <w:top w:val="single" w:sz="6" w:space="0" w:color="auto"/>
            </w:tcBorders>
          </w:tcPr>
          <w:p w14:paraId="75A69B34"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139CFE39"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08D18C94" w14:textId="77777777" w:rsidR="00711444" w:rsidRPr="004D0DAA" w:rsidRDefault="00711444" w:rsidP="00AA2A4C">
            <w:pPr>
              <w:pStyle w:val="TAC"/>
              <w:rPr>
                <w:lang w:eastAsia="en-US"/>
              </w:rPr>
            </w:pPr>
            <w:r w:rsidRPr="004D0DAA">
              <w:rPr>
                <w:lang w:eastAsia="en-US"/>
              </w:rPr>
              <w:t>E = 0</w:t>
            </w:r>
          </w:p>
        </w:tc>
        <w:tc>
          <w:tcPr>
            <w:tcW w:w="1701" w:type="dxa"/>
          </w:tcPr>
          <w:p w14:paraId="6A0AC242"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39CB5C88" w14:textId="77777777" w:rsidR="00711444" w:rsidRPr="004D0DAA" w:rsidRDefault="00711444" w:rsidP="00AA2A4C">
            <w:pPr>
              <w:pStyle w:val="TAC"/>
              <w:rPr>
                <w:lang w:eastAsia="en-US"/>
              </w:rPr>
            </w:pPr>
            <w:r w:rsidRPr="004D0DAA">
              <w:rPr>
                <w:lang w:eastAsia="en-US"/>
              </w:rPr>
              <w:t>LLC PDU 1</w:t>
            </w:r>
          </w:p>
        </w:tc>
      </w:tr>
      <w:tr w:rsidR="00711444" w:rsidRPr="004D0DAA" w14:paraId="5B563CDF" w14:textId="77777777" w:rsidTr="00AA2A4C">
        <w:tblPrEx>
          <w:tblCellMar>
            <w:top w:w="0" w:type="dxa"/>
            <w:bottom w:w="0" w:type="dxa"/>
          </w:tblCellMar>
        </w:tblPrEx>
        <w:trPr>
          <w:cantSplit/>
        </w:trPr>
        <w:tc>
          <w:tcPr>
            <w:tcW w:w="3991" w:type="dxa"/>
            <w:gridSpan w:val="6"/>
            <w:tcBorders>
              <w:top w:val="single" w:sz="6" w:space="0" w:color="auto"/>
              <w:left w:val="single" w:sz="6" w:space="0" w:color="auto"/>
              <w:bottom w:val="single" w:sz="6" w:space="0" w:color="auto"/>
            </w:tcBorders>
          </w:tcPr>
          <w:p w14:paraId="0B4E5B66" w14:textId="77777777" w:rsidR="00711444" w:rsidRPr="004D0DAA" w:rsidRDefault="00711444" w:rsidP="00AA2A4C">
            <w:pPr>
              <w:pStyle w:val="TAC"/>
              <w:rPr>
                <w:lang w:eastAsia="en-US"/>
              </w:rPr>
            </w:pPr>
            <w:r w:rsidRPr="004D0DAA">
              <w:rPr>
                <w:lang w:eastAsia="en-US"/>
              </w:rPr>
              <w:t>Length indicator = 7</w:t>
            </w:r>
          </w:p>
        </w:tc>
        <w:tc>
          <w:tcPr>
            <w:tcW w:w="624" w:type="dxa"/>
            <w:tcBorders>
              <w:top w:val="single" w:sz="6" w:space="0" w:color="auto"/>
              <w:left w:val="single" w:sz="6" w:space="0" w:color="auto"/>
              <w:bottom w:val="single" w:sz="6" w:space="0" w:color="auto"/>
              <w:right w:val="single" w:sz="6" w:space="0" w:color="auto"/>
            </w:tcBorders>
          </w:tcPr>
          <w:p w14:paraId="58151E09" w14:textId="77777777" w:rsidR="00711444" w:rsidRPr="004D0DAA" w:rsidRDefault="00711444" w:rsidP="00AA2A4C">
            <w:pPr>
              <w:pStyle w:val="TAC"/>
              <w:rPr>
                <w:lang w:eastAsia="en-US"/>
              </w:rPr>
            </w:pPr>
            <w:r w:rsidRPr="004D0DAA">
              <w:rPr>
                <w:lang w:eastAsia="en-US"/>
              </w:rPr>
              <w:t>M = 1</w:t>
            </w:r>
          </w:p>
        </w:tc>
        <w:tc>
          <w:tcPr>
            <w:tcW w:w="624" w:type="dxa"/>
            <w:tcBorders>
              <w:top w:val="single" w:sz="6" w:space="0" w:color="auto"/>
              <w:left w:val="single" w:sz="6" w:space="0" w:color="auto"/>
              <w:bottom w:val="single" w:sz="6" w:space="0" w:color="auto"/>
              <w:right w:val="single" w:sz="6" w:space="0" w:color="auto"/>
            </w:tcBorders>
          </w:tcPr>
          <w:p w14:paraId="3D2E3223" w14:textId="77777777" w:rsidR="00711444" w:rsidRPr="004D0DAA" w:rsidRDefault="00711444" w:rsidP="00AA2A4C">
            <w:pPr>
              <w:pStyle w:val="TAC"/>
              <w:rPr>
                <w:lang w:eastAsia="en-US"/>
              </w:rPr>
            </w:pPr>
            <w:r w:rsidRPr="004D0DAA">
              <w:rPr>
                <w:lang w:eastAsia="en-US"/>
              </w:rPr>
              <w:t>E = 0</w:t>
            </w:r>
          </w:p>
        </w:tc>
        <w:tc>
          <w:tcPr>
            <w:tcW w:w="1701" w:type="dxa"/>
            <w:tcBorders>
              <w:left w:val="single" w:sz="6" w:space="0" w:color="auto"/>
            </w:tcBorders>
          </w:tcPr>
          <w:p w14:paraId="30462DA6"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0F521758" w14:textId="77777777" w:rsidR="00711444" w:rsidRPr="004D0DAA" w:rsidRDefault="00711444" w:rsidP="00AA2A4C">
            <w:pPr>
              <w:pStyle w:val="TAC"/>
              <w:rPr>
                <w:lang w:eastAsia="en-US"/>
              </w:rPr>
            </w:pPr>
          </w:p>
        </w:tc>
      </w:tr>
      <w:tr w:rsidR="00711444" w:rsidRPr="004D0DAA" w14:paraId="48C86806" w14:textId="77777777" w:rsidTr="00AA2A4C">
        <w:tblPrEx>
          <w:tblCellMar>
            <w:top w:w="0" w:type="dxa"/>
            <w:bottom w:w="0" w:type="dxa"/>
          </w:tblCellMar>
        </w:tblPrEx>
        <w:trPr>
          <w:cantSplit/>
        </w:trPr>
        <w:tc>
          <w:tcPr>
            <w:tcW w:w="3991" w:type="dxa"/>
            <w:gridSpan w:val="6"/>
            <w:tcBorders>
              <w:top w:val="single" w:sz="6" w:space="0" w:color="auto"/>
              <w:left w:val="single" w:sz="6" w:space="0" w:color="auto"/>
              <w:bottom w:val="single" w:sz="6" w:space="0" w:color="auto"/>
            </w:tcBorders>
          </w:tcPr>
          <w:p w14:paraId="166A0FCE" w14:textId="77777777" w:rsidR="00711444" w:rsidRPr="004D0DAA" w:rsidRDefault="00711444" w:rsidP="00AA2A4C">
            <w:pPr>
              <w:pStyle w:val="TAC"/>
              <w:rPr>
                <w:lang w:eastAsia="en-US"/>
              </w:rPr>
            </w:pPr>
            <w:r w:rsidRPr="004D0DAA">
              <w:rPr>
                <w:lang w:eastAsia="en-US"/>
              </w:rPr>
              <w:t>Length indicator = 11</w:t>
            </w:r>
          </w:p>
        </w:tc>
        <w:tc>
          <w:tcPr>
            <w:tcW w:w="624" w:type="dxa"/>
            <w:tcBorders>
              <w:top w:val="single" w:sz="6" w:space="0" w:color="auto"/>
              <w:left w:val="single" w:sz="6" w:space="0" w:color="auto"/>
              <w:bottom w:val="single" w:sz="6" w:space="0" w:color="auto"/>
              <w:right w:val="single" w:sz="6" w:space="0" w:color="auto"/>
            </w:tcBorders>
          </w:tcPr>
          <w:p w14:paraId="7DED0EAD" w14:textId="77777777" w:rsidR="00711444" w:rsidRPr="004D0DAA" w:rsidRDefault="00711444" w:rsidP="00AA2A4C">
            <w:pPr>
              <w:pStyle w:val="TAC"/>
              <w:rPr>
                <w:lang w:eastAsia="en-US"/>
              </w:rPr>
            </w:pPr>
            <w:r w:rsidRPr="004D0DAA">
              <w:rPr>
                <w:lang w:eastAsia="en-US"/>
              </w:rPr>
              <w:t>M = 0</w:t>
            </w:r>
          </w:p>
        </w:tc>
        <w:tc>
          <w:tcPr>
            <w:tcW w:w="624" w:type="dxa"/>
            <w:tcBorders>
              <w:top w:val="single" w:sz="6" w:space="0" w:color="auto"/>
              <w:left w:val="single" w:sz="6" w:space="0" w:color="auto"/>
              <w:bottom w:val="single" w:sz="6" w:space="0" w:color="auto"/>
              <w:right w:val="single" w:sz="6" w:space="0" w:color="auto"/>
            </w:tcBorders>
          </w:tcPr>
          <w:p w14:paraId="0A58EF92"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10EB7D19"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352ADF61" w14:textId="77777777" w:rsidR="00711444" w:rsidRPr="004D0DAA" w:rsidRDefault="00711444" w:rsidP="00AA2A4C">
            <w:pPr>
              <w:pStyle w:val="TAC"/>
              <w:rPr>
                <w:lang w:eastAsia="en-US"/>
              </w:rPr>
            </w:pPr>
          </w:p>
        </w:tc>
      </w:tr>
      <w:tr w:rsidR="00711444" w:rsidRPr="004D0DAA" w14:paraId="3E0C927E" w14:textId="77777777" w:rsidTr="00AA2A4C">
        <w:tblPrEx>
          <w:tblCellMar>
            <w:top w:w="0" w:type="dxa"/>
            <w:bottom w:w="0" w:type="dxa"/>
          </w:tblCellMar>
        </w:tblPrEx>
        <w:trPr>
          <w:cantSplit/>
        </w:trPr>
        <w:tc>
          <w:tcPr>
            <w:tcW w:w="871" w:type="dxa"/>
            <w:tcBorders>
              <w:left w:val="single" w:sz="6" w:space="0" w:color="auto"/>
            </w:tcBorders>
          </w:tcPr>
          <w:p w14:paraId="4B4B9B93" w14:textId="77777777" w:rsidR="00711444" w:rsidRPr="004D0DAA" w:rsidRDefault="00711444" w:rsidP="00AA2A4C"/>
        </w:tc>
        <w:tc>
          <w:tcPr>
            <w:tcW w:w="624" w:type="dxa"/>
          </w:tcPr>
          <w:p w14:paraId="2E9C37BC" w14:textId="77777777" w:rsidR="00711444" w:rsidRPr="004D0DAA" w:rsidRDefault="00711444" w:rsidP="00AA2A4C"/>
        </w:tc>
        <w:tc>
          <w:tcPr>
            <w:tcW w:w="624" w:type="dxa"/>
          </w:tcPr>
          <w:p w14:paraId="3A12FF43" w14:textId="77777777" w:rsidR="00711444" w:rsidRPr="004D0DAA" w:rsidRDefault="00711444" w:rsidP="00AA2A4C"/>
        </w:tc>
        <w:tc>
          <w:tcPr>
            <w:tcW w:w="624" w:type="dxa"/>
          </w:tcPr>
          <w:p w14:paraId="05D790A0" w14:textId="77777777" w:rsidR="00711444" w:rsidRPr="004D0DAA" w:rsidRDefault="00711444" w:rsidP="00AA2A4C"/>
        </w:tc>
        <w:tc>
          <w:tcPr>
            <w:tcW w:w="624" w:type="dxa"/>
          </w:tcPr>
          <w:p w14:paraId="39D3F117" w14:textId="77777777" w:rsidR="00711444" w:rsidRPr="004D0DAA" w:rsidRDefault="00711444" w:rsidP="00AA2A4C"/>
        </w:tc>
        <w:tc>
          <w:tcPr>
            <w:tcW w:w="624" w:type="dxa"/>
          </w:tcPr>
          <w:p w14:paraId="12D4C438" w14:textId="77777777" w:rsidR="00711444" w:rsidRPr="004D0DAA" w:rsidRDefault="00711444" w:rsidP="00AA2A4C"/>
        </w:tc>
        <w:tc>
          <w:tcPr>
            <w:tcW w:w="624" w:type="dxa"/>
          </w:tcPr>
          <w:p w14:paraId="0778490D" w14:textId="77777777" w:rsidR="00711444" w:rsidRPr="004D0DAA" w:rsidRDefault="00711444" w:rsidP="00AA2A4C"/>
        </w:tc>
        <w:tc>
          <w:tcPr>
            <w:tcW w:w="624" w:type="dxa"/>
            <w:tcBorders>
              <w:right w:val="single" w:sz="6" w:space="0" w:color="auto"/>
            </w:tcBorders>
          </w:tcPr>
          <w:p w14:paraId="2C972DBF" w14:textId="77777777" w:rsidR="00711444" w:rsidRPr="004D0DAA" w:rsidRDefault="00711444" w:rsidP="00AA2A4C"/>
        </w:tc>
        <w:tc>
          <w:tcPr>
            <w:tcW w:w="1701" w:type="dxa"/>
          </w:tcPr>
          <w:p w14:paraId="3EC2D0CD" w14:textId="77777777" w:rsidR="00711444" w:rsidRPr="004D0DAA" w:rsidRDefault="00711444" w:rsidP="00AA2A4C">
            <w:pPr>
              <w:pStyle w:val="TAC"/>
              <w:rPr>
                <w:lang w:eastAsia="en-US"/>
              </w:rPr>
            </w:pPr>
            <w:r w:rsidRPr="004D0DAA">
              <w:rPr>
                <w:lang w:eastAsia="en-US"/>
              </w:rPr>
              <w:t>Octet 5</w:t>
            </w:r>
          </w:p>
        </w:tc>
        <w:tc>
          <w:tcPr>
            <w:tcW w:w="1567" w:type="dxa"/>
            <w:tcBorders>
              <w:left w:val="single" w:sz="6" w:space="0" w:color="auto"/>
              <w:right w:val="single" w:sz="6" w:space="0" w:color="auto"/>
            </w:tcBorders>
          </w:tcPr>
          <w:p w14:paraId="52D12F33" w14:textId="77777777" w:rsidR="00711444" w:rsidRPr="004D0DAA" w:rsidRDefault="00711444" w:rsidP="00AA2A4C">
            <w:pPr>
              <w:pStyle w:val="TAC"/>
              <w:rPr>
                <w:lang w:eastAsia="en-US"/>
              </w:rPr>
            </w:pPr>
          </w:p>
        </w:tc>
      </w:tr>
      <w:tr w:rsidR="00711444" w:rsidRPr="004D0DAA" w14:paraId="74BF3DF6"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035CB2E2" w14:textId="77777777" w:rsidR="00711444" w:rsidRPr="004D0DAA" w:rsidRDefault="00711444" w:rsidP="00AA2A4C">
            <w:pPr>
              <w:pStyle w:val="TAC"/>
              <w:rPr>
                <w:lang w:eastAsia="en-US"/>
              </w:rPr>
            </w:pPr>
            <w:r w:rsidRPr="004D0DAA">
              <w:rPr>
                <w:lang w:eastAsia="en-US"/>
              </w:rPr>
              <w:lastRenderedPageBreak/>
              <w:br/>
              <w:t>LLC PDU 1 (cont)</w:t>
            </w:r>
          </w:p>
        </w:tc>
        <w:tc>
          <w:tcPr>
            <w:tcW w:w="1701" w:type="dxa"/>
          </w:tcPr>
          <w:p w14:paraId="16474A0B" w14:textId="77777777" w:rsidR="00711444" w:rsidRPr="004D0DAA" w:rsidRDefault="00711444" w:rsidP="00AA2A4C">
            <w:pPr>
              <w:pStyle w:val="TAC"/>
              <w:rPr>
                <w:lang w:eastAsia="en-US"/>
              </w:rPr>
            </w:pPr>
            <w:r w:rsidRPr="004D0DAA">
              <w:rPr>
                <w:lang w:eastAsia="en-US"/>
              </w:rPr>
              <w:t>.</w:t>
            </w:r>
          </w:p>
          <w:p w14:paraId="47F0357A" w14:textId="77777777" w:rsidR="00711444" w:rsidRPr="004D0DAA" w:rsidRDefault="00711444" w:rsidP="00AA2A4C">
            <w:pPr>
              <w:pStyle w:val="TAC"/>
              <w:rPr>
                <w:lang w:eastAsia="en-US"/>
              </w:rPr>
            </w:pPr>
            <w:r w:rsidRPr="004D0DAA">
              <w:rPr>
                <w:lang w:eastAsia="en-US"/>
              </w:rPr>
              <w:t>.</w:t>
            </w:r>
          </w:p>
          <w:p w14:paraId="65406CF9"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73A17C9F" w14:textId="77777777" w:rsidR="00711444" w:rsidRPr="004D0DAA" w:rsidRDefault="00711444" w:rsidP="00AA2A4C">
            <w:pPr>
              <w:pStyle w:val="TAC"/>
              <w:rPr>
                <w:lang w:eastAsia="en-US"/>
              </w:rPr>
            </w:pPr>
          </w:p>
          <w:p w14:paraId="1536DCBF" w14:textId="77777777" w:rsidR="00711444" w:rsidRPr="004D0DAA" w:rsidRDefault="00711444" w:rsidP="00AA2A4C">
            <w:pPr>
              <w:pStyle w:val="TAC"/>
              <w:rPr>
                <w:lang w:eastAsia="en-US"/>
              </w:rPr>
            </w:pPr>
          </w:p>
        </w:tc>
      </w:tr>
      <w:tr w:rsidR="00711444" w:rsidRPr="004D0DAA" w14:paraId="0C4B45DF"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67B8F782" w14:textId="77777777" w:rsidR="00711444" w:rsidRPr="004D0DAA" w:rsidRDefault="00711444" w:rsidP="00AA2A4C"/>
        </w:tc>
        <w:tc>
          <w:tcPr>
            <w:tcW w:w="624" w:type="dxa"/>
            <w:tcBorders>
              <w:bottom w:val="single" w:sz="6" w:space="0" w:color="auto"/>
            </w:tcBorders>
          </w:tcPr>
          <w:p w14:paraId="3DFC1ADB" w14:textId="77777777" w:rsidR="00711444" w:rsidRPr="004D0DAA" w:rsidRDefault="00711444" w:rsidP="00AA2A4C"/>
        </w:tc>
        <w:tc>
          <w:tcPr>
            <w:tcW w:w="624" w:type="dxa"/>
            <w:tcBorders>
              <w:bottom w:val="single" w:sz="6" w:space="0" w:color="auto"/>
            </w:tcBorders>
          </w:tcPr>
          <w:p w14:paraId="0B9F1B3A" w14:textId="77777777" w:rsidR="00711444" w:rsidRPr="004D0DAA" w:rsidRDefault="00711444" w:rsidP="00AA2A4C"/>
        </w:tc>
        <w:tc>
          <w:tcPr>
            <w:tcW w:w="624" w:type="dxa"/>
            <w:tcBorders>
              <w:bottom w:val="single" w:sz="6" w:space="0" w:color="auto"/>
            </w:tcBorders>
          </w:tcPr>
          <w:p w14:paraId="71E44779" w14:textId="77777777" w:rsidR="00711444" w:rsidRPr="004D0DAA" w:rsidRDefault="00711444" w:rsidP="00AA2A4C"/>
        </w:tc>
        <w:tc>
          <w:tcPr>
            <w:tcW w:w="624" w:type="dxa"/>
            <w:tcBorders>
              <w:bottom w:val="single" w:sz="6" w:space="0" w:color="auto"/>
            </w:tcBorders>
          </w:tcPr>
          <w:p w14:paraId="5D96F121" w14:textId="77777777" w:rsidR="00711444" w:rsidRPr="004D0DAA" w:rsidRDefault="00711444" w:rsidP="00AA2A4C"/>
        </w:tc>
        <w:tc>
          <w:tcPr>
            <w:tcW w:w="624" w:type="dxa"/>
            <w:tcBorders>
              <w:bottom w:val="single" w:sz="6" w:space="0" w:color="auto"/>
            </w:tcBorders>
          </w:tcPr>
          <w:p w14:paraId="02AD68B7" w14:textId="77777777" w:rsidR="00711444" w:rsidRPr="004D0DAA" w:rsidRDefault="00711444" w:rsidP="00AA2A4C"/>
        </w:tc>
        <w:tc>
          <w:tcPr>
            <w:tcW w:w="624" w:type="dxa"/>
            <w:tcBorders>
              <w:bottom w:val="single" w:sz="6" w:space="0" w:color="auto"/>
            </w:tcBorders>
          </w:tcPr>
          <w:p w14:paraId="5196F345" w14:textId="77777777" w:rsidR="00711444" w:rsidRPr="004D0DAA" w:rsidRDefault="00711444" w:rsidP="00AA2A4C"/>
        </w:tc>
        <w:tc>
          <w:tcPr>
            <w:tcW w:w="624" w:type="dxa"/>
            <w:tcBorders>
              <w:bottom w:val="single" w:sz="6" w:space="0" w:color="auto"/>
              <w:right w:val="single" w:sz="6" w:space="0" w:color="auto"/>
            </w:tcBorders>
          </w:tcPr>
          <w:p w14:paraId="26FF8027" w14:textId="77777777" w:rsidR="00711444" w:rsidRPr="004D0DAA" w:rsidRDefault="00711444" w:rsidP="00AA2A4C"/>
        </w:tc>
        <w:tc>
          <w:tcPr>
            <w:tcW w:w="1701" w:type="dxa"/>
            <w:tcBorders>
              <w:bottom w:val="single" w:sz="6" w:space="0" w:color="FFFFFF"/>
            </w:tcBorders>
          </w:tcPr>
          <w:p w14:paraId="32E419BB" w14:textId="77777777" w:rsidR="00711444" w:rsidRPr="004D0DAA" w:rsidRDefault="00711444" w:rsidP="00AA2A4C">
            <w:pPr>
              <w:pStyle w:val="TAC"/>
              <w:rPr>
                <w:lang w:eastAsia="en-US"/>
              </w:rPr>
            </w:pPr>
            <w:r w:rsidRPr="004D0DAA">
              <w:rPr>
                <w:lang w:eastAsia="en-US"/>
              </w:rPr>
              <w:t>Octet 11</w:t>
            </w:r>
          </w:p>
        </w:tc>
        <w:tc>
          <w:tcPr>
            <w:tcW w:w="1567" w:type="dxa"/>
            <w:tcBorders>
              <w:left w:val="single" w:sz="6" w:space="0" w:color="auto"/>
              <w:bottom w:val="single" w:sz="6" w:space="0" w:color="auto"/>
              <w:right w:val="single" w:sz="6" w:space="0" w:color="auto"/>
            </w:tcBorders>
          </w:tcPr>
          <w:p w14:paraId="73BBF24C" w14:textId="77777777" w:rsidR="00711444" w:rsidRPr="004D0DAA" w:rsidRDefault="00711444" w:rsidP="00AA2A4C">
            <w:pPr>
              <w:pStyle w:val="TAC"/>
              <w:rPr>
                <w:lang w:eastAsia="en-US"/>
              </w:rPr>
            </w:pPr>
          </w:p>
        </w:tc>
      </w:tr>
      <w:tr w:rsidR="00711444" w:rsidRPr="004D0DAA" w14:paraId="565BAFCA" w14:textId="77777777" w:rsidTr="00AA2A4C">
        <w:tblPrEx>
          <w:tblCellMar>
            <w:top w:w="0" w:type="dxa"/>
            <w:bottom w:w="0" w:type="dxa"/>
          </w:tblCellMar>
        </w:tblPrEx>
        <w:trPr>
          <w:cantSplit/>
        </w:trPr>
        <w:tc>
          <w:tcPr>
            <w:tcW w:w="871" w:type="dxa"/>
            <w:tcBorders>
              <w:left w:val="single" w:sz="6" w:space="0" w:color="auto"/>
            </w:tcBorders>
          </w:tcPr>
          <w:p w14:paraId="3EC44405" w14:textId="77777777" w:rsidR="00711444" w:rsidRPr="004D0DAA" w:rsidRDefault="00711444" w:rsidP="00AA2A4C"/>
        </w:tc>
        <w:tc>
          <w:tcPr>
            <w:tcW w:w="624" w:type="dxa"/>
          </w:tcPr>
          <w:p w14:paraId="0A723CA6" w14:textId="77777777" w:rsidR="00711444" w:rsidRPr="004D0DAA" w:rsidRDefault="00711444" w:rsidP="00AA2A4C"/>
        </w:tc>
        <w:tc>
          <w:tcPr>
            <w:tcW w:w="624" w:type="dxa"/>
          </w:tcPr>
          <w:p w14:paraId="5B8D750F" w14:textId="77777777" w:rsidR="00711444" w:rsidRPr="004D0DAA" w:rsidRDefault="00711444" w:rsidP="00AA2A4C"/>
        </w:tc>
        <w:tc>
          <w:tcPr>
            <w:tcW w:w="624" w:type="dxa"/>
          </w:tcPr>
          <w:p w14:paraId="5CD0A899" w14:textId="77777777" w:rsidR="00711444" w:rsidRPr="004D0DAA" w:rsidRDefault="00711444" w:rsidP="00AA2A4C"/>
        </w:tc>
        <w:tc>
          <w:tcPr>
            <w:tcW w:w="624" w:type="dxa"/>
          </w:tcPr>
          <w:p w14:paraId="4BE0E1DA" w14:textId="77777777" w:rsidR="00711444" w:rsidRPr="004D0DAA" w:rsidRDefault="00711444" w:rsidP="00AA2A4C"/>
        </w:tc>
        <w:tc>
          <w:tcPr>
            <w:tcW w:w="624" w:type="dxa"/>
          </w:tcPr>
          <w:p w14:paraId="0D455418" w14:textId="77777777" w:rsidR="00711444" w:rsidRPr="004D0DAA" w:rsidRDefault="00711444" w:rsidP="00AA2A4C"/>
        </w:tc>
        <w:tc>
          <w:tcPr>
            <w:tcW w:w="624" w:type="dxa"/>
          </w:tcPr>
          <w:p w14:paraId="37B7E5C6" w14:textId="77777777" w:rsidR="00711444" w:rsidRPr="004D0DAA" w:rsidRDefault="00711444" w:rsidP="00AA2A4C"/>
        </w:tc>
        <w:tc>
          <w:tcPr>
            <w:tcW w:w="624" w:type="dxa"/>
            <w:tcBorders>
              <w:right w:val="single" w:sz="6" w:space="0" w:color="auto"/>
            </w:tcBorders>
          </w:tcPr>
          <w:p w14:paraId="24F6BA98" w14:textId="77777777" w:rsidR="00711444" w:rsidRPr="004D0DAA" w:rsidRDefault="00711444" w:rsidP="00AA2A4C"/>
        </w:tc>
        <w:tc>
          <w:tcPr>
            <w:tcW w:w="1701" w:type="dxa"/>
            <w:tcBorders>
              <w:top w:val="single" w:sz="6" w:space="0" w:color="FFFFFF"/>
            </w:tcBorders>
          </w:tcPr>
          <w:p w14:paraId="28610EA5" w14:textId="77777777" w:rsidR="00711444" w:rsidRPr="004D0DAA" w:rsidRDefault="00711444" w:rsidP="00AA2A4C">
            <w:pPr>
              <w:pStyle w:val="TAC"/>
              <w:rPr>
                <w:lang w:eastAsia="en-US"/>
              </w:rPr>
            </w:pPr>
            <w:r w:rsidRPr="004D0DAA">
              <w:rPr>
                <w:lang w:eastAsia="en-US"/>
              </w:rPr>
              <w:t>Octet 12</w:t>
            </w:r>
          </w:p>
        </w:tc>
        <w:tc>
          <w:tcPr>
            <w:tcW w:w="1567" w:type="dxa"/>
            <w:tcBorders>
              <w:top w:val="single" w:sz="6" w:space="0" w:color="auto"/>
              <w:left w:val="single" w:sz="6" w:space="0" w:color="auto"/>
              <w:right w:val="single" w:sz="6" w:space="0" w:color="auto"/>
            </w:tcBorders>
          </w:tcPr>
          <w:p w14:paraId="2E7B96FA" w14:textId="77777777" w:rsidR="00711444" w:rsidRPr="004D0DAA" w:rsidRDefault="00711444" w:rsidP="00AA2A4C">
            <w:pPr>
              <w:pStyle w:val="TAC"/>
              <w:rPr>
                <w:lang w:eastAsia="en-US"/>
              </w:rPr>
            </w:pPr>
          </w:p>
        </w:tc>
      </w:tr>
      <w:tr w:rsidR="00711444" w:rsidRPr="004D0DAA" w14:paraId="5C83FBF3"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1673B05A" w14:textId="77777777" w:rsidR="00711444" w:rsidRPr="004D0DAA" w:rsidRDefault="00711444" w:rsidP="00AA2A4C">
            <w:pPr>
              <w:pStyle w:val="TAC"/>
              <w:rPr>
                <w:lang w:eastAsia="en-US"/>
              </w:rPr>
            </w:pPr>
            <w:r w:rsidRPr="004D0DAA">
              <w:rPr>
                <w:lang w:eastAsia="en-US"/>
              </w:rPr>
              <w:br/>
              <w:t>LLC PDU 2</w:t>
            </w:r>
          </w:p>
        </w:tc>
        <w:tc>
          <w:tcPr>
            <w:tcW w:w="1701" w:type="dxa"/>
          </w:tcPr>
          <w:p w14:paraId="6F41299C" w14:textId="77777777" w:rsidR="00711444" w:rsidRPr="004D0DAA" w:rsidRDefault="00711444" w:rsidP="00AA2A4C">
            <w:pPr>
              <w:pStyle w:val="TAC"/>
              <w:rPr>
                <w:lang w:eastAsia="en-US"/>
              </w:rPr>
            </w:pPr>
            <w:r w:rsidRPr="004D0DAA">
              <w:rPr>
                <w:lang w:eastAsia="en-US"/>
              </w:rPr>
              <w:t>.</w:t>
            </w:r>
          </w:p>
          <w:p w14:paraId="31E6395D" w14:textId="77777777" w:rsidR="00711444" w:rsidRPr="004D0DAA" w:rsidRDefault="00711444" w:rsidP="00AA2A4C">
            <w:pPr>
              <w:pStyle w:val="TAC"/>
              <w:rPr>
                <w:lang w:eastAsia="en-US"/>
              </w:rPr>
            </w:pPr>
            <w:r w:rsidRPr="004D0DAA">
              <w:rPr>
                <w:lang w:eastAsia="en-US"/>
              </w:rPr>
              <w:t>.</w:t>
            </w:r>
          </w:p>
          <w:p w14:paraId="683369A4"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1768B603" w14:textId="77777777" w:rsidR="00711444" w:rsidRPr="004D0DAA" w:rsidRDefault="00711444" w:rsidP="00AA2A4C">
            <w:pPr>
              <w:pStyle w:val="TAC"/>
              <w:rPr>
                <w:lang w:eastAsia="en-US"/>
              </w:rPr>
            </w:pPr>
          </w:p>
          <w:p w14:paraId="271B471D" w14:textId="77777777" w:rsidR="00711444" w:rsidRPr="004D0DAA" w:rsidRDefault="00711444" w:rsidP="00AA2A4C">
            <w:pPr>
              <w:pStyle w:val="TAC"/>
              <w:rPr>
                <w:lang w:eastAsia="en-US"/>
              </w:rPr>
            </w:pPr>
            <w:r w:rsidRPr="004D0DAA">
              <w:rPr>
                <w:lang w:eastAsia="en-US"/>
              </w:rPr>
              <w:t>LLC PDU 2</w:t>
            </w:r>
          </w:p>
        </w:tc>
      </w:tr>
      <w:tr w:rsidR="00711444" w:rsidRPr="004D0DAA" w14:paraId="76211966"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4E658001" w14:textId="77777777" w:rsidR="00711444" w:rsidRPr="004D0DAA" w:rsidRDefault="00711444" w:rsidP="00AA2A4C"/>
        </w:tc>
        <w:tc>
          <w:tcPr>
            <w:tcW w:w="624" w:type="dxa"/>
            <w:tcBorders>
              <w:bottom w:val="single" w:sz="6" w:space="0" w:color="auto"/>
            </w:tcBorders>
          </w:tcPr>
          <w:p w14:paraId="26EC8154" w14:textId="77777777" w:rsidR="00711444" w:rsidRPr="004D0DAA" w:rsidRDefault="00711444" w:rsidP="00AA2A4C"/>
        </w:tc>
        <w:tc>
          <w:tcPr>
            <w:tcW w:w="624" w:type="dxa"/>
            <w:tcBorders>
              <w:bottom w:val="single" w:sz="6" w:space="0" w:color="auto"/>
            </w:tcBorders>
          </w:tcPr>
          <w:p w14:paraId="5A2A3A9F" w14:textId="77777777" w:rsidR="00711444" w:rsidRPr="004D0DAA" w:rsidRDefault="00711444" w:rsidP="00AA2A4C"/>
        </w:tc>
        <w:tc>
          <w:tcPr>
            <w:tcW w:w="624" w:type="dxa"/>
            <w:tcBorders>
              <w:bottom w:val="single" w:sz="6" w:space="0" w:color="auto"/>
            </w:tcBorders>
          </w:tcPr>
          <w:p w14:paraId="2117CE10" w14:textId="77777777" w:rsidR="00711444" w:rsidRPr="004D0DAA" w:rsidRDefault="00711444" w:rsidP="00AA2A4C"/>
        </w:tc>
        <w:tc>
          <w:tcPr>
            <w:tcW w:w="624" w:type="dxa"/>
            <w:tcBorders>
              <w:bottom w:val="single" w:sz="6" w:space="0" w:color="auto"/>
            </w:tcBorders>
          </w:tcPr>
          <w:p w14:paraId="29490FA9" w14:textId="77777777" w:rsidR="00711444" w:rsidRPr="004D0DAA" w:rsidRDefault="00711444" w:rsidP="00AA2A4C"/>
        </w:tc>
        <w:tc>
          <w:tcPr>
            <w:tcW w:w="624" w:type="dxa"/>
            <w:tcBorders>
              <w:bottom w:val="single" w:sz="6" w:space="0" w:color="auto"/>
            </w:tcBorders>
          </w:tcPr>
          <w:p w14:paraId="72EA83AF" w14:textId="77777777" w:rsidR="00711444" w:rsidRPr="004D0DAA" w:rsidRDefault="00711444" w:rsidP="00AA2A4C"/>
        </w:tc>
        <w:tc>
          <w:tcPr>
            <w:tcW w:w="624" w:type="dxa"/>
            <w:tcBorders>
              <w:bottom w:val="single" w:sz="6" w:space="0" w:color="auto"/>
            </w:tcBorders>
          </w:tcPr>
          <w:p w14:paraId="29CAC0BE" w14:textId="77777777" w:rsidR="00711444" w:rsidRPr="004D0DAA" w:rsidRDefault="00711444" w:rsidP="00AA2A4C"/>
        </w:tc>
        <w:tc>
          <w:tcPr>
            <w:tcW w:w="624" w:type="dxa"/>
            <w:tcBorders>
              <w:bottom w:val="single" w:sz="6" w:space="0" w:color="auto"/>
              <w:right w:val="single" w:sz="6" w:space="0" w:color="auto"/>
            </w:tcBorders>
          </w:tcPr>
          <w:p w14:paraId="62510FB7" w14:textId="77777777" w:rsidR="00711444" w:rsidRPr="004D0DAA" w:rsidRDefault="00711444" w:rsidP="00AA2A4C"/>
        </w:tc>
        <w:tc>
          <w:tcPr>
            <w:tcW w:w="1701" w:type="dxa"/>
          </w:tcPr>
          <w:p w14:paraId="5AD4BF63"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2EBF25FD" w14:textId="77777777" w:rsidR="00711444" w:rsidRPr="004D0DAA" w:rsidRDefault="00711444" w:rsidP="00AA2A4C">
            <w:pPr>
              <w:pStyle w:val="TAC"/>
              <w:rPr>
                <w:lang w:eastAsia="en-US"/>
              </w:rPr>
            </w:pPr>
          </w:p>
        </w:tc>
      </w:tr>
      <w:tr w:rsidR="00711444" w:rsidRPr="004D0DAA" w14:paraId="4966B8DD" w14:textId="77777777" w:rsidTr="00AA2A4C">
        <w:tblPrEx>
          <w:tblCellMar>
            <w:top w:w="0" w:type="dxa"/>
            <w:bottom w:w="0" w:type="dxa"/>
          </w:tblCellMar>
        </w:tblPrEx>
        <w:trPr>
          <w:cantSplit/>
        </w:trPr>
        <w:tc>
          <w:tcPr>
            <w:tcW w:w="871" w:type="dxa"/>
          </w:tcPr>
          <w:p w14:paraId="6ED84AA0" w14:textId="77777777" w:rsidR="00711444" w:rsidRPr="004D0DAA" w:rsidRDefault="00711444" w:rsidP="00AA2A4C"/>
        </w:tc>
        <w:tc>
          <w:tcPr>
            <w:tcW w:w="624" w:type="dxa"/>
          </w:tcPr>
          <w:p w14:paraId="7AB3BD9A" w14:textId="77777777" w:rsidR="00711444" w:rsidRPr="004D0DAA" w:rsidRDefault="00711444" w:rsidP="00AA2A4C"/>
        </w:tc>
        <w:tc>
          <w:tcPr>
            <w:tcW w:w="624" w:type="dxa"/>
          </w:tcPr>
          <w:p w14:paraId="5C7DC949" w14:textId="77777777" w:rsidR="00711444" w:rsidRPr="004D0DAA" w:rsidRDefault="00711444" w:rsidP="00AA2A4C"/>
        </w:tc>
        <w:tc>
          <w:tcPr>
            <w:tcW w:w="624" w:type="dxa"/>
          </w:tcPr>
          <w:p w14:paraId="609FD799" w14:textId="77777777" w:rsidR="00711444" w:rsidRPr="004D0DAA" w:rsidRDefault="00711444" w:rsidP="00AA2A4C"/>
        </w:tc>
        <w:tc>
          <w:tcPr>
            <w:tcW w:w="624" w:type="dxa"/>
          </w:tcPr>
          <w:p w14:paraId="6F1EFFDE" w14:textId="77777777" w:rsidR="00711444" w:rsidRPr="004D0DAA" w:rsidRDefault="00711444" w:rsidP="00AA2A4C"/>
        </w:tc>
        <w:tc>
          <w:tcPr>
            <w:tcW w:w="624" w:type="dxa"/>
          </w:tcPr>
          <w:p w14:paraId="134AC816" w14:textId="77777777" w:rsidR="00711444" w:rsidRPr="004D0DAA" w:rsidRDefault="00711444" w:rsidP="00AA2A4C"/>
        </w:tc>
        <w:tc>
          <w:tcPr>
            <w:tcW w:w="624" w:type="dxa"/>
          </w:tcPr>
          <w:p w14:paraId="36EA9EC7" w14:textId="77777777" w:rsidR="00711444" w:rsidRPr="004D0DAA" w:rsidRDefault="00711444" w:rsidP="00AA2A4C"/>
        </w:tc>
        <w:tc>
          <w:tcPr>
            <w:tcW w:w="624" w:type="dxa"/>
          </w:tcPr>
          <w:p w14:paraId="61DA0744" w14:textId="77777777" w:rsidR="00711444" w:rsidRPr="004D0DAA" w:rsidRDefault="00711444" w:rsidP="00AA2A4C"/>
        </w:tc>
        <w:tc>
          <w:tcPr>
            <w:tcW w:w="1701" w:type="dxa"/>
          </w:tcPr>
          <w:p w14:paraId="0455A6C8" w14:textId="77777777" w:rsidR="00711444" w:rsidRPr="004D0DAA" w:rsidRDefault="00711444" w:rsidP="00AA2A4C"/>
        </w:tc>
        <w:tc>
          <w:tcPr>
            <w:tcW w:w="1567" w:type="dxa"/>
            <w:tcBorders>
              <w:top w:val="single" w:sz="6" w:space="0" w:color="auto"/>
            </w:tcBorders>
          </w:tcPr>
          <w:p w14:paraId="64EBE96C" w14:textId="77777777" w:rsidR="00711444" w:rsidRPr="004D0DAA" w:rsidRDefault="00711444" w:rsidP="00AA2A4C">
            <w:pPr>
              <w:pStyle w:val="TAC"/>
              <w:rPr>
                <w:lang w:eastAsia="en-US"/>
              </w:rPr>
            </w:pPr>
          </w:p>
        </w:tc>
      </w:tr>
    </w:tbl>
    <w:p w14:paraId="04CECDF5" w14:textId="77777777" w:rsidR="00711444" w:rsidRPr="004D0DAA" w:rsidRDefault="00711444" w:rsidP="00711444">
      <w:pPr>
        <w:pStyle w:val="TAC"/>
      </w:pPr>
    </w:p>
    <w:p w14:paraId="0CBFD10D" w14:textId="77777777" w:rsidR="00711444" w:rsidRPr="004D0DAA" w:rsidRDefault="00711444" w:rsidP="00711444">
      <w:pPr>
        <w:pStyle w:val="TF"/>
      </w:pPr>
      <w:r w:rsidRPr="004D0DAA">
        <w:t>Figure B.3: Length indicator (LI) example</w:t>
      </w:r>
    </w:p>
    <w:p w14:paraId="35C3972C" w14:textId="77777777" w:rsidR="00711444" w:rsidRPr="004D0DAA" w:rsidRDefault="00711444" w:rsidP="00711444">
      <w:pPr>
        <w:pStyle w:val="Heading2"/>
      </w:pPr>
      <w:r w:rsidRPr="004D0DAA">
        <w:br w:type="page"/>
      </w:r>
      <w:bookmarkStart w:id="884" w:name="_Toc516670057"/>
      <w:r w:rsidRPr="004D0DAA">
        <w:lastRenderedPageBreak/>
        <w:t>B.4</w:t>
      </w:r>
      <w:r w:rsidRPr="004D0DAA">
        <w:tab/>
        <w:t>Example 4</w:t>
      </w:r>
      <w:bookmarkEnd w:id="884"/>
    </w:p>
    <w:p w14:paraId="2B8B3659" w14:textId="77777777" w:rsidR="00711444" w:rsidRPr="004D0DAA" w:rsidRDefault="00711444" w:rsidP="00711444">
      <w:r w:rsidRPr="004D0DAA">
        <w:t>Figure B.4 provides an example when the Length indicator is not used. As the example does not contain any LLC frame boundaries, no Length Indicator octets are needed. 20 octets is used for LLC data in each RLC data block.</w:t>
      </w:r>
    </w:p>
    <w:tbl>
      <w:tblPr>
        <w:tblW w:w="0" w:type="auto"/>
        <w:tblInd w:w="851" w:type="dxa"/>
        <w:tblLayout w:type="fixed"/>
        <w:tblCellMar>
          <w:left w:w="37" w:type="dxa"/>
          <w:right w:w="37" w:type="dxa"/>
        </w:tblCellMar>
        <w:tblLook w:val="0000" w:firstRow="0" w:lastRow="0" w:firstColumn="0" w:lastColumn="0" w:noHBand="0" w:noVBand="0"/>
      </w:tblPr>
      <w:tblGrid>
        <w:gridCol w:w="624"/>
        <w:gridCol w:w="624"/>
        <w:gridCol w:w="624"/>
        <w:gridCol w:w="624"/>
        <w:gridCol w:w="624"/>
        <w:gridCol w:w="624"/>
        <w:gridCol w:w="624"/>
        <w:gridCol w:w="624"/>
        <w:gridCol w:w="1701"/>
        <w:gridCol w:w="1567"/>
      </w:tblGrid>
      <w:tr w:rsidR="00711444" w:rsidRPr="004D0DAA" w14:paraId="405A8943" w14:textId="77777777" w:rsidTr="00AA2A4C">
        <w:tblPrEx>
          <w:tblCellMar>
            <w:top w:w="0" w:type="dxa"/>
            <w:bottom w:w="0" w:type="dxa"/>
          </w:tblCellMar>
        </w:tblPrEx>
        <w:trPr>
          <w:cantSplit/>
        </w:trPr>
        <w:tc>
          <w:tcPr>
            <w:tcW w:w="4992" w:type="dxa"/>
            <w:gridSpan w:val="8"/>
          </w:tcPr>
          <w:p w14:paraId="16B0B320" w14:textId="77777777" w:rsidR="00711444" w:rsidRPr="004D0DAA" w:rsidRDefault="00711444" w:rsidP="00AA2A4C">
            <w:pPr>
              <w:pStyle w:val="TAC"/>
              <w:rPr>
                <w:lang w:eastAsia="en-US"/>
              </w:rPr>
            </w:pPr>
            <w:r w:rsidRPr="004D0DAA">
              <w:rPr>
                <w:lang w:eastAsia="en-US"/>
              </w:rPr>
              <w:t>RLC data block N</w:t>
            </w:r>
          </w:p>
        </w:tc>
        <w:tc>
          <w:tcPr>
            <w:tcW w:w="1701" w:type="dxa"/>
          </w:tcPr>
          <w:p w14:paraId="13D48E59" w14:textId="77777777" w:rsidR="00711444" w:rsidRPr="004D0DAA" w:rsidRDefault="00711444" w:rsidP="00AA2A4C"/>
        </w:tc>
        <w:tc>
          <w:tcPr>
            <w:tcW w:w="1567" w:type="dxa"/>
            <w:tcBorders>
              <w:left w:val="single" w:sz="6" w:space="0" w:color="auto"/>
              <w:right w:val="single" w:sz="6" w:space="0" w:color="auto"/>
            </w:tcBorders>
          </w:tcPr>
          <w:p w14:paraId="5C6596E4" w14:textId="77777777" w:rsidR="00711444" w:rsidRPr="004D0DAA" w:rsidRDefault="00711444" w:rsidP="00AA2A4C">
            <w:pPr>
              <w:pStyle w:val="TAC"/>
              <w:rPr>
                <w:lang w:eastAsia="en-US"/>
              </w:rPr>
            </w:pPr>
          </w:p>
        </w:tc>
      </w:tr>
      <w:tr w:rsidR="00711444" w:rsidRPr="004D0DAA" w14:paraId="0EF8B1B9" w14:textId="77777777" w:rsidTr="00AA2A4C">
        <w:tblPrEx>
          <w:tblCellMar>
            <w:top w:w="0" w:type="dxa"/>
            <w:bottom w:w="0" w:type="dxa"/>
          </w:tblCellMar>
        </w:tblPrEx>
        <w:trPr>
          <w:cantSplit/>
        </w:trPr>
        <w:tc>
          <w:tcPr>
            <w:tcW w:w="4992" w:type="dxa"/>
            <w:gridSpan w:val="8"/>
          </w:tcPr>
          <w:p w14:paraId="6C50A069" w14:textId="77777777" w:rsidR="00711444" w:rsidRPr="004D0DAA" w:rsidRDefault="00711444" w:rsidP="00AA2A4C">
            <w:pPr>
              <w:pStyle w:val="TAC"/>
              <w:rPr>
                <w:lang w:eastAsia="en-US"/>
              </w:rPr>
            </w:pPr>
            <w:r w:rsidRPr="004D0DAA">
              <w:rPr>
                <w:lang w:eastAsia="en-US"/>
              </w:rPr>
              <w:t>bit</w:t>
            </w:r>
          </w:p>
        </w:tc>
        <w:tc>
          <w:tcPr>
            <w:tcW w:w="1701" w:type="dxa"/>
          </w:tcPr>
          <w:p w14:paraId="6C26CA83" w14:textId="77777777" w:rsidR="00711444" w:rsidRPr="004D0DAA" w:rsidRDefault="00711444" w:rsidP="00AA2A4C"/>
        </w:tc>
        <w:tc>
          <w:tcPr>
            <w:tcW w:w="1567" w:type="dxa"/>
            <w:tcBorders>
              <w:left w:val="single" w:sz="6" w:space="0" w:color="auto"/>
              <w:right w:val="single" w:sz="6" w:space="0" w:color="auto"/>
            </w:tcBorders>
          </w:tcPr>
          <w:p w14:paraId="2733F2DC" w14:textId="77777777" w:rsidR="00711444" w:rsidRPr="004D0DAA" w:rsidRDefault="00711444" w:rsidP="00AA2A4C">
            <w:pPr>
              <w:pStyle w:val="TAC"/>
              <w:rPr>
                <w:lang w:eastAsia="en-US"/>
              </w:rPr>
            </w:pPr>
          </w:p>
        </w:tc>
      </w:tr>
      <w:tr w:rsidR="00711444" w:rsidRPr="004D0DAA" w14:paraId="4F9A14D1" w14:textId="77777777" w:rsidTr="00AA2A4C">
        <w:tblPrEx>
          <w:tblCellMar>
            <w:top w:w="0" w:type="dxa"/>
            <w:bottom w:w="0" w:type="dxa"/>
          </w:tblCellMar>
        </w:tblPrEx>
        <w:trPr>
          <w:cantSplit/>
        </w:trPr>
        <w:tc>
          <w:tcPr>
            <w:tcW w:w="624" w:type="dxa"/>
          </w:tcPr>
          <w:p w14:paraId="75C6CAD7" w14:textId="77777777" w:rsidR="00711444" w:rsidRPr="004D0DAA" w:rsidRDefault="00711444" w:rsidP="00AA2A4C">
            <w:pPr>
              <w:pStyle w:val="TAC"/>
              <w:rPr>
                <w:lang w:eastAsia="en-US"/>
              </w:rPr>
            </w:pPr>
            <w:r w:rsidRPr="004D0DAA">
              <w:rPr>
                <w:lang w:eastAsia="en-US"/>
              </w:rPr>
              <w:t>8</w:t>
            </w:r>
          </w:p>
        </w:tc>
        <w:tc>
          <w:tcPr>
            <w:tcW w:w="624" w:type="dxa"/>
          </w:tcPr>
          <w:p w14:paraId="666082A1" w14:textId="77777777" w:rsidR="00711444" w:rsidRPr="004D0DAA" w:rsidRDefault="00711444" w:rsidP="00AA2A4C">
            <w:pPr>
              <w:pStyle w:val="TAC"/>
              <w:rPr>
                <w:lang w:eastAsia="en-US"/>
              </w:rPr>
            </w:pPr>
            <w:r w:rsidRPr="004D0DAA">
              <w:rPr>
                <w:lang w:eastAsia="en-US"/>
              </w:rPr>
              <w:t>7</w:t>
            </w:r>
          </w:p>
        </w:tc>
        <w:tc>
          <w:tcPr>
            <w:tcW w:w="624" w:type="dxa"/>
          </w:tcPr>
          <w:p w14:paraId="1F804351" w14:textId="77777777" w:rsidR="00711444" w:rsidRPr="004D0DAA" w:rsidRDefault="00711444" w:rsidP="00AA2A4C">
            <w:pPr>
              <w:pStyle w:val="TAC"/>
              <w:rPr>
                <w:lang w:eastAsia="en-US"/>
              </w:rPr>
            </w:pPr>
            <w:r w:rsidRPr="004D0DAA">
              <w:rPr>
                <w:lang w:eastAsia="en-US"/>
              </w:rPr>
              <w:t>6</w:t>
            </w:r>
          </w:p>
        </w:tc>
        <w:tc>
          <w:tcPr>
            <w:tcW w:w="624" w:type="dxa"/>
          </w:tcPr>
          <w:p w14:paraId="16A33253" w14:textId="77777777" w:rsidR="00711444" w:rsidRPr="004D0DAA" w:rsidRDefault="00711444" w:rsidP="00AA2A4C">
            <w:pPr>
              <w:pStyle w:val="TAC"/>
              <w:rPr>
                <w:lang w:eastAsia="en-US"/>
              </w:rPr>
            </w:pPr>
            <w:r w:rsidRPr="004D0DAA">
              <w:rPr>
                <w:lang w:eastAsia="en-US"/>
              </w:rPr>
              <w:t>5</w:t>
            </w:r>
          </w:p>
        </w:tc>
        <w:tc>
          <w:tcPr>
            <w:tcW w:w="624" w:type="dxa"/>
          </w:tcPr>
          <w:p w14:paraId="0DCE60F7" w14:textId="77777777" w:rsidR="00711444" w:rsidRPr="004D0DAA" w:rsidRDefault="00711444" w:rsidP="00AA2A4C">
            <w:pPr>
              <w:pStyle w:val="TAC"/>
              <w:rPr>
                <w:lang w:eastAsia="en-US"/>
              </w:rPr>
            </w:pPr>
            <w:r w:rsidRPr="004D0DAA">
              <w:rPr>
                <w:lang w:eastAsia="en-US"/>
              </w:rPr>
              <w:t>4</w:t>
            </w:r>
          </w:p>
        </w:tc>
        <w:tc>
          <w:tcPr>
            <w:tcW w:w="624" w:type="dxa"/>
          </w:tcPr>
          <w:p w14:paraId="416A89CB" w14:textId="77777777" w:rsidR="00711444" w:rsidRPr="004D0DAA" w:rsidRDefault="00711444" w:rsidP="00AA2A4C">
            <w:pPr>
              <w:pStyle w:val="TAC"/>
              <w:rPr>
                <w:lang w:eastAsia="en-US"/>
              </w:rPr>
            </w:pPr>
            <w:r w:rsidRPr="004D0DAA">
              <w:rPr>
                <w:lang w:eastAsia="en-US"/>
              </w:rPr>
              <w:t>3</w:t>
            </w:r>
          </w:p>
        </w:tc>
        <w:tc>
          <w:tcPr>
            <w:tcW w:w="624" w:type="dxa"/>
          </w:tcPr>
          <w:p w14:paraId="2F351514" w14:textId="77777777" w:rsidR="00711444" w:rsidRPr="004D0DAA" w:rsidRDefault="00711444" w:rsidP="00AA2A4C">
            <w:pPr>
              <w:pStyle w:val="TAC"/>
              <w:rPr>
                <w:lang w:eastAsia="en-US"/>
              </w:rPr>
            </w:pPr>
            <w:r w:rsidRPr="004D0DAA">
              <w:rPr>
                <w:lang w:eastAsia="en-US"/>
              </w:rPr>
              <w:t>2</w:t>
            </w:r>
          </w:p>
        </w:tc>
        <w:tc>
          <w:tcPr>
            <w:tcW w:w="624" w:type="dxa"/>
          </w:tcPr>
          <w:p w14:paraId="22765C0F" w14:textId="77777777" w:rsidR="00711444" w:rsidRPr="004D0DAA" w:rsidRDefault="00711444" w:rsidP="00AA2A4C">
            <w:pPr>
              <w:pStyle w:val="TAC"/>
              <w:rPr>
                <w:lang w:eastAsia="en-US"/>
              </w:rPr>
            </w:pPr>
            <w:r w:rsidRPr="004D0DAA">
              <w:rPr>
                <w:lang w:eastAsia="en-US"/>
              </w:rPr>
              <w:t>1</w:t>
            </w:r>
          </w:p>
        </w:tc>
        <w:tc>
          <w:tcPr>
            <w:tcW w:w="1701" w:type="dxa"/>
          </w:tcPr>
          <w:p w14:paraId="31B68357" w14:textId="77777777" w:rsidR="00711444" w:rsidRPr="004D0DAA" w:rsidRDefault="00711444" w:rsidP="00AA2A4C"/>
        </w:tc>
        <w:tc>
          <w:tcPr>
            <w:tcW w:w="1567" w:type="dxa"/>
            <w:tcBorders>
              <w:left w:val="single" w:sz="6" w:space="0" w:color="auto"/>
              <w:right w:val="single" w:sz="6" w:space="0" w:color="auto"/>
            </w:tcBorders>
          </w:tcPr>
          <w:p w14:paraId="41D97CEB" w14:textId="77777777" w:rsidR="00711444" w:rsidRPr="004D0DAA" w:rsidRDefault="00711444" w:rsidP="00AA2A4C">
            <w:pPr>
              <w:pStyle w:val="TAC"/>
              <w:rPr>
                <w:lang w:eastAsia="en-US"/>
              </w:rPr>
            </w:pPr>
          </w:p>
        </w:tc>
      </w:tr>
      <w:tr w:rsidR="00711444" w:rsidRPr="004D0DAA" w14:paraId="14000A2B"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651D80C6"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37E20685"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7520E6F1"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0A48A876" w14:textId="77777777" w:rsidR="00711444" w:rsidRPr="004D0DAA" w:rsidRDefault="00711444" w:rsidP="00AA2A4C"/>
        </w:tc>
        <w:tc>
          <w:tcPr>
            <w:tcW w:w="624" w:type="dxa"/>
            <w:tcBorders>
              <w:top w:val="single" w:sz="6" w:space="0" w:color="auto"/>
              <w:bottom w:val="single" w:sz="6" w:space="0" w:color="auto"/>
            </w:tcBorders>
          </w:tcPr>
          <w:p w14:paraId="2073628D"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05989118" w14:textId="77777777" w:rsidR="00711444" w:rsidRPr="004D0DAA" w:rsidRDefault="00711444" w:rsidP="00AA2A4C"/>
        </w:tc>
        <w:tc>
          <w:tcPr>
            <w:tcW w:w="1701" w:type="dxa"/>
          </w:tcPr>
          <w:p w14:paraId="4902FF57"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130A7A3C" w14:textId="77777777" w:rsidR="00711444" w:rsidRPr="004D0DAA" w:rsidRDefault="00711444" w:rsidP="00AA2A4C">
            <w:pPr>
              <w:pStyle w:val="TAC"/>
              <w:rPr>
                <w:lang w:eastAsia="en-US"/>
              </w:rPr>
            </w:pPr>
          </w:p>
        </w:tc>
      </w:tr>
      <w:tr w:rsidR="00711444" w:rsidRPr="004D0DAA" w14:paraId="594F4871" w14:textId="77777777" w:rsidTr="00AA2A4C">
        <w:tblPrEx>
          <w:tblCellMar>
            <w:top w:w="0" w:type="dxa"/>
            <w:bottom w:w="0" w:type="dxa"/>
          </w:tblCellMar>
        </w:tblPrEx>
        <w:trPr>
          <w:cantSplit/>
        </w:trPr>
        <w:tc>
          <w:tcPr>
            <w:tcW w:w="1248" w:type="dxa"/>
            <w:gridSpan w:val="2"/>
            <w:tcBorders>
              <w:top w:val="single" w:sz="6" w:space="0" w:color="auto"/>
              <w:left w:val="single" w:sz="6" w:space="0" w:color="auto"/>
              <w:bottom w:val="single" w:sz="6" w:space="0" w:color="auto"/>
              <w:right w:val="single" w:sz="6" w:space="0" w:color="auto"/>
            </w:tcBorders>
          </w:tcPr>
          <w:p w14:paraId="6092DA34" w14:textId="77777777" w:rsidR="00711444" w:rsidRPr="004D0DAA" w:rsidRDefault="00711444" w:rsidP="00AA2A4C">
            <w:pPr>
              <w:pStyle w:val="TAC"/>
              <w:rPr>
                <w:lang w:eastAsia="en-US"/>
              </w:rPr>
            </w:pPr>
            <w:r w:rsidRPr="004D0DAA">
              <w:rPr>
                <w:lang w:eastAsia="en-US"/>
              </w:rPr>
              <w:t>PR</w:t>
            </w:r>
          </w:p>
        </w:tc>
        <w:tc>
          <w:tcPr>
            <w:tcW w:w="3120" w:type="dxa"/>
            <w:gridSpan w:val="5"/>
            <w:tcBorders>
              <w:top w:val="single" w:sz="6" w:space="0" w:color="auto"/>
              <w:left w:val="single" w:sz="6" w:space="0" w:color="auto"/>
              <w:bottom w:val="single" w:sz="6" w:space="0" w:color="auto"/>
              <w:right w:val="single" w:sz="6" w:space="0" w:color="auto"/>
            </w:tcBorders>
          </w:tcPr>
          <w:p w14:paraId="7CC9DAC6"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left w:val="single" w:sz="6" w:space="0" w:color="auto"/>
              <w:bottom w:val="single" w:sz="6" w:space="0" w:color="auto"/>
              <w:right w:val="single" w:sz="6" w:space="0" w:color="auto"/>
            </w:tcBorders>
          </w:tcPr>
          <w:p w14:paraId="66DACE9F" w14:textId="77777777" w:rsidR="00711444" w:rsidRPr="004D0DAA" w:rsidRDefault="00711444" w:rsidP="00AA2A4C">
            <w:pPr>
              <w:pStyle w:val="TAC"/>
              <w:rPr>
                <w:lang w:eastAsia="en-US"/>
              </w:rPr>
            </w:pPr>
            <w:r w:rsidRPr="004D0DAA">
              <w:rPr>
                <w:lang w:eastAsia="en-US"/>
              </w:rPr>
              <w:t>FBI</w:t>
            </w:r>
          </w:p>
        </w:tc>
        <w:tc>
          <w:tcPr>
            <w:tcW w:w="1701" w:type="dxa"/>
          </w:tcPr>
          <w:p w14:paraId="73358ACB"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681A7033" w14:textId="77777777" w:rsidR="00711444" w:rsidRPr="004D0DAA" w:rsidRDefault="00711444" w:rsidP="00AA2A4C">
            <w:pPr>
              <w:pStyle w:val="TAC"/>
              <w:rPr>
                <w:lang w:eastAsia="en-US"/>
              </w:rPr>
            </w:pPr>
          </w:p>
        </w:tc>
      </w:tr>
      <w:tr w:rsidR="00711444" w:rsidRPr="004D0DAA" w14:paraId="4AA602B7"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519AF0D0" w14:textId="77777777" w:rsidR="00711444" w:rsidRPr="004D0DAA" w:rsidRDefault="00711444" w:rsidP="00AA2A4C"/>
        </w:tc>
        <w:tc>
          <w:tcPr>
            <w:tcW w:w="624" w:type="dxa"/>
            <w:tcBorders>
              <w:top w:val="single" w:sz="6" w:space="0" w:color="auto"/>
            </w:tcBorders>
          </w:tcPr>
          <w:p w14:paraId="40154CA1" w14:textId="77777777" w:rsidR="00711444" w:rsidRPr="004D0DAA" w:rsidRDefault="00711444" w:rsidP="00AA2A4C"/>
        </w:tc>
        <w:tc>
          <w:tcPr>
            <w:tcW w:w="624" w:type="dxa"/>
            <w:tcBorders>
              <w:top w:val="single" w:sz="6" w:space="0" w:color="auto"/>
            </w:tcBorders>
          </w:tcPr>
          <w:p w14:paraId="0C299A01" w14:textId="77777777" w:rsidR="00711444" w:rsidRPr="004D0DAA" w:rsidRDefault="00711444" w:rsidP="00AA2A4C"/>
        </w:tc>
        <w:tc>
          <w:tcPr>
            <w:tcW w:w="624" w:type="dxa"/>
            <w:tcBorders>
              <w:top w:val="single" w:sz="6" w:space="0" w:color="auto"/>
            </w:tcBorders>
          </w:tcPr>
          <w:p w14:paraId="3305BFDA"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7E9DDD77" w14:textId="77777777" w:rsidR="00711444" w:rsidRPr="004D0DAA" w:rsidRDefault="00711444" w:rsidP="00AA2A4C"/>
        </w:tc>
        <w:tc>
          <w:tcPr>
            <w:tcW w:w="624" w:type="dxa"/>
            <w:tcBorders>
              <w:top w:val="single" w:sz="6" w:space="0" w:color="auto"/>
            </w:tcBorders>
          </w:tcPr>
          <w:p w14:paraId="0946252E" w14:textId="77777777" w:rsidR="00711444" w:rsidRPr="004D0DAA" w:rsidRDefault="00711444" w:rsidP="00AA2A4C"/>
        </w:tc>
        <w:tc>
          <w:tcPr>
            <w:tcW w:w="624" w:type="dxa"/>
            <w:tcBorders>
              <w:top w:val="single" w:sz="6" w:space="0" w:color="auto"/>
              <w:right w:val="single" w:sz="6" w:space="0" w:color="auto"/>
            </w:tcBorders>
          </w:tcPr>
          <w:p w14:paraId="630D0E6E" w14:textId="77777777" w:rsidR="00711444" w:rsidRPr="004D0DAA" w:rsidRDefault="00711444" w:rsidP="00AA2A4C"/>
        </w:tc>
        <w:tc>
          <w:tcPr>
            <w:tcW w:w="624" w:type="dxa"/>
            <w:tcBorders>
              <w:top w:val="single" w:sz="6" w:space="0" w:color="auto"/>
              <w:right w:val="single" w:sz="6" w:space="0" w:color="auto"/>
            </w:tcBorders>
          </w:tcPr>
          <w:p w14:paraId="06EF7F0F" w14:textId="77777777" w:rsidR="00711444" w:rsidRPr="004D0DAA" w:rsidRDefault="00711444" w:rsidP="00AA2A4C">
            <w:pPr>
              <w:pStyle w:val="TAC"/>
              <w:rPr>
                <w:lang w:eastAsia="en-US"/>
              </w:rPr>
            </w:pPr>
            <w:r w:rsidRPr="004D0DAA">
              <w:rPr>
                <w:lang w:eastAsia="en-US"/>
              </w:rPr>
              <w:t>E = 1</w:t>
            </w:r>
          </w:p>
        </w:tc>
        <w:tc>
          <w:tcPr>
            <w:tcW w:w="1701" w:type="dxa"/>
          </w:tcPr>
          <w:p w14:paraId="2CEA27E9"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2E09D7BC" w14:textId="77777777" w:rsidR="00711444" w:rsidRPr="004D0DAA" w:rsidRDefault="00711444" w:rsidP="00AA2A4C">
            <w:pPr>
              <w:pStyle w:val="TAC"/>
              <w:rPr>
                <w:lang w:eastAsia="en-US"/>
              </w:rPr>
            </w:pPr>
          </w:p>
        </w:tc>
      </w:tr>
      <w:tr w:rsidR="00711444" w:rsidRPr="004D0DAA" w14:paraId="593EF5F4" w14:textId="77777777" w:rsidTr="00AA2A4C">
        <w:tblPrEx>
          <w:tblCellMar>
            <w:top w:w="0" w:type="dxa"/>
            <w:bottom w:w="0" w:type="dxa"/>
          </w:tblCellMar>
        </w:tblPrEx>
        <w:trPr>
          <w:cantSplit/>
        </w:trPr>
        <w:tc>
          <w:tcPr>
            <w:tcW w:w="3744" w:type="dxa"/>
            <w:gridSpan w:val="6"/>
            <w:tcBorders>
              <w:top w:val="single" w:sz="6" w:space="0" w:color="auto"/>
              <w:left w:val="single" w:sz="6" w:space="0" w:color="auto"/>
            </w:tcBorders>
          </w:tcPr>
          <w:p w14:paraId="5DC301E4" w14:textId="77777777" w:rsidR="00711444" w:rsidRPr="004D0DAA" w:rsidRDefault="00711444" w:rsidP="00AA2A4C"/>
        </w:tc>
        <w:tc>
          <w:tcPr>
            <w:tcW w:w="624" w:type="dxa"/>
            <w:tcBorders>
              <w:top w:val="single" w:sz="6" w:space="0" w:color="auto"/>
            </w:tcBorders>
          </w:tcPr>
          <w:p w14:paraId="1D2C78BF" w14:textId="77777777" w:rsidR="00711444" w:rsidRPr="004D0DAA" w:rsidRDefault="00711444" w:rsidP="00AA2A4C"/>
        </w:tc>
        <w:tc>
          <w:tcPr>
            <w:tcW w:w="624" w:type="dxa"/>
            <w:tcBorders>
              <w:top w:val="single" w:sz="6" w:space="0" w:color="auto"/>
              <w:right w:val="single" w:sz="6" w:space="0" w:color="auto"/>
            </w:tcBorders>
          </w:tcPr>
          <w:p w14:paraId="4E2106F6" w14:textId="77777777" w:rsidR="00711444" w:rsidRPr="004D0DAA" w:rsidRDefault="00711444" w:rsidP="00AA2A4C"/>
        </w:tc>
        <w:tc>
          <w:tcPr>
            <w:tcW w:w="1701" w:type="dxa"/>
          </w:tcPr>
          <w:p w14:paraId="6414E175"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101A3A65" w14:textId="77777777" w:rsidR="00711444" w:rsidRPr="004D0DAA" w:rsidRDefault="00711444" w:rsidP="00AA2A4C">
            <w:pPr>
              <w:pStyle w:val="TAC"/>
              <w:rPr>
                <w:lang w:eastAsia="en-US"/>
              </w:rPr>
            </w:pPr>
          </w:p>
        </w:tc>
      </w:tr>
      <w:tr w:rsidR="00711444" w:rsidRPr="004D0DAA" w14:paraId="565497C4" w14:textId="77777777" w:rsidTr="00AA2A4C">
        <w:tblPrEx>
          <w:tblCellMar>
            <w:top w:w="0" w:type="dxa"/>
            <w:bottom w:w="0" w:type="dxa"/>
          </w:tblCellMar>
        </w:tblPrEx>
        <w:trPr>
          <w:cantSplit/>
        </w:trPr>
        <w:tc>
          <w:tcPr>
            <w:tcW w:w="624" w:type="dxa"/>
            <w:tcBorders>
              <w:left w:val="single" w:sz="6" w:space="0" w:color="auto"/>
            </w:tcBorders>
          </w:tcPr>
          <w:p w14:paraId="5F6E737F" w14:textId="77777777" w:rsidR="00711444" w:rsidRPr="004D0DAA" w:rsidRDefault="00711444" w:rsidP="00AA2A4C"/>
        </w:tc>
        <w:tc>
          <w:tcPr>
            <w:tcW w:w="624" w:type="dxa"/>
          </w:tcPr>
          <w:p w14:paraId="2B51B185" w14:textId="77777777" w:rsidR="00711444" w:rsidRPr="004D0DAA" w:rsidRDefault="00711444" w:rsidP="00AA2A4C"/>
        </w:tc>
        <w:tc>
          <w:tcPr>
            <w:tcW w:w="624" w:type="dxa"/>
          </w:tcPr>
          <w:p w14:paraId="781401BF" w14:textId="77777777" w:rsidR="00711444" w:rsidRPr="004D0DAA" w:rsidRDefault="00711444" w:rsidP="00AA2A4C"/>
        </w:tc>
        <w:tc>
          <w:tcPr>
            <w:tcW w:w="624" w:type="dxa"/>
          </w:tcPr>
          <w:p w14:paraId="3293F2B3" w14:textId="77777777" w:rsidR="00711444" w:rsidRPr="004D0DAA" w:rsidRDefault="00711444" w:rsidP="00AA2A4C"/>
        </w:tc>
        <w:tc>
          <w:tcPr>
            <w:tcW w:w="624" w:type="dxa"/>
          </w:tcPr>
          <w:p w14:paraId="70D28FAC" w14:textId="77777777" w:rsidR="00711444" w:rsidRPr="004D0DAA" w:rsidRDefault="00711444" w:rsidP="00AA2A4C"/>
        </w:tc>
        <w:tc>
          <w:tcPr>
            <w:tcW w:w="624" w:type="dxa"/>
          </w:tcPr>
          <w:p w14:paraId="58DEA0BC" w14:textId="77777777" w:rsidR="00711444" w:rsidRPr="004D0DAA" w:rsidRDefault="00711444" w:rsidP="00AA2A4C"/>
        </w:tc>
        <w:tc>
          <w:tcPr>
            <w:tcW w:w="624" w:type="dxa"/>
          </w:tcPr>
          <w:p w14:paraId="6FC931D2" w14:textId="77777777" w:rsidR="00711444" w:rsidRPr="004D0DAA" w:rsidRDefault="00711444" w:rsidP="00AA2A4C"/>
        </w:tc>
        <w:tc>
          <w:tcPr>
            <w:tcW w:w="624" w:type="dxa"/>
            <w:tcBorders>
              <w:right w:val="single" w:sz="6" w:space="0" w:color="auto"/>
            </w:tcBorders>
          </w:tcPr>
          <w:p w14:paraId="14894A37" w14:textId="77777777" w:rsidR="00711444" w:rsidRPr="004D0DAA" w:rsidRDefault="00711444" w:rsidP="00AA2A4C"/>
        </w:tc>
        <w:tc>
          <w:tcPr>
            <w:tcW w:w="1701" w:type="dxa"/>
          </w:tcPr>
          <w:p w14:paraId="71F0DC72"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4045F1A8" w14:textId="77777777" w:rsidR="00711444" w:rsidRPr="004D0DAA" w:rsidRDefault="00711444" w:rsidP="00AA2A4C">
            <w:pPr>
              <w:pStyle w:val="TAC"/>
              <w:rPr>
                <w:lang w:eastAsia="en-US"/>
              </w:rPr>
            </w:pPr>
          </w:p>
        </w:tc>
      </w:tr>
      <w:tr w:rsidR="00711444" w:rsidRPr="004D0DAA" w14:paraId="594CB10E"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064F1CF6" w14:textId="77777777" w:rsidR="00711444" w:rsidRPr="004D0DAA" w:rsidRDefault="00711444" w:rsidP="00AA2A4C">
            <w:pPr>
              <w:pStyle w:val="TAC"/>
              <w:rPr>
                <w:lang w:eastAsia="en-US"/>
              </w:rPr>
            </w:pPr>
            <w:r w:rsidRPr="004D0DAA">
              <w:rPr>
                <w:lang w:eastAsia="en-US"/>
              </w:rPr>
              <w:br/>
              <w:t>LLC PDU 1 (cont)</w:t>
            </w:r>
          </w:p>
        </w:tc>
        <w:tc>
          <w:tcPr>
            <w:tcW w:w="1701" w:type="dxa"/>
          </w:tcPr>
          <w:p w14:paraId="2416CC48" w14:textId="77777777" w:rsidR="00711444" w:rsidRPr="004D0DAA" w:rsidRDefault="00711444" w:rsidP="00AA2A4C">
            <w:pPr>
              <w:pStyle w:val="TAC"/>
              <w:rPr>
                <w:lang w:eastAsia="en-US"/>
              </w:rPr>
            </w:pPr>
            <w:r w:rsidRPr="004D0DAA">
              <w:rPr>
                <w:lang w:eastAsia="en-US"/>
              </w:rPr>
              <w:t>.</w:t>
            </w:r>
          </w:p>
          <w:p w14:paraId="19A7A181" w14:textId="77777777" w:rsidR="00711444" w:rsidRPr="004D0DAA" w:rsidRDefault="00711444" w:rsidP="00AA2A4C">
            <w:pPr>
              <w:pStyle w:val="TAC"/>
              <w:rPr>
                <w:lang w:eastAsia="en-US"/>
              </w:rPr>
            </w:pPr>
            <w:r w:rsidRPr="004D0DAA">
              <w:rPr>
                <w:lang w:eastAsia="en-US"/>
              </w:rPr>
              <w:t>.</w:t>
            </w:r>
          </w:p>
          <w:p w14:paraId="4EEB7FF2"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3B983597" w14:textId="77777777" w:rsidR="00711444" w:rsidRPr="004D0DAA" w:rsidRDefault="00711444" w:rsidP="00AA2A4C">
            <w:pPr>
              <w:pStyle w:val="TAC"/>
              <w:rPr>
                <w:lang w:eastAsia="en-US"/>
              </w:rPr>
            </w:pPr>
            <w:r w:rsidRPr="004D0DAA">
              <w:rPr>
                <w:lang w:eastAsia="en-US"/>
              </w:rPr>
              <w:t>LLC PDU 1</w:t>
            </w:r>
          </w:p>
        </w:tc>
      </w:tr>
      <w:tr w:rsidR="00711444" w:rsidRPr="004D0DAA" w14:paraId="22B2B8FD"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6E313FB3" w14:textId="77777777" w:rsidR="00711444" w:rsidRPr="004D0DAA" w:rsidRDefault="00711444" w:rsidP="00AA2A4C"/>
        </w:tc>
        <w:tc>
          <w:tcPr>
            <w:tcW w:w="624" w:type="dxa"/>
            <w:tcBorders>
              <w:bottom w:val="single" w:sz="6" w:space="0" w:color="auto"/>
            </w:tcBorders>
          </w:tcPr>
          <w:p w14:paraId="72659928" w14:textId="77777777" w:rsidR="00711444" w:rsidRPr="004D0DAA" w:rsidRDefault="00711444" w:rsidP="00AA2A4C"/>
        </w:tc>
        <w:tc>
          <w:tcPr>
            <w:tcW w:w="624" w:type="dxa"/>
            <w:tcBorders>
              <w:bottom w:val="single" w:sz="6" w:space="0" w:color="auto"/>
            </w:tcBorders>
          </w:tcPr>
          <w:p w14:paraId="3EB1795C" w14:textId="77777777" w:rsidR="00711444" w:rsidRPr="004D0DAA" w:rsidRDefault="00711444" w:rsidP="00AA2A4C"/>
        </w:tc>
        <w:tc>
          <w:tcPr>
            <w:tcW w:w="624" w:type="dxa"/>
            <w:tcBorders>
              <w:bottom w:val="single" w:sz="6" w:space="0" w:color="auto"/>
            </w:tcBorders>
          </w:tcPr>
          <w:p w14:paraId="39899291" w14:textId="77777777" w:rsidR="00711444" w:rsidRPr="004D0DAA" w:rsidRDefault="00711444" w:rsidP="00AA2A4C"/>
        </w:tc>
        <w:tc>
          <w:tcPr>
            <w:tcW w:w="624" w:type="dxa"/>
            <w:tcBorders>
              <w:bottom w:val="single" w:sz="6" w:space="0" w:color="auto"/>
            </w:tcBorders>
          </w:tcPr>
          <w:p w14:paraId="6DC89DD7" w14:textId="77777777" w:rsidR="00711444" w:rsidRPr="004D0DAA" w:rsidRDefault="00711444" w:rsidP="00AA2A4C"/>
        </w:tc>
        <w:tc>
          <w:tcPr>
            <w:tcW w:w="624" w:type="dxa"/>
            <w:tcBorders>
              <w:bottom w:val="single" w:sz="6" w:space="0" w:color="auto"/>
            </w:tcBorders>
          </w:tcPr>
          <w:p w14:paraId="445C20CA" w14:textId="77777777" w:rsidR="00711444" w:rsidRPr="004D0DAA" w:rsidRDefault="00711444" w:rsidP="00AA2A4C"/>
        </w:tc>
        <w:tc>
          <w:tcPr>
            <w:tcW w:w="624" w:type="dxa"/>
            <w:tcBorders>
              <w:bottom w:val="single" w:sz="6" w:space="0" w:color="auto"/>
            </w:tcBorders>
          </w:tcPr>
          <w:p w14:paraId="1D62BD93" w14:textId="77777777" w:rsidR="00711444" w:rsidRPr="004D0DAA" w:rsidRDefault="00711444" w:rsidP="00AA2A4C"/>
        </w:tc>
        <w:tc>
          <w:tcPr>
            <w:tcW w:w="624" w:type="dxa"/>
            <w:tcBorders>
              <w:bottom w:val="single" w:sz="6" w:space="0" w:color="auto"/>
              <w:right w:val="single" w:sz="6" w:space="0" w:color="auto"/>
            </w:tcBorders>
          </w:tcPr>
          <w:p w14:paraId="700F8239" w14:textId="77777777" w:rsidR="00711444" w:rsidRPr="004D0DAA" w:rsidRDefault="00711444" w:rsidP="00AA2A4C"/>
        </w:tc>
        <w:tc>
          <w:tcPr>
            <w:tcW w:w="1701" w:type="dxa"/>
          </w:tcPr>
          <w:p w14:paraId="1E03AC09"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0DEB9B55" w14:textId="77777777" w:rsidR="00711444" w:rsidRPr="004D0DAA" w:rsidRDefault="00711444" w:rsidP="00AA2A4C">
            <w:pPr>
              <w:pStyle w:val="TAC"/>
              <w:rPr>
                <w:lang w:eastAsia="en-US"/>
              </w:rPr>
            </w:pPr>
          </w:p>
        </w:tc>
      </w:tr>
      <w:tr w:rsidR="00711444" w:rsidRPr="004D0DAA" w14:paraId="4CB8A2B3" w14:textId="77777777" w:rsidTr="00AA2A4C">
        <w:tblPrEx>
          <w:tblCellMar>
            <w:top w:w="0" w:type="dxa"/>
            <w:bottom w:w="0" w:type="dxa"/>
          </w:tblCellMar>
        </w:tblPrEx>
        <w:trPr>
          <w:cantSplit/>
        </w:trPr>
        <w:tc>
          <w:tcPr>
            <w:tcW w:w="4992" w:type="dxa"/>
            <w:gridSpan w:val="8"/>
          </w:tcPr>
          <w:p w14:paraId="3D6F82B9" w14:textId="77777777" w:rsidR="00711444" w:rsidRPr="004D0DAA" w:rsidRDefault="00711444" w:rsidP="00AA2A4C"/>
        </w:tc>
        <w:tc>
          <w:tcPr>
            <w:tcW w:w="1701" w:type="dxa"/>
          </w:tcPr>
          <w:p w14:paraId="79F6D19D" w14:textId="77777777" w:rsidR="00711444" w:rsidRPr="004D0DAA" w:rsidRDefault="00711444" w:rsidP="00AA2A4C"/>
        </w:tc>
        <w:tc>
          <w:tcPr>
            <w:tcW w:w="1567" w:type="dxa"/>
            <w:tcBorders>
              <w:left w:val="single" w:sz="6" w:space="0" w:color="auto"/>
              <w:right w:val="single" w:sz="6" w:space="0" w:color="auto"/>
            </w:tcBorders>
          </w:tcPr>
          <w:p w14:paraId="0CD46F25" w14:textId="77777777" w:rsidR="00711444" w:rsidRPr="004D0DAA" w:rsidRDefault="00711444" w:rsidP="00AA2A4C">
            <w:pPr>
              <w:pStyle w:val="TAC"/>
              <w:rPr>
                <w:lang w:eastAsia="en-US"/>
              </w:rPr>
            </w:pPr>
          </w:p>
        </w:tc>
      </w:tr>
      <w:tr w:rsidR="00711444" w:rsidRPr="004D0DAA" w14:paraId="0D556F36" w14:textId="77777777" w:rsidTr="00AA2A4C">
        <w:tblPrEx>
          <w:tblCellMar>
            <w:top w:w="0" w:type="dxa"/>
            <w:bottom w:w="0" w:type="dxa"/>
          </w:tblCellMar>
        </w:tblPrEx>
        <w:trPr>
          <w:cantSplit/>
        </w:trPr>
        <w:tc>
          <w:tcPr>
            <w:tcW w:w="4992" w:type="dxa"/>
            <w:gridSpan w:val="8"/>
          </w:tcPr>
          <w:p w14:paraId="62469912" w14:textId="77777777" w:rsidR="00711444" w:rsidRPr="004D0DAA" w:rsidRDefault="00711444" w:rsidP="00AA2A4C">
            <w:pPr>
              <w:pStyle w:val="TAC"/>
              <w:rPr>
                <w:lang w:eastAsia="en-US"/>
              </w:rPr>
            </w:pPr>
            <w:r w:rsidRPr="004D0DAA">
              <w:rPr>
                <w:lang w:eastAsia="en-US"/>
              </w:rPr>
              <w:t>RLC data block N + 1</w:t>
            </w:r>
          </w:p>
        </w:tc>
        <w:tc>
          <w:tcPr>
            <w:tcW w:w="1701" w:type="dxa"/>
          </w:tcPr>
          <w:p w14:paraId="496B44E5" w14:textId="77777777" w:rsidR="00711444" w:rsidRPr="004D0DAA" w:rsidRDefault="00711444" w:rsidP="00AA2A4C"/>
        </w:tc>
        <w:tc>
          <w:tcPr>
            <w:tcW w:w="1567" w:type="dxa"/>
            <w:tcBorders>
              <w:left w:val="single" w:sz="6" w:space="0" w:color="auto"/>
              <w:right w:val="single" w:sz="6" w:space="0" w:color="auto"/>
            </w:tcBorders>
          </w:tcPr>
          <w:p w14:paraId="333EDA9C" w14:textId="77777777" w:rsidR="00711444" w:rsidRPr="004D0DAA" w:rsidRDefault="00711444" w:rsidP="00AA2A4C">
            <w:pPr>
              <w:pStyle w:val="TAC"/>
              <w:rPr>
                <w:lang w:eastAsia="en-US"/>
              </w:rPr>
            </w:pPr>
          </w:p>
        </w:tc>
      </w:tr>
      <w:tr w:rsidR="00711444" w:rsidRPr="004D0DAA" w14:paraId="21577AB5" w14:textId="77777777" w:rsidTr="00AA2A4C">
        <w:tblPrEx>
          <w:tblCellMar>
            <w:top w:w="0" w:type="dxa"/>
            <w:bottom w:w="0" w:type="dxa"/>
          </w:tblCellMar>
        </w:tblPrEx>
        <w:trPr>
          <w:cantSplit/>
        </w:trPr>
        <w:tc>
          <w:tcPr>
            <w:tcW w:w="624" w:type="dxa"/>
          </w:tcPr>
          <w:p w14:paraId="21982A9C" w14:textId="77777777" w:rsidR="00711444" w:rsidRPr="004D0DAA" w:rsidRDefault="00711444" w:rsidP="00AA2A4C">
            <w:pPr>
              <w:pStyle w:val="TAC"/>
              <w:rPr>
                <w:lang w:eastAsia="en-US"/>
              </w:rPr>
            </w:pPr>
            <w:r w:rsidRPr="004D0DAA">
              <w:rPr>
                <w:lang w:eastAsia="en-US"/>
              </w:rPr>
              <w:t>8</w:t>
            </w:r>
          </w:p>
        </w:tc>
        <w:tc>
          <w:tcPr>
            <w:tcW w:w="624" w:type="dxa"/>
          </w:tcPr>
          <w:p w14:paraId="65A75ACB" w14:textId="77777777" w:rsidR="00711444" w:rsidRPr="004D0DAA" w:rsidRDefault="00711444" w:rsidP="00AA2A4C">
            <w:pPr>
              <w:pStyle w:val="TAC"/>
              <w:rPr>
                <w:lang w:eastAsia="en-US"/>
              </w:rPr>
            </w:pPr>
            <w:r w:rsidRPr="004D0DAA">
              <w:rPr>
                <w:lang w:eastAsia="en-US"/>
              </w:rPr>
              <w:t>7</w:t>
            </w:r>
          </w:p>
        </w:tc>
        <w:tc>
          <w:tcPr>
            <w:tcW w:w="624" w:type="dxa"/>
          </w:tcPr>
          <w:p w14:paraId="6052F975" w14:textId="77777777" w:rsidR="00711444" w:rsidRPr="004D0DAA" w:rsidRDefault="00711444" w:rsidP="00AA2A4C">
            <w:pPr>
              <w:pStyle w:val="TAC"/>
              <w:rPr>
                <w:lang w:eastAsia="en-US"/>
              </w:rPr>
            </w:pPr>
            <w:r w:rsidRPr="004D0DAA">
              <w:rPr>
                <w:lang w:eastAsia="en-US"/>
              </w:rPr>
              <w:t>6</w:t>
            </w:r>
          </w:p>
        </w:tc>
        <w:tc>
          <w:tcPr>
            <w:tcW w:w="624" w:type="dxa"/>
          </w:tcPr>
          <w:p w14:paraId="6A38E3EE" w14:textId="77777777" w:rsidR="00711444" w:rsidRPr="004D0DAA" w:rsidRDefault="00711444" w:rsidP="00AA2A4C">
            <w:pPr>
              <w:pStyle w:val="TAC"/>
              <w:rPr>
                <w:lang w:eastAsia="en-US"/>
              </w:rPr>
            </w:pPr>
            <w:r w:rsidRPr="004D0DAA">
              <w:rPr>
                <w:lang w:eastAsia="en-US"/>
              </w:rPr>
              <w:t>5</w:t>
            </w:r>
          </w:p>
        </w:tc>
        <w:tc>
          <w:tcPr>
            <w:tcW w:w="624" w:type="dxa"/>
          </w:tcPr>
          <w:p w14:paraId="238D06EA" w14:textId="77777777" w:rsidR="00711444" w:rsidRPr="004D0DAA" w:rsidRDefault="00711444" w:rsidP="00AA2A4C">
            <w:pPr>
              <w:pStyle w:val="TAC"/>
              <w:rPr>
                <w:lang w:eastAsia="en-US"/>
              </w:rPr>
            </w:pPr>
            <w:r w:rsidRPr="004D0DAA">
              <w:rPr>
                <w:lang w:eastAsia="en-US"/>
              </w:rPr>
              <w:t>4</w:t>
            </w:r>
          </w:p>
        </w:tc>
        <w:tc>
          <w:tcPr>
            <w:tcW w:w="624" w:type="dxa"/>
          </w:tcPr>
          <w:p w14:paraId="744F1699" w14:textId="77777777" w:rsidR="00711444" w:rsidRPr="004D0DAA" w:rsidRDefault="00711444" w:rsidP="00AA2A4C">
            <w:pPr>
              <w:pStyle w:val="TAC"/>
              <w:rPr>
                <w:lang w:eastAsia="en-US"/>
              </w:rPr>
            </w:pPr>
            <w:r w:rsidRPr="004D0DAA">
              <w:rPr>
                <w:lang w:eastAsia="en-US"/>
              </w:rPr>
              <w:t>3</w:t>
            </w:r>
          </w:p>
        </w:tc>
        <w:tc>
          <w:tcPr>
            <w:tcW w:w="624" w:type="dxa"/>
          </w:tcPr>
          <w:p w14:paraId="1922D263" w14:textId="77777777" w:rsidR="00711444" w:rsidRPr="004D0DAA" w:rsidRDefault="00711444" w:rsidP="00AA2A4C">
            <w:pPr>
              <w:pStyle w:val="TAC"/>
              <w:rPr>
                <w:lang w:eastAsia="en-US"/>
              </w:rPr>
            </w:pPr>
            <w:r w:rsidRPr="004D0DAA">
              <w:rPr>
                <w:lang w:eastAsia="en-US"/>
              </w:rPr>
              <w:t>2</w:t>
            </w:r>
          </w:p>
        </w:tc>
        <w:tc>
          <w:tcPr>
            <w:tcW w:w="624" w:type="dxa"/>
          </w:tcPr>
          <w:p w14:paraId="67EDDB88" w14:textId="77777777" w:rsidR="00711444" w:rsidRPr="004D0DAA" w:rsidRDefault="00711444" w:rsidP="00AA2A4C">
            <w:pPr>
              <w:pStyle w:val="TAC"/>
              <w:rPr>
                <w:lang w:eastAsia="en-US"/>
              </w:rPr>
            </w:pPr>
            <w:r w:rsidRPr="004D0DAA">
              <w:rPr>
                <w:lang w:eastAsia="en-US"/>
              </w:rPr>
              <w:t>1</w:t>
            </w:r>
          </w:p>
        </w:tc>
        <w:tc>
          <w:tcPr>
            <w:tcW w:w="1701" w:type="dxa"/>
          </w:tcPr>
          <w:p w14:paraId="2B0BD9C2" w14:textId="77777777" w:rsidR="00711444" w:rsidRPr="004D0DAA" w:rsidRDefault="00711444" w:rsidP="00AA2A4C"/>
        </w:tc>
        <w:tc>
          <w:tcPr>
            <w:tcW w:w="1567" w:type="dxa"/>
            <w:tcBorders>
              <w:left w:val="single" w:sz="6" w:space="0" w:color="auto"/>
              <w:right w:val="single" w:sz="6" w:space="0" w:color="auto"/>
            </w:tcBorders>
          </w:tcPr>
          <w:p w14:paraId="00ADA9CB" w14:textId="77777777" w:rsidR="00711444" w:rsidRPr="004D0DAA" w:rsidRDefault="00711444" w:rsidP="00AA2A4C">
            <w:pPr>
              <w:pStyle w:val="TAC"/>
              <w:rPr>
                <w:lang w:eastAsia="en-US"/>
              </w:rPr>
            </w:pPr>
          </w:p>
        </w:tc>
      </w:tr>
      <w:tr w:rsidR="00711444" w:rsidRPr="004D0DAA" w14:paraId="6B1A1024" w14:textId="77777777" w:rsidTr="00AA2A4C">
        <w:tblPrEx>
          <w:tblCellMar>
            <w:top w:w="0" w:type="dxa"/>
            <w:bottom w:w="0" w:type="dxa"/>
          </w:tblCellMar>
        </w:tblPrEx>
        <w:trPr>
          <w:cantSplit/>
        </w:trPr>
        <w:tc>
          <w:tcPr>
            <w:tcW w:w="1248" w:type="dxa"/>
            <w:gridSpan w:val="2"/>
            <w:tcBorders>
              <w:top w:val="single" w:sz="6" w:space="0" w:color="auto"/>
              <w:left w:val="single" w:sz="6" w:space="0" w:color="auto"/>
            </w:tcBorders>
          </w:tcPr>
          <w:p w14:paraId="340B40CE"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2EC1F604"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6207CB1C"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6007D696" w14:textId="77777777" w:rsidR="00711444" w:rsidRPr="004D0DAA" w:rsidRDefault="00711444" w:rsidP="00AA2A4C"/>
        </w:tc>
        <w:tc>
          <w:tcPr>
            <w:tcW w:w="624" w:type="dxa"/>
            <w:tcBorders>
              <w:top w:val="single" w:sz="6" w:space="0" w:color="auto"/>
              <w:bottom w:val="single" w:sz="6" w:space="0" w:color="auto"/>
            </w:tcBorders>
          </w:tcPr>
          <w:p w14:paraId="27C01FBF"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108EA168" w14:textId="77777777" w:rsidR="00711444" w:rsidRPr="004D0DAA" w:rsidRDefault="00711444" w:rsidP="00AA2A4C"/>
        </w:tc>
        <w:tc>
          <w:tcPr>
            <w:tcW w:w="1701" w:type="dxa"/>
          </w:tcPr>
          <w:p w14:paraId="4AD2BD0A"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11AB138F" w14:textId="77777777" w:rsidR="00711444" w:rsidRPr="004D0DAA" w:rsidRDefault="00711444" w:rsidP="00AA2A4C">
            <w:pPr>
              <w:pStyle w:val="TAC"/>
              <w:rPr>
                <w:lang w:eastAsia="en-US"/>
              </w:rPr>
            </w:pPr>
          </w:p>
        </w:tc>
      </w:tr>
      <w:tr w:rsidR="00711444" w:rsidRPr="004D0DAA" w14:paraId="13229643"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61EA21F2" w14:textId="77777777" w:rsidR="00711444" w:rsidRPr="004D0DAA" w:rsidRDefault="00711444" w:rsidP="00AA2A4C"/>
        </w:tc>
        <w:tc>
          <w:tcPr>
            <w:tcW w:w="624" w:type="dxa"/>
            <w:tcBorders>
              <w:top w:val="single" w:sz="6" w:space="0" w:color="auto"/>
            </w:tcBorders>
          </w:tcPr>
          <w:p w14:paraId="6E253E44" w14:textId="77777777" w:rsidR="00711444" w:rsidRPr="004D0DAA" w:rsidRDefault="00711444" w:rsidP="00AA2A4C"/>
        </w:tc>
        <w:tc>
          <w:tcPr>
            <w:tcW w:w="624" w:type="dxa"/>
            <w:tcBorders>
              <w:top w:val="single" w:sz="6" w:space="0" w:color="auto"/>
            </w:tcBorders>
          </w:tcPr>
          <w:p w14:paraId="25D2B27D" w14:textId="77777777" w:rsidR="00711444" w:rsidRPr="004D0DAA" w:rsidRDefault="00711444" w:rsidP="00AA2A4C"/>
        </w:tc>
        <w:tc>
          <w:tcPr>
            <w:tcW w:w="624" w:type="dxa"/>
            <w:tcBorders>
              <w:top w:val="single" w:sz="6" w:space="0" w:color="auto"/>
            </w:tcBorders>
          </w:tcPr>
          <w:p w14:paraId="1F161B96"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tcBorders>
          </w:tcPr>
          <w:p w14:paraId="2E2D097B" w14:textId="77777777" w:rsidR="00711444" w:rsidRPr="004D0DAA" w:rsidRDefault="00711444" w:rsidP="00AA2A4C"/>
        </w:tc>
        <w:tc>
          <w:tcPr>
            <w:tcW w:w="624" w:type="dxa"/>
            <w:tcBorders>
              <w:top w:val="single" w:sz="6" w:space="0" w:color="auto"/>
            </w:tcBorders>
          </w:tcPr>
          <w:p w14:paraId="10D1922C"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52E15755" w14:textId="77777777" w:rsidR="00711444" w:rsidRPr="004D0DAA" w:rsidRDefault="00711444" w:rsidP="00AA2A4C"/>
        </w:tc>
        <w:tc>
          <w:tcPr>
            <w:tcW w:w="624" w:type="dxa"/>
            <w:tcBorders>
              <w:top w:val="single" w:sz="6" w:space="0" w:color="auto"/>
              <w:right w:val="single" w:sz="6" w:space="0" w:color="auto"/>
            </w:tcBorders>
          </w:tcPr>
          <w:p w14:paraId="29E03E4F" w14:textId="77777777" w:rsidR="00711444" w:rsidRPr="004D0DAA" w:rsidRDefault="00711444" w:rsidP="00AA2A4C">
            <w:pPr>
              <w:pStyle w:val="TAC"/>
              <w:rPr>
                <w:lang w:eastAsia="en-US"/>
              </w:rPr>
            </w:pPr>
            <w:r w:rsidRPr="004D0DAA">
              <w:rPr>
                <w:lang w:eastAsia="en-US"/>
              </w:rPr>
              <w:t>FBI</w:t>
            </w:r>
          </w:p>
        </w:tc>
        <w:tc>
          <w:tcPr>
            <w:tcW w:w="1701" w:type="dxa"/>
          </w:tcPr>
          <w:p w14:paraId="1AC31BCB"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4A0DEBF9" w14:textId="77777777" w:rsidR="00711444" w:rsidRPr="004D0DAA" w:rsidRDefault="00711444" w:rsidP="00AA2A4C">
            <w:pPr>
              <w:pStyle w:val="TAC"/>
              <w:rPr>
                <w:lang w:eastAsia="en-US"/>
              </w:rPr>
            </w:pPr>
          </w:p>
        </w:tc>
      </w:tr>
      <w:tr w:rsidR="00711444" w:rsidRPr="004D0DAA" w14:paraId="38E97D80"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30EB43E9" w14:textId="77777777" w:rsidR="00711444" w:rsidRPr="004D0DAA" w:rsidRDefault="00711444" w:rsidP="00AA2A4C"/>
        </w:tc>
        <w:tc>
          <w:tcPr>
            <w:tcW w:w="624" w:type="dxa"/>
            <w:tcBorders>
              <w:top w:val="single" w:sz="6" w:space="0" w:color="auto"/>
            </w:tcBorders>
          </w:tcPr>
          <w:p w14:paraId="4C9904A1" w14:textId="77777777" w:rsidR="00711444" w:rsidRPr="004D0DAA" w:rsidRDefault="00711444" w:rsidP="00AA2A4C"/>
        </w:tc>
        <w:tc>
          <w:tcPr>
            <w:tcW w:w="624" w:type="dxa"/>
            <w:tcBorders>
              <w:top w:val="single" w:sz="6" w:space="0" w:color="auto"/>
            </w:tcBorders>
          </w:tcPr>
          <w:p w14:paraId="25537D2A" w14:textId="77777777" w:rsidR="00711444" w:rsidRPr="004D0DAA" w:rsidRDefault="00711444" w:rsidP="00AA2A4C"/>
        </w:tc>
        <w:tc>
          <w:tcPr>
            <w:tcW w:w="624" w:type="dxa"/>
            <w:tcBorders>
              <w:top w:val="single" w:sz="6" w:space="0" w:color="auto"/>
            </w:tcBorders>
          </w:tcPr>
          <w:p w14:paraId="0EF58496"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tcBorders>
          </w:tcPr>
          <w:p w14:paraId="7BEC172D" w14:textId="77777777" w:rsidR="00711444" w:rsidRPr="004D0DAA" w:rsidRDefault="00711444" w:rsidP="00AA2A4C"/>
        </w:tc>
        <w:tc>
          <w:tcPr>
            <w:tcW w:w="624" w:type="dxa"/>
            <w:tcBorders>
              <w:top w:val="single" w:sz="6" w:space="0" w:color="auto"/>
            </w:tcBorders>
          </w:tcPr>
          <w:p w14:paraId="2B420B64"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1FBBC07D"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00D447FE" w14:textId="77777777" w:rsidR="00711444" w:rsidRPr="004D0DAA" w:rsidRDefault="00711444" w:rsidP="00AA2A4C">
            <w:pPr>
              <w:pStyle w:val="TAC"/>
              <w:rPr>
                <w:lang w:eastAsia="en-US"/>
              </w:rPr>
            </w:pPr>
            <w:r w:rsidRPr="004D0DAA">
              <w:rPr>
                <w:lang w:eastAsia="en-US"/>
              </w:rPr>
              <w:t>E = 1</w:t>
            </w:r>
          </w:p>
        </w:tc>
        <w:tc>
          <w:tcPr>
            <w:tcW w:w="1701" w:type="dxa"/>
          </w:tcPr>
          <w:p w14:paraId="6ADA80CF"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5B8C857A" w14:textId="77777777" w:rsidR="00711444" w:rsidRPr="004D0DAA" w:rsidRDefault="00711444" w:rsidP="00AA2A4C">
            <w:pPr>
              <w:pStyle w:val="TAC"/>
              <w:rPr>
                <w:lang w:eastAsia="en-US"/>
              </w:rPr>
            </w:pPr>
          </w:p>
        </w:tc>
      </w:tr>
      <w:tr w:rsidR="00711444" w:rsidRPr="004D0DAA" w14:paraId="6897CAF6" w14:textId="77777777" w:rsidTr="00AA2A4C">
        <w:tblPrEx>
          <w:tblCellMar>
            <w:top w:w="0" w:type="dxa"/>
            <w:bottom w:w="0" w:type="dxa"/>
          </w:tblCellMar>
        </w:tblPrEx>
        <w:trPr>
          <w:cantSplit/>
        </w:trPr>
        <w:tc>
          <w:tcPr>
            <w:tcW w:w="4992" w:type="dxa"/>
            <w:gridSpan w:val="8"/>
            <w:tcBorders>
              <w:top w:val="single" w:sz="6" w:space="0" w:color="auto"/>
              <w:left w:val="single" w:sz="6" w:space="0" w:color="auto"/>
              <w:right w:val="single" w:sz="6" w:space="0" w:color="auto"/>
            </w:tcBorders>
          </w:tcPr>
          <w:p w14:paraId="70806BB7" w14:textId="77777777" w:rsidR="00711444" w:rsidRPr="004D0DAA" w:rsidRDefault="00711444" w:rsidP="00AA2A4C"/>
        </w:tc>
        <w:tc>
          <w:tcPr>
            <w:tcW w:w="1701" w:type="dxa"/>
          </w:tcPr>
          <w:p w14:paraId="09B151FB"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72A2BF74" w14:textId="77777777" w:rsidR="00711444" w:rsidRPr="004D0DAA" w:rsidRDefault="00711444" w:rsidP="00AA2A4C">
            <w:pPr>
              <w:pStyle w:val="TAC"/>
              <w:rPr>
                <w:lang w:eastAsia="en-US"/>
              </w:rPr>
            </w:pPr>
            <w:r w:rsidRPr="004D0DAA">
              <w:rPr>
                <w:lang w:eastAsia="en-US"/>
              </w:rPr>
              <w:t>LLC PDU 1</w:t>
            </w:r>
          </w:p>
        </w:tc>
      </w:tr>
      <w:tr w:rsidR="00711444" w:rsidRPr="004D0DAA" w14:paraId="79959F3C"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22522918" w14:textId="77777777" w:rsidR="00711444" w:rsidRPr="004D0DAA" w:rsidRDefault="00711444" w:rsidP="00AA2A4C">
            <w:pPr>
              <w:pStyle w:val="TAC"/>
              <w:rPr>
                <w:lang w:eastAsia="en-US"/>
              </w:rPr>
            </w:pPr>
            <w:r w:rsidRPr="004D0DAA">
              <w:rPr>
                <w:lang w:eastAsia="en-US"/>
              </w:rPr>
              <w:br/>
              <w:t>LLC PDU 1 (cont)</w:t>
            </w:r>
          </w:p>
        </w:tc>
        <w:tc>
          <w:tcPr>
            <w:tcW w:w="1701" w:type="dxa"/>
          </w:tcPr>
          <w:p w14:paraId="44FF3C82" w14:textId="77777777" w:rsidR="00711444" w:rsidRPr="004D0DAA" w:rsidRDefault="00711444" w:rsidP="00AA2A4C">
            <w:pPr>
              <w:pStyle w:val="TAC"/>
              <w:rPr>
                <w:lang w:eastAsia="en-US"/>
              </w:rPr>
            </w:pPr>
            <w:r w:rsidRPr="004D0DAA">
              <w:rPr>
                <w:lang w:eastAsia="en-US"/>
              </w:rPr>
              <w:t>.</w:t>
            </w:r>
          </w:p>
          <w:p w14:paraId="0EC12950" w14:textId="77777777" w:rsidR="00711444" w:rsidRPr="004D0DAA" w:rsidRDefault="00711444" w:rsidP="00AA2A4C">
            <w:pPr>
              <w:pStyle w:val="TAC"/>
              <w:rPr>
                <w:lang w:eastAsia="en-US"/>
              </w:rPr>
            </w:pPr>
            <w:r w:rsidRPr="004D0DAA">
              <w:rPr>
                <w:lang w:eastAsia="en-US"/>
              </w:rPr>
              <w:t>.</w:t>
            </w:r>
          </w:p>
          <w:p w14:paraId="235A8CA0"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3D19031" w14:textId="77777777" w:rsidR="00711444" w:rsidRPr="004D0DAA" w:rsidRDefault="00711444" w:rsidP="00AA2A4C">
            <w:pPr>
              <w:pStyle w:val="TAC"/>
              <w:rPr>
                <w:lang w:eastAsia="en-US"/>
              </w:rPr>
            </w:pPr>
          </w:p>
        </w:tc>
      </w:tr>
      <w:tr w:rsidR="00711444" w:rsidRPr="004D0DAA" w14:paraId="132C6316" w14:textId="77777777" w:rsidTr="00AA2A4C">
        <w:tblPrEx>
          <w:tblCellMar>
            <w:top w:w="0" w:type="dxa"/>
            <w:bottom w:w="0" w:type="dxa"/>
          </w:tblCellMar>
        </w:tblPrEx>
        <w:trPr>
          <w:cantSplit/>
        </w:trPr>
        <w:tc>
          <w:tcPr>
            <w:tcW w:w="624" w:type="dxa"/>
            <w:tcBorders>
              <w:left w:val="single" w:sz="6" w:space="0" w:color="auto"/>
            </w:tcBorders>
          </w:tcPr>
          <w:p w14:paraId="7C0AAF2A" w14:textId="77777777" w:rsidR="00711444" w:rsidRPr="004D0DAA" w:rsidRDefault="00711444" w:rsidP="00AA2A4C"/>
        </w:tc>
        <w:tc>
          <w:tcPr>
            <w:tcW w:w="624" w:type="dxa"/>
          </w:tcPr>
          <w:p w14:paraId="40EECD87" w14:textId="77777777" w:rsidR="00711444" w:rsidRPr="004D0DAA" w:rsidRDefault="00711444" w:rsidP="00AA2A4C"/>
        </w:tc>
        <w:tc>
          <w:tcPr>
            <w:tcW w:w="624" w:type="dxa"/>
          </w:tcPr>
          <w:p w14:paraId="244F83D8" w14:textId="77777777" w:rsidR="00711444" w:rsidRPr="004D0DAA" w:rsidRDefault="00711444" w:rsidP="00AA2A4C"/>
        </w:tc>
        <w:tc>
          <w:tcPr>
            <w:tcW w:w="624" w:type="dxa"/>
          </w:tcPr>
          <w:p w14:paraId="1981BA1B" w14:textId="77777777" w:rsidR="00711444" w:rsidRPr="004D0DAA" w:rsidRDefault="00711444" w:rsidP="00AA2A4C"/>
        </w:tc>
        <w:tc>
          <w:tcPr>
            <w:tcW w:w="624" w:type="dxa"/>
          </w:tcPr>
          <w:p w14:paraId="20CD5FF9" w14:textId="77777777" w:rsidR="00711444" w:rsidRPr="004D0DAA" w:rsidRDefault="00711444" w:rsidP="00AA2A4C"/>
        </w:tc>
        <w:tc>
          <w:tcPr>
            <w:tcW w:w="624" w:type="dxa"/>
          </w:tcPr>
          <w:p w14:paraId="01E795D9" w14:textId="77777777" w:rsidR="00711444" w:rsidRPr="004D0DAA" w:rsidRDefault="00711444" w:rsidP="00AA2A4C"/>
        </w:tc>
        <w:tc>
          <w:tcPr>
            <w:tcW w:w="624" w:type="dxa"/>
          </w:tcPr>
          <w:p w14:paraId="2C6C56C3" w14:textId="77777777" w:rsidR="00711444" w:rsidRPr="004D0DAA" w:rsidRDefault="00711444" w:rsidP="00AA2A4C"/>
        </w:tc>
        <w:tc>
          <w:tcPr>
            <w:tcW w:w="624" w:type="dxa"/>
            <w:tcBorders>
              <w:right w:val="single" w:sz="6" w:space="0" w:color="auto"/>
            </w:tcBorders>
          </w:tcPr>
          <w:p w14:paraId="534941C5" w14:textId="77777777" w:rsidR="00711444" w:rsidRPr="004D0DAA" w:rsidRDefault="00711444" w:rsidP="00AA2A4C"/>
        </w:tc>
        <w:tc>
          <w:tcPr>
            <w:tcW w:w="1701" w:type="dxa"/>
          </w:tcPr>
          <w:p w14:paraId="3C6D059F"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3D7D838C" w14:textId="77777777" w:rsidR="00711444" w:rsidRPr="004D0DAA" w:rsidRDefault="00711444" w:rsidP="00AA2A4C">
            <w:pPr>
              <w:pStyle w:val="TAC"/>
              <w:rPr>
                <w:lang w:eastAsia="en-US"/>
              </w:rPr>
            </w:pPr>
          </w:p>
        </w:tc>
      </w:tr>
      <w:tr w:rsidR="00711444" w:rsidRPr="004D0DAA" w14:paraId="006D4C8E" w14:textId="77777777" w:rsidTr="00AA2A4C">
        <w:tblPrEx>
          <w:tblCellMar>
            <w:top w:w="0" w:type="dxa"/>
            <w:bottom w:w="0" w:type="dxa"/>
          </w:tblCellMar>
        </w:tblPrEx>
        <w:trPr>
          <w:cantSplit/>
        </w:trPr>
        <w:tc>
          <w:tcPr>
            <w:tcW w:w="624" w:type="dxa"/>
            <w:tcBorders>
              <w:top w:val="single" w:sz="6" w:space="0" w:color="auto"/>
            </w:tcBorders>
          </w:tcPr>
          <w:p w14:paraId="28E1F293" w14:textId="77777777" w:rsidR="00711444" w:rsidRPr="004D0DAA" w:rsidRDefault="00711444" w:rsidP="00AA2A4C"/>
        </w:tc>
        <w:tc>
          <w:tcPr>
            <w:tcW w:w="624" w:type="dxa"/>
            <w:tcBorders>
              <w:top w:val="single" w:sz="6" w:space="0" w:color="auto"/>
            </w:tcBorders>
          </w:tcPr>
          <w:p w14:paraId="7F23B1FD" w14:textId="77777777" w:rsidR="00711444" w:rsidRPr="004D0DAA" w:rsidRDefault="00711444" w:rsidP="00AA2A4C"/>
        </w:tc>
        <w:tc>
          <w:tcPr>
            <w:tcW w:w="624" w:type="dxa"/>
            <w:tcBorders>
              <w:top w:val="single" w:sz="6" w:space="0" w:color="auto"/>
            </w:tcBorders>
          </w:tcPr>
          <w:p w14:paraId="177026C8" w14:textId="77777777" w:rsidR="00711444" w:rsidRPr="004D0DAA" w:rsidRDefault="00711444" w:rsidP="00AA2A4C"/>
        </w:tc>
        <w:tc>
          <w:tcPr>
            <w:tcW w:w="624" w:type="dxa"/>
            <w:tcBorders>
              <w:top w:val="single" w:sz="6" w:space="0" w:color="auto"/>
            </w:tcBorders>
          </w:tcPr>
          <w:p w14:paraId="448C817A" w14:textId="77777777" w:rsidR="00711444" w:rsidRPr="004D0DAA" w:rsidRDefault="00711444" w:rsidP="00AA2A4C"/>
        </w:tc>
        <w:tc>
          <w:tcPr>
            <w:tcW w:w="624" w:type="dxa"/>
            <w:tcBorders>
              <w:top w:val="single" w:sz="6" w:space="0" w:color="auto"/>
            </w:tcBorders>
          </w:tcPr>
          <w:p w14:paraId="5D4FEF59" w14:textId="77777777" w:rsidR="00711444" w:rsidRPr="004D0DAA" w:rsidRDefault="00711444" w:rsidP="00AA2A4C"/>
        </w:tc>
        <w:tc>
          <w:tcPr>
            <w:tcW w:w="624" w:type="dxa"/>
            <w:tcBorders>
              <w:top w:val="single" w:sz="6" w:space="0" w:color="auto"/>
            </w:tcBorders>
          </w:tcPr>
          <w:p w14:paraId="5E9E14DA" w14:textId="77777777" w:rsidR="00711444" w:rsidRPr="004D0DAA" w:rsidRDefault="00711444" w:rsidP="00AA2A4C"/>
        </w:tc>
        <w:tc>
          <w:tcPr>
            <w:tcW w:w="624" w:type="dxa"/>
            <w:tcBorders>
              <w:top w:val="single" w:sz="6" w:space="0" w:color="auto"/>
            </w:tcBorders>
          </w:tcPr>
          <w:p w14:paraId="7192E222" w14:textId="77777777" w:rsidR="00711444" w:rsidRPr="004D0DAA" w:rsidRDefault="00711444" w:rsidP="00AA2A4C"/>
        </w:tc>
        <w:tc>
          <w:tcPr>
            <w:tcW w:w="624" w:type="dxa"/>
            <w:tcBorders>
              <w:top w:val="single" w:sz="6" w:space="0" w:color="auto"/>
            </w:tcBorders>
          </w:tcPr>
          <w:p w14:paraId="2AFA249E" w14:textId="77777777" w:rsidR="00711444" w:rsidRPr="004D0DAA" w:rsidRDefault="00711444" w:rsidP="00AA2A4C"/>
        </w:tc>
        <w:tc>
          <w:tcPr>
            <w:tcW w:w="1701" w:type="dxa"/>
          </w:tcPr>
          <w:p w14:paraId="595B9B63" w14:textId="77777777" w:rsidR="00711444" w:rsidRPr="004D0DAA" w:rsidRDefault="00711444" w:rsidP="00AA2A4C"/>
        </w:tc>
        <w:tc>
          <w:tcPr>
            <w:tcW w:w="1567" w:type="dxa"/>
            <w:tcBorders>
              <w:left w:val="single" w:sz="6" w:space="0" w:color="auto"/>
              <w:right w:val="single" w:sz="6" w:space="0" w:color="auto"/>
            </w:tcBorders>
          </w:tcPr>
          <w:p w14:paraId="2A650493" w14:textId="77777777" w:rsidR="00711444" w:rsidRPr="004D0DAA" w:rsidRDefault="00711444" w:rsidP="00AA2A4C">
            <w:pPr>
              <w:pStyle w:val="TAC"/>
              <w:rPr>
                <w:lang w:eastAsia="en-US"/>
              </w:rPr>
            </w:pPr>
          </w:p>
        </w:tc>
      </w:tr>
      <w:tr w:rsidR="00711444" w:rsidRPr="004D0DAA" w14:paraId="75B2F9AE" w14:textId="77777777" w:rsidTr="00AA2A4C">
        <w:tblPrEx>
          <w:tblCellMar>
            <w:top w:w="0" w:type="dxa"/>
            <w:bottom w:w="0" w:type="dxa"/>
          </w:tblCellMar>
        </w:tblPrEx>
        <w:trPr>
          <w:cantSplit/>
        </w:trPr>
        <w:tc>
          <w:tcPr>
            <w:tcW w:w="624" w:type="dxa"/>
          </w:tcPr>
          <w:p w14:paraId="7C1E8C32" w14:textId="77777777" w:rsidR="00711444" w:rsidRPr="004D0DAA" w:rsidRDefault="00711444" w:rsidP="00AA2A4C"/>
        </w:tc>
        <w:tc>
          <w:tcPr>
            <w:tcW w:w="624" w:type="dxa"/>
          </w:tcPr>
          <w:p w14:paraId="3AF5453D" w14:textId="77777777" w:rsidR="00711444" w:rsidRPr="004D0DAA" w:rsidRDefault="00711444" w:rsidP="00AA2A4C"/>
        </w:tc>
        <w:tc>
          <w:tcPr>
            <w:tcW w:w="624" w:type="dxa"/>
          </w:tcPr>
          <w:p w14:paraId="6E6E09E7" w14:textId="77777777" w:rsidR="00711444" w:rsidRPr="004D0DAA" w:rsidRDefault="00711444" w:rsidP="00AA2A4C"/>
        </w:tc>
        <w:tc>
          <w:tcPr>
            <w:tcW w:w="624" w:type="dxa"/>
          </w:tcPr>
          <w:p w14:paraId="0E7ECD78" w14:textId="77777777" w:rsidR="00711444" w:rsidRPr="004D0DAA" w:rsidRDefault="00711444" w:rsidP="00AA2A4C"/>
        </w:tc>
        <w:tc>
          <w:tcPr>
            <w:tcW w:w="624" w:type="dxa"/>
          </w:tcPr>
          <w:p w14:paraId="319D3376" w14:textId="77777777" w:rsidR="00711444" w:rsidRPr="004D0DAA" w:rsidRDefault="00711444" w:rsidP="00AA2A4C"/>
        </w:tc>
        <w:tc>
          <w:tcPr>
            <w:tcW w:w="624" w:type="dxa"/>
          </w:tcPr>
          <w:p w14:paraId="76CBF88D" w14:textId="77777777" w:rsidR="00711444" w:rsidRPr="004D0DAA" w:rsidRDefault="00711444" w:rsidP="00AA2A4C"/>
        </w:tc>
        <w:tc>
          <w:tcPr>
            <w:tcW w:w="624" w:type="dxa"/>
          </w:tcPr>
          <w:p w14:paraId="0A0B2C64" w14:textId="77777777" w:rsidR="00711444" w:rsidRPr="004D0DAA" w:rsidRDefault="00711444" w:rsidP="00AA2A4C"/>
        </w:tc>
        <w:tc>
          <w:tcPr>
            <w:tcW w:w="624" w:type="dxa"/>
          </w:tcPr>
          <w:p w14:paraId="69B2B2D8" w14:textId="77777777" w:rsidR="00711444" w:rsidRPr="004D0DAA" w:rsidRDefault="00711444" w:rsidP="00AA2A4C"/>
        </w:tc>
        <w:tc>
          <w:tcPr>
            <w:tcW w:w="1701" w:type="dxa"/>
          </w:tcPr>
          <w:p w14:paraId="0784035B" w14:textId="77777777" w:rsidR="00711444" w:rsidRPr="004D0DAA" w:rsidRDefault="00711444" w:rsidP="00AA2A4C"/>
        </w:tc>
        <w:tc>
          <w:tcPr>
            <w:tcW w:w="1567" w:type="dxa"/>
          </w:tcPr>
          <w:p w14:paraId="6E816956" w14:textId="77777777" w:rsidR="00711444" w:rsidRPr="004D0DAA" w:rsidRDefault="00711444" w:rsidP="00AA2A4C">
            <w:pPr>
              <w:pStyle w:val="TAC"/>
              <w:rPr>
                <w:lang w:eastAsia="en-US"/>
              </w:rPr>
            </w:pPr>
          </w:p>
        </w:tc>
      </w:tr>
    </w:tbl>
    <w:p w14:paraId="6E2188B6" w14:textId="77777777" w:rsidR="00711444" w:rsidRPr="004D0DAA" w:rsidRDefault="00711444" w:rsidP="00711444">
      <w:pPr>
        <w:pStyle w:val="TAC"/>
      </w:pPr>
    </w:p>
    <w:p w14:paraId="17869BBD" w14:textId="77777777" w:rsidR="00711444" w:rsidRPr="004D0DAA" w:rsidRDefault="00711444" w:rsidP="00711444">
      <w:pPr>
        <w:pStyle w:val="TF"/>
      </w:pPr>
      <w:r w:rsidRPr="004D0DAA">
        <w:t>Figure B.4: Example when Length indicator (LI) can be omitted</w:t>
      </w:r>
    </w:p>
    <w:p w14:paraId="2211719C" w14:textId="77777777" w:rsidR="00711444" w:rsidRPr="004D0DAA" w:rsidRDefault="00711444" w:rsidP="00711444">
      <w:pPr>
        <w:pStyle w:val="Heading2"/>
      </w:pPr>
      <w:r w:rsidRPr="004D0DAA">
        <w:br w:type="page"/>
      </w:r>
      <w:bookmarkStart w:id="885" w:name="_Toc516670058"/>
      <w:r w:rsidRPr="004D0DAA">
        <w:lastRenderedPageBreak/>
        <w:t>B.5</w:t>
      </w:r>
      <w:r w:rsidRPr="004D0DAA">
        <w:tab/>
        <w:t>Example 5</w:t>
      </w:r>
      <w:bookmarkEnd w:id="885"/>
    </w:p>
    <w:p w14:paraId="1240403F" w14:textId="77777777" w:rsidR="00711444" w:rsidRPr="004D0DAA" w:rsidRDefault="00711444" w:rsidP="00711444">
      <w:pPr>
        <w:keepNext/>
      </w:pPr>
      <w:r w:rsidRPr="004D0DAA">
        <w:t xml:space="preserve">Figure B.5 provides an example when the final LLC PDU (FBI=1) of a </w:t>
      </w:r>
      <w:r w:rsidRPr="004D0DAA">
        <w:rPr>
          <w:i/>
        </w:rPr>
        <w:t xml:space="preserve">downlink </w:t>
      </w:r>
      <w:r w:rsidRPr="004D0DAA">
        <w:t>TBF fills the RLC data block precisely in which case the Length indicator can be omitted. In the example, LLC PDU 1 continues from a previous RLC data block and ends in and fills precisely the RLC data block shown.</w:t>
      </w:r>
    </w:p>
    <w:tbl>
      <w:tblPr>
        <w:tblW w:w="0" w:type="auto"/>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5A82CADA" w14:textId="77777777" w:rsidTr="00AA2A4C">
        <w:tblPrEx>
          <w:tblCellMar>
            <w:top w:w="0" w:type="dxa"/>
            <w:bottom w:w="0" w:type="dxa"/>
          </w:tblCellMar>
        </w:tblPrEx>
        <w:trPr>
          <w:cantSplit/>
        </w:trPr>
        <w:tc>
          <w:tcPr>
            <w:tcW w:w="5239" w:type="dxa"/>
            <w:gridSpan w:val="8"/>
          </w:tcPr>
          <w:p w14:paraId="45ED6ACE" w14:textId="77777777" w:rsidR="00711444" w:rsidRPr="004D0DAA" w:rsidRDefault="00711444" w:rsidP="00AA2A4C"/>
        </w:tc>
        <w:tc>
          <w:tcPr>
            <w:tcW w:w="1701" w:type="dxa"/>
          </w:tcPr>
          <w:p w14:paraId="40274A56" w14:textId="77777777" w:rsidR="00711444" w:rsidRPr="004D0DAA" w:rsidRDefault="00711444" w:rsidP="00AA2A4C"/>
        </w:tc>
        <w:tc>
          <w:tcPr>
            <w:tcW w:w="1567" w:type="dxa"/>
            <w:tcBorders>
              <w:left w:val="single" w:sz="6" w:space="0" w:color="auto"/>
              <w:right w:val="single" w:sz="6" w:space="0" w:color="auto"/>
            </w:tcBorders>
          </w:tcPr>
          <w:p w14:paraId="3E5B957E" w14:textId="77777777" w:rsidR="00711444" w:rsidRPr="004D0DAA" w:rsidRDefault="00711444" w:rsidP="00AA2A4C">
            <w:pPr>
              <w:pStyle w:val="TAC"/>
              <w:rPr>
                <w:lang w:eastAsia="en-US"/>
              </w:rPr>
            </w:pPr>
          </w:p>
        </w:tc>
      </w:tr>
      <w:tr w:rsidR="00711444" w:rsidRPr="004D0DAA" w14:paraId="2326336C" w14:textId="77777777" w:rsidTr="00AA2A4C">
        <w:tblPrEx>
          <w:tblCellMar>
            <w:top w:w="0" w:type="dxa"/>
            <w:bottom w:w="0" w:type="dxa"/>
          </w:tblCellMar>
        </w:tblPrEx>
        <w:trPr>
          <w:cantSplit/>
        </w:trPr>
        <w:tc>
          <w:tcPr>
            <w:tcW w:w="5239" w:type="dxa"/>
            <w:gridSpan w:val="8"/>
          </w:tcPr>
          <w:p w14:paraId="66AD035B" w14:textId="77777777" w:rsidR="00711444" w:rsidRPr="004D0DAA" w:rsidRDefault="00711444" w:rsidP="00AA2A4C">
            <w:pPr>
              <w:pStyle w:val="TAC"/>
              <w:rPr>
                <w:lang w:eastAsia="en-US"/>
              </w:rPr>
            </w:pPr>
            <w:r w:rsidRPr="004D0DAA">
              <w:rPr>
                <w:lang w:eastAsia="en-US"/>
              </w:rPr>
              <w:t>Bit</w:t>
            </w:r>
          </w:p>
        </w:tc>
        <w:tc>
          <w:tcPr>
            <w:tcW w:w="1701" w:type="dxa"/>
          </w:tcPr>
          <w:p w14:paraId="1666A50F" w14:textId="77777777" w:rsidR="00711444" w:rsidRPr="004D0DAA" w:rsidRDefault="00711444" w:rsidP="00AA2A4C"/>
        </w:tc>
        <w:tc>
          <w:tcPr>
            <w:tcW w:w="1567" w:type="dxa"/>
            <w:tcBorders>
              <w:left w:val="single" w:sz="6" w:space="0" w:color="auto"/>
              <w:right w:val="single" w:sz="6" w:space="0" w:color="auto"/>
            </w:tcBorders>
          </w:tcPr>
          <w:p w14:paraId="7AD6F29C" w14:textId="77777777" w:rsidR="00711444" w:rsidRPr="004D0DAA" w:rsidRDefault="00711444" w:rsidP="00AA2A4C">
            <w:pPr>
              <w:pStyle w:val="TAC"/>
              <w:rPr>
                <w:lang w:eastAsia="en-US"/>
              </w:rPr>
            </w:pPr>
          </w:p>
        </w:tc>
      </w:tr>
      <w:tr w:rsidR="00711444" w:rsidRPr="004D0DAA" w14:paraId="628A8E56" w14:textId="77777777" w:rsidTr="00AA2A4C">
        <w:tblPrEx>
          <w:tblCellMar>
            <w:top w:w="0" w:type="dxa"/>
            <w:bottom w:w="0" w:type="dxa"/>
          </w:tblCellMar>
        </w:tblPrEx>
        <w:trPr>
          <w:cantSplit/>
        </w:trPr>
        <w:tc>
          <w:tcPr>
            <w:tcW w:w="871" w:type="dxa"/>
          </w:tcPr>
          <w:p w14:paraId="0B8F8DAE" w14:textId="77777777" w:rsidR="00711444" w:rsidRPr="004D0DAA" w:rsidRDefault="00711444" w:rsidP="00AA2A4C">
            <w:pPr>
              <w:pStyle w:val="TAC"/>
              <w:rPr>
                <w:lang w:eastAsia="en-US"/>
              </w:rPr>
            </w:pPr>
            <w:r w:rsidRPr="004D0DAA">
              <w:rPr>
                <w:lang w:eastAsia="en-US"/>
              </w:rPr>
              <w:t>8</w:t>
            </w:r>
          </w:p>
        </w:tc>
        <w:tc>
          <w:tcPr>
            <w:tcW w:w="624" w:type="dxa"/>
          </w:tcPr>
          <w:p w14:paraId="1D3AFEB7" w14:textId="77777777" w:rsidR="00711444" w:rsidRPr="004D0DAA" w:rsidRDefault="00711444" w:rsidP="00AA2A4C">
            <w:pPr>
              <w:pStyle w:val="TAC"/>
              <w:rPr>
                <w:lang w:eastAsia="en-US"/>
              </w:rPr>
            </w:pPr>
            <w:r w:rsidRPr="004D0DAA">
              <w:rPr>
                <w:lang w:eastAsia="en-US"/>
              </w:rPr>
              <w:t>7</w:t>
            </w:r>
          </w:p>
        </w:tc>
        <w:tc>
          <w:tcPr>
            <w:tcW w:w="624" w:type="dxa"/>
          </w:tcPr>
          <w:p w14:paraId="7B4A764A" w14:textId="77777777" w:rsidR="00711444" w:rsidRPr="004D0DAA" w:rsidRDefault="00711444" w:rsidP="00AA2A4C">
            <w:pPr>
              <w:pStyle w:val="TAC"/>
              <w:rPr>
                <w:lang w:eastAsia="en-US"/>
              </w:rPr>
            </w:pPr>
            <w:r w:rsidRPr="004D0DAA">
              <w:rPr>
                <w:lang w:eastAsia="en-US"/>
              </w:rPr>
              <w:t>6</w:t>
            </w:r>
          </w:p>
        </w:tc>
        <w:tc>
          <w:tcPr>
            <w:tcW w:w="624" w:type="dxa"/>
          </w:tcPr>
          <w:p w14:paraId="72A8DD7B" w14:textId="77777777" w:rsidR="00711444" w:rsidRPr="004D0DAA" w:rsidRDefault="00711444" w:rsidP="00AA2A4C">
            <w:pPr>
              <w:pStyle w:val="TAC"/>
              <w:rPr>
                <w:lang w:eastAsia="en-US"/>
              </w:rPr>
            </w:pPr>
            <w:r w:rsidRPr="004D0DAA">
              <w:rPr>
                <w:lang w:eastAsia="en-US"/>
              </w:rPr>
              <w:t>5</w:t>
            </w:r>
          </w:p>
        </w:tc>
        <w:tc>
          <w:tcPr>
            <w:tcW w:w="624" w:type="dxa"/>
          </w:tcPr>
          <w:p w14:paraId="5345A767" w14:textId="77777777" w:rsidR="00711444" w:rsidRPr="004D0DAA" w:rsidRDefault="00711444" w:rsidP="00AA2A4C">
            <w:pPr>
              <w:pStyle w:val="TAC"/>
              <w:rPr>
                <w:lang w:eastAsia="en-US"/>
              </w:rPr>
            </w:pPr>
            <w:r w:rsidRPr="004D0DAA">
              <w:rPr>
                <w:lang w:eastAsia="en-US"/>
              </w:rPr>
              <w:t>4</w:t>
            </w:r>
          </w:p>
        </w:tc>
        <w:tc>
          <w:tcPr>
            <w:tcW w:w="624" w:type="dxa"/>
          </w:tcPr>
          <w:p w14:paraId="3233EDAA" w14:textId="77777777" w:rsidR="00711444" w:rsidRPr="004D0DAA" w:rsidRDefault="00711444" w:rsidP="00AA2A4C">
            <w:pPr>
              <w:pStyle w:val="TAC"/>
              <w:rPr>
                <w:lang w:eastAsia="en-US"/>
              </w:rPr>
            </w:pPr>
            <w:r w:rsidRPr="004D0DAA">
              <w:rPr>
                <w:lang w:eastAsia="en-US"/>
              </w:rPr>
              <w:t>3</w:t>
            </w:r>
          </w:p>
        </w:tc>
        <w:tc>
          <w:tcPr>
            <w:tcW w:w="624" w:type="dxa"/>
          </w:tcPr>
          <w:p w14:paraId="0D316508" w14:textId="77777777" w:rsidR="00711444" w:rsidRPr="004D0DAA" w:rsidRDefault="00711444" w:rsidP="00AA2A4C">
            <w:pPr>
              <w:pStyle w:val="TAC"/>
              <w:rPr>
                <w:lang w:eastAsia="en-US"/>
              </w:rPr>
            </w:pPr>
            <w:r w:rsidRPr="004D0DAA">
              <w:rPr>
                <w:lang w:eastAsia="en-US"/>
              </w:rPr>
              <w:t>2</w:t>
            </w:r>
          </w:p>
        </w:tc>
        <w:tc>
          <w:tcPr>
            <w:tcW w:w="624" w:type="dxa"/>
          </w:tcPr>
          <w:p w14:paraId="3AFDA851" w14:textId="77777777" w:rsidR="00711444" w:rsidRPr="004D0DAA" w:rsidRDefault="00711444" w:rsidP="00AA2A4C">
            <w:pPr>
              <w:pStyle w:val="TAC"/>
              <w:rPr>
                <w:lang w:eastAsia="en-US"/>
              </w:rPr>
            </w:pPr>
            <w:r w:rsidRPr="004D0DAA">
              <w:rPr>
                <w:lang w:eastAsia="en-US"/>
              </w:rPr>
              <w:t>1</w:t>
            </w:r>
          </w:p>
        </w:tc>
        <w:tc>
          <w:tcPr>
            <w:tcW w:w="1701" w:type="dxa"/>
          </w:tcPr>
          <w:p w14:paraId="302EFF0C" w14:textId="77777777" w:rsidR="00711444" w:rsidRPr="004D0DAA" w:rsidRDefault="00711444" w:rsidP="00AA2A4C"/>
        </w:tc>
        <w:tc>
          <w:tcPr>
            <w:tcW w:w="1567" w:type="dxa"/>
            <w:tcBorders>
              <w:left w:val="single" w:sz="6" w:space="0" w:color="auto"/>
              <w:right w:val="single" w:sz="6" w:space="0" w:color="auto"/>
            </w:tcBorders>
          </w:tcPr>
          <w:p w14:paraId="15FB3E1D" w14:textId="77777777" w:rsidR="00711444" w:rsidRPr="004D0DAA" w:rsidRDefault="00711444" w:rsidP="00AA2A4C">
            <w:pPr>
              <w:pStyle w:val="TAC"/>
              <w:rPr>
                <w:lang w:eastAsia="en-US"/>
              </w:rPr>
            </w:pPr>
          </w:p>
        </w:tc>
      </w:tr>
      <w:tr w:rsidR="00711444" w:rsidRPr="004D0DAA" w14:paraId="2AEF7411"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78837518" w14:textId="77777777" w:rsidR="00711444" w:rsidRPr="004D0DAA" w:rsidRDefault="00711444" w:rsidP="00AA2A4C">
            <w:pPr>
              <w:pStyle w:val="TAC"/>
              <w:rPr>
                <w:lang w:eastAsia="en-US"/>
              </w:rPr>
            </w:pPr>
            <w:r w:rsidRPr="004D0DAA">
              <w:rPr>
                <w:lang w:eastAsia="en-US"/>
              </w:rPr>
              <w:t>Payload Type</w:t>
            </w:r>
          </w:p>
        </w:tc>
        <w:tc>
          <w:tcPr>
            <w:tcW w:w="1248" w:type="dxa"/>
            <w:gridSpan w:val="2"/>
            <w:tcBorders>
              <w:top w:val="single" w:sz="6" w:space="0" w:color="auto"/>
              <w:left w:val="single" w:sz="6" w:space="0" w:color="auto"/>
            </w:tcBorders>
          </w:tcPr>
          <w:p w14:paraId="66302396" w14:textId="77777777" w:rsidR="00711444" w:rsidRPr="004D0DAA" w:rsidRDefault="00711444" w:rsidP="00AA2A4C">
            <w:pPr>
              <w:pStyle w:val="TAC"/>
              <w:rPr>
                <w:lang w:eastAsia="en-US"/>
              </w:rPr>
            </w:pPr>
            <w:r w:rsidRPr="004D0DAA">
              <w:rPr>
                <w:lang w:eastAsia="en-US"/>
              </w:rPr>
              <w:t>RRBP</w:t>
            </w:r>
          </w:p>
        </w:tc>
        <w:tc>
          <w:tcPr>
            <w:tcW w:w="624" w:type="dxa"/>
            <w:tcBorders>
              <w:top w:val="single" w:sz="6" w:space="0" w:color="auto"/>
              <w:left w:val="single" w:sz="6" w:space="0" w:color="auto"/>
            </w:tcBorders>
          </w:tcPr>
          <w:p w14:paraId="5FD213B9" w14:textId="77777777" w:rsidR="00711444" w:rsidRPr="004D0DAA" w:rsidRDefault="00711444" w:rsidP="00AA2A4C">
            <w:pPr>
              <w:pStyle w:val="TAC"/>
              <w:rPr>
                <w:lang w:eastAsia="en-US"/>
              </w:rPr>
            </w:pPr>
            <w:r w:rsidRPr="004D0DAA">
              <w:rPr>
                <w:lang w:eastAsia="en-US"/>
              </w:rPr>
              <w:t>S/P</w:t>
            </w:r>
          </w:p>
        </w:tc>
        <w:tc>
          <w:tcPr>
            <w:tcW w:w="624" w:type="dxa"/>
            <w:tcBorders>
              <w:top w:val="single" w:sz="6" w:space="0" w:color="auto"/>
              <w:left w:val="single" w:sz="6" w:space="0" w:color="auto"/>
            </w:tcBorders>
          </w:tcPr>
          <w:p w14:paraId="194B7F12" w14:textId="77777777" w:rsidR="00711444" w:rsidRPr="004D0DAA" w:rsidRDefault="00711444" w:rsidP="00AA2A4C"/>
        </w:tc>
        <w:tc>
          <w:tcPr>
            <w:tcW w:w="624" w:type="dxa"/>
            <w:tcBorders>
              <w:top w:val="single" w:sz="6" w:space="0" w:color="auto"/>
              <w:bottom w:val="single" w:sz="6" w:space="0" w:color="auto"/>
            </w:tcBorders>
          </w:tcPr>
          <w:p w14:paraId="0056875F" w14:textId="77777777" w:rsidR="00711444" w:rsidRPr="004D0DAA" w:rsidRDefault="00711444" w:rsidP="00AA2A4C">
            <w:pPr>
              <w:pStyle w:val="TAC"/>
              <w:rPr>
                <w:lang w:eastAsia="en-US"/>
              </w:rPr>
            </w:pPr>
            <w:r w:rsidRPr="004D0DAA">
              <w:rPr>
                <w:lang w:eastAsia="en-US"/>
              </w:rPr>
              <w:t>USF</w:t>
            </w:r>
          </w:p>
        </w:tc>
        <w:tc>
          <w:tcPr>
            <w:tcW w:w="624" w:type="dxa"/>
            <w:tcBorders>
              <w:top w:val="single" w:sz="6" w:space="0" w:color="auto"/>
              <w:bottom w:val="single" w:sz="6" w:space="0" w:color="auto"/>
              <w:right w:val="single" w:sz="6" w:space="0" w:color="auto"/>
            </w:tcBorders>
          </w:tcPr>
          <w:p w14:paraId="1293F2F9" w14:textId="77777777" w:rsidR="00711444" w:rsidRPr="004D0DAA" w:rsidRDefault="00711444" w:rsidP="00AA2A4C"/>
        </w:tc>
        <w:tc>
          <w:tcPr>
            <w:tcW w:w="1701" w:type="dxa"/>
          </w:tcPr>
          <w:p w14:paraId="50DCFB6C"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48A63296" w14:textId="77777777" w:rsidR="00711444" w:rsidRPr="004D0DAA" w:rsidRDefault="00711444" w:rsidP="00AA2A4C">
            <w:pPr>
              <w:pStyle w:val="TAC"/>
              <w:rPr>
                <w:lang w:eastAsia="en-US"/>
              </w:rPr>
            </w:pPr>
          </w:p>
        </w:tc>
      </w:tr>
      <w:tr w:rsidR="00711444" w:rsidRPr="004D0DAA" w14:paraId="73E99962" w14:textId="77777777" w:rsidTr="00AA2A4C">
        <w:tblPrEx>
          <w:tblCellMar>
            <w:top w:w="0" w:type="dxa"/>
            <w:bottom w:w="0" w:type="dxa"/>
          </w:tblCellMar>
        </w:tblPrEx>
        <w:trPr>
          <w:cantSplit/>
        </w:trPr>
        <w:tc>
          <w:tcPr>
            <w:tcW w:w="1495" w:type="dxa"/>
            <w:gridSpan w:val="2"/>
            <w:tcBorders>
              <w:top w:val="single" w:sz="6" w:space="0" w:color="auto"/>
              <w:left w:val="single" w:sz="6" w:space="0" w:color="auto"/>
              <w:bottom w:val="single" w:sz="6" w:space="0" w:color="auto"/>
              <w:right w:val="single" w:sz="6" w:space="0" w:color="auto"/>
            </w:tcBorders>
          </w:tcPr>
          <w:p w14:paraId="3F448645" w14:textId="77777777" w:rsidR="00711444" w:rsidRPr="004D0DAA" w:rsidRDefault="00711444" w:rsidP="00AA2A4C">
            <w:pPr>
              <w:pStyle w:val="TAC"/>
              <w:rPr>
                <w:lang w:eastAsia="en-US"/>
              </w:rPr>
            </w:pPr>
            <w:r w:rsidRPr="004D0DAA">
              <w:rPr>
                <w:lang w:eastAsia="en-US"/>
              </w:rPr>
              <w:t>PR</w:t>
            </w:r>
          </w:p>
        </w:tc>
        <w:tc>
          <w:tcPr>
            <w:tcW w:w="3120" w:type="dxa"/>
            <w:gridSpan w:val="5"/>
            <w:tcBorders>
              <w:top w:val="single" w:sz="6" w:space="0" w:color="auto"/>
              <w:left w:val="single" w:sz="6" w:space="0" w:color="auto"/>
              <w:bottom w:val="single" w:sz="6" w:space="0" w:color="auto"/>
              <w:right w:val="single" w:sz="6" w:space="0" w:color="auto"/>
            </w:tcBorders>
          </w:tcPr>
          <w:p w14:paraId="42DFD397"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left w:val="single" w:sz="6" w:space="0" w:color="auto"/>
              <w:bottom w:val="single" w:sz="6" w:space="0" w:color="auto"/>
              <w:right w:val="single" w:sz="6" w:space="0" w:color="auto"/>
            </w:tcBorders>
          </w:tcPr>
          <w:p w14:paraId="1FC52F7C" w14:textId="77777777" w:rsidR="00711444" w:rsidRPr="004D0DAA" w:rsidRDefault="00711444" w:rsidP="00AA2A4C">
            <w:pPr>
              <w:pStyle w:val="TAC"/>
              <w:rPr>
                <w:lang w:eastAsia="en-US"/>
              </w:rPr>
            </w:pPr>
            <w:r w:rsidRPr="004D0DAA">
              <w:rPr>
                <w:lang w:eastAsia="en-US"/>
              </w:rPr>
              <w:t>FBI=1</w:t>
            </w:r>
          </w:p>
        </w:tc>
        <w:tc>
          <w:tcPr>
            <w:tcW w:w="1701" w:type="dxa"/>
          </w:tcPr>
          <w:p w14:paraId="6ABB638A"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31E68784" w14:textId="77777777" w:rsidR="00711444" w:rsidRPr="004D0DAA" w:rsidRDefault="00711444" w:rsidP="00AA2A4C">
            <w:pPr>
              <w:pStyle w:val="TAC"/>
              <w:rPr>
                <w:lang w:eastAsia="en-US"/>
              </w:rPr>
            </w:pPr>
          </w:p>
        </w:tc>
      </w:tr>
      <w:tr w:rsidR="00711444" w:rsidRPr="004D0DAA" w14:paraId="341EF4FF" w14:textId="77777777" w:rsidTr="00AA2A4C">
        <w:tblPrEx>
          <w:tblCellMar>
            <w:top w:w="0" w:type="dxa"/>
            <w:bottom w:w="0" w:type="dxa"/>
          </w:tblCellMar>
        </w:tblPrEx>
        <w:trPr>
          <w:cantSplit/>
        </w:trPr>
        <w:tc>
          <w:tcPr>
            <w:tcW w:w="871" w:type="dxa"/>
            <w:tcBorders>
              <w:top w:val="single" w:sz="6" w:space="0" w:color="auto"/>
              <w:left w:val="single" w:sz="6" w:space="0" w:color="auto"/>
              <w:bottom w:val="single" w:sz="6" w:space="0" w:color="auto"/>
            </w:tcBorders>
          </w:tcPr>
          <w:p w14:paraId="63AE3AE9" w14:textId="77777777" w:rsidR="00711444" w:rsidRPr="004D0DAA" w:rsidRDefault="00711444" w:rsidP="00AA2A4C"/>
        </w:tc>
        <w:tc>
          <w:tcPr>
            <w:tcW w:w="624" w:type="dxa"/>
            <w:tcBorders>
              <w:top w:val="single" w:sz="6" w:space="0" w:color="auto"/>
              <w:bottom w:val="single" w:sz="6" w:space="0" w:color="auto"/>
            </w:tcBorders>
          </w:tcPr>
          <w:p w14:paraId="2E16F5A8" w14:textId="77777777" w:rsidR="00711444" w:rsidRPr="004D0DAA" w:rsidRDefault="00711444" w:rsidP="00AA2A4C"/>
        </w:tc>
        <w:tc>
          <w:tcPr>
            <w:tcW w:w="624" w:type="dxa"/>
            <w:tcBorders>
              <w:top w:val="single" w:sz="6" w:space="0" w:color="auto"/>
              <w:bottom w:val="single" w:sz="6" w:space="0" w:color="auto"/>
            </w:tcBorders>
          </w:tcPr>
          <w:p w14:paraId="41DAEEEB" w14:textId="77777777" w:rsidR="00711444" w:rsidRPr="004D0DAA" w:rsidRDefault="00711444" w:rsidP="00AA2A4C"/>
        </w:tc>
        <w:tc>
          <w:tcPr>
            <w:tcW w:w="624" w:type="dxa"/>
            <w:tcBorders>
              <w:top w:val="single" w:sz="6" w:space="0" w:color="auto"/>
              <w:bottom w:val="single" w:sz="6" w:space="0" w:color="auto"/>
            </w:tcBorders>
          </w:tcPr>
          <w:p w14:paraId="070C92C1"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bottom w:val="single" w:sz="6" w:space="0" w:color="auto"/>
            </w:tcBorders>
          </w:tcPr>
          <w:p w14:paraId="0866A060" w14:textId="77777777" w:rsidR="00711444" w:rsidRPr="004D0DAA" w:rsidRDefault="00711444" w:rsidP="00AA2A4C"/>
        </w:tc>
        <w:tc>
          <w:tcPr>
            <w:tcW w:w="624" w:type="dxa"/>
            <w:tcBorders>
              <w:top w:val="single" w:sz="6" w:space="0" w:color="auto"/>
              <w:bottom w:val="single" w:sz="6" w:space="0" w:color="auto"/>
            </w:tcBorders>
          </w:tcPr>
          <w:p w14:paraId="6423476F"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38784EE2"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7A76FA9B" w14:textId="77777777" w:rsidR="00711444" w:rsidRPr="004D0DAA" w:rsidRDefault="00711444" w:rsidP="00AA2A4C">
            <w:pPr>
              <w:pStyle w:val="TAC"/>
              <w:rPr>
                <w:lang w:eastAsia="en-US"/>
              </w:rPr>
            </w:pPr>
            <w:r w:rsidRPr="004D0DAA">
              <w:rPr>
                <w:lang w:eastAsia="en-US"/>
              </w:rPr>
              <w:t xml:space="preserve"> E = 1</w:t>
            </w:r>
          </w:p>
        </w:tc>
        <w:tc>
          <w:tcPr>
            <w:tcW w:w="1701" w:type="dxa"/>
          </w:tcPr>
          <w:p w14:paraId="41790997"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5B71B44E" w14:textId="77777777" w:rsidR="00711444" w:rsidRPr="004D0DAA" w:rsidRDefault="00711444" w:rsidP="00AA2A4C">
            <w:pPr>
              <w:pStyle w:val="TAC"/>
              <w:rPr>
                <w:lang w:eastAsia="en-US"/>
              </w:rPr>
            </w:pPr>
            <w:r w:rsidRPr="004D0DAA">
              <w:rPr>
                <w:lang w:eastAsia="en-US"/>
              </w:rPr>
              <w:t>LLC PDU 1</w:t>
            </w:r>
          </w:p>
        </w:tc>
      </w:tr>
      <w:tr w:rsidR="00711444" w:rsidRPr="004D0DAA" w14:paraId="70CA6EB9" w14:textId="77777777" w:rsidTr="00AA2A4C">
        <w:tblPrEx>
          <w:tblCellMar>
            <w:top w:w="0" w:type="dxa"/>
            <w:bottom w:w="0" w:type="dxa"/>
          </w:tblCellMar>
        </w:tblPrEx>
        <w:trPr>
          <w:cantSplit/>
        </w:trPr>
        <w:tc>
          <w:tcPr>
            <w:tcW w:w="871" w:type="dxa"/>
            <w:tcBorders>
              <w:left w:val="single" w:sz="6" w:space="0" w:color="auto"/>
            </w:tcBorders>
          </w:tcPr>
          <w:p w14:paraId="22A99A41" w14:textId="77777777" w:rsidR="00711444" w:rsidRPr="004D0DAA" w:rsidRDefault="00711444" w:rsidP="00AA2A4C"/>
        </w:tc>
        <w:tc>
          <w:tcPr>
            <w:tcW w:w="624" w:type="dxa"/>
          </w:tcPr>
          <w:p w14:paraId="5F8F6B41" w14:textId="77777777" w:rsidR="00711444" w:rsidRPr="004D0DAA" w:rsidRDefault="00711444" w:rsidP="00AA2A4C"/>
        </w:tc>
        <w:tc>
          <w:tcPr>
            <w:tcW w:w="624" w:type="dxa"/>
          </w:tcPr>
          <w:p w14:paraId="1C128CEF" w14:textId="77777777" w:rsidR="00711444" w:rsidRPr="004D0DAA" w:rsidRDefault="00711444" w:rsidP="00AA2A4C"/>
        </w:tc>
        <w:tc>
          <w:tcPr>
            <w:tcW w:w="624" w:type="dxa"/>
          </w:tcPr>
          <w:p w14:paraId="0EB56B05" w14:textId="77777777" w:rsidR="00711444" w:rsidRPr="004D0DAA" w:rsidRDefault="00711444" w:rsidP="00AA2A4C"/>
        </w:tc>
        <w:tc>
          <w:tcPr>
            <w:tcW w:w="624" w:type="dxa"/>
          </w:tcPr>
          <w:p w14:paraId="60D74926" w14:textId="77777777" w:rsidR="00711444" w:rsidRPr="004D0DAA" w:rsidRDefault="00711444" w:rsidP="00AA2A4C"/>
        </w:tc>
        <w:tc>
          <w:tcPr>
            <w:tcW w:w="624" w:type="dxa"/>
          </w:tcPr>
          <w:p w14:paraId="3E1E28B2" w14:textId="77777777" w:rsidR="00711444" w:rsidRPr="004D0DAA" w:rsidRDefault="00711444" w:rsidP="00AA2A4C"/>
        </w:tc>
        <w:tc>
          <w:tcPr>
            <w:tcW w:w="624" w:type="dxa"/>
          </w:tcPr>
          <w:p w14:paraId="260C121A" w14:textId="77777777" w:rsidR="00711444" w:rsidRPr="004D0DAA" w:rsidRDefault="00711444" w:rsidP="00AA2A4C"/>
        </w:tc>
        <w:tc>
          <w:tcPr>
            <w:tcW w:w="624" w:type="dxa"/>
            <w:tcBorders>
              <w:right w:val="single" w:sz="6" w:space="0" w:color="auto"/>
            </w:tcBorders>
          </w:tcPr>
          <w:p w14:paraId="381F3654" w14:textId="77777777" w:rsidR="00711444" w:rsidRPr="004D0DAA" w:rsidRDefault="00711444" w:rsidP="00AA2A4C"/>
        </w:tc>
        <w:tc>
          <w:tcPr>
            <w:tcW w:w="1701" w:type="dxa"/>
          </w:tcPr>
          <w:p w14:paraId="207407EA"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1E6055DB" w14:textId="77777777" w:rsidR="00711444" w:rsidRPr="004D0DAA" w:rsidRDefault="00711444" w:rsidP="00AA2A4C">
            <w:pPr>
              <w:pStyle w:val="TAC"/>
              <w:rPr>
                <w:lang w:eastAsia="en-US"/>
              </w:rPr>
            </w:pPr>
          </w:p>
        </w:tc>
      </w:tr>
      <w:tr w:rsidR="00711444" w:rsidRPr="004D0DAA" w14:paraId="104D1F69" w14:textId="77777777" w:rsidTr="00AA2A4C">
        <w:tblPrEx>
          <w:tblCellMar>
            <w:top w:w="0" w:type="dxa"/>
            <w:bottom w:w="0" w:type="dxa"/>
          </w:tblCellMar>
        </w:tblPrEx>
        <w:trPr>
          <w:cantSplit/>
        </w:trPr>
        <w:tc>
          <w:tcPr>
            <w:tcW w:w="871" w:type="dxa"/>
            <w:tcBorders>
              <w:left w:val="single" w:sz="6" w:space="0" w:color="auto"/>
            </w:tcBorders>
          </w:tcPr>
          <w:p w14:paraId="2106A9F1" w14:textId="77777777" w:rsidR="00711444" w:rsidRPr="004D0DAA" w:rsidRDefault="00711444" w:rsidP="00AA2A4C"/>
        </w:tc>
        <w:tc>
          <w:tcPr>
            <w:tcW w:w="624" w:type="dxa"/>
          </w:tcPr>
          <w:p w14:paraId="17B24A69" w14:textId="77777777" w:rsidR="00711444" w:rsidRPr="004D0DAA" w:rsidRDefault="00711444" w:rsidP="00AA2A4C"/>
        </w:tc>
        <w:tc>
          <w:tcPr>
            <w:tcW w:w="624" w:type="dxa"/>
          </w:tcPr>
          <w:p w14:paraId="2DDD590A" w14:textId="77777777" w:rsidR="00711444" w:rsidRPr="004D0DAA" w:rsidRDefault="00711444" w:rsidP="00AA2A4C"/>
        </w:tc>
        <w:tc>
          <w:tcPr>
            <w:tcW w:w="624" w:type="dxa"/>
          </w:tcPr>
          <w:p w14:paraId="1FADA5A2" w14:textId="77777777" w:rsidR="00711444" w:rsidRPr="004D0DAA" w:rsidRDefault="00711444" w:rsidP="00AA2A4C"/>
        </w:tc>
        <w:tc>
          <w:tcPr>
            <w:tcW w:w="624" w:type="dxa"/>
          </w:tcPr>
          <w:p w14:paraId="63B7F8E3" w14:textId="77777777" w:rsidR="00711444" w:rsidRPr="004D0DAA" w:rsidRDefault="00711444" w:rsidP="00AA2A4C"/>
        </w:tc>
        <w:tc>
          <w:tcPr>
            <w:tcW w:w="624" w:type="dxa"/>
          </w:tcPr>
          <w:p w14:paraId="23D40FC8" w14:textId="77777777" w:rsidR="00711444" w:rsidRPr="004D0DAA" w:rsidRDefault="00711444" w:rsidP="00AA2A4C"/>
        </w:tc>
        <w:tc>
          <w:tcPr>
            <w:tcW w:w="624" w:type="dxa"/>
          </w:tcPr>
          <w:p w14:paraId="196E340A" w14:textId="77777777" w:rsidR="00711444" w:rsidRPr="004D0DAA" w:rsidRDefault="00711444" w:rsidP="00AA2A4C"/>
        </w:tc>
        <w:tc>
          <w:tcPr>
            <w:tcW w:w="624" w:type="dxa"/>
            <w:tcBorders>
              <w:right w:val="single" w:sz="6" w:space="0" w:color="auto"/>
            </w:tcBorders>
          </w:tcPr>
          <w:p w14:paraId="33CF28F1" w14:textId="77777777" w:rsidR="00711444" w:rsidRPr="004D0DAA" w:rsidRDefault="00711444" w:rsidP="00AA2A4C"/>
        </w:tc>
        <w:tc>
          <w:tcPr>
            <w:tcW w:w="1701" w:type="dxa"/>
          </w:tcPr>
          <w:p w14:paraId="2D628011"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36D7CFD6" w14:textId="77777777" w:rsidR="00711444" w:rsidRPr="004D0DAA" w:rsidRDefault="00711444" w:rsidP="00AA2A4C">
            <w:pPr>
              <w:pStyle w:val="TAC"/>
              <w:rPr>
                <w:lang w:eastAsia="en-US"/>
              </w:rPr>
            </w:pPr>
          </w:p>
        </w:tc>
      </w:tr>
      <w:tr w:rsidR="00711444" w:rsidRPr="004D0DAA" w14:paraId="5DE018C8"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79BAAA60" w14:textId="77777777" w:rsidR="00711444" w:rsidRPr="004D0DAA" w:rsidRDefault="00711444" w:rsidP="00AA2A4C">
            <w:pPr>
              <w:pStyle w:val="TAC"/>
              <w:rPr>
                <w:lang w:eastAsia="en-US"/>
              </w:rPr>
            </w:pPr>
            <w:r w:rsidRPr="004D0DAA">
              <w:rPr>
                <w:lang w:eastAsia="en-US"/>
              </w:rPr>
              <w:br/>
              <w:t>LLC PDU 1 (cont)</w:t>
            </w:r>
          </w:p>
        </w:tc>
        <w:tc>
          <w:tcPr>
            <w:tcW w:w="1701" w:type="dxa"/>
          </w:tcPr>
          <w:p w14:paraId="09271DAA" w14:textId="77777777" w:rsidR="00711444" w:rsidRPr="004D0DAA" w:rsidRDefault="00711444" w:rsidP="00AA2A4C">
            <w:pPr>
              <w:pStyle w:val="TAC"/>
              <w:rPr>
                <w:lang w:eastAsia="en-US"/>
              </w:rPr>
            </w:pPr>
            <w:r w:rsidRPr="004D0DAA">
              <w:rPr>
                <w:lang w:eastAsia="en-US"/>
              </w:rPr>
              <w:t>.</w:t>
            </w:r>
          </w:p>
          <w:p w14:paraId="3CA9AEBE" w14:textId="77777777" w:rsidR="00711444" w:rsidRPr="004D0DAA" w:rsidRDefault="00711444" w:rsidP="00AA2A4C">
            <w:pPr>
              <w:pStyle w:val="TAC"/>
              <w:rPr>
                <w:lang w:eastAsia="en-US"/>
              </w:rPr>
            </w:pPr>
            <w:r w:rsidRPr="004D0DAA">
              <w:rPr>
                <w:lang w:eastAsia="en-US"/>
              </w:rPr>
              <w:t>.</w:t>
            </w:r>
          </w:p>
          <w:p w14:paraId="54A17A66"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51E190EB" w14:textId="77777777" w:rsidR="00711444" w:rsidRPr="004D0DAA" w:rsidRDefault="00711444" w:rsidP="00AA2A4C">
            <w:pPr>
              <w:pStyle w:val="TAC"/>
              <w:rPr>
                <w:lang w:eastAsia="en-US"/>
              </w:rPr>
            </w:pPr>
          </w:p>
          <w:p w14:paraId="5581567F" w14:textId="77777777" w:rsidR="00711444" w:rsidRPr="004D0DAA" w:rsidRDefault="00711444" w:rsidP="00AA2A4C">
            <w:pPr>
              <w:pStyle w:val="TAC"/>
              <w:rPr>
                <w:lang w:eastAsia="en-US"/>
              </w:rPr>
            </w:pPr>
          </w:p>
        </w:tc>
      </w:tr>
      <w:tr w:rsidR="00711444" w:rsidRPr="004D0DAA" w14:paraId="21178909"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792397E7" w14:textId="77777777" w:rsidR="00711444" w:rsidRPr="004D0DAA" w:rsidRDefault="00711444" w:rsidP="00AA2A4C"/>
        </w:tc>
        <w:tc>
          <w:tcPr>
            <w:tcW w:w="1701" w:type="dxa"/>
          </w:tcPr>
          <w:p w14:paraId="658784A8" w14:textId="77777777" w:rsidR="00711444" w:rsidRPr="004D0DAA" w:rsidRDefault="00711444" w:rsidP="00AA2A4C">
            <w:pPr>
              <w:pStyle w:val="TAC"/>
              <w:rPr>
                <w:lang w:eastAsia="en-US"/>
              </w:rPr>
            </w:pPr>
            <w:r w:rsidRPr="004D0DAA">
              <w:rPr>
                <w:lang w:eastAsia="en-US"/>
              </w:rPr>
              <w:t>.</w:t>
            </w:r>
          </w:p>
          <w:p w14:paraId="1AF91818" w14:textId="77777777" w:rsidR="00711444" w:rsidRPr="004D0DAA" w:rsidRDefault="00711444" w:rsidP="00AA2A4C">
            <w:pPr>
              <w:pStyle w:val="TAC"/>
              <w:rPr>
                <w:lang w:eastAsia="en-US"/>
              </w:rPr>
            </w:pPr>
            <w:r w:rsidRPr="004D0DAA">
              <w:rPr>
                <w:lang w:eastAsia="en-US"/>
              </w:rPr>
              <w:t>.</w:t>
            </w:r>
          </w:p>
          <w:p w14:paraId="611E1C3F"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5B2E7A52" w14:textId="77777777" w:rsidR="00711444" w:rsidRPr="004D0DAA" w:rsidRDefault="00711444" w:rsidP="00AA2A4C">
            <w:pPr>
              <w:pStyle w:val="TAC"/>
              <w:rPr>
                <w:lang w:eastAsia="en-US"/>
              </w:rPr>
            </w:pPr>
          </w:p>
        </w:tc>
      </w:tr>
      <w:tr w:rsidR="00711444" w:rsidRPr="004D0DAA" w14:paraId="725BBBCA" w14:textId="77777777" w:rsidTr="00AA2A4C">
        <w:tblPrEx>
          <w:tblCellMar>
            <w:top w:w="0" w:type="dxa"/>
            <w:bottom w:w="0" w:type="dxa"/>
          </w:tblCellMar>
        </w:tblPrEx>
        <w:trPr>
          <w:cantSplit/>
        </w:trPr>
        <w:tc>
          <w:tcPr>
            <w:tcW w:w="871" w:type="dxa"/>
            <w:tcBorders>
              <w:left w:val="single" w:sz="6" w:space="0" w:color="auto"/>
            </w:tcBorders>
          </w:tcPr>
          <w:p w14:paraId="1EF0F1AB" w14:textId="77777777" w:rsidR="00711444" w:rsidRPr="004D0DAA" w:rsidRDefault="00711444" w:rsidP="00AA2A4C"/>
        </w:tc>
        <w:tc>
          <w:tcPr>
            <w:tcW w:w="624" w:type="dxa"/>
          </w:tcPr>
          <w:p w14:paraId="1C73E6F8" w14:textId="77777777" w:rsidR="00711444" w:rsidRPr="004D0DAA" w:rsidRDefault="00711444" w:rsidP="00AA2A4C"/>
        </w:tc>
        <w:tc>
          <w:tcPr>
            <w:tcW w:w="624" w:type="dxa"/>
          </w:tcPr>
          <w:p w14:paraId="25707443" w14:textId="77777777" w:rsidR="00711444" w:rsidRPr="004D0DAA" w:rsidRDefault="00711444" w:rsidP="00AA2A4C"/>
        </w:tc>
        <w:tc>
          <w:tcPr>
            <w:tcW w:w="624" w:type="dxa"/>
          </w:tcPr>
          <w:p w14:paraId="662902B5" w14:textId="77777777" w:rsidR="00711444" w:rsidRPr="004D0DAA" w:rsidRDefault="00711444" w:rsidP="00AA2A4C"/>
        </w:tc>
        <w:tc>
          <w:tcPr>
            <w:tcW w:w="624" w:type="dxa"/>
          </w:tcPr>
          <w:p w14:paraId="4E59C7D3" w14:textId="77777777" w:rsidR="00711444" w:rsidRPr="004D0DAA" w:rsidRDefault="00711444" w:rsidP="00AA2A4C"/>
        </w:tc>
        <w:tc>
          <w:tcPr>
            <w:tcW w:w="624" w:type="dxa"/>
          </w:tcPr>
          <w:p w14:paraId="6553BCF8" w14:textId="77777777" w:rsidR="00711444" w:rsidRPr="004D0DAA" w:rsidRDefault="00711444" w:rsidP="00AA2A4C"/>
        </w:tc>
        <w:tc>
          <w:tcPr>
            <w:tcW w:w="624" w:type="dxa"/>
          </w:tcPr>
          <w:p w14:paraId="588575B2" w14:textId="77777777" w:rsidR="00711444" w:rsidRPr="004D0DAA" w:rsidRDefault="00711444" w:rsidP="00AA2A4C"/>
        </w:tc>
        <w:tc>
          <w:tcPr>
            <w:tcW w:w="624" w:type="dxa"/>
            <w:tcBorders>
              <w:right w:val="single" w:sz="6" w:space="0" w:color="auto"/>
            </w:tcBorders>
          </w:tcPr>
          <w:p w14:paraId="13011452" w14:textId="77777777" w:rsidR="00711444" w:rsidRPr="004D0DAA" w:rsidRDefault="00711444" w:rsidP="00AA2A4C"/>
        </w:tc>
        <w:tc>
          <w:tcPr>
            <w:tcW w:w="1701" w:type="dxa"/>
            <w:tcBorders>
              <w:bottom w:val="single" w:sz="6" w:space="0" w:color="FFFFFF"/>
            </w:tcBorders>
          </w:tcPr>
          <w:p w14:paraId="2B753B6C"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4B756976" w14:textId="77777777" w:rsidR="00711444" w:rsidRPr="004D0DAA" w:rsidRDefault="00711444" w:rsidP="00AA2A4C">
            <w:pPr>
              <w:pStyle w:val="TAC"/>
              <w:rPr>
                <w:lang w:eastAsia="en-US"/>
              </w:rPr>
            </w:pPr>
          </w:p>
        </w:tc>
      </w:tr>
      <w:tr w:rsidR="00711444" w:rsidRPr="004D0DAA" w14:paraId="103177C6" w14:textId="77777777" w:rsidTr="00AA2A4C">
        <w:tblPrEx>
          <w:tblCellMar>
            <w:top w:w="0" w:type="dxa"/>
            <w:bottom w:w="0" w:type="dxa"/>
          </w:tblCellMar>
        </w:tblPrEx>
        <w:trPr>
          <w:cantSplit/>
        </w:trPr>
        <w:tc>
          <w:tcPr>
            <w:tcW w:w="871" w:type="dxa"/>
            <w:tcBorders>
              <w:top w:val="single" w:sz="6" w:space="0" w:color="auto"/>
            </w:tcBorders>
          </w:tcPr>
          <w:p w14:paraId="4440321D" w14:textId="77777777" w:rsidR="00711444" w:rsidRPr="004D0DAA" w:rsidRDefault="00711444" w:rsidP="00AA2A4C"/>
        </w:tc>
        <w:tc>
          <w:tcPr>
            <w:tcW w:w="624" w:type="dxa"/>
            <w:tcBorders>
              <w:top w:val="single" w:sz="6" w:space="0" w:color="auto"/>
            </w:tcBorders>
          </w:tcPr>
          <w:p w14:paraId="6DCF5494" w14:textId="77777777" w:rsidR="00711444" w:rsidRPr="004D0DAA" w:rsidRDefault="00711444" w:rsidP="00AA2A4C"/>
        </w:tc>
        <w:tc>
          <w:tcPr>
            <w:tcW w:w="624" w:type="dxa"/>
            <w:tcBorders>
              <w:top w:val="single" w:sz="6" w:space="0" w:color="auto"/>
            </w:tcBorders>
          </w:tcPr>
          <w:p w14:paraId="45ECADFF" w14:textId="77777777" w:rsidR="00711444" w:rsidRPr="004D0DAA" w:rsidRDefault="00711444" w:rsidP="00AA2A4C"/>
        </w:tc>
        <w:tc>
          <w:tcPr>
            <w:tcW w:w="624" w:type="dxa"/>
            <w:tcBorders>
              <w:top w:val="single" w:sz="6" w:space="0" w:color="auto"/>
            </w:tcBorders>
          </w:tcPr>
          <w:p w14:paraId="23DBEFC6" w14:textId="77777777" w:rsidR="00711444" w:rsidRPr="004D0DAA" w:rsidRDefault="00711444" w:rsidP="00AA2A4C"/>
        </w:tc>
        <w:tc>
          <w:tcPr>
            <w:tcW w:w="624" w:type="dxa"/>
            <w:tcBorders>
              <w:top w:val="single" w:sz="6" w:space="0" w:color="auto"/>
            </w:tcBorders>
          </w:tcPr>
          <w:p w14:paraId="478A3421" w14:textId="77777777" w:rsidR="00711444" w:rsidRPr="004D0DAA" w:rsidRDefault="00711444" w:rsidP="00AA2A4C"/>
        </w:tc>
        <w:tc>
          <w:tcPr>
            <w:tcW w:w="624" w:type="dxa"/>
            <w:tcBorders>
              <w:top w:val="single" w:sz="6" w:space="0" w:color="auto"/>
            </w:tcBorders>
          </w:tcPr>
          <w:p w14:paraId="1BFEAE7B" w14:textId="77777777" w:rsidR="00711444" w:rsidRPr="004D0DAA" w:rsidRDefault="00711444" w:rsidP="00AA2A4C"/>
        </w:tc>
        <w:tc>
          <w:tcPr>
            <w:tcW w:w="624" w:type="dxa"/>
            <w:tcBorders>
              <w:top w:val="single" w:sz="6" w:space="0" w:color="auto"/>
            </w:tcBorders>
          </w:tcPr>
          <w:p w14:paraId="14786C05" w14:textId="77777777" w:rsidR="00711444" w:rsidRPr="004D0DAA" w:rsidRDefault="00711444" w:rsidP="00AA2A4C"/>
        </w:tc>
        <w:tc>
          <w:tcPr>
            <w:tcW w:w="624" w:type="dxa"/>
            <w:tcBorders>
              <w:top w:val="single" w:sz="6" w:space="0" w:color="auto"/>
            </w:tcBorders>
          </w:tcPr>
          <w:p w14:paraId="6AD4AC4B" w14:textId="77777777" w:rsidR="00711444" w:rsidRPr="004D0DAA" w:rsidRDefault="00711444" w:rsidP="00AA2A4C"/>
        </w:tc>
        <w:tc>
          <w:tcPr>
            <w:tcW w:w="1701" w:type="dxa"/>
            <w:tcBorders>
              <w:bottom w:val="single" w:sz="6" w:space="0" w:color="FFFFFF"/>
            </w:tcBorders>
          </w:tcPr>
          <w:p w14:paraId="7BE2A716" w14:textId="77777777" w:rsidR="00711444" w:rsidRPr="004D0DAA" w:rsidRDefault="00711444" w:rsidP="00AA2A4C"/>
        </w:tc>
        <w:tc>
          <w:tcPr>
            <w:tcW w:w="1567" w:type="dxa"/>
            <w:tcBorders>
              <w:top w:val="single" w:sz="6" w:space="0" w:color="auto"/>
            </w:tcBorders>
          </w:tcPr>
          <w:p w14:paraId="41310249" w14:textId="77777777" w:rsidR="00711444" w:rsidRPr="004D0DAA" w:rsidRDefault="00711444" w:rsidP="00AA2A4C">
            <w:pPr>
              <w:pStyle w:val="TAC"/>
              <w:rPr>
                <w:lang w:eastAsia="en-US"/>
              </w:rPr>
            </w:pPr>
          </w:p>
        </w:tc>
      </w:tr>
    </w:tbl>
    <w:p w14:paraId="54CCA4D2" w14:textId="77777777" w:rsidR="00711444" w:rsidRPr="004D0DAA" w:rsidRDefault="00711444" w:rsidP="00711444">
      <w:pPr>
        <w:pStyle w:val="TAC"/>
      </w:pPr>
    </w:p>
    <w:p w14:paraId="49DBE77A" w14:textId="77777777" w:rsidR="00711444" w:rsidRPr="004D0DAA" w:rsidRDefault="00711444" w:rsidP="00711444">
      <w:pPr>
        <w:pStyle w:val="TF"/>
      </w:pPr>
      <w:r w:rsidRPr="004D0DAA">
        <w:t>Figure B.5: Example when Length indicator (LI) can be omitted</w:t>
      </w:r>
    </w:p>
    <w:p w14:paraId="144C0F56" w14:textId="77777777" w:rsidR="00711444" w:rsidRPr="004D0DAA" w:rsidRDefault="00711444" w:rsidP="00711444">
      <w:pPr>
        <w:pStyle w:val="Heading2"/>
      </w:pPr>
      <w:bookmarkStart w:id="886" w:name="_Toc516670059"/>
      <w:r w:rsidRPr="004D0DAA">
        <w:t>B.6</w:t>
      </w:r>
      <w:r w:rsidRPr="004D0DAA">
        <w:tab/>
        <w:t>Example 6</w:t>
      </w:r>
      <w:bookmarkEnd w:id="886"/>
    </w:p>
    <w:p w14:paraId="44F50BD1" w14:textId="77777777" w:rsidR="00711444" w:rsidRPr="004D0DAA" w:rsidRDefault="00711444" w:rsidP="00711444">
      <w:r w:rsidRPr="004D0DAA">
        <w:t xml:space="preserve">Figure B.6 provides an example when the final LLC PDU (CV=0) of an </w:t>
      </w:r>
      <w:r w:rsidRPr="004D0DAA">
        <w:rPr>
          <w:i/>
        </w:rPr>
        <w:t xml:space="preserve">uplink </w:t>
      </w:r>
      <w:r w:rsidRPr="004D0DAA">
        <w:t>TBF fills the RLC data block precisely in which case the Length indicator can be omitted. In the example, LLC PDU 1 continues from a previous RLC data block and ends in and fills precisely the RLC data block shown.</w:t>
      </w:r>
    </w:p>
    <w:tbl>
      <w:tblPr>
        <w:tblW w:w="0" w:type="auto"/>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0FE1D440" w14:textId="77777777" w:rsidTr="00AA2A4C">
        <w:tblPrEx>
          <w:tblCellMar>
            <w:top w:w="0" w:type="dxa"/>
            <w:bottom w:w="0" w:type="dxa"/>
          </w:tblCellMar>
        </w:tblPrEx>
        <w:trPr>
          <w:cantSplit/>
        </w:trPr>
        <w:tc>
          <w:tcPr>
            <w:tcW w:w="5239" w:type="dxa"/>
            <w:gridSpan w:val="8"/>
          </w:tcPr>
          <w:p w14:paraId="07D325E6" w14:textId="77777777" w:rsidR="00711444" w:rsidRPr="004D0DAA" w:rsidRDefault="00711444" w:rsidP="00AA2A4C"/>
        </w:tc>
        <w:tc>
          <w:tcPr>
            <w:tcW w:w="1701" w:type="dxa"/>
          </w:tcPr>
          <w:p w14:paraId="4A619B48" w14:textId="77777777" w:rsidR="00711444" w:rsidRPr="004D0DAA" w:rsidRDefault="00711444" w:rsidP="00AA2A4C"/>
        </w:tc>
        <w:tc>
          <w:tcPr>
            <w:tcW w:w="1567" w:type="dxa"/>
            <w:tcBorders>
              <w:left w:val="single" w:sz="6" w:space="0" w:color="auto"/>
              <w:right w:val="single" w:sz="6" w:space="0" w:color="auto"/>
            </w:tcBorders>
          </w:tcPr>
          <w:p w14:paraId="1D8EF1E0" w14:textId="77777777" w:rsidR="00711444" w:rsidRPr="004D0DAA" w:rsidRDefault="00711444" w:rsidP="00AA2A4C">
            <w:pPr>
              <w:pStyle w:val="TAC"/>
              <w:rPr>
                <w:lang w:eastAsia="en-US"/>
              </w:rPr>
            </w:pPr>
          </w:p>
        </w:tc>
      </w:tr>
      <w:tr w:rsidR="00711444" w:rsidRPr="004D0DAA" w14:paraId="5F7A437B" w14:textId="77777777" w:rsidTr="00AA2A4C">
        <w:tblPrEx>
          <w:tblCellMar>
            <w:top w:w="0" w:type="dxa"/>
            <w:bottom w:w="0" w:type="dxa"/>
          </w:tblCellMar>
        </w:tblPrEx>
        <w:trPr>
          <w:cantSplit/>
        </w:trPr>
        <w:tc>
          <w:tcPr>
            <w:tcW w:w="5239" w:type="dxa"/>
            <w:gridSpan w:val="8"/>
          </w:tcPr>
          <w:p w14:paraId="659865BA" w14:textId="77777777" w:rsidR="00711444" w:rsidRPr="004D0DAA" w:rsidRDefault="00711444" w:rsidP="00AA2A4C">
            <w:pPr>
              <w:pStyle w:val="TAC"/>
              <w:rPr>
                <w:lang w:eastAsia="en-US"/>
              </w:rPr>
            </w:pPr>
            <w:r w:rsidRPr="004D0DAA">
              <w:rPr>
                <w:lang w:eastAsia="en-US"/>
              </w:rPr>
              <w:t>Bit</w:t>
            </w:r>
          </w:p>
        </w:tc>
        <w:tc>
          <w:tcPr>
            <w:tcW w:w="1701" w:type="dxa"/>
          </w:tcPr>
          <w:p w14:paraId="22837F8B" w14:textId="77777777" w:rsidR="00711444" w:rsidRPr="004D0DAA" w:rsidRDefault="00711444" w:rsidP="00AA2A4C"/>
        </w:tc>
        <w:tc>
          <w:tcPr>
            <w:tcW w:w="1567" w:type="dxa"/>
            <w:tcBorders>
              <w:left w:val="single" w:sz="6" w:space="0" w:color="auto"/>
              <w:right w:val="single" w:sz="6" w:space="0" w:color="auto"/>
            </w:tcBorders>
          </w:tcPr>
          <w:p w14:paraId="29C0AB59" w14:textId="77777777" w:rsidR="00711444" w:rsidRPr="004D0DAA" w:rsidRDefault="00711444" w:rsidP="00AA2A4C">
            <w:pPr>
              <w:pStyle w:val="TAC"/>
              <w:rPr>
                <w:lang w:eastAsia="en-US"/>
              </w:rPr>
            </w:pPr>
          </w:p>
        </w:tc>
      </w:tr>
      <w:tr w:rsidR="00711444" w:rsidRPr="004D0DAA" w14:paraId="510900E2" w14:textId="77777777" w:rsidTr="00AA2A4C">
        <w:tblPrEx>
          <w:tblCellMar>
            <w:top w:w="0" w:type="dxa"/>
            <w:bottom w:w="0" w:type="dxa"/>
          </w:tblCellMar>
        </w:tblPrEx>
        <w:trPr>
          <w:cantSplit/>
        </w:trPr>
        <w:tc>
          <w:tcPr>
            <w:tcW w:w="871" w:type="dxa"/>
          </w:tcPr>
          <w:p w14:paraId="707BB0D4" w14:textId="77777777" w:rsidR="00711444" w:rsidRPr="004D0DAA" w:rsidRDefault="00711444" w:rsidP="00AA2A4C">
            <w:pPr>
              <w:pStyle w:val="TAC"/>
              <w:rPr>
                <w:lang w:eastAsia="en-US"/>
              </w:rPr>
            </w:pPr>
            <w:r w:rsidRPr="004D0DAA">
              <w:rPr>
                <w:lang w:eastAsia="en-US"/>
              </w:rPr>
              <w:t>8</w:t>
            </w:r>
          </w:p>
        </w:tc>
        <w:tc>
          <w:tcPr>
            <w:tcW w:w="624" w:type="dxa"/>
          </w:tcPr>
          <w:p w14:paraId="543BAB7A" w14:textId="77777777" w:rsidR="00711444" w:rsidRPr="004D0DAA" w:rsidRDefault="00711444" w:rsidP="00AA2A4C">
            <w:pPr>
              <w:pStyle w:val="TAC"/>
              <w:rPr>
                <w:lang w:eastAsia="en-US"/>
              </w:rPr>
            </w:pPr>
            <w:r w:rsidRPr="004D0DAA">
              <w:rPr>
                <w:lang w:eastAsia="en-US"/>
              </w:rPr>
              <w:t>7</w:t>
            </w:r>
          </w:p>
        </w:tc>
        <w:tc>
          <w:tcPr>
            <w:tcW w:w="624" w:type="dxa"/>
          </w:tcPr>
          <w:p w14:paraId="102E47E8" w14:textId="77777777" w:rsidR="00711444" w:rsidRPr="004D0DAA" w:rsidRDefault="00711444" w:rsidP="00AA2A4C">
            <w:pPr>
              <w:pStyle w:val="TAC"/>
              <w:rPr>
                <w:lang w:eastAsia="en-US"/>
              </w:rPr>
            </w:pPr>
            <w:r w:rsidRPr="004D0DAA">
              <w:rPr>
                <w:lang w:eastAsia="en-US"/>
              </w:rPr>
              <w:t>6</w:t>
            </w:r>
          </w:p>
        </w:tc>
        <w:tc>
          <w:tcPr>
            <w:tcW w:w="624" w:type="dxa"/>
          </w:tcPr>
          <w:p w14:paraId="5A8947ED" w14:textId="77777777" w:rsidR="00711444" w:rsidRPr="004D0DAA" w:rsidRDefault="00711444" w:rsidP="00AA2A4C">
            <w:pPr>
              <w:pStyle w:val="TAC"/>
              <w:rPr>
                <w:lang w:eastAsia="en-US"/>
              </w:rPr>
            </w:pPr>
            <w:r w:rsidRPr="004D0DAA">
              <w:rPr>
                <w:lang w:eastAsia="en-US"/>
              </w:rPr>
              <w:t>5</w:t>
            </w:r>
          </w:p>
        </w:tc>
        <w:tc>
          <w:tcPr>
            <w:tcW w:w="624" w:type="dxa"/>
          </w:tcPr>
          <w:p w14:paraId="5F993539" w14:textId="77777777" w:rsidR="00711444" w:rsidRPr="004D0DAA" w:rsidRDefault="00711444" w:rsidP="00AA2A4C">
            <w:pPr>
              <w:pStyle w:val="TAC"/>
              <w:rPr>
                <w:lang w:eastAsia="en-US"/>
              </w:rPr>
            </w:pPr>
            <w:r w:rsidRPr="004D0DAA">
              <w:rPr>
                <w:lang w:eastAsia="en-US"/>
              </w:rPr>
              <w:t>4</w:t>
            </w:r>
          </w:p>
        </w:tc>
        <w:tc>
          <w:tcPr>
            <w:tcW w:w="624" w:type="dxa"/>
          </w:tcPr>
          <w:p w14:paraId="139BBBA7" w14:textId="77777777" w:rsidR="00711444" w:rsidRPr="004D0DAA" w:rsidRDefault="00711444" w:rsidP="00AA2A4C">
            <w:pPr>
              <w:pStyle w:val="TAC"/>
              <w:rPr>
                <w:lang w:eastAsia="en-US"/>
              </w:rPr>
            </w:pPr>
            <w:r w:rsidRPr="004D0DAA">
              <w:rPr>
                <w:lang w:eastAsia="en-US"/>
              </w:rPr>
              <w:t>3</w:t>
            </w:r>
          </w:p>
        </w:tc>
        <w:tc>
          <w:tcPr>
            <w:tcW w:w="624" w:type="dxa"/>
          </w:tcPr>
          <w:p w14:paraId="587AB761" w14:textId="77777777" w:rsidR="00711444" w:rsidRPr="004D0DAA" w:rsidRDefault="00711444" w:rsidP="00AA2A4C">
            <w:pPr>
              <w:pStyle w:val="TAC"/>
              <w:rPr>
                <w:lang w:eastAsia="en-US"/>
              </w:rPr>
            </w:pPr>
            <w:r w:rsidRPr="004D0DAA">
              <w:rPr>
                <w:lang w:eastAsia="en-US"/>
              </w:rPr>
              <w:t>2</w:t>
            </w:r>
          </w:p>
        </w:tc>
        <w:tc>
          <w:tcPr>
            <w:tcW w:w="624" w:type="dxa"/>
          </w:tcPr>
          <w:p w14:paraId="76D9E98A" w14:textId="77777777" w:rsidR="00711444" w:rsidRPr="004D0DAA" w:rsidRDefault="00711444" w:rsidP="00AA2A4C">
            <w:pPr>
              <w:pStyle w:val="TAC"/>
              <w:rPr>
                <w:lang w:eastAsia="en-US"/>
              </w:rPr>
            </w:pPr>
            <w:r w:rsidRPr="004D0DAA">
              <w:rPr>
                <w:lang w:eastAsia="en-US"/>
              </w:rPr>
              <w:t>1</w:t>
            </w:r>
          </w:p>
        </w:tc>
        <w:tc>
          <w:tcPr>
            <w:tcW w:w="1701" w:type="dxa"/>
          </w:tcPr>
          <w:p w14:paraId="20E14327" w14:textId="77777777" w:rsidR="00711444" w:rsidRPr="004D0DAA" w:rsidRDefault="00711444" w:rsidP="00AA2A4C"/>
        </w:tc>
        <w:tc>
          <w:tcPr>
            <w:tcW w:w="1567" w:type="dxa"/>
            <w:tcBorders>
              <w:left w:val="single" w:sz="6" w:space="0" w:color="auto"/>
              <w:right w:val="single" w:sz="6" w:space="0" w:color="auto"/>
            </w:tcBorders>
          </w:tcPr>
          <w:p w14:paraId="7CD9F7EC" w14:textId="77777777" w:rsidR="00711444" w:rsidRPr="004D0DAA" w:rsidRDefault="00711444" w:rsidP="00AA2A4C">
            <w:pPr>
              <w:pStyle w:val="TAC"/>
              <w:rPr>
                <w:lang w:eastAsia="en-US"/>
              </w:rPr>
            </w:pPr>
          </w:p>
        </w:tc>
      </w:tr>
      <w:tr w:rsidR="00711444" w:rsidRPr="004D0DAA" w14:paraId="0DE2F517"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6173CA85" w14:textId="77777777" w:rsidR="00711444" w:rsidRPr="004D0DAA" w:rsidRDefault="00711444" w:rsidP="00AA2A4C">
            <w:pPr>
              <w:pStyle w:val="TAC"/>
              <w:rPr>
                <w:lang w:eastAsia="en-US"/>
              </w:rPr>
            </w:pPr>
            <w:r w:rsidRPr="004D0DAA">
              <w:rPr>
                <w:lang w:eastAsia="en-US"/>
              </w:rPr>
              <w:t>Payload Type</w:t>
            </w:r>
          </w:p>
        </w:tc>
        <w:tc>
          <w:tcPr>
            <w:tcW w:w="2496" w:type="dxa"/>
            <w:gridSpan w:val="4"/>
            <w:tcBorders>
              <w:top w:val="single" w:sz="6" w:space="0" w:color="auto"/>
              <w:left w:val="single" w:sz="6" w:space="0" w:color="auto"/>
            </w:tcBorders>
          </w:tcPr>
          <w:p w14:paraId="322D4A27" w14:textId="77777777" w:rsidR="00711444" w:rsidRPr="004D0DAA" w:rsidRDefault="00711444" w:rsidP="00AA2A4C">
            <w:pPr>
              <w:pStyle w:val="TAC"/>
              <w:rPr>
                <w:lang w:eastAsia="en-US"/>
              </w:rPr>
            </w:pPr>
            <w:r w:rsidRPr="004D0DAA">
              <w:rPr>
                <w:lang w:eastAsia="en-US"/>
              </w:rPr>
              <w:t>Countdown value = 0</w:t>
            </w:r>
          </w:p>
        </w:tc>
        <w:tc>
          <w:tcPr>
            <w:tcW w:w="624" w:type="dxa"/>
            <w:tcBorders>
              <w:top w:val="single" w:sz="6" w:space="0" w:color="auto"/>
              <w:left w:val="single" w:sz="6" w:space="0" w:color="auto"/>
              <w:bottom w:val="single" w:sz="6" w:space="0" w:color="auto"/>
              <w:right w:val="single" w:sz="6" w:space="0" w:color="auto"/>
            </w:tcBorders>
          </w:tcPr>
          <w:p w14:paraId="0E827AFC" w14:textId="77777777" w:rsidR="00711444" w:rsidRPr="004D0DAA" w:rsidRDefault="00711444" w:rsidP="00AA2A4C">
            <w:pPr>
              <w:pStyle w:val="TAC"/>
              <w:rPr>
                <w:lang w:eastAsia="en-US"/>
              </w:rPr>
            </w:pPr>
            <w:r w:rsidRPr="004D0DAA">
              <w:rPr>
                <w:lang w:eastAsia="en-US"/>
              </w:rPr>
              <w:t>SI</w:t>
            </w:r>
          </w:p>
        </w:tc>
        <w:tc>
          <w:tcPr>
            <w:tcW w:w="624" w:type="dxa"/>
            <w:tcBorders>
              <w:top w:val="single" w:sz="6" w:space="0" w:color="auto"/>
              <w:bottom w:val="single" w:sz="6" w:space="0" w:color="auto"/>
              <w:right w:val="single" w:sz="6" w:space="0" w:color="auto"/>
            </w:tcBorders>
          </w:tcPr>
          <w:p w14:paraId="3EB4CD98" w14:textId="77777777" w:rsidR="00711444" w:rsidRPr="004D0DAA" w:rsidRDefault="00711444" w:rsidP="00AA2A4C">
            <w:pPr>
              <w:pStyle w:val="TAC"/>
              <w:rPr>
                <w:lang w:eastAsia="en-US"/>
              </w:rPr>
            </w:pPr>
            <w:r w:rsidRPr="004D0DAA">
              <w:rPr>
                <w:lang w:eastAsia="en-US"/>
              </w:rPr>
              <w:t>R</w:t>
            </w:r>
          </w:p>
        </w:tc>
        <w:tc>
          <w:tcPr>
            <w:tcW w:w="1701" w:type="dxa"/>
          </w:tcPr>
          <w:p w14:paraId="394014F7"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6A710BEA" w14:textId="77777777" w:rsidR="00711444" w:rsidRPr="004D0DAA" w:rsidRDefault="00711444" w:rsidP="00AA2A4C">
            <w:pPr>
              <w:pStyle w:val="TAC"/>
              <w:rPr>
                <w:lang w:eastAsia="en-US"/>
              </w:rPr>
            </w:pPr>
          </w:p>
        </w:tc>
      </w:tr>
      <w:tr w:rsidR="00711444" w:rsidRPr="004D0DAA" w14:paraId="6CE1C59A" w14:textId="77777777" w:rsidTr="00AA2A4C">
        <w:tblPrEx>
          <w:tblCellMar>
            <w:top w:w="0" w:type="dxa"/>
            <w:bottom w:w="0" w:type="dxa"/>
          </w:tblCellMar>
        </w:tblPrEx>
        <w:trPr>
          <w:cantSplit/>
        </w:trPr>
        <w:tc>
          <w:tcPr>
            <w:tcW w:w="1495" w:type="dxa"/>
            <w:gridSpan w:val="2"/>
            <w:tcBorders>
              <w:top w:val="single" w:sz="6" w:space="0" w:color="auto"/>
              <w:left w:val="single" w:sz="6" w:space="0" w:color="auto"/>
              <w:bottom w:val="single" w:sz="6" w:space="0" w:color="auto"/>
              <w:right w:val="single" w:sz="6" w:space="0" w:color="auto"/>
            </w:tcBorders>
          </w:tcPr>
          <w:p w14:paraId="56E1281B" w14:textId="77777777" w:rsidR="00711444" w:rsidRPr="004D0DAA" w:rsidRDefault="00711444" w:rsidP="00AA2A4C">
            <w:pPr>
              <w:pStyle w:val="TAC"/>
              <w:rPr>
                <w:lang w:eastAsia="en-US"/>
              </w:rPr>
            </w:pPr>
            <w:r w:rsidRPr="004D0DAA">
              <w:rPr>
                <w:lang w:eastAsia="en-US"/>
              </w:rPr>
              <w:t>spare</w:t>
            </w:r>
          </w:p>
        </w:tc>
        <w:tc>
          <w:tcPr>
            <w:tcW w:w="3120" w:type="dxa"/>
            <w:gridSpan w:val="5"/>
            <w:tcBorders>
              <w:top w:val="single" w:sz="6" w:space="0" w:color="auto"/>
              <w:bottom w:val="single" w:sz="6" w:space="0" w:color="auto"/>
              <w:right w:val="single" w:sz="6" w:space="0" w:color="auto"/>
            </w:tcBorders>
          </w:tcPr>
          <w:p w14:paraId="16CC68DB"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right w:val="single" w:sz="6" w:space="0" w:color="auto"/>
            </w:tcBorders>
          </w:tcPr>
          <w:p w14:paraId="3ADF5341" w14:textId="77777777" w:rsidR="00711444" w:rsidRPr="004D0DAA" w:rsidRDefault="00711444" w:rsidP="00AA2A4C">
            <w:pPr>
              <w:pStyle w:val="TAC"/>
              <w:rPr>
                <w:lang w:eastAsia="en-US"/>
              </w:rPr>
            </w:pPr>
            <w:r w:rsidRPr="004D0DAA">
              <w:rPr>
                <w:lang w:eastAsia="en-US"/>
              </w:rPr>
              <w:t>TI</w:t>
            </w:r>
          </w:p>
        </w:tc>
        <w:tc>
          <w:tcPr>
            <w:tcW w:w="1701" w:type="dxa"/>
          </w:tcPr>
          <w:p w14:paraId="2489B936"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529302DD" w14:textId="77777777" w:rsidR="00711444" w:rsidRPr="004D0DAA" w:rsidRDefault="00711444" w:rsidP="00AA2A4C">
            <w:pPr>
              <w:pStyle w:val="TAC"/>
              <w:rPr>
                <w:lang w:eastAsia="en-US"/>
              </w:rPr>
            </w:pPr>
          </w:p>
        </w:tc>
      </w:tr>
      <w:tr w:rsidR="00711444" w:rsidRPr="004D0DAA" w14:paraId="25633B6B"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2C66A5AC" w14:textId="77777777" w:rsidR="00711444" w:rsidRPr="004D0DAA" w:rsidRDefault="00711444" w:rsidP="00AA2A4C"/>
        </w:tc>
        <w:tc>
          <w:tcPr>
            <w:tcW w:w="624" w:type="dxa"/>
            <w:tcBorders>
              <w:bottom w:val="single" w:sz="6" w:space="0" w:color="auto"/>
            </w:tcBorders>
          </w:tcPr>
          <w:p w14:paraId="78EE93B8" w14:textId="77777777" w:rsidR="00711444" w:rsidRPr="004D0DAA" w:rsidRDefault="00711444" w:rsidP="00AA2A4C"/>
        </w:tc>
        <w:tc>
          <w:tcPr>
            <w:tcW w:w="624" w:type="dxa"/>
            <w:tcBorders>
              <w:top w:val="single" w:sz="6" w:space="0" w:color="auto"/>
              <w:bottom w:val="single" w:sz="6" w:space="0" w:color="auto"/>
            </w:tcBorders>
          </w:tcPr>
          <w:p w14:paraId="73A5EAAF" w14:textId="77777777" w:rsidR="00711444" w:rsidRPr="004D0DAA" w:rsidRDefault="00711444" w:rsidP="00AA2A4C"/>
        </w:tc>
        <w:tc>
          <w:tcPr>
            <w:tcW w:w="624" w:type="dxa"/>
            <w:tcBorders>
              <w:top w:val="single" w:sz="6" w:space="0" w:color="auto"/>
              <w:bottom w:val="single" w:sz="6" w:space="0" w:color="auto"/>
            </w:tcBorders>
          </w:tcPr>
          <w:p w14:paraId="3F292AB1"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bottom w:val="single" w:sz="6" w:space="0" w:color="auto"/>
            </w:tcBorders>
          </w:tcPr>
          <w:p w14:paraId="2957B087" w14:textId="77777777" w:rsidR="00711444" w:rsidRPr="004D0DAA" w:rsidRDefault="00711444" w:rsidP="00AA2A4C"/>
        </w:tc>
        <w:tc>
          <w:tcPr>
            <w:tcW w:w="624" w:type="dxa"/>
            <w:tcBorders>
              <w:top w:val="single" w:sz="6" w:space="0" w:color="auto"/>
              <w:bottom w:val="single" w:sz="6" w:space="0" w:color="auto"/>
            </w:tcBorders>
          </w:tcPr>
          <w:p w14:paraId="241BF7EC"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6002DA25"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6877AD3B" w14:textId="77777777" w:rsidR="00711444" w:rsidRPr="004D0DAA" w:rsidRDefault="00711444" w:rsidP="00AA2A4C">
            <w:pPr>
              <w:pStyle w:val="TAC"/>
              <w:rPr>
                <w:lang w:eastAsia="en-US"/>
              </w:rPr>
            </w:pPr>
            <w:r w:rsidRPr="004D0DAA">
              <w:rPr>
                <w:lang w:eastAsia="en-US"/>
              </w:rPr>
              <w:t xml:space="preserve"> E = 1</w:t>
            </w:r>
          </w:p>
        </w:tc>
        <w:tc>
          <w:tcPr>
            <w:tcW w:w="1701" w:type="dxa"/>
          </w:tcPr>
          <w:p w14:paraId="523DB0EF"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23B9AE5F" w14:textId="77777777" w:rsidR="00711444" w:rsidRPr="004D0DAA" w:rsidRDefault="00711444" w:rsidP="00AA2A4C">
            <w:pPr>
              <w:pStyle w:val="TAC"/>
              <w:rPr>
                <w:lang w:eastAsia="en-US"/>
              </w:rPr>
            </w:pPr>
            <w:r w:rsidRPr="004D0DAA">
              <w:rPr>
                <w:lang w:eastAsia="en-US"/>
              </w:rPr>
              <w:t>LLC PDU 1</w:t>
            </w:r>
          </w:p>
        </w:tc>
      </w:tr>
      <w:tr w:rsidR="00711444" w:rsidRPr="004D0DAA" w14:paraId="20136654" w14:textId="77777777" w:rsidTr="00AA2A4C">
        <w:tblPrEx>
          <w:tblCellMar>
            <w:top w:w="0" w:type="dxa"/>
            <w:bottom w:w="0" w:type="dxa"/>
          </w:tblCellMar>
        </w:tblPrEx>
        <w:trPr>
          <w:cantSplit/>
        </w:trPr>
        <w:tc>
          <w:tcPr>
            <w:tcW w:w="871" w:type="dxa"/>
            <w:tcBorders>
              <w:left w:val="single" w:sz="6" w:space="0" w:color="auto"/>
            </w:tcBorders>
          </w:tcPr>
          <w:p w14:paraId="6AEB4798" w14:textId="77777777" w:rsidR="00711444" w:rsidRPr="004D0DAA" w:rsidRDefault="00711444" w:rsidP="00AA2A4C"/>
        </w:tc>
        <w:tc>
          <w:tcPr>
            <w:tcW w:w="624" w:type="dxa"/>
          </w:tcPr>
          <w:p w14:paraId="5F26763F" w14:textId="77777777" w:rsidR="00711444" w:rsidRPr="004D0DAA" w:rsidRDefault="00711444" w:rsidP="00AA2A4C"/>
        </w:tc>
        <w:tc>
          <w:tcPr>
            <w:tcW w:w="624" w:type="dxa"/>
          </w:tcPr>
          <w:p w14:paraId="61933B9B" w14:textId="77777777" w:rsidR="00711444" w:rsidRPr="004D0DAA" w:rsidRDefault="00711444" w:rsidP="00AA2A4C"/>
        </w:tc>
        <w:tc>
          <w:tcPr>
            <w:tcW w:w="624" w:type="dxa"/>
          </w:tcPr>
          <w:p w14:paraId="686298A6" w14:textId="77777777" w:rsidR="00711444" w:rsidRPr="004D0DAA" w:rsidRDefault="00711444" w:rsidP="00AA2A4C"/>
        </w:tc>
        <w:tc>
          <w:tcPr>
            <w:tcW w:w="624" w:type="dxa"/>
          </w:tcPr>
          <w:p w14:paraId="2987155D" w14:textId="77777777" w:rsidR="00711444" w:rsidRPr="004D0DAA" w:rsidRDefault="00711444" w:rsidP="00AA2A4C"/>
        </w:tc>
        <w:tc>
          <w:tcPr>
            <w:tcW w:w="624" w:type="dxa"/>
          </w:tcPr>
          <w:p w14:paraId="3E4B4A55" w14:textId="77777777" w:rsidR="00711444" w:rsidRPr="004D0DAA" w:rsidRDefault="00711444" w:rsidP="00AA2A4C"/>
        </w:tc>
        <w:tc>
          <w:tcPr>
            <w:tcW w:w="624" w:type="dxa"/>
          </w:tcPr>
          <w:p w14:paraId="696F6589" w14:textId="77777777" w:rsidR="00711444" w:rsidRPr="004D0DAA" w:rsidRDefault="00711444" w:rsidP="00AA2A4C"/>
        </w:tc>
        <w:tc>
          <w:tcPr>
            <w:tcW w:w="624" w:type="dxa"/>
            <w:tcBorders>
              <w:right w:val="single" w:sz="6" w:space="0" w:color="auto"/>
            </w:tcBorders>
          </w:tcPr>
          <w:p w14:paraId="71971D9F" w14:textId="77777777" w:rsidR="00711444" w:rsidRPr="004D0DAA" w:rsidRDefault="00711444" w:rsidP="00AA2A4C"/>
        </w:tc>
        <w:tc>
          <w:tcPr>
            <w:tcW w:w="1701" w:type="dxa"/>
          </w:tcPr>
          <w:p w14:paraId="4D584955"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4F02235C" w14:textId="77777777" w:rsidR="00711444" w:rsidRPr="004D0DAA" w:rsidRDefault="00711444" w:rsidP="00AA2A4C">
            <w:pPr>
              <w:pStyle w:val="TAC"/>
              <w:rPr>
                <w:lang w:eastAsia="en-US"/>
              </w:rPr>
            </w:pPr>
          </w:p>
        </w:tc>
      </w:tr>
      <w:tr w:rsidR="00711444" w:rsidRPr="004D0DAA" w14:paraId="00AA4F06" w14:textId="77777777" w:rsidTr="00AA2A4C">
        <w:tblPrEx>
          <w:tblCellMar>
            <w:top w:w="0" w:type="dxa"/>
            <w:bottom w:w="0" w:type="dxa"/>
          </w:tblCellMar>
        </w:tblPrEx>
        <w:trPr>
          <w:cantSplit/>
        </w:trPr>
        <w:tc>
          <w:tcPr>
            <w:tcW w:w="871" w:type="dxa"/>
            <w:tcBorders>
              <w:left w:val="single" w:sz="6" w:space="0" w:color="auto"/>
            </w:tcBorders>
          </w:tcPr>
          <w:p w14:paraId="23495931" w14:textId="77777777" w:rsidR="00711444" w:rsidRPr="004D0DAA" w:rsidRDefault="00711444" w:rsidP="00AA2A4C"/>
        </w:tc>
        <w:tc>
          <w:tcPr>
            <w:tcW w:w="624" w:type="dxa"/>
          </w:tcPr>
          <w:p w14:paraId="4FEF7AE0" w14:textId="77777777" w:rsidR="00711444" w:rsidRPr="004D0DAA" w:rsidRDefault="00711444" w:rsidP="00AA2A4C"/>
        </w:tc>
        <w:tc>
          <w:tcPr>
            <w:tcW w:w="624" w:type="dxa"/>
          </w:tcPr>
          <w:p w14:paraId="3149C78E" w14:textId="77777777" w:rsidR="00711444" w:rsidRPr="004D0DAA" w:rsidRDefault="00711444" w:rsidP="00AA2A4C"/>
        </w:tc>
        <w:tc>
          <w:tcPr>
            <w:tcW w:w="624" w:type="dxa"/>
          </w:tcPr>
          <w:p w14:paraId="767966CD" w14:textId="77777777" w:rsidR="00711444" w:rsidRPr="004D0DAA" w:rsidRDefault="00711444" w:rsidP="00AA2A4C"/>
        </w:tc>
        <w:tc>
          <w:tcPr>
            <w:tcW w:w="624" w:type="dxa"/>
          </w:tcPr>
          <w:p w14:paraId="2A69CCF8" w14:textId="77777777" w:rsidR="00711444" w:rsidRPr="004D0DAA" w:rsidRDefault="00711444" w:rsidP="00AA2A4C"/>
        </w:tc>
        <w:tc>
          <w:tcPr>
            <w:tcW w:w="624" w:type="dxa"/>
          </w:tcPr>
          <w:p w14:paraId="37E921BB" w14:textId="77777777" w:rsidR="00711444" w:rsidRPr="004D0DAA" w:rsidRDefault="00711444" w:rsidP="00AA2A4C"/>
        </w:tc>
        <w:tc>
          <w:tcPr>
            <w:tcW w:w="624" w:type="dxa"/>
          </w:tcPr>
          <w:p w14:paraId="05BFE265" w14:textId="77777777" w:rsidR="00711444" w:rsidRPr="004D0DAA" w:rsidRDefault="00711444" w:rsidP="00AA2A4C"/>
        </w:tc>
        <w:tc>
          <w:tcPr>
            <w:tcW w:w="624" w:type="dxa"/>
            <w:tcBorders>
              <w:right w:val="single" w:sz="6" w:space="0" w:color="auto"/>
            </w:tcBorders>
          </w:tcPr>
          <w:p w14:paraId="2D5CFFE7" w14:textId="77777777" w:rsidR="00711444" w:rsidRPr="004D0DAA" w:rsidRDefault="00711444" w:rsidP="00AA2A4C"/>
        </w:tc>
        <w:tc>
          <w:tcPr>
            <w:tcW w:w="1701" w:type="dxa"/>
          </w:tcPr>
          <w:p w14:paraId="63D21822"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0DF4BAAE" w14:textId="77777777" w:rsidR="00711444" w:rsidRPr="004D0DAA" w:rsidRDefault="00711444" w:rsidP="00AA2A4C">
            <w:pPr>
              <w:pStyle w:val="TAC"/>
              <w:rPr>
                <w:lang w:eastAsia="en-US"/>
              </w:rPr>
            </w:pPr>
          </w:p>
        </w:tc>
      </w:tr>
      <w:tr w:rsidR="00711444" w:rsidRPr="004D0DAA" w14:paraId="27D433D7"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20A65A4B" w14:textId="77777777" w:rsidR="00711444" w:rsidRPr="004D0DAA" w:rsidRDefault="00711444" w:rsidP="00AA2A4C">
            <w:pPr>
              <w:pStyle w:val="TAC"/>
              <w:rPr>
                <w:lang w:eastAsia="en-US"/>
              </w:rPr>
            </w:pPr>
            <w:r w:rsidRPr="004D0DAA">
              <w:rPr>
                <w:lang w:eastAsia="en-US"/>
              </w:rPr>
              <w:br/>
              <w:t>LLC PDU 1 (cont)</w:t>
            </w:r>
          </w:p>
        </w:tc>
        <w:tc>
          <w:tcPr>
            <w:tcW w:w="1701" w:type="dxa"/>
          </w:tcPr>
          <w:p w14:paraId="28E2C32B" w14:textId="77777777" w:rsidR="00711444" w:rsidRPr="004D0DAA" w:rsidRDefault="00711444" w:rsidP="00AA2A4C">
            <w:pPr>
              <w:pStyle w:val="TAC"/>
              <w:rPr>
                <w:lang w:eastAsia="en-US"/>
              </w:rPr>
            </w:pPr>
            <w:r w:rsidRPr="004D0DAA">
              <w:rPr>
                <w:lang w:eastAsia="en-US"/>
              </w:rPr>
              <w:t>.</w:t>
            </w:r>
          </w:p>
          <w:p w14:paraId="1E661862" w14:textId="77777777" w:rsidR="00711444" w:rsidRPr="004D0DAA" w:rsidRDefault="00711444" w:rsidP="00AA2A4C">
            <w:pPr>
              <w:pStyle w:val="TAC"/>
              <w:rPr>
                <w:lang w:eastAsia="en-US"/>
              </w:rPr>
            </w:pPr>
            <w:r w:rsidRPr="004D0DAA">
              <w:rPr>
                <w:lang w:eastAsia="en-US"/>
              </w:rPr>
              <w:t>.</w:t>
            </w:r>
          </w:p>
          <w:p w14:paraId="4DC23BEF"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2F82173B" w14:textId="77777777" w:rsidR="00711444" w:rsidRPr="004D0DAA" w:rsidRDefault="00711444" w:rsidP="00AA2A4C">
            <w:pPr>
              <w:pStyle w:val="TAC"/>
              <w:rPr>
                <w:lang w:eastAsia="en-US"/>
              </w:rPr>
            </w:pPr>
          </w:p>
          <w:p w14:paraId="2CC1F4AC" w14:textId="77777777" w:rsidR="00711444" w:rsidRPr="004D0DAA" w:rsidRDefault="00711444" w:rsidP="00AA2A4C">
            <w:pPr>
              <w:pStyle w:val="TAC"/>
              <w:rPr>
                <w:lang w:eastAsia="en-US"/>
              </w:rPr>
            </w:pPr>
          </w:p>
        </w:tc>
      </w:tr>
      <w:tr w:rsidR="00711444" w:rsidRPr="004D0DAA" w14:paraId="645B025E"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12D59247" w14:textId="77777777" w:rsidR="00711444" w:rsidRPr="004D0DAA" w:rsidRDefault="00711444" w:rsidP="00AA2A4C"/>
        </w:tc>
        <w:tc>
          <w:tcPr>
            <w:tcW w:w="1701" w:type="dxa"/>
          </w:tcPr>
          <w:p w14:paraId="26597919" w14:textId="77777777" w:rsidR="00711444" w:rsidRPr="004D0DAA" w:rsidRDefault="00711444" w:rsidP="00AA2A4C">
            <w:pPr>
              <w:pStyle w:val="TAC"/>
              <w:rPr>
                <w:lang w:eastAsia="en-US"/>
              </w:rPr>
            </w:pPr>
            <w:r w:rsidRPr="004D0DAA">
              <w:rPr>
                <w:lang w:eastAsia="en-US"/>
              </w:rPr>
              <w:t>.</w:t>
            </w:r>
          </w:p>
          <w:p w14:paraId="51877C9D" w14:textId="77777777" w:rsidR="00711444" w:rsidRPr="004D0DAA" w:rsidRDefault="00711444" w:rsidP="00AA2A4C">
            <w:pPr>
              <w:pStyle w:val="TAC"/>
              <w:rPr>
                <w:lang w:eastAsia="en-US"/>
              </w:rPr>
            </w:pPr>
            <w:r w:rsidRPr="004D0DAA">
              <w:rPr>
                <w:lang w:eastAsia="en-US"/>
              </w:rPr>
              <w:t>.</w:t>
            </w:r>
          </w:p>
          <w:p w14:paraId="55C46648"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A94AA6D" w14:textId="77777777" w:rsidR="00711444" w:rsidRPr="004D0DAA" w:rsidRDefault="00711444" w:rsidP="00AA2A4C">
            <w:pPr>
              <w:pStyle w:val="TAC"/>
              <w:rPr>
                <w:lang w:eastAsia="en-US"/>
              </w:rPr>
            </w:pPr>
          </w:p>
        </w:tc>
      </w:tr>
      <w:tr w:rsidR="00711444" w:rsidRPr="004D0DAA" w14:paraId="5CAFD705"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1276CA23" w14:textId="77777777" w:rsidR="00711444" w:rsidRPr="004D0DAA" w:rsidRDefault="00711444" w:rsidP="00AA2A4C"/>
        </w:tc>
        <w:tc>
          <w:tcPr>
            <w:tcW w:w="624" w:type="dxa"/>
            <w:tcBorders>
              <w:bottom w:val="single" w:sz="6" w:space="0" w:color="auto"/>
            </w:tcBorders>
          </w:tcPr>
          <w:p w14:paraId="72354919" w14:textId="77777777" w:rsidR="00711444" w:rsidRPr="004D0DAA" w:rsidRDefault="00711444" w:rsidP="00AA2A4C"/>
        </w:tc>
        <w:tc>
          <w:tcPr>
            <w:tcW w:w="624" w:type="dxa"/>
            <w:tcBorders>
              <w:bottom w:val="single" w:sz="6" w:space="0" w:color="auto"/>
            </w:tcBorders>
          </w:tcPr>
          <w:p w14:paraId="0142409E" w14:textId="77777777" w:rsidR="00711444" w:rsidRPr="004D0DAA" w:rsidRDefault="00711444" w:rsidP="00AA2A4C"/>
        </w:tc>
        <w:tc>
          <w:tcPr>
            <w:tcW w:w="624" w:type="dxa"/>
            <w:tcBorders>
              <w:bottom w:val="single" w:sz="6" w:space="0" w:color="auto"/>
            </w:tcBorders>
          </w:tcPr>
          <w:p w14:paraId="65B59CAD" w14:textId="77777777" w:rsidR="00711444" w:rsidRPr="004D0DAA" w:rsidRDefault="00711444" w:rsidP="00AA2A4C"/>
        </w:tc>
        <w:tc>
          <w:tcPr>
            <w:tcW w:w="624" w:type="dxa"/>
            <w:tcBorders>
              <w:bottom w:val="single" w:sz="6" w:space="0" w:color="auto"/>
            </w:tcBorders>
          </w:tcPr>
          <w:p w14:paraId="03488A4B" w14:textId="77777777" w:rsidR="00711444" w:rsidRPr="004D0DAA" w:rsidRDefault="00711444" w:rsidP="00AA2A4C"/>
        </w:tc>
        <w:tc>
          <w:tcPr>
            <w:tcW w:w="624" w:type="dxa"/>
            <w:tcBorders>
              <w:bottom w:val="single" w:sz="6" w:space="0" w:color="auto"/>
            </w:tcBorders>
          </w:tcPr>
          <w:p w14:paraId="10EE1E57" w14:textId="77777777" w:rsidR="00711444" w:rsidRPr="004D0DAA" w:rsidRDefault="00711444" w:rsidP="00AA2A4C"/>
        </w:tc>
        <w:tc>
          <w:tcPr>
            <w:tcW w:w="624" w:type="dxa"/>
            <w:tcBorders>
              <w:bottom w:val="single" w:sz="6" w:space="0" w:color="auto"/>
            </w:tcBorders>
          </w:tcPr>
          <w:p w14:paraId="1A0EA0D7" w14:textId="77777777" w:rsidR="00711444" w:rsidRPr="004D0DAA" w:rsidRDefault="00711444" w:rsidP="00AA2A4C"/>
        </w:tc>
        <w:tc>
          <w:tcPr>
            <w:tcW w:w="624" w:type="dxa"/>
            <w:tcBorders>
              <w:bottom w:val="single" w:sz="6" w:space="0" w:color="auto"/>
              <w:right w:val="single" w:sz="6" w:space="0" w:color="auto"/>
            </w:tcBorders>
          </w:tcPr>
          <w:p w14:paraId="3E3D092F" w14:textId="77777777" w:rsidR="00711444" w:rsidRPr="004D0DAA" w:rsidRDefault="00711444" w:rsidP="00AA2A4C"/>
        </w:tc>
        <w:tc>
          <w:tcPr>
            <w:tcW w:w="1701" w:type="dxa"/>
            <w:tcBorders>
              <w:bottom w:val="single" w:sz="6" w:space="0" w:color="FFFFFF"/>
            </w:tcBorders>
          </w:tcPr>
          <w:p w14:paraId="469628F0"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bottom w:val="single" w:sz="6" w:space="0" w:color="auto"/>
              <w:right w:val="single" w:sz="6" w:space="0" w:color="auto"/>
            </w:tcBorders>
          </w:tcPr>
          <w:p w14:paraId="09AD695D" w14:textId="77777777" w:rsidR="00711444" w:rsidRPr="004D0DAA" w:rsidRDefault="00711444" w:rsidP="00AA2A4C">
            <w:pPr>
              <w:pStyle w:val="TAC"/>
              <w:rPr>
                <w:lang w:eastAsia="en-US"/>
              </w:rPr>
            </w:pPr>
          </w:p>
        </w:tc>
      </w:tr>
      <w:tr w:rsidR="00711444" w:rsidRPr="004D0DAA" w14:paraId="26620E76" w14:textId="77777777" w:rsidTr="00AA2A4C">
        <w:tblPrEx>
          <w:tblCellMar>
            <w:top w:w="0" w:type="dxa"/>
            <w:bottom w:w="0" w:type="dxa"/>
          </w:tblCellMar>
        </w:tblPrEx>
        <w:trPr>
          <w:cantSplit/>
        </w:trPr>
        <w:tc>
          <w:tcPr>
            <w:tcW w:w="871" w:type="dxa"/>
            <w:tcBorders>
              <w:top w:val="single" w:sz="6" w:space="0" w:color="auto"/>
            </w:tcBorders>
          </w:tcPr>
          <w:p w14:paraId="60D8CA88" w14:textId="77777777" w:rsidR="00711444" w:rsidRPr="004D0DAA" w:rsidRDefault="00711444" w:rsidP="00AA2A4C"/>
        </w:tc>
        <w:tc>
          <w:tcPr>
            <w:tcW w:w="624" w:type="dxa"/>
            <w:tcBorders>
              <w:top w:val="single" w:sz="6" w:space="0" w:color="auto"/>
            </w:tcBorders>
          </w:tcPr>
          <w:p w14:paraId="77DEBCF0" w14:textId="77777777" w:rsidR="00711444" w:rsidRPr="004D0DAA" w:rsidRDefault="00711444" w:rsidP="00AA2A4C"/>
        </w:tc>
        <w:tc>
          <w:tcPr>
            <w:tcW w:w="624" w:type="dxa"/>
            <w:tcBorders>
              <w:top w:val="single" w:sz="6" w:space="0" w:color="auto"/>
            </w:tcBorders>
          </w:tcPr>
          <w:p w14:paraId="370334DB" w14:textId="77777777" w:rsidR="00711444" w:rsidRPr="004D0DAA" w:rsidRDefault="00711444" w:rsidP="00AA2A4C"/>
        </w:tc>
        <w:tc>
          <w:tcPr>
            <w:tcW w:w="624" w:type="dxa"/>
            <w:tcBorders>
              <w:top w:val="single" w:sz="6" w:space="0" w:color="auto"/>
            </w:tcBorders>
          </w:tcPr>
          <w:p w14:paraId="110F7E2B" w14:textId="77777777" w:rsidR="00711444" w:rsidRPr="004D0DAA" w:rsidRDefault="00711444" w:rsidP="00AA2A4C"/>
        </w:tc>
        <w:tc>
          <w:tcPr>
            <w:tcW w:w="624" w:type="dxa"/>
            <w:tcBorders>
              <w:top w:val="single" w:sz="6" w:space="0" w:color="auto"/>
            </w:tcBorders>
          </w:tcPr>
          <w:p w14:paraId="1A67EB79" w14:textId="77777777" w:rsidR="00711444" w:rsidRPr="004D0DAA" w:rsidRDefault="00711444" w:rsidP="00AA2A4C"/>
        </w:tc>
        <w:tc>
          <w:tcPr>
            <w:tcW w:w="624" w:type="dxa"/>
            <w:tcBorders>
              <w:top w:val="single" w:sz="6" w:space="0" w:color="auto"/>
            </w:tcBorders>
          </w:tcPr>
          <w:p w14:paraId="1FC14F1C" w14:textId="77777777" w:rsidR="00711444" w:rsidRPr="004D0DAA" w:rsidRDefault="00711444" w:rsidP="00AA2A4C"/>
        </w:tc>
        <w:tc>
          <w:tcPr>
            <w:tcW w:w="624" w:type="dxa"/>
            <w:tcBorders>
              <w:top w:val="single" w:sz="6" w:space="0" w:color="auto"/>
            </w:tcBorders>
          </w:tcPr>
          <w:p w14:paraId="5604A9F4" w14:textId="77777777" w:rsidR="00711444" w:rsidRPr="004D0DAA" w:rsidRDefault="00711444" w:rsidP="00AA2A4C"/>
        </w:tc>
        <w:tc>
          <w:tcPr>
            <w:tcW w:w="624" w:type="dxa"/>
            <w:tcBorders>
              <w:top w:val="single" w:sz="6" w:space="0" w:color="auto"/>
            </w:tcBorders>
          </w:tcPr>
          <w:p w14:paraId="0BF8EC1B" w14:textId="77777777" w:rsidR="00711444" w:rsidRPr="004D0DAA" w:rsidRDefault="00711444" w:rsidP="00AA2A4C"/>
        </w:tc>
        <w:tc>
          <w:tcPr>
            <w:tcW w:w="1701" w:type="dxa"/>
            <w:tcBorders>
              <w:bottom w:val="single" w:sz="6" w:space="0" w:color="FFFFFF"/>
            </w:tcBorders>
          </w:tcPr>
          <w:p w14:paraId="678681F3" w14:textId="77777777" w:rsidR="00711444" w:rsidRPr="004D0DAA" w:rsidRDefault="00711444" w:rsidP="00AA2A4C"/>
        </w:tc>
        <w:tc>
          <w:tcPr>
            <w:tcW w:w="1567" w:type="dxa"/>
            <w:tcBorders>
              <w:top w:val="single" w:sz="6" w:space="0" w:color="auto"/>
            </w:tcBorders>
          </w:tcPr>
          <w:p w14:paraId="2E3445AF" w14:textId="77777777" w:rsidR="00711444" w:rsidRPr="004D0DAA" w:rsidRDefault="00711444" w:rsidP="00AA2A4C">
            <w:pPr>
              <w:pStyle w:val="TAC"/>
              <w:rPr>
                <w:lang w:eastAsia="en-US"/>
              </w:rPr>
            </w:pPr>
          </w:p>
        </w:tc>
      </w:tr>
    </w:tbl>
    <w:p w14:paraId="1AD18E13" w14:textId="77777777" w:rsidR="00711444" w:rsidRPr="004D0DAA" w:rsidRDefault="00711444" w:rsidP="00711444">
      <w:pPr>
        <w:pStyle w:val="TAC"/>
      </w:pPr>
    </w:p>
    <w:p w14:paraId="74443422" w14:textId="77777777" w:rsidR="00711444" w:rsidRPr="004D0DAA" w:rsidRDefault="00711444" w:rsidP="00711444">
      <w:pPr>
        <w:pStyle w:val="TF"/>
      </w:pPr>
      <w:r w:rsidRPr="004D0DAA">
        <w:t>Figure B.6: Example when Length indicator (LI) can be omitted</w:t>
      </w:r>
    </w:p>
    <w:p w14:paraId="7790F642" w14:textId="77777777" w:rsidR="00711444" w:rsidRPr="004D0DAA" w:rsidRDefault="00711444" w:rsidP="00711444">
      <w:pPr>
        <w:pStyle w:val="Heading2"/>
      </w:pPr>
      <w:bookmarkStart w:id="887" w:name="_Toc516670060"/>
      <w:r w:rsidRPr="004D0DAA">
        <w:t>B.7</w:t>
      </w:r>
      <w:r w:rsidRPr="004D0DAA">
        <w:tab/>
        <w:t>Example 7</w:t>
      </w:r>
      <w:bookmarkEnd w:id="887"/>
    </w:p>
    <w:p w14:paraId="0F443033" w14:textId="77777777" w:rsidR="00711444" w:rsidRPr="004D0DAA" w:rsidRDefault="00711444" w:rsidP="00711444">
      <w:pPr>
        <w:keepNext/>
      </w:pPr>
      <w:r w:rsidRPr="004D0DAA">
        <w:t>Figure B.7 provides an example when the Length indicator can be omitted. As the LLC PDU 1 begins in the RLC data block N and continues to the next one, no Length octet is needed.</w:t>
      </w:r>
    </w:p>
    <w:tbl>
      <w:tblPr>
        <w:tblW w:w="0" w:type="auto"/>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06F13FE6" w14:textId="77777777" w:rsidTr="00AA2A4C">
        <w:tblPrEx>
          <w:tblCellMar>
            <w:top w:w="0" w:type="dxa"/>
            <w:bottom w:w="0" w:type="dxa"/>
          </w:tblCellMar>
        </w:tblPrEx>
        <w:trPr>
          <w:cantSplit/>
        </w:trPr>
        <w:tc>
          <w:tcPr>
            <w:tcW w:w="5239" w:type="dxa"/>
            <w:gridSpan w:val="8"/>
          </w:tcPr>
          <w:p w14:paraId="45F9CF7F" w14:textId="77777777" w:rsidR="00711444" w:rsidRPr="004D0DAA" w:rsidRDefault="00711444" w:rsidP="00AA2A4C">
            <w:pPr>
              <w:pStyle w:val="TAC"/>
              <w:rPr>
                <w:lang w:eastAsia="en-US"/>
              </w:rPr>
            </w:pPr>
            <w:r w:rsidRPr="004D0DAA">
              <w:rPr>
                <w:lang w:eastAsia="en-US"/>
              </w:rPr>
              <w:t>RLC data block N</w:t>
            </w:r>
          </w:p>
        </w:tc>
        <w:tc>
          <w:tcPr>
            <w:tcW w:w="1701" w:type="dxa"/>
          </w:tcPr>
          <w:p w14:paraId="1B9A131B" w14:textId="77777777" w:rsidR="00711444" w:rsidRPr="004D0DAA" w:rsidRDefault="00711444" w:rsidP="00AA2A4C"/>
        </w:tc>
        <w:tc>
          <w:tcPr>
            <w:tcW w:w="1567" w:type="dxa"/>
          </w:tcPr>
          <w:p w14:paraId="00DBAFBB" w14:textId="77777777" w:rsidR="00711444" w:rsidRPr="004D0DAA" w:rsidRDefault="00711444" w:rsidP="00AA2A4C">
            <w:pPr>
              <w:pStyle w:val="TAC"/>
              <w:rPr>
                <w:lang w:eastAsia="en-US"/>
              </w:rPr>
            </w:pPr>
          </w:p>
        </w:tc>
      </w:tr>
      <w:tr w:rsidR="00711444" w:rsidRPr="004D0DAA" w14:paraId="46FF5EF3" w14:textId="77777777" w:rsidTr="00AA2A4C">
        <w:tblPrEx>
          <w:tblCellMar>
            <w:top w:w="0" w:type="dxa"/>
            <w:bottom w:w="0" w:type="dxa"/>
          </w:tblCellMar>
        </w:tblPrEx>
        <w:trPr>
          <w:cantSplit/>
        </w:trPr>
        <w:tc>
          <w:tcPr>
            <w:tcW w:w="5239" w:type="dxa"/>
            <w:gridSpan w:val="8"/>
          </w:tcPr>
          <w:p w14:paraId="702D1F6A" w14:textId="77777777" w:rsidR="00711444" w:rsidRPr="004D0DAA" w:rsidRDefault="00711444" w:rsidP="00AA2A4C">
            <w:pPr>
              <w:pStyle w:val="TAC"/>
              <w:rPr>
                <w:lang w:eastAsia="en-US"/>
              </w:rPr>
            </w:pPr>
            <w:r w:rsidRPr="004D0DAA">
              <w:rPr>
                <w:lang w:eastAsia="en-US"/>
              </w:rPr>
              <w:t>Bit</w:t>
            </w:r>
          </w:p>
        </w:tc>
        <w:tc>
          <w:tcPr>
            <w:tcW w:w="1701" w:type="dxa"/>
          </w:tcPr>
          <w:p w14:paraId="0E1B0814" w14:textId="77777777" w:rsidR="00711444" w:rsidRPr="004D0DAA" w:rsidRDefault="00711444" w:rsidP="00AA2A4C"/>
        </w:tc>
        <w:tc>
          <w:tcPr>
            <w:tcW w:w="1567" w:type="dxa"/>
          </w:tcPr>
          <w:p w14:paraId="3E11ABFA" w14:textId="77777777" w:rsidR="00711444" w:rsidRPr="004D0DAA" w:rsidRDefault="00711444" w:rsidP="00AA2A4C">
            <w:pPr>
              <w:pStyle w:val="TAC"/>
              <w:rPr>
                <w:lang w:eastAsia="en-US"/>
              </w:rPr>
            </w:pPr>
          </w:p>
        </w:tc>
      </w:tr>
      <w:tr w:rsidR="00711444" w:rsidRPr="004D0DAA" w14:paraId="58A7D465" w14:textId="77777777" w:rsidTr="00AA2A4C">
        <w:tblPrEx>
          <w:tblCellMar>
            <w:top w:w="0" w:type="dxa"/>
            <w:bottom w:w="0" w:type="dxa"/>
          </w:tblCellMar>
        </w:tblPrEx>
        <w:trPr>
          <w:cantSplit/>
        </w:trPr>
        <w:tc>
          <w:tcPr>
            <w:tcW w:w="871" w:type="dxa"/>
          </w:tcPr>
          <w:p w14:paraId="4DEA74E8" w14:textId="77777777" w:rsidR="00711444" w:rsidRPr="004D0DAA" w:rsidRDefault="00711444" w:rsidP="00AA2A4C">
            <w:pPr>
              <w:pStyle w:val="TAC"/>
              <w:rPr>
                <w:lang w:eastAsia="en-US"/>
              </w:rPr>
            </w:pPr>
            <w:r w:rsidRPr="004D0DAA">
              <w:rPr>
                <w:lang w:eastAsia="en-US"/>
              </w:rPr>
              <w:t>8</w:t>
            </w:r>
          </w:p>
        </w:tc>
        <w:tc>
          <w:tcPr>
            <w:tcW w:w="624" w:type="dxa"/>
          </w:tcPr>
          <w:p w14:paraId="3693BFF3" w14:textId="77777777" w:rsidR="00711444" w:rsidRPr="004D0DAA" w:rsidRDefault="00711444" w:rsidP="00AA2A4C">
            <w:pPr>
              <w:pStyle w:val="TAC"/>
              <w:rPr>
                <w:lang w:eastAsia="en-US"/>
              </w:rPr>
            </w:pPr>
            <w:r w:rsidRPr="004D0DAA">
              <w:rPr>
                <w:lang w:eastAsia="en-US"/>
              </w:rPr>
              <w:t>7</w:t>
            </w:r>
          </w:p>
        </w:tc>
        <w:tc>
          <w:tcPr>
            <w:tcW w:w="624" w:type="dxa"/>
          </w:tcPr>
          <w:p w14:paraId="5D3794AF" w14:textId="77777777" w:rsidR="00711444" w:rsidRPr="004D0DAA" w:rsidRDefault="00711444" w:rsidP="00AA2A4C">
            <w:pPr>
              <w:pStyle w:val="TAC"/>
              <w:rPr>
                <w:lang w:eastAsia="en-US"/>
              </w:rPr>
            </w:pPr>
            <w:r w:rsidRPr="004D0DAA">
              <w:rPr>
                <w:lang w:eastAsia="en-US"/>
              </w:rPr>
              <w:t>6</w:t>
            </w:r>
          </w:p>
        </w:tc>
        <w:tc>
          <w:tcPr>
            <w:tcW w:w="624" w:type="dxa"/>
          </w:tcPr>
          <w:p w14:paraId="384FDB63" w14:textId="77777777" w:rsidR="00711444" w:rsidRPr="004D0DAA" w:rsidRDefault="00711444" w:rsidP="00AA2A4C">
            <w:pPr>
              <w:pStyle w:val="TAC"/>
              <w:rPr>
                <w:lang w:eastAsia="en-US"/>
              </w:rPr>
            </w:pPr>
            <w:r w:rsidRPr="004D0DAA">
              <w:rPr>
                <w:lang w:eastAsia="en-US"/>
              </w:rPr>
              <w:t>5</w:t>
            </w:r>
          </w:p>
        </w:tc>
        <w:tc>
          <w:tcPr>
            <w:tcW w:w="624" w:type="dxa"/>
          </w:tcPr>
          <w:p w14:paraId="6AA02853" w14:textId="77777777" w:rsidR="00711444" w:rsidRPr="004D0DAA" w:rsidRDefault="00711444" w:rsidP="00AA2A4C">
            <w:pPr>
              <w:pStyle w:val="TAC"/>
              <w:rPr>
                <w:lang w:eastAsia="en-US"/>
              </w:rPr>
            </w:pPr>
            <w:r w:rsidRPr="004D0DAA">
              <w:rPr>
                <w:lang w:eastAsia="en-US"/>
              </w:rPr>
              <w:t>4</w:t>
            </w:r>
          </w:p>
        </w:tc>
        <w:tc>
          <w:tcPr>
            <w:tcW w:w="624" w:type="dxa"/>
          </w:tcPr>
          <w:p w14:paraId="1D37DD4F" w14:textId="77777777" w:rsidR="00711444" w:rsidRPr="004D0DAA" w:rsidRDefault="00711444" w:rsidP="00AA2A4C">
            <w:pPr>
              <w:pStyle w:val="TAC"/>
              <w:rPr>
                <w:lang w:eastAsia="en-US"/>
              </w:rPr>
            </w:pPr>
            <w:r w:rsidRPr="004D0DAA">
              <w:rPr>
                <w:lang w:eastAsia="en-US"/>
              </w:rPr>
              <w:t>3</w:t>
            </w:r>
          </w:p>
        </w:tc>
        <w:tc>
          <w:tcPr>
            <w:tcW w:w="624" w:type="dxa"/>
          </w:tcPr>
          <w:p w14:paraId="0331DB6C" w14:textId="77777777" w:rsidR="00711444" w:rsidRPr="004D0DAA" w:rsidRDefault="00711444" w:rsidP="00AA2A4C">
            <w:pPr>
              <w:pStyle w:val="TAC"/>
              <w:rPr>
                <w:lang w:eastAsia="en-US"/>
              </w:rPr>
            </w:pPr>
            <w:r w:rsidRPr="004D0DAA">
              <w:rPr>
                <w:lang w:eastAsia="en-US"/>
              </w:rPr>
              <w:t>2</w:t>
            </w:r>
          </w:p>
        </w:tc>
        <w:tc>
          <w:tcPr>
            <w:tcW w:w="624" w:type="dxa"/>
          </w:tcPr>
          <w:p w14:paraId="2ABB68CC" w14:textId="77777777" w:rsidR="00711444" w:rsidRPr="004D0DAA" w:rsidRDefault="00711444" w:rsidP="00AA2A4C">
            <w:pPr>
              <w:pStyle w:val="TAC"/>
              <w:rPr>
                <w:lang w:eastAsia="en-US"/>
              </w:rPr>
            </w:pPr>
            <w:r w:rsidRPr="004D0DAA">
              <w:rPr>
                <w:lang w:eastAsia="en-US"/>
              </w:rPr>
              <w:t>1</w:t>
            </w:r>
          </w:p>
        </w:tc>
        <w:tc>
          <w:tcPr>
            <w:tcW w:w="1701" w:type="dxa"/>
          </w:tcPr>
          <w:p w14:paraId="72B0142E" w14:textId="77777777" w:rsidR="00711444" w:rsidRPr="004D0DAA" w:rsidRDefault="00711444" w:rsidP="00AA2A4C"/>
        </w:tc>
        <w:tc>
          <w:tcPr>
            <w:tcW w:w="1567" w:type="dxa"/>
          </w:tcPr>
          <w:p w14:paraId="680310C9" w14:textId="77777777" w:rsidR="00711444" w:rsidRPr="004D0DAA" w:rsidRDefault="00711444" w:rsidP="00AA2A4C">
            <w:pPr>
              <w:pStyle w:val="TAC"/>
              <w:rPr>
                <w:lang w:eastAsia="en-US"/>
              </w:rPr>
            </w:pPr>
          </w:p>
        </w:tc>
      </w:tr>
      <w:tr w:rsidR="00711444" w:rsidRPr="004D0DAA" w14:paraId="2663FB81"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398C1DAE" w14:textId="77777777" w:rsidR="00711444" w:rsidRPr="004D0DAA" w:rsidRDefault="00711444" w:rsidP="00AA2A4C">
            <w:pPr>
              <w:pStyle w:val="TAC"/>
              <w:rPr>
                <w:lang w:eastAsia="en-US"/>
              </w:rPr>
            </w:pPr>
            <w:r w:rsidRPr="004D0DAA">
              <w:rPr>
                <w:lang w:eastAsia="en-US"/>
              </w:rPr>
              <w:t>Payload Type</w:t>
            </w:r>
          </w:p>
        </w:tc>
        <w:tc>
          <w:tcPr>
            <w:tcW w:w="2496" w:type="dxa"/>
            <w:gridSpan w:val="4"/>
            <w:tcBorders>
              <w:top w:val="single" w:sz="6" w:space="0" w:color="auto"/>
              <w:left w:val="single" w:sz="6" w:space="0" w:color="auto"/>
            </w:tcBorders>
          </w:tcPr>
          <w:p w14:paraId="4F5B60C5" w14:textId="77777777" w:rsidR="00711444" w:rsidRPr="004D0DAA" w:rsidRDefault="00711444" w:rsidP="00AA2A4C">
            <w:pPr>
              <w:pStyle w:val="TAC"/>
              <w:rPr>
                <w:lang w:eastAsia="en-US"/>
              </w:rPr>
            </w:pPr>
            <w:r w:rsidRPr="004D0DAA">
              <w:rPr>
                <w:lang w:eastAsia="en-US"/>
              </w:rPr>
              <w:t xml:space="preserve">Countdown value </w:t>
            </w:r>
          </w:p>
        </w:tc>
        <w:tc>
          <w:tcPr>
            <w:tcW w:w="624" w:type="dxa"/>
            <w:tcBorders>
              <w:top w:val="single" w:sz="6" w:space="0" w:color="auto"/>
              <w:left w:val="single" w:sz="6" w:space="0" w:color="auto"/>
              <w:bottom w:val="single" w:sz="6" w:space="0" w:color="auto"/>
              <w:right w:val="single" w:sz="6" w:space="0" w:color="auto"/>
            </w:tcBorders>
          </w:tcPr>
          <w:p w14:paraId="7F9C471F" w14:textId="77777777" w:rsidR="00711444" w:rsidRPr="004D0DAA" w:rsidRDefault="00711444" w:rsidP="00AA2A4C">
            <w:pPr>
              <w:pStyle w:val="TAC"/>
              <w:rPr>
                <w:lang w:eastAsia="en-US"/>
              </w:rPr>
            </w:pPr>
            <w:r w:rsidRPr="004D0DAA">
              <w:rPr>
                <w:lang w:eastAsia="en-US"/>
              </w:rPr>
              <w:t>SI</w:t>
            </w:r>
          </w:p>
        </w:tc>
        <w:tc>
          <w:tcPr>
            <w:tcW w:w="624" w:type="dxa"/>
            <w:tcBorders>
              <w:top w:val="single" w:sz="6" w:space="0" w:color="auto"/>
              <w:bottom w:val="single" w:sz="6" w:space="0" w:color="auto"/>
              <w:right w:val="single" w:sz="6" w:space="0" w:color="auto"/>
            </w:tcBorders>
          </w:tcPr>
          <w:p w14:paraId="29615D22" w14:textId="77777777" w:rsidR="00711444" w:rsidRPr="004D0DAA" w:rsidRDefault="00711444" w:rsidP="00AA2A4C">
            <w:pPr>
              <w:pStyle w:val="TAC"/>
              <w:rPr>
                <w:lang w:eastAsia="en-US"/>
              </w:rPr>
            </w:pPr>
            <w:r w:rsidRPr="004D0DAA">
              <w:rPr>
                <w:lang w:eastAsia="en-US"/>
              </w:rPr>
              <w:t>R</w:t>
            </w:r>
          </w:p>
        </w:tc>
        <w:tc>
          <w:tcPr>
            <w:tcW w:w="1701" w:type="dxa"/>
          </w:tcPr>
          <w:p w14:paraId="173EB859" w14:textId="77777777" w:rsidR="00711444" w:rsidRPr="004D0DAA" w:rsidRDefault="00711444" w:rsidP="00AA2A4C">
            <w:pPr>
              <w:pStyle w:val="TAC"/>
              <w:rPr>
                <w:lang w:eastAsia="en-US"/>
              </w:rPr>
            </w:pPr>
            <w:r w:rsidRPr="004D0DAA">
              <w:rPr>
                <w:lang w:eastAsia="en-US"/>
              </w:rPr>
              <w:t>MAC header</w:t>
            </w:r>
          </w:p>
        </w:tc>
        <w:tc>
          <w:tcPr>
            <w:tcW w:w="1567" w:type="dxa"/>
          </w:tcPr>
          <w:p w14:paraId="5C32DD63" w14:textId="77777777" w:rsidR="00711444" w:rsidRPr="004D0DAA" w:rsidRDefault="00711444" w:rsidP="00AA2A4C">
            <w:pPr>
              <w:pStyle w:val="TAC"/>
              <w:rPr>
                <w:lang w:eastAsia="en-US"/>
              </w:rPr>
            </w:pPr>
          </w:p>
        </w:tc>
      </w:tr>
      <w:tr w:rsidR="00711444" w:rsidRPr="004D0DAA" w14:paraId="10E6647E" w14:textId="77777777" w:rsidTr="00AA2A4C">
        <w:tblPrEx>
          <w:tblCellMar>
            <w:top w:w="0" w:type="dxa"/>
            <w:bottom w:w="0" w:type="dxa"/>
          </w:tblCellMar>
        </w:tblPrEx>
        <w:trPr>
          <w:cantSplit/>
        </w:trPr>
        <w:tc>
          <w:tcPr>
            <w:tcW w:w="1495" w:type="dxa"/>
            <w:gridSpan w:val="2"/>
            <w:tcBorders>
              <w:top w:val="single" w:sz="6" w:space="0" w:color="auto"/>
              <w:left w:val="single" w:sz="6" w:space="0" w:color="auto"/>
              <w:bottom w:val="single" w:sz="6" w:space="0" w:color="auto"/>
              <w:right w:val="single" w:sz="6" w:space="0" w:color="auto"/>
            </w:tcBorders>
          </w:tcPr>
          <w:p w14:paraId="64B443DA" w14:textId="77777777" w:rsidR="00711444" w:rsidRPr="004D0DAA" w:rsidRDefault="00711444" w:rsidP="00AA2A4C">
            <w:pPr>
              <w:pStyle w:val="TAC"/>
              <w:rPr>
                <w:lang w:eastAsia="en-US"/>
              </w:rPr>
            </w:pPr>
            <w:r w:rsidRPr="004D0DAA">
              <w:rPr>
                <w:lang w:eastAsia="en-US"/>
              </w:rPr>
              <w:t>spare</w:t>
            </w:r>
          </w:p>
        </w:tc>
        <w:tc>
          <w:tcPr>
            <w:tcW w:w="624" w:type="dxa"/>
            <w:tcBorders>
              <w:top w:val="single" w:sz="6" w:space="0" w:color="auto"/>
            </w:tcBorders>
          </w:tcPr>
          <w:p w14:paraId="729BE0AD" w14:textId="77777777" w:rsidR="00711444" w:rsidRPr="004D0DAA" w:rsidRDefault="00711444" w:rsidP="00AA2A4C"/>
        </w:tc>
        <w:tc>
          <w:tcPr>
            <w:tcW w:w="624" w:type="dxa"/>
            <w:tcBorders>
              <w:top w:val="single" w:sz="6" w:space="0" w:color="auto"/>
            </w:tcBorders>
          </w:tcPr>
          <w:p w14:paraId="61074EEC"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tcBorders>
          </w:tcPr>
          <w:p w14:paraId="706B9A29" w14:textId="77777777" w:rsidR="00711444" w:rsidRPr="004D0DAA" w:rsidRDefault="00711444" w:rsidP="00AA2A4C"/>
        </w:tc>
        <w:tc>
          <w:tcPr>
            <w:tcW w:w="624" w:type="dxa"/>
            <w:tcBorders>
              <w:top w:val="single" w:sz="6" w:space="0" w:color="auto"/>
            </w:tcBorders>
          </w:tcPr>
          <w:p w14:paraId="6B05FC58" w14:textId="77777777" w:rsidR="00711444" w:rsidRPr="004D0DAA" w:rsidRDefault="00711444" w:rsidP="00AA2A4C"/>
        </w:tc>
        <w:tc>
          <w:tcPr>
            <w:tcW w:w="624" w:type="dxa"/>
            <w:tcBorders>
              <w:top w:val="single" w:sz="6" w:space="0" w:color="auto"/>
              <w:right w:val="single" w:sz="6" w:space="0" w:color="auto"/>
            </w:tcBorders>
          </w:tcPr>
          <w:p w14:paraId="5FAEBA12" w14:textId="77777777" w:rsidR="00711444" w:rsidRPr="004D0DAA" w:rsidRDefault="00711444" w:rsidP="00AA2A4C"/>
        </w:tc>
        <w:tc>
          <w:tcPr>
            <w:tcW w:w="624" w:type="dxa"/>
            <w:tcBorders>
              <w:top w:val="single" w:sz="6" w:space="0" w:color="auto"/>
              <w:right w:val="single" w:sz="6" w:space="0" w:color="auto"/>
            </w:tcBorders>
          </w:tcPr>
          <w:p w14:paraId="4D25395A" w14:textId="77777777" w:rsidR="00711444" w:rsidRPr="004D0DAA" w:rsidRDefault="00711444" w:rsidP="00AA2A4C">
            <w:pPr>
              <w:pStyle w:val="TAC"/>
              <w:rPr>
                <w:lang w:eastAsia="en-US"/>
              </w:rPr>
            </w:pPr>
            <w:r w:rsidRPr="004D0DAA">
              <w:rPr>
                <w:lang w:eastAsia="en-US"/>
              </w:rPr>
              <w:t>TI</w:t>
            </w:r>
          </w:p>
        </w:tc>
        <w:tc>
          <w:tcPr>
            <w:tcW w:w="1701" w:type="dxa"/>
          </w:tcPr>
          <w:p w14:paraId="2816125B" w14:textId="77777777" w:rsidR="00711444" w:rsidRPr="004D0DAA" w:rsidRDefault="00711444" w:rsidP="00AA2A4C">
            <w:pPr>
              <w:pStyle w:val="TAC"/>
              <w:rPr>
                <w:lang w:eastAsia="en-US"/>
              </w:rPr>
            </w:pPr>
            <w:r w:rsidRPr="004D0DAA">
              <w:rPr>
                <w:lang w:eastAsia="en-US"/>
              </w:rPr>
              <w:t>Octet 1</w:t>
            </w:r>
          </w:p>
        </w:tc>
        <w:tc>
          <w:tcPr>
            <w:tcW w:w="1567" w:type="dxa"/>
          </w:tcPr>
          <w:p w14:paraId="71CAECAC" w14:textId="77777777" w:rsidR="00711444" w:rsidRPr="004D0DAA" w:rsidRDefault="00711444" w:rsidP="00AA2A4C">
            <w:pPr>
              <w:pStyle w:val="TAC"/>
              <w:rPr>
                <w:lang w:eastAsia="en-US"/>
              </w:rPr>
            </w:pPr>
          </w:p>
        </w:tc>
      </w:tr>
      <w:tr w:rsidR="00711444" w:rsidRPr="004D0DAA" w14:paraId="22A1E688"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71A9FFBA" w14:textId="77777777" w:rsidR="00711444" w:rsidRPr="004D0DAA" w:rsidRDefault="00711444" w:rsidP="00AA2A4C"/>
        </w:tc>
        <w:tc>
          <w:tcPr>
            <w:tcW w:w="624" w:type="dxa"/>
            <w:tcBorders>
              <w:bottom w:val="single" w:sz="6" w:space="0" w:color="auto"/>
            </w:tcBorders>
          </w:tcPr>
          <w:p w14:paraId="21C46720" w14:textId="77777777" w:rsidR="00711444" w:rsidRPr="004D0DAA" w:rsidRDefault="00711444" w:rsidP="00AA2A4C"/>
        </w:tc>
        <w:tc>
          <w:tcPr>
            <w:tcW w:w="624" w:type="dxa"/>
            <w:tcBorders>
              <w:top w:val="single" w:sz="6" w:space="0" w:color="auto"/>
              <w:bottom w:val="single" w:sz="6" w:space="0" w:color="auto"/>
            </w:tcBorders>
          </w:tcPr>
          <w:p w14:paraId="06B5077A" w14:textId="77777777" w:rsidR="00711444" w:rsidRPr="004D0DAA" w:rsidRDefault="00711444" w:rsidP="00AA2A4C"/>
        </w:tc>
        <w:tc>
          <w:tcPr>
            <w:tcW w:w="624" w:type="dxa"/>
            <w:tcBorders>
              <w:top w:val="single" w:sz="6" w:space="0" w:color="auto"/>
              <w:bottom w:val="single" w:sz="6" w:space="0" w:color="auto"/>
            </w:tcBorders>
          </w:tcPr>
          <w:p w14:paraId="69EC866B"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bottom w:val="single" w:sz="6" w:space="0" w:color="auto"/>
            </w:tcBorders>
          </w:tcPr>
          <w:p w14:paraId="31EDB26E" w14:textId="77777777" w:rsidR="00711444" w:rsidRPr="004D0DAA" w:rsidRDefault="00711444" w:rsidP="00AA2A4C"/>
        </w:tc>
        <w:tc>
          <w:tcPr>
            <w:tcW w:w="624" w:type="dxa"/>
            <w:tcBorders>
              <w:top w:val="single" w:sz="6" w:space="0" w:color="auto"/>
              <w:bottom w:val="single" w:sz="6" w:space="0" w:color="auto"/>
            </w:tcBorders>
          </w:tcPr>
          <w:p w14:paraId="06E2ED99"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4AC1AC92"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03063A67" w14:textId="77777777" w:rsidR="00711444" w:rsidRPr="004D0DAA" w:rsidRDefault="00711444" w:rsidP="00AA2A4C">
            <w:pPr>
              <w:pStyle w:val="TAC"/>
              <w:rPr>
                <w:lang w:eastAsia="en-US"/>
              </w:rPr>
            </w:pPr>
            <w:r w:rsidRPr="004D0DAA">
              <w:rPr>
                <w:lang w:eastAsia="en-US"/>
              </w:rPr>
              <w:t xml:space="preserve"> E = 1</w:t>
            </w:r>
          </w:p>
        </w:tc>
        <w:tc>
          <w:tcPr>
            <w:tcW w:w="1701" w:type="dxa"/>
          </w:tcPr>
          <w:p w14:paraId="20FB4156" w14:textId="77777777" w:rsidR="00711444" w:rsidRPr="004D0DAA" w:rsidRDefault="00711444" w:rsidP="00AA2A4C">
            <w:pPr>
              <w:pStyle w:val="TAC"/>
              <w:rPr>
                <w:lang w:eastAsia="en-US"/>
              </w:rPr>
            </w:pPr>
            <w:r w:rsidRPr="004D0DAA">
              <w:rPr>
                <w:lang w:eastAsia="en-US"/>
              </w:rPr>
              <w:t>Octet 2</w:t>
            </w:r>
          </w:p>
        </w:tc>
        <w:tc>
          <w:tcPr>
            <w:tcW w:w="1567" w:type="dxa"/>
          </w:tcPr>
          <w:p w14:paraId="62063165" w14:textId="77777777" w:rsidR="00711444" w:rsidRPr="004D0DAA" w:rsidRDefault="00711444" w:rsidP="00AA2A4C">
            <w:pPr>
              <w:pStyle w:val="TAC"/>
              <w:rPr>
                <w:lang w:eastAsia="en-US"/>
              </w:rPr>
            </w:pPr>
          </w:p>
        </w:tc>
      </w:tr>
      <w:tr w:rsidR="00711444" w:rsidRPr="004D0DAA" w14:paraId="19BC39CB" w14:textId="77777777" w:rsidTr="00AA2A4C">
        <w:tblPrEx>
          <w:tblCellMar>
            <w:top w:w="0" w:type="dxa"/>
            <w:bottom w:w="0" w:type="dxa"/>
          </w:tblCellMar>
        </w:tblPrEx>
        <w:trPr>
          <w:cantSplit/>
        </w:trPr>
        <w:tc>
          <w:tcPr>
            <w:tcW w:w="871" w:type="dxa"/>
            <w:tcBorders>
              <w:left w:val="single" w:sz="6" w:space="0" w:color="auto"/>
            </w:tcBorders>
          </w:tcPr>
          <w:p w14:paraId="3815A608" w14:textId="77777777" w:rsidR="00711444" w:rsidRPr="004D0DAA" w:rsidRDefault="00711444" w:rsidP="00AA2A4C"/>
        </w:tc>
        <w:tc>
          <w:tcPr>
            <w:tcW w:w="624" w:type="dxa"/>
          </w:tcPr>
          <w:p w14:paraId="318F4458" w14:textId="77777777" w:rsidR="00711444" w:rsidRPr="004D0DAA" w:rsidRDefault="00711444" w:rsidP="00AA2A4C"/>
        </w:tc>
        <w:tc>
          <w:tcPr>
            <w:tcW w:w="624" w:type="dxa"/>
          </w:tcPr>
          <w:p w14:paraId="603DA9BA" w14:textId="77777777" w:rsidR="00711444" w:rsidRPr="004D0DAA" w:rsidRDefault="00711444" w:rsidP="00AA2A4C"/>
        </w:tc>
        <w:tc>
          <w:tcPr>
            <w:tcW w:w="624" w:type="dxa"/>
          </w:tcPr>
          <w:p w14:paraId="38A52288" w14:textId="77777777" w:rsidR="00711444" w:rsidRPr="004D0DAA" w:rsidRDefault="00711444" w:rsidP="00AA2A4C"/>
        </w:tc>
        <w:tc>
          <w:tcPr>
            <w:tcW w:w="624" w:type="dxa"/>
          </w:tcPr>
          <w:p w14:paraId="322A8CB4" w14:textId="77777777" w:rsidR="00711444" w:rsidRPr="004D0DAA" w:rsidRDefault="00711444" w:rsidP="00AA2A4C"/>
        </w:tc>
        <w:tc>
          <w:tcPr>
            <w:tcW w:w="624" w:type="dxa"/>
          </w:tcPr>
          <w:p w14:paraId="2564B24E" w14:textId="77777777" w:rsidR="00711444" w:rsidRPr="004D0DAA" w:rsidRDefault="00711444" w:rsidP="00AA2A4C"/>
        </w:tc>
        <w:tc>
          <w:tcPr>
            <w:tcW w:w="624" w:type="dxa"/>
          </w:tcPr>
          <w:p w14:paraId="231916CE" w14:textId="77777777" w:rsidR="00711444" w:rsidRPr="004D0DAA" w:rsidRDefault="00711444" w:rsidP="00AA2A4C"/>
        </w:tc>
        <w:tc>
          <w:tcPr>
            <w:tcW w:w="624" w:type="dxa"/>
            <w:tcBorders>
              <w:right w:val="single" w:sz="6" w:space="0" w:color="auto"/>
            </w:tcBorders>
          </w:tcPr>
          <w:p w14:paraId="148CA6B8" w14:textId="77777777" w:rsidR="00711444" w:rsidRPr="004D0DAA" w:rsidRDefault="00711444" w:rsidP="00AA2A4C"/>
        </w:tc>
        <w:tc>
          <w:tcPr>
            <w:tcW w:w="1701" w:type="dxa"/>
          </w:tcPr>
          <w:p w14:paraId="72E49810" w14:textId="77777777" w:rsidR="00711444" w:rsidRPr="004D0DAA" w:rsidRDefault="00711444" w:rsidP="00AA2A4C">
            <w:pPr>
              <w:pStyle w:val="TAC"/>
              <w:rPr>
                <w:lang w:eastAsia="en-US"/>
              </w:rPr>
            </w:pPr>
            <w:r w:rsidRPr="004D0DAA">
              <w:rPr>
                <w:lang w:eastAsia="en-US"/>
              </w:rPr>
              <w:t>Octet 3</w:t>
            </w:r>
          </w:p>
        </w:tc>
        <w:tc>
          <w:tcPr>
            <w:tcW w:w="1567" w:type="dxa"/>
            <w:tcBorders>
              <w:top w:val="single" w:sz="6" w:space="0" w:color="auto"/>
              <w:left w:val="single" w:sz="6" w:space="0" w:color="auto"/>
              <w:right w:val="single" w:sz="6" w:space="0" w:color="auto"/>
            </w:tcBorders>
          </w:tcPr>
          <w:p w14:paraId="46AA98FF" w14:textId="77777777" w:rsidR="00711444" w:rsidRPr="004D0DAA" w:rsidRDefault="00711444" w:rsidP="00AA2A4C">
            <w:pPr>
              <w:pStyle w:val="TAC"/>
              <w:rPr>
                <w:lang w:eastAsia="en-US"/>
              </w:rPr>
            </w:pPr>
          </w:p>
        </w:tc>
      </w:tr>
      <w:tr w:rsidR="00711444" w:rsidRPr="004D0DAA" w14:paraId="53BB78CC" w14:textId="77777777" w:rsidTr="00AA2A4C">
        <w:tblPrEx>
          <w:tblCellMar>
            <w:top w:w="0" w:type="dxa"/>
            <w:bottom w:w="0" w:type="dxa"/>
          </w:tblCellMar>
        </w:tblPrEx>
        <w:trPr>
          <w:cantSplit/>
        </w:trPr>
        <w:tc>
          <w:tcPr>
            <w:tcW w:w="871" w:type="dxa"/>
            <w:tcBorders>
              <w:left w:val="single" w:sz="6" w:space="0" w:color="auto"/>
            </w:tcBorders>
          </w:tcPr>
          <w:p w14:paraId="6501DB57" w14:textId="77777777" w:rsidR="00711444" w:rsidRPr="004D0DAA" w:rsidRDefault="00711444" w:rsidP="00AA2A4C"/>
        </w:tc>
        <w:tc>
          <w:tcPr>
            <w:tcW w:w="624" w:type="dxa"/>
          </w:tcPr>
          <w:p w14:paraId="13487419" w14:textId="77777777" w:rsidR="00711444" w:rsidRPr="004D0DAA" w:rsidRDefault="00711444" w:rsidP="00AA2A4C"/>
        </w:tc>
        <w:tc>
          <w:tcPr>
            <w:tcW w:w="624" w:type="dxa"/>
          </w:tcPr>
          <w:p w14:paraId="5D9A8E3D" w14:textId="77777777" w:rsidR="00711444" w:rsidRPr="004D0DAA" w:rsidRDefault="00711444" w:rsidP="00AA2A4C"/>
        </w:tc>
        <w:tc>
          <w:tcPr>
            <w:tcW w:w="624" w:type="dxa"/>
          </w:tcPr>
          <w:p w14:paraId="0D4FABFB" w14:textId="77777777" w:rsidR="00711444" w:rsidRPr="004D0DAA" w:rsidRDefault="00711444" w:rsidP="00AA2A4C"/>
        </w:tc>
        <w:tc>
          <w:tcPr>
            <w:tcW w:w="624" w:type="dxa"/>
          </w:tcPr>
          <w:p w14:paraId="44856C4A" w14:textId="77777777" w:rsidR="00711444" w:rsidRPr="004D0DAA" w:rsidRDefault="00711444" w:rsidP="00AA2A4C"/>
        </w:tc>
        <w:tc>
          <w:tcPr>
            <w:tcW w:w="624" w:type="dxa"/>
          </w:tcPr>
          <w:p w14:paraId="4D981DE3" w14:textId="77777777" w:rsidR="00711444" w:rsidRPr="004D0DAA" w:rsidRDefault="00711444" w:rsidP="00AA2A4C"/>
        </w:tc>
        <w:tc>
          <w:tcPr>
            <w:tcW w:w="624" w:type="dxa"/>
          </w:tcPr>
          <w:p w14:paraId="5FBF607C" w14:textId="77777777" w:rsidR="00711444" w:rsidRPr="004D0DAA" w:rsidRDefault="00711444" w:rsidP="00AA2A4C"/>
        </w:tc>
        <w:tc>
          <w:tcPr>
            <w:tcW w:w="624" w:type="dxa"/>
            <w:tcBorders>
              <w:right w:val="single" w:sz="6" w:space="0" w:color="auto"/>
            </w:tcBorders>
          </w:tcPr>
          <w:p w14:paraId="4BE558C7" w14:textId="77777777" w:rsidR="00711444" w:rsidRPr="004D0DAA" w:rsidRDefault="00711444" w:rsidP="00AA2A4C"/>
        </w:tc>
        <w:tc>
          <w:tcPr>
            <w:tcW w:w="1701" w:type="dxa"/>
          </w:tcPr>
          <w:p w14:paraId="388B9B11"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5EC8ADAC" w14:textId="77777777" w:rsidR="00711444" w:rsidRPr="004D0DAA" w:rsidRDefault="00711444" w:rsidP="00AA2A4C">
            <w:pPr>
              <w:pStyle w:val="TAC"/>
              <w:rPr>
                <w:lang w:eastAsia="en-US"/>
              </w:rPr>
            </w:pPr>
          </w:p>
        </w:tc>
      </w:tr>
      <w:tr w:rsidR="00711444" w:rsidRPr="004D0DAA" w14:paraId="79D403C0"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5A1617BA" w14:textId="77777777" w:rsidR="00711444" w:rsidRPr="004D0DAA" w:rsidRDefault="00711444" w:rsidP="00AA2A4C">
            <w:pPr>
              <w:pStyle w:val="TAC"/>
              <w:rPr>
                <w:lang w:eastAsia="en-US"/>
              </w:rPr>
            </w:pPr>
            <w:r w:rsidRPr="004D0DAA">
              <w:rPr>
                <w:lang w:eastAsia="en-US"/>
              </w:rPr>
              <w:br/>
              <w:t>LLC PDU 1</w:t>
            </w:r>
          </w:p>
        </w:tc>
        <w:tc>
          <w:tcPr>
            <w:tcW w:w="1701" w:type="dxa"/>
          </w:tcPr>
          <w:p w14:paraId="1C9930CF" w14:textId="77777777" w:rsidR="00711444" w:rsidRPr="004D0DAA" w:rsidRDefault="00711444" w:rsidP="00AA2A4C">
            <w:pPr>
              <w:pStyle w:val="TAC"/>
              <w:rPr>
                <w:lang w:eastAsia="en-US"/>
              </w:rPr>
            </w:pPr>
            <w:r w:rsidRPr="004D0DAA">
              <w:rPr>
                <w:lang w:eastAsia="en-US"/>
              </w:rPr>
              <w:t>.</w:t>
            </w:r>
          </w:p>
          <w:p w14:paraId="3BF240CD" w14:textId="77777777" w:rsidR="00711444" w:rsidRPr="004D0DAA" w:rsidRDefault="00711444" w:rsidP="00AA2A4C">
            <w:pPr>
              <w:pStyle w:val="TAC"/>
              <w:rPr>
                <w:lang w:eastAsia="en-US"/>
              </w:rPr>
            </w:pPr>
            <w:r w:rsidRPr="004D0DAA">
              <w:rPr>
                <w:lang w:eastAsia="en-US"/>
              </w:rPr>
              <w:t>.</w:t>
            </w:r>
          </w:p>
          <w:p w14:paraId="57ACDCE0"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1DA26680" w14:textId="77777777" w:rsidR="00711444" w:rsidRPr="004D0DAA" w:rsidRDefault="00711444" w:rsidP="00AA2A4C">
            <w:pPr>
              <w:pStyle w:val="TAC"/>
              <w:rPr>
                <w:lang w:eastAsia="en-US"/>
              </w:rPr>
            </w:pPr>
          </w:p>
          <w:p w14:paraId="7A431044" w14:textId="77777777" w:rsidR="00711444" w:rsidRPr="004D0DAA" w:rsidRDefault="00711444" w:rsidP="00AA2A4C">
            <w:pPr>
              <w:pStyle w:val="TAC"/>
              <w:rPr>
                <w:lang w:eastAsia="en-US"/>
              </w:rPr>
            </w:pPr>
            <w:r w:rsidRPr="004D0DAA">
              <w:rPr>
                <w:lang w:eastAsia="en-US"/>
              </w:rPr>
              <w:t>LLC PDU 1</w:t>
            </w:r>
          </w:p>
        </w:tc>
      </w:tr>
      <w:tr w:rsidR="00711444" w:rsidRPr="004D0DAA" w14:paraId="486A8693"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55A0D11D" w14:textId="77777777" w:rsidR="00711444" w:rsidRPr="004D0DAA" w:rsidRDefault="00711444" w:rsidP="00AA2A4C"/>
        </w:tc>
        <w:tc>
          <w:tcPr>
            <w:tcW w:w="1701" w:type="dxa"/>
          </w:tcPr>
          <w:p w14:paraId="158322D3" w14:textId="77777777" w:rsidR="00711444" w:rsidRPr="004D0DAA" w:rsidRDefault="00711444" w:rsidP="00AA2A4C">
            <w:pPr>
              <w:pStyle w:val="TAC"/>
              <w:rPr>
                <w:lang w:eastAsia="en-US"/>
              </w:rPr>
            </w:pPr>
            <w:r w:rsidRPr="004D0DAA">
              <w:rPr>
                <w:lang w:eastAsia="en-US"/>
              </w:rPr>
              <w:t>.</w:t>
            </w:r>
          </w:p>
          <w:p w14:paraId="62DBB199" w14:textId="77777777" w:rsidR="00711444" w:rsidRPr="004D0DAA" w:rsidRDefault="00711444" w:rsidP="00AA2A4C">
            <w:pPr>
              <w:pStyle w:val="TAC"/>
              <w:rPr>
                <w:lang w:eastAsia="en-US"/>
              </w:rPr>
            </w:pPr>
            <w:r w:rsidRPr="004D0DAA">
              <w:rPr>
                <w:lang w:eastAsia="en-US"/>
              </w:rPr>
              <w:t>.</w:t>
            </w:r>
          </w:p>
          <w:p w14:paraId="21391639"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261641CE" w14:textId="77777777" w:rsidR="00711444" w:rsidRPr="004D0DAA" w:rsidRDefault="00711444" w:rsidP="00AA2A4C">
            <w:pPr>
              <w:pStyle w:val="TAC"/>
              <w:rPr>
                <w:lang w:eastAsia="en-US"/>
              </w:rPr>
            </w:pPr>
          </w:p>
          <w:p w14:paraId="3EE73F0C" w14:textId="77777777" w:rsidR="00711444" w:rsidRPr="004D0DAA" w:rsidRDefault="00711444" w:rsidP="00AA2A4C">
            <w:pPr>
              <w:pStyle w:val="TAC"/>
              <w:rPr>
                <w:lang w:eastAsia="en-US"/>
              </w:rPr>
            </w:pPr>
          </w:p>
        </w:tc>
      </w:tr>
      <w:tr w:rsidR="00711444" w:rsidRPr="004D0DAA" w14:paraId="076636AD"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39B99FBA" w14:textId="77777777" w:rsidR="00711444" w:rsidRPr="004D0DAA" w:rsidRDefault="00711444" w:rsidP="00AA2A4C"/>
        </w:tc>
        <w:tc>
          <w:tcPr>
            <w:tcW w:w="624" w:type="dxa"/>
            <w:tcBorders>
              <w:bottom w:val="single" w:sz="6" w:space="0" w:color="auto"/>
            </w:tcBorders>
          </w:tcPr>
          <w:p w14:paraId="213172BF" w14:textId="77777777" w:rsidR="00711444" w:rsidRPr="004D0DAA" w:rsidRDefault="00711444" w:rsidP="00AA2A4C"/>
        </w:tc>
        <w:tc>
          <w:tcPr>
            <w:tcW w:w="624" w:type="dxa"/>
            <w:tcBorders>
              <w:bottom w:val="single" w:sz="6" w:space="0" w:color="auto"/>
            </w:tcBorders>
          </w:tcPr>
          <w:p w14:paraId="010BCA81" w14:textId="77777777" w:rsidR="00711444" w:rsidRPr="004D0DAA" w:rsidRDefault="00711444" w:rsidP="00AA2A4C"/>
        </w:tc>
        <w:tc>
          <w:tcPr>
            <w:tcW w:w="624" w:type="dxa"/>
            <w:tcBorders>
              <w:bottom w:val="single" w:sz="6" w:space="0" w:color="auto"/>
            </w:tcBorders>
          </w:tcPr>
          <w:p w14:paraId="3C64646C" w14:textId="77777777" w:rsidR="00711444" w:rsidRPr="004D0DAA" w:rsidRDefault="00711444" w:rsidP="00AA2A4C"/>
        </w:tc>
        <w:tc>
          <w:tcPr>
            <w:tcW w:w="624" w:type="dxa"/>
            <w:tcBorders>
              <w:bottom w:val="single" w:sz="6" w:space="0" w:color="auto"/>
            </w:tcBorders>
          </w:tcPr>
          <w:p w14:paraId="726D477E" w14:textId="77777777" w:rsidR="00711444" w:rsidRPr="004D0DAA" w:rsidRDefault="00711444" w:rsidP="00AA2A4C"/>
        </w:tc>
        <w:tc>
          <w:tcPr>
            <w:tcW w:w="624" w:type="dxa"/>
            <w:tcBorders>
              <w:bottom w:val="single" w:sz="6" w:space="0" w:color="auto"/>
            </w:tcBorders>
          </w:tcPr>
          <w:p w14:paraId="655CA448" w14:textId="77777777" w:rsidR="00711444" w:rsidRPr="004D0DAA" w:rsidRDefault="00711444" w:rsidP="00AA2A4C"/>
        </w:tc>
        <w:tc>
          <w:tcPr>
            <w:tcW w:w="624" w:type="dxa"/>
            <w:tcBorders>
              <w:bottom w:val="single" w:sz="6" w:space="0" w:color="auto"/>
            </w:tcBorders>
          </w:tcPr>
          <w:p w14:paraId="2E175392" w14:textId="77777777" w:rsidR="00711444" w:rsidRPr="004D0DAA" w:rsidRDefault="00711444" w:rsidP="00AA2A4C"/>
        </w:tc>
        <w:tc>
          <w:tcPr>
            <w:tcW w:w="624" w:type="dxa"/>
            <w:tcBorders>
              <w:bottom w:val="single" w:sz="6" w:space="0" w:color="auto"/>
              <w:right w:val="single" w:sz="6" w:space="0" w:color="auto"/>
            </w:tcBorders>
          </w:tcPr>
          <w:p w14:paraId="4FEDD3B7" w14:textId="77777777" w:rsidR="00711444" w:rsidRPr="004D0DAA" w:rsidRDefault="00711444" w:rsidP="00AA2A4C"/>
        </w:tc>
        <w:tc>
          <w:tcPr>
            <w:tcW w:w="1701" w:type="dxa"/>
            <w:tcBorders>
              <w:bottom w:val="single" w:sz="6" w:space="0" w:color="FFFFFF"/>
            </w:tcBorders>
          </w:tcPr>
          <w:p w14:paraId="71DFFEDA"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3940D633" w14:textId="77777777" w:rsidR="00711444" w:rsidRPr="004D0DAA" w:rsidRDefault="00711444" w:rsidP="00AA2A4C">
            <w:pPr>
              <w:pStyle w:val="TAC"/>
              <w:rPr>
                <w:lang w:eastAsia="en-US"/>
              </w:rPr>
            </w:pPr>
          </w:p>
        </w:tc>
      </w:tr>
      <w:tr w:rsidR="00711444" w:rsidRPr="004D0DAA" w14:paraId="60185944" w14:textId="77777777" w:rsidTr="00AA2A4C">
        <w:tblPrEx>
          <w:tblCellMar>
            <w:top w:w="0" w:type="dxa"/>
            <w:bottom w:w="0" w:type="dxa"/>
          </w:tblCellMar>
        </w:tblPrEx>
        <w:trPr>
          <w:cantSplit/>
        </w:trPr>
        <w:tc>
          <w:tcPr>
            <w:tcW w:w="5239" w:type="dxa"/>
            <w:gridSpan w:val="8"/>
          </w:tcPr>
          <w:p w14:paraId="774C3DA5" w14:textId="77777777" w:rsidR="00711444" w:rsidRPr="004D0DAA" w:rsidRDefault="00711444" w:rsidP="00AA2A4C">
            <w:pPr>
              <w:pStyle w:val="TAC"/>
              <w:rPr>
                <w:lang w:eastAsia="en-US"/>
              </w:rPr>
            </w:pPr>
            <w:r w:rsidRPr="004D0DAA">
              <w:rPr>
                <w:lang w:eastAsia="en-US"/>
              </w:rPr>
              <w:t>RLC data block N+1</w:t>
            </w:r>
          </w:p>
        </w:tc>
        <w:tc>
          <w:tcPr>
            <w:tcW w:w="1701" w:type="dxa"/>
          </w:tcPr>
          <w:p w14:paraId="42E5E8FD" w14:textId="77777777" w:rsidR="00711444" w:rsidRPr="004D0DAA" w:rsidRDefault="00711444" w:rsidP="00AA2A4C"/>
        </w:tc>
        <w:tc>
          <w:tcPr>
            <w:tcW w:w="1567" w:type="dxa"/>
            <w:tcBorders>
              <w:left w:val="single" w:sz="6" w:space="0" w:color="auto"/>
              <w:right w:val="single" w:sz="6" w:space="0" w:color="auto"/>
            </w:tcBorders>
          </w:tcPr>
          <w:p w14:paraId="09280A1B" w14:textId="77777777" w:rsidR="00711444" w:rsidRPr="004D0DAA" w:rsidRDefault="00711444" w:rsidP="00AA2A4C">
            <w:pPr>
              <w:pStyle w:val="TAC"/>
              <w:rPr>
                <w:lang w:eastAsia="en-US"/>
              </w:rPr>
            </w:pPr>
          </w:p>
        </w:tc>
      </w:tr>
      <w:tr w:rsidR="00711444" w:rsidRPr="004D0DAA" w14:paraId="43C615D0" w14:textId="77777777" w:rsidTr="00AA2A4C">
        <w:tblPrEx>
          <w:tblCellMar>
            <w:top w:w="0" w:type="dxa"/>
            <w:bottom w:w="0" w:type="dxa"/>
          </w:tblCellMar>
        </w:tblPrEx>
        <w:trPr>
          <w:cantSplit/>
        </w:trPr>
        <w:tc>
          <w:tcPr>
            <w:tcW w:w="5239" w:type="dxa"/>
            <w:gridSpan w:val="8"/>
          </w:tcPr>
          <w:p w14:paraId="21256D08" w14:textId="77777777" w:rsidR="00711444" w:rsidRPr="004D0DAA" w:rsidRDefault="00711444" w:rsidP="00AA2A4C">
            <w:pPr>
              <w:pStyle w:val="TAC"/>
              <w:rPr>
                <w:lang w:eastAsia="en-US"/>
              </w:rPr>
            </w:pPr>
            <w:r w:rsidRPr="004D0DAA">
              <w:rPr>
                <w:lang w:eastAsia="en-US"/>
              </w:rPr>
              <w:t>Bit</w:t>
            </w:r>
          </w:p>
        </w:tc>
        <w:tc>
          <w:tcPr>
            <w:tcW w:w="1701" w:type="dxa"/>
          </w:tcPr>
          <w:p w14:paraId="33D491E4" w14:textId="77777777" w:rsidR="00711444" w:rsidRPr="004D0DAA" w:rsidRDefault="00711444" w:rsidP="00AA2A4C"/>
        </w:tc>
        <w:tc>
          <w:tcPr>
            <w:tcW w:w="1567" w:type="dxa"/>
            <w:tcBorders>
              <w:left w:val="single" w:sz="6" w:space="0" w:color="auto"/>
              <w:right w:val="single" w:sz="6" w:space="0" w:color="auto"/>
            </w:tcBorders>
          </w:tcPr>
          <w:p w14:paraId="7CEDA454" w14:textId="77777777" w:rsidR="00711444" w:rsidRPr="004D0DAA" w:rsidRDefault="00711444" w:rsidP="00AA2A4C">
            <w:pPr>
              <w:pStyle w:val="TAC"/>
              <w:rPr>
                <w:lang w:eastAsia="en-US"/>
              </w:rPr>
            </w:pPr>
          </w:p>
        </w:tc>
      </w:tr>
      <w:tr w:rsidR="00711444" w:rsidRPr="004D0DAA" w14:paraId="7CA3C75D" w14:textId="77777777" w:rsidTr="00AA2A4C">
        <w:tblPrEx>
          <w:tblCellMar>
            <w:top w:w="0" w:type="dxa"/>
            <w:bottom w:w="0" w:type="dxa"/>
          </w:tblCellMar>
        </w:tblPrEx>
        <w:trPr>
          <w:cantSplit/>
        </w:trPr>
        <w:tc>
          <w:tcPr>
            <w:tcW w:w="871" w:type="dxa"/>
          </w:tcPr>
          <w:p w14:paraId="213FAA9A" w14:textId="77777777" w:rsidR="00711444" w:rsidRPr="004D0DAA" w:rsidRDefault="00711444" w:rsidP="00AA2A4C">
            <w:pPr>
              <w:pStyle w:val="TAC"/>
              <w:rPr>
                <w:lang w:eastAsia="en-US"/>
              </w:rPr>
            </w:pPr>
            <w:r w:rsidRPr="004D0DAA">
              <w:rPr>
                <w:lang w:eastAsia="en-US"/>
              </w:rPr>
              <w:t>8</w:t>
            </w:r>
          </w:p>
        </w:tc>
        <w:tc>
          <w:tcPr>
            <w:tcW w:w="624" w:type="dxa"/>
          </w:tcPr>
          <w:p w14:paraId="228087DA" w14:textId="77777777" w:rsidR="00711444" w:rsidRPr="004D0DAA" w:rsidRDefault="00711444" w:rsidP="00AA2A4C">
            <w:pPr>
              <w:pStyle w:val="TAC"/>
              <w:rPr>
                <w:lang w:eastAsia="en-US"/>
              </w:rPr>
            </w:pPr>
            <w:r w:rsidRPr="004D0DAA">
              <w:rPr>
                <w:lang w:eastAsia="en-US"/>
              </w:rPr>
              <w:t>7</w:t>
            </w:r>
          </w:p>
        </w:tc>
        <w:tc>
          <w:tcPr>
            <w:tcW w:w="624" w:type="dxa"/>
          </w:tcPr>
          <w:p w14:paraId="37E8689F" w14:textId="77777777" w:rsidR="00711444" w:rsidRPr="004D0DAA" w:rsidRDefault="00711444" w:rsidP="00AA2A4C">
            <w:pPr>
              <w:pStyle w:val="TAC"/>
              <w:rPr>
                <w:lang w:eastAsia="en-US"/>
              </w:rPr>
            </w:pPr>
            <w:r w:rsidRPr="004D0DAA">
              <w:rPr>
                <w:lang w:eastAsia="en-US"/>
              </w:rPr>
              <w:t>6</w:t>
            </w:r>
          </w:p>
        </w:tc>
        <w:tc>
          <w:tcPr>
            <w:tcW w:w="624" w:type="dxa"/>
          </w:tcPr>
          <w:p w14:paraId="6A027EF7" w14:textId="77777777" w:rsidR="00711444" w:rsidRPr="004D0DAA" w:rsidRDefault="00711444" w:rsidP="00AA2A4C">
            <w:pPr>
              <w:pStyle w:val="TAC"/>
              <w:rPr>
                <w:lang w:eastAsia="en-US"/>
              </w:rPr>
            </w:pPr>
            <w:r w:rsidRPr="004D0DAA">
              <w:rPr>
                <w:lang w:eastAsia="en-US"/>
              </w:rPr>
              <w:t>5</w:t>
            </w:r>
          </w:p>
        </w:tc>
        <w:tc>
          <w:tcPr>
            <w:tcW w:w="624" w:type="dxa"/>
          </w:tcPr>
          <w:p w14:paraId="7CCDB673" w14:textId="77777777" w:rsidR="00711444" w:rsidRPr="004D0DAA" w:rsidRDefault="00711444" w:rsidP="00AA2A4C">
            <w:pPr>
              <w:pStyle w:val="TAC"/>
              <w:rPr>
                <w:lang w:eastAsia="en-US"/>
              </w:rPr>
            </w:pPr>
            <w:r w:rsidRPr="004D0DAA">
              <w:rPr>
                <w:lang w:eastAsia="en-US"/>
              </w:rPr>
              <w:t>4</w:t>
            </w:r>
          </w:p>
        </w:tc>
        <w:tc>
          <w:tcPr>
            <w:tcW w:w="624" w:type="dxa"/>
          </w:tcPr>
          <w:p w14:paraId="7ADD491E" w14:textId="77777777" w:rsidR="00711444" w:rsidRPr="004D0DAA" w:rsidRDefault="00711444" w:rsidP="00AA2A4C">
            <w:pPr>
              <w:pStyle w:val="TAC"/>
              <w:rPr>
                <w:lang w:eastAsia="en-US"/>
              </w:rPr>
            </w:pPr>
            <w:r w:rsidRPr="004D0DAA">
              <w:rPr>
                <w:lang w:eastAsia="en-US"/>
              </w:rPr>
              <w:t>3</w:t>
            </w:r>
          </w:p>
        </w:tc>
        <w:tc>
          <w:tcPr>
            <w:tcW w:w="624" w:type="dxa"/>
          </w:tcPr>
          <w:p w14:paraId="164B011B" w14:textId="77777777" w:rsidR="00711444" w:rsidRPr="004D0DAA" w:rsidRDefault="00711444" w:rsidP="00AA2A4C">
            <w:pPr>
              <w:pStyle w:val="TAC"/>
              <w:rPr>
                <w:lang w:eastAsia="en-US"/>
              </w:rPr>
            </w:pPr>
            <w:r w:rsidRPr="004D0DAA">
              <w:rPr>
                <w:lang w:eastAsia="en-US"/>
              </w:rPr>
              <w:t>2</w:t>
            </w:r>
          </w:p>
        </w:tc>
        <w:tc>
          <w:tcPr>
            <w:tcW w:w="624" w:type="dxa"/>
          </w:tcPr>
          <w:p w14:paraId="5676305D" w14:textId="77777777" w:rsidR="00711444" w:rsidRPr="004D0DAA" w:rsidRDefault="00711444" w:rsidP="00AA2A4C">
            <w:pPr>
              <w:pStyle w:val="TAC"/>
              <w:rPr>
                <w:lang w:eastAsia="en-US"/>
              </w:rPr>
            </w:pPr>
            <w:r w:rsidRPr="004D0DAA">
              <w:rPr>
                <w:lang w:eastAsia="en-US"/>
              </w:rPr>
              <w:t>1</w:t>
            </w:r>
          </w:p>
        </w:tc>
        <w:tc>
          <w:tcPr>
            <w:tcW w:w="1701" w:type="dxa"/>
          </w:tcPr>
          <w:p w14:paraId="0F2A4B89" w14:textId="77777777" w:rsidR="00711444" w:rsidRPr="004D0DAA" w:rsidRDefault="00711444" w:rsidP="00AA2A4C"/>
        </w:tc>
        <w:tc>
          <w:tcPr>
            <w:tcW w:w="1567" w:type="dxa"/>
            <w:tcBorders>
              <w:left w:val="single" w:sz="6" w:space="0" w:color="auto"/>
              <w:right w:val="single" w:sz="6" w:space="0" w:color="auto"/>
            </w:tcBorders>
          </w:tcPr>
          <w:p w14:paraId="64A081E3" w14:textId="77777777" w:rsidR="00711444" w:rsidRPr="004D0DAA" w:rsidRDefault="00711444" w:rsidP="00AA2A4C">
            <w:pPr>
              <w:pStyle w:val="TAC"/>
              <w:rPr>
                <w:lang w:eastAsia="en-US"/>
              </w:rPr>
            </w:pPr>
          </w:p>
        </w:tc>
      </w:tr>
      <w:tr w:rsidR="00711444" w:rsidRPr="004D0DAA" w14:paraId="3C6DA055" w14:textId="77777777" w:rsidTr="00AA2A4C">
        <w:tblPrEx>
          <w:tblCellMar>
            <w:top w:w="0" w:type="dxa"/>
            <w:bottom w:w="0" w:type="dxa"/>
          </w:tblCellMar>
        </w:tblPrEx>
        <w:trPr>
          <w:cantSplit/>
        </w:trPr>
        <w:tc>
          <w:tcPr>
            <w:tcW w:w="1495" w:type="dxa"/>
            <w:gridSpan w:val="2"/>
            <w:tcBorders>
              <w:top w:val="single" w:sz="6" w:space="0" w:color="auto"/>
              <w:left w:val="single" w:sz="6" w:space="0" w:color="auto"/>
            </w:tcBorders>
          </w:tcPr>
          <w:p w14:paraId="32243C30" w14:textId="77777777" w:rsidR="00711444" w:rsidRPr="004D0DAA" w:rsidRDefault="00711444" w:rsidP="00AA2A4C">
            <w:pPr>
              <w:pStyle w:val="TAC"/>
              <w:rPr>
                <w:lang w:eastAsia="en-US"/>
              </w:rPr>
            </w:pPr>
            <w:r w:rsidRPr="004D0DAA">
              <w:rPr>
                <w:lang w:eastAsia="en-US"/>
              </w:rPr>
              <w:t>Payload Type</w:t>
            </w:r>
          </w:p>
        </w:tc>
        <w:tc>
          <w:tcPr>
            <w:tcW w:w="2496" w:type="dxa"/>
            <w:gridSpan w:val="4"/>
            <w:tcBorders>
              <w:top w:val="single" w:sz="6" w:space="0" w:color="auto"/>
              <w:left w:val="single" w:sz="6" w:space="0" w:color="auto"/>
            </w:tcBorders>
          </w:tcPr>
          <w:p w14:paraId="3325CB97" w14:textId="77777777" w:rsidR="00711444" w:rsidRPr="004D0DAA" w:rsidRDefault="00711444" w:rsidP="00AA2A4C">
            <w:pPr>
              <w:pStyle w:val="TAC"/>
              <w:rPr>
                <w:lang w:eastAsia="en-US"/>
              </w:rPr>
            </w:pPr>
            <w:r w:rsidRPr="004D0DAA">
              <w:rPr>
                <w:lang w:eastAsia="en-US"/>
              </w:rPr>
              <w:t xml:space="preserve">Countdown value </w:t>
            </w:r>
          </w:p>
        </w:tc>
        <w:tc>
          <w:tcPr>
            <w:tcW w:w="624" w:type="dxa"/>
            <w:tcBorders>
              <w:top w:val="single" w:sz="6" w:space="0" w:color="auto"/>
              <w:left w:val="single" w:sz="6" w:space="0" w:color="auto"/>
              <w:bottom w:val="single" w:sz="6" w:space="0" w:color="auto"/>
              <w:right w:val="single" w:sz="6" w:space="0" w:color="auto"/>
            </w:tcBorders>
          </w:tcPr>
          <w:p w14:paraId="4C0024A4" w14:textId="77777777" w:rsidR="00711444" w:rsidRPr="004D0DAA" w:rsidRDefault="00711444" w:rsidP="00AA2A4C">
            <w:pPr>
              <w:pStyle w:val="TAC"/>
              <w:rPr>
                <w:lang w:eastAsia="en-US"/>
              </w:rPr>
            </w:pPr>
            <w:r w:rsidRPr="004D0DAA">
              <w:rPr>
                <w:lang w:eastAsia="en-US"/>
              </w:rPr>
              <w:t>SI</w:t>
            </w:r>
          </w:p>
        </w:tc>
        <w:tc>
          <w:tcPr>
            <w:tcW w:w="624" w:type="dxa"/>
            <w:tcBorders>
              <w:top w:val="single" w:sz="6" w:space="0" w:color="auto"/>
              <w:bottom w:val="single" w:sz="6" w:space="0" w:color="auto"/>
              <w:right w:val="single" w:sz="6" w:space="0" w:color="auto"/>
            </w:tcBorders>
          </w:tcPr>
          <w:p w14:paraId="3C8A77AD" w14:textId="77777777" w:rsidR="00711444" w:rsidRPr="004D0DAA" w:rsidRDefault="00711444" w:rsidP="00AA2A4C">
            <w:pPr>
              <w:pStyle w:val="TAC"/>
              <w:rPr>
                <w:lang w:eastAsia="en-US"/>
              </w:rPr>
            </w:pPr>
            <w:r w:rsidRPr="004D0DAA">
              <w:rPr>
                <w:lang w:eastAsia="en-US"/>
              </w:rPr>
              <w:t>R</w:t>
            </w:r>
          </w:p>
        </w:tc>
        <w:tc>
          <w:tcPr>
            <w:tcW w:w="1701" w:type="dxa"/>
          </w:tcPr>
          <w:p w14:paraId="271E085B" w14:textId="77777777" w:rsidR="00711444" w:rsidRPr="004D0DAA" w:rsidRDefault="00711444" w:rsidP="00AA2A4C">
            <w:pPr>
              <w:pStyle w:val="TAC"/>
              <w:rPr>
                <w:lang w:eastAsia="en-US"/>
              </w:rPr>
            </w:pPr>
            <w:r w:rsidRPr="004D0DAA">
              <w:rPr>
                <w:lang w:eastAsia="en-US"/>
              </w:rPr>
              <w:t>MAC header</w:t>
            </w:r>
          </w:p>
        </w:tc>
        <w:tc>
          <w:tcPr>
            <w:tcW w:w="1567" w:type="dxa"/>
            <w:tcBorders>
              <w:left w:val="single" w:sz="6" w:space="0" w:color="auto"/>
              <w:right w:val="single" w:sz="6" w:space="0" w:color="auto"/>
            </w:tcBorders>
          </w:tcPr>
          <w:p w14:paraId="46336319" w14:textId="77777777" w:rsidR="00711444" w:rsidRPr="004D0DAA" w:rsidRDefault="00711444" w:rsidP="00AA2A4C">
            <w:pPr>
              <w:pStyle w:val="TAC"/>
              <w:rPr>
                <w:lang w:eastAsia="en-US"/>
              </w:rPr>
            </w:pPr>
          </w:p>
        </w:tc>
      </w:tr>
      <w:tr w:rsidR="00711444" w:rsidRPr="004D0DAA" w14:paraId="549E8B56" w14:textId="77777777" w:rsidTr="00AA2A4C">
        <w:tblPrEx>
          <w:tblCellMar>
            <w:top w:w="0" w:type="dxa"/>
            <w:bottom w:w="0" w:type="dxa"/>
          </w:tblCellMar>
        </w:tblPrEx>
        <w:trPr>
          <w:cantSplit/>
        </w:trPr>
        <w:tc>
          <w:tcPr>
            <w:tcW w:w="1495" w:type="dxa"/>
            <w:gridSpan w:val="2"/>
            <w:tcBorders>
              <w:top w:val="single" w:sz="6" w:space="0" w:color="auto"/>
              <w:left w:val="single" w:sz="6" w:space="0" w:color="auto"/>
              <w:bottom w:val="single" w:sz="6" w:space="0" w:color="auto"/>
              <w:right w:val="single" w:sz="6" w:space="0" w:color="auto"/>
            </w:tcBorders>
          </w:tcPr>
          <w:p w14:paraId="54ACA615" w14:textId="77777777" w:rsidR="00711444" w:rsidRPr="004D0DAA" w:rsidRDefault="00711444" w:rsidP="00AA2A4C">
            <w:pPr>
              <w:pStyle w:val="TAC"/>
              <w:rPr>
                <w:lang w:eastAsia="en-US"/>
              </w:rPr>
            </w:pPr>
            <w:r w:rsidRPr="004D0DAA">
              <w:rPr>
                <w:lang w:eastAsia="en-US"/>
              </w:rPr>
              <w:t>spare</w:t>
            </w:r>
          </w:p>
        </w:tc>
        <w:tc>
          <w:tcPr>
            <w:tcW w:w="624" w:type="dxa"/>
            <w:tcBorders>
              <w:top w:val="single" w:sz="6" w:space="0" w:color="auto"/>
            </w:tcBorders>
          </w:tcPr>
          <w:p w14:paraId="7E6C5F39" w14:textId="77777777" w:rsidR="00711444" w:rsidRPr="004D0DAA" w:rsidRDefault="00711444" w:rsidP="00AA2A4C"/>
        </w:tc>
        <w:tc>
          <w:tcPr>
            <w:tcW w:w="624" w:type="dxa"/>
            <w:tcBorders>
              <w:top w:val="single" w:sz="6" w:space="0" w:color="auto"/>
            </w:tcBorders>
          </w:tcPr>
          <w:p w14:paraId="1E8E079E" w14:textId="77777777" w:rsidR="00711444" w:rsidRPr="004D0DAA" w:rsidRDefault="00711444" w:rsidP="00AA2A4C">
            <w:pPr>
              <w:pStyle w:val="TAC"/>
              <w:rPr>
                <w:lang w:eastAsia="en-US"/>
              </w:rPr>
            </w:pPr>
            <w:r w:rsidRPr="004D0DAA">
              <w:rPr>
                <w:lang w:eastAsia="en-US"/>
              </w:rPr>
              <w:t>TFI</w:t>
            </w:r>
          </w:p>
        </w:tc>
        <w:tc>
          <w:tcPr>
            <w:tcW w:w="624" w:type="dxa"/>
            <w:tcBorders>
              <w:top w:val="single" w:sz="6" w:space="0" w:color="auto"/>
            </w:tcBorders>
          </w:tcPr>
          <w:p w14:paraId="49C70041" w14:textId="77777777" w:rsidR="00711444" w:rsidRPr="004D0DAA" w:rsidRDefault="00711444" w:rsidP="00AA2A4C"/>
        </w:tc>
        <w:tc>
          <w:tcPr>
            <w:tcW w:w="624" w:type="dxa"/>
            <w:tcBorders>
              <w:top w:val="single" w:sz="6" w:space="0" w:color="auto"/>
            </w:tcBorders>
          </w:tcPr>
          <w:p w14:paraId="72619EDE" w14:textId="77777777" w:rsidR="00711444" w:rsidRPr="004D0DAA" w:rsidRDefault="00711444" w:rsidP="00AA2A4C"/>
        </w:tc>
        <w:tc>
          <w:tcPr>
            <w:tcW w:w="624" w:type="dxa"/>
            <w:tcBorders>
              <w:top w:val="single" w:sz="6" w:space="0" w:color="auto"/>
              <w:right w:val="single" w:sz="6" w:space="0" w:color="auto"/>
            </w:tcBorders>
          </w:tcPr>
          <w:p w14:paraId="2618A203" w14:textId="77777777" w:rsidR="00711444" w:rsidRPr="004D0DAA" w:rsidRDefault="00711444" w:rsidP="00AA2A4C"/>
        </w:tc>
        <w:tc>
          <w:tcPr>
            <w:tcW w:w="624" w:type="dxa"/>
            <w:tcBorders>
              <w:top w:val="single" w:sz="6" w:space="0" w:color="auto"/>
              <w:right w:val="single" w:sz="6" w:space="0" w:color="auto"/>
            </w:tcBorders>
          </w:tcPr>
          <w:p w14:paraId="1A0C0E35" w14:textId="77777777" w:rsidR="00711444" w:rsidRPr="004D0DAA" w:rsidRDefault="00711444" w:rsidP="00AA2A4C">
            <w:pPr>
              <w:pStyle w:val="TAC"/>
              <w:rPr>
                <w:lang w:eastAsia="en-US"/>
              </w:rPr>
            </w:pPr>
            <w:r w:rsidRPr="004D0DAA">
              <w:rPr>
                <w:lang w:eastAsia="en-US"/>
              </w:rPr>
              <w:t>TI</w:t>
            </w:r>
          </w:p>
        </w:tc>
        <w:tc>
          <w:tcPr>
            <w:tcW w:w="1701" w:type="dxa"/>
          </w:tcPr>
          <w:p w14:paraId="5B89B4CF"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4CEA53D2" w14:textId="77777777" w:rsidR="00711444" w:rsidRPr="004D0DAA" w:rsidRDefault="00711444" w:rsidP="00AA2A4C">
            <w:pPr>
              <w:pStyle w:val="TAC"/>
              <w:rPr>
                <w:lang w:eastAsia="en-US"/>
              </w:rPr>
            </w:pPr>
          </w:p>
        </w:tc>
      </w:tr>
      <w:tr w:rsidR="00711444" w:rsidRPr="004D0DAA" w14:paraId="66205523"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6154393B" w14:textId="77777777" w:rsidR="00711444" w:rsidRPr="004D0DAA" w:rsidRDefault="00711444" w:rsidP="00AA2A4C"/>
        </w:tc>
        <w:tc>
          <w:tcPr>
            <w:tcW w:w="624" w:type="dxa"/>
            <w:tcBorders>
              <w:bottom w:val="single" w:sz="6" w:space="0" w:color="auto"/>
            </w:tcBorders>
          </w:tcPr>
          <w:p w14:paraId="77248836" w14:textId="77777777" w:rsidR="00711444" w:rsidRPr="004D0DAA" w:rsidRDefault="00711444" w:rsidP="00AA2A4C"/>
        </w:tc>
        <w:tc>
          <w:tcPr>
            <w:tcW w:w="624" w:type="dxa"/>
            <w:tcBorders>
              <w:top w:val="single" w:sz="6" w:space="0" w:color="auto"/>
              <w:bottom w:val="single" w:sz="6" w:space="0" w:color="auto"/>
            </w:tcBorders>
          </w:tcPr>
          <w:p w14:paraId="4F8A8284" w14:textId="77777777" w:rsidR="00711444" w:rsidRPr="004D0DAA" w:rsidRDefault="00711444" w:rsidP="00AA2A4C"/>
        </w:tc>
        <w:tc>
          <w:tcPr>
            <w:tcW w:w="624" w:type="dxa"/>
            <w:tcBorders>
              <w:top w:val="single" w:sz="6" w:space="0" w:color="auto"/>
              <w:bottom w:val="single" w:sz="6" w:space="0" w:color="auto"/>
            </w:tcBorders>
          </w:tcPr>
          <w:p w14:paraId="0FBDE862" w14:textId="77777777" w:rsidR="00711444" w:rsidRPr="004D0DAA" w:rsidRDefault="00711444" w:rsidP="00AA2A4C">
            <w:pPr>
              <w:pStyle w:val="TAC"/>
              <w:rPr>
                <w:lang w:eastAsia="en-US"/>
              </w:rPr>
            </w:pPr>
            <w:r w:rsidRPr="004D0DAA">
              <w:rPr>
                <w:lang w:eastAsia="en-US"/>
              </w:rPr>
              <w:t>BSN</w:t>
            </w:r>
          </w:p>
        </w:tc>
        <w:tc>
          <w:tcPr>
            <w:tcW w:w="624" w:type="dxa"/>
            <w:tcBorders>
              <w:top w:val="single" w:sz="6" w:space="0" w:color="auto"/>
              <w:bottom w:val="single" w:sz="6" w:space="0" w:color="auto"/>
            </w:tcBorders>
          </w:tcPr>
          <w:p w14:paraId="0388B6B2" w14:textId="77777777" w:rsidR="00711444" w:rsidRPr="004D0DAA" w:rsidRDefault="00711444" w:rsidP="00AA2A4C"/>
        </w:tc>
        <w:tc>
          <w:tcPr>
            <w:tcW w:w="624" w:type="dxa"/>
            <w:tcBorders>
              <w:top w:val="single" w:sz="6" w:space="0" w:color="auto"/>
              <w:bottom w:val="single" w:sz="6" w:space="0" w:color="auto"/>
            </w:tcBorders>
          </w:tcPr>
          <w:p w14:paraId="2ED57BE5" w14:textId="77777777" w:rsidR="00711444" w:rsidRPr="004D0DAA" w:rsidRDefault="00711444" w:rsidP="00AA2A4C"/>
        </w:tc>
        <w:tc>
          <w:tcPr>
            <w:tcW w:w="624" w:type="dxa"/>
            <w:tcBorders>
              <w:top w:val="single" w:sz="6" w:space="0" w:color="auto"/>
              <w:right w:val="single" w:sz="6" w:space="0" w:color="auto"/>
            </w:tcBorders>
          </w:tcPr>
          <w:p w14:paraId="4EFEC0A1" w14:textId="77777777" w:rsidR="00711444" w:rsidRPr="004D0DAA" w:rsidRDefault="00711444" w:rsidP="00AA2A4C"/>
        </w:tc>
        <w:tc>
          <w:tcPr>
            <w:tcW w:w="624" w:type="dxa"/>
            <w:tcBorders>
              <w:top w:val="single" w:sz="6" w:space="0" w:color="auto"/>
              <w:bottom w:val="single" w:sz="6" w:space="0" w:color="auto"/>
              <w:right w:val="single" w:sz="6" w:space="0" w:color="auto"/>
            </w:tcBorders>
          </w:tcPr>
          <w:p w14:paraId="1E30C26C" w14:textId="77777777" w:rsidR="00711444" w:rsidRPr="004D0DAA" w:rsidRDefault="00711444" w:rsidP="00AA2A4C">
            <w:pPr>
              <w:pStyle w:val="TAC"/>
              <w:rPr>
                <w:lang w:eastAsia="en-US"/>
              </w:rPr>
            </w:pPr>
            <w:r w:rsidRPr="004D0DAA">
              <w:rPr>
                <w:lang w:eastAsia="en-US"/>
              </w:rPr>
              <w:t xml:space="preserve"> E = 0</w:t>
            </w:r>
          </w:p>
        </w:tc>
        <w:tc>
          <w:tcPr>
            <w:tcW w:w="1701" w:type="dxa"/>
          </w:tcPr>
          <w:p w14:paraId="4F9F6C38"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32078905" w14:textId="77777777" w:rsidR="00711444" w:rsidRPr="004D0DAA" w:rsidRDefault="00711444" w:rsidP="00AA2A4C">
            <w:pPr>
              <w:pStyle w:val="TAC"/>
              <w:rPr>
                <w:lang w:eastAsia="en-US"/>
              </w:rPr>
            </w:pPr>
          </w:p>
        </w:tc>
      </w:tr>
      <w:tr w:rsidR="00711444" w:rsidRPr="004D0DAA" w14:paraId="568531F5"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016F1522" w14:textId="77777777" w:rsidR="00711444" w:rsidRPr="004D0DAA" w:rsidRDefault="00711444" w:rsidP="00AA2A4C"/>
        </w:tc>
        <w:tc>
          <w:tcPr>
            <w:tcW w:w="624" w:type="dxa"/>
            <w:tcBorders>
              <w:bottom w:val="single" w:sz="6" w:space="0" w:color="auto"/>
            </w:tcBorders>
          </w:tcPr>
          <w:p w14:paraId="1D8A5EAB" w14:textId="77777777" w:rsidR="00711444" w:rsidRPr="004D0DAA" w:rsidRDefault="00711444" w:rsidP="00AA2A4C"/>
        </w:tc>
        <w:tc>
          <w:tcPr>
            <w:tcW w:w="624" w:type="dxa"/>
            <w:tcBorders>
              <w:bottom w:val="single" w:sz="6" w:space="0" w:color="auto"/>
            </w:tcBorders>
          </w:tcPr>
          <w:p w14:paraId="605E8B21" w14:textId="77777777" w:rsidR="00711444" w:rsidRPr="004D0DAA" w:rsidRDefault="00711444" w:rsidP="00AA2A4C">
            <w:pPr>
              <w:pStyle w:val="TAC"/>
              <w:rPr>
                <w:lang w:eastAsia="en-US"/>
              </w:rPr>
            </w:pPr>
            <w:r w:rsidRPr="004D0DAA">
              <w:rPr>
                <w:lang w:eastAsia="en-US"/>
              </w:rPr>
              <w:t>LI=10</w:t>
            </w:r>
          </w:p>
        </w:tc>
        <w:tc>
          <w:tcPr>
            <w:tcW w:w="624" w:type="dxa"/>
            <w:tcBorders>
              <w:bottom w:val="single" w:sz="6" w:space="0" w:color="auto"/>
            </w:tcBorders>
          </w:tcPr>
          <w:p w14:paraId="260C617F" w14:textId="77777777" w:rsidR="00711444" w:rsidRPr="004D0DAA" w:rsidRDefault="00711444" w:rsidP="00AA2A4C"/>
        </w:tc>
        <w:tc>
          <w:tcPr>
            <w:tcW w:w="624" w:type="dxa"/>
            <w:tcBorders>
              <w:bottom w:val="single" w:sz="6" w:space="0" w:color="auto"/>
            </w:tcBorders>
          </w:tcPr>
          <w:p w14:paraId="44050187" w14:textId="77777777" w:rsidR="00711444" w:rsidRPr="004D0DAA" w:rsidRDefault="00711444" w:rsidP="00AA2A4C"/>
        </w:tc>
        <w:tc>
          <w:tcPr>
            <w:tcW w:w="624" w:type="dxa"/>
            <w:tcBorders>
              <w:bottom w:val="single" w:sz="6" w:space="0" w:color="auto"/>
            </w:tcBorders>
          </w:tcPr>
          <w:p w14:paraId="0F188152" w14:textId="77777777" w:rsidR="00711444" w:rsidRPr="004D0DAA" w:rsidRDefault="00711444" w:rsidP="00AA2A4C"/>
        </w:tc>
        <w:tc>
          <w:tcPr>
            <w:tcW w:w="624" w:type="dxa"/>
            <w:tcBorders>
              <w:top w:val="single" w:sz="6" w:space="0" w:color="auto"/>
              <w:left w:val="single" w:sz="6" w:space="0" w:color="auto"/>
              <w:bottom w:val="single" w:sz="6" w:space="0" w:color="auto"/>
              <w:right w:val="single" w:sz="6" w:space="0" w:color="auto"/>
            </w:tcBorders>
          </w:tcPr>
          <w:p w14:paraId="3A25E222" w14:textId="77777777" w:rsidR="00711444" w:rsidRPr="004D0DAA" w:rsidRDefault="00711444" w:rsidP="00AA2A4C">
            <w:pPr>
              <w:pStyle w:val="TAC"/>
              <w:rPr>
                <w:lang w:eastAsia="en-US"/>
              </w:rPr>
            </w:pPr>
            <w:r w:rsidRPr="004D0DAA">
              <w:rPr>
                <w:lang w:eastAsia="en-US"/>
              </w:rPr>
              <w:t>M=1</w:t>
            </w:r>
          </w:p>
        </w:tc>
        <w:tc>
          <w:tcPr>
            <w:tcW w:w="624" w:type="dxa"/>
            <w:tcBorders>
              <w:bottom w:val="single" w:sz="6" w:space="0" w:color="auto"/>
              <w:right w:val="single" w:sz="6" w:space="0" w:color="auto"/>
            </w:tcBorders>
          </w:tcPr>
          <w:p w14:paraId="5A6106CB" w14:textId="77777777" w:rsidR="00711444" w:rsidRPr="004D0DAA" w:rsidRDefault="00711444" w:rsidP="00AA2A4C">
            <w:pPr>
              <w:pStyle w:val="TAC"/>
              <w:rPr>
                <w:lang w:eastAsia="en-US"/>
              </w:rPr>
            </w:pPr>
            <w:r w:rsidRPr="004D0DAA">
              <w:rPr>
                <w:lang w:eastAsia="en-US"/>
              </w:rPr>
              <w:t>E=1</w:t>
            </w:r>
          </w:p>
        </w:tc>
        <w:tc>
          <w:tcPr>
            <w:tcW w:w="1701" w:type="dxa"/>
          </w:tcPr>
          <w:p w14:paraId="574E8EC8"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7BC88437" w14:textId="77777777" w:rsidR="00711444" w:rsidRPr="004D0DAA" w:rsidRDefault="00711444" w:rsidP="00AA2A4C">
            <w:pPr>
              <w:pStyle w:val="TAC"/>
              <w:rPr>
                <w:lang w:eastAsia="en-US"/>
              </w:rPr>
            </w:pPr>
          </w:p>
        </w:tc>
      </w:tr>
      <w:tr w:rsidR="00711444" w:rsidRPr="004D0DAA" w14:paraId="28F4EC22" w14:textId="77777777" w:rsidTr="00AA2A4C">
        <w:tblPrEx>
          <w:tblCellMar>
            <w:top w:w="0" w:type="dxa"/>
            <w:bottom w:w="0" w:type="dxa"/>
          </w:tblCellMar>
        </w:tblPrEx>
        <w:trPr>
          <w:cantSplit/>
        </w:trPr>
        <w:tc>
          <w:tcPr>
            <w:tcW w:w="871" w:type="dxa"/>
            <w:tcBorders>
              <w:left w:val="single" w:sz="6" w:space="0" w:color="auto"/>
            </w:tcBorders>
          </w:tcPr>
          <w:p w14:paraId="4EDA6722" w14:textId="77777777" w:rsidR="00711444" w:rsidRPr="004D0DAA" w:rsidRDefault="00711444" w:rsidP="00AA2A4C"/>
        </w:tc>
        <w:tc>
          <w:tcPr>
            <w:tcW w:w="624" w:type="dxa"/>
          </w:tcPr>
          <w:p w14:paraId="2BB3691B" w14:textId="77777777" w:rsidR="00711444" w:rsidRPr="004D0DAA" w:rsidRDefault="00711444" w:rsidP="00AA2A4C"/>
        </w:tc>
        <w:tc>
          <w:tcPr>
            <w:tcW w:w="624" w:type="dxa"/>
          </w:tcPr>
          <w:p w14:paraId="1CD3FDEA" w14:textId="77777777" w:rsidR="00711444" w:rsidRPr="004D0DAA" w:rsidRDefault="00711444" w:rsidP="00AA2A4C"/>
        </w:tc>
        <w:tc>
          <w:tcPr>
            <w:tcW w:w="624" w:type="dxa"/>
          </w:tcPr>
          <w:p w14:paraId="0BC0A9F7" w14:textId="77777777" w:rsidR="00711444" w:rsidRPr="004D0DAA" w:rsidRDefault="00711444" w:rsidP="00AA2A4C"/>
        </w:tc>
        <w:tc>
          <w:tcPr>
            <w:tcW w:w="624" w:type="dxa"/>
          </w:tcPr>
          <w:p w14:paraId="794525CB" w14:textId="77777777" w:rsidR="00711444" w:rsidRPr="004D0DAA" w:rsidRDefault="00711444" w:rsidP="00AA2A4C"/>
        </w:tc>
        <w:tc>
          <w:tcPr>
            <w:tcW w:w="624" w:type="dxa"/>
          </w:tcPr>
          <w:p w14:paraId="6CC7DE5F" w14:textId="77777777" w:rsidR="00711444" w:rsidRPr="004D0DAA" w:rsidRDefault="00711444" w:rsidP="00AA2A4C"/>
        </w:tc>
        <w:tc>
          <w:tcPr>
            <w:tcW w:w="624" w:type="dxa"/>
          </w:tcPr>
          <w:p w14:paraId="4AAAC5A4" w14:textId="77777777" w:rsidR="00711444" w:rsidRPr="004D0DAA" w:rsidRDefault="00711444" w:rsidP="00AA2A4C"/>
        </w:tc>
        <w:tc>
          <w:tcPr>
            <w:tcW w:w="624" w:type="dxa"/>
            <w:tcBorders>
              <w:right w:val="single" w:sz="6" w:space="0" w:color="auto"/>
            </w:tcBorders>
          </w:tcPr>
          <w:p w14:paraId="146D0A69" w14:textId="77777777" w:rsidR="00711444" w:rsidRPr="004D0DAA" w:rsidRDefault="00711444" w:rsidP="00AA2A4C"/>
        </w:tc>
        <w:tc>
          <w:tcPr>
            <w:tcW w:w="1701" w:type="dxa"/>
          </w:tcPr>
          <w:p w14:paraId="36350BDA" w14:textId="77777777" w:rsidR="00711444" w:rsidRPr="004D0DAA" w:rsidRDefault="00711444" w:rsidP="00AA2A4C">
            <w:pPr>
              <w:pStyle w:val="TAC"/>
              <w:rPr>
                <w:lang w:eastAsia="en-US"/>
              </w:rPr>
            </w:pPr>
            <w:r w:rsidRPr="004D0DAA">
              <w:rPr>
                <w:lang w:eastAsia="en-US"/>
              </w:rPr>
              <w:t>Octet 4</w:t>
            </w:r>
          </w:p>
        </w:tc>
        <w:tc>
          <w:tcPr>
            <w:tcW w:w="1567" w:type="dxa"/>
            <w:tcBorders>
              <w:left w:val="single" w:sz="6" w:space="0" w:color="auto"/>
              <w:right w:val="single" w:sz="6" w:space="0" w:color="auto"/>
            </w:tcBorders>
          </w:tcPr>
          <w:p w14:paraId="2C147C65" w14:textId="77777777" w:rsidR="00711444" w:rsidRPr="004D0DAA" w:rsidRDefault="00711444" w:rsidP="00AA2A4C">
            <w:pPr>
              <w:pStyle w:val="TAC"/>
              <w:rPr>
                <w:lang w:eastAsia="en-US"/>
              </w:rPr>
            </w:pPr>
          </w:p>
        </w:tc>
      </w:tr>
      <w:tr w:rsidR="00711444" w:rsidRPr="004D0DAA" w14:paraId="3F79B694" w14:textId="77777777" w:rsidTr="00AA2A4C">
        <w:tblPrEx>
          <w:tblCellMar>
            <w:top w:w="0" w:type="dxa"/>
            <w:bottom w:w="0" w:type="dxa"/>
          </w:tblCellMar>
        </w:tblPrEx>
        <w:trPr>
          <w:cantSplit/>
        </w:trPr>
        <w:tc>
          <w:tcPr>
            <w:tcW w:w="5239" w:type="dxa"/>
            <w:gridSpan w:val="8"/>
            <w:tcBorders>
              <w:left w:val="single" w:sz="6" w:space="0" w:color="auto"/>
              <w:bottom w:val="single" w:sz="6" w:space="0" w:color="auto"/>
              <w:right w:val="single" w:sz="6" w:space="0" w:color="auto"/>
            </w:tcBorders>
          </w:tcPr>
          <w:p w14:paraId="5713AC17" w14:textId="77777777" w:rsidR="00711444" w:rsidRPr="004D0DAA" w:rsidRDefault="00711444" w:rsidP="00AA2A4C">
            <w:pPr>
              <w:pStyle w:val="TAC"/>
              <w:rPr>
                <w:lang w:eastAsia="en-US"/>
              </w:rPr>
            </w:pPr>
            <w:r w:rsidRPr="004D0DAA">
              <w:rPr>
                <w:lang w:eastAsia="en-US"/>
              </w:rPr>
              <w:t>LLC PDU 1 (cont)</w:t>
            </w:r>
          </w:p>
        </w:tc>
        <w:tc>
          <w:tcPr>
            <w:tcW w:w="1701" w:type="dxa"/>
          </w:tcPr>
          <w:p w14:paraId="28BDE318" w14:textId="77777777" w:rsidR="00711444" w:rsidRPr="004D0DAA" w:rsidRDefault="00711444" w:rsidP="00AA2A4C">
            <w:pPr>
              <w:pStyle w:val="TAC"/>
              <w:rPr>
                <w:lang w:eastAsia="en-US"/>
              </w:rPr>
            </w:pPr>
            <w:r w:rsidRPr="004D0DAA">
              <w:rPr>
                <w:lang w:eastAsia="en-US"/>
              </w:rPr>
              <w:t>.</w:t>
            </w:r>
          </w:p>
          <w:p w14:paraId="17BDE969" w14:textId="77777777" w:rsidR="00711444" w:rsidRPr="004D0DAA" w:rsidRDefault="00711444" w:rsidP="00AA2A4C">
            <w:pPr>
              <w:pStyle w:val="TAC"/>
              <w:rPr>
                <w:lang w:eastAsia="en-US"/>
              </w:rPr>
            </w:pPr>
          </w:p>
          <w:p w14:paraId="6BB024E1" w14:textId="77777777" w:rsidR="00711444" w:rsidRPr="004D0DAA" w:rsidRDefault="00711444" w:rsidP="00AA2A4C">
            <w:pPr>
              <w:pStyle w:val="TAC"/>
              <w:rPr>
                <w:lang w:eastAsia="en-US"/>
              </w:rPr>
            </w:pPr>
            <w:r w:rsidRPr="004D0DAA">
              <w:rPr>
                <w:lang w:eastAsia="en-US"/>
              </w:rPr>
              <w:t>Octet 13</w:t>
            </w:r>
          </w:p>
        </w:tc>
        <w:tc>
          <w:tcPr>
            <w:tcW w:w="1567" w:type="dxa"/>
            <w:tcBorders>
              <w:left w:val="single" w:sz="6" w:space="0" w:color="auto"/>
              <w:bottom w:val="single" w:sz="6" w:space="0" w:color="auto"/>
              <w:right w:val="single" w:sz="6" w:space="0" w:color="auto"/>
            </w:tcBorders>
          </w:tcPr>
          <w:p w14:paraId="5F83AD5E" w14:textId="77777777" w:rsidR="00711444" w:rsidRPr="004D0DAA" w:rsidRDefault="00711444" w:rsidP="00AA2A4C">
            <w:pPr>
              <w:pStyle w:val="TAC"/>
              <w:rPr>
                <w:lang w:eastAsia="en-US"/>
              </w:rPr>
            </w:pPr>
          </w:p>
          <w:p w14:paraId="599EE310" w14:textId="77777777" w:rsidR="00711444" w:rsidRPr="004D0DAA" w:rsidRDefault="00711444" w:rsidP="00AA2A4C">
            <w:pPr>
              <w:pStyle w:val="TAC"/>
              <w:rPr>
                <w:lang w:eastAsia="en-US"/>
              </w:rPr>
            </w:pPr>
          </w:p>
        </w:tc>
      </w:tr>
      <w:tr w:rsidR="00711444" w:rsidRPr="004D0DAA" w14:paraId="5290DFBE"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3B5E1678" w14:textId="77777777" w:rsidR="00711444" w:rsidRPr="004D0DAA" w:rsidRDefault="00711444" w:rsidP="00AA2A4C">
            <w:pPr>
              <w:pStyle w:val="TAC"/>
              <w:rPr>
                <w:lang w:eastAsia="en-US"/>
              </w:rPr>
            </w:pPr>
          </w:p>
          <w:p w14:paraId="2390D71B" w14:textId="77777777" w:rsidR="00711444" w:rsidRPr="004D0DAA" w:rsidRDefault="00711444" w:rsidP="00AA2A4C">
            <w:pPr>
              <w:pStyle w:val="TAC"/>
              <w:rPr>
                <w:lang w:eastAsia="en-US"/>
              </w:rPr>
            </w:pPr>
            <w:r w:rsidRPr="004D0DAA">
              <w:rPr>
                <w:lang w:eastAsia="en-US"/>
              </w:rPr>
              <w:t>LLC PDU 2</w:t>
            </w:r>
          </w:p>
        </w:tc>
        <w:tc>
          <w:tcPr>
            <w:tcW w:w="1701" w:type="dxa"/>
          </w:tcPr>
          <w:p w14:paraId="0698F4AA" w14:textId="77777777" w:rsidR="00711444" w:rsidRPr="004D0DAA" w:rsidRDefault="00711444" w:rsidP="00AA2A4C">
            <w:pPr>
              <w:pStyle w:val="TAC"/>
              <w:rPr>
                <w:lang w:eastAsia="en-US"/>
              </w:rPr>
            </w:pPr>
            <w:r w:rsidRPr="004D0DAA">
              <w:rPr>
                <w:lang w:eastAsia="en-US"/>
              </w:rPr>
              <w:t>.</w:t>
            </w:r>
          </w:p>
          <w:p w14:paraId="34EEC6AB" w14:textId="77777777" w:rsidR="00711444" w:rsidRPr="004D0DAA" w:rsidRDefault="00711444" w:rsidP="00AA2A4C">
            <w:pPr>
              <w:pStyle w:val="TAC"/>
              <w:rPr>
                <w:lang w:eastAsia="en-US"/>
              </w:rPr>
            </w:pPr>
            <w:r w:rsidRPr="004D0DAA">
              <w:rPr>
                <w:lang w:eastAsia="en-US"/>
              </w:rPr>
              <w:t>.</w:t>
            </w:r>
          </w:p>
          <w:p w14:paraId="47486EB4"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40CBCE66" w14:textId="77777777" w:rsidR="00711444" w:rsidRPr="004D0DAA" w:rsidRDefault="00711444" w:rsidP="00AA2A4C">
            <w:pPr>
              <w:pStyle w:val="TAC"/>
              <w:rPr>
                <w:lang w:eastAsia="en-US"/>
              </w:rPr>
            </w:pPr>
          </w:p>
          <w:p w14:paraId="65BA052E" w14:textId="77777777" w:rsidR="00711444" w:rsidRPr="004D0DAA" w:rsidRDefault="00711444" w:rsidP="00AA2A4C">
            <w:pPr>
              <w:pStyle w:val="TAC"/>
              <w:rPr>
                <w:lang w:eastAsia="en-US"/>
              </w:rPr>
            </w:pPr>
          </w:p>
          <w:p w14:paraId="2C65A5A8" w14:textId="77777777" w:rsidR="00711444" w:rsidRPr="004D0DAA" w:rsidRDefault="00711444" w:rsidP="00AA2A4C">
            <w:pPr>
              <w:pStyle w:val="TAC"/>
              <w:rPr>
                <w:lang w:eastAsia="en-US"/>
              </w:rPr>
            </w:pPr>
            <w:r w:rsidRPr="004D0DAA">
              <w:rPr>
                <w:lang w:eastAsia="en-US"/>
              </w:rPr>
              <w:t>LLC PDU 2</w:t>
            </w:r>
          </w:p>
        </w:tc>
      </w:tr>
      <w:tr w:rsidR="00711444" w:rsidRPr="004D0DAA" w14:paraId="05B37B6D" w14:textId="77777777" w:rsidTr="00AA2A4C">
        <w:tblPrEx>
          <w:tblCellMar>
            <w:top w:w="0" w:type="dxa"/>
            <w:bottom w:w="0" w:type="dxa"/>
          </w:tblCellMar>
        </w:tblPrEx>
        <w:trPr>
          <w:cantSplit/>
        </w:trPr>
        <w:tc>
          <w:tcPr>
            <w:tcW w:w="871" w:type="dxa"/>
            <w:tcBorders>
              <w:left w:val="single" w:sz="6" w:space="0" w:color="auto"/>
            </w:tcBorders>
          </w:tcPr>
          <w:p w14:paraId="1AE46154" w14:textId="77777777" w:rsidR="00711444" w:rsidRPr="004D0DAA" w:rsidRDefault="00711444" w:rsidP="00AA2A4C"/>
        </w:tc>
        <w:tc>
          <w:tcPr>
            <w:tcW w:w="624" w:type="dxa"/>
          </w:tcPr>
          <w:p w14:paraId="46769D2C" w14:textId="77777777" w:rsidR="00711444" w:rsidRPr="004D0DAA" w:rsidRDefault="00711444" w:rsidP="00AA2A4C"/>
        </w:tc>
        <w:tc>
          <w:tcPr>
            <w:tcW w:w="624" w:type="dxa"/>
          </w:tcPr>
          <w:p w14:paraId="4F7869AA" w14:textId="77777777" w:rsidR="00711444" w:rsidRPr="004D0DAA" w:rsidRDefault="00711444" w:rsidP="00AA2A4C"/>
        </w:tc>
        <w:tc>
          <w:tcPr>
            <w:tcW w:w="624" w:type="dxa"/>
          </w:tcPr>
          <w:p w14:paraId="597A7FF0" w14:textId="77777777" w:rsidR="00711444" w:rsidRPr="004D0DAA" w:rsidRDefault="00711444" w:rsidP="00AA2A4C"/>
        </w:tc>
        <w:tc>
          <w:tcPr>
            <w:tcW w:w="624" w:type="dxa"/>
          </w:tcPr>
          <w:p w14:paraId="4B8B0A94" w14:textId="77777777" w:rsidR="00711444" w:rsidRPr="004D0DAA" w:rsidRDefault="00711444" w:rsidP="00AA2A4C"/>
        </w:tc>
        <w:tc>
          <w:tcPr>
            <w:tcW w:w="624" w:type="dxa"/>
          </w:tcPr>
          <w:p w14:paraId="3021BB4A" w14:textId="77777777" w:rsidR="00711444" w:rsidRPr="004D0DAA" w:rsidRDefault="00711444" w:rsidP="00AA2A4C"/>
        </w:tc>
        <w:tc>
          <w:tcPr>
            <w:tcW w:w="624" w:type="dxa"/>
          </w:tcPr>
          <w:p w14:paraId="191AD276" w14:textId="77777777" w:rsidR="00711444" w:rsidRPr="004D0DAA" w:rsidRDefault="00711444" w:rsidP="00AA2A4C"/>
        </w:tc>
        <w:tc>
          <w:tcPr>
            <w:tcW w:w="624" w:type="dxa"/>
            <w:tcBorders>
              <w:right w:val="single" w:sz="6" w:space="0" w:color="auto"/>
            </w:tcBorders>
          </w:tcPr>
          <w:p w14:paraId="3508C4C5" w14:textId="77777777" w:rsidR="00711444" w:rsidRPr="004D0DAA" w:rsidRDefault="00711444" w:rsidP="00AA2A4C"/>
        </w:tc>
        <w:tc>
          <w:tcPr>
            <w:tcW w:w="1701" w:type="dxa"/>
            <w:tcBorders>
              <w:bottom w:val="single" w:sz="6" w:space="0" w:color="FFFFFF"/>
            </w:tcBorders>
          </w:tcPr>
          <w:p w14:paraId="2C71937B" w14:textId="77777777" w:rsidR="00711444" w:rsidRPr="004D0DAA" w:rsidRDefault="00711444" w:rsidP="00AA2A4C">
            <w:pPr>
              <w:pStyle w:val="TAC"/>
              <w:rPr>
                <w:lang w:eastAsia="en-US"/>
              </w:rPr>
            </w:pPr>
            <w:r w:rsidRPr="004D0DAA">
              <w:rPr>
                <w:lang w:eastAsia="en-US"/>
              </w:rPr>
              <w:t>Octet 22</w:t>
            </w:r>
          </w:p>
        </w:tc>
        <w:tc>
          <w:tcPr>
            <w:tcW w:w="1567" w:type="dxa"/>
            <w:tcBorders>
              <w:left w:val="single" w:sz="6" w:space="0" w:color="auto"/>
              <w:right w:val="single" w:sz="6" w:space="0" w:color="auto"/>
            </w:tcBorders>
          </w:tcPr>
          <w:p w14:paraId="1C33AE54" w14:textId="77777777" w:rsidR="00711444" w:rsidRPr="004D0DAA" w:rsidRDefault="00711444" w:rsidP="00AA2A4C">
            <w:pPr>
              <w:pStyle w:val="TAC"/>
              <w:rPr>
                <w:lang w:eastAsia="en-US"/>
              </w:rPr>
            </w:pPr>
          </w:p>
        </w:tc>
      </w:tr>
      <w:tr w:rsidR="00711444" w:rsidRPr="004D0DAA" w14:paraId="189F1C34" w14:textId="77777777" w:rsidTr="00AA2A4C">
        <w:tblPrEx>
          <w:tblCellMar>
            <w:top w:w="0" w:type="dxa"/>
            <w:bottom w:w="0" w:type="dxa"/>
          </w:tblCellMar>
        </w:tblPrEx>
        <w:trPr>
          <w:cantSplit/>
        </w:trPr>
        <w:tc>
          <w:tcPr>
            <w:tcW w:w="871" w:type="dxa"/>
            <w:tcBorders>
              <w:top w:val="single" w:sz="6" w:space="0" w:color="auto"/>
            </w:tcBorders>
          </w:tcPr>
          <w:p w14:paraId="5192ACD5" w14:textId="77777777" w:rsidR="00711444" w:rsidRPr="004D0DAA" w:rsidRDefault="00711444" w:rsidP="00AA2A4C"/>
        </w:tc>
        <w:tc>
          <w:tcPr>
            <w:tcW w:w="624" w:type="dxa"/>
            <w:tcBorders>
              <w:top w:val="single" w:sz="6" w:space="0" w:color="auto"/>
            </w:tcBorders>
          </w:tcPr>
          <w:p w14:paraId="02FD55FA" w14:textId="77777777" w:rsidR="00711444" w:rsidRPr="004D0DAA" w:rsidRDefault="00711444" w:rsidP="00AA2A4C"/>
        </w:tc>
        <w:tc>
          <w:tcPr>
            <w:tcW w:w="624" w:type="dxa"/>
            <w:tcBorders>
              <w:top w:val="single" w:sz="6" w:space="0" w:color="auto"/>
            </w:tcBorders>
          </w:tcPr>
          <w:p w14:paraId="4BD80F31" w14:textId="77777777" w:rsidR="00711444" w:rsidRPr="004D0DAA" w:rsidRDefault="00711444" w:rsidP="00AA2A4C"/>
        </w:tc>
        <w:tc>
          <w:tcPr>
            <w:tcW w:w="624" w:type="dxa"/>
            <w:tcBorders>
              <w:top w:val="single" w:sz="6" w:space="0" w:color="auto"/>
            </w:tcBorders>
          </w:tcPr>
          <w:p w14:paraId="3ACBAD8F" w14:textId="77777777" w:rsidR="00711444" w:rsidRPr="004D0DAA" w:rsidRDefault="00711444" w:rsidP="00AA2A4C"/>
        </w:tc>
        <w:tc>
          <w:tcPr>
            <w:tcW w:w="624" w:type="dxa"/>
            <w:tcBorders>
              <w:top w:val="single" w:sz="6" w:space="0" w:color="auto"/>
            </w:tcBorders>
          </w:tcPr>
          <w:p w14:paraId="32CE20DD" w14:textId="77777777" w:rsidR="00711444" w:rsidRPr="004D0DAA" w:rsidRDefault="00711444" w:rsidP="00AA2A4C"/>
        </w:tc>
        <w:tc>
          <w:tcPr>
            <w:tcW w:w="624" w:type="dxa"/>
            <w:tcBorders>
              <w:top w:val="single" w:sz="6" w:space="0" w:color="auto"/>
            </w:tcBorders>
          </w:tcPr>
          <w:p w14:paraId="28CF96ED" w14:textId="77777777" w:rsidR="00711444" w:rsidRPr="004D0DAA" w:rsidRDefault="00711444" w:rsidP="00AA2A4C"/>
        </w:tc>
        <w:tc>
          <w:tcPr>
            <w:tcW w:w="624" w:type="dxa"/>
            <w:tcBorders>
              <w:top w:val="single" w:sz="6" w:space="0" w:color="auto"/>
            </w:tcBorders>
          </w:tcPr>
          <w:p w14:paraId="3EDDD75E" w14:textId="77777777" w:rsidR="00711444" w:rsidRPr="004D0DAA" w:rsidRDefault="00711444" w:rsidP="00AA2A4C"/>
        </w:tc>
        <w:tc>
          <w:tcPr>
            <w:tcW w:w="624" w:type="dxa"/>
            <w:tcBorders>
              <w:top w:val="single" w:sz="6" w:space="0" w:color="auto"/>
            </w:tcBorders>
          </w:tcPr>
          <w:p w14:paraId="5F9BFFBF" w14:textId="77777777" w:rsidR="00711444" w:rsidRPr="004D0DAA" w:rsidRDefault="00711444" w:rsidP="00AA2A4C"/>
        </w:tc>
        <w:tc>
          <w:tcPr>
            <w:tcW w:w="1701" w:type="dxa"/>
            <w:tcBorders>
              <w:bottom w:val="single" w:sz="6" w:space="0" w:color="FFFFFF"/>
            </w:tcBorders>
          </w:tcPr>
          <w:p w14:paraId="7EAF30FA" w14:textId="77777777" w:rsidR="00711444" w:rsidRPr="004D0DAA" w:rsidRDefault="00711444" w:rsidP="00AA2A4C"/>
        </w:tc>
        <w:tc>
          <w:tcPr>
            <w:tcW w:w="1567" w:type="dxa"/>
            <w:tcBorders>
              <w:left w:val="single" w:sz="6" w:space="0" w:color="auto"/>
              <w:right w:val="single" w:sz="6" w:space="0" w:color="auto"/>
            </w:tcBorders>
          </w:tcPr>
          <w:p w14:paraId="21F6EAEC" w14:textId="77777777" w:rsidR="00711444" w:rsidRPr="004D0DAA" w:rsidRDefault="00711444" w:rsidP="00AA2A4C">
            <w:pPr>
              <w:pStyle w:val="TAC"/>
              <w:rPr>
                <w:lang w:eastAsia="en-US"/>
              </w:rPr>
            </w:pPr>
          </w:p>
        </w:tc>
      </w:tr>
      <w:tr w:rsidR="00711444" w:rsidRPr="004D0DAA" w14:paraId="183856EA" w14:textId="77777777" w:rsidTr="00AA2A4C">
        <w:tblPrEx>
          <w:tblCellMar>
            <w:top w:w="0" w:type="dxa"/>
            <w:bottom w:w="0" w:type="dxa"/>
          </w:tblCellMar>
        </w:tblPrEx>
        <w:trPr>
          <w:cantSplit/>
        </w:trPr>
        <w:tc>
          <w:tcPr>
            <w:tcW w:w="871" w:type="dxa"/>
            <w:tcBorders>
              <w:top w:val="single" w:sz="6" w:space="0" w:color="auto"/>
            </w:tcBorders>
          </w:tcPr>
          <w:p w14:paraId="2B09C0C6" w14:textId="77777777" w:rsidR="00711444" w:rsidRPr="004D0DAA" w:rsidRDefault="00711444" w:rsidP="00AA2A4C"/>
        </w:tc>
        <w:tc>
          <w:tcPr>
            <w:tcW w:w="624" w:type="dxa"/>
            <w:tcBorders>
              <w:top w:val="single" w:sz="6" w:space="0" w:color="auto"/>
            </w:tcBorders>
          </w:tcPr>
          <w:p w14:paraId="30352327" w14:textId="77777777" w:rsidR="00711444" w:rsidRPr="004D0DAA" w:rsidRDefault="00711444" w:rsidP="00AA2A4C"/>
        </w:tc>
        <w:tc>
          <w:tcPr>
            <w:tcW w:w="624" w:type="dxa"/>
            <w:tcBorders>
              <w:top w:val="single" w:sz="6" w:space="0" w:color="auto"/>
            </w:tcBorders>
          </w:tcPr>
          <w:p w14:paraId="019263FE" w14:textId="77777777" w:rsidR="00711444" w:rsidRPr="004D0DAA" w:rsidRDefault="00711444" w:rsidP="00AA2A4C"/>
        </w:tc>
        <w:tc>
          <w:tcPr>
            <w:tcW w:w="624" w:type="dxa"/>
            <w:tcBorders>
              <w:top w:val="single" w:sz="6" w:space="0" w:color="auto"/>
            </w:tcBorders>
          </w:tcPr>
          <w:p w14:paraId="6812AC10" w14:textId="77777777" w:rsidR="00711444" w:rsidRPr="004D0DAA" w:rsidRDefault="00711444" w:rsidP="00AA2A4C"/>
        </w:tc>
        <w:tc>
          <w:tcPr>
            <w:tcW w:w="624" w:type="dxa"/>
            <w:tcBorders>
              <w:top w:val="single" w:sz="6" w:space="0" w:color="auto"/>
            </w:tcBorders>
          </w:tcPr>
          <w:p w14:paraId="2F5FC2C6" w14:textId="77777777" w:rsidR="00711444" w:rsidRPr="004D0DAA" w:rsidRDefault="00711444" w:rsidP="00AA2A4C"/>
        </w:tc>
        <w:tc>
          <w:tcPr>
            <w:tcW w:w="624" w:type="dxa"/>
            <w:tcBorders>
              <w:top w:val="single" w:sz="6" w:space="0" w:color="auto"/>
            </w:tcBorders>
          </w:tcPr>
          <w:p w14:paraId="07BFE686" w14:textId="77777777" w:rsidR="00711444" w:rsidRPr="004D0DAA" w:rsidRDefault="00711444" w:rsidP="00AA2A4C"/>
        </w:tc>
        <w:tc>
          <w:tcPr>
            <w:tcW w:w="624" w:type="dxa"/>
            <w:tcBorders>
              <w:top w:val="single" w:sz="6" w:space="0" w:color="auto"/>
            </w:tcBorders>
          </w:tcPr>
          <w:p w14:paraId="67FB45D2" w14:textId="77777777" w:rsidR="00711444" w:rsidRPr="004D0DAA" w:rsidRDefault="00711444" w:rsidP="00AA2A4C"/>
        </w:tc>
        <w:tc>
          <w:tcPr>
            <w:tcW w:w="624" w:type="dxa"/>
            <w:tcBorders>
              <w:top w:val="single" w:sz="6" w:space="0" w:color="auto"/>
            </w:tcBorders>
          </w:tcPr>
          <w:p w14:paraId="2DB26A66" w14:textId="77777777" w:rsidR="00711444" w:rsidRPr="004D0DAA" w:rsidRDefault="00711444" w:rsidP="00AA2A4C"/>
        </w:tc>
        <w:tc>
          <w:tcPr>
            <w:tcW w:w="1701" w:type="dxa"/>
            <w:tcBorders>
              <w:bottom w:val="single" w:sz="6" w:space="0" w:color="FFFFFF"/>
            </w:tcBorders>
          </w:tcPr>
          <w:p w14:paraId="30A88E1E" w14:textId="77777777" w:rsidR="00711444" w:rsidRPr="004D0DAA" w:rsidRDefault="00711444" w:rsidP="00AA2A4C"/>
        </w:tc>
        <w:tc>
          <w:tcPr>
            <w:tcW w:w="1567" w:type="dxa"/>
          </w:tcPr>
          <w:p w14:paraId="4D60DE2E" w14:textId="77777777" w:rsidR="00711444" w:rsidRPr="004D0DAA" w:rsidRDefault="00711444" w:rsidP="00AA2A4C">
            <w:pPr>
              <w:pStyle w:val="TAC"/>
              <w:rPr>
                <w:lang w:eastAsia="en-US"/>
              </w:rPr>
            </w:pPr>
          </w:p>
        </w:tc>
      </w:tr>
    </w:tbl>
    <w:p w14:paraId="446B1E6F" w14:textId="77777777" w:rsidR="00711444" w:rsidRPr="004D0DAA" w:rsidRDefault="00711444" w:rsidP="00711444">
      <w:pPr>
        <w:pStyle w:val="TAC"/>
      </w:pPr>
    </w:p>
    <w:p w14:paraId="5C7B507B" w14:textId="77777777" w:rsidR="00711444" w:rsidRPr="004D0DAA" w:rsidRDefault="00711444" w:rsidP="00711444">
      <w:pPr>
        <w:pStyle w:val="TF"/>
      </w:pPr>
      <w:r w:rsidRPr="004D0DAA">
        <w:t>Figure B.7: Example when Length indicator (LI) can be omitted</w:t>
      </w:r>
    </w:p>
    <w:p w14:paraId="01CB5574" w14:textId="77777777" w:rsidR="00711444" w:rsidRPr="004D0DAA" w:rsidRDefault="00711444" w:rsidP="00711444">
      <w:pPr>
        <w:pStyle w:val="Heading2"/>
      </w:pPr>
      <w:bookmarkStart w:id="888" w:name="_Toc516670061"/>
      <w:r w:rsidRPr="004D0DAA">
        <w:lastRenderedPageBreak/>
        <w:t>B.8</w:t>
      </w:r>
      <w:r w:rsidRPr="004D0DAA">
        <w:tab/>
        <w:t>RLC data block delimitation for EGPRS</w:t>
      </w:r>
      <w:bookmarkEnd w:id="888"/>
      <w:r w:rsidRPr="004D0DAA">
        <w:t xml:space="preserve"> </w:t>
      </w:r>
    </w:p>
    <w:p w14:paraId="709A03A7" w14:textId="77777777" w:rsidR="00711444" w:rsidRPr="004D0DAA" w:rsidRDefault="00711444" w:rsidP="00711444">
      <w:pPr>
        <w:pStyle w:val="Heading3"/>
      </w:pPr>
      <w:bookmarkStart w:id="889" w:name="_Toc516670062"/>
      <w:r w:rsidRPr="004D0DAA">
        <w:t>B.8.1</w:t>
      </w:r>
      <w:r w:rsidRPr="004D0DAA">
        <w:tab/>
        <w:t>Example 1</w:t>
      </w:r>
      <w:bookmarkEnd w:id="889"/>
    </w:p>
    <w:p w14:paraId="5F8B0691" w14:textId="77777777" w:rsidR="00711444" w:rsidRPr="004D0DAA" w:rsidRDefault="00711444" w:rsidP="00711444">
      <w:pPr>
        <w:keepNext/>
      </w:pPr>
      <w:r w:rsidRPr="004D0DAA">
        <w:t>Figure B.8 shows the first 2 RLC blocks of a TBF (Down-link). Only the last segment of a LLC PDU requires a length indicator.</w:t>
      </w:r>
    </w:p>
    <w:tbl>
      <w:tblPr>
        <w:tblW w:w="8260" w:type="dxa"/>
        <w:tblInd w:w="1693" w:type="dxa"/>
        <w:tblLayout w:type="fixed"/>
        <w:tblCellMar>
          <w:left w:w="37" w:type="dxa"/>
          <w:right w:w="37" w:type="dxa"/>
        </w:tblCellMar>
        <w:tblLook w:val="0000" w:firstRow="0" w:lastRow="0" w:firstColumn="0" w:lastColumn="0" w:noHBand="0" w:noVBand="0"/>
      </w:tblPr>
      <w:tblGrid>
        <w:gridCol w:w="624"/>
        <w:gridCol w:w="624"/>
        <w:gridCol w:w="624"/>
        <w:gridCol w:w="624"/>
        <w:gridCol w:w="624"/>
        <w:gridCol w:w="624"/>
        <w:gridCol w:w="624"/>
        <w:gridCol w:w="624"/>
        <w:gridCol w:w="1701"/>
        <w:gridCol w:w="1567"/>
      </w:tblGrid>
      <w:tr w:rsidR="00711444" w:rsidRPr="004D0DAA" w14:paraId="17BD0532" w14:textId="77777777" w:rsidTr="00AA2A4C">
        <w:tblPrEx>
          <w:tblCellMar>
            <w:top w:w="0" w:type="dxa"/>
            <w:bottom w:w="0" w:type="dxa"/>
          </w:tblCellMar>
        </w:tblPrEx>
        <w:trPr>
          <w:cantSplit/>
        </w:trPr>
        <w:tc>
          <w:tcPr>
            <w:tcW w:w="4992" w:type="dxa"/>
            <w:gridSpan w:val="8"/>
          </w:tcPr>
          <w:p w14:paraId="7387E4FB" w14:textId="77777777" w:rsidR="00711444" w:rsidRPr="004D0DAA" w:rsidRDefault="00711444" w:rsidP="00AA2A4C">
            <w:pPr>
              <w:pStyle w:val="TAC"/>
              <w:rPr>
                <w:lang w:eastAsia="en-US"/>
              </w:rPr>
            </w:pPr>
            <w:r w:rsidRPr="004D0DAA">
              <w:rPr>
                <w:lang w:eastAsia="en-US"/>
              </w:rPr>
              <w:t>1</w:t>
            </w:r>
            <w:r w:rsidRPr="004D0DAA">
              <w:rPr>
                <w:vertAlign w:val="superscript"/>
                <w:lang w:eastAsia="en-US"/>
              </w:rPr>
              <w:t>st</w:t>
            </w:r>
            <w:r w:rsidRPr="004D0DAA">
              <w:rPr>
                <w:lang w:eastAsia="en-US"/>
              </w:rPr>
              <w:t xml:space="preserve"> RLC Block</w:t>
            </w:r>
          </w:p>
        </w:tc>
        <w:tc>
          <w:tcPr>
            <w:tcW w:w="1701" w:type="dxa"/>
          </w:tcPr>
          <w:p w14:paraId="3F685823" w14:textId="77777777" w:rsidR="00711444" w:rsidRPr="004D0DAA" w:rsidRDefault="00711444" w:rsidP="00AA2A4C"/>
        </w:tc>
        <w:tc>
          <w:tcPr>
            <w:tcW w:w="1567" w:type="dxa"/>
          </w:tcPr>
          <w:p w14:paraId="210A005F" w14:textId="77777777" w:rsidR="00711444" w:rsidRPr="004D0DAA" w:rsidRDefault="00711444" w:rsidP="00AA2A4C">
            <w:pPr>
              <w:pStyle w:val="TAC"/>
              <w:rPr>
                <w:lang w:eastAsia="en-US"/>
              </w:rPr>
            </w:pPr>
            <w:r w:rsidRPr="004D0DAA">
              <w:rPr>
                <w:lang w:eastAsia="en-US"/>
              </w:rPr>
              <w:t>LLC PDU</w:t>
            </w:r>
          </w:p>
        </w:tc>
      </w:tr>
      <w:tr w:rsidR="00711444" w:rsidRPr="004D0DAA" w14:paraId="10111CAD" w14:textId="77777777" w:rsidTr="00AA2A4C">
        <w:tblPrEx>
          <w:tblCellMar>
            <w:top w:w="0" w:type="dxa"/>
            <w:bottom w:w="0" w:type="dxa"/>
          </w:tblCellMar>
        </w:tblPrEx>
        <w:trPr>
          <w:cantSplit/>
        </w:trPr>
        <w:tc>
          <w:tcPr>
            <w:tcW w:w="4992" w:type="dxa"/>
            <w:gridSpan w:val="8"/>
          </w:tcPr>
          <w:p w14:paraId="497D09FC" w14:textId="77777777" w:rsidR="00711444" w:rsidRPr="004D0DAA" w:rsidRDefault="00711444" w:rsidP="00AA2A4C">
            <w:pPr>
              <w:pStyle w:val="TAC"/>
              <w:rPr>
                <w:lang w:eastAsia="en-US"/>
              </w:rPr>
            </w:pPr>
            <w:r w:rsidRPr="004D0DAA">
              <w:rPr>
                <w:lang w:eastAsia="en-US"/>
              </w:rPr>
              <w:t>Bit</w:t>
            </w:r>
          </w:p>
        </w:tc>
        <w:tc>
          <w:tcPr>
            <w:tcW w:w="1701" w:type="dxa"/>
          </w:tcPr>
          <w:p w14:paraId="5CF4D293" w14:textId="77777777" w:rsidR="00711444" w:rsidRPr="004D0DAA" w:rsidRDefault="00711444" w:rsidP="00AA2A4C"/>
        </w:tc>
        <w:tc>
          <w:tcPr>
            <w:tcW w:w="1567" w:type="dxa"/>
          </w:tcPr>
          <w:p w14:paraId="373F3CED" w14:textId="77777777" w:rsidR="00711444" w:rsidRPr="004D0DAA" w:rsidRDefault="00711444" w:rsidP="00AA2A4C">
            <w:pPr>
              <w:pStyle w:val="TAC"/>
              <w:rPr>
                <w:lang w:eastAsia="en-US"/>
              </w:rPr>
            </w:pPr>
          </w:p>
        </w:tc>
      </w:tr>
      <w:tr w:rsidR="00711444" w:rsidRPr="004D0DAA" w14:paraId="75AF0DA9" w14:textId="77777777" w:rsidTr="00AA2A4C">
        <w:tblPrEx>
          <w:tblCellMar>
            <w:top w:w="0" w:type="dxa"/>
            <w:bottom w:w="0" w:type="dxa"/>
          </w:tblCellMar>
        </w:tblPrEx>
        <w:trPr>
          <w:cantSplit/>
        </w:trPr>
        <w:tc>
          <w:tcPr>
            <w:tcW w:w="624" w:type="dxa"/>
          </w:tcPr>
          <w:p w14:paraId="7B85E4BF" w14:textId="77777777" w:rsidR="00711444" w:rsidRPr="004D0DAA" w:rsidRDefault="00711444" w:rsidP="00AA2A4C">
            <w:pPr>
              <w:pStyle w:val="TAC"/>
              <w:rPr>
                <w:lang w:eastAsia="en-US"/>
              </w:rPr>
            </w:pPr>
            <w:r w:rsidRPr="004D0DAA">
              <w:rPr>
                <w:lang w:eastAsia="en-US"/>
              </w:rPr>
              <w:t>8</w:t>
            </w:r>
          </w:p>
        </w:tc>
        <w:tc>
          <w:tcPr>
            <w:tcW w:w="624" w:type="dxa"/>
          </w:tcPr>
          <w:p w14:paraId="5AA573AA" w14:textId="77777777" w:rsidR="00711444" w:rsidRPr="004D0DAA" w:rsidRDefault="00711444" w:rsidP="00AA2A4C">
            <w:pPr>
              <w:pStyle w:val="TAC"/>
              <w:rPr>
                <w:lang w:eastAsia="en-US"/>
              </w:rPr>
            </w:pPr>
            <w:r w:rsidRPr="004D0DAA">
              <w:rPr>
                <w:lang w:eastAsia="en-US"/>
              </w:rPr>
              <w:t>7</w:t>
            </w:r>
          </w:p>
        </w:tc>
        <w:tc>
          <w:tcPr>
            <w:tcW w:w="624" w:type="dxa"/>
          </w:tcPr>
          <w:p w14:paraId="18531967" w14:textId="77777777" w:rsidR="00711444" w:rsidRPr="004D0DAA" w:rsidRDefault="00711444" w:rsidP="00AA2A4C">
            <w:pPr>
              <w:pStyle w:val="TAC"/>
              <w:rPr>
                <w:lang w:eastAsia="en-US"/>
              </w:rPr>
            </w:pPr>
            <w:r w:rsidRPr="004D0DAA">
              <w:rPr>
                <w:lang w:eastAsia="en-US"/>
              </w:rPr>
              <w:t>6</w:t>
            </w:r>
          </w:p>
        </w:tc>
        <w:tc>
          <w:tcPr>
            <w:tcW w:w="624" w:type="dxa"/>
          </w:tcPr>
          <w:p w14:paraId="47023353" w14:textId="77777777" w:rsidR="00711444" w:rsidRPr="004D0DAA" w:rsidRDefault="00711444" w:rsidP="00AA2A4C">
            <w:pPr>
              <w:pStyle w:val="TAC"/>
              <w:rPr>
                <w:lang w:eastAsia="en-US"/>
              </w:rPr>
            </w:pPr>
            <w:r w:rsidRPr="004D0DAA">
              <w:rPr>
                <w:lang w:eastAsia="en-US"/>
              </w:rPr>
              <w:t>5</w:t>
            </w:r>
          </w:p>
        </w:tc>
        <w:tc>
          <w:tcPr>
            <w:tcW w:w="624" w:type="dxa"/>
          </w:tcPr>
          <w:p w14:paraId="3A77C5C1" w14:textId="77777777" w:rsidR="00711444" w:rsidRPr="004D0DAA" w:rsidRDefault="00711444" w:rsidP="00AA2A4C">
            <w:pPr>
              <w:pStyle w:val="TAC"/>
              <w:rPr>
                <w:lang w:eastAsia="en-US"/>
              </w:rPr>
            </w:pPr>
            <w:r w:rsidRPr="004D0DAA">
              <w:rPr>
                <w:lang w:eastAsia="en-US"/>
              </w:rPr>
              <w:t>4</w:t>
            </w:r>
          </w:p>
        </w:tc>
        <w:tc>
          <w:tcPr>
            <w:tcW w:w="624" w:type="dxa"/>
          </w:tcPr>
          <w:p w14:paraId="1FEA4559"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79731EB3" w14:textId="77777777" w:rsidR="00711444" w:rsidRPr="004D0DAA" w:rsidRDefault="00711444" w:rsidP="00AA2A4C">
            <w:pPr>
              <w:pStyle w:val="TAC"/>
              <w:rPr>
                <w:lang w:eastAsia="en-US"/>
              </w:rPr>
            </w:pPr>
            <w:r w:rsidRPr="004D0DAA">
              <w:rPr>
                <w:lang w:eastAsia="en-US"/>
              </w:rPr>
              <w:t>2</w:t>
            </w:r>
          </w:p>
        </w:tc>
        <w:tc>
          <w:tcPr>
            <w:tcW w:w="624" w:type="dxa"/>
          </w:tcPr>
          <w:p w14:paraId="506DC225" w14:textId="77777777" w:rsidR="00711444" w:rsidRPr="004D0DAA" w:rsidRDefault="00711444" w:rsidP="00AA2A4C">
            <w:pPr>
              <w:pStyle w:val="TAC"/>
              <w:rPr>
                <w:lang w:eastAsia="en-US"/>
              </w:rPr>
            </w:pPr>
            <w:r w:rsidRPr="004D0DAA">
              <w:rPr>
                <w:lang w:eastAsia="en-US"/>
              </w:rPr>
              <w:t>1</w:t>
            </w:r>
          </w:p>
        </w:tc>
        <w:tc>
          <w:tcPr>
            <w:tcW w:w="1701" w:type="dxa"/>
          </w:tcPr>
          <w:p w14:paraId="1DBDEEDE" w14:textId="77777777" w:rsidR="00711444" w:rsidRPr="004D0DAA" w:rsidRDefault="00711444" w:rsidP="00AA2A4C"/>
        </w:tc>
        <w:tc>
          <w:tcPr>
            <w:tcW w:w="1567" w:type="dxa"/>
          </w:tcPr>
          <w:p w14:paraId="1A8183EE" w14:textId="77777777" w:rsidR="00711444" w:rsidRPr="004D0DAA" w:rsidRDefault="00711444" w:rsidP="00AA2A4C">
            <w:pPr>
              <w:pStyle w:val="TAC"/>
              <w:rPr>
                <w:lang w:eastAsia="en-US"/>
              </w:rPr>
            </w:pPr>
          </w:p>
        </w:tc>
      </w:tr>
      <w:tr w:rsidR="00711444" w:rsidRPr="004D0DAA" w14:paraId="493FB6A8"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57AC022E" w14:textId="77777777" w:rsidR="00711444" w:rsidRPr="004D0DAA" w:rsidRDefault="00711444" w:rsidP="00AA2A4C"/>
        </w:tc>
        <w:tc>
          <w:tcPr>
            <w:tcW w:w="624" w:type="dxa"/>
            <w:tcBorders>
              <w:top w:val="single" w:sz="6" w:space="0" w:color="auto"/>
            </w:tcBorders>
          </w:tcPr>
          <w:p w14:paraId="7CDC8D3A" w14:textId="77777777" w:rsidR="00711444" w:rsidRPr="004D0DAA" w:rsidRDefault="00711444" w:rsidP="00AA2A4C"/>
        </w:tc>
        <w:tc>
          <w:tcPr>
            <w:tcW w:w="624" w:type="dxa"/>
            <w:tcBorders>
              <w:top w:val="single" w:sz="6" w:space="0" w:color="auto"/>
            </w:tcBorders>
          </w:tcPr>
          <w:p w14:paraId="3422E734" w14:textId="77777777" w:rsidR="00711444" w:rsidRPr="004D0DAA" w:rsidRDefault="00711444" w:rsidP="00AA2A4C"/>
        </w:tc>
        <w:tc>
          <w:tcPr>
            <w:tcW w:w="624" w:type="dxa"/>
            <w:tcBorders>
              <w:top w:val="single" w:sz="6" w:space="0" w:color="auto"/>
            </w:tcBorders>
          </w:tcPr>
          <w:p w14:paraId="3A0C768E" w14:textId="77777777" w:rsidR="00711444" w:rsidRPr="004D0DAA" w:rsidRDefault="00711444" w:rsidP="00AA2A4C"/>
        </w:tc>
        <w:tc>
          <w:tcPr>
            <w:tcW w:w="624" w:type="dxa"/>
            <w:tcBorders>
              <w:top w:val="single" w:sz="6" w:space="0" w:color="auto"/>
            </w:tcBorders>
          </w:tcPr>
          <w:p w14:paraId="0B2CF610" w14:textId="77777777" w:rsidR="00711444" w:rsidRPr="004D0DAA" w:rsidRDefault="00711444" w:rsidP="00AA2A4C"/>
        </w:tc>
        <w:tc>
          <w:tcPr>
            <w:tcW w:w="624" w:type="dxa"/>
            <w:tcBorders>
              <w:top w:val="single" w:sz="6" w:space="0" w:color="auto"/>
              <w:right w:val="single" w:sz="4" w:space="0" w:color="auto"/>
            </w:tcBorders>
          </w:tcPr>
          <w:p w14:paraId="56E87A6F"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2FADDE20"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3C2F3762" w14:textId="77777777" w:rsidR="00711444" w:rsidRPr="004D0DAA" w:rsidRDefault="00711444" w:rsidP="00AA2A4C">
            <w:pPr>
              <w:pStyle w:val="TAC"/>
              <w:rPr>
                <w:lang w:eastAsia="en-US"/>
              </w:rPr>
            </w:pPr>
            <w:r w:rsidRPr="004D0DAA">
              <w:rPr>
                <w:lang w:eastAsia="en-US"/>
              </w:rPr>
              <w:t>E = 0</w:t>
            </w:r>
          </w:p>
        </w:tc>
        <w:tc>
          <w:tcPr>
            <w:tcW w:w="1701" w:type="dxa"/>
          </w:tcPr>
          <w:p w14:paraId="7A6C888F" w14:textId="77777777" w:rsidR="00711444" w:rsidRPr="004D0DAA" w:rsidRDefault="00711444" w:rsidP="00AA2A4C">
            <w:pPr>
              <w:pStyle w:val="TAC"/>
              <w:rPr>
                <w:lang w:eastAsia="en-US"/>
              </w:rPr>
            </w:pPr>
            <w:r w:rsidRPr="004D0DAA">
              <w:rPr>
                <w:lang w:eastAsia="en-US"/>
              </w:rPr>
              <w:t xml:space="preserve"> </w:t>
            </w:r>
          </w:p>
        </w:tc>
        <w:tc>
          <w:tcPr>
            <w:tcW w:w="1567" w:type="dxa"/>
          </w:tcPr>
          <w:p w14:paraId="30BFCD9C" w14:textId="77777777" w:rsidR="00711444" w:rsidRPr="004D0DAA" w:rsidRDefault="00711444" w:rsidP="00AA2A4C">
            <w:pPr>
              <w:pStyle w:val="TAC"/>
              <w:rPr>
                <w:lang w:eastAsia="en-US"/>
              </w:rPr>
            </w:pPr>
          </w:p>
        </w:tc>
      </w:tr>
      <w:tr w:rsidR="00711444" w:rsidRPr="004D0DAA" w14:paraId="1C001319" w14:textId="77777777" w:rsidTr="00AA2A4C">
        <w:tblPrEx>
          <w:tblCellMar>
            <w:top w:w="0" w:type="dxa"/>
            <w:bottom w:w="0" w:type="dxa"/>
          </w:tblCellMar>
        </w:tblPrEx>
        <w:trPr>
          <w:cantSplit/>
        </w:trPr>
        <w:tc>
          <w:tcPr>
            <w:tcW w:w="4368" w:type="dxa"/>
            <w:gridSpan w:val="7"/>
            <w:tcBorders>
              <w:top w:val="single" w:sz="6" w:space="0" w:color="auto"/>
              <w:left w:val="single" w:sz="6" w:space="0" w:color="auto"/>
              <w:right w:val="single" w:sz="6" w:space="0" w:color="auto"/>
            </w:tcBorders>
          </w:tcPr>
          <w:p w14:paraId="2C4F34D5" w14:textId="77777777" w:rsidR="00711444" w:rsidRPr="004D0DAA" w:rsidRDefault="00711444" w:rsidP="00AA2A4C">
            <w:pPr>
              <w:pStyle w:val="TAC"/>
              <w:rPr>
                <w:lang w:eastAsia="en-US"/>
              </w:rPr>
            </w:pPr>
            <w:r w:rsidRPr="004D0DAA">
              <w:rPr>
                <w:lang w:eastAsia="en-US"/>
              </w:rPr>
              <w:t>Length indicator = 11</w:t>
            </w:r>
          </w:p>
        </w:tc>
        <w:tc>
          <w:tcPr>
            <w:tcW w:w="624" w:type="dxa"/>
            <w:tcBorders>
              <w:top w:val="single" w:sz="6" w:space="0" w:color="auto"/>
              <w:left w:val="single" w:sz="6" w:space="0" w:color="auto"/>
              <w:bottom w:val="single" w:sz="6" w:space="0" w:color="auto"/>
              <w:right w:val="single" w:sz="6" w:space="0" w:color="auto"/>
            </w:tcBorders>
          </w:tcPr>
          <w:p w14:paraId="75AA9522" w14:textId="77777777" w:rsidR="00711444" w:rsidRPr="004D0DAA" w:rsidRDefault="00711444" w:rsidP="00AA2A4C">
            <w:pPr>
              <w:pStyle w:val="TAC"/>
              <w:rPr>
                <w:lang w:eastAsia="en-US"/>
              </w:rPr>
            </w:pPr>
            <w:r w:rsidRPr="004D0DAA">
              <w:rPr>
                <w:lang w:eastAsia="en-US"/>
              </w:rPr>
              <w:t>E = 0</w:t>
            </w:r>
          </w:p>
        </w:tc>
        <w:tc>
          <w:tcPr>
            <w:tcW w:w="1701" w:type="dxa"/>
            <w:tcBorders>
              <w:left w:val="single" w:sz="6" w:space="0" w:color="auto"/>
            </w:tcBorders>
          </w:tcPr>
          <w:p w14:paraId="2C283DAD" w14:textId="77777777" w:rsidR="00711444" w:rsidRPr="004D0DAA" w:rsidRDefault="00711444" w:rsidP="00AA2A4C">
            <w:pPr>
              <w:pStyle w:val="TAC"/>
              <w:rPr>
                <w:lang w:eastAsia="en-US"/>
              </w:rPr>
            </w:pPr>
            <w:r w:rsidRPr="004D0DAA">
              <w:rPr>
                <w:lang w:eastAsia="en-US"/>
              </w:rPr>
              <w:t>Octet 1</w:t>
            </w:r>
          </w:p>
        </w:tc>
        <w:tc>
          <w:tcPr>
            <w:tcW w:w="1567" w:type="dxa"/>
          </w:tcPr>
          <w:p w14:paraId="1ED2E74C" w14:textId="77777777" w:rsidR="00711444" w:rsidRPr="004D0DAA" w:rsidRDefault="00711444" w:rsidP="00AA2A4C">
            <w:pPr>
              <w:pStyle w:val="TAC"/>
              <w:rPr>
                <w:lang w:eastAsia="en-US"/>
              </w:rPr>
            </w:pPr>
          </w:p>
        </w:tc>
      </w:tr>
      <w:tr w:rsidR="00711444" w:rsidRPr="004D0DAA" w14:paraId="7E875F21" w14:textId="77777777" w:rsidTr="00AA2A4C">
        <w:tblPrEx>
          <w:tblCellMar>
            <w:top w:w="0" w:type="dxa"/>
            <w:bottom w:w="0" w:type="dxa"/>
          </w:tblCellMar>
        </w:tblPrEx>
        <w:trPr>
          <w:cantSplit/>
        </w:trPr>
        <w:tc>
          <w:tcPr>
            <w:tcW w:w="4368" w:type="dxa"/>
            <w:gridSpan w:val="7"/>
            <w:tcBorders>
              <w:top w:val="single" w:sz="6" w:space="0" w:color="auto"/>
              <w:left w:val="single" w:sz="6" w:space="0" w:color="auto"/>
              <w:bottom w:val="single" w:sz="6" w:space="0" w:color="auto"/>
              <w:right w:val="single" w:sz="6" w:space="0" w:color="auto"/>
            </w:tcBorders>
          </w:tcPr>
          <w:p w14:paraId="49E95A4F" w14:textId="77777777" w:rsidR="00711444" w:rsidRPr="004D0DAA" w:rsidRDefault="00711444" w:rsidP="00AA2A4C">
            <w:pPr>
              <w:pStyle w:val="TAC"/>
              <w:rPr>
                <w:lang w:eastAsia="en-US"/>
              </w:rPr>
            </w:pPr>
            <w:r w:rsidRPr="004D0DAA">
              <w:rPr>
                <w:lang w:eastAsia="en-US"/>
              </w:rPr>
              <w:t>Length indicator = 26</w:t>
            </w:r>
          </w:p>
        </w:tc>
        <w:tc>
          <w:tcPr>
            <w:tcW w:w="624" w:type="dxa"/>
            <w:tcBorders>
              <w:top w:val="single" w:sz="6" w:space="0" w:color="auto"/>
              <w:left w:val="single" w:sz="6" w:space="0" w:color="auto"/>
              <w:bottom w:val="single" w:sz="6" w:space="0" w:color="auto"/>
              <w:right w:val="single" w:sz="6" w:space="0" w:color="auto"/>
            </w:tcBorders>
          </w:tcPr>
          <w:p w14:paraId="183A5355"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109B9410" w14:textId="77777777" w:rsidR="00711444" w:rsidRPr="004D0DAA" w:rsidRDefault="00711444" w:rsidP="00AA2A4C">
            <w:pPr>
              <w:pStyle w:val="TAC"/>
              <w:rPr>
                <w:lang w:eastAsia="en-US"/>
              </w:rPr>
            </w:pPr>
            <w:r w:rsidRPr="004D0DAA">
              <w:rPr>
                <w:lang w:eastAsia="en-US"/>
              </w:rPr>
              <w:t>Octet 2</w:t>
            </w:r>
          </w:p>
        </w:tc>
        <w:tc>
          <w:tcPr>
            <w:tcW w:w="1567" w:type="dxa"/>
            <w:tcBorders>
              <w:bottom w:val="single" w:sz="4" w:space="0" w:color="auto"/>
            </w:tcBorders>
          </w:tcPr>
          <w:p w14:paraId="3B8BD56C" w14:textId="77777777" w:rsidR="00711444" w:rsidRPr="004D0DAA" w:rsidRDefault="00711444" w:rsidP="00AA2A4C">
            <w:pPr>
              <w:pStyle w:val="TAC"/>
              <w:rPr>
                <w:lang w:eastAsia="en-US"/>
              </w:rPr>
            </w:pPr>
          </w:p>
        </w:tc>
      </w:tr>
      <w:tr w:rsidR="00711444" w:rsidRPr="004D0DAA" w14:paraId="3C2480C7" w14:textId="77777777" w:rsidTr="00AA2A4C">
        <w:tblPrEx>
          <w:tblCellMar>
            <w:top w:w="0" w:type="dxa"/>
            <w:bottom w:w="0" w:type="dxa"/>
          </w:tblCellMar>
        </w:tblPrEx>
        <w:trPr>
          <w:cantSplit/>
        </w:trPr>
        <w:tc>
          <w:tcPr>
            <w:tcW w:w="624" w:type="dxa"/>
            <w:tcBorders>
              <w:left w:val="single" w:sz="6" w:space="0" w:color="auto"/>
            </w:tcBorders>
          </w:tcPr>
          <w:p w14:paraId="2A597F75" w14:textId="77777777" w:rsidR="00711444" w:rsidRPr="004D0DAA" w:rsidRDefault="00711444" w:rsidP="00AA2A4C"/>
        </w:tc>
        <w:tc>
          <w:tcPr>
            <w:tcW w:w="624" w:type="dxa"/>
          </w:tcPr>
          <w:p w14:paraId="467B78C1" w14:textId="77777777" w:rsidR="00711444" w:rsidRPr="004D0DAA" w:rsidRDefault="00711444" w:rsidP="00AA2A4C"/>
        </w:tc>
        <w:tc>
          <w:tcPr>
            <w:tcW w:w="624" w:type="dxa"/>
          </w:tcPr>
          <w:p w14:paraId="09D4685F" w14:textId="77777777" w:rsidR="00711444" w:rsidRPr="004D0DAA" w:rsidRDefault="00711444" w:rsidP="00AA2A4C"/>
        </w:tc>
        <w:tc>
          <w:tcPr>
            <w:tcW w:w="624" w:type="dxa"/>
          </w:tcPr>
          <w:p w14:paraId="34B4B956" w14:textId="77777777" w:rsidR="00711444" w:rsidRPr="004D0DAA" w:rsidRDefault="00711444" w:rsidP="00AA2A4C"/>
        </w:tc>
        <w:tc>
          <w:tcPr>
            <w:tcW w:w="624" w:type="dxa"/>
          </w:tcPr>
          <w:p w14:paraId="1436F442" w14:textId="77777777" w:rsidR="00711444" w:rsidRPr="004D0DAA" w:rsidRDefault="00711444" w:rsidP="00AA2A4C"/>
        </w:tc>
        <w:tc>
          <w:tcPr>
            <w:tcW w:w="624" w:type="dxa"/>
          </w:tcPr>
          <w:p w14:paraId="1B453D8E" w14:textId="77777777" w:rsidR="00711444" w:rsidRPr="004D0DAA" w:rsidRDefault="00711444" w:rsidP="00AA2A4C"/>
        </w:tc>
        <w:tc>
          <w:tcPr>
            <w:tcW w:w="624" w:type="dxa"/>
          </w:tcPr>
          <w:p w14:paraId="4A571F31" w14:textId="77777777" w:rsidR="00711444" w:rsidRPr="004D0DAA" w:rsidRDefault="00711444" w:rsidP="00AA2A4C"/>
        </w:tc>
        <w:tc>
          <w:tcPr>
            <w:tcW w:w="624" w:type="dxa"/>
            <w:tcBorders>
              <w:right w:val="single" w:sz="6" w:space="0" w:color="auto"/>
            </w:tcBorders>
          </w:tcPr>
          <w:p w14:paraId="0B5473E5" w14:textId="77777777" w:rsidR="00711444" w:rsidRPr="004D0DAA" w:rsidRDefault="00711444" w:rsidP="00AA2A4C"/>
        </w:tc>
        <w:tc>
          <w:tcPr>
            <w:tcW w:w="1701" w:type="dxa"/>
            <w:tcBorders>
              <w:right w:val="single" w:sz="4" w:space="0" w:color="auto"/>
            </w:tcBorders>
          </w:tcPr>
          <w:p w14:paraId="41EECA8B" w14:textId="77777777" w:rsidR="00711444" w:rsidRPr="004D0DAA" w:rsidRDefault="00711444" w:rsidP="00AA2A4C">
            <w:pPr>
              <w:pStyle w:val="TAC"/>
              <w:rPr>
                <w:lang w:eastAsia="en-US"/>
              </w:rPr>
            </w:pPr>
            <w:r w:rsidRPr="004D0DAA">
              <w:rPr>
                <w:lang w:eastAsia="en-US"/>
              </w:rPr>
              <w:t>Octet 3</w:t>
            </w:r>
          </w:p>
        </w:tc>
        <w:tc>
          <w:tcPr>
            <w:tcW w:w="1567" w:type="dxa"/>
            <w:tcBorders>
              <w:top w:val="single" w:sz="4" w:space="0" w:color="auto"/>
              <w:left w:val="single" w:sz="4" w:space="0" w:color="auto"/>
              <w:right w:val="single" w:sz="4" w:space="0" w:color="auto"/>
            </w:tcBorders>
          </w:tcPr>
          <w:p w14:paraId="00DD12BD" w14:textId="77777777" w:rsidR="00711444" w:rsidRPr="004D0DAA" w:rsidRDefault="00711444" w:rsidP="00AA2A4C">
            <w:pPr>
              <w:pStyle w:val="TAC"/>
              <w:rPr>
                <w:lang w:eastAsia="en-US"/>
              </w:rPr>
            </w:pPr>
          </w:p>
        </w:tc>
      </w:tr>
      <w:tr w:rsidR="00711444" w:rsidRPr="004D0DAA" w14:paraId="677B50B9"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5F6D1AE6" w14:textId="77777777" w:rsidR="00711444" w:rsidRPr="004D0DAA" w:rsidRDefault="00711444" w:rsidP="00AA2A4C">
            <w:pPr>
              <w:pStyle w:val="TAC"/>
              <w:rPr>
                <w:lang w:eastAsia="en-US"/>
              </w:rPr>
            </w:pPr>
            <w:r w:rsidRPr="004D0DAA">
              <w:rPr>
                <w:lang w:eastAsia="en-US"/>
              </w:rPr>
              <w:br/>
              <w:t>LLC PDU 1 (cont)</w:t>
            </w:r>
          </w:p>
        </w:tc>
        <w:tc>
          <w:tcPr>
            <w:tcW w:w="1701" w:type="dxa"/>
            <w:tcBorders>
              <w:right w:val="single" w:sz="4" w:space="0" w:color="auto"/>
            </w:tcBorders>
          </w:tcPr>
          <w:p w14:paraId="77ADCF3B" w14:textId="77777777" w:rsidR="00711444" w:rsidRPr="004D0DAA" w:rsidRDefault="00711444" w:rsidP="00AA2A4C">
            <w:pPr>
              <w:pStyle w:val="TAC"/>
              <w:rPr>
                <w:lang w:eastAsia="en-US"/>
              </w:rPr>
            </w:pPr>
            <w:r w:rsidRPr="004D0DAA">
              <w:rPr>
                <w:lang w:eastAsia="en-US"/>
              </w:rPr>
              <w:t>.</w:t>
            </w:r>
          </w:p>
          <w:p w14:paraId="61F3F6EE" w14:textId="77777777" w:rsidR="00711444" w:rsidRPr="004D0DAA" w:rsidRDefault="00711444" w:rsidP="00AA2A4C">
            <w:pPr>
              <w:pStyle w:val="TAC"/>
              <w:rPr>
                <w:lang w:eastAsia="en-US"/>
              </w:rPr>
            </w:pPr>
            <w:r w:rsidRPr="004D0DAA">
              <w:rPr>
                <w:lang w:eastAsia="en-US"/>
              </w:rPr>
              <w:t>.</w:t>
            </w:r>
          </w:p>
          <w:p w14:paraId="6754E2E6"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3E91749C" w14:textId="77777777" w:rsidR="00711444" w:rsidRPr="004D0DAA" w:rsidRDefault="00711444" w:rsidP="00AA2A4C">
            <w:pPr>
              <w:pStyle w:val="TAC"/>
              <w:rPr>
                <w:lang w:eastAsia="en-US"/>
              </w:rPr>
            </w:pPr>
            <w:r w:rsidRPr="004D0DAA">
              <w:rPr>
                <w:lang w:eastAsia="en-US"/>
              </w:rPr>
              <w:t>LLC PDU 1</w:t>
            </w:r>
          </w:p>
          <w:p w14:paraId="6D336374" w14:textId="77777777" w:rsidR="00711444" w:rsidRPr="004D0DAA" w:rsidRDefault="00711444" w:rsidP="00AA2A4C">
            <w:pPr>
              <w:pStyle w:val="TAC"/>
              <w:rPr>
                <w:lang w:eastAsia="en-US"/>
              </w:rPr>
            </w:pPr>
            <w:r w:rsidRPr="004D0DAA">
              <w:rPr>
                <w:lang w:eastAsia="en-US"/>
              </w:rPr>
              <w:t>1</w:t>
            </w:r>
            <w:r w:rsidRPr="004D0DAA">
              <w:rPr>
                <w:vertAlign w:val="superscript"/>
                <w:lang w:eastAsia="en-US"/>
              </w:rPr>
              <w:t>st</w:t>
            </w:r>
            <w:r w:rsidRPr="004D0DAA">
              <w:rPr>
                <w:lang w:eastAsia="en-US"/>
              </w:rPr>
              <w:t xml:space="preserve"> PDU of the TBF</w:t>
            </w:r>
          </w:p>
        </w:tc>
      </w:tr>
      <w:tr w:rsidR="00711444" w:rsidRPr="004D0DAA" w14:paraId="159E2D5A"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00D4C584" w14:textId="77777777" w:rsidR="00711444" w:rsidRPr="004D0DAA" w:rsidRDefault="00711444" w:rsidP="00AA2A4C"/>
        </w:tc>
        <w:tc>
          <w:tcPr>
            <w:tcW w:w="624" w:type="dxa"/>
            <w:tcBorders>
              <w:bottom w:val="single" w:sz="6" w:space="0" w:color="auto"/>
            </w:tcBorders>
          </w:tcPr>
          <w:p w14:paraId="7DAA198A" w14:textId="77777777" w:rsidR="00711444" w:rsidRPr="004D0DAA" w:rsidRDefault="00711444" w:rsidP="00AA2A4C"/>
        </w:tc>
        <w:tc>
          <w:tcPr>
            <w:tcW w:w="624" w:type="dxa"/>
            <w:tcBorders>
              <w:bottom w:val="single" w:sz="6" w:space="0" w:color="auto"/>
            </w:tcBorders>
          </w:tcPr>
          <w:p w14:paraId="01A2B302" w14:textId="77777777" w:rsidR="00711444" w:rsidRPr="004D0DAA" w:rsidRDefault="00711444" w:rsidP="00AA2A4C"/>
        </w:tc>
        <w:tc>
          <w:tcPr>
            <w:tcW w:w="624" w:type="dxa"/>
            <w:tcBorders>
              <w:bottom w:val="single" w:sz="6" w:space="0" w:color="auto"/>
            </w:tcBorders>
          </w:tcPr>
          <w:p w14:paraId="59B9F3B8" w14:textId="77777777" w:rsidR="00711444" w:rsidRPr="004D0DAA" w:rsidRDefault="00711444" w:rsidP="00AA2A4C"/>
        </w:tc>
        <w:tc>
          <w:tcPr>
            <w:tcW w:w="624" w:type="dxa"/>
            <w:tcBorders>
              <w:bottom w:val="single" w:sz="6" w:space="0" w:color="auto"/>
            </w:tcBorders>
          </w:tcPr>
          <w:p w14:paraId="4DC7C930" w14:textId="77777777" w:rsidR="00711444" w:rsidRPr="004D0DAA" w:rsidRDefault="00711444" w:rsidP="00AA2A4C"/>
        </w:tc>
        <w:tc>
          <w:tcPr>
            <w:tcW w:w="624" w:type="dxa"/>
            <w:tcBorders>
              <w:bottom w:val="single" w:sz="6" w:space="0" w:color="auto"/>
            </w:tcBorders>
          </w:tcPr>
          <w:p w14:paraId="047E1899" w14:textId="77777777" w:rsidR="00711444" w:rsidRPr="004D0DAA" w:rsidRDefault="00711444" w:rsidP="00AA2A4C"/>
        </w:tc>
        <w:tc>
          <w:tcPr>
            <w:tcW w:w="624" w:type="dxa"/>
            <w:tcBorders>
              <w:bottom w:val="single" w:sz="6" w:space="0" w:color="auto"/>
            </w:tcBorders>
          </w:tcPr>
          <w:p w14:paraId="7482571B" w14:textId="77777777" w:rsidR="00711444" w:rsidRPr="004D0DAA" w:rsidRDefault="00711444" w:rsidP="00AA2A4C"/>
        </w:tc>
        <w:tc>
          <w:tcPr>
            <w:tcW w:w="624" w:type="dxa"/>
            <w:tcBorders>
              <w:bottom w:val="single" w:sz="6" w:space="0" w:color="auto"/>
              <w:right w:val="single" w:sz="6" w:space="0" w:color="auto"/>
            </w:tcBorders>
          </w:tcPr>
          <w:p w14:paraId="4754A97C" w14:textId="77777777" w:rsidR="00711444" w:rsidRPr="004D0DAA" w:rsidRDefault="00711444" w:rsidP="00AA2A4C"/>
        </w:tc>
        <w:tc>
          <w:tcPr>
            <w:tcW w:w="1701" w:type="dxa"/>
            <w:tcBorders>
              <w:right w:val="single" w:sz="4" w:space="0" w:color="auto"/>
            </w:tcBorders>
          </w:tcPr>
          <w:p w14:paraId="15F6CB7F" w14:textId="77777777" w:rsidR="00711444" w:rsidRPr="004D0DAA" w:rsidRDefault="00711444" w:rsidP="00AA2A4C">
            <w:pPr>
              <w:pStyle w:val="TAC"/>
              <w:rPr>
                <w:lang w:eastAsia="en-US"/>
              </w:rPr>
            </w:pPr>
            <w:r w:rsidRPr="004D0DAA">
              <w:rPr>
                <w:lang w:eastAsia="en-US"/>
              </w:rPr>
              <w:t>Octet 13</w:t>
            </w:r>
          </w:p>
        </w:tc>
        <w:tc>
          <w:tcPr>
            <w:tcW w:w="1567" w:type="dxa"/>
            <w:tcBorders>
              <w:left w:val="single" w:sz="4" w:space="0" w:color="auto"/>
              <w:bottom w:val="single" w:sz="4" w:space="0" w:color="auto"/>
              <w:right w:val="single" w:sz="4" w:space="0" w:color="auto"/>
            </w:tcBorders>
          </w:tcPr>
          <w:p w14:paraId="37E98B9F" w14:textId="77777777" w:rsidR="00711444" w:rsidRPr="004D0DAA" w:rsidRDefault="00711444" w:rsidP="00AA2A4C">
            <w:pPr>
              <w:pStyle w:val="TAC"/>
              <w:rPr>
                <w:lang w:eastAsia="en-US"/>
              </w:rPr>
            </w:pPr>
          </w:p>
        </w:tc>
      </w:tr>
      <w:tr w:rsidR="00711444" w:rsidRPr="004D0DAA" w14:paraId="0EF6663B" w14:textId="77777777" w:rsidTr="00AA2A4C">
        <w:tblPrEx>
          <w:tblCellMar>
            <w:top w:w="0" w:type="dxa"/>
            <w:bottom w:w="0" w:type="dxa"/>
          </w:tblCellMar>
        </w:tblPrEx>
        <w:trPr>
          <w:cantSplit/>
        </w:trPr>
        <w:tc>
          <w:tcPr>
            <w:tcW w:w="624" w:type="dxa"/>
            <w:tcBorders>
              <w:left w:val="single" w:sz="6" w:space="0" w:color="auto"/>
            </w:tcBorders>
          </w:tcPr>
          <w:p w14:paraId="703EA052" w14:textId="77777777" w:rsidR="00711444" w:rsidRPr="004D0DAA" w:rsidRDefault="00711444" w:rsidP="00AA2A4C"/>
        </w:tc>
        <w:tc>
          <w:tcPr>
            <w:tcW w:w="624" w:type="dxa"/>
          </w:tcPr>
          <w:p w14:paraId="2D9966B2" w14:textId="77777777" w:rsidR="00711444" w:rsidRPr="004D0DAA" w:rsidRDefault="00711444" w:rsidP="00AA2A4C"/>
        </w:tc>
        <w:tc>
          <w:tcPr>
            <w:tcW w:w="624" w:type="dxa"/>
          </w:tcPr>
          <w:p w14:paraId="71058CB5" w14:textId="77777777" w:rsidR="00711444" w:rsidRPr="004D0DAA" w:rsidRDefault="00711444" w:rsidP="00AA2A4C"/>
        </w:tc>
        <w:tc>
          <w:tcPr>
            <w:tcW w:w="624" w:type="dxa"/>
          </w:tcPr>
          <w:p w14:paraId="7CF3F7FB" w14:textId="77777777" w:rsidR="00711444" w:rsidRPr="004D0DAA" w:rsidRDefault="00711444" w:rsidP="00AA2A4C"/>
        </w:tc>
        <w:tc>
          <w:tcPr>
            <w:tcW w:w="624" w:type="dxa"/>
          </w:tcPr>
          <w:p w14:paraId="367D5EAE" w14:textId="77777777" w:rsidR="00711444" w:rsidRPr="004D0DAA" w:rsidRDefault="00711444" w:rsidP="00AA2A4C"/>
        </w:tc>
        <w:tc>
          <w:tcPr>
            <w:tcW w:w="624" w:type="dxa"/>
          </w:tcPr>
          <w:p w14:paraId="02A614DA" w14:textId="77777777" w:rsidR="00711444" w:rsidRPr="004D0DAA" w:rsidRDefault="00711444" w:rsidP="00AA2A4C"/>
        </w:tc>
        <w:tc>
          <w:tcPr>
            <w:tcW w:w="624" w:type="dxa"/>
          </w:tcPr>
          <w:p w14:paraId="387AA84B" w14:textId="77777777" w:rsidR="00711444" w:rsidRPr="004D0DAA" w:rsidRDefault="00711444" w:rsidP="00AA2A4C"/>
        </w:tc>
        <w:tc>
          <w:tcPr>
            <w:tcW w:w="624" w:type="dxa"/>
            <w:tcBorders>
              <w:right w:val="single" w:sz="6" w:space="0" w:color="auto"/>
            </w:tcBorders>
          </w:tcPr>
          <w:p w14:paraId="54970875" w14:textId="77777777" w:rsidR="00711444" w:rsidRPr="004D0DAA" w:rsidRDefault="00711444" w:rsidP="00AA2A4C"/>
        </w:tc>
        <w:tc>
          <w:tcPr>
            <w:tcW w:w="1701" w:type="dxa"/>
          </w:tcPr>
          <w:p w14:paraId="412C5EB9" w14:textId="77777777" w:rsidR="00711444" w:rsidRPr="004D0DAA" w:rsidRDefault="00711444" w:rsidP="00AA2A4C">
            <w:pPr>
              <w:pStyle w:val="TAC"/>
              <w:rPr>
                <w:lang w:eastAsia="en-US"/>
              </w:rPr>
            </w:pPr>
            <w:r w:rsidRPr="004D0DAA">
              <w:rPr>
                <w:lang w:eastAsia="en-US"/>
              </w:rPr>
              <w:t>Octet 14</w:t>
            </w:r>
          </w:p>
        </w:tc>
        <w:tc>
          <w:tcPr>
            <w:tcW w:w="1567" w:type="dxa"/>
            <w:tcBorders>
              <w:top w:val="single" w:sz="4" w:space="0" w:color="auto"/>
              <w:left w:val="single" w:sz="6" w:space="0" w:color="auto"/>
              <w:right w:val="single" w:sz="6" w:space="0" w:color="auto"/>
            </w:tcBorders>
          </w:tcPr>
          <w:p w14:paraId="5E3AC076" w14:textId="77777777" w:rsidR="00711444" w:rsidRPr="004D0DAA" w:rsidRDefault="00711444" w:rsidP="00AA2A4C">
            <w:pPr>
              <w:pStyle w:val="TAC"/>
              <w:rPr>
                <w:lang w:eastAsia="en-US"/>
              </w:rPr>
            </w:pPr>
          </w:p>
        </w:tc>
      </w:tr>
      <w:tr w:rsidR="00711444" w:rsidRPr="004D0DAA" w14:paraId="130F8569" w14:textId="77777777" w:rsidTr="00AA2A4C">
        <w:tblPrEx>
          <w:tblCellMar>
            <w:top w:w="0" w:type="dxa"/>
            <w:bottom w:w="0" w:type="dxa"/>
          </w:tblCellMar>
        </w:tblPrEx>
        <w:trPr>
          <w:cantSplit/>
        </w:trPr>
        <w:tc>
          <w:tcPr>
            <w:tcW w:w="624" w:type="dxa"/>
            <w:tcBorders>
              <w:left w:val="single" w:sz="6" w:space="0" w:color="auto"/>
            </w:tcBorders>
          </w:tcPr>
          <w:p w14:paraId="1DBCA679" w14:textId="77777777" w:rsidR="00711444" w:rsidRPr="004D0DAA" w:rsidRDefault="00711444" w:rsidP="00AA2A4C"/>
        </w:tc>
        <w:tc>
          <w:tcPr>
            <w:tcW w:w="624" w:type="dxa"/>
          </w:tcPr>
          <w:p w14:paraId="694B3CE8" w14:textId="77777777" w:rsidR="00711444" w:rsidRPr="004D0DAA" w:rsidRDefault="00711444" w:rsidP="00AA2A4C"/>
        </w:tc>
        <w:tc>
          <w:tcPr>
            <w:tcW w:w="624" w:type="dxa"/>
          </w:tcPr>
          <w:p w14:paraId="066C7F07" w14:textId="77777777" w:rsidR="00711444" w:rsidRPr="004D0DAA" w:rsidRDefault="00711444" w:rsidP="00AA2A4C"/>
        </w:tc>
        <w:tc>
          <w:tcPr>
            <w:tcW w:w="624" w:type="dxa"/>
          </w:tcPr>
          <w:p w14:paraId="0B51F4DB" w14:textId="77777777" w:rsidR="00711444" w:rsidRPr="004D0DAA" w:rsidRDefault="00711444" w:rsidP="00AA2A4C"/>
        </w:tc>
        <w:tc>
          <w:tcPr>
            <w:tcW w:w="624" w:type="dxa"/>
          </w:tcPr>
          <w:p w14:paraId="622B29B5" w14:textId="77777777" w:rsidR="00711444" w:rsidRPr="004D0DAA" w:rsidRDefault="00711444" w:rsidP="00AA2A4C"/>
        </w:tc>
        <w:tc>
          <w:tcPr>
            <w:tcW w:w="624" w:type="dxa"/>
          </w:tcPr>
          <w:p w14:paraId="2CEBEEC7" w14:textId="77777777" w:rsidR="00711444" w:rsidRPr="004D0DAA" w:rsidRDefault="00711444" w:rsidP="00AA2A4C"/>
        </w:tc>
        <w:tc>
          <w:tcPr>
            <w:tcW w:w="624" w:type="dxa"/>
          </w:tcPr>
          <w:p w14:paraId="723422F4" w14:textId="77777777" w:rsidR="00711444" w:rsidRPr="004D0DAA" w:rsidRDefault="00711444" w:rsidP="00AA2A4C"/>
        </w:tc>
        <w:tc>
          <w:tcPr>
            <w:tcW w:w="624" w:type="dxa"/>
            <w:tcBorders>
              <w:right w:val="single" w:sz="6" w:space="0" w:color="auto"/>
            </w:tcBorders>
          </w:tcPr>
          <w:p w14:paraId="552DE29A" w14:textId="77777777" w:rsidR="00711444" w:rsidRPr="004D0DAA" w:rsidRDefault="00711444" w:rsidP="00AA2A4C"/>
        </w:tc>
        <w:tc>
          <w:tcPr>
            <w:tcW w:w="1701" w:type="dxa"/>
          </w:tcPr>
          <w:p w14:paraId="5C5B0071" w14:textId="77777777" w:rsidR="00711444" w:rsidRPr="004D0DAA" w:rsidRDefault="00711444" w:rsidP="00AA2A4C">
            <w:pPr>
              <w:pStyle w:val="TAC"/>
              <w:rPr>
                <w:lang w:eastAsia="en-US"/>
              </w:rPr>
            </w:pPr>
            <w:r w:rsidRPr="004D0DAA">
              <w:rPr>
                <w:lang w:eastAsia="en-US"/>
              </w:rPr>
              <w:t>Octet 15</w:t>
            </w:r>
          </w:p>
        </w:tc>
        <w:tc>
          <w:tcPr>
            <w:tcW w:w="1567" w:type="dxa"/>
            <w:tcBorders>
              <w:left w:val="single" w:sz="6" w:space="0" w:color="auto"/>
              <w:right w:val="single" w:sz="6" w:space="0" w:color="auto"/>
            </w:tcBorders>
          </w:tcPr>
          <w:p w14:paraId="2A2CC85E" w14:textId="77777777" w:rsidR="00711444" w:rsidRPr="004D0DAA" w:rsidRDefault="00711444" w:rsidP="00AA2A4C">
            <w:pPr>
              <w:pStyle w:val="TAC"/>
              <w:rPr>
                <w:lang w:eastAsia="en-US"/>
              </w:rPr>
            </w:pPr>
          </w:p>
        </w:tc>
      </w:tr>
      <w:tr w:rsidR="00711444" w:rsidRPr="004D0DAA" w14:paraId="0A2D49A7"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557DB6A7" w14:textId="77777777" w:rsidR="00711444" w:rsidRPr="004D0DAA" w:rsidRDefault="00711444" w:rsidP="00AA2A4C">
            <w:pPr>
              <w:pStyle w:val="TAC"/>
              <w:rPr>
                <w:lang w:eastAsia="en-US"/>
              </w:rPr>
            </w:pPr>
            <w:r w:rsidRPr="004D0DAA">
              <w:rPr>
                <w:lang w:eastAsia="en-US"/>
              </w:rPr>
              <w:t>LLC PDU 2</w:t>
            </w:r>
          </w:p>
        </w:tc>
        <w:tc>
          <w:tcPr>
            <w:tcW w:w="1701" w:type="dxa"/>
          </w:tcPr>
          <w:p w14:paraId="52D516A2" w14:textId="77777777" w:rsidR="00711444" w:rsidRPr="004D0DAA" w:rsidRDefault="00711444" w:rsidP="00AA2A4C">
            <w:pPr>
              <w:pStyle w:val="TAC"/>
              <w:rPr>
                <w:lang w:eastAsia="en-US"/>
              </w:rPr>
            </w:pPr>
            <w:r w:rsidRPr="004D0DAA">
              <w:rPr>
                <w:lang w:eastAsia="en-US"/>
              </w:rPr>
              <w:t>.</w:t>
            </w:r>
          </w:p>
          <w:p w14:paraId="53D22941" w14:textId="77777777" w:rsidR="00711444" w:rsidRPr="004D0DAA" w:rsidRDefault="00711444" w:rsidP="00AA2A4C">
            <w:pPr>
              <w:pStyle w:val="TAC"/>
              <w:rPr>
                <w:lang w:eastAsia="en-US"/>
              </w:rPr>
            </w:pPr>
            <w:r w:rsidRPr="004D0DAA">
              <w:rPr>
                <w:lang w:eastAsia="en-US"/>
              </w:rPr>
              <w:t>.</w:t>
            </w:r>
          </w:p>
          <w:p w14:paraId="40858BBD"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5E4EA56E" w14:textId="77777777" w:rsidR="00711444" w:rsidRPr="004D0DAA" w:rsidRDefault="00711444" w:rsidP="00AA2A4C">
            <w:pPr>
              <w:pStyle w:val="TAC"/>
              <w:rPr>
                <w:lang w:eastAsia="en-US"/>
              </w:rPr>
            </w:pPr>
            <w:r w:rsidRPr="004D0DAA">
              <w:rPr>
                <w:lang w:eastAsia="en-US"/>
              </w:rPr>
              <w:t>LLC PDU 2</w:t>
            </w:r>
          </w:p>
        </w:tc>
      </w:tr>
      <w:tr w:rsidR="00711444" w:rsidRPr="004D0DAA" w14:paraId="4E083940"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066F333C" w14:textId="77777777" w:rsidR="00711444" w:rsidRPr="004D0DAA" w:rsidRDefault="00711444" w:rsidP="00AA2A4C"/>
        </w:tc>
        <w:tc>
          <w:tcPr>
            <w:tcW w:w="624" w:type="dxa"/>
            <w:tcBorders>
              <w:bottom w:val="single" w:sz="6" w:space="0" w:color="auto"/>
            </w:tcBorders>
          </w:tcPr>
          <w:p w14:paraId="730D34AC" w14:textId="77777777" w:rsidR="00711444" w:rsidRPr="004D0DAA" w:rsidRDefault="00711444" w:rsidP="00AA2A4C"/>
        </w:tc>
        <w:tc>
          <w:tcPr>
            <w:tcW w:w="624" w:type="dxa"/>
            <w:tcBorders>
              <w:bottom w:val="single" w:sz="6" w:space="0" w:color="auto"/>
            </w:tcBorders>
          </w:tcPr>
          <w:p w14:paraId="5CAAAD4F" w14:textId="77777777" w:rsidR="00711444" w:rsidRPr="004D0DAA" w:rsidRDefault="00711444" w:rsidP="00AA2A4C"/>
        </w:tc>
        <w:tc>
          <w:tcPr>
            <w:tcW w:w="624" w:type="dxa"/>
            <w:tcBorders>
              <w:bottom w:val="single" w:sz="6" w:space="0" w:color="auto"/>
            </w:tcBorders>
          </w:tcPr>
          <w:p w14:paraId="1AC78F3C" w14:textId="77777777" w:rsidR="00711444" w:rsidRPr="004D0DAA" w:rsidRDefault="00711444" w:rsidP="00AA2A4C"/>
        </w:tc>
        <w:tc>
          <w:tcPr>
            <w:tcW w:w="624" w:type="dxa"/>
            <w:tcBorders>
              <w:bottom w:val="single" w:sz="6" w:space="0" w:color="auto"/>
            </w:tcBorders>
          </w:tcPr>
          <w:p w14:paraId="74CEBAF9" w14:textId="77777777" w:rsidR="00711444" w:rsidRPr="004D0DAA" w:rsidRDefault="00711444" w:rsidP="00AA2A4C"/>
        </w:tc>
        <w:tc>
          <w:tcPr>
            <w:tcW w:w="624" w:type="dxa"/>
            <w:tcBorders>
              <w:bottom w:val="single" w:sz="6" w:space="0" w:color="auto"/>
            </w:tcBorders>
          </w:tcPr>
          <w:p w14:paraId="39E7DBEB" w14:textId="77777777" w:rsidR="00711444" w:rsidRPr="004D0DAA" w:rsidRDefault="00711444" w:rsidP="00AA2A4C"/>
        </w:tc>
        <w:tc>
          <w:tcPr>
            <w:tcW w:w="624" w:type="dxa"/>
            <w:tcBorders>
              <w:bottom w:val="single" w:sz="6" w:space="0" w:color="auto"/>
            </w:tcBorders>
          </w:tcPr>
          <w:p w14:paraId="0EEC8AC9" w14:textId="77777777" w:rsidR="00711444" w:rsidRPr="004D0DAA" w:rsidRDefault="00711444" w:rsidP="00AA2A4C"/>
        </w:tc>
        <w:tc>
          <w:tcPr>
            <w:tcW w:w="624" w:type="dxa"/>
            <w:tcBorders>
              <w:bottom w:val="single" w:sz="6" w:space="0" w:color="auto"/>
              <w:right w:val="single" w:sz="6" w:space="0" w:color="auto"/>
            </w:tcBorders>
          </w:tcPr>
          <w:p w14:paraId="2394EE47" w14:textId="77777777" w:rsidR="00711444" w:rsidRPr="004D0DAA" w:rsidRDefault="00711444" w:rsidP="00AA2A4C"/>
        </w:tc>
        <w:tc>
          <w:tcPr>
            <w:tcW w:w="1701" w:type="dxa"/>
          </w:tcPr>
          <w:p w14:paraId="2385E88B" w14:textId="77777777" w:rsidR="00711444" w:rsidRPr="004D0DAA" w:rsidRDefault="00711444" w:rsidP="00AA2A4C">
            <w:pPr>
              <w:pStyle w:val="TAC"/>
              <w:rPr>
                <w:lang w:eastAsia="en-US"/>
              </w:rPr>
            </w:pPr>
            <w:r w:rsidRPr="004D0DAA">
              <w:rPr>
                <w:lang w:eastAsia="en-US"/>
              </w:rPr>
              <w:t>Octet 39</w:t>
            </w:r>
          </w:p>
        </w:tc>
        <w:tc>
          <w:tcPr>
            <w:tcW w:w="1567" w:type="dxa"/>
            <w:tcBorders>
              <w:left w:val="single" w:sz="6" w:space="0" w:color="auto"/>
              <w:right w:val="single" w:sz="6" w:space="0" w:color="auto"/>
            </w:tcBorders>
          </w:tcPr>
          <w:p w14:paraId="6336F2A9" w14:textId="77777777" w:rsidR="00711444" w:rsidRPr="004D0DAA" w:rsidRDefault="00711444" w:rsidP="00AA2A4C">
            <w:pPr>
              <w:pStyle w:val="TAC"/>
              <w:rPr>
                <w:lang w:eastAsia="en-US"/>
              </w:rPr>
            </w:pPr>
          </w:p>
        </w:tc>
      </w:tr>
      <w:tr w:rsidR="00711444" w:rsidRPr="004D0DAA" w14:paraId="69AF73A4" w14:textId="77777777" w:rsidTr="00AA2A4C">
        <w:tblPrEx>
          <w:tblCellMar>
            <w:top w:w="0" w:type="dxa"/>
            <w:bottom w:w="0" w:type="dxa"/>
          </w:tblCellMar>
        </w:tblPrEx>
        <w:trPr>
          <w:cantSplit/>
        </w:trPr>
        <w:tc>
          <w:tcPr>
            <w:tcW w:w="624" w:type="dxa"/>
            <w:tcBorders>
              <w:left w:val="single" w:sz="6" w:space="0" w:color="auto"/>
            </w:tcBorders>
          </w:tcPr>
          <w:p w14:paraId="2C892FC2" w14:textId="77777777" w:rsidR="00711444" w:rsidRPr="004D0DAA" w:rsidRDefault="00711444" w:rsidP="00AA2A4C"/>
        </w:tc>
        <w:tc>
          <w:tcPr>
            <w:tcW w:w="624" w:type="dxa"/>
          </w:tcPr>
          <w:p w14:paraId="25F9E159" w14:textId="77777777" w:rsidR="00711444" w:rsidRPr="004D0DAA" w:rsidRDefault="00711444" w:rsidP="00AA2A4C"/>
        </w:tc>
        <w:tc>
          <w:tcPr>
            <w:tcW w:w="624" w:type="dxa"/>
          </w:tcPr>
          <w:p w14:paraId="7E46CBD3" w14:textId="77777777" w:rsidR="00711444" w:rsidRPr="004D0DAA" w:rsidRDefault="00711444" w:rsidP="00AA2A4C"/>
        </w:tc>
        <w:tc>
          <w:tcPr>
            <w:tcW w:w="624" w:type="dxa"/>
          </w:tcPr>
          <w:p w14:paraId="7D065C34" w14:textId="77777777" w:rsidR="00711444" w:rsidRPr="004D0DAA" w:rsidRDefault="00711444" w:rsidP="00AA2A4C"/>
        </w:tc>
        <w:tc>
          <w:tcPr>
            <w:tcW w:w="624" w:type="dxa"/>
          </w:tcPr>
          <w:p w14:paraId="780C2F26" w14:textId="77777777" w:rsidR="00711444" w:rsidRPr="004D0DAA" w:rsidRDefault="00711444" w:rsidP="00AA2A4C"/>
        </w:tc>
        <w:tc>
          <w:tcPr>
            <w:tcW w:w="624" w:type="dxa"/>
          </w:tcPr>
          <w:p w14:paraId="0679B32E" w14:textId="77777777" w:rsidR="00711444" w:rsidRPr="004D0DAA" w:rsidRDefault="00711444" w:rsidP="00AA2A4C"/>
        </w:tc>
        <w:tc>
          <w:tcPr>
            <w:tcW w:w="624" w:type="dxa"/>
          </w:tcPr>
          <w:p w14:paraId="05DB8E42" w14:textId="77777777" w:rsidR="00711444" w:rsidRPr="004D0DAA" w:rsidRDefault="00711444" w:rsidP="00AA2A4C"/>
        </w:tc>
        <w:tc>
          <w:tcPr>
            <w:tcW w:w="624" w:type="dxa"/>
            <w:tcBorders>
              <w:right w:val="single" w:sz="6" w:space="0" w:color="auto"/>
            </w:tcBorders>
          </w:tcPr>
          <w:p w14:paraId="52ED2356" w14:textId="77777777" w:rsidR="00711444" w:rsidRPr="004D0DAA" w:rsidRDefault="00711444" w:rsidP="00AA2A4C"/>
        </w:tc>
        <w:tc>
          <w:tcPr>
            <w:tcW w:w="1701" w:type="dxa"/>
          </w:tcPr>
          <w:p w14:paraId="6E717E45" w14:textId="77777777" w:rsidR="00711444" w:rsidRPr="004D0DAA" w:rsidRDefault="00711444" w:rsidP="00AA2A4C">
            <w:pPr>
              <w:pStyle w:val="TAC"/>
              <w:rPr>
                <w:lang w:eastAsia="en-US"/>
              </w:rPr>
            </w:pPr>
            <w:r w:rsidRPr="004D0DAA">
              <w:rPr>
                <w:lang w:eastAsia="en-US"/>
              </w:rPr>
              <w:t>Octet 40</w:t>
            </w:r>
          </w:p>
        </w:tc>
        <w:tc>
          <w:tcPr>
            <w:tcW w:w="1567" w:type="dxa"/>
            <w:tcBorders>
              <w:top w:val="single" w:sz="6" w:space="0" w:color="auto"/>
              <w:left w:val="single" w:sz="6" w:space="0" w:color="auto"/>
              <w:right w:val="single" w:sz="6" w:space="0" w:color="auto"/>
            </w:tcBorders>
          </w:tcPr>
          <w:p w14:paraId="130609B7" w14:textId="77777777" w:rsidR="00711444" w:rsidRPr="004D0DAA" w:rsidRDefault="00711444" w:rsidP="00AA2A4C">
            <w:pPr>
              <w:pStyle w:val="TAC"/>
              <w:rPr>
                <w:lang w:eastAsia="en-US"/>
              </w:rPr>
            </w:pPr>
          </w:p>
        </w:tc>
      </w:tr>
      <w:tr w:rsidR="00711444" w:rsidRPr="004D0DAA" w14:paraId="3E008C05" w14:textId="77777777" w:rsidTr="00AA2A4C">
        <w:tblPrEx>
          <w:tblCellMar>
            <w:top w:w="0" w:type="dxa"/>
            <w:bottom w:w="0" w:type="dxa"/>
          </w:tblCellMar>
        </w:tblPrEx>
        <w:trPr>
          <w:cantSplit/>
        </w:trPr>
        <w:tc>
          <w:tcPr>
            <w:tcW w:w="624" w:type="dxa"/>
            <w:tcBorders>
              <w:left w:val="single" w:sz="6" w:space="0" w:color="auto"/>
            </w:tcBorders>
          </w:tcPr>
          <w:p w14:paraId="0AF44355" w14:textId="77777777" w:rsidR="00711444" w:rsidRPr="004D0DAA" w:rsidRDefault="00711444" w:rsidP="00AA2A4C"/>
        </w:tc>
        <w:tc>
          <w:tcPr>
            <w:tcW w:w="624" w:type="dxa"/>
          </w:tcPr>
          <w:p w14:paraId="57C7C4CE" w14:textId="77777777" w:rsidR="00711444" w:rsidRPr="004D0DAA" w:rsidRDefault="00711444" w:rsidP="00AA2A4C"/>
        </w:tc>
        <w:tc>
          <w:tcPr>
            <w:tcW w:w="624" w:type="dxa"/>
          </w:tcPr>
          <w:p w14:paraId="25D60421" w14:textId="77777777" w:rsidR="00711444" w:rsidRPr="004D0DAA" w:rsidRDefault="00711444" w:rsidP="00AA2A4C"/>
        </w:tc>
        <w:tc>
          <w:tcPr>
            <w:tcW w:w="624" w:type="dxa"/>
          </w:tcPr>
          <w:p w14:paraId="1E69320B" w14:textId="77777777" w:rsidR="00711444" w:rsidRPr="004D0DAA" w:rsidRDefault="00711444" w:rsidP="00AA2A4C"/>
        </w:tc>
        <w:tc>
          <w:tcPr>
            <w:tcW w:w="624" w:type="dxa"/>
          </w:tcPr>
          <w:p w14:paraId="44B1917C" w14:textId="77777777" w:rsidR="00711444" w:rsidRPr="004D0DAA" w:rsidRDefault="00711444" w:rsidP="00AA2A4C"/>
        </w:tc>
        <w:tc>
          <w:tcPr>
            <w:tcW w:w="624" w:type="dxa"/>
          </w:tcPr>
          <w:p w14:paraId="6B271271" w14:textId="77777777" w:rsidR="00711444" w:rsidRPr="004D0DAA" w:rsidRDefault="00711444" w:rsidP="00AA2A4C"/>
        </w:tc>
        <w:tc>
          <w:tcPr>
            <w:tcW w:w="624" w:type="dxa"/>
          </w:tcPr>
          <w:p w14:paraId="54FB756E" w14:textId="77777777" w:rsidR="00711444" w:rsidRPr="004D0DAA" w:rsidRDefault="00711444" w:rsidP="00AA2A4C"/>
        </w:tc>
        <w:tc>
          <w:tcPr>
            <w:tcW w:w="624" w:type="dxa"/>
            <w:tcBorders>
              <w:right w:val="single" w:sz="6" w:space="0" w:color="auto"/>
            </w:tcBorders>
          </w:tcPr>
          <w:p w14:paraId="4DD4EAE1" w14:textId="77777777" w:rsidR="00711444" w:rsidRPr="004D0DAA" w:rsidRDefault="00711444" w:rsidP="00AA2A4C"/>
        </w:tc>
        <w:tc>
          <w:tcPr>
            <w:tcW w:w="1701" w:type="dxa"/>
          </w:tcPr>
          <w:p w14:paraId="7C43A57B" w14:textId="77777777" w:rsidR="00711444" w:rsidRPr="004D0DAA" w:rsidRDefault="00711444" w:rsidP="00AA2A4C">
            <w:pPr>
              <w:pStyle w:val="TAC"/>
              <w:rPr>
                <w:lang w:eastAsia="en-US"/>
              </w:rPr>
            </w:pPr>
            <w:r w:rsidRPr="004D0DAA">
              <w:rPr>
                <w:lang w:eastAsia="en-US"/>
              </w:rPr>
              <w:t>Octet 41</w:t>
            </w:r>
          </w:p>
        </w:tc>
        <w:tc>
          <w:tcPr>
            <w:tcW w:w="1567" w:type="dxa"/>
            <w:tcBorders>
              <w:left w:val="single" w:sz="6" w:space="0" w:color="auto"/>
              <w:right w:val="single" w:sz="6" w:space="0" w:color="auto"/>
            </w:tcBorders>
          </w:tcPr>
          <w:p w14:paraId="4A306787" w14:textId="77777777" w:rsidR="00711444" w:rsidRPr="004D0DAA" w:rsidRDefault="00711444" w:rsidP="00AA2A4C">
            <w:pPr>
              <w:pStyle w:val="TAC"/>
              <w:rPr>
                <w:lang w:eastAsia="en-US"/>
              </w:rPr>
            </w:pPr>
          </w:p>
        </w:tc>
      </w:tr>
      <w:tr w:rsidR="00711444" w:rsidRPr="004D0DAA" w14:paraId="69DF921E"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36087DD3" w14:textId="77777777" w:rsidR="00711444" w:rsidRPr="004D0DAA" w:rsidRDefault="00711444" w:rsidP="00AA2A4C">
            <w:pPr>
              <w:pStyle w:val="TAC"/>
              <w:rPr>
                <w:lang w:eastAsia="en-US"/>
              </w:rPr>
            </w:pPr>
            <w:r w:rsidRPr="004D0DAA">
              <w:rPr>
                <w:lang w:eastAsia="en-US"/>
              </w:rPr>
              <w:br/>
              <w:t>LLC PDU 3</w:t>
            </w:r>
          </w:p>
        </w:tc>
        <w:tc>
          <w:tcPr>
            <w:tcW w:w="1701" w:type="dxa"/>
          </w:tcPr>
          <w:p w14:paraId="7ECFD19A" w14:textId="77777777" w:rsidR="00711444" w:rsidRPr="004D0DAA" w:rsidRDefault="00711444" w:rsidP="00AA2A4C">
            <w:pPr>
              <w:pStyle w:val="TAC"/>
              <w:rPr>
                <w:lang w:eastAsia="en-US"/>
              </w:rPr>
            </w:pPr>
            <w:r w:rsidRPr="004D0DAA">
              <w:rPr>
                <w:lang w:eastAsia="en-US"/>
              </w:rPr>
              <w:t>.</w:t>
            </w:r>
          </w:p>
          <w:p w14:paraId="05A90BDE" w14:textId="77777777" w:rsidR="00711444" w:rsidRPr="004D0DAA" w:rsidRDefault="00711444" w:rsidP="00AA2A4C">
            <w:pPr>
              <w:pStyle w:val="TAC"/>
              <w:rPr>
                <w:lang w:eastAsia="en-US"/>
              </w:rPr>
            </w:pPr>
            <w:r w:rsidRPr="004D0DAA">
              <w:rPr>
                <w:lang w:eastAsia="en-US"/>
              </w:rPr>
              <w:t>.</w:t>
            </w:r>
          </w:p>
          <w:p w14:paraId="4138EE22"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401467D1" w14:textId="77777777" w:rsidR="00711444" w:rsidRPr="004D0DAA" w:rsidRDefault="00711444" w:rsidP="00AA2A4C">
            <w:pPr>
              <w:pStyle w:val="TAC"/>
              <w:rPr>
                <w:lang w:eastAsia="en-US"/>
              </w:rPr>
            </w:pPr>
            <w:r w:rsidRPr="004D0DAA">
              <w:rPr>
                <w:lang w:eastAsia="en-US"/>
              </w:rPr>
              <w:br/>
              <w:t>LLC PDU 3</w:t>
            </w:r>
          </w:p>
        </w:tc>
      </w:tr>
      <w:tr w:rsidR="00711444" w:rsidRPr="004D0DAA" w14:paraId="5A2EB802" w14:textId="77777777" w:rsidTr="00AA2A4C">
        <w:tblPrEx>
          <w:tblCellMar>
            <w:top w:w="0" w:type="dxa"/>
            <w:bottom w:w="0" w:type="dxa"/>
          </w:tblCellMar>
        </w:tblPrEx>
        <w:trPr>
          <w:cantSplit/>
        </w:trPr>
        <w:tc>
          <w:tcPr>
            <w:tcW w:w="624" w:type="dxa"/>
            <w:tcBorders>
              <w:left w:val="single" w:sz="6" w:space="0" w:color="auto"/>
            </w:tcBorders>
          </w:tcPr>
          <w:p w14:paraId="40F576E5" w14:textId="77777777" w:rsidR="00711444" w:rsidRPr="004D0DAA" w:rsidRDefault="00711444" w:rsidP="00AA2A4C"/>
        </w:tc>
        <w:tc>
          <w:tcPr>
            <w:tcW w:w="624" w:type="dxa"/>
          </w:tcPr>
          <w:p w14:paraId="23DEFB8C" w14:textId="77777777" w:rsidR="00711444" w:rsidRPr="004D0DAA" w:rsidRDefault="00711444" w:rsidP="00AA2A4C"/>
        </w:tc>
        <w:tc>
          <w:tcPr>
            <w:tcW w:w="624" w:type="dxa"/>
          </w:tcPr>
          <w:p w14:paraId="3C64E0DB" w14:textId="77777777" w:rsidR="00711444" w:rsidRPr="004D0DAA" w:rsidRDefault="00711444" w:rsidP="00AA2A4C"/>
        </w:tc>
        <w:tc>
          <w:tcPr>
            <w:tcW w:w="624" w:type="dxa"/>
          </w:tcPr>
          <w:p w14:paraId="051317D7" w14:textId="77777777" w:rsidR="00711444" w:rsidRPr="004D0DAA" w:rsidRDefault="00711444" w:rsidP="00AA2A4C"/>
        </w:tc>
        <w:tc>
          <w:tcPr>
            <w:tcW w:w="624" w:type="dxa"/>
          </w:tcPr>
          <w:p w14:paraId="48864442" w14:textId="77777777" w:rsidR="00711444" w:rsidRPr="004D0DAA" w:rsidRDefault="00711444" w:rsidP="00AA2A4C"/>
        </w:tc>
        <w:tc>
          <w:tcPr>
            <w:tcW w:w="624" w:type="dxa"/>
          </w:tcPr>
          <w:p w14:paraId="61F577CF" w14:textId="77777777" w:rsidR="00711444" w:rsidRPr="004D0DAA" w:rsidRDefault="00711444" w:rsidP="00AA2A4C"/>
        </w:tc>
        <w:tc>
          <w:tcPr>
            <w:tcW w:w="624" w:type="dxa"/>
          </w:tcPr>
          <w:p w14:paraId="21022641" w14:textId="77777777" w:rsidR="00711444" w:rsidRPr="004D0DAA" w:rsidRDefault="00711444" w:rsidP="00AA2A4C"/>
        </w:tc>
        <w:tc>
          <w:tcPr>
            <w:tcW w:w="624" w:type="dxa"/>
            <w:tcBorders>
              <w:right w:val="single" w:sz="6" w:space="0" w:color="auto"/>
            </w:tcBorders>
          </w:tcPr>
          <w:p w14:paraId="6A824E39" w14:textId="77777777" w:rsidR="00711444" w:rsidRPr="004D0DAA" w:rsidRDefault="00711444" w:rsidP="00AA2A4C"/>
        </w:tc>
        <w:tc>
          <w:tcPr>
            <w:tcW w:w="1701" w:type="dxa"/>
          </w:tcPr>
          <w:p w14:paraId="23FFCCE8" w14:textId="77777777" w:rsidR="00711444" w:rsidRPr="004D0DAA" w:rsidRDefault="00711444" w:rsidP="00AA2A4C"/>
        </w:tc>
        <w:tc>
          <w:tcPr>
            <w:tcW w:w="1567" w:type="dxa"/>
            <w:tcBorders>
              <w:left w:val="single" w:sz="6" w:space="0" w:color="auto"/>
              <w:right w:val="single" w:sz="6" w:space="0" w:color="auto"/>
            </w:tcBorders>
          </w:tcPr>
          <w:p w14:paraId="27649ED9" w14:textId="77777777" w:rsidR="00711444" w:rsidRPr="004D0DAA" w:rsidRDefault="00711444" w:rsidP="00AA2A4C">
            <w:pPr>
              <w:pStyle w:val="TAC"/>
              <w:rPr>
                <w:lang w:eastAsia="en-US"/>
              </w:rPr>
            </w:pPr>
          </w:p>
        </w:tc>
      </w:tr>
      <w:tr w:rsidR="00711444" w:rsidRPr="004D0DAA" w14:paraId="58EE0283" w14:textId="77777777" w:rsidTr="00AA2A4C">
        <w:tblPrEx>
          <w:tblCellMar>
            <w:top w:w="0" w:type="dxa"/>
            <w:bottom w:w="0" w:type="dxa"/>
          </w:tblCellMar>
        </w:tblPrEx>
        <w:trPr>
          <w:cantSplit/>
        </w:trPr>
        <w:tc>
          <w:tcPr>
            <w:tcW w:w="624" w:type="dxa"/>
            <w:tcBorders>
              <w:left w:val="single" w:sz="6" w:space="0" w:color="auto"/>
            </w:tcBorders>
          </w:tcPr>
          <w:p w14:paraId="4D560203" w14:textId="77777777" w:rsidR="00711444" w:rsidRPr="004D0DAA" w:rsidRDefault="00711444" w:rsidP="00AA2A4C"/>
        </w:tc>
        <w:tc>
          <w:tcPr>
            <w:tcW w:w="624" w:type="dxa"/>
          </w:tcPr>
          <w:p w14:paraId="77980C65" w14:textId="77777777" w:rsidR="00711444" w:rsidRPr="004D0DAA" w:rsidRDefault="00711444" w:rsidP="00AA2A4C"/>
        </w:tc>
        <w:tc>
          <w:tcPr>
            <w:tcW w:w="624" w:type="dxa"/>
          </w:tcPr>
          <w:p w14:paraId="1F2080B2" w14:textId="77777777" w:rsidR="00711444" w:rsidRPr="004D0DAA" w:rsidRDefault="00711444" w:rsidP="00AA2A4C"/>
        </w:tc>
        <w:tc>
          <w:tcPr>
            <w:tcW w:w="624" w:type="dxa"/>
          </w:tcPr>
          <w:p w14:paraId="3CF5E5D6" w14:textId="77777777" w:rsidR="00711444" w:rsidRPr="004D0DAA" w:rsidRDefault="00711444" w:rsidP="00AA2A4C"/>
        </w:tc>
        <w:tc>
          <w:tcPr>
            <w:tcW w:w="624" w:type="dxa"/>
          </w:tcPr>
          <w:p w14:paraId="407F0CEC" w14:textId="77777777" w:rsidR="00711444" w:rsidRPr="004D0DAA" w:rsidRDefault="00711444" w:rsidP="00AA2A4C"/>
        </w:tc>
        <w:tc>
          <w:tcPr>
            <w:tcW w:w="624" w:type="dxa"/>
          </w:tcPr>
          <w:p w14:paraId="651F8CD4" w14:textId="77777777" w:rsidR="00711444" w:rsidRPr="004D0DAA" w:rsidRDefault="00711444" w:rsidP="00AA2A4C"/>
        </w:tc>
        <w:tc>
          <w:tcPr>
            <w:tcW w:w="624" w:type="dxa"/>
          </w:tcPr>
          <w:p w14:paraId="066A8BB8" w14:textId="77777777" w:rsidR="00711444" w:rsidRPr="004D0DAA" w:rsidRDefault="00711444" w:rsidP="00AA2A4C"/>
        </w:tc>
        <w:tc>
          <w:tcPr>
            <w:tcW w:w="624" w:type="dxa"/>
            <w:tcBorders>
              <w:right w:val="single" w:sz="6" w:space="0" w:color="auto"/>
            </w:tcBorders>
          </w:tcPr>
          <w:p w14:paraId="407EB822" w14:textId="77777777" w:rsidR="00711444" w:rsidRPr="004D0DAA" w:rsidRDefault="00711444" w:rsidP="00AA2A4C"/>
        </w:tc>
        <w:tc>
          <w:tcPr>
            <w:tcW w:w="1701" w:type="dxa"/>
          </w:tcPr>
          <w:p w14:paraId="586AC339" w14:textId="77777777" w:rsidR="00711444" w:rsidRPr="004D0DAA" w:rsidRDefault="00711444" w:rsidP="00AA2A4C">
            <w:pPr>
              <w:pStyle w:val="TAC"/>
              <w:rPr>
                <w:lang w:eastAsia="en-US"/>
              </w:rPr>
            </w:pPr>
            <w:r w:rsidRPr="004D0DAA">
              <w:rPr>
                <w:lang w:eastAsia="en-US"/>
              </w:rPr>
              <w:t>Octet N2</w:t>
            </w:r>
          </w:p>
        </w:tc>
        <w:tc>
          <w:tcPr>
            <w:tcW w:w="1567" w:type="dxa"/>
            <w:tcBorders>
              <w:left w:val="single" w:sz="6" w:space="0" w:color="auto"/>
              <w:right w:val="single" w:sz="6" w:space="0" w:color="auto"/>
            </w:tcBorders>
          </w:tcPr>
          <w:p w14:paraId="12D03781" w14:textId="77777777" w:rsidR="00711444" w:rsidRPr="004D0DAA" w:rsidRDefault="00711444" w:rsidP="00AA2A4C">
            <w:pPr>
              <w:pStyle w:val="TAC"/>
              <w:rPr>
                <w:lang w:eastAsia="en-US"/>
              </w:rPr>
            </w:pPr>
          </w:p>
        </w:tc>
      </w:tr>
      <w:tr w:rsidR="00711444" w:rsidRPr="004D0DAA" w14:paraId="5990C23B" w14:textId="77777777" w:rsidTr="00AA2A4C">
        <w:tblPrEx>
          <w:tblCellMar>
            <w:top w:w="0" w:type="dxa"/>
            <w:bottom w:w="0" w:type="dxa"/>
          </w:tblCellMar>
        </w:tblPrEx>
        <w:trPr>
          <w:cantSplit/>
        </w:trPr>
        <w:tc>
          <w:tcPr>
            <w:tcW w:w="624" w:type="dxa"/>
            <w:tcBorders>
              <w:top w:val="single" w:sz="6" w:space="0" w:color="auto"/>
            </w:tcBorders>
          </w:tcPr>
          <w:p w14:paraId="3DE353B3" w14:textId="77777777" w:rsidR="00711444" w:rsidRPr="004D0DAA" w:rsidRDefault="00711444" w:rsidP="00AA2A4C"/>
        </w:tc>
        <w:tc>
          <w:tcPr>
            <w:tcW w:w="624" w:type="dxa"/>
            <w:tcBorders>
              <w:top w:val="single" w:sz="6" w:space="0" w:color="auto"/>
            </w:tcBorders>
          </w:tcPr>
          <w:p w14:paraId="550EDA62" w14:textId="77777777" w:rsidR="00711444" w:rsidRPr="004D0DAA" w:rsidRDefault="00711444" w:rsidP="00AA2A4C"/>
        </w:tc>
        <w:tc>
          <w:tcPr>
            <w:tcW w:w="624" w:type="dxa"/>
            <w:tcBorders>
              <w:top w:val="single" w:sz="6" w:space="0" w:color="auto"/>
            </w:tcBorders>
          </w:tcPr>
          <w:p w14:paraId="35DCD212" w14:textId="77777777" w:rsidR="00711444" w:rsidRPr="004D0DAA" w:rsidRDefault="00711444" w:rsidP="00AA2A4C"/>
        </w:tc>
        <w:tc>
          <w:tcPr>
            <w:tcW w:w="624" w:type="dxa"/>
            <w:tcBorders>
              <w:top w:val="single" w:sz="6" w:space="0" w:color="auto"/>
            </w:tcBorders>
          </w:tcPr>
          <w:p w14:paraId="7373C8AA" w14:textId="77777777" w:rsidR="00711444" w:rsidRPr="004D0DAA" w:rsidRDefault="00711444" w:rsidP="00AA2A4C"/>
        </w:tc>
        <w:tc>
          <w:tcPr>
            <w:tcW w:w="624" w:type="dxa"/>
            <w:tcBorders>
              <w:top w:val="single" w:sz="6" w:space="0" w:color="auto"/>
            </w:tcBorders>
          </w:tcPr>
          <w:p w14:paraId="3BE61094" w14:textId="77777777" w:rsidR="00711444" w:rsidRPr="004D0DAA" w:rsidRDefault="00711444" w:rsidP="00AA2A4C"/>
        </w:tc>
        <w:tc>
          <w:tcPr>
            <w:tcW w:w="624" w:type="dxa"/>
            <w:tcBorders>
              <w:top w:val="single" w:sz="6" w:space="0" w:color="auto"/>
            </w:tcBorders>
          </w:tcPr>
          <w:p w14:paraId="0416CA1F" w14:textId="77777777" w:rsidR="00711444" w:rsidRPr="004D0DAA" w:rsidRDefault="00711444" w:rsidP="00AA2A4C"/>
        </w:tc>
        <w:tc>
          <w:tcPr>
            <w:tcW w:w="624" w:type="dxa"/>
            <w:tcBorders>
              <w:top w:val="single" w:sz="6" w:space="0" w:color="auto"/>
            </w:tcBorders>
          </w:tcPr>
          <w:p w14:paraId="7954BE42" w14:textId="77777777" w:rsidR="00711444" w:rsidRPr="004D0DAA" w:rsidRDefault="00711444" w:rsidP="00AA2A4C"/>
        </w:tc>
        <w:tc>
          <w:tcPr>
            <w:tcW w:w="624" w:type="dxa"/>
            <w:tcBorders>
              <w:top w:val="single" w:sz="6" w:space="0" w:color="auto"/>
            </w:tcBorders>
          </w:tcPr>
          <w:p w14:paraId="4313D041" w14:textId="77777777" w:rsidR="00711444" w:rsidRPr="004D0DAA" w:rsidRDefault="00711444" w:rsidP="00AA2A4C"/>
        </w:tc>
        <w:tc>
          <w:tcPr>
            <w:tcW w:w="1701" w:type="dxa"/>
          </w:tcPr>
          <w:p w14:paraId="6A292534" w14:textId="77777777" w:rsidR="00711444" w:rsidRPr="004D0DAA" w:rsidRDefault="00711444" w:rsidP="00AA2A4C"/>
        </w:tc>
        <w:tc>
          <w:tcPr>
            <w:tcW w:w="1567" w:type="dxa"/>
            <w:tcBorders>
              <w:left w:val="single" w:sz="6" w:space="0" w:color="auto"/>
              <w:right w:val="single" w:sz="6" w:space="0" w:color="auto"/>
            </w:tcBorders>
          </w:tcPr>
          <w:p w14:paraId="478522B1" w14:textId="77777777" w:rsidR="00711444" w:rsidRPr="004D0DAA" w:rsidRDefault="00711444" w:rsidP="00AA2A4C">
            <w:pPr>
              <w:pStyle w:val="TAC"/>
              <w:rPr>
                <w:lang w:eastAsia="en-US"/>
              </w:rPr>
            </w:pPr>
          </w:p>
        </w:tc>
      </w:tr>
      <w:tr w:rsidR="00711444" w:rsidRPr="004D0DAA" w14:paraId="26E1FAA2" w14:textId="77777777" w:rsidTr="00AA2A4C">
        <w:tblPrEx>
          <w:tblCellMar>
            <w:top w:w="0" w:type="dxa"/>
            <w:bottom w:w="0" w:type="dxa"/>
          </w:tblCellMar>
        </w:tblPrEx>
        <w:trPr>
          <w:cantSplit/>
        </w:trPr>
        <w:tc>
          <w:tcPr>
            <w:tcW w:w="624" w:type="dxa"/>
          </w:tcPr>
          <w:p w14:paraId="21783AC9" w14:textId="77777777" w:rsidR="00711444" w:rsidRPr="004D0DAA" w:rsidRDefault="00711444" w:rsidP="00AA2A4C"/>
        </w:tc>
        <w:tc>
          <w:tcPr>
            <w:tcW w:w="624" w:type="dxa"/>
          </w:tcPr>
          <w:p w14:paraId="1C73F355" w14:textId="77777777" w:rsidR="00711444" w:rsidRPr="004D0DAA" w:rsidRDefault="00711444" w:rsidP="00AA2A4C"/>
        </w:tc>
        <w:tc>
          <w:tcPr>
            <w:tcW w:w="624" w:type="dxa"/>
          </w:tcPr>
          <w:p w14:paraId="274AD434" w14:textId="77777777" w:rsidR="00711444" w:rsidRPr="004D0DAA" w:rsidRDefault="00711444" w:rsidP="00AA2A4C"/>
        </w:tc>
        <w:tc>
          <w:tcPr>
            <w:tcW w:w="624" w:type="dxa"/>
          </w:tcPr>
          <w:p w14:paraId="7CBB9DF0" w14:textId="77777777" w:rsidR="00711444" w:rsidRPr="004D0DAA" w:rsidRDefault="00711444" w:rsidP="00AA2A4C"/>
        </w:tc>
        <w:tc>
          <w:tcPr>
            <w:tcW w:w="624" w:type="dxa"/>
          </w:tcPr>
          <w:p w14:paraId="44A6F23A" w14:textId="77777777" w:rsidR="00711444" w:rsidRPr="004D0DAA" w:rsidRDefault="00711444" w:rsidP="00AA2A4C"/>
        </w:tc>
        <w:tc>
          <w:tcPr>
            <w:tcW w:w="624" w:type="dxa"/>
          </w:tcPr>
          <w:p w14:paraId="53A78697" w14:textId="77777777" w:rsidR="00711444" w:rsidRPr="004D0DAA" w:rsidRDefault="00711444" w:rsidP="00AA2A4C"/>
        </w:tc>
        <w:tc>
          <w:tcPr>
            <w:tcW w:w="624" w:type="dxa"/>
          </w:tcPr>
          <w:p w14:paraId="5CE341CB" w14:textId="77777777" w:rsidR="00711444" w:rsidRPr="004D0DAA" w:rsidRDefault="00711444" w:rsidP="00AA2A4C"/>
        </w:tc>
        <w:tc>
          <w:tcPr>
            <w:tcW w:w="624" w:type="dxa"/>
          </w:tcPr>
          <w:p w14:paraId="155FFB04" w14:textId="77777777" w:rsidR="00711444" w:rsidRPr="004D0DAA" w:rsidRDefault="00711444" w:rsidP="00AA2A4C"/>
        </w:tc>
        <w:tc>
          <w:tcPr>
            <w:tcW w:w="1701" w:type="dxa"/>
          </w:tcPr>
          <w:p w14:paraId="1E2D7C02" w14:textId="77777777" w:rsidR="00711444" w:rsidRPr="004D0DAA" w:rsidRDefault="00711444" w:rsidP="00AA2A4C"/>
        </w:tc>
        <w:tc>
          <w:tcPr>
            <w:tcW w:w="1567" w:type="dxa"/>
            <w:tcBorders>
              <w:left w:val="single" w:sz="6" w:space="0" w:color="auto"/>
              <w:right w:val="single" w:sz="6" w:space="0" w:color="auto"/>
            </w:tcBorders>
          </w:tcPr>
          <w:p w14:paraId="51FB0B01" w14:textId="77777777" w:rsidR="00711444" w:rsidRPr="004D0DAA" w:rsidRDefault="00711444" w:rsidP="00AA2A4C">
            <w:pPr>
              <w:pStyle w:val="TAC"/>
              <w:rPr>
                <w:lang w:eastAsia="en-US"/>
              </w:rPr>
            </w:pPr>
          </w:p>
        </w:tc>
      </w:tr>
    </w:tbl>
    <w:p w14:paraId="4658E774" w14:textId="77777777" w:rsidR="00711444" w:rsidRPr="004D0DAA" w:rsidRDefault="00711444" w:rsidP="00711444">
      <w:pPr>
        <w:pStyle w:val="TAC"/>
      </w:pPr>
    </w:p>
    <w:tbl>
      <w:tblPr>
        <w:tblW w:w="8260" w:type="dxa"/>
        <w:tblInd w:w="1693" w:type="dxa"/>
        <w:tblLayout w:type="fixed"/>
        <w:tblCellMar>
          <w:left w:w="37" w:type="dxa"/>
          <w:right w:w="37" w:type="dxa"/>
        </w:tblCellMar>
        <w:tblLook w:val="0000" w:firstRow="0" w:lastRow="0" w:firstColumn="0" w:lastColumn="0" w:noHBand="0" w:noVBand="0"/>
      </w:tblPr>
      <w:tblGrid>
        <w:gridCol w:w="624"/>
        <w:gridCol w:w="624"/>
        <w:gridCol w:w="624"/>
        <w:gridCol w:w="624"/>
        <w:gridCol w:w="624"/>
        <w:gridCol w:w="624"/>
        <w:gridCol w:w="624"/>
        <w:gridCol w:w="624"/>
        <w:gridCol w:w="1701"/>
        <w:gridCol w:w="1567"/>
      </w:tblGrid>
      <w:tr w:rsidR="00711444" w:rsidRPr="004D0DAA" w14:paraId="3CF976DA" w14:textId="77777777" w:rsidTr="00AA2A4C">
        <w:tblPrEx>
          <w:tblCellMar>
            <w:top w:w="0" w:type="dxa"/>
            <w:bottom w:w="0" w:type="dxa"/>
          </w:tblCellMar>
        </w:tblPrEx>
        <w:trPr>
          <w:cantSplit/>
        </w:trPr>
        <w:tc>
          <w:tcPr>
            <w:tcW w:w="4992" w:type="dxa"/>
            <w:gridSpan w:val="8"/>
          </w:tcPr>
          <w:p w14:paraId="5BB4155F" w14:textId="77777777" w:rsidR="00711444" w:rsidRPr="004D0DAA" w:rsidRDefault="00711444" w:rsidP="00AA2A4C">
            <w:pPr>
              <w:pStyle w:val="TAC"/>
              <w:rPr>
                <w:lang w:eastAsia="en-US"/>
              </w:rPr>
            </w:pPr>
            <w:r w:rsidRPr="004D0DAA">
              <w:rPr>
                <w:lang w:eastAsia="en-US"/>
              </w:rPr>
              <w:t>2</w:t>
            </w:r>
            <w:r w:rsidRPr="004D0DAA">
              <w:rPr>
                <w:vertAlign w:val="superscript"/>
                <w:lang w:eastAsia="en-US"/>
              </w:rPr>
              <w:t>nd</w:t>
            </w:r>
            <w:r w:rsidRPr="004D0DAA">
              <w:rPr>
                <w:lang w:eastAsia="en-US"/>
              </w:rPr>
              <w:t xml:space="preserve"> RLC block of the TBF</w:t>
            </w:r>
          </w:p>
        </w:tc>
        <w:tc>
          <w:tcPr>
            <w:tcW w:w="1701" w:type="dxa"/>
          </w:tcPr>
          <w:p w14:paraId="26A4BB40" w14:textId="77777777" w:rsidR="00711444" w:rsidRPr="004D0DAA" w:rsidRDefault="00711444" w:rsidP="00AA2A4C"/>
        </w:tc>
        <w:tc>
          <w:tcPr>
            <w:tcW w:w="1567" w:type="dxa"/>
            <w:tcBorders>
              <w:left w:val="single" w:sz="6" w:space="0" w:color="auto"/>
              <w:right w:val="single" w:sz="6" w:space="0" w:color="auto"/>
            </w:tcBorders>
          </w:tcPr>
          <w:p w14:paraId="18B042A5" w14:textId="77777777" w:rsidR="00711444" w:rsidRPr="004D0DAA" w:rsidRDefault="00711444" w:rsidP="00AA2A4C">
            <w:pPr>
              <w:pStyle w:val="TAC"/>
              <w:rPr>
                <w:lang w:eastAsia="en-US"/>
              </w:rPr>
            </w:pPr>
          </w:p>
        </w:tc>
      </w:tr>
      <w:tr w:rsidR="00711444" w:rsidRPr="004D0DAA" w14:paraId="40DB1811" w14:textId="77777777" w:rsidTr="00AA2A4C">
        <w:tblPrEx>
          <w:tblCellMar>
            <w:top w:w="0" w:type="dxa"/>
            <w:bottom w:w="0" w:type="dxa"/>
          </w:tblCellMar>
        </w:tblPrEx>
        <w:trPr>
          <w:cantSplit/>
        </w:trPr>
        <w:tc>
          <w:tcPr>
            <w:tcW w:w="4992" w:type="dxa"/>
            <w:gridSpan w:val="8"/>
          </w:tcPr>
          <w:p w14:paraId="49516AE7" w14:textId="77777777" w:rsidR="00711444" w:rsidRPr="004D0DAA" w:rsidRDefault="00711444" w:rsidP="00AA2A4C">
            <w:pPr>
              <w:pStyle w:val="TAC"/>
              <w:rPr>
                <w:lang w:eastAsia="en-US"/>
              </w:rPr>
            </w:pPr>
            <w:r w:rsidRPr="004D0DAA">
              <w:rPr>
                <w:lang w:eastAsia="en-US"/>
              </w:rPr>
              <w:t>Bit</w:t>
            </w:r>
          </w:p>
        </w:tc>
        <w:tc>
          <w:tcPr>
            <w:tcW w:w="1701" w:type="dxa"/>
          </w:tcPr>
          <w:p w14:paraId="537EF45C" w14:textId="77777777" w:rsidR="00711444" w:rsidRPr="004D0DAA" w:rsidRDefault="00711444" w:rsidP="00AA2A4C"/>
        </w:tc>
        <w:tc>
          <w:tcPr>
            <w:tcW w:w="1567" w:type="dxa"/>
            <w:tcBorders>
              <w:left w:val="single" w:sz="6" w:space="0" w:color="auto"/>
              <w:right w:val="single" w:sz="6" w:space="0" w:color="auto"/>
            </w:tcBorders>
          </w:tcPr>
          <w:p w14:paraId="48716276" w14:textId="77777777" w:rsidR="00711444" w:rsidRPr="004D0DAA" w:rsidRDefault="00711444" w:rsidP="00AA2A4C">
            <w:pPr>
              <w:pStyle w:val="TAC"/>
              <w:rPr>
                <w:lang w:eastAsia="en-US"/>
              </w:rPr>
            </w:pPr>
          </w:p>
        </w:tc>
      </w:tr>
      <w:tr w:rsidR="00711444" w:rsidRPr="004D0DAA" w14:paraId="2F3B97A5" w14:textId="77777777" w:rsidTr="00AA2A4C">
        <w:tblPrEx>
          <w:tblCellMar>
            <w:top w:w="0" w:type="dxa"/>
            <w:bottom w:w="0" w:type="dxa"/>
          </w:tblCellMar>
        </w:tblPrEx>
        <w:trPr>
          <w:cantSplit/>
        </w:trPr>
        <w:tc>
          <w:tcPr>
            <w:tcW w:w="624" w:type="dxa"/>
          </w:tcPr>
          <w:p w14:paraId="30371DCB" w14:textId="77777777" w:rsidR="00711444" w:rsidRPr="004D0DAA" w:rsidRDefault="00711444" w:rsidP="00AA2A4C">
            <w:pPr>
              <w:pStyle w:val="TAC"/>
              <w:rPr>
                <w:lang w:eastAsia="en-US"/>
              </w:rPr>
            </w:pPr>
            <w:r w:rsidRPr="004D0DAA">
              <w:rPr>
                <w:lang w:eastAsia="en-US"/>
              </w:rPr>
              <w:t>8</w:t>
            </w:r>
          </w:p>
        </w:tc>
        <w:tc>
          <w:tcPr>
            <w:tcW w:w="624" w:type="dxa"/>
          </w:tcPr>
          <w:p w14:paraId="4D7EB183" w14:textId="77777777" w:rsidR="00711444" w:rsidRPr="004D0DAA" w:rsidRDefault="00711444" w:rsidP="00AA2A4C">
            <w:pPr>
              <w:pStyle w:val="TAC"/>
              <w:rPr>
                <w:lang w:eastAsia="en-US"/>
              </w:rPr>
            </w:pPr>
            <w:r w:rsidRPr="004D0DAA">
              <w:rPr>
                <w:lang w:eastAsia="en-US"/>
              </w:rPr>
              <w:t>7</w:t>
            </w:r>
          </w:p>
        </w:tc>
        <w:tc>
          <w:tcPr>
            <w:tcW w:w="624" w:type="dxa"/>
          </w:tcPr>
          <w:p w14:paraId="106CD458" w14:textId="77777777" w:rsidR="00711444" w:rsidRPr="004D0DAA" w:rsidRDefault="00711444" w:rsidP="00AA2A4C">
            <w:pPr>
              <w:pStyle w:val="TAC"/>
              <w:rPr>
                <w:lang w:eastAsia="en-US"/>
              </w:rPr>
            </w:pPr>
            <w:r w:rsidRPr="004D0DAA">
              <w:rPr>
                <w:lang w:eastAsia="en-US"/>
              </w:rPr>
              <w:t>6</w:t>
            </w:r>
          </w:p>
        </w:tc>
        <w:tc>
          <w:tcPr>
            <w:tcW w:w="624" w:type="dxa"/>
          </w:tcPr>
          <w:p w14:paraId="3A1B0112" w14:textId="77777777" w:rsidR="00711444" w:rsidRPr="004D0DAA" w:rsidRDefault="00711444" w:rsidP="00AA2A4C">
            <w:pPr>
              <w:pStyle w:val="TAC"/>
              <w:rPr>
                <w:lang w:eastAsia="en-US"/>
              </w:rPr>
            </w:pPr>
            <w:r w:rsidRPr="004D0DAA">
              <w:rPr>
                <w:lang w:eastAsia="en-US"/>
              </w:rPr>
              <w:t>5</w:t>
            </w:r>
          </w:p>
        </w:tc>
        <w:tc>
          <w:tcPr>
            <w:tcW w:w="624" w:type="dxa"/>
          </w:tcPr>
          <w:p w14:paraId="3904E5DB" w14:textId="77777777" w:rsidR="00711444" w:rsidRPr="004D0DAA" w:rsidRDefault="00711444" w:rsidP="00AA2A4C">
            <w:pPr>
              <w:pStyle w:val="TAC"/>
              <w:rPr>
                <w:lang w:eastAsia="en-US"/>
              </w:rPr>
            </w:pPr>
            <w:r w:rsidRPr="004D0DAA">
              <w:rPr>
                <w:lang w:eastAsia="en-US"/>
              </w:rPr>
              <w:t>4</w:t>
            </w:r>
          </w:p>
        </w:tc>
        <w:tc>
          <w:tcPr>
            <w:tcW w:w="624" w:type="dxa"/>
          </w:tcPr>
          <w:p w14:paraId="0BF2E5FE"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006DF62D" w14:textId="77777777" w:rsidR="00711444" w:rsidRPr="004D0DAA" w:rsidRDefault="00711444" w:rsidP="00AA2A4C">
            <w:pPr>
              <w:pStyle w:val="TAC"/>
              <w:rPr>
                <w:lang w:eastAsia="en-US"/>
              </w:rPr>
            </w:pPr>
            <w:r w:rsidRPr="004D0DAA">
              <w:rPr>
                <w:lang w:eastAsia="en-US"/>
              </w:rPr>
              <w:t>2</w:t>
            </w:r>
          </w:p>
        </w:tc>
        <w:tc>
          <w:tcPr>
            <w:tcW w:w="624" w:type="dxa"/>
          </w:tcPr>
          <w:p w14:paraId="1589D8F8" w14:textId="77777777" w:rsidR="00711444" w:rsidRPr="004D0DAA" w:rsidRDefault="00711444" w:rsidP="00AA2A4C">
            <w:pPr>
              <w:pStyle w:val="TAC"/>
              <w:rPr>
                <w:lang w:eastAsia="en-US"/>
              </w:rPr>
            </w:pPr>
            <w:r w:rsidRPr="004D0DAA">
              <w:rPr>
                <w:lang w:eastAsia="en-US"/>
              </w:rPr>
              <w:t>1</w:t>
            </w:r>
          </w:p>
        </w:tc>
        <w:tc>
          <w:tcPr>
            <w:tcW w:w="1701" w:type="dxa"/>
          </w:tcPr>
          <w:p w14:paraId="6455538C" w14:textId="77777777" w:rsidR="00711444" w:rsidRPr="004D0DAA" w:rsidRDefault="00711444" w:rsidP="00AA2A4C"/>
        </w:tc>
        <w:tc>
          <w:tcPr>
            <w:tcW w:w="1567" w:type="dxa"/>
            <w:tcBorders>
              <w:left w:val="single" w:sz="6" w:space="0" w:color="auto"/>
              <w:right w:val="single" w:sz="6" w:space="0" w:color="auto"/>
            </w:tcBorders>
          </w:tcPr>
          <w:p w14:paraId="387302B4" w14:textId="77777777" w:rsidR="00711444" w:rsidRPr="004D0DAA" w:rsidRDefault="00711444" w:rsidP="00AA2A4C">
            <w:pPr>
              <w:pStyle w:val="TAC"/>
              <w:rPr>
                <w:lang w:eastAsia="en-US"/>
              </w:rPr>
            </w:pPr>
          </w:p>
        </w:tc>
      </w:tr>
      <w:tr w:rsidR="00711444" w:rsidRPr="004D0DAA" w14:paraId="039EA8C4" w14:textId="77777777" w:rsidTr="00AA2A4C">
        <w:tblPrEx>
          <w:tblCellMar>
            <w:top w:w="0" w:type="dxa"/>
            <w:bottom w:w="0" w:type="dxa"/>
          </w:tblCellMar>
        </w:tblPrEx>
        <w:trPr>
          <w:cantSplit/>
        </w:trPr>
        <w:tc>
          <w:tcPr>
            <w:tcW w:w="624" w:type="dxa"/>
            <w:tcBorders>
              <w:top w:val="single" w:sz="6" w:space="0" w:color="auto"/>
              <w:left w:val="single" w:sz="6" w:space="0" w:color="auto"/>
            </w:tcBorders>
          </w:tcPr>
          <w:p w14:paraId="1C357022" w14:textId="77777777" w:rsidR="00711444" w:rsidRPr="004D0DAA" w:rsidRDefault="00711444" w:rsidP="00AA2A4C"/>
        </w:tc>
        <w:tc>
          <w:tcPr>
            <w:tcW w:w="624" w:type="dxa"/>
            <w:tcBorders>
              <w:top w:val="single" w:sz="6" w:space="0" w:color="auto"/>
            </w:tcBorders>
          </w:tcPr>
          <w:p w14:paraId="491B7E00" w14:textId="77777777" w:rsidR="00711444" w:rsidRPr="004D0DAA" w:rsidRDefault="00711444" w:rsidP="00AA2A4C"/>
        </w:tc>
        <w:tc>
          <w:tcPr>
            <w:tcW w:w="624" w:type="dxa"/>
            <w:tcBorders>
              <w:top w:val="single" w:sz="6" w:space="0" w:color="auto"/>
            </w:tcBorders>
          </w:tcPr>
          <w:p w14:paraId="3EBDA1F0" w14:textId="77777777" w:rsidR="00711444" w:rsidRPr="004D0DAA" w:rsidRDefault="00711444" w:rsidP="00AA2A4C"/>
        </w:tc>
        <w:tc>
          <w:tcPr>
            <w:tcW w:w="624" w:type="dxa"/>
            <w:tcBorders>
              <w:top w:val="single" w:sz="6" w:space="0" w:color="auto"/>
            </w:tcBorders>
          </w:tcPr>
          <w:p w14:paraId="0BFA4929" w14:textId="77777777" w:rsidR="00711444" w:rsidRPr="004D0DAA" w:rsidRDefault="00711444" w:rsidP="00AA2A4C"/>
        </w:tc>
        <w:tc>
          <w:tcPr>
            <w:tcW w:w="624" w:type="dxa"/>
            <w:tcBorders>
              <w:top w:val="single" w:sz="6" w:space="0" w:color="auto"/>
            </w:tcBorders>
          </w:tcPr>
          <w:p w14:paraId="1BD55CA0" w14:textId="77777777" w:rsidR="00711444" w:rsidRPr="004D0DAA" w:rsidRDefault="00711444" w:rsidP="00AA2A4C"/>
        </w:tc>
        <w:tc>
          <w:tcPr>
            <w:tcW w:w="624" w:type="dxa"/>
            <w:tcBorders>
              <w:top w:val="single" w:sz="6" w:space="0" w:color="auto"/>
              <w:right w:val="single" w:sz="4" w:space="0" w:color="auto"/>
            </w:tcBorders>
          </w:tcPr>
          <w:p w14:paraId="634F187A"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6C6ADC8E"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5A9C246D" w14:textId="77777777" w:rsidR="00711444" w:rsidRPr="004D0DAA" w:rsidRDefault="00711444" w:rsidP="00AA2A4C">
            <w:pPr>
              <w:pStyle w:val="TAC"/>
              <w:rPr>
                <w:lang w:eastAsia="en-US"/>
              </w:rPr>
            </w:pPr>
            <w:r w:rsidRPr="004D0DAA">
              <w:rPr>
                <w:lang w:eastAsia="en-US"/>
              </w:rPr>
              <w:t>E = 0</w:t>
            </w:r>
          </w:p>
        </w:tc>
        <w:tc>
          <w:tcPr>
            <w:tcW w:w="1701" w:type="dxa"/>
          </w:tcPr>
          <w:p w14:paraId="332E58B8" w14:textId="77777777" w:rsidR="00711444" w:rsidRPr="004D0DAA" w:rsidRDefault="00711444" w:rsidP="00AA2A4C">
            <w:pPr>
              <w:pStyle w:val="TAC"/>
              <w:rPr>
                <w:lang w:eastAsia="en-US"/>
              </w:rPr>
            </w:pPr>
            <w:r w:rsidRPr="004D0DAA">
              <w:rPr>
                <w:lang w:eastAsia="en-US"/>
              </w:rPr>
              <w:t xml:space="preserve"> </w:t>
            </w:r>
          </w:p>
        </w:tc>
        <w:tc>
          <w:tcPr>
            <w:tcW w:w="1567" w:type="dxa"/>
            <w:tcBorders>
              <w:left w:val="single" w:sz="6" w:space="0" w:color="auto"/>
              <w:right w:val="single" w:sz="6" w:space="0" w:color="auto"/>
            </w:tcBorders>
          </w:tcPr>
          <w:p w14:paraId="140E4CA2" w14:textId="77777777" w:rsidR="00711444" w:rsidRPr="004D0DAA" w:rsidRDefault="00711444" w:rsidP="00AA2A4C">
            <w:pPr>
              <w:pStyle w:val="TAC"/>
              <w:rPr>
                <w:lang w:eastAsia="en-US"/>
              </w:rPr>
            </w:pPr>
          </w:p>
        </w:tc>
      </w:tr>
      <w:tr w:rsidR="00711444" w:rsidRPr="004D0DAA" w14:paraId="2F3585A6" w14:textId="77777777" w:rsidTr="00AA2A4C">
        <w:tblPrEx>
          <w:tblCellMar>
            <w:top w:w="0" w:type="dxa"/>
            <w:bottom w:w="0" w:type="dxa"/>
          </w:tblCellMar>
        </w:tblPrEx>
        <w:trPr>
          <w:cantSplit/>
        </w:trPr>
        <w:tc>
          <w:tcPr>
            <w:tcW w:w="4368" w:type="dxa"/>
            <w:gridSpan w:val="7"/>
            <w:tcBorders>
              <w:top w:val="single" w:sz="6" w:space="0" w:color="auto"/>
              <w:left w:val="single" w:sz="6" w:space="0" w:color="auto"/>
              <w:right w:val="single" w:sz="6" w:space="0" w:color="auto"/>
            </w:tcBorders>
          </w:tcPr>
          <w:p w14:paraId="78BD065F" w14:textId="77777777" w:rsidR="00711444" w:rsidRPr="004D0DAA" w:rsidRDefault="00711444" w:rsidP="00AA2A4C">
            <w:pPr>
              <w:pStyle w:val="TAC"/>
              <w:rPr>
                <w:lang w:eastAsia="en-US"/>
              </w:rPr>
            </w:pPr>
            <w:r w:rsidRPr="004D0DAA">
              <w:rPr>
                <w:lang w:eastAsia="en-US"/>
              </w:rPr>
              <w:t>Length indicator = 11</w:t>
            </w:r>
          </w:p>
        </w:tc>
        <w:tc>
          <w:tcPr>
            <w:tcW w:w="624" w:type="dxa"/>
            <w:tcBorders>
              <w:top w:val="single" w:sz="6" w:space="0" w:color="auto"/>
              <w:left w:val="single" w:sz="6" w:space="0" w:color="auto"/>
              <w:bottom w:val="single" w:sz="6" w:space="0" w:color="auto"/>
              <w:right w:val="single" w:sz="6" w:space="0" w:color="auto"/>
            </w:tcBorders>
          </w:tcPr>
          <w:p w14:paraId="06AA59EF" w14:textId="77777777" w:rsidR="00711444" w:rsidRPr="004D0DAA" w:rsidRDefault="00711444" w:rsidP="00AA2A4C">
            <w:pPr>
              <w:pStyle w:val="TAC"/>
              <w:rPr>
                <w:lang w:eastAsia="en-US"/>
              </w:rPr>
            </w:pPr>
            <w:r w:rsidRPr="004D0DAA">
              <w:rPr>
                <w:lang w:eastAsia="en-US"/>
              </w:rPr>
              <w:t>E = 0</w:t>
            </w:r>
          </w:p>
        </w:tc>
        <w:tc>
          <w:tcPr>
            <w:tcW w:w="1701" w:type="dxa"/>
            <w:tcBorders>
              <w:left w:val="single" w:sz="6" w:space="0" w:color="auto"/>
            </w:tcBorders>
          </w:tcPr>
          <w:p w14:paraId="5048DD32"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165AA9EC" w14:textId="77777777" w:rsidR="00711444" w:rsidRPr="004D0DAA" w:rsidRDefault="00711444" w:rsidP="00AA2A4C">
            <w:pPr>
              <w:pStyle w:val="TAC"/>
              <w:rPr>
                <w:lang w:eastAsia="en-US"/>
              </w:rPr>
            </w:pPr>
            <w:r w:rsidRPr="004D0DAA">
              <w:rPr>
                <w:lang w:eastAsia="en-US"/>
              </w:rPr>
              <w:t>LLC PDU 3</w:t>
            </w:r>
          </w:p>
        </w:tc>
      </w:tr>
      <w:tr w:rsidR="00711444" w:rsidRPr="004D0DAA" w14:paraId="25A7E3BA" w14:textId="77777777" w:rsidTr="00AA2A4C">
        <w:tblPrEx>
          <w:tblCellMar>
            <w:top w:w="0" w:type="dxa"/>
            <w:bottom w:w="0" w:type="dxa"/>
          </w:tblCellMar>
        </w:tblPrEx>
        <w:trPr>
          <w:cantSplit/>
        </w:trPr>
        <w:tc>
          <w:tcPr>
            <w:tcW w:w="4368" w:type="dxa"/>
            <w:gridSpan w:val="7"/>
            <w:tcBorders>
              <w:top w:val="single" w:sz="6" w:space="0" w:color="auto"/>
              <w:left w:val="single" w:sz="6" w:space="0" w:color="auto"/>
              <w:bottom w:val="single" w:sz="6" w:space="0" w:color="auto"/>
              <w:right w:val="single" w:sz="6" w:space="0" w:color="auto"/>
            </w:tcBorders>
          </w:tcPr>
          <w:p w14:paraId="3354ECA6" w14:textId="77777777" w:rsidR="00711444" w:rsidRPr="004D0DAA" w:rsidRDefault="00711444" w:rsidP="00AA2A4C">
            <w:pPr>
              <w:pStyle w:val="TAC"/>
              <w:rPr>
                <w:lang w:eastAsia="en-US"/>
              </w:rPr>
            </w:pPr>
            <w:r w:rsidRPr="004D0DAA">
              <w:rPr>
                <w:lang w:eastAsia="en-US"/>
              </w:rPr>
              <w:t>Length indicator = 26</w:t>
            </w:r>
          </w:p>
        </w:tc>
        <w:tc>
          <w:tcPr>
            <w:tcW w:w="624" w:type="dxa"/>
            <w:tcBorders>
              <w:top w:val="single" w:sz="6" w:space="0" w:color="auto"/>
              <w:left w:val="single" w:sz="6" w:space="0" w:color="auto"/>
              <w:bottom w:val="single" w:sz="6" w:space="0" w:color="auto"/>
              <w:right w:val="single" w:sz="6" w:space="0" w:color="auto"/>
            </w:tcBorders>
          </w:tcPr>
          <w:p w14:paraId="5C0770BF"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247D446D"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74B6D8CB" w14:textId="77777777" w:rsidR="00711444" w:rsidRPr="004D0DAA" w:rsidRDefault="00711444" w:rsidP="00AA2A4C">
            <w:pPr>
              <w:pStyle w:val="TAC"/>
              <w:rPr>
                <w:lang w:eastAsia="en-US"/>
              </w:rPr>
            </w:pPr>
          </w:p>
        </w:tc>
      </w:tr>
      <w:tr w:rsidR="00711444" w:rsidRPr="004D0DAA" w14:paraId="22C7EA86" w14:textId="77777777" w:rsidTr="00AA2A4C">
        <w:tblPrEx>
          <w:tblCellMar>
            <w:top w:w="0" w:type="dxa"/>
            <w:bottom w:w="0" w:type="dxa"/>
          </w:tblCellMar>
        </w:tblPrEx>
        <w:trPr>
          <w:cantSplit/>
        </w:trPr>
        <w:tc>
          <w:tcPr>
            <w:tcW w:w="624" w:type="dxa"/>
            <w:tcBorders>
              <w:left w:val="single" w:sz="6" w:space="0" w:color="auto"/>
            </w:tcBorders>
          </w:tcPr>
          <w:p w14:paraId="34D81357" w14:textId="77777777" w:rsidR="00711444" w:rsidRPr="004D0DAA" w:rsidRDefault="00711444" w:rsidP="00AA2A4C"/>
        </w:tc>
        <w:tc>
          <w:tcPr>
            <w:tcW w:w="624" w:type="dxa"/>
          </w:tcPr>
          <w:p w14:paraId="606AAFFE" w14:textId="77777777" w:rsidR="00711444" w:rsidRPr="004D0DAA" w:rsidRDefault="00711444" w:rsidP="00AA2A4C"/>
        </w:tc>
        <w:tc>
          <w:tcPr>
            <w:tcW w:w="624" w:type="dxa"/>
          </w:tcPr>
          <w:p w14:paraId="77EE96BC" w14:textId="77777777" w:rsidR="00711444" w:rsidRPr="004D0DAA" w:rsidRDefault="00711444" w:rsidP="00AA2A4C"/>
        </w:tc>
        <w:tc>
          <w:tcPr>
            <w:tcW w:w="624" w:type="dxa"/>
          </w:tcPr>
          <w:p w14:paraId="1719A6FB" w14:textId="77777777" w:rsidR="00711444" w:rsidRPr="004D0DAA" w:rsidRDefault="00711444" w:rsidP="00AA2A4C"/>
        </w:tc>
        <w:tc>
          <w:tcPr>
            <w:tcW w:w="624" w:type="dxa"/>
          </w:tcPr>
          <w:p w14:paraId="4E27A840" w14:textId="77777777" w:rsidR="00711444" w:rsidRPr="004D0DAA" w:rsidRDefault="00711444" w:rsidP="00AA2A4C"/>
        </w:tc>
        <w:tc>
          <w:tcPr>
            <w:tcW w:w="624" w:type="dxa"/>
          </w:tcPr>
          <w:p w14:paraId="626E7A83" w14:textId="77777777" w:rsidR="00711444" w:rsidRPr="004D0DAA" w:rsidRDefault="00711444" w:rsidP="00AA2A4C"/>
        </w:tc>
        <w:tc>
          <w:tcPr>
            <w:tcW w:w="624" w:type="dxa"/>
          </w:tcPr>
          <w:p w14:paraId="435ED692" w14:textId="77777777" w:rsidR="00711444" w:rsidRPr="004D0DAA" w:rsidRDefault="00711444" w:rsidP="00AA2A4C"/>
        </w:tc>
        <w:tc>
          <w:tcPr>
            <w:tcW w:w="624" w:type="dxa"/>
            <w:tcBorders>
              <w:right w:val="single" w:sz="6" w:space="0" w:color="auto"/>
            </w:tcBorders>
          </w:tcPr>
          <w:p w14:paraId="285A76DB" w14:textId="77777777" w:rsidR="00711444" w:rsidRPr="004D0DAA" w:rsidRDefault="00711444" w:rsidP="00AA2A4C"/>
        </w:tc>
        <w:tc>
          <w:tcPr>
            <w:tcW w:w="1701" w:type="dxa"/>
          </w:tcPr>
          <w:p w14:paraId="318E84E7"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438D677C" w14:textId="77777777" w:rsidR="00711444" w:rsidRPr="004D0DAA" w:rsidRDefault="00711444" w:rsidP="00AA2A4C">
            <w:pPr>
              <w:pStyle w:val="TAC"/>
              <w:rPr>
                <w:lang w:eastAsia="en-US"/>
              </w:rPr>
            </w:pPr>
          </w:p>
        </w:tc>
      </w:tr>
      <w:tr w:rsidR="00711444" w:rsidRPr="004D0DAA" w14:paraId="454D61B4"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6A7CCE6D" w14:textId="77777777" w:rsidR="00711444" w:rsidRPr="004D0DAA" w:rsidRDefault="00711444" w:rsidP="00AA2A4C">
            <w:pPr>
              <w:pStyle w:val="TAC"/>
              <w:rPr>
                <w:lang w:eastAsia="en-US"/>
              </w:rPr>
            </w:pPr>
            <w:r w:rsidRPr="004D0DAA">
              <w:rPr>
                <w:lang w:eastAsia="en-US"/>
              </w:rPr>
              <w:br/>
              <w:t>LLC PDU 3 (cont)</w:t>
            </w:r>
          </w:p>
        </w:tc>
        <w:tc>
          <w:tcPr>
            <w:tcW w:w="1701" w:type="dxa"/>
          </w:tcPr>
          <w:p w14:paraId="51080AD5" w14:textId="77777777" w:rsidR="00711444" w:rsidRPr="004D0DAA" w:rsidRDefault="00711444" w:rsidP="00AA2A4C">
            <w:pPr>
              <w:pStyle w:val="TAC"/>
              <w:rPr>
                <w:lang w:eastAsia="en-US"/>
              </w:rPr>
            </w:pPr>
            <w:r w:rsidRPr="004D0DAA">
              <w:rPr>
                <w:lang w:eastAsia="en-US"/>
              </w:rPr>
              <w:t>.</w:t>
            </w:r>
          </w:p>
          <w:p w14:paraId="3C94620C" w14:textId="77777777" w:rsidR="00711444" w:rsidRPr="004D0DAA" w:rsidRDefault="00711444" w:rsidP="00AA2A4C">
            <w:pPr>
              <w:pStyle w:val="TAC"/>
              <w:rPr>
                <w:lang w:eastAsia="en-US"/>
              </w:rPr>
            </w:pPr>
            <w:r w:rsidRPr="004D0DAA">
              <w:rPr>
                <w:lang w:eastAsia="en-US"/>
              </w:rPr>
              <w:t>.</w:t>
            </w:r>
          </w:p>
          <w:p w14:paraId="238249F1"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585B6563" w14:textId="77777777" w:rsidR="00711444" w:rsidRPr="004D0DAA" w:rsidRDefault="00711444" w:rsidP="00AA2A4C">
            <w:pPr>
              <w:pStyle w:val="TAC"/>
              <w:rPr>
                <w:lang w:eastAsia="en-US"/>
              </w:rPr>
            </w:pPr>
          </w:p>
        </w:tc>
      </w:tr>
      <w:tr w:rsidR="00711444" w:rsidRPr="004D0DAA" w14:paraId="3A3790BF"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44AA0EF5" w14:textId="77777777" w:rsidR="00711444" w:rsidRPr="004D0DAA" w:rsidRDefault="00711444" w:rsidP="00AA2A4C"/>
        </w:tc>
        <w:tc>
          <w:tcPr>
            <w:tcW w:w="624" w:type="dxa"/>
            <w:tcBorders>
              <w:bottom w:val="single" w:sz="6" w:space="0" w:color="auto"/>
            </w:tcBorders>
          </w:tcPr>
          <w:p w14:paraId="4B0C9B4E" w14:textId="77777777" w:rsidR="00711444" w:rsidRPr="004D0DAA" w:rsidRDefault="00711444" w:rsidP="00AA2A4C"/>
        </w:tc>
        <w:tc>
          <w:tcPr>
            <w:tcW w:w="624" w:type="dxa"/>
            <w:tcBorders>
              <w:bottom w:val="single" w:sz="6" w:space="0" w:color="auto"/>
            </w:tcBorders>
          </w:tcPr>
          <w:p w14:paraId="3DAED20F" w14:textId="77777777" w:rsidR="00711444" w:rsidRPr="004D0DAA" w:rsidRDefault="00711444" w:rsidP="00AA2A4C"/>
        </w:tc>
        <w:tc>
          <w:tcPr>
            <w:tcW w:w="624" w:type="dxa"/>
            <w:tcBorders>
              <w:bottom w:val="single" w:sz="6" w:space="0" w:color="auto"/>
            </w:tcBorders>
          </w:tcPr>
          <w:p w14:paraId="76BD514D" w14:textId="77777777" w:rsidR="00711444" w:rsidRPr="004D0DAA" w:rsidRDefault="00711444" w:rsidP="00AA2A4C"/>
        </w:tc>
        <w:tc>
          <w:tcPr>
            <w:tcW w:w="624" w:type="dxa"/>
            <w:tcBorders>
              <w:bottom w:val="single" w:sz="6" w:space="0" w:color="auto"/>
            </w:tcBorders>
          </w:tcPr>
          <w:p w14:paraId="57E4FE97" w14:textId="77777777" w:rsidR="00711444" w:rsidRPr="004D0DAA" w:rsidRDefault="00711444" w:rsidP="00AA2A4C"/>
        </w:tc>
        <w:tc>
          <w:tcPr>
            <w:tcW w:w="624" w:type="dxa"/>
            <w:tcBorders>
              <w:bottom w:val="single" w:sz="6" w:space="0" w:color="auto"/>
            </w:tcBorders>
          </w:tcPr>
          <w:p w14:paraId="0707DE5F" w14:textId="77777777" w:rsidR="00711444" w:rsidRPr="004D0DAA" w:rsidRDefault="00711444" w:rsidP="00AA2A4C"/>
        </w:tc>
        <w:tc>
          <w:tcPr>
            <w:tcW w:w="624" w:type="dxa"/>
            <w:tcBorders>
              <w:bottom w:val="single" w:sz="6" w:space="0" w:color="auto"/>
            </w:tcBorders>
          </w:tcPr>
          <w:p w14:paraId="53EA8B1F" w14:textId="77777777" w:rsidR="00711444" w:rsidRPr="004D0DAA" w:rsidRDefault="00711444" w:rsidP="00AA2A4C"/>
        </w:tc>
        <w:tc>
          <w:tcPr>
            <w:tcW w:w="624" w:type="dxa"/>
            <w:tcBorders>
              <w:bottom w:val="single" w:sz="6" w:space="0" w:color="auto"/>
              <w:right w:val="single" w:sz="6" w:space="0" w:color="auto"/>
            </w:tcBorders>
          </w:tcPr>
          <w:p w14:paraId="67E80F55" w14:textId="77777777" w:rsidR="00711444" w:rsidRPr="004D0DAA" w:rsidRDefault="00711444" w:rsidP="00AA2A4C"/>
        </w:tc>
        <w:tc>
          <w:tcPr>
            <w:tcW w:w="1701" w:type="dxa"/>
          </w:tcPr>
          <w:p w14:paraId="4CA11F5F" w14:textId="77777777" w:rsidR="00711444" w:rsidRPr="004D0DAA" w:rsidRDefault="00711444" w:rsidP="00AA2A4C">
            <w:pPr>
              <w:pStyle w:val="TAC"/>
              <w:rPr>
                <w:lang w:eastAsia="en-US"/>
              </w:rPr>
            </w:pPr>
            <w:r w:rsidRPr="004D0DAA">
              <w:rPr>
                <w:lang w:eastAsia="en-US"/>
              </w:rPr>
              <w:t>Octet 13</w:t>
            </w:r>
          </w:p>
        </w:tc>
        <w:tc>
          <w:tcPr>
            <w:tcW w:w="1567" w:type="dxa"/>
            <w:tcBorders>
              <w:left w:val="single" w:sz="6" w:space="0" w:color="auto"/>
              <w:right w:val="single" w:sz="6" w:space="0" w:color="auto"/>
            </w:tcBorders>
          </w:tcPr>
          <w:p w14:paraId="5C3D6424" w14:textId="77777777" w:rsidR="00711444" w:rsidRPr="004D0DAA" w:rsidRDefault="00711444" w:rsidP="00AA2A4C">
            <w:pPr>
              <w:pStyle w:val="TAC"/>
              <w:rPr>
                <w:lang w:eastAsia="en-US"/>
              </w:rPr>
            </w:pPr>
          </w:p>
        </w:tc>
      </w:tr>
      <w:tr w:rsidR="00711444" w:rsidRPr="004D0DAA" w14:paraId="30E6B35A" w14:textId="77777777" w:rsidTr="00AA2A4C">
        <w:tblPrEx>
          <w:tblCellMar>
            <w:top w:w="0" w:type="dxa"/>
            <w:bottom w:w="0" w:type="dxa"/>
          </w:tblCellMar>
        </w:tblPrEx>
        <w:trPr>
          <w:cantSplit/>
        </w:trPr>
        <w:tc>
          <w:tcPr>
            <w:tcW w:w="624" w:type="dxa"/>
            <w:tcBorders>
              <w:left w:val="single" w:sz="6" w:space="0" w:color="auto"/>
            </w:tcBorders>
          </w:tcPr>
          <w:p w14:paraId="00B8B6CC" w14:textId="77777777" w:rsidR="00711444" w:rsidRPr="004D0DAA" w:rsidRDefault="00711444" w:rsidP="00AA2A4C"/>
        </w:tc>
        <w:tc>
          <w:tcPr>
            <w:tcW w:w="624" w:type="dxa"/>
          </w:tcPr>
          <w:p w14:paraId="4949678E" w14:textId="77777777" w:rsidR="00711444" w:rsidRPr="004D0DAA" w:rsidRDefault="00711444" w:rsidP="00AA2A4C"/>
        </w:tc>
        <w:tc>
          <w:tcPr>
            <w:tcW w:w="624" w:type="dxa"/>
          </w:tcPr>
          <w:p w14:paraId="20169C50" w14:textId="77777777" w:rsidR="00711444" w:rsidRPr="004D0DAA" w:rsidRDefault="00711444" w:rsidP="00AA2A4C"/>
        </w:tc>
        <w:tc>
          <w:tcPr>
            <w:tcW w:w="624" w:type="dxa"/>
          </w:tcPr>
          <w:p w14:paraId="1E777352" w14:textId="77777777" w:rsidR="00711444" w:rsidRPr="004D0DAA" w:rsidRDefault="00711444" w:rsidP="00AA2A4C"/>
        </w:tc>
        <w:tc>
          <w:tcPr>
            <w:tcW w:w="624" w:type="dxa"/>
          </w:tcPr>
          <w:p w14:paraId="678FC47D" w14:textId="77777777" w:rsidR="00711444" w:rsidRPr="004D0DAA" w:rsidRDefault="00711444" w:rsidP="00AA2A4C"/>
        </w:tc>
        <w:tc>
          <w:tcPr>
            <w:tcW w:w="624" w:type="dxa"/>
          </w:tcPr>
          <w:p w14:paraId="1171D5FD" w14:textId="77777777" w:rsidR="00711444" w:rsidRPr="004D0DAA" w:rsidRDefault="00711444" w:rsidP="00AA2A4C"/>
        </w:tc>
        <w:tc>
          <w:tcPr>
            <w:tcW w:w="624" w:type="dxa"/>
          </w:tcPr>
          <w:p w14:paraId="572B17EF" w14:textId="77777777" w:rsidR="00711444" w:rsidRPr="004D0DAA" w:rsidRDefault="00711444" w:rsidP="00AA2A4C"/>
        </w:tc>
        <w:tc>
          <w:tcPr>
            <w:tcW w:w="624" w:type="dxa"/>
            <w:tcBorders>
              <w:right w:val="single" w:sz="6" w:space="0" w:color="auto"/>
            </w:tcBorders>
          </w:tcPr>
          <w:p w14:paraId="2B42218A" w14:textId="77777777" w:rsidR="00711444" w:rsidRPr="004D0DAA" w:rsidRDefault="00711444" w:rsidP="00AA2A4C"/>
        </w:tc>
        <w:tc>
          <w:tcPr>
            <w:tcW w:w="1701" w:type="dxa"/>
          </w:tcPr>
          <w:p w14:paraId="230D6C53" w14:textId="77777777" w:rsidR="00711444" w:rsidRPr="004D0DAA" w:rsidRDefault="00711444" w:rsidP="00AA2A4C">
            <w:pPr>
              <w:pStyle w:val="TAC"/>
              <w:rPr>
                <w:lang w:eastAsia="en-US"/>
              </w:rPr>
            </w:pPr>
            <w:r w:rsidRPr="004D0DAA">
              <w:rPr>
                <w:lang w:eastAsia="en-US"/>
              </w:rPr>
              <w:t>Octet 14</w:t>
            </w:r>
          </w:p>
        </w:tc>
        <w:tc>
          <w:tcPr>
            <w:tcW w:w="1567" w:type="dxa"/>
            <w:tcBorders>
              <w:top w:val="single" w:sz="6" w:space="0" w:color="auto"/>
              <w:left w:val="single" w:sz="6" w:space="0" w:color="auto"/>
              <w:right w:val="single" w:sz="6" w:space="0" w:color="auto"/>
            </w:tcBorders>
          </w:tcPr>
          <w:p w14:paraId="550160AD" w14:textId="77777777" w:rsidR="00711444" w:rsidRPr="004D0DAA" w:rsidRDefault="00711444" w:rsidP="00AA2A4C">
            <w:pPr>
              <w:pStyle w:val="TAC"/>
              <w:rPr>
                <w:lang w:eastAsia="en-US"/>
              </w:rPr>
            </w:pPr>
          </w:p>
        </w:tc>
      </w:tr>
      <w:tr w:rsidR="00711444" w:rsidRPr="004D0DAA" w14:paraId="1CB6399D" w14:textId="77777777" w:rsidTr="00AA2A4C">
        <w:tblPrEx>
          <w:tblCellMar>
            <w:top w:w="0" w:type="dxa"/>
            <w:bottom w:w="0" w:type="dxa"/>
          </w:tblCellMar>
        </w:tblPrEx>
        <w:trPr>
          <w:cantSplit/>
        </w:trPr>
        <w:tc>
          <w:tcPr>
            <w:tcW w:w="624" w:type="dxa"/>
            <w:tcBorders>
              <w:left w:val="single" w:sz="6" w:space="0" w:color="auto"/>
            </w:tcBorders>
          </w:tcPr>
          <w:p w14:paraId="1D7B49C1" w14:textId="77777777" w:rsidR="00711444" w:rsidRPr="004D0DAA" w:rsidRDefault="00711444" w:rsidP="00AA2A4C"/>
        </w:tc>
        <w:tc>
          <w:tcPr>
            <w:tcW w:w="624" w:type="dxa"/>
          </w:tcPr>
          <w:p w14:paraId="1DC94496" w14:textId="77777777" w:rsidR="00711444" w:rsidRPr="004D0DAA" w:rsidRDefault="00711444" w:rsidP="00AA2A4C"/>
        </w:tc>
        <w:tc>
          <w:tcPr>
            <w:tcW w:w="624" w:type="dxa"/>
          </w:tcPr>
          <w:p w14:paraId="4D58EF4E" w14:textId="77777777" w:rsidR="00711444" w:rsidRPr="004D0DAA" w:rsidRDefault="00711444" w:rsidP="00AA2A4C"/>
        </w:tc>
        <w:tc>
          <w:tcPr>
            <w:tcW w:w="624" w:type="dxa"/>
          </w:tcPr>
          <w:p w14:paraId="67E161BE" w14:textId="77777777" w:rsidR="00711444" w:rsidRPr="004D0DAA" w:rsidRDefault="00711444" w:rsidP="00AA2A4C"/>
        </w:tc>
        <w:tc>
          <w:tcPr>
            <w:tcW w:w="624" w:type="dxa"/>
          </w:tcPr>
          <w:p w14:paraId="4C6FB121" w14:textId="77777777" w:rsidR="00711444" w:rsidRPr="004D0DAA" w:rsidRDefault="00711444" w:rsidP="00AA2A4C"/>
        </w:tc>
        <w:tc>
          <w:tcPr>
            <w:tcW w:w="624" w:type="dxa"/>
          </w:tcPr>
          <w:p w14:paraId="73EB2989" w14:textId="77777777" w:rsidR="00711444" w:rsidRPr="004D0DAA" w:rsidRDefault="00711444" w:rsidP="00AA2A4C"/>
        </w:tc>
        <w:tc>
          <w:tcPr>
            <w:tcW w:w="624" w:type="dxa"/>
          </w:tcPr>
          <w:p w14:paraId="1FA551DA" w14:textId="77777777" w:rsidR="00711444" w:rsidRPr="004D0DAA" w:rsidRDefault="00711444" w:rsidP="00AA2A4C"/>
        </w:tc>
        <w:tc>
          <w:tcPr>
            <w:tcW w:w="624" w:type="dxa"/>
            <w:tcBorders>
              <w:right w:val="single" w:sz="6" w:space="0" w:color="auto"/>
            </w:tcBorders>
          </w:tcPr>
          <w:p w14:paraId="2441CD06" w14:textId="77777777" w:rsidR="00711444" w:rsidRPr="004D0DAA" w:rsidRDefault="00711444" w:rsidP="00AA2A4C"/>
        </w:tc>
        <w:tc>
          <w:tcPr>
            <w:tcW w:w="1701" w:type="dxa"/>
          </w:tcPr>
          <w:p w14:paraId="0B6314D5" w14:textId="77777777" w:rsidR="00711444" w:rsidRPr="004D0DAA" w:rsidRDefault="00711444" w:rsidP="00AA2A4C">
            <w:pPr>
              <w:pStyle w:val="TAC"/>
              <w:rPr>
                <w:lang w:eastAsia="en-US"/>
              </w:rPr>
            </w:pPr>
            <w:r w:rsidRPr="004D0DAA">
              <w:rPr>
                <w:lang w:eastAsia="en-US"/>
              </w:rPr>
              <w:t>Octet 15</w:t>
            </w:r>
          </w:p>
        </w:tc>
        <w:tc>
          <w:tcPr>
            <w:tcW w:w="1567" w:type="dxa"/>
            <w:tcBorders>
              <w:left w:val="single" w:sz="6" w:space="0" w:color="auto"/>
              <w:right w:val="single" w:sz="6" w:space="0" w:color="auto"/>
            </w:tcBorders>
          </w:tcPr>
          <w:p w14:paraId="7322E4F3" w14:textId="77777777" w:rsidR="00711444" w:rsidRPr="004D0DAA" w:rsidRDefault="00711444" w:rsidP="00AA2A4C">
            <w:pPr>
              <w:pStyle w:val="TAC"/>
              <w:rPr>
                <w:lang w:eastAsia="en-US"/>
              </w:rPr>
            </w:pPr>
          </w:p>
        </w:tc>
      </w:tr>
      <w:tr w:rsidR="00711444" w:rsidRPr="004D0DAA" w14:paraId="451837EC"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15CCEEEA" w14:textId="77777777" w:rsidR="00711444" w:rsidRPr="004D0DAA" w:rsidRDefault="00711444" w:rsidP="00AA2A4C">
            <w:pPr>
              <w:pStyle w:val="TAC"/>
              <w:rPr>
                <w:lang w:eastAsia="en-US"/>
              </w:rPr>
            </w:pPr>
            <w:r w:rsidRPr="004D0DAA">
              <w:rPr>
                <w:lang w:eastAsia="en-US"/>
              </w:rPr>
              <w:t>LLC PDU 4</w:t>
            </w:r>
          </w:p>
        </w:tc>
        <w:tc>
          <w:tcPr>
            <w:tcW w:w="1701" w:type="dxa"/>
          </w:tcPr>
          <w:p w14:paraId="71F6474B" w14:textId="77777777" w:rsidR="00711444" w:rsidRPr="004D0DAA" w:rsidRDefault="00711444" w:rsidP="00AA2A4C">
            <w:pPr>
              <w:pStyle w:val="TAC"/>
              <w:rPr>
                <w:lang w:eastAsia="en-US"/>
              </w:rPr>
            </w:pPr>
            <w:r w:rsidRPr="004D0DAA">
              <w:rPr>
                <w:lang w:eastAsia="en-US"/>
              </w:rPr>
              <w:t>.</w:t>
            </w:r>
          </w:p>
          <w:p w14:paraId="101A029B" w14:textId="77777777" w:rsidR="00711444" w:rsidRPr="004D0DAA" w:rsidRDefault="00711444" w:rsidP="00AA2A4C">
            <w:pPr>
              <w:pStyle w:val="TAC"/>
              <w:rPr>
                <w:lang w:eastAsia="en-US"/>
              </w:rPr>
            </w:pPr>
            <w:r w:rsidRPr="004D0DAA">
              <w:rPr>
                <w:lang w:eastAsia="en-US"/>
              </w:rPr>
              <w:t>.</w:t>
            </w:r>
          </w:p>
          <w:p w14:paraId="50E2BF9C"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25DDB291" w14:textId="77777777" w:rsidR="00711444" w:rsidRPr="004D0DAA" w:rsidRDefault="00711444" w:rsidP="00AA2A4C">
            <w:pPr>
              <w:pStyle w:val="TAC"/>
              <w:rPr>
                <w:lang w:eastAsia="en-US"/>
              </w:rPr>
            </w:pPr>
            <w:r w:rsidRPr="004D0DAA">
              <w:rPr>
                <w:lang w:eastAsia="en-US"/>
              </w:rPr>
              <w:t>LLC PDU 4</w:t>
            </w:r>
          </w:p>
        </w:tc>
      </w:tr>
      <w:tr w:rsidR="00711444" w:rsidRPr="004D0DAA" w14:paraId="7FBA9ACD" w14:textId="77777777" w:rsidTr="00AA2A4C">
        <w:tblPrEx>
          <w:tblCellMar>
            <w:top w:w="0" w:type="dxa"/>
            <w:bottom w:w="0" w:type="dxa"/>
          </w:tblCellMar>
        </w:tblPrEx>
        <w:trPr>
          <w:cantSplit/>
        </w:trPr>
        <w:tc>
          <w:tcPr>
            <w:tcW w:w="624" w:type="dxa"/>
            <w:tcBorders>
              <w:left w:val="single" w:sz="6" w:space="0" w:color="auto"/>
              <w:bottom w:val="single" w:sz="6" w:space="0" w:color="auto"/>
            </w:tcBorders>
          </w:tcPr>
          <w:p w14:paraId="4D262B01" w14:textId="77777777" w:rsidR="00711444" w:rsidRPr="004D0DAA" w:rsidRDefault="00711444" w:rsidP="00AA2A4C"/>
        </w:tc>
        <w:tc>
          <w:tcPr>
            <w:tcW w:w="624" w:type="dxa"/>
            <w:tcBorders>
              <w:bottom w:val="single" w:sz="6" w:space="0" w:color="auto"/>
            </w:tcBorders>
          </w:tcPr>
          <w:p w14:paraId="4C4CB023" w14:textId="77777777" w:rsidR="00711444" w:rsidRPr="004D0DAA" w:rsidRDefault="00711444" w:rsidP="00AA2A4C"/>
        </w:tc>
        <w:tc>
          <w:tcPr>
            <w:tcW w:w="624" w:type="dxa"/>
            <w:tcBorders>
              <w:bottom w:val="single" w:sz="6" w:space="0" w:color="auto"/>
            </w:tcBorders>
          </w:tcPr>
          <w:p w14:paraId="350E0256" w14:textId="77777777" w:rsidR="00711444" w:rsidRPr="004D0DAA" w:rsidRDefault="00711444" w:rsidP="00AA2A4C"/>
        </w:tc>
        <w:tc>
          <w:tcPr>
            <w:tcW w:w="624" w:type="dxa"/>
            <w:tcBorders>
              <w:bottom w:val="single" w:sz="6" w:space="0" w:color="auto"/>
            </w:tcBorders>
          </w:tcPr>
          <w:p w14:paraId="757C6BFD" w14:textId="77777777" w:rsidR="00711444" w:rsidRPr="004D0DAA" w:rsidRDefault="00711444" w:rsidP="00AA2A4C"/>
        </w:tc>
        <w:tc>
          <w:tcPr>
            <w:tcW w:w="624" w:type="dxa"/>
            <w:tcBorders>
              <w:bottom w:val="single" w:sz="6" w:space="0" w:color="auto"/>
            </w:tcBorders>
          </w:tcPr>
          <w:p w14:paraId="4147C571" w14:textId="77777777" w:rsidR="00711444" w:rsidRPr="004D0DAA" w:rsidRDefault="00711444" w:rsidP="00AA2A4C"/>
        </w:tc>
        <w:tc>
          <w:tcPr>
            <w:tcW w:w="624" w:type="dxa"/>
            <w:tcBorders>
              <w:bottom w:val="single" w:sz="6" w:space="0" w:color="auto"/>
            </w:tcBorders>
          </w:tcPr>
          <w:p w14:paraId="796E55B1" w14:textId="77777777" w:rsidR="00711444" w:rsidRPr="004D0DAA" w:rsidRDefault="00711444" w:rsidP="00AA2A4C"/>
        </w:tc>
        <w:tc>
          <w:tcPr>
            <w:tcW w:w="624" w:type="dxa"/>
            <w:tcBorders>
              <w:bottom w:val="single" w:sz="6" w:space="0" w:color="auto"/>
            </w:tcBorders>
          </w:tcPr>
          <w:p w14:paraId="18DA58BF" w14:textId="77777777" w:rsidR="00711444" w:rsidRPr="004D0DAA" w:rsidRDefault="00711444" w:rsidP="00AA2A4C"/>
        </w:tc>
        <w:tc>
          <w:tcPr>
            <w:tcW w:w="624" w:type="dxa"/>
            <w:tcBorders>
              <w:bottom w:val="single" w:sz="6" w:space="0" w:color="auto"/>
              <w:right w:val="single" w:sz="6" w:space="0" w:color="auto"/>
            </w:tcBorders>
          </w:tcPr>
          <w:p w14:paraId="0B8B4B2A" w14:textId="77777777" w:rsidR="00711444" w:rsidRPr="004D0DAA" w:rsidRDefault="00711444" w:rsidP="00AA2A4C"/>
        </w:tc>
        <w:tc>
          <w:tcPr>
            <w:tcW w:w="1701" w:type="dxa"/>
          </w:tcPr>
          <w:p w14:paraId="79CF5170" w14:textId="77777777" w:rsidR="00711444" w:rsidRPr="004D0DAA" w:rsidRDefault="00711444" w:rsidP="00AA2A4C">
            <w:pPr>
              <w:pStyle w:val="TAC"/>
              <w:rPr>
                <w:lang w:eastAsia="en-US"/>
              </w:rPr>
            </w:pPr>
            <w:r w:rsidRPr="004D0DAA">
              <w:rPr>
                <w:lang w:eastAsia="en-US"/>
              </w:rPr>
              <w:t>Octet 39</w:t>
            </w:r>
          </w:p>
        </w:tc>
        <w:tc>
          <w:tcPr>
            <w:tcW w:w="1567" w:type="dxa"/>
            <w:tcBorders>
              <w:left w:val="single" w:sz="6" w:space="0" w:color="auto"/>
              <w:right w:val="single" w:sz="6" w:space="0" w:color="auto"/>
            </w:tcBorders>
          </w:tcPr>
          <w:p w14:paraId="217424F5" w14:textId="77777777" w:rsidR="00711444" w:rsidRPr="004D0DAA" w:rsidRDefault="00711444" w:rsidP="00AA2A4C">
            <w:pPr>
              <w:pStyle w:val="TAC"/>
              <w:rPr>
                <w:lang w:eastAsia="en-US"/>
              </w:rPr>
            </w:pPr>
          </w:p>
        </w:tc>
      </w:tr>
      <w:tr w:rsidR="00711444" w:rsidRPr="004D0DAA" w14:paraId="37991E0E" w14:textId="77777777" w:rsidTr="00AA2A4C">
        <w:tblPrEx>
          <w:tblCellMar>
            <w:top w:w="0" w:type="dxa"/>
            <w:bottom w:w="0" w:type="dxa"/>
          </w:tblCellMar>
        </w:tblPrEx>
        <w:trPr>
          <w:cantSplit/>
        </w:trPr>
        <w:tc>
          <w:tcPr>
            <w:tcW w:w="624" w:type="dxa"/>
            <w:tcBorders>
              <w:left w:val="single" w:sz="6" w:space="0" w:color="auto"/>
            </w:tcBorders>
          </w:tcPr>
          <w:p w14:paraId="34D19579" w14:textId="77777777" w:rsidR="00711444" w:rsidRPr="004D0DAA" w:rsidRDefault="00711444" w:rsidP="00AA2A4C"/>
        </w:tc>
        <w:tc>
          <w:tcPr>
            <w:tcW w:w="624" w:type="dxa"/>
          </w:tcPr>
          <w:p w14:paraId="6760051E" w14:textId="77777777" w:rsidR="00711444" w:rsidRPr="004D0DAA" w:rsidRDefault="00711444" w:rsidP="00AA2A4C"/>
        </w:tc>
        <w:tc>
          <w:tcPr>
            <w:tcW w:w="624" w:type="dxa"/>
          </w:tcPr>
          <w:p w14:paraId="69B138A5" w14:textId="77777777" w:rsidR="00711444" w:rsidRPr="004D0DAA" w:rsidRDefault="00711444" w:rsidP="00AA2A4C"/>
        </w:tc>
        <w:tc>
          <w:tcPr>
            <w:tcW w:w="624" w:type="dxa"/>
          </w:tcPr>
          <w:p w14:paraId="4ED70F98" w14:textId="77777777" w:rsidR="00711444" w:rsidRPr="004D0DAA" w:rsidRDefault="00711444" w:rsidP="00AA2A4C"/>
        </w:tc>
        <w:tc>
          <w:tcPr>
            <w:tcW w:w="624" w:type="dxa"/>
          </w:tcPr>
          <w:p w14:paraId="2B7E2B83" w14:textId="77777777" w:rsidR="00711444" w:rsidRPr="004D0DAA" w:rsidRDefault="00711444" w:rsidP="00AA2A4C"/>
        </w:tc>
        <w:tc>
          <w:tcPr>
            <w:tcW w:w="624" w:type="dxa"/>
          </w:tcPr>
          <w:p w14:paraId="22580CA5" w14:textId="77777777" w:rsidR="00711444" w:rsidRPr="004D0DAA" w:rsidRDefault="00711444" w:rsidP="00AA2A4C"/>
        </w:tc>
        <w:tc>
          <w:tcPr>
            <w:tcW w:w="624" w:type="dxa"/>
          </w:tcPr>
          <w:p w14:paraId="26E9D76E" w14:textId="77777777" w:rsidR="00711444" w:rsidRPr="004D0DAA" w:rsidRDefault="00711444" w:rsidP="00AA2A4C"/>
        </w:tc>
        <w:tc>
          <w:tcPr>
            <w:tcW w:w="624" w:type="dxa"/>
            <w:tcBorders>
              <w:right w:val="single" w:sz="6" w:space="0" w:color="auto"/>
            </w:tcBorders>
          </w:tcPr>
          <w:p w14:paraId="73FA675B" w14:textId="77777777" w:rsidR="00711444" w:rsidRPr="004D0DAA" w:rsidRDefault="00711444" w:rsidP="00AA2A4C"/>
        </w:tc>
        <w:tc>
          <w:tcPr>
            <w:tcW w:w="1701" w:type="dxa"/>
          </w:tcPr>
          <w:p w14:paraId="685C0A70" w14:textId="77777777" w:rsidR="00711444" w:rsidRPr="004D0DAA" w:rsidRDefault="00711444" w:rsidP="00AA2A4C">
            <w:pPr>
              <w:pStyle w:val="TAC"/>
              <w:rPr>
                <w:lang w:eastAsia="en-US"/>
              </w:rPr>
            </w:pPr>
            <w:r w:rsidRPr="004D0DAA">
              <w:rPr>
                <w:lang w:eastAsia="en-US"/>
              </w:rPr>
              <w:t>Octet 40</w:t>
            </w:r>
          </w:p>
        </w:tc>
        <w:tc>
          <w:tcPr>
            <w:tcW w:w="1567" w:type="dxa"/>
            <w:tcBorders>
              <w:top w:val="single" w:sz="6" w:space="0" w:color="auto"/>
              <w:left w:val="single" w:sz="6" w:space="0" w:color="auto"/>
              <w:right w:val="single" w:sz="6" w:space="0" w:color="auto"/>
            </w:tcBorders>
          </w:tcPr>
          <w:p w14:paraId="2E09589C" w14:textId="77777777" w:rsidR="00711444" w:rsidRPr="004D0DAA" w:rsidRDefault="00711444" w:rsidP="00AA2A4C">
            <w:pPr>
              <w:pStyle w:val="TAC"/>
              <w:rPr>
                <w:lang w:eastAsia="en-US"/>
              </w:rPr>
            </w:pPr>
          </w:p>
        </w:tc>
      </w:tr>
      <w:tr w:rsidR="00711444" w:rsidRPr="004D0DAA" w14:paraId="656AF493" w14:textId="77777777" w:rsidTr="00AA2A4C">
        <w:tblPrEx>
          <w:tblCellMar>
            <w:top w:w="0" w:type="dxa"/>
            <w:bottom w:w="0" w:type="dxa"/>
          </w:tblCellMar>
        </w:tblPrEx>
        <w:trPr>
          <w:cantSplit/>
        </w:trPr>
        <w:tc>
          <w:tcPr>
            <w:tcW w:w="624" w:type="dxa"/>
            <w:tcBorders>
              <w:left w:val="single" w:sz="6" w:space="0" w:color="auto"/>
            </w:tcBorders>
          </w:tcPr>
          <w:p w14:paraId="0822E092" w14:textId="77777777" w:rsidR="00711444" w:rsidRPr="004D0DAA" w:rsidRDefault="00711444" w:rsidP="00AA2A4C"/>
        </w:tc>
        <w:tc>
          <w:tcPr>
            <w:tcW w:w="624" w:type="dxa"/>
          </w:tcPr>
          <w:p w14:paraId="3D0E0094" w14:textId="77777777" w:rsidR="00711444" w:rsidRPr="004D0DAA" w:rsidRDefault="00711444" w:rsidP="00AA2A4C"/>
        </w:tc>
        <w:tc>
          <w:tcPr>
            <w:tcW w:w="624" w:type="dxa"/>
          </w:tcPr>
          <w:p w14:paraId="5D3908CD" w14:textId="77777777" w:rsidR="00711444" w:rsidRPr="004D0DAA" w:rsidRDefault="00711444" w:rsidP="00AA2A4C"/>
        </w:tc>
        <w:tc>
          <w:tcPr>
            <w:tcW w:w="624" w:type="dxa"/>
          </w:tcPr>
          <w:p w14:paraId="701394E9" w14:textId="77777777" w:rsidR="00711444" w:rsidRPr="004D0DAA" w:rsidRDefault="00711444" w:rsidP="00AA2A4C"/>
        </w:tc>
        <w:tc>
          <w:tcPr>
            <w:tcW w:w="624" w:type="dxa"/>
          </w:tcPr>
          <w:p w14:paraId="3A4492D3" w14:textId="77777777" w:rsidR="00711444" w:rsidRPr="004D0DAA" w:rsidRDefault="00711444" w:rsidP="00AA2A4C"/>
        </w:tc>
        <w:tc>
          <w:tcPr>
            <w:tcW w:w="624" w:type="dxa"/>
          </w:tcPr>
          <w:p w14:paraId="73C17CF2" w14:textId="77777777" w:rsidR="00711444" w:rsidRPr="004D0DAA" w:rsidRDefault="00711444" w:rsidP="00AA2A4C"/>
        </w:tc>
        <w:tc>
          <w:tcPr>
            <w:tcW w:w="624" w:type="dxa"/>
          </w:tcPr>
          <w:p w14:paraId="60E33704" w14:textId="77777777" w:rsidR="00711444" w:rsidRPr="004D0DAA" w:rsidRDefault="00711444" w:rsidP="00AA2A4C"/>
        </w:tc>
        <w:tc>
          <w:tcPr>
            <w:tcW w:w="624" w:type="dxa"/>
            <w:tcBorders>
              <w:right w:val="single" w:sz="6" w:space="0" w:color="auto"/>
            </w:tcBorders>
          </w:tcPr>
          <w:p w14:paraId="07C26BE6" w14:textId="77777777" w:rsidR="00711444" w:rsidRPr="004D0DAA" w:rsidRDefault="00711444" w:rsidP="00AA2A4C"/>
        </w:tc>
        <w:tc>
          <w:tcPr>
            <w:tcW w:w="1701" w:type="dxa"/>
          </w:tcPr>
          <w:p w14:paraId="48B2090E" w14:textId="77777777" w:rsidR="00711444" w:rsidRPr="004D0DAA" w:rsidRDefault="00711444" w:rsidP="00AA2A4C">
            <w:pPr>
              <w:pStyle w:val="TAC"/>
              <w:rPr>
                <w:lang w:eastAsia="en-US"/>
              </w:rPr>
            </w:pPr>
            <w:r w:rsidRPr="004D0DAA">
              <w:rPr>
                <w:lang w:eastAsia="en-US"/>
              </w:rPr>
              <w:t>Octet 41</w:t>
            </w:r>
          </w:p>
        </w:tc>
        <w:tc>
          <w:tcPr>
            <w:tcW w:w="1567" w:type="dxa"/>
            <w:tcBorders>
              <w:left w:val="single" w:sz="6" w:space="0" w:color="auto"/>
              <w:right w:val="single" w:sz="6" w:space="0" w:color="auto"/>
            </w:tcBorders>
          </w:tcPr>
          <w:p w14:paraId="71124842" w14:textId="77777777" w:rsidR="00711444" w:rsidRPr="004D0DAA" w:rsidRDefault="00711444" w:rsidP="00AA2A4C">
            <w:pPr>
              <w:pStyle w:val="TAC"/>
              <w:rPr>
                <w:lang w:eastAsia="en-US"/>
              </w:rPr>
            </w:pPr>
          </w:p>
        </w:tc>
      </w:tr>
      <w:tr w:rsidR="00711444" w:rsidRPr="004D0DAA" w14:paraId="168A2816" w14:textId="77777777" w:rsidTr="00AA2A4C">
        <w:tblPrEx>
          <w:tblCellMar>
            <w:top w:w="0" w:type="dxa"/>
            <w:bottom w:w="0" w:type="dxa"/>
          </w:tblCellMar>
        </w:tblPrEx>
        <w:trPr>
          <w:cantSplit/>
        </w:trPr>
        <w:tc>
          <w:tcPr>
            <w:tcW w:w="4992" w:type="dxa"/>
            <w:gridSpan w:val="8"/>
            <w:tcBorders>
              <w:left w:val="single" w:sz="6" w:space="0" w:color="auto"/>
              <w:right w:val="single" w:sz="6" w:space="0" w:color="auto"/>
            </w:tcBorders>
          </w:tcPr>
          <w:p w14:paraId="53359B1F" w14:textId="77777777" w:rsidR="00711444" w:rsidRPr="004D0DAA" w:rsidRDefault="00711444" w:rsidP="00AA2A4C">
            <w:pPr>
              <w:pStyle w:val="TAC"/>
              <w:rPr>
                <w:lang w:eastAsia="en-US"/>
              </w:rPr>
            </w:pPr>
            <w:r w:rsidRPr="004D0DAA">
              <w:rPr>
                <w:lang w:eastAsia="en-US"/>
              </w:rPr>
              <w:br/>
              <w:t>LLC PDU 5</w:t>
            </w:r>
          </w:p>
        </w:tc>
        <w:tc>
          <w:tcPr>
            <w:tcW w:w="1701" w:type="dxa"/>
          </w:tcPr>
          <w:p w14:paraId="4A8CC76F" w14:textId="77777777" w:rsidR="00711444" w:rsidRPr="004D0DAA" w:rsidRDefault="00711444" w:rsidP="00AA2A4C">
            <w:pPr>
              <w:pStyle w:val="TAC"/>
              <w:rPr>
                <w:lang w:eastAsia="en-US"/>
              </w:rPr>
            </w:pPr>
            <w:r w:rsidRPr="004D0DAA">
              <w:rPr>
                <w:lang w:eastAsia="en-US"/>
              </w:rPr>
              <w:t>.</w:t>
            </w:r>
          </w:p>
          <w:p w14:paraId="15CBB8A1" w14:textId="77777777" w:rsidR="00711444" w:rsidRPr="004D0DAA" w:rsidRDefault="00711444" w:rsidP="00AA2A4C">
            <w:pPr>
              <w:pStyle w:val="TAC"/>
              <w:rPr>
                <w:lang w:eastAsia="en-US"/>
              </w:rPr>
            </w:pPr>
            <w:r w:rsidRPr="004D0DAA">
              <w:rPr>
                <w:lang w:eastAsia="en-US"/>
              </w:rPr>
              <w:t>.</w:t>
            </w:r>
          </w:p>
          <w:p w14:paraId="4376C105"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3DD7B010" w14:textId="77777777" w:rsidR="00711444" w:rsidRPr="004D0DAA" w:rsidRDefault="00711444" w:rsidP="00AA2A4C">
            <w:pPr>
              <w:pStyle w:val="TAC"/>
              <w:rPr>
                <w:lang w:eastAsia="en-US"/>
              </w:rPr>
            </w:pPr>
            <w:r w:rsidRPr="004D0DAA">
              <w:rPr>
                <w:lang w:eastAsia="en-US"/>
              </w:rPr>
              <w:br/>
              <w:t>LLC PDU 5</w:t>
            </w:r>
          </w:p>
        </w:tc>
      </w:tr>
      <w:tr w:rsidR="00711444" w:rsidRPr="004D0DAA" w14:paraId="3B09C0EC" w14:textId="77777777" w:rsidTr="00AA2A4C">
        <w:tblPrEx>
          <w:tblCellMar>
            <w:top w:w="0" w:type="dxa"/>
            <w:bottom w:w="0" w:type="dxa"/>
          </w:tblCellMar>
        </w:tblPrEx>
        <w:trPr>
          <w:cantSplit/>
        </w:trPr>
        <w:tc>
          <w:tcPr>
            <w:tcW w:w="624" w:type="dxa"/>
            <w:tcBorders>
              <w:left w:val="single" w:sz="6" w:space="0" w:color="auto"/>
            </w:tcBorders>
          </w:tcPr>
          <w:p w14:paraId="4D309867" w14:textId="77777777" w:rsidR="00711444" w:rsidRPr="004D0DAA" w:rsidRDefault="00711444" w:rsidP="00AA2A4C"/>
        </w:tc>
        <w:tc>
          <w:tcPr>
            <w:tcW w:w="624" w:type="dxa"/>
          </w:tcPr>
          <w:p w14:paraId="5C537B09" w14:textId="77777777" w:rsidR="00711444" w:rsidRPr="004D0DAA" w:rsidRDefault="00711444" w:rsidP="00AA2A4C"/>
        </w:tc>
        <w:tc>
          <w:tcPr>
            <w:tcW w:w="624" w:type="dxa"/>
          </w:tcPr>
          <w:p w14:paraId="09A3FD63" w14:textId="77777777" w:rsidR="00711444" w:rsidRPr="004D0DAA" w:rsidRDefault="00711444" w:rsidP="00AA2A4C"/>
        </w:tc>
        <w:tc>
          <w:tcPr>
            <w:tcW w:w="624" w:type="dxa"/>
          </w:tcPr>
          <w:p w14:paraId="733C6EC4" w14:textId="77777777" w:rsidR="00711444" w:rsidRPr="004D0DAA" w:rsidRDefault="00711444" w:rsidP="00AA2A4C"/>
        </w:tc>
        <w:tc>
          <w:tcPr>
            <w:tcW w:w="624" w:type="dxa"/>
          </w:tcPr>
          <w:p w14:paraId="7072510F" w14:textId="77777777" w:rsidR="00711444" w:rsidRPr="004D0DAA" w:rsidRDefault="00711444" w:rsidP="00AA2A4C"/>
        </w:tc>
        <w:tc>
          <w:tcPr>
            <w:tcW w:w="624" w:type="dxa"/>
          </w:tcPr>
          <w:p w14:paraId="6C9C9007" w14:textId="77777777" w:rsidR="00711444" w:rsidRPr="004D0DAA" w:rsidRDefault="00711444" w:rsidP="00AA2A4C"/>
        </w:tc>
        <w:tc>
          <w:tcPr>
            <w:tcW w:w="624" w:type="dxa"/>
          </w:tcPr>
          <w:p w14:paraId="4D4E45D1" w14:textId="77777777" w:rsidR="00711444" w:rsidRPr="004D0DAA" w:rsidRDefault="00711444" w:rsidP="00AA2A4C"/>
        </w:tc>
        <w:tc>
          <w:tcPr>
            <w:tcW w:w="624" w:type="dxa"/>
            <w:tcBorders>
              <w:right w:val="single" w:sz="6" w:space="0" w:color="auto"/>
            </w:tcBorders>
          </w:tcPr>
          <w:p w14:paraId="4ED944B5" w14:textId="77777777" w:rsidR="00711444" w:rsidRPr="004D0DAA" w:rsidRDefault="00711444" w:rsidP="00AA2A4C"/>
        </w:tc>
        <w:tc>
          <w:tcPr>
            <w:tcW w:w="1701" w:type="dxa"/>
          </w:tcPr>
          <w:p w14:paraId="002DAF2C" w14:textId="77777777" w:rsidR="00711444" w:rsidRPr="004D0DAA" w:rsidRDefault="00711444" w:rsidP="00AA2A4C">
            <w:pPr>
              <w:pStyle w:val="TAC"/>
              <w:rPr>
                <w:lang w:eastAsia="en-US"/>
              </w:rPr>
            </w:pPr>
            <w:r w:rsidRPr="004D0DAA">
              <w:rPr>
                <w:lang w:eastAsia="en-US"/>
              </w:rPr>
              <w:t>Octet N2-1</w:t>
            </w:r>
          </w:p>
        </w:tc>
        <w:tc>
          <w:tcPr>
            <w:tcW w:w="1567" w:type="dxa"/>
            <w:tcBorders>
              <w:left w:val="single" w:sz="6" w:space="0" w:color="auto"/>
              <w:right w:val="single" w:sz="6" w:space="0" w:color="auto"/>
            </w:tcBorders>
          </w:tcPr>
          <w:p w14:paraId="73A5CF2C" w14:textId="77777777" w:rsidR="00711444" w:rsidRPr="004D0DAA" w:rsidRDefault="00711444" w:rsidP="00AA2A4C">
            <w:pPr>
              <w:pStyle w:val="TAC"/>
              <w:rPr>
                <w:lang w:eastAsia="en-US"/>
              </w:rPr>
            </w:pPr>
          </w:p>
        </w:tc>
      </w:tr>
      <w:tr w:rsidR="00711444" w:rsidRPr="004D0DAA" w14:paraId="57681C29" w14:textId="77777777" w:rsidTr="00AA2A4C">
        <w:tblPrEx>
          <w:tblCellMar>
            <w:top w:w="0" w:type="dxa"/>
            <w:bottom w:w="0" w:type="dxa"/>
          </w:tblCellMar>
        </w:tblPrEx>
        <w:trPr>
          <w:cantSplit/>
        </w:trPr>
        <w:tc>
          <w:tcPr>
            <w:tcW w:w="624" w:type="dxa"/>
            <w:tcBorders>
              <w:left w:val="single" w:sz="6" w:space="0" w:color="auto"/>
            </w:tcBorders>
          </w:tcPr>
          <w:p w14:paraId="003B0238" w14:textId="77777777" w:rsidR="00711444" w:rsidRPr="004D0DAA" w:rsidRDefault="00711444" w:rsidP="00AA2A4C"/>
        </w:tc>
        <w:tc>
          <w:tcPr>
            <w:tcW w:w="624" w:type="dxa"/>
          </w:tcPr>
          <w:p w14:paraId="72D0C1B5" w14:textId="77777777" w:rsidR="00711444" w:rsidRPr="004D0DAA" w:rsidRDefault="00711444" w:rsidP="00AA2A4C"/>
        </w:tc>
        <w:tc>
          <w:tcPr>
            <w:tcW w:w="624" w:type="dxa"/>
          </w:tcPr>
          <w:p w14:paraId="4DA432C4" w14:textId="77777777" w:rsidR="00711444" w:rsidRPr="004D0DAA" w:rsidRDefault="00711444" w:rsidP="00AA2A4C"/>
        </w:tc>
        <w:tc>
          <w:tcPr>
            <w:tcW w:w="624" w:type="dxa"/>
          </w:tcPr>
          <w:p w14:paraId="2F3C74BA" w14:textId="77777777" w:rsidR="00711444" w:rsidRPr="004D0DAA" w:rsidRDefault="00711444" w:rsidP="00AA2A4C"/>
        </w:tc>
        <w:tc>
          <w:tcPr>
            <w:tcW w:w="624" w:type="dxa"/>
          </w:tcPr>
          <w:p w14:paraId="3D56D026" w14:textId="77777777" w:rsidR="00711444" w:rsidRPr="004D0DAA" w:rsidRDefault="00711444" w:rsidP="00AA2A4C"/>
        </w:tc>
        <w:tc>
          <w:tcPr>
            <w:tcW w:w="624" w:type="dxa"/>
          </w:tcPr>
          <w:p w14:paraId="467C0DB5" w14:textId="77777777" w:rsidR="00711444" w:rsidRPr="004D0DAA" w:rsidRDefault="00711444" w:rsidP="00AA2A4C"/>
        </w:tc>
        <w:tc>
          <w:tcPr>
            <w:tcW w:w="624" w:type="dxa"/>
          </w:tcPr>
          <w:p w14:paraId="2026B2AC" w14:textId="77777777" w:rsidR="00711444" w:rsidRPr="004D0DAA" w:rsidRDefault="00711444" w:rsidP="00AA2A4C"/>
        </w:tc>
        <w:tc>
          <w:tcPr>
            <w:tcW w:w="624" w:type="dxa"/>
            <w:tcBorders>
              <w:right w:val="single" w:sz="6" w:space="0" w:color="auto"/>
            </w:tcBorders>
          </w:tcPr>
          <w:p w14:paraId="07A122C4" w14:textId="77777777" w:rsidR="00711444" w:rsidRPr="004D0DAA" w:rsidRDefault="00711444" w:rsidP="00AA2A4C"/>
        </w:tc>
        <w:tc>
          <w:tcPr>
            <w:tcW w:w="1701" w:type="dxa"/>
          </w:tcPr>
          <w:p w14:paraId="4BBF681C" w14:textId="77777777" w:rsidR="00711444" w:rsidRPr="004D0DAA" w:rsidRDefault="00711444" w:rsidP="00AA2A4C">
            <w:pPr>
              <w:pStyle w:val="TAC"/>
              <w:rPr>
                <w:lang w:eastAsia="en-US"/>
              </w:rPr>
            </w:pPr>
            <w:r w:rsidRPr="004D0DAA">
              <w:rPr>
                <w:lang w:eastAsia="en-US"/>
              </w:rPr>
              <w:t>Octet N2</w:t>
            </w:r>
          </w:p>
        </w:tc>
        <w:tc>
          <w:tcPr>
            <w:tcW w:w="1567" w:type="dxa"/>
            <w:tcBorders>
              <w:left w:val="single" w:sz="6" w:space="0" w:color="auto"/>
              <w:right w:val="single" w:sz="6" w:space="0" w:color="auto"/>
            </w:tcBorders>
          </w:tcPr>
          <w:p w14:paraId="0909C8C6" w14:textId="77777777" w:rsidR="00711444" w:rsidRPr="004D0DAA" w:rsidRDefault="00711444" w:rsidP="00AA2A4C">
            <w:pPr>
              <w:pStyle w:val="TAC"/>
              <w:rPr>
                <w:lang w:eastAsia="en-US"/>
              </w:rPr>
            </w:pPr>
          </w:p>
        </w:tc>
      </w:tr>
      <w:tr w:rsidR="00711444" w:rsidRPr="004D0DAA" w14:paraId="78EA0900" w14:textId="77777777" w:rsidTr="00AA2A4C">
        <w:tblPrEx>
          <w:tblCellMar>
            <w:top w:w="0" w:type="dxa"/>
            <w:bottom w:w="0" w:type="dxa"/>
          </w:tblCellMar>
        </w:tblPrEx>
        <w:trPr>
          <w:cantSplit/>
        </w:trPr>
        <w:tc>
          <w:tcPr>
            <w:tcW w:w="624" w:type="dxa"/>
            <w:tcBorders>
              <w:top w:val="single" w:sz="6" w:space="0" w:color="auto"/>
            </w:tcBorders>
          </w:tcPr>
          <w:p w14:paraId="500D2EA1" w14:textId="77777777" w:rsidR="00711444" w:rsidRPr="004D0DAA" w:rsidRDefault="00711444" w:rsidP="00AA2A4C"/>
        </w:tc>
        <w:tc>
          <w:tcPr>
            <w:tcW w:w="624" w:type="dxa"/>
            <w:tcBorders>
              <w:top w:val="single" w:sz="6" w:space="0" w:color="auto"/>
            </w:tcBorders>
          </w:tcPr>
          <w:p w14:paraId="24C2B93F" w14:textId="77777777" w:rsidR="00711444" w:rsidRPr="004D0DAA" w:rsidRDefault="00711444" w:rsidP="00AA2A4C"/>
        </w:tc>
        <w:tc>
          <w:tcPr>
            <w:tcW w:w="624" w:type="dxa"/>
            <w:tcBorders>
              <w:top w:val="single" w:sz="6" w:space="0" w:color="auto"/>
            </w:tcBorders>
          </w:tcPr>
          <w:p w14:paraId="5D4968CC" w14:textId="77777777" w:rsidR="00711444" w:rsidRPr="004D0DAA" w:rsidRDefault="00711444" w:rsidP="00AA2A4C"/>
        </w:tc>
        <w:tc>
          <w:tcPr>
            <w:tcW w:w="624" w:type="dxa"/>
            <w:tcBorders>
              <w:top w:val="single" w:sz="6" w:space="0" w:color="auto"/>
            </w:tcBorders>
          </w:tcPr>
          <w:p w14:paraId="64463BD0" w14:textId="77777777" w:rsidR="00711444" w:rsidRPr="004D0DAA" w:rsidRDefault="00711444" w:rsidP="00AA2A4C"/>
        </w:tc>
        <w:tc>
          <w:tcPr>
            <w:tcW w:w="624" w:type="dxa"/>
            <w:tcBorders>
              <w:top w:val="single" w:sz="6" w:space="0" w:color="auto"/>
            </w:tcBorders>
          </w:tcPr>
          <w:p w14:paraId="7571955E" w14:textId="77777777" w:rsidR="00711444" w:rsidRPr="004D0DAA" w:rsidRDefault="00711444" w:rsidP="00AA2A4C"/>
        </w:tc>
        <w:tc>
          <w:tcPr>
            <w:tcW w:w="624" w:type="dxa"/>
            <w:tcBorders>
              <w:top w:val="single" w:sz="6" w:space="0" w:color="auto"/>
            </w:tcBorders>
          </w:tcPr>
          <w:p w14:paraId="217C2C30" w14:textId="77777777" w:rsidR="00711444" w:rsidRPr="004D0DAA" w:rsidRDefault="00711444" w:rsidP="00AA2A4C"/>
        </w:tc>
        <w:tc>
          <w:tcPr>
            <w:tcW w:w="624" w:type="dxa"/>
            <w:tcBorders>
              <w:top w:val="single" w:sz="6" w:space="0" w:color="auto"/>
            </w:tcBorders>
          </w:tcPr>
          <w:p w14:paraId="33B7FCCA" w14:textId="77777777" w:rsidR="00711444" w:rsidRPr="004D0DAA" w:rsidRDefault="00711444" w:rsidP="00AA2A4C"/>
        </w:tc>
        <w:tc>
          <w:tcPr>
            <w:tcW w:w="624" w:type="dxa"/>
            <w:tcBorders>
              <w:top w:val="single" w:sz="6" w:space="0" w:color="auto"/>
            </w:tcBorders>
          </w:tcPr>
          <w:p w14:paraId="34699292" w14:textId="77777777" w:rsidR="00711444" w:rsidRPr="004D0DAA" w:rsidRDefault="00711444" w:rsidP="00AA2A4C"/>
        </w:tc>
        <w:tc>
          <w:tcPr>
            <w:tcW w:w="1701" w:type="dxa"/>
          </w:tcPr>
          <w:p w14:paraId="5128C5ED" w14:textId="77777777" w:rsidR="00711444" w:rsidRPr="004D0DAA" w:rsidRDefault="00711444" w:rsidP="00AA2A4C"/>
        </w:tc>
        <w:tc>
          <w:tcPr>
            <w:tcW w:w="1567" w:type="dxa"/>
            <w:tcBorders>
              <w:left w:val="single" w:sz="6" w:space="0" w:color="auto"/>
              <w:right w:val="single" w:sz="6" w:space="0" w:color="auto"/>
            </w:tcBorders>
          </w:tcPr>
          <w:p w14:paraId="243DFB9A" w14:textId="77777777" w:rsidR="00711444" w:rsidRPr="004D0DAA" w:rsidRDefault="00711444" w:rsidP="00AA2A4C">
            <w:pPr>
              <w:pStyle w:val="TAC"/>
              <w:rPr>
                <w:lang w:eastAsia="en-US"/>
              </w:rPr>
            </w:pPr>
          </w:p>
        </w:tc>
      </w:tr>
      <w:tr w:rsidR="00711444" w:rsidRPr="004D0DAA" w14:paraId="5B3BB4FF" w14:textId="77777777" w:rsidTr="00AA2A4C">
        <w:tblPrEx>
          <w:tblCellMar>
            <w:top w:w="0" w:type="dxa"/>
            <w:bottom w:w="0" w:type="dxa"/>
          </w:tblCellMar>
        </w:tblPrEx>
        <w:trPr>
          <w:cantSplit/>
        </w:trPr>
        <w:tc>
          <w:tcPr>
            <w:tcW w:w="624" w:type="dxa"/>
          </w:tcPr>
          <w:p w14:paraId="45683ED5" w14:textId="77777777" w:rsidR="00711444" w:rsidRPr="004D0DAA" w:rsidRDefault="00711444" w:rsidP="00AA2A4C"/>
        </w:tc>
        <w:tc>
          <w:tcPr>
            <w:tcW w:w="624" w:type="dxa"/>
          </w:tcPr>
          <w:p w14:paraId="4B3F58B4" w14:textId="77777777" w:rsidR="00711444" w:rsidRPr="004D0DAA" w:rsidRDefault="00711444" w:rsidP="00AA2A4C"/>
        </w:tc>
        <w:tc>
          <w:tcPr>
            <w:tcW w:w="624" w:type="dxa"/>
          </w:tcPr>
          <w:p w14:paraId="583ADDBC" w14:textId="77777777" w:rsidR="00711444" w:rsidRPr="004D0DAA" w:rsidRDefault="00711444" w:rsidP="00AA2A4C"/>
        </w:tc>
        <w:tc>
          <w:tcPr>
            <w:tcW w:w="624" w:type="dxa"/>
          </w:tcPr>
          <w:p w14:paraId="65596829" w14:textId="77777777" w:rsidR="00711444" w:rsidRPr="004D0DAA" w:rsidRDefault="00711444" w:rsidP="00AA2A4C"/>
        </w:tc>
        <w:tc>
          <w:tcPr>
            <w:tcW w:w="624" w:type="dxa"/>
          </w:tcPr>
          <w:p w14:paraId="31FDD831" w14:textId="77777777" w:rsidR="00711444" w:rsidRPr="004D0DAA" w:rsidRDefault="00711444" w:rsidP="00AA2A4C"/>
        </w:tc>
        <w:tc>
          <w:tcPr>
            <w:tcW w:w="624" w:type="dxa"/>
          </w:tcPr>
          <w:p w14:paraId="725BADD5" w14:textId="77777777" w:rsidR="00711444" w:rsidRPr="004D0DAA" w:rsidRDefault="00711444" w:rsidP="00AA2A4C"/>
        </w:tc>
        <w:tc>
          <w:tcPr>
            <w:tcW w:w="624" w:type="dxa"/>
          </w:tcPr>
          <w:p w14:paraId="4228C302" w14:textId="77777777" w:rsidR="00711444" w:rsidRPr="004D0DAA" w:rsidRDefault="00711444" w:rsidP="00AA2A4C"/>
        </w:tc>
        <w:tc>
          <w:tcPr>
            <w:tcW w:w="624" w:type="dxa"/>
          </w:tcPr>
          <w:p w14:paraId="30CDFCAB" w14:textId="77777777" w:rsidR="00711444" w:rsidRPr="004D0DAA" w:rsidRDefault="00711444" w:rsidP="00AA2A4C"/>
        </w:tc>
        <w:tc>
          <w:tcPr>
            <w:tcW w:w="1701" w:type="dxa"/>
          </w:tcPr>
          <w:p w14:paraId="6962F6E6" w14:textId="77777777" w:rsidR="00711444" w:rsidRPr="004D0DAA" w:rsidRDefault="00711444" w:rsidP="00AA2A4C"/>
        </w:tc>
        <w:tc>
          <w:tcPr>
            <w:tcW w:w="1567" w:type="dxa"/>
            <w:tcBorders>
              <w:left w:val="single" w:sz="6" w:space="0" w:color="auto"/>
              <w:right w:val="single" w:sz="6" w:space="0" w:color="auto"/>
            </w:tcBorders>
          </w:tcPr>
          <w:p w14:paraId="14A6BA09" w14:textId="77777777" w:rsidR="00711444" w:rsidRPr="004D0DAA" w:rsidRDefault="00711444" w:rsidP="00AA2A4C">
            <w:pPr>
              <w:pStyle w:val="TAC"/>
              <w:rPr>
                <w:lang w:eastAsia="en-US"/>
              </w:rPr>
            </w:pPr>
          </w:p>
        </w:tc>
      </w:tr>
    </w:tbl>
    <w:p w14:paraId="1C9B90A7" w14:textId="77777777" w:rsidR="00711444" w:rsidRPr="004D0DAA" w:rsidRDefault="00711444" w:rsidP="00711444">
      <w:pPr>
        <w:pStyle w:val="NF"/>
      </w:pPr>
    </w:p>
    <w:p w14:paraId="17090D5E" w14:textId="77777777" w:rsidR="00711444" w:rsidRPr="004D0DAA" w:rsidRDefault="00711444" w:rsidP="00711444">
      <w:pPr>
        <w:pStyle w:val="TF"/>
      </w:pPr>
      <w:r w:rsidRPr="004D0DAA">
        <w:t>Figure B.8: Example for the case when a LLC PDU stretches over more</w:t>
      </w:r>
      <w:r w:rsidRPr="004D0DAA">
        <w:br/>
        <w:t>than 2 consecutive in sequence RLC data blocks (LLC PDU 3 and LLC PDU 5).</w:t>
      </w:r>
    </w:p>
    <w:p w14:paraId="5152998D" w14:textId="77777777" w:rsidR="00711444" w:rsidRPr="004D0DAA" w:rsidRDefault="00711444" w:rsidP="00711444">
      <w:pPr>
        <w:pStyle w:val="Heading3"/>
      </w:pPr>
      <w:bookmarkStart w:id="890" w:name="_Toc516670063"/>
      <w:r w:rsidRPr="004D0DAA">
        <w:t>B.8.2</w:t>
      </w:r>
      <w:r w:rsidRPr="004D0DAA">
        <w:tab/>
        <w:t>Example 2</w:t>
      </w:r>
      <w:bookmarkEnd w:id="890"/>
    </w:p>
    <w:p w14:paraId="68D99E39" w14:textId="77777777" w:rsidR="00711444" w:rsidRPr="004D0DAA" w:rsidRDefault="00711444" w:rsidP="00711444">
      <w:pPr>
        <w:pStyle w:val="NO"/>
      </w:pPr>
      <w:r w:rsidRPr="004D0DAA">
        <w:t>Figure B.9 shows the last 3 RLC blocks of a TBF consisting of N blocks (Downlink). When an LLC PDU fills an RLC data block precisely and adding an LI for it would push the LLC PDU into the next in sequence RLC data block, then the LLC PDU is present in this RLC data block without a corresponding length indicator. If this LLC PDU is not the last LLC PDU of the TBF, its delimitation is indicated by the first length indicator of the next in sequence RLC data block with value LI=0. In case when the LLC PDU, or the last segment of it, does not fill the RLC data block, a length indicator with value 127 is added as the last length indicator of the RLC data block.</w:t>
      </w:r>
    </w:p>
    <w:tbl>
      <w:tblPr>
        <w:tblW w:w="8507"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31AE1C51" w14:textId="77777777" w:rsidTr="00AA2A4C">
        <w:tblPrEx>
          <w:tblCellMar>
            <w:top w:w="0" w:type="dxa"/>
            <w:bottom w:w="0" w:type="dxa"/>
          </w:tblCellMar>
        </w:tblPrEx>
        <w:trPr>
          <w:cantSplit/>
        </w:trPr>
        <w:tc>
          <w:tcPr>
            <w:tcW w:w="5239" w:type="dxa"/>
            <w:gridSpan w:val="8"/>
          </w:tcPr>
          <w:p w14:paraId="7F97CF0A" w14:textId="77777777" w:rsidR="00711444" w:rsidRPr="004D0DAA" w:rsidRDefault="00711444" w:rsidP="00AA2A4C">
            <w:pPr>
              <w:pStyle w:val="TAC"/>
              <w:rPr>
                <w:lang w:eastAsia="en-US"/>
              </w:rPr>
            </w:pPr>
            <w:r w:rsidRPr="004D0DAA">
              <w:rPr>
                <w:lang w:eastAsia="en-US"/>
              </w:rPr>
              <w:t>RLC Block with BSN=N-2 (mod SNS)</w:t>
            </w:r>
          </w:p>
        </w:tc>
        <w:tc>
          <w:tcPr>
            <w:tcW w:w="1701" w:type="dxa"/>
          </w:tcPr>
          <w:p w14:paraId="7DEEA6C5" w14:textId="77777777" w:rsidR="00711444" w:rsidRPr="004D0DAA" w:rsidRDefault="00711444" w:rsidP="00AA2A4C"/>
        </w:tc>
        <w:tc>
          <w:tcPr>
            <w:tcW w:w="1567" w:type="dxa"/>
            <w:tcBorders>
              <w:top w:val="single" w:sz="4" w:space="0" w:color="auto"/>
              <w:left w:val="single" w:sz="6" w:space="0" w:color="auto"/>
              <w:right w:val="single" w:sz="6" w:space="0" w:color="auto"/>
            </w:tcBorders>
          </w:tcPr>
          <w:p w14:paraId="4780C263" w14:textId="77777777" w:rsidR="00711444" w:rsidRPr="004D0DAA" w:rsidRDefault="00711444" w:rsidP="00AA2A4C">
            <w:pPr>
              <w:pStyle w:val="TAC"/>
              <w:rPr>
                <w:lang w:eastAsia="en-US"/>
              </w:rPr>
            </w:pPr>
          </w:p>
        </w:tc>
      </w:tr>
      <w:tr w:rsidR="00711444" w:rsidRPr="004D0DAA" w14:paraId="0A01C355" w14:textId="77777777" w:rsidTr="00AA2A4C">
        <w:tblPrEx>
          <w:tblCellMar>
            <w:top w:w="0" w:type="dxa"/>
            <w:bottom w:w="0" w:type="dxa"/>
          </w:tblCellMar>
        </w:tblPrEx>
        <w:trPr>
          <w:cantSplit/>
        </w:trPr>
        <w:tc>
          <w:tcPr>
            <w:tcW w:w="5239" w:type="dxa"/>
            <w:gridSpan w:val="8"/>
          </w:tcPr>
          <w:p w14:paraId="7F812CC8" w14:textId="77777777" w:rsidR="00711444" w:rsidRPr="004D0DAA" w:rsidRDefault="00711444" w:rsidP="00AA2A4C">
            <w:pPr>
              <w:pStyle w:val="TAC"/>
              <w:rPr>
                <w:lang w:eastAsia="en-US"/>
              </w:rPr>
            </w:pPr>
            <w:r w:rsidRPr="004D0DAA">
              <w:rPr>
                <w:lang w:eastAsia="en-US"/>
              </w:rPr>
              <w:t>Bit</w:t>
            </w:r>
          </w:p>
        </w:tc>
        <w:tc>
          <w:tcPr>
            <w:tcW w:w="1701" w:type="dxa"/>
          </w:tcPr>
          <w:p w14:paraId="19A0014D" w14:textId="77777777" w:rsidR="00711444" w:rsidRPr="004D0DAA" w:rsidRDefault="00711444" w:rsidP="00AA2A4C"/>
        </w:tc>
        <w:tc>
          <w:tcPr>
            <w:tcW w:w="1567" w:type="dxa"/>
            <w:tcBorders>
              <w:left w:val="single" w:sz="6" w:space="0" w:color="auto"/>
              <w:right w:val="single" w:sz="6" w:space="0" w:color="auto"/>
            </w:tcBorders>
          </w:tcPr>
          <w:p w14:paraId="2A5E9834" w14:textId="77777777" w:rsidR="00711444" w:rsidRPr="004D0DAA" w:rsidRDefault="00711444" w:rsidP="00AA2A4C">
            <w:pPr>
              <w:pStyle w:val="TAC"/>
              <w:rPr>
                <w:lang w:eastAsia="en-US"/>
              </w:rPr>
            </w:pPr>
          </w:p>
        </w:tc>
      </w:tr>
      <w:tr w:rsidR="00711444" w:rsidRPr="004D0DAA" w14:paraId="5652D60F" w14:textId="77777777" w:rsidTr="00AA2A4C">
        <w:tblPrEx>
          <w:tblCellMar>
            <w:top w:w="0" w:type="dxa"/>
            <w:bottom w:w="0" w:type="dxa"/>
          </w:tblCellMar>
        </w:tblPrEx>
        <w:trPr>
          <w:cantSplit/>
        </w:trPr>
        <w:tc>
          <w:tcPr>
            <w:tcW w:w="871" w:type="dxa"/>
          </w:tcPr>
          <w:p w14:paraId="00AF4F73" w14:textId="77777777" w:rsidR="00711444" w:rsidRPr="004D0DAA" w:rsidRDefault="00711444" w:rsidP="00AA2A4C">
            <w:pPr>
              <w:pStyle w:val="TAC"/>
              <w:rPr>
                <w:lang w:eastAsia="en-US"/>
              </w:rPr>
            </w:pPr>
            <w:r w:rsidRPr="004D0DAA">
              <w:rPr>
                <w:lang w:eastAsia="en-US"/>
              </w:rPr>
              <w:t>8</w:t>
            </w:r>
          </w:p>
        </w:tc>
        <w:tc>
          <w:tcPr>
            <w:tcW w:w="624" w:type="dxa"/>
          </w:tcPr>
          <w:p w14:paraId="6087B1C3" w14:textId="77777777" w:rsidR="00711444" w:rsidRPr="004D0DAA" w:rsidRDefault="00711444" w:rsidP="00AA2A4C">
            <w:pPr>
              <w:pStyle w:val="TAC"/>
              <w:rPr>
                <w:lang w:eastAsia="en-US"/>
              </w:rPr>
            </w:pPr>
            <w:r w:rsidRPr="004D0DAA">
              <w:rPr>
                <w:lang w:eastAsia="en-US"/>
              </w:rPr>
              <w:t>7</w:t>
            </w:r>
          </w:p>
        </w:tc>
        <w:tc>
          <w:tcPr>
            <w:tcW w:w="624" w:type="dxa"/>
          </w:tcPr>
          <w:p w14:paraId="50BB6E84" w14:textId="77777777" w:rsidR="00711444" w:rsidRPr="004D0DAA" w:rsidRDefault="00711444" w:rsidP="00AA2A4C">
            <w:pPr>
              <w:pStyle w:val="TAC"/>
              <w:rPr>
                <w:lang w:eastAsia="en-US"/>
              </w:rPr>
            </w:pPr>
            <w:r w:rsidRPr="004D0DAA">
              <w:rPr>
                <w:lang w:eastAsia="en-US"/>
              </w:rPr>
              <w:t>6</w:t>
            </w:r>
          </w:p>
        </w:tc>
        <w:tc>
          <w:tcPr>
            <w:tcW w:w="624" w:type="dxa"/>
          </w:tcPr>
          <w:p w14:paraId="418B99BE" w14:textId="77777777" w:rsidR="00711444" w:rsidRPr="004D0DAA" w:rsidRDefault="00711444" w:rsidP="00AA2A4C">
            <w:pPr>
              <w:pStyle w:val="TAC"/>
              <w:rPr>
                <w:lang w:eastAsia="en-US"/>
              </w:rPr>
            </w:pPr>
            <w:r w:rsidRPr="004D0DAA">
              <w:rPr>
                <w:lang w:eastAsia="en-US"/>
              </w:rPr>
              <w:t>5</w:t>
            </w:r>
          </w:p>
        </w:tc>
        <w:tc>
          <w:tcPr>
            <w:tcW w:w="624" w:type="dxa"/>
          </w:tcPr>
          <w:p w14:paraId="2395D50F" w14:textId="77777777" w:rsidR="00711444" w:rsidRPr="004D0DAA" w:rsidRDefault="00711444" w:rsidP="00AA2A4C">
            <w:pPr>
              <w:pStyle w:val="TAC"/>
              <w:rPr>
                <w:lang w:eastAsia="en-US"/>
              </w:rPr>
            </w:pPr>
            <w:r w:rsidRPr="004D0DAA">
              <w:rPr>
                <w:lang w:eastAsia="en-US"/>
              </w:rPr>
              <w:t>4</w:t>
            </w:r>
          </w:p>
        </w:tc>
        <w:tc>
          <w:tcPr>
            <w:tcW w:w="624" w:type="dxa"/>
          </w:tcPr>
          <w:p w14:paraId="461B5B6B"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228EEFD7" w14:textId="77777777" w:rsidR="00711444" w:rsidRPr="004D0DAA" w:rsidRDefault="00711444" w:rsidP="00AA2A4C">
            <w:pPr>
              <w:pStyle w:val="TAC"/>
              <w:rPr>
                <w:lang w:eastAsia="en-US"/>
              </w:rPr>
            </w:pPr>
            <w:r w:rsidRPr="004D0DAA">
              <w:rPr>
                <w:lang w:eastAsia="en-US"/>
              </w:rPr>
              <w:t>2</w:t>
            </w:r>
          </w:p>
        </w:tc>
        <w:tc>
          <w:tcPr>
            <w:tcW w:w="624" w:type="dxa"/>
          </w:tcPr>
          <w:p w14:paraId="6093C805" w14:textId="77777777" w:rsidR="00711444" w:rsidRPr="004D0DAA" w:rsidRDefault="00711444" w:rsidP="00AA2A4C">
            <w:pPr>
              <w:pStyle w:val="TAC"/>
              <w:rPr>
                <w:lang w:eastAsia="en-US"/>
              </w:rPr>
            </w:pPr>
            <w:r w:rsidRPr="004D0DAA">
              <w:rPr>
                <w:lang w:eastAsia="en-US"/>
              </w:rPr>
              <w:t>1</w:t>
            </w:r>
          </w:p>
        </w:tc>
        <w:tc>
          <w:tcPr>
            <w:tcW w:w="1701" w:type="dxa"/>
          </w:tcPr>
          <w:p w14:paraId="206D5B82" w14:textId="77777777" w:rsidR="00711444" w:rsidRPr="004D0DAA" w:rsidRDefault="00711444" w:rsidP="00AA2A4C"/>
        </w:tc>
        <w:tc>
          <w:tcPr>
            <w:tcW w:w="1567" w:type="dxa"/>
            <w:tcBorders>
              <w:left w:val="single" w:sz="6" w:space="0" w:color="auto"/>
              <w:right w:val="single" w:sz="6" w:space="0" w:color="auto"/>
            </w:tcBorders>
          </w:tcPr>
          <w:p w14:paraId="1E5C4F17" w14:textId="77777777" w:rsidR="00711444" w:rsidRPr="004D0DAA" w:rsidRDefault="00711444" w:rsidP="00AA2A4C">
            <w:pPr>
              <w:pStyle w:val="TAC"/>
              <w:rPr>
                <w:lang w:eastAsia="en-US"/>
              </w:rPr>
            </w:pPr>
          </w:p>
        </w:tc>
      </w:tr>
      <w:tr w:rsidR="00711444" w:rsidRPr="004D0DAA" w14:paraId="174986DC"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42EAD9D6" w14:textId="77777777" w:rsidR="00711444" w:rsidRPr="004D0DAA" w:rsidRDefault="00711444" w:rsidP="00AA2A4C"/>
        </w:tc>
        <w:tc>
          <w:tcPr>
            <w:tcW w:w="624" w:type="dxa"/>
            <w:tcBorders>
              <w:top w:val="single" w:sz="6" w:space="0" w:color="auto"/>
            </w:tcBorders>
          </w:tcPr>
          <w:p w14:paraId="46B3BF28" w14:textId="77777777" w:rsidR="00711444" w:rsidRPr="004D0DAA" w:rsidRDefault="00711444" w:rsidP="00AA2A4C"/>
        </w:tc>
        <w:tc>
          <w:tcPr>
            <w:tcW w:w="624" w:type="dxa"/>
            <w:tcBorders>
              <w:top w:val="single" w:sz="6" w:space="0" w:color="auto"/>
            </w:tcBorders>
          </w:tcPr>
          <w:p w14:paraId="78B94841" w14:textId="77777777" w:rsidR="00711444" w:rsidRPr="004D0DAA" w:rsidRDefault="00711444" w:rsidP="00AA2A4C"/>
        </w:tc>
        <w:tc>
          <w:tcPr>
            <w:tcW w:w="624" w:type="dxa"/>
            <w:tcBorders>
              <w:top w:val="single" w:sz="6" w:space="0" w:color="auto"/>
            </w:tcBorders>
          </w:tcPr>
          <w:p w14:paraId="7715E6F0" w14:textId="77777777" w:rsidR="00711444" w:rsidRPr="004D0DAA" w:rsidRDefault="00711444" w:rsidP="00AA2A4C"/>
        </w:tc>
        <w:tc>
          <w:tcPr>
            <w:tcW w:w="624" w:type="dxa"/>
            <w:tcBorders>
              <w:top w:val="single" w:sz="6" w:space="0" w:color="auto"/>
            </w:tcBorders>
          </w:tcPr>
          <w:p w14:paraId="1E4972CF" w14:textId="77777777" w:rsidR="00711444" w:rsidRPr="004D0DAA" w:rsidRDefault="00711444" w:rsidP="00AA2A4C"/>
        </w:tc>
        <w:tc>
          <w:tcPr>
            <w:tcW w:w="624" w:type="dxa"/>
            <w:tcBorders>
              <w:top w:val="single" w:sz="6" w:space="0" w:color="auto"/>
              <w:right w:val="single" w:sz="4" w:space="0" w:color="auto"/>
            </w:tcBorders>
          </w:tcPr>
          <w:p w14:paraId="02C63F27"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0A716761"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3B97AE29" w14:textId="77777777" w:rsidR="00711444" w:rsidRPr="004D0DAA" w:rsidRDefault="00711444" w:rsidP="00AA2A4C">
            <w:pPr>
              <w:pStyle w:val="TAC"/>
              <w:rPr>
                <w:lang w:eastAsia="en-US"/>
              </w:rPr>
            </w:pPr>
            <w:r w:rsidRPr="004D0DAA">
              <w:rPr>
                <w:lang w:eastAsia="en-US"/>
              </w:rPr>
              <w:t>E = 0</w:t>
            </w:r>
          </w:p>
        </w:tc>
        <w:tc>
          <w:tcPr>
            <w:tcW w:w="1701" w:type="dxa"/>
          </w:tcPr>
          <w:p w14:paraId="45013506" w14:textId="77777777" w:rsidR="00711444" w:rsidRPr="004D0DAA" w:rsidRDefault="00711444" w:rsidP="00AA2A4C">
            <w:pPr>
              <w:pStyle w:val="TAC"/>
              <w:rPr>
                <w:lang w:eastAsia="en-US"/>
              </w:rPr>
            </w:pPr>
            <w:r w:rsidRPr="004D0DAA">
              <w:rPr>
                <w:lang w:eastAsia="en-US"/>
              </w:rPr>
              <w:t>Octet 1</w:t>
            </w:r>
          </w:p>
        </w:tc>
        <w:tc>
          <w:tcPr>
            <w:tcW w:w="1567" w:type="dxa"/>
            <w:tcBorders>
              <w:left w:val="single" w:sz="6" w:space="0" w:color="auto"/>
              <w:right w:val="single" w:sz="6" w:space="0" w:color="auto"/>
            </w:tcBorders>
          </w:tcPr>
          <w:p w14:paraId="5A5C0570" w14:textId="77777777" w:rsidR="00711444" w:rsidRPr="004D0DAA" w:rsidRDefault="00711444" w:rsidP="00AA2A4C">
            <w:pPr>
              <w:pStyle w:val="TAC"/>
              <w:rPr>
                <w:lang w:eastAsia="en-US"/>
              </w:rPr>
            </w:pPr>
            <w:r w:rsidRPr="004D0DAA">
              <w:rPr>
                <w:lang w:eastAsia="en-US"/>
              </w:rPr>
              <w:t>LLC PDU J+1</w:t>
            </w:r>
          </w:p>
        </w:tc>
      </w:tr>
      <w:tr w:rsidR="00711444" w:rsidRPr="004D0DAA" w14:paraId="0F4AE4BE"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7AC77258" w14:textId="77777777" w:rsidR="00711444" w:rsidRPr="004D0DAA" w:rsidRDefault="00711444" w:rsidP="00AA2A4C">
            <w:pPr>
              <w:pStyle w:val="TAC"/>
              <w:rPr>
                <w:lang w:eastAsia="en-US"/>
              </w:rPr>
            </w:pPr>
            <w:r w:rsidRPr="004D0DAA">
              <w:rPr>
                <w:lang w:eastAsia="en-US"/>
              </w:rPr>
              <w:t>Length indicator = N2-13</w:t>
            </w:r>
          </w:p>
        </w:tc>
        <w:tc>
          <w:tcPr>
            <w:tcW w:w="624" w:type="dxa"/>
            <w:tcBorders>
              <w:top w:val="single" w:sz="6" w:space="0" w:color="auto"/>
              <w:left w:val="single" w:sz="6" w:space="0" w:color="auto"/>
              <w:bottom w:val="single" w:sz="6" w:space="0" w:color="auto"/>
              <w:right w:val="single" w:sz="6" w:space="0" w:color="auto"/>
            </w:tcBorders>
          </w:tcPr>
          <w:p w14:paraId="507AA4A9" w14:textId="77777777" w:rsidR="00711444" w:rsidRPr="004D0DAA" w:rsidRDefault="00711444" w:rsidP="00AA2A4C">
            <w:pPr>
              <w:pStyle w:val="TAC"/>
              <w:rPr>
                <w:lang w:eastAsia="en-US"/>
              </w:rPr>
            </w:pPr>
            <w:r w:rsidRPr="004D0DAA">
              <w:rPr>
                <w:lang w:eastAsia="en-US"/>
              </w:rPr>
              <w:t>E = 1</w:t>
            </w:r>
          </w:p>
        </w:tc>
        <w:tc>
          <w:tcPr>
            <w:tcW w:w="1701" w:type="dxa"/>
            <w:tcBorders>
              <w:left w:val="single" w:sz="6" w:space="0" w:color="auto"/>
            </w:tcBorders>
          </w:tcPr>
          <w:p w14:paraId="0C0BC9A1" w14:textId="77777777" w:rsidR="00711444" w:rsidRPr="004D0DAA" w:rsidRDefault="00711444" w:rsidP="00AA2A4C">
            <w:pPr>
              <w:pStyle w:val="TAC"/>
              <w:rPr>
                <w:lang w:eastAsia="en-US"/>
              </w:rPr>
            </w:pPr>
            <w:r w:rsidRPr="004D0DAA">
              <w:rPr>
                <w:lang w:eastAsia="en-US"/>
              </w:rPr>
              <w:t>Octet 2</w:t>
            </w:r>
          </w:p>
        </w:tc>
        <w:tc>
          <w:tcPr>
            <w:tcW w:w="1567" w:type="dxa"/>
            <w:tcBorders>
              <w:left w:val="single" w:sz="6" w:space="0" w:color="auto"/>
              <w:right w:val="single" w:sz="6" w:space="0" w:color="auto"/>
            </w:tcBorders>
          </w:tcPr>
          <w:p w14:paraId="3B42DDFC" w14:textId="77777777" w:rsidR="00711444" w:rsidRPr="004D0DAA" w:rsidRDefault="00711444" w:rsidP="00AA2A4C">
            <w:pPr>
              <w:pStyle w:val="TAC"/>
              <w:rPr>
                <w:lang w:eastAsia="en-US"/>
              </w:rPr>
            </w:pPr>
          </w:p>
        </w:tc>
      </w:tr>
      <w:tr w:rsidR="00711444" w:rsidRPr="004D0DAA" w14:paraId="64B8AB56" w14:textId="77777777" w:rsidTr="00AA2A4C">
        <w:tblPrEx>
          <w:tblCellMar>
            <w:top w:w="0" w:type="dxa"/>
            <w:bottom w:w="0" w:type="dxa"/>
          </w:tblCellMar>
        </w:tblPrEx>
        <w:trPr>
          <w:cantSplit/>
        </w:trPr>
        <w:tc>
          <w:tcPr>
            <w:tcW w:w="871" w:type="dxa"/>
            <w:tcBorders>
              <w:left w:val="single" w:sz="6" w:space="0" w:color="auto"/>
            </w:tcBorders>
          </w:tcPr>
          <w:p w14:paraId="4735F87B" w14:textId="77777777" w:rsidR="00711444" w:rsidRPr="004D0DAA" w:rsidRDefault="00711444" w:rsidP="00AA2A4C"/>
        </w:tc>
        <w:tc>
          <w:tcPr>
            <w:tcW w:w="624" w:type="dxa"/>
          </w:tcPr>
          <w:p w14:paraId="7C8A6E02" w14:textId="77777777" w:rsidR="00711444" w:rsidRPr="004D0DAA" w:rsidRDefault="00711444" w:rsidP="00AA2A4C"/>
        </w:tc>
        <w:tc>
          <w:tcPr>
            <w:tcW w:w="624" w:type="dxa"/>
          </w:tcPr>
          <w:p w14:paraId="65AB2F12" w14:textId="77777777" w:rsidR="00711444" w:rsidRPr="004D0DAA" w:rsidRDefault="00711444" w:rsidP="00AA2A4C"/>
        </w:tc>
        <w:tc>
          <w:tcPr>
            <w:tcW w:w="624" w:type="dxa"/>
          </w:tcPr>
          <w:p w14:paraId="7339B88D" w14:textId="77777777" w:rsidR="00711444" w:rsidRPr="004D0DAA" w:rsidRDefault="00711444" w:rsidP="00AA2A4C"/>
        </w:tc>
        <w:tc>
          <w:tcPr>
            <w:tcW w:w="624" w:type="dxa"/>
          </w:tcPr>
          <w:p w14:paraId="0869F276" w14:textId="77777777" w:rsidR="00711444" w:rsidRPr="004D0DAA" w:rsidRDefault="00711444" w:rsidP="00AA2A4C"/>
        </w:tc>
        <w:tc>
          <w:tcPr>
            <w:tcW w:w="624" w:type="dxa"/>
          </w:tcPr>
          <w:p w14:paraId="63874872" w14:textId="77777777" w:rsidR="00711444" w:rsidRPr="004D0DAA" w:rsidRDefault="00711444" w:rsidP="00AA2A4C"/>
        </w:tc>
        <w:tc>
          <w:tcPr>
            <w:tcW w:w="624" w:type="dxa"/>
          </w:tcPr>
          <w:p w14:paraId="57F3245D" w14:textId="77777777" w:rsidR="00711444" w:rsidRPr="004D0DAA" w:rsidRDefault="00711444" w:rsidP="00AA2A4C"/>
        </w:tc>
        <w:tc>
          <w:tcPr>
            <w:tcW w:w="624" w:type="dxa"/>
            <w:tcBorders>
              <w:right w:val="single" w:sz="6" w:space="0" w:color="auto"/>
            </w:tcBorders>
          </w:tcPr>
          <w:p w14:paraId="25C6F3A8" w14:textId="77777777" w:rsidR="00711444" w:rsidRPr="004D0DAA" w:rsidRDefault="00711444" w:rsidP="00AA2A4C"/>
        </w:tc>
        <w:tc>
          <w:tcPr>
            <w:tcW w:w="1701" w:type="dxa"/>
          </w:tcPr>
          <w:p w14:paraId="5C7E2EC6" w14:textId="77777777" w:rsidR="00711444" w:rsidRPr="004D0DAA" w:rsidRDefault="00711444" w:rsidP="00AA2A4C">
            <w:pPr>
              <w:pStyle w:val="TAC"/>
              <w:rPr>
                <w:lang w:eastAsia="en-US"/>
              </w:rPr>
            </w:pPr>
            <w:r w:rsidRPr="004D0DAA">
              <w:rPr>
                <w:lang w:eastAsia="en-US"/>
              </w:rPr>
              <w:t>Octet 3</w:t>
            </w:r>
          </w:p>
        </w:tc>
        <w:tc>
          <w:tcPr>
            <w:tcW w:w="1567" w:type="dxa"/>
            <w:tcBorders>
              <w:left w:val="single" w:sz="6" w:space="0" w:color="auto"/>
              <w:right w:val="single" w:sz="6" w:space="0" w:color="auto"/>
            </w:tcBorders>
          </w:tcPr>
          <w:p w14:paraId="6FD54B5A" w14:textId="77777777" w:rsidR="00711444" w:rsidRPr="004D0DAA" w:rsidRDefault="00711444" w:rsidP="00AA2A4C">
            <w:pPr>
              <w:pStyle w:val="TAC"/>
              <w:rPr>
                <w:lang w:eastAsia="en-US"/>
              </w:rPr>
            </w:pPr>
          </w:p>
        </w:tc>
      </w:tr>
      <w:tr w:rsidR="00711444" w:rsidRPr="004D0DAA" w14:paraId="11B7A986"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1B91F4F6" w14:textId="77777777" w:rsidR="00711444" w:rsidRPr="004D0DAA" w:rsidRDefault="00711444" w:rsidP="00AA2A4C">
            <w:pPr>
              <w:pStyle w:val="TAC"/>
              <w:rPr>
                <w:lang w:eastAsia="en-US"/>
              </w:rPr>
            </w:pPr>
            <w:r w:rsidRPr="004D0DAA">
              <w:rPr>
                <w:lang w:eastAsia="en-US"/>
              </w:rPr>
              <w:br/>
              <w:t>LLC PDU J+1 (continue)</w:t>
            </w:r>
          </w:p>
        </w:tc>
        <w:tc>
          <w:tcPr>
            <w:tcW w:w="1701" w:type="dxa"/>
          </w:tcPr>
          <w:p w14:paraId="496F385D" w14:textId="77777777" w:rsidR="00711444" w:rsidRPr="004D0DAA" w:rsidRDefault="00711444" w:rsidP="00AA2A4C">
            <w:pPr>
              <w:pStyle w:val="TAC"/>
              <w:rPr>
                <w:lang w:eastAsia="en-US"/>
              </w:rPr>
            </w:pPr>
            <w:r w:rsidRPr="004D0DAA">
              <w:rPr>
                <w:lang w:eastAsia="en-US"/>
              </w:rPr>
              <w:t>.</w:t>
            </w:r>
          </w:p>
          <w:p w14:paraId="4AD22E10" w14:textId="77777777" w:rsidR="00711444" w:rsidRPr="004D0DAA" w:rsidRDefault="00711444" w:rsidP="00AA2A4C">
            <w:pPr>
              <w:pStyle w:val="TAC"/>
              <w:rPr>
                <w:lang w:eastAsia="en-US"/>
              </w:rPr>
            </w:pPr>
            <w:r w:rsidRPr="004D0DAA">
              <w:rPr>
                <w:lang w:eastAsia="en-US"/>
              </w:rPr>
              <w:t>.</w:t>
            </w:r>
          </w:p>
          <w:p w14:paraId="7C3DF353"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FACBD59" w14:textId="77777777" w:rsidR="00711444" w:rsidRPr="004D0DAA" w:rsidRDefault="00711444" w:rsidP="00AA2A4C">
            <w:pPr>
              <w:pStyle w:val="TAC"/>
              <w:rPr>
                <w:lang w:eastAsia="en-US"/>
              </w:rPr>
            </w:pPr>
          </w:p>
          <w:p w14:paraId="50E8E575" w14:textId="77777777" w:rsidR="00711444" w:rsidRPr="004D0DAA" w:rsidRDefault="00711444" w:rsidP="00AA2A4C">
            <w:pPr>
              <w:pStyle w:val="TAC"/>
              <w:rPr>
                <w:lang w:eastAsia="en-US"/>
              </w:rPr>
            </w:pPr>
          </w:p>
        </w:tc>
      </w:tr>
      <w:tr w:rsidR="00711444" w:rsidRPr="004D0DAA" w14:paraId="4AE179CE"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4DEF425C" w14:textId="77777777" w:rsidR="00711444" w:rsidRPr="004D0DAA" w:rsidRDefault="00711444" w:rsidP="00AA2A4C"/>
        </w:tc>
        <w:tc>
          <w:tcPr>
            <w:tcW w:w="624" w:type="dxa"/>
            <w:tcBorders>
              <w:bottom w:val="single" w:sz="6" w:space="0" w:color="auto"/>
            </w:tcBorders>
          </w:tcPr>
          <w:p w14:paraId="6ED1A49A" w14:textId="77777777" w:rsidR="00711444" w:rsidRPr="004D0DAA" w:rsidRDefault="00711444" w:rsidP="00AA2A4C"/>
        </w:tc>
        <w:tc>
          <w:tcPr>
            <w:tcW w:w="624" w:type="dxa"/>
            <w:tcBorders>
              <w:bottom w:val="single" w:sz="6" w:space="0" w:color="auto"/>
            </w:tcBorders>
          </w:tcPr>
          <w:p w14:paraId="7BA49856" w14:textId="77777777" w:rsidR="00711444" w:rsidRPr="004D0DAA" w:rsidRDefault="00711444" w:rsidP="00AA2A4C"/>
        </w:tc>
        <w:tc>
          <w:tcPr>
            <w:tcW w:w="624" w:type="dxa"/>
            <w:tcBorders>
              <w:bottom w:val="single" w:sz="6" w:space="0" w:color="auto"/>
            </w:tcBorders>
          </w:tcPr>
          <w:p w14:paraId="747506C3" w14:textId="77777777" w:rsidR="00711444" w:rsidRPr="004D0DAA" w:rsidRDefault="00711444" w:rsidP="00AA2A4C"/>
        </w:tc>
        <w:tc>
          <w:tcPr>
            <w:tcW w:w="624" w:type="dxa"/>
            <w:tcBorders>
              <w:bottom w:val="single" w:sz="6" w:space="0" w:color="auto"/>
            </w:tcBorders>
          </w:tcPr>
          <w:p w14:paraId="489159DB" w14:textId="77777777" w:rsidR="00711444" w:rsidRPr="004D0DAA" w:rsidRDefault="00711444" w:rsidP="00AA2A4C"/>
        </w:tc>
        <w:tc>
          <w:tcPr>
            <w:tcW w:w="624" w:type="dxa"/>
            <w:tcBorders>
              <w:bottom w:val="single" w:sz="6" w:space="0" w:color="auto"/>
            </w:tcBorders>
          </w:tcPr>
          <w:p w14:paraId="0B30F982" w14:textId="77777777" w:rsidR="00711444" w:rsidRPr="004D0DAA" w:rsidRDefault="00711444" w:rsidP="00AA2A4C"/>
        </w:tc>
        <w:tc>
          <w:tcPr>
            <w:tcW w:w="624" w:type="dxa"/>
            <w:tcBorders>
              <w:bottom w:val="single" w:sz="6" w:space="0" w:color="auto"/>
            </w:tcBorders>
          </w:tcPr>
          <w:p w14:paraId="70E0A69F" w14:textId="77777777" w:rsidR="00711444" w:rsidRPr="004D0DAA" w:rsidRDefault="00711444" w:rsidP="00AA2A4C"/>
        </w:tc>
        <w:tc>
          <w:tcPr>
            <w:tcW w:w="624" w:type="dxa"/>
            <w:tcBorders>
              <w:bottom w:val="single" w:sz="6" w:space="0" w:color="auto"/>
              <w:right w:val="single" w:sz="6" w:space="0" w:color="auto"/>
            </w:tcBorders>
          </w:tcPr>
          <w:p w14:paraId="75651D04" w14:textId="77777777" w:rsidR="00711444" w:rsidRPr="004D0DAA" w:rsidRDefault="00711444" w:rsidP="00AA2A4C"/>
        </w:tc>
        <w:tc>
          <w:tcPr>
            <w:tcW w:w="1701" w:type="dxa"/>
            <w:tcBorders>
              <w:bottom w:val="single" w:sz="6" w:space="0" w:color="FFFFFF"/>
            </w:tcBorders>
          </w:tcPr>
          <w:p w14:paraId="43171B03" w14:textId="77777777" w:rsidR="00711444" w:rsidRPr="004D0DAA" w:rsidRDefault="00711444" w:rsidP="00AA2A4C">
            <w:pPr>
              <w:pStyle w:val="TAC"/>
              <w:rPr>
                <w:lang w:eastAsia="en-US"/>
              </w:rPr>
            </w:pPr>
            <w:r w:rsidRPr="004D0DAA">
              <w:rPr>
                <w:lang w:eastAsia="en-US"/>
              </w:rPr>
              <w:t>Octet N2-11</w:t>
            </w:r>
          </w:p>
        </w:tc>
        <w:tc>
          <w:tcPr>
            <w:tcW w:w="1567" w:type="dxa"/>
            <w:tcBorders>
              <w:left w:val="single" w:sz="6" w:space="0" w:color="auto"/>
              <w:bottom w:val="single" w:sz="4" w:space="0" w:color="auto"/>
              <w:right w:val="single" w:sz="6" w:space="0" w:color="auto"/>
            </w:tcBorders>
          </w:tcPr>
          <w:p w14:paraId="687425F8" w14:textId="77777777" w:rsidR="00711444" w:rsidRPr="004D0DAA" w:rsidRDefault="00711444" w:rsidP="00AA2A4C">
            <w:pPr>
              <w:pStyle w:val="TAC"/>
              <w:rPr>
                <w:lang w:eastAsia="en-US"/>
              </w:rPr>
            </w:pPr>
          </w:p>
        </w:tc>
      </w:tr>
      <w:tr w:rsidR="00711444" w:rsidRPr="004D0DAA" w14:paraId="5DEF1983" w14:textId="77777777" w:rsidTr="00AA2A4C">
        <w:tblPrEx>
          <w:tblCellMar>
            <w:top w:w="0" w:type="dxa"/>
            <w:bottom w:w="0" w:type="dxa"/>
          </w:tblCellMar>
        </w:tblPrEx>
        <w:trPr>
          <w:cantSplit/>
        </w:trPr>
        <w:tc>
          <w:tcPr>
            <w:tcW w:w="871" w:type="dxa"/>
            <w:tcBorders>
              <w:left w:val="single" w:sz="6" w:space="0" w:color="auto"/>
            </w:tcBorders>
          </w:tcPr>
          <w:p w14:paraId="470A9E17" w14:textId="77777777" w:rsidR="00711444" w:rsidRPr="004D0DAA" w:rsidRDefault="00711444" w:rsidP="00AA2A4C"/>
        </w:tc>
        <w:tc>
          <w:tcPr>
            <w:tcW w:w="624" w:type="dxa"/>
          </w:tcPr>
          <w:p w14:paraId="7D5FB26A" w14:textId="77777777" w:rsidR="00711444" w:rsidRPr="004D0DAA" w:rsidRDefault="00711444" w:rsidP="00AA2A4C"/>
        </w:tc>
        <w:tc>
          <w:tcPr>
            <w:tcW w:w="624" w:type="dxa"/>
          </w:tcPr>
          <w:p w14:paraId="5B4C9972" w14:textId="77777777" w:rsidR="00711444" w:rsidRPr="004D0DAA" w:rsidRDefault="00711444" w:rsidP="00AA2A4C"/>
        </w:tc>
        <w:tc>
          <w:tcPr>
            <w:tcW w:w="624" w:type="dxa"/>
          </w:tcPr>
          <w:p w14:paraId="24A79DE1" w14:textId="77777777" w:rsidR="00711444" w:rsidRPr="004D0DAA" w:rsidRDefault="00711444" w:rsidP="00AA2A4C"/>
        </w:tc>
        <w:tc>
          <w:tcPr>
            <w:tcW w:w="624" w:type="dxa"/>
          </w:tcPr>
          <w:p w14:paraId="4D60970E" w14:textId="77777777" w:rsidR="00711444" w:rsidRPr="004D0DAA" w:rsidRDefault="00711444" w:rsidP="00AA2A4C"/>
        </w:tc>
        <w:tc>
          <w:tcPr>
            <w:tcW w:w="624" w:type="dxa"/>
          </w:tcPr>
          <w:p w14:paraId="0D8FD785" w14:textId="77777777" w:rsidR="00711444" w:rsidRPr="004D0DAA" w:rsidRDefault="00711444" w:rsidP="00AA2A4C"/>
        </w:tc>
        <w:tc>
          <w:tcPr>
            <w:tcW w:w="624" w:type="dxa"/>
          </w:tcPr>
          <w:p w14:paraId="624BBE37" w14:textId="77777777" w:rsidR="00711444" w:rsidRPr="004D0DAA" w:rsidRDefault="00711444" w:rsidP="00AA2A4C"/>
        </w:tc>
        <w:tc>
          <w:tcPr>
            <w:tcW w:w="624" w:type="dxa"/>
            <w:tcBorders>
              <w:right w:val="single" w:sz="6" w:space="0" w:color="auto"/>
            </w:tcBorders>
          </w:tcPr>
          <w:p w14:paraId="0ECD26F7" w14:textId="77777777" w:rsidR="00711444" w:rsidRPr="004D0DAA" w:rsidRDefault="00711444" w:rsidP="00AA2A4C"/>
        </w:tc>
        <w:tc>
          <w:tcPr>
            <w:tcW w:w="1701" w:type="dxa"/>
            <w:tcBorders>
              <w:top w:val="single" w:sz="6" w:space="0" w:color="FFFFFF"/>
              <w:right w:val="single" w:sz="4" w:space="0" w:color="auto"/>
            </w:tcBorders>
          </w:tcPr>
          <w:p w14:paraId="6F5C832E" w14:textId="77777777" w:rsidR="00711444" w:rsidRPr="004D0DAA" w:rsidRDefault="00711444" w:rsidP="00AA2A4C">
            <w:pPr>
              <w:pStyle w:val="TAC"/>
              <w:rPr>
                <w:lang w:eastAsia="en-US"/>
              </w:rPr>
            </w:pPr>
            <w:r w:rsidRPr="004D0DAA">
              <w:rPr>
                <w:lang w:eastAsia="en-US"/>
              </w:rPr>
              <w:t>Octet N2-10</w:t>
            </w:r>
          </w:p>
        </w:tc>
        <w:tc>
          <w:tcPr>
            <w:tcW w:w="1567" w:type="dxa"/>
            <w:tcBorders>
              <w:top w:val="single" w:sz="4" w:space="0" w:color="auto"/>
              <w:left w:val="single" w:sz="4" w:space="0" w:color="auto"/>
              <w:right w:val="single" w:sz="4" w:space="0" w:color="auto"/>
            </w:tcBorders>
          </w:tcPr>
          <w:p w14:paraId="4B21776B" w14:textId="77777777" w:rsidR="00711444" w:rsidRPr="004D0DAA" w:rsidRDefault="00711444" w:rsidP="00AA2A4C">
            <w:pPr>
              <w:pStyle w:val="TAC"/>
              <w:rPr>
                <w:lang w:eastAsia="en-US"/>
              </w:rPr>
            </w:pPr>
          </w:p>
        </w:tc>
      </w:tr>
      <w:tr w:rsidR="00711444" w:rsidRPr="004D0DAA" w14:paraId="6E4AF3B7"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38B2A808" w14:textId="77777777" w:rsidR="00711444" w:rsidRPr="004D0DAA" w:rsidRDefault="00711444" w:rsidP="00AA2A4C">
            <w:pPr>
              <w:pStyle w:val="TAC"/>
              <w:rPr>
                <w:lang w:eastAsia="en-US"/>
              </w:rPr>
            </w:pPr>
            <w:r w:rsidRPr="004D0DAA">
              <w:rPr>
                <w:lang w:eastAsia="en-US"/>
              </w:rPr>
              <w:br/>
              <w:t>LLC PDU J+2</w:t>
            </w:r>
          </w:p>
        </w:tc>
        <w:tc>
          <w:tcPr>
            <w:tcW w:w="1701" w:type="dxa"/>
            <w:tcBorders>
              <w:right w:val="single" w:sz="4" w:space="0" w:color="auto"/>
            </w:tcBorders>
          </w:tcPr>
          <w:p w14:paraId="38E514E5" w14:textId="77777777" w:rsidR="00711444" w:rsidRPr="004D0DAA" w:rsidRDefault="00711444" w:rsidP="00AA2A4C">
            <w:pPr>
              <w:pStyle w:val="TAC"/>
              <w:rPr>
                <w:lang w:eastAsia="en-US"/>
              </w:rPr>
            </w:pPr>
            <w:r w:rsidRPr="004D0DAA">
              <w:rPr>
                <w:lang w:eastAsia="en-US"/>
              </w:rPr>
              <w:t>.</w:t>
            </w:r>
          </w:p>
          <w:p w14:paraId="475F74CD" w14:textId="77777777" w:rsidR="00711444" w:rsidRPr="004D0DAA" w:rsidRDefault="00711444" w:rsidP="00AA2A4C">
            <w:pPr>
              <w:pStyle w:val="TAC"/>
              <w:rPr>
                <w:lang w:eastAsia="en-US"/>
              </w:rPr>
            </w:pPr>
            <w:r w:rsidRPr="004D0DAA">
              <w:rPr>
                <w:lang w:eastAsia="en-US"/>
              </w:rPr>
              <w:t>.</w:t>
            </w:r>
          </w:p>
          <w:p w14:paraId="3410AD9F"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7EE17BBC" w14:textId="77777777" w:rsidR="00711444" w:rsidRPr="004D0DAA" w:rsidRDefault="00711444" w:rsidP="00AA2A4C">
            <w:pPr>
              <w:pStyle w:val="TAC"/>
              <w:rPr>
                <w:lang w:eastAsia="en-US"/>
              </w:rPr>
            </w:pPr>
          </w:p>
          <w:p w14:paraId="2B54C65F" w14:textId="77777777" w:rsidR="00711444" w:rsidRPr="004D0DAA" w:rsidRDefault="00711444" w:rsidP="00AA2A4C">
            <w:pPr>
              <w:pStyle w:val="TAC"/>
              <w:rPr>
                <w:lang w:eastAsia="en-US"/>
              </w:rPr>
            </w:pPr>
            <w:r w:rsidRPr="004D0DAA">
              <w:rPr>
                <w:lang w:eastAsia="en-US"/>
              </w:rPr>
              <w:t>LLC PDU J+2</w:t>
            </w:r>
          </w:p>
        </w:tc>
      </w:tr>
      <w:tr w:rsidR="00711444" w:rsidRPr="004D0DAA" w14:paraId="2BCF7E00"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4C749F14" w14:textId="77777777" w:rsidR="00711444" w:rsidRPr="004D0DAA" w:rsidRDefault="00711444" w:rsidP="00AA2A4C"/>
        </w:tc>
        <w:tc>
          <w:tcPr>
            <w:tcW w:w="624" w:type="dxa"/>
            <w:tcBorders>
              <w:bottom w:val="single" w:sz="6" w:space="0" w:color="auto"/>
            </w:tcBorders>
          </w:tcPr>
          <w:p w14:paraId="310795D0" w14:textId="77777777" w:rsidR="00711444" w:rsidRPr="004D0DAA" w:rsidRDefault="00711444" w:rsidP="00AA2A4C"/>
        </w:tc>
        <w:tc>
          <w:tcPr>
            <w:tcW w:w="624" w:type="dxa"/>
            <w:tcBorders>
              <w:bottom w:val="single" w:sz="6" w:space="0" w:color="auto"/>
            </w:tcBorders>
          </w:tcPr>
          <w:p w14:paraId="0B0B1459" w14:textId="77777777" w:rsidR="00711444" w:rsidRPr="004D0DAA" w:rsidRDefault="00711444" w:rsidP="00AA2A4C"/>
        </w:tc>
        <w:tc>
          <w:tcPr>
            <w:tcW w:w="624" w:type="dxa"/>
            <w:tcBorders>
              <w:bottom w:val="single" w:sz="6" w:space="0" w:color="auto"/>
            </w:tcBorders>
          </w:tcPr>
          <w:p w14:paraId="43184E42" w14:textId="77777777" w:rsidR="00711444" w:rsidRPr="004D0DAA" w:rsidRDefault="00711444" w:rsidP="00AA2A4C"/>
        </w:tc>
        <w:tc>
          <w:tcPr>
            <w:tcW w:w="624" w:type="dxa"/>
            <w:tcBorders>
              <w:bottom w:val="single" w:sz="6" w:space="0" w:color="auto"/>
            </w:tcBorders>
          </w:tcPr>
          <w:p w14:paraId="167F0F19" w14:textId="77777777" w:rsidR="00711444" w:rsidRPr="004D0DAA" w:rsidRDefault="00711444" w:rsidP="00AA2A4C"/>
        </w:tc>
        <w:tc>
          <w:tcPr>
            <w:tcW w:w="624" w:type="dxa"/>
            <w:tcBorders>
              <w:bottom w:val="single" w:sz="6" w:space="0" w:color="auto"/>
            </w:tcBorders>
          </w:tcPr>
          <w:p w14:paraId="2372F2BF" w14:textId="77777777" w:rsidR="00711444" w:rsidRPr="004D0DAA" w:rsidRDefault="00711444" w:rsidP="00AA2A4C"/>
        </w:tc>
        <w:tc>
          <w:tcPr>
            <w:tcW w:w="624" w:type="dxa"/>
            <w:tcBorders>
              <w:bottom w:val="single" w:sz="6" w:space="0" w:color="auto"/>
            </w:tcBorders>
          </w:tcPr>
          <w:p w14:paraId="0BD759DD" w14:textId="77777777" w:rsidR="00711444" w:rsidRPr="004D0DAA" w:rsidRDefault="00711444" w:rsidP="00AA2A4C"/>
        </w:tc>
        <w:tc>
          <w:tcPr>
            <w:tcW w:w="624" w:type="dxa"/>
            <w:tcBorders>
              <w:bottom w:val="single" w:sz="6" w:space="0" w:color="auto"/>
              <w:right w:val="single" w:sz="6" w:space="0" w:color="auto"/>
            </w:tcBorders>
          </w:tcPr>
          <w:p w14:paraId="5F9F29E8" w14:textId="77777777" w:rsidR="00711444" w:rsidRPr="004D0DAA" w:rsidRDefault="00711444" w:rsidP="00AA2A4C"/>
        </w:tc>
        <w:tc>
          <w:tcPr>
            <w:tcW w:w="1701" w:type="dxa"/>
            <w:tcBorders>
              <w:right w:val="single" w:sz="4" w:space="0" w:color="auto"/>
            </w:tcBorders>
          </w:tcPr>
          <w:p w14:paraId="78179314" w14:textId="77777777" w:rsidR="00711444" w:rsidRPr="004D0DAA" w:rsidRDefault="00711444" w:rsidP="00AA2A4C">
            <w:pPr>
              <w:pStyle w:val="TAC"/>
              <w:rPr>
                <w:lang w:eastAsia="en-US"/>
              </w:rPr>
            </w:pPr>
            <w:r w:rsidRPr="004D0DAA">
              <w:rPr>
                <w:lang w:eastAsia="en-US"/>
              </w:rPr>
              <w:t>Octet N2</w:t>
            </w:r>
          </w:p>
        </w:tc>
        <w:tc>
          <w:tcPr>
            <w:tcW w:w="1567" w:type="dxa"/>
            <w:tcBorders>
              <w:left w:val="single" w:sz="4" w:space="0" w:color="auto"/>
              <w:bottom w:val="single" w:sz="4" w:space="0" w:color="auto"/>
              <w:right w:val="single" w:sz="4" w:space="0" w:color="auto"/>
            </w:tcBorders>
          </w:tcPr>
          <w:p w14:paraId="3B725263" w14:textId="77777777" w:rsidR="00711444" w:rsidRPr="004D0DAA" w:rsidRDefault="00711444" w:rsidP="00AA2A4C">
            <w:pPr>
              <w:pStyle w:val="TAC"/>
              <w:rPr>
                <w:lang w:eastAsia="en-US"/>
              </w:rPr>
            </w:pPr>
          </w:p>
        </w:tc>
      </w:tr>
    </w:tbl>
    <w:p w14:paraId="52219E44" w14:textId="77777777" w:rsidR="00711444" w:rsidRPr="004D0DAA" w:rsidRDefault="00711444" w:rsidP="00711444">
      <w:pPr>
        <w:pStyle w:val="NO"/>
      </w:pPr>
    </w:p>
    <w:tbl>
      <w:tblPr>
        <w:tblW w:w="8507"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3845A37A" w14:textId="77777777" w:rsidTr="00AA2A4C">
        <w:tblPrEx>
          <w:tblCellMar>
            <w:top w:w="0" w:type="dxa"/>
            <w:bottom w:w="0" w:type="dxa"/>
          </w:tblCellMar>
        </w:tblPrEx>
        <w:trPr>
          <w:cantSplit/>
        </w:trPr>
        <w:tc>
          <w:tcPr>
            <w:tcW w:w="5239" w:type="dxa"/>
            <w:gridSpan w:val="8"/>
          </w:tcPr>
          <w:p w14:paraId="6EC16F7E" w14:textId="77777777" w:rsidR="00711444" w:rsidRPr="004D0DAA" w:rsidRDefault="00711444" w:rsidP="00AA2A4C">
            <w:pPr>
              <w:pStyle w:val="TAC"/>
              <w:rPr>
                <w:lang w:eastAsia="en-US"/>
              </w:rPr>
            </w:pPr>
            <w:r w:rsidRPr="004D0DAA">
              <w:rPr>
                <w:lang w:eastAsia="en-US"/>
              </w:rPr>
              <w:lastRenderedPageBreak/>
              <w:t>RLC Block with BSN=N-1 (mod SNS)</w:t>
            </w:r>
          </w:p>
        </w:tc>
        <w:tc>
          <w:tcPr>
            <w:tcW w:w="1701" w:type="dxa"/>
          </w:tcPr>
          <w:p w14:paraId="0DDF17FB" w14:textId="77777777" w:rsidR="00711444" w:rsidRPr="004D0DAA" w:rsidRDefault="00711444" w:rsidP="00AA2A4C"/>
        </w:tc>
        <w:tc>
          <w:tcPr>
            <w:tcW w:w="1567" w:type="dxa"/>
          </w:tcPr>
          <w:p w14:paraId="42A7BE8B" w14:textId="77777777" w:rsidR="00711444" w:rsidRPr="004D0DAA" w:rsidRDefault="00711444" w:rsidP="00AA2A4C">
            <w:pPr>
              <w:pStyle w:val="TAC"/>
              <w:rPr>
                <w:lang w:eastAsia="en-US"/>
              </w:rPr>
            </w:pPr>
          </w:p>
        </w:tc>
      </w:tr>
      <w:tr w:rsidR="00711444" w:rsidRPr="004D0DAA" w14:paraId="0F2DD8E3" w14:textId="77777777" w:rsidTr="00AA2A4C">
        <w:tblPrEx>
          <w:tblCellMar>
            <w:top w:w="0" w:type="dxa"/>
            <w:bottom w:w="0" w:type="dxa"/>
          </w:tblCellMar>
        </w:tblPrEx>
        <w:trPr>
          <w:cantSplit/>
        </w:trPr>
        <w:tc>
          <w:tcPr>
            <w:tcW w:w="5239" w:type="dxa"/>
            <w:gridSpan w:val="8"/>
          </w:tcPr>
          <w:p w14:paraId="629D5603" w14:textId="77777777" w:rsidR="00711444" w:rsidRPr="004D0DAA" w:rsidRDefault="00711444" w:rsidP="00AA2A4C">
            <w:pPr>
              <w:pStyle w:val="TAC"/>
              <w:rPr>
                <w:lang w:eastAsia="en-US"/>
              </w:rPr>
            </w:pPr>
            <w:r w:rsidRPr="004D0DAA">
              <w:rPr>
                <w:lang w:eastAsia="en-US"/>
              </w:rPr>
              <w:t>Bit</w:t>
            </w:r>
          </w:p>
        </w:tc>
        <w:tc>
          <w:tcPr>
            <w:tcW w:w="1701" w:type="dxa"/>
          </w:tcPr>
          <w:p w14:paraId="48F990FF" w14:textId="77777777" w:rsidR="00711444" w:rsidRPr="004D0DAA" w:rsidRDefault="00711444" w:rsidP="00AA2A4C"/>
        </w:tc>
        <w:tc>
          <w:tcPr>
            <w:tcW w:w="1567" w:type="dxa"/>
          </w:tcPr>
          <w:p w14:paraId="293C73A9" w14:textId="77777777" w:rsidR="00711444" w:rsidRPr="004D0DAA" w:rsidRDefault="00711444" w:rsidP="00AA2A4C">
            <w:pPr>
              <w:pStyle w:val="TAC"/>
              <w:rPr>
                <w:lang w:eastAsia="en-US"/>
              </w:rPr>
            </w:pPr>
          </w:p>
        </w:tc>
      </w:tr>
      <w:tr w:rsidR="00711444" w:rsidRPr="004D0DAA" w14:paraId="02F52388" w14:textId="77777777" w:rsidTr="00AA2A4C">
        <w:tblPrEx>
          <w:tblCellMar>
            <w:top w:w="0" w:type="dxa"/>
            <w:bottom w:w="0" w:type="dxa"/>
          </w:tblCellMar>
        </w:tblPrEx>
        <w:trPr>
          <w:cantSplit/>
        </w:trPr>
        <w:tc>
          <w:tcPr>
            <w:tcW w:w="871" w:type="dxa"/>
          </w:tcPr>
          <w:p w14:paraId="6CE642AC" w14:textId="77777777" w:rsidR="00711444" w:rsidRPr="004D0DAA" w:rsidRDefault="00711444" w:rsidP="00AA2A4C">
            <w:pPr>
              <w:pStyle w:val="TAC"/>
              <w:rPr>
                <w:lang w:eastAsia="en-US"/>
              </w:rPr>
            </w:pPr>
            <w:r w:rsidRPr="004D0DAA">
              <w:rPr>
                <w:lang w:eastAsia="en-US"/>
              </w:rPr>
              <w:t>8</w:t>
            </w:r>
          </w:p>
        </w:tc>
        <w:tc>
          <w:tcPr>
            <w:tcW w:w="624" w:type="dxa"/>
          </w:tcPr>
          <w:p w14:paraId="5898A1E4" w14:textId="77777777" w:rsidR="00711444" w:rsidRPr="004D0DAA" w:rsidRDefault="00711444" w:rsidP="00AA2A4C">
            <w:pPr>
              <w:pStyle w:val="TAC"/>
              <w:rPr>
                <w:lang w:eastAsia="en-US"/>
              </w:rPr>
            </w:pPr>
            <w:r w:rsidRPr="004D0DAA">
              <w:rPr>
                <w:lang w:eastAsia="en-US"/>
              </w:rPr>
              <w:t>7</w:t>
            </w:r>
          </w:p>
        </w:tc>
        <w:tc>
          <w:tcPr>
            <w:tcW w:w="624" w:type="dxa"/>
          </w:tcPr>
          <w:p w14:paraId="728786C2" w14:textId="77777777" w:rsidR="00711444" w:rsidRPr="004D0DAA" w:rsidRDefault="00711444" w:rsidP="00AA2A4C">
            <w:pPr>
              <w:pStyle w:val="TAC"/>
              <w:rPr>
                <w:lang w:eastAsia="en-US"/>
              </w:rPr>
            </w:pPr>
            <w:r w:rsidRPr="004D0DAA">
              <w:rPr>
                <w:lang w:eastAsia="en-US"/>
              </w:rPr>
              <w:t>6</w:t>
            </w:r>
          </w:p>
        </w:tc>
        <w:tc>
          <w:tcPr>
            <w:tcW w:w="624" w:type="dxa"/>
          </w:tcPr>
          <w:p w14:paraId="5449C5FF" w14:textId="77777777" w:rsidR="00711444" w:rsidRPr="004D0DAA" w:rsidRDefault="00711444" w:rsidP="00AA2A4C">
            <w:pPr>
              <w:pStyle w:val="TAC"/>
              <w:rPr>
                <w:lang w:eastAsia="en-US"/>
              </w:rPr>
            </w:pPr>
            <w:r w:rsidRPr="004D0DAA">
              <w:rPr>
                <w:lang w:eastAsia="en-US"/>
              </w:rPr>
              <w:t>5</w:t>
            </w:r>
          </w:p>
        </w:tc>
        <w:tc>
          <w:tcPr>
            <w:tcW w:w="624" w:type="dxa"/>
          </w:tcPr>
          <w:p w14:paraId="2D3DBBDA" w14:textId="77777777" w:rsidR="00711444" w:rsidRPr="004D0DAA" w:rsidRDefault="00711444" w:rsidP="00AA2A4C">
            <w:pPr>
              <w:pStyle w:val="TAC"/>
              <w:rPr>
                <w:lang w:eastAsia="en-US"/>
              </w:rPr>
            </w:pPr>
            <w:r w:rsidRPr="004D0DAA">
              <w:rPr>
                <w:lang w:eastAsia="en-US"/>
              </w:rPr>
              <w:t>4</w:t>
            </w:r>
          </w:p>
        </w:tc>
        <w:tc>
          <w:tcPr>
            <w:tcW w:w="624" w:type="dxa"/>
          </w:tcPr>
          <w:p w14:paraId="345C6978"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5847012D" w14:textId="77777777" w:rsidR="00711444" w:rsidRPr="004D0DAA" w:rsidRDefault="00711444" w:rsidP="00AA2A4C">
            <w:pPr>
              <w:pStyle w:val="TAC"/>
              <w:rPr>
                <w:lang w:eastAsia="en-US"/>
              </w:rPr>
            </w:pPr>
            <w:r w:rsidRPr="004D0DAA">
              <w:rPr>
                <w:lang w:eastAsia="en-US"/>
              </w:rPr>
              <w:t>2</w:t>
            </w:r>
          </w:p>
        </w:tc>
        <w:tc>
          <w:tcPr>
            <w:tcW w:w="624" w:type="dxa"/>
          </w:tcPr>
          <w:p w14:paraId="3704FA5C" w14:textId="77777777" w:rsidR="00711444" w:rsidRPr="004D0DAA" w:rsidRDefault="00711444" w:rsidP="00AA2A4C">
            <w:pPr>
              <w:pStyle w:val="TAC"/>
              <w:rPr>
                <w:lang w:eastAsia="en-US"/>
              </w:rPr>
            </w:pPr>
            <w:r w:rsidRPr="004D0DAA">
              <w:rPr>
                <w:lang w:eastAsia="en-US"/>
              </w:rPr>
              <w:t>1</w:t>
            </w:r>
          </w:p>
        </w:tc>
        <w:tc>
          <w:tcPr>
            <w:tcW w:w="1701" w:type="dxa"/>
          </w:tcPr>
          <w:p w14:paraId="55055B2F" w14:textId="77777777" w:rsidR="00711444" w:rsidRPr="004D0DAA" w:rsidRDefault="00711444" w:rsidP="00AA2A4C"/>
        </w:tc>
        <w:tc>
          <w:tcPr>
            <w:tcW w:w="1567" w:type="dxa"/>
          </w:tcPr>
          <w:p w14:paraId="49880A04" w14:textId="77777777" w:rsidR="00711444" w:rsidRPr="004D0DAA" w:rsidRDefault="00711444" w:rsidP="00AA2A4C">
            <w:pPr>
              <w:pStyle w:val="TAC"/>
              <w:rPr>
                <w:lang w:eastAsia="en-US"/>
              </w:rPr>
            </w:pPr>
          </w:p>
        </w:tc>
      </w:tr>
      <w:tr w:rsidR="00711444" w:rsidRPr="004D0DAA" w14:paraId="688C7962"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1160D759" w14:textId="77777777" w:rsidR="00711444" w:rsidRPr="004D0DAA" w:rsidRDefault="00711444" w:rsidP="00AA2A4C"/>
        </w:tc>
        <w:tc>
          <w:tcPr>
            <w:tcW w:w="624" w:type="dxa"/>
            <w:tcBorders>
              <w:top w:val="single" w:sz="6" w:space="0" w:color="auto"/>
            </w:tcBorders>
          </w:tcPr>
          <w:p w14:paraId="4B323AFD" w14:textId="77777777" w:rsidR="00711444" w:rsidRPr="004D0DAA" w:rsidRDefault="00711444" w:rsidP="00AA2A4C"/>
        </w:tc>
        <w:tc>
          <w:tcPr>
            <w:tcW w:w="624" w:type="dxa"/>
            <w:tcBorders>
              <w:top w:val="single" w:sz="6" w:space="0" w:color="auto"/>
            </w:tcBorders>
          </w:tcPr>
          <w:p w14:paraId="610DDB98" w14:textId="77777777" w:rsidR="00711444" w:rsidRPr="004D0DAA" w:rsidRDefault="00711444" w:rsidP="00AA2A4C"/>
        </w:tc>
        <w:tc>
          <w:tcPr>
            <w:tcW w:w="624" w:type="dxa"/>
            <w:tcBorders>
              <w:top w:val="single" w:sz="6" w:space="0" w:color="auto"/>
            </w:tcBorders>
          </w:tcPr>
          <w:p w14:paraId="6BAE2E55" w14:textId="77777777" w:rsidR="00711444" w:rsidRPr="004D0DAA" w:rsidRDefault="00711444" w:rsidP="00AA2A4C"/>
        </w:tc>
        <w:tc>
          <w:tcPr>
            <w:tcW w:w="624" w:type="dxa"/>
            <w:tcBorders>
              <w:top w:val="single" w:sz="6" w:space="0" w:color="auto"/>
            </w:tcBorders>
          </w:tcPr>
          <w:p w14:paraId="14346419" w14:textId="77777777" w:rsidR="00711444" w:rsidRPr="004D0DAA" w:rsidRDefault="00711444" w:rsidP="00AA2A4C"/>
        </w:tc>
        <w:tc>
          <w:tcPr>
            <w:tcW w:w="624" w:type="dxa"/>
            <w:tcBorders>
              <w:top w:val="single" w:sz="6" w:space="0" w:color="auto"/>
              <w:right w:val="single" w:sz="4" w:space="0" w:color="auto"/>
            </w:tcBorders>
          </w:tcPr>
          <w:p w14:paraId="38F0D83E"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0AA48F1B"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6612A458" w14:textId="77777777" w:rsidR="00711444" w:rsidRPr="004D0DAA" w:rsidRDefault="00711444" w:rsidP="00AA2A4C">
            <w:pPr>
              <w:pStyle w:val="TAC"/>
              <w:rPr>
                <w:lang w:eastAsia="en-US"/>
              </w:rPr>
            </w:pPr>
            <w:r w:rsidRPr="004D0DAA">
              <w:rPr>
                <w:lang w:eastAsia="en-US"/>
              </w:rPr>
              <w:t>E = 0</w:t>
            </w:r>
          </w:p>
        </w:tc>
        <w:tc>
          <w:tcPr>
            <w:tcW w:w="1701" w:type="dxa"/>
          </w:tcPr>
          <w:p w14:paraId="7437C43E" w14:textId="77777777" w:rsidR="00711444" w:rsidRPr="004D0DAA" w:rsidRDefault="00711444" w:rsidP="00AA2A4C">
            <w:pPr>
              <w:pStyle w:val="TAC"/>
              <w:rPr>
                <w:lang w:eastAsia="en-US"/>
              </w:rPr>
            </w:pPr>
            <w:r w:rsidRPr="004D0DAA">
              <w:rPr>
                <w:lang w:eastAsia="en-US"/>
              </w:rPr>
              <w:t>Octet 1</w:t>
            </w:r>
          </w:p>
        </w:tc>
        <w:tc>
          <w:tcPr>
            <w:tcW w:w="1567" w:type="dxa"/>
          </w:tcPr>
          <w:p w14:paraId="1A707D88" w14:textId="77777777" w:rsidR="00711444" w:rsidRPr="004D0DAA" w:rsidRDefault="00711444" w:rsidP="00AA2A4C">
            <w:pPr>
              <w:pStyle w:val="TAC"/>
              <w:rPr>
                <w:lang w:eastAsia="en-US"/>
              </w:rPr>
            </w:pPr>
            <w:r w:rsidRPr="004D0DAA">
              <w:rPr>
                <w:lang w:eastAsia="en-US"/>
              </w:rPr>
              <w:t xml:space="preserve"> </w:t>
            </w:r>
          </w:p>
        </w:tc>
      </w:tr>
      <w:tr w:rsidR="00711444" w:rsidRPr="004D0DAA" w14:paraId="3BC932BC"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7019A088" w14:textId="77777777" w:rsidR="00711444" w:rsidRPr="004D0DAA" w:rsidRDefault="00711444" w:rsidP="00AA2A4C">
            <w:pPr>
              <w:pStyle w:val="TAC"/>
              <w:rPr>
                <w:lang w:eastAsia="en-US"/>
              </w:rPr>
            </w:pPr>
            <w:r w:rsidRPr="004D0DAA">
              <w:rPr>
                <w:lang w:eastAsia="en-US"/>
              </w:rPr>
              <w:t>Length indicator = 0</w:t>
            </w:r>
          </w:p>
        </w:tc>
        <w:tc>
          <w:tcPr>
            <w:tcW w:w="624" w:type="dxa"/>
            <w:tcBorders>
              <w:top w:val="single" w:sz="6" w:space="0" w:color="auto"/>
              <w:left w:val="single" w:sz="6" w:space="0" w:color="auto"/>
              <w:bottom w:val="single" w:sz="6" w:space="0" w:color="auto"/>
              <w:right w:val="single" w:sz="6" w:space="0" w:color="auto"/>
            </w:tcBorders>
          </w:tcPr>
          <w:p w14:paraId="22306BE2" w14:textId="77777777" w:rsidR="00711444" w:rsidRPr="004D0DAA" w:rsidRDefault="00711444" w:rsidP="00AA2A4C">
            <w:pPr>
              <w:pStyle w:val="TAC"/>
              <w:rPr>
                <w:lang w:eastAsia="en-US"/>
              </w:rPr>
            </w:pPr>
            <w:r w:rsidRPr="004D0DAA">
              <w:rPr>
                <w:lang w:eastAsia="en-US"/>
              </w:rPr>
              <w:t>E = 0</w:t>
            </w:r>
          </w:p>
        </w:tc>
        <w:tc>
          <w:tcPr>
            <w:tcW w:w="1701" w:type="dxa"/>
            <w:tcBorders>
              <w:left w:val="single" w:sz="6" w:space="0" w:color="auto"/>
            </w:tcBorders>
          </w:tcPr>
          <w:p w14:paraId="36A774ED" w14:textId="77777777" w:rsidR="00711444" w:rsidRPr="004D0DAA" w:rsidRDefault="00711444" w:rsidP="00AA2A4C">
            <w:pPr>
              <w:pStyle w:val="TAC"/>
              <w:rPr>
                <w:lang w:eastAsia="en-US"/>
              </w:rPr>
            </w:pPr>
            <w:r w:rsidRPr="004D0DAA">
              <w:rPr>
                <w:lang w:eastAsia="en-US"/>
              </w:rPr>
              <w:t>Octet 2</w:t>
            </w:r>
          </w:p>
        </w:tc>
        <w:tc>
          <w:tcPr>
            <w:tcW w:w="1567" w:type="dxa"/>
          </w:tcPr>
          <w:p w14:paraId="513D67F0" w14:textId="77777777" w:rsidR="00711444" w:rsidRPr="004D0DAA" w:rsidRDefault="00711444" w:rsidP="00AA2A4C">
            <w:pPr>
              <w:pStyle w:val="TAC"/>
              <w:rPr>
                <w:lang w:eastAsia="en-US"/>
              </w:rPr>
            </w:pPr>
          </w:p>
        </w:tc>
      </w:tr>
      <w:tr w:rsidR="00711444" w:rsidRPr="004D0DAA" w14:paraId="00F7432A"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30AC3A41" w14:textId="77777777" w:rsidR="00711444" w:rsidRPr="004D0DAA" w:rsidRDefault="00711444" w:rsidP="00AA2A4C">
            <w:pPr>
              <w:pStyle w:val="TAC"/>
              <w:rPr>
                <w:lang w:eastAsia="en-US"/>
              </w:rPr>
            </w:pPr>
            <w:r w:rsidRPr="004D0DAA">
              <w:rPr>
                <w:lang w:eastAsia="en-US"/>
              </w:rPr>
              <w:t>Length indicator= 7</w:t>
            </w:r>
          </w:p>
        </w:tc>
        <w:tc>
          <w:tcPr>
            <w:tcW w:w="624" w:type="dxa"/>
            <w:tcBorders>
              <w:top w:val="single" w:sz="6" w:space="0" w:color="auto"/>
              <w:left w:val="single" w:sz="6" w:space="0" w:color="auto"/>
              <w:bottom w:val="single" w:sz="6" w:space="0" w:color="auto"/>
              <w:right w:val="single" w:sz="6" w:space="0" w:color="auto"/>
            </w:tcBorders>
          </w:tcPr>
          <w:p w14:paraId="5A438EED" w14:textId="77777777" w:rsidR="00711444" w:rsidRPr="004D0DAA" w:rsidRDefault="00711444" w:rsidP="00AA2A4C">
            <w:pPr>
              <w:pStyle w:val="TAC"/>
              <w:rPr>
                <w:lang w:eastAsia="en-US"/>
              </w:rPr>
            </w:pPr>
            <w:r w:rsidRPr="004D0DAA">
              <w:rPr>
                <w:lang w:eastAsia="en-US"/>
              </w:rPr>
              <w:t xml:space="preserve"> E =0</w:t>
            </w:r>
          </w:p>
        </w:tc>
        <w:tc>
          <w:tcPr>
            <w:tcW w:w="1701" w:type="dxa"/>
            <w:tcBorders>
              <w:left w:val="single" w:sz="6" w:space="0" w:color="auto"/>
            </w:tcBorders>
          </w:tcPr>
          <w:p w14:paraId="6CCF0697" w14:textId="77777777" w:rsidR="00711444" w:rsidRPr="004D0DAA" w:rsidRDefault="00711444" w:rsidP="00AA2A4C">
            <w:pPr>
              <w:pStyle w:val="TAC"/>
              <w:rPr>
                <w:lang w:eastAsia="en-US"/>
              </w:rPr>
            </w:pPr>
            <w:r w:rsidRPr="004D0DAA">
              <w:rPr>
                <w:lang w:eastAsia="en-US"/>
              </w:rPr>
              <w:t>Octet 3</w:t>
            </w:r>
          </w:p>
        </w:tc>
        <w:tc>
          <w:tcPr>
            <w:tcW w:w="1567" w:type="dxa"/>
          </w:tcPr>
          <w:p w14:paraId="5D3CCFA8" w14:textId="77777777" w:rsidR="00711444" w:rsidRPr="004D0DAA" w:rsidRDefault="00711444" w:rsidP="00AA2A4C">
            <w:pPr>
              <w:pStyle w:val="TAC"/>
              <w:rPr>
                <w:lang w:eastAsia="en-US"/>
              </w:rPr>
            </w:pPr>
          </w:p>
        </w:tc>
      </w:tr>
      <w:tr w:rsidR="00711444" w:rsidRPr="004D0DAA" w14:paraId="760F331B"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28D861A6" w14:textId="77777777" w:rsidR="00711444" w:rsidRPr="004D0DAA" w:rsidRDefault="00711444" w:rsidP="00AA2A4C">
            <w:pPr>
              <w:pStyle w:val="TAC"/>
              <w:rPr>
                <w:lang w:eastAsia="en-US"/>
              </w:rPr>
            </w:pPr>
            <w:r w:rsidRPr="004D0DAA">
              <w:rPr>
                <w:lang w:eastAsia="en-US"/>
              </w:rPr>
              <w:t>Length indicator= N2-11</w:t>
            </w:r>
          </w:p>
        </w:tc>
        <w:tc>
          <w:tcPr>
            <w:tcW w:w="624" w:type="dxa"/>
            <w:tcBorders>
              <w:top w:val="single" w:sz="6" w:space="0" w:color="auto"/>
              <w:left w:val="single" w:sz="6" w:space="0" w:color="auto"/>
              <w:bottom w:val="single" w:sz="6" w:space="0" w:color="auto"/>
              <w:right w:val="single" w:sz="6" w:space="0" w:color="auto"/>
            </w:tcBorders>
          </w:tcPr>
          <w:p w14:paraId="1026EA69" w14:textId="77777777" w:rsidR="00711444" w:rsidRPr="004D0DAA" w:rsidRDefault="00711444" w:rsidP="00AA2A4C">
            <w:pPr>
              <w:pStyle w:val="TAC"/>
              <w:rPr>
                <w:lang w:eastAsia="en-US"/>
              </w:rPr>
            </w:pPr>
            <w:r w:rsidRPr="004D0DAA">
              <w:rPr>
                <w:lang w:eastAsia="en-US"/>
              </w:rPr>
              <w:t xml:space="preserve"> E=1</w:t>
            </w:r>
          </w:p>
        </w:tc>
        <w:tc>
          <w:tcPr>
            <w:tcW w:w="1701" w:type="dxa"/>
            <w:tcBorders>
              <w:left w:val="single" w:sz="6" w:space="0" w:color="auto"/>
            </w:tcBorders>
          </w:tcPr>
          <w:p w14:paraId="3FFB799A" w14:textId="77777777" w:rsidR="00711444" w:rsidRPr="004D0DAA" w:rsidRDefault="00711444" w:rsidP="00AA2A4C">
            <w:pPr>
              <w:pStyle w:val="TAC"/>
              <w:rPr>
                <w:lang w:eastAsia="en-US"/>
              </w:rPr>
            </w:pPr>
            <w:r w:rsidRPr="004D0DAA">
              <w:rPr>
                <w:lang w:eastAsia="en-US"/>
              </w:rPr>
              <w:t>Octet 4</w:t>
            </w:r>
          </w:p>
        </w:tc>
        <w:tc>
          <w:tcPr>
            <w:tcW w:w="1567" w:type="dxa"/>
            <w:tcBorders>
              <w:bottom w:val="single" w:sz="4" w:space="0" w:color="auto"/>
            </w:tcBorders>
          </w:tcPr>
          <w:p w14:paraId="2D74D4A9" w14:textId="77777777" w:rsidR="00711444" w:rsidRPr="004D0DAA" w:rsidRDefault="00711444" w:rsidP="00AA2A4C">
            <w:pPr>
              <w:pStyle w:val="TAC"/>
              <w:rPr>
                <w:lang w:eastAsia="en-US"/>
              </w:rPr>
            </w:pPr>
          </w:p>
        </w:tc>
      </w:tr>
      <w:tr w:rsidR="00711444" w:rsidRPr="004D0DAA" w14:paraId="2C96FC47" w14:textId="77777777" w:rsidTr="00AA2A4C">
        <w:tblPrEx>
          <w:tblCellMar>
            <w:top w:w="0" w:type="dxa"/>
            <w:bottom w:w="0" w:type="dxa"/>
          </w:tblCellMar>
        </w:tblPrEx>
        <w:trPr>
          <w:cantSplit/>
        </w:trPr>
        <w:tc>
          <w:tcPr>
            <w:tcW w:w="871" w:type="dxa"/>
            <w:tcBorders>
              <w:left w:val="single" w:sz="6" w:space="0" w:color="auto"/>
            </w:tcBorders>
          </w:tcPr>
          <w:p w14:paraId="4028793C" w14:textId="77777777" w:rsidR="00711444" w:rsidRPr="004D0DAA" w:rsidRDefault="00711444" w:rsidP="00AA2A4C"/>
        </w:tc>
        <w:tc>
          <w:tcPr>
            <w:tcW w:w="624" w:type="dxa"/>
          </w:tcPr>
          <w:p w14:paraId="6BBFD853" w14:textId="77777777" w:rsidR="00711444" w:rsidRPr="004D0DAA" w:rsidRDefault="00711444" w:rsidP="00AA2A4C"/>
        </w:tc>
        <w:tc>
          <w:tcPr>
            <w:tcW w:w="624" w:type="dxa"/>
          </w:tcPr>
          <w:p w14:paraId="39DAC6B6" w14:textId="77777777" w:rsidR="00711444" w:rsidRPr="004D0DAA" w:rsidRDefault="00711444" w:rsidP="00AA2A4C"/>
        </w:tc>
        <w:tc>
          <w:tcPr>
            <w:tcW w:w="624" w:type="dxa"/>
          </w:tcPr>
          <w:p w14:paraId="190616F3" w14:textId="77777777" w:rsidR="00711444" w:rsidRPr="004D0DAA" w:rsidRDefault="00711444" w:rsidP="00AA2A4C"/>
        </w:tc>
        <w:tc>
          <w:tcPr>
            <w:tcW w:w="624" w:type="dxa"/>
          </w:tcPr>
          <w:p w14:paraId="19AB3229" w14:textId="77777777" w:rsidR="00711444" w:rsidRPr="004D0DAA" w:rsidRDefault="00711444" w:rsidP="00AA2A4C"/>
        </w:tc>
        <w:tc>
          <w:tcPr>
            <w:tcW w:w="624" w:type="dxa"/>
          </w:tcPr>
          <w:p w14:paraId="57B0061E" w14:textId="77777777" w:rsidR="00711444" w:rsidRPr="004D0DAA" w:rsidRDefault="00711444" w:rsidP="00AA2A4C"/>
        </w:tc>
        <w:tc>
          <w:tcPr>
            <w:tcW w:w="624" w:type="dxa"/>
          </w:tcPr>
          <w:p w14:paraId="16E781B8" w14:textId="77777777" w:rsidR="00711444" w:rsidRPr="004D0DAA" w:rsidRDefault="00711444" w:rsidP="00AA2A4C"/>
        </w:tc>
        <w:tc>
          <w:tcPr>
            <w:tcW w:w="624" w:type="dxa"/>
            <w:tcBorders>
              <w:right w:val="single" w:sz="6" w:space="0" w:color="auto"/>
            </w:tcBorders>
          </w:tcPr>
          <w:p w14:paraId="4A683AFF" w14:textId="77777777" w:rsidR="00711444" w:rsidRPr="004D0DAA" w:rsidRDefault="00711444" w:rsidP="00AA2A4C"/>
        </w:tc>
        <w:tc>
          <w:tcPr>
            <w:tcW w:w="1701" w:type="dxa"/>
            <w:tcBorders>
              <w:right w:val="single" w:sz="4" w:space="0" w:color="auto"/>
            </w:tcBorders>
          </w:tcPr>
          <w:p w14:paraId="1BAC2999" w14:textId="77777777" w:rsidR="00711444" w:rsidRPr="004D0DAA" w:rsidRDefault="00711444" w:rsidP="00AA2A4C">
            <w:pPr>
              <w:pStyle w:val="TAC"/>
              <w:rPr>
                <w:lang w:eastAsia="en-US"/>
              </w:rPr>
            </w:pPr>
            <w:r w:rsidRPr="004D0DAA">
              <w:rPr>
                <w:lang w:eastAsia="en-US"/>
              </w:rPr>
              <w:t>Octet 5</w:t>
            </w:r>
          </w:p>
        </w:tc>
        <w:tc>
          <w:tcPr>
            <w:tcW w:w="1567" w:type="dxa"/>
            <w:tcBorders>
              <w:top w:val="single" w:sz="4" w:space="0" w:color="auto"/>
              <w:left w:val="single" w:sz="4" w:space="0" w:color="auto"/>
              <w:right w:val="single" w:sz="4" w:space="0" w:color="auto"/>
            </w:tcBorders>
          </w:tcPr>
          <w:p w14:paraId="36C487B5" w14:textId="77777777" w:rsidR="00711444" w:rsidRPr="004D0DAA" w:rsidRDefault="00711444" w:rsidP="00AA2A4C">
            <w:pPr>
              <w:pStyle w:val="TAC"/>
              <w:rPr>
                <w:lang w:eastAsia="en-US"/>
              </w:rPr>
            </w:pPr>
            <w:r w:rsidRPr="004D0DAA">
              <w:rPr>
                <w:lang w:eastAsia="en-US"/>
              </w:rPr>
              <w:t xml:space="preserve"> LLC PDU J+3</w:t>
            </w:r>
          </w:p>
        </w:tc>
      </w:tr>
      <w:tr w:rsidR="00711444" w:rsidRPr="004D0DAA" w14:paraId="383ECB9D"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3758FB3F" w14:textId="77777777" w:rsidR="00711444" w:rsidRPr="004D0DAA" w:rsidRDefault="00711444" w:rsidP="00AA2A4C">
            <w:pPr>
              <w:pStyle w:val="TAC"/>
              <w:rPr>
                <w:lang w:eastAsia="en-US"/>
              </w:rPr>
            </w:pPr>
            <w:r w:rsidRPr="004D0DAA">
              <w:rPr>
                <w:lang w:eastAsia="en-US"/>
              </w:rPr>
              <w:br/>
              <w:t xml:space="preserve">LLC PDU J+3 </w:t>
            </w:r>
          </w:p>
        </w:tc>
        <w:tc>
          <w:tcPr>
            <w:tcW w:w="1701" w:type="dxa"/>
            <w:tcBorders>
              <w:right w:val="single" w:sz="4" w:space="0" w:color="auto"/>
            </w:tcBorders>
          </w:tcPr>
          <w:p w14:paraId="6BAB765A" w14:textId="77777777" w:rsidR="00711444" w:rsidRPr="004D0DAA" w:rsidRDefault="00711444" w:rsidP="00AA2A4C">
            <w:pPr>
              <w:pStyle w:val="TAC"/>
              <w:rPr>
                <w:lang w:eastAsia="en-US"/>
              </w:rPr>
            </w:pPr>
            <w:r w:rsidRPr="004D0DAA">
              <w:rPr>
                <w:lang w:eastAsia="en-US"/>
              </w:rPr>
              <w:t>.</w:t>
            </w:r>
          </w:p>
          <w:p w14:paraId="2BE84C10" w14:textId="77777777" w:rsidR="00711444" w:rsidRPr="004D0DAA" w:rsidRDefault="00711444" w:rsidP="00AA2A4C">
            <w:pPr>
              <w:pStyle w:val="TAC"/>
              <w:rPr>
                <w:lang w:eastAsia="en-US"/>
              </w:rPr>
            </w:pPr>
            <w:r w:rsidRPr="004D0DAA">
              <w:rPr>
                <w:lang w:eastAsia="en-US"/>
              </w:rPr>
              <w:t>.</w:t>
            </w:r>
          </w:p>
          <w:p w14:paraId="09BAD4E9"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5F86B2FA" w14:textId="77777777" w:rsidR="00711444" w:rsidRPr="004D0DAA" w:rsidRDefault="00711444" w:rsidP="00AA2A4C">
            <w:pPr>
              <w:pStyle w:val="TAC"/>
              <w:rPr>
                <w:lang w:eastAsia="en-US"/>
              </w:rPr>
            </w:pPr>
          </w:p>
          <w:p w14:paraId="4D8D13D6" w14:textId="77777777" w:rsidR="00711444" w:rsidRPr="004D0DAA" w:rsidRDefault="00711444" w:rsidP="00AA2A4C">
            <w:pPr>
              <w:pStyle w:val="TAC"/>
              <w:rPr>
                <w:lang w:eastAsia="en-US"/>
              </w:rPr>
            </w:pPr>
          </w:p>
        </w:tc>
      </w:tr>
      <w:tr w:rsidR="00711444" w:rsidRPr="004D0DAA" w14:paraId="32897A4A"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5C161BD4" w14:textId="77777777" w:rsidR="00711444" w:rsidRPr="004D0DAA" w:rsidRDefault="00711444" w:rsidP="00AA2A4C"/>
        </w:tc>
        <w:tc>
          <w:tcPr>
            <w:tcW w:w="624" w:type="dxa"/>
            <w:tcBorders>
              <w:bottom w:val="single" w:sz="6" w:space="0" w:color="auto"/>
            </w:tcBorders>
          </w:tcPr>
          <w:p w14:paraId="57366D08" w14:textId="77777777" w:rsidR="00711444" w:rsidRPr="004D0DAA" w:rsidRDefault="00711444" w:rsidP="00AA2A4C"/>
        </w:tc>
        <w:tc>
          <w:tcPr>
            <w:tcW w:w="624" w:type="dxa"/>
            <w:tcBorders>
              <w:bottom w:val="single" w:sz="6" w:space="0" w:color="auto"/>
            </w:tcBorders>
          </w:tcPr>
          <w:p w14:paraId="5E019DA7" w14:textId="77777777" w:rsidR="00711444" w:rsidRPr="004D0DAA" w:rsidRDefault="00711444" w:rsidP="00AA2A4C"/>
        </w:tc>
        <w:tc>
          <w:tcPr>
            <w:tcW w:w="624" w:type="dxa"/>
            <w:tcBorders>
              <w:bottom w:val="single" w:sz="6" w:space="0" w:color="auto"/>
            </w:tcBorders>
          </w:tcPr>
          <w:p w14:paraId="7F09F006" w14:textId="77777777" w:rsidR="00711444" w:rsidRPr="004D0DAA" w:rsidRDefault="00711444" w:rsidP="00AA2A4C"/>
        </w:tc>
        <w:tc>
          <w:tcPr>
            <w:tcW w:w="624" w:type="dxa"/>
            <w:tcBorders>
              <w:bottom w:val="single" w:sz="6" w:space="0" w:color="auto"/>
            </w:tcBorders>
          </w:tcPr>
          <w:p w14:paraId="3B4A06A6" w14:textId="77777777" w:rsidR="00711444" w:rsidRPr="004D0DAA" w:rsidRDefault="00711444" w:rsidP="00AA2A4C"/>
        </w:tc>
        <w:tc>
          <w:tcPr>
            <w:tcW w:w="624" w:type="dxa"/>
            <w:tcBorders>
              <w:bottom w:val="single" w:sz="6" w:space="0" w:color="auto"/>
            </w:tcBorders>
          </w:tcPr>
          <w:p w14:paraId="21EDDA82" w14:textId="77777777" w:rsidR="00711444" w:rsidRPr="004D0DAA" w:rsidRDefault="00711444" w:rsidP="00AA2A4C"/>
        </w:tc>
        <w:tc>
          <w:tcPr>
            <w:tcW w:w="624" w:type="dxa"/>
            <w:tcBorders>
              <w:bottom w:val="single" w:sz="6" w:space="0" w:color="auto"/>
            </w:tcBorders>
          </w:tcPr>
          <w:p w14:paraId="3CE47CA7" w14:textId="77777777" w:rsidR="00711444" w:rsidRPr="004D0DAA" w:rsidRDefault="00711444" w:rsidP="00AA2A4C"/>
        </w:tc>
        <w:tc>
          <w:tcPr>
            <w:tcW w:w="624" w:type="dxa"/>
            <w:tcBorders>
              <w:bottom w:val="single" w:sz="6" w:space="0" w:color="auto"/>
              <w:right w:val="single" w:sz="6" w:space="0" w:color="auto"/>
            </w:tcBorders>
          </w:tcPr>
          <w:p w14:paraId="248EDAD3" w14:textId="77777777" w:rsidR="00711444" w:rsidRPr="004D0DAA" w:rsidRDefault="00711444" w:rsidP="00AA2A4C"/>
        </w:tc>
        <w:tc>
          <w:tcPr>
            <w:tcW w:w="1701" w:type="dxa"/>
            <w:tcBorders>
              <w:bottom w:val="single" w:sz="6" w:space="0" w:color="FFFFFF"/>
              <w:right w:val="single" w:sz="4" w:space="0" w:color="auto"/>
            </w:tcBorders>
          </w:tcPr>
          <w:p w14:paraId="176DA76C" w14:textId="77777777" w:rsidR="00711444" w:rsidRPr="004D0DAA" w:rsidRDefault="00711444" w:rsidP="00AA2A4C">
            <w:pPr>
              <w:pStyle w:val="TAC"/>
              <w:rPr>
                <w:lang w:eastAsia="en-US"/>
              </w:rPr>
            </w:pPr>
            <w:r w:rsidRPr="004D0DAA">
              <w:rPr>
                <w:lang w:eastAsia="en-US"/>
              </w:rPr>
              <w:t>Octet 11</w:t>
            </w:r>
          </w:p>
        </w:tc>
        <w:tc>
          <w:tcPr>
            <w:tcW w:w="1567" w:type="dxa"/>
            <w:tcBorders>
              <w:left w:val="single" w:sz="4" w:space="0" w:color="auto"/>
              <w:bottom w:val="single" w:sz="4" w:space="0" w:color="auto"/>
              <w:right w:val="single" w:sz="4" w:space="0" w:color="auto"/>
            </w:tcBorders>
          </w:tcPr>
          <w:p w14:paraId="64BC9ABF" w14:textId="77777777" w:rsidR="00711444" w:rsidRPr="004D0DAA" w:rsidRDefault="00711444" w:rsidP="00AA2A4C">
            <w:pPr>
              <w:pStyle w:val="TAC"/>
              <w:rPr>
                <w:lang w:eastAsia="en-US"/>
              </w:rPr>
            </w:pPr>
          </w:p>
        </w:tc>
      </w:tr>
      <w:tr w:rsidR="00711444" w:rsidRPr="004D0DAA" w14:paraId="7DE41980" w14:textId="77777777" w:rsidTr="00AA2A4C">
        <w:tblPrEx>
          <w:tblCellMar>
            <w:top w:w="0" w:type="dxa"/>
            <w:bottom w:w="0" w:type="dxa"/>
          </w:tblCellMar>
        </w:tblPrEx>
        <w:trPr>
          <w:cantSplit/>
        </w:trPr>
        <w:tc>
          <w:tcPr>
            <w:tcW w:w="871" w:type="dxa"/>
            <w:tcBorders>
              <w:left w:val="single" w:sz="6" w:space="0" w:color="auto"/>
            </w:tcBorders>
          </w:tcPr>
          <w:p w14:paraId="5F2527BF" w14:textId="77777777" w:rsidR="00711444" w:rsidRPr="004D0DAA" w:rsidRDefault="00711444" w:rsidP="00AA2A4C"/>
        </w:tc>
        <w:tc>
          <w:tcPr>
            <w:tcW w:w="624" w:type="dxa"/>
          </w:tcPr>
          <w:p w14:paraId="2F72B370" w14:textId="77777777" w:rsidR="00711444" w:rsidRPr="004D0DAA" w:rsidRDefault="00711444" w:rsidP="00AA2A4C"/>
        </w:tc>
        <w:tc>
          <w:tcPr>
            <w:tcW w:w="624" w:type="dxa"/>
          </w:tcPr>
          <w:p w14:paraId="5E5A9C7D" w14:textId="77777777" w:rsidR="00711444" w:rsidRPr="004D0DAA" w:rsidRDefault="00711444" w:rsidP="00AA2A4C"/>
        </w:tc>
        <w:tc>
          <w:tcPr>
            <w:tcW w:w="624" w:type="dxa"/>
          </w:tcPr>
          <w:p w14:paraId="55324837" w14:textId="77777777" w:rsidR="00711444" w:rsidRPr="004D0DAA" w:rsidRDefault="00711444" w:rsidP="00AA2A4C"/>
        </w:tc>
        <w:tc>
          <w:tcPr>
            <w:tcW w:w="624" w:type="dxa"/>
          </w:tcPr>
          <w:p w14:paraId="050959E6" w14:textId="77777777" w:rsidR="00711444" w:rsidRPr="004D0DAA" w:rsidRDefault="00711444" w:rsidP="00AA2A4C"/>
        </w:tc>
        <w:tc>
          <w:tcPr>
            <w:tcW w:w="624" w:type="dxa"/>
          </w:tcPr>
          <w:p w14:paraId="52CA7FF4" w14:textId="77777777" w:rsidR="00711444" w:rsidRPr="004D0DAA" w:rsidRDefault="00711444" w:rsidP="00AA2A4C"/>
        </w:tc>
        <w:tc>
          <w:tcPr>
            <w:tcW w:w="624" w:type="dxa"/>
          </w:tcPr>
          <w:p w14:paraId="3D9BA4B5" w14:textId="77777777" w:rsidR="00711444" w:rsidRPr="004D0DAA" w:rsidRDefault="00711444" w:rsidP="00AA2A4C"/>
        </w:tc>
        <w:tc>
          <w:tcPr>
            <w:tcW w:w="624" w:type="dxa"/>
            <w:tcBorders>
              <w:right w:val="single" w:sz="6" w:space="0" w:color="auto"/>
            </w:tcBorders>
          </w:tcPr>
          <w:p w14:paraId="170A9144" w14:textId="77777777" w:rsidR="00711444" w:rsidRPr="004D0DAA" w:rsidRDefault="00711444" w:rsidP="00AA2A4C"/>
        </w:tc>
        <w:tc>
          <w:tcPr>
            <w:tcW w:w="1701" w:type="dxa"/>
            <w:tcBorders>
              <w:top w:val="single" w:sz="6" w:space="0" w:color="FFFFFF"/>
            </w:tcBorders>
          </w:tcPr>
          <w:p w14:paraId="0B73AB8F" w14:textId="77777777" w:rsidR="00711444" w:rsidRPr="004D0DAA" w:rsidRDefault="00711444" w:rsidP="00AA2A4C">
            <w:pPr>
              <w:pStyle w:val="TAC"/>
              <w:rPr>
                <w:lang w:eastAsia="en-US"/>
              </w:rPr>
            </w:pPr>
            <w:r w:rsidRPr="004D0DAA">
              <w:rPr>
                <w:lang w:eastAsia="en-US"/>
              </w:rPr>
              <w:t>Octet 12</w:t>
            </w:r>
          </w:p>
        </w:tc>
        <w:tc>
          <w:tcPr>
            <w:tcW w:w="1567" w:type="dxa"/>
            <w:tcBorders>
              <w:top w:val="single" w:sz="4" w:space="0" w:color="auto"/>
              <w:left w:val="single" w:sz="6" w:space="0" w:color="auto"/>
              <w:right w:val="single" w:sz="6" w:space="0" w:color="auto"/>
            </w:tcBorders>
          </w:tcPr>
          <w:p w14:paraId="6F8935DC" w14:textId="77777777" w:rsidR="00711444" w:rsidRPr="004D0DAA" w:rsidRDefault="00711444" w:rsidP="00AA2A4C">
            <w:pPr>
              <w:pStyle w:val="TAC"/>
              <w:rPr>
                <w:lang w:eastAsia="en-US"/>
              </w:rPr>
            </w:pPr>
          </w:p>
        </w:tc>
      </w:tr>
      <w:tr w:rsidR="00711444" w:rsidRPr="004D0DAA" w14:paraId="52F37248"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32B348F3" w14:textId="77777777" w:rsidR="00711444" w:rsidRPr="004D0DAA" w:rsidRDefault="00711444" w:rsidP="00AA2A4C">
            <w:pPr>
              <w:pStyle w:val="TAC"/>
              <w:rPr>
                <w:lang w:eastAsia="en-US"/>
              </w:rPr>
            </w:pPr>
            <w:r w:rsidRPr="004D0DAA">
              <w:rPr>
                <w:lang w:eastAsia="en-US"/>
              </w:rPr>
              <w:br/>
              <w:t>LLC PDU J+4</w:t>
            </w:r>
          </w:p>
        </w:tc>
        <w:tc>
          <w:tcPr>
            <w:tcW w:w="1701" w:type="dxa"/>
          </w:tcPr>
          <w:p w14:paraId="23025916" w14:textId="77777777" w:rsidR="00711444" w:rsidRPr="004D0DAA" w:rsidRDefault="00711444" w:rsidP="00AA2A4C">
            <w:pPr>
              <w:pStyle w:val="TAC"/>
              <w:rPr>
                <w:lang w:eastAsia="en-US"/>
              </w:rPr>
            </w:pPr>
            <w:r w:rsidRPr="004D0DAA">
              <w:rPr>
                <w:lang w:eastAsia="en-US"/>
              </w:rPr>
              <w:t>.</w:t>
            </w:r>
          </w:p>
          <w:p w14:paraId="2C206D6C" w14:textId="77777777" w:rsidR="00711444" w:rsidRPr="004D0DAA" w:rsidRDefault="00711444" w:rsidP="00AA2A4C">
            <w:pPr>
              <w:pStyle w:val="TAC"/>
              <w:rPr>
                <w:lang w:eastAsia="en-US"/>
              </w:rPr>
            </w:pPr>
            <w:r w:rsidRPr="004D0DAA">
              <w:rPr>
                <w:lang w:eastAsia="en-US"/>
              </w:rPr>
              <w:t>.</w:t>
            </w:r>
          </w:p>
          <w:p w14:paraId="73128633"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28B334AF" w14:textId="77777777" w:rsidR="00711444" w:rsidRPr="004D0DAA" w:rsidRDefault="00711444" w:rsidP="00AA2A4C">
            <w:pPr>
              <w:pStyle w:val="TAC"/>
              <w:rPr>
                <w:lang w:eastAsia="en-US"/>
              </w:rPr>
            </w:pPr>
          </w:p>
          <w:p w14:paraId="7DF8F59D" w14:textId="77777777" w:rsidR="00711444" w:rsidRPr="004D0DAA" w:rsidRDefault="00711444" w:rsidP="00AA2A4C">
            <w:pPr>
              <w:pStyle w:val="TAC"/>
              <w:rPr>
                <w:lang w:eastAsia="en-US"/>
              </w:rPr>
            </w:pPr>
            <w:r w:rsidRPr="004D0DAA">
              <w:rPr>
                <w:lang w:eastAsia="en-US"/>
              </w:rPr>
              <w:t>LLC PDU J+4</w:t>
            </w:r>
          </w:p>
        </w:tc>
      </w:tr>
      <w:tr w:rsidR="00711444" w:rsidRPr="004D0DAA" w14:paraId="647F9B38"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607423DF" w14:textId="77777777" w:rsidR="00711444" w:rsidRPr="004D0DAA" w:rsidRDefault="00711444" w:rsidP="00AA2A4C"/>
        </w:tc>
        <w:tc>
          <w:tcPr>
            <w:tcW w:w="624" w:type="dxa"/>
            <w:tcBorders>
              <w:bottom w:val="single" w:sz="6" w:space="0" w:color="auto"/>
            </w:tcBorders>
          </w:tcPr>
          <w:p w14:paraId="62911B8B" w14:textId="77777777" w:rsidR="00711444" w:rsidRPr="004D0DAA" w:rsidRDefault="00711444" w:rsidP="00AA2A4C"/>
        </w:tc>
        <w:tc>
          <w:tcPr>
            <w:tcW w:w="624" w:type="dxa"/>
            <w:tcBorders>
              <w:bottom w:val="single" w:sz="6" w:space="0" w:color="auto"/>
            </w:tcBorders>
          </w:tcPr>
          <w:p w14:paraId="73DA9529" w14:textId="77777777" w:rsidR="00711444" w:rsidRPr="004D0DAA" w:rsidRDefault="00711444" w:rsidP="00AA2A4C"/>
        </w:tc>
        <w:tc>
          <w:tcPr>
            <w:tcW w:w="624" w:type="dxa"/>
            <w:tcBorders>
              <w:bottom w:val="single" w:sz="6" w:space="0" w:color="auto"/>
            </w:tcBorders>
          </w:tcPr>
          <w:p w14:paraId="239934CA" w14:textId="77777777" w:rsidR="00711444" w:rsidRPr="004D0DAA" w:rsidRDefault="00711444" w:rsidP="00AA2A4C"/>
        </w:tc>
        <w:tc>
          <w:tcPr>
            <w:tcW w:w="624" w:type="dxa"/>
            <w:tcBorders>
              <w:bottom w:val="single" w:sz="6" w:space="0" w:color="auto"/>
            </w:tcBorders>
          </w:tcPr>
          <w:p w14:paraId="478AFCA1" w14:textId="77777777" w:rsidR="00711444" w:rsidRPr="004D0DAA" w:rsidRDefault="00711444" w:rsidP="00AA2A4C"/>
        </w:tc>
        <w:tc>
          <w:tcPr>
            <w:tcW w:w="624" w:type="dxa"/>
            <w:tcBorders>
              <w:bottom w:val="single" w:sz="6" w:space="0" w:color="auto"/>
            </w:tcBorders>
          </w:tcPr>
          <w:p w14:paraId="3A0A7EC3" w14:textId="77777777" w:rsidR="00711444" w:rsidRPr="004D0DAA" w:rsidRDefault="00711444" w:rsidP="00AA2A4C"/>
        </w:tc>
        <w:tc>
          <w:tcPr>
            <w:tcW w:w="624" w:type="dxa"/>
            <w:tcBorders>
              <w:bottom w:val="single" w:sz="6" w:space="0" w:color="auto"/>
            </w:tcBorders>
          </w:tcPr>
          <w:p w14:paraId="3FADC340" w14:textId="77777777" w:rsidR="00711444" w:rsidRPr="004D0DAA" w:rsidRDefault="00711444" w:rsidP="00AA2A4C"/>
        </w:tc>
        <w:tc>
          <w:tcPr>
            <w:tcW w:w="624" w:type="dxa"/>
            <w:tcBorders>
              <w:bottom w:val="single" w:sz="6" w:space="0" w:color="auto"/>
              <w:right w:val="single" w:sz="6" w:space="0" w:color="auto"/>
            </w:tcBorders>
          </w:tcPr>
          <w:p w14:paraId="082841E0" w14:textId="77777777" w:rsidR="00711444" w:rsidRPr="004D0DAA" w:rsidRDefault="00711444" w:rsidP="00AA2A4C"/>
        </w:tc>
        <w:tc>
          <w:tcPr>
            <w:tcW w:w="1701" w:type="dxa"/>
          </w:tcPr>
          <w:p w14:paraId="0B73D6C4" w14:textId="77777777" w:rsidR="00711444" w:rsidRPr="004D0DAA" w:rsidRDefault="00711444" w:rsidP="00AA2A4C">
            <w:pPr>
              <w:pStyle w:val="TAC"/>
              <w:rPr>
                <w:lang w:eastAsia="en-US"/>
              </w:rPr>
            </w:pPr>
            <w:r w:rsidRPr="004D0DAA">
              <w:rPr>
                <w:lang w:eastAsia="en-US"/>
              </w:rPr>
              <w:t>Octet N2</w:t>
            </w:r>
          </w:p>
        </w:tc>
        <w:tc>
          <w:tcPr>
            <w:tcW w:w="1567" w:type="dxa"/>
            <w:tcBorders>
              <w:left w:val="single" w:sz="6" w:space="0" w:color="auto"/>
              <w:bottom w:val="single" w:sz="4" w:space="0" w:color="auto"/>
              <w:right w:val="single" w:sz="6" w:space="0" w:color="auto"/>
            </w:tcBorders>
          </w:tcPr>
          <w:p w14:paraId="7602CD01" w14:textId="77777777" w:rsidR="00711444" w:rsidRPr="004D0DAA" w:rsidRDefault="00711444" w:rsidP="00AA2A4C">
            <w:pPr>
              <w:pStyle w:val="TAC"/>
              <w:rPr>
                <w:lang w:eastAsia="en-US"/>
              </w:rPr>
            </w:pPr>
          </w:p>
        </w:tc>
      </w:tr>
    </w:tbl>
    <w:p w14:paraId="0E7296ED" w14:textId="77777777" w:rsidR="00711444" w:rsidRPr="004D0DAA" w:rsidRDefault="00711444" w:rsidP="00711444">
      <w:pPr>
        <w:pStyle w:val="NO"/>
      </w:pPr>
    </w:p>
    <w:tbl>
      <w:tblPr>
        <w:tblW w:w="8507"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05B4D90B" w14:textId="77777777" w:rsidTr="00AA2A4C">
        <w:tblPrEx>
          <w:tblCellMar>
            <w:top w:w="0" w:type="dxa"/>
            <w:bottom w:w="0" w:type="dxa"/>
          </w:tblCellMar>
        </w:tblPrEx>
        <w:trPr>
          <w:cantSplit/>
        </w:trPr>
        <w:tc>
          <w:tcPr>
            <w:tcW w:w="5239" w:type="dxa"/>
            <w:gridSpan w:val="8"/>
          </w:tcPr>
          <w:p w14:paraId="5D14C4EF" w14:textId="77777777" w:rsidR="00711444" w:rsidRPr="004D0DAA" w:rsidRDefault="00711444" w:rsidP="00AA2A4C">
            <w:pPr>
              <w:pStyle w:val="TAC"/>
              <w:rPr>
                <w:lang w:eastAsia="en-US"/>
              </w:rPr>
            </w:pPr>
            <w:r w:rsidRPr="004D0DAA">
              <w:rPr>
                <w:lang w:eastAsia="en-US"/>
              </w:rPr>
              <w:t>RLC Block with BSN=N (mod SNS)</w:t>
            </w:r>
          </w:p>
        </w:tc>
        <w:tc>
          <w:tcPr>
            <w:tcW w:w="1701" w:type="dxa"/>
          </w:tcPr>
          <w:p w14:paraId="00D3DF91" w14:textId="77777777" w:rsidR="00711444" w:rsidRPr="004D0DAA" w:rsidRDefault="00711444" w:rsidP="00AA2A4C"/>
        </w:tc>
        <w:tc>
          <w:tcPr>
            <w:tcW w:w="1567" w:type="dxa"/>
          </w:tcPr>
          <w:p w14:paraId="5B346FE0" w14:textId="77777777" w:rsidR="00711444" w:rsidRPr="004D0DAA" w:rsidRDefault="00711444" w:rsidP="00AA2A4C">
            <w:pPr>
              <w:pStyle w:val="TAC"/>
              <w:rPr>
                <w:lang w:eastAsia="en-US"/>
              </w:rPr>
            </w:pPr>
          </w:p>
        </w:tc>
      </w:tr>
      <w:tr w:rsidR="00711444" w:rsidRPr="004D0DAA" w14:paraId="4954D7CC" w14:textId="77777777" w:rsidTr="00AA2A4C">
        <w:tblPrEx>
          <w:tblCellMar>
            <w:top w:w="0" w:type="dxa"/>
            <w:bottom w:w="0" w:type="dxa"/>
          </w:tblCellMar>
        </w:tblPrEx>
        <w:trPr>
          <w:cantSplit/>
        </w:trPr>
        <w:tc>
          <w:tcPr>
            <w:tcW w:w="5239" w:type="dxa"/>
            <w:gridSpan w:val="8"/>
          </w:tcPr>
          <w:p w14:paraId="05F732D2" w14:textId="77777777" w:rsidR="00711444" w:rsidRPr="004D0DAA" w:rsidRDefault="00711444" w:rsidP="00AA2A4C">
            <w:pPr>
              <w:pStyle w:val="TAC"/>
              <w:rPr>
                <w:lang w:eastAsia="en-US"/>
              </w:rPr>
            </w:pPr>
            <w:r w:rsidRPr="004D0DAA">
              <w:rPr>
                <w:lang w:eastAsia="en-US"/>
              </w:rPr>
              <w:t>Bit</w:t>
            </w:r>
          </w:p>
        </w:tc>
        <w:tc>
          <w:tcPr>
            <w:tcW w:w="1701" w:type="dxa"/>
          </w:tcPr>
          <w:p w14:paraId="77656220" w14:textId="77777777" w:rsidR="00711444" w:rsidRPr="004D0DAA" w:rsidRDefault="00711444" w:rsidP="00AA2A4C"/>
        </w:tc>
        <w:tc>
          <w:tcPr>
            <w:tcW w:w="1567" w:type="dxa"/>
          </w:tcPr>
          <w:p w14:paraId="07725C8A" w14:textId="77777777" w:rsidR="00711444" w:rsidRPr="004D0DAA" w:rsidRDefault="00711444" w:rsidP="00AA2A4C">
            <w:pPr>
              <w:pStyle w:val="TAC"/>
              <w:rPr>
                <w:lang w:eastAsia="en-US"/>
              </w:rPr>
            </w:pPr>
          </w:p>
        </w:tc>
      </w:tr>
      <w:tr w:rsidR="00711444" w:rsidRPr="004D0DAA" w14:paraId="0B52920D" w14:textId="77777777" w:rsidTr="00AA2A4C">
        <w:tblPrEx>
          <w:tblCellMar>
            <w:top w:w="0" w:type="dxa"/>
            <w:bottom w:w="0" w:type="dxa"/>
          </w:tblCellMar>
        </w:tblPrEx>
        <w:trPr>
          <w:cantSplit/>
        </w:trPr>
        <w:tc>
          <w:tcPr>
            <w:tcW w:w="871" w:type="dxa"/>
          </w:tcPr>
          <w:p w14:paraId="56E799C1" w14:textId="77777777" w:rsidR="00711444" w:rsidRPr="004D0DAA" w:rsidRDefault="00711444" w:rsidP="00AA2A4C">
            <w:pPr>
              <w:pStyle w:val="TAC"/>
              <w:rPr>
                <w:lang w:eastAsia="en-US"/>
              </w:rPr>
            </w:pPr>
            <w:r w:rsidRPr="004D0DAA">
              <w:rPr>
                <w:lang w:eastAsia="en-US"/>
              </w:rPr>
              <w:t>8</w:t>
            </w:r>
          </w:p>
        </w:tc>
        <w:tc>
          <w:tcPr>
            <w:tcW w:w="624" w:type="dxa"/>
          </w:tcPr>
          <w:p w14:paraId="0E02697E" w14:textId="77777777" w:rsidR="00711444" w:rsidRPr="004D0DAA" w:rsidRDefault="00711444" w:rsidP="00AA2A4C">
            <w:pPr>
              <w:pStyle w:val="TAC"/>
              <w:rPr>
                <w:lang w:eastAsia="en-US"/>
              </w:rPr>
            </w:pPr>
            <w:r w:rsidRPr="004D0DAA">
              <w:rPr>
                <w:lang w:eastAsia="en-US"/>
              </w:rPr>
              <w:t>7</w:t>
            </w:r>
          </w:p>
        </w:tc>
        <w:tc>
          <w:tcPr>
            <w:tcW w:w="624" w:type="dxa"/>
          </w:tcPr>
          <w:p w14:paraId="0D95BB3A" w14:textId="77777777" w:rsidR="00711444" w:rsidRPr="004D0DAA" w:rsidRDefault="00711444" w:rsidP="00AA2A4C">
            <w:pPr>
              <w:pStyle w:val="TAC"/>
              <w:rPr>
                <w:lang w:eastAsia="en-US"/>
              </w:rPr>
            </w:pPr>
            <w:r w:rsidRPr="004D0DAA">
              <w:rPr>
                <w:lang w:eastAsia="en-US"/>
              </w:rPr>
              <w:t>6</w:t>
            </w:r>
          </w:p>
        </w:tc>
        <w:tc>
          <w:tcPr>
            <w:tcW w:w="624" w:type="dxa"/>
          </w:tcPr>
          <w:p w14:paraId="443C593E" w14:textId="77777777" w:rsidR="00711444" w:rsidRPr="004D0DAA" w:rsidRDefault="00711444" w:rsidP="00AA2A4C">
            <w:pPr>
              <w:pStyle w:val="TAC"/>
              <w:rPr>
                <w:lang w:eastAsia="en-US"/>
              </w:rPr>
            </w:pPr>
            <w:r w:rsidRPr="004D0DAA">
              <w:rPr>
                <w:lang w:eastAsia="en-US"/>
              </w:rPr>
              <w:t>5</w:t>
            </w:r>
          </w:p>
        </w:tc>
        <w:tc>
          <w:tcPr>
            <w:tcW w:w="624" w:type="dxa"/>
          </w:tcPr>
          <w:p w14:paraId="5A3869B4" w14:textId="77777777" w:rsidR="00711444" w:rsidRPr="004D0DAA" w:rsidRDefault="00711444" w:rsidP="00AA2A4C">
            <w:pPr>
              <w:pStyle w:val="TAC"/>
              <w:rPr>
                <w:lang w:eastAsia="en-US"/>
              </w:rPr>
            </w:pPr>
            <w:r w:rsidRPr="004D0DAA">
              <w:rPr>
                <w:lang w:eastAsia="en-US"/>
              </w:rPr>
              <w:t>4</w:t>
            </w:r>
          </w:p>
        </w:tc>
        <w:tc>
          <w:tcPr>
            <w:tcW w:w="624" w:type="dxa"/>
          </w:tcPr>
          <w:p w14:paraId="413BF17D"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33AC0CBF" w14:textId="77777777" w:rsidR="00711444" w:rsidRPr="004D0DAA" w:rsidRDefault="00711444" w:rsidP="00AA2A4C">
            <w:pPr>
              <w:pStyle w:val="TAC"/>
              <w:rPr>
                <w:lang w:eastAsia="en-US"/>
              </w:rPr>
            </w:pPr>
            <w:r w:rsidRPr="004D0DAA">
              <w:rPr>
                <w:lang w:eastAsia="en-US"/>
              </w:rPr>
              <w:t>2</w:t>
            </w:r>
          </w:p>
        </w:tc>
        <w:tc>
          <w:tcPr>
            <w:tcW w:w="624" w:type="dxa"/>
          </w:tcPr>
          <w:p w14:paraId="6A71C809" w14:textId="77777777" w:rsidR="00711444" w:rsidRPr="004D0DAA" w:rsidRDefault="00711444" w:rsidP="00AA2A4C">
            <w:pPr>
              <w:pStyle w:val="TAC"/>
              <w:rPr>
                <w:lang w:eastAsia="en-US"/>
              </w:rPr>
            </w:pPr>
            <w:r w:rsidRPr="004D0DAA">
              <w:rPr>
                <w:lang w:eastAsia="en-US"/>
              </w:rPr>
              <w:t>1</w:t>
            </w:r>
          </w:p>
        </w:tc>
        <w:tc>
          <w:tcPr>
            <w:tcW w:w="1701" w:type="dxa"/>
          </w:tcPr>
          <w:p w14:paraId="2A13FA81" w14:textId="77777777" w:rsidR="00711444" w:rsidRPr="004D0DAA" w:rsidRDefault="00711444" w:rsidP="00AA2A4C"/>
        </w:tc>
        <w:tc>
          <w:tcPr>
            <w:tcW w:w="1567" w:type="dxa"/>
          </w:tcPr>
          <w:p w14:paraId="5B7DFCA8" w14:textId="77777777" w:rsidR="00711444" w:rsidRPr="004D0DAA" w:rsidRDefault="00711444" w:rsidP="00AA2A4C">
            <w:pPr>
              <w:pStyle w:val="TAC"/>
              <w:rPr>
                <w:lang w:eastAsia="en-US"/>
              </w:rPr>
            </w:pPr>
          </w:p>
        </w:tc>
      </w:tr>
      <w:tr w:rsidR="00711444" w:rsidRPr="004D0DAA" w14:paraId="2F70FE47"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79B9A81A" w14:textId="77777777" w:rsidR="00711444" w:rsidRPr="004D0DAA" w:rsidRDefault="00711444" w:rsidP="00AA2A4C"/>
        </w:tc>
        <w:tc>
          <w:tcPr>
            <w:tcW w:w="624" w:type="dxa"/>
            <w:tcBorders>
              <w:top w:val="single" w:sz="6" w:space="0" w:color="auto"/>
            </w:tcBorders>
          </w:tcPr>
          <w:p w14:paraId="6272F42A" w14:textId="77777777" w:rsidR="00711444" w:rsidRPr="004D0DAA" w:rsidRDefault="00711444" w:rsidP="00AA2A4C"/>
        </w:tc>
        <w:tc>
          <w:tcPr>
            <w:tcW w:w="624" w:type="dxa"/>
            <w:tcBorders>
              <w:top w:val="single" w:sz="6" w:space="0" w:color="auto"/>
            </w:tcBorders>
          </w:tcPr>
          <w:p w14:paraId="6F0DDFDF" w14:textId="77777777" w:rsidR="00711444" w:rsidRPr="004D0DAA" w:rsidRDefault="00711444" w:rsidP="00AA2A4C"/>
        </w:tc>
        <w:tc>
          <w:tcPr>
            <w:tcW w:w="624" w:type="dxa"/>
            <w:tcBorders>
              <w:top w:val="single" w:sz="6" w:space="0" w:color="auto"/>
            </w:tcBorders>
          </w:tcPr>
          <w:p w14:paraId="02526E71" w14:textId="77777777" w:rsidR="00711444" w:rsidRPr="004D0DAA" w:rsidRDefault="00711444" w:rsidP="00AA2A4C"/>
        </w:tc>
        <w:tc>
          <w:tcPr>
            <w:tcW w:w="624" w:type="dxa"/>
            <w:tcBorders>
              <w:top w:val="single" w:sz="6" w:space="0" w:color="auto"/>
            </w:tcBorders>
          </w:tcPr>
          <w:p w14:paraId="2F63A56A" w14:textId="77777777" w:rsidR="00711444" w:rsidRPr="004D0DAA" w:rsidRDefault="00711444" w:rsidP="00AA2A4C"/>
        </w:tc>
        <w:tc>
          <w:tcPr>
            <w:tcW w:w="624" w:type="dxa"/>
            <w:tcBorders>
              <w:top w:val="single" w:sz="6" w:space="0" w:color="auto"/>
              <w:right w:val="single" w:sz="4" w:space="0" w:color="auto"/>
            </w:tcBorders>
          </w:tcPr>
          <w:p w14:paraId="1CCDAE7A"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19AB3612" w14:textId="77777777" w:rsidR="00711444" w:rsidRPr="004D0DAA" w:rsidRDefault="00711444" w:rsidP="00AA2A4C">
            <w:pPr>
              <w:pStyle w:val="TAC"/>
              <w:rPr>
                <w:lang w:eastAsia="en-US"/>
              </w:rPr>
            </w:pPr>
            <w:r w:rsidRPr="004D0DAA">
              <w:rPr>
                <w:lang w:eastAsia="en-US"/>
              </w:rPr>
              <w:t>FBI=1</w:t>
            </w:r>
          </w:p>
        </w:tc>
        <w:tc>
          <w:tcPr>
            <w:tcW w:w="624" w:type="dxa"/>
            <w:tcBorders>
              <w:top w:val="single" w:sz="6" w:space="0" w:color="auto"/>
              <w:left w:val="single" w:sz="4" w:space="0" w:color="auto"/>
              <w:bottom w:val="single" w:sz="6" w:space="0" w:color="auto"/>
              <w:right w:val="single" w:sz="6" w:space="0" w:color="auto"/>
            </w:tcBorders>
          </w:tcPr>
          <w:p w14:paraId="58460969" w14:textId="77777777" w:rsidR="00711444" w:rsidRPr="004D0DAA" w:rsidRDefault="00711444" w:rsidP="00AA2A4C">
            <w:pPr>
              <w:pStyle w:val="TAC"/>
              <w:rPr>
                <w:lang w:eastAsia="en-US"/>
              </w:rPr>
            </w:pPr>
            <w:r w:rsidRPr="004D0DAA">
              <w:rPr>
                <w:lang w:eastAsia="en-US"/>
              </w:rPr>
              <w:t>E=0</w:t>
            </w:r>
          </w:p>
        </w:tc>
        <w:tc>
          <w:tcPr>
            <w:tcW w:w="1701" w:type="dxa"/>
          </w:tcPr>
          <w:p w14:paraId="11E3D5D1" w14:textId="77777777" w:rsidR="00711444" w:rsidRPr="004D0DAA" w:rsidRDefault="00711444" w:rsidP="00AA2A4C">
            <w:pPr>
              <w:pStyle w:val="TAC"/>
              <w:rPr>
                <w:lang w:eastAsia="en-US"/>
              </w:rPr>
            </w:pPr>
            <w:r w:rsidRPr="004D0DAA">
              <w:rPr>
                <w:lang w:eastAsia="en-US"/>
              </w:rPr>
              <w:t>Octet 1</w:t>
            </w:r>
          </w:p>
        </w:tc>
        <w:tc>
          <w:tcPr>
            <w:tcW w:w="1567" w:type="dxa"/>
          </w:tcPr>
          <w:p w14:paraId="6C8E7024" w14:textId="77777777" w:rsidR="00711444" w:rsidRPr="004D0DAA" w:rsidRDefault="00711444" w:rsidP="00AA2A4C">
            <w:pPr>
              <w:pStyle w:val="TAC"/>
              <w:rPr>
                <w:lang w:eastAsia="en-US"/>
              </w:rPr>
            </w:pPr>
            <w:r w:rsidRPr="004D0DAA">
              <w:rPr>
                <w:lang w:eastAsia="en-US"/>
              </w:rPr>
              <w:t xml:space="preserve"> </w:t>
            </w:r>
          </w:p>
        </w:tc>
      </w:tr>
      <w:tr w:rsidR="00711444" w:rsidRPr="004D0DAA" w14:paraId="40FB4C62"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1CD7C489" w14:textId="77777777" w:rsidR="00711444" w:rsidRPr="004D0DAA" w:rsidRDefault="00711444" w:rsidP="00AA2A4C">
            <w:pPr>
              <w:pStyle w:val="TAC"/>
              <w:rPr>
                <w:lang w:eastAsia="en-US"/>
              </w:rPr>
            </w:pPr>
            <w:r w:rsidRPr="004D0DAA">
              <w:rPr>
                <w:lang w:eastAsia="en-US"/>
              </w:rPr>
              <w:t>Length indicator=6</w:t>
            </w:r>
          </w:p>
        </w:tc>
        <w:tc>
          <w:tcPr>
            <w:tcW w:w="624" w:type="dxa"/>
            <w:tcBorders>
              <w:top w:val="single" w:sz="6" w:space="0" w:color="auto"/>
              <w:left w:val="single" w:sz="6" w:space="0" w:color="auto"/>
              <w:bottom w:val="single" w:sz="6" w:space="0" w:color="auto"/>
              <w:right w:val="single" w:sz="6" w:space="0" w:color="auto"/>
            </w:tcBorders>
          </w:tcPr>
          <w:p w14:paraId="1C9B6DF9" w14:textId="77777777" w:rsidR="00711444" w:rsidRPr="004D0DAA" w:rsidRDefault="00711444" w:rsidP="00AA2A4C">
            <w:pPr>
              <w:pStyle w:val="TAC"/>
              <w:rPr>
                <w:lang w:eastAsia="en-US"/>
              </w:rPr>
            </w:pPr>
            <w:r w:rsidRPr="004D0DAA">
              <w:rPr>
                <w:lang w:eastAsia="en-US"/>
              </w:rPr>
              <w:t>E=0</w:t>
            </w:r>
          </w:p>
        </w:tc>
        <w:tc>
          <w:tcPr>
            <w:tcW w:w="1701" w:type="dxa"/>
            <w:tcBorders>
              <w:left w:val="single" w:sz="6" w:space="0" w:color="auto"/>
            </w:tcBorders>
          </w:tcPr>
          <w:p w14:paraId="11D6B7C3" w14:textId="77777777" w:rsidR="00711444" w:rsidRPr="004D0DAA" w:rsidRDefault="00711444" w:rsidP="00AA2A4C">
            <w:pPr>
              <w:pStyle w:val="TAC"/>
              <w:rPr>
                <w:lang w:eastAsia="en-US"/>
              </w:rPr>
            </w:pPr>
            <w:r w:rsidRPr="004D0DAA">
              <w:rPr>
                <w:lang w:eastAsia="en-US"/>
              </w:rPr>
              <w:t>Octet 2</w:t>
            </w:r>
          </w:p>
        </w:tc>
        <w:tc>
          <w:tcPr>
            <w:tcW w:w="1567" w:type="dxa"/>
          </w:tcPr>
          <w:p w14:paraId="75546032" w14:textId="77777777" w:rsidR="00711444" w:rsidRPr="004D0DAA" w:rsidRDefault="00711444" w:rsidP="00AA2A4C">
            <w:pPr>
              <w:pStyle w:val="TAC"/>
              <w:rPr>
                <w:lang w:eastAsia="en-US"/>
              </w:rPr>
            </w:pPr>
          </w:p>
        </w:tc>
      </w:tr>
      <w:tr w:rsidR="00711444" w:rsidRPr="004D0DAA" w14:paraId="480577DA"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03AE2CF0" w14:textId="77777777" w:rsidR="00711444" w:rsidRPr="004D0DAA" w:rsidRDefault="00711444" w:rsidP="00AA2A4C">
            <w:pPr>
              <w:pStyle w:val="TAC"/>
              <w:rPr>
                <w:lang w:eastAsia="en-US"/>
              </w:rPr>
            </w:pPr>
            <w:r w:rsidRPr="004D0DAA">
              <w:rPr>
                <w:lang w:eastAsia="en-US"/>
              </w:rPr>
              <w:t>Length indicator=12</w:t>
            </w:r>
          </w:p>
        </w:tc>
        <w:tc>
          <w:tcPr>
            <w:tcW w:w="624" w:type="dxa"/>
            <w:tcBorders>
              <w:top w:val="single" w:sz="6" w:space="0" w:color="auto"/>
              <w:left w:val="single" w:sz="6" w:space="0" w:color="auto"/>
              <w:bottom w:val="single" w:sz="6" w:space="0" w:color="auto"/>
              <w:right w:val="single" w:sz="6" w:space="0" w:color="auto"/>
            </w:tcBorders>
          </w:tcPr>
          <w:p w14:paraId="4BFEA4CA" w14:textId="77777777" w:rsidR="00711444" w:rsidRPr="004D0DAA" w:rsidRDefault="00711444" w:rsidP="00AA2A4C">
            <w:pPr>
              <w:pStyle w:val="TAC"/>
              <w:rPr>
                <w:lang w:eastAsia="en-US"/>
              </w:rPr>
            </w:pPr>
            <w:r w:rsidRPr="004D0DAA">
              <w:rPr>
                <w:lang w:eastAsia="en-US"/>
              </w:rPr>
              <w:t>E=0</w:t>
            </w:r>
          </w:p>
        </w:tc>
        <w:tc>
          <w:tcPr>
            <w:tcW w:w="1701" w:type="dxa"/>
            <w:tcBorders>
              <w:left w:val="single" w:sz="6" w:space="0" w:color="auto"/>
            </w:tcBorders>
          </w:tcPr>
          <w:p w14:paraId="0304BCAB" w14:textId="77777777" w:rsidR="00711444" w:rsidRPr="004D0DAA" w:rsidRDefault="00711444" w:rsidP="00AA2A4C">
            <w:pPr>
              <w:pStyle w:val="TAC"/>
              <w:rPr>
                <w:lang w:eastAsia="en-US"/>
              </w:rPr>
            </w:pPr>
            <w:r w:rsidRPr="004D0DAA">
              <w:rPr>
                <w:lang w:eastAsia="en-US"/>
              </w:rPr>
              <w:t>Octet 3</w:t>
            </w:r>
          </w:p>
        </w:tc>
        <w:tc>
          <w:tcPr>
            <w:tcW w:w="1567" w:type="dxa"/>
          </w:tcPr>
          <w:p w14:paraId="67C69315" w14:textId="77777777" w:rsidR="00711444" w:rsidRPr="004D0DAA" w:rsidRDefault="00711444" w:rsidP="00AA2A4C">
            <w:pPr>
              <w:pStyle w:val="TAC"/>
              <w:rPr>
                <w:lang w:eastAsia="en-US"/>
              </w:rPr>
            </w:pPr>
          </w:p>
        </w:tc>
      </w:tr>
      <w:tr w:rsidR="00711444" w:rsidRPr="004D0DAA" w14:paraId="2EBADAAD"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14D3D445" w14:textId="77777777" w:rsidR="00711444" w:rsidRPr="004D0DAA" w:rsidRDefault="00711444" w:rsidP="00AA2A4C">
            <w:pPr>
              <w:pStyle w:val="TAC"/>
              <w:rPr>
                <w:lang w:eastAsia="en-US"/>
              </w:rPr>
            </w:pPr>
            <w:r w:rsidRPr="004D0DAA">
              <w:rPr>
                <w:lang w:eastAsia="en-US"/>
              </w:rPr>
              <w:t>Length indicator=127</w:t>
            </w:r>
          </w:p>
        </w:tc>
        <w:tc>
          <w:tcPr>
            <w:tcW w:w="624" w:type="dxa"/>
            <w:tcBorders>
              <w:top w:val="single" w:sz="6" w:space="0" w:color="auto"/>
              <w:left w:val="single" w:sz="6" w:space="0" w:color="auto"/>
              <w:bottom w:val="single" w:sz="6" w:space="0" w:color="auto"/>
              <w:right w:val="single" w:sz="6" w:space="0" w:color="auto"/>
            </w:tcBorders>
          </w:tcPr>
          <w:p w14:paraId="1D830807" w14:textId="77777777" w:rsidR="00711444" w:rsidRPr="004D0DAA" w:rsidRDefault="00711444" w:rsidP="00AA2A4C">
            <w:pPr>
              <w:pStyle w:val="TAC"/>
              <w:rPr>
                <w:lang w:eastAsia="en-US"/>
              </w:rPr>
            </w:pPr>
            <w:r w:rsidRPr="004D0DAA">
              <w:rPr>
                <w:lang w:eastAsia="en-US"/>
              </w:rPr>
              <w:t>E=1</w:t>
            </w:r>
          </w:p>
        </w:tc>
        <w:tc>
          <w:tcPr>
            <w:tcW w:w="1701" w:type="dxa"/>
            <w:tcBorders>
              <w:left w:val="single" w:sz="6" w:space="0" w:color="auto"/>
            </w:tcBorders>
          </w:tcPr>
          <w:p w14:paraId="46D7A76B" w14:textId="77777777" w:rsidR="00711444" w:rsidRPr="004D0DAA" w:rsidRDefault="00711444" w:rsidP="00AA2A4C">
            <w:pPr>
              <w:pStyle w:val="TAC"/>
              <w:rPr>
                <w:lang w:eastAsia="en-US"/>
              </w:rPr>
            </w:pPr>
            <w:r w:rsidRPr="004D0DAA">
              <w:rPr>
                <w:lang w:eastAsia="en-US"/>
              </w:rPr>
              <w:t>Octet 4</w:t>
            </w:r>
          </w:p>
        </w:tc>
        <w:tc>
          <w:tcPr>
            <w:tcW w:w="1567" w:type="dxa"/>
            <w:tcBorders>
              <w:bottom w:val="single" w:sz="4" w:space="0" w:color="auto"/>
            </w:tcBorders>
          </w:tcPr>
          <w:p w14:paraId="5A3E9A86" w14:textId="77777777" w:rsidR="00711444" w:rsidRPr="004D0DAA" w:rsidRDefault="00711444" w:rsidP="00AA2A4C">
            <w:pPr>
              <w:pStyle w:val="TAC"/>
              <w:rPr>
                <w:lang w:eastAsia="en-US"/>
              </w:rPr>
            </w:pPr>
          </w:p>
        </w:tc>
      </w:tr>
      <w:tr w:rsidR="00711444" w:rsidRPr="004D0DAA" w14:paraId="68D4A515" w14:textId="77777777" w:rsidTr="00AA2A4C">
        <w:tblPrEx>
          <w:tblCellMar>
            <w:top w:w="0" w:type="dxa"/>
            <w:bottom w:w="0" w:type="dxa"/>
          </w:tblCellMar>
        </w:tblPrEx>
        <w:trPr>
          <w:cantSplit/>
        </w:trPr>
        <w:tc>
          <w:tcPr>
            <w:tcW w:w="871" w:type="dxa"/>
            <w:tcBorders>
              <w:left w:val="single" w:sz="6" w:space="0" w:color="auto"/>
            </w:tcBorders>
          </w:tcPr>
          <w:p w14:paraId="5163EA13" w14:textId="77777777" w:rsidR="00711444" w:rsidRPr="004D0DAA" w:rsidRDefault="00711444" w:rsidP="00AA2A4C"/>
        </w:tc>
        <w:tc>
          <w:tcPr>
            <w:tcW w:w="624" w:type="dxa"/>
          </w:tcPr>
          <w:p w14:paraId="0117C2D5" w14:textId="77777777" w:rsidR="00711444" w:rsidRPr="004D0DAA" w:rsidRDefault="00711444" w:rsidP="00AA2A4C"/>
        </w:tc>
        <w:tc>
          <w:tcPr>
            <w:tcW w:w="624" w:type="dxa"/>
          </w:tcPr>
          <w:p w14:paraId="079A1663" w14:textId="77777777" w:rsidR="00711444" w:rsidRPr="004D0DAA" w:rsidRDefault="00711444" w:rsidP="00AA2A4C"/>
        </w:tc>
        <w:tc>
          <w:tcPr>
            <w:tcW w:w="624" w:type="dxa"/>
          </w:tcPr>
          <w:p w14:paraId="3D597F80" w14:textId="77777777" w:rsidR="00711444" w:rsidRPr="004D0DAA" w:rsidRDefault="00711444" w:rsidP="00AA2A4C"/>
        </w:tc>
        <w:tc>
          <w:tcPr>
            <w:tcW w:w="624" w:type="dxa"/>
          </w:tcPr>
          <w:p w14:paraId="2D7D24EF" w14:textId="77777777" w:rsidR="00711444" w:rsidRPr="004D0DAA" w:rsidRDefault="00711444" w:rsidP="00AA2A4C"/>
        </w:tc>
        <w:tc>
          <w:tcPr>
            <w:tcW w:w="624" w:type="dxa"/>
          </w:tcPr>
          <w:p w14:paraId="34FEB54C" w14:textId="77777777" w:rsidR="00711444" w:rsidRPr="004D0DAA" w:rsidRDefault="00711444" w:rsidP="00AA2A4C"/>
        </w:tc>
        <w:tc>
          <w:tcPr>
            <w:tcW w:w="624" w:type="dxa"/>
          </w:tcPr>
          <w:p w14:paraId="2A7E0199" w14:textId="77777777" w:rsidR="00711444" w:rsidRPr="004D0DAA" w:rsidRDefault="00711444" w:rsidP="00AA2A4C"/>
        </w:tc>
        <w:tc>
          <w:tcPr>
            <w:tcW w:w="624" w:type="dxa"/>
            <w:tcBorders>
              <w:right w:val="single" w:sz="6" w:space="0" w:color="auto"/>
            </w:tcBorders>
          </w:tcPr>
          <w:p w14:paraId="3F100E05" w14:textId="77777777" w:rsidR="00711444" w:rsidRPr="004D0DAA" w:rsidRDefault="00711444" w:rsidP="00AA2A4C"/>
        </w:tc>
        <w:tc>
          <w:tcPr>
            <w:tcW w:w="1701" w:type="dxa"/>
            <w:tcBorders>
              <w:right w:val="single" w:sz="4" w:space="0" w:color="auto"/>
            </w:tcBorders>
          </w:tcPr>
          <w:p w14:paraId="65F69B93" w14:textId="77777777" w:rsidR="00711444" w:rsidRPr="004D0DAA" w:rsidRDefault="00711444" w:rsidP="00AA2A4C">
            <w:pPr>
              <w:pStyle w:val="TAC"/>
              <w:rPr>
                <w:lang w:eastAsia="en-US"/>
              </w:rPr>
            </w:pPr>
            <w:r w:rsidRPr="004D0DAA">
              <w:rPr>
                <w:lang w:eastAsia="en-US"/>
              </w:rPr>
              <w:t>Octet 5</w:t>
            </w:r>
          </w:p>
        </w:tc>
        <w:tc>
          <w:tcPr>
            <w:tcW w:w="1567" w:type="dxa"/>
            <w:tcBorders>
              <w:top w:val="single" w:sz="4" w:space="0" w:color="auto"/>
              <w:left w:val="single" w:sz="4" w:space="0" w:color="auto"/>
              <w:right w:val="single" w:sz="4" w:space="0" w:color="auto"/>
            </w:tcBorders>
          </w:tcPr>
          <w:p w14:paraId="40BB345D" w14:textId="77777777" w:rsidR="00711444" w:rsidRPr="004D0DAA" w:rsidRDefault="00711444" w:rsidP="00AA2A4C">
            <w:pPr>
              <w:pStyle w:val="TAC"/>
              <w:rPr>
                <w:lang w:eastAsia="en-US"/>
              </w:rPr>
            </w:pPr>
            <w:r w:rsidRPr="004D0DAA">
              <w:rPr>
                <w:lang w:eastAsia="en-US"/>
              </w:rPr>
              <w:t xml:space="preserve"> LLC PDU J+5</w:t>
            </w:r>
          </w:p>
        </w:tc>
      </w:tr>
      <w:tr w:rsidR="00711444" w:rsidRPr="004D0DAA" w14:paraId="17FBCA60"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40CDF38A" w14:textId="77777777" w:rsidR="00711444" w:rsidRPr="004D0DAA" w:rsidRDefault="00711444" w:rsidP="00AA2A4C">
            <w:pPr>
              <w:pStyle w:val="TAC"/>
              <w:rPr>
                <w:lang w:eastAsia="en-US"/>
              </w:rPr>
            </w:pPr>
            <w:r w:rsidRPr="004D0DAA">
              <w:rPr>
                <w:lang w:eastAsia="en-US"/>
              </w:rPr>
              <w:br/>
              <w:t xml:space="preserve">LLC PDU J+5 </w:t>
            </w:r>
          </w:p>
        </w:tc>
        <w:tc>
          <w:tcPr>
            <w:tcW w:w="1701" w:type="dxa"/>
            <w:tcBorders>
              <w:right w:val="single" w:sz="4" w:space="0" w:color="auto"/>
            </w:tcBorders>
          </w:tcPr>
          <w:p w14:paraId="3804D7F7" w14:textId="77777777" w:rsidR="00711444" w:rsidRPr="004D0DAA" w:rsidRDefault="00711444" w:rsidP="00AA2A4C">
            <w:pPr>
              <w:pStyle w:val="TAC"/>
              <w:rPr>
                <w:lang w:eastAsia="en-US"/>
              </w:rPr>
            </w:pPr>
            <w:r w:rsidRPr="004D0DAA">
              <w:rPr>
                <w:lang w:eastAsia="en-US"/>
              </w:rPr>
              <w:t>.</w:t>
            </w:r>
          </w:p>
          <w:p w14:paraId="2CDDE89C" w14:textId="77777777" w:rsidR="00711444" w:rsidRPr="004D0DAA" w:rsidRDefault="00711444" w:rsidP="00AA2A4C">
            <w:pPr>
              <w:pStyle w:val="TAC"/>
              <w:rPr>
                <w:lang w:eastAsia="en-US"/>
              </w:rPr>
            </w:pPr>
            <w:r w:rsidRPr="004D0DAA">
              <w:rPr>
                <w:lang w:eastAsia="en-US"/>
              </w:rPr>
              <w:t>.</w:t>
            </w:r>
          </w:p>
          <w:p w14:paraId="58318642"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7EF866CB" w14:textId="77777777" w:rsidR="00711444" w:rsidRPr="004D0DAA" w:rsidRDefault="00711444" w:rsidP="00AA2A4C">
            <w:pPr>
              <w:pStyle w:val="TAC"/>
              <w:rPr>
                <w:lang w:eastAsia="en-US"/>
              </w:rPr>
            </w:pPr>
          </w:p>
          <w:p w14:paraId="1A8C6B44" w14:textId="77777777" w:rsidR="00711444" w:rsidRPr="004D0DAA" w:rsidRDefault="00711444" w:rsidP="00AA2A4C">
            <w:pPr>
              <w:pStyle w:val="TAC"/>
              <w:rPr>
                <w:lang w:eastAsia="en-US"/>
              </w:rPr>
            </w:pPr>
          </w:p>
        </w:tc>
      </w:tr>
      <w:tr w:rsidR="00711444" w:rsidRPr="004D0DAA" w14:paraId="4DDDC8B2"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318F80F8" w14:textId="77777777" w:rsidR="00711444" w:rsidRPr="004D0DAA" w:rsidRDefault="00711444" w:rsidP="00AA2A4C"/>
        </w:tc>
        <w:tc>
          <w:tcPr>
            <w:tcW w:w="624" w:type="dxa"/>
            <w:tcBorders>
              <w:bottom w:val="single" w:sz="6" w:space="0" w:color="auto"/>
            </w:tcBorders>
          </w:tcPr>
          <w:p w14:paraId="6953777E" w14:textId="77777777" w:rsidR="00711444" w:rsidRPr="004D0DAA" w:rsidRDefault="00711444" w:rsidP="00AA2A4C"/>
        </w:tc>
        <w:tc>
          <w:tcPr>
            <w:tcW w:w="624" w:type="dxa"/>
            <w:tcBorders>
              <w:bottom w:val="single" w:sz="6" w:space="0" w:color="auto"/>
            </w:tcBorders>
          </w:tcPr>
          <w:p w14:paraId="421C0EF7" w14:textId="77777777" w:rsidR="00711444" w:rsidRPr="004D0DAA" w:rsidRDefault="00711444" w:rsidP="00AA2A4C"/>
        </w:tc>
        <w:tc>
          <w:tcPr>
            <w:tcW w:w="624" w:type="dxa"/>
            <w:tcBorders>
              <w:bottom w:val="single" w:sz="6" w:space="0" w:color="auto"/>
            </w:tcBorders>
          </w:tcPr>
          <w:p w14:paraId="4976ECAD" w14:textId="77777777" w:rsidR="00711444" w:rsidRPr="004D0DAA" w:rsidRDefault="00711444" w:rsidP="00AA2A4C"/>
        </w:tc>
        <w:tc>
          <w:tcPr>
            <w:tcW w:w="624" w:type="dxa"/>
            <w:tcBorders>
              <w:bottom w:val="single" w:sz="6" w:space="0" w:color="auto"/>
            </w:tcBorders>
          </w:tcPr>
          <w:p w14:paraId="7262859B" w14:textId="77777777" w:rsidR="00711444" w:rsidRPr="004D0DAA" w:rsidRDefault="00711444" w:rsidP="00AA2A4C"/>
        </w:tc>
        <w:tc>
          <w:tcPr>
            <w:tcW w:w="624" w:type="dxa"/>
            <w:tcBorders>
              <w:bottom w:val="single" w:sz="6" w:space="0" w:color="auto"/>
            </w:tcBorders>
          </w:tcPr>
          <w:p w14:paraId="48AC8691" w14:textId="77777777" w:rsidR="00711444" w:rsidRPr="004D0DAA" w:rsidRDefault="00711444" w:rsidP="00AA2A4C"/>
        </w:tc>
        <w:tc>
          <w:tcPr>
            <w:tcW w:w="624" w:type="dxa"/>
            <w:tcBorders>
              <w:bottom w:val="single" w:sz="6" w:space="0" w:color="auto"/>
            </w:tcBorders>
          </w:tcPr>
          <w:p w14:paraId="1DB33AE0" w14:textId="77777777" w:rsidR="00711444" w:rsidRPr="004D0DAA" w:rsidRDefault="00711444" w:rsidP="00AA2A4C"/>
        </w:tc>
        <w:tc>
          <w:tcPr>
            <w:tcW w:w="624" w:type="dxa"/>
            <w:tcBorders>
              <w:bottom w:val="single" w:sz="6" w:space="0" w:color="auto"/>
              <w:right w:val="single" w:sz="6" w:space="0" w:color="auto"/>
            </w:tcBorders>
          </w:tcPr>
          <w:p w14:paraId="7FE660D0" w14:textId="77777777" w:rsidR="00711444" w:rsidRPr="004D0DAA" w:rsidRDefault="00711444" w:rsidP="00AA2A4C"/>
        </w:tc>
        <w:tc>
          <w:tcPr>
            <w:tcW w:w="1701" w:type="dxa"/>
            <w:tcBorders>
              <w:bottom w:val="single" w:sz="6" w:space="0" w:color="FFFFFF"/>
              <w:right w:val="single" w:sz="4" w:space="0" w:color="auto"/>
            </w:tcBorders>
          </w:tcPr>
          <w:p w14:paraId="441D09AB" w14:textId="77777777" w:rsidR="00711444" w:rsidRPr="004D0DAA" w:rsidRDefault="00711444" w:rsidP="00AA2A4C">
            <w:pPr>
              <w:pStyle w:val="TAC"/>
              <w:rPr>
                <w:lang w:eastAsia="en-US"/>
              </w:rPr>
            </w:pPr>
            <w:r w:rsidRPr="004D0DAA">
              <w:rPr>
                <w:lang w:eastAsia="en-US"/>
              </w:rPr>
              <w:t>Octet 10</w:t>
            </w:r>
          </w:p>
        </w:tc>
        <w:tc>
          <w:tcPr>
            <w:tcW w:w="1567" w:type="dxa"/>
            <w:tcBorders>
              <w:left w:val="single" w:sz="4" w:space="0" w:color="auto"/>
              <w:bottom w:val="single" w:sz="4" w:space="0" w:color="auto"/>
              <w:right w:val="single" w:sz="4" w:space="0" w:color="auto"/>
            </w:tcBorders>
          </w:tcPr>
          <w:p w14:paraId="2908B393" w14:textId="77777777" w:rsidR="00711444" w:rsidRPr="004D0DAA" w:rsidRDefault="00711444" w:rsidP="00AA2A4C">
            <w:pPr>
              <w:pStyle w:val="TAC"/>
              <w:rPr>
                <w:lang w:eastAsia="en-US"/>
              </w:rPr>
            </w:pPr>
          </w:p>
        </w:tc>
      </w:tr>
      <w:tr w:rsidR="00711444" w:rsidRPr="004D0DAA" w14:paraId="22B2A809" w14:textId="77777777" w:rsidTr="00AA2A4C">
        <w:tblPrEx>
          <w:tblCellMar>
            <w:top w:w="0" w:type="dxa"/>
            <w:bottom w:w="0" w:type="dxa"/>
          </w:tblCellMar>
        </w:tblPrEx>
        <w:trPr>
          <w:cantSplit/>
        </w:trPr>
        <w:tc>
          <w:tcPr>
            <w:tcW w:w="871" w:type="dxa"/>
            <w:tcBorders>
              <w:left w:val="single" w:sz="6" w:space="0" w:color="auto"/>
            </w:tcBorders>
          </w:tcPr>
          <w:p w14:paraId="50693AA4" w14:textId="77777777" w:rsidR="00711444" w:rsidRPr="004D0DAA" w:rsidRDefault="00711444" w:rsidP="00AA2A4C"/>
        </w:tc>
        <w:tc>
          <w:tcPr>
            <w:tcW w:w="624" w:type="dxa"/>
          </w:tcPr>
          <w:p w14:paraId="6FFB8795" w14:textId="77777777" w:rsidR="00711444" w:rsidRPr="004D0DAA" w:rsidRDefault="00711444" w:rsidP="00AA2A4C"/>
        </w:tc>
        <w:tc>
          <w:tcPr>
            <w:tcW w:w="624" w:type="dxa"/>
          </w:tcPr>
          <w:p w14:paraId="1F8D4F73" w14:textId="77777777" w:rsidR="00711444" w:rsidRPr="004D0DAA" w:rsidRDefault="00711444" w:rsidP="00AA2A4C"/>
        </w:tc>
        <w:tc>
          <w:tcPr>
            <w:tcW w:w="624" w:type="dxa"/>
          </w:tcPr>
          <w:p w14:paraId="0B2DAD0C" w14:textId="77777777" w:rsidR="00711444" w:rsidRPr="004D0DAA" w:rsidRDefault="00711444" w:rsidP="00AA2A4C"/>
        </w:tc>
        <w:tc>
          <w:tcPr>
            <w:tcW w:w="624" w:type="dxa"/>
          </w:tcPr>
          <w:p w14:paraId="725456A9" w14:textId="77777777" w:rsidR="00711444" w:rsidRPr="004D0DAA" w:rsidRDefault="00711444" w:rsidP="00AA2A4C"/>
        </w:tc>
        <w:tc>
          <w:tcPr>
            <w:tcW w:w="624" w:type="dxa"/>
          </w:tcPr>
          <w:p w14:paraId="288D7F2B" w14:textId="77777777" w:rsidR="00711444" w:rsidRPr="004D0DAA" w:rsidRDefault="00711444" w:rsidP="00AA2A4C"/>
        </w:tc>
        <w:tc>
          <w:tcPr>
            <w:tcW w:w="624" w:type="dxa"/>
          </w:tcPr>
          <w:p w14:paraId="57544C24" w14:textId="77777777" w:rsidR="00711444" w:rsidRPr="004D0DAA" w:rsidRDefault="00711444" w:rsidP="00AA2A4C"/>
        </w:tc>
        <w:tc>
          <w:tcPr>
            <w:tcW w:w="624" w:type="dxa"/>
            <w:tcBorders>
              <w:right w:val="single" w:sz="6" w:space="0" w:color="auto"/>
            </w:tcBorders>
          </w:tcPr>
          <w:p w14:paraId="57F9F1C5" w14:textId="77777777" w:rsidR="00711444" w:rsidRPr="004D0DAA" w:rsidRDefault="00711444" w:rsidP="00AA2A4C"/>
        </w:tc>
        <w:tc>
          <w:tcPr>
            <w:tcW w:w="1701" w:type="dxa"/>
            <w:tcBorders>
              <w:top w:val="single" w:sz="6" w:space="0" w:color="FFFFFF"/>
              <w:right w:val="single" w:sz="4" w:space="0" w:color="auto"/>
            </w:tcBorders>
          </w:tcPr>
          <w:p w14:paraId="2ABCF39A" w14:textId="77777777" w:rsidR="00711444" w:rsidRPr="004D0DAA" w:rsidRDefault="00711444" w:rsidP="00AA2A4C">
            <w:pPr>
              <w:pStyle w:val="TAC"/>
              <w:rPr>
                <w:lang w:eastAsia="en-US"/>
              </w:rPr>
            </w:pPr>
            <w:r w:rsidRPr="004D0DAA">
              <w:rPr>
                <w:lang w:eastAsia="en-US"/>
              </w:rPr>
              <w:t>Octet 11</w:t>
            </w:r>
          </w:p>
        </w:tc>
        <w:tc>
          <w:tcPr>
            <w:tcW w:w="1567" w:type="dxa"/>
            <w:tcBorders>
              <w:top w:val="single" w:sz="4" w:space="0" w:color="auto"/>
              <w:left w:val="single" w:sz="4" w:space="0" w:color="auto"/>
              <w:right w:val="single" w:sz="4" w:space="0" w:color="auto"/>
            </w:tcBorders>
          </w:tcPr>
          <w:p w14:paraId="2DDA170A" w14:textId="77777777" w:rsidR="00711444" w:rsidRPr="004D0DAA" w:rsidRDefault="00711444" w:rsidP="00AA2A4C">
            <w:pPr>
              <w:pStyle w:val="TAC"/>
              <w:rPr>
                <w:lang w:eastAsia="en-US"/>
              </w:rPr>
            </w:pPr>
          </w:p>
        </w:tc>
      </w:tr>
      <w:tr w:rsidR="00711444" w:rsidRPr="004D0DAA" w14:paraId="49A03119"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3AE52D19" w14:textId="77777777" w:rsidR="00711444" w:rsidRPr="004D0DAA" w:rsidRDefault="00711444" w:rsidP="00AA2A4C">
            <w:pPr>
              <w:pStyle w:val="TAC"/>
              <w:rPr>
                <w:lang w:eastAsia="en-US"/>
              </w:rPr>
            </w:pPr>
            <w:r w:rsidRPr="004D0DAA">
              <w:rPr>
                <w:lang w:eastAsia="en-US"/>
              </w:rPr>
              <w:br/>
              <w:t>LLC PDU J+6</w:t>
            </w:r>
          </w:p>
        </w:tc>
        <w:tc>
          <w:tcPr>
            <w:tcW w:w="1701" w:type="dxa"/>
            <w:tcBorders>
              <w:right w:val="single" w:sz="4" w:space="0" w:color="auto"/>
            </w:tcBorders>
          </w:tcPr>
          <w:p w14:paraId="04FFEB08" w14:textId="77777777" w:rsidR="00711444" w:rsidRPr="004D0DAA" w:rsidRDefault="00711444" w:rsidP="00AA2A4C">
            <w:pPr>
              <w:pStyle w:val="TAC"/>
              <w:rPr>
                <w:lang w:eastAsia="en-US"/>
              </w:rPr>
            </w:pPr>
            <w:r w:rsidRPr="004D0DAA">
              <w:rPr>
                <w:lang w:eastAsia="en-US"/>
              </w:rPr>
              <w:t>.</w:t>
            </w:r>
          </w:p>
          <w:p w14:paraId="68E8484D" w14:textId="77777777" w:rsidR="00711444" w:rsidRPr="004D0DAA" w:rsidRDefault="00711444" w:rsidP="00AA2A4C">
            <w:pPr>
              <w:pStyle w:val="TAC"/>
              <w:rPr>
                <w:lang w:eastAsia="en-US"/>
              </w:rPr>
            </w:pPr>
            <w:r w:rsidRPr="004D0DAA">
              <w:rPr>
                <w:lang w:eastAsia="en-US"/>
              </w:rPr>
              <w:t>.</w:t>
            </w:r>
          </w:p>
          <w:p w14:paraId="322AAD3B"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2A44828F" w14:textId="77777777" w:rsidR="00711444" w:rsidRPr="004D0DAA" w:rsidRDefault="00711444" w:rsidP="00AA2A4C">
            <w:pPr>
              <w:pStyle w:val="TAC"/>
              <w:rPr>
                <w:lang w:eastAsia="en-US"/>
              </w:rPr>
            </w:pPr>
          </w:p>
          <w:p w14:paraId="21515E6D" w14:textId="77777777" w:rsidR="00711444" w:rsidRPr="004D0DAA" w:rsidRDefault="00711444" w:rsidP="00AA2A4C">
            <w:pPr>
              <w:pStyle w:val="TAC"/>
              <w:rPr>
                <w:lang w:eastAsia="en-US"/>
              </w:rPr>
            </w:pPr>
            <w:r w:rsidRPr="004D0DAA">
              <w:rPr>
                <w:lang w:eastAsia="en-US"/>
              </w:rPr>
              <w:t>LLC PDU J+6</w:t>
            </w:r>
          </w:p>
        </w:tc>
      </w:tr>
      <w:tr w:rsidR="00711444" w:rsidRPr="004D0DAA" w14:paraId="12ECADFA" w14:textId="77777777" w:rsidTr="00AA2A4C">
        <w:tblPrEx>
          <w:tblCellMar>
            <w:top w:w="0" w:type="dxa"/>
            <w:bottom w:w="0" w:type="dxa"/>
          </w:tblCellMar>
        </w:tblPrEx>
        <w:trPr>
          <w:cantSplit/>
        </w:trPr>
        <w:tc>
          <w:tcPr>
            <w:tcW w:w="871" w:type="dxa"/>
            <w:tcBorders>
              <w:left w:val="single" w:sz="6" w:space="0" w:color="auto"/>
              <w:bottom w:val="single" w:sz="4" w:space="0" w:color="auto"/>
            </w:tcBorders>
          </w:tcPr>
          <w:p w14:paraId="21885A16" w14:textId="77777777" w:rsidR="00711444" w:rsidRPr="004D0DAA" w:rsidRDefault="00711444" w:rsidP="00AA2A4C"/>
        </w:tc>
        <w:tc>
          <w:tcPr>
            <w:tcW w:w="624" w:type="dxa"/>
            <w:tcBorders>
              <w:bottom w:val="single" w:sz="4" w:space="0" w:color="auto"/>
            </w:tcBorders>
          </w:tcPr>
          <w:p w14:paraId="06F4B4D8" w14:textId="77777777" w:rsidR="00711444" w:rsidRPr="004D0DAA" w:rsidRDefault="00711444" w:rsidP="00AA2A4C"/>
        </w:tc>
        <w:tc>
          <w:tcPr>
            <w:tcW w:w="624" w:type="dxa"/>
            <w:tcBorders>
              <w:bottom w:val="single" w:sz="4" w:space="0" w:color="auto"/>
            </w:tcBorders>
          </w:tcPr>
          <w:p w14:paraId="74CA7471" w14:textId="77777777" w:rsidR="00711444" w:rsidRPr="004D0DAA" w:rsidRDefault="00711444" w:rsidP="00AA2A4C"/>
        </w:tc>
        <w:tc>
          <w:tcPr>
            <w:tcW w:w="624" w:type="dxa"/>
            <w:tcBorders>
              <w:bottom w:val="single" w:sz="4" w:space="0" w:color="auto"/>
            </w:tcBorders>
          </w:tcPr>
          <w:p w14:paraId="15E2192D" w14:textId="77777777" w:rsidR="00711444" w:rsidRPr="004D0DAA" w:rsidRDefault="00711444" w:rsidP="00AA2A4C"/>
        </w:tc>
        <w:tc>
          <w:tcPr>
            <w:tcW w:w="624" w:type="dxa"/>
            <w:tcBorders>
              <w:bottom w:val="single" w:sz="4" w:space="0" w:color="auto"/>
            </w:tcBorders>
          </w:tcPr>
          <w:p w14:paraId="1DEC8C38" w14:textId="77777777" w:rsidR="00711444" w:rsidRPr="004D0DAA" w:rsidRDefault="00711444" w:rsidP="00AA2A4C"/>
        </w:tc>
        <w:tc>
          <w:tcPr>
            <w:tcW w:w="624" w:type="dxa"/>
            <w:tcBorders>
              <w:bottom w:val="single" w:sz="4" w:space="0" w:color="auto"/>
            </w:tcBorders>
          </w:tcPr>
          <w:p w14:paraId="16CC1504" w14:textId="77777777" w:rsidR="00711444" w:rsidRPr="004D0DAA" w:rsidRDefault="00711444" w:rsidP="00AA2A4C"/>
        </w:tc>
        <w:tc>
          <w:tcPr>
            <w:tcW w:w="624" w:type="dxa"/>
            <w:tcBorders>
              <w:bottom w:val="single" w:sz="4" w:space="0" w:color="auto"/>
            </w:tcBorders>
          </w:tcPr>
          <w:p w14:paraId="2E4EF7AC" w14:textId="77777777" w:rsidR="00711444" w:rsidRPr="004D0DAA" w:rsidRDefault="00711444" w:rsidP="00AA2A4C"/>
        </w:tc>
        <w:tc>
          <w:tcPr>
            <w:tcW w:w="624" w:type="dxa"/>
            <w:tcBorders>
              <w:bottom w:val="single" w:sz="4" w:space="0" w:color="auto"/>
              <w:right w:val="single" w:sz="6" w:space="0" w:color="auto"/>
            </w:tcBorders>
          </w:tcPr>
          <w:p w14:paraId="26804453" w14:textId="77777777" w:rsidR="00711444" w:rsidRPr="004D0DAA" w:rsidRDefault="00711444" w:rsidP="00AA2A4C"/>
        </w:tc>
        <w:tc>
          <w:tcPr>
            <w:tcW w:w="1701" w:type="dxa"/>
            <w:tcBorders>
              <w:right w:val="single" w:sz="4" w:space="0" w:color="auto"/>
            </w:tcBorders>
          </w:tcPr>
          <w:p w14:paraId="21C9D888" w14:textId="77777777" w:rsidR="00711444" w:rsidRPr="004D0DAA" w:rsidRDefault="00711444" w:rsidP="00AA2A4C">
            <w:pPr>
              <w:pStyle w:val="TAC"/>
              <w:rPr>
                <w:lang w:eastAsia="en-US"/>
              </w:rPr>
            </w:pPr>
            <w:r w:rsidRPr="004D0DAA">
              <w:rPr>
                <w:lang w:eastAsia="en-US"/>
              </w:rPr>
              <w:t>Octet 22</w:t>
            </w:r>
          </w:p>
        </w:tc>
        <w:tc>
          <w:tcPr>
            <w:tcW w:w="1567" w:type="dxa"/>
            <w:tcBorders>
              <w:left w:val="single" w:sz="4" w:space="0" w:color="auto"/>
              <w:bottom w:val="single" w:sz="4" w:space="0" w:color="auto"/>
              <w:right w:val="single" w:sz="4" w:space="0" w:color="auto"/>
            </w:tcBorders>
          </w:tcPr>
          <w:p w14:paraId="57848B9B" w14:textId="77777777" w:rsidR="00711444" w:rsidRPr="004D0DAA" w:rsidRDefault="00711444" w:rsidP="00AA2A4C">
            <w:pPr>
              <w:pStyle w:val="TAC"/>
              <w:rPr>
                <w:lang w:eastAsia="en-US"/>
              </w:rPr>
            </w:pPr>
          </w:p>
        </w:tc>
      </w:tr>
      <w:tr w:rsidR="00711444" w:rsidRPr="004D0DAA" w14:paraId="53AAC16D" w14:textId="77777777" w:rsidTr="00AA2A4C">
        <w:tblPrEx>
          <w:tblCellMar>
            <w:top w:w="0" w:type="dxa"/>
            <w:bottom w:w="0" w:type="dxa"/>
          </w:tblCellMar>
        </w:tblPrEx>
        <w:trPr>
          <w:cantSplit/>
        </w:trPr>
        <w:tc>
          <w:tcPr>
            <w:tcW w:w="871" w:type="dxa"/>
            <w:tcBorders>
              <w:top w:val="single" w:sz="4" w:space="0" w:color="auto"/>
              <w:left w:val="single" w:sz="6" w:space="0" w:color="auto"/>
            </w:tcBorders>
          </w:tcPr>
          <w:p w14:paraId="1CDAFC2E" w14:textId="77777777" w:rsidR="00711444" w:rsidRPr="004D0DAA" w:rsidRDefault="00711444" w:rsidP="00AA2A4C"/>
        </w:tc>
        <w:tc>
          <w:tcPr>
            <w:tcW w:w="624" w:type="dxa"/>
            <w:tcBorders>
              <w:top w:val="single" w:sz="4" w:space="0" w:color="auto"/>
            </w:tcBorders>
          </w:tcPr>
          <w:p w14:paraId="18093892" w14:textId="77777777" w:rsidR="00711444" w:rsidRPr="004D0DAA" w:rsidRDefault="00711444" w:rsidP="00AA2A4C"/>
        </w:tc>
        <w:tc>
          <w:tcPr>
            <w:tcW w:w="624" w:type="dxa"/>
            <w:tcBorders>
              <w:top w:val="single" w:sz="4" w:space="0" w:color="auto"/>
            </w:tcBorders>
          </w:tcPr>
          <w:p w14:paraId="34CBF3EF" w14:textId="77777777" w:rsidR="00711444" w:rsidRPr="004D0DAA" w:rsidRDefault="00711444" w:rsidP="00AA2A4C"/>
        </w:tc>
        <w:tc>
          <w:tcPr>
            <w:tcW w:w="624" w:type="dxa"/>
            <w:tcBorders>
              <w:top w:val="single" w:sz="4" w:space="0" w:color="auto"/>
            </w:tcBorders>
          </w:tcPr>
          <w:p w14:paraId="0F59E8D3" w14:textId="77777777" w:rsidR="00711444" w:rsidRPr="004D0DAA" w:rsidRDefault="00711444" w:rsidP="00AA2A4C"/>
        </w:tc>
        <w:tc>
          <w:tcPr>
            <w:tcW w:w="624" w:type="dxa"/>
            <w:tcBorders>
              <w:top w:val="single" w:sz="4" w:space="0" w:color="auto"/>
            </w:tcBorders>
          </w:tcPr>
          <w:p w14:paraId="0745A7B2" w14:textId="77777777" w:rsidR="00711444" w:rsidRPr="004D0DAA" w:rsidRDefault="00711444" w:rsidP="00AA2A4C"/>
        </w:tc>
        <w:tc>
          <w:tcPr>
            <w:tcW w:w="624" w:type="dxa"/>
            <w:tcBorders>
              <w:top w:val="single" w:sz="4" w:space="0" w:color="auto"/>
            </w:tcBorders>
          </w:tcPr>
          <w:p w14:paraId="163EFE41" w14:textId="77777777" w:rsidR="00711444" w:rsidRPr="004D0DAA" w:rsidRDefault="00711444" w:rsidP="00AA2A4C"/>
        </w:tc>
        <w:tc>
          <w:tcPr>
            <w:tcW w:w="624" w:type="dxa"/>
            <w:tcBorders>
              <w:top w:val="single" w:sz="4" w:space="0" w:color="auto"/>
            </w:tcBorders>
          </w:tcPr>
          <w:p w14:paraId="09ACCBFF" w14:textId="77777777" w:rsidR="00711444" w:rsidRPr="004D0DAA" w:rsidRDefault="00711444" w:rsidP="00AA2A4C"/>
        </w:tc>
        <w:tc>
          <w:tcPr>
            <w:tcW w:w="624" w:type="dxa"/>
            <w:tcBorders>
              <w:top w:val="single" w:sz="4" w:space="0" w:color="auto"/>
              <w:right w:val="single" w:sz="6" w:space="0" w:color="auto"/>
            </w:tcBorders>
          </w:tcPr>
          <w:p w14:paraId="451ABAF2" w14:textId="77777777" w:rsidR="00711444" w:rsidRPr="004D0DAA" w:rsidRDefault="00711444" w:rsidP="00AA2A4C"/>
        </w:tc>
        <w:tc>
          <w:tcPr>
            <w:tcW w:w="1701" w:type="dxa"/>
          </w:tcPr>
          <w:p w14:paraId="2D82B06E" w14:textId="77777777" w:rsidR="00711444" w:rsidRPr="004D0DAA" w:rsidRDefault="00711444" w:rsidP="00AA2A4C"/>
        </w:tc>
        <w:tc>
          <w:tcPr>
            <w:tcW w:w="1567" w:type="dxa"/>
            <w:tcBorders>
              <w:top w:val="single" w:sz="4" w:space="0" w:color="auto"/>
            </w:tcBorders>
          </w:tcPr>
          <w:p w14:paraId="09B72FA0" w14:textId="77777777" w:rsidR="00711444" w:rsidRPr="004D0DAA" w:rsidRDefault="00711444" w:rsidP="00AA2A4C">
            <w:pPr>
              <w:pStyle w:val="TAC"/>
              <w:rPr>
                <w:lang w:eastAsia="en-US"/>
              </w:rPr>
            </w:pPr>
          </w:p>
        </w:tc>
      </w:tr>
      <w:tr w:rsidR="00711444" w:rsidRPr="004D0DAA" w14:paraId="4D105575" w14:textId="77777777" w:rsidTr="00AA2A4C">
        <w:tblPrEx>
          <w:tblCellMar>
            <w:top w:w="0" w:type="dxa"/>
            <w:bottom w:w="0" w:type="dxa"/>
          </w:tblCellMar>
        </w:tblPrEx>
        <w:trPr>
          <w:cantSplit/>
        </w:trPr>
        <w:tc>
          <w:tcPr>
            <w:tcW w:w="871" w:type="dxa"/>
            <w:tcBorders>
              <w:left w:val="single" w:sz="6" w:space="0" w:color="auto"/>
            </w:tcBorders>
          </w:tcPr>
          <w:p w14:paraId="58CB4432" w14:textId="77777777" w:rsidR="00711444" w:rsidRPr="004D0DAA" w:rsidRDefault="00711444" w:rsidP="00AA2A4C"/>
        </w:tc>
        <w:tc>
          <w:tcPr>
            <w:tcW w:w="624" w:type="dxa"/>
          </w:tcPr>
          <w:p w14:paraId="09040497" w14:textId="77777777" w:rsidR="00711444" w:rsidRPr="004D0DAA" w:rsidRDefault="00711444" w:rsidP="00AA2A4C"/>
        </w:tc>
        <w:tc>
          <w:tcPr>
            <w:tcW w:w="2496" w:type="dxa"/>
            <w:gridSpan w:val="4"/>
          </w:tcPr>
          <w:p w14:paraId="7A30C0D6" w14:textId="77777777" w:rsidR="00711444" w:rsidRPr="004D0DAA" w:rsidRDefault="00711444" w:rsidP="00AA2A4C">
            <w:pPr>
              <w:pStyle w:val="TAC"/>
              <w:rPr>
                <w:lang w:eastAsia="en-US"/>
              </w:rPr>
            </w:pPr>
            <w:r w:rsidRPr="004D0DAA">
              <w:rPr>
                <w:lang w:eastAsia="en-US"/>
              </w:rPr>
              <w:t>Filling Octets</w:t>
            </w:r>
          </w:p>
        </w:tc>
        <w:tc>
          <w:tcPr>
            <w:tcW w:w="624" w:type="dxa"/>
          </w:tcPr>
          <w:p w14:paraId="3B62C37C" w14:textId="77777777" w:rsidR="00711444" w:rsidRPr="004D0DAA" w:rsidRDefault="00711444" w:rsidP="00AA2A4C"/>
        </w:tc>
        <w:tc>
          <w:tcPr>
            <w:tcW w:w="624" w:type="dxa"/>
            <w:tcBorders>
              <w:right w:val="single" w:sz="6" w:space="0" w:color="auto"/>
            </w:tcBorders>
          </w:tcPr>
          <w:p w14:paraId="56F23BB2" w14:textId="77777777" w:rsidR="00711444" w:rsidRPr="004D0DAA" w:rsidRDefault="00711444" w:rsidP="00AA2A4C"/>
        </w:tc>
        <w:tc>
          <w:tcPr>
            <w:tcW w:w="1701" w:type="dxa"/>
          </w:tcPr>
          <w:p w14:paraId="25E8F8BA" w14:textId="77777777" w:rsidR="00711444" w:rsidRPr="004D0DAA" w:rsidRDefault="00711444" w:rsidP="00AA2A4C"/>
        </w:tc>
        <w:tc>
          <w:tcPr>
            <w:tcW w:w="1567" w:type="dxa"/>
          </w:tcPr>
          <w:p w14:paraId="759AC1F9" w14:textId="77777777" w:rsidR="00711444" w:rsidRPr="004D0DAA" w:rsidRDefault="00711444" w:rsidP="00AA2A4C">
            <w:pPr>
              <w:pStyle w:val="TAC"/>
              <w:rPr>
                <w:lang w:eastAsia="en-US"/>
              </w:rPr>
            </w:pPr>
          </w:p>
        </w:tc>
      </w:tr>
      <w:tr w:rsidR="00711444" w:rsidRPr="004D0DAA" w14:paraId="776D651C" w14:textId="77777777" w:rsidTr="00AA2A4C">
        <w:tblPrEx>
          <w:tblCellMar>
            <w:top w:w="0" w:type="dxa"/>
            <w:bottom w:w="0" w:type="dxa"/>
          </w:tblCellMar>
        </w:tblPrEx>
        <w:trPr>
          <w:cantSplit/>
        </w:trPr>
        <w:tc>
          <w:tcPr>
            <w:tcW w:w="871" w:type="dxa"/>
            <w:tcBorders>
              <w:left w:val="single" w:sz="6" w:space="0" w:color="auto"/>
              <w:bottom w:val="single" w:sz="4" w:space="0" w:color="auto"/>
            </w:tcBorders>
          </w:tcPr>
          <w:p w14:paraId="06AB47D8" w14:textId="77777777" w:rsidR="00711444" w:rsidRPr="004D0DAA" w:rsidRDefault="00711444" w:rsidP="00AA2A4C"/>
        </w:tc>
        <w:tc>
          <w:tcPr>
            <w:tcW w:w="624" w:type="dxa"/>
            <w:tcBorders>
              <w:bottom w:val="single" w:sz="4" w:space="0" w:color="auto"/>
            </w:tcBorders>
          </w:tcPr>
          <w:p w14:paraId="73EFD0E1" w14:textId="77777777" w:rsidR="00711444" w:rsidRPr="004D0DAA" w:rsidRDefault="00711444" w:rsidP="00AA2A4C"/>
        </w:tc>
        <w:tc>
          <w:tcPr>
            <w:tcW w:w="624" w:type="dxa"/>
            <w:tcBorders>
              <w:bottom w:val="single" w:sz="4" w:space="0" w:color="auto"/>
            </w:tcBorders>
          </w:tcPr>
          <w:p w14:paraId="522D3668" w14:textId="77777777" w:rsidR="00711444" w:rsidRPr="004D0DAA" w:rsidRDefault="00711444" w:rsidP="00AA2A4C"/>
        </w:tc>
        <w:tc>
          <w:tcPr>
            <w:tcW w:w="624" w:type="dxa"/>
            <w:tcBorders>
              <w:bottom w:val="single" w:sz="4" w:space="0" w:color="auto"/>
            </w:tcBorders>
          </w:tcPr>
          <w:p w14:paraId="2B8D1890" w14:textId="77777777" w:rsidR="00711444" w:rsidRPr="004D0DAA" w:rsidRDefault="00711444" w:rsidP="00AA2A4C"/>
        </w:tc>
        <w:tc>
          <w:tcPr>
            <w:tcW w:w="624" w:type="dxa"/>
            <w:tcBorders>
              <w:bottom w:val="single" w:sz="4" w:space="0" w:color="auto"/>
            </w:tcBorders>
          </w:tcPr>
          <w:p w14:paraId="5EF40B8D" w14:textId="77777777" w:rsidR="00711444" w:rsidRPr="004D0DAA" w:rsidRDefault="00711444" w:rsidP="00AA2A4C"/>
        </w:tc>
        <w:tc>
          <w:tcPr>
            <w:tcW w:w="624" w:type="dxa"/>
            <w:tcBorders>
              <w:bottom w:val="single" w:sz="4" w:space="0" w:color="auto"/>
            </w:tcBorders>
          </w:tcPr>
          <w:p w14:paraId="536C05C0" w14:textId="77777777" w:rsidR="00711444" w:rsidRPr="004D0DAA" w:rsidRDefault="00711444" w:rsidP="00AA2A4C"/>
        </w:tc>
        <w:tc>
          <w:tcPr>
            <w:tcW w:w="624" w:type="dxa"/>
            <w:tcBorders>
              <w:bottom w:val="single" w:sz="4" w:space="0" w:color="auto"/>
            </w:tcBorders>
          </w:tcPr>
          <w:p w14:paraId="7225754F" w14:textId="77777777" w:rsidR="00711444" w:rsidRPr="004D0DAA" w:rsidRDefault="00711444" w:rsidP="00AA2A4C"/>
        </w:tc>
        <w:tc>
          <w:tcPr>
            <w:tcW w:w="624" w:type="dxa"/>
            <w:tcBorders>
              <w:bottom w:val="single" w:sz="4" w:space="0" w:color="auto"/>
              <w:right w:val="single" w:sz="6" w:space="0" w:color="auto"/>
            </w:tcBorders>
          </w:tcPr>
          <w:p w14:paraId="22123A62" w14:textId="77777777" w:rsidR="00711444" w:rsidRPr="004D0DAA" w:rsidRDefault="00711444" w:rsidP="00AA2A4C"/>
        </w:tc>
        <w:tc>
          <w:tcPr>
            <w:tcW w:w="1701" w:type="dxa"/>
          </w:tcPr>
          <w:p w14:paraId="30567D9F" w14:textId="77777777" w:rsidR="00711444" w:rsidRPr="004D0DAA" w:rsidRDefault="00711444" w:rsidP="00AA2A4C">
            <w:pPr>
              <w:pStyle w:val="TAC"/>
              <w:rPr>
                <w:lang w:eastAsia="en-US"/>
              </w:rPr>
            </w:pPr>
            <w:r w:rsidRPr="004D0DAA">
              <w:rPr>
                <w:lang w:eastAsia="en-US"/>
              </w:rPr>
              <w:t>Octet N2</w:t>
            </w:r>
          </w:p>
        </w:tc>
        <w:tc>
          <w:tcPr>
            <w:tcW w:w="1567" w:type="dxa"/>
          </w:tcPr>
          <w:p w14:paraId="011E0333" w14:textId="77777777" w:rsidR="00711444" w:rsidRPr="004D0DAA" w:rsidRDefault="00711444" w:rsidP="00AA2A4C">
            <w:pPr>
              <w:pStyle w:val="TAC"/>
              <w:rPr>
                <w:lang w:eastAsia="en-US"/>
              </w:rPr>
            </w:pPr>
          </w:p>
        </w:tc>
      </w:tr>
    </w:tbl>
    <w:p w14:paraId="3ACCDC1C" w14:textId="77777777" w:rsidR="00711444" w:rsidRPr="004D0DAA" w:rsidRDefault="00711444" w:rsidP="00711444">
      <w:pPr>
        <w:pStyle w:val="NO"/>
      </w:pPr>
    </w:p>
    <w:p w14:paraId="6024E3A1" w14:textId="77777777" w:rsidR="00711444" w:rsidRPr="004D0DAA" w:rsidRDefault="00711444" w:rsidP="00711444">
      <w:pPr>
        <w:pStyle w:val="TF"/>
      </w:pPr>
      <w:r w:rsidRPr="004D0DAA">
        <w:t>Figure B.9: Example for the case when the LLC PDU fills exactly the RLC data block</w:t>
      </w:r>
      <w:r w:rsidRPr="004D0DAA">
        <w:br/>
        <w:t>(LLC PDU J+2 and LLC PDU J+4) and when the last LLC PDU cannot not fill</w:t>
      </w:r>
      <w:r w:rsidRPr="004D0DAA">
        <w:br/>
        <w:t>the last RLC data block(LLC PDU J+6)</w:t>
      </w:r>
    </w:p>
    <w:p w14:paraId="023D7FF1" w14:textId="77777777" w:rsidR="00711444" w:rsidRPr="004D0DAA" w:rsidRDefault="00711444" w:rsidP="00711444">
      <w:pPr>
        <w:pStyle w:val="Heading3"/>
      </w:pPr>
      <w:r w:rsidRPr="004D0DAA">
        <w:br w:type="page"/>
      </w:r>
      <w:bookmarkStart w:id="891" w:name="_Toc516670064"/>
      <w:r w:rsidRPr="004D0DAA">
        <w:lastRenderedPageBreak/>
        <w:t>B.8</w:t>
      </w:r>
      <w:r w:rsidRPr="004D0DAA">
        <w:t>.3</w:t>
      </w:r>
      <w:r w:rsidRPr="004D0DAA">
        <w:tab/>
        <w:t>Example 3</w:t>
      </w:r>
      <w:bookmarkEnd w:id="891"/>
    </w:p>
    <w:p w14:paraId="0C61FBF9" w14:textId="77777777" w:rsidR="00711444" w:rsidRPr="004D0DAA" w:rsidRDefault="00711444" w:rsidP="00711444">
      <w:r w:rsidRPr="004D0DAA">
        <w:t>Figure B.10 shows a TBF of one LLC PDU which fills exactly the RLC data block (Downlink).</w:t>
      </w:r>
    </w:p>
    <w:tbl>
      <w:tblPr>
        <w:tblW w:w="8433"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574"/>
        <w:gridCol w:w="1620"/>
      </w:tblGrid>
      <w:tr w:rsidR="00711444" w:rsidRPr="004D0DAA" w14:paraId="411D11AC" w14:textId="77777777" w:rsidTr="00AA2A4C">
        <w:tblPrEx>
          <w:tblCellMar>
            <w:top w:w="0" w:type="dxa"/>
            <w:bottom w:w="0" w:type="dxa"/>
          </w:tblCellMar>
        </w:tblPrEx>
        <w:trPr>
          <w:cantSplit/>
        </w:trPr>
        <w:tc>
          <w:tcPr>
            <w:tcW w:w="5239" w:type="dxa"/>
            <w:gridSpan w:val="8"/>
          </w:tcPr>
          <w:p w14:paraId="260C3483" w14:textId="77777777" w:rsidR="00711444" w:rsidRPr="004D0DAA" w:rsidRDefault="00711444" w:rsidP="00AA2A4C">
            <w:pPr>
              <w:pStyle w:val="TAC"/>
              <w:rPr>
                <w:lang w:eastAsia="en-US"/>
              </w:rPr>
            </w:pPr>
            <w:r w:rsidRPr="004D0DAA">
              <w:rPr>
                <w:lang w:eastAsia="en-US"/>
              </w:rPr>
              <w:t>Bit</w:t>
            </w:r>
          </w:p>
        </w:tc>
        <w:tc>
          <w:tcPr>
            <w:tcW w:w="1574" w:type="dxa"/>
          </w:tcPr>
          <w:p w14:paraId="3D4740C6" w14:textId="77777777" w:rsidR="00711444" w:rsidRPr="004D0DAA" w:rsidRDefault="00711444" w:rsidP="00AA2A4C"/>
        </w:tc>
        <w:tc>
          <w:tcPr>
            <w:tcW w:w="1620" w:type="dxa"/>
          </w:tcPr>
          <w:p w14:paraId="718CC98D" w14:textId="77777777" w:rsidR="00711444" w:rsidRPr="004D0DAA" w:rsidRDefault="00711444" w:rsidP="00AA2A4C">
            <w:pPr>
              <w:pStyle w:val="TAC"/>
              <w:rPr>
                <w:lang w:eastAsia="en-US"/>
              </w:rPr>
            </w:pPr>
          </w:p>
        </w:tc>
      </w:tr>
      <w:tr w:rsidR="00711444" w:rsidRPr="004D0DAA" w14:paraId="7EBB8A4F" w14:textId="77777777" w:rsidTr="00AA2A4C">
        <w:tblPrEx>
          <w:tblCellMar>
            <w:top w:w="0" w:type="dxa"/>
            <w:bottom w:w="0" w:type="dxa"/>
          </w:tblCellMar>
        </w:tblPrEx>
        <w:trPr>
          <w:cantSplit/>
        </w:trPr>
        <w:tc>
          <w:tcPr>
            <w:tcW w:w="871" w:type="dxa"/>
            <w:tcBorders>
              <w:bottom w:val="single" w:sz="4" w:space="0" w:color="auto"/>
            </w:tcBorders>
          </w:tcPr>
          <w:p w14:paraId="133BB93F" w14:textId="77777777" w:rsidR="00711444" w:rsidRPr="004D0DAA" w:rsidRDefault="00711444" w:rsidP="00AA2A4C">
            <w:pPr>
              <w:pStyle w:val="TAC"/>
              <w:rPr>
                <w:lang w:eastAsia="en-US"/>
              </w:rPr>
            </w:pPr>
            <w:r w:rsidRPr="004D0DAA">
              <w:rPr>
                <w:lang w:eastAsia="en-US"/>
              </w:rPr>
              <w:t>8</w:t>
            </w:r>
          </w:p>
        </w:tc>
        <w:tc>
          <w:tcPr>
            <w:tcW w:w="624" w:type="dxa"/>
            <w:tcBorders>
              <w:bottom w:val="single" w:sz="4" w:space="0" w:color="auto"/>
            </w:tcBorders>
          </w:tcPr>
          <w:p w14:paraId="753E5D7B" w14:textId="77777777" w:rsidR="00711444" w:rsidRPr="004D0DAA" w:rsidRDefault="00711444" w:rsidP="00AA2A4C">
            <w:pPr>
              <w:pStyle w:val="TAC"/>
              <w:rPr>
                <w:lang w:eastAsia="en-US"/>
              </w:rPr>
            </w:pPr>
            <w:r w:rsidRPr="004D0DAA">
              <w:rPr>
                <w:lang w:eastAsia="en-US"/>
              </w:rPr>
              <w:t>7</w:t>
            </w:r>
          </w:p>
        </w:tc>
        <w:tc>
          <w:tcPr>
            <w:tcW w:w="624" w:type="dxa"/>
            <w:tcBorders>
              <w:bottom w:val="single" w:sz="4" w:space="0" w:color="auto"/>
            </w:tcBorders>
          </w:tcPr>
          <w:p w14:paraId="74952F57" w14:textId="77777777" w:rsidR="00711444" w:rsidRPr="004D0DAA" w:rsidRDefault="00711444" w:rsidP="00AA2A4C">
            <w:pPr>
              <w:pStyle w:val="TAC"/>
              <w:rPr>
                <w:lang w:eastAsia="en-US"/>
              </w:rPr>
            </w:pPr>
            <w:r w:rsidRPr="004D0DAA">
              <w:rPr>
                <w:lang w:eastAsia="en-US"/>
              </w:rPr>
              <w:t>6</w:t>
            </w:r>
          </w:p>
        </w:tc>
        <w:tc>
          <w:tcPr>
            <w:tcW w:w="624" w:type="dxa"/>
            <w:tcBorders>
              <w:bottom w:val="single" w:sz="4" w:space="0" w:color="auto"/>
            </w:tcBorders>
          </w:tcPr>
          <w:p w14:paraId="1A461FF5" w14:textId="77777777" w:rsidR="00711444" w:rsidRPr="004D0DAA" w:rsidRDefault="00711444" w:rsidP="00AA2A4C">
            <w:pPr>
              <w:pStyle w:val="TAC"/>
              <w:rPr>
                <w:lang w:eastAsia="en-US"/>
              </w:rPr>
            </w:pPr>
            <w:r w:rsidRPr="004D0DAA">
              <w:rPr>
                <w:lang w:eastAsia="en-US"/>
              </w:rPr>
              <w:t>5</w:t>
            </w:r>
          </w:p>
        </w:tc>
        <w:tc>
          <w:tcPr>
            <w:tcW w:w="624" w:type="dxa"/>
            <w:tcBorders>
              <w:bottom w:val="single" w:sz="4" w:space="0" w:color="auto"/>
            </w:tcBorders>
          </w:tcPr>
          <w:p w14:paraId="0F44BD85" w14:textId="77777777" w:rsidR="00711444" w:rsidRPr="004D0DAA" w:rsidRDefault="00711444" w:rsidP="00AA2A4C">
            <w:pPr>
              <w:pStyle w:val="TAC"/>
              <w:rPr>
                <w:lang w:eastAsia="en-US"/>
              </w:rPr>
            </w:pPr>
            <w:r w:rsidRPr="004D0DAA">
              <w:rPr>
                <w:lang w:eastAsia="en-US"/>
              </w:rPr>
              <w:t>4</w:t>
            </w:r>
          </w:p>
        </w:tc>
        <w:tc>
          <w:tcPr>
            <w:tcW w:w="624" w:type="dxa"/>
            <w:tcBorders>
              <w:bottom w:val="single" w:sz="4" w:space="0" w:color="auto"/>
            </w:tcBorders>
          </w:tcPr>
          <w:p w14:paraId="5B273DAE"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0B76160E" w14:textId="77777777" w:rsidR="00711444" w:rsidRPr="004D0DAA" w:rsidRDefault="00711444" w:rsidP="00AA2A4C">
            <w:pPr>
              <w:pStyle w:val="TAC"/>
              <w:rPr>
                <w:lang w:eastAsia="en-US"/>
              </w:rPr>
            </w:pPr>
            <w:r w:rsidRPr="004D0DAA">
              <w:rPr>
                <w:lang w:eastAsia="en-US"/>
              </w:rPr>
              <w:t>2</w:t>
            </w:r>
          </w:p>
        </w:tc>
        <w:tc>
          <w:tcPr>
            <w:tcW w:w="624" w:type="dxa"/>
          </w:tcPr>
          <w:p w14:paraId="4C38C265" w14:textId="77777777" w:rsidR="00711444" w:rsidRPr="004D0DAA" w:rsidRDefault="00711444" w:rsidP="00AA2A4C">
            <w:pPr>
              <w:pStyle w:val="TAC"/>
              <w:rPr>
                <w:lang w:eastAsia="en-US"/>
              </w:rPr>
            </w:pPr>
            <w:r w:rsidRPr="004D0DAA">
              <w:rPr>
                <w:lang w:eastAsia="en-US"/>
              </w:rPr>
              <w:t>1</w:t>
            </w:r>
          </w:p>
        </w:tc>
        <w:tc>
          <w:tcPr>
            <w:tcW w:w="1574" w:type="dxa"/>
          </w:tcPr>
          <w:p w14:paraId="38867615" w14:textId="77777777" w:rsidR="00711444" w:rsidRPr="004D0DAA" w:rsidRDefault="00711444" w:rsidP="00AA2A4C"/>
        </w:tc>
        <w:tc>
          <w:tcPr>
            <w:tcW w:w="1620" w:type="dxa"/>
          </w:tcPr>
          <w:p w14:paraId="196CD1DB" w14:textId="77777777" w:rsidR="00711444" w:rsidRPr="004D0DAA" w:rsidRDefault="00711444" w:rsidP="00AA2A4C">
            <w:pPr>
              <w:pStyle w:val="TAC"/>
              <w:rPr>
                <w:lang w:eastAsia="en-US"/>
              </w:rPr>
            </w:pPr>
          </w:p>
        </w:tc>
      </w:tr>
      <w:tr w:rsidR="00711444" w:rsidRPr="004D0DAA" w14:paraId="4BAAD332" w14:textId="77777777" w:rsidTr="00AA2A4C">
        <w:tblPrEx>
          <w:tblCellMar>
            <w:top w:w="0" w:type="dxa"/>
            <w:bottom w:w="0" w:type="dxa"/>
          </w:tblCellMar>
        </w:tblPrEx>
        <w:trPr>
          <w:cantSplit/>
        </w:trPr>
        <w:tc>
          <w:tcPr>
            <w:tcW w:w="871" w:type="dxa"/>
            <w:tcBorders>
              <w:top w:val="single" w:sz="4" w:space="0" w:color="auto"/>
              <w:left w:val="single" w:sz="4" w:space="0" w:color="auto"/>
              <w:bottom w:val="single" w:sz="4" w:space="0" w:color="auto"/>
            </w:tcBorders>
          </w:tcPr>
          <w:p w14:paraId="7BB5EB09" w14:textId="77777777" w:rsidR="00711444" w:rsidRPr="004D0DAA" w:rsidRDefault="00711444" w:rsidP="00AA2A4C"/>
        </w:tc>
        <w:tc>
          <w:tcPr>
            <w:tcW w:w="624" w:type="dxa"/>
            <w:tcBorders>
              <w:top w:val="single" w:sz="4" w:space="0" w:color="auto"/>
              <w:bottom w:val="single" w:sz="4" w:space="0" w:color="auto"/>
            </w:tcBorders>
          </w:tcPr>
          <w:p w14:paraId="0D06BFAB" w14:textId="77777777" w:rsidR="00711444" w:rsidRPr="004D0DAA" w:rsidRDefault="00711444" w:rsidP="00AA2A4C"/>
        </w:tc>
        <w:tc>
          <w:tcPr>
            <w:tcW w:w="624" w:type="dxa"/>
            <w:tcBorders>
              <w:top w:val="single" w:sz="4" w:space="0" w:color="auto"/>
              <w:bottom w:val="single" w:sz="4" w:space="0" w:color="auto"/>
            </w:tcBorders>
          </w:tcPr>
          <w:p w14:paraId="56F3BF4A" w14:textId="77777777" w:rsidR="00711444" w:rsidRPr="004D0DAA" w:rsidRDefault="00711444" w:rsidP="00AA2A4C"/>
        </w:tc>
        <w:tc>
          <w:tcPr>
            <w:tcW w:w="624" w:type="dxa"/>
            <w:tcBorders>
              <w:top w:val="single" w:sz="4" w:space="0" w:color="auto"/>
              <w:bottom w:val="single" w:sz="4" w:space="0" w:color="auto"/>
            </w:tcBorders>
          </w:tcPr>
          <w:p w14:paraId="5FFE4E40" w14:textId="77777777" w:rsidR="00711444" w:rsidRPr="004D0DAA" w:rsidRDefault="00711444" w:rsidP="00AA2A4C"/>
        </w:tc>
        <w:tc>
          <w:tcPr>
            <w:tcW w:w="624" w:type="dxa"/>
            <w:tcBorders>
              <w:top w:val="single" w:sz="4" w:space="0" w:color="auto"/>
              <w:bottom w:val="single" w:sz="4" w:space="0" w:color="auto"/>
            </w:tcBorders>
          </w:tcPr>
          <w:p w14:paraId="3A0CDB52" w14:textId="77777777" w:rsidR="00711444" w:rsidRPr="004D0DAA" w:rsidRDefault="00711444" w:rsidP="00AA2A4C"/>
        </w:tc>
        <w:tc>
          <w:tcPr>
            <w:tcW w:w="624" w:type="dxa"/>
            <w:tcBorders>
              <w:top w:val="single" w:sz="4" w:space="0" w:color="auto"/>
              <w:bottom w:val="single" w:sz="4" w:space="0" w:color="auto"/>
              <w:right w:val="single" w:sz="4" w:space="0" w:color="auto"/>
            </w:tcBorders>
          </w:tcPr>
          <w:p w14:paraId="1A46AC1D"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2445876A" w14:textId="77777777" w:rsidR="00711444" w:rsidRPr="004D0DAA" w:rsidRDefault="00711444" w:rsidP="00AA2A4C">
            <w:pPr>
              <w:pStyle w:val="TAC"/>
              <w:rPr>
                <w:lang w:eastAsia="en-US"/>
              </w:rPr>
            </w:pPr>
            <w:r w:rsidRPr="004D0DAA">
              <w:rPr>
                <w:lang w:eastAsia="en-US"/>
              </w:rPr>
              <w:t>FBI=1</w:t>
            </w:r>
          </w:p>
        </w:tc>
        <w:tc>
          <w:tcPr>
            <w:tcW w:w="624" w:type="dxa"/>
            <w:tcBorders>
              <w:top w:val="single" w:sz="6" w:space="0" w:color="auto"/>
              <w:left w:val="single" w:sz="4" w:space="0" w:color="auto"/>
              <w:bottom w:val="single" w:sz="4" w:space="0" w:color="auto"/>
              <w:right w:val="single" w:sz="6" w:space="0" w:color="auto"/>
            </w:tcBorders>
          </w:tcPr>
          <w:p w14:paraId="1A68ADCD" w14:textId="77777777" w:rsidR="00711444" w:rsidRPr="004D0DAA" w:rsidRDefault="00711444" w:rsidP="00AA2A4C">
            <w:pPr>
              <w:pStyle w:val="TAC"/>
              <w:rPr>
                <w:lang w:eastAsia="en-US"/>
              </w:rPr>
            </w:pPr>
            <w:r w:rsidRPr="004D0DAA">
              <w:rPr>
                <w:lang w:eastAsia="en-US"/>
              </w:rPr>
              <w:t>E = 1</w:t>
            </w:r>
          </w:p>
        </w:tc>
        <w:tc>
          <w:tcPr>
            <w:tcW w:w="1574" w:type="dxa"/>
          </w:tcPr>
          <w:p w14:paraId="3CE03F1B" w14:textId="77777777" w:rsidR="00711444" w:rsidRPr="004D0DAA" w:rsidRDefault="00711444" w:rsidP="00AA2A4C">
            <w:pPr>
              <w:pStyle w:val="TAC"/>
              <w:rPr>
                <w:lang w:eastAsia="en-US"/>
              </w:rPr>
            </w:pPr>
            <w:r w:rsidRPr="004D0DAA">
              <w:rPr>
                <w:lang w:eastAsia="en-US"/>
              </w:rPr>
              <w:t>Octet 1</w:t>
            </w:r>
          </w:p>
        </w:tc>
        <w:tc>
          <w:tcPr>
            <w:tcW w:w="1620" w:type="dxa"/>
          </w:tcPr>
          <w:p w14:paraId="01E1BA0A" w14:textId="77777777" w:rsidR="00711444" w:rsidRPr="004D0DAA" w:rsidRDefault="00711444" w:rsidP="00AA2A4C">
            <w:pPr>
              <w:pStyle w:val="TAC"/>
              <w:rPr>
                <w:lang w:eastAsia="en-US"/>
              </w:rPr>
            </w:pPr>
            <w:r w:rsidRPr="004D0DAA">
              <w:rPr>
                <w:lang w:eastAsia="en-US"/>
              </w:rPr>
              <w:t xml:space="preserve"> </w:t>
            </w:r>
          </w:p>
        </w:tc>
      </w:tr>
      <w:tr w:rsidR="00711444" w:rsidRPr="004D0DAA" w14:paraId="4E671274" w14:textId="77777777" w:rsidTr="00AA2A4C">
        <w:tblPrEx>
          <w:tblCellMar>
            <w:top w:w="0" w:type="dxa"/>
            <w:bottom w:w="0" w:type="dxa"/>
          </w:tblCellMar>
        </w:tblPrEx>
        <w:trPr>
          <w:cantSplit/>
        </w:trPr>
        <w:tc>
          <w:tcPr>
            <w:tcW w:w="871" w:type="dxa"/>
            <w:tcBorders>
              <w:top w:val="single" w:sz="4" w:space="0" w:color="auto"/>
              <w:left w:val="single" w:sz="4" w:space="0" w:color="auto"/>
            </w:tcBorders>
          </w:tcPr>
          <w:p w14:paraId="7374FC88" w14:textId="77777777" w:rsidR="00711444" w:rsidRPr="004D0DAA" w:rsidRDefault="00711444" w:rsidP="00AA2A4C"/>
        </w:tc>
        <w:tc>
          <w:tcPr>
            <w:tcW w:w="624" w:type="dxa"/>
            <w:tcBorders>
              <w:top w:val="single" w:sz="4" w:space="0" w:color="auto"/>
            </w:tcBorders>
          </w:tcPr>
          <w:p w14:paraId="6A08D64E" w14:textId="77777777" w:rsidR="00711444" w:rsidRPr="004D0DAA" w:rsidRDefault="00711444" w:rsidP="00AA2A4C"/>
        </w:tc>
        <w:tc>
          <w:tcPr>
            <w:tcW w:w="624" w:type="dxa"/>
            <w:tcBorders>
              <w:top w:val="single" w:sz="4" w:space="0" w:color="auto"/>
            </w:tcBorders>
          </w:tcPr>
          <w:p w14:paraId="70125390" w14:textId="77777777" w:rsidR="00711444" w:rsidRPr="004D0DAA" w:rsidRDefault="00711444" w:rsidP="00AA2A4C"/>
        </w:tc>
        <w:tc>
          <w:tcPr>
            <w:tcW w:w="624" w:type="dxa"/>
            <w:tcBorders>
              <w:top w:val="single" w:sz="4" w:space="0" w:color="auto"/>
            </w:tcBorders>
          </w:tcPr>
          <w:p w14:paraId="0A1CA45E" w14:textId="77777777" w:rsidR="00711444" w:rsidRPr="004D0DAA" w:rsidRDefault="00711444" w:rsidP="00AA2A4C"/>
        </w:tc>
        <w:tc>
          <w:tcPr>
            <w:tcW w:w="624" w:type="dxa"/>
            <w:tcBorders>
              <w:top w:val="single" w:sz="4" w:space="0" w:color="auto"/>
            </w:tcBorders>
          </w:tcPr>
          <w:p w14:paraId="07DA50BE" w14:textId="77777777" w:rsidR="00711444" w:rsidRPr="004D0DAA" w:rsidRDefault="00711444" w:rsidP="00AA2A4C"/>
        </w:tc>
        <w:tc>
          <w:tcPr>
            <w:tcW w:w="624" w:type="dxa"/>
            <w:tcBorders>
              <w:top w:val="single" w:sz="4" w:space="0" w:color="auto"/>
            </w:tcBorders>
          </w:tcPr>
          <w:p w14:paraId="5D582B0A" w14:textId="77777777" w:rsidR="00711444" w:rsidRPr="004D0DAA" w:rsidRDefault="00711444" w:rsidP="00AA2A4C"/>
        </w:tc>
        <w:tc>
          <w:tcPr>
            <w:tcW w:w="624" w:type="dxa"/>
            <w:tcBorders>
              <w:top w:val="single" w:sz="4" w:space="0" w:color="auto"/>
            </w:tcBorders>
          </w:tcPr>
          <w:p w14:paraId="1A780A4F" w14:textId="77777777" w:rsidR="00711444" w:rsidRPr="004D0DAA" w:rsidRDefault="00711444" w:rsidP="00AA2A4C"/>
        </w:tc>
        <w:tc>
          <w:tcPr>
            <w:tcW w:w="624" w:type="dxa"/>
            <w:tcBorders>
              <w:top w:val="single" w:sz="4" w:space="0" w:color="auto"/>
              <w:right w:val="single" w:sz="4" w:space="0" w:color="auto"/>
            </w:tcBorders>
          </w:tcPr>
          <w:p w14:paraId="0A302CDA" w14:textId="77777777" w:rsidR="00711444" w:rsidRPr="004D0DAA" w:rsidRDefault="00711444" w:rsidP="00AA2A4C"/>
        </w:tc>
        <w:tc>
          <w:tcPr>
            <w:tcW w:w="1574" w:type="dxa"/>
            <w:tcBorders>
              <w:left w:val="single" w:sz="4" w:space="0" w:color="auto"/>
              <w:right w:val="single" w:sz="4" w:space="0" w:color="auto"/>
            </w:tcBorders>
          </w:tcPr>
          <w:p w14:paraId="75356ADA" w14:textId="77777777" w:rsidR="00711444" w:rsidRPr="004D0DAA" w:rsidRDefault="00711444" w:rsidP="00AA2A4C">
            <w:pPr>
              <w:pStyle w:val="TAC"/>
              <w:rPr>
                <w:lang w:eastAsia="en-US"/>
              </w:rPr>
            </w:pPr>
            <w:r w:rsidRPr="004D0DAA">
              <w:rPr>
                <w:lang w:eastAsia="en-US"/>
              </w:rPr>
              <w:t>Octet 2</w:t>
            </w:r>
          </w:p>
        </w:tc>
        <w:tc>
          <w:tcPr>
            <w:tcW w:w="1620" w:type="dxa"/>
            <w:tcBorders>
              <w:top w:val="single" w:sz="4" w:space="0" w:color="auto"/>
              <w:left w:val="single" w:sz="4" w:space="0" w:color="auto"/>
              <w:right w:val="single" w:sz="4" w:space="0" w:color="auto"/>
            </w:tcBorders>
          </w:tcPr>
          <w:p w14:paraId="1D512E39" w14:textId="77777777" w:rsidR="00711444" w:rsidRPr="004D0DAA" w:rsidRDefault="00711444" w:rsidP="00AA2A4C">
            <w:pPr>
              <w:pStyle w:val="TAC"/>
              <w:rPr>
                <w:lang w:eastAsia="en-US"/>
              </w:rPr>
            </w:pPr>
            <w:r w:rsidRPr="004D0DAA">
              <w:rPr>
                <w:lang w:eastAsia="en-US"/>
              </w:rPr>
              <w:t xml:space="preserve"> LLC PDU 1</w:t>
            </w:r>
          </w:p>
        </w:tc>
      </w:tr>
      <w:tr w:rsidR="00711444" w:rsidRPr="004D0DAA" w14:paraId="0F400517" w14:textId="77777777" w:rsidTr="00AA2A4C">
        <w:tblPrEx>
          <w:tblCellMar>
            <w:top w:w="0" w:type="dxa"/>
            <w:bottom w:w="0" w:type="dxa"/>
          </w:tblCellMar>
        </w:tblPrEx>
        <w:trPr>
          <w:cantSplit/>
        </w:trPr>
        <w:tc>
          <w:tcPr>
            <w:tcW w:w="5239" w:type="dxa"/>
            <w:gridSpan w:val="8"/>
            <w:tcBorders>
              <w:left w:val="single" w:sz="4" w:space="0" w:color="auto"/>
              <w:right w:val="single" w:sz="4" w:space="0" w:color="auto"/>
            </w:tcBorders>
          </w:tcPr>
          <w:p w14:paraId="633BCC7F" w14:textId="77777777" w:rsidR="00711444" w:rsidRPr="004D0DAA" w:rsidRDefault="00711444" w:rsidP="00AA2A4C">
            <w:pPr>
              <w:pStyle w:val="TAC"/>
              <w:rPr>
                <w:lang w:eastAsia="en-US"/>
              </w:rPr>
            </w:pPr>
            <w:r w:rsidRPr="004D0DAA">
              <w:rPr>
                <w:lang w:eastAsia="en-US"/>
              </w:rPr>
              <w:br/>
              <w:t xml:space="preserve">LLC PDU 1 </w:t>
            </w:r>
          </w:p>
        </w:tc>
        <w:tc>
          <w:tcPr>
            <w:tcW w:w="1574" w:type="dxa"/>
            <w:tcBorders>
              <w:left w:val="single" w:sz="4" w:space="0" w:color="auto"/>
              <w:right w:val="single" w:sz="4" w:space="0" w:color="auto"/>
            </w:tcBorders>
          </w:tcPr>
          <w:p w14:paraId="0821149C" w14:textId="77777777" w:rsidR="00711444" w:rsidRPr="004D0DAA" w:rsidRDefault="00711444" w:rsidP="00AA2A4C">
            <w:pPr>
              <w:pStyle w:val="TAC"/>
              <w:rPr>
                <w:lang w:eastAsia="en-US"/>
              </w:rPr>
            </w:pPr>
            <w:r w:rsidRPr="004D0DAA">
              <w:rPr>
                <w:lang w:eastAsia="en-US"/>
              </w:rPr>
              <w:t>.</w:t>
            </w:r>
          </w:p>
          <w:p w14:paraId="78204A6F" w14:textId="77777777" w:rsidR="00711444" w:rsidRPr="004D0DAA" w:rsidRDefault="00711444" w:rsidP="00AA2A4C">
            <w:pPr>
              <w:pStyle w:val="TAC"/>
              <w:rPr>
                <w:lang w:eastAsia="en-US"/>
              </w:rPr>
            </w:pPr>
            <w:r w:rsidRPr="004D0DAA">
              <w:rPr>
                <w:lang w:eastAsia="en-US"/>
              </w:rPr>
              <w:t>.</w:t>
            </w:r>
          </w:p>
          <w:p w14:paraId="09D47326" w14:textId="77777777" w:rsidR="00711444" w:rsidRPr="004D0DAA" w:rsidRDefault="00711444" w:rsidP="00AA2A4C">
            <w:pPr>
              <w:pStyle w:val="TAC"/>
              <w:rPr>
                <w:lang w:eastAsia="en-US"/>
              </w:rPr>
            </w:pPr>
            <w:r w:rsidRPr="004D0DAA">
              <w:rPr>
                <w:lang w:eastAsia="en-US"/>
              </w:rPr>
              <w:t>.</w:t>
            </w:r>
          </w:p>
        </w:tc>
        <w:tc>
          <w:tcPr>
            <w:tcW w:w="1620" w:type="dxa"/>
            <w:tcBorders>
              <w:left w:val="single" w:sz="4" w:space="0" w:color="auto"/>
              <w:right w:val="single" w:sz="4" w:space="0" w:color="auto"/>
            </w:tcBorders>
          </w:tcPr>
          <w:p w14:paraId="36521ECB" w14:textId="77777777" w:rsidR="00711444" w:rsidRPr="004D0DAA" w:rsidRDefault="00711444" w:rsidP="00AA2A4C">
            <w:pPr>
              <w:pStyle w:val="TAC"/>
              <w:rPr>
                <w:lang w:eastAsia="en-US"/>
              </w:rPr>
            </w:pPr>
          </w:p>
          <w:p w14:paraId="07742F1C" w14:textId="77777777" w:rsidR="00711444" w:rsidRPr="004D0DAA" w:rsidRDefault="00711444" w:rsidP="00AA2A4C">
            <w:pPr>
              <w:pStyle w:val="TAC"/>
              <w:rPr>
                <w:lang w:eastAsia="en-US"/>
              </w:rPr>
            </w:pPr>
          </w:p>
        </w:tc>
      </w:tr>
      <w:tr w:rsidR="00711444" w:rsidRPr="004D0DAA" w14:paraId="2DD0B02A" w14:textId="77777777" w:rsidTr="00AA2A4C">
        <w:tblPrEx>
          <w:tblCellMar>
            <w:top w:w="0" w:type="dxa"/>
            <w:bottom w:w="0" w:type="dxa"/>
          </w:tblCellMar>
        </w:tblPrEx>
        <w:trPr>
          <w:cantSplit/>
          <w:trHeight w:val="135"/>
        </w:trPr>
        <w:tc>
          <w:tcPr>
            <w:tcW w:w="871" w:type="dxa"/>
            <w:tcBorders>
              <w:left w:val="single" w:sz="4" w:space="0" w:color="auto"/>
              <w:bottom w:val="single" w:sz="6" w:space="0" w:color="auto"/>
            </w:tcBorders>
          </w:tcPr>
          <w:p w14:paraId="260FF483" w14:textId="77777777" w:rsidR="00711444" w:rsidRPr="004D0DAA" w:rsidRDefault="00711444" w:rsidP="00AA2A4C"/>
        </w:tc>
        <w:tc>
          <w:tcPr>
            <w:tcW w:w="624" w:type="dxa"/>
            <w:tcBorders>
              <w:bottom w:val="single" w:sz="6" w:space="0" w:color="auto"/>
            </w:tcBorders>
          </w:tcPr>
          <w:p w14:paraId="4D23FF0F" w14:textId="77777777" w:rsidR="00711444" w:rsidRPr="004D0DAA" w:rsidRDefault="00711444" w:rsidP="00AA2A4C"/>
        </w:tc>
        <w:tc>
          <w:tcPr>
            <w:tcW w:w="624" w:type="dxa"/>
            <w:tcBorders>
              <w:bottom w:val="single" w:sz="6" w:space="0" w:color="auto"/>
            </w:tcBorders>
          </w:tcPr>
          <w:p w14:paraId="78FCC880" w14:textId="77777777" w:rsidR="00711444" w:rsidRPr="004D0DAA" w:rsidRDefault="00711444" w:rsidP="00AA2A4C"/>
        </w:tc>
        <w:tc>
          <w:tcPr>
            <w:tcW w:w="624" w:type="dxa"/>
            <w:tcBorders>
              <w:bottom w:val="single" w:sz="6" w:space="0" w:color="auto"/>
            </w:tcBorders>
          </w:tcPr>
          <w:p w14:paraId="14A4BF7A" w14:textId="77777777" w:rsidR="00711444" w:rsidRPr="004D0DAA" w:rsidRDefault="00711444" w:rsidP="00AA2A4C"/>
        </w:tc>
        <w:tc>
          <w:tcPr>
            <w:tcW w:w="624" w:type="dxa"/>
            <w:tcBorders>
              <w:bottom w:val="single" w:sz="6" w:space="0" w:color="auto"/>
            </w:tcBorders>
          </w:tcPr>
          <w:p w14:paraId="0F52713B" w14:textId="77777777" w:rsidR="00711444" w:rsidRPr="004D0DAA" w:rsidRDefault="00711444" w:rsidP="00AA2A4C"/>
        </w:tc>
        <w:tc>
          <w:tcPr>
            <w:tcW w:w="624" w:type="dxa"/>
            <w:tcBorders>
              <w:bottom w:val="single" w:sz="6" w:space="0" w:color="auto"/>
            </w:tcBorders>
          </w:tcPr>
          <w:p w14:paraId="68CEA9F7" w14:textId="77777777" w:rsidR="00711444" w:rsidRPr="004D0DAA" w:rsidRDefault="00711444" w:rsidP="00AA2A4C"/>
        </w:tc>
        <w:tc>
          <w:tcPr>
            <w:tcW w:w="624" w:type="dxa"/>
            <w:tcBorders>
              <w:bottom w:val="single" w:sz="6" w:space="0" w:color="auto"/>
            </w:tcBorders>
          </w:tcPr>
          <w:p w14:paraId="5B5B5826" w14:textId="77777777" w:rsidR="00711444" w:rsidRPr="004D0DAA" w:rsidRDefault="00711444" w:rsidP="00AA2A4C"/>
        </w:tc>
        <w:tc>
          <w:tcPr>
            <w:tcW w:w="624" w:type="dxa"/>
            <w:tcBorders>
              <w:bottom w:val="single" w:sz="6" w:space="0" w:color="auto"/>
              <w:right w:val="single" w:sz="4" w:space="0" w:color="auto"/>
            </w:tcBorders>
          </w:tcPr>
          <w:p w14:paraId="5A518777" w14:textId="77777777" w:rsidR="00711444" w:rsidRPr="004D0DAA" w:rsidRDefault="00711444" w:rsidP="00AA2A4C"/>
        </w:tc>
        <w:tc>
          <w:tcPr>
            <w:tcW w:w="1574" w:type="dxa"/>
            <w:tcBorders>
              <w:left w:val="single" w:sz="4" w:space="0" w:color="auto"/>
              <w:bottom w:val="single" w:sz="6" w:space="0" w:color="FFFFFF"/>
              <w:right w:val="single" w:sz="4" w:space="0" w:color="auto"/>
            </w:tcBorders>
          </w:tcPr>
          <w:p w14:paraId="04C6BC06" w14:textId="77777777" w:rsidR="00711444" w:rsidRPr="004D0DAA" w:rsidRDefault="00711444" w:rsidP="00AA2A4C">
            <w:pPr>
              <w:pStyle w:val="TAC"/>
              <w:rPr>
                <w:lang w:eastAsia="en-US"/>
              </w:rPr>
            </w:pPr>
            <w:r w:rsidRPr="004D0DAA">
              <w:rPr>
                <w:lang w:eastAsia="en-US"/>
              </w:rPr>
              <w:t>Octet N2</w:t>
            </w:r>
          </w:p>
        </w:tc>
        <w:tc>
          <w:tcPr>
            <w:tcW w:w="1620" w:type="dxa"/>
            <w:tcBorders>
              <w:left w:val="single" w:sz="4" w:space="0" w:color="auto"/>
              <w:bottom w:val="single" w:sz="4" w:space="0" w:color="auto"/>
              <w:right w:val="single" w:sz="4" w:space="0" w:color="auto"/>
            </w:tcBorders>
          </w:tcPr>
          <w:p w14:paraId="5727D2D9" w14:textId="77777777" w:rsidR="00711444" w:rsidRPr="004D0DAA" w:rsidRDefault="00711444" w:rsidP="00AA2A4C">
            <w:pPr>
              <w:pStyle w:val="TAC"/>
              <w:rPr>
                <w:lang w:eastAsia="en-US"/>
              </w:rPr>
            </w:pPr>
          </w:p>
        </w:tc>
      </w:tr>
    </w:tbl>
    <w:p w14:paraId="3A031339" w14:textId="77777777" w:rsidR="00711444" w:rsidRPr="004D0DAA" w:rsidRDefault="00711444" w:rsidP="00711444">
      <w:pPr>
        <w:pStyle w:val="NF"/>
      </w:pPr>
    </w:p>
    <w:p w14:paraId="230554FD" w14:textId="77777777" w:rsidR="00711444" w:rsidRPr="004D0DAA" w:rsidRDefault="00711444" w:rsidP="00711444">
      <w:pPr>
        <w:pStyle w:val="TF"/>
        <w:keepLines w:val="0"/>
      </w:pPr>
      <w:r w:rsidRPr="004D0DAA">
        <w:t>Figure B.10: Example for the case when a LLC PDU fills the RLC data block precisely.</w:t>
      </w:r>
    </w:p>
    <w:p w14:paraId="1E9A3B3D" w14:textId="77777777" w:rsidR="00711444" w:rsidRPr="004D0DAA" w:rsidRDefault="00711444" w:rsidP="00711444">
      <w:pPr>
        <w:pStyle w:val="Heading3"/>
        <w:ind w:left="0" w:firstLine="0"/>
        <w:rPr>
          <w:rFonts w:cs="Arial"/>
        </w:rPr>
      </w:pPr>
      <w:r w:rsidRPr="004D0DAA">
        <w:rPr>
          <w:rFonts w:cs="Arial"/>
        </w:rPr>
        <w:br w:type="page"/>
      </w:r>
      <w:bookmarkStart w:id="892" w:name="_Toc516670065"/>
      <w:r w:rsidRPr="004D0DAA">
        <w:rPr>
          <w:rFonts w:cs="Arial"/>
        </w:rPr>
        <w:lastRenderedPageBreak/>
        <w:t>B.8.4</w:t>
      </w:r>
      <w:r w:rsidRPr="004D0DAA">
        <w:rPr>
          <w:rFonts w:cs="Arial"/>
        </w:rPr>
        <w:tab/>
        <w:t>Example 4</w:t>
      </w:r>
      <w:bookmarkEnd w:id="892"/>
    </w:p>
    <w:p w14:paraId="1DDF5806" w14:textId="77777777" w:rsidR="00711444" w:rsidRPr="004D0DAA" w:rsidRDefault="00711444" w:rsidP="00711444">
      <w:r w:rsidRPr="004D0DAA">
        <w:t>Figure B.11 shows 2 RLC blocks of a TBF during RLC non-persistent mode of operation. When an LLC PDU ends in the previous RLC data block, a length indicator with value=126 is added in the next in sequence RLC data block to indicate the start of the next LLC PDU.</w:t>
      </w:r>
    </w:p>
    <w:tbl>
      <w:tblPr>
        <w:tblW w:w="8507"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48ABBC61" w14:textId="77777777" w:rsidTr="00AA2A4C">
        <w:tblPrEx>
          <w:tblCellMar>
            <w:top w:w="0" w:type="dxa"/>
            <w:bottom w:w="0" w:type="dxa"/>
          </w:tblCellMar>
        </w:tblPrEx>
        <w:trPr>
          <w:cantSplit/>
        </w:trPr>
        <w:tc>
          <w:tcPr>
            <w:tcW w:w="5239" w:type="dxa"/>
            <w:gridSpan w:val="8"/>
          </w:tcPr>
          <w:p w14:paraId="1C408EE3" w14:textId="77777777" w:rsidR="00711444" w:rsidRPr="004D0DAA" w:rsidRDefault="00711444" w:rsidP="00AA2A4C">
            <w:pPr>
              <w:pStyle w:val="TAC"/>
              <w:rPr>
                <w:lang w:eastAsia="en-US"/>
              </w:rPr>
            </w:pPr>
            <w:r w:rsidRPr="004D0DAA">
              <w:rPr>
                <w:lang w:eastAsia="en-US"/>
              </w:rPr>
              <w:t>RLC Block with BSN=N (mod SNS)</w:t>
            </w:r>
          </w:p>
        </w:tc>
        <w:tc>
          <w:tcPr>
            <w:tcW w:w="1701" w:type="dxa"/>
          </w:tcPr>
          <w:p w14:paraId="73B6507C" w14:textId="77777777" w:rsidR="00711444" w:rsidRPr="004D0DAA" w:rsidRDefault="00711444" w:rsidP="00AA2A4C"/>
        </w:tc>
        <w:tc>
          <w:tcPr>
            <w:tcW w:w="1567" w:type="dxa"/>
          </w:tcPr>
          <w:p w14:paraId="343AA3D4" w14:textId="77777777" w:rsidR="00711444" w:rsidRPr="004D0DAA" w:rsidRDefault="00711444" w:rsidP="00AA2A4C">
            <w:pPr>
              <w:pStyle w:val="TAC"/>
              <w:rPr>
                <w:lang w:eastAsia="en-US"/>
              </w:rPr>
            </w:pPr>
          </w:p>
        </w:tc>
      </w:tr>
      <w:tr w:rsidR="00711444" w:rsidRPr="004D0DAA" w14:paraId="7AEDD9E6" w14:textId="77777777" w:rsidTr="00AA2A4C">
        <w:tblPrEx>
          <w:tblCellMar>
            <w:top w:w="0" w:type="dxa"/>
            <w:bottom w:w="0" w:type="dxa"/>
          </w:tblCellMar>
        </w:tblPrEx>
        <w:trPr>
          <w:cantSplit/>
        </w:trPr>
        <w:tc>
          <w:tcPr>
            <w:tcW w:w="5239" w:type="dxa"/>
            <w:gridSpan w:val="8"/>
          </w:tcPr>
          <w:p w14:paraId="7F66B033" w14:textId="77777777" w:rsidR="00711444" w:rsidRPr="004D0DAA" w:rsidRDefault="00711444" w:rsidP="00AA2A4C">
            <w:pPr>
              <w:pStyle w:val="TAC"/>
              <w:rPr>
                <w:lang w:eastAsia="en-US"/>
              </w:rPr>
            </w:pPr>
            <w:r w:rsidRPr="004D0DAA">
              <w:rPr>
                <w:lang w:eastAsia="en-US"/>
              </w:rPr>
              <w:t>Bit</w:t>
            </w:r>
          </w:p>
        </w:tc>
        <w:tc>
          <w:tcPr>
            <w:tcW w:w="1701" w:type="dxa"/>
          </w:tcPr>
          <w:p w14:paraId="21828200" w14:textId="77777777" w:rsidR="00711444" w:rsidRPr="004D0DAA" w:rsidRDefault="00711444" w:rsidP="00AA2A4C"/>
        </w:tc>
        <w:tc>
          <w:tcPr>
            <w:tcW w:w="1567" w:type="dxa"/>
          </w:tcPr>
          <w:p w14:paraId="26C1FC04" w14:textId="77777777" w:rsidR="00711444" w:rsidRPr="004D0DAA" w:rsidRDefault="00711444" w:rsidP="00AA2A4C">
            <w:pPr>
              <w:pStyle w:val="TAC"/>
              <w:rPr>
                <w:lang w:eastAsia="en-US"/>
              </w:rPr>
            </w:pPr>
          </w:p>
        </w:tc>
      </w:tr>
      <w:tr w:rsidR="00711444" w:rsidRPr="004D0DAA" w14:paraId="15709DA6" w14:textId="77777777" w:rsidTr="00AA2A4C">
        <w:tblPrEx>
          <w:tblCellMar>
            <w:top w:w="0" w:type="dxa"/>
            <w:bottom w:w="0" w:type="dxa"/>
          </w:tblCellMar>
        </w:tblPrEx>
        <w:trPr>
          <w:cantSplit/>
        </w:trPr>
        <w:tc>
          <w:tcPr>
            <w:tcW w:w="871" w:type="dxa"/>
          </w:tcPr>
          <w:p w14:paraId="11CD5274" w14:textId="77777777" w:rsidR="00711444" w:rsidRPr="004D0DAA" w:rsidRDefault="00711444" w:rsidP="00AA2A4C">
            <w:pPr>
              <w:pStyle w:val="TAC"/>
              <w:rPr>
                <w:lang w:eastAsia="en-US"/>
              </w:rPr>
            </w:pPr>
            <w:r w:rsidRPr="004D0DAA">
              <w:rPr>
                <w:lang w:eastAsia="en-US"/>
              </w:rPr>
              <w:t>8</w:t>
            </w:r>
          </w:p>
        </w:tc>
        <w:tc>
          <w:tcPr>
            <w:tcW w:w="624" w:type="dxa"/>
          </w:tcPr>
          <w:p w14:paraId="0CE0F666" w14:textId="77777777" w:rsidR="00711444" w:rsidRPr="004D0DAA" w:rsidRDefault="00711444" w:rsidP="00AA2A4C">
            <w:pPr>
              <w:pStyle w:val="TAC"/>
              <w:rPr>
                <w:lang w:eastAsia="en-US"/>
              </w:rPr>
            </w:pPr>
            <w:r w:rsidRPr="004D0DAA">
              <w:rPr>
                <w:lang w:eastAsia="en-US"/>
              </w:rPr>
              <w:t>7</w:t>
            </w:r>
          </w:p>
        </w:tc>
        <w:tc>
          <w:tcPr>
            <w:tcW w:w="624" w:type="dxa"/>
          </w:tcPr>
          <w:p w14:paraId="2D595AC2" w14:textId="77777777" w:rsidR="00711444" w:rsidRPr="004D0DAA" w:rsidRDefault="00711444" w:rsidP="00AA2A4C">
            <w:pPr>
              <w:pStyle w:val="TAC"/>
              <w:rPr>
                <w:lang w:eastAsia="en-US"/>
              </w:rPr>
            </w:pPr>
            <w:r w:rsidRPr="004D0DAA">
              <w:rPr>
                <w:lang w:eastAsia="en-US"/>
              </w:rPr>
              <w:t>6</w:t>
            </w:r>
          </w:p>
        </w:tc>
        <w:tc>
          <w:tcPr>
            <w:tcW w:w="624" w:type="dxa"/>
          </w:tcPr>
          <w:p w14:paraId="57FB84B0" w14:textId="77777777" w:rsidR="00711444" w:rsidRPr="004D0DAA" w:rsidRDefault="00711444" w:rsidP="00AA2A4C">
            <w:pPr>
              <w:pStyle w:val="TAC"/>
              <w:rPr>
                <w:lang w:eastAsia="en-US"/>
              </w:rPr>
            </w:pPr>
            <w:r w:rsidRPr="004D0DAA">
              <w:rPr>
                <w:lang w:eastAsia="en-US"/>
              </w:rPr>
              <w:t>5</w:t>
            </w:r>
          </w:p>
        </w:tc>
        <w:tc>
          <w:tcPr>
            <w:tcW w:w="624" w:type="dxa"/>
          </w:tcPr>
          <w:p w14:paraId="671E4753" w14:textId="77777777" w:rsidR="00711444" w:rsidRPr="004D0DAA" w:rsidRDefault="00711444" w:rsidP="00AA2A4C">
            <w:pPr>
              <w:pStyle w:val="TAC"/>
              <w:rPr>
                <w:lang w:eastAsia="en-US"/>
              </w:rPr>
            </w:pPr>
            <w:r w:rsidRPr="004D0DAA">
              <w:rPr>
                <w:lang w:eastAsia="en-US"/>
              </w:rPr>
              <w:t>4</w:t>
            </w:r>
          </w:p>
        </w:tc>
        <w:tc>
          <w:tcPr>
            <w:tcW w:w="624" w:type="dxa"/>
          </w:tcPr>
          <w:p w14:paraId="0FA330DE"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029675D7" w14:textId="77777777" w:rsidR="00711444" w:rsidRPr="004D0DAA" w:rsidRDefault="00711444" w:rsidP="00AA2A4C">
            <w:pPr>
              <w:pStyle w:val="TAC"/>
              <w:rPr>
                <w:lang w:eastAsia="en-US"/>
              </w:rPr>
            </w:pPr>
            <w:r w:rsidRPr="004D0DAA">
              <w:rPr>
                <w:lang w:eastAsia="en-US"/>
              </w:rPr>
              <w:t>2</w:t>
            </w:r>
          </w:p>
        </w:tc>
        <w:tc>
          <w:tcPr>
            <w:tcW w:w="624" w:type="dxa"/>
          </w:tcPr>
          <w:p w14:paraId="61336DA1" w14:textId="77777777" w:rsidR="00711444" w:rsidRPr="004D0DAA" w:rsidRDefault="00711444" w:rsidP="00AA2A4C">
            <w:pPr>
              <w:pStyle w:val="TAC"/>
              <w:rPr>
                <w:lang w:eastAsia="en-US"/>
              </w:rPr>
            </w:pPr>
            <w:r w:rsidRPr="004D0DAA">
              <w:rPr>
                <w:lang w:eastAsia="en-US"/>
              </w:rPr>
              <w:t>1</w:t>
            </w:r>
          </w:p>
        </w:tc>
        <w:tc>
          <w:tcPr>
            <w:tcW w:w="1701" w:type="dxa"/>
          </w:tcPr>
          <w:p w14:paraId="0D019FFF" w14:textId="77777777" w:rsidR="00711444" w:rsidRPr="004D0DAA" w:rsidRDefault="00711444" w:rsidP="00AA2A4C"/>
        </w:tc>
        <w:tc>
          <w:tcPr>
            <w:tcW w:w="1567" w:type="dxa"/>
          </w:tcPr>
          <w:p w14:paraId="1263B056" w14:textId="77777777" w:rsidR="00711444" w:rsidRPr="004D0DAA" w:rsidRDefault="00711444" w:rsidP="00AA2A4C">
            <w:pPr>
              <w:pStyle w:val="TAC"/>
              <w:rPr>
                <w:lang w:eastAsia="en-US"/>
              </w:rPr>
            </w:pPr>
          </w:p>
        </w:tc>
      </w:tr>
      <w:tr w:rsidR="00711444" w:rsidRPr="004D0DAA" w14:paraId="6DB2C76E"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1C5CAAF2" w14:textId="77777777" w:rsidR="00711444" w:rsidRPr="004D0DAA" w:rsidRDefault="00711444" w:rsidP="00AA2A4C"/>
        </w:tc>
        <w:tc>
          <w:tcPr>
            <w:tcW w:w="624" w:type="dxa"/>
            <w:tcBorders>
              <w:top w:val="single" w:sz="6" w:space="0" w:color="auto"/>
            </w:tcBorders>
          </w:tcPr>
          <w:p w14:paraId="2A16BDE3" w14:textId="77777777" w:rsidR="00711444" w:rsidRPr="004D0DAA" w:rsidRDefault="00711444" w:rsidP="00AA2A4C"/>
        </w:tc>
        <w:tc>
          <w:tcPr>
            <w:tcW w:w="624" w:type="dxa"/>
            <w:tcBorders>
              <w:top w:val="single" w:sz="6" w:space="0" w:color="auto"/>
            </w:tcBorders>
          </w:tcPr>
          <w:p w14:paraId="457F7B3E" w14:textId="77777777" w:rsidR="00711444" w:rsidRPr="004D0DAA" w:rsidRDefault="00711444" w:rsidP="00AA2A4C"/>
        </w:tc>
        <w:tc>
          <w:tcPr>
            <w:tcW w:w="624" w:type="dxa"/>
            <w:tcBorders>
              <w:top w:val="single" w:sz="6" w:space="0" w:color="auto"/>
            </w:tcBorders>
          </w:tcPr>
          <w:p w14:paraId="46A7C1D4" w14:textId="77777777" w:rsidR="00711444" w:rsidRPr="004D0DAA" w:rsidRDefault="00711444" w:rsidP="00AA2A4C"/>
        </w:tc>
        <w:tc>
          <w:tcPr>
            <w:tcW w:w="624" w:type="dxa"/>
            <w:tcBorders>
              <w:top w:val="single" w:sz="6" w:space="0" w:color="auto"/>
            </w:tcBorders>
          </w:tcPr>
          <w:p w14:paraId="2CC3C6B9" w14:textId="77777777" w:rsidR="00711444" w:rsidRPr="004D0DAA" w:rsidRDefault="00711444" w:rsidP="00AA2A4C"/>
        </w:tc>
        <w:tc>
          <w:tcPr>
            <w:tcW w:w="624" w:type="dxa"/>
            <w:tcBorders>
              <w:top w:val="single" w:sz="6" w:space="0" w:color="auto"/>
              <w:right w:val="single" w:sz="4" w:space="0" w:color="auto"/>
            </w:tcBorders>
          </w:tcPr>
          <w:p w14:paraId="6DAB5F7A"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627AB4F8"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187D6C6E" w14:textId="77777777" w:rsidR="00711444" w:rsidRPr="004D0DAA" w:rsidRDefault="00711444" w:rsidP="00AA2A4C">
            <w:pPr>
              <w:pStyle w:val="TAC"/>
              <w:rPr>
                <w:lang w:eastAsia="en-US"/>
              </w:rPr>
            </w:pPr>
            <w:r w:rsidRPr="004D0DAA">
              <w:rPr>
                <w:lang w:eastAsia="en-US"/>
              </w:rPr>
              <w:t>E = 0</w:t>
            </w:r>
          </w:p>
        </w:tc>
        <w:tc>
          <w:tcPr>
            <w:tcW w:w="1701" w:type="dxa"/>
          </w:tcPr>
          <w:p w14:paraId="1EB585BD" w14:textId="77777777" w:rsidR="00711444" w:rsidRPr="004D0DAA" w:rsidRDefault="00711444" w:rsidP="00AA2A4C">
            <w:pPr>
              <w:pStyle w:val="TAC"/>
              <w:rPr>
                <w:lang w:eastAsia="en-US"/>
              </w:rPr>
            </w:pPr>
            <w:r w:rsidRPr="004D0DAA">
              <w:rPr>
                <w:lang w:eastAsia="en-US"/>
              </w:rPr>
              <w:t>Octet 1</w:t>
            </w:r>
          </w:p>
        </w:tc>
        <w:tc>
          <w:tcPr>
            <w:tcW w:w="1567" w:type="dxa"/>
          </w:tcPr>
          <w:p w14:paraId="34D86BF8" w14:textId="77777777" w:rsidR="00711444" w:rsidRPr="004D0DAA" w:rsidRDefault="00711444" w:rsidP="00AA2A4C">
            <w:pPr>
              <w:pStyle w:val="TAC"/>
              <w:rPr>
                <w:lang w:eastAsia="en-US"/>
              </w:rPr>
            </w:pPr>
            <w:r w:rsidRPr="004D0DAA">
              <w:rPr>
                <w:lang w:eastAsia="en-US"/>
              </w:rPr>
              <w:t xml:space="preserve"> </w:t>
            </w:r>
          </w:p>
        </w:tc>
      </w:tr>
      <w:tr w:rsidR="00711444" w:rsidRPr="004D0DAA" w14:paraId="5F0D3F91"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7E99CBF5" w14:textId="77777777" w:rsidR="00711444" w:rsidRPr="004D0DAA" w:rsidRDefault="00711444" w:rsidP="00AA2A4C">
            <w:pPr>
              <w:pStyle w:val="TAC"/>
              <w:rPr>
                <w:lang w:eastAsia="en-US"/>
              </w:rPr>
            </w:pPr>
            <w:r w:rsidRPr="004D0DAA">
              <w:rPr>
                <w:lang w:eastAsia="en-US"/>
              </w:rPr>
              <w:t>Length indicator= 7</w:t>
            </w:r>
          </w:p>
        </w:tc>
        <w:tc>
          <w:tcPr>
            <w:tcW w:w="624" w:type="dxa"/>
            <w:tcBorders>
              <w:top w:val="single" w:sz="6" w:space="0" w:color="auto"/>
              <w:left w:val="single" w:sz="6" w:space="0" w:color="auto"/>
              <w:bottom w:val="single" w:sz="6" w:space="0" w:color="auto"/>
              <w:right w:val="single" w:sz="6" w:space="0" w:color="auto"/>
            </w:tcBorders>
          </w:tcPr>
          <w:p w14:paraId="6D325FBA" w14:textId="77777777" w:rsidR="00711444" w:rsidRPr="004D0DAA" w:rsidRDefault="00711444" w:rsidP="00AA2A4C">
            <w:pPr>
              <w:pStyle w:val="TAC"/>
              <w:rPr>
                <w:lang w:eastAsia="en-US"/>
              </w:rPr>
            </w:pPr>
            <w:r w:rsidRPr="004D0DAA">
              <w:rPr>
                <w:lang w:eastAsia="en-US"/>
              </w:rPr>
              <w:t xml:space="preserve"> E =0</w:t>
            </w:r>
          </w:p>
        </w:tc>
        <w:tc>
          <w:tcPr>
            <w:tcW w:w="1701" w:type="dxa"/>
            <w:tcBorders>
              <w:left w:val="single" w:sz="6" w:space="0" w:color="auto"/>
            </w:tcBorders>
          </w:tcPr>
          <w:p w14:paraId="408F47CC" w14:textId="77777777" w:rsidR="00711444" w:rsidRPr="004D0DAA" w:rsidRDefault="00711444" w:rsidP="00AA2A4C">
            <w:pPr>
              <w:pStyle w:val="TAC"/>
              <w:rPr>
                <w:lang w:eastAsia="en-US"/>
              </w:rPr>
            </w:pPr>
            <w:r w:rsidRPr="004D0DAA">
              <w:rPr>
                <w:lang w:eastAsia="en-US"/>
              </w:rPr>
              <w:t>Octet 2</w:t>
            </w:r>
          </w:p>
        </w:tc>
        <w:tc>
          <w:tcPr>
            <w:tcW w:w="1567" w:type="dxa"/>
          </w:tcPr>
          <w:p w14:paraId="53C2463C" w14:textId="77777777" w:rsidR="00711444" w:rsidRPr="004D0DAA" w:rsidRDefault="00711444" w:rsidP="00AA2A4C">
            <w:pPr>
              <w:pStyle w:val="TAC"/>
              <w:rPr>
                <w:lang w:eastAsia="en-US"/>
              </w:rPr>
            </w:pPr>
          </w:p>
        </w:tc>
      </w:tr>
      <w:tr w:rsidR="00711444" w:rsidRPr="004D0DAA" w14:paraId="6B380C7C"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1A4C7A5D" w14:textId="77777777" w:rsidR="00711444" w:rsidRPr="004D0DAA" w:rsidRDefault="00711444" w:rsidP="00AA2A4C">
            <w:pPr>
              <w:pStyle w:val="TAC"/>
              <w:rPr>
                <w:lang w:eastAsia="en-US"/>
              </w:rPr>
            </w:pPr>
            <w:r w:rsidRPr="004D0DAA">
              <w:rPr>
                <w:lang w:eastAsia="en-US"/>
              </w:rPr>
              <w:t>Length indicator= 12</w:t>
            </w:r>
          </w:p>
        </w:tc>
        <w:tc>
          <w:tcPr>
            <w:tcW w:w="624" w:type="dxa"/>
            <w:tcBorders>
              <w:top w:val="single" w:sz="6" w:space="0" w:color="auto"/>
              <w:left w:val="single" w:sz="6" w:space="0" w:color="auto"/>
              <w:bottom w:val="single" w:sz="6" w:space="0" w:color="auto"/>
              <w:right w:val="single" w:sz="6" w:space="0" w:color="auto"/>
            </w:tcBorders>
          </w:tcPr>
          <w:p w14:paraId="02FF0FB7" w14:textId="77777777" w:rsidR="00711444" w:rsidRPr="004D0DAA" w:rsidRDefault="00711444" w:rsidP="00AA2A4C">
            <w:pPr>
              <w:pStyle w:val="TAC"/>
              <w:rPr>
                <w:lang w:eastAsia="en-US"/>
              </w:rPr>
            </w:pPr>
            <w:r w:rsidRPr="004D0DAA">
              <w:rPr>
                <w:lang w:eastAsia="en-US"/>
              </w:rPr>
              <w:t xml:space="preserve"> E =0</w:t>
            </w:r>
          </w:p>
        </w:tc>
        <w:tc>
          <w:tcPr>
            <w:tcW w:w="1701" w:type="dxa"/>
            <w:tcBorders>
              <w:left w:val="single" w:sz="6" w:space="0" w:color="auto"/>
            </w:tcBorders>
          </w:tcPr>
          <w:p w14:paraId="0E0A8F5D" w14:textId="77777777" w:rsidR="00711444" w:rsidRPr="004D0DAA" w:rsidRDefault="00711444" w:rsidP="00AA2A4C">
            <w:pPr>
              <w:pStyle w:val="TAC"/>
              <w:rPr>
                <w:lang w:eastAsia="en-US"/>
              </w:rPr>
            </w:pPr>
            <w:r w:rsidRPr="004D0DAA">
              <w:rPr>
                <w:lang w:eastAsia="en-US"/>
              </w:rPr>
              <w:t>Octet 3</w:t>
            </w:r>
          </w:p>
        </w:tc>
        <w:tc>
          <w:tcPr>
            <w:tcW w:w="1567" w:type="dxa"/>
            <w:tcBorders>
              <w:bottom w:val="single" w:sz="4" w:space="0" w:color="auto"/>
            </w:tcBorders>
          </w:tcPr>
          <w:p w14:paraId="462A98E3" w14:textId="77777777" w:rsidR="00711444" w:rsidRPr="004D0DAA" w:rsidRDefault="00711444" w:rsidP="00AA2A4C">
            <w:pPr>
              <w:pStyle w:val="TAC"/>
              <w:rPr>
                <w:lang w:eastAsia="en-US"/>
              </w:rPr>
            </w:pPr>
          </w:p>
        </w:tc>
      </w:tr>
      <w:tr w:rsidR="00711444" w:rsidRPr="004D0DAA" w14:paraId="3EA5F6AD"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6043F0F3" w14:textId="77777777" w:rsidR="00711444" w:rsidRPr="004D0DAA" w:rsidRDefault="00711444" w:rsidP="00AA2A4C">
            <w:pPr>
              <w:pStyle w:val="TAC"/>
              <w:rPr>
                <w:lang w:eastAsia="en-US"/>
              </w:rPr>
            </w:pPr>
            <w:r w:rsidRPr="004D0DAA">
              <w:rPr>
                <w:lang w:eastAsia="en-US"/>
              </w:rPr>
              <w:t>Length indicator= 127</w:t>
            </w:r>
          </w:p>
        </w:tc>
        <w:tc>
          <w:tcPr>
            <w:tcW w:w="624" w:type="dxa"/>
            <w:tcBorders>
              <w:top w:val="single" w:sz="6" w:space="0" w:color="auto"/>
              <w:left w:val="single" w:sz="6" w:space="0" w:color="auto"/>
              <w:bottom w:val="single" w:sz="6" w:space="0" w:color="auto"/>
              <w:right w:val="single" w:sz="6" w:space="0" w:color="auto"/>
            </w:tcBorders>
          </w:tcPr>
          <w:p w14:paraId="297F7684" w14:textId="77777777" w:rsidR="00711444" w:rsidRPr="004D0DAA" w:rsidRDefault="00711444" w:rsidP="00AA2A4C">
            <w:pPr>
              <w:pStyle w:val="TAC"/>
              <w:rPr>
                <w:lang w:eastAsia="en-US"/>
              </w:rPr>
            </w:pPr>
            <w:r w:rsidRPr="004D0DAA">
              <w:rPr>
                <w:lang w:eastAsia="en-US"/>
              </w:rPr>
              <w:t xml:space="preserve"> E=1</w:t>
            </w:r>
          </w:p>
        </w:tc>
        <w:tc>
          <w:tcPr>
            <w:tcW w:w="1701" w:type="dxa"/>
            <w:tcBorders>
              <w:left w:val="single" w:sz="6" w:space="0" w:color="auto"/>
            </w:tcBorders>
          </w:tcPr>
          <w:p w14:paraId="19F2706F" w14:textId="77777777" w:rsidR="00711444" w:rsidRPr="004D0DAA" w:rsidRDefault="00711444" w:rsidP="00AA2A4C">
            <w:pPr>
              <w:pStyle w:val="TAC"/>
              <w:rPr>
                <w:lang w:eastAsia="en-US"/>
              </w:rPr>
            </w:pPr>
            <w:r w:rsidRPr="004D0DAA">
              <w:rPr>
                <w:lang w:eastAsia="en-US"/>
              </w:rPr>
              <w:t>Octet 4</w:t>
            </w:r>
          </w:p>
        </w:tc>
        <w:tc>
          <w:tcPr>
            <w:tcW w:w="1567" w:type="dxa"/>
            <w:tcBorders>
              <w:bottom w:val="single" w:sz="4" w:space="0" w:color="auto"/>
            </w:tcBorders>
          </w:tcPr>
          <w:p w14:paraId="04D01AEF" w14:textId="77777777" w:rsidR="00711444" w:rsidRPr="004D0DAA" w:rsidRDefault="00711444" w:rsidP="00AA2A4C">
            <w:pPr>
              <w:pStyle w:val="TAC"/>
              <w:rPr>
                <w:lang w:eastAsia="en-US"/>
              </w:rPr>
            </w:pPr>
          </w:p>
        </w:tc>
      </w:tr>
      <w:tr w:rsidR="00711444" w:rsidRPr="004D0DAA" w14:paraId="41A279F4" w14:textId="77777777" w:rsidTr="00AA2A4C">
        <w:tblPrEx>
          <w:tblCellMar>
            <w:top w:w="0" w:type="dxa"/>
            <w:bottom w:w="0" w:type="dxa"/>
          </w:tblCellMar>
        </w:tblPrEx>
        <w:trPr>
          <w:cantSplit/>
        </w:trPr>
        <w:tc>
          <w:tcPr>
            <w:tcW w:w="871" w:type="dxa"/>
            <w:tcBorders>
              <w:left w:val="single" w:sz="6" w:space="0" w:color="auto"/>
            </w:tcBorders>
          </w:tcPr>
          <w:p w14:paraId="7FF518FF" w14:textId="77777777" w:rsidR="00711444" w:rsidRPr="004D0DAA" w:rsidRDefault="00711444" w:rsidP="00AA2A4C"/>
        </w:tc>
        <w:tc>
          <w:tcPr>
            <w:tcW w:w="624" w:type="dxa"/>
          </w:tcPr>
          <w:p w14:paraId="78CCD9C8" w14:textId="77777777" w:rsidR="00711444" w:rsidRPr="004D0DAA" w:rsidRDefault="00711444" w:rsidP="00AA2A4C"/>
        </w:tc>
        <w:tc>
          <w:tcPr>
            <w:tcW w:w="624" w:type="dxa"/>
          </w:tcPr>
          <w:p w14:paraId="65CBC444" w14:textId="77777777" w:rsidR="00711444" w:rsidRPr="004D0DAA" w:rsidRDefault="00711444" w:rsidP="00AA2A4C"/>
        </w:tc>
        <w:tc>
          <w:tcPr>
            <w:tcW w:w="624" w:type="dxa"/>
          </w:tcPr>
          <w:p w14:paraId="55355339" w14:textId="77777777" w:rsidR="00711444" w:rsidRPr="004D0DAA" w:rsidRDefault="00711444" w:rsidP="00AA2A4C"/>
        </w:tc>
        <w:tc>
          <w:tcPr>
            <w:tcW w:w="624" w:type="dxa"/>
          </w:tcPr>
          <w:p w14:paraId="79C68879" w14:textId="77777777" w:rsidR="00711444" w:rsidRPr="004D0DAA" w:rsidRDefault="00711444" w:rsidP="00AA2A4C"/>
        </w:tc>
        <w:tc>
          <w:tcPr>
            <w:tcW w:w="624" w:type="dxa"/>
          </w:tcPr>
          <w:p w14:paraId="506E70D5" w14:textId="77777777" w:rsidR="00711444" w:rsidRPr="004D0DAA" w:rsidRDefault="00711444" w:rsidP="00AA2A4C"/>
        </w:tc>
        <w:tc>
          <w:tcPr>
            <w:tcW w:w="624" w:type="dxa"/>
          </w:tcPr>
          <w:p w14:paraId="37EB845B" w14:textId="77777777" w:rsidR="00711444" w:rsidRPr="004D0DAA" w:rsidRDefault="00711444" w:rsidP="00AA2A4C"/>
        </w:tc>
        <w:tc>
          <w:tcPr>
            <w:tcW w:w="624" w:type="dxa"/>
            <w:tcBorders>
              <w:right w:val="single" w:sz="6" w:space="0" w:color="auto"/>
            </w:tcBorders>
          </w:tcPr>
          <w:p w14:paraId="61415CE4" w14:textId="77777777" w:rsidR="00711444" w:rsidRPr="004D0DAA" w:rsidRDefault="00711444" w:rsidP="00AA2A4C"/>
        </w:tc>
        <w:tc>
          <w:tcPr>
            <w:tcW w:w="1701" w:type="dxa"/>
            <w:tcBorders>
              <w:right w:val="single" w:sz="4" w:space="0" w:color="auto"/>
            </w:tcBorders>
          </w:tcPr>
          <w:p w14:paraId="23957BC2" w14:textId="77777777" w:rsidR="00711444" w:rsidRPr="004D0DAA" w:rsidRDefault="00711444" w:rsidP="00AA2A4C">
            <w:pPr>
              <w:pStyle w:val="TAC"/>
              <w:rPr>
                <w:lang w:eastAsia="en-US"/>
              </w:rPr>
            </w:pPr>
            <w:r w:rsidRPr="004D0DAA">
              <w:rPr>
                <w:lang w:eastAsia="en-US"/>
              </w:rPr>
              <w:t>Octet 5</w:t>
            </w:r>
          </w:p>
        </w:tc>
        <w:tc>
          <w:tcPr>
            <w:tcW w:w="1567" w:type="dxa"/>
            <w:tcBorders>
              <w:top w:val="single" w:sz="4" w:space="0" w:color="auto"/>
              <w:left w:val="single" w:sz="4" w:space="0" w:color="auto"/>
              <w:right w:val="single" w:sz="4" w:space="0" w:color="auto"/>
            </w:tcBorders>
          </w:tcPr>
          <w:p w14:paraId="38B98EA7" w14:textId="77777777" w:rsidR="00711444" w:rsidRPr="004D0DAA" w:rsidRDefault="00711444" w:rsidP="00AA2A4C">
            <w:pPr>
              <w:pStyle w:val="TAC"/>
              <w:rPr>
                <w:lang w:eastAsia="en-US"/>
              </w:rPr>
            </w:pPr>
          </w:p>
        </w:tc>
      </w:tr>
      <w:tr w:rsidR="00711444" w:rsidRPr="004D0DAA" w14:paraId="6EA71688" w14:textId="77777777" w:rsidTr="00AA2A4C">
        <w:tblPrEx>
          <w:tblCellMar>
            <w:top w:w="0" w:type="dxa"/>
            <w:bottom w:w="0" w:type="dxa"/>
          </w:tblCellMar>
        </w:tblPrEx>
        <w:trPr>
          <w:cantSplit/>
        </w:trPr>
        <w:tc>
          <w:tcPr>
            <w:tcW w:w="5239" w:type="dxa"/>
            <w:gridSpan w:val="8"/>
            <w:tcBorders>
              <w:left w:val="single" w:sz="6" w:space="0" w:color="auto"/>
              <w:right w:val="single" w:sz="6" w:space="0" w:color="auto"/>
            </w:tcBorders>
          </w:tcPr>
          <w:p w14:paraId="112D64F4" w14:textId="77777777" w:rsidR="00711444" w:rsidRPr="004D0DAA" w:rsidRDefault="00711444" w:rsidP="00AA2A4C">
            <w:pPr>
              <w:pStyle w:val="TAC"/>
              <w:rPr>
                <w:lang w:eastAsia="en-US"/>
              </w:rPr>
            </w:pPr>
            <w:r w:rsidRPr="004D0DAA">
              <w:rPr>
                <w:lang w:eastAsia="en-US"/>
              </w:rPr>
              <w:br/>
              <w:t xml:space="preserve">LLC PDU J </w:t>
            </w:r>
          </w:p>
        </w:tc>
        <w:tc>
          <w:tcPr>
            <w:tcW w:w="1701" w:type="dxa"/>
            <w:tcBorders>
              <w:right w:val="single" w:sz="4" w:space="0" w:color="auto"/>
            </w:tcBorders>
          </w:tcPr>
          <w:p w14:paraId="158699EB" w14:textId="77777777" w:rsidR="00711444" w:rsidRPr="004D0DAA" w:rsidRDefault="00711444" w:rsidP="00AA2A4C">
            <w:pPr>
              <w:pStyle w:val="TAC"/>
              <w:rPr>
                <w:lang w:eastAsia="en-US"/>
              </w:rPr>
            </w:pPr>
            <w:r w:rsidRPr="004D0DAA">
              <w:rPr>
                <w:lang w:eastAsia="en-US"/>
              </w:rPr>
              <w:t>.</w:t>
            </w:r>
          </w:p>
          <w:p w14:paraId="67CB8577" w14:textId="77777777" w:rsidR="00711444" w:rsidRPr="004D0DAA" w:rsidRDefault="00711444" w:rsidP="00AA2A4C">
            <w:pPr>
              <w:pStyle w:val="TAC"/>
              <w:rPr>
                <w:lang w:eastAsia="en-US"/>
              </w:rPr>
            </w:pPr>
            <w:r w:rsidRPr="004D0DAA">
              <w:rPr>
                <w:lang w:eastAsia="en-US"/>
              </w:rPr>
              <w:t>.</w:t>
            </w:r>
          </w:p>
          <w:p w14:paraId="05CC0FCF"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0087290F" w14:textId="77777777" w:rsidR="00711444" w:rsidRPr="004D0DAA" w:rsidRDefault="00711444" w:rsidP="00AA2A4C">
            <w:pPr>
              <w:pStyle w:val="TAC"/>
              <w:rPr>
                <w:lang w:eastAsia="en-US"/>
              </w:rPr>
            </w:pPr>
          </w:p>
          <w:p w14:paraId="5C3EC20B" w14:textId="77777777" w:rsidR="00711444" w:rsidRPr="004D0DAA" w:rsidRDefault="00711444" w:rsidP="00AA2A4C">
            <w:pPr>
              <w:pStyle w:val="TAC"/>
              <w:rPr>
                <w:lang w:eastAsia="en-US"/>
              </w:rPr>
            </w:pPr>
            <w:r w:rsidRPr="004D0DAA">
              <w:rPr>
                <w:lang w:eastAsia="en-US"/>
              </w:rPr>
              <w:t>LLC PDU J</w:t>
            </w:r>
          </w:p>
        </w:tc>
      </w:tr>
      <w:tr w:rsidR="00711444" w:rsidRPr="004D0DAA" w14:paraId="18D904D6"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1B185259" w14:textId="77777777" w:rsidR="00711444" w:rsidRPr="004D0DAA" w:rsidRDefault="00711444" w:rsidP="00AA2A4C"/>
        </w:tc>
        <w:tc>
          <w:tcPr>
            <w:tcW w:w="624" w:type="dxa"/>
            <w:tcBorders>
              <w:bottom w:val="single" w:sz="6" w:space="0" w:color="auto"/>
            </w:tcBorders>
          </w:tcPr>
          <w:p w14:paraId="0F1BEC63" w14:textId="77777777" w:rsidR="00711444" w:rsidRPr="004D0DAA" w:rsidRDefault="00711444" w:rsidP="00AA2A4C"/>
        </w:tc>
        <w:tc>
          <w:tcPr>
            <w:tcW w:w="624" w:type="dxa"/>
            <w:tcBorders>
              <w:bottom w:val="single" w:sz="6" w:space="0" w:color="auto"/>
            </w:tcBorders>
          </w:tcPr>
          <w:p w14:paraId="3D485374" w14:textId="77777777" w:rsidR="00711444" w:rsidRPr="004D0DAA" w:rsidRDefault="00711444" w:rsidP="00AA2A4C"/>
        </w:tc>
        <w:tc>
          <w:tcPr>
            <w:tcW w:w="624" w:type="dxa"/>
            <w:tcBorders>
              <w:bottom w:val="single" w:sz="6" w:space="0" w:color="auto"/>
            </w:tcBorders>
          </w:tcPr>
          <w:p w14:paraId="1AB6598B" w14:textId="77777777" w:rsidR="00711444" w:rsidRPr="004D0DAA" w:rsidRDefault="00711444" w:rsidP="00AA2A4C"/>
        </w:tc>
        <w:tc>
          <w:tcPr>
            <w:tcW w:w="624" w:type="dxa"/>
            <w:tcBorders>
              <w:bottom w:val="single" w:sz="6" w:space="0" w:color="auto"/>
            </w:tcBorders>
          </w:tcPr>
          <w:p w14:paraId="6095D926" w14:textId="77777777" w:rsidR="00711444" w:rsidRPr="004D0DAA" w:rsidRDefault="00711444" w:rsidP="00AA2A4C"/>
        </w:tc>
        <w:tc>
          <w:tcPr>
            <w:tcW w:w="624" w:type="dxa"/>
            <w:tcBorders>
              <w:bottom w:val="single" w:sz="6" w:space="0" w:color="auto"/>
            </w:tcBorders>
          </w:tcPr>
          <w:p w14:paraId="6FB874B9" w14:textId="77777777" w:rsidR="00711444" w:rsidRPr="004D0DAA" w:rsidRDefault="00711444" w:rsidP="00AA2A4C"/>
        </w:tc>
        <w:tc>
          <w:tcPr>
            <w:tcW w:w="624" w:type="dxa"/>
            <w:tcBorders>
              <w:bottom w:val="single" w:sz="6" w:space="0" w:color="auto"/>
            </w:tcBorders>
          </w:tcPr>
          <w:p w14:paraId="1262C8F5" w14:textId="77777777" w:rsidR="00711444" w:rsidRPr="004D0DAA" w:rsidRDefault="00711444" w:rsidP="00AA2A4C"/>
        </w:tc>
        <w:tc>
          <w:tcPr>
            <w:tcW w:w="624" w:type="dxa"/>
            <w:tcBorders>
              <w:bottom w:val="single" w:sz="6" w:space="0" w:color="auto"/>
              <w:right w:val="single" w:sz="6" w:space="0" w:color="auto"/>
            </w:tcBorders>
          </w:tcPr>
          <w:p w14:paraId="72C41A45" w14:textId="77777777" w:rsidR="00711444" w:rsidRPr="004D0DAA" w:rsidRDefault="00711444" w:rsidP="00AA2A4C"/>
        </w:tc>
        <w:tc>
          <w:tcPr>
            <w:tcW w:w="1701" w:type="dxa"/>
            <w:tcBorders>
              <w:bottom w:val="single" w:sz="6" w:space="0" w:color="FFFFFF"/>
              <w:right w:val="single" w:sz="4" w:space="0" w:color="auto"/>
            </w:tcBorders>
          </w:tcPr>
          <w:p w14:paraId="6830BCE7" w14:textId="77777777" w:rsidR="00711444" w:rsidRPr="004D0DAA" w:rsidRDefault="00711444" w:rsidP="00AA2A4C">
            <w:pPr>
              <w:pStyle w:val="TAC"/>
              <w:rPr>
                <w:lang w:eastAsia="en-US"/>
              </w:rPr>
            </w:pPr>
            <w:r w:rsidRPr="004D0DAA">
              <w:rPr>
                <w:lang w:eastAsia="en-US"/>
              </w:rPr>
              <w:t>Octet 11</w:t>
            </w:r>
          </w:p>
        </w:tc>
        <w:tc>
          <w:tcPr>
            <w:tcW w:w="1567" w:type="dxa"/>
            <w:tcBorders>
              <w:left w:val="single" w:sz="4" w:space="0" w:color="auto"/>
              <w:bottom w:val="single" w:sz="4" w:space="0" w:color="auto"/>
              <w:right w:val="single" w:sz="4" w:space="0" w:color="auto"/>
            </w:tcBorders>
          </w:tcPr>
          <w:p w14:paraId="30CBE33A" w14:textId="77777777" w:rsidR="00711444" w:rsidRPr="004D0DAA" w:rsidRDefault="00711444" w:rsidP="00AA2A4C">
            <w:pPr>
              <w:pStyle w:val="TAC"/>
              <w:rPr>
                <w:lang w:eastAsia="en-US"/>
              </w:rPr>
            </w:pPr>
          </w:p>
        </w:tc>
      </w:tr>
      <w:tr w:rsidR="00711444" w:rsidRPr="004D0DAA" w14:paraId="71A0F866" w14:textId="77777777" w:rsidTr="00AA2A4C">
        <w:tblPrEx>
          <w:tblCellMar>
            <w:top w:w="0" w:type="dxa"/>
            <w:bottom w:w="0" w:type="dxa"/>
          </w:tblCellMar>
        </w:tblPrEx>
        <w:trPr>
          <w:cantSplit/>
        </w:trPr>
        <w:tc>
          <w:tcPr>
            <w:tcW w:w="871" w:type="dxa"/>
            <w:tcBorders>
              <w:left w:val="single" w:sz="6" w:space="0" w:color="auto"/>
            </w:tcBorders>
          </w:tcPr>
          <w:p w14:paraId="589B3446" w14:textId="77777777" w:rsidR="00711444" w:rsidRPr="004D0DAA" w:rsidRDefault="00711444" w:rsidP="00AA2A4C"/>
        </w:tc>
        <w:tc>
          <w:tcPr>
            <w:tcW w:w="624" w:type="dxa"/>
          </w:tcPr>
          <w:p w14:paraId="5531338D" w14:textId="77777777" w:rsidR="00711444" w:rsidRPr="004D0DAA" w:rsidRDefault="00711444" w:rsidP="00AA2A4C"/>
        </w:tc>
        <w:tc>
          <w:tcPr>
            <w:tcW w:w="624" w:type="dxa"/>
          </w:tcPr>
          <w:p w14:paraId="5B93850F" w14:textId="77777777" w:rsidR="00711444" w:rsidRPr="004D0DAA" w:rsidRDefault="00711444" w:rsidP="00AA2A4C"/>
        </w:tc>
        <w:tc>
          <w:tcPr>
            <w:tcW w:w="624" w:type="dxa"/>
          </w:tcPr>
          <w:p w14:paraId="45646C50" w14:textId="77777777" w:rsidR="00711444" w:rsidRPr="004D0DAA" w:rsidRDefault="00711444" w:rsidP="00AA2A4C"/>
        </w:tc>
        <w:tc>
          <w:tcPr>
            <w:tcW w:w="624" w:type="dxa"/>
          </w:tcPr>
          <w:p w14:paraId="389C0710" w14:textId="77777777" w:rsidR="00711444" w:rsidRPr="004D0DAA" w:rsidRDefault="00711444" w:rsidP="00AA2A4C"/>
        </w:tc>
        <w:tc>
          <w:tcPr>
            <w:tcW w:w="624" w:type="dxa"/>
          </w:tcPr>
          <w:p w14:paraId="54C7CE06" w14:textId="77777777" w:rsidR="00711444" w:rsidRPr="004D0DAA" w:rsidRDefault="00711444" w:rsidP="00AA2A4C"/>
        </w:tc>
        <w:tc>
          <w:tcPr>
            <w:tcW w:w="624" w:type="dxa"/>
          </w:tcPr>
          <w:p w14:paraId="10379486" w14:textId="77777777" w:rsidR="00711444" w:rsidRPr="004D0DAA" w:rsidRDefault="00711444" w:rsidP="00AA2A4C"/>
        </w:tc>
        <w:tc>
          <w:tcPr>
            <w:tcW w:w="624" w:type="dxa"/>
            <w:tcBorders>
              <w:right w:val="single" w:sz="6" w:space="0" w:color="auto"/>
            </w:tcBorders>
          </w:tcPr>
          <w:p w14:paraId="3F499213" w14:textId="77777777" w:rsidR="00711444" w:rsidRPr="004D0DAA" w:rsidRDefault="00711444" w:rsidP="00AA2A4C"/>
        </w:tc>
        <w:tc>
          <w:tcPr>
            <w:tcW w:w="1701" w:type="dxa"/>
            <w:tcBorders>
              <w:top w:val="single" w:sz="6" w:space="0" w:color="FFFFFF"/>
            </w:tcBorders>
          </w:tcPr>
          <w:p w14:paraId="0475C1FE" w14:textId="77777777" w:rsidR="00711444" w:rsidRPr="004D0DAA" w:rsidRDefault="00711444" w:rsidP="00AA2A4C">
            <w:pPr>
              <w:pStyle w:val="TAC"/>
              <w:rPr>
                <w:lang w:eastAsia="en-US"/>
              </w:rPr>
            </w:pPr>
            <w:r w:rsidRPr="004D0DAA">
              <w:rPr>
                <w:lang w:eastAsia="en-US"/>
              </w:rPr>
              <w:t>Octet 12</w:t>
            </w:r>
          </w:p>
        </w:tc>
        <w:tc>
          <w:tcPr>
            <w:tcW w:w="1567" w:type="dxa"/>
            <w:tcBorders>
              <w:top w:val="single" w:sz="4" w:space="0" w:color="auto"/>
              <w:left w:val="single" w:sz="6" w:space="0" w:color="auto"/>
              <w:right w:val="single" w:sz="6" w:space="0" w:color="auto"/>
            </w:tcBorders>
          </w:tcPr>
          <w:p w14:paraId="349FCDA5" w14:textId="77777777" w:rsidR="00711444" w:rsidRPr="004D0DAA" w:rsidRDefault="00711444" w:rsidP="00AA2A4C">
            <w:pPr>
              <w:pStyle w:val="TAC"/>
              <w:rPr>
                <w:lang w:eastAsia="en-US"/>
              </w:rPr>
            </w:pPr>
          </w:p>
        </w:tc>
      </w:tr>
      <w:tr w:rsidR="00711444" w:rsidRPr="004D0DAA" w14:paraId="1B3CBC8B"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47664981" w14:textId="77777777" w:rsidR="00711444" w:rsidRPr="004D0DAA" w:rsidRDefault="00711444" w:rsidP="00AA2A4C">
            <w:pPr>
              <w:pStyle w:val="TAC"/>
              <w:rPr>
                <w:lang w:eastAsia="en-US"/>
              </w:rPr>
            </w:pPr>
            <w:r w:rsidRPr="004D0DAA">
              <w:rPr>
                <w:lang w:eastAsia="en-US"/>
              </w:rPr>
              <w:br/>
              <w:t>LLC PDU J+1</w:t>
            </w:r>
          </w:p>
        </w:tc>
        <w:tc>
          <w:tcPr>
            <w:tcW w:w="1701" w:type="dxa"/>
          </w:tcPr>
          <w:p w14:paraId="3A1EBBCC" w14:textId="77777777" w:rsidR="00711444" w:rsidRPr="004D0DAA" w:rsidRDefault="00711444" w:rsidP="00AA2A4C">
            <w:pPr>
              <w:pStyle w:val="TAC"/>
              <w:rPr>
                <w:lang w:eastAsia="en-US"/>
              </w:rPr>
            </w:pPr>
            <w:r w:rsidRPr="004D0DAA">
              <w:rPr>
                <w:lang w:eastAsia="en-US"/>
              </w:rPr>
              <w:t>.</w:t>
            </w:r>
          </w:p>
          <w:p w14:paraId="48174418" w14:textId="77777777" w:rsidR="00711444" w:rsidRPr="004D0DAA" w:rsidRDefault="00711444" w:rsidP="00AA2A4C">
            <w:pPr>
              <w:pStyle w:val="TAC"/>
              <w:rPr>
                <w:lang w:eastAsia="en-US"/>
              </w:rPr>
            </w:pPr>
            <w:r w:rsidRPr="004D0DAA">
              <w:rPr>
                <w:lang w:eastAsia="en-US"/>
              </w:rPr>
              <w:t>.</w:t>
            </w:r>
          </w:p>
          <w:p w14:paraId="3F9C3565" w14:textId="77777777" w:rsidR="00711444" w:rsidRPr="004D0DAA" w:rsidRDefault="00711444" w:rsidP="00AA2A4C">
            <w:pPr>
              <w:pStyle w:val="TAC"/>
              <w:rPr>
                <w:lang w:eastAsia="en-US"/>
              </w:rPr>
            </w:pPr>
            <w:r w:rsidRPr="004D0DAA">
              <w:rPr>
                <w:lang w:eastAsia="en-US"/>
              </w:rPr>
              <w:t>.</w:t>
            </w:r>
          </w:p>
        </w:tc>
        <w:tc>
          <w:tcPr>
            <w:tcW w:w="1567" w:type="dxa"/>
            <w:tcBorders>
              <w:left w:val="single" w:sz="6" w:space="0" w:color="auto"/>
              <w:right w:val="single" w:sz="6" w:space="0" w:color="auto"/>
            </w:tcBorders>
          </w:tcPr>
          <w:p w14:paraId="66B93403" w14:textId="77777777" w:rsidR="00711444" w:rsidRPr="004D0DAA" w:rsidRDefault="00711444" w:rsidP="00AA2A4C">
            <w:pPr>
              <w:pStyle w:val="TAC"/>
              <w:rPr>
                <w:lang w:eastAsia="en-US"/>
              </w:rPr>
            </w:pPr>
          </w:p>
          <w:p w14:paraId="6A0D4C80" w14:textId="77777777" w:rsidR="00711444" w:rsidRPr="004D0DAA" w:rsidRDefault="00711444" w:rsidP="00AA2A4C">
            <w:pPr>
              <w:pStyle w:val="TAC"/>
              <w:rPr>
                <w:lang w:eastAsia="en-US"/>
              </w:rPr>
            </w:pPr>
            <w:r w:rsidRPr="004D0DAA">
              <w:rPr>
                <w:lang w:eastAsia="en-US"/>
              </w:rPr>
              <w:t>LLC PDU J+1</w:t>
            </w:r>
          </w:p>
        </w:tc>
      </w:tr>
      <w:tr w:rsidR="00711444" w:rsidRPr="004D0DAA" w14:paraId="4DC2A263" w14:textId="77777777" w:rsidTr="00AA2A4C">
        <w:tblPrEx>
          <w:tblCellMar>
            <w:top w:w="0" w:type="dxa"/>
            <w:bottom w:w="0" w:type="dxa"/>
          </w:tblCellMar>
        </w:tblPrEx>
        <w:trPr>
          <w:cantSplit/>
        </w:trPr>
        <w:tc>
          <w:tcPr>
            <w:tcW w:w="871" w:type="dxa"/>
            <w:tcBorders>
              <w:left w:val="single" w:sz="6" w:space="0" w:color="auto"/>
              <w:bottom w:val="single" w:sz="6" w:space="0" w:color="auto"/>
            </w:tcBorders>
          </w:tcPr>
          <w:p w14:paraId="0419E582" w14:textId="77777777" w:rsidR="00711444" w:rsidRPr="004D0DAA" w:rsidRDefault="00711444" w:rsidP="00AA2A4C"/>
        </w:tc>
        <w:tc>
          <w:tcPr>
            <w:tcW w:w="624" w:type="dxa"/>
            <w:tcBorders>
              <w:bottom w:val="single" w:sz="6" w:space="0" w:color="auto"/>
            </w:tcBorders>
          </w:tcPr>
          <w:p w14:paraId="70866ADD" w14:textId="77777777" w:rsidR="00711444" w:rsidRPr="004D0DAA" w:rsidRDefault="00711444" w:rsidP="00AA2A4C"/>
        </w:tc>
        <w:tc>
          <w:tcPr>
            <w:tcW w:w="624" w:type="dxa"/>
            <w:tcBorders>
              <w:bottom w:val="single" w:sz="6" w:space="0" w:color="auto"/>
            </w:tcBorders>
          </w:tcPr>
          <w:p w14:paraId="6FBE9ACA" w14:textId="77777777" w:rsidR="00711444" w:rsidRPr="004D0DAA" w:rsidRDefault="00711444" w:rsidP="00AA2A4C"/>
        </w:tc>
        <w:tc>
          <w:tcPr>
            <w:tcW w:w="624" w:type="dxa"/>
            <w:tcBorders>
              <w:bottom w:val="single" w:sz="6" w:space="0" w:color="auto"/>
            </w:tcBorders>
          </w:tcPr>
          <w:p w14:paraId="7E4536FB" w14:textId="77777777" w:rsidR="00711444" w:rsidRPr="004D0DAA" w:rsidRDefault="00711444" w:rsidP="00AA2A4C"/>
        </w:tc>
        <w:tc>
          <w:tcPr>
            <w:tcW w:w="624" w:type="dxa"/>
            <w:tcBorders>
              <w:bottom w:val="single" w:sz="6" w:space="0" w:color="auto"/>
            </w:tcBorders>
          </w:tcPr>
          <w:p w14:paraId="405B4846" w14:textId="77777777" w:rsidR="00711444" w:rsidRPr="004D0DAA" w:rsidRDefault="00711444" w:rsidP="00AA2A4C"/>
        </w:tc>
        <w:tc>
          <w:tcPr>
            <w:tcW w:w="624" w:type="dxa"/>
            <w:tcBorders>
              <w:bottom w:val="single" w:sz="6" w:space="0" w:color="auto"/>
            </w:tcBorders>
          </w:tcPr>
          <w:p w14:paraId="08F08079" w14:textId="77777777" w:rsidR="00711444" w:rsidRPr="004D0DAA" w:rsidRDefault="00711444" w:rsidP="00AA2A4C"/>
        </w:tc>
        <w:tc>
          <w:tcPr>
            <w:tcW w:w="624" w:type="dxa"/>
            <w:tcBorders>
              <w:bottom w:val="single" w:sz="6" w:space="0" w:color="auto"/>
            </w:tcBorders>
          </w:tcPr>
          <w:p w14:paraId="0D7D49AC" w14:textId="77777777" w:rsidR="00711444" w:rsidRPr="004D0DAA" w:rsidRDefault="00711444" w:rsidP="00AA2A4C"/>
        </w:tc>
        <w:tc>
          <w:tcPr>
            <w:tcW w:w="624" w:type="dxa"/>
            <w:tcBorders>
              <w:bottom w:val="single" w:sz="6" w:space="0" w:color="auto"/>
              <w:right w:val="single" w:sz="6" w:space="0" w:color="auto"/>
            </w:tcBorders>
          </w:tcPr>
          <w:p w14:paraId="1A80094E" w14:textId="77777777" w:rsidR="00711444" w:rsidRPr="004D0DAA" w:rsidRDefault="00711444" w:rsidP="00AA2A4C"/>
        </w:tc>
        <w:tc>
          <w:tcPr>
            <w:tcW w:w="1701" w:type="dxa"/>
          </w:tcPr>
          <w:p w14:paraId="3CF1A331" w14:textId="77777777" w:rsidR="00711444" w:rsidRPr="004D0DAA" w:rsidRDefault="00711444" w:rsidP="00AA2A4C">
            <w:pPr>
              <w:pStyle w:val="TAC"/>
              <w:rPr>
                <w:lang w:eastAsia="en-US"/>
              </w:rPr>
            </w:pPr>
            <w:r w:rsidRPr="004D0DAA">
              <w:rPr>
                <w:lang w:eastAsia="en-US"/>
              </w:rPr>
              <w:t>Octet 23</w:t>
            </w:r>
          </w:p>
        </w:tc>
        <w:tc>
          <w:tcPr>
            <w:tcW w:w="1567" w:type="dxa"/>
            <w:tcBorders>
              <w:left w:val="single" w:sz="6" w:space="0" w:color="auto"/>
              <w:bottom w:val="single" w:sz="4" w:space="0" w:color="auto"/>
              <w:right w:val="single" w:sz="6" w:space="0" w:color="auto"/>
            </w:tcBorders>
          </w:tcPr>
          <w:p w14:paraId="1D0E6EF0" w14:textId="77777777" w:rsidR="00711444" w:rsidRPr="004D0DAA" w:rsidRDefault="00711444" w:rsidP="00AA2A4C">
            <w:pPr>
              <w:pStyle w:val="TAC"/>
              <w:rPr>
                <w:lang w:eastAsia="en-US"/>
              </w:rPr>
            </w:pPr>
          </w:p>
        </w:tc>
      </w:tr>
      <w:tr w:rsidR="00711444" w:rsidRPr="004D0DAA" w14:paraId="4E9A1838" w14:textId="77777777" w:rsidTr="00AA2A4C">
        <w:tblPrEx>
          <w:tblCellMar>
            <w:top w:w="0" w:type="dxa"/>
            <w:bottom w:w="0" w:type="dxa"/>
          </w:tblCellMar>
        </w:tblPrEx>
        <w:trPr>
          <w:cantSplit/>
        </w:trPr>
        <w:tc>
          <w:tcPr>
            <w:tcW w:w="871" w:type="dxa"/>
            <w:tcBorders>
              <w:left w:val="single" w:sz="6" w:space="0" w:color="auto"/>
            </w:tcBorders>
          </w:tcPr>
          <w:p w14:paraId="3EDC8875" w14:textId="77777777" w:rsidR="00711444" w:rsidRPr="004D0DAA" w:rsidRDefault="00711444" w:rsidP="00AA2A4C"/>
        </w:tc>
        <w:tc>
          <w:tcPr>
            <w:tcW w:w="624" w:type="dxa"/>
          </w:tcPr>
          <w:p w14:paraId="2D6BB7D6" w14:textId="77777777" w:rsidR="00711444" w:rsidRPr="004D0DAA" w:rsidRDefault="00711444" w:rsidP="00AA2A4C"/>
        </w:tc>
        <w:tc>
          <w:tcPr>
            <w:tcW w:w="624" w:type="dxa"/>
          </w:tcPr>
          <w:p w14:paraId="18786396" w14:textId="77777777" w:rsidR="00711444" w:rsidRPr="004D0DAA" w:rsidRDefault="00711444" w:rsidP="00AA2A4C"/>
        </w:tc>
        <w:tc>
          <w:tcPr>
            <w:tcW w:w="624" w:type="dxa"/>
          </w:tcPr>
          <w:p w14:paraId="5D9138F9" w14:textId="77777777" w:rsidR="00711444" w:rsidRPr="004D0DAA" w:rsidRDefault="00711444" w:rsidP="00AA2A4C"/>
        </w:tc>
        <w:tc>
          <w:tcPr>
            <w:tcW w:w="624" w:type="dxa"/>
          </w:tcPr>
          <w:p w14:paraId="27438D3D" w14:textId="77777777" w:rsidR="00711444" w:rsidRPr="004D0DAA" w:rsidRDefault="00711444" w:rsidP="00AA2A4C"/>
        </w:tc>
        <w:tc>
          <w:tcPr>
            <w:tcW w:w="624" w:type="dxa"/>
          </w:tcPr>
          <w:p w14:paraId="658E1C66" w14:textId="77777777" w:rsidR="00711444" w:rsidRPr="004D0DAA" w:rsidRDefault="00711444" w:rsidP="00AA2A4C"/>
        </w:tc>
        <w:tc>
          <w:tcPr>
            <w:tcW w:w="624" w:type="dxa"/>
          </w:tcPr>
          <w:p w14:paraId="17E45A96" w14:textId="77777777" w:rsidR="00711444" w:rsidRPr="004D0DAA" w:rsidRDefault="00711444" w:rsidP="00AA2A4C"/>
        </w:tc>
        <w:tc>
          <w:tcPr>
            <w:tcW w:w="624" w:type="dxa"/>
            <w:tcBorders>
              <w:right w:val="single" w:sz="6" w:space="0" w:color="auto"/>
            </w:tcBorders>
          </w:tcPr>
          <w:p w14:paraId="2E73E4B1" w14:textId="77777777" w:rsidR="00711444" w:rsidRPr="004D0DAA" w:rsidRDefault="00711444" w:rsidP="00AA2A4C"/>
        </w:tc>
        <w:tc>
          <w:tcPr>
            <w:tcW w:w="1701" w:type="dxa"/>
          </w:tcPr>
          <w:p w14:paraId="2F19169F" w14:textId="77777777" w:rsidR="00711444" w:rsidRPr="004D0DAA" w:rsidRDefault="00711444" w:rsidP="00AA2A4C">
            <w:pPr>
              <w:pStyle w:val="TAC"/>
              <w:rPr>
                <w:lang w:eastAsia="en-US"/>
              </w:rPr>
            </w:pPr>
            <w:r w:rsidRPr="004D0DAA">
              <w:rPr>
                <w:lang w:eastAsia="en-US"/>
              </w:rPr>
              <w:t>Octet 24</w:t>
            </w:r>
          </w:p>
        </w:tc>
        <w:tc>
          <w:tcPr>
            <w:tcW w:w="1567" w:type="dxa"/>
            <w:tcBorders>
              <w:top w:val="single" w:sz="4" w:space="0" w:color="auto"/>
              <w:right w:val="single" w:sz="6" w:space="0" w:color="auto"/>
            </w:tcBorders>
          </w:tcPr>
          <w:p w14:paraId="70858DB4" w14:textId="77777777" w:rsidR="00711444" w:rsidRPr="004D0DAA" w:rsidRDefault="00711444" w:rsidP="00AA2A4C">
            <w:pPr>
              <w:pStyle w:val="TAC"/>
              <w:rPr>
                <w:lang w:eastAsia="en-US"/>
              </w:rPr>
            </w:pPr>
          </w:p>
        </w:tc>
      </w:tr>
      <w:tr w:rsidR="00711444" w:rsidRPr="004D0DAA" w14:paraId="48816179" w14:textId="77777777" w:rsidTr="00AA2A4C">
        <w:tblPrEx>
          <w:tblCellMar>
            <w:top w:w="0" w:type="dxa"/>
            <w:bottom w:w="0" w:type="dxa"/>
          </w:tblCellMar>
        </w:tblPrEx>
        <w:trPr>
          <w:cantSplit/>
        </w:trPr>
        <w:tc>
          <w:tcPr>
            <w:tcW w:w="871" w:type="dxa"/>
            <w:tcBorders>
              <w:left w:val="single" w:sz="6" w:space="0" w:color="auto"/>
            </w:tcBorders>
          </w:tcPr>
          <w:p w14:paraId="089FF07E" w14:textId="77777777" w:rsidR="00711444" w:rsidRPr="004D0DAA" w:rsidRDefault="00711444" w:rsidP="00AA2A4C"/>
        </w:tc>
        <w:tc>
          <w:tcPr>
            <w:tcW w:w="624" w:type="dxa"/>
          </w:tcPr>
          <w:p w14:paraId="7AD9C492" w14:textId="77777777" w:rsidR="00711444" w:rsidRPr="004D0DAA" w:rsidRDefault="00711444" w:rsidP="00AA2A4C"/>
        </w:tc>
        <w:tc>
          <w:tcPr>
            <w:tcW w:w="2496" w:type="dxa"/>
            <w:gridSpan w:val="4"/>
          </w:tcPr>
          <w:p w14:paraId="0F571B17" w14:textId="77777777" w:rsidR="00711444" w:rsidRPr="004D0DAA" w:rsidRDefault="00711444" w:rsidP="00AA2A4C">
            <w:pPr>
              <w:pStyle w:val="TAC"/>
              <w:rPr>
                <w:lang w:eastAsia="en-US"/>
              </w:rPr>
            </w:pPr>
            <w:r w:rsidRPr="004D0DAA">
              <w:rPr>
                <w:lang w:eastAsia="en-US"/>
              </w:rPr>
              <w:t>Filling Octets</w:t>
            </w:r>
          </w:p>
        </w:tc>
        <w:tc>
          <w:tcPr>
            <w:tcW w:w="624" w:type="dxa"/>
          </w:tcPr>
          <w:p w14:paraId="1BB6F32F" w14:textId="77777777" w:rsidR="00711444" w:rsidRPr="004D0DAA" w:rsidRDefault="00711444" w:rsidP="00AA2A4C"/>
        </w:tc>
        <w:tc>
          <w:tcPr>
            <w:tcW w:w="624" w:type="dxa"/>
            <w:tcBorders>
              <w:right w:val="single" w:sz="6" w:space="0" w:color="auto"/>
            </w:tcBorders>
          </w:tcPr>
          <w:p w14:paraId="549C23E5" w14:textId="77777777" w:rsidR="00711444" w:rsidRPr="004D0DAA" w:rsidRDefault="00711444" w:rsidP="00AA2A4C"/>
        </w:tc>
        <w:tc>
          <w:tcPr>
            <w:tcW w:w="1701" w:type="dxa"/>
          </w:tcPr>
          <w:p w14:paraId="0519EF85" w14:textId="77777777" w:rsidR="00711444" w:rsidRPr="004D0DAA" w:rsidRDefault="00711444" w:rsidP="00AA2A4C"/>
        </w:tc>
        <w:tc>
          <w:tcPr>
            <w:tcW w:w="1567" w:type="dxa"/>
          </w:tcPr>
          <w:p w14:paraId="4F06874D" w14:textId="77777777" w:rsidR="00711444" w:rsidRPr="004D0DAA" w:rsidRDefault="00711444" w:rsidP="00AA2A4C">
            <w:pPr>
              <w:pStyle w:val="TAC"/>
              <w:rPr>
                <w:lang w:eastAsia="en-US"/>
              </w:rPr>
            </w:pPr>
          </w:p>
        </w:tc>
      </w:tr>
      <w:tr w:rsidR="00711444" w:rsidRPr="004D0DAA" w14:paraId="590D53F1" w14:textId="77777777" w:rsidTr="00AA2A4C">
        <w:tblPrEx>
          <w:tblCellMar>
            <w:top w:w="0" w:type="dxa"/>
            <w:bottom w:w="0" w:type="dxa"/>
          </w:tblCellMar>
        </w:tblPrEx>
        <w:trPr>
          <w:cantSplit/>
        </w:trPr>
        <w:tc>
          <w:tcPr>
            <w:tcW w:w="871" w:type="dxa"/>
            <w:tcBorders>
              <w:left w:val="single" w:sz="6" w:space="0" w:color="auto"/>
              <w:bottom w:val="single" w:sz="4" w:space="0" w:color="auto"/>
            </w:tcBorders>
          </w:tcPr>
          <w:p w14:paraId="26854A42" w14:textId="77777777" w:rsidR="00711444" w:rsidRPr="004D0DAA" w:rsidRDefault="00711444" w:rsidP="00AA2A4C"/>
        </w:tc>
        <w:tc>
          <w:tcPr>
            <w:tcW w:w="624" w:type="dxa"/>
            <w:tcBorders>
              <w:bottom w:val="single" w:sz="4" w:space="0" w:color="auto"/>
            </w:tcBorders>
          </w:tcPr>
          <w:p w14:paraId="627E7DA6" w14:textId="77777777" w:rsidR="00711444" w:rsidRPr="004D0DAA" w:rsidRDefault="00711444" w:rsidP="00AA2A4C"/>
        </w:tc>
        <w:tc>
          <w:tcPr>
            <w:tcW w:w="624" w:type="dxa"/>
            <w:tcBorders>
              <w:bottom w:val="single" w:sz="4" w:space="0" w:color="auto"/>
            </w:tcBorders>
          </w:tcPr>
          <w:p w14:paraId="29A72192" w14:textId="77777777" w:rsidR="00711444" w:rsidRPr="004D0DAA" w:rsidRDefault="00711444" w:rsidP="00AA2A4C"/>
        </w:tc>
        <w:tc>
          <w:tcPr>
            <w:tcW w:w="624" w:type="dxa"/>
            <w:tcBorders>
              <w:bottom w:val="single" w:sz="4" w:space="0" w:color="auto"/>
            </w:tcBorders>
          </w:tcPr>
          <w:p w14:paraId="0BBFB6D5" w14:textId="77777777" w:rsidR="00711444" w:rsidRPr="004D0DAA" w:rsidRDefault="00711444" w:rsidP="00AA2A4C"/>
        </w:tc>
        <w:tc>
          <w:tcPr>
            <w:tcW w:w="624" w:type="dxa"/>
            <w:tcBorders>
              <w:bottom w:val="single" w:sz="4" w:space="0" w:color="auto"/>
            </w:tcBorders>
          </w:tcPr>
          <w:p w14:paraId="54D5C638" w14:textId="77777777" w:rsidR="00711444" w:rsidRPr="004D0DAA" w:rsidRDefault="00711444" w:rsidP="00AA2A4C"/>
        </w:tc>
        <w:tc>
          <w:tcPr>
            <w:tcW w:w="624" w:type="dxa"/>
            <w:tcBorders>
              <w:bottom w:val="single" w:sz="4" w:space="0" w:color="auto"/>
            </w:tcBorders>
          </w:tcPr>
          <w:p w14:paraId="28223F11" w14:textId="77777777" w:rsidR="00711444" w:rsidRPr="004D0DAA" w:rsidRDefault="00711444" w:rsidP="00AA2A4C"/>
        </w:tc>
        <w:tc>
          <w:tcPr>
            <w:tcW w:w="624" w:type="dxa"/>
            <w:tcBorders>
              <w:bottom w:val="single" w:sz="4" w:space="0" w:color="auto"/>
            </w:tcBorders>
          </w:tcPr>
          <w:p w14:paraId="44DA3828" w14:textId="77777777" w:rsidR="00711444" w:rsidRPr="004D0DAA" w:rsidRDefault="00711444" w:rsidP="00AA2A4C"/>
        </w:tc>
        <w:tc>
          <w:tcPr>
            <w:tcW w:w="624" w:type="dxa"/>
            <w:tcBorders>
              <w:bottom w:val="single" w:sz="4" w:space="0" w:color="auto"/>
              <w:right w:val="single" w:sz="6" w:space="0" w:color="auto"/>
            </w:tcBorders>
          </w:tcPr>
          <w:p w14:paraId="02A92D3A" w14:textId="77777777" w:rsidR="00711444" w:rsidRPr="004D0DAA" w:rsidRDefault="00711444" w:rsidP="00AA2A4C"/>
        </w:tc>
        <w:tc>
          <w:tcPr>
            <w:tcW w:w="1701" w:type="dxa"/>
          </w:tcPr>
          <w:p w14:paraId="2F38C39E" w14:textId="77777777" w:rsidR="00711444" w:rsidRPr="004D0DAA" w:rsidRDefault="00711444" w:rsidP="00AA2A4C">
            <w:pPr>
              <w:pStyle w:val="TAC"/>
              <w:rPr>
                <w:lang w:eastAsia="en-US"/>
              </w:rPr>
            </w:pPr>
            <w:r w:rsidRPr="004D0DAA">
              <w:rPr>
                <w:lang w:eastAsia="en-US"/>
              </w:rPr>
              <w:t>Octet N2</w:t>
            </w:r>
          </w:p>
        </w:tc>
        <w:tc>
          <w:tcPr>
            <w:tcW w:w="1567" w:type="dxa"/>
          </w:tcPr>
          <w:p w14:paraId="2FB54B0F" w14:textId="77777777" w:rsidR="00711444" w:rsidRPr="004D0DAA" w:rsidRDefault="00711444" w:rsidP="00AA2A4C">
            <w:pPr>
              <w:pStyle w:val="TAC"/>
              <w:rPr>
                <w:lang w:eastAsia="en-US"/>
              </w:rPr>
            </w:pPr>
          </w:p>
        </w:tc>
      </w:tr>
    </w:tbl>
    <w:p w14:paraId="6F5A280E" w14:textId="77777777" w:rsidR="00711444" w:rsidRPr="004D0DAA" w:rsidRDefault="00711444" w:rsidP="00711444"/>
    <w:tbl>
      <w:tblPr>
        <w:tblW w:w="8507" w:type="dxa"/>
        <w:tblInd w:w="604" w:type="dxa"/>
        <w:tblLayout w:type="fixed"/>
        <w:tblCellMar>
          <w:left w:w="37" w:type="dxa"/>
          <w:right w:w="37" w:type="dxa"/>
        </w:tblCellMar>
        <w:tblLook w:val="0000" w:firstRow="0" w:lastRow="0" w:firstColumn="0" w:lastColumn="0" w:noHBand="0" w:noVBand="0"/>
      </w:tblPr>
      <w:tblGrid>
        <w:gridCol w:w="871"/>
        <w:gridCol w:w="624"/>
        <w:gridCol w:w="624"/>
        <w:gridCol w:w="624"/>
        <w:gridCol w:w="624"/>
        <w:gridCol w:w="624"/>
        <w:gridCol w:w="624"/>
        <w:gridCol w:w="624"/>
        <w:gridCol w:w="1701"/>
        <w:gridCol w:w="1567"/>
      </w:tblGrid>
      <w:tr w:rsidR="00711444" w:rsidRPr="004D0DAA" w14:paraId="6EF72AC6" w14:textId="77777777" w:rsidTr="00AA2A4C">
        <w:tblPrEx>
          <w:tblCellMar>
            <w:top w:w="0" w:type="dxa"/>
            <w:bottom w:w="0" w:type="dxa"/>
          </w:tblCellMar>
        </w:tblPrEx>
        <w:trPr>
          <w:cantSplit/>
        </w:trPr>
        <w:tc>
          <w:tcPr>
            <w:tcW w:w="5239" w:type="dxa"/>
            <w:gridSpan w:val="8"/>
          </w:tcPr>
          <w:p w14:paraId="70BF8350" w14:textId="77777777" w:rsidR="00711444" w:rsidRPr="004D0DAA" w:rsidRDefault="00711444" w:rsidP="00AA2A4C">
            <w:pPr>
              <w:pStyle w:val="TAC"/>
              <w:rPr>
                <w:lang w:eastAsia="en-US"/>
              </w:rPr>
            </w:pPr>
            <w:r w:rsidRPr="004D0DAA">
              <w:rPr>
                <w:lang w:eastAsia="en-US"/>
              </w:rPr>
              <w:t>RLC Block with BSN=N+1 (mod SNS)</w:t>
            </w:r>
          </w:p>
        </w:tc>
        <w:tc>
          <w:tcPr>
            <w:tcW w:w="1701" w:type="dxa"/>
          </w:tcPr>
          <w:p w14:paraId="7E1D995B" w14:textId="77777777" w:rsidR="00711444" w:rsidRPr="004D0DAA" w:rsidRDefault="00711444" w:rsidP="00AA2A4C"/>
        </w:tc>
        <w:tc>
          <w:tcPr>
            <w:tcW w:w="1567" w:type="dxa"/>
          </w:tcPr>
          <w:p w14:paraId="50913DA8" w14:textId="77777777" w:rsidR="00711444" w:rsidRPr="004D0DAA" w:rsidRDefault="00711444" w:rsidP="00AA2A4C">
            <w:pPr>
              <w:pStyle w:val="TAC"/>
              <w:rPr>
                <w:lang w:eastAsia="en-US"/>
              </w:rPr>
            </w:pPr>
          </w:p>
        </w:tc>
      </w:tr>
      <w:tr w:rsidR="00711444" w:rsidRPr="004D0DAA" w14:paraId="1998BB73" w14:textId="77777777" w:rsidTr="00AA2A4C">
        <w:tblPrEx>
          <w:tblCellMar>
            <w:top w:w="0" w:type="dxa"/>
            <w:bottom w:w="0" w:type="dxa"/>
          </w:tblCellMar>
        </w:tblPrEx>
        <w:trPr>
          <w:cantSplit/>
        </w:trPr>
        <w:tc>
          <w:tcPr>
            <w:tcW w:w="5239" w:type="dxa"/>
            <w:gridSpan w:val="8"/>
          </w:tcPr>
          <w:p w14:paraId="1B30D87B" w14:textId="77777777" w:rsidR="00711444" w:rsidRPr="004D0DAA" w:rsidRDefault="00711444" w:rsidP="00AA2A4C">
            <w:pPr>
              <w:pStyle w:val="TAC"/>
              <w:rPr>
                <w:lang w:eastAsia="en-US"/>
              </w:rPr>
            </w:pPr>
            <w:r w:rsidRPr="004D0DAA">
              <w:rPr>
                <w:lang w:eastAsia="en-US"/>
              </w:rPr>
              <w:t>Bit</w:t>
            </w:r>
          </w:p>
        </w:tc>
        <w:tc>
          <w:tcPr>
            <w:tcW w:w="1701" w:type="dxa"/>
          </w:tcPr>
          <w:p w14:paraId="3BEDA58D" w14:textId="77777777" w:rsidR="00711444" w:rsidRPr="004D0DAA" w:rsidRDefault="00711444" w:rsidP="00AA2A4C"/>
        </w:tc>
        <w:tc>
          <w:tcPr>
            <w:tcW w:w="1567" w:type="dxa"/>
          </w:tcPr>
          <w:p w14:paraId="26F4D4E9" w14:textId="77777777" w:rsidR="00711444" w:rsidRPr="004D0DAA" w:rsidRDefault="00711444" w:rsidP="00AA2A4C">
            <w:pPr>
              <w:pStyle w:val="TAC"/>
              <w:rPr>
                <w:lang w:eastAsia="en-US"/>
              </w:rPr>
            </w:pPr>
          </w:p>
        </w:tc>
      </w:tr>
      <w:tr w:rsidR="00711444" w:rsidRPr="004D0DAA" w14:paraId="4790FB40" w14:textId="77777777" w:rsidTr="00AA2A4C">
        <w:tblPrEx>
          <w:tblCellMar>
            <w:top w:w="0" w:type="dxa"/>
            <w:bottom w:w="0" w:type="dxa"/>
          </w:tblCellMar>
        </w:tblPrEx>
        <w:trPr>
          <w:cantSplit/>
        </w:trPr>
        <w:tc>
          <w:tcPr>
            <w:tcW w:w="871" w:type="dxa"/>
          </w:tcPr>
          <w:p w14:paraId="135BE539" w14:textId="77777777" w:rsidR="00711444" w:rsidRPr="004D0DAA" w:rsidRDefault="00711444" w:rsidP="00AA2A4C">
            <w:pPr>
              <w:pStyle w:val="TAC"/>
              <w:rPr>
                <w:lang w:eastAsia="en-US"/>
              </w:rPr>
            </w:pPr>
            <w:r w:rsidRPr="004D0DAA">
              <w:rPr>
                <w:lang w:eastAsia="en-US"/>
              </w:rPr>
              <w:t>8</w:t>
            </w:r>
          </w:p>
        </w:tc>
        <w:tc>
          <w:tcPr>
            <w:tcW w:w="624" w:type="dxa"/>
          </w:tcPr>
          <w:p w14:paraId="47758942" w14:textId="77777777" w:rsidR="00711444" w:rsidRPr="004D0DAA" w:rsidRDefault="00711444" w:rsidP="00AA2A4C">
            <w:pPr>
              <w:pStyle w:val="TAC"/>
              <w:rPr>
                <w:lang w:eastAsia="en-US"/>
              </w:rPr>
            </w:pPr>
            <w:r w:rsidRPr="004D0DAA">
              <w:rPr>
                <w:lang w:eastAsia="en-US"/>
              </w:rPr>
              <w:t>7</w:t>
            </w:r>
          </w:p>
        </w:tc>
        <w:tc>
          <w:tcPr>
            <w:tcW w:w="624" w:type="dxa"/>
          </w:tcPr>
          <w:p w14:paraId="031F82BF" w14:textId="77777777" w:rsidR="00711444" w:rsidRPr="004D0DAA" w:rsidRDefault="00711444" w:rsidP="00AA2A4C">
            <w:pPr>
              <w:pStyle w:val="TAC"/>
              <w:rPr>
                <w:lang w:eastAsia="en-US"/>
              </w:rPr>
            </w:pPr>
            <w:r w:rsidRPr="004D0DAA">
              <w:rPr>
                <w:lang w:eastAsia="en-US"/>
              </w:rPr>
              <w:t>6</w:t>
            </w:r>
          </w:p>
        </w:tc>
        <w:tc>
          <w:tcPr>
            <w:tcW w:w="624" w:type="dxa"/>
          </w:tcPr>
          <w:p w14:paraId="6AE77DBA" w14:textId="77777777" w:rsidR="00711444" w:rsidRPr="004D0DAA" w:rsidRDefault="00711444" w:rsidP="00AA2A4C">
            <w:pPr>
              <w:pStyle w:val="TAC"/>
              <w:rPr>
                <w:lang w:eastAsia="en-US"/>
              </w:rPr>
            </w:pPr>
            <w:r w:rsidRPr="004D0DAA">
              <w:rPr>
                <w:lang w:eastAsia="en-US"/>
              </w:rPr>
              <w:t>5</w:t>
            </w:r>
          </w:p>
        </w:tc>
        <w:tc>
          <w:tcPr>
            <w:tcW w:w="624" w:type="dxa"/>
          </w:tcPr>
          <w:p w14:paraId="4DCF2615" w14:textId="77777777" w:rsidR="00711444" w:rsidRPr="004D0DAA" w:rsidRDefault="00711444" w:rsidP="00AA2A4C">
            <w:pPr>
              <w:pStyle w:val="TAC"/>
              <w:rPr>
                <w:lang w:eastAsia="en-US"/>
              </w:rPr>
            </w:pPr>
            <w:r w:rsidRPr="004D0DAA">
              <w:rPr>
                <w:lang w:eastAsia="en-US"/>
              </w:rPr>
              <w:t>4</w:t>
            </w:r>
          </w:p>
        </w:tc>
        <w:tc>
          <w:tcPr>
            <w:tcW w:w="624" w:type="dxa"/>
          </w:tcPr>
          <w:p w14:paraId="1EF4D88F" w14:textId="77777777" w:rsidR="00711444" w:rsidRPr="004D0DAA" w:rsidRDefault="00711444" w:rsidP="00AA2A4C">
            <w:pPr>
              <w:pStyle w:val="TAC"/>
              <w:rPr>
                <w:lang w:eastAsia="en-US"/>
              </w:rPr>
            </w:pPr>
            <w:r w:rsidRPr="004D0DAA">
              <w:rPr>
                <w:lang w:eastAsia="en-US"/>
              </w:rPr>
              <w:t>3</w:t>
            </w:r>
          </w:p>
        </w:tc>
        <w:tc>
          <w:tcPr>
            <w:tcW w:w="624" w:type="dxa"/>
            <w:tcBorders>
              <w:bottom w:val="single" w:sz="4" w:space="0" w:color="auto"/>
            </w:tcBorders>
          </w:tcPr>
          <w:p w14:paraId="3224B320" w14:textId="77777777" w:rsidR="00711444" w:rsidRPr="004D0DAA" w:rsidRDefault="00711444" w:rsidP="00AA2A4C">
            <w:pPr>
              <w:pStyle w:val="TAC"/>
              <w:rPr>
                <w:lang w:eastAsia="en-US"/>
              </w:rPr>
            </w:pPr>
            <w:r w:rsidRPr="004D0DAA">
              <w:rPr>
                <w:lang w:eastAsia="en-US"/>
              </w:rPr>
              <w:t>2</w:t>
            </w:r>
          </w:p>
        </w:tc>
        <w:tc>
          <w:tcPr>
            <w:tcW w:w="624" w:type="dxa"/>
          </w:tcPr>
          <w:p w14:paraId="44F8AFE9" w14:textId="77777777" w:rsidR="00711444" w:rsidRPr="004D0DAA" w:rsidRDefault="00711444" w:rsidP="00AA2A4C">
            <w:pPr>
              <w:pStyle w:val="TAC"/>
              <w:rPr>
                <w:lang w:eastAsia="en-US"/>
              </w:rPr>
            </w:pPr>
            <w:r w:rsidRPr="004D0DAA">
              <w:rPr>
                <w:lang w:eastAsia="en-US"/>
              </w:rPr>
              <w:t>1</w:t>
            </w:r>
          </w:p>
        </w:tc>
        <w:tc>
          <w:tcPr>
            <w:tcW w:w="1701" w:type="dxa"/>
          </w:tcPr>
          <w:p w14:paraId="13815CF5" w14:textId="77777777" w:rsidR="00711444" w:rsidRPr="004D0DAA" w:rsidRDefault="00711444" w:rsidP="00AA2A4C"/>
        </w:tc>
        <w:tc>
          <w:tcPr>
            <w:tcW w:w="1567" w:type="dxa"/>
          </w:tcPr>
          <w:p w14:paraId="64D7D847" w14:textId="77777777" w:rsidR="00711444" w:rsidRPr="004D0DAA" w:rsidRDefault="00711444" w:rsidP="00AA2A4C">
            <w:pPr>
              <w:pStyle w:val="TAC"/>
              <w:rPr>
                <w:lang w:eastAsia="en-US"/>
              </w:rPr>
            </w:pPr>
          </w:p>
        </w:tc>
      </w:tr>
      <w:tr w:rsidR="00711444" w:rsidRPr="004D0DAA" w14:paraId="0C092CBE" w14:textId="77777777" w:rsidTr="00AA2A4C">
        <w:tblPrEx>
          <w:tblCellMar>
            <w:top w:w="0" w:type="dxa"/>
            <w:bottom w:w="0" w:type="dxa"/>
          </w:tblCellMar>
        </w:tblPrEx>
        <w:trPr>
          <w:cantSplit/>
        </w:trPr>
        <w:tc>
          <w:tcPr>
            <w:tcW w:w="871" w:type="dxa"/>
            <w:tcBorders>
              <w:top w:val="single" w:sz="6" w:space="0" w:color="auto"/>
              <w:left w:val="single" w:sz="6" w:space="0" w:color="auto"/>
            </w:tcBorders>
          </w:tcPr>
          <w:p w14:paraId="2003AFD4" w14:textId="77777777" w:rsidR="00711444" w:rsidRPr="004D0DAA" w:rsidRDefault="00711444" w:rsidP="00AA2A4C"/>
        </w:tc>
        <w:tc>
          <w:tcPr>
            <w:tcW w:w="624" w:type="dxa"/>
            <w:tcBorders>
              <w:top w:val="single" w:sz="6" w:space="0" w:color="auto"/>
            </w:tcBorders>
          </w:tcPr>
          <w:p w14:paraId="487D08DE" w14:textId="77777777" w:rsidR="00711444" w:rsidRPr="004D0DAA" w:rsidRDefault="00711444" w:rsidP="00AA2A4C"/>
        </w:tc>
        <w:tc>
          <w:tcPr>
            <w:tcW w:w="624" w:type="dxa"/>
            <w:tcBorders>
              <w:top w:val="single" w:sz="6" w:space="0" w:color="auto"/>
            </w:tcBorders>
          </w:tcPr>
          <w:p w14:paraId="7FCA16F8" w14:textId="77777777" w:rsidR="00711444" w:rsidRPr="004D0DAA" w:rsidRDefault="00711444" w:rsidP="00AA2A4C"/>
        </w:tc>
        <w:tc>
          <w:tcPr>
            <w:tcW w:w="624" w:type="dxa"/>
            <w:tcBorders>
              <w:top w:val="single" w:sz="6" w:space="0" w:color="auto"/>
            </w:tcBorders>
          </w:tcPr>
          <w:p w14:paraId="06E01EA2" w14:textId="77777777" w:rsidR="00711444" w:rsidRPr="004D0DAA" w:rsidRDefault="00711444" w:rsidP="00AA2A4C"/>
        </w:tc>
        <w:tc>
          <w:tcPr>
            <w:tcW w:w="624" w:type="dxa"/>
            <w:tcBorders>
              <w:top w:val="single" w:sz="6" w:space="0" w:color="auto"/>
            </w:tcBorders>
          </w:tcPr>
          <w:p w14:paraId="5F03EE1D" w14:textId="77777777" w:rsidR="00711444" w:rsidRPr="004D0DAA" w:rsidRDefault="00711444" w:rsidP="00AA2A4C"/>
        </w:tc>
        <w:tc>
          <w:tcPr>
            <w:tcW w:w="624" w:type="dxa"/>
            <w:tcBorders>
              <w:top w:val="single" w:sz="6" w:space="0" w:color="auto"/>
              <w:right w:val="single" w:sz="4" w:space="0" w:color="auto"/>
            </w:tcBorders>
          </w:tcPr>
          <w:p w14:paraId="34D2B064" w14:textId="77777777" w:rsidR="00711444" w:rsidRPr="004D0DAA" w:rsidRDefault="00711444" w:rsidP="00AA2A4C"/>
        </w:tc>
        <w:tc>
          <w:tcPr>
            <w:tcW w:w="624" w:type="dxa"/>
            <w:tcBorders>
              <w:top w:val="single" w:sz="4" w:space="0" w:color="auto"/>
              <w:left w:val="single" w:sz="4" w:space="0" w:color="auto"/>
              <w:bottom w:val="single" w:sz="4" w:space="0" w:color="auto"/>
              <w:right w:val="single" w:sz="4" w:space="0" w:color="auto"/>
            </w:tcBorders>
          </w:tcPr>
          <w:p w14:paraId="11C5CEB6" w14:textId="77777777" w:rsidR="00711444" w:rsidRPr="004D0DAA" w:rsidRDefault="00711444" w:rsidP="00AA2A4C">
            <w:pPr>
              <w:pStyle w:val="TAC"/>
              <w:rPr>
                <w:lang w:eastAsia="en-US"/>
              </w:rPr>
            </w:pPr>
            <w:r w:rsidRPr="004D0DAA">
              <w:rPr>
                <w:lang w:eastAsia="en-US"/>
              </w:rPr>
              <w:t>FBI=0</w:t>
            </w:r>
          </w:p>
        </w:tc>
        <w:tc>
          <w:tcPr>
            <w:tcW w:w="624" w:type="dxa"/>
            <w:tcBorders>
              <w:top w:val="single" w:sz="6" w:space="0" w:color="auto"/>
              <w:left w:val="single" w:sz="4" w:space="0" w:color="auto"/>
              <w:bottom w:val="single" w:sz="6" w:space="0" w:color="auto"/>
              <w:right w:val="single" w:sz="6" w:space="0" w:color="auto"/>
            </w:tcBorders>
          </w:tcPr>
          <w:p w14:paraId="6C97E28C" w14:textId="77777777" w:rsidR="00711444" w:rsidRPr="004D0DAA" w:rsidRDefault="00711444" w:rsidP="00AA2A4C">
            <w:pPr>
              <w:pStyle w:val="TAC"/>
              <w:rPr>
                <w:lang w:eastAsia="en-US"/>
              </w:rPr>
            </w:pPr>
            <w:r w:rsidRPr="004D0DAA">
              <w:rPr>
                <w:lang w:eastAsia="en-US"/>
              </w:rPr>
              <w:t>E=0</w:t>
            </w:r>
          </w:p>
        </w:tc>
        <w:tc>
          <w:tcPr>
            <w:tcW w:w="1701" w:type="dxa"/>
          </w:tcPr>
          <w:p w14:paraId="19DB0B2C" w14:textId="77777777" w:rsidR="00711444" w:rsidRPr="004D0DAA" w:rsidRDefault="00711444" w:rsidP="00AA2A4C">
            <w:pPr>
              <w:pStyle w:val="TAC"/>
              <w:rPr>
                <w:lang w:eastAsia="en-US"/>
              </w:rPr>
            </w:pPr>
            <w:r w:rsidRPr="004D0DAA">
              <w:rPr>
                <w:lang w:eastAsia="en-US"/>
              </w:rPr>
              <w:t>Octet 1</w:t>
            </w:r>
          </w:p>
        </w:tc>
        <w:tc>
          <w:tcPr>
            <w:tcW w:w="1567" w:type="dxa"/>
          </w:tcPr>
          <w:p w14:paraId="034869A2" w14:textId="77777777" w:rsidR="00711444" w:rsidRPr="004D0DAA" w:rsidRDefault="00711444" w:rsidP="00AA2A4C">
            <w:pPr>
              <w:pStyle w:val="TAC"/>
              <w:rPr>
                <w:lang w:eastAsia="en-US"/>
              </w:rPr>
            </w:pPr>
            <w:r w:rsidRPr="004D0DAA">
              <w:rPr>
                <w:lang w:eastAsia="en-US"/>
              </w:rPr>
              <w:t xml:space="preserve"> </w:t>
            </w:r>
          </w:p>
        </w:tc>
      </w:tr>
      <w:tr w:rsidR="00711444" w:rsidRPr="004D0DAA" w14:paraId="6E28AA89"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5706340A" w14:textId="77777777" w:rsidR="00711444" w:rsidRPr="004D0DAA" w:rsidRDefault="00711444" w:rsidP="00AA2A4C">
            <w:pPr>
              <w:pStyle w:val="TAC"/>
              <w:rPr>
                <w:lang w:eastAsia="en-US"/>
              </w:rPr>
            </w:pPr>
            <w:r w:rsidRPr="004D0DAA">
              <w:rPr>
                <w:lang w:eastAsia="en-US"/>
              </w:rPr>
              <w:t>Length indicator=126</w:t>
            </w:r>
          </w:p>
        </w:tc>
        <w:tc>
          <w:tcPr>
            <w:tcW w:w="624" w:type="dxa"/>
            <w:tcBorders>
              <w:top w:val="single" w:sz="6" w:space="0" w:color="auto"/>
              <w:left w:val="single" w:sz="6" w:space="0" w:color="auto"/>
              <w:bottom w:val="single" w:sz="6" w:space="0" w:color="auto"/>
              <w:right w:val="single" w:sz="6" w:space="0" w:color="auto"/>
            </w:tcBorders>
          </w:tcPr>
          <w:p w14:paraId="24074B40" w14:textId="77777777" w:rsidR="00711444" w:rsidRPr="004D0DAA" w:rsidRDefault="00711444" w:rsidP="00AA2A4C">
            <w:pPr>
              <w:pStyle w:val="TAC"/>
              <w:rPr>
                <w:lang w:eastAsia="en-US"/>
              </w:rPr>
            </w:pPr>
            <w:r w:rsidRPr="004D0DAA">
              <w:rPr>
                <w:lang w:eastAsia="en-US"/>
              </w:rPr>
              <w:t>E=0</w:t>
            </w:r>
          </w:p>
        </w:tc>
        <w:tc>
          <w:tcPr>
            <w:tcW w:w="1701" w:type="dxa"/>
            <w:tcBorders>
              <w:left w:val="single" w:sz="6" w:space="0" w:color="auto"/>
            </w:tcBorders>
          </w:tcPr>
          <w:p w14:paraId="46DEA8D2" w14:textId="77777777" w:rsidR="00711444" w:rsidRPr="004D0DAA" w:rsidRDefault="00711444" w:rsidP="00AA2A4C">
            <w:pPr>
              <w:pStyle w:val="TAC"/>
              <w:rPr>
                <w:lang w:eastAsia="en-US"/>
              </w:rPr>
            </w:pPr>
            <w:r w:rsidRPr="004D0DAA">
              <w:rPr>
                <w:lang w:eastAsia="en-US"/>
              </w:rPr>
              <w:t>Octet 2</w:t>
            </w:r>
          </w:p>
        </w:tc>
        <w:tc>
          <w:tcPr>
            <w:tcW w:w="1567" w:type="dxa"/>
          </w:tcPr>
          <w:p w14:paraId="66FF6092" w14:textId="77777777" w:rsidR="00711444" w:rsidRPr="004D0DAA" w:rsidRDefault="00711444" w:rsidP="00AA2A4C">
            <w:pPr>
              <w:pStyle w:val="TAC"/>
              <w:rPr>
                <w:lang w:eastAsia="en-US"/>
              </w:rPr>
            </w:pPr>
          </w:p>
        </w:tc>
      </w:tr>
      <w:tr w:rsidR="00711444" w:rsidRPr="004D0DAA" w14:paraId="2F6782F5"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29234062" w14:textId="77777777" w:rsidR="00711444" w:rsidRPr="004D0DAA" w:rsidRDefault="00711444" w:rsidP="00AA2A4C">
            <w:pPr>
              <w:pStyle w:val="TAC"/>
              <w:rPr>
                <w:lang w:eastAsia="en-US"/>
              </w:rPr>
            </w:pPr>
            <w:r w:rsidRPr="004D0DAA">
              <w:rPr>
                <w:lang w:eastAsia="en-US"/>
              </w:rPr>
              <w:t>Length indicator=19</w:t>
            </w:r>
          </w:p>
        </w:tc>
        <w:tc>
          <w:tcPr>
            <w:tcW w:w="624" w:type="dxa"/>
            <w:tcBorders>
              <w:top w:val="single" w:sz="6" w:space="0" w:color="auto"/>
              <w:left w:val="single" w:sz="6" w:space="0" w:color="auto"/>
              <w:bottom w:val="single" w:sz="6" w:space="0" w:color="auto"/>
              <w:right w:val="single" w:sz="6" w:space="0" w:color="auto"/>
            </w:tcBorders>
          </w:tcPr>
          <w:p w14:paraId="4869B7C2" w14:textId="77777777" w:rsidR="00711444" w:rsidRPr="004D0DAA" w:rsidRDefault="00711444" w:rsidP="00AA2A4C">
            <w:pPr>
              <w:pStyle w:val="TAC"/>
              <w:rPr>
                <w:lang w:eastAsia="en-US"/>
              </w:rPr>
            </w:pPr>
            <w:r w:rsidRPr="004D0DAA">
              <w:rPr>
                <w:lang w:eastAsia="en-US"/>
              </w:rPr>
              <w:t>E=0</w:t>
            </w:r>
          </w:p>
        </w:tc>
        <w:tc>
          <w:tcPr>
            <w:tcW w:w="1701" w:type="dxa"/>
            <w:tcBorders>
              <w:left w:val="single" w:sz="6" w:space="0" w:color="auto"/>
            </w:tcBorders>
          </w:tcPr>
          <w:p w14:paraId="1ABB643F" w14:textId="77777777" w:rsidR="00711444" w:rsidRPr="004D0DAA" w:rsidRDefault="00711444" w:rsidP="00AA2A4C">
            <w:pPr>
              <w:pStyle w:val="TAC"/>
              <w:rPr>
                <w:lang w:eastAsia="en-US"/>
              </w:rPr>
            </w:pPr>
            <w:r w:rsidRPr="004D0DAA">
              <w:rPr>
                <w:lang w:eastAsia="en-US"/>
              </w:rPr>
              <w:t>Octet 3</w:t>
            </w:r>
          </w:p>
        </w:tc>
        <w:tc>
          <w:tcPr>
            <w:tcW w:w="1567" w:type="dxa"/>
          </w:tcPr>
          <w:p w14:paraId="22018567" w14:textId="77777777" w:rsidR="00711444" w:rsidRPr="004D0DAA" w:rsidRDefault="00711444" w:rsidP="00AA2A4C">
            <w:pPr>
              <w:pStyle w:val="TAC"/>
              <w:rPr>
                <w:lang w:eastAsia="en-US"/>
              </w:rPr>
            </w:pPr>
          </w:p>
        </w:tc>
      </w:tr>
      <w:tr w:rsidR="00711444" w:rsidRPr="004D0DAA" w14:paraId="7C31D425" w14:textId="77777777" w:rsidTr="00AA2A4C">
        <w:tblPrEx>
          <w:tblCellMar>
            <w:top w:w="0" w:type="dxa"/>
            <w:bottom w:w="0" w:type="dxa"/>
          </w:tblCellMar>
        </w:tblPrEx>
        <w:trPr>
          <w:cantSplit/>
        </w:trPr>
        <w:tc>
          <w:tcPr>
            <w:tcW w:w="4615" w:type="dxa"/>
            <w:gridSpan w:val="7"/>
            <w:tcBorders>
              <w:top w:val="single" w:sz="6" w:space="0" w:color="auto"/>
              <w:left w:val="single" w:sz="6" w:space="0" w:color="auto"/>
              <w:bottom w:val="single" w:sz="6" w:space="0" w:color="auto"/>
              <w:right w:val="single" w:sz="6" w:space="0" w:color="auto"/>
            </w:tcBorders>
          </w:tcPr>
          <w:p w14:paraId="3117AFDF" w14:textId="77777777" w:rsidR="00711444" w:rsidRPr="004D0DAA" w:rsidRDefault="00711444" w:rsidP="00AA2A4C">
            <w:pPr>
              <w:pStyle w:val="TAC"/>
              <w:rPr>
                <w:lang w:eastAsia="en-US"/>
              </w:rPr>
            </w:pPr>
            <w:r w:rsidRPr="004D0DAA">
              <w:rPr>
                <w:lang w:eastAsia="en-US"/>
              </w:rPr>
              <w:t>Length indicator=127</w:t>
            </w:r>
          </w:p>
        </w:tc>
        <w:tc>
          <w:tcPr>
            <w:tcW w:w="624" w:type="dxa"/>
            <w:tcBorders>
              <w:top w:val="single" w:sz="6" w:space="0" w:color="auto"/>
              <w:left w:val="single" w:sz="6" w:space="0" w:color="auto"/>
              <w:bottom w:val="single" w:sz="6" w:space="0" w:color="auto"/>
              <w:right w:val="single" w:sz="6" w:space="0" w:color="auto"/>
            </w:tcBorders>
          </w:tcPr>
          <w:p w14:paraId="74C2C0B2" w14:textId="77777777" w:rsidR="00711444" w:rsidRPr="004D0DAA" w:rsidRDefault="00711444" w:rsidP="00AA2A4C">
            <w:pPr>
              <w:pStyle w:val="TAC"/>
              <w:rPr>
                <w:lang w:eastAsia="en-US"/>
              </w:rPr>
            </w:pPr>
            <w:r w:rsidRPr="004D0DAA">
              <w:rPr>
                <w:lang w:eastAsia="en-US"/>
              </w:rPr>
              <w:t>E=1</w:t>
            </w:r>
          </w:p>
        </w:tc>
        <w:tc>
          <w:tcPr>
            <w:tcW w:w="1701" w:type="dxa"/>
            <w:tcBorders>
              <w:left w:val="single" w:sz="6" w:space="0" w:color="auto"/>
            </w:tcBorders>
          </w:tcPr>
          <w:p w14:paraId="6E675FD4" w14:textId="77777777" w:rsidR="00711444" w:rsidRPr="004D0DAA" w:rsidRDefault="00711444" w:rsidP="00AA2A4C">
            <w:pPr>
              <w:pStyle w:val="TAC"/>
              <w:rPr>
                <w:lang w:eastAsia="en-US"/>
              </w:rPr>
            </w:pPr>
            <w:r w:rsidRPr="004D0DAA">
              <w:rPr>
                <w:lang w:eastAsia="en-US"/>
              </w:rPr>
              <w:t>Octet 4</w:t>
            </w:r>
          </w:p>
        </w:tc>
        <w:tc>
          <w:tcPr>
            <w:tcW w:w="1567" w:type="dxa"/>
            <w:tcBorders>
              <w:bottom w:val="single" w:sz="4" w:space="0" w:color="auto"/>
            </w:tcBorders>
          </w:tcPr>
          <w:p w14:paraId="0ED428E7" w14:textId="77777777" w:rsidR="00711444" w:rsidRPr="004D0DAA" w:rsidRDefault="00711444" w:rsidP="00AA2A4C">
            <w:pPr>
              <w:pStyle w:val="TAC"/>
              <w:rPr>
                <w:lang w:eastAsia="en-US"/>
              </w:rPr>
            </w:pPr>
          </w:p>
        </w:tc>
      </w:tr>
      <w:tr w:rsidR="00711444" w:rsidRPr="004D0DAA" w14:paraId="09DFB1D1" w14:textId="77777777" w:rsidTr="00AA2A4C">
        <w:tblPrEx>
          <w:tblCellMar>
            <w:top w:w="0" w:type="dxa"/>
            <w:bottom w:w="0" w:type="dxa"/>
          </w:tblCellMar>
        </w:tblPrEx>
        <w:trPr>
          <w:cantSplit/>
        </w:trPr>
        <w:tc>
          <w:tcPr>
            <w:tcW w:w="871" w:type="dxa"/>
            <w:tcBorders>
              <w:left w:val="single" w:sz="6" w:space="0" w:color="auto"/>
            </w:tcBorders>
          </w:tcPr>
          <w:p w14:paraId="1EA4926B" w14:textId="77777777" w:rsidR="00711444" w:rsidRPr="004D0DAA" w:rsidRDefault="00711444" w:rsidP="00AA2A4C"/>
        </w:tc>
        <w:tc>
          <w:tcPr>
            <w:tcW w:w="624" w:type="dxa"/>
          </w:tcPr>
          <w:p w14:paraId="2A91D9D4" w14:textId="77777777" w:rsidR="00711444" w:rsidRPr="004D0DAA" w:rsidRDefault="00711444" w:rsidP="00AA2A4C"/>
        </w:tc>
        <w:tc>
          <w:tcPr>
            <w:tcW w:w="624" w:type="dxa"/>
          </w:tcPr>
          <w:p w14:paraId="385E7461" w14:textId="77777777" w:rsidR="00711444" w:rsidRPr="004D0DAA" w:rsidRDefault="00711444" w:rsidP="00AA2A4C"/>
        </w:tc>
        <w:tc>
          <w:tcPr>
            <w:tcW w:w="624" w:type="dxa"/>
          </w:tcPr>
          <w:p w14:paraId="1AA38954" w14:textId="77777777" w:rsidR="00711444" w:rsidRPr="004D0DAA" w:rsidRDefault="00711444" w:rsidP="00AA2A4C"/>
        </w:tc>
        <w:tc>
          <w:tcPr>
            <w:tcW w:w="624" w:type="dxa"/>
          </w:tcPr>
          <w:p w14:paraId="0ED81810" w14:textId="77777777" w:rsidR="00711444" w:rsidRPr="004D0DAA" w:rsidRDefault="00711444" w:rsidP="00AA2A4C"/>
        </w:tc>
        <w:tc>
          <w:tcPr>
            <w:tcW w:w="624" w:type="dxa"/>
          </w:tcPr>
          <w:p w14:paraId="131FC84D" w14:textId="77777777" w:rsidR="00711444" w:rsidRPr="004D0DAA" w:rsidRDefault="00711444" w:rsidP="00AA2A4C"/>
        </w:tc>
        <w:tc>
          <w:tcPr>
            <w:tcW w:w="624" w:type="dxa"/>
          </w:tcPr>
          <w:p w14:paraId="4553E513" w14:textId="77777777" w:rsidR="00711444" w:rsidRPr="004D0DAA" w:rsidRDefault="00711444" w:rsidP="00AA2A4C"/>
        </w:tc>
        <w:tc>
          <w:tcPr>
            <w:tcW w:w="624" w:type="dxa"/>
            <w:tcBorders>
              <w:right w:val="single" w:sz="6" w:space="0" w:color="auto"/>
            </w:tcBorders>
          </w:tcPr>
          <w:p w14:paraId="3E87DF19" w14:textId="77777777" w:rsidR="00711444" w:rsidRPr="004D0DAA" w:rsidRDefault="00711444" w:rsidP="00AA2A4C"/>
        </w:tc>
        <w:tc>
          <w:tcPr>
            <w:tcW w:w="1701" w:type="dxa"/>
            <w:tcBorders>
              <w:right w:val="single" w:sz="4" w:space="0" w:color="auto"/>
            </w:tcBorders>
          </w:tcPr>
          <w:p w14:paraId="7D8689B6" w14:textId="77777777" w:rsidR="00711444" w:rsidRPr="004D0DAA" w:rsidRDefault="00711444" w:rsidP="00AA2A4C">
            <w:pPr>
              <w:pStyle w:val="TAC"/>
              <w:rPr>
                <w:lang w:eastAsia="en-US"/>
              </w:rPr>
            </w:pPr>
            <w:r w:rsidRPr="004D0DAA">
              <w:rPr>
                <w:lang w:eastAsia="en-US"/>
              </w:rPr>
              <w:t>Octet 5</w:t>
            </w:r>
          </w:p>
        </w:tc>
        <w:tc>
          <w:tcPr>
            <w:tcW w:w="1567" w:type="dxa"/>
            <w:tcBorders>
              <w:top w:val="single" w:sz="4" w:space="0" w:color="auto"/>
              <w:left w:val="single" w:sz="4" w:space="0" w:color="auto"/>
              <w:right w:val="single" w:sz="4" w:space="0" w:color="auto"/>
            </w:tcBorders>
          </w:tcPr>
          <w:p w14:paraId="2D5DFDD5" w14:textId="77777777" w:rsidR="00711444" w:rsidRPr="004D0DAA" w:rsidRDefault="00711444" w:rsidP="00AA2A4C">
            <w:pPr>
              <w:pStyle w:val="TAC"/>
              <w:rPr>
                <w:lang w:eastAsia="en-US"/>
              </w:rPr>
            </w:pPr>
            <w:r w:rsidRPr="004D0DAA">
              <w:rPr>
                <w:lang w:eastAsia="en-US"/>
              </w:rPr>
              <w:t xml:space="preserve"> </w:t>
            </w:r>
          </w:p>
        </w:tc>
      </w:tr>
      <w:tr w:rsidR="00711444" w:rsidRPr="004D0DAA" w14:paraId="56FD2C62" w14:textId="77777777" w:rsidTr="00AA2A4C">
        <w:tblPrEx>
          <w:tblCellMar>
            <w:top w:w="0" w:type="dxa"/>
            <w:bottom w:w="0" w:type="dxa"/>
          </w:tblCellMar>
        </w:tblPrEx>
        <w:trPr>
          <w:cantSplit/>
          <w:trHeight w:val="507"/>
        </w:trPr>
        <w:tc>
          <w:tcPr>
            <w:tcW w:w="5239" w:type="dxa"/>
            <w:gridSpan w:val="8"/>
            <w:tcBorders>
              <w:left w:val="single" w:sz="6" w:space="0" w:color="auto"/>
              <w:right w:val="single" w:sz="6" w:space="0" w:color="auto"/>
            </w:tcBorders>
          </w:tcPr>
          <w:p w14:paraId="65B565CE" w14:textId="77777777" w:rsidR="00711444" w:rsidRPr="004D0DAA" w:rsidRDefault="00711444" w:rsidP="00AA2A4C">
            <w:pPr>
              <w:pStyle w:val="TAC"/>
              <w:rPr>
                <w:lang w:eastAsia="en-US"/>
              </w:rPr>
            </w:pPr>
            <w:r w:rsidRPr="004D0DAA">
              <w:rPr>
                <w:lang w:eastAsia="en-US"/>
              </w:rPr>
              <w:br/>
              <w:t>LLC PDU J+2</w:t>
            </w:r>
          </w:p>
        </w:tc>
        <w:tc>
          <w:tcPr>
            <w:tcW w:w="1701" w:type="dxa"/>
            <w:tcBorders>
              <w:right w:val="single" w:sz="4" w:space="0" w:color="auto"/>
            </w:tcBorders>
          </w:tcPr>
          <w:p w14:paraId="7B0F8997" w14:textId="77777777" w:rsidR="00711444" w:rsidRPr="004D0DAA" w:rsidRDefault="00711444" w:rsidP="00AA2A4C">
            <w:pPr>
              <w:pStyle w:val="TAC"/>
              <w:rPr>
                <w:lang w:eastAsia="en-US"/>
              </w:rPr>
            </w:pPr>
            <w:r w:rsidRPr="004D0DAA">
              <w:rPr>
                <w:lang w:eastAsia="en-US"/>
              </w:rPr>
              <w:t>.</w:t>
            </w:r>
          </w:p>
          <w:p w14:paraId="1E1E6C6E" w14:textId="77777777" w:rsidR="00711444" w:rsidRPr="004D0DAA" w:rsidRDefault="00711444" w:rsidP="00AA2A4C">
            <w:pPr>
              <w:pStyle w:val="TAC"/>
              <w:rPr>
                <w:lang w:eastAsia="en-US"/>
              </w:rPr>
            </w:pPr>
            <w:r w:rsidRPr="004D0DAA">
              <w:rPr>
                <w:lang w:eastAsia="en-US"/>
              </w:rPr>
              <w:t>.</w:t>
            </w:r>
          </w:p>
          <w:p w14:paraId="10327422" w14:textId="77777777" w:rsidR="00711444" w:rsidRPr="004D0DAA" w:rsidRDefault="00711444" w:rsidP="00AA2A4C">
            <w:pPr>
              <w:pStyle w:val="TAC"/>
              <w:rPr>
                <w:lang w:eastAsia="en-US"/>
              </w:rPr>
            </w:pPr>
            <w:r w:rsidRPr="004D0DAA">
              <w:rPr>
                <w:lang w:eastAsia="en-US"/>
              </w:rPr>
              <w:t>.</w:t>
            </w:r>
          </w:p>
        </w:tc>
        <w:tc>
          <w:tcPr>
            <w:tcW w:w="1567" w:type="dxa"/>
            <w:tcBorders>
              <w:left w:val="single" w:sz="4" w:space="0" w:color="auto"/>
              <w:right w:val="single" w:sz="4" w:space="0" w:color="auto"/>
            </w:tcBorders>
          </w:tcPr>
          <w:p w14:paraId="7A9DEA5B" w14:textId="77777777" w:rsidR="00711444" w:rsidRPr="004D0DAA" w:rsidRDefault="00711444" w:rsidP="00AA2A4C">
            <w:pPr>
              <w:pStyle w:val="TAC"/>
              <w:rPr>
                <w:lang w:eastAsia="en-US"/>
              </w:rPr>
            </w:pPr>
          </w:p>
          <w:p w14:paraId="17349322" w14:textId="77777777" w:rsidR="00711444" w:rsidRPr="004D0DAA" w:rsidRDefault="00711444" w:rsidP="00AA2A4C">
            <w:pPr>
              <w:pStyle w:val="TAC"/>
              <w:rPr>
                <w:lang w:eastAsia="en-US"/>
              </w:rPr>
            </w:pPr>
            <w:r w:rsidRPr="004D0DAA">
              <w:rPr>
                <w:lang w:eastAsia="en-US"/>
              </w:rPr>
              <w:t>LLC PDU J+2</w:t>
            </w:r>
          </w:p>
        </w:tc>
      </w:tr>
      <w:tr w:rsidR="00711444" w:rsidRPr="004D0DAA" w14:paraId="26A4D6C8" w14:textId="77777777" w:rsidTr="00AA2A4C">
        <w:tblPrEx>
          <w:tblCellMar>
            <w:top w:w="0" w:type="dxa"/>
            <w:bottom w:w="0" w:type="dxa"/>
          </w:tblCellMar>
        </w:tblPrEx>
        <w:trPr>
          <w:cantSplit/>
        </w:trPr>
        <w:tc>
          <w:tcPr>
            <w:tcW w:w="871" w:type="dxa"/>
            <w:tcBorders>
              <w:left w:val="single" w:sz="6" w:space="0" w:color="auto"/>
              <w:bottom w:val="single" w:sz="4" w:space="0" w:color="auto"/>
            </w:tcBorders>
          </w:tcPr>
          <w:p w14:paraId="499C8BCF" w14:textId="77777777" w:rsidR="00711444" w:rsidRPr="004D0DAA" w:rsidRDefault="00711444" w:rsidP="00AA2A4C"/>
        </w:tc>
        <w:tc>
          <w:tcPr>
            <w:tcW w:w="624" w:type="dxa"/>
            <w:tcBorders>
              <w:bottom w:val="single" w:sz="4" w:space="0" w:color="auto"/>
            </w:tcBorders>
          </w:tcPr>
          <w:p w14:paraId="15AC66BC" w14:textId="77777777" w:rsidR="00711444" w:rsidRPr="004D0DAA" w:rsidRDefault="00711444" w:rsidP="00AA2A4C"/>
        </w:tc>
        <w:tc>
          <w:tcPr>
            <w:tcW w:w="624" w:type="dxa"/>
            <w:tcBorders>
              <w:bottom w:val="single" w:sz="4" w:space="0" w:color="auto"/>
            </w:tcBorders>
          </w:tcPr>
          <w:p w14:paraId="11EDE84E" w14:textId="77777777" w:rsidR="00711444" w:rsidRPr="004D0DAA" w:rsidRDefault="00711444" w:rsidP="00AA2A4C"/>
        </w:tc>
        <w:tc>
          <w:tcPr>
            <w:tcW w:w="624" w:type="dxa"/>
            <w:tcBorders>
              <w:bottom w:val="single" w:sz="4" w:space="0" w:color="auto"/>
            </w:tcBorders>
          </w:tcPr>
          <w:p w14:paraId="6EF5C00A" w14:textId="77777777" w:rsidR="00711444" w:rsidRPr="004D0DAA" w:rsidRDefault="00711444" w:rsidP="00AA2A4C"/>
        </w:tc>
        <w:tc>
          <w:tcPr>
            <w:tcW w:w="624" w:type="dxa"/>
            <w:tcBorders>
              <w:bottom w:val="single" w:sz="4" w:space="0" w:color="auto"/>
            </w:tcBorders>
          </w:tcPr>
          <w:p w14:paraId="64D53950" w14:textId="77777777" w:rsidR="00711444" w:rsidRPr="004D0DAA" w:rsidRDefault="00711444" w:rsidP="00AA2A4C"/>
        </w:tc>
        <w:tc>
          <w:tcPr>
            <w:tcW w:w="624" w:type="dxa"/>
            <w:tcBorders>
              <w:bottom w:val="single" w:sz="4" w:space="0" w:color="auto"/>
            </w:tcBorders>
          </w:tcPr>
          <w:p w14:paraId="6304B1AA" w14:textId="77777777" w:rsidR="00711444" w:rsidRPr="004D0DAA" w:rsidRDefault="00711444" w:rsidP="00AA2A4C"/>
        </w:tc>
        <w:tc>
          <w:tcPr>
            <w:tcW w:w="624" w:type="dxa"/>
            <w:tcBorders>
              <w:bottom w:val="single" w:sz="4" w:space="0" w:color="auto"/>
            </w:tcBorders>
          </w:tcPr>
          <w:p w14:paraId="4620AD69" w14:textId="77777777" w:rsidR="00711444" w:rsidRPr="004D0DAA" w:rsidRDefault="00711444" w:rsidP="00AA2A4C"/>
        </w:tc>
        <w:tc>
          <w:tcPr>
            <w:tcW w:w="624" w:type="dxa"/>
            <w:tcBorders>
              <w:bottom w:val="single" w:sz="4" w:space="0" w:color="auto"/>
              <w:right w:val="single" w:sz="6" w:space="0" w:color="auto"/>
            </w:tcBorders>
          </w:tcPr>
          <w:p w14:paraId="6EA96923" w14:textId="77777777" w:rsidR="00711444" w:rsidRPr="004D0DAA" w:rsidRDefault="00711444" w:rsidP="00AA2A4C"/>
        </w:tc>
        <w:tc>
          <w:tcPr>
            <w:tcW w:w="1701" w:type="dxa"/>
            <w:tcBorders>
              <w:right w:val="single" w:sz="4" w:space="0" w:color="auto"/>
            </w:tcBorders>
          </w:tcPr>
          <w:p w14:paraId="7433554E" w14:textId="77777777" w:rsidR="00711444" w:rsidRPr="004D0DAA" w:rsidRDefault="00711444" w:rsidP="00AA2A4C">
            <w:pPr>
              <w:pStyle w:val="TAC"/>
              <w:rPr>
                <w:lang w:eastAsia="en-US"/>
              </w:rPr>
            </w:pPr>
            <w:r w:rsidRPr="004D0DAA">
              <w:rPr>
                <w:lang w:eastAsia="en-US"/>
              </w:rPr>
              <w:t>Octet 23</w:t>
            </w:r>
          </w:p>
        </w:tc>
        <w:tc>
          <w:tcPr>
            <w:tcW w:w="1567" w:type="dxa"/>
            <w:tcBorders>
              <w:left w:val="single" w:sz="4" w:space="0" w:color="auto"/>
              <w:bottom w:val="single" w:sz="4" w:space="0" w:color="auto"/>
              <w:right w:val="single" w:sz="4" w:space="0" w:color="auto"/>
            </w:tcBorders>
          </w:tcPr>
          <w:p w14:paraId="705C7942" w14:textId="77777777" w:rsidR="00711444" w:rsidRPr="004D0DAA" w:rsidRDefault="00711444" w:rsidP="00AA2A4C">
            <w:pPr>
              <w:pStyle w:val="TAC"/>
              <w:rPr>
                <w:lang w:eastAsia="en-US"/>
              </w:rPr>
            </w:pPr>
          </w:p>
        </w:tc>
      </w:tr>
      <w:tr w:rsidR="00711444" w:rsidRPr="004D0DAA" w14:paraId="4F25725F" w14:textId="77777777" w:rsidTr="00AA2A4C">
        <w:tblPrEx>
          <w:tblCellMar>
            <w:top w:w="0" w:type="dxa"/>
            <w:bottom w:w="0" w:type="dxa"/>
          </w:tblCellMar>
        </w:tblPrEx>
        <w:trPr>
          <w:cantSplit/>
        </w:trPr>
        <w:tc>
          <w:tcPr>
            <w:tcW w:w="871" w:type="dxa"/>
            <w:tcBorders>
              <w:top w:val="single" w:sz="4" w:space="0" w:color="auto"/>
              <w:left w:val="single" w:sz="6" w:space="0" w:color="auto"/>
            </w:tcBorders>
          </w:tcPr>
          <w:p w14:paraId="1CD08F99" w14:textId="77777777" w:rsidR="00711444" w:rsidRPr="004D0DAA" w:rsidRDefault="00711444" w:rsidP="00AA2A4C"/>
        </w:tc>
        <w:tc>
          <w:tcPr>
            <w:tcW w:w="624" w:type="dxa"/>
            <w:tcBorders>
              <w:top w:val="single" w:sz="4" w:space="0" w:color="auto"/>
            </w:tcBorders>
          </w:tcPr>
          <w:p w14:paraId="0821AB5D" w14:textId="77777777" w:rsidR="00711444" w:rsidRPr="004D0DAA" w:rsidRDefault="00711444" w:rsidP="00AA2A4C"/>
        </w:tc>
        <w:tc>
          <w:tcPr>
            <w:tcW w:w="624" w:type="dxa"/>
            <w:tcBorders>
              <w:top w:val="single" w:sz="4" w:space="0" w:color="auto"/>
            </w:tcBorders>
          </w:tcPr>
          <w:p w14:paraId="0EB7CCE7" w14:textId="77777777" w:rsidR="00711444" w:rsidRPr="004D0DAA" w:rsidRDefault="00711444" w:rsidP="00AA2A4C"/>
        </w:tc>
        <w:tc>
          <w:tcPr>
            <w:tcW w:w="624" w:type="dxa"/>
            <w:tcBorders>
              <w:top w:val="single" w:sz="4" w:space="0" w:color="auto"/>
            </w:tcBorders>
          </w:tcPr>
          <w:p w14:paraId="3C3C83A6" w14:textId="77777777" w:rsidR="00711444" w:rsidRPr="004D0DAA" w:rsidRDefault="00711444" w:rsidP="00AA2A4C"/>
        </w:tc>
        <w:tc>
          <w:tcPr>
            <w:tcW w:w="624" w:type="dxa"/>
            <w:tcBorders>
              <w:top w:val="single" w:sz="4" w:space="0" w:color="auto"/>
            </w:tcBorders>
          </w:tcPr>
          <w:p w14:paraId="789346F3" w14:textId="77777777" w:rsidR="00711444" w:rsidRPr="004D0DAA" w:rsidRDefault="00711444" w:rsidP="00AA2A4C"/>
        </w:tc>
        <w:tc>
          <w:tcPr>
            <w:tcW w:w="624" w:type="dxa"/>
            <w:tcBorders>
              <w:top w:val="single" w:sz="4" w:space="0" w:color="auto"/>
            </w:tcBorders>
          </w:tcPr>
          <w:p w14:paraId="4515DBB4" w14:textId="77777777" w:rsidR="00711444" w:rsidRPr="004D0DAA" w:rsidRDefault="00711444" w:rsidP="00AA2A4C"/>
        </w:tc>
        <w:tc>
          <w:tcPr>
            <w:tcW w:w="624" w:type="dxa"/>
            <w:tcBorders>
              <w:top w:val="single" w:sz="4" w:space="0" w:color="auto"/>
            </w:tcBorders>
          </w:tcPr>
          <w:p w14:paraId="729A52F1" w14:textId="77777777" w:rsidR="00711444" w:rsidRPr="004D0DAA" w:rsidRDefault="00711444" w:rsidP="00AA2A4C"/>
        </w:tc>
        <w:tc>
          <w:tcPr>
            <w:tcW w:w="624" w:type="dxa"/>
            <w:tcBorders>
              <w:top w:val="single" w:sz="4" w:space="0" w:color="auto"/>
              <w:right w:val="single" w:sz="6" w:space="0" w:color="auto"/>
            </w:tcBorders>
          </w:tcPr>
          <w:p w14:paraId="256CDD7D" w14:textId="77777777" w:rsidR="00711444" w:rsidRPr="004D0DAA" w:rsidRDefault="00711444" w:rsidP="00AA2A4C"/>
        </w:tc>
        <w:tc>
          <w:tcPr>
            <w:tcW w:w="1701" w:type="dxa"/>
          </w:tcPr>
          <w:p w14:paraId="5C79DAA7" w14:textId="77777777" w:rsidR="00711444" w:rsidRPr="004D0DAA" w:rsidRDefault="00711444" w:rsidP="00AA2A4C"/>
        </w:tc>
        <w:tc>
          <w:tcPr>
            <w:tcW w:w="1567" w:type="dxa"/>
            <w:tcBorders>
              <w:top w:val="single" w:sz="4" w:space="0" w:color="auto"/>
            </w:tcBorders>
          </w:tcPr>
          <w:p w14:paraId="49C61521" w14:textId="77777777" w:rsidR="00711444" w:rsidRPr="004D0DAA" w:rsidRDefault="00711444" w:rsidP="00AA2A4C">
            <w:pPr>
              <w:pStyle w:val="TAC"/>
              <w:rPr>
                <w:lang w:eastAsia="en-US"/>
              </w:rPr>
            </w:pPr>
          </w:p>
        </w:tc>
      </w:tr>
      <w:tr w:rsidR="00711444" w:rsidRPr="004D0DAA" w14:paraId="54F582CA" w14:textId="77777777" w:rsidTr="00AA2A4C">
        <w:tblPrEx>
          <w:tblCellMar>
            <w:top w:w="0" w:type="dxa"/>
            <w:bottom w:w="0" w:type="dxa"/>
          </w:tblCellMar>
        </w:tblPrEx>
        <w:trPr>
          <w:cantSplit/>
        </w:trPr>
        <w:tc>
          <w:tcPr>
            <w:tcW w:w="871" w:type="dxa"/>
            <w:tcBorders>
              <w:left w:val="single" w:sz="6" w:space="0" w:color="auto"/>
            </w:tcBorders>
          </w:tcPr>
          <w:p w14:paraId="6AA1891D" w14:textId="77777777" w:rsidR="00711444" w:rsidRPr="004D0DAA" w:rsidRDefault="00711444" w:rsidP="00AA2A4C"/>
        </w:tc>
        <w:tc>
          <w:tcPr>
            <w:tcW w:w="624" w:type="dxa"/>
          </w:tcPr>
          <w:p w14:paraId="52161F3C" w14:textId="77777777" w:rsidR="00711444" w:rsidRPr="004D0DAA" w:rsidRDefault="00711444" w:rsidP="00AA2A4C"/>
        </w:tc>
        <w:tc>
          <w:tcPr>
            <w:tcW w:w="2496" w:type="dxa"/>
            <w:gridSpan w:val="4"/>
          </w:tcPr>
          <w:p w14:paraId="35B92ABF" w14:textId="77777777" w:rsidR="00711444" w:rsidRPr="004D0DAA" w:rsidRDefault="00711444" w:rsidP="00AA2A4C">
            <w:pPr>
              <w:pStyle w:val="TAC"/>
              <w:rPr>
                <w:lang w:eastAsia="en-US"/>
              </w:rPr>
            </w:pPr>
            <w:r w:rsidRPr="004D0DAA">
              <w:rPr>
                <w:lang w:eastAsia="en-US"/>
              </w:rPr>
              <w:t>Filling Octets</w:t>
            </w:r>
          </w:p>
        </w:tc>
        <w:tc>
          <w:tcPr>
            <w:tcW w:w="624" w:type="dxa"/>
          </w:tcPr>
          <w:p w14:paraId="1BA9B516" w14:textId="77777777" w:rsidR="00711444" w:rsidRPr="004D0DAA" w:rsidRDefault="00711444" w:rsidP="00AA2A4C"/>
        </w:tc>
        <w:tc>
          <w:tcPr>
            <w:tcW w:w="624" w:type="dxa"/>
            <w:tcBorders>
              <w:right w:val="single" w:sz="6" w:space="0" w:color="auto"/>
            </w:tcBorders>
          </w:tcPr>
          <w:p w14:paraId="5894BC58" w14:textId="77777777" w:rsidR="00711444" w:rsidRPr="004D0DAA" w:rsidRDefault="00711444" w:rsidP="00AA2A4C"/>
        </w:tc>
        <w:tc>
          <w:tcPr>
            <w:tcW w:w="1701" w:type="dxa"/>
          </w:tcPr>
          <w:p w14:paraId="5D0A7461" w14:textId="77777777" w:rsidR="00711444" w:rsidRPr="004D0DAA" w:rsidRDefault="00711444" w:rsidP="00AA2A4C"/>
        </w:tc>
        <w:tc>
          <w:tcPr>
            <w:tcW w:w="1567" w:type="dxa"/>
          </w:tcPr>
          <w:p w14:paraId="751F831A" w14:textId="77777777" w:rsidR="00711444" w:rsidRPr="004D0DAA" w:rsidRDefault="00711444" w:rsidP="00AA2A4C">
            <w:pPr>
              <w:pStyle w:val="TAC"/>
              <w:rPr>
                <w:lang w:eastAsia="en-US"/>
              </w:rPr>
            </w:pPr>
          </w:p>
        </w:tc>
      </w:tr>
      <w:tr w:rsidR="00711444" w:rsidRPr="004D0DAA" w14:paraId="6075CAA6" w14:textId="77777777" w:rsidTr="00AA2A4C">
        <w:tblPrEx>
          <w:tblCellMar>
            <w:top w:w="0" w:type="dxa"/>
            <w:bottom w:w="0" w:type="dxa"/>
          </w:tblCellMar>
        </w:tblPrEx>
        <w:trPr>
          <w:cantSplit/>
        </w:trPr>
        <w:tc>
          <w:tcPr>
            <w:tcW w:w="871" w:type="dxa"/>
            <w:tcBorders>
              <w:left w:val="single" w:sz="6" w:space="0" w:color="auto"/>
              <w:bottom w:val="single" w:sz="4" w:space="0" w:color="auto"/>
            </w:tcBorders>
          </w:tcPr>
          <w:p w14:paraId="69A77372" w14:textId="77777777" w:rsidR="00711444" w:rsidRPr="004D0DAA" w:rsidRDefault="00711444" w:rsidP="00AA2A4C"/>
        </w:tc>
        <w:tc>
          <w:tcPr>
            <w:tcW w:w="624" w:type="dxa"/>
            <w:tcBorders>
              <w:bottom w:val="single" w:sz="4" w:space="0" w:color="auto"/>
            </w:tcBorders>
          </w:tcPr>
          <w:p w14:paraId="5804C41D" w14:textId="77777777" w:rsidR="00711444" w:rsidRPr="004D0DAA" w:rsidRDefault="00711444" w:rsidP="00AA2A4C"/>
        </w:tc>
        <w:tc>
          <w:tcPr>
            <w:tcW w:w="624" w:type="dxa"/>
            <w:tcBorders>
              <w:bottom w:val="single" w:sz="4" w:space="0" w:color="auto"/>
            </w:tcBorders>
          </w:tcPr>
          <w:p w14:paraId="49E4755C" w14:textId="77777777" w:rsidR="00711444" w:rsidRPr="004D0DAA" w:rsidRDefault="00711444" w:rsidP="00AA2A4C"/>
        </w:tc>
        <w:tc>
          <w:tcPr>
            <w:tcW w:w="624" w:type="dxa"/>
            <w:tcBorders>
              <w:bottom w:val="single" w:sz="4" w:space="0" w:color="auto"/>
            </w:tcBorders>
          </w:tcPr>
          <w:p w14:paraId="5C7728AE" w14:textId="77777777" w:rsidR="00711444" w:rsidRPr="004D0DAA" w:rsidRDefault="00711444" w:rsidP="00AA2A4C"/>
        </w:tc>
        <w:tc>
          <w:tcPr>
            <w:tcW w:w="624" w:type="dxa"/>
            <w:tcBorders>
              <w:bottom w:val="single" w:sz="4" w:space="0" w:color="auto"/>
            </w:tcBorders>
          </w:tcPr>
          <w:p w14:paraId="62608861" w14:textId="77777777" w:rsidR="00711444" w:rsidRPr="004D0DAA" w:rsidRDefault="00711444" w:rsidP="00AA2A4C"/>
        </w:tc>
        <w:tc>
          <w:tcPr>
            <w:tcW w:w="624" w:type="dxa"/>
            <w:tcBorders>
              <w:bottom w:val="single" w:sz="4" w:space="0" w:color="auto"/>
            </w:tcBorders>
          </w:tcPr>
          <w:p w14:paraId="2C5CE408" w14:textId="77777777" w:rsidR="00711444" w:rsidRPr="004D0DAA" w:rsidRDefault="00711444" w:rsidP="00AA2A4C"/>
        </w:tc>
        <w:tc>
          <w:tcPr>
            <w:tcW w:w="624" w:type="dxa"/>
            <w:tcBorders>
              <w:bottom w:val="single" w:sz="4" w:space="0" w:color="auto"/>
            </w:tcBorders>
          </w:tcPr>
          <w:p w14:paraId="02A4C4E0" w14:textId="77777777" w:rsidR="00711444" w:rsidRPr="004D0DAA" w:rsidRDefault="00711444" w:rsidP="00AA2A4C"/>
        </w:tc>
        <w:tc>
          <w:tcPr>
            <w:tcW w:w="624" w:type="dxa"/>
            <w:tcBorders>
              <w:bottom w:val="single" w:sz="4" w:space="0" w:color="auto"/>
              <w:right w:val="single" w:sz="6" w:space="0" w:color="auto"/>
            </w:tcBorders>
          </w:tcPr>
          <w:p w14:paraId="0621812C" w14:textId="77777777" w:rsidR="00711444" w:rsidRPr="004D0DAA" w:rsidRDefault="00711444" w:rsidP="00AA2A4C"/>
        </w:tc>
        <w:tc>
          <w:tcPr>
            <w:tcW w:w="1701" w:type="dxa"/>
          </w:tcPr>
          <w:p w14:paraId="4E652684" w14:textId="77777777" w:rsidR="00711444" w:rsidRPr="004D0DAA" w:rsidRDefault="00711444" w:rsidP="00AA2A4C">
            <w:pPr>
              <w:pStyle w:val="TAC"/>
              <w:rPr>
                <w:lang w:eastAsia="en-US"/>
              </w:rPr>
            </w:pPr>
            <w:r w:rsidRPr="004D0DAA">
              <w:rPr>
                <w:lang w:eastAsia="en-US"/>
              </w:rPr>
              <w:t>Octet N2</w:t>
            </w:r>
          </w:p>
        </w:tc>
        <w:tc>
          <w:tcPr>
            <w:tcW w:w="1567" w:type="dxa"/>
          </w:tcPr>
          <w:p w14:paraId="198362E6" w14:textId="77777777" w:rsidR="00711444" w:rsidRPr="004D0DAA" w:rsidRDefault="00711444" w:rsidP="00AA2A4C">
            <w:pPr>
              <w:pStyle w:val="TAC"/>
              <w:rPr>
                <w:lang w:eastAsia="en-US"/>
              </w:rPr>
            </w:pPr>
          </w:p>
        </w:tc>
      </w:tr>
    </w:tbl>
    <w:p w14:paraId="21EC2BE1" w14:textId="77777777" w:rsidR="00711444" w:rsidRPr="004D0DAA" w:rsidRDefault="00711444" w:rsidP="00711444">
      <w:pPr>
        <w:pStyle w:val="TAL"/>
      </w:pPr>
    </w:p>
    <w:p w14:paraId="7C5C2DF4" w14:textId="77777777" w:rsidR="00711444" w:rsidRPr="004D0DAA" w:rsidRDefault="00711444" w:rsidP="00711444">
      <w:pPr>
        <w:pStyle w:val="TF"/>
      </w:pPr>
      <w:r w:rsidRPr="004D0DAA">
        <w:t>Figure B.11: Example for the case when the LLC PDU J+1 ends in the previous RLC data block and the start of the next LLC PDU J+2 is in the next RLC data block which is indicated using LI=126 as the first LI in that RLC data block.</w:t>
      </w:r>
    </w:p>
    <w:p w14:paraId="775BD3F6" w14:textId="77777777" w:rsidR="00711444" w:rsidRPr="004D0DAA" w:rsidRDefault="00711444" w:rsidP="00711444">
      <w:pPr>
        <w:pStyle w:val="Heading8"/>
        <w:keepNext w:val="0"/>
        <w:keepLines w:val="0"/>
      </w:pPr>
      <w:r w:rsidRPr="004D0DAA">
        <w:br w:type="page"/>
      </w:r>
      <w:bookmarkStart w:id="893" w:name="_Toc516670066"/>
      <w:r w:rsidRPr="004D0DAA">
        <w:lastRenderedPageBreak/>
        <w:t>Annex C (informative):</w:t>
      </w:r>
      <w:r w:rsidRPr="004D0DAA">
        <w:br/>
        <w:t>Message Sequence Diagrams</w:t>
      </w:r>
      <w:bookmarkEnd w:id="893"/>
    </w:p>
    <w:p w14:paraId="18DF7AFB" w14:textId="77777777" w:rsidR="00711444" w:rsidRPr="004D0DAA" w:rsidRDefault="00711444" w:rsidP="00711444">
      <w:r w:rsidRPr="004D0DAA">
        <w:t>The following figures illustrate message sequences for:</w:t>
      </w:r>
    </w:p>
    <w:p w14:paraId="507DB757" w14:textId="77777777" w:rsidR="00711444" w:rsidRPr="004D0DAA" w:rsidRDefault="00711444" w:rsidP="00711444">
      <w:pPr>
        <w:pStyle w:val="B1"/>
      </w:pPr>
      <w:r w:rsidRPr="004D0DAA">
        <w:t>-</w:t>
      </w:r>
      <w:r w:rsidRPr="004D0DAA">
        <w:tab/>
        <w:t>one phase mobile originated access (figure C.1); and</w:t>
      </w:r>
    </w:p>
    <w:p w14:paraId="01EF5B60" w14:textId="77777777" w:rsidR="00711444" w:rsidRPr="004D0DAA" w:rsidRDefault="00711444" w:rsidP="00711444">
      <w:pPr>
        <w:pStyle w:val="B1"/>
      </w:pPr>
      <w:r w:rsidRPr="004D0DAA">
        <w:t>-</w:t>
      </w:r>
      <w:r w:rsidRPr="004D0DAA">
        <w:tab/>
        <w:t>network originated access (figure C.2).</w:t>
      </w:r>
    </w:p>
    <w:bookmarkStart w:id="894" w:name="_MON_1182332779"/>
    <w:bookmarkEnd w:id="894"/>
    <w:p w14:paraId="56913263" w14:textId="77777777" w:rsidR="00711444" w:rsidRPr="004D0DAA" w:rsidRDefault="00711444" w:rsidP="00711444">
      <w:pPr>
        <w:pStyle w:val="TH"/>
      </w:pPr>
      <w:r w:rsidRPr="004D0DAA">
        <w:object w:dxaOrig="7800" w:dyaOrig="6376" w14:anchorId="7FF73FBB">
          <v:shape id="_x0000_i1032" type="#_x0000_t75" style="width:390pt;height:318.6pt" o:ole="">
            <v:imagedata r:id="rId25" o:title=""/>
          </v:shape>
          <o:OLEObject Type="Embed" ProgID="Word.Picture.8" ShapeID="_x0000_i1032" DrawAspect="Content" ObjectID="_1821896824" r:id="rId26"/>
        </w:object>
      </w:r>
    </w:p>
    <w:p w14:paraId="1B46E8DF" w14:textId="77777777" w:rsidR="00711444" w:rsidRPr="004D0DAA" w:rsidRDefault="00711444" w:rsidP="00711444">
      <w:pPr>
        <w:pStyle w:val="TF"/>
        <w:rPr>
          <w:b w:val="0"/>
          <w:bCs/>
        </w:rPr>
      </w:pPr>
      <w:r w:rsidRPr="004D0DAA">
        <w:t>Figure C.1: Message Sequence Diagram for one phase packet access</w:t>
      </w:r>
    </w:p>
    <w:bookmarkStart w:id="895" w:name="_MON_1178200291"/>
    <w:bookmarkStart w:id="896" w:name="_MON_1182330827"/>
    <w:bookmarkStart w:id="897" w:name="_MON_1182332780"/>
    <w:bookmarkEnd w:id="895"/>
    <w:bookmarkEnd w:id="896"/>
    <w:bookmarkEnd w:id="897"/>
    <w:p w14:paraId="0A606285" w14:textId="77777777" w:rsidR="00711444" w:rsidRPr="004D0DAA" w:rsidRDefault="00711444" w:rsidP="00711444">
      <w:pPr>
        <w:pStyle w:val="TH"/>
      </w:pPr>
      <w:r w:rsidRPr="004D0DAA">
        <w:object w:dxaOrig="8081" w:dyaOrig="1809" w14:anchorId="4B54EEE8">
          <v:shape id="_x0000_i1033" type="#_x0000_t75" style="width:403.8pt;height:90.6pt" o:ole="" fillcolor="window">
            <v:imagedata r:id="rId27" o:title=""/>
          </v:shape>
          <o:OLEObject Type="Embed" ProgID="Word.Picture.8" ShapeID="_x0000_i1033" DrawAspect="Content" ObjectID="_1821896825" r:id="rId28"/>
        </w:object>
      </w:r>
    </w:p>
    <w:p w14:paraId="2EB041F0" w14:textId="77777777" w:rsidR="00711444" w:rsidRPr="004D0DAA" w:rsidRDefault="00711444" w:rsidP="00711444">
      <w:pPr>
        <w:pStyle w:val="TF"/>
        <w:keepLines w:val="0"/>
      </w:pPr>
      <w:r w:rsidRPr="004D0DAA">
        <w:t>Figure C.2: TBF establishment initiated by the network</w:t>
      </w:r>
    </w:p>
    <w:p w14:paraId="3ADE61D0" w14:textId="77777777" w:rsidR="00711444" w:rsidRPr="004D0DAA" w:rsidRDefault="00711444" w:rsidP="00711444">
      <w:pPr>
        <w:pStyle w:val="Heading8"/>
        <w:keepNext w:val="0"/>
        <w:keepLines w:val="0"/>
        <w:rPr>
          <w:lang w:val="fr-FR"/>
        </w:rPr>
      </w:pPr>
      <w:r w:rsidRPr="004D0DAA">
        <w:rPr>
          <w:lang w:val="fr-FR"/>
        </w:rPr>
        <w:br w:type="page"/>
      </w:r>
      <w:bookmarkStart w:id="898" w:name="_Toc516670067"/>
      <w:r w:rsidRPr="004D0DAA">
        <w:rPr>
          <w:lang w:val="fr-FR"/>
        </w:rPr>
        <w:lastRenderedPageBreak/>
        <w:t>Annex D (informative):</w:t>
      </w:r>
      <w:r w:rsidRPr="004D0DAA">
        <w:rPr>
          <w:lang w:val="fr-FR"/>
        </w:rPr>
        <w:br/>
        <w:t>(void)</w:t>
      </w:r>
      <w:bookmarkEnd w:id="898"/>
    </w:p>
    <w:p w14:paraId="005B494D" w14:textId="77777777" w:rsidR="00711444" w:rsidRPr="004D0DAA" w:rsidRDefault="00711444" w:rsidP="00711444">
      <w:pPr>
        <w:pStyle w:val="Heading8"/>
        <w:keepNext w:val="0"/>
        <w:keepLines w:val="0"/>
        <w:rPr>
          <w:lang w:val="fr-FR"/>
        </w:rPr>
      </w:pPr>
      <w:r w:rsidRPr="004D0DAA">
        <w:rPr>
          <w:lang w:val="fr-FR"/>
        </w:rPr>
        <w:br w:type="page"/>
      </w:r>
      <w:bookmarkStart w:id="899" w:name="_Toc516670068"/>
      <w:r w:rsidRPr="004D0DAA">
        <w:rPr>
          <w:lang w:val="fr-FR"/>
        </w:rPr>
        <w:lastRenderedPageBreak/>
        <w:t>Annex E (informative):</w:t>
      </w:r>
      <w:r w:rsidRPr="004D0DAA">
        <w:rPr>
          <w:lang w:val="fr-FR"/>
        </w:rPr>
        <w:br/>
        <w:t>(void)</w:t>
      </w:r>
      <w:bookmarkEnd w:id="899"/>
    </w:p>
    <w:p w14:paraId="4917AF31" w14:textId="77777777" w:rsidR="00711444" w:rsidRPr="004D0DAA" w:rsidRDefault="00711444" w:rsidP="00711444">
      <w:pPr>
        <w:pStyle w:val="Heading8"/>
        <w:keepNext w:val="0"/>
        <w:keepLines w:val="0"/>
      </w:pPr>
      <w:r w:rsidRPr="004D0DAA">
        <w:rPr>
          <w:lang w:val="en-US"/>
        </w:rPr>
        <w:br w:type="page"/>
      </w:r>
      <w:bookmarkStart w:id="900" w:name="_Toc516670069"/>
      <w:r w:rsidRPr="004D0DAA">
        <w:lastRenderedPageBreak/>
        <w:t>Annex F (informative):</w:t>
      </w:r>
      <w:r w:rsidRPr="004D0DAA">
        <w:br/>
        <w:t>Examples of Countdown procedure operation</w:t>
      </w:r>
      <w:bookmarkEnd w:id="900"/>
    </w:p>
    <w:p w14:paraId="2CA8C8B0" w14:textId="77777777" w:rsidR="00711444" w:rsidRPr="004D0DAA" w:rsidRDefault="00711444" w:rsidP="00711444">
      <w:r w:rsidRPr="004D0DAA">
        <w:t>This annex presents several examples of the countdown procedure operation.</w:t>
      </w:r>
    </w:p>
    <w:p w14:paraId="6227E0A7" w14:textId="77777777" w:rsidR="00711444" w:rsidRPr="004D0DAA" w:rsidRDefault="00711444" w:rsidP="00711444">
      <w:r w:rsidRPr="004D0DAA">
        <w:t>The following parameters are used in the following examples:</w:t>
      </w:r>
    </w:p>
    <w:p w14:paraId="2EE242E8" w14:textId="77777777" w:rsidR="00711444" w:rsidRPr="004D0DAA" w:rsidRDefault="00711444" w:rsidP="00711444">
      <w:pPr>
        <w:pStyle w:val="EX"/>
      </w:pPr>
      <w:r w:rsidRPr="004D0DAA">
        <w:t>TBC = total number of RLC data blocks that will be transmitted in the TBF;</w:t>
      </w:r>
    </w:p>
    <w:p w14:paraId="392D88C3" w14:textId="77777777" w:rsidR="00711444" w:rsidRPr="004D0DAA" w:rsidRDefault="00711444" w:rsidP="00711444">
      <w:pPr>
        <w:pStyle w:val="EX"/>
      </w:pPr>
      <w:r w:rsidRPr="004D0DAA">
        <w:t>BSN' = absolute block sequence number of the RLC data block, with range from 0 to (TBC - 1);</w:t>
      </w:r>
    </w:p>
    <w:p w14:paraId="22E46973" w14:textId="77777777" w:rsidR="00711444" w:rsidRPr="004D0DAA" w:rsidRDefault="00711444" w:rsidP="00711444">
      <w:pPr>
        <w:pStyle w:val="EX"/>
      </w:pPr>
      <w:r w:rsidRPr="004D0DAA">
        <w:t>NTS = number of timeslots assigned to the uplink TBF in the assignment message, with range 1 to 8.</w:t>
      </w:r>
    </w:p>
    <w:p w14:paraId="2FAE14A1" w14:textId="77777777" w:rsidR="00711444" w:rsidRPr="004D0DAA" w:rsidRDefault="00711444" w:rsidP="00711444">
      <w:pPr>
        <w:pStyle w:val="Heading2"/>
      </w:pPr>
      <w:r w:rsidRPr="004D0DAA">
        <w:br w:type="page"/>
      </w:r>
      <w:bookmarkStart w:id="901" w:name="_Toc516670070"/>
      <w:r w:rsidRPr="004D0DAA">
        <w:lastRenderedPageBreak/>
        <w:t>F.1</w:t>
      </w:r>
      <w:r w:rsidRPr="004D0DAA">
        <w:tab/>
        <w:t>Example 1</w:t>
      </w:r>
      <w:bookmarkEnd w:id="901"/>
    </w:p>
    <w:p w14:paraId="445A32A3" w14:textId="77777777" w:rsidR="00711444" w:rsidRPr="004D0DAA" w:rsidRDefault="00711444" w:rsidP="00711444">
      <w:r w:rsidRPr="004D0DAA">
        <w:t>In this example, shown in the first column, the total number of RLC data blocks in the TBF (TBC) is 155, the number of timeslots (NTS) is 1, and BS_CV_MAX is 15. The second column shows the same example with BS_CV_MAX = 6.</w:t>
      </w:r>
    </w:p>
    <w:tbl>
      <w:tblPr>
        <w:tblW w:w="0" w:type="auto"/>
        <w:jc w:val="center"/>
        <w:tblLayout w:type="fixed"/>
        <w:tblCellMar>
          <w:left w:w="85" w:type="dxa"/>
          <w:right w:w="85" w:type="dxa"/>
        </w:tblCellMar>
        <w:tblLook w:val="0000" w:firstRow="0" w:lastRow="0" w:firstColumn="0" w:lastColumn="0" w:noHBand="0" w:noVBand="0"/>
      </w:tblPr>
      <w:tblGrid>
        <w:gridCol w:w="737"/>
        <w:gridCol w:w="681"/>
        <w:gridCol w:w="56"/>
        <w:gridCol w:w="511"/>
        <w:gridCol w:w="2292"/>
        <w:gridCol w:w="33"/>
        <w:gridCol w:w="704"/>
        <w:gridCol w:w="714"/>
        <w:gridCol w:w="23"/>
        <w:gridCol w:w="544"/>
      </w:tblGrid>
      <w:tr w:rsidR="00711444" w:rsidRPr="004D0DAA" w14:paraId="7C492639" w14:textId="77777777" w:rsidTr="00AA2A4C">
        <w:tblPrEx>
          <w:tblCellMar>
            <w:top w:w="0" w:type="dxa"/>
            <w:bottom w:w="0" w:type="dxa"/>
          </w:tblCellMar>
        </w:tblPrEx>
        <w:trPr>
          <w:cantSplit/>
          <w:jc w:val="center"/>
        </w:trPr>
        <w:tc>
          <w:tcPr>
            <w:tcW w:w="1418" w:type="dxa"/>
            <w:gridSpan w:val="2"/>
            <w:tcBorders>
              <w:top w:val="single" w:sz="6" w:space="0" w:color="auto"/>
              <w:left w:val="single" w:sz="6" w:space="0" w:color="auto"/>
            </w:tcBorders>
          </w:tcPr>
          <w:p w14:paraId="5355825D" w14:textId="77777777" w:rsidR="00711444" w:rsidRPr="004D0DAA" w:rsidRDefault="00711444" w:rsidP="00AA2A4C">
            <w:pPr>
              <w:pStyle w:val="TAC"/>
              <w:rPr>
                <w:lang w:eastAsia="en-US"/>
              </w:rPr>
            </w:pPr>
            <w:r w:rsidRPr="004D0DAA">
              <w:rPr>
                <w:lang w:eastAsia="en-US"/>
              </w:rPr>
              <w:t>TBC</w:t>
            </w:r>
          </w:p>
        </w:tc>
        <w:tc>
          <w:tcPr>
            <w:tcW w:w="567" w:type="dxa"/>
            <w:gridSpan w:val="2"/>
            <w:tcBorders>
              <w:top w:val="single" w:sz="6" w:space="0" w:color="auto"/>
              <w:right w:val="single" w:sz="6" w:space="0" w:color="auto"/>
            </w:tcBorders>
          </w:tcPr>
          <w:p w14:paraId="1276F9E3" w14:textId="77777777" w:rsidR="00711444" w:rsidRPr="004D0DAA" w:rsidRDefault="00711444" w:rsidP="00AA2A4C">
            <w:pPr>
              <w:pStyle w:val="TAC"/>
              <w:rPr>
                <w:lang w:eastAsia="en-US"/>
              </w:rPr>
            </w:pPr>
            <w:r w:rsidRPr="004D0DAA">
              <w:rPr>
                <w:lang w:eastAsia="en-US"/>
              </w:rPr>
              <w:t>155</w:t>
            </w:r>
          </w:p>
        </w:tc>
        <w:tc>
          <w:tcPr>
            <w:tcW w:w="2325" w:type="dxa"/>
            <w:gridSpan w:val="2"/>
          </w:tcPr>
          <w:p w14:paraId="795D339B" w14:textId="77777777" w:rsidR="00711444" w:rsidRPr="004D0DAA" w:rsidRDefault="00711444" w:rsidP="00AA2A4C"/>
        </w:tc>
        <w:tc>
          <w:tcPr>
            <w:tcW w:w="1418" w:type="dxa"/>
            <w:gridSpan w:val="2"/>
            <w:tcBorders>
              <w:top w:val="single" w:sz="6" w:space="0" w:color="auto"/>
              <w:left w:val="single" w:sz="6" w:space="0" w:color="auto"/>
            </w:tcBorders>
          </w:tcPr>
          <w:p w14:paraId="0791BFB7" w14:textId="77777777" w:rsidR="00711444" w:rsidRPr="004D0DAA" w:rsidRDefault="00711444" w:rsidP="00AA2A4C">
            <w:pPr>
              <w:pStyle w:val="TAC"/>
              <w:rPr>
                <w:lang w:eastAsia="en-US"/>
              </w:rPr>
            </w:pPr>
            <w:r w:rsidRPr="004D0DAA">
              <w:rPr>
                <w:lang w:eastAsia="en-US"/>
              </w:rPr>
              <w:t>TBC</w:t>
            </w:r>
          </w:p>
        </w:tc>
        <w:tc>
          <w:tcPr>
            <w:tcW w:w="567" w:type="dxa"/>
            <w:gridSpan w:val="2"/>
            <w:tcBorders>
              <w:top w:val="single" w:sz="6" w:space="0" w:color="auto"/>
              <w:right w:val="single" w:sz="6" w:space="0" w:color="auto"/>
            </w:tcBorders>
          </w:tcPr>
          <w:p w14:paraId="7D749370" w14:textId="77777777" w:rsidR="00711444" w:rsidRPr="004D0DAA" w:rsidRDefault="00711444" w:rsidP="00AA2A4C">
            <w:pPr>
              <w:pStyle w:val="TAC"/>
              <w:rPr>
                <w:lang w:eastAsia="en-US"/>
              </w:rPr>
            </w:pPr>
            <w:r w:rsidRPr="004D0DAA">
              <w:rPr>
                <w:lang w:eastAsia="en-US"/>
              </w:rPr>
              <w:t>155</w:t>
            </w:r>
          </w:p>
        </w:tc>
      </w:tr>
      <w:tr w:rsidR="00711444" w:rsidRPr="004D0DAA" w14:paraId="694E7EC4" w14:textId="77777777" w:rsidTr="00AA2A4C">
        <w:tblPrEx>
          <w:tblCellMar>
            <w:top w:w="0" w:type="dxa"/>
            <w:bottom w:w="0" w:type="dxa"/>
          </w:tblCellMar>
        </w:tblPrEx>
        <w:trPr>
          <w:cantSplit/>
          <w:jc w:val="center"/>
        </w:trPr>
        <w:tc>
          <w:tcPr>
            <w:tcW w:w="1418" w:type="dxa"/>
            <w:gridSpan w:val="2"/>
            <w:tcBorders>
              <w:left w:val="single" w:sz="6" w:space="0" w:color="auto"/>
            </w:tcBorders>
          </w:tcPr>
          <w:p w14:paraId="1D4C4056" w14:textId="77777777" w:rsidR="00711444" w:rsidRPr="004D0DAA" w:rsidRDefault="00711444" w:rsidP="00AA2A4C">
            <w:pPr>
              <w:pStyle w:val="TAC"/>
              <w:rPr>
                <w:lang w:eastAsia="en-US"/>
              </w:rPr>
            </w:pPr>
            <w:r w:rsidRPr="004D0DAA">
              <w:rPr>
                <w:lang w:eastAsia="en-US"/>
              </w:rPr>
              <w:t>NTS</w:t>
            </w:r>
          </w:p>
        </w:tc>
        <w:tc>
          <w:tcPr>
            <w:tcW w:w="567" w:type="dxa"/>
            <w:gridSpan w:val="2"/>
            <w:tcBorders>
              <w:right w:val="single" w:sz="6" w:space="0" w:color="auto"/>
            </w:tcBorders>
          </w:tcPr>
          <w:p w14:paraId="114CDED0" w14:textId="77777777" w:rsidR="00711444" w:rsidRPr="004D0DAA" w:rsidRDefault="00711444" w:rsidP="00AA2A4C">
            <w:pPr>
              <w:pStyle w:val="TAC"/>
              <w:rPr>
                <w:lang w:eastAsia="en-US"/>
              </w:rPr>
            </w:pPr>
            <w:r w:rsidRPr="004D0DAA">
              <w:rPr>
                <w:lang w:eastAsia="en-US"/>
              </w:rPr>
              <w:t>1</w:t>
            </w:r>
          </w:p>
        </w:tc>
        <w:tc>
          <w:tcPr>
            <w:tcW w:w="2325" w:type="dxa"/>
            <w:gridSpan w:val="2"/>
          </w:tcPr>
          <w:p w14:paraId="4D0C948C" w14:textId="77777777" w:rsidR="00711444" w:rsidRPr="004D0DAA" w:rsidRDefault="00711444" w:rsidP="00AA2A4C"/>
        </w:tc>
        <w:tc>
          <w:tcPr>
            <w:tcW w:w="1418" w:type="dxa"/>
            <w:gridSpan w:val="2"/>
            <w:tcBorders>
              <w:left w:val="single" w:sz="6" w:space="0" w:color="auto"/>
            </w:tcBorders>
          </w:tcPr>
          <w:p w14:paraId="76ABA788" w14:textId="77777777" w:rsidR="00711444" w:rsidRPr="004D0DAA" w:rsidRDefault="00711444" w:rsidP="00AA2A4C">
            <w:pPr>
              <w:pStyle w:val="TAC"/>
              <w:rPr>
                <w:lang w:eastAsia="en-US"/>
              </w:rPr>
            </w:pPr>
            <w:r w:rsidRPr="004D0DAA">
              <w:rPr>
                <w:lang w:eastAsia="en-US"/>
              </w:rPr>
              <w:t>NTS</w:t>
            </w:r>
          </w:p>
        </w:tc>
        <w:tc>
          <w:tcPr>
            <w:tcW w:w="567" w:type="dxa"/>
            <w:gridSpan w:val="2"/>
            <w:tcBorders>
              <w:right w:val="single" w:sz="6" w:space="0" w:color="auto"/>
            </w:tcBorders>
          </w:tcPr>
          <w:p w14:paraId="32470318" w14:textId="77777777" w:rsidR="00711444" w:rsidRPr="004D0DAA" w:rsidRDefault="00711444" w:rsidP="00AA2A4C">
            <w:pPr>
              <w:pStyle w:val="TAC"/>
              <w:rPr>
                <w:lang w:eastAsia="en-US"/>
              </w:rPr>
            </w:pPr>
            <w:r w:rsidRPr="004D0DAA">
              <w:rPr>
                <w:lang w:eastAsia="en-US"/>
              </w:rPr>
              <w:t>1</w:t>
            </w:r>
          </w:p>
        </w:tc>
      </w:tr>
      <w:tr w:rsidR="00711444" w:rsidRPr="004D0DAA" w14:paraId="73E470D6" w14:textId="77777777" w:rsidTr="00AA2A4C">
        <w:tblPrEx>
          <w:tblCellMar>
            <w:top w:w="0" w:type="dxa"/>
            <w:bottom w:w="0" w:type="dxa"/>
          </w:tblCellMar>
        </w:tblPrEx>
        <w:trPr>
          <w:cantSplit/>
          <w:jc w:val="center"/>
        </w:trPr>
        <w:tc>
          <w:tcPr>
            <w:tcW w:w="1418" w:type="dxa"/>
            <w:gridSpan w:val="2"/>
            <w:tcBorders>
              <w:left w:val="single" w:sz="6" w:space="0" w:color="auto"/>
              <w:bottom w:val="single" w:sz="6" w:space="0" w:color="auto"/>
            </w:tcBorders>
          </w:tcPr>
          <w:p w14:paraId="0362173F" w14:textId="77777777" w:rsidR="00711444" w:rsidRPr="004D0DAA" w:rsidRDefault="00711444" w:rsidP="00AA2A4C">
            <w:pPr>
              <w:pStyle w:val="TAC"/>
              <w:rPr>
                <w:lang w:eastAsia="en-US"/>
              </w:rPr>
            </w:pPr>
            <w:r w:rsidRPr="004D0DAA">
              <w:rPr>
                <w:lang w:eastAsia="en-US"/>
              </w:rPr>
              <w:t>BS_CV_MAX</w:t>
            </w:r>
          </w:p>
        </w:tc>
        <w:tc>
          <w:tcPr>
            <w:tcW w:w="567" w:type="dxa"/>
            <w:gridSpan w:val="2"/>
            <w:tcBorders>
              <w:bottom w:val="single" w:sz="6" w:space="0" w:color="auto"/>
              <w:right w:val="single" w:sz="6" w:space="0" w:color="auto"/>
            </w:tcBorders>
          </w:tcPr>
          <w:p w14:paraId="652290E5" w14:textId="77777777" w:rsidR="00711444" w:rsidRPr="004D0DAA" w:rsidRDefault="00711444" w:rsidP="00AA2A4C">
            <w:pPr>
              <w:pStyle w:val="TAC"/>
              <w:rPr>
                <w:lang w:eastAsia="en-US"/>
              </w:rPr>
            </w:pPr>
            <w:r w:rsidRPr="004D0DAA">
              <w:rPr>
                <w:lang w:eastAsia="en-US"/>
              </w:rPr>
              <w:t>15</w:t>
            </w:r>
          </w:p>
        </w:tc>
        <w:tc>
          <w:tcPr>
            <w:tcW w:w="2325" w:type="dxa"/>
            <w:gridSpan w:val="2"/>
          </w:tcPr>
          <w:p w14:paraId="7A1D8631" w14:textId="77777777" w:rsidR="00711444" w:rsidRPr="004D0DAA" w:rsidRDefault="00711444" w:rsidP="00AA2A4C"/>
        </w:tc>
        <w:tc>
          <w:tcPr>
            <w:tcW w:w="1418" w:type="dxa"/>
            <w:gridSpan w:val="2"/>
            <w:tcBorders>
              <w:left w:val="single" w:sz="6" w:space="0" w:color="auto"/>
              <w:bottom w:val="single" w:sz="6" w:space="0" w:color="auto"/>
            </w:tcBorders>
          </w:tcPr>
          <w:p w14:paraId="59B2004F" w14:textId="77777777" w:rsidR="00711444" w:rsidRPr="004D0DAA" w:rsidRDefault="00711444" w:rsidP="00AA2A4C">
            <w:pPr>
              <w:pStyle w:val="TAC"/>
              <w:rPr>
                <w:lang w:eastAsia="en-US"/>
              </w:rPr>
            </w:pPr>
            <w:r w:rsidRPr="004D0DAA">
              <w:rPr>
                <w:lang w:eastAsia="en-US"/>
              </w:rPr>
              <w:t>BS_CV_MAX</w:t>
            </w:r>
          </w:p>
        </w:tc>
        <w:tc>
          <w:tcPr>
            <w:tcW w:w="567" w:type="dxa"/>
            <w:gridSpan w:val="2"/>
            <w:tcBorders>
              <w:bottom w:val="single" w:sz="6" w:space="0" w:color="auto"/>
              <w:right w:val="single" w:sz="6" w:space="0" w:color="auto"/>
            </w:tcBorders>
          </w:tcPr>
          <w:p w14:paraId="1CC2AFF1" w14:textId="77777777" w:rsidR="00711444" w:rsidRPr="004D0DAA" w:rsidRDefault="00711444" w:rsidP="00AA2A4C">
            <w:pPr>
              <w:pStyle w:val="TAC"/>
              <w:rPr>
                <w:lang w:eastAsia="en-US"/>
              </w:rPr>
            </w:pPr>
            <w:r w:rsidRPr="004D0DAA">
              <w:rPr>
                <w:lang w:eastAsia="en-US"/>
              </w:rPr>
              <w:t>6</w:t>
            </w:r>
          </w:p>
        </w:tc>
      </w:tr>
      <w:tr w:rsidR="00711444" w:rsidRPr="004D0DAA" w14:paraId="5786BA36" w14:textId="77777777" w:rsidTr="00AA2A4C">
        <w:tblPrEx>
          <w:tblCellMar>
            <w:top w:w="0" w:type="dxa"/>
            <w:bottom w:w="0" w:type="dxa"/>
          </w:tblCellMar>
        </w:tblPrEx>
        <w:trPr>
          <w:gridAfter w:val="1"/>
          <w:wAfter w:w="544" w:type="dxa"/>
          <w:cantSplit/>
          <w:jc w:val="center"/>
        </w:trPr>
        <w:tc>
          <w:tcPr>
            <w:tcW w:w="737" w:type="dxa"/>
          </w:tcPr>
          <w:p w14:paraId="1DC9BC1A" w14:textId="77777777" w:rsidR="00711444" w:rsidRPr="004D0DAA" w:rsidRDefault="00711444" w:rsidP="00AA2A4C">
            <w:pPr>
              <w:rPr>
                <w:b/>
                <w:sz w:val="12"/>
              </w:rPr>
            </w:pPr>
          </w:p>
        </w:tc>
        <w:tc>
          <w:tcPr>
            <w:tcW w:w="737" w:type="dxa"/>
            <w:gridSpan w:val="2"/>
          </w:tcPr>
          <w:p w14:paraId="5F41FCBF" w14:textId="77777777" w:rsidR="00711444" w:rsidRPr="004D0DAA" w:rsidRDefault="00711444" w:rsidP="00AA2A4C">
            <w:pPr>
              <w:rPr>
                <w:b/>
                <w:sz w:val="12"/>
              </w:rPr>
            </w:pPr>
          </w:p>
        </w:tc>
        <w:tc>
          <w:tcPr>
            <w:tcW w:w="2803" w:type="dxa"/>
            <w:gridSpan w:val="2"/>
          </w:tcPr>
          <w:p w14:paraId="018A1A49" w14:textId="77777777" w:rsidR="00711444" w:rsidRPr="004D0DAA" w:rsidRDefault="00711444" w:rsidP="00AA2A4C">
            <w:pPr>
              <w:rPr>
                <w:b/>
                <w:sz w:val="12"/>
              </w:rPr>
            </w:pPr>
          </w:p>
        </w:tc>
        <w:tc>
          <w:tcPr>
            <w:tcW w:w="737" w:type="dxa"/>
            <w:gridSpan w:val="2"/>
          </w:tcPr>
          <w:p w14:paraId="2A1F0F67" w14:textId="77777777" w:rsidR="00711444" w:rsidRPr="004D0DAA" w:rsidRDefault="00711444" w:rsidP="00AA2A4C">
            <w:pPr>
              <w:rPr>
                <w:b/>
                <w:sz w:val="12"/>
              </w:rPr>
            </w:pPr>
          </w:p>
        </w:tc>
        <w:tc>
          <w:tcPr>
            <w:tcW w:w="737" w:type="dxa"/>
            <w:gridSpan w:val="2"/>
          </w:tcPr>
          <w:p w14:paraId="049EB4B2" w14:textId="77777777" w:rsidR="00711444" w:rsidRPr="004D0DAA" w:rsidRDefault="00711444" w:rsidP="00AA2A4C">
            <w:pPr>
              <w:pStyle w:val="TAC"/>
              <w:rPr>
                <w:lang w:eastAsia="en-US"/>
              </w:rPr>
            </w:pPr>
          </w:p>
        </w:tc>
      </w:tr>
      <w:tr w:rsidR="00711444" w:rsidRPr="004D0DAA" w14:paraId="167F8F9D"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right w:val="single" w:sz="6" w:space="0" w:color="auto"/>
            </w:tcBorders>
          </w:tcPr>
          <w:p w14:paraId="66A28BE2" w14:textId="77777777" w:rsidR="00711444" w:rsidRPr="004D0DAA" w:rsidRDefault="00711444" w:rsidP="00AA2A4C">
            <w:pPr>
              <w:pStyle w:val="TAC"/>
              <w:rPr>
                <w:lang w:eastAsia="en-US"/>
              </w:rPr>
            </w:pPr>
            <w:r w:rsidRPr="004D0DAA">
              <w:rPr>
                <w:b/>
                <w:lang w:eastAsia="en-US"/>
              </w:rPr>
              <w:t>BSN'</w:t>
            </w:r>
          </w:p>
        </w:tc>
        <w:tc>
          <w:tcPr>
            <w:tcW w:w="737" w:type="dxa"/>
            <w:gridSpan w:val="2"/>
            <w:tcBorders>
              <w:top w:val="single" w:sz="6" w:space="0" w:color="auto"/>
              <w:left w:val="single" w:sz="6" w:space="0" w:color="auto"/>
              <w:right w:val="single" w:sz="6" w:space="0" w:color="auto"/>
            </w:tcBorders>
          </w:tcPr>
          <w:p w14:paraId="04DD5298" w14:textId="77777777" w:rsidR="00711444" w:rsidRPr="004D0DAA" w:rsidRDefault="00711444" w:rsidP="00AA2A4C">
            <w:pPr>
              <w:pStyle w:val="TAC"/>
              <w:rPr>
                <w:lang w:eastAsia="en-US"/>
              </w:rPr>
            </w:pPr>
            <w:r w:rsidRPr="004D0DAA">
              <w:rPr>
                <w:b/>
                <w:lang w:eastAsia="en-US"/>
              </w:rPr>
              <w:t>CV</w:t>
            </w:r>
          </w:p>
        </w:tc>
        <w:tc>
          <w:tcPr>
            <w:tcW w:w="2803" w:type="dxa"/>
            <w:gridSpan w:val="2"/>
          </w:tcPr>
          <w:p w14:paraId="39B63D81" w14:textId="77777777" w:rsidR="00711444" w:rsidRPr="004D0DAA" w:rsidRDefault="00711444" w:rsidP="00AA2A4C">
            <w:pPr>
              <w:rPr>
                <w:b/>
              </w:rPr>
            </w:pPr>
          </w:p>
        </w:tc>
        <w:tc>
          <w:tcPr>
            <w:tcW w:w="737" w:type="dxa"/>
            <w:gridSpan w:val="2"/>
            <w:tcBorders>
              <w:top w:val="single" w:sz="6" w:space="0" w:color="auto"/>
              <w:left w:val="single" w:sz="6" w:space="0" w:color="auto"/>
              <w:bottom w:val="double" w:sz="6" w:space="0" w:color="auto"/>
              <w:right w:val="single" w:sz="6" w:space="0" w:color="auto"/>
            </w:tcBorders>
          </w:tcPr>
          <w:p w14:paraId="1F623EC1" w14:textId="77777777" w:rsidR="00711444" w:rsidRPr="004D0DAA" w:rsidRDefault="00711444" w:rsidP="00AA2A4C">
            <w:pPr>
              <w:pStyle w:val="TAC"/>
              <w:rPr>
                <w:lang w:eastAsia="en-US"/>
              </w:rPr>
            </w:pPr>
            <w:r w:rsidRPr="004D0DAA">
              <w:rPr>
                <w:b/>
                <w:lang w:eastAsia="en-US"/>
              </w:rPr>
              <w:t>BSN'</w:t>
            </w:r>
          </w:p>
        </w:tc>
        <w:tc>
          <w:tcPr>
            <w:tcW w:w="737" w:type="dxa"/>
            <w:gridSpan w:val="2"/>
            <w:tcBorders>
              <w:top w:val="single" w:sz="6" w:space="0" w:color="auto"/>
              <w:left w:val="single" w:sz="6" w:space="0" w:color="auto"/>
              <w:bottom w:val="double" w:sz="6" w:space="0" w:color="auto"/>
              <w:right w:val="single" w:sz="6" w:space="0" w:color="auto"/>
            </w:tcBorders>
          </w:tcPr>
          <w:p w14:paraId="170E3121" w14:textId="77777777" w:rsidR="00711444" w:rsidRPr="004D0DAA" w:rsidRDefault="00711444" w:rsidP="00AA2A4C">
            <w:pPr>
              <w:pStyle w:val="TAC"/>
              <w:rPr>
                <w:lang w:eastAsia="en-US"/>
              </w:rPr>
            </w:pPr>
            <w:r w:rsidRPr="004D0DAA">
              <w:rPr>
                <w:b/>
                <w:lang w:eastAsia="en-US"/>
              </w:rPr>
              <w:t>CV</w:t>
            </w:r>
          </w:p>
        </w:tc>
      </w:tr>
      <w:tr w:rsidR="00711444" w:rsidRPr="004D0DAA" w14:paraId="3DA0E1F3" w14:textId="77777777" w:rsidTr="00AA2A4C">
        <w:tblPrEx>
          <w:tblCellMar>
            <w:top w:w="0" w:type="dxa"/>
            <w:bottom w:w="0" w:type="dxa"/>
          </w:tblCellMar>
        </w:tblPrEx>
        <w:trPr>
          <w:gridAfter w:val="1"/>
          <w:wAfter w:w="544" w:type="dxa"/>
          <w:cantSplit/>
          <w:jc w:val="center"/>
        </w:trPr>
        <w:tc>
          <w:tcPr>
            <w:tcW w:w="737" w:type="dxa"/>
            <w:tcBorders>
              <w:top w:val="double" w:sz="6" w:space="0" w:color="auto"/>
              <w:left w:val="single" w:sz="6" w:space="0" w:color="auto"/>
              <w:bottom w:val="single" w:sz="6" w:space="0" w:color="auto"/>
              <w:right w:val="single" w:sz="6" w:space="0" w:color="auto"/>
            </w:tcBorders>
          </w:tcPr>
          <w:p w14:paraId="36B53E98" w14:textId="77777777" w:rsidR="00711444" w:rsidRPr="004D0DAA" w:rsidRDefault="00711444" w:rsidP="00AA2A4C">
            <w:pPr>
              <w:pStyle w:val="TAC"/>
              <w:rPr>
                <w:lang w:eastAsia="en-US"/>
              </w:rPr>
            </w:pPr>
            <w:r w:rsidRPr="004D0DAA">
              <w:rPr>
                <w:lang w:eastAsia="en-US"/>
              </w:rPr>
              <w:t>137</w:t>
            </w:r>
          </w:p>
        </w:tc>
        <w:tc>
          <w:tcPr>
            <w:tcW w:w="737" w:type="dxa"/>
            <w:gridSpan w:val="2"/>
            <w:tcBorders>
              <w:top w:val="double" w:sz="6" w:space="0" w:color="auto"/>
              <w:left w:val="single" w:sz="6" w:space="0" w:color="auto"/>
              <w:bottom w:val="single" w:sz="6" w:space="0" w:color="auto"/>
              <w:right w:val="single" w:sz="6" w:space="0" w:color="auto"/>
            </w:tcBorders>
          </w:tcPr>
          <w:p w14:paraId="622F2EC6" w14:textId="77777777" w:rsidR="00711444" w:rsidRPr="004D0DAA" w:rsidRDefault="00711444" w:rsidP="00AA2A4C">
            <w:pPr>
              <w:pStyle w:val="TAC"/>
              <w:rPr>
                <w:lang w:eastAsia="en-US"/>
              </w:rPr>
            </w:pPr>
            <w:r w:rsidRPr="004D0DAA">
              <w:rPr>
                <w:lang w:eastAsia="en-US"/>
              </w:rPr>
              <w:t>15</w:t>
            </w:r>
          </w:p>
        </w:tc>
        <w:tc>
          <w:tcPr>
            <w:tcW w:w="2803" w:type="dxa"/>
            <w:gridSpan w:val="2"/>
          </w:tcPr>
          <w:p w14:paraId="47224ECD" w14:textId="77777777" w:rsidR="00711444" w:rsidRPr="004D0DAA" w:rsidRDefault="00711444" w:rsidP="00AA2A4C"/>
        </w:tc>
        <w:tc>
          <w:tcPr>
            <w:tcW w:w="737" w:type="dxa"/>
            <w:gridSpan w:val="2"/>
            <w:tcBorders>
              <w:left w:val="single" w:sz="6" w:space="0" w:color="auto"/>
              <w:bottom w:val="single" w:sz="6" w:space="0" w:color="auto"/>
              <w:right w:val="single" w:sz="6" w:space="0" w:color="auto"/>
            </w:tcBorders>
          </w:tcPr>
          <w:p w14:paraId="0A35E565" w14:textId="77777777" w:rsidR="00711444" w:rsidRPr="004D0DAA" w:rsidRDefault="00711444" w:rsidP="00AA2A4C">
            <w:pPr>
              <w:pStyle w:val="TAC"/>
              <w:rPr>
                <w:lang w:eastAsia="en-US"/>
              </w:rPr>
            </w:pPr>
            <w:r w:rsidRPr="004D0DAA">
              <w:rPr>
                <w:lang w:eastAsia="en-US"/>
              </w:rPr>
              <w:t>137</w:t>
            </w:r>
          </w:p>
        </w:tc>
        <w:tc>
          <w:tcPr>
            <w:tcW w:w="737" w:type="dxa"/>
            <w:gridSpan w:val="2"/>
            <w:tcBorders>
              <w:left w:val="single" w:sz="6" w:space="0" w:color="auto"/>
              <w:bottom w:val="single" w:sz="6" w:space="0" w:color="auto"/>
              <w:right w:val="single" w:sz="6" w:space="0" w:color="auto"/>
            </w:tcBorders>
          </w:tcPr>
          <w:p w14:paraId="50ADFBC7" w14:textId="77777777" w:rsidR="00711444" w:rsidRPr="004D0DAA" w:rsidRDefault="00711444" w:rsidP="00AA2A4C">
            <w:pPr>
              <w:pStyle w:val="TAC"/>
              <w:rPr>
                <w:lang w:eastAsia="en-US"/>
              </w:rPr>
            </w:pPr>
            <w:r w:rsidRPr="004D0DAA">
              <w:rPr>
                <w:lang w:eastAsia="en-US"/>
              </w:rPr>
              <w:t>15</w:t>
            </w:r>
          </w:p>
        </w:tc>
      </w:tr>
      <w:tr w:rsidR="00711444" w:rsidRPr="004D0DAA" w14:paraId="139E5CA0"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60090D41" w14:textId="77777777" w:rsidR="00711444" w:rsidRPr="004D0DAA" w:rsidRDefault="00711444" w:rsidP="00AA2A4C">
            <w:pPr>
              <w:pStyle w:val="TAC"/>
              <w:rPr>
                <w:lang w:eastAsia="en-US"/>
              </w:rPr>
            </w:pPr>
            <w:r w:rsidRPr="004D0DAA">
              <w:rPr>
                <w:lang w:eastAsia="en-US"/>
              </w:rPr>
              <w:t>138</w:t>
            </w:r>
          </w:p>
        </w:tc>
        <w:tc>
          <w:tcPr>
            <w:tcW w:w="737" w:type="dxa"/>
            <w:gridSpan w:val="2"/>
            <w:tcBorders>
              <w:top w:val="single" w:sz="6" w:space="0" w:color="auto"/>
              <w:left w:val="single" w:sz="6" w:space="0" w:color="auto"/>
              <w:bottom w:val="single" w:sz="6" w:space="0" w:color="auto"/>
              <w:right w:val="single" w:sz="6" w:space="0" w:color="auto"/>
            </w:tcBorders>
          </w:tcPr>
          <w:p w14:paraId="564E589E" w14:textId="77777777" w:rsidR="00711444" w:rsidRPr="004D0DAA" w:rsidRDefault="00711444" w:rsidP="00AA2A4C">
            <w:pPr>
              <w:pStyle w:val="TAC"/>
              <w:rPr>
                <w:lang w:eastAsia="en-US"/>
              </w:rPr>
            </w:pPr>
            <w:r w:rsidRPr="004D0DAA">
              <w:rPr>
                <w:lang w:eastAsia="en-US"/>
              </w:rPr>
              <w:t>15</w:t>
            </w:r>
          </w:p>
        </w:tc>
        <w:tc>
          <w:tcPr>
            <w:tcW w:w="2803" w:type="dxa"/>
            <w:gridSpan w:val="2"/>
          </w:tcPr>
          <w:p w14:paraId="16AA95B8"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293E7209" w14:textId="77777777" w:rsidR="00711444" w:rsidRPr="004D0DAA" w:rsidRDefault="00711444" w:rsidP="00AA2A4C">
            <w:pPr>
              <w:pStyle w:val="TAC"/>
              <w:rPr>
                <w:lang w:eastAsia="en-US"/>
              </w:rPr>
            </w:pPr>
            <w:r w:rsidRPr="004D0DAA">
              <w:rPr>
                <w:lang w:eastAsia="en-US"/>
              </w:rPr>
              <w:t>138</w:t>
            </w:r>
          </w:p>
        </w:tc>
        <w:tc>
          <w:tcPr>
            <w:tcW w:w="737" w:type="dxa"/>
            <w:gridSpan w:val="2"/>
            <w:tcBorders>
              <w:top w:val="single" w:sz="6" w:space="0" w:color="auto"/>
              <w:left w:val="single" w:sz="6" w:space="0" w:color="auto"/>
              <w:bottom w:val="single" w:sz="6" w:space="0" w:color="auto"/>
              <w:right w:val="single" w:sz="6" w:space="0" w:color="auto"/>
            </w:tcBorders>
          </w:tcPr>
          <w:p w14:paraId="5BA993F7" w14:textId="77777777" w:rsidR="00711444" w:rsidRPr="004D0DAA" w:rsidRDefault="00711444" w:rsidP="00AA2A4C">
            <w:pPr>
              <w:pStyle w:val="TAC"/>
              <w:rPr>
                <w:lang w:eastAsia="en-US"/>
              </w:rPr>
            </w:pPr>
            <w:r w:rsidRPr="004D0DAA">
              <w:rPr>
                <w:lang w:eastAsia="en-US"/>
              </w:rPr>
              <w:t>15</w:t>
            </w:r>
          </w:p>
        </w:tc>
      </w:tr>
      <w:tr w:rsidR="00711444" w:rsidRPr="004D0DAA" w14:paraId="7ADD4C15"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3D541D33" w14:textId="77777777" w:rsidR="00711444" w:rsidRPr="004D0DAA" w:rsidRDefault="00711444" w:rsidP="00AA2A4C">
            <w:pPr>
              <w:pStyle w:val="TAC"/>
              <w:rPr>
                <w:lang w:eastAsia="en-US"/>
              </w:rPr>
            </w:pPr>
            <w:r w:rsidRPr="004D0DAA">
              <w:rPr>
                <w:lang w:eastAsia="en-US"/>
              </w:rPr>
              <w:t>139</w:t>
            </w:r>
          </w:p>
        </w:tc>
        <w:tc>
          <w:tcPr>
            <w:tcW w:w="737" w:type="dxa"/>
            <w:gridSpan w:val="2"/>
            <w:tcBorders>
              <w:top w:val="single" w:sz="6" w:space="0" w:color="auto"/>
              <w:left w:val="single" w:sz="6" w:space="0" w:color="auto"/>
              <w:bottom w:val="single" w:sz="6" w:space="0" w:color="auto"/>
              <w:right w:val="single" w:sz="6" w:space="0" w:color="auto"/>
            </w:tcBorders>
          </w:tcPr>
          <w:p w14:paraId="5EF0F468" w14:textId="77777777" w:rsidR="00711444" w:rsidRPr="004D0DAA" w:rsidRDefault="00711444" w:rsidP="00AA2A4C">
            <w:pPr>
              <w:pStyle w:val="TAC"/>
              <w:rPr>
                <w:lang w:eastAsia="en-US"/>
              </w:rPr>
            </w:pPr>
            <w:r w:rsidRPr="004D0DAA">
              <w:rPr>
                <w:lang w:eastAsia="en-US"/>
              </w:rPr>
              <w:t>15</w:t>
            </w:r>
          </w:p>
        </w:tc>
        <w:tc>
          <w:tcPr>
            <w:tcW w:w="2803" w:type="dxa"/>
            <w:gridSpan w:val="2"/>
          </w:tcPr>
          <w:p w14:paraId="5CDD338A"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2D0F1558" w14:textId="77777777" w:rsidR="00711444" w:rsidRPr="004D0DAA" w:rsidRDefault="00711444" w:rsidP="00AA2A4C">
            <w:pPr>
              <w:pStyle w:val="TAC"/>
              <w:rPr>
                <w:lang w:eastAsia="en-US"/>
              </w:rPr>
            </w:pPr>
            <w:r w:rsidRPr="004D0DAA">
              <w:rPr>
                <w:lang w:eastAsia="en-US"/>
              </w:rPr>
              <w:t>139</w:t>
            </w:r>
          </w:p>
        </w:tc>
        <w:tc>
          <w:tcPr>
            <w:tcW w:w="737" w:type="dxa"/>
            <w:gridSpan w:val="2"/>
            <w:tcBorders>
              <w:top w:val="single" w:sz="6" w:space="0" w:color="auto"/>
              <w:left w:val="single" w:sz="6" w:space="0" w:color="auto"/>
              <w:bottom w:val="single" w:sz="6" w:space="0" w:color="auto"/>
              <w:right w:val="single" w:sz="6" w:space="0" w:color="auto"/>
            </w:tcBorders>
          </w:tcPr>
          <w:p w14:paraId="36B28D23" w14:textId="77777777" w:rsidR="00711444" w:rsidRPr="004D0DAA" w:rsidRDefault="00711444" w:rsidP="00AA2A4C">
            <w:pPr>
              <w:pStyle w:val="TAC"/>
              <w:rPr>
                <w:lang w:eastAsia="en-US"/>
              </w:rPr>
            </w:pPr>
            <w:r w:rsidRPr="004D0DAA">
              <w:rPr>
                <w:lang w:eastAsia="en-US"/>
              </w:rPr>
              <w:t>15</w:t>
            </w:r>
          </w:p>
        </w:tc>
      </w:tr>
      <w:tr w:rsidR="00711444" w:rsidRPr="004D0DAA" w14:paraId="722F6B34"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16BCAFB4" w14:textId="77777777" w:rsidR="00711444" w:rsidRPr="004D0DAA" w:rsidRDefault="00711444" w:rsidP="00AA2A4C">
            <w:pPr>
              <w:pStyle w:val="TAC"/>
              <w:rPr>
                <w:lang w:eastAsia="en-US"/>
              </w:rPr>
            </w:pPr>
            <w:r w:rsidRPr="004D0DAA">
              <w:rPr>
                <w:lang w:eastAsia="en-US"/>
              </w:rPr>
              <w:t>140</w:t>
            </w:r>
          </w:p>
        </w:tc>
        <w:tc>
          <w:tcPr>
            <w:tcW w:w="737" w:type="dxa"/>
            <w:gridSpan w:val="2"/>
            <w:tcBorders>
              <w:top w:val="single" w:sz="6" w:space="0" w:color="auto"/>
              <w:left w:val="single" w:sz="6" w:space="0" w:color="auto"/>
              <w:bottom w:val="single" w:sz="6" w:space="0" w:color="auto"/>
              <w:right w:val="single" w:sz="6" w:space="0" w:color="auto"/>
            </w:tcBorders>
          </w:tcPr>
          <w:p w14:paraId="5FAD396C" w14:textId="77777777" w:rsidR="00711444" w:rsidRPr="004D0DAA" w:rsidRDefault="00711444" w:rsidP="00AA2A4C">
            <w:pPr>
              <w:pStyle w:val="TAC"/>
              <w:rPr>
                <w:lang w:eastAsia="en-US"/>
              </w:rPr>
            </w:pPr>
            <w:r w:rsidRPr="004D0DAA">
              <w:rPr>
                <w:lang w:eastAsia="en-US"/>
              </w:rPr>
              <w:t>14</w:t>
            </w:r>
          </w:p>
        </w:tc>
        <w:tc>
          <w:tcPr>
            <w:tcW w:w="2803" w:type="dxa"/>
            <w:gridSpan w:val="2"/>
          </w:tcPr>
          <w:p w14:paraId="1380C472"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4DFD0595" w14:textId="77777777" w:rsidR="00711444" w:rsidRPr="004D0DAA" w:rsidRDefault="00711444" w:rsidP="00AA2A4C">
            <w:pPr>
              <w:pStyle w:val="TAC"/>
              <w:rPr>
                <w:lang w:eastAsia="en-US"/>
              </w:rPr>
            </w:pPr>
            <w:r w:rsidRPr="004D0DAA">
              <w:rPr>
                <w:lang w:eastAsia="en-US"/>
              </w:rPr>
              <w:t>140</w:t>
            </w:r>
          </w:p>
        </w:tc>
        <w:tc>
          <w:tcPr>
            <w:tcW w:w="737" w:type="dxa"/>
            <w:gridSpan w:val="2"/>
            <w:tcBorders>
              <w:top w:val="single" w:sz="6" w:space="0" w:color="auto"/>
              <w:left w:val="single" w:sz="6" w:space="0" w:color="auto"/>
              <w:bottom w:val="single" w:sz="6" w:space="0" w:color="auto"/>
              <w:right w:val="single" w:sz="6" w:space="0" w:color="auto"/>
            </w:tcBorders>
          </w:tcPr>
          <w:p w14:paraId="7ECBF97F" w14:textId="77777777" w:rsidR="00711444" w:rsidRPr="004D0DAA" w:rsidRDefault="00711444" w:rsidP="00AA2A4C">
            <w:pPr>
              <w:pStyle w:val="TAC"/>
              <w:rPr>
                <w:lang w:eastAsia="en-US"/>
              </w:rPr>
            </w:pPr>
            <w:r w:rsidRPr="004D0DAA">
              <w:rPr>
                <w:lang w:eastAsia="en-US"/>
              </w:rPr>
              <w:t>15</w:t>
            </w:r>
          </w:p>
        </w:tc>
      </w:tr>
      <w:tr w:rsidR="00711444" w:rsidRPr="004D0DAA" w14:paraId="4FE96AA3"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030A3A7" w14:textId="77777777" w:rsidR="00711444" w:rsidRPr="004D0DAA" w:rsidRDefault="00711444" w:rsidP="00AA2A4C">
            <w:pPr>
              <w:pStyle w:val="TAC"/>
              <w:rPr>
                <w:lang w:eastAsia="en-US"/>
              </w:rPr>
            </w:pPr>
            <w:r w:rsidRPr="004D0DAA">
              <w:rPr>
                <w:lang w:eastAsia="en-US"/>
              </w:rPr>
              <w:t>141</w:t>
            </w:r>
          </w:p>
        </w:tc>
        <w:tc>
          <w:tcPr>
            <w:tcW w:w="737" w:type="dxa"/>
            <w:gridSpan w:val="2"/>
            <w:tcBorders>
              <w:top w:val="single" w:sz="6" w:space="0" w:color="auto"/>
              <w:left w:val="single" w:sz="6" w:space="0" w:color="auto"/>
              <w:bottom w:val="single" w:sz="6" w:space="0" w:color="auto"/>
              <w:right w:val="single" w:sz="6" w:space="0" w:color="auto"/>
            </w:tcBorders>
          </w:tcPr>
          <w:p w14:paraId="0502F797" w14:textId="77777777" w:rsidR="00711444" w:rsidRPr="004D0DAA" w:rsidRDefault="00711444" w:rsidP="00AA2A4C">
            <w:pPr>
              <w:pStyle w:val="TAC"/>
              <w:rPr>
                <w:lang w:eastAsia="en-US"/>
              </w:rPr>
            </w:pPr>
            <w:r w:rsidRPr="004D0DAA">
              <w:rPr>
                <w:lang w:eastAsia="en-US"/>
              </w:rPr>
              <w:t>13</w:t>
            </w:r>
          </w:p>
        </w:tc>
        <w:tc>
          <w:tcPr>
            <w:tcW w:w="2803" w:type="dxa"/>
            <w:gridSpan w:val="2"/>
          </w:tcPr>
          <w:p w14:paraId="5DE11EFD"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206EC686" w14:textId="77777777" w:rsidR="00711444" w:rsidRPr="004D0DAA" w:rsidRDefault="00711444" w:rsidP="00AA2A4C">
            <w:pPr>
              <w:pStyle w:val="TAC"/>
              <w:rPr>
                <w:lang w:eastAsia="en-US"/>
              </w:rPr>
            </w:pPr>
            <w:r w:rsidRPr="004D0DAA">
              <w:rPr>
                <w:lang w:eastAsia="en-US"/>
              </w:rPr>
              <w:t>141</w:t>
            </w:r>
          </w:p>
        </w:tc>
        <w:tc>
          <w:tcPr>
            <w:tcW w:w="737" w:type="dxa"/>
            <w:gridSpan w:val="2"/>
            <w:tcBorders>
              <w:top w:val="single" w:sz="6" w:space="0" w:color="auto"/>
              <w:left w:val="single" w:sz="6" w:space="0" w:color="auto"/>
              <w:bottom w:val="single" w:sz="6" w:space="0" w:color="auto"/>
              <w:right w:val="single" w:sz="6" w:space="0" w:color="auto"/>
            </w:tcBorders>
          </w:tcPr>
          <w:p w14:paraId="54C2CAC2" w14:textId="77777777" w:rsidR="00711444" w:rsidRPr="004D0DAA" w:rsidRDefault="00711444" w:rsidP="00AA2A4C">
            <w:pPr>
              <w:pStyle w:val="TAC"/>
              <w:rPr>
                <w:lang w:eastAsia="en-US"/>
              </w:rPr>
            </w:pPr>
            <w:r w:rsidRPr="004D0DAA">
              <w:rPr>
                <w:lang w:eastAsia="en-US"/>
              </w:rPr>
              <w:t>15</w:t>
            </w:r>
          </w:p>
        </w:tc>
      </w:tr>
      <w:tr w:rsidR="00711444" w:rsidRPr="004D0DAA" w14:paraId="01F6388B"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48ACDA36" w14:textId="77777777" w:rsidR="00711444" w:rsidRPr="004D0DAA" w:rsidRDefault="00711444" w:rsidP="00AA2A4C">
            <w:pPr>
              <w:pStyle w:val="TAC"/>
              <w:rPr>
                <w:lang w:eastAsia="en-US"/>
              </w:rPr>
            </w:pPr>
            <w:r w:rsidRPr="004D0DAA">
              <w:rPr>
                <w:lang w:eastAsia="en-US"/>
              </w:rPr>
              <w:t>142</w:t>
            </w:r>
          </w:p>
        </w:tc>
        <w:tc>
          <w:tcPr>
            <w:tcW w:w="737" w:type="dxa"/>
            <w:gridSpan w:val="2"/>
            <w:tcBorders>
              <w:top w:val="single" w:sz="6" w:space="0" w:color="auto"/>
              <w:left w:val="single" w:sz="6" w:space="0" w:color="auto"/>
              <w:bottom w:val="single" w:sz="6" w:space="0" w:color="auto"/>
              <w:right w:val="single" w:sz="6" w:space="0" w:color="auto"/>
            </w:tcBorders>
          </w:tcPr>
          <w:p w14:paraId="2A3C3225" w14:textId="77777777" w:rsidR="00711444" w:rsidRPr="004D0DAA" w:rsidRDefault="00711444" w:rsidP="00AA2A4C">
            <w:pPr>
              <w:pStyle w:val="TAC"/>
              <w:rPr>
                <w:lang w:eastAsia="en-US"/>
              </w:rPr>
            </w:pPr>
            <w:r w:rsidRPr="004D0DAA">
              <w:rPr>
                <w:lang w:eastAsia="en-US"/>
              </w:rPr>
              <w:t>12</w:t>
            </w:r>
          </w:p>
        </w:tc>
        <w:tc>
          <w:tcPr>
            <w:tcW w:w="2803" w:type="dxa"/>
            <w:gridSpan w:val="2"/>
          </w:tcPr>
          <w:p w14:paraId="625C77D3"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106DD74F" w14:textId="77777777" w:rsidR="00711444" w:rsidRPr="004D0DAA" w:rsidRDefault="00711444" w:rsidP="00AA2A4C">
            <w:pPr>
              <w:pStyle w:val="TAC"/>
              <w:rPr>
                <w:lang w:eastAsia="en-US"/>
              </w:rPr>
            </w:pPr>
            <w:r w:rsidRPr="004D0DAA">
              <w:rPr>
                <w:lang w:eastAsia="en-US"/>
              </w:rPr>
              <w:t>142</w:t>
            </w:r>
          </w:p>
        </w:tc>
        <w:tc>
          <w:tcPr>
            <w:tcW w:w="737" w:type="dxa"/>
            <w:gridSpan w:val="2"/>
            <w:tcBorders>
              <w:top w:val="single" w:sz="6" w:space="0" w:color="auto"/>
              <w:left w:val="single" w:sz="6" w:space="0" w:color="auto"/>
              <w:bottom w:val="single" w:sz="6" w:space="0" w:color="auto"/>
              <w:right w:val="single" w:sz="6" w:space="0" w:color="auto"/>
            </w:tcBorders>
          </w:tcPr>
          <w:p w14:paraId="60E9BCA0" w14:textId="77777777" w:rsidR="00711444" w:rsidRPr="004D0DAA" w:rsidRDefault="00711444" w:rsidP="00AA2A4C">
            <w:pPr>
              <w:pStyle w:val="TAC"/>
              <w:rPr>
                <w:lang w:eastAsia="en-US"/>
              </w:rPr>
            </w:pPr>
            <w:r w:rsidRPr="004D0DAA">
              <w:rPr>
                <w:lang w:eastAsia="en-US"/>
              </w:rPr>
              <w:t>15</w:t>
            </w:r>
          </w:p>
        </w:tc>
      </w:tr>
      <w:tr w:rsidR="00711444" w:rsidRPr="004D0DAA" w14:paraId="6D423847"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5DE3EDFB" w14:textId="77777777" w:rsidR="00711444" w:rsidRPr="004D0DAA" w:rsidRDefault="00711444" w:rsidP="00AA2A4C">
            <w:pPr>
              <w:pStyle w:val="TAC"/>
              <w:rPr>
                <w:lang w:eastAsia="en-US"/>
              </w:rPr>
            </w:pPr>
            <w:r w:rsidRPr="004D0DAA">
              <w:rPr>
                <w:lang w:eastAsia="en-US"/>
              </w:rPr>
              <w:t>143</w:t>
            </w:r>
          </w:p>
        </w:tc>
        <w:tc>
          <w:tcPr>
            <w:tcW w:w="737" w:type="dxa"/>
            <w:gridSpan w:val="2"/>
            <w:tcBorders>
              <w:top w:val="single" w:sz="6" w:space="0" w:color="auto"/>
              <w:left w:val="single" w:sz="6" w:space="0" w:color="auto"/>
              <w:bottom w:val="single" w:sz="6" w:space="0" w:color="auto"/>
              <w:right w:val="single" w:sz="6" w:space="0" w:color="auto"/>
            </w:tcBorders>
          </w:tcPr>
          <w:p w14:paraId="0C2DACF3" w14:textId="77777777" w:rsidR="00711444" w:rsidRPr="004D0DAA" w:rsidRDefault="00711444" w:rsidP="00AA2A4C">
            <w:pPr>
              <w:pStyle w:val="TAC"/>
              <w:rPr>
                <w:lang w:eastAsia="en-US"/>
              </w:rPr>
            </w:pPr>
            <w:r w:rsidRPr="004D0DAA">
              <w:rPr>
                <w:lang w:eastAsia="en-US"/>
              </w:rPr>
              <w:t>11</w:t>
            </w:r>
          </w:p>
        </w:tc>
        <w:tc>
          <w:tcPr>
            <w:tcW w:w="2803" w:type="dxa"/>
            <w:gridSpan w:val="2"/>
          </w:tcPr>
          <w:p w14:paraId="4F50ACEF"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650731AD" w14:textId="77777777" w:rsidR="00711444" w:rsidRPr="004D0DAA" w:rsidRDefault="00711444" w:rsidP="00AA2A4C">
            <w:pPr>
              <w:pStyle w:val="TAC"/>
              <w:rPr>
                <w:lang w:eastAsia="en-US"/>
              </w:rPr>
            </w:pPr>
            <w:r w:rsidRPr="004D0DAA">
              <w:rPr>
                <w:lang w:eastAsia="en-US"/>
              </w:rPr>
              <w:t>143</w:t>
            </w:r>
          </w:p>
        </w:tc>
        <w:tc>
          <w:tcPr>
            <w:tcW w:w="737" w:type="dxa"/>
            <w:gridSpan w:val="2"/>
            <w:tcBorders>
              <w:top w:val="single" w:sz="6" w:space="0" w:color="auto"/>
              <w:left w:val="single" w:sz="6" w:space="0" w:color="auto"/>
              <w:bottom w:val="single" w:sz="6" w:space="0" w:color="auto"/>
              <w:right w:val="single" w:sz="6" w:space="0" w:color="auto"/>
            </w:tcBorders>
          </w:tcPr>
          <w:p w14:paraId="6009A66B" w14:textId="77777777" w:rsidR="00711444" w:rsidRPr="004D0DAA" w:rsidRDefault="00711444" w:rsidP="00AA2A4C">
            <w:pPr>
              <w:pStyle w:val="TAC"/>
              <w:rPr>
                <w:lang w:eastAsia="en-US"/>
              </w:rPr>
            </w:pPr>
            <w:r w:rsidRPr="004D0DAA">
              <w:rPr>
                <w:lang w:eastAsia="en-US"/>
              </w:rPr>
              <w:t>15</w:t>
            </w:r>
          </w:p>
        </w:tc>
      </w:tr>
      <w:tr w:rsidR="00711444" w:rsidRPr="004D0DAA" w14:paraId="0B3C50FE"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075DABB" w14:textId="77777777" w:rsidR="00711444" w:rsidRPr="004D0DAA" w:rsidRDefault="00711444" w:rsidP="00AA2A4C">
            <w:pPr>
              <w:pStyle w:val="TAC"/>
              <w:rPr>
                <w:lang w:eastAsia="en-US"/>
              </w:rPr>
            </w:pPr>
            <w:r w:rsidRPr="004D0DAA">
              <w:rPr>
                <w:lang w:eastAsia="en-US"/>
              </w:rPr>
              <w:t>144</w:t>
            </w:r>
          </w:p>
        </w:tc>
        <w:tc>
          <w:tcPr>
            <w:tcW w:w="737" w:type="dxa"/>
            <w:gridSpan w:val="2"/>
            <w:tcBorders>
              <w:top w:val="single" w:sz="6" w:space="0" w:color="auto"/>
              <w:left w:val="single" w:sz="6" w:space="0" w:color="auto"/>
              <w:bottom w:val="single" w:sz="6" w:space="0" w:color="auto"/>
              <w:right w:val="single" w:sz="6" w:space="0" w:color="auto"/>
            </w:tcBorders>
          </w:tcPr>
          <w:p w14:paraId="6454F0CD" w14:textId="77777777" w:rsidR="00711444" w:rsidRPr="004D0DAA" w:rsidRDefault="00711444" w:rsidP="00AA2A4C">
            <w:pPr>
              <w:pStyle w:val="TAC"/>
              <w:rPr>
                <w:lang w:eastAsia="en-US"/>
              </w:rPr>
            </w:pPr>
            <w:r w:rsidRPr="004D0DAA">
              <w:rPr>
                <w:lang w:eastAsia="en-US"/>
              </w:rPr>
              <w:t>10</w:t>
            </w:r>
          </w:p>
        </w:tc>
        <w:tc>
          <w:tcPr>
            <w:tcW w:w="2803" w:type="dxa"/>
            <w:gridSpan w:val="2"/>
          </w:tcPr>
          <w:p w14:paraId="29A6E382"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0272AF72" w14:textId="77777777" w:rsidR="00711444" w:rsidRPr="004D0DAA" w:rsidRDefault="00711444" w:rsidP="00AA2A4C">
            <w:pPr>
              <w:pStyle w:val="TAC"/>
              <w:rPr>
                <w:lang w:eastAsia="en-US"/>
              </w:rPr>
            </w:pPr>
            <w:r w:rsidRPr="004D0DAA">
              <w:rPr>
                <w:lang w:eastAsia="en-US"/>
              </w:rPr>
              <w:t>144</w:t>
            </w:r>
          </w:p>
        </w:tc>
        <w:tc>
          <w:tcPr>
            <w:tcW w:w="737" w:type="dxa"/>
            <w:gridSpan w:val="2"/>
            <w:tcBorders>
              <w:top w:val="single" w:sz="6" w:space="0" w:color="auto"/>
              <w:left w:val="single" w:sz="6" w:space="0" w:color="auto"/>
              <w:bottom w:val="single" w:sz="6" w:space="0" w:color="auto"/>
              <w:right w:val="single" w:sz="6" w:space="0" w:color="auto"/>
            </w:tcBorders>
          </w:tcPr>
          <w:p w14:paraId="04C16B41" w14:textId="77777777" w:rsidR="00711444" w:rsidRPr="004D0DAA" w:rsidRDefault="00711444" w:rsidP="00AA2A4C">
            <w:pPr>
              <w:pStyle w:val="TAC"/>
              <w:rPr>
                <w:lang w:eastAsia="en-US"/>
              </w:rPr>
            </w:pPr>
            <w:r w:rsidRPr="004D0DAA">
              <w:rPr>
                <w:lang w:eastAsia="en-US"/>
              </w:rPr>
              <w:t>15</w:t>
            </w:r>
          </w:p>
        </w:tc>
      </w:tr>
      <w:tr w:rsidR="00711444" w:rsidRPr="004D0DAA" w14:paraId="74B48A48"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3FBE979" w14:textId="77777777" w:rsidR="00711444" w:rsidRPr="004D0DAA" w:rsidRDefault="00711444" w:rsidP="00AA2A4C">
            <w:pPr>
              <w:pStyle w:val="TAC"/>
              <w:rPr>
                <w:lang w:eastAsia="en-US"/>
              </w:rPr>
            </w:pPr>
            <w:r w:rsidRPr="004D0DAA">
              <w:rPr>
                <w:lang w:eastAsia="en-US"/>
              </w:rPr>
              <w:t>145</w:t>
            </w:r>
          </w:p>
        </w:tc>
        <w:tc>
          <w:tcPr>
            <w:tcW w:w="737" w:type="dxa"/>
            <w:gridSpan w:val="2"/>
            <w:tcBorders>
              <w:top w:val="single" w:sz="6" w:space="0" w:color="auto"/>
              <w:left w:val="single" w:sz="6" w:space="0" w:color="auto"/>
              <w:bottom w:val="single" w:sz="6" w:space="0" w:color="auto"/>
              <w:right w:val="single" w:sz="6" w:space="0" w:color="auto"/>
            </w:tcBorders>
          </w:tcPr>
          <w:p w14:paraId="12387CF0" w14:textId="77777777" w:rsidR="00711444" w:rsidRPr="004D0DAA" w:rsidRDefault="00711444" w:rsidP="00AA2A4C">
            <w:pPr>
              <w:pStyle w:val="TAC"/>
              <w:rPr>
                <w:lang w:eastAsia="en-US"/>
              </w:rPr>
            </w:pPr>
            <w:r w:rsidRPr="004D0DAA">
              <w:rPr>
                <w:lang w:eastAsia="en-US"/>
              </w:rPr>
              <w:t>9</w:t>
            </w:r>
          </w:p>
        </w:tc>
        <w:tc>
          <w:tcPr>
            <w:tcW w:w="2803" w:type="dxa"/>
            <w:gridSpan w:val="2"/>
          </w:tcPr>
          <w:p w14:paraId="1C1DB5B1"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3AD00B1D" w14:textId="77777777" w:rsidR="00711444" w:rsidRPr="004D0DAA" w:rsidRDefault="00711444" w:rsidP="00AA2A4C">
            <w:pPr>
              <w:pStyle w:val="TAC"/>
              <w:rPr>
                <w:lang w:eastAsia="en-US"/>
              </w:rPr>
            </w:pPr>
            <w:r w:rsidRPr="004D0DAA">
              <w:rPr>
                <w:lang w:eastAsia="en-US"/>
              </w:rPr>
              <w:t>145</w:t>
            </w:r>
          </w:p>
        </w:tc>
        <w:tc>
          <w:tcPr>
            <w:tcW w:w="737" w:type="dxa"/>
            <w:gridSpan w:val="2"/>
            <w:tcBorders>
              <w:top w:val="single" w:sz="6" w:space="0" w:color="auto"/>
              <w:left w:val="single" w:sz="6" w:space="0" w:color="auto"/>
              <w:bottom w:val="single" w:sz="6" w:space="0" w:color="auto"/>
              <w:right w:val="single" w:sz="6" w:space="0" w:color="auto"/>
            </w:tcBorders>
          </w:tcPr>
          <w:p w14:paraId="5A4719C5" w14:textId="77777777" w:rsidR="00711444" w:rsidRPr="004D0DAA" w:rsidRDefault="00711444" w:rsidP="00AA2A4C">
            <w:pPr>
              <w:pStyle w:val="TAC"/>
              <w:rPr>
                <w:lang w:eastAsia="en-US"/>
              </w:rPr>
            </w:pPr>
            <w:r w:rsidRPr="004D0DAA">
              <w:rPr>
                <w:lang w:eastAsia="en-US"/>
              </w:rPr>
              <w:t>15</w:t>
            </w:r>
          </w:p>
        </w:tc>
      </w:tr>
      <w:tr w:rsidR="00711444" w:rsidRPr="004D0DAA" w14:paraId="7AFBC23D"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4D29E5B1" w14:textId="77777777" w:rsidR="00711444" w:rsidRPr="004D0DAA" w:rsidRDefault="00711444" w:rsidP="00AA2A4C">
            <w:pPr>
              <w:pStyle w:val="TAC"/>
              <w:rPr>
                <w:lang w:eastAsia="en-US"/>
              </w:rPr>
            </w:pPr>
            <w:r w:rsidRPr="004D0DAA">
              <w:rPr>
                <w:lang w:eastAsia="en-US"/>
              </w:rPr>
              <w:t>146</w:t>
            </w:r>
          </w:p>
        </w:tc>
        <w:tc>
          <w:tcPr>
            <w:tcW w:w="737" w:type="dxa"/>
            <w:gridSpan w:val="2"/>
            <w:tcBorders>
              <w:top w:val="single" w:sz="6" w:space="0" w:color="auto"/>
              <w:left w:val="single" w:sz="6" w:space="0" w:color="auto"/>
              <w:bottom w:val="single" w:sz="6" w:space="0" w:color="auto"/>
              <w:right w:val="single" w:sz="6" w:space="0" w:color="auto"/>
            </w:tcBorders>
          </w:tcPr>
          <w:p w14:paraId="5B5D82C1" w14:textId="77777777" w:rsidR="00711444" w:rsidRPr="004D0DAA" w:rsidRDefault="00711444" w:rsidP="00AA2A4C">
            <w:pPr>
              <w:pStyle w:val="TAC"/>
              <w:rPr>
                <w:lang w:eastAsia="en-US"/>
              </w:rPr>
            </w:pPr>
            <w:r w:rsidRPr="004D0DAA">
              <w:rPr>
                <w:lang w:eastAsia="en-US"/>
              </w:rPr>
              <w:t>8</w:t>
            </w:r>
          </w:p>
        </w:tc>
        <w:tc>
          <w:tcPr>
            <w:tcW w:w="2803" w:type="dxa"/>
            <w:gridSpan w:val="2"/>
          </w:tcPr>
          <w:p w14:paraId="2D6DFC95"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6F7FAB21" w14:textId="77777777" w:rsidR="00711444" w:rsidRPr="004D0DAA" w:rsidRDefault="00711444" w:rsidP="00AA2A4C">
            <w:pPr>
              <w:pStyle w:val="TAC"/>
              <w:rPr>
                <w:lang w:eastAsia="en-US"/>
              </w:rPr>
            </w:pPr>
            <w:r w:rsidRPr="004D0DAA">
              <w:rPr>
                <w:lang w:eastAsia="en-US"/>
              </w:rPr>
              <w:t>146</w:t>
            </w:r>
          </w:p>
        </w:tc>
        <w:tc>
          <w:tcPr>
            <w:tcW w:w="737" w:type="dxa"/>
            <w:gridSpan w:val="2"/>
            <w:tcBorders>
              <w:top w:val="single" w:sz="6" w:space="0" w:color="auto"/>
              <w:left w:val="single" w:sz="6" w:space="0" w:color="auto"/>
              <w:bottom w:val="single" w:sz="6" w:space="0" w:color="auto"/>
              <w:right w:val="single" w:sz="6" w:space="0" w:color="auto"/>
            </w:tcBorders>
          </w:tcPr>
          <w:p w14:paraId="0FD50A60" w14:textId="77777777" w:rsidR="00711444" w:rsidRPr="004D0DAA" w:rsidRDefault="00711444" w:rsidP="00AA2A4C">
            <w:pPr>
              <w:pStyle w:val="TAC"/>
              <w:rPr>
                <w:lang w:eastAsia="en-US"/>
              </w:rPr>
            </w:pPr>
            <w:r w:rsidRPr="004D0DAA">
              <w:rPr>
                <w:lang w:eastAsia="en-US"/>
              </w:rPr>
              <w:t>15</w:t>
            </w:r>
          </w:p>
        </w:tc>
      </w:tr>
      <w:tr w:rsidR="00711444" w:rsidRPr="004D0DAA" w14:paraId="36E7EC29"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757954C" w14:textId="77777777" w:rsidR="00711444" w:rsidRPr="004D0DAA" w:rsidRDefault="00711444" w:rsidP="00AA2A4C">
            <w:pPr>
              <w:pStyle w:val="TAC"/>
              <w:rPr>
                <w:lang w:eastAsia="en-US"/>
              </w:rPr>
            </w:pPr>
            <w:r w:rsidRPr="004D0DAA">
              <w:rPr>
                <w:lang w:eastAsia="en-US"/>
              </w:rPr>
              <w:t>147</w:t>
            </w:r>
          </w:p>
        </w:tc>
        <w:tc>
          <w:tcPr>
            <w:tcW w:w="737" w:type="dxa"/>
            <w:gridSpan w:val="2"/>
            <w:tcBorders>
              <w:top w:val="single" w:sz="6" w:space="0" w:color="auto"/>
              <w:left w:val="single" w:sz="6" w:space="0" w:color="auto"/>
              <w:bottom w:val="single" w:sz="6" w:space="0" w:color="auto"/>
              <w:right w:val="single" w:sz="6" w:space="0" w:color="auto"/>
            </w:tcBorders>
          </w:tcPr>
          <w:p w14:paraId="66075741" w14:textId="77777777" w:rsidR="00711444" w:rsidRPr="004D0DAA" w:rsidRDefault="00711444" w:rsidP="00AA2A4C">
            <w:pPr>
              <w:pStyle w:val="TAC"/>
              <w:rPr>
                <w:lang w:eastAsia="en-US"/>
              </w:rPr>
            </w:pPr>
            <w:r w:rsidRPr="004D0DAA">
              <w:rPr>
                <w:lang w:eastAsia="en-US"/>
              </w:rPr>
              <w:t>7</w:t>
            </w:r>
          </w:p>
        </w:tc>
        <w:tc>
          <w:tcPr>
            <w:tcW w:w="2803" w:type="dxa"/>
            <w:gridSpan w:val="2"/>
          </w:tcPr>
          <w:p w14:paraId="42AB3FDD"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3EBDE6AA" w14:textId="77777777" w:rsidR="00711444" w:rsidRPr="004D0DAA" w:rsidRDefault="00711444" w:rsidP="00AA2A4C">
            <w:pPr>
              <w:pStyle w:val="TAC"/>
              <w:rPr>
                <w:lang w:eastAsia="en-US"/>
              </w:rPr>
            </w:pPr>
            <w:r w:rsidRPr="004D0DAA">
              <w:rPr>
                <w:lang w:eastAsia="en-US"/>
              </w:rPr>
              <w:t>147</w:t>
            </w:r>
          </w:p>
        </w:tc>
        <w:tc>
          <w:tcPr>
            <w:tcW w:w="737" w:type="dxa"/>
            <w:gridSpan w:val="2"/>
            <w:tcBorders>
              <w:top w:val="single" w:sz="6" w:space="0" w:color="auto"/>
              <w:left w:val="single" w:sz="6" w:space="0" w:color="auto"/>
              <w:bottom w:val="single" w:sz="6" w:space="0" w:color="auto"/>
              <w:right w:val="single" w:sz="6" w:space="0" w:color="auto"/>
            </w:tcBorders>
          </w:tcPr>
          <w:p w14:paraId="1646D862" w14:textId="77777777" w:rsidR="00711444" w:rsidRPr="004D0DAA" w:rsidRDefault="00711444" w:rsidP="00AA2A4C">
            <w:pPr>
              <w:pStyle w:val="TAC"/>
              <w:rPr>
                <w:lang w:eastAsia="en-US"/>
              </w:rPr>
            </w:pPr>
            <w:r w:rsidRPr="004D0DAA">
              <w:rPr>
                <w:lang w:eastAsia="en-US"/>
              </w:rPr>
              <w:t>15</w:t>
            </w:r>
          </w:p>
        </w:tc>
      </w:tr>
      <w:tr w:rsidR="00711444" w:rsidRPr="004D0DAA" w14:paraId="4DA320B1"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7A5BC273" w14:textId="77777777" w:rsidR="00711444" w:rsidRPr="004D0DAA" w:rsidRDefault="00711444" w:rsidP="00AA2A4C">
            <w:pPr>
              <w:pStyle w:val="TAC"/>
              <w:rPr>
                <w:lang w:eastAsia="en-US"/>
              </w:rPr>
            </w:pPr>
            <w:r w:rsidRPr="004D0DAA">
              <w:rPr>
                <w:lang w:eastAsia="en-US"/>
              </w:rPr>
              <w:t>148</w:t>
            </w:r>
          </w:p>
        </w:tc>
        <w:tc>
          <w:tcPr>
            <w:tcW w:w="737" w:type="dxa"/>
            <w:gridSpan w:val="2"/>
            <w:tcBorders>
              <w:top w:val="single" w:sz="6" w:space="0" w:color="auto"/>
              <w:left w:val="single" w:sz="6" w:space="0" w:color="auto"/>
              <w:bottom w:val="single" w:sz="6" w:space="0" w:color="auto"/>
              <w:right w:val="single" w:sz="6" w:space="0" w:color="auto"/>
            </w:tcBorders>
          </w:tcPr>
          <w:p w14:paraId="2D3FA2A6" w14:textId="77777777" w:rsidR="00711444" w:rsidRPr="004D0DAA" w:rsidRDefault="00711444" w:rsidP="00AA2A4C">
            <w:pPr>
              <w:pStyle w:val="TAC"/>
              <w:rPr>
                <w:lang w:eastAsia="en-US"/>
              </w:rPr>
            </w:pPr>
            <w:r w:rsidRPr="004D0DAA">
              <w:rPr>
                <w:lang w:eastAsia="en-US"/>
              </w:rPr>
              <w:t>6</w:t>
            </w:r>
          </w:p>
        </w:tc>
        <w:tc>
          <w:tcPr>
            <w:tcW w:w="2803" w:type="dxa"/>
            <w:gridSpan w:val="2"/>
          </w:tcPr>
          <w:p w14:paraId="7D4F914B"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7085E606" w14:textId="77777777" w:rsidR="00711444" w:rsidRPr="004D0DAA" w:rsidRDefault="00711444" w:rsidP="00AA2A4C">
            <w:pPr>
              <w:pStyle w:val="TAC"/>
              <w:rPr>
                <w:lang w:eastAsia="en-US"/>
              </w:rPr>
            </w:pPr>
            <w:r w:rsidRPr="004D0DAA">
              <w:rPr>
                <w:lang w:eastAsia="en-US"/>
              </w:rPr>
              <w:t>148</w:t>
            </w:r>
          </w:p>
        </w:tc>
        <w:tc>
          <w:tcPr>
            <w:tcW w:w="737" w:type="dxa"/>
            <w:gridSpan w:val="2"/>
            <w:tcBorders>
              <w:top w:val="single" w:sz="6" w:space="0" w:color="auto"/>
              <w:left w:val="single" w:sz="6" w:space="0" w:color="auto"/>
              <w:bottom w:val="single" w:sz="6" w:space="0" w:color="auto"/>
              <w:right w:val="single" w:sz="6" w:space="0" w:color="auto"/>
            </w:tcBorders>
          </w:tcPr>
          <w:p w14:paraId="5BD67714" w14:textId="77777777" w:rsidR="00711444" w:rsidRPr="004D0DAA" w:rsidRDefault="00711444" w:rsidP="00AA2A4C">
            <w:pPr>
              <w:pStyle w:val="TAC"/>
              <w:rPr>
                <w:lang w:eastAsia="en-US"/>
              </w:rPr>
            </w:pPr>
            <w:r w:rsidRPr="004D0DAA">
              <w:rPr>
                <w:lang w:eastAsia="en-US"/>
              </w:rPr>
              <w:t>6</w:t>
            </w:r>
          </w:p>
        </w:tc>
      </w:tr>
      <w:tr w:rsidR="00711444" w:rsidRPr="004D0DAA" w14:paraId="7CBB08D4"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062A0BC2" w14:textId="77777777" w:rsidR="00711444" w:rsidRPr="004D0DAA" w:rsidRDefault="00711444" w:rsidP="00AA2A4C">
            <w:pPr>
              <w:pStyle w:val="TAC"/>
              <w:rPr>
                <w:lang w:eastAsia="en-US"/>
              </w:rPr>
            </w:pPr>
            <w:r w:rsidRPr="004D0DAA">
              <w:rPr>
                <w:lang w:eastAsia="en-US"/>
              </w:rPr>
              <w:t>149</w:t>
            </w:r>
          </w:p>
        </w:tc>
        <w:tc>
          <w:tcPr>
            <w:tcW w:w="737" w:type="dxa"/>
            <w:gridSpan w:val="2"/>
            <w:tcBorders>
              <w:top w:val="single" w:sz="6" w:space="0" w:color="auto"/>
              <w:left w:val="single" w:sz="6" w:space="0" w:color="auto"/>
              <w:bottom w:val="single" w:sz="6" w:space="0" w:color="auto"/>
              <w:right w:val="single" w:sz="6" w:space="0" w:color="auto"/>
            </w:tcBorders>
          </w:tcPr>
          <w:p w14:paraId="1611C2B5" w14:textId="77777777" w:rsidR="00711444" w:rsidRPr="004D0DAA" w:rsidRDefault="00711444" w:rsidP="00AA2A4C">
            <w:pPr>
              <w:pStyle w:val="TAC"/>
              <w:rPr>
                <w:lang w:eastAsia="en-US"/>
              </w:rPr>
            </w:pPr>
            <w:r w:rsidRPr="004D0DAA">
              <w:rPr>
                <w:lang w:eastAsia="en-US"/>
              </w:rPr>
              <w:t>5</w:t>
            </w:r>
          </w:p>
        </w:tc>
        <w:tc>
          <w:tcPr>
            <w:tcW w:w="2803" w:type="dxa"/>
            <w:gridSpan w:val="2"/>
          </w:tcPr>
          <w:p w14:paraId="42675A31"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11FBEBBC" w14:textId="77777777" w:rsidR="00711444" w:rsidRPr="004D0DAA" w:rsidRDefault="00711444" w:rsidP="00AA2A4C">
            <w:pPr>
              <w:pStyle w:val="TAC"/>
              <w:rPr>
                <w:lang w:eastAsia="en-US"/>
              </w:rPr>
            </w:pPr>
            <w:r w:rsidRPr="004D0DAA">
              <w:rPr>
                <w:lang w:eastAsia="en-US"/>
              </w:rPr>
              <w:t>149</w:t>
            </w:r>
          </w:p>
        </w:tc>
        <w:tc>
          <w:tcPr>
            <w:tcW w:w="737" w:type="dxa"/>
            <w:gridSpan w:val="2"/>
            <w:tcBorders>
              <w:top w:val="single" w:sz="6" w:space="0" w:color="auto"/>
              <w:left w:val="single" w:sz="6" w:space="0" w:color="auto"/>
              <w:bottom w:val="single" w:sz="6" w:space="0" w:color="auto"/>
              <w:right w:val="single" w:sz="6" w:space="0" w:color="auto"/>
            </w:tcBorders>
          </w:tcPr>
          <w:p w14:paraId="088F4E49" w14:textId="77777777" w:rsidR="00711444" w:rsidRPr="004D0DAA" w:rsidRDefault="00711444" w:rsidP="00AA2A4C">
            <w:pPr>
              <w:pStyle w:val="TAC"/>
              <w:rPr>
                <w:lang w:eastAsia="en-US"/>
              </w:rPr>
            </w:pPr>
            <w:r w:rsidRPr="004D0DAA">
              <w:rPr>
                <w:lang w:eastAsia="en-US"/>
              </w:rPr>
              <w:t>5</w:t>
            </w:r>
          </w:p>
        </w:tc>
      </w:tr>
      <w:tr w:rsidR="00711444" w:rsidRPr="004D0DAA" w14:paraId="0CBC40BC"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E4EA3B4" w14:textId="77777777" w:rsidR="00711444" w:rsidRPr="004D0DAA" w:rsidRDefault="00711444" w:rsidP="00AA2A4C">
            <w:pPr>
              <w:pStyle w:val="TAC"/>
              <w:rPr>
                <w:lang w:eastAsia="en-US"/>
              </w:rPr>
            </w:pPr>
            <w:r w:rsidRPr="004D0DAA">
              <w:rPr>
                <w:lang w:eastAsia="en-US"/>
              </w:rPr>
              <w:t>150</w:t>
            </w:r>
          </w:p>
        </w:tc>
        <w:tc>
          <w:tcPr>
            <w:tcW w:w="737" w:type="dxa"/>
            <w:gridSpan w:val="2"/>
            <w:tcBorders>
              <w:top w:val="single" w:sz="6" w:space="0" w:color="auto"/>
              <w:left w:val="single" w:sz="6" w:space="0" w:color="auto"/>
              <w:bottom w:val="single" w:sz="6" w:space="0" w:color="auto"/>
              <w:right w:val="single" w:sz="6" w:space="0" w:color="auto"/>
            </w:tcBorders>
          </w:tcPr>
          <w:p w14:paraId="19EAFF71" w14:textId="77777777" w:rsidR="00711444" w:rsidRPr="004D0DAA" w:rsidRDefault="00711444" w:rsidP="00AA2A4C">
            <w:pPr>
              <w:pStyle w:val="TAC"/>
              <w:rPr>
                <w:lang w:eastAsia="en-US"/>
              </w:rPr>
            </w:pPr>
            <w:r w:rsidRPr="004D0DAA">
              <w:rPr>
                <w:lang w:eastAsia="en-US"/>
              </w:rPr>
              <w:t>4</w:t>
            </w:r>
          </w:p>
        </w:tc>
        <w:tc>
          <w:tcPr>
            <w:tcW w:w="2803" w:type="dxa"/>
            <w:gridSpan w:val="2"/>
          </w:tcPr>
          <w:p w14:paraId="67565DBA"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775693F1" w14:textId="77777777" w:rsidR="00711444" w:rsidRPr="004D0DAA" w:rsidRDefault="00711444" w:rsidP="00AA2A4C">
            <w:pPr>
              <w:pStyle w:val="TAC"/>
              <w:rPr>
                <w:lang w:eastAsia="en-US"/>
              </w:rPr>
            </w:pPr>
            <w:r w:rsidRPr="004D0DAA">
              <w:rPr>
                <w:lang w:eastAsia="en-US"/>
              </w:rPr>
              <w:t>150</w:t>
            </w:r>
          </w:p>
        </w:tc>
        <w:tc>
          <w:tcPr>
            <w:tcW w:w="737" w:type="dxa"/>
            <w:gridSpan w:val="2"/>
            <w:tcBorders>
              <w:top w:val="single" w:sz="6" w:space="0" w:color="auto"/>
              <w:left w:val="single" w:sz="6" w:space="0" w:color="auto"/>
              <w:bottom w:val="single" w:sz="6" w:space="0" w:color="auto"/>
              <w:right w:val="single" w:sz="6" w:space="0" w:color="auto"/>
            </w:tcBorders>
          </w:tcPr>
          <w:p w14:paraId="4F76698E" w14:textId="77777777" w:rsidR="00711444" w:rsidRPr="004D0DAA" w:rsidRDefault="00711444" w:rsidP="00AA2A4C">
            <w:pPr>
              <w:pStyle w:val="TAC"/>
              <w:rPr>
                <w:lang w:eastAsia="en-US"/>
              </w:rPr>
            </w:pPr>
            <w:r w:rsidRPr="004D0DAA">
              <w:rPr>
                <w:lang w:eastAsia="en-US"/>
              </w:rPr>
              <w:t>4</w:t>
            </w:r>
          </w:p>
        </w:tc>
      </w:tr>
      <w:tr w:rsidR="00711444" w:rsidRPr="004D0DAA" w14:paraId="4BE66D27"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2D0C1F1A" w14:textId="77777777" w:rsidR="00711444" w:rsidRPr="004D0DAA" w:rsidRDefault="00711444" w:rsidP="00AA2A4C">
            <w:pPr>
              <w:pStyle w:val="TAC"/>
              <w:rPr>
                <w:lang w:eastAsia="en-US"/>
              </w:rPr>
            </w:pPr>
            <w:r w:rsidRPr="004D0DAA">
              <w:rPr>
                <w:lang w:eastAsia="en-US"/>
              </w:rPr>
              <w:t>151</w:t>
            </w:r>
          </w:p>
        </w:tc>
        <w:tc>
          <w:tcPr>
            <w:tcW w:w="737" w:type="dxa"/>
            <w:gridSpan w:val="2"/>
            <w:tcBorders>
              <w:top w:val="single" w:sz="6" w:space="0" w:color="auto"/>
              <w:left w:val="single" w:sz="6" w:space="0" w:color="auto"/>
              <w:bottom w:val="single" w:sz="6" w:space="0" w:color="auto"/>
              <w:right w:val="single" w:sz="6" w:space="0" w:color="auto"/>
            </w:tcBorders>
          </w:tcPr>
          <w:p w14:paraId="4511E1C4" w14:textId="77777777" w:rsidR="00711444" w:rsidRPr="004D0DAA" w:rsidRDefault="00711444" w:rsidP="00AA2A4C">
            <w:pPr>
              <w:pStyle w:val="TAC"/>
              <w:rPr>
                <w:lang w:eastAsia="en-US"/>
              </w:rPr>
            </w:pPr>
            <w:r w:rsidRPr="004D0DAA">
              <w:rPr>
                <w:lang w:eastAsia="en-US"/>
              </w:rPr>
              <w:t>3</w:t>
            </w:r>
          </w:p>
        </w:tc>
        <w:tc>
          <w:tcPr>
            <w:tcW w:w="2803" w:type="dxa"/>
            <w:gridSpan w:val="2"/>
          </w:tcPr>
          <w:p w14:paraId="5A0EF451"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0ABFB8A5" w14:textId="77777777" w:rsidR="00711444" w:rsidRPr="004D0DAA" w:rsidRDefault="00711444" w:rsidP="00AA2A4C">
            <w:pPr>
              <w:pStyle w:val="TAC"/>
              <w:rPr>
                <w:lang w:eastAsia="en-US"/>
              </w:rPr>
            </w:pPr>
            <w:r w:rsidRPr="004D0DAA">
              <w:rPr>
                <w:lang w:eastAsia="en-US"/>
              </w:rPr>
              <w:t>151</w:t>
            </w:r>
          </w:p>
        </w:tc>
        <w:tc>
          <w:tcPr>
            <w:tcW w:w="737" w:type="dxa"/>
            <w:gridSpan w:val="2"/>
            <w:tcBorders>
              <w:top w:val="single" w:sz="6" w:space="0" w:color="auto"/>
              <w:left w:val="single" w:sz="6" w:space="0" w:color="auto"/>
              <w:bottom w:val="single" w:sz="6" w:space="0" w:color="auto"/>
              <w:right w:val="single" w:sz="6" w:space="0" w:color="auto"/>
            </w:tcBorders>
          </w:tcPr>
          <w:p w14:paraId="781B5706" w14:textId="77777777" w:rsidR="00711444" w:rsidRPr="004D0DAA" w:rsidRDefault="00711444" w:rsidP="00AA2A4C">
            <w:pPr>
              <w:pStyle w:val="TAC"/>
              <w:rPr>
                <w:lang w:eastAsia="en-US"/>
              </w:rPr>
            </w:pPr>
            <w:r w:rsidRPr="004D0DAA">
              <w:rPr>
                <w:lang w:eastAsia="en-US"/>
              </w:rPr>
              <w:t>3</w:t>
            </w:r>
          </w:p>
        </w:tc>
      </w:tr>
      <w:tr w:rsidR="00711444" w:rsidRPr="004D0DAA" w14:paraId="26E2E405"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61F64144" w14:textId="77777777" w:rsidR="00711444" w:rsidRPr="004D0DAA" w:rsidRDefault="00711444" w:rsidP="00AA2A4C">
            <w:pPr>
              <w:pStyle w:val="TAC"/>
              <w:rPr>
                <w:lang w:eastAsia="en-US"/>
              </w:rPr>
            </w:pPr>
            <w:r w:rsidRPr="004D0DAA">
              <w:rPr>
                <w:lang w:eastAsia="en-US"/>
              </w:rPr>
              <w:t>152</w:t>
            </w:r>
          </w:p>
        </w:tc>
        <w:tc>
          <w:tcPr>
            <w:tcW w:w="737" w:type="dxa"/>
            <w:gridSpan w:val="2"/>
            <w:tcBorders>
              <w:top w:val="single" w:sz="6" w:space="0" w:color="auto"/>
              <w:left w:val="single" w:sz="6" w:space="0" w:color="auto"/>
              <w:bottom w:val="single" w:sz="6" w:space="0" w:color="auto"/>
              <w:right w:val="single" w:sz="6" w:space="0" w:color="auto"/>
            </w:tcBorders>
          </w:tcPr>
          <w:p w14:paraId="3F32AE36" w14:textId="77777777" w:rsidR="00711444" w:rsidRPr="004D0DAA" w:rsidRDefault="00711444" w:rsidP="00AA2A4C">
            <w:pPr>
              <w:pStyle w:val="TAC"/>
              <w:rPr>
                <w:lang w:eastAsia="en-US"/>
              </w:rPr>
            </w:pPr>
            <w:r w:rsidRPr="004D0DAA">
              <w:rPr>
                <w:lang w:eastAsia="en-US"/>
              </w:rPr>
              <w:t>2</w:t>
            </w:r>
          </w:p>
        </w:tc>
        <w:tc>
          <w:tcPr>
            <w:tcW w:w="2803" w:type="dxa"/>
            <w:gridSpan w:val="2"/>
          </w:tcPr>
          <w:p w14:paraId="165225A9"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687B8847" w14:textId="77777777" w:rsidR="00711444" w:rsidRPr="004D0DAA" w:rsidRDefault="00711444" w:rsidP="00AA2A4C">
            <w:pPr>
              <w:pStyle w:val="TAC"/>
              <w:rPr>
                <w:lang w:eastAsia="en-US"/>
              </w:rPr>
            </w:pPr>
            <w:r w:rsidRPr="004D0DAA">
              <w:rPr>
                <w:lang w:eastAsia="en-US"/>
              </w:rPr>
              <w:t>152</w:t>
            </w:r>
          </w:p>
        </w:tc>
        <w:tc>
          <w:tcPr>
            <w:tcW w:w="737" w:type="dxa"/>
            <w:gridSpan w:val="2"/>
            <w:tcBorders>
              <w:top w:val="single" w:sz="6" w:space="0" w:color="auto"/>
              <w:left w:val="single" w:sz="6" w:space="0" w:color="auto"/>
              <w:bottom w:val="single" w:sz="6" w:space="0" w:color="auto"/>
              <w:right w:val="single" w:sz="6" w:space="0" w:color="auto"/>
            </w:tcBorders>
          </w:tcPr>
          <w:p w14:paraId="6627FB5C" w14:textId="77777777" w:rsidR="00711444" w:rsidRPr="004D0DAA" w:rsidRDefault="00711444" w:rsidP="00AA2A4C">
            <w:pPr>
              <w:pStyle w:val="TAC"/>
              <w:rPr>
                <w:lang w:eastAsia="en-US"/>
              </w:rPr>
            </w:pPr>
            <w:r w:rsidRPr="004D0DAA">
              <w:rPr>
                <w:lang w:eastAsia="en-US"/>
              </w:rPr>
              <w:t>2</w:t>
            </w:r>
          </w:p>
        </w:tc>
      </w:tr>
      <w:tr w:rsidR="00711444" w:rsidRPr="004D0DAA" w14:paraId="55D4E578"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6952675C" w14:textId="77777777" w:rsidR="00711444" w:rsidRPr="004D0DAA" w:rsidRDefault="00711444" w:rsidP="00AA2A4C">
            <w:pPr>
              <w:pStyle w:val="TAC"/>
              <w:rPr>
                <w:lang w:eastAsia="en-US"/>
              </w:rPr>
            </w:pPr>
            <w:r w:rsidRPr="004D0DAA">
              <w:rPr>
                <w:lang w:eastAsia="en-US"/>
              </w:rPr>
              <w:t>153</w:t>
            </w:r>
          </w:p>
        </w:tc>
        <w:tc>
          <w:tcPr>
            <w:tcW w:w="737" w:type="dxa"/>
            <w:gridSpan w:val="2"/>
            <w:tcBorders>
              <w:top w:val="single" w:sz="6" w:space="0" w:color="auto"/>
              <w:left w:val="single" w:sz="6" w:space="0" w:color="auto"/>
              <w:bottom w:val="single" w:sz="6" w:space="0" w:color="auto"/>
              <w:right w:val="single" w:sz="6" w:space="0" w:color="auto"/>
            </w:tcBorders>
          </w:tcPr>
          <w:p w14:paraId="19542292" w14:textId="77777777" w:rsidR="00711444" w:rsidRPr="004D0DAA" w:rsidRDefault="00711444" w:rsidP="00AA2A4C">
            <w:pPr>
              <w:pStyle w:val="TAC"/>
              <w:rPr>
                <w:lang w:eastAsia="en-US"/>
              </w:rPr>
            </w:pPr>
            <w:r w:rsidRPr="004D0DAA">
              <w:rPr>
                <w:lang w:eastAsia="en-US"/>
              </w:rPr>
              <w:t>1</w:t>
            </w:r>
          </w:p>
        </w:tc>
        <w:tc>
          <w:tcPr>
            <w:tcW w:w="2803" w:type="dxa"/>
            <w:gridSpan w:val="2"/>
          </w:tcPr>
          <w:p w14:paraId="4BBEEEF7"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76E24ED9" w14:textId="77777777" w:rsidR="00711444" w:rsidRPr="004D0DAA" w:rsidRDefault="00711444" w:rsidP="00AA2A4C">
            <w:pPr>
              <w:pStyle w:val="TAC"/>
              <w:rPr>
                <w:lang w:eastAsia="en-US"/>
              </w:rPr>
            </w:pPr>
            <w:r w:rsidRPr="004D0DAA">
              <w:rPr>
                <w:lang w:eastAsia="en-US"/>
              </w:rPr>
              <w:t>153</w:t>
            </w:r>
          </w:p>
        </w:tc>
        <w:tc>
          <w:tcPr>
            <w:tcW w:w="737" w:type="dxa"/>
            <w:gridSpan w:val="2"/>
            <w:tcBorders>
              <w:top w:val="single" w:sz="6" w:space="0" w:color="auto"/>
              <w:left w:val="single" w:sz="6" w:space="0" w:color="auto"/>
              <w:bottom w:val="single" w:sz="6" w:space="0" w:color="auto"/>
              <w:right w:val="single" w:sz="6" w:space="0" w:color="auto"/>
            </w:tcBorders>
          </w:tcPr>
          <w:p w14:paraId="62F7C1DB" w14:textId="77777777" w:rsidR="00711444" w:rsidRPr="004D0DAA" w:rsidRDefault="00711444" w:rsidP="00AA2A4C">
            <w:pPr>
              <w:pStyle w:val="TAC"/>
              <w:rPr>
                <w:lang w:eastAsia="en-US"/>
              </w:rPr>
            </w:pPr>
            <w:r w:rsidRPr="004D0DAA">
              <w:rPr>
                <w:lang w:eastAsia="en-US"/>
              </w:rPr>
              <w:t>1</w:t>
            </w:r>
          </w:p>
        </w:tc>
      </w:tr>
      <w:tr w:rsidR="00711444" w:rsidRPr="004D0DAA" w14:paraId="60DEB622" w14:textId="77777777" w:rsidTr="00AA2A4C">
        <w:tblPrEx>
          <w:tblCellMar>
            <w:top w:w="0" w:type="dxa"/>
            <w:bottom w:w="0" w:type="dxa"/>
          </w:tblCellMar>
        </w:tblPrEx>
        <w:trPr>
          <w:gridAfter w:val="1"/>
          <w:wAfter w:w="544" w:type="dxa"/>
          <w:cantSplit/>
          <w:jc w:val="center"/>
        </w:trPr>
        <w:tc>
          <w:tcPr>
            <w:tcW w:w="737" w:type="dxa"/>
            <w:tcBorders>
              <w:top w:val="single" w:sz="6" w:space="0" w:color="auto"/>
              <w:left w:val="single" w:sz="6" w:space="0" w:color="auto"/>
              <w:bottom w:val="single" w:sz="6" w:space="0" w:color="auto"/>
              <w:right w:val="single" w:sz="6" w:space="0" w:color="auto"/>
            </w:tcBorders>
          </w:tcPr>
          <w:p w14:paraId="6374108C" w14:textId="77777777" w:rsidR="00711444" w:rsidRPr="004D0DAA" w:rsidRDefault="00711444" w:rsidP="00AA2A4C">
            <w:pPr>
              <w:pStyle w:val="TAC"/>
              <w:rPr>
                <w:lang w:eastAsia="en-US"/>
              </w:rPr>
            </w:pPr>
            <w:r w:rsidRPr="004D0DAA">
              <w:rPr>
                <w:lang w:eastAsia="en-US"/>
              </w:rPr>
              <w:t>154</w:t>
            </w:r>
          </w:p>
        </w:tc>
        <w:tc>
          <w:tcPr>
            <w:tcW w:w="737" w:type="dxa"/>
            <w:gridSpan w:val="2"/>
            <w:tcBorders>
              <w:top w:val="single" w:sz="6" w:space="0" w:color="auto"/>
              <w:left w:val="single" w:sz="6" w:space="0" w:color="auto"/>
              <w:bottom w:val="single" w:sz="6" w:space="0" w:color="auto"/>
              <w:right w:val="single" w:sz="6" w:space="0" w:color="auto"/>
            </w:tcBorders>
          </w:tcPr>
          <w:p w14:paraId="76ABB089" w14:textId="77777777" w:rsidR="00711444" w:rsidRPr="004D0DAA" w:rsidRDefault="00711444" w:rsidP="00AA2A4C">
            <w:pPr>
              <w:pStyle w:val="TAC"/>
              <w:rPr>
                <w:lang w:eastAsia="en-US"/>
              </w:rPr>
            </w:pPr>
            <w:r w:rsidRPr="004D0DAA">
              <w:rPr>
                <w:lang w:eastAsia="en-US"/>
              </w:rPr>
              <w:t>0</w:t>
            </w:r>
          </w:p>
        </w:tc>
        <w:tc>
          <w:tcPr>
            <w:tcW w:w="2803" w:type="dxa"/>
            <w:gridSpan w:val="2"/>
          </w:tcPr>
          <w:p w14:paraId="33A06444" w14:textId="77777777" w:rsidR="00711444" w:rsidRPr="004D0DAA" w:rsidRDefault="00711444" w:rsidP="00AA2A4C"/>
        </w:tc>
        <w:tc>
          <w:tcPr>
            <w:tcW w:w="737" w:type="dxa"/>
            <w:gridSpan w:val="2"/>
            <w:tcBorders>
              <w:top w:val="single" w:sz="6" w:space="0" w:color="auto"/>
              <w:left w:val="single" w:sz="6" w:space="0" w:color="auto"/>
              <w:bottom w:val="single" w:sz="6" w:space="0" w:color="auto"/>
              <w:right w:val="single" w:sz="6" w:space="0" w:color="auto"/>
            </w:tcBorders>
          </w:tcPr>
          <w:p w14:paraId="2B335F25" w14:textId="77777777" w:rsidR="00711444" w:rsidRPr="004D0DAA" w:rsidRDefault="00711444" w:rsidP="00AA2A4C">
            <w:pPr>
              <w:pStyle w:val="TAC"/>
              <w:rPr>
                <w:lang w:eastAsia="en-US"/>
              </w:rPr>
            </w:pPr>
            <w:r w:rsidRPr="004D0DAA">
              <w:rPr>
                <w:lang w:eastAsia="en-US"/>
              </w:rPr>
              <w:t>154</w:t>
            </w:r>
          </w:p>
        </w:tc>
        <w:tc>
          <w:tcPr>
            <w:tcW w:w="737" w:type="dxa"/>
            <w:gridSpan w:val="2"/>
            <w:tcBorders>
              <w:top w:val="single" w:sz="6" w:space="0" w:color="auto"/>
              <w:left w:val="single" w:sz="6" w:space="0" w:color="auto"/>
              <w:bottom w:val="single" w:sz="6" w:space="0" w:color="auto"/>
              <w:right w:val="single" w:sz="6" w:space="0" w:color="auto"/>
            </w:tcBorders>
          </w:tcPr>
          <w:p w14:paraId="6CD5CB22" w14:textId="77777777" w:rsidR="00711444" w:rsidRPr="004D0DAA" w:rsidRDefault="00711444" w:rsidP="00AA2A4C">
            <w:pPr>
              <w:pStyle w:val="TAC"/>
              <w:rPr>
                <w:lang w:eastAsia="en-US"/>
              </w:rPr>
            </w:pPr>
            <w:r w:rsidRPr="004D0DAA">
              <w:rPr>
                <w:lang w:eastAsia="en-US"/>
              </w:rPr>
              <w:t>0</w:t>
            </w:r>
          </w:p>
        </w:tc>
      </w:tr>
    </w:tbl>
    <w:p w14:paraId="5AFE2E03" w14:textId="77777777" w:rsidR="00711444" w:rsidRPr="004D0DAA" w:rsidRDefault="00711444" w:rsidP="00711444">
      <w:pPr>
        <w:pStyle w:val="TAC"/>
      </w:pPr>
    </w:p>
    <w:p w14:paraId="64380600" w14:textId="77777777" w:rsidR="00711444" w:rsidRPr="004D0DAA" w:rsidRDefault="00711444" w:rsidP="00711444">
      <w:pPr>
        <w:pStyle w:val="TF"/>
      </w:pPr>
      <w:r w:rsidRPr="004D0DAA">
        <w:t>Figure F.1: Example 1</w:t>
      </w:r>
    </w:p>
    <w:p w14:paraId="544B10D4" w14:textId="77777777" w:rsidR="00711444" w:rsidRPr="004D0DAA" w:rsidRDefault="00711444" w:rsidP="00711444">
      <w:pPr>
        <w:pStyle w:val="Heading2"/>
      </w:pPr>
      <w:r w:rsidRPr="004D0DAA">
        <w:br w:type="page"/>
      </w:r>
      <w:bookmarkStart w:id="902" w:name="_Toc516670071"/>
      <w:r w:rsidRPr="004D0DAA">
        <w:lastRenderedPageBreak/>
        <w:t>F.2</w:t>
      </w:r>
      <w:r w:rsidRPr="004D0DAA">
        <w:tab/>
        <w:t>Example 2</w:t>
      </w:r>
      <w:bookmarkEnd w:id="902"/>
    </w:p>
    <w:p w14:paraId="5ED18542" w14:textId="77777777" w:rsidR="00711444" w:rsidRPr="004D0DAA" w:rsidRDefault="00711444" w:rsidP="00711444">
      <w:pPr>
        <w:keepNext/>
        <w:keepLines/>
      </w:pPr>
      <w:r w:rsidRPr="004D0DAA">
        <w:t>In this example, shown in the first column, the total number of RLC data blocks in the TBF (TBC) is 155, the number of timeslots (NTS) is 3, and BS_CV_MAX is 6. Note that the RLC data block with BSN' = 154 arbitrarily occurs in timeslot 2. In the second column, the same example is shown with the RLC data block with BSN' = 154 occuring in timeslot 0.</w:t>
      </w:r>
    </w:p>
    <w:p w14:paraId="26F21290" w14:textId="77777777" w:rsidR="00711444" w:rsidRPr="004D0DAA" w:rsidRDefault="00711444" w:rsidP="00711444">
      <w:pPr>
        <w:pStyle w:val="B1"/>
      </w:pPr>
      <w:r w:rsidRPr="004D0DAA">
        <w:t>TBC</w:t>
      </w:r>
      <w:r w:rsidRPr="004D0DAA">
        <w:tab/>
        <w:t>155</w:t>
      </w:r>
    </w:p>
    <w:p w14:paraId="2FBEF322" w14:textId="77777777" w:rsidR="00711444" w:rsidRPr="004D0DAA" w:rsidRDefault="00711444" w:rsidP="00711444">
      <w:pPr>
        <w:pStyle w:val="B1"/>
      </w:pPr>
      <w:r w:rsidRPr="004D0DAA">
        <w:t>NTS</w:t>
      </w:r>
      <w:r w:rsidRPr="004D0DAA">
        <w:tab/>
        <w:t>3</w:t>
      </w:r>
    </w:p>
    <w:p w14:paraId="4B822A81" w14:textId="77777777" w:rsidR="00711444" w:rsidRPr="004D0DAA" w:rsidRDefault="00711444" w:rsidP="00711444">
      <w:r w:rsidRPr="004D0DAA">
        <w:t>BS_CV_MAX</w:t>
      </w:r>
      <w:r w:rsidRPr="004D0DAA">
        <w:tab/>
        <w:t>6</w:t>
      </w:r>
    </w:p>
    <w:tbl>
      <w:tblPr>
        <w:tblW w:w="0" w:type="auto"/>
        <w:jc w:val="center"/>
        <w:tblLayout w:type="fixed"/>
        <w:tblCellMar>
          <w:left w:w="56" w:type="dxa"/>
          <w:right w:w="56" w:type="dxa"/>
        </w:tblCellMar>
        <w:tblLook w:val="0000" w:firstRow="0" w:lastRow="0" w:firstColumn="0" w:lastColumn="0" w:noHBand="0" w:noVBand="0"/>
      </w:tblPr>
      <w:tblGrid>
        <w:gridCol w:w="680"/>
        <w:gridCol w:w="680"/>
        <w:gridCol w:w="680"/>
        <w:gridCol w:w="680"/>
        <w:gridCol w:w="680"/>
        <w:gridCol w:w="680"/>
        <w:gridCol w:w="680"/>
        <w:gridCol w:w="680"/>
        <w:gridCol w:w="680"/>
        <w:gridCol w:w="680"/>
        <w:gridCol w:w="680"/>
        <w:gridCol w:w="680"/>
        <w:gridCol w:w="680"/>
      </w:tblGrid>
      <w:tr w:rsidR="00711444" w:rsidRPr="004D0DAA" w14:paraId="66ADDDF5" w14:textId="77777777" w:rsidTr="00AA2A4C">
        <w:tblPrEx>
          <w:tblCellMar>
            <w:top w:w="0" w:type="dxa"/>
            <w:bottom w:w="0" w:type="dxa"/>
          </w:tblCellMar>
        </w:tblPrEx>
        <w:trPr>
          <w:cantSplit/>
          <w:jc w:val="center"/>
        </w:trPr>
        <w:tc>
          <w:tcPr>
            <w:tcW w:w="1360" w:type="dxa"/>
            <w:gridSpan w:val="2"/>
            <w:tcBorders>
              <w:top w:val="single" w:sz="6" w:space="0" w:color="auto"/>
              <w:left w:val="single" w:sz="6" w:space="0" w:color="auto"/>
            </w:tcBorders>
          </w:tcPr>
          <w:p w14:paraId="5BA577D2" w14:textId="77777777" w:rsidR="00711444" w:rsidRPr="004D0DAA" w:rsidRDefault="00711444" w:rsidP="00AA2A4C">
            <w:pPr>
              <w:pStyle w:val="TAC"/>
              <w:rPr>
                <w:lang w:eastAsia="en-US"/>
              </w:rPr>
            </w:pPr>
            <w:r w:rsidRPr="004D0DAA">
              <w:rPr>
                <w:b/>
                <w:lang w:eastAsia="en-US"/>
              </w:rPr>
              <w:t>TS0</w:t>
            </w:r>
          </w:p>
        </w:tc>
        <w:tc>
          <w:tcPr>
            <w:tcW w:w="1360" w:type="dxa"/>
            <w:gridSpan w:val="2"/>
            <w:tcBorders>
              <w:top w:val="single" w:sz="6" w:space="0" w:color="auto"/>
              <w:left w:val="single" w:sz="6" w:space="0" w:color="auto"/>
            </w:tcBorders>
          </w:tcPr>
          <w:p w14:paraId="75F28EC6" w14:textId="77777777" w:rsidR="00711444" w:rsidRPr="004D0DAA" w:rsidRDefault="00711444" w:rsidP="00AA2A4C">
            <w:pPr>
              <w:pStyle w:val="TAC"/>
              <w:rPr>
                <w:lang w:eastAsia="en-US"/>
              </w:rPr>
            </w:pPr>
            <w:r w:rsidRPr="004D0DAA">
              <w:rPr>
                <w:b/>
                <w:lang w:eastAsia="en-US"/>
              </w:rPr>
              <w:t>TS1</w:t>
            </w:r>
          </w:p>
        </w:tc>
        <w:tc>
          <w:tcPr>
            <w:tcW w:w="1360" w:type="dxa"/>
            <w:gridSpan w:val="2"/>
            <w:tcBorders>
              <w:top w:val="single" w:sz="6" w:space="0" w:color="auto"/>
              <w:left w:val="single" w:sz="6" w:space="0" w:color="auto"/>
            </w:tcBorders>
          </w:tcPr>
          <w:p w14:paraId="755C39D0" w14:textId="77777777" w:rsidR="00711444" w:rsidRPr="004D0DAA" w:rsidRDefault="00711444" w:rsidP="00AA2A4C">
            <w:pPr>
              <w:pStyle w:val="TAC"/>
              <w:rPr>
                <w:lang w:eastAsia="en-US"/>
              </w:rPr>
            </w:pPr>
            <w:r w:rsidRPr="004D0DAA">
              <w:rPr>
                <w:b/>
                <w:lang w:eastAsia="en-US"/>
              </w:rPr>
              <w:t>TS2</w:t>
            </w:r>
          </w:p>
        </w:tc>
        <w:tc>
          <w:tcPr>
            <w:tcW w:w="680" w:type="dxa"/>
            <w:tcBorders>
              <w:left w:val="single" w:sz="6" w:space="0" w:color="auto"/>
              <w:right w:val="single" w:sz="6" w:space="0" w:color="auto"/>
            </w:tcBorders>
          </w:tcPr>
          <w:p w14:paraId="6E22D260" w14:textId="77777777" w:rsidR="00711444" w:rsidRPr="004D0DAA" w:rsidRDefault="00711444" w:rsidP="00AA2A4C">
            <w:pPr>
              <w:rPr>
                <w:b/>
              </w:rPr>
            </w:pPr>
          </w:p>
        </w:tc>
        <w:tc>
          <w:tcPr>
            <w:tcW w:w="1360" w:type="dxa"/>
            <w:gridSpan w:val="2"/>
            <w:tcBorders>
              <w:top w:val="single" w:sz="6" w:space="0" w:color="auto"/>
              <w:bottom w:val="single" w:sz="6" w:space="0" w:color="auto"/>
              <w:right w:val="single" w:sz="6" w:space="0" w:color="auto"/>
            </w:tcBorders>
          </w:tcPr>
          <w:p w14:paraId="48EDA9C8" w14:textId="77777777" w:rsidR="00711444" w:rsidRPr="004D0DAA" w:rsidRDefault="00711444" w:rsidP="00AA2A4C">
            <w:pPr>
              <w:pStyle w:val="TAC"/>
              <w:rPr>
                <w:lang w:eastAsia="en-US"/>
              </w:rPr>
            </w:pPr>
            <w:r w:rsidRPr="004D0DAA">
              <w:rPr>
                <w:b/>
                <w:lang w:eastAsia="en-US"/>
              </w:rPr>
              <w:t>TS0</w:t>
            </w:r>
          </w:p>
        </w:tc>
        <w:tc>
          <w:tcPr>
            <w:tcW w:w="1360" w:type="dxa"/>
            <w:gridSpan w:val="2"/>
            <w:tcBorders>
              <w:top w:val="single" w:sz="6" w:space="0" w:color="auto"/>
              <w:left w:val="single" w:sz="6" w:space="0" w:color="auto"/>
              <w:bottom w:val="single" w:sz="6" w:space="0" w:color="auto"/>
              <w:right w:val="single" w:sz="6" w:space="0" w:color="auto"/>
            </w:tcBorders>
          </w:tcPr>
          <w:p w14:paraId="60972FB3" w14:textId="77777777" w:rsidR="00711444" w:rsidRPr="004D0DAA" w:rsidRDefault="00711444" w:rsidP="00AA2A4C">
            <w:pPr>
              <w:pStyle w:val="TAC"/>
              <w:rPr>
                <w:lang w:eastAsia="en-US"/>
              </w:rPr>
            </w:pPr>
            <w:r w:rsidRPr="004D0DAA">
              <w:rPr>
                <w:b/>
                <w:lang w:eastAsia="en-US"/>
              </w:rPr>
              <w:t>TS1</w:t>
            </w:r>
          </w:p>
        </w:tc>
        <w:tc>
          <w:tcPr>
            <w:tcW w:w="1360" w:type="dxa"/>
            <w:gridSpan w:val="2"/>
            <w:tcBorders>
              <w:top w:val="single" w:sz="6" w:space="0" w:color="auto"/>
              <w:left w:val="single" w:sz="6" w:space="0" w:color="auto"/>
              <w:bottom w:val="single" w:sz="6" w:space="0" w:color="auto"/>
              <w:right w:val="single" w:sz="6" w:space="0" w:color="auto"/>
            </w:tcBorders>
          </w:tcPr>
          <w:p w14:paraId="230DE243" w14:textId="77777777" w:rsidR="00711444" w:rsidRPr="004D0DAA" w:rsidRDefault="00711444" w:rsidP="00AA2A4C">
            <w:pPr>
              <w:pStyle w:val="TAC"/>
              <w:rPr>
                <w:lang w:eastAsia="en-US"/>
              </w:rPr>
            </w:pPr>
            <w:r w:rsidRPr="004D0DAA">
              <w:rPr>
                <w:b/>
                <w:lang w:eastAsia="en-US"/>
              </w:rPr>
              <w:t>TS2</w:t>
            </w:r>
          </w:p>
        </w:tc>
      </w:tr>
      <w:tr w:rsidR="00711444" w:rsidRPr="004D0DAA" w14:paraId="1E8272C2" w14:textId="77777777" w:rsidTr="00AA2A4C">
        <w:tblPrEx>
          <w:tblCellMar>
            <w:top w:w="0" w:type="dxa"/>
            <w:bottom w:w="0" w:type="dxa"/>
          </w:tblCellMar>
        </w:tblPrEx>
        <w:trPr>
          <w:cantSplit/>
          <w:jc w:val="center"/>
        </w:trPr>
        <w:tc>
          <w:tcPr>
            <w:tcW w:w="680" w:type="dxa"/>
            <w:tcBorders>
              <w:left w:val="single" w:sz="6" w:space="0" w:color="auto"/>
              <w:bottom w:val="double" w:sz="6" w:space="0" w:color="auto"/>
            </w:tcBorders>
          </w:tcPr>
          <w:p w14:paraId="3728F3FE"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39253802" w14:textId="77777777" w:rsidR="00711444" w:rsidRPr="004D0DAA" w:rsidRDefault="00711444" w:rsidP="00AA2A4C">
            <w:pPr>
              <w:pStyle w:val="TAC"/>
              <w:rPr>
                <w:lang w:eastAsia="en-US"/>
              </w:rPr>
            </w:pPr>
            <w:r w:rsidRPr="004D0DAA">
              <w:rPr>
                <w:b/>
                <w:lang w:eastAsia="en-US"/>
              </w:rPr>
              <w:t>CV</w:t>
            </w:r>
          </w:p>
        </w:tc>
        <w:tc>
          <w:tcPr>
            <w:tcW w:w="680" w:type="dxa"/>
            <w:tcBorders>
              <w:left w:val="single" w:sz="6" w:space="0" w:color="auto"/>
              <w:bottom w:val="double" w:sz="6" w:space="0" w:color="auto"/>
            </w:tcBorders>
          </w:tcPr>
          <w:p w14:paraId="63E26B4F"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003B9397" w14:textId="77777777" w:rsidR="00711444" w:rsidRPr="004D0DAA" w:rsidRDefault="00711444" w:rsidP="00AA2A4C">
            <w:pPr>
              <w:pStyle w:val="TAC"/>
              <w:rPr>
                <w:lang w:eastAsia="en-US"/>
              </w:rPr>
            </w:pPr>
            <w:r w:rsidRPr="004D0DAA">
              <w:rPr>
                <w:b/>
                <w:lang w:eastAsia="en-US"/>
              </w:rPr>
              <w:t>CV</w:t>
            </w:r>
          </w:p>
        </w:tc>
        <w:tc>
          <w:tcPr>
            <w:tcW w:w="680" w:type="dxa"/>
            <w:tcBorders>
              <w:left w:val="single" w:sz="6" w:space="0" w:color="auto"/>
              <w:bottom w:val="double" w:sz="6" w:space="0" w:color="auto"/>
            </w:tcBorders>
          </w:tcPr>
          <w:p w14:paraId="0899ABD3"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tcBorders>
          </w:tcPr>
          <w:p w14:paraId="0A617854" w14:textId="77777777" w:rsidR="00711444" w:rsidRPr="004D0DAA" w:rsidRDefault="00711444" w:rsidP="00AA2A4C">
            <w:pPr>
              <w:pStyle w:val="TAC"/>
              <w:rPr>
                <w:lang w:eastAsia="en-US"/>
              </w:rPr>
            </w:pPr>
            <w:r w:rsidRPr="004D0DAA">
              <w:rPr>
                <w:b/>
                <w:lang w:eastAsia="en-US"/>
              </w:rPr>
              <w:t>CV</w:t>
            </w:r>
          </w:p>
        </w:tc>
        <w:tc>
          <w:tcPr>
            <w:tcW w:w="680" w:type="dxa"/>
            <w:tcBorders>
              <w:left w:val="single" w:sz="6" w:space="0" w:color="auto"/>
              <w:right w:val="single" w:sz="6" w:space="0" w:color="auto"/>
            </w:tcBorders>
          </w:tcPr>
          <w:p w14:paraId="5851D29F" w14:textId="77777777" w:rsidR="00711444" w:rsidRPr="004D0DAA" w:rsidRDefault="00711444" w:rsidP="00AA2A4C">
            <w:pPr>
              <w:rPr>
                <w:b/>
              </w:rPr>
            </w:pPr>
          </w:p>
        </w:tc>
        <w:tc>
          <w:tcPr>
            <w:tcW w:w="680" w:type="dxa"/>
            <w:tcBorders>
              <w:bottom w:val="double" w:sz="6" w:space="0" w:color="auto"/>
            </w:tcBorders>
          </w:tcPr>
          <w:p w14:paraId="5609FD79"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584DEA7D" w14:textId="77777777" w:rsidR="00711444" w:rsidRPr="004D0DAA" w:rsidRDefault="00711444" w:rsidP="00AA2A4C">
            <w:pPr>
              <w:pStyle w:val="TAC"/>
              <w:rPr>
                <w:lang w:eastAsia="en-US"/>
              </w:rPr>
            </w:pPr>
            <w:r w:rsidRPr="004D0DAA">
              <w:rPr>
                <w:b/>
                <w:lang w:eastAsia="en-US"/>
              </w:rPr>
              <w:t>CV</w:t>
            </w:r>
          </w:p>
        </w:tc>
        <w:tc>
          <w:tcPr>
            <w:tcW w:w="680" w:type="dxa"/>
            <w:tcBorders>
              <w:bottom w:val="double" w:sz="6" w:space="0" w:color="auto"/>
            </w:tcBorders>
          </w:tcPr>
          <w:p w14:paraId="4029ADF4"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1A033CBD" w14:textId="77777777" w:rsidR="00711444" w:rsidRPr="004D0DAA" w:rsidRDefault="00711444" w:rsidP="00AA2A4C">
            <w:pPr>
              <w:pStyle w:val="TAC"/>
              <w:rPr>
                <w:lang w:eastAsia="en-US"/>
              </w:rPr>
            </w:pPr>
            <w:r w:rsidRPr="004D0DAA">
              <w:rPr>
                <w:b/>
                <w:lang w:eastAsia="en-US"/>
              </w:rPr>
              <w:t>CV</w:t>
            </w:r>
          </w:p>
        </w:tc>
        <w:tc>
          <w:tcPr>
            <w:tcW w:w="680" w:type="dxa"/>
            <w:tcBorders>
              <w:bottom w:val="double" w:sz="6" w:space="0" w:color="auto"/>
            </w:tcBorders>
          </w:tcPr>
          <w:p w14:paraId="093DE300"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263A1D4A" w14:textId="77777777" w:rsidR="00711444" w:rsidRPr="004D0DAA" w:rsidRDefault="00711444" w:rsidP="00AA2A4C">
            <w:pPr>
              <w:pStyle w:val="TAC"/>
              <w:rPr>
                <w:lang w:eastAsia="en-US"/>
              </w:rPr>
            </w:pPr>
            <w:r w:rsidRPr="004D0DAA">
              <w:rPr>
                <w:b/>
                <w:lang w:eastAsia="en-US"/>
              </w:rPr>
              <w:t>CV</w:t>
            </w:r>
          </w:p>
        </w:tc>
      </w:tr>
      <w:tr w:rsidR="00711444" w:rsidRPr="004D0DAA" w14:paraId="40AC94DD"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0D792BE9" w14:textId="77777777" w:rsidR="00711444" w:rsidRPr="004D0DAA" w:rsidRDefault="00711444" w:rsidP="00AA2A4C">
            <w:pPr>
              <w:pStyle w:val="TAC"/>
              <w:rPr>
                <w:lang w:eastAsia="en-US"/>
              </w:rPr>
            </w:pPr>
            <w:r w:rsidRPr="004D0DAA">
              <w:rPr>
                <w:lang w:eastAsia="en-US"/>
              </w:rPr>
              <w:t>125</w:t>
            </w:r>
          </w:p>
        </w:tc>
        <w:tc>
          <w:tcPr>
            <w:tcW w:w="680" w:type="dxa"/>
            <w:tcBorders>
              <w:bottom w:val="single" w:sz="6" w:space="0" w:color="auto"/>
              <w:right w:val="single" w:sz="6" w:space="0" w:color="auto"/>
            </w:tcBorders>
          </w:tcPr>
          <w:p w14:paraId="7C963C4B"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2A94015C" w14:textId="77777777" w:rsidR="00711444" w:rsidRPr="004D0DAA" w:rsidRDefault="00711444" w:rsidP="00AA2A4C">
            <w:pPr>
              <w:pStyle w:val="TAC"/>
              <w:rPr>
                <w:lang w:eastAsia="en-US"/>
              </w:rPr>
            </w:pPr>
            <w:r w:rsidRPr="004D0DAA">
              <w:rPr>
                <w:lang w:eastAsia="en-US"/>
              </w:rPr>
              <w:t>126</w:t>
            </w:r>
          </w:p>
        </w:tc>
        <w:tc>
          <w:tcPr>
            <w:tcW w:w="680" w:type="dxa"/>
            <w:tcBorders>
              <w:bottom w:val="single" w:sz="6" w:space="0" w:color="auto"/>
              <w:right w:val="single" w:sz="6" w:space="0" w:color="auto"/>
            </w:tcBorders>
          </w:tcPr>
          <w:p w14:paraId="0B04E07F"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552512D8" w14:textId="77777777" w:rsidR="00711444" w:rsidRPr="004D0DAA" w:rsidRDefault="00711444" w:rsidP="00AA2A4C">
            <w:pPr>
              <w:pStyle w:val="TAC"/>
              <w:rPr>
                <w:lang w:eastAsia="en-US"/>
              </w:rPr>
            </w:pPr>
            <w:r w:rsidRPr="004D0DAA">
              <w:rPr>
                <w:lang w:eastAsia="en-US"/>
              </w:rPr>
              <w:t>127</w:t>
            </w:r>
          </w:p>
        </w:tc>
        <w:tc>
          <w:tcPr>
            <w:tcW w:w="680" w:type="dxa"/>
            <w:tcBorders>
              <w:bottom w:val="single" w:sz="6" w:space="0" w:color="auto"/>
            </w:tcBorders>
          </w:tcPr>
          <w:p w14:paraId="0A50D6D7"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right w:val="single" w:sz="6" w:space="0" w:color="auto"/>
            </w:tcBorders>
          </w:tcPr>
          <w:p w14:paraId="5A4EBEEF" w14:textId="77777777" w:rsidR="00711444" w:rsidRPr="004D0DAA" w:rsidRDefault="00711444" w:rsidP="00AA2A4C"/>
        </w:tc>
        <w:tc>
          <w:tcPr>
            <w:tcW w:w="680" w:type="dxa"/>
            <w:tcBorders>
              <w:bottom w:val="single" w:sz="6" w:space="0" w:color="auto"/>
              <w:right w:val="single" w:sz="6" w:space="0" w:color="auto"/>
            </w:tcBorders>
          </w:tcPr>
          <w:p w14:paraId="19FFC5F2" w14:textId="77777777" w:rsidR="00711444" w:rsidRPr="004D0DAA" w:rsidRDefault="00711444" w:rsidP="00AA2A4C">
            <w:pPr>
              <w:pStyle w:val="TAC"/>
              <w:rPr>
                <w:lang w:eastAsia="en-US"/>
              </w:rPr>
            </w:pPr>
            <w:r w:rsidRPr="004D0DAA">
              <w:rPr>
                <w:lang w:eastAsia="en-US"/>
              </w:rPr>
              <w:t>127</w:t>
            </w:r>
          </w:p>
        </w:tc>
        <w:tc>
          <w:tcPr>
            <w:tcW w:w="680" w:type="dxa"/>
            <w:tcBorders>
              <w:bottom w:val="single" w:sz="6" w:space="0" w:color="auto"/>
              <w:right w:val="single" w:sz="6" w:space="0" w:color="auto"/>
            </w:tcBorders>
          </w:tcPr>
          <w:p w14:paraId="045996B4"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7BF73D4C" w14:textId="77777777" w:rsidR="00711444" w:rsidRPr="004D0DAA" w:rsidRDefault="00711444" w:rsidP="00AA2A4C">
            <w:pPr>
              <w:pStyle w:val="TAC"/>
              <w:rPr>
                <w:lang w:eastAsia="en-US"/>
              </w:rPr>
            </w:pPr>
            <w:r w:rsidRPr="004D0DAA">
              <w:rPr>
                <w:lang w:eastAsia="en-US"/>
              </w:rPr>
              <w:t>128</w:t>
            </w:r>
          </w:p>
        </w:tc>
        <w:tc>
          <w:tcPr>
            <w:tcW w:w="680" w:type="dxa"/>
            <w:tcBorders>
              <w:bottom w:val="single" w:sz="6" w:space="0" w:color="auto"/>
              <w:right w:val="single" w:sz="6" w:space="0" w:color="auto"/>
            </w:tcBorders>
          </w:tcPr>
          <w:p w14:paraId="56F77881"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6ED6DC47" w14:textId="77777777" w:rsidR="00711444" w:rsidRPr="004D0DAA" w:rsidRDefault="00711444" w:rsidP="00AA2A4C">
            <w:pPr>
              <w:pStyle w:val="TAC"/>
              <w:rPr>
                <w:lang w:eastAsia="en-US"/>
              </w:rPr>
            </w:pPr>
            <w:r w:rsidRPr="004D0DAA">
              <w:rPr>
                <w:lang w:eastAsia="en-US"/>
              </w:rPr>
              <w:t>129</w:t>
            </w:r>
          </w:p>
        </w:tc>
        <w:tc>
          <w:tcPr>
            <w:tcW w:w="680" w:type="dxa"/>
            <w:tcBorders>
              <w:bottom w:val="single" w:sz="6" w:space="0" w:color="auto"/>
              <w:right w:val="single" w:sz="6" w:space="0" w:color="auto"/>
            </w:tcBorders>
          </w:tcPr>
          <w:p w14:paraId="43CD93D1" w14:textId="77777777" w:rsidR="00711444" w:rsidRPr="004D0DAA" w:rsidRDefault="00711444" w:rsidP="00AA2A4C">
            <w:pPr>
              <w:pStyle w:val="TAC"/>
              <w:rPr>
                <w:lang w:eastAsia="en-US"/>
              </w:rPr>
            </w:pPr>
            <w:r w:rsidRPr="004D0DAA">
              <w:rPr>
                <w:lang w:eastAsia="en-US"/>
              </w:rPr>
              <w:t>15</w:t>
            </w:r>
          </w:p>
        </w:tc>
      </w:tr>
      <w:tr w:rsidR="00711444" w:rsidRPr="004D0DAA" w14:paraId="5F23D598"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37D7B741" w14:textId="77777777" w:rsidR="00711444" w:rsidRPr="004D0DAA" w:rsidRDefault="00711444" w:rsidP="00AA2A4C">
            <w:pPr>
              <w:pStyle w:val="TAC"/>
              <w:rPr>
                <w:lang w:eastAsia="en-US"/>
              </w:rPr>
            </w:pPr>
            <w:r w:rsidRPr="004D0DAA">
              <w:rPr>
                <w:lang w:eastAsia="en-US"/>
              </w:rPr>
              <w:t>128</w:t>
            </w:r>
          </w:p>
        </w:tc>
        <w:tc>
          <w:tcPr>
            <w:tcW w:w="680" w:type="dxa"/>
            <w:tcBorders>
              <w:bottom w:val="single" w:sz="6" w:space="0" w:color="auto"/>
              <w:right w:val="single" w:sz="6" w:space="0" w:color="auto"/>
            </w:tcBorders>
          </w:tcPr>
          <w:p w14:paraId="699E11B3"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7019FF1A" w14:textId="77777777" w:rsidR="00711444" w:rsidRPr="004D0DAA" w:rsidRDefault="00711444" w:rsidP="00AA2A4C">
            <w:pPr>
              <w:pStyle w:val="TAC"/>
              <w:rPr>
                <w:lang w:eastAsia="en-US"/>
              </w:rPr>
            </w:pPr>
            <w:r w:rsidRPr="004D0DAA">
              <w:rPr>
                <w:lang w:eastAsia="en-US"/>
              </w:rPr>
              <w:t>129</w:t>
            </w:r>
          </w:p>
        </w:tc>
        <w:tc>
          <w:tcPr>
            <w:tcW w:w="680" w:type="dxa"/>
            <w:tcBorders>
              <w:bottom w:val="single" w:sz="6" w:space="0" w:color="auto"/>
              <w:right w:val="single" w:sz="6" w:space="0" w:color="auto"/>
            </w:tcBorders>
          </w:tcPr>
          <w:p w14:paraId="305C8B0C"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694F15E9" w14:textId="77777777" w:rsidR="00711444" w:rsidRPr="004D0DAA" w:rsidRDefault="00711444" w:rsidP="00AA2A4C">
            <w:pPr>
              <w:pStyle w:val="TAC"/>
              <w:rPr>
                <w:lang w:eastAsia="en-US"/>
              </w:rPr>
            </w:pPr>
            <w:r w:rsidRPr="004D0DAA">
              <w:rPr>
                <w:lang w:eastAsia="en-US"/>
              </w:rPr>
              <w:t>130</w:t>
            </w:r>
          </w:p>
        </w:tc>
        <w:tc>
          <w:tcPr>
            <w:tcW w:w="680" w:type="dxa"/>
            <w:tcBorders>
              <w:bottom w:val="single" w:sz="6" w:space="0" w:color="auto"/>
            </w:tcBorders>
          </w:tcPr>
          <w:p w14:paraId="1A088196"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right w:val="single" w:sz="6" w:space="0" w:color="auto"/>
            </w:tcBorders>
          </w:tcPr>
          <w:p w14:paraId="53600738" w14:textId="77777777" w:rsidR="00711444" w:rsidRPr="004D0DAA" w:rsidRDefault="00711444" w:rsidP="00AA2A4C"/>
        </w:tc>
        <w:tc>
          <w:tcPr>
            <w:tcW w:w="680" w:type="dxa"/>
            <w:tcBorders>
              <w:bottom w:val="single" w:sz="6" w:space="0" w:color="auto"/>
              <w:right w:val="single" w:sz="6" w:space="0" w:color="auto"/>
            </w:tcBorders>
          </w:tcPr>
          <w:p w14:paraId="2601E43C" w14:textId="77777777" w:rsidR="00711444" w:rsidRPr="004D0DAA" w:rsidRDefault="00711444" w:rsidP="00AA2A4C">
            <w:pPr>
              <w:pStyle w:val="TAC"/>
              <w:rPr>
                <w:lang w:eastAsia="en-US"/>
              </w:rPr>
            </w:pPr>
            <w:r w:rsidRPr="004D0DAA">
              <w:rPr>
                <w:lang w:eastAsia="en-US"/>
              </w:rPr>
              <w:t>130</w:t>
            </w:r>
          </w:p>
        </w:tc>
        <w:tc>
          <w:tcPr>
            <w:tcW w:w="680" w:type="dxa"/>
            <w:tcBorders>
              <w:bottom w:val="single" w:sz="6" w:space="0" w:color="auto"/>
              <w:right w:val="single" w:sz="6" w:space="0" w:color="auto"/>
            </w:tcBorders>
          </w:tcPr>
          <w:p w14:paraId="319D9310"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051F884F" w14:textId="77777777" w:rsidR="00711444" w:rsidRPr="004D0DAA" w:rsidRDefault="00711444" w:rsidP="00AA2A4C">
            <w:pPr>
              <w:pStyle w:val="TAC"/>
              <w:rPr>
                <w:lang w:eastAsia="en-US"/>
              </w:rPr>
            </w:pPr>
            <w:r w:rsidRPr="004D0DAA">
              <w:rPr>
                <w:lang w:eastAsia="en-US"/>
              </w:rPr>
              <w:t>131</w:t>
            </w:r>
          </w:p>
        </w:tc>
        <w:tc>
          <w:tcPr>
            <w:tcW w:w="680" w:type="dxa"/>
            <w:tcBorders>
              <w:bottom w:val="single" w:sz="6" w:space="0" w:color="auto"/>
              <w:right w:val="single" w:sz="6" w:space="0" w:color="auto"/>
            </w:tcBorders>
          </w:tcPr>
          <w:p w14:paraId="25BCFAB8"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5DEB2B46" w14:textId="77777777" w:rsidR="00711444" w:rsidRPr="004D0DAA" w:rsidRDefault="00711444" w:rsidP="00AA2A4C">
            <w:pPr>
              <w:pStyle w:val="TAC"/>
              <w:rPr>
                <w:lang w:eastAsia="en-US"/>
              </w:rPr>
            </w:pPr>
            <w:r w:rsidRPr="004D0DAA">
              <w:rPr>
                <w:lang w:eastAsia="en-US"/>
              </w:rPr>
              <w:t>132</w:t>
            </w:r>
          </w:p>
        </w:tc>
        <w:tc>
          <w:tcPr>
            <w:tcW w:w="680" w:type="dxa"/>
            <w:tcBorders>
              <w:bottom w:val="single" w:sz="6" w:space="0" w:color="auto"/>
              <w:right w:val="single" w:sz="6" w:space="0" w:color="auto"/>
            </w:tcBorders>
          </w:tcPr>
          <w:p w14:paraId="21E812BE" w14:textId="77777777" w:rsidR="00711444" w:rsidRPr="004D0DAA" w:rsidRDefault="00711444" w:rsidP="00AA2A4C">
            <w:pPr>
              <w:pStyle w:val="TAC"/>
              <w:rPr>
                <w:lang w:eastAsia="en-US"/>
              </w:rPr>
            </w:pPr>
            <w:r w:rsidRPr="004D0DAA">
              <w:rPr>
                <w:lang w:eastAsia="en-US"/>
              </w:rPr>
              <w:t>15</w:t>
            </w:r>
          </w:p>
        </w:tc>
      </w:tr>
      <w:tr w:rsidR="00711444" w:rsidRPr="004D0DAA" w14:paraId="2CA711C4"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7CC60880" w14:textId="77777777" w:rsidR="00711444" w:rsidRPr="004D0DAA" w:rsidRDefault="00711444" w:rsidP="00AA2A4C">
            <w:pPr>
              <w:pStyle w:val="TAC"/>
              <w:rPr>
                <w:lang w:eastAsia="en-US"/>
              </w:rPr>
            </w:pPr>
            <w:r w:rsidRPr="004D0DAA">
              <w:rPr>
                <w:lang w:eastAsia="en-US"/>
              </w:rPr>
              <w:t>131</w:t>
            </w:r>
          </w:p>
        </w:tc>
        <w:tc>
          <w:tcPr>
            <w:tcW w:w="680" w:type="dxa"/>
            <w:tcBorders>
              <w:bottom w:val="single" w:sz="6" w:space="0" w:color="auto"/>
              <w:right w:val="single" w:sz="6" w:space="0" w:color="auto"/>
            </w:tcBorders>
          </w:tcPr>
          <w:p w14:paraId="54410000"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5CA9D03F" w14:textId="77777777" w:rsidR="00711444" w:rsidRPr="004D0DAA" w:rsidRDefault="00711444" w:rsidP="00AA2A4C">
            <w:pPr>
              <w:pStyle w:val="TAC"/>
              <w:rPr>
                <w:lang w:eastAsia="en-US"/>
              </w:rPr>
            </w:pPr>
            <w:r w:rsidRPr="004D0DAA">
              <w:rPr>
                <w:lang w:eastAsia="en-US"/>
              </w:rPr>
              <w:t>132</w:t>
            </w:r>
          </w:p>
        </w:tc>
        <w:tc>
          <w:tcPr>
            <w:tcW w:w="680" w:type="dxa"/>
            <w:tcBorders>
              <w:bottom w:val="single" w:sz="6" w:space="0" w:color="auto"/>
              <w:right w:val="single" w:sz="6" w:space="0" w:color="auto"/>
            </w:tcBorders>
          </w:tcPr>
          <w:p w14:paraId="79A6EF54"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14385FAE" w14:textId="77777777" w:rsidR="00711444" w:rsidRPr="004D0DAA" w:rsidRDefault="00711444" w:rsidP="00AA2A4C">
            <w:pPr>
              <w:pStyle w:val="TAC"/>
              <w:rPr>
                <w:lang w:eastAsia="en-US"/>
              </w:rPr>
            </w:pPr>
            <w:r w:rsidRPr="004D0DAA">
              <w:rPr>
                <w:lang w:eastAsia="en-US"/>
              </w:rPr>
              <w:t>133</w:t>
            </w:r>
          </w:p>
        </w:tc>
        <w:tc>
          <w:tcPr>
            <w:tcW w:w="680" w:type="dxa"/>
            <w:tcBorders>
              <w:bottom w:val="single" w:sz="6" w:space="0" w:color="auto"/>
            </w:tcBorders>
          </w:tcPr>
          <w:p w14:paraId="51BB5AEB"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right w:val="single" w:sz="6" w:space="0" w:color="auto"/>
            </w:tcBorders>
          </w:tcPr>
          <w:p w14:paraId="1B9BD8DE" w14:textId="77777777" w:rsidR="00711444" w:rsidRPr="004D0DAA" w:rsidRDefault="00711444" w:rsidP="00AA2A4C"/>
        </w:tc>
        <w:tc>
          <w:tcPr>
            <w:tcW w:w="680" w:type="dxa"/>
            <w:tcBorders>
              <w:bottom w:val="single" w:sz="6" w:space="0" w:color="auto"/>
              <w:right w:val="single" w:sz="6" w:space="0" w:color="auto"/>
            </w:tcBorders>
          </w:tcPr>
          <w:p w14:paraId="44DB7AEA" w14:textId="77777777" w:rsidR="00711444" w:rsidRPr="004D0DAA" w:rsidRDefault="00711444" w:rsidP="00AA2A4C">
            <w:pPr>
              <w:pStyle w:val="TAC"/>
              <w:rPr>
                <w:lang w:eastAsia="en-US"/>
              </w:rPr>
            </w:pPr>
            <w:r w:rsidRPr="004D0DAA">
              <w:rPr>
                <w:lang w:eastAsia="en-US"/>
              </w:rPr>
              <w:t>133</w:t>
            </w:r>
          </w:p>
        </w:tc>
        <w:tc>
          <w:tcPr>
            <w:tcW w:w="680" w:type="dxa"/>
            <w:tcBorders>
              <w:bottom w:val="single" w:sz="6" w:space="0" w:color="auto"/>
              <w:right w:val="single" w:sz="6" w:space="0" w:color="auto"/>
            </w:tcBorders>
          </w:tcPr>
          <w:p w14:paraId="33073AAD"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3762C641" w14:textId="77777777" w:rsidR="00711444" w:rsidRPr="004D0DAA" w:rsidRDefault="00711444" w:rsidP="00AA2A4C">
            <w:pPr>
              <w:pStyle w:val="TAC"/>
              <w:rPr>
                <w:lang w:eastAsia="en-US"/>
              </w:rPr>
            </w:pPr>
            <w:r w:rsidRPr="004D0DAA">
              <w:rPr>
                <w:lang w:eastAsia="en-US"/>
              </w:rPr>
              <w:t>134</w:t>
            </w:r>
          </w:p>
        </w:tc>
        <w:tc>
          <w:tcPr>
            <w:tcW w:w="680" w:type="dxa"/>
            <w:tcBorders>
              <w:bottom w:val="single" w:sz="6" w:space="0" w:color="auto"/>
              <w:right w:val="single" w:sz="6" w:space="0" w:color="auto"/>
            </w:tcBorders>
          </w:tcPr>
          <w:p w14:paraId="635C896C" w14:textId="77777777" w:rsidR="00711444" w:rsidRPr="004D0DAA" w:rsidRDefault="00711444" w:rsidP="00AA2A4C">
            <w:pPr>
              <w:pStyle w:val="TAC"/>
              <w:rPr>
                <w:lang w:eastAsia="en-US"/>
              </w:rPr>
            </w:pPr>
            <w:r w:rsidRPr="004D0DAA">
              <w:rPr>
                <w:lang w:eastAsia="en-US"/>
              </w:rPr>
              <w:t>15</w:t>
            </w:r>
          </w:p>
        </w:tc>
        <w:tc>
          <w:tcPr>
            <w:tcW w:w="680" w:type="dxa"/>
            <w:tcBorders>
              <w:bottom w:val="single" w:sz="6" w:space="0" w:color="auto"/>
              <w:right w:val="single" w:sz="6" w:space="0" w:color="auto"/>
            </w:tcBorders>
          </w:tcPr>
          <w:p w14:paraId="7010DDF5" w14:textId="77777777" w:rsidR="00711444" w:rsidRPr="004D0DAA" w:rsidRDefault="00711444" w:rsidP="00AA2A4C">
            <w:pPr>
              <w:pStyle w:val="TAC"/>
              <w:rPr>
                <w:lang w:eastAsia="en-US"/>
              </w:rPr>
            </w:pPr>
            <w:r w:rsidRPr="004D0DAA">
              <w:rPr>
                <w:lang w:eastAsia="en-US"/>
              </w:rPr>
              <w:t>135</w:t>
            </w:r>
          </w:p>
        </w:tc>
        <w:tc>
          <w:tcPr>
            <w:tcW w:w="680" w:type="dxa"/>
            <w:tcBorders>
              <w:bottom w:val="single" w:sz="6" w:space="0" w:color="auto"/>
              <w:right w:val="single" w:sz="6" w:space="0" w:color="auto"/>
            </w:tcBorders>
          </w:tcPr>
          <w:p w14:paraId="521FE528" w14:textId="77777777" w:rsidR="00711444" w:rsidRPr="004D0DAA" w:rsidRDefault="00711444" w:rsidP="00AA2A4C">
            <w:pPr>
              <w:pStyle w:val="TAC"/>
              <w:rPr>
                <w:lang w:eastAsia="en-US"/>
              </w:rPr>
            </w:pPr>
            <w:r w:rsidRPr="004D0DAA">
              <w:rPr>
                <w:lang w:eastAsia="en-US"/>
              </w:rPr>
              <w:t>15</w:t>
            </w:r>
          </w:p>
        </w:tc>
      </w:tr>
      <w:tr w:rsidR="00711444" w:rsidRPr="004D0DAA" w14:paraId="57726ABC"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206144B4" w14:textId="77777777" w:rsidR="00711444" w:rsidRPr="004D0DAA" w:rsidRDefault="00711444" w:rsidP="00AA2A4C">
            <w:pPr>
              <w:pStyle w:val="TAC"/>
              <w:rPr>
                <w:lang w:eastAsia="en-US"/>
              </w:rPr>
            </w:pPr>
            <w:r w:rsidRPr="004D0DAA">
              <w:rPr>
                <w:lang w:eastAsia="en-US"/>
              </w:rPr>
              <w:t>134</w:t>
            </w:r>
          </w:p>
        </w:tc>
        <w:tc>
          <w:tcPr>
            <w:tcW w:w="680" w:type="dxa"/>
            <w:tcBorders>
              <w:bottom w:val="single" w:sz="6" w:space="0" w:color="auto"/>
              <w:right w:val="single" w:sz="6" w:space="0" w:color="auto"/>
            </w:tcBorders>
          </w:tcPr>
          <w:p w14:paraId="4E955F38"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5372B92A" w14:textId="77777777" w:rsidR="00711444" w:rsidRPr="004D0DAA" w:rsidRDefault="00711444" w:rsidP="00AA2A4C">
            <w:pPr>
              <w:pStyle w:val="TAC"/>
              <w:rPr>
                <w:lang w:eastAsia="en-US"/>
              </w:rPr>
            </w:pPr>
            <w:r w:rsidRPr="004D0DAA">
              <w:rPr>
                <w:lang w:eastAsia="en-US"/>
              </w:rPr>
              <w:t>135</w:t>
            </w:r>
          </w:p>
        </w:tc>
        <w:tc>
          <w:tcPr>
            <w:tcW w:w="680" w:type="dxa"/>
            <w:tcBorders>
              <w:bottom w:val="single" w:sz="6" w:space="0" w:color="auto"/>
              <w:right w:val="single" w:sz="6" w:space="0" w:color="auto"/>
            </w:tcBorders>
          </w:tcPr>
          <w:p w14:paraId="73366795"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0930AB7B" w14:textId="77777777" w:rsidR="00711444" w:rsidRPr="004D0DAA" w:rsidRDefault="00711444" w:rsidP="00AA2A4C">
            <w:pPr>
              <w:pStyle w:val="TAC"/>
              <w:rPr>
                <w:lang w:eastAsia="en-US"/>
              </w:rPr>
            </w:pPr>
            <w:r w:rsidRPr="004D0DAA">
              <w:rPr>
                <w:lang w:eastAsia="en-US"/>
              </w:rPr>
              <w:t>136</w:t>
            </w:r>
          </w:p>
        </w:tc>
        <w:tc>
          <w:tcPr>
            <w:tcW w:w="680" w:type="dxa"/>
            <w:tcBorders>
              <w:bottom w:val="single" w:sz="6" w:space="0" w:color="auto"/>
            </w:tcBorders>
          </w:tcPr>
          <w:p w14:paraId="2B2F33F9" w14:textId="77777777" w:rsidR="00711444" w:rsidRPr="004D0DAA" w:rsidRDefault="00711444" w:rsidP="00AA2A4C">
            <w:pPr>
              <w:pStyle w:val="TAC"/>
              <w:rPr>
                <w:lang w:eastAsia="en-US"/>
              </w:rPr>
            </w:pPr>
            <w:r w:rsidRPr="004D0DAA">
              <w:rPr>
                <w:lang w:eastAsia="en-US"/>
              </w:rPr>
              <w:t>6</w:t>
            </w:r>
          </w:p>
        </w:tc>
        <w:tc>
          <w:tcPr>
            <w:tcW w:w="680" w:type="dxa"/>
            <w:tcBorders>
              <w:left w:val="single" w:sz="6" w:space="0" w:color="auto"/>
              <w:right w:val="single" w:sz="6" w:space="0" w:color="auto"/>
            </w:tcBorders>
          </w:tcPr>
          <w:p w14:paraId="4CE9AA54" w14:textId="77777777" w:rsidR="00711444" w:rsidRPr="004D0DAA" w:rsidRDefault="00711444" w:rsidP="00AA2A4C"/>
        </w:tc>
        <w:tc>
          <w:tcPr>
            <w:tcW w:w="680" w:type="dxa"/>
            <w:tcBorders>
              <w:bottom w:val="single" w:sz="6" w:space="0" w:color="auto"/>
              <w:right w:val="single" w:sz="6" w:space="0" w:color="auto"/>
            </w:tcBorders>
          </w:tcPr>
          <w:p w14:paraId="3B382E4F" w14:textId="77777777" w:rsidR="00711444" w:rsidRPr="004D0DAA" w:rsidRDefault="00711444" w:rsidP="00AA2A4C">
            <w:pPr>
              <w:pStyle w:val="TAC"/>
              <w:rPr>
                <w:lang w:eastAsia="en-US"/>
              </w:rPr>
            </w:pPr>
            <w:r w:rsidRPr="004D0DAA">
              <w:rPr>
                <w:lang w:eastAsia="en-US"/>
              </w:rPr>
              <w:t>136</w:t>
            </w:r>
          </w:p>
        </w:tc>
        <w:tc>
          <w:tcPr>
            <w:tcW w:w="680" w:type="dxa"/>
            <w:tcBorders>
              <w:bottom w:val="single" w:sz="6" w:space="0" w:color="auto"/>
              <w:right w:val="single" w:sz="6" w:space="0" w:color="auto"/>
            </w:tcBorders>
          </w:tcPr>
          <w:p w14:paraId="755565B6" w14:textId="77777777" w:rsidR="00711444" w:rsidRPr="004D0DAA" w:rsidRDefault="00711444" w:rsidP="00AA2A4C">
            <w:pPr>
              <w:pStyle w:val="TAC"/>
              <w:rPr>
                <w:lang w:eastAsia="en-US"/>
              </w:rPr>
            </w:pPr>
            <w:r w:rsidRPr="004D0DAA">
              <w:rPr>
                <w:lang w:eastAsia="en-US"/>
              </w:rPr>
              <w:t>6</w:t>
            </w:r>
          </w:p>
        </w:tc>
        <w:tc>
          <w:tcPr>
            <w:tcW w:w="680" w:type="dxa"/>
            <w:tcBorders>
              <w:bottom w:val="single" w:sz="6" w:space="0" w:color="auto"/>
              <w:right w:val="single" w:sz="6" w:space="0" w:color="auto"/>
            </w:tcBorders>
          </w:tcPr>
          <w:p w14:paraId="682BEF3A" w14:textId="77777777" w:rsidR="00711444" w:rsidRPr="004D0DAA" w:rsidRDefault="00711444" w:rsidP="00AA2A4C">
            <w:pPr>
              <w:pStyle w:val="TAC"/>
              <w:rPr>
                <w:lang w:eastAsia="en-US"/>
              </w:rPr>
            </w:pPr>
            <w:r w:rsidRPr="004D0DAA">
              <w:rPr>
                <w:lang w:eastAsia="en-US"/>
              </w:rPr>
              <w:t>137</w:t>
            </w:r>
          </w:p>
        </w:tc>
        <w:tc>
          <w:tcPr>
            <w:tcW w:w="680" w:type="dxa"/>
            <w:tcBorders>
              <w:bottom w:val="single" w:sz="6" w:space="0" w:color="auto"/>
              <w:right w:val="single" w:sz="6" w:space="0" w:color="auto"/>
            </w:tcBorders>
          </w:tcPr>
          <w:p w14:paraId="78856480" w14:textId="77777777" w:rsidR="00711444" w:rsidRPr="004D0DAA" w:rsidRDefault="00711444" w:rsidP="00AA2A4C">
            <w:pPr>
              <w:pStyle w:val="TAC"/>
              <w:rPr>
                <w:lang w:eastAsia="en-US"/>
              </w:rPr>
            </w:pPr>
            <w:r w:rsidRPr="004D0DAA">
              <w:rPr>
                <w:lang w:eastAsia="en-US"/>
              </w:rPr>
              <w:t>6</w:t>
            </w:r>
          </w:p>
        </w:tc>
        <w:tc>
          <w:tcPr>
            <w:tcW w:w="680" w:type="dxa"/>
            <w:tcBorders>
              <w:bottom w:val="single" w:sz="6" w:space="0" w:color="auto"/>
              <w:right w:val="single" w:sz="6" w:space="0" w:color="auto"/>
            </w:tcBorders>
          </w:tcPr>
          <w:p w14:paraId="306D79F0" w14:textId="77777777" w:rsidR="00711444" w:rsidRPr="004D0DAA" w:rsidRDefault="00711444" w:rsidP="00AA2A4C">
            <w:pPr>
              <w:pStyle w:val="TAC"/>
              <w:rPr>
                <w:lang w:eastAsia="en-US"/>
              </w:rPr>
            </w:pPr>
            <w:r w:rsidRPr="004D0DAA">
              <w:rPr>
                <w:lang w:eastAsia="en-US"/>
              </w:rPr>
              <w:t>138</w:t>
            </w:r>
          </w:p>
        </w:tc>
        <w:tc>
          <w:tcPr>
            <w:tcW w:w="680" w:type="dxa"/>
            <w:tcBorders>
              <w:bottom w:val="single" w:sz="6" w:space="0" w:color="auto"/>
              <w:right w:val="single" w:sz="6" w:space="0" w:color="auto"/>
            </w:tcBorders>
          </w:tcPr>
          <w:p w14:paraId="72EBB457" w14:textId="77777777" w:rsidR="00711444" w:rsidRPr="004D0DAA" w:rsidRDefault="00711444" w:rsidP="00AA2A4C">
            <w:pPr>
              <w:pStyle w:val="TAC"/>
              <w:rPr>
                <w:lang w:eastAsia="en-US"/>
              </w:rPr>
            </w:pPr>
            <w:r w:rsidRPr="004D0DAA">
              <w:rPr>
                <w:lang w:eastAsia="en-US"/>
              </w:rPr>
              <w:t>6</w:t>
            </w:r>
          </w:p>
        </w:tc>
      </w:tr>
      <w:tr w:rsidR="00711444" w:rsidRPr="004D0DAA" w14:paraId="7B0669D5"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5B759552" w14:textId="77777777" w:rsidR="00711444" w:rsidRPr="004D0DAA" w:rsidRDefault="00711444" w:rsidP="00AA2A4C">
            <w:pPr>
              <w:pStyle w:val="TAC"/>
              <w:rPr>
                <w:lang w:eastAsia="en-US"/>
              </w:rPr>
            </w:pPr>
            <w:r w:rsidRPr="004D0DAA">
              <w:rPr>
                <w:lang w:eastAsia="en-US"/>
              </w:rPr>
              <w:t>137</w:t>
            </w:r>
          </w:p>
        </w:tc>
        <w:tc>
          <w:tcPr>
            <w:tcW w:w="680" w:type="dxa"/>
            <w:tcBorders>
              <w:bottom w:val="single" w:sz="6" w:space="0" w:color="auto"/>
              <w:right w:val="single" w:sz="6" w:space="0" w:color="auto"/>
            </w:tcBorders>
          </w:tcPr>
          <w:p w14:paraId="48EE61A0" w14:textId="77777777" w:rsidR="00711444" w:rsidRPr="004D0DAA" w:rsidRDefault="00711444" w:rsidP="00AA2A4C">
            <w:pPr>
              <w:pStyle w:val="TAC"/>
              <w:rPr>
                <w:lang w:eastAsia="en-US"/>
              </w:rPr>
            </w:pPr>
            <w:r w:rsidRPr="004D0DAA">
              <w:rPr>
                <w:lang w:eastAsia="en-US"/>
              </w:rPr>
              <w:t>6</w:t>
            </w:r>
          </w:p>
        </w:tc>
        <w:tc>
          <w:tcPr>
            <w:tcW w:w="680" w:type="dxa"/>
            <w:tcBorders>
              <w:left w:val="single" w:sz="6" w:space="0" w:color="auto"/>
              <w:bottom w:val="single" w:sz="6" w:space="0" w:color="auto"/>
            </w:tcBorders>
          </w:tcPr>
          <w:p w14:paraId="7C24141C" w14:textId="77777777" w:rsidR="00711444" w:rsidRPr="004D0DAA" w:rsidRDefault="00711444" w:rsidP="00AA2A4C">
            <w:pPr>
              <w:pStyle w:val="TAC"/>
              <w:rPr>
                <w:lang w:eastAsia="en-US"/>
              </w:rPr>
            </w:pPr>
            <w:r w:rsidRPr="004D0DAA">
              <w:rPr>
                <w:lang w:eastAsia="en-US"/>
              </w:rPr>
              <w:t>138</w:t>
            </w:r>
          </w:p>
        </w:tc>
        <w:tc>
          <w:tcPr>
            <w:tcW w:w="680" w:type="dxa"/>
            <w:tcBorders>
              <w:bottom w:val="single" w:sz="6" w:space="0" w:color="auto"/>
              <w:right w:val="single" w:sz="6" w:space="0" w:color="auto"/>
            </w:tcBorders>
          </w:tcPr>
          <w:p w14:paraId="0F245FF9" w14:textId="77777777" w:rsidR="00711444" w:rsidRPr="004D0DAA" w:rsidRDefault="00711444" w:rsidP="00AA2A4C">
            <w:pPr>
              <w:pStyle w:val="TAC"/>
              <w:rPr>
                <w:lang w:eastAsia="en-US"/>
              </w:rPr>
            </w:pPr>
            <w:r w:rsidRPr="004D0DAA">
              <w:rPr>
                <w:lang w:eastAsia="en-US"/>
              </w:rPr>
              <w:t>6</w:t>
            </w:r>
          </w:p>
        </w:tc>
        <w:tc>
          <w:tcPr>
            <w:tcW w:w="680" w:type="dxa"/>
            <w:tcBorders>
              <w:left w:val="single" w:sz="6" w:space="0" w:color="auto"/>
              <w:bottom w:val="single" w:sz="6" w:space="0" w:color="auto"/>
            </w:tcBorders>
          </w:tcPr>
          <w:p w14:paraId="01829938" w14:textId="77777777" w:rsidR="00711444" w:rsidRPr="004D0DAA" w:rsidRDefault="00711444" w:rsidP="00AA2A4C">
            <w:pPr>
              <w:pStyle w:val="TAC"/>
              <w:rPr>
                <w:lang w:eastAsia="en-US"/>
              </w:rPr>
            </w:pPr>
            <w:r w:rsidRPr="004D0DAA">
              <w:rPr>
                <w:lang w:eastAsia="en-US"/>
              </w:rPr>
              <w:t>139</w:t>
            </w:r>
          </w:p>
        </w:tc>
        <w:tc>
          <w:tcPr>
            <w:tcW w:w="680" w:type="dxa"/>
            <w:tcBorders>
              <w:bottom w:val="single" w:sz="6" w:space="0" w:color="auto"/>
            </w:tcBorders>
          </w:tcPr>
          <w:p w14:paraId="0A3CB0F2"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right w:val="single" w:sz="6" w:space="0" w:color="auto"/>
            </w:tcBorders>
          </w:tcPr>
          <w:p w14:paraId="555CDED9" w14:textId="77777777" w:rsidR="00711444" w:rsidRPr="004D0DAA" w:rsidRDefault="00711444" w:rsidP="00AA2A4C"/>
        </w:tc>
        <w:tc>
          <w:tcPr>
            <w:tcW w:w="680" w:type="dxa"/>
            <w:tcBorders>
              <w:bottom w:val="single" w:sz="6" w:space="0" w:color="auto"/>
              <w:right w:val="single" w:sz="6" w:space="0" w:color="auto"/>
            </w:tcBorders>
          </w:tcPr>
          <w:p w14:paraId="66DE133E" w14:textId="77777777" w:rsidR="00711444" w:rsidRPr="004D0DAA" w:rsidRDefault="00711444" w:rsidP="00AA2A4C">
            <w:pPr>
              <w:pStyle w:val="TAC"/>
              <w:rPr>
                <w:lang w:eastAsia="en-US"/>
              </w:rPr>
            </w:pPr>
            <w:r w:rsidRPr="004D0DAA">
              <w:rPr>
                <w:lang w:eastAsia="en-US"/>
              </w:rPr>
              <w:t>139</w:t>
            </w:r>
          </w:p>
        </w:tc>
        <w:tc>
          <w:tcPr>
            <w:tcW w:w="680" w:type="dxa"/>
            <w:tcBorders>
              <w:bottom w:val="single" w:sz="6" w:space="0" w:color="auto"/>
              <w:right w:val="single" w:sz="6" w:space="0" w:color="auto"/>
            </w:tcBorders>
          </w:tcPr>
          <w:p w14:paraId="709522F6" w14:textId="77777777" w:rsidR="00711444" w:rsidRPr="004D0DAA" w:rsidRDefault="00711444" w:rsidP="00AA2A4C">
            <w:pPr>
              <w:pStyle w:val="TAC"/>
              <w:rPr>
                <w:lang w:eastAsia="en-US"/>
              </w:rPr>
            </w:pPr>
            <w:r w:rsidRPr="004D0DAA">
              <w:rPr>
                <w:lang w:eastAsia="en-US"/>
              </w:rPr>
              <w:t>5</w:t>
            </w:r>
          </w:p>
        </w:tc>
        <w:tc>
          <w:tcPr>
            <w:tcW w:w="680" w:type="dxa"/>
            <w:tcBorders>
              <w:bottom w:val="single" w:sz="6" w:space="0" w:color="auto"/>
              <w:right w:val="single" w:sz="6" w:space="0" w:color="auto"/>
            </w:tcBorders>
          </w:tcPr>
          <w:p w14:paraId="246B37B9" w14:textId="77777777" w:rsidR="00711444" w:rsidRPr="004D0DAA" w:rsidRDefault="00711444" w:rsidP="00AA2A4C">
            <w:pPr>
              <w:pStyle w:val="TAC"/>
              <w:rPr>
                <w:lang w:eastAsia="en-US"/>
              </w:rPr>
            </w:pPr>
            <w:r w:rsidRPr="004D0DAA">
              <w:rPr>
                <w:lang w:eastAsia="en-US"/>
              </w:rPr>
              <w:t>140</w:t>
            </w:r>
          </w:p>
        </w:tc>
        <w:tc>
          <w:tcPr>
            <w:tcW w:w="680" w:type="dxa"/>
            <w:tcBorders>
              <w:bottom w:val="single" w:sz="6" w:space="0" w:color="auto"/>
              <w:right w:val="single" w:sz="6" w:space="0" w:color="auto"/>
            </w:tcBorders>
          </w:tcPr>
          <w:p w14:paraId="40456D87" w14:textId="77777777" w:rsidR="00711444" w:rsidRPr="004D0DAA" w:rsidRDefault="00711444" w:rsidP="00AA2A4C">
            <w:pPr>
              <w:pStyle w:val="TAC"/>
              <w:rPr>
                <w:lang w:eastAsia="en-US"/>
              </w:rPr>
            </w:pPr>
            <w:r w:rsidRPr="004D0DAA">
              <w:rPr>
                <w:lang w:eastAsia="en-US"/>
              </w:rPr>
              <w:t>5</w:t>
            </w:r>
          </w:p>
        </w:tc>
        <w:tc>
          <w:tcPr>
            <w:tcW w:w="680" w:type="dxa"/>
            <w:tcBorders>
              <w:bottom w:val="single" w:sz="6" w:space="0" w:color="auto"/>
              <w:right w:val="single" w:sz="6" w:space="0" w:color="auto"/>
            </w:tcBorders>
          </w:tcPr>
          <w:p w14:paraId="4287AC29" w14:textId="77777777" w:rsidR="00711444" w:rsidRPr="004D0DAA" w:rsidRDefault="00711444" w:rsidP="00AA2A4C">
            <w:pPr>
              <w:pStyle w:val="TAC"/>
              <w:rPr>
                <w:lang w:eastAsia="en-US"/>
              </w:rPr>
            </w:pPr>
            <w:r w:rsidRPr="004D0DAA">
              <w:rPr>
                <w:lang w:eastAsia="en-US"/>
              </w:rPr>
              <w:t>141</w:t>
            </w:r>
          </w:p>
        </w:tc>
        <w:tc>
          <w:tcPr>
            <w:tcW w:w="680" w:type="dxa"/>
            <w:tcBorders>
              <w:bottom w:val="single" w:sz="6" w:space="0" w:color="auto"/>
              <w:right w:val="single" w:sz="6" w:space="0" w:color="auto"/>
            </w:tcBorders>
          </w:tcPr>
          <w:p w14:paraId="69E46BBF" w14:textId="77777777" w:rsidR="00711444" w:rsidRPr="004D0DAA" w:rsidRDefault="00711444" w:rsidP="00AA2A4C">
            <w:pPr>
              <w:pStyle w:val="TAC"/>
              <w:rPr>
                <w:lang w:eastAsia="en-US"/>
              </w:rPr>
            </w:pPr>
            <w:r w:rsidRPr="004D0DAA">
              <w:rPr>
                <w:lang w:eastAsia="en-US"/>
              </w:rPr>
              <w:t>5</w:t>
            </w:r>
          </w:p>
        </w:tc>
      </w:tr>
      <w:tr w:rsidR="00711444" w:rsidRPr="004D0DAA" w14:paraId="6200C42C"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4016FC5A" w14:textId="77777777" w:rsidR="00711444" w:rsidRPr="004D0DAA" w:rsidRDefault="00711444" w:rsidP="00AA2A4C">
            <w:pPr>
              <w:pStyle w:val="TAC"/>
              <w:rPr>
                <w:lang w:eastAsia="en-US"/>
              </w:rPr>
            </w:pPr>
            <w:r w:rsidRPr="004D0DAA">
              <w:rPr>
                <w:lang w:eastAsia="en-US"/>
              </w:rPr>
              <w:t>140</w:t>
            </w:r>
          </w:p>
        </w:tc>
        <w:tc>
          <w:tcPr>
            <w:tcW w:w="680" w:type="dxa"/>
            <w:tcBorders>
              <w:bottom w:val="single" w:sz="6" w:space="0" w:color="auto"/>
              <w:right w:val="single" w:sz="6" w:space="0" w:color="auto"/>
            </w:tcBorders>
          </w:tcPr>
          <w:p w14:paraId="4CDBD8CB"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2918C441" w14:textId="77777777" w:rsidR="00711444" w:rsidRPr="004D0DAA" w:rsidRDefault="00711444" w:rsidP="00AA2A4C">
            <w:pPr>
              <w:pStyle w:val="TAC"/>
              <w:rPr>
                <w:lang w:eastAsia="en-US"/>
              </w:rPr>
            </w:pPr>
            <w:r w:rsidRPr="004D0DAA">
              <w:rPr>
                <w:lang w:eastAsia="en-US"/>
              </w:rPr>
              <w:t>141</w:t>
            </w:r>
          </w:p>
        </w:tc>
        <w:tc>
          <w:tcPr>
            <w:tcW w:w="680" w:type="dxa"/>
            <w:tcBorders>
              <w:bottom w:val="single" w:sz="6" w:space="0" w:color="auto"/>
              <w:right w:val="single" w:sz="6" w:space="0" w:color="auto"/>
            </w:tcBorders>
          </w:tcPr>
          <w:p w14:paraId="362DC9A8"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159DF5EB" w14:textId="77777777" w:rsidR="00711444" w:rsidRPr="004D0DAA" w:rsidRDefault="00711444" w:rsidP="00AA2A4C">
            <w:pPr>
              <w:pStyle w:val="TAC"/>
              <w:rPr>
                <w:lang w:eastAsia="en-US"/>
              </w:rPr>
            </w:pPr>
            <w:r w:rsidRPr="004D0DAA">
              <w:rPr>
                <w:lang w:eastAsia="en-US"/>
              </w:rPr>
              <w:t>142</w:t>
            </w:r>
          </w:p>
        </w:tc>
        <w:tc>
          <w:tcPr>
            <w:tcW w:w="680" w:type="dxa"/>
            <w:tcBorders>
              <w:bottom w:val="single" w:sz="6" w:space="0" w:color="auto"/>
            </w:tcBorders>
          </w:tcPr>
          <w:p w14:paraId="67F00193"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right w:val="single" w:sz="6" w:space="0" w:color="auto"/>
            </w:tcBorders>
          </w:tcPr>
          <w:p w14:paraId="7D794FFF" w14:textId="77777777" w:rsidR="00711444" w:rsidRPr="004D0DAA" w:rsidRDefault="00711444" w:rsidP="00AA2A4C"/>
        </w:tc>
        <w:tc>
          <w:tcPr>
            <w:tcW w:w="680" w:type="dxa"/>
            <w:tcBorders>
              <w:bottom w:val="single" w:sz="6" w:space="0" w:color="auto"/>
              <w:right w:val="single" w:sz="6" w:space="0" w:color="auto"/>
            </w:tcBorders>
          </w:tcPr>
          <w:p w14:paraId="31FEE38C" w14:textId="77777777" w:rsidR="00711444" w:rsidRPr="004D0DAA" w:rsidRDefault="00711444" w:rsidP="00AA2A4C">
            <w:pPr>
              <w:pStyle w:val="TAC"/>
              <w:rPr>
                <w:lang w:eastAsia="en-US"/>
              </w:rPr>
            </w:pPr>
            <w:r w:rsidRPr="004D0DAA">
              <w:rPr>
                <w:lang w:eastAsia="en-US"/>
              </w:rPr>
              <w:t>142</w:t>
            </w:r>
          </w:p>
        </w:tc>
        <w:tc>
          <w:tcPr>
            <w:tcW w:w="680" w:type="dxa"/>
            <w:tcBorders>
              <w:bottom w:val="single" w:sz="6" w:space="0" w:color="auto"/>
              <w:right w:val="single" w:sz="6" w:space="0" w:color="auto"/>
            </w:tcBorders>
          </w:tcPr>
          <w:p w14:paraId="1A6C39B8" w14:textId="77777777" w:rsidR="00711444" w:rsidRPr="004D0DAA" w:rsidRDefault="00711444" w:rsidP="00AA2A4C">
            <w:pPr>
              <w:pStyle w:val="TAC"/>
              <w:rPr>
                <w:lang w:eastAsia="en-US"/>
              </w:rPr>
            </w:pPr>
            <w:r w:rsidRPr="004D0DAA">
              <w:rPr>
                <w:lang w:eastAsia="en-US"/>
              </w:rPr>
              <w:t>4</w:t>
            </w:r>
          </w:p>
        </w:tc>
        <w:tc>
          <w:tcPr>
            <w:tcW w:w="680" w:type="dxa"/>
            <w:tcBorders>
              <w:bottom w:val="single" w:sz="6" w:space="0" w:color="auto"/>
              <w:right w:val="single" w:sz="6" w:space="0" w:color="auto"/>
            </w:tcBorders>
          </w:tcPr>
          <w:p w14:paraId="44EF02BD" w14:textId="77777777" w:rsidR="00711444" w:rsidRPr="004D0DAA" w:rsidRDefault="00711444" w:rsidP="00AA2A4C">
            <w:pPr>
              <w:pStyle w:val="TAC"/>
              <w:rPr>
                <w:lang w:eastAsia="en-US"/>
              </w:rPr>
            </w:pPr>
            <w:r w:rsidRPr="004D0DAA">
              <w:rPr>
                <w:lang w:eastAsia="en-US"/>
              </w:rPr>
              <w:t>143</w:t>
            </w:r>
          </w:p>
        </w:tc>
        <w:tc>
          <w:tcPr>
            <w:tcW w:w="680" w:type="dxa"/>
            <w:tcBorders>
              <w:bottom w:val="single" w:sz="6" w:space="0" w:color="auto"/>
              <w:right w:val="single" w:sz="6" w:space="0" w:color="auto"/>
            </w:tcBorders>
          </w:tcPr>
          <w:p w14:paraId="2048DDA9" w14:textId="77777777" w:rsidR="00711444" w:rsidRPr="004D0DAA" w:rsidRDefault="00711444" w:rsidP="00AA2A4C">
            <w:pPr>
              <w:pStyle w:val="TAC"/>
              <w:rPr>
                <w:lang w:eastAsia="en-US"/>
              </w:rPr>
            </w:pPr>
            <w:r w:rsidRPr="004D0DAA">
              <w:rPr>
                <w:lang w:eastAsia="en-US"/>
              </w:rPr>
              <w:t>4</w:t>
            </w:r>
          </w:p>
        </w:tc>
        <w:tc>
          <w:tcPr>
            <w:tcW w:w="680" w:type="dxa"/>
            <w:tcBorders>
              <w:bottom w:val="single" w:sz="6" w:space="0" w:color="auto"/>
              <w:right w:val="single" w:sz="6" w:space="0" w:color="auto"/>
            </w:tcBorders>
          </w:tcPr>
          <w:p w14:paraId="266C5D6F" w14:textId="77777777" w:rsidR="00711444" w:rsidRPr="004D0DAA" w:rsidRDefault="00711444" w:rsidP="00AA2A4C">
            <w:pPr>
              <w:pStyle w:val="TAC"/>
              <w:rPr>
                <w:lang w:eastAsia="en-US"/>
              </w:rPr>
            </w:pPr>
            <w:r w:rsidRPr="004D0DAA">
              <w:rPr>
                <w:lang w:eastAsia="en-US"/>
              </w:rPr>
              <w:t>144</w:t>
            </w:r>
          </w:p>
        </w:tc>
        <w:tc>
          <w:tcPr>
            <w:tcW w:w="680" w:type="dxa"/>
            <w:tcBorders>
              <w:bottom w:val="single" w:sz="6" w:space="0" w:color="auto"/>
              <w:right w:val="single" w:sz="6" w:space="0" w:color="auto"/>
            </w:tcBorders>
          </w:tcPr>
          <w:p w14:paraId="26493847" w14:textId="77777777" w:rsidR="00711444" w:rsidRPr="004D0DAA" w:rsidRDefault="00711444" w:rsidP="00AA2A4C">
            <w:pPr>
              <w:pStyle w:val="TAC"/>
              <w:rPr>
                <w:lang w:eastAsia="en-US"/>
              </w:rPr>
            </w:pPr>
            <w:r w:rsidRPr="004D0DAA">
              <w:rPr>
                <w:lang w:eastAsia="en-US"/>
              </w:rPr>
              <w:t>4</w:t>
            </w:r>
          </w:p>
        </w:tc>
      </w:tr>
      <w:tr w:rsidR="00711444" w:rsidRPr="004D0DAA" w14:paraId="72327533"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5272B7A8" w14:textId="77777777" w:rsidR="00711444" w:rsidRPr="004D0DAA" w:rsidRDefault="00711444" w:rsidP="00AA2A4C">
            <w:pPr>
              <w:pStyle w:val="TAC"/>
              <w:rPr>
                <w:lang w:eastAsia="en-US"/>
              </w:rPr>
            </w:pPr>
            <w:r w:rsidRPr="004D0DAA">
              <w:rPr>
                <w:lang w:eastAsia="en-US"/>
              </w:rPr>
              <w:t>143</w:t>
            </w:r>
          </w:p>
        </w:tc>
        <w:tc>
          <w:tcPr>
            <w:tcW w:w="680" w:type="dxa"/>
            <w:tcBorders>
              <w:bottom w:val="single" w:sz="6" w:space="0" w:color="auto"/>
              <w:right w:val="single" w:sz="6" w:space="0" w:color="auto"/>
            </w:tcBorders>
          </w:tcPr>
          <w:p w14:paraId="15FC828C"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1328F886" w14:textId="77777777" w:rsidR="00711444" w:rsidRPr="004D0DAA" w:rsidRDefault="00711444" w:rsidP="00AA2A4C">
            <w:pPr>
              <w:pStyle w:val="TAC"/>
              <w:rPr>
                <w:lang w:eastAsia="en-US"/>
              </w:rPr>
            </w:pPr>
            <w:r w:rsidRPr="004D0DAA">
              <w:rPr>
                <w:lang w:eastAsia="en-US"/>
              </w:rPr>
              <w:t>144</w:t>
            </w:r>
          </w:p>
        </w:tc>
        <w:tc>
          <w:tcPr>
            <w:tcW w:w="680" w:type="dxa"/>
            <w:tcBorders>
              <w:bottom w:val="single" w:sz="6" w:space="0" w:color="auto"/>
              <w:right w:val="single" w:sz="6" w:space="0" w:color="auto"/>
            </w:tcBorders>
          </w:tcPr>
          <w:p w14:paraId="25D2E0FB"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260DCEC8" w14:textId="77777777" w:rsidR="00711444" w:rsidRPr="004D0DAA" w:rsidRDefault="00711444" w:rsidP="00AA2A4C">
            <w:pPr>
              <w:pStyle w:val="TAC"/>
              <w:rPr>
                <w:lang w:eastAsia="en-US"/>
              </w:rPr>
            </w:pPr>
            <w:r w:rsidRPr="004D0DAA">
              <w:rPr>
                <w:lang w:eastAsia="en-US"/>
              </w:rPr>
              <w:t>145</w:t>
            </w:r>
          </w:p>
        </w:tc>
        <w:tc>
          <w:tcPr>
            <w:tcW w:w="680" w:type="dxa"/>
            <w:tcBorders>
              <w:bottom w:val="single" w:sz="6" w:space="0" w:color="auto"/>
            </w:tcBorders>
          </w:tcPr>
          <w:p w14:paraId="7AC2A113"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right w:val="single" w:sz="6" w:space="0" w:color="auto"/>
            </w:tcBorders>
          </w:tcPr>
          <w:p w14:paraId="17AA4E9D" w14:textId="77777777" w:rsidR="00711444" w:rsidRPr="004D0DAA" w:rsidRDefault="00711444" w:rsidP="00AA2A4C"/>
        </w:tc>
        <w:tc>
          <w:tcPr>
            <w:tcW w:w="680" w:type="dxa"/>
            <w:tcBorders>
              <w:bottom w:val="single" w:sz="6" w:space="0" w:color="auto"/>
              <w:right w:val="single" w:sz="6" w:space="0" w:color="auto"/>
            </w:tcBorders>
          </w:tcPr>
          <w:p w14:paraId="7B96A87C" w14:textId="77777777" w:rsidR="00711444" w:rsidRPr="004D0DAA" w:rsidRDefault="00711444" w:rsidP="00AA2A4C">
            <w:pPr>
              <w:pStyle w:val="TAC"/>
              <w:rPr>
                <w:lang w:eastAsia="en-US"/>
              </w:rPr>
            </w:pPr>
            <w:r w:rsidRPr="004D0DAA">
              <w:rPr>
                <w:lang w:eastAsia="en-US"/>
              </w:rPr>
              <w:t>145</w:t>
            </w:r>
          </w:p>
        </w:tc>
        <w:tc>
          <w:tcPr>
            <w:tcW w:w="680" w:type="dxa"/>
            <w:tcBorders>
              <w:bottom w:val="single" w:sz="6" w:space="0" w:color="auto"/>
              <w:right w:val="single" w:sz="6" w:space="0" w:color="auto"/>
            </w:tcBorders>
          </w:tcPr>
          <w:p w14:paraId="5DCA99E0" w14:textId="77777777" w:rsidR="00711444" w:rsidRPr="004D0DAA" w:rsidRDefault="00711444" w:rsidP="00AA2A4C">
            <w:pPr>
              <w:pStyle w:val="TAC"/>
              <w:rPr>
                <w:lang w:eastAsia="en-US"/>
              </w:rPr>
            </w:pPr>
            <w:r w:rsidRPr="004D0DAA">
              <w:rPr>
                <w:lang w:eastAsia="en-US"/>
              </w:rPr>
              <w:t>3</w:t>
            </w:r>
          </w:p>
        </w:tc>
        <w:tc>
          <w:tcPr>
            <w:tcW w:w="680" w:type="dxa"/>
            <w:tcBorders>
              <w:bottom w:val="single" w:sz="6" w:space="0" w:color="auto"/>
              <w:right w:val="single" w:sz="6" w:space="0" w:color="auto"/>
            </w:tcBorders>
          </w:tcPr>
          <w:p w14:paraId="407E17E4" w14:textId="77777777" w:rsidR="00711444" w:rsidRPr="004D0DAA" w:rsidRDefault="00711444" w:rsidP="00AA2A4C">
            <w:pPr>
              <w:pStyle w:val="TAC"/>
              <w:rPr>
                <w:lang w:eastAsia="en-US"/>
              </w:rPr>
            </w:pPr>
            <w:r w:rsidRPr="004D0DAA">
              <w:rPr>
                <w:lang w:eastAsia="en-US"/>
              </w:rPr>
              <w:t>146</w:t>
            </w:r>
          </w:p>
        </w:tc>
        <w:tc>
          <w:tcPr>
            <w:tcW w:w="680" w:type="dxa"/>
            <w:tcBorders>
              <w:bottom w:val="single" w:sz="6" w:space="0" w:color="auto"/>
              <w:right w:val="single" w:sz="6" w:space="0" w:color="auto"/>
            </w:tcBorders>
          </w:tcPr>
          <w:p w14:paraId="406766C9" w14:textId="77777777" w:rsidR="00711444" w:rsidRPr="004D0DAA" w:rsidRDefault="00711444" w:rsidP="00AA2A4C">
            <w:pPr>
              <w:pStyle w:val="TAC"/>
              <w:rPr>
                <w:lang w:eastAsia="en-US"/>
              </w:rPr>
            </w:pPr>
            <w:r w:rsidRPr="004D0DAA">
              <w:rPr>
                <w:lang w:eastAsia="en-US"/>
              </w:rPr>
              <w:t>3</w:t>
            </w:r>
          </w:p>
        </w:tc>
        <w:tc>
          <w:tcPr>
            <w:tcW w:w="680" w:type="dxa"/>
            <w:tcBorders>
              <w:bottom w:val="single" w:sz="6" w:space="0" w:color="auto"/>
              <w:right w:val="single" w:sz="6" w:space="0" w:color="auto"/>
            </w:tcBorders>
          </w:tcPr>
          <w:p w14:paraId="59DF0881" w14:textId="77777777" w:rsidR="00711444" w:rsidRPr="004D0DAA" w:rsidRDefault="00711444" w:rsidP="00AA2A4C">
            <w:pPr>
              <w:pStyle w:val="TAC"/>
              <w:rPr>
                <w:lang w:eastAsia="en-US"/>
              </w:rPr>
            </w:pPr>
            <w:r w:rsidRPr="004D0DAA">
              <w:rPr>
                <w:lang w:eastAsia="en-US"/>
              </w:rPr>
              <w:t>147</w:t>
            </w:r>
          </w:p>
        </w:tc>
        <w:tc>
          <w:tcPr>
            <w:tcW w:w="680" w:type="dxa"/>
            <w:tcBorders>
              <w:bottom w:val="single" w:sz="6" w:space="0" w:color="auto"/>
              <w:right w:val="single" w:sz="6" w:space="0" w:color="auto"/>
            </w:tcBorders>
          </w:tcPr>
          <w:p w14:paraId="5C5634BF" w14:textId="77777777" w:rsidR="00711444" w:rsidRPr="004D0DAA" w:rsidRDefault="00711444" w:rsidP="00AA2A4C">
            <w:pPr>
              <w:pStyle w:val="TAC"/>
              <w:rPr>
                <w:lang w:eastAsia="en-US"/>
              </w:rPr>
            </w:pPr>
            <w:r w:rsidRPr="004D0DAA">
              <w:rPr>
                <w:lang w:eastAsia="en-US"/>
              </w:rPr>
              <w:t>3</w:t>
            </w:r>
          </w:p>
        </w:tc>
      </w:tr>
      <w:tr w:rsidR="00711444" w:rsidRPr="004D0DAA" w14:paraId="79228EBF"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14C7225C" w14:textId="77777777" w:rsidR="00711444" w:rsidRPr="004D0DAA" w:rsidRDefault="00711444" w:rsidP="00AA2A4C">
            <w:pPr>
              <w:pStyle w:val="TAC"/>
              <w:rPr>
                <w:lang w:eastAsia="en-US"/>
              </w:rPr>
            </w:pPr>
            <w:r w:rsidRPr="004D0DAA">
              <w:rPr>
                <w:lang w:eastAsia="en-US"/>
              </w:rPr>
              <w:t>146</w:t>
            </w:r>
          </w:p>
        </w:tc>
        <w:tc>
          <w:tcPr>
            <w:tcW w:w="680" w:type="dxa"/>
            <w:tcBorders>
              <w:bottom w:val="single" w:sz="6" w:space="0" w:color="auto"/>
              <w:right w:val="single" w:sz="6" w:space="0" w:color="auto"/>
            </w:tcBorders>
          </w:tcPr>
          <w:p w14:paraId="367DEE93"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18365E5D" w14:textId="77777777" w:rsidR="00711444" w:rsidRPr="004D0DAA" w:rsidRDefault="00711444" w:rsidP="00AA2A4C">
            <w:pPr>
              <w:pStyle w:val="TAC"/>
              <w:rPr>
                <w:lang w:eastAsia="en-US"/>
              </w:rPr>
            </w:pPr>
            <w:r w:rsidRPr="004D0DAA">
              <w:rPr>
                <w:lang w:eastAsia="en-US"/>
              </w:rPr>
              <w:t>147</w:t>
            </w:r>
          </w:p>
        </w:tc>
        <w:tc>
          <w:tcPr>
            <w:tcW w:w="680" w:type="dxa"/>
            <w:tcBorders>
              <w:bottom w:val="single" w:sz="6" w:space="0" w:color="auto"/>
              <w:right w:val="single" w:sz="6" w:space="0" w:color="auto"/>
            </w:tcBorders>
          </w:tcPr>
          <w:p w14:paraId="78CECAE8"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304B1E2B" w14:textId="77777777" w:rsidR="00711444" w:rsidRPr="004D0DAA" w:rsidRDefault="00711444" w:rsidP="00AA2A4C">
            <w:pPr>
              <w:pStyle w:val="TAC"/>
              <w:rPr>
                <w:lang w:eastAsia="en-US"/>
              </w:rPr>
            </w:pPr>
            <w:r w:rsidRPr="004D0DAA">
              <w:rPr>
                <w:lang w:eastAsia="en-US"/>
              </w:rPr>
              <w:t>148</w:t>
            </w:r>
          </w:p>
        </w:tc>
        <w:tc>
          <w:tcPr>
            <w:tcW w:w="680" w:type="dxa"/>
            <w:tcBorders>
              <w:bottom w:val="single" w:sz="6" w:space="0" w:color="auto"/>
            </w:tcBorders>
          </w:tcPr>
          <w:p w14:paraId="4CD12313" w14:textId="77777777" w:rsidR="00711444" w:rsidRPr="004D0DAA" w:rsidRDefault="00711444" w:rsidP="00AA2A4C">
            <w:pPr>
              <w:pStyle w:val="TAC"/>
              <w:rPr>
                <w:lang w:eastAsia="en-US"/>
              </w:rPr>
            </w:pPr>
            <w:r w:rsidRPr="004D0DAA">
              <w:rPr>
                <w:lang w:eastAsia="en-US"/>
              </w:rPr>
              <w:t>2</w:t>
            </w:r>
          </w:p>
        </w:tc>
        <w:tc>
          <w:tcPr>
            <w:tcW w:w="680" w:type="dxa"/>
            <w:tcBorders>
              <w:left w:val="single" w:sz="6" w:space="0" w:color="auto"/>
              <w:right w:val="single" w:sz="6" w:space="0" w:color="auto"/>
            </w:tcBorders>
          </w:tcPr>
          <w:p w14:paraId="0E3B665F" w14:textId="77777777" w:rsidR="00711444" w:rsidRPr="004D0DAA" w:rsidRDefault="00711444" w:rsidP="00AA2A4C"/>
        </w:tc>
        <w:tc>
          <w:tcPr>
            <w:tcW w:w="680" w:type="dxa"/>
            <w:tcBorders>
              <w:bottom w:val="single" w:sz="6" w:space="0" w:color="auto"/>
              <w:right w:val="single" w:sz="6" w:space="0" w:color="auto"/>
            </w:tcBorders>
          </w:tcPr>
          <w:p w14:paraId="17D31585" w14:textId="77777777" w:rsidR="00711444" w:rsidRPr="004D0DAA" w:rsidRDefault="00711444" w:rsidP="00AA2A4C">
            <w:pPr>
              <w:pStyle w:val="TAC"/>
              <w:rPr>
                <w:lang w:eastAsia="en-US"/>
              </w:rPr>
            </w:pPr>
            <w:r w:rsidRPr="004D0DAA">
              <w:rPr>
                <w:lang w:eastAsia="en-US"/>
              </w:rPr>
              <w:t>148</w:t>
            </w:r>
          </w:p>
        </w:tc>
        <w:tc>
          <w:tcPr>
            <w:tcW w:w="680" w:type="dxa"/>
            <w:tcBorders>
              <w:bottom w:val="single" w:sz="6" w:space="0" w:color="auto"/>
              <w:right w:val="single" w:sz="6" w:space="0" w:color="auto"/>
            </w:tcBorders>
          </w:tcPr>
          <w:p w14:paraId="17ED3BFA" w14:textId="77777777" w:rsidR="00711444" w:rsidRPr="004D0DAA" w:rsidRDefault="00711444" w:rsidP="00AA2A4C">
            <w:pPr>
              <w:pStyle w:val="TAC"/>
              <w:rPr>
                <w:lang w:eastAsia="en-US"/>
              </w:rPr>
            </w:pPr>
            <w:r w:rsidRPr="004D0DAA">
              <w:rPr>
                <w:lang w:eastAsia="en-US"/>
              </w:rPr>
              <w:t>2</w:t>
            </w:r>
          </w:p>
        </w:tc>
        <w:tc>
          <w:tcPr>
            <w:tcW w:w="680" w:type="dxa"/>
            <w:tcBorders>
              <w:bottom w:val="single" w:sz="6" w:space="0" w:color="auto"/>
              <w:right w:val="single" w:sz="6" w:space="0" w:color="auto"/>
            </w:tcBorders>
          </w:tcPr>
          <w:p w14:paraId="0322A331" w14:textId="77777777" w:rsidR="00711444" w:rsidRPr="004D0DAA" w:rsidRDefault="00711444" w:rsidP="00AA2A4C">
            <w:pPr>
              <w:pStyle w:val="TAC"/>
              <w:rPr>
                <w:lang w:eastAsia="en-US"/>
              </w:rPr>
            </w:pPr>
            <w:r w:rsidRPr="004D0DAA">
              <w:rPr>
                <w:lang w:eastAsia="en-US"/>
              </w:rPr>
              <w:t>149</w:t>
            </w:r>
          </w:p>
        </w:tc>
        <w:tc>
          <w:tcPr>
            <w:tcW w:w="680" w:type="dxa"/>
            <w:tcBorders>
              <w:bottom w:val="single" w:sz="6" w:space="0" w:color="auto"/>
              <w:right w:val="single" w:sz="6" w:space="0" w:color="auto"/>
            </w:tcBorders>
          </w:tcPr>
          <w:p w14:paraId="62DB3935" w14:textId="77777777" w:rsidR="00711444" w:rsidRPr="004D0DAA" w:rsidRDefault="00711444" w:rsidP="00AA2A4C">
            <w:pPr>
              <w:pStyle w:val="TAC"/>
              <w:rPr>
                <w:lang w:eastAsia="en-US"/>
              </w:rPr>
            </w:pPr>
            <w:r w:rsidRPr="004D0DAA">
              <w:rPr>
                <w:lang w:eastAsia="en-US"/>
              </w:rPr>
              <w:t>2</w:t>
            </w:r>
          </w:p>
        </w:tc>
        <w:tc>
          <w:tcPr>
            <w:tcW w:w="680" w:type="dxa"/>
            <w:tcBorders>
              <w:bottom w:val="single" w:sz="6" w:space="0" w:color="auto"/>
              <w:right w:val="single" w:sz="6" w:space="0" w:color="auto"/>
            </w:tcBorders>
          </w:tcPr>
          <w:p w14:paraId="0F2E9F1E" w14:textId="77777777" w:rsidR="00711444" w:rsidRPr="004D0DAA" w:rsidRDefault="00711444" w:rsidP="00AA2A4C">
            <w:pPr>
              <w:pStyle w:val="TAC"/>
              <w:rPr>
                <w:lang w:eastAsia="en-US"/>
              </w:rPr>
            </w:pPr>
            <w:r w:rsidRPr="004D0DAA">
              <w:rPr>
                <w:lang w:eastAsia="en-US"/>
              </w:rPr>
              <w:t>150</w:t>
            </w:r>
          </w:p>
        </w:tc>
        <w:tc>
          <w:tcPr>
            <w:tcW w:w="680" w:type="dxa"/>
            <w:tcBorders>
              <w:bottom w:val="single" w:sz="6" w:space="0" w:color="auto"/>
              <w:right w:val="single" w:sz="6" w:space="0" w:color="auto"/>
            </w:tcBorders>
          </w:tcPr>
          <w:p w14:paraId="0A9B0BDB" w14:textId="77777777" w:rsidR="00711444" w:rsidRPr="004D0DAA" w:rsidRDefault="00711444" w:rsidP="00AA2A4C">
            <w:pPr>
              <w:pStyle w:val="TAC"/>
              <w:rPr>
                <w:lang w:eastAsia="en-US"/>
              </w:rPr>
            </w:pPr>
            <w:r w:rsidRPr="004D0DAA">
              <w:rPr>
                <w:lang w:eastAsia="en-US"/>
              </w:rPr>
              <w:t>2</w:t>
            </w:r>
          </w:p>
        </w:tc>
      </w:tr>
      <w:tr w:rsidR="00711444" w:rsidRPr="004D0DAA" w14:paraId="3A16BDFA"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3DCB2C73" w14:textId="77777777" w:rsidR="00711444" w:rsidRPr="004D0DAA" w:rsidRDefault="00711444" w:rsidP="00AA2A4C">
            <w:pPr>
              <w:pStyle w:val="TAC"/>
              <w:rPr>
                <w:lang w:eastAsia="en-US"/>
              </w:rPr>
            </w:pPr>
            <w:r w:rsidRPr="004D0DAA">
              <w:rPr>
                <w:lang w:eastAsia="en-US"/>
              </w:rPr>
              <w:t>149</w:t>
            </w:r>
          </w:p>
        </w:tc>
        <w:tc>
          <w:tcPr>
            <w:tcW w:w="680" w:type="dxa"/>
            <w:tcBorders>
              <w:bottom w:val="single" w:sz="6" w:space="0" w:color="auto"/>
              <w:right w:val="single" w:sz="6" w:space="0" w:color="auto"/>
            </w:tcBorders>
          </w:tcPr>
          <w:p w14:paraId="36750362" w14:textId="77777777" w:rsidR="00711444" w:rsidRPr="004D0DAA" w:rsidRDefault="00711444" w:rsidP="00AA2A4C">
            <w:pPr>
              <w:pStyle w:val="TAC"/>
              <w:rPr>
                <w:lang w:eastAsia="en-US"/>
              </w:rPr>
            </w:pPr>
            <w:r w:rsidRPr="004D0DAA">
              <w:rPr>
                <w:lang w:eastAsia="en-US"/>
              </w:rPr>
              <w:t>2</w:t>
            </w:r>
          </w:p>
        </w:tc>
        <w:tc>
          <w:tcPr>
            <w:tcW w:w="680" w:type="dxa"/>
            <w:tcBorders>
              <w:left w:val="single" w:sz="6" w:space="0" w:color="auto"/>
              <w:bottom w:val="single" w:sz="6" w:space="0" w:color="auto"/>
            </w:tcBorders>
          </w:tcPr>
          <w:p w14:paraId="420F84A4" w14:textId="77777777" w:rsidR="00711444" w:rsidRPr="004D0DAA" w:rsidRDefault="00711444" w:rsidP="00AA2A4C">
            <w:pPr>
              <w:pStyle w:val="TAC"/>
              <w:rPr>
                <w:lang w:eastAsia="en-US"/>
              </w:rPr>
            </w:pPr>
            <w:r w:rsidRPr="004D0DAA">
              <w:rPr>
                <w:lang w:eastAsia="en-US"/>
              </w:rPr>
              <w:t>150</w:t>
            </w:r>
          </w:p>
        </w:tc>
        <w:tc>
          <w:tcPr>
            <w:tcW w:w="680" w:type="dxa"/>
            <w:tcBorders>
              <w:bottom w:val="single" w:sz="6" w:space="0" w:color="auto"/>
              <w:right w:val="single" w:sz="6" w:space="0" w:color="auto"/>
            </w:tcBorders>
          </w:tcPr>
          <w:p w14:paraId="686070B3" w14:textId="77777777" w:rsidR="00711444" w:rsidRPr="004D0DAA" w:rsidRDefault="00711444" w:rsidP="00AA2A4C">
            <w:pPr>
              <w:pStyle w:val="TAC"/>
              <w:rPr>
                <w:lang w:eastAsia="en-US"/>
              </w:rPr>
            </w:pPr>
            <w:r w:rsidRPr="004D0DAA">
              <w:rPr>
                <w:lang w:eastAsia="en-US"/>
              </w:rPr>
              <w:t>2</w:t>
            </w:r>
          </w:p>
        </w:tc>
        <w:tc>
          <w:tcPr>
            <w:tcW w:w="680" w:type="dxa"/>
            <w:tcBorders>
              <w:left w:val="single" w:sz="6" w:space="0" w:color="auto"/>
              <w:bottom w:val="single" w:sz="6" w:space="0" w:color="auto"/>
            </w:tcBorders>
          </w:tcPr>
          <w:p w14:paraId="56D07D29" w14:textId="77777777" w:rsidR="00711444" w:rsidRPr="004D0DAA" w:rsidRDefault="00711444" w:rsidP="00AA2A4C">
            <w:pPr>
              <w:pStyle w:val="TAC"/>
              <w:rPr>
                <w:lang w:eastAsia="en-US"/>
              </w:rPr>
            </w:pPr>
            <w:r w:rsidRPr="004D0DAA">
              <w:rPr>
                <w:lang w:eastAsia="en-US"/>
              </w:rPr>
              <w:t>151</w:t>
            </w:r>
          </w:p>
        </w:tc>
        <w:tc>
          <w:tcPr>
            <w:tcW w:w="680" w:type="dxa"/>
            <w:tcBorders>
              <w:bottom w:val="single" w:sz="6" w:space="0" w:color="auto"/>
            </w:tcBorders>
          </w:tcPr>
          <w:p w14:paraId="175E6A95" w14:textId="77777777" w:rsidR="00711444" w:rsidRPr="004D0DAA" w:rsidRDefault="00711444" w:rsidP="00AA2A4C">
            <w:pPr>
              <w:pStyle w:val="TAC"/>
              <w:rPr>
                <w:lang w:eastAsia="en-US"/>
              </w:rPr>
            </w:pPr>
            <w:r w:rsidRPr="004D0DAA">
              <w:rPr>
                <w:lang w:eastAsia="en-US"/>
              </w:rPr>
              <w:t>1</w:t>
            </w:r>
          </w:p>
        </w:tc>
        <w:tc>
          <w:tcPr>
            <w:tcW w:w="680" w:type="dxa"/>
            <w:tcBorders>
              <w:left w:val="single" w:sz="6" w:space="0" w:color="auto"/>
              <w:right w:val="single" w:sz="6" w:space="0" w:color="auto"/>
            </w:tcBorders>
          </w:tcPr>
          <w:p w14:paraId="1C2BA40F" w14:textId="77777777" w:rsidR="00711444" w:rsidRPr="004D0DAA" w:rsidRDefault="00711444" w:rsidP="00AA2A4C"/>
        </w:tc>
        <w:tc>
          <w:tcPr>
            <w:tcW w:w="680" w:type="dxa"/>
            <w:tcBorders>
              <w:bottom w:val="single" w:sz="6" w:space="0" w:color="auto"/>
              <w:right w:val="single" w:sz="6" w:space="0" w:color="auto"/>
            </w:tcBorders>
          </w:tcPr>
          <w:p w14:paraId="51418354" w14:textId="77777777" w:rsidR="00711444" w:rsidRPr="004D0DAA" w:rsidRDefault="00711444" w:rsidP="00AA2A4C">
            <w:pPr>
              <w:pStyle w:val="TAC"/>
              <w:rPr>
                <w:lang w:eastAsia="en-US"/>
              </w:rPr>
            </w:pPr>
            <w:r w:rsidRPr="004D0DAA">
              <w:rPr>
                <w:lang w:eastAsia="en-US"/>
              </w:rPr>
              <w:t>151</w:t>
            </w:r>
          </w:p>
        </w:tc>
        <w:tc>
          <w:tcPr>
            <w:tcW w:w="680" w:type="dxa"/>
            <w:tcBorders>
              <w:bottom w:val="single" w:sz="6" w:space="0" w:color="auto"/>
              <w:right w:val="single" w:sz="6" w:space="0" w:color="auto"/>
            </w:tcBorders>
          </w:tcPr>
          <w:p w14:paraId="595809FA" w14:textId="77777777" w:rsidR="00711444" w:rsidRPr="004D0DAA" w:rsidRDefault="00711444" w:rsidP="00AA2A4C">
            <w:pPr>
              <w:pStyle w:val="TAC"/>
              <w:rPr>
                <w:lang w:eastAsia="en-US"/>
              </w:rPr>
            </w:pPr>
            <w:r w:rsidRPr="004D0DAA">
              <w:rPr>
                <w:lang w:eastAsia="en-US"/>
              </w:rPr>
              <w:t>1</w:t>
            </w:r>
          </w:p>
        </w:tc>
        <w:tc>
          <w:tcPr>
            <w:tcW w:w="680" w:type="dxa"/>
            <w:tcBorders>
              <w:bottom w:val="single" w:sz="6" w:space="0" w:color="auto"/>
              <w:right w:val="single" w:sz="6" w:space="0" w:color="auto"/>
            </w:tcBorders>
          </w:tcPr>
          <w:p w14:paraId="21839B35" w14:textId="77777777" w:rsidR="00711444" w:rsidRPr="004D0DAA" w:rsidRDefault="00711444" w:rsidP="00AA2A4C">
            <w:pPr>
              <w:pStyle w:val="TAC"/>
              <w:rPr>
                <w:lang w:eastAsia="en-US"/>
              </w:rPr>
            </w:pPr>
            <w:r w:rsidRPr="004D0DAA">
              <w:rPr>
                <w:lang w:eastAsia="en-US"/>
              </w:rPr>
              <w:t>152</w:t>
            </w:r>
          </w:p>
        </w:tc>
        <w:tc>
          <w:tcPr>
            <w:tcW w:w="680" w:type="dxa"/>
            <w:tcBorders>
              <w:bottom w:val="single" w:sz="6" w:space="0" w:color="auto"/>
              <w:right w:val="single" w:sz="6" w:space="0" w:color="auto"/>
            </w:tcBorders>
          </w:tcPr>
          <w:p w14:paraId="50E5FC7F" w14:textId="77777777" w:rsidR="00711444" w:rsidRPr="004D0DAA" w:rsidRDefault="00711444" w:rsidP="00AA2A4C">
            <w:pPr>
              <w:pStyle w:val="TAC"/>
              <w:rPr>
                <w:lang w:eastAsia="en-US"/>
              </w:rPr>
            </w:pPr>
            <w:r w:rsidRPr="004D0DAA">
              <w:rPr>
                <w:lang w:eastAsia="en-US"/>
              </w:rPr>
              <w:t>1</w:t>
            </w:r>
          </w:p>
        </w:tc>
        <w:tc>
          <w:tcPr>
            <w:tcW w:w="680" w:type="dxa"/>
            <w:tcBorders>
              <w:bottom w:val="single" w:sz="6" w:space="0" w:color="auto"/>
              <w:right w:val="single" w:sz="6" w:space="0" w:color="auto"/>
            </w:tcBorders>
          </w:tcPr>
          <w:p w14:paraId="22146F7A" w14:textId="77777777" w:rsidR="00711444" w:rsidRPr="004D0DAA" w:rsidRDefault="00711444" w:rsidP="00AA2A4C">
            <w:pPr>
              <w:pStyle w:val="TAC"/>
              <w:rPr>
                <w:lang w:eastAsia="en-US"/>
              </w:rPr>
            </w:pPr>
            <w:r w:rsidRPr="004D0DAA">
              <w:rPr>
                <w:lang w:eastAsia="en-US"/>
              </w:rPr>
              <w:t>153</w:t>
            </w:r>
          </w:p>
        </w:tc>
        <w:tc>
          <w:tcPr>
            <w:tcW w:w="680" w:type="dxa"/>
            <w:tcBorders>
              <w:bottom w:val="single" w:sz="6" w:space="0" w:color="auto"/>
              <w:right w:val="single" w:sz="6" w:space="0" w:color="auto"/>
            </w:tcBorders>
          </w:tcPr>
          <w:p w14:paraId="05055EE9" w14:textId="77777777" w:rsidR="00711444" w:rsidRPr="004D0DAA" w:rsidRDefault="00711444" w:rsidP="00AA2A4C">
            <w:pPr>
              <w:pStyle w:val="TAC"/>
              <w:rPr>
                <w:lang w:eastAsia="en-US"/>
              </w:rPr>
            </w:pPr>
            <w:r w:rsidRPr="004D0DAA">
              <w:rPr>
                <w:lang w:eastAsia="en-US"/>
              </w:rPr>
              <w:t>1</w:t>
            </w:r>
          </w:p>
        </w:tc>
      </w:tr>
      <w:tr w:rsidR="00711444" w:rsidRPr="004D0DAA" w14:paraId="6BC3BC98"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1582F58B" w14:textId="77777777" w:rsidR="00711444" w:rsidRPr="004D0DAA" w:rsidRDefault="00711444" w:rsidP="00AA2A4C">
            <w:pPr>
              <w:pStyle w:val="TAC"/>
              <w:rPr>
                <w:lang w:eastAsia="en-US"/>
              </w:rPr>
            </w:pPr>
            <w:r w:rsidRPr="004D0DAA">
              <w:rPr>
                <w:lang w:eastAsia="en-US"/>
              </w:rPr>
              <w:t>152</w:t>
            </w:r>
          </w:p>
        </w:tc>
        <w:tc>
          <w:tcPr>
            <w:tcW w:w="680" w:type="dxa"/>
            <w:tcBorders>
              <w:bottom w:val="single" w:sz="6" w:space="0" w:color="auto"/>
              <w:right w:val="single" w:sz="6" w:space="0" w:color="auto"/>
            </w:tcBorders>
          </w:tcPr>
          <w:p w14:paraId="5C12812E" w14:textId="77777777" w:rsidR="00711444" w:rsidRPr="004D0DAA" w:rsidRDefault="00711444" w:rsidP="00AA2A4C">
            <w:pPr>
              <w:pStyle w:val="TAC"/>
              <w:rPr>
                <w:lang w:eastAsia="en-US"/>
              </w:rPr>
            </w:pPr>
            <w:r w:rsidRPr="004D0DAA">
              <w:rPr>
                <w:lang w:eastAsia="en-US"/>
              </w:rPr>
              <w:t>1</w:t>
            </w:r>
          </w:p>
        </w:tc>
        <w:tc>
          <w:tcPr>
            <w:tcW w:w="680" w:type="dxa"/>
            <w:tcBorders>
              <w:left w:val="single" w:sz="6" w:space="0" w:color="auto"/>
              <w:bottom w:val="single" w:sz="6" w:space="0" w:color="auto"/>
            </w:tcBorders>
          </w:tcPr>
          <w:p w14:paraId="4CF29794" w14:textId="77777777" w:rsidR="00711444" w:rsidRPr="004D0DAA" w:rsidRDefault="00711444" w:rsidP="00AA2A4C">
            <w:pPr>
              <w:pStyle w:val="TAC"/>
              <w:rPr>
                <w:lang w:eastAsia="en-US"/>
              </w:rPr>
            </w:pPr>
            <w:r w:rsidRPr="004D0DAA">
              <w:rPr>
                <w:lang w:eastAsia="en-US"/>
              </w:rPr>
              <w:t>153</w:t>
            </w:r>
          </w:p>
        </w:tc>
        <w:tc>
          <w:tcPr>
            <w:tcW w:w="680" w:type="dxa"/>
            <w:tcBorders>
              <w:bottom w:val="single" w:sz="6" w:space="0" w:color="auto"/>
              <w:right w:val="single" w:sz="6" w:space="0" w:color="auto"/>
            </w:tcBorders>
          </w:tcPr>
          <w:p w14:paraId="11ADE8C0" w14:textId="77777777" w:rsidR="00711444" w:rsidRPr="004D0DAA" w:rsidRDefault="00711444" w:rsidP="00AA2A4C">
            <w:pPr>
              <w:pStyle w:val="TAC"/>
              <w:rPr>
                <w:lang w:eastAsia="en-US"/>
              </w:rPr>
            </w:pPr>
            <w:r w:rsidRPr="004D0DAA">
              <w:rPr>
                <w:lang w:eastAsia="en-US"/>
              </w:rPr>
              <w:t>1</w:t>
            </w:r>
          </w:p>
        </w:tc>
        <w:tc>
          <w:tcPr>
            <w:tcW w:w="680" w:type="dxa"/>
            <w:tcBorders>
              <w:left w:val="single" w:sz="6" w:space="0" w:color="auto"/>
              <w:bottom w:val="single" w:sz="6" w:space="0" w:color="auto"/>
            </w:tcBorders>
          </w:tcPr>
          <w:p w14:paraId="57C6DB60" w14:textId="77777777" w:rsidR="00711444" w:rsidRPr="004D0DAA" w:rsidRDefault="00711444" w:rsidP="00AA2A4C">
            <w:pPr>
              <w:pStyle w:val="TAC"/>
              <w:rPr>
                <w:lang w:eastAsia="en-US"/>
              </w:rPr>
            </w:pPr>
            <w:r w:rsidRPr="004D0DAA">
              <w:rPr>
                <w:lang w:eastAsia="en-US"/>
              </w:rPr>
              <w:t>154</w:t>
            </w:r>
          </w:p>
        </w:tc>
        <w:tc>
          <w:tcPr>
            <w:tcW w:w="680" w:type="dxa"/>
            <w:tcBorders>
              <w:bottom w:val="single" w:sz="6" w:space="0" w:color="auto"/>
            </w:tcBorders>
          </w:tcPr>
          <w:p w14:paraId="02DAD29D" w14:textId="77777777" w:rsidR="00711444" w:rsidRPr="004D0DAA" w:rsidRDefault="00711444" w:rsidP="00AA2A4C">
            <w:pPr>
              <w:pStyle w:val="TAC"/>
              <w:rPr>
                <w:lang w:eastAsia="en-US"/>
              </w:rPr>
            </w:pPr>
            <w:r w:rsidRPr="004D0DAA">
              <w:rPr>
                <w:lang w:eastAsia="en-US"/>
              </w:rPr>
              <w:t>0</w:t>
            </w:r>
          </w:p>
        </w:tc>
        <w:tc>
          <w:tcPr>
            <w:tcW w:w="680" w:type="dxa"/>
            <w:tcBorders>
              <w:left w:val="single" w:sz="6" w:space="0" w:color="auto"/>
              <w:right w:val="single" w:sz="6" w:space="0" w:color="auto"/>
            </w:tcBorders>
          </w:tcPr>
          <w:p w14:paraId="1FCE7142" w14:textId="77777777" w:rsidR="00711444" w:rsidRPr="004D0DAA" w:rsidRDefault="00711444" w:rsidP="00AA2A4C"/>
        </w:tc>
        <w:tc>
          <w:tcPr>
            <w:tcW w:w="680" w:type="dxa"/>
            <w:tcBorders>
              <w:bottom w:val="single" w:sz="6" w:space="0" w:color="auto"/>
              <w:right w:val="single" w:sz="6" w:space="0" w:color="auto"/>
            </w:tcBorders>
          </w:tcPr>
          <w:p w14:paraId="4DDBA880" w14:textId="77777777" w:rsidR="00711444" w:rsidRPr="004D0DAA" w:rsidRDefault="00711444" w:rsidP="00AA2A4C">
            <w:pPr>
              <w:pStyle w:val="TAC"/>
              <w:rPr>
                <w:lang w:eastAsia="en-US"/>
              </w:rPr>
            </w:pPr>
            <w:r w:rsidRPr="004D0DAA">
              <w:rPr>
                <w:lang w:eastAsia="en-US"/>
              </w:rPr>
              <w:t>154</w:t>
            </w:r>
          </w:p>
        </w:tc>
        <w:tc>
          <w:tcPr>
            <w:tcW w:w="680" w:type="dxa"/>
            <w:tcBorders>
              <w:bottom w:val="single" w:sz="6" w:space="0" w:color="auto"/>
              <w:right w:val="single" w:sz="6" w:space="0" w:color="auto"/>
            </w:tcBorders>
          </w:tcPr>
          <w:p w14:paraId="7EDC17D4" w14:textId="77777777" w:rsidR="00711444" w:rsidRPr="004D0DAA" w:rsidRDefault="00711444" w:rsidP="00AA2A4C">
            <w:pPr>
              <w:pStyle w:val="TAC"/>
              <w:rPr>
                <w:lang w:eastAsia="en-US"/>
              </w:rPr>
            </w:pPr>
            <w:r w:rsidRPr="004D0DAA">
              <w:rPr>
                <w:lang w:eastAsia="en-US"/>
              </w:rPr>
              <w:t>0</w:t>
            </w:r>
          </w:p>
        </w:tc>
        <w:tc>
          <w:tcPr>
            <w:tcW w:w="680" w:type="dxa"/>
            <w:tcBorders>
              <w:bottom w:val="single" w:sz="6" w:space="0" w:color="auto"/>
              <w:right w:val="single" w:sz="6" w:space="0" w:color="auto"/>
            </w:tcBorders>
          </w:tcPr>
          <w:p w14:paraId="5C8B1E58" w14:textId="77777777" w:rsidR="00711444" w:rsidRPr="004D0DAA" w:rsidRDefault="00711444" w:rsidP="00AA2A4C"/>
        </w:tc>
        <w:tc>
          <w:tcPr>
            <w:tcW w:w="680" w:type="dxa"/>
            <w:tcBorders>
              <w:bottom w:val="single" w:sz="6" w:space="0" w:color="auto"/>
              <w:right w:val="single" w:sz="6" w:space="0" w:color="auto"/>
            </w:tcBorders>
          </w:tcPr>
          <w:p w14:paraId="6017F966" w14:textId="77777777" w:rsidR="00711444" w:rsidRPr="004D0DAA" w:rsidRDefault="00711444" w:rsidP="00AA2A4C"/>
        </w:tc>
        <w:tc>
          <w:tcPr>
            <w:tcW w:w="680" w:type="dxa"/>
            <w:tcBorders>
              <w:bottom w:val="single" w:sz="6" w:space="0" w:color="auto"/>
              <w:right w:val="single" w:sz="6" w:space="0" w:color="auto"/>
            </w:tcBorders>
          </w:tcPr>
          <w:p w14:paraId="12C79952" w14:textId="77777777" w:rsidR="00711444" w:rsidRPr="004D0DAA" w:rsidRDefault="00711444" w:rsidP="00AA2A4C"/>
        </w:tc>
        <w:tc>
          <w:tcPr>
            <w:tcW w:w="680" w:type="dxa"/>
            <w:tcBorders>
              <w:bottom w:val="single" w:sz="6" w:space="0" w:color="auto"/>
              <w:right w:val="single" w:sz="6" w:space="0" w:color="auto"/>
            </w:tcBorders>
          </w:tcPr>
          <w:p w14:paraId="0E519B69" w14:textId="77777777" w:rsidR="00711444" w:rsidRPr="004D0DAA" w:rsidRDefault="00711444" w:rsidP="00AA2A4C">
            <w:pPr>
              <w:pStyle w:val="TAC"/>
              <w:rPr>
                <w:lang w:eastAsia="en-US"/>
              </w:rPr>
            </w:pPr>
          </w:p>
        </w:tc>
      </w:tr>
    </w:tbl>
    <w:p w14:paraId="4F270EED" w14:textId="77777777" w:rsidR="00711444" w:rsidRPr="004D0DAA" w:rsidRDefault="00711444" w:rsidP="00711444">
      <w:pPr>
        <w:pStyle w:val="TAC"/>
      </w:pPr>
    </w:p>
    <w:p w14:paraId="28746FBE" w14:textId="77777777" w:rsidR="00711444" w:rsidRPr="004D0DAA" w:rsidRDefault="00711444" w:rsidP="00711444">
      <w:pPr>
        <w:pStyle w:val="TF"/>
      </w:pPr>
      <w:r w:rsidRPr="004D0DAA">
        <w:t>Figure F.2: Example 2</w:t>
      </w:r>
    </w:p>
    <w:p w14:paraId="15EF971B" w14:textId="77777777" w:rsidR="00711444" w:rsidRPr="004D0DAA" w:rsidRDefault="00711444" w:rsidP="00711444">
      <w:pPr>
        <w:pStyle w:val="Heading2"/>
      </w:pPr>
      <w:r w:rsidRPr="004D0DAA">
        <w:br w:type="page"/>
      </w:r>
      <w:bookmarkStart w:id="903" w:name="_Toc516670072"/>
      <w:r w:rsidRPr="004D0DAA">
        <w:lastRenderedPageBreak/>
        <w:t>F.3</w:t>
      </w:r>
      <w:r w:rsidRPr="004D0DAA">
        <w:tab/>
        <w:t>Example 3</w:t>
      </w:r>
      <w:bookmarkEnd w:id="903"/>
    </w:p>
    <w:p w14:paraId="23849A70" w14:textId="77777777" w:rsidR="00711444" w:rsidRPr="004D0DAA" w:rsidRDefault="00711444" w:rsidP="00711444">
      <w:r w:rsidRPr="004D0DAA">
        <w:t>In this example, the channel coding scheme is changed at BSN' = 149, resulting in more RLC data blocks being required to complete the TBF. The value of TBC is changed from 155 to 165 at BSN' = 149.</w:t>
      </w:r>
    </w:p>
    <w:p w14:paraId="312573EF" w14:textId="77777777" w:rsidR="00711444" w:rsidRPr="004D0DAA" w:rsidRDefault="00711444" w:rsidP="00711444">
      <w:pPr>
        <w:pStyle w:val="B1"/>
      </w:pPr>
      <w:r w:rsidRPr="004D0DAA">
        <w:t>TBC</w:t>
      </w:r>
      <w:r w:rsidRPr="004D0DAA">
        <w:tab/>
        <w:t>155</w:t>
      </w:r>
    </w:p>
    <w:p w14:paraId="04DD68FA" w14:textId="77777777" w:rsidR="00711444" w:rsidRPr="004D0DAA" w:rsidRDefault="00711444" w:rsidP="00711444">
      <w:pPr>
        <w:pStyle w:val="B1"/>
      </w:pPr>
      <w:r w:rsidRPr="004D0DAA">
        <w:t>NTS</w:t>
      </w:r>
      <w:r w:rsidRPr="004D0DAA">
        <w:tab/>
        <w:t>3</w:t>
      </w:r>
    </w:p>
    <w:p w14:paraId="3D10E76F" w14:textId="77777777" w:rsidR="00711444" w:rsidRPr="004D0DAA" w:rsidRDefault="00711444" w:rsidP="00711444">
      <w:pPr>
        <w:pStyle w:val="EW"/>
        <w:tabs>
          <w:tab w:val="left" w:pos="1985"/>
        </w:tabs>
      </w:pPr>
      <w:r w:rsidRPr="004D0DAA">
        <w:t>BS_CV_MAX</w:t>
      </w:r>
      <w:r w:rsidRPr="004D0DAA">
        <w:tab/>
        <w:t>6</w:t>
      </w:r>
    </w:p>
    <w:tbl>
      <w:tblPr>
        <w:tblW w:w="0" w:type="auto"/>
        <w:jc w:val="center"/>
        <w:tblLayout w:type="fixed"/>
        <w:tblCellMar>
          <w:left w:w="56" w:type="dxa"/>
          <w:right w:w="56" w:type="dxa"/>
        </w:tblCellMar>
        <w:tblLook w:val="0000" w:firstRow="0" w:lastRow="0" w:firstColumn="0" w:lastColumn="0" w:noHBand="0" w:noVBand="0"/>
      </w:tblPr>
      <w:tblGrid>
        <w:gridCol w:w="680"/>
        <w:gridCol w:w="680"/>
        <w:gridCol w:w="680"/>
        <w:gridCol w:w="680"/>
        <w:gridCol w:w="680"/>
        <w:gridCol w:w="680"/>
      </w:tblGrid>
      <w:tr w:rsidR="00711444" w:rsidRPr="004D0DAA" w14:paraId="1B0CB63E" w14:textId="77777777" w:rsidTr="00AA2A4C">
        <w:tblPrEx>
          <w:tblCellMar>
            <w:top w:w="0" w:type="dxa"/>
            <w:bottom w:w="0" w:type="dxa"/>
          </w:tblCellMar>
        </w:tblPrEx>
        <w:trPr>
          <w:cantSplit/>
          <w:jc w:val="center"/>
        </w:trPr>
        <w:tc>
          <w:tcPr>
            <w:tcW w:w="1360" w:type="dxa"/>
            <w:gridSpan w:val="2"/>
            <w:tcBorders>
              <w:top w:val="single" w:sz="6" w:space="0" w:color="auto"/>
              <w:left w:val="single" w:sz="6" w:space="0" w:color="auto"/>
              <w:bottom w:val="single" w:sz="6" w:space="0" w:color="auto"/>
            </w:tcBorders>
          </w:tcPr>
          <w:p w14:paraId="4C8B5208" w14:textId="77777777" w:rsidR="00711444" w:rsidRPr="004D0DAA" w:rsidRDefault="00711444" w:rsidP="00AA2A4C">
            <w:pPr>
              <w:pStyle w:val="TAC"/>
              <w:rPr>
                <w:lang w:eastAsia="en-US"/>
              </w:rPr>
            </w:pPr>
            <w:r w:rsidRPr="004D0DAA">
              <w:rPr>
                <w:b/>
                <w:lang w:eastAsia="en-US"/>
              </w:rPr>
              <w:t>TS0</w:t>
            </w:r>
          </w:p>
        </w:tc>
        <w:tc>
          <w:tcPr>
            <w:tcW w:w="1360" w:type="dxa"/>
            <w:gridSpan w:val="2"/>
            <w:tcBorders>
              <w:top w:val="single" w:sz="6" w:space="0" w:color="auto"/>
              <w:left w:val="single" w:sz="6" w:space="0" w:color="auto"/>
              <w:bottom w:val="single" w:sz="6" w:space="0" w:color="auto"/>
            </w:tcBorders>
          </w:tcPr>
          <w:p w14:paraId="17D6EC67" w14:textId="77777777" w:rsidR="00711444" w:rsidRPr="004D0DAA" w:rsidRDefault="00711444" w:rsidP="00AA2A4C">
            <w:pPr>
              <w:pStyle w:val="TAC"/>
              <w:rPr>
                <w:lang w:eastAsia="en-US"/>
              </w:rPr>
            </w:pPr>
            <w:r w:rsidRPr="004D0DAA">
              <w:rPr>
                <w:b/>
                <w:lang w:eastAsia="en-US"/>
              </w:rPr>
              <w:t>TS1</w:t>
            </w:r>
          </w:p>
        </w:tc>
        <w:tc>
          <w:tcPr>
            <w:tcW w:w="1360" w:type="dxa"/>
            <w:gridSpan w:val="2"/>
            <w:tcBorders>
              <w:top w:val="single" w:sz="6" w:space="0" w:color="auto"/>
              <w:left w:val="single" w:sz="6" w:space="0" w:color="auto"/>
              <w:bottom w:val="single" w:sz="6" w:space="0" w:color="auto"/>
              <w:right w:val="single" w:sz="6" w:space="0" w:color="auto"/>
            </w:tcBorders>
          </w:tcPr>
          <w:p w14:paraId="2B37E9AF" w14:textId="77777777" w:rsidR="00711444" w:rsidRPr="004D0DAA" w:rsidRDefault="00711444" w:rsidP="00AA2A4C">
            <w:pPr>
              <w:pStyle w:val="TAC"/>
              <w:rPr>
                <w:lang w:eastAsia="en-US"/>
              </w:rPr>
            </w:pPr>
            <w:r w:rsidRPr="004D0DAA">
              <w:rPr>
                <w:b/>
                <w:lang w:eastAsia="en-US"/>
              </w:rPr>
              <w:t>TS2</w:t>
            </w:r>
          </w:p>
        </w:tc>
      </w:tr>
      <w:tr w:rsidR="00711444" w:rsidRPr="004D0DAA" w14:paraId="2D1D6D55" w14:textId="77777777" w:rsidTr="00AA2A4C">
        <w:tblPrEx>
          <w:tblCellMar>
            <w:top w:w="0" w:type="dxa"/>
            <w:bottom w:w="0" w:type="dxa"/>
          </w:tblCellMar>
        </w:tblPrEx>
        <w:trPr>
          <w:cantSplit/>
          <w:jc w:val="center"/>
        </w:trPr>
        <w:tc>
          <w:tcPr>
            <w:tcW w:w="680" w:type="dxa"/>
            <w:tcBorders>
              <w:left w:val="single" w:sz="6" w:space="0" w:color="auto"/>
              <w:bottom w:val="double" w:sz="6" w:space="0" w:color="auto"/>
            </w:tcBorders>
          </w:tcPr>
          <w:p w14:paraId="51B82FEE"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22139B46" w14:textId="77777777" w:rsidR="00711444" w:rsidRPr="004D0DAA" w:rsidRDefault="00711444" w:rsidP="00AA2A4C">
            <w:pPr>
              <w:pStyle w:val="TAC"/>
              <w:rPr>
                <w:lang w:eastAsia="en-US"/>
              </w:rPr>
            </w:pPr>
            <w:r w:rsidRPr="004D0DAA">
              <w:rPr>
                <w:b/>
                <w:lang w:eastAsia="en-US"/>
              </w:rPr>
              <w:t>CV</w:t>
            </w:r>
          </w:p>
        </w:tc>
        <w:tc>
          <w:tcPr>
            <w:tcW w:w="680" w:type="dxa"/>
            <w:tcBorders>
              <w:left w:val="single" w:sz="6" w:space="0" w:color="auto"/>
              <w:bottom w:val="double" w:sz="6" w:space="0" w:color="auto"/>
            </w:tcBorders>
          </w:tcPr>
          <w:p w14:paraId="65388FCA"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45F11D89" w14:textId="77777777" w:rsidR="00711444" w:rsidRPr="004D0DAA" w:rsidRDefault="00711444" w:rsidP="00AA2A4C">
            <w:pPr>
              <w:pStyle w:val="TAC"/>
              <w:rPr>
                <w:lang w:eastAsia="en-US"/>
              </w:rPr>
            </w:pPr>
            <w:r w:rsidRPr="004D0DAA">
              <w:rPr>
                <w:b/>
                <w:lang w:eastAsia="en-US"/>
              </w:rPr>
              <w:t>CV</w:t>
            </w:r>
          </w:p>
        </w:tc>
        <w:tc>
          <w:tcPr>
            <w:tcW w:w="680" w:type="dxa"/>
            <w:tcBorders>
              <w:left w:val="single" w:sz="6" w:space="0" w:color="auto"/>
              <w:bottom w:val="double" w:sz="6" w:space="0" w:color="auto"/>
            </w:tcBorders>
          </w:tcPr>
          <w:p w14:paraId="4E06F2DA" w14:textId="77777777" w:rsidR="00711444" w:rsidRPr="004D0DAA" w:rsidRDefault="00711444" w:rsidP="00AA2A4C">
            <w:pPr>
              <w:pStyle w:val="TAC"/>
              <w:rPr>
                <w:lang w:eastAsia="en-US"/>
              </w:rPr>
            </w:pPr>
            <w:r w:rsidRPr="004D0DAA">
              <w:rPr>
                <w:b/>
                <w:lang w:eastAsia="en-US"/>
              </w:rPr>
              <w:t>BSN'</w:t>
            </w:r>
          </w:p>
        </w:tc>
        <w:tc>
          <w:tcPr>
            <w:tcW w:w="680" w:type="dxa"/>
            <w:tcBorders>
              <w:bottom w:val="double" w:sz="6" w:space="0" w:color="auto"/>
              <w:right w:val="single" w:sz="6" w:space="0" w:color="auto"/>
            </w:tcBorders>
          </w:tcPr>
          <w:p w14:paraId="7B9F661D" w14:textId="77777777" w:rsidR="00711444" w:rsidRPr="004D0DAA" w:rsidRDefault="00711444" w:rsidP="00AA2A4C">
            <w:pPr>
              <w:pStyle w:val="TAC"/>
              <w:rPr>
                <w:lang w:eastAsia="en-US"/>
              </w:rPr>
            </w:pPr>
            <w:r w:rsidRPr="004D0DAA">
              <w:rPr>
                <w:b/>
                <w:lang w:eastAsia="en-US"/>
              </w:rPr>
              <w:t>CV</w:t>
            </w:r>
          </w:p>
        </w:tc>
      </w:tr>
      <w:tr w:rsidR="00711444" w:rsidRPr="004D0DAA" w14:paraId="0C063661"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5CF82706" w14:textId="77777777" w:rsidR="00711444" w:rsidRPr="004D0DAA" w:rsidRDefault="00711444" w:rsidP="00AA2A4C">
            <w:pPr>
              <w:pStyle w:val="TAC"/>
              <w:rPr>
                <w:lang w:eastAsia="en-US"/>
              </w:rPr>
            </w:pPr>
            <w:r w:rsidRPr="004D0DAA">
              <w:rPr>
                <w:lang w:eastAsia="en-US"/>
              </w:rPr>
              <w:t>125</w:t>
            </w:r>
          </w:p>
        </w:tc>
        <w:tc>
          <w:tcPr>
            <w:tcW w:w="680" w:type="dxa"/>
            <w:tcBorders>
              <w:bottom w:val="single" w:sz="6" w:space="0" w:color="auto"/>
              <w:right w:val="single" w:sz="6" w:space="0" w:color="auto"/>
            </w:tcBorders>
          </w:tcPr>
          <w:p w14:paraId="36FE0685"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4A4CE106" w14:textId="77777777" w:rsidR="00711444" w:rsidRPr="004D0DAA" w:rsidRDefault="00711444" w:rsidP="00AA2A4C">
            <w:pPr>
              <w:pStyle w:val="TAC"/>
              <w:rPr>
                <w:lang w:eastAsia="en-US"/>
              </w:rPr>
            </w:pPr>
            <w:r w:rsidRPr="004D0DAA">
              <w:rPr>
                <w:lang w:eastAsia="en-US"/>
              </w:rPr>
              <w:t>126</w:t>
            </w:r>
          </w:p>
        </w:tc>
        <w:tc>
          <w:tcPr>
            <w:tcW w:w="680" w:type="dxa"/>
            <w:tcBorders>
              <w:bottom w:val="single" w:sz="6" w:space="0" w:color="auto"/>
              <w:right w:val="single" w:sz="6" w:space="0" w:color="auto"/>
            </w:tcBorders>
          </w:tcPr>
          <w:p w14:paraId="026192AD"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7444B51C" w14:textId="77777777" w:rsidR="00711444" w:rsidRPr="004D0DAA" w:rsidRDefault="00711444" w:rsidP="00AA2A4C">
            <w:pPr>
              <w:pStyle w:val="TAC"/>
              <w:rPr>
                <w:lang w:eastAsia="en-US"/>
              </w:rPr>
            </w:pPr>
            <w:r w:rsidRPr="004D0DAA">
              <w:rPr>
                <w:lang w:eastAsia="en-US"/>
              </w:rPr>
              <w:t>127</w:t>
            </w:r>
          </w:p>
        </w:tc>
        <w:tc>
          <w:tcPr>
            <w:tcW w:w="680" w:type="dxa"/>
            <w:tcBorders>
              <w:bottom w:val="single" w:sz="6" w:space="0" w:color="auto"/>
              <w:right w:val="single" w:sz="6" w:space="0" w:color="auto"/>
            </w:tcBorders>
          </w:tcPr>
          <w:p w14:paraId="0AE4F135" w14:textId="77777777" w:rsidR="00711444" w:rsidRPr="004D0DAA" w:rsidRDefault="00711444" w:rsidP="00AA2A4C">
            <w:pPr>
              <w:pStyle w:val="TAC"/>
              <w:rPr>
                <w:lang w:eastAsia="en-US"/>
              </w:rPr>
            </w:pPr>
            <w:r w:rsidRPr="004D0DAA">
              <w:rPr>
                <w:lang w:eastAsia="en-US"/>
              </w:rPr>
              <w:t>15</w:t>
            </w:r>
          </w:p>
        </w:tc>
      </w:tr>
      <w:tr w:rsidR="00711444" w:rsidRPr="004D0DAA" w14:paraId="2C5D41DF"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6560DC96" w14:textId="77777777" w:rsidR="00711444" w:rsidRPr="004D0DAA" w:rsidRDefault="00711444" w:rsidP="00AA2A4C">
            <w:pPr>
              <w:pStyle w:val="TAC"/>
              <w:rPr>
                <w:lang w:eastAsia="en-US"/>
              </w:rPr>
            </w:pPr>
            <w:r w:rsidRPr="004D0DAA">
              <w:rPr>
                <w:lang w:eastAsia="en-US"/>
              </w:rPr>
              <w:t>128</w:t>
            </w:r>
          </w:p>
        </w:tc>
        <w:tc>
          <w:tcPr>
            <w:tcW w:w="680" w:type="dxa"/>
            <w:tcBorders>
              <w:bottom w:val="single" w:sz="6" w:space="0" w:color="auto"/>
              <w:right w:val="single" w:sz="6" w:space="0" w:color="auto"/>
            </w:tcBorders>
          </w:tcPr>
          <w:p w14:paraId="4FFB4CEB"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76C2B8D2" w14:textId="77777777" w:rsidR="00711444" w:rsidRPr="004D0DAA" w:rsidRDefault="00711444" w:rsidP="00AA2A4C">
            <w:pPr>
              <w:pStyle w:val="TAC"/>
              <w:rPr>
                <w:lang w:eastAsia="en-US"/>
              </w:rPr>
            </w:pPr>
            <w:r w:rsidRPr="004D0DAA">
              <w:rPr>
                <w:lang w:eastAsia="en-US"/>
              </w:rPr>
              <w:t>129</w:t>
            </w:r>
          </w:p>
        </w:tc>
        <w:tc>
          <w:tcPr>
            <w:tcW w:w="680" w:type="dxa"/>
            <w:tcBorders>
              <w:bottom w:val="single" w:sz="6" w:space="0" w:color="auto"/>
              <w:right w:val="single" w:sz="6" w:space="0" w:color="auto"/>
            </w:tcBorders>
          </w:tcPr>
          <w:p w14:paraId="27394E3F"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5C7B8766" w14:textId="77777777" w:rsidR="00711444" w:rsidRPr="004D0DAA" w:rsidRDefault="00711444" w:rsidP="00AA2A4C">
            <w:pPr>
              <w:pStyle w:val="TAC"/>
              <w:rPr>
                <w:lang w:eastAsia="en-US"/>
              </w:rPr>
            </w:pPr>
            <w:r w:rsidRPr="004D0DAA">
              <w:rPr>
                <w:lang w:eastAsia="en-US"/>
              </w:rPr>
              <w:t>130</w:t>
            </w:r>
          </w:p>
        </w:tc>
        <w:tc>
          <w:tcPr>
            <w:tcW w:w="680" w:type="dxa"/>
            <w:tcBorders>
              <w:bottom w:val="single" w:sz="6" w:space="0" w:color="auto"/>
              <w:right w:val="single" w:sz="6" w:space="0" w:color="auto"/>
            </w:tcBorders>
          </w:tcPr>
          <w:p w14:paraId="0A063CF5" w14:textId="77777777" w:rsidR="00711444" w:rsidRPr="004D0DAA" w:rsidRDefault="00711444" w:rsidP="00AA2A4C">
            <w:pPr>
              <w:pStyle w:val="TAC"/>
              <w:rPr>
                <w:lang w:eastAsia="en-US"/>
              </w:rPr>
            </w:pPr>
            <w:r w:rsidRPr="004D0DAA">
              <w:rPr>
                <w:lang w:eastAsia="en-US"/>
              </w:rPr>
              <w:t>15</w:t>
            </w:r>
          </w:p>
        </w:tc>
      </w:tr>
      <w:tr w:rsidR="00711444" w:rsidRPr="004D0DAA" w14:paraId="01A5433F"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10B4CAB3" w14:textId="77777777" w:rsidR="00711444" w:rsidRPr="004D0DAA" w:rsidRDefault="00711444" w:rsidP="00AA2A4C">
            <w:pPr>
              <w:pStyle w:val="TAC"/>
              <w:rPr>
                <w:lang w:eastAsia="en-US"/>
              </w:rPr>
            </w:pPr>
            <w:r w:rsidRPr="004D0DAA">
              <w:rPr>
                <w:lang w:eastAsia="en-US"/>
              </w:rPr>
              <w:t>131</w:t>
            </w:r>
          </w:p>
        </w:tc>
        <w:tc>
          <w:tcPr>
            <w:tcW w:w="680" w:type="dxa"/>
            <w:tcBorders>
              <w:bottom w:val="single" w:sz="6" w:space="0" w:color="auto"/>
              <w:right w:val="single" w:sz="6" w:space="0" w:color="auto"/>
            </w:tcBorders>
          </w:tcPr>
          <w:p w14:paraId="02D101D5"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274002D3" w14:textId="77777777" w:rsidR="00711444" w:rsidRPr="004D0DAA" w:rsidRDefault="00711444" w:rsidP="00AA2A4C">
            <w:pPr>
              <w:pStyle w:val="TAC"/>
              <w:rPr>
                <w:lang w:eastAsia="en-US"/>
              </w:rPr>
            </w:pPr>
            <w:r w:rsidRPr="004D0DAA">
              <w:rPr>
                <w:lang w:eastAsia="en-US"/>
              </w:rPr>
              <w:t>132</w:t>
            </w:r>
          </w:p>
        </w:tc>
        <w:tc>
          <w:tcPr>
            <w:tcW w:w="680" w:type="dxa"/>
            <w:tcBorders>
              <w:bottom w:val="single" w:sz="6" w:space="0" w:color="auto"/>
              <w:right w:val="single" w:sz="6" w:space="0" w:color="auto"/>
            </w:tcBorders>
          </w:tcPr>
          <w:p w14:paraId="5DB92634"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22FB89A9" w14:textId="77777777" w:rsidR="00711444" w:rsidRPr="004D0DAA" w:rsidRDefault="00711444" w:rsidP="00AA2A4C">
            <w:pPr>
              <w:pStyle w:val="TAC"/>
              <w:rPr>
                <w:lang w:eastAsia="en-US"/>
              </w:rPr>
            </w:pPr>
            <w:r w:rsidRPr="004D0DAA">
              <w:rPr>
                <w:lang w:eastAsia="en-US"/>
              </w:rPr>
              <w:t>133</w:t>
            </w:r>
          </w:p>
        </w:tc>
        <w:tc>
          <w:tcPr>
            <w:tcW w:w="680" w:type="dxa"/>
            <w:tcBorders>
              <w:bottom w:val="single" w:sz="6" w:space="0" w:color="auto"/>
              <w:right w:val="single" w:sz="6" w:space="0" w:color="auto"/>
            </w:tcBorders>
          </w:tcPr>
          <w:p w14:paraId="26DCDA09" w14:textId="77777777" w:rsidR="00711444" w:rsidRPr="004D0DAA" w:rsidRDefault="00711444" w:rsidP="00AA2A4C">
            <w:pPr>
              <w:pStyle w:val="TAC"/>
              <w:rPr>
                <w:lang w:eastAsia="en-US"/>
              </w:rPr>
            </w:pPr>
            <w:r w:rsidRPr="004D0DAA">
              <w:rPr>
                <w:lang w:eastAsia="en-US"/>
              </w:rPr>
              <w:t>15</w:t>
            </w:r>
          </w:p>
        </w:tc>
      </w:tr>
      <w:tr w:rsidR="00711444" w:rsidRPr="004D0DAA" w14:paraId="7F2882EA"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3C116F4D" w14:textId="77777777" w:rsidR="00711444" w:rsidRPr="004D0DAA" w:rsidRDefault="00711444" w:rsidP="00AA2A4C">
            <w:pPr>
              <w:pStyle w:val="TAC"/>
              <w:rPr>
                <w:lang w:eastAsia="en-US"/>
              </w:rPr>
            </w:pPr>
            <w:r w:rsidRPr="004D0DAA">
              <w:rPr>
                <w:lang w:eastAsia="en-US"/>
              </w:rPr>
              <w:t>134</w:t>
            </w:r>
          </w:p>
        </w:tc>
        <w:tc>
          <w:tcPr>
            <w:tcW w:w="680" w:type="dxa"/>
            <w:tcBorders>
              <w:bottom w:val="single" w:sz="6" w:space="0" w:color="auto"/>
              <w:right w:val="single" w:sz="6" w:space="0" w:color="auto"/>
            </w:tcBorders>
          </w:tcPr>
          <w:p w14:paraId="03E7A549"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68BC84F5" w14:textId="77777777" w:rsidR="00711444" w:rsidRPr="004D0DAA" w:rsidRDefault="00711444" w:rsidP="00AA2A4C">
            <w:pPr>
              <w:pStyle w:val="TAC"/>
              <w:rPr>
                <w:lang w:eastAsia="en-US"/>
              </w:rPr>
            </w:pPr>
            <w:r w:rsidRPr="004D0DAA">
              <w:rPr>
                <w:lang w:eastAsia="en-US"/>
              </w:rPr>
              <w:t>135</w:t>
            </w:r>
          </w:p>
        </w:tc>
        <w:tc>
          <w:tcPr>
            <w:tcW w:w="680" w:type="dxa"/>
            <w:tcBorders>
              <w:bottom w:val="single" w:sz="6" w:space="0" w:color="auto"/>
              <w:right w:val="single" w:sz="6" w:space="0" w:color="auto"/>
            </w:tcBorders>
          </w:tcPr>
          <w:p w14:paraId="2345A7FD" w14:textId="77777777" w:rsidR="00711444" w:rsidRPr="004D0DAA" w:rsidRDefault="00711444" w:rsidP="00AA2A4C">
            <w:pPr>
              <w:pStyle w:val="TAC"/>
              <w:rPr>
                <w:lang w:eastAsia="en-US"/>
              </w:rPr>
            </w:pPr>
            <w:r w:rsidRPr="004D0DAA">
              <w:rPr>
                <w:lang w:eastAsia="en-US"/>
              </w:rPr>
              <w:t>15</w:t>
            </w:r>
          </w:p>
        </w:tc>
        <w:tc>
          <w:tcPr>
            <w:tcW w:w="680" w:type="dxa"/>
            <w:tcBorders>
              <w:left w:val="single" w:sz="6" w:space="0" w:color="auto"/>
              <w:bottom w:val="single" w:sz="6" w:space="0" w:color="auto"/>
            </w:tcBorders>
          </w:tcPr>
          <w:p w14:paraId="424A477D" w14:textId="77777777" w:rsidR="00711444" w:rsidRPr="004D0DAA" w:rsidRDefault="00711444" w:rsidP="00AA2A4C">
            <w:pPr>
              <w:pStyle w:val="TAC"/>
              <w:rPr>
                <w:lang w:eastAsia="en-US"/>
              </w:rPr>
            </w:pPr>
            <w:r w:rsidRPr="004D0DAA">
              <w:rPr>
                <w:lang w:eastAsia="en-US"/>
              </w:rPr>
              <w:t>136</w:t>
            </w:r>
          </w:p>
        </w:tc>
        <w:tc>
          <w:tcPr>
            <w:tcW w:w="680" w:type="dxa"/>
            <w:tcBorders>
              <w:bottom w:val="single" w:sz="6" w:space="0" w:color="auto"/>
              <w:right w:val="single" w:sz="6" w:space="0" w:color="auto"/>
            </w:tcBorders>
          </w:tcPr>
          <w:p w14:paraId="36A55131" w14:textId="77777777" w:rsidR="00711444" w:rsidRPr="004D0DAA" w:rsidRDefault="00711444" w:rsidP="00AA2A4C">
            <w:pPr>
              <w:pStyle w:val="TAC"/>
              <w:rPr>
                <w:lang w:eastAsia="en-US"/>
              </w:rPr>
            </w:pPr>
            <w:r w:rsidRPr="004D0DAA">
              <w:rPr>
                <w:lang w:eastAsia="en-US"/>
              </w:rPr>
              <w:t>6</w:t>
            </w:r>
          </w:p>
        </w:tc>
      </w:tr>
      <w:tr w:rsidR="00711444" w:rsidRPr="004D0DAA" w14:paraId="6A91DF4F"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50333B1A" w14:textId="77777777" w:rsidR="00711444" w:rsidRPr="004D0DAA" w:rsidRDefault="00711444" w:rsidP="00AA2A4C">
            <w:pPr>
              <w:pStyle w:val="TAC"/>
              <w:rPr>
                <w:lang w:eastAsia="en-US"/>
              </w:rPr>
            </w:pPr>
            <w:r w:rsidRPr="004D0DAA">
              <w:rPr>
                <w:lang w:eastAsia="en-US"/>
              </w:rPr>
              <w:t>137</w:t>
            </w:r>
          </w:p>
        </w:tc>
        <w:tc>
          <w:tcPr>
            <w:tcW w:w="680" w:type="dxa"/>
            <w:tcBorders>
              <w:bottom w:val="single" w:sz="6" w:space="0" w:color="auto"/>
              <w:right w:val="single" w:sz="6" w:space="0" w:color="auto"/>
            </w:tcBorders>
          </w:tcPr>
          <w:p w14:paraId="586F2418" w14:textId="77777777" w:rsidR="00711444" w:rsidRPr="004D0DAA" w:rsidRDefault="00711444" w:rsidP="00AA2A4C">
            <w:pPr>
              <w:pStyle w:val="TAC"/>
              <w:rPr>
                <w:lang w:eastAsia="en-US"/>
              </w:rPr>
            </w:pPr>
            <w:r w:rsidRPr="004D0DAA">
              <w:rPr>
                <w:lang w:eastAsia="en-US"/>
              </w:rPr>
              <w:t>6</w:t>
            </w:r>
          </w:p>
        </w:tc>
        <w:tc>
          <w:tcPr>
            <w:tcW w:w="680" w:type="dxa"/>
            <w:tcBorders>
              <w:left w:val="single" w:sz="6" w:space="0" w:color="auto"/>
              <w:bottom w:val="single" w:sz="6" w:space="0" w:color="auto"/>
            </w:tcBorders>
          </w:tcPr>
          <w:p w14:paraId="3AC889C8" w14:textId="77777777" w:rsidR="00711444" w:rsidRPr="004D0DAA" w:rsidRDefault="00711444" w:rsidP="00AA2A4C">
            <w:pPr>
              <w:pStyle w:val="TAC"/>
              <w:rPr>
                <w:lang w:eastAsia="en-US"/>
              </w:rPr>
            </w:pPr>
            <w:r w:rsidRPr="004D0DAA">
              <w:rPr>
                <w:lang w:eastAsia="en-US"/>
              </w:rPr>
              <w:t>138</w:t>
            </w:r>
          </w:p>
        </w:tc>
        <w:tc>
          <w:tcPr>
            <w:tcW w:w="680" w:type="dxa"/>
            <w:tcBorders>
              <w:bottom w:val="single" w:sz="6" w:space="0" w:color="auto"/>
              <w:right w:val="single" w:sz="6" w:space="0" w:color="auto"/>
            </w:tcBorders>
          </w:tcPr>
          <w:p w14:paraId="3A5A8810" w14:textId="77777777" w:rsidR="00711444" w:rsidRPr="004D0DAA" w:rsidRDefault="00711444" w:rsidP="00AA2A4C">
            <w:pPr>
              <w:pStyle w:val="TAC"/>
              <w:rPr>
                <w:lang w:eastAsia="en-US"/>
              </w:rPr>
            </w:pPr>
            <w:r w:rsidRPr="004D0DAA">
              <w:rPr>
                <w:lang w:eastAsia="en-US"/>
              </w:rPr>
              <w:t>6</w:t>
            </w:r>
          </w:p>
        </w:tc>
        <w:tc>
          <w:tcPr>
            <w:tcW w:w="680" w:type="dxa"/>
            <w:tcBorders>
              <w:left w:val="single" w:sz="6" w:space="0" w:color="auto"/>
              <w:bottom w:val="single" w:sz="6" w:space="0" w:color="auto"/>
            </w:tcBorders>
          </w:tcPr>
          <w:p w14:paraId="3E228F73" w14:textId="77777777" w:rsidR="00711444" w:rsidRPr="004D0DAA" w:rsidRDefault="00711444" w:rsidP="00AA2A4C">
            <w:pPr>
              <w:pStyle w:val="TAC"/>
              <w:rPr>
                <w:lang w:eastAsia="en-US"/>
              </w:rPr>
            </w:pPr>
            <w:r w:rsidRPr="004D0DAA">
              <w:rPr>
                <w:lang w:eastAsia="en-US"/>
              </w:rPr>
              <w:t>139</w:t>
            </w:r>
          </w:p>
        </w:tc>
        <w:tc>
          <w:tcPr>
            <w:tcW w:w="680" w:type="dxa"/>
            <w:tcBorders>
              <w:bottom w:val="single" w:sz="6" w:space="0" w:color="auto"/>
              <w:right w:val="single" w:sz="6" w:space="0" w:color="auto"/>
            </w:tcBorders>
          </w:tcPr>
          <w:p w14:paraId="4EE60D1D" w14:textId="77777777" w:rsidR="00711444" w:rsidRPr="004D0DAA" w:rsidRDefault="00711444" w:rsidP="00AA2A4C">
            <w:pPr>
              <w:pStyle w:val="TAC"/>
              <w:rPr>
                <w:lang w:eastAsia="en-US"/>
              </w:rPr>
            </w:pPr>
            <w:r w:rsidRPr="004D0DAA">
              <w:rPr>
                <w:lang w:eastAsia="en-US"/>
              </w:rPr>
              <w:t>5</w:t>
            </w:r>
          </w:p>
        </w:tc>
      </w:tr>
      <w:tr w:rsidR="00711444" w:rsidRPr="004D0DAA" w14:paraId="7AAF5BA9"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7930C85D" w14:textId="77777777" w:rsidR="00711444" w:rsidRPr="004D0DAA" w:rsidRDefault="00711444" w:rsidP="00AA2A4C">
            <w:pPr>
              <w:pStyle w:val="TAC"/>
              <w:rPr>
                <w:lang w:eastAsia="en-US"/>
              </w:rPr>
            </w:pPr>
            <w:r w:rsidRPr="004D0DAA">
              <w:rPr>
                <w:lang w:eastAsia="en-US"/>
              </w:rPr>
              <w:t>140</w:t>
            </w:r>
          </w:p>
        </w:tc>
        <w:tc>
          <w:tcPr>
            <w:tcW w:w="680" w:type="dxa"/>
            <w:tcBorders>
              <w:bottom w:val="single" w:sz="6" w:space="0" w:color="auto"/>
              <w:right w:val="single" w:sz="6" w:space="0" w:color="auto"/>
            </w:tcBorders>
          </w:tcPr>
          <w:p w14:paraId="5F83A2DA"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580B63D4" w14:textId="77777777" w:rsidR="00711444" w:rsidRPr="004D0DAA" w:rsidRDefault="00711444" w:rsidP="00AA2A4C">
            <w:pPr>
              <w:pStyle w:val="TAC"/>
              <w:rPr>
                <w:lang w:eastAsia="en-US"/>
              </w:rPr>
            </w:pPr>
            <w:r w:rsidRPr="004D0DAA">
              <w:rPr>
                <w:lang w:eastAsia="en-US"/>
              </w:rPr>
              <w:t>141</w:t>
            </w:r>
          </w:p>
        </w:tc>
        <w:tc>
          <w:tcPr>
            <w:tcW w:w="680" w:type="dxa"/>
            <w:tcBorders>
              <w:bottom w:val="single" w:sz="6" w:space="0" w:color="auto"/>
              <w:right w:val="single" w:sz="6" w:space="0" w:color="auto"/>
            </w:tcBorders>
          </w:tcPr>
          <w:p w14:paraId="4801A5AA"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023D48F2" w14:textId="77777777" w:rsidR="00711444" w:rsidRPr="004D0DAA" w:rsidRDefault="00711444" w:rsidP="00AA2A4C">
            <w:pPr>
              <w:pStyle w:val="TAC"/>
              <w:rPr>
                <w:lang w:eastAsia="en-US"/>
              </w:rPr>
            </w:pPr>
            <w:r w:rsidRPr="004D0DAA">
              <w:rPr>
                <w:lang w:eastAsia="en-US"/>
              </w:rPr>
              <w:t>142</w:t>
            </w:r>
          </w:p>
        </w:tc>
        <w:tc>
          <w:tcPr>
            <w:tcW w:w="680" w:type="dxa"/>
            <w:tcBorders>
              <w:bottom w:val="single" w:sz="6" w:space="0" w:color="auto"/>
              <w:right w:val="single" w:sz="6" w:space="0" w:color="auto"/>
            </w:tcBorders>
          </w:tcPr>
          <w:p w14:paraId="04242BC2" w14:textId="77777777" w:rsidR="00711444" w:rsidRPr="004D0DAA" w:rsidRDefault="00711444" w:rsidP="00AA2A4C">
            <w:pPr>
              <w:pStyle w:val="TAC"/>
              <w:rPr>
                <w:lang w:eastAsia="en-US"/>
              </w:rPr>
            </w:pPr>
            <w:r w:rsidRPr="004D0DAA">
              <w:rPr>
                <w:lang w:eastAsia="en-US"/>
              </w:rPr>
              <w:t>4</w:t>
            </w:r>
          </w:p>
        </w:tc>
      </w:tr>
      <w:tr w:rsidR="00711444" w:rsidRPr="004D0DAA" w14:paraId="42E92A10"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345C5D58" w14:textId="77777777" w:rsidR="00711444" w:rsidRPr="004D0DAA" w:rsidRDefault="00711444" w:rsidP="00AA2A4C">
            <w:pPr>
              <w:pStyle w:val="TAC"/>
              <w:rPr>
                <w:lang w:eastAsia="en-US"/>
              </w:rPr>
            </w:pPr>
            <w:r w:rsidRPr="004D0DAA">
              <w:rPr>
                <w:lang w:eastAsia="en-US"/>
              </w:rPr>
              <w:t>143</w:t>
            </w:r>
          </w:p>
        </w:tc>
        <w:tc>
          <w:tcPr>
            <w:tcW w:w="680" w:type="dxa"/>
            <w:tcBorders>
              <w:bottom w:val="single" w:sz="6" w:space="0" w:color="auto"/>
              <w:right w:val="single" w:sz="6" w:space="0" w:color="auto"/>
            </w:tcBorders>
          </w:tcPr>
          <w:p w14:paraId="5675C65E"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7F47F656" w14:textId="77777777" w:rsidR="00711444" w:rsidRPr="004D0DAA" w:rsidRDefault="00711444" w:rsidP="00AA2A4C">
            <w:pPr>
              <w:pStyle w:val="TAC"/>
              <w:rPr>
                <w:lang w:eastAsia="en-US"/>
              </w:rPr>
            </w:pPr>
            <w:r w:rsidRPr="004D0DAA">
              <w:rPr>
                <w:lang w:eastAsia="en-US"/>
              </w:rPr>
              <w:t>144</w:t>
            </w:r>
          </w:p>
        </w:tc>
        <w:tc>
          <w:tcPr>
            <w:tcW w:w="680" w:type="dxa"/>
            <w:tcBorders>
              <w:bottom w:val="single" w:sz="6" w:space="0" w:color="auto"/>
              <w:right w:val="single" w:sz="6" w:space="0" w:color="auto"/>
            </w:tcBorders>
          </w:tcPr>
          <w:p w14:paraId="06C23A8E"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644D100F" w14:textId="77777777" w:rsidR="00711444" w:rsidRPr="004D0DAA" w:rsidRDefault="00711444" w:rsidP="00AA2A4C">
            <w:pPr>
              <w:pStyle w:val="TAC"/>
              <w:rPr>
                <w:lang w:eastAsia="en-US"/>
              </w:rPr>
            </w:pPr>
            <w:r w:rsidRPr="004D0DAA">
              <w:rPr>
                <w:lang w:eastAsia="en-US"/>
              </w:rPr>
              <w:t>145</w:t>
            </w:r>
          </w:p>
        </w:tc>
        <w:tc>
          <w:tcPr>
            <w:tcW w:w="680" w:type="dxa"/>
            <w:tcBorders>
              <w:bottom w:val="single" w:sz="6" w:space="0" w:color="auto"/>
              <w:right w:val="single" w:sz="6" w:space="0" w:color="auto"/>
            </w:tcBorders>
          </w:tcPr>
          <w:p w14:paraId="7B6DEB4F" w14:textId="77777777" w:rsidR="00711444" w:rsidRPr="004D0DAA" w:rsidRDefault="00711444" w:rsidP="00AA2A4C">
            <w:pPr>
              <w:pStyle w:val="TAC"/>
              <w:rPr>
                <w:lang w:eastAsia="en-US"/>
              </w:rPr>
            </w:pPr>
            <w:r w:rsidRPr="004D0DAA">
              <w:rPr>
                <w:lang w:eastAsia="en-US"/>
              </w:rPr>
              <w:t>3</w:t>
            </w:r>
          </w:p>
        </w:tc>
      </w:tr>
      <w:tr w:rsidR="00711444" w:rsidRPr="004D0DAA" w14:paraId="4528BC71"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05FF851A" w14:textId="77777777" w:rsidR="00711444" w:rsidRPr="004D0DAA" w:rsidRDefault="00711444" w:rsidP="00AA2A4C">
            <w:pPr>
              <w:pStyle w:val="TAC"/>
              <w:rPr>
                <w:lang w:eastAsia="en-US"/>
              </w:rPr>
            </w:pPr>
            <w:r w:rsidRPr="004D0DAA">
              <w:rPr>
                <w:lang w:eastAsia="en-US"/>
              </w:rPr>
              <w:t>146</w:t>
            </w:r>
          </w:p>
        </w:tc>
        <w:tc>
          <w:tcPr>
            <w:tcW w:w="680" w:type="dxa"/>
            <w:tcBorders>
              <w:bottom w:val="single" w:sz="6" w:space="0" w:color="auto"/>
              <w:right w:val="single" w:sz="6" w:space="0" w:color="auto"/>
            </w:tcBorders>
          </w:tcPr>
          <w:p w14:paraId="36A1EF64"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7D69AAF6" w14:textId="77777777" w:rsidR="00711444" w:rsidRPr="004D0DAA" w:rsidRDefault="00711444" w:rsidP="00AA2A4C">
            <w:pPr>
              <w:pStyle w:val="TAC"/>
              <w:rPr>
                <w:lang w:eastAsia="en-US"/>
              </w:rPr>
            </w:pPr>
            <w:r w:rsidRPr="004D0DAA">
              <w:rPr>
                <w:lang w:eastAsia="en-US"/>
              </w:rPr>
              <w:t>147</w:t>
            </w:r>
          </w:p>
        </w:tc>
        <w:tc>
          <w:tcPr>
            <w:tcW w:w="680" w:type="dxa"/>
            <w:tcBorders>
              <w:bottom w:val="single" w:sz="6" w:space="0" w:color="auto"/>
              <w:right w:val="single" w:sz="6" w:space="0" w:color="auto"/>
            </w:tcBorders>
          </w:tcPr>
          <w:p w14:paraId="59D0A530"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345E0C2A" w14:textId="77777777" w:rsidR="00711444" w:rsidRPr="004D0DAA" w:rsidRDefault="00711444" w:rsidP="00AA2A4C">
            <w:pPr>
              <w:pStyle w:val="TAC"/>
              <w:rPr>
                <w:lang w:eastAsia="en-US"/>
              </w:rPr>
            </w:pPr>
            <w:r w:rsidRPr="004D0DAA">
              <w:rPr>
                <w:lang w:eastAsia="en-US"/>
              </w:rPr>
              <w:t>148</w:t>
            </w:r>
          </w:p>
        </w:tc>
        <w:tc>
          <w:tcPr>
            <w:tcW w:w="680" w:type="dxa"/>
            <w:tcBorders>
              <w:bottom w:val="single" w:sz="6" w:space="0" w:color="auto"/>
              <w:right w:val="single" w:sz="6" w:space="0" w:color="auto"/>
            </w:tcBorders>
          </w:tcPr>
          <w:p w14:paraId="1705660D" w14:textId="77777777" w:rsidR="00711444" w:rsidRPr="004D0DAA" w:rsidRDefault="00711444" w:rsidP="00AA2A4C">
            <w:pPr>
              <w:pStyle w:val="TAC"/>
              <w:rPr>
                <w:lang w:eastAsia="en-US"/>
              </w:rPr>
            </w:pPr>
            <w:r w:rsidRPr="004D0DAA">
              <w:rPr>
                <w:lang w:eastAsia="en-US"/>
              </w:rPr>
              <w:t>2</w:t>
            </w:r>
          </w:p>
        </w:tc>
      </w:tr>
      <w:tr w:rsidR="00711444" w:rsidRPr="004D0DAA" w14:paraId="598FFC90"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46D20BF9" w14:textId="77777777" w:rsidR="00711444" w:rsidRPr="004D0DAA" w:rsidRDefault="00711444" w:rsidP="00AA2A4C">
            <w:pPr>
              <w:pStyle w:val="TAC"/>
              <w:rPr>
                <w:lang w:eastAsia="en-US"/>
              </w:rPr>
            </w:pPr>
            <w:r w:rsidRPr="004D0DAA">
              <w:rPr>
                <w:lang w:eastAsia="en-US"/>
              </w:rPr>
              <w:t>149</w:t>
            </w:r>
          </w:p>
        </w:tc>
        <w:tc>
          <w:tcPr>
            <w:tcW w:w="680" w:type="dxa"/>
            <w:tcBorders>
              <w:bottom w:val="single" w:sz="6" w:space="0" w:color="auto"/>
              <w:right w:val="single" w:sz="6" w:space="0" w:color="auto"/>
            </w:tcBorders>
          </w:tcPr>
          <w:p w14:paraId="03222FE5"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51940EE6" w14:textId="77777777" w:rsidR="00711444" w:rsidRPr="004D0DAA" w:rsidRDefault="00711444" w:rsidP="00AA2A4C">
            <w:pPr>
              <w:pStyle w:val="TAC"/>
              <w:rPr>
                <w:lang w:eastAsia="en-US"/>
              </w:rPr>
            </w:pPr>
            <w:r w:rsidRPr="004D0DAA">
              <w:rPr>
                <w:lang w:eastAsia="en-US"/>
              </w:rPr>
              <w:t>150</w:t>
            </w:r>
          </w:p>
        </w:tc>
        <w:tc>
          <w:tcPr>
            <w:tcW w:w="680" w:type="dxa"/>
            <w:tcBorders>
              <w:bottom w:val="single" w:sz="6" w:space="0" w:color="auto"/>
              <w:right w:val="single" w:sz="6" w:space="0" w:color="auto"/>
            </w:tcBorders>
          </w:tcPr>
          <w:p w14:paraId="380C7BED" w14:textId="77777777" w:rsidR="00711444" w:rsidRPr="004D0DAA" w:rsidRDefault="00711444" w:rsidP="00AA2A4C">
            <w:pPr>
              <w:pStyle w:val="TAC"/>
              <w:rPr>
                <w:lang w:eastAsia="en-US"/>
              </w:rPr>
            </w:pPr>
            <w:r w:rsidRPr="004D0DAA">
              <w:rPr>
                <w:lang w:eastAsia="en-US"/>
              </w:rPr>
              <w:t>5</w:t>
            </w:r>
          </w:p>
        </w:tc>
        <w:tc>
          <w:tcPr>
            <w:tcW w:w="680" w:type="dxa"/>
            <w:tcBorders>
              <w:left w:val="single" w:sz="6" w:space="0" w:color="auto"/>
              <w:bottom w:val="single" w:sz="6" w:space="0" w:color="auto"/>
            </w:tcBorders>
          </w:tcPr>
          <w:p w14:paraId="51FB12EE" w14:textId="77777777" w:rsidR="00711444" w:rsidRPr="004D0DAA" w:rsidRDefault="00711444" w:rsidP="00AA2A4C">
            <w:pPr>
              <w:pStyle w:val="TAC"/>
              <w:rPr>
                <w:lang w:eastAsia="en-US"/>
              </w:rPr>
            </w:pPr>
            <w:r w:rsidRPr="004D0DAA">
              <w:rPr>
                <w:lang w:eastAsia="en-US"/>
              </w:rPr>
              <w:t>151</w:t>
            </w:r>
          </w:p>
        </w:tc>
        <w:tc>
          <w:tcPr>
            <w:tcW w:w="680" w:type="dxa"/>
            <w:tcBorders>
              <w:bottom w:val="single" w:sz="6" w:space="0" w:color="auto"/>
              <w:right w:val="single" w:sz="6" w:space="0" w:color="auto"/>
            </w:tcBorders>
          </w:tcPr>
          <w:p w14:paraId="28121A84" w14:textId="77777777" w:rsidR="00711444" w:rsidRPr="004D0DAA" w:rsidRDefault="00711444" w:rsidP="00AA2A4C">
            <w:pPr>
              <w:pStyle w:val="TAC"/>
              <w:rPr>
                <w:lang w:eastAsia="en-US"/>
              </w:rPr>
            </w:pPr>
            <w:r w:rsidRPr="004D0DAA">
              <w:rPr>
                <w:lang w:eastAsia="en-US"/>
              </w:rPr>
              <w:t>5</w:t>
            </w:r>
          </w:p>
        </w:tc>
      </w:tr>
      <w:tr w:rsidR="00711444" w:rsidRPr="004D0DAA" w14:paraId="1AA875CA"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03D90C83" w14:textId="77777777" w:rsidR="00711444" w:rsidRPr="004D0DAA" w:rsidRDefault="00711444" w:rsidP="00AA2A4C">
            <w:pPr>
              <w:pStyle w:val="TAC"/>
              <w:rPr>
                <w:lang w:eastAsia="en-US"/>
              </w:rPr>
            </w:pPr>
            <w:r w:rsidRPr="004D0DAA">
              <w:rPr>
                <w:lang w:eastAsia="en-US"/>
              </w:rPr>
              <w:t>152</w:t>
            </w:r>
          </w:p>
        </w:tc>
        <w:tc>
          <w:tcPr>
            <w:tcW w:w="680" w:type="dxa"/>
            <w:tcBorders>
              <w:bottom w:val="single" w:sz="6" w:space="0" w:color="auto"/>
              <w:right w:val="single" w:sz="6" w:space="0" w:color="auto"/>
            </w:tcBorders>
          </w:tcPr>
          <w:p w14:paraId="38C1BC28"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7B5C17B4" w14:textId="77777777" w:rsidR="00711444" w:rsidRPr="004D0DAA" w:rsidRDefault="00711444" w:rsidP="00AA2A4C">
            <w:pPr>
              <w:pStyle w:val="TAC"/>
              <w:rPr>
                <w:lang w:eastAsia="en-US"/>
              </w:rPr>
            </w:pPr>
            <w:r w:rsidRPr="004D0DAA">
              <w:rPr>
                <w:lang w:eastAsia="en-US"/>
              </w:rPr>
              <w:t>153</w:t>
            </w:r>
          </w:p>
        </w:tc>
        <w:tc>
          <w:tcPr>
            <w:tcW w:w="680" w:type="dxa"/>
            <w:tcBorders>
              <w:bottom w:val="single" w:sz="6" w:space="0" w:color="auto"/>
              <w:right w:val="single" w:sz="6" w:space="0" w:color="auto"/>
            </w:tcBorders>
          </w:tcPr>
          <w:p w14:paraId="1706580B" w14:textId="77777777" w:rsidR="00711444" w:rsidRPr="004D0DAA" w:rsidRDefault="00711444" w:rsidP="00AA2A4C">
            <w:pPr>
              <w:pStyle w:val="TAC"/>
              <w:rPr>
                <w:lang w:eastAsia="en-US"/>
              </w:rPr>
            </w:pPr>
            <w:r w:rsidRPr="004D0DAA">
              <w:rPr>
                <w:lang w:eastAsia="en-US"/>
              </w:rPr>
              <w:t>4</w:t>
            </w:r>
          </w:p>
        </w:tc>
        <w:tc>
          <w:tcPr>
            <w:tcW w:w="680" w:type="dxa"/>
            <w:tcBorders>
              <w:left w:val="single" w:sz="6" w:space="0" w:color="auto"/>
              <w:bottom w:val="single" w:sz="6" w:space="0" w:color="auto"/>
            </w:tcBorders>
          </w:tcPr>
          <w:p w14:paraId="696C5704" w14:textId="77777777" w:rsidR="00711444" w:rsidRPr="004D0DAA" w:rsidRDefault="00711444" w:rsidP="00AA2A4C">
            <w:pPr>
              <w:pStyle w:val="TAC"/>
              <w:rPr>
                <w:lang w:eastAsia="en-US"/>
              </w:rPr>
            </w:pPr>
            <w:r w:rsidRPr="004D0DAA">
              <w:rPr>
                <w:lang w:eastAsia="en-US"/>
              </w:rPr>
              <w:t>154</w:t>
            </w:r>
          </w:p>
        </w:tc>
        <w:tc>
          <w:tcPr>
            <w:tcW w:w="680" w:type="dxa"/>
            <w:tcBorders>
              <w:bottom w:val="single" w:sz="6" w:space="0" w:color="auto"/>
              <w:right w:val="single" w:sz="6" w:space="0" w:color="auto"/>
            </w:tcBorders>
          </w:tcPr>
          <w:p w14:paraId="7C53170E" w14:textId="77777777" w:rsidR="00711444" w:rsidRPr="004D0DAA" w:rsidRDefault="00711444" w:rsidP="00AA2A4C">
            <w:pPr>
              <w:pStyle w:val="TAC"/>
              <w:rPr>
                <w:lang w:eastAsia="en-US"/>
              </w:rPr>
            </w:pPr>
            <w:r w:rsidRPr="004D0DAA">
              <w:rPr>
                <w:lang w:eastAsia="en-US"/>
              </w:rPr>
              <w:t>4</w:t>
            </w:r>
          </w:p>
        </w:tc>
      </w:tr>
      <w:tr w:rsidR="00711444" w:rsidRPr="004D0DAA" w14:paraId="4E858A2F"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4BBB8A0B" w14:textId="77777777" w:rsidR="00711444" w:rsidRPr="004D0DAA" w:rsidRDefault="00711444" w:rsidP="00AA2A4C">
            <w:pPr>
              <w:pStyle w:val="TAC"/>
              <w:rPr>
                <w:lang w:eastAsia="en-US"/>
              </w:rPr>
            </w:pPr>
            <w:r w:rsidRPr="004D0DAA">
              <w:rPr>
                <w:lang w:eastAsia="en-US"/>
              </w:rPr>
              <w:t>155</w:t>
            </w:r>
          </w:p>
        </w:tc>
        <w:tc>
          <w:tcPr>
            <w:tcW w:w="680" w:type="dxa"/>
            <w:tcBorders>
              <w:bottom w:val="single" w:sz="6" w:space="0" w:color="auto"/>
              <w:right w:val="single" w:sz="6" w:space="0" w:color="auto"/>
            </w:tcBorders>
          </w:tcPr>
          <w:p w14:paraId="74ABA2A8"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778BFEFD" w14:textId="77777777" w:rsidR="00711444" w:rsidRPr="004D0DAA" w:rsidRDefault="00711444" w:rsidP="00AA2A4C">
            <w:pPr>
              <w:pStyle w:val="TAC"/>
              <w:rPr>
                <w:lang w:eastAsia="en-US"/>
              </w:rPr>
            </w:pPr>
            <w:r w:rsidRPr="004D0DAA">
              <w:rPr>
                <w:lang w:eastAsia="en-US"/>
              </w:rPr>
              <w:t>156</w:t>
            </w:r>
          </w:p>
        </w:tc>
        <w:tc>
          <w:tcPr>
            <w:tcW w:w="680" w:type="dxa"/>
            <w:tcBorders>
              <w:bottom w:val="single" w:sz="6" w:space="0" w:color="auto"/>
              <w:right w:val="single" w:sz="6" w:space="0" w:color="auto"/>
            </w:tcBorders>
          </w:tcPr>
          <w:p w14:paraId="50C228C5" w14:textId="77777777" w:rsidR="00711444" w:rsidRPr="004D0DAA" w:rsidRDefault="00711444" w:rsidP="00AA2A4C">
            <w:pPr>
              <w:pStyle w:val="TAC"/>
              <w:rPr>
                <w:lang w:eastAsia="en-US"/>
              </w:rPr>
            </w:pPr>
            <w:r w:rsidRPr="004D0DAA">
              <w:rPr>
                <w:lang w:eastAsia="en-US"/>
              </w:rPr>
              <w:t>3</w:t>
            </w:r>
          </w:p>
        </w:tc>
        <w:tc>
          <w:tcPr>
            <w:tcW w:w="680" w:type="dxa"/>
            <w:tcBorders>
              <w:left w:val="single" w:sz="6" w:space="0" w:color="auto"/>
              <w:bottom w:val="single" w:sz="6" w:space="0" w:color="auto"/>
            </w:tcBorders>
          </w:tcPr>
          <w:p w14:paraId="43A2E6F5" w14:textId="77777777" w:rsidR="00711444" w:rsidRPr="004D0DAA" w:rsidRDefault="00711444" w:rsidP="00AA2A4C">
            <w:pPr>
              <w:pStyle w:val="TAC"/>
              <w:rPr>
                <w:lang w:eastAsia="en-US"/>
              </w:rPr>
            </w:pPr>
            <w:r w:rsidRPr="004D0DAA">
              <w:rPr>
                <w:lang w:eastAsia="en-US"/>
              </w:rPr>
              <w:t>157</w:t>
            </w:r>
          </w:p>
        </w:tc>
        <w:tc>
          <w:tcPr>
            <w:tcW w:w="680" w:type="dxa"/>
            <w:tcBorders>
              <w:bottom w:val="single" w:sz="6" w:space="0" w:color="auto"/>
              <w:right w:val="single" w:sz="6" w:space="0" w:color="auto"/>
            </w:tcBorders>
          </w:tcPr>
          <w:p w14:paraId="5B83133A" w14:textId="77777777" w:rsidR="00711444" w:rsidRPr="004D0DAA" w:rsidRDefault="00711444" w:rsidP="00AA2A4C">
            <w:pPr>
              <w:pStyle w:val="TAC"/>
              <w:rPr>
                <w:lang w:eastAsia="en-US"/>
              </w:rPr>
            </w:pPr>
            <w:r w:rsidRPr="004D0DAA">
              <w:rPr>
                <w:lang w:eastAsia="en-US"/>
              </w:rPr>
              <w:t>3</w:t>
            </w:r>
          </w:p>
        </w:tc>
      </w:tr>
      <w:tr w:rsidR="00711444" w:rsidRPr="004D0DAA" w14:paraId="45011EF9"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74131F69" w14:textId="77777777" w:rsidR="00711444" w:rsidRPr="004D0DAA" w:rsidRDefault="00711444" w:rsidP="00AA2A4C">
            <w:pPr>
              <w:pStyle w:val="TAC"/>
              <w:rPr>
                <w:lang w:eastAsia="en-US"/>
              </w:rPr>
            </w:pPr>
            <w:r w:rsidRPr="004D0DAA">
              <w:rPr>
                <w:lang w:eastAsia="en-US"/>
              </w:rPr>
              <w:t>158</w:t>
            </w:r>
          </w:p>
        </w:tc>
        <w:tc>
          <w:tcPr>
            <w:tcW w:w="680" w:type="dxa"/>
            <w:tcBorders>
              <w:bottom w:val="single" w:sz="6" w:space="0" w:color="auto"/>
              <w:right w:val="single" w:sz="6" w:space="0" w:color="auto"/>
            </w:tcBorders>
          </w:tcPr>
          <w:p w14:paraId="1CA90665" w14:textId="77777777" w:rsidR="00711444" w:rsidRPr="004D0DAA" w:rsidRDefault="00711444" w:rsidP="00AA2A4C">
            <w:pPr>
              <w:pStyle w:val="TAC"/>
              <w:rPr>
                <w:lang w:eastAsia="en-US"/>
              </w:rPr>
            </w:pPr>
            <w:r w:rsidRPr="004D0DAA">
              <w:rPr>
                <w:lang w:eastAsia="en-US"/>
              </w:rPr>
              <w:t>2</w:t>
            </w:r>
          </w:p>
        </w:tc>
        <w:tc>
          <w:tcPr>
            <w:tcW w:w="680" w:type="dxa"/>
            <w:tcBorders>
              <w:left w:val="single" w:sz="6" w:space="0" w:color="auto"/>
              <w:bottom w:val="single" w:sz="6" w:space="0" w:color="auto"/>
            </w:tcBorders>
          </w:tcPr>
          <w:p w14:paraId="1B66FEED" w14:textId="77777777" w:rsidR="00711444" w:rsidRPr="004D0DAA" w:rsidRDefault="00711444" w:rsidP="00AA2A4C">
            <w:pPr>
              <w:pStyle w:val="TAC"/>
              <w:rPr>
                <w:lang w:eastAsia="en-US"/>
              </w:rPr>
            </w:pPr>
            <w:r w:rsidRPr="004D0DAA">
              <w:rPr>
                <w:lang w:eastAsia="en-US"/>
              </w:rPr>
              <w:t>159</w:t>
            </w:r>
          </w:p>
        </w:tc>
        <w:tc>
          <w:tcPr>
            <w:tcW w:w="680" w:type="dxa"/>
            <w:tcBorders>
              <w:bottom w:val="single" w:sz="6" w:space="0" w:color="auto"/>
              <w:right w:val="single" w:sz="6" w:space="0" w:color="auto"/>
            </w:tcBorders>
          </w:tcPr>
          <w:p w14:paraId="594E8058" w14:textId="77777777" w:rsidR="00711444" w:rsidRPr="004D0DAA" w:rsidRDefault="00711444" w:rsidP="00AA2A4C">
            <w:pPr>
              <w:pStyle w:val="TAC"/>
              <w:rPr>
                <w:lang w:eastAsia="en-US"/>
              </w:rPr>
            </w:pPr>
            <w:r w:rsidRPr="004D0DAA">
              <w:rPr>
                <w:lang w:eastAsia="en-US"/>
              </w:rPr>
              <w:t>2</w:t>
            </w:r>
          </w:p>
        </w:tc>
        <w:tc>
          <w:tcPr>
            <w:tcW w:w="680" w:type="dxa"/>
            <w:tcBorders>
              <w:left w:val="single" w:sz="6" w:space="0" w:color="auto"/>
              <w:bottom w:val="single" w:sz="6" w:space="0" w:color="auto"/>
            </w:tcBorders>
          </w:tcPr>
          <w:p w14:paraId="339E9D4A" w14:textId="77777777" w:rsidR="00711444" w:rsidRPr="004D0DAA" w:rsidRDefault="00711444" w:rsidP="00AA2A4C">
            <w:pPr>
              <w:pStyle w:val="TAC"/>
              <w:rPr>
                <w:lang w:eastAsia="en-US"/>
              </w:rPr>
            </w:pPr>
            <w:r w:rsidRPr="004D0DAA">
              <w:rPr>
                <w:lang w:eastAsia="en-US"/>
              </w:rPr>
              <w:t>160</w:t>
            </w:r>
          </w:p>
        </w:tc>
        <w:tc>
          <w:tcPr>
            <w:tcW w:w="680" w:type="dxa"/>
            <w:tcBorders>
              <w:bottom w:val="single" w:sz="6" w:space="0" w:color="auto"/>
              <w:right w:val="single" w:sz="6" w:space="0" w:color="auto"/>
            </w:tcBorders>
          </w:tcPr>
          <w:p w14:paraId="6704FA3F" w14:textId="77777777" w:rsidR="00711444" w:rsidRPr="004D0DAA" w:rsidRDefault="00711444" w:rsidP="00AA2A4C">
            <w:pPr>
              <w:pStyle w:val="TAC"/>
              <w:rPr>
                <w:lang w:eastAsia="en-US"/>
              </w:rPr>
            </w:pPr>
            <w:r w:rsidRPr="004D0DAA">
              <w:rPr>
                <w:lang w:eastAsia="en-US"/>
              </w:rPr>
              <w:t>2</w:t>
            </w:r>
          </w:p>
        </w:tc>
      </w:tr>
      <w:tr w:rsidR="00711444" w:rsidRPr="004D0DAA" w14:paraId="4DBB325B"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570E195C" w14:textId="77777777" w:rsidR="00711444" w:rsidRPr="004D0DAA" w:rsidRDefault="00711444" w:rsidP="00AA2A4C">
            <w:pPr>
              <w:pStyle w:val="TAC"/>
              <w:rPr>
                <w:lang w:eastAsia="en-US"/>
              </w:rPr>
            </w:pPr>
            <w:r w:rsidRPr="004D0DAA">
              <w:rPr>
                <w:lang w:eastAsia="en-US"/>
              </w:rPr>
              <w:t>161</w:t>
            </w:r>
          </w:p>
        </w:tc>
        <w:tc>
          <w:tcPr>
            <w:tcW w:w="680" w:type="dxa"/>
            <w:tcBorders>
              <w:bottom w:val="single" w:sz="6" w:space="0" w:color="auto"/>
              <w:right w:val="single" w:sz="6" w:space="0" w:color="auto"/>
            </w:tcBorders>
          </w:tcPr>
          <w:p w14:paraId="52EFD5A2" w14:textId="77777777" w:rsidR="00711444" w:rsidRPr="004D0DAA" w:rsidRDefault="00711444" w:rsidP="00AA2A4C">
            <w:pPr>
              <w:pStyle w:val="TAC"/>
              <w:rPr>
                <w:lang w:eastAsia="en-US"/>
              </w:rPr>
            </w:pPr>
            <w:r w:rsidRPr="004D0DAA">
              <w:rPr>
                <w:lang w:eastAsia="en-US"/>
              </w:rPr>
              <w:t>1</w:t>
            </w:r>
          </w:p>
        </w:tc>
        <w:tc>
          <w:tcPr>
            <w:tcW w:w="680" w:type="dxa"/>
            <w:tcBorders>
              <w:left w:val="single" w:sz="6" w:space="0" w:color="auto"/>
              <w:bottom w:val="single" w:sz="6" w:space="0" w:color="auto"/>
            </w:tcBorders>
          </w:tcPr>
          <w:p w14:paraId="55E38151" w14:textId="77777777" w:rsidR="00711444" w:rsidRPr="004D0DAA" w:rsidRDefault="00711444" w:rsidP="00AA2A4C">
            <w:pPr>
              <w:pStyle w:val="TAC"/>
              <w:rPr>
                <w:lang w:eastAsia="en-US"/>
              </w:rPr>
            </w:pPr>
            <w:r w:rsidRPr="004D0DAA">
              <w:rPr>
                <w:lang w:eastAsia="en-US"/>
              </w:rPr>
              <w:t>162</w:t>
            </w:r>
          </w:p>
        </w:tc>
        <w:tc>
          <w:tcPr>
            <w:tcW w:w="680" w:type="dxa"/>
            <w:tcBorders>
              <w:bottom w:val="single" w:sz="6" w:space="0" w:color="auto"/>
              <w:right w:val="single" w:sz="6" w:space="0" w:color="auto"/>
            </w:tcBorders>
          </w:tcPr>
          <w:p w14:paraId="13E4D59F" w14:textId="77777777" w:rsidR="00711444" w:rsidRPr="004D0DAA" w:rsidRDefault="00711444" w:rsidP="00AA2A4C">
            <w:pPr>
              <w:pStyle w:val="TAC"/>
              <w:rPr>
                <w:lang w:eastAsia="en-US"/>
              </w:rPr>
            </w:pPr>
            <w:r w:rsidRPr="004D0DAA">
              <w:rPr>
                <w:lang w:eastAsia="en-US"/>
              </w:rPr>
              <w:t>1</w:t>
            </w:r>
          </w:p>
        </w:tc>
        <w:tc>
          <w:tcPr>
            <w:tcW w:w="680" w:type="dxa"/>
            <w:tcBorders>
              <w:left w:val="single" w:sz="6" w:space="0" w:color="auto"/>
              <w:bottom w:val="single" w:sz="6" w:space="0" w:color="auto"/>
            </w:tcBorders>
          </w:tcPr>
          <w:p w14:paraId="4CE3FC65" w14:textId="77777777" w:rsidR="00711444" w:rsidRPr="004D0DAA" w:rsidRDefault="00711444" w:rsidP="00AA2A4C">
            <w:pPr>
              <w:pStyle w:val="TAC"/>
              <w:rPr>
                <w:lang w:eastAsia="en-US"/>
              </w:rPr>
            </w:pPr>
            <w:r w:rsidRPr="004D0DAA">
              <w:rPr>
                <w:lang w:eastAsia="en-US"/>
              </w:rPr>
              <w:t>163</w:t>
            </w:r>
          </w:p>
        </w:tc>
        <w:tc>
          <w:tcPr>
            <w:tcW w:w="680" w:type="dxa"/>
            <w:tcBorders>
              <w:bottom w:val="single" w:sz="6" w:space="0" w:color="auto"/>
              <w:right w:val="single" w:sz="6" w:space="0" w:color="auto"/>
            </w:tcBorders>
          </w:tcPr>
          <w:p w14:paraId="61567B0B" w14:textId="77777777" w:rsidR="00711444" w:rsidRPr="004D0DAA" w:rsidRDefault="00711444" w:rsidP="00AA2A4C">
            <w:pPr>
              <w:pStyle w:val="TAC"/>
              <w:rPr>
                <w:lang w:eastAsia="en-US"/>
              </w:rPr>
            </w:pPr>
            <w:r w:rsidRPr="004D0DAA">
              <w:rPr>
                <w:lang w:eastAsia="en-US"/>
              </w:rPr>
              <w:t>1</w:t>
            </w:r>
          </w:p>
        </w:tc>
      </w:tr>
      <w:tr w:rsidR="00711444" w:rsidRPr="004D0DAA" w14:paraId="79F1DE4A" w14:textId="77777777" w:rsidTr="00AA2A4C">
        <w:tblPrEx>
          <w:tblCellMar>
            <w:top w:w="0" w:type="dxa"/>
            <w:bottom w:w="0" w:type="dxa"/>
          </w:tblCellMar>
        </w:tblPrEx>
        <w:trPr>
          <w:cantSplit/>
          <w:jc w:val="center"/>
        </w:trPr>
        <w:tc>
          <w:tcPr>
            <w:tcW w:w="680" w:type="dxa"/>
            <w:tcBorders>
              <w:left w:val="single" w:sz="6" w:space="0" w:color="auto"/>
              <w:bottom w:val="single" w:sz="6" w:space="0" w:color="auto"/>
            </w:tcBorders>
          </w:tcPr>
          <w:p w14:paraId="2187B357" w14:textId="77777777" w:rsidR="00711444" w:rsidRPr="004D0DAA" w:rsidRDefault="00711444" w:rsidP="00AA2A4C">
            <w:pPr>
              <w:pStyle w:val="TAC"/>
              <w:rPr>
                <w:lang w:eastAsia="en-US"/>
              </w:rPr>
            </w:pPr>
            <w:r w:rsidRPr="004D0DAA">
              <w:rPr>
                <w:lang w:eastAsia="en-US"/>
              </w:rPr>
              <w:t>164</w:t>
            </w:r>
          </w:p>
        </w:tc>
        <w:tc>
          <w:tcPr>
            <w:tcW w:w="680" w:type="dxa"/>
            <w:tcBorders>
              <w:bottom w:val="single" w:sz="6" w:space="0" w:color="auto"/>
              <w:right w:val="single" w:sz="6" w:space="0" w:color="auto"/>
            </w:tcBorders>
          </w:tcPr>
          <w:p w14:paraId="6DF7C1C2" w14:textId="77777777" w:rsidR="00711444" w:rsidRPr="004D0DAA" w:rsidRDefault="00711444" w:rsidP="00AA2A4C">
            <w:pPr>
              <w:pStyle w:val="TAC"/>
              <w:rPr>
                <w:lang w:eastAsia="en-US"/>
              </w:rPr>
            </w:pPr>
            <w:r w:rsidRPr="004D0DAA">
              <w:rPr>
                <w:lang w:eastAsia="en-US"/>
              </w:rPr>
              <w:t>0</w:t>
            </w:r>
          </w:p>
        </w:tc>
        <w:tc>
          <w:tcPr>
            <w:tcW w:w="680" w:type="dxa"/>
            <w:tcBorders>
              <w:left w:val="single" w:sz="6" w:space="0" w:color="auto"/>
              <w:bottom w:val="single" w:sz="6" w:space="0" w:color="auto"/>
            </w:tcBorders>
          </w:tcPr>
          <w:p w14:paraId="54D10F4F" w14:textId="77777777" w:rsidR="00711444" w:rsidRPr="004D0DAA" w:rsidRDefault="00711444" w:rsidP="00AA2A4C"/>
        </w:tc>
        <w:tc>
          <w:tcPr>
            <w:tcW w:w="680" w:type="dxa"/>
            <w:tcBorders>
              <w:bottom w:val="single" w:sz="6" w:space="0" w:color="auto"/>
              <w:right w:val="single" w:sz="6" w:space="0" w:color="auto"/>
            </w:tcBorders>
          </w:tcPr>
          <w:p w14:paraId="73452FD3" w14:textId="77777777" w:rsidR="00711444" w:rsidRPr="004D0DAA" w:rsidRDefault="00711444" w:rsidP="00AA2A4C"/>
        </w:tc>
        <w:tc>
          <w:tcPr>
            <w:tcW w:w="680" w:type="dxa"/>
            <w:tcBorders>
              <w:left w:val="single" w:sz="6" w:space="0" w:color="auto"/>
              <w:bottom w:val="single" w:sz="6" w:space="0" w:color="auto"/>
            </w:tcBorders>
          </w:tcPr>
          <w:p w14:paraId="4048A198" w14:textId="77777777" w:rsidR="00711444" w:rsidRPr="004D0DAA" w:rsidRDefault="00711444" w:rsidP="00AA2A4C"/>
        </w:tc>
        <w:tc>
          <w:tcPr>
            <w:tcW w:w="680" w:type="dxa"/>
            <w:tcBorders>
              <w:bottom w:val="single" w:sz="6" w:space="0" w:color="auto"/>
              <w:right w:val="single" w:sz="6" w:space="0" w:color="auto"/>
            </w:tcBorders>
          </w:tcPr>
          <w:p w14:paraId="3D6C2C72" w14:textId="77777777" w:rsidR="00711444" w:rsidRPr="004D0DAA" w:rsidRDefault="00711444" w:rsidP="00AA2A4C">
            <w:pPr>
              <w:pStyle w:val="TAC"/>
              <w:rPr>
                <w:lang w:eastAsia="en-US"/>
              </w:rPr>
            </w:pPr>
          </w:p>
        </w:tc>
      </w:tr>
    </w:tbl>
    <w:p w14:paraId="4EE9A4A8" w14:textId="77777777" w:rsidR="00711444" w:rsidRPr="004D0DAA" w:rsidRDefault="00711444" w:rsidP="00711444">
      <w:pPr>
        <w:pStyle w:val="TAC"/>
      </w:pPr>
    </w:p>
    <w:p w14:paraId="745EB0E5" w14:textId="77777777" w:rsidR="00711444" w:rsidRPr="004D0DAA" w:rsidRDefault="00711444" w:rsidP="00711444">
      <w:pPr>
        <w:pStyle w:val="TF"/>
        <w:keepLines w:val="0"/>
      </w:pPr>
      <w:r w:rsidRPr="004D0DAA">
        <w:t>Figure F.3: Example 3</w:t>
      </w:r>
    </w:p>
    <w:p w14:paraId="6FB548A9" w14:textId="77777777" w:rsidR="00711444" w:rsidRPr="004D0DAA" w:rsidRDefault="00711444" w:rsidP="00711444">
      <w:pPr>
        <w:pStyle w:val="Heading8"/>
        <w:keepNext w:val="0"/>
        <w:keepLines w:val="0"/>
      </w:pPr>
      <w:r w:rsidRPr="004D0DAA">
        <w:br w:type="page"/>
      </w:r>
      <w:bookmarkStart w:id="904" w:name="_Toc516670073"/>
      <w:r w:rsidRPr="004D0DAA">
        <w:lastRenderedPageBreak/>
        <w:t>Annex G (informative):</w:t>
      </w:r>
      <w:r w:rsidRPr="004D0DAA">
        <w:br/>
        <w:t>Handling of erroneous protocol data, examples</w:t>
      </w:r>
      <w:bookmarkEnd w:id="904"/>
    </w:p>
    <w:p w14:paraId="18B164D2" w14:textId="77777777" w:rsidR="00711444" w:rsidRPr="004D0DAA" w:rsidRDefault="00711444" w:rsidP="00711444">
      <w:r w:rsidRPr="004D0DAA">
        <w:t>Procedures for the handling of erroneous protocol data are defined in sub-clause 11.1. These procedures define error labels for the treatment of syntactical errors in a received message.</w:t>
      </w:r>
    </w:p>
    <w:p w14:paraId="687595A4" w14:textId="77777777" w:rsidR="00711444" w:rsidRPr="004D0DAA" w:rsidRDefault="00711444" w:rsidP="00711444">
      <w:pPr>
        <w:pStyle w:val="Heading2"/>
      </w:pPr>
      <w:bookmarkStart w:id="905" w:name="_Toc516670074"/>
      <w:r w:rsidRPr="004D0DAA">
        <w:t>G.1</w:t>
      </w:r>
      <w:r w:rsidRPr="004D0DAA">
        <w:tab/>
        <w:t>Application of error labels</w:t>
      </w:r>
      <w:bookmarkEnd w:id="905"/>
    </w:p>
    <w:p w14:paraId="01FAAE1E" w14:textId="77777777" w:rsidR="00711444" w:rsidRPr="004D0DAA" w:rsidRDefault="00711444" w:rsidP="00711444">
      <w:r w:rsidRPr="004D0DAA">
        <w:t>An RLC/MAC control message description could have an error label included, as shown in the examples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A883363" w14:textId="77777777" w:rsidTr="00AA2A4C">
        <w:tblPrEx>
          <w:tblCellMar>
            <w:top w:w="0" w:type="dxa"/>
            <w:bottom w:w="0" w:type="dxa"/>
          </w:tblCellMar>
        </w:tblPrEx>
        <w:trPr>
          <w:cantSplit/>
        </w:trPr>
        <w:tc>
          <w:tcPr>
            <w:tcW w:w="9848" w:type="dxa"/>
          </w:tcPr>
          <w:p w14:paraId="08F659D7" w14:textId="77777777" w:rsidR="00711444" w:rsidRPr="004D0DAA" w:rsidRDefault="00711444" w:rsidP="00AA2A4C">
            <w:pPr>
              <w:pStyle w:val="TAL"/>
              <w:rPr>
                <w:lang w:eastAsia="en-US"/>
              </w:rPr>
            </w:pPr>
            <w:r w:rsidRPr="004D0DAA">
              <w:rPr>
                <w:lang w:eastAsia="en-US"/>
              </w:rPr>
              <w:t>&lt; Packet XXX message content &gt; ::=</w:t>
            </w:r>
          </w:p>
          <w:p w14:paraId="6DE155A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FIELD_1</w:t>
            </w:r>
            <w:r w:rsidRPr="004D0DAA">
              <w:rPr>
                <w:lang w:eastAsia="en-US"/>
              </w:rPr>
              <w:t> : bit (3) &gt;</w:t>
            </w:r>
          </w:p>
          <w:p w14:paraId="789F3873"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FIELD_2</w:t>
            </w:r>
            <w:r w:rsidRPr="004D0DAA">
              <w:rPr>
                <w:lang w:eastAsia="en-US"/>
              </w:rPr>
              <w:t> : bit (16) &gt;</w:t>
            </w:r>
          </w:p>
          <w:p w14:paraId="0F459A94" w14:textId="77777777" w:rsidR="00711444" w:rsidRPr="004D0DAA" w:rsidRDefault="00711444" w:rsidP="00AA2A4C">
            <w:pPr>
              <w:pStyle w:val="TAL"/>
              <w:rPr>
                <w:lang w:eastAsia="en-US"/>
              </w:rPr>
            </w:pPr>
            <w:r w:rsidRPr="004D0DAA">
              <w:rPr>
                <w:lang w:eastAsia="en-US"/>
              </w:rPr>
              <w:tab/>
              <w:t>...</w:t>
            </w:r>
          </w:p>
          <w:p w14:paraId="7C47CA8C" w14:textId="77777777" w:rsidR="00711444" w:rsidRPr="004D0DAA" w:rsidRDefault="00711444" w:rsidP="00AA2A4C">
            <w:pPr>
              <w:pStyle w:val="TAL"/>
              <w:rPr>
                <w:lang w:eastAsia="en-US"/>
              </w:rPr>
            </w:pPr>
            <w:r w:rsidRPr="004D0DAA">
              <w:rPr>
                <w:lang w:eastAsia="en-US"/>
              </w:rPr>
              <w:tab/>
              <w:t>&lt; padding bits &gt;</w:t>
            </w:r>
          </w:p>
          <w:p w14:paraId="69325232" w14:textId="77777777" w:rsidR="00711444" w:rsidRPr="004D0DAA" w:rsidRDefault="00711444" w:rsidP="00AA2A4C">
            <w:pPr>
              <w:pStyle w:val="TAL"/>
              <w:rPr>
                <w:lang w:eastAsia="en-US"/>
              </w:rPr>
            </w:pPr>
            <w:r w:rsidRPr="004D0DAA">
              <w:rPr>
                <w:lang w:eastAsia="en-US"/>
              </w:rPr>
              <w:tab/>
              <w:t>!</w:t>
            </w:r>
            <w:r w:rsidRPr="004D0DAA">
              <w:rPr>
                <w:lang w:eastAsia="en-US"/>
              </w:rPr>
              <w:tab/>
              <w:t>&lt; Ignore : bit (*) = &lt; no string &gt; &gt; ;</w:t>
            </w:r>
          </w:p>
        </w:tc>
      </w:tr>
    </w:tbl>
    <w:p w14:paraId="66283408" w14:textId="77777777" w:rsidR="00711444" w:rsidRPr="004D0DAA" w:rsidRDefault="00711444" w:rsidP="00711444"/>
    <w:p w14:paraId="2F60F34B" w14:textId="77777777" w:rsidR="00711444" w:rsidRPr="004D0DAA" w:rsidRDefault="00711444" w:rsidP="00711444">
      <w:r w:rsidRPr="004D0DAA">
        <w:t>In the case of a complete message, the contents of the received syntactically incorrect message can be ignored.</w:t>
      </w:r>
    </w:p>
    <w:p w14:paraId="35625CAA" w14:textId="77777777" w:rsidR="00711444" w:rsidRPr="004D0DAA" w:rsidRDefault="00711444" w:rsidP="00711444">
      <w:r w:rsidRPr="004D0DAA">
        <w: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10B721B" w14:textId="77777777" w:rsidTr="00AA2A4C">
        <w:tblPrEx>
          <w:tblCellMar>
            <w:top w:w="0" w:type="dxa"/>
            <w:bottom w:w="0" w:type="dxa"/>
          </w:tblCellMar>
        </w:tblPrEx>
        <w:trPr>
          <w:cantSplit/>
        </w:trPr>
        <w:tc>
          <w:tcPr>
            <w:tcW w:w="9848" w:type="dxa"/>
          </w:tcPr>
          <w:p w14:paraId="1989A620"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PRECEDING_FIELD</w:t>
            </w:r>
            <w:r w:rsidRPr="004D0DAA">
              <w:rPr>
                <w:lang w:eastAsia="en-US"/>
              </w:rPr>
              <w:t> : bit (3) &gt;</w:t>
            </w:r>
          </w:p>
          <w:p w14:paraId="50B6CE39" w14:textId="77777777" w:rsidR="00711444" w:rsidRPr="004D0DAA" w:rsidRDefault="00711444" w:rsidP="00AA2A4C">
            <w:pPr>
              <w:pStyle w:val="TAL"/>
              <w:rPr>
                <w:lang w:eastAsia="en-US"/>
              </w:rPr>
            </w:pPr>
            <w:r w:rsidRPr="004D0DAA">
              <w:rPr>
                <w:lang w:eastAsia="en-US"/>
              </w:rPr>
              <w:tab/>
              <w:t>...</w:t>
            </w:r>
          </w:p>
          <w:p w14:paraId="10124E2E" w14:textId="77777777" w:rsidR="00711444" w:rsidRPr="004D0DAA" w:rsidRDefault="00711444" w:rsidP="00AA2A4C">
            <w:pPr>
              <w:pStyle w:val="TAL"/>
              <w:rPr>
                <w:lang w:eastAsia="en-US"/>
              </w:rPr>
            </w:pPr>
            <w:r w:rsidRPr="004D0DAA">
              <w:rPr>
                <w:lang w:eastAsia="en-US"/>
              </w:rPr>
              <w:tab/>
              <w:t>{ 00</w:t>
            </w:r>
            <w:r w:rsidRPr="004D0DAA">
              <w:rPr>
                <w:lang w:eastAsia="en-US"/>
              </w:rPr>
              <w:tab/>
              <w:t xml:space="preserve">&lt; </w:t>
            </w:r>
            <w:r w:rsidRPr="004D0DAA">
              <w:rPr>
                <w:b/>
                <w:lang w:eastAsia="en-US"/>
              </w:rPr>
              <w:t>FIELD_1</w:t>
            </w:r>
            <w:r w:rsidRPr="004D0DAA">
              <w:rPr>
                <w:lang w:eastAsia="en-US"/>
              </w:rPr>
              <w:t xml:space="preserve"> : bit (10) &gt;</w:t>
            </w:r>
          </w:p>
          <w:p w14:paraId="294DFCA6" w14:textId="77777777" w:rsidR="00711444" w:rsidRPr="004D0DAA" w:rsidRDefault="00711444" w:rsidP="00AA2A4C">
            <w:pPr>
              <w:pStyle w:val="TAL"/>
              <w:rPr>
                <w:lang w:eastAsia="en-US"/>
              </w:rPr>
            </w:pPr>
            <w:r w:rsidRPr="004D0DAA">
              <w:rPr>
                <w:lang w:eastAsia="en-US"/>
              </w:rPr>
              <w:tab/>
              <w:t>| 01</w:t>
            </w:r>
            <w:r w:rsidRPr="004D0DAA">
              <w:rPr>
                <w:lang w:eastAsia="en-US"/>
              </w:rPr>
              <w:tab/>
              <w:t xml:space="preserve">&lt; </w:t>
            </w:r>
            <w:r w:rsidRPr="004D0DAA">
              <w:rPr>
                <w:b/>
                <w:lang w:eastAsia="en-US"/>
              </w:rPr>
              <w:t>FIELD_2</w:t>
            </w:r>
            <w:r w:rsidRPr="004D0DAA">
              <w:rPr>
                <w:lang w:eastAsia="en-US"/>
              </w:rPr>
              <w:t xml:space="preserve"> : bit (10) &gt;</w:t>
            </w:r>
          </w:p>
          <w:p w14:paraId="2FE24027" w14:textId="77777777" w:rsidR="00711444" w:rsidRPr="004D0DAA" w:rsidRDefault="00711444" w:rsidP="00AA2A4C">
            <w:pPr>
              <w:pStyle w:val="TAL"/>
              <w:rPr>
                <w:lang w:eastAsia="en-US"/>
              </w:rPr>
            </w:pPr>
            <w:r w:rsidRPr="004D0DAA">
              <w:rPr>
                <w:lang w:eastAsia="en-US"/>
              </w:rPr>
              <w:tab/>
              <w:t>!</w:t>
            </w:r>
            <w:r w:rsidRPr="004D0DAA">
              <w:rPr>
                <w:lang w:eastAsia="en-US"/>
              </w:rPr>
              <w:tab/>
              <w:t>&lt; Ignore : bit (2+10) = &lt; no string &gt; &gt; }</w:t>
            </w:r>
          </w:p>
          <w:p w14:paraId="15C3D576" w14:textId="77777777" w:rsidR="00711444" w:rsidRPr="004D0DAA" w:rsidRDefault="00711444" w:rsidP="00AA2A4C">
            <w:pPr>
              <w:pStyle w:val="TAL"/>
              <w:rPr>
                <w:lang w:eastAsia="en-US"/>
              </w:rPr>
            </w:pPr>
            <w:r w:rsidRPr="004D0DAA">
              <w:rPr>
                <w:lang w:eastAsia="en-US"/>
              </w:rPr>
              <w:tab/>
              <w:t>...</w:t>
            </w:r>
          </w:p>
          <w:p w14:paraId="14E0D9AD"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FOLLOWING_</w:t>
            </w:r>
            <w:r w:rsidRPr="004D0DAA">
              <w:rPr>
                <w:lang w:eastAsia="en-US"/>
              </w:rPr>
              <w:t>FIELD : bit (8) &gt;</w:t>
            </w:r>
          </w:p>
        </w:tc>
      </w:tr>
    </w:tbl>
    <w:p w14:paraId="7F252862" w14:textId="77777777" w:rsidR="00711444" w:rsidRPr="004D0DAA" w:rsidRDefault="00711444" w:rsidP="00711444"/>
    <w:p w14:paraId="4F8B28BE" w14:textId="77777777" w:rsidR="00711444" w:rsidRPr="004D0DAA" w:rsidRDefault="00711444" w:rsidP="00711444">
      <w:r w:rsidRPr="004D0DAA">
        <w:t>The syntactically incorrect description within the { } brackets can be ignored, the correctly received descriptions preceding and following the { } brackets shall be accepted.</w:t>
      </w:r>
    </w:p>
    <w:p w14:paraId="28A6E5A7" w14:textId="77777777" w:rsidR="00711444" w:rsidRPr="004D0DAA" w:rsidRDefault="00711444" w:rsidP="00711444">
      <w:r w:rsidRPr="004D0DAA">
        <w: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26F0E12" w14:textId="77777777" w:rsidTr="00AA2A4C">
        <w:tblPrEx>
          <w:tblCellMar>
            <w:top w:w="0" w:type="dxa"/>
            <w:bottom w:w="0" w:type="dxa"/>
          </w:tblCellMar>
        </w:tblPrEx>
        <w:trPr>
          <w:cantSplit/>
        </w:trPr>
        <w:tc>
          <w:tcPr>
            <w:tcW w:w="9848" w:type="dxa"/>
          </w:tcPr>
          <w:p w14:paraId="25C50F56" w14:textId="77777777" w:rsidR="00711444" w:rsidRPr="004D0DAA" w:rsidRDefault="00711444" w:rsidP="00AA2A4C">
            <w:pPr>
              <w:pStyle w:val="TAL"/>
              <w:rPr>
                <w:lang w:eastAsia="en-US"/>
              </w:rPr>
            </w:pPr>
            <w:r w:rsidRPr="004D0DAA">
              <w:rPr>
                <w:lang w:eastAsia="en-US"/>
              </w:rPr>
              <w:t>&lt; Structure 1 struct &gt; ::=</w:t>
            </w:r>
          </w:p>
          <w:p w14:paraId="13EA1DA7"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FIELD_1</w:t>
            </w:r>
            <w:r w:rsidRPr="004D0DAA">
              <w:rPr>
                <w:lang w:eastAsia="en-US"/>
              </w:rPr>
              <w:t>: bit (3) &gt;</w:t>
            </w:r>
          </w:p>
          <w:p w14:paraId="1780471E" w14:textId="77777777" w:rsidR="00711444" w:rsidRPr="004D0DAA" w:rsidRDefault="00711444" w:rsidP="00AA2A4C">
            <w:pPr>
              <w:pStyle w:val="TAL"/>
              <w:rPr>
                <w:lang w:eastAsia="en-US"/>
              </w:rPr>
            </w:pPr>
            <w:r w:rsidRPr="004D0DAA">
              <w:rPr>
                <w:lang w:eastAsia="en-US"/>
              </w:rPr>
              <w:tab/>
              <w:t xml:space="preserve">{ 1 &lt; </w:t>
            </w:r>
            <w:r w:rsidRPr="004D0DAA">
              <w:rPr>
                <w:b/>
                <w:lang w:eastAsia="en-US"/>
              </w:rPr>
              <w:t>FIELD_2</w:t>
            </w:r>
            <w:r w:rsidRPr="004D0DAA">
              <w:rPr>
                <w:lang w:eastAsia="en-US"/>
              </w:rPr>
              <w:t xml:space="preserve"> : bit (8) &gt; } ** 0</w:t>
            </w:r>
          </w:p>
          <w:p w14:paraId="2F350D43" w14:textId="77777777" w:rsidR="00711444" w:rsidRPr="004D0DAA" w:rsidRDefault="00711444" w:rsidP="00AA2A4C">
            <w:pPr>
              <w:pStyle w:val="TAL"/>
              <w:rPr>
                <w:lang w:eastAsia="en-US"/>
              </w:rPr>
            </w:pPr>
            <w:r w:rsidRPr="004D0DAA">
              <w:rPr>
                <w:lang w:eastAsia="en-US"/>
              </w:rPr>
              <w:tab/>
              <w:t>...</w:t>
            </w:r>
          </w:p>
          <w:p w14:paraId="214A8222" w14:textId="77777777" w:rsidR="00711444" w:rsidRPr="004D0DAA" w:rsidRDefault="00711444" w:rsidP="00AA2A4C">
            <w:pPr>
              <w:pStyle w:val="TAL"/>
              <w:rPr>
                <w:lang w:eastAsia="en-US"/>
              </w:rPr>
            </w:pPr>
            <w:r w:rsidRPr="004D0DAA">
              <w:rPr>
                <w:lang w:eastAsia="en-US"/>
              </w:rPr>
              <w:tab/>
              <w:t>!</w:t>
            </w:r>
            <w:r w:rsidRPr="004D0DAA">
              <w:rPr>
                <w:lang w:eastAsia="en-US"/>
              </w:rPr>
              <w:tab/>
              <w:t>&lt; Ignore : bit (*) = &lt; no string &gt; &gt; ;</w:t>
            </w:r>
          </w:p>
        </w:tc>
      </w:tr>
    </w:tbl>
    <w:p w14:paraId="397B9976" w14:textId="77777777" w:rsidR="00711444" w:rsidRPr="004D0DAA" w:rsidRDefault="00711444" w:rsidP="00711444"/>
    <w:p w14:paraId="55BB244D" w14:textId="77777777" w:rsidR="00711444" w:rsidRPr="004D0DAA" w:rsidRDefault="00711444" w:rsidP="00711444">
      <w:r w:rsidRPr="004D0DAA">
        <w:t>The above description indicates that the syntactically incorrect structure can be ignored. (Note: When this structure is included in the description of a message, any description following the structure must allow truncation.)</w:t>
      </w:r>
    </w:p>
    <w:p w14:paraId="076C6F0D" w14:textId="77777777" w:rsidR="00711444" w:rsidRPr="004D0DAA" w:rsidRDefault="00711444" w:rsidP="00711444">
      <w:pPr>
        <w:pStyle w:val="Heading2"/>
      </w:pPr>
      <w:r w:rsidRPr="004D0DAA">
        <w:br w:type="page"/>
      </w:r>
      <w:bookmarkStart w:id="906" w:name="_Toc516670075"/>
      <w:r w:rsidRPr="004D0DAA">
        <w:lastRenderedPageBreak/>
        <w:t>G.2</w:t>
      </w:r>
      <w:r w:rsidRPr="004D0DAA">
        <w:tab/>
        <w:t>Application of the 'Message escape' error label</w:t>
      </w:r>
      <w:bookmarkEnd w:id="906"/>
    </w:p>
    <w:p w14:paraId="65ECE75D" w14:textId="77777777" w:rsidR="00711444" w:rsidRPr="004D0DAA" w:rsidRDefault="00711444" w:rsidP="00711444">
      <w:r w:rsidRPr="004D0DAA">
        <w:t>The 'Message escape' branch protects the comprehension of the description following bit '0', as shown in the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33497E4" w14:textId="77777777" w:rsidTr="00AA2A4C">
        <w:tblPrEx>
          <w:tblCellMar>
            <w:top w:w="0" w:type="dxa"/>
            <w:bottom w:w="0" w:type="dxa"/>
          </w:tblCellMar>
        </w:tblPrEx>
        <w:trPr>
          <w:cantSplit/>
        </w:trPr>
        <w:tc>
          <w:tcPr>
            <w:tcW w:w="9848" w:type="dxa"/>
          </w:tcPr>
          <w:p w14:paraId="4C74C9FA" w14:textId="77777777" w:rsidR="00711444" w:rsidRPr="004D0DAA" w:rsidRDefault="00711444" w:rsidP="00AA2A4C">
            <w:pPr>
              <w:pStyle w:val="TAL"/>
              <w:rPr>
                <w:lang w:eastAsia="en-US"/>
              </w:rPr>
            </w:pPr>
            <w:r w:rsidRPr="004D0DAA">
              <w:rPr>
                <w:lang w:eastAsia="en-US"/>
              </w:rPr>
              <w:t>&lt; Packet YYY message content &gt; ::=</w:t>
            </w:r>
            <w:r w:rsidRPr="004D0DAA">
              <w:rPr>
                <w:lang w:eastAsia="en-US"/>
              </w:rPr>
              <w:tab/>
              <w:t xml:space="preserve">-- </w:t>
            </w:r>
            <w:r w:rsidRPr="004D0DAA">
              <w:rPr>
                <w:i/>
                <w:lang w:eastAsia="en-US"/>
              </w:rPr>
              <w:t>Protocol version 1</w:t>
            </w:r>
          </w:p>
          <w:p w14:paraId="37756AF1"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FIELD_1</w:t>
            </w:r>
            <w:r w:rsidRPr="004D0DAA">
              <w:rPr>
                <w:lang w:eastAsia="en-US"/>
              </w:rPr>
              <w:t> : bit (3) &gt;</w:t>
            </w:r>
          </w:p>
          <w:p w14:paraId="2E946157"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FIELD_2</w:t>
            </w:r>
            <w:r w:rsidRPr="004D0DAA">
              <w:rPr>
                <w:lang w:eastAsia="en-US"/>
              </w:rPr>
              <w:t> : bit (16) &gt;</w:t>
            </w:r>
          </w:p>
          <w:p w14:paraId="0D670C84"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4557E97D"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58A52977" w14:textId="77777777" w:rsidR="00711444" w:rsidRPr="004D0DAA" w:rsidRDefault="00711444" w:rsidP="00AA2A4C">
            <w:pPr>
              <w:pStyle w:val="TAL"/>
              <w:rPr>
                <w:lang w:eastAsia="en-US"/>
              </w:rPr>
            </w:pPr>
            <w:r w:rsidRPr="004D0DAA">
              <w:rPr>
                <w:lang w:eastAsia="en-US"/>
              </w:rPr>
              <w:tab/>
              <w:t>! &lt; Message escape : 1 bit (*) = &lt;no string&gt; &gt; } ;</w:t>
            </w:r>
          </w:p>
        </w:tc>
      </w:tr>
    </w:tbl>
    <w:p w14:paraId="23B3E19E" w14:textId="77777777" w:rsidR="00711444" w:rsidRPr="004D0DAA" w:rsidRDefault="00711444" w:rsidP="00711444"/>
    <w:p w14:paraId="46E3316E" w14:textId="77777777" w:rsidR="00711444" w:rsidRPr="004D0DAA" w:rsidRDefault="00711444" w:rsidP="00711444">
      <w:r w:rsidRPr="004D0DAA">
        <w:t>The comprehension of 'FIELD_2' is required. If the receiver detects bit '1', the 'Message escape' branch is called and the remaining part of the message can be ignored.</w:t>
      </w:r>
    </w:p>
    <w:p w14:paraId="14EC2A4C" w14:textId="77777777" w:rsidR="00711444" w:rsidRPr="004D0DAA" w:rsidRDefault="00711444" w:rsidP="00711444">
      <w:r w:rsidRPr="004D0DAA">
        <w:t>The 'Message escape' branch may be used to introduce an new alternative coding of the message in a later version of the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5F616F98" w14:textId="77777777" w:rsidTr="00AA2A4C">
        <w:tblPrEx>
          <w:tblCellMar>
            <w:top w:w="0" w:type="dxa"/>
            <w:bottom w:w="0" w:type="dxa"/>
          </w:tblCellMar>
        </w:tblPrEx>
        <w:trPr>
          <w:cantSplit/>
        </w:trPr>
        <w:tc>
          <w:tcPr>
            <w:tcW w:w="9848" w:type="dxa"/>
          </w:tcPr>
          <w:p w14:paraId="431F5736" w14:textId="77777777" w:rsidR="00711444" w:rsidRPr="004D0DAA" w:rsidRDefault="00711444" w:rsidP="00AA2A4C">
            <w:pPr>
              <w:pStyle w:val="TAL"/>
              <w:rPr>
                <w:lang w:eastAsia="en-US"/>
              </w:rPr>
            </w:pPr>
            <w:r w:rsidRPr="004D0DAA">
              <w:rPr>
                <w:lang w:eastAsia="en-US"/>
              </w:rPr>
              <w:t>&lt; Packet YYY message content &gt; ::=</w:t>
            </w:r>
            <w:r w:rsidRPr="004D0DAA">
              <w:rPr>
                <w:lang w:eastAsia="en-US"/>
              </w:rPr>
              <w:tab/>
              <w:t xml:space="preserve">-- </w:t>
            </w:r>
            <w:r w:rsidRPr="004D0DAA">
              <w:rPr>
                <w:i/>
                <w:lang w:eastAsia="en-US"/>
              </w:rPr>
              <w:t>Protocol version 2</w:t>
            </w:r>
          </w:p>
          <w:p w14:paraId="246195E6" w14:textId="77777777" w:rsidR="00711444" w:rsidRPr="004D0DAA" w:rsidRDefault="00711444" w:rsidP="00AA2A4C">
            <w:pPr>
              <w:pStyle w:val="TAL"/>
              <w:rPr>
                <w:lang w:eastAsia="en-US"/>
              </w:rPr>
            </w:pPr>
            <w:r w:rsidRPr="004D0DAA">
              <w:rPr>
                <w:lang w:eastAsia="en-US"/>
              </w:rPr>
              <w:tab/>
              <w:t xml:space="preserve">&lt; </w:t>
            </w:r>
            <w:r w:rsidRPr="004D0DAA">
              <w:rPr>
                <w:b/>
                <w:lang w:eastAsia="en-US"/>
              </w:rPr>
              <w:t>FIELD_1</w:t>
            </w:r>
            <w:r w:rsidRPr="004D0DAA">
              <w:rPr>
                <w:lang w:eastAsia="en-US"/>
              </w:rPr>
              <w:t> : bit (3) &gt;</w:t>
            </w:r>
          </w:p>
          <w:p w14:paraId="4EC065E1" w14:textId="77777777" w:rsidR="00711444" w:rsidRPr="004D0DAA" w:rsidRDefault="00711444" w:rsidP="00AA2A4C">
            <w:pPr>
              <w:pStyle w:val="TAL"/>
              <w:rPr>
                <w:lang w:eastAsia="en-US"/>
              </w:rPr>
            </w:pPr>
            <w:r w:rsidRPr="004D0DAA">
              <w:rPr>
                <w:lang w:eastAsia="en-US"/>
              </w:rPr>
              <w:tab/>
              <w:t>{ 0</w:t>
            </w:r>
            <w:r w:rsidRPr="004D0DAA">
              <w:rPr>
                <w:lang w:eastAsia="en-US"/>
              </w:rPr>
              <w:tab/>
              <w:t xml:space="preserve">&lt; </w:t>
            </w:r>
            <w:r w:rsidRPr="004D0DAA">
              <w:rPr>
                <w:b/>
                <w:lang w:eastAsia="en-US"/>
              </w:rPr>
              <w:t>FIELD_2</w:t>
            </w:r>
            <w:r w:rsidRPr="004D0DAA">
              <w:rPr>
                <w:lang w:eastAsia="en-US"/>
              </w:rPr>
              <w:t> : bit (16) &gt;</w:t>
            </w:r>
          </w:p>
          <w:p w14:paraId="461153F6"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21CEDB70" w14:textId="77777777" w:rsidR="00711444" w:rsidRPr="004D0DAA" w:rsidRDefault="00711444" w:rsidP="00AA2A4C">
            <w:pPr>
              <w:pStyle w:val="TAL"/>
              <w:rPr>
                <w:lang w:eastAsia="en-US"/>
              </w:rPr>
            </w:pPr>
            <w:r w:rsidRPr="004D0DAA">
              <w:rPr>
                <w:lang w:eastAsia="en-US"/>
              </w:rPr>
              <w:tab/>
            </w:r>
            <w:r w:rsidRPr="004D0DAA">
              <w:rPr>
                <w:lang w:eastAsia="en-US"/>
              </w:rPr>
              <w:tab/>
              <w:t>&lt; padding bits &gt;</w:t>
            </w:r>
          </w:p>
          <w:p w14:paraId="17C50DB7" w14:textId="77777777" w:rsidR="00711444" w:rsidRPr="004D0DAA" w:rsidRDefault="00711444" w:rsidP="00AA2A4C">
            <w:pPr>
              <w:pStyle w:val="TAL"/>
              <w:rPr>
                <w:i/>
                <w:lang w:eastAsia="en-US"/>
              </w:rPr>
            </w:pPr>
            <w:r w:rsidRPr="004D0DAA">
              <w:rPr>
                <w:lang w:eastAsia="en-US"/>
              </w:rPr>
              <w:tab/>
              <w:t>| 1</w:t>
            </w:r>
            <w:r w:rsidRPr="004D0DAA">
              <w:rPr>
                <w:lang w:eastAsia="en-US"/>
              </w:rPr>
              <w:tab/>
            </w:r>
            <w:r w:rsidRPr="004D0DAA">
              <w:rPr>
                <w:lang w:eastAsia="en-US"/>
              </w:rPr>
              <w:tab/>
            </w:r>
            <w:r w:rsidRPr="004D0DAA">
              <w:rPr>
                <w:lang w:eastAsia="en-US"/>
              </w:rPr>
              <w:tab/>
              <w:t xml:space="preserve">-- </w:t>
            </w:r>
            <w:r w:rsidRPr="004D0DAA">
              <w:rPr>
                <w:i/>
                <w:lang w:eastAsia="en-US"/>
              </w:rPr>
              <w:t>New code option, replacing old 'Message escape':</w:t>
            </w:r>
          </w:p>
          <w:p w14:paraId="7DABD787" w14:textId="77777777" w:rsidR="00711444" w:rsidRPr="004D0DAA" w:rsidRDefault="00711444" w:rsidP="00AA2A4C">
            <w:pPr>
              <w:pStyle w:val="TAL"/>
              <w:rPr>
                <w:lang w:eastAsia="en-US"/>
              </w:rPr>
            </w:pPr>
            <w:r w:rsidRPr="004D0DAA">
              <w:rPr>
                <w:lang w:eastAsia="en-US"/>
              </w:rPr>
              <w:tab/>
            </w:r>
            <w:r w:rsidRPr="004D0DAA">
              <w:rPr>
                <w:lang w:eastAsia="en-US"/>
              </w:rPr>
              <w:tab/>
              <w:t xml:space="preserve">{ 00 &lt; </w:t>
            </w:r>
            <w:r w:rsidRPr="004D0DAA">
              <w:rPr>
                <w:b/>
                <w:lang w:eastAsia="en-US"/>
              </w:rPr>
              <w:t>FIELD_3</w:t>
            </w:r>
            <w:r w:rsidRPr="004D0DAA">
              <w:rPr>
                <w:lang w:eastAsia="en-US"/>
              </w:rPr>
              <w:t> : bit (12) &gt;</w:t>
            </w:r>
          </w:p>
          <w:p w14:paraId="44786322"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w:t>
            </w:r>
          </w:p>
          <w:p w14:paraId="597FEA63"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padding bits &gt;</w:t>
            </w:r>
          </w:p>
          <w:p w14:paraId="1B4FCC68" w14:textId="77777777" w:rsidR="00711444" w:rsidRPr="004D0DAA" w:rsidRDefault="00711444" w:rsidP="00AA2A4C">
            <w:pPr>
              <w:pStyle w:val="TAL"/>
              <w:rPr>
                <w:lang w:eastAsia="en-US"/>
              </w:rPr>
            </w:pPr>
            <w:r w:rsidRPr="004D0DAA">
              <w:rPr>
                <w:lang w:eastAsia="en-US"/>
              </w:rPr>
              <w:tab/>
            </w:r>
            <w:r w:rsidRPr="004D0DAA">
              <w:rPr>
                <w:lang w:eastAsia="en-US"/>
              </w:rPr>
              <w:tab/>
              <w:t>! &lt; Message escape : { 01 | 10 | 11 } bit (*) = &lt;no string&gt; &gt; } } ;</w:t>
            </w:r>
          </w:p>
        </w:tc>
      </w:tr>
    </w:tbl>
    <w:p w14:paraId="380314CD" w14:textId="77777777" w:rsidR="00711444" w:rsidRPr="004D0DAA" w:rsidRDefault="00711444" w:rsidP="00711444"/>
    <w:p w14:paraId="6941DC9A" w14:textId="77777777" w:rsidR="00711444" w:rsidRPr="004D0DAA" w:rsidRDefault="00711444" w:rsidP="00711444">
      <w:r w:rsidRPr="004D0DAA">
        <w:t>An alternative coding, including 'FIELD_3', is introduced following 'bit 1' in the former 'Message escape' branch. A new 'Message escape' is defined, this time using to control bits to allow future modification.</w:t>
      </w:r>
    </w:p>
    <w:p w14:paraId="1EB901E0" w14:textId="77777777" w:rsidR="00711444" w:rsidRPr="004D0DAA" w:rsidRDefault="00711444" w:rsidP="00711444">
      <w:r w:rsidRPr="004D0DAA">
        <w:t>A receiver implemented according to the original syntax will not accept the new coding. The original 'Message escape' branch will be called and the remaining part of the message, including 'FIELD_3' is ignored. The content of 'FIELD_1' (e.g. information to identify the receiver) is accepted and can be used to determine appropriate condition handling.</w:t>
      </w:r>
    </w:p>
    <w:p w14:paraId="3A89A081" w14:textId="77777777" w:rsidR="00711444" w:rsidRPr="004D0DAA" w:rsidRDefault="00711444" w:rsidP="00711444">
      <w:pPr>
        <w:pStyle w:val="Heading2"/>
      </w:pPr>
      <w:r w:rsidRPr="004D0DAA">
        <w:br w:type="page"/>
      </w:r>
      <w:bookmarkStart w:id="907" w:name="_Toc516670076"/>
      <w:r w:rsidRPr="004D0DAA">
        <w:lastRenderedPageBreak/>
        <w:t>G.3</w:t>
      </w:r>
      <w:r w:rsidRPr="004D0DAA">
        <w:tab/>
        <w:t>Application of truncated concatenation including 'padding bits'</w:t>
      </w:r>
      <w:bookmarkEnd w:id="907"/>
    </w:p>
    <w:p w14:paraId="4CDF3C32" w14:textId="77777777" w:rsidR="00711444" w:rsidRPr="004D0DAA" w:rsidRDefault="00711444" w:rsidP="00711444">
      <w:r w:rsidRPr="004D0DAA">
        <w:t>The truncated concatenation may include 'padding bits' at the end of a message. In that case, the resulting concatenation shall fit exactly with the received message length, otherwise the message is syntactically incorrect.</w:t>
      </w:r>
    </w:p>
    <w:p w14:paraId="2B152102" w14:textId="77777777" w:rsidR="00711444" w:rsidRPr="004D0DAA" w:rsidRDefault="00711444" w:rsidP="00711444">
      <w:r w:rsidRPr="004D0DAA">
        <w:t>The construction is useful, e.g. when a message ends with a sequence of optional components, where the transmitter may need to truncate tailing bits '0', indicating optional components not included in the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318C5924" w14:textId="77777777" w:rsidTr="00AA2A4C">
        <w:tblPrEx>
          <w:tblCellMar>
            <w:top w:w="0" w:type="dxa"/>
            <w:bottom w:w="0" w:type="dxa"/>
          </w:tblCellMar>
        </w:tblPrEx>
        <w:trPr>
          <w:cantSplit/>
        </w:trPr>
        <w:tc>
          <w:tcPr>
            <w:tcW w:w="9848" w:type="dxa"/>
          </w:tcPr>
          <w:p w14:paraId="64A01135" w14:textId="77777777" w:rsidR="00711444" w:rsidRPr="004D0DAA" w:rsidRDefault="00711444" w:rsidP="00AA2A4C">
            <w:pPr>
              <w:pStyle w:val="TAL"/>
              <w:rPr>
                <w:lang w:eastAsia="en-US"/>
              </w:rPr>
            </w:pPr>
            <w:r w:rsidRPr="004D0DAA">
              <w:rPr>
                <w:lang w:eastAsia="en-US"/>
              </w:rPr>
              <w:t>&lt; Packet ZZZ message content &gt; ::=</w:t>
            </w:r>
          </w:p>
          <w:p w14:paraId="6BC10308" w14:textId="77777777" w:rsidR="00711444" w:rsidRPr="004D0DAA" w:rsidRDefault="00711444" w:rsidP="00AA2A4C">
            <w:pPr>
              <w:pStyle w:val="TAL"/>
              <w:rPr>
                <w:lang w:eastAsia="en-US"/>
              </w:rPr>
            </w:pPr>
            <w:r w:rsidRPr="004D0DAA">
              <w:rPr>
                <w:lang w:eastAsia="en-US"/>
              </w:rPr>
              <w:tab/>
              <w:t>...</w:t>
            </w:r>
          </w:p>
          <w:p w14:paraId="669E2F82" w14:textId="77777777" w:rsidR="00711444" w:rsidRPr="004D0DAA" w:rsidRDefault="00711444" w:rsidP="00AA2A4C">
            <w:pPr>
              <w:pStyle w:val="TAL"/>
              <w:rPr>
                <w:lang w:eastAsia="en-US"/>
              </w:rPr>
            </w:pPr>
            <w:r w:rsidRPr="004D0DAA">
              <w:rPr>
                <w:lang w:eastAsia="en-US"/>
              </w:rPr>
              <w:tab/>
              <w:t>{</w:t>
            </w:r>
            <w:r w:rsidRPr="004D0DAA">
              <w:rPr>
                <w:lang w:eastAsia="en-US"/>
              </w:rPr>
              <w:tab/>
              <w:t>{ 0 | 1</w:t>
            </w:r>
            <w:r w:rsidRPr="004D0DAA">
              <w:rPr>
                <w:lang w:eastAsia="en-US"/>
              </w:rPr>
              <w:tab/>
              <w:t>&lt; Optional component 1 &gt; }</w:t>
            </w:r>
          </w:p>
          <w:p w14:paraId="5D9173C1"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&lt; Optional component 2 &gt; }</w:t>
            </w:r>
          </w:p>
          <w:p w14:paraId="301291AD" w14:textId="77777777" w:rsidR="00711444" w:rsidRPr="004D0DAA" w:rsidRDefault="00711444" w:rsidP="00AA2A4C">
            <w:pPr>
              <w:pStyle w:val="TAL"/>
              <w:rPr>
                <w:lang w:eastAsia="en-US"/>
              </w:rPr>
            </w:pPr>
            <w:r w:rsidRPr="004D0DAA">
              <w:rPr>
                <w:lang w:eastAsia="en-US"/>
              </w:rPr>
              <w:tab/>
            </w:r>
            <w:r w:rsidRPr="004D0DAA">
              <w:rPr>
                <w:lang w:eastAsia="en-US"/>
              </w:rPr>
              <w:tab/>
              <w:t>...</w:t>
            </w:r>
          </w:p>
          <w:p w14:paraId="536B562A" w14:textId="77777777" w:rsidR="00711444" w:rsidRPr="004D0DAA" w:rsidRDefault="00711444" w:rsidP="00AA2A4C">
            <w:pPr>
              <w:pStyle w:val="TAL"/>
              <w:rPr>
                <w:lang w:eastAsia="en-US"/>
              </w:rPr>
            </w:pPr>
            <w:r w:rsidRPr="004D0DAA">
              <w:rPr>
                <w:lang w:eastAsia="en-US"/>
              </w:rPr>
              <w:tab/>
            </w:r>
            <w:r w:rsidRPr="004D0DAA">
              <w:rPr>
                <w:lang w:eastAsia="en-US"/>
              </w:rPr>
              <w:tab/>
              <w:t>{ 0 | 1</w:t>
            </w:r>
            <w:r w:rsidRPr="004D0DAA">
              <w:rPr>
                <w:lang w:eastAsia="en-US"/>
              </w:rPr>
              <w:tab/>
              <w:t>&lt; Optional component N &gt; }</w:t>
            </w:r>
          </w:p>
          <w:p w14:paraId="57D56B90" w14:textId="77777777" w:rsidR="00711444" w:rsidRPr="004D0DAA" w:rsidRDefault="00711444" w:rsidP="00AA2A4C">
            <w:pPr>
              <w:pStyle w:val="TAL"/>
              <w:rPr>
                <w:lang w:eastAsia="en-US"/>
              </w:rPr>
            </w:pPr>
            <w:r w:rsidRPr="004D0DAA">
              <w:rPr>
                <w:lang w:eastAsia="en-US"/>
              </w:rPr>
              <w:tab/>
            </w:r>
            <w:r w:rsidRPr="004D0DAA">
              <w:rPr>
                <w:lang w:eastAsia="en-US"/>
              </w:rPr>
              <w:tab/>
              <w:t>&lt; padding bits &gt; } // ;</w:t>
            </w:r>
          </w:p>
        </w:tc>
      </w:tr>
    </w:tbl>
    <w:p w14:paraId="70448E25" w14:textId="77777777" w:rsidR="00711444" w:rsidRPr="004D0DAA" w:rsidRDefault="00711444" w:rsidP="00711444"/>
    <w:p w14:paraId="110E1A01" w14:textId="77777777" w:rsidR="00711444" w:rsidRPr="004D0DAA" w:rsidRDefault="00711444" w:rsidP="00711444">
      <w:r w:rsidRPr="004D0DAA">
        <w:t>If the optional components from k to N are not needed in the message, the transmitter may use the full message length for the components up to optional component k - 1. The receiver accepts this message and assumes that the choice bits for optional components from k to N are all set to zero (i.e. these components are not present).</w:t>
      </w:r>
    </w:p>
    <w:p w14:paraId="650855E1" w14:textId="77777777" w:rsidR="00711444" w:rsidRPr="004D0DAA" w:rsidRDefault="00711444" w:rsidP="00711444">
      <w:r w:rsidRPr="004D0DAA">
        <w:t>However, if the receiver detects a syntactical error within one optional component which is indicated as present in the message, that results in a truncated concatenation which does not fit with the received message length. In this case, the receiver shall not accept the message as being syntactically correct.</w:t>
      </w:r>
    </w:p>
    <w:p w14:paraId="0BD37773" w14:textId="77777777" w:rsidR="00711444" w:rsidRPr="004D0DAA" w:rsidRDefault="00711444" w:rsidP="00711444">
      <w:r w:rsidRPr="004D0DAA">
        <w:t>An error label may be provided within a truncated concatenation to allow the receiver to accept part of a concatenation in case of a syntactical error within it. This is useful for recurring components at the end of a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6ED0B4F0" w14:textId="77777777" w:rsidTr="00AA2A4C">
        <w:tblPrEx>
          <w:tblCellMar>
            <w:top w:w="0" w:type="dxa"/>
            <w:bottom w:w="0" w:type="dxa"/>
          </w:tblCellMar>
        </w:tblPrEx>
        <w:trPr>
          <w:cantSplit/>
        </w:trPr>
        <w:tc>
          <w:tcPr>
            <w:tcW w:w="9848" w:type="dxa"/>
          </w:tcPr>
          <w:p w14:paraId="4A9A4108" w14:textId="77777777" w:rsidR="00711444" w:rsidRPr="004D0DAA" w:rsidRDefault="00711444" w:rsidP="00AA2A4C">
            <w:pPr>
              <w:pStyle w:val="TAL"/>
              <w:rPr>
                <w:lang w:eastAsia="en-US"/>
              </w:rPr>
            </w:pPr>
            <w:r w:rsidRPr="004D0DAA">
              <w:rPr>
                <w:lang w:eastAsia="en-US"/>
              </w:rPr>
              <w:t>&lt; Packet TTT message content &gt; ::=</w:t>
            </w:r>
          </w:p>
          <w:p w14:paraId="1ABDA9F9" w14:textId="77777777" w:rsidR="00711444" w:rsidRPr="004D0DAA" w:rsidRDefault="00711444" w:rsidP="00AA2A4C">
            <w:pPr>
              <w:pStyle w:val="TAL"/>
              <w:rPr>
                <w:lang w:eastAsia="en-US"/>
              </w:rPr>
            </w:pPr>
            <w:r w:rsidRPr="004D0DAA">
              <w:rPr>
                <w:lang w:eastAsia="en-US"/>
              </w:rPr>
              <w:tab/>
              <w:t>...</w:t>
            </w:r>
          </w:p>
          <w:p w14:paraId="792E75AB" w14:textId="77777777" w:rsidR="00711444" w:rsidRPr="004D0DAA" w:rsidRDefault="00711444" w:rsidP="00AA2A4C">
            <w:pPr>
              <w:pStyle w:val="TAL"/>
              <w:rPr>
                <w:lang w:eastAsia="en-US"/>
              </w:rPr>
            </w:pPr>
            <w:r w:rsidRPr="004D0DAA">
              <w:rPr>
                <w:lang w:eastAsia="en-US"/>
              </w:rPr>
              <w:tab/>
              <w:t>{</w:t>
            </w:r>
            <w:r w:rsidRPr="004D0DAA">
              <w:rPr>
                <w:lang w:eastAsia="en-US"/>
              </w:rPr>
              <w:tab/>
              <w:t>{ 1</w:t>
            </w:r>
            <w:r w:rsidRPr="004D0DAA">
              <w:rPr>
                <w:lang w:eastAsia="en-US"/>
              </w:rPr>
              <w:tab/>
              <w:t>{ &lt; Recurring component &gt; ! &lt; Ignore : bit (*) = &lt; no string &gt; &gt; } } ** 0</w:t>
            </w:r>
          </w:p>
          <w:p w14:paraId="06651484" w14:textId="77777777" w:rsidR="00711444" w:rsidRPr="004D0DAA" w:rsidRDefault="00711444" w:rsidP="00AA2A4C">
            <w:pPr>
              <w:pStyle w:val="TAL"/>
              <w:rPr>
                <w:lang w:eastAsia="en-US"/>
              </w:rPr>
            </w:pPr>
            <w:r w:rsidRPr="004D0DAA">
              <w:rPr>
                <w:lang w:eastAsia="en-US"/>
              </w:rPr>
              <w:tab/>
            </w:r>
            <w:r w:rsidRPr="004D0DAA">
              <w:rPr>
                <w:lang w:eastAsia="en-US"/>
              </w:rPr>
              <w:tab/>
              <w:t>&lt; padding bits &gt; } // ;</w:t>
            </w:r>
          </w:p>
        </w:tc>
      </w:tr>
    </w:tbl>
    <w:p w14:paraId="57BA42BD" w14:textId="77777777" w:rsidR="00711444" w:rsidRPr="004D0DAA" w:rsidRDefault="00711444" w:rsidP="00711444"/>
    <w:p w14:paraId="1F9F27B3" w14:textId="77777777" w:rsidR="00711444" w:rsidRPr="004D0DAA" w:rsidRDefault="00711444" w:rsidP="00711444">
      <w:r w:rsidRPr="004D0DAA">
        <w:t>If one of the recurring components is syntactically incorrect, the error branch is called. The error branch expands to the end of the message. The tail bit '0', terminating the recursion, and the 'spare padding' are truncated. The receiver accepts any syntactically correct instance of the recurring component preceding the syntactically incorrect one in the message.</w:t>
      </w:r>
    </w:p>
    <w:p w14:paraId="37C2CC1A" w14:textId="77777777" w:rsidR="00711444" w:rsidRPr="004D0DAA" w:rsidRDefault="00711444" w:rsidP="00711444">
      <w:pPr>
        <w:pStyle w:val="Heading2"/>
      </w:pPr>
      <w:r w:rsidRPr="004D0DAA">
        <w:br w:type="page"/>
      </w:r>
      <w:bookmarkStart w:id="908" w:name="_Toc516670077"/>
      <w:r w:rsidRPr="004D0DAA">
        <w:lastRenderedPageBreak/>
        <w:t>G.4</w:t>
      </w:r>
      <w:r w:rsidRPr="004D0DAA">
        <w:tab/>
        <w:t>Message extension using 'padding bits'</w:t>
      </w:r>
      <w:bookmarkEnd w:id="908"/>
    </w:p>
    <w:p w14:paraId="471CE5A0" w14:textId="77777777" w:rsidR="00711444" w:rsidRPr="004D0DAA" w:rsidRDefault="00711444" w:rsidP="00711444">
      <w:pPr>
        <w:keepNext/>
        <w:keepLines/>
      </w:pPr>
      <w:r w:rsidRPr="004D0DAA">
        <w:t>The bit '0' in the first bit position of the 'padding bits', see sub-clause 11, may be altered into a bit '1' in future versions of the present document, in order to indicate an extension of the message content. When a message is received with bit '1' in this position, a receiver implemented according to the current version of the present document shall ignore the remaining part of the message.</w:t>
      </w:r>
    </w:p>
    <w:p w14:paraId="3AA1FF58" w14:textId="77777777" w:rsidR="00711444" w:rsidRPr="004D0DAA" w:rsidRDefault="00711444" w:rsidP="00711444">
      <w:r w:rsidRPr="004D0DAA">
        <w:t>The example show how a message can be extended, relying on the fact that the 'padding bits' are defined with bit '0' in the first bit 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7FE0646A" w14:textId="77777777" w:rsidTr="00AA2A4C">
        <w:tblPrEx>
          <w:tblCellMar>
            <w:top w:w="0" w:type="dxa"/>
            <w:bottom w:w="0" w:type="dxa"/>
          </w:tblCellMar>
        </w:tblPrEx>
        <w:trPr>
          <w:cantSplit/>
        </w:trPr>
        <w:tc>
          <w:tcPr>
            <w:tcW w:w="9848" w:type="dxa"/>
          </w:tcPr>
          <w:p w14:paraId="73CDB319" w14:textId="77777777" w:rsidR="00711444" w:rsidRPr="004D0DAA" w:rsidRDefault="00711444" w:rsidP="00AA2A4C">
            <w:pPr>
              <w:pStyle w:val="TAL"/>
              <w:rPr>
                <w:lang w:eastAsia="en-US"/>
              </w:rPr>
            </w:pPr>
            <w:r w:rsidRPr="004D0DAA">
              <w:rPr>
                <w:lang w:eastAsia="en-US"/>
              </w:rPr>
              <w:t>&lt; Packet UUU message content &gt; ::=</w:t>
            </w:r>
            <w:r w:rsidRPr="004D0DAA">
              <w:rPr>
                <w:lang w:eastAsia="en-US"/>
              </w:rPr>
              <w:tab/>
              <w:t>-- Current version of the present document</w:t>
            </w:r>
          </w:p>
          <w:p w14:paraId="355CC802" w14:textId="77777777" w:rsidR="00711444" w:rsidRPr="004D0DAA" w:rsidRDefault="00711444" w:rsidP="00AA2A4C">
            <w:pPr>
              <w:pStyle w:val="TAL"/>
              <w:rPr>
                <w:lang w:eastAsia="en-US"/>
              </w:rPr>
            </w:pPr>
            <w:r w:rsidRPr="004D0DAA">
              <w:rPr>
                <w:lang w:eastAsia="en-US"/>
              </w:rPr>
              <w:tab/>
              <w:t>&lt; contents defined in current version &gt;</w:t>
            </w:r>
          </w:p>
          <w:p w14:paraId="4371CD5E" w14:textId="77777777" w:rsidR="00711444" w:rsidRPr="004D0DAA" w:rsidRDefault="00711444" w:rsidP="00AA2A4C">
            <w:pPr>
              <w:pStyle w:val="TAL"/>
              <w:rPr>
                <w:lang w:eastAsia="en-US"/>
              </w:rPr>
            </w:pPr>
            <w:r w:rsidRPr="004D0DAA">
              <w:rPr>
                <w:lang w:eastAsia="en-US"/>
              </w:rPr>
              <w:tab/>
              <w:t>&lt; padding bits &gt; ;</w:t>
            </w:r>
          </w:p>
        </w:tc>
      </w:tr>
    </w:tbl>
    <w:p w14:paraId="5E792B78" w14:textId="77777777" w:rsidR="00711444" w:rsidRPr="004D0DAA" w:rsidRDefault="00711444" w:rsidP="00711444"/>
    <w:p w14:paraId="69858943" w14:textId="77777777" w:rsidR="00711444" w:rsidRPr="004D0DAA" w:rsidRDefault="00711444" w:rsidP="00711444">
      <w:r w:rsidRPr="004D0DAA">
        <w:t>The presence of the extension of the message content is indicated by bit '1'. The transmitter shall send a bit '1' in this position if any content is defined for the remaining part of the message. If a bit '0' is received in this position by a receiver in the new version, it shall ignore the remaining part of the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1A6C0D69" w14:textId="77777777" w:rsidTr="00AA2A4C">
        <w:tblPrEx>
          <w:tblCellMar>
            <w:top w:w="0" w:type="dxa"/>
            <w:bottom w:w="0" w:type="dxa"/>
          </w:tblCellMar>
        </w:tblPrEx>
        <w:trPr>
          <w:cantSplit/>
        </w:trPr>
        <w:tc>
          <w:tcPr>
            <w:tcW w:w="9848" w:type="dxa"/>
          </w:tcPr>
          <w:p w14:paraId="42EFB40B" w14:textId="77777777" w:rsidR="00711444" w:rsidRPr="004D0DAA" w:rsidRDefault="00711444" w:rsidP="00AA2A4C">
            <w:pPr>
              <w:pStyle w:val="TAL"/>
              <w:rPr>
                <w:lang w:eastAsia="en-US"/>
              </w:rPr>
            </w:pPr>
            <w:r w:rsidRPr="004D0DAA">
              <w:rPr>
                <w:lang w:eastAsia="en-US"/>
              </w:rPr>
              <w:t>&lt; Packet UUU message content &gt; ::=</w:t>
            </w:r>
            <w:r w:rsidRPr="004D0DAA">
              <w:rPr>
                <w:lang w:eastAsia="en-US"/>
              </w:rPr>
              <w:tab/>
              <w:t>-- Future version of the present document</w:t>
            </w:r>
          </w:p>
          <w:p w14:paraId="00DAE8A2" w14:textId="77777777" w:rsidR="00711444" w:rsidRPr="004D0DAA" w:rsidRDefault="00711444" w:rsidP="00AA2A4C">
            <w:pPr>
              <w:pStyle w:val="TAL"/>
              <w:rPr>
                <w:lang w:eastAsia="en-US"/>
              </w:rPr>
            </w:pPr>
            <w:r w:rsidRPr="004D0DAA">
              <w:rPr>
                <w:lang w:eastAsia="en-US"/>
              </w:rPr>
              <w:tab/>
              <w:t>&lt; contents defined in current version &gt;</w:t>
            </w:r>
          </w:p>
          <w:p w14:paraId="691B5223" w14:textId="77777777" w:rsidR="00711444" w:rsidRPr="004D0DAA" w:rsidRDefault="00711444" w:rsidP="00AA2A4C">
            <w:pPr>
              <w:pStyle w:val="TAL"/>
              <w:rPr>
                <w:lang w:eastAsia="en-US"/>
              </w:rPr>
            </w:pPr>
            <w:r w:rsidRPr="004D0DAA">
              <w:rPr>
                <w:lang w:eastAsia="en-US"/>
              </w:rPr>
              <w:tab/>
              <w:t>{ null | 0</w:t>
            </w:r>
            <w:r w:rsidRPr="004D0DAA">
              <w:rPr>
                <w:lang w:eastAsia="en-US"/>
              </w:rPr>
              <w:tab/>
              <w:t>bit** = &lt; no string &gt;</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Receiver backward compatible with earlier version</w:t>
            </w:r>
          </w:p>
          <w:p w14:paraId="582AE6E6" w14:textId="77777777" w:rsidR="00711444" w:rsidRPr="004D0DAA" w:rsidRDefault="00711444" w:rsidP="00AA2A4C">
            <w:pPr>
              <w:pStyle w:val="TAL"/>
              <w:rPr>
                <w:lang w:eastAsia="en-US"/>
              </w:rPr>
            </w:pPr>
            <w:r w:rsidRPr="004D0DAA">
              <w:rPr>
                <w:lang w:eastAsia="en-US"/>
              </w:rPr>
              <w:tab/>
              <w:t>| 1</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Bit '1' sent by transmitter in new version</w:t>
            </w:r>
          </w:p>
          <w:p w14:paraId="00E8F73A" w14:textId="77777777" w:rsidR="00711444" w:rsidRPr="004D0DAA" w:rsidRDefault="00711444" w:rsidP="00AA2A4C">
            <w:pPr>
              <w:pStyle w:val="TAL"/>
              <w:rPr>
                <w:lang w:eastAsia="en-US"/>
              </w:rPr>
            </w:pPr>
            <w:r w:rsidRPr="004D0DAA">
              <w:rPr>
                <w:lang w:eastAsia="en-US"/>
              </w:rPr>
              <w:tab/>
            </w:r>
            <w:r w:rsidRPr="004D0DAA">
              <w:rPr>
                <w:lang w:eastAsia="en-US"/>
              </w:rPr>
              <w:tab/>
              <w:t>&lt; contents defined in a future version &gt;</w:t>
            </w:r>
          </w:p>
          <w:p w14:paraId="04610E3E" w14:textId="77777777" w:rsidR="00711444" w:rsidRPr="004D0DAA" w:rsidRDefault="00711444" w:rsidP="00AA2A4C">
            <w:pPr>
              <w:pStyle w:val="TAL"/>
              <w:rPr>
                <w:lang w:eastAsia="en-US"/>
              </w:rPr>
            </w:pPr>
            <w:r w:rsidRPr="004D0DAA">
              <w:rPr>
                <w:lang w:eastAsia="en-US"/>
              </w:rPr>
              <w:tab/>
            </w:r>
            <w:r w:rsidRPr="004D0DAA">
              <w:rPr>
                <w:lang w:eastAsia="en-US"/>
              </w:rPr>
              <w:tab/>
              <w:t>&lt; padding bits &gt; } ;</w:t>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t>-- New 'padding bits' allows further extension</w:t>
            </w:r>
          </w:p>
        </w:tc>
      </w:tr>
    </w:tbl>
    <w:p w14:paraId="3E4B2C8D" w14:textId="77777777" w:rsidR="00711444" w:rsidRPr="004D0DAA" w:rsidRDefault="00711444" w:rsidP="00711444"/>
    <w:p w14:paraId="64F8E8A8" w14:textId="77777777" w:rsidR="00711444" w:rsidRPr="004D0DAA" w:rsidRDefault="00711444" w:rsidP="00711444">
      <w:pPr>
        <w:pStyle w:val="Heading2"/>
      </w:pPr>
      <w:r w:rsidRPr="004D0DAA">
        <w:br w:type="page"/>
      </w:r>
      <w:bookmarkStart w:id="909" w:name="_Toc516670078"/>
      <w:r w:rsidRPr="004D0DAA">
        <w:lastRenderedPageBreak/>
        <w:t>G.5</w:t>
      </w:r>
      <w:r w:rsidRPr="004D0DAA">
        <w:tab/>
        <w:t>Message extension using the Extension Bits IE</w:t>
      </w:r>
      <w:bookmarkEnd w:id="909"/>
    </w:p>
    <w:p w14:paraId="3C02535E" w14:textId="77777777" w:rsidR="00711444" w:rsidRPr="004D0DAA" w:rsidRDefault="00711444" w:rsidP="00711444">
      <w:r w:rsidRPr="004D0DAA">
        <w:t>The Extension Bits IE defined in sub-clause 12.26 may be used in some messages or information elements as a place</w:t>
      </w:r>
      <w:r w:rsidRPr="004D0DAA">
        <w:softHyphen/>
        <w:t>holder for future extension when an extension at the end of the message is less suitable. The Extension Bits IE is usually included as an optional or conditional information element. When included, it provides a length indication and a corresponding set of ‘spare bits’, which may be used in future versions of the protocol to carry an extension of the message contents.</w:t>
      </w:r>
    </w:p>
    <w:p w14:paraId="40450AED" w14:textId="77777777" w:rsidR="00711444" w:rsidRPr="004D0DAA" w:rsidRDefault="00711444" w:rsidP="00711444">
      <w:r w:rsidRPr="004D0DAA">
        <w:t>When this extension mechanism is applied, the original Extension Bits IE shall be removed from the message and replaced by a new information element or a new construction, carrying an extension by up to 64 bits of the message contents. An example is given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8"/>
      </w:tblGrid>
      <w:tr w:rsidR="00711444" w:rsidRPr="004D0DAA" w14:paraId="4057628A" w14:textId="77777777" w:rsidTr="00AA2A4C">
        <w:tblPrEx>
          <w:tblCellMar>
            <w:top w:w="0" w:type="dxa"/>
            <w:bottom w:w="0" w:type="dxa"/>
          </w:tblCellMar>
        </w:tblPrEx>
        <w:trPr>
          <w:cantSplit/>
        </w:trPr>
        <w:tc>
          <w:tcPr>
            <w:tcW w:w="9848" w:type="dxa"/>
          </w:tcPr>
          <w:p w14:paraId="33C0EE68" w14:textId="77777777" w:rsidR="00711444" w:rsidRPr="004D0DAA" w:rsidRDefault="00711444" w:rsidP="00AA2A4C">
            <w:pPr>
              <w:pStyle w:val="TAL"/>
              <w:rPr>
                <w:lang w:eastAsia="en-US"/>
              </w:rPr>
            </w:pPr>
            <w:r w:rsidRPr="004D0DAA">
              <w:rPr>
                <w:lang w:eastAsia="en-US"/>
              </w:rPr>
              <w:t>&lt; Packet VVV message content &gt; ::=</w:t>
            </w:r>
            <w:r w:rsidRPr="004D0DAA">
              <w:rPr>
                <w:lang w:eastAsia="en-US"/>
              </w:rPr>
              <w:tab/>
              <w:t>-- Current (original) version of the present document</w:t>
            </w:r>
          </w:p>
          <w:p w14:paraId="0B86CA20" w14:textId="77777777" w:rsidR="00711444" w:rsidRPr="004D0DAA" w:rsidRDefault="00711444" w:rsidP="00AA2A4C">
            <w:pPr>
              <w:pStyle w:val="TAL"/>
              <w:rPr>
                <w:lang w:eastAsia="en-US"/>
              </w:rPr>
            </w:pPr>
            <w:r w:rsidRPr="004D0DAA">
              <w:rPr>
                <w:lang w:eastAsia="en-US"/>
              </w:rPr>
              <w:tab/>
              <w:t>…</w:t>
            </w:r>
          </w:p>
          <w:p w14:paraId="4D04E5E5" w14:textId="77777777" w:rsidR="00711444" w:rsidRPr="004D0DAA" w:rsidRDefault="00711444" w:rsidP="00AA2A4C">
            <w:pPr>
              <w:pStyle w:val="TAL"/>
              <w:rPr>
                <w:lang w:eastAsia="en-US"/>
              </w:rPr>
            </w:pPr>
            <w:r w:rsidRPr="004D0DAA">
              <w:rPr>
                <w:lang w:eastAsia="en-US"/>
              </w:rPr>
              <w:tab/>
              <w:t>{ 0 | 1 &lt; Extension Bits : Extension Bits IE &gt; }</w:t>
            </w:r>
            <w:r w:rsidRPr="004D0DAA">
              <w:rPr>
                <w:lang w:eastAsia="en-US"/>
              </w:rPr>
              <w:tab/>
            </w:r>
            <w:r w:rsidRPr="004D0DAA">
              <w:rPr>
                <w:lang w:eastAsia="en-US"/>
              </w:rPr>
              <w:tab/>
            </w:r>
            <w:r w:rsidRPr="004D0DAA">
              <w:rPr>
                <w:lang w:eastAsia="en-US"/>
              </w:rPr>
              <w:tab/>
            </w:r>
            <w:r w:rsidRPr="004D0DAA">
              <w:rPr>
                <w:iCs/>
                <w:lang w:eastAsia="en-US"/>
              </w:rPr>
              <w:t>-- sub-clause 12.26</w:t>
            </w:r>
          </w:p>
          <w:p w14:paraId="4FF46BD7" w14:textId="77777777" w:rsidR="00711444" w:rsidRPr="004D0DAA" w:rsidRDefault="00711444" w:rsidP="00AA2A4C">
            <w:pPr>
              <w:pStyle w:val="TAL"/>
              <w:rPr>
                <w:lang w:eastAsia="en-US"/>
              </w:rPr>
            </w:pPr>
            <w:r w:rsidRPr="004D0DAA">
              <w:rPr>
                <w:lang w:eastAsia="en-US"/>
              </w:rPr>
              <w:tab/>
              <w:t>…</w:t>
            </w:r>
          </w:p>
          <w:p w14:paraId="6ED9F54A" w14:textId="77777777" w:rsidR="00711444" w:rsidRPr="004D0DAA" w:rsidRDefault="00711444" w:rsidP="00AA2A4C">
            <w:pPr>
              <w:pStyle w:val="TAL"/>
              <w:rPr>
                <w:lang w:eastAsia="en-US"/>
              </w:rPr>
            </w:pPr>
            <w:r w:rsidRPr="004D0DAA">
              <w:rPr>
                <w:lang w:eastAsia="en-US"/>
              </w:rPr>
              <w:tab/>
              <w:t>&lt; padding bits &gt; ;</w:t>
            </w:r>
          </w:p>
          <w:p w14:paraId="3AA3FE16" w14:textId="77777777" w:rsidR="00711444" w:rsidRPr="004D0DAA" w:rsidRDefault="00711444" w:rsidP="00AA2A4C">
            <w:pPr>
              <w:pStyle w:val="TAL"/>
              <w:rPr>
                <w:lang w:eastAsia="en-US"/>
              </w:rPr>
            </w:pPr>
          </w:p>
        </w:tc>
      </w:tr>
    </w:tbl>
    <w:p w14:paraId="736C2C16" w14:textId="77777777" w:rsidR="00711444" w:rsidRPr="004D0DAA" w:rsidRDefault="00711444" w:rsidP="00711444"/>
    <w:p w14:paraId="17E42DAC" w14:textId="77777777" w:rsidR="00711444" w:rsidRPr="004D0DAA" w:rsidRDefault="00711444" w:rsidP="00711444">
      <w:r w:rsidRPr="004D0DAA">
        <w:t>The Extension Bits IE is replaced by a new construction named ‘VVV Extension Info’. The new construction includes extensions introduced in Rel-M and Rel-N. In order to enable backward compatibility, truncation of the extension information may occur between released versions of the protocol. The receiver shall assume the value zero of any truncated bits. In order to enable forward compatibility, additional ‘spare bits’ may occur after the defined extensions.</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48"/>
      </w:tblGrid>
      <w:tr w:rsidR="00711444" w:rsidRPr="004D0DAA" w14:paraId="0FEBAD81" w14:textId="77777777" w:rsidTr="00AA2A4C">
        <w:tblPrEx>
          <w:tblCellMar>
            <w:top w:w="0" w:type="dxa"/>
            <w:bottom w:w="0" w:type="dxa"/>
          </w:tblCellMar>
        </w:tblPrEx>
        <w:trPr>
          <w:cantSplit/>
        </w:trPr>
        <w:tc>
          <w:tcPr>
            <w:tcW w:w="9848" w:type="dxa"/>
          </w:tcPr>
          <w:p w14:paraId="27B8E5B2" w14:textId="77777777" w:rsidR="00711444" w:rsidRPr="004D0DAA" w:rsidRDefault="00711444" w:rsidP="00AA2A4C">
            <w:pPr>
              <w:pStyle w:val="TAL"/>
              <w:rPr>
                <w:lang w:eastAsia="en-US"/>
              </w:rPr>
            </w:pPr>
            <w:r w:rsidRPr="004D0DAA">
              <w:rPr>
                <w:lang w:eastAsia="en-US"/>
              </w:rPr>
              <w:t>&lt; Packet VVV message content &gt; ::=</w:t>
            </w:r>
            <w:r w:rsidRPr="004D0DAA">
              <w:rPr>
                <w:lang w:eastAsia="en-US"/>
              </w:rPr>
              <w:tab/>
              <w:t>-- Future version of the present document; extensions in Rel-M and Rel-N</w:t>
            </w:r>
          </w:p>
          <w:p w14:paraId="7B5098B4" w14:textId="77777777" w:rsidR="00711444" w:rsidRPr="004D0DAA" w:rsidRDefault="00711444" w:rsidP="00AA2A4C">
            <w:pPr>
              <w:pStyle w:val="TAL"/>
              <w:rPr>
                <w:lang w:eastAsia="en-US"/>
              </w:rPr>
            </w:pPr>
            <w:r w:rsidRPr="004D0DAA">
              <w:rPr>
                <w:lang w:eastAsia="en-US"/>
              </w:rPr>
              <w:tab/>
              <w:t>…</w:t>
            </w:r>
          </w:p>
          <w:p w14:paraId="5DFF36B0" w14:textId="77777777" w:rsidR="00711444" w:rsidRPr="004D0DAA" w:rsidRDefault="00711444" w:rsidP="00AA2A4C">
            <w:pPr>
              <w:pStyle w:val="TAL"/>
              <w:rPr>
                <w:lang w:eastAsia="en-US"/>
              </w:rPr>
            </w:pPr>
            <w:r w:rsidRPr="004D0DAA">
              <w:rPr>
                <w:lang w:eastAsia="en-US"/>
              </w:rPr>
              <w:tab/>
              <w:t xml:space="preserve">{ 0 | 1 </w:t>
            </w:r>
            <w:r w:rsidRPr="004D0DAA">
              <w:rPr>
                <w:lang w:eastAsia="en-US"/>
              </w:rPr>
              <w:tab/>
              <w:t>&lt; VVV Extension length : bit (6) &gt;</w:t>
            </w:r>
          </w:p>
          <w:p w14:paraId="22E1DD2C"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&lt; bit (val(VVV Extension length) + 1)</w:t>
            </w:r>
          </w:p>
          <w:p w14:paraId="4DEEB5A7" w14:textId="77777777" w:rsidR="00711444" w:rsidRPr="004D0DAA" w:rsidRDefault="00711444" w:rsidP="00AA2A4C">
            <w:pPr>
              <w:pStyle w:val="TAL"/>
              <w:rPr>
                <w:lang w:eastAsia="en-US"/>
              </w:rPr>
            </w:pPr>
            <w:r w:rsidRPr="004D0DAA">
              <w:rPr>
                <w:lang w:eastAsia="en-US"/>
              </w:rPr>
              <w:tab/>
            </w:r>
            <w:r w:rsidRPr="004D0DAA">
              <w:rPr>
                <w:lang w:eastAsia="en-US"/>
              </w:rPr>
              <w:tab/>
            </w:r>
            <w:r w:rsidRPr="004D0DAA">
              <w:rPr>
                <w:lang w:eastAsia="en-US"/>
              </w:rPr>
              <w:tab/>
              <w:t>&amp; { &lt; VVV Extension Info &gt; ! { bit** = &lt;no string&gt; }} &gt; }</w:t>
            </w:r>
          </w:p>
          <w:p w14:paraId="59BBAB3F" w14:textId="77777777" w:rsidR="00711444" w:rsidRPr="004D0DAA" w:rsidRDefault="00711444" w:rsidP="00AA2A4C">
            <w:pPr>
              <w:pStyle w:val="TAL"/>
              <w:rPr>
                <w:lang w:eastAsia="en-US"/>
              </w:rPr>
            </w:pPr>
            <w:r w:rsidRPr="004D0DAA">
              <w:rPr>
                <w:lang w:eastAsia="en-US"/>
              </w:rPr>
              <w:tab/>
              <w:t>…</w:t>
            </w:r>
          </w:p>
          <w:p w14:paraId="0FA57917" w14:textId="77777777" w:rsidR="00711444" w:rsidRPr="004D0DAA" w:rsidRDefault="00711444" w:rsidP="00AA2A4C">
            <w:pPr>
              <w:pStyle w:val="TAL"/>
              <w:rPr>
                <w:lang w:eastAsia="en-US"/>
              </w:rPr>
            </w:pPr>
            <w:r w:rsidRPr="004D0DAA">
              <w:rPr>
                <w:lang w:eastAsia="en-US"/>
              </w:rPr>
              <w:tab/>
              <w:t>&lt; padding bits &gt; ;</w:t>
            </w:r>
          </w:p>
          <w:p w14:paraId="5A231BBB" w14:textId="77777777" w:rsidR="00711444" w:rsidRPr="004D0DAA" w:rsidRDefault="00711444" w:rsidP="00AA2A4C">
            <w:pPr>
              <w:pStyle w:val="TAL"/>
              <w:rPr>
                <w:lang w:eastAsia="en-US"/>
              </w:rPr>
            </w:pPr>
          </w:p>
        </w:tc>
      </w:tr>
      <w:tr w:rsidR="00711444" w:rsidRPr="004D0DAA" w14:paraId="2F61A747" w14:textId="77777777" w:rsidTr="00AA2A4C">
        <w:tblPrEx>
          <w:tblCellMar>
            <w:top w:w="0" w:type="dxa"/>
            <w:bottom w:w="0" w:type="dxa"/>
          </w:tblCellMar>
        </w:tblPrEx>
        <w:trPr>
          <w:cantSplit/>
        </w:trPr>
        <w:tc>
          <w:tcPr>
            <w:tcW w:w="9848" w:type="dxa"/>
          </w:tcPr>
          <w:p w14:paraId="5F6BD5CC" w14:textId="77777777" w:rsidR="00711444" w:rsidRPr="004D0DAA" w:rsidRDefault="00711444" w:rsidP="00AA2A4C">
            <w:pPr>
              <w:pStyle w:val="TAL"/>
              <w:rPr>
                <w:lang w:eastAsia="en-US"/>
              </w:rPr>
            </w:pPr>
            <w:r w:rsidRPr="004D0DAA">
              <w:rPr>
                <w:lang w:eastAsia="en-US"/>
              </w:rPr>
              <w:t>&lt; VVV Extension Info &gt; ::=</w:t>
            </w:r>
          </w:p>
          <w:p w14:paraId="46F5EC32" w14:textId="77777777" w:rsidR="00711444" w:rsidRPr="004D0DAA" w:rsidRDefault="00711444" w:rsidP="00AA2A4C">
            <w:pPr>
              <w:pStyle w:val="TAL"/>
              <w:rPr>
                <w:lang w:eastAsia="en-US"/>
              </w:rPr>
            </w:pPr>
            <w:r w:rsidRPr="004D0DAA">
              <w:rPr>
                <w:lang w:eastAsia="en-US"/>
              </w:rPr>
              <w:tab/>
              <w:t>{ {</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Rel-M extension</w:t>
            </w:r>
          </w:p>
          <w:p w14:paraId="63730205" w14:textId="77777777" w:rsidR="00711444" w:rsidRPr="004D0DAA" w:rsidRDefault="00711444" w:rsidP="00AA2A4C">
            <w:pPr>
              <w:pStyle w:val="TAL"/>
              <w:rPr>
                <w:lang w:eastAsia="en-US"/>
              </w:rPr>
            </w:pPr>
            <w:r w:rsidRPr="004D0DAA">
              <w:rPr>
                <w:lang w:eastAsia="en-US"/>
              </w:rPr>
              <w:tab/>
            </w:r>
            <w:r w:rsidRPr="004D0DAA">
              <w:rPr>
                <w:lang w:eastAsia="en-US"/>
              </w:rPr>
              <w:tab/>
              <w:t>&lt; Extension in Rel-M &gt; }</w:t>
            </w:r>
          </w:p>
          <w:p w14:paraId="4E215B13" w14:textId="77777777" w:rsidR="00711444" w:rsidRPr="004D0DAA" w:rsidRDefault="00711444" w:rsidP="00AA2A4C">
            <w:pPr>
              <w:pStyle w:val="TAL"/>
              <w:rPr>
                <w:lang w:eastAsia="en-US"/>
              </w:rPr>
            </w:pPr>
            <w:r w:rsidRPr="004D0DAA">
              <w:rPr>
                <w:lang w:eastAsia="en-US"/>
              </w:rPr>
              <w:tab/>
              <w:t>{</w:t>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Rel-N extension</w:t>
            </w:r>
          </w:p>
          <w:p w14:paraId="70AFB8E6" w14:textId="77777777" w:rsidR="00711444" w:rsidRPr="004D0DAA" w:rsidRDefault="00711444" w:rsidP="00AA2A4C">
            <w:pPr>
              <w:pStyle w:val="TAL"/>
              <w:rPr>
                <w:lang w:eastAsia="en-US"/>
              </w:rPr>
            </w:pPr>
            <w:r w:rsidRPr="004D0DAA">
              <w:rPr>
                <w:lang w:eastAsia="en-US"/>
              </w:rPr>
              <w:tab/>
            </w:r>
            <w:r w:rsidRPr="004D0DAA">
              <w:rPr>
                <w:lang w:eastAsia="en-US"/>
              </w:rPr>
              <w:tab/>
              <w:t>&lt; Extension in Rel-N &gt; }</w:t>
            </w:r>
          </w:p>
          <w:p w14:paraId="205536F5" w14:textId="77777777" w:rsidR="00711444" w:rsidRPr="004D0DAA" w:rsidRDefault="00711444" w:rsidP="00AA2A4C">
            <w:pPr>
              <w:pStyle w:val="TAL"/>
              <w:rPr>
                <w:lang w:eastAsia="en-US"/>
              </w:rPr>
            </w:pPr>
            <w:r w:rsidRPr="004D0DAA">
              <w:rPr>
                <w:lang w:eastAsia="en-US"/>
              </w:rPr>
              <w:tab/>
              <w:t>&lt; spare bit &gt;** } // ;</w:t>
            </w:r>
            <w:r w:rsidRPr="004D0DAA">
              <w:rPr>
                <w:lang w:eastAsia="en-US"/>
              </w:rPr>
              <w:tab/>
            </w:r>
            <w:r w:rsidRPr="004D0DAA">
              <w:rPr>
                <w:lang w:eastAsia="en-US"/>
              </w:rPr>
              <w:tab/>
            </w:r>
            <w:r w:rsidRPr="004D0DAA">
              <w:rPr>
                <w:iCs/>
                <w:lang w:eastAsia="en-US"/>
              </w:rPr>
              <w:t xml:space="preserve">-- Truncation may occur between released versions of the protocol </w:t>
            </w:r>
          </w:p>
          <w:p w14:paraId="002A21F6" w14:textId="77777777" w:rsidR="00711444" w:rsidRPr="004D0DAA" w:rsidRDefault="00711444" w:rsidP="00AA2A4C">
            <w:pPr>
              <w:pStyle w:val="TAL"/>
              <w:rPr>
                <w:iCs/>
                <w:lang w:eastAsia="en-US"/>
              </w:rPr>
            </w:pP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lang w:eastAsia="en-US"/>
              </w:rPr>
              <w:tab/>
            </w:r>
            <w:r w:rsidRPr="004D0DAA">
              <w:rPr>
                <w:iCs/>
                <w:lang w:eastAsia="en-US"/>
              </w:rPr>
              <w:t>-- The receiver shall assume the value zero of any truncated bits</w:t>
            </w:r>
          </w:p>
          <w:p w14:paraId="6B657C62" w14:textId="77777777" w:rsidR="00711444" w:rsidRPr="004D0DAA" w:rsidRDefault="00711444" w:rsidP="00AA2A4C">
            <w:pPr>
              <w:pStyle w:val="TAL"/>
              <w:rPr>
                <w:lang w:eastAsia="en-US"/>
              </w:rPr>
            </w:pPr>
          </w:p>
        </w:tc>
      </w:tr>
    </w:tbl>
    <w:p w14:paraId="505B1167" w14:textId="77777777" w:rsidR="00711444" w:rsidRPr="004D0DAA" w:rsidRDefault="00711444" w:rsidP="00711444"/>
    <w:p w14:paraId="50B7889D" w14:textId="77777777" w:rsidR="00711444" w:rsidRPr="004D0DAA" w:rsidRDefault="00711444" w:rsidP="00711444">
      <w:pPr>
        <w:pStyle w:val="Heading8"/>
        <w:keepNext w:val="0"/>
        <w:keepLines w:val="0"/>
      </w:pPr>
      <w:r w:rsidRPr="004D0DAA">
        <w:br w:type="page"/>
      </w:r>
      <w:bookmarkStart w:id="910" w:name="_Toc516670079"/>
      <w:r w:rsidRPr="004D0DAA">
        <w:lastRenderedPageBreak/>
        <w:t>Annex H (informative):</w:t>
      </w:r>
      <w:r w:rsidRPr="004D0DAA">
        <w:br/>
        <w:t>(void)</w:t>
      </w:r>
      <w:bookmarkEnd w:id="910"/>
    </w:p>
    <w:p w14:paraId="2C00D3F7" w14:textId="77777777" w:rsidR="00711444" w:rsidRPr="004D0DAA" w:rsidRDefault="00711444" w:rsidP="00711444">
      <w:pPr>
        <w:pStyle w:val="Heading8"/>
        <w:rPr>
          <w:rFonts w:ascii="CG Times" w:hAnsi="CG Times"/>
        </w:rPr>
      </w:pPr>
      <w:r w:rsidRPr="004D0DAA">
        <w:br w:type="page"/>
      </w:r>
      <w:bookmarkStart w:id="911" w:name="_Toc516670080"/>
      <w:r w:rsidRPr="004D0DAA">
        <w:lastRenderedPageBreak/>
        <w:t>Annex I (informative):</w:t>
      </w:r>
      <w:r w:rsidRPr="004D0DAA">
        <w:br/>
        <w:t>EGPRS RLC Window Sizes</w:t>
      </w:r>
      <w:bookmarkEnd w:id="911"/>
    </w:p>
    <w:p w14:paraId="36D077E8" w14:textId="77777777" w:rsidR="00711444" w:rsidRPr="004D0DAA" w:rsidRDefault="00711444" w:rsidP="00711444">
      <w:r w:rsidRPr="004D0DAA">
        <w:t>Although for each multislot allocation, the selected window size could preferably be the maximum, a smaller window size may be selected in order to optimize e.g. the number of (multislot) users and network memory consumption.</w:t>
      </w:r>
    </w:p>
    <w:p w14:paraId="7694DC90" w14:textId="77777777" w:rsidR="00711444" w:rsidRPr="004D0DAA" w:rsidRDefault="00711444" w:rsidP="00711444">
      <w:r w:rsidRPr="004D0DAA">
        <w:t>However, for each MS, in order to meet a performance which corresponds to the number of timeslots assigned to this MS, the selected window size shall not be smaller than a minimum window size for this particular multislot allocation.</w:t>
      </w:r>
    </w:p>
    <w:p w14:paraId="47DE85FC" w14:textId="77777777" w:rsidR="00711444" w:rsidRPr="004D0DAA" w:rsidRDefault="00711444" w:rsidP="00711444">
      <w:r w:rsidRPr="004D0DAA">
        <w:t>For each network, the round-trip delay has a direct implication on the performance, hence on the definition of the minimum window sizes. Consequently, no generic minimum window sizes are suggested. However, for information, the table below lists the window size ranges recommended with a round-trip delay of about 120 ms.</w:t>
      </w:r>
    </w:p>
    <w:p w14:paraId="3EC6F02F" w14:textId="77777777" w:rsidR="00711444" w:rsidRPr="004D0DAA" w:rsidRDefault="00711444" w:rsidP="00711444">
      <w:r w:rsidRPr="004D0DAA">
        <w:t>For a mobile station in DLMC configuration the downlink window size is the same as the supported buffer size (see Table 9.1.9.3.2) whereas uplink window sizes shall still be managed as per EGPRS TBF mode without a DLMC configuration (see sub-clause 9.1.9.3).</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F" w:firstRow="1" w:lastRow="0" w:firstColumn="1" w:lastColumn="0" w:noHBand="0" w:noVBand="0"/>
      </w:tblPr>
      <w:tblGrid>
        <w:gridCol w:w="1397"/>
        <w:gridCol w:w="936"/>
        <w:gridCol w:w="657"/>
        <w:gridCol w:w="657"/>
        <w:gridCol w:w="657"/>
        <w:gridCol w:w="657"/>
        <w:gridCol w:w="657"/>
        <w:gridCol w:w="657"/>
        <w:gridCol w:w="657"/>
        <w:gridCol w:w="657"/>
      </w:tblGrid>
      <w:tr w:rsidR="00711444" w:rsidRPr="004D0DAA" w14:paraId="4F9DD33F" w14:textId="77777777" w:rsidTr="00AA2A4C">
        <w:tblPrEx>
          <w:tblCellMar>
            <w:top w:w="0" w:type="dxa"/>
            <w:bottom w:w="0" w:type="dxa"/>
          </w:tblCellMar>
        </w:tblPrEx>
        <w:trPr>
          <w:cantSplit/>
          <w:trHeight w:val="69"/>
          <w:jc w:val="center"/>
        </w:trPr>
        <w:tc>
          <w:tcPr>
            <w:tcW w:w="1397" w:type="dxa"/>
            <w:vMerge w:val="restart"/>
            <w:tcBorders>
              <w:top w:val="single" w:sz="4" w:space="0" w:color="auto"/>
              <w:left w:val="single" w:sz="4" w:space="0" w:color="auto"/>
              <w:bottom w:val="single" w:sz="4" w:space="0" w:color="auto"/>
              <w:right w:val="single" w:sz="4" w:space="0" w:color="auto"/>
            </w:tcBorders>
          </w:tcPr>
          <w:p w14:paraId="70F91A88" w14:textId="77777777" w:rsidR="00711444" w:rsidRPr="004D0DAA" w:rsidRDefault="00711444" w:rsidP="00AA2A4C">
            <w:pPr>
              <w:pStyle w:val="TAH"/>
              <w:rPr>
                <w:lang w:eastAsia="en-US"/>
              </w:rPr>
            </w:pPr>
            <w:r w:rsidRPr="004D0DAA">
              <w:rPr>
                <w:lang w:eastAsia="en-US"/>
              </w:rPr>
              <w:t>Window size</w:t>
            </w:r>
          </w:p>
        </w:tc>
        <w:tc>
          <w:tcPr>
            <w:tcW w:w="936" w:type="dxa"/>
            <w:vMerge w:val="restart"/>
            <w:tcBorders>
              <w:top w:val="single" w:sz="4" w:space="0" w:color="auto"/>
              <w:left w:val="single" w:sz="4" w:space="0" w:color="auto"/>
              <w:bottom w:val="single" w:sz="4" w:space="0" w:color="auto"/>
              <w:right w:val="single" w:sz="4" w:space="0" w:color="auto"/>
            </w:tcBorders>
          </w:tcPr>
          <w:p w14:paraId="1F7BBCFC" w14:textId="77777777" w:rsidR="00711444" w:rsidRPr="004D0DAA" w:rsidRDefault="00711444" w:rsidP="00AA2A4C">
            <w:pPr>
              <w:pStyle w:val="TAH"/>
              <w:rPr>
                <w:lang w:eastAsia="en-US"/>
              </w:rPr>
            </w:pPr>
            <w:r w:rsidRPr="004D0DAA">
              <w:rPr>
                <w:lang w:eastAsia="en-US"/>
              </w:rPr>
              <w:t>Coding</w:t>
            </w:r>
          </w:p>
        </w:tc>
        <w:tc>
          <w:tcPr>
            <w:tcW w:w="5256" w:type="dxa"/>
            <w:gridSpan w:val="8"/>
            <w:tcBorders>
              <w:top w:val="single" w:sz="4" w:space="0" w:color="auto"/>
              <w:left w:val="single" w:sz="4" w:space="0" w:color="auto"/>
              <w:bottom w:val="single" w:sz="4" w:space="0" w:color="auto"/>
              <w:right w:val="single" w:sz="4" w:space="0" w:color="auto"/>
            </w:tcBorders>
          </w:tcPr>
          <w:p w14:paraId="690DC079" w14:textId="77777777" w:rsidR="00711444" w:rsidRPr="004D0DAA" w:rsidRDefault="00711444" w:rsidP="00AA2A4C">
            <w:pPr>
              <w:pStyle w:val="TAH"/>
              <w:rPr>
                <w:lang w:eastAsia="en-US"/>
              </w:rPr>
            </w:pPr>
            <w:r w:rsidRPr="004D0DAA">
              <w:rPr>
                <w:lang w:eastAsia="en-US"/>
              </w:rPr>
              <w:t>Timeslots assigned (Multislot capability)</w:t>
            </w:r>
          </w:p>
        </w:tc>
      </w:tr>
      <w:tr w:rsidR="00711444" w:rsidRPr="004D0DAA" w14:paraId="4639F015" w14:textId="77777777" w:rsidTr="00AA2A4C">
        <w:tblPrEx>
          <w:tblCellMar>
            <w:top w:w="0" w:type="dxa"/>
            <w:bottom w:w="0" w:type="dxa"/>
          </w:tblCellMar>
        </w:tblPrEx>
        <w:trPr>
          <w:cantSplit/>
          <w:trHeight w:val="130"/>
          <w:jc w:val="center"/>
        </w:trPr>
        <w:tc>
          <w:tcPr>
            <w:tcW w:w="1397" w:type="dxa"/>
            <w:vMerge/>
            <w:tcBorders>
              <w:top w:val="single" w:sz="4" w:space="0" w:color="auto"/>
              <w:left w:val="single" w:sz="4" w:space="0" w:color="auto"/>
              <w:bottom w:val="single" w:sz="4" w:space="0" w:color="auto"/>
              <w:right w:val="single" w:sz="4" w:space="0" w:color="auto"/>
            </w:tcBorders>
          </w:tcPr>
          <w:p w14:paraId="74BE0A4D" w14:textId="77777777" w:rsidR="00711444" w:rsidRPr="004D0DAA" w:rsidRDefault="00711444" w:rsidP="00AA2A4C"/>
        </w:tc>
        <w:tc>
          <w:tcPr>
            <w:tcW w:w="936" w:type="dxa"/>
            <w:vMerge/>
            <w:tcBorders>
              <w:top w:val="single" w:sz="4" w:space="0" w:color="auto"/>
              <w:left w:val="single" w:sz="4" w:space="0" w:color="auto"/>
              <w:bottom w:val="single" w:sz="4" w:space="0" w:color="auto"/>
              <w:right w:val="single" w:sz="4" w:space="0" w:color="auto"/>
            </w:tcBorders>
          </w:tcPr>
          <w:p w14:paraId="399E13D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06B5634" w14:textId="77777777" w:rsidR="00711444" w:rsidRPr="004D0DAA" w:rsidRDefault="00711444" w:rsidP="00AA2A4C">
            <w:pPr>
              <w:pStyle w:val="TAH"/>
              <w:rPr>
                <w:lang w:eastAsia="en-US"/>
              </w:rPr>
            </w:pPr>
            <w:r w:rsidRPr="004D0DAA">
              <w:rPr>
                <w:lang w:eastAsia="en-US"/>
              </w:rPr>
              <w:t>1</w:t>
            </w:r>
          </w:p>
        </w:tc>
        <w:tc>
          <w:tcPr>
            <w:tcW w:w="657" w:type="dxa"/>
            <w:tcBorders>
              <w:top w:val="single" w:sz="4" w:space="0" w:color="auto"/>
              <w:left w:val="single" w:sz="4" w:space="0" w:color="auto"/>
              <w:bottom w:val="single" w:sz="4" w:space="0" w:color="auto"/>
              <w:right w:val="single" w:sz="4" w:space="0" w:color="auto"/>
            </w:tcBorders>
          </w:tcPr>
          <w:p w14:paraId="30D6C67C" w14:textId="77777777" w:rsidR="00711444" w:rsidRPr="004D0DAA" w:rsidRDefault="00711444" w:rsidP="00AA2A4C">
            <w:pPr>
              <w:pStyle w:val="TAH"/>
              <w:rPr>
                <w:lang w:eastAsia="en-US"/>
              </w:rPr>
            </w:pPr>
            <w:r w:rsidRPr="004D0DAA">
              <w:rPr>
                <w:lang w:eastAsia="en-US"/>
              </w:rPr>
              <w:t>2</w:t>
            </w:r>
          </w:p>
        </w:tc>
        <w:tc>
          <w:tcPr>
            <w:tcW w:w="657" w:type="dxa"/>
            <w:tcBorders>
              <w:top w:val="single" w:sz="4" w:space="0" w:color="auto"/>
              <w:left w:val="single" w:sz="4" w:space="0" w:color="auto"/>
              <w:bottom w:val="single" w:sz="4" w:space="0" w:color="auto"/>
              <w:right w:val="single" w:sz="4" w:space="0" w:color="auto"/>
            </w:tcBorders>
          </w:tcPr>
          <w:p w14:paraId="3A89425D" w14:textId="77777777" w:rsidR="00711444" w:rsidRPr="004D0DAA" w:rsidRDefault="00711444" w:rsidP="00AA2A4C">
            <w:pPr>
              <w:pStyle w:val="TAH"/>
              <w:rPr>
                <w:lang w:eastAsia="en-US"/>
              </w:rPr>
            </w:pPr>
            <w:r w:rsidRPr="004D0DAA">
              <w:rPr>
                <w:lang w:eastAsia="en-US"/>
              </w:rPr>
              <w:t>3</w:t>
            </w:r>
          </w:p>
        </w:tc>
        <w:tc>
          <w:tcPr>
            <w:tcW w:w="657" w:type="dxa"/>
            <w:tcBorders>
              <w:top w:val="single" w:sz="4" w:space="0" w:color="auto"/>
              <w:left w:val="single" w:sz="4" w:space="0" w:color="auto"/>
              <w:bottom w:val="single" w:sz="4" w:space="0" w:color="auto"/>
              <w:right w:val="single" w:sz="4" w:space="0" w:color="auto"/>
            </w:tcBorders>
          </w:tcPr>
          <w:p w14:paraId="3EC3BB6C" w14:textId="77777777" w:rsidR="00711444" w:rsidRPr="004D0DAA" w:rsidRDefault="00711444" w:rsidP="00AA2A4C">
            <w:pPr>
              <w:pStyle w:val="TAH"/>
              <w:rPr>
                <w:lang w:eastAsia="en-US"/>
              </w:rPr>
            </w:pPr>
            <w:r w:rsidRPr="004D0DAA">
              <w:rPr>
                <w:lang w:eastAsia="en-US"/>
              </w:rPr>
              <w:t>4</w:t>
            </w:r>
          </w:p>
        </w:tc>
        <w:tc>
          <w:tcPr>
            <w:tcW w:w="657" w:type="dxa"/>
            <w:tcBorders>
              <w:top w:val="single" w:sz="4" w:space="0" w:color="auto"/>
              <w:left w:val="single" w:sz="4" w:space="0" w:color="auto"/>
              <w:bottom w:val="single" w:sz="4" w:space="0" w:color="auto"/>
              <w:right w:val="single" w:sz="4" w:space="0" w:color="auto"/>
            </w:tcBorders>
          </w:tcPr>
          <w:p w14:paraId="75F9E0EB" w14:textId="77777777" w:rsidR="00711444" w:rsidRPr="004D0DAA" w:rsidRDefault="00711444" w:rsidP="00AA2A4C">
            <w:pPr>
              <w:pStyle w:val="TAH"/>
              <w:rPr>
                <w:lang w:eastAsia="en-US"/>
              </w:rPr>
            </w:pPr>
            <w:r w:rsidRPr="004D0DAA">
              <w:rPr>
                <w:lang w:eastAsia="en-US"/>
              </w:rPr>
              <w:t>5</w:t>
            </w:r>
          </w:p>
        </w:tc>
        <w:tc>
          <w:tcPr>
            <w:tcW w:w="657" w:type="dxa"/>
            <w:tcBorders>
              <w:top w:val="single" w:sz="4" w:space="0" w:color="auto"/>
              <w:left w:val="single" w:sz="4" w:space="0" w:color="auto"/>
              <w:bottom w:val="single" w:sz="4" w:space="0" w:color="auto"/>
              <w:right w:val="single" w:sz="4" w:space="0" w:color="auto"/>
            </w:tcBorders>
          </w:tcPr>
          <w:p w14:paraId="0E368A8A" w14:textId="77777777" w:rsidR="00711444" w:rsidRPr="004D0DAA" w:rsidRDefault="00711444" w:rsidP="00AA2A4C">
            <w:pPr>
              <w:pStyle w:val="TAH"/>
              <w:rPr>
                <w:lang w:eastAsia="en-US"/>
              </w:rPr>
            </w:pPr>
            <w:r w:rsidRPr="004D0DAA">
              <w:rPr>
                <w:lang w:eastAsia="en-US"/>
              </w:rPr>
              <w:t>6</w:t>
            </w:r>
          </w:p>
        </w:tc>
        <w:tc>
          <w:tcPr>
            <w:tcW w:w="657" w:type="dxa"/>
            <w:tcBorders>
              <w:top w:val="single" w:sz="4" w:space="0" w:color="auto"/>
              <w:left w:val="single" w:sz="4" w:space="0" w:color="auto"/>
              <w:bottom w:val="single" w:sz="4" w:space="0" w:color="auto"/>
              <w:right w:val="single" w:sz="4" w:space="0" w:color="auto"/>
            </w:tcBorders>
          </w:tcPr>
          <w:p w14:paraId="5D6D8AA6" w14:textId="77777777" w:rsidR="00711444" w:rsidRPr="004D0DAA" w:rsidRDefault="00711444" w:rsidP="00AA2A4C">
            <w:pPr>
              <w:pStyle w:val="TAH"/>
              <w:rPr>
                <w:lang w:eastAsia="en-US"/>
              </w:rPr>
            </w:pPr>
            <w:r w:rsidRPr="004D0DAA">
              <w:rPr>
                <w:lang w:eastAsia="en-US"/>
              </w:rPr>
              <w:t>7</w:t>
            </w:r>
          </w:p>
        </w:tc>
        <w:tc>
          <w:tcPr>
            <w:tcW w:w="657" w:type="dxa"/>
            <w:tcBorders>
              <w:top w:val="single" w:sz="4" w:space="0" w:color="auto"/>
              <w:left w:val="single" w:sz="4" w:space="0" w:color="auto"/>
              <w:bottom w:val="single" w:sz="4" w:space="0" w:color="auto"/>
              <w:right w:val="single" w:sz="4" w:space="0" w:color="auto"/>
            </w:tcBorders>
          </w:tcPr>
          <w:p w14:paraId="4E6CFD30" w14:textId="77777777" w:rsidR="00711444" w:rsidRPr="004D0DAA" w:rsidRDefault="00711444" w:rsidP="00AA2A4C">
            <w:pPr>
              <w:pStyle w:val="TAH"/>
              <w:rPr>
                <w:lang w:eastAsia="en-US"/>
              </w:rPr>
            </w:pPr>
            <w:r w:rsidRPr="004D0DAA">
              <w:rPr>
                <w:lang w:eastAsia="en-US"/>
              </w:rPr>
              <w:t>8-16</w:t>
            </w:r>
          </w:p>
        </w:tc>
      </w:tr>
      <w:tr w:rsidR="00711444" w:rsidRPr="004D0DAA" w14:paraId="21B2ED01"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37BC20B5" w14:textId="77777777" w:rsidR="00711444" w:rsidRPr="004D0DAA" w:rsidRDefault="00711444" w:rsidP="00AA2A4C">
            <w:pPr>
              <w:pStyle w:val="TAC"/>
              <w:rPr>
                <w:lang w:eastAsia="en-US"/>
              </w:rPr>
            </w:pPr>
            <w:r w:rsidRPr="004D0DAA">
              <w:rPr>
                <w:lang w:eastAsia="en-US"/>
              </w:rPr>
              <w:lastRenderedPageBreak/>
              <w:t>64</w:t>
            </w:r>
          </w:p>
        </w:tc>
        <w:tc>
          <w:tcPr>
            <w:tcW w:w="936" w:type="dxa"/>
            <w:tcBorders>
              <w:top w:val="single" w:sz="4" w:space="0" w:color="auto"/>
              <w:left w:val="single" w:sz="4" w:space="0" w:color="auto"/>
              <w:bottom w:val="single" w:sz="4" w:space="0" w:color="auto"/>
              <w:right w:val="single" w:sz="4" w:space="0" w:color="auto"/>
            </w:tcBorders>
          </w:tcPr>
          <w:p w14:paraId="473F99BE" w14:textId="77777777" w:rsidR="00711444" w:rsidRPr="004D0DAA" w:rsidRDefault="00711444" w:rsidP="00AA2A4C">
            <w:pPr>
              <w:pStyle w:val="TAC"/>
              <w:rPr>
                <w:lang w:eastAsia="en-US"/>
              </w:rPr>
            </w:pPr>
            <w:r w:rsidRPr="004D0DAA">
              <w:rPr>
                <w:lang w:eastAsia="en-US"/>
              </w:rPr>
              <w:t>00000</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DF9EDA1"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281E310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94A9C0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E516A6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46BB66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42589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34DE01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D9AAB86" w14:textId="77777777" w:rsidR="00711444" w:rsidRPr="004D0DAA" w:rsidRDefault="00711444" w:rsidP="00AA2A4C">
            <w:pPr>
              <w:pStyle w:val="TAC"/>
              <w:rPr>
                <w:lang w:eastAsia="en-US"/>
              </w:rPr>
            </w:pPr>
          </w:p>
        </w:tc>
      </w:tr>
      <w:tr w:rsidR="00711444" w:rsidRPr="004D0DAA" w14:paraId="6C5DFAF4"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683AF11D" w14:textId="77777777" w:rsidR="00711444" w:rsidRPr="004D0DAA" w:rsidRDefault="00711444" w:rsidP="00AA2A4C">
            <w:pPr>
              <w:pStyle w:val="TAC"/>
              <w:rPr>
                <w:lang w:eastAsia="en-US"/>
              </w:rPr>
            </w:pPr>
            <w:r w:rsidRPr="004D0DAA">
              <w:rPr>
                <w:lang w:eastAsia="en-US"/>
              </w:rPr>
              <w:t>96</w:t>
            </w:r>
          </w:p>
        </w:tc>
        <w:tc>
          <w:tcPr>
            <w:tcW w:w="936" w:type="dxa"/>
            <w:tcBorders>
              <w:top w:val="single" w:sz="4" w:space="0" w:color="auto"/>
              <w:left w:val="single" w:sz="4" w:space="0" w:color="auto"/>
              <w:bottom w:val="single" w:sz="4" w:space="0" w:color="auto"/>
              <w:right w:val="single" w:sz="4" w:space="0" w:color="auto"/>
            </w:tcBorders>
          </w:tcPr>
          <w:p w14:paraId="3840D6C1" w14:textId="77777777" w:rsidR="00711444" w:rsidRPr="004D0DAA" w:rsidRDefault="00711444" w:rsidP="00AA2A4C">
            <w:pPr>
              <w:pStyle w:val="TAC"/>
              <w:rPr>
                <w:lang w:eastAsia="en-US"/>
              </w:rPr>
            </w:pPr>
            <w:r w:rsidRPr="004D0DAA">
              <w:rPr>
                <w:lang w:eastAsia="en-US"/>
              </w:rPr>
              <w:t>00001</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A7B6F3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C65BD22"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4615B7B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A36A73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DB92BB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CDE8D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D69404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9D430B9" w14:textId="77777777" w:rsidR="00711444" w:rsidRPr="004D0DAA" w:rsidRDefault="00711444" w:rsidP="00AA2A4C">
            <w:pPr>
              <w:pStyle w:val="TAC"/>
              <w:rPr>
                <w:lang w:eastAsia="en-US"/>
              </w:rPr>
            </w:pPr>
          </w:p>
        </w:tc>
      </w:tr>
      <w:tr w:rsidR="00711444" w:rsidRPr="004D0DAA" w14:paraId="5F59E8D8"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6C7142FF" w14:textId="77777777" w:rsidR="00711444" w:rsidRPr="004D0DAA" w:rsidRDefault="00711444" w:rsidP="00AA2A4C">
            <w:pPr>
              <w:pStyle w:val="TAC"/>
              <w:rPr>
                <w:lang w:eastAsia="en-US"/>
              </w:rPr>
            </w:pPr>
            <w:r w:rsidRPr="004D0DAA">
              <w:rPr>
                <w:lang w:eastAsia="en-US"/>
              </w:rPr>
              <w:t>128</w:t>
            </w:r>
          </w:p>
        </w:tc>
        <w:tc>
          <w:tcPr>
            <w:tcW w:w="936" w:type="dxa"/>
            <w:tcBorders>
              <w:top w:val="single" w:sz="4" w:space="0" w:color="auto"/>
              <w:left w:val="single" w:sz="4" w:space="0" w:color="auto"/>
              <w:bottom w:val="single" w:sz="4" w:space="0" w:color="auto"/>
              <w:right w:val="single" w:sz="4" w:space="0" w:color="auto"/>
            </w:tcBorders>
          </w:tcPr>
          <w:p w14:paraId="50242141" w14:textId="77777777" w:rsidR="00711444" w:rsidRPr="004D0DAA" w:rsidRDefault="00711444" w:rsidP="00AA2A4C">
            <w:pPr>
              <w:pStyle w:val="TAC"/>
              <w:rPr>
                <w:lang w:eastAsia="en-US"/>
              </w:rPr>
            </w:pPr>
            <w:r w:rsidRPr="004D0DAA">
              <w:rPr>
                <w:lang w:eastAsia="en-US"/>
              </w:rPr>
              <w:t>00010</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51C94C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483774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284678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C8402A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F678AE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247A01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0D5A80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F9D4481" w14:textId="77777777" w:rsidR="00711444" w:rsidRPr="004D0DAA" w:rsidRDefault="00711444" w:rsidP="00AA2A4C">
            <w:pPr>
              <w:pStyle w:val="TAC"/>
              <w:rPr>
                <w:lang w:eastAsia="en-US"/>
              </w:rPr>
            </w:pPr>
          </w:p>
        </w:tc>
      </w:tr>
      <w:tr w:rsidR="00711444" w:rsidRPr="004D0DAA" w14:paraId="6D413F74"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17469A76" w14:textId="77777777" w:rsidR="00711444" w:rsidRPr="004D0DAA" w:rsidRDefault="00711444" w:rsidP="00AA2A4C">
            <w:pPr>
              <w:pStyle w:val="TAC"/>
              <w:rPr>
                <w:lang w:eastAsia="en-US"/>
              </w:rPr>
            </w:pPr>
            <w:r w:rsidRPr="004D0DAA">
              <w:rPr>
                <w:lang w:eastAsia="en-US"/>
              </w:rPr>
              <w:t>160</w:t>
            </w:r>
          </w:p>
        </w:tc>
        <w:tc>
          <w:tcPr>
            <w:tcW w:w="936" w:type="dxa"/>
            <w:tcBorders>
              <w:top w:val="single" w:sz="4" w:space="0" w:color="auto"/>
              <w:left w:val="single" w:sz="4" w:space="0" w:color="auto"/>
              <w:bottom w:val="single" w:sz="4" w:space="0" w:color="auto"/>
              <w:right w:val="single" w:sz="4" w:space="0" w:color="auto"/>
            </w:tcBorders>
          </w:tcPr>
          <w:p w14:paraId="0AA05B3D" w14:textId="77777777" w:rsidR="00711444" w:rsidRPr="004D0DAA" w:rsidRDefault="00711444" w:rsidP="00AA2A4C">
            <w:pPr>
              <w:pStyle w:val="TAC"/>
              <w:rPr>
                <w:lang w:eastAsia="en-US"/>
              </w:rPr>
            </w:pPr>
            <w:r w:rsidRPr="004D0DAA">
              <w:rPr>
                <w:lang w:eastAsia="en-US"/>
              </w:rPr>
              <w:t>00011</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4D8F9B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2F1CBE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12873FA"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7F5F87E"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224AB5D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72FD30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0C0658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004A52C" w14:textId="77777777" w:rsidR="00711444" w:rsidRPr="004D0DAA" w:rsidRDefault="00711444" w:rsidP="00AA2A4C">
            <w:pPr>
              <w:pStyle w:val="TAC"/>
              <w:rPr>
                <w:lang w:eastAsia="en-US"/>
              </w:rPr>
            </w:pPr>
          </w:p>
        </w:tc>
      </w:tr>
      <w:tr w:rsidR="00711444" w:rsidRPr="004D0DAA" w14:paraId="496CD2D8"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7B2C475D" w14:textId="77777777" w:rsidR="00711444" w:rsidRPr="004D0DAA" w:rsidRDefault="00711444" w:rsidP="00AA2A4C">
            <w:pPr>
              <w:pStyle w:val="TAC"/>
              <w:rPr>
                <w:lang w:eastAsia="en-US"/>
              </w:rPr>
            </w:pPr>
            <w:r w:rsidRPr="004D0DAA">
              <w:rPr>
                <w:lang w:eastAsia="en-US"/>
              </w:rPr>
              <w:t>192</w:t>
            </w:r>
          </w:p>
        </w:tc>
        <w:tc>
          <w:tcPr>
            <w:tcW w:w="936" w:type="dxa"/>
            <w:tcBorders>
              <w:top w:val="single" w:sz="4" w:space="0" w:color="auto"/>
              <w:left w:val="single" w:sz="4" w:space="0" w:color="auto"/>
              <w:bottom w:val="single" w:sz="4" w:space="0" w:color="auto"/>
              <w:right w:val="single" w:sz="4" w:space="0" w:color="auto"/>
            </w:tcBorders>
          </w:tcPr>
          <w:p w14:paraId="6CBAAF4C" w14:textId="77777777" w:rsidR="00711444" w:rsidRPr="004D0DAA" w:rsidRDefault="00711444" w:rsidP="00AA2A4C">
            <w:pPr>
              <w:pStyle w:val="TAC"/>
              <w:rPr>
                <w:lang w:eastAsia="en-US"/>
              </w:rPr>
            </w:pPr>
            <w:r w:rsidRPr="004D0DAA">
              <w:rPr>
                <w:lang w:eastAsia="en-US"/>
              </w:rPr>
              <w:t>00100</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0E3E1D5"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15B7F8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3E37F4A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3B23EC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81F3F6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1CFDD2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E633A3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FBD3A27" w14:textId="77777777" w:rsidR="00711444" w:rsidRPr="004D0DAA" w:rsidRDefault="00711444" w:rsidP="00AA2A4C">
            <w:pPr>
              <w:pStyle w:val="TAC"/>
              <w:rPr>
                <w:lang w:eastAsia="en-US"/>
              </w:rPr>
            </w:pPr>
          </w:p>
        </w:tc>
      </w:tr>
      <w:tr w:rsidR="00711444" w:rsidRPr="004D0DAA" w14:paraId="7274EB76"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6EE178DD" w14:textId="77777777" w:rsidR="00711444" w:rsidRPr="004D0DAA" w:rsidRDefault="00711444" w:rsidP="00AA2A4C">
            <w:pPr>
              <w:pStyle w:val="TAC"/>
              <w:rPr>
                <w:lang w:eastAsia="en-US"/>
              </w:rPr>
            </w:pPr>
            <w:r w:rsidRPr="004D0DAA">
              <w:rPr>
                <w:lang w:eastAsia="en-US"/>
              </w:rPr>
              <w:t>224</w:t>
            </w:r>
          </w:p>
        </w:tc>
        <w:tc>
          <w:tcPr>
            <w:tcW w:w="936" w:type="dxa"/>
            <w:tcBorders>
              <w:top w:val="single" w:sz="4" w:space="0" w:color="auto"/>
              <w:left w:val="single" w:sz="4" w:space="0" w:color="auto"/>
              <w:bottom w:val="single" w:sz="4" w:space="0" w:color="auto"/>
              <w:right w:val="single" w:sz="4" w:space="0" w:color="auto"/>
            </w:tcBorders>
          </w:tcPr>
          <w:p w14:paraId="5AE6B2AA" w14:textId="77777777" w:rsidR="00711444" w:rsidRPr="004D0DAA" w:rsidRDefault="00711444" w:rsidP="00AA2A4C">
            <w:pPr>
              <w:pStyle w:val="TAC"/>
              <w:rPr>
                <w:lang w:eastAsia="en-US"/>
              </w:rPr>
            </w:pPr>
            <w:r w:rsidRPr="004D0DAA">
              <w:rPr>
                <w:lang w:eastAsia="en-US"/>
              </w:rPr>
              <w:t>00101</w:t>
            </w:r>
          </w:p>
        </w:tc>
        <w:tc>
          <w:tcPr>
            <w:tcW w:w="657" w:type="dxa"/>
            <w:tcBorders>
              <w:top w:val="single" w:sz="4" w:space="0" w:color="auto"/>
              <w:left w:val="single" w:sz="4" w:space="0" w:color="auto"/>
              <w:bottom w:val="single" w:sz="4" w:space="0" w:color="auto"/>
              <w:right w:val="single" w:sz="4" w:space="0" w:color="auto"/>
            </w:tcBorders>
          </w:tcPr>
          <w:p w14:paraId="5F6111A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9F0059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81379B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E30ADE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C8D5E80"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666F229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08E459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D103958" w14:textId="77777777" w:rsidR="00711444" w:rsidRPr="004D0DAA" w:rsidRDefault="00711444" w:rsidP="00AA2A4C">
            <w:pPr>
              <w:pStyle w:val="TAC"/>
              <w:rPr>
                <w:lang w:eastAsia="en-US"/>
              </w:rPr>
            </w:pPr>
          </w:p>
        </w:tc>
      </w:tr>
      <w:tr w:rsidR="00711444" w:rsidRPr="004D0DAA" w14:paraId="0D6A4AD8"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0A7A0FDF" w14:textId="77777777" w:rsidR="00711444" w:rsidRPr="004D0DAA" w:rsidRDefault="00711444" w:rsidP="00AA2A4C">
            <w:pPr>
              <w:pStyle w:val="TAC"/>
              <w:rPr>
                <w:lang w:eastAsia="en-US"/>
              </w:rPr>
            </w:pPr>
            <w:r w:rsidRPr="004D0DAA">
              <w:rPr>
                <w:lang w:eastAsia="en-US"/>
              </w:rPr>
              <w:t>256</w:t>
            </w:r>
          </w:p>
        </w:tc>
        <w:tc>
          <w:tcPr>
            <w:tcW w:w="936" w:type="dxa"/>
            <w:tcBorders>
              <w:top w:val="single" w:sz="4" w:space="0" w:color="auto"/>
              <w:left w:val="single" w:sz="4" w:space="0" w:color="auto"/>
              <w:bottom w:val="single" w:sz="4" w:space="0" w:color="auto"/>
              <w:right w:val="single" w:sz="4" w:space="0" w:color="auto"/>
            </w:tcBorders>
          </w:tcPr>
          <w:p w14:paraId="07BF9730" w14:textId="77777777" w:rsidR="00711444" w:rsidRPr="004D0DAA" w:rsidRDefault="00711444" w:rsidP="00AA2A4C">
            <w:pPr>
              <w:pStyle w:val="TAC"/>
              <w:rPr>
                <w:lang w:eastAsia="en-US"/>
              </w:rPr>
            </w:pPr>
            <w:r w:rsidRPr="004D0DAA">
              <w:rPr>
                <w:lang w:eastAsia="en-US"/>
              </w:rPr>
              <w:t>00110</w:t>
            </w:r>
          </w:p>
        </w:tc>
        <w:tc>
          <w:tcPr>
            <w:tcW w:w="657" w:type="dxa"/>
            <w:tcBorders>
              <w:top w:val="single" w:sz="4" w:space="0" w:color="auto"/>
              <w:left w:val="single" w:sz="4" w:space="0" w:color="auto"/>
              <w:bottom w:val="single" w:sz="4" w:space="0" w:color="auto"/>
              <w:right w:val="single" w:sz="4" w:space="0" w:color="auto"/>
            </w:tcBorders>
          </w:tcPr>
          <w:p w14:paraId="5C17B04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3D180B6"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7438A7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52350C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6DF4E9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FD7D93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6B405D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34FF4AC" w14:textId="77777777" w:rsidR="00711444" w:rsidRPr="004D0DAA" w:rsidRDefault="00711444" w:rsidP="00AA2A4C">
            <w:pPr>
              <w:pStyle w:val="TAC"/>
              <w:rPr>
                <w:lang w:eastAsia="en-US"/>
              </w:rPr>
            </w:pPr>
          </w:p>
        </w:tc>
      </w:tr>
      <w:tr w:rsidR="00711444" w:rsidRPr="004D0DAA" w14:paraId="55113DFF"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1C60A93" w14:textId="77777777" w:rsidR="00711444" w:rsidRPr="004D0DAA" w:rsidRDefault="00711444" w:rsidP="00AA2A4C">
            <w:pPr>
              <w:pStyle w:val="TAC"/>
              <w:rPr>
                <w:lang w:eastAsia="en-US"/>
              </w:rPr>
            </w:pPr>
            <w:r w:rsidRPr="004D0DAA">
              <w:rPr>
                <w:lang w:eastAsia="en-US"/>
              </w:rPr>
              <w:t>288</w:t>
            </w:r>
          </w:p>
        </w:tc>
        <w:tc>
          <w:tcPr>
            <w:tcW w:w="936" w:type="dxa"/>
            <w:tcBorders>
              <w:top w:val="single" w:sz="4" w:space="0" w:color="auto"/>
              <w:left w:val="single" w:sz="4" w:space="0" w:color="auto"/>
              <w:bottom w:val="single" w:sz="4" w:space="0" w:color="auto"/>
              <w:right w:val="single" w:sz="4" w:space="0" w:color="auto"/>
            </w:tcBorders>
          </w:tcPr>
          <w:p w14:paraId="65907587" w14:textId="77777777" w:rsidR="00711444" w:rsidRPr="004D0DAA" w:rsidRDefault="00711444" w:rsidP="00AA2A4C">
            <w:pPr>
              <w:pStyle w:val="TAC"/>
              <w:rPr>
                <w:lang w:eastAsia="en-US"/>
              </w:rPr>
            </w:pPr>
            <w:r w:rsidRPr="004D0DAA">
              <w:rPr>
                <w:lang w:eastAsia="en-US"/>
              </w:rPr>
              <w:t>00111</w:t>
            </w:r>
          </w:p>
        </w:tc>
        <w:tc>
          <w:tcPr>
            <w:tcW w:w="657" w:type="dxa"/>
            <w:tcBorders>
              <w:top w:val="single" w:sz="4" w:space="0" w:color="auto"/>
              <w:left w:val="single" w:sz="4" w:space="0" w:color="auto"/>
              <w:bottom w:val="single" w:sz="4" w:space="0" w:color="auto"/>
              <w:right w:val="single" w:sz="4" w:space="0" w:color="auto"/>
            </w:tcBorders>
          </w:tcPr>
          <w:p w14:paraId="71F9AAD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21CAC9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114E6D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9E9318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21DFD7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3913D2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5E4F91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C347FA3" w14:textId="77777777" w:rsidR="00711444" w:rsidRPr="004D0DAA" w:rsidRDefault="00711444" w:rsidP="00AA2A4C">
            <w:pPr>
              <w:pStyle w:val="TAC"/>
              <w:rPr>
                <w:lang w:eastAsia="en-US"/>
              </w:rPr>
            </w:pPr>
          </w:p>
        </w:tc>
      </w:tr>
      <w:tr w:rsidR="00711444" w:rsidRPr="004D0DAA" w14:paraId="14DC10B6"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118438CE" w14:textId="77777777" w:rsidR="00711444" w:rsidRPr="004D0DAA" w:rsidRDefault="00711444" w:rsidP="00AA2A4C">
            <w:pPr>
              <w:pStyle w:val="TAC"/>
              <w:rPr>
                <w:lang w:eastAsia="en-US"/>
              </w:rPr>
            </w:pPr>
            <w:r w:rsidRPr="004D0DAA">
              <w:rPr>
                <w:lang w:eastAsia="en-US"/>
              </w:rPr>
              <w:t>320</w:t>
            </w:r>
          </w:p>
        </w:tc>
        <w:tc>
          <w:tcPr>
            <w:tcW w:w="936" w:type="dxa"/>
            <w:tcBorders>
              <w:top w:val="single" w:sz="4" w:space="0" w:color="auto"/>
              <w:left w:val="single" w:sz="4" w:space="0" w:color="auto"/>
              <w:bottom w:val="single" w:sz="4" w:space="0" w:color="auto"/>
              <w:right w:val="single" w:sz="4" w:space="0" w:color="auto"/>
            </w:tcBorders>
          </w:tcPr>
          <w:p w14:paraId="1883F029" w14:textId="77777777" w:rsidR="00711444" w:rsidRPr="004D0DAA" w:rsidRDefault="00711444" w:rsidP="00AA2A4C">
            <w:pPr>
              <w:pStyle w:val="TAC"/>
              <w:rPr>
                <w:lang w:eastAsia="en-US"/>
              </w:rPr>
            </w:pPr>
            <w:r w:rsidRPr="004D0DAA">
              <w:rPr>
                <w:lang w:eastAsia="en-US"/>
              </w:rPr>
              <w:t>01000</w:t>
            </w:r>
          </w:p>
        </w:tc>
        <w:tc>
          <w:tcPr>
            <w:tcW w:w="657" w:type="dxa"/>
            <w:tcBorders>
              <w:top w:val="single" w:sz="4" w:space="0" w:color="auto"/>
              <w:left w:val="single" w:sz="4" w:space="0" w:color="auto"/>
              <w:bottom w:val="single" w:sz="4" w:space="0" w:color="auto"/>
              <w:right w:val="single" w:sz="4" w:space="0" w:color="auto"/>
            </w:tcBorders>
          </w:tcPr>
          <w:p w14:paraId="18A106A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488D92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0FFBEF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E4E68F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11CC38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78549E4"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6F70666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61453B5" w14:textId="77777777" w:rsidR="00711444" w:rsidRPr="004D0DAA" w:rsidRDefault="00711444" w:rsidP="00AA2A4C">
            <w:pPr>
              <w:pStyle w:val="TAC"/>
              <w:rPr>
                <w:lang w:eastAsia="en-US"/>
              </w:rPr>
            </w:pPr>
          </w:p>
        </w:tc>
      </w:tr>
      <w:tr w:rsidR="00711444" w:rsidRPr="004D0DAA" w14:paraId="64F5BA36"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5979D44E" w14:textId="77777777" w:rsidR="00711444" w:rsidRPr="004D0DAA" w:rsidRDefault="00711444" w:rsidP="00AA2A4C">
            <w:pPr>
              <w:pStyle w:val="TAC"/>
              <w:rPr>
                <w:lang w:eastAsia="en-US"/>
              </w:rPr>
            </w:pPr>
            <w:r w:rsidRPr="004D0DAA">
              <w:rPr>
                <w:lang w:eastAsia="en-US"/>
              </w:rPr>
              <w:t>352</w:t>
            </w:r>
          </w:p>
        </w:tc>
        <w:tc>
          <w:tcPr>
            <w:tcW w:w="936" w:type="dxa"/>
            <w:tcBorders>
              <w:top w:val="single" w:sz="4" w:space="0" w:color="auto"/>
              <w:left w:val="single" w:sz="4" w:space="0" w:color="auto"/>
              <w:bottom w:val="single" w:sz="4" w:space="0" w:color="auto"/>
              <w:right w:val="single" w:sz="4" w:space="0" w:color="auto"/>
            </w:tcBorders>
          </w:tcPr>
          <w:p w14:paraId="31D2AB66" w14:textId="77777777" w:rsidR="00711444" w:rsidRPr="004D0DAA" w:rsidRDefault="00711444" w:rsidP="00AA2A4C">
            <w:pPr>
              <w:pStyle w:val="TAC"/>
              <w:rPr>
                <w:lang w:eastAsia="en-US"/>
              </w:rPr>
            </w:pPr>
            <w:r w:rsidRPr="004D0DAA">
              <w:rPr>
                <w:lang w:eastAsia="en-US"/>
              </w:rPr>
              <w:t>01001</w:t>
            </w:r>
          </w:p>
        </w:tc>
        <w:tc>
          <w:tcPr>
            <w:tcW w:w="657" w:type="dxa"/>
            <w:tcBorders>
              <w:top w:val="single" w:sz="4" w:space="0" w:color="auto"/>
              <w:left w:val="single" w:sz="4" w:space="0" w:color="auto"/>
              <w:bottom w:val="single" w:sz="4" w:space="0" w:color="auto"/>
              <w:right w:val="single" w:sz="4" w:space="0" w:color="auto"/>
            </w:tcBorders>
          </w:tcPr>
          <w:p w14:paraId="7A06339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AF5B89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FB659A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3199763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758F81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B31871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618017B" w14:textId="77777777" w:rsidR="00711444" w:rsidRPr="004D0DAA" w:rsidRDefault="00711444" w:rsidP="00AA2A4C">
            <w:pPr>
              <w:pStyle w:val="TAC"/>
              <w:rPr>
                <w:lang w:eastAsia="en-US"/>
              </w:rPr>
            </w:pPr>
            <w:r w:rsidRPr="004D0DAA">
              <w:rPr>
                <w:lang w:eastAsia="en-US"/>
              </w:rPr>
              <w:t>Min</w:t>
            </w:r>
          </w:p>
        </w:tc>
        <w:tc>
          <w:tcPr>
            <w:tcW w:w="657" w:type="dxa"/>
            <w:tcBorders>
              <w:top w:val="single" w:sz="4" w:space="0" w:color="auto"/>
              <w:left w:val="single" w:sz="4" w:space="0" w:color="auto"/>
              <w:bottom w:val="single" w:sz="4" w:space="0" w:color="auto"/>
              <w:right w:val="single" w:sz="4" w:space="0" w:color="auto"/>
            </w:tcBorders>
          </w:tcPr>
          <w:p w14:paraId="31FD7EC9" w14:textId="77777777" w:rsidR="00711444" w:rsidRPr="004D0DAA" w:rsidRDefault="00711444" w:rsidP="00AA2A4C">
            <w:pPr>
              <w:pStyle w:val="TAC"/>
              <w:rPr>
                <w:lang w:eastAsia="en-US"/>
              </w:rPr>
            </w:pPr>
          </w:p>
        </w:tc>
      </w:tr>
      <w:tr w:rsidR="00711444" w:rsidRPr="004D0DAA" w14:paraId="45D1355E"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1F5979D" w14:textId="77777777" w:rsidR="00711444" w:rsidRPr="004D0DAA" w:rsidRDefault="00711444" w:rsidP="00AA2A4C">
            <w:pPr>
              <w:pStyle w:val="TAC"/>
              <w:rPr>
                <w:lang w:eastAsia="en-US"/>
              </w:rPr>
            </w:pPr>
            <w:r w:rsidRPr="004D0DAA">
              <w:rPr>
                <w:lang w:eastAsia="en-US"/>
              </w:rPr>
              <w:t>384</w:t>
            </w:r>
          </w:p>
        </w:tc>
        <w:tc>
          <w:tcPr>
            <w:tcW w:w="936" w:type="dxa"/>
            <w:tcBorders>
              <w:top w:val="single" w:sz="4" w:space="0" w:color="auto"/>
              <w:left w:val="single" w:sz="4" w:space="0" w:color="auto"/>
              <w:bottom w:val="single" w:sz="4" w:space="0" w:color="auto"/>
              <w:right w:val="single" w:sz="4" w:space="0" w:color="auto"/>
            </w:tcBorders>
          </w:tcPr>
          <w:p w14:paraId="05C62E64" w14:textId="77777777" w:rsidR="00711444" w:rsidRPr="004D0DAA" w:rsidRDefault="00711444" w:rsidP="00AA2A4C">
            <w:pPr>
              <w:pStyle w:val="TAC"/>
              <w:rPr>
                <w:lang w:eastAsia="en-US"/>
              </w:rPr>
            </w:pPr>
            <w:r w:rsidRPr="004D0DAA">
              <w:rPr>
                <w:lang w:eastAsia="en-US"/>
              </w:rPr>
              <w:t>01010</w:t>
            </w:r>
          </w:p>
        </w:tc>
        <w:tc>
          <w:tcPr>
            <w:tcW w:w="657" w:type="dxa"/>
            <w:tcBorders>
              <w:top w:val="single" w:sz="4" w:space="0" w:color="auto"/>
              <w:left w:val="single" w:sz="4" w:space="0" w:color="auto"/>
              <w:bottom w:val="single" w:sz="4" w:space="0" w:color="auto"/>
              <w:right w:val="single" w:sz="4" w:space="0" w:color="auto"/>
            </w:tcBorders>
          </w:tcPr>
          <w:p w14:paraId="1EEE695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B4B7B6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9CB027A"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C2AE22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432D83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D9DC55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8A7A0B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1CCB890" w14:textId="77777777" w:rsidR="00711444" w:rsidRPr="004D0DAA" w:rsidRDefault="00711444" w:rsidP="00AA2A4C">
            <w:pPr>
              <w:pStyle w:val="TAC"/>
              <w:rPr>
                <w:lang w:eastAsia="en-US"/>
              </w:rPr>
            </w:pPr>
          </w:p>
        </w:tc>
      </w:tr>
      <w:tr w:rsidR="00711444" w:rsidRPr="004D0DAA" w14:paraId="2221B3D0"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05F934D0" w14:textId="77777777" w:rsidR="00711444" w:rsidRPr="004D0DAA" w:rsidRDefault="00711444" w:rsidP="00AA2A4C">
            <w:pPr>
              <w:pStyle w:val="TAC"/>
              <w:rPr>
                <w:lang w:eastAsia="en-US"/>
              </w:rPr>
            </w:pPr>
            <w:r w:rsidRPr="004D0DAA">
              <w:rPr>
                <w:lang w:eastAsia="en-US"/>
              </w:rPr>
              <w:t>416</w:t>
            </w:r>
          </w:p>
        </w:tc>
        <w:tc>
          <w:tcPr>
            <w:tcW w:w="936" w:type="dxa"/>
            <w:tcBorders>
              <w:top w:val="single" w:sz="4" w:space="0" w:color="auto"/>
              <w:left w:val="single" w:sz="4" w:space="0" w:color="auto"/>
              <w:bottom w:val="single" w:sz="4" w:space="0" w:color="auto"/>
              <w:right w:val="single" w:sz="4" w:space="0" w:color="auto"/>
            </w:tcBorders>
          </w:tcPr>
          <w:p w14:paraId="446BC4FD" w14:textId="77777777" w:rsidR="00711444" w:rsidRPr="004D0DAA" w:rsidRDefault="00711444" w:rsidP="00AA2A4C">
            <w:pPr>
              <w:pStyle w:val="TAC"/>
              <w:rPr>
                <w:lang w:eastAsia="en-US"/>
              </w:rPr>
            </w:pPr>
            <w:r w:rsidRPr="004D0DAA">
              <w:rPr>
                <w:lang w:eastAsia="en-US"/>
              </w:rPr>
              <w:t>01011</w:t>
            </w:r>
          </w:p>
        </w:tc>
        <w:tc>
          <w:tcPr>
            <w:tcW w:w="657" w:type="dxa"/>
            <w:tcBorders>
              <w:top w:val="single" w:sz="4" w:space="0" w:color="auto"/>
              <w:left w:val="single" w:sz="4" w:space="0" w:color="auto"/>
              <w:bottom w:val="single" w:sz="4" w:space="0" w:color="auto"/>
              <w:right w:val="single" w:sz="4" w:space="0" w:color="auto"/>
            </w:tcBorders>
          </w:tcPr>
          <w:p w14:paraId="7570E4F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70BD2E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BA6002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A604F5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3BD012D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3870C82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9BC7E6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F4917C5" w14:textId="77777777" w:rsidR="00711444" w:rsidRPr="004D0DAA" w:rsidRDefault="00711444" w:rsidP="00AA2A4C">
            <w:pPr>
              <w:pStyle w:val="TAC"/>
              <w:rPr>
                <w:lang w:eastAsia="en-US"/>
              </w:rPr>
            </w:pPr>
          </w:p>
        </w:tc>
      </w:tr>
      <w:tr w:rsidR="00711444" w:rsidRPr="004D0DAA" w14:paraId="777C67DA"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01FC04D6" w14:textId="77777777" w:rsidR="00711444" w:rsidRPr="004D0DAA" w:rsidRDefault="00711444" w:rsidP="00AA2A4C">
            <w:pPr>
              <w:pStyle w:val="TAC"/>
              <w:rPr>
                <w:lang w:eastAsia="en-US"/>
              </w:rPr>
            </w:pPr>
            <w:r w:rsidRPr="004D0DAA">
              <w:rPr>
                <w:lang w:eastAsia="en-US"/>
              </w:rPr>
              <w:t>448</w:t>
            </w:r>
          </w:p>
        </w:tc>
        <w:tc>
          <w:tcPr>
            <w:tcW w:w="936" w:type="dxa"/>
            <w:tcBorders>
              <w:top w:val="single" w:sz="4" w:space="0" w:color="auto"/>
              <w:left w:val="single" w:sz="4" w:space="0" w:color="auto"/>
              <w:bottom w:val="single" w:sz="4" w:space="0" w:color="auto"/>
              <w:right w:val="single" w:sz="4" w:space="0" w:color="auto"/>
            </w:tcBorders>
          </w:tcPr>
          <w:p w14:paraId="3C524A27" w14:textId="77777777" w:rsidR="00711444" w:rsidRPr="004D0DAA" w:rsidRDefault="00711444" w:rsidP="00AA2A4C">
            <w:pPr>
              <w:pStyle w:val="TAC"/>
              <w:rPr>
                <w:lang w:eastAsia="en-US"/>
              </w:rPr>
            </w:pPr>
            <w:r w:rsidRPr="004D0DAA">
              <w:rPr>
                <w:lang w:eastAsia="en-US"/>
              </w:rPr>
              <w:t>01100</w:t>
            </w:r>
          </w:p>
        </w:tc>
        <w:tc>
          <w:tcPr>
            <w:tcW w:w="657" w:type="dxa"/>
            <w:tcBorders>
              <w:top w:val="single" w:sz="4" w:space="0" w:color="auto"/>
              <w:left w:val="single" w:sz="4" w:space="0" w:color="auto"/>
              <w:bottom w:val="single" w:sz="4" w:space="0" w:color="auto"/>
              <w:right w:val="single" w:sz="4" w:space="0" w:color="auto"/>
            </w:tcBorders>
          </w:tcPr>
          <w:p w14:paraId="3BF38DC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993642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6755FD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FE9AB3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25B4CF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3A407E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6D00BE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6654E60" w14:textId="77777777" w:rsidR="00711444" w:rsidRPr="004D0DAA" w:rsidRDefault="00711444" w:rsidP="00AA2A4C">
            <w:pPr>
              <w:pStyle w:val="TAC"/>
              <w:rPr>
                <w:lang w:eastAsia="en-US"/>
              </w:rPr>
            </w:pPr>
          </w:p>
        </w:tc>
      </w:tr>
      <w:tr w:rsidR="00711444" w:rsidRPr="004D0DAA" w14:paraId="0875FA13"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7AA91220" w14:textId="77777777" w:rsidR="00711444" w:rsidRPr="004D0DAA" w:rsidRDefault="00711444" w:rsidP="00AA2A4C">
            <w:pPr>
              <w:pStyle w:val="TAC"/>
              <w:rPr>
                <w:lang w:eastAsia="en-US"/>
              </w:rPr>
            </w:pPr>
            <w:r w:rsidRPr="004D0DAA">
              <w:rPr>
                <w:lang w:eastAsia="en-US"/>
              </w:rPr>
              <w:t>480</w:t>
            </w:r>
          </w:p>
        </w:tc>
        <w:tc>
          <w:tcPr>
            <w:tcW w:w="936" w:type="dxa"/>
            <w:tcBorders>
              <w:top w:val="single" w:sz="4" w:space="0" w:color="auto"/>
              <w:left w:val="single" w:sz="4" w:space="0" w:color="auto"/>
              <w:bottom w:val="single" w:sz="4" w:space="0" w:color="auto"/>
              <w:right w:val="single" w:sz="4" w:space="0" w:color="auto"/>
            </w:tcBorders>
          </w:tcPr>
          <w:p w14:paraId="43294040" w14:textId="77777777" w:rsidR="00711444" w:rsidRPr="004D0DAA" w:rsidRDefault="00711444" w:rsidP="00AA2A4C">
            <w:pPr>
              <w:pStyle w:val="TAC"/>
              <w:rPr>
                <w:lang w:eastAsia="en-US"/>
              </w:rPr>
            </w:pPr>
            <w:r w:rsidRPr="004D0DAA">
              <w:rPr>
                <w:lang w:eastAsia="en-US"/>
              </w:rPr>
              <w:t>01101</w:t>
            </w:r>
          </w:p>
        </w:tc>
        <w:tc>
          <w:tcPr>
            <w:tcW w:w="657" w:type="dxa"/>
            <w:tcBorders>
              <w:top w:val="single" w:sz="4" w:space="0" w:color="auto"/>
              <w:left w:val="single" w:sz="4" w:space="0" w:color="auto"/>
              <w:bottom w:val="single" w:sz="4" w:space="0" w:color="auto"/>
              <w:right w:val="single" w:sz="4" w:space="0" w:color="auto"/>
            </w:tcBorders>
          </w:tcPr>
          <w:p w14:paraId="20929D0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9E33B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731B83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975B2B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355AC9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8CAC06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542DA1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0B5C5E6" w14:textId="77777777" w:rsidR="00711444" w:rsidRPr="004D0DAA" w:rsidRDefault="00711444" w:rsidP="00AA2A4C">
            <w:pPr>
              <w:pStyle w:val="TAC"/>
              <w:rPr>
                <w:lang w:eastAsia="en-US"/>
              </w:rPr>
            </w:pPr>
          </w:p>
        </w:tc>
      </w:tr>
      <w:tr w:rsidR="00711444" w:rsidRPr="004D0DAA" w14:paraId="0B187437"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31076593" w14:textId="77777777" w:rsidR="00711444" w:rsidRPr="004D0DAA" w:rsidRDefault="00711444" w:rsidP="00AA2A4C">
            <w:pPr>
              <w:pStyle w:val="TAC"/>
              <w:rPr>
                <w:lang w:eastAsia="en-US"/>
              </w:rPr>
            </w:pPr>
            <w:r w:rsidRPr="004D0DAA">
              <w:rPr>
                <w:lang w:eastAsia="en-US"/>
              </w:rPr>
              <w:t>512</w:t>
            </w:r>
          </w:p>
        </w:tc>
        <w:tc>
          <w:tcPr>
            <w:tcW w:w="936" w:type="dxa"/>
            <w:tcBorders>
              <w:top w:val="single" w:sz="4" w:space="0" w:color="auto"/>
              <w:left w:val="single" w:sz="4" w:space="0" w:color="auto"/>
              <w:bottom w:val="single" w:sz="4" w:space="0" w:color="auto"/>
              <w:right w:val="single" w:sz="4" w:space="0" w:color="auto"/>
            </w:tcBorders>
          </w:tcPr>
          <w:p w14:paraId="03D07480" w14:textId="77777777" w:rsidR="00711444" w:rsidRPr="004D0DAA" w:rsidRDefault="00711444" w:rsidP="00AA2A4C">
            <w:pPr>
              <w:pStyle w:val="TAC"/>
              <w:rPr>
                <w:lang w:eastAsia="en-US"/>
              </w:rPr>
            </w:pPr>
            <w:r w:rsidRPr="004D0DAA">
              <w:rPr>
                <w:lang w:eastAsia="en-US"/>
              </w:rPr>
              <w:t>01110</w:t>
            </w:r>
          </w:p>
        </w:tc>
        <w:tc>
          <w:tcPr>
            <w:tcW w:w="657" w:type="dxa"/>
            <w:tcBorders>
              <w:top w:val="single" w:sz="4" w:space="0" w:color="auto"/>
              <w:left w:val="single" w:sz="4" w:space="0" w:color="auto"/>
              <w:bottom w:val="single" w:sz="4" w:space="0" w:color="auto"/>
              <w:right w:val="single" w:sz="4" w:space="0" w:color="auto"/>
            </w:tcBorders>
          </w:tcPr>
          <w:p w14:paraId="6F11F98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F9EEEF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F42265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7C4A7D4"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auto" w:fill="FFFFFF"/>
          </w:tcPr>
          <w:p w14:paraId="6E671E8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050BB2F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CDE240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118AFAD" w14:textId="77777777" w:rsidR="00711444" w:rsidRPr="004D0DAA" w:rsidRDefault="00711444" w:rsidP="00AA2A4C">
            <w:pPr>
              <w:pStyle w:val="TAC"/>
              <w:rPr>
                <w:lang w:eastAsia="en-US"/>
              </w:rPr>
            </w:pPr>
            <w:r w:rsidRPr="004D0DAA">
              <w:rPr>
                <w:lang w:eastAsia="en-US"/>
              </w:rPr>
              <w:t>Min</w:t>
            </w:r>
          </w:p>
        </w:tc>
      </w:tr>
      <w:tr w:rsidR="00711444" w:rsidRPr="004D0DAA" w14:paraId="49CFCC2D"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42F18D4" w14:textId="77777777" w:rsidR="00711444" w:rsidRPr="004D0DAA" w:rsidRDefault="00711444" w:rsidP="00AA2A4C">
            <w:pPr>
              <w:pStyle w:val="TAC"/>
              <w:rPr>
                <w:lang w:eastAsia="en-US"/>
              </w:rPr>
            </w:pPr>
            <w:r w:rsidRPr="004D0DAA">
              <w:rPr>
                <w:lang w:eastAsia="en-US"/>
              </w:rPr>
              <w:t>544</w:t>
            </w:r>
          </w:p>
        </w:tc>
        <w:tc>
          <w:tcPr>
            <w:tcW w:w="936" w:type="dxa"/>
            <w:tcBorders>
              <w:top w:val="single" w:sz="4" w:space="0" w:color="auto"/>
              <w:left w:val="single" w:sz="4" w:space="0" w:color="auto"/>
              <w:bottom w:val="single" w:sz="4" w:space="0" w:color="auto"/>
              <w:right w:val="single" w:sz="4" w:space="0" w:color="auto"/>
            </w:tcBorders>
          </w:tcPr>
          <w:p w14:paraId="5DD8555B" w14:textId="77777777" w:rsidR="00711444" w:rsidRPr="004D0DAA" w:rsidRDefault="00711444" w:rsidP="00AA2A4C">
            <w:pPr>
              <w:pStyle w:val="TAC"/>
              <w:rPr>
                <w:lang w:eastAsia="en-US"/>
              </w:rPr>
            </w:pPr>
            <w:r w:rsidRPr="004D0DAA">
              <w:rPr>
                <w:lang w:eastAsia="en-US"/>
              </w:rPr>
              <w:t>01111</w:t>
            </w:r>
          </w:p>
        </w:tc>
        <w:tc>
          <w:tcPr>
            <w:tcW w:w="657" w:type="dxa"/>
            <w:tcBorders>
              <w:top w:val="single" w:sz="4" w:space="0" w:color="auto"/>
              <w:left w:val="single" w:sz="4" w:space="0" w:color="auto"/>
              <w:bottom w:val="single" w:sz="4" w:space="0" w:color="auto"/>
              <w:right w:val="single" w:sz="4" w:space="0" w:color="auto"/>
            </w:tcBorders>
          </w:tcPr>
          <w:p w14:paraId="4F4F63D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B5280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7CCC1D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534811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A49F7A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2AD708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2C35FE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C433833" w14:textId="77777777" w:rsidR="00711444" w:rsidRPr="004D0DAA" w:rsidRDefault="00711444" w:rsidP="00AA2A4C">
            <w:pPr>
              <w:pStyle w:val="TAC"/>
              <w:rPr>
                <w:lang w:eastAsia="en-US"/>
              </w:rPr>
            </w:pPr>
          </w:p>
        </w:tc>
      </w:tr>
      <w:tr w:rsidR="00711444" w:rsidRPr="004D0DAA" w14:paraId="4E0524AE"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3D8B769" w14:textId="77777777" w:rsidR="00711444" w:rsidRPr="004D0DAA" w:rsidRDefault="00711444" w:rsidP="00AA2A4C">
            <w:pPr>
              <w:pStyle w:val="TAC"/>
              <w:rPr>
                <w:lang w:eastAsia="en-US"/>
              </w:rPr>
            </w:pPr>
            <w:r w:rsidRPr="004D0DAA">
              <w:rPr>
                <w:lang w:eastAsia="en-US"/>
              </w:rPr>
              <w:t>576</w:t>
            </w:r>
          </w:p>
        </w:tc>
        <w:tc>
          <w:tcPr>
            <w:tcW w:w="936" w:type="dxa"/>
            <w:tcBorders>
              <w:top w:val="single" w:sz="4" w:space="0" w:color="auto"/>
              <w:left w:val="single" w:sz="4" w:space="0" w:color="auto"/>
              <w:bottom w:val="single" w:sz="4" w:space="0" w:color="auto"/>
              <w:right w:val="single" w:sz="4" w:space="0" w:color="auto"/>
            </w:tcBorders>
          </w:tcPr>
          <w:p w14:paraId="6C01018C" w14:textId="77777777" w:rsidR="00711444" w:rsidRPr="004D0DAA" w:rsidRDefault="00711444" w:rsidP="00AA2A4C">
            <w:pPr>
              <w:pStyle w:val="TAC"/>
              <w:rPr>
                <w:lang w:eastAsia="en-US"/>
              </w:rPr>
            </w:pPr>
            <w:r w:rsidRPr="004D0DAA">
              <w:rPr>
                <w:lang w:eastAsia="en-US"/>
              </w:rPr>
              <w:t>10000</w:t>
            </w:r>
          </w:p>
        </w:tc>
        <w:tc>
          <w:tcPr>
            <w:tcW w:w="657" w:type="dxa"/>
            <w:tcBorders>
              <w:top w:val="single" w:sz="4" w:space="0" w:color="auto"/>
              <w:left w:val="single" w:sz="4" w:space="0" w:color="auto"/>
              <w:bottom w:val="single" w:sz="4" w:space="0" w:color="auto"/>
              <w:right w:val="single" w:sz="4" w:space="0" w:color="auto"/>
            </w:tcBorders>
          </w:tcPr>
          <w:p w14:paraId="7DA53FD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78FB94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FC2E6D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31E224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616519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3145E0F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0D4DB1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0E50BDE" w14:textId="77777777" w:rsidR="00711444" w:rsidRPr="004D0DAA" w:rsidRDefault="00711444" w:rsidP="00AA2A4C">
            <w:pPr>
              <w:pStyle w:val="TAC"/>
              <w:rPr>
                <w:lang w:eastAsia="en-US"/>
              </w:rPr>
            </w:pPr>
          </w:p>
        </w:tc>
      </w:tr>
      <w:tr w:rsidR="00711444" w:rsidRPr="004D0DAA" w14:paraId="77910BF2"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365D09AB" w14:textId="77777777" w:rsidR="00711444" w:rsidRPr="004D0DAA" w:rsidRDefault="00711444" w:rsidP="00AA2A4C">
            <w:pPr>
              <w:pStyle w:val="TAC"/>
              <w:rPr>
                <w:lang w:eastAsia="en-US"/>
              </w:rPr>
            </w:pPr>
            <w:r w:rsidRPr="004D0DAA">
              <w:rPr>
                <w:lang w:eastAsia="en-US"/>
              </w:rPr>
              <w:t>608</w:t>
            </w:r>
          </w:p>
        </w:tc>
        <w:tc>
          <w:tcPr>
            <w:tcW w:w="936" w:type="dxa"/>
            <w:tcBorders>
              <w:top w:val="single" w:sz="4" w:space="0" w:color="auto"/>
              <w:left w:val="single" w:sz="4" w:space="0" w:color="auto"/>
              <w:bottom w:val="single" w:sz="4" w:space="0" w:color="auto"/>
              <w:right w:val="single" w:sz="4" w:space="0" w:color="auto"/>
            </w:tcBorders>
          </w:tcPr>
          <w:p w14:paraId="2A48B286" w14:textId="77777777" w:rsidR="00711444" w:rsidRPr="004D0DAA" w:rsidRDefault="00711444" w:rsidP="00AA2A4C">
            <w:pPr>
              <w:pStyle w:val="TAC"/>
              <w:rPr>
                <w:lang w:eastAsia="en-US"/>
              </w:rPr>
            </w:pPr>
            <w:r w:rsidRPr="004D0DAA">
              <w:rPr>
                <w:lang w:eastAsia="en-US"/>
              </w:rPr>
              <w:t>10001</w:t>
            </w:r>
          </w:p>
        </w:tc>
        <w:tc>
          <w:tcPr>
            <w:tcW w:w="657" w:type="dxa"/>
            <w:tcBorders>
              <w:top w:val="single" w:sz="4" w:space="0" w:color="auto"/>
              <w:left w:val="single" w:sz="4" w:space="0" w:color="auto"/>
              <w:bottom w:val="single" w:sz="4" w:space="0" w:color="auto"/>
              <w:right w:val="single" w:sz="4" w:space="0" w:color="auto"/>
            </w:tcBorders>
          </w:tcPr>
          <w:p w14:paraId="41F58A8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3CF702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80F24B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801884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3DD6044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66EF4A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9ABA05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8336AB2" w14:textId="77777777" w:rsidR="00711444" w:rsidRPr="004D0DAA" w:rsidRDefault="00711444" w:rsidP="00AA2A4C">
            <w:pPr>
              <w:pStyle w:val="TAC"/>
              <w:rPr>
                <w:lang w:eastAsia="en-US"/>
              </w:rPr>
            </w:pPr>
          </w:p>
        </w:tc>
      </w:tr>
      <w:tr w:rsidR="00711444" w:rsidRPr="004D0DAA" w14:paraId="102C12F1"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12844897" w14:textId="77777777" w:rsidR="00711444" w:rsidRPr="004D0DAA" w:rsidRDefault="00711444" w:rsidP="00AA2A4C">
            <w:pPr>
              <w:pStyle w:val="TAC"/>
              <w:rPr>
                <w:lang w:eastAsia="en-US"/>
              </w:rPr>
            </w:pPr>
            <w:r w:rsidRPr="004D0DAA">
              <w:rPr>
                <w:lang w:eastAsia="en-US"/>
              </w:rPr>
              <w:t>640</w:t>
            </w:r>
          </w:p>
        </w:tc>
        <w:tc>
          <w:tcPr>
            <w:tcW w:w="936" w:type="dxa"/>
            <w:tcBorders>
              <w:top w:val="single" w:sz="4" w:space="0" w:color="auto"/>
              <w:left w:val="single" w:sz="4" w:space="0" w:color="auto"/>
              <w:bottom w:val="single" w:sz="4" w:space="0" w:color="auto"/>
              <w:right w:val="single" w:sz="4" w:space="0" w:color="auto"/>
            </w:tcBorders>
          </w:tcPr>
          <w:p w14:paraId="77E17E20" w14:textId="77777777" w:rsidR="00711444" w:rsidRPr="004D0DAA" w:rsidRDefault="00711444" w:rsidP="00AA2A4C">
            <w:pPr>
              <w:pStyle w:val="TAC"/>
              <w:rPr>
                <w:lang w:eastAsia="en-US"/>
              </w:rPr>
            </w:pPr>
            <w:r w:rsidRPr="004D0DAA">
              <w:rPr>
                <w:lang w:eastAsia="en-US"/>
              </w:rPr>
              <w:t>10010</w:t>
            </w:r>
          </w:p>
        </w:tc>
        <w:tc>
          <w:tcPr>
            <w:tcW w:w="657" w:type="dxa"/>
            <w:tcBorders>
              <w:top w:val="single" w:sz="4" w:space="0" w:color="auto"/>
              <w:left w:val="single" w:sz="4" w:space="0" w:color="auto"/>
              <w:bottom w:val="single" w:sz="4" w:space="0" w:color="auto"/>
              <w:right w:val="single" w:sz="4" w:space="0" w:color="auto"/>
            </w:tcBorders>
          </w:tcPr>
          <w:p w14:paraId="20B0977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1AEDA2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BF355D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13207B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75F61DB"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139EEF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692575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72DB957" w14:textId="77777777" w:rsidR="00711444" w:rsidRPr="004D0DAA" w:rsidRDefault="00711444" w:rsidP="00AA2A4C">
            <w:pPr>
              <w:pStyle w:val="TAC"/>
              <w:rPr>
                <w:lang w:eastAsia="en-US"/>
              </w:rPr>
            </w:pPr>
          </w:p>
        </w:tc>
      </w:tr>
      <w:tr w:rsidR="00711444" w:rsidRPr="004D0DAA" w14:paraId="4ED1A3E0"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05DF588F" w14:textId="77777777" w:rsidR="00711444" w:rsidRPr="004D0DAA" w:rsidRDefault="00711444" w:rsidP="00AA2A4C">
            <w:pPr>
              <w:pStyle w:val="TAC"/>
              <w:rPr>
                <w:lang w:eastAsia="en-US"/>
              </w:rPr>
            </w:pPr>
            <w:r w:rsidRPr="004D0DAA">
              <w:rPr>
                <w:lang w:eastAsia="en-US"/>
              </w:rPr>
              <w:t>672</w:t>
            </w:r>
          </w:p>
        </w:tc>
        <w:tc>
          <w:tcPr>
            <w:tcW w:w="936" w:type="dxa"/>
            <w:tcBorders>
              <w:top w:val="single" w:sz="4" w:space="0" w:color="auto"/>
              <w:left w:val="single" w:sz="4" w:space="0" w:color="auto"/>
              <w:bottom w:val="single" w:sz="4" w:space="0" w:color="auto"/>
              <w:right w:val="single" w:sz="4" w:space="0" w:color="auto"/>
            </w:tcBorders>
          </w:tcPr>
          <w:p w14:paraId="6455117B" w14:textId="77777777" w:rsidR="00711444" w:rsidRPr="004D0DAA" w:rsidRDefault="00711444" w:rsidP="00AA2A4C">
            <w:pPr>
              <w:pStyle w:val="TAC"/>
              <w:rPr>
                <w:lang w:eastAsia="en-US"/>
              </w:rPr>
            </w:pPr>
            <w:r w:rsidRPr="004D0DAA">
              <w:rPr>
                <w:lang w:eastAsia="en-US"/>
              </w:rPr>
              <w:t>10011</w:t>
            </w:r>
          </w:p>
        </w:tc>
        <w:tc>
          <w:tcPr>
            <w:tcW w:w="657" w:type="dxa"/>
            <w:tcBorders>
              <w:top w:val="single" w:sz="4" w:space="0" w:color="auto"/>
              <w:left w:val="single" w:sz="4" w:space="0" w:color="auto"/>
              <w:bottom w:val="single" w:sz="4" w:space="0" w:color="auto"/>
              <w:right w:val="single" w:sz="4" w:space="0" w:color="auto"/>
            </w:tcBorders>
          </w:tcPr>
          <w:p w14:paraId="2E8C89F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096240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AF1AD3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48FBE9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98ED6E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37D7636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D0CB66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4BBDE39C" w14:textId="77777777" w:rsidR="00711444" w:rsidRPr="004D0DAA" w:rsidRDefault="00711444" w:rsidP="00AA2A4C">
            <w:pPr>
              <w:pStyle w:val="TAC"/>
              <w:rPr>
                <w:lang w:eastAsia="en-US"/>
              </w:rPr>
            </w:pPr>
          </w:p>
        </w:tc>
      </w:tr>
      <w:tr w:rsidR="00711444" w:rsidRPr="004D0DAA" w14:paraId="726EB48A"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5B8897CC" w14:textId="77777777" w:rsidR="00711444" w:rsidRPr="004D0DAA" w:rsidRDefault="00711444" w:rsidP="00AA2A4C">
            <w:pPr>
              <w:pStyle w:val="TAC"/>
              <w:rPr>
                <w:lang w:eastAsia="en-US"/>
              </w:rPr>
            </w:pPr>
            <w:r w:rsidRPr="004D0DAA">
              <w:rPr>
                <w:lang w:eastAsia="en-US"/>
              </w:rPr>
              <w:t>704</w:t>
            </w:r>
          </w:p>
        </w:tc>
        <w:tc>
          <w:tcPr>
            <w:tcW w:w="936" w:type="dxa"/>
            <w:tcBorders>
              <w:top w:val="single" w:sz="4" w:space="0" w:color="auto"/>
              <w:left w:val="single" w:sz="4" w:space="0" w:color="auto"/>
              <w:bottom w:val="single" w:sz="4" w:space="0" w:color="auto"/>
              <w:right w:val="single" w:sz="4" w:space="0" w:color="auto"/>
            </w:tcBorders>
          </w:tcPr>
          <w:p w14:paraId="22345BA1" w14:textId="77777777" w:rsidR="00711444" w:rsidRPr="004D0DAA" w:rsidRDefault="00711444" w:rsidP="00AA2A4C">
            <w:pPr>
              <w:pStyle w:val="TAC"/>
              <w:rPr>
                <w:lang w:eastAsia="en-US"/>
              </w:rPr>
            </w:pPr>
            <w:r w:rsidRPr="004D0DAA">
              <w:rPr>
                <w:lang w:eastAsia="en-US"/>
              </w:rPr>
              <w:t>10100</w:t>
            </w:r>
          </w:p>
        </w:tc>
        <w:tc>
          <w:tcPr>
            <w:tcW w:w="657" w:type="dxa"/>
            <w:tcBorders>
              <w:top w:val="single" w:sz="4" w:space="0" w:color="auto"/>
              <w:left w:val="single" w:sz="4" w:space="0" w:color="auto"/>
              <w:bottom w:val="single" w:sz="4" w:space="0" w:color="auto"/>
              <w:right w:val="single" w:sz="4" w:space="0" w:color="auto"/>
            </w:tcBorders>
          </w:tcPr>
          <w:p w14:paraId="4DAC064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B78D27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52FEE4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AD631E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6463A2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F31909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1B856B1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86B2B72" w14:textId="77777777" w:rsidR="00711444" w:rsidRPr="004D0DAA" w:rsidRDefault="00711444" w:rsidP="00AA2A4C">
            <w:pPr>
              <w:pStyle w:val="TAC"/>
              <w:rPr>
                <w:lang w:eastAsia="en-US"/>
              </w:rPr>
            </w:pPr>
          </w:p>
        </w:tc>
      </w:tr>
      <w:tr w:rsidR="00711444" w:rsidRPr="004D0DAA" w14:paraId="282C3F88"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1C110334" w14:textId="77777777" w:rsidR="00711444" w:rsidRPr="004D0DAA" w:rsidRDefault="00711444" w:rsidP="00AA2A4C">
            <w:pPr>
              <w:pStyle w:val="TAC"/>
              <w:rPr>
                <w:lang w:eastAsia="en-US"/>
              </w:rPr>
            </w:pPr>
            <w:r w:rsidRPr="004D0DAA">
              <w:rPr>
                <w:lang w:eastAsia="en-US"/>
              </w:rPr>
              <w:t>736</w:t>
            </w:r>
          </w:p>
        </w:tc>
        <w:tc>
          <w:tcPr>
            <w:tcW w:w="936" w:type="dxa"/>
            <w:tcBorders>
              <w:top w:val="single" w:sz="4" w:space="0" w:color="auto"/>
              <w:left w:val="single" w:sz="4" w:space="0" w:color="auto"/>
              <w:bottom w:val="single" w:sz="4" w:space="0" w:color="auto"/>
              <w:right w:val="single" w:sz="4" w:space="0" w:color="auto"/>
            </w:tcBorders>
          </w:tcPr>
          <w:p w14:paraId="53B4991D" w14:textId="77777777" w:rsidR="00711444" w:rsidRPr="004D0DAA" w:rsidRDefault="00711444" w:rsidP="00AA2A4C">
            <w:pPr>
              <w:pStyle w:val="TAC"/>
              <w:rPr>
                <w:lang w:eastAsia="en-US"/>
              </w:rPr>
            </w:pPr>
            <w:r w:rsidRPr="004D0DAA">
              <w:rPr>
                <w:lang w:eastAsia="en-US"/>
              </w:rPr>
              <w:t>10101</w:t>
            </w:r>
          </w:p>
        </w:tc>
        <w:tc>
          <w:tcPr>
            <w:tcW w:w="657" w:type="dxa"/>
            <w:tcBorders>
              <w:top w:val="single" w:sz="4" w:space="0" w:color="auto"/>
              <w:left w:val="single" w:sz="4" w:space="0" w:color="auto"/>
              <w:bottom w:val="single" w:sz="4" w:space="0" w:color="auto"/>
              <w:right w:val="single" w:sz="4" w:space="0" w:color="auto"/>
            </w:tcBorders>
          </w:tcPr>
          <w:p w14:paraId="5262C25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1C6E83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6C7409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50522E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118565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1DB5862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57E83646"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0276F1F0" w14:textId="77777777" w:rsidR="00711444" w:rsidRPr="004D0DAA" w:rsidRDefault="00711444" w:rsidP="00AA2A4C">
            <w:pPr>
              <w:pStyle w:val="TAC"/>
              <w:rPr>
                <w:lang w:eastAsia="en-US"/>
              </w:rPr>
            </w:pPr>
          </w:p>
        </w:tc>
      </w:tr>
      <w:tr w:rsidR="00711444" w:rsidRPr="004D0DAA" w14:paraId="48771713"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48E18DA" w14:textId="77777777" w:rsidR="00711444" w:rsidRPr="004D0DAA" w:rsidRDefault="00711444" w:rsidP="00AA2A4C">
            <w:pPr>
              <w:pStyle w:val="TAC"/>
              <w:rPr>
                <w:lang w:eastAsia="en-US"/>
              </w:rPr>
            </w:pPr>
            <w:r w:rsidRPr="004D0DAA">
              <w:rPr>
                <w:lang w:eastAsia="en-US"/>
              </w:rPr>
              <w:t>768</w:t>
            </w:r>
          </w:p>
        </w:tc>
        <w:tc>
          <w:tcPr>
            <w:tcW w:w="936" w:type="dxa"/>
            <w:tcBorders>
              <w:top w:val="single" w:sz="4" w:space="0" w:color="auto"/>
              <w:left w:val="single" w:sz="4" w:space="0" w:color="auto"/>
              <w:bottom w:val="single" w:sz="4" w:space="0" w:color="auto"/>
              <w:right w:val="single" w:sz="4" w:space="0" w:color="auto"/>
            </w:tcBorders>
          </w:tcPr>
          <w:p w14:paraId="1A5C48E0" w14:textId="77777777" w:rsidR="00711444" w:rsidRPr="004D0DAA" w:rsidRDefault="00711444" w:rsidP="00AA2A4C">
            <w:pPr>
              <w:pStyle w:val="TAC"/>
              <w:rPr>
                <w:lang w:eastAsia="en-US"/>
              </w:rPr>
            </w:pPr>
            <w:r w:rsidRPr="004D0DAA">
              <w:rPr>
                <w:lang w:eastAsia="en-US"/>
              </w:rPr>
              <w:t>10110</w:t>
            </w:r>
          </w:p>
        </w:tc>
        <w:tc>
          <w:tcPr>
            <w:tcW w:w="657" w:type="dxa"/>
            <w:tcBorders>
              <w:top w:val="single" w:sz="4" w:space="0" w:color="auto"/>
              <w:left w:val="single" w:sz="4" w:space="0" w:color="auto"/>
              <w:bottom w:val="single" w:sz="4" w:space="0" w:color="auto"/>
              <w:right w:val="single" w:sz="4" w:space="0" w:color="auto"/>
            </w:tcBorders>
          </w:tcPr>
          <w:p w14:paraId="61647F8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77C78A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D2DF4D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715AE5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5CE5D8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08E7E688"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auto" w:fill="FFFFFF"/>
          </w:tcPr>
          <w:p w14:paraId="4383B01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2E067303" w14:textId="77777777" w:rsidR="00711444" w:rsidRPr="004D0DAA" w:rsidRDefault="00711444" w:rsidP="00AA2A4C">
            <w:pPr>
              <w:pStyle w:val="TAC"/>
              <w:rPr>
                <w:lang w:eastAsia="en-US"/>
              </w:rPr>
            </w:pPr>
          </w:p>
        </w:tc>
      </w:tr>
      <w:tr w:rsidR="00711444" w:rsidRPr="004D0DAA" w14:paraId="3808BFF7"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1BBD1DB4" w14:textId="77777777" w:rsidR="00711444" w:rsidRPr="004D0DAA" w:rsidRDefault="00711444" w:rsidP="00AA2A4C">
            <w:pPr>
              <w:pStyle w:val="TAC"/>
              <w:rPr>
                <w:lang w:eastAsia="en-US"/>
              </w:rPr>
            </w:pPr>
            <w:r w:rsidRPr="004D0DAA">
              <w:rPr>
                <w:lang w:eastAsia="en-US"/>
              </w:rPr>
              <w:t>800</w:t>
            </w:r>
          </w:p>
        </w:tc>
        <w:tc>
          <w:tcPr>
            <w:tcW w:w="936" w:type="dxa"/>
            <w:tcBorders>
              <w:top w:val="single" w:sz="4" w:space="0" w:color="auto"/>
              <w:left w:val="single" w:sz="4" w:space="0" w:color="auto"/>
              <w:bottom w:val="single" w:sz="4" w:space="0" w:color="auto"/>
              <w:right w:val="single" w:sz="4" w:space="0" w:color="auto"/>
            </w:tcBorders>
          </w:tcPr>
          <w:p w14:paraId="41294826" w14:textId="77777777" w:rsidR="00711444" w:rsidRPr="004D0DAA" w:rsidRDefault="00711444" w:rsidP="00AA2A4C">
            <w:pPr>
              <w:pStyle w:val="TAC"/>
              <w:rPr>
                <w:lang w:eastAsia="en-US"/>
              </w:rPr>
            </w:pPr>
            <w:r w:rsidRPr="004D0DAA">
              <w:rPr>
                <w:lang w:eastAsia="en-US"/>
              </w:rPr>
              <w:t>10111</w:t>
            </w:r>
          </w:p>
        </w:tc>
        <w:tc>
          <w:tcPr>
            <w:tcW w:w="657" w:type="dxa"/>
            <w:tcBorders>
              <w:top w:val="single" w:sz="4" w:space="0" w:color="auto"/>
              <w:left w:val="single" w:sz="4" w:space="0" w:color="auto"/>
              <w:bottom w:val="single" w:sz="4" w:space="0" w:color="auto"/>
              <w:right w:val="single" w:sz="4" w:space="0" w:color="auto"/>
            </w:tcBorders>
          </w:tcPr>
          <w:p w14:paraId="67C1B7C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DB3AB8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0C72A69"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B2E0F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06DA0B2"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8BAD09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71E1EBE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0324DB96" w14:textId="77777777" w:rsidR="00711444" w:rsidRPr="004D0DAA" w:rsidRDefault="00711444" w:rsidP="00AA2A4C">
            <w:pPr>
              <w:pStyle w:val="TAC"/>
              <w:rPr>
                <w:lang w:eastAsia="en-US"/>
              </w:rPr>
            </w:pPr>
          </w:p>
        </w:tc>
      </w:tr>
      <w:tr w:rsidR="00711444" w:rsidRPr="004D0DAA" w14:paraId="6A99F5D5"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2B94298" w14:textId="77777777" w:rsidR="00711444" w:rsidRPr="004D0DAA" w:rsidRDefault="00711444" w:rsidP="00AA2A4C">
            <w:pPr>
              <w:pStyle w:val="TAC"/>
              <w:rPr>
                <w:lang w:eastAsia="en-US"/>
              </w:rPr>
            </w:pPr>
            <w:r w:rsidRPr="004D0DAA">
              <w:rPr>
                <w:lang w:eastAsia="en-US"/>
              </w:rPr>
              <w:t>832</w:t>
            </w:r>
          </w:p>
        </w:tc>
        <w:tc>
          <w:tcPr>
            <w:tcW w:w="936" w:type="dxa"/>
            <w:tcBorders>
              <w:top w:val="single" w:sz="4" w:space="0" w:color="auto"/>
              <w:left w:val="single" w:sz="4" w:space="0" w:color="auto"/>
              <w:bottom w:val="single" w:sz="4" w:space="0" w:color="auto"/>
              <w:right w:val="single" w:sz="4" w:space="0" w:color="auto"/>
            </w:tcBorders>
          </w:tcPr>
          <w:p w14:paraId="583CA639" w14:textId="77777777" w:rsidR="00711444" w:rsidRPr="004D0DAA" w:rsidRDefault="00711444" w:rsidP="00AA2A4C">
            <w:pPr>
              <w:pStyle w:val="TAC"/>
              <w:rPr>
                <w:lang w:eastAsia="en-US"/>
              </w:rPr>
            </w:pPr>
            <w:r w:rsidRPr="004D0DAA">
              <w:rPr>
                <w:lang w:eastAsia="en-US"/>
              </w:rPr>
              <w:t>11000</w:t>
            </w:r>
          </w:p>
        </w:tc>
        <w:tc>
          <w:tcPr>
            <w:tcW w:w="657" w:type="dxa"/>
            <w:tcBorders>
              <w:top w:val="single" w:sz="4" w:space="0" w:color="auto"/>
              <w:left w:val="single" w:sz="4" w:space="0" w:color="auto"/>
              <w:bottom w:val="single" w:sz="4" w:space="0" w:color="auto"/>
              <w:right w:val="single" w:sz="4" w:space="0" w:color="auto"/>
            </w:tcBorders>
          </w:tcPr>
          <w:p w14:paraId="29C1ACD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611005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547A91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92F48E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60D76F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D9933B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69622C2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645B0BB" w14:textId="77777777" w:rsidR="00711444" w:rsidRPr="004D0DAA" w:rsidRDefault="00711444" w:rsidP="00AA2A4C">
            <w:pPr>
              <w:pStyle w:val="TAC"/>
              <w:rPr>
                <w:lang w:eastAsia="en-US"/>
              </w:rPr>
            </w:pPr>
          </w:p>
        </w:tc>
      </w:tr>
      <w:tr w:rsidR="00711444" w:rsidRPr="004D0DAA" w14:paraId="7FB0E325"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2F78EEFB" w14:textId="77777777" w:rsidR="00711444" w:rsidRPr="004D0DAA" w:rsidRDefault="00711444" w:rsidP="00AA2A4C">
            <w:pPr>
              <w:pStyle w:val="TAC"/>
              <w:rPr>
                <w:lang w:eastAsia="en-US"/>
              </w:rPr>
            </w:pPr>
            <w:r w:rsidRPr="004D0DAA">
              <w:rPr>
                <w:lang w:eastAsia="en-US"/>
              </w:rPr>
              <w:t>864</w:t>
            </w:r>
          </w:p>
        </w:tc>
        <w:tc>
          <w:tcPr>
            <w:tcW w:w="936" w:type="dxa"/>
            <w:tcBorders>
              <w:top w:val="single" w:sz="4" w:space="0" w:color="auto"/>
              <w:left w:val="single" w:sz="4" w:space="0" w:color="auto"/>
              <w:bottom w:val="single" w:sz="4" w:space="0" w:color="auto"/>
              <w:right w:val="single" w:sz="4" w:space="0" w:color="auto"/>
            </w:tcBorders>
          </w:tcPr>
          <w:p w14:paraId="4D74DDA9" w14:textId="77777777" w:rsidR="00711444" w:rsidRPr="004D0DAA" w:rsidRDefault="00711444" w:rsidP="00AA2A4C">
            <w:pPr>
              <w:pStyle w:val="TAC"/>
              <w:rPr>
                <w:lang w:eastAsia="en-US"/>
              </w:rPr>
            </w:pPr>
            <w:r w:rsidRPr="004D0DAA">
              <w:rPr>
                <w:lang w:eastAsia="en-US"/>
              </w:rPr>
              <w:t>11001</w:t>
            </w:r>
          </w:p>
        </w:tc>
        <w:tc>
          <w:tcPr>
            <w:tcW w:w="657" w:type="dxa"/>
            <w:tcBorders>
              <w:top w:val="single" w:sz="4" w:space="0" w:color="auto"/>
              <w:left w:val="single" w:sz="4" w:space="0" w:color="auto"/>
              <w:bottom w:val="single" w:sz="4" w:space="0" w:color="auto"/>
              <w:right w:val="single" w:sz="4" w:space="0" w:color="auto"/>
            </w:tcBorders>
          </w:tcPr>
          <w:p w14:paraId="17688B5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0B7490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278532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D1AC3F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6DC37B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9532E2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271EFFA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6B42E0A4" w14:textId="77777777" w:rsidR="00711444" w:rsidRPr="004D0DAA" w:rsidRDefault="00711444" w:rsidP="00AA2A4C">
            <w:pPr>
              <w:pStyle w:val="TAC"/>
              <w:rPr>
                <w:lang w:eastAsia="en-US"/>
              </w:rPr>
            </w:pPr>
          </w:p>
        </w:tc>
      </w:tr>
      <w:tr w:rsidR="00711444" w:rsidRPr="004D0DAA" w14:paraId="75F94875"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006EE1D" w14:textId="77777777" w:rsidR="00711444" w:rsidRPr="004D0DAA" w:rsidRDefault="00711444" w:rsidP="00AA2A4C">
            <w:pPr>
              <w:pStyle w:val="TAC"/>
              <w:rPr>
                <w:lang w:eastAsia="en-US"/>
              </w:rPr>
            </w:pPr>
            <w:r w:rsidRPr="004D0DAA">
              <w:rPr>
                <w:lang w:eastAsia="en-US"/>
              </w:rPr>
              <w:t>896</w:t>
            </w:r>
          </w:p>
        </w:tc>
        <w:tc>
          <w:tcPr>
            <w:tcW w:w="936" w:type="dxa"/>
            <w:tcBorders>
              <w:top w:val="single" w:sz="4" w:space="0" w:color="auto"/>
              <w:left w:val="single" w:sz="4" w:space="0" w:color="auto"/>
              <w:bottom w:val="single" w:sz="4" w:space="0" w:color="auto"/>
              <w:right w:val="single" w:sz="4" w:space="0" w:color="auto"/>
            </w:tcBorders>
          </w:tcPr>
          <w:p w14:paraId="64E9A91F" w14:textId="77777777" w:rsidR="00711444" w:rsidRPr="004D0DAA" w:rsidRDefault="00711444" w:rsidP="00AA2A4C">
            <w:pPr>
              <w:pStyle w:val="TAC"/>
              <w:rPr>
                <w:lang w:eastAsia="en-US"/>
              </w:rPr>
            </w:pPr>
            <w:r w:rsidRPr="004D0DAA">
              <w:rPr>
                <w:lang w:eastAsia="en-US"/>
              </w:rPr>
              <w:t>11010</w:t>
            </w:r>
          </w:p>
        </w:tc>
        <w:tc>
          <w:tcPr>
            <w:tcW w:w="657" w:type="dxa"/>
            <w:tcBorders>
              <w:top w:val="single" w:sz="4" w:space="0" w:color="auto"/>
              <w:left w:val="single" w:sz="4" w:space="0" w:color="auto"/>
              <w:bottom w:val="single" w:sz="4" w:space="0" w:color="auto"/>
              <w:right w:val="single" w:sz="4" w:space="0" w:color="auto"/>
            </w:tcBorders>
          </w:tcPr>
          <w:p w14:paraId="7309FB4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0F8C32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263A79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420AEA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4D85CD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B6E4B5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auto" w:fill="FFFFFF"/>
          </w:tcPr>
          <w:p w14:paraId="414E35E2" w14:textId="77777777" w:rsidR="00711444" w:rsidRPr="004D0DAA" w:rsidRDefault="00711444" w:rsidP="00AA2A4C">
            <w:pPr>
              <w:pStyle w:val="TAC"/>
              <w:rPr>
                <w:lang w:eastAsia="en-US"/>
              </w:rPr>
            </w:pPr>
            <w:r w:rsidRPr="004D0DAA">
              <w:rPr>
                <w:lang w:eastAsia="en-US"/>
              </w:rPr>
              <w:t>Max</w:t>
            </w:r>
          </w:p>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7075E5AE" w14:textId="77777777" w:rsidR="00711444" w:rsidRPr="004D0DAA" w:rsidRDefault="00711444" w:rsidP="00AA2A4C">
            <w:pPr>
              <w:pStyle w:val="TAC"/>
              <w:rPr>
                <w:lang w:eastAsia="en-US"/>
              </w:rPr>
            </w:pPr>
          </w:p>
        </w:tc>
      </w:tr>
      <w:tr w:rsidR="00711444" w:rsidRPr="004D0DAA" w14:paraId="402BA715"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775DA145" w14:textId="77777777" w:rsidR="00711444" w:rsidRPr="004D0DAA" w:rsidRDefault="00711444" w:rsidP="00AA2A4C">
            <w:pPr>
              <w:pStyle w:val="TAC"/>
              <w:rPr>
                <w:lang w:eastAsia="en-US"/>
              </w:rPr>
            </w:pPr>
            <w:r w:rsidRPr="004D0DAA">
              <w:rPr>
                <w:lang w:eastAsia="en-US"/>
              </w:rPr>
              <w:t>928</w:t>
            </w:r>
          </w:p>
        </w:tc>
        <w:tc>
          <w:tcPr>
            <w:tcW w:w="936" w:type="dxa"/>
            <w:tcBorders>
              <w:top w:val="single" w:sz="4" w:space="0" w:color="auto"/>
              <w:left w:val="single" w:sz="4" w:space="0" w:color="auto"/>
              <w:bottom w:val="single" w:sz="4" w:space="0" w:color="auto"/>
              <w:right w:val="single" w:sz="4" w:space="0" w:color="auto"/>
            </w:tcBorders>
          </w:tcPr>
          <w:p w14:paraId="5E00BC24" w14:textId="77777777" w:rsidR="00711444" w:rsidRPr="004D0DAA" w:rsidRDefault="00711444" w:rsidP="00AA2A4C">
            <w:pPr>
              <w:pStyle w:val="TAC"/>
              <w:rPr>
                <w:lang w:eastAsia="en-US"/>
              </w:rPr>
            </w:pPr>
            <w:r w:rsidRPr="004D0DAA">
              <w:rPr>
                <w:lang w:eastAsia="en-US"/>
              </w:rPr>
              <w:t>11011</w:t>
            </w:r>
          </w:p>
        </w:tc>
        <w:tc>
          <w:tcPr>
            <w:tcW w:w="657" w:type="dxa"/>
            <w:tcBorders>
              <w:top w:val="single" w:sz="4" w:space="0" w:color="auto"/>
              <w:left w:val="single" w:sz="4" w:space="0" w:color="auto"/>
              <w:bottom w:val="single" w:sz="4" w:space="0" w:color="auto"/>
              <w:right w:val="single" w:sz="4" w:space="0" w:color="auto"/>
            </w:tcBorders>
          </w:tcPr>
          <w:p w14:paraId="5D3E967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51ED72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B2FD18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0486C96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1E9D46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285642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26020F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0CDE1DD8" w14:textId="77777777" w:rsidR="00711444" w:rsidRPr="004D0DAA" w:rsidRDefault="00711444" w:rsidP="00AA2A4C">
            <w:pPr>
              <w:pStyle w:val="TAC"/>
              <w:rPr>
                <w:lang w:eastAsia="en-US"/>
              </w:rPr>
            </w:pPr>
          </w:p>
        </w:tc>
      </w:tr>
      <w:tr w:rsidR="00711444" w:rsidRPr="004D0DAA" w14:paraId="351303BA"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65B5B2A2" w14:textId="77777777" w:rsidR="00711444" w:rsidRPr="004D0DAA" w:rsidRDefault="00711444" w:rsidP="00AA2A4C">
            <w:pPr>
              <w:pStyle w:val="TAC"/>
              <w:rPr>
                <w:lang w:eastAsia="en-US"/>
              </w:rPr>
            </w:pPr>
            <w:r w:rsidRPr="004D0DAA">
              <w:rPr>
                <w:lang w:eastAsia="en-US"/>
              </w:rPr>
              <w:t>960</w:t>
            </w:r>
          </w:p>
        </w:tc>
        <w:tc>
          <w:tcPr>
            <w:tcW w:w="936" w:type="dxa"/>
            <w:tcBorders>
              <w:top w:val="single" w:sz="4" w:space="0" w:color="auto"/>
              <w:left w:val="single" w:sz="4" w:space="0" w:color="auto"/>
              <w:bottom w:val="single" w:sz="4" w:space="0" w:color="auto"/>
              <w:right w:val="single" w:sz="4" w:space="0" w:color="auto"/>
            </w:tcBorders>
          </w:tcPr>
          <w:p w14:paraId="0692E12C" w14:textId="77777777" w:rsidR="00711444" w:rsidRPr="004D0DAA" w:rsidRDefault="00711444" w:rsidP="00AA2A4C">
            <w:pPr>
              <w:pStyle w:val="TAC"/>
              <w:rPr>
                <w:lang w:eastAsia="en-US"/>
              </w:rPr>
            </w:pPr>
            <w:r w:rsidRPr="004D0DAA">
              <w:rPr>
                <w:lang w:eastAsia="en-US"/>
              </w:rPr>
              <w:t>11100</w:t>
            </w:r>
          </w:p>
        </w:tc>
        <w:tc>
          <w:tcPr>
            <w:tcW w:w="657" w:type="dxa"/>
            <w:tcBorders>
              <w:top w:val="single" w:sz="4" w:space="0" w:color="auto"/>
              <w:left w:val="single" w:sz="4" w:space="0" w:color="auto"/>
              <w:bottom w:val="single" w:sz="4" w:space="0" w:color="auto"/>
              <w:right w:val="single" w:sz="4" w:space="0" w:color="auto"/>
            </w:tcBorders>
          </w:tcPr>
          <w:p w14:paraId="4BD5132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84D760C"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EB675E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8D562E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D3FFECD"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B1ED1D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86611DB"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5EC7E116" w14:textId="77777777" w:rsidR="00711444" w:rsidRPr="004D0DAA" w:rsidRDefault="00711444" w:rsidP="00AA2A4C">
            <w:pPr>
              <w:pStyle w:val="TAC"/>
              <w:rPr>
                <w:lang w:eastAsia="en-US"/>
              </w:rPr>
            </w:pPr>
          </w:p>
        </w:tc>
      </w:tr>
      <w:tr w:rsidR="00711444" w:rsidRPr="004D0DAA" w14:paraId="04FBFA58"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3582BE47" w14:textId="77777777" w:rsidR="00711444" w:rsidRPr="004D0DAA" w:rsidRDefault="00711444" w:rsidP="00AA2A4C">
            <w:pPr>
              <w:pStyle w:val="TAC"/>
              <w:rPr>
                <w:lang w:eastAsia="en-US"/>
              </w:rPr>
            </w:pPr>
            <w:r w:rsidRPr="004D0DAA">
              <w:rPr>
                <w:lang w:eastAsia="en-US"/>
              </w:rPr>
              <w:t>992</w:t>
            </w:r>
          </w:p>
        </w:tc>
        <w:tc>
          <w:tcPr>
            <w:tcW w:w="936" w:type="dxa"/>
            <w:tcBorders>
              <w:top w:val="single" w:sz="4" w:space="0" w:color="auto"/>
              <w:left w:val="single" w:sz="4" w:space="0" w:color="auto"/>
              <w:bottom w:val="single" w:sz="4" w:space="0" w:color="auto"/>
              <w:right w:val="single" w:sz="4" w:space="0" w:color="auto"/>
            </w:tcBorders>
          </w:tcPr>
          <w:p w14:paraId="73CA7D1C" w14:textId="77777777" w:rsidR="00711444" w:rsidRPr="004D0DAA" w:rsidRDefault="00711444" w:rsidP="00AA2A4C">
            <w:pPr>
              <w:pStyle w:val="TAC"/>
              <w:rPr>
                <w:lang w:eastAsia="en-US"/>
              </w:rPr>
            </w:pPr>
            <w:r w:rsidRPr="004D0DAA">
              <w:rPr>
                <w:lang w:eastAsia="en-US"/>
              </w:rPr>
              <w:t>11101</w:t>
            </w:r>
          </w:p>
        </w:tc>
        <w:tc>
          <w:tcPr>
            <w:tcW w:w="657" w:type="dxa"/>
            <w:tcBorders>
              <w:top w:val="single" w:sz="4" w:space="0" w:color="auto"/>
              <w:left w:val="single" w:sz="4" w:space="0" w:color="auto"/>
              <w:bottom w:val="single" w:sz="4" w:space="0" w:color="auto"/>
              <w:right w:val="single" w:sz="4" w:space="0" w:color="auto"/>
            </w:tcBorders>
          </w:tcPr>
          <w:p w14:paraId="3A2E9AC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28F484A8"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791FBF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67D2CB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B2A5D5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34B0D00"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613E764A"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344CE50D" w14:textId="77777777" w:rsidR="00711444" w:rsidRPr="004D0DAA" w:rsidRDefault="00711444" w:rsidP="00AA2A4C">
            <w:pPr>
              <w:pStyle w:val="TAC"/>
              <w:rPr>
                <w:lang w:eastAsia="en-US"/>
              </w:rPr>
            </w:pPr>
          </w:p>
        </w:tc>
      </w:tr>
      <w:tr w:rsidR="00711444" w:rsidRPr="004D0DAA" w14:paraId="092E036E"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51BFB48B" w14:textId="77777777" w:rsidR="00711444" w:rsidRPr="004D0DAA" w:rsidRDefault="00711444" w:rsidP="00AA2A4C">
            <w:pPr>
              <w:pStyle w:val="TAC"/>
              <w:rPr>
                <w:lang w:eastAsia="en-US"/>
              </w:rPr>
            </w:pPr>
            <w:r w:rsidRPr="004D0DAA">
              <w:rPr>
                <w:lang w:eastAsia="en-US"/>
              </w:rPr>
              <w:t>1024</w:t>
            </w:r>
          </w:p>
        </w:tc>
        <w:tc>
          <w:tcPr>
            <w:tcW w:w="936" w:type="dxa"/>
            <w:tcBorders>
              <w:top w:val="single" w:sz="4" w:space="0" w:color="auto"/>
              <w:left w:val="single" w:sz="4" w:space="0" w:color="auto"/>
              <w:bottom w:val="single" w:sz="4" w:space="0" w:color="auto"/>
              <w:right w:val="single" w:sz="4" w:space="0" w:color="auto"/>
            </w:tcBorders>
          </w:tcPr>
          <w:p w14:paraId="427E29A3" w14:textId="77777777" w:rsidR="00711444" w:rsidRPr="004D0DAA" w:rsidRDefault="00711444" w:rsidP="00AA2A4C">
            <w:pPr>
              <w:pStyle w:val="TAC"/>
              <w:rPr>
                <w:lang w:eastAsia="en-US"/>
              </w:rPr>
            </w:pPr>
            <w:r w:rsidRPr="004D0DAA">
              <w:rPr>
                <w:lang w:eastAsia="en-US"/>
              </w:rPr>
              <w:t>11110</w:t>
            </w:r>
          </w:p>
        </w:tc>
        <w:tc>
          <w:tcPr>
            <w:tcW w:w="657" w:type="dxa"/>
            <w:tcBorders>
              <w:top w:val="single" w:sz="4" w:space="0" w:color="auto"/>
              <w:left w:val="single" w:sz="4" w:space="0" w:color="auto"/>
              <w:bottom w:val="single" w:sz="4" w:space="0" w:color="auto"/>
              <w:right w:val="single" w:sz="4" w:space="0" w:color="auto"/>
            </w:tcBorders>
          </w:tcPr>
          <w:p w14:paraId="7D1036B1"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720F1464"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78E3657"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35C784BE"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423C3E65"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1C328C93"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tcPr>
          <w:p w14:paraId="5A479BBF" w14:textId="77777777" w:rsidR="00711444" w:rsidRPr="004D0DAA" w:rsidRDefault="00711444" w:rsidP="00AA2A4C"/>
        </w:tc>
        <w:tc>
          <w:tcPr>
            <w:tcW w:w="657" w:type="dxa"/>
            <w:tcBorders>
              <w:top w:val="single" w:sz="4" w:space="0" w:color="auto"/>
              <w:left w:val="single" w:sz="4" w:space="0" w:color="auto"/>
              <w:bottom w:val="single" w:sz="4" w:space="0" w:color="auto"/>
              <w:right w:val="single" w:sz="4" w:space="0" w:color="auto"/>
            </w:tcBorders>
            <w:shd w:val="pct20" w:color="000000" w:fill="FFFFFF"/>
          </w:tcPr>
          <w:p w14:paraId="082EDF02" w14:textId="77777777" w:rsidR="00711444" w:rsidRPr="004D0DAA" w:rsidRDefault="00711444" w:rsidP="00AA2A4C">
            <w:pPr>
              <w:pStyle w:val="TAC"/>
              <w:rPr>
                <w:lang w:eastAsia="en-US"/>
              </w:rPr>
            </w:pPr>
            <w:r w:rsidRPr="004D0DAA">
              <w:rPr>
                <w:lang w:eastAsia="en-US"/>
              </w:rPr>
              <w:t>Max</w:t>
            </w:r>
          </w:p>
        </w:tc>
      </w:tr>
      <w:tr w:rsidR="00711444" w:rsidRPr="004D0DAA" w14:paraId="6937EA05" w14:textId="77777777" w:rsidTr="00AA2A4C">
        <w:tblPrEx>
          <w:tblCellMar>
            <w:top w:w="0" w:type="dxa"/>
            <w:bottom w:w="0" w:type="dxa"/>
          </w:tblCellMar>
        </w:tblPrEx>
        <w:trPr>
          <w:jc w:val="center"/>
        </w:trPr>
        <w:tc>
          <w:tcPr>
            <w:tcW w:w="1397" w:type="dxa"/>
            <w:tcBorders>
              <w:top w:val="single" w:sz="4" w:space="0" w:color="auto"/>
              <w:left w:val="single" w:sz="4" w:space="0" w:color="auto"/>
              <w:bottom w:val="single" w:sz="4" w:space="0" w:color="auto"/>
              <w:right w:val="single" w:sz="4" w:space="0" w:color="auto"/>
            </w:tcBorders>
          </w:tcPr>
          <w:p w14:paraId="4546532D" w14:textId="77777777" w:rsidR="00711444" w:rsidRPr="004D0DAA" w:rsidRDefault="00711444" w:rsidP="00AA2A4C">
            <w:pPr>
              <w:pStyle w:val="TAC"/>
              <w:rPr>
                <w:lang w:eastAsia="en-US"/>
              </w:rPr>
            </w:pPr>
            <w:r w:rsidRPr="004D0DAA">
              <w:rPr>
                <w:lang w:eastAsia="en-US"/>
              </w:rPr>
              <w:t>Reserved</w:t>
            </w:r>
          </w:p>
        </w:tc>
        <w:tc>
          <w:tcPr>
            <w:tcW w:w="936" w:type="dxa"/>
            <w:tcBorders>
              <w:top w:val="single" w:sz="4" w:space="0" w:color="auto"/>
              <w:left w:val="single" w:sz="4" w:space="0" w:color="auto"/>
              <w:bottom w:val="single" w:sz="4" w:space="0" w:color="auto"/>
              <w:right w:val="single" w:sz="4" w:space="0" w:color="auto"/>
            </w:tcBorders>
          </w:tcPr>
          <w:p w14:paraId="35F1B260" w14:textId="77777777" w:rsidR="00711444" w:rsidRPr="004D0DAA" w:rsidRDefault="00711444" w:rsidP="00AA2A4C">
            <w:pPr>
              <w:pStyle w:val="TAC"/>
              <w:rPr>
                <w:lang w:eastAsia="en-US"/>
              </w:rPr>
            </w:pPr>
            <w:r w:rsidRPr="004D0DAA">
              <w:rPr>
                <w:lang w:eastAsia="en-US"/>
              </w:rPr>
              <w:t>11111</w:t>
            </w:r>
          </w:p>
        </w:tc>
        <w:tc>
          <w:tcPr>
            <w:tcW w:w="657" w:type="dxa"/>
            <w:tcBorders>
              <w:top w:val="single" w:sz="4" w:space="0" w:color="auto"/>
              <w:left w:val="single" w:sz="4" w:space="0" w:color="auto"/>
              <w:bottom w:val="single" w:sz="4" w:space="0" w:color="auto"/>
              <w:right w:val="single" w:sz="4" w:space="0" w:color="auto"/>
            </w:tcBorders>
          </w:tcPr>
          <w:p w14:paraId="1454DC3A"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16915E43"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61D9E4DD"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7F2DD8C9"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1CE28371"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38D95999"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054F0A5E" w14:textId="77777777" w:rsidR="00711444" w:rsidRPr="004D0DAA" w:rsidRDefault="00711444" w:rsidP="00AA2A4C">
            <w:pPr>
              <w:pStyle w:val="TAC"/>
              <w:rPr>
                <w:lang w:eastAsia="en-US"/>
              </w:rPr>
            </w:pPr>
            <w:r w:rsidRPr="004D0DAA">
              <w:rPr>
                <w:lang w:eastAsia="en-US"/>
              </w:rPr>
              <w:t>x</w:t>
            </w:r>
          </w:p>
        </w:tc>
        <w:tc>
          <w:tcPr>
            <w:tcW w:w="657" w:type="dxa"/>
            <w:tcBorders>
              <w:top w:val="single" w:sz="4" w:space="0" w:color="auto"/>
              <w:left w:val="single" w:sz="4" w:space="0" w:color="auto"/>
              <w:bottom w:val="single" w:sz="4" w:space="0" w:color="auto"/>
              <w:right w:val="single" w:sz="4" w:space="0" w:color="auto"/>
            </w:tcBorders>
          </w:tcPr>
          <w:p w14:paraId="444D6C13" w14:textId="77777777" w:rsidR="00711444" w:rsidRPr="004D0DAA" w:rsidRDefault="00711444" w:rsidP="00AA2A4C">
            <w:pPr>
              <w:pStyle w:val="TAC"/>
              <w:rPr>
                <w:lang w:eastAsia="en-US"/>
              </w:rPr>
            </w:pPr>
            <w:r w:rsidRPr="004D0DAA">
              <w:rPr>
                <w:lang w:eastAsia="en-US"/>
              </w:rPr>
              <w:t>X</w:t>
            </w:r>
          </w:p>
        </w:tc>
      </w:tr>
    </w:tbl>
    <w:p w14:paraId="2119A8D8" w14:textId="77777777" w:rsidR="00711444" w:rsidRPr="004D0DAA" w:rsidRDefault="00711444" w:rsidP="00711444"/>
    <w:p w14:paraId="706F36F0" w14:textId="77777777" w:rsidR="00711444" w:rsidRPr="004D0DAA" w:rsidRDefault="00711444" w:rsidP="00711444">
      <w:pPr>
        <w:pStyle w:val="Heading8"/>
      </w:pPr>
      <w:r w:rsidRPr="004D0DAA">
        <w:br w:type="page"/>
      </w:r>
      <w:bookmarkStart w:id="912" w:name="_Toc516670081"/>
      <w:r w:rsidRPr="004D0DAA">
        <w:lastRenderedPageBreak/>
        <w:t>Annex J (informative):</w:t>
      </w:r>
      <w:r w:rsidRPr="004D0DAA">
        <w:br/>
        <w:t>An example of MCS-8 retransmission</w:t>
      </w:r>
      <w:bookmarkEnd w:id="912"/>
    </w:p>
    <w:p w14:paraId="759B9889" w14:textId="77777777" w:rsidR="00711444" w:rsidRPr="004D0DAA" w:rsidRDefault="00711444" w:rsidP="00711444">
      <w:r w:rsidRPr="004D0DAA">
        <w:t>This example shows the radio blocks of an MCS-8 RLC data block retransmitted using MCS-6 (padding) and MCS-3 (padding).</w:t>
      </w:r>
    </w:p>
    <w:p w14:paraId="6D37A9A4" w14:textId="77777777" w:rsidR="00711444" w:rsidRPr="004D0DAA" w:rsidRDefault="00711444" w:rsidP="00711444">
      <w:r w:rsidRPr="004D0DAA">
        <w:t>The following hypothesis are used:</w:t>
      </w:r>
    </w:p>
    <w:p w14:paraId="0B73EBBF" w14:textId="77777777" w:rsidR="00711444" w:rsidRPr="004D0DAA" w:rsidRDefault="00711444" w:rsidP="00711444">
      <w:pPr>
        <w:pStyle w:val="B1"/>
      </w:pPr>
      <w:r w:rsidRPr="004D0DAA">
        <w:t>-</w:t>
      </w:r>
      <w:r w:rsidRPr="004D0DAA">
        <w:tab/>
        <w:t>Uplink block;</w:t>
      </w:r>
    </w:p>
    <w:p w14:paraId="7927B8E7" w14:textId="77777777" w:rsidR="00711444" w:rsidRPr="004D0DAA" w:rsidRDefault="00711444" w:rsidP="00711444">
      <w:pPr>
        <w:pStyle w:val="B1"/>
      </w:pPr>
      <w:r w:rsidRPr="004D0DAA">
        <w:t>-</w:t>
      </w:r>
      <w:r w:rsidRPr="004D0DAA">
        <w:tab/>
        <w:t>The MCS-8 RLC data block contains three LLC PDU: last part of LLC1 (last 40 octets), the whole LLC2 (length 60 octets) and the first part of LLC3 (first 34 octets);</w:t>
      </w:r>
    </w:p>
    <w:p w14:paraId="03ED70CE" w14:textId="77777777" w:rsidR="00711444" w:rsidRPr="004D0DAA" w:rsidRDefault="00711444" w:rsidP="00711444">
      <w:pPr>
        <w:pStyle w:val="B1"/>
      </w:pPr>
      <w:r w:rsidRPr="004D0DAA">
        <w:t>-</w:t>
      </w:r>
      <w:r w:rsidRPr="004D0DAA">
        <w:tab/>
        <w:t>No TLLI nor PFI is present.</w:t>
      </w:r>
    </w:p>
    <w:p w14:paraId="470D3E1E" w14:textId="77777777" w:rsidR="00711444" w:rsidRPr="004D0DAA" w:rsidRDefault="00711444" w:rsidP="00711444">
      <w:pPr>
        <w:pStyle w:val="Heading2"/>
      </w:pPr>
      <w:bookmarkStart w:id="913" w:name="_Toc516670082"/>
      <w:r w:rsidRPr="004D0DAA">
        <w:t>J.1</w:t>
      </w:r>
      <w:r w:rsidRPr="004D0DAA">
        <w:tab/>
        <w:t>Original MCS-8 RLC data block</w:t>
      </w:r>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23D7F43F" w14:textId="77777777" w:rsidTr="00AA2A4C">
        <w:tblPrEx>
          <w:tblCellMar>
            <w:top w:w="0" w:type="dxa"/>
            <w:bottom w:w="0" w:type="dxa"/>
          </w:tblCellMar>
        </w:tblPrEx>
        <w:trPr>
          <w:jc w:val="center"/>
        </w:trPr>
        <w:tc>
          <w:tcPr>
            <w:tcW w:w="567" w:type="dxa"/>
            <w:tcBorders>
              <w:top w:val="nil"/>
              <w:left w:val="nil"/>
              <w:right w:val="nil"/>
            </w:tcBorders>
          </w:tcPr>
          <w:p w14:paraId="6214CFFA"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537B83CF"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447C7BCF"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76A68558"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6D56764E"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2905798F"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52153A17"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136267B7"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41318569" w14:textId="77777777" w:rsidR="00711444" w:rsidRPr="004D0DAA" w:rsidRDefault="00711444" w:rsidP="00AA2A4C">
            <w:pPr>
              <w:pStyle w:val="TAC"/>
              <w:rPr>
                <w:lang w:eastAsia="en-US"/>
              </w:rPr>
            </w:pPr>
            <w:r w:rsidRPr="004D0DAA">
              <w:rPr>
                <w:lang w:eastAsia="en-US"/>
              </w:rPr>
              <w:t>Octet</w:t>
            </w:r>
          </w:p>
        </w:tc>
      </w:tr>
      <w:tr w:rsidR="00711444" w:rsidRPr="004D0DAA" w14:paraId="01DA3233" w14:textId="77777777" w:rsidTr="00AA2A4C">
        <w:tblPrEx>
          <w:tblCellMar>
            <w:top w:w="0" w:type="dxa"/>
            <w:bottom w:w="0" w:type="dxa"/>
          </w:tblCellMar>
        </w:tblPrEx>
        <w:trPr>
          <w:cantSplit/>
          <w:jc w:val="center"/>
        </w:trPr>
        <w:tc>
          <w:tcPr>
            <w:tcW w:w="1134" w:type="dxa"/>
            <w:gridSpan w:val="2"/>
          </w:tcPr>
          <w:p w14:paraId="2EC1EC54" w14:textId="77777777" w:rsidR="00711444" w:rsidRPr="004D0DAA" w:rsidRDefault="00711444" w:rsidP="00AA2A4C">
            <w:pPr>
              <w:pStyle w:val="TAC"/>
              <w:rPr>
                <w:lang w:eastAsia="en-US"/>
              </w:rPr>
            </w:pPr>
            <w:r w:rsidRPr="004D0DAA">
              <w:rPr>
                <w:lang w:eastAsia="en-US"/>
              </w:rPr>
              <w:t>TFI</w:t>
            </w:r>
          </w:p>
        </w:tc>
        <w:tc>
          <w:tcPr>
            <w:tcW w:w="2268" w:type="dxa"/>
            <w:gridSpan w:val="4"/>
          </w:tcPr>
          <w:p w14:paraId="60942B61" w14:textId="77777777" w:rsidR="00711444" w:rsidRPr="004D0DAA" w:rsidRDefault="00711444" w:rsidP="00AA2A4C">
            <w:pPr>
              <w:pStyle w:val="TAC"/>
              <w:rPr>
                <w:lang w:eastAsia="en-US"/>
              </w:rPr>
            </w:pPr>
            <w:r w:rsidRPr="004D0DAA">
              <w:rPr>
                <w:lang w:eastAsia="en-US"/>
              </w:rPr>
              <w:t>Countdown Value</w:t>
            </w:r>
          </w:p>
        </w:tc>
        <w:tc>
          <w:tcPr>
            <w:tcW w:w="567" w:type="dxa"/>
          </w:tcPr>
          <w:p w14:paraId="2F51126A" w14:textId="77777777" w:rsidR="00711444" w:rsidRPr="004D0DAA" w:rsidRDefault="00711444" w:rsidP="00AA2A4C">
            <w:pPr>
              <w:pStyle w:val="TAC"/>
              <w:rPr>
                <w:lang w:eastAsia="en-US"/>
              </w:rPr>
            </w:pPr>
            <w:r w:rsidRPr="004D0DAA">
              <w:rPr>
                <w:lang w:eastAsia="en-US"/>
              </w:rPr>
              <w:t>SI</w:t>
            </w:r>
          </w:p>
        </w:tc>
        <w:tc>
          <w:tcPr>
            <w:tcW w:w="567" w:type="dxa"/>
          </w:tcPr>
          <w:p w14:paraId="543C2EBE"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23DA1EBE" w14:textId="77777777" w:rsidR="00711444" w:rsidRPr="004D0DAA" w:rsidRDefault="00711444" w:rsidP="00AA2A4C">
            <w:pPr>
              <w:pStyle w:val="TAC"/>
              <w:rPr>
                <w:lang w:eastAsia="en-US"/>
              </w:rPr>
            </w:pPr>
            <w:r w:rsidRPr="004D0DAA">
              <w:rPr>
                <w:lang w:eastAsia="en-US"/>
              </w:rPr>
              <w:t>1 (header)</w:t>
            </w:r>
          </w:p>
        </w:tc>
      </w:tr>
      <w:tr w:rsidR="00711444" w:rsidRPr="004D0DAA" w14:paraId="68053E94" w14:textId="77777777" w:rsidTr="00AA2A4C">
        <w:tblPrEx>
          <w:tblCellMar>
            <w:top w:w="0" w:type="dxa"/>
            <w:bottom w:w="0" w:type="dxa"/>
          </w:tblCellMar>
        </w:tblPrEx>
        <w:trPr>
          <w:cantSplit/>
          <w:jc w:val="center"/>
        </w:trPr>
        <w:tc>
          <w:tcPr>
            <w:tcW w:w="2835" w:type="dxa"/>
            <w:gridSpan w:val="5"/>
          </w:tcPr>
          <w:p w14:paraId="2AC47378" w14:textId="77777777" w:rsidR="00711444" w:rsidRPr="004D0DAA" w:rsidRDefault="00711444" w:rsidP="00AA2A4C">
            <w:pPr>
              <w:pStyle w:val="TAC"/>
              <w:rPr>
                <w:lang w:eastAsia="en-US"/>
              </w:rPr>
            </w:pPr>
            <w:r w:rsidRPr="004D0DAA">
              <w:rPr>
                <w:lang w:eastAsia="en-US"/>
              </w:rPr>
              <w:t>BSN1</w:t>
            </w:r>
          </w:p>
        </w:tc>
        <w:tc>
          <w:tcPr>
            <w:tcW w:w="1701" w:type="dxa"/>
            <w:gridSpan w:val="3"/>
          </w:tcPr>
          <w:p w14:paraId="4D8E8B20"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707C34DF" w14:textId="77777777" w:rsidR="00711444" w:rsidRPr="004D0DAA" w:rsidRDefault="00711444" w:rsidP="00AA2A4C">
            <w:pPr>
              <w:pStyle w:val="TAC"/>
              <w:rPr>
                <w:lang w:eastAsia="en-US"/>
              </w:rPr>
            </w:pPr>
            <w:r w:rsidRPr="004D0DAA">
              <w:rPr>
                <w:lang w:eastAsia="en-US"/>
              </w:rPr>
              <w:t>2 (header)</w:t>
            </w:r>
          </w:p>
        </w:tc>
      </w:tr>
      <w:tr w:rsidR="00711444" w:rsidRPr="004D0DAA" w14:paraId="1DBAA7F7" w14:textId="77777777" w:rsidTr="00AA2A4C">
        <w:tblPrEx>
          <w:tblCellMar>
            <w:top w:w="0" w:type="dxa"/>
            <w:bottom w:w="0" w:type="dxa"/>
          </w:tblCellMar>
        </w:tblPrEx>
        <w:trPr>
          <w:cantSplit/>
          <w:jc w:val="center"/>
        </w:trPr>
        <w:tc>
          <w:tcPr>
            <w:tcW w:w="1134" w:type="dxa"/>
            <w:gridSpan w:val="2"/>
          </w:tcPr>
          <w:p w14:paraId="2C3E9F70" w14:textId="77777777" w:rsidR="00711444" w:rsidRPr="004D0DAA" w:rsidRDefault="00711444" w:rsidP="00AA2A4C">
            <w:pPr>
              <w:pStyle w:val="TAC"/>
              <w:rPr>
                <w:lang w:eastAsia="en-US"/>
              </w:rPr>
            </w:pPr>
            <w:r w:rsidRPr="004D0DAA">
              <w:rPr>
                <w:lang w:eastAsia="en-US"/>
              </w:rPr>
              <w:t>BSN 2</w:t>
            </w:r>
          </w:p>
        </w:tc>
        <w:tc>
          <w:tcPr>
            <w:tcW w:w="3402" w:type="dxa"/>
            <w:gridSpan w:val="6"/>
          </w:tcPr>
          <w:p w14:paraId="79776633"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74989C8C" w14:textId="77777777" w:rsidR="00711444" w:rsidRPr="004D0DAA" w:rsidRDefault="00711444" w:rsidP="00AA2A4C">
            <w:pPr>
              <w:pStyle w:val="TAC"/>
              <w:rPr>
                <w:lang w:eastAsia="en-US"/>
              </w:rPr>
            </w:pPr>
            <w:r w:rsidRPr="004D0DAA">
              <w:rPr>
                <w:lang w:eastAsia="en-US"/>
              </w:rPr>
              <w:t>3 (header)</w:t>
            </w:r>
          </w:p>
        </w:tc>
      </w:tr>
      <w:tr w:rsidR="00711444" w:rsidRPr="004D0DAA" w14:paraId="45612B3D" w14:textId="77777777" w:rsidTr="00AA2A4C">
        <w:tblPrEx>
          <w:tblCellMar>
            <w:top w:w="0" w:type="dxa"/>
            <w:bottom w:w="0" w:type="dxa"/>
          </w:tblCellMar>
        </w:tblPrEx>
        <w:trPr>
          <w:cantSplit/>
          <w:jc w:val="center"/>
        </w:trPr>
        <w:tc>
          <w:tcPr>
            <w:tcW w:w="4536" w:type="dxa"/>
            <w:gridSpan w:val="8"/>
          </w:tcPr>
          <w:p w14:paraId="1CCA6103" w14:textId="77777777" w:rsidR="00711444" w:rsidRPr="004D0DAA" w:rsidRDefault="00711444" w:rsidP="00AA2A4C">
            <w:pPr>
              <w:pStyle w:val="TAC"/>
              <w:rPr>
                <w:lang w:eastAsia="en-US"/>
              </w:rPr>
            </w:pPr>
            <w:r w:rsidRPr="004D0DAA">
              <w:rPr>
                <w:lang w:eastAsia="en-US"/>
              </w:rPr>
              <w:t>BSN2</w:t>
            </w:r>
          </w:p>
        </w:tc>
        <w:tc>
          <w:tcPr>
            <w:tcW w:w="1701" w:type="dxa"/>
            <w:tcBorders>
              <w:top w:val="nil"/>
              <w:bottom w:val="nil"/>
              <w:right w:val="nil"/>
            </w:tcBorders>
          </w:tcPr>
          <w:p w14:paraId="1AF85EFF" w14:textId="77777777" w:rsidR="00711444" w:rsidRPr="004D0DAA" w:rsidRDefault="00711444" w:rsidP="00AA2A4C">
            <w:pPr>
              <w:pStyle w:val="TAC"/>
              <w:rPr>
                <w:lang w:eastAsia="en-US"/>
              </w:rPr>
            </w:pPr>
            <w:r w:rsidRPr="004D0DAA">
              <w:rPr>
                <w:lang w:eastAsia="en-US"/>
              </w:rPr>
              <w:t>4 (header)</w:t>
            </w:r>
          </w:p>
        </w:tc>
      </w:tr>
      <w:tr w:rsidR="00711444" w:rsidRPr="004D0DAA" w14:paraId="325AB6EC" w14:textId="77777777" w:rsidTr="00AA2A4C">
        <w:tblPrEx>
          <w:tblCellMar>
            <w:top w:w="0" w:type="dxa"/>
            <w:bottom w:w="0" w:type="dxa"/>
          </w:tblCellMar>
        </w:tblPrEx>
        <w:trPr>
          <w:cantSplit/>
          <w:jc w:val="center"/>
        </w:trPr>
        <w:tc>
          <w:tcPr>
            <w:tcW w:w="567" w:type="dxa"/>
          </w:tcPr>
          <w:p w14:paraId="3BC48B64" w14:textId="77777777" w:rsidR="00711444" w:rsidRPr="004D0DAA" w:rsidRDefault="00711444" w:rsidP="00AA2A4C">
            <w:pPr>
              <w:pStyle w:val="TAC"/>
              <w:rPr>
                <w:lang w:eastAsia="en-US"/>
              </w:rPr>
            </w:pPr>
            <w:r w:rsidRPr="004D0DAA">
              <w:rPr>
                <w:lang w:eastAsia="en-US"/>
              </w:rPr>
              <w:t>Spare</w:t>
            </w:r>
          </w:p>
        </w:tc>
        <w:tc>
          <w:tcPr>
            <w:tcW w:w="567" w:type="dxa"/>
          </w:tcPr>
          <w:p w14:paraId="7E24590F" w14:textId="77777777" w:rsidR="00711444" w:rsidRPr="004D0DAA" w:rsidRDefault="00711444" w:rsidP="00AA2A4C">
            <w:pPr>
              <w:pStyle w:val="TAC"/>
              <w:rPr>
                <w:lang w:eastAsia="en-US"/>
              </w:rPr>
            </w:pPr>
            <w:r w:rsidRPr="004D0DAA">
              <w:rPr>
                <w:lang w:eastAsia="en-US"/>
              </w:rPr>
              <w:t>PI</w:t>
            </w:r>
          </w:p>
        </w:tc>
        <w:tc>
          <w:tcPr>
            <w:tcW w:w="567" w:type="dxa"/>
          </w:tcPr>
          <w:p w14:paraId="53799D91" w14:textId="77777777" w:rsidR="00711444" w:rsidRPr="004D0DAA" w:rsidRDefault="00711444" w:rsidP="00AA2A4C">
            <w:pPr>
              <w:pStyle w:val="TAC"/>
              <w:rPr>
                <w:lang w:eastAsia="en-US"/>
              </w:rPr>
            </w:pPr>
            <w:r w:rsidRPr="004D0DAA">
              <w:rPr>
                <w:lang w:eastAsia="en-US"/>
              </w:rPr>
              <w:t>RSB</w:t>
            </w:r>
          </w:p>
        </w:tc>
        <w:tc>
          <w:tcPr>
            <w:tcW w:w="2835" w:type="dxa"/>
            <w:gridSpan w:val="5"/>
          </w:tcPr>
          <w:p w14:paraId="7B9EAD19"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116387BA" w14:textId="77777777" w:rsidR="00711444" w:rsidRPr="004D0DAA" w:rsidRDefault="00711444" w:rsidP="00AA2A4C">
            <w:pPr>
              <w:pStyle w:val="TAC"/>
              <w:rPr>
                <w:lang w:eastAsia="en-US"/>
              </w:rPr>
            </w:pPr>
            <w:r w:rsidRPr="004D0DAA">
              <w:rPr>
                <w:lang w:eastAsia="en-US"/>
              </w:rPr>
              <w:t>5 (header)</w:t>
            </w:r>
          </w:p>
        </w:tc>
      </w:tr>
      <w:tr w:rsidR="00711444" w:rsidRPr="004D0DAA" w14:paraId="6417DB0D" w14:textId="77777777" w:rsidTr="00AA2A4C">
        <w:tblPrEx>
          <w:tblCellMar>
            <w:top w:w="0" w:type="dxa"/>
            <w:bottom w:w="0" w:type="dxa"/>
          </w:tblCellMar>
        </w:tblPrEx>
        <w:trPr>
          <w:cantSplit/>
          <w:jc w:val="center"/>
        </w:trPr>
        <w:tc>
          <w:tcPr>
            <w:tcW w:w="567" w:type="dxa"/>
            <w:tcBorders>
              <w:top w:val="nil"/>
              <w:left w:val="nil"/>
              <w:bottom w:val="nil"/>
              <w:right w:val="nil"/>
            </w:tcBorders>
          </w:tcPr>
          <w:p w14:paraId="5D285918" w14:textId="77777777" w:rsidR="00711444" w:rsidRPr="004D0DAA" w:rsidRDefault="00711444" w:rsidP="00AA2A4C"/>
        </w:tc>
        <w:tc>
          <w:tcPr>
            <w:tcW w:w="567" w:type="dxa"/>
            <w:tcBorders>
              <w:top w:val="nil"/>
              <w:left w:val="nil"/>
              <w:bottom w:val="nil"/>
              <w:right w:val="nil"/>
            </w:tcBorders>
          </w:tcPr>
          <w:p w14:paraId="6FEED3FE" w14:textId="77777777" w:rsidR="00711444" w:rsidRPr="004D0DAA" w:rsidRDefault="00711444" w:rsidP="00AA2A4C"/>
        </w:tc>
        <w:tc>
          <w:tcPr>
            <w:tcW w:w="3402" w:type="dxa"/>
            <w:gridSpan w:val="6"/>
            <w:tcBorders>
              <w:top w:val="single" w:sz="4" w:space="0" w:color="auto"/>
              <w:left w:val="single" w:sz="4" w:space="0" w:color="auto"/>
              <w:bottom w:val="single" w:sz="18" w:space="0" w:color="auto"/>
              <w:right w:val="single" w:sz="4" w:space="0" w:color="auto"/>
            </w:tcBorders>
          </w:tcPr>
          <w:p w14:paraId="3847B527" w14:textId="77777777" w:rsidR="00711444" w:rsidRPr="004D0DAA" w:rsidRDefault="00711444" w:rsidP="00AA2A4C">
            <w:pPr>
              <w:pStyle w:val="TAC"/>
              <w:rPr>
                <w:lang w:eastAsia="en-US"/>
              </w:rPr>
            </w:pPr>
            <w:r w:rsidRPr="004D0DAA">
              <w:rPr>
                <w:lang w:eastAsia="en-US"/>
              </w:rPr>
              <w:t>Spare</w:t>
            </w:r>
          </w:p>
        </w:tc>
        <w:tc>
          <w:tcPr>
            <w:tcW w:w="1701" w:type="dxa"/>
            <w:tcBorders>
              <w:top w:val="nil"/>
              <w:left w:val="nil"/>
              <w:bottom w:val="nil"/>
              <w:right w:val="nil"/>
            </w:tcBorders>
          </w:tcPr>
          <w:p w14:paraId="31FD7901" w14:textId="77777777" w:rsidR="00711444" w:rsidRPr="004D0DAA" w:rsidRDefault="00711444" w:rsidP="00AA2A4C">
            <w:pPr>
              <w:pStyle w:val="TAC"/>
              <w:rPr>
                <w:lang w:eastAsia="en-US"/>
              </w:rPr>
            </w:pPr>
            <w:r w:rsidRPr="004D0DAA">
              <w:rPr>
                <w:i/>
                <w:lang w:eastAsia="en-US"/>
              </w:rPr>
              <w:t>(See note</w:t>
            </w:r>
          </w:p>
        </w:tc>
      </w:tr>
      <w:tr w:rsidR="00711444" w:rsidRPr="004D0DAA" w14:paraId="13F96872" w14:textId="77777777" w:rsidTr="00AA2A4C">
        <w:tblPrEx>
          <w:tblCellMar>
            <w:top w:w="0" w:type="dxa"/>
            <w:bottom w:w="0" w:type="dxa"/>
          </w:tblCellMar>
        </w:tblPrEx>
        <w:trPr>
          <w:jc w:val="center"/>
        </w:trPr>
        <w:tc>
          <w:tcPr>
            <w:tcW w:w="567" w:type="dxa"/>
            <w:tcBorders>
              <w:top w:val="nil"/>
              <w:left w:val="nil"/>
              <w:right w:val="nil"/>
            </w:tcBorders>
          </w:tcPr>
          <w:p w14:paraId="023B6AB4" w14:textId="77777777" w:rsidR="00711444" w:rsidRPr="004D0DAA" w:rsidRDefault="00711444" w:rsidP="00AA2A4C"/>
        </w:tc>
        <w:tc>
          <w:tcPr>
            <w:tcW w:w="567" w:type="dxa"/>
            <w:tcBorders>
              <w:top w:val="nil"/>
              <w:left w:val="nil"/>
              <w:right w:val="nil"/>
            </w:tcBorders>
          </w:tcPr>
          <w:p w14:paraId="3C791ADC" w14:textId="77777777" w:rsidR="00711444" w:rsidRPr="004D0DAA" w:rsidRDefault="00711444" w:rsidP="00AA2A4C"/>
        </w:tc>
        <w:tc>
          <w:tcPr>
            <w:tcW w:w="567" w:type="dxa"/>
            <w:tcBorders>
              <w:top w:val="nil"/>
              <w:left w:val="nil"/>
              <w:right w:val="nil"/>
            </w:tcBorders>
          </w:tcPr>
          <w:p w14:paraId="0D084EDB" w14:textId="77777777" w:rsidR="00711444" w:rsidRPr="004D0DAA" w:rsidRDefault="00711444" w:rsidP="00AA2A4C"/>
        </w:tc>
        <w:tc>
          <w:tcPr>
            <w:tcW w:w="567" w:type="dxa"/>
            <w:tcBorders>
              <w:top w:val="nil"/>
              <w:left w:val="nil"/>
              <w:right w:val="nil"/>
            </w:tcBorders>
          </w:tcPr>
          <w:p w14:paraId="12C5E561" w14:textId="77777777" w:rsidR="00711444" w:rsidRPr="004D0DAA" w:rsidRDefault="00711444" w:rsidP="00AA2A4C"/>
        </w:tc>
        <w:tc>
          <w:tcPr>
            <w:tcW w:w="567" w:type="dxa"/>
            <w:tcBorders>
              <w:top w:val="nil"/>
              <w:left w:val="nil"/>
              <w:right w:val="nil"/>
            </w:tcBorders>
          </w:tcPr>
          <w:p w14:paraId="4CFD6818" w14:textId="77777777" w:rsidR="00711444" w:rsidRPr="004D0DAA" w:rsidRDefault="00711444" w:rsidP="00AA2A4C"/>
        </w:tc>
        <w:tc>
          <w:tcPr>
            <w:tcW w:w="567" w:type="dxa"/>
            <w:tcBorders>
              <w:top w:val="nil"/>
              <w:left w:val="nil"/>
              <w:right w:val="nil"/>
            </w:tcBorders>
          </w:tcPr>
          <w:p w14:paraId="308F40DA" w14:textId="77777777" w:rsidR="00711444" w:rsidRPr="004D0DAA" w:rsidRDefault="00711444" w:rsidP="00AA2A4C"/>
        </w:tc>
        <w:tc>
          <w:tcPr>
            <w:tcW w:w="567" w:type="dxa"/>
            <w:tcBorders>
              <w:top w:val="single" w:sz="4" w:space="0" w:color="auto"/>
              <w:left w:val="single" w:sz="4" w:space="0" w:color="auto"/>
              <w:right w:val="single" w:sz="4" w:space="0" w:color="auto"/>
            </w:tcBorders>
          </w:tcPr>
          <w:p w14:paraId="02B7C6C3" w14:textId="77777777" w:rsidR="00711444" w:rsidRPr="004D0DAA" w:rsidRDefault="00711444" w:rsidP="00AA2A4C">
            <w:pPr>
              <w:pStyle w:val="TAC"/>
              <w:rPr>
                <w:lang w:eastAsia="en-US"/>
              </w:rPr>
            </w:pPr>
            <w:r w:rsidRPr="004D0DAA">
              <w:rPr>
                <w:lang w:eastAsia="en-US"/>
              </w:rPr>
              <w:t>TI</w:t>
            </w:r>
          </w:p>
        </w:tc>
        <w:tc>
          <w:tcPr>
            <w:tcW w:w="567" w:type="dxa"/>
            <w:tcBorders>
              <w:top w:val="single" w:sz="4" w:space="0" w:color="auto"/>
              <w:left w:val="single" w:sz="4" w:space="0" w:color="auto"/>
              <w:right w:val="single" w:sz="4" w:space="0" w:color="auto"/>
            </w:tcBorders>
          </w:tcPr>
          <w:p w14:paraId="5F50D8F7"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3BA0696E" w14:textId="77777777" w:rsidR="00711444" w:rsidRPr="004D0DAA" w:rsidRDefault="00711444" w:rsidP="00AA2A4C">
            <w:pPr>
              <w:pStyle w:val="TAC"/>
              <w:rPr>
                <w:lang w:eastAsia="en-US"/>
              </w:rPr>
            </w:pPr>
            <w:r w:rsidRPr="004D0DAA">
              <w:rPr>
                <w:i/>
                <w:lang w:eastAsia="en-US"/>
              </w:rPr>
              <w:t>below)</w:t>
            </w:r>
          </w:p>
        </w:tc>
      </w:tr>
      <w:tr w:rsidR="00711444" w:rsidRPr="004D0DAA" w14:paraId="6F9BEDA8" w14:textId="77777777" w:rsidTr="00AA2A4C">
        <w:tblPrEx>
          <w:tblCellMar>
            <w:top w:w="0" w:type="dxa"/>
            <w:bottom w:w="0" w:type="dxa"/>
          </w:tblCellMar>
        </w:tblPrEx>
        <w:trPr>
          <w:cantSplit/>
          <w:jc w:val="center"/>
        </w:trPr>
        <w:tc>
          <w:tcPr>
            <w:tcW w:w="3969" w:type="dxa"/>
            <w:gridSpan w:val="7"/>
            <w:tcBorders>
              <w:top w:val="nil"/>
            </w:tcBorders>
          </w:tcPr>
          <w:p w14:paraId="62289BD4" w14:textId="77777777" w:rsidR="00711444" w:rsidRPr="004D0DAA" w:rsidRDefault="00711444" w:rsidP="00AA2A4C">
            <w:pPr>
              <w:pStyle w:val="TAC"/>
              <w:rPr>
                <w:lang w:eastAsia="en-US"/>
              </w:rPr>
            </w:pPr>
            <w:r w:rsidRPr="004D0DAA">
              <w:rPr>
                <w:lang w:eastAsia="en-US"/>
              </w:rPr>
              <w:t>Length indicator = 40</w:t>
            </w:r>
          </w:p>
        </w:tc>
        <w:tc>
          <w:tcPr>
            <w:tcW w:w="567" w:type="dxa"/>
          </w:tcPr>
          <w:p w14:paraId="4AEEF99E"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4CEB07ED" w14:textId="77777777" w:rsidR="00711444" w:rsidRPr="004D0DAA" w:rsidRDefault="00711444" w:rsidP="00AA2A4C">
            <w:pPr>
              <w:pStyle w:val="TAC"/>
              <w:rPr>
                <w:lang w:eastAsia="en-US"/>
              </w:rPr>
            </w:pPr>
            <w:r w:rsidRPr="004D0DAA">
              <w:rPr>
                <w:lang w:eastAsia="en-US"/>
              </w:rPr>
              <w:t xml:space="preserve">1 (RLC data 1) </w:t>
            </w:r>
          </w:p>
        </w:tc>
      </w:tr>
      <w:tr w:rsidR="00711444" w:rsidRPr="004D0DAA" w14:paraId="5FCEE4EE" w14:textId="77777777" w:rsidTr="00AA2A4C">
        <w:tblPrEx>
          <w:tblCellMar>
            <w:top w:w="0" w:type="dxa"/>
            <w:bottom w:w="0" w:type="dxa"/>
          </w:tblCellMar>
        </w:tblPrEx>
        <w:trPr>
          <w:cantSplit/>
          <w:jc w:val="center"/>
        </w:trPr>
        <w:tc>
          <w:tcPr>
            <w:tcW w:w="4536" w:type="dxa"/>
            <w:gridSpan w:val="8"/>
          </w:tcPr>
          <w:p w14:paraId="4BF928B6" w14:textId="77777777" w:rsidR="00711444" w:rsidRPr="004D0DAA" w:rsidRDefault="00711444" w:rsidP="00AA2A4C">
            <w:pPr>
              <w:pStyle w:val="TAC"/>
              <w:rPr>
                <w:lang w:eastAsia="en-US"/>
              </w:rPr>
            </w:pPr>
            <w:r w:rsidRPr="004D0DAA">
              <w:rPr>
                <w:lang w:eastAsia="en-US"/>
              </w:rPr>
              <w:t>LLC1 (octet 1)</w:t>
            </w:r>
          </w:p>
        </w:tc>
        <w:tc>
          <w:tcPr>
            <w:tcW w:w="1701" w:type="dxa"/>
            <w:tcBorders>
              <w:top w:val="nil"/>
              <w:bottom w:val="nil"/>
              <w:right w:val="nil"/>
            </w:tcBorders>
          </w:tcPr>
          <w:p w14:paraId="309BB080" w14:textId="77777777" w:rsidR="00711444" w:rsidRPr="004D0DAA" w:rsidRDefault="00711444" w:rsidP="00AA2A4C">
            <w:pPr>
              <w:pStyle w:val="TAC"/>
              <w:rPr>
                <w:lang w:eastAsia="en-US"/>
              </w:rPr>
            </w:pPr>
            <w:r w:rsidRPr="004D0DAA">
              <w:rPr>
                <w:lang w:eastAsia="en-US"/>
              </w:rPr>
              <w:t>2 (RLC data 1)</w:t>
            </w:r>
          </w:p>
        </w:tc>
      </w:tr>
      <w:tr w:rsidR="00711444" w:rsidRPr="004D0DAA" w14:paraId="54BBE8C8" w14:textId="77777777" w:rsidTr="00AA2A4C">
        <w:tblPrEx>
          <w:tblCellMar>
            <w:top w:w="0" w:type="dxa"/>
            <w:bottom w:w="0" w:type="dxa"/>
          </w:tblCellMar>
        </w:tblPrEx>
        <w:trPr>
          <w:cantSplit/>
          <w:jc w:val="center"/>
        </w:trPr>
        <w:tc>
          <w:tcPr>
            <w:tcW w:w="4536" w:type="dxa"/>
            <w:gridSpan w:val="8"/>
          </w:tcPr>
          <w:p w14:paraId="1F3174C6" w14:textId="77777777" w:rsidR="00711444" w:rsidRPr="004D0DAA" w:rsidRDefault="00711444" w:rsidP="00AA2A4C">
            <w:pPr>
              <w:pStyle w:val="TAC"/>
              <w:rPr>
                <w:lang w:eastAsia="en-US"/>
              </w:rPr>
            </w:pPr>
            <w:r w:rsidRPr="004D0DAA">
              <w:rPr>
                <w:lang w:eastAsia="en-US"/>
              </w:rPr>
              <w:t>LLC1 (octet 2)</w:t>
            </w:r>
          </w:p>
        </w:tc>
        <w:tc>
          <w:tcPr>
            <w:tcW w:w="1701" w:type="dxa"/>
            <w:tcBorders>
              <w:top w:val="nil"/>
              <w:bottom w:val="nil"/>
              <w:right w:val="nil"/>
            </w:tcBorders>
          </w:tcPr>
          <w:p w14:paraId="4759A280" w14:textId="77777777" w:rsidR="00711444" w:rsidRPr="004D0DAA" w:rsidRDefault="00711444" w:rsidP="00AA2A4C">
            <w:pPr>
              <w:pStyle w:val="TAC"/>
              <w:rPr>
                <w:lang w:eastAsia="en-US"/>
              </w:rPr>
            </w:pPr>
            <w:r w:rsidRPr="004D0DAA">
              <w:rPr>
                <w:lang w:eastAsia="en-US"/>
              </w:rPr>
              <w:t>3 (RLC data 1)</w:t>
            </w:r>
          </w:p>
        </w:tc>
      </w:tr>
      <w:tr w:rsidR="00711444" w:rsidRPr="004D0DAA" w14:paraId="040490BE" w14:textId="77777777" w:rsidTr="00AA2A4C">
        <w:tblPrEx>
          <w:tblCellMar>
            <w:top w:w="0" w:type="dxa"/>
            <w:bottom w:w="0" w:type="dxa"/>
          </w:tblCellMar>
        </w:tblPrEx>
        <w:trPr>
          <w:cantSplit/>
          <w:jc w:val="center"/>
        </w:trPr>
        <w:tc>
          <w:tcPr>
            <w:tcW w:w="4536" w:type="dxa"/>
            <w:gridSpan w:val="8"/>
            <w:tcBorders>
              <w:left w:val="nil"/>
              <w:right w:val="nil"/>
            </w:tcBorders>
          </w:tcPr>
          <w:p w14:paraId="47DE2A28"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310410C8" w14:textId="77777777" w:rsidR="00711444" w:rsidRPr="004D0DAA" w:rsidRDefault="00711444" w:rsidP="00AA2A4C">
            <w:pPr>
              <w:pStyle w:val="TAC"/>
              <w:rPr>
                <w:lang w:eastAsia="en-US"/>
              </w:rPr>
            </w:pPr>
            <w:r w:rsidRPr="004D0DAA">
              <w:rPr>
                <w:lang w:eastAsia="en-US"/>
              </w:rPr>
              <w:t>:</w:t>
            </w:r>
          </w:p>
        </w:tc>
      </w:tr>
      <w:tr w:rsidR="00711444" w:rsidRPr="004D0DAA" w14:paraId="5E3E6006" w14:textId="77777777" w:rsidTr="00AA2A4C">
        <w:tblPrEx>
          <w:tblCellMar>
            <w:top w:w="0" w:type="dxa"/>
            <w:bottom w:w="0" w:type="dxa"/>
          </w:tblCellMar>
        </w:tblPrEx>
        <w:trPr>
          <w:cantSplit/>
          <w:jc w:val="center"/>
        </w:trPr>
        <w:tc>
          <w:tcPr>
            <w:tcW w:w="4536" w:type="dxa"/>
            <w:gridSpan w:val="8"/>
          </w:tcPr>
          <w:p w14:paraId="3E317276" w14:textId="77777777" w:rsidR="00711444" w:rsidRPr="004D0DAA" w:rsidRDefault="00711444" w:rsidP="00AA2A4C">
            <w:pPr>
              <w:pStyle w:val="TAC"/>
              <w:rPr>
                <w:lang w:eastAsia="en-US"/>
              </w:rPr>
            </w:pPr>
            <w:r w:rsidRPr="004D0DAA">
              <w:rPr>
                <w:lang w:eastAsia="en-US"/>
              </w:rPr>
              <w:t>LLC1 (octet 39)</w:t>
            </w:r>
          </w:p>
        </w:tc>
        <w:tc>
          <w:tcPr>
            <w:tcW w:w="1701" w:type="dxa"/>
            <w:tcBorders>
              <w:top w:val="nil"/>
              <w:bottom w:val="nil"/>
              <w:right w:val="nil"/>
            </w:tcBorders>
          </w:tcPr>
          <w:p w14:paraId="0A00DD81" w14:textId="77777777" w:rsidR="00711444" w:rsidRPr="004D0DAA" w:rsidRDefault="00711444" w:rsidP="00AA2A4C">
            <w:pPr>
              <w:pStyle w:val="TAC"/>
              <w:rPr>
                <w:lang w:eastAsia="en-US"/>
              </w:rPr>
            </w:pPr>
            <w:r w:rsidRPr="004D0DAA">
              <w:rPr>
                <w:lang w:eastAsia="en-US"/>
              </w:rPr>
              <w:t>40 (RLC data 1)</w:t>
            </w:r>
          </w:p>
        </w:tc>
      </w:tr>
      <w:tr w:rsidR="00711444" w:rsidRPr="004D0DAA" w14:paraId="0213320C" w14:textId="77777777" w:rsidTr="00AA2A4C">
        <w:tblPrEx>
          <w:tblCellMar>
            <w:top w:w="0" w:type="dxa"/>
            <w:bottom w:w="0" w:type="dxa"/>
          </w:tblCellMar>
        </w:tblPrEx>
        <w:trPr>
          <w:cantSplit/>
          <w:jc w:val="center"/>
        </w:trPr>
        <w:tc>
          <w:tcPr>
            <w:tcW w:w="4536" w:type="dxa"/>
            <w:gridSpan w:val="8"/>
          </w:tcPr>
          <w:p w14:paraId="19F6AEEF" w14:textId="77777777" w:rsidR="00711444" w:rsidRPr="004D0DAA" w:rsidRDefault="00711444" w:rsidP="00AA2A4C">
            <w:pPr>
              <w:pStyle w:val="TAC"/>
              <w:rPr>
                <w:lang w:eastAsia="en-US"/>
              </w:rPr>
            </w:pPr>
            <w:r w:rsidRPr="004D0DAA">
              <w:rPr>
                <w:lang w:eastAsia="en-US"/>
              </w:rPr>
              <w:t>LLC1 (octet 40)</w:t>
            </w:r>
          </w:p>
        </w:tc>
        <w:tc>
          <w:tcPr>
            <w:tcW w:w="1701" w:type="dxa"/>
            <w:tcBorders>
              <w:top w:val="nil"/>
              <w:bottom w:val="nil"/>
              <w:right w:val="nil"/>
            </w:tcBorders>
          </w:tcPr>
          <w:p w14:paraId="27A1B7C1" w14:textId="77777777" w:rsidR="00711444" w:rsidRPr="004D0DAA" w:rsidRDefault="00711444" w:rsidP="00AA2A4C">
            <w:pPr>
              <w:pStyle w:val="TAC"/>
              <w:rPr>
                <w:lang w:eastAsia="en-US"/>
              </w:rPr>
            </w:pPr>
            <w:r w:rsidRPr="004D0DAA">
              <w:rPr>
                <w:lang w:eastAsia="en-US"/>
              </w:rPr>
              <w:t>41 (RLC data 1)</w:t>
            </w:r>
          </w:p>
        </w:tc>
      </w:tr>
      <w:tr w:rsidR="00711444" w:rsidRPr="004D0DAA" w14:paraId="5415DF04" w14:textId="77777777" w:rsidTr="00AA2A4C">
        <w:tblPrEx>
          <w:tblCellMar>
            <w:top w:w="0" w:type="dxa"/>
            <w:bottom w:w="0" w:type="dxa"/>
          </w:tblCellMar>
        </w:tblPrEx>
        <w:trPr>
          <w:cantSplit/>
          <w:jc w:val="center"/>
        </w:trPr>
        <w:tc>
          <w:tcPr>
            <w:tcW w:w="4536" w:type="dxa"/>
            <w:gridSpan w:val="8"/>
          </w:tcPr>
          <w:p w14:paraId="35739C0D" w14:textId="77777777" w:rsidR="00711444" w:rsidRPr="004D0DAA" w:rsidRDefault="00711444" w:rsidP="00AA2A4C">
            <w:pPr>
              <w:pStyle w:val="TAC"/>
              <w:rPr>
                <w:lang w:eastAsia="en-US"/>
              </w:rPr>
            </w:pPr>
            <w:r w:rsidRPr="004D0DAA">
              <w:rPr>
                <w:lang w:eastAsia="en-US"/>
              </w:rPr>
              <w:t>LLC2 (octet 1)</w:t>
            </w:r>
          </w:p>
        </w:tc>
        <w:tc>
          <w:tcPr>
            <w:tcW w:w="1701" w:type="dxa"/>
            <w:tcBorders>
              <w:top w:val="nil"/>
              <w:bottom w:val="nil"/>
              <w:right w:val="nil"/>
            </w:tcBorders>
          </w:tcPr>
          <w:p w14:paraId="2F366037" w14:textId="77777777" w:rsidR="00711444" w:rsidRPr="004D0DAA" w:rsidRDefault="00711444" w:rsidP="00AA2A4C">
            <w:pPr>
              <w:pStyle w:val="TAC"/>
              <w:rPr>
                <w:lang w:eastAsia="en-US"/>
              </w:rPr>
            </w:pPr>
            <w:r w:rsidRPr="004D0DAA">
              <w:rPr>
                <w:lang w:eastAsia="en-US"/>
              </w:rPr>
              <w:t>42 (RLC data 1)</w:t>
            </w:r>
          </w:p>
        </w:tc>
      </w:tr>
      <w:tr w:rsidR="00711444" w:rsidRPr="004D0DAA" w14:paraId="7AA16F95" w14:textId="77777777" w:rsidTr="00AA2A4C">
        <w:tblPrEx>
          <w:tblCellMar>
            <w:top w:w="0" w:type="dxa"/>
            <w:bottom w:w="0" w:type="dxa"/>
          </w:tblCellMar>
        </w:tblPrEx>
        <w:trPr>
          <w:cantSplit/>
          <w:jc w:val="center"/>
        </w:trPr>
        <w:tc>
          <w:tcPr>
            <w:tcW w:w="4536" w:type="dxa"/>
            <w:gridSpan w:val="8"/>
          </w:tcPr>
          <w:p w14:paraId="66198FC4" w14:textId="77777777" w:rsidR="00711444" w:rsidRPr="004D0DAA" w:rsidRDefault="00711444" w:rsidP="00AA2A4C">
            <w:pPr>
              <w:pStyle w:val="TAC"/>
              <w:rPr>
                <w:lang w:eastAsia="en-US"/>
              </w:rPr>
            </w:pPr>
            <w:r w:rsidRPr="004D0DAA">
              <w:rPr>
                <w:lang w:eastAsia="en-US"/>
              </w:rPr>
              <w:t>LLC2 (octet 2)</w:t>
            </w:r>
          </w:p>
        </w:tc>
        <w:tc>
          <w:tcPr>
            <w:tcW w:w="1701" w:type="dxa"/>
            <w:tcBorders>
              <w:top w:val="nil"/>
              <w:bottom w:val="nil"/>
              <w:right w:val="nil"/>
            </w:tcBorders>
          </w:tcPr>
          <w:p w14:paraId="7DAD40F2" w14:textId="77777777" w:rsidR="00711444" w:rsidRPr="004D0DAA" w:rsidRDefault="00711444" w:rsidP="00AA2A4C">
            <w:pPr>
              <w:pStyle w:val="TAC"/>
              <w:rPr>
                <w:lang w:eastAsia="en-US"/>
              </w:rPr>
            </w:pPr>
            <w:r w:rsidRPr="004D0DAA">
              <w:rPr>
                <w:lang w:eastAsia="en-US"/>
              </w:rPr>
              <w:t>43 (RLC data 1)</w:t>
            </w:r>
          </w:p>
        </w:tc>
      </w:tr>
      <w:tr w:rsidR="00711444" w:rsidRPr="004D0DAA" w14:paraId="1DE1B264" w14:textId="77777777" w:rsidTr="00AA2A4C">
        <w:tblPrEx>
          <w:tblCellMar>
            <w:top w:w="0" w:type="dxa"/>
            <w:bottom w:w="0" w:type="dxa"/>
          </w:tblCellMar>
        </w:tblPrEx>
        <w:trPr>
          <w:cantSplit/>
          <w:jc w:val="center"/>
        </w:trPr>
        <w:tc>
          <w:tcPr>
            <w:tcW w:w="4536" w:type="dxa"/>
            <w:gridSpan w:val="8"/>
            <w:tcBorders>
              <w:left w:val="nil"/>
              <w:right w:val="nil"/>
            </w:tcBorders>
          </w:tcPr>
          <w:p w14:paraId="1E42A815"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7E36F854" w14:textId="77777777" w:rsidR="00711444" w:rsidRPr="004D0DAA" w:rsidRDefault="00711444" w:rsidP="00AA2A4C">
            <w:pPr>
              <w:pStyle w:val="TAC"/>
              <w:rPr>
                <w:lang w:eastAsia="en-US"/>
              </w:rPr>
            </w:pPr>
            <w:r w:rsidRPr="004D0DAA">
              <w:rPr>
                <w:lang w:eastAsia="en-US"/>
              </w:rPr>
              <w:t>:</w:t>
            </w:r>
          </w:p>
        </w:tc>
      </w:tr>
      <w:tr w:rsidR="00711444" w:rsidRPr="004D0DAA" w14:paraId="7F58BF47" w14:textId="77777777" w:rsidTr="00AA2A4C">
        <w:tblPrEx>
          <w:tblCellMar>
            <w:top w:w="0" w:type="dxa"/>
            <w:bottom w:w="0" w:type="dxa"/>
          </w:tblCellMar>
        </w:tblPrEx>
        <w:trPr>
          <w:cantSplit/>
          <w:jc w:val="center"/>
        </w:trPr>
        <w:tc>
          <w:tcPr>
            <w:tcW w:w="4536" w:type="dxa"/>
            <w:gridSpan w:val="8"/>
            <w:tcBorders>
              <w:bottom w:val="nil"/>
            </w:tcBorders>
          </w:tcPr>
          <w:p w14:paraId="7685742D" w14:textId="77777777" w:rsidR="00711444" w:rsidRPr="004D0DAA" w:rsidRDefault="00711444" w:rsidP="00AA2A4C">
            <w:pPr>
              <w:pStyle w:val="TAC"/>
              <w:rPr>
                <w:lang w:eastAsia="en-US"/>
              </w:rPr>
            </w:pPr>
            <w:r w:rsidRPr="004D0DAA">
              <w:rPr>
                <w:lang w:eastAsia="en-US"/>
              </w:rPr>
              <w:t>LLC2 (octet 26)</w:t>
            </w:r>
          </w:p>
        </w:tc>
        <w:tc>
          <w:tcPr>
            <w:tcW w:w="1701" w:type="dxa"/>
            <w:tcBorders>
              <w:top w:val="nil"/>
              <w:bottom w:val="nil"/>
              <w:right w:val="nil"/>
            </w:tcBorders>
          </w:tcPr>
          <w:p w14:paraId="78C6D7FB" w14:textId="77777777" w:rsidR="00711444" w:rsidRPr="004D0DAA" w:rsidRDefault="00711444" w:rsidP="00AA2A4C">
            <w:pPr>
              <w:pStyle w:val="TAC"/>
              <w:rPr>
                <w:lang w:eastAsia="en-US"/>
              </w:rPr>
            </w:pPr>
            <w:r w:rsidRPr="004D0DAA">
              <w:rPr>
                <w:lang w:eastAsia="en-US"/>
              </w:rPr>
              <w:t>67 (RLC data 1)</w:t>
            </w:r>
          </w:p>
        </w:tc>
      </w:tr>
      <w:tr w:rsidR="00711444" w:rsidRPr="004D0DAA" w14:paraId="5E4549F3" w14:textId="77777777" w:rsidTr="00AA2A4C">
        <w:tblPrEx>
          <w:tblCellMar>
            <w:top w:w="0" w:type="dxa"/>
            <w:bottom w:w="0" w:type="dxa"/>
          </w:tblCellMar>
        </w:tblPrEx>
        <w:trPr>
          <w:cantSplit/>
          <w:jc w:val="center"/>
        </w:trPr>
        <w:tc>
          <w:tcPr>
            <w:tcW w:w="4536" w:type="dxa"/>
            <w:gridSpan w:val="8"/>
            <w:tcBorders>
              <w:bottom w:val="single" w:sz="18" w:space="0" w:color="auto"/>
            </w:tcBorders>
          </w:tcPr>
          <w:p w14:paraId="0AAEF3D1" w14:textId="77777777" w:rsidR="00711444" w:rsidRPr="004D0DAA" w:rsidRDefault="00711444" w:rsidP="00AA2A4C">
            <w:pPr>
              <w:pStyle w:val="TAC"/>
              <w:rPr>
                <w:lang w:eastAsia="en-US"/>
              </w:rPr>
            </w:pPr>
            <w:r w:rsidRPr="004D0DAA">
              <w:rPr>
                <w:lang w:eastAsia="en-US"/>
              </w:rPr>
              <w:t>LLC2 (octet 27)</w:t>
            </w:r>
          </w:p>
        </w:tc>
        <w:tc>
          <w:tcPr>
            <w:tcW w:w="1701" w:type="dxa"/>
            <w:tcBorders>
              <w:top w:val="nil"/>
              <w:bottom w:val="nil"/>
              <w:right w:val="nil"/>
            </w:tcBorders>
          </w:tcPr>
          <w:p w14:paraId="74CC577D" w14:textId="77777777" w:rsidR="00711444" w:rsidRPr="004D0DAA" w:rsidRDefault="00711444" w:rsidP="00AA2A4C">
            <w:pPr>
              <w:pStyle w:val="TAC"/>
              <w:rPr>
                <w:lang w:eastAsia="en-US"/>
              </w:rPr>
            </w:pPr>
            <w:r w:rsidRPr="004D0DAA">
              <w:rPr>
                <w:lang w:eastAsia="en-US"/>
              </w:rPr>
              <w:t>68 (RLC data 1)</w:t>
            </w:r>
          </w:p>
        </w:tc>
      </w:tr>
      <w:tr w:rsidR="00711444" w:rsidRPr="004D0DAA" w14:paraId="62696F4C" w14:textId="77777777" w:rsidTr="00AA2A4C">
        <w:tblPrEx>
          <w:tblCellMar>
            <w:top w:w="0" w:type="dxa"/>
            <w:bottom w:w="0" w:type="dxa"/>
          </w:tblCellMar>
        </w:tblPrEx>
        <w:trPr>
          <w:jc w:val="center"/>
        </w:trPr>
        <w:tc>
          <w:tcPr>
            <w:tcW w:w="567" w:type="dxa"/>
            <w:tcBorders>
              <w:top w:val="nil"/>
              <w:left w:val="nil"/>
              <w:right w:val="nil"/>
            </w:tcBorders>
          </w:tcPr>
          <w:p w14:paraId="2332CCB7" w14:textId="77777777" w:rsidR="00711444" w:rsidRPr="004D0DAA" w:rsidRDefault="00711444" w:rsidP="00AA2A4C"/>
        </w:tc>
        <w:tc>
          <w:tcPr>
            <w:tcW w:w="567" w:type="dxa"/>
            <w:tcBorders>
              <w:top w:val="nil"/>
              <w:left w:val="nil"/>
              <w:right w:val="nil"/>
            </w:tcBorders>
          </w:tcPr>
          <w:p w14:paraId="6EE44F5C" w14:textId="77777777" w:rsidR="00711444" w:rsidRPr="004D0DAA" w:rsidRDefault="00711444" w:rsidP="00AA2A4C"/>
        </w:tc>
        <w:tc>
          <w:tcPr>
            <w:tcW w:w="567" w:type="dxa"/>
            <w:tcBorders>
              <w:top w:val="nil"/>
              <w:left w:val="nil"/>
              <w:right w:val="nil"/>
            </w:tcBorders>
          </w:tcPr>
          <w:p w14:paraId="47C5762E" w14:textId="77777777" w:rsidR="00711444" w:rsidRPr="004D0DAA" w:rsidRDefault="00711444" w:rsidP="00AA2A4C"/>
        </w:tc>
        <w:tc>
          <w:tcPr>
            <w:tcW w:w="567" w:type="dxa"/>
            <w:tcBorders>
              <w:top w:val="nil"/>
              <w:left w:val="nil"/>
              <w:right w:val="nil"/>
            </w:tcBorders>
          </w:tcPr>
          <w:p w14:paraId="7D53A2FE" w14:textId="77777777" w:rsidR="00711444" w:rsidRPr="004D0DAA" w:rsidRDefault="00711444" w:rsidP="00AA2A4C"/>
        </w:tc>
        <w:tc>
          <w:tcPr>
            <w:tcW w:w="567" w:type="dxa"/>
            <w:tcBorders>
              <w:top w:val="nil"/>
              <w:left w:val="nil"/>
              <w:right w:val="nil"/>
            </w:tcBorders>
          </w:tcPr>
          <w:p w14:paraId="0CA0D3C7" w14:textId="77777777" w:rsidR="00711444" w:rsidRPr="004D0DAA" w:rsidRDefault="00711444" w:rsidP="00AA2A4C"/>
        </w:tc>
        <w:tc>
          <w:tcPr>
            <w:tcW w:w="567" w:type="dxa"/>
            <w:tcBorders>
              <w:top w:val="nil"/>
              <w:left w:val="nil"/>
              <w:right w:val="nil"/>
            </w:tcBorders>
          </w:tcPr>
          <w:p w14:paraId="10E9232E" w14:textId="77777777" w:rsidR="00711444" w:rsidRPr="004D0DAA" w:rsidRDefault="00711444" w:rsidP="00AA2A4C"/>
        </w:tc>
        <w:tc>
          <w:tcPr>
            <w:tcW w:w="567" w:type="dxa"/>
            <w:tcBorders>
              <w:top w:val="nil"/>
              <w:left w:val="single" w:sz="4" w:space="0" w:color="auto"/>
              <w:right w:val="single" w:sz="4" w:space="0" w:color="auto"/>
            </w:tcBorders>
          </w:tcPr>
          <w:p w14:paraId="5AF763CA" w14:textId="77777777" w:rsidR="00711444" w:rsidRPr="004D0DAA" w:rsidRDefault="00711444" w:rsidP="00AA2A4C">
            <w:pPr>
              <w:pStyle w:val="TAC"/>
              <w:rPr>
                <w:lang w:eastAsia="en-US"/>
              </w:rPr>
            </w:pPr>
            <w:r w:rsidRPr="004D0DAA">
              <w:rPr>
                <w:lang w:eastAsia="en-US"/>
              </w:rPr>
              <w:t>TI</w:t>
            </w:r>
          </w:p>
        </w:tc>
        <w:tc>
          <w:tcPr>
            <w:tcW w:w="567" w:type="dxa"/>
            <w:tcBorders>
              <w:top w:val="nil"/>
              <w:left w:val="single" w:sz="4" w:space="0" w:color="auto"/>
              <w:right w:val="single" w:sz="4" w:space="0" w:color="auto"/>
            </w:tcBorders>
          </w:tcPr>
          <w:p w14:paraId="5FBC328B"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51EBE97E" w14:textId="77777777" w:rsidR="00711444" w:rsidRPr="004D0DAA" w:rsidRDefault="00711444" w:rsidP="00AA2A4C">
            <w:pPr>
              <w:pStyle w:val="TAC"/>
              <w:rPr>
                <w:lang w:eastAsia="en-US"/>
              </w:rPr>
            </w:pPr>
            <w:r w:rsidRPr="004D0DAA">
              <w:rPr>
                <w:i/>
                <w:lang w:eastAsia="en-US"/>
              </w:rPr>
              <w:t>(See note below)</w:t>
            </w:r>
          </w:p>
        </w:tc>
      </w:tr>
      <w:tr w:rsidR="00711444" w:rsidRPr="004D0DAA" w14:paraId="0B805547" w14:textId="77777777" w:rsidTr="00AA2A4C">
        <w:tblPrEx>
          <w:tblCellMar>
            <w:top w:w="0" w:type="dxa"/>
            <w:bottom w:w="0" w:type="dxa"/>
          </w:tblCellMar>
        </w:tblPrEx>
        <w:trPr>
          <w:cantSplit/>
          <w:jc w:val="center"/>
        </w:trPr>
        <w:tc>
          <w:tcPr>
            <w:tcW w:w="3969" w:type="dxa"/>
            <w:gridSpan w:val="7"/>
            <w:tcBorders>
              <w:top w:val="nil"/>
            </w:tcBorders>
          </w:tcPr>
          <w:p w14:paraId="01DF9F5D" w14:textId="77777777" w:rsidR="00711444" w:rsidRPr="004D0DAA" w:rsidRDefault="00711444" w:rsidP="00AA2A4C">
            <w:pPr>
              <w:pStyle w:val="TAC"/>
              <w:rPr>
                <w:lang w:eastAsia="en-US"/>
              </w:rPr>
            </w:pPr>
            <w:r w:rsidRPr="004D0DAA">
              <w:rPr>
                <w:lang w:eastAsia="en-US"/>
              </w:rPr>
              <w:t>Length indicator = 33</w:t>
            </w:r>
          </w:p>
        </w:tc>
        <w:tc>
          <w:tcPr>
            <w:tcW w:w="567" w:type="dxa"/>
          </w:tcPr>
          <w:p w14:paraId="7AF163B6"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198B2E6A" w14:textId="77777777" w:rsidR="00711444" w:rsidRPr="004D0DAA" w:rsidRDefault="00711444" w:rsidP="00AA2A4C">
            <w:pPr>
              <w:pStyle w:val="TAC"/>
              <w:rPr>
                <w:lang w:eastAsia="en-US"/>
              </w:rPr>
            </w:pPr>
            <w:r w:rsidRPr="004D0DAA">
              <w:rPr>
                <w:lang w:eastAsia="en-US"/>
              </w:rPr>
              <w:t xml:space="preserve">1 (RLC data 2) </w:t>
            </w:r>
          </w:p>
        </w:tc>
      </w:tr>
      <w:tr w:rsidR="00711444" w:rsidRPr="004D0DAA" w14:paraId="54B670AA" w14:textId="77777777" w:rsidTr="00AA2A4C">
        <w:tblPrEx>
          <w:tblCellMar>
            <w:top w:w="0" w:type="dxa"/>
            <w:bottom w:w="0" w:type="dxa"/>
          </w:tblCellMar>
        </w:tblPrEx>
        <w:trPr>
          <w:cantSplit/>
          <w:jc w:val="center"/>
        </w:trPr>
        <w:tc>
          <w:tcPr>
            <w:tcW w:w="4536" w:type="dxa"/>
            <w:gridSpan w:val="8"/>
          </w:tcPr>
          <w:p w14:paraId="5554442E" w14:textId="77777777" w:rsidR="00711444" w:rsidRPr="004D0DAA" w:rsidRDefault="00711444" w:rsidP="00AA2A4C">
            <w:pPr>
              <w:pStyle w:val="TAC"/>
              <w:rPr>
                <w:lang w:eastAsia="en-US"/>
              </w:rPr>
            </w:pPr>
            <w:r w:rsidRPr="004D0DAA">
              <w:rPr>
                <w:lang w:eastAsia="en-US"/>
              </w:rPr>
              <w:t>LLC2 (octet 28)</w:t>
            </w:r>
          </w:p>
        </w:tc>
        <w:tc>
          <w:tcPr>
            <w:tcW w:w="1701" w:type="dxa"/>
            <w:tcBorders>
              <w:top w:val="nil"/>
              <w:bottom w:val="nil"/>
              <w:right w:val="nil"/>
            </w:tcBorders>
          </w:tcPr>
          <w:p w14:paraId="1CC88C2E" w14:textId="77777777" w:rsidR="00711444" w:rsidRPr="004D0DAA" w:rsidRDefault="00711444" w:rsidP="00AA2A4C">
            <w:pPr>
              <w:pStyle w:val="TAC"/>
              <w:rPr>
                <w:lang w:eastAsia="en-US"/>
              </w:rPr>
            </w:pPr>
            <w:r w:rsidRPr="004D0DAA">
              <w:rPr>
                <w:lang w:eastAsia="en-US"/>
              </w:rPr>
              <w:t>2 (RLC data 2)</w:t>
            </w:r>
          </w:p>
        </w:tc>
      </w:tr>
      <w:tr w:rsidR="00711444" w:rsidRPr="004D0DAA" w14:paraId="71104728" w14:textId="77777777" w:rsidTr="00AA2A4C">
        <w:tblPrEx>
          <w:tblCellMar>
            <w:top w:w="0" w:type="dxa"/>
            <w:bottom w:w="0" w:type="dxa"/>
          </w:tblCellMar>
        </w:tblPrEx>
        <w:trPr>
          <w:cantSplit/>
          <w:jc w:val="center"/>
        </w:trPr>
        <w:tc>
          <w:tcPr>
            <w:tcW w:w="4536" w:type="dxa"/>
            <w:gridSpan w:val="8"/>
          </w:tcPr>
          <w:p w14:paraId="760D0D2F" w14:textId="77777777" w:rsidR="00711444" w:rsidRPr="004D0DAA" w:rsidRDefault="00711444" w:rsidP="00AA2A4C">
            <w:pPr>
              <w:pStyle w:val="TAC"/>
              <w:rPr>
                <w:lang w:eastAsia="en-US"/>
              </w:rPr>
            </w:pPr>
            <w:r w:rsidRPr="004D0DAA">
              <w:rPr>
                <w:lang w:eastAsia="en-US"/>
              </w:rPr>
              <w:t>LLC2 (octet 29)</w:t>
            </w:r>
          </w:p>
        </w:tc>
        <w:tc>
          <w:tcPr>
            <w:tcW w:w="1701" w:type="dxa"/>
            <w:tcBorders>
              <w:top w:val="nil"/>
              <w:bottom w:val="nil"/>
              <w:right w:val="nil"/>
            </w:tcBorders>
          </w:tcPr>
          <w:p w14:paraId="6DBFC5B3" w14:textId="77777777" w:rsidR="00711444" w:rsidRPr="004D0DAA" w:rsidRDefault="00711444" w:rsidP="00AA2A4C">
            <w:pPr>
              <w:pStyle w:val="TAC"/>
              <w:rPr>
                <w:lang w:eastAsia="en-US"/>
              </w:rPr>
            </w:pPr>
            <w:r w:rsidRPr="004D0DAA">
              <w:rPr>
                <w:lang w:eastAsia="en-US"/>
              </w:rPr>
              <w:t>3 (RLC data 2)</w:t>
            </w:r>
          </w:p>
        </w:tc>
      </w:tr>
      <w:tr w:rsidR="00711444" w:rsidRPr="004D0DAA" w14:paraId="290E03D8" w14:textId="77777777" w:rsidTr="00AA2A4C">
        <w:tblPrEx>
          <w:tblCellMar>
            <w:top w:w="0" w:type="dxa"/>
            <w:bottom w:w="0" w:type="dxa"/>
          </w:tblCellMar>
        </w:tblPrEx>
        <w:trPr>
          <w:cantSplit/>
          <w:jc w:val="center"/>
        </w:trPr>
        <w:tc>
          <w:tcPr>
            <w:tcW w:w="4536" w:type="dxa"/>
            <w:gridSpan w:val="8"/>
            <w:tcBorders>
              <w:left w:val="nil"/>
              <w:right w:val="nil"/>
            </w:tcBorders>
          </w:tcPr>
          <w:p w14:paraId="1886AF5D"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02023092" w14:textId="77777777" w:rsidR="00711444" w:rsidRPr="004D0DAA" w:rsidRDefault="00711444" w:rsidP="00AA2A4C">
            <w:pPr>
              <w:pStyle w:val="TAC"/>
              <w:rPr>
                <w:lang w:eastAsia="en-US"/>
              </w:rPr>
            </w:pPr>
            <w:r w:rsidRPr="004D0DAA">
              <w:rPr>
                <w:lang w:eastAsia="en-US"/>
              </w:rPr>
              <w:t>:</w:t>
            </w:r>
          </w:p>
        </w:tc>
      </w:tr>
      <w:tr w:rsidR="00711444" w:rsidRPr="004D0DAA" w14:paraId="658A18A6" w14:textId="77777777" w:rsidTr="00AA2A4C">
        <w:tblPrEx>
          <w:tblCellMar>
            <w:top w:w="0" w:type="dxa"/>
            <w:bottom w:w="0" w:type="dxa"/>
          </w:tblCellMar>
        </w:tblPrEx>
        <w:trPr>
          <w:cantSplit/>
          <w:jc w:val="center"/>
        </w:trPr>
        <w:tc>
          <w:tcPr>
            <w:tcW w:w="4536" w:type="dxa"/>
            <w:gridSpan w:val="8"/>
          </w:tcPr>
          <w:p w14:paraId="19B62ECB" w14:textId="77777777" w:rsidR="00711444" w:rsidRPr="004D0DAA" w:rsidRDefault="00711444" w:rsidP="00AA2A4C">
            <w:pPr>
              <w:pStyle w:val="TAC"/>
              <w:rPr>
                <w:lang w:eastAsia="en-US"/>
              </w:rPr>
            </w:pPr>
            <w:r w:rsidRPr="004D0DAA">
              <w:rPr>
                <w:lang w:eastAsia="en-US"/>
              </w:rPr>
              <w:t>LLC2 (octet 59)</w:t>
            </w:r>
          </w:p>
        </w:tc>
        <w:tc>
          <w:tcPr>
            <w:tcW w:w="1701" w:type="dxa"/>
            <w:tcBorders>
              <w:top w:val="nil"/>
              <w:bottom w:val="nil"/>
              <w:right w:val="nil"/>
            </w:tcBorders>
          </w:tcPr>
          <w:p w14:paraId="7D2DEA80" w14:textId="77777777" w:rsidR="00711444" w:rsidRPr="004D0DAA" w:rsidRDefault="00711444" w:rsidP="00AA2A4C">
            <w:pPr>
              <w:pStyle w:val="TAC"/>
              <w:rPr>
                <w:lang w:eastAsia="en-US"/>
              </w:rPr>
            </w:pPr>
            <w:r w:rsidRPr="004D0DAA">
              <w:rPr>
                <w:lang w:eastAsia="en-US"/>
              </w:rPr>
              <w:t>33 (RLC data 2)</w:t>
            </w:r>
          </w:p>
        </w:tc>
      </w:tr>
      <w:tr w:rsidR="00711444" w:rsidRPr="004D0DAA" w14:paraId="162511F6" w14:textId="77777777" w:rsidTr="00AA2A4C">
        <w:tblPrEx>
          <w:tblCellMar>
            <w:top w:w="0" w:type="dxa"/>
            <w:bottom w:w="0" w:type="dxa"/>
          </w:tblCellMar>
        </w:tblPrEx>
        <w:trPr>
          <w:cantSplit/>
          <w:jc w:val="center"/>
        </w:trPr>
        <w:tc>
          <w:tcPr>
            <w:tcW w:w="4536" w:type="dxa"/>
            <w:gridSpan w:val="8"/>
          </w:tcPr>
          <w:p w14:paraId="7DE084B9" w14:textId="77777777" w:rsidR="00711444" w:rsidRPr="004D0DAA" w:rsidRDefault="00711444" w:rsidP="00AA2A4C">
            <w:pPr>
              <w:pStyle w:val="TAC"/>
              <w:rPr>
                <w:lang w:eastAsia="en-US"/>
              </w:rPr>
            </w:pPr>
            <w:r w:rsidRPr="004D0DAA">
              <w:rPr>
                <w:lang w:eastAsia="en-US"/>
              </w:rPr>
              <w:t>LLC2 (octet 60)</w:t>
            </w:r>
          </w:p>
        </w:tc>
        <w:tc>
          <w:tcPr>
            <w:tcW w:w="1701" w:type="dxa"/>
            <w:tcBorders>
              <w:top w:val="nil"/>
              <w:bottom w:val="nil"/>
              <w:right w:val="nil"/>
            </w:tcBorders>
          </w:tcPr>
          <w:p w14:paraId="2950A70B" w14:textId="77777777" w:rsidR="00711444" w:rsidRPr="004D0DAA" w:rsidRDefault="00711444" w:rsidP="00AA2A4C">
            <w:pPr>
              <w:pStyle w:val="TAC"/>
              <w:rPr>
                <w:lang w:eastAsia="en-US"/>
              </w:rPr>
            </w:pPr>
            <w:r w:rsidRPr="004D0DAA">
              <w:rPr>
                <w:lang w:eastAsia="en-US"/>
              </w:rPr>
              <w:t>34 (RLC data 2)</w:t>
            </w:r>
          </w:p>
        </w:tc>
      </w:tr>
      <w:tr w:rsidR="00711444" w:rsidRPr="004D0DAA" w14:paraId="5DC83E76" w14:textId="77777777" w:rsidTr="00AA2A4C">
        <w:tblPrEx>
          <w:tblCellMar>
            <w:top w:w="0" w:type="dxa"/>
            <w:bottom w:w="0" w:type="dxa"/>
          </w:tblCellMar>
        </w:tblPrEx>
        <w:trPr>
          <w:cantSplit/>
          <w:jc w:val="center"/>
        </w:trPr>
        <w:tc>
          <w:tcPr>
            <w:tcW w:w="4536" w:type="dxa"/>
            <w:gridSpan w:val="8"/>
          </w:tcPr>
          <w:p w14:paraId="272ED05A" w14:textId="77777777" w:rsidR="00711444" w:rsidRPr="004D0DAA" w:rsidRDefault="00711444" w:rsidP="00AA2A4C">
            <w:pPr>
              <w:pStyle w:val="TAC"/>
              <w:rPr>
                <w:lang w:eastAsia="en-US"/>
              </w:rPr>
            </w:pPr>
            <w:r w:rsidRPr="004D0DAA">
              <w:rPr>
                <w:lang w:eastAsia="en-US"/>
              </w:rPr>
              <w:t>LLC3 (octet 1)</w:t>
            </w:r>
          </w:p>
        </w:tc>
        <w:tc>
          <w:tcPr>
            <w:tcW w:w="1701" w:type="dxa"/>
            <w:tcBorders>
              <w:top w:val="nil"/>
              <w:bottom w:val="nil"/>
              <w:right w:val="nil"/>
            </w:tcBorders>
          </w:tcPr>
          <w:p w14:paraId="49FBD932" w14:textId="77777777" w:rsidR="00711444" w:rsidRPr="004D0DAA" w:rsidRDefault="00711444" w:rsidP="00AA2A4C">
            <w:pPr>
              <w:pStyle w:val="TAC"/>
              <w:rPr>
                <w:lang w:eastAsia="en-US"/>
              </w:rPr>
            </w:pPr>
            <w:r w:rsidRPr="004D0DAA">
              <w:rPr>
                <w:lang w:eastAsia="en-US"/>
              </w:rPr>
              <w:t>35 (RLC data 2)</w:t>
            </w:r>
          </w:p>
        </w:tc>
      </w:tr>
      <w:tr w:rsidR="00711444" w:rsidRPr="004D0DAA" w14:paraId="3286E3DE" w14:textId="77777777" w:rsidTr="00AA2A4C">
        <w:tblPrEx>
          <w:tblCellMar>
            <w:top w:w="0" w:type="dxa"/>
            <w:bottom w:w="0" w:type="dxa"/>
          </w:tblCellMar>
        </w:tblPrEx>
        <w:trPr>
          <w:cantSplit/>
          <w:jc w:val="center"/>
        </w:trPr>
        <w:tc>
          <w:tcPr>
            <w:tcW w:w="4536" w:type="dxa"/>
            <w:gridSpan w:val="8"/>
          </w:tcPr>
          <w:p w14:paraId="661112E6" w14:textId="77777777" w:rsidR="00711444" w:rsidRPr="004D0DAA" w:rsidRDefault="00711444" w:rsidP="00AA2A4C">
            <w:pPr>
              <w:pStyle w:val="TAC"/>
              <w:rPr>
                <w:lang w:eastAsia="en-US"/>
              </w:rPr>
            </w:pPr>
            <w:r w:rsidRPr="004D0DAA">
              <w:rPr>
                <w:lang w:eastAsia="en-US"/>
              </w:rPr>
              <w:t>LLC3 (octet 2)</w:t>
            </w:r>
          </w:p>
        </w:tc>
        <w:tc>
          <w:tcPr>
            <w:tcW w:w="1701" w:type="dxa"/>
            <w:tcBorders>
              <w:top w:val="nil"/>
              <w:bottom w:val="nil"/>
              <w:right w:val="nil"/>
            </w:tcBorders>
          </w:tcPr>
          <w:p w14:paraId="380F002F" w14:textId="77777777" w:rsidR="00711444" w:rsidRPr="004D0DAA" w:rsidRDefault="00711444" w:rsidP="00AA2A4C">
            <w:pPr>
              <w:pStyle w:val="TAC"/>
              <w:rPr>
                <w:lang w:eastAsia="en-US"/>
              </w:rPr>
            </w:pPr>
            <w:r w:rsidRPr="004D0DAA">
              <w:rPr>
                <w:lang w:eastAsia="en-US"/>
              </w:rPr>
              <w:t>36 (RLC data 2)</w:t>
            </w:r>
          </w:p>
        </w:tc>
      </w:tr>
      <w:tr w:rsidR="00711444" w:rsidRPr="004D0DAA" w14:paraId="2C582168" w14:textId="77777777" w:rsidTr="00AA2A4C">
        <w:tblPrEx>
          <w:tblCellMar>
            <w:top w:w="0" w:type="dxa"/>
            <w:bottom w:w="0" w:type="dxa"/>
          </w:tblCellMar>
        </w:tblPrEx>
        <w:trPr>
          <w:cantSplit/>
          <w:jc w:val="center"/>
        </w:trPr>
        <w:tc>
          <w:tcPr>
            <w:tcW w:w="4536" w:type="dxa"/>
            <w:gridSpan w:val="8"/>
            <w:tcBorders>
              <w:left w:val="nil"/>
              <w:right w:val="nil"/>
            </w:tcBorders>
          </w:tcPr>
          <w:p w14:paraId="7BE0787D"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6D7B4021" w14:textId="77777777" w:rsidR="00711444" w:rsidRPr="004D0DAA" w:rsidRDefault="00711444" w:rsidP="00AA2A4C">
            <w:pPr>
              <w:pStyle w:val="TAC"/>
              <w:rPr>
                <w:lang w:eastAsia="en-US"/>
              </w:rPr>
            </w:pPr>
            <w:r w:rsidRPr="004D0DAA">
              <w:rPr>
                <w:lang w:eastAsia="en-US"/>
              </w:rPr>
              <w:t>:</w:t>
            </w:r>
          </w:p>
        </w:tc>
      </w:tr>
      <w:tr w:rsidR="00711444" w:rsidRPr="004D0DAA" w14:paraId="50FFBB07" w14:textId="77777777" w:rsidTr="00AA2A4C">
        <w:tblPrEx>
          <w:tblCellMar>
            <w:top w:w="0" w:type="dxa"/>
            <w:bottom w:w="0" w:type="dxa"/>
          </w:tblCellMar>
        </w:tblPrEx>
        <w:trPr>
          <w:cantSplit/>
          <w:jc w:val="center"/>
        </w:trPr>
        <w:tc>
          <w:tcPr>
            <w:tcW w:w="4536" w:type="dxa"/>
            <w:gridSpan w:val="8"/>
          </w:tcPr>
          <w:p w14:paraId="4C067084" w14:textId="77777777" w:rsidR="00711444" w:rsidRPr="004D0DAA" w:rsidRDefault="00711444" w:rsidP="00AA2A4C">
            <w:pPr>
              <w:pStyle w:val="TAC"/>
              <w:rPr>
                <w:lang w:eastAsia="en-US"/>
              </w:rPr>
            </w:pPr>
            <w:r w:rsidRPr="004D0DAA">
              <w:rPr>
                <w:lang w:eastAsia="en-US"/>
              </w:rPr>
              <w:t>LLC3 (octet 33)</w:t>
            </w:r>
          </w:p>
        </w:tc>
        <w:tc>
          <w:tcPr>
            <w:tcW w:w="1701" w:type="dxa"/>
            <w:tcBorders>
              <w:top w:val="nil"/>
              <w:bottom w:val="nil"/>
              <w:right w:val="nil"/>
            </w:tcBorders>
          </w:tcPr>
          <w:p w14:paraId="2E175AB6" w14:textId="77777777" w:rsidR="00711444" w:rsidRPr="004D0DAA" w:rsidRDefault="00711444" w:rsidP="00AA2A4C">
            <w:pPr>
              <w:pStyle w:val="TAC"/>
              <w:rPr>
                <w:lang w:eastAsia="en-US"/>
              </w:rPr>
            </w:pPr>
            <w:r w:rsidRPr="004D0DAA">
              <w:rPr>
                <w:lang w:eastAsia="en-US"/>
              </w:rPr>
              <w:t>67 (RLC data 2)</w:t>
            </w:r>
          </w:p>
        </w:tc>
      </w:tr>
      <w:tr w:rsidR="00711444" w:rsidRPr="004D0DAA" w14:paraId="5EEADF6A" w14:textId="77777777" w:rsidTr="00AA2A4C">
        <w:tblPrEx>
          <w:tblCellMar>
            <w:top w:w="0" w:type="dxa"/>
            <w:bottom w:w="0" w:type="dxa"/>
          </w:tblCellMar>
        </w:tblPrEx>
        <w:trPr>
          <w:cantSplit/>
          <w:jc w:val="center"/>
        </w:trPr>
        <w:tc>
          <w:tcPr>
            <w:tcW w:w="4536" w:type="dxa"/>
            <w:gridSpan w:val="8"/>
          </w:tcPr>
          <w:p w14:paraId="7DB6DD3F" w14:textId="77777777" w:rsidR="00711444" w:rsidRPr="004D0DAA" w:rsidRDefault="00711444" w:rsidP="00AA2A4C">
            <w:pPr>
              <w:pStyle w:val="TAC"/>
              <w:rPr>
                <w:lang w:eastAsia="en-US"/>
              </w:rPr>
            </w:pPr>
            <w:r w:rsidRPr="004D0DAA">
              <w:rPr>
                <w:lang w:eastAsia="en-US"/>
              </w:rPr>
              <w:t>LLC3 (octet 34)</w:t>
            </w:r>
          </w:p>
        </w:tc>
        <w:tc>
          <w:tcPr>
            <w:tcW w:w="1701" w:type="dxa"/>
            <w:tcBorders>
              <w:top w:val="nil"/>
              <w:bottom w:val="nil"/>
              <w:right w:val="nil"/>
            </w:tcBorders>
          </w:tcPr>
          <w:p w14:paraId="6B52B4B1" w14:textId="77777777" w:rsidR="00711444" w:rsidRPr="004D0DAA" w:rsidRDefault="00711444" w:rsidP="00AA2A4C">
            <w:pPr>
              <w:pStyle w:val="TAC"/>
              <w:rPr>
                <w:lang w:eastAsia="en-US"/>
              </w:rPr>
            </w:pPr>
            <w:r w:rsidRPr="004D0DAA">
              <w:rPr>
                <w:lang w:eastAsia="en-US"/>
              </w:rPr>
              <w:t>68 (RLC data 2)</w:t>
            </w:r>
          </w:p>
        </w:tc>
      </w:tr>
    </w:tbl>
    <w:p w14:paraId="7389BBBF" w14:textId="77777777" w:rsidR="00711444" w:rsidRPr="004D0DAA" w:rsidRDefault="00711444" w:rsidP="00711444"/>
    <w:p w14:paraId="05F49137" w14:textId="77777777" w:rsidR="00711444" w:rsidRPr="004D0DAA" w:rsidRDefault="00711444" w:rsidP="00711444">
      <w:pPr>
        <w:pStyle w:val="NO"/>
      </w:pPr>
      <w:r w:rsidRPr="004D0DAA">
        <w:t>NOTE:</w:t>
      </w:r>
      <w:r w:rsidRPr="004D0DAA">
        <w:tab/>
        <w:t>At this row, only a few bits are sent (not a full octet).</w:t>
      </w:r>
    </w:p>
    <w:p w14:paraId="1273A427" w14:textId="77777777" w:rsidR="00711444" w:rsidRPr="004D0DAA" w:rsidRDefault="00711444" w:rsidP="00711444">
      <w:pPr>
        <w:pStyle w:val="Heading2"/>
      </w:pPr>
      <w:bookmarkStart w:id="914" w:name="_Toc516670083"/>
      <w:r w:rsidRPr="004D0DAA">
        <w:lastRenderedPageBreak/>
        <w:t>J.2</w:t>
      </w:r>
      <w:r w:rsidRPr="004D0DAA">
        <w:tab/>
        <w:t>Retransmission in two MCS-6 RLC data blocks</w:t>
      </w:r>
      <w:bookmarkEnd w:id="914"/>
    </w:p>
    <w:p w14:paraId="796D3658" w14:textId="77777777" w:rsidR="00711444" w:rsidRPr="004D0DAA" w:rsidRDefault="00711444" w:rsidP="00711444">
      <w:pPr>
        <w:keepNext/>
      </w:pPr>
      <w:r w:rsidRPr="004D0DAA">
        <w:t>When this RLC data block is repeated using MCS-6 (padding), the two radio blocks have the following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4C327093" w14:textId="77777777" w:rsidTr="00AA2A4C">
        <w:tblPrEx>
          <w:tblCellMar>
            <w:top w:w="0" w:type="dxa"/>
            <w:bottom w:w="0" w:type="dxa"/>
          </w:tblCellMar>
        </w:tblPrEx>
        <w:trPr>
          <w:jc w:val="center"/>
        </w:trPr>
        <w:tc>
          <w:tcPr>
            <w:tcW w:w="567" w:type="dxa"/>
            <w:tcBorders>
              <w:top w:val="nil"/>
              <w:left w:val="nil"/>
              <w:right w:val="nil"/>
            </w:tcBorders>
          </w:tcPr>
          <w:p w14:paraId="6DCAC76D"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17518B60"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2E5C8F35"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2FEEB9F9"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74615780"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5566C5BB"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62BC7711"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7330A2BC"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2BE00527" w14:textId="77777777" w:rsidR="00711444" w:rsidRPr="004D0DAA" w:rsidRDefault="00711444" w:rsidP="00AA2A4C">
            <w:pPr>
              <w:pStyle w:val="TAC"/>
              <w:rPr>
                <w:lang w:eastAsia="en-US"/>
              </w:rPr>
            </w:pPr>
            <w:r w:rsidRPr="004D0DAA">
              <w:rPr>
                <w:lang w:eastAsia="en-US"/>
              </w:rPr>
              <w:t>Octet</w:t>
            </w:r>
          </w:p>
        </w:tc>
      </w:tr>
      <w:tr w:rsidR="00711444" w:rsidRPr="004D0DAA" w14:paraId="094CCD73" w14:textId="77777777" w:rsidTr="00AA2A4C">
        <w:tblPrEx>
          <w:tblCellMar>
            <w:top w:w="0" w:type="dxa"/>
            <w:bottom w:w="0" w:type="dxa"/>
          </w:tblCellMar>
        </w:tblPrEx>
        <w:trPr>
          <w:cantSplit/>
          <w:jc w:val="center"/>
        </w:trPr>
        <w:tc>
          <w:tcPr>
            <w:tcW w:w="1134" w:type="dxa"/>
            <w:gridSpan w:val="2"/>
          </w:tcPr>
          <w:p w14:paraId="46159536" w14:textId="77777777" w:rsidR="00711444" w:rsidRPr="004D0DAA" w:rsidRDefault="00711444" w:rsidP="00AA2A4C">
            <w:pPr>
              <w:pStyle w:val="TAC"/>
              <w:rPr>
                <w:lang w:eastAsia="en-US"/>
              </w:rPr>
            </w:pPr>
            <w:r w:rsidRPr="004D0DAA">
              <w:rPr>
                <w:lang w:eastAsia="en-US"/>
              </w:rPr>
              <w:t>TFI</w:t>
            </w:r>
          </w:p>
        </w:tc>
        <w:tc>
          <w:tcPr>
            <w:tcW w:w="2268" w:type="dxa"/>
            <w:gridSpan w:val="4"/>
          </w:tcPr>
          <w:p w14:paraId="450A2257" w14:textId="77777777" w:rsidR="00711444" w:rsidRPr="004D0DAA" w:rsidRDefault="00711444" w:rsidP="00AA2A4C">
            <w:pPr>
              <w:pStyle w:val="TAC"/>
              <w:rPr>
                <w:lang w:eastAsia="en-US"/>
              </w:rPr>
            </w:pPr>
            <w:r w:rsidRPr="004D0DAA">
              <w:rPr>
                <w:lang w:eastAsia="en-US"/>
              </w:rPr>
              <w:t>Countdown value</w:t>
            </w:r>
          </w:p>
        </w:tc>
        <w:tc>
          <w:tcPr>
            <w:tcW w:w="567" w:type="dxa"/>
          </w:tcPr>
          <w:p w14:paraId="30D448C3" w14:textId="77777777" w:rsidR="00711444" w:rsidRPr="004D0DAA" w:rsidRDefault="00711444" w:rsidP="00AA2A4C">
            <w:pPr>
              <w:pStyle w:val="TAC"/>
              <w:rPr>
                <w:lang w:eastAsia="en-US"/>
              </w:rPr>
            </w:pPr>
            <w:r w:rsidRPr="004D0DAA">
              <w:rPr>
                <w:lang w:eastAsia="en-US"/>
              </w:rPr>
              <w:t>SI</w:t>
            </w:r>
          </w:p>
        </w:tc>
        <w:tc>
          <w:tcPr>
            <w:tcW w:w="567" w:type="dxa"/>
          </w:tcPr>
          <w:p w14:paraId="5AF81C8E"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7B6C6ADE" w14:textId="77777777" w:rsidR="00711444" w:rsidRPr="004D0DAA" w:rsidRDefault="00711444" w:rsidP="00AA2A4C">
            <w:pPr>
              <w:pStyle w:val="TAC"/>
              <w:rPr>
                <w:lang w:eastAsia="en-US"/>
              </w:rPr>
            </w:pPr>
            <w:r w:rsidRPr="004D0DAA">
              <w:rPr>
                <w:lang w:eastAsia="en-US"/>
              </w:rPr>
              <w:t>1 (header)</w:t>
            </w:r>
          </w:p>
        </w:tc>
      </w:tr>
      <w:tr w:rsidR="00711444" w:rsidRPr="004D0DAA" w14:paraId="1EDAB55A" w14:textId="77777777" w:rsidTr="00AA2A4C">
        <w:tblPrEx>
          <w:tblCellMar>
            <w:top w:w="0" w:type="dxa"/>
            <w:bottom w:w="0" w:type="dxa"/>
          </w:tblCellMar>
        </w:tblPrEx>
        <w:trPr>
          <w:cantSplit/>
          <w:jc w:val="center"/>
        </w:trPr>
        <w:tc>
          <w:tcPr>
            <w:tcW w:w="2835" w:type="dxa"/>
            <w:gridSpan w:val="5"/>
          </w:tcPr>
          <w:p w14:paraId="62725F8F" w14:textId="77777777" w:rsidR="00711444" w:rsidRPr="004D0DAA" w:rsidRDefault="00711444" w:rsidP="00AA2A4C">
            <w:pPr>
              <w:pStyle w:val="TAC"/>
              <w:rPr>
                <w:lang w:eastAsia="en-US"/>
              </w:rPr>
            </w:pPr>
            <w:r w:rsidRPr="004D0DAA">
              <w:rPr>
                <w:lang w:eastAsia="en-US"/>
              </w:rPr>
              <w:t>BSN 1</w:t>
            </w:r>
          </w:p>
        </w:tc>
        <w:tc>
          <w:tcPr>
            <w:tcW w:w="1701" w:type="dxa"/>
            <w:gridSpan w:val="3"/>
          </w:tcPr>
          <w:p w14:paraId="58C8E649"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2E376998" w14:textId="77777777" w:rsidR="00711444" w:rsidRPr="004D0DAA" w:rsidRDefault="00711444" w:rsidP="00AA2A4C">
            <w:pPr>
              <w:pStyle w:val="TAC"/>
              <w:rPr>
                <w:lang w:eastAsia="en-US"/>
              </w:rPr>
            </w:pPr>
            <w:r w:rsidRPr="004D0DAA">
              <w:rPr>
                <w:lang w:eastAsia="en-US"/>
              </w:rPr>
              <w:t>2 (header)</w:t>
            </w:r>
          </w:p>
        </w:tc>
      </w:tr>
      <w:tr w:rsidR="00711444" w:rsidRPr="004D0DAA" w14:paraId="41E46EA8" w14:textId="77777777" w:rsidTr="00AA2A4C">
        <w:tblPrEx>
          <w:tblCellMar>
            <w:top w:w="0" w:type="dxa"/>
            <w:bottom w:w="0" w:type="dxa"/>
          </w:tblCellMar>
        </w:tblPrEx>
        <w:trPr>
          <w:cantSplit/>
          <w:jc w:val="center"/>
        </w:trPr>
        <w:tc>
          <w:tcPr>
            <w:tcW w:w="1134" w:type="dxa"/>
            <w:gridSpan w:val="2"/>
          </w:tcPr>
          <w:p w14:paraId="476BFBF6" w14:textId="77777777" w:rsidR="00711444" w:rsidRPr="004D0DAA" w:rsidRDefault="00711444" w:rsidP="00AA2A4C">
            <w:pPr>
              <w:pStyle w:val="TAC"/>
              <w:rPr>
                <w:lang w:eastAsia="en-US"/>
              </w:rPr>
            </w:pPr>
            <w:r w:rsidRPr="004D0DAA">
              <w:rPr>
                <w:lang w:eastAsia="en-US"/>
              </w:rPr>
              <w:t>CPS</w:t>
            </w:r>
          </w:p>
        </w:tc>
        <w:tc>
          <w:tcPr>
            <w:tcW w:w="3402" w:type="dxa"/>
            <w:gridSpan w:val="6"/>
          </w:tcPr>
          <w:p w14:paraId="14ADE409"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6E11F4AC" w14:textId="77777777" w:rsidR="00711444" w:rsidRPr="004D0DAA" w:rsidRDefault="00711444" w:rsidP="00AA2A4C">
            <w:pPr>
              <w:pStyle w:val="TAC"/>
              <w:rPr>
                <w:lang w:eastAsia="en-US"/>
              </w:rPr>
            </w:pPr>
            <w:r w:rsidRPr="004D0DAA">
              <w:rPr>
                <w:lang w:eastAsia="en-US"/>
              </w:rPr>
              <w:t>3 (header)</w:t>
            </w:r>
          </w:p>
        </w:tc>
      </w:tr>
      <w:tr w:rsidR="00711444" w:rsidRPr="004D0DAA" w14:paraId="612A9BC4" w14:textId="77777777" w:rsidTr="00AA2A4C">
        <w:tblPrEx>
          <w:tblCellMar>
            <w:top w:w="0" w:type="dxa"/>
            <w:bottom w:w="0" w:type="dxa"/>
          </w:tblCellMar>
        </w:tblPrEx>
        <w:trPr>
          <w:cantSplit/>
          <w:jc w:val="center"/>
        </w:trPr>
        <w:tc>
          <w:tcPr>
            <w:tcW w:w="2835" w:type="dxa"/>
            <w:gridSpan w:val="5"/>
          </w:tcPr>
          <w:p w14:paraId="73760CC1" w14:textId="77777777" w:rsidR="00711444" w:rsidRPr="004D0DAA" w:rsidRDefault="00711444" w:rsidP="00AA2A4C">
            <w:pPr>
              <w:pStyle w:val="TAC"/>
              <w:rPr>
                <w:lang w:eastAsia="en-US"/>
              </w:rPr>
            </w:pPr>
            <w:r w:rsidRPr="004D0DAA">
              <w:rPr>
                <w:lang w:eastAsia="en-US"/>
              </w:rPr>
              <w:t>Spare</w:t>
            </w:r>
          </w:p>
        </w:tc>
        <w:tc>
          <w:tcPr>
            <w:tcW w:w="567" w:type="dxa"/>
          </w:tcPr>
          <w:p w14:paraId="12D42D45" w14:textId="77777777" w:rsidR="00711444" w:rsidRPr="004D0DAA" w:rsidRDefault="00711444" w:rsidP="00AA2A4C">
            <w:pPr>
              <w:pStyle w:val="TAC"/>
              <w:rPr>
                <w:lang w:eastAsia="en-US"/>
              </w:rPr>
            </w:pPr>
            <w:r w:rsidRPr="004D0DAA">
              <w:rPr>
                <w:lang w:eastAsia="en-US"/>
              </w:rPr>
              <w:t>PI</w:t>
            </w:r>
          </w:p>
        </w:tc>
        <w:tc>
          <w:tcPr>
            <w:tcW w:w="567" w:type="dxa"/>
            <w:tcBorders>
              <w:bottom w:val="nil"/>
            </w:tcBorders>
          </w:tcPr>
          <w:p w14:paraId="70D96BEE" w14:textId="77777777" w:rsidR="00711444" w:rsidRPr="004D0DAA" w:rsidRDefault="00711444" w:rsidP="00AA2A4C">
            <w:pPr>
              <w:pStyle w:val="TAC"/>
              <w:rPr>
                <w:lang w:eastAsia="en-US"/>
              </w:rPr>
            </w:pPr>
            <w:r w:rsidRPr="004D0DAA">
              <w:rPr>
                <w:lang w:eastAsia="en-US"/>
              </w:rPr>
              <w:t>RSB</w:t>
            </w:r>
          </w:p>
        </w:tc>
        <w:tc>
          <w:tcPr>
            <w:tcW w:w="567" w:type="dxa"/>
            <w:tcBorders>
              <w:bottom w:val="nil"/>
            </w:tcBorders>
          </w:tcPr>
          <w:p w14:paraId="600E8EAF"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2984A7EB" w14:textId="77777777" w:rsidR="00711444" w:rsidRPr="004D0DAA" w:rsidRDefault="00711444" w:rsidP="00AA2A4C">
            <w:pPr>
              <w:pStyle w:val="TAC"/>
              <w:rPr>
                <w:lang w:eastAsia="en-US"/>
              </w:rPr>
            </w:pPr>
            <w:r w:rsidRPr="004D0DAA">
              <w:rPr>
                <w:lang w:eastAsia="en-US"/>
              </w:rPr>
              <w:t>4 (header)</w:t>
            </w:r>
          </w:p>
        </w:tc>
      </w:tr>
      <w:tr w:rsidR="00711444" w:rsidRPr="004D0DAA" w14:paraId="03E046A5" w14:textId="77777777" w:rsidTr="00AA2A4C">
        <w:tblPrEx>
          <w:tblCellMar>
            <w:top w:w="0" w:type="dxa"/>
            <w:bottom w:w="0" w:type="dxa"/>
          </w:tblCellMar>
        </w:tblPrEx>
        <w:trPr>
          <w:cantSplit/>
          <w:jc w:val="center"/>
        </w:trPr>
        <w:tc>
          <w:tcPr>
            <w:tcW w:w="567" w:type="dxa"/>
            <w:tcBorders>
              <w:top w:val="nil"/>
              <w:left w:val="nil"/>
              <w:bottom w:val="nil"/>
              <w:right w:val="nil"/>
            </w:tcBorders>
          </w:tcPr>
          <w:p w14:paraId="3AA68D4A" w14:textId="77777777" w:rsidR="00711444" w:rsidRPr="004D0DAA" w:rsidRDefault="00711444" w:rsidP="00AA2A4C"/>
        </w:tc>
        <w:tc>
          <w:tcPr>
            <w:tcW w:w="567" w:type="dxa"/>
            <w:tcBorders>
              <w:top w:val="nil"/>
              <w:left w:val="nil"/>
              <w:bottom w:val="nil"/>
              <w:right w:val="nil"/>
            </w:tcBorders>
          </w:tcPr>
          <w:p w14:paraId="2287169E" w14:textId="77777777" w:rsidR="00711444" w:rsidRPr="004D0DAA" w:rsidRDefault="00711444" w:rsidP="00AA2A4C"/>
        </w:tc>
        <w:tc>
          <w:tcPr>
            <w:tcW w:w="567" w:type="dxa"/>
            <w:tcBorders>
              <w:top w:val="nil"/>
              <w:left w:val="nil"/>
              <w:bottom w:val="nil"/>
              <w:right w:val="nil"/>
            </w:tcBorders>
          </w:tcPr>
          <w:p w14:paraId="337B70DC" w14:textId="77777777" w:rsidR="00711444" w:rsidRPr="004D0DAA" w:rsidRDefault="00711444" w:rsidP="00AA2A4C"/>
        </w:tc>
        <w:tc>
          <w:tcPr>
            <w:tcW w:w="2835" w:type="dxa"/>
            <w:gridSpan w:val="5"/>
            <w:tcBorders>
              <w:top w:val="single" w:sz="4" w:space="0" w:color="auto"/>
              <w:left w:val="single" w:sz="4" w:space="0" w:color="auto"/>
              <w:bottom w:val="nil"/>
              <w:right w:val="single" w:sz="4" w:space="0" w:color="auto"/>
            </w:tcBorders>
          </w:tcPr>
          <w:p w14:paraId="21A56A03" w14:textId="77777777" w:rsidR="00711444" w:rsidRPr="004D0DAA" w:rsidRDefault="00711444" w:rsidP="00AA2A4C">
            <w:pPr>
              <w:pStyle w:val="TAC"/>
              <w:rPr>
                <w:lang w:eastAsia="en-US"/>
              </w:rPr>
            </w:pPr>
            <w:r w:rsidRPr="004D0DAA">
              <w:rPr>
                <w:lang w:eastAsia="en-US"/>
              </w:rPr>
              <w:t>Spare</w:t>
            </w:r>
          </w:p>
        </w:tc>
        <w:tc>
          <w:tcPr>
            <w:tcW w:w="1701" w:type="dxa"/>
            <w:tcBorders>
              <w:top w:val="nil"/>
              <w:left w:val="nil"/>
              <w:bottom w:val="nil"/>
              <w:right w:val="nil"/>
            </w:tcBorders>
          </w:tcPr>
          <w:p w14:paraId="61E0B082" w14:textId="77777777" w:rsidR="00711444" w:rsidRPr="004D0DAA" w:rsidRDefault="00711444" w:rsidP="00AA2A4C">
            <w:pPr>
              <w:pStyle w:val="TAC"/>
              <w:rPr>
                <w:lang w:eastAsia="en-US"/>
              </w:rPr>
            </w:pPr>
            <w:r w:rsidRPr="004D0DAA">
              <w:rPr>
                <w:i/>
                <w:lang w:eastAsia="en-US"/>
              </w:rPr>
              <w:t>(See note below)</w:t>
            </w:r>
          </w:p>
        </w:tc>
      </w:tr>
      <w:tr w:rsidR="00711444" w:rsidRPr="004D0DAA" w14:paraId="1DC97131" w14:textId="77777777" w:rsidTr="00AA2A4C">
        <w:tblPrEx>
          <w:tblCellMar>
            <w:top w:w="0" w:type="dxa"/>
            <w:bottom w:w="0" w:type="dxa"/>
          </w:tblCellMar>
        </w:tblPrEx>
        <w:trPr>
          <w:cantSplit/>
          <w:jc w:val="center"/>
        </w:trPr>
        <w:tc>
          <w:tcPr>
            <w:tcW w:w="4536" w:type="dxa"/>
            <w:gridSpan w:val="8"/>
            <w:tcBorders>
              <w:top w:val="single" w:sz="18" w:space="0" w:color="auto"/>
            </w:tcBorders>
          </w:tcPr>
          <w:p w14:paraId="4E02CC22"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5C5E03ED" w14:textId="77777777" w:rsidR="00711444" w:rsidRPr="004D0DAA" w:rsidRDefault="00711444" w:rsidP="00AA2A4C">
            <w:pPr>
              <w:pStyle w:val="TAC"/>
              <w:rPr>
                <w:lang w:eastAsia="en-US"/>
              </w:rPr>
            </w:pPr>
            <w:r w:rsidRPr="004D0DAA">
              <w:rPr>
                <w:lang w:eastAsia="en-US"/>
              </w:rPr>
              <w:t xml:space="preserve">1 (RLC data) </w:t>
            </w:r>
          </w:p>
        </w:tc>
      </w:tr>
      <w:tr w:rsidR="00711444" w:rsidRPr="004D0DAA" w14:paraId="4B605A26" w14:textId="77777777" w:rsidTr="00AA2A4C">
        <w:tblPrEx>
          <w:tblCellMar>
            <w:top w:w="0" w:type="dxa"/>
            <w:bottom w:w="0" w:type="dxa"/>
          </w:tblCellMar>
        </w:tblPrEx>
        <w:trPr>
          <w:cantSplit/>
          <w:jc w:val="center"/>
        </w:trPr>
        <w:tc>
          <w:tcPr>
            <w:tcW w:w="4536" w:type="dxa"/>
            <w:gridSpan w:val="8"/>
            <w:tcBorders>
              <w:left w:val="nil"/>
              <w:right w:val="nil"/>
            </w:tcBorders>
          </w:tcPr>
          <w:p w14:paraId="54083353"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59A5DEC7" w14:textId="77777777" w:rsidR="00711444" w:rsidRPr="004D0DAA" w:rsidRDefault="00711444" w:rsidP="00AA2A4C">
            <w:pPr>
              <w:pStyle w:val="TAC"/>
              <w:rPr>
                <w:lang w:eastAsia="en-US"/>
              </w:rPr>
            </w:pPr>
            <w:r w:rsidRPr="004D0DAA">
              <w:rPr>
                <w:lang w:eastAsia="en-US"/>
              </w:rPr>
              <w:t>:</w:t>
            </w:r>
          </w:p>
        </w:tc>
      </w:tr>
      <w:tr w:rsidR="00711444" w:rsidRPr="004D0DAA" w14:paraId="3A24EBF6" w14:textId="77777777" w:rsidTr="00AA2A4C">
        <w:tblPrEx>
          <w:tblCellMar>
            <w:top w:w="0" w:type="dxa"/>
            <w:bottom w:w="0" w:type="dxa"/>
          </w:tblCellMar>
        </w:tblPrEx>
        <w:trPr>
          <w:cantSplit/>
          <w:jc w:val="center"/>
        </w:trPr>
        <w:tc>
          <w:tcPr>
            <w:tcW w:w="4536" w:type="dxa"/>
            <w:gridSpan w:val="8"/>
          </w:tcPr>
          <w:p w14:paraId="4A6F462F"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29E465DF" w14:textId="77777777" w:rsidR="00711444" w:rsidRPr="004D0DAA" w:rsidRDefault="00711444" w:rsidP="00AA2A4C">
            <w:pPr>
              <w:pStyle w:val="TAC"/>
              <w:rPr>
                <w:lang w:eastAsia="en-US"/>
              </w:rPr>
            </w:pPr>
            <w:r w:rsidRPr="004D0DAA">
              <w:rPr>
                <w:lang w:eastAsia="en-US"/>
              </w:rPr>
              <w:t>6 (RLC data)</w:t>
            </w:r>
          </w:p>
        </w:tc>
      </w:tr>
      <w:tr w:rsidR="00711444" w:rsidRPr="004D0DAA" w14:paraId="600E017D" w14:textId="77777777" w:rsidTr="00AA2A4C">
        <w:tblPrEx>
          <w:tblCellMar>
            <w:top w:w="0" w:type="dxa"/>
            <w:bottom w:w="0" w:type="dxa"/>
          </w:tblCellMar>
        </w:tblPrEx>
        <w:trPr>
          <w:jc w:val="center"/>
        </w:trPr>
        <w:tc>
          <w:tcPr>
            <w:tcW w:w="567" w:type="dxa"/>
            <w:tcBorders>
              <w:top w:val="nil"/>
              <w:left w:val="nil"/>
              <w:right w:val="nil"/>
            </w:tcBorders>
          </w:tcPr>
          <w:p w14:paraId="357D0EF0" w14:textId="77777777" w:rsidR="00711444" w:rsidRPr="004D0DAA" w:rsidRDefault="00711444" w:rsidP="00AA2A4C"/>
        </w:tc>
        <w:tc>
          <w:tcPr>
            <w:tcW w:w="567" w:type="dxa"/>
            <w:tcBorders>
              <w:top w:val="nil"/>
              <w:left w:val="nil"/>
              <w:right w:val="nil"/>
            </w:tcBorders>
          </w:tcPr>
          <w:p w14:paraId="19B2ED79" w14:textId="77777777" w:rsidR="00711444" w:rsidRPr="004D0DAA" w:rsidRDefault="00711444" w:rsidP="00AA2A4C"/>
        </w:tc>
        <w:tc>
          <w:tcPr>
            <w:tcW w:w="567" w:type="dxa"/>
            <w:tcBorders>
              <w:top w:val="nil"/>
              <w:left w:val="nil"/>
              <w:right w:val="nil"/>
            </w:tcBorders>
          </w:tcPr>
          <w:p w14:paraId="004CFE19" w14:textId="77777777" w:rsidR="00711444" w:rsidRPr="004D0DAA" w:rsidRDefault="00711444" w:rsidP="00AA2A4C"/>
        </w:tc>
        <w:tc>
          <w:tcPr>
            <w:tcW w:w="567" w:type="dxa"/>
            <w:tcBorders>
              <w:top w:val="nil"/>
              <w:left w:val="nil"/>
              <w:right w:val="nil"/>
            </w:tcBorders>
          </w:tcPr>
          <w:p w14:paraId="24BCAEF8" w14:textId="77777777" w:rsidR="00711444" w:rsidRPr="004D0DAA" w:rsidRDefault="00711444" w:rsidP="00AA2A4C"/>
        </w:tc>
        <w:tc>
          <w:tcPr>
            <w:tcW w:w="567" w:type="dxa"/>
            <w:tcBorders>
              <w:top w:val="nil"/>
              <w:left w:val="nil"/>
              <w:right w:val="nil"/>
            </w:tcBorders>
          </w:tcPr>
          <w:p w14:paraId="7591282C" w14:textId="77777777" w:rsidR="00711444" w:rsidRPr="004D0DAA" w:rsidRDefault="00711444" w:rsidP="00AA2A4C"/>
        </w:tc>
        <w:tc>
          <w:tcPr>
            <w:tcW w:w="567" w:type="dxa"/>
            <w:tcBorders>
              <w:top w:val="nil"/>
              <w:left w:val="nil"/>
              <w:right w:val="nil"/>
            </w:tcBorders>
          </w:tcPr>
          <w:p w14:paraId="5CBF2488" w14:textId="77777777" w:rsidR="00711444" w:rsidRPr="004D0DAA" w:rsidRDefault="00711444" w:rsidP="00AA2A4C"/>
        </w:tc>
        <w:tc>
          <w:tcPr>
            <w:tcW w:w="567" w:type="dxa"/>
            <w:tcBorders>
              <w:top w:val="single" w:sz="4" w:space="0" w:color="auto"/>
              <w:left w:val="single" w:sz="4" w:space="0" w:color="auto"/>
              <w:right w:val="single" w:sz="4" w:space="0" w:color="auto"/>
            </w:tcBorders>
          </w:tcPr>
          <w:p w14:paraId="2BE95BAF" w14:textId="77777777" w:rsidR="00711444" w:rsidRPr="004D0DAA" w:rsidRDefault="00711444" w:rsidP="00AA2A4C">
            <w:pPr>
              <w:pStyle w:val="TAC"/>
              <w:rPr>
                <w:lang w:eastAsia="en-US"/>
              </w:rPr>
            </w:pPr>
            <w:r w:rsidRPr="004D0DAA">
              <w:rPr>
                <w:lang w:eastAsia="en-US"/>
              </w:rPr>
              <w:t>TI</w:t>
            </w:r>
          </w:p>
        </w:tc>
        <w:tc>
          <w:tcPr>
            <w:tcW w:w="567" w:type="dxa"/>
            <w:tcBorders>
              <w:top w:val="single" w:sz="4" w:space="0" w:color="auto"/>
              <w:left w:val="single" w:sz="4" w:space="0" w:color="auto"/>
              <w:right w:val="single" w:sz="4" w:space="0" w:color="auto"/>
            </w:tcBorders>
          </w:tcPr>
          <w:p w14:paraId="326F2017"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6C2EF230" w14:textId="77777777" w:rsidR="00711444" w:rsidRPr="004D0DAA" w:rsidRDefault="00711444" w:rsidP="00AA2A4C">
            <w:pPr>
              <w:pStyle w:val="TAC"/>
              <w:rPr>
                <w:lang w:eastAsia="en-US"/>
              </w:rPr>
            </w:pPr>
            <w:r w:rsidRPr="004D0DAA">
              <w:rPr>
                <w:i/>
                <w:lang w:eastAsia="en-US"/>
              </w:rPr>
              <w:t>(See note below)</w:t>
            </w:r>
          </w:p>
        </w:tc>
      </w:tr>
      <w:tr w:rsidR="00711444" w:rsidRPr="004D0DAA" w14:paraId="5CCAE037" w14:textId="77777777" w:rsidTr="00AA2A4C">
        <w:tblPrEx>
          <w:tblCellMar>
            <w:top w:w="0" w:type="dxa"/>
            <w:bottom w:w="0" w:type="dxa"/>
          </w:tblCellMar>
        </w:tblPrEx>
        <w:trPr>
          <w:cantSplit/>
          <w:jc w:val="center"/>
        </w:trPr>
        <w:tc>
          <w:tcPr>
            <w:tcW w:w="3969" w:type="dxa"/>
            <w:gridSpan w:val="7"/>
            <w:tcBorders>
              <w:top w:val="nil"/>
            </w:tcBorders>
          </w:tcPr>
          <w:p w14:paraId="145C018A" w14:textId="77777777" w:rsidR="00711444" w:rsidRPr="004D0DAA" w:rsidRDefault="00711444" w:rsidP="00AA2A4C">
            <w:pPr>
              <w:pStyle w:val="TAC"/>
              <w:rPr>
                <w:lang w:eastAsia="en-US"/>
              </w:rPr>
            </w:pPr>
            <w:r w:rsidRPr="004D0DAA">
              <w:rPr>
                <w:lang w:eastAsia="en-US"/>
              </w:rPr>
              <w:t>Length indicator = 40</w:t>
            </w:r>
          </w:p>
        </w:tc>
        <w:tc>
          <w:tcPr>
            <w:tcW w:w="567" w:type="dxa"/>
          </w:tcPr>
          <w:p w14:paraId="28B3B88B"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11BB62D2" w14:textId="77777777" w:rsidR="00711444" w:rsidRPr="004D0DAA" w:rsidRDefault="00711444" w:rsidP="00AA2A4C">
            <w:pPr>
              <w:pStyle w:val="TAC"/>
              <w:rPr>
                <w:lang w:eastAsia="en-US"/>
              </w:rPr>
            </w:pPr>
            <w:r w:rsidRPr="004D0DAA">
              <w:rPr>
                <w:lang w:eastAsia="en-US"/>
              </w:rPr>
              <w:t xml:space="preserve">7 (RLC data) </w:t>
            </w:r>
          </w:p>
        </w:tc>
      </w:tr>
      <w:tr w:rsidR="00711444" w:rsidRPr="004D0DAA" w14:paraId="4D6AD027" w14:textId="77777777" w:rsidTr="00AA2A4C">
        <w:tblPrEx>
          <w:tblCellMar>
            <w:top w:w="0" w:type="dxa"/>
            <w:bottom w:w="0" w:type="dxa"/>
          </w:tblCellMar>
        </w:tblPrEx>
        <w:trPr>
          <w:cantSplit/>
          <w:jc w:val="center"/>
        </w:trPr>
        <w:tc>
          <w:tcPr>
            <w:tcW w:w="4536" w:type="dxa"/>
            <w:gridSpan w:val="8"/>
          </w:tcPr>
          <w:p w14:paraId="6E087438" w14:textId="77777777" w:rsidR="00711444" w:rsidRPr="004D0DAA" w:rsidRDefault="00711444" w:rsidP="00AA2A4C">
            <w:pPr>
              <w:pStyle w:val="TAC"/>
              <w:rPr>
                <w:lang w:eastAsia="en-US"/>
              </w:rPr>
            </w:pPr>
            <w:r w:rsidRPr="004D0DAA">
              <w:rPr>
                <w:lang w:eastAsia="en-US"/>
              </w:rPr>
              <w:t>LLC1 (octet 1)</w:t>
            </w:r>
          </w:p>
        </w:tc>
        <w:tc>
          <w:tcPr>
            <w:tcW w:w="1701" w:type="dxa"/>
            <w:tcBorders>
              <w:top w:val="nil"/>
              <w:bottom w:val="nil"/>
              <w:right w:val="nil"/>
            </w:tcBorders>
          </w:tcPr>
          <w:p w14:paraId="555F8B2B" w14:textId="77777777" w:rsidR="00711444" w:rsidRPr="004D0DAA" w:rsidRDefault="00711444" w:rsidP="00AA2A4C">
            <w:pPr>
              <w:pStyle w:val="TAC"/>
              <w:rPr>
                <w:lang w:eastAsia="en-US"/>
              </w:rPr>
            </w:pPr>
            <w:r w:rsidRPr="004D0DAA">
              <w:rPr>
                <w:lang w:eastAsia="en-US"/>
              </w:rPr>
              <w:t>8 (RLC data)</w:t>
            </w:r>
          </w:p>
        </w:tc>
      </w:tr>
      <w:tr w:rsidR="00711444" w:rsidRPr="004D0DAA" w14:paraId="29592F51" w14:textId="77777777" w:rsidTr="00AA2A4C">
        <w:tblPrEx>
          <w:tblCellMar>
            <w:top w:w="0" w:type="dxa"/>
            <w:bottom w:w="0" w:type="dxa"/>
          </w:tblCellMar>
        </w:tblPrEx>
        <w:trPr>
          <w:cantSplit/>
          <w:jc w:val="center"/>
        </w:trPr>
        <w:tc>
          <w:tcPr>
            <w:tcW w:w="4536" w:type="dxa"/>
            <w:gridSpan w:val="8"/>
          </w:tcPr>
          <w:p w14:paraId="15C058B7" w14:textId="77777777" w:rsidR="00711444" w:rsidRPr="004D0DAA" w:rsidRDefault="00711444" w:rsidP="00AA2A4C">
            <w:pPr>
              <w:pStyle w:val="TAC"/>
              <w:rPr>
                <w:lang w:eastAsia="en-US"/>
              </w:rPr>
            </w:pPr>
            <w:r w:rsidRPr="004D0DAA">
              <w:rPr>
                <w:lang w:eastAsia="en-US"/>
              </w:rPr>
              <w:t>LLC1 (octet 2)</w:t>
            </w:r>
          </w:p>
        </w:tc>
        <w:tc>
          <w:tcPr>
            <w:tcW w:w="1701" w:type="dxa"/>
            <w:tcBorders>
              <w:top w:val="nil"/>
              <w:bottom w:val="nil"/>
              <w:right w:val="nil"/>
            </w:tcBorders>
          </w:tcPr>
          <w:p w14:paraId="0F181137" w14:textId="77777777" w:rsidR="00711444" w:rsidRPr="004D0DAA" w:rsidRDefault="00711444" w:rsidP="00AA2A4C">
            <w:pPr>
              <w:pStyle w:val="TAC"/>
              <w:rPr>
                <w:lang w:eastAsia="en-US"/>
              </w:rPr>
            </w:pPr>
            <w:r w:rsidRPr="004D0DAA">
              <w:rPr>
                <w:lang w:eastAsia="en-US"/>
              </w:rPr>
              <w:t>9 (RLC data)</w:t>
            </w:r>
          </w:p>
        </w:tc>
      </w:tr>
      <w:tr w:rsidR="00711444" w:rsidRPr="004D0DAA" w14:paraId="4137B982" w14:textId="77777777" w:rsidTr="00AA2A4C">
        <w:tblPrEx>
          <w:tblCellMar>
            <w:top w:w="0" w:type="dxa"/>
            <w:bottom w:w="0" w:type="dxa"/>
          </w:tblCellMar>
        </w:tblPrEx>
        <w:trPr>
          <w:cantSplit/>
          <w:jc w:val="center"/>
        </w:trPr>
        <w:tc>
          <w:tcPr>
            <w:tcW w:w="4536" w:type="dxa"/>
            <w:gridSpan w:val="8"/>
            <w:tcBorders>
              <w:left w:val="nil"/>
              <w:right w:val="nil"/>
            </w:tcBorders>
          </w:tcPr>
          <w:p w14:paraId="5D790313"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0677E924" w14:textId="77777777" w:rsidR="00711444" w:rsidRPr="004D0DAA" w:rsidRDefault="00711444" w:rsidP="00AA2A4C">
            <w:pPr>
              <w:pStyle w:val="TAC"/>
              <w:rPr>
                <w:lang w:eastAsia="en-US"/>
              </w:rPr>
            </w:pPr>
            <w:r w:rsidRPr="004D0DAA">
              <w:rPr>
                <w:lang w:eastAsia="en-US"/>
              </w:rPr>
              <w:t>:</w:t>
            </w:r>
          </w:p>
        </w:tc>
      </w:tr>
      <w:tr w:rsidR="00711444" w:rsidRPr="004D0DAA" w14:paraId="5A4BF46C" w14:textId="77777777" w:rsidTr="00AA2A4C">
        <w:tblPrEx>
          <w:tblCellMar>
            <w:top w:w="0" w:type="dxa"/>
            <w:bottom w:w="0" w:type="dxa"/>
          </w:tblCellMar>
        </w:tblPrEx>
        <w:trPr>
          <w:cantSplit/>
          <w:jc w:val="center"/>
        </w:trPr>
        <w:tc>
          <w:tcPr>
            <w:tcW w:w="4536" w:type="dxa"/>
            <w:gridSpan w:val="8"/>
          </w:tcPr>
          <w:p w14:paraId="11D4893F" w14:textId="77777777" w:rsidR="00711444" w:rsidRPr="004D0DAA" w:rsidRDefault="00711444" w:rsidP="00AA2A4C">
            <w:pPr>
              <w:pStyle w:val="TAC"/>
              <w:rPr>
                <w:lang w:eastAsia="en-US"/>
              </w:rPr>
            </w:pPr>
            <w:r w:rsidRPr="004D0DAA">
              <w:rPr>
                <w:lang w:eastAsia="en-US"/>
              </w:rPr>
              <w:t>LLC1 (octet 39)</w:t>
            </w:r>
          </w:p>
        </w:tc>
        <w:tc>
          <w:tcPr>
            <w:tcW w:w="1701" w:type="dxa"/>
            <w:tcBorders>
              <w:top w:val="nil"/>
              <w:bottom w:val="nil"/>
              <w:right w:val="nil"/>
            </w:tcBorders>
          </w:tcPr>
          <w:p w14:paraId="21A1E146" w14:textId="77777777" w:rsidR="00711444" w:rsidRPr="004D0DAA" w:rsidRDefault="00711444" w:rsidP="00AA2A4C">
            <w:pPr>
              <w:pStyle w:val="TAC"/>
              <w:rPr>
                <w:lang w:eastAsia="en-US"/>
              </w:rPr>
            </w:pPr>
            <w:r w:rsidRPr="004D0DAA">
              <w:rPr>
                <w:lang w:eastAsia="en-US"/>
              </w:rPr>
              <w:t>46 (RLC data)</w:t>
            </w:r>
          </w:p>
        </w:tc>
      </w:tr>
      <w:tr w:rsidR="00711444" w:rsidRPr="004D0DAA" w14:paraId="00AD62C7" w14:textId="77777777" w:rsidTr="00AA2A4C">
        <w:tblPrEx>
          <w:tblCellMar>
            <w:top w:w="0" w:type="dxa"/>
            <w:bottom w:w="0" w:type="dxa"/>
          </w:tblCellMar>
        </w:tblPrEx>
        <w:trPr>
          <w:cantSplit/>
          <w:jc w:val="center"/>
        </w:trPr>
        <w:tc>
          <w:tcPr>
            <w:tcW w:w="4536" w:type="dxa"/>
            <w:gridSpan w:val="8"/>
          </w:tcPr>
          <w:p w14:paraId="2EECC3B4" w14:textId="77777777" w:rsidR="00711444" w:rsidRPr="004D0DAA" w:rsidRDefault="00711444" w:rsidP="00AA2A4C">
            <w:pPr>
              <w:pStyle w:val="TAC"/>
              <w:rPr>
                <w:lang w:eastAsia="en-US"/>
              </w:rPr>
            </w:pPr>
            <w:r w:rsidRPr="004D0DAA">
              <w:rPr>
                <w:lang w:eastAsia="en-US"/>
              </w:rPr>
              <w:t>LLC1 (octet 40)</w:t>
            </w:r>
          </w:p>
        </w:tc>
        <w:tc>
          <w:tcPr>
            <w:tcW w:w="1701" w:type="dxa"/>
            <w:tcBorders>
              <w:top w:val="nil"/>
              <w:bottom w:val="nil"/>
              <w:right w:val="nil"/>
            </w:tcBorders>
          </w:tcPr>
          <w:p w14:paraId="4C1C9C84" w14:textId="77777777" w:rsidR="00711444" w:rsidRPr="004D0DAA" w:rsidRDefault="00711444" w:rsidP="00AA2A4C">
            <w:pPr>
              <w:pStyle w:val="TAC"/>
              <w:rPr>
                <w:lang w:eastAsia="en-US"/>
              </w:rPr>
            </w:pPr>
            <w:r w:rsidRPr="004D0DAA">
              <w:rPr>
                <w:lang w:eastAsia="en-US"/>
              </w:rPr>
              <w:t>47 (RLC data)</w:t>
            </w:r>
          </w:p>
        </w:tc>
      </w:tr>
      <w:tr w:rsidR="00711444" w:rsidRPr="004D0DAA" w14:paraId="7C1F1CD6" w14:textId="77777777" w:rsidTr="00AA2A4C">
        <w:tblPrEx>
          <w:tblCellMar>
            <w:top w:w="0" w:type="dxa"/>
            <w:bottom w:w="0" w:type="dxa"/>
          </w:tblCellMar>
        </w:tblPrEx>
        <w:trPr>
          <w:cantSplit/>
          <w:jc w:val="center"/>
        </w:trPr>
        <w:tc>
          <w:tcPr>
            <w:tcW w:w="4536" w:type="dxa"/>
            <w:gridSpan w:val="8"/>
          </w:tcPr>
          <w:p w14:paraId="16B31236" w14:textId="77777777" w:rsidR="00711444" w:rsidRPr="004D0DAA" w:rsidRDefault="00711444" w:rsidP="00AA2A4C">
            <w:pPr>
              <w:pStyle w:val="TAC"/>
              <w:rPr>
                <w:lang w:eastAsia="en-US"/>
              </w:rPr>
            </w:pPr>
            <w:r w:rsidRPr="004D0DAA">
              <w:rPr>
                <w:lang w:eastAsia="en-US"/>
              </w:rPr>
              <w:t>LLC2 (octet 1)</w:t>
            </w:r>
          </w:p>
        </w:tc>
        <w:tc>
          <w:tcPr>
            <w:tcW w:w="1701" w:type="dxa"/>
            <w:tcBorders>
              <w:top w:val="nil"/>
              <w:bottom w:val="nil"/>
              <w:right w:val="nil"/>
            </w:tcBorders>
          </w:tcPr>
          <w:p w14:paraId="6ECE51A5" w14:textId="77777777" w:rsidR="00711444" w:rsidRPr="004D0DAA" w:rsidRDefault="00711444" w:rsidP="00AA2A4C">
            <w:pPr>
              <w:pStyle w:val="TAC"/>
              <w:rPr>
                <w:lang w:eastAsia="en-US"/>
              </w:rPr>
            </w:pPr>
            <w:r w:rsidRPr="004D0DAA">
              <w:rPr>
                <w:lang w:eastAsia="en-US"/>
              </w:rPr>
              <w:t>48 (RLC data)</w:t>
            </w:r>
          </w:p>
        </w:tc>
      </w:tr>
      <w:tr w:rsidR="00711444" w:rsidRPr="004D0DAA" w14:paraId="4A85E842" w14:textId="77777777" w:rsidTr="00AA2A4C">
        <w:tblPrEx>
          <w:tblCellMar>
            <w:top w:w="0" w:type="dxa"/>
            <w:bottom w:w="0" w:type="dxa"/>
          </w:tblCellMar>
        </w:tblPrEx>
        <w:trPr>
          <w:cantSplit/>
          <w:jc w:val="center"/>
        </w:trPr>
        <w:tc>
          <w:tcPr>
            <w:tcW w:w="4536" w:type="dxa"/>
            <w:gridSpan w:val="8"/>
          </w:tcPr>
          <w:p w14:paraId="50A249EF" w14:textId="77777777" w:rsidR="00711444" w:rsidRPr="004D0DAA" w:rsidRDefault="00711444" w:rsidP="00AA2A4C">
            <w:pPr>
              <w:pStyle w:val="TAC"/>
              <w:rPr>
                <w:lang w:eastAsia="en-US"/>
              </w:rPr>
            </w:pPr>
            <w:r w:rsidRPr="004D0DAA">
              <w:rPr>
                <w:lang w:eastAsia="en-US"/>
              </w:rPr>
              <w:t>LLC2 (octet 2)</w:t>
            </w:r>
          </w:p>
        </w:tc>
        <w:tc>
          <w:tcPr>
            <w:tcW w:w="1701" w:type="dxa"/>
            <w:tcBorders>
              <w:top w:val="nil"/>
              <w:bottom w:val="nil"/>
              <w:right w:val="nil"/>
            </w:tcBorders>
          </w:tcPr>
          <w:p w14:paraId="7CFB29F7" w14:textId="77777777" w:rsidR="00711444" w:rsidRPr="004D0DAA" w:rsidRDefault="00711444" w:rsidP="00AA2A4C">
            <w:pPr>
              <w:pStyle w:val="TAC"/>
              <w:rPr>
                <w:lang w:eastAsia="en-US"/>
              </w:rPr>
            </w:pPr>
            <w:r w:rsidRPr="004D0DAA">
              <w:rPr>
                <w:lang w:eastAsia="en-US"/>
              </w:rPr>
              <w:t>49 (RLC data)</w:t>
            </w:r>
          </w:p>
        </w:tc>
      </w:tr>
      <w:tr w:rsidR="00711444" w:rsidRPr="004D0DAA" w14:paraId="58A08239" w14:textId="77777777" w:rsidTr="00AA2A4C">
        <w:tblPrEx>
          <w:tblCellMar>
            <w:top w:w="0" w:type="dxa"/>
            <w:bottom w:w="0" w:type="dxa"/>
          </w:tblCellMar>
        </w:tblPrEx>
        <w:trPr>
          <w:cantSplit/>
          <w:jc w:val="center"/>
        </w:trPr>
        <w:tc>
          <w:tcPr>
            <w:tcW w:w="4536" w:type="dxa"/>
            <w:gridSpan w:val="8"/>
            <w:tcBorders>
              <w:left w:val="nil"/>
              <w:right w:val="nil"/>
            </w:tcBorders>
          </w:tcPr>
          <w:p w14:paraId="0E2C0BD0"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4ACDEA40" w14:textId="77777777" w:rsidR="00711444" w:rsidRPr="004D0DAA" w:rsidRDefault="00711444" w:rsidP="00AA2A4C">
            <w:pPr>
              <w:pStyle w:val="TAC"/>
              <w:rPr>
                <w:lang w:eastAsia="en-US"/>
              </w:rPr>
            </w:pPr>
            <w:r w:rsidRPr="004D0DAA">
              <w:rPr>
                <w:lang w:eastAsia="en-US"/>
              </w:rPr>
              <w:t>:</w:t>
            </w:r>
          </w:p>
        </w:tc>
      </w:tr>
      <w:tr w:rsidR="00711444" w:rsidRPr="004D0DAA" w14:paraId="7565BC01" w14:textId="77777777" w:rsidTr="00AA2A4C">
        <w:tblPrEx>
          <w:tblCellMar>
            <w:top w:w="0" w:type="dxa"/>
            <w:bottom w:w="0" w:type="dxa"/>
          </w:tblCellMar>
        </w:tblPrEx>
        <w:trPr>
          <w:cantSplit/>
          <w:jc w:val="center"/>
        </w:trPr>
        <w:tc>
          <w:tcPr>
            <w:tcW w:w="4536" w:type="dxa"/>
            <w:gridSpan w:val="8"/>
            <w:tcBorders>
              <w:bottom w:val="nil"/>
            </w:tcBorders>
          </w:tcPr>
          <w:p w14:paraId="20B0B0E8" w14:textId="77777777" w:rsidR="00711444" w:rsidRPr="004D0DAA" w:rsidRDefault="00711444" w:rsidP="00AA2A4C">
            <w:pPr>
              <w:pStyle w:val="TAC"/>
              <w:rPr>
                <w:lang w:eastAsia="en-US"/>
              </w:rPr>
            </w:pPr>
            <w:r w:rsidRPr="004D0DAA">
              <w:rPr>
                <w:lang w:eastAsia="en-US"/>
              </w:rPr>
              <w:t>LLC2 (octet 26)</w:t>
            </w:r>
          </w:p>
        </w:tc>
        <w:tc>
          <w:tcPr>
            <w:tcW w:w="1701" w:type="dxa"/>
            <w:tcBorders>
              <w:top w:val="nil"/>
              <w:bottom w:val="nil"/>
              <w:right w:val="nil"/>
            </w:tcBorders>
          </w:tcPr>
          <w:p w14:paraId="357F72D9" w14:textId="77777777" w:rsidR="00711444" w:rsidRPr="004D0DAA" w:rsidRDefault="00711444" w:rsidP="00AA2A4C">
            <w:pPr>
              <w:pStyle w:val="TAC"/>
              <w:rPr>
                <w:lang w:eastAsia="en-US"/>
              </w:rPr>
            </w:pPr>
            <w:r w:rsidRPr="004D0DAA">
              <w:rPr>
                <w:lang w:eastAsia="en-US"/>
              </w:rPr>
              <w:t>73 (RLC data)</w:t>
            </w:r>
          </w:p>
        </w:tc>
      </w:tr>
      <w:tr w:rsidR="00711444" w:rsidRPr="004D0DAA" w14:paraId="6E56748F" w14:textId="77777777" w:rsidTr="00AA2A4C">
        <w:tblPrEx>
          <w:tblCellMar>
            <w:top w:w="0" w:type="dxa"/>
            <w:bottom w:w="0" w:type="dxa"/>
          </w:tblCellMar>
        </w:tblPrEx>
        <w:trPr>
          <w:cantSplit/>
          <w:jc w:val="center"/>
        </w:trPr>
        <w:tc>
          <w:tcPr>
            <w:tcW w:w="4536" w:type="dxa"/>
            <w:gridSpan w:val="8"/>
          </w:tcPr>
          <w:p w14:paraId="5AEA7603" w14:textId="77777777" w:rsidR="00711444" w:rsidRPr="004D0DAA" w:rsidRDefault="00711444" w:rsidP="00AA2A4C">
            <w:pPr>
              <w:pStyle w:val="TAC"/>
              <w:rPr>
                <w:lang w:eastAsia="en-US"/>
              </w:rPr>
            </w:pPr>
            <w:r w:rsidRPr="004D0DAA">
              <w:rPr>
                <w:lang w:eastAsia="en-US"/>
              </w:rPr>
              <w:t>LLC2 (octet 27)</w:t>
            </w:r>
          </w:p>
        </w:tc>
        <w:tc>
          <w:tcPr>
            <w:tcW w:w="1701" w:type="dxa"/>
            <w:tcBorders>
              <w:top w:val="nil"/>
              <w:bottom w:val="nil"/>
              <w:right w:val="nil"/>
            </w:tcBorders>
          </w:tcPr>
          <w:p w14:paraId="6FBE3079" w14:textId="77777777" w:rsidR="00711444" w:rsidRPr="004D0DAA" w:rsidRDefault="00711444" w:rsidP="00AA2A4C">
            <w:pPr>
              <w:pStyle w:val="TAC"/>
              <w:rPr>
                <w:lang w:eastAsia="en-US"/>
              </w:rPr>
            </w:pPr>
            <w:r w:rsidRPr="004D0DAA">
              <w:rPr>
                <w:lang w:eastAsia="en-US"/>
              </w:rPr>
              <w:t>74 (RLC data)</w:t>
            </w:r>
          </w:p>
        </w:tc>
      </w:tr>
    </w:tbl>
    <w:p w14:paraId="05C293A7" w14:textId="77777777" w:rsidR="00711444" w:rsidRPr="004D0DAA" w:rsidRDefault="00711444" w:rsidP="007114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4821E1DF" w14:textId="77777777" w:rsidTr="00AA2A4C">
        <w:tblPrEx>
          <w:tblCellMar>
            <w:top w:w="0" w:type="dxa"/>
            <w:bottom w:w="0" w:type="dxa"/>
          </w:tblCellMar>
        </w:tblPrEx>
        <w:trPr>
          <w:jc w:val="center"/>
        </w:trPr>
        <w:tc>
          <w:tcPr>
            <w:tcW w:w="567" w:type="dxa"/>
            <w:tcBorders>
              <w:top w:val="nil"/>
              <w:left w:val="nil"/>
              <w:right w:val="nil"/>
            </w:tcBorders>
          </w:tcPr>
          <w:p w14:paraId="14A73155"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6D1C3E2D"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6F8A3C4E"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25387532"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01F4D88F"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29248DD0"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7A613050"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7D877667"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50D64BAC" w14:textId="77777777" w:rsidR="00711444" w:rsidRPr="004D0DAA" w:rsidRDefault="00711444" w:rsidP="00AA2A4C">
            <w:pPr>
              <w:pStyle w:val="TAC"/>
              <w:rPr>
                <w:lang w:eastAsia="en-US"/>
              </w:rPr>
            </w:pPr>
            <w:r w:rsidRPr="004D0DAA">
              <w:rPr>
                <w:lang w:eastAsia="en-US"/>
              </w:rPr>
              <w:t>Octet</w:t>
            </w:r>
          </w:p>
        </w:tc>
      </w:tr>
      <w:tr w:rsidR="00711444" w:rsidRPr="004D0DAA" w14:paraId="3F75CC9A" w14:textId="77777777" w:rsidTr="00AA2A4C">
        <w:tblPrEx>
          <w:tblCellMar>
            <w:top w:w="0" w:type="dxa"/>
            <w:bottom w:w="0" w:type="dxa"/>
          </w:tblCellMar>
        </w:tblPrEx>
        <w:trPr>
          <w:cantSplit/>
          <w:jc w:val="center"/>
        </w:trPr>
        <w:tc>
          <w:tcPr>
            <w:tcW w:w="1134" w:type="dxa"/>
            <w:gridSpan w:val="2"/>
          </w:tcPr>
          <w:p w14:paraId="56E3006D" w14:textId="77777777" w:rsidR="00711444" w:rsidRPr="004D0DAA" w:rsidRDefault="00711444" w:rsidP="00AA2A4C">
            <w:pPr>
              <w:pStyle w:val="TAC"/>
              <w:rPr>
                <w:lang w:eastAsia="en-US"/>
              </w:rPr>
            </w:pPr>
            <w:r w:rsidRPr="004D0DAA">
              <w:rPr>
                <w:lang w:eastAsia="en-US"/>
              </w:rPr>
              <w:t>TFI</w:t>
            </w:r>
          </w:p>
        </w:tc>
        <w:tc>
          <w:tcPr>
            <w:tcW w:w="2268" w:type="dxa"/>
            <w:gridSpan w:val="4"/>
          </w:tcPr>
          <w:p w14:paraId="5D943C53" w14:textId="77777777" w:rsidR="00711444" w:rsidRPr="004D0DAA" w:rsidRDefault="00711444" w:rsidP="00AA2A4C">
            <w:pPr>
              <w:pStyle w:val="TAC"/>
              <w:rPr>
                <w:lang w:eastAsia="en-US"/>
              </w:rPr>
            </w:pPr>
            <w:r w:rsidRPr="004D0DAA">
              <w:rPr>
                <w:lang w:eastAsia="en-US"/>
              </w:rPr>
              <w:t>Countdown value</w:t>
            </w:r>
          </w:p>
        </w:tc>
        <w:tc>
          <w:tcPr>
            <w:tcW w:w="567" w:type="dxa"/>
          </w:tcPr>
          <w:p w14:paraId="1ADB171E" w14:textId="77777777" w:rsidR="00711444" w:rsidRPr="004D0DAA" w:rsidRDefault="00711444" w:rsidP="00AA2A4C">
            <w:pPr>
              <w:pStyle w:val="TAC"/>
              <w:rPr>
                <w:lang w:eastAsia="en-US"/>
              </w:rPr>
            </w:pPr>
            <w:r w:rsidRPr="004D0DAA">
              <w:rPr>
                <w:lang w:eastAsia="en-US"/>
              </w:rPr>
              <w:t>SI</w:t>
            </w:r>
          </w:p>
        </w:tc>
        <w:tc>
          <w:tcPr>
            <w:tcW w:w="567" w:type="dxa"/>
          </w:tcPr>
          <w:p w14:paraId="6212A101"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7FB78BA9" w14:textId="77777777" w:rsidR="00711444" w:rsidRPr="004D0DAA" w:rsidRDefault="00711444" w:rsidP="00AA2A4C">
            <w:pPr>
              <w:pStyle w:val="TAC"/>
              <w:rPr>
                <w:lang w:eastAsia="en-US"/>
              </w:rPr>
            </w:pPr>
            <w:r w:rsidRPr="004D0DAA">
              <w:rPr>
                <w:lang w:eastAsia="en-US"/>
              </w:rPr>
              <w:t>1 (header)</w:t>
            </w:r>
          </w:p>
        </w:tc>
      </w:tr>
      <w:tr w:rsidR="00711444" w:rsidRPr="004D0DAA" w14:paraId="3FE9CF4B" w14:textId="77777777" w:rsidTr="00AA2A4C">
        <w:tblPrEx>
          <w:tblCellMar>
            <w:top w:w="0" w:type="dxa"/>
            <w:bottom w:w="0" w:type="dxa"/>
          </w:tblCellMar>
        </w:tblPrEx>
        <w:trPr>
          <w:cantSplit/>
          <w:jc w:val="center"/>
        </w:trPr>
        <w:tc>
          <w:tcPr>
            <w:tcW w:w="2835" w:type="dxa"/>
            <w:gridSpan w:val="5"/>
          </w:tcPr>
          <w:p w14:paraId="253713AD" w14:textId="77777777" w:rsidR="00711444" w:rsidRPr="004D0DAA" w:rsidRDefault="00711444" w:rsidP="00AA2A4C">
            <w:pPr>
              <w:pStyle w:val="TAC"/>
              <w:rPr>
                <w:lang w:eastAsia="en-US"/>
              </w:rPr>
            </w:pPr>
            <w:r w:rsidRPr="004D0DAA">
              <w:rPr>
                <w:lang w:eastAsia="en-US"/>
              </w:rPr>
              <w:t>BSN 1</w:t>
            </w:r>
          </w:p>
        </w:tc>
        <w:tc>
          <w:tcPr>
            <w:tcW w:w="1701" w:type="dxa"/>
            <w:gridSpan w:val="3"/>
          </w:tcPr>
          <w:p w14:paraId="4CFAA49F"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468A3A42" w14:textId="77777777" w:rsidR="00711444" w:rsidRPr="004D0DAA" w:rsidRDefault="00711444" w:rsidP="00AA2A4C">
            <w:pPr>
              <w:pStyle w:val="TAC"/>
              <w:rPr>
                <w:lang w:eastAsia="en-US"/>
              </w:rPr>
            </w:pPr>
            <w:r w:rsidRPr="004D0DAA">
              <w:rPr>
                <w:lang w:eastAsia="en-US"/>
              </w:rPr>
              <w:t>2 (header)</w:t>
            </w:r>
          </w:p>
        </w:tc>
      </w:tr>
      <w:tr w:rsidR="00711444" w:rsidRPr="004D0DAA" w14:paraId="2D0E2BBF" w14:textId="77777777" w:rsidTr="00AA2A4C">
        <w:tblPrEx>
          <w:tblCellMar>
            <w:top w:w="0" w:type="dxa"/>
            <w:bottom w:w="0" w:type="dxa"/>
          </w:tblCellMar>
        </w:tblPrEx>
        <w:trPr>
          <w:cantSplit/>
          <w:jc w:val="center"/>
        </w:trPr>
        <w:tc>
          <w:tcPr>
            <w:tcW w:w="1134" w:type="dxa"/>
            <w:gridSpan w:val="2"/>
          </w:tcPr>
          <w:p w14:paraId="07C23782" w14:textId="77777777" w:rsidR="00711444" w:rsidRPr="004D0DAA" w:rsidRDefault="00711444" w:rsidP="00AA2A4C">
            <w:pPr>
              <w:pStyle w:val="TAC"/>
              <w:rPr>
                <w:lang w:eastAsia="en-US"/>
              </w:rPr>
            </w:pPr>
            <w:r w:rsidRPr="004D0DAA">
              <w:rPr>
                <w:lang w:eastAsia="en-US"/>
              </w:rPr>
              <w:t>CPS</w:t>
            </w:r>
          </w:p>
        </w:tc>
        <w:tc>
          <w:tcPr>
            <w:tcW w:w="3402" w:type="dxa"/>
            <w:gridSpan w:val="6"/>
          </w:tcPr>
          <w:p w14:paraId="40D81FBD"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3E466143" w14:textId="77777777" w:rsidR="00711444" w:rsidRPr="004D0DAA" w:rsidRDefault="00711444" w:rsidP="00AA2A4C">
            <w:pPr>
              <w:pStyle w:val="TAC"/>
              <w:rPr>
                <w:lang w:eastAsia="en-US"/>
              </w:rPr>
            </w:pPr>
            <w:r w:rsidRPr="004D0DAA">
              <w:rPr>
                <w:lang w:eastAsia="en-US"/>
              </w:rPr>
              <w:t>3 (header)</w:t>
            </w:r>
          </w:p>
        </w:tc>
      </w:tr>
      <w:tr w:rsidR="00711444" w:rsidRPr="004D0DAA" w14:paraId="3C7D7B84" w14:textId="77777777" w:rsidTr="00AA2A4C">
        <w:tblPrEx>
          <w:tblCellMar>
            <w:top w:w="0" w:type="dxa"/>
            <w:bottom w:w="0" w:type="dxa"/>
          </w:tblCellMar>
        </w:tblPrEx>
        <w:trPr>
          <w:cantSplit/>
          <w:jc w:val="center"/>
        </w:trPr>
        <w:tc>
          <w:tcPr>
            <w:tcW w:w="2835" w:type="dxa"/>
            <w:gridSpan w:val="5"/>
          </w:tcPr>
          <w:p w14:paraId="13B10127" w14:textId="77777777" w:rsidR="00711444" w:rsidRPr="004D0DAA" w:rsidRDefault="00711444" w:rsidP="00AA2A4C">
            <w:pPr>
              <w:pStyle w:val="TAC"/>
              <w:rPr>
                <w:lang w:eastAsia="en-US"/>
              </w:rPr>
            </w:pPr>
            <w:r w:rsidRPr="004D0DAA">
              <w:rPr>
                <w:lang w:eastAsia="en-US"/>
              </w:rPr>
              <w:t>Spare</w:t>
            </w:r>
          </w:p>
        </w:tc>
        <w:tc>
          <w:tcPr>
            <w:tcW w:w="567" w:type="dxa"/>
          </w:tcPr>
          <w:p w14:paraId="0885E294" w14:textId="77777777" w:rsidR="00711444" w:rsidRPr="004D0DAA" w:rsidRDefault="00711444" w:rsidP="00AA2A4C">
            <w:pPr>
              <w:pStyle w:val="TAC"/>
              <w:rPr>
                <w:lang w:eastAsia="en-US"/>
              </w:rPr>
            </w:pPr>
            <w:r w:rsidRPr="004D0DAA">
              <w:rPr>
                <w:lang w:eastAsia="en-US"/>
              </w:rPr>
              <w:t>PI</w:t>
            </w:r>
          </w:p>
        </w:tc>
        <w:tc>
          <w:tcPr>
            <w:tcW w:w="567" w:type="dxa"/>
            <w:tcBorders>
              <w:bottom w:val="nil"/>
            </w:tcBorders>
          </w:tcPr>
          <w:p w14:paraId="1351FE17" w14:textId="77777777" w:rsidR="00711444" w:rsidRPr="004D0DAA" w:rsidRDefault="00711444" w:rsidP="00AA2A4C">
            <w:pPr>
              <w:pStyle w:val="TAC"/>
              <w:rPr>
                <w:lang w:eastAsia="en-US"/>
              </w:rPr>
            </w:pPr>
            <w:r w:rsidRPr="004D0DAA">
              <w:rPr>
                <w:lang w:eastAsia="en-US"/>
              </w:rPr>
              <w:t>RSB</w:t>
            </w:r>
          </w:p>
        </w:tc>
        <w:tc>
          <w:tcPr>
            <w:tcW w:w="567" w:type="dxa"/>
            <w:tcBorders>
              <w:bottom w:val="nil"/>
            </w:tcBorders>
          </w:tcPr>
          <w:p w14:paraId="4B8D8648"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0F654E67" w14:textId="77777777" w:rsidR="00711444" w:rsidRPr="004D0DAA" w:rsidRDefault="00711444" w:rsidP="00AA2A4C">
            <w:pPr>
              <w:pStyle w:val="TAC"/>
              <w:rPr>
                <w:lang w:eastAsia="en-US"/>
              </w:rPr>
            </w:pPr>
            <w:r w:rsidRPr="004D0DAA">
              <w:rPr>
                <w:lang w:eastAsia="en-US"/>
              </w:rPr>
              <w:t>4 (header)</w:t>
            </w:r>
          </w:p>
        </w:tc>
      </w:tr>
      <w:tr w:rsidR="00711444" w:rsidRPr="004D0DAA" w14:paraId="251D2C17" w14:textId="77777777" w:rsidTr="00AA2A4C">
        <w:tblPrEx>
          <w:tblCellMar>
            <w:top w:w="0" w:type="dxa"/>
            <w:bottom w:w="0" w:type="dxa"/>
          </w:tblCellMar>
        </w:tblPrEx>
        <w:trPr>
          <w:cantSplit/>
          <w:jc w:val="center"/>
        </w:trPr>
        <w:tc>
          <w:tcPr>
            <w:tcW w:w="567" w:type="dxa"/>
            <w:tcBorders>
              <w:top w:val="nil"/>
              <w:left w:val="nil"/>
              <w:bottom w:val="nil"/>
              <w:right w:val="nil"/>
            </w:tcBorders>
          </w:tcPr>
          <w:p w14:paraId="34F85656" w14:textId="77777777" w:rsidR="00711444" w:rsidRPr="004D0DAA" w:rsidRDefault="00711444" w:rsidP="00AA2A4C"/>
        </w:tc>
        <w:tc>
          <w:tcPr>
            <w:tcW w:w="567" w:type="dxa"/>
            <w:tcBorders>
              <w:top w:val="nil"/>
              <w:left w:val="nil"/>
              <w:bottom w:val="nil"/>
              <w:right w:val="nil"/>
            </w:tcBorders>
          </w:tcPr>
          <w:p w14:paraId="361503D9" w14:textId="77777777" w:rsidR="00711444" w:rsidRPr="004D0DAA" w:rsidRDefault="00711444" w:rsidP="00AA2A4C"/>
        </w:tc>
        <w:tc>
          <w:tcPr>
            <w:tcW w:w="567" w:type="dxa"/>
            <w:tcBorders>
              <w:top w:val="nil"/>
              <w:left w:val="nil"/>
              <w:bottom w:val="nil"/>
              <w:right w:val="nil"/>
            </w:tcBorders>
          </w:tcPr>
          <w:p w14:paraId="5F41772B" w14:textId="77777777" w:rsidR="00711444" w:rsidRPr="004D0DAA" w:rsidRDefault="00711444" w:rsidP="00AA2A4C"/>
        </w:tc>
        <w:tc>
          <w:tcPr>
            <w:tcW w:w="2835" w:type="dxa"/>
            <w:gridSpan w:val="5"/>
            <w:tcBorders>
              <w:top w:val="single" w:sz="4" w:space="0" w:color="auto"/>
              <w:left w:val="single" w:sz="4" w:space="0" w:color="auto"/>
              <w:bottom w:val="nil"/>
              <w:right w:val="single" w:sz="4" w:space="0" w:color="auto"/>
            </w:tcBorders>
          </w:tcPr>
          <w:p w14:paraId="6D859691" w14:textId="77777777" w:rsidR="00711444" w:rsidRPr="004D0DAA" w:rsidRDefault="00711444" w:rsidP="00AA2A4C">
            <w:pPr>
              <w:pStyle w:val="TAC"/>
              <w:rPr>
                <w:lang w:eastAsia="en-US"/>
              </w:rPr>
            </w:pPr>
            <w:r w:rsidRPr="004D0DAA">
              <w:rPr>
                <w:lang w:eastAsia="en-US"/>
              </w:rPr>
              <w:t>Spare</w:t>
            </w:r>
          </w:p>
        </w:tc>
        <w:tc>
          <w:tcPr>
            <w:tcW w:w="1701" w:type="dxa"/>
            <w:tcBorders>
              <w:top w:val="nil"/>
              <w:left w:val="nil"/>
              <w:bottom w:val="nil"/>
              <w:right w:val="nil"/>
            </w:tcBorders>
          </w:tcPr>
          <w:p w14:paraId="38EE32BC" w14:textId="77777777" w:rsidR="00711444" w:rsidRPr="004D0DAA" w:rsidRDefault="00711444" w:rsidP="00AA2A4C">
            <w:pPr>
              <w:pStyle w:val="TAC"/>
              <w:rPr>
                <w:lang w:eastAsia="en-US"/>
              </w:rPr>
            </w:pPr>
            <w:r w:rsidRPr="004D0DAA">
              <w:rPr>
                <w:i/>
                <w:lang w:eastAsia="en-US"/>
              </w:rPr>
              <w:t>(See note below)</w:t>
            </w:r>
          </w:p>
        </w:tc>
      </w:tr>
      <w:tr w:rsidR="00711444" w:rsidRPr="004D0DAA" w14:paraId="7C1A9968" w14:textId="77777777" w:rsidTr="00AA2A4C">
        <w:tblPrEx>
          <w:tblCellMar>
            <w:top w:w="0" w:type="dxa"/>
            <w:bottom w:w="0" w:type="dxa"/>
          </w:tblCellMar>
        </w:tblPrEx>
        <w:trPr>
          <w:cantSplit/>
          <w:jc w:val="center"/>
        </w:trPr>
        <w:tc>
          <w:tcPr>
            <w:tcW w:w="4536" w:type="dxa"/>
            <w:gridSpan w:val="8"/>
            <w:tcBorders>
              <w:top w:val="single" w:sz="18" w:space="0" w:color="auto"/>
            </w:tcBorders>
          </w:tcPr>
          <w:p w14:paraId="6B31475E"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5C8BD942" w14:textId="77777777" w:rsidR="00711444" w:rsidRPr="004D0DAA" w:rsidRDefault="00711444" w:rsidP="00AA2A4C">
            <w:pPr>
              <w:pStyle w:val="TAC"/>
              <w:rPr>
                <w:lang w:eastAsia="en-US"/>
              </w:rPr>
            </w:pPr>
            <w:r w:rsidRPr="004D0DAA">
              <w:rPr>
                <w:lang w:eastAsia="en-US"/>
              </w:rPr>
              <w:t xml:space="preserve">1 (RLC data) </w:t>
            </w:r>
          </w:p>
        </w:tc>
      </w:tr>
      <w:tr w:rsidR="00711444" w:rsidRPr="004D0DAA" w14:paraId="75E9B344" w14:textId="77777777" w:rsidTr="00AA2A4C">
        <w:tblPrEx>
          <w:tblCellMar>
            <w:top w:w="0" w:type="dxa"/>
            <w:bottom w:w="0" w:type="dxa"/>
          </w:tblCellMar>
        </w:tblPrEx>
        <w:trPr>
          <w:cantSplit/>
          <w:jc w:val="center"/>
        </w:trPr>
        <w:tc>
          <w:tcPr>
            <w:tcW w:w="4536" w:type="dxa"/>
            <w:gridSpan w:val="8"/>
            <w:tcBorders>
              <w:left w:val="nil"/>
              <w:right w:val="nil"/>
            </w:tcBorders>
          </w:tcPr>
          <w:p w14:paraId="237C2238"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6C39867F" w14:textId="77777777" w:rsidR="00711444" w:rsidRPr="004D0DAA" w:rsidRDefault="00711444" w:rsidP="00AA2A4C">
            <w:pPr>
              <w:pStyle w:val="TAC"/>
              <w:rPr>
                <w:lang w:eastAsia="en-US"/>
              </w:rPr>
            </w:pPr>
            <w:r w:rsidRPr="004D0DAA">
              <w:rPr>
                <w:lang w:eastAsia="en-US"/>
              </w:rPr>
              <w:t>:</w:t>
            </w:r>
          </w:p>
        </w:tc>
      </w:tr>
      <w:tr w:rsidR="00711444" w:rsidRPr="004D0DAA" w14:paraId="6D3D9EA3" w14:textId="77777777" w:rsidTr="00AA2A4C">
        <w:tblPrEx>
          <w:tblCellMar>
            <w:top w:w="0" w:type="dxa"/>
            <w:bottom w:w="0" w:type="dxa"/>
          </w:tblCellMar>
        </w:tblPrEx>
        <w:trPr>
          <w:cantSplit/>
          <w:jc w:val="center"/>
        </w:trPr>
        <w:tc>
          <w:tcPr>
            <w:tcW w:w="4536" w:type="dxa"/>
            <w:gridSpan w:val="8"/>
          </w:tcPr>
          <w:p w14:paraId="218F1EBB"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0A9ABC7C" w14:textId="77777777" w:rsidR="00711444" w:rsidRPr="004D0DAA" w:rsidRDefault="00711444" w:rsidP="00AA2A4C">
            <w:pPr>
              <w:pStyle w:val="TAC"/>
              <w:rPr>
                <w:lang w:eastAsia="en-US"/>
              </w:rPr>
            </w:pPr>
            <w:r w:rsidRPr="004D0DAA">
              <w:rPr>
                <w:lang w:eastAsia="en-US"/>
              </w:rPr>
              <w:t>6 (RLC data)</w:t>
            </w:r>
          </w:p>
        </w:tc>
      </w:tr>
      <w:tr w:rsidR="00711444" w:rsidRPr="004D0DAA" w14:paraId="27F0EA59" w14:textId="77777777" w:rsidTr="00AA2A4C">
        <w:tblPrEx>
          <w:tblCellMar>
            <w:top w:w="0" w:type="dxa"/>
            <w:bottom w:w="0" w:type="dxa"/>
          </w:tblCellMar>
        </w:tblPrEx>
        <w:trPr>
          <w:jc w:val="center"/>
        </w:trPr>
        <w:tc>
          <w:tcPr>
            <w:tcW w:w="567" w:type="dxa"/>
            <w:tcBorders>
              <w:top w:val="nil"/>
              <w:left w:val="nil"/>
              <w:right w:val="nil"/>
            </w:tcBorders>
          </w:tcPr>
          <w:p w14:paraId="6FFBB8E4" w14:textId="77777777" w:rsidR="00711444" w:rsidRPr="004D0DAA" w:rsidRDefault="00711444" w:rsidP="00AA2A4C"/>
        </w:tc>
        <w:tc>
          <w:tcPr>
            <w:tcW w:w="567" w:type="dxa"/>
            <w:tcBorders>
              <w:top w:val="nil"/>
              <w:left w:val="nil"/>
              <w:right w:val="nil"/>
            </w:tcBorders>
          </w:tcPr>
          <w:p w14:paraId="26F0EF67" w14:textId="77777777" w:rsidR="00711444" w:rsidRPr="004D0DAA" w:rsidRDefault="00711444" w:rsidP="00AA2A4C"/>
        </w:tc>
        <w:tc>
          <w:tcPr>
            <w:tcW w:w="567" w:type="dxa"/>
            <w:tcBorders>
              <w:top w:val="nil"/>
              <w:left w:val="nil"/>
              <w:right w:val="nil"/>
            </w:tcBorders>
          </w:tcPr>
          <w:p w14:paraId="041CFD8A" w14:textId="77777777" w:rsidR="00711444" w:rsidRPr="004D0DAA" w:rsidRDefault="00711444" w:rsidP="00AA2A4C"/>
        </w:tc>
        <w:tc>
          <w:tcPr>
            <w:tcW w:w="567" w:type="dxa"/>
            <w:tcBorders>
              <w:top w:val="nil"/>
              <w:left w:val="nil"/>
              <w:right w:val="nil"/>
            </w:tcBorders>
          </w:tcPr>
          <w:p w14:paraId="673756AC" w14:textId="77777777" w:rsidR="00711444" w:rsidRPr="004D0DAA" w:rsidRDefault="00711444" w:rsidP="00AA2A4C"/>
        </w:tc>
        <w:tc>
          <w:tcPr>
            <w:tcW w:w="567" w:type="dxa"/>
            <w:tcBorders>
              <w:top w:val="nil"/>
              <w:left w:val="nil"/>
              <w:right w:val="nil"/>
            </w:tcBorders>
          </w:tcPr>
          <w:p w14:paraId="5104DF86" w14:textId="77777777" w:rsidR="00711444" w:rsidRPr="004D0DAA" w:rsidRDefault="00711444" w:rsidP="00AA2A4C"/>
        </w:tc>
        <w:tc>
          <w:tcPr>
            <w:tcW w:w="567" w:type="dxa"/>
            <w:tcBorders>
              <w:top w:val="nil"/>
              <w:left w:val="nil"/>
              <w:right w:val="nil"/>
            </w:tcBorders>
          </w:tcPr>
          <w:p w14:paraId="42FFE5C1" w14:textId="77777777" w:rsidR="00711444" w:rsidRPr="004D0DAA" w:rsidRDefault="00711444" w:rsidP="00AA2A4C"/>
        </w:tc>
        <w:tc>
          <w:tcPr>
            <w:tcW w:w="567" w:type="dxa"/>
            <w:tcBorders>
              <w:top w:val="single" w:sz="4" w:space="0" w:color="auto"/>
              <w:left w:val="single" w:sz="4" w:space="0" w:color="auto"/>
              <w:right w:val="single" w:sz="4" w:space="0" w:color="auto"/>
            </w:tcBorders>
          </w:tcPr>
          <w:p w14:paraId="6E1E014A" w14:textId="77777777" w:rsidR="00711444" w:rsidRPr="004D0DAA" w:rsidRDefault="00711444" w:rsidP="00AA2A4C">
            <w:pPr>
              <w:pStyle w:val="TAC"/>
              <w:rPr>
                <w:lang w:eastAsia="en-US"/>
              </w:rPr>
            </w:pPr>
            <w:r w:rsidRPr="004D0DAA">
              <w:rPr>
                <w:lang w:eastAsia="en-US"/>
              </w:rPr>
              <w:t>TI</w:t>
            </w:r>
          </w:p>
        </w:tc>
        <w:tc>
          <w:tcPr>
            <w:tcW w:w="567" w:type="dxa"/>
            <w:tcBorders>
              <w:top w:val="single" w:sz="4" w:space="0" w:color="auto"/>
              <w:left w:val="single" w:sz="4" w:space="0" w:color="auto"/>
              <w:right w:val="single" w:sz="4" w:space="0" w:color="auto"/>
            </w:tcBorders>
          </w:tcPr>
          <w:p w14:paraId="10246E78"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60AEAB5D" w14:textId="77777777" w:rsidR="00711444" w:rsidRPr="004D0DAA" w:rsidRDefault="00711444" w:rsidP="00AA2A4C">
            <w:pPr>
              <w:pStyle w:val="TAC"/>
              <w:rPr>
                <w:lang w:eastAsia="en-US"/>
              </w:rPr>
            </w:pPr>
            <w:r w:rsidRPr="004D0DAA">
              <w:rPr>
                <w:i/>
                <w:lang w:eastAsia="en-US"/>
              </w:rPr>
              <w:t>(See note below)</w:t>
            </w:r>
          </w:p>
        </w:tc>
      </w:tr>
      <w:tr w:rsidR="00711444" w:rsidRPr="004D0DAA" w14:paraId="260DF2D0" w14:textId="77777777" w:rsidTr="00AA2A4C">
        <w:tblPrEx>
          <w:tblCellMar>
            <w:top w:w="0" w:type="dxa"/>
            <w:bottom w:w="0" w:type="dxa"/>
          </w:tblCellMar>
        </w:tblPrEx>
        <w:trPr>
          <w:cantSplit/>
          <w:jc w:val="center"/>
        </w:trPr>
        <w:tc>
          <w:tcPr>
            <w:tcW w:w="3969" w:type="dxa"/>
            <w:gridSpan w:val="7"/>
            <w:tcBorders>
              <w:top w:val="nil"/>
            </w:tcBorders>
          </w:tcPr>
          <w:p w14:paraId="605B30D2" w14:textId="77777777" w:rsidR="00711444" w:rsidRPr="004D0DAA" w:rsidRDefault="00711444" w:rsidP="00AA2A4C">
            <w:pPr>
              <w:pStyle w:val="TAC"/>
              <w:rPr>
                <w:lang w:eastAsia="en-US"/>
              </w:rPr>
            </w:pPr>
            <w:r w:rsidRPr="004D0DAA">
              <w:rPr>
                <w:lang w:eastAsia="en-US"/>
              </w:rPr>
              <w:t>Length indicator = 33</w:t>
            </w:r>
          </w:p>
        </w:tc>
        <w:tc>
          <w:tcPr>
            <w:tcW w:w="567" w:type="dxa"/>
          </w:tcPr>
          <w:p w14:paraId="256CD5FC"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5B59FB63" w14:textId="77777777" w:rsidR="00711444" w:rsidRPr="004D0DAA" w:rsidRDefault="00711444" w:rsidP="00AA2A4C">
            <w:pPr>
              <w:pStyle w:val="TAC"/>
              <w:rPr>
                <w:lang w:eastAsia="en-US"/>
              </w:rPr>
            </w:pPr>
            <w:r w:rsidRPr="004D0DAA">
              <w:rPr>
                <w:lang w:eastAsia="en-US"/>
              </w:rPr>
              <w:t xml:space="preserve">7 (RLC data) </w:t>
            </w:r>
          </w:p>
        </w:tc>
      </w:tr>
      <w:tr w:rsidR="00711444" w:rsidRPr="004D0DAA" w14:paraId="26E52BC4" w14:textId="77777777" w:rsidTr="00AA2A4C">
        <w:tblPrEx>
          <w:tblCellMar>
            <w:top w:w="0" w:type="dxa"/>
            <w:bottom w:w="0" w:type="dxa"/>
          </w:tblCellMar>
        </w:tblPrEx>
        <w:trPr>
          <w:cantSplit/>
          <w:jc w:val="center"/>
        </w:trPr>
        <w:tc>
          <w:tcPr>
            <w:tcW w:w="4536" w:type="dxa"/>
            <w:gridSpan w:val="8"/>
          </w:tcPr>
          <w:p w14:paraId="0028D3FB" w14:textId="77777777" w:rsidR="00711444" w:rsidRPr="004D0DAA" w:rsidRDefault="00711444" w:rsidP="00AA2A4C">
            <w:pPr>
              <w:pStyle w:val="TAC"/>
              <w:rPr>
                <w:lang w:eastAsia="en-US"/>
              </w:rPr>
            </w:pPr>
            <w:r w:rsidRPr="004D0DAA">
              <w:rPr>
                <w:lang w:eastAsia="en-US"/>
              </w:rPr>
              <w:t>LLC2 (octet 28)</w:t>
            </w:r>
          </w:p>
        </w:tc>
        <w:tc>
          <w:tcPr>
            <w:tcW w:w="1701" w:type="dxa"/>
            <w:tcBorders>
              <w:top w:val="nil"/>
              <w:bottom w:val="nil"/>
              <w:right w:val="nil"/>
            </w:tcBorders>
          </w:tcPr>
          <w:p w14:paraId="3959036C" w14:textId="77777777" w:rsidR="00711444" w:rsidRPr="004D0DAA" w:rsidRDefault="00711444" w:rsidP="00AA2A4C">
            <w:pPr>
              <w:pStyle w:val="TAC"/>
              <w:rPr>
                <w:lang w:eastAsia="en-US"/>
              </w:rPr>
            </w:pPr>
            <w:r w:rsidRPr="004D0DAA">
              <w:rPr>
                <w:lang w:eastAsia="en-US"/>
              </w:rPr>
              <w:t>8 (RLC data)</w:t>
            </w:r>
          </w:p>
        </w:tc>
      </w:tr>
      <w:tr w:rsidR="00711444" w:rsidRPr="004D0DAA" w14:paraId="24AEFE9D" w14:textId="77777777" w:rsidTr="00AA2A4C">
        <w:tblPrEx>
          <w:tblCellMar>
            <w:top w:w="0" w:type="dxa"/>
            <w:bottom w:w="0" w:type="dxa"/>
          </w:tblCellMar>
        </w:tblPrEx>
        <w:trPr>
          <w:cantSplit/>
          <w:jc w:val="center"/>
        </w:trPr>
        <w:tc>
          <w:tcPr>
            <w:tcW w:w="4536" w:type="dxa"/>
            <w:gridSpan w:val="8"/>
          </w:tcPr>
          <w:p w14:paraId="40CCC4C9" w14:textId="77777777" w:rsidR="00711444" w:rsidRPr="004D0DAA" w:rsidRDefault="00711444" w:rsidP="00AA2A4C">
            <w:pPr>
              <w:pStyle w:val="TAC"/>
              <w:rPr>
                <w:lang w:eastAsia="en-US"/>
              </w:rPr>
            </w:pPr>
            <w:r w:rsidRPr="004D0DAA">
              <w:rPr>
                <w:lang w:eastAsia="en-US"/>
              </w:rPr>
              <w:t>LLC2 (octet 29)</w:t>
            </w:r>
          </w:p>
        </w:tc>
        <w:tc>
          <w:tcPr>
            <w:tcW w:w="1701" w:type="dxa"/>
            <w:tcBorders>
              <w:top w:val="nil"/>
              <w:bottom w:val="nil"/>
              <w:right w:val="nil"/>
            </w:tcBorders>
          </w:tcPr>
          <w:p w14:paraId="0AA630E9" w14:textId="77777777" w:rsidR="00711444" w:rsidRPr="004D0DAA" w:rsidRDefault="00711444" w:rsidP="00AA2A4C">
            <w:pPr>
              <w:pStyle w:val="TAC"/>
              <w:rPr>
                <w:lang w:eastAsia="en-US"/>
              </w:rPr>
            </w:pPr>
            <w:r w:rsidRPr="004D0DAA">
              <w:rPr>
                <w:lang w:eastAsia="en-US"/>
              </w:rPr>
              <w:t>9 (RLC data)</w:t>
            </w:r>
          </w:p>
        </w:tc>
      </w:tr>
      <w:tr w:rsidR="00711444" w:rsidRPr="004D0DAA" w14:paraId="3D78E03C" w14:textId="77777777" w:rsidTr="00AA2A4C">
        <w:tblPrEx>
          <w:tblCellMar>
            <w:top w:w="0" w:type="dxa"/>
            <w:bottom w:w="0" w:type="dxa"/>
          </w:tblCellMar>
        </w:tblPrEx>
        <w:trPr>
          <w:cantSplit/>
          <w:jc w:val="center"/>
        </w:trPr>
        <w:tc>
          <w:tcPr>
            <w:tcW w:w="4536" w:type="dxa"/>
            <w:gridSpan w:val="8"/>
            <w:tcBorders>
              <w:left w:val="nil"/>
              <w:right w:val="nil"/>
            </w:tcBorders>
          </w:tcPr>
          <w:p w14:paraId="686A87B4"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59E4E6D8" w14:textId="77777777" w:rsidR="00711444" w:rsidRPr="004D0DAA" w:rsidRDefault="00711444" w:rsidP="00AA2A4C">
            <w:pPr>
              <w:pStyle w:val="TAC"/>
              <w:rPr>
                <w:lang w:eastAsia="en-US"/>
              </w:rPr>
            </w:pPr>
            <w:r w:rsidRPr="004D0DAA">
              <w:rPr>
                <w:lang w:eastAsia="en-US"/>
              </w:rPr>
              <w:t>:</w:t>
            </w:r>
          </w:p>
        </w:tc>
      </w:tr>
      <w:tr w:rsidR="00711444" w:rsidRPr="004D0DAA" w14:paraId="00B8394E" w14:textId="77777777" w:rsidTr="00AA2A4C">
        <w:tblPrEx>
          <w:tblCellMar>
            <w:top w:w="0" w:type="dxa"/>
            <w:bottom w:w="0" w:type="dxa"/>
          </w:tblCellMar>
        </w:tblPrEx>
        <w:trPr>
          <w:cantSplit/>
          <w:jc w:val="center"/>
        </w:trPr>
        <w:tc>
          <w:tcPr>
            <w:tcW w:w="4536" w:type="dxa"/>
            <w:gridSpan w:val="8"/>
          </w:tcPr>
          <w:p w14:paraId="613F299F" w14:textId="77777777" w:rsidR="00711444" w:rsidRPr="004D0DAA" w:rsidRDefault="00711444" w:rsidP="00AA2A4C">
            <w:pPr>
              <w:pStyle w:val="TAC"/>
              <w:rPr>
                <w:lang w:eastAsia="en-US"/>
              </w:rPr>
            </w:pPr>
            <w:r w:rsidRPr="004D0DAA">
              <w:rPr>
                <w:lang w:eastAsia="en-US"/>
              </w:rPr>
              <w:t>LLC2 (octet 59)</w:t>
            </w:r>
          </w:p>
        </w:tc>
        <w:tc>
          <w:tcPr>
            <w:tcW w:w="1701" w:type="dxa"/>
            <w:tcBorders>
              <w:top w:val="nil"/>
              <w:bottom w:val="nil"/>
              <w:right w:val="nil"/>
            </w:tcBorders>
          </w:tcPr>
          <w:p w14:paraId="4F2CB212" w14:textId="77777777" w:rsidR="00711444" w:rsidRPr="004D0DAA" w:rsidRDefault="00711444" w:rsidP="00AA2A4C">
            <w:pPr>
              <w:pStyle w:val="TAC"/>
              <w:rPr>
                <w:lang w:eastAsia="en-US"/>
              </w:rPr>
            </w:pPr>
            <w:r w:rsidRPr="004D0DAA">
              <w:rPr>
                <w:lang w:eastAsia="en-US"/>
              </w:rPr>
              <w:t>39 (RLC data)</w:t>
            </w:r>
          </w:p>
        </w:tc>
      </w:tr>
      <w:tr w:rsidR="00711444" w:rsidRPr="004D0DAA" w14:paraId="22D556DE" w14:textId="77777777" w:rsidTr="00AA2A4C">
        <w:tblPrEx>
          <w:tblCellMar>
            <w:top w:w="0" w:type="dxa"/>
            <w:bottom w:w="0" w:type="dxa"/>
          </w:tblCellMar>
        </w:tblPrEx>
        <w:trPr>
          <w:cantSplit/>
          <w:jc w:val="center"/>
        </w:trPr>
        <w:tc>
          <w:tcPr>
            <w:tcW w:w="4536" w:type="dxa"/>
            <w:gridSpan w:val="8"/>
          </w:tcPr>
          <w:p w14:paraId="367B13DE" w14:textId="77777777" w:rsidR="00711444" w:rsidRPr="004D0DAA" w:rsidRDefault="00711444" w:rsidP="00AA2A4C">
            <w:pPr>
              <w:pStyle w:val="TAC"/>
              <w:rPr>
                <w:lang w:eastAsia="en-US"/>
              </w:rPr>
            </w:pPr>
            <w:r w:rsidRPr="004D0DAA">
              <w:rPr>
                <w:lang w:eastAsia="en-US"/>
              </w:rPr>
              <w:t>LLC2 (octet 60)</w:t>
            </w:r>
          </w:p>
        </w:tc>
        <w:tc>
          <w:tcPr>
            <w:tcW w:w="1701" w:type="dxa"/>
            <w:tcBorders>
              <w:top w:val="nil"/>
              <w:bottom w:val="nil"/>
              <w:right w:val="nil"/>
            </w:tcBorders>
          </w:tcPr>
          <w:p w14:paraId="2AB5FDC6" w14:textId="77777777" w:rsidR="00711444" w:rsidRPr="004D0DAA" w:rsidRDefault="00711444" w:rsidP="00AA2A4C">
            <w:pPr>
              <w:pStyle w:val="TAC"/>
              <w:rPr>
                <w:lang w:eastAsia="en-US"/>
              </w:rPr>
            </w:pPr>
            <w:r w:rsidRPr="004D0DAA">
              <w:rPr>
                <w:lang w:eastAsia="en-US"/>
              </w:rPr>
              <w:t>40 (RLC data)</w:t>
            </w:r>
          </w:p>
        </w:tc>
      </w:tr>
      <w:tr w:rsidR="00711444" w:rsidRPr="004D0DAA" w14:paraId="2F295CEB" w14:textId="77777777" w:rsidTr="00AA2A4C">
        <w:tblPrEx>
          <w:tblCellMar>
            <w:top w:w="0" w:type="dxa"/>
            <w:bottom w:w="0" w:type="dxa"/>
          </w:tblCellMar>
        </w:tblPrEx>
        <w:trPr>
          <w:cantSplit/>
          <w:jc w:val="center"/>
        </w:trPr>
        <w:tc>
          <w:tcPr>
            <w:tcW w:w="4536" w:type="dxa"/>
            <w:gridSpan w:val="8"/>
          </w:tcPr>
          <w:p w14:paraId="6D72567E" w14:textId="77777777" w:rsidR="00711444" w:rsidRPr="004D0DAA" w:rsidRDefault="00711444" w:rsidP="00AA2A4C">
            <w:pPr>
              <w:pStyle w:val="TAC"/>
              <w:rPr>
                <w:lang w:eastAsia="en-US"/>
              </w:rPr>
            </w:pPr>
            <w:r w:rsidRPr="004D0DAA">
              <w:rPr>
                <w:lang w:eastAsia="en-US"/>
              </w:rPr>
              <w:t>LLC3 (octet 1)</w:t>
            </w:r>
          </w:p>
        </w:tc>
        <w:tc>
          <w:tcPr>
            <w:tcW w:w="1701" w:type="dxa"/>
            <w:tcBorders>
              <w:top w:val="nil"/>
              <w:bottom w:val="nil"/>
              <w:right w:val="nil"/>
            </w:tcBorders>
          </w:tcPr>
          <w:p w14:paraId="566D036D" w14:textId="77777777" w:rsidR="00711444" w:rsidRPr="004D0DAA" w:rsidRDefault="00711444" w:rsidP="00AA2A4C">
            <w:pPr>
              <w:pStyle w:val="TAC"/>
              <w:rPr>
                <w:lang w:eastAsia="en-US"/>
              </w:rPr>
            </w:pPr>
            <w:r w:rsidRPr="004D0DAA">
              <w:rPr>
                <w:lang w:eastAsia="en-US"/>
              </w:rPr>
              <w:t>41 (RLC data)</w:t>
            </w:r>
          </w:p>
        </w:tc>
      </w:tr>
      <w:tr w:rsidR="00711444" w:rsidRPr="004D0DAA" w14:paraId="2CC1189E" w14:textId="77777777" w:rsidTr="00AA2A4C">
        <w:tblPrEx>
          <w:tblCellMar>
            <w:top w:w="0" w:type="dxa"/>
            <w:bottom w:w="0" w:type="dxa"/>
          </w:tblCellMar>
        </w:tblPrEx>
        <w:trPr>
          <w:cantSplit/>
          <w:jc w:val="center"/>
        </w:trPr>
        <w:tc>
          <w:tcPr>
            <w:tcW w:w="4536" w:type="dxa"/>
            <w:gridSpan w:val="8"/>
          </w:tcPr>
          <w:p w14:paraId="60DE618F" w14:textId="77777777" w:rsidR="00711444" w:rsidRPr="004D0DAA" w:rsidRDefault="00711444" w:rsidP="00AA2A4C">
            <w:pPr>
              <w:pStyle w:val="TAC"/>
              <w:rPr>
                <w:lang w:eastAsia="en-US"/>
              </w:rPr>
            </w:pPr>
            <w:r w:rsidRPr="004D0DAA">
              <w:rPr>
                <w:lang w:eastAsia="en-US"/>
              </w:rPr>
              <w:t>LLC3 (octet 2)</w:t>
            </w:r>
          </w:p>
        </w:tc>
        <w:tc>
          <w:tcPr>
            <w:tcW w:w="1701" w:type="dxa"/>
            <w:tcBorders>
              <w:top w:val="nil"/>
              <w:bottom w:val="nil"/>
              <w:right w:val="nil"/>
            </w:tcBorders>
          </w:tcPr>
          <w:p w14:paraId="4E51A202" w14:textId="77777777" w:rsidR="00711444" w:rsidRPr="004D0DAA" w:rsidRDefault="00711444" w:rsidP="00AA2A4C">
            <w:pPr>
              <w:pStyle w:val="TAC"/>
              <w:rPr>
                <w:lang w:eastAsia="en-US"/>
              </w:rPr>
            </w:pPr>
            <w:r w:rsidRPr="004D0DAA">
              <w:rPr>
                <w:lang w:eastAsia="en-US"/>
              </w:rPr>
              <w:t>42 (RLC data)</w:t>
            </w:r>
          </w:p>
        </w:tc>
      </w:tr>
      <w:tr w:rsidR="00711444" w:rsidRPr="004D0DAA" w14:paraId="64971785" w14:textId="77777777" w:rsidTr="00AA2A4C">
        <w:tblPrEx>
          <w:tblCellMar>
            <w:top w:w="0" w:type="dxa"/>
            <w:bottom w:w="0" w:type="dxa"/>
          </w:tblCellMar>
        </w:tblPrEx>
        <w:trPr>
          <w:cantSplit/>
          <w:jc w:val="center"/>
        </w:trPr>
        <w:tc>
          <w:tcPr>
            <w:tcW w:w="4536" w:type="dxa"/>
            <w:gridSpan w:val="8"/>
            <w:tcBorders>
              <w:left w:val="nil"/>
              <w:right w:val="nil"/>
            </w:tcBorders>
          </w:tcPr>
          <w:p w14:paraId="06DA42D6"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7E42D29F" w14:textId="77777777" w:rsidR="00711444" w:rsidRPr="004D0DAA" w:rsidRDefault="00711444" w:rsidP="00AA2A4C">
            <w:pPr>
              <w:pStyle w:val="TAC"/>
              <w:rPr>
                <w:lang w:eastAsia="en-US"/>
              </w:rPr>
            </w:pPr>
            <w:r w:rsidRPr="004D0DAA">
              <w:rPr>
                <w:lang w:eastAsia="en-US"/>
              </w:rPr>
              <w:t>:</w:t>
            </w:r>
          </w:p>
        </w:tc>
      </w:tr>
      <w:tr w:rsidR="00711444" w:rsidRPr="004D0DAA" w14:paraId="75C241E0" w14:textId="77777777" w:rsidTr="00AA2A4C">
        <w:tblPrEx>
          <w:tblCellMar>
            <w:top w:w="0" w:type="dxa"/>
            <w:bottom w:w="0" w:type="dxa"/>
          </w:tblCellMar>
        </w:tblPrEx>
        <w:trPr>
          <w:cantSplit/>
          <w:jc w:val="center"/>
        </w:trPr>
        <w:tc>
          <w:tcPr>
            <w:tcW w:w="4536" w:type="dxa"/>
            <w:gridSpan w:val="8"/>
            <w:tcBorders>
              <w:bottom w:val="nil"/>
            </w:tcBorders>
          </w:tcPr>
          <w:p w14:paraId="136E299A" w14:textId="77777777" w:rsidR="00711444" w:rsidRPr="004D0DAA" w:rsidRDefault="00711444" w:rsidP="00AA2A4C">
            <w:pPr>
              <w:pStyle w:val="TAC"/>
              <w:rPr>
                <w:lang w:eastAsia="en-US"/>
              </w:rPr>
            </w:pPr>
            <w:r w:rsidRPr="004D0DAA">
              <w:rPr>
                <w:lang w:eastAsia="en-US"/>
              </w:rPr>
              <w:t>LLC3 (octet 33)</w:t>
            </w:r>
          </w:p>
        </w:tc>
        <w:tc>
          <w:tcPr>
            <w:tcW w:w="1701" w:type="dxa"/>
            <w:tcBorders>
              <w:top w:val="nil"/>
              <w:bottom w:val="nil"/>
              <w:right w:val="nil"/>
            </w:tcBorders>
          </w:tcPr>
          <w:p w14:paraId="043EBC16" w14:textId="77777777" w:rsidR="00711444" w:rsidRPr="004D0DAA" w:rsidRDefault="00711444" w:rsidP="00AA2A4C">
            <w:pPr>
              <w:pStyle w:val="TAC"/>
              <w:rPr>
                <w:lang w:eastAsia="en-US"/>
              </w:rPr>
            </w:pPr>
            <w:r w:rsidRPr="004D0DAA">
              <w:rPr>
                <w:lang w:eastAsia="en-US"/>
              </w:rPr>
              <w:t>73 (RLC data)</w:t>
            </w:r>
          </w:p>
        </w:tc>
      </w:tr>
      <w:tr w:rsidR="00711444" w:rsidRPr="004D0DAA" w14:paraId="1BB41ABC" w14:textId="77777777" w:rsidTr="00AA2A4C">
        <w:tblPrEx>
          <w:tblCellMar>
            <w:top w:w="0" w:type="dxa"/>
            <w:bottom w:w="0" w:type="dxa"/>
          </w:tblCellMar>
        </w:tblPrEx>
        <w:trPr>
          <w:cantSplit/>
          <w:jc w:val="center"/>
        </w:trPr>
        <w:tc>
          <w:tcPr>
            <w:tcW w:w="4536" w:type="dxa"/>
            <w:gridSpan w:val="8"/>
          </w:tcPr>
          <w:p w14:paraId="38661CD2" w14:textId="77777777" w:rsidR="00711444" w:rsidRPr="004D0DAA" w:rsidRDefault="00711444" w:rsidP="00AA2A4C">
            <w:pPr>
              <w:pStyle w:val="TAC"/>
              <w:rPr>
                <w:lang w:eastAsia="en-US"/>
              </w:rPr>
            </w:pPr>
            <w:r w:rsidRPr="004D0DAA">
              <w:rPr>
                <w:lang w:eastAsia="en-US"/>
              </w:rPr>
              <w:t>LLC3 (octet 34)</w:t>
            </w:r>
          </w:p>
        </w:tc>
        <w:tc>
          <w:tcPr>
            <w:tcW w:w="1701" w:type="dxa"/>
            <w:tcBorders>
              <w:top w:val="nil"/>
              <w:bottom w:val="nil"/>
              <w:right w:val="nil"/>
            </w:tcBorders>
          </w:tcPr>
          <w:p w14:paraId="406C743D" w14:textId="77777777" w:rsidR="00711444" w:rsidRPr="004D0DAA" w:rsidRDefault="00711444" w:rsidP="00AA2A4C">
            <w:pPr>
              <w:pStyle w:val="TAC"/>
              <w:rPr>
                <w:lang w:eastAsia="en-US"/>
              </w:rPr>
            </w:pPr>
            <w:r w:rsidRPr="004D0DAA">
              <w:rPr>
                <w:lang w:eastAsia="en-US"/>
              </w:rPr>
              <w:t>74 (RLC data)</w:t>
            </w:r>
          </w:p>
        </w:tc>
      </w:tr>
    </w:tbl>
    <w:p w14:paraId="67725837" w14:textId="77777777" w:rsidR="00711444" w:rsidRPr="004D0DAA" w:rsidRDefault="00711444" w:rsidP="00711444"/>
    <w:p w14:paraId="28AF1F7B" w14:textId="77777777" w:rsidR="00711444" w:rsidRPr="004D0DAA" w:rsidRDefault="00711444" w:rsidP="00711444">
      <w:pPr>
        <w:pStyle w:val="NO"/>
      </w:pPr>
      <w:r w:rsidRPr="004D0DAA">
        <w:t>NOTE:</w:t>
      </w:r>
      <w:r w:rsidRPr="004D0DAA">
        <w:tab/>
        <w:t>At this row, only a few bits are sent (not a full octet).</w:t>
      </w:r>
    </w:p>
    <w:p w14:paraId="615781EE" w14:textId="77777777" w:rsidR="00711444" w:rsidRPr="004D0DAA" w:rsidRDefault="00711444" w:rsidP="00711444">
      <w:pPr>
        <w:pStyle w:val="Heading2"/>
      </w:pPr>
      <w:bookmarkStart w:id="915" w:name="_Toc516670084"/>
      <w:r w:rsidRPr="004D0DAA">
        <w:lastRenderedPageBreak/>
        <w:t>J.3</w:t>
      </w:r>
      <w:r w:rsidRPr="004D0DAA">
        <w:tab/>
        <w:t>Retransmission in four MCS-3 RLC data blocks</w:t>
      </w:r>
      <w:bookmarkEnd w:id="915"/>
    </w:p>
    <w:p w14:paraId="752075E7" w14:textId="77777777" w:rsidR="00711444" w:rsidRPr="004D0DAA" w:rsidRDefault="00711444" w:rsidP="00711444">
      <w:pPr>
        <w:keepNext/>
      </w:pPr>
      <w:r w:rsidRPr="004D0DAA">
        <w:t>When the original RLC data block is repeated using MCS-3, the four radio blocks have the following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7A2D1A4E" w14:textId="77777777" w:rsidTr="00AA2A4C">
        <w:tblPrEx>
          <w:tblCellMar>
            <w:top w:w="0" w:type="dxa"/>
            <w:bottom w:w="0" w:type="dxa"/>
          </w:tblCellMar>
        </w:tblPrEx>
        <w:trPr>
          <w:jc w:val="center"/>
        </w:trPr>
        <w:tc>
          <w:tcPr>
            <w:tcW w:w="567" w:type="dxa"/>
            <w:tcBorders>
              <w:top w:val="nil"/>
              <w:left w:val="nil"/>
              <w:right w:val="nil"/>
            </w:tcBorders>
          </w:tcPr>
          <w:p w14:paraId="79581514"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432D8B57"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454751CF"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5C1A5DCB"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7A8D2EA7"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1543AAD1"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5FFCC800"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7F918B0D"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0D9076E0" w14:textId="77777777" w:rsidR="00711444" w:rsidRPr="004D0DAA" w:rsidRDefault="00711444" w:rsidP="00AA2A4C">
            <w:pPr>
              <w:pStyle w:val="TAC"/>
              <w:rPr>
                <w:lang w:eastAsia="en-US"/>
              </w:rPr>
            </w:pPr>
            <w:r w:rsidRPr="004D0DAA">
              <w:rPr>
                <w:lang w:eastAsia="en-US"/>
              </w:rPr>
              <w:t>Octet</w:t>
            </w:r>
          </w:p>
        </w:tc>
      </w:tr>
      <w:tr w:rsidR="00711444" w:rsidRPr="004D0DAA" w14:paraId="4A93DDCC" w14:textId="77777777" w:rsidTr="00AA2A4C">
        <w:tblPrEx>
          <w:tblCellMar>
            <w:top w:w="0" w:type="dxa"/>
            <w:bottom w:w="0" w:type="dxa"/>
          </w:tblCellMar>
        </w:tblPrEx>
        <w:trPr>
          <w:cantSplit/>
          <w:jc w:val="center"/>
        </w:trPr>
        <w:tc>
          <w:tcPr>
            <w:tcW w:w="1134" w:type="dxa"/>
            <w:gridSpan w:val="2"/>
          </w:tcPr>
          <w:p w14:paraId="2F57259D" w14:textId="77777777" w:rsidR="00711444" w:rsidRPr="004D0DAA" w:rsidRDefault="00711444" w:rsidP="00AA2A4C">
            <w:pPr>
              <w:pStyle w:val="TAC"/>
              <w:rPr>
                <w:lang w:eastAsia="en-US"/>
              </w:rPr>
            </w:pPr>
            <w:r w:rsidRPr="004D0DAA">
              <w:rPr>
                <w:lang w:eastAsia="en-US"/>
              </w:rPr>
              <w:t>TFI</w:t>
            </w:r>
          </w:p>
        </w:tc>
        <w:tc>
          <w:tcPr>
            <w:tcW w:w="2268" w:type="dxa"/>
            <w:gridSpan w:val="4"/>
          </w:tcPr>
          <w:p w14:paraId="3D4AB481" w14:textId="77777777" w:rsidR="00711444" w:rsidRPr="004D0DAA" w:rsidRDefault="00711444" w:rsidP="00AA2A4C">
            <w:pPr>
              <w:pStyle w:val="TAC"/>
              <w:rPr>
                <w:lang w:eastAsia="en-US"/>
              </w:rPr>
            </w:pPr>
            <w:r w:rsidRPr="004D0DAA">
              <w:rPr>
                <w:lang w:eastAsia="en-US"/>
              </w:rPr>
              <w:t>Countdown value</w:t>
            </w:r>
          </w:p>
        </w:tc>
        <w:tc>
          <w:tcPr>
            <w:tcW w:w="567" w:type="dxa"/>
          </w:tcPr>
          <w:p w14:paraId="75FB82BD" w14:textId="77777777" w:rsidR="00711444" w:rsidRPr="004D0DAA" w:rsidRDefault="00711444" w:rsidP="00AA2A4C">
            <w:pPr>
              <w:pStyle w:val="TAC"/>
              <w:rPr>
                <w:lang w:eastAsia="en-US"/>
              </w:rPr>
            </w:pPr>
            <w:r w:rsidRPr="004D0DAA">
              <w:rPr>
                <w:lang w:eastAsia="en-US"/>
              </w:rPr>
              <w:t>SI</w:t>
            </w:r>
          </w:p>
        </w:tc>
        <w:tc>
          <w:tcPr>
            <w:tcW w:w="567" w:type="dxa"/>
          </w:tcPr>
          <w:p w14:paraId="4CD3909C"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6B5F8590" w14:textId="77777777" w:rsidR="00711444" w:rsidRPr="004D0DAA" w:rsidRDefault="00711444" w:rsidP="00AA2A4C">
            <w:pPr>
              <w:pStyle w:val="TAC"/>
              <w:rPr>
                <w:lang w:eastAsia="en-US"/>
              </w:rPr>
            </w:pPr>
            <w:r w:rsidRPr="004D0DAA">
              <w:rPr>
                <w:lang w:eastAsia="en-US"/>
              </w:rPr>
              <w:t>1 (header)</w:t>
            </w:r>
          </w:p>
        </w:tc>
      </w:tr>
      <w:tr w:rsidR="00711444" w:rsidRPr="004D0DAA" w14:paraId="2C342475" w14:textId="77777777" w:rsidTr="00AA2A4C">
        <w:tblPrEx>
          <w:tblCellMar>
            <w:top w:w="0" w:type="dxa"/>
            <w:bottom w:w="0" w:type="dxa"/>
          </w:tblCellMar>
        </w:tblPrEx>
        <w:trPr>
          <w:cantSplit/>
          <w:jc w:val="center"/>
        </w:trPr>
        <w:tc>
          <w:tcPr>
            <w:tcW w:w="2835" w:type="dxa"/>
            <w:gridSpan w:val="5"/>
          </w:tcPr>
          <w:p w14:paraId="25B0B7F3" w14:textId="77777777" w:rsidR="00711444" w:rsidRPr="004D0DAA" w:rsidRDefault="00711444" w:rsidP="00AA2A4C">
            <w:pPr>
              <w:pStyle w:val="TAC"/>
              <w:rPr>
                <w:lang w:eastAsia="en-US"/>
              </w:rPr>
            </w:pPr>
            <w:r w:rsidRPr="004D0DAA">
              <w:rPr>
                <w:lang w:eastAsia="en-US"/>
              </w:rPr>
              <w:t>BSN 1</w:t>
            </w:r>
          </w:p>
        </w:tc>
        <w:tc>
          <w:tcPr>
            <w:tcW w:w="1701" w:type="dxa"/>
            <w:gridSpan w:val="3"/>
          </w:tcPr>
          <w:p w14:paraId="078D9AC8"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5E77924B" w14:textId="77777777" w:rsidR="00711444" w:rsidRPr="004D0DAA" w:rsidRDefault="00711444" w:rsidP="00AA2A4C">
            <w:pPr>
              <w:pStyle w:val="TAC"/>
              <w:rPr>
                <w:lang w:eastAsia="en-US"/>
              </w:rPr>
            </w:pPr>
            <w:r w:rsidRPr="004D0DAA">
              <w:rPr>
                <w:lang w:eastAsia="en-US"/>
              </w:rPr>
              <w:t>2 (header)</w:t>
            </w:r>
          </w:p>
        </w:tc>
      </w:tr>
      <w:tr w:rsidR="00711444" w:rsidRPr="004D0DAA" w14:paraId="18390744" w14:textId="77777777" w:rsidTr="00AA2A4C">
        <w:tblPrEx>
          <w:tblCellMar>
            <w:top w:w="0" w:type="dxa"/>
            <w:bottom w:w="0" w:type="dxa"/>
          </w:tblCellMar>
        </w:tblPrEx>
        <w:trPr>
          <w:cantSplit/>
          <w:jc w:val="center"/>
        </w:trPr>
        <w:tc>
          <w:tcPr>
            <w:tcW w:w="1134" w:type="dxa"/>
            <w:gridSpan w:val="2"/>
          </w:tcPr>
          <w:p w14:paraId="676774D8" w14:textId="77777777" w:rsidR="00711444" w:rsidRPr="004D0DAA" w:rsidRDefault="00711444" w:rsidP="00AA2A4C">
            <w:pPr>
              <w:pStyle w:val="TAC"/>
              <w:rPr>
                <w:lang w:eastAsia="en-US"/>
              </w:rPr>
            </w:pPr>
            <w:r w:rsidRPr="004D0DAA">
              <w:rPr>
                <w:lang w:eastAsia="en-US"/>
              </w:rPr>
              <w:t>CPS</w:t>
            </w:r>
          </w:p>
        </w:tc>
        <w:tc>
          <w:tcPr>
            <w:tcW w:w="3402" w:type="dxa"/>
            <w:gridSpan w:val="6"/>
          </w:tcPr>
          <w:p w14:paraId="06FA623B"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4E972A27" w14:textId="77777777" w:rsidR="00711444" w:rsidRPr="004D0DAA" w:rsidRDefault="00711444" w:rsidP="00AA2A4C">
            <w:pPr>
              <w:pStyle w:val="TAC"/>
              <w:rPr>
                <w:lang w:eastAsia="en-US"/>
              </w:rPr>
            </w:pPr>
            <w:r w:rsidRPr="004D0DAA">
              <w:rPr>
                <w:lang w:eastAsia="en-US"/>
              </w:rPr>
              <w:t>3 (header)</w:t>
            </w:r>
          </w:p>
        </w:tc>
      </w:tr>
      <w:tr w:rsidR="00711444" w:rsidRPr="004D0DAA" w14:paraId="3FB29BB9" w14:textId="77777777" w:rsidTr="00AA2A4C">
        <w:tblPrEx>
          <w:tblCellMar>
            <w:top w:w="0" w:type="dxa"/>
            <w:bottom w:w="0" w:type="dxa"/>
          </w:tblCellMar>
        </w:tblPrEx>
        <w:trPr>
          <w:cantSplit/>
          <w:jc w:val="center"/>
        </w:trPr>
        <w:tc>
          <w:tcPr>
            <w:tcW w:w="567" w:type="dxa"/>
          </w:tcPr>
          <w:p w14:paraId="5ED88129" w14:textId="77777777" w:rsidR="00711444" w:rsidRPr="004D0DAA" w:rsidRDefault="00711444" w:rsidP="00AA2A4C">
            <w:pPr>
              <w:pStyle w:val="TAC"/>
              <w:rPr>
                <w:lang w:eastAsia="en-US"/>
              </w:rPr>
            </w:pPr>
          </w:p>
        </w:tc>
        <w:tc>
          <w:tcPr>
            <w:tcW w:w="567" w:type="dxa"/>
          </w:tcPr>
          <w:p w14:paraId="32DFEA58" w14:textId="77777777" w:rsidR="00711444" w:rsidRPr="004D0DAA" w:rsidRDefault="00711444" w:rsidP="00AA2A4C">
            <w:pPr>
              <w:pStyle w:val="TAC"/>
              <w:rPr>
                <w:lang w:eastAsia="en-US"/>
              </w:rPr>
            </w:pPr>
            <w:r w:rsidRPr="004D0DAA">
              <w:rPr>
                <w:lang w:eastAsia="en-US"/>
              </w:rPr>
              <w:t>Spare</w:t>
            </w:r>
          </w:p>
        </w:tc>
        <w:tc>
          <w:tcPr>
            <w:tcW w:w="567" w:type="dxa"/>
          </w:tcPr>
          <w:p w14:paraId="532E13C0" w14:textId="77777777" w:rsidR="00711444" w:rsidRPr="004D0DAA" w:rsidRDefault="00711444" w:rsidP="00AA2A4C">
            <w:pPr>
              <w:pStyle w:val="TAC"/>
              <w:rPr>
                <w:lang w:eastAsia="en-US"/>
              </w:rPr>
            </w:pPr>
            <w:r w:rsidRPr="004D0DAA">
              <w:rPr>
                <w:lang w:eastAsia="en-US"/>
              </w:rPr>
              <w:t>PI</w:t>
            </w:r>
          </w:p>
        </w:tc>
        <w:tc>
          <w:tcPr>
            <w:tcW w:w="567" w:type="dxa"/>
          </w:tcPr>
          <w:p w14:paraId="29B8882A" w14:textId="77777777" w:rsidR="00711444" w:rsidRPr="004D0DAA" w:rsidRDefault="00711444" w:rsidP="00AA2A4C">
            <w:pPr>
              <w:pStyle w:val="TAC"/>
              <w:rPr>
                <w:lang w:eastAsia="en-US"/>
              </w:rPr>
            </w:pPr>
            <w:r w:rsidRPr="004D0DAA">
              <w:rPr>
                <w:lang w:eastAsia="en-US"/>
              </w:rPr>
              <w:t>RSB</w:t>
            </w:r>
          </w:p>
        </w:tc>
        <w:tc>
          <w:tcPr>
            <w:tcW w:w="1134" w:type="dxa"/>
            <w:gridSpan w:val="2"/>
          </w:tcPr>
          <w:p w14:paraId="274C7DD0" w14:textId="77777777" w:rsidR="00711444" w:rsidRPr="004D0DAA" w:rsidRDefault="00711444" w:rsidP="00AA2A4C">
            <w:pPr>
              <w:pStyle w:val="TAC"/>
              <w:rPr>
                <w:lang w:eastAsia="en-US"/>
              </w:rPr>
            </w:pPr>
            <w:r w:rsidRPr="004D0DAA">
              <w:rPr>
                <w:lang w:eastAsia="en-US"/>
              </w:rPr>
              <w:t>SPB</w:t>
            </w:r>
          </w:p>
        </w:tc>
        <w:tc>
          <w:tcPr>
            <w:tcW w:w="1134" w:type="dxa"/>
            <w:gridSpan w:val="2"/>
          </w:tcPr>
          <w:p w14:paraId="3C836423"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17A568CF" w14:textId="77777777" w:rsidR="00711444" w:rsidRPr="004D0DAA" w:rsidRDefault="00711444" w:rsidP="00AA2A4C">
            <w:pPr>
              <w:pStyle w:val="TAC"/>
              <w:rPr>
                <w:lang w:eastAsia="en-US"/>
              </w:rPr>
            </w:pPr>
            <w:r w:rsidRPr="004D0DAA">
              <w:rPr>
                <w:i/>
                <w:lang w:eastAsia="en-US"/>
              </w:rPr>
              <w:t>(See note 1 below)</w:t>
            </w:r>
          </w:p>
        </w:tc>
      </w:tr>
      <w:tr w:rsidR="00711444" w:rsidRPr="004D0DAA" w14:paraId="5A65002D" w14:textId="77777777" w:rsidTr="00AA2A4C">
        <w:tblPrEx>
          <w:tblCellMar>
            <w:top w:w="0" w:type="dxa"/>
            <w:bottom w:w="0" w:type="dxa"/>
          </w:tblCellMar>
        </w:tblPrEx>
        <w:trPr>
          <w:cantSplit/>
          <w:jc w:val="center"/>
        </w:trPr>
        <w:tc>
          <w:tcPr>
            <w:tcW w:w="4536" w:type="dxa"/>
            <w:gridSpan w:val="8"/>
            <w:tcBorders>
              <w:top w:val="single" w:sz="18" w:space="0" w:color="auto"/>
            </w:tcBorders>
          </w:tcPr>
          <w:p w14:paraId="420CEFD5"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0559A03D" w14:textId="77777777" w:rsidR="00711444" w:rsidRPr="004D0DAA" w:rsidRDefault="00711444" w:rsidP="00AA2A4C">
            <w:pPr>
              <w:pStyle w:val="TAC"/>
              <w:rPr>
                <w:lang w:eastAsia="en-US"/>
              </w:rPr>
            </w:pPr>
            <w:r w:rsidRPr="004D0DAA">
              <w:rPr>
                <w:lang w:eastAsia="en-US"/>
              </w:rPr>
              <w:t>1 (RLC data)</w:t>
            </w:r>
          </w:p>
        </w:tc>
      </w:tr>
      <w:tr w:rsidR="00711444" w:rsidRPr="004D0DAA" w14:paraId="32F220FA" w14:textId="77777777" w:rsidTr="00AA2A4C">
        <w:tblPrEx>
          <w:tblCellMar>
            <w:top w:w="0" w:type="dxa"/>
            <w:bottom w:w="0" w:type="dxa"/>
          </w:tblCellMar>
        </w:tblPrEx>
        <w:trPr>
          <w:cantSplit/>
          <w:jc w:val="center"/>
        </w:trPr>
        <w:tc>
          <w:tcPr>
            <w:tcW w:w="4536" w:type="dxa"/>
            <w:gridSpan w:val="8"/>
            <w:tcBorders>
              <w:left w:val="nil"/>
              <w:right w:val="nil"/>
            </w:tcBorders>
          </w:tcPr>
          <w:p w14:paraId="6FC4AB24"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66E67A63" w14:textId="77777777" w:rsidR="00711444" w:rsidRPr="004D0DAA" w:rsidRDefault="00711444" w:rsidP="00AA2A4C">
            <w:pPr>
              <w:pStyle w:val="TAC"/>
              <w:rPr>
                <w:lang w:eastAsia="en-US"/>
              </w:rPr>
            </w:pPr>
            <w:r w:rsidRPr="004D0DAA">
              <w:rPr>
                <w:lang w:eastAsia="en-US"/>
              </w:rPr>
              <w:t>:</w:t>
            </w:r>
          </w:p>
        </w:tc>
      </w:tr>
      <w:tr w:rsidR="00711444" w:rsidRPr="004D0DAA" w14:paraId="671C88F9" w14:textId="77777777" w:rsidTr="00AA2A4C">
        <w:tblPrEx>
          <w:tblCellMar>
            <w:top w:w="0" w:type="dxa"/>
            <w:bottom w:w="0" w:type="dxa"/>
          </w:tblCellMar>
        </w:tblPrEx>
        <w:trPr>
          <w:cantSplit/>
          <w:jc w:val="center"/>
        </w:trPr>
        <w:tc>
          <w:tcPr>
            <w:tcW w:w="4536" w:type="dxa"/>
            <w:gridSpan w:val="8"/>
          </w:tcPr>
          <w:p w14:paraId="0DE7D7B6"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124B2023" w14:textId="77777777" w:rsidR="00711444" w:rsidRPr="004D0DAA" w:rsidRDefault="00711444" w:rsidP="00AA2A4C">
            <w:pPr>
              <w:pStyle w:val="TAC"/>
              <w:rPr>
                <w:lang w:eastAsia="en-US"/>
              </w:rPr>
            </w:pPr>
            <w:r w:rsidRPr="004D0DAA">
              <w:rPr>
                <w:lang w:eastAsia="en-US"/>
              </w:rPr>
              <w:t>6 (RLC data)</w:t>
            </w:r>
          </w:p>
        </w:tc>
      </w:tr>
      <w:tr w:rsidR="00711444" w:rsidRPr="004D0DAA" w14:paraId="3FA0C055" w14:textId="77777777" w:rsidTr="00AA2A4C">
        <w:tblPrEx>
          <w:tblCellMar>
            <w:top w:w="0" w:type="dxa"/>
            <w:bottom w:w="0" w:type="dxa"/>
          </w:tblCellMar>
        </w:tblPrEx>
        <w:trPr>
          <w:jc w:val="center"/>
        </w:trPr>
        <w:tc>
          <w:tcPr>
            <w:tcW w:w="567" w:type="dxa"/>
            <w:tcBorders>
              <w:top w:val="nil"/>
              <w:left w:val="nil"/>
              <w:right w:val="nil"/>
            </w:tcBorders>
          </w:tcPr>
          <w:p w14:paraId="4CBFA361" w14:textId="77777777" w:rsidR="00711444" w:rsidRPr="004D0DAA" w:rsidRDefault="00711444" w:rsidP="00AA2A4C"/>
        </w:tc>
        <w:tc>
          <w:tcPr>
            <w:tcW w:w="567" w:type="dxa"/>
            <w:tcBorders>
              <w:top w:val="nil"/>
              <w:left w:val="nil"/>
              <w:right w:val="nil"/>
            </w:tcBorders>
          </w:tcPr>
          <w:p w14:paraId="6EEBA1CB" w14:textId="77777777" w:rsidR="00711444" w:rsidRPr="004D0DAA" w:rsidRDefault="00711444" w:rsidP="00AA2A4C"/>
        </w:tc>
        <w:tc>
          <w:tcPr>
            <w:tcW w:w="567" w:type="dxa"/>
            <w:tcBorders>
              <w:top w:val="nil"/>
              <w:left w:val="nil"/>
              <w:right w:val="nil"/>
            </w:tcBorders>
          </w:tcPr>
          <w:p w14:paraId="60AAD59E" w14:textId="77777777" w:rsidR="00711444" w:rsidRPr="004D0DAA" w:rsidRDefault="00711444" w:rsidP="00AA2A4C"/>
        </w:tc>
        <w:tc>
          <w:tcPr>
            <w:tcW w:w="567" w:type="dxa"/>
            <w:tcBorders>
              <w:top w:val="nil"/>
              <w:left w:val="nil"/>
              <w:right w:val="nil"/>
            </w:tcBorders>
          </w:tcPr>
          <w:p w14:paraId="14D1E565" w14:textId="77777777" w:rsidR="00711444" w:rsidRPr="004D0DAA" w:rsidRDefault="00711444" w:rsidP="00AA2A4C"/>
        </w:tc>
        <w:tc>
          <w:tcPr>
            <w:tcW w:w="567" w:type="dxa"/>
            <w:tcBorders>
              <w:top w:val="nil"/>
              <w:left w:val="nil"/>
              <w:right w:val="nil"/>
            </w:tcBorders>
          </w:tcPr>
          <w:p w14:paraId="535A02BF" w14:textId="77777777" w:rsidR="00711444" w:rsidRPr="004D0DAA" w:rsidRDefault="00711444" w:rsidP="00AA2A4C"/>
        </w:tc>
        <w:tc>
          <w:tcPr>
            <w:tcW w:w="567" w:type="dxa"/>
            <w:tcBorders>
              <w:top w:val="nil"/>
              <w:left w:val="nil"/>
              <w:right w:val="nil"/>
            </w:tcBorders>
          </w:tcPr>
          <w:p w14:paraId="3F2835EC" w14:textId="77777777" w:rsidR="00711444" w:rsidRPr="004D0DAA" w:rsidRDefault="00711444" w:rsidP="00AA2A4C"/>
        </w:tc>
        <w:tc>
          <w:tcPr>
            <w:tcW w:w="567" w:type="dxa"/>
            <w:tcBorders>
              <w:top w:val="single" w:sz="4" w:space="0" w:color="auto"/>
              <w:left w:val="single" w:sz="4" w:space="0" w:color="auto"/>
              <w:right w:val="single" w:sz="4" w:space="0" w:color="auto"/>
            </w:tcBorders>
          </w:tcPr>
          <w:p w14:paraId="04A98517" w14:textId="77777777" w:rsidR="00711444" w:rsidRPr="004D0DAA" w:rsidRDefault="00711444" w:rsidP="00AA2A4C">
            <w:pPr>
              <w:pStyle w:val="TAC"/>
              <w:rPr>
                <w:lang w:eastAsia="en-US"/>
              </w:rPr>
            </w:pPr>
            <w:r w:rsidRPr="004D0DAA">
              <w:rPr>
                <w:lang w:eastAsia="en-US"/>
              </w:rPr>
              <w:t>TI</w:t>
            </w:r>
          </w:p>
        </w:tc>
        <w:tc>
          <w:tcPr>
            <w:tcW w:w="567" w:type="dxa"/>
            <w:tcBorders>
              <w:top w:val="single" w:sz="4" w:space="0" w:color="auto"/>
              <w:left w:val="single" w:sz="4" w:space="0" w:color="auto"/>
              <w:right w:val="single" w:sz="4" w:space="0" w:color="auto"/>
            </w:tcBorders>
          </w:tcPr>
          <w:p w14:paraId="76637B79"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6184D308" w14:textId="77777777" w:rsidR="00711444" w:rsidRPr="004D0DAA" w:rsidRDefault="00711444" w:rsidP="00AA2A4C">
            <w:pPr>
              <w:pStyle w:val="TAC"/>
              <w:rPr>
                <w:lang w:eastAsia="en-US"/>
              </w:rPr>
            </w:pPr>
            <w:r w:rsidRPr="004D0DAA">
              <w:rPr>
                <w:i/>
                <w:lang w:eastAsia="en-US"/>
              </w:rPr>
              <w:t>(See note 1 below)</w:t>
            </w:r>
          </w:p>
        </w:tc>
      </w:tr>
      <w:tr w:rsidR="00711444" w:rsidRPr="004D0DAA" w14:paraId="53C63C9F" w14:textId="77777777" w:rsidTr="00AA2A4C">
        <w:tblPrEx>
          <w:tblCellMar>
            <w:top w:w="0" w:type="dxa"/>
            <w:bottom w:w="0" w:type="dxa"/>
          </w:tblCellMar>
        </w:tblPrEx>
        <w:trPr>
          <w:cantSplit/>
          <w:jc w:val="center"/>
        </w:trPr>
        <w:tc>
          <w:tcPr>
            <w:tcW w:w="3969" w:type="dxa"/>
            <w:gridSpan w:val="7"/>
            <w:tcBorders>
              <w:top w:val="nil"/>
            </w:tcBorders>
          </w:tcPr>
          <w:p w14:paraId="14FF6256" w14:textId="77777777" w:rsidR="00711444" w:rsidRPr="004D0DAA" w:rsidRDefault="00711444" w:rsidP="00AA2A4C">
            <w:pPr>
              <w:pStyle w:val="TAC"/>
              <w:rPr>
                <w:lang w:eastAsia="en-US"/>
              </w:rPr>
            </w:pPr>
            <w:r w:rsidRPr="004D0DAA">
              <w:rPr>
                <w:lang w:eastAsia="en-US"/>
              </w:rPr>
              <w:t>Length indicator = 40</w:t>
            </w:r>
          </w:p>
        </w:tc>
        <w:tc>
          <w:tcPr>
            <w:tcW w:w="567" w:type="dxa"/>
          </w:tcPr>
          <w:p w14:paraId="246C2E79"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653F9865" w14:textId="77777777" w:rsidR="00711444" w:rsidRPr="004D0DAA" w:rsidRDefault="00711444" w:rsidP="00AA2A4C">
            <w:pPr>
              <w:pStyle w:val="TAC"/>
              <w:rPr>
                <w:lang w:eastAsia="en-US"/>
              </w:rPr>
            </w:pPr>
            <w:r w:rsidRPr="004D0DAA">
              <w:rPr>
                <w:lang w:eastAsia="en-US"/>
              </w:rPr>
              <w:t xml:space="preserve">7 (RLC data) </w:t>
            </w:r>
          </w:p>
        </w:tc>
      </w:tr>
      <w:tr w:rsidR="00711444" w:rsidRPr="004D0DAA" w14:paraId="6260583A" w14:textId="77777777" w:rsidTr="00AA2A4C">
        <w:tblPrEx>
          <w:tblCellMar>
            <w:top w:w="0" w:type="dxa"/>
            <w:bottom w:w="0" w:type="dxa"/>
          </w:tblCellMar>
        </w:tblPrEx>
        <w:trPr>
          <w:cantSplit/>
          <w:jc w:val="center"/>
        </w:trPr>
        <w:tc>
          <w:tcPr>
            <w:tcW w:w="4536" w:type="dxa"/>
            <w:gridSpan w:val="8"/>
          </w:tcPr>
          <w:p w14:paraId="7710891C" w14:textId="77777777" w:rsidR="00711444" w:rsidRPr="004D0DAA" w:rsidRDefault="00711444" w:rsidP="00AA2A4C">
            <w:pPr>
              <w:pStyle w:val="TAC"/>
              <w:rPr>
                <w:lang w:eastAsia="en-US"/>
              </w:rPr>
            </w:pPr>
            <w:r w:rsidRPr="004D0DAA">
              <w:rPr>
                <w:lang w:eastAsia="en-US"/>
              </w:rPr>
              <w:t>LLC1 (octet 1)</w:t>
            </w:r>
          </w:p>
        </w:tc>
        <w:tc>
          <w:tcPr>
            <w:tcW w:w="1701" w:type="dxa"/>
            <w:tcBorders>
              <w:top w:val="nil"/>
              <w:bottom w:val="nil"/>
              <w:right w:val="nil"/>
            </w:tcBorders>
          </w:tcPr>
          <w:p w14:paraId="5068DFD9" w14:textId="77777777" w:rsidR="00711444" w:rsidRPr="004D0DAA" w:rsidRDefault="00711444" w:rsidP="00AA2A4C">
            <w:pPr>
              <w:pStyle w:val="TAC"/>
              <w:rPr>
                <w:lang w:eastAsia="en-US"/>
              </w:rPr>
            </w:pPr>
            <w:r w:rsidRPr="004D0DAA">
              <w:rPr>
                <w:lang w:eastAsia="en-US"/>
              </w:rPr>
              <w:t>8 (RLC data)</w:t>
            </w:r>
          </w:p>
        </w:tc>
      </w:tr>
      <w:tr w:rsidR="00711444" w:rsidRPr="004D0DAA" w14:paraId="7F920A68" w14:textId="77777777" w:rsidTr="00AA2A4C">
        <w:tblPrEx>
          <w:tblCellMar>
            <w:top w:w="0" w:type="dxa"/>
            <w:bottom w:w="0" w:type="dxa"/>
          </w:tblCellMar>
        </w:tblPrEx>
        <w:trPr>
          <w:cantSplit/>
          <w:jc w:val="center"/>
        </w:trPr>
        <w:tc>
          <w:tcPr>
            <w:tcW w:w="4536" w:type="dxa"/>
            <w:gridSpan w:val="8"/>
          </w:tcPr>
          <w:p w14:paraId="2525A574" w14:textId="77777777" w:rsidR="00711444" w:rsidRPr="004D0DAA" w:rsidRDefault="00711444" w:rsidP="00AA2A4C">
            <w:pPr>
              <w:pStyle w:val="TAC"/>
              <w:rPr>
                <w:lang w:eastAsia="en-US"/>
              </w:rPr>
            </w:pPr>
            <w:r w:rsidRPr="004D0DAA">
              <w:rPr>
                <w:lang w:eastAsia="en-US"/>
              </w:rPr>
              <w:t>LLC1 (octet 2)</w:t>
            </w:r>
          </w:p>
        </w:tc>
        <w:tc>
          <w:tcPr>
            <w:tcW w:w="1701" w:type="dxa"/>
            <w:tcBorders>
              <w:top w:val="nil"/>
              <w:bottom w:val="nil"/>
              <w:right w:val="nil"/>
            </w:tcBorders>
          </w:tcPr>
          <w:p w14:paraId="30491AB3" w14:textId="77777777" w:rsidR="00711444" w:rsidRPr="004D0DAA" w:rsidRDefault="00711444" w:rsidP="00AA2A4C">
            <w:pPr>
              <w:pStyle w:val="TAC"/>
              <w:rPr>
                <w:lang w:eastAsia="en-US"/>
              </w:rPr>
            </w:pPr>
            <w:r w:rsidRPr="004D0DAA">
              <w:rPr>
                <w:lang w:eastAsia="en-US"/>
              </w:rPr>
              <w:t>9 (RLC data)</w:t>
            </w:r>
          </w:p>
        </w:tc>
      </w:tr>
      <w:tr w:rsidR="00711444" w:rsidRPr="004D0DAA" w14:paraId="50C09E73" w14:textId="77777777" w:rsidTr="00AA2A4C">
        <w:tblPrEx>
          <w:tblCellMar>
            <w:top w:w="0" w:type="dxa"/>
            <w:bottom w:w="0" w:type="dxa"/>
          </w:tblCellMar>
        </w:tblPrEx>
        <w:trPr>
          <w:cantSplit/>
          <w:jc w:val="center"/>
        </w:trPr>
        <w:tc>
          <w:tcPr>
            <w:tcW w:w="4536" w:type="dxa"/>
            <w:gridSpan w:val="8"/>
            <w:tcBorders>
              <w:left w:val="nil"/>
              <w:right w:val="nil"/>
            </w:tcBorders>
          </w:tcPr>
          <w:p w14:paraId="20A63FA1"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24E3C31B" w14:textId="77777777" w:rsidR="00711444" w:rsidRPr="004D0DAA" w:rsidRDefault="00711444" w:rsidP="00AA2A4C">
            <w:pPr>
              <w:pStyle w:val="TAC"/>
              <w:rPr>
                <w:lang w:eastAsia="en-US"/>
              </w:rPr>
            </w:pPr>
            <w:r w:rsidRPr="004D0DAA">
              <w:rPr>
                <w:lang w:eastAsia="en-US"/>
              </w:rPr>
              <w:t>:</w:t>
            </w:r>
          </w:p>
        </w:tc>
      </w:tr>
      <w:tr w:rsidR="00711444" w:rsidRPr="004D0DAA" w14:paraId="11025921" w14:textId="77777777" w:rsidTr="00AA2A4C">
        <w:tblPrEx>
          <w:tblCellMar>
            <w:top w:w="0" w:type="dxa"/>
            <w:bottom w:w="0" w:type="dxa"/>
          </w:tblCellMar>
        </w:tblPrEx>
        <w:trPr>
          <w:cantSplit/>
          <w:jc w:val="center"/>
        </w:trPr>
        <w:tc>
          <w:tcPr>
            <w:tcW w:w="4536" w:type="dxa"/>
            <w:gridSpan w:val="8"/>
          </w:tcPr>
          <w:p w14:paraId="088B9219" w14:textId="77777777" w:rsidR="00711444" w:rsidRPr="004D0DAA" w:rsidRDefault="00711444" w:rsidP="00AA2A4C">
            <w:pPr>
              <w:pStyle w:val="TAC"/>
              <w:rPr>
                <w:lang w:eastAsia="en-US"/>
              </w:rPr>
            </w:pPr>
            <w:r w:rsidRPr="004D0DAA">
              <w:rPr>
                <w:lang w:eastAsia="en-US"/>
              </w:rPr>
              <w:t>LLC1 (octet 29)</w:t>
            </w:r>
          </w:p>
        </w:tc>
        <w:tc>
          <w:tcPr>
            <w:tcW w:w="1701" w:type="dxa"/>
            <w:tcBorders>
              <w:top w:val="nil"/>
              <w:bottom w:val="nil"/>
              <w:right w:val="nil"/>
            </w:tcBorders>
          </w:tcPr>
          <w:p w14:paraId="6D708745" w14:textId="77777777" w:rsidR="00711444" w:rsidRPr="004D0DAA" w:rsidRDefault="00711444" w:rsidP="00AA2A4C">
            <w:pPr>
              <w:pStyle w:val="TAC"/>
              <w:rPr>
                <w:lang w:eastAsia="en-US"/>
              </w:rPr>
            </w:pPr>
            <w:r w:rsidRPr="004D0DAA">
              <w:rPr>
                <w:lang w:eastAsia="en-US"/>
              </w:rPr>
              <w:t>36 (RLC data)</w:t>
            </w:r>
          </w:p>
        </w:tc>
      </w:tr>
      <w:tr w:rsidR="00711444" w:rsidRPr="004D0DAA" w14:paraId="1EC6401A" w14:textId="77777777" w:rsidTr="00AA2A4C">
        <w:tblPrEx>
          <w:tblCellMar>
            <w:top w:w="0" w:type="dxa"/>
            <w:bottom w:w="0" w:type="dxa"/>
          </w:tblCellMar>
        </w:tblPrEx>
        <w:trPr>
          <w:cantSplit/>
          <w:jc w:val="center"/>
        </w:trPr>
        <w:tc>
          <w:tcPr>
            <w:tcW w:w="4536" w:type="dxa"/>
            <w:gridSpan w:val="8"/>
          </w:tcPr>
          <w:p w14:paraId="22221298" w14:textId="77777777" w:rsidR="00711444" w:rsidRPr="004D0DAA" w:rsidRDefault="00711444" w:rsidP="00AA2A4C">
            <w:pPr>
              <w:pStyle w:val="TAC"/>
              <w:rPr>
                <w:lang w:eastAsia="en-US"/>
              </w:rPr>
            </w:pPr>
            <w:r w:rsidRPr="004D0DAA">
              <w:rPr>
                <w:lang w:eastAsia="en-US"/>
              </w:rPr>
              <w:t>LLC1 (octet 30)</w:t>
            </w:r>
          </w:p>
        </w:tc>
        <w:tc>
          <w:tcPr>
            <w:tcW w:w="1701" w:type="dxa"/>
            <w:tcBorders>
              <w:top w:val="nil"/>
              <w:bottom w:val="nil"/>
              <w:right w:val="nil"/>
            </w:tcBorders>
          </w:tcPr>
          <w:p w14:paraId="10300F43" w14:textId="77777777" w:rsidR="00711444" w:rsidRPr="004D0DAA" w:rsidRDefault="00711444" w:rsidP="00AA2A4C">
            <w:pPr>
              <w:pStyle w:val="TAC"/>
              <w:rPr>
                <w:lang w:eastAsia="en-US"/>
              </w:rPr>
            </w:pPr>
            <w:r w:rsidRPr="004D0DAA">
              <w:rPr>
                <w:lang w:eastAsia="en-US"/>
              </w:rPr>
              <w:t>37 (RLC data)</w:t>
            </w:r>
          </w:p>
        </w:tc>
      </w:tr>
    </w:tbl>
    <w:p w14:paraId="3695F937" w14:textId="77777777" w:rsidR="00711444" w:rsidRPr="004D0DAA" w:rsidRDefault="00711444" w:rsidP="007114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77A8E16F" w14:textId="77777777" w:rsidTr="00AA2A4C">
        <w:tblPrEx>
          <w:tblCellMar>
            <w:top w:w="0" w:type="dxa"/>
            <w:bottom w:w="0" w:type="dxa"/>
          </w:tblCellMar>
        </w:tblPrEx>
        <w:trPr>
          <w:jc w:val="center"/>
        </w:trPr>
        <w:tc>
          <w:tcPr>
            <w:tcW w:w="567" w:type="dxa"/>
            <w:tcBorders>
              <w:top w:val="nil"/>
              <w:left w:val="nil"/>
              <w:right w:val="nil"/>
            </w:tcBorders>
          </w:tcPr>
          <w:p w14:paraId="32868FAB"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6F42610B"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6091DF9A"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573BF37B"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31F89C09"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2986E3C1"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36DC3ED4"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3A630B14"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04ACE3B9" w14:textId="77777777" w:rsidR="00711444" w:rsidRPr="004D0DAA" w:rsidRDefault="00711444" w:rsidP="00AA2A4C">
            <w:pPr>
              <w:pStyle w:val="TAC"/>
              <w:rPr>
                <w:lang w:eastAsia="en-US"/>
              </w:rPr>
            </w:pPr>
            <w:r w:rsidRPr="004D0DAA">
              <w:rPr>
                <w:lang w:eastAsia="en-US"/>
              </w:rPr>
              <w:t>Octet</w:t>
            </w:r>
          </w:p>
        </w:tc>
      </w:tr>
      <w:tr w:rsidR="00711444" w:rsidRPr="004D0DAA" w14:paraId="65CBEFB3" w14:textId="77777777" w:rsidTr="00AA2A4C">
        <w:tblPrEx>
          <w:tblCellMar>
            <w:top w:w="0" w:type="dxa"/>
            <w:bottom w:w="0" w:type="dxa"/>
          </w:tblCellMar>
        </w:tblPrEx>
        <w:trPr>
          <w:cantSplit/>
          <w:jc w:val="center"/>
        </w:trPr>
        <w:tc>
          <w:tcPr>
            <w:tcW w:w="1134" w:type="dxa"/>
            <w:gridSpan w:val="2"/>
          </w:tcPr>
          <w:p w14:paraId="24DD4621" w14:textId="77777777" w:rsidR="00711444" w:rsidRPr="004D0DAA" w:rsidRDefault="00711444" w:rsidP="00AA2A4C">
            <w:pPr>
              <w:pStyle w:val="TAC"/>
              <w:rPr>
                <w:lang w:eastAsia="en-US"/>
              </w:rPr>
            </w:pPr>
            <w:r w:rsidRPr="004D0DAA">
              <w:rPr>
                <w:lang w:eastAsia="en-US"/>
              </w:rPr>
              <w:t>TFI</w:t>
            </w:r>
          </w:p>
        </w:tc>
        <w:tc>
          <w:tcPr>
            <w:tcW w:w="2268" w:type="dxa"/>
            <w:gridSpan w:val="4"/>
          </w:tcPr>
          <w:p w14:paraId="57D81B8E" w14:textId="77777777" w:rsidR="00711444" w:rsidRPr="004D0DAA" w:rsidRDefault="00711444" w:rsidP="00AA2A4C">
            <w:pPr>
              <w:pStyle w:val="TAC"/>
              <w:rPr>
                <w:lang w:eastAsia="en-US"/>
              </w:rPr>
            </w:pPr>
            <w:r w:rsidRPr="004D0DAA">
              <w:rPr>
                <w:lang w:eastAsia="en-US"/>
              </w:rPr>
              <w:t>Countdown value</w:t>
            </w:r>
          </w:p>
        </w:tc>
        <w:tc>
          <w:tcPr>
            <w:tcW w:w="567" w:type="dxa"/>
          </w:tcPr>
          <w:p w14:paraId="18A5FFF0" w14:textId="77777777" w:rsidR="00711444" w:rsidRPr="004D0DAA" w:rsidRDefault="00711444" w:rsidP="00AA2A4C">
            <w:pPr>
              <w:pStyle w:val="TAC"/>
              <w:rPr>
                <w:lang w:eastAsia="en-US"/>
              </w:rPr>
            </w:pPr>
            <w:r w:rsidRPr="004D0DAA">
              <w:rPr>
                <w:lang w:eastAsia="en-US"/>
              </w:rPr>
              <w:t>SI</w:t>
            </w:r>
          </w:p>
        </w:tc>
        <w:tc>
          <w:tcPr>
            <w:tcW w:w="567" w:type="dxa"/>
          </w:tcPr>
          <w:p w14:paraId="33585C80"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5FE16AD2" w14:textId="77777777" w:rsidR="00711444" w:rsidRPr="004D0DAA" w:rsidRDefault="00711444" w:rsidP="00AA2A4C">
            <w:pPr>
              <w:pStyle w:val="TAC"/>
              <w:rPr>
                <w:lang w:eastAsia="en-US"/>
              </w:rPr>
            </w:pPr>
            <w:r w:rsidRPr="004D0DAA">
              <w:rPr>
                <w:lang w:eastAsia="en-US"/>
              </w:rPr>
              <w:t>1 (header)</w:t>
            </w:r>
          </w:p>
        </w:tc>
      </w:tr>
      <w:tr w:rsidR="00711444" w:rsidRPr="004D0DAA" w14:paraId="71EB5C6D" w14:textId="77777777" w:rsidTr="00AA2A4C">
        <w:tblPrEx>
          <w:tblCellMar>
            <w:top w:w="0" w:type="dxa"/>
            <w:bottom w:w="0" w:type="dxa"/>
          </w:tblCellMar>
        </w:tblPrEx>
        <w:trPr>
          <w:cantSplit/>
          <w:jc w:val="center"/>
        </w:trPr>
        <w:tc>
          <w:tcPr>
            <w:tcW w:w="2835" w:type="dxa"/>
            <w:gridSpan w:val="5"/>
          </w:tcPr>
          <w:p w14:paraId="5BB79811" w14:textId="77777777" w:rsidR="00711444" w:rsidRPr="004D0DAA" w:rsidRDefault="00711444" w:rsidP="00AA2A4C">
            <w:pPr>
              <w:pStyle w:val="TAC"/>
              <w:rPr>
                <w:lang w:eastAsia="en-US"/>
              </w:rPr>
            </w:pPr>
            <w:r w:rsidRPr="004D0DAA">
              <w:rPr>
                <w:lang w:eastAsia="en-US"/>
              </w:rPr>
              <w:t>BSN 1</w:t>
            </w:r>
          </w:p>
        </w:tc>
        <w:tc>
          <w:tcPr>
            <w:tcW w:w="1701" w:type="dxa"/>
            <w:gridSpan w:val="3"/>
          </w:tcPr>
          <w:p w14:paraId="2D51AF8D"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31C872DD" w14:textId="77777777" w:rsidR="00711444" w:rsidRPr="004D0DAA" w:rsidRDefault="00711444" w:rsidP="00AA2A4C">
            <w:pPr>
              <w:pStyle w:val="TAC"/>
              <w:rPr>
                <w:lang w:eastAsia="en-US"/>
              </w:rPr>
            </w:pPr>
            <w:r w:rsidRPr="004D0DAA">
              <w:rPr>
                <w:lang w:eastAsia="en-US"/>
              </w:rPr>
              <w:t>2 (header)</w:t>
            </w:r>
          </w:p>
        </w:tc>
      </w:tr>
      <w:tr w:rsidR="00711444" w:rsidRPr="004D0DAA" w14:paraId="0ECA0E6F" w14:textId="77777777" w:rsidTr="00AA2A4C">
        <w:tblPrEx>
          <w:tblCellMar>
            <w:top w:w="0" w:type="dxa"/>
            <w:bottom w:w="0" w:type="dxa"/>
          </w:tblCellMar>
        </w:tblPrEx>
        <w:trPr>
          <w:cantSplit/>
          <w:jc w:val="center"/>
        </w:trPr>
        <w:tc>
          <w:tcPr>
            <w:tcW w:w="1134" w:type="dxa"/>
            <w:gridSpan w:val="2"/>
          </w:tcPr>
          <w:p w14:paraId="6D45C120" w14:textId="77777777" w:rsidR="00711444" w:rsidRPr="004D0DAA" w:rsidRDefault="00711444" w:rsidP="00AA2A4C">
            <w:pPr>
              <w:pStyle w:val="TAC"/>
              <w:rPr>
                <w:lang w:eastAsia="en-US"/>
              </w:rPr>
            </w:pPr>
            <w:r w:rsidRPr="004D0DAA">
              <w:rPr>
                <w:lang w:eastAsia="en-US"/>
              </w:rPr>
              <w:t>CPS</w:t>
            </w:r>
          </w:p>
        </w:tc>
        <w:tc>
          <w:tcPr>
            <w:tcW w:w="3402" w:type="dxa"/>
            <w:gridSpan w:val="6"/>
          </w:tcPr>
          <w:p w14:paraId="280EC876"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5A2D16A1" w14:textId="77777777" w:rsidR="00711444" w:rsidRPr="004D0DAA" w:rsidRDefault="00711444" w:rsidP="00AA2A4C">
            <w:pPr>
              <w:pStyle w:val="TAC"/>
              <w:rPr>
                <w:lang w:eastAsia="en-US"/>
              </w:rPr>
            </w:pPr>
            <w:r w:rsidRPr="004D0DAA">
              <w:rPr>
                <w:lang w:eastAsia="en-US"/>
              </w:rPr>
              <w:t>3 (header)</w:t>
            </w:r>
          </w:p>
        </w:tc>
      </w:tr>
      <w:tr w:rsidR="00711444" w:rsidRPr="004D0DAA" w14:paraId="38D79FB0" w14:textId="77777777" w:rsidTr="00AA2A4C">
        <w:tblPrEx>
          <w:tblCellMar>
            <w:top w:w="0" w:type="dxa"/>
            <w:bottom w:w="0" w:type="dxa"/>
          </w:tblCellMar>
        </w:tblPrEx>
        <w:trPr>
          <w:cantSplit/>
          <w:jc w:val="center"/>
        </w:trPr>
        <w:tc>
          <w:tcPr>
            <w:tcW w:w="567" w:type="dxa"/>
          </w:tcPr>
          <w:p w14:paraId="78987A09" w14:textId="77777777" w:rsidR="00711444" w:rsidRPr="004D0DAA" w:rsidRDefault="00711444" w:rsidP="00AA2A4C">
            <w:pPr>
              <w:pStyle w:val="TAC"/>
              <w:rPr>
                <w:lang w:eastAsia="en-US"/>
              </w:rPr>
            </w:pPr>
          </w:p>
        </w:tc>
        <w:tc>
          <w:tcPr>
            <w:tcW w:w="567" w:type="dxa"/>
          </w:tcPr>
          <w:p w14:paraId="0C8E9093" w14:textId="77777777" w:rsidR="00711444" w:rsidRPr="004D0DAA" w:rsidRDefault="00711444" w:rsidP="00AA2A4C">
            <w:pPr>
              <w:pStyle w:val="TAC"/>
              <w:rPr>
                <w:lang w:eastAsia="en-US"/>
              </w:rPr>
            </w:pPr>
            <w:r w:rsidRPr="004D0DAA">
              <w:rPr>
                <w:lang w:eastAsia="en-US"/>
              </w:rPr>
              <w:t>Spare</w:t>
            </w:r>
          </w:p>
        </w:tc>
        <w:tc>
          <w:tcPr>
            <w:tcW w:w="567" w:type="dxa"/>
          </w:tcPr>
          <w:p w14:paraId="544D210E" w14:textId="77777777" w:rsidR="00711444" w:rsidRPr="004D0DAA" w:rsidRDefault="00711444" w:rsidP="00AA2A4C">
            <w:pPr>
              <w:pStyle w:val="TAC"/>
              <w:rPr>
                <w:lang w:eastAsia="en-US"/>
              </w:rPr>
            </w:pPr>
            <w:r w:rsidRPr="004D0DAA">
              <w:rPr>
                <w:lang w:eastAsia="en-US"/>
              </w:rPr>
              <w:t>PI</w:t>
            </w:r>
          </w:p>
        </w:tc>
        <w:tc>
          <w:tcPr>
            <w:tcW w:w="567" w:type="dxa"/>
          </w:tcPr>
          <w:p w14:paraId="2DFA0522" w14:textId="77777777" w:rsidR="00711444" w:rsidRPr="004D0DAA" w:rsidRDefault="00711444" w:rsidP="00AA2A4C">
            <w:pPr>
              <w:pStyle w:val="TAC"/>
              <w:rPr>
                <w:lang w:eastAsia="en-US"/>
              </w:rPr>
            </w:pPr>
            <w:r w:rsidRPr="004D0DAA">
              <w:rPr>
                <w:lang w:eastAsia="en-US"/>
              </w:rPr>
              <w:t>RSB</w:t>
            </w:r>
          </w:p>
        </w:tc>
        <w:tc>
          <w:tcPr>
            <w:tcW w:w="1134" w:type="dxa"/>
            <w:gridSpan w:val="2"/>
          </w:tcPr>
          <w:p w14:paraId="6BA3A42B" w14:textId="77777777" w:rsidR="00711444" w:rsidRPr="004D0DAA" w:rsidRDefault="00711444" w:rsidP="00AA2A4C">
            <w:pPr>
              <w:pStyle w:val="TAC"/>
              <w:rPr>
                <w:lang w:eastAsia="en-US"/>
              </w:rPr>
            </w:pPr>
            <w:r w:rsidRPr="004D0DAA">
              <w:rPr>
                <w:lang w:eastAsia="en-US"/>
              </w:rPr>
              <w:t>SPB</w:t>
            </w:r>
          </w:p>
        </w:tc>
        <w:tc>
          <w:tcPr>
            <w:tcW w:w="1134" w:type="dxa"/>
            <w:gridSpan w:val="2"/>
          </w:tcPr>
          <w:p w14:paraId="7FDDF603"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0133BC9E" w14:textId="77777777" w:rsidR="00711444" w:rsidRPr="004D0DAA" w:rsidRDefault="00711444" w:rsidP="00AA2A4C">
            <w:pPr>
              <w:pStyle w:val="TAC"/>
              <w:rPr>
                <w:lang w:eastAsia="en-US"/>
              </w:rPr>
            </w:pPr>
            <w:r w:rsidRPr="004D0DAA">
              <w:rPr>
                <w:i/>
                <w:lang w:eastAsia="en-US"/>
              </w:rPr>
              <w:t>(See note 1 below)</w:t>
            </w:r>
          </w:p>
        </w:tc>
      </w:tr>
      <w:tr w:rsidR="00711444" w:rsidRPr="004D0DAA" w14:paraId="4E02991A" w14:textId="77777777" w:rsidTr="00AA2A4C">
        <w:tblPrEx>
          <w:tblCellMar>
            <w:top w:w="0" w:type="dxa"/>
            <w:bottom w:w="0" w:type="dxa"/>
          </w:tblCellMar>
        </w:tblPrEx>
        <w:trPr>
          <w:jc w:val="center"/>
        </w:trPr>
        <w:tc>
          <w:tcPr>
            <w:tcW w:w="567" w:type="dxa"/>
            <w:tcBorders>
              <w:top w:val="nil"/>
              <w:left w:val="nil"/>
              <w:right w:val="nil"/>
            </w:tcBorders>
          </w:tcPr>
          <w:p w14:paraId="4315F5CF" w14:textId="77777777" w:rsidR="00711444" w:rsidRPr="004D0DAA" w:rsidRDefault="00711444" w:rsidP="00AA2A4C"/>
        </w:tc>
        <w:tc>
          <w:tcPr>
            <w:tcW w:w="567" w:type="dxa"/>
            <w:tcBorders>
              <w:top w:val="single" w:sz="18" w:space="0" w:color="auto"/>
              <w:left w:val="nil"/>
              <w:right w:val="nil"/>
            </w:tcBorders>
          </w:tcPr>
          <w:p w14:paraId="3C83E775" w14:textId="77777777" w:rsidR="00711444" w:rsidRPr="004D0DAA" w:rsidRDefault="00711444" w:rsidP="00AA2A4C"/>
        </w:tc>
        <w:tc>
          <w:tcPr>
            <w:tcW w:w="567" w:type="dxa"/>
            <w:tcBorders>
              <w:top w:val="single" w:sz="18" w:space="0" w:color="auto"/>
              <w:left w:val="nil"/>
              <w:right w:val="nil"/>
            </w:tcBorders>
          </w:tcPr>
          <w:p w14:paraId="2B534481" w14:textId="77777777" w:rsidR="00711444" w:rsidRPr="004D0DAA" w:rsidRDefault="00711444" w:rsidP="00AA2A4C"/>
        </w:tc>
        <w:tc>
          <w:tcPr>
            <w:tcW w:w="567" w:type="dxa"/>
            <w:tcBorders>
              <w:top w:val="single" w:sz="18" w:space="0" w:color="auto"/>
              <w:left w:val="nil"/>
              <w:right w:val="nil"/>
            </w:tcBorders>
          </w:tcPr>
          <w:p w14:paraId="3477C9E7" w14:textId="77777777" w:rsidR="00711444" w:rsidRPr="004D0DAA" w:rsidRDefault="00711444" w:rsidP="00AA2A4C"/>
        </w:tc>
        <w:tc>
          <w:tcPr>
            <w:tcW w:w="567" w:type="dxa"/>
            <w:tcBorders>
              <w:top w:val="single" w:sz="18" w:space="0" w:color="auto"/>
              <w:left w:val="nil"/>
              <w:right w:val="nil"/>
            </w:tcBorders>
          </w:tcPr>
          <w:p w14:paraId="72896FDE" w14:textId="77777777" w:rsidR="00711444" w:rsidRPr="004D0DAA" w:rsidRDefault="00711444" w:rsidP="00AA2A4C"/>
        </w:tc>
        <w:tc>
          <w:tcPr>
            <w:tcW w:w="567" w:type="dxa"/>
            <w:tcBorders>
              <w:top w:val="single" w:sz="18" w:space="0" w:color="auto"/>
              <w:left w:val="nil"/>
            </w:tcBorders>
          </w:tcPr>
          <w:p w14:paraId="1D958665" w14:textId="77777777" w:rsidR="00711444" w:rsidRPr="004D0DAA" w:rsidRDefault="00711444" w:rsidP="00AA2A4C"/>
        </w:tc>
        <w:tc>
          <w:tcPr>
            <w:tcW w:w="567" w:type="dxa"/>
            <w:tcBorders>
              <w:top w:val="single" w:sz="18" w:space="0" w:color="auto"/>
            </w:tcBorders>
          </w:tcPr>
          <w:p w14:paraId="0C519627" w14:textId="77777777" w:rsidR="00711444" w:rsidRPr="004D0DAA" w:rsidRDefault="00711444" w:rsidP="00AA2A4C">
            <w:pPr>
              <w:pStyle w:val="TAC"/>
              <w:rPr>
                <w:lang w:eastAsia="en-US"/>
              </w:rPr>
            </w:pPr>
            <w:r w:rsidRPr="004D0DAA">
              <w:rPr>
                <w:lang w:eastAsia="en-US"/>
              </w:rPr>
              <w:t>TI</w:t>
            </w:r>
          </w:p>
        </w:tc>
        <w:tc>
          <w:tcPr>
            <w:tcW w:w="567" w:type="dxa"/>
            <w:tcBorders>
              <w:top w:val="single" w:sz="18" w:space="0" w:color="auto"/>
            </w:tcBorders>
          </w:tcPr>
          <w:p w14:paraId="30FA1842"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05815766" w14:textId="77777777" w:rsidR="00711444" w:rsidRPr="004D0DAA" w:rsidRDefault="00711444" w:rsidP="00AA2A4C">
            <w:pPr>
              <w:pStyle w:val="TAC"/>
              <w:rPr>
                <w:lang w:eastAsia="en-US"/>
              </w:rPr>
            </w:pPr>
            <w:r w:rsidRPr="004D0DAA">
              <w:rPr>
                <w:i/>
                <w:lang w:eastAsia="en-US"/>
              </w:rPr>
              <w:t>(See note 2 below)</w:t>
            </w:r>
          </w:p>
        </w:tc>
      </w:tr>
      <w:tr w:rsidR="00711444" w:rsidRPr="004D0DAA" w14:paraId="6CF70583" w14:textId="77777777" w:rsidTr="00AA2A4C">
        <w:tblPrEx>
          <w:tblCellMar>
            <w:top w:w="0" w:type="dxa"/>
            <w:bottom w:w="0" w:type="dxa"/>
          </w:tblCellMar>
        </w:tblPrEx>
        <w:trPr>
          <w:cantSplit/>
          <w:jc w:val="center"/>
        </w:trPr>
        <w:tc>
          <w:tcPr>
            <w:tcW w:w="4536" w:type="dxa"/>
            <w:gridSpan w:val="8"/>
          </w:tcPr>
          <w:p w14:paraId="54B86B5C" w14:textId="77777777" w:rsidR="00711444" w:rsidRPr="004D0DAA" w:rsidRDefault="00711444" w:rsidP="00AA2A4C">
            <w:pPr>
              <w:pStyle w:val="TAC"/>
              <w:rPr>
                <w:lang w:eastAsia="en-US"/>
              </w:rPr>
            </w:pPr>
            <w:r w:rsidRPr="004D0DAA">
              <w:rPr>
                <w:lang w:eastAsia="en-US"/>
              </w:rPr>
              <w:t>LLC1 (octet 31)</w:t>
            </w:r>
          </w:p>
        </w:tc>
        <w:tc>
          <w:tcPr>
            <w:tcW w:w="1701" w:type="dxa"/>
            <w:tcBorders>
              <w:top w:val="nil"/>
              <w:bottom w:val="nil"/>
              <w:right w:val="nil"/>
            </w:tcBorders>
          </w:tcPr>
          <w:p w14:paraId="41FB9E5C" w14:textId="77777777" w:rsidR="00711444" w:rsidRPr="004D0DAA" w:rsidRDefault="00711444" w:rsidP="00AA2A4C">
            <w:pPr>
              <w:pStyle w:val="TAC"/>
              <w:rPr>
                <w:lang w:eastAsia="en-US"/>
              </w:rPr>
            </w:pPr>
            <w:r w:rsidRPr="004D0DAA">
              <w:rPr>
                <w:lang w:eastAsia="en-US"/>
              </w:rPr>
              <w:t>1 (RLC data)</w:t>
            </w:r>
          </w:p>
        </w:tc>
      </w:tr>
      <w:tr w:rsidR="00711444" w:rsidRPr="004D0DAA" w14:paraId="178E17C6" w14:textId="77777777" w:rsidTr="00AA2A4C">
        <w:tblPrEx>
          <w:tblCellMar>
            <w:top w:w="0" w:type="dxa"/>
            <w:bottom w:w="0" w:type="dxa"/>
          </w:tblCellMar>
        </w:tblPrEx>
        <w:trPr>
          <w:cantSplit/>
          <w:jc w:val="center"/>
        </w:trPr>
        <w:tc>
          <w:tcPr>
            <w:tcW w:w="4536" w:type="dxa"/>
            <w:gridSpan w:val="8"/>
          </w:tcPr>
          <w:p w14:paraId="5B9B677A" w14:textId="77777777" w:rsidR="00711444" w:rsidRPr="004D0DAA" w:rsidRDefault="00711444" w:rsidP="00AA2A4C">
            <w:pPr>
              <w:pStyle w:val="TAC"/>
              <w:rPr>
                <w:lang w:eastAsia="en-US"/>
              </w:rPr>
            </w:pPr>
            <w:r w:rsidRPr="004D0DAA">
              <w:rPr>
                <w:lang w:eastAsia="en-US"/>
              </w:rPr>
              <w:t>LLC1 (octet 32)</w:t>
            </w:r>
          </w:p>
        </w:tc>
        <w:tc>
          <w:tcPr>
            <w:tcW w:w="1701" w:type="dxa"/>
            <w:tcBorders>
              <w:top w:val="nil"/>
              <w:bottom w:val="nil"/>
              <w:right w:val="nil"/>
            </w:tcBorders>
          </w:tcPr>
          <w:p w14:paraId="73DD9AF1" w14:textId="77777777" w:rsidR="00711444" w:rsidRPr="004D0DAA" w:rsidRDefault="00711444" w:rsidP="00AA2A4C">
            <w:pPr>
              <w:pStyle w:val="TAC"/>
              <w:rPr>
                <w:lang w:eastAsia="en-US"/>
              </w:rPr>
            </w:pPr>
            <w:r w:rsidRPr="004D0DAA">
              <w:rPr>
                <w:lang w:eastAsia="en-US"/>
              </w:rPr>
              <w:t>2 (RLC data)</w:t>
            </w:r>
          </w:p>
        </w:tc>
      </w:tr>
      <w:tr w:rsidR="00711444" w:rsidRPr="004D0DAA" w14:paraId="0DC7ABDA" w14:textId="77777777" w:rsidTr="00AA2A4C">
        <w:tblPrEx>
          <w:tblCellMar>
            <w:top w:w="0" w:type="dxa"/>
            <w:bottom w:w="0" w:type="dxa"/>
          </w:tblCellMar>
        </w:tblPrEx>
        <w:trPr>
          <w:cantSplit/>
          <w:jc w:val="center"/>
        </w:trPr>
        <w:tc>
          <w:tcPr>
            <w:tcW w:w="4536" w:type="dxa"/>
            <w:gridSpan w:val="8"/>
            <w:tcBorders>
              <w:left w:val="nil"/>
              <w:right w:val="nil"/>
            </w:tcBorders>
          </w:tcPr>
          <w:p w14:paraId="4132C319"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53736A73" w14:textId="77777777" w:rsidR="00711444" w:rsidRPr="004D0DAA" w:rsidRDefault="00711444" w:rsidP="00AA2A4C">
            <w:pPr>
              <w:pStyle w:val="TAC"/>
              <w:rPr>
                <w:lang w:eastAsia="en-US"/>
              </w:rPr>
            </w:pPr>
            <w:r w:rsidRPr="004D0DAA">
              <w:rPr>
                <w:lang w:eastAsia="en-US"/>
              </w:rPr>
              <w:t>:</w:t>
            </w:r>
          </w:p>
        </w:tc>
      </w:tr>
      <w:tr w:rsidR="00711444" w:rsidRPr="004D0DAA" w14:paraId="633D386E" w14:textId="77777777" w:rsidTr="00AA2A4C">
        <w:tblPrEx>
          <w:tblCellMar>
            <w:top w:w="0" w:type="dxa"/>
            <w:bottom w:w="0" w:type="dxa"/>
          </w:tblCellMar>
        </w:tblPrEx>
        <w:trPr>
          <w:cantSplit/>
          <w:jc w:val="center"/>
        </w:trPr>
        <w:tc>
          <w:tcPr>
            <w:tcW w:w="4536" w:type="dxa"/>
            <w:gridSpan w:val="8"/>
          </w:tcPr>
          <w:p w14:paraId="40187727" w14:textId="77777777" w:rsidR="00711444" w:rsidRPr="004D0DAA" w:rsidRDefault="00711444" w:rsidP="00AA2A4C">
            <w:pPr>
              <w:pStyle w:val="TAC"/>
              <w:rPr>
                <w:lang w:eastAsia="en-US"/>
              </w:rPr>
            </w:pPr>
            <w:r w:rsidRPr="004D0DAA">
              <w:rPr>
                <w:lang w:eastAsia="en-US"/>
              </w:rPr>
              <w:t>LLC1 (octet 39)</w:t>
            </w:r>
          </w:p>
        </w:tc>
        <w:tc>
          <w:tcPr>
            <w:tcW w:w="1701" w:type="dxa"/>
            <w:tcBorders>
              <w:top w:val="nil"/>
              <w:bottom w:val="nil"/>
              <w:right w:val="nil"/>
            </w:tcBorders>
          </w:tcPr>
          <w:p w14:paraId="059FEC69" w14:textId="77777777" w:rsidR="00711444" w:rsidRPr="004D0DAA" w:rsidRDefault="00711444" w:rsidP="00AA2A4C">
            <w:pPr>
              <w:pStyle w:val="TAC"/>
              <w:rPr>
                <w:lang w:eastAsia="en-US"/>
              </w:rPr>
            </w:pPr>
            <w:r w:rsidRPr="004D0DAA">
              <w:rPr>
                <w:lang w:eastAsia="en-US"/>
              </w:rPr>
              <w:t>9 (RLC data)</w:t>
            </w:r>
          </w:p>
        </w:tc>
      </w:tr>
      <w:tr w:rsidR="00711444" w:rsidRPr="004D0DAA" w14:paraId="2C79E061" w14:textId="77777777" w:rsidTr="00AA2A4C">
        <w:tblPrEx>
          <w:tblCellMar>
            <w:top w:w="0" w:type="dxa"/>
            <w:bottom w:w="0" w:type="dxa"/>
          </w:tblCellMar>
        </w:tblPrEx>
        <w:trPr>
          <w:cantSplit/>
          <w:jc w:val="center"/>
        </w:trPr>
        <w:tc>
          <w:tcPr>
            <w:tcW w:w="4536" w:type="dxa"/>
            <w:gridSpan w:val="8"/>
          </w:tcPr>
          <w:p w14:paraId="3EAACE52" w14:textId="77777777" w:rsidR="00711444" w:rsidRPr="004D0DAA" w:rsidRDefault="00711444" w:rsidP="00AA2A4C">
            <w:pPr>
              <w:pStyle w:val="TAC"/>
              <w:rPr>
                <w:lang w:eastAsia="en-US"/>
              </w:rPr>
            </w:pPr>
            <w:r w:rsidRPr="004D0DAA">
              <w:rPr>
                <w:lang w:eastAsia="en-US"/>
              </w:rPr>
              <w:t>LLC1 (octet 40)</w:t>
            </w:r>
          </w:p>
        </w:tc>
        <w:tc>
          <w:tcPr>
            <w:tcW w:w="1701" w:type="dxa"/>
            <w:tcBorders>
              <w:top w:val="nil"/>
              <w:bottom w:val="nil"/>
              <w:right w:val="nil"/>
            </w:tcBorders>
          </w:tcPr>
          <w:p w14:paraId="39B9EB05" w14:textId="77777777" w:rsidR="00711444" w:rsidRPr="004D0DAA" w:rsidRDefault="00711444" w:rsidP="00AA2A4C">
            <w:pPr>
              <w:pStyle w:val="TAC"/>
              <w:rPr>
                <w:lang w:eastAsia="en-US"/>
              </w:rPr>
            </w:pPr>
            <w:r w:rsidRPr="004D0DAA">
              <w:rPr>
                <w:lang w:eastAsia="en-US"/>
              </w:rPr>
              <w:t>10 (RLC data)</w:t>
            </w:r>
          </w:p>
        </w:tc>
      </w:tr>
      <w:tr w:rsidR="00711444" w:rsidRPr="004D0DAA" w14:paraId="24B4D530" w14:textId="77777777" w:rsidTr="00AA2A4C">
        <w:tblPrEx>
          <w:tblCellMar>
            <w:top w:w="0" w:type="dxa"/>
            <w:bottom w:w="0" w:type="dxa"/>
          </w:tblCellMar>
        </w:tblPrEx>
        <w:trPr>
          <w:cantSplit/>
          <w:jc w:val="center"/>
        </w:trPr>
        <w:tc>
          <w:tcPr>
            <w:tcW w:w="4536" w:type="dxa"/>
            <w:gridSpan w:val="8"/>
          </w:tcPr>
          <w:p w14:paraId="5AA1C09A" w14:textId="77777777" w:rsidR="00711444" w:rsidRPr="004D0DAA" w:rsidRDefault="00711444" w:rsidP="00AA2A4C">
            <w:pPr>
              <w:pStyle w:val="TAC"/>
              <w:rPr>
                <w:lang w:eastAsia="en-US"/>
              </w:rPr>
            </w:pPr>
            <w:r w:rsidRPr="004D0DAA">
              <w:rPr>
                <w:lang w:eastAsia="en-US"/>
              </w:rPr>
              <w:t>LLC2 (octet 1)</w:t>
            </w:r>
          </w:p>
        </w:tc>
        <w:tc>
          <w:tcPr>
            <w:tcW w:w="1701" w:type="dxa"/>
            <w:tcBorders>
              <w:top w:val="nil"/>
              <w:bottom w:val="nil"/>
              <w:right w:val="nil"/>
            </w:tcBorders>
          </w:tcPr>
          <w:p w14:paraId="0A66CC35" w14:textId="77777777" w:rsidR="00711444" w:rsidRPr="004D0DAA" w:rsidRDefault="00711444" w:rsidP="00AA2A4C">
            <w:pPr>
              <w:pStyle w:val="TAC"/>
              <w:rPr>
                <w:lang w:eastAsia="en-US"/>
              </w:rPr>
            </w:pPr>
            <w:r w:rsidRPr="004D0DAA">
              <w:rPr>
                <w:lang w:eastAsia="en-US"/>
              </w:rPr>
              <w:t>11 (RLC data)</w:t>
            </w:r>
          </w:p>
        </w:tc>
      </w:tr>
      <w:tr w:rsidR="00711444" w:rsidRPr="004D0DAA" w14:paraId="66C99E9B" w14:textId="77777777" w:rsidTr="00AA2A4C">
        <w:tblPrEx>
          <w:tblCellMar>
            <w:top w:w="0" w:type="dxa"/>
            <w:bottom w:w="0" w:type="dxa"/>
          </w:tblCellMar>
        </w:tblPrEx>
        <w:trPr>
          <w:cantSplit/>
          <w:jc w:val="center"/>
        </w:trPr>
        <w:tc>
          <w:tcPr>
            <w:tcW w:w="4536" w:type="dxa"/>
            <w:gridSpan w:val="8"/>
          </w:tcPr>
          <w:p w14:paraId="4863544D" w14:textId="77777777" w:rsidR="00711444" w:rsidRPr="004D0DAA" w:rsidRDefault="00711444" w:rsidP="00AA2A4C">
            <w:pPr>
              <w:pStyle w:val="TAC"/>
              <w:rPr>
                <w:lang w:eastAsia="en-US"/>
              </w:rPr>
            </w:pPr>
            <w:r w:rsidRPr="004D0DAA">
              <w:rPr>
                <w:lang w:eastAsia="en-US"/>
              </w:rPr>
              <w:t>LLC2 (octet 2)</w:t>
            </w:r>
          </w:p>
        </w:tc>
        <w:tc>
          <w:tcPr>
            <w:tcW w:w="1701" w:type="dxa"/>
            <w:tcBorders>
              <w:top w:val="nil"/>
              <w:bottom w:val="nil"/>
              <w:right w:val="nil"/>
            </w:tcBorders>
          </w:tcPr>
          <w:p w14:paraId="25A5DADA" w14:textId="77777777" w:rsidR="00711444" w:rsidRPr="004D0DAA" w:rsidRDefault="00711444" w:rsidP="00AA2A4C">
            <w:pPr>
              <w:pStyle w:val="TAC"/>
              <w:rPr>
                <w:lang w:eastAsia="en-US"/>
              </w:rPr>
            </w:pPr>
            <w:r w:rsidRPr="004D0DAA">
              <w:rPr>
                <w:lang w:eastAsia="en-US"/>
              </w:rPr>
              <w:t>12 (RLC data)</w:t>
            </w:r>
          </w:p>
        </w:tc>
      </w:tr>
      <w:tr w:rsidR="00711444" w:rsidRPr="004D0DAA" w14:paraId="0459B4AE" w14:textId="77777777" w:rsidTr="00AA2A4C">
        <w:tblPrEx>
          <w:tblCellMar>
            <w:top w:w="0" w:type="dxa"/>
            <w:bottom w:w="0" w:type="dxa"/>
          </w:tblCellMar>
        </w:tblPrEx>
        <w:trPr>
          <w:cantSplit/>
          <w:jc w:val="center"/>
        </w:trPr>
        <w:tc>
          <w:tcPr>
            <w:tcW w:w="4536" w:type="dxa"/>
            <w:gridSpan w:val="8"/>
            <w:tcBorders>
              <w:left w:val="nil"/>
              <w:right w:val="nil"/>
            </w:tcBorders>
          </w:tcPr>
          <w:p w14:paraId="5FD6901A"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45630F96" w14:textId="77777777" w:rsidR="00711444" w:rsidRPr="004D0DAA" w:rsidRDefault="00711444" w:rsidP="00AA2A4C">
            <w:pPr>
              <w:pStyle w:val="TAC"/>
              <w:rPr>
                <w:lang w:eastAsia="en-US"/>
              </w:rPr>
            </w:pPr>
            <w:r w:rsidRPr="004D0DAA">
              <w:rPr>
                <w:lang w:eastAsia="en-US"/>
              </w:rPr>
              <w:t>:</w:t>
            </w:r>
          </w:p>
        </w:tc>
      </w:tr>
      <w:tr w:rsidR="00711444" w:rsidRPr="004D0DAA" w14:paraId="217D85C6" w14:textId="77777777" w:rsidTr="00AA2A4C">
        <w:tblPrEx>
          <w:tblCellMar>
            <w:top w:w="0" w:type="dxa"/>
            <w:bottom w:w="0" w:type="dxa"/>
          </w:tblCellMar>
        </w:tblPrEx>
        <w:trPr>
          <w:cantSplit/>
          <w:jc w:val="center"/>
        </w:trPr>
        <w:tc>
          <w:tcPr>
            <w:tcW w:w="4536" w:type="dxa"/>
            <w:gridSpan w:val="8"/>
            <w:tcBorders>
              <w:bottom w:val="nil"/>
            </w:tcBorders>
          </w:tcPr>
          <w:p w14:paraId="007519C2" w14:textId="77777777" w:rsidR="00711444" w:rsidRPr="004D0DAA" w:rsidRDefault="00711444" w:rsidP="00AA2A4C">
            <w:pPr>
              <w:pStyle w:val="TAC"/>
              <w:rPr>
                <w:lang w:eastAsia="en-US"/>
              </w:rPr>
            </w:pPr>
            <w:r w:rsidRPr="004D0DAA">
              <w:rPr>
                <w:lang w:eastAsia="en-US"/>
              </w:rPr>
              <w:t>LLC2 (octet 26)</w:t>
            </w:r>
          </w:p>
        </w:tc>
        <w:tc>
          <w:tcPr>
            <w:tcW w:w="1701" w:type="dxa"/>
            <w:tcBorders>
              <w:top w:val="nil"/>
              <w:bottom w:val="nil"/>
              <w:right w:val="nil"/>
            </w:tcBorders>
          </w:tcPr>
          <w:p w14:paraId="2769D0D7" w14:textId="77777777" w:rsidR="00711444" w:rsidRPr="004D0DAA" w:rsidRDefault="00711444" w:rsidP="00AA2A4C">
            <w:pPr>
              <w:pStyle w:val="TAC"/>
              <w:rPr>
                <w:lang w:eastAsia="en-US"/>
              </w:rPr>
            </w:pPr>
            <w:r w:rsidRPr="004D0DAA">
              <w:rPr>
                <w:lang w:eastAsia="en-US"/>
              </w:rPr>
              <w:t>36 (RLC data)</w:t>
            </w:r>
          </w:p>
        </w:tc>
      </w:tr>
      <w:tr w:rsidR="00711444" w:rsidRPr="004D0DAA" w14:paraId="3DBF2757" w14:textId="77777777" w:rsidTr="00AA2A4C">
        <w:tblPrEx>
          <w:tblCellMar>
            <w:top w:w="0" w:type="dxa"/>
            <w:bottom w:w="0" w:type="dxa"/>
          </w:tblCellMar>
        </w:tblPrEx>
        <w:trPr>
          <w:cantSplit/>
          <w:jc w:val="center"/>
        </w:trPr>
        <w:tc>
          <w:tcPr>
            <w:tcW w:w="4536" w:type="dxa"/>
            <w:gridSpan w:val="8"/>
          </w:tcPr>
          <w:p w14:paraId="6781CEB6" w14:textId="77777777" w:rsidR="00711444" w:rsidRPr="004D0DAA" w:rsidRDefault="00711444" w:rsidP="00AA2A4C">
            <w:pPr>
              <w:pStyle w:val="TAC"/>
              <w:rPr>
                <w:lang w:eastAsia="en-US"/>
              </w:rPr>
            </w:pPr>
            <w:r w:rsidRPr="004D0DAA">
              <w:rPr>
                <w:lang w:eastAsia="en-US"/>
              </w:rPr>
              <w:t>LLC2 (octet 27)</w:t>
            </w:r>
          </w:p>
        </w:tc>
        <w:tc>
          <w:tcPr>
            <w:tcW w:w="1701" w:type="dxa"/>
            <w:tcBorders>
              <w:top w:val="nil"/>
              <w:bottom w:val="nil"/>
              <w:right w:val="nil"/>
            </w:tcBorders>
          </w:tcPr>
          <w:p w14:paraId="79E41323" w14:textId="77777777" w:rsidR="00711444" w:rsidRPr="004D0DAA" w:rsidRDefault="00711444" w:rsidP="00AA2A4C">
            <w:pPr>
              <w:pStyle w:val="TAC"/>
              <w:rPr>
                <w:lang w:eastAsia="en-US"/>
              </w:rPr>
            </w:pPr>
            <w:r w:rsidRPr="004D0DAA">
              <w:rPr>
                <w:lang w:eastAsia="en-US"/>
              </w:rPr>
              <w:t>37 (RLC data)</w:t>
            </w:r>
          </w:p>
        </w:tc>
      </w:tr>
    </w:tbl>
    <w:p w14:paraId="695517BC" w14:textId="77777777" w:rsidR="00711444" w:rsidRPr="004D0DAA" w:rsidRDefault="00711444" w:rsidP="007114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5978CBE1" w14:textId="77777777" w:rsidTr="00AA2A4C">
        <w:tblPrEx>
          <w:tblCellMar>
            <w:top w:w="0" w:type="dxa"/>
            <w:bottom w:w="0" w:type="dxa"/>
          </w:tblCellMar>
        </w:tblPrEx>
        <w:trPr>
          <w:jc w:val="center"/>
        </w:trPr>
        <w:tc>
          <w:tcPr>
            <w:tcW w:w="567" w:type="dxa"/>
            <w:tcBorders>
              <w:top w:val="nil"/>
              <w:left w:val="nil"/>
              <w:right w:val="nil"/>
            </w:tcBorders>
          </w:tcPr>
          <w:p w14:paraId="007C6D0E" w14:textId="77777777" w:rsidR="00711444" w:rsidRPr="004D0DAA" w:rsidRDefault="00711444" w:rsidP="00AA2A4C">
            <w:pPr>
              <w:pStyle w:val="TAC"/>
              <w:rPr>
                <w:lang w:eastAsia="en-US"/>
              </w:rPr>
            </w:pPr>
            <w:r w:rsidRPr="004D0DAA">
              <w:rPr>
                <w:lang w:eastAsia="en-US"/>
              </w:rPr>
              <w:t>8</w:t>
            </w:r>
          </w:p>
        </w:tc>
        <w:tc>
          <w:tcPr>
            <w:tcW w:w="567" w:type="dxa"/>
            <w:tcBorders>
              <w:top w:val="nil"/>
              <w:left w:val="nil"/>
              <w:right w:val="nil"/>
            </w:tcBorders>
          </w:tcPr>
          <w:p w14:paraId="407058D3"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310C6CF9"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44BD54FD"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2E724128"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703A6DCD"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0C933C40"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077B1096"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1737F9DA" w14:textId="77777777" w:rsidR="00711444" w:rsidRPr="004D0DAA" w:rsidRDefault="00711444" w:rsidP="00AA2A4C">
            <w:pPr>
              <w:pStyle w:val="TAC"/>
              <w:rPr>
                <w:lang w:eastAsia="en-US"/>
              </w:rPr>
            </w:pPr>
            <w:r w:rsidRPr="004D0DAA">
              <w:rPr>
                <w:lang w:eastAsia="en-US"/>
              </w:rPr>
              <w:t>Octet</w:t>
            </w:r>
          </w:p>
        </w:tc>
      </w:tr>
      <w:tr w:rsidR="00711444" w:rsidRPr="004D0DAA" w14:paraId="1C8963FC" w14:textId="77777777" w:rsidTr="00AA2A4C">
        <w:tblPrEx>
          <w:tblCellMar>
            <w:top w:w="0" w:type="dxa"/>
            <w:bottom w:w="0" w:type="dxa"/>
          </w:tblCellMar>
        </w:tblPrEx>
        <w:trPr>
          <w:cantSplit/>
          <w:jc w:val="center"/>
        </w:trPr>
        <w:tc>
          <w:tcPr>
            <w:tcW w:w="1134" w:type="dxa"/>
            <w:gridSpan w:val="2"/>
          </w:tcPr>
          <w:p w14:paraId="0A324C9C" w14:textId="77777777" w:rsidR="00711444" w:rsidRPr="004D0DAA" w:rsidRDefault="00711444" w:rsidP="00AA2A4C">
            <w:pPr>
              <w:pStyle w:val="TAC"/>
              <w:rPr>
                <w:lang w:eastAsia="en-US"/>
              </w:rPr>
            </w:pPr>
            <w:r w:rsidRPr="004D0DAA">
              <w:rPr>
                <w:lang w:eastAsia="en-US"/>
              </w:rPr>
              <w:t>TFI</w:t>
            </w:r>
          </w:p>
        </w:tc>
        <w:tc>
          <w:tcPr>
            <w:tcW w:w="2268" w:type="dxa"/>
            <w:gridSpan w:val="4"/>
          </w:tcPr>
          <w:p w14:paraId="46B1B64B" w14:textId="77777777" w:rsidR="00711444" w:rsidRPr="004D0DAA" w:rsidRDefault="00711444" w:rsidP="00AA2A4C">
            <w:pPr>
              <w:pStyle w:val="TAC"/>
              <w:rPr>
                <w:lang w:eastAsia="en-US"/>
              </w:rPr>
            </w:pPr>
            <w:r w:rsidRPr="004D0DAA">
              <w:rPr>
                <w:lang w:eastAsia="en-US"/>
              </w:rPr>
              <w:t>Countdown value</w:t>
            </w:r>
          </w:p>
        </w:tc>
        <w:tc>
          <w:tcPr>
            <w:tcW w:w="567" w:type="dxa"/>
          </w:tcPr>
          <w:p w14:paraId="2AAB28E0" w14:textId="77777777" w:rsidR="00711444" w:rsidRPr="004D0DAA" w:rsidRDefault="00711444" w:rsidP="00AA2A4C">
            <w:pPr>
              <w:pStyle w:val="TAC"/>
              <w:rPr>
                <w:lang w:eastAsia="en-US"/>
              </w:rPr>
            </w:pPr>
            <w:r w:rsidRPr="004D0DAA">
              <w:rPr>
                <w:lang w:eastAsia="en-US"/>
              </w:rPr>
              <w:t>SI</w:t>
            </w:r>
          </w:p>
        </w:tc>
        <w:tc>
          <w:tcPr>
            <w:tcW w:w="567" w:type="dxa"/>
          </w:tcPr>
          <w:p w14:paraId="034BD3C0"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0F070CF9" w14:textId="77777777" w:rsidR="00711444" w:rsidRPr="004D0DAA" w:rsidRDefault="00711444" w:rsidP="00AA2A4C">
            <w:pPr>
              <w:pStyle w:val="TAC"/>
              <w:rPr>
                <w:lang w:eastAsia="en-US"/>
              </w:rPr>
            </w:pPr>
            <w:r w:rsidRPr="004D0DAA">
              <w:rPr>
                <w:lang w:eastAsia="en-US"/>
              </w:rPr>
              <w:t>1 (header)</w:t>
            </w:r>
          </w:p>
        </w:tc>
      </w:tr>
      <w:tr w:rsidR="00711444" w:rsidRPr="004D0DAA" w14:paraId="69E665FE" w14:textId="77777777" w:rsidTr="00AA2A4C">
        <w:tblPrEx>
          <w:tblCellMar>
            <w:top w:w="0" w:type="dxa"/>
            <w:bottom w:w="0" w:type="dxa"/>
          </w:tblCellMar>
        </w:tblPrEx>
        <w:trPr>
          <w:cantSplit/>
          <w:jc w:val="center"/>
        </w:trPr>
        <w:tc>
          <w:tcPr>
            <w:tcW w:w="2835" w:type="dxa"/>
            <w:gridSpan w:val="5"/>
          </w:tcPr>
          <w:p w14:paraId="5DCD7584" w14:textId="77777777" w:rsidR="00711444" w:rsidRPr="004D0DAA" w:rsidRDefault="00711444" w:rsidP="00AA2A4C">
            <w:pPr>
              <w:pStyle w:val="TAC"/>
              <w:rPr>
                <w:lang w:eastAsia="en-US"/>
              </w:rPr>
            </w:pPr>
            <w:r w:rsidRPr="004D0DAA">
              <w:rPr>
                <w:lang w:eastAsia="en-US"/>
              </w:rPr>
              <w:t>BSN 1</w:t>
            </w:r>
          </w:p>
        </w:tc>
        <w:tc>
          <w:tcPr>
            <w:tcW w:w="1701" w:type="dxa"/>
            <w:gridSpan w:val="3"/>
          </w:tcPr>
          <w:p w14:paraId="2E2220EC"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6E55BAA6" w14:textId="77777777" w:rsidR="00711444" w:rsidRPr="004D0DAA" w:rsidRDefault="00711444" w:rsidP="00AA2A4C">
            <w:pPr>
              <w:pStyle w:val="TAC"/>
              <w:rPr>
                <w:lang w:eastAsia="en-US"/>
              </w:rPr>
            </w:pPr>
            <w:r w:rsidRPr="004D0DAA">
              <w:rPr>
                <w:lang w:eastAsia="en-US"/>
              </w:rPr>
              <w:t>2 (header)</w:t>
            </w:r>
          </w:p>
        </w:tc>
      </w:tr>
      <w:tr w:rsidR="00711444" w:rsidRPr="004D0DAA" w14:paraId="3BDD9A35" w14:textId="77777777" w:rsidTr="00AA2A4C">
        <w:tblPrEx>
          <w:tblCellMar>
            <w:top w:w="0" w:type="dxa"/>
            <w:bottom w:w="0" w:type="dxa"/>
          </w:tblCellMar>
        </w:tblPrEx>
        <w:trPr>
          <w:cantSplit/>
          <w:jc w:val="center"/>
        </w:trPr>
        <w:tc>
          <w:tcPr>
            <w:tcW w:w="1134" w:type="dxa"/>
            <w:gridSpan w:val="2"/>
          </w:tcPr>
          <w:p w14:paraId="46E3AC7F" w14:textId="77777777" w:rsidR="00711444" w:rsidRPr="004D0DAA" w:rsidRDefault="00711444" w:rsidP="00AA2A4C">
            <w:pPr>
              <w:pStyle w:val="TAC"/>
              <w:rPr>
                <w:lang w:eastAsia="en-US"/>
              </w:rPr>
            </w:pPr>
            <w:r w:rsidRPr="004D0DAA">
              <w:rPr>
                <w:lang w:eastAsia="en-US"/>
              </w:rPr>
              <w:t>CPS</w:t>
            </w:r>
          </w:p>
        </w:tc>
        <w:tc>
          <w:tcPr>
            <w:tcW w:w="3402" w:type="dxa"/>
            <w:gridSpan w:val="6"/>
          </w:tcPr>
          <w:p w14:paraId="275D5B35"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4380B647" w14:textId="77777777" w:rsidR="00711444" w:rsidRPr="004D0DAA" w:rsidRDefault="00711444" w:rsidP="00AA2A4C">
            <w:pPr>
              <w:pStyle w:val="TAC"/>
              <w:rPr>
                <w:lang w:eastAsia="en-US"/>
              </w:rPr>
            </w:pPr>
            <w:r w:rsidRPr="004D0DAA">
              <w:rPr>
                <w:lang w:eastAsia="en-US"/>
              </w:rPr>
              <w:t>3 (header)</w:t>
            </w:r>
          </w:p>
        </w:tc>
      </w:tr>
      <w:tr w:rsidR="00711444" w:rsidRPr="004D0DAA" w14:paraId="7A274725" w14:textId="77777777" w:rsidTr="00AA2A4C">
        <w:tblPrEx>
          <w:tblCellMar>
            <w:top w:w="0" w:type="dxa"/>
            <w:bottom w:w="0" w:type="dxa"/>
          </w:tblCellMar>
        </w:tblPrEx>
        <w:trPr>
          <w:cantSplit/>
          <w:jc w:val="center"/>
        </w:trPr>
        <w:tc>
          <w:tcPr>
            <w:tcW w:w="567" w:type="dxa"/>
          </w:tcPr>
          <w:p w14:paraId="3F71C9FB" w14:textId="77777777" w:rsidR="00711444" w:rsidRPr="004D0DAA" w:rsidRDefault="00711444" w:rsidP="00AA2A4C">
            <w:pPr>
              <w:pStyle w:val="TAC"/>
              <w:rPr>
                <w:lang w:eastAsia="en-US"/>
              </w:rPr>
            </w:pPr>
          </w:p>
        </w:tc>
        <w:tc>
          <w:tcPr>
            <w:tcW w:w="567" w:type="dxa"/>
          </w:tcPr>
          <w:p w14:paraId="0B5E7D26" w14:textId="77777777" w:rsidR="00711444" w:rsidRPr="004D0DAA" w:rsidRDefault="00711444" w:rsidP="00AA2A4C">
            <w:pPr>
              <w:pStyle w:val="TAC"/>
              <w:rPr>
                <w:lang w:eastAsia="en-US"/>
              </w:rPr>
            </w:pPr>
            <w:r w:rsidRPr="004D0DAA">
              <w:rPr>
                <w:lang w:eastAsia="en-US"/>
              </w:rPr>
              <w:t>Spare</w:t>
            </w:r>
          </w:p>
        </w:tc>
        <w:tc>
          <w:tcPr>
            <w:tcW w:w="567" w:type="dxa"/>
          </w:tcPr>
          <w:p w14:paraId="42F3E1E9" w14:textId="77777777" w:rsidR="00711444" w:rsidRPr="004D0DAA" w:rsidRDefault="00711444" w:rsidP="00AA2A4C">
            <w:pPr>
              <w:pStyle w:val="TAC"/>
              <w:rPr>
                <w:lang w:eastAsia="en-US"/>
              </w:rPr>
            </w:pPr>
            <w:r w:rsidRPr="004D0DAA">
              <w:rPr>
                <w:lang w:eastAsia="en-US"/>
              </w:rPr>
              <w:t>PI</w:t>
            </w:r>
          </w:p>
        </w:tc>
        <w:tc>
          <w:tcPr>
            <w:tcW w:w="567" w:type="dxa"/>
          </w:tcPr>
          <w:p w14:paraId="212E8FF2" w14:textId="77777777" w:rsidR="00711444" w:rsidRPr="004D0DAA" w:rsidRDefault="00711444" w:rsidP="00AA2A4C">
            <w:pPr>
              <w:pStyle w:val="TAC"/>
              <w:rPr>
                <w:lang w:eastAsia="en-US"/>
              </w:rPr>
            </w:pPr>
            <w:r w:rsidRPr="004D0DAA">
              <w:rPr>
                <w:lang w:eastAsia="en-US"/>
              </w:rPr>
              <w:t>RSB</w:t>
            </w:r>
          </w:p>
        </w:tc>
        <w:tc>
          <w:tcPr>
            <w:tcW w:w="1134" w:type="dxa"/>
            <w:gridSpan w:val="2"/>
          </w:tcPr>
          <w:p w14:paraId="12550AC3" w14:textId="77777777" w:rsidR="00711444" w:rsidRPr="004D0DAA" w:rsidRDefault="00711444" w:rsidP="00AA2A4C">
            <w:pPr>
              <w:pStyle w:val="TAC"/>
              <w:rPr>
                <w:lang w:eastAsia="en-US"/>
              </w:rPr>
            </w:pPr>
            <w:r w:rsidRPr="004D0DAA">
              <w:rPr>
                <w:lang w:eastAsia="en-US"/>
              </w:rPr>
              <w:t>SPB</w:t>
            </w:r>
          </w:p>
        </w:tc>
        <w:tc>
          <w:tcPr>
            <w:tcW w:w="1134" w:type="dxa"/>
            <w:gridSpan w:val="2"/>
          </w:tcPr>
          <w:p w14:paraId="638A9821"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56FB1A28" w14:textId="77777777" w:rsidR="00711444" w:rsidRPr="004D0DAA" w:rsidRDefault="00711444" w:rsidP="00AA2A4C">
            <w:pPr>
              <w:pStyle w:val="TAC"/>
              <w:rPr>
                <w:lang w:eastAsia="en-US"/>
              </w:rPr>
            </w:pPr>
            <w:r w:rsidRPr="004D0DAA">
              <w:rPr>
                <w:i/>
                <w:lang w:eastAsia="en-US"/>
              </w:rPr>
              <w:t>(See note 1 below)</w:t>
            </w:r>
          </w:p>
        </w:tc>
      </w:tr>
      <w:tr w:rsidR="00711444" w:rsidRPr="004D0DAA" w14:paraId="1D8A4E9C" w14:textId="77777777" w:rsidTr="00AA2A4C">
        <w:tblPrEx>
          <w:tblCellMar>
            <w:top w:w="0" w:type="dxa"/>
            <w:bottom w:w="0" w:type="dxa"/>
          </w:tblCellMar>
        </w:tblPrEx>
        <w:trPr>
          <w:cantSplit/>
          <w:jc w:val="center"/>
        </w:trPr>
        <w:tc>
          <w:tcPr>
            <w:tcW w:w="4536" w:type="dxa"/>
            <w:gridSpan w:val="8"/>
            <w:tcBorders>
              <w:top w:val="single" w:sz="18" w:space="0" w:color="auto"/>
            </w:tcBorders>
          </w:tcPr>
          <w:p w14:paraId="4FE155BE"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12A34B3E" w14:textId="77777777" w:rsidR="00711444" w:rsidRPr="004D0DAA" w:rsidRDefault="00711444" w:rsidP="00AA2A4C">
            <w:pPr>
              <w:pStyle w:val="TAC"/>
              <w:rPr>
                <w:lang w:eastAsia="en-US"/>
              </w:rPr>
            </w:pPr>
            <w:r w:rsidRPr="004D0DAA">
              <w:rPr>
                <w:lang w:eastAsia="en-US"/>
              </w:rPr>
              <w:t>1 (RLC data)</w:t>
            </w:r>
          </w:p>
        </w:tc>
      </w:tr>
      <w:tr w:rsidR="00711444" w:rsidRPr="004D0DAA" w14:paraId="37960C40" w14:textId="77777777" w:rsidTr="00AA2A4C">
        <w:tblPrEx>
          <w:tblCellMar>
            <w:top w:w="0" w:type="dxa"/>
            <w:bottom w:w="0" w:type="dxa"/>
          </w:tblCellMar>
        </w:tblPrEx>
        <w:trPr>
          <w:cantSplit/>
          <w:jc w:val="center"/>
        </w:trPr>
        <w:tc>
          <w:tcPr>
            <w:tcW w:w="4536" w:type="dxa"/>
            <w:gridSpan w:val="8"/>
            <w:tcBorders>
              <w:left w:val="nil"/>
              <w:right w:val="nil"/>
            </w:tcBorders>
          </w:tcPr>
          <w:p w14:paraId="5DF67C47"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540AA62E" w14:textId="77777777" w:rsidR="00711444" w:rsidRPr="004D0DAA" w:rsidRDefault="00711444" w:rsidP="00AA2A4C">
            <w:pPr>
              <w:pStyle w:val="TAC"/>
              <w:rPr>
                <w:lang w:eastAsia="en-US"/>
              </w:rPr>
            </w:pPr>
            <w:r w:rsidRPr="004D0DAA">
              <w:rPr>
                <w:lang w:eastAsia="en-US"/>
              </w:rPr>
              <w:t>:</w:t>
            </w:r>
          </w:p>
        </w:tc>
      </w:tr>
      <w:tr w:rsidR="00711444" w:rsidRPr="004D0DAA" w14:paraId="0CEF618C" w14:textId="77777777" w:rsidTr="00AA2A4C">
        <w:tblPrEx>
          <w:tblCellMar>
            <w:top w:w="0" w:type="dxa"/>
            <w:bottom w:w="0" w:type="dxa"/>
          </w:tblCellMar>
        </w:tblPrEx>
        <w:trPr>
          <w:cantSplit/>
          <w:jc w:val="center"/>
        </w:trPr>
        <w:tc>
          <w:tcPr>
            <w:tcW w:w="4536" w:type="dxa"/>
            <w:gridSpan w:val="8"/>
          </w:tcPr>
          <w:p w14:paraId="1260CF6A" w14:textId="77777777" w:rsidR="00711444" w:rsidRPr="004D0DAA" w:rsidRDefault="00711444" w:rsidP="00AA2A4C">
            <w:pPr>
              <w:pStyle w:val="TAC"/>
              <w:rPr>
                <w:lang w:eastAsia="en-US"/>
              </w:rPr>
            </w:pPr>
            <w:r w:rsidRPr="004D0DAA">
              <w:rPr>
                <w:lang w:eastAsia="en-US"/>
              </w:rPr>
              <w:t>Padding</w:t>
            </w:r>
          </w:p>
        </w:tc>
        <w:tc>
          <w:tcPr>
            <w:tcW w:w="1701" w:type="dxa"/>
            <w:tcBorders>
              <w:top w:val="nil"/>
              <w:bottom w:val="nil"/>
              <w:right w:val="nil"/>
            </w:tcBorders>
          </w:tcPr>
          <w:p w14:paraId="2701D905" w14:textId="77777777" w:rsidR="00711444" w:rsidRPr="004D0DAA" w:rsidRDefault="00711444" w:rsidP="00AA2A4C">
            <w:pPr>
              <w:pStyle w:val="TAC"/>
              <w:rPr>
                <w:lang w:eastAsia="en-US"/>
              </w:rPr>
            </w:pPr>
            <w:r w:rsidRPr="004D0DAA">
              <w:rPr>
                <w:lang w:eastAsia="en-US"/>
              </w:rPr>
              <w:t>6 (RLC data)</w:t>
            </w:r>
          </w:p>
        </w:tc>
      </w:tr>
      <w:tr w:rsidR="00711444" w:rsidRPr="004D0DAA" w14:paraId="70874DAA" w14:textId="77777777" w:rsidTr="00AA2A4C">
        <w:tblPrEx>
          <w:tblCellMar>
            <w:top w:w="0" w:type="dxa"/>
            <w:bottom w:w="0" w:type="dxa"/>
          </w:tblCellMar>
        </w:tblPrEx>
        <w:trPr>
          <w:jc w:val="center"/>
        </w:trPr>
        <w:tc>
          <w:tcPr>
            <w:tcW w:w="567" w:type="dxa"/>
            <w:tcBorders>
              <w:top w:val="nil"/>
              <w:left w:val="nil"/>
              <w:right w:val="nil"/>
            </w:tcBorders>
          </w:tcPr>
          <w:p w14:paraId="567DEB56" w14:textId="77777777" w:rsidR="00711444" w:rsidRPr="004D0DAA" w:rsidRDefault="00711444" w:rsidP="00AA2A4C"/>
        </w:tc>
        <w:tc>
          <w:tcPr>
            <w:tcW w:w="567" w:type="dxa"/>
            <w:tcBorders>
              <w:top w:val="nil"/>
              <w:left w:val="nil"/>
              <w:right w:val="nil"/>
            </w:tcBorders>
          </w:tcPr>
          <w:p w14:paraId="37BA13EA" w14:textId="77777777" w:rsidR="00711444" w:rsidRPr="004D0DAA" w:rsidRDefault="00711444" w:rsidP="00AA2A4C"/>
        </w:tc>
        <w:tc>
          <w:tcPr>
            <w:tcW w:w="567" w:type="dxa"/>
            <w:tcBorders>
              <w:top w:val="nil"/>
              <w:left w:val="nil"/>
              <w:right w:val="nil"/>
            </w:tcBorders>
          </w:tcPr>
          <w:p w14:paraId="789AD165" w14:textId="77777777" w:rsidR="00711444" w:rsidRPr="004D0DAA" w:rsidRDefault="00711444" w:rsidP="00AA2A4C"/>
        </w:tc>
        <w:tc>
          <w:tcPr>
            <w:tcW w:w="567" w:type="dxa"/>
            <w:tcBorders>
              <w:top w:val="nil"/>
              <w:left w:val="nil"/>
              <w:right w:val="nil"/>
            </w:tcBorders>
          </w:tcPr>
          <w:p w14:paraId="66600447" w14:textId="77777777" w:rsidR="00711444" w:rsidRPr="004D0DAA" w:rsidRDefault="00711444" w:rsidP="00AA2A4C"/>
        </w:tc>
        <w:tc>
          <w:tcPr>
            <w:tcW w:w="567" w:type="dxa"/>
            <w:tcBorders>
              <w:top w:val="nil"/>
              <w:left w:val="nil"/>
              <w:right w:val="nil"/>
            </w:tcBorders>
          </w:tcPr>
          <w:p w14:paraId="0C9109EA" w14:textId="77777777" w:rsidR="00711444" w:rsidRPr="004D0DAA" w:rsidRDefault="00711444" w:rsidP="00AA2A4C"/>
        </w:tc>
        <w:tc>
          <w:tcPr>
            <w:tcW w:w="567" w:type="dxa"/>
            <w:tcBorders>
              <w:top w:val="nil"/>
              <w:left w:val="nil"/>
              <w:right w:val="nil"/>
            </w:tcBorders>
          </w:tcPr>
          <w:p w14:paraId="3335FB9F" w14:textId="77777777" w:rsidR="00711444" w:rsidRPr="004D0DAA" w:rsidRDefault="00711444" w:rsidP="00AA2A4C"/>
        </w:tc>
        <w:tc>
          <w:tcPr>
            <w:tcW w:w="567" w:type="dxa"/>
            <w:tcBorders>
              <w:top w:val="single" w:sz="4" w:space="0" w:color="auto"/>
              <w:left w:val="single" w:sz="4" w:space="0" w:color="auto"/>
              <w:right w:val="single" w:sz="4" w:space="0" w:color="auto"/>
            </w:tcBorders>
          </w:tcPr>
          <w:p w14:paraId="3902E3A5" w14:textId="77777777" w:rsidR="00711444" w:rsidRPr="004D0DAA" w:rsidRDefault="00711444" w:rsidP="00AA2A4C">
            <w:pPr>
              <w:pStyle w:val="TAC"/>
              <w:rPr>
                <w:lang w:eastAsia="en-US"/>
              </w:rPr>
            </w:pPr>
            <w:r w:rsidRPr="004D0DAA">
              <w:rPr>
                <w:lang w:eastAsia="en-US"/>
              </w:rPr>
              <w:t>TI</w:t>
            </w:r>
          </w:p>
        </w:tc>
        <w:tc>
          <w:tcPr>
            <w:tcW w:w="567" w:type="dxa"/>
            <w:tcBorders>
              <w:top w:val="single" w:sz="4" w:space="0" w:color="auto"/>
              <w:left w:val="single" w:sz="4" w:space="0" w:color="auto"/>
              <w:right w:val="single" w:sz="4" w:space="0" w:color="auto"/>
            </w:tcBorders>
          </w:tcPr>
          <w:p w14:paraId="3EE40576" w14:textId="77777777" w:rsidR="00711444" w:rsidRPr="004D0DAA" w:rsidRDefault="00711444" w:rsidP="00AA2A4C">
            <w:pPr>
              <w:pStyle w:val="TAC"/>
              <w:rPr>
                <w:lang w:eastAsia="en-US"/>
              </w:rPr>
            </w:pPr>
            <w:r w:rsidRPr="004D0DAA">
              <w:rPr>
                <w:lang w:eastAsia="en-US"/>
              </w:rPr>
              <w:t>E</w:t>
            </w:r>
          </w:p>
        </w:tc>
        <w:tc>
          <w:tcPr>
            <w:tcW w:w="1701" w:type="dxa"/>
            <w:tcBorders>
              <w:top w:val="nil"/>
              <w:left w:val="nil"/>
              <w:bottom w:val="nil"/>
              <w:right w:val="nil"/>
            </w:tcBorders>
          </w:tcPr>
          <w:p w14:paraId="4CB25583" w14:textId="77777777" w:rsidR="00711444" w:rsidRPr="004D0DAA" w:rsidRDefault="00711444" w:rsidP="00AA2A4C">
            <w:pPr>
              <w:pStyle w:val="TAC"/>
              <w:rPr>
                <w:lang w:eastAsia="en-US"/>
              </w:rPr>
            </w:pPr>
            <w:r w:rsidRPr="004D0DAA">
              <w:rPr>
                <w:i/>
                <w:lang w:eastAsia="en-US"/>
              </w:rPr>
              <w:t>(See note 1 below)</w:t>
            </w:r>
          </w:p>
        </w:tc>
      </w:tr>
      <w:tr w:rsidR="00711444" w:rsidRPr="004D0DAA" w14:paraId="5E47B4B3" w14:textId="77777777" w:rsidTr="00AA2A4C">
        <w:tblPrEx>
          <w:tblCellMar>
            <w:top w:w="0" w:type="dxa"/>
            <w:bottom w:w="0" w:type="dxa"/>
          </w:tblCellMar>
        </w:tblPrEx>
        <w:trPr>
          <w:cantSplit/>
          <w:jc w:val="center"/>
        </w:trPr>
        <w:tc>
          <w:tcPr>
            <w:tcW w:w="3969" w:type="dxa"/>
            <w:gridSpan w:val="7"/>
            <w:tcBorders>
              <w:top w:val="nil"/>
            </w:tcBorders>
          </w:tcPr>
          <w:p w14:paraId="11BB731D" w14:textId="77777777" w:rsidR="00711444" w:rsidRPr="004D0DAA" w:rsidRDefault="00711444" w:rsidP="00AA2A4C">
            <w:pPr>
              <w:pStyle w:val="TAC"/>
              <w:rPr>
                <w:lang w:eastAsia="en-US"/>
              </w:rPr>
            </w:pPr>
            <w:r w:rsidRPr="004D0DAA">
              <w:rPr>
                <w:lang w:eastAsia="en-US"/>
              </w:rPr>
              <w:t>Length indicator = 33</w:t>
            </w:r>
          </w:p>
        </w:tc>
        <w:tc>
          <w:tcPr>
            <w:tcW w:w="567" w:type="dxa"/>
          </w:tcPr>
          <w:p w14:paraId="5F3BD8DB"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15FB21AD" w14:textId="77777777" w:rsidR="00711444" w:rsidRPr="004D0DAA" w:rsidRDefault="00711444" w:rsidP="00AA2A4C">
            <w:pPr>
              <w:pStyle w:val="TAC"/>
              <w:rPr>
                <w:lang w:eastAsia="en-US"/>
              </w:rPr>
            </w:pPr>
            <w:r w:rsidRPr="004D0DAA">
              <w:rPr>
                <w:lang w:eastAsia="en-US"/>
              </w:rPr>
              <w:t xml:space="preserve">7 (RLC data) </w:t>
            </w:r>
          </w:p>
        </w:tc>
      </w:tr>
      <w:tr w:rsidR="00711444" w:rsidRPr="004D0DAA" w14:paraId="34E6E58F" w14:textId="77777777" w:rsidTr="00AA2A4C">
        <w:tblPrEx>
          <w:tblCellMar>
            <w:top w:w="0" w:type="dxa"/>
            <w:bottom w:w="0" w:type="dxa"/>
          </w:tblCellMar>
        </w:tblPrEx>
        <w:trPr>
          <w:cantSplit/>
          <w:jc w:val="center"/>
        </w:trPr>
        <w:tc>
          <w:tcPr>
            <w:tcW w:w="4536" w:type="dxa"/>
            <w:gridSpan w:val="8"/>
          </w:tcPr>
          <w:p w14:paraId="7FEC2279" w14:textId="77777777" w:rsidR="00711444" w:rsidRPr="004D0DAA" w:rsidRDefault="00711444" w:rsidP="00AA2A4C">
            <w:pPr>
              <w:pStyle w:val="TAC"/>
              <w:rPr>
                <w:lang w:eastAsia="en-US"/>
              </w:rPr>
            </w:pPr>
            <w:r w:rsidRPr="004D0DAA">
              <w:rPr>
                <w:lang w:eastAsia="en-US"/>
              </w:rPr>
              <w:t>LLC2 (octet 28)</w:t>
            </w:r>
          </w:p>
        </w:tc>
        <w:tc>
          <w:tcPr>
            <w:tcW w:w="1701" w:type="dxa"/>
            <w:tcBorders>
              <w:top w:val="nil"/>
              <w:bottom w:val="nil"/>
              <w:right w:val="nil"/>
            </w:tcBorders>
          </w:tcPr>
          <w:p w14:paraId="20F367EE" w14:textId="77777777" w:rsidR="00711444" w:rsidRPr="004D0DAA" w:rsidRDefault="00711444" w:rsidP="00AA2A4C">
            <w:pPr>
              <w:pStyle w:val="TAC"/>
              <w:rPr>
                <w:lang w:eastAsia="en-US"/>
              </w:rPr>
            </w:pPr>
            <w:r w:rsidRPr="004D0DAA">
              <w:rPr>
                <w:lang w:eastAsia="en-US"/>
              </w:rPr>
              <w:t>8 (RLC data)</w:t>
            </w:r>
          </w:p>
        </w:tc>
      </w:tr>
      <w:tr w:rsidR="00711444" w:rsidRPr="004D0DAA" w14:paraId="755A55BE" w14:textId="77777777" w:rsidTr="00AA2A4C">
        <w:tblPrEx>
          <w:tblCellMar>
            <w:top w:w="0" w:type="dxa"/>
            <w:bottom w:w="0" w:type="dxa"/>
          </w:tblCellMar>
        </w:tblPrEx>
        <w:trPr>
          <w:cantSplit/>
          <w:jc w:val="center"/>
        </w:trPr>
        <w:tc>
          <w:tcPr>
            <w:tcW w:w="4536" w:type="dxa"/>
            <w:gridSpan w:val="8"/>
          </w:tcPr>
          <w:p w14:paraId="19017F76" w14:textId="77777777" w:rsidR="00711444" w:rsidRPr="004D0DAA" w:rsidRDefault="00711444" w:rsidP="00AA2A4C">
            <w:pPr>
              <w:pStyle w:val="TAC"/>
              <w:rPr>
                <w:lang w:eastAsia="en-US"/>
              </w:rPr>
            </w:pPr>
            <w:r w:rsidRPr="004D0DAA">
              <w:rPr>
                <w:lang w:eastAsia="en-US"/>
              </w:rPr>
              <w:t>LLC2 (octet 29)</w:t>
            </w:r>
          </w:p>
        </w:tc>
        <w:tc>
          <w:tcPr>
            <w:tcW w:w="1701" w:type="dxa"/>
            <w:tcBorders>
              <w:top w:val="nil"/>
              <w:bottom w:val="nil"/>
              <w:right w:val="nil"/>
            </w:tcBorders>
          </w:tcPr>
          <w:p w14:paraId="6983838B" w14:textId="77777777" w:rsidR="00711444" w:rsidRPr="004D0DAA" w:rsidRDefault="00711444" w:rsidP="00AA2A4C">
            <w:pPr>
              <w:pStyle w:val="TAC"/>
              <w:rPr>
                <w:lang w:eastAsia="en-US"/>
              </w:rPr>
            </w:pPr>
            <w:r w:rsidRPr="004D0DAA">
              <w:rPr>
                <w:lang w:eastAsia="en-US"/>
              </w:rPr>
              <w:t>9 (RLC data)</w:t>
            </w:r>
          </w:p>
        </w:tc>
      </w:tr>
      <w:tr w:rsidR="00711444" w:rsidRPr="004D0DAA" w14:paraId="2749428F" w14:textId="77777777" w:rsidTr="00AA2A4C">
        <w:tblPrEx>
          <w:tblCellMar>
            <w:top w:w="0" w:type="dxa"/>
            <w:bottom w:w="0" w:type="dxa"/>
          </w:tblCellMar>
        </w:tblPrEx>
        <w:trPr>
          <w:cantSplit/>
          <w:jc w:val="center"/>
        </w:trPr>
        <w:tc>
          <w:tcPr>
            <w:tcW w:w="4536" w:type="dxa"/>
            <w:gridSpan w:val="8"/>
            <w:tcBorders>
              <w:left w:val="nil"/>
              <w:right w:val="nil"/>
            </w:tcBorders>
          </w:tcPr>
          <w:p w14:paraId="25984998"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5E4C1187" w14:textId="77777777" w:rsidR="00711444" w:rsidRPr="004D0DAA" w:rsidRDefault="00711444" w:rsidP="00AA2A4C">
            <w:pPr>
              <w:pStyle w:val="TAC"/>
              <w:rPr>
                <w:lang w:eastAsia="en-US"/>
              </w:rPr>
            </w:pPr>
            <w:r w:rsidRPr="004D0DAA">
              <w:rPr>
                <w:lang w:eastAsia="en-US"/>
              </w:rPr>
              <w:t>:</w:t>
            </w:r>
          </w:p>
        </w:tc>
      </w:tr>
      <w:tr w:rsidR="00711444" w:rsidRPr="004D0DAA" w14:paraId="5908E6D7" w14:textId="77777777" w:rsidTr="00AA2A4C">
        <w:tblPrEx>
          <w:tblCellMar>
            <w:top w:w="0" w:type="dxa"/>
            <w:bottom w:w="0" w:type="dxa"/>
          </w:tblCellMar>
        </w:tblPrEx>
        <w:trPr>
          <w:cantSplit/>
          <w:jc w:val="center"/>
        </w:trPr>
        <w:tc>
          <w:tcPr>
            <w:tcW w:w="4536" w:type="dxa"/>
            <w:gridSpan w:val="8"/>
          </w:tcPr>
          <w:p w14:paraId="408B2B9C" w14:textId="77777777" w:rsidR="00711444" w:rsidRPr="004D0DAA" w:rsidRDefault="00711444" w:rsidP="00AA2A4C">
            <w:pPr>
              <w:pStyle w:val="TAC"/>
              <w:rPr>
                <w:lang w:eastAsia="en-US"/>
              </w:rPr>
            </w:pPr>
            <w:r w:rsidRPr="004D0DAA">
              <w:rPr>
                <w:lang w:eastAsia="en-US"/>
              </w:rPr>
              <w:t>LLC2 (octet 56)</w:t>
            </w:r>
          </w:p>
        </w:tc>
        <w:tc>
          <w:tcPr>
            <w:tcW w:w="1701" w:type="dxa"/>
            <w:tcBorders>
              <w:top w:val="nil"/>
              <w:bottom w:val="nil"/>
              <w:right w:val="nil"/>
            </w:tcBorders>
          </w:tcPr>
          <w:p w14:paraId="3614DA56" w14:textId="77777777" w:rsidR="00711444" w:rsidRPr="004D0DAA" w:rsidRDefault="00711444" w:rsidP="00AA2A4C">
            <w:pPr>
              <w:pStyle w:val="TAC"/>
              <w:rPr>
                <w:lang w:eastAsia="en-US"/>
              </w:rPr>
            </w:pPr>
            <w:r w:rsidRPr="004D0DAA">
              <w:rPr>
                <w:lang w:eastAsia="en-US"/>
              </w:rPr>
              <w:t>36 (RLC data)</w:t>
            </w:r>
          </w:p>
        </w:tc>
      </w:tr>
      <w:tr w:rsidR="00711444" w:rsidRPr="004D0DAA" w14:paraId="2DA6D8B5" w14:textId="77777777" w:rsidTr="00AA2A4C">
        <w:tblPrEx>
          <w:tblCellMar>
            <w:top w:w="0" w:type="dxa"/>
            <w:bottom w:w="0" w:type="dxa"/>
          </w:tblCellMar>
        </w:tblPrEx>
        <w:trPr>
          <w:cantSplit/>
          <w:jc w:val="center"/>
        </w:trPr>
        <w:tc>
          <w:tcPr>
            <w:tcW w:w="4536" w:type="dxa"/>
            <w:gridSpan w:val="8"/>
          </w:tcPr>
          <w:p w14:paraId="458C9887" w14:textId="77777777" w:rsidR="00711444" w:rsidRPr="004D0DAA" w:rsidRDefault="00711444" w:rsidP="00AA2A4C">
            <w:pPr>
              <w:pStyle w:val="TAC"/>
              <w:rPr>
                <w:lang w:eastAsia="en-US"/>
              </w:rPr>
            </w:pPr>
            <w:r w:rsidRPr="004D0DAA">
              <w:rPr>
                <w:lang w:eastAsia="en-US"/>
              </w:rPr>
              <w:t>LLC2 (octet 57)</w:t>
            </w:r>
          </w:p>
        </w:tc>
        <w:tc>
          <w:tcPr>
            <w:tcW w:w="1701" w:type="dxa"/>
            <w:tcBorders>
              <w:top w:val="nil"/>
              <w:bottom w:val="nil"/>
              <w:right w:val="nil"/>
            </w:tcBorders>
          </w:tcPr>
          <w:p w14:paraId="3DC44564" w14:textId="77777777" w:rsidR="00711444" w:rsidRPr="004D0DAA" w:rsidRDefault="00711444" w:rsidP="00AA2A4C">
            <w:pPr>
              <w:pStyle w:val="TAC"/>
              <w:rPr>
                <w:lang w:eastAsia="en-US"/>
              </w:rPr>
            </w:pPr>
            <w:r w:rsidRPr="004D0DAA">
              <w:rPr>
                <w:lang w:eastAsia="en-US"/>
              </w:rPr>
              <w:t>37 (RLC data)</w:t>
            </w:r>
          </w:p>
        </w:tc>
      </w:tr>
    </w:tbl>
    <w:p w14:paraId="74D46740" w14:textId="77777777" w:rsidR="00711444" w:rsidRPr="004D0DAA" w:rsidRDefault="00711444" w:rsidP="007114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567"/>
        <w:gridCol w:w="567"/>
        <w:gridCol w:w="567"/>
        <w:gridCol w:w="567"/>
        <w:gridCol w:w="567"/>
        <w:gridCol w:w="567"/>
        <w:gridCol w:w="567"/>
        <w:gridCol w:w="567"/>
        <w:gridCol w:w="1701"/>
      </w:tblGrid>
      <w:tr w:rsidR="00711444" w:rsidRPr="004D0DAA" w14:paraId="44B80344" w14:textId="77777777" w:rsidTr="00AA2A4C">
        <w:tblPrEx>
          <w:tblCellMar>
            <w:top w:w="0" w:type="dxa"/>
            <w:bottom w:w="0" w:type="dxa"/>
          </w:tblCellMar>
        </w:tblPrEx>
        <w:trPr>
          <w:jc w:val="center"/>
        </w:trPr>
        <w:tc>
          <w:tcPr>
            <w:tcW w:w="567" w:type="dxa"/>
            <w:tcBorders>
              <w:top w:val="nil"/>
              <w:left w:val="nil"/>
              <w:right w:val="nil"/>
            </w:tcBorders>
          </w:tcPr>
          <w:p w14:paraId="1389F7BE" w14:textId="77777777" w:rsidR="00711444" w:rsidRPr="004D0DAA" w:rsidRDefault="00711444" w:rsidP="00AA2A4C">
            <w:pPr>
              <w:pStyle w:val="TAC"/>
              <w:rPr>
                <w:lang w:eastAsia="en-US"/>
              </w:rPr>
            </w:pPr>
            <w:r w:rsidRPr="004D0DAA">
              <w:rPr>
                <w:lang w:eastAsia="en-US"/>
              </w:rPr>
              <w:lastRenderedPageBreak/>
              <w:t>8</w:t>
            </w:r>
          </w:p>
        </w:tc>
        <w:tc>
          <w:tcPr>
            <w:tcW w:w="567" w:type="dxa"/>
            <w:tcBorders>
              <w:top w:val="nil"/>
              <w:left w:val="nil"/>
              <w:right w:val="nil"/>
            </w:tcBorders>
          </w:tcPr>
          <w:p w14:paraId="2EF1E04F" w14:textId="77777777" w:rsidR="00711444" w:rsidRPr="004D0DAA" w:rsidRDefault="00711444" w:rsidP="00AA2A4C">
            <w:pPr>
              <w:pStyle w:val="TAC"/>
              <w:rPr>
                <w:lang w:eastAsia="en-US"/>
              </w:rPr>
            </w:pPr>
            <w:r w:rsidRPr="004D0DAA">
              <w:rPr>
                <w:lang w:eastAsia="en-US"/>
              </w:rPr>
              <w:t>7</w:t>
            </w:r>
          </w:p>
        </w:tc>
        <w:tc>
          <w:tcPr>
            <w:tcW w:w="567" w:type="dxa"/>
            <w:tcBorders>
              <w:top w:val="nil"/>
              <w:left w:val="nil"/>
              <w:right w:val="nil"/>
            </w:tcBorders>
          </w:tcPr>
          <w:p w14:paraId="1036F797" w14:textId="77777777" w:rsidR="00711444" w:rsidRPr="004D0DAA" w:rsidRDefault="00711444" w:rsidP="00AA2A4C">
            <w:pPr>
              <w:pStyle w:val="TAC"/>
              <w:rPr>
                <w:lang w:eastAsia="en-US"/>
              </w:rPr>
            </w:pPr>
            <w:r w:rsidRPr="004D0DAA">
              <w:rPr>
                <w:lang w:eastAsia="en-US"/>
              </w:rPr>
              <w:t>6</w:t>
            </w:r>
          </w:p>
        </w:tc>
        <w:tc>
          <w:tcPr>
            <w:tcW w:w="567" w:type="dxa"/>
            <w:tcBorders>
              <w:top w:val="nil"/>
              <w:left w:val="nil"/>
              <w:right w:val="nil"/>
            </w:tcBorders>
          </w:tcPr>
          <w:p w14:paraId="27C51ADF" w14:textId="77777777" w:rsidR="00711444" w:rsidRPr="004D0DAA" w:rsidRDefault="00711444" w:rsidP="00AA2A4C">
            <w:pPr>
              <w:pStyle w:val="TAC"/>
              <w:rPr>
                <w:lang w:eastAsia="en-US"/>
              </w:rPr>
            </w:pPr>
            <w:r w:rsidRPr="004D0DAA">
              <w:rPr>
                <w:lang w:eastAsia="en-US"/>
              </w:rPr>
              <w:t>5</w:t>
            </w:r>
          </w:p>
        </w:tc>
        <w:tc>
          <w:tcPr>
            <w:tcW w:w="567" w:type="dxa"/>
            <w:tcBorders>
              <w:top w:val="nil"/>
              <w:left w:val="nil"/>
              <w:right w:val="nil"/>
            </w:tcBorders>
          </w:tcPr>
          <w:p w14:paraId="4FA4ADA2" w14:textId="77777777" w:rsidR="00711444" w:rsidRPr="004D0DAA" w:rsidRDefault="00711444" w:rsidP="00AA2A4C">
            <w:pPr>
              <w:pStyle w:val="TAC"/>
              <w:rPr>
                <w:lang w:eastAsia="en-US"/>
              </w:rPr>
            </w:pPr>
            <w:r w:rsidRPr="004D0DAA">
              <w:rPr>
                <w:lang w:eastAsia="en-US"/>
              </w:rPr>
              <w:t>4</w:t>
            </w:r>
          </w:p>
        </w:tc>
        <w:tc>
          <w:tcPr>
            <w:tcW w:w="567" w:type="dxa"/>
            <w:tcBorders>
              <w:top w:val="nil"/>
              <w:left w:val="nil"/>
              <w:right w:val="nil"/>
            </w:tcBorders>
          </w:tcPr>
          <w:p w14:paraId="7BA60AC5" w14:textId="77777777" w:rsidR="00711444" w:rsidRPr="004D0DAA" w:rsidRDefault="00711444" w:rsidP="00AA2A4C">
            <w:pPr>
              <w:pStyle w:val="TAC"/>
              <w:rPr>
                <w:lang w:eastAsia="en-US"/>
              </w:rPr>
            </w:pPr>
            <w:r w:rsidRPr="004D0DAA">
              <w:rPr>
                <w:lang w:eastAsia="en-US"/>
              </w:rPr>
              <w:t>3</w:t>
            </w:r>
          </w:p>
        </w:tc>
        <w:tc>
          <w:tcPr>
            <w:tcW w:w="567" w:type="dxa"/>
            <w:tcBorders>
              <w:top w:val="nil"/>
              <w:left w:val="nil"/>
              <w:right w:val="nil"/>
            </w:tcBorders>
          </w:tcPr>
          <w:p w14:paraId="2BF82F7D" w14:textId="77777777" w:rsidR="00711444" w:rsidRPr="004D0DAA" w:rsidRDefault="00711444" w:rsidP="00AA2A4C">
            <w:pPr>
              <w:pStyle w:val="TAC"/>
              <w:rPr>
                <w:lang w:eastAsia="en-US"/>
              </w:rPr>
            </w:pPr>
            <w:r w:rsidRPr="004D0DAA">
              <w:rPr>
                <w:lang w:eastAsia="en-US"/>
              </w:rPr>
              <w:t>2</w:t>
            </w:r>
          </w:p>
        </w:tc>
        <w:tc>
          <w:tcPr>
            <w:tcW w:w="567" w:type="dxa"/>
            <w:tcBorders>
              <w:top w:val="nil"/>
              <w:left w:val="nil"/>
              <w:right w:val="nil"/>
            </w:tcBorders>
          </w:tcPr>
          <w:p w14:paraId="6B429511" w14:textId="77777777" w:rsidR="00711444" w:rsidRPr="004D0DAA" w:rsidRDefault="00711444" w:rsidP="00AA2A4C">
            <w:pPr>
              <w:pStyle w:val="TAC"/>
              <w:rPr>
                <w:lang w:eastAsia="en-US"/>
              </w:rPr>
            </w:pPr>
            <w:r w:rsidRPr="004D0DAA">
              <w:rPr>
                <w:lang w:eastAsia="en-US"/>
              </w:rPr>
              <w:t>1</w:t>
            </w:r>
          </w:p>
        </w:tc>
        <w:tc>
          <w:tcPr>
            <w:tcW w:w="1701" w:type="dxa"/>
            <w:tcBorders>
              <w:top w:val="nil"/>
              <w:left w:val="nil"/>
              <w:bottom w:val="nil"/>
              <w:right w:val="nil"/>
            </w:tcBorders>
          </w:tcPr>
          <w:p w14:paraId="745D9207" w14:textId="77777777" w:rsidR="00711444" w:rsidRPr="004D0DAA" w:rsidRDefault="00711444" w:rsidP="00AA2A4C">
            <w:pPr>
              <w:pStyle w:val="TAC"/>
              <w:rPr>
                <w:lang w:eastAsia="en-US"/>
              </w:rPr>
            </w:pPr>
            <w:r w:rsidRPr="004D0DAA">
              <w:rPr>
                <w:lang w:eastAsia="en-US"/>
              </w:rPr>
              <w:t>Octet</w:t>
            </w:r>
          </w:p>
        </w:tc>
      </w:tr>
      <w:tr w:rsidR="00711444" w:rsidRPr="004D0DAA" w14:paraId="40D68BA5" w14:textId="77777777" w:rsidTr="00AA2A4C">
        <w:tblPrEx>
          <w:tblCellMar>
            <w:top w:w="0" w:type="dxa"/>
            <w:bottom w:w="0" w:type="dxa"/>
          </w:tblCellMar>
        </w:tblPrEx>
        <w:trPr>
          <w:cantSplit/>
          <w:jc w:val="center"/>
        </w:trPr>
        <w:tc>
          <w:tcPr>
            <w:tcW w:w="1134" w:type="dxa"/>
            <w:gridSpan w:val="2"/>
          </w:tcPr>
          <w:p w14:paraId="626210C2" w14:textId="77777777" w:rsidR="00711444" w:rsidRPr="004D0DAA" w:rsidRDefault="00711444" w:rsidP="00AA2A4C">
            <w:pPr>
              <w:pStyle w:val="TAC"/>
              <w:rPr>
                <w:lang w:eastAsia="en-US"/>
              </w:rPr>
            </w:pPr>
            <w:r w:rsidRPr="004D0DAA">
              <w:rPr>
                <w:lang w:eastAsia="en-US"/>
              </w:rPr>
              <w:t>TFI</w:t>
            </w:r>
          </w:p>
        </w:tc>
        <w:tc>
          <w:tcPr>
            <w:tcW w:w="2268" w:type="dxa"/>
            <w:gridSpan w:val="4"/>
          </w:tcPr>
          <w:p w14:paraId="6729C023" w14:textId="77777777" w:rsidR="00711444" w:rsidRPr="004D0DAA" w:rsidRDefault="00711444" w:rsidP="00AA2A4C">
            <w:pPr>
              <w:pStyle w:val="TAC"/>
              <w:rPr>
                <w:lang w:eastAsia="en-US"/>
              </w:rPr>
            </w:pPr>
            <w:r w:rsidRPr="004D0DAA">
              <w:rPr>
                <w:lang w:eastAsia="en-US"/>
              </w:rPr>
              <w:t>Countdown value</w:t>
            </w:r>
          </w:p>
        </w:tc>
        <w:tc>
          <w:tcPr>
            <w:tcW w:w="567" w:type="dxa"/>
          </w:tcPr>
          <w:p w14:paraId="47BCDA80" w14:textId="77777777" w:rsidR="00711444" w:rsidRPr="004D0DAA" w:rsidRDefault="00711444" w:rsidP="00AA2A4C">
            <w:pPr>
              <w:pStyle w:val="TAC"/>
              <w:rPr>
                <w:lang w:eastAsia="en-US"/>
              </w:rPr>
            </w:pPr>
            <w:r w:rsidRPr="004D0DAA">
              <w:rPr>
                <w:lang w:eastAsia="en-US"/>
              </w:rPr>
              <w:t>SI</w:t>
            </w:r>
          </w:p>
        </w:tc>
        <w:tc>
          <w:tcPr>
            <w:tcW w:w="567" w:type="dxa"/>
          </w:tcPr>
          <w:p w14:paraId="33174DE5" w14:textId="77777777" w:rsidR="00711444" w:rsidRPr="004D0DAA" w:rsidRDefault="00711444" w:rsidP="00AA2A4C">
            <w:pPr>
              <w:pStyle w:val="TAC"/>
              <w:rPr>
                <w:lang w:eastAsia="en-US"/>
              </w:rPr>
            </w:pPr>
            <w:r w:rsidRPr="004D0DAA">
              <w:rPr>
                <w:lang w:eastAsia="en-US"/>
              </w:rPr>
              <w:t>R</w:t>
            </w:r>
          </w:p>
        </w:tc>
        <w:tc>
          <w:tcPr>
            <w:tcW w:w="1701" w:type="dxa"/>
            <w:tcBorders>
              <w:top w:val="nil"/>
              <w:bottom w:val="nil"/>
              <w:right w:val="nil"/>
            </w:tcBorders>
          </w:tcPr>
          <w:p w14:paraId="20142B87" w14:textId="77777777" w:rsidR="00711444" w:rsidRPr="004D0DAA" w:rsidRDefault="00711444" w:rsidP="00AA2A4C">
            <w:pPr>
              <w:pStyle w:val="TAC"/>
              <w:rPr>
                <w:lang w:eastAsia="en-US"/>
              </w:rPr>
            </w:pPr>
            <w:r w:rsidRPr="004D0DAA">
              <w:rPr>
                <w:lang w:eastAsia="en-US"/>
              </w:rPr>
              <w:t>1 (header)</w:t>
            </w:r>
          </w:p>
        </w:tc>
      </w:tr>
      <w:tr w:rsidR="00711444" w:rsidRPr="004D0DAA" w14:paraId="27D96A0F" w14:textId="77777777" w:rsidTr="00AA2A4C">
        <w:tblPrEx>
          <w:tblCellMar>
            <w:top w:w="0" w:type="dxa"/>
            <w:bottom w:w="0" w:type="dxa"/>
          </w:tblCellMar>
        </w:tblPrEx>
        <w:trPr>
          <w:cantSplit/>
          <w:jc w:val="center"/>
        </w:trPr>
        <w:tc>
          <w:tcPr>
            <w:tcW w:w="2835" w:type="dxa"/>
            <w:gridSpan w:val="5"/>
          </w:tcPr>
          <w:p w14:paraId="01B81C3A" w14:textId="77777777" w:rsidR="00711444" w:rsidRPr="004D0DAA" w:rsidRDefault="00711444" w:rsidP="00AA2A4C">
            <w:pPr>
              <w:pStyle w:val="TAC"/>
              <w:rPr>
                <w:lang w:eastAsia="en-US"/>
              </w:rPr>
            </w:pPr>
            <w:r w:rsidRPr="004D0DAA">
              <w:rPr>
                <w:lang w:eastAsia="en-US"/>
              </w:rPr>
              <w:t>BSN 1</w:t>
            </w:r>
          </w:p>
        </w:tc>
        <w:tc>
          <w:tcPr>
            <w:tcW w:w="1701" w:type="dxa"/>
            <w:gridSpan w:val="3"/>
          </w:tcPr>
          <w:p w14:paraId="0F1F8409" w14:textId="77777777" w:rsidR="00711444" w:rsidRPr="004D0DAA" w:rsidRDefault="00711444" w:rsidP="00AA2A4C">
            <w:pPr>
              <w:pStyle w:val="TAC"/>
              <w:rPr>
                <w:lang w:eastAsia="en-US"/>
              </w:rPr>
            </w:pPr>
            <w:r w:rsidRPr="004D0DAA">
              <w:rPr>
                <w:lang w:eastAsia="en-US"/>
              </w:rPr>
              <w:t>TFI</w:t>
            </w:r>
          </w:p>
        </w:tc>
        <w:tc>
          <w:tcPr>
            <w:tcW w:w="1701" w:type="dxa"/>
            <w:tcBorders>
              <w:top w:val="nil"/>
              <w:bottom w:val="nil"/>
              <w:right w:val="nil"/>
            </w:tcBorders>
          </w:tcPr>
          <w:p w14:paraId="47191222" w14:textId="77777777" w:rsidR="00711444" w:rsidRPr="004D0DAA" w:rsidRDefault="00711444" w:rsidP="00AA2A4C">
            <w:pPr>
              <w:pStyle w:val="TAC"/>
              <w:rPr>
                <w:lang w:eastAsia="en-US"/>
              </w:rPr>
            </w:pPr>
            <w:r w:rsidRPr="004D0DAA">
              <w:rPr>
                <w:lang w:eastAsia="en-US"/>
              </w:rPr>
              <w:t>2 (header)</w:t>
            </w:r>
          </w:p>
        </w:tc>
      </w:tr>
      <w:tr w:rsidR="00711444" w:rsidRPr="004D0DAA" w14:paraId="1C6ED268" w14:textId="77777777" w:rsidTr="00AA2A4C">
        <w:tblPrEx>
          <w:tblCellMar>
            <w:top w:w="0" w:type="dxa"/>
            <w:bottom w:w="0" w:type="dxa"/>
          </w:tblCellMar>
        </w:tblPrEx>
        <w:trPr>
          <w:cantSplit/>
          <w:jc w:val="center"/>
        </w:trPr>
        <w:tc>
          <w:tcPr>
            <w:tcW w:w="1134" w:type="dxa"/>
            <w:gridSpan w:val="2"/>
          </w:tcPr>
          <w:p w14:paraId="5AC694C5" w14:textId="77777777" w:rsidR="00711444" w:rsidRPr="004D0DAA" w:rsidRDefault="00711444" w:rsidP="00AA2A4C">
            <w:pPr>
              <w:pStyle w:val="TAC"/>
              <w:rPr>
                <w:lang w:eastAsia="en-US"/>
              </w:rPr>
            </w:pPr>
            <w:r w:rsidRPr="004D0DAA">
              <w:rPr>
                <w:lang w:eastAsia="en-US"/>
              </w:rPr>
              <w:t>CPS</w:t>
            </w:r>
          </w:p>
        </w:tc>
        <w:tc>
          <w:tcPr>
            <w:tcW w:w="3402" w:type="dxa"/>
            <w:gridSpan w:val="6"/>
          </w:tcPr>
          <w:p w14:paraId="0F4622CF" w14:textId="77777777" w:rsidR="00711444" w:rsidRPr="004D0DAA" w:rsidRDefault="00711444" w:rsidP="00AA2A4C">
            <w:pPr>
              <w:pStyle w:val="TAC"/>
              <w:rPr>
                <w:lang w:eastAsia="en-US"/>
              </w:rPr>
            </w:pPr>
            <w:r w:rsidRPr="004D0DAA">
              <w:rPr>
                <w:lang w:eastAsia="en-US"/>
              </w:rPr>
              <w:t>BSN 1</w:t>
            </w:r>
          </w:p>
        </w:tc>
        <w:tc>
          <w:tcPr>
            <w:tcW w:w="1701" w:type="dxa"/>
            <w:tcBorders>
              <w:top w:val="nil"/>
              <w:bottom w:val="nil"/>
              <w:right w:val="nil"/>
            </w:tcBorders>
          </w:tcPr>
          <w:p w14:paraId="10B21F7E" w14:textId="77777777" w:rsidR="00711444" w:rsidRPr="004D0DAA" w:rsidRDefault="00711444" w:rsidP="00AA2A4C">
            <w:pPr>
              <w:pStyle w:val="TAC"/>
              <w:rPr>
                <w:lang w:eastAsia="en-US"/>
              </w:rPr>
            </w:pPr>
            <w:r w:rsidRPr="004D0DAA">
              <w:rPr>
                <w:lang w:eastAsia="en-US"/>
              </w:rPr>
              <w:t>3 (header)</w:t>
            </w:r>
          </w:p>
        </w:tc>
      </w:tr>
      <w:tr w:rsidR="00711444" w:rsidRPr="004D0DAA" w14:paraId="656A6F2E" w14:textId="77777777" w:rsidTr="00AA2A4C">
        <w:tblPrEx>
          <w:tblCellMar>
            <w:top w:w="0" w:type="dxa"/>
            <w:bottom w:w="0" w:type="dxa"/>
          </w:tblCellMar>
        </w:tblPrEx>
        <w:trPr>
          <w:cantSplit/>
          <w:jc w:val="center"/>
        </w:trPr>
        <w:tc>
          <w:tcPr>
            <w:tcW w:w="567" w:type="dxa"/>
          </w:tcPr>
          <w:p w14:paraId="628AAB02" w14:textId="77777777" w:rsidR="00711444" w:rsidRPr="004D0DAA" w:rsidRDefault="00711444" w:rsidP="00AA2A4C">
            <w:pPr>
              <w:pStyle w:val="TAC"/>
              <w:rPr>
                <w:lang w:eastAsia="en-US"/>
              </w:rPr>
            </w:pPr>
          </w:p>
        </w:tc>
        <w:tc>
          <w:tcPr>
            <w:tcW w:w="567" w:type="dxa"/>
          </w:tcPr>
          <w:p w14:paraId="7CCF53A6" w14:textId="77777777" w:rsidR="00711444" w:rsidRPr="004D0DAA" w:rsidRDefault="00711444" w:rsidP="00AA2A4C">
            <w:pPr>
              <w:pStyle w:val="TAC"/>
              <w:rPr>
                <w:lang w:eastAsia="en-US"/>
              </w:rPr>
            </w:pPr>
            <w:r w:rsidRPr="004D0DAA">
              <w:rPr>
                <w:lang w:eastAsia="en-US"/>
              </w:rPr>
              <w:t>Spare</w:t>
            </w:r>
          </w:p>
        </w:tc>
        <w:tc>
          <w:tcPr>
            <w:tcW w:w="567" w:type="dxa"/>
          </w:tcPr>
          <w:p w14:paraId="38C90509" w14:textId="77777777" w:rsidR="00711444" w:rsidRPr="004D0DAA" w:rsidRDefault="00711444" w:rsidP="00AA2A4C">
            <w:pPr>
              <w:pStyle w:val="TAC"/>
              <w:rPr>
                <w:lang w:eastAsia="en-US"/>
              </w:rPr>
            </w:pPr>
            <w:r w:rsidRPr="004D0DAA">
              <w:rPr>
                <w:lang w:eastAsia="en-US"/>
              </w:rPr>
              <w:t>PI</w:t>
            </w:r>
          </w:p>
        </w:tc>
        <w:tc>
          <w:tcPr>
            <w:tcW w:w="567" w:type="dxa"/>
          </w:tcPr>
          <w:p w14:paraId="12D2FC52" w14:textId="77777777" w:rsidR="00711444" w:rsidRPr="004D0DAA" w:rsidRDefault="00711444" w:rsidP="00AA2A4C">
            <w:pPr>
              <w:pStyle w:val="TAC"/>
              <w:rPr>
                <w:lang w:eastAsia="en-US"/>
              </w:rPr>
            </w:pPr>
            <w:r w:rsidRPr="004D0DAA">
              <w:rPr>
                <w:lang w:eastAsia="en-US"/>
              </w:rPr>
              <w:t>RSB</w:t>
            </w:r>
          </w:p>
        </w:tc>
        <w:tc>
          <w:tcPr>
            <w:tcW w:w="1134" w:type="dxa"/>
            <w:gridSpan w:val="2"/>
          </w:tcPr>
          <w:p w14:paraId="4326854B" w14:textId="77777777" w:rsidR="00711444" w:rsidRPr="004D0DAA" w:rsidRDefault="00711444" w:rsidP="00AA2A4C">
            <w:pPr>
              <w:pStyle w:val="TAC"/>
              <w:rPr>
                <w:lang w:eastAsia="en-US"/>
              </w:rPr>
            </w:pPr>
            <w:r w:rsidRPr="004D0DAA">
              <w:rPr>
                <w:lang w:eastAsia="en-US"/>
              </w:rPr>
              <w:t>SPB</w:t>
            </w:r>
          </w:p>
        </w:tc>
        <w:tc>
          <w:tcPr>
            <w:tcW w:w="1134" w:type="dxa"/>
            <w:gridSpan w:val="2"/>
          </w:tcPr>
          <w:p w14:paraId="37D46E3B" w14:textId="77777777" w:rsidR="00711444" w:rsidRPr="004D0DAA" w:rsidRDefault="00711444" w:rsidP="00AA2A4C">
            <w:pPr>
              <w:pStyle w:val="TAC"/>
              <w:rPr>
                <w:lang w:eastAsia="en-US"/>
              </w:rPr>
            </w:pPr>
            <w:r w:rsidRPr="004D0DAA">
              <w:rPr>
                <w:lang w:eastAsia="en-US"/>
              </w:rPr>
              <w:t>CPS</w:t>
            </w:r>
          </w:p>
        </w:tc>
        <w:tc>
          <w:tcPr>
            <w:tcW w:w="1701" w:type="dxa"/>
            <w:tcBorders>
              <w:top w:val="nil"/>
              <w:bottom w:val="nil"/>
              <w:right w:val="nil"/>
            </w:tcBorders>
          </w:tcPr>
          <w:p w14:paraId="6B959B0F" w14:textId="77777777" w:rsidR="00711444" w:rsidRPr="004D0DAA" w:rsidRDefault="00711444" w:rsidP="00AA2A4C">
            <w:pPr>
              <w:pStyle w:val="TAC"/>
              <w:rPr>
                <w:lang w:eastAsia="en-US"/>
              </w:rPr>
            </w:pPr>
            <w:r w:rsidRPr="004D0DAA">
              <w:rPr>
                <w:i/>
                <w:lang w:eastAsia="en-US"/>
              </w:rPr>
              <w:t>(See note 1 below)</w:t>
            </w:r>
          </w:p>
        </w:tc>
      </w:tr>
      <w:tr w:rsidR="00711444" w:rsidRPr="004D0DAA" w14:paraId="0286183C" w14:textId="77777777" w:rsidTr="00AA2A4C">
        <w:tblPrEx>
          <w:tblCellMar>
            <w:top w:w="0" w:type="dxa"/>
            <w:bottom w:w="0" w:type="dxa"/>
          </w:tblCellMar>
        </w:tblPrEx>
        <w:trPr>
          <w:jc w:val="center"/>
        </w:trPr>
        <w:tc>
          <w:tcPr>
            <w:tcW w:w="567" w:type="dxa"/>
            <w:tcBorders>
              <w:top w:val="nil"/>
              <w:left w:val="nil"/>
              <w:right w:val="nil"/>
            </w:tcBorders>
          </w:tcPr>
          <w:p w14:paraId="3F3824BB" w14:textId="77777777" w:rsidR="00711444" w:rsidRPr="004D0DAA" w:rsidRDefault="00711444" w:rsidP="00AA2A4C"/>
        </w:tc>
        <w:tc>
          <w:tcPr>
            <w:tcW w:w="567" w:type="dxa"/>
            <w:tcBorders>
              <w:top w:val="single" w:sz="18" w:space="0" w:color="auto"/>
              <w:left w:val="nil"/>
              <w:right w:val="nil"/>
            </w:tcBorders>
          </w:tcPr>
          <w:p w14:paraId="67E5FEC9" w14:textId="77777777" w:rsidR="00711444" w:rsidRPr="004D0DAA" w:rsidRDefault="00711444" w:rsidP="00AA2A4C"/>
        </w:tc>
        <w:tc>
          <w:tcPr>
            <w:tcW w:w="567" w:type="dxa"/>
            <w:tcBorders>
              <w:top w:val="single" w:sz="18" w:space="0" w:color="auto"/>
              <w:left w:val="nil"/>
              <w:right w:val="nil"/>
            </w:tcBorders>
          </w:tcPr>
          <w:p w14:paraId="7D6C5196" w14:textId="77777777" w:rsidR="00711444" w:rsidRPr="004D0DAA" w:rsidRDefault="00711444" w:rsidP="00AA2A4C"/>
        </w:tc>
        <w:tc>
          <w:tcPr>
            <w:tcW w:w="567" w:type="dxa"/>
            <w:tcBorders>
              <w:top w:val="single" w:sz="18" w:space="0" w:color="auto"/>
              <w:left w:val="nil"/>
              <w:right w:val="nil"/>
            </w:tcBorders>
          </w:tcPr>
          <w:p w14:paraId="3F82EF43" w14:textId="77777777" w:rsidR="00711444" w:rsidRPr="004D0DAA" w:rsidRDefault="00711444" w:rsidP="00AA2A4C"/>
        </w:tc>
        <w:tc>
          <w:tcPr>
            <w:tcW w:w="567" w:type="dxa"/>
            <w:tcBorders>
              <w:top w:val="single" w:sz="18" w:space="0" w:color="auto"/>
              <w:left w:val="nil"/>
              <w:right w:val="nil"/>
            </w:tcBorders>
          </w:tcPr>
          <w:p w14:paraId="1D21BC47" w14:textId="77777777" w:rsidR="00711444" w:rsidRPr="004D0DAA" w:rsidRDefault="00711444" w:rsidP="00AA2A4C"/>
        </w:tc>
        <w:tc>
          <w:tcPr>
            <w:tcW w:w="567" w:type="dxa"/>
            <w:tcBorders>
              <w:top w:val="single" w:sz="18" w:space="0" w:color="auto"/>
              <w:left w:val="nil"/>
            </w:tcBorders>
          </w:tcPr>
          <w:p w14:paraId="3240A897" w14:textId="77777777" w:rsidR="00711444" w:rsidRPr="004D0DAA" w:rsidRDefault="00711444" w:rsidP="00AA2A4C"/>
        </w:tc>
        <w:tc>
          <w:tcPr>
            <w:tcW w:w="567" w:type="dxa"/>
            <w:tcBorders>
              <w:top w:val="single" w:sz="18" w:space="0" w:color="auto"/>
            </w:tcBorders>
          </w:tcPr>
          <w:p w14:paraId="7590768E" w14:textId="77777777" w:rsidR="00711444" w:rsidRPr="004D0DAA" w:rsidRDefault="00711444" w:rsidP="00AA2A4C">
            <w:pPr>
              <w:pStyle w:val="TAC"/>
              <w:rPr>
                <w:lang w:eastAsia="en-US"/>
              </w:rPr>
            </w:pPr>
            <w:r w:rsidRPr="004D0DAA">
              <w:rPr>
                <w:lang w:eastAsia="en-US"/>
              </w:rPr>
              <w:t>TI</w:t>
            </w:r>
          </w:p>
        </w:tc>
        <w:tc>
          <w:tcPr>
            <w:tcW w:w="567" w:type="dxa"/>
            <w:tcBorders>
              <w:top w:val="single" w:sz="18" w:space="0" w:color="auto"/>
            </w:tcBorders>
          </w:tcPr>
          <w:p w14:paraId="42210D49" w14:textId="77777777" w:rsidR="00711444" w:rsidRPr="004D0DAA" w:rsidRDefault="00711444" w:rsidP="00AA2A4C">
            <w:pPr>
              <w:pStyle w:val="TAC"/>
              <w:rPr>
                <w:lang w:eastAsia="en-US"/>
              </w:rPr>
            </w:pPr>
            <w:r w:rsidRPr="004D0DAA">
              <w:rPr>
                <w:lang w:eastAsia="en-US"/>
              </w:rPr>
              <w:t>E</w:t>
            </w:r>
          </w:p>
        </w:tc>
        <w:tc>
          <w:tcPr>
            <w:tcW w:w="1701" w:type="dxa"/>
            <w:tcBorders>
              <w:top w:val="nil"/>
              <w:bottom w:val="nil"/>
              <w:right w:val="nil"/>
            </w:tcBorders>
          </w:tcPr>
          <w:p w14:paraId="09079259" w14:textId="77777777" w:rsidR="00711444" w:rsidRPr="004D0DAA" w:rsidRDefault="00711444" w:rsidP="00AA2A4C">
            <w:pPr>
              <w:pStyle w:val="TAC"/>
              <w:rPr>
                <w:lang w:eastAsia="en-US"/>
              </w:rPr>
            </w:pPr>
            <w:r w:rsidRPr="004D0DAA">
              <w:rPr>
                <w:i/>
                <w:lang w:eastAsia="en-US"/>
              </w:rPr>
              <w:t>(See note 2 below)</w:t>
            </w:r>
          </w:p>
        </w:tc>
      </w:tr>
      <w:tr w:rsidR="00711444" w:rsidRPr="004D0DAA" w14:paraId="6C78E9AF" w14:textId="77777777" w:rsidTr="00AA2A4C">
        <w:tblPrEx>
          <w:tblCellMar>
            <w:top w:w="0" w:type="dxa"/>
            <w:bottom w:w="0" w:type="dxa"/>
          </w:tblCellMar>
        </w:tblPrEx>
        <w:trPr>
          <w:cantSplit/>
          <w:jc w:val="center"/>
        </w:trPr>
        <w:tc>
          <w:tcPr>
            <w:tcW w:w="4536" w:type="dxa"/>
            <w:gridSpan w:val="8"/>
          </w:tcPr>
          <w:p w14:paraId="6D5C563D" w14:textId="77777777" w:rsidR="00711444" w:rsidRPr="004D0DAA" w:rsidRDefault="00711444" w:rsidP="00AA2A4C">
            <w:pPr>
              <w:pStyle w:val="TAC"/>
              <w:rPr>
                <w:lang w:eastAsia="en-US"/>
              </w:rPr>
            </w:pPr>
            <w:r w:rsidRPr="004D0DAA">
              <w:rPr>
                <w:lang w:eastAsia="en-US"/>
              </w:rPr>
              <w:t>LLC2 (octet 58)</w:t>
            </w:r>
          </w:p>
        </w:tc>
        <w:tc>
          <w:tcPr>
            <w:tcW w:w="1701" w:type="dxa"/>
            <w:tcBorders>
              <w:top w:val="nil"/>
              <w:bottom w:val="nil"/>
              <w:right w:val="nil"/>
            </w:tcBorders>
          </w:tcPr>
          <w:p w14:paraId="0A6554F5" w14:textId="77777777" w:rsidR="00711444" w:rsidRPr="004D0DAA" w:rsidRDefault="00711444" w:rsidP="00AA2A4C">
            <w:pPr>
              <w:pStyle w:val="TAC"/>
              <w:rPr>
                <w:lang w:eastAsia="en-US"/>
              </w:rPr>
            </w:pPr>
            <w:r w:rsidRPr="004D0DAA">
              <w:rPr>
                <w:lang w:eastAsia="en-US"/>
              </w:rPr>
              <w:t>1 (RLC data)</w:t>
            </w:r>
          </w:p>
        </w:tc>
      </w:tr>
      <w:tr w:rsidR="00711444" w:rsidRPr="004D0DAA" w14:paraId="6F2CAED7" w14:textId="77777777" w:rsidTr="00AA2A4C">
        <w:tblPrEx>
          <w:tblCellMar>
            <w:top w:w="0" w:type="dxa"/>
            <w:bottom w:w="0" w:type="dxa"/>
          </w:tblCellMar>
        </w:tblPrEx>
        <w:trPr>
          <w:cantSplit/>
          <w:jc w:val="center"/>
        </w:trPr>
        <w:tc>
          <w:tcPr>
            <w:tcW w:w="4536" w:type="dxa"/>
            <w:gridSpan w:val="8"/>
          </w:tcPr>
          <w:p w14:paraId="75A9BEA1" w14:textId="77777777" w:rsidR="00711444" w:rsidRPr="004D0DAA" w:rsidRDefault="00711444" w:rsidP="00AA2A4C">
            <w:pPr>
              <w:pStyle w:val="TAC"/>
              <w:rPr>
                <w:lang w:eastAsia="en-US"/>
              </w:rPr>
            </w:pPr>
            <w:r w:rsidRPr="004D0DAA">
              <w:rPr>
                <w:lang w:eastAsia="en-US"/>
              </w:rPr>
              <w:t>LLC2 (octet 59)</w:t>
            </w:r>
          </w:p>
        </w:tc>
        <w:tc>
          <w:tcPr>
            <w:tcW w:w="1701" w:type="dxa"/>
            <w:tcBorders>
              <w:top w:val="nil"/>
              <w:bottom w:val="nil"/>
              <w:right w:val="nil"/>
            </w:tcBorders>
          </w:tcPr>
          <w:p w14:paraId="0C032199" w14:textId="77777777" w:rsidR="00711444" w:rsidRPr="004D0DAA" w:rsidRDefault="00711444" w:rsidP="00AA2A4C">
            <w:pPr>
              <w:pStyle w:val="TAC"/>
              <w:rPr>
                <w:lang w:eastAsia="en-US"/>
              </w:rPr>
            </w:pPr>
            <w:r w:rsidRPr="004D0DAA">
              <w:rPr>
                <w:lang w:eastAsia="en-US"/>
              </w:rPr>
              <w:t>2 (RLC data)</w:t>
            </w:r>
          </w:p>
        </w:tc>
      </w:tr>
      <w:tr w:rsidR="00711444" w:rsidRPr="004D0DAA" w14:paraId="3AB0F70E" w14:textId="77777777" w:rsidTr="00AA2A4C">
        <w:tblPrEx>
          <w:tblCellMar>
            <w:top w:w="0" w:type="dxa"/>
            <w:bottom w:w="0" w:type="dxa"/>
          </w:tblCellMar>
        </w:tblPrEx>
        <w:trPr>
          <w:cantSplit/>
          <w:jc w:val="center"/>
        </w:trPr>
        <w:tc>
          <w:tcPr>
            <w:tcW w:w="4536" w:type="dxa"/>
            <w:gridSpan w:val="8"/>
          </w:tcPr>
          <w:p w14:paraId="203C5A28" w14:textId="77777777" w:rsidR="00711444" w:rsidRPr="004D0DAA" w:rsidRDefault="00711444" w:rsidP="00AA2A4C">
            <w:pPr>
              <w:pStyle w:val="TAC"/>
              <w:rPr>
                <w:lang w:eastAsia="en-US"/>
              </w:rPr>
            </w:pPr>
            <w:r w:rsidRPr="004D0DAA">
              <w:rPr>
                <w:lang w:eastAsia="en-US"/>
              </w:rPr>
              <w:t>LLC2 (octet 60)</w:t>
            </w:r>
          </w:p>
        </w:tc>
        <w:tc>
          <w:tcPr>
            <w:tcW w:w="1701" w:type="dxa"/>
            <w:tcBorders>
              <w:top w:val="nil"/>
              <w:bottom w:val="nil"/>
              <w:right w:val="nil"/>
            </w:tcBorders>
          </w:tcPr>
          <w:p w14:paraId="465B614F" w14:textId="77777777" w:rsidR="00711444" w:rsidRPr="004D0DAA" w:rsidRDefault="00711444" w:rsidP="00AA2A4C">
            <w:pPr>
              <w:pStyle w:val="TAC"/>
              <w:rPr>
                <w:lang w:eastAsia="en-US"/>
              </w:rPr>
            </w:pPr>
            <w:r w:rsidRPr="004D0DAA">
              <w:rPr>
                <w:lang w:eastAsia="en-US"/>
              </w:rPr>
              <w:t>3 (RLC data)</w:t>
            </w:r>
          </w:p>
        </w:tc>
      </w:tr>
      <w:tr w:rsidR="00711444" w:rsidRPr="004D0DAA" w14:paraId="18CF790D" w14:textId="77777777" w:rsidTr="00AA2A4C">
        <w:tblPrEx>
          <w:tblCellMar>
            <w:top w:w="0" w:type="dxa"/>
            <w:bottom w:w="0" w:type="dxa"/>
          </w:tblCellMar>
        </w:tblPrEx>
        <w:trPr>
          <w:cantSplit/>
          <w:jc w:val="center"/>
        </w:trPr>
        <w:tc>
          <w:tcPr>
            <w:tcW w:w="4536" w:type="dxa"/>
            <w:gridSpan w:val="8"/>
          </w:tcPr>
          <w:p w14:paraId="3202A862" w14:textId="77777777" w:rsidR="00711444" w:rsidRPr="004D0DAA" w:rsidRDefault="00711444" w:rsidP="00AA2A4C">
            <w:pPr>
              <w:pStyle w:val="TAC"/>
              <w:rPr>
                <w:lang w:eastAsia="en-US"/>
              </w:rPr>
            </w:pPr>
            <w:r w:rsidRPr="004D0DAA">
              <w:rPr>
                <w:lang w:eastAsia="en-US"/>
              </w:rPr>
              <w:t>LLC3 (octet 1)</w:t>
            </w:r>
          </w:p>
        </w:tc>
        <w:tc>
          <w:tcPr>
            <w:tcW w:w="1701" w:type="dxa"/>
            <w:tcBorders>
              <w:top w:val="nil"/>
              <w:bottom w:val="nil"/>
              <w:right w:val="nil"/>
            </w:tcBorders>
          </w:tcPr>
          <w:p w14:paraId="2B027857" w14:textId="77777777" w:rsidR="00711444" w:rsidRPr="004D0DAA" w:rsidRDefault="00711444" w:rsidP="00AA2A4C">
            <w:pPr>
              <w:pStyle w:val="TAC"/>
              <w:rPr>
                <w:lang w:eastAsia="en-US"/>
              </w:rPr>
            </w:pPr>
            <w:r w:rsidRPr="004D0DAA">
              <w:rPr>
                <w:lang w:eastAsia="en-US"/>
              </w:rPr>
              <w:t>4 (RLC data)</w:t>
            </w:r>
          </w:p>
        </w:tc>
      </w:tr>
      <w:tr w:rsidR="00711444" w:rsidRPr="004D0DAA" w14:paraId="1817AE57" w14:textId="77777777" w:rsidTr="00AA2A4C">
        <w:tblPrEx>
          <w:tblCellMar>
            <w:top w:w="0" w:type="dxa"/>
            <w:bottom w:w="0" w:type="dxa"/>
          </w:tblCellMar>
        </w:tblPrEx>
        <w:trPr>
          <w:cantSplit/>
          <w:jc w:val="center"/>
        </w:trPr>
        <w:tc>
          <w:tcPr>
            <w:tcW w:w="4536" w:type="dxa"/>
            <w:gridSpan w:val="8"/>
          </w:tcPr>
          <w:p w14:paraId="6A639A39" w14:textId="77777777" w:rsidR="00711444" w:rsidRPr="004D0DAA" w:rsidRDefault="00711444" w:rsidP="00AA2A4C">
            <w:pPr>
              <w:pStyle w:val="TAC"/>
              <w:rPr>
                <w:lang w:eastAsia="en-US"/>
              </w:rPr>
            </w:pPr>
            <w:r w:rsidRPr="004D0DAA">
              <w:rPr>
                <w:lang w:eastAsia="en-US"/>
              </w:rPr>
              <w:t>LLC3 (octet 2)</w:t>
            </w:r>
          </w:p>
        </w:tc>
        <w:tc>
          <w:tcPr>
            <w:tcW w:w="1701" w:type="dxa"/>
            <w:tcBorders>
              <w:top w:val="nil"/>
              <w:bottom w:val="nil"/>
              <w:right w:val="nil"/>
            </w:tcBorders>
          </w:tcPr>
          <w:p w14:paraId="0A2066E2" w14:textId="77777777" w:rsidR="00711444" w:rsidRPr="004D0DAA" w:rsidRDefault="00711444" w:rsidP="00AA2A4C">
            <w:pPr>
              <w:pStyle w:val="TAC"/>
              <w:rPr>
                <w:lang w:eastAsia="en-US"/>
              </w:rPr>
            </w:pPr>
            <w:r w:rsidRPr="004D0DAA">
              <w:rPr>
                <w:lang w:eastAsia="en-US"/>
              </w:rPr>
              <w:t>5 (RLC data)</w:t>
            </w:r>
          </w:p>
        </w:tc>
      </w:tr>
      <w:tr w:rsidR="00711444" w:rsidRPr="004D0DAA" w14:paraId="4404B170" w14:textId="77777777" w:rsidTr="00AA2A4C">
        <w:tblPrEx>
          <w:tblCellMar>
            <w:top w:w="0" w:type="dxa"/>
            <w:bottom w:w="0" w:type="dxa"/>
          </w:tblCellMar>
        </w:tblPrEx>
        <w:trPr>
          <w:cantSplit/>
          <w:jc w:val="center"/>
        </w:trPr>
        <w:tc>
          <w:tcPr>
            <w:tcW w:w="4536" w:type="dxa"/>
            <w:gridSpan w:val="8"/>
            <w:tcBorders>
              <w:left w:val="nil"/>
              <w:right w:val="nil"/>
            </w:tcBorders>
          </w:tcPr>
          <w:p w14:paraId="5F8808F5" w14:textId="77777777" w:rsidR="00711444" w:rsidRPr="004D0DAA" w:rsidRDefault="00711444" w:rsidP="00AA2A4C">
            <w:pPr>
              <w:pStyle w:val="TAC"/>
              <w:rPr>
                <w:lang w:eastAsia="en-US"/>
              </w:rPr>
            </w:pPr>
            <w:r w:rsidRPr="004D0DAA">
              <w:rPr>
                <w:b/>
                <w:lang w:eastAsia="en-US"/>
              </w:rPr>
              <w:t>: :</w:t>
            </w:r>
          </w:p>
        </w:tc>
        <w:tc>
          <w:tcPr>
            <w:tcW w:w="1701" w:type="dxa"/>
            <w:tcBorders>
              <w:top w:val="nil"/>
              <w:left w:val="nil"/>
              <w:bottom w:val="nil"/>
              <w:right w:val="nil"/>
            </w:tcBorders>
          </w:tcPr>
          <w:p w14:paraId="00CC988B" w14:textId="77777777" w:rsidR="00711444" w:rsidRPr="004D0DAA" w:rsidRDefault="00711444" w:rsidP="00AA2A4C">
            <w:pPr>
              <w:pStyle w:val="TAC"/>
              <w:rPr>
                <w:lang w:eastAsia="en-US"/>
              </w:rPr>
            </w:pPr>
            <w:r w:rsidRPr="004D0DAA">
              <w:rPr>
                <w:lang w:eastAsia="en-US"/>
              </w:rPr>
              <w:t>:</w:t>
            </w:r>
          </w:p>
        </w:tc>
      </w:tr>
      <w:tr w:rsidR="00711444" w:rsidRPr="004D0DAA" w14:paraId="485D8858" w14:textId="77777777" w:rsidTr="00AA2A4C">
        <w:tblPrEx>
          <w:tblCellMar>
            <w:top w:w="0" w:type="dxa"/>
            <w:bottom w:w="0" w:type="dxa"/>
          </w:tblCellMar>
        </w:tblPrEx>
        <w:trPr>
          <w:cantSplit/>
          <w:jc w:val="center"/>
        </w:trPr>
        <w:tc>
          <w:tcPr>
            <w:tcW w:w="4536" w:type="dxa"/>
            <w:gridSpan w:val="8"/>
          </w:tcPr>
          <w:p w14:paraId="0317DE39" w14:textId="77777777" w:rsidR="00711444" w:rsidRPr="004D0DAA" w:rsidRDefault="00711444" w:rsidP="00AA2A4C">
            <w:pPr>
              <w:pStyle w:val="TAC"/>
              <w:rPr>
                <w:lang w:eastAsia="en-US"/>
              </w:rPr>
            </w:pPr>
            <w:r w:rsidRPr="004D0DAA">
              <w:rPr>
                <w:lang w:eastAsia="en-US"/>
              </w:rPr>
              <w:t>LLC3 (octet 33)</w:t>
            </w:r>
          </w:p>
        </w:tc>
        <w:tc>
          <w:tcPr>
            <w:tcW w:w="1701" w:type="dxa"/>
            <w:tcBorders>
              <w:top w:val="nil"/>
              <w:bottom w:val="nil"/>
              <w:right w:val="nil"/>
            </w:tcBorders>
          </w:tcPr>
          <w:p w14:paraId="45B4E90E" w14:textId="77777777" w:rsidR="00711444" w:rsidRPr="004D0DAA" w:rsidRDefault="00711444" w:rsidP="00AA2A4C">
            <w:pPr>
              <w:pStyle w:val="TAC"/>
              <w:rPr>
                <w:lang w:eastAsia="en-US"/>
              </w:rPr>
            </w:pPr>
            <w:r w:rsidRPr="004D0DAA">
              <w:rPr>
                <w:lang w:eastAsia="en-US"/>
              </w:rPr>
              <w:t>36 (RLC data)</w:t>
            </w:r>
          </w:p>
        </w:tc>
      </w:tr>
      <w:tr w:rsidR="00711444" w:rsidRPr="004D0DAA" w14:paraId="43792D7D" w14:textId="77777777" w:rsidTr="00AA2A4C">
        <w:tblPrEx>
          <w:tblCellMar>
            <w:top w:w="0" w:type="dxa"/>
            <w:bottom w:w="0" w:type="dxa"/>
          </w:tblCellMar>
        </w:tblPrEx>
        <w:trPr>
          <w:cantSplit/>
          <w:jc w:val="center"/>
        </w:trPr>
        <w:tc>
          <w:tcPr>
            <w:tcW w:w="4536" w:type="dxa"/>
            <w:gridSpan w:val="8"/>
          </w:tcPr>
          <w:p w14:paraId="474462AC" w14:textId="77777777" w:rsidR="00711444" w:rsidRPr="004D0DAA" w:rsidRDefault="00711444" w:rsidP="00AA2A4C">
            <w:pPr>
              <w:pStyle w:val="TAC"/>
              <w:rPr>
                <w:lang w:eastAsia="en-US"/>
              </w:rPr>
            </w:pPr>
            <w:r w:rsidRPr="004D0DAA">
              <w:rPr>
                <w:lang w:eastAsia="en-US"/>
              </w:rPr>
              <w:t>LLC3 (octet 34)</w:t>
            </w:r>
          </w:p>
        </w:tc>
        <w:tc>
          <w:tcPr>
            <w:tcW w:w="1701" w:type="dxa"/>
            <w:tcBorders>
              <w:top w:val="nil"/>
              <w:bottom w:val="nil"/>
              <w:right w:val="nil"/>
            </w:tcBorders>
          </w:tcPr>
          <w:p w14:paraId="258A3DFF" w14:textId="77777777" w:rsidR="00711444" w:rsidRPr="004D0DAA" w:rsidRDefault="00711444" w:rsidP="00AA2A4C">
            <w:pPr>
              <w:pStyle w:val="TAC"/>
              <w:rPr>
                <w:lang w:eastAsia="en-US"/>
              </w:rPr>
            </w:pPr>
            <w:r w:rsidRPr="004D0DAA">
              <w:rPr>
                <w:lang w:eastAsia="en-US"/>
              </w:rPr>
              <w:t>37 (RLC data)</w:t>
            </w:r>
          </w:p>
        </w:tc>
      </w:tr>
    </w:tbl>
    <w:p w14:paraId="1AD2E3B0" w14:textId="77777777" w:rsidR="00711444" w:rsidRPr="004D0DAA" w:rsidRDefault="00711444" w:rsidP="00711444"/>
    <w:p w14:paraId="27759129" w14:textId="77777777" w:rsidR="00711444" w:rsidRPr="004D0DAA" w:rsidRDefault="00711444" w:rsidP="00711444">
      <w:pPr>
        <w:pStyle w:val="NO"/>
      </w:pPr>
      <w:r w:rsidRPr="004D0DAA">
        <w:t>NOTE 1:</w:t>
      </w:r>
      <w:r w:rsidRPr="004D0DAA">
        <w:tab/>
        <w:t>At this row, only a few bits are sent (not a full octet).</w:t>
      </w:r>
    </w:p>
    <w:p w14:paraId="644E8A8A" w14:textId="77777777" w:rsidR="00711444" w:rsidRPr="004D0DAA" w:rsidRDefault="00711444" w:rsidP="00711444">
      <w:pPr>
        <w:pStyle w:val="NO"/>
      </w:pPr>
      <w:r w:rsidRPr="004D0DAA">
        <w:t>NOTE 2:</w:t>
      </w:r>
      <w:r w:rsidRPr="004D0DAA">
        <w:tab/>
        <w:t>In this radio block, the bits TI / E are meaningless.</w:t>
      </w:r>
    </w:p>
    <w:p w14:paraId="3425B643" w14:textId="77777777" w:rsidR="00711444" w:rsidRPr="004D0DAA" w:rsidRDefault="00711444" w:rsidP="00711444">
      <w:pPr>
        <w:pStyle w:val="Heading8"/>
      </w:pPr>
      <w:r w:rsidRPr="004D0DAA">
        <w:br w:type="page"/>
      </w:r>
      <w:bookmarkStart w:id="916" w:name="_Toc516670085"/>
      <w:r w:rsidRPr="004D0DAA">
        <w:lastRenderedPageBreak/>
        <w:t>Annex K (informative):</w:t>
      </w:r>
      <w:r w:rsidRPr="004D0DAA">
        <w:br/>
        <w:t>Signalling uplink assignments for Downlink Dual Carrier and/or RTTI or MTTI configurations</w:t>
      </w:r>
      <w:bookmarkEnd w:id="916"/>
    </w:p>
    <w:p w14:paraId="25CDF1EC" w14:textId="77777777" w:rsidR="00711444" w:rsidRPr="004D0DAA" w:rsidRDefault="00711444" w:rsidP="00711444">
      <w:r w:rsidRPr="004D0DAA">
        <w:t>In the PACKET UPLINK ASSIGNMENT and PACKET TIMESLOT RECONFIGURE, uplink assignments may include the Dynamic Allocation 2 struct.</w:t>
      </w:r>
    </w:p>
    <w:p w14:paraId="68C6AC72" w14:textId="77777777" w:rsidR="00711444" w:rsidRPr="004D0DAA" w:rsidRDefault="00711444" w:rsidP="00711444">
      <w:r w:rsidRPr="004D0DAA">
        <w:t>The maximum number of USFs, timeslots and PDCH pairs for which allocations are made (i.e. the maximum value of N_USF + 1, N_TS + 1 and N_PAIRS + 1, respectively), and hence the maximum number of repetitions of the subsequent fields and structures, are as follows: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1453"/>
        <w:gridCol w:w="1933"/>
        <w:gridCol w:w="1355"/>
        <w:gridCol w:w="1418"/>
        <w:gridCol w:w="1607"/>
      </w:tblGrid>
      <w:tr w:rsidR="00711444" w:rsidRPr="004D0DAA" w14:paraId="21F972FD" w14:textId="77777777" w:rsidTr="00AA2A4C">
        <w:trPr>
          <w:jc w:val="center"/>
        </w:trPr>
        <w:tc>
          <w:tcPr>
            <w:tcW w:w="1684" w:type="dxa"/>
          </w:tcPr>
          <w:p w14:paraId="28D276B8" w14:textId="77777777" w:rsidR="00711444" w:rsidRPr="004D0DAA" w:rsidRDefault="00711444" w:rsidP="00AA2A4C">
            <w:pPr>
              <w:pStyle w:val="TAH"/>
              <w:rPr>
                <w:lang w:eastAsia="en-US"/>
              </w:rPr>
            </w:pPr>
            <w:r w:rsidRPr="004D0DAA">
              <w:rPr>
                <w:lang w:eastAsia="en-US"/>
              </w:rPr>
              <w:t>Assignment Type</w:t>
            </w:r>
          </w:p>
        </w:tc>
        <w:tc>
          <w:tcPr>
            <w:tcW w:w="1453" w:type="dxa"/>
          </w:tcPr>
          <w:p w14:paraId="2D213A80" w14:textId="77777777" w:rsidR="00711444" w:rsidRPr="004D0DAA" w:rsidRDefault="00711444" w:rsidP="00AA2A4C">
            <w:pPr>
              <w:pStyle w:val="TAH"/>
              <w:rPr>
                <w:lang w:eastAsia="en-US"/>
              </w:rPr>
            </w:pPr>
            <w:r w:rsidRPr="004D0DAA">
              <w:rPr>
                <w:lang w:eastAsia="en-US"/>
              </w:rPr>
              <w:t>RTTI/MTTI configuration</w:t>
            </w:r>
          </w:p>
        </w:tc>
        <w:tc>
          <w:tcPr>
            <w:tcW w:w="1933" w:type="dxa"/>
          </w:tcPr>
          <w:p w14:paraId="6ECE092E" w14:textId="77777777" w:rsidR="00711444" w:rsidRPr="004D0DAA" w:rsidRDefault="00711444" w:rsidP="00AA2A4C">
            <w:pPr>
              <w:pStyle w:val="TAH"/>
              <w:rPr>
                <w:lang w:eastAsia="en-US"/>
              </w:rPr>
            </w:pPr>
            <w:r w:rsidRPr="004D0DAA">
              <w:rPr>
                <w:lang w:eastAsia="en-US"/>
              </w:rPr>
              <w:t>USF mode (applicable to RTTI configurations only)</w:t>
            </w:r>
          </w:p>
        </w:tc>
        <w:tc>
          <w:tcPr>
            <w:tcW w:w="1355" w:type="dxa"/>
          </w:tcPr>
          <w:p w14:paraId="71430AE4" w14:textId="77777777" w:rsidR="00711444" w:rsidRPr="004D0DAA" w:rsidRDefault="00711444" w:rsidP="00AA2A4C">
            <w:pPr>
              <w:pStyle w:val="TAH"/>
              <w:rPr>
                <w:lang w:eastAsia="en-US"/>
              </w:rPr>
            </w:pPr>
            <w:r w:rsidRPr="004D0DAA">
              <w:rPr>
                <w:lang w:eastAsia="en-US"/>
              </w:rPr>
              <w:t>Maximum value of (N_USF + 1)</w:t>
            </w:r>
          </w:p>
        </w:tc>
        <w:tc>
          <w:tcPr>
            <w:tcW w:w="1418" w:type="dxa"/>
          </w:tcPr>
          <w:p w14:paraId="3405BD4C" w14:textId="77777777" w:rsidR="00711444" w:rsidRPr="004D0DAA" w:rsidRDefault="00711444" w:rsidP="00AA2A4C">
            <w:pPr>
              <w:pStyle w:val="TAH"/>
              <w:rPr>
                <w:lang w:eastAsia="en-US"/>
              </w:rPr>
            </w:pPr>
            <w:r w:rsidRPr="004D0DAA">
              <w:rPr>
                <w:lang w:eastAsia="en-US"/>
              </w:rPr>
              <w:t>Maximum value of (N_TS + 1)</w:t>
            </w:r>
          </w:p>
        </w:tc>
        <w:tc>
          <w:tcPr>
            <w:tcW w:w="1607" w:type="dxa"/>
          </w:tcPr>
          <w:p w14:paraId="5B3BD8CF" w14:textId="77777777" w:rsidR="00711444" w:rsidRPr="004D0DAA" w:rsidRDefault="00711444" w:rsidP="00AA2A4C">
            <w:pPr>
              <w:pStyle w:val="TAH"/>
              <w:rPr>
                <w:lang w:eastAsia="en-US"/>
              </w:rPr>
            </w:pPr>
            <w:r w:rsidRPr="004D0DAA">
              <w:rPr>
                <w:lang w:eastAsia="en-US"/>
              </w:rPr>
              <w:t>Maximum value of (N_PAIRS + 1)</w:t>
            </w:r>
          </w:p>
        </w:tc>
      </w:tr>
      <w:tr w:rsidR="00711444" w:rsidRPr="004D0DAA" w14:paraId="35EC4A1E" w14:textId="77777777" w:rsidTr="00AA2A4C">
        <w:trPr>
          <w:jc w:val="center"/>
        </w:trPr>
        <w:tc>
          <w:tcPr>
            <w:tcW w:w="1684" w:type="dxa"/>
            <w:vMerge w:val="restart"/>
          </w:tcPr>
          <w:p w14:paraId="79BD1C10" w14:textId="77777777" w:rsidR="00711444" w:rsidRPr="004D0DAA" w:rsidRDefault="00711444" w:rsidP="00AA2A4C">
            <w:pPr>
              <w:pStyle w:val="TAH"/>
              <w:rPr>
                <w:lang w:eastAsia="en-US"/>
              </w:rPr>
            </w:pPr>
            <w:r w:rsidRPr="004D0DAA">
              <w:rPr>
                <w:lang w:eastAsia="en-US"/>
              </w:rPr>
              <w:t>Single Carrier Assignment</w:t>
            </w:r>
          </w:p>
          <w:p w14:paraId="66EA8EF1" w14:textId="77777777" w:rsidR="00711444" w:rsidRPr="004D0DAA" w:rsidRDefault="00711444" w:rsidP="00AA2A4C">
            <w:pPr>
              <w:pStyle w:val="TAH"/>
              <w:rPr>
                <w:lang w:eastAsia="en-US"/>
              </w:rPr>
            </w:pPr>
            <w:r w:rsidRPr="004D0DAA">
              <w:rPr>
                <w:lang w:eastAsia="en-US"/>
              </w:rPr>
              <w:t>(Note 1)</w:t>
            </w:r>
          </w:p>
        </w:tc>
        <w:tc>
          <w:tcPr>
            <w:tcW w:w="1453" w:type="dxa"/>
          </w:tcPr>
          <w:p w14:paraId="4F7A9A94" w14:textId="77777777" w:rsidR="00711444" w:rsidRPr="004D0DAA" w:rsidRDefault="00711444" w:rsidP="00AA2A4C">
            <w:pPr>
              <w:pStyle w:val="TAC"/>
              <w:rPr>
                <w:lang w:eastAsia="en-US"/>
              </w:rPr>
            </w:pPr>
            <w:r w:rsidRPr="004D0DAA">
              <w:rPr>
                <w:lang w:eastAsia="en-US"/>
              </w:rPr>
              <w:t>No</w:t>
            </w:r>
          </w:p>
        </w:tc>
        <w:tc>
          <w:tcPr>
            <w:tcW w:w="1933" w:type="dxa"/>
          </w:tcPr>
          <w:p w14:paraId="2D88F03D" w14:textId="77777777" w:rsidR="00711444" w:rsidRPr="004D0DAA" w:rsidRDefault="00711444" w:rsidP="00AA2A4C">
            <w:pPr>
              <w:pStyle w:val="TAC"/>
              <w:rPr>
                <w:lang w:eastAsia="en-US"/>
              </w:rPr>
            </w:pPr>
          </w:p>
        </w:tc>
        <w:tc>
          <w:tcPr>
            <w:tcW w:w="1355" w:type="dxa"/>
          </w:tcPr>
          <w:p w14:paraId="79753125" w14:textId="77777777" w:rsidR="00711444" w:rsidRPr="004D0DAA" w:rsidRDefault="00711444" w:rsidP="00AA2A4C">
            <w:pPr>
              <w:pStyle w:val="TAC"/>
              <w:rPr>
                <w:lang w:eastAsia="en-US"/>
              </w:rPr>
            </w:pPr>
            <w:r w:rsidRPr="004D0DAA">
              <w:rPr>
                <w:lang w:eastAsia="en-US"/>
              </w:rPr>
              <w:t>8</w:t>
            </w:r>
          </w:p>
        </w:tc>
        <w:tc>
          <w:tcPr>
            <w:tcW w:w="1418" w:type="dxa"/>
          </w:tcPr>
          <w:p w14:paraId="1FEB423E" w14:textId="77777777" w:rsidR="00711444" w:rsidRPr="004D0DAA" w:rsidRDefault="00711444" w:rsidP="00AA2A4C">
            <w:pPr>
              <w:pStyle w:val="TAC"/>
              <w:rPr>
                <w:lang w:eastAsia="en-US"/>
              </w:rPr>
            </w:pPr>
            <w:r w:rsidRPr="004D0DAA">
              <w:rPr>
                <w:lang w:eastAsia="en-US"/>
              </w:rPr>
              <w:t>8</w:t>
            </w:r>
          </w:p>
        </w:tc>
        <w:tc>
          <w:tcPr>
            <w:tcW w:w="1607" w:type="dxa"/>
          </w:tcPr>
          <w:p w14:paraId="1F590A49" w14:textId="77777777" w:rsidR="00711444" w:rsidRPr="004D0DAA" w:rsidRDefault="00711444" w:rsidP="00AA2A4C">
            <w:pPr>
              <w:pStyle w:val="TAC"/>
              <w:rPr>
                <w:lang w:eastAsia="en-US"/>
              </w:rPr>
            </w:pPr>
            <w:r w:rsidRPr="004D0DAA">
              <w:rPr>
                <w:lang w:eastAsia="en-US"/>
              </w:rPr>
              <w:t>n/a</w:t>
            </w:r>
          </w:p>
        </w:tc>
      </w:tr>
      <w:tr w:rsidR="00711444" w:rsidRPr="004D0DAA" w14:paraId="0EDF0C5F" w14:textId="77777777" w:rsidTr="00AA2A4C">
        <w:trPr>
          <w:jc w:val="center"/>
        </w:trPr>
        <w:tc>
          <w:tcPr>
            <w:tcW w:w="1684" w:type="dxa"/>
            <w:vMerge/>
          </w:tcPr>
          <w:p w14:paraId="44E43232" w14:textId="77777777" w:rsidR="00711444" w:rsidRPr="004D0DAA" w:rsidRDefault="00711444" w:rsidP="00AA2A4C">
            <w:pPr>
              <w:pStyle w:val="TAH"/>
              <w:rPr>
                <w:lang w:eastAsia="en-US"/>
              </w:rPr>
            </w:pPr>
          </w:p>
        </w:tc>
        <w:tc>
          <w:tcPr>
            <w:tcW w:w="1453" w:type="dxa"/>
          </w:tcPr>
          <w:p w14:paraId="01668514" w14:textId="77777777" w:rsidR="00711444" w:rsidRPr="004D0DAA" w:rsidRDefault="00711444" w:rsidP="00AA2A4C">
            <w:pPr>
              <w:pStyle w:val="TAC"/>
              <w:rPr>
                <w:lang w:eastAsia="en-US"/>
              </w:rPr>
            </w:pPr>
            <w:r w:rsidRPr="004D0DAA">
              <w:rPr>
                <w:lang w:eastAsia="en-US"/>
              </w:rPr>
              <w:t>Yes</w:t>
            </w:r>
          </w:p>
        </w:tc>
        <w:tc>
          <w:tcPr>
            <w:tcW w:w="1933" w:type="dxa"/>
          </w:tcPr>
          <w:p w14:paraId="550C0CBB" w14:textId="77777777" w:rsidR="00711444" w:rsidRPr="004D0DAA" w:rsidRDefault="00711444" w:rsidP="00AA2A4C">
            <w:pPr>
              <w:pStyle w:val="TAC"/>
              <w:rPr>
                <w:lang w:eastAsia="en-US"/>
              </w:rPr>
            </w:pPr>
            <w:r w:rsidRPr="004D0DAA">
              <w:rPr>
                <w:lang w:eastAsia="en-US"/>
              </w:rPr>
              <w:t>RTTI</w:t>
            </w:r>
          </w:p>
        </w:tc>
        <w:tc>
          <w:tcPr>
            <w:tcW w:w="1355" w:type="dxa"/>
          </w:tcPr>
          <w:p w14:paraId="4A51522D" w14:textId="77777777" w:rsidR="00711444" w:rsidRPr="004D0DAA" w:rsidRDefault="00711444" w:rsidP="00AA2A4C">
            <w:pPr>
              <w:pStyle w:val="TAC"/>
              <w:rPr>
                <w:lang w:eastAsia="en-US"/>
              </w:rPr>
            </w:pPr>
            <w:r w:rsidRPr="004D0DAA">
              <w:rPr>
                <w:lang w:eastAsia="en-US"/>
              </w:rPr>
              <w:t>4</w:t>
            </w:r>
          </w:p>
        </w:tc>
        <w:tc>
          <w:tcPr>
            <w:tcW w:w="1418" w:type="dxa"/>
          </w:tcPr>
          <w:p w14:paraId="2CCA7166" w14:textId="77777777" w:rsidR="00711444" w:rsidRPr="004D0DAA" w:rsidRDefault="00711444" w:rsidP="00AA2A4C">
            <w:pPr>
              <w:pStyle w:val="TAC"/>
              <w:rPr>
                <w:lang w:eastAsia="en-US"/>
              </w:rPr>
            </w:pPr>
            <w:r w:rsidRPr="004D0DAA">
              <w:rPr>
                <w:lang w:eastAsia="en-US"/>
              </w:rPr>
              <w:t>n/a</w:t>
            </w:r>
          </w:p>
        </w:tc>
        <w:tc>
          <w:tcPr>
            <w:tcW w:w="1607" w:type="dxa"/>
          </w:tcPr>
          <w:p w14:paraId="6D6D22DB" w14:textId="77777777" w:rsidR="00711444" w:rsidRPr="004D0DAA" w:rsidRDefault="00711444" w:rsidP="00AA2A4C">
            <w:pPr>
              <w:pStyle w:val="TAC"/>
              <w:rPr>
                <w:lang w:eastAsia="en-US"/>
              </w:rPr>
            </w:pPr>
            <w:r w:rsidRPr="004D0DAA">
              <w:rPr>
                <w:lang w:eastAsia="en-US"/>
              </w:rPr>
              <w:t>4</w:t>
            </w:r>
          </w:p>
        </w:tc>
      </w:tr>
      <w:tr w:rsidR="00711444" w:rsidRPr="004D0DAA" w14:paraId="3297EA9F" w14:textId="77777777" w:rsidTr="00AA2A4C">
        <w:trPr>
          <w:jc w:val="center"/>
        </w:trPr>
        <w:tc>
          <w:tcPr>
            <w:tcW w:w="1684" w:type="dxa"/>
            <w:vMerge/>
          </w:tcPr>
          <w:p w14:paraId="1DEA3FB4" w14:textId="77777777" w:rsidR="00711444" w:rsidRPr="004D0DAA" w:rsidRDefault="00711444" w:rsidP="00AA2A4C">
            <w:pPr>
              <w:pStyle w:val="TAH"/>
              <w:rPr>
                <w:lang w:eastAsia="en-US"/>
              </w:rPr>
            </w:pPr>
          </w:p>
        </w:tc>
        <w:tc>
          <w:tcPr>
            <w:tcW w:w="1453" w:type="dxa"/>
          </w:tcPr>
          <w:p w14:paraId="3E9A8FCB" w14:textId="77777777" w:rsidR="00711444" w:rsidRPr="004D0DAA" w:rsidRDefault="00711444" w:rsidP="00AA2A4C">
            <w:pPr>
              <w:pStyle w:val="TAC"/>
              <w:rPr>
                <w:lang w:eastAsia="en-US"/>
              </w:rPr>
            </w:pPr>
            <w:r w:rsidRPr="004D0DAA">
              <w:rPr>
                <w:lang w:eastAsia="en-US"/>
              </w:rPr>
              <w:t>Yes</w:t>
            </w:r>
          </w:p>
        </w:tc>
        <w:tc>
          <w:tcPr>
            <w:tcW w:w="1933" w:type="dxa"/>
          </w:tcPr>
          <w:p w14:paraId="4A8B2973" w14:textId="77777777" w:rsidR="00711444" w:rsidRPr="004D0DAA" w:rsidRDefault="00711444" w:rsidP="00AA2A4C">
            <w:pPr>
              <w:pStyle w:val="TAC"/>
              <w:rPr>
                <w:lang w:eastAsia="en-US"/>
              </w:rPr>
            </w:pPr>
            <w:r w:rsidRPr="004D0DAA">
              <w:rPr>
                <w:lang w:eastAsia="en-US"/>
              </w:rPr>
              <w:t>BTTI</w:t>
            </w:r>
          </w:p>
        </w:tc>
        <w:tc>
          <w:tcPr>
            <w:tcW w:w="1355" w:type="dxa"/>
          </w:tcPr>
          <w:p w14:paraId="57C1FE49" w14:textId="77777777" w:rsidR="00711444" w:rsidRPr="004D0DAA" w:rsidRDefault="00711444" w:rsidP="00AA2A4C">
            <w:pPr>
              <w:pStyle w:val="TAC"/>
              <w:rPr>
                <w:lang w:eastAsia="en-US"/>
              </w:rPr>
            </w:pPr>
            <w:r w:rsidRPr="004D0DAA">
              <w:rPr>
                <w:lang w:eastAsia="en-US"/>
              </w:rPr>
              <w:t>8</w:t>
            </w:r>
          </w:p>
        </w:tc>
        <w:tc>
          <w:tcPr>
            <w:tcW w:w="1418" w:type="dxa"/>
          </w:tcPr>
          <w:p w14:paraId="48452ABC" w14:textId="77777777" w:rsidR="00711444" w:rsidRPr="004D0DAA" w:rsidRDefault="00711444" w:rsidP="00AA2A4C">
            <w:pPr>
              <w:pStyle w:val="TAC"/>
              <w:rPr>
                <w:lang w:eastAsia="en-US"/>
              </w:rPr>
            </w:pPr>
            <w:r w:rsidRPr="004D0DAA">
              <w:rPr>
                <w:lang w:eastAsia="en-US"/>
              </w:rPr>
              <w:t>n/a</w:t>
            </w:r>
          </w:p>
        </w:tc>
        <w:tc>
          <w:tcPr>
            <w:tcW w:w="1607" w:type="dxa"/>
          </w:tcPr>
          <w:p w14:paraId="20853D93" w14:textId="77777777" w:rsidR="00711444" w:rsidRPr="004D0DAA" w:rsidRDefault="00711444" w:rsidP="00AA2A4C">
            <w:pPr>
              <w:pStyle w:val="TAC"/>
              <w:rPr>
                <w:lang w:eastAsia="en-US"/>
              </w:rPr>
            </w:pPr>
            <w:r w:rsidRPr="004D0DAA">
              <w:rPr>
                <w:lang w:eastAsia="en-US"/>
              </w:rPr>
              <w:t>4</w:t>
            </w:r>
          </w:p>
        </w:tc>
      </w:tr>
      <w:tr w:rsidR="00711444" w:rsidRPr="004D0DAA" w14:paraId="3CBB18F1" w14:textId="77777777" w:rsidTr="00AA2A4C">
        <w:trPr>
          <w:jc w:val="center"/>
        </w:trPr>
        <w:tc>
          <w:tcPr>
            <w:tcW w:w="1684" w:type="dxa"/>
            <w:vMerge w:val="restart"/>
          </w:tcPr>
          <w:p w14:paraId="0910B4C6" w14:textId="77777777" w:rsidR="00711444" w:rsidRPr="004D0DAA" w:rsidRDefault="00711444" w:rsidP="00AA2A4C">
            <w:pPr>
              <w:pStyle w:val="TAH"/>
              <w:rPr>
                <w:lang w:eastAsia="en-US"/>
              </w:rPr>
            </w:pPr>
            <w:r w:rsidRPr="004D0DAA">
              <w:rPr>
                <w:lang w:eastAsia="en-US"/>
              </w:rPr>
              <w:t>Dual Carrier Assignment</w:t>
            </w:r>
          </w:p>
        </w:tc>
        <w:tc>
          <w:tcPr>
            <w:tcW w:w="1453" w:type="dxa"/>
          </w:tcPr>
          <w:p w14:paraId="60F3CFB1" w14:textId="77777777" w:rsidR="00711444" w:rsidRPr="004D0DAA" w:rsidRDefault="00711444" w:rsidP="00AA2A4C">
            <w:pPr>
              <w:pStyle w:val="TAC"/>
              <w:rPr>
                <w:lang w:eastAsia="en-US"/>
              </w:rPr>
            </w:pPr>
            <w:r w:rsidRPr="004D0DAA">
              <w:rPr>
                <w:lang w:eastAsia="en-US"/>
              </w:rPr>
              <w:t>No</w:t>
            </w:r>
          </w:p>
        </w:tc>
        <w:tc>
          <w:tcPr>
            <w:tcW w:w="1933" w:type="dxa"/>
          </w:tcPr>
          <w:p w14:paraId="0473A93F" w14:textId="77777777" w:rsidR="00711444" w:rsidRPr="004D0DAA" w:rsidRDefault="00711444" w:rsidP="00AA2A4C"/>
        </w:tc>
        <w:tc>
          <w:tcPr>
            <w:tcW w:w="1355" w:type="dxa"/>
          </w:tcPr>
          <w:p w14:paraId="64309799" w14:textId="77777777" w:rsidR="00711444" w:rsidRPr="004D0DAA" w:rsidRDefault="00711444" w:rsidP="00AA2A4C">
            <w:pPr>
              <w:pStyle w:val="TAC"/>
              <w:rPr>
                <w:lang w:eastAsia="en-US"/>
              </w:rPr>
            </w:pPr>
            <w:r w:rsidRPr="004D0DAA">
              <w:rPr>
                <w:lang w:eastAsia="en-US"/>
              </w:rPr>
              <w:t>16</w:t>
            </w:r>
          </w:p>
        </w:tc>
        <w:tc>
          <w:tcPr>
            <w:tcW w:w="1418" w:type="dxa"/>
          </w:tcPr>
          <w:p w14:paraId="3734ADE3" w14:textId="77777777" w:rsidR="00711444" w:rsidRPr="004D0DAA" w:rsidRDefault="00711444" w:rsidP="00AA2A4C">
            <w:pPr>
              <w:pStyle w:val="TAC"/>
              <w:rPr>
                <w:lang w:eastAsia="en-US"/>
              </w:rPr>
            </w:pPr>
            <w:r w:rsidRPr="004D0DAA">
              <w:rPr>
                <w:lang w:eastAsia="en-US"/>
              </w:rPr>
              <w:t>16</w:t>
            </w:r>
          </w:p>
        </w:tc>
        <w:tc>
          <w:tcPr>
            <w:tcW w:w="1607" w:type="dxa"/>
          </w:tcPr>
          <w:p w14:paraId="7AFFA71E" w14:textId="77777777" w:rsidR="00711444" w:rsidRPr="004D0DAA" w:rsidRDefault="00711444" w:rsidP="00AA2A4C">
            <w:pPr>
              <w:pStyle w:val="TAC"/>
              <w:rPr>
                <w:lang w:eastAsia="en-US"/>
              </w:rPr>
            </w:pPr>
            <w:r w:rsidRPr="004D0DAA">
              <w:rPr>
                <w:lang w:eastAsia="en-US"/>
              </w:rPr>
              <w:t>n/a</w:t>
            </w:r>
          </w:p>
        </w:tc>
      </w:tr>
      <w:tr w:rsidR="00711444" w:rsidRPr="004D0DAA" w14:paraId="2FFA7766" w14:textId="77777777" w:rsidTr="00AA2A4C">
        <w:trPr>
          <w:jc w:val="center"/>
        </w:trPr>
        <w:tc>
          <w:tcPr>
            <w:tcW w:w="1684" w:type="dxa"/>
            <w:vMerge/>
          </w:tcPr>
          <w:p w14:paraId="70B8B6E1" w14:textId="77777777" w:rsidR="00711444" w:rsidRPr="004D0DAA" w:rsidRDefault="00711444" w:rsidP="00AA2A4C">
            <w:pPr>
              <w:pStyle w:val="TAH"/>
              <w:rPr>
                <w:lang w:eastAsia="en-US"/>
              </w:rPr>
            </w:pPr>
          </w:p>
        </w:tc>
        <w:tc>
          <w:tcPr>
            <w:tcW w:w="1453" w:type="dxa"/>
          </w:tcPr>
          <w:p w14:paraId="794CD410" w14:textId="77777777" w:rsidR="00711444" w:rsidRPr="004D0DAA" w:rsidRDefault="00711444" w:rsidP="00AA2A4C">
            <w:pPr>
              <w:pStyle w:val="TAC"/>
              <w:rPr>
                <w:lang w:eastAsia="en-US"/>
              </w:rPr>
            </w:pPr>
            <w:r w:rsidRPr="004D0DAA">
              <w:rPr>
                <w:lang w:eastAsia="en-US"/>
              </w:rPr>
              <w:t>Yes</w:t>
            </w:r>
          </w:p>
        </w:tc>
        <w:tc>
          <w:tcPr>
            <w:tcW w:w="1933" w:type="dxa"/>
          </w:tcPr>
          <w:p w14:paraId="1370739C" w14:textId="77777777" w:rsidR="00711444" w:rsidRPr="004D0DAA" w:rsidRDefault="00711444" w:rsidP="00AA2A4C">
            <w:pPr>
              <w:pStyle w:val="TAC"/>
              <w:rPr>
                <w:lang w:eastAsia="en-US"/>
              </w:rPr>
            </w:pPr>
            <w:r w:rsidRPr="004D0DAA">
              <w:rPr>
                <w:lang w:eastAsia="en-US"/>
              </w:rPr>
              <w:t>RTTI</w:t>
            </w:r>
          </w:p>
        </w:tc>
        <w:tc>
          <w:tcPr>
            <w:tcW w:w="1355" w:type="dxa"/>
          </w:tcPr>
          <w:p w14:paraId="5C0FDCA5" w14:textId="77777777" w:rsidR="00711444" w:rsidRPr="004D0DAA" w:rsidRDefault="00711444" w:rsidP="00AA2A4C">
            <w:pPr>
              <w:pStyle w:val="TAC"/>
              <w:rPr>
                <w:lang w:eastAsia="en-US"/>
              </w:rPr>
            </w:pPr>
            <w:r w:rsidRPr="004D0DAA">
              <w:rPr>
                <w:lang w:eastAsia="en-US"/>
              </w:rPr>
              <w:t>8</w:t>
            </w:r>
          </w:p>
        </w:tc>
        <w:tc>
          <w:tcPr>
            <w:tcW w:w="1418" w:type="dxa"/>
          </w:tcPr>
          <w:p w14:paraId="67908FE3" w14:textId="77777777" w:rsidR="00711444" w:rsidRPr="004D0DAA" w:rsidRDefault="00711444" w:rsidP="00AA2A4C">
            <w:pPr>
              <w:pStyle w:val="TAC"/>
              <w:rPr>
                <w:lang w:eastAsia="en-US"/>
              </w:rPr>
            </w:pPr>
            <w:r w:rsidRPr="004D0DAA">
              <w:rPr>
                <w:lang w:eastAsia="en-US"/>
              </w:rPr>
              <w:t>n/a</w:t>
            </w:r>
          </w:p>
        </w:tc>
        <w:tc>
          <w:tcPr>
            <w:tcW w:w="1607" w:type="dxa"/>
          </w:tcPr>
          <w:p w14:paraId="2FECF186" w14:textId="77777777" w:rsidR="00711444" w:rsidRPr="004D0DAA" w:rsidRDefault="00711444" w:rsidP="00AA2A4C">
            <w:pPr>
              <w:pStyle w:val="TAC"/>
              <w:rPr>
                <w:lang w:eastAsia="en-US"/>
              </w:rPr>
            </w:pPr>
            <w:r w:rsidRPr="004D0DAA">
              <w:rPr>
                <w:lang w:eastAsia="en-US"/>
              </w:rPr>
              <w:t>8</w:t>
            </w:r>
          </w:p>
        </w:tc>
      </w:tr>
      <w:tr w:rsidR="00711444" w:rsidRPr="004D0DAA" w14:paraId="080883C0" w14:textId="77777777" w:rsidTr="00AA2A4C">
        <w:trPr>
          <w:jc w:val="center"/>
        </w:trPr>
        <w:tc>
          <w:tcPr>
            <w:tcW w:w="1684" w:type="dxa"/>
            <w:vMerge/>
          </w:tcPr>
          <w:p w14:paraId="36C3561A" w14:textId="77777777" w:rsidR="00711444" w:rsidRPr="004D0DAA" w:rsidRDefault="00711444" w:rsidP="00AA2A4C">
            <w:pPr>
              <w:pStyle w:val="TAH"/>
              <w:rPr>
                <w:lang w:eastAsia="en-US"/>
              </w:rPr>
            </w:pPr>
          </w:p>
        </w:tc>
        <w:tc>
          <w:tcPr>
            <w:tcW w:w="1453" w:type="dxa"/>
          </w:tcPr>
          <w:p w14:paraId="7ECAF94F" w14:textId="77777777" w:rsidR="00711444" w:rsidRPr="004D0DAA" w:rsidRDefault="00711444" w:rsidP="00AA2A4C">
            <w:pPr>
              <w:pStyle w:val="TAC"/>
              <w:rPr>
                <w:lang w:eastAsia="en-US"/>
              </w:rPr>
            </w:pPr>
            <w:r w:rsidRPr="004D0DAA">
              <w:rPr>
                <w:lang w:eastAsia="en-US"/>
              </w:rPr>
              <w:t>Yes</w:t>
            </w:r>
          </w:p>
        </w:tc>
        <w:tc>
          <w:tcPr>
            <w:tcW w:w="1933" w:type="dxa"/>
          </w:tcPr>
          <w:p w14:paraId="4BCB520C" w14:textId="77777777" w:rsidR="00711444" w:rsidRPr="004D0DAA" w:rsidRDefault="00711444" w:rsidP="00AA2A4C">
            <w:pPr>
              <w:pStyle w:val="TAC"/>
              <w:rPr>
                <w:lang w:eastAsia="en-US"/>
              </w:rPr>
            </w:pPr>
            <w:r w:rsidRPr="004D0DAA">
              <w:rPr>
                <w:lang w:eastAsia="en-US"/>
              </w:rPr>
              <w:t>BTTI</w:t>
            </w:r>
          </w:p>
        </w:tc>
        <w:tc>
          <w:tcPr>
            <w:tcW w:w="1355" w:type="dxa"/>
          </w:tcPr>
          <w:p w14:paraId="5217640F" w14:textId="77777777" w:rsidR="00711444" w:rsidRPr="004D0DAA" w:rsidRDefault="00711444" w:rsidP="00AA2A4C">
            <w:pPr>
              <w:pStyle w:val="TAC"/>
              <w:rPr>
                <w:lang w:eastAsia="en-US"/>
              </w:rPr>
            </w:pPr>
            <w:r w:rsidRPr="004D0DAA">
              <w:rPr>
                <w:lang w:eastAsia="en-US"/>
              </w:rPr>
              <w:t>16</w:t>
            </w:r>
          </w:p>
        </w:tc>
        <w:tc>
          <w:tcPr>
            <w:tcW w:w="1418" w:type="dxa"/>
          </w:tcPr>
          <w:p w14:paraId="66667B26" w14:textId="77777777" w:rsidR="00711444" w:rsidRPr="004D0DAA" w:rsidRDefault="00711444" w:rsidP="00AA2A4C">
            <w:pPr>
              <w:pStyle w:val="TAC"/>
              <w:rPr>
                <w:lang w:eastAsia="en-US"/>
              </w:rPr>
            </w:pPr>
            <w:r w:rsidRPr="004D0DAA">
              <w:rPr>
                <w:lang w:eastAsia="en-US"/>
              </w:rPr>
              <w:t>n/a</w:t>
            </w:r>
          </w:p>
        </w:tc>
        <w:tc>
          <w:tcPr>
            <w:tcW w:w="1607" w:type="dxa"/>
          </w:tcPr>
          <w:p w14:paraId="048F49A2" w14:textId="77777777" w:rsidR="00711444" w:rsidRPr="004D0DAA" w:rsidRDefault="00711444" w:rsidP="00AA2A4C">
            <w:pPr>
              <w:pStyle w:val="TAC"/>
              <w:rPr>
                <w:lang w:eastAsia="en-US"/>
              </w:rPr>
            </w:pPr>
            <w:r w:rsidRPr="004D0DAA">
              <w:rPr>
                <w:lang w:eastAsia="en-US"/>
              </w:rPr>
              <w:t>8</w:t>
            </w:r>
          </w:p>
        </w:tc>
      </w:tr>
      <w:tr w:rsidR="00711444" w:rsidRPr="004D0DAA" w14:paraId="7867F15F" w14:textId="77777777" w:rsidTr="00AA2A4C">
        <w:trPr>
          <w:jc w:val="center"/>
        </w:trPr>
        <w:tc>
          <w:tcPr>
            <w:tcW w:w="9450" w:type="dxa"/>
            <w:gridSpan w:val="6"/>
          </w:tcPr>
          <w:p w14:paraId="49B3238F" w14:textId="77777777" w:rsidR="00711444" w:rsidRPr="004D0DAA" w:rsidRDefault="00711444" w:rsidP="00AA2A4C">
            <w:pPr>
              <w:pStyle w:val="TAN"/>
              <w:rPr>
                <w:lang w:eastAsia="en-US"/>
              </w:rPr>
            </w:pPr>
            <w:r w:rsidRPr="004D0DAA">
              <w:rPr>
                <w:lang w:eastAsia="en-US"/>
              </w:rPr>
              <w:t>NOTE 1:</w:t>
            </w:r>
            <w:r w:rsidRPr="004D0DAA">
              <w:rPr>
                <w:lang w:eastAsia="en-US"/>
              </w:rPr>
              <w:tab/>
              <w:t>This applies when the Assignment Type field indicates "Assignment on single carrier only" or "Modification of Existing Assignment"</w:t>
            </w:r>
          </w:p>
        </w:tc>
      </w:tr>
    </w:tbl>
    <w:p w14:paraId="46A3D434" w14:textId="77777777" w:rsidR="00711444" w:rsidRPr="004D0DAA" w:rsidRDefault="00711444" w:rsidP="00711444"/>
    <w:p w14:paraId="1610B120" w14:textId="77777777" w:rsidR="00711444" w:rsidRPr="004D0DAA" w:rsidRDefault="00711444" w:rsidP="00711444">
      <w:r w:rsidRPr="004D0DAA">
        <w:t>The order of USF assignment for RTTI assignments is as shown in the table below. PNx stands for PDCH pair number x, where PDCH pairs are ordered according to the timeslot numbers of their constituent PDCHs. The prefixes C1 and C2 indicate the resources on carrier 1 and carrier 2 respectively. The subscript 'a' (respectively 'b') indicates that the USF applies to the first two (respectively second two) TDMA frames of the following basic radio block period (see sub-clauses 8.1.1.1, 8.1.1.2.1).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9"/>
        <w:gridCol w:w="1788"/>
        <w:gridCol w:w="2607"/>
        <w:gridCol w:w="2607"/>
        <w:tblGridChange w:id="917">
          <w:tblGrid>
            <w:gridCol w:w="1929"/>
            <w:gridCol w:w="1788"/>
            <w:gridCol w:w="2607"/>
            <w:gridCol w:w="2607"/>
          </w:tblGrid>
        </w:tblGridChange>
      </w:tblGrid>
      <w:tr w:rsidR="00711444" w:rsidRPr="004D0DAA" w14:paraId="5D88C3A5" w14:textId="77777777" w:rsidTr="00AA2A4C">
        <w:trPr>
          <w:jc w:val="center"/>
        </w:trPr>
        <w:tc>
          <w:tcPr>
            <w:tcW w:w="1929" w:type="dxa"/>
          </w:tcPr>
          <w:p w14:paraId="1967D120" w14:textId="77777777" w:rsidR="00711444" w:rsidRPr="004D0DAA" w:rsidRDefault="00711444" w:rsidP="00AA2A4C">
            <w:pPr>
              <w:pStyle w:val="TAH"/>
              <w:rPr>
                <w:lang w:eastAsia="en-US"/>
              </w:rPr>
            </w:pPr>
            <w:r w:rsidRPr="004D0DAA">
              <w:rPr>
                <w:lang w:eastAsia="en-US"/>
              </w:rPr>
              <w:t xml:space="preserve">Assignment Type </w:t>
            </w:r>
          </w:p>
        </w:tc>
        <w:tc>
          <w:tcPr>
            <w:tcW w:w="1788" w:type="dxa"/>
          </w:tcPr>
          <w:p w14:paraId="3ECE6A74" w14:textId="77777777" w:rsidR="00711444" w:rsidRPr="004D0DAA" w:rsidRDefault="00711444" w:rsidP="00AA2A4C">
            <w:pPr>
              <w:pStyle w:val="TAH"/>
              <w:rPr>
                <w:lang w:eastAsia="en-US"/>
              </w:rPr>
            </w:pPr>
            <w:r w:rsidRPr="004D0DAA">
              <w:rPr>
                <w:lang w:eastAsia="en-US"/>
              </w:rPr>
              <w:t>RTTI configuration</w:t>
            </w:r>
          </w:p>
        </w:tc>
        <w:tc>
          <w:tcPr>
            <w:tcW w:w="2607" w:type="dxa"/>
          </w:tcPr>
          <w:p w14:paraId="0FD6B5F7" w14:textId="77777777" w:rsidR="00711444" w:rsidRPr="004D0DAA" w:rsidRDefault="00711444" w:rsidP="00AA2A4C">
            <w:pPr>
              <w:pStyle w:val="TAH"/>
              <w:rPr>
                <w:lang w:eastAsia="en-US"/>
              </w:rPr>
            </w:pPr>
            <w:r w:rsidRPr="004D0DAA">
              <w:rPr>
                <w:lang w:eastAsia="en-US"/>
              </w:rPr>
              <w:t>Order of USF assignments</w:t>
            </w:r>
          </w:p>
        </w:tc>
        <w:tc>
          <w:tcPr>
            <w:tcW w:w="2607" w:type="dxa"/>
          </w:tcPr>
          <w:p w14:paraId="3B0F85B2" w14:textId="77777777" w:rsidR="00711444" w:rsidRPr="004D0DAA" w:rsidRDefault="00711444" w:rsidP="00AA2A4C">
            <w:pPr>
              <w:pStyle w:val="TAH"/>
              <w:rPr>
                <w:lang w:eastAsia="en-US"/>
              </w:rPr>
            </w:pPr>
            <w:r w:rsidRPr="004D0DAA">
              <w:rPr>
                <w:lang w:eastAsia="en-US"/>
              </w:rPr>
              <w:t>Order of USF assignments (RTTI mode with BTTI USF, without power control parameters)</w:t>
            </w:r>
          </w:p>
        </w:tc>
      </w:tr>
      <w:tr w:rsidR="00711444" w:rsidRPr="004D0DAA" w14:paraId="451964F4" w14:textId="77777777" w:rsidTr="00AA2A4C">
        <w:trPr>
          <w:jc w:val="center"/>
        </w:trPr>
        <w:tc>
          <w:tcPr>
            <w:tcW w:w="1929" w:type="dxa"/>
          </w:tcPr>
          <w:p w14:paraId="62C683CE" w14:textId="77777777" w:rsidR="00711444" w:rsidRPr="004D0DAA" w:rsidRDefault="00711444" w:rsidP="00AA2A4C">
            <w:pPr>
              <w:pStyle w:val="TAC"/>
              <w:rPr>
                <w:lang w:eastAsia="en-US"/>
              </w:rPr>
            </w:pPr>
            <w:r w:rsidRPr="004D0DAA">
              <w:rPr>
                <w:lang w:eastAsia="en-US"/>
              </w:rPr>
              <w:t>Single Carrier Assignment</w:t>
            </w:r>
          </w:p>
          <w:p w14:paraId="74BB6121" w14:textId="77777777" w:rsidR="00711444" w:rsidRPr="004D0DAA" w:rsidRDefault="00711444" w:rsidP="00AA2A4C">
            <w:pPr>
              <w:pStyle w:val="TAC"/>
              <w:rPr>
                <w:lang w:eastAsia="en-US"/>
              </w:rPr>
            </w:pPr>
            <w:r w:rsidRPr="004D0DAA">
              <w:rPr>
                <w:lang w:eastAsia="en-US"/>
              </w:rPr>
              <w:t>(Note 1)</w:t>
            </w:r>
          </w:p>
        </w:tc>
        <w:tc>
          <w:tcPr>
            <w:tcW w:w="1788" w:type="dxa"/>
          </w:tcPr>
          <w:p w14:paraId="538A3363" w14:textId="77777777" w:rsidR="00711444" w:rsidRPr="004D0DAA" w:rsidRDefault="00711444" w:rsidP="00AA2A4C">
            <w:pPr>
              <w:pStyle w:val="TAC"/>
              <w:rPr>
                <w:lang w:eastAsia="en-US"/>
              </w:rPr>
            </w:pPr>
            <w:r w:rsidRPr="004D0DAA">
              <w:rPr>
                <w:lang w:eastAsia="en-US"/>
              </w:rPr>
              <w:t>No</w:t>
            </w:r>
          </w:p>
        </w:tc>
        <w:tc>
          <w:tcPr>
            <w:tcW w:w="2607" w:type="dxa"/>
          </w:tcPr>
          <w:p w14:paraId="77E2354D" w14:textId="77777777" w:rsidR="00711444" w:rsidRPr="004D0DAA" w:rsidRDefault="00711444" w:rsidP="00AA2A4C">
            <w:pPr>
              <w:pStyle w:val="TAC"/>
              <w:rPr>
                <w:lang w:eastAsia="en-US"/>
              </w:rPr>
            </w:pPr>
            <w:r w:rsidRPr="004D0DAA">
              <w:rPr>
                <w:lang w:eastAsia="en-US"/>
              </w:rPr>
              <w:t>TN0, ...TN7</w:t>
            </w:r>
          </w:p>
        </w:tc>
        <w:tc>
          <w:tcPr>
            <w:tcW w:w="2607" w:type="dxa"/>
          </w:tcPr>
          <w:p w14:paraId="3C23D118" w14:textId="77777777" w:rsidR="00711444" w:rsidRPr="004D0DAA" w:rsidRDefault="00711444" w:rsidP="00AA2A4C">
            <w:pPr>
              <w:pStyle w:val="TAC"/>
              <w:rPr>
                <w:lang w:eastAsia="en-US"/>
              </w:rPr>
            </w:pPr>
            <w:r w:rsidRPr="004D0DAA">
              <w:rPr>
                <w:lang w:eastAsia="en-US"/>
              </w:rPr>
              <w:t>n/a</w:t>
            </w:r>
          </w:p>
        </w:tc>
      </w:tr>
      <w:tr w:rsidR="00711444" w:rsidRPr="004D0DAA" w14:paraId="0C3DAF03" w14:textId="77777777" w:rsidTr="00AA2A4C">
        <w:trPr>
          <w:jc w:val="center"/>
        </w:trPr>
        <w:tc>
          <w:tcPr>
            <w:tcW w:w="1929" w:type="dxa"/>
          </w:tcPr>
          <w:p w14:paraId="7A42B94E" w14:textId="77777777" w:rsidR="00711444" w:rsidRPr="004D0DAA" w:rsidRDefault="00711444" w:rsidP="00AA2A4C">
            <w:pPr>
              <w:pStyle w:val="TAC"/>
              <w:rPr>
                <w:lang w:eastAsia="en-US"/>
              </w:rPr>
            </w:pPr>
            <w:r w:rsidRPr="004D0DAA">
              <w:rPr>
                <w:lang w:eastAsia="en-US"/>
              </w:rPr>
              <w:t>Single Carrier Assignment</w:t>
            </w:r>
          </w:p>
          <w:p w14:paraId="6CCBEF47" w14:textId="77777777" w:rsidR="00711444" w:rsidRPr="004D0DAA" w:rsidRDefault="00711444" w:rsidP="00AA2A4C">
            <w:pPr>
              <w:pStyle w:val="TAC"/>
              <w:rPr>
                <w:lang w:eastAsia="en-US"/>
              </w:rPr>
            </w:pPr>
            <w:r w:rsidRPr="004D0DAA">
              <w:rPr>
                <w:lang w:eastAsia="en-US"/>
              </w:rPr>
              <w:t>(Note 1)</w:t>
            </w:r>
          </w:p>
        </w:tc>
        <w:tc>
          <w:tcPr>
            <w:tcW w:w="1788" w:type="dxa"/>
          </w:tcPr>
          <w:p w14:paraId="66A76011" w14:textId="77777777" w:rsidR="00711444" w:rsidRPr="004D0DAA" w:rsidRDefault="00711444" w:rsidP="00AA2A4C">
            <w:pPr>
              <w:pStyle w:val="TAC"/>
              <w:rPr>
                <w:lang w:eastAsia="en-US"/>
              </w:rPr>
            </w:pPr>
            <w:r w:rsidRPr="004D0DAA">
              <w:rPr>
                <w:lang w:eastAsia="en-US"/>
              </w:rPr>
              <w:t>Yes</w:t>
            </w:r>
          </w:p>
        </w:tc>
        <w:tc>
          <w:tcPr>
            <w:tcW w:w="2607" w:type="dxa"/>
          </w:tcPr>
          <w:p w14:paraId="3E1D4DF5" w14:textId="77777777" w:rsidR="00711444" w:rsidRPr="004D0DAA" w:rsidRDefault="00711444" w:rsidP="00AA2A4C">
            <w:pPr>
              <w:pStyle w:val="TAC"/>
              <w:rPr>
                <w:lang w:eastAsia="en-US"/>
              </w:rPr>
            </w:pPr>
            <w:r w:rsidRPr="004D0DAA">
              <w:rPr>
                <w:lang w:eastAsia="en-US"/>
              </w:rPr>
              <w:t>PN0, ..PN3</w:t>
            </w:r>
          </w:p>
          <w:p w14:paraId="05448B6C" w14:textId="77777777" w:rsidR="00711444" w:rsidRPr="004D0DAA" w:rsidRDefault="00711444" w:rsidP="00AA2A4C">
            <w:pPr>
              <w:pStyle w:val="TAC"/>
              <w:rPr>
                <w:lang w:eastAsia="en-US"/>
              </w:rPr>
            </w:pPr>
            <w:r w:rsidRPr="004D0DAA">
              <w:rPr>
                <w:lang w:eastAsia="en-US"/>
              </w:rPr>
              <w:t xml:space="preserve"> </w:t>
            </w:r>
          </w:p>
          <w:p w14:paraId="31A5526D" w14:textId="77777777" w:rsidR="00711444" w:rsidRPr="004D0DAA" w:rsidRDefault="00711444" w:rsidP="00AA2A4C">
            <w:pPr>
              <w:pStyle w:val="TAC"/>
              <w:rPr>
                <w:lang w:eastAsia="en-US"/>
              </w:rPr>
            </w:pPr>
            <w:r w:rsidRPr="004D0DAA">
              <w:rPr>
                <w:lang w:eastAsia="en-US"/>
              </w:rPr>
              <w:t>(Note 2)</w:t>
            </w:r>
          </w:p>
        </w:tc>
        <w:tc>
          <w:tcPr>
            <w:tcW w:w="2607" w:type="dxa"/>
          </w:tcPr>
          <w:p w14:paraId="2E57EF2C" w14:textId="77777777" w:rsidR="00711444" w:rsidRPr="004D0DAA" w:rsidRDefault="00711444" w:rsidP="00AA2A4C">
            <w:pPr>
              <w:pStyle w:val="TAC"/>
              <w:rPr>
                <w:lang w:eastAsia="en-US"/>
              </w:rPr>
            </w:pPr>
            <w:r w:rsidRPr="004D0DAA">
              <w:rPr>
                <w:lang w:eastAsia="en-US"/>
              </w:rPr>
              <w:t>PN0a, PN0b, PN1a, ... PN3b</w:t>
            </w:r>
          </w:p>
          <w:p w14:paraId="7E7F4113" w14:textId="77777777" w:rsidR="00711444" w:rsidRPr="004D0DAA" w:rsidRDefault="00711444" w:rsidP="00AA2A4C">
            <w:pPr>
              <w:pStyle w:val="TAC"/>
              <w:rPr>
                <w:lang w:eastAsia="en-US"/>
              </w:rPr>
            </w:pPr>
          </w:p>
          <w:p w14:paraId="72F06ACA" w14:textId="77777777" w:rsidR="00711444" w:rsidRPr="004D0DAA" w:rsidRDefault="00711444" w:rsidP="00AA2A4C">
            <w:pPr>
              <w:pStyle w:val="TAC"/>
              <w:rPr>
                <w:lang w:eastAsia="en-US"/>
              </w:rPr>
            </w:pPr>
            <w:r w:rsidRPr="004D0DAA">
              <w:rPr>
                <w:lang w:eastAsia="en-US"/>
              </w:rPr>
              <w:t>(Note 2)</w:t>
            </w:r>
          </w:p>
        </w:tc>
      </w:tr>
      <w:tr w:rsidR="00711444" w:rsidRPr="004D0DAA" w14:paraId="5EC37623" w14:textId="77777777" w:rsidTr="00AA2A4C">
        <w:trPr>
          <w:jc w:val="center"/>
        </w:trPr>
        <w:tc>
          <w:tcPr>
            <w:tcW w:w="1929" w:type="dxa"/>
          </w:tcPr>
          <w:p w14:paraId="356FC1A9" w14:textId="77777777" w:rsidR="00711444" w:rsidRPr="004D0DAA" w:rsidRDefault="00711444" w:rsidP="00AA2A4C">
            <w:pPr>
              <w:pStyle w:val="TAC"/>
              <w:rPr>
                <w:lang w:eastAsia="en-US"/>
              </w:rPr>
            </w:pPr>
            <w:r w:rsidRPr="004D0DAA">
              <w:rPr>
                <w:lang w:eastAsia="en-US"/>
              </w:rPr>
              <w:t>Dual Carrier Assignment</w:t>
            </w:r>
          </w:p>
        </w:tc>
        <w:tc>
          <w:tcPr>
            <w:tcW w:w="1788" w:type="dxa"/>
          </w:tcPr>
          <w:p w14:paraId="1B653362" w14:textId="77777777" w:rsidR="00711444" w:rsidRPr="004D0DAA" w:rsidRDefault="00711444" w:rsidP="00AA2A4C">
            <w:pPr>
              <w:pStyle w:val="TAC"/>
              <w:rPr>
                <w:lang w:eastAsia="en-US"/>
              </w:rPr>
            </w:pPr>
            <w:r w:rsidRPr="004D0DAA">
              <w:rPr>
                <w:lang w:eastAsia="en-US"/>
              </w:rPr>
              <w:t>No</w:t>
            </w:r>
          </w:p>
        </w:tc>
        <w:tc>
          <w:tcPr>
            <w:tcW w:w="2607" w:type="dxa"/>
          </w:tcPr>
          <w:p w14:paraId="1470F8EB" w14:textId="77777777" w:rsidR="00711444" w:rsidRPr="004D0DAA" w:rsidRDefault="00711444" w:rsidP="00AA2A4C">
            <w:pPr>
              <w:pStyle w:val="TAC"/>
              <w:rPr>
                <w:lang w:eastAsia="en-US"/>
              </w:rPr>
            </w:pPr>
            <w:r w:rsidRPr="004D0DAA">
              <w:rPr>
                <w:lang w:eastAsia="en-US"/>
              </w:rPr>
              <w:t>C1/TN0, ...C1/TN7,</w:t>
            </w:r>
          </w:p>
          <w:p w14:paraId="4D09F955" w14:textId="77777777" w:rsidR="00711444" w:rsidRPr="004D0DAA" w:rsidRDefault="00711444" w:rsidP="00AA2A4C">
            <w:pPr>
              <w:pStyle w:val="TAC"/>
              <w:rPr>
                <w:lang w:eastAsia="en-US"/>
              </w:rPr>
            </w:pPr>
            <w:r w:rsidRPr="004D0DAA">
              <w:rPr>
                <w:lang w:eastAsia="en-US"/>
              </w:rPr>
              <w:t>C2/TN0, ...C2/TN7</w:t>
            </w:r>
          </w:p>
        </w:tc>
        <w:tc>
          <w:tcPr>
            <w:tcW w:w="2607" w:type="dxa"/>
          </w:tcPr>
          <w:p w14:paraId="12AF00EE" w14:textId="77777777" w:rsidR="00711444" w:rsidRPr="004D0DAA" w:rsidRDefault="00711444" w:rsidP="00AA2A4C">
            <w:pPr>
              <w:pStyle w:val="TAC"/>
              <w:rPr>
                <w:lang w:eastAsia="en-US"/>
              </w:rPr>
            </w:pPr>
            <w:r w:rsidRPr="004D0DAA">
              <w:rPr>
                <w:lang w:eastAsia="en-US"/>
              </w:rPr>
              <w:t>n/a</w:t>
            </w:r>
          </w:p>
        </w:tc>
      </w:tr>
      <w:tr w:rsidR="00711444" w:rsidRPr="004D0DAA" w14:paraId="7CAB0B8A" w14:textId="77777777" w:rsidTr="00AA2A4C">
        <w:trPr>
          <w:jc w:val="center"/>
        </w:trPr>
        <w:tc>
          <w:tcPr>
            <w:tcW w:w="1929" w:type="dxa"/>
          </w:tcPr>
          <w:p w14:paraId="0B980817" w14:textId="77777777" w:rsidR="00711444" w:rsidRPr="004D0DAA" w:rsidRDefault="00711444" w:rsidP="00AA2A4C">
            <w:pPr>
              <w:pStyle w:val="TAC"/>
              <w:rPr>
                <w:lang w:eastAsia="en-US"/>
              </w:rPr>
            </w:pPr>
            <w:r w:rsidRPr="004D0DAA">
              <w:rPr>
                <w:lang w:eastAsia="en-US"/>
              </w:rPr>
              <w:t>Dual Carrier Assignment</w:t>
            </w:r>
          </w:p>
        </w:tc>
        <w:tc>
          <w:tcPr>
            <w:tcW w:w="1788" w:type="dxa"/>
          </w:tcPr>
          <w:p w14:paraId="627B18FE" w14:textId="77777777" w:rsidR="00711444" w:rsidRPr="004D0DAA" w:rsidRDefault="00711444" w:rsidP="00AA2A4C">
            <w:pPr>
              <w:pStyle w:val="TAC"/>
              <w:rPr>
                <w:lang w:eastAsia="en-US"/>
              </w:rPr>
            </w:pPr>
            <w:r w:rsidRPr="004D0DAA">
              <w:rPr>
                <w:lang w:eastAsia="en-US"/>
              </w:rPr>
              <w:t>Yes</w:t>
            </w:r>
          </w:p>
        </w:tc>
        <w:tc>
          <w:tcPr>
            <w:tcW w:w="2607" w:type="dxa"/>
          </w:tcPr>
          <w:p w14:paraId="277AC2C8" w14:textId="77777777" w:rsidR="00711444" w:rsidRPr="004D0DAA" w:rsidRDefault="00711444" w:rsidP="00AA2A4C">
            <w:pPr>
              <w:pStyle w:val="TAC"/>
              <w:rPr>
                <w:lang w:eastAsia="en-US"/>
              </w:rPr>
            </w:pPr>
            <w:r w:rsidRPr="004D0DAA">
              <w:rPr>
                <w:lang w:eastAsia="en-US"/>
              </w:rPr>
              <w:t>C1/PN0, ...C1/PN3,</w:t>
            </w:r>
          </w:p>
          <w:p w14:paraId="2B8F4BD3" w14:textId="77777777" w:rsidR="00711444" w:rsidRPr="004D0DAA" w:rsidRDefault="00711444" w:rsidP="00AA2A4C">
            <w:pPr>
              <w:pStyle w:val="TAC"/>
              <w:rPr>
                <w:lang w:eastAsia="en-US"/>
              </w:rPr>
            </w:pPr>
            <w:r w:rsidRPr="004D0DAA">
              <w:rPr>
                <w:lang w:eastAsia="en-US"/>
              </w:rPr>
              <w:t>C2/PN0, ...C2/PN3</w:t>
            </w:r>
          </w:p>
          <w:p w14:paraId="335C96F9" w14:textId="77777777" w:rsidR="00711444" w:rsidRPr="004D0DAA" w:rsidRDefault="00711444" w:rsidP="00AA2A4C">
            <w:pPr>
              <w:pStyle w:val="TAC"/>
              <w:rPr>
                <w:lang w:eastAsia="en-US"/>
              </w:rPr>
            </w:pPr>
          </w:p>
          <w:p w14:paraId="0218A694" w14:textId="77777777" w:rsidR="00711444" w:rsidRPr="004D0DAA" w:rsidRDefault="00711444" w:rsidP="00AA2A4C">
            <w:pPr>
              <w:pStyle w:val="TAC"/>
              <w:rPr>
                <w:lang w:eastAsia="en-US"/>
              </w:rPr>
            </w:pPr>
            <w:r w:rsidRPr="004D0DAA">
              <w:rPr>
                <w:lang w:eastAsia="en-US"/>
              </w:rPr>
              <w:t>(Note 2)</w:t>
            </w:r>
          </w:p>
        </w:tc>
        <w:tc>
          <w:tcPr>
            <w:tcW w:w="2607" w:type="dxa"/>
          </w:tcPr>
          <w:p w14:paraId="06BB2042" w14:textId="77777777" w:rsidR="00711444" w:rsidRPr="004D0DAA" w:rsidRDefault="00711444" w:rsidP="00AA2A4C">
            <w:pPr>
              <w:pStyle w:val="TAC"/>
              <w:rPr>
                <w:lang w:eastAsia="en-US"/>
              </w:rPr>
            </w:pPr>
            <w:r w:rsidRPr="004D0DAA">
              <w:rPr>
                <w:lang w:eastAsia="en-US"/>
              </w:rPr>
              <w:t>C1/PN0a, C1/PN0b, C1/PN1a, ... C1/PN3b, C2/PN0a, C2/PN0b, C2/PN1a, ... C2/PN3b</w:t>
            </w:r>
          </w:p>
          <w:p w14:paraId="53D14910" w14:textId="77777777" w:rsidR="00711444" w:rsidRPr="004D0DAA" w:rsidRDefault="00711444" w:rsidP="00AA2A4C">
            <w:pPr>
              <w:pStyle w:val="TAC"/>
              <w:rPr>
                <w:lang w:eastAsia="en-US"/>
              </w:rPr>
            </w:pPr>
          </w:p>
          <w:p w14:paraId="1EECC76B" w14:textId="77777777" w:rsidR="00711444" w:rsidRPr="004D0DAA" w:rsidRDefault="00711444" w:rsidP="00AA2A4C">
            <w:pPr>
              <w:pStyle w:val="TAC"/>
              <w:rPr>
                <w:lang w:eastAsia="en-US"/>
              </w:rPr>
            </w:pPr>
            <w:r w:rsidRPr="004D0DAA">
              <w:rPr>
                <w:lang w:eastAsia="en-US"/>
              </w:rPr>
              <w:t>(Note 2)</w:t>
            </w:r>
          </w:p>
        </w:tc>
      </w:tr>
      <w:tr w:rsidR="00711444" w:rsidRPr="004D0DAA" w14:paraId="5654336F" w14:textId="77777777" w:rsidTr="00AA2A4C">
        <w:trPr>
          <w:jc w:val="center"/>
        </w:trPr>
        <w:tc>
          <w:tcPr>
            <w:tcW w:w="8931" w:type="dxa"/>
            <w:gridSpan w:val="4"/>
          </w:tcPr>
          <w:p w14:paraId="48E6ABC3" w14:textId="77777777" w:rsidR="00711444" w:rsidRPr="004D0DAA" w:rsidRDefault="00711444" w:rsidP="00AA2A4C">
            <w:pPr>
              <w:pStyle w:val="TAN"/>
              <w:rPr>
                <w:lang w:eastAsia="en-US"/>
              </w:rPr>
            </w:pPr>
            <w:r w:rsidRPr="004D0DAA">
              <w:rPr>
                <w:lang w:eastAsia="en-US"/>
              </w:rPr>
              <w:t>NOTE 1:</w:t>
            </w:r>
            <w:r w:rsidRPr="004D0DAA">
              <w:rPr>
                <w:lang w:eastAsia="en-US"/>
              </w:rPr>
              <w:tab/>
              <w:t>This applies when the Assignment Type field is included and indicates "Assignment on single carrier only" or "Modification of Existing Assignment"</w:t>
            </w:r>
          </w:p>
          <w:p w14:paraId="545830C7" w14:textId="77777777" w:rsidR="00711444" w:rsidRPr="004D0DAA" w:rsidRDefault="00711444" w:rsidP="00AA2A4C">
            <w:pPr>
              <w:pStyle w:val="TAN"/>
              <w:rPr>
                <w:lang w:eastAsia="en-US"/>
              </w:rPr>
            </w:pPr>
            <w:r w:rsidRPr="004D0DAA">
              <w:rPr>
                <w:lang w:eastAsia="en-US"/>
              </w:rPr>
              <w:t>NOTE 2:</w:t>
            </w:r>
            <w:r w:rsidRPr="004D0DAA">
              <w:rPr>
                <w:lang w:eastAsia="en-US"/>
              </w:rPr>
              <w:tab/>
            </w:r>
            <w:r w:rsidRPr="004D0DAA">
              <w:rPr>
                <w:lang w:eastAsia="en-US"/>
              </w:rPr>
              <w:tab/>
              <w:t>In a RTTI configuration, the table assumes a default PDCH pair configuration on each carrier (see sub-clause 7.1.3.6).  If fewer than four PDCH pairs are configured on a carrier the maximum value of N_USF or N_PAIRS is correspondingly reduced and the list contains only the PDCH pairs in the PDCH pair configuration, e.g. if there are 3 PDCH pairs configured on each carrier, the order of USF assignments for a Downlink Dual Carrier, RTTI configuration is C1/PN0 … C1/PN2, C2/PN0 … C2/PN2.</w:t>
            </w:r>
          </w:p>
        </w:tc>
      </w:tr>
    </w:tbl>
    <w:p w14:paraId="77460DCD" w14:textId="77777777" w:rsidR="00711444" w:rsidRPr="004D0DAA" w:rsidRDefault="00711444" w:rsidP="00711444"/>
    <w:p w14:paraId="558C6190" w14:textId="77777777" w:rsidR="00711444" w:rsidRPr="004D0DAA" w:rsidRDefault="00711444" w:rsidP="00711444">
      <w:r w:rsidRPr="004D0DAA">
        <w:lastRenderedPageBreak/>
        <w:t>If the value of (N_USF + 1), (N_TS + 1) or (N_PAIRS + 1) is lower than the maximum, then the list of USF assignments is truncated, and there is (implicitly) no assignment for the timeslots/PDCH pairs for which no corresponding value is present.</w:t>
      </w:r>
    </w:p>
    <w:p w14:paraId="0587C754" w14:textId="77777777" w:rsidR="00711444" w:rsidRPr="004D0DAA" w:rsidRDefault="00711444" w:rsidP="00711444">
      <w:r w:rsidRPr="004D0DAA">
        <w:t>For MTTI configurations, the order of USF assignments for PDCH-pairs is as shown above for RTTI assignments. In addition, the last assigned USF(s) applies to the PDCH on carrier 1 (if assigned) and then to the PDCH on carrier 2 (if assigned).</w:t>
      </w:r>
    </w:p>
    <w:p w14:paraId="44F69837" w14:textId="77777777" w:rsidR="00711444" w:rsidRPr="004D0DAA" w:rsidRDefault="00711444" w:rsidP="00711444">
      <w:pPr>
        <w:pStyle w:val="Heading8"/>
      </w:pPr>
      <w:r w:rsidRPr="004D0DAA">
        <w:br w:type="page"/>
      </w:r>
      <w:bookmarkStart w:id="918" w:name="_Toc516670086"/>
      <w:r w:rsidRPr="004D0DAA">
        <w:lastRenderedPageBreak/>
        <w:t>Annex L (informative):</w:t>
      </w:r>
      <w:r w:rsidRPr="004D0DAA">
        <w:br/>
        <w:t>MultislotClassGroup in EGPRS Packet Channel Request</w:t>
      </w:r>
      <w:bookmarkEnd w:id="918"/>
      <w:r w:rsidRPr="004D0DAA">
        <w:t xml:space="preserve"> </w:t>
      </w:r>
    </w:p>
    <w:p w14:paraId="433A4062" w14:textId="77777777" w:rsidR="00711444" w:rsidRPr="004D0DAA" w:rsidRDefault="00711444" w:rsidP="00711444">
      <w:r w:rsidRPr="004D0DAA">
        <w:t xml:space="preserve">In the EGPRS PACKET CHANNEL REQUEST message with cause "One Phase Access Request by Reduced Latency MS", the mobile station multislot class is signalled by the MultislotClassGroup. The MultislotClassGroup indicates the set of the EGPRS multislot classes to which the mobile station belongs. Supported multislot class configurations are limited by the maximum transition times </w:t>
      </w:r>
      <w:r w:rsidRPr="004D0DAA">
        <w:rPr>
          <w:bCs/>
        </w:rPr>
        <w:t>(T</w:t>
      </w:r>
      <w:r w:rsidRPr="004D0DAA">
        <w:rPr>
          <w:bCs/>
          <w:vertAlign w:val="subscript"/>
        </w:rPr>
        <w:t>ta</w:t>
      </w:r>
      <w:r w:rsidRPr="004D0DAA">
        <w:rPr>
          <w:bCs/>
        </w:rPr>
        <w:t>, T</w:t>
      </w:r>
      <w:r w:rsidRPr="004D0DAA">
        <w:rPr>
          <w:bCs/>
          <w:vertAlign w:val="subscript"/>
        </w:rPr>
        <w:t>tb</w:t>
      </w:r>
      <w:r w:rsidRPr="004D0DAA">
        <w:rPr>
          <w:bCs/>
        </w:rPr>
        <w:t>, T</w:t>
      </w:r>
      <w:r w:rsidRPr="004D0DAA">
        <w:rPr>
          <w:bCs/>
          <w:vertAlign w:val="subscript"/>
        </w:rPr>
        <w:t>ra</w:t>
      </w:r>
      <w:r w:rsidRPr="004D0DAA">
        <w:rPr>
          <w:bCs/>
        </w:rPr>
        <w:t>, T</w:t>
      </w:r>
      <w:r w:rsidRPr="004D0DAA">
        <w:rPr>
          <w:bCs/>
          <w:vertAlign w:val="subscript"/>
        </w:rPr>
        <w:t>rb</w:t>
      </w:r>
      <w:r w:rsidRPr="004D0DAA">
        <w:rPr>
          <w:bCs/>
        </w:rPr>
        <w:t>) and the minimum number of RX, TX and SUM slots common to the multislot classes in each set as follows (see also 3GPP TS 45.002)</w:t>
      </w:r>
    </w:p>
    <w:tbl>
      <w:tblPr>
        <w:tblW w:w="866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1978"/>
        <w:gridCol w:w="839"/>
        <w:gridCol w:w="835"/>
        <w:gridCol w:w="1611"/>
        <w:gridCol w:w="836"/>
        <w:gridCol w:w="838"/>
        <w:gridCol w:w="876"/>
        <w:gridCol w:w="856"/>
      </w:tblGrid>
      <w:tr w:rsidR="00711444" w:rsidRPr="004D0DAA" w14:paraId="36DFA922" w14:textId="77777777" w:rsidTr="00AA2A4C">
        <w:trPr>
          <w:cantSplit/>
          <w:trHeight w:val="57"/>
        </w:trPr>
        <w:tc>
          <w:tcPr>
            <w:tcW w:w="1978" w:type="dxa"/>
            <w:shd w:val="clear" w:color="auto" w:fill="auto"/>
          </w:tcPr>
          <w:p w14:paraId="2CC4D79B" w14:textId="77777777" w:rsidR="00711444" w:rsidRPr="004D0DAA" w:rsidRDefault="00711444" w:rsidP="00AA2A4C">
            <w:pPr>
              <w:pStyle w:val="TAH"/>
              <w:rPr>
                <w:lang w:eastAsia="en-US"/>
              </w:rPr>
            </w:pPr>
            <w:r w:rsidRPr="004D0DAA">
              <w:rPr>
                <w:lang w:eastAsia="en-US"/>
              </w:rPr>
              <w:t>MultislotClassGroup</w:t>
            </w:r>
          </w:p>
        </w:tc>
        <w:tc>
          <w:tcPr>
            <w:tcW w:w="3285" w:type="dxa"/>
            <w:gridSpan w:val="3"/>
            <w:shd w:val="clear" w:color="auto" w:fill="auto"/>
          </w:tcPr>
          <w:p w14:paraId="16900D48" w14:textId="77777777" w:rsidR="00711444" w:rsidRPr="004D0DAA" w:rsidRDefault="00711444" w:rsidP="00AA2A4C">
            <w:pPr>
              <w:pStyle w:val="TAH"/>
              <w:rPr>
                <w:lang w:eastAsia="en-US"/>
              </w:rPr>
            </w:pPr>
            <w:r w:rsidRPr="004D0DAA">
              <w:rPr>
                <w:lang w:eastAsia="en-US"/>
              </w:rPr>
              <w:t>Maximum number of slots</w:t>
            </w:r>
          </w:p>
        </w:tc>
        <w:tc>
          <w:tcPr>
            <w:tcW w:w="3406" w:type="dxa"/>
            <w:gridSpan w:val="4"/>
            <w:shd w:val="clear" w:color="auto" w:fill="auto"/>
          </w:tcPr>
          <w:p w14:paraId="2F5A50EF" w14:textId="77777777" w:rsidR="00711444" w:rsidRPr="004D0DAA" w:rsidRDefault="00711444" w:rsidP="00AA2A4C">
            <w:pPr>
              <w:pStyle w:val="TAH"/>
              <w:rPr>
                <w:lang w:eastAsia="en-US"/>
              </w:rPr>
            </w:pPr>
            <w:r w:rsidRPr="004D0DAA">
              <w:rPr>
                <w:lang w:eastAsia="en-US"/>
              </w:rPr>
              <w:t>Minimum number of slots</w:t>
            </w:r>
          </w:p>
        </w:tc>
      </w:tr>
      <w:tr w:rsidR="00711444" w:rsidRPr="004D0DAA" w14:paraId="63FEC1A9" w14:textId="77777777" w:rsidTr="00AA2A4C">
        <w:trPr>
          <w:cantSplit/>
          <w:trHeight w:val="57"/>
        </w:trPr>
        <w:tc>
          <w:tcPr>
            <w:tcW w:w="1978" w:type="dxa"/>
            <w:shd w:val="clear" w:color="auto" w:fill="auto"/>
          </w:tcPr>
          <w:p w14:paraId="3D683BB1" w14:textId="77777777" w:rsidR="00711444" w:rsidRPr="004D0DAA" w:rsidRDefault="00711444" w:rsidP="00AA2A4C">
            <w:pPr>
              <w:pStyle w:val="TAH"/>
              <w:rPr>
                <w:lang w:eastAsia="en-US"/>
              </w:rPr>
            </w:pPr>
            <w:r w:rsidRPr="004D0DAA">
              <w:rPr>
                <w:lang w:eastAsia="en-US"/>
              </w:rPr>
              <w:t> </w:t>
            </w:r>
          </w:p>
        </w:tc>
        <w:tc>
          <w:tcPr>
            <w:tcW w:w="839" w:type="dxa"/>
            <w:shd w:val="clear" w:color="auto" w:fill="auto"/>
          </w:tcPr>
          <w:p w14:paraId="62C6D3EF" w14:textId="77777777" w:rsidR="00711444" w:rsidRPr="004D0DAA" w:rsidRDefault="00711444" w:rsidP="00AA2A4C">
            <w:pPr>
              <w:pStyle w:val="TAH"/>
              <w:rPr>
                <w:lang w:eastAsia="en-US"/>
              </w:rPr>
            </w:pPr>
            <w:r w:rsidRPr="004D0DAA">
              <w:rPr>
                <w:lang w:eastAsia="en-US"/>
              </w:rPr>
              <w:t>Rx</w:t>
            </w:r>
          </w:p>
        </w:tc>
        <w:tc>
          <w:tcPr>
            <w:tcW w:w="835" w:type="dxa"/>
            <w:shd w:val="clear" w:color="auto" w:fill="auto"/>
          </w:tcPr>
          <w:p w14:paraId="00BD617A" w14:textId="77777777" w:rsidR="00711444" w:rsidRPr="004D0DAA" w:rsidRDefault="00711444" w:rsidP="00AA2A4C">
            <w:pPr>
              <w:pStyle w:val="TAH"/>
              <w:rPr>
                <w:lang w:eastAsia="en-US"/>
              </w:rPr>
            </w:pPr>
            <w:r w:rsidRPr="004D0DAA">
              <w:rPr>
                <w:lang w:eastAsia="en-US"/>
              </w:rPr>
              <w:t>Tx</w:t>
            </w:r>
          </w:p>
        </w:tc>
        <w:tc>
          <w:tcPr>
            <w:tcW w:w="1611" w:type="dxa"/>
            <w:shd w:val="clear" w:color="auto" w:fill="auto"/>
          </w:tcPr>
          <w:p w14:paraId="7C513D23" w14:textId="77777777" w:rsidR="00711444" w:rsidRPr="004D0DAA" w:rsidRDefault="00711444" w:rsidP="00AA2A4C">
            <w:pPr>
              <w:pStyle w:val="TAH"/>
              <w:rPr>
                <w:lang w:eastAsia="en-US"/>
              </w:rPr>
            </w:pPr>
            <w:r w:rsidRPr="004D0DAA">
              <w:rPr>
                <w:lang w:eastAsia="en-US"/>
              </w:rPr>
              <w:t>Sum</w:t>
            </w:r>
          </w:p>
        </w:tc>
        <w:tc>
          <w:tcPr>
            <w:tcW w:w="836" w:type="dxa"/>
            <w:shd w:val="clear" w:color="auto" w:fill="auto"/>
          </w:tcPr>
          <w:p w14:paraId="53A37448" w14:textId="77777777" w:rsidR="00711444" w:rsidRPr="004D0DAA" w:rsidRDefault="00711444" w:rsidP="00AA2A4C">
            <w:pPr>
              <w:pStyle w:val="TAH"/>
              <w:rPr>
                <w:lang w:eastAsia="en-US"/>
              </w:rPr>
            </w:pPr>
            <w:r w:rsidRPr="004D0DAA">
              <w:rPr>
                <w:lang w:eastAsia="en-US"/>
              </w:rPr>
              <w:t>T</w:t>
            </w:r>
            <w:r w:rsidRPr="004D0DAA">
              <w:rPr>
                <w:vertAlign w:val="subscript"/>
                <w:lang w:eastAsia="en-US"/>
              </w:rPr>
              <w:t>ta</w:t>
            </w:r>
          </w:p>
        </w:tc>
        <w:tc>
          <w:tcPr>
            <w:tcW w:w="838" w:type="dxa"/>
            <w:shd w:val="clear" w:color="auto" w:fill="auto"/>
          </w:tcPr>
          <w:p w14:paraId="40B0CA3E" w14:textId="77777777" w:rsidR="00711444" w:rsidRPr="004D0DAA" w:rsidRDefault="00711444" w:rsidP="00AA2A4C">
            <w:pPr>
              <w:pStyle w:val="TAH"/>
              <w:rPr>
                <w:lang w:eastAsia="en-US"/>
              </w:rPr>
            </w:pPr>
            <w:r w:rsidRPr="004D0DAA">
              <w:rPr>
                <w:lang w:eastAsia="en-US"/>
              </w:rPr>
              <w:t>T</w:t>
            </w:r>
            <w:r w:rsidRPr="004D0DAA">
              <w:rPr>
                <w:vertAlign w:val="subscript"/>
                <w:lang w:eastAsia="en-US"/>
              </w:rPr>
              <w:t>tb</w:t>
            </w:r>
          </w:p>
        </w:tc>
        <w:tc>
          <w:tcPr>
            <w:tcW w:w="876" w:type="dxa"/>
            <w:shd w:val="clear" w:color="auto" w:fill="auto"/>
          </w:tcPr>
          <w:p w14:paraId="594B8F6D" w14:textId="77777777" w:rsidR="00711444" w:rsidRPr="004D0DAA" w:rsidRDefault="00711444" w:rsidP="00AA2A4C">
            <w:pPr>
              <w:pStyle w:val="TAH"/>
              <w:rPr>
                <w:lang w:eastAsia="en-US"/>
              </w:rPr>
            </w:pPr>
            <w:r w:rsidRPr="004D0DAA">
              <w:rPr>
                <w:lang w:eastAsia="en-US"/>
              </w:rPr>
              <w:t>T</w:t>
            </w:r>
            <w:r w:rsidRPr="004D0DAA">
              <w:rPr>
                <w:vertAlign w:val="subscript"/>
                <w:lang w:eastAsia="en-US"/>
              </w:rPr>
              <w:t>ra</w:t>
            </w:r>
          </w:p>
        </w:tc>
        <w:tc>
          <w:tcPr>
            <w:tcW w:w="856" w:type="dxa"/>
            <w:shd w:val="clear" w:color="auto" w:fill="auto"/>
          </w:tcPr>
          <w:p w14:paraId="42CA3FCF" w14:textId="77777777" w:rsidR="00711444" w:rsidRPr="004D0DAA" w:rsidRDefault="00711444" w:rsidP="00AA2A4C">
            <w:pPr>
              <w:pStyle w:val="TAH"/>
              <w:rPr>
                <w:lang w:eastAsia="en-US"/>
              </w:rPr>
            </w:pPr>
            <w:r w:rsidRPr="004D0DAA">
              <w:rPr>
                <w:lang w:eastAsia="en-US"/>
              </w:rPr>
              <w:t>T</w:t>
            </w:r>
            <w:r w:rsidRPr="004D0DAA">
              <w:rPr>
                <w:vertAlign w:val="subscript"/>
                <w:lang w:eastAsia="en-US"/>
              </w:rPr>
              <w:t>rb</w:t>
            </w:r>
          </w:p>
        </w:tc>
      </w:tr>
      <w:tr w:rsidR="00711444" w:rsidRPr="004D0DAA" w14:paraId="295C052F" w14:textId="77777777" w:rsidTr="00AA2A4C">
        <w:trPr>
          <w:cantSplit/>
          <w:trHeight w:val="57"/>
        </w:trPr>
        <w:tc>
          <w:tcPr>
            <w:tcW w:w="1978" w:type="dxa"/>
            <w:shd w:val="clear" w:color="auto" w:fill="auto"/>
          </w:tcPr>
          <w:p w14:paraId="3F586BF4" w14:textId="77777777" w:rsidR="00711444" w:rsidRPr="004D0DAA" w:rsidRDefault="00711444" w:rsidP="00AA2A4C">
            <w:pPr>
              <w:pStyle w:val="TAC"/>
              <w:rPr>
                <w:lang w:eastAsia="en-US"/>
              </w:rPr>
            </w:pPr>
            <w:r w:rsidRPr="004D0DAA">
              <w:rPr>
                <w:lang w:eastAsia="en-US"/>
              </w:rPr>
              <w:t>0 0 0</w:t>
            </w:r>
          </w:p>
        </w:tc>
        <w:tc>
          <w:tcPr>
            <w:tcW w:w="839" w:type="dxa"/>
            <w:shd w:val="clear" w:color="auto" w:fill="auto"/>
          </w:tcPr>
          <w:p w14:paraId="3E323746" w14:textId="77777777" w:rsidR="00711444" w:rsidRPr="004D0DAA" w:rsidRDefault="00711444" w:rsidP="00AA2A4C">
            <w:pPr>
              <w:pStyle w:val="TAC"/>
              <w:rPr>
                <w:lang w:eastAsia="en-US"/>
              </w:rPr>
            </w:pPr>
            <w:r w:rsidRPr="004D0DAA">
              <w:rPr>
                <w:lang w:eastAsia="en-US"/>
              </w:rPr>
              <w:t>2</w:t>
            </w:r>
          </w:p>
        </w:tc>
        <w:tc>
          <w:tcPr>
            <w:tcW w:w="835" w:type="dxa"/>
            <w:shd w:val="clear" w:color="auto" w:fill="auto"/>
          </w:tcPr>
          <w:p w14:paraId="277F44C9" w14:textId="77777777" w:rsidR="00711444" w:rsidRPr="004D0DAA" w:rsidRDefault="00711444" w:rsidP="00AA2A4C">
            <w:pPr>
              <w:pStyle w:val="TAC"/>
              <w:rPr>
                <w:lang w:eastAsia="en-US"/>
              </w:rPr>
            </w:pPr>
            <w:r w:rsidRPr="004D0DAA">
              <w:rPr>
                <w:lang w:eastAsia="en-US"/>
              </w:rPr>
              <w:t>2</w:t>
            </w:r>
          </w:p>
        </w:tc>
        <w:tc>
          <w:tcPr>
            <w:tcW w:w="1611" w:type="dxa"/>
            <w:shd w:val="clear" w:color="auto" w:fill="auto"/>
          </w:tcPr>
          <w:p w14:paraId="587E8A04" w14:textId="77777777" w:rsidR="00711444" w:rsidRPr="004D0DAA" w:rsidRDefault="00711444" w:rsidP="00AA2A4C">
            <w:pPr>
              <w:pStyle w:val="TAC"/>
              <w:rPr>
                <w:lang w:eastAsia="en-US"/>
              </w:rPr>
            </w:pPr>
            <w:r w:rsidRPr="004D0DAA">
              <w:rPr>
                <w:lang w:eastAsia="en-US"/>
              </w:rPr>
              <w:t>4</w:t>
            </w:r>
          </w:p>
        </w:tc>
        <w:tc>
          <w:tcPr>
            <w:tcW w:w="836" w:type="dxa"/>
            <w:shd w:val="clear" w:color="auto" w:fill="auto"/>
          </w:tcPr>
          <w:p w14:paraId="0981A1BC" w14:textId="77777777" w:rsidR="00711444" w:rsidRPr="004D0DAA" w:rsidRDefault="00711444" w:rsidP="00AA2A4C">
            <w:pPr>
              <w:pStyle w:val="TAC"/>
              <w:rPr>
                <w:lang w:eastAsia="en-US"/>
              </w:rPr>
            </w:pPr>
            <w:r w:rsidRPr="004D0DAA">
              <w:rPr>
                <w:lang w:eastAsia="en-US"/>
              </w:rPr>
              <w:t>3</w:t>
            </w:r>
          </w:p>
        </w:tc>
        <w:tc>
          <w:tcPr>
            <w:tcW w:w="838" w:type="dxa"/>
            <w:shd w:val="clear" w:color="auto" w:fill="auto"/>
          </w:tcPr>
          <w:p w14:paraId="4D265A73"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5368CD9C" w14:textId="77777777" w:rsidR="00711444" w:rsidRPr="004D0DAA" w:rsidRDefault="00711444" w:rsidP="00AA2A4C">
            <w:pPr>
              <w:pStyle w:val="TAC"/>
              <w:rPr>
                <w:lang w:eastAsia="en-US"/>
              </w:rPr>
            </w:pPr>
            <w:r w:rsidRPr="004D0DAA">
              <w:rPr>
                <w:lang w:eastAsia="en-US"/>
              </w:rPr>
              <w:t>3</w:t>
            </w:r>
          </w:p>
        </w:tc>
        <w:tc>
          <w:tcPr>
            <w:tcW w:w="856" w:type="dxa"/>
            <w:shd w:val="clear" w:color="auto" w:fill="auto"/>
          </w:tcPr>
          <w:p w14:paraId="76A4BFB9" w14:textId="77777777" w:rsidR="00711444" w:rsidRPr="004D0DAA" w:rsidRDefault="00711444" w:rsidP="00AA2A4C">
            <w:pPr>
              <w:pStyle w:val="TAC"/>
              <w:rPr>
                <w:lang w:eastAsia="en-US"/>
              </w:rPr>
            </w:pPr>
            <w:r w:rsidRPr="004D0DAA">
              <w:rPr>
                <w:lang w:eastAsia="en-US"/>
              </w:rPr>
              <w:t>1</w:t>
            </w:r>
          </w:p>
        </w:tc>
      </w:tr>
      <w:tr w:rsidR="00711444" w:rsidRPr="004D0DAA" w14:paraId="256CD65E" w14:textId="77777777" w:rsidTr="00AA2A4C">
        <w:trPr>
          <w:cantSplit/>
          <w:trHeight w:val="57"/>
        </w:trPr>
        <w:tc>
          <w:tcPr>
            <w:tcW w:w="1978" w:type="dxa"/>
            <w:shd w:val="clear" w:color="auto" w:fill="auto"/>
          </w:tcPr>
          <w:p w14:paraId="4A3FA1FB" w14:textId="77777777" w:rsidR="00711444" w:rsidRPr="004D0DAA" w:rsidRDefault="00711444" w:rsidP="00AA2A4C">
            <w:pPr>
              <w:pStyle w:val="TAC"/>
              <w:rPr>
                <w:lang w:eastAsia="en-US"/>
              </w:rPr>
            </w:pPr>
            <w:r w:rsidRPr="004D0DAA">
              <w:rPr>
                <w:lang w:eastAsia="en-US"/>
              </w:rPr>
              <w:t>0 0 1</w:t>
            </w:r>
          </w:p>
        </w:tc>
        <w:tc>
          <w:tcPr>
            <w:tcW w:w="839" w:type="dxa"/>
            <w:shd w:val="clear" w:color="auto" w:fill="auto"/>
          </w:tcPr>
          <w:p w14:paraId="06360616" w14:textId="77777777" w:rsidR="00711444" w:rsidRPr="004D0DAA" w:rsidRDefault="00711444" w:rsidP="00AA2A4C">
            <w:pPr>
              <w:pStyle w:val="TAC"/>
              <w:rPr>
                <w:lang w:eastAsia="en-US"/>
              </w:rPr>
            </w:pPr>
            <w:r w:rsidRPr="004D0DAA">
              <w:rPr>
                <w:lang w:eastAsia="en-US"/>
              </w:rPr>
              <w:t>3</w:t>
            </w:r>
          </w:p>
        </w:tc>
        <w:tc>
          <w:tcPr>
            <w:tcW w:w="835" w:type="dxa"/>
            <w:shd w:val="clear" w:color="auto" w:fill="auto"/>
          </w:tcPr>
          <w:p w14:paraId="61941CAF" w14:textId="77777777" w:rsidR="00711444" w:rsidRPr="004D0DAA" w:rsidRDefault="00711444" w:rsidP="00AA2A4C">
            <w:pPr>
              <w:pStyle w:val="TAC"/>
              <w:rPr>
                <w:lang w:eastAsia="en-US"/>
              </w:rPr>
            </w:pPr>
            <w:r w:rsidRPr="004D0DAA">
              <w:rPr>
                <w:lang w:eastAsia="en-US"/>
              </w:rPr>
              <w:t>2</w:t>
            </w:r>
          </w:p>
        </w:tc>
        <w:tc>
          <w:tcPr>
            <w:tcW w:w="1611" w:type="dxa"/>
            <w:shd w:val="clear" w:color="auto" w:fill="auto"/>
          </w:tcPr>
          <w:p w14:paraId="0A1D433D" w14:textId="77777777" w:rsidR="00711444" w:rsidRPr="004D0DAA" w:rsidRDefault="00711444" w:rsidP="00AA2A4C">
            <w:pPr>
              <w:pStyle w:val="TAC"/>
              <w:rPr>
                <w:lang w:eastAsia="en-US"/>
              </w:rPr>
            </w:pPr>
            <w:r w:rsidRPr="004D0DAA">
              <w:rPr>
                <w:lang w:eastAsia="en-US"/>
              </w:rPr>
              <w:t>5</w:t>
            </w:r>
          </w:p>
        </w:tc>
        <w:tc>
          <w:tcPr>
            <w:tcW w:w="836" w:type="dxa"/>
            <w:shd w:val="clear" w:color="auto" w:fill="auto"/>
          </w:tcPr>
          <w:p w14:paraId="1FA93096" w14:textId="77777777" w:rsidR="00711444" w:rsidRPr="004D0DAA" w:rsidRDefault="00711444" w:rsidP="00AA2A4C">
            <w:pPr>
              <w:pStyle w:val="TAC"/>
              <w:rPr>
                <w:lang w:eastAsia="en-US"/>
              </w:rPr>
            </w:pPr>
            <w:r w:rsidRPr="004D0DAA">
              <w:rPr>
                <w:lang w:eastAsia="en-US"/>
              </w:rPr>
              <w:t>3</w:t>
            </w:r>
          </w:p>
        </w:tc>
        <w:tc>
          <w:tcPr>
            <w:tcW w:w="838" w:type="dxa"/>
            <w:shd w:val="clear" w:color="auto" w:fill="auto"/>
          </w:tcPr>
          <w:p w14:paraId="38B9B186"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46DC4303" w14:textId="77777777" w:rsidR="00711444" w:rsidRPr="004D0DAA" w:rsidRDefault="00711444" w:rsidP="00AA2A4C">
            <w:pPr>
              <w:pStyle w:val="TAC"/>
              <w:rPr>
                <w:lang w:eastAsia="en-US"/>
              </w:rPr>
            </w:pPr>
            <w:r w:rsidRPr="004D0DAA">
              <w:rPr>
                <w:lang w:eastAsia="en-US"/>
              </w:rPr>
              <w:t>2</w:t>
            </w:r>
          </w:p>
        </w:tc>
        <w:tc>
          <w:tcPr>
            <w:tcW w:w="856" w:type="dxa"/>
            <w:shd w:val="clear" w:color="auto" w:fill="auto"/>
          </w:tcPr>
          <w:p w14:paraId="0B03A20F" w14:textId="77777777" w:rsidR="00711444" w:rsidRPr="004D0DAA" w:rsidRDefault="00711444" w:rsidP="00AA2A4C">
            <w:pPr>
              <w:pStyle w:val="TAC"/>
              <w:rPr>
                <w:lang w:eastAsia="en-US"/>
              </w:rPr>
            </w:pPr>
            <w:r w:rsidRPr="004D0DAA">
              <w:rPr>
                <w:lang w:eastAsia="en-US"/>
              </w:rPr>
              <w:t>1</w:t>
            </w:r>
          </w:p>
        </w:tc>
      </w:tr>
      <w:tr w:rsidR="00711444" w:rsidRPr="004D0DAA" w14:paraId="7C7B3898" w14:textId="77777777" w:rsidTr="00AA2A4C">
        <w:trPr>
          <w:cantSplit/>
          <w:trHeight w:val="57"/>
        </w:trPr>
        <w:tc>
          <w:tcPr>
            <w:tcW w:w="1978" w:type="dxa"/>
            <w:shd w:val="clear" w:color="auto" w:fill="auto"/>
          </w:tcPr>
          <w:p w14:paraId="5B68A179" w14:textId="77777777" w:rsidR="00711444" w:rsidRPr="004D0DAA" w:rsidRDefault="00711444" w:rsidP="00AA2A4C">
            <w:pPr>
              <w:pStyle w:val="TAC"/>
              <w:rPr>
                <w:lang w:eastAsia="en-US"/>
              </w:rPr>
            </w:pPr>
            <w:r w:rsidRPr="004D0DAA">
              <w:rPr>
                <w:lang w:eastAsia="en-US"/>
              </w:rPr>
              <w:t>0 1 0</w:t>
            </w:r>
          </w:p>
        </w:tc>
        <w:tc>
          <w:tcPr>
            <w:tcW w:w="839" w:type="dxa"/>
            <w:shd w:val="clear" w:color="auto" w:fill="auto"/>
          </w:tcPr>
          <w:p w14:paraId="58078A2E" w14:textId="77777777" w:rsidR="00711444" w:rsidRPr="004D0DAA" w:rsidRDefault="00711444" w:rsidP="00AA2A4C">
            <w:pPr>
              <w:pStyle w:val="TAC"/>
              <w:rPr>
                <w:lang w:eastAsia="en-US"/>
              </w:rPr>
            </w:pPr>
            <w:r w:rsidRPr="004D0DAA">
              <w:rPr>
                <w:lang w:eastAsia="en-US"/>
              </w:rPr>
              <w:t>5</w:t>
            </w:r>
          </w:p>
        </w:tc>
        <w:tc>
          <w:tcPr>
            <w:tcW w:w="835" w:type="dxa"/>
            <w:shd w:val="clear" w:color="auto" w:fill="auto"/>
          </w:tcPr>
          <w:p w14:paraId="344CDDC7" w14:textId="77777777" w:rsidR="00711444" w:rsidRPr="004D0DAA" w:rsidRDefault="00711444" w:rsidP="00AA2A4C">
            <w:pPr>
              <w:pStyle w:val="TAC"/>
              <w:rPr>
                <w:lang w:eastAsia="en-US"/>
              </w:rPr>
            </w:pPr>
            <w:r w:rsidRPr="004D0DAA">
              <w:rPr>
                <w:lang w:eastAsia="en-US"/>
              </w:rPr>
              <w:t>2</w:t>
            </w:r>
          </w:p>
        </w:tc>
        <w:tc>
          <w:tcPr>
            <w:tcW w:w="1611" w:type="dxa"/>
            <w:shd w:val="clear" w:color="auto" w:fill="auto"/>
          </w:tcPr>
          <w:p w14:paraId="03E4F7AF" w14:textId="77777777" w:rsidR="00711444" w:rsidRPr="004D0DAA" w:rsidRDefault="00711444" w:rsidP="00AA2A4C">
            <w:pPr>
              <w:pStyle w:val="TAC"/>
              <w:rPr>
                <w:lang w:eastAsia="en-US"/>
              </w:rPr>
            </w:pPr>
            <w:r w:rsidRPr="004D0DAA">
              <w:rPr>
                <w:lang w:eastAsia="en-US"/>
              </w:rPr>
              <w:t>6</w:t>
            </w:r>
          </w:p>
        </w:tc>
        <w:tc>
          <w:tcPr>
            <w:tcW w:w="836" w:type="dxa"/>
            <w:shd w:val="clear" w:color="auto" w:fill="auto"/>
          </w:tcPr>
          <w:p w14:paraId="01FEA6A1" w14:textId="77777777" w:rsidR="00711444" w:rsidRPr="004D0DAA" w:rsidRDefault="00711444" w:rsidP="00AA2A4C">
            <w:pPr>
              <w:pStyle w:val="TAC"/>
              <w:rPr>
                <w:lang w:eastAsia="en-US"/>
              </w:rPr>
            </w:pPr>
            <w:r w:rsidRPr="004D0DAA">
              <w:rPr>
                <w:lang w:eastAsia="en-US"/>
              </w:rPr>
              <w:t>2</w:t>
            </w:r>
          </w:p>
        </w:tc>
        <w:tc>
          <w:tcPr>
            <w:tcW w:w="838" w:type="dxa"/>
            <w:shd w:val="clear" w:color="auto" w:fill="auto"/>
          </w:tcPr>
          <w:p w14:paraId="214B2EDB"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5C513C29" w14:textId="77777777" w:rsidR="00711444" w:rsidRPr="004D0DAA" w:rsidRDefault="00711444" w:rsidP="00AA2A4C">
            <w:pPr>
              <w:pStyle w:val="TAC"/>
              <w:rPr>
                <w:lang w:eastAsia="en-US"/>
              </w:rPr>
            </w:pPr>
            <w:r w:rsidRPr="004D0DAA">
              <w:rPr>
                <w:lang w:eastAsia="en-US"/>
              </w:rPr>
              <w:t>1+to</w:t>
            </w:r>
          </w:p>
        </w:tc>
        <w:tc>
          <w:tcPr>
            <w:tcW w:w="856" w:type="dxa"/>
            <w:shd w:val="clear" w:color="auto" w:fill="auto"/>
          </w:tcPr>
          <w:p w14:paraId="337DCF01" w14:textId="77777777" w:rsidR="00711444" w:rsidRPr="004D0DAA" w:rsidRDefault="00711444" w:rsidP="00AA2A4C">
            <w:pPr>
              <w:pStyle w:val="TAC"/>
              <w:rPr>
                <w:lang w:eastAsia="en-US"/>
              </w:rPr>
            </w:pPr>
            <w:r w:rsidRPr="004D0DAA">
              <w:rPr>
                <w:lang w:eastAsia="en-US"/>
              </w:rPr>
              <w:t>1</w:t>
            </w:r>
          </w:p>
        </w:tc>
      </w:tr>
      <w:tr w:rsidR="00711444" w:rsidRPr="004D0DAA" w14:paraId="65207B08" w14:textId="77777777" w:rsidTr="00AA2A4C">
        <w:trPr>
          <w:cantSplit/>
          <w:trHeight w:val="57"/>
        </w:trPr>
        <w:tc>
          <w:tcPr>
            <w:tcW w:w="1978" w:type="dxa"/>
            <w:shd w:val="clear" w:color="auto" w:fill="auto"/>
          </w:tcPr>
          <w:p w14:paraId="1E371A41" w14:textId="77777777" w:rsidR="00711444" w:rsidRPr="004D0DAA" w:rsidRDefault="00711444" w:rsidP="00AA2A4C">
            <w:pPr>
              <w:pStyle w:val="TAC"/>
              <w:rPr>
                <w:lang w:eastAsia="en-US"/>
              </w:rPr>
            </w:pPr>
            <w:r w:rsidRPr="004D0DAA">
              <w:rPr>
                <w:lang w:eastAsia="en-US"/>
              </w:rPr>
              <w:t>0 1 1</w:t>
            </w:r>
          </w:p>
        </w:tc>
        <w:tc>
          <w:tcPr>
            <w:tcW w:w="839" w:type="dxa"/>
            <w:shd w:val="clear" w:color="auto" w:fill="auto"/>
          </w:tcPr>
          <w:p w14:paraId="42F6ECFB" w14:textId="77777777" w:rsidR="00711444" w:rsidRPr="004D0DAA" w:rsidRDefault="00711444" w:rsidP="00AA2A4C">
            <w:pPr>
              <w:pStyle w:val="TAC"/>
              <w:rPr>
                <w:lang w:eastAsia="en-US"/>
              </w:rPr>
            </w:pPr>
            <w:r w:rsidRPr="004D0DAA">
              <w:rPr>
                <w:lang w:eastAsia="en-US"/>
              </w:rPr>
              <w:t>4</w:t>
            </w:r>
          </w:p>
        </w:tc>
        <w:tc>
          <w:tcPr>
            <w:tcW w:w="835" w:type="dxa"/>
            <w:shd w:val="clear" w:color="auto" w:fill="auto"/>
          </w:tcPr>
          <w:p w14:paraId="15EE29F6" w14:textId="77777777" w:rsidR="00711444" w:rsidRPr="004D0DAA" w:rsidRDefault="00711444" w:rsidP="00AA2A4C">
            <w:pPr>
              <w:pStyle w:val="TAC"/>
              <w:rPr>
                <w:lang w:eastAsia="en-US"/>
              </w:rPr>
            </w:pPr>
            <w:r w:rsidRPr="004D0DAA">
              <w:rPr>
                <w:lang w:eastAsia="en-US"/>
              </w:rPr>
              <w:t>3</w:t>
            </w:r>
          </w:p>
        </w:tc>
        <w:tc>
          <w:tcPr>
            <w:tcW w:w="1611" w:type="dxa"/>
            <w:shd w:val="clear" w:color="auto" w:fill="auto"/>
          </w:tcPr>
          <w:p w14:paraId="6CCC6E7F" w14:textId="77777777" w:rsidR="00711444" w:rsidRPr="004D0DAA" w:rsidRDefault="00711444" w:rsidP="00AA2A4C">
            <w:pPr>
              <w:pStyle w:val="TAC"/>
              <w:rPr>
                <w:lang w:eastAsia="en-US"/>
              </w:rPr>
            </w:pPr>
            <w:r w:rsidRPr="004D0DAA">
              <w:rPr>
                <w:lang w:eastAsia="en-US"/>
              </w:rPr>
              <w:t>5</w:t>
            </w:r>
          </w:p>
        </w:tc>
        <w:tc>
          <w:tcPr>
            <w:tcW w:w="836" w:type="dxa"/>
            <w:shd w:val="clear" w:color="auto" w:fill="auto"/>
          </w:tcPr>
          <w:p w14:paraId="79B7FDD0" w14:textId="77777777" w:rsidR="00711444" w:rsidRPr="004D0DAA" w:rsidRDefault="00711444" w:rsidP="00AA2A4C">
            <w:pPr>
              <w:pStyle w:val="TAC"/>
              <w:rPr>
                <w:lang w:eastAsia="en-US"/>
              </w:rPr>
            </w:pPr>
            <w:r w:rsidRPr="004D0DAA">
              <w:rPr>
                <w:lang w:eastAsia="en-US"/>
              </w:rPr>
              <w:t>2</w:t>
            </w:r>
          </w:p>
        </w:tc>
        <w:tc>
          <w:tcPr>
            <w:tcW w:w="838" w:type="dxa"/>
            <w:shd w:val="clear" w:color="auto" w:fill="auto"/>
          </w:tcPr>
          <w:p w14:paraId="2291022F"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300D9506" w14:textId="77777777" w:rsidR="00711444" w:rsidRPr="004D0DAA" w:rsidRDefault="00711444" w:rsidP="00AA2A4C">
            <w:pPr>
              <w:pStyle w:val="TAC"/>
              <w:rPr>
                <w:lang w:eastAsia="en-US"/>
              </w:rPr>
            </w:pPr>
            <w:r w:rsidRPr="004D0DAA">
              <w:rPr>
                <w:lang w:eastAsia="en-US"/>
              </w:rPr>
              <w:t>2</w:t>
            </w:r>
          </w:p>
        </w:tc>
        <w:tc>
          <w:tcPr>
            <w:tcW w:w="856" w:type="dxa"/>
            <w:shd w:val="clear" w:color="auto" w:fill="auto"/>
          </w:tcPr>
          <w:p w14:paraId="141AD9C1" w14:textId="77777777" w:rsidR="00711444" w:rsidRPr="004D0DAA" w:rsidRDefault="00711444" w:rsidP="00AA2A4C">
            <w:pPr>
              <w:pStyle w:val="TAC"/>
              <w:rPr>
                <w:lang w:eastAsia="en-US"/>
              </w:rPr>
            </w:pPr>
            <w:r w:rsidRPr="004D0DAA">
              <w:rPr>
                <w:lang w:eastAsia="en-US"/>
              </w:rPr>
              <w:t>1</w:t>
            </w:r>
          </w:p>
        </w:tc>
      </w:tr>
      <w:tr w:rsidR="00711444" w:rsidRPr="004D0DAA" w14:paraId="7CB1C2DC" w14:textId="77777777" w:rsidTr="00AA2A4C">
        <w:trPr>
          <w:cantSplit/>
          <w:trHeight w:val="57"/>
        </w:trPr>
        <w:tc>
          <w:tcPr>
            <w:tcW w:w="1978" w:type="dxa"/>
            <w:shd w:val="clear" w:color="auto" w:fill="auto"/>
          </w:tcPr>
          <w:p w14:paraId="2A1CCB68" w14:textId="77777777" w:rsidR="00711444" w:rsidRPr="004D0DAA" w:rsidRDefault="00711444" w:rsidP="00AA2A4C">
            <w:pPr>
              <w:pStyle w:val="TAC"/>
              <w:rPr>
                <w:lang w:eastAsia="en-US"/>
              </w:rPr>
            </w:pPr>
            <w:r w:rsidRPr="004D0DAA">
              <w:rPr>
                <w:lang w:eastAsia="en-US"/>
              </w:rPr>
              <w:t>1 0 0</w:t>
            </w:r>
          </w:p>
        </w:tc>
        <w:tc>
          <w:tcPr>
            <w:tcW w:w="839" w:type="dxa"/>
            <w:shd w:val="clear" w:color="auto" w:fill="auto"/>
          </w:tcPr>
          <w:p w14:paraId="2DB42508" w14:textId="77777777" w:rsidR="00711444" w:rsidRPr="004D0DAA" w:rsidRDefault="00711444" w:rsidP="00AA2A4C">
            <w:pPr>
              <w:pStyle w:val="TAC"/>
              <w:rPr>
                <w:lang w:eastAsia="en-US"/>
              </w:rPr>
            </w:pPr>
            <w:r w:rsidRPr="004D0DAA">
              <w:rPr>
                <w:lang w:eastAsia="en-US"/>
              </w:rPr>
              <w:t>5</w:t>
            </w:r>
          </w:p>
        </w:tc>
        <w:tc>
          <w:tcPr>
            <w:tcW w:w="835" w:type="dxa"/>
            <w:shd w:val="clear" w:color="auto" w:fill="auto"/>
          </w:tcPr>
          <w:p w14:paraId="72FD6BFC" w14:textId="77777777" w:rsidR="00711444" w:rsidRPr="004D0DAA" w:rsidRDefault="00711444" w:rsidP="00AA2A4C">
            <w:pPr>
              <w:pStyle w:val="TAC"/>
              <w:rPr>
                <w:lang w:eastAsia="en-US"/>
              </w:rPr>
            </w:pPr>
            <w:r w:rsidRPr="004D0DAA">
              <w:rPr>
                <w:lang w:eastAsia="en-US"/>
              </w:rPr>
              <w:t>4</w:t>
            </w:r>
          </w:p>
        </w:tc>
        <w:tc>
          <w:tcPr>
            <w:tcW w:w="1611" w:type="dxa"/>
            <w:shd w:val="clear" w:color="auto" w:fill="auto"/>
          </w:tcPr>
          <w:p w14:paraId="7F2498B5" w14:textId="77777777" w:rsidR="00711444" w:rsidRPr="004D0DAA" w:rsidRDefault="00711444" w:rsidP="00AA2A4C">
            <w:pPr>
              <w:pStyle w:val="TAC"/>
              <w:rPr>
                <w:lang w:eastAsia="en-US"/>
              </w:rPr>
            </w:pPr>
            <w:r w:rsidRPr="004D0DAA">
              <w:rPr>
                <w:lang w:eastAsia="en-US"/>
              </w:rPr>
              <w:t>6</w:t>
            </w:r>
          </w:p>
        </w:tc>
        <w:tc>
          <w:tcPr>
            <w:tcW w:w="836" w:type="dxa"/>
            <w:shd w:val="clear" w:color="auto" w:fill="auto"/>
          </w:tcPr>
          <w:p w14:paraId="3A0342D4" w14:textId="77777777" w:rsidR="00711444" w:rsidRPr="004D0DAA" w:rsidRDefault="00711444" w:rsidP="00AA2A4C">
            <w:pPr>
              <w:pStyle w:val="TAC"/>
              <w:rPr>
                <w:lang w:eastAsia="en-US"/>
              </w:rPr>
            </w:pPr>
            <w:r w:rsidRPr="004D0DAA">
              <w:rPr>
                <w:lang w:eastAsia="en-US"/>
              </w:rPr>
              <w:t>2</w:t>
            </w:r>
          </w:p>
        </w:tc>
        <w:tc>
          <w:tcPr>
            <w:tcW w:w="838" w:type="dxa"/>
            <w:shd w:val="clear" w:color="auto" w:fill="auto"/>
          </w:tcPr>
          <w:p w14:paraId="2A278839"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49A1B7F1" w14:textId="77777777" w:rsidR="00711444" w:rsidRPr="004D0DAA" w:rsidRDefault="00711444" w:rsidP="00AA2A4C">
            <w:pPr>
              <w:pStyle w:val="TAC"/>
              <w:rPr>
                <w:lang w:eastAsia="en-US"/>
              </w:rPr>
            </w:pPr>
            <w:r w:rsidRPr="004D0DAA">
              <w:rPr>
                <w:lang w:eastAsia="en-US"/>
              </w:rPr>
              <w:t>1</w:t>
            </w:r>
          </w:p>
        </w:tc>
        <w:tc>
          <w:tcPr>
            <w:tcW w:w="856" w:type="dxa"/>
            <w:shd w:val="clear" w:color="auto" w:fill="auto"/>
          </w:tcPr>
          <w:p w14:paraId="5C1A6C18" w14:textId="77777777" w:rsidR="00711444" w:rsidRPr="004D0DAA" w:rsidRDefault="00711444" w:rsidP="00AA2A4C">
            <w:pPr>
              <w:pStyle w:val="TAC"/>
              <w:rPr>
                <w:lang w:eastAsia="en-US"/>
              </w:rPr>
            </w:pPr>
            <w:r w:rsidRPr="004D0DAA">
              <w:rPr>
                <w:lang w:eastAsia="en-US"/>
              </w:rPr>
              <w:t>1</w:t>
            </w:r>
          </w:p>
        </w:tc>
      </w:tr>
      <w:tr w:rsidR="00711444" w:rsidRPr="004D0DAA" w14:paraId="13A79A43" w14:textId="77777777" w:rsidTr="00AA2A4C">
        <w:trPr>
          <w:cantSplit/>
          <w:trHeight w:val="57"/>
        </w:trPr>
        <w:tc>
          <w:tcPr>
            <w:tcW w:w="1978" w:type="dxa"/>
            <w:shd w:val="clear" w:color="auto" w:fill="auto"/>
          </w:tcPr>
          <w:p w14:paraId="4A8D7293" w14:textId="77777777" w:rsidR="00711444" w:rsidRPr="004D0DAA" w:rsidRDefault="00711444" w:rsidP="00AA2A4C">
            <w:pPr>
              <w:pStyle w:val="TAC"/>
              <w:rPr>
                <w:lang w:eastAsia="en-US"/>
              </w:rPr>
            </w:pPr>
            <w:r w:rsidRPr="004D0DAA">
              <w:rPr>
                <w:lang w:eastAsia="en-US"/>
              </w:rPr>
              <w:t>1 0 1</w:t>
            </w:r>
          </w:p>
        </w:tc>
        <w:tc>
          <w:tcPr>
            <w:tcW w:w="839" w:type="dxa"/>
            <w:shd w:val="clear" w:color="auto" w:fill="auto"/>
          </w:tcPr>
          <w:p w14:paraId="2F714699" w14:textId="77777777" w:rsidR="00711444" w:rsidRPr="004D0DAA" w:rsidRDefault="00711444" w:rsidP="00AA2A4C">
            <w:pPr>
              <w:pStyle w:val="TAC"/>
              <w:rPr>
                <w:lang w:eastAsia="en-US"/>
              </w:rPr>
            </w:pPr>
            <w:r w:rsidRPr="004D0DAA">
              <w:rPr>
                <w:lang w:eastAsia="en-US"/>
              </w:rPr>
              <w:t>5</w:t>
            </w:r>
          </w:p>
        </w:tc>
        <w:tc>
          <w:tcPr>
            <w:tcW w:w="835" w:type="dxa"/>
            <w:shd w:val="clear" w:color="auto" w:fill="auto"/>
          </w:tcPr>
          <w:p w14:paraId="27AE2337" w14:textId="77777777" w:rsidR="00711444" w:rsidRPr="004D0DAA" w:rsidRDefault="00711444" w:rsidP="00AA2A4C">
            <w:pPr>
              <w:pStyle w:val="TAC"/>
              <w:rPr>
                <w:lang w:eastAsia="en-US"/>
              </w:rPr>
            </w:pPr>
            <w:r w:rsidRPr="004D0DAA">
              <w:rPr>
                <w:lang w:eastAsia="en-US"/>
              </w:rPr>
              <w:t>4</w:t>
            </w:r>
          </w:p>
        </w:tc>
        <w:tc>
          <w:tcPr>
            <w:tcW w:w="1611" w:type="dxa"/>
            <w:shd w:val="clear" w:color="auto" w:fill="auto"/>
          </w:tcPr>
          <w:p w14:paraId="5E89C155" w14:textId="77777777" w:rsidR="00711444" w:rsidRPr="004D0DAA" w:rsidRDefault="00711444" w:rsidP="00AA2A4C">
            <w:pPr>
              <w:pStyle w:val="TAC"/>
              <w:rPr>
                <w:lang w:eastAsia="en-US"/>
              </w:rPr>
            </w:pPr>
            <w:r w:rsidRPr="004D0DAA">
              <w:rPr>
                <w:lang w:eastAsia="en-US"/>
              </w:rPr>
              <w:t>6</w:t>
            </w:r>
          </w:p>
        </w:tc>
        <w:tc>
          <w:tcPr>
            <w:tcW w:w="836" w:type="dxa"/>
            <w:shd w:val="clear" w:color="auto" w:fill="auto"/>
          </w:tcPr>
          <w:p w14:paraId="65CAB73D" w14:textId="77777777" w:rsidR="00711444" w:rsidRPr="004D0DAA" w:rsidRDefault="00711444" w:rsidP="00AA2A4C">
            <w:pPr>
              <w:pStyle w:val="TAC"/>
              <w:rPr>
                <w:lang w:eastAsia="en-US"/>
              </w:rPr>
            </w:pPr>
            <w:r w:rsidRPr="004D0DAA">
              <w:rPr>
                <w:lang w:eastAsia="en-US"/>
              </w:rPr>
              <w:t>2</w:t>
            </w:r>
          </w:p>
        </w:tc>
        <w:tc>
          <w:tcPr>
            <w:tcW w:w="838" w:type="dxa"/>
            <w:shd w:val="clear" w:color="auto" w:fill="auto"/>
          </w:tcPr>
          <w:p w14:paraId="2CE48570"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55DFF134" w14:textId="77777777" w:rsidR="00711444" w:rsidRPr="004D0DAA" w:rsidRDefault="00711444" w:rsidP="00AA2A4C">
            <w:pPr>
              <w:pStyle w:val="TAC"/>
              <w:rPr>
                <w:lang w:eastAsia="en-US"/>
              </w:rPr>
            </w:pPr>
            <w:r w:rsidRPr="004D0DAA">
              <w:rPr>
                <w:lang w:eastAsia="en-US"/>
              </w:rPr>
              <w:t>1+to</w:t>
            </w:r>
          </w:p>
        </w:tc>
        <w:tc>
          <w:tcPr>
            <w:tcW w:w="856" w:type="dxa"/>
            <w:shd w:val="clear" w:color="auto" w:fill="auto"/>
          </w:tcPr>
          <w:p w14:paraId="0B3537BA" w14:textId="77777777" w:rsidR="00711444" w:rsidRPr="004D0DAA" w:rsidRDefault="00711444" w:rsidP="00AA2A4C">
            <w:pPr>
              <w:pStyle w:val="TAC"/>
              <w:rPr>
                <w:lang w:eastAsia="en-US"/>
              </w:rPr>
            </w:pPr>
            <w:r w:rsidRPr="004D0DAA">
              <w:rPr>
                <w:lang w:eastAsia="en-US"/>
              </w:rPr>
              <w:t>1</w:t>
            </w:r>
          </w:p>
        </w:tc>
      </w:tr>
      <w:tr w:rsidR="00711444" w:rsidRPr="004D0DAA" w14:paraId="67BFE1E5" w14:textId="77777777" w:rsidTr="00AA2A4C">
        <w:trPr>
          <w:cantSplit/>
          <w:trHeight w:val="57"/>
        </w:trPr>
        <w:tc>
          <w:tcPr>
            <w:tcW w:w="1978" w:type="dxa"/>
            <w:shd w:val="clear" w:color="auto" w:fill="auto"/>
          </w:tcPr>
          <w:p w14:paraId="1FD5BEF4" w14:textId="77777777" w:rsidR="00711444" w:rsidRPr="004D0DAA" w:rsidRDefault="00711444" w:rsidP="00AA2A4C">
            <w:pPr>
              <w:pStyle w:val="TAC"/>
              <w:rPr>
                <w:lang w:eastAsia="en-US"/>
              </w:rPr>
            </w:pPr>
            <w:r w:rsidRPr="004D0DAA">
              <w:rPr>
                <w:lang w:eastAsia="en-US"/>
              </w:rPr>
              <w:t>1 0 1</w:t>
            </w:r>
          </w:p>
        </w:tc>
        <w:tc>
          <w:tcPr>
            <w:tcW w:w="839" w:type="dxa"/>
            <w:shd w:val="clear" w:color="auto" w:fill="auto"/>
          </w:tcPr>
          <w:p w14:paraId="660B5C79" w14:textId="77777777" w:rsidR="00711444" w:rsidRPr="004D0DAA" w:rsidRDefault="00711444" w:rsidP="00AA2A4C">
            <w:pPr>
              <w:pStyle w:val="TAC"/>
              <w:rPr>
                <w:lang w:eastAsia="en-US"/>
              </w:rPr>
            </w:pPr>
            <w:r w:rsidRPr="004D0DAA">
              <w:rPr>
                <w:lang w:eastAsia="en-US"/>
              </w:rPr>
              <w:t>6</w:t>
            </w:r>
          </w:p>
        </w:tc>
        <w:tc>
          <w:tcPr>
            <w:tcW w:w="835" w:type="dxa"/>
            <w:shd w:val="clear" w:color="auto" w:fill="auto"/>
          </w:tcPr>
          <w:p w14:paraId="5CE772E2" w14:textId="77777777" w:rsidR="00711444" w:rsidRPr="004D0DAA" w:rsidRDefault="00711444" w:rsidP="00AA2A4C">
            <w:pPr>
              <w:pStyle w:val="TAC"/>
              <w:rPr>
                <w:lang w:eastAsia="en-US"/>
              </w:rPr>
            </w:pPr>
            <w:r w:rsidRPr="004D0DAA">
              <w:rPr>
                <w:lang w:eastAsia="en-US"/>
              </w:rPr>
              <w:t>5</w:t>
            </w:r>
          </w:p>
        </w:tc>
        <w:tc>
          <w:tcPr>
            <w:tcW w:w="1611" w:type="dxa"/>
            <w:shd w:val="clear" w:color="auto" w:fill="auto"/>
          </w:tcPr>
          <w:p w14:paraId="362F3BA4" w14:textId="77777777" w:rsidR="00711444" w:rsidRPr="004D0DAA" w:rsidRDefault="00711444" w:rsidP="00AA2A4C">
            <w:pPr>
              <w:pStyle w:val="TAC"/>
              <w:rPr>
                <w:lang w:eastAsia="en-US"/>
              </w:rPr>
            </w:pPr>
            <w:r w:rsidRPr="004D0DAA">
              <w:rPr>
                <w:lang w:eastAsia="en-US"/>
              </w:rPr>
              <w:t>7</w:t>
            </w:r>
          </w:p>
        </w:tc>
        <w:tc>
          <w:tcPr>
            <w:tcW w:w="836" w:type="dxa"/>
            <w:shd w:val="clear" w:color="auto" w:fill="auto"/>
          </w:tcPr>
          <w:p w14:paraId="4D0FDFDD" w14:textId="77777777" w:rsidR="00711444" w:rsidRPr="004D0DAA" w:rsidRDefault="00711444" w:rsidP="00AA2A4C">
            <w:pPr>
              <w:pStyle w:val="TAC"/>
              <w:rPr>
                <w:lang w:eastAsia="en-US"/>
              </w:rPr>
            </w:pPr>
            <w:r w:rsidRPr="004D0DAA">
              <w:rPr>
                <w:lang w:eastAsia="en-US"/>
              </w:rPr>
              <w:t>1</w:t>
            </w:r>
          </w:p>
        </w:tc>
        <w:tc>
          <w:tcPr>
            <w:tcW w:w="838" w:type="dxa"/>
            <w:shd w:val="clear" w:color="auto" w:fill="auto"/>
          </w:tcPr>
          <w:p w14:paraId="750C0097" w14:textId="77777777" w:rsidR="00711444" w:rsidRPr="004D0DAA" w:rsidRDefault="00711444" w:rsidP="00AA2A4C">
            <w:pPr>
              <w:pStyle w:val="TAC"/>
              <w:rPr>
                <w:lang w:eastAsia="en-US"/>
              </w:rPr>
            </w:pPr>
            <w:r w:rsidRPr="004D0DAA">
              <w:rPr>
                <w:lang w:eastAsia="en-US"/>
              </w:rPr>
              <w:t>1</w:t>
            </w:r>
          </w:p>
        </w:tc>
        <w:tc>
          <w:tcPr>
            <w:tcW w:w="876" w:type="dxa"/>
            <w:shd w:val="clear" w:color="auto" w:fill="auto"/>
          </w:tcPr>
          <w:p w14:paraId="687FA2DB" w14:textId="77777777" w:rsidR="00711444" w:rsidRPr="004D0DAA" w:rsidRDefault="00711444" w:rsidP="00AA2A4C">
            <w:pPr>
              <w:pStyle w:val="TAC"/>
              <w:rPr>
                <w:lang w:eastAsia="en-US"/>
              </w:rPr>
            </w:pPr>
            <w:r w:rsidRPr="004D0DAA">
              <w:rPr>
                <w:lang w:eastAsia="en-US"/>
              </w:rPr>
              <w:t>1</w:t>
            </w:r>
          </w:p>
        </w:tc>
        <w:tc>
          <w:tcPr>
            <w:tcW w:w="856" w:type="dxa"/>
            <w:shd w:val="clear" w:color="auto" w:fill="auto"/>
          </w:tcPr>
          <w:p w14:paraId="03978B19" w14:textId="77777777" w:rsidR="00711444" w:rsidRPr="004D0DAA" w:rsidRDefault="00711444" w:rsidP="00AA2A4C">
            <w:pPr>
              <w:pStyle w:val="TAC"/>
              <w:rPr>
                <w:lang w:eastAsia="en-US"/>
              </w:rPr>
            </w:pPr>
            <w:r w:rsidRPr="004D0DAA">
              <w:rPr>
                <w:lang w:eastAsia="en-US"/>
              </w:rPr>
              <w:t>to</w:t>
            </w:r>
          </w:p>
        </w:tc>
      </w:tr>
      <w:tr w:rsidR="00711444" w:rsidRPr="004D0DAA" w14:paraId="6D343103" w14:textId="77777777" w:rsidTr="00AA2A4C">
        <w:trPr>
          <w:cantSplit/>
          <w:trHeight w:val="57"/>
        </w:trPr>
        <w:tc>
          <w:tcPr>
            <w:tcW w:w="1978" w:type="dxa"/>
            <w:shd w:val="clear" w:color="auto" w:fill="auto"/>
          </w:tcPr>
          <w:p w14:paraId="474A07A6" w14:textId="77777777" w:rsidR="00711444" w:rsidRPr="004D0DAA" w:rsidRDefault="00711444" w:rsidP="00AA2A4C">
            <w:pPr>
              <w:pStyle w:val="TAC"/>
              <w:rPr>
                <w:lang w:eastAsia="en-US"/>
              </w:rPr>
            </w:pPr>
            <w:r w:rsidRPr="004D0DAA">
              <w:rPr>
                <w:lang w:eastAsia="en-US"/>
              </w:rPr>
              <w:t>1 1 1</w:t>
            </w:r>
          </w:p>
        </w:tc>
        <w:tc>
          <w:tcPr>
            <w:tcW w:w="6691" w:type="dxa"/>
            <w:gridSpan w:val="7"/>
            <w:shd w:val="clear" w:color="auto" w:fill="auto"/>
          </w:tcPr>
          <w:p w14:paraId="7E145600" w14:textId="77777777" w:rsidR="00711444" w:rsidRPr="004D0DAA" w:rsidRDefault="00711444" w:rsidP="00AA2A4C">
            <w:pPr>
              <w:pStyle w:val="TAC"/>
              <w:rPr>
                <w:lang w:eastAsia="en-US"/>
              </w:rPr>
            </w:pPr>
            <w:r w:rsidRPr="004D0DAA">
              <w:rPr>
                <w:lang w:eastAsia="en-US"/>
              </w:rPr>
              <w:t>reserved</w:t>
            </w:r>
          </w:p>
        </w:tc>
      </w:tr>
    </w:tbl>
    <w:p w14:paraId="06493967" w14:textId="77777777" w:rsidR="00711444" w:rsidRPr="004D0DAA" w:rsidRDefault="00711444" w:rsidP="00711444">
      <w:pPr>
        <w:pStyle w:val="Heading8"/>
      </w:pPr>
      <w:r w:rsidRPr="004D0DAA">
        <w:br w:type="page"/>
      </w:r>
      <w:bookmarkStart w:id="919" w:name="_Toc516670087"/>
      <w:r w:rsidRPr="004D0DAA">
        <w:lastRenderedPageBreak/>
        <w:t>Annex M (informative):</w:t>
      </w:r>
      <w:r w:rsidRPr="004D0DAA">
        <w:br/>
        <w:t>MTTI Assignments and allocations</w:t>
      </w:r>
      <w:bookmarkEnd w:id="919"/>
    </w:p>
    <w:p w14:paraId="422BDAE4" w14:textId="77777777" w:rsidR="00711444" w:rsidRPr="004D0DAA" w:rsidRDefault="00711444" w:rsidP="00711444">
      <w:r w:rsidRPr="004D0DAA">
        <w:t>MTTI assignments are described in sub-clause 7.1.3.7. Examples of valid MTTI assignments are shown in Figures M.1 and M.2. The examples shown in Figure M.1 may be used for either uplink or downlink TBFs. Examples of MTTI assignments that are not permitted and cannot be assigned are shown in Figure M.3.</w:t>
      </w:r>
    </w:p>
    <w:p w14:paraId="277938B1" w14:textId="77777777" w:rsidR="00711444" w:rsidRPr="004D0DAA" w:rsidRDefault="00711444" w:rsidP="00711444">
      <w:pPr>
        <w:pStyle w:val="TH"/>
      </w:pPr>
      <w:r w:rsidRPr="004D0DAA">
        <w:object w:dxaOrig="9372" w:dyaOrig="4804" w14:anchorId="145E0B6E">
          <v:shape id="_x0000_i1034" type="#_x0000_t75" style="width:468.6pt;height:240pt" o:ole="">
            <v:imagedata r:id="rId29" o:title=""/>
          </v:shape>
          <o:OLEObject Type="Embed" ProgID="Visio.Drawing.11" ShapeID="_x0000_i1034" DrawAspect="Content" ObjectID="_1821896826" r:id="rId30"/>
        </w:object>
      </w:r>
    </w:p>
    <w:p w14:paraId="7080AC4C" w14:textId="77777777" w:rsidR="00711444" w:rsidRPr="004D0DAA" w:rsidRDefault="00711444" w:rsidP="00711444">
      <w:pPr>
        <w:pStyle w:val="TF"/>
      </w:pPr>
      <w:r w:rsidRPr="004D0DAA">
        <w:t>Figure M.1: Valid MTTI assignments (single TBF)</w:t>
      </w:r>
    </w:p>
    <w:p w14:paraId="135EE330" w14:textId="77777777" w:rsidR="00711444" w:rsidRPr="004D0DAA" w:rsidRDefault="00711444" w:rsidP="00711444">
      <w:pPr>
        <w:pStyle w:val="TH"/>
      </w:pPr>
      <w:r w:rsidRPr="004D0DAA">
        <w:object w:dxaOrig="6085" w:dyaOrig="2422" w14:anchorId="76E949EF">
          <v:shape id="_x0000_i1035" type="#_x0000_t75" style="width:304.2pt;height:121.2pt" o:ole="">
            <v:imagedata r:id="rId31" o:title=""/>
          </v:shape>
          <o:OLEObject Type="Embed" ProgID="Visio.Drawing.11" ShapeID="_x0000_i1035" DrawAspect="Content" ObjectID="_1821896827" r:id="rId32"/>
        </w:object>
      </w:r>
    </w:p>
    <w:p w14:paraId="3A3E5A6A" w14:textId="77777777" w:rsidR="00711444" w:rsidRPr="004D0DAA" w:rsidRDefault="00711444" w:rsidP="00711444">
      <w:pPr>
        <w:pStyle w:val="TF"/>
      </w:pPr>
      <w:r w:rsidRPr="004D0DAA">
        <w:t>Figure M.2: Valid MTTI assignment (1 uplink TBF &amp; 1 downlink TBF)</w:t>
      </w:r>
    </w:p>
    <w:p w14:paraId="051F7445" w14:textId="77777777" w:rsidR="00711444" w:rsidRPr="004D0DAA" w:rsidRDefault="00711444" w:rsidP="00711444">
      <w:pPr>
        <w:pStyle w:val="TH"/>
      </w:pPr>
      <w:r w:rsidRPr="004D0DAA">
        <w:object w:dxaOrig="4642" w:dyaOrig="4372" w14:anchorId="6EC640E5">
          <v:shape id="_x0000_i1036" type="#_x0000_t75" style="width:232.2pt;height:218.4pt" o:ole="">
            <v:imagedata r:id="rId33" o:title=""/>
          </v:shape>
          <o:OLEObject Type="Embed" ProgID="Visio.Drawing.11" ShapeID="_x0000_i1036" DrawAspect="Content" ObjectID="_1821896828" r:id="rId34"/>
        </w:object>
      </w:r>
    </w:p>
    <w:p w14:paraId="22BC33CA" w14:textId="77777777" w:rsidR="00711444" w:rsidRPr="004D0DAA" w:rsidRDefault="00711444" w:rsidP="00711444">
      <w:pPr>
        <w:pStyle w:val="TF"/>
      </w:pPr>
      <w:r w:rsidRPr="004D0DAA">
        <w:t>Figure M.3: Invalid MTTI assignments</w:t>
      </w:r>
    </w:p>
    <w:p w14:paraId="291B931E" w14:textId="77777777" w:rsidR="00711444" w:rsidRPr="004D0DAA" w:rsidRDefault="00711444" w:rsidP="00711444">
      <w:pPr>
        <w:pStyle w:val="TH"/>
      </w:pPr>
      <w:r w:rsidRPr="004D0DAA">
        <w:object w:dxaOrig="16732" w:dyaOrig="2847" w14:anchorId="46B480C2">
          <v:shape id="_x0000_i1037" type="#_x0000_t75" style="width:481.8pt;height:82.2pt" o:ole="">
            <v:imagedata r:id="rId35" o:title=""/>
          </v:shape>
          <o:OLEObject Type="Embed" ProgID="Visio.Drawing.11" ShapeID="_x0000_i1037" DrawAspect="Content" ObjectID="_1821896829" r:id="rId36"/>
        </w:object>
      </w:r>
    </w:p>
    <w:p w14:paraId="21E7AB5C" w14:textId="77777777" w:rsidR="00711444" w:rsidRPr="004D0DAA" w:rsidRDefault="00711444" w:rsidP="00711444">
      <w:pPr>
        <w:pStyle w:val="TF"/>
      </w:pPr>
      <w:r w:rsidRPr="004D0DAA">
        <w:t>Figure M.4: Example MTTI assignments</w:t>
      </w:r>
    </w:p>
    <w:p w14:paraId="4FA5AA82" w14:textId="77777777" w:rsidR="00711444" w:rsidRPr="004D0DAA" w:rsidRDefault="00711444" w:rsidP="00711444">
      <w:r w:rsidRPr="004D0DAA">
        <w:t>Figure M.4 shows two reduced radio block periods for each of two possible MTTI configurations, during which the mobile station may be allocated resources to transmit RTTI radio blocks (A,B,D,E for Assignment 1 and G,H,I and J for Assignment 2) and/or BTTI radio blocks (C for Assignment 1 and F for Assignment 2). Tables M.1 and M.2 show which radio block(s) are allocated, depending on the timeslot(s) in the previous basic radio block period on which assigned USF(s) were received.</w:t>
      </w:r>
    </w:p>
    <w:p w14:paraId="218B1F03" w14:textId="77777777" w:rsidR="00711444" w:rsidRPr="004D0DAA" w:rsidRDefault="00711444" w:rsidP="00711444">
      <w:pPr>
        <w:pStyle w:val="TH"/>
      </w:pPr>
      <w:r w:rsidRPr="004D0DAA">
        <w:t>Table M.1: Example MTTI allocations – BTTI USF mode with EDA : Assignment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593"/>
        <w:gridCol w:w="778"/>
        <w:gridCol w:w="778"/>
        <w:gridCol w:w="778"/>
        <w:gridCol w:w="778"/>
      </w:tblGrid>
      <w:tr w:rsidR="00711444" w:rsidRPr="004D0DAA" w14:paraId="54862C80" w14:textId="77777777" w:rsidTr="00AA2A4C">
        <w:trPr>
          <w:jc w:val="center"/>
        </w:trPr>
        <w:tc>
          <w:tcPr>
            <w:tcW w:w="1526" w:type="dxa"/>
            <w:vMerge w:val="restart"/>
          </w:tcPr>
          <w:p w14:paraId="71316B23" w14:textId="77777777" w:rsidR="00711444" w:rsidRPr="004D0DAA" w:rsidRDefault="00711444" w:rsidP="00AA2A4C">
            <w:pPr>
              <w:pStyle w:val="TAH"/>
              <w:rPr>
                <w:lang w:eastAsia="en-US"/>
              </w:rPr>
            </w:pPr>
            <w:r w:rsidRPr="004D0DAA">
              <w:rPr>
                <w:lang w:eastAsia="en-US"/>
              </w:rPr>
              <w:t>Assigned USF received on TN:</w:t>
            </w:r>
          </w:p>
        </w:tc>
        <w:tc>
          <w:tcPr>
            <w:tcW w:w="3705" w:type="dxa"/>
            <w:gridSpan w:val="5"/>
          </w:tcPr>
          <w:p w14:paraId="0FE80EA3" w14:textId="77777777" w:rsidR="00711444" w:rsidRPr="004D0DAA" w:rsidRDefault="00711444" w:rsidP="00AA2A4C">
            <w:pPr>
              <w:pStyle w:val="TAH"/>
              <w:rPr>
                <w:lang w:eastAsia="en-US"/>
              </w:rPr>
            </w:pPr>
            <w:r w:rsidRPr="004D0DAA">
              <w:rPr>
                <w:lang w:eastAsia="en-US"/>
              </w:rPr>
              <w:t xml:space="preserve">Allocated blocks </w:t>
            </w:r>
          </w:p>
        </w:tc>
      </w:tr>
      <w:tr w:rsidR="00711444" w:rsidRPr="004D0DAA" w14:paraId="7345D545" w14:textId="77777777" w:rsidTr="00AA2A4C">
        <w:trPr>
          <w:jc w:val="center"/>
        </w:trPr>
        <w:tc>
          <w:tcPr>
            <w:tcW w:w="1526" w:type="dxa"/>
            <w:vMerge/>
          </w:tcPr>
          <w:p w14:paraId="3A660790" w14:textId="77777777" w:rsidR="00711444" w:rsidRPr="004D0DAA" w:rsidRDefault="00711444" w:rsidP="00AA2A4C">
            <w:pPr>
              <w:pStyle w:val="TAH"/>
              <w:rPr>
                <w:lang w:eastAsia="en-US"/>
              </w:rPr>
            </w:pPr>
          </w:p>
        </w:tc>
        <w:tc>
          <w:tcPr>
            <w:tcW w:w="593" w:type="dxa"/>
          </w:tcPr>
          <w:p w14:paraId="773CE9B7" w14:textId="77777777" w:rsidR="00711444" w:rsidRPr="004D0DAA" w:rsidRDefault="00711444" w:rsidP="00AA2A4C">
            <w:pPr>
              <w:pStyle w:val="TAH"/>
              <w:rPr>
                <w:lang w:eastAsia="en-US"/>
              </w:rPr>
            </w:pPr>
            <w:r w:rsidRPr="004D0DAA">
              <w:rPr>
                <w:lang w:eastAsia="en-US"/>
              </w:rPr>
              <w:t>A</w:t>
            </w:r>
          </w:p>
        </w:tc>
        <w:tc>
          <w:tcPr>
            <w:tcW w:w="778" w:type="dxa"/>
          </w:tcPr>
          <w:p w14:paraId="76DEF97A" w14:textId="77777777" w:rsidR="00711444" w:rsidRPr="004D0DAA" w:rsidRDefault="00711444" w:rsidP="00AA2A4C">
            <w:pPr>
              <w:pStyle w:val="TAH"/>
              <w:rPr>
                <w:lang w:eastAsia="en-US"/>
              </w:rPr>
            </w:pPr>
            <w:r w:rsidRPr="004D0DAA">
              <w:rPr>
                <w:lang w:eastAsia="en-US"/>
              </w:rPr>
              <w:t>B</w:t>
            </w:r>
          </w:p>
        </w:tc>
        <w:tc>
          <w:tcPr>
            <w:tcW w:w="778" w:type="dxa"/>
          </w:tcPr>
          <w:p w14:paraId="6315C204" w14:textId="77777777" w:rsidR="00711444" w:rsidRPr="004D0DAA" w:rsidRDefault="00711444" w:rsidP="00AA2A4C">
            <w:pPr>
              <w:pStyle w:val="TAH"/>
              <w:rPr>
                <w:lang w:eastAsia="en-US"/>
              </w:rPr>
            </w:pPr>
            <w:r w:rsidRPr="004D0DAA">
              <w:rPr>
                <w:lang w:eastAsia="en-US"/>
              </w:rPr>
              <w:t>C</w:t>
            </w:r>
          </w:p>
        </w:tc>
        <w:tc>
          <w:tcPr>
            <w:tcW w:w="778" w:type="dxa"/>
          </w:tcPr>
          <w:p w14:paraId="54C107AA" w14:textId="77777777" w:rsidR="00711444" w:rsidRPr="004D0DAA" w:rsidRDefault="00711444" w:rsidP="00AA2A4C">
            <w:pPr>
              <w:pStyle w:val="TAH"/>
              <w:rPr>
                <w:lang w:eastAsia="en-US"/>
              </w:rPr>
            </w:pPr>
            <w:r w:rsidRPr="004D0DAA">
              <w:rPr>
                <w:lang w:eastAsia="en-US"/>
              </w:rPr>
              <w:t>D</w:t>
            </w:r>
          </w:p>
        </w:tc>
        <w:tc>
          <w:tcPr>
            <w:tcW w:w="778" w:type="dxa"/>
          </w:tcPr>
          <w:p w14:paraId="0C4FFA66" w14:textId="77777777" w:rsidR="00711444" w:rsidRPr="004D0DAA" w:rsidRDefault="00711444" w:rsidP="00AA2A4C">
            <w:pPr>
              <w:pStyle w:val="TAH"/>
              <w:rPr>
                <w:lang w:eastAsia="en-US"/>
              </w:rPr>
            </w:pPr>
            <w:r w:rsidRPr="004D0DAA">
              <w:rPr>
                <w:lang w:eastAsia="en-US"/>
              </w:rPr>
              <w:t>E</w:t>
            </w:r>
          </w:p>
        </w:tc>
      </w:tr>
      <w:tr w:rsidR="00711444" w:rsidRPr="004D0DAA" w14:paraId="48E8E1A4" w14:textId="77777777" w:rsidTr="00AA2A4C">
        <w:trPr>
          <w:jc w:val="center"/>
        </w:trPr>
        <w:tc>
          <w:tcPr>
            <w:tcW w:w="1526" w:type="dxa"/>
          </w:tcPr>
          <w:p w14:paraId="5913BD70" w14:textId="77777777" w:rsidR="00711444" w:rsidRPr="004D0DAA" w:rsidRDefault="00711444" w:rsidP="00AA2A4C">
            <w:pPr>
              <w:pStyle w:val="TAC"/>
              <w:rPr>
                <w:lang w:eastAsia="en-US"/>
              </w:rPr>
            </w:pPr>
            <w:r w:rsidRPr="004D0DAA">
              <w:rPr>
                <w:lang w:eastAsia="en-US"/>
              </w:rPr>
              <w:t>1</w:t>
            </w:r>
          </w:p>
        </w:tc>
        <w:tc>
          <w:tcPr>
            <w:tcW w:w="593" w:type="dxa"/>
          </w:tcPr>
          <w:p w14:paraId="655757D0" w14:textId="77777777" w:rsidR="00711444" w:rsidRPr="004D0DAA" w:rsidRDefault="00711444" w:rsidP="00AA2A4C">
            <w:pPr>
              <w:pStyle w:val="TAC"/>
              <w:rPr>
                <w:lang w:eastAsia="en-US"/>
              </w:rPr>
            </w:pPr>
            <w:r w:rsidRPr="004D0DAA">
              <w:rPr>
                <w:lang w:eastAsia="en-US"/>
              </w:rPr>
              <w:t>X</w:t>
            </w:r>
          </w:p>
        </w:tc>
        <w:tc>
          <w:tcPr>
            <w:tcW w:w="778" w:type="dxa"/>
          </w:tcPr>
          <w:p w14:paraId="62D0B681" w14:textId="77777777" w:rsidR="00711444" w:rsidRPr="004D0DAA" w:rsidRDefault="00711444" w:rsidP="00AA2A4C">
            <w:pPr>
              <w:pStyle w:val="TAC"/>
              <w:rPr>
                <w:lang w:eastAsia="en-US"/>
              </w:rPr>
            </w:pPr>
            <w:r w:rsidRPr="004D0DAA">
              <w:rPr>
                <w:lang w:eastAsia="en-US"/>
              </w:rPr>
              <w:t>X</w:t>
            </w:r>
          </w:p>
        </w:tc>
        <w:tc>
          <w:tcPr>
            <w:tcW w:w="778" w:type="dxa"/>
          </w:tcPr>
          <w:p w14:paraId="7BF65AEF" w14:textId="77777777" w:rsidR="00711444" w:rsidRPr="004D0DAA" w:rsidRDefault="00711444" w:rsidP="00AA2A4C">
            <w:pPr>
              <w:pStyle w:val="TAC"/>
              <w:rPr>
                <w:lang w:eastAsia="en-US"/>
              </w:rPr>
            </w:pPr>
            <w:r w:rsidRPr="004D0DAA">
              <w:rPr>
                <w:lang w:eastAsia="en-US"/>
              </w:rPr>
              <w:t>X</w:t>
            </w:r>
          </w:p>
        </w:tc>
        <w:tc>
          <w:tcPr>
            <w:tcW w:w="778" w:type="dxa"/>
          </w:tcPr>
          <w:p w14:paraId="350B8E7E" w14:textId="77777777" w:rsidR="00711444" w:rsidRPr="004D0DAA" w:rsidRDefault="00711444" w:rsidP="00AA2A4C">
            <w:pPr>
              <w:pStyle w:val="TAC"/>
              <w:rPr>
                <w:lang w:eastAsia="en-US"/>
              </w:rPr>
            </w:pPr>
          </w:p>
        </w:tc>
        <w:tc>
          <w:tcPr>
            <w:tcW w:w="778" w:type="dxa"/>
          </w:tcPr>
          <w:p w14:paraId="1766416E" w14:textId="77777777" w:rsidR="00711444" w:rsidRPr="004D0DAA" w:rsidRDefault="00711444" w:rsidP="00AA2A4C">
            <w:pPr>
              <w:pStyle w:val="TAC"/>
              <w:rPr>
                <w:lang w:eastAsia="en-US"/>
              </w:rPr>
            </w:pPr>
          </w:p>
        </w:tc>
      </w:tr>
      <w:tr w:rsidR="00711444" w:rsidRPr="004D0DAA" w14:paraId="4E73ABD5" w14:textId="77777777" w:rsidTr="00AA2A4C">
        <w:trPr>
          <w:jc w:val="center"/>
        </w:trPr>
        <w:tc>
          <w:tcPr>
            <w:tcW w:w="1526" w:type="dxa"/>
          </w:tcPr>
          <w:p w14:paraId="292531C3" w14:textId="77777777" w:rsidR="00711444" w:rsidRPr="004D0DAA" w:rsidRDefault="00711444" w:rsidP="00AA2A4C">
            <w:pPr>
              <w:pStyle w:val="TAC"/>
              <w:rPr>
                <w:lang w:eastAsia="en-US"/>
              </w:rPr>
            </w:pPr>
            <w:r w:rsidRPr="004D0DAA">
              <w:rPr>
                <w:lang w:eastAsia="en-US"/>
              </w:rPr>
              <w:t>2</w:t>
            </w:r>
          </w:p>
        </w:tc>
        <w:tc>
          <w:tcPr>
            <w:tcW w:w="593" w:type="dxa"/>
          </w:tcPr>
          <w:p w14:paraId="12F2CFDF" w14:textId="77777777" w:rsidR="00711444" w:rsidRPr="004D0DAA" w:rsidRDefault="00711444" w:rsidP="00AA2A4C">
            <w:pPr>
              <w:pStyle w:val="TAC"/>
              <w:rPr>
                <w:lang w:eastAsia="en-US"/>
              </w:rPr>
            </w:pPr>
          </w:p>
        </w:tc>
        <w:tc>
          <w:tcPr>
            <w:tcW w:w="778" w:type="dxa"/>
          </w:tcPr>
          <w:p w14:paraId="081D632D" w14:textId="77777777" w:rsidR="00711444" w:rsidRPr="004D0DAA" w:rsidRDefault="00711444" w:rsidP="00AA2A4C">
            <w:pPr>
              <w:pStyle w:val="TAC"/>
              <w:rPr>
                <w:lang w:eastAsia="en-US"/>
              </w:rPr>
            </w:pPr>
          </w:p>
        </w:tc>
        <w:tc>
          <w:tcPr>
            <w:tcW w:w="778" w:type="dxa"/>
          </w:tcPr>
          <w:p w14:paraId="6A725B8F" w14:textId="77777777" w:rsidR="00711444" w:rsidRPr="004D0DAA" w:rsidRDefault="00711444" w:rsidP="00AA2A4C">
            <w:pPr>
              <w:pStyle w:val="TAC"/>
              <w:rPr>
                <w:lang w:eastAsia="en-US"/>
              </w:rPr>
            </w:pPr>
          </w:p>
        </w:tc>
        <w:tc>
          <w:tcPr>
            <w:tcW w:w="778" w:type="dxa"/>
          </w:tcPr>
          <w:p w14:paraId="402F6F37" w14:textId="77777777" w:rsidR="00711444" w:rsidRPr="004D0DAA" w:rsidRDefault="00711444" w:rsidP="00AA2A4C">
            <w:pPr>
              <w:pStyle w:val="TAC"/>
              <w:rPr>
                <w:lang w:eastAsia="en-US"/>
              </w:rPr>
            </w:pPr>
            <w:r w:rsidRPr="004D0DAA">
              <w:rPr>
                <w:lang w:eastAsia="en-US"/>
              </w:rPr>
              <w:t>X</w:t>
            </w:r>
          </w:p>
        </w:tc>
        <w:tc>
          <w:tcPr>
            <w:tcW w:w="778" w:type="dxa"/>
          </w:tcPr>
          <w:p w14:paraId="76CA6AE4" w14:textId="77777777" w:rsidR="00711444" w:rsidRPr="004D0DAA" w:rsidRDefault="00711444" w:rsidP="00AA2A4C">
            <w:pPr>
              <w:pStyle w:val="TAC"/>
              <w:rPr>
                <w:lang w:eastAsia="en-US"/>
              </w:rPr>
            </w:pPr>
            <w:r w:rsidRPr="004D0DAA">
              <w:rPr>
                <w:lang w:eastAsia="en-US"/>
              </w:rPr>
              <w:t>X</w:t>
            </w:r>
          </w:p>
        </w:tc>
      </w:tr>
      <w:tr w:rsidR="00711444" w:rsidRPr="004D0DAA" w14:paraId="11ECC873" w14:textId="77777777" w:rsidTr="00AA2A4C">
        <w:trPr>
          <w:jc w:val="center"/>
        </w:trPr>
        <w:tc>
          <w:tcPr>
            <w:tcW w:w="1526" w:type="dxa"/>
          </w:tcPr>
          <w:p w14:paraId="4693DFB9" w14:textId="77777777" w:rsidR="00711444" w:rsidRPr="004D0DAA" w:rsidRDefault="00711444" w:rsidP="00AA2A4C">
            <w:pPr>
              <w:pStyle w:val="TAC"/>
              <w:rPr>
                <w:lang w:eastAsia="en-US"/>
              </w:rPr>
            </w:pPr>
            <w:r w:rsidRPr="004D0DAA">
              <w:rPr>
                <w:lang w:eastAsia="en-US"/>
              </w:rPr>
              <w:t>3</w:t>
            </w:r>
          </w:p>
        </w:tc>
        <w:tc>
          <w:tcPr>
            <w:tcW w:w="593" w:type="dxa"/>
          </w:tcPr>
          <w:p w14:paraId="31FA91C7" w14:textId="77777777" w:rsidR="00711444" w:rsidRPr="004D0DAA" w:rsidRDefault="00711444" w:rsidP="00AA2A4C">
            <w:pPr>
              <w:pStyle w:val="TAC"/>
              <w:rPr>
                <w:lang w:eastAsia="en-US"/>
              </w:rPr>
            </w:pPr>
          </w:p>
        </w:tc>
        <w:tc>
          <w:tcPr>
            <w:tcW w:w="778" w:type="dxa"/>
          </w:tcPr>
          <w:p w14:paraId="74B74366" w14:textId="77777777" w:rsidR="00711444" w:rsidRPr="004D0DAA" w:rsidRDefault="00711444" w:rsidP="00AA2A4C">
            <w:pPr>
              <w:pStyle w:val="TAC"/>
              <w:rPr>
                <w:lang w:eastAsia="en-US"/>
              </w:rPr>
            </w:pPr>
            <w:r w:rsidRPr="004D0DAA">
              <w:rPr>
                <w:lang w:eastAsia="en-US"/>
              </w:rPr>
              <w:t>X</w:t>
            </w:r>
          </w:p>
        </w:tc>
        <w:tc>
          <w:tcPr>
            <w:tcW w:w="778" w:type="dxa"/>
          </w:tcPr>
          <w:p w14:paraId="35A1A487" w14:textId="77777777" w:rsidR="00711444" w:rsidRPr="004D0DAA" w:rsidRDefault="00711444" w:rsidP="00AA2A4C">
            <w:pPr>
              <w:pStyle w:val="TAC"/>
              <w:rPr>
                <w:lang w:eastAsia="en-US"/>
              </w:rPr>
            </w:pPr>
            <w:r w:rsidRPr="004D0DAA">
              <w:rPr>
                <w:lang w:eastAsia="en-US"/>
              </w:rPr>
              <w:t>X</w:t>
            </w:r>
          </w:p>
        </w:tc>
        <w:tc>
          <w:tcPr>
            <w:tcW w:w="778" w:type="dxa"/>
          </w:tcPr>
          <w:p w14:paraId="1531AE48" w14:textId="77777777" w:rsidR="00711444" w:rsidRPr="004D0DAA" w:rsidRDefault="00711444" w:rsidP="00AA2A4C">
            <w:pPr>
              <w:pStyle w:val="TAC"/>
              <w:rPr>
                <w:lang w:eastAsia="en-US"/>
              </w:rPr>
            </w:pPr>
          </w:p>
        </w:tc>
        <w:tc>
          <w:tcPr>
            <w:tcW w:w="778" w:type="dxa"/>
          </w:tcPr>
          <w:p w14:paraId="2DF7AE77" w14:textId="77777777" w:rsidR="00711444" w:rsidRPr="004D0DAA" w:rsidRDefault="00711444" w:rsidP="00AA2A4C">
            <w:pPr>
              <w:pStyle w:val="TAC"/>
              <w:rPr>
                <w:lang w:eastAsia="en-US"/>
              </w:rPr>
            </w:pPr>
          </w:p>
        </w:tc>
      </w:tr>
      <w:tr w:rsidR="00711444" w:rsidRPr="004D0DAA" w14:paraId="151C79B2" w14:textId="77777777" w:rsidTr="00AA2A4C">
        <w:trPr>
          <w:jc w:val="center"/>
        </w:trPr>
        <w:tc>
          <w:tcPr>
            <w:tcW w:w="1526" w:type="dxa"/>
          </w:tcPr>
          <w:p w14:paraId="43D2A69D" w14:textId="77777777" w:rsidR="00711444" w:rsidRPr="004D0DAA" w:rsidRDefault="00711444" w:rsidP="00AA2A4C">
            <w:pPr>
              <w:pStyle w:val="TAC"/>
              <w:rPr>
                <w:lang w:eastAsia="en-US"/>
              </w:rPr>
            </w:pPr>
            <w:r w:rsidRPr="004D0DAA">
              <w:rPr>
                <w:lang w:eastAsia="en-US"/>
              </w:rPr>
              <w:t>4</w:t>
            </w:r>
          </w:p>
        </w:tc>
        <w:tc>
          <w:tcPr>
            <w:tcW w:w="593" w:type="dxa"/>
          </w:tcPr>
          <w:p w14:paraId="034EAFC7" w14:textId="77777777" w:rsidR="00711444" w:rsidRPr="004D0DAA" w:rsidRDefault="00711444" w:rsidP="00AA2A4C">
            <w:pPr>
              <w:pStyle w:val="TAC"/>
              <w:rPr>
                <w:lang w:eastAsia="en-US"/>
              </w:rPr>
            </w:pPr>
          </w:p>
        </w:tc>
        <w:tc>
          <w:tcPr>
            <w:tcW w:w="778" w:type="dxa"/>
          </w:tcPr>
          <w:p w14:paraId="7CBA177E" w14:textId="77777777" w:rsidR="00711444" w:rsidRPr="004D0DAA" w:rsidRDefault="00711444" w:rsidP="00AA2A4C">
            <w:pPr>
              <w:pStyle w:val="TAC"/>
              <w:rPr>
                <w:lang w:eastAsia="en-US"/>
              </w:rPr>
            </w:pPr>
          </w:p>
        </w:tc>
        <w:tc>
          <w:tcPr>
            <w:tcW w:w="778" w:type="dxa"/>
          </w:tcPr>
          <w:p w14:paraId="0A243171" w14:textId="77777777" w:rsidR="00711444" w:rsidRPr="004D0DAA" w:rsidRDefault="00711444" w:rsidP="00AA2A4C">
            <w:pPr>
              <w:pStyle w:val="TAC"/>
              <w:rPr>
                <w:lang w:eastAsia="en-US"/>
              </w:rPr>
            </w:pPr>
          </w:p>
        </w:tc>
        <w:tc>
          <w:tcPr>
            <w:tcW w:w="778" w:type="dxa"/>
          </w:tcPr>
          <w:p w14:paraId="29897F6A" w14:textId="77777777" w:rsidR="00711444" w:rsidRPr="004D0DAA" w:rsidRDefault="00711444" w:rsidP="00AA2A4C">
            <w:pPr>
              <w:pStyle w:val="TAC"/>
              <w:rPr>
                <w:lang w:eastAsia="en-US"/>
              </w:rPr>
            </w:pPr>
          </w:p>
        </w:tc>
        <w:tc>
          <w:tcPr>
            <w:tcW w:w="778" w:type="dxa"/>
          </w:tcPr>
          <w:p w14:paraId="1AE9C44D" w14:textId="77777777" w:rsidR="00711444" w:rsidRPr="004D0DAA" w:rsidRDefault="00711444" w:rsidP="00AA2A4C">
            <w:pPr>
              <w:pStyle w:val="TAC"/>
              <w:rPr>
                <w:lang w:eastAsia="en-US"/>
              </w:rPr>
            </w:pPr>
            <w:r w:rsidRPr="004D0DAA">
              <w:rPr>
                <w:lang w:eastAsia="en-US"/>
              </w:rPr>
              <w:t>X</w:t>
            </w:r>
          </w:p>
        </w:tc>
      </w:tr>
      <w:tr w:rsidR="00711444" w:rsidRPr="004D0DAA" w14:paraId="32E99274" w14:textId="77777777" w:rsidTr="00AA2A4C">
        <w:trPr>
          <w:jc w:val="center"/>
        </w:trPr>
        <w:tc>
          <w:tcPr>
            <w:tcW w:w="1526" w:type="dxa"/>
          </w:tcPr>
          <w:p w14:paraId="00754C3A" w14:textId="77777777" w:rsidR="00711444" w:rsidRPr="004D0DAA" w:rsidRDefault="00711444" w:rsidP="00AA2A4C">
            <w:pPr>
              <w:pStyle w:val="TAC"/>
              <w:rPr>
                <w:lang w:eastAsia="en-US"/>
              </w:rPr>
            </w:pPr>
            <w:r w:rsidRPr="004D0DAA">
              <w:rPr>
                <w:lang w:eastAsia="en-US"/>
              </w:rPr>
              <w:t>5</w:t>
            </w:r>
          </w:p>
        </w:tc>
        <w:tc>
          <w:tcPr>
            <w:tcW w:w="593" w:type="dxa"/>
          </w:tcPr>
          <w:p w14:paraId="2EFA0724" w14:textId="77777777" w:rsidR="00711444" w:rsidRPr="004D0DAA" w:rsidRDefault="00711444" w:rsidP="00AA2A4C">
            <w:pPr>
              <w:pStyle w:val="TAC"/>
              <w:rPr>
                <w:lang w:eastAsia="en-US"/>
              </w:rPr>
            </w:pPr>
          </w:p>
        </w:tc>
        <w:tc>
          <w:tcPr>
            <w:tcW w:w="778" w:type="dxa"/>
          </w:tcPr>
          <w:p w14:paraId="48F0C127" w14:textId="77777777" w:rsidR="00711444" w:rsidRPr="004D0DAA" w:rsidRDefault="00711444" w:rsidP="00AA2A4C">
            <w:pPr>
              <w:pStyle w:val="TAC"/>
              <w:rPr>
                <w:lang w:eastAsia="en-US"/>
              </w:rPr>
            </w:pPr>
          </w:p>
        </w:tc>
        <w:tc>
          <w:tcPr>
            <w:tcW w:w="778" w:type="dxa"/>
          </w:tcPr>
          <w:p w14:paraId="572EC8AD" w14:textId="77777777" w:rsidR="00711444" w:rsidRPr="004D0DAA" w:rsidRDefault="00711444" w:rsidP="00AA2A4C">
            <w:pPr>
              <w:pStyle w:val="TAC"/>
              <w:rPr>
                <w:lang w:eastAsia="en-US"/>
              </w:rPr>
            </w:pPr>
            <w:r w:rsidRPr="004D0DAA">
              <w:rPr>
                <w:lang w:eastAsia="en-US"/>
              </w:rPr>
              <w:t>X</w:t>
            </w:r>
          </w:p>
        </w:tc>
        <w:tc>
          <w:tcPr>
            <w:tcW w:w="778" w:type="dxa"/>
          </w:tcPr>
          <w:p w14:paraId="38D56C5D" w14:textId="77777777" w:rsidR="00711444" w:rsidRPr="004D0DAA" w:rsidRDefault="00711444" w:rsidP="00AA2A4C">
            <w:pPr>
              <w:pStyle w:val="TAC"/>
              <w:rPr>
                <w:lang w:eastAsia="en-US"/>
              </w:rPr>
            </w:pPr>
          </w:p>
        </w:tc>
        <w:tc>
          <w:tcPr>
            <w:tcW w:w="778" w:type="dxa"/>
          </w:tcPr>
          <w:p w14:paraId="6EAB0B9E" w14:textId="77777777" w:rsidR="00711444" w:rsidRPr="004D0DAA" w:rsidRDefault="00711444" w:rsidP="00AA2A4C">
            <w:pPr>
              <w:pStyle w:val="TAC"/>
              <w:rPr>
                <w:lang w:eastAsia="en-US"/>
              </w:rPr>
            </w:pPr>
          </w:p>
        </w:tc>
      </w:tr>
    </w:tbl>
    <w:p w14:paraId="45A42EE7" w14:textId="77777777" w:rsidR="00711444" w:rsidRPr="004D0DAA" w:rsidRDefault="00711444" w:rsidP="00711444"/>
    <w:p w14:paraId="46A827B0" w14:textId="77777777" w:rsidR="00711444" w:rsidRPr="004D0DAA" w:rsidRDefault="00711444" w:rsidP="00711444">
      <w:pPr>
        <w:pStyle w:val="TH"/>
      </w:pPr>
      <w:r w:rsidRPr="004D0DAA">
        <w:t>Table M.2: Example MTTI allocations – BTTI USF mode with EDA : Assignment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2"/>
        <w:gridCol w:w="779"/>
        <w:gridCol w:w="779"/>
        <w:gridCol w:w="779"/>
        <w:gridCol w:w="780"/>
        <w:gridCol w:w="780"/>
        <w:tblGridChange w:id="920">
          <w:tblGrid>
            <w:gridCol w:w="1862"/>
            <w:gridCol w:w="779"/>
            <w:gridCol w:w="779"/>
            <w:gridCol w:w="779"/>
            <w:gridCol w:w="780"/>
            <w:gridCol w:w="780"/>
          </w:tblGrid>
        </w:tblGridChange>
      </w:tblGrid>
      <w:tr w:rsidR="00711444" w:rsidRPr="004D0DAA" w14:paraId="5EF64FF7" w14:textId="77777777" w:rsidTr="00AA2A4C">
        <w:trPr>
          <w:cantSplit/>
          <w:trHeight w:val="57"/>
          <w:jc w:val="center"/>
        </w:trPr>
        <w:tc>
          <w:tcPr>
            <w:tcW w:w="1862" w:type="dxa"/>
            <w:vMerge w:val="restart"/>
          </w:tcPr>
          <w:p w14:paraId="3C0767A0" w14:textId="77777777" w:rsidR="00711444" w:rsidRPr="004D0DAA" w:rsidRDefault="00711444" w:rsidP="00AA2A4C">
            <w:pPr>
              <w:pStyle w:val="TAH"/>
              <w:rPr>
                <w:lang w:eastAsia="en-US"/>
              </w:rPr>
            </w:pPr>
            <w:r w:rsidRPr="004D0DAA">
              <w:rPr>
                <w:lang w:eastAsia="en-US"/>
              </w:rPr>
              <w:t>Assigned USF received on TN</w:t>
            </w:r>
          </w:p>
        </w:tc>
        <w:tc>
          <w:tcPr>
            <w:tcW w:w="3897" w:type="dxa"/>
            <w:gridSpan w:val="5"/>
          </w:tcPr>
          <w:p w14:paraId="031F330E" w14:textId="77777777" w:rsidR="00711444" w:rsidRPr="004D0DAA" w:rsidRDefault="00711444" w:rsidP="00AA2A4C">
            <w:pPr>
              <w:pStyle w:val="TAH"/>
              <w:rPr>
                <w:lang w:eastAsia="en-US"/>
              </w:rPr>
            </w:pPr>
            <w:r w:rsidRPr="004D0DAA">
              <w:rPr>
                <w:lang w:eastAsia="en-US"/>
              </w:rPr>
              <w:t>Allocated blocks</w:t>
            </w:r>
          </w:p>
        </w:tc>
      </w:tr>
      <w:tr w:rsidR="00711444" w:rsidRPr="004D0DAA" w14:paraId="3FA3280F" w14:textId="77777777" w:rsidTr="00AA2A4C">
        <w:trPr>
          <w:cantSplit/>
          <w:trHeight w:val="57"/>
          <w:jc w:val="center"/>
        </w:trPr>
        <w:tc>
          <w:tcPr>
            <w:tcW w:w="1862" w:type="dxa"/>
            <w:vMerge/>
          </w:tcPr>
          <w:p w14:paraId="2A669332" w14:textId="77777777" w:rsidR="00711444" w:rsidRPr="004D0DAA" w:rsidRDefault="00711444" w:rsidP="00AA2A4C">
            <w:pPr>
              <w:pStyle w:val="TAL"/>
              <w:rPr>
                <w:lang w:eastAsia="en-US"/>
              </w:rPr>
            </w:pPr>
          </w:p>
        </w:tc>
        <w:tc>
          <w:tcPr>
            <w:tcW w:w="779" w:type="dxa"/>
          </w:tcPr>
          <w:p w14:paraId="3C29B530" w14:textId="77777777" w:rsidR="00711444" w:rsidRPr="004D0DAA" w:rsidRDefault="00711444" w:rsidP="00AA2A4C">
            <w:pPr>
              <w:pStyle w:val="TAH"/>
              <w:rPr>
                <w:lang w:eastAsia="en-US"/>
              </w:rPr>
            </w:pPr>
            <w:r w:rsidRPr="004D0DAA">
              <w:rPr>
                <w:lang w:eastAsia="en-US"/>
              </w:rPr>
              <w:t>F</w:t>
            </w:r>
          </w:p>
        </w:tc>
        <w:tc>
          <w:tcPr>
            <w:tcW w:w="779" w:type="dxa"/>
          </w:tcPr>
          <w:p w14:paraId="2718CBFB" w14:textId="77777777" w:rsidR="00711444" w:rsidRPr="004D0DAA" w:rsidRDefault="00711444" w:rsidP="00AA2A4C">
            <w:pPr>
              <w:pStyle w:val="TAH"/>
              <w:rPr>
                <w:lang w:eastAsia="en-US"/>
              </w:rPr>
            </w:pPr>
            <w:r w:rsidRPr="004D0DAA">
              <w:rPr>
                <w:lang w:eastAsia="en-US"/>
              </w:rPr>
              <w:t>G</w:t>
            </w:r>
          </w:p>
        </w:tc>
        <w:tc>
          <w:tcPr>
            <w:tcW w:w="779" w:type="dxa"/>
          </w:tcPr>
          <w:p w14:paraId="7D5611FB" w14:textId="77777777" w:rsidR="00711444" w:rsidRPr="004D0DAA" w:rsidRDefault="00711444" w:rsidP="00AA2A4C">
            <w:pPr>
              <w:pStyle w:val="TAH"/>
              <w:rPr>
                <w:lang w:eastAsia="en-US"/>
              </w:rPr>
            </w:pPr>
            <w:r w:rsidRPr="004D0DAA">
              <w:rPr>
                <w:lang w:eastAsia="en-US"/>
              </w:rPr>
              <w:t>H</w:t>
            </w:r>
          </w:p>
        </w:tc>
        <w:tc>
          <w:tcPr>
            <w:tcW w:w="780" w:type="dxa"/>
          </w:tcPr>
          <w:p w14:paraId="69FCB40E" w14:textId="77777777" w:rsidR="00711444" w:rsidRPr="004D0DAA" w:rsidRDefault="00711444" w:rsidP="00AA2A4C">
            <w:pPr>
              <w:pStyle w:val="TAH"/>
              <w:rPr>
                <w:lang w:eastAsia="en-US"/>
              </w:rPr>
            </w:pPr>
            <w:r w:rsidRPr="004D0DAA">
              <w:rPr>
                <w:lang w:eastAsia="en-US"/>
              </w:rPr>
              <w:t>I</w:t>
            </w:r>
          </w:p>
        </w:tc>
        <w:tc>
          <w:tcPr>
            <w:tcW w:w="780" w:type="dxa"/>
          </w:tcPr>
          <w:p w14:paraId="1E947041" w14:textId="77777777" w:rsidR="00711444" w:rsidRPr="004D0DAA" w:rsidRDefault="00711444" w:rsidP="00AA2A4C">
            <w:pPr>
              <w:pStyle w:val="TAH"/>
              <w:rPr>
                <w:lang w:eastAsia="en-US"/>
              </w:rPr>
            </w:pPr>
            <w:r w:rsidRPr="004D0DAA">
              <w:rPr>
                <w:lang w:eastAsia="en-US"/>
              </w:rPr>
              <w:t>J</w:t>
            </w:r>
          </w:p>
        </w:tc>
      </w:tr>
      <w:tr w:rsidR="00711444" w:rsidRPr="004D0DAA" w14:paraId="794D8DD2" w14:textId="77777777" w:rsidTr="00AA2A4C">
        <w:trPr>
          <w:cantSplit/>
          <w:trHeight w:val="57"/>
          <w:jc w:val="center"/>
        </w:trPr>
        <w:tc>
          <w:tcPr>
            <w:tcW w:w="1862" w:type="dxa"/>
          </w:tcPr>
          <w:p w14:paraId="714494FF" w14:textId="77777777" w:rsidR="00711444" w:rsidRPr="004D0DAA" w:rsidRDefault="00711444" w:rsidP="00AA2A4C">
            <w:pPr>
              <w:pStyle w:val="TAC"/>
              <w:rPr>
                <w:lang w:eastAsia="en-US"/>
              </w:rPr>
            </w:pPr>
            <w:r w:rsidRPr="004D0DAA">
              <w:rPr>
                <w:lang w:eastAsia="en-US"/>
              </w:rPr>
              <w:t>1</w:t>
            </w:r>
          </w:p>
        </w:tc>
        <w:tc>
          <w:tcPr>
            <w:tcW w:w="779" w:type="dxa"/>
          </w:tcPr>
          <w:p w14:paraId="6F14FAC3" w14:textId="77777777" w:rsidR="00711444" w:rsidRPr="004D0DAA" w:rsidRDefault="00711444" w:rsidP="00AA2A4C">
            <w:pPr>
              <w:pStyle w:val="TAC"/>
              <w:rPr>
                <w:lang w:eastAsia="en-US"/>
              </w:rPr>
            </w:pPr>
            <w:r w:rsidRPr="004D0DAA">
              <w:rPr>
                <w:lang w:eastAsia="en-US"/>
              </w:rPr>
              <w:t>X</w:t>
            </w:r>
          </w:p>
        </w:tc>
        <w:tc>
          <w:tcPr>
            <w:tcW w:w="779" w:type="dxa"/>
          </w:tcPr>
          <w:p w14:paraId="12E4FC0F" w14:textId="77777777" w:rsidR="00711444" w:rsidRPr="004D0DAA" w:rsidRDefault="00711444" w:rsidP="00AA2A4C">
            <w:pPr>
              <w:pStyle w:val="TAC"/>
              <w:rPr>
                <w:lang w:eastAsia="en-US"/>
              </w:rPr>
            </w:pPr>
            <w:r w:rsidRPr="004D0DAA">
              <w:rPr>
                <w:lang w:eastAsia="en-US"/>
              </w:rPr>
              <w:t>X</w:t>
            </w:r>
          </w:p>
        </w:tc>
        <w:tc>
          <w:tcPr>
            <w:tcW w:w="779" w:type="dxa"/>
          </w:tcPr>
          <w:p w14:paraId="75A6909B" w14:textId="77777777" w:rsidR="00711444" w:rsidRPr="004D0DAA" w:rsidRDefault="00711444" w:rsidP="00AA2A4C">
            <w:pPr>
              <w:pStyle w:val="TAC"/>
              <w:rPr>
                <w:lang w:eastAsia="en-US"/>
              </w:rPr>
            </w:pPr>
            <w:r w:rsidRPr="004D0DAA">
              <w:rPr>
                <w:lang w:eastAsia="en-US"/>
              </w:rPr>
              <w:t>X</w:t>
            </w:r>
          </w:p>
        </w:tc>
        <w:tc>
          <w:tcPr>
            <w:tcW w:w="780" w:type="dxa"/>
          </w:tcPr>
          <w:p w14:paraId="12067D40" w14:textId="77777777" w:rsidR="00711444" w:rsidRPr="004D0DAA" w:rsidRDefault="00711444" w:rsidP="00AA2A4C">
            <w:pPr>
              <w:pStyle w:val="TAC"/>
              <w:rPr>
                <w:lang w:eastAsia="en-US"/>
              </w:rPr>
            </w:pPr>
            <w:r w:rsidRPr="004D0DAA">
              <w:rPr>
                <w:lang w:eastAsia="en-US"/>
              </w:rPr>
              <w:t>X</w:t>
            </w:r>
          </w:p>
        </w:tc>
        <w:tc>
          <w:tcPr>
            <w:tcW w:w="780" w:type="dxa"/>
          </w:tcPr>
          <w:p w14:paraId="1DFFCC4E" w14:textId="77777777" w:rsidR="00711444" w:rsidRPr="004D0DAA" w:rsidRDefault="00711444" w:rsidP="00AA2A4C">
            <w:pPr>
              <w:pStyle w:val="TAC"/>
              <w:rPr>
                <w:lang w:eastAsia="en-US"/>
              </w:rPr>
            </w:pPr>
            <w:r w:rsidRPr="004D0DAA">
              <w:rPr>
                <w:lang w:eastAsia="en-US"/>
              </w:rPr>
              <w:t>X</w:t>
            </w:r>
          </w:p>
        </w:tc>
      </w:tr>
      <w:tr w:rsidR="00711444" w:rsidRPr="004D0DAA" w14:paraId="0C9C2CBD" w14:textId="77777777" w:rsidTr="00AA2A4C">
        <w:trPr>
          <w:cantSplit/>
          <w:trHeight w:val="57"/>
          <w:jc w:val="center"/>
        </w:trPr>
        <w:tc>
          <w:tcPr>
            <w:tcW w:w="1862" w:type="dxa"/>
          </w:tcPr>
          <w:p w14:paraId="2F46A80D" w14:textId="77777777" w:rsidR="00711444" w:rsidRPr="004D0DAA" w:rsidRDefault="00711444" w:rsidP="00AA2A4C">
            <w:pPr>
              <w:pStyle w:val="TAC"/>
              <w:rPr>
                <w:lang w:eastAsia="en-US"/>
              </w:rPr>
            </w:pPr>
            <w:r w:rsidRPr="004D0DAA">
              <w:rPr>
                <w:lang w:eastAsia="en-US"/>
              </w:rPr>
              <w:t>2</w:t>
            </w:r>
          </w:p>
        </w:tc>
        <w:tc>
          <w:tcPr>
            <w:tcW w:w="779" w:type="dxa"/>
          </w:tcPr>
          <w:p w14:paraId="44A9D0D1" w14:textId="77777777" w:rsidR="00711444" w:rsidRPr="004D0DAA" w:rsidRDefault="00711444" w:rsidP="00AA2A4C">
            <w:pPr>
              <w:pStyle w:val="TAC"/>
              <w:rPr>
                <w:lang w:eastAsia="en-US"/>
              </w:rPr>
            </w:pPr>
          </w:p>
        </w:tc>
        <w:tc>
          <w:tcPr>
            <w:tcW w:w="779" w:type="dxa"/>
          </w:tcPr>
          <w:p w14:paraId="41BCB073" w14:textId="77777777" w:rsidR="00711444" w:rsidRPr="004D0DAA" w:rsidRDefault="00711444" w:rsidP="00AA2A4C">
            <w:pPr>
              <w:pStyle w:val="TAC"/>
              <w:rPr>
                <w:lang w:eastAsia="en-US"/>
              </w:rPr>
            </w:pPr>
            <w:r w:rsidRPr="004D0DAA">
              <w:rPr>
                <w:lang w:eastAsia="en-US"/>
              </w:rPr>
              <w:t>X</w:t>
            </w:r>
          </w:p>
        </w:tc>
        <w:tc>
          <w:tcPr>
            <w:tcW w:w="779" w:type="dxa"/>
          </w:tcPr>
          <w:p w14:paraId="7ECA1366" w14:textId="77777777" w:rsidR="00711444" w:rsidRPr="004D0DAA" w:rsidRDefault="00711444" w:rsidP="00AA2A4C">
            <w:pPr>
              <w:pStyle w:val="TAC"/>
              <w:rPr>
                <w:lang w:eastAsia="en-US"/>
              </w:rPr>
            </w:pPr>
            <w:r w:rsidRPr="004D0DAA">
              <w:rPr>
                <w:lang w:eastAsia="en-US"/>
              </w:rPr>
              <w:t>X</w:t>
            </w:r>
          </w:p>
        </w:tc>
        <w:tc>
          <w:tcPr>
            <w:tcW w:w="780" w:type="dxa"/>
          </w:tcPr>
          <w:p w14:paraId="29573847" w14:textId="77777777" w:rsidR="00711444" w:rsidRPr="004D0DAA" w:rsidRDefault="00711444" w:rsidP="00AA2A4C">
            <w:pPr>
              <w:pStyle w:val="TAC"/>
              <w:rPr>
                <w:lang w:eastAsia="en-US"/>
              </w:rPr>
            </w:pPr>
          </w:p>
        </w:tc>
        <w:tc>
          <w:tcPr>
            <w:tcW w:w="780" w:type="dxa"/>
          </w:tcPr>
          <w:p w14:paraId="1216B7F7" w14:textId="77777777" w:rsidR="00711444" w:rsidRPr="004D0DAA" w:rsidRDefault="00711444" w:rsidP="00AA2A4C">
            <w:pPr>
              <w:pStyle w:val="TAC"/>
              <w:rPr>
                <w:lang w:eastAsia="en-US"/>
              </w:rPr>
            </w:pPr>
          </w:p>
        </w:tc>
      </w:tr>
      <w:tr w:rsidR="00711444" w:rsidRPr="004D0DAA" w14:paraId="4646575E" w14:textId="77777777" w:rsidTr="00AA2A4C">
        <w:trPr>
          <w:cantSplit/>
          <w:trHeight w:val="57"/>
          <w:jc w:val="center"/>
        </w:trPr>
        <w:tc>
          <w:tcPr>
            <w:tcW w:w="1862" w:type="dxa"/>
          </w:tcPr>
          <w:p w14:paraId="5E6D165D" w14:textId="77777777" w:rsidR="00711444" w:rsidRPr="004D0DAA" w:rsidRDefault="00711444" w:rsidP="00AA2A4C">
            <w:pPr>
              <w:pStyle w:val="TAC"/>
              <w:rPr>
                <w:lang w:eastAsia="en-US"/>
              </w:rPr>
            </w:pPr>
            <w:r w:rsidRPr="004D0DAA">
              <w:rPr>
                <w:lang w:eastAsia="en-US"/>
              </w:rPr>
              <w:t>3</w:t>
            </w:r>
          </w:p>
        </w:tc>
        <w:tc>
          <w:tcPr>
            <w:tcW w:w="779" w:type="dxa"/>
          </w:tcPr>
          <w:p w14:paraId="19FFE779" w14:textId="77777777" w:rsidR="00711444" w:rsidRPr="004D0DAA" w:rsidRDefault="00711444" w:rsidP="00AA2A4C">
            <w:pPr>
              <w:pStyle w:val="TAC"/>
              <w:rPr>
                <w:lang w:eastAsia="en-US"/>
              </w:rPr>
            </w:pPr>
          </w:p>
        </w:tc>
        <w:tc>
          <w:tcPr>
            <w:tcW w:w="779" w:type="dxa"/>
          </w:tcPr>
          <w:p w14:paraId="095FBFD6" w14:textId="77777777" w:rsidR="00711444" w:rsidRPr="004D0DAA" w:rsidRDefault="00711444" w:rsidP="00AA2A4C">
            <w:pPr>
              <w:pStyle w:val="TAC"/>
              <w:rPr>
                <w:lang w:eastAsia="en-US"/>
              </w:rPr>
            </w:pPr>
          </w:p>
        </w:tc>
        <w:tc>
          <w:tcPr>
            <w:tcW w:w="779" w:type="dxa"/>
          </w:tcPr>
          <w:p w14:paraId="394F3508" w14:textId="77777777" w:rsidR="00711444" w:rsidRPr="004D0DAA" w:rsidRDefault="00711444" w:rsidP="00AA2A4C">
            <w:pPr>
              <w:pStyle w:val="TAC"/>
              <w:rPr>
                <w:lang w:eastAsia="en-US"/>
              </w:rPr>
            </w:pPr>
          </w:p>
        </w:tc>
        <w:tc>
          <w:tcPr>
            <w:tcW w:w="780" w:type="dxa"/>
          </w:tcPr>
          <w:p w14:paraId="2EB247E7" w14:textId="77777777" w:rsidR="00711444" w:rsidRPr="004D0DAA" w:rsidRDefault="00711444" w:rsidP="00AA2A4C">
            <w:pPr>
              <w:pStyle w:val="TAC"/>
              <w:rPr>
                <w:lang w:eastAsia="en-US"/>
              </w:rPr>
            </w:pPr>
            <w:r w:rsidRPr="004D0DAA">
              <w:rPr>
                <w:lang w:eastAsia="en-US"/>
              </w:rPr>
              <w:t>X</w:t>
            </w:r>
          </w:p>
        </w:tc>
        <w:tc>
          <w:tcPr>
            <w:tcW w:w="780" w:type="dxa"/>
          </w:tcPr>
          <w:p w14:paraId="087D3426" w14:textId="77777777" w:rsidR="00711444" w:rsidRPr="004D0DAA" w:rsidRDefault="00711444" w:rsidP="00AA2A4C">
            <w:pPr>
              <w:pStyle w:val="TAC"/>
              <w:rPr>
                <w:lang w:eastAsia="en-US"/>
              </w:rPr>
            </w:pPr>
            <w:r w:rsidRPr="004D0DAA">
              <w:rPr>
                <w:lang w:eastAsia="en-US"/>
              </w:rPr>
              <w:t>X</w:t>
            </w:r>
          </w:p>
        </w:tc>
      </w:tr>
      <w:tr w:rsidR="00711444" w:rsidRPr="004D0DAA" w14:paraId="19D465DC" w14:textId="77777777" w:rsidTr="00AA2A4C">
        <w:trPr>
          <w:cantSplit/>
          <w:trHeight w:val="57"/>
          <w:jc w:val="center"/>
        </w:trPr>
        <w:tc>
          <w:tcPr>
            <w:tcW w:w="1862" w:type="dxa"/>
          </w:tcPr>
          <w:p w14:paraId="13928885" w14:textId="77777777" w:rsidR="00711444" w:rsidRPr="004D0DAA" w:rsidRDefault="00711444" w:rsidP="00AA2A4C">
            <w:pPr>
              <w:pStyle w:val="TAC"/>
              <w:rPr>
                <w:lang w:eastAsia="en-US"/>
              </w:rPr>
            </w:pPr>
            <w:r w:rsidRPr="004D0DAA">
              <w:rPr>
                <w:lang w:eastAsia="en-US"/>
              </w:rPr>
              <w:t>4</w:t>
            </w:r>
          </w:p>
        </w:tc>
        <w:tc>
          <w:tcPr>
            <w:tcW w:w="779" w:type="dxa"/>
          </w:tcPr>
          <w:p w14:paraId="778C01D9" w14:textId="77777777" w:rsidR="00711444" w:rsidRPr="004D0DAA" w:rsidRDefault="00711444" w:rsidP="00AA2A4C">
            <w:pPr>
              <w:pStyle w:val="TAC"/>
              <w:rPr>
                <w:lang w:eastAsia="en-US"/>
              </w:rPr>
            </w:pPr>
          </w:p>
        </w:tc>
        <w:tc>
          <w:tcPr>
            <w:tcW w:w="779" w:type="dxa"/>
          </w:tcPr>
          <w:p w14:paraId="512FD020" w14:textId="77777777" w:rsidR="00711444" w:rsidRPr="004D0DAA" w:rsidRDefault="00711444" w:rsidP="00AA2A4C">
            <w:pPr>
              <w:pStyle w:val="TAC"/>
              <w:rPr>
                <w:lang w:eastAsia="en-US"/>
              </w:rPr>
            </w:pPr>
          </w:p>
        </w:tc>
        <w:tc>
          <w:tcPr>
            <w:tcW w:w="779" w:type="dxa"/>
          </w:tcPr>
          <w:p w14:paraId="325043DA" w14:textId="77777777" w:rsidR="00711444" w:rsidRPr="004D0DAA" w:rsidRDefault="00711444" w:rsidP="00AA2A4C">
            <w:pPr>
              <w:pStyle w:val="TAC"/>
              <w:rPr>
                <w:lang w:eastAsia="en-US"/>
              </w:rPr>
            </w:pPr>
            <w:r w:rsidRPr="004D0DAA">
              <w:rPr>
                <w:lang w:eastAsia="en-US"/>
              </w:rPr>
              <w:t>X</w:t>
            </w:r>
          </w:p>
        </w:tc>
        <w:tc>
          <w:tcPr>
            <w:tcW w:w="780" w:type="dxa"/>
          </w:tcPr>
          <w:p w14:paraId="4C47CF12" w14:textId="77777777" w:rsidR="00711444" w:rsidRPr="004D0DAA" w:rsidRDefault="00711444" w:rsidP="00AA2A4C">
            <w:pPr>
              <w:pStyle w:val="TAC"/>
              <w:rPr>
                <w:lang w:eastAsia="en-US"/>
              </w:rPr>
            </w:pPr>
          </w:p>
        </w:tc>
        <w:tc>
          <w:tcPr>
            <w:tcW w:w="780" w:type="dxa"/>
          </w:tcPr>
          <w:p w14:paraId="79DFCD50" w14:textId="77777777" w:rsidR="00711444" w:rsidRPr="004D0DAA" w:rsidRDefault="00711444" w:rsidP="00AA2A4C">
            <w:pPr>
              <w:pStyle w:val="TAC"/>
              <w:rPr>
                <w:lang w:eastAsia="en-US"/>
              </w:rPr>
            </w:pPr>
          </w:p>
        </w:tc>
      </w:tr>
      <w:tr w:rsidR="00711444" w:rsidRPr="004D0DAA" w14:paraId="5873EED3" w14:textId="77777777" w:rsidTr="00AA2A4C">
        <w:trPr>
          <w:cantSplit/>
          <w:trHeight w:val="57"/>
          <w:jc w:val="center"/>
        </w:trPr>
        <w:tc>
          <w:tcPr>
            <w:tcW w:w="1862" w:type="dxa"/>
          </w:tcPr>
          <w:p w14:paraId="04545CB4" w14:textId="77777777" w:rsidR="00711444" w:rsidRPr="004D0DAA" w:rsidRDefault="00711444" w:rsidP="00AA2A4C">
            <w:pPr>
              <w:pStyle w:val="TAC"/>
              <w:rPr>
                <w:lang w:eastAsia="en-US"/>
              </w:rPr>
            </w:pPr>
            <w:r w:rsidRPr="004D0DAA">
              <w:rPr>
                <w:lang w:eastAsia="en-US"/>
              </w:rPr>
              <w:t>5</w:t>
            </w:r>
          </w:p>
        </w:tc>
        <w:tc>
          <w:tcPr>
            <w:tcW w:w="779" w:type="dxa"/>
          </w:tcPr>
          <w:p w14:paraId="33750636" w14:textId="77777777" w:rsidR="00711444" w:rsidRPr="004D0DAA" w:rsidRDefault="00711444" w:rsidP="00AA2A4C">
            <w:pPr>
              <w:pStyle w:val="TAC"/>
              <w:rPr>
                <w:lang w:eastAsia="en-US"/>
              </w:rPr>
            </w:pPr>
          </w:p>
        </w:tc>
        <w:tc>
          <w:tcPr>
            <w:tcW w:w="779" w:type="dxa"/>
          </w:tcPr>
          <w:p w14:paraId="2B7C0E86" w14:textId="77777777" w:rsidR="00711444" w:rsidRPr="004D0DAA" w:rsidRDefault="00711444" w:rsidP="00AA2A4C">
            <w:pPr>
              <w:pStyle w:val="TAC"/>
              <w:rPr>
                <w:lang w:eastAsia="en-US"/>
              </w:rPr>
            </w:pPr>
          </w:p>
        </w:tc>
        <w:tc>
          <w:tcPr>
            <w:tcW w:w="779" w:type="dxa"/>
          </w:tcPr>
          <w:p w14:paraId="5145FA67" w14:textId="77777777" w:rsidR="00711444" w:rsidRPr="004D0DAA" w:rsidRDefault="00711444" w:rsidP="00AA2A4C">
            <w:pPr>
              <w:pStyle w:val="TAC"/>
              <w:rPr>
                <w:lang w:eastAsia="en-US"/>
              </w:rPr>
            </w:pPr>
          </w:p>
        </w:tc>
        <w:tc>
          <w:tcPr>
            <w:tcW w:w="780" w:type="dxa"/>
          </w:tcPr>
          <w:p w14:paraId="04A42574" w14:textId="77777777" w:rsidR="00711444" w:rsidRPr="004D0DAA" w:rsidRDefault="00711444" w:rsidP="00AA2A4C">
            <w:pPr>
              <w:pStyle w:val="TAC"/>
              <w:rPr>
                <w:lang w:eastAsia="en-US"/>
              </w:rPr>
            </w:pPr>
          </w:p>
        </w:tc>
        <w:tc>
          <w:tcPr>
            <w:tcW w:w="780" w:type="dxa"/>
          </w:tcPr>
          <w:p w14:paraId="283D7310" w14:textId="77777777" w:rsidR="00711444" w:rsidRPr="004D0DAA" w:rsidRDefault="00711444" w:rsidP="00AA2A4C">
            <w:pPr>
              <w:pStyle w:val="TAC"/>
              <w:rPr>
                <w:lang w:eastAsia="en-US"/>
              </w:rPr>
            </w:pPr>
            <w:r w:rsidRPr="004D0DAA">
              <w:rPr>
                <w:lang w:eastAsia="en-US"/>
              </w:rPr>
              <w:t>X</w:t>
            </w:r>
          </w:p>
        </w:tc>
      </w:tr>
    </w:tbl>
    <w:p w14:paraId="729DEF76" w14:textId="77777777" w:rsidR="00711444" w:rsidRPr="004D0DAA" w:rsidRDefault="00711444" w:rsidP="00711444"/>
    <w:p w14:paraId="2FF887C4" w14:textId="77777777" w:rsidR="00711444" w:rsidRPr="004D0DAA" w:rsidRDefault="00711444" w:rsidP="00711444">
      <w:pPr>
        <w:pStyle w:val="Heading8"/>
      </w:pPr>
      <w:r w:rsidRPr="004D0DAA">
        <w:br w:type="page"/>
      </w:r>
      <w:bookmarkStart w:id="921" w:name="_Toc516670088"/>
      <w:r w:rsidRPr="004D0DAA">
        <w:lastRenderedPageBreak/>
        <w:t>Annex N (normative):</w:t>
      </w:r>
      <w:r w:rsidRPr="004D0DAA">
        <w:br/>
        <w:t>Uplink Radio Block Transmission order for EFTA</w:t>
      </w:r>
      <w:bookmarkEnd w:id="921"/>
      <w:r w:rsidRPr="004D0DAA">
        <w:t xml:space="preserve"> </w:t>
      </w:r>
    </w:p>
    <w:p w14:paraId="6C7D3474" w14:textId="77777777" w:rsidR="00711444" w:rsidRPr="004D0DAA" w:rsidRDefault="00711444" w:rsidP="00711444">
      <w:r w:rsidRPr="004D0DAA">
        <w:t>A mobile station with an uplink TBF operating in BTTI configuration for which EFTA is used shall perform transmissions on a subset of the uplink PDCHs allocated by the USF. If the mobile station has P RLC/MAC blocks ready for transmission, then this subset is defined as the first P number of the allocated uplink PDCHs arranged according to the specific timeslot numbers order as specified in Table N.1 below. T</w:t>
      </w:r>
      <w:r w:rsidRPr="004D0DAA">
        <w:rPr>
          <w:vertAlign w:val="subscript"/>
        </w:rPr>
        <w:t xml:space="preserve">ra  </w:t>
      </w:r>
      <w:r w:rsidRPr="004D0DAA">
        <w:t>or T</w:t>
      </w:r>
      <w:r w:rsidRPr="004D0DAA">
        <w:rPr>
          <w:vertAlign w:val="subscript"/>
        </w:rPr>
        <w:t>rb</w:t>
      </w:r>
      <w:r w:rsidRPr="004D0DAA">
        <w:t xml:space="preserve">, whichever is applicable, is the switching time from transmission to reception (see 3GPP TS 45.002). </w:t>
      </w:r>
    </w:p>
    <w:p w14:paraId="1A524692" w14:textId="77777777" w:rsidR="00711444" w:rsidRPr="004D0DAA" w:rsidRDefault="00711444" w:rsidP="00711444">
      <w:pPr>
        <w:pStyle w:val="TH"/>
      </w:pPr>
      <w:r w:rsidRPr="004D0DAA">
        <w:t>Table N.1: Uplink timeslots transmission order for EFTA</w:t>
      </w:r>
    </w:p>
    <w:tbl>
      <w:tblPr>
        <w:tblW w:w="5000" w:type="pct"/>
        <w:jc w:val="center"/>
        <w:tblLook w:val="01E0" w:firstRow="1" w:lastRow="1" w:firstColumn="1" w:lastColumn="1" w:noHBand="0" w:noVBand="0"/>
      </w:tblPr>
      <w:tblGrid>
        <w:gridCol w:w="2465"/>
        <w:gridCol w:w="2390"/>
        <w:gridCol w:w="2390"/>
        <w:gridCol w:w="2394"/>
      </w:tblGrid>
      <w:tr w:rsidR="00711444" w:rsidRPr="004D0DAA" w14:paraId="44C62D1E" w14:textId="77777777" w:rsidTr="00AA2A4C">
        <w:trPr>
          <w:jc w:val="center"/>
        </w:trPr>
        <w:tc>
          <w:tcPr>
            <w:tcW w:w="1278" w:type="pct"/>
            <w:vMerge w:val="restart"/>
          </w:tcPr>
          <w:p w14:paraId="616A0F67" w14:textId="77777777" w:rsidR="00711444" w:rsidRPr="004D0DAA" w:rsidRDefault="00711444" w:rsidP="00AA2A4C">
            <w:pPr>
              <w:pStyle w:val="TAH"/>
              <w:rPr>
                <w:lang w:eastAsia="en-US"/>
              </w:rPr>
            </w:pPr>
          </w:p>
          <w:p w14:paraId="3CDDBD62" w14:textId="77777777" w:rsidR="00711444" w:rsidRPr="004D0DAA" w:rsidRDefault="00711444" w:rsidP="00AA2A4C">
            <w:pPr>
              <w:pStyle w:val="TAH"/>
              <w:rPr>
                <w:lang w:eastAsia="en-US"/>
              </w:rPr>
            </w:pPr>
            <w:r w:rsidRPr="004D0DAA">
              <w:rPr>
                <w:lang w:eastAsia="en-US"/>
              </w:rPr>
              <w:t>Lowest Numbered Downlink Timeslot the MS Needs to Monitor</w:t>
            </w:r>
          </w:p>
        </w:tc>
        <w:tc>
          <w:tcPr>
            <w:tcW w:w="3722" w:type="pct"/>
            <w:gridSpan w:val="3"/>
          </w:tcPr>
          <w:p w14:paraId="21B71FB6" w14:textId="77777777" w:rsidR="00711444" w:rsidRPr="004D0DAA" w:rsidRDefault="00711444" w:rsidP="00AA2A4C">
            <w:pPr>
              <w:pStyle w:val="TAH"/>
              <w:rPr>
                <w:lang w:eastAsia="en-US"/>
              </w:rPr>
            </w:pPr>
          </w:p>
          <w:p w14:paraId="09484B0F" w14:textId="77777777" w:rsidR="00711444" w:rsidRPr="004D0DAA" w:rsidRDefault="00711444" w:rsidP="00AA2A4C">
            <w:pPr>
              <w:pStyle w:val="TAH"/>
              <w:rPr>
                <w:lang w:eastAsia="en-US"/>
              </w:rPr>
            </w:pPr>
            <w:r w:rsidRPr="004D0DAA">
              <w:rPr>
                <w:lang w:eastAsia="en-US"/>
              </w:rPr>
              <w:t>T</w:t>
            </w:r>
            <w:r w:rsidRPr="004D0DAA">
              <w:rPr>
                <w:vertAlign w:val="subscript"/>
                <w:lang w:eastAsia="en-US"/>
              </w:rPr>
              <w:t xml:space="preserve">ra  </w:t>
            </w:r>
            <w:r w:rsidRPr="004D0DAA">
              <w:rPr>
                <w:lang w:eastAsia="en-US"/>
              </w:rPr>
              <w:t>or T</w:t>
            </w:r>
            <w:r w:rsidRPr="004D0DAA">
              <w:rPr>
                <w:vertAlign w:val="subscript"/>
                <w:lang w:eastAsia="en-US"/>
              </w:rPr>
              <w:t>rb</w:t>
            </w:r>
            <w:r w:rsidRPr="004D0DAA">
              <w:rPr>
                <w:lang w:eastAsia="en-US"/>
              </w:rPr>
              <w:t>, whichever is applicable</w:t>
            </w:r>
          </w:p>
          <w:p w14:paraId="35742BEF" w14:textId="77777777" w:rsidR="00711444" w:rsidRPr="004D0DAA" w:rsidRDefault="00711444" w:rsidP="00AA2A4C">
            <w:pPr>
              <w:pStyle w:val="TAH"/>
              <w:rPr>
                <w:lang w:eastAsia="en-US"/>
              </w:rPr>
            </w:pPr>
          </w:p>
        </w:tc>
      </w:tr>
      <w:tr w:rsidR="00711444" w:rsidRPr="004D0DAA" w14:paraId="25D3E455" w14:textId="77777777" w:rsidTr="00AA2A4C">
        <w:trPr>
          <w:jc w:val="center"/>
        </w:trPr>
        <w:tc>
          <w:tcPr>
            <w:tcW w:w="1278" w:type="pct"/>
            <w:vMerge/>
          </w:tcPr>
          <w:p w14:paraId="01BDA1B5" w14:textId="77777777" w:rsidR="00711444" w:rsidRPr="004D0DAA" w:rsidRDefault="00711444" w:rsidP="00AA2A4C">
            <w:pPr>
              <w:rPr>
                <w:szCs w:val="18"/>
              </w:rPr>
            </w:pPr>
          </w:p>
        </w:tc>
        <w:tc>
          <w:tcPr>
            <w:tcW w:w="1240" w:type="pct"/>
          </w:tcPr>
          <w:p w14:paraId="62F14D02" w14:textId="77777777" w:rsidR="00711444" w:rsidRPr="004D0DAA" w:rsidRDefault="00711444" w:rsidP="00AA2A4C">
            <w:pPr>
              <w:pStyle w:val="TAH"/>
              <w:rPr>
                <w:lang w:eastAsia="en-US"/>
              </w:rPr>
            </w:pPr>
            <w:r w:rsidRPr="004D0DAA">
              <w:rPr>
                <w:szCs w:val="18"/>
                <w:lang w:eastAsia="en-US"/>
              </w:rPr>
              <w:t>0</w:t>
            </w:r>
          </w:p>
        </w:tc>
        <w:tc>
          <w:tcPr>
            <w:tcW w:w="1240" w:type="pct"/>
          </w:tcPr>
          <w:p w14:paraId="5E241EAB" w14:textId="77777777" w:rsidR="00711444" w:rsidRPr="004D0DAA" w:rsidRDefault="00711444" w:rsidP="00AA2A4C">
            <w:pPr>
              <w:pStyle w:val="TAH"/>
              <w:rPr>
                <w:lang w:eastAsia="en-US"/>
              </w:rPr>
            </w:pPr>
            <w:r w:rsidRPr="004D0DAA">
              <w:rPr>
                <w:szCs w:val="18"/>
                <w:lang w:eastAsia="en-US"/>
              </w:rPr>
              <w:t>1</w:t>
            </w:r>
          </w:p>
        </w:tc>
        <w:tc>
          <w:tcPr>
            <w:tcW w:w="1242" w:type="pct"/>
          </w:tcPr>
          <w:p w14:paraId="2AB967E7" w14:textId="77777777" w:rsidR="00711444" w:rsidRPr="004D0DAA" w:rsidRDefault="00711444" w:rsidP="00AA2A4C">
            <w:pPr>
              <w:pStyle w:val="TAH"/>
              <w:rPr>
                <w:lang w:eastAsia="en-US"/>
              </w:rPr>
            </w:pPr>
            <w:r w:rsidRPr="004D0DAA">
              <w:rPr>
                <w:szCs w:val="18"/>
                <w:lang w:eastAsia="en-US"/>
              </w:rPr>
              <w:t>2</w:t>
            </w:r>
          </w:p>
        </w:tc>
      </w:tr>
    </w:tbl>
    <w:p w14:paraId="4CEB5B6F" w14:textId="77777777" w:rsidR="00711444" w:rsidRPr="004D0DAA" w:rsidRDefault="00711444" w:rsidP="00711444">
      <w:pPr>
        <w:spacing w:after="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2388"/>
        <w:gridCol w:w="2388"/>
        <w:gridCol w:w="2392"/>
      </w:tblGrid>
      <w:tr w:rsidR="00711444" w:rsidRPr="004D0DAA" w14:paraId="7385FA53" w14:textId="77777777" w:rsidTr="00AA2A4C">
        <w:trPr>
          <w:jc w:val="center"/>
        </w:trPr>
        <w:tc>
          <w:tcPr>
            <w:tcW w:w="1278" w:type="pct"/>
            <w:shd w:val="clear" w:color="auto" w:fill="auto"/>
          </w:tcPr>
          <w:p w14:paraId="7C1F80E5"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TN0</w:t>
            </w:r>
          </w:p>
        </w:tc>
        <w:tc>
          <w:tcPr>
            <w:tcW w:w="1240" w:type="pct"/>
            <w:shd w:val="clear" w:color="auto" w:fill="auto"/>
          </w:tcPr>
          <w:p w14:paraId="5FA0CDA5"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4,3,2,1,0,5,6,7</w:t>
            </w:r>
          </w:p>
        </w:tc>
        <w:tc>
          <w:tcPr>
            <w:tcW w:w="1240" w:type="pct"/>
            <w:shd w:val="clear" w:color="auto" w:fill="auto"/>
          </w:tcPr>
          <w:p w14:paraId="36FE27E8"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3,2,1,0,4,5,6,7</w:t>
            </w:r>
          </w:p>
        </w:tc>
        <w:tc>
          <w:tcPr>
            <w:tcW w:w="1242" w:type="pct"/>
            <w:shd w:val="clear" w:color="auto" w:fill="auto"/>
          </w:tcPr>
          <w:p w14:paraId="4F4DB783"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2,1,0,3,4,5,6,7</w:t>
            </w:r>
          </w:p>
        </w:tc>
      </w:tr>
      <w:tr w:rsidR="00711444" w:rsidRPr="004D0DAA" w14:paraId="47C28246" w14:textId="77777777" w:rsidTr="00AA2A4C">
        <w:trPr>
          <w:jc w:val="center"/>
        </w:trPr>
        <w:tc>
          <w:tcPr>
            <w:tcW w:w="1278" w:type="pct"/>
            <w:shd w:val="clear" w:color="auto" w:fill="auto"/>
          </w:tcPr>
          <w:p w14:paraId="75E124E8"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TN1</w:t>
            </w:r>
          </w:p>
        </w:tc>
        <w:tc>
          <w:tcPr>
            <w:tcW w:w="1240" w:type="pct"/>
            <w:shd w:val="clear" w:color="auto" w:fill="auto"/>
          </w:tcPr>
          <w:p w14:paraId="5951C1B4"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5,4,3,2,1,0,6,7</w:t>
            </w:r>
          </w:p>
        </w:tc>
        <w:tc>
          <w:tcPr>
            <w:tcW w:w="1240" w:type="pct"/>
            <w:shd w:val="clear" w:color="auto" w:fill="auto"/>
          </w:tcPr>
          <w:p w14:paraId="3081061C"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4,3,2,1,0,5,6,7</w:t>
            </w:r>
          </w:p>
        </w:tc>
        <w:tc>
          <w:tcPr>
            <w:tcW w:w="1242" w:type="pct"/>
            <w:shd w:val="clear" w:color="auto" w:fill="auto"/>
          </w:tcPr>
          <w:p w14:paraId="60D43357"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3,2,1,0,4,5,6,7</w:t>
            </w:r>
          </w:p>
        </w:tc>
      </w:tr>
      <w:tr w:rsidR="00711444" w:rsidRPr="004D0DAA" w14:paraId="4D0754CB" w14:textId="77777777" w:rsidTr="00AA2A4C">
        <w:trPr>
          <w:jc w:val="center"/>
        </w:trPr>
        <w:tc>
          <w:tcPr>
            <w:tcW w:w="1278" w:type="pct"/>
            <w:shd w:val="clear" w:color="auto" w:fill="auto"/>
          </w:tcPr>
          <w:p w14:paraId="0C0C7FF7"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TN2</w:t>
            </w:r>
          </w:p>
        </w:tc>
        <w:tc>
          <w:tcPr>
            <w:tcW w:w="1240" w:type="pct"/>
            <w:shd w:val="clear" w:color="auto" w:fill="auto"/>
          </w:tcPr>
          <w:p w14:paraId="5695D39D"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6,5,4,3,2,1,0,7</w:t>
            </w:r>
          </w:p>
        </w:tc>
        <w:tc>
          <w:tcPr>
            <w:tcW w:w="1240" w:type="pct"/>
            <w:shd w:val="clear" w:color="auto" w:fill="auto"/>
          </w:tcPr>
          <w:p w14:paraId="4CE4004E"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5,4,3,2,1,0,6,7</w:t>
            </w:r>
          </w:p>
        </w:tc>
        <w:tc>
          <w:tcPr>
            <w:tcW w:w="1242" w:type="pct"/>
            <w:shd w:val="clear" w:color="auto" w:fill="auto"/>
          </w:tcPr>
          <w:p w14:paraId="61EC9B1B"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4,3,2,1,0,5,6,7</w:t>
            </w:r>
          </w:p>
        </w:tc>
      </w:tr>
      <w:tr w:rsidR="00711444" w:rsidRPr="004D0DAA" w14:paraId="39E6996B" w14:textId="77777777" w:rsidTr="00AA2A4C">
        <w:trPr>
          <w:jc w:val="center"/>
        </w:trPr>
        <w:tc>
          <w:tcPr>
            <w:tcW w:w="1278" w:type="pct"/>
            <w:shd w:val="clear" w:color="auto" w:fill="auto"/>
          </w:tcPr>
          <w:p w14:paraId="2D4CBE7F"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TN3</w:t>
            </w:r>
          </w:p>
        </w:tc>
        <w:tc>
          <w:tcPr>
            <w:tcW w:w="1240" w:type="pct"/>
            <w:shd w:val="clear" w:color="auto" w:fill="auto"/>
          </w:tcPr>
          <w:p w14:paraId="7434E44D"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0" w:type="pct"/>
            <w:shd w:val="clear" w:color="auto" w:fill="auto"/>
          </w:tcPr>
          <w:p w14:paraId="2C2759D5"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6,5,4,3,2,1,0,7</w:t>
            </w:r>
          </w:p>
        </w:tc>
        <w:tc>
          <w:tcPr>
            <w:tcW w:w="1242" w:type="pct"/>
            <w:shd w:val="clear" w:color="auto" w:fill="auto"/>
          </w:tcPr>
          <w:p w14:paraId="7CADFD98"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5,4,3,2,1,0,6,7</w:t>
            </w:r>
          </w:p>
        </w:tc>
      </w:tr>
      <w:tr w:rsidR="00711444" w:rsidRPr="004D0DAA" w14:paraId="64425CB6" w14:textId="77777777" w:rsidTr="00AA2A4C">
        <w:trPr>
          <w:jc w:val="center"/>
        </w:trPr>
        <w:tc>
          <w:tcPr>
            <w:tcW w:w="1278" w:type="pct"/>
            <w:shd w:val="clear" w:color="auto" w:fill="auto"/>
          </w:tcPr>
          <w:p w14:paraId="5E98789C"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TN4</w:t>
            </w:r>
          </w:p>
        </w:tc>
        <w:tc>
          <w:tcPr>
            <w:tcW w:w="1240" w:type="pct"/>
            <w:shd w:val="clear" w:color="auto" w:fill="auto"/>
          </w:tcPr>
          <w:p w14:paraId="1A57D13D"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0" w:type="pct"/>
            <w:shd w:val="clear" w:color="auto" w:fill="auto"/>
          </w:tcPr>
          <w:p w14:paraId="3602DF76"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2" w:type="pct"/>
            <w:shd w:val="clear" w:color="auto" w:fill="auto"/>
          </w:tcPr>
          <w:p w14:paraId="27438497"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6,5,4,3,2,1,0,7</w:t>
            </w:r>
          </w:p>
        </w:tc>
      </w:tr>
      <w:tr w:rsidR="00711444" w:rsidRPr="004D0DAA" w14:paraId="07446E40" w14:textId="77777777" w:rsidTr="00AA2A4C">
        <w:trPr>
          <w:jc w:val="center"/>
        </w:trPr>
        <w:tc>
          <w:tcPr>
            <w:tcW w:w="1278" w:type="pct"/>
            <w:shd w:val="clear" w:color="auto" w:fill="auto"/>
          </w:tcPr>
          <w:p w14:paraId="60EB935F"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TN5</w:t>
            </w:r>
          </w:p>
        </w:tc>
        <w:tc>
          <w:tcPr>
            <w:tcW w:w="1240" w:type="pct"/>
            <w:shd w:val="clear" w:color="auto" w:fill="auto"/>
          </w:tcPr>
          <w:p w14:paraId="48819ADF"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0" w:type="pct"/>
            <w:shd w:val="clear" w:color="auto" w:fill="auto"/>
          </w:tcPr>
          <w:p w14:paraId="2F1F446A"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2" w:type="pct"/>
            <w:shd w:val="clear" w:color="auto" w:fill="auto"/>
          </w:tcPr>
          <w:p w14:paraId="5D906375"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r>
      <w:tr w:rsidR="00711444" w:rsidRPr="004D0DAA" w14:paraId="4282365F" w14:textId="77777777" w:rsidTr="00AA2A4C">
        <w:trPr>
          <w:jc w:val="center"/>
        </w:trPr>
        <w:tc>
          <w:tcPr>
            <w:tcW w:w="1278" w:type="pct"/>
            <w:shd w:val="clear" w:color="auto" w:fill="auto"/>
          </w:tcPr>
          <w:p w14:paraId="6746528E"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TN6</w:t>
            </w:r>
          </w:p>
        </w:tc>
        <w:tc>
          <w:tcPr>
            <w:tcW w:w="1240" w:type="pct"/>
            <w:shd w:val="clear" w:color="auto" w:fill="auto"/>
          </w:tcPr>
          <w:p w14:paraId="0FDA1277"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0" w:type="pct"/>
            <w:shd w:val="clear" w:color="auto" w:fill="auto"/>
          </w:tcPr>
          <w:p w14:paraId="3C0322E4"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2" w:type="pct"/>
            <w:shd w:val="clear" w:color="auto" w:fill="auto"/>
          </w:tcPr>
          <w:p w14:paraId="5F5E5F7D"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r>
      <w:tr w:rsidR="00711444" w:rsidRPr="004D0DAA" w14:paraId="65B078B7" w14:textId="77777777" w:rsidTr="00AA2A4C">
        <w:trPr>
          <w:jc w:val="center"/>
        </w:trPr>
        <w:tc>
          <w:tcPr>
            <w:tcW w:w="1278" w:type="pct"/>
            <w:shd w:val="clear" w:color="auto" w:fill="auto"/>
          </w:tcPr>
          <w:p w14:paraId="186CACF0"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TN7</w:t>
            </w:r>
          </w:p>
        </w:tc>
        <w:tc>
          <w:tcPr>
            <w:tcW w:w="1240" w:type="pct"/>
            <w:shd w:val="clear" w:color="auto" w:fill="auto"/>
          </w:tcPr>
          <w:p w14:paraId="1C331F2C"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0" w:type="pct"/>
            <w:shd w:val="clear" w:color="auto" w:fill="auto"/>
          </w:tcPr>
          <w:p w14:paraId="703FA65C"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c>
          <w:tcPr>
            <w:tcW w:w="1242" w:type="pct"/>
            <w:shd w:val="clear" w:color="auto" w:fill="auto"/>
          </w:tcPr>
          <w:p w14:paraId="54DE0D48" w14:textId="77777777" w:rsidR="00711444" w:rsidRPr="004D0DAA" w:rsidRDefault="00711444" w:rsidP="00AA2A4C">
            <w:pPr>
              <w:pStyle w:val="TAC"/>
              <w:spacing w:line="240" w:lineRule="exact"/>
              <w:rPr>
                <w:rFonts w:eastAsia="SimSun" w:cs="Arial"/>
                <w:lang w:eastAsia="en-US"/>
              </w:rPr>
            </w:pPr>
            <w:r w:rsidRPr="004D0DAA">
              <w:rPr>
                <w:rFonts w:eastAsia="SimSun" w:cs="Arial"/>
                <w:szCs w:val="18"/>
                <w:lang w:eastAsia="en-US"/>
              </w:rPr>
              <w:t>7,6,5,4,3,2,1,0</w:t>
            </w:r>
          </w:p>
        </w:tc>
      </w:tr>
    </w:tbl>
    <w:p w14:paraId="3E140475" w14:textId="77777777" w:rsidR="00711444" w:rsidRPr="004D0DAA" w:rsidRDefault="00711444" w:rsidP="00711444"/>
    <w:p w14:paraId="20FBDFA3" w14:textId="77777777" w:rsidR="00711444" w:rsidRPr="004D0DAA" w:rsidRDefault="00711444" w:rsidP="00711444">
      <w:r w:rsidRPr="004D0DAA">
        <w:t>A mobile station with an uplink TBF operating in RTTI configuration for which EFTA is used shall perform transmissions on a subset of the uplink PDCH-pairs allocated by the USF in the same manner as specified above. For this case the specific timeslot number order shall be seen as indicating the lowest numbered timeslot of the uplink PDCH-pair.</w:t>
      </w:r>
    </w:p>
    <w:p w14:paraId="79BF2F9A" w14:textId="77777777" w:rsidR="00711444" w:rsidRPr="004D0DAA" w:rsidRDefault="00711444" w:rsidP="00711444">
      <w:pPr>
        <w:pStyle w:val="NO"/>
      </w:pPr>
      <w:r w:rsidRPr="004D0DAA">
        <w:t>NOTE:</w:t>
      </w:r>
      <w:r w:rsidRPr="004D0DAA">
        <w:tab/>
        <w:t xml:space="preserve">The above described rule determine the subset of the allocated uplink PDCHs or PDCH-pairs on which uplink transmissions shall be performed when EFTA is used. This procedure however, does not define which uplink PDCHs or PDCH-pairs that shall be allocated by the USF. Nor does the procedure define the individual ordering of any transmitted RLC/MAC blocks on these resources, which shall remain the same as for the case when EFTA is not used. </w:t>
      </w:r>
    </w:p>
    <w:p w14:paraId="36921A69" w14:textId="77777777" w:rsidR="00711444" w:rsidRPr="004D0DAA" w:rsidRDefault="00711444" w:rsidP="00711444">
      <w:r w:rsidRPr="004D0DAA">
        <w:t>A mobile station with an uplink TBF for which EFTA is used shall perform the transmission of any uplink PACCH message allocated via the polling mechanism (see sub-clauses 10.4.4b and 10.4.5) on the first of the assigned uplink PDCHs or PDCH-pairs arranged according to the specific timeslot number order as described by Table N.1 above, regardless of which resources are allocated by the USF. The switching time T</w:t>
      </w:r>
      <w:r w:rsidRPr="004D0DAA">
        <w:rPr>
          <w:vertAlign w:val="subscript"/>
        </w:rPr>
        <w:t>ra</w:t>
      </w:r>
      <w:r w:rsidRPr="004D0DAA">
        <w:t xml:space="preserve"> or T</w:t>
      </w:r>
      <w:r w:rsidRPr="004D0DAA">
        <w:rPr>
          <w:vertAlign w:val="subscript"/>
        </w:rPr>
        <w:t>rb</w:t>
      </w:r>
      <w:r w:rsidRPr="004D0DAA">
        <w:t xml:space="preserve"> shall be interpreted according to its value at the time the poll was received. </w:t>
      </w:r>
    </w:p>
    <w:p w14:paraId="1E0C048A" w14:textId="77777777" w:rsidR="00711444" w:rsidRPr="004D0DAA" w:rsidRDefault="00711444" w:rsidP="00711444">
      <w:r w:rsidRPr="004D0DAA">
        <w:t>The following example is considered for illustration of the above rules:</w:t>
      </w:r>
    </w:p>
    <w:p w14:paraId="4E16E62B" w14:textId="77777777" w:rsidR="00711444" w:rsidRPr="004D0DAA" w:rsidRDefault="00711444" w:rsidP="00711444">
      <w:pPr>
        <w:pStyle w:val="B1"/>
      </w:pPr>
      <w:r w:rsidRPr="004D0DAA">
        <w:t>-</w:t>
      </w:r>
      <w:r w:rsidRPr="004D0DAA">
        <w:tab/>
        <w:t>A mobile station is assigned an uplink TBF in BTTI configuration for which EFTA is used.</w:t>
      </w:r>
    </w:p>
    <w:p w14:paraId="5F88D6C3" w14:textId="77777777" w:rsidR="00711444" w:rsidRPr="004D0DAA" w:rsidRDefault="00711444" w:rsidP="00711444">
      <w:pPr>
        <w:pStyle w:val="B1"/>
      </w:pPr>
      <w:r w:rsidRPr="004D0DAA">
        <w:t>-</w:t>
      </w:r>
      <w:r w:rsidRPr="004D0DAA">
        <w:tab/>
        <w:t>This mobile station is allocated uplink PDCHs on TN0, TN1, TN2 and TN3 during the radio block period considered.</w:t>
      </w:r>
    </w:p>
    <w:p w14:paraId="1FA3DA32" w14:textId="77777777" w:rsidR="00711444" w:rsidRPr="004D0DAA" w:rsidRDefault="00711444" w:rsidP="00711444">
      <w:pPr>
        <w:pStyle w:val="B1"/>
      </w:pPr>
      <w:r w:rsidRPr="004D0DAA">
        <w:t>-</w:t>
      </w:r>
      <w:r w:rsidRPr="004D0DAA">
        <w:tab/>
        <w:t>This mobile station only has 3 RLC/MAC blocks available for transmission, out of which one is a PACCH message allocated via the polling mechanism.</w:t>
      </w:r>
    </w:p>
    <w:p w14:paraId="6BF68475" w14:textId="77777777" w:rsidR="00711444" w:rsidRPr="004D0DAA" w:rsidRDefault="00711444" w:rsidP="00711444">
      <w:pPr>
        <w:pStyle w:val="B1"/>
      </w:pPr>
      <w:r w:rsidRPr="004D0DAA">
        <w:t>-</w:t>
      </w:r>
      <w:r w:rsidRPr="004D0DAA">
        <w:tab/>
        <w:t>The lowest numbered downlink timeslot the mobile station has to monitor is TN0 and that the applicable switching time T</w:t>
      </w:r>
      <w:r w:rsidRPr="004D0DAA">
        <w:rPr>
          <w:vertAlign w:val="subscript"/>
        </w:rPr>
        <w:t xml:space="preserve">rb </w:t>
      </w:r>
      <w:r w:rsidRPr="004D0DAA">
        <w:t xml:space="preserve">is 1. </w:t>
      </w:r>
    </w:p>
    <w:p w14:paraId="6B44639A" w14:textId="77777777" w:rsidR="00711444" w:rsidRPr="004D0DAA" w:rsidRDefault="00711444" w:rsidP="00711444">
      <w:r w:rsidRPr="004D0DAA">
        <w:t>According to the above description, the mobile station shall then transmit its PACCH message on TN3, whereas the remaining RLC/MAC blocks shall be transmitted on TN1 and TN2 respectively.</w:t>
      </w:r>
    </w:p>
    <w:p w14:paraId="39AE08C0" w14:textId="77777777" w:rsidR="00711444" w:rsidRPr="004D0DAA" w:rsidRDefault="00711444" w:rsidP="00711444">
      <w:pPr>
        <w:pStyle w:val="Heading8"/>
      </w:pPr>
      <w:r w:rsidRPr="004D0DAA">
        <w:br w:type="page"/>
      </w:r>
      <w:bookmarkStart w:id="922" w:name="_Toc516670089"/>
      <w:r w:rsidRPr="004D0DAA">
        <w:lastRenderedPageBreak/>
        <w:t>Annex O (informative):</w:t>
      </w:r>
      <w:r w:rsidRPr="004D0DAA">
        <w:br/>
        <w:t>Change History</w:t>
      </w:r>
      <w:bookmarkEnd w:id="922"/>
    </w:p>
    <w:tbl>
      <w:tblPr>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9"/>
        <w:gridCol w:w="707"/>
        <w:gridCol w:w="1133"/>
        <w:gridCol w:w="567"/>
        <w:gridCol w:w="567"/>
        <w:gridCol w:w="567"/>
        <w:gridCol w:w="4346"/>
        <w:gridCol w:w="754"/>
      </w:tblGrid>
      <w:tr w:rsidR="00711444" w:rsidRPr="004D0DAA" w14:paraId="1C09FD05" w14:textId="77777777" w:rsidTr="00AA2A4C">
        <w:tc>
          <w:tcPr>
            <w:tcW w:w="1019" w:type="dxa"/>
            <w:tcBorders>
              <w:top w:val="single" w:sz="4" w:space="0" w:color="auto"/>
              <w:left w:val="single" w:sz="4" w:space="0" w:color="auto"/>
              <w:bottom w:val="single" w:sz="4" w:space="0" w:color="auto"/>
              <w:right w:val="single" w:sz="4" w:space="0" w:color="auto"/>
            </w:tcBorders>
            <w:hideMark/>
          </w:tcPr>
          <w:p w14:paraId="649286B0" w14:textId="77777777" w:rsidR="00711444" w:rsidRPr="004D0DAA" w:rsidRDefault="00711444" w:rsidP="00AA2A4C">
            <w:pPr>
              <w:pStyle w:val="TAH"/>
              <w:keepNext w:val="0"/>
              <w:keepLines w:val="0"/>
              <w:rPr>
                <w:lang w:eastAsia="en-GB"/>
              </w:rPr>
            </w:pPr>
            <w:r w:rsidRPr="004D0DAA">
              <w:rPr>
                <w:lang w:eastAsia="en-US"/>
              </w:rPr>
              <w:t>Date</w:t>
            </w:r>
          </w:p>
        </w:tc>
        <w:tc>
          <w:tcPr>
            <w:tcW w:w="707" w:type="dxa"/>
            <w:tcBorders>
              <w:top w:val="single" w:sz="4" w:space="0" w:color="auto"/>
              <w:left w:val="single" w:sz="4" w:space="0" w:color="auto"/>
              <w:bottom w:val="single" w:sz="4" w:space="0" w:color="auto"/>
              <w:right w:val="single" w:sz="4" w:space="0" w:color="auto"/>
            </w:tcBorders>
            <w:hideMark/>
          </w:tcPr>
          <w:p w14:paraId="6445FF14" w14:textId="77777777" w:rsidR="00711444" w:rsidRPr="004D0DAA" w:rsidRDefault="00711444" w:rsidP="00AA2A4C">
            <w:pPr>
              <w:pStyle w:val="TAH"/>
              <w:keepNext w:val="0"/>
              <w:keepLines w:val="0"/>
              <w:rPr>
                <w:lang w:eastAsia="en-GB"/>
              </w:rPr>
            </w:pPr>
            <w:r w:rsidRPr="004D0DAA">
              <w:rPr>
                <w:lang w:eastAsia="en-US"/>
              </w:rPr>
              <w:t>TSG#</w:t>
            </w:r>
          </w:p>
        </w:tc>
        <w:tc>
          <w:tcPr>
            <w:tcW w:w="1133" w:type="dxa"/>
            <w:tcBorders>
              <w:top w:val="single" w:sz="4" w:space="0" w:color="auto"/>
              <w:left w:val="single" w:sz="4" w:space="0" w:color="auto"/>
              <w:bottom w:val="single" w:sz="4" w:space="0" w:color="auto"/>
              <w:right w:val="single" w:sz="4" w:space="0" w:color="auto"/>
            </w:tcBorders>
            <w:hideMark/>
          </w:tcPr>
          <w:p w14:paraId="6C5786BE" w14:textId="77777777" w:rsidR="00711444" w:rsidRPr="004D0DAA" w:rsidRDefault="00711444" w:rsidP="00AA2A4C">
            <w:pPr>
              <w:pStyle w:val="TAH"/>
              <w:keepNext w:val="0"/>
              <w:keepLines w:val="0"/>
              <w:rPr>
                <w:lang w:eastAsia="en-GB"/>
              </w:rPr>
            </w:pPr>
            <w:r w:rsidRPr="004D0DAA">
              <w:rPr>
                <w:lang w:eastAsia="en-US"/>
              </w:rPr>
              <w:t>TSG Doc.</w:t>
            </w:r>
          </w:p>
        </w:tc>
        <w:tc>
          <w:tcPr>
            <w:tcW w:w="567" w:type="dxa"/>
            <w:tcBorders>
              <w:top w:val="single" w:sz="4" w:space="0" w:color="auto"/>
              <w:left w:val="single" w:sz="4" w:space="0" w:color="auto"/>
              <w:bottom w:val="single" w:sz="4" w:space="0" w:color="auto"/>
              <w:right w:val="single" w:sz="4" w:space="0" w:color="auto"/>
            </w:tcBorders>
            <w:hideMark/>
          </w:tcPr>
          <w:p w14:paraId="74D9171D" w14:textId="77777777" w:rsidR="00711444" w:rsidRPr="004D0DAA" w:rsidRDefault="00711444" w:rsidP="00AA2A4C">
            <w:pPr>
              <w:pStyle w:val="TAH"/>
              <w:keepNext w:val="0"/>
              <w:keepLines w:val="0"/>
              <w:rPr>
                <w:lang w:eastAsia="en-GB"/>
              </w:rPr>
            </w:pPr>
            <w:r w:rsidRPr="004D0DAA">
              <w:rPr>
                <w:lang w:eastAsia="en-US"/>
              </w:rPr>
              <w:t>CR</w:t>
            </w:r>
          </w:p>
        </w:tc>
        <w:tc>
          <w:tcPr>
            <w:tcW w:w="567" w:type="dxa"/>
            <w:tcBorders>
              <w:top w:val="single" w:sz="4" w:space="0" w:color="auto"/>
              <w:left w:val="single" w:sz="4" w:space="0" w:color="auto"/>
              <w:bottom w:val="single" w:sz="4" w:space="0" w:color="auto"/>
              <w:right w:val="single" w:sz="4" w:space="0" w:color="auto"/>
            </w:tcBorders>
            <w:hideMark/>
          </w:tcPr>
          <w:p w14:paraId="4758A98C" w14:textId="77777777" w:rsidR="00711444" w:rsidRPr="004D0DAA" w:rsidRDefault="00711444" w:rsidP="00AA2A4C">
            <w:pPr>
              <w:pStyle w:val="TAH"/>
              <w:keepNext w:val="0"/>
              <w:keepLines w:val="0"/>
              <w:rPr>
                <w:lang w:eastAsia="en-GB"/>
              </w:rPr>
            </w:pPr>
            <w:r w:rsidRPr="004D0DAA">
              <w:rPr>
                <w:lang w:eastAsia="en-US"/>
              </w:rPr>
              <w:t>Rev</w:t>
            </w:r>
          </w:p>
        </w:tc>
        <w:tc>
          <w:tcPr>
            <w:tcW w:w="567" w:type="dxa"/>
            <w:tcBorders>
              <w:top w:val="single" w:sz="4" w:space="0" w:color="auto"/>
              <w:left w:val="single" w:sz="4" w:space="0" w:color="auto"/>
              <w:bottom w:val="single" w:sz="4" w:space="0" w:color="auto"/>
              <w:right w:val="single" w:sz="4" w:space="0" w:color="auto"/>
            </w:tcBorders>
            <w:hideMark/>
          </w:tcPr>
          <w:p w14:paraId="2F6D3CFF" w14:textId="77777777" w:rsidR="00711444" w:rsidRPr="004D0DAA" w:rsidRDefault="00711444" w:rsidP="00AA2A4C">
            <w:pPr>
              <w:pStyle w:val="TAH"/>
              <w:keepNext w:val="0"/>
              <w:keepLines w:val="0"/>
              <w:rPr>
                <w:lang w:eastAsia="en-GB"/>
              </w:rPr>
            </w:pPr>
            <w:r w:rsidRPr="004D0DAA">
              <w:rPr>
                <w:lang w:eastAsia="en-US"/>
              </w:rPr>
              <w:t>Cat</w:t>
            </w:r>
          </w:p>
        </w:tc>
        <w:tc>
          <w:tcPr>
            <w:tcW w:w="4346" w:type="dxa"/>
            <w:tcBorders>
              <w:top w:val="single" w:sz="4" w:space="0" w:color="auto"/>
              <w:left w:val="single" w:sz="4" w:space="0" w:color="auto"/>
              <w:bottom w:val="single" w:sz="4" w:space="0" w:color="auto"/>
              <w:right w:val="single" w:sz="4" w:space="0" w:color="auto"/>
            </w:tcBorders>
            <w:hideMark/>
          </w:tcPr>
          <w:p w14:paraId="0CC9D403" w14:textId="77777777" w:rsidR="00711444" w:rsidRPr="004D0DAA" w:rsidRDefault="00711444" w:rsidP="00AA2A4C">
            <w:pPr>
              <w:pStyle w:val="TAH"/>
              <w:keepNext w:val="0"/>
              <w:keepLines w:val="0"/>
              <w:rPr>
                <w:lang w:eastAsia="en-GB"/>
              </w:rPr>
            </w:pPr>
            <w:r w:rsidRPr="004D0DAA">
              <w:rPr>
                <w:lang w:eastAsia="en-US"/>
              </w:rPr>
              <w:t>Subject/Comment</w:t>
            </w:r>
          </w:p>
        </w:tc>
        <w:tc>
          <w:tcPr>
            <w:tcW w:w="754" w:type="dxa"/>
            <w:tcBorders>
              <w:top w:val="single" w:sz="4" w:space="0" w:color="auto"/>
              <w:left w:val="single" w:sz="4" w:space="0" w:color="auto"/>
              <w:bottom w:val="single" w:sz="4" w:space="0" w:color="auto"/>
              <w:right w:val="single" w:sz="4" w:space="0" w:color="auto"/>
            </w:tcBorders>
            <w:hideMark/>
          </w:tcPr>
          <w:p w14:paraId="35D7349B" w14:textId="77777777" w:rsidR="00711444" w:rsidRPr="004D0DAA" w:rsidRDefault="00711444" w:rsidP="00AA2A4C">
            <w:pPr>
              <w:pStyle w:val="TAH"/>
              <w:keepNext w:val="0"/>
              <w:keepLines w:val="0"/>
              <w:rPr>
                <w:lang w:eastAsia="en-GB"/>
              </w:rPr>
            </w:pPr>
            <w:r w:rsidRPr="004D0DAA">
              <w:rPr>
                <w:lang w:eastAsia="en-US"/>
              </w:rPr>
              <w:t>New</w:t>
            </w:r>
          </w:p>
        </w:tc>
      </w:tr>
      <w:tr w:rsidR="00711444" w:rsidRPr="004D0DAA" w14:paraId="2146DA14" w14:textId="77777777" w:rsidTr="00AA2A4C">
        <w:tc>
          <w:tcPr>
            <w:tcW w:w="1019" w:type="dxa"/>
            <w:tcBorders>
              <w:top w:val="single" w:sz="4" w:space="0" w:color="auto"/>
              <w:left w:val="single" w:sz="4" w:space="0" w:color="auto"/>
              <w:bottom w:val="single" w:sz="4" w:space="0" w:color="auto"/>
              <w:right w:val="single" w:sz="4" w:space="0" w:color="auto"/>
            </w:tcBorders>
            <w:hideMark/>
          </w:tcPr>
          <w:p w14:paraId="463C7312"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2015-12</w:t>
            </w:r>
          </w:p>
        </w:tc>
        <w:tc>
          <w:tcPr>
            <w:tcW w:w="707" w:type="dxa"/>
            <w:tcBorders>
              <w:top w:val="single" w:sz="4" w:space="0" w:color="auto"/>
              <w:left w:val="single" w:sz="4" w:space="0" w:color="auto"/>
              <w:bottom w:val="single" w:sz="4" w:space="0" w:color="auto"/>
              <w:right w:val="single" w:sz="4" w:space="0" w:color="auto"/>
            </w:tcBorders>
          </w:tcPr>
          <w:p w14:paraId="1817539B" w14:textId="77777777" w:rsidR="00711444" w:rsidRPr="004D0DAA" w:rsidRDefault="00711444" w:rsidP="00AA2A4C">
            <w:pPr>
              <w:pStyle w:val="TAL"/>
              <w:rPr>
                <w:rFonts w:cs="Arial"/>
                <w:sz w:val="16"/>
                <w:szCs w:val="16"/>
                <w:lang w:eastAsia="en-US"/>
              </w:rPr>
            </w:pPr>
          </w:p>
        </w:tc>
        <w:tc>
          <w:tcPr>
            <w:tcW w:w="1133" w:type="dxa"/>
            <w:tcBorders>
              <w:top w:val="single" w:sz="4" w:space="0" w:color="auto"/>
              <w:left w:val="single" w:sz="4" w:space="0" w:color="auto"/>
              <w:bottom w:val="single" w:sz="4" w:space="0" w:color="auto"/>
              <w:right w:val="single" w:sz="4" w:space="0" w:color="auto"/>
            </w:tcBorders>
          </w:tcPr>
          <w:p w14:paraId="51EF2185" w14:textId="77777777" w:rsidR="00711444" w:rsidRPr="004D0DAA" w:rsidRDefault="00711444" w:rsidP="00AA2A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DE5DEB4" w14:textId="77777777" w:rsidR="00711444" w:rsidRPr="004D0DAA" w:rsidRDefault="00711444" w:rsidP="00AA2A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69D951A" w14:textId="77777777" w:rsidR="00711444" w:rsidRPr="004D0DAA" w:rsidRDefault="00711444" w:rsidP="00AA2A4C">
            <w:pPr>
              <w:pStyle w:val="TAL"/>
              <w:jc w:val="center"/>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6DEDFE"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hideMark/>
          </w:tcPr>
          <w:p w14:paraId="72502A86" w14:textId="77777777" w:rsidR="00711444" w:rsidRPr="004D0DAA" w:rsidRDefault="00711444" w:rsidP="00AA2A4C">
            <w:pPr>
              <w:pStyle w:val="TAL"/>
              <w:rPr>
                <w:rFonts w:cs="Arial"/>
                <w:sz w:val="16"/>
                <w:szCs w:val="16"/>
                <w:lang w:eastAsia="en-US"/>
              </w:rPr>
            </w:pPr>
            <w:r w:rsidRPr="004D0DAA">
              <w:rPr>
                <w:rFonts w:cs="Arial"/>
                <w:sz w:val="16"/>
                <w:szCs w:val="16"/>
                <w:lang w:eastAsia="en-US"/>
              </w:rPr>
              <w:t>Generation of Rel-13 version based on version 12.5.0</w:t>
            </w:r>
          </w:p>
        </w:tc>
        <w:tc>
          <w:tcPr>
            <w:tcW w:w="754" w:type="dxa"/>
            <w:tcBorders>
              <w:top w:val="single" w:sz="4" w:space="0" w:color="auto"/>
              <w:left w:val="single" w:sz="4" w:space="0" w:color="auto"/>
              <w:bottom w:val="single" w:sz="4" w:space="0" w:color="auto"/>
              <w:right w:val="single" w:sz="4" w:space="0" w:color="auto"/>
            </w:tcBorders>
            <w:hideMark/>
          </w:tcPr>
          <w:p w14:paraId="087C3D43"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13.0.0</w:t>
            </w:r>
          </w:p>
        </w:tc>
      </w:tr>
      <w:tr w:rsidR="00711444" w:rsidRPr="004D0DAA" w14:paraId="478E57FB" w14:textId="77777777" w:rsidTr="00AA2A4C">
        <w:tc>
          <w:tcPr>
            <w:tcW w:w="1019" w:type="dxa"/>
            <w:tcBorders>
              <w:top w:val="single" w:sz="4" w:space="0" w:color="auto"/>
              <w:left w:val="single" w:sz="4" w:space="0" w:color="auto"/>
              <w:bottom w:val="single" w:sz="4" w:space="0" w:color="auto"/>
              <w:right w:val="single" w:sz="4" w:space="0" w:color="auto"/>
            </w:tcBorders>
          </w:tcPr>
          <w:p w14:paraId="36290795"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5F14C28F"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GP-68</w:t>
            </w:r>
          </w:p>
        </w:tc>
        <w:tc>
          <w:tcPr>
            <w:tcW w:w="1133" w:type="dxa"/>
            <w:tcBorders>
              <w:top w:val="single" w:sz="4" w:space="0" w:color="auto"/>
              <w:left w:val="single" w:sz="4" w:space="0" w:color="auto"/>
              <w:bottom w:val="single" w:sz="4" w:space="0" w:color="auto"/>
              <w:right w:val="single" w:sz="4" w:space="0" w:color="auto"/>
            </w:tcBorders>
          </w:tcPr>
          <w:p w14:paraId="3A78C336"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GP-151192</w:t>
            </w:r>
          </w:p>
        </w:tc>
        <w:tc>
          <w:tcPr>
            <w:tcW w:w="567" w:type="dxa"/>
            <w:tcBorders>
              <w:top w:val="single" w:sz="4" w:space="0" w:color="auto"/>
              <w:left w:val="single" w:sz="4" w:space="0" w:color="auto"/>
              <w:bottom w:val="single" w:sz="4" w:space="0" w:color="auto"/>
              <w:right w:val="single" w:sz="4" w:space="0" w:color="auto"/>
            </w:tcBorders>
          </w:tcPr>
          <w:p w14:paraId="45E5D199"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1607</w:t>
            </w:r>
          </w:p>
        </w:tc>
        <w:tc>
          <w:tcPr>
            <w:tcW w:w="567" w:type="dxa"/>
            <w:tcBorders>
              <w:top w:val="single" w:sz="4" w:space="0" w:color="auto"/>
              <w:left w:val="single" w:sz="4" w:space="0" w:color="auto"/>
              <w:bottom w:val="single" w:sz="4" w:space="0" w:color="auto"/>
              <w:right w:val="single" w:sz="4" w:space="0" w:color="auto"/>
            </w:tcBorders>
          </w:tcPr>
          <w:p w14:paraId="1CA6B267"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216C866"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7F12C69F" w14:textId="77777777" w:rsidR="00711444" w:rsidRPr="004D0DAA" w:rsidRDefault="00711444" w:rsidP="00AA2A4C">
            <w:pPr>
              <w:pStyle w:val="TAL"/>
              <w:rPr>
                <w:rFonts w:cs="Arial"/>
                <w:sz w:val="16"/>
                <w:szCs w:val="16"/>
                <w:lang w:eastAsia="en-US"/>
              </w:rPr>
            </w:pPr>
            <w:r w:rsidRPr="004D0DAA">
              <w:rPr>
                <w:rFonts w:cs="Arial"/>
                <w:sz w:val="16"/>
                <w:szCs w:val="16"/>
                <w:lang w:eastAsia="en-US"/>
              </w:rPr>
              <w:t>Introduction of Power Efficient Operation</w:t>
            </w:r>
          </w:p>
        </w:tc>
        <w:tc>
          <w:tcPr>
            <w:tcW w:w="754" w:type="dxa"/>
            <w:tcBorders>
              <w:top w:val="single" w:sz="4" w:space="0" w:color="auto"/>
              <w:left w:val="single" w:sz="4" w:space="0" w:color="auto"/>
              <w:bottom w:val="single" w:sz="4" w:space="0" w:color="auto"/>
              <w:right w:val="single" w:sz="4" w:space="0" w:color="auto"/>
            </w:tcBorders>
          </w:tcPr>
          <w:p w14:paraId="0E5AAC3D"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13.0.0</w:t>
            </w:r>
          </w:p>
        </w:tc>
      </w:tr>
      <w:tr w:rsidR="00711444" w:rsidRPr="004D0DAA" w14:paraId="5D5346D7" w14:textId="77777777" w:rsidTr="00AA2A4C">
        <w:tc>
          <w:tcPr>
            <w:tcW w:w="1019" w:type="dxa"/>
            <w:tcBorders>
              <w:top w:val="single" w:sz="4" w:space="0" w:color="auto"/>
              <w:left w:val="single" w:sz="4" w:space="0" w:color="auto"/>
              <w:bottom w:val="single" w:sz="4" w:space="0" w:color="auto"/>
              <w:right w:val="single" w:sz="4" w:space="0" w:color="auto"/>
            </w:tcBorders>
          </w:tcPr>
          <w:p w14:paraId="3AD21E63"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29E48C84"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GP-68</w:t>
            </w:r>
          </w:p>
        </w:tc>
        <w:tc>
          <w:tcPr>
            <w:tcW w:w="1133" w:type="dxa"/>
            <w:tcBorders>
              <w:top w:val="single" w:sz="4" w:space="0" w:color="auto"/>
              <w:left w:val="single" w:sz="4" w:space="0" w:color="auto"/>
              <w:bottom w:val="single" w:sz="4" w:space="0" w:color="auto"/>
              <w:right w:val="single" w:sz="4" w:space="0" w:color="auto"/>
            </w:tcBorders>
          </w:tcPr>
          <w:p w14:paraId="3FEF618B"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GP-151193</w:t>
            </w:r>
          </w:p>
        </w:tc>
        <w:tc>
          <w:tcPr>
            <w:tcW w:w="567" w:type="dxa"/>
            <w:tcBorders>
              <w:top w:val="single" w:sz="4" w:space="0" w:color="auto"/>
              <w:left w:val="single" w:sz="4" w:space="0" w:color="auto"/>
              <w:bottom w:val="single" w:sz="4" w:space="0" w:color="auto"/>
              <w:right w:val="single" w:sz="4" w:space="0" w:color="auto"/>
            </w:tcBorders>
          </w:tcPr>
          <w:p w14:paraId="5D7DF72C"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1618</w:t>
            </w:r>
          </w:p>
        </w:tc>
        <w:tc>
          <w:tcPr>
            <w:tcW w:w="567" w:type="dxa"/>
            <w:tcBorders>
              <w:top w:val="single" w:sz="4" w:space="0" w:color="auto"/>
              <w:left w:val="single" w:sz="4" w:space="0" w:color="auto"/>
              <w:bottom w:val="single" w:sz="4" w:space="0" w:color="auto"/>
              <w:right w:val="single" w:sz="4" w:space="0" w:color="auto"/>
            </w:tcBorders>
          </w:tcPr>
          <w:p w14:paraId="44803F7B"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7102C20"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12798452" w14:textId="77777777" w:rsidR="00711444" w:rsidRPr="004D0DAA" w:rsidRDefault="00711444" w:rsidP="00AA2A4C">
            <w:pPr>
              <w:pStyle w:val="TAL"/>
              <w:rPr>
                <w:rFonts w:cs="Arial"/>
                <w:sz w:val="16"/>
                <w:szCs w:val="16"/>
                <w:lang w:eastAsia="en-US"/>
              </w:rPr>
            </w:pPr>
            <w:r w:rsidRPr="004D0DAA">
              <w:rPr>
                <w:rFonts w:cs="Arial"/>
                <w:sz w:val="16"/>
                <w:szCs w:val="16"/>
                <w:lang w:eastAsia="en-US"/>
              </w:rPr>
              <w:t>Introduction of EC-EGPRS</w:t>
            </w:r>
          </w:p>
        </w:tc>
        <w:tc>
          <w:tcPr>
            <w:tcW w:w="754" w:type="dxa"/>
            <w:tcBorders>
              <w:top w:val="single" w:sz="4" w:space="0" w:color="auto"/>
              <w:left w:val="single" w:sz="4" w:space="0" w:color="auto"/>
              <w:bottom w:val="single" w:sz="4" w:space="0" w:color="auto"/>
              <w:right w:val="single" w:sz="4" w:space="0" w:color="auto"/>
            </w:tcBorders>
          </w:tcPr>
          <w:p w14:paraId="5AD5F635"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13.0.0</w:t>
            </w:r>
          </w:p>
        </w:tc>
      </w:tr>
      <w:tr w:rsidR="00711444" w:rsidRPr="004D0DAA" w14:paraId="2D500E69" w14:textId="77777777" w:rsidTr="00AA2A4C">
        <w:tc>
          <w:tcPr>
            <w:tcW w:w="1019" w:type="dxa"/>
            <w:tcBorders>
              <w:top w:val="single" w:sz="4" w:space="0" w:color="auto"/>
              <w:left w:val="single" w:sz="4" w:space="0" w:color="auto"/>
              <w:bottom w:val="single" w:sz="4" w:space="0" w:color="auto"/>
              <w:right w:val="single" w:sz="4" w:space="0" w:color="auto"/>
            </w:tcBorders>
          </w:tcPr>
          <w:p w14:paraId="5ED17C0C"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2016-02</w:t>
            </w:r>
          </w:p>
        </w:tc>
        <w:tc>
          <w:tcPr>
            <w:tcW w:w="707" w:type="dxa"/>
            <w:tcBorders>
              <w:top w:val="single" w:sz="4" w:space="0" w:color="auto"/>
              <w:left w:val="single" w:sz="4" w:space="0" w:color="auto"/>
              <w:bottom w:val="single" w:sz="4" w:space="0" w:color="auto"/>
              <w:right w:val="single" w:sz="4" w:space="0" w:color="auto"/>
            </w:tcBorders>
          </w:tcPr>
          <w:p w14:paraId="2590BF50"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3D082991"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GP-160170</w:t>
            </w:r>
          </w:p>
        </w:tc>
        <w:tc>
          <w:tcPr>
            <w:tcW w:w="567" w:type="dxa"/>
            <w:tcBorders>
              <w:top w:val="single" w:sz="4" w:space="0" w:color="auto"/>
              <w:left w:val="single" w:sz="4" w:space="0" w:color="auto"/>
              <w:bottom w:val="single" w:sz="4" w:space="0" w:color="auto"/>
              <w:right w:val="single" w:sz="4" w:space="0" w:color="auto"/>
            </w:tcBorders>
          </w:tcPr>
          <w:p w14:paraId="7D2F80C8"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1619</w:t>
            </w:r>
          </w:p>
        </w:tc>
        <w:tc>
          <w:tcPr>
            <w:tcW w:w="567" w:type="dxa"/>
            <w:tcBorders>
              <w:top w:val="single" w:sz="4" w:space="0" w:color="auto"/>
              <w:left w:val="single" w:sz="4" w:space="0" w:color="auto"/>
              <w:bottom w:val="single" w:sz="4" w:space="0" w:color="auto"/>
              <w:right w:val="single" w:sz="4" w:space="0" w:color="auto"/>
            </w:tcBorders>
          </w:tcPr>
          <w:p w14:paraId="226C6215"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32FB88FC"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76C2FEB7"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EC-EGPRS Control Messages</w:t>
            </w:r>
          </w:p>
        </w:tc>
        <w:tc>
          <w:tcPr>
            <w:tcW w:w="754" w:type="dxa"/>
            <w:tcBorders>
              <w:top w:val="single" w:sz="4" w:space="0" w:color="auto"/>
              <w:left w:val="single" w:sz="4" w:space="0" w:color="auto"/>
              <w:bottom w:val="single" w:sz="4" w:space="0" w:color="auto"/>
              <w:right w:val="single" w:sz="4" w:space="0" w:color="auto"/>
            </w:tcBorders>
          </w:tcPr>
          <w:p w14:paraId="31B2A426"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7979CB0D" w14:textId="77777777" w:rsidTr="00AA2A4C">
        <w:tc>
          <w:tcPr>
            <w:tcW w:w="1019" w:type="dxa"/>
            <w:tcBorders>
              <w:top w:val="single" w:sz="4" w:space="0" w:color="auto"/>
              <w:left w:val="single" w:sz="4" w:space="0" w:color="auto"/>
              <w:bottom w:val="single" w:sz="4" w:space="0" w:color="auto"/>
              <w:right w:val="single" w:sz="4" w:space="0" w:color="auto"/>
            </w:tcBorders>
          </w:tcPr>
          <w:p w14:paraId="7345AC5B"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52F21392"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2BE5B343"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GP-160168</w:t>
            </w:r>
          </w:p>
        </w:tc>
        <w:tc>
          <w:tcPr>
            <w:tcW w:w="567" w:type="dxa"/>
            <w:tcBorders>
              <w:top w:val="single" w:sz="4" w:space="0" w:color="auto"/>
              <w:left w:val="single" w:sz="4" w:space="0" w:color="auto"/>
              <w:bottom w:val="single" w:sz="4" w:space="0" w:color="auto"/>
              <w:right w:val="single" w:sz="4" w:space="0" w:color="auto"/>
            </w:tcBorders>
          </w:tcPr>
          <w:p w14:paraId="261AE869"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1610</w:t>
            </w:r>
          </w:p>
        </w:tc>
        <w:tc>
          <w:tcPr>
            <w:tcW w:w="567" w:type="dxa"/>
            <w:tcBorders>
              <w:top w:val="single" w:sz="4" w:space="0" w:color="auto"/>
              <w:left w:val="single" w:sz="4" w:space="0" w:color="auto"/>
              <w:bottom w:val="single" w:sz="4" w:space="0" w:color="auto"/>
              <w:right w:val="single" w:sz="4" w:space="0" w:color="auto"/>
            </w:tcBorders>
          </w:tcPr>
          <w:p w14:paraId="7152BA2A"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6</w:t>
            </w:r>
          </w:p>
        </w:tc>
        <w:tc>
          <w:tcPr>
            <w:tcW w:w="567" w:type="dxa"/>
            <w:tcBorders>
              <w:top w:val="single" w:sz="4" w:space="0" w:color="auto"/>
              <w:left w:val="single" w:sz="4" w:space="0" w:color="auto"/>
              <w:bottom w:val="single" w:sz="4" w:space="0" w:color="auto"/>
              <w:right w:val="single" w:sz="4" w:space="0" w:color="auto"/>
            </w:tcBorders>
          </w:tcPr>
          <w:p w14:paraId="0DBCDC0A"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21522C00"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EC-EGPRS - TBF Establishment procedures</w:t>
            </w:r>
          </w:p>
        </w:tc>
        <w:tc>
          <w:tcPr>
            <w:tcW w:w="754" w:type="dxa"/>
            <w:tcBorders>
              <w:top w:val="single" w:sz="4" w:space="0" w:color="auto"/>
              <w:left w:val="single" w:sz="4" w:space="0" w:color="auto"/>
              <w:bottom w:val="single" w:sz="4" w:space="0" w:color="auto"/>
              <w:right w:val="single" w:sz="4" w:space="0" w:color="auto"/>
            </w:tcBorders>
          </w:tcPr>
          <w:p w14:paraId="686EB099"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7BAD2055" w14:textId="77777777" w:rsidTr="00AA2A4C">
        <w:tc>
          <w:tcPr>
            <w:tcW w:w="1019" w:type="dxa"/>
            <w:tcBorders>
              <w:top w:val="single" w:sz="4" w:space="0" w:color="auto"/>
              <w:left w:val="single" w:sz="4" w:space="0" w:color="auto"/>
              <w:bottom w:val="single" w:sz="4" w:space="0" w:color="auto"/>
              <w:right w:val="single" w:sz="4" w:space="0" w:color="auto"/>
            </w:tcBorders>
          </w:tcPr>
          <w:p w14:paraId="506F9A06"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6474AC06"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6AF845D5"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GP-160148</w:t>
            </w:r>
          </w:p>
        </w:tc>
        <w:tc>
          <w:tcPr>
            <w:tcW w:w="567" w:type="dxa"/>
            <w:tcBorders>
              <w:top w:val="single" w:sz="4" w:space="0" w:color="auto"/>
              <w:left w:val="single" w:sz="4" w:space="0" w:color="auto"/>
              <w:bottom w:val="single" w:sz="4" w:space="0" w:color="auto"/>
              <w:right w:val="single" w:sz="4" w:space="0" w:color="auto"/>
            </w:tcBorders>
          </w:tcPr>
          <w:p w14:paraId="519BEC8C"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1611</w:t>
            </w:r>
          </w:p>
        </w:tc>
        <w:tc>
          <w:tcPr>
            <w:tcW w:w="567" w:type="dxa"/>
            <w:tcBorders>
              <w:top w:val="single" w:sz="4" w:space="0" w:color="auto"/>
              <w:left w:val="single" w:sz="4" w:space="0" w:color="auto"/>
              <w:bottom w:val="single" w:sz="4" w:space="0" w:color="auto"/>
              <w:right w:val="single" w:sz="4" w:space="0" w:color="auto"/>
            </w:tcBorders>
          </w:tcPr>
          <w:p w14:paraId="65CE8D8D"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0193A22"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22D7F103"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EC-EGPRS - MAC procedures in packet transfer mode</w:t>
            </w:r>
          </w:p>
        </w:tc>
        <w:tc>
          <w:tcPr>
            <w:tcW w:w="754" w:type="dxa"/>
            <w:tcBorders>
              <w:top w:val="single" w:sz="4" w:space="0" w:color="auto"/>
              <w:left w:val="single" w:sz="4" w:space="0" w:color="auto"/>
              <w:bottom w:val="single" w:sz="4" w:space="0" w:color="auto"/>
              <w:right w:val="single" w:sz="4" w:space="0" w:color="auto"/>
            </w:tcBorders>
          </w:tcPr>
          <w:p w14:paraId="5145BE94"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2340B037" w14:textId="77777777" w:rsidTr="00AA2A4C">
        <w:tc>
          <w:tcPr>
            <w:tcW w:w="1019" w:type="dxa"/>
            <w:tcBorders>
              <w:top w:val="single" w:sz="4" w:space="0" w:color="auto"/>
              <w:left w:val="single" w:sz="4" w:space="0" w:color="auto"/>
              <w:bottom w:val="single" w:sz="4" w:space="0" w:color="auto"/>
              <w:right w:val="single" w:sz="4" w:space="0" w:color="auto"/>
            </w:tcBorders>
          </w:tcPr>
          <w:p w14:paraId="3BBE64A6"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1228133E"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2676EA52"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GP-160140</w:t>
            </w:r>
          </w:p>
        </w:tc>
        <w:tc>
          <w:tcPr>
            <w:tcW w:w="567" w:type="dxa"/>
            <w:tcBorders>
              <w:top w:val="single" w:sz="4" w:space="0" w:color="auto"/>
              <w:left w:val="single" w:sz="4" w:space="0" w:color="auto"/>
              <w:bottom w:val="single" w:sz="4" w:space="0" w:color="auto"/>
              <w:right w:val="single" w:sz="4" w:space="0" w:color="auto"/>
            </w:tcBorders>
          </w:tcPr>
          <w:p w14:paraId="3B08197E"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1612</w:t>
            </w:r>
          </w:p>
        </w:tc>
        <w:tc>
          <w:tcPr>
            <w:tcW w:w="567" w:type="dxa"/>
            <w:tcBorders>
              <w:top w:val="single" w:sz="4" w:space="0" w:color="auto"/>
              <w:left w:val="single" w:sz="4" w:space="0" w:color="auto"/>
              <w:bottom w:val="single" w:sz="4" w:space="0" w:color="auto"/>
              <w:right w:val="single" w:sz="4" w:space="0" w:color="auto"/>
            </w:tcBorders>
          </w:tcPr>
          <w:p w14:paraId="40C6B81C"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5</w:t>
            </w:r>
          </w:p>
        </w:tc>
        <w:tc>
          <w:tcPr>
            <w:tcW w:w="567" w:type="dxa"/>
            <w:tcBorders>
              <w:top w:val="single" w:sz="4" w:space="0" w:color="auto"/>
              <w:left w:val="single" w:sz="4" w:space="0" w:color="auto"/>
              <w:bottom w:val="single" w:sz="4" w:space="0" w:color="auto"/>
              <w:right w:val="single" w:sz="4" w:space="0" w:color="auto"/>
            </w:tcBorders>
          </w:tcPr>
          <w:p w14:paraId="2291F300"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5423FEE5"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EC-EGPRS - RLC procedures</w:t>
            </w:r>
          </w:p>
        </w:tc>
        <w:tc>
          <w:tcPr>
            <w:tcW w:w="754" w:type="dxa"/>
            <w:tcBorders>
              <w:top w:val="single" w:sz="4" w:space="0" w:color="auto"/>
              <w:left w:val="single" w:sz="4" w:space="0" w:color="auto"/>
              <w:bottom w:val="single" w:sz="4" w:space="0" w:color="auto"/>
              <w:right w:val="single" w:sz="4" w:space="0" w:color="auto"/>
            </w:tcBorders>
          </w:tcPr>
          <w:p w14:paraId="03F6845E"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1D0EC67C" w14:textId="77777777" w:rsidTr="00AA2A4C">
        <w:tc>
          <w:tcPr>
            <w:tcW w:w="1019" w:type="dxa"/>
            <w:tcBorders>
              <w:top w:val="single" w:sz="4" w:space="0" w:color="auto"/>
              <w:left w:val="single" w:sz="4" w:space="0" w:color="auto"/>
              <w:bottom w:val="single" w:sz="4" w:space="0" w:color="auto"/>
              <w:right w:val="single" w:sz="4" w:space="0" w:color="auto"/>
            </w:tcBorders>
          </w:tcPr>
          <w:p w14:paraId="03B4EBF3"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4ECC8512"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1719DB6F"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GP-160135</w:t>
            </w:r>
          </w:p>
        </w:tc>
        <w:tc>
          <w:tcPr>
            <w:tcW w:w="567" w:type="dxa"/>
            <w:tcBorders>
              <w:top w:val="single" w:sz="4" w:space="0" w:color="auto"/>
              <w:left w:val="single" w:sz="4" w:space="0" w:color="auto"/>
              <w:bottom w:val="single" w:sz="4" w:space="0" w:color="auto"/>
              <w:right w:val="single" w:sz="4" w:space="0" w:color="auto"/>
            </w:tcBorders>
          </w:tcPr>
          <w:p w14:paraId="5603E746"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1615</w:t>
            </w:r>
          </w:p>
        </w:tc>
        <w:tc>
          <w:tcPr>
            <w:tcW w:w="567" w:type="dxa"/>
            <w:tcBorders>
              <w:top w:val="single" w:sz="4" w:space="0" w:color="auto"/>
              <w:left w:val="single" w:sz="4" w:space="0" w:color="auto"/>
              <w:bottom w:val="single" w:sz="4" w:space="0" w:color="auto"/>
              <w:right w:val="single" w:sz="4" w:space="0" w:color="auto"/>
            </w:tcBorders>
          </w:tcPr>
          <w:p w14:paraId="6ECC39E0"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BD53139"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2CCE3272"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EC-EGPRS - RLC/MAC block structure</w:t>
            </w:r>
          </w:p>
        </w:tc>
        <w:tc>
          <w:tcPr>
            <w:tcW w:w="754" w:type="dxa"/>
            <w:tcBorders>
              <w:top w:val="single" w:sz="4" w:space="0" w:color="auto"/>
              <w:left w:val="single" w:sz="4" w:space="0" w:color="auto"/>
              <w:bottom w:val="single" w:sz="4" w:space="0" w:color="auto"/>
              <w:right w:val="single" w:sz="4" w:space="0" w:color="auto"/>
            </w:tcBorders>
          </w:tcPr>
          <w:p w14:paraId="7D7217FA"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11F45631" w14:textId="77777777" w:rsidTr="00AA2A4C">
        <w:tc>
          <w:tcPr>
            <w:tcW w:w="1019" w:type="dxa"/>
            <w:tcBorders>
              <w:top w:val="single" w:sz="4" w:space="0" w:color="auto"/>
              <w:left w:val="single" w:sz="4" w:space="0" w:color="auto"/>
              <w:bottom w:val="single" w:sz="4" w:space="0" w:color="auto"/>
              <w:right w:val="single" w:sz="4" w:space="0" w:color="auto"/>
            </w:tcBorders>
          </w:tcPr>
          <w:p w14:paraId="5AE155D7"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11A70E4C"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50DC3062"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GP-160186</w:t>
            </w:r>
          </w:p>
        </w:tc>
        <w:tc>
          <w:tcPr>
            <w:tcW w:w="567" w:type="dxa"/>
            <w:tcBorders>
              <w:top w:val="single" w:sz="4" w:space="0" w:color="auto"/>
              <w:left w:val="single" w:sz="4" w:space="0" w:color="auto"/>
              <w:bottom w:val="single" w:sz="4" w:space="0" w:color="auto"/>
              <w:right w:val="single" w:sz="4" w:space="0" w:color="auto"/>
            </w:tcBorders>
          </w:tcPr>
          <w:p w14:paraId="2A38F0FA"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1622</w:t>
            </w:r>
          </w:p>
        </w:tc>
        <w:tc>
          <w:tcPr>
            <w:tcW w:w="567" w:type="dxa"/>
            <w:tcBorders>
              <w:top w:val="single" w:sz="4" w:space="0" w:color="auto"/>
              <w:left w:val="single" w:sz="4" w:space="0" w:color="auto"/>
              <w:bottom w:val="single" w:sz="4" w:space="0" w:color="auto"/>
              <w:right w:val="single" w:sz="4" w:space="0" w:color="auto"/>
            </w:tcBorders>
          </w:tcPr>
          <w:p w14:paraId="65816456"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FF315F4"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1B9DFBE6" w14:textId="77777777" w:rsidR="00711444" w:rsidRPr="004D0DAA" w:rsidRDefault="00711444" w:rsidP="00AA2A4C">
            <w:pPr>
              <w:pStyle w:val="TAL"/>
              <w:rPr>
                <w:rFonts w:cs="Arial"/>
                <w:sz w:val="16"/>
                <w:szCs w:val="16"/>
                <w:lang w:eastAsia="en-US"/>
              </w:rPr>
            </w:pPr>
            <w:r w:rsidRPr="004D0DAA">
              <w:rPr>
                <w:rFonts w:cs="Arial"/>
                <w:sz w:val="16"/>
                <w:szCs w:val="16"/>
                <w:lang w:eastAsia="en-US"/>
              </w:rPr>
              <w:t>Corrections to overlaid CDMA</w:t>
            </w:r>
          </w:p>
        </w:tc>
        <w:tc>
          <w:tcPr>
            <w:tcW w:w="754" w:type="dxa"/>
            <w:tcBorders>
              <w:top w:val="single" w:sz="4" w:space="0" w:color="auto"/>
              <w:left w:val="single" w:sz="4" w:space="0" w:color="auto"/>
              <w:bottom w:val="single" w:sz="4" w:space="0" w:color="auto"/>
              <w:right w:val="single" w:sz="4" w:space="0" w:color="auto"/>
            </w:tcBorders>
          </w:tcPr>
          <w:p w14:paraId="16D55A42"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60F4DB22" w14:textId="77777777" w:rsidTr="00AA2A4C">
        <w:tc>
          <w:tcPr>
            <w:tcW w:w="1019" w:type="dxa"/>
            <w:tcBorders>
              <w:top w:val="single" w:sz="4" w:space="0" w:color="auto"/>
              <w:left w:val="single" w:sz="4" w:space="0" w:color="auto"/>
              <w:bottom w:val="single" w:sz="4" w:space="0" w:color="auto"/>
              <w:right w:val="single" w:sz="4" w:space="0" w:color="auto"/>
            </w:tcBorders>
          </w:tcPr>
          <w:p w14:paraId="659B62D3" w14:textId="77777777" w:rsidR="00711444" w:rsidRPr="004D0DAA" w:rsidRDefault="00711444" w:rsidP="00AA2A4C">
            <w:pPr>
              <w:pStyle w:val="TAL"/>
              <w:rPr>
                <w:rFonts w:cs="Arial"/>
                <w:sz w:val="16"/>
                <w:szCs w:val="16"/>
                <w:lang w:eastAsia="en-US"/>
              </w:rPr>
            </w:pPr>
          </w:p>
        </w:tc>
        <w:tc>
          <w:tcPr>
            <w:tcW w:w="707" w:type="dxa"/>
            <w:tcBorders>
              <w:top w:val="single" w:sz="4" w:space="0" w:color="auto"/>
              <w:left w:val="single" w:sz="4" w:space="0" w:color="auto"/>
              <w:bottom w:val="single" w:sz="4" w:space="0" w:color="auto"/>
              <w:right w:val="single" w:sz="4" w:space="0" w:color="auto"/>
            </w:tcBorders>
          </w:tcPr>
          <w:p w14:paraId="152B2E5E"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GP-69</w:t>
            </w:r>
          </w:p>
        </w:tc>
        <w:tc>
          <w:tcPr>
            <w:tcW w:w="1133" w:type="dxa"/>
            <w:tcBorders>
              <w:top w:val="single" w:sz="4" w:space="0" w:color="auto"/>
              <w:left w:val="single" w:sz="4" w:space="0" w:color="auto"/>
              <w:bottom w:val="single" w:sz="4" w:space="0" w:color="auto"/>
              <w:right w:val="single" w:sz="4" w:space="0" w:color="auto"/>
            </w:tcBorders>
          </w:tcPr>
          <w:p w14:paraId="349E8D56"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GP-160144</w:t>
            </w:r>
          </w:p>
        </w:tc>
        <w:tc>
          <w:tcPr>
            <w:tcW w:w="567" w:type="dxa"/>
            <w:tcBorders>
              <w:top w:val="single" w:sz="4" w:space="0" w:color="auto"/>
              <w:left w:val="single" w:sz="4" w:space="0" w:color="auto"/>
              <w:bottom w:val="single" w:sz="4" w:space="0" w:color="auto"/>
              <w:right w:val="single" w:sz="4" w:space="0" w:color="auto"/>
            </w:tcBorders>
          </w:tcPr>
          <w:p w14:paraId="41A0F721"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1621</w:t>
            </w:r>
          </w:p>
        </w:tc>
        <w:tc>
          <w:tcPr>
            <w:tcW w:w="567" w:type="dxa"/>
            <w:tcBorders>
              <w:top w:val="single" w:sz="4" w:space="0" w:color="auto"/>
              <w:left w:val="single" w:sz="4" w:space="0" w:color="auto"/>
              <w:bottom w:val="single" w:sz="4" w:space="0" w:color="auto"/>
              <w:right w:val="single" w:sz="4" w:space="0" w:color="auto"/>
            </w:tcBorders>
          </w:tcPr>
          <w:p w14:paraId="5735937D"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680ED5"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5C0DD4D9" w14:textId="77777777" w:rsidR="00711444" w:rsidRPr="004D0DAA" w:rsidRDefault="00711444" w:rsidP="00AA2A4C">
            <w:pPr>
              <w:pStyle w:val="TAL"/>
              <w:rPr>
                <w:rFonts w:cs="Arial"/>
                <w:sz w:val="16"/>
                <w:szCs w:val="16"/>
                <w:lang w:eastAsia="en-US"/>
              </w:rPr>
            </w:pPr>
            <w:r w:rsidRPr="004D0DAA">
              <w:rPr>
                <w:rFonts w:cs="Arial"/>
                <w:sz w:val="16"/>
                <w:szCs w:val="16"/>
                <w:lang w:eastAsia="en-US"/>
              </w:rPr>
              <w:t>Miscellaneous corrections to eDRX</w:t>
            </w:r>
          </w:p>
        </w:tc>
        <w:tc>
          <w:tcPr>
            <w:tcW w:w="754" w:type="dxa"/>
            <w:tcBorders>
              <w:top w:val="single" w:sz="4" w:space="0" w:color="auto"/>
              <w:left w:val="single" w:sz="4" w:space="0" w:color="auto"/>
              <w:bottom w:val="single" w:sz="4" w:space="0" w:color="auto"/>
              <w:right w:val="single" w:sz="4" w:space="0" w:color="auto"/>
            </w:tcBorders>
          </w:tcPr>
          <w:p w14:paraId="19AB7003"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13.1.0</w:t>
            </w:r>
          </w:p>
        </w:tc>
      </w:tr>
      <w:tr w:rsidR="00711444" w:rsidRPr="004D0DAA" w14:paraId="5E6ECA59" w14:textId="77777777" w:rsidTr="00AA2A4C">
        <w:tc>
          <w:tcPr>
            <w:tcW w:w="1019" w:type="dxa"/>
            <w:tcBorders>
              <w:top w:val="single" w:sz="4" w:space="0" w:color="auto"/>
              <w:left w:val="single" w:sz="4" w:space="0" w:color="auto"/>
              <w:bottom w:val="single" w:sz="4" w:space="0" w:color="auto"/>
              <w:right w:val="single" w:sz="4" w:space="0" w:color="auto"/>
            </w:tcBorders>
          </w:tcPr>
          <w:p w14:paraId="2C87A276"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2016-06</w:t>
            </w:r>
          </w:p>
        </w:tc>
        <w:tc>
          <w:tcPr>
            <w:tcW w:w="707" w:type="dxa"/>
            <w:tcBorders>
              <w:top w:val="single" w:sz="4" w:space="0" w:color="auto"/>
              <w:left w:val="single" w:sz="4" w:space="0" w:color="auto"/>
              <w:bottom w:val="single" w:sz="4" w:space="0" w:color="auto"/>
              <w:right w:val="single" w:sz="4" w:space="0" w:color="auto"/>
            </w:tcBorders>
          </w:tcPr>
          <w:p w14:paraId="6A704D0D"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GP-70</w:t>
            </w:r>
          </w:p>
        </w:tc>
        <w:tc>
          <w:tcPr>
            <w:tcW w:w="1133" w:type="dxa"/>
            <w:tcBorders>
              <w:top w:val="single" w:sz="4" w:space="0" w:color="auto"/>
              <w:left w:val="single" w:sz="4" w:space="0" w:color="auto"/>
              <w:bottom w:val="single" w:sz="4" w:space="0" w:color="auto"/>
              <w:right w:val="single" w:sz="4" w:space="0" w:color="auto"/>
            </w:tcBorders>
          </w:tcPr>
          <w:p w14:paraId="7148D0CC"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GP-160414</w:t>
            </w:r>
          </w:p>
        </w:tc>
        <w:tc>
          <w:tcPr>
            <w:tcW w:w="567" w:type="dxa"/>
            <w:tcBorders>
              <w:top w:val="single" w:sz="4" w:space="0" w:color="auto"/>
              <w:left w:val="single" w:sz="4" w:space="0" w:color="auto"/>
              <w:bottom w:val="single" w:sz="4" w:space="0" w:color="auto"/>
              <w:right w:val="single" w:sz="4" w:space="0" w:color="auto"/>
            </w:tcBorders>
          </w:tcPr>
          <w:p w14:paraId="117F2397"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1625</w:t>
            </w:r>
          </w:p>
        </w:tc>
        <w:tc>
          <w:tcPr>
            <w:tcW w:w="567" w:type="dxa"/>
            <w:tcBorders>
              <w:top w:val="single" w:sz="4" w:space="0" w:color="auto"/>
              <w:left w:val="single" w:sz="4" w:space="0" w:color="auto"/>
              <w:bottom w:val="single" w:sz="4" w:space="0" w:color="auto"/>
              <w:right w:val="single" w:sz="4" w:space="0" w:color="auto"/>
            </w:tcBorders>
          </w:tcPr>
          <w:p w14:paraId="55850689"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895D3" w14:textId="77777777" w:rsidR="00711444" w:rsidRPr="004D0DAA" w:rsidRDefault="00711444" w:rsidP="00AA2A4C">
            <w:pPr>
              <w:pStyle w:val="TAL"/>
              <w:rPr>
                <w:rFonts w:cs="Arial"/>
                <w:sz w:val="16"/>
                <w:szCs w:val="16"/>
                <w:lang w:eastAsia="en-US"/>
              </w:rPr>
            </w:pPr>
            <w:r w:rsidRPr="004D0DAA">
              <w:rPr>
                <w:rFonts w:cs="Arial"/>
                <w:sz w:val="16"/>
                <w:szCs w:val="16"/>
                <w:lang w:eastAsia="en-US"/>
              </w:rPr>
              <w:t>B</w:t>
            </w:r>
          </w:p>
        </w:tc>
        <w:tc>
          <w:tcPr>
            <w:tcW w:w="4346" w:type="dxa"/>
            <w:tcBorders>
              <w:top w:val="single" w:sz="4" w:space="0" w:color="auto"/>
              <w:left w:val="single" w:sz="4" w:space="0" w:color="auto"/>
              <w:bottom w:val="single" w:sz="4" w:space="0" w:color="auto"/>
              <w:right w:val="single" w:sz="4" w:space="0" w:color="auto"/>
            </w:tcBorders>
          </w:tcPr>
          <w:p w14:paraId="4078BA9C"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EC-GSM-IoT RLC/MAC Block Structure and Control Messages, Miscellaneous Corrections</w:t>
            </w:r>
          </w:p>
        </w:tc>
        <w:tc>
          <w:tcPr>
            <w:tcW w:w="754" w:type="dxa"/>
            <w:tcBorders>
              <w:top w:val="single" w:sz="4" w:space="0" w:color="auto"/>
              <w:left w:val="single" w:sz="4" w:space="0" w:color="auto"/>
              <w:bottom w:val="single" w:sz="4" w:space="0" w:color="auto"/>
              <w:right w:val="single" w:sz="4" w:space="0" w:color="auto"/>
            </w:tcBorders>
          </w:tcPr>
          <w:p w14:paraId="729BCF5B"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13.2.0</w:t>
            </w:r>
          </w:p>
        </w:tc>
      </w:tr>
      <w:tr w:rsidR="00711444" w:rsidRPr="004D0DAA" w14:paraId="7518D639" w14:textId="77777777" w:rsidTr="00AA2A4C">
        <w:tc>
          <w:tcPr>
            <w:tcW w:w="1019" w:type="dxa"/>
            <w:tcBorders>
              <w:top w:val="single" w:sz="4" w:space="0" w:color="auto"/>
              <w:left w:val="single" w:sz="4" w:space="0" w:color="auto"/>
              <w:bottom w:val="single" w:sz="4" w:space="0" w:color="auto"/>
              <w:right w:val="single" w:sz="4" w:space="0" w:color="auto"/>
            </w:tcBorders>
          </w:tcPr>
          <w:p w14:paraId="5B558E93"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2016-06</w:t>
            </w:r>
          </w:p>
        </w:tc>
        <w:tc>
          <w:tcPr>
            <w:tcW w:w="707" w:type="dxa"/>
            <w:tcBorders>
              <w:top w:val="single" w:sz="4" w:space="0" w:color="auto"/>
              <w:left w:val="single" w:sz="4" w:space="0" w:color="auto"/>
              <w:bottom w:val="single" w:sz="4" w:space="0" w:color="auto"/>
              <w:right w:val="single" w:sz="4" w:space="0" w:color="auto"/>
            </w:tcBorders>
          </w:tcPr>
          <w:p w14:paraId="7C4B79DC"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GP-70</w:t>
            </w:r>
          </w:p>
        </w:tc>
        <w:tc>
          <w:tcPr>
            <w:tcW w:w="1133" w:type="dxa"/>
            <w:tcBorders>
              <w:top w:val="single" w:sz="4" w:space="0" w:color="auto"/>
              <w:left w:val="single" w:sz="4" w:space="0" w:color="auto"/>
              <w:bottom w:val="single" w:sz="4" w:space="0" w:color="auto"/>
              <w:right w:val="single" w:sz="4" w:space="0" w:color="auto"/>
            </w:tcBorders>
          </w:tcPr>
          <w:p w14:paraId="768EF2AA"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GP-160403</w:t>
            </w:r>
          </w:p>
        </w:tc>
        <w:tc>
          <w:tcPr>
            <w:tcW w:w="567" w:type="dxa"/>
            <w:tcBorders>
              <w:top w:val="single" w:sz="4" w:space="0" w:color="auto"/>
              <w:left w:val="single" w:sz="4" w:space="0" w:color="auto"/>
              <w:bottom w:val="single" w:sz="4" w:space="0" w:color="auto"/>
              <w:right w:val="single" w:sz="4" w:space="0" w:color="auto"/>
            </w:tcBorders>
          </w:tcPr>
          <w:p w14:paraId="65006CCD"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1624</w:t>
            </w:r>
          </w:p>
        </w:tc>
        <w:tc>
          <w:tcPr>
            <w:tcW w:w="567" w:type="dxa"/>
            <w:tcBorders>
              <w:top w:val="single" w:sz="4" w:space="0" w:color="auto"/>
              <w:left w:val="single" w:sz="4" w:space="0" w:color="auto"/>
              <w:bottom w:val="single" w:sz="4" w:space="0" w:color="auto"/>
              <w:right w:val="single" w:sz="4" w:space="0" w:color="auto"/>
            </w:tcBorders>
          </w:tcPr>
          <w:p w14:paraId="5C5AD6DA"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3F155FE"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7C7CC138" w14:textId="77777777" w:rsidR="00711444" w:rsidRPr="004D0DAA" w:rsidRDefault="00711444" w:rsidP="00AA2A4C">
            <w:pPr>
              <w:pStyle w:val="TAL"/>
              <w:rPr>
                <w:rFonts w:cs="Arial"/>
                <w:sz w:val="16"/>
                <w:szCs w:val="16"/>
                <w:lang w:eastAsia="en-US"/>
              </w:rPr>
            </w:pPr>
            <w:r w:rsidRPr="004D0DAA">
              <w:rPr>
                <w:rFonts w:cs="Arial"/>
                <w:sz w:val="16"/>
                <w:szCs w:val="16"/>
                <w:lang w:eastAsia="en-US"/>
              </w:rPr>
              <w:t>Miscellaneous corrections to eDRX_GSM</w:t>
            </w:r>
          </w:p>
        </w:tc>
        <w:tc>
          <w:tcPr>
            <w:tcW w:w="754" w:type="dxa"/>
            <w:tcBorders>
              <w:top w:val="single" w:sz="4" w:space="0" w:color="auto"/>
              <w:left w:val="single" w:sz="4" w:space="0" w:color="auto"/>
              <w:bottom w:val="single" w:sz="4" w:space="0" w:color="auto"/>
              <w:right w:val="single" w:sz="4" w:space="0" w:color="auto"/>
            </w:tcBorders>
          </w:tcPr>
          <w:p w14:paraId="590D7A47"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13.2.0</w:t>
            </w:r>
          </w:p>
        </w:tc>
      </w:tr>
      <w:tr w:rsidR="00711444" w:rsidRPr="004D0DAA" w14:paraId="37A78A76" w14:textId="77777777" w:rsidTr="00AA2A4C">
        <w:tc>
          <w:tcPr>
            <w:tcW w:w="1019" w:type="dxa"/>
            <w:tcBorders>
              <w:top w:val="single" w:sz="4" w:space="0" w:color="auto"/>
              <w:left w:val="single" w:sz="4" w:space="0" w:color="auto"/>
              <w:bottom w:val="single" w:sz="4" w:space="0" w:color="auto"/>
              <w:right w:val="single" w:sz="4" w:space="0" w:color="auto"/>
            </w:tcBorders>
          </w:tcPr>
          <w:p w14:paraId="54DF4024"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2016-06</w:t>
            </w:r>
          </w:p>
        </w:tc>
        <w:tc>
          <w:tcPr>
            <w:tcW w:w="707" w:type="dxa"/>
            <w:tcBorders>
              <w:top w:val="single" w:sz="4" w:space="0" w:color="auto"/>
              <w:left w:val="single" w:sz="4" w:space="0" w:color="auto"/>
              <w:bottom w:val="single" w:sz="4" w:space="0" w:color="auto"/>
              <w:right w:val="single" w:sz="4" w:space="0" w:color="auto"/>
            </w:tcBorders>
          </w:tcPr>
          <w:p w14:paraId="13AC939A"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GP-70</w:t>
            </w:r>
          </w:p>
        </w:tc>
        <w:tc>
          <w:tcPr>
            <w:tcW w:w="1133" w:type="dxa"/>
            <w:tcBorders>
              <w:top w:val="single" w:sz="4" w:space="0" w:color="auto"/>
              <w:left w:val="single" w:sz="4" w:space="0" w:color="auto"/>
              <w:bottom w:val="single" w:sz="4" w:space="0" w:color="auto"/>
              <w:right w:val="single" w:sz="4" w:space="0" w:color="auto"/>
            </w:tcBorders>
          </w:tcPr>
          <w:p w14:paraId="5EA72B59" w14:textId="77777777" w:rsidR="00711444" w:rsidRPr="004D0DAA" w:rsidRDefault="00711444" w:rsidP="00AA2A4C">
            <w:pPr>
              <w:pStyle w:val="TAL"/>
              <w:rPr>
                <w:rFonts w:cs="Arial"/>
                <w:sz w:val="16"/>
                <w:szCs w:val="16"/>
                <w:lang w:eastAsia="en-US"/>
              </w:rPr>
            </w:pPr>
            <w:r w:rsidRPr="004D0DAA">
              <w:rPr>
                <w:rFonts w:cs="Arial"/>
                <w:sz w:val="16"/>
                <w:szCs w:val="16"/>
                <w:lang w:eastAsia="en-US"/>
              </w:rPr>
              <w:t>GP-160420</w:t>
            </w:r>
          </w:p>
        </w:tc>
        <w:tc>
          <w:tcPr>
            <w:tcW w:w="567" w:type="dxa"/>
            <w:tcBorders>
              <w:top w:val="single" w:sz="4" w:space="0" w:color="auto"/>
              <w:left w:val="single" w:sz="4" w:space="0" w:color="auto"/>
              <w:bottom w:val="single" w:sz="4" w:space="0" w:color="auto"/>
              <w:right w:val="single" w:sz="4" w:space="0" w:color="auto"/>
            </w:tcBorders>
          </w:tcPr>
          <w:p w14:paraId="4E36DC35"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1626</w:t>
            </w:r>
          </w:p>
        </w:tc>
        <w:tc>
          <w:tcPr>
            <w:tcW w:w="567" w:type="dxa"/>
            <w:tcBorders>
              <w:top w:val="single" w:sz="4" w:space="0" w:color="auto"/>
              <w:left w:val="single" w:sz="4" w:space="0" w:color="auto"/>
              <w:bottom w:val="single" w:sz="4" w:space="0" w:color="auto"/>
              <w:right w:val="single" w:sz="4" w:space="0" w:color="auto"/>
            </w:tcBorders>
          </w:tcPr>
          <w:p w14:paraId="29AAC628"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1780AB66"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3E3C2ABE" w14:textId="77777777" w:rsidR="00711444" w:rsidRPr="004D0DAA" w:rsidRDefault="00711444" w:rsidP="00AA2A4C">
            <w:pPr>
              <w:pStyle w:val="TAL"/>
              <w:rPr>
                <w:rFonts w:cs="Arial"/>
                <w:sz w:val="16"/>
                <w:szCs w:val="16"/>
                <w:lang w:eastAsia="en-US"/>
              </w:rPr>
            </w:pPr>
            <w:r w:rsidRPr="004D0DAA">
              <w:rPr>
                <w:rFonts w:cs="Arial"/>
                <w:sz w:val="16"/>
                <w:szCs w:val="16"/>
                <w:lang w:eastAsia="en-US"/>
              </w:rPr>
              <w:t>EC-GSM-IoT Procedures and Timers, Miscellaneous Corrections</w:t>
            </w:r>
          </w:p>
        </w:tc>
        <w:tc>
          <w:tcPr>
            <w:tcW w:w="754" w:type="dxa"/>
            <w:tcBorders>
              <w:top w:val="single" w:sz="4" w:space="0" w:color="auto"/>
              <w:left w:val="single" w:sz="4" w:space="0" w:color="auto"/>
              <w:bottom w:val="single" w:sz="4" w:space="0" w:color="auto"/>
              <w:right w:val="single" w:sz="4" w:space="0" w:color="auto"/>
            </w:tcBorders>
          </w:tcPr>
          <w:p w14:paraId="254087D4"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13.2.0</w:t>
            </w:r>
          </w:p>
        </w:tc>
      </w:tr>
      <w:tr w:rsidR="00711444" w:rsidRPr="004D0DAA" w14:paraId="2ABFA16A" w14:textId="77777777" w:rsidTr="00AA2A4C">
        <w:tc>
          <w:tcPr>
            <w:tcW w:w="1019" w:type="dxa"/>
            <w:tcBorders>
              <w:top w:val="single" w:sz="4" w:space="0" w:color="auto"/>
              <w:left w:val="single" w:sz="4" w:space="0" w:color="auto"/>
              <w:bottom w:val="single" w:sz="4" w:space="0" w:color="auto"/>
              <w:right w:val="single" w:sz="4" w:space="0" w:color="auto"/>
            </w:tcBorders>
          </w:tcPr>
          <w:p w14:paraId="31779E6B"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2016-09</w:t>
            </w:r>
          </w:p>
        </w:tc>
        <w:tc>
          <w:tcPr>
            <w:tcW w:w="707" w:type="dxa"/>
            <w:tcBorders>
              <w:top w:val="single" w:sz="4" w:space="0" w:color="auto"/>
              <w:left w:val="single" w:sz="4" w:space="0" w:color="auto"/>
              <w:bottom w:val="single" w:sz="4" w:space="0" w:color="auto"/>
              <w:right w:val="single" w:sz="4" w:space="0" w:color="auto"/>
            </w:tcBorders>
          </w:tcPr>
          <w:p w14:paraId="550548A2"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RP-73</w:t>
            </w:r>
          </w:p>
        </w:tc>
        <w:tc>
          <w:tcPr>
            <w:tcW w:w="1133" w:type="dxa"/>
            <w:tcBorders>
              <w:top w:val="single" w:sz="4" w:space="0" w:color="auto"/>
              <w:left w:val="single" w:sz="4" w:space="0" w:color="auto"/>
              <w:bottom w:val="single" w:sz="4" w:space="0" w:color="auto"/>
              <w:right w:val="single" w:sz="4" w:space="0" w:color="auto"/>
            </w:tcBorders>
          </w:tcPr>
          <w:p w14:paraId="46C05FEB"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RP-161392</w:t>
            </w:r>
          </w:p>
        </w:tc>
        <w:tc>
          <w:tcPr>
            <w:tcW w:w="567" w:type="dxa"/>
            <w:tcBorders>
              <w:top w:val="single" w:sz="4" w:space="0" w:color="auto"/>
              <w:left w:val="single" w:sz="4" w:space="0" w:color="auto"/>
              <w:bottom w:val="single" w:sz="4" w:space="0" w:color="auto"/>
              <w:right w:val="single" w:sz="4" w:space="0" w:color="auto"/>
            </w:tcBorders>
          </w:tcPr>
          <w:p w14:paraId="5D2C97E1"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1628</w:t>
            </w:r>
          </w:p>
        </w:tc>
        <w:tc>
          <w:tcPr>
            <w:tcW w:w="567" w:type="dxa"/>
            <w:tcBorders>
              <w:top w:val="single" w:sz="4" w:space="0" w:color="auto"/>
              <w:left w:val="single" w:sz="4" w:space="0" w:color="auto"/>
              <w:bottom w:val="single" w:sz="4" w:space="0" w:color="auto"/>
              <w:right w:val="single" w:sz="4" w:space="0" w:color="auto"/>
            </w:tcBorders>
          </w:tcPr>
          <w:p w14:paraId="12CB86F5"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5050DEB"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4DF3AA97" w14:textId="77777777" w:rsidR="00711444" w:rsidRPr="004D0DAA" w:rsidRDefault="00711444" w:rsidP="00AA2A4C">
            <w:pPr>
              <w:pStyle w:val="TAL"/>
              <w:rPr>
                <w:rFonts w:cs="Arial"/>
                <w:sz w:val="16"/>
                <w:szCs w:val="16"/>
                <w:lang w:eastAsia="en-US"/>
              </w:rPr>
            </w:pPr>
            <w:r w:rsidRPr="004D0DAA">
              <w:rPr>
                <w:rFonts w:cs="Arial"/>
                <w:sz w:val="16"/>
                <w:szCs w:val="16"/>
                <w:lang w:eastAsia="en-US"/>
              </w:rPr>
              <w:t>Miscellaneous EC-GSM-IoT Changes</w:t>
            </w:r>
          </w:p>
        </w:tc>
        <w:tc>
          <w:tcPr>
            <w:tcW w:w="754" w:type="dxa"/>
            <w:tcBorders>
              <w:top w:val="single" w:sz="4" w:space="0" w:color="auto"/>
              <w:left w:val="single" w:sz="4" w:space="0" w:color="auto"/>
              <w:bottom w:val="single" w:sz="4" w:space="0" w:color="auto"/>
              <w:right w:val="single" w:sz="4" w:space="0" w:color="auto"/>
            </w:tcBorders>
          </w:tcPr>
          <w:p w14:paraId="17E441DE"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13.3.0</w:t>
            </w:r>
          </w:p>
        </w:tc>
      </w:tr>
      <w:tr w:rsidR="00711444" w:rsidRPr="004D0DAA" w14:paraId="15AA8D29" w14:textId="77777777" w:rsidTr="00AA2A4C">
        <w:tc>
          <w:tcPr>
            <w:tcW w:w="1019" w:type="dxa"/>
            <w:tcBorders>
              <w:top w:val="single" w:sz="4" w:space="0" w:color="auto"/>
              <w:left w:val="single" w:sz="4" w:space="0" w:color="auto"/>
              <w:bottom w:val="single" w:sz="4" w:space="0" w:color="auto"/>
              <w:right w:val="single" w:sz="4" w:space="0" w:color="auto"/>
            </w:tcBorders>
          </w:tcPr>
          <w:p w14:paraId="14A02917"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2016-09</w:t>
            </w:r>
          </w:p>
        </w:tc>
        <w:tc>
          <w:tcPr>
            <w:tcW w:w="707" w:type="dxa"/>
            <w:tcBorders>
              <w:top w:val="single" w:sz="4" w:space="0" w:color="auto"/>
              <w:left w:val="single" w:sz="4" w:space="0" w:color="auto"/>
              <w:bottom w:val="single" w:sz="4" w:space="0" w:color="auto"/>
              <w:right w:val="single" w:sz="4" w:space="0" w:color="auto"/>
            </w:tcBorders>
          </w:tcPr>
          <w:p w14:paraId="5F551911"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RP-73</w:t>
            </w:r>
          </w:p>
        </w:tc>
        <w:tc>
          <w:tcPr>
            <w:tcW w:w="1133" w:type="dxa"/>
            <w:tcBorders>
              <w:top w:val="single" w:sz="4" w:space="0" w:color="auto"/>
              <w:left w:val="single" w:sz="4" w:space="0" w:color="auto"/>
              <w:bottom w:val="single" w:sz="4" w:space="0" w:color="auto"/>
              <w:right w:val="single" w:sz="4" w:space="0" w:color="auto"/>
            </w:tcBorders>
          </w:tcPr>
          <w:p w14:paraId="5EAF867A"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RP-161393</w:t>
            </w:r>
          </w:p>
        </w:tc>
        <w:tc>
          <w:tcPr>
            <w:tcW w:w="567" w:type="dxa"/>
            <w:tcBorders>
              <w:top w:val="single" w:sz="4" w:space="0" w:color="auto"/>
              <w:left w:val="single" w:sz="4" w:space="0" w:color="auto"/>
              <w:bottom w:val="single" w:sz="4" w:space="0" w:color="auto"/>
              <w:right w:val="single" w:sz="4" w:space="0" w:color="auto"/>
            </w:tcBorders>
          </w:tcPr>
          <w:p w14:paraId="0EC6E657"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1629</w:t>
            </w:r>
          </w:p>
        </w:tc>
        <w:tc>
          <w:tcPr>
            <w:tcW w:w="567" w:type="dxa"/>
            <w:tcBorders>
              <w:top w:val="single" w:sz="4" w:space="0" w:color="auto"/>
              <w:left w:val="single" w:sz="4" w:space="0" w:color="auto"/>
              <w:bottom w:val="single" w:sz="4" w:space="0" w:color="auto"/>
              <w:right w:val="single" w:sz="4" w:space="0" w:color="auto"/>
            </w:tcBorders>
          </w:tcPr>
          <w:p w14:paraId="7F7F6048"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549DB1B3"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40B7107F" w14:textId="77777777" w:rsidR="00711444" w:rsidRPr="004D0DAA" w:rsidRDefault="00711444" w:rsidP="00AA2A4C">
            <w:pPr>
              <w:pStyle w:val="TAL"/>
              <w:rPr>
                <w:rFonts w:cs="Arial"/>
                <w:sz w:val="16"/>
                <w:szCs w:val="16"/>
                <w:lang w:eastAsia="en-US"/>
              </w:rPr>
            </w:pPr>
            <w:r w:rsidRPr="004D0DAA">
              <w:rPr>
                <w:rFonts w:cs="Arial"/>
                <w:sz w:val="16"/>
                <w:szCs w:val="16"/>
                <w:lang w:eastAsia="en-US"/>
              </w:rPr>
              <w:t>Clarification of PEO Code Point Usage</w:t>
            </w:r>
          </w:p>
        </w:tc>
        <w:tc>
          <w:tcPr>
            <w:tcW w:w="754" w:type="dxa"/>
            <w:tcBorders>
              <w:top w:val="single" w:sz="4" w:space="0" w:color="auto"/>
              <w:left w:val="single" w:sz="4" w:space="0" w:color="auto"/>
              <w:bottom w:val="single" w:sz="4" w:space="0" w:color="auto"/>
              <w:right w:val="single" w:sz="4" w:space="0" w:color="auto"/>
            </w:tcBorders>
          </w:tcPr>
          <w:p w14:paraId="4A00A443"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13.3.0</w:t>
            </w:r>
          </w:p>
        </w:tc>
      </w:tr>
      <w:tr w:rsidR="00711444" w:rsidRPr="004D0DAA" w14:paraId="3C980F41" w14:textId="77777777" w:rsidTr="00AA2A4C">
        <w:tc>
          <w:tcPr>
            <w:tcW w:w="1019" w:type="dxa"/>
            <w:tcBorders>
              <w:top w:val="single" w:sz="4" w:space="0" w:color="auto"/>
              <w:left w:val="single" w:sz="4" w:space="0" w:color="auto"/>
              <w:bottom w:val="single" w:sz="4" w:space="0" w:color="auto"/>
              <w:right w:val="single" w:sz="4" w:space="0" w:color="auto"/>
            </w:tcBorders>
          </w:tcPr>
          <w:p w14:paraId="4AF62A2C"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2016-09</w:t>
            </w:r>
          </w:p>
        </w:tc>
        <w:tc>
          <w:tcPr>
            <w:tcW w:w="707" w:type="dxa"/>
            <w:tcBorders>
              <w:top w:val="single" w:sz="4" w:space="0" w:color="auto"/>
              <w:left w:val="single" w:sz="4" w:space="0" w:color="auto"/>
              <w:bottom w:val="single" w:sz="4" w:space="0" w:color="auto"/>
              <w:right w:val="single" w:sz="4" w:space="0" w:color="auto"/>
            </w:tcBorders>
          </w:tcPr>
          <w:p w14:paraId="60BCB060"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RP-73</w:t>
            </w:r>
          </w:p>
        </w:tc>
        <w:tc>
          <w:tcPr>
            <w:tcW w:w="1133" w:type="dxa"/>
            <w:tcBorders>
              <w:top w:val="single" w:sz="4" w:space="0" w:color="auto"/>
              <w:left w:val="single" w:sz="4" w:space="0" w:color="auto"/>
              <w:bottom w:val="single" w:sz="4" w:space="0" w:color="auto"/>
              <w:right w:val="single" w:sz="4" w:space="0" w:color="auto"/>
            </w:tcBorders>
          </w:tcPr>
          <w:p w14:paraId="41C73D46"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RP-161392</w:t>
            </w:r>
          </w:p>
        </w:tc>
        <w:tc>
          <w:tcPr>
            <w:tcW w:w="567" w:type="dxa"/>
            <w:tcBorders>
              <w:top w:val="single" w:sz="4" w:space="0" w:color="auto"/>
              <w:left w:val="single" w:sz="4" w:space="0" w:color="auto"/>
              <w:bottom w:val="single" w:sz="4" w:space="0" w:color="auto"/>
              <w:right w:val="single" w:sz="4" w:space="0" w:color="auto"/>
            </w:tcBorders>
          </w:tcPr>
          <w:p w14:paraId="13867D93"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1630</w:t>
            </w:r>
          </w:p>
        </w:tc>
        <w:tc>
          <w:tcPr>
            <w:tcW w:w="567" w:type="dxa"/>
            <w:tcBorders>
              <w:top w:val="single" w:sz="4" w:space="0" w:color="auto"/>
              <w:left w:val="single" w:sz="4" w:space="0" w:color="auto"/>
              <w:bottom w:val="single" w:sz="4" w:space="0" w:color="auto"/>
              <w:right w:val="single" w:sz="4" w:space="0" w:color="auto"/>
            </w:tcBorders>
          </w:tcPr>
          <w:p w14:paraId="298C2D65"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01B64FFD"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4A275DA6" w14:textId="77777777" w:rsidR="00711444" w:rsidRPr="004D0DAA" w:rsidRDefault="00711444" w:rsidP="00AA2A4C">
            <w:pPr>
              <w:pStyle w:val="TAL"/>
              <w:rPr>
                <w:rFonts w:cs="Arial"/>
                <w:sz w:val="16"/>
                <w:szCs w:val="16"/>
                <w:lang w:eastAsia="en-US"/>
              </w:rPr>
            </w:pPr>
            <w:r w:rsidRPr="004D0DAA">
              <w:rPr>
                <w:rFonts w:cs="Arial"/>
                <w:sz w:val="16"/>
                <w:szCs w:val="16"/>
                <w:lang w:eastAsia="en-US"/>
              </w:rPr>
              <w:t>Miscellaneous corrections to EC-GSM-IoT</w:t>
            </w:r>
          </w:p>
        </w:tc>
        <w:tc>
          <w:tcPr>
            <w:tcW w:w="754" w:type="dxa"/>
            <w:tcBorders>
              <w:top w:val="single" w:sz="4" w:space="0" w:color="auto"/>
              <w:left w:val="single" w:sz="4" w:space="0" w:color="auto"/>
              <w:bottom w:val="single" w:sz="4" w:space="0" w:color="auto"/>
              <w:right w:val="single" w:sz="4" w:space="0" w:color="auto"/>
            </w:tcBorders>
          </w:tcPr>
          <w:p w14:paraId="634080BF"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13.3.0</w:t>
            </w:r>
          </w:p>
        </w:tc>
      </w:tr>
      <w:tr w:rsidR="00711444" w:rsidRPr="004D0DAA" w14:paraId="39B849C4" w14:textId="77777777" w:rsidTr="00AA2A4C">
        <w:tc>
          <w:tcPr>
            <w:tcW w:w="1019" w:type="dxa"/>
            <w:tcBorders>
              <w:top w:val="single" w:sz="4" w:space="0" w:color="auto"/>
              <w:left w:val="single" w:sz="4" w:space="0" w:color="auto"/>
              <w:bottom w:val="single" w:sz="4" w:space="0" w:color="auto"/>
              <w:right w:val="single" w:sz="4" w:space="0" w:color="auto"/>
            </w:tcBorders>
          </w:tcPr>
          <w:p w14:paraId="308E11B9"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2016-09</w:t>
            </w:r>
          </w:p>
        </w:tc>
        <w:tc>
          <w:tcPr>
            <w:tcW w:w="707" w:type="dxa"/>
            <w:tcBorders>
              <w:top w:val="single" w:sz="4" w:space="0" w:color="auto"/>
              <w:left w:val="single" w:sz="4" w:space="0" w:color="auto"/>
              <w:bottom w:val="single" w:sz="4" w:space="0" w:color="auto"/>
              <w:right w:val="single" w:sz="4" w:space="0" w:color="auto"/>
            </w:tcBorders>
          </w:tcPr>
          <w:p w14:paraId="554AA944" w14:textId="77777777" w:rsidR="00711444" w:rsidRPr="004D0DAA" w:rsidRDefault="00711444" w:rsidP="00AA2A4C">
            <w:pPr>
              <w:pStyle w:val="TAL"/>
              <w:rPr>
                <w:rFonts w:cs="Arial"/>
                <w:sz w:val="16"/>
                <w:szCs w:val="16"/>
                <w:lang w:eastAsia="en-US"/>
              </w:rPr>
            </w:pPr>
          </w:p>
        </w:tc>
        <w:tc>
          <w:tcPr>
            <w:tcW w:w="1133" w:type="dxa"/>
            <w:tcBorders>
              <w:top w:val="single" w:sz="4" w:space="0" w:color="auto"/>
              <w:left w:val="single" w:sz="4" w:space="0" w:color="auto"/>
              <w:bottom w:val="single" w:sz="4" w:space="0" w:color="auto"/>
              <w:right w:val="single" w:sz="4" w:space="0" w:color="auto"/>
            </w:tcBorders>
          </w:tcPr>
          <w:p w14:paraId="2C4C8559" w14:textId="77777777" w:rsidR="00711444" w:rsidRPr="004D0DAA" w:rsidRDefault="00711444" w:rsidP="00AA2A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A4738A" w14:textId="77777777" w:rsidR="00711444" w:rsidRPr="004D0DAA" w:rsidRDefault="00711444" w:rsidP="00AA2A4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F11E31" w14:textId="77777777" w:rsidR="00711444" w:rsidRPr="004D0DAA" w:rsidRDefault="00711444" w:rsidP="00AA2A4C">
            <w:pPr>
              <w:pStyle w:val="TAL"/>
              <w:jc w:val="center"/>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E202C53" w14:textId="77777777" w:rsidR="00711444" w:rsidRPr="004D0DAA" w:rsidRDefault="00711444" w:rsidP="00AA2A4C">
            <w:pPr>
              <w:pStyle w:val="TAL"/>
              <w:rPr>
                <w:rFonts w:cs="Arial"/>
                <w:sz w:val="16"/>
                <w:szCs w:val="16"/>
                <w:lang w:eastAsia="en-US"/>
              </w:rPr>
            </w:pPr>
          </w:p>
        </w:tc>
        <w:tc>
          <w:tcPr>
            <w:tcW w:w="4346" w:type="dxa"/>
            <w:tcBorders>
              <w:top w:val="single" w:sz="4" w:space="0" w:color="auto"/>
              <w:left w:val="single" w:sz="4" w:space="0" w:color="auto"/>
              <w:bottom w:val="single" w:sz="4" w:space="0" w:color="auto"/>
              <w:right w:val="single" w:sz="4" w:space="0" w:color="auto"/>
            </w:tcBorders>
          </w:tcPr>
          <w:p w14:paraId="53511C8E" w14:textId="77777777" w:rsidR="00711444" w:rsidRPr="004D0DAA" w:rsidRDefault="00711444" w:rsidP="00AA2A4C">
            <w:pPr>
              <w:pStyle w:val="TAL"/>
              <w:rPr>
                <w:rFonts w:cs="Arial"/>
                <w:sz w:val="16"/>
                <w:szCs w:val="16"/>
                <w:lang w:eastAsia="en-US"/>
              </w:rPr>
            </w:pPr>
            <w:r w:rsidRPr="004D0DAA">
              <w:rPr>
                <w:rFonts w:cs="Arial"/>
                <w:sz w:val="16"/>
                <w:szCs w:val="16"/>
                <w:lang w:eastAsia="en-US"/>
              </w:rPr>
              <w:t>Editorial clean-up</w:t>
            </w:r>
          </w:p>
        </w:tc>
        <w:tc>
          <w:tcPr>
            <w:tcW w:w="754" w:type="dxa"/>
            <w:tcBorders>
              <w:top w:val="single" w:sz="4" w:space="0" w:color="auto"/>
              <w:left w:val="single" w:sz="4" w:space="0" w:color="auto"/>
              <w:bottom w:val="single" w:sz="4" w:space="0" w:color="auto"/>
              <w:right w:val="single" w:sz="4" w:space="0" w:color="auto"/>
            </w:tcBorders>
          </w:tcPr>
          <w:p w14:paraId="69C15A76"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13.3.1</w:t>
            </w:r>
          </w:p>
        </w:tc>
      </w:tr>
      <w:tr w:rsidR="00711444" w:rsidRPr="004D0DAA" w14:paraId="383282EC" w14:textId="77777777" w:rsidTr="00AA2A4C">
        <w:tc>
          <w:tcPr>
            <w:tcW w:w="1019" w:type="dxa"/>
            <w:tcBorders>
              <w:top w:val="single" w:sz="4" w:space="0" w:color="auto"/>
              <w:left w:val="single" w:sz="4" w:space="0" w:color="auto"/>
              <w:bottom w:val="single" w:sz="4" w:space="0" w:color="auto"/>
              <w:right w:val="single" w:sz="4" w:space="0" w:color="auto"/>
            </w:tcBorders>
          </w:tcPr>
          <w:p w14:paraId="6DF2C96E"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2016-12</w:t>
            </w:r>
          </w:p>
        </w:tc>
        <w:tc>
          <w:tcPr>
            <w:tcW w:w="707" w:type="dxa"/>
            <w:tcBorders>
              <w:top w:val="single" w:sz="4" w:space="0" w:color="auto"/>
              <w:left w:val="single" w:sz="4" w:space="0" w:color="auto"/>
              <w:bottom w:val="single" w:sz="4" w:space="0" w:color="auto"/>
              <w:right w:val="single" w:sz="4" w:space="0" w:color="auto"/>
            </w:tcBorders>
          </w:tcPr>
          <w:p w14:paraId="16266A03"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RP-74</w:t>
            </w:r>
          </w:p>
        </w:tc>
        <w:tc>
          <w:tcPr>
            <w:tcW w:w="1133" w:type="dxa"/>
            <w:tcBorders>
              <w:top w:val="single" w:sz="4" w:space="0" w:color="auto"/>
              <w:left w:val="single" w:sz="4" w:space="0" w:color="auto"/>
              <w:bottom w:val="single" w:sz="4" w:space="0" w:color="auto"/>
              <w:right w:val="single" w:sz="4" w:space="0" w:color="auto"/>
            </w:tcBorders>
          </w:tcPr>
          <w:p w14:paraId="5ABDC20A"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RP-162070</w:t>
            </w:r>
          </w:p>
        </w:tc>
        <w:tc>
          <w:tcPr>
            <w:tcW w:w="567" w:type="dxa"/>
            <w:tcBorders>
              <w:top w:val="single" w:sz="4" w:space="0" w:color="auto"/>
              <w:left w:val="single" w:sz="4" w:space="0" w:color="auto"/>
              <w:bottom w:val="single" w:sz="4" w:space="0" w:color="auto"/>
              <w:right w:val="single" w:sz="4" w:space="0" w:color="auto"/>
            </w:tcBorders>
          </w:tcPr>
          <w:p w14:paraId="3CC9E861"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1634</w:t>
            </w:r>
          </w:p>
        </w:tc>
        <w:tc>
          <w:tcPr>
            <w:tcW w:w="567" w:type="dxa"/>
            <w:tcBorders>
              <w:top w:val="single" w:sz="4" w:space="0" w:color="auto"/>
              <w:left w:val="single" w:sz="4" w:space="0" w:color="auto"/>
              <w:bottom w:val="single" w:sz="4" w:space="0" w:color="auto"/>
              <w:right w:val="single" w:sz="4" w:space="0" w:color="auto"/>
            </w:tcBorders>
          </w:tcPr>
          <w:p w14:paraId="28E4968C"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470535F"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443B4D89" w14:textId="77777777" w:rsidR="00711444" w:rsidRPr="004D0DAA" w:rsidRDefault="00711444" w:rsidP="00AA2A4C">
            <w:pPr>
              <w:pStyle w:val="TAL"/>
              <w:rPr>
                <w:rFonts w:cs="Arial"/>
                <w:sz w:val="16"/>
                <w:szCs w:val="16"/>
                <w:lang w:eastAsia="en-US"/>
              </w:rPr>
            </w:pPr>
            <w:r w:rsidRPr="004D0DAA">
              <w:rPr>
                <w:rFonts w:cs="Arial"/>
                <w:sz w:val="16"/>
                <w:szCs w:val="16"/>
                <w:lang w:eastAsia="en-US"/>
              </w:rPr>
              <w:t>Miscellaneous corrections to EC-GSM-IoT</w:t>
            </w:r>
          </w:p>
        </w:tc>
        <w:tc>
          <w:tcPr>
            <w:tcW w:w="754" w:type="dxa"/>
            <w:tcBorders>
              <w:top w:val="single" w:sz="4" w:space="0" w:color="auto"/>
              <w:left w:val="single" w:sz="4" w:space="0" w:color="auto"/>
              <w:bottom w:val="single" w:sz="4" w:space="0" w:color="auto"/>
              <w:right w:val="single" w:sz="4" w:space="0" w:color="auto"/>
            </w:tcBorders>
          </w:tcPr>
          <w:p w14:paraId="321A5B6F"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13.4.0</w:t>
            </w:r>
          </w:p>
        </w:tc>
      </w:tr>
      <w:tr w:rsidR="00711444" w:rsidRPr="004D0DAA" w14:paraId="6D495BE3" w14:textId="77777777" w:rsidTr="00AA2A4C">
        <w:tc>
          <w:tcPr>
            <w:tcW w:w="1019" w:type="dxa"/>
            <w:tcBorders>
              <w:top w:val="single" w:sz="4" w:space="0" w:color="auto"/>
              <w:left w:val="single" w:sz="4" w:space="0" w:color="auto"/>
              <w:bottom w:val="single" w:sz="4" w:space="0" w:color="auto"/>
              <w:right w:val="single" w:sz="4" w:space="0" w:color="auto"/>
            </w:tcBorders>
          </w:tcPr>
          <w:p w14:paraId="04D56A29"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2017-03</w:t>
            </w:r>
          </w:p>
        </w:tc>
        <w:tc>
          <w:tcPr>
            <w:tcW w:w="707" w:type="dxa"/>
            <w:tcBorders>
              <w:top w:val="single" w:sz="4" w:space="0" w:color="auto"/>
              <w:left w:val="single" w:sz="4" w:space="0" w:color="auto"/>
              <w:bottom w:val="single" w:sz="4" w:space="0" w:color="auto"/>
              <w:right w:val="single" w:sz="4" w:space="0" w:color="auto"/>
            </w:tcBorders>
          </w:tcPr>
          <w:p w14:paraId="0A5652E2"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RP-75</w:t>
            </w:r>
          </w:p>
        </w:tc>
        <w:tc>
          <w:tcPr>
            <w:tcW w:w="1133" w:type="dxa"/>
            <w:tcBorders>
              <w:top w:val="single" w:sz="4" w:space="0" w:color="auto"/>
              <w:left w:val="single" w:sz="4" w:space="0" w:color="auto"/>
              <w:bottom w:val="single" w:sz="4" w:space="0" w:color="auto"/>
              <w:right w:val="single" w:sz="4" w:space="0" w:color="auto"/>
            </w:tcBorders>
          </w:tcPr>
          <w:p w14:paraId="2CB64D1E"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RP-170063</w:t>
            </w:r>
          </w:p>
        </w:tc>
        <w:tc>
          <w:tcPr>
            <w:tcW w:w="567" w:type="dxa"/>
            <w:tcBorders>
              <w:top w:val="single" w:sz="4" w:space="0" w:color="auto"/>
              <w:left w:val="single" w:sz="4" w:space="0" w:color="auto"/>
              <w:bottom w:val="single" w:sz="4" w:space="0" w:color="auto"/>
              <w:right w:val="single" w:sz="4" w:space="0" w:color="auto"/>
            </w:tcBorders>
          </w:tcPr>
          <w:p w14:paraId="68B94765"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1640</w:t>
            </w:r>
          </w:p>
        </w:tc>
        <w:tc>
          <w:tcPr>
            <w:tcW w:w="567" w:type="dxa"/>
            <w:tcBorders>
              <w:top w:val="single" w:sz="4" w:space="0" w:color="auto"/>
              <w:left w:val="single" w:sz="4" w:space="0" w:color="auto"/>
              <w:bottom w:val="single" w:sz="4" w:space="0" w:color="auto"/>
              <w:right w:val="single" w:sz="4" w:space="0" w:color="auto"/>
            </w:tcBorders>
          </w:tcPr>
          <w:p w14:paraId="26F4E32E"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BC2E5C"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1D4B4050" w14:textId="77777777" w:rsidR="00711444" w:rsidRPr="004D0DAA" w:rsidRDefault="00711444" w:rsidP="00AA2A4C">
            <w:pPr>
              <w:pStyle w:val="TAL"/>
              <w:rPr>
                <w:rFonts w:cs="Arial"/>
                <w:sz w:val="16"/>
                <w:szCs w:val="16"/>
                <w:lang w:eastAsia="en-US"/>
              </w:rPr>
            </w:pPr>
            <w:r w:rsidRPr="004D0DAA">
              <w:rPr>
                <w:rFonts w:cs="Arial"/>
                <w:sz w:val="16"/>
                <w:szCs w:val="16"/>
                <w:lang w:eastAsia="en-US"/>
              </w:rPr>
              <w:t>Clarifying Order of B11 to B1 in in 11 Bit Access</w:t>
            </w:r>
          </w:p>
        </w:tc>
        <w:tc>
          <w:tcPr>
            <w:tcW w:w="754" w:type="dxa"/>
            <w:tcBorders>
              <w:top w:val="single" w:sz="4" w:space="0" w:color="auto"/>
              <w:left w:val="single" w:sz="4" w:space="0" w:color="auto"/>
              <w:bottom w:val="single" w:sz="4" w:space="0" w:color="auto"/>
              <w:right w:val="single" w:sz="4" w:space="0" w:color="auto"/>
            </w:tcBorders>
          </w:tcPr>
          <w:p w14:paraId="6AEEFC13" w14:textId="77777777" w:rsidR="00711444" w:rsidRPr="004D0DAA" w:rsidRDefault="00711444" w:rsidP="00AA2A4C">
            <w:pPr>
              <w:pStyle w:val="TAL"/>
              <w:rPr>
                <w:rFonts w:cs="Arial"/>
                <w:sz w:val="16"/>
                <w:szCs w:val="16"/>
                <w:lang w:eastAsia="en-US"/>
              </w:rPr>
            </w:pPr>
            <w:r w:rsidRPr="004D0DAA">
              <w:rPr>
                <w:rFonts w:cs="Arial"/>
                <w:sz w:val="16"/>
                <w:szCs w:val="16"/>
                <w:lang w:eastAsia="en-US"/>
              </w:rPr>
              <w:t>13.5.0</w:t>
            </w:r>
          </w:p>
        </w:tc>
      </w:tr>
      <w:tr w:rsidR="00711444" w:rsidRPr="004D0DAA" w14:paraId="5EDA294E" w14:textId="77777777" w:rsidTr="00AA2A4C">
        <w:tc>
          <w:tcPr>
            <w:tcW w:w="1019" w:type="dxa"/>
            <w:tcBorders>
              <w:top w:val="single" w:sz="4" w:space="0" w:color="auto"/>
              <w:left w:val="single" w:sz="4" w:space="0" w:color="auto"/>
              <w:bottom w:val="single" w:sz="4" w:space="0" w:color="auto"/>
              <w:right w:val="single" w:sz="4" w:space="0" w:color="auto"/>
            </w:tcBorders>
          </w:tcPr>
          <w:p w14:paraId="3256FE64"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2017-03</w:t>
            </w:r>
          </w:p>
        </w:tc>
        <w:tc>
          <w:tcPr>
            <w:tcW w:w="707" w:type="dxa"/>
            <w:tcBorders>
              <w:top w:val="single" w:sz="4" w:space="0" w:color="auto"/>
              <w:left w:val="single" w:sz="4" w:space="0" w:color="auto"/>
              <w:bottom w:val="single" w:sz="4" w:space="0" w:color="auto"/>
              <w:right w:val="single" w:sz="4" w:space="0" w:color="auto"/>
            </w:tcBorders>
          </w:tcPr>
          <w:p w14:paraId="4E69FD99"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RP-75</w:t>
            </w:r>
          </w:p>
        </w:tc>
        <w:tc>
          <w:tcPr>
            <w:tcW w:w="1133" w:type="dxa"/>
            <w:tcBorders>
              <w:top w:val="single" w:sz="4" w:space="0" w:color="auto"/>
              <w:left w:val="single" w:sz="4" w:space="0" w:color="auto"/>
              <w:bottom w:val="single" w:sz="4" w:space="0" w:color="auto"/>
              <w:right w:val="single" w:sz="4" w:space="0" w:color="auto"/>
            </w:tcBorders>
          </w:tcPr>
          <w:p w14:paraId="5332A40F"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RP-170061</w:t>
            </w:r>
          </w:p>
        </w:tc>
        <w:tc>
          <w:tcPr>
            <w:tcW w:w="567" w:type="dxa"/>
            <w:tcBorders>
              <w:top w:val="single" w:sz="4" w:space="0" w:color="auto"/>
              <w:left w:val="single" w:sz="4" w:space="0" w:color="auto"/>
              <w:bottom w:val="single" w:sz="4" w:space="0" w:color="auto"/>
              <w:right w:val="single" w:sz="4" w:space="0" w:color="auto"/>
            </w:tcBorders>
          </w:tcPr>
          <w:p w14:paraId="58CCA63E"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1635</w:t>
            </w:r>
          </w:p>
        </w:tc>
        <w:tc>
          <w:tcPr>
            <w:tcW w:w="567" w:type="dxa"/>
            <w:tcBorders>
              <w:top w:val="single" w:sz="4" w:space="0" w:color="auto"/>
              <w:left w:val="single" w:sz="4" w:space="0" w:color="auto"/>
              <w:bottom w:val="single" w:sz="4" w:space="0" w:color="auto"/>
              <w:right w:val="single" w:sz="4" w:space="0" w:color="auto"/>
            </w:tcBorders>
          </w:tcPr>
          <w:p w14:paraId="3E128DB6"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8D35C40" w14:textId="77777777" w:rsidR="00711444" w:rsidRPr="004D0DAA" w:rsidRDefault="00711444" w:rsidP="00AA2A4C">
            <w:pPr>
              <w:pStyle w:val="TAL"/>
              <w:rPr>
                <w:rFonts w:cs="Arial"/>
                <w:sz w:val="16"/>
                <w:szCs w:val="16"/>
                <w:lang w:eastAsia="en-US"/>
              </w:rPr>
            </w:pPr>
            <w:r w:rsidRPr="004D0DAA">
              <w:rPr>
                <w:rFonts w:cs="Arial"/>
                <w:sz w:val="16"/>
                <w:szCs w:val="16"/>
                <w:lang w:eastAsia="en-US"/>
              </w:rPr>
              <w:t>B</w:t>
            </w:r>
          </w:p>
        </w:tc>
        <w:tc>
          <w:tcPr>
            <w:tcW w:w="4346" w:type="dxa"/>
            <w:tcBorders>
              <w:top w:val="single" w:sz="4" w:space="0" w:color="auto"/>
              <w:left w:val="single" w:sz="4" w:space="0" w:color="auto"/>
              <w:bottom w:val="single" w:sz="4" w:space="0" w:color="auto"/>
              <w:right w:val="single" w:sz="4" w:space="0" w:color="auto"/>
            </w:tcBorders>
          </w:tcPr>
          <w:p w14:paraId="0F86FAFD" w14:textId="77777777" w:rsidR="00711444" w:rsidRPr="004D0DAA" w:rsidRDefault="00711444" w:rsidP="00AA2A4C">
            <w:pPr>
              <w:pStyle w:val="TAL"/>
              <w:rPr>
                <w:rFonts w:cs="Arial"/>
                <w:sz w:val="16"/>
                <w:szCs w:val="16"/>
                <w:lang w:eastAsia="en-US"/>
              </w:rPr>
            </w:pPr>
            <w:r w:rsidRPr="004D0DAA">
              <w:rPr>
                <w:rFonts w:cs="Arial"/>
                <w:sz w:val="16"/>
                <w:szCs w:val="16"/>
                <w:lang w:eastAsia="en-US"/>
              </w:rPr>
              <w:t>Introduction of Alternative Mappings for Higher Coverage Classes with 2 PDCHs</w:t>
            </w:r>
          </w:p>
        </w:tc>
        <w:tc>
          <w:tcPr>
            <w:tcW w:w="754" w:type="dxa"/>
            <w:tcBorders>
              <w:top w:val="single" w:sz="4" w:space="0" w:color="auto"/>
              <w:left w:val="single" w:sz="4" w:space="0" w:color="auto"/>
              <w:bottom w:val="single" w:sz="4" w:space="0" w:color="auto"/>
              <w:right w:val="single" w:sz="4" w:space="0" w:color="auto"/>
            </w:tcBorders>
          </w:tcPr>
          <w:p w14:paraId="4857796D"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14.0.0</w:t>
            </w:r>
          </w:p>
        </w:tc>
      </w:tr>
      <w:tr w:rsidR="00711444" w:rsidRPr="004D0DAA" w14:paraId="6A0D0A92" w14:textId="77777777" w:rsidTr="00AA2A4C">
        <w:tc>
          <w:tcPr>
            <w:tcW w:w="1019" w:type="dxa"/>
            <w:tcBorders>
              <w:top w:val="single" w:sz="4" w:space="0" w:color="auto"/>
              <w:left w:val="single" w:sz="4" w:space="0" w:color="auto"/>
              <w:bottom w:val="single" w:sz="4" w:space="0" w:color="auto"/>
              <w:right w:val="single" w:sz="4" w:space="0" w:color="auto"/>
            </w:tcBorders>
          </w:tcPr>
          <w:p w14:paraId="726F85F3"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2017-06</w:t>
            </w:r>
          </w:p>
        </w:tc>
        <w:tc>
          <w:tcPr>
            <w:tcW w:w="707" w:type="dxa"/>
            <w:tcBorders>
              <w:top w:val="single" w:sz="4" w:space="0" w:color="auto"/>
              <w:left w:val="single" w:sz="4" w:space="0" w:color="auto"/>
              <w:bottom w:val="single" w:sz="4" w:space="0" w:color="auto"/>
              <w:right w:val="single" w:sz="4" w:space="0" w:color="auto"/>
            </w:tcBorders>
          </w:tcPr>
          <w:p w14:paraId="3B72BBB4"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RP-76</w:t>
            </w:r>
          </w:p>
        </w:tc>
        <w:tc>
          <w:tcPr>
            <w:tcW w:w="1133" w:type="dxa"/>
            <w:tcBorders>
              <w:top w:val="single" w:sz="4" w:space="0" w:color="auto"/>
              <w:left w:val="single" w:sz="4" w:space="0" w:color="auto"/>
              <w:bottom w:val="single" w:sz="4" w:space="0" w:color="auto"/>
              <w:right w:val="single" w:sz="4" w:space="0" w:color="auto"/>
            </w:tcBorders>
          </w:tcPr>
          <w:p w14:paraId="3B97CF1E"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RP-170923</w:t>
            </w:r>
          </w:p>
        </w:tc>
        <w:tc>
          <w:tcPr>
            <w:tcW w:w="567" w:type="dxa"/>
            <w:tcBorders>
              <w:top w:val="single" w:sz="4" w:space="0" w:color="auto"/>
              <w:left w:val="single" w:sz="4" w:space="0" w:color="auto"/>
              <w:bottom w:val="single" w:sz="4" w:space="0" w:color="auto"/>
              <w:right w:val="single" w:sz="4" w:space="0" w:color="auto"/>
            </w:tcBorders>
          </w:tcPr>
          <w:p w14:paraId="49F18CDC"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1631</w:t>
            </w:r>
          </w:p>
        </w:tc>
        <w:tc>
          <w:tcPr>
            <w:tcW w:w="567" w:type="dxa"/>
            <w:tcBorders>
              <w:top w:val="single" w:sz="4" w:space="0" w:color="auto"/>
              <w:left w:val="single" w:sz="4" w:space="0" w:color="auto"/>
              <w:bottom w:val="single" w:sz="4" w:space="0" w:color="auto"/>
              <w:right w:val="single" w:sz="4" w:space="0" w:color="auto"/>
            </w:tcBorders>
          </w:tcPr>
          <w:p w14:paraId="52B5C164"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7</w:t>
            </w:r>
          </w:p>
        </w:tc>
        <w:tc>
          <w:tcPr>
            <w:tcW w:w="567" w:type="dxa"/>
            <w:tcBorders>
              <w:top w:val="single" w:sz="4" w:space="0" w:color="auto"/>
              <w:left w:val="single" w:sz="4" w:space="0" w:color="auto"/>
              <w:bottom w:val="single" w:sz="4" w:space="0" w:color="auto"/>
              <w:right w:val="single" w:sz="4" w:space="0" w:color="auto"/>
            </w:tcBorders>
          </w:tcPr>
          <w:p w14:paraId="21C901A1" w14:textId="77777777" w:rsidR="00711444" w:rsidRPr="004D0DAA" w:rsidRDefault="00711444" w:rsidP="00AA2A4C">
            <w:pPr>
              <w:pStyle w:val="TAL"/>
              <w:rPr>
                <w:rFonts w:cs="Arial"/>
                <w:sz w:val="16"/>
                <w:szCs w:val="16"/>
                <w:lang w:eastAsia="en-US"/>
              </w:rPr>
            </w:pPr>
            <w:r w:rsidRPr="004D0DAA">
              <w:rPr>
                <w:rFonts w:cs="Arial"/>
                <w:sz w:val="16"/>
                <w:szCs w:val="16"/>
                <w:lang w:eastAsia="en-US"/>
              </w:rPr>
              <w:t>B</w:t>
            </w:r>
          </w:p>
        </w:tc>
        <w:tc>
          <w:tcPr>
            <w:tcW w:w="4346" w:type="dxa"/>
            <w:tcBorders>
              <w:top w:val="single" w:sz="4" w:space="0" w:color="auto"/>
              <w:left w:val="single" w:sz="4" w:space="0" w:color="auto"/>
              <w:bottom w:val="single" w:sz="4" w:space="0" w:color="auto"/>
              <w:right w:val="single" w:sz="4" w:space="0" w:color="auto"/>
            </w:tcBorders>
          </w:tcPr>
          <w:p w14:paraId="37505155" w14:textId="77777777" w:rsidR="00711444" w:rsidRPr="004D0DAA" w:rsidRDefault="00711444" w:rsidP="00AA2A4C">
            <w:pPr>
              <w:pStyle w:val="TAL"/>
              <w:rPr>
                <w:rFonts w:cs="Arial"/>
                <w:sz w:val="16"/>
                <w:szCs w:val="16"/>
                <w:lang w:eastAsia="en-US"/>
              </w:rPr>
            </w:pPr>
            <w:r w:rsidRPr="004D0DAA">
              <w:rPr>
                <w:rFonts w:cs="Arial"/>
                <w:noProof/>
                <w:szCs w:val="18"/>
                <w:lang w:eastAsia="ko-KR"/>
              </w:rPr>
              <w:t>Introduction of Multilateration</w:t>
            </w:r>
          </w:p>
        </w:tc>
        <w:tc>
          <w:tcPr>
            <w:tcW w:w="754" w:type="dxa"/>
            <w:tcBorders>
              <w:top w:val="single" w:sz="4" w:space="0" w:color="auto"/>
              <w:left w:val="single" w:sz="4" w:space="0" w:color="auto"/>
              <w:bottom w:val="single" w:sz="4" w:space="0" w:color="auto"/>
              <w:right w:val="single" w:sz="4" w:space="0" w:color="auto"/>
            </w:tcBorders>
          </w:tcPr>
          <w:p w14:paraId="1F4D0D89"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14.1.0</w:t>
            </w:r>
          </w:p>
        </w:tc>
      </w:tr>
      <w:tr w:rsidR="00711444" w:rsidRPr="004D0DAA" w14:paraId="2B148AED" w14:textId="77777777" w:rsidTr="00AA2A4C">
        <w:tc>
          <w:tcPr>
            <w:tcW w:w="1019" w:type="dxa"/>
            <w:tcBorders>
              <w:top w:val="single" w:sz="4" w:space="0" w:color="auto"/>
              <w:left w:val="single" w:sz="4" w:space="0" w:color="auto"/>
              <w:bottom w:val="single" w:sz="4" w:space="0" w:color="auto"/>
              <w:right w:val="single" w:sz="4" w:space="0" w:color="auto"/>
            </w:tcBorders>
          </w:tcPr>
          <w:p w14:paraId="115B8006"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2017-06</w:t>
            </w:r>
          </w:p>
        </w:tc>
        <w:tc>
          <w:tcPr>
            <w:tcW w:w="707" w:type="dxa"/>
            <w:tcBorders>
              <w:top w:val="single" w:sz="4" w:space="0" w:color="auto"/>
              <w:left w:val="single" w:sz="4" w:space="0" w:color="auto"/>
              <w:bottom w:val="single" w:sz="4" w:space="0" w:color="auto"/>
              <w:right w:val="single" w:sz="4" w:space="0" w:color="auto"/>
            </w:tcBorders>
          </w:tcPr>
          <w:p w14:paraId="7E4B18C1"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RP-76</w:t>
            </w:r>
          </w:p>
        </w:tc>
        <w:tc>
          <w:tcPr>
            <w:tcW w:w="1133" w:type="dxa"/>
            <w:tcBorders>
              <w:top w:val="single" w:sz="4" w:space="0" w:color="auto"/>
              <w:left w:val="single" w:sz="4" w:space="0" w:color="auto"/>
              <w:bottom w:val="single" w:sz="4" w:space="0" w:color="auto"/>
              <w:right w:val="single" w:sz="4" w:space="0" w:color="auto"/>
            </w:tcBorders>
          </w:tcPr>
          <w:p w14:paraId="22019542"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RP-170924</w:t>
            </w:r>
          </w:p>
        </w:tc>
        <w:tc>
          <w:tcPr>
            <w:tcW w:w="567" w:type="dxa"/>
            <w:tcBorders>
              <w:top w:val="single" w:sz="4" w:space="0" w:color="auto"/>
              <w:left w:val="single" w:sz="4" w:space="0" w:color="auto"/>
              <w:bottom w:val="single" w:sz="4" w:space="0" w:color="auto"/>
              <w:right w:val="single" w:sz="4" w:space="0" w:color="auto"/>
            </w:tcBorders>
          </w:tcPr>
          <w:p w14:paraId="31C7C33E"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1639</w:t>
            </w:r>
          </w:p>
        </w:tc>
        <w:tc>
          <w:tcPr>
            <w:tcW w:w="567" w:type="dxa"/>
            <w:tcBorders>
              <w:top w:val="single" w:sz="4" w:space="0" w:color="auto"/>
              <w:left w:val="single" w:sz="4" w:space="0" w:color="auto"/>
              <w:bottom w:val="single" w:sz="4" w:space="0" w:color="auto"/>
              <w:right w:val="single" w:sz="4" w:space="0" w:color="auto"/>
            </w:tcBorders>
          </w:tcPr>
          <w:p w14:paraId="5799F930"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8F99435" w14:textId="77777777" w:rsidR="00711444" w:rsidRPr="004D0DAA" w:rsidRDefault="00711444" w:rsidP="00AA2A4C">
            <w:pPr>
              <w:pStyle w:val="TAL"/>
              <w:rPr>
                <w:rFonts w:cs="Arial"/>
                <w:sz w:val="16"/>
                <w:szCs w:val="16"/>
                <w:lang w:eastAsia="en-US"/>
              </w:rPr>
            </w:pPr>
            <w:r w:rsidRPr="004D0DAA">
              <w:rPr>
                <w:rFonts w:cs="Arial"/>
                <w:sz w:val="16"/>
                <w:szCs w:val="16"/>
                <w:lang w:eastAsia="en-US"/>
              </w:rPr>
              <w:t>B</w:t>
            </w:r>
          </w:p>
        </w:tc>
        <w:tc>
          <w:tcPr>
            <w:tcW w:w="4346" w:type="dxa"/>
            <w:tcBorders>
              <w:top w:val="single" w:sz="4" w:space="0" w:color="auto"/>
              <w:left w:val="single" w:sz="4" w:space="0" w:color="auto"/>
              <w:bottom w:val="single" w:sz="4" w:space="0" w:color="auto"/>
              <w:right w:val="single" w:sz="4" w:space="0" w:color="auto"/>
            </w:tcBorders>
          </w:tcPr>
          <w:p w14:paraId="29B79311" w14:textId="77777777" w:rsidR="00711444" w:rsidRPr="004D0DAA" w:rsidRDefault="00711444" w:rsidP="00AA2A4C">
            <w:pPr>
              <w:pStyle w:val="TAL"/>
              <w:rPr>
                <w:rFonts w:cs="Arial"/>
                <w:sz w:val="16"/>
                <w:szCs w:val="16"/>
                <w:lang w:eastAsia="en-US"/>
              </w:rPr>
            </w:pPr>
            <w:r w:rsidRPr="004D0DAA">
              <w:rPr>
                <w:rFonts w:cs="Arial"/>
                <w:noProof/>
                <w:szCs w:val="18"/>
                <w:lang w:eastAsia="ko-KR"/>
              </w:rPr>
              <w:t>Introduction of new UL coverage class CC5 for UL MCL improvement</w:t>
            </w:r>
          </w:p>
        </w:tc>
        <w:tc>
          <w:tcPr>
            <w:tcW w:w="754" w:type="dxa"/>
            <w:tcBorders>
              <w:top w:val="single" w:sz="4" w:space="0" w:color="auto"/>
              <w:left w:val="single" w:sz="4" w:space="0" w:color="auto"/>
              <w:bottom w:val="single" w:sz="4" w:space="0" w:color="auto"/>
              <w:right w:val="single" w:sz="4" w:space="0" w:color="auto"/>
            </w:tcBorders>
          </w:tcPr>
          <w:p w14:paraId="0291B68A"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14.1.0</w:t>
            </w:r>
          </w:p>
        </w:tc>
      </w:tr>
      <w:tr w:rsidR="00711444" w:rsidRPr="004D0DAA" w14:paraId="7A0B3F06" w14:textId="77777777" w:rsidTr="00AA2A4C">
        <w:tc>
          <w:tcPr>
            <w:tcW w:w="1019" w:type="dxa"/>
            <w:tcBorders>
              <w:top w:val="single" w:sz="4" w:space="0" w:color="auto"/>
              <w:left w:val="single" w:sz="4" w:space="0" w:color="auto"/>
              <w:bottom w:val="single" w:sz="4" w:space="0" w:color="auto"/>
              <w:right w:val="single" w:sz="4" w:space="0" w:color="auto"/>
            </w:tcBorders>
          </w:tcPr>
          <w:p w14:paraId="4E2261D1"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2017-06</w:t>
            </w:r>
          </w:p>
        </w:tc>
        <w:tc>
          <w:tcPr>
            <w:tcW w:w="707" w:type="dxa"/>
            <w:tcBorders>
              <w:top w:val="single" w:sz="4" w:space="0" w:color="auto"/>
              <w:left w:val="single" w:sz="4" w:space="0" w:color="auto"/>
              <w:bottom w:val="single" w:sz="4" w:space="0" w:color="auto"/>
              <w:right w:val="single" w:sz="4" w:space="0" w:color="auto"/>
            </w:tcBorders>
          </w:tcPr>
          <w:p w14:paraId="180F76DB"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RP-76</w:t>
            </w:r>
          </w:p>
        </w:tc>
        <w:tc>
          <w:tcPr>
            <w:tcW w:w="1133" w:type="dxa"/>
            <w:tcBorders>
              <w:top w:val="single" w:sz="4" w:space="0" w:color="auto"/>
              <w:left w:val="single" w:sz="4" w:space="0" w:color="auto"/>
              <w:bottom w:val="single" w:sz="4" w:space="0" w:color="auto"/>
              <w:right w:val="single" w:sz="4" w:space="0" w:color="auto"/>
            </w:tcBorders>
          </w:tcPr>
          <w:p w14:paraId="244F6090"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RP-170925</w:t>
            </w:r>
          </w:p>
        </w:tc>
        <w:tc>
          <w:tcPr>
            <w:tcW w:w="567" w:type="dxa"/>
            <w:tcBorders>
              <w:top w:val="single" w:sz="4" w:space="0" w:color="auto"/>
              <w:left w:val="single" w:sz="4" w:space="0" w:color="auto"/>
              <w:bottom w:val="single" w:sz="4" w:space="0" w:color="auto"/>
              <w:right w:val="single" w:sz="4" w:space="0" w:color="auto"/>
            </w:tcBorders>
          </w:tcPr>
          <w:p w14:paraId="14384636"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1641</w:t>
            </w:r>
          </w:p>
        </w:tc>
        <w:tc>
          <w:tcPr>
            <w:tcW w:w="567" w:type="dxa"/>
            <w:tcBorders>
              <w:top w:val="single" w:sz="4" w:space="0" w:color="auto"/>
              <w:left w:val="single" w:sz="4" w:space="0" w:color="auto"/>
              <w:bottom w:val="single" w:sz="4" w:space="0" w:color="auto"/>
              <w:right w:val="single" w:sz="4" w:space="0" w:color="auto"/>
            </w:tcBorders>
          </w:tcPr>
          <w:p w14:paraId="4DEA4D8C"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0ADDC16"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18E104DF" w14:textId="77777777" w:rsidR="00711444" w:rsidRPr="004D0DAA" w:rsidRDefault="00711444" w:rsidP="00AA2A4C">
            <w:pPr>
              <w:pStyle w:val="TAL"/>
              <w:rPr>
                <w:rFonts w:cs="Arial"/>
                <w:sz w:val="16"/>
                <w:szCs w:val="16"/>
                <w:lang w:eastAsia="en-US"/>
              </w:rPr>
            </w:pPr>
            <w:r w:rsidRPr="004D0DAA">
              <w:rPr>
                <w:rFonts w:cs="Arial"/>
                <w:noProof/>
                <w:szCs w:val="18"/>
                <w:lang w:eastAsia="ko-KR"/>
              </w:rPr>
              <w:t>Introduction of enhanced DECOR for GERAN</w:t>
            </w:r>
          </w:p>
        </w:tc>
        <w:tc>
          <w:tcPr>
            <w:tcW w:w="754" w:type="dxa"/>
            <w:tcBorders>
              <w:top w:val="single" w:sz="4" w:space="0" w:color="auto"/>
              <w:left w:val="single" w:sz="4" w:space="0" w:color="auto"/>
              <w:bottom w:val="single" w:sz="4" w:space="0" w:color="auto"/>
              <w:right w:val="single" w:sz="4" w:space="0" w:color="auto"/>
            </w:tcBorders>
          </w:tcPr>
          <w:p w14:paraId="0B84A06D"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14.1.0</w:t>
            </w:r>
          </w:p>
        </w:tc>
      </w:tr>
      <w:tr w:rsidR="00711444" w:rsidRPr="004D0DAA" w14:paraId="0F47368C" w14:textId="77777777" w:rsidTr="00AA2A4C">
        <w:tc>
          <w:tcPr>
            <w:tcW w:w="1019" w:type="dxa"/>
            <w:tcBorders>
              <w:top w:val="single" w:sz="4" w:space="0" w:color="auto"/>
              <w:left w:val="single" w:sz="4" w:space="0" w:color="auto"/>
              <w:bottom w:val="single" w:sz="4" w:space="0" w:color="auto"/>
              <w:right w:val="single" w:sz="4" w:space="0" w:color="auto"/>
            </w:tcBorders>
          </w:tcPr>
          <w:p w14:paraId="1C7DC9AF"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2017-09</w:t>
            </w:r>
          </w:p>
        </w:tc>
        <w:tc>
          <w:tcPr>
            <w:tcW w:w="707" w:type="dxa"/>
            <w:tcBorders>
              <w:top w:val="single" w:sz="4" w:space="0" w:color="auto"/>
              <w:left w:val="single" w:sz="4" w:space="0" w:color="auto"/>
              <w:bottom w:val="single" w:sz="4" w:space="0" w:color="auto"/>
              <w:right w:val="single" w:sz="4" w:space="0" w:color="auto"/>
            </w:tcBorders>
          </w:tcPr>
          <w:p w14:paraId="20AF05D5"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RP-77</w:t>
            </w:r>
          </w:p>
        </w:tc>
        <w:tc>
          <w:tcPr>
            <w:tcW w:w="1133" w:type="dxa"/>
            <w:tcBorders>
              <w:top w:val="single" w:sz="4" w:space="0" w:color="auto"/>
              <w:left w:val="single" w:sz="4" w:space="0" w:color="auto"/>
              <w:bottom w:val="single" w:sz="4" w:space="0" w:color="auto"/>
              <w:right w:val="single" w:sz="4" w:space="0" w:color="auto"/>
            </w:tcBorders>
          </w:tcPr>
          <w:p w14:paraId="757F8C40"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RP-171593</w:t>
            </w:r>
          </w:p>
        </w:tc>
        <w:tc>
          <w:tcPr>
            <w:tcW w:w="567" w:type="dxa"/>
            <w:tcBorders>
              <w:top w:val="single" w:sz="4" w:space="0" w:color="auto"/>
              <w:left w:val="single" w:sz="4" w:space="0" w:color="auto"/>
              <w:bottom w:val="single" w:sz="4" w:space="0" w:color="auto"/>
              <w:right w:val="single" w:sz="4" w:space="0" w:color="auto"/>
            </w:tcBorders>
          </w:tcPr>
          <w:p w14:paraId="39346537"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1642</w:t>
            </w:r>
          </w:p>
        </w:tc>
        <w:tc>
          <w:tcPr>
            <w:tcW w:w="567" w:type="dxa"/>
            <w:tcBorders>
              <w:top w:val="single" w:sz="4" w:space="0" w:color="auto"/>
              <w:left w:val="single" w:sz="4" w:space="0" w:color="auto"/>
              <w:bottom w:val="single" w:sz="4" w:space="0" w:color="auto"/>
              <w:right w:val="single" w:sz="4" w:space="0" w:color="auto"/>
            </w:tcBorders>
          </w:tcPr>
          <w:p w14:paraId="2A1BD376"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88C1F9A"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02A5003C" w14:textId="77777777" w:rsidR="00711444" w:rsidRPr="004D0DAA" w:rsidRDefault="00711444" w:rsidP="00AA2A4C">
            <w:pPr>
              <w:pStyle w:val="TAL"/>
              <w:rPr>
                <w:rFonts w:cs="Arial"/>
                <w:noProof/>
                <w:szCs w:val="18"/>
                <w:lang w:eastAsia="ko-KR"/>
              </w:rPr>
            </w:pPr>
            <w:r w:rsidRPr="004D0DAA">
              <w:rPr>
                <w:rFonts w:cs="Arial"/>
                <w:noProof/>
                <w:szCs w:val="18"/>
                <w:lang w:eastAsia="ko-KR"/>
              </w:rPr>
              <w:t>Handling of PCCN message including a 3G CCN Measurement Report with no available 3G neighbour cell report</w:t>
            </w:r>
          </w:p>
        </w:tc>
        <w:tc>
          <w:tcPr>
            <w:tcW w:w="754" w:type="dxa"/>
            <w:tcBorders>
              <w:top w:val="single" w:sz="4" w:space="0" w:color="auto"/>
              <w:left w:val="single" w:sz="4" w:space="0" w:color="auto"/>
              <w:bottom w:val="single" w:sz="4" w:space="0" w:color="auto"/>
              <w:right w:val="single" w:sz="4" w:space="0" w:color="auto"/>
            </w:tcBorders>
          </w:tcPr>
          <w:p w14:paraId="0F06B47F"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14.2.0</w:t>
            </w:r>
          </w:p>
        </w:tc>
      </w:tr>
      <w:tr w:rsidR="00711444" w:rsidRPr="004D0DAA" w14:paraId="7941D99D" w14:textId="77777777" w:rsidTr="00AA2A4C">
        <w:tc>
          <w:tcPr>
            <w:tcW w:w="1019" w:type="dxa"/>
            <w:tcBorders>
              <w:top w:val="single" w:sz="4" w:space="0" w:color="auto"/>
              <w:left w:val="single" w:sz="4" w:space="0" w:color="auto"/>
              <w:bottom w:val="single" w:sz="4" w:space="0" w:color="auto"/>
              <w:right w:val="single" w:sz="4" w:space="0" w:color="auto"/>
            </w:tcBorders>
          </w:tcPr>
          <w:p w14:paraId="3A044B23"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2017-09</w:t>
            </w:r>
          </w:p>
        </w:tc>
        <w:tc>
          <w:tcPr>
            <w:tcW w:w="707" w:type="dxa"/>
            <w:tcBorders>
              <w:top w:val="single" w:sz="4" w:space="0" w:color="auto"/>
              <w:left w:val="single" w:sz="4" w:space="0" w:color="auto"/>
              <w:bottom w:val="single" w:sz="4" w:space="0" w:color="auto"/>
              <w:right w:val="single" w:sz="4" w:space="0" w:color="auto"/>
            </w:tcBorders>
          </w:tcPr>
          <w:p w14:paraId="51C352FC"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RP-77</w:t>
            </w:r>
          </w:p>
        </w:tc>
        <w:tc>
          <w:tcPr>
            <w:tcW w:w="1133" w:type="dxa"/>
            <w:tcBorders>
              <w:top w:val="single" w:sz="4" w:space="0" w:color="auto"/>
              <w:left w:val="single" w:sz="4" w:space="0" w:color="auto"/>
              <w:bottom w:val="single" w:sz="4" w:space="0" w:color="auto"/>
              <w:right w:val="single" w:sz="4" w:space="0" w:color="auto"/>
            </w:tcBorders>
          </w:tcPr>
          <w:p w14:paraId="4D535C25"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RP-171597</w:t>
            </w:r>
          </w:p>
        </w:tc>
        <w:tc>
          <w:tcPr>
            <w:tcW w:w="567" w:type="dxa"/>
            <w:tcBorders>
              <w:top w:val="single" w:sz="4" w:space="0" w:color="auto"/>
              <w:left w:val="single" w:sz="4" w:space="0" w:color="auto"/>
              <w:bottom w:val="single" w:sz="4" w:space="0" w:color="auto"/>
              <w:right w:val="single" w:sz="4" w:space="0" w:color="auto"/>
            </w:tcBorders>
          </w:tcPr>
          <w:p w14:paraId="1202E60A"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1643</w:t>
            </w:r>
          </w:p>
        </w:tc>
        <w:tc>
          <w:tcPr>
            <w:tcW w:w="567" w:type="dxa"/>
            <w:tcBorders>
              <w:top w:val="single" w:sz="4" w:space="0" w:color="auto"/>
              <w:left w:val="single" w:sz="4" w:space="0" w:color="auto"/>
              <w:bottom w:val="single" w:sz="4" w:space="0" w:color="auto"/>
              <w:right w:val="single" w:sz="4" w:space="0" w:color="auto"/>
            </w:tcBorders>
          </w:tcPr>
          <w:p w14:paraId="143FC502"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D759A1E" w14:textId="77777777" w:rsidR="00711444" w:rsidRPr="004D0DAA" w:rsidRDefault="00711444" w:rsidP="00AA2A4C">
            <w:pPr>
              <w:pStyle w:val="TAL"/>
              <w:rPr>
                <w:rFonts w:cs="Arial"/>
                <w:sz w:val="16"/>
                <w:szCs w:val="16"/>
                <w:lang w:eastAsia="en-US"/>
              </w:rPr>
            </w:pPr>
            <w:r w:rsidRPr="004D0DAA">
              <w:rPr>
                <w:rFonts w:cs="Arial"/>
                <w:sz w:val="16"/>
                <w:szCs w:val="16"/>
                <w:lang w:eastAsia="en-US"/>
              </w:rPr>
              <w:t>A</w:t>
            </w:r>
          </w:p>
        </w:tc>
        <w:tc>
          <w:tcPr>
            <w:tcW w:w="4346" w:type="dxa"/>
            <w:tcBorders>
              <w:top w:val="single" w:sz="4" w:space="0" w:color="auto"/>
              <w:left w:val="single" w:sz="4" w:space="0" w:color="auto"/>
              <w:bottom w:val="single" w:sz="4" w:space="0" w:color="auto"/>
              <w:right w:val="single" w:sz="4" w:space="0" w:color="auto"/>
            </w:tcBorders>
          </w:tcPr>
          <w:p w14:paraId="53A65A2C" w14:textId="77777777" w:rsidR="00711444" w:rsidRPr="004D0DAA" w:rsidRDefault="00711444" w:rsidP="00AA2A4C">
            <w:pPr>
              <w:pStyle w:val="TAL"/>
              <w:rPr>
                <w:rFonts w:cs="Arial"/>
                <w:noProof/>
                <w:szCs w:val="18"/>
                <w:lang w:eastAsia="ko-KR"/>
              </w:rPr>
            </w:pPr>
            <w:r w:rsidRPr="004D0DAA">
              <w:rPr>
                <w:rFonts w:cs="Arial"/>
                <w:noProof/>
                <w:szCs w:val="18"/>
                <w:lang w:eastAsia="ko-KR"/>
              </w:rPr>
              <w:t>Removing References to 44.160 and 44.118 (Iu mode)</w:t>
            </w:r>
          </w:p>
        </w:tc>
        <w:tc>
          <w:tcPr>
            <w:tcW w:w="754" w:type="dxa"/>
            <w:tcBorders>
              <w:top w:val="single" w:sz="4" w:space="0" w:color="auto"/>
              <w:left w:val="single" w:sz="4" w:space="0" w:color="auto"/>
              <w:bottom w:val="single" w:sz="4" w:space="0" w:color="auto"/>
              <w:right w:val="single" w:sz="4" w:space="0" w:color="auto"/>
            </w:tcBorders>
          </w:tcPr>
          <w:p w14:paraId="2FDE2BC4"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14.2.0</w:t>
            </w:r>
          </w:p>
        </w:tc>
      </w:tr>
      <w:tr w:rsidR="00711444" w:rsidRPr="004D0DAA" w14:paraId="603F0FA0" w14:textId="77777777" w:rsidTr="00483DA2">
        <w:tc>
          <w:tcPr>
            <w:tcW w:w="1019" w:type="dxa"/>
            <w:tcBorders>
              <w:top w:val="single" w:sz="4" w:space="0" w:color="auto"/>
              <w:left w:val="single" w:sz="4" w:space="0" w:color="auto"/>
              <w:bottom w:val="single" w:sz="4" w:space="0" w:color="auto"/>
              <w:right w:val="single" w:sz="4" w:space="0" w:color="auto"/>
            </w:tcBorders>
          </w:tcPr>
          <w:p w14:paraId="6E464CF3"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2017-09</w:t>
            </w:r>
          </w:p>
        </w:tc>
        <w:tc>
          <w:tcPr>
            <w:tcW w:w="707" w:type="dxa"/>
            <w:tcBorders>
              <w:top w:val="single" w:sz="4" w:space="0" w:color="auto"/>
              <w:left w:val="single" w:sz="4" w:space="0" w:color="auto"/>
              <w:bottom w:val="single" w:sz="4" w:space="0" w:color="auto"/>
              <w:right w:val="single" w:sz="4" w:space="0" w:color="auto"/>
            </w:tcBorders>
          </w:tcPr>
          <w:p w14:paraId="1A02FC4B"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RP-77</w:t>
            </w:r>
          </w:p>
        </w:tc>
        <w:tc>
          <w:tcPr>
            <w:tcW w:w="1133" w:type="dxa"/>
            <w:tcBorders>
              <w:top w:val="single" w:sz="4" w:space="0" w:color="auto"/>
              <w:left w:val="single" w:sz="4" w:space="0" w:color="auto"/>
              <w:bottom w:val="single" w:sz="4" w:space="0" w:color="auto"/>
              <w:right w:val="single" w:sz="4" w:space="0" w:color="auto"/>
            </w:tcBorders>
          </w:tcPr>
          <w:p w14:paraId="7F958004"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RP-171594</w:t>
            </w:r>
          </w:p>
        </w:tc>
        <w:tc>
          <w:tcPr>
            <w:tcW w:w="567" w:type="dxa"/>
            <w:tcBorders>
              <w:top w:val="single" w:sz="4" w:space="0" w:color="auto"/>
              <w:left w:val="single" w:sz="4" w:space="0" w:color="auto"/>
              <w:bottom w:val="single" w:sz="4" w:space="0" w:color="auto"/>
              <w:right w:val="single" w:sz="4" w:space="0" w:color="auto"/>
            </w:tcBorders>
          </w:tcPr>
          <w:p w14:paraId="255D1131"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1646</w:t>
            </w:r>
          </w:p>
        </w:tc>
        <w:tc>
          <w:tcPr>
            <w:tcW w:w="567" w:type="dxa"/>
            <w:tcBorders>
              <w:top w:val="single" w:sz="4" w:space="0" w:color="auto"/>
              <w:left w:val="single" w:sz="4" w:space="0" w:color="auto"/>
              <w:bottom w:val="single" w:sz="4" w:space="0" w:color="auto"/>
              <w:right w:val="single" w:sz="4" w:space="0" w:color="auto"/>
            </w:tcBorders>
          </w:tcPr>
          <w:p w14:paraId="7E694277"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727BBE1"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3A5F68E7" w14:textId="77777777" w:rsidR="00711444" w:rsidRPr="004D0DAA" w:rsidRDefault="00711444" w:rsidP="00AA2A4C">
            <w:pPr>
              <w:pStyle w:val="TAL"/>
              <w:rPr>
                <w:rFonts w:cs="Arial"/>
                <w:noProof/>
                <w:szCs w:val="18"/>
                <w:lang w:eastAsia="ko-KR"/>
              </w:rPr>
            </w:pPr>
            <w:r w:rsidRPr="004D0DAA">
              <w:rPr>
                <w:rFonts w:cs="Arial"/>
                <w:noProof/>
                <w:szCs w:val="18"/>
                <w:lang w:eastAsia="ko-KR"/>
              </w:rPr>
              <w:t>Corrections to Figures 10.3a.2.1.1 and 10.3a.2.2.1</w:t>
            </w:r>
          </w:p>
        </w:tc>
        <w:tc>
          <w:tcPr>
            <w:tcW w:w="754" w:type="dxa"/>
            <w:tcBorders>
              <w:top w:val="single" w:sz="4" w:space="0" w:color="auto"/>
              <w:left w:val="single" w:sz="4" w:space="0" w:color="auto"/>
              <w:bottom w:val="single" w:sz="4" w:space="0" w:color="auto"/>
              <w:right w:val="single" w:sz="4" w:space="0" w:color="auto"/>
            </w:tcBorders>
          </w:tcPr>
          <w:p w14:paraId="7948284D"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14.2.0</w:t>
            </w:r>
          </w:p>
        </w:tc>
      </w:tr>
      <w:tr w:rsidR="00711444" w:rsidRPr="004D0DAA" w14:paraId="638FAA48" w14:textId="77777777" w:rsidTr="00483DA2">
        <w:tc>
          <w:tcPr>
            <w:tcW w:w="1019" w:type="dxa"/>
            <w:tcBorders>
              <w:top w:val="single" w:sz="4" w:space="0" w:color="auto"/>
              <w:left w:val="single" w:sz="4" w:space="0" w:color="auto"/>
              <w:bottom w:val="single" w:sz="4" w:space="0" w:color="auto"/>
              <w:right w:val="single" w:sz="4" w:space="0" w:color="auto"/>
            </w:tcBorders>
          </w:tcPr>
          <w:p w14:paraId="6E475E7D" w14:textId="77777777" w:rsidR="00711444" w:rsidRPr="004D0DAA" w:rsidRDefault="00711444" w:rsidP="00AA2A4C">
            <w:pPr>
              <w:pStyle w:val="TAL"/>
              <w:rPr>
                <w:rFonts w:cs="Arial"/>
                <w:sz w:val="16"/>
                <w:szCs w:val="16"/>
                <w:lang w:eastAsia="en-US"/>
              </w:rPr>
            </w:pPr>
            <w:r w:rsidRPr="004D0DAA">
              <w:rPr>
                <w:rFonts w:cs="Arial"/>
                <w:sz w:val="16"/>
                <w:szCs w:val="16"/>
                <w:lang w:eastAsia="en-US"/>
              </w:rPr>
              <w:t>2017-0</w:t>
            </w:r>
            <w:r w:rsidR="00483DA2" w:rsidRPr="004D0DAA">
              <w:rPr>
                <w:rFonts w:cs="Arial"/>
                <w:sz w:val="16"/>
                <w:szCs w:val="16"/>
                <w:lang w:eastAsia="en-US"/>
              </w:rPr>
              <w:t>9</w:t>
            </w:r>
          </w:p>
        </w:tc>
        <w:tc>
          <w:tcPr>
            <w:tcW w:w="707" w:type="dxa"/>
            <w:tcBorders>
              <w:top w:val="single" w:sz="4" w:space="0" w:color="auto"/>
              <w:left w:val="single" w:sz="4" w:space="0" w:color="auto"/>
              <w:bottom w:val="single" w:sz="4" w:space="0" w:color="auto"/>
              <w:right w:val="single" w:sz="4" w:space="0" w:color="auto"/>
            </w:tcBorders>
          </w:tcPr>
          <w:p w14:paraId="4300DACB"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RP-77</w:t>
            </w:r>
          </w:p>
        </w:tc>
        <w:tc>
          <w:tcPr>
            <w:tcW w:w="1133" w:type="dxa"/>
            <w:tcBorders>
              <w:top w:val="single" w:sz="4" w:space="0" w:color="auto"/>
              <w:left w:val="single" w:sz="4" w:space="0" w:color="auto"/>
              <w:bottom w:val="single" w:sz="4" w:space="0" w:color="auto"/>
              <w:right w:val="single" w:sz="4" w:space="0" w:color="auto"/>
            </w:tcBorders>
          </w:tcPr>
          <w:p w14:paraId="12D6817B" w14:textId="77777777" w:rsidR="00711444" w:rsidRPr="004D0DAA" w:rsidRDefault="00711444" w:rsidP="00AA2A4C">
            <w:pPr>
              <w:pStyle w:val="TAL"/>
              <w:rPr>
                <w:rFonts w:cs="Arial"/>
                <w:sz w:val="16"/>
                <w:szCs w:val="16"/>
                <w:lang w:eastAsia="en-US"/>
              </w:rPr>
            </w:pPr>
            <w:r w:rsidRPr="004D0DAA">
              <w:rPr>
                <w:rFonts w:cs="Arial"/>
                <w:sz w:val="16"/>
                <w:szCs w:val="16"/>
                <w:lang w:eastAsia="en-US"/>
              </w:rPr>
              <w:t>RP-171593</w:t>
            </w:r>
          </w:p>
        </w:tc>
        <w:tc>
          <w:tcPr>
            <w:tcW w:w="567" w:type="dxa"/>
            <w:tcBorders>
              <w:top w:val="single" w:sz="4" w:space="0" w:color="auto"/>
              <w:left w:val="single" w:sz="4" w:space="0" w:color="auto"/>
              <w:bottom w:val="single" w:sz="4" w:space="0" w:color="auto"/>
              <w:right w:val="single" w:sz="4" w:space="0" w:color="auto"/>
            </w:tcBorders>
          </w:tcPr>
          <w:p w14:paraId="4A31F618" w14:textId="77777777" w:rsidR="00711444" w:rsidRPr="004D0DAA" w:rsidRDefault="00711444" w:rsidP="00AA2A4C">
            <w:pPr>
              <w:pStyle w:val="TAL"/>
              <w:rPr>
                <w:rFonts w:cs="Arial"/>
                <w:sz w:val="16"/>
                <w:szCs w:val="16"/>
                <w:lang w:eastAsia="en-US"/>
              </w:rPr>
            </w:pPr>
            <w:r w:rsidRPr="004D0DAA">
              <w:rPr>
                <w:rFonts w:cs="Arial"/>
                <w:sz w:val="16"/>
                <w:szCs w:val="16"/>
                <w:lang w:eastAsia="en-US"/>
              </w:rPr>
              <w:t>1647</w:t>
            </w:r>
          </w:p>
        </w:tc>
        <w:tc>
          <w:tcPr>
            <w:tcW w:w="567" w:type="dxa"/>
            <w:tcBorders>
              <w:top w:val="single" w:sz="4" w:space="0" w:color="auto"/>
              <w:left w:val="single" w:sz="4" w:space="0" w:color="auto"/>
              <w:bottom w:val="single" w:sz="4" w:space="0" w:color="auto"/>
              <w:right w:val="single" w:sz="4" w:space="0" w:color="auto"/>
            </w:tcBorders>
          </w:tcPr>
          <w:p w14:paraId="79BAC936" w14:textId="77777777" w:rsidR="00711444" w:rsidRPr="004D0DAA" w:rsidRDefault="00711444" w:rsidP="00AA2A4C">
            <w:pPr>
              <w:pStyle w:val="TAL"/>
              <w:jc w:val="center"/>
              <w:rPr>
                <w:rFonts w:cs="Arial"/>
                <w:sz w:val="16"/>
                <w:szCs w:val="16"/>
                <w:lang w:eastAsia="en-US"/>
              </w:rPr>
            </w:pPr>
            <w:r w:rsidRPr="004D0DAA">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DC61C4C" w14:textId="77777777" w:rsidR="00711444" w:rsidRPr="004D0DAA" w:rsidRDefault="00711444" w:rsidP="00AA2A4C">
            <w:pPr>
              <w:pStyle w:val="TAL"/>
              <w:rPr>
                <w:rFonts w:cs="Arial"/>
                <w:sz w:val="16"/>
                <w:szCs w:val="16"/>
                <w:lang w:eastAsia="en-US"/>
              </w:rPr>
            </w:pPr>
            <w:r w:rsidRPr="004D0DAA">
              <w:rPr>
                <w:rFonts w:cs="Arial"/>
                <w:sz w:val="16"/>
                <w:szCs w:val="16"/>
                <w:lang w:eastAsia="en-US"/>
              </w:rPr>
              <w:t>F</w:t>
            </w:r>
          </w:p>
        </w:tc>
        <w:tc>
          <w:tcPr>
            <w:tcW w:w="4346" w:type="dxa"/>
            <w:tcBorders>
              <w:top w:val="single" w:sz="4" w:space="0" w:color="auto"/>
              <w:left w:val="single" w:sz="4" w:space="0" w:color="auto"/>
              <w:bottom w:val="single" w:sz="4" w:space="0" w:color="auto"/>
              <w:right w:val="single" w:sz="4" w:space="0" w:color="auto"/>
            </w:tcBorders>
          </w:tcPr>
          <w:p w14:paraId="043856DF" w14:textId="77777777" w:rsidR="00711444" w:rsidRPr="004D0DAA" w:rsidRDefault="00711444" w:rsidP="00AA2A4C">
            <w:pPr>
              <w:pStyle w:val="TAL"/>
              <w:rPr>
                <w:rFonts w:cs="Arial"/>
                <w:noProof/>
                <w:szCs w:val="18"/>
                <w:lang w:eastAsia="ko-KR"/>
              </w:rPr>
            </w:pPr>
            <w:r w:rsidRPr="004D0DAA">
              <w:rPr>
                <w:noProof/>
              </w:rPr>
              <w:t>Clarification of DL PACCH DRX in Extended Uplink TBF Mode</w:t>
            </w:r>
          </w:p>
        </w:tc>
        <w:tc>
          <w:tcPr>
            <w:tcW w:w="754" w:type="dxa"/>
            <w:tcBorders>
              <w:top w:val="single" w:sz="4" w:space="0" w:color="auto"/>
              <w:left w:val="single" w:sz="4" w:space="0" w:color="auto"/>
              <w:bottom w:val="single" w:sz="4" w:space="0" w:color="auto"/>
              <w:right w:val="single" w:sz="4" w:space="0" w:color="auto"/>
            </w:tcBorders>
          </w:tcPr>
          <w:p w14:paraId="00695287" w14:textId="77777777" w:rsidR="00711444" w:rsidRPr="004D0DAA" w:rsidRDefault="00711444" w:rsidP="00AA2A4C">
            <w:pPr>
              <w:pStyle w:val="TAL"/>
              <w:rPr>
                <w:rFonts w:cs="Arial"/>
                <w:sz w:val="16"/>
                <w:szCs w:val="16"/>
                <w:lang w:eastAsia="en-US"/>
              </w:rPr>
            </w:pPr>
            <w:r w:rsidRPr="004D0DAA">
              <w:rPr>
                <w:rFonts w:cs="Arial"/>
                <w:sz w:val="16"/>
                <w:szCs w:val="16"/>
                <w:lang w:eastAsia="en-US"/>
              </w:rPr>
              <w:t>14.2.0</w:t>
            </w:r>
          </w:p>
        </w:tc>
      </w:tr>
      <w:tr w:rsidR="00A35FCF" w:rsidRPr="004D0DAA" w14:paraId="464B6814" w14:textId="77777777" w:rsidTr="00483DA2">
        <w:tc>
          <w:tcPr>
            <w:tcW w:w="1019" w:type="dxa"/>
            <w:tcBorders>
              <w:top w:val="single" w:sz="4" w:space="0" w:color="auto"/>
              <w:left w:val="single" w:sz="4" w:space="0" w:color="auto"/>
              <w:bottom w:val="single" w:sz="4" w:space="0" w:color="auto"/>
              <w:right w:val="single" w:sz="4" w:space="0" w:color="auto"/>
            </w:tcBorders>
            <w:shd w:val="clear" w:color="auto" w:fill="auto"/>
          </w:tcPr>
          <w:p w14:paraId="19847090" w14:textId="77777777" w:rsidR="00A35FCF" w:rsidRPr="004D0DAA" w:rsidRDefault="00A35FCF" w:rsidP="00AA2A4C">
            <w:pPr>
              <w:pStyle w:val="TAL"/>
              <w:rPr>
                <w:rFonts w:cs="Arial"/>
                <w:sz w:val="16"/>
                <w:szCs w:val="16"/>
                <w:lang w:eastAsia="en-US"/>
              </w:rPr>
            </w:pPr>
            <w:r w:rsidRPr="004D0DAA">
              <w:rPr>
                <w:rFonts w:cs="Arial"/>
                <w:sz w:val="16"/>
                <w:szCs w:val="16"/>
                <w:lang w:eastAsia="en-US"/>
              </w:rPr>
              <w:t>2018-06</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08DF1577" w14:textId="77777777" w:rsidR="00A35FCF" w:rsidRPr="004D0DAA" w:rsidRDefault="00A35FCF" w:rsidP="00AA2A4C">
            <w:pPr>
              <w:pStyle w:val="TAL"/>
              <w:rPr>
                <w:rFonts w:cs="Arial"/>
                <w:sz w:val="16"/>
                <w:szCs w:val="16"/>
                <w:lang w:eastAsia="en-US"/>
              </w:rPr>
            </w:pPr>
            <w:r w:rsidRPr="004D0DAA">
              <w:rPr>
                <w:rFonts w:cs="Arial"/>
                <w:sz w:val="16"/>
                <w:szCs w:val="16"/>
                <w:lang w:eastAsia="en-US"/>
              </w:rPr>
              <w:t>RP-80</w:t>
            </w: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1471ED7" w14:textId="77777777" w:rsidR="00A35FCF" w:rsidRPr="004D0DAA" w:rsidRDefault="00A35FCF" w:rsidP="00AA2A4C">
            <w:pPr>
              <w:pStyle w:val="TAL"/>
              <w:rPr>
                <w:rFonts w:cs="Arial"/>
                <w:sz w:val="16"/>
                <w:szCs w:val="16"/>
                <w:lang w:eastAsia="en-US"/>
              </w:rPr>
            </w:pPr>
            <w:r w:rsidRPr="004D0DAA">
              <w:rPr>
                <w:rFonts w:cs="Arial"/>
                <w:sz w:val="16"/>
                <w:szCs w:val="16"/>
                <w:lang w:eastAsia="en-US"/>
              </w:rPr>
              <w:t>RP-180822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77092D" w14:textId="77777777" w:rsidR="00A35FCF" w:rsidRPr="004D0DAA" w:rsidRDefault="00A35FCF" w:rsidP="00AA2A4C">
            <w:pPr>
              <w:pStyle w:val="TAL"/>
              <w:rPr>
                <w:rFonts w:cs="Arial"/>
                <w:sz w:val="16"/>
                <w:szCs w:val="16"/>
                <w:lang w:eastAsia="en-US"/>
              </w:rPr>
            </w:pPr>
            <w:r w:rsidRPr="004D0DAA">
              <w:rPr>
                <w:rFonts w:cs="Arial"/>
                <w:sz w:val="16"/>
                <w:szCs w:val="16"/>
                <w:lang w:eastAsia="en-US"/>
              </w:rPr>
              <w:t>1648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7F2EC" w14:textId="77777777" w:rsidR="00A35FCF" w:rsidRPr="004D0DAA" w:rsidRDefault="00A35FCF" w:rsidP="00AA2A4C">
            <w:pPr>
              <w:pStyle w:val="TAL"/>
              <w:jc w:val="center"/>
              <w:rPr>
                <w:rFonts w:cs="Arial"/>
                <w:sz w:val="16"/>
                <w:szCs w:val="16"/>
                <w:lang w:eastAsia="en-US"/>
              </w:rPr>
            </w:pPr>
            <w:r w:rsidRPr="004D0DAA">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1EE69B" w14:textId="77777777" w:rsidR="00A35FCF" w:rsidRPr="004D0DAA" w:rsidRDefault="00A35FCF" w:rsidP="00AA2A4C">
            <w:pPr>
              <w:pStyle w:val="TAL"/>
              <w:rPr>
                <w:rFonts w:cs="Arial"/>
                <w:sz w:val="16"/>
                <w:szCs w:val="16"/>
                <w:lang w:eastAsia="en-US"/>
              </w:rPr>
            </w:pPr>
            <w:r w:rsidRPr="004D0DAA">
              <w:rPr>
                <w:rFonts w:cs="Arial"/>
                <w:sz w:val="16"/>
                <w:szCs w:val="16"/>
                <w:lang w:eastAsia="en-US"/>
              </w:rPr>
              <w:t>B</w:t>
            </w:r>
          </w:p>
        </w:tc>
        <w:tc>
          <w:tcPr>
            <w:tcW w:w="4346" w:type="dxa"/>
            <w:tcBorders>
              <w:top w:val="single" w:sz="4" w:space="0" w:color="auto"/>
              <w:left w:val="single" w:sz="4" w:space="0" w:color="auto"/>
              <w:bottom w:val="single" w:sz="4" w:space="0" w:color="auto"/>
              <w:right w:val="single" w:sz="4" w:space="0" w:color="auto"/>
            </w:tcBorders>
            <w:shd w:val="clear" w:color="auto" w:fill="auto"/>
          </w:tcPr>
          <w:p w14:paraId="73819BDA" w14:textId="77777777" w:rsidR="00A35FCF" w:rsidRPr="004D0DAA" w:rsidRDefault="00A35FCF" w:rsidP="00AA2A4C">
            <w:pPr>
              <w:pStyle w:val="TAL"/>
              <w:rPr>
                <w:noProof/>
              </w:rPr>
            </w:pPr>
            <w:r w:rsidRPr="004D0DAA">
              <w:rPr>
                <w:noProof/>
              </w:rPr>
              <w:t>Security enhancement for MTA in network configuration without LLC security</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4E44F3D7" w14:textId="77777777" w:rsidR="00A35FCF" w:rsidRPr="004D0DAA" w:rsidRDefault="00A35FCF" w:rsidP="00AA2A4C">
            <w:pPr>
              <w:pStyle w:val="TAL"/>
              <w:rPr>
                <w:rFonts w:cs="Arial"/>
                <w:sz w:val="16"/>
                <w:szCs w:val="16"/>
                <w:lang w:eastAsia="en-US"/>
              </w:rPr>
            </w:pPr>
            <w:r w:rsidRPr="004D0DAA">
              <w:rPr>
                <w:rFonts w:cs="Arial"/>
                <w:sz w:val="16"/>
                <w:szCs w:val="16"/>
                <w:lang w:eastAsia="en-US"/>
              </w:rPr>
              <w:t>15.0.0</w:t>
            </w:r>
          </w:p>
        </w:tc>
      </w:tr>
      <w:tr w:rsidR="00483DA2" w:rsidRPr="004D0DAA" w14:paraId="73138A9D" w14:textId="77777777" w:rsidTr="00483DA2">
        <w:tc>
          <w:tcPr>
            <w:tcW w:w="1019" w:type="dxa"/>
            <w:tcBorders>
              <w:top w:val="single" w:sz="4" w:space="0" w:color="auto"/>
              <w:left w:val="single" w:sz="4" w:space="0" w:color="auto"/>
              <w:bottom w:val="single" w:sz="4" w:space="0" w:color="auto"/>
              <w:right w:val="single" w:sz="4" w:space="0" w:color="auto"/>
            </w:tcBorders>
            <w:shd w:val="clear" w:color="auto" w:fill="auto"/>
          </w:tcPr>
          <w:p w14:paraId="55E4B376" w14:textId="77777777" w:rsidR="00483DA2" w:rsidRPr="004D0DAA" w:rsidRDefault="00483DA2" w:rsidP="00AA2A4C">
            <w:pPr>
              <w:pStyle w:val="TAL"/>
              <w:rPr>
                <w:rFonts w:cs="Arial"/>
                <w:sz w:val="16"/>
                <w:szCs w:val="16"/>
                <w:lang w:eastAsia="en-US"/>
              </w:rPr>
            </w:pPr>
            <w:r w:rsidRPr="004D0DAA">
              <w:rPr>
                <w:rFonts w:cs="Arial"/>
                <w:sz w:val="16"/>
                <w:szCs w:val="16"/>
                <w:lang w:eastAsia="en-US"/>
              </w:rPr>
              <w:t>2020-07</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1C59ACC" w14:textId="77777777" w:rsidR="00483DA2" w:rsidRPr="004D0DAA" w:rsidRDefault="00483DA2" w:rsidP="00AA2A4C">
            <w:pPr>
              <w:pStyle w:val="TAL"/>
              <w:rPr>
                <w:rFonts w:cs="Arial"/>
                <w:sz w:val="16"/>
                <w:szCs w:val="16"/>
                <w:lang w:eastAsia="en-US"/>
              </w:rPr>
            </w:pPr>
            <w:r w:rsidRPr="004D0DAA">
              <w:rPr>
                <w:rFonts w:cs="Arial"/>
                <w:sz w:val="16"/>
                <w:szCs w:val="16"/>
                <w:lang w:eastAsia="en-US"/>
              </w:rPr>
              <w:t>RP-88e</w:t>
            </w: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4D05149" w14:textId="77777777" w:rsidR="00483DA2" w:rsidRPr="004D0DAA" w:rsidRDefault="00483DA2" w:rsidP="00AA2A4C">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B3ACE" w14:textId="77777777" w:rsidR="00483DA2" w:rsidRPr="004D0DAA" w:rsidRDefault="00483DA2" w:rsidP="00AA2A4C">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9BD025" w14:textId="77777777" w:rsidR="00483DA2" w:rsidRPr="004D0DAA" w:rsidRDefault="00483DA2" w:rsidP="00AA2A4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8CF714" w14:textId="77777777" w:rsidR="00483DA2" w:rsidRPr="004D0DAA" w:rsidRDefault="00483DA2" w:rsidP="00AA2A4C">
            <w:pPr>
              <w:pStyle w:val="TAL"/>
              <w:rPr>
                <w:rFonts w:cs="Arial"/>
                <w:sz w:val="16"/>
                <w:szCs w:val="16"/>
                <w:lang w:eastAsia="en-US"/>
              </w:rPr>
            </w:pPr>
            <w:r w:rsidRPr="004D0DAA">
              <w:rPr>
                <w:rFonts w:cs="Arial"/>
                <w:sz w:val="16"/>
                <w:szCs w:val="16"/>
                <w:lang w:eastAsia="en-US"/>
              </w:rPr>
              <w:t>-</w:t>
            </w:r>
          </w:p>
        </w:tc>
        <w:tc>
          <w:tcPr>
            <w:tcW w:w="4346" w:type="dxa"/>
            <w:tcBorders>
              <w:top w:val="single" w:sz="4" w:space="0" w:color="auto"/>
              <w:left w:val="single" w:sz="4" w:space="0" w:color="auto"/>
              <w:bottom w:val="single" w:sz="4" w:space="0" w:color="auto"/>
              <w:right w:val="single" w:sz="4" w:space="0" w:color="auto"/>
            </w:tcBorders>
            <w:shd w:val="clear" w:color="auto" w:fill="auto"/>
          </w:tcPr>
          <w:p w14:paraId="53EF99B9" w14:textId="77777777" w:rsidR="00483DA2" w:rsidRPr="004D0DAA" w:rsidRDefault="00483DA2" w:rsidP="00AA2A4C">
            <w:pPr>
              <w:pStyle w:val="TAL"/>
              <w:rPr>
                <w:noProof/>
              </w:rPr>
            </w:pPr>
            <w:r w:rsidRPr="004D0DAA">
              <w:rPr>
                <w:rFonts w:cs="Arial"/>
                <w:sz w:val="16"/>
                <w:szCs w:val="16"/>
              </w:rPr>
              <w:t>Upgrade to Rel-16 version without technical change</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29E937EF" w14:textId="77777777" w:rsidR="00483DA2" w:rsidRPr="004D0DAA" w:rsidRDefault="00483DA2" w:rsidP="00AA2A4C">
            <w:pPr>
              <w:pStyle w:val="TAL"/>
              <w:rPr>
                <w:rFonts w:cs="Arial"/>
                <w:bCs/>
                <w:sz w:val="16"/>
                <w:szCs w:val="16"/>
                <w:lang w:eastAsia="en-US"/>
              </w:rPr>
            </w:pPr>
            <w:r w:rsidRPr="004D0DAA">
              <w:rPr>
                <w:rFonts w:cs="Arial"/>
                <w:bCs/>
                <w:sz w:val="16"/>
                <w:szCs w:val="16"/>
                <w:lang w:eastAsia="en-US"/>
              </w:rPr>
              <w:t>16.0.0</w:t>
            </w:r>
          </w:p>
        </w:tc>
      </w:tr>
      <w:tr w:rsidR="007E0507" w:rsidRPr="004D0DAA" w14:paraId="7E6FF647" w14:textId="77777777">
        <w:tc>
          <w:tcPr>
            <w:tcW w:w="1019" w:type="dxa"/>
            <w:tcBorders>
              <w:top w:val="single" w:sz="4" w:space="0" w:color="auto"/>
              <w:left w:val="single" w:sz="4" w:space="0" w:color="auto"/>
              <w:bottom w:val="single" w:sz="4" w:space="0" w:color="auto"/>
              <w:right w:val="single" w:sz="4" w:space="0" w:color="auto"/>
            </w:tcBorders>
            <w:shd w:val="clear" w:color="auto" w:fill="auto"/>
          </w:tcPr>
          <w:p w14:paraId="4FB98B1E" w14:textId="77777777" w:rsidR="007E0507" w:rsidRPr="004D0DAA" w:rsidRDefault="007E0507">
            <w:pPr>
              <w:pStyle w:val="TAL"/>
              <w:rPr>
                <w:rFonts w:cs="Arial"/>
                <w:sz w:val="16"/>
                <w:szCs w:val="16"/>
                <w:lang w:eastAsia="en-US"/>
              </w:rPr>
            </w:pPr>
            <w:r w:rsidRPr="004D0DAA">
              <w:rPr>
                <w:rFonts w:cs="Arial"/>
                <w:sz w:val="16"/>
                <w:szCs w:val="16"/>
                <w:lang w:eastAsia="en-US"/>
              </w:rPr>
              <w:t>2022-03</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C1ACEE6" w14:textId="77777777" w:rsidR="007E0507" w:rsidRPr="004D0DAA" w:rsidRDefault="007E0507">
            <w:pPr>
              <w:pStyle w:val="TAL"/>
              <w:rPr>
                <w:rFonts w:cs="Arial"/>
                <w:sz w:val="16"/>
                <w:szCs w:val="16"/>
                <w:lang w:eastAsia="en-US"/>
              </w:rPr>
            </w:pPr>
            <w:r w:rsidRPr="004D0DAA">
              <w:rPr>
                <w:rFonts w:cs="Arial"/>
                <w:sz w:val="16"/>
                <w:szCs w:val="16"/>
                <w:lang w:eastAsia="en-US"/>
              </w:rPr>
              <w:t>RP-95e</w:t>
            </w: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B800E98" w14:textId="77777777" w:rsidR="007E0507" w:rsidRPr="004D0DAA" w:rsidRDefault="007E0507">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BCAA2C" w14:textId="77777777" w:rsidR="007E0507" w:rsidRPr="004D0DAA" w:rsidRDefault="007E0507">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9225F" w14:textId="77777777" w:rsidR="007E0507" w:rsidRPr="004D0DAA" w:rsidRDefault="007E0507">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083575" w14:textId="77777777" w:rsidR="007E0507" w:rsidRPr="004D0DAA" w:rsidRDefault="007E0507">
            <w:pPr>
              <w:pStyle w:val="TAL"/>
              <w:rPr>
                <w:rFonts w:cs="Arial"/>
                <w:sz w:val="16"/>
                <w:szCs w:val="16"/>
                <w:lang w:eastAsia="en-US"/>
              </w:rPr>
            </w:pPr>
            <w:r w:rsidRPr="004D0DAA">
              <w:rPr>
                <w:rFonts w:cs="Arial"/>
                <w:sz w:val="16"/>
                <w:szCs w:val="16"/>
                <w:lang w:eastAsia="en-US"/>
              </w:rPr>
              <w:t>-</w:t>
            </w:r>
          </w:p>
        </w:tc>
        <w:tc>
          <w:tcPr>
            <w:tcW w:w="4346" w:type="dxa"/>
            <w:tcBorders>
              <w:top w:val="single" w:sz="4" w:space="0" w:color="auto"/>
              <w:left w:val="single" w:sz="4" w:space="0" w:color="auto"/>
              <w:bottom w:val="single" w:sz="4" w:space="0" w:color="auto"/>
              <w:right w:val="single" w:sz="4" w:space="0" w:color="auto"/>
            </w:tcBorders>
            <w:shd w:val="clear" w:color="auto" w:fill="auto"/>
          </w:tcPr>
          <w:p w14:paraId="58F7A405" w14:textId="77777777" w:rsidR="007E0507" w:rsidRPr="004D0DAA" w:rsidRDefault="007E0507">
            <w:pPr>
              <w:pStyle w:val="TAL"/>
              <w:rPr>
                <w:noProof/>
              </w:rPr>
            </w:pPr>
            <w:r w:rsidRPr="004D0DAA">
              <w:rPr>
                <w:rFonts w:cs="Arial"/>
                <w:sz w:val="16"/>
                <w:szCs w:val="16"/>
              </w:rPr>
              <w:t>Upgrade to Rel-17 version without technical change</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2F5C2E7B" w14:textId="77777777" w:rsidR="007E0507" w:rsidRPr="004D0DAA" w:rsidRDefault="007E0507">
            <w:pPr>
              <w:pStyle w:val="TAL"/>
              <w:rPr>
                <w:rFonts w:cs="Arial"/>
                <w:bCs/>
                <w:sz w:val="16"/>
                <w:szCs w:val="16"/>
                <w:lang w:eastAsia="en-US"/>
              </w:rPr>
            </w:pPr>
            <w:r w:rsidRPr="004D0DAA">
              <w:rPr>
                <w:rFonts w:cs="Arial"/>
                <w:bCs/>
                <w:sz w:val="16"/>
                <w:szCs w:val="16"/>
                <w:lang w:eastAsia="en-US"/>
              </w:rPr>
              <w:t>17.0.0</w:t>
            </w:r>
          </w:p>
        </w:tc>
      </w:tr>
      <w:tr w:rsidR="004F5B2F" w:rsidRPr="004D0DAA" w14:paraId="4D1A74BA" w14:textId="77777777" w:rsidTr="007804FC">
        <w:tc>
          <w:tcPr>
            <w:tcW w:w="1019" w:type="dxa"/>
            <w:tcBorders>
              <w:top w:val="single" w:sz="4" w:space="0" w:color="auto"/>
              <w:left w:val="single" w:sz="4" w:space="0" w:color="auto"/>
              <w:bottom w:val="single" w:sz="4" w:space="0" w:color="auto"/>
              <w:right w:val="single" w:sz="4" w:space="0" w:color="auto"/>
            </w:tcBorders>
            <w:shd w:val="clear" w:color="auto" w:fill="auto"/>
          </w:tcPr>
          <w:p w14:paraId="5D8D1292" w14:textId="77777777" w:rsidR="004F5B2F" w:rsidRPr="004D0DAA" w:rsidRDefault="004F5B2F" w:rsidP="007804FC">
            <w:pPr>
              <w:pStyle w:val="TAL"/>
              <w:rPr>
                <w:rFonts w:cs="Arial"/>
                <w:sz w:val="16"/>
                <w:szCs w:val="16"/>
                <w:lang w:eastAsia="en-US"/>
              </w:rPr>
            </w:pPr>
            <w:r w:rsidRPr="004D0DAA">
              <w:rPr>
                <w:rFonts w:cs="Arial"/>
                <w:sz w:val="16"/>
                <w:szCs w:val="16"/>
                <w:lang w:eastAsia="en-US"/>
              </w:rPr>
              <w:t>202</w:t>
            </w:r>
            <w:r>
              <w:rPr>
                <w:rFonts w:cs="Arial"/>
                <w:sz w:val="16"/>
                <w:szCs w:val="16"/>
                <w:lang w:eastAsia="en-US"/>
              </w:rPr>
              <w:t>4</w:t>
            </w:r>
            <w:r w:rsidRPr="004D0DAA">
              <w:rPr>
                <w:rFonts w:cs="Arial"/>
                <w:sz w:val="16"/>
                <w:szCs w:val="16"/>
                <w:lang w:eastAsia="en-US"/>
              </w:rPr>
              <w:t>-03</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080E4601" w14:textId="77777777" w:rsidR="004F5B2F" w:rsidRPr="004D0DAA" w:rsidRDefault="004F5B2F" w:rsidP="007804FC">
            <w:pPr>
              <w:pStyle w:val="TAL"/>
              <w:rPr>
                <w:rFonts w:cs="Arial"/>
                <w:sz w:val="16"/>
                <w:szCs w:val="16"/>
                <w:lang w:eastAsia="en-US"/>
              </w:rPr>
            </w:pPr>
            <w:r w:rsidRPr="004D0DAA">
              <w:rPr>
                <w:rFonts w:cs="Arial"/>
                <w:sz w:val="16"/>
                <w:szCs w:val="16"/>
                <w:lang w:eastAsia="en-US"/>
              </w:rPr>
              <w:t>RP-</w:t>
            </w:r>
            <w:r>
              <w:rPr>
                <w:rFonts w:cs="Arial"/>
                <w:sz w:val="16"/>
                <w:szCs w:val="16"/>
                <w:lang w:eastAsia="en-US"/>
              </w:rPr>
              <w:t>103</w:t>
            </w: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6A05B79" w14:textId="77777777" w:rsidR="004F5B2F" w:rsidRPr="004D0DAA" w:rsidRDefault="004F5B2F" w:rsidP="007804FC">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E1F2E4" w14:textId="77777777" w:rsidR="004F5B2F" w:rsidRPr="004D0DAA" w:rsidRDefault="004F5B2F" w:rsidP="007804FC">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00F0A" w14:textId="77777777" w:rsidR="004F5B2F" w:rsidRPr="004D0DAA" w:rsidRDefault="004F5B2F" w:rsidP="007804FC">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BDAFFF" w14:textId="77777777" w:rsidR="004F5B2F" w:rsidRPr="004D0DAA" w:rsidRDefault="004F5B2F" w:rsidP="007804FC">
            <w:pPr>
              <w:pStyle w:val="TAL"/>
              <w:rPr>
                <w:rFonts w:cs="Arial"/>
                <w:sz w:val="16"/>
                <w:szCs w:val="16"/>
                <w:lang w:eastAsia="en-US"/>
              </w:rPr>
            </w:pPr>
            <w:r w:rsidRPr="004D0DAA">
              <w:rPr>
                <w:rFonts w:cs="Arial"/>
                <w:sz w:val="16"/>
                <w:szCs w:val="16"/>
                <w:lang w:eastAsia="en-US"/>
              </w:rPr>
              <w:t>-</w:t>
            </w:r>
          </w:p>
        </w:tc>
        <w:tc>
          <w:tcPr>
            <w:tcW w:w="4346" w:type="dxa"/>
            <w:tcBorders>
              <w:top w:val="single" w:sz="4" w:space="0" w:color="auto"/>
              <w:left w:val="single" w:sz="4" w:space="0" w:color="auto"/>
              <w:bottom w:val="single" w:sz="4" w:space="0" w:color="auto"/>
              <w:right w:val="single" w:sz="4" w:space="0" w:color="auto"/>
            </w:tcBorders>
            <w:shd w:val="clear" w:color="auto" w:fill="auto"/>
          </w:tcPr>
          <w:p w14:paraId="7D15C0C5" w14:textId="77777777" w:rsidR="004F5B2F" w:rsidRPr="004D0DAA" w:rsidRDefault="004F5B2F" w:rsidP="007804FC">
            <w:pPr>
              <w:pStyle w:val="TAL"/>
              <w:rPr>
                <w:noProof/>
              </w:rPr>
            </w:pPr>
            <w:r w:rsidRPr="004D0DAA">
              <w:rPr>
                <w:rFonts w:cs="Arial"/>
                <w:sz w:val="16"/>
                <w:szCs w:val="16"/>
              </w:rPr>
              <w:t>Upgrade to Rel-1</w:t>
            </w:r>
            <w:r>
              <w:rPr>
                <w:rFonts w:cs="Arial"/>
                <w:sz w:val="16"/>
                <w:szCs w:val="16"/>
              </w:rPr>
              <w:t>8</w:t>
            </w:r>
            <w:r w:rsidRPr="004D0DAA">
              <w:rPr>
                <w:rFonts w:cs="Arial"/>
                <w:sz w:val="16"/>
                <w:szCs w:val="16"/>
              </w:rPr>
              <w:t xml:space="preserve"> version without technical change</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46913E93" w14:textId="77777777" w:rsidR="004F5B2F" w:rsidRPr="004D0DAA" w:rsidRDefault="004F5B2F" w:rsidP="007804FC">
            <w:pPr>
              <w:pStyle w:val="TAL"/>
              <w:rPr>
                <w:rFonts w:cs="Arial"/>
                <w:bCs/>
                <w:sz w:val="16"/>
                <w:szCs w:val="16"/>
                <w:lang w:eastAsia="en-US"/>
              </w:rPr>
            </w:pPr>
            <w:r w:rsidRPr="004D0DAA">
              <w:rPr>
                <w:rFonts w:cs="Arial"/>
                <w:bCs/>
                <w:sz w:val="16"/>
                <w:szCs w:val="16"/>
                <w:lang w:eastAsia="en-US"/>
              </w:rPr>
              <w:t>1</w:t>
            </w:r>
            <w:r>
              <w:rPr>
                <w:rFonts w:cs="Arial"/>
                <w:bCs/>
                <w:sz w:val="16"/>
                <w:szCs w:val="16"/>
                <w:lang w:eastAsia="en-US"/>
              </w:rPr>
              <w:t>8</w:t>
            </w:r>
            <w:r w:rsidRPr="004D0DAA">
              <w:rPr>
                <w:rFonts w:cs="Arial"/>
                <w:bCs/>
                <w:sz w:val="16"/>
                <w:szCs w:val="16"/>
                <w:lang w:eastAsia="en-US"/>
              </w:rPr>
              <w:t>.0.0</w:t>
            </w:r>
          </w:p>
        </w:tc>
      </w:tr>
      <w:tr w:rsidR="00753A70" w:rsidRPr="004D0DAA" w14:paraId="432AB875" w14:textId="77777777" w:rsidTr="00B61260">
        <w:tc>
          <w:tcPr>
            <w:tcW w:w="1019" w:type="dxa"/>
            <w:tcBorders>
              <w:top w:val="single" w:sz="4" w:space="0" w:color="auto"/>
              <w:left w:val="single" w:sz="4" w:space="0" w:color="auto"/>
              <w:bottom w:val="single" w:sz="4" w:space="0" w:color="auto"/>
              <w:right w:val="single" w:sz="4" w:space="0" w:color="auto"/>
            </w:tcBorders>
            <w:shd w:val="clear" w:color="auto" w:fill="auto"/>
          </w:tcPr>
          <w:p w14:paraId="2847FA94" w14:textId="7BC6BAC4" w:rsidR="00753A70" w:rsidRPr="004D0DAA" w:rsidRDefault="00753A70" w:rsidP="00B61260">
            <w:pPr>
              <w:pStyle w:val="TAL"/>
              <w:rPr>
                <w:rFonts w:cs="Arial"/>
                <w:sz w:val="16"/>
                <w:szCs w:val="16"/>
                <w:lang w:eastAsia="en-US"/>
              </w:rPr>
            </w:pPr>
            <w:r w:rsidRPr="004D0DAA">
              <w:rPr>
                <w:rFonts w:cs="Arial"/>
                <w:sz w:val="16"/>
                <w:szCs w:val="16"/>
                <w:lang w:eastAsia="en-US"/>
              </w:rPr>
              <w:t>202</w:t>
            </w:r>
            <w:r w:rsidR="004F5B2F">
              <w:rPr>
                <w:rFonts w:cs="Arial"/>
                <w:sz w:val="16"/>
                <w:szCs w:val="16"/>
                <w:lang w:eastAsia="en-US"/>
              </w:rPr>
              <w:t>5</w:t>
            </w:r>
            <w:r w:rsidRPr="004D0DAA">
              <w:rPr>
                <w:rFonts w:cs="Arial"/>
                <w:sz w:val="16"/>
                <w:szCs w:val="16"/>
                <w:lang w:eastAsia="en-US"/>
              </w:rPr>
              <w:t>-0</w:t>
            </w:r>
            <w:r w:rsidR="004F5B2F">
              <w:rPr>
                <w:rFonts w:cs="Arial"/>
                <w:sz w:val="16"/>
                <w:szCs w:val="16"/>
                <w:lang w:eastAsia="en-US"/>
              </w:rPr>
              <w:t>9</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C64D21C" w14:textId="592283AC" w:rsidR="00753A70" w:rsidRPr="004D0DAA" w:rsidRDefault="00753A70" w:rsidP="00B61260">
            <w:pPr>
              <w:pStyle w:val="TAL"/>
              <w:rPr>
                <w:rFonts w:cs="Arial"/>
                <w:sz w:val="16"/>
                <w:szCs w:val="16"/>
                <w:lang w:eastAsia="en-US"/>
              </w:rPr>
            </w:pPr>
            <w:r w:rsidRPr="004D0DAA">
              <w:rPr>
                <w:rFonts w:cs="Arial"/>
                <w:sz w:val="16"/>
                <w:szCs w:val="16"/>
                <w:lang w:eastAsia="en-US"/>
              </w:rPr>
              <w:t>RP-</w:t>
            </w:r>
            <w:r w:rsidR="007E0507">
              <w:rPr>
                <w:rFonts w:cs="Arial"/>
                <w:sz w:val="16"/>
                <w:szCs w:val="16"/>
                <w:lang w:eastAsia="en-US"/>
              </w:rPr>
              <w:t>10</w:t>
            </w:r>
            <w:r w:rsidR="004F5B2F">
              <w:rPr>
                <w:rFonts w:cs="Arial"/>
                <w:sz w:val="16"/>
                <w:szCs w:val="16"/>
                <w:lang w:eastAsia="en-US"/>
              </w:rPr>
              <w:t>9</w:t>
            </w: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2DD6DE9" w14:textId="77777777" w:rsidR="00753A70" w:rsidRPr="004D0DAA" w:rsidRDefault="00753A70" w:rsidP="00B61260">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CE79A8" w14:textId="77777777" w:rsidR="00753A70" w:rsidRPr="004D0DAA" w:rsidRDefault="00753A70" w:rsidP="00B61260">
            <w:pPr>
              <w:pStyle w:val="TAL"/>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1DFF2C" w14:textId="77777777" w:rsidR="00753A70" w:rsidRPr="004D0DAA" w:rsidRDefault="00753A70" w:rsidP="00B61260">
            <w:pPr>
              <w:pStyle w:val="TAL"/>
              <w:jc w:val="center"/>
              <w:rPr>
                <w:rFonts w:cs="Arial"/>
                <w:sz w:val="16"/>
                <w:szCs w:val="16"/>
                <w:lang w:eastAsia="en-US"/>
              </w:rPr>
            </w:pPr>
            <w:r w:rsidRPr="004D0DAA">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D2E5FF" w14:textId="77777777" w:rsidR="00753A70" w:rsidRPr="004D0DAA" w:rsidRDefault="00753A70" w:rsidP="00B61260">
            <w:pPr>
              <w:pStyle w:val="TAL"/>
              <w:rPr>
                <w:rFonts w:cs="Arial"/>
                <w:sz w:val="16"/>
                <w:szCs w:val="16"/>
                <w:lang w:eastAsia="en-US"/>
              </w:rPr>
            </w:pPr>
            <w:r w:rsidRPr="004D0DAA">
              <w:rPr>
                <w:rFonts w:cs="Arial"/>
                <w:sz w:val="16"/>
                <w:szCs w:val="16"/>
                <w:lang w:eastAsia="en-US"/>
              </w:rPr>
              <w:t>-</w:t>
            </w:r>
          </w:p>
        </w:tc>
        <w:tc>
          <w:tcPr>
            <w:tcW w:w="4346" w:type="dxa"/>
            <w:tcBorders>
              <w:top w:val="single" w:sz="4" w:space="0" w:color="auto"/>
              <w:left w:val="single" w:sz="4" w:space="0" w:color="auto"/>
              <w:bottom w:val="single" w:sz="4" w:space="0" w:color="auto"/>
              <w:right w:val="single" w:sz="4" w:space="0" w:color="auto"/>
            </w:tcBorders>
            <w:shd w:val="clear" w:color="auto" w:fill="auto"/>
          </w:tcPr>
          <w:p w14:paraId="35CE2527" w14:textId="750D7282" w:rsidR="00753A70" w:rsidRPr="004D0DAA" w:rsidRDefault="00753A70" w:rsidP="00B61260">
            <w:pPr>
              <w:pStyle w:val="TAL"/>
              <w:rPr>
                <w:noProof/>
              </w:rPr>
            </w:pPr>
            <w:r w:rsidRPr="004D0DAA">
              <w:rPr>
                <w:rFonts w:cs="Arial"/>
                <w:sz w:val="16"/>
                <w:szCs w:val="16"/>
              </w:rPr>
              <w:t>Upgrade to Rel-1</w:t>
            </w:r>
            <w:r w:rsidR="004F5B2F">
              <w:rPr>
                <w:rFonts w:cs="Arial"/>
                <w:sz w:val="16"/>
                <w:szCs w:val="16"/>
              </w:rPr>
              <w:t>9</w:t>
            </w:r>
            <w:r w:rsidRPr="004D0DAA">
              <w:rPr>
                <w:rFonts w:cs="Arial"/>
                <w:sz w:val="16"/>
                <w:szCs w:val="16"/>
              </w:rPr>
              <w:t xml:space="preserve"> version without technical change</w:t>
            </w:r>
          </w:p>
        </w:tc>
        <w:tc>
          <w:tcPr>
            <w:tcW w:w="754" w:type="dxa"/>
            <w:tcBorders>
              <w:top w:val="single" w:sz="4" w:space="0" w:color="auto"/>
              <w:left w:val="single" w:sz="4" w:space="0" w:color="auto"/>
              <w:bottom w:val="single" w:sz="4" w:space="0" w:color="auto"/>
              <w:right w:val="single" w:sz="4" w:space="0" w:color="auto"/>
            </w:tcBorders>
            <w:shd w:val="clear" w:color="auto" w:fill="auto"/>
          </w:tcPr>
          <w:p w14:paraId="407427E1" w14:textId="363A24FC" w:rsidR="00753A70" w:rsidRPr="004D0DAA" w:rsidRDefault="00753A70" w:rsidP="00B61260">
            <w:pPr>
              <w:pStyle w:val="TAL"/>
              <w:rPr>
                <w:rFonts w:cs="Arial"/>
                <w:bCs/>
                <w:sz w:val="16"/>
                <w:szCs w:val="16"/>
                <w:lang w:eastAsia="en-US"/>
              </w:rPr>
            </w:pPr>
            <w:r w:rsidRPr="004D0DAA">
              <w:rPr>
                <w:rFonts w:cs="Arial"/>
                <w:bCs/>
                <w:sz w:val="16"/>
                <w:szCs w:val="16"/>
                <w:lang w:eastAsia="en-US"/>
              </w:rPr>
              <w:t>1</w:t>
            </w:r>
            <w:r w:rsidR="004F5B2F">
              <w:rPr>
                <w:rFonts w:cs="Arial"/>
                <w:bCs/>
                <w:sz w:val="16"/>
                <w:szCs w:val="16"/>
                <w:lang w:eastAsia="en-US"/>
              </w:rPr>
              <w:t>9</w:t>
            </w:r>
            <w:r w:rsidRPr="004D0DAA">
              <w:rPr>
                <w:rFonts w:cs="Arial"/>
                <w:bCs/>
                <w:sz w:val="16"/>
                <w:szCs w:val="16"/>
                <w:lang w:eastAsia="en-US"/>
              </w:rPr>
              <w:t>.0.0</w:t>
            </w:r>
          </w:p>
        </w:tc>
      </w:tr>
    </w:tbl>
    <w:p w14:paraId="58F3328D" w14:textId="77777777" w:rsidR="00711444" w:rsidRPr="00BC7BAE" w:rsidRDefault="00711444" w:rsidP="00711444"/>
    <w:sectPr w:rsidR="00711444" w:rsidRPr="00BC7BAE" w:rsidSect="0074398B">
      <w:headerReference w:type="default" r:id="rId37"/>
      <w:footerReference w:type="default" r:id="rId38"/>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E9E4A" w14:textId="77777777" w:rsidR="003B28B4" w:rsidRDefault="003B28B4">
      <w:r>
        <w:separator/>
      </w:r>
    </w:p>
  </w:endnote>
  <w:endnote w:type="continuationSeparator" w:id="0">
    <w:p w14:paraId="47EA1256" w14:textId="77777777" w:rsidR="003B28B4" w:rsidRDefault="003B2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CF6B" w14:textId="77777777" w:rsidR="00711444" w:rsidRDefault="00711444">
    <w:pPr>
      <w:jc w:val="center"/>
      <w:rPr>
        <w:rFonts w:ascii="Arial" w:hAnsi="Arial" w:cs="Arial"/>
        <w:b/>
        <w:i/>
        <w:sz w:val="18"/>
        <w:szCs w:val="18"/>
      </w:rPr>
    </w:pPr>
    <w:r>
      <w:rPr>
        <w:rFonts w:ascii="Arial" w:hAnsi="Arial" w:cs="Arial"/>
        <w:b/>
        <w:i/>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2CA31"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B07AB" w14:textId="77777777" w:rsidR="003B28B4" w:rsidRDefault="003B28B4">
      <w:r>
        <w:separator/>
      </w:r>
    </w:p>
  </w:footnote>
  <w:footnote w:type="continuationSeparator" w:id="0">
    <w:p w14:paraId="2658BB5B" w14:textId="77777777" w:rsidR="003B28B4" w:rsidRDefault="003B28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F7B96" w14:textId="77777777" w:rsidR="00711444" w:rsidRDefault="00711444">
    <w:pPr>
      <w:pStyle w:val="Header"/>
      <w:framePr w:wrap="auto" w:vAnchor="text" w:hAnchor="margin" w:xAlign="center" w:y="1"/>
    </w:pPr>
    <w:r>
      <w:fldChar w:fldCharType="begin"/>
    </w:r>
    <w:r>
      <w:instrText xml:space="preserve">page </w:instrText>
    </w:r>
    <w:r>
      <w:fldChar w:fldCharType="separate"/>
    </w:r>
    <w:r w:rsidR="00683705">
      <w:t>720</w:t>
    </w:r>
    <w:r>
      <w:fldChar w:fldCharType="end"/>
    </w:r>
  </w:p>
  <w:p w14:paraId="1CE4EFB4" w14:textId="0D420EB0" w:rsidR="00711444" w:rsidRDefault="00711444">
    <w:pPr>
      <w:pStyle w:val="Header"/>
      <w:framePr w:wrap="auto" w:vAnchor="text" w:hAnchor="margin" w:xAlign="right" w:y="1"/>
    </w:pPr>
    <w:r>
      <w:fldChar w:fldCharType="begin"/>
    </w:r>
    <w:r>
      <w:instrText xml:space="preserve">styleref ZA </w:instrText>
    </w:r>
    <w:r>
      <w:fldChar w:fldCharType="separate"/>
    </w:r>
    <w:r w:rsidR="004E5EC3">
      <w:rPr>
        <w:noProof/>
      </w:rPr>
      <w:t>3GPP TS 44.060 V19.0.0 (2025-09)</w:t>
    </w:r>
    <w:r>
      <w:fldChar w:fldCharType="end"/>
    </w:r>
  </w:p>
  <w:p w14:paraId="15CC8770" w14:textId="65E32734" w:rsidR="00711444" w:rsidRDefault="00711444">
    <w:pPr>
      <w:pStyle w:val="Header"/>
      <w:framePr w:wrap="auto" w:vAnchor="text" w:hAnchor="margin" w:y="1"/>
    </w:pPr>
    <w:r>
      <w:fldChar w:fldCharType="begin"/>
    </w:r>
    <w:r>
      <w:instrText xml:space="preserve">styleref ZGSM </w:instrText>
    </w:r>
    <w:r>
      <w:fldChar w:fldCharType="separate"/>
    </w:r>
    <w:r w:rsidR="004E5EC3">
      <w:rPr>
        <w:noProof/>
      </w:rPr>
      <w:t>Release 19</w:t>
    </w:r>
    <w:r>
      <w:fldChar w:fldCharType="end"/>
    </w:r>
  </w:p>
  <w:p w14:paraId="62748C42" w14:textId="77777777" w:rsidR="00711444" w:rsidRDefault="00711444">
    <w:pPr>
      <w:pStyle w:val="Header"/>
      <w:tabs>
        <w:tab w:val="right" w:pos="9639"/>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1C315" w14:textId="616224CA" w:rsidR="00711444" w:rsidRDefault="00711444">
    <w:pPr>
      <w:pStyle w:val="Header"/>
      <w:framePr w:wrap="auto" w:vAnchor="text" w:hAnchor="margin" w:xAlign="right" w:y="1"/>
      <w:widowControl/>
    </w:pPr>
    <w:fldSimple w:instr=" STYLEREF ZA ">
      <w:r w:rsidR="004E5EC3">
        <w:rPr>
          <w:noProof/>
        </w:rPr>
        <w:t>3GPP TS 44.060 V19.0.0 (2025-09)</w:t>
      </w:r>
    </w:fldSimple>
  </w:p>
  <w:p w14:paraId="5A35B486" w14:textId="77777777" w:rsidR="00711444" w:rsidRDefault="00711444">
    <w:pPr>
      <w:pStyle w:val="Header"/>
      <w:framePr w:wrap="auto" w:vAnchor="text" w:hAnchor="margin" w:xAlign="center" w:y="1"/>
      <w:widowControl/>
    </w:pPr>
    <w:r>
      <w:fldChar w:fldCharType="begin"/>
    </w:r>
    <w:r>
      <w:instrText xml:space="preserve"> PAGE </w:instrText>
    </w:r>
    <w:r>
      <w:fldChar w:fldCharType="separate"/>
    </w:r>
    <w:r w:rsidR="00683705">
      <w:t>734</w:t>
    </w:r>
    <w:r>
      <w:fldChar w:fldCharType="end"/>
    </w:r>
  </w:p>
  <w:p w14:paraId="595B65D9" w14:textId="29858627" w:rsidR="00711444" w:rsidRDefault="00711444">
    <w:pPr>
      <w:pStyle w:val="Header"/>
      <w:framePr w:wrap="auto" w:vAnchor="text" w:hAnchor="margin" w:y="1"/>
      <w:widowControl/>
    </w:pPr>
    <w:fldSimple w:instr=" STYLEREF ZGSM ">
      <w:r w:rsidR="004E5EC3">
        <w:rPr>
          <w:noProof/>
        </w:rPr>
        <w:t>Release 19</w:t>
      </w:r>
    </w:fldSimple>
  </w:p>
  <w:p w14:paraId="225F28A0" w14:textId="77777777" w:rsidR="00711444" w:rsidRDefault="0071144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59482" w14:textId="267354D1"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EC3">
      <w:rPr>
        <w:rFonts w:ascii="Arial" w:hAnsi="Arial" w:cs="Arial"/>
        <w:b/>
        <w:noProof/>
        <w:sz w:val="18"/>
        <w:szCs w:val="18"/>
      </w:rPr>
      <w:t>3GPP TS 44.060 V19.0.0 (2025-09)</w:t>
    </w:r>
    <w:r>
      <w:rPr>
        <w:rFonts w:ascii="Arial" w:hAnsi="Arial" w:cs="Arial"/>
        <w:b/>
        <w:sz w:val="18"/>
        <w:szCs w:val="18"/>
      </w:rPr>
      <w:fldChar w:fldCharType="end"/>
    </w:r>
  </w:p>
  <w:p w14:paraId="0B4F3D7C"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3705">
      <w:rPr>
        <w:rFonts w:ascii="Arial" w:hAnsi="Arial" w:cs="Arial"/>
        <w:b/>
        <w:noProof/>
        <w:sz w:val="18"/>
        <w:szCs w:val="18"/>
      </w:rPr>
      <w:t>778</w:t>
    </w:r>
    <w:r>
      <w:rPr>
        <w:rFonts w:ascii="Arial" w:hAnsi="Arial" w:cs="Arial"/>
        <w:b/>
        <w:sz w:val="18"/>
        <w:szCs w:val="18"/>
      </w:rPr>
      <w:fldChar w:fldCharType="end"/>
    </w:r>
  </w:p>
  <w:p w14:paraId="79F67411" w14:textId="05D8F58A"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EC3">
      <w:rPr>
        <w:rFonts w:ascii="Arial" w:hAnsi="Arial" w:cs="Arial"/>
        <w:b/>
        <w:noProof/>
        <w:sz w:val="18"/>
        <w:szCs w:val="18"/>
      </w:rPr>
      <w:t>Release 19</w:t>
    </w:r>
    <w:r>
      <w:rPr>
        <w:rFonts w:ascii="Arial" w:hAnsi="Arial" w:cs="Arial"/>
        <w:b/>
        <w:sz w:val="18"/>
        <w:szCs w:val="18"/>
      </w:rPr>
      <w:fldChar w:fldCharType="end"/>
    </w:r>
  </w:p>
  <w:p w14:paraId="7ECFAEF3"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51CD1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8EB3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346C6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21CA7D95"/>
    <w:multiLevelType w:val="hybridMultilevel"/>
    <w:tmpl w:val="B8F044DA"/>
    <w:lvl w:ilvl="0" w:tplc="E4C0538C">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7552E56"/>
    <w:multiLevelType w:val="singleLevel"/>
    <w:tmpl w:val="9376A34C"/>
    <w:lvl w:ilvl="0">
      <w:numFmt w:val="decimal"/>
      <w:lvlText w:val="%1"/>
      <w:lvlJc w:val="left"/>
      <w:pPr>
        <w:tabs>
          <w:tab w:val="num" w:pos="570"/>
        </w:tabs>
        <w:ind w:left="570" w:hanging="570"/>
      </w:pPr>
      <w:rPr>
        <w:rFonts w:hint="default"/>
        <w:b/>
      </w:rPr>
    </w:lvl>
  </w:abstractNum>
  <w:abstractNum w:abstractNumId="7" w15:restartNumberingAfterBreak="0">
    <w:nsid w:val="2A7C05FF"/>
    <w:multiLevelType w:val="hybridMultilevel"/>
    <w:tmpl w:val="FF32C970"/>
    <w:lvl w:ilvl="0" w:tplc="8266071C">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A2C7368"/>
    <w:multiLevelType w:val="hybridMultilevel"/>
    <w:tmpl w:val="02FE0360"/>
    <w:lvl w:ilvl="0" w:tplc="A296C9FA">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 w15:restartNumberingAfterBreak="0">
    <w:nsid w:val="3F1B2380"/>
    <w:multiLevelType w:val="hybridMultilevel"/>
    <w:tmpl w:val="CAACE2D8"/>
    <w:lvl w:ilvl="0" w:tplc="5A607742">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5E936E29"/>
    <w:multiLevelType w:val="hybridMultilevel"/>
    <w:tmpl w:val="2A1A7748"/>
    <w:lvl w:ilvl="0" w:tplc="32CAC27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71B20BD6"/>
    <w:multiLevelType w:val="hybridMultilevel"/>
    <w:tmpl w:val="DA98AB34"/>
    <w:lvl w:ilvl="0" w:tplc="8F486A92">
      <w:start w:val="2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122892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60646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58252708">
    <w:abstractNumId w:val="4"/>
  </w:num>
  <w:num w:numId="4" w16cid:durableId="1772238480">
    <w:abstractNumId w:val="6"/>
  </w:num>
  <w:num w:numId="5" w16cid:durableId="1657104115">
    <w:abstractNumId w:val="9"/>
  </w:num>
  <w:num w:numId="6" w16cid:durableId="1395011364">
    <w:abstractNumId w:val="10"/>
  </w:num>
  <w:num w:numId="7" w16cid:durableId="889876495">
    <w:abstractNumId w:val="11"/>
  </w:num>
  <w:num w:numId="8" w16cid:durableId="1032537254">
    <w:abstractNumId w:val="5"/>
  </w:num>
  <w:num w:numId="9" w16cid:durableId="1308124272">
    <w:abstractNumId w:val="7"/>
  </w:num>
  <w:num w:numId="10" w16cid:durableId="1668485012">
    <w:abstractNumId w:val="8"/>
  </w:num>
  <w:num w:numId="11" w16cid:durableId="1255893689">
    <w:abstractNumId w:val="2"/>
  </w:num>
  <w:num w:numId="12" w16cid:durableId="355734058">
    <w:abstractNumId w:val="1"/>
  </w:num>
  <w:num w:numId="13" w16cid:durableId="871160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55A6"/>
    <w:rsid w:val="00080512"/>
    <w:rsid w:val="000D58AB"/>
    <w:rsid w:val="001D02C2"/>
    <w:rsid w:val="001F168B"/>
    <w:rsid w:val="002347A2"/>
    <w:rsid w:val="002469C7"/>
    <w:rsid w:val="003172DC"/>
    <w:rsid w:val="00326119"/>
    <w:rsid w:val="0035462D"/>
    <w:rsid w:val="003A27B2"/>
    <w:rsid w:val="003B28B4"/>
    <w:rsid w:val="003C3971"/>
    <w:rsid w:val="00483DA2"/>
    <w:rsid w:val="004D0DAA"/>
    <w:rsid w:val="004D3578"/>
    <w:rsid w:val="004E213A"/>
    <w:rsid w:val="004E5EC3"/>
    <w:rsid w:val="004F5B2F"/>
    <w:rsid w:val="00543E6C"/>
    <w:rsid w:val="00547E81"/>
    <w:rsid w:val="00565087"/>
    <w:rsid w:val="00581726"/>
    <w:rsid w:val="005A221D"/>
    <w:rsid w:val="005B4D01"/>
    <w:rsid w:val="005D2E01"/>
    <w:rsid w:val="00614FDF"/>
    <w:rsid w:val="00683705"/>
    <w:rsid w:val="006C6BCB"/>
    <w:rsid w:val="006E5C86"/>
    <w:rsid w:val="00711444"/>
    <w:rsid w:val="00714E95"/>
    <w:rsid w:val="00734A5B"/>
    <w:rsid w:val="0074398B"/>
    <w:rsid w:val="00744E76"/>
    <w:rsid w:val="00753A70"/>
    <w:rsid w:val="00781F0F"/>
    <w:rsid w:val="007E0507"/>
    <w:rsid w:val="007E1B1D"/>
    <w:rsid w:val="008028A4"/>
    <w:rsid w:val="00846E45"/>
    <w:rsid w:val="008768CA"/>
    <w:rsid w:val="0090271F"/>
    <w:rsid w:val="00902E23"/>
    <w:rsid w:val="0091348E"/>
    <w:rsid w:val="00917CCB"/>
    <w:rsid w:val="00942EC2"/>
    <w:rsid w:val="009F37B7"/>
    <w:rsid w:val="00A10F02"/>
    <w:rsid w:val="00A164B4"/>
    <w:rsid w:val="00A35FCF"/>
    <w:rsid w:val="00A53724"/>
    <w:rsid w:val="00A82346"/>
    <w:rsid w:val="00AA2A4C"/>
    <w:rsid w:val="00AF4140"/>
    <w:rsid w:val="00B15449"/>
    <w:rsid w:val="00B61260"/>
    <w:rsid w:val="00B82821"/>
    <w:rsid w:val="00BC0F7D"/>
    <w:rsid w:val="00C33079"/>
    <w:rsid w:val="00C45231"/>
    <w:rsid w:val="00C72833"/>
    <w:rsid w:val="00C93F40"/>
    <w:rsid w:val="00CA3D0C"/>
    <w:rsid w:val="00CA6DD1"/>
    <w:rsid w:val="00D1673B"/>
    <w:rsid w:val="00D738D6"/>
    <w:rsid w:val="00D755EB"/>
    <w:rsid w:val="00D8009D"/>
    <w:rsid w:val="00D87E00"/>
    <w:rsid w:val="00D9134D"/>
    <w:rsid w:val="00DA7A03"/>
    <w:rsid w:val="00DB1818"/>
    <w:rsid w:val="00DC309B"/>
    <w:rsid w:val="00DC4DA2"/>
    <w:rsid w:val="00DE5338"/>
    <w:rsid w:val="00DE67A5"/>
    <w:rsid w:val="00DF2B1F"/>
    <w:rsid w:val="00DF62CD"/>
    <w:rsid w:val="00E77645"/>
    <w:rsid w:val="00EC4A25"/>
    <w:rsid w:val="00F025A2"/>
    <w:rsid w:val="00F04712"/>
    <w:rsid w:val="00F22EC7"/>
    <w:rsid w:val="00F653B8"/>
    <w:rsid w:val="00F807BA"/>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894DE0"/>
  <w15:chartTrackingRefBased/>
  <w15:docId w15:val="{18EF1315-0AB2-46CB-8C26-EDA6C87AA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NOChar">
    <w:name w:val="NO Char"/>
    <w:link w:val="NO"/>
    <w:rsid w:val="007E1B1D"/>
    <w:rPr>
      <w:lang w:eastAsia="x-none"/>
    </w:rPr>
  </w:style>
  <w:style w:type="paragraph" w:styleId="Index1">
    <w:name w:val="index 1"/>
    <w:basedOn w:val="Normal"/>
    <w:rsid w:val="007E1B1D"/>
    <w:pPr>
      <w:keepLines/>
      <w:overflowPunct w:val="0"/>
      <w:autoSpaceDE w:val="0"/>
      <w:autoSpaceDN w:val="0"/>
      <w:adjustRightInd w:val="0"/>
      <w:spacing w:after="0"/>
      <w:textAlignment w:val="baseline"/>
    </w:pPr>
  </w:style>
  <w:style w:type="paragraph" w:styleId="Index2">
    <w:name w:val="index 2"/>
    <w:basedOn w:val="Index1"/>
    <w:rsid w:val="007E1B1D"/>
    <w:pPr>
      <w:ind w:left="284"/>
    </w:pPr>
  </w:style>
  <w:style w:type="paragraph" w:styleId="ListNumber2">
    <w:name w:val="List Number 2"/>
    <w:basedOn w:val="ListNumber"/>
    <w:rsid w:val="007E1B1D"/>
    <w:pPr>
      <w:ind w:left="851"/>
    </w:pPr>
  </w:style>
  <w:style w:type="paragraph" w:styleId="ListNumber">
    <w:name w:val="List Number"/>
    <w:basedOn w:val="List"/>
    <w:rsid w:val="007E1B1D"/>
  </w:style>
  <w:style w:type="paragraph" w:styleId="List">
    <w:name w:val="List"/>
    <w:basedOn w:val="Normal"/>
    <w:rsid w:val="007E1B1D"/>
    <w:pPr>
      <w:overflowPunct w:val="0"/>
      <w:autoSpaceDE w:val="0"/>
      <w:autoSpaceDN w:val="0"/>
      <w:adjustRightInd w:val="0"/>
      <w:ind w:left="568" w:hanging="284"/>
      <w:textAlignment w:val="baseline"/>
    </w:pPr>
  </w:style>
  <w:style w:type="paragraph" w:styleId="ListBullet2">
    <w:name w:val="List Bullet 2"/>
    <w:basedOn w:val="ListBullet"/>
    <w:rsid w:val="007E1B1D"/>
    <w:pPr>
      <w:ind w:left="851"/>
    </w:pPr>
  </w:style>
  <w:style w:type="paragraph" w:styleId="ListBullet">
    <w:name w:val="List Bullet"/>
    <w:basedOn w:val="List"/>
    <w:rsid w:val="007E1B1D"/>
  </w:style>
  <w:style w:type="paragraph" w:styleId="ListBullet3">
    <w:name w:val="List Bullet 3"/>
    <w:basedOn w:val="ListBullet2"/>
    <w:rsid w:val="007E1B1D"/>
    <w:pPr>
      <w:ind w:left="1135"/>
    </w:pPr>
  </w:style>
  <w:style w:type="paragraph" w:styleId="List2">
    <w:name w:val="List 2"/>
    <w:basedOn w:val="List"/>
    <w:rsid w:val="007E1B1D"/>
    <w:pPr>
      <w:ind w:left="851"/>
    </w:pPr>
  </w:style>
  <w:style w:type="paragraph" w:styleId="List3">
    <w:name w:val="List 3"/>
    <w:basedOn w:val="List2"/>
    <w:rsid w:val="007E1B1D"/>
    <w:pPr>
      <w:ind w:left="1135"/>
    </w:pPr>
  </w:style>
  <w:style w:type="paragraph" w:styleId="List4">
    <w:name w:val="List 4"/>
    <w:basedOn w:val="List3"/>
    <w:rsid w:val="007E1B1D"/>
    <w:pPr>
      <w:ind w:left="1418"/>
    </w:pPr>
  </w:style>
  <w:style w:type="paragraph" w:styleId="List5">
    <w:name w:val="List 5"/>
    <w:basedOn w:val="List4"/>
    <w:rsid w:val="007E1B1D"/>
    <w:pPr>
      <w:ind w:left="1702"/>
    </w:pPr>
  </w:style>
  <w:style w:type="paragraph" w:styleId="ListBullet4">
    <w:name w:val="List Bullet 4"/>
    <w:basedOn w:val="ListBullet3"/>
    <w:rsid w:val="007E1B1D"/>
    <w:pPr>
      <w:ind w:left="1418"/>
    </w:pPr>
  </w:style>
  <w:style w:type="paragraph" w:styleId="ListBullet5">
    <w:name w:val="List Bullet 5"/>
    <w:basedOn w:val="ListBullet4"/>
    <w:rsid w:val="007E1B1D"/>
    <w:pPr>
      <w:ind w:left="1702"/>
    </w:pPr>
  </w:style>
  <w:style w:type="paragraph" w:customStyle="1" w:styleId="TC">
    <w:name w:val="TC"/>
    <w:basedOn w:val="Normal"/>
    <w:rsid w:val="007E1B1D"/>
    <w:pPr>
      <w:spacing w:after="0"/>
    </w:pPr>
    <w:rPr>
      <w:rFonts w:ascii="Arial" w:hAnsi="Arial" w:cs="Arial"/>
      <w:lang w:eastAsia="ko-KR"/>
    </w:rPr>
  </w:style>
  <w:style w:type="character" w:styleId="FootnoteReference">
    <w:name w:val="footnote reference"/>
    <w:rsid w:val="007E1B1D"/>
    <w:rPr>
      <w:b/>
      <w:position w:val="6"/>
      <w:sz w:val="16"/>
    </w:rPr>
  </w:style>
  <w:style w:type="paragraph" w:styleId="FootnoteText">
    <w:name w:val="footnote text"/>
    <w:basedOn w:val="Normal"/>
    <w:link w:val="FootnoteTextChar"/>
    <w:rsid w:val="007E1B1D"/>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link w:val="FootnoteText"/>
    <w:rsid w:val="007E1B1D"/>
    <w:rPr>
      <w:sz w:val="16"/>
      <w:lang w:eastAsia="en-US"/>
    </w:rPr>
  </w:style>
  <w:style w:type="paragraph" w:styleId="BalloonText">
    <w:name w:val="Balloon Text"/>
    <w:basedOn w:val="Normal"/>
    <w:link w:val="BalloonTextChar"/>
    <w:rsid w:val="007E1B1D"/>
    <w:pPr>
      <w:overflowPunct w:val="0"/>
      <w:autoSpaceDE w:val="0"/>
      <w:autoSpaceDN w:val="0"/>
      <w:adjustRightInd w:val="0"/>
      <w:spacing w:after="0"/>
      <w:textAlignment w:val="baseline"/>
    </w:pPr>
    <w:rPr>
      <w:rFonts w:ascii="Tahoma" w:hAnsi="Tahoma" w:cs="Tahoma"/>
      <w:sz w:val="16"/>
      <w:szCs w:val="16"/>
    </w:rPr>
  </w:style>
  <w:style w:type="character" w:customStyle="1" w:styleId="BalloonTextChar">
    <w:name w:val="Balloon Text Char"/>
    <w:link w:val="BalloonText"/>
    <w:rsid w:val="007E1B1D"/>
    <w:rPr>
      <w:rFonts w:ascii="Tahoma" w:hAnsi="Tahoma" w:cs="Tahoma"/>
      <w:sz w:val="16"/>
      <w:szCs w:val="16"/>
      <w:lang w:eastAsia="en-US"/>
    </w:rPr>
  </w:style>
  <w:style w:type="paragraph" w:customStyle="1" w:styleId="ZK">
    <w:name w:val="ZK"/>
    <w:rsid w:val="007E1B1D"/>
    <w:pPr>
      <w:spacing w:after="240" w:line="240" w:lineRule="atLeast"/>
      <w:ind w:left="1191" w:right="113" w:hanging="1191"/>
    </w:pPr>
    <w:rPr>
      <w:rFonts w:ascii="Arial" w:hAnsi="Arial"/>
      <w:lang w:eastAsia="en-US"/>
    </w:rPr>
  </w:style>
  <w:style w:type="character" w:customStyle="1" w:styleId="TALZchn">
    <w:name w:val="TAL Zchn"/>
    <w:rsid w:val="007E1B1D"/>
    <w:rPr>
      <w:rFonts w:ascii="Arial" w:hAnsi="Arial"/>
      <w:sz w:val="18"/>
      <w:lang w:val="en-GB"/>
    </w:rPr>
  </w:style>
  <w:style w:type="character" w:customStyle="1" w:styleId="TALChar">
    <w:name w:val="TAL Char"/>
    <w:link w:val="TAL"/>
    <w:rsid w:val="007E1B1D"/>
    <w:rPr>
      <w:rFonts w:ascii="Arial" w:hAnsi="Arial"/>
      <w:sz w:val="18"/>
      <w:lang w:eastAsia="x-none"/>
    </w:rPr>
  </w:style>
  <w:style w:type="character" w:customStyle="1" w:styleId="B1Char">
    <w:name w:val="B1 Char"/>
    <w:link w:val="B1"/>
    <w:rsid w:val="007E1B1D"/>
    <w:rPr>
      <w:lang w:eastAsia="x-none"/>
    </w:rPr>
  </w:style>
  <w:style w:type="character" w:customStyle="1" w:styleId="TACChar">
    <w:name w:val="TAC Char"/>
    <w:link w:val="TAC"/>
    <w:rsid w:val="007E1B1D"/>
    <w:rPr>
      <w:rFonts w:ascii="Arial" w:hAnsi="Arial"/>
      <w:sz w:val="18"/>
      <w:lang w:eastAsia="x-none"/>
    </w:rPr>
  </w:style>
  <w:style w:type="character" w:customStyle="1" w:styleId="TAHChar">
    <w:name w:val="TAH Char"/>
    <w:link w:val="TAH"/>
    <w:rsid w:val="007E1B1D"/>
    <w:rPr>
      <w:rFonts w:ascii="Arial" w:hAnsi="Arial"/>
      <w:b/>
      <w:sz w:val="18"/>
      <w:lang w:eastAsia="x-none"/>
    </w:rPr>
  </w:style>
  <w:style w:type="paragraph" w:styleId="Revision">
    <w:name w:val="Revision"/>
    <w:hidden/>
    <w:uiPriority w:val="99"/>
    <w:semiHidden/>
    <w:rsid w:val="007E1B1D"/>
    <w:rPr>
      <w:rFonts w:ascii="CG Times (WN)" w:hAnsi="CG Times (WN)"/>
      <w:lang w:eastAsia="en-US"/>
    </w:rPr>
  </w:style>
  <w:style w:type="numbering" w:customStyle="1" w:styleId="NoList1">
    <w:name w:val="No List1"/>
    <w:next w:val="NoList"/>
    <w:semiHidden/>
    <w:rsid w:val="007E1B1D"/>
  </w:style>
  <w:style w:type="numbering" w:customStyle="1" w:styleId="NoList2">
    <w:name w:val="No List2"/>
    <w:next w:val="NoList"/>
    <w:semiHidden/>
    <w:rsid w:val="007E1B1D"/>
  </w:style>
  <w:style w:type="character" w:customStyle="1" w:styleId="EXCar">
    <w:name w:val="EX Car"/>
    <w:link w:val="EX"/>
    <w:rsid w:val="007E1B1D"/>
    <w:rPr>
      <w:lang w:eastAsia="x-none"/>
    </w:rPr>
  </w:style>
  <w:style w:type="character" w:customStyle="1" w:styleId="B2Char">
    <w:name w:val="B2 Char"/>
    <w:link w:val="B2"/>
    <w:rsid w:val="007E1B1D"/>
    <w:rPr>
      <w:lang w:eastAsia="x-none"/>
    </w:rPr>
  </w:style>
  <w:style w:type="character" w:customStyle="1" w:styleId="Heading3Char">
    <w:name w:val="Heading 3 Char"/>
    <w:link w:val="Heading3"/>
    <w:rsid w:val="007E1B1D"/>
    <w:rPr>
      <w:rFonts w:ascii="Arial" w:hAnsi="Arial"/>
      <w:sz w:val="28"/>
      <w:lang w:eastAsia="x-none"/>
    </w:rPr>
  </w:style>
  <w:style w:type="character" w:styleId="CommentReference">
    <w:name w:val="annotation reference"/>
    <w:rsid w:val="00711444"/>
    <w:rPr>
      <w:sz w:val="16"/>
    </w:rPr>
  </w:style>
  <w:style w:type="character" w:customStyle="1" w:styleId="TFZchn">
    <w:name w:val="TF Zchn"/>
    <w:link w:val="TF"/>
    <w:rsid w:val="00711444"/>
    <w:rPr>
      <w:rFonts w:ascii="Arial" w:hAnsi="Arial"/>
      <w:b/>
      <w:lang w:eastAsia="x-none"/>
    </w:rPr>
  </w:style>
  <w:style w:type="character" w:customStyle="1" w:styleId="Heading4Char">
    <w:name w:val="Heading 4 Char"/>
    <w:link w:val="Heading4"/>
    <w:rsid w:val="00711444"/>
    <w:rPr>
      <w:rFonts w:ascii="Arial" w:hAnsi="Arial"/>
      <w:sz w:val="24"/>
      <w:lang w:eastAsia="x-none"/>
    </w:rPr>
  </w:style>
  <w:style w:type="character" w:customStyle="1" w:styleId="THChar">
    <w:name w:val="TH Char"/>
    <w:link w:val="TH"/>
    <w:rsid w:val="00711444"/>
    <w:rPr>
      <w:rFonts w:ascii="Arial" w:hAnsi="Arial"/>
      <w:b/>
      <w:lang w:eastAsia="x-none"/>
    </w:rPr>
  </w:style>
  <w:style w:type="character" w:customStyle="1" w:styleId="TAHCar">
    <w:name w:val="TAH Car"/>
    <w:rsid w:val="00711444"/>
    <w:rPr>
      <w:rFonts w:ascii="Arial" w:hAnsi="Arial"/>
      <w:b/>
      <w:sz w:val="18"/>
      <w:lang w:val="en-GB" w:eastAsia="en-US"/>
    </w:rPr>
  </w:style>
  <w:style w:type="character" w:customStyle="1" w:styleId="TANChar">
    <w:name w:val="TAN Char"/>
    <w:link w:val="TAN"/>
    <w:rsid w:val="00711444"/>
    <w:rPr>
      <w:rFonts w:ascii="Arial" w:hAnsi="Arial"/>
      <w:sz w:val="18"/>
      <w:lang w:eastAsia="x-none"/>
    </w:rPr>
  </w:style>
  <w:style w:type="character" w:customStyle="1" w:styleId="Heading1Char">
    <w:name w:val="Heading 1 Char"/>
    <w:link w:val="Heading1"/>
    <w:rsid w:val="00711444"/>
    <w:rPr>
      <w:rFonts w:ascii="Arial" w:hAnsi="Arial"/>
      <w:sz w:val="36"/>
      <w:lang w:eastAsia="en-US"/>
    </w:rPr>
  </w:style>
  <w:style w:type="character" w:customStyle="1" w:styleId="Heading2Char">
    <w:name w:val="Heading 2 Char"/>
    <w:link w:val="Heading2"/>
    <w:rsid w:val="00711444"/>
    <w:rPr>
      <w:rFonts w:ascii="Arial" w:hAnsi="Arial"/>
      <w:sz w:val="32"/>
      <w:lang w:eastAsia="en-US"/>
    </w:rPr>
  </w:style>
  <w:style w:type="character" w:customStyle="1" w:styleId="Heading5Char">
    <w:name w:val="Heading 5 Char"/>
    <w:link w:val="Heading5"/>
    <w:rsid w:val="00711444"/>
    <w:rPr>
      <w:rFonts w:ascii="Arial" w:hAnsi="Arial"/>
      <w:sz w:val="22"/>
      <w:lang w:eastAsia="x-none"/>
    </w:rPr>
  </w:style>
  <w:style w:type="paragraph" w:styleId="ListParagraph">
    <w:name w:val="List Paragraph"/>
    <w:basedOn w:val="Normal"/>
    <w:uiPriority w:val="34"/>
    <w:qFormat/>
    <w:rsid w:val="00711444"/>
    <w:pPr>
      <w:spacing w:after="200" w:line="276" w:lineRule="auto"/>
      <w:ind w:left="720"/>
      <w:contextualSpacing/>
    </w:pPr>
    <w:rPr>
      <w:rFonts w:ascii="Calibri" w:eastAsia="Calibri" w:hAnsi="Calibri"/>
      <w:sz w:val="22"/>
      <w:szCs w:val="22"/>
    </w:rPr>
  </w:style>
  <w:style w:type="paragraph" w:styleId="Bibliography">
    <w:name w:val="Bibliography"/>
    <w:basedOn w:val="Normal"/>
    <w:next w:val="Normal"/>
    <w:uiPriority w:val="37"/>
    <w:semiHidden/>
    <w:unhideWhenUsed/>
    <w:rsid w:val="007E0507"/>
  </w:style>
  <w:style w:type="paragraph" w:styleId="BlockText">
    <w:name w:val="Block Text"/>
    <w:basedOn w:val="Normal"/>
    <w:rsid w:val="007E0507"/>
    <w:pPr>
      <w:spacing w:after="120"/>
      <w:ind w:left="1440" w:right="1440"/>
    </w:pPr>
  </w:style>
  <w:style w:type="paragraph" w:styleId="BodyText">
    <w:name w:val="Body Text"/>
    <w:basedOn w:val="Normal"/>
    <w:link w:val="BodyTextChar"/>
    <w:rsid w:val="007E0507"/>
    <w:pPr>
      <w:spacing w:after="120"/>
    </w:pPr>
  </w:style>
  <w:style w:type="character" w:customStyle="1" w:styleId="BodyTextChar">
    <w:name w:val="Body Text Char"/>
    <w:link w:val="BodyText"/>
    <w:rsid w:val="007E0507"/>
    <w:rPr>
      <w:lang w:eastAsia="en-US"/>
    </w:rPr>
  </w:style>
  <w:style w:type="paragraph" w:styleId="BodyText2">
    <w:name w:val="Body Text 2"/>
    <w:basedOn w:val="Normal"/>
    <w:link w:val="BodyText2Char"/>
    <w:rsid w:val="007E0507"/>
    <w:pPr>
      <w:spacing w:after="120" w:line="480" w:lineRule="auto"/>
    </w:pPr>
  </w:style>
  <w:style w:type="character" w:customStyle="1" w:styleId="BodyText2Char">
    <w:name w:val="Body Text 2 Char"/>
    <w:link w:val="BodyText2"/>
    <w:rsid w:val="007E0507"/>
    <w:rPr>
      <w:lang w:eastAsia="en-US"/>
    </w:rPr>
  </w:style>
  <w:style w:type="paragraph" w:styleId="BodyText3">
    <w:name w:val="Body Text 3"/>
    <w:basedOn w:val="Normal"/>
    <w:link w:val="BodyText3Char"/>
    <w:rsid w:val="007E0507"/>
    <w:pPr>
      <w:spacing w:after="120"/>
    </w:pPr>
    <w:rPr>
      <w:sz w:val="16"/>
      <w:szCs w:val="16"/>
    </w:rPr>
  </w:style>
  <w:style w:type="character" w:customStyle="1" w:styleId="BodyText3Char">
    <w:name w:val="Body Text 3 Char"/>
    <w:link w:val="BodyText3"/>
    <w:rsid w:val="007E0507"/>
    <w:rPr>
      <w:sz w:val="16"/>
      <w:szCs w:val="16"/>
      <w:lang w:eastAsia="en-US"/>
    </w:rPr>
  </w:style>
  <w:style w:type="paragraph" w:styleId="BodyTextFirstIndent">
    <w:name w:val="Body Text First Indent"/>
    <w:basedOn w:val="BodyText"/>
    <w:link w:val="BodyTextFirstIndentChar"/>
    <w:rsid w:val="007E0507"/>
    <w:pPr>
      <w:ind w:firstLine="210"/>
    </w:pPr>
  </w:style>
  <w:style w:type="character" w:customStyle="1" w:styleId="BodyTextFirstIndentChar">
    <w:name w:val="Body Text First Indent Char"/>
    <w:basedOn w:val="BodyTextChar"/>
    <w:link w:val="BodyTextFirstIndent"/>
    <w:rsid w:val="007E0507"/>
    <w:rPr>
      <w:lang w:eastAsia="en-US"/>
    </w:rPr>
  </w:style>
  <w:style w:type="paragraph" w:styleId="BodyTextIndent">
    <w:name w:val="Body Text Indent"/>
    <w:basedOn w:val="Normal"/>
    <w:link w:val="BodyTextIndentChar"/>
    <w:rsid w:val="007E0507"/>
    <w:pPr>
      <w:spacing w:after="120"/>
      <w:ind w:left="283"/>
    </w:pPr>
  </w:style>
  <w:style w:type="character" w:customStyle="1" w:styleId="BodyTextIndentChar">
    <w:name w:val="Body Text Indent Char"/>
    <w:link w:val="BodyTextIndent"/>
    <w:rsid w:val="007E0507"/>
    <w:rPr>
      <w:lang w:eastAsia="en-US"/>
    </w:rPr>
  </w:style>
  <w:style w:type="paragraph" w:styleId="BodyTextFirstIndent2">
    <w:name w:val="Body Text First Indent 2"/>
    <w:basedOn w:val="BodyTextIndent"/>
    <w:link w:val="BodyTextFirstIndent2Char"/>
    <w:rsid w:val="007E0507"/>
    <w:pPr>
      <w:ind w:firstLine="210"/>
    </w:pPr>
  </w:style>
  <w:style w:type="character" w:customStyle="1" w:styleId="BodyTextFirstIndent2Char">
    <w:name w:val="Body Text First Indent 2 Char"/>
    <w:basedOn w:val="BodyTextIndentChar"/>
    <w:link w:val="BodyTextFirstIndent2"/>
    <w:rsid w:val="007E0507"/>
    <w:rPr>
      <w:lang w:eastAsia="en-US"/>
    </w:rPr>
  </w:style>
  <w:style w:type="paragraph" w:styleId="BodyTextIndent2">
    <w:name w:val="Body Text Indent 2"/>
    <w:basedOn w:val="Normal"/>
    <w:link w:val="BodyTextIndent2Char"/>
    <w:rsid w:val="007E0507"/>
    <w:pPr>
      <w:spacing w:after="120" w:line="480" w:lineRule="auto"/>
      <w:ind w:left="283"/>
    </w:pPr>
  </w:style>
  <w:style w:type="character" w:customStyle="1" w:styleId="BodyTextIndent2Char">
    <w:name w:val="Body Text Indent 2 Char"/>
    <w:link w:val="BodyTextIndent2"/>
    <w:rsid w:val="007E0507"/>
    <w:rPr>
      <w:lang w:eastAsia="en-US"/>
    </w:rPr>
  </w:style>
  <w:style w:type="paragraph" w:styleId="BodyTextIndent3">
    <w:name w:val="Body Text Indent 3"/>
    <w:basedOn w:val="Normal"/>
    <w:link w:val="BodyTextIndent3Char"/>
    <w:rsid w:val="007E0507"/>
    <w:pPr>
      <w:spacing w:after="120"/>
      <w:ind w:left="283"/>
    </w:pPr>
    <w:rPr>
      <w:sz w:val="16"/>
      <w:szCs w:val="16"/>
    </w:rPr>
  </w:style>
  <w:style w:type="character" w:customStyle="1" w:styleId="BodyTextIndent3Char">
    <w:name w:val="Body Text Indent 3 Char"/>
    <w:link w:val="BodyTextIndent3"/>
    <w:rsid w:val="007E0507"/>
    <w:rPr>
      <w:sz w:val="16"/>
      <w:szCs w:val="16"/>
      <w:lang w:eastAsia="en-US"/>
    </w:rPr>
  </w:style>
  <w:style w:type="paragraph" w:styleId="Caption">
    <w:name w:val="caption"/>
    <w:basedOn w:val="Normal"/>
    <w:next w:val="Normal"/>
    <w:semiHidden/>
    <w:unhideWhenUsed/>
    <w:qFormat/>
    <w:rsid w:val="007E0507"/>
    <w:rPr>
      <w:b/>
      <w:bCs/>
    </w:rPr>
  </w:style>
  <w:style w:type="paragraph" w:styleId="Closing">
    <w:name w:val="Closing"/>
    <w:basedOn w:val="Normal"/>
    <w:link w:val="ClosingChar"/>
    <w:rsid w:val="007E0507"/>
    <w:pPr>
      <w:ind w:left="4252"/>
    </w:pPr>
  </w:style>
  <w:style w:type="character" w:customStyle="1" w:styleId="ClosingChar">
    <w:name w:val="Closing Char"/>
    <w:link w:val="Closing"/>
    <w:rsid w:val="007E0507"/>
    <w:rPr>
      <w:lang w:eastAsia="en-US"/>
    </w:rPr>
  </w:style>
  <w:style w:type="paragraph" w:styleId="CommentText">
    <w:name w:val="annotation text"/>
    <w:basedOn w:val="Normal"/>
    <w:link w:val="CommentTextChar"/>
    <w:rsid w:val="007E0507"/>
  </w:style>
  <w:style w:type="character" w:customStyle="1" w:styleId="CommentTextChar">
    <w:name w:val="Comment Text Char"/>
    <w:link w:val="CommentText"/>
    <w:rsid w:val="007E0507"/>
    <w:rPr>
      <w:lang w:eastAsia="en-US"/>
    </w:rPr>
  </w:style>
  <w:style w:type="paragraph" w:styleId="CommentSubject">
    <w:name w:val="annotation subject"/>
    <w:basedOn w:val="CommentText"/>
    <w:next w:val="CommentText"/>
    <w:link w:val="CommentSubjectChar"/>
    <w:rsid w:val="007E0507"/>
    <w:rPr>
      <w:b/>
      <w:bCs/>
    </w:rPr>
  </w:style>
  <w:style w:type="character" w:customStyle="1" w:styleId="CommentSubjectChar">
    <w:name w:val="Comment Subject Char"/>
    <w:link w:val="CommentSubject"/>
    <w:rsid w:val="007E0507"/>
    <w:rPr>
      <w:b/>
      <w:bCs/>
      <w:lang w:eastAsia="en-US"/>
    </w:rPr>
  </w:style>
  <w:style w:type="paragraph" w:styleId="Date">
    <w:name w:val="Date"/>
    <w:basedOn w:val="Normal"/>
    <w:next w:val="Normal"/>
    <w:link w:val="DateChar"/>
    <w:rsid w:val="007E0507"/>
  </w:style>
  <w:style w:type="character" w:customStyle="1" w:styleId="DateChar">
    <w:name w:val="Date Char"/>
    <w:link w:val="Date"/>
    <w:rsid w:val="007E0507"/>
    <w:rPr>
      <w:lang w:eastAsia="en-US"/>
    </w:rPr>
  </w:style>
  <w:style w:type="paragraph" w:styleId="DocumentMap">
    <w:name w:val="Document Map"/>
    <w:basedOn w:val="Normal"/>
    <w:link w:val="DocumentMapChar"/>
    <w:rsid w:val="007E0507"/>
    <w:rPr>
      <w:rFonts w:ascii="Segoe UI" w:hAnsi="Segoe UI" w:cs="Segoe UI"/>
      <w:sz w:val="16"/>
      <w:szCs w:val="16"/>
    </w:rPr>
  </w:style>
  <w:style w:type="character" w:customStyle="1" w:styleId="DocumentMapChar">
    <w:name w:val="Document Map Char"/>
    <w:link w:val="DocumentMap"/>
    <w:rsid w:val="007E0507"/>
    <w:rPr>
      <w:rFonts w:ascii="Segoe UI" w:hAnsi="Segoe UI" w:cs="Segoe UI"/>
      <w:sz w:val="16"/>
      <w:szCs w:val="16"/>
      <w:lang w:eastAsia="en-US"/>
    </w:rPr>
  </w:style>
  <w:style w:type="paragraph" w:styleId="E-mailSignature">
    <w:name w:val="E-mail Signature"/>
    <w:basedOn w:val="Normal"/>
    <w:link w:val="E-mailSignatureChar"/>
    <w:rsid w:val="007E0507"/>
  </w:style>
  <w:style w:type="character" w:customStyle="1" w:styleId="E-mailSignatureChar">
    <w:name w:val="E-mail Signature Char"/>
    <w:link w:val="E-mailSignature"/>
    <w:rsid w:val="007E0507"/>
    <w:rPr>
      <w:lang w:eastAsia="en-US"/>
    </w:rPr>
  </w:style>
  <w:style w:type="paragraph" w:styleId="EndnoteText">
    <w:name w:val="endnote text"/>
    <w:basedOn w:val="Normal"/>
    <w:link w:val="EndnoteTextChar"/>
    <w:rsid w:val="007E0507"/>
  </w:style>
  <w:style w:type="character" w:customStyle="1" w:styleId="EndnoteTextChar">
    <w:name w:val="Endnote Text Char"/>
    <w:link w:val="EndnoteText"/>
    <w:rsid w:val="007E0507"/>
    <w:rPr>
      <w:lang w:eastAsia="en-US"/>
    </w:rPr>
  </w:style>
  <w:style w:type="paragraph" w:styleId="EnvelopeAddress">
    <w:name w:val="envelope address"/>
    <w:basedOn w:val="Normal"/>
    <w:rsid w:val="007E050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E0507"/>
    <w:rPr>
      <w:rFonts w:ascii="Calibri Light" w:hAnsi="Calibri Light"/>
    </w:rPr>
  </w:style>
  <w:style w:type="paragraph" w:styleId="HTMLAddress">
    <w:name w:val="HTML Address"/>
    <w:basedOn w:val="Normal"/>
    <w:link w:val="HTMLAddressChar"/>
    <w:rsid w:val="007E0507"/>
    <w:rPr>
      <w:i/>
      <w:iCs/>
    </w:rPr>
  </w:style>
  <w:style w:type="character" w:customStyle="1" w:styleId="HTMLAddressChar">
    <w:name w:val="HTML Address Char"/>
    <w:link w:val="HTMLAddress"/>
    <w:rsid w:val="007E0507"/>
    <w:rPr>
      <w:i/>
      <w:iCs/>
      <w:lang w:eastAsia="en-US"/>
    </w:rPr>
  </w:style>
  <w:style w:type="paragraph" w:styleId="HTMLPreformatted">
    <w:name w:val="HTML Preformatted"/>
    <w:basedOn w:val="Normal"/>
    <w:link w:val="HTMLPreformattedChar"/>
    <w:rsid w:val="007E0507"/>
    <w:rPr>
      <w:rFonts w:ascii="Courier New" w:hAnsi="Courier New" w:cs="Courier New"/>
    </w:rPr>
  </w:style>
  <w:style w:type="character" w:customStyle="1" w:styleId="HTMLPreformattedChar">
    <w:name w:val="HTML Preformatted Char"/>
    <w:link w:val="HTMLPreformatted"/>
    <w:rsid w:val="007E0507"/>
    <w:rPr>
      <w:rFonts w:ascii="Courier New" w:hAnsi="Courier New" w:cs="Courier New"/>
      <w:lang w:eastAsia="en-US"/>
    </w:rPr>
  </w:style>
  <w:style w:type="paragraph" w:styleId="Index3">
    <w:name w:val="index 3"/>
    <w:basedOn w:val="Normal"/>
    <w:next w:val="Normal"/>
    <w:rsid w:val="007E0507"/>
    <w:pPr>
      <w:ind w:left="600" w:hanging="200"/>
    </w:pPr>
  </w:style>
  <w:style w:type="paragraph" w:styleId="Index4">
    <w:name w:val="index 4"/>
    <w:basedOn w:val="Normal"/>
    <w:next w:val="Normal"/>
    <w:rsid w:val="007E0507"/>
    <w:pPr>
      <w:ind w:left="800" w:hanging="200"/>
    </w:pPr>
  </w:style>
  <w:style w:type="paragraph" w:styleId="Index5">
    <w:name w:val="index 5"/>
    <w:basedOn w:val="Normal"/>
    <w:next w:val="Normal"/>
    <w:rsid w:val="007E0507"/>
    <w:pPr>
      <w:ind w:left="1000" w:hanging="200"/>
    </w:pPr>
  </w:style>
  <w:style w:type="paragraph" w:styleId="Index6">
    <w:name w:val="index 6"/>
    <w:basedOn w:val="Normal"/>
    <w:next w:val="Normal"/>
    <w:rsid w:val="007E0507"/>
    <w:pPr>
      <w:ind w:left="1200" w:hanging="200"/>
    </w:pPr>
  </w:style>
  <w:style w:type="paragraph" w:styleId="Index7">
    <w:name w:val="index 7"/>
    <w:basedOn w:val="Normal"/>
    <w:next w:val="Normal"/>
    <w:rsid w:val="007E0507"/>
    <w:pPr>
      <w:ind w:left="1400" w:hanging="200"/>
    </w:pPr>
  </w:style>
  <w:style w:type="paragraph" w:styleId="Index8">
    <w:name w:val="index 8"/>
    <w:basedOn w:val="Normal"/>
    <w:next w:val="Normal"/>
    <w:rsid w:val="007E0507"/>
    <w:pPr>
      <w:ind w:left="1600" w:hanging="200"/>
    </w:pPr>
  </w:style>
  <w:style w:type="paragraph" w:styleId="Index9">
    <w:name w:val="index 9"/>
    <w:basedOn w:val="Normal"/>
    <w:next w:val="Normal"/>
    <w:rsid w:val="007E0507"/>
    <w:pPr>
      <w:ind w:left="1800" w:hanging="200"/>
    </w:pPr>
  </w:style>
  <w:style w:type="paragraph" w:styleId="IndexHeading">
    <w:name w:val="index heading"/>
    <w:basedOn w:val="Normal"/>
    <w:next w:val="Index1"/>
    <w:rsid w:val="007E0507"/>
    <w:rPr>
      <w:rFonts w:ascii="Calibri Light" w:hAnsi="Calibri Light"/>
      <w:b/>
      <w:bCs/>
    </w:rPr>
  </w:style>
  <w:style w:type="paragraph" w:styleId="IntenseQuote">
    <w:name w:val="Intense Quote"/>
    <w:basedOn w:val="Normal"/>
    <w:next w:val="Normal"/>
    <w:link w:val="IntenseQuoteChar"/>
    <w:uiPriority w:val="30"/>
    <w:qFormat/>
    <w:rsid w:val="007E050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E0507"/>
    <w:rPr>
      <w:i/>
      <w:iCs/>
      <w:color w:val="4472C4"/>
      <w:lang w:eastAsia="en-US"/>
    </w:rPr>
  </w:style>
  <w:style w:type="paragraph" w:styleId="ListContinue">
    <w:name w:val="List Continue"/>
    <w:basedOn w:val="Normal"/>
    <w:rsid w:val="007E0507"/>
    <w:pPr>
      <w:spacing w:after="120"/>
      <w:ind w:left="283"/>
      <w:contextualSpacing/>
    </w:pPr>
  </w:style>
  <w:style w:type="paragraph" w:styleId="ListContinue2">
    <w:name w:val="List Continue 2"/>
    <w:basedOn w:val="Normal"/>
    <w:rsid w:val="007E0507"/>
    <w:pPr>
      <w:spacing w:after="120"/>
      <w:ind w:left="566"/>
      <w:contextualSpacing/>
    </w:pPr>
  </w:style>
  <w:style w:type="paragraph" w:styleId="ListContinue3">
    <w:name w:val="List Continue 3"/>
    <w:basedOn w:val="Normal"/>
    <w:rsid w:val="007E0507"/>
    <w:pPr>
      <w:spacing w:after="120"/>
      <w:ind w:left="849"/>
      <w:contextualSpacing/>
    </w:pPr>
  </w:style>
  <w:style w:type="paragraph" w:styleId="ListContinue4">
    <w:name w:val="List Continue 4"/>
    <w:basedOn w:val="Normal"/>
    <w:rsid w:val="007E0507"/>
    <w:pPr>
      <w:spacing w:after="120"/>
      <w:ind w:left="1132"/>
      <w:contextualSpacing/>
    </w:pPr>
  </w:style>
  <w:style w:type="paragraph" w:styleId="ListContinue5">
    <w:name w:val="List Continue 5"/>
    <w:basedOn w:val="Normal"/>
    <w:rsid w:val="007E0507"/>
    <w:pPr>
      <w:spacing w:after="120"/>
      <w:ind w:left="1415"/>
      <w:contextualSpacing/>
    </w:pPr>
  </w:style>
  <w:style w:type="paragraph" w:styleId="ListNumber3">
    <w:name w:val="List Number 3"/>
    <w:basedOn w:val="Normal"/>
    <w:rsid w:val="007E0507"/>
    <w:pPr>
      <w:numPr>
        <w:numId w:val="11"/>
      </w:numPr>
      <w:contextualSpacing/>
    </w:pPr>
  </w:style>
  <w:style w:type="paragraph" w:styleId="ListNumber4">
    <w:name w:val="List Number 4"/>
    <w:basedOn w:val="Normal"/>
    <w:rsid w:val="007E0507"/>
    <w:pPr>
      <w:numPr>
        <w:numId w:val="12"/>
      </w:numPr>
      <w:contextualSpacing/>
    </w:pPr>
  </w:style>
  <w:style w:type="paragraph" w:styleId="ListNumber5">
    <w:name w:val="List Number 5"/>
    <w:basedOn w:val="Normal"/>
    <w:rsid w:val="007E0507"/>
    <w:pPr>
      <w:numPr>
        <w:numId w:val="13"/>
      </w:numPr>
      <w:contextualSpacing/>
    </w:pPr>
  </w:style>
  <w:style w:type="paragraph" w:styleId="MacroText">
    <w:name w:val="macro"/>
    <w:link w:val="MacroTextChar"/>
    <w:rsid w:val="007E050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E0507"/>
    <w:rPr>
      <w:rFonts w:ascii="Courier New" w:hAnsi="Courier New" w:cs="Courier New"/>
      <w:lang w:eastAsia="en-US"/>
    </w:rPr>
  </w:style>
  <w:style w:type="paragraph" w:styleId="MessageHeader">
    <w:name w:val="Message Header"/>
    <w:basedOn w:val="Normal"/>
    <w:link w:val="MessageHeaderChar"/>
    <w:rsid w:val="007E050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E0507"/>
    <w:rPr>
      <w:rFonts w:ascii="Calibri Light" w:hAnsi="Calibri Light"/>
      <w:sz w:val="24"/>
      <w:szCs w:val="24"/>
      <w:shd w:val="pct20" w:color="auto" w:fill="auto"/>
      <w:lang w:eastAsia="en-US"/>
    </w:rPr>
  </w:style>
  <w:style w:type="paragraph" w:styleId="NoSpacing">
    <w:name w:val="No Spacing"/>
    <w:uiPriority w:val="1"/>
    <w:qFormat/>
    <w:rsid w:val="007E0507"/>
    <w:rPr>
      <w:lang w:eastAsia="en-US"/>
    </w:rPr>
  </w:style>
  <w:style w:type="paragraph" w:styleId="NormalWeb">
    <w:name w:val="Normal (Web)"/>
    <w:basedOn w:val="Normal"/>
    <w:rsid w:val="007E0507"/>
    <w:rPr>
      <w:sz w:val="24"/>
      <w:szCs w:val="24"/>
    </w:rPr>
  </w:style>
  <w:style w:type="paragraph" w:styleId="NormalIndent">
    <w:name w:val="Normal Indent"/>
    <w:basedOn w:val="Normal"/>
    <w:rsid w:val="007E0507"/>
    <w:pPr>
      <w:ind w:left="720"/>
    </w:pPr>
  </w:style>
  <w:style w:type="paragraph" w:styleId="NoteHeading">
    <w:name w:val="Note Heading"/>
    <w:basedOn w:val="Normal"/>
    <w:next w:val="Normal"/>
    <w:link w:val="NoteHeadingChar"/>
    <w:rsid w:val="007E0507"/>
  </w:style>
  <w:style w:type="character" w:customStyle="1" w:styleId="NoteHeadingChar">
    <w:name w:val="Note Heading Char"/>
    <w:link w:val="NoteHeading"/>
    <w:rsid w:val="007E0507"/>
    <w:rPr>
      <w:lang w:eastAsia="en-US"/>
    </w:rPr>
  </w:style>
  <w:style w:type="paragraph" w:styleId="PlainText">
    <w:name w:val="Plain Text"/>
    <w:basedOn w:val="Normal"/>
    <w:link w:val="PlainTextChar"/>
    <w:rsid w:val="007E0507"/>
    <w:rPr>
      <w:rFonts w:ascii="Courier New" w:hAnsi="Courier New" w:cs="Courier New"/>
    </w:rPr>
  </w:style>
  <w:style w:type="character" w:customStyle="1" w:styleId="PlainTextChar">
    <w:name w:val="Plain Text Char"/>
    <w:link w:val="PlainText"/>
    <w:rsid w:val="007E0507"/>
    <w:rPr>
      <w:rFonts w:ascii="Courier New" w:hAnsi="Courier New" w:cs="Courier New"/>
      <w:lang w:eastAsia="en-US"/>
    </w:rPr>
  </w:style>
  <w:style w:type="paragraph" w:styleId="Quote">
    <w:name w:val="Quote"/>
    <w:basedOn w:val="Normal"/>
    <w:next w:val="Normal"/>
    <w:link w:val="QuoteChar"/>
    <w:uiPriority w:val="29"/>
    <w:qFormat/>
    <w:rsid w:val="007E0507"/>
    <w:pPr>
      <w:spacing w:before="200" w:after="160"/>
      <w:ind w:left="864" w:right="864"/>
      <w:jc w:val="center"/>
    </w:pPr>
    <w:rPr>
      <w:i/>
      <w:iCs/>
      <w:color w:val="404040"/>
    </w:rPr>
  </w:style>
  <w:style w:type="character" w:customStyle="1" w:styleId="QuoteChar">
    <w:name w:val="Quote Char"/>
    <w:link w:val="Quote"/>
    <w:uiPriority w:val="29"/>
    <w:rsid w:val="007E0507"/>
    <w:rPr>
      <w:i/>
      <w:iCs/>
      <w:color w:val="404040"/>
      <w:lang w:eastAsia="en-US"/>
    </w:rPr>
  </w:style>
  <w:style w:type="paragraph" w:styleId="Salutation">
    <w:name w:val="Salutation"/>
    <w:basedOn w:val="Normal"/>
    <w:next w:val="Normal"/>
    <w:link w:val="SalutationChar"/>
    <w:rsid w:val="007E0507"/>
  </w:style>
  <w:style w:type="character" w:customStyle="1" w:styleId="SalutationChar">
    <w:name w:val="Salutation Char"/>
    <w:link w:val="Salutation"/>
    <w:rsid w:val="007E0507"/>
    <w:rPr>
      <w:lang w:eastAsia="en-US"/>
    </w:rPr>
  </w:style>
  <w:style w:type="paragraph" w:styleId="Signature">
    <w:name w:val="Signature"/>
    <w:basedOn w:val="Normal"/>
    <w:link w:val="SignatureChar"/>
    <w:rsid w:val="007E0507"/>
    <w:pPr>
      <w:ind w:left="4252"/>
    </w:pPr>
  </w:style>
  <w:style w:type="character" w:customStyle="1" w:styleId="SignatureChar">
    <w:name w:val="Signature Char"/>
    <w:link w:val="Signature"/>
    <w:rsid w:val="007E0507"/>
    <w:rPr>
      <w:lang w:eastAsia="en-US"/>
    </w:rPr>
  </w:style>
  <w:style w:type="paragraph" w:styleId="Subtitle">
    <w:name w:val="Subtitle"/>
    <w:basedOn w:val="Normal"/>
    <w:next w:val="Normal"/>
    <w:link w:val="SubtitleChar"/>
    <w:qFormat/>
    <w:rsid w:val="007E0507"/>
    <w:pPr>
      <w:spacing w:after="60"/>
      <w:jc w:val="center"/>
      <w:outlineLvl w:val="1"/>
    </w:pPr>
    <w:rPr>
      <w:rFonts w:ascii="Calibri Light" w:hAnsi="Calibri Light"/>
      <w:sz w:val="24"/>
      <w:szCs w:val="24"/>
    </w:rPr>
  </w:style>
  <w:style w:type="character" w:customStyle="1" w:styleId="SubtitleChar">
    <w:name w:val="Subtitle Char"/>
    <w:link w:val="Subtitle"/>
    <w:rsid w:val="007E0507"/>
    <w:rPr>
      <w:rFonts w:ascii="Calibri Light" w:hAnsi="Calibri Light"/>
      <w:sz w:val="24"/>
      <w:szCs w:val="24"/>
      <w:lang w:eastAsia="en-US"/>
    </w:rPr>
  </w:style>
  <w:style w:type="paragraph" w:styleId="TableofAuthorities">
    <w:name w:val="table of authorities"/>
    <w:basedOn w:val="Normal"/>
    <w:next w:val="Normal"/>
    <w:rsid w:val="007E0507"/>
    <w:pPr>
      <w:ind w:left="200" w:hanging="200"/>
    </w:pPr>
  </w:style>
  <w:style w:type="paragraph" w:styleId="TableofFigures">
    <w:name w:val="table of figures"/>
    <w:basedOn w:val="Normal"/>
    <w:next w:val="Normal"/>
    <w:rsid w:val="007E0507"/>
  </w:style>
  <w:style w:type="paragraph" w:styleId="Title">
    <w:name w:val="Title"/>
    <w:basedOn w:val="Normal"/>
    <w:next w:val="Normal"/>
    <w:link w:val="TitleChar"/>
    <w:qFormat/>
    <w:rsid w:val="007E050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E0507"/>
    <w:rPr>
      <w:rFonts w:ascii="Calibri Light" w:hAnsi="Calibri Light"/>
      <w:b/>
      <w:bCs/>
      <w:kern w:val="28"/>
      <w:sz w:val="32"/>
      <w:szCs w:val="32"/>
      <w:lang w:eastAsia="en-US"/>
    </w:rPr>
  </w:style>
  <w:style w:type="paragraph" w:styleId="TOAHeading">
    <w:name w:val="toa heading"/>
    <w:basedOn w:val="Normal"/>
    <w:next w:val="Normal"/>
    <w:rsid w:val="007E050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E050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Microsoft_Word_97_-_2003_Document.doc"/><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oleObject" Target="embeddings/Microsoft_Visio_2003-2010_Drawing3.vsd"/><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perso.wanadoo.fr/cell.sys/" TargetMode="External"/><Relationship Id="rId24" Type="http://schemas.openxmlformats.org/officeDocument/2006/relationships/header" Target="header2.xml"/><Relationship Id="rId32" Type="http://schemas.openxmlformats.org/officeDocument/2006/relationships/oleObject" Target="embeddings/Microsoft_Visio_2003-2010_Drawing2.vsd"/><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Word_97_-_2003_Document1.doc"/><Relationship Id="rId23" Type="http://schemas.openxmlformats.org/officeDocument/2006/relationships/footer" Target="footer1.xml"/><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image" Target="media/image9.wmf"/><Relationship Id="rId30" Type="http://schemas.openxmlformats.org/officeDocument/2006/relationships/oleObject" Target="embeddings/Microsoft_Visio_2003-2010_Drawing.vsd"/><Relationship Id="rId35"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330468</Words>
  <Characters>1883673</Characters>
  <Application>Microsoft Office Word</Application>
  <DocSecurity>0</DocSecurity>
  <Lines>15697</Lines>
  <Paragraphs>4419</Paragraphs>
  <ScaleCrop>false</ScaleCrop>
  <HeadingPairs>
    <vt:vector size="2" baseType="variant">
      <vt:variant>
        <vt:lpstr>Title</vt:lpstr>
      </vt:variant>
      <vt:variant>
        <vt:i4>1</vt:i4>
      </vt:variant>
    </vt:vector>
  </HeadingPairs>
  <TitlesOfParts>
    <vt:vector size="1" baseType="lpstr">
      <vt:lpstr>3GPP TS 44.060</vt:lpstr>
    </vt:vector>
  </TitlesOfParts>
  <Manager/>
  <Company>ETSI - MCC Support</Company>
  <LinksUpToDate>false</LinksUpToDate>
  <CharactersWithSpaces>2209722</CharactersWithSpaces>
  <SharedDoc>false</SharedDoc>
  <HyperlinkBase/>
  <HLinks>
    <vt:vector size="6" baseType="variant">
      <vt:variant>
        <vt:i4>1310810</vt:i4>
      </vt:variant>
      <vt:variant>
        <vt:i4>2697</vt:i4>
      </vt:variant>
      <vt:variant>
        <vt:i4>0</vt:i4>
      </vt:variant>
      <vt:variant>
        <vt:i4>5</vt:i4>
      </vt:variant>
      <vt:variant>
        <vt:lpwstr>http://perso.wanadoo.fr/cell.sys/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44.060</dc:title>
  <dc:subject>3GPP TS 44.060 General Packet Radio Service (GPRS); Mobile Station (MS) - Base Station System (BSS) interface; Radio Link Control / Medium Access Control (RLC/MAC) protocol</dc:subject>
  <dc:creator>TSG RAN WG6</dc:creator>
  <cp:keywords>GSM, radio, GPRS, packet mode, mobile, base station</cp:keywords>
  <cp:lastModifiedBy>R5-253880</cp:lastModifiedBy>
  <cp:revision>3</cp:revision>
  <dcterms:created xsi:type="dcterms:W3CDTF">2025-10-13T19:37:00Z</dcterms:created>
  <dcterms:modified xsi:type="dcterms:W3CDTF">2025-10-13T19:40:00Z</dcterms:modified>
</cp:coreProperties>
</file>